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F7D93A" w14:textId="665F318E" w:rsidR="00F84AD5" w:rsidRPr="00D42316" w:rsidRDefault="004F3C98">
      <w:pPr>
        <w:jc w:val="center"/>
        <w:sectPr w:rsidR="00F84AD5" w:rsidRPr="00D42316" w:rsidSect="007513A1">
          <w:headerReference w:type="default" r:id="rId9"/>
          <w:footerReference w:type="default" r:id="rId10"/>
          <w:type w:val="continuous"/>
          <w:pgSz w:w="11906" w:h="16838"/>
          <w:pgMar w:top="1418" w:right="1418" w:bottom="1418" w:left="1418" w:header="1304" w:footer="1361" w:gutter="0"/>
          <w:pgNumType w:start="1"/>
          <w:cols w:space="708"/>
        </w:sectPr>
      </w:pPr>
      <w:r>
        <w:rPr>
          <w:noProof/>
        </w:rPr>
        <mc:AlternateContent>
          <mc:Choice Requires="wps">
            <w:drawing>
              <wp:anchor distT="0" distB="0" distL="114300" distR="114300" simplePos="0" relativeHeight="251664384" behindDoc="0" locked="0" layoutInCell="1" allowOverlap="1" wp14:anchorId="6CFD12FD" wp14:editId="366E2C07">
                <wp:simplePos x="0" y="0"/>
                <wp:positionH relativeFrom="column">
                  <wp:posOffset>-805837</wp:posOffset>
                </wp:positionH>
                <wp:positionV relativeFrom="paragraph">
                  <wp:posOffset>7694053</wp:posOffset>
                </wp:positionV>
                <wp:extent cx="350520" cy="1609353"/>
                <wp:effectExtent l="0" t="0" r="0" b="0"/>
                <wp:wrapNone/>
                <wp:docPr id="1968421146" name="Metin Kutusu 35"/>
                <wp:cNvGraphicFramePr/>
                <a:graphic xmlns:a="http://schemas.openxmlformats.org/drawingml/2006/main">
                  <a:graphicData uri="http://schemas.microsoft.com/office/word/2010/wordprocessingShape">
                    <wps:wsp>
                      <wps:cNvSpPr txBox="1"/>
                      <wps:spPr>
                        <a:xfrm>
                          <a:off x="0" y="0"/>
                          <a:ext cx="350520" cy="1609353"/>
                        </a:xfrm>
                        <a:prstGeom prst="rect">
                          <a:avLst/>
                        </a:prstGeom>
                        <a:solidFill>
                          <a:schemeClr val="lt1">
                            <a:alpha val="0"/>
                          </a:schemeClr>
                        </a:solidFill>
                        <a:ln w="6350">
                          <a:noFill/>
                        </a:ln>
                      </wps:spPr>
                      <wps:txbx>
                        <w:txbxContent>
                          <w:p w14:paraId="7AB2EEAD" w14:textId="03F627FF" w:rsidR="004F3C98" w:rsidRPr="004F3C98" w:rsidRDefault="004F3C98">
                            <w:pPr>
                              <w:rPr>
                                <w:b/>
                                <w:bCs/>
                                <w:sz w:val="22"/>
                                <w:szCs w:val="22"/>
                              </w:rPr>
                            </w:pPr>
                            <w:r w:rsidRPr="004F3C98">
                              <w:rPr>
                                <w:b/>
                                <w:bCs/>
                                <w:sz w:val="22"/>
                                <w:szCs w:val="22"/>
                              </w:rPr>
                              <w:t>ISBN: 978-605-71213-8-7</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FD12FD" id="_x0000_t202" coordsize="21600,21600" o:spt="202" path="m,l,21600r21600,l21600,xe">
                <v:stroke joinstyle="miter"/>
                <v:path gradientshapeok="t" o:connecttype="rect"/>
              </v:shapetype>
              <v:shape id="Metin Kutusu 35" o:spid="_x0000_s1026" type="#_x0000_t202" style="position:absolute;left:0;text-align:left;margin-left:-63.45pt;margin-top:605.85pt;width:27.6pt;height:12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" fillcolor="white [3201]" stroked="f" strokeweight=".5pt">
                <v:fill opacity="0"/>
                <v:textbox style="layout-flow:vertical;mso-layout-flow-alt:bottom-to-top">
                  <w:txbxContent>
                    <w:p w14:paraId="7AB2EEAD" w14:textId="03F627FF" w:rsidR="004F3C98" w:rsidRPr="004F3C98" w:rsidRDefault="004F3C98">
                      <w:pPr>
                        <w:rPr>
                          <w:b/>
                          <w:bCs/>
                          <w:sz w:val="22"/>
                          <w:szCs w:val="22"/>
                        </w:rPr>
                      </w:pPr>
                      <w:r w:rsidRPr="004F3C98">
                        <w:rPr>
                          <w:b/>
                          <w:bCs/>
                          <w:sz w:val="22"/>
                          <w:szCs w:val="22"/>
                        </w:rPr>
                        <w:t>ISBN: 978-605-71213-8-7</w:t>
                      </w:r>
                    </w:p>
                  </w:txbxContent>
                </v:textbox>
              </v:shape>
            </w:pict>
          </mc:Fallback>
        </mc:AlternateContent>
      </w:r>
      <w:r w:rsidR="003B72F6">
        <w:rPr>
          <w:noProof/>
        </w:rPr>
        <w:drawing>
          <wp:anchor distT="0" distB="0" distL="114300" distR="114300" simplePos="0" relativeHeight="251662336" behindDoc="1" locked="0" layoutInCell="1" allowOverlap="1" wp14:anchorId="745DC97C" wp14:editId="07EB6BB7">
            <wp:simplePos x="0" y="0"/>
            <wp:positionH relativeFrom="column">
              <wp:posOffset>-914400</wp:posOffset>
            </wp:positionH>
            <wp:positionV relativeFrom="page">
              <wp:posOffset>13970</wp:posOffset>
            </wp:positionV>
            <wp:extent cx="7596505" cy="10744200"/>
            <wp:effectExtent l="0" t="0" r="0" b="0"/>
            <wp:wrapTopAndBottom/>
            <wp:docPr id="1829796663" name="Resim 36" descr="metin, poster, ekran görüntüsü, kişi, şahıs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96663" name="Resim 36" descr="metin, poster, ekran görüntüsü, kişi, şahıs içeren bir resim&#10;&#10;Yapay zeka tarafından oluşturulan içerik yanlış olabilir."/>
                    <pic:cNvPicPr/>
                  </pic:nvPicPr>
                  <pic:blipFill>
                    <a:blip r:embed="rId11">
                      <a:extLst>
                        <a:ext uri="{28A0092B-C50C-407E-A947-70E740481C1C}">
                          <a14:useLocalDpi xmlns:a14="http://schemas.microsoft.com/office/drawing/2010/main" val="0"/>
                        </a:ext>
                      </a:extLst>
                    </a:blip>
                    <a:stretch>
                      <a:fillRect/>
                    </a:stretch>
                  </pic:blipFill>
                  <pic:spPr>
                    <a:xfrm>
                      <a:off x="0" y="0"/>
                      <a:ext cx="7596505" cy="10744200"/>
                    </a:xfrm>
                    <a:prstGeom prst="rect">
                      <a:avLst/>
                    </a:prstGeom>
                    <a:blipFill>
                      <a:blip r:embed="rId12"/>
                      <a:tile tx="0" ty="0" sx="100000" sy="100000" flip="none" algn="tl"/>
                    </a:blipFill>
                  </pic:spPr>
                </pic:pic>
              </a:graphicData>
            </a:graphic>
            <wp14:sizeRelH relativeFrom="page">
              <wp14:pctWidth>0</wp14:pctWidth>
            </wp14:sizeRelH>
            <wp14:sizeRelV relativeFrom="page">
              <wp14:pctHeight>0</wp14:pctHeight>
            </wp14:sizeRelV>
          </wp:anchor>
        </w:drawing>
      </w:r>
    </w:p>
    <w:p w14:paraId="57FEF231" w14:textId="0F86BFC5" w:rsidR="00F84AD5" w:rsidRPr="00D42316" w:rsidRDefault="00F84AD5">
      <w:pPr>
        <w:tabs>
          <w:tab w:val="left" w:pos="1632"/>
        </w:tabs>
      </w:pPr>
    </w:p>
    <w:p w14:paraId="6A9E2707" w14:textId="2A43E9CB" w:rsidR="00F84AD5" w:rsidRPr="00D42316" w:rsidRDefault="00F84AD5">
      <w:pPr>
        <w:tabs>
          <w:tab w:val="left" w:pos="1632"/>
        </w:tabs>
      </w:pPr>
    </w:p>
    <w:p w14:paraId="504C2097" w14:textId="77777777" w:rsidR="00F84AD5" w:rsidRPr="00D42316" w:rsidRDefault="00F84AD5">
      <w:pPr>
        <w:tabs>
          <w:tab w:val="left" w:pos="1632"/>
        </w:tabs>
      </w:pPr>
    </w:p>
    <w:p w14:paraId="01E8F1AC" w14:textId="54FBC16A" w:rsidR="00F84AD5" w:rsidRPr="000C6508" w:rsidRDefault="00AC051C" w:rsidP="000C6508">
      <w:pPr>
        <w:widowControl/>
        <w:jc w:val="center"/>
      </w:pPr>
      <w:r w:rsidRPr="00D42316">
        <w:rPr>
          <w:b/>
        </w:rPr>
        <w:t>Dördüncü Uluslararası Ankara İnsan ve Toplum Bilimleri Kongresi</w:t>
      </w:r>
    </w:p>
    <w:p w14:paraId="608C06BC" w14:textId="77777777" w:rsidR="00F84AD5" w:rsidRPr="00D42316" w:rsidRDefault="00AC051C" w:rsidP="000C6508">
      <w:pPr>
        <w:tabs>
          <w:tab w:val="left" w:pos="1632"/>
        </w:tabs>
        <w:jc w:val="center"/>
        <w:rPr>
          <w:b/>
        </w:rPr>
      </w:pPr>
      <w:r w:rsidRPr="00D42316">
        <w:rPr>
          <w:b/>
        </w:rPr>
        <w:t xml:space="preserve">4th International Ankara </w:t>
      </w:r>
      <w:proofErr w:type="spellStart"/>
      <w:r w:rsidRPr="00D42316">
        <w:rPr>
          <w:b/>
        </w:rPr>
        <w:t>Humanities</w:t>
      </w:r>
      <w:proofErr w:type="spellEnd"/>
      <w:r w:rsidRPr="00D42316">
        <w:rPr>
          <w:b/>
        </w:rPr>
        <w:t xml:space="preserve"> </w:t>
      </w:r>
      <w:proofErr w:type="spellStart"/>
      <w:r w:rsidRPr="00D42316">
        <w:rPr>
          <w:b/>
        </w:rPr>
        <w:t>and</w:t>
      </w:r>
      <w:proofErr w:type="spellEnd"/>
      <w:r w:rsidRPr="00D42316">
        <w:rPr>
          <w:b/>
        </w:rPr>
        <w:t xml:space="preserve"> </w:t>
      </w:r>
      <w:proofErr w:type="spellStart"/>
      <w:r w:rsidRPr="00D42316">
        <w:rPr>
          <w:b/>
        </w:rPr>
        <w:t>Social</w:t>
      </w:r>
      <w:proofErr w:type="spellEnd"/>
      <w:r w:rsidRPr="00D42316">
        <w:rPr>
          <w:b/>
        </w:rPr>
        <w:t xml:space="preserve"> </w:t>
      </w:r>
      <w:proofErr w:type="spellStart"/>
      <w:r w:rsidRPr="00D42316">
        <w:rPr>
          <w:b/>
        </w:rPr>
        <w:t>Sciences</w:t>
      </w:r>
      <w:proofErr w:type="spellEnd"/>
      <w:r w:rsidRPr="00D42316">
        <w:rPr>
          <w:b/>
        </w:rPr>
        <w:t xml:space="preserve"> </w:t>
      </w:r>
      <w:proofErr w:type="spellStart"/>
      <w:r w:rsidRPr="00D42316">
        <w:rPr>
          <w:b/>
        </w:rPr>
        <w:t>Congress</w:t>
      </w:r>
      <w:proofErr w:type="spellEnd"/>
    </w:p>
    <w:p w14:paraId="76EB3D6D" w14:textId="77777777" w:rsidR="00F84AD5" w:rsidRPr="00D42316" w:rsidRDefault="00F84AD5" w:rsidP="000C6508">
      <w:pPr>
        <w:tabs>
          <w:tab w:val="left" w:pos="1632"/>
        </w:tabs>
        <w:jc w:val="center"/>
        <w:rPr>
          <w:b/>
        </w:rPr>
      </w:pPr>
    </w:p>
    <w:p w14:paraId="39A07B5B" w14:textId="77777777" w:rsidR="00F84AD5" w:rsidRPr="00D42316" w:rsidRDefault="00F84AD5">
      <w:pPr>
        <w:ind w:left="2124" w:right="2767" w:firstLine="707"/>
        <w:jc w:val="center"/>
        <w:rPr>
          <w:b/>
        </w:rPr>
      </w:pPr>
    </w:p>
    <w:p w14:paraId="5CA9162B" w14:textId="77777777" w:rsidR="00F84AD5" w:rsidRPr="00D42316" w:rsidRDefault="00F84AD5">
      <w:pPr>
        <w:ind w:left="2124" w:right="2767" w:firstLine="707"/>
        <w:jc w:val="center"/>
        <w:rPr>
          <w:b/>
        </w:rPr>
      </w:pPr>
    </w:p>
    <w:p w14:paraId="5DC44DBB" w14:textId="77777777" w:rsidR="00F84AD5" w:rsidRPr="00D42316" w:rsidRDefault="00F84AD5">
      <w:pPr>
        <w:ind w:left="2124" w:right="2767" w:firstLine="707"/>
        <w:jc w:val="center"/>
        <w:rPr>
          <w:b/>
        </w:rPr>
      </w:pPr>
    </w:p>
    <w:p w14:paraId="4EE6DE2B" w14:textId="77777777" w:rsidR="00F84AD5" w:rsidRPr="00D42316" w:rsidRDefault="00F84AD5">
      <w:pPr>
        <w:ind w:left="2124" w:right="2767" w:firstLine="707"/>
        <w:jc w:val="center"/>
        <w:rPr>
          <w:b/>
        </w:rPr>
      </w:pPr>
    </w:p>
    <w:p w14:paraId="09E5EC4B" w14:textId="77777777" w:rsidR="00F84AD5" w:rsidRPr="00D42316" w:rsidRDefault="00F84AD5">
      <w:pPr>
        <w:ind w:left="2124" w:right="2767" w:firstLine="707"/>
        <w:jc w:val="center"/>
        <w:rPr>
          <w:b/>
        </w:rPr>
      </w:pPr>
    </w:p>
    <w:p w14:paraId="54A6B676" w14:textId="77777777" w:rsidR="00F84AD5" w:rsidRPr="00D42316" w:rsidRDefault="00F84AD5">
      <w:pPr>
        <w:ind w:left="2124" w:right="2767" w:firstLine="707"/>
        <w:jc w:val="center"/>
        <w:rPr>
          <w:b/>
        </w:rPr>
      </w:pPr>
    </w:p>
    <w:p w14:paraId="1AB2B612" w14:textId="77777777" w:rsidR="00F84AD5" w:rsidRPr="00D42316" w:rsidRDefault="00F84AD5">
      <w:pPr>
        <w:ind w:left="2124" w:right="2767" w:firstLine="707"/>
        <w:jc w:val="center"/>
        <w:rPr>
          <w:b/>
        </w:rPr>
      </w:pPr>
    </w:p>
    <w:p w14:paraId="54FF84EA" w14:textId="77777777" w:rsidR="00F84AD5" w:rsidRPr="00D42316" w:rsidRDefault="00F84AD5">
      <w:pPr>
        <w:ind w:left="2124" w:right="2767" w:firstLine="707"/>
        <w:jc w:val="center"/>
        <w:rPr>
          <w:b/>
        </w:rPr>
      </w:pPr>
    </w:p>
    <w:p w14:paraId="699ADD92" w14:textId="77777777" w:rsidR="00F84AD5" w:rsidRPr="00D42316" w:rsidRDefault="00AC051C">
      <w:pPr>
        <w:ind w:left="2124" w:right="2767" w:firstLine="707"/>
        <w:jc w:val="center"/>
        <w:rPr>
          <w:b/>
        </w:rPr>
      </w:pPr>
      <w:r w:rsidRPr="00D42316">
        <w:rPr>
          <w:b/>
        </w:rPr>
        <w:t>Ankara Bilim Üniversitesi</w:t>
      </w:r>
    </w:p>
    <w:p w14:paraId="75331EB3" w14:textId="77777777" w:rsidR="00F84AD5" w:rsidRPr="00D42316" w:rsidRDefault="00AC051C">
      <w:pPr>
        <w:ind w:left="2124" w:right="2767" w:firstLine="707"/>
        <w:jc w:val="center"/>
        <w:rPr>
          <w:b/>
        </w:rPr>
      </w:pPr>
      <w:r w:rsidRPr="00D42316">
        <w:rPr>
          <w:b/>
        </w:rPr>
        <w:t xml:space="preserve">Ankara Bilim </w:t>
      </w:r>
      <w:proofErr w:type="spellStart"/>
      <w:r w:rsidRPr="00D42316">
        <w:rPr>
          <w:b/>
        </w:rPr>
        <w:t>University</w:t>
      </w:r>
      <w:proofErr w:type="spellEnd"/>
    </w:p>
    <w:p w14:paraId="452DB21D" w14:textId="77777777" w:rsidR="00F84AD5" w:rsidRPr="00D42316" w:rsidRDefault="00F84AD5">
      <w:pPr>
        <w:tabs>
          <w:tab w:val="left" w:pos="1632"/>
        </w:tabs>
        <w:jc w:val="center"/>
        <w:rPr>
          <w:b/>
        </w:rPr>
      </w:pPr>
    </w:p>
    <w:p w14:paraId="0516CA65" w14:textId="77777777" w:rsidR="00F84AD5" w:rsidRPr="00D42316" w:rsidRDefault="00F84AD5">
      <w:pPr>
        <w:tabs>
          <w:tab w:val="left" w:pos="1632"/>
        </w:tabs>
        <w:jc w:val="center"/>
        <w:rPr>
          <w:b/>
        </w:rPr>
      </w:pPr>
    </w:p>
    <w:p w14:paraId="565F3F96" w14:textId="77777777" w:rsidR="00F84AD5" w:rsidRPr="00D42316" w:rsidRDefault="00F84AD5">
      <w:pPr>
        <w:tabs>
          <w:tab w:val="left" w:pos="1632"/>
        </w:tabs>
        <w:jc w:val="center"/>
        <w:rPr>
          <w:b/>
        </w:rPr>
      </w:pPr>
    </w:p>
    <w:p w14:paraId="1F172E7E" w14:textId="77777777" w:rsidR="00F84AD5" w:rsidRPr="00D42316" w:rsidRDefault="00F84AD5">
      <w:pPr>
        <w:tabs>
          <w:tab w:val="left" w:pos="1632"/>
        </w:tabs>
        <w:jc w:val="center"/>
        <w:rPr>
          <w:b/>
        </w:rPr>
      </w:pPr>
    </w:p>
    <w:p w14:paraId="575F58CF" w14:textId="77777777" w:rsidR="00F84AD5" w:rsidRPr="00D42316" w:rsidRDefault="00F84AD5">
      <w:pPr>
        <w:tabs>
          <w:tab w:val="left" w:pos="1632"/>
        </w:tabs>
        <w:jc w:val="center"/>
        <w:rPr>
          <w:b/>
        </w:rPr>
      </w:pPr>
    </w:p>
    <w:p w14:paraId="7FDEF083" w14:textId="77777777" w:rsidR="00F84AD5" w:rsidRPr="00D42316" w:rsidRDefault="00F84AD5">
      <w:pPr>
        <w:tabs>
          <w:tab w:val="left" w:pos="1632"/>
        </w:tabs>
        <w:jc w:val="center"/>
        <w:rPr>
          <w:b/>
        </w:rPr>
      </w:pPr>
    </w:p>
    <w:p w14:paraId="26BDC056" w14:textId="77777777" w:rsidR="00F84AD5" w:rsidRPr="00D42316" w:rsidRDefault="00F84AD5">
      <w:pPr>
        <w:tabs>
          <w:tab w:val="left" w:pos="1632"/>
        </w:tabs>
        <w:jc w:val="center"/>
        <w:rPr>
          <w:b/>
        </w:rPr>
      </w:pPr>
    </w:p>
    <w:p w14:paraId="588868B3" w14:textId="77777777" w:rsidR="00F84AD5" w:rsidRPr="00D42316" w:rsidRDefault="00F84AD5">
      <w:pPr>
        <w:tabs>
          <w:tab w:val="left" w:pos="1632"/>
        </w:tabs>
        <w:jc w:val="center"/>
        <w:rPr>
          <w:b/>
        </w:rPr>
      </w:pPr>
    </w:p>
    <w:p w14:paraId="0425837B" w14:textId="77777777" w:rsidR="00F84AD5" w:rsidRPr="00D42316" w:rsidRDefault="00F84AD5">
      <w:pPr>
        <w:tabs>
          <w:tab w:val="left" w:pos="1632"/>
        </w:tabs>
        <w:jc w:val="center"/>
        <w:rPr>
          <w:b/>
        </w:rPr>
      </w:pPr>
    </w:p>
    <w:p w14:paraId="2E31C11A" w14:textId="77777777" w:rsidR="00F84AD5" w:rsidRPr="00D42316" w:rsidRDefault="00F84AD5">
      <w:pPr>
        <w:tabs>
          <w:tab w:val="left" w:pos="1632"/>
        </w:tabs>
        <w:jc w:val="center"/>
        <w:rPr>
          <w:b/>
        </w:rPr>
      </w:pPr>
    </w:p>
    <w:p w14:paraId="45C9DDDC" w14:textId="77777777" w:rsidR="00F84AD5" w:rsidRPr="00D42316" w:rsidRDefault="00F84AD5">
      <w:pPr>
        <w:tabs>
          <w:tab w:val="left" w:pos="1632"/>
        </w:tabs>
        <w:jc w:val="center"/>
        <w:rPr>
          <w:b/>
        </w:rPr>
      </w:pPr>
    </w:p>
    <w:p w14:paraId="6C510B79" w14:textId="77777777" w:rsidR="00F84AD5" w:rsidRPr="00D42316" w:rsidRDefault="00AC051C">
      <w:pPr>
        <w:tabs>
          <w:tab w:val="left" w:pos="1632"/>
        </w:tabs>
        <w:jc w:val="center"/>
        <w:rPr>
          <w:b/>
        </w:rPr>
      </w:pPr>
      <w:r w:rsidRPr="00D42316">
        <w:rPr>
          <w:b/>
        </w:rPr>
        <w:t xml:space="preserve">22-23 Şubat 2025 / </w:t>
      </w:r>
      <w:proofErr w:type="spellStart"/>
      <w:r w:rsidRPr="00D42316">
        <w:rPr>
          <w:b/>
        </w:rPr>
        <w:t>February</w:t>
      </w:r>
      <w:proofErr w:type="spellEnd"/>
      <w:r w:rsidRPr="00D42316">
        <w:rPr>
          <w:b/>
        </w:rPr>
        <w:t xml:space="preserve"> 22-23, 2025</w:t>
      </w:r>
    </w:p>
    <w:p w14:paraId="7C3216E4" w14:textId="77777777" w:rsidR="00F84AD5" w:rsidRPr="00D42316" w:rsidRDefault="00F84AD5">
      <w:pPr>
        <w:tabs>
          <w:tab w:val="left" w:pos="1632"/>
        </w:tabs>
        <w:jc w:val="center"/>
      </w:pPr>
    </w:p>
    <w:p w14:paraId="28A52570" w14:textId="77777777" w:rsidR="00F84AD5" w:rsidRPr="00D42316" w:rsidRDefault="00F84AD5">
      <w:pPr>
        <w:tabs>
          <w:tab w:val="left" w:pos="1632"/>
        </w:tabs>
        <w:jc w:val="center"/>
      </w:pPr>
    </w:p>
    <w:p w14:paraId="6299EFDC" w14:textId="77777777" w:rsidR="00F84AD5" w:rsidRPr="00D42316" w:rsidRDefault="00F84AD5">
      <w:pPr>
        <w:tabs>
          <w:tab w:val="left" w:pos="1632"/>
        </w:tabs>
        <w:jc w:val="center"/>
      </w:pPr>
    </w:p>
    <w:p w14:paraId="4693B146" w14:textId="77777777" w:rsidR="00F84AD5" w:rsidRPr="00D42316" w:rsidRDefault="00F84AD5">
      <w:pPr>
        <w:tabs>
          <w:tab w:val="left" w:pos="1632"/>
        </w:tabs>
        <w:jc w:val="center"/>
      </w:pPr>
    </w:p>
    <w:p w14:paraId="2B04A8EA" w14:textId="3A002D18" w:rsidR="00F84AD5" w:rsidRPr="00D42316" w:rsidRDefault="00F84AD5">
      <w:pPr>
        <w:tabs>
          <w:tab w:val="left" w:pos="1632"/>
        </w:tabs>
        <w:jc w:val="center"/>
      </w:pPr>
    </w:p>
    <w:p w14:paraId="6CD0F4B8" w14:textId="77777777" w:rsidR="00F84AD5" w:rsidRPr="00D42316" w:rsidRDefault="00F84AD5">
      <w:pPr>
        <w:tabs>
          <w:tab w:val="left" w:pos="1632"/>
        </w:tabs>
        <w:jc w:val="center"/>
      </w:pPr>
    </w:p>
    <w:p w14:paraId="27491D46" w14:textId="77777777" w:rsidR="00F84AD5" w:rsidRPr="00D42316" w:rsidRDefault="00F84AD5">
      <w:pPr>
        <w:tabs>
          <w:tab w:val="left" w:pos="1632"/>
        </w:tabs>
        <w:jc w:val="center"/>
      </w:pPr>
    </w:p>
    <w:p w14:paraId="3AF4C598" w14:textId="310B8DCA" w:rsidR="00F84AD5" w:rsidRPr="00D42316" w:rsidRDefault="00F84AD5">
      <w:pPr>
        <w:tabs>
          <w:tab w:val="left" w:pos="1632"/>
        </w:tabs>
        <w:jc w:val="center"/>
      </w:pPr>
    </w:p>
    <w:p w14:paraId="5B4D36C7" w14:textId="5556EB15" w:rsidR="00F84AD5" w:rsidRPr="00D42316" w:rsidRDefault="00F84AD5">
      <w:pPr>
        <w:tabs>
          <w:tab w:val="left" w:pos="1632"/>
        </w:tabs>
        <w:jc w:val="center"/>
      </w:pPr>
    </w:p>
    <w:p w14:paraId="3C3B52F9" w14:textId="14FB9F60" w:rsidR="00F84AD5" w:rsidRPr="00D42316" w:rsidRDefault="00F84AD5">
      <w:pPr>
        <w:tabs>
          <w:tab w:val="left" w:pos="1632"/>
        </w:tabs>
        <w:jc w:val="center"/>
      </w:pPr>
    </w:p>
    <w:p w14:paraId="4AEAFCC3" w14:textId="7518292F" w:rsidR="00F84AD5" w:rsidRPr="00D42316" w:rsidRDefault="00F84AD5">
      <w:pPr>
        <w:tabs>
          <w:tab w:val="left" w:pos="1632"/>
        </w:tabs>
        <w:jc w:val="center"/>
      </w:pPr>
    </w:p>
    <w:p w14:paraId="33EFAAAB" w14:textId="1943C9D7" w:rsidR="00F84AD5" w:rsidRPr="00D42316" w:rsidRDefault="00F84AD5">
      <w:pPr>
        <w:tabs>
          <w:tab w:val="left" w:pos="1632"/>
        </w:tabs>
        <w:jc w:val="center"/>
      </w:pPr>
    </w:p>
    <w:p w14:paraId="0C733632" w14:textId="77777777" w:rsidR="00F84AD5" w:rsidRPr="00D42316" w:rsidRDefault="00F84AD5">
      <w:pPr>
        <w:tabs>
          <w:tab w:val="left" w:pos="1632"/>
        </w:tabs>
        <w:jc w:val="center"/>
      </w:pPr>
    </w:p>
    <w:p w14:paraId="3AF2C7FF" w14:textId="0D5EC10B" w:rsidR="00F84AD5" w:rsidRPr="00D42316" w:rsidRDefault="00F84AD5">
      <w:pPr>
        <w:tabs>
          <w:tab w:val="left" w:pos="1632"/>
        </w:tabs>
        <w:jc w:val="center"/>
      </w:pPr>
    </w:p>
    <w:p w14:paraId="0EEF6572" w14:textId="48A80CF4" w:rsidR="00F84AD5" w:rsidRPr="00D42316" w:rsidRDefault="00AC051C" w:rsidP="004F3C98">
      <w:pPr>
        <w:tabs>
          <w:tab w:val="center" w:pos="3576"/>
          <w:tab w:val="left" w:pos="4280"/>
        </w:tabs>
        <w:spacing w:before="43"/>
        <w:ind w:left="2160" w:right="1920"/>
        <w:jc w:val="center"/>
        <w:rPr>
          <w:b/>
        </w:rPr>
      </w:pPr>
      <w:r w:rsidRPr="00D42316">
        <w:rPr>
          <w:b/>
        </w:rPr>
        <w:t>ISBN:</w:t>
      </w:r>
      <w:r w:rsidR="004F3C98">
        <w:t xml:space="preserve"> </w:t>
      </w:r>
      <w:r w:rsidR="004F3C98" w:rsidRPr="004F3C98">
        <w:rPr>
          <w:b/>
        </w:rPr>
        <w:t>978-605-71213-8-7</w:t>
      </w:r>
    </w:p>
    <w:p w14:paraId="111377CC" w14:textId="6E6D07EE" w:rsidR="00F84AD5" w:rsidRPr="00D42316" w:rsidRDefault="00F84AD5">
      <w:pPr>
        <w:tabs>
          <w:tab w:val="left" w:pos="1632"/>
        </w:tabs>
        <w:jc w:val="center"/>
      </w:pPr>
    </w:p>
    <w:p w14:paraId="32E7751F" w14:textId="77777777" w:rsidR="00F84AD5" w:rsidRPr="00D42316" w:rsidRDefault="00F84AD5">
      <w:pPr>
        <w:tabs>
          <w:tab w:val="left" w:pos="1632"/>
        </w:tabs>
        <w:jc w:val="center"/>
      </w:pPr>
    </w:p>
    <w:p w14:paraId="7484FFF3" w14:textId="567C0329" w:rsidR="00F84AD5" w:rsidRPr="00D42316" w:rsidRDefault="00F84AD5">
      <w:pPr>
        <w:tabs>
          <w:tab w:val="left" w:pos="1632"/>
        </w:tabs>
        <w:jc w:val="center"/>
      </w:pPr>
    </w:p>
    <w:p w14:paraId="2D5BF761" w14:textId="2CA06A11" w:rsidR="00F84AD5" w:rsidRPr="00D42316" w:rsidRDefault="00F84AD5">
      <w:pPr>
        <w:tabs>
          <w:tab w:val="left" w:pos="1632"/>
        </w:tabs>
        <w:jc w:val="center"/>
      </w:pPr>
    </w:p>
    <w:p w14:paraId="3C2DFF82" w14:textId="79272F6C" w:rsidR="00F84AD5" w:rsidRPr="00D42316" w:rsidRDefault="00F84AD5">
      <w:pPr>
        <w:tabs>
          <w:tab w:val="left" w:pos="1632"/>
          <w:tab w:val="left" w:pos="3940"/>
          <w:tab w:val="center" w:pos="4536"/>
        </w:tabs>
      </w:pPr>
    </w:p>
    <w:p w14:paraId="0D7639AA" w14:textId="18096C11" w:rsidR="00FF3CD1" w:rsidRPr="00D42316" w:rsidRDefault="00312740" w:rsidP="002C0B22">
      <w:pPr>
        <w:tabs>
          <w:tab w:val="left" w:pos="5256"/>
        </w:tabs>
      </w:pPr>
      <w:r w:rsidRPr="00D42316">
        <w:rPr>
          <w:noProof/>
        </w:rPr>
        <w:lastRenderedPageBreak/>
        <mc:AlternateContent>
          <mc:Choice Requires="wps">
            <w:drawing>
              <wp:anchor distT="0" distB="0" distL="0" distR="0" simplePos="0" relativeHeight="251660288" behindDoc="1" locked="0" layoutInCell="1" hidden="0" allowOverlap="1" wp14:anchorId="3C838D2F" wp14:editId="7505B738">
                <wp:simplePos x="0" y="0"/>
                <wp:positionH relativeFrom="page">
                  <wp:posOffset>0</wp:posOffset>
                </wp:positionH>
                <wp:positionV relativeFrom="paragraph">
                  <wp:posOffset>-1064944</wp:posOffset>
                </wp:positionV>
                <wp:extent cx="7840980" cy="11156852"/>
                <wp:effectExtent l="0" t="0" r="0" b="0"/>
                <wp:wrapNone/>
                <wp:docPr id="1860148525" name="Serbest Form: Şekil 1860148525"/>
                <wp:cNvGraphicFramePr/>
                <a:graphic xmlns:a="http://schemas.openxmlformats.org/drawingml/2006/main">
                  <a:graphicData uri="http://schemas.microsoft.com/office/word/2010/wordprocessingShape">
                    <wps:wsp>
                      <wps:cNvSpPr/>
                      <wps:spPr>
                        <a:xfrm>
                          <a:off x="0" y="0"/>
                          <a:ext cx="7840980" cy="11156852"/>
                        </a:xfrm>
                        <a:custGeom>
                          <a:avLst/>
                          <a:gdLst/>
                          <a:ahLst/>
                          <a:cxnLst/>
                          <a:rect l="l" t="t" r="r" b="b"/>
                          <a:pathLst>
                            <a:path w="9586" h="11794" extrusionOk="0">
                              <a:moveTo>
                                <a:pt x="9585" y="10903"/>
                              </a:moveTo>
                              <a:lnTo>
                                <a:pt x="0" y="10903"/>
                              </a:lnTo>
                              <a:lnTo>
                                <a:pt x="0" y="11146"/>
                              </a:lnTo>
                              <a:lnTo>
                                <a:pt x="0" y="11388"/>
                              </a:lnTo>
                              <a:lnTo>
                                <a:pt x="0" y="11631"/>
                              </a:lnTo>
                              <a:lnTo>
                                <a:pt x="0" y="11794"/>
                              </a:lnTo>
                              <a:lnTo>
                                <a:pt x="9585" y="11794"/>
                              </a:lnTo>
                              <a:lnTo>
                                <a:pt x="9585" y="11631"/>
                              </a:lnTo>
                              <a:lnTo>
                                <a:pt x="9585" y="11388"/>
                              </a:lnTo>
                              <a:lnTo>
                                <a:pt x="9585" y="11146"/>
                              </a:lnTo>
                              <a:lnTo>
                                <a:pt x="9585" y="10903"/>
                              </a:lnTo>
                              <a:close/>
                              <a:moveTo>
                                <a:pt x="9585" y="3615"/>
                              </a:moveTo>
                              <a:lnTo>
                                <a:pt x="0" y="3615"/>
                              </a:lnTo>
                              <a:lnTo>
                                <a:pt x="0" y="3861"/>
                              </a:lnTo>
                              <a:lnTo>
                                <a:pt x="0" y="4103"/>
                              </a:lnTo>
                              <a:lnTo>
                                <a:pt x="0" y="4346"/>
                              </a:lnTo>
                              <a:lnTo>
                                <a:pt x="0" y="4588"/>
                              </a:lnTo>
                              <a:lnTo>
                                <a:pt x="0" y="4830"/>
                              </a:lnTo>
                              <a:lnTo>
                                <a:pt x="0" y="5073"/>
                              </a:lnTo>
                              <a:lnTo>
                                <a:pt x="0" y="5318"/>
                              </a:lnTo>
                              <a:lnTo>
                                <a:pt x="0" y="5560"/>
                              </a:lnTo>
                              <a:lnTo>
                                <a:pt x="0" y="5802"/>
                              </a:lnTo>
                              <a:lnTo>
                                <a:pt x="0" y="6045"/>
                              </a:lnTo>
                              <a:lnTo>
                                <a:pt x="0" y="6287"/>
                              </a:lnTo>
                              <a:lnTo>
                                <a:pt x="0" y="6532"/>
                              </a:lnTo>
                              <a:lnTo>
                                <a:pt x="0" y="6774"/>
                              </a:lnTo>
                              <a:lnTo>
                                <a:pt x="0" y="7017"/>
                              </a:lnTo>
                              <a:lnTo>
                                <a:pt x="0" y="7259"/>
                              </a:lnTo>
                              <a:lnTo>
                                <a:pt x="0" y="7502"/>
                              </a:lnTo>
                              <a:lnTo>
                                <a:pt x="0" y="7744"/>
                              </a:lnTo>
                              <a:lnTo>
                                <a:pt x="0" y="7989"/>
                              </a:lnTo>
                              <a:lnTo>
                                <a:pt x="0" y="8232"/>
                              </a:lnTo>
                              <a:lnTo>
                                <a:pt x="0" y="8474"/>
                              </a:lnTo>
                              <a:lnTo>
                                <a:pt x="0" y="8716"/>
                              </a:lnTo>
                              <a:lnTo>
                                <a:pt x="0" y="8959"/>
                              </a:lnTo>
                              <a:lnTo>
                                <a:pt x="0" y="9204"/>
                              </a:lnTo>
                              <a:lnTo>
                                <a:pt x="0" y="9446"/>
                              </a:lnTo>
                              <a:lnTo>
                                <a:pt x="0" y="9688"/>
                              </a:lnTo>
                              <a:lnTo>
                                <a:pt x="0" y="9931"/>
                              </a:lnTo>
                              <a:lnTo>
                                <a:pt x="0" y="10173"/>
                              </a:lnTo>
                              <a:lnTo>
                                <a:pt x="0" y="10418"/>
                              </a:lnTo>
                              <a:lnTo>
                                <a:pt x="0" y="10660"/>
                              </a:lnTo>
                              <a:lnTo>
                                <a:pt x="0" y="10903"/>
                              </a:lnTo>
                              <a:lnTo>
                                <a:pt x="9585" y="10903"/>
                              </a:lnTo>
                              <a:lnTo>
                                <a:pt x="9585" y="10660"/>
                              </a:lnTo>
                              <a:lnTo>
                                <a:pt x="9585" y="10418"/>
                              </a:lnTo>
                              <a:lnTo>
                                <a:pt x="9585" y="10173"/>
                              </a:lnTo>
                              <a:lnTo>
                                <a:pt x="9585" y="9931"/>
                              </a:lnTo>
                              <a:lnTo>
                                <a:pt x="9585" y="9688"/>
                              </a:lnTo>
                              <a:lnTo>
                                <a:pt x="9585" y="9446"/>
                              </a:lnTo>
                              <a:lnTo>
                                <a:pt x="9585" y="9204"/>
                              </a:lnTo>
                              <a:lnTo>
                                <a:pt x="9585" y="8959"/>
                              </a:lnTo>
                              <a:lnTo>
                                <a:pt x="9585" y="8716"/>
                              </a:lnTo>
                              <a:lnTo>
                                <a:pt x="9585" y="8474"/>
                              </a:lnTo>
                              <a:lnTo>
                                <a:pt x="9585" y="8232"/>
                              </a:lnTo>
                              <a:lnTo>
                                <a:pt x="9585" y="7989"/>
                              </a:lnTo>
                              <a:lnTo>
                                <a:pt x="9585" y="7744"/>
                              </a:lnTo>
                              <a:lnTo>
                                <a:pt x="9585" y="7502"/>
                              </a:lnTo>
                              <a:lnTo>
                                <a:pt x="9585" y="7259"/>
                              </a:lnTo>
                              <a:lnTo>
                                <a:pt x="9585" y="7017"/>
                              </a:lnTo>
                              <a:lnTo>
                                <a:pt x="9585" y="6774"/>
                              </a:lnTo>
                              <a:lnTo>
                                <a:pt x="9585" y="6532"/>
                              </a:lnTo>
                              <a:lnTo>
                                <a:pt x="9585" y="6287"/>
                              </a:lnTo>
                              <a:lnTo>
                                <a:pt x="9585" y="6045"/>
                              </a:lnTo>
                              <a:lnTo>
                                <a:pt x="9585" y="5802"/>
                              </a:lnTo>
                              <a:lnTo>
                                <a:pt x="9585" y="5560"/>
                              </a:lnTo>
                              <a:lnTo>
                                <a:pt x="9585" y="5318"/>
                              </a:lnTo>
                              <a:lnTo>
                                <a:pt x="9585" y="5073"/>
                              </a:lnTo>
                              <a:lnTo>
                                <a:pt x="9585" y="4830"/>
                              </a:lnTo>
                              <a:lnTo>
                                <a:pt x="9585" y="4588"/>
                              </a:lnTo>
                              <a:lnTo>
                                <a:pt x="9585" y="4346"/>
                              </a:lnTo>
                              <a:lnTo>
                                <a:pt x="9585" y="4103"/>
                              </a:lnTo>
                              <a:lnTo>
                                <a:pt x="9585" y="3861"/>
                              </a:lnTo>
                              <a:lnTo>
                                <a:pt x="9585" y="3615"/>
                              </a:lnTo>
                              <a:close/>
                              <a:moveTo>
                                <a:pt x="9585" y="0"/>
                              </a:moveTo>
                              <a:lnTo>
                                <a:pt x="0" y="0"/>
                              </a:lnTo>
                              <a:lnTo>
                                <a:pt x="0" y="325"/>
                              </a:lnTo>
                              <a:lnTo>
                                <a:pt x="0" y="649"/>
                              </a:lnTo>
                              <a:lnTo>
                                <a:pt x="0" y="918"/>
                              </a:lnTo>
                              <a:lnTo>
                                <a:pt x="0" y="1189"/>
                              </a:lnTo>
                              <a:lnTo>
                                <a:pt x="0" y="1431"/>
                              </a:lnTo>
                              <a:lnTo>
                                <a:pt x="0" y="1674"/>
                              </a:lnTo>
                              <a:lnTo>
                                <a:pt x="0" y="1916"/>
                              </a:lnTo>
                              <a:lnTo>
                                <a:pt x="0" y="2159"/>
                              </a:lnTo>
                              <a:lnTo>
                                <a:pt x="0" y="2401"/>
                              </a:lnTo>
                              <a:lnTo>
                                <a:pt x="0" y="2646"/>
                              </a:lnTo>
                              <a:lnTo>
                                <a:pt x="0" y="2888"/>
                              </a:lnTo>
                              <a:lnTo>
                                <a:pt x="0" y="3131"/>
                              </a:lnTo>
                              <a:lnTo>
                                <a:pt x="0" y="3373"/>
                              </a:lnTo>
                              <a:lnTo>
                                <a:pt x="0" y="3615"/>
                              </a:lnTo>
                              <a:lnTo>
                                <a:pt x="9585" y="3615"/>
                              </a:lnTo>
                              <a:lnTo>
                                <a:pt x="9585" y="3373"/>
                              </a:lnTo>
                              <a:lnTo>
                                <a:pt x="9585" y="3131"/>
                              </a:lnTo>
                              <a:lnTo>
                                <a:pt x="9585" y="2888"/>
                              </a:lnTo>
                              <a:lnTo>
                                <a:pt x="9585" y="2646"/>
                              </a:lnTo>
                              <a:lnTo>
                                <a:pt x="9585" y="2401"/>
                              </a:lnTo>
                              <a:lnTo>
                                <a:pt x="9585" y="2159"/>
                              </a:lnTo>
                              <a:lnTo>
                                <a:pt x="9585" y="1916"/>
                              </a:lnTo>
                              <a:lnTo>
                                <a:pt x="9585" y="1674"/>
                              </a:lnTo>
                              <a:lnTo>
                                <a:pt x="9585" y="1431"/>
                              </a:lnTo>
                              <a:lnTo>
                                <a:pt x="9585" y="1189"/>
                              </a:lnTo>
                              <a:lnTo>
                                <a:pt x="9585" y="918"/>
                              </a:lnTo>
                              <a:lnTo>
                                <a:pt x="9585" y="649"/>
                              </a:lnTo>
                              <a:lnTo>
                                <a:pt x="9585" y="325"/>
                              </a:lnTo>
                              <a:lnTo>
                                <a:pt x="9585" y="0"/>
                              </a:lnTo>
                              <a:close/>
                            </a:path>
                          </a:pathLst>
                        </a:custGeom>
                        <a:solidFill>
                          <a:srgbClr val="F1F1F1"/>
                        </a:solidFill>
                        <a:ln>
                          <a:noFill/>
                        </a:ln>
                      </wps:spPr>
                      <wps:txbx>
                        <w:txbxContent>
                          <w:p w14:paraId="79CA6F5E" w14:textId="77777777" w:rsidR="00312740" w:rsidRPr="002C0B22" w:rsidRDefault="00312740" w:rsidP="00312740">
                            <w:pPr>
                              <w:jc w:val="center"/>
                              <w:textDirection w:val="btLr"/>
                              <w:rPr>
                                <w:sz w:val="22"/>
                                <w:szCs w:val="22"/>
                              </w:rPr>
                            </w:pPr>
                          </w:p>
                          <w:p w14:paraId="661F6D9F"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Dördüncü Uluslararası Ankara İnsan ve Toplum Bilimleri Kongresi</w:t>
                            </w:r>
                          </w:p>
                          <w:p w14:paraId="5EBD4BFE"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4th International Ankara Humanities and Social Sciences Congress</w:t>
                            </w:r>
                          </w:p>
                          <w:p w14:paraId="1F194A4F"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color w:val="000000"/>
                                <w:sz w:val="16"/>
                                <w:szCs w:val="22"/>
                              </w:rPr>
                              <w:t>22-23 Şubat 2025 / February 22-23, 2025</w:t>
                            </w:r>
                          </w:p>
                          <w:p w14:paraId="284475EB" w14:textId="77777777" w:rsidR="00312740" w:rsidRPr="002C0B22" w:rsidRDefault="00312740" w:rsidP="00312740">
                            <w:pPr>
                              <w:spacing w:line="268" w:lineRule="auto"/>
                              <w:ind w:right="1925"/>
                              <w:jc w:val="center"/>
                              <w:textDirection w:val="btLr"/>
                              <w:rPr>
                                <w:sz w:val="22"/>
                                <w:szCs w:val="22"/>
                              </w:rPr>
                            </w:pPr>
                            <w:r w:rsidRPr="002C0B22">
                              <w:rPr>
                                <w:rFonts w:ascii="Palatino Linotype" w:eastAsia="Palatino Linotype" w:hAnsi="Palatino Linotype" w:cs="Palatino Linotype"/>
                                <w:color w:val="000000"/>
                                <w:sz w:val="16"/>
                                <w:szCs w:val="22"/>
                              </w:rPr>
                              <w:t xml:space="preserve">                         Bildiri kitabında yayınlanan yazıların sorumluluğu yazarlarına aittir.</w:t>
                            </w:r>
                          </w:p>
                          <w:p w14:paraId="656C7B35"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Kongre Düzenleme Kurulu</w:t>
                            </w:r>
                          </w:p>
                          <w:p w14:paraId="0DBF7AF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Prof. Dr. Cem Harun MEYDAN, Ankara Bilim Üniversitesi, Türkiye</w:t>
                            </w:r>
                          </w:p>
                          <w:p w14:paraId="05DE3AD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Prof. Dr. Aysu KES ERKUL, Ankara Bilim Üniversitesi, Türkiye</w:t>
                            </w:r>
                          </w:p>
                          <w:p w14:paraId="3984186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Başar BAYSAL, Ankara Bilim Üniversitesi, Türkiye</w:t>
                            </w:r>
                          </w:p>
                          <w:p w14:paraId="1BA92081"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Şebnem DÜZGÜN, Ankara Bilim Üniversitesi, Türkiye</w:t>
                            </w:r>
                          </w:p>
                          <w:p w14:paraId="4250BCB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Hakan KÖNİ, Ankara Bilim Üniversitesi, Türkiye</w:t>
                            </w:r>
                          </w:p>
                          <w:p w14:paraId="2E64C01A"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Aziz BALCI, Ankara Bilim Üniversitesi, Türkiye</w:t>
                            </w:r>
                          </w:p>
                          <w:p w14:paraId="6A2A7671"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Pelin KARACA KALKAN, Ankara Bilim Üniversitesi, Türkiye</w:t>
                            </w:r>
                          </w:p>
                          <w:p w14:paraId="7A0EB473"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Ayşe SAKİ DEMİREL, Ankara Bilim Üniversitesi, Türkiye</w:t>
                            </w:r>
                          </w:p>
                          <w:p w14:paraId="212D931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Irmak UZUN BAYAR, Ankara Bilim Üniversitesi, Türkiye</w:t>
                            </w:r>
                          </w:p>
                          <w:p w14:paraId="6C70C82C"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Adil AKKUŞ, Ankara Bilim Üniversitesi, Türkiye</w:t>
                            </w:r>
                          </w:p>
                          <w:p w14:paraId="3DBC32A0"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Neslihan KÜNYE POLAT, Ankara Bilim Üniversitesi, Türkiye</w:t>
                            </w:r>
                          </w:p>
                          <w:p w14:paraId="77EEFAAA"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Sema YURDUŞEN, Ankara Bilim Üniversitesi, Türkiye</w:t>
                            </w:r>
                          </w:p>
                          <w:p w14:paraId="2613441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Ayşegül SAYAN KARAHAN, Ankara Bilim Üniversitesi, Türkiye</w:t>
                            </w:r>
                          </w:p>
                          <w:p w14:paraId="4C281BC5"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Hatice ÇEVİK, Ankara Bilim Üniversitesi, Türkiye</w:t>
                            </w:r>
                          </w:p>
                          <w:p w14:paraId="39BE203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Mustafa Çağrı AYKAÇ, Ankara Bilim Üniversitesi, Türkiye</w:t>
                            </w:r>
                          </w:p>
                          <w:p w14:paraId="4DE7D5E5"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Mustafa Tarık KILIÇ, Ankara Bilim Üniversitesi, Türkiye</w:t>
                            </w:r>
                          </w:p>
                          <w:p w14:paraId="52059732"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Bahar KARDAŞ, Ankara Bilim Üniversitesi, Türkiye</w:t>
                            </w:r>
                          </w:p>
                          <w:p w14:paraId="3B862D4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Yelda YENEL, Ankara Bilim Üniversitesi, Türkiye</w:t>
                            </w:r>
                          </w:p>
                          <w:p w14:paraId="258508DE" w14:textId="77777777" w:rsidR="00312740"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İlayda GÖZEL, Ankara Bilim Üniversitesi, Türkiye</w:t>
                            </w:r>
                          </w:p>
                          <w:p w14:paraId="7BB1E5F7" w14:textId="027F6CA1" w:rsidR="00312740" w:rsidRPr="003854BE" w:rsidRDefault="003854BE" w:rsidP="003854BE">
                            <w:pPr>
                              <w:jc w:val="center"/>
                              <w:textDirection w:val="btLr"/>
                              <w:rPr>
                                <w:rFonts w:ascii="Palatino Linotype" w:eastAsia="Palatino Linotype" w:hAnsi="Palatino Linotype"/>
                                <w:color w:val="000000"/>
                                <w:sz w:val="16"/>
                                <w:szCs w:val="16"/>
                              </w:rPr>
                            </w:pPr>
                            <w:r>
                              <w:rPr>
                                <w:rFonts w:ascii="Palatino Linotype" w:eastAsia="Palatino Linotype" w:hAnsi="Palatino Linotype"/>
                                <w:color w:val="000000"/>
                                <w:sz w:val="16"/>
                                <w:szCs w:val="16"/>
                              </w:rPr>
                              <w:t>Arş. Gör. Rumeysa Tuğçe ARMAN, Ankara Bilim Üniversitesi, Türkiye</w:t>
                            </w:r>
                          </w:p>
                          <w:p w14:paraId="72D03335" w14:textId="77777777" w:rsidR="00312740" w:rsidRDefault="00312740" w:rsidP="00312740">
                            <w:pPr>
                              <w:tabs>
                                <w:tab w:val="left" w:pos="1632"/>
                                <w:tab w:val="left" w:pos="6922"/>
                              </w:tabs>
                              <w:rPr>
                                <w:rFonts w:ascii="Palatino Linotype" w:hAnsi="Palatino Linotype"/>
                                <w:sz w:val="16"/>
                                <w:szCs w:val="16"/>
                              </w:rPr>
                            </w:pPr>
                          </w:p>
                          <w:p w14:paraId="38496979" w14:textId="77777777" w:rsidR="00312740" w:rsidRDefault="00312740" w:rsidP="00312740">
                            <w:pPr>
                              <w:tabs>
                                <w:tab w:val="left" w:pos="1632"/>
                                <w:tab w:val="left" w:pos="6922"/>
                              </w:tabs>
                              <w:jc w:val="center"/>
                              <w:rPr>
                                <w:rFonts w:ascii="Palatino Linotype" w:hAnsi="Palatino Linotype"/>
                                <w:b/>
                                <w:bCs/>
                                <w:sz w:val="18"/>
                                <w:szCs w:val="18"/>
                              </w:rPr>
                            </w:pPr>
                            <w:r w:rsidRPr="00A32303">
                              <w:rPr>
                                <w:rFonts w:ascii="Palatino Linotype" w:hAnsi="Palatino Linotype"/>
                                <w:b/>
                                <w:bCs/>
                                <w:sz w:val="18"/>
                                <w:szCs w:val="18"/>
                              </w:rPr>
                              <w:t>Bilim Kurulu</w:t>
                            </w:r>
                          </w:p>
                          <w:p w14:paraId="73600C1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Cem Harun MEYDAN, Ankara Bilim Üniversitesi, Türkiye</w:t>
                            </w:r>
                          </w:p>
                          <w:p w14:paraId="46BDA77A"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Aysu KES ERKUL, Ankara Bilim Üniversitesi, Türkiye</w:t>
                            </w:r>
                            <w:r w:rsidRPr="001E0C69">
                              <w:rPr>
                                <w:rFonts w:ascii="Palatino Linotype" w:hAnsi="Palatino Linotype"/>
                                <w:sz w:val="16"/>
                                <w:szCs w:val="16"/>
                              </w:rPr>
                              <w:t xml:space="preserve"> </w:t>
                            </w:r>
                          </w:p>
                          <w:p w14:paraId="74CEBF5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Şebnem DÜZGÜN, Ankara Bilim Üniversitesi, Türkiye</w:t>
                            </w:r>
                          </w:p>
                          <w:p w14:paraId="3A90875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Hakan KÖNİ, Ankara Bilim Üniversitesi, Türkiye</w:t>
                            </w:r>
                          </w:p>
                          <w:p w14:paraId="55A5CB55"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Başar BAYSAL, Ankara Bilim Üniversitesi, Türkiye</w:t>
                            </w:r>
                          </w:p>
                          <w:p w14:paraId="54765FD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Sema YURDUŞEN, Ankara Bilim Üniversitesi, Türkiye</w:t>
                            </w:r>
                          </w:p>
                          <w:p w14:paraId="5C47540E"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Pelin KARACA KALKAN, Ankara Bilim Üniversitesi, Türkiye</w:t>
                            </w:r>
                          </w:p>
                          <w:p w14:paraId="3770899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Ayşe SAKİ DEMİREL, Ankara Bilim Üniversitesi, Türkiye</w:t>
                            </w:r>
                          </w:p>
                          <w:p w14:paraId="735AF391"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Aziz BALCI, Ankara Bilim Üniversitesi, Türkiye</w:t>
                            </w:r>
                          </w:p>
                          <w:p w14:paraId="033EE4BC"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Irmak UZUN BAYAR, Ankara Bilim Üniversitesi, Türkiye</w:t>
                            </w:r>
                          </w:p>
                          <w:p w14:paraId="1ED9B8D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Adil AKKUŞ, Ankara Bilim Üniversitesi, Türkiye</w:t>
                            </w:r>
                          </w:p>
                          <w:p w14:paraId="2195FBD0"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Neslihan KÜNYE POLAT, Ankara Bilim Üniversitesi, Türkiye</w:t>
                            </w:r>
                          </w:p>
                          <w:p w14:paraId="11EA18E8"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Ayşegül SAYAN KARAHAN, Ankara Bilim Üniversitesi, Türkiye</w:t>
                            </w:r>
                          </w:p>
                          <w:p w14:paraId="5CCA348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Nurettin PARILTI, Ankara Hacı Bayram Veli Üniversitesi, Türkiye</w:t>
                            </w:r>
                          </w:p>
                          <w:p w14:paraId="544EEED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Gülsen ERDEN, Beykoz Üniversitesi, Türkiye</w:t>
                            </w:r>
                          </w:p>
                          <w:p w14:paraId="732EBF3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Hatice DEMİRBAŞ, Ankara Hacı Bayram Veli Üniversitesi, Türkiye</w:t>
                            </w:r>
                          </w:p>
                          <w:p w14:paraId="6369C75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Örsan Ö. AKBULUT, Hacettepe Üniversitesi, Türkiye</w:t>
                            </w:r>
                          </w:p>
                          <w:p w14:paraId="6C1231B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Emre Şenol DURAK, Abant İzzet Baysal Üniversitesi, Türkiye</w:t>
                            </w:r>
                          </w:p>
                          <w:p w14:paraId="11095D9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Belgin AYDINTAN, Ankara Hacı Bayram Veli Üniversitesi, Türkiye</w:t>
                            </w:r>
                          </w:p>
                          <w:p w14:paraId="2F595C3A"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Fatma Zehra TAN, Karabük Üniversitesi, Türkiye</w:t>
                            </w:r>
                          </w:p>
                          <w:p w14:paraId="1233F12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Aslı Özlem TARAKCIOĞLU, Ankara Hacı Bayram Veli Üniversitesi, Türkiye</w:t>
                            </w:r>
                          </w:p>
                          <w:p w14:paraId="6DB6C446"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Sedat Cem KARADELİ, Ufuk Üniversitesi, Türkiye</w:t>
                            </w:r>
                          </w:p>
                          <w:p w14:paraId="1794953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Tarık TUNCAY, Hacettepe Üniversitesi, Türkiye</w:t>
                            </w:r>
                          </w:p>
                          <w:p w14:paraId="3A2DF68A"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Emre Şenol DURAK, Abant İzzet Baysal Üniversitesi, Türkiye</w:t>
                            </w:r>
                          </w:p>
                          <w:p w14:paraId="1057DA83"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Sabahattin ÇETİN, Bartın Üniversitesi, Türkiye</w:t>
                            </w:r>
                          </w:p>
                          <w:p w14:paraId="156686EB"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 xml:space="preserve">Doç. Dr. Írge </w:t>
                            </w:r>
                            <w:r w:rsidRPr="00F369FB">
                              <w:rPr>
                                <w:rFonts w:ascii="Palatino Linotype" w:hAnsi="Palatino Linotype"/>
                                <w:sz w:val="16"/>
                                <w:szCs w:val="16"/>
                              </w:rPr>
                              <w:t>ŞENER, Çankaya</w:t>
                            </w:r>
                            <w:r w:rsidRPr="00EE3EEF">
                              <w:rPr>
                                <w:rFonts w:ascii="Palatino Linotype" w:hAnsi="Palatino Linotype"/>
                                <w:sz w:val="16"/>
                                <w:szCs w:val="16"/>
                              </w:rPr>
                              <w:t xml:space="preserve"> Üniversitesi, Türkiye</w:t>
                            </w:r>
                          </w:p>
                          <w:p w14:paraId="1952A91C"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Mustafa GÜNEŞ, Gümüşhane Üniversitesi, Türkiye</w:t>
                            </w:r>
                          </w:p>
                          <w:p w14:paraId="132E5271"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Ioannis Karras, Ioanian University, Greece</w:t>
                            </w:r>
                          </w:p>
                          <w:p w14:paraId="731D8686"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Nurhidayy ROSLİ, UCSI University, Malaysia</w:t>
                            </w:r>
                          </w:p>
                          <w:p w14:paraId="4EBEBBD7"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Saifudheen KUNJU, University of Madras, India</w:t>
                            </w:r>
                          </w:p>
                          <w:p w14:paraId="0638F60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Mathew H. CHARLES, Universidad Del Rosario, Colombia</w:t>
                            </w:r>
                          </w:p>
                          <w:p w14:paraId="52426877" w14:textId="77777777" w:rsidR="00312740" w:rsidRPr="00F369FB"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Marija Mijušković, University of Montenegro, Montenegro</w:t>
                            </w:r>
                          </w:p>
                          <w:p w14:paraId="58AE90D8" w14:textId="77777777" w:rsidR="00312740" w:rsidRDefault="00312740" w:rsidP="00312740">
                            <w:pPr>
                              <w:spacing w:before="12"/>
                              <w:jc w:val="center"/>
                              <w:textDirection w:val="btLr"/>
                              <w:rPr>
                                <w:rFonts w:ascii="Palatino Linotype" w:hAnsi="Palatino Linotype"/>
                                <w:sz w:val="16"/>
                                <w:szCs w:val="16"/>
                              </w:rPr>
                            </w:pPr>
                            <w:r w:rsidRPr="00F369FB">
                              <w:rPr>
                                <w:rFonts w:ascii="Palatino Linotype" w:hAnsi="Palatino Linotype"/>
                                <w:sz w:val="16"/>
                                <w:szCs w:val="16"/>
                              </w:rPr>
                              <w:t>Dr. Curtis Runstedler, University of Stuttgart, Germany</w:t>
                            </w:r>
                          </w:p>
                          <w:p w14:paraId="3BF792B9" w14:textId="77777777" w:rsidR="00312740" w:rsidRDefault="00312740" w:rsidP="00DA5A57">
                            <w:pPr>
                              <w:spacing w:before="12"/>
                              <w:textDirection w:val="btLr"/>
                              <w:rPr>
                                <w:rFonts w:ascii="Palatino Linotype" w:hAnsi="Palatino Linotype"/>
                                <w:sz w:val="16"/>
                                <w:szCs w:val="16"/>
                              </w:rPr>
                            </w:pPr>
                          </w:p>
                          <w:p w14:paraId="3E2C5B77" w14:textId="77777777" w:rsidR="00DA5A57" w:rsidRDefault="00DA5A57" w:rsidP="00DA5A57">
                            <w:pPr>
                              <w:spacing w:before="12"/>
                              <w:textDirection w:val="btLr"/>
                              <w:rPr>
                                <w:rFonts w:ascii="Palatino Linotype" w:hAnsi="Palatino Linotype"/>
                                <w:sz w:val="16"/>
                                <w:szCs w:val="16"/>
                              </w:rPr>
                            </w:pPr>
                          </w:p>
                          <w:p w14:paraId="75434BF6" w14:textId="77777777" w:rsidR="00DA5A57" w:rsidRPr="00EE3EEF" w:rsidRDefault="00DA5A57" w:rsidP="00DA5A57">
                            <w:pPr>
                              <w:spacing w:before="12"/>
                              <w:textDirection w:val="btLr"/>
                              <w:rPr>
                                <w:rFonts w:ascii="Palatino Linotype" w:hAnsi="Palatino Linotype"/>
                                <w:sz w:val="16"/>
                                <w:szCs w:val="16"/>
                              </w:rPr>
                            </w:pPr>
                          </w:p>
                          <w:p w14:paraId="23C49E66" w14:textId="77777777" w:rsidR="00312740" w:rsidRDefault="00312740" w:rsidP="00312740">
                            <w:pPr>
                              <w:spacing w:before="12"/>
                              <w:jc w:val="center"/>
                              <w:textDirection w:val="btLr"/>
                              <w:rPr>
                                <w:rFonts w:ascii="Palatino Linotype" w:hAnsi="Palatino Linotype"/>
                                <w:sz w:val="16"/>
                                <w:szCs w:val="16"/>
                              </w:rPr>
                            </w:pPr>
                          </w:p>
                          <w:p w14:paraId="48FD64B4" w14:textId="77777777" w:rsidR="00312740" w:rsidRDefault="00312740" w:rsidP="00312740">
                            <w:pPr>
                              <w:widowControl/>
                            </w:pPr>
                          </w:p>
                          <w:p w14:paraId="2DD77E23" w14:textId="1754EB11" w:rsidR="00312740" w:rsidRDefault="00312740" w:rsidP="00DA5A57">
                            <w:pPr>
                              <w:spacing w:before="12"/>
                              <w:jc w:val="center"/>
                              <w:textDirection w:val="btLr"/>
                              <w:rPr>
                                <w:rFonts w:ascii="Palatino Linotype" w:hAnsi="Palatino Linotype"/>
                                <w:sz w:val="16"/>
                                <w:szCs w:val="16"/>
                              </w:rPr>
                            </w:pPr>
                            <w:r>
                              <w:rPr>
                                <w:rFonts w:ascii="Palatino Linotype" w:hAnsi="Palatino Linotype"/>
                                <w:b/>
                                <w:bCs/>
                                <w:sz w:val="16"/>
                                <w:szCs w:val="16"/>
                              </w:rPr>
                              <w:t xml:space="preserve">E- Posta: </w:t>
                            </w:r>
                            <w:hyperlink r:id="rId13" w:history="1">
                              <w:r w:rsidR="00DA5A57" w:rsidRPr="00DB1096">
                                <w:rPr>
                                  <w:rStyle w:val="Kpr"/>
                                  <w:rFonts w:ascii="Palatino Linotype" w:hAnsi="Palatino Linotype"/>
                                  <w:sz w:val="16"/>
                                  <w:szCs w:val="16"/>
                                </w:rPr>
                                <w:t>itbkongre@ankarabilim.edu.tr</w:t>
                              </w:r>
                            </w:hyperlink>
                          </w:p>
                          <w:p w14:paraId="43CAA3F5" w14:textId="77777777" w:rsidR="00DA5A57" w:rsidRPr="00FA457D" w:rsidRDefault="00DA5A57" w:rsidP="00DA5A57">
                            <w:pPr>
                              <w:spacing w:before="59"/>
                              <w:ind w:left="1584" w:right="1925"/>
                              <w:jc w:val="center"/>
                              <w:rPr>
                                <w:bCs/>
                                <w:sz w:val="18"/>
                                <w:szCs w:val="18"/>
                              </w:rPr>
                            </w:pPr>
                            <w:r w:rsidRPr="00FA457D">
                              <w:rPr>
                                <w:b/>
                                <w:sz w:val="18"/>
                                <w:szCs w:val="18"/>
                              </w:rPr>
                              <w:t>Telefon:</w:t>
                            </w:r>
                            <w:r w:rsidRPr="00FA457D">
                              <w:rPr>
                                <w:bCs/>
                                <w:sz w:val="18"/>
                                <w:szCs w:val="18"/>
                              </w:rPr>
                              <w:t xml:space="preserve"> 444 22 28</w:t>
                            </w:r>
                          </w:p>
                          <w:p w14:paraId="7B49C148" w14:textId="77777777" w:rsidR="00DA5A57" w:rsidRPr="00EE3EEF" w:rsidRDefault="00DA5A57" w:rsidP="00312740">
                            <w:pPr>
                              <w:spacing w:before="12"/>
                              <w:jc w:val="center"/>
                              <w:textDirection w:val="btLr"/>
                              <w:rPr>
                                <w:rFonts w:ascii="Palatino Linotype" w:hAnsi="Palatino Linotype"/>
                                <w:sz w:val="16"/>
                                <w:szCs w:val="16"/>
                              </w:rPr>
                            </w:pPr>
                          </w:p>
                          <w:p w14:paraId="3F0EDD6E" w14:textId="77777777" w:rsidR="00312740" w:rsidRPr="00EE3EEF" w:rsidRDefault="00312740" w:rsidP="00312740">
                            <w:pPr>
                              <w:spacing w:before="12"/>
                              <w:jc w:val="center"/>
                              <w:textDirection w:val="btLr"/>
                              <w:rPr>
                                <w:rFonts w:ascii="Palatino Linotype" w:hAnsi="Palatino Linotype"/>
                                <w:sz w:val="16"/>
                                <w:szCs w:val="16"/>
                              </w:rPr>
                            </w:pPr>
                          </w:p>
                          <w:p w14:paraId="3851A133" w14:textId="77777777" w:rsidR="00312740" w:rsidRPr="00EE3EEF" w:rsidRDefault="00312740" w:rsidP="00312740">
                            <w:pPr>
                              <w:spacing w:before="12"/>
                              <w:jc w:val="center"/>
                              <w:textDirection w:val="btLr"/>
                              <w:rPr>
                                <w:rFonts w:ascii="Palatino Linotype" w:hAnsi="Palatino Linotype"/>
                                <w:sz w:val="16"/>
                                <w:szCs w:val="16"/>
                              </w:rPr>
                            </w:pPr>
                          </w:p>
                          <w:p w14:paraId="2EA1EC02" w14:textId="77777777" w:rsidR="00312740" w:rsidRPr="00A32303" w:rsidRDefault="00312740" w:rsidP="00312740">
                            <w:pPr>
                              <w:tabs>
                                <w:tab w:val="left" w:pos="1632"/>
                                <w:tab w:val="left" w:pos="6922"/>
                              </w:tabs>
                              <w:jc w:val="center"/>
                              <w:rPr>
                                <w:rFonts w:ascii="Palatino Linotype" w:hAnsi="Palatino Linotype"/>
                                <w:b/>
                                <w:bCs/>
                                <w:sz w:val="18"/>
                                <w:szCs w:val="18"/>
                              </w:rPr>
                            </w:pPr>
                          </w:p>
                          <w:p w14:paraId="14E7D156" w14:textId="77777777" w:rsidR="00312740" w:rsidRPr="00EE3EEF" w:rsidRDefault="00312740" w:rsidP="00312740">
                            <w:pPr>
                              <w:spacing w:before="43" w:line="243" w:lineRule="auto"/>
                              <w:ind w:right="799"/>
                              <w:textDirection w:val="btLr"/>
                              <w:rPr>
                                <w:rFonts w:ascii="Palatino Linotype" w:hAnsi="Palatino Linotype"/>
                                <w:b/>
                                <w:bCs/>
                                <w:sz w:val="18"/>
                                <w:szCs w:val="18"/>
                              </w:rPr>
                            </w:pPr>
                          </w:p>
                          <w:p w14:paraId="1C568418" w14:textId="77777777" w:rsidR="00312740" w:rsidRPr="004F43B0" w:rsidRDefault="00312740" w:rsidP="00312740">
                            <w:pPr>
                              <w:spacing w:before="43"/>
                              <w:ind w:right="799"/>
                              <w:textDirection w:val="btLr"/>
                              <w:rPr>
                                <w:sz w:val="22"/>
                                <w:szCs w:val="22"/>
                              </w:rPr>
                            </w:pPr>
                          </w:p>
                          <w:p w14:paraId="3E165ADF" w14:textId="77777777" w:rsidR="00312740" w:rsidRDefault="00312740" w:rsidP="00312740">
                            <w:pPr>
                              <w:spacing w:before="12"/>
                              <w:textDirection w:val="btLr"/>
                            </w:pPr>
                          </w:p>
                          <w:p w14:paraId="7AA8E1CB" w14:textId="77777777" w:rsidR="00312740" w:rsidRDefault="00312740" w:rsidP="00312740">
                            <w:pPr>
                              <w:textDirection w:val="btLr"/>
                            </w:pPr>
                          </w:p>
                          <w:p w14:paraId="3BEB1F35" w14:textId="77777777" w:rsidR="00312740" w:rsidRDefault="00312740" w:rsidP="00312740">
                            <w:pPr>
                              <w:jc w:val="center"/>
                              <w:textDirection w:val="btLr"/>
                            </w:pPr>
                          </w:p>
                          <w:p w14:paraId="461914D6" w14:textId="77777777" w:rsidR="00312740" w:rsidRDefault="00312740" w:rsidP="00312740">
                            <w:pPr>
                              <w:jc w:val="center"/>
                              <w:textDirection w:val="btLr"/>
                            </w:pPr>
                          </w:p>
                          <w:p w14:paraId="4B4134C0" w14:textId="77777777" w:rsidR="00312740" w:rsidRDefault="00312740" w:rsidP="00312740">
                            <w:pPr>
                              <w:jc w:val="center"/>
                              <w:textDirection w:val="btLr"/>
                            </w:pPr>
                          </w:p>
                          <w:p w14:paraId="1F918FE1" w14:textId="77777777" w:rsidR="00312740" w:rsidRDefault="00312740" w:rsidP="00312740">
                            <w:pPr>
                              <w:jc w:val="center"/>
                              <w:textDirection w:val="btLr"/>
                            </w:pPr>
                          </w:p>
                          <w:p w14:paraId="2E497452" w14:textId="77777777" w:rsidR="00312740" w:rsidRDefault="00312740" w:rsidP="00312740">
                            <w:pPr>
                              <w:jc w:val="center"/>
                              <w:textDirection w:val="btLr"/>
                            </w:pPr>
                          </w:p>
                          <w:p w14:paraId="53002F80" w14:textId="77777777" w:rsidR="00312740" w:rsidRDefault="00312740" w:rsidP="00312740">
                            <w:pPr>
                              <w:jc w:val="center"/>
                              <w:textDirection w:val="btLr"/>
                            </w:pPr>
                          </w:p>
                          <w:p w14:paraId="492B26CE" w14:textId="77777777" w:rsidR="00312740" w:rsidRDefault="00312740" w:rsidP="00312740">
                            <w:pPr>
                              <w:jc w:val="center"/>
                              <w:textDirection w:val="btLr"/>
                            </w:pPr>
                          </w:p>
                          <w:p w14:paraId="177C767E" w14:textId="77777777" w:rsidR="00312740" w:rsidRDefault="00312740" w:rsidP="00312740">
                            <w:pPr>
                              <w:jc w:val="center"/>
                              <w:textDirection w:val="btLr"/>
                            </w:pPr>
                          </w:p>
                          <w:p w14:paraId="1CDA8875" w14:textId="77777777" w:rsidR="00312740" w:rsidRDefault="00312740" w:rsidP="00312740">
                            <w:pPr>
                              <w:jc w:val="center"/>
                              <w:textDirection w:val="btLr"/>
                            </w:pPr>
                          </w:p>
                          <w:p w14:paraId="06B1AB54" w14:textId="77777777" w:rsidR="00312740" w:rsidRDefault="00312740" w:rsidP="00312740">
                            <w:pPr>
                              <w:jc w:val="center"/>
                              <w:textDirection w:val="btLr"/>
                            </w:pPr>
                          </w:p>
                          <w:p w14:paraId="6906592E" w14:textId="77777777" w:rsidR="00312740" w:rsidRDefault="00312740" w:rsidP="00312740">
                            <w:pPr>
                              <w:jc w:val="center"/>
                              <w:textDirection w:val="btLr"/>
                            </w:pPr>
                          </w:p>
                          <w:p w14:paraId="3398253C" w14:textId="77777777" w:rsidR="00312740" w:rsidRDefault="00312740" w:rsidP="00312740">
                            <w:pPr>
                              <w:jc w:val="center"/>
                              <w:textDirection w:val="btLr"/>
                            </w:pPr>
                          </w:p>
                          <w:p w14:paraId="6ED93B5F" w14:textId="77777777" w:rsidR="00312740" w:rsidRDefault="00312740" w:rsidP="00312740">
                            <w:pPr>
                              <w:jc w:val="center"/>
                              <w:textDirection w:val="btLr"/>
                            </w:pPr>
                          </w:p>
                          <w:p w14:paraId="1EC79DC8" w14:textId="77777777" w:rsidR="00312740" w:rsidRDefault="00312740" w:rsidP="00312740">
                            <w:pPr>
                              <w:jc w:val="center"/>
                              <w:textDirection w:val="btLr"/>
                            </w:pPr>
                          </w:p>
                          <w:p w14:paraId="6AFCB548" w14:textId="77777777" w:rsidR="00312740" w:rsidRDefault="00312740" w:rsidP="00312740">
                            <w:pPr>
                              <w:jc w:val="center"/>
                              <w:textDirection w:val="btLr"/>
                            </w:pPr>
                          </w:p>
                          <w:p w14:paraId="7BC36AC3" w14:textId="77777777" w:rsidR="00312740" w:rsidRDefault="00312740" w:rsidP="00312740">
                            <w:pPr>
                              <w:jc w:val="center"/>
                              <w:textDirection w:val="btLr"/>
                            </w:pPr>
                          </w:p>
                          <w:p w14:paraId="12E3B25B" w14:textId="77777777" w:rsidR="00312740" w:rsidRDefault="00312740" w:rsidP="00312740">
                            <w:pPr>
                              <w:jc w:val="center"/>
                              <w:textDirection w:val="btLr"/>
                            </w:pPr>
                          </w:p>
                          <w:p w14:paraId="443DF5BF" w14:textId="77777777" w:rsidR="00312740" w:rsidRDefault="00312740" w:rsidP="00312740">
                            <w:pPr>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38D2F" id="Serbest Form: Şekil 1860148525" o:spid="_x0000_s1027" style="position:absolute;margin-left:0;margin-top:-83.85pt;width:617.4pt;height:878.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9586,117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" adj="-11796480,,5400" path="m9585,10903l,10903r,243l,11388r,243l,11794r9585,l9585,11631r,-243l9585,11146r,-243xm9585,3615l,3615r,246l,4103r,243l,4588r,242l,5073r,245l,5560r,242l,6045r,242l,6532r,242l,7017r,242l,7502r,242l,7989r,243l,8474r,242l,8959r,245l,9446r,242l,9931r,242l,10418r,242l,10903r9585,l9585,10660r,-242l9585,10173r,-242l9585,9688r,-242l9585,9204r,-245l9585,8716r,-242l9585,8232r,-243l9585,7744r,-242l9585,7259r,-242l9585,6774r,-242l9585,6287r,-242l9585,5802r,-242l9585,5318r,-245l9585,4830r,-242l9585,4346r,-243l9585,3861r,-246xm9585,l,,,325,,649,,918r,271l,1431r,243l,1916r,243l,2401r,245l,2888r,243l,3373r,242l9585,3615r,-242l9585,3131r,-243l9585,2646r,-245l9585,2159r,-243l9585,1674r,-243l9585,1189r,-271l9585,649r,-324l9585,xe" fillcolor="#f1f1f1" stroked="f">
                <v:stroke joinstyle="miter"/>
                <v:formulas/>
                <v:path arrowok="t" o:extrusionok="f" o:connecttype="custom" textboxrect="0,0,9586,11794"/>
                <v:textbox inset="2.53958mm,1.2694mm,2.53958mm,1.2694mm">
                  <w:txbxContent>
                    <w:p w14:paraId="79CA6F5E" w14:textId="77777777" w:rsidR="00312740" w:rsidRPr="002C0B22" w:rsidRDefault="00312740" w:rsidP="00312740">
                      <w:pPr>
                        <w:jc w:val="center"/>
                        <w:textDirection w:val="btLr"/>
                        <w:rPr>
                          <w:sz w:val="22"/>
                          <w:szCs w:val="22"/>
                        </w:rPr>
                      </w:pPr>
                    </w:p>
                    <w:p w14:paraId="661F6D9F"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Dördüncü Uluslararası Ankara İnsan ve Toplum Bilimleri Kongresi</w:t>
                      </w:r>
                    </w:p>
                    <w:p w14:paraId="5EBD4BFE"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 xml:space="preserve">4th International Ankara </w:t>
                      </w:r>
                      <w:r w:rsidRPr="002C0B22">
                        <w:rPr>
                          <w:rFonts w:ascii="Palatino Linotype" w:eastAsia="Palatino Linotype" w:hAnsi="Palatino Linotype" w:cs="Palatino Linotype"/>
                          <w:b/>
                          <w:color w:val="000000"/>
                          <w:sz w:val="16"/>
                          <w:szCs w:val="22"/>
                        </w:rPr>
                        <w:t>Humanities and Social Sciences Congress</w:t>
                      </w:r>
                    </w:p>
                    <w:p w14:paraId="1F194A4F"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color w:val="000000"/>
                          <w:sz w:val="16"/>
                          <w:szCs w:val="22"/>
                        </w:rPr>
                        <w:t>22-23 Şubat 2025 / February 22-23, 2025</w:t>
                      </w:r>
                    </w:p>
                    <w:p w14:paraId="284475EB" w14:textId="77777777" w:rsidR="00312740" w:rsidRPr="002C0B22" w:rsidRDefault="00312740" w:rsidP="00312740">
                      <w:pPr>
                        <w:spacing w:line="268" w:lineRule="auto"/>
                        <w:ind w:right="1925"/>
                        <w:jc w:val="center"/>
                        <w:textDirection w:val="btLr"/>
                        <w:rPr>
                          <w:sz w:val="22"/>
                          <w:szCs w:val="22"/>
                        </w:rPr>
                      </w:pPr>
                      <w:r w:rsidRPr="002C0B22">
                        <w:rPr>
                          <w:rFonts w:ascii="Palatino Linotype" w:eastAsia="Palatino Linotype" w:hAnsi="Palatino Linotype" w:cs="Palatino Linotype"/>
                          <w:color w:val="000000"/>
                          <w:sz w:val="16"/>
                          <w:szCs w:val="22"/>
                        </w:rPr>
                        <w:t xml:space="preserve">                         Bildiri kitabında yayınlanan yazıların sorumluluğu yazarlarına aittir.</w:t>
                      </w:r>
                    </w:p>
                    <w:p w14:paraId="656C7B35" w14:textId="77777777" w:rsidR="00312740" w:rsidRPr="002C0B22" w:rsidRDefault="00312740" w:rsidP="00312740">
                      <w:pPr>
                        <w:jc w:val="center"/>
                        <w:textDirection w:val="btLr"/>
                        <w:rPr>
                          <w:sz w:val="22"/>
                          <w:szCs w:val="22"/>
                        </w:rPr>
                      </w:pPr>
                      <w:r w:rsidRPr="002C0B22">
                        <w:rPr>
                          <w:rFonts w:ascii="Palatino Linotype" w:eastAsia="Palatino Linotype" w:hAnsi="Palatino Linotype" w:cs="Palatino Linotype"/>
                          <w:b/>
                          <w:color w:val="000000"/>
                          <w:sz w:val="16"/>
                          <w:szCs w:val="22"/>
                        </w:rPr>
                        <w:t>Kongre Düzenleme Kurulu</w:t>
                      </w:r>
                    </w:p>
                    <w:p w14:paraId="0DBF7AF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Prof. Dr. Cem Harun MEYDAN, Ankara Bilim Üniversitesi, Türkiye</w:t>
                      </w:r>
                    </w:p>
                    <w:p w14:paraId="05DE3AD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Prof. Dr. Aysu KES ERKUL, Ankara Bilim Üniversitesi, Türkiye</w:t>
                      </w:r>
                    </w:p>
                    <w:p w14:paraId="3984186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Başar BAYSAL, Ankara Bilim Üniversitesi, Türkiye</w:t>
                      </w:r>
                    </w:p>
                    <w:p w14:paraId="1BA92081"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Şebnem DÜZGÜN, Ankara Bilim Üniversitesi, Türkiye</w:t>
                      </w:r>
                    </w:p>
                    <w:p w14:paraId="4250BCB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Doç. Dr. Hakan KÖNİ, Ankara Bilim Üniversitesi, Türkiye</w:t>
                      </w:r>
                    </w:p>
                    <w:p w14:paraId="2E64C01A"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Aziz BALCI, Ankara Bilim Üniversitesi, Türkiye</w:t>
                      </w:r>
                    </w:p>
                    <w:p w14:paraId="6A2A7671"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Pelin KARACA KALKAN, Ankara Bilim Üniversitesi, Türkiye</w:t>
                      </w:r>
                    </w:p>
                    <w:p w14:paraId="7A0EB473"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Ayşe SAKİ DEMİREL, Ankara Bilim Üniversitesi, Türkiye</w:t>
                      </w:r>
                    </w:p>
                    <w:p w14:paraId="212D931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Irmak UZUN BAYAR, Ankara Bilim Üniversitesi, Türkiye</w:t>
                      </w:r>
                    </w:p>
                    <w:p w14:paraId="6C70C82C"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Adil AKKUŞ, Ankara Bilim Üniversitesi, Türkiye</w:t>
                      </w:r>
                    </w:p>
                    <w:p w14:paraId="3DBC32A0"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Neslihan KÜNYE POLAT, Ankara Bilim Üniversitesi, Türkiye</w:t>
                      </w:r>
                    </w:p>
                    <w:p w14:paraId="77EEFAAA"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Sema YURDUŞEN, Ankara Bilim Üniversitesi, Türkiye</w:t>
                      </w:r>
                    </w:p>
                    <w:p w14:paraId="26134418"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Dr. Ayşegül SAYAN KARAHAN, Ankara Bilim Üniversitesi, Türkiye</w:t>
                      </w:r>
                    </w:p>
                    <w:p w14:paraId="4C281BC5"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Hatice ÇEVİK, Ankara Bilim Üniversitesi, Türkiye</w:t>
                      </w:r>
                    </w:p>
                    <w:p w14:paraId="39BE203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Mustafa Çağrı AYKAÇ, Ankara Bilim Üniversitesi, Türkiye</w:t>
                      </w:r>
                    </w:p>
                    <w:p w14:paraId="4DE7D5E5"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Mustafa Tarık KILIÇ, Ankara Bilim Üniversitesi, Türkiye</w:t>
                      </w:r>
                    </w:p>
                    <w:p w14:paraId="52059732"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Bahar KARDAŞ, Ankara Bilim Üniversitesi, Türkiye</w:t>
                      </w:r>
                    </w:p>
                    <w:p w14:paraId="3B862D4F" w14:textId="77777777" w:rsidR="00312740" w:rsidRPr="000C6508"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Yelda YENEL, Ankara Bilim Üniversitesi, Türkiye</w:t>
                      </w:r>
                    </w:p>
                    <w:p w14:paraId="258508DE" w14:textId="77777777" w:rsidR="00312740" w:rsidRDefault="00312740" w:rsidP="00312740">
                      <w:pPr>
                        <w:jc w:val="center"/>
                        <w:textDirection w:val="btLr"/>
                        <w:rPr>
                          <w:rFonts w:ascii="Palatino Linotype" w:eastAsia="Palatino Linotype" w:hAnsi="Palatino Linotype"/>
                          <w:color w:val="000000"/>
                          <w:sz w:val="16"/>
                          <w:szCs w:val="16"/>
                        </w:rPr>
                      </w:pPr>
                      <w:r w:rsidRPr="000C6508">
                        <w:rPr>
                          <w:rFonts w:ascii="Palatino Linotype" w:eastAsia="Palatino Linotype" w:hAnsi="Palatino Linotype"/>
                          <w:color w:val="000000"/>
                          <w:sz w:val="16"/>
                          <w:szCs w:val="16"/>
                        </w:rPr>
                        <w:t>Arş. Gör.  İlayda GÖZEL, Ankara Bilim Üniversitesi, Türkiye</w:t>
                      </w:r>
                    </w:p>
                    <w:p w14:paraId="7BB1E5F7" w14:textId="027F6CA1" w:rsidR="00312740" w:rsidRPr="003854BE" w:rsidRDefault="003854BE" w:rsidP="003854BE">
                      <w:pPr>
                        <w:jc w:val="center"/>
                        <w:textDirection w:val="btLr"/>
                        <w:rPr>
                          <w:rFonts w:ascii="Palatino Linotype" w:eastAsia="Palatino Linotype" w:hAnsi="Palatino Linotype"/>
                          <w:color w:val="000000"/>
                          <w:sz w:val="16"/>
                          <w:szCs w:val="16"/>
                        </w:rPr>
                      </w:pPr>
                      <w:r>
                        <w:rPr>
                          <w:rFonts w:ascii="Palatino Linotype" w:eastAsia="Palatino Linotype" w:hAnsi="Palatino Linotype"/>
                          <w:color w:val="000000"/>
                          <w:sz w:val="16"/>
                          <w:szCs w:val="16"/>
                        </w:rPr>
                        <w:t>Arş. Gör. Rumeysa Tuğçe ARMAN, Ankara Bilim Üniversitesi, Türkiye</w:t>
                      </w:r>
                    </w:p>
                    <w:p w14:paraId="72D03335" w14:textId="77777777" w:rsidR="00312740" w:rsidRDefault="00312740" w:rsidP="00312740">
                      <w:pPr>
                        <w:tabs>
                          <w:tab w:val="left" w:pos="1632"/>
                          <w:tab w:val="left" w:pos="6922"/>
                        </w:tabs>
                        <w:rPr>
                          <w:rFonts w:ascii="Palatino Linotype" w:hAnsi="Palatino Linotype"/>
                          <w:sz w:val="16"/>
                          <w:szCs w:val="16"/>
                        </w:rPr>
                      </w:pPr>
                    </w:p>
                    <w:p w14:paraId="38496979" w14:textId="77777777" w:rsidR="00312740" w:rsidRDefault="00312740" w:rsidP="00312740">
                      <w:pPr>
                        <w:tabs>
                          <w:tab w:val="left" w:pos="1632"/>
                          <w:tab w:val="left" w:pos="6922"/>
                        </w:tabs>
                        <w:jc w:val="center"/>
                        <w:rPr>
                          <w:rFonts w:ascii="Palatino Linotype" w:hAnsi="Palatino Linotype"/>
                          <w:b/>
                          <w:bCs/>
                          <w:sz w:val="18"/>
                          <w:szCs w:val="18"/>
                        </w:rPr>
                      </w:pPr>
                      <w:r w:rsidRPr="00A32303">
                        <w:rPr>
                          <w:rFonts w:ascii="Palatino Linotype" w:hAnsi="Palatino Linotype"/>
                          <w:b/>
                          <w:bCs/>
                          <w:sz w:val="18"/>
                          <w:szCs w:val="18"/>
                        </w:rPr>
                        <w:t>Bilim Kurulu</w:t>
                      </w:r>
                    </w:p>
                    <w:p w14:paraId="73600C1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Cem Harun MEYDAN, Ankara Bilim Üniversitesi, Türkiye</w:t>
                      </w:r>
                    </w:p>
                    <w:p w14:paraId="46BDA77A"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Aysu KES ERKUL, Ankara Bilim Üniversitesi, Türkiye</w:t>
                      </w:r>
                      <w:r w:rsidRPr="001E0C69">
                        <w:rPr>
                          <w:rFonts w:ascii="Palatino Linotype" w:hAnsi="Palatino Linotype"/>
                          <w:sz w:val="16"/>
                          <w:szCs w:val="16"/>
                        </w:rPr>
                        <w:t xml:space="preserve"> </w:t>
                      </w:r>
                    </w:p>
                    <w:p w14:paraId="74CEBF5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Şebnem DÜZGÜN, Ankara Bilim Üniversitesi, Türkiye</w:t>
                      </w:r>
                    </w:p>
                    <w:p w14:paraId="3A90875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Hakan KÖNİ, Ankara Bilim Üniversitesi, Türkiye</w:t>
                      </w:r>
                    </w:p>
                    <w:p w14:paraId="55A5CB55"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Başar BAYSAL, Ankara Bilim Üniversitesi, Türkiye</w:t>
                      </w:r>
                    </w:p>
                    <w:p w14:paraId="54765FD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Sema YURDUŞEN, Ankara Bilim Üniversitesi, Türkiye</w:t>
                      </w:r>
                    </w:p>
                    <w:p w14:paraId="5C47540E"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Pelin KARACA KALKAN, Ankara Bilim Üniversitesi, Türkiye</w:t>
                      </w:r>
                    </w:p>
                    <w:p w14:paraId="3770899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Ayşe SAKİ DEMİREL, Ankara Bilim Üniversitesi, Türkiye</w:t>
                      </w:r>
                    </w:p>
                    <w:p w14:paraId="735AF391"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Aziz BALCI, Ankara Bilim Üniversitesi, Türkiye</w:t>
                      </w:r>
                    </w:p>
                    <w:p w14:paraId="033EE4BC"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Irmak UZUN BAYAR, Ankara Bilim Üniversitesi, Türkiye</w:t>
                      </w:r>
                    </w:p>
                    <w:p w14:paraId="1ED9B8D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Adil AKKUŞ, Ankara Bilim Üniversitesi, Türkiye</w:t>
                      </w:r>
                    </w:p>
                    <w:p w14:paraId="2195FBD0" w14:textId="77777777" w:rsidR="00312740"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Neslihan KÜNYE POLAT, Ankara Bilim Üniversitesi, Türkiye</w:t>
                      </w:r>
                    </w:p>
                    <w:p w14:paraId="11EA18E8"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Ayşegül SAYAN KARAHAN, Ankara Bilim Üniversitesi, Türkiye</w:t>
                      </w:r>
                    </w:p>
                    <w:p w14:paraId="5CCA348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Nurettin PARILTI, Ankara Hacı Bayram Veli Üniversitesi, Türkiye</w:t>
                      </w:r>
                    </w:p>
                    <w:p w14:paraId="544EEED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Gülsen ERDEN, Beykoz Üniversitesi, Türkiye</w:t>
                      </w:r>
                    </w:p>
                    <w:p w14:paraId="732EBF3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Hatice DEMİRBAŞ, Ankara Hacı Bayram Veli Üniversitesi, Türkiye</w:t>
                      </w:r>
                    </w:p>
                    <w:p w14:paraId="6369C75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Örsan Ö. AKBULUT, Hacettepe Üniversitesi, Türkiye</w:t>
                      </w:r>
                    </w:p>
                    <w:p w14:paraId="6C1231B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Emre Şenol DURAK, Abant İzzet Baysal Üniversitesi, Türkiye</w:t>
                      </w:r>
                    </w:p>
                    <w:p w14:paraId="11095D9F"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Belgin AYDINTAN, Ankara Hacı Bayram Veli Üniversitesi, Türkiye</w:t>
                      </w:r>
                    </w:p>
                    <w:p w14:paraId="2F595C3A"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Fatma Zehra TAN, Karabük Üniversitesi, Türkiye</w:t>
                      </w:r>
                    </w:p>
                    <w:p w14:paraId="1233F125"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Aslı Özlem TARAKCIOĞLU, Ankara Hacı Bayram Veli Üniversitesi, Türkiye</w:t>
                      </w:r>
                    </w:p>
                    <w:p w14:paraId="6DB6C446"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Sedat Cem KARADELİ, Ufuk Üniversitesi, Türkiye</w:t>
                      </w:r>
                    </w:p>
                    <w:p w14:paraId="1794953D"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Tarık TUNCAY, Hacettepe Üniversitesi, Türkiye</w:t>
                      </w:r>
                    </w:p>
                    <w:p w14:paraId="3A2DF68A"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Prof. Dr. Emre Şenol DURAK, Abant İzzet Baysal Üniversitesi, Türkiye</w:t>
                      </w:r>
                    </w:p>
                    <w:p w14:paraId="1057DA83"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Sabahattin ÇETİN, Bartın Üniversitesi, Türkiye</w:t>
                      </w:r>
                    </w:p>
                    <w:p w14:paraId="156686EB"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 xml:space="preserve">Doç. Dr. Írge </w:t>
                      </w:r>
                      <w:r w:rsidRPr="00F369FB">
                        <w:rPr>
                          <w:rFonts w:ascii="Palatino Linotype" w:hAnsi="Palatino Linotype"/>
                          <w:sz w:val="16"/>
                          <w:szCs w:val="16"/>
                        </w:rPr>
                        <w:t>ŞENER, Çankaya</w:t>
                      </w:r>
                      <w:r w:rsidRPr="00EE3EEF">
                        <w:rPr>
                          <w:rFonts w:ascii="Palatino Linotype" w:hAnsi="Palatino Linotype"/>
                          <w:sz w:val="16"/>
                          <w:szCs w:val="16"/>
                        </w:rPr>
                        <w:t xml:space="preserve"> Üniversitesi, Türkiye</w:t>
                      </w:r>
                    </w:p>
                    <w:p w14:paraId="1952A91C"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Mustafa GÜNEŞ, Gümüşhane Üniversitesi, Türkiye</w:t>
                      </w:r>
                    </w:p>
                    <w:p w14:paraId="132E5271"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Doç. Dr. Ioannis Karras, Ioanian University, Greece</w:t>
                      </w:r>
                    </w:p>
                    <w:p w14:paraId="731D8686"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Nurhidayy ROSLİ, UCSI University, Malaysia</w:t>
                      </w:r>
                    </w:p>
                    <w:p w14:paraId="4EBEBBD7"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Saifudheen KUNJU, University of Madras, India</w:t>
                      </w:r>
                    </w:p>
                    <w:p w14:paraId="0638F602" w14:textId="77777777" w:rsidR="00312740" w:rsidRPr="00EE3EEF"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Mathew H. CHARLES, Universidad Del Rosario, Colombia</w:t>
                      </w:r>
                    </w:p>
                    <w:p w14:paraId="52426877" w14:textId="77777777" w:rsidR="00312740" w:rsidRPr="00F369FB" w:rsidRDefault="00312740" w:rsidP="00312740">
                      <w:pPr>
                        <w:spacing w:before="12"/>
                        <w:jc w:val="center"/>
                        <w:textDirection w:val="btLr"/>
                        <w:rPr>
                          <w:rFonts w:ascii="Palatino Linotype" w:hAnsi="Palatino Linotype"/>
                          <w:sz w:val="16"/>
                          <w:szCs w:val="16"/>
                        </w:rPr>
                      </w:pPr>
                      <w:r w:rsidRPr="00EE3EEF">
                        <w:rPr>
                          <w:rFonts w:ascii="Palatino Linotype" w:hAnsi="Palatino Linotype"/>
                          <w:sz w:val="16"/>
                          <w:szCs w:val="16"/>
                        </w:rPr>
                        <w:t>Dr. Marija Mijušković, University of Montenegro, Montenegro</w:t>
                      </w:r>
                    </w:p>
                    <w:p w14:paraId="58AE90D8" w14:textId="77777777" w:rsidR="00312740" w:rsidRDefault="00312740" w:rsidP="00312740">
                      <w:pPr>
                        <w:spacing w:before="12"/>
                        <w:jc w:val="center"/>
                        <w:textDirection w:val="btLr"/>
                        <w:rPr>
                          <w:rFonts w:ascii="Palatino Linotype" w:hAnsi="Palatino Linotype"/>
                          <w:sz w:val="16"/>
                          <w:szCs w:val="16"/>
                        </w:rPr>
                      </w:pPr>
                      <w:r w:rsidRPr="00F369FB">
                        <w:rPr>
                          <w:rFonts w:ascii="Palatino Linotype" w:hAnsi="Palatino Linotype"/>
                          <w:sz w:val="16"/>
                          <w:szCs w:val="16"/>
                        </w:rPr>
                        <w:t>Dr. Curtis Runstedler, University of Stuttgart, Germany</w:t>
                      </w:r>
                    </w:p>
                    <w:p w14:paraId="3BF792B9" w14:textId="77777777" w:rsidR="00312740" w:rsidRDefault="00312740" w:rsidP="00DA5A57">
                      <w:pPr>
                        <w:spacing w:before="12"/>
                        <w:textDirection w:val="btLr"/>
                        <w:rPr>
                          <w:rFonts w:ascii="Palatino Linotype" w:hAnsi="Palatino Linotype"/>
                          <w:sz w:val="16"/>
                          <w:szCs w:val="16"/>
                        </w:rPr>
                      </w:pPr>
                    </w:p>
                    <w:p w14:paraId="3E2C5B77" w14:textId="77777777" w:rsidR="00DA5A57" w:rsidRDefault="00DA5A57" w:rsidP="00DA5A57">
                      <w:pPr>
                        <w:spacing w:before="12"/>
                        <w:textDirection w:val="btLr"/>
                        <w:rPr>
                          <w:rFonts w:ascii="Palatino Linotype" w:hAnsi="Palatino Linotype"/>
                          <w:sz w:val="16"/>
                          <w:szCs w:val="16"/>
                        </w:rPr>
                      </w:pPr>
                    </w:p>
                    <w:p w14:paraId="75434BF6" w14:textId="77777777" w:rsidR="00DA5A57" w:rsidRPr="00EE3EEF" w:rsidRDefault="00DA5A57" w:rsidP="00DA5A57">
                      <w:pPr>
                        <w:spacing w:before="12"/>
                        <w:textDirection w:val="btLr"/>
                        <w:rPr>
                          <w:rFonts w:ascii="Palatino Linotype" w:hAnsi="Palatino Linotype"/>
                          <w:sz w:val="16"/>
                          <w:szCs w:val="16"/>
                        </w:rPr>
                      </w:pPr>
                    </w:p>
                    <w:p w14:paraId="23C49E66" w14:textId="77777777" w:rsidR="00312740" w:rsidRDefault="00312740" w:rsidP="00312740">
                      <w:pPr>
                        <w:spacing w:before="12"/>
                        <w:jc w:val="center"/>
                        <w:textDirection w:val="btLr"/>
                        <w:rPr>
                          <w:rFonts w:ascii="Palatino Linotype" w:hAnsi="Palatino Linotype"/>
                          <w:sz w:val="16"/>
                          <w:szCs w:val="16"/>
                        </w:rPr>
                      </w:pPr>
                    </w:p>
                    <w:p w14:paraId="48FD64B4" w14:textId="77777777" w:rsidR="00312740" w:rsidRDefault="00312740" w:rsidP="00312740">
                      <w:pPr>
                        <w:widowControl/>
                      </w:pPr>
                    </w:p>
                    <w:p w14:paraId="2DD77E23" w14:textId="1754EB11" w:rsidR="00312740" w:rsidRDefault="00312740" w:rsidP="00DA5A57">
                      <w:pPr>
                        <w:spacing w:before="12"/>
                        <w:jc w:val="center"/>
                        <w:textDirection w:val="btLr"/>
                        <w:rPr>
                          <w:rFonts w:ascii="Palatino Linotype" w:hAnsi="Palatino Linotype"/>
                          <w:sz w:val="16"/>
                          <w:szCs w:val="16"/>
                        </w:rPr>
                      </w:pPr>
                      <w:r>
                        <w:rPr>
                          <w:rFonts w:ascii="Palatino Linotype" w:hAnsi="Palatino Linotype"/>
                          <w:b/>
                          <w:bCs/>
                          <w:sz w:val="16"/>
                          <w:szCs w:val="16"/>
                        </w:rPr>
                        <w:t xml:space="preserve">E- Posta: </w:t>
                      </w:r>
                      <w:hyperlink r:id="rId14" w:history="1">
                        <w:r w:rsidR="00DA5A57" w:rsidRPr="00DB1096">
                          <w:rPr>
                            <w:rStyle w:val="Kpr"/>
                            <w:rFonts w:ascii="Palatino Linotype" w:hAnsi="Palatino Linotype"/>
                            <w:sz w:val="16"/>
                            <w:szCs w:val="16"/>
                          </w:rPr>
                          <w:t>itbkongre@ankarabilim.edu.tr</w:t>
                        </w:r>
                      </w:hyperlink>
                    </w:p>
                    <w:p w14:paraId="43CAA3F5" w14:textId="77777777" w:rsidR="00DA5A57" w:rsidRPr="00FA457D" w:rsidRDefault="00DA5A57" w:rsidP="00DA5A57">
                      <w:pPr>
                        <w:spacing w:before="59"/>
                        <w:ind w:left="1584" w:right="1925"/>
                        <w:jc w:val="center"/>
                        <w:rPr>
                          <w:bCs/>
                          <w:sz w:val="18"/>
                          <w:szCs w:val="18"/>
                        </w:rPr>
                      </w:pPr>
                      <w:r w:rsidRPr="00FA457D">
                        <w:rPr>
                          <w:b/>
                          <w:sz w:val="18"/>
                          <w:szCs w:val="18"/>
                        </w:rPr>
                        <w:t>Telefon:</w:t>
                      </w:r>
                      <w:r w:rsidRPr="00FA457D">
                        <w:rPr>
                          <w:bCs/>
                          <w:sz w:val="18"/>
                          <w:szCs w:val="18"/>
                        </w:rPr>
                        <w:t xml:space="preserve"> 444 22 28</w:t>
                      </w:r>
                    </w:p>
                    <w:p w14:paraId="7B49C148" w14:textId="77777777" w:rsidR="00DA5A57" w:rsidRPr="00EE3EEF" w:rsidRDefault="00DA5A57" w:rsidP="00312740">
                      <w:pPr>
                        <w:spacing w:before="12"/>
                        <w:jc w:val="center"/>
                        <w:textDirection w:val="btLr"/>
                        <w:rPr>
                          <w:rFonts w:ascii="Palatino Linotype" w:hAnsi="Palatino Linotype"/>
                          <w:sz w:val="16"/>
                          <w:szCs w:val="16"/>
                        </w:rPr>
                      </w:pPr>
                    </w:p>
                    <w:p w14:paraId="3F0EDD6E" w14:textId="77777777" w:rsidR="00312740" w:rsidRPr="00EE3EEF" w:rsidRDefault="00312740" w:rsidP="00312740">
                      <w:pPr>
                        <w:spacing w:before="12"/>
                        <w:jc w:val="center"/>
                        <w:textDirection w:val="btLr"/>
                        <w:rPr>
                          <w:rFonts w:ascii="Palatino Linotype" w:hAnsi="Palatino Linotype"/>
                          <w:sz w:val="16"/>
                          <w:szCs w:val="16"/>
                        </w:rPr>
                      </w:pPr>
                    </w:p>
                    <w:p w14:paraId="3851A133" w14:textId="77777777" w:rsidR="00312740" w:rsidRPr="00EE3EEF" w:rsidRDefault="00312740" w:rsidP="00312740">
                      <w:pPr>
                        <w:spacing w:before="12"/>
                        <w:jc w:val="center"/>
                        <w:textDirection w:val="btLr"/>
                        <w:rPr>
                          <w:rFonts w:ascii="Palatino Linotype" w:hAnsi="Palatino Linotype"/>
                          <w:sz w:val="16"/>
                          <w:szCs w:val="16"/>
                        </w:rPr>
                      </w:pPr>
                    </w:p>
                    <w:p w14:paraId="2EA1EC02" w14:textId="77777777" w:rsidR="00312740" w:rsidRPr="00A32303" w:rsidRDefault="00312740" w:rsidP="00312740">
                      <w:pPr>
                        <w:tabs>
                          <w:tab w:val="left" w:pos="1632"/>
                          <w:tab w:val="left" w:pos="6922"/>
                        </w:tabs>
                        <w:jc w:val="center"/>
                        <w:rPr>
                          <w:rFonts w:ascii="Palatino Linotype" w:hAnsi="Palatino Linotype"/>
                          <w:b/>
                          <w:bCs/>
                          <w:sz w:val="18"/>
                          <w:szCs w:val="18"/>
                        </w:rPr>
                      </w:pPr>
                    </w:p>
                    <w:p w14:paraId="14E7D156" w14:textId="77777777" w:rsidR="00312740" w:rsidRPr="00EE3EEF" w:rsidRDefault="00312740" w:rsidP="00312740">
                      <w:pPr>
                        <w:spacing w:before="43" w:line="243" w:lineRule="auto"/>
                        <w:ind w:right="799"/>
                        <w:textDirection w:val="btLr"/>
                        <w:rPr>
                          <w:rFonts w:ascii="Palatino Linotype" w:hAnsi="Palatino Linotype"/>
                          <w:b/>
                          <w:bCs/>
                          <w:sz w:val="18"/>
                          <w:szCs w:val="18"/>
                        </w:rPr>
                      </w:pPr>
                    </w:p>
                    <w:p w14:paraId="1C568418" w14:textId="77777777" w:rsidR="00312740" w:rsidRPr="004F43B0" w:rsidRDefault="00312740" w:rsidP="00312740">
                      <w:pPr>
                        <w:spacing w:before="43"/>
                        <w:ind w:right="799"/>
                        <w:textDirection w:val="btLr"/>
                        <w:rPr>
                          <w:sz w:val="22"/>
                          <w:szCs w:val="22"/>
                        </w:rPr>
                      </w:pPr>
                    </w:p>
                    <w:p w14:paraId="3E165ADF" w14:textId="77777777" w:rsidR="00312740" w:rsidRDefault="00312740" w:rsidP="00312740">
                      <w:pPr>
                        <w:spacing w:before="12"/>
                        <w:textDirection w:val="btLr"/>
                      </w:pPr>
                    </w:p>
                    <w:p w14:paraId="7AA8E1CB" w14:textId="77777777" w:rsidR="00312740" w:rsidRDefault="00312740" w:rsidP="00312740">
                      <w:pPr>
                        <w:textDirection w:val="btLr"/>
                      </w:pPr>
                    </w:p>
                    <w:p w14:paraId="3BEB1F35" w14:textId="77777777" w:rsidR="00312740" w:rsidRDefault="00312740" w:rsidP="00312740">
                      <w:pPr>
                        <w:jc w:val="center"/>
                        <w:textDirection w:val="btLr"/>
                      </w:pPr>
                    </w:p>
                    <w:p w14:paraId="461914D6" w14:textId="77777777" w:rsidR="00312740" w:rsidRDefault="00312740" w:rsidP="00312740">
                      <w:pPr>
                        <w:jc w:val="center"/>
                        <w:textDirection w:val="btLr"/>
                      </w:pPr>
                    </w:p>
                    <w:p w14:paraId="4B4134C0" w14:textId="77777777" w:rsidR="00312740" w:rsidRDefault="00312740" w:rsidP="00312740">
                      <w:pPr>
                        <w:jc w:val="center"/>
                        <w:textDirection w:val="btLr"/>
                      </w:pPr>
                    </w:p>
                    <w:p w14:paraId="1F918FE1" w14:textId="77777777" w:rsidR="00312740" w:rsidRDefault="00312740" w:rsidP="00312740">
                      <w:pPr>
                        <w:jc w:val="center"/>
                        <w:textDirection w:val="btLr"/>
                      </w:pPr>
                    </w:p>
                    <w:p w14:paraId="2E497452" w14:textId="77777777" w:rsidR="00312740" w:rsidRDefault="00312740" w:rsidP="00312740">
                      <w:pPr>
                        <w:jc w:val="center"/>
                        <w:textDirection w:val="btLr"/>
                      </w:pPr>
                    </w:p>
                    <w:p w14:paraId="53002F80" w14:textId="77777777" w:rsidR="00312740" w:rsidRDefault="00312740" w:rsidP="00312740">
                      <w:pPr>
                        <w:jc w:val="center"/>
                        <w:textDirection w:val="btLr"/>
                      </w:pPr>
                    </w:p>
                    <w:p w14:paraId="492B26CE" w14:textId="77777777" w:rsidR="00312740" w:rsidRDefault="00312740" w:rsidP="00312740">
                      <w:pPr>
                        <w:jc w:val="center"/>
                        <w:textDirection w:val="btLr"/>
                      </w:pPr>
                    </w:p>
                    <w:p w14:paraId="177C767E" w14:textId="77777777" w:rsidR="00312740" w:rsidRDefault="00312740" w:rsidP="00312740">
                      <w:pPr>
                        <w:jc w:val="center"/>
                        <w:textDirection w:val="btLr"/>
                      </w:pPr>
                    </w:p>
                    <w:p w14:paraId="1CDA8875" w14:textId="77777777" w:rsidR="00312740" w:rsidRDefault="00312740" w:rsidP="00312740">
                      <w:pPr>
                        <w:jc w:val="center"/>
                        <w:textDirection w:val="btLr"/>
                      </w:pPr>
                    </w:p>
                    <w:p w14:paraId="06B1AB54" w14:textId="77777777" w:rsidR="00312740" w:rsidRDefault="00312740" w:rsidP="00312740">
                      <w:pPr>
                        <w:jc w:val="center"/>
                        <w:textDirection w:val="btLr"/>
                      </w:pPr>
                    </w:p>
                    <w:p w14:paraId="6906592E" w14:textId="77777777" w:rsidR="00312740" w:rsidRDefault="00312740" w:rsidP="00312740">
                      <w:pPr>
                        <w:jc w:val="center"/>
                        <w:textDirection w:val="btLr"/>
                      </w:pPr>
                    </w:p>
                    <w:p w14:paraId="3398253C" w14:textId="77777777" w:rsidR="00312740" w:rsidRDefault="00312740" w:rsidP="00312740">
                      <w:pPr>
                        <w:jc w:val="center"/>
                        <w:textDirection w:val="btLr"/>
                      </w:pPr>
                    </w:p>
                    <w:p w14:paraId="6ED93B5F" w14:textId="77777777" w:rsidR="00312740" w:rsidRDefault="00312740" w:rsidP="00312740">
                      <w:pPr>
                        <w:jc w:val="center"/>
                        <w:textDirection w:val="btLr"/>
                      </w:pPr>
                    </w:p>
                    <w:p w14:paraId="1EC79DC8" w14:textId="77777777" w:rsidR="00312740" w:rsidRDefault="00312740" w:rsidP="00312740">
                      <w:pPr>
                        <w:jc w:val="center"/>
                        <w:textDirection w:val="btLr"/>
                      </w:pPr>
                    </w:p>
                    <w:p w14:paraId="6AFCB548" w14:textId="77777777" w:rsidR="00312740" w:rsidRDefault="00312740" w:rsidP="00312740">
                      <w:pPr>
                        <w:jc w:val="center"/>
                        <w:textDirection w:val="btLr"/>
                      </w:pPr>
                    </w:p>
                    <w:p w14:paraId="7BC36AC3" w14:textId="77777777" w:rsidR="00312740" w:rsidRDefault="00312740" w:rsidP="00312740">
                      <w:pPr>
                        <w:jc w:val="center"/>
                        <w:textDirection w:val="btLr"/>
                      </w:pPr>
                    </w:p>
                    <w:p w14:paraId="12E3B25B" w14:textId="77777777" w:rsidR="00312740" w:rsidRDefault="00312740" w:rsidP="00312740">
                      <w:pPr>
                        <w:jc w:val="center"/>
                        <w:textDirection w:val="btLr"/>
                      </w:pPr>
                    </w:p>
                    <w:p w14:paraId="443DF5BF" w14:textId="77777777" w:rsidR="00312740" w:rsidRDefault="00312740" w:rsidP="00312740">
                      <w:pPr>
                        <w:jc w:val="center"/>
                        <w:textDirection w:val="btLr"/>
                      </w:pPr>
                    </w:p>
                  </w:txbxContent>
                </v:textbox>
                <w10:wrap anchorx="page"/>
              </v:shape>
            </w:pict>
          </mc:Fallback>
        </mc:AlternateContent>
      </w:r>
    </w:p>
    <w:p w14:paraId="6465AD15" w14:textId="57ED9224" w:rsidR="00223127" w:rsidRPr="00FA457D" w:rsidRDefault="00223127" w:rsidP="000C6508">
      <w:pPr>
        <w:tabs>
          <w:tab w:val="left" w:pos="1632"/>
          <w:tab w:val="left" w:pos="3624"/>
        </w:tabs>
        <w:jc w:val="center"/>
        <w:rPr>
          <w:sz w:val="18"/>
          <w:szCs w:val="18"/>
        </w:rPr>
      </w:pPr>
    </w:p>
    <w:p w14:paraId="20AB62A0" w14:textId="524070D5" w:rsidR="00F84AD5" w:rsidRPr="00FA457D" w:rsidRDefault="00F84AD5">
      <w:pPr>
        <w:tabs>
          <w:tab w:val="left" w:pos="1632"/>
        </w:tabs>
        <w:rPr>
          <w:sz w:val="18"/>
          <w:szCs w:val="18"/>
        </w:rPr>
      </w:pPr>
    </w:p>
    <w:p w14:paraId="69F3450D" w14:textId="328975FD" w:rsidR="00F84AD5" w:rsidRPr="00FA457D" w:rsidRDefault="00F84AD5">
      <w:pPr>
        <w:tabs>
          <w:tab w:val="left" w:pos="1632"/>
        </w:tabs>
        <w:rPr>
          <w:sz w:val="18"/>
          <w:szCs w:val="18"/>
        </w:rPr>
      </w:pPr>
    </w:p>
    <w:p w14:paraId="34ACF504" w14:textId="2708B380" w:rsidR="00F84AD5" w:rsidRPr="00FA457D" w:rsidRDefault="00F84AD5">
      <w:pPr>
        <w:tabs>
          <w:tab w:val="left" w:pos="1632"/>
        </w:tabs>
        <w:rPr>
          <w:b/>
          <w:sz w:val="18"/>
          <w:szCs w:val="18"/>
        </w:rPr>
      </w:pPr>
    </w:p>
    <w:p w14:paraId="1C163579" w14:textId="7A4CF00A" w:rsidR="00F84AD5" w:rsidRPr="00FA457D" w:rsidRDefault="00F84AD5" w:rsidP="00A32303">
      <w:pPr>
        <w:tabs>
          <w:tab w:val="left" w:pos="1632"/>
        </w:tabs>
        <w:jc w:val="center"/>
        <w:rPr>
          <w:b/>
          <w:sz w:val="18"/>
          <w:szCs w:val="18"/>
        </w:rPr>
      </w:pPr>
    </w:p>
    <w:p w14:paraId="1B0E10E4" w14:textId="3647B4D8" w:rsidR="00F84AD5" w:rsidRPr="00FA457D" w:rsidRDefault="00F84AD5">
      <w:pPr>
        <w:tabs>
          <w:tab w:val="left" w:pos="1632"/>
        </w:tabs>
        <w:jc w:val="both"/>
        <w:rPr>
          <w:sz w:val="18"/>
          <w:szCs w:val="18"/>
        </w:rPr>
      </w:pPr>
    </w:p>
    <w:p w14:paraId="01EA811F" w14:textId="61C78AA6" w:rsidR="00F84AD5" w:rsidRPr="00FA457D" w:rsidRDefault="00F84AD5" w:rsidP="001E0C69">
      <w:pPr>
        <w:tabs>
          <w:tab w:val="left" w:pos="1632"/>
          <w:tab w:val="left" w:pos="6922"/>
        </w:tabs>
        <w:rPr>
          <w:sz w:val="18"/>
          <w:szCs w:val="18"/>
        </w:rPr>
      </w:pPr>
    </w:p>
    <w:p w14:paraId="42C2FDB1" w14:textId="77777777" w:rsidR="00F84AD5" w:rsidRPr="00FA457D" w:rsidRDefault="00F84AD5" w:rsidP="001E0C69">
      <w:pPr>
        <w:tabs>
          <w:tab w:val="left" w:pos="1632"/>
        </w:tabs>
        <w:rPr>
          <w:sz w:val="18"/>
          <w:szCs w:val="18"/>
        </w:rPr>
      </w:pPr>
    </w:p>
    <w:p w14:paraId="2FFCEAC1" w14:textId="77777777" w:rsidR="006705E6" w:rsidRPr="00FA457D" w:rsidRDefault="006705E6" w:rsidP="001E0C69">
      <w:pPr>
        <w:tabs>
          <w:tab w:val="center" w:pos="3576"/>
          <w:tab w:val="left" w:pos="4280"/>
        </w:tabs>
        <w:spacing w:before="43"/>
        <w:ind w:right="1920"/>
        <w:rPr>
          <w:b/>
          <w:sz w:val="18"/>
          <w:szCs w:val="18"/>
        </w:rPr>
      </w:pPr>
    </w:p>
    <w:p w14:paraId="2822B6A0" w14:textId="77777777" w:rsidR="006705E6" w:rsidRPr="00FA457D" w:rsidRDefault="006705E6">
      <w:pPr>
        <w:tabs>
          <w:tab w:val="center" w:pos="3576"/>
          <w:tab w:val="left" w:pos="4280"/>
        </w:tabs>
        <w:spacing w:before="43"/>
        <w:ind w:right="1920"/>
        <w:jc w:val="center"/>
        <w:rPr>
          <w:b/>
          <w:sz w:val="18"/>
          <w:szCs w:val="18"/>
        </w:rPr>
      </w:pPr>
    </w:p>
    <w:p w14:paraId="5AEB34C4" w14:textId="77777777" w:rsidR="006705E6" w:rsidRPr="00FA457D" w:rsidRDefault="006705E6">
      <w:pPr>
        <w:tabs>
          <w:tab w:val="center" w:pos="3576"/>
          <w:tab w:val="left" w:pos="4280"/>
        </w:tabs>
        <w:spacing w:before="43"/>
        <w:ind w:right="1920"/>
        <w:jc w:val="center"/>
        <w:rPr>
          <w:b/>
          <w:sz w:val="18"/>
          <w:szCs w:val="18"/>
        </w:rPr>
      </w:pPr>
    </w:p>
    <w:p w14:paraId="134F70A2" w14:textId="77777777" w:rsidR="006705E6" w:rsidRPr="00FA457D" w:rsidRDefault="006705E6">
      <w:pPr>
        <w:tabs>
          <w:tab w:val="center" w:pos="3576"/>
          <w:tab w:val="left" w:pos="4280"/>
        </w:tabs>
        <w:spacing w:before="43"/>
        <w:ind w:right="1920"/>
        <w:jc w:val="center"/>
        <w:rPr>
          <w:b/>
          <w:sz w:val="18"/>
          <w:szCs w:val="18"/>
        </w:rPr>
      </w:pPr>
    </w:p>
    <w:p w14:paraId="0437B67B" w14:textId="77777777" w:rsidR="006705E6" w:rsidRPr="00FA457D" w:rsidRDefault="006705E6" w:rsidP="001E0C69">
      <w:pPr>
        <w:tabs>
          <w:tab w:val="center" w:pos="3576"/>
          <w:tab w:val="left" w:pos="4280"/>
        </w:tabs>
        <w:spacing w:before="43"/>
        <w:ind w:right="1920"/>
        <w:rPr>
          <w:b/>
          <w:sz w:val="18"/>
          <w:szCs w:val="18"/>
        </w:rPr>
      </w:pPr>
    </w:p>
    <w:p w14:paraId="520579FC" w14:textId="77777777" w:rsidR="006705E6" w:rsidRPr="00FA457D" w:rsidRDefault="006705E6">
      <w:pPr>
        <w:tabs>
          <w:tab w:val="center" w:pos="3576"/>
          <w:tab w:val="left" w:pos="4280"/>
        </w:tabs>
        <w:spacing w:before="43"/>
        <w:ind w:right="1920"/>
        <w:jc w:val="center"/>
        <w:rPr>
          <w:b/>
          <w:sz w:val="18"/>
          <w:szCs w:val="18"/>
        </w:rPr>
      </w:pPr>
    </w:p>
    <w:p w14:paraId="5FFE5CD6" w14:textId="77777777" w:rsidR="003C19B5" w:rsidRPr="00FA457D" w:rsidRDefault="003C19B5">
      <w:pPr>
        <w:tabs>
          <w:tab w:val="center" w:pos="3576"/>
          <w:tab w:val="left" w:pos="4280"/>
        </w:tabs>
        <w:spacing w:before="43"/>
        <w:ind w:right="1920"/>
        <w:jc w:val="center"/>
        <w:rPr>
          <w:b/>
          <w:sz w:val="18"/>
          <w:szCs w:val="18"/>
        </w:rPr>
      </w:pPr>
    </w:p>
    <w:p w14:paraId="726BBBA0" w14:textId="77777777" w:rsidR="003C19B5" w:rsidRPr="00FA457D" w:rsidRDefault="003C19B5">
      <w:pPr>
        <w:tabs>
          <w:tab w:val="center" w:pos="3576"/>
          <w:tab w:val="left" w:pos="4280"/>
        </w:tabs>
        <w:spacing w:before="43"/>
        <w:ind w:right="1920"/>
        <w:jc w:val="center"/>
        <w:rPr>
          <w:b/>
          <w:sz w:val="18"/>
          <w:szCs w:val="18"/>
        </w:rPr>
      </w:pPr>
    </w:p>
    <w:p w14:paraId="5782E1B2" w14:textId="77777777" w:rsidR="003C19B5" w:rsidRPr="00FA457D" w:rsidRDefault="003C19B5">
      <w:pPr>
        <w:tabs>
          <w:tab w:val="center" w:pos="3576"/>
          <w:tab w:val="left" w:pos="4280"/>
        </w:tabs>
        <w:spacing w:before="43"/>
        <w:ind w:right="1920"/>
        <w:jc w:val="center"/>
        <w:rPr>
          <w:b/>
          <w:sz w:val="18"/>
          <w:szCs w:val="18"/>
        </w:rPr>
      </w:pPr>
    </w:p>
    <w:p w14:paraId="0C115419" w14:textId="77777777" w:rsidR="003C19B5" w:rsidRPr="00FA457D" w:rsidRDefault="003C19B5">
      <w:pPr>
        <w:tabs>
          <w:tab w:val="center" w:pos="3576"/>
          <w:tab w:val="left" w:pos="4280"/>
        </w:tabs>
        <w:spacing w:before="43"/>
        <w:ind w:right="1920"/>
        <w:jc w:val="center"/>
        <w:rPr>
          <w:b/>
          <w:sz w:val="18"/>
          <w:szCs w:val="18"/>
        </w:rPr>
      </w:pPr>
    </w:p>
    <w:p w14:paraId="527E33EC" w14:textId="77777777" w:rsidR="003C19B5" w:rsidRPr="00FA457D" w:rsidRDefault="003C19B5">
      <w:pPr>
        <w:tabs>
          <w:tab w:val="center" w:pos="3576"/>
          <w:tab w:val="left" w:pos="4280"/>
        </w:tabs>
        <w:spacing w:before="43"/>
        <w:ind w:right="1920"/>
        <w:jc w:val="center"/>
        <w:rPr>
          <w:b/>
          <w:sz w:val="18"/>
          <w:szCs w:val="18"/>
        </w:rPr>
      </w:pPr>
    </w:p>
    <w:p w14:paraId="2129439A" w14:textId="77777777" w:rsidR="003C19B5" w:rsidRPr="00FA457D" w:rsidRDefault="003C19B5">
      <w:pPr>
        <w:tabs>
          <w:tab w:val="center" w:pos="3576"/>
          <w:tab w:val="left" w:pos="4280"/>
        </w:tabs>
        <w:spacing w:before="43"/>
        <w:ind w:right="1920"/>
        <w:jc w:val="center"/>
        <w:rPr>
          <w:b/>
          <w:sz w:val="18"/>
          <w:szCs w:val="18"/>
        </w:rPr>
      </w:pPr>
    </w:p>
    <w:p w14:paraId="47CFD560" w14:textId="77777777" w:rsidR="003C19B5" w:rsidRPr="00FA457D" w:rsidRDefault="003C19B5">
      <w:pPr>
        <w:tabs>
          <w:tab w:val="center" w:pos="3576"/>
          <w:tab w:val="left" w:pos="4280"/>
        </w:tabs>
        <w:spacing w:before="43"/>
        <w:ind w:right="1920"/>
        <w:jc w:val="center"/>
        <w:rPr>
          <w:b/>
          <w:sz w:val="18"/>
          <w:szCs w:val="18"/>
        </w:rPr>
      </w:pPr>
    </w:p>
    <w:p w14:paraId="3B81315F" w14:textId="77777777" w:rsidR="003C19B5" w:rsidRPr="00FA457D" w:rsidRDefault="003C19B5">
      <w:pPr>
        <w:tabs>
          <w:tab w:val="center" w:pos="3576"/>
          <w:tab w:val="left" w:pos="4280"/>
        </w:tabs>
        <w:spacing w:before="43"/>
        <w:ind w:right="1920"/>
        <w:jc w:val="center"/>
        <w:rPr>
          <w:b/>
          <w:sz w:val="18"/>
          <w:szCs w:val="18"/>
        </w:rPr>
      </w:pPr>
    </w:p>
    <w:p w14:paraId="1ECC8828" w14:textId="77777777" w:rsidR="003C19B5" w:rsidRPr="00FA457D" w:rsidRDefault="003C19B5">
      <w:pPr>
        <w:tabs>
          <w:tab w:val="center" w:pos="3576"/>
          <w:tab w:val="left" w:pos="4280"/>
        </w:tabs>
        <w:spacing w:before="43"/>
        <w:ind w:right="1920"/>
        <w:jc w:val="center"/>
        <w:rPr>
          <w:b/>
          <w:sz w:val="18"/>
          <w:szCs w:val="18"/>
        </w:rPr>
      </w:pPr>
    </w:p>
    <w:p w14:paraId="6358B5D0" w14:textId="77777777" w:rsidR="003C19B5" w:rsidRPr="00FA457D" w:rsidRDefault="003C19B5">
      <w:pPr>
        <w:tabs>
          <w:tab w:val="center" w:pos="3576"/>
          <w:tab w:val="left" w:pos="4280"/>
        </w:tabs>
        <w:spacing w:before="43"/>
        <w:ind w:right="1920"/>
        <w:jc w:val="center"/>
        <w:rPr>
          <w:b/>
          <w:sz w:val="18"/>
          <w:szCs w:val="18"/>
        </w:rPr>
      </w:pPr>
    </w:p>
    <w:p w14:paraId="0DFF397F" w14:textId="77777777" w:rsidR="003C19B5" w:rsidRPr="00FA457D" w:rsidRDefault="003C19B5">
      <w:pPr>
        <w:tabs>
          <w:tab w:val="center" w:pos="3576"/>
          <w:tab w:val="left" w:pos="4280"/>
        </w:tabs>
        <w:spacing w:before="43"/>
        <w:ind w:right="1920"/>
        <w:jc w:val="center"/>
        <w:rPr>
          <w:b/>
          <w:sz w:val="18"/>
          <w:szCs w:val="18"/>
        </w:rPr>
      </w:pPr>
    </w:p>
    <w:p w14:paraId="1D2DE57A" w14:textId="77777777" w:rsidR="003C19B5" w:rsidRPr="00FA457D" w:rsidRDefault="003C19B5">
      <w:pPr>
        <w:tabs>
          <w:tab w:val="center" w:pos="3576"/>
          <w:tab w:val="left" w:pos="4280"/>
        </w:tabs>
        <w:spacing w:before="43"/>
        <w:ind w:right="1920"/>
        <w:jc w:val="center"/>
        <w:rPr>
          <w:b/>
          <w:sz w:val="18"/>
          <w:szCs w:val="18"/>
        </w:rPr>
      </w:pPr>
    </w:p>
    <w:p w14:paraId="3685EBBD" w14:textId="77777777" w:rsidR="003C19B5" w:rsidRPr="00FA457D" w:rsidRDefault="003C19B5">
      <w:pPr>
        <w:tabs>
          <w:tab w:val="center" w:pos="3576"/>
          <w:tab w:val="left" w:pos="4280"/>
        </w:tabs>
        <w:spacing w:before="43"/>
        <w:ind w:right="1920"/>
        <w:jc w:val="center"/>
        <w:rPr>
          <w:b/>
          <w:sz w:val="18"/>
          <w:szCs w:val="18"/>
        </w:rPr>
      </w:pPr>
    </w:p>
    <w:p w14:paraId="14730B04" w14:textId="77777777" w:rsidR="003C19B5" w:rsidRPr="00FA457D" w:rsidRDefault="003C19B5">
      <w:pPr>
        <w:tabs>
          <w:tab w:val="center" w:pos="3576"/>
          <w:tab w:val="left" w:pos="4280"/>
        </w:tabs>
        <w:spacing w:before="43"/>
        <w:ind w:right="1920"/>
        <w:jc w:val="center"/>
        <w:rPr>
          <w:b/>
          <w:sz w:val="18"/>
          <w:szCs w:val="18"/>
        </w:rPr>
      </w:pPr>
    </w:p>
    <w:p w14:paraId="6BF89685" w14:textId="77777777" w:rsidR="008407A9" w:rsidRPr="00FA457D" w:rsidRDefault="008407A9">
      <w:pPr>
        <w:tabs>
          <w:tab w:val="center" w:pos="3576"/>
          <w:tab w:val="left" w:pos="4280"/>
        </w:tabs>
        <w:spacing w:before="43"/>
        <w:ind w:right="1920"/>
        <w:jc w:val="center"/>
        <w:rPr>
          <w:b/>
          <w:sz w:val="18"/>
          <w:szCs w:val="18"/>
        </w:rPr>
      </w:pPr>
    </w:p>
    <w:p w14:paraId="7C154971" w14:textId="25ABC071" w:rsidR="00F84AD5" w:rsidRPr="00FA457D" w:rsidRDefault="00F84AD5" w:rsidP="004F43B0">
      <w:pPr>
        <w:tabs>
          <w:tab w:val="left" w:pos="3084"/>
          <w:tab w:val="center" w:pos="3576"/>
          <w:tab w:val="left" w:pos="4280"/>
        </w:tabs>
        <w:spacing w:before="43"/>
        <w:ind w:right="1920"/>
        <w:rPr>
          <w:b/>
          <w:sz w:val="18"/>
          <w:szCs w:val="18"/>
        </w:rPr>
      </w:pPr>
    </w:p>
    <w:p w14:paraId="57AF5BFA" w14:textId="77777777" w:rsidR="00F84AD5" w:rsidRPr="00FA457D" w:rsidRDefault="00F84AD5">
      <w:pPr>
        <w:tabs>
          <w:tab w:val="left" w:pos="1632"/>
        </w:tabs>
        <w:jc w:val="center"/>
        <w:rPr>
          <w:sz w:val="18"/>
          <w:szCs w:val="18"/>
        </w:rPr>
      </w:pPr>
    </w:p>
    <w:p w14:paraId="7D685D42" w14:textId="77777777" w:rsidR="00F84AD5" w:rsidRPr="00FA457D" w:rsidRDefault="00AC051C">
      <w:pPr>
        <w:tabs>
          <w:tab w:val="left" w:pos="1632"/>
        </w:tabs>
        <w:jc w:val="center"/>
        <w:rPr>
          <w:sz w:val="18"/>
          <w:szCs w:val="18"/>
        </w:rPr>
      </w:pPr>
      <w:r w:rsidRPr="00FA457D">
        <w:rPr>
          <w:noProof/>
          <w:sz w:val="18"/>
          <w:szCs w:val="18"/>
        </w:rPr>
        <mc:AlternateContent>
          <mc:Choice Requires="wps">
            <w:drawing>
              <wp:anchor distT="0" distB="0" distL="114300" distR="114300" simplePos="0" relativeHeight="251654144" behindDoc="0" locked="0" layoutInCell="1" hidden="0" allowOverlap="1" wp14:anchorId="0D40684D" wp14:editId="11A46486">
                <wp:simplePos x="0" y="0"/>
                <wp:positionH relativeFrom="column">
                  <wp:posOffset>-274955</wp:posOffset>
                </wp:positionH>
                <wp:positionV relativeFrom="paragraph">
                  <wp:posOffset>88265</wp:posOffset>
                </wp:positionV>
                <wp:extent cx="6375400" cy="586740"/>
                <wp:effectExtent l="0" t="0" r="0" b="3810"/>
                <wp:wrapNone/>
                <wp:docPr id="1860148528" name="Dikdörtgen 1860148528"/>
                <wp:cNvGraphicFramePr/>
                <a:graphic xmlns:a="http://schemas.openxmlformats.org/drawingml/2006/main">
                  <a:graphicData uri="http://schemas.microsoft.com/office/word/2010/wordprocessingShape">
                    <wps:wsp>
                      <wps:cNvSpPr/>
                      <wps:spPr>
                        <a:xfrm>
                          <a:off x="0" y="0"/>
                          <a:ext cx="6375400" cy="586740"/>
                        </a:xfrm>
                        <a:prstGeom prst="rect">
                          <a:avLst/>
                        </a:prstGeom>
                        <a:noFill/>
                        <a:ln>
                          <a:noFill/>
                        </a:ln>
                      </wps:spPr>
                      <wps:txbx>
                        <w:txbxContent>
                          <w:p w14:paraId="6BB38703" w14:textId="77777777" w:rsidR="00F84AD5" w:rsidRDefault="00F84AD5">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D40684D" id="Dikdörtgen 1860148528" o:spid="_x0000_s1028" style="position:absolute;left:0;text-align:left;margin-left:-21.65pt;margin-top:6.95pt;width:502pt;height:46.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" filled="f" stroked="f">
                <v:textbox inset="2.53958mm,1.2694mm,2.53958mm,1.2694mm">
                  <w:txbxContent>
                    <w:p w14:paraId="6BB38703" w14:textId="77777777" w:rsidR="00F84AD5" w:rsidRDefault="00F84AD5">
                      <w:pPr>
                        <w:textDirection w:val="btLr"/>
                      </w:pPr>
                    </w:p>
                  </w:txbxContent>
                </v:textbox>
              </v:rect>
            </w:pict>
          </mc:Fallback>
        </mc:AlternateContent>
      </w:r>
    </w:p>
    <w:p w14:paraId="27CEAC35" w14:textId="77777777" w:rsidR="00F84AD5" w:rsidRPr="00FA457D" w:rsidRDefault="00F84AD5">
      <w:pPr>
        <w:pBdr>
          <w:top w:val="nil"/>
          <w:left w:val="nil"/>
          <w:bottom w:val="nil"/>
          <w:right w:val="nil"/>
          <w:between w:val="nil"/>
        </w:pBdr>
        <w:spacing w:before="10"/>
        <w:rPr>
          <w:color w:val="000000"/>
          <w:sz w:val="18"/>
          <w:szCs w:val="18"/>
        </w:rPr>
      </w:pPr>
    </w:p>
    <w:p w14:paraId="3EB13137" w14:textId="3F1EE79C" w:rsidR="00F84AD5" w:rsidRPr="00FA457D" w:rsidRDefault="00F84AD5">
      <w:pPr>
        <w:spacing w:before="43"/>
        <w:ind w:right="1924"/>
        <w:jc w:val="center"/>
        <w:rPr>
          <w:sz w:val="18"/>
          <w:szCs w:val="18"/>
        </w:rPr>
      </w:pPr>
    </w:p>
    <w:p w14:paraId="674A0958" w14:textId="77777777" w:rsidR="001B253C" w:rsidRPr="00FA457D" w:rsidRDefault="001B253C">
      <w:pPr>
        <w:spacing w:before="59"/>
        <w:ind w:left="1584" w:right="1925"/>
        <w:jc w:val="center"/>
        <w:rPr>
          <w:b/>
          <w:color w:val="C4483B"/>
          <w:sz w:val="18"/>
          <w:szCs w:val="18"/>
        </w:rPr>
      </w:pPr>
    </w:p>
    <w:p w14:paraId="062027CB" w14:textId="77777777" w:rsidR="000C6508" w:rsidRDefault="000C6508">
      <w:pPr>
        <w:spacing w:before="59"/>
        <w:ind w:left="1584" w:right="1925"/>
        <w:jc w:val="center"/>
        <w:rPr>
          <w:b/>
          <w:sz w:val="18"/>
          <w:szCs w:val="18"/>
        </w:rPr>
      </w:pPr>
    </w:p>
    <w:p w14:paraId="073D890B" w14:textId="77777777" w:rsidR="000C6508" w:rsidRDefault="000C6508">
      <w:pPr>
        <w:spacing w:before="59"/>
        <w:ind w:left="1584" w:right="1925"/>
        <w:jc w:val="center"/>
        <w:rPr>
          <w:b/>
          <w:sz w:val="18"/>
          <w:szCs w:val="18"/>
        </w:rPr>
      </w:pPr>
    </w:p>
    <w:p w14:paraId="6684E82B" w14:textId="77777777" w:rsidR="000C6508" w:rsidRDefault="000C6508">
      <w:pPr>
        <w:spacing w:before="59"/>
        <w:ind w:left="1584" w:right="1925"/>
        <w:jc w:val="center"/>
        <w:rPr>
          <w:b/>
          <w:sz w:val="18"/>
          <w:szCs w:val="18"/>
        </w:rPr>
      </w:pPr>
    </w:p>
    <w:p w14:paraId="06B0A757" w14:textId="77777777" w:rsidR="000C6508" w:rsidRDefault="000C6508">
      <w:pPr>
        <w:spacing w:before="59"/>
        <w:ind w:left="1584" w:right="1925"/>
        <w:jc w:val="center"/>
        <w:rPr>
          <w:b/>
          <w:sz w:val="18"/>
          <w:szCs w:val="18"/>
        </w:rPr>
      </w:pPr>
    </w:p>
    <w:p w14:paraId="0BD74F66" w14:textId="77777777" w:rsidR="000C6508" w:rsidRDefault="000C6508">
      <w:pPr>
        <w:spacing w:before="59"/>
        <w:ind w:left="1584" w:right="1925"/>
        <w:jc w:val="center"/>
        <w:rPr>
          <w:b/>
          <w:sz w:val="18"/>
          <w:szCs w:val="18"/>
        </w:rPr>
      </w:pPr>
    </w:p>
    <w:p w14:paraId="4CC934F3" w14:textId="77777777" w:rsidR="000C6508" w:rsidRDefault="000C6508">
      <w:pPr>
        <w:spacing w:before="59"/>
        <w:ind w:left="1584" w:right="1925"/>
        <w:jc w:val="center"/>
        <w:rPr>
          <w:b/>
          <w:sz w:val="18"/>
          <w:szCs w:val="18"/>
        </w:rPr>
      </w:pPr>
    </w:p>
    <w:p w14:paraId="563F0A4C" w14:textId="77777777" w:rsidR="000C6508" w:rsidRDefault="000C6508">
      <w:pPr>
        <w:spacing w:before="59"/>
        <w:ind w:left="1584" w:right="1925"/>
        <w:jc w:val="center"/>
        <w:rPr>
          <w:b/>
          <w:sz w:val="18"/>
          <w:szCs w:val="18"/>
        </w:rPr>
      </w:pPr>
    </w:p>
    <w:p w14:paraId="45E0792C" w14:textId="77777777" w:rsidR="000C6508" w:rsidRDefault="000C6508">
      <w:pPr>
        <w:spacing w:before="59"/>
        <w:ind w:left="1584" w:right="1925"/>
        <w:jc w:val="center"/>
        <w:rPr>
          <w:b/>
          <w:sz w:val="18"/>
          <w:szCs w:val="18"/>
        </w:rPr>
      </w:pPr>
    </w:p>
    <w:p w14:paraId="2F96D558" w14:textId="77777777" w:rsidR="000C6508" w:rsidRDefault="000C6508">
      <w:pPr>
        <w:spacing w:before="59"/>
        <w:ind w:left="1584" w:right="1925"/>
        <w:jc w:val="center"/>
        <w:rPr>
          <w:b/>
          <w:sz w:val="18"/>
          <w:szCs w:val="18"/>
        </w:rPr>
      </w:pPr>
    </w:p>
    <w:p w14:paraId="754651A0" w14:textId="77777777" w:rsidR="000C6508" w:rsidRDefault="000C6508">
      <w:pPr>
        <w:spacing w:before="59"/>
        <w:ind w:left="1584" w:right="1925"/>
        <w:jc w:val="center"/>
        <w:rPr>
          <w:b/>
          <w:sz w:val="18"/>
          <w:szCs w:val="18"/>
        </w:rPr>
      </w:pPr>
    </w:p>
    <w:p w14:paraId="617E9512" w14:textId="77777777" w:rsidR="000C6508" w:rsidRDefault="000C6508">
      <w:pPr>
        <w:spacing w:before="59"/>
        <w:ind w:left="1584" w:right="1925"/>
        <w:jc w:val="center"/>
        <w:rPr>
          <w:b/>
          <w:sz w:val="18"/>
          <w:szCs w:val="18"/>
        </w:rPr>
      </w:pPr>
    </w:p>
    <w:p w14:paraId="6DCCE74A" w14:textId="77777777" w:rsidR="000C6508" w:rsidRDefault="000C6508">
      <w:pPr>
        <w:spacing w:before="59"/>
        <w:ind w:left="1584" w:right="1925"/>
        <w:jc w:val="center"/>
        <w:rPr>
          <w:b/>
          <w:sz w:val="18"/>
          <w:szCs w:val="18"/>
        </w:rPr>
      </w:pPr>
    </w:p>
    <w:p w14:paraId="5B3C7C99" w14:textId="77777777" w:rsidR="000C6508" w:rsidRDefault="000C6508">
      <w:pPr>
        <w:spacing w:before="59"/>
        <w:ind w:left="1584" w:right="1925"/>
        <w:jc w:val="center"/>
        <w:rPr>
          <w:b/>
          <w:sz w:val="18"/>
          <w:szCs w:val="18"/>
        </w:rPr>
      </w:pPr>
    </w:p>
    <w:p w14:paraId="168FB250" w14:textId="77777777" w:rsidR="000C6508" w:rsidRDefault="000C6508">
      <w:pPr>
        <w:spacing w:before="59"/>
        <w:ind w:left="1584" w:right="1925"/>
        <w:jc w:val="center"/>
        <w:rPr>
          <w:b/>
          <w:sz w:val="18"/>
          <w:szCs w:val="18"/>
        </w:rPr>
      </w:pPr>
    </w:p>
    <w:p w14:paraId="21082CE4" w14:textId="77777777" w:rsidR="00312740" w:rsidRDefault="00312740">
      <w:pPr>
        <w:spacing w:before="59"/>
        <w:ind w:left="1584" w:right="1925"/>
        <w:jc w:val="center"/>
        <w:rPr>
          <w:b/>
          <w:sz w:val="18"/>
          <w:szCs w:val="18"/>
        </w:rPr>
      </w:pPr>
    </w:p>
    <w:p w14:paraId="3DFC3CDC" w14:textId="77777777" w:rsidR="00312740" w:rsidRDefault="00312740">
      <w:pPr>
        <w:spacing w:before="59"/>
        <w:ind w:left="1584" w:right="1925"/>
        <w:jc w:val="center"/>
        <w:rPr>
          <w:b/>
          <w:sz w:val="18"/>
          <w:szCs w:val="18"/>
        </w:rPr>
      </w:pPr>
    </w:p>
    <w:p w14:paraId="4AC2C11A" w14:textId="3E7A87DC" w:rsidR="001B253C" w:rsidRPr="00FA457D" w:rsidRDefault="00E96195">
      <w:pPr>
        <w:spacing w:before="59"/>
        <w:ind w:left="1584" w:right="1925"/>
        <w:jc w:val="center"/>
        <w:rPr>
          <w:b/>
          <w:sz w:val="18"/>
          <w:szCs w:val="18"/>
        </w:rPr>
      </w:pPr>
      <w:r w:rsidRPr="00FA457D">
        <w:rPr>
          <w:b/>
          <w:sz w:val="18"/>
          <w:szCs w:val="18"/>
        </w:rPr>
        <w:t>ISBN:</w:t>
      </w:r>
      <w:r w:rsidR="004F3C98" w:rsidRPr="004F3C98">
        <w:t xml:space="preserve"> </w:t>
      </w:r>
      <w:r w:rsidR="004F3C98" w:rsidRPr="004F3C98">
        <w:rPr>
          <w:b/>
          <w:sz w:val="18"/>
          <w:szCs w:val="18"/>
        </w:rPr>
        <w:t>978-605-71213-8-7</w:t>
      </w:r>
    </w:p>
    <w:p w14:paraId="165DC3CB" w14:textId="46A5A761" w:rsidR="00E96195" w:rsidRPr="00FA457D" w:rsidRDefault="00B8756D" w:rsidP="00DA5A57">
      <w:pPr>
        <w:ind w:left="1584" w:right="1925"/>
        <w:jc w:val="center"/>
        <w:rPr>
          <w:bCs/>
          <w:sz w:val="18"/>
          <w:szCs w:val="18"/>
        </w:rPr>
      </w:pPr>
      <w:r w:rsidRPr="00FA457D">
        <w:rPr>
          <w:b/>
          <w:sz w:val="18"/>
          <w:szCs w:val="18"/>
        </w:rPr>
        <w:t xml:space="preserve">Adres: </w:t>
      </w:r>
      <w:r w:rsidR="00602017" w:rsidRPr="00FA457D">
        <w:rPr>
          <w:bCs/>
          <w:sz w:val="18"/>
          <w:szCs w:val="18"/>
        </w:rPr>
        <w:t xml:space="preserve">Maltepe </w:t>
      </w:r>
      <w:proofErr w:type="spellStart"/>
      <w:r w:rsidR="00602017" w:rsidRPr="00FA457D">
        <w:rPr>
          <w:bCs/>
          <w:sz w:val="18"/>
          <w:szCs w:val="18"/>
        </w:rPr>
        <w:t>M</w:t>
      </w:r>
      <w:r w:rsidR="00194237" w:rsidRPr="00FA457D">
        <w:rPr>
          <w:bCs/>
          <w:sz w:val="18"/>
          <w:szCs w:val="18"/>
        </w:rPr>
        <w:t>h</w:t>
      </w:r>
      <w:proofErr w:type="spellEnd"/>
      <w:r w:rsidR="00194237" w:rsidRPr="00FA457D">
        <w:rPr>
          <w:bCs/>
          <w:sz w:val="18"/>
          <w:szCs w:val="18"/>
        </w:rPr>
        <w:t xml:space="preserve">. Şehit Gönenç </w:t>
      </w:r>
      <w:proofErr w:type="spellStart"/>
      <w:r w:rsidR="00194237" w:rsidRPr="00FA457D">
        <w:rPr>
          <w:bCs/>
          <w:sz w:val="18"/>
          <w:szCs w:val="18"/>
        </w:rPr>
        <w:t>C</w:t>
      </w:r>
      <w:r w:rsidR="00295C04" w:rsidRPr="00FA457D">
        <w:rPr>
          <w:bCs/>
          <w:sz w:val="18"/>
          <w:szCs w:val="18"/>
        </w:rPr>
        <w:t>d</w:t>
      </w:r>
      <w:proofErr w:type="spellEnd"/>
      <w:r w:rsidR="00295C04" w:rsidRPr="00FA457D">
        <w:rPr>
          <w:bCs/>
          <w:sz w:val="18"/>
          <w:szCs w:val="18"/>
        </w:rPr>
        <w:t xml:space="preserve">. </w:t>
      </w:r>
      <w:r w:rsidR="0056444A" w:rsidRPr="00FA457D">
        <w:rPr>
          <w:bCs/>
          <w:sz w:val="18"/>
          <w:szCs w:val="18"/>
        </w:rPr>
        <w:t>No:5</w:t>
      </w:r>
      <w:r w:rsidR="000E3987" w:rsidRPr="00FA457D">
        <w:rPr>
          <w:bCs/>
          <w:sz w:val="18"/>
          <w:szCs w:val="18"/>
        </w:rPr>
        <w:t xml:space="preserve"> Çankaya Ankara</w:t>
      </w:r>
    </w:p>
    <w:p w14:paraId="798A2CE6" w14:textId="77777777" w:rsidR="00F84AD5" w:rsidRPr="00D42316" w:rsidRDefault="00F84AD5">
      <w:pPr>
        <w:sectPr w:rsidR="00F84AD5" w:rsidRPr="00D42316" w:rsidSect="007513A1">
          <w:headerReference w:type="default" r:id="rId15"/>
          <w:type w:val="continuous"/>
          <w:pgSz w:w="11906" w:h="16838"/>
          <w:pgMar w:top="1418" w:right="1418" w:bottom="1418" w:left="1418" w:header="1304" w:footer="1361" w:gutter="0"/>
          <w:cols w:space="708"/>
        </w:sectPr>
      </w:pPr>
    </w:p>
    <w:p w14:paraId="44E97D6D" w14:textId="77777777" w:rsidR="00F84AD5" w:rsidRPr="00D42316" w:rsidRDefault="00F84AD5">
      <w:pPr>
        <w:tabs>
          <w:tab w:val="left" w:pos="5162"/>
        </w:tabs>
      </w:pPr>
    </w:p>
    <w:sdt>
      <w:sdtPr>
        <w:rPr>
          <w:rFonts w:eastAsia="Times New Roman" w:cs="Times New Roman"/>
          <w:b w:val="0"/>
          <w:sz w:val="24"/>
          <w:szCs w:val="24"/>
        </w:rPr>
        <w:id w:val="-2137941498"/>
        <w:docPartObj>
          <w:docPartGallery w:val="Table of Contents"/>
          <w:docPartUnique/>
        </w:docPartObj>
      </w:sdtPr>
      <w:sdtEndPr>
        <w:rPr>
          <w:bCs/>
          <w:noProof/>
        </w:rPr>
      </w:sdtEndPr>
      <w:sdtContent>
        <w:p w14:paraId="3E1D0B50" w14:textId="2901ACA5" w:rsidR="009F0AE3" w:rsidRDefault="009F0AE3">
          <w:pPr>
            <w:pStyle w:val="TBal"/>
          </w:pPr>
          <w:r>
            <w:t>İçindekiler Tablosu</w:t>
          </w:r>
        </w:p>
        <w:p w14:paraId="20814EC9" w14:textId="15B5AB20" w:rsidR="005A58C7" w:rsidRDefault="009F0AE3">
          <w:pPr>
            <w:pStyle w:val="T1"/>
            <w:rPr>
              <w:rFonts w:eastAsiaTheme="minorEastAsia" w:cstheme="minorBidi"/>
              <w:b w:val="0"/>
              <w:bCs w:val="0"/>
              <w:noProof/>
              <w:kern w:val="2"/>
              <w:sz w:val="24"/>
              <w:szCs w:val="24"/>
              <w14:ligatures w14:val="standardContextual"/>
            </w:rPr>
          </w:pPr>
          <w:r>
            <w:fldChar w:fldCharType="begin"/>
          </w:r>
          <w:r>
            <w:instrText xml:space="preserve"> TOC \o "1-1" \h \z \u </w:instrText>
          </w:r>
          <w:r>
            <w:fldChar w:fldCharType="separate"/>
          </w:r>
          <w:hyperlink w:anchor="_Toc192855135" w:history="1">
            <w:r w:rsidR="005A58C7" w:rsidRPr="002A2BE0">
              <w:rPr>
                <w:rStyle w:val="Kpr"/>
                <w:rFonts w:eastAsiaTheme="majorEastAsia"/>
                <w:noProof/>
              </w:rPr>
              <w:t>SUNUŞ</w:t>
            </w:r>
            <w:r w:rsidR="005A58C7">
              <w:rPr>
                <w:noProof/>
                <w:webHidden/>
              </w:rPr>
              <w:tab/>
            </w:r>
            <w:r w:rsidR="005A58C7">
              <w:rPr>
                <w:noProof/>
                <w:webHidden/>
              </w:rPr>
              <w:fldChar w:fldCharType="begin"/>
            </w:r>
            <w:r w:rsidR="005A58C7">
              <w:rPr>
                <w:noProof/>
                <w:webHidden/>
              </w:rPr>
              <w:instrText xml:space="preserve"> PAGEREF _Toc192855135 \h </w:instrText>
            </w:r>
            <w:r w:rsidR="005A58C7">
              <w:rPr>
                <w:noProof/>
                <w:webHidden/>
              </w:rPr>
            </w:r>
            <w:r w:rsidR="005A58C7">
              <w:rPr>
                <w:noProof/>
                <w:webHidden/>
              </w:rPr>
              <w:fldChar w:fldCharType="separate"/>
            </w:r>
            <w:r w:rsidR="003B72F6">
              <w:rPr>
                <w:noProof/>
                <w:webHidden/>
              </w:rPr>
              <w:t>2</w:t>
            </w:r>
            <w:r w:rsidR="005A58C7">
              <w:rPr>
                <w:noProof/>
                <w:webHidden/>
              </w:rPr>
              <w:fldChar w:fldCharType="end"/>
            </w:r>
          </w:hyperlink>
        </w:p>
        <w:p w14:paraId="1BB84040" w14:textId="4A3C10B4" w:rsidR="005A58C7" w:rsidRDefault="005A58C7">
          <w:pPr>
            <w:pStyle w:val="T1"/>
            <w:rPr>
              <w:rFonts w:eastAsiaTheme="minorEastAsia" w:cstheme="minorBidi"/>
              <w:b w:val="0"/>
              <w:bCs w:val="0"/>
              <w:noProof/>
              <w:kern w:val="2"/>
              <w:sz w:val="24"/>
              <w:szCs w:val="24"/>
              <w14:ligatures w14:val="standardContextual"/>
            </w:rPr>
          </w:pPr>
          <w:hyperlink w:anchor="_Toc192855136" w:history="1">
            <w:r w:rsidRPr="002A2BE0">
              <w:rPr>
                <w:rStyle w:val="Kpr"/>
                <w:rFonts w:eastAsiaTheme="majorEastAsia"/>
                <w:noProof/>
              </w:rPr>
              <w:t>Basit Görüntüleme Verileri Üzerinden Ciltte Karsinom Yapıların Kestirimi: Bir Veri Yapılandırma ve İstatistiksel Öğrenme Araştırması</w:t>
            </w:r>
            <w:r>
              <w:rPr>
                <w:noProof/>
                <w:webHidden/>
              </w:rPr>
              <w:tab/>
            </w:r>
            <w:r>
              <w:rPr>
                <w:noProof/>
                <w:webHidden/>
              </w:rPr>
              <w:fldChar w:fldCharType="begin"/>
            </w:r>
            <w:r>
              <w:rPr>
                <w:noProof/>
                <w:webHidden/>
              </w:rPr>
              <w:instrText xml:space="preserve"> PAGEREF _Toc192855136 \h </w:instrText>
            </w:r>
            <w:r>
              <w:rPr>
                <w:noProof/>
                <w:webHidden/>
              </w:rPr>
            </w:r>
            <w:r>
              <w:rPr>
                <w:noProof/>
                <w:webHidden/>
              </w:rPr>
              <w:fldChar w:fldCharType="separate"/>
            </w:r>
            <w:r w:rsidR="003B72F6">
              <w:rPr>
                <w:noProof/>
                <w:webHidden/>
              </w:rPr>
              <w:t>4</w:t>
            </w:r>
            <w:r>
              <w:rPr>
                <w:noProof/>
                <w:webHidden/>
              </w:rPr>
              <w:fldChar w:fldCharType="end"/>
            </w:r>
          </w:hyperlink>
        </w:p>
        <w:p w14:paraId="068598D1" w14:textId="70FAB592" w:rsidR="005A58C7" w:rsidRDefault="005A58C7">
          <w:pPr>
            <w:pStyle w:val="T1"/>
            <w:rPr>
              <w:rFonts w:eastAsiaTheme="minorEastAsia" w:cstheme="minorBidi"/>
              <w:b w:val="0"/>
              <w:bCs w:val="0"/>
              <w:noProof/>
              <w:kern w:val="2"/>
              <w:sz w:val="24"/>
              <w:szCs w:val="24"/>
              <w14:ligatures w14:val="standardContextual"/>
            </w:rPr>
          </w:pPr>
          <w:hyperlink w:anchor="_Toc192855137" w:history="1">
            <w:r w:rsidRPr="002A2BE0">
              <w:rPr>
                <w:rStyle w:val="Kpr"/>
                <w:rFonts w:eastAsiaTheme="majorEastAsia"/>
                <w:noProof/>
              </w:rPr>
              <w:t>Yapay Zeka Müziği ve Türk Müziğinde Sonuçları: Bir Vaka Analizi</w:t>
            </w:r>
            <w:r>
              <w:rPr>
                <w:noProof/>
                <w:webHidden/>
              </w:rPr>
              <w:tab/>
            </w:r>
            <w:r>
              <w:rPr>
                <w:noProof/>
                <w:webHidden/>
              </w:rPr>
              <w:fldChar w:fldCharType="begin"/>
            </w:r>
            <w:r>
              <w:rPr>
                <w:noProof/>
                <w:webHidden/>
              </w:rPr>
              <w:instrText xml:space="preserve"> PAGEREF _Toc192855137 \h </w:instrText>
            </w:r>
            <w:r>
              <w:rPr>
                <w:noProof/>
                <w:webHidden/>
              </w:rPr>
            </w:r>
            <w:r>
              <w:rPr>
                <w:noProof/>
                <w:webHidden/>
              </w:rPr>
              <w:fldChar w:fldCharType="separate"/>
            </w:r>
            <w:r w:rsidR="003B72F6">
              <w:rPr>
                <w:noProof/>
                <w:webHidden/>
              </w:rPr>
              <w:t>5</w:t>
            </w:r>
            <w:r>
              <w:rPr>
                <w:noProof/>
                <w:webHidden/>
              </w:rPr>
              <w:fldChar w:fldCharType="end"/>
            </w:r>
          </w:hyperlink>
        </w:p>
        <w:p w14:paraId="4E443AEE" w14:textId="7A98822A" w:rsidR="005A58C7" w:rsidRDefault="005A58C7">
          <w:pPr>
            <w:pStyle w:val="T1"/>
            <w:rPr>
              <w:rFonts w:eastAsiaTheme="minorEastAsia" w:cstheme="minorBidi"/>
              <w:b w:val="0"/>
              <w:bCs w:val="0"/>
              <w:noProof/>
              <w:kern w:val="2"/>
              <w:sz w:val="24"/>
              <w:szCs w:val="24"/>
              <w14:ligatures w14:val="standardContextual"/>
            </w:rPr>
          </w:pPr>
          <w:hyperlink w:anchor="_Toc192855138" w:history="1">
            <w:r w:rsidRPr="002A2BE0">
              <w:rPr>
                <w:rStyle w:val="Kpr"/>
                <w:rFonts w:eastAsiaTheme="majorEastAsia"/>
                <w:noProof/>
              </w:rPr>
              <w:t>Ever Considered UMAP For A Better Imputation?</w:t>
            </w:r>
            <w:r>
              <w:rPr>
                <w:noProof/>
                <w:webHidden/>
              </w:rPr>
              <w:tab/>
            </w:r>
            <w:r>
              <w:rPr>
                <w:noProof/>
                <w:webHidden/>
              </w:rPr>
              <w:fldChar w:fldCharType="begin"/>
            </w:r>
            <w:r>
              <w:rPr>
                <w:noProof/>
                <w:webHidden/>
              </w:rPr>
              <w:instrText xml:space="preserve"> PAGEREF _Toc192855138 \h </w:instrText>
            </w:r>
            <w:r>
              <w:rPr>
                <w:noProof/>
                <w:webHidden/>
              </w:rPr>
            </w:r>
            <w:r>
              <w:rPr>
                <w:noProof/>
                <w:webHidden/>
              </w:rPr>
              <w:fldChar w:fldCharType="separate"/>
            </w:r>
            <w:r w:rsidR="003B72F6">
              <w:rPr>
                <w:noProof/>
                <w:webHidden/>
              </w:rPr>
              <w:t>7</w:t>
            </w:r>
            <w:r>
              <w:rPr>
                <w:noProof/>
                <w:webHidden/>
              </w:rPr>
              <w:fldChar w:fldCharType="end"/>
            </w:r>
          </w:hyperlink>
        </w:p>
        <w:p w14:paraId="2A958E5C" w14:textId="26486E0D" w:rsidR="005A58C7" w:rsidRDefault="005A58C7">
          <w:pPr>
            <w:pStyle w:val="T1"/>
            <w:rPr>
              <w:rFonts w:eastAsiaTheme="minorEastAsia" w:cstheme="minorBidi"/>
              <w:b w:val="0"/>
              <w:bCs w:val="0"/>
              <w:noProof/>
              <w:kern w:val="2"/>
              <w:sz w:val="24"/>
              <w:szCs w:val="24"/>
              <w14:ligatures w14:val="standardContextual"/>
            </w:rPr>
          </w:pPr>
          <w:hyperlink w:anchor="_Toc192855139" w:history="1">
            <w:r w:rsidRPr="002A2BE0">
              <w:rPr>
                <w:rStyle w:val="Kpr"/>
                <w:rFonts w:eastAsiaTheme="majorEastAsia"/>
                <w:noProof/>
              </w:rPr>
              <w:t xml:space="preserve">“Gelenekten Geleceğe: Cinuçen Tanrıkorur’un Çocuk Şarkılarında Manevi Miras” </w:t>
            </w:r>
            <w:r>
              <w:rPr>
                <w:noProof/>
                <w:webHidden/>
              </w:rPr>
              <w:tab/>
            </w:r>
            <w:r>
              <w:rPr>
                <w:noProof/>
                <w:webHidden/>
              </w:rPr>
              <w:fldChar w:fldCharType="begin"/>
            </w:r>
            <w:r>
              <w:rPr>
                <w:noProof/>
                <w:webHidden/>
              </w:rPr>
              <w:instrText xml:space="preserve"> PAGEREF _Toc192855139 \h </w:instrText>
            </w:r>
            <w:r>
              <w:rPr>
                <w:noProof/>
                <w:webHidden/>
              </w:rPr>
            </w:r>
            <w:r>
              <w:rPr>
                <w:noProof/>
                <w:webHidden/>
              </w:rPr>
              <w:fldChar w:fldCharType="separate"/>
            </w:r>
            <w:r w:rsidR="003B72F6">
              <w:rPr>
                <w:noProof/>
                <w:webHidden/>
              </w:rPr>
              <w:t>8</w:t>
            </w:r>
            <w:r>
              <w:rPr>
                <w:noProof/>
                <w:webHidden/>
              </w:rPr>
              <w:fldChar w:fldCharType="end"/>
            </w:r>
          </w:hyperlink>
        </w:p>
        <w:p w14:paraId="4683275A" w14:textId="36A07C61" w:rsidR="005A58C7" w:rsidRDefault="005A58C7">
          <w:pPr>
            <w:pStyle w:val="T1"/>
            <w:rPr>
              <w:rFonts w:eastAsiaTheme="minorEastAsia" w:cstheme="minorBidi"/>
              <w:b w:val="0"/>
              <w:bCs w:val="0"/>
              <w:noProof/>
              <w:kern w:val="2"/>
              <w:sz w:val="24"/>
              <w:szCs w:val="24"/>
              <w14:ligatures w14:val="standardContextual"/>
            </w:rPr>
          </w:pPr>
          <w:hyperlink w:anchor="_Toc192855140" w:history="1">
            <w:r w:rsidRPr="002A2BE0">
              <w:rPr>
                <w:rStyle w:val="Kpr"/>
                <w:rFonts w:eastAsiaTheme="majorEastAsia"/>
                <w:noProof/>
              </w:rPr>
              <w:t>Düşünce Özgürlüğünün Wilhelm von Humboldt’un Über Religion [Din Üzerine] Fragmanı Üzerinden İncelenmesi</w:t>
            </w:r>
            <w:r>
              <w:rPr>
                <w:noProof/>
                <w:webHidden/>
              </w:rPr>
              <w:tab/>
            </w:r>
            <w:r>
              <w:rPr>
                <w:noProof/>
                <w:webHidden/>
              </w:rPr>
              <w:fldChar w:fldCharType="begin"/>
            </w:r>
            <w:r>
              <w:rPr>
                <w:noProof/>
                <w:webHidden/>
              </w:rPr>
              <w:instrText xml:space="preserve"> PAGEREF _Toc192855140 \h </w:instrText>
            </w:r>
            <w:r>
              <w:rPr>
                <w:noProof/>
                <w:webHidden/>
              </w:rPr>
            </w:r>
            <w:r>
              <w:rPr>
                <w:noProof/>
                <w:webHidden/>
              </w:rPr>
              <w:fldChar w:fldCharType="separate"/>
            </w:r>
            <w:r w:rsidR="003B72F6">
              <w:rPr>
                <w:noProof/>
                <w:webHidden/>
              </w:rPr>
              <w:t>29</w:t>
            </w:r>
            <w:r>
              <w:rPr>
                <w:noProof/>
                <w:webHidden/>
              </w:rPr>
              <w:fldChar w:fldCharType="end"/>
            </w:r>
          </w:hyperlink>
        </w:p>
        <w:p w14:paraId="30898FEC" w14:textId="692539B8" w:rsidR="005A58C7" w:rsidRDefault="005A58C7">
          <w:pPr>
            <w:pStyle w:val="T1"/>
            <w:rPr>
              <w:rFonts w:eastAsiaTheme="minorEastAsia" w:cstheme="minorBidi"/>
              <w:b w:val="0"/>
              <w:bCs w:val="0"/>
              <w:noProof/>
              <w:kern w:val="2"/>
              <w:sz w:val="24"/>
              <w:szCs w:val="24"/>
              <w14:ligatures w14:val="standardContextual"/>
            </w:rPr>
          </w:pPr>
          <w:hyperlink w:anchor="_Toc192855141" w:history="1">
            <w:r w:rsidRPr="002A2BE0">
              <w:rPr>
                <w:rStyle w:val="Kpr"/>
                <w:rFonts w:eastAsiaTheme="majorEastAsia"/>
                <w:noProof/>
              </w:rPr>
              <w:t>Siber Suç Farkındalığı: Üniversite Öğrencileri Arasında Siber Zorbalık İçin Bir Kalkan mı Katalizör mü?</w:t>
            </w:r>
            <w:r>
              <w:rPr>
                <w:noProof/>
                <w:webHidden/>
              </w:rPr>
              <w:tab/>
            </w:r>
            <w:r>
              <w:rPr>
                <w:noProof/>
                <w:webHidden/>
              </w:rPr>
              <w:fldChar w:fldCharType="begin"/>
            </w:r>
            <w:r>
              <w:rPr>
                <w:noProof/>
                <w:webHidden/>
              </w:rPr>
              <w:instrText xml:space="preserve"> PAGEREF _Toc192855141 \h </w:instrText>
            </w:r>
            <w:r>
              <w:rPr>
                <w:noProof/>
                <w:webHidden/>
              </w:rPr>
            </w:r>
            <w:r>
              <w:rPr>
                <w:noProof/>
                <w:webHidden/>
              </w:rPr>
              <w:fldChar w:fldCharType="separate"/>
            </w:r>
            <w:r w:rsidR="003B72F6">
              <w:rPr>
                <w:noProof/>
                <w:webHidden/>
              </w:rPr>
              <w:t>30</w:t>
            </w:r>
            <w:r>
              <w:rPr>
                <w:noProof/>
                <w:webHidden/>
              </w:rPr>
              <w:fldChar w:fldCharType="end"/>
            </w:r>
          </w:hyperlink>
        </w:p>
        <w:p w14:paraId="28631D9D" w14:textId="0C0FC703" w:rsidR="005A58C7" w:rsidRDefault="005A58C7">
          <w:pPr>
            <w:pStyle w:val="T1"/>
            <w:rPr>
              <w:rFonts w:eastAsiaTheme="minorEastAsia" w:cstheme="minorBidi"/>
              <w:b w:val="0"/>
              <w:bCs w:val="0"/>
              <w:noProof/>
              <w:kern w:val="2"/>
              <w:sz w:val="24"/>
              <w:szCs w:val="24"/>
              <w14:ligatures w14:val="standardContextual"/>
            </w:rPr>
          </w:pPr>
          <w:hyperlink w:anchor="_Toc192855142" w:history="1">
            <w:r w:rsidRPr="002A2BE0">
              <w:rPr>
                <w:rStyle w:val="Kpr"/>
                <w:rFonts w:eastAsiaTheme="majorEastAsia"/>
                <w:noProof/>
              </w:rPr>
              <w:t>Cybercrime Awareness: A Shield or Catalyst for Cyberbullying Among University Students?</w:t>
            </w:r>
            <w:r>
              <w:rPr>
                <w:noProof/>
                <w:webHidden/>
              </w:rPr>
              <w:tab/>
            </w:r>
            <w:r>
              <w:rPr>
                <w:noProof/>
                <w:webHidden/>
              </w:rPr>
              <w:fldChar w:fldCharType="begin"/>
            </w:r>
            <w:r>
              <w:rPr>
                <w:noProof/>
                <w:webHidden/>
              </w:rPr>
              <w:instrText xml:space="preserve"> PAGEREF _Toc192855142 \h </w:instrText>
            </w:r>
            <w:r>
              <w:rPr>
                <w:noProof/>
                <w:webHidden/>
              </w:rPr>
            </w:r>
            <w:r>
              <w:rPr>
                <w:noProof/>
                <w:webHidden/>
              </w:rPr>
              <w:fldChar w:fldCharType="separate"/>
            </w:r>
            <w:r w:rsidR="003B72F6">
              <w:rPr>
                <w:noProof/>
                <w:webHidden/>
              </w:rPr>
              <w:t>31</w:t>
            </w:r>
            <w:r>
              <w:rPr>
                <w:noProof/>
                <w:webHidden/>
              </w:rPr>
              <w:fldChar w:fldCharType="end"/>
            </w:r>
          </w:hyperlink>
        </w:p>
        <w:p w14:paraId="7D73D172" w14:textId="7C0C2020" w:rsidR="005A58C7" w:rsidRDefault="005A58C7">
          <w:pPr>
            <w:pStyle w:val="T1"/>
            <w:rPr>
              <w:rFonts w:eastAsiaTheme="minorEastAsia" w:cstheme="minorBidi"/>
              <w:b w:val="0"/>
              <w:bCs w:val="0"/>
              <w:noProof/>
              <w:kern w:val="2"/>
              <w:sz w:val="24"/>
              <w:szCs w:val="24"/>
              <w14:ligatures w14:val="standardContextual"/>
            </w:rPr>
          </w:pPr>
          <w:hyperlink w:anchor="_Toc192855143" w:history="1">
            <w:r w:rsidRPr="002A2BE0">
              <w:rPr>
                <w:rStyle w:val="Kpr"/>
                <w:rFonts w:eastAsiaTheme="majorEastAsia"/>
                <w:noProof/>
              </w:rPr>
              <w:t>Razzaza Gölü'nün (Irak) 40 Yıllık Değişimi: Su Yönetimi ve İklim Etkileri</w:t>
            </w:r>
            <w:r>
              <w:rPr>
                <w:noProof/>
                <w:webHidden/>
              </w:rPr>
              <w:tab/>
            </w:r>
            <w:r>
              <w:rPr>
                <w:noProof/>
                <w:webHidden/>
              </w:rPr>
              <w:fldChar w:fldCharType="begin"/>
            </w:r>
            <w:r>
              <w:rPr>
                <w:noProof/>
                <w:webHidden/>
              </w:rPr>
              <w:instrText xml:space="preserve"> PAGEREF _Toc192855143 \h </w:instrText>
            </w:r>
            <w:r>
              <w:rPr>
                <w:noProof/>
                <w:webHidden/>
              </w:rPr>
            </w:r>
            <w:r>
              <w:rPr>
                <w:noProof/>
                <w:webHidden/>
              </w:rPr>
              <w:fldChar w:fldCharType="separate"/>
            </w:r>
            <w:r w:rsidR="003B72F6">
              <w:rPr>
                <w:noProof/>
                <w:webHidden/>
              </w:rPr>
              <w:t>32</w:t>
            </w:r>
            <w:r>
              <w:rPr>
                <w:noProof/>
                <w:webHidden/>
              </w:rPr>
              <w:fldChar w:fldCharType="end"/>
            </w:r>
          </w:hyperlink>
        </w:p>
        <w:p w14:paraId="5F36F235" w14:textId="4E26D2F9" w:rsidR="005A58C7" w:rsidRDefault="005A58C7">
          <w:pPr>
            <w:pStyle w:val="T1"/>
            <w:rPr>
              <w:rFonts w:eastAsiaTheme="minorEastAsia" w:cstheme="minorBidi"/>
              <w:b w:val="0"/>
              <w:bCs w:val="0"/>
              <w:noProof/>
              <w:kern w:val="2"/>
              <w:sz w:val="24"/>
              <w:szCs w:val="24"/>
              <w14:ligatures w14:val="standardContextual"/>
            </w:rPr>
          </w:pPr>
          <w:hyperlink w:anchor="_Toc192855144" w:history="1">
            <w:r w:rsidRPr="002A2BE0">
              <w:rPr>
                <w:rStyle w:val="Kpr"/>
                <w:rFonts w:eastAsiaTheme="majorEastAsia"/>
                <w:noProof/>
              </w:rPr>
              <w:t>Örnek Vakalarla Terörist İnovasyon</w:t>
            </w:r>
            <w:r>
              <w:rPr>
                <w:noProof/>
                <w:webHidden/>
              </w:rPr>
              <w:tab/>
            </w:r>
            <w:r>
              <w:rPr>
                <w:noProof/>
                <w:webHidden/>
              </w:rPr>
              <w:fldChar w:fldCharType="begin"/>
            </w:r>
            <w:r>
              <w:rPr>
                <w:noProof/>
                <w:webHidden/>
              </w:rPr>
              <w:instrText xml:space="preserve"> PAGEREF _Toc192855144 \h </w:instrText>
            </w:r>
            <w:r>
              <w:rPr>
                <w:noProof/>
                <w:webHidden/>
              </w:rPr>
            </w:r>
            <w:r>
              <w:rPr>
                <w:noProof/>
                <w:webHidden/>
              </w:rPr>
              <w:fldChar w:fldCharType="separate"/>
            </w:r>
            <w:r w:rsidR="003B72F6">
              <w:rPr>
                <w:noProof/>
                <w:webHidden/>
              </w:rPr>
              <w:t>35</w:t>
            </w:r>
            <w:r>
              <w:rPr>
                <w:noProof/>
                <w:webHidden/>
              </w:rPr>
              <w:fldChar w:fldCharType="end"/>
            </w:r>
          </w:hyperlink>
        </w:p>
        <w:p w14:paraId="59F6B564" w14:textId="208B6ADF" w:rsidR="005A58C7" w:rsidRDefault="005A58C7">
          <w:pPr>
            <w:pStyle w:val="T1"/>
            <w:rPr>
              <w:rFonts w:eastAsiaTheme="minorEastAsia" w:cstheme="minorBidi"/>
              <w:b w:val="0"/>
              <w:bCs w:val="0"/>
              <w:noProof/>
              <w:kern w:val="2"/>
              <w:sz w:val="24"/>
              <w:szCs w:val="24"/>
              <w14:ligatures w14:val="standardContextual"/>
            </w:rPr>
          </w:pPr>
          <w:hyperlink w:anchor="_Toc192855145" w:history="1">
            <w:r w:rsidRPr="002A2BE0">
              <w:rPr>
                <w:rStyle w:val="Kpr"/>
                <w:rFonts w:eastAsiaTheme="majorEastAsia"/>
                <w:noProof/>
              </w:rPr>
              <w:t>Romantik İlişkilerde Belirsizliğin Yarattığı Kaygı Ölçeği: Geçerlik ve Güvenirlik Çalışması</w:t>
            </w:r>
            <w:r>
              <w:rPr>
                <w:noProof/>
                <w:webHidden/>
              </w:rPr>
              <w:tab/>
            </w:r>
            <w:r>
              <w:rPr>
                <w:noProof/>
                <w:webHidden/>
              </w:rPr>
              <w:fldChar w:fldCharType="begin"/>
            </w:r>
            <w:r>
              <w:rPr>
                <w:noProof/>
                <w:webHidden/>
              </w:rPr>
              <w:instrText xml:space="preserve"> PAGEREF _Toc192855145 \h </w:instrText>
            </w:r>
            <w:r>
              <w:rPr>
                <w:noProof/>
                <w:webHidden/>
              </w:rPr>
            </w:r>
            <w:r>
              <w:rPr>
                <w:noProof/>
                <w:webHidden/>
              </w:rPr>
              <w:fldChar w:fldCharType="separate"/>
            </w:r>
            <w:r w:rsidR="003B72F6">
              <w:rPr>
                <w:noProof/>
                <w:webHidden/>
              </w:rPr>
              <w:t>36</w:t>
            </w:r>
            <w:r>
              <w:rPr>
                <w:noProof/>
                <w:webHidden/>
              </w:rPr>
              <w:fldChar w:fldCharType="end"/>
            </w:r>
          </w:hyperlink>
        </w:p>
        <w:p w14:paraId="6899AADF" w14:textId="677C4582" w:rsidR="005A58C7" w:rsidRDefault="005A58C7">
          <w:pPr>
            <w:pStyle w:val="T1"/>
            <w:rPr>
              <w:rFonts w:eastAsiaTheme="minorEastAsia" w:cstheme="minorBidi"/>
              <w:b w:val="0"/>
              <w:bCs w:val="0"/>
              <w:noProof/>
              <w:kern w:val="2"/>
              <w:sz w:val="24"/>
              <w:szCs w:val="24"/>
              <w14:ligatures w14:val="standardContextual"/>
            </w:rPr>
          </w:pPr>
          <w:hyperlink w:anchor="_Toc192855146" w:history="1">
            <w:r w:rsidRPr="002A2BE0">
              <w:rPr>
                <w:rStyle w:val="Kpr"/>
                <w:rFonts w:eastAsiaTheme="majorEastAsia"/>
                <w:noProof/>
              </w:rPr>
              <w:t>Gençlerde Bağlanma Stilleri ile Depresyon, Anksiyete ve Stres Düzeyleri Arasındaki İlişkinin İncelenmesi*</w:t>
            </w:r>
            <w:r>
              <w:rPr>
                <w:noProof/>
                <w:webHidden/>
              </w:rPr>
              <w:tab/>
            </w:r>
            <w:r>
              <w:rPr>
                <w:noProof/>
                <w:webHidden/>
              </w:rPr>
              <w:fldChar w:fldCharType="begin"/>
            </w:r>
            <w:r>
              <w:rPr>
                <w:noProof/>
                <w:webHidden/>
              </w:rPr>
              <w:instrText xml:space="preserve"> PAGEREF _Toc192855146 \h </w:instrText>
            </w:r>
            <w:r>
              <w:rPr>
                <w:noProof/>
                <w:webHidden/>
              </w:rPr>
            </w:r>
            <w:r>
              <w:rPr>
                <w:noProof/>
                <w:webHidden/>
              </w:rPr>
              <w:fldChar w:fldCharType="separate"/>
            </w:r>
            <w:r w:rsidR="003B72F6">
              <w:rPr>
                <w:noProof/>
                <w:webHidden/>
              </w:rPr>
              <w:t>43</w:t>
            </w:r>
            <w:r>
              <w:rPr>
                <w:noProof/>
                <w:webHidden/>
              </w:rPr>
              <w:fldChar w:fldCharType="end"/>
            </w:r>
          </w:hyperlink>
        </w:p>
        <w:p w14:paraId="6A3D1C47" w14:textId="3D9BE417" w:rsidR="005A58C7" w:rsidRDefault="005A58C7">
          <w:pPr>
            <w:pStyle w:val="T1"/>
            <w:rPr>
              <w:rFonts w:eastAsiaTheme="minorEastAsia" w:cstheme="minorBidi"/>
              <w:b w:val="0"/>
              <w:bCs w:val="0"/>
              <w:noProof/>
              <w:kern w:val="2"/>
              <w:sz w:val="24"/>
              <w:szCs w:val="24"/>
              <w14:ligatures w14:val="standardContextual"/>
            </w:rPr>
          </w:pPr>
          <w:hyperlink w:anchor="_Toc192855147" w:history="1">
            <w:r w:rsidRPr="002A2BE0">
              <w:rPr>
                <w:rStyle w:val="Kpr"/>
                <w:rFonts w:eastAsiaTheme="majorEastAsia"/>
                <w:noProof/>
                <w:highlight w:val="white"/>
              </w:rPr>
              <w:t>Genç Yetişkinlerin Eko Kaygı Düzeylerinin Demografik Değişkenler Açısından İncelenmesi</w:t>
            </w:r>
            <w:r>
              <w:rPr>
                <w:noProof/>
                <w:webHidden/>
              </w:rPr>
              <w:tab/>
            </w:r>
            <w:r>
              <w:rPr>
                <w:noProof/>
                <w:webHidden/>
              </w:rPr>
              <w:fldChar w:fldCharType="begin"/>
            </w:r>
            <w:r>
              <w:rPr>
                <w:noProof/>
                <w:webHidden/>
              </w:rPr>
              <w:instrText xml:space="preserve"> PAGEREF _Toc192855147 \h </w:instrText>
            </w:r>
            <w:r>
              <w:rPr>
                <w:noProof/>
                <w:webHidden/>
              </w:rPr>
            </w:r>
            <w:r>
              <w:rPr>
                <w:noProof/>
                <w:webHidden/>
              </w:rPr>
              <w:fldChar w:fldCharType="separate"/>
            </w:r>
            <w:r w:rsidR="003B72F6">
              <w:rPr>
                <w:noProof/>
                <w:webHidden/>
              </w:rPr>
              <w:t>47</w:t>
            </w:r>
            <w:r>
              <w:rPr>
                <w:noProof/>
                <w:webHidden/>
              </w:rPr>
              <w:fldChar w:fldCharType="end"/>
            </w:r>
          </w:hyperlink>
        </w:p>
        <w:p w14:paraId="4572C5E1" w14:textId="6B614E19" w:rsidR="005A58C7" w:rsidRDefault="005A58C7">
          <w:pPr>
            <w:pStyle w:val="T1"/>
            <w:rPr>
              <w:rFonts w:eastAsiaTheme="minorEastAsia" w:cstheme="minorBidi"/>
              <w:b w:val="0"/>
              <w:bCs w:val="0"/>
              <w:noProof/>
              <w:kern w:val="2"/>
              <w:sz w:val="24"/>
              <w:szCs w:val="24"/>
              <w14:ligatures w14:val="standardContextual"/>
            </w:rPr>
          </w:pPr>
          <w:hyperlink w:anchor="_Toc192855148" w:history="1">
            <w:r w:rsidRPr="002A2BE0">
              <w:rPr>
                <w:rStyle w:val="Kpr"/>
                <w:rFonts w:eastAsiaTheme="majorEastAsia"/>
                <w:noProof/>
                <w:highlight w:val="white"/>
              </w:rPr>
              <w:t>Examination of Young Adult’s Eco Anxiety Levels in Terms of Demographical Variables</w:t>
            </w:r>
            <w:r>
              <w:rPr>
                <w:noProof/>
                <w:webHidden/>
              </w:rPr>
              <w:tab/>
            </w:r>
            <w:r>
              <w:rPr>
                <w:noProof/>
                <w:webHidden/>
              </w:rPr>
              <w:fldChar w:fldCharType="begin"/>
            </w:r>
            <w:r>
              <w:rPr>
                <w:noProof/>
                <w:webHidden/>
              </w:rPr>
              <w:instrText xml:space="preserve"> PAGEREF _Toc192855148 \h </w:instrText>
            </w:r>
            <w:r>
              <w:rPr>
                <w:noProof/>
                <w:webHidden/>
              </w:rPr>
            </w:r>
            <w:r>
              <w:rPr>
                <w:noProof/>
                <w:webHidden/>
              </w:rPr>
              <w:fldChar w:fldCharType="separate"/>
            </w:r>
            <w:r w:rsidR="003B72F6">
              <w:rPr>
                <w:noProof/>
                <w:webHidden/>
              </w:rPr>
              <w:t>48</w:t>
            </w:r>
            <w:r>
              <w:rPr>
                <w:noProof/>
                <w:webHidden/>
              </w:rPr>
              <w:fldChar w:fldCharType="end"/>
            </w:r>
          </w:hyperlink>
        </w:p>
        <w:p w14:paraId="5F1E2CC4" w14:textId="3F7B9D34" w:rsidR="005A58C7" w:rsidRDefault="005A58C7">
          <w:pPr>
            <w:pStyle w:val="T1"/>
            <w:rPr>
              <w:rFonts w:eastAsiaTheme="minorEastAsia" w:cstheme="minorBidi"/>
              <w:b w:val="0"/>
              <w:bCs w:val="0"/>
              <w:noProof/>
              <w:kern w:val="2"/>
              <w:sz w:val="24"/>
              <w:szCs w:val="24"/>
              <w14:ligatures w14:val="standardContextual"/>
            </w:rPr>
          </w:pPr>
          <w:hyperlink w:anchor="_Toc192855149" w:history="1">
            <w:r w:rsidRPr="002A2BE0">
              <w:rPr>
                <w:rStyle w:val="Kpr"/>
                <w:rFonts w:eastAsiaTheme="majorEastAsia"/>
                <w:noProof/>
              </w:rPr>
              <w:t>Felaket Kaydırması, Prososyal Davranışlar ve Depresyon, Anksiyete ve Stres Düzeyleri Arasındaki İlişkilerin İncelenmesi</w:t>
            </w:r>
            <w:r>
              <w:rPr>
                <w:noProof/>
                <w:webHidden/>
              </w:rPr>
              <w:tab/>
            </w:r>
            <w:r>
              <w:rPr>
                <w:noProof/>
                <w:webHidden/>
              </w:rPr>
              <w:fldChar w:fldCharType="begin"/>
            </w:r>
            <w:r>
              <w:rPr>
                <w:noProof/>
                <w:webHidden/>
              </w:rPr>
              <w:instrText xml:space="preserve"> PAGEREF _Toc192855149 \h </w:instrText>
            </w:r>
            <w:r>
              <w:rPr>
                <w:noProof/>
                <w:webHidden/>
              </w:rPr>
            </w:r>
            <w:r>
              <w:rPr>
                <w:noProof/>
                <w:webHidden/>
              </w:rPr>
              <w:fldChar w:fldCharType="separate"/>
            </w:r>
            <w:r w:rsidR="003B72F6">
              <w:rPr>
                <w:noProof/>
                <w:webHidden/>
              </w:rPr>
              <w:t>49</w:t>
            </w:r>
            <w:r>
              <w:rPr>
                <w:noProof/>
                <w:webHidden/>
              </w:rPr>
              <w:fldChar w:fldCharType="end"/>
            </w:r>
          </w:hyperlink>
        </w:p>
        <w:p w14:paraId="23A847DA" w14:textId="41A9BD14" w:rsidR="005A58C7" w:rsidRDefault="005A58C7">
          <w:pPr>
            <w:pStyle w:val="T1"/>
            <w:rPr>
              <w:rFonts w:eastAsiaTheme="minorEastAsia" w:cstheme="minorBidi"/>
              <w:b w:val="0"/>
              <w:bCs w:val="0"/>
              <w:noProof/>
              <w:kern w:val="2"/>
              <w:sz w:val="24"/>
              <w:szCs w:val="24"/>
              <w14:ligatures w14:val="standardContextual"/>
            </w:rPr>
          </w:pPr>
          <w:hyperlink w:anchor="_Toc192855150" w:history="1">
            <w:r w:rsidRPr="002A2BE0">
              <w:rPr>
                <w:rStyle w:val="Kpr"/>
                <w:rFonts w:eastAsiaTheme="majorEastAsia"/>
                <w:noProof/>
              </w:rPr>
              <w:t xml:space="preserve">Afrika’da İnsan Haklarının Güçlendirilmesi ve İdam Cezalarının Kaldırılmasında Afrika İnsan ve Halkların Hakları Mahkemesi’nin Rolü ve Önemi: </w:t>
            </w:r>
            <w:r w:rsidRPr="002A2BE0">
              <w:rPr>
                <w:rStyle w:val="Kpr"/>
                <w:rFonts w:eastAsiaTheme="majorEastAsia"/>
                <w:i/>
                <w:iCs/>
                <w:noProof/>
              </w:rPr>
              <w:t>4 Haziran 2024 Tarihli Kararlar Işığında Bir İnceleme</w:t>
            </w:r>
            <w:r>
              <w:rPr>
                <w:noProof/>
                <w:webHidden/>
              </w:rPr>
              <w:tab/>
            </w:r>
            <w:r>
              <w:rPr>
                <w:noProof/>
                <w:webHidden/>
              </w:rPr>
              <w:fldChar w:fldCharType="begin"/>
            </w:r>
            <w:r>
              <w:rPr>
                <w:noProof/>
                <w:webHidden/>
              </w:rPr>
              <w:instrText xml:space="preserve"> PAGEREF _Toc192855150 \h </w:instrText>
            </w:r>
            <w:r>
              <w:rPr>
                <w:noProof/>
                <w:webHidden/>
              </w:rPr>
            </w:r>
            <w:r>
              <w:rPr>
                <w:noProof/>
                <w:webHidden/>
              </w:rPr>
              <w:fldChar w:fldCharType="separate"/>
            </w:r>
            <w:r w:rsidR="003B72F6">
              <w:rPr>
                <w:noProof/>
                <w:webHidden/>
              </w:rPr>
              <w:t>55</w:t>
            </w:r>
            <w:r>
              <w:rPr>
                <w:noProof/>
                <w:webHidden/>
              </w:rPr>
              <w:fldChar w:fldCharType="end"/>
            </w:r>
          </w:hyperlink>
        </w:p>
        <w:p w14:paraId="09D93836" w14:textId="2A8106DF" w:rsidR="005A58C7" w:rsidRDefault="005A58C7">
          <w:pPr>
            <w:pStyle w:val="T1"/>
            <w:rPr>
              <w:rFonts w:eastAsiaTheme="minorEastAsia" w:cstheme="minorBidi"/>
              <w:b w:val="0"/>
              <w:bCs w:val="0"/>
              <w:noProof/>
              <w:kern w:val="2"/>
              <w:sz w:val="24"/>
              <w:szCs w:val="24"/>
              <w14:ligatures w14:val="standardContextual"/>
            </w:rPr>
          </w:pPr>
          <w:hyperlink w:anchor="_Toc192855151" w:history="1">
            <w:r w:rsidRPr="002A2BE0">
              <w:rPr>
                <w:rStyle w:val="Kpr"/>
                <w:rFonts w:eastAsiaTheme="majorEastAsia"/>
                <w:noProof/>
              </w:rPr>
              <w:t>Türk Cumhuriyetleri’nin Rusya-Ukrayna Savaşına Tepkisi: Kazakistan Örneği</w:t>
            </w:r>
            <w:r>
              <w:rPr>
                <w:noProof/>
                <w:webHidden/>
              </w:rPr>
              <w:tab/>
            </w:r>
            <w:r>
              <w:rPr>
                <w:noProof/>
                <w:webHidden/>
              </w:rPr>
              <w:fldChar w:fldCharType="begin"/>
            </w:r>
            <w:r>
              <w:rPr>
                <w:noProof/>
                <w:webHidden/>
              </w:rPr>
              <w:instrText xml:space="preserve"> PAGEREF _Toc192855151 \h </w:instrText>
            </w:r>
            <w:r>
              <w:rPr>
                <w:noProof/>
                <w:webHidden/>
              </w:rPr>
            </w:r>
            <w:r>
              <w:rPr>
                <w:noProof/>
                <w:webHidden/>
              </w:rPr>
              <w:fldChar w:fldCharType="separate"/>
            </w:r>
            <w:r w:rsidR="003B72F6">
              <w:rPr>
                <w:noProof/>
                <w:webHidden/>
              </w:rPr>
              <w:t>63</w:t>
            </w:r>
            <w:r>
              <w:rPr>
                <w:noProof/>
                <w:webHidden/>
              </w:rPr>
              <w:fldChar w:fldCharType="end"/>
            </w:r>
          </w:hyperlink>
        </w:p>
        <w:p w14:paraId="6D4E2411" w14:textId="727F95FF" w:rsidR="005A58C7" w:rsidRDefault="005A58C7">
          <w:pPr>
            <w:pStyle w:val="T1"/>
            <w:rPr>
              <w:rFonts w:eastAsiaTheme="minorEastAsia" w:cstheme="minorBidi"/>
              <w:b w:val="0"/>
              <w:bCs w:val="0"/>
              <w:noProof/>
              <w:kern w:val="2"/>
              <w:sz w:val="24"/>
              <w:szCs w:val="24"/>
              <w14:ligatures w14:val="standardContextual"/>
            </w:rPr>
          </w:pPr>
          <w:hyperlink w:anchor="_Toc192855152" w:history="1">
            <w:r w:rsidRPr="002A2BE0">
              <w:rPr>
                <w:rStyle w:val="Kpr"/>
                <w:rFonts w:eastAsiaTheme="majorEastAsia"/>
                <w:noProof/>
              </w:rPr>
              <w:t>İşsizlik ve İstihdam</w:t>
            </w:r>
            <w:r>
              <w:rPr>
                <w:noProof/>
                <w:webHidden/>
              </w:rPr>
              <w:tab/>
            </w:r>
            <w:r>
              <w:rPr>
                <w:noProof/>
                <w:webHidden/>
              </w:rPr>
              <w:fldChar w:fldCharType="begin"/>
            </w:r>
            <w:r>
              <w:rPr>
                <w:noProof/>
                <w:webHidden/>
              </w:rPr>
              <w:instrText xml:space="preserve"> PAGEREF _Toc192855152 \h </w:instrText>
            </w:r>
            <w:r>
              <w:rPr>
                <w:noProof/>
                <w:webHidden/>
              </w:rPr>
            </w:r>
            <w:r>
              <w:rPr>
                <w:noProof/>
                <w:webHidden/>
              </w:rPr>
              <w:fldChar w:fldCharType="separate"/>
            </w:r>
            <w:r w:rsidR="003B72F6">
              <w:rPr>
                <w:noProof/>
                <w:webHidden/>
              </w:rPr>
              <w:t>84</w:t>
            </w:r>
            <w:r>
              <w:rPr>
                <w:noProof/>
                <w:webHidden/>
              </w:rPr>
              <w:fldChar w:fldCharType="end"/>
            </w:r>
          </w:hyperlink>
        </w:p>
        <w:p w14:paraId="69CA7FB5" w14:textId="566C2222" w:rsidR="005A58C7" w:rsidRDefault="005A58C7">
          <w:pPr>
            <w:pStyle w:val="T1"/>
            <w:rPr>
              <w:rFonts w:eastAsiaTheme="minorEastAsia" w:cstheme="minorBidi"/>
              <w:b w:val="0"/>
              <w:bCs w:val="0"/>
              <w:noProof/>
              <w:kern w:val="2"/>
              <w:sz w:val="24"/>
              <w:szCs w:val="24"/>
              <w14:ligatures w14:val="standardContextual"/>
            </w:rPr>
          </w:pPr>
          <w:hyperlink w:anchor="_Toc192855153" w:history="1">
            <w:r w:rsidRPr="002A2BE0">
              <w:rPr>
                <w:rStyle w:val="Kpr"/>
                <w:rFonts w:eastAsiaTheme="majorEastAsia"/>
                <w:noProof/>
              </w:rPr>
              <w:t>Girişimcilik Eğitimleri: Tecrübeye Dayalı Bir Yöntem Olarak Mentörlük</w:t>
            </w:r>
            <w:r>
              <w:rPr>
                <w:noProof/>
                <w:webHidden/>
              </w:rPr>
              <w:tab/>
            </w:r>
            <w:r>
              <w:rPr>
                <w:noProof/>
                <w:webHidden/>
              </w:rPr>
              <w:fldChar w:fldCharType="begin"/>
            </w:r>
            <w:r>
              <w:rPr>
                <w:noProof/>
                <w:webHidden/>
              </w:rPr>
              <w:instrText xml:space="preserve"> PAGEREF _Toc192855153 \h </w:instrText>
            </w:r>
            <w:r>
              <w:rPr>
                <w:noProof/>
                <w:webHidden/>
              </w:rPr>
            </w:r>
            <w:r>
              <w:rPr>
                <w:noProof/>
                <w:webHidden/>
              </w:rPr>
              <w:fldChar w:fldCharType="separate"/>
            </w:r>
            <w:r w:rsidR="003B72F6">
              <w:rPr>
                <w:noProof/>
                <w:webHidden/>
              </w:rPr>
              <w:t>85</w:t>
            </w:r>
            <w:r>
              <w:rPr>
                <w:noProof/>
                <w:webHidden/>
              </w:rPr>
              <w:fldChar w:fldCharType="end"/>
            </w:r>
          </w:hyperlink>
        </w:p>
        <w:p w14:paraId="18923360" w14:textId="2AAACCC6" w:rsidR="005A58C7" w:rsidRDefault="005A58C7">
          <w:pPr>
            <w:pStyle w:val="T1"/>
            <w:rPr>
              <w:rFonts w:eastAsiaTheme="minorEastAsia" w:cstheme="minorBidi"/>
              <w:b w:val="0"/>
              <w:bCs w:val="0"/>
              <w:noProof/>
              <w:kern w:val="2"/>
              <w:sz w:val="24"/>
              <w:szCs w:val="24"/>
              <w14:ligatures w14:val="standardContextual"/>
            </w:rPr>
          </w:pPr>
          <w:hyperlink w:anchor="_Toc192855154" w:history="1">
            <w:r w:rsidRPr="002A2BE0">
              <w:rPr>
                <w:rStyle w:val="Kpr"/>
                <w:rFonts w:eastAsiaTheme="majorEastAsia"/>
                <w:i/>
                <w:noProof/>
              </w:rPr>
              <w:t xml:space="preserve">A Woman is No Man. </w:t>
            </w:r>
            <w:r w:rsidRPr="002A2BE0">
              <w:rPr>
                <w:rStyle w:val="Kpr"/>
                <w:rFonts w:eastAsiaTheme="majorEastAsia"/>
                <w:noProof/>
              </w:rPr>
              <w:t xml:space="preserve">A Translator is (No) Author? Questioning the Shared Inferiority of Women and Translators through the Turkish Translation of Etaf Rum’s </w:t>
            </w:r>
            <w:r w:rsidRPr="002A2BE0">
              <w:rPr>
                <w:rStyle w:val="Kpr"/>
                <w:rFonts w:eastAsiaTheme="majorEastAsia"/>
                <w:i/>
                <w:noProof/>
              </w:rPr>
              <w:t xml:space="preserve">A Woman is No Man </w:t>
            </w:r>
            <w:r w:rsidRPr="002A2BE0">
              <w:rPr>
                <w:rStyle w:val="Kpr"/>
                <w:rFonts w:eastAsiaTheme="majorEastAsia"/>
                <w:noProof/>
              </w:rPr>
              <w:t>within Feminist Translation Studies</w:t>
            </w:r>
            <w:r>
              <w:rPr>
                <w:noProof/>
                <w:webHidden/>
              </w:rPr>
              <w:tab/>
            </w:r>
            <w:r>
              <w:rPr>
                <w:noProof/>
                <w:webHidden/>
              </w:rPr>
              <w:fldChar w:fldCharType="begin"/>
            </w:r>
            <w:r>
              <w:rPr>
                <w:noProof/>
                <w:webHidden/>
              </w:rPr>
              <w:instrText xml:space="preserve"> PAGEREF _Toc192855154 \h </w:instrText>
            </w:r>
            <w:r>
              <w:rPr>
                <w:noProof/>
                <w:webHidden/>
              </w:rPr>
            </w:r>
            <w:r>
              <w:rPr>
                <w:noProof/>
                <w:webHidden/>
              </w:rPr>
              <w:fldChar w:fldCharType="separate"/>
            </w:r>
            <w:r w:rsidR="003B72F6">
              <w:rPr>
                <w:noProof/>
                <w:webHidden/>
              </w:rPr>
              <w:t>87</w:t>
            </w:r>
            <w:r>
              <w:rPr>
                <w:noProof/>
                <w:webHidden/>
              </w:rPr>
              <w:fldChar w:fldCharType="end"/>
            </w:r>
          </w:hyperlink>
        </w:p>
        <w:p w14:paraId="3BC99D93" w14:textId="1305D74A" w:rsidR="005A58C7" w:rsidRDefault="005A58C7">
          <w:pPr>
            <w:pStyle w:val="T1"/>
            <w:rPr>
              <w:rFonts w:eastAsiaTheme="minorEastAsia" w:cstheme="minorBidi"/>
              <w:b w:val="0"/>
              <w:bCs w:val="0"/>
              <w:noProof/>
              <w:kern w:val="2"/>
              <w:sz w:val="24"/>
              <w:szCs w:val="24"/>
              <w14:ligatures w14:val="standardContextual"/>
            </w:rPr>
          </w:pPr>
          <w:hyperlink w:anchor="_Toc192855155" w:history="1">
            <w:r w:rsidRPr="002A2BE0">
              <w:rPr>
                <w:rStyle w:val="Kpr"/>
                <w:rFonts w:eastAsiaTheme="majorEastAsia"/>
                <w:noProof/>
              </w:rPr>
              <w:t>Zamanı Çevirmek: ‘On Yıl’ Örneği</w:t>
            </w:r>
            <w:r>
              <w:rPr>
                <w:noProof/>
                <w:webHidden/>
              </w:rPr>
              <w:tab/>
            </w:r>
            <w:r>
              <w:rPr>
                <w:noProof/>
                <w:webHidden/>
              </w:rPr>
              <w:fldChar w:fldCharType="begin"/>
            </w:r>
            <w:r>
              <w:rPr>
                <w:noProof/>
                <w:webHidden/>
              </w:rPr>
              <w:instrText xml:space="preserve"> PAGEREF _Toc192855155 \h </w:instrText>
            </w:r>
            <w:r>
              <w:rPr>
                <w:noProof/>
                <w:webHidden/>
              </w:rPr>
            </w:r>
            <w:r>
              <w:rPr>
                <w:noProof/>
                <w:webHidden/>
              </w:rPr>
              <w:fldChar w:fldCharType="separate"/>
            </w:r>
            <w:r w:rsidR="003B72F6">
              <w:rPr>
                <w:noProof/>
                <w:webHidden/>
              </w:rPr>
              <w:t>88</w:t>
            </w:r>
            <w:r>
              <w:rPr>
                <w:noProof/>
                <w:webHidden/>
              </w:rPr>
              <w:fldChar w:fldCharType="end"/>
            </w:r>
          </w:hyperlink>
        </w:p>
        <w:p w14:paraId="40AEF6FB" w14:textId="23A1455F" w:rsidR="005A58C7" w:rsidRDefault="005A58C7">
          <w:pPr>
            <w:pStyle w:val="T1"/>
            <w:rPr>
              <w:rFonts w:eastAsiaTheme="minorEastAsia" w:cstheme="minorBidi"/>
              <w:b w:val="0"/>
              <w:bCs w:val="0"/>
              <w:noProof/>
              <w:kern w:val="2"/>
              <w:sz w:val="24"/>
              <w:szCs w:val="24"/>
              <w14:ligatures w14:val="standardContextual"/>
            </w:rPr>
          </w:pPr>
          <w:hyperlink w:anchor="_Toc192855156" w:history="1">
            <w:r w:rsidRPr="002A2BE0">
              <w:rPr>
                <w:rStyle w:val="Kpr"/>
                <w:rFonts w:eastAsiaTheme="majorEastAsia"/>
                <w:noProof/>
              </w:rPr>
              <w:t xml:space="preserve">Thematic and Symbolic Elements on the Screen: A Comprehensive Analysis of Intersemiotic Transfer in Eco's </w:t>
            </w:r>
            <w:r w:rsidRPr="002A2BE0">
              <w:rPr>
                <w:rStyle w:val="Kpr"/>
                <w:rFonts w:eastAsiaTheme="majorEastAsia"/>
                <w:i/>
                <w:noProof/>
              </w:rPr>
              <w:t>The Name of the Rose</w:t>
            </w:r>
            <w:r>
              <w:rPr>
                <w:noProof/>
                <w:webHidden/>
              </w:rPr>
              <w:tab/>
            </w:r>
            <w:r>
              <w:rPr>
                <w:noProof/>
                <w:webHidden/>
              </w:rPr>
              <w:fldChar w:fldCharType="begin"/>
            </w:r>
            <w:r>
              <w:rPr>
                <w:noProof/>
                <w:webHidden/>
              </w:rPr>
              <w:instrText xml:space="preserve"> PAGEREF _Toc192855156 \h </w:instrText>
            </w:r>
            <w:r>
              <w:rPr>
                <w:noProof/>
                <w:webHidden/>
              </w:rPr>
            </w:r>
            <w:r>
              <w:rPr>
                <w:noProof/>
                <w:webHidden/>
              </w:rPr>
              <w:fldChar w:fldCharType="separate"/>
            </w:r>
            <w:r w:rsidR="003B72F6">
              <w:rPr>
                <w:noProof/>
                <w:webHidden/>
              </w:rPr>
              <w:t>89</w:t>
            </w:r>
            <w:r>
              <w:rPr>
                <w:noProof/>
                <w:webHidden/>
              </w:rPr>
              <w:fldChar w:fldCharType="end"/>
            </w:r>
          </w:hyperlink>
        </w:p>
        <w:p w14:paraId="1345C837" w14:textId="7A55E0F0" w:rsidR="005A58C7" w:rsidRDefault="005A58C7">
          <w:pPr>
            <w:pStyle w:val="T1"/>
            <w:rPr>
              <w:rFonts w:eastAsiaTheme="minorEastAsia" w:cstheme="minorBidi"/>
              <w:b w:val="0"/>
              <w:bCs w:val="0"/>
              <w:noProof/>
              <w:kern w:val="2"/>
              <w:sz w:val="24"/>
              <w:szCs w:val="24"/>
              <w14:ligatures w14:val="standardContextual"/>
            </w:rPr>
          </w:pPr>
          <w:hyperlink w:anchor="_Toc192855157" w:history="1">
            <w:r w:rsidRPr="002A2BE0">
              <w:rPr>
                <w:rStyle w:val="Kpr"/>
                <w:rFonts w:eastAsiaTheme="majorEastAsia"/>
                <w:noProof/>
                <w:lang w:val="en-US"/>
              </w:rPr>
              <w:t>Within the Curtain of Blood: The Dichotomy of Love and Intellect in a Ghazal by Rūmī</w:t>
            </w:r>
            <w:r>
              <w:rPr>
                <w:noProof/>
                <w:webHidden/>
              </w:rPr>
              <w:tab/>
            </w:r>
            <w:r>
              <w:rPr>
                <w:noProof/>
                <w:webHidden/>
              </w:rPr>
              <w:fldChar w:fldCharType="begin"/>
            </w:r>
            <w:r>
              <w:rPr>
                <w:noProof/>
                <w:webHidden/>
              </w:rPr>
              <w:instrText xml:space="preserve"> PAGEREF _Toc192855157 \h </w:instrText>
            </w:r>
            <w:r>
              <w:rPr>
                <w:noProof/>
                <w:webHidden/>
              </w:rPr>
            </w:r>
            <w:r>
              <w:rPr>
                <w:noProof/>
                <w:webHidden/>
              </w:rPr>
              <w:fldChar w:fldCharType="separate"/>
            </w:r>
            <w:r w:rsidR="003B72F6">
              <w:rPr>
                <w:noProof/>
                <w:webHidden/>
              </w:rPr>
              <w:t>91</w:t>
            </w:r>
            <w:r>
              <w:rPr>
                <w:noProof/>
                <w:webHidden/>
              </w:rPr>
              <w:fldChar w:fldCharType="end"/>
            </w:r>
          </w:hyperlink>
        </w:p>
        <w:p w14:paraId="771E8EF7" w14:textId="538D7263" w:rsidR="005A58C7" w:rsidRDefault="005A58C7">
          <w:pPr>
            <w:pStyle w:val="T1"/>
            <w:rPr>
              <w:rFonts w:eastAsiaTheme="minorEastAsia" w:cstheme="minorBidi"/>
              <w:b w:val="0"/>
              <w:bCs w:val="0"/>
              <w:noProof/>
              <w:kern w:val="2"/>
              <w:sz w:val="24"/>
              <w:szCs w:val="24"/>
              <w14:ligatures w14:val="standardContextual"/>
            </w:rPr>
          </w:pPr>
          <w:hyperlink w:anchor="_Toc192855158" w:history="1">
            <w:r w:rsidRPr="002A2BE0">
              <w:rPr>
                <w:rStyle w:val="Kpr"/>
                <w:rFonts w:eastAsiaTheme="majorEastAsia"/>
                <w:noProof/>
              </w:rPr>
              <w:t>Türkiye Yüzyılı” Hedefleri Doğrultusunda İslami Finans Sisteminin Rolü: Hukuki, Jeopolitik ve Jeoekonomik Değerlendirmeler “</w:t>
            </w:r>
            <w:r>
              <w:rPr>
                <w:noProof/>
                <w:webHidden/>
              </w:rPr>
              <w:tab/>
            </w:r>
            <w:r>
              <w:rPr>
                <w:noProof/>
                <w:webHidden/>
              </w:rPr>
              <w:fldChar w:fldCharType="begin"/>
            </w:r>
            <w:r>
              <w:rPr>
                <w:noProof/>
                <w:webHidden/>
              </w:rPr>
              <w:instrText xml:space="preserve"> PAGEREF _Toc192855158 \h </w:instrText>
            </w:r>
            <w:r>
              <w:rPr>
                <w:noProof/>
                <w:webHidden/>
              </w:rPr>
            </w:r>
            <w:r>
              <w:rPr>
                <w:noProof/>
                <w:webHidden/>
              </w:rPr>
              <w:fldChar w:fldCharType="separate"/>
            </w:r>
            <w:r w:rsidR="003B72F6">
              <w:rPr>
                <w:noProof/>
                <w:webHidden/>
              </w:rPr>
              <w:t>109</w:t>
            </w:r>
            <w:r>
              <w:rPr>
                <w:noProof/>
                <w:webHidden/>
              </w:rPr>
              <w:fldChar w:fldCharType="end"/>
            </w:r>
          </w:hyperlink>
        </w:p>
        <w:p w14:paraId="6A5F8147" w14:textId="24DFEBD9" w:rsidR="005A58C7" w:rsidRDefault="005A58C7">
          <w:pPr>
            <w:pStyle w:val="T1"/>
            <w:rPr>
              <w:rFonts w:eastAsiaTheme="minorEastAsia" w:cstheme="minorBidi"/>
              <w:b w:val="0"/>
              <w:bCs w:val="0"/>
              <w:noProof/>
              <w:kern w:val="2"/>
              <w:sz w:val="24"/>
              <w:szCs w:val="24"/>
              <w14:ligatures w14:val="standardContextual"/>
            </w:rPr>
          </w:pPr>
          <w:hyperlink w:anchor="_Toc192855159" w:history="1">
            <w:r w:rsidRPr="002A2BE0">
              <w:rPr>
                <w:rStyle w:val="Kpr"/>
                <w:rFonts w:eastAsiaTheme="majorEastAsia"/>
                <w:noProof/>
              </w:rPr>
              <w:t>Filistin Meselesinde Anti-Siyonist Sosyalizm Örneği Olarak İsrail Komünist Partisi (MAKİ)</w:t>
            </w:r>
            <w:r>
              <w:rPr>
                <w:noProof/>
                <w:webHidden/>
              </w:rPr>
              <w:tab/>
            </w:r>
            <w:r>
              <w:rPr>
                <w:noProof/>
                <w:webHidden/>
              </w:rPr>
              <w:fldChar w:fldCharType="begin"/>
            </w:r>
            <w:r>
              <w:rPr>
                <w:noProof/>
                <w:webHidden/>
              </w:rPr>
              <w:instrText xml:space="preserve"> PAGEREF _Toc192855159 \h </w:instrText>
            </w:r>
            <w:r>
              <w:rPr>
                <w:noProof/>
                <w:webHidden/>
              </w:rPr>
            </w:r>
            <w:r>
              <w:rPr>
                <w:noProof/>
                <w:webHidden/>
              </w:rPr>
              <w:fldChar w:fldCharType="separate"/>
            </w:r>
            <w:r w:rsidR="003B72F6">
              <w:rPr>
                <w:noProof/>
                <w:webHidden/>
              </w:rPr>
              <w:t>121</w:t>
            </w:r>
            <w:r>
              <w:rPr>
                <w:noProof/>
                <w:webHidden/>
              </w:rPr>
              <w:fldChar w:fldCharType="end"/>
            </w:r>
          </w:hyperlink>
        </w:p>
        <w:p w14:paraId="6CEF820B" w14:textId="4B9A328F" w:rsidR="005A58C7" w:rsidRDefault="005A58C7">
          <w:pPr>
            <w:pStyle w:val="T1"/>
            <w:rPr>
              <w:rFonts w:eastAsiaTheme="minorEastAsia" w:cstheme="minorBidi"/>
              <w:b w:val="0"/>
              <w:bCs w:val="0"/>
              <w:noProof/>
              <w:kern w:val="2"/>
              <w:sz w:val="24"/>
              <w:szCs w:val="24"/>
              <w14:ligatures w14:val="standardContextual"/>
            </w:rPr>
          </w:pPr>
          <w:hyperlink w:anchor="_Toc192855160" w:history="1">
            <w:r w:rsidRPr="002A2BE0">
              <w:rPr>
                <w:rStyle w:val="Kpr"/>
                <w:rFonts w:eastAsiaTheme="majorEastAsia"/>
                <w:noProof/>
              </w:rPr>
              <w:t>Filistin, ABD ve İsrail: Uluslararası Hukukun Sınavı</w:t>
            </w:r>
            <w:r>
              <w:rPr>
                <w:noProof/>
                <w:webHidden/>
              </w:rPr>
              <w:tab/>
            </w:r>
            <w:r>
              <w:rPr>
                <w:noProof/>
                <w:webHidden/>
              </w:rPr>
              <w:fldChar w:fldCharType="begin"/>
            </w:r>
            <w:r>
              <w:rPr>
                <w:noProof/>
                <w:webHidden/>
              </w:rPr>
              <w:instrText xml:space="preserve"> PAGEREF _Toc192855160 \h </w:instrText>
            </w:r>
            <w:r>
              <w:rPr>
                <w:noProof/>
                <w:webHidden/>
              </w:rPr>
            </w:r>
            <w:r>
              <w:rPr>
                <w:noProof/>
                <w:webHidden/>
              </w:rPr>
              <w:fldChar w:fldCharType="separate"/>
            </w:r>
            <w:r w:rsidR="003B72F6">
              <w:rPr>
                <w:noProof/>
                <w:webHidden/>
              </w:rPr>
              <w:t>122</w:t>
            </w:r>
            <w:r>
              <w:rPr>
                <w:noProof/>
                <w:webHidden/>
              </w:rPr>
              <w:fldChar w:fldCharType="end"/>
            </w:r>
          </w:hyperlink>
        </w:p>
        <w:p w14:paraId="3B5CC680" w14:textId="0E46A282" w:rsidR="005A58C7" w:rsidRDefault="005A58C7">
          <w:pPr>
            <w:pStyle w:val="T1"/>
            <w:rPr>
              <w:rFonts w:eastAsiaTheme="minorEastAsia" w:cstheme="minorBidi"/>
              <w:b w:val="0"/>
              <w:bCs w:val="0"/>
              <w:noProof/>
              <w:kern w:val="2"/>
              <w:sz w:val="24"/>
              <w:szCs w:val="24"/>
              <w14:ligatures w14:val="standardContextual"/>
            </w:rPr>
          </w:pPr>
          <w:hyperlink w:anchor="_Toc192855161" w:history="1">
            <w:r w:rsidRPr="002A2BE0">
              <w:rPr>
                <w:rStyle w:val="Kpr"/>
                <w:rFonts w:eastAsiaTheme="majorEastAsia"/>
                <w:noProof/>
              </w:rPr>
              <w:t>Tunca Kortantamer'in Klâsik Türk Edebiyatı Sahasına Yaptığı Katkılar Üzerine Bâzı Notlar</w:t>
            </w:r>
            <w:r>
              <w:rPr>
                <w:noProof/>
                <w:webHidden/>
              </w:rPr>
              <w:tab/>
            </w:r>
            <w:r>
              <w:rPr>
                <w:noProof/>
                <w:webHidden/>
              </w:rPr>
              <w:fldChar w:fldCharType="begin"/>
            </w:r>
            <w:r>
              <w:rPr>
                <w:noProof/>
                <w:webHidden/>
              </w:rPr>
              <w:instrText xml:space="preserve"> PAGEREF _Toc192855161 \h </w:instrText>
            </w:r>
            <w:r>
              <w:rPr>
                <w:noProof/>
                <w:webHidden/>
              </w:rPr>
            </w:r>
            <w:r>
              <w:rPr>
                <w:noProof/>
                <w:webHidden/>
              </w:rPr>
              <w:fldChar w:fldCharType="separate"/>
            </w:r>
            <w:r w:rsidR="003B72F6">
              <w:rPr>
                <w:noProof/>
                <w:webHidden/>
              </w:rPr>
              <w:t>123</w:t>
            </w:r>
            <w:r>
              <w:rPr>
                <w:noProof/>
                <w:webHidden/>
              </w:rPr>
              <w:fldChar w:fldCharType="end"/>
            </w:r>
          </w:hyperlink>
        </w:p>
        <w:p w14:paraId="7137E28E" w14:textId="740106FA" w:rsidR="005A58C7" w:rsidRDefault="005A58C7">
          <w:pPr>
            <w:pStyle w:val="T1"/>
            <w:rPr>
              <w:rFonts w:eastAsiaTheme="minorEastAsia" w:cstheme="minorBidi"/>
              <w:b w:val="0"/>
              <w:bCs w:val="0"/>
              <w:noProof/>
              <w:kern w:val="2"/>
              <w:sz w:val="24"/>
              <w:szCs w:val="24"/>
              <w14:ligatures w14:val="standardContextual"/>
            </w:rPr>
          </w:pPr>
          <w:hyperlink w:anchor="_Toc192855162" w:history="1">
            <w:r w:rsidRPr="002A2BE0">
              <w:rPr>
                <w:rStyle w:val="Kpr"/>
                <w:rFonts w:eastAsiaTheme="majorEastAsia"/>
                <w:noProof/>
              </w:rPr>
              <w:t xml:space="preserve">Yaşar Kemal’in </w:t>
            </w:r>
            <w:r w:rsidRPr="002A2BE0">
              <w:rPr>
                <w:rStyle w:val="Kpr"/>
                <w:rFonts w:eastAsiaTheme="majorEastAsia"/>
                <w:i/>
                <w:iCs/>
                <w:noProof/>
              </w:rPr>
              <w:t>Hüyükteki Nar Ağacı</w:t>
            </w:r>
            <w:r w:rsidRPr="002A2BE0">
              <w:rPr>
                <w:rStyle w:val="Kpr"/>
                <w:rFonts w:eastAsiaTheme="majorEastAsia"/>
                <w:noProof/>
              </w:rPr>
              <w:t xml:space="preserve"> Romanında İnancın Ontolojik İşlevi ve Anlamın İnşası</w:t>
            </w:r>
            <w:r>
              <w:rPr>
                <w:noProof/>
                <w:webHidden/>
              </w:rPr>
              <w:tab/>
            </w:r>
            <w:r>
              <w:rPr>
                <w:noProof/>
                <w:webHidden/>
              </w:rPr>
              <w:fldChar w:fldCharType="begin"/>
            </w:r>
            <w:r>
              <w:rPr>
                <w:noProof/>
                <w:webHidden/>
              </w:rPr>
              <w:instrText xml:space="preserve"> PAGEREF _Toc192855162 \h </w:instrText>
            </w:r>
            <w:r>
              <w:rPr>
                <w:noProof/>
                <w:webHidden/>
              </w:rPr>
            </w:r>
            <w:r>
              <w:rPr>
                <w:noProof/>
                <w:webHidden/>
              </w:rPr>
              <w:fldChar w:fldCharType="separate"/>
            </w:r>
            <w:r w:rsidR="003B72F6">
              <w:rPr>
                <w:noProof/>
                <w:webHidden/>
              </w:rPr>
              <w:t>124</w:t>
            </w:r>
            <w:r>
              <w:rPr>
                <w:noProof/>
                <w:webHidden/>
              </w:rPr>
              <w:fldChar w:fldCharType="end"/>
            </w:r>
          </w:hyperlink>
        </w:p>
        <w:p w14:paraId="07FB5B6C" w14:textId="4796C7F7" w:rsidR="005A58C7" w:rsidRDefault="005A58C7">
          <w:pPr>
            <w:pStyle w:val="T1"/>
            <w:rPr>
              <w:rFonts w:eastAsiaTheme="minorEastAsia" w:cstheme="minorBidi"/>
              <w:b w:val="0"/>
              <w:bCs w:val="0"/>
              <w:noProof/>
              <w:kern w:val="2"/>
              <w:sz w:val="24"/>
              <w:szCs w:val="24"/>
              <w14:ligatures w14:val="standardContextual"/>
            </w:rPr>
          </w:pPr>
          <w:hyperlink w:anchor="_Toc192855163" w:history="1">
            <w:r w:rsidRPr="002A2BE0">
              <w:rPr>
                <w:rStyle w:val="Kpr"/>
                <w:rFonts w:eastAsiaTheme="majorEastAsia"/>
                <w:noProof/>
              </w:rPr>
              <w:t xml:space="preserve">The Ontological Function of Belief and the Construction of Meaning in Yaşar Kemal's Novel </w:t>
            </w:r>
            <w:r w:rsidRPr="002A2BE0">
              <w:rPr>
                <w:rStyle w:val="Kpr"/>
                <w:rFonts w:eastAsiaTheme="majorEastAsia"/>
                <w:i/>
                <w:iCs/>
                <w:noProof/>
              </w:rPr>
              <w:t>Hüyükteki Nar Ağacı</w:t>
            </w:r>
            <w:r>
              <w:rPr>
                <w:noProof/>
                <w:webHidden/>
              </w:rPr>
              <w:tab/>
            </w:r>
            <w:r>
              <w:rPr>
                <w:noProof/>
                <w:webHidden/>
              </w:rPr>
              <w:fldChar w:fldCharType="begin"/>
            </w:r>
            <w:r>
              <w:rPr>
                <w:noProof/>
                <w:webHidden/>
              </w:rPr>
              <w:instrText xml:space="preserve"> PAGEREF _Toc192855163 \h </w:instrText>
            </w:r>
            <w:r>
              <w:rPr>
                <w:noProof/>
                <w:webHidden/>
              </w:rPr>
            </w:r>
            <w:r>
              <w:rPr>
                <w:noProof/>
                <w:webHidden/>
              </w:rPr>
              <w:fldChar w:fldCharType="separate"/>
            </w:r>
            <w:r w:rsidR="003B72F6">
              <w:rPr>
                <w:noProof/>
                <w:webHidden/>
              </w:rPr>
              <w:t>124</w:t>
            </w:r>
            <w:r>
              <w:rPr>
                <w:noProof/>
                <w:webHidden/>
              </w:rPr>
              <w:fldChar w:fldCharType="end"/>
            </w:r>
          </w:hyperlink>
        </w:p>
        <w:p w14:paraId="50EEFF0C" w14:textId="62135DF1" w:rsidR="005A58C7" w:rsidRDefault="005A58C7">
          <w:pPr>
            <w:pStyle w:val="T1"/>
            <w:rPr>
              <w:rFonts w:eastAsiaTheme="minorEastAsia" w:cstheme="minorBidi"/>
              <w:b w:val="0"/>
              <w:bCs w:val="0"/>
              <w:noProof/>
              <w:kern w:val="2"/>
              <w:sz w:val="24"/>
              <w:szCs w:val="24"/>
              <w14:ligatures w14:val="standardContextual"/>
            </w:rPr>
          </w:pPr>
          <w:hyperlink w:anchor="_Toc192855164" w:history="1">
            <w:r w:rsidRPr="002A2BE0">
              <w:rPr>
                <w:rStyle w:val="Kpr"/>
                <w:rFonts w:eastAsiaTheme="majorEastAsia"/>
                <w:noProof/>
              </w:rPr>
              <w:t>Nevşehir Yeraltı Şehirleri Kilise Mekanları: Mazı Yeraltı Şehri</w:t>
            </w:r>
            <w:r>
              <w:rPr>
                <w:noProof/>
                <w:webHidden/>
              </w:rPr>
              <w:tab/>
            </w:r>
            <w:r>
              <w:rPr>
                <w:noProof/>
                <w:webHidden/>
              </w:rPr>
              <w:fldChar w:fldCharType="begin"/>
            </w:r>
            <w:r>
              <w:rPr>
                <w:noProof/>
                <w:webHidden/>
              </w:rPr>
              <w:instrText xml:space="preserve"> PAGEREF _Toc192855164 \h </w:instrText>
            </w:r>
            <w:r>
              <w:rPr>
                <w:noProof/>
                <w:webHidden/>
              </w:rPr>
            </w:r>
            <w:r>
              <w:rPr>
                <w:noProof/>
                <w:webHidden/>
              </w:rPr>
              <w:fldChar w:fldCharType="separate"/>
            </w:r>
            <w:r w:rsidR="003B72F6">
              <w:rPr>
                <w:noProof/>
                <w:webHidden/>
              </w:rPr>
              <w:t>142</w:t>
            </w:r>
            <w:r>
              <w:rPr>
                <w:noProof/>
                <w:webHidden/>
              </w:rPr>
              <w:fldChar w:fldCharType="end"/>
            </w:r>
          </w:hyperlink>
        </w:p>
        <w:p w14:paraId="7BBB4DC4" w14:textId="744F2140" w:rsidR="005A58C7" w:rsidRDefault="005A58C7">
          <w:pPr>
            <w:pStyle w:val="T1"/>
            <w:rPr>
              <w:rFonts w:eastAsiaTheme="minorEastAsia" w:cstheme="minorBidi"/>
              <w:b w:val="0"/>
              <w:bCs w:val="0"/>
              <w:noProof/>
              <w:kern w:val="2"/>
              <w:sz w:val="24"/>
              <w:szCs w:val="24"/>
              <w14:ligatures w14:val="standardContextual"/>
            </w:rPr>
          </w:pPr>
          <w:hyperlink w:anchor="_Toc192855165" w:history="1">
            <w:r w:rsidRPr="002A2BE0">
              <w:rPr>
                <w:rStyle w:val="Kpr"/>
                <w:rFonts w:eastAsiaTheme="majorEastAsia"/>
                <w:noProof/>
              </w:rPr>
              <w:t>İzmir İyon Üniversitesi ve Konstantin Karatheodory</w:t>
            </w:r>
            <w:r>
              <w:rPr>
                <w:noProof/>
                <w:webHidden/>
              </w:rPr>
              <w:tab/>
            </w:r>
            <w:r>
              <w:rPr>
                <w:noProof/>
                <w:webHidden/>
              </w:rPr>
              <w:fldChar w:fldCharType="begin"/>
            </w:r>
            <w:r>
              <w:rPr>
                <w:noProof/>
                <w:webHidden/>
              </w:rPr>
              <w:instrText xml:space="preserve"> PAGEREF _Toc192855165 \h </w:instrText>
            </w:r>
            <w:r>
              <w:rPr>
                <w:noProof/>
                <w:webHidden/>
              </w:rPr>
            </w:r>
            <w:r>
              <w:rPr>
                <w:noProof/>
                <w:webHidden/>
              </w:rPr>
              <w:fldChar w:fldCharType="separate"/>
            </w:r>
            <w:r w:rsidR="003B72F6">
              <w:rPr>
                <w:noProof/>
                <w:webHidden/>
              </w:rPr>
              <w:t>154</w:t>
            </w:r>
            <w:r>
              <w:rPr>
                <w:noProof/>
                <w:webHidden/>
              </w:rPr>
              <w:fldChar w:fldCharType="end"/>
            </w:r>
          </w:hyperlink>
        </w:p>
        <w:p w14:paraId="5BA3534F" w14:textId="283283CA" w:rsidR="005A58C7" w:rsidRDefault="005A58C7">
          <w:pPr>
            <w:pStyle w:val="T1"/>
            <w:rPr>
              <w:rFonts w:eastAsiaTheme="minorEastAsia" w:cstheme="minorBidi"/>
              <w:b w:val="0"/>
              <w:bCs w:val="0"/>
              <w:noProof/>
              <w:kern w:val="2"/>
              <w:sz w:val="24"/>
              <w:szCs w:val="24"/>
              <w14:ligatures w14:val="standardContextual"/>
            </w:rPr>
          </w:pPr>
          <w:hyperlink w:anchor="_Toc192855166" w:history="1">
            <w:r w:rsidRPr="002A2BE0">
              <w:rPr>
                <w:rStyle w:val="Kpr"/>
                <w:rFonts w:eastAsiaTheme="majorEastAsia"/>
                <w:noProof/>
              </w:rPr>
              <w:t>Izmir Ionian University and Konstantin Karatheodory</w:t>
            </w:r>
            <w:r>
              <w:rPr>
                <w:noProof/>
                <w:webHidden/>
              </w:rPr>
              <w:tab/>
            </w:r>
            <w:r>
              <w:rPr>
                <w:noProof/>
                <w:webHidden/>
              </w:rPr>
              <w:fldChar w:fldCharType="begin"/>
            </w:r>
            <w:r>
              <w:rPr>
                <w:noProof/>
                <w:webHidden/>
              </w:rPr>
              <w:instrText xml:space="preserve"> PAGEREF _Toc192855166 \h </w:instrText>
            </w:r>
            <w:r>
              <w:rPr>
                <w:noProof/>
                <w:webHidden/>
              </w:rPr>
            </w:r>
            <w:r>
              <w:rPr>
                <w:noProof/>
                <w:webHidden/>
              </w:rPr>
              <w:fldChar w:fldCharType="separate"/>
            </w:r>
            <w:r w:rsidR="003B72F6">
              <w:rPr>
                <w:noProof/>
                <w:webHidden/>
              </w:rPr>
              <w:t>155</w:t>
            </w:r>
            <w:r>
              <w:rPr>
                <w:noProof/>
                <w:webHidden/>
              </w:rPr>
              <w:fldChar w:fldCharType="end"/>
            </w:r>
          </w:hyperlink>
        </w:p>
        <w:p w14:paraId="23BFE853" w14:textId="72475919" w:rsidR="005A58C7" w:rsidRDefault="005A58C7">
          <w:pPr>
            <w:pStyle w:val="T1"/>
            <w:rPr>
              <w:rFonts w:eastAsiaTheme="minorEastAsia" w:cstheme="minorBidi"/>
              <w:b w:val="0"/>
              <w:bCs w:val="0"/>
              <w:noProof/>
              <w:kern w:val="2"/>
              <w:sz w:val="24"/>
              <w:szCs w:val="24"/>
              <w14:ligatures w14:val="standardContextual"/>
            </w:rPr>
          </w:pPr>
          <w:hyperlink w:anchor="_Toc192855167" w:history="1">
            <w:r w:rsidRPr="002A2BE0">
              <w:rPr>
                <w:rStyle w:val="Kpr"/>
                <w:rFonts w:eastAsiaTheme="majorEastAsia"/>
                <w:noProof/>
              </w:rPr>
              <w:t>Su Kaynaklarını Korumak Adına Düşünülmesi Gereken Mali Çözümler Ve Mavi Vergileme</w:t>
            </w:r>
            <w:r>
              <w:rPr>
                <w:noProof/>
                <w:webHidden/>
              </w:rPr>
              <w:tab/>
            </w:r>
            <w:r>
              <w:rPr>
                <w:noProof/>
                <w:webHidden/>
              </w:rPr>
              <w:fldChar w:fldCharType="begin"/>
            </w:r>
            <w:r>
              <w:rPr>
                <w:noProof/>
                <w:webHidden/>
              </w:rPr>
              <w:instrText xml:space="preserve"> PAGEREF _Toc192855167 \h </w:instrText>
            </w:r>
            <w:r>
              <w:rPr>
                <w:noProof/>
                <w:webHidden/>
              </w:rPr>
            </w:r>
            <w:r>
              <w:rPr>
                <w:noProof/>
                <w:webHidden/>
              </w:rPr>
              <w:fldChar w:fldCharType="separate"/>
            </w:r>
            <w:r w:rsidR="003B72F6">
              <w:rPr>
                <w:noProof/>
                <w:webHidden/>
              </w:rPr>
              <w:t>165</w:t>
            </w:r>
            <w:r>
              <w:rPr>
                <w:noProof/>
                <w:webHidden/>
              </w:rPr>
              <w:fldChar w:fldCharType="end"/>
            </w:r>
          </w:hyperlink>
        </w:p>
        <w:p w14:paraId="14407DD7" w14:textId="3AC2605F" w:rsidR="005A58C7" w:rsidRDefault="005A58C7">
          <w:pPr>
            <w:pStyle w:val="T1"/>
            <w:rPr>
              <w:rFonts w:eastAsiaTheme="minorEastAsia" w:cstheme="minorBidi"/>
              <w:b w:val="0"/>
              <w:bCs w:val="0"/>
              <w:noProof/>
              <w:kern w:val="2"/>
              <w:sz w:val="24"/>
              <w:szCs w:val="24"/>
              <w14:ligatures w14:val="standardContextual"/>
            </w:rPr>
          </w:pPr>
          <w:hyperlink w:anchor="_Toc192855168" w:history="1">
            <w:r w:rsidRPr="002A2BE0">
              <w:rPr>
                <w:rStyle w:val="Kpr"/>
                <w:rFonts w:eastAsiaTheme="majorEastAsia"/>
                <w:noProof/>
              </w:rPr>
              <w:t>Financial Solutions To Be Considered To Protect Water Resources And Blue Taxation</w:t>
            </w:r>
            <w:r>
              <w:rPr>
                <w:noProof/>
                <w:webHidden/>
              </w:rPr>
              <w:tab/>
            </w:r>
            <w:r>
              <w:rPr>
                <w:noProof/>
                <w:webHidden/>
              </w:rPr>
              <w:fldChar w:fldCharType="begin"/>
            </w:r>
            <w:r>
              <w:rPr>
                <w:noProof/>
                <w:webHidden/>
              </w:rPr>
              <w:instrText xml:space="preserve"> PAGEREF _Toc192855168 \h </w:instrText>
            </w:r>
            <w:r>
              <w:rPr>
                <w:noProof/>
                <w:webHidden/>
              </w:rPr>
            </w:r>
            <w:r>
              <w:rPr>
                <w:noProof/>
                <w:webHidden/>
              </w:rPr>
              <w:fldChar w:fldCharType="separate"/>
            </w:r>
            <w:r w:rsidR="003B72F6">
              <w:rPr>
                <w:noProof/>
                <w:webHidden/>
              </w:rPr>
              <w:t>166</w:t>
            </w:r>
            <w:r>
              <w:rPr>
                <w:noProof/>
                <w:webHidden/>
              </w:rPr>
              <w:fldChar w:fldCharType="end"/>
            </w:r>
          </w:hyperlink>
        </w:p>
        <w:p w14:paraId="092851BD" w14:textId="3D95C227" w:rsidR="005A58C7" w:rsidRDefault="005A58C7">
          <w:pPr>
            <w:pStyle w:val="T1"/>
            <w:rPr>
              <w:rFonts w:eastAsiaTheme="minorEastAsia" w:cstheme="minorBidi"/>
              <w:b w:val="0"/>
              <w:bCs w:val="0"/>
              <w:noProof/>
              <w:kern w:val="2"/>
              <w:sz w:val="24"/>
              <w:szCs w:val="24"/>
              <w14:ligatures w14:val="standardContextual"/>
            </w:rPr>
          </w:pPr>
          <w:hyperlink w:anchor="_Toc192855169" w:history="1">
            <w:r w:rsidRPr="002A2BE0">
              <w:rPr>
                <w:rStyle w:val="Kpr"/>
                <w:rFonts w:eastAsiaTheme="majorEastAsia"/>
                <w:noProof/>
              </w:rPr>
              <w:t>Sınırda Karbon Düzenleme Mekanizması’nın Çin, Rusya ve Türkiye Açısından Karşılaştırmalı Analizi</w:t>
            </w:r>
            <w:r>
              <w:rPr>
                <w:noProof/>
                <w:webHidden/>
              </w:rPr>
              <w:tab/>
            </w:r>
            <w:r>
              <w:rPr>
                <w:noProof/>
                <w:webHidden/>
              </w:rPr>
              <w:fldChar w:fldCharType="begin"/>
            </w:r>
            <w:r>
              <w:rPr>
                <w:noProof/>
                <w:webHidden/>
              </w:rPr>
              <w:instrText xml:space="preserve"> PAGEREF _Toc192855169 \h </w:instrText>
            </w:r>
            <w:r>
              <w:rPr>
                <w:noProof/>
                <w:webHidden/>
              </w:rPr>
            </w:r>
            <w:r>
              <w:rPr>
                <w:noProof/>
                <w:webHidden/>
              </w:rPr>
              <w:fldChar w:fldCharType="separate"/>
            </w:r>
            <w:r w:rsidR="003B72F6">
              <w:rPr>
                <w:noProof/>
                <w:webHidden/>
              </w:rPr>
              <w:t>168</w:t>
            </w:r>
            <w:r>
              <w:rPr>
                <w:noProof/>
                <w:webHidden/>
              </w:rPr>
              <w:fldChar w:fldCharType="end"/>
            </w:r>
          </w:hyperlink>
        </w:p>
        <w:p w14:paraId="6AD46EB6" w14:textId="5D361B60" w:rsidR="005A58C7" w:rsidRDefault="005A58C7">
          <w:pPr>
            <w:pStyle w:val="T1"/>
            <w:rPr>
              <w:rFonts w:eastAsiaTheme="minorEastAsia" w:cstheme="minorBidi"/>
              <w:b w:val="0"/>
              <w:bCs w:val="0"/>
              <w:noProof/>
              <w:kern w:val="2"/>
              <w:sz w:val="24"/>
              <w:szCs w:val="24"/>
              <w14:ligatures w14:val="standardContextual"/>
            </w:rPr>
          </w:pPr>
          <w:hyperlink w:anchor="_Toc192855170" w:history="1">
            <w:r w:rsidRPr="002A2BE0">
              <w:rPr>
                <w:rStyle w:val="Kpr"/>
                <w:rFonts w:eastAsiaTheme="majorEastAsia"/>
                <w:noProof/>
              </w:rPr>
              <w:t>Problemli İnternet Kullanımının Yordayıcısı Olarak Belirsizliğe Tahammülsüzlük ve Siberkondria</w:t>
            </w:r>
            <w:r>
              <w:rPr>
                <w:noProof/>
                <w:webHidden/>
              </w:rPr>
              <w:tab/>
            </w:r>
            <w:r>
              <w:rPr>
                <w:noProof/>
                <w:webHidden/>
              </w:rPr>
              <w:fldChar w:fldCharType="begin"/>
            </w:r>
            <w:r>
              <w:rPr>
                <w:noProof/>
                <w:webHidden/>
              </w:rPr>
              <w:instrText xml:space="preserve"> PAGEREF _Toc192855170 \h </w:instrText>
            </w:r>
            <w:r>
              <w:rPr>
                <w:noProof/>
                <w:webHidden/>
              </w:rPr>
            </w:r>
            <w:r>
              <w:rPr>
                <w:noProof/>
                <w:webHidden/>
              </w:rPr>
              <w:fldChar w:fldCharType="separate"/>
            </w:r>
            <w:r w:rsidR="003B72F6">
              <w:rPr>
                <w:noProof/>
                <w:webHidden/>
              </w:rPr>
              <w:t>181</w:t>
            </w:r>
            <w:r>
              <w:rPr>
                <w:noProof/>
                <w:webHidden/>
              </w:rPr>
              <w:fldChar w:fldCharType="end"/>
            </w:r>
          </w:hyperlink>
        </w:p>
        <w:p w14:paraId="72A83F04" w14:textId="478FC3EF" w:rsidR="005A58C7" w:rsidRDefault="005A58C7">
          <w:pPr>
            <w:pStyle w:val="T1"/>
            <w:rPr>
              <w:rFonts w:eastAsiaTheme="minorEastAsia" w:cstheme="minorBidi"/>
              <w:b w:val="0"/>
              <w:bCs w:val="0"/>
              <w:noProof/>
              <w:kern w:val="2"/>
              <w:sz w:val="24"/>
              <w:szCs w:val="24"/>
              <w14:ligatures w14:val="standardContextual"/>
            </w:rPr>
          </w:pPr>
          <w:hyperlink w:anchor="_Toc192855171" w:history="1">
            <w:r w:rsidRPr="002A2BE0">
              <w:rPr>
                <w:rStyle w:val="Kpr"/>
                <w:rFonts w:eastAsiaTheme="majorEastAsia"/>
                <w:noProof/>
              </w:rPr>
              <w:t>Dijital Oyun Bağımlılığının Öfke Düzeyini Yordama Gücünün İncelenmesi</w:t>
            </w:r>
            <w:r>
              <w:rPr>
                <w:noProof/>
                <w:webHidden/>
              </w:rPr>
              <w:tab/>
            </w:r>
            <w:r>
              <w:rPr>
                <w:noProof/>
                <w:webHidden/>
              </w:rPr>
              <w:fldChar w:fldCharType="begin"/>
            </w:r>
            <w:r>
              <w:rPr>
                <w:noProof/>
                <w:webHidden/>
              </w:rPr>
              <w:instrText xml:space="preserve"> PAGEREF _Toc192855171 \h </w:instrText>
            </w:r>
            <w:r>
              <w:rPr>
                <w:noProof/>
                <w:webHidden/>
              </w:rPr>
            </w:r>
            <w:r>
              <w:rPr>
                <w:noProof/>
                <w:webHidden/>
              </w:rPr>
              <w:fldChar w:fldCharType="separate"/>
            </w:r>
            <w:r w:rsidR="003B72F6">
              <w:rPr>
                <w:noProof/>
                <w:webHidden/>
              </w:rPr>
              <w:t>182</w:t>
            </w:r>
            <w:r>
              <w:rPr>
                <w:noProof/>
                <w:webHidden/>
              </w:rPr>
              <w:fldChar w:fldCharType="end"/>
            </w:r>
          </w:hyperlink>
        </w:p>
        <w:p w14:paraId="3B8662E1" w14:textId="05266597" w:rsidR="005A58C7" w:rsidRDefault="005A58C7">
          <w:pPr>
            <w:pStyle w:val="T1"/>
            <w:rPr>
              <w:rFonts w:eastAsiaTheme="minorEastAsia" w:cstheme="minorBidi"/>
              <w:b w:val="0"/>
              <w:bCs w:val="0"/>
              <w:noProof/>
              <w:kern w:val="2"/>
              <w:sz w:val="24"/>
              <w:szCs w:val="24"/>
              <w14:ligatures w14:val="standardContextual"/>
            </w:rPr>
          </w:pPr>
          <w:hyperlink w:anchor="_Toc192855172" w:history="1">
            <w:r w:rsidRPr="002A2BE0">
              <w:rPr>
                <w:rStyle w:val="Kpr"/>
                <w:rFonts w:eastAsiaTheme="majorEastAsia"/>
                <w:noProof/>
              </w:rPr>
              <w:t>Mantıksal / Matematiksel Zekâ ve Başarı Arasındaki İlişki: Bir Meta – Analiz Çalışması</w:t>
            </w:r>
            <w:r>
              <w:rPr>
                <w:noProof/>
                <w:webHidden/>
              </w:rPr>
              <w:tab/>
            </w:r>
            <w:r>
              <w:rPr>
                <w:noProof/>
                <w:webHidden/>
              </w:rPr>
              <w:fldChar w:fldCharType="begin"/>
            </w:r>
            <w:r>
              <w:rPr>
                <w:noProof/>
                <w:webHidden/>
              </w:rPr>
              <w:instrText xml:space="preserve"> PAGEREF _Toc192855172 \h </w:instrText>
            </w:r>
            <w:r>
              <w:rPr>
                <w:noProof/>
                <w:webHidden/>
              </w:rPr>
            </w:r>
            <w:r>
              <w:rPr>
                <w:noProof/>
                <w:webHidden/>
              </w:rPr>
              <w:fldChar w:fldCharType="separate"/>
            </w:r>
            <w:r w:rsidR="003B72F6">
              <w:rPr>
                <w:noProof/>
                <w:webHidden/>
              </w:rPr>
              <w:t>183</w:t>
            </w:r>
            <w:r>
              <w:rPr>
                <w:noProof/>
                <w:webHidden/>
              </w:rPr>
              <w:fldChar w:fldCharType="end"/>
            </w:r>
          </w:hyperlink>
        </w:p>
        <w:p w14:paraId="2D8C3744" w14:textId="71F57861" w:rsidR="005A58C7" w:rsidRDefault="005A58C7">
          <w:pPr>
            <w:pStyle w:val="T1"/>
            <w:rPr>
              <w:rFonts w:eastAsiaTheme="minorEastAsia" w:cstheme="minorBidi"/>
              <w:b w:val="0"/>
              <w:bCs w:val="0"/>
              <w:noProof/>
              <w:kern w:val="2"/>
              <w:sz w:val="24"/>
              <w:szCs w:val="24"/>
              <w14:ligatures w14:val="standardContextual"/>
            </w:rPr>
          </w:pPr>
          <w:hyperlink w:anchor="_Toc192855173" w:history="1">
            <w:r w:rsidRPr="002A2BE0">
              <w:rPr>
                <w:rStyle w:val="Kpr"/>
                <w:rFonts w:eastAsiaTheme="majorEastAsia"/>
                <w:noProof/>
              </w:rPr>
              <w:t>Türkiye’nin Akıllı Şehirler Politikasına AB Destekleri ve Yeterliliği</w:t>
            </w:r>
            <w:r>
              <w:rPr>
                <w:noProof/>
                <w:webHidden/>
              </w:rPr>
              <w:tab/>
            </w:r>
            <w:r>
              <w:rPr>
                <w:noProof/>
                <w:webHidden/>
              </w:rPr>
              <w:fldChar w:fldCharType="begin"/>
            </w:r>
            <w:r>
              <w:rPr>
                <w:noProof/>
                <w:webHidden/>
              </w:rPr>
              <w:instrText xml:space="preserve"> PAGEREF _Toc192855173 \h </w:instrText>
            </w:r>
            <w:r>
              <w:rPr>
                <w:noProof/>
                <w:webHidden/>
              </w:rPr>
            </w:r>
            <w:r>
              <w:rPr>
                <w:noProof/>
                <w:webHidden/>
              </w:rPr>
              <w:fldChar w:fldCharType="separate"/>
            </w:r>
            <w:r w:rsidR="003B72F6">
              <w:rPr>
                <w:noProof/>
                <w:webHidden/>
              </w:rPr>
              <w:t>184</w:t>
            </w:r>
            <w:r>
              <w:rPr>
                <w:noProof/>
                <w:webHidden/>
              </w:rPr>
              <w:fldChar w:fldCharType="end"/>
            </w:r>
          </w:hyperlink>
        </w:p>
        <w:p w14:paraId="77310A42" w14:textId="438E9767" w:rsidR="005A58C7" w:rsidRDefault="005A58C7">
          <w:pPr>
            <w:pStyle w:val="T1"/>
            <w:rPr>
              <w:rFonts w:eastAsiaTheme="minorEastAsia" w:cstheme="minorBidi"/>
              <w:b w:val="0"/>
              <w:bCs w:val="0"/>
              <w:noProof/>
              <w:kern w:val="2"/>
              <w:sz w:val="24"/>
              <w:szCs w:val="24"/>
              <w14:ligatures w14:val="standardContextual"/>
            </w:rPr>
          </w:pPr>
          <w:hyperlink w:anchor="_Toc192855174" w:history="1">
            <w:r w:rsidRPr="002A2BE0">
              <w:rPr>
                <w:rStyle w:val="Kpr"/>
                <w:rFonts w:eastAsiaTheme="majorEastAsia"/>
                <w:noProof/>
              </w:rPr>
              <w:t>EU Support to Turkey's Smart Cities Policy and its Adequacy</w:t>
            </w:r>
            <w:r>
              <w:rPr>
                <w:noProof/>
                <w:webHidden/>
              </w:rPr>
              <w:tab/>
            </w:r>
            <w:r>
              <w:rPr>
                <w:noProof/>
                <w:webHidden/>
              </w:rPr>
              <w:fldChar w:fldCharType="begin"/>
            </w:r>
            <w:r>
              <w:rPr>
                <w:noProof/>
                <w:webHidden/>
              </w:rPr>
              <w:instrText xml:space="preserve"> PAGEREF _Toc192855174 \h </w:instrText>
            </w:r>
            <w:r>
              <w:rPr>
                <w:noProof/>
                <w:webHidden/>
              </w:rPr>
            </w:r>
            <w:r>
              <w:rPr>
                <w:noProof/>
                <w:webHidden/>
              </w:rPr>
              <w:fldChar w:fldCharType="separate"/>
            </w:r>
            <w:r w:rsidR="003B72F6">
              <w:rPr>
                <w:noProof/>
                <w:webHidden/>
              </w:rPr>
              <w:t>185</w:t>
            </w:r>
            <w:r>
              <w:rPr>
                <w:noProof/>
                <w:webHidden/>
              </w:rPr>
              <w:fldChar w:fldCharType="end"/>
            </w:r>
          </w:hyperlink>
        </w:p>
        <w:p w14:paraId="2F638F06" w14:textId="232C6C6C" w:rsidR="005A58C7" w:rsidRDefault="005A58C7">
          <w:pPr>
            <w:pStyle w:val="T1"/>
            <w:rPr>
              <w:rFonts w:eastAsiaTheme="minorEastAsia" w:cstheme="minorBidi"/>
              <w:b w:val="0"/>
              <w:bCs w:val="0"/>
              <w:noProof/>
              <w:kern w:val="2"/>
              <w:sz w:val="24"/>
              <w:szCs w:val="24"/>
              <w14:ligatures w14:val="standardContextual"/>
            </w:rPr>
          </w:pPr>
          <w:hyperlink w:anchor="_Toc192855175" w:history="1">
            <w:r w:rsidRPr="002A2BE0">
              <w:rPr>
                <w:rStyle w:val="Kpr"/>
                <w:rFonts w:eastAsiaTheme="majorEastAsia"/>
                <w:noProof/>
              </w:rPr>
              <w:t>Çevrimiçi Radikalleşme: Dijital Ortamların Bireysel Radikalleşmedeki Rolü</w:t>
            </w:r>
            <w:r>
              <w:rPr>
                <w:noProof/>
                <w:webHidden/>
              </w:rPr>
              <w:tab/>
            </w:r>
            <w:r>
              <w:rPr>
                <w:noProof/>
                <w:webHidden/>
              </w:rPr>
              <w:fldChar w:fldCharType="begin"/>
            </w:r>
            <w:r>
              <w:rPr>
                <w:noProof/>
                <w:webHidden/>
              </w:rPr>
              <w:instrText xml:space="preserve"> PAGEREF _Toc192855175 \h </w:instrText>
            </w:r>
            <w:r>
              <w:rPr>
                <w:noProof/>
                <w:webHidden/>
              </w:rPr>
            </w:r>
            <w:r>
              <w:rPr>
                <w:noProof/>
                <w:webHidden/>
              </w:rPr>
              <w:fldChar w:fldCharType="separate"/>
            </w:r>
            <w:r w:rsidR="003B72F6">
              <w:rPr>
                <w:noProof/>
                <w:webHidden/>
              </w:rPr>
              <w:t>186</w:t>
            </w:r>
            <w:r>
              <w:rPr>
                <w:noProof/>
                <w:webHidden/>
              </w:rPr>
              <w:fldChar w:fldCharType="end"/>
            </w:r>
          </w:hyperlink>
        </w:p>
        <w:p w14:paraId="19729533" w14:textId="3FE54EB7" w:rsidR="005A58C7" w:rsidRDefault="005A58C7">
          <w:pPr>
            <w:pStyle w:val="T1"/>
            <w:rPr>
              <w:rFonts w:eastAsiaTheme="minorEastAsia" w:cstheme="minorBidi"/>
              <w:b w:val="0"/>
              <w:bCs w:val="0"/>
              <w:noProof/>
              <w:kern w:val="2"/>
              <w:sz w:val="24"/>
              <w:szCs w:val="24"/>
              <w14:ligatures w14:val="standardContextual"/>
            </w:rPr>
          </w:pPr>
          <w:hyperlink w:anchor="_Toc192855176" w:history="1">
            <w:r w:rsidRPr="002A2BE0">
              <w:rPr>
                <w:rStyle w:val="Kpr"/>
                <w:rFonts w:eastAsiaTheme="majorEastAsia"/>
                <w:noProof/>
              </w:rPr>
              <w:t>Türk Ceza Hukukunda Bilişim Suçları ve Veri Hırsızlığı</w:t>
            </w:r>
            <w:r>
              <w:rPr>
                <w:noProof/>
                <w:webHidden/>
              </w:rPr>
              <w:tab/>
            </w:r>
            <w:r>
              <w:rPr>
                <w:noProof/>
                <w:webHidden/>
              </w:rPr>
              <w:fldChar w:fldCharType="begin"/>
            </w:r>
            <w:r>
              <w:rPr>
                <w:noProof/>
                <w:webHidden/>
              </w:rPr>
              <w:instrText xml:space="preserve"> PAGEREF _Toc192855176 \h </w:instrText>
            </w:r>
            <w:r>
              <w:rPr>
                <w:noProof/>
                <w:webHidden/>
              </w:rPr>
            </w:r>
            <w:r>
              <w:rPr>
                <w:noProof/>
                <w:webHidden/>
              </w:rPr>
              <w:fldChar w:fldCharType="separate"/>
            </w:r>
            <w:r w:rsidR="003B72F6">
              <w:rPr>
                <w:noProof/>
                <w:webHidden/>
              </w:rPr>
              <w:t>187</w:t>
            </w:r>
            <w:r>
              <w:rPr>
                <w:noProof/>
                <w:webHidden/>
              </w:rPr>
              <w:fldChar w:fldCharType="end"/>
            </w:r>
          </w:hyperlink>
        </w:p>
        <w:p w14:paraId="5BD28BF5" w14:textId="1A180EF7" w:rsidR="005A58C7" w:rsidRDefault="005A58C7">
          <w:pPr>
            <w:pStyle w:val="T1"/>
            <w:rPr>
              <w:rFonts w:eastAsiaTheme="minorEastAsia" w:cstheme="minorBidi"/>
              <w:b w:val="0"/>
              <w:bCs w:val="0"/>
              <w:noProof/>
              <w:kern w:val="2"/>
              <w:sz w:val="24"/>
              <w:szCs w:val="24"/>
              <w14:ligatures w14:val="standardContextual"/>
            </w:rPr>
          </w:pPr>
          <w:hyperlink w:anchor="_Toc192855177" w:history="1">
            <w:r w:rsidRPr="002A2BE0">
              <w:rPr>
                <w:rStyle w:val="Kpr"/>
                <w:rFonts w:eastAsiaTheme="majorEastAsia"/>
                <w:noProof/>
              </w:rPr>
              <w:t>Cybercrimes and Data Theft in Turkish Criminal Law</w:t>
            </w:r>
            <w:r>
              <w:rPr>
                <w:noProof/>
                <w:webHidden/>
              </w:rPr>
              <w:tab/>
            </w:r>
            <w:r>
              <w:rPr>
                <w:noProof/>
                <w:webHidden/>
              </w:rPr>
              <w:fldChar w:fldCharType="begin"/>
            </w:r>
            <w:r>
              <w:rPr>
                <w:noProof/>
                <w:webHidden/>
              </w:rPr>
              <w:instrText xml:space="preserve"> PAGEREF _Toc192855177 \h </w:instrText>
            </w:r>
            <w:r>
              <w:rPr>
                <w:noProof/>
                <w:webHidden/>
              </w:rPr>
            </w:r>
            <w:r>
              <w:rPr>
                <w:noProof/>
                <w:webHidden/>
              </w:rPr>
              <w:fldChar w:fldCharType="separate"/>
            </w:r>
            <w:r w:rsidR="003B72F6">
              <w:rPr>
                <w:noProof/>
                <w:webHidden/>
              </w:rPr>
              <w:t>188</w:t>
            </w:r>
            <w:r>
              <w:rPr>
                <w:noProof/>
                <w:webHidden/>
              </w:rPr>
              <w:fldChar w:fldCharType="end"/>
            </w:r>
          </w:hyperlink>
        </w:p>
        <w:p w14:paraId="37502C51" w14:textId="0FC92D72" w:rsidR="005A58C7" w:rsidRDefault="005A58C7">
          <w:pPr>
            <w:pStyle w:val="T1"/>
            <w:rPr>
              <w:rFonts w:eastAsiaTheme="minorEastAsia" w:cstheme="minorBidi"/>
              <w:b w:val="0"/>
              <w:bCs w:val="0"/>
              <w:noProof/>
              <w:kern w:val="2"/>
              <w:sz w:val="24"/>
              <w:szCs w:val="24"/>
              <w14:ligatures w14:val="standardContextual"/>
            </w:rPr>
          </w:pPr>
          <w:hyperlink w:anchor="_Toc192855178" w:history="1">
            <w:r w:rsidRPr="002A2BE0">
              <w:rPr>
                <w:rStyle w:val="Kpr"/>
                <w:rFonts w:eastAsiaTheme="majorEastAsia"/>
                <w:noProof/>
              </w:rPr>
              <w:t>Banka veya Kredi Kartlarının Kullanılması Suretiyle</w:t>
            </w:r>
            <w:r>
              <w:rPr>
                <w:noProof/>
                <w:webHidden/>
              </w:rPr>
              <w:tab/>
            </w:r>
            <w:r>
              <w:rPr>
                <w:noProof/>
                <w:webHidden/>
              </w:rPr>
              <w:fldChar w:fldCharType="begin"/>
            </w:r>
            <w:r>
              <w:rPr>
                <w:noProof/>
                <w:webHidden/>
              </w:rPr>
              <w:instrText xml:space="preserve"> PAGEREF _Toc192855178 \h </w:instrText>
            </w:r>
            <w:r>
              <w:rPr>
                <w:noProof/>
                <w:webHidden/>
              </w:rPr>
            </w:r>
            <w:r>
              <w:rPr>
                <w:noProof/>
                <w:webHidden/>
              </w:rPr>
              <w:fldChar w:fldCharType="separate"/>
            </w:r>
            <w:r w:rsidR="003B72F6">
              <w:rPr>
                <w:noProof/>
                <w:webHidden/>
              </w:rPr>
              <w:t>189</w:t>
            </w:r>
            <w:r>
              <w:rPr>
                <w:noProof/>
                <w:webHidden/>
              </w:rPr>
              <w:fldChar w:fldCharType="end"/>
            </w:r>
          </w:hyperlink>
        </w:p>
        <w:p w14:paraId="19C0F200" w14:textId="5E9EBC58" w:rsidR="005A58C7" w:rsidRDefault="005A58C7">
          <w:pPr>
            <w:pStyle w:val="T1"/>
            <w:rPr>
              <w:rFonts w:eastAsiaTheme="minorEastAsia" w:cstheme="minorBidi"/>
              <w:b w:val="0"/>
              <w:bCs w:val="0"/>
              <w:noProof/>
              <w:kern w:val="2"/>
              <w:sz w:val="24"/>
              <w:szCs w:val="24"/>
              <w14:ligatures w14:val="standardContextual"/>
            </w:rPr>
          </w:pPr>
          <w:hyperlink w:anchor="_Toc192855179" w:history="1">
            <w:r w:rsidRPr="002A2BE0">
              <w:rPr>
                <w:rStyle w:val="Kpr"/>
                <w:rFonts w:eastAsiaTheme="majorEastAsia"/>
                <w:noProof/>
              </w:rPr>
              <w:t>Yarar Sağlama Suçu Hakkında Değerlendirmeler</w:t>
            </w:r>
            <w:r>
              <w:rPr>
                <w:noProof/>
                <w:webHidden/>
              </w:rPr>
              <w:tab/>
            </w:r>
            <w:r>
              <w:rPr>
                <w:noProof/>
                <w:webHidden/>
              </w:rPr>
              <w:fldChar w:fldCharType="begin"/>
            </w:r>
            <w:r>
              <w:rPr>
                <w:noProof/>
                <w:webHidden/>
              </w:rPr>
              <w:instrText xml:space="preserve"> PAGEREF _Toc192855179 \h </w:instrText>
            </w:r>
            <w:r>
              <w:rPr>
                <w:noProof/>
                <w:webHidden/>
              </w:rPr>
            </w:r>
            <w:r>
              <w:rPr>
                <w:noProof/>
                <w:webHidden/>
              </w:rPr>
              <w:fldChar w:fldCharType="separate"/>
            </w:r>
            <w:r w:rsidR="003B72F6">
              <w:rPr>
                <w:noProof/>
                <w:webHidden/>
              </w:rPr>
              <w:t>189</w:t>
            </w:r>
            <w:r>
              <w:rPr>
                <w:noProof/>
                <w:webHidden/>
              </w:rPr>
              <w:fldChar w:fldCharType="end"/>
            </w:r>
          </w:hyperlink>
        </w:p>
        <w:p w14:paraId="1A10A3EC" w14:textId="126A2098" w:rsidR="005A58C7" w:rsidRDefault="005A58C7">
          <w:pPr>
            <w:pStyle w:val="T1"/>
            <w:rPr>
              <w:rFonts w:eastAsiaTheme="minorEastAsia" w:cstheme="minorBidi"/>
              <w:b w:val="0"/>
              <w:bCs w:val="0"/>
              <w:noProof/>
              <w:kern w:val="2"/>
              <w:sz w:val="24"/>
              <w:szCs w:val="24"/>
              <w14:ligatures w14:val="standardContextual"/>
            </w:rPr>
          </w:pPr>
          <w:hyperlink w:anchor="_Toc192855180" w:history="1">
            <w:r w:rsidRPr="002A2BE0">
              <w:rPr>
                <w:rStyle w:val="Kpr"/>
                <w:rFonts w:eastAsiaTheme="majorEastAsia"/>
                <w:noProof/>
              </w:rPr>
              <w:t>Evaluations on The Crime of Obtainıng Benefits</w:t>
            </w:r>
            <w:r>
              <w:rPr>
                <w:noProof/>
                <w:webHidden/>
              </w:rPr>
              <w:tab/>
            </w:r>
            <w:r>
              <w:rPr>
                <w:noProof/>
                <w:webHidden/>
              </w:rPr>
              <w:fldChar w:fldCharType="begin"/>
            </w:r>
            <w:r>
              <w:rPr>
                <w:noProof/>
                <w:webHidden/>
              </w:rPr>
              <w:instrText xml:space="preserve"> PAGEREF _Toc192855180 \h </w:instrText>
            </w:r>
            <w:r>
              <w:rPr>
                <w:noProof/>
                <w:webHidden/>
              </w:rPr>
            </w:r>
            <w:r>
              <w:rPr>
                <w:noProof/>
                <w:webHidden/>
              </w:rPr>
              <w:fldChar w:fldCharType="separate"/>
            </w:r>
            <w:r w:rsidR="003B72F6">
              <w:rPr>
                <w:noProof/>
                <w:webHidden/>
              </w:rPr>
              <w:t>190</w:t>
            </w:r>
            <w:r>
              <w:rPr>
                <w:noProof/>
                <w:webHidden/>
              </w:rPr>
              <w:fldChar w:fldCharType="end"/>
            </w:r>
          </w:hyperlink>
        </w:p>
        <w:p w14:paraId="0B6D57E0" w14:textId="6DDA0523" w:rsidR="005A58C7" w:rsidRDefault="005A58C7">
          <w:pPr>
            <w:pStyle w:val="T1"/>
            <w:rPr>
              <w:rFonts w:eastAsiaTheme="minorEastAsia" w:cstheme="minorBidi"/>
              <w:b w:val="0"/>
              <w:bCs w:val="0"/>
              <w:noProof/>
              <w:kern w:val="2"/>
              <w:sz w:val="24"/>
              <w:szCs w:val="24"/>
              <w14:ligatures w14:val="standardContextual"/>
            </w:rPr>
          </w:pPr>
          <w:hyperlink w:anchor="_Toc192855181" w:history="1">
            <w:r w:rsidRPr="002A2BE0">
              <w:rPr>
                <w:rStyle w:val="Kpr"/>
                <w:rFonts w:eastAsiaTheme="majorEastAsia"/>
                <w:noProof/>
              </w:rPr>
              <w:t>Through The Use of Bank or Credit Cards</w:t>
            </w:r>
            <w:r>
              <w:rPr>
                <w:noProof/>
                <w:webHidden/>
              </w:rPr>
              <w:tab/>
            </w:r>
            <w:r>
              <w:rPr>
                <w:noProof/>
                <w:webHidden/>
              </w:rPr>
              <w:fldChar w:fldCharType="begin"/>
            </w:r>
            <w:r>
              <w:rPr>
                <w:noProof/>
                <w:webHidden/>
              </w:rPr>
              <w:instrText xml:space="preserve"> PAGEREF _Toc192855181 \h </w:instrText>
            </w:r>
            <w:r>
              <w:rPr>
                <w:noProof/>
                <w:webHidden/>
              </w:rPr>
            </w:r>
            <w:r>
              <w:rPr>
                <w:noProof/>
                <w:webHidden/>
              </w:rPr>
              <w:fldChar w:fldCharType="separate"/>
            </w:r>
            <w:r w:rsidR="003B72F6">
              <w:rPr>
                <w:noProof/>
                <w:webHidden/>
              </w:rPr>
              <w:t>190</w:t>
            </w:r>
            <w:r>
              <w:rPr>
                <w:noProof/>
                <w:webHidden/>
              </w:rPr>
              <w:fldChar w:fldCharType="end"/>
            </w:r>
          </w:hyperlink>
        </w:p>
        <w:p w14:paraId="7CD0D642" w14:textId="178474E1" w:rsidR="005A58C7" w:rsidRDefault="005A58C7">
          <w:pPr>
            <w:pStyle w:val="T1"/>
            <w:rPr>
              <w:rFonts w:eastAsiaTheme="minorEastAsia" w:cstheme="minorBidi"/>
              <w:b w:val="0"/>
              <w:bCs w:val="0"/>
              <w:noProof/>
              <w:kern w:val="2"/>
              <w:sz w:val="24"/>
              <w:szCs w:val="24"/>
              <w14:ligatures w14:val="standardContextual"/>
            </w:rPr>
          </w:pPr>
          <w:hyperlink w:anchor="_Toc192855182" w:history="1">
            <w:r w:rsidRPr="002A2BE0">
              <w:rPr>
                <w:rStyle w:val="Kpr"/>
                <w:rFonts w:eastAsiaTheme="majorEastAsia"/>
                <w:noProof/>
              </w:rPr>
              <w:t>Bilişim Ceza Hukukunda Ajan Cihaz veya Programlar Suçu (TCK m. 245/A)</w:t>
            </w:r>
            <w:r>
              <w:rPr>
                <w:noProof/>
                <w:webHidden/>
              </w:rPr>
              <w:tab/>
            </w:r>
            <w:r>
              <w:rPr>
                <w:noProof/>
                <w:webHidden/>
              </w:rPr>
              <w:fldChar w:fldCharType="begin"/>
            </w:r>
            <w:r>
              <w:rPr>
                <w:noProof/>
                <w:webHidden/>
              </w:rPr>
              <w:instrText xml:space="preserve"> PAGEREF _Toc192855182 \h </w:instrText>
            </w:r>
            <w:r>
              <w:rPr>
                <w:noProof/>
                <w:webHidden/>
              </w:rPr>
            </w:r>
            <w:r>
              <w:rPr>
                <w:noProof/>
                <w:webHidden/>
              </w:rPr>
              <w:fldChar w:fldCharType="separate"/>
            </w:r>
            <w:r w:rsidR="003B72F6">
              <w:rPr>
                <w:noProof/>
                <w:webHidden/>
              </w:rPr>
              <w:t>191</w:t>
            </w:r>
            <w:r>
              <w:rPr>
                <w:noProof/>
                <w:webHidden/>
              </w:rPr>
              <w:fldChar w:fldCharType="end"/>
            </w:r>
          </w:hyperlink>
        </w:p>
        <w:p w14:paraId="72B8906B" w14:textId="2C5A1870" w:rsidR="005A58C7" w:rsidRDefault="005A58C7">
          <w:pPr>
            <w:pStyle w:val="T1"/>
            <w:rPr>
              <w:rFonts w:eastAsiaTheme="minorEastAsia" w:cstheme="minorBidi"/>
              <w:b w:val="0"/>
              <w:bCs w:val="0"/>
              <w:noProof/>
              <w:kern w:val="2"/>
              <w:sz w:val="24"/>
              <w:szCs w:val="24"/>
              <w14:ligatures w14:val="standardContextual"/>
            </w:rPr>
          </w:pPr>
          <w:hyperlink w:anchor="_Toc192855183" w:history="1">
            <w:r w:rsidRPr="002A2BE0">
              <w:rPr>
                <w:rStyle w:val="Kpr"/>
                <w:rFonts w:eastAsiaTheme="majorEastAsia"/>
                <w:noProof/>
              </w:rPr>
              <w:t>Offense of Agent Devices or Programs in Cyber Criminal Law (TPC Article 245/A)</w:t>
            </w:r>
            <w:r>
              <w:rPr>
                <w:noProof/>
                <w:webHidden/>
              </w:rPr>
              <w:tab/>
            </w:r>
            <w:r>
              <w:rPr>
                <w:noProof/>
                <w:webHidden/>
              </w:rPr>
              <w:fldChar w:fldCharType="begin"/>
            </w:r>
            <w:r>
              <w:rPr>
                <w:noProof/>
                <w:webHidden/>
              </w:rPr>
              <w:instrText xml:space="preserve"> PAGEREF _Toc192855183 \h </w:instrText>
            </w:r>
            <w:r>
              <w:rPr>
                <w:noProof/>
                <w:webHidden/>
              </w:rPr>
            </w:r>
            <w:r>
              <w:rPr>
                <w:noProof/>
                <w:webHidden/>
              </w:rPr>
              <w:fldChar w:fldCharType="separate"/>
            </w:r>
            <w:r w:rsidR="003B72F6">
              <w:rPr>
                <w:noProof/>
                <w:webHidden/>
              </w:rPr>
              <w:t>192</w:t>
            </w:r>
            <w:r>
              <w:rPr>
                <w:noProof/>
                <w:webHidden/>
              </w:rPr>
              <w:fldChar w:fldCharType="end"/>
            </w:r>
          </w:hyperlink>
        </w:p>
        <w:p w14:paraId="2D894F09" w14:textId="1688BFB2" w:rsidR="005A58C7" w:rsidRDefault="005A58C7">
          <w:pPr>
            <w:pStyle w:val="T1"/>
            <w:rPr>
              <w:rFonts w:eastAsiaTheme="minorEastAsia" w:cstheme="minorBidi"/>
              <w:b w:val="0"/>
              <w:bCs w:val="0"/>
              <w:noProof/>
              <w:kern w:val="2"/>
              <w:sz w:val="24"/>
              <w:szCs w:val="24"/>
              <w14:ligatures w14:val="standardContextual"/>
            </w:rPr>
          </w:pPr>
          <w:hyperlink w:anchor="_Toc192855184" w:history="1">
            <w:r w:rsidRPr="002A2BE0">
              <w:rPr>
                <w:rStyle w:val="Kpr"/>
                <w:rFonts w:eastAsiaTheme="majorEastAsia"/>
                <w:noProof/>
              </w:rPr>
              <w:t>Montenegro's Statehood Process 1830-1851</w:t>
            </w:r>
            <w:r>
              <w:rPr>
                <w:noProof/>
                <w:webHidden/>
              </w:rPr>
              <w:tab/>
            </w:r>
            <w:r>
              <w:rPr>
                <w:noProof/>
                <w:webHidden/>
              </w:rPr>
              <w:fldChar w:fldCharType="begin"/>
            </w:r>
            <w:r>
              <w:rPr>
                <w:noProof/>
                <w:webHidden/>
              </w:rPr>
              <w:instrText xml:space="preserve"> PAGEREF _Toc192855184 \h </w:instrText>
            </w:r>
            <w:r>
              <w:rPr>
                <w:noProof/>
                <w:webHidden/>
              </w:rPr>
            </w:r>
            <w:r>
              <w:rPr>
                <w:noProof/>
                <w:webHidden/>
              </w:rPr>
              <w:fldChar w:fldCharType="separate"/>
            </w:r>
            <w:r w:rsidR="003B72F6">
              <w:rPr>
                <w:noProof/>
                <w:webHidden/>
              </w:rPr>
              <w:t>193</w:t>
            </w:r>
            <w:r>
              <w:rPr>
                <w:noProof/>
                <w:webHidden/>
              </w:rPr>
              <w:fldChar w:fldCharType="end"/>
            </w:r>
          </w:hyperlink>
        </w:p>
        <w:p w14:paraId="07A9D0FC" w14:textId="7A319487" w:rsidR="005A58C7" w:rsidRDefault="005A58C7">
          <w:pPr>
            <w:pStyle w:val="T1"/>
            <w:rPr>
              <w:rFonts w:eastAsiaTheme="minorEastAsia" w:cstheme="minorBidi"/>
              <w:b w:val="0"/>
              <w:bCs w:val="0"/>
              <w:noProof/>
              <w:kern w:val="2"/>
              <w:sz w:val="24"/>
              <w:szCs w:val="24"/>
              <w14:ligatures w14:val="standardContextual"/>
            </w:rPr>
          </w:pPr>
          <w:hyperlink w:anchor="_Toc192855185" w:history="1">
            <w:r w:rsidRPr="002A2BE0">
              <w:rPr>
                <w:rStyle w:val="Kpr"/>
                <w:rFonts w:eastAsiaTheme="majorEastAsia"/>
                <w:noProof/>
              </w:rPr>
              <w:t>Soğuk Savaş Sonrası Türkiye-İngiltere İlişkilerinde Yeniden Yapılanma (1990-2002)</w:t>
            </w:r>
            <w:r>
              <w:rPr>
                <w:noProof/>
                <w:webHidden/>
              </w:rPr>
              <w:tab/>
            </w:r>
            <w:r>
              <w:rPr>
                <w:noProof/>
                <w:webHidden/>
              </w:rPr>
              <w:fldChar w:fldCharType="begin"/>
            </w:r>
            <w:r>
              <w:rPr>
                <w:noProof/>
                <w:webHidden/>
              </w:rPr>
              <w:instrText xml:space="preserve"> PAGEREF _Toc192855185 \h </w:instrText>
            </w:r>
            <w:r>
              <w:rPr>
                <w:noProof/>
                <w:webHidden/>
              </w:rPr>
            </w:r>
            <w:r>
              <w:rPr>
                <w:noProof/>
                <w:webHidden/>
              </w:rPr>
              <w:fldChar w:fldCharType="separate"/>
            </w:r>
            <w:r w:rsidR="003B72F6">
              <w:rPr>
                <w:noProof/>
                <w:webHidden/>
              </w:rPr>
              <w:t>195</w:t>
            </w:r>
            <w:r>
              <w:rPr>
                <w:noProof/>
                <w:webHidden/>
              </w:rPr>
              <w:fldChar w:fldCharType="end"/>
            </w:r>
          </w:hyperlink>
        </w:p>
        <w:p w14:paraId="18C2F651" w14:textId="5C5842D7" w:rsidR="005A58C7" w:rsidRDefault="005A58C7">
          <w:pPr>
            <w:pStyle w:val="T1"/>
            <w:rPr>
              <w:rFonts w:eastAsiaTheme="minorEastAsia" w:cstheme="minorBidi"/>
              <w:b w:val="0"/>
              <w:bCs w:val="0"/>
              <w:noProof/>
              <w:kern w:val="2"/>
              <w:sz w:val="24"/>
              <w:szCs w:val="24"/>
              <w14:ligatures w14:val="standardContextual"/>
            </w:rPr>
          </w:pPr>
          <w:hyperlink w:anchor="_Toc192855186" w:history="1">
            <w:r w:rsidRPr="002A2BE0">
              <w:rPr>
                <w:rStyle w:val="Kpr"/>
                <w:rFonts w:eastAsiaTheme="majorEastAsia"/>
                <w:noProof/>
              </w:rPr>
              <w:t>Beşar Esad’ın Düşüşü: Suriye’nin Geç Gelen Arap Baharı (mı?)</w:t>
            </w:r>
            <w:r>
              <w:rPr>
                <w:noProof/>
                <w:webHidden/>
              </w:rPr>
              <w:tab/>
            </w:r>
            <w:r>
              <w:rPr>
                <w:noProof/>
                <w:webHidden/>
              </w:rPr>
              <w:fldChar w:fldCharType="begin"/>
            </w:r>
            <w:r>
              <w:rPr>
                <w:noProof/>
                <w:webHidden/>
              </w:rPr>
              <w:instrText xml:space="preserve"> PAGEREF _Toc192855186 \h </w:instrText>
            </w:r>
            <w:r>
              <w:rPr>
                <w:noProof/>
                <w:webHidden/>
              </w:rPr>
            </w:r>
            <w:r>
              <w:rPr>
                <w:noProof/>
                <w:webHidden/>
              </w:rPr>
              <w:fldChar w:fldCharType="separate"/>
            </w:r>
            <w:r w:rsidR="003B72F6">
              <w:rPr>
                <w:noProof/>
                <w:webHidden/>
              </w:rPr>
              <w:t>205</w:t>
            </w:r>
            <w:r>
              <w:rPr>
                <w:noProof/>
                <w:webHidden/>
              </w:rPr>
              <w:fldChar w:fldCharType="end"/>
            </w:r>
          </w:hyperlink>
        </w:p>
        <w:p w14:paraId="0A703FB2" w14:textId="17520417" w:rsidR="005A58C7" w:rsidRDefault="005A58C7">
          <w:pPr>
            <w:pStyle w:val="T1"/>
            <w:rPr>
              <w:rFonts w:eastAsiaTheme="minorEastAsia" w:cstheme="minorBidi"/>
              <w:b w:val="0"/>
              <w:bCs w:val="0"/>
              <w:noProof/>
              <w:kern w:val="2"/>
              <w:sz w:val="24"/>
              <w:szCs w:val="24"/>
              <w14:ligatures w14:val="standardContextual"/>
            </w:rPr>
          </w:pPr>
          <w:hyperlink w:anchor="_Toc192855187" w:history="1">
            <w:r w:rsidRPr="002A2BE0">
              <w:rPr>
                <w:rStyle w:val="Kpr"/>
                <w:rFonts w:eastAsiaTheme="majorEastAsia"/>
                <w:noProof/>
              </w:rPr>
              <w:t>Ekonomik İşleyişe Bireysel Bir Direniş: Boykotun Toplumsal Yönü ve Etik</w:t>
            </w:r>
            <w:r>
              <w:rPr>
                <w:noProof/>
                <w:webHidden/>
              </w:rPr>
              <w:tab/>
            </w:r>
            <w:r>
              <w:rPr>
                <w:noProof/>
                <w:webHidden/>
              </w:rPr>
              <w:fldChar w:fldCharType="begin"/>
            </w:r>
            <w:r>
              <w:rPr>
                <w:noProof/>
                <w:webHidden/>
              </w:rPr>
              <w:instrText xml:space="preserve"> PAGEREF _Toc192855187 \h </w:instrText>
            </w:r>
            <w:r>
              <w:rPr>
                <w:noProof/>
                <w:webHidden/>
              </w:rPr>
            </w:r>
            <w:r>
              <w:rPr>
                <w:noProof/>
                <w:webHidden/>
              </w:rPr>
              <w:fldChar w:fldCharType="separate"/>
            </w:r>
            <w:r w:rsidR="003B72F6">
              <w:rPr>
                <w:noProof/>
                <w:webHidden/>
              </w:rPr>
              <w:t>206</w:t>
            </w:r>
            <w:r>
              <w:rPr>
                <w:noProof/>
                <w:webHidden/>
              </w:rPr>
              <w:fldChar w:fldCharType="end"/>
            </w:r>
          </w:hyperlink>
        </w:p>
        <w:p w14:paraId="0F4840F8" w14:textId="31EF035E" w:rsidR="005A58C7" w:rsidRDefault="005A58C7">
          <w:pPr>
            <w:pStyle w:val="T1"/>
            <w:rPr>
              <w:rFonts w:eastAsiaTheme="minorEastAsia" w:cstheme="minorBidi"/>
              <w:b w:val="0"/>
              <w:bCs w:val="0"/>
              <w:noProof/>
              <w:kern w:val="2"/>
              <w:sz w:val="24"/>
              <w:szCs w:val="24"/>
              <w14:ligatures w14:val="standardContextual"/>
            </w:rPr>
          </w:pPr>
          <w:hyperlink w:anchor="_Toc192855188" w:history="1">
            <w:r w:rsidRPr="002A2BE0">
              <w:rPr>
                <w:rStyle w:val="Kpr"/>
                <w:rFonts w:eastAsiaTheme="majorEastAsia"/>
                <w:noProof/>
              </w:rPr>
              <w:t>Türkiye’deki 5 Büyük Bankanın Sürdürülebilir Kalkınma Hedeflerine Katkısının Entegre Raporlar Üzerinden İncelenmesi</w:t>
            </w:r>
            <w:r>
              <w:rPr>
                <w:noProof/>
                <w:webHidden/>
              </w:rPr>
              <w:tab/>
            </w:r>
            <w:r>
              <w:rPr>
                <w:noProof/>
                <w:webHidden/>
              </w:rPr>
              <w:fldChar w:fldCharType="begin"/>
            </w:r>
            <w:r>
              <w:rPr>
                <w:noProof/>
                <w:webHidden/>
              </w:rPr>
              <w:instrText xml:space="preserve"> PAGEREF _Toc192855188 \h </w:instrText>
            </w:r>
            <w:r>
              <w:rPr>
                <w:noProof/>
                <w:webHidden/>
              </w:rPr>
            </w:r>
            <w:r>
              <w:rPr>
                <w:noProof/>
                <w:webHidden/>
              </w:rPr>
              <w:fldChar w:fldCharType="separate"/>
            </w:r>
            <w:r w:rsidR="003B72F6">
              <w:rPr>
                <w:noProof/>
                <w:webHidden/>
              </w:rPr>
              <w:t>207</w:t>
            </w:r>
            <w:r>
              <w:rPr>
                <w:noProof/>
                <w:webHidden/>
              </w:rPr>
              <w:fldChar w:fldCharType="end"/>
            </w:r>
          </w:hyperlink>
        </w:p>
        <w:p w14:paraId="61F13180" w14:textId="55C9BDF5" w:rsidR="005A58C7" w:rsidRDefault="005A58C7">
          <w:pPr>
            <w:pStyle w:val="T1"/>
            <w:rPr>
              <w:rFonts w:eastAsiaTheme="minorEastAsia" w:cstheme="minorBidi"/>
              <w:b w:val="0"/>
              <w:bCs w:val="0"/>
              <w:noProof/>
              <w:kern w:val="2"/>
              <w:sz w:val="24"/>
              <w:szCs w:val="24"/>
              <w14:ligatures w14:val="standardContextual"/>
            </w:rPr>
          </w:pPr>
          <w:hyperlink w:anchor="_Toc192855189" w:history="1">
            <w:r w:rsidRPr="002A2BE0">
              <w:rPr>
                <w:rStyle w:val="Kpr"/>
                <w:rFonts w:eastAsiaTheme="majorEastAsia"/>
                <w:noProof/>
              </w:rPr>
              <w:t>Analysing The Contribution Of 5 Major Banks In Turkey To Sustainable Development Goals Through Integrated Reports</w:t>
            </w:r>
            <w:r>
              <w:rPr>
                <w:noProof/>
                <w:webHidden/>
              </w:rPr>
              <w:tab/>
            </w:r>
            <w:r>
              <w:rPr>
                <w:noProof/>
                <w:webHidden/>
              </w:rPr>
              <w:fldChar w:fldCharType="begin"/>
            </w:r>
            <w:r>
              <w:rPr>
                <w:noProof/>
                <w:webHidden/>
              </w:rPr>
              <w:instrText xml:space="preserve"> PAGEREF _Toc192855189 \h </w:instrText>
            </w:r>
            <w:r>
              <w:rPr>
                <w:noProof/>
                <w:webHidden/>
              </w:rPr>
            </w:r>
            <w:r>
              <w:rPr>
                <w:noProof/>
                <w:webHidden/>
              </w:rPr>
              <w:fldChar w:fldCharType="separate"/>
            </w:r>
            <w:r w:rsidR="003B72F6">
              <w:rPr>
                <w:noProof/>
                <w:webHidden/>
              </w:rPr>
              <w:t>208</w:t>
            </w:r>
            <w:r>
              <w:rPr>
                <w:noProof/>
                <w:webHidden/>
              </w:rPr>
              <w:fldChar w:fldCharType="end"/>
            </w:r>
          </w:hyperlink>
        </w:p>
        <w:p w14:paraId="7D04D94F" w14:textId="2954246C" w:rsidR="005A58C7" w:rsidRDefault="005A58C7">
          <w:pPr>
            <w:pStyle w:val="T1"/>
            <w:rPr>
              <w:rFonts w:eastAsiaTheme="minorEastAsia" w:cstheme="minorBidi"/>
              <w:b w:val="0"/>
              <w:bCs w:val="0"/>
              <w:noProof/>
              <w:kern w:val="2"/>
              <w:sz w:val="24"/>
              <w:szCs w:val="24"/>
              <w14:ligatures w14:val="standardContextual"/>
            </w:rPr>
          </w:pPr>
          <w:hyperlink w:anchor="_Toc192855190" w:history="1">
            <w:r w:rsidRPr="002A2BE0">
              <w:rPr>
                <w:rStyle w:val="Kpr"/>
                <w:rFonts w:eastAsiaTheme="majorEastAsia"/>
                <w:noProof/>
              </w:rPr>
              <w:t>Türkiye’de Finansal Başarısızlık Üzerine Hazırlanmış Lisansüstü Tez Çalışmalarına Yönelik Sistematik Bir İnceleme</w:t>
            </w:r>
            <w:r>
              <w:rPr>
                <w:noProof/>
                <w:webHidden/>
              </w:rPr>
              <w:tab/>
            </w:r>
            <w:r>
              <w:rPr>
                <w:noProof/>
                <w:webHidden/>
              </w:rPr>
              <w:fldChar w:fldCharType="begin"/>
            </w:r>
            <w:r>
              <w:rPr>
                <w:noProof/>
                <w:webHidden/>
              </w:rPr>
              <w:instrText xml:space="preserve"> PAGEREF _Toc192855190 \h </w:instrText>
            </w:r>
            <w:r>
              <w:rPr>
                <w:noProof/>
                <w:webHidden/>
              </w:rPr>
            </w:r>
            <w:r>
              <w:rPr>
                <w:noProof/>
                <w:webHidden/>
              </w:rPr>
              <w:fldChar w:fldCharType="separate"/>
            </w:r>
            <w:r w:rsidR="003B72F6">
              <w:rPr>
                <w:noProof/>
                <w:webHidden/>
              </w:rPr>
              <w:t>209</w:t>
            </w:r>
            <w:r>
              <w:rPr>
                <w:noProof/>
                <w:webHidden/>
              </w:rPr>
              <w:fldChar w:fldCharType="end"/>
            </w:r>
          </w:hyperlink>
        </w:p>
        <w:p w14:paraId="3E11956C" w14:textId="307F601F" w:rsidR="005A58C7" w:rsidRDefault="005A58C7">
          <w:pPr>
            <w:pStyle w:val="T1"/>
            <w:rPr>
              <w:rFonts w:eastAsiaTheme="minorEastAsia" w:cstheme="minorBidi"/>
              <w:b w:val="0"/>
              <w:bCs w:val="0"/>
              <w:noProof/>
              <w:kern w:val="2"/>
              <w:sz w:val="24"/>
              <w:szCs w:val="24"/>
              <w14:ligatures w14:val="standardContextual"/>
            </w:rPr>
          </w:pPr>
          <w:hyperlink w:anchor="_Toc192855191" w:history="1">
            <w:r w:rsidRPr="002A2BE0">
              <w:rPr>
                <w:rStyle w:val="Kpr"/>
                <w:rFonts w:eastAsiaTheme="majorEastAsia"/>
                <w:noProof/>
              </w:rPr>
              <w:t>A Systematic Review of Graduate Thesis Studies Regarding Financial Failure in Türkiye</w:t>
            </w:r>
            <w:r>
              <w:rPr>
                <w:noProof/>
                <w:webHidden/>
              </w:rPr>
              <w:tab/>
            </w:r>
            <w:r>
              <w:rPr>
                <w:noProof/>
                <w:webHidden/>
              </w:rPr>
              <w:fldChar w:fldCharType="begin"/>
            </w:r>
            <w:r>
              <w:rPr>
                <w:noProof/>
                <w:webHidden/>
              </w:rPr>
              <w:instrText xml:space="preserve"> PAGEREF _Toc192855191 \h </w:instrText>
            </w:r>
            <w:r>
              <w:rPr>
                <w:noProof/>
                <w:webHidden/>
              </w:rPr>
            </w:r>
            <w:r>
              <w:rPr>
                <w:noProof/>
                <w:webHidden/>
              </w:rPr>
              <w:fldChar w:fldCharType="separate"/>
            </w:r>
            <w:r w:rsidR="003B72F6">
              <w:rPr>
                <w:noProof/>
                <w:webHidden/>
              </w:rPr>
              <w:t>210</w:t>
            </w:r>
            <w:r>
              <w:rPr>
                <w:noProof/>
                <w:webHidden/>
              </w:rPr>
              <w:fldChar w:fldCharType="end"/>
            </w:r>
          </w:hyperlink>
        </w:p>
        <w:p w14:paraId="439E3576" w14:textId="43C1414E" w:rsidR="005A58C7" w:rsidRDefault="005A58C7">
          <w:pPr>
            <w:pStyle w:val="T1"/>
            <w:rPr>
              <w:rFonts w:eastAsiaTheme="minorEastAsia" w:cstheme="minorBidi"/>
              <w:b w:val="0"/>
              <w:bCs w:val="0"/>
              <w:noProof/>
              <w:kern w:val="2"/>
              <w:sz w:val="24"/>
              <w:szCs w:val="24"/>
              <w14:ligatures w14:val="standardContextual"/>
            </w:rPr>
          </w:pPr>
          <w:hyperlink w:anchor="_Toc192855192" w:history="1">
            <w:r w:rsidRPr="002A2BE0">
              <w:rPr>
                <w:rStyle w:val="Kpr"/>
                <w:rFonts w:eastAsiaTheme="majorEastAsia"/>
                <w:noProof/>
              </w:rPr>
              <w:t>Sürdürülebilir Kadın Girişimciliği ve Ekonomik Güçlenme için Bir Model: Türkiye'de Kadın Kooperatiflerine Yönelik Stratejiler</w:t>
            </w:r>
            <w:r>
              <w:rPr>
                <w:noProof/>
                <w:webHidden/>
              </w:rPr>
              <w:tab/>
            </w:r>
            <w:r>
              <w:rPr>
                <w:noProof/>
                <w:webHidden/>
              </w:rPr>
              <w:fldChar w:fldCharType="begin"/>
            </w:r>
            <w:r>
              <w:rPr>
                <w:noProof/>
                <w:webHidden/>
              </w:rPr>
              <w:instrText xml:space="preserve"> PAGEREF _Toc192855192 \h </w:instrText>
            </w:r>
            <w:r>
              <w:rPr>
                <w:noProof/>
                <w:webHidden/>
              </w:rPr>
            </w:r>
            <w:r>
              <w:rPr>
                <w:noProof/>
                <w:webHidden/>
              </w:rPr>
              <w:fldChar w:fldCharType="separate"/>
            </w:r>
            <w:r w:rsidR="003B72F6">
              <w:rPr>
                <w:noProof/>
                <w:webHidden/>
              </w:rPr>
              <w:t>221</w:t>
            </w:r>
            <w:r>
              <w:rPr>
                <w:noProof/>
                <w:webHidden/>
              </w:rPr>
              <w:fldChar w:fldCharType="end"/>
            </w:r>
          </w:hyperlink>
        </w:p>
        <w:p w14:paraId="2775D8EB" w14:textId="738979AB" w:rsidR="005A58C7" w:rsidRDefault="005A58C7">
          <w:pPr>
            <w:pStyle w:val="T1"/>
            <w:rPr>
              <w:rFonts w:eastAsiaTheme="minorEastAsia" w:cstheme="minorBidi"/>
              <w:b w:val="0"/>
              <w:bCs w:val="0"/>
              <w:noProof/>
              <w:kern w:val="2"/>
              <w:sz w:val="24"/>
              <w:szCs w:val="24"/>
              <w14:ligatures w14:val="standardContextual"/>
            </w:rPr>
          </w:pPr>
          <w:hyperlink w:anchor="_Toc192855193" w:history="1">
            <w:r w:rsidRPr="002A2BE0">
              <w:rPr>
                <w:rStyle w:val="Kpr"/>
                <w:rFonts w:eastAsiaTheme="majorEastAsia"/>
                <w:noProof/>
              </w:rPr>
              <w:t>Ekonomik ve Sosyal Dönüşümün Aracısı Olarak</w:t>
            </w:r>
            <w:r>
              <w:rPr>
                <w:noProof/>
                <w:webHidden/>
              </w:rPr>
              <w:tab/>
            </w:r>
            <w:r>
              <w:rPr>
                <w:noProof/>
                <w:webHidden/>
              </w:rPr>
              <w:fldChar w:fldCharType="begin"/>
            </w:r>
            <w:r>
              <w:rPr>
                <w:noProof/>
                <w:webHidden/>
              </w:rPr>
              <w:instrText xml:space="preserve"> PAGEREF _Toc192855193 \h </w:instrText>
            </w:r>
            <w:r>
              <w:rPr>
                <w:noProof/>
                <w:webHidden/>
              </w:rPr>
            </w:r>
            <w:r>
              <w:rPr>
                <w:noProof/>
                <w:webHidden/>
              </w:rPr>
              <w:fldChar w:fldCharType="separate"/>
            </w:r>
            <w:r w:rsidR="003B72F6">
              <w:rPr>
                <w:noProof/>
                <w:webHidden/>
              </w:rPr>
              <w:t>246</w:t>
            </w:r>
            <w:r>
              <w:rPr>
                <w:noProof/>
                <w:webHidden/>
              </w:rPr>
              <w:fldChar w:fldCharType="end"/>
            </w:r>
          </w:hyperlink>
        </w:p>
        <w:p w14:paraId="6F0F7C2C" w14:textId="2CF8E76D" w:rsidR="005A58C7" w:rsidRDefault="005A58C7">
          <w:pPr>
            <w:pStyle w:val="T1"/>
            <w:rPr>
              <w:rFonts w:eastAsiaTheme="minorEastAsia" w:cstheme="minorBidi"/>
              <w:b w:val="0"/>
              <w:bCs w:val="0"/>
              <w:noProof/>
              <w:kern w:val="2"/>
              <w:sz w:val="24"/>
              <w:szCs w:val="24"/>
              <w14:ligatures w14:val="standardContextual"/>
            </w:rPr>
          </w:pPr>
          <w:hyperlink w:anchor="_Toc192855194" w:history="1">
            <w:r w:rsidRPr="002A2BE0">
              <w:rPr>
                <w:rStyle w:val="Kpr"/>
                <w:rFonts w:eastAsiaTheme="majorEastAsia"/>
                <w:noProof/>
              </w:rPr>
              <w:t>Erken Cumhuriyet Türkiye'sinde Kooperatif Hareketlerinin Evrimi: Devlet, Toplum ve Ekonomik Kalkınma (1923-1950)</w:t>
            </w:r>
            <w:r>
              <w:rPr>
                <w:noProof/>
                <w:webHidden/>
              </w:rPr>
              <w:tab/>
            </w:r>
            <w:r>
              <w:rPr>
                <w:noProof/>
                <w:webHidden/>
              </w:rPr>
              <w:fldChar w:fldCharType="begin"/>
            </w:r>
            <w:r>
              <w:rPr>
                <w:noProof/>
                <w:webHidden/>
              </w:rPr>
              <w:instrText xml:space="preserve"> PAGEREF _Toc192855194 \h </w:instrText>
            </w:r>
            <w:r>
              <w:rPr>
                <w:noProof/>
                <w:webHidden/>
              </w:rPr>
            </w:r>
            <w:r>
              <w:rPr>
                <w:noProof/>
                <w:webHidden/>
              </w:rPr>
              <w:fldChar w:fldCharType="separate"/>
            </w:r>
            <w:r w:rsidR="003B72F6">
              <w:rPr>
                <w:noProof/>
                <w:webHidden/>
              </w:rPr>
              <w:t>246</w:t>
            </w:r>
            <w:r>
              <w:rPr>
                <w:noProof/>
                <w:webHidden/>
              </w:rPr>
              <w:fldChar w:fldCharType="end"/>
            </w:r>
          </w:hyperlink>
        </w:p>
        <w:p w14:paraId="401B84CB" w14:textId="312934B6" w:rsidR="005A58C7" w:rsidRDefault="005A58C7">
          <w:pPr>
            <w:pStyle w:val="T1"/>
            <w:rPr>
              <w:rFonts w:eastAsiaTheme="minorEastAsia" w:cstheme="minorBidi"/>
              <w:b w:val="0"/>
              <w:bCs w:val="0"/>
              <w:noProof/>
              <w:kern w:val="2"/>
              <w:sz w:val="24"/>
              <w:szCs w:val="24"/>
              <w14:ligatures w14:val="standardContextual"/>
            </w:rPr>
          </w:pPr>
          <w:hyperlink w:anchor="_Toc192855195" w:history="1">
            <w:r w:rsidRPr="002A2BE0">
              <w:rPr>
                <w:rStyle w:val="Kpr"/>
                <w:rFonts w:eastAsiaTheme="majorEastAsia"/>
                <w:noProof/>
              </w:rPr>
              <w:t>Prompt Mühendisliğinin Restoran İşletmeciliğinde Uygulama Alanları ve Gelecek Vizyonu</w:t>
            </w:r>
            <w:r>
              <w:rPr>
                <w:noProof/>
                <w:webHidden/>
              </w:rPr>
              <w:tab/>
            </w:r>
            <w:r>
              <w:rPr>
                <w:noProof/>
                <w:webHidden/>
              </w:rPr>
              <w:fldChar w:fldCharType="begin"/>
            </w:r>
            <w:r>
              <w:rPr>
                <w:noProof/>
                <w:webHidden/>
              </w:rPr>
              <w:instrText xml:space="preserve"> PAGEREF _Toc192855195 \h </w:instrText>
            </w:r>
            <w:r>
              <w:rPr>
                <w:noProof/>
                <w:webHidden/>
              </w:rPr>
            </w:r>
            <w:r>
              <w:rPr>
                <w:noProof/>
                <w:webHidden/>
              </w:rPr>
              <w:fldChar w:fldCharType="separate"/>
            </w:r>
            <w:r w:rsidR="003B72F6">
              <w:rPr>
                <w:noProof/>
                <w:webHidden/>
              </w:rPr>
              <w:t>248</w:t>
            </w:r>
            <w:r>
              <w:rPr>
                <w:noProof/>
                <w:webHidden/>
              </w:rPr>
              <w:fldChar w:fldCharType="end"/>
            </w:r>
          </w:hyperlink>
        </w:p>
        <w:p w14:paraId="7AC22D4B" w14:textId="3B428086" w:rsidR="005A58C7" w:rsidRDefault="005A58C7">
          <w:pPr>
            <w:pStyle w:val="T1"/>
            <w:rPr>
              <w:rFonts w:eastAsiaTheme="minorEastAsia" w:cstheme="minorBidi"/>
              <w:b w:val="0"/>
              <w:bCs w:val="0"/>
              <w:noProof/>
              <w:kern w:val="2"/>
              <w:sz w:val="24"/>
              <w:szCs w:val="24"/>
              <w14:ligatures w14:val="standardContextual"/>
            </w:rPr>
          </w:pPr>
          <w:hyperlink w:anchor="_Toc192855196" w:history="1">
            <w:r w:rsidRPr="002A2BE0">
              <w:rPr>
                <w:rStyle w:val="Kpr"/>
                <w:rFonts w:eastAsiaTheme="majorEastAsia"/>
                <w:noProof/>
                <w:lang w:val="en-US"/>
              </w:rPr>
              <w:t>Application Areas of Prompt Engineering in Restaurant Management and Future Vision</w:t>
            </w:r>
            <w:r>
              <w:rPr>
                <w:noProof/>
                <w:webHidden/>
              </w:rPr>
              <w:tab/>
            </w:r>
            <w:r>
              <w:rPr>
                <w:noProof/>
                <w:webHidden/>
              </w:rPr>
              <w:fldChar w:fldCharType="begin"/>
            </w:r>
            <w:r>
              <w:rPr>
                <w:noProof/>
                <w:webHidden/>
              </w:rPr>
              <w:instrText xml:space="preserve"> PAGEREF _Toc192855196 \h </w:instrText>
            </w:r>
            <w:r>
              <w:rPr>
                <w:noProof/>
                <w:webHidden/>
              </w:rPr>
            </w:r>
            <w:r>
              <w:rPr>
                <w:noProof/>
                <w:webHidden/>
              </w:rPr>
              <w:fldChar w:fldCharType="separate"/>
            </w:r>
            <w:r w:rsidR="003B72F6">
              <w:rPr>
                <w:noProof/>
                <w:webHidden/>
              </w:rPr>
              <w:t>249</w:t>
            </w:r>
            <w:r>
              <w:rPr>
                <w:noProof/>
                <w:webHidden/>
              </w:rPr>
              <w:fldChar w:fldCharType="end"/>
            </w:r>
          </w:hyperlink>
        </w:p>
        <w:p w14:paraId="06509661" w14:textId="7AB423E1" w:rsidR="005A58C7" w:rsidRDefault="005A58C7">
          <w:pPr>
            <w:pStyle w:val="T1"/>
            <w:rPr>
              <w:rFonts w:eastAsiaTheme="minorEastAsia" w:cstheme="minorBidi"/>
              <w:b w:val="0"/>
              <w:bCs w:val="0"/>
              <w:noProof/>
              <w:kern w:val="2"/>
              <w:sz w:val="24"/>
              <w:szCs w:val="24"/>
              <w14:ligatures w14:val="standardContextual"/>
            </w:rPr>
          </w:pPr>
          <w:hyperlink w:anchor="_Toc192855197" w:history="1">
            <w:r w:rsidRPr="002A2BE0">
              <w:rPr>
                <w:rStyle w:val="Kpr"/>
                <w:rFonts w:eastAsiaTheme="majorEastAsia"/>
                <w:noProof/>
              </w:rPr>
              <w:t>Turizm Alanında Kullanılan Motivasyon Ölçeklerinin Analizi</w:t>
            </w:r>
            <w:r>
              <w:rPr>
                <w:noProof/>
                <w:webHidden/>
              </w:rPr>
              <w:tab/>
            </w:r>
            <w:r>
              <w:rPr>
                <w:noProof/>
                <w:webHidden/>
              </w:rPr>
              <w:fldChar w:fldCharType="begin"/>
            </w:r>
            <w:r>
              <w:rPr>
                <w:noProof/>
                <w:webHidden/>
              </w:rPr>
              <w:instrText xml:space="preserve"> PAGEREF _Toc192855197 \h </w:instrText>
            </w:r>
            <w:r>
              <w:rPr>
                <w:noProof/>
                <w:webHidden/>
              </w:rPr>
            </w:r>
            <w:r>
              <w:rPr>
                <w:noProof/>
                <w:webHidden/>
              </w:rPr>
              <w:fldChar w:fldCharType="separate"/>
            </w:r>
            <w:r w:rsidR="003B72F6">
              <w:rPr>
                <w:noProof/>
                <w:webHidden/>
              </w:rPr>
              <w:t>251</w:t>
            </w:r>
            <w:r>
              <w:rPr>
                <w:noProof/>
                <w:webHidden/>
              </w:rPr>
              <w:fldChar w:fldCharType="end"/>
            </w:r>
          </w:hyperlink>
        </w:p>
        <w:p w14:paraId="5CA5AB94" w14:textId="5C4F340C" w:rsidR="005A58C7" w:rsidRDefault="005A58C7">
          <w:pPr>
            <w:pStyle w:val="T1"/>
            <w:rPr>
              <w:rFonts w:eastAsiaTheme="minorEastAsia" w:cstheme="minorBidi"/>
              <w:b w:val="0"/>
              <w:bCs w:val="0"/>
              <w:noProof/>
              <w:kern w:val="2"/>
              <w:sz w:val="24"/>
              <w:szCs w:val="24"/>
              <w14:ligatures w14:val="standardContextual"/>
            </w:rPr>
          </w:pPr>
          <w:hyperlink w:anchor="_Toc192855198" w:history="1">
            <w:r w:rsidRPr="002A2BE0">
              <w:rPr>
                <w:rStyle w:val="Kpr"/>
                <w:rFonts w:eastAsiaTheme="majorEastAsia"/>
                <w:noProof/>
              </w:rPr>
              <w:t>Analysis of Motivation Scales Used in Tourism</w:t>
            </w:r>
            <w:r>
              <w:rPr>
                <w:noProof/>
                <w:webHidden/>
              </w:rPr>
              <w:tab/>
            </w:r>
            <w:r>
              <w:rPr>
                <w:noProof/>
                <w:webHidden/>
              </w:rPr>
              <w:fldChar w:fldCharType="begin"/>
            </w:r>
            <w:r>
              <w:rPr>
                <w:noProof/>
                <w:webHidden/>
              </w:rPr>
              <w:instrText xml:space="preserve"> PAGEREF _Toc192855198 \h </w:instrText>
            </w:r>
            <w:r>
              <w:rPr>
                <w:noProof/>
                <w:webHidden/>
              </w:rPr>
            </w:r>
            <w:r>
              <w:rPr>
                <w:noProof/>
                <w:webHidden/>
              </w:rPr>
              <w:fldChar w:fldCharType="separate"/>
            </w:r>
            <w:r w:rsidR="003B72F6">
              <w:rPr>
                <w:noProof/>
                <w:webHidden/>
              </w:rPr>
              <w:t>252</w:t>
            </w:r>
            <w:r>
              <w:rPr>
                <w:noProof/>
                <w:webHidden/>
              </w:rPr>
              <w:fldChar w:fldCharType="end"/>
            </w:r>
          </w:hyperlink>
        </w:p>
        <w:p w14:paraId="5AB42A46" w14:textId="5EEBB22D" w:rsidR="005A58C7" w:rsidRDefault="005A58C7">
          <w:pPr>
            <w:pStyle w:val="T1"/>
            <w:rPr>
              <w:rFonts w:eastAsiaTheme="minorEastAsia" w:cstheme="minorBidi"/>
              <w:b w:val="0"/>
              <w:bCs w:val="0"/>
              <w:noProof/>
              <w:kern w:val="2"/>
              <w:sz w:val="24"/>
              <w:szCs w:val="24"/>
              <w14:ligatures w14:val="standardContextual"/>
            </w:rPr>
          </w:pPr>
          <w:hyperlink w:anchor="_Toc192855199" w:history="1">
            <w:r w:rsidRPr="002A2BE0">
              <w:rPr>
                <w:rStyle w:val="Kpr"/>
                <w:rFonts w:eastAsiaTheme="majorEastAsia"/>
                <w:noProof/>
              </w:rPr>
              <w:t>HVAC Sektöründe Liderlik, Yönetim ve Çalışan Motivasyonunun İlişkisinde Kariyer Geleceğinin Aracı Etkisi</w:t>
            </w:r>
            <w:r>
              <w:rPr>
                <w:noProof/>
                <w:webHidden/>
              </w:rPr>
              <w:tab/>
            </w:r>
            <w:r>
              <w:rPr>
                <w:noProof/>
                <w:webHidden/>
              </w:rPr>
              <w:fldChar w:fldCharType="begin"/>
            </w:r>
            <w:r>
              <w:rPr>
                <w:noProof/>
                <w:webHidden/>
              </w:rPr>
              <w:instrText xml:space="preserve"> PAGEREF _Toc192855199 \h </w:instrText>
            </w:r>
            <w:r>
              <w:rPr>
                <w:noProof/>
                <w:webHidden/>
              </w:rPr>
            </w:r>
            <w:r>
              <w:rPr>
                <w:noProof/>
                <w:webHidden/>
              </w:rPr>
              <w:fldChar w:fldCharType="separate"/>
            </w:r>
            <w:r w:rsidR="003B72F6">
              <w:rPr>
                <w:noProof/>
                <w:webHidden/>
              </w:rPr>
              <w:t>253</w:t>
            </w:r>
            <w:r>
              <w:rPr>
                <w:noProof/>
                <w:webHidden/>
              </w:rPr>
              <w:fldChar w:fldCharType="end"/>
            </w:r>
          </w:hyperlink>
        </w:p>
        <w:p w14:paraId="4CC6B3A5" w14:textId="3390E236" w:rsidR="005A58C7" w:rsidRDefault="005A58C7">
          <w:pPr>
            <w:pStyle w:val="T1"/>
            <w:rPr>
              <w:rFonts w:eastAsiaTheme="minorEastAsia" w:cstheme="minorBidi"/>
              <w:b w:val="0"/>
              <w:bCs w:val="0"/>
              <w:noProof/>
              <w:kern w:val="2"/>
              <w:sz w:val="24"/>
              <w:szCs w:val="24"/>
              <w14:ligatures w14:val="standardContextual"/>
            </w:rPr>
          </w:pPr>
          <w:hyperlink w:anchor="_Toc192855200" w:history="1">
            <w:r w:rsidRPr="002A2BE0">
              <w:rPr>
                <w:rStyle w:val="Kpr"/>
                <w:rFonts w:eastAsiaTheme="majorEastAsia"/>
                <w:noProof/>
              </w:rPr>
              <w:t>HVAC Sektöründe Örgütsel Sürdürülebilirlik Düzeyinin Döngüsel Ekonomi Algısı Üzerindeki Etkisinin Belirlenmesi</w:t>
            </w:r>
            <w:r>
              <w:rPr>
                <w:noProof/>
                <w:webHidden/>
              </w:rPr>
              <w:tab/>
            </w:r>
            <w:r>
              <w:rPr>
                <w:noProof/>
                <w:webHidden/>
              </w:rPr>
              <w:fldChar w:fldCharType="begin"/>
            </w:r>
            <w:r>
              <w:rPr>
                <w:noProof/>
                <w:webHidden/>
              </w:rPr>
              <w:instrText xml:space="preserve"> PAGEREF _Toc192855200 \h </w:instrText>
            </w:r>
            <w:r>
              <w:rPr>
                <w:noProof/>
                <w:webHidden/>
              </w:rPr>
            </w:r>
            <w:r>
              <w:rPr>
                <w:noProof/>
                <w:webHidden/>
              </w:rPr>
              <w:fldChar w:fldCharType="separate"/>
            </w:r>
            <w:r w:rsidR="003B72F6">
              <w:rPr>
                <w:noProof/>
                <w:webHidden/>
              </w:rPr>
              <w:t>254</w:t>
            </w:r>
            <w:r>
              <w:rPr>
                <w:noProof/>
                <w:webHidden/>
              </w:rPr>
              <w:fldChar w:fldCharType="end"/>
            </w:r>
          </w:hyperlink>
        </w:p>
        <w:p w14:paraId="7DE69036" w14:textId="1D1030B7" w:rsidR="005A58C7" w:rsidRDefault="005A58C7">
          <w:pPr>
            <w:pStyle w:val="T1"/>
            <w:rPr>
              <w:rFonts w:eastAsiaTheme="minorEastAsia" w:cstheme="minorBidi"/>
              <w:b w:val="0"/>
              <w:bCs w:val="0"/>
              <w:noProof/>
              <w:kern w:val="2"/>
              <w:sz w:val="24"/>
              <w:szCs w:val="24"/>
              <w14:ligatures w14:val="standardContextual"/>
            </w:rPr>
          </w:pPr>
          <w:hyperlink w:anchor="_Toc192855201" w:history="1">
            <w:r w:rsidRPr="002A2BE0">
              <w:rPr>
                <w:rStyle w:val="Kpr"/>
                <w:rFonts w:eastAsiaTheme="majorEastAsia"/>
                <w:noProof/>
                <w:lang w:val="tr"/>
              </w:rPr>
              <w:t>Taylorizm’den Dijital Taylorizm’e Denetimin Dönüşümü</w:t>
            </w:r>
            <w:r>
              <w:rPr>
                <w:noProof/>
                <w:webHidden/>
              </w:rPr>
              <w:tab/>
            </w:r>
            <w:r>
              <w:rPr>
                <w:noProof/>
                <w:webHidden/>
              </w:rPr>
              <w:fldChar w:fldCharType="begin"/>
            </w:r>
            <w:r>
              <w:rPr>
                <w:noProof/>
                <w:webHidden/>
              </w:rPr>
              <w:instrText xml:space="preserve"> PAGEREF _Toc192855201 \h </w:instrText>
            </w:r>
            <w:r>
              <w:rPr>
                <w:noProof/>
                <w:webHidden/>
              </w:rPr>
            </w:r>
            <w:r>
              <w:rPr>
                <w:noProof/>
                <w:webHidden/>
              </w:rPr>
              <w:fldChar w:fldCharType="separate"/>
            </w:r>
            <w:r w:rsidR="003B72F6">
              <w:rPr>
                <w:noProof/>
                <w:webHidden/>
              </w:rPr>
              <w:t>255</w:t>
            </w:r>
            <w:r>
              <w:rPr>
                <w:noProof/>
                <w:webHidden/>
              </w:rPr>
              <w:fldChar w:fldCharType="end"/>
            </w:r>
          </w:hyperlink>
        </w:p>
        <w:p w14:paraId="11376E91" w14:textId="059DD7FC" w:rsidR="005A58C7" w:rsidRDefault="005A58C7">
          <w:pPr>
            <w:pStyle w:val="T1"/>
            <w:rPr>
              <w:rFonts w:eastAsiaTheme="minorEastAsia" w:cstheme="minorBidi"/>
              <w:b w:val="0"/>
              <w:bCs w:val="0"/>
              <w:noProof/>
              <w:kern w:val="2"/>
              <w:sz w:val="24"/>
              <w:szCs w:val="24"/>
              <w14:ligatures w14:val="standardContextual"/>
            </w:rPr>
          </w:pPr>
          <w:hyperlink w:anchor="_Toc192855202" w:history="1">
            <w:r w:rsidRPr="002A2BE0">
              <w:rPr>
                <w:rStyle w:val="Kpr"/>
                <w:rFonts w:eastAsiaTheme="majorEastAsia"/>
                <w:noProof/>
                <w:lang w:val="tr"/>
              </w:rPr>
              <w:t>The Transformation of Audit From Taylorism to Digital Taylorism</w:t>
            </w:r>
            <w:r>
              <w:rPr>
                <w:noProof/>
                <w:webHidden/>
              </w:rPr>
              <w:tab/>
            </w:r>
            <w:r>
              <w:rPr>
                <w:noProof/>
                <w:webHidden/>
              </w:rPr>
              <w:fldChar w:fldCharType="begin"/>
            </w:r>
            <w:r>
              <w:rPr>
                <w:noProof/>
                <w:webHidden/>
              </w:rPr>
              <w:instrText xml:space="preserve"> PAGEREF _Toc192855202 \h </w:instrText>
            </w:r>
            <w:r>
              <w:rPr>
                <w:noProof/>
                <w:webHidden/>
              </w:rPr>
            </w:r>
            <w:r>
              <w:rPr>
                <w:noProof/>
                <w:webHidden/>
              </w:rPr>
              <w:fldChar w:fldCharType="separate"/>
            </w:r>
            <w:r w:rsidR="003B72F6">
              <w:rPr>
                <w:noProof/>
                <w:webHidden/>
              </w:rPr>
              <w:t>256</w:t>
            </w:r>
            <w:r>
              <w:rPr>
                <w:noProof/>
                <w:webHidden/>
              </w:rPr>
              <w:fldChar w:fldCharType="end"/>
            </w:r>
          </w:hyperlink>
        </w:p>
        <w:p w14:paraId="16996966" w14:textId="55A9EB59" w:rsidR="005A58C7" w:rsidRDefault="005A58C7">
          <w:pPr>
            <w:pStyle w:val="T1"/>
            <w:rPr>
              <w:rFonts w:eastAsiaTheme="minorEastAsia" w:cstheme="minorBidi"/>
              <w:b w:val="0"/>
              <w:bCs w:val="0"/>
              <w:noProof/>
              <w:kern w:val="2"/>
              <w:sz w:val="24"/>
              <w:szCs w:val="24"/>
              <w14:ligatures w14:val="standardContextual"/>
            </w:rPr>
          </w:pPr>
          <w:hyperlink w:anchor="_Toc192855203" w:history="1">
            <w:r w:rsidRPr="002A2BE0">
              <w:rPr>
                <w:rStyle w:val="Kpr"/>
                <w:rFonts w:eastAsiaTheme="majorEastAsia"/>
                <w:noProof/>
              </w:rPr>
              <w:t>Hint Coğrafyasında Şehrin Ortaya Çıkışı ve Gelişimi</w:t>
            </w:r>
            <w:r>
              <w:rPr>
                <w:noProof/>
                <w:webHidden/>
              </w:rPr>
              <w:tab/>
            </w:r>
            <w:r>
              <w:rPr>
                <w:noProof/>
                <w:webHidden/>
              </w:rPr>
              <w:fldChar w:fldCharType="begin"/>
            </w:r>
            <w:r>
              <w:rPr>
                <w:noProof/>
                <w:webHidden/>
              </w:rPr>
              <w:instrText xml:space="preserve"> PAGEREF _Toc192855203 \h </w:instrText>
            </w:r>
            <w:r>
              <w:rPr>
                <w:noProof/>
                <w:webHidden/>
              </w:rPr>
            </w:r>
            <w:r>
              <w:rPr>
                <w:noProof/>
                <w:webHidden/>
              </w:rPr>
              <w:fldChar w:fldCharType="separate"/>
            </w:r>
            <w:r w:rsidR="003B72F6">
              <w:rPr>
                <w:noProof/>
                <w:webHidden/>
              </w:rPr>
              <w:t>266</w:t>
            </w:r>
            <w:r>
              <w:rPr>
                <w:noProof/>
                <w:webHidden/>
              </w:rPr>
              <w:fldChar w:fldCharType="end"/>
            </w:r>
          </w:hyperlink>
        </w:p>
        <w:p w14:paraId="166D34CA" w14:textId="625448FF" w:rsidR="005A58C7" w:rsidRDefault="005A58C7">
          <w:pPr>
            <w:pStyle w:val="T1"/>
            <w:rPr>
              <w:rFonts w:eastAsiaTheme="minorEastAsia" w:cstheme="minorBidi"/>
              <w:b w:val="0"/>
              <w:bCs w:val="0"/>
              <w:noProof/>
              <w:kern w:val="2"/>
              <w:sz w:val="24"/>
              <w:szCs w:val="24"/>
              <w14:ligatures w14:val="standardContextual"/>
            </w:rPr>
          </w:pPr>
          <w:hyperlink w:anchor="_Toc192855204" w:history="1">
            <w:r w:rsidRPr="002A2BE0">
              <w:rPr>
                <w:rStyle w:val="Kpr"/>
                <w:rFonts w:eastAsiaTheme="majorEastAsia"/>
                <w:noProof/>
              </w:rPr>
              <w:t>İslam Hukukunda ve Osmanlı Uygulamasında Kadının Mahremiyetine Etkisi Bağlamında Eşyaya Bağlı İrtifak Hakları ve Mülkiyetin Kısıtlanması</w:t>
            </w:r>
            <w:r>
              <w:rPr>
                <w:noProof/>
                <w:webHidden/>
              </w:rPr>
              <w:tab/>
            </w:r>
            <w:r>
              <w:rPr>
                <w:noProof/>
                <w:webHidden/>
              </w:rPr>
              <w:fldChar w:fldCharType="begin"/>
            </w:r>
            <w:r>
              <w:rPr>
                <w:noProof/>
                <w:webHidden/>
              </w:rPr>
              <w:instrText xml:space="preserve"> PAGEREF _Toc192855204 \h </w:instrText>
            </w:r>
            <w:r>
              <w:rPr>
                <w:noProof/>
                <w:webHidden/>
              </w:rPr>
            </w:r>
            <w:r>
              <w:rPr>
                <w:noProof/>
                <w:webHidden/>
              </w:rPr>
              <w:fldChar w:fldCharType="separate"/>
            </w:r>
            <w:r w:rsidR="003B72F6">
              <w:rPr>
                <w:noProof/>
                <w:webHidden/>
              </w:rPr>
              <w:t>276</w:t>
            </w:r>
            <w:r>
              <w:rPr>
                <w:noProof/>
                <w:webHidden/>
              </w:rPr>
              <w:fldChar w:fldCharType="end"/>
            </w:r>
          </w:hyperlink>
        </w:p>
        <w:p w14:paraId="768EEED7" w14:textId="3A2C0648" w:rsidR="005A58C7" w:rsidRDefault="005A58C7">
          <w:pPr>
            <w:pStyle w:val="T1"/>
            <w:rPr>
              <w:rFonts w:eastAsiaTheme="minorEastAsia" w:cstheme="minorBidi"/>
              <w:b w:val="0"/>
              <w:bCs w:val="0"/>
              <w:noProof/>
              <w:kern w:val="2"/>
              <w:sz w:val="24"/>
              <w:szCs w:val="24"/>
              <w14:ligatures w14:val="standardContextual"/>
            </w:rPr>
          </w:pPr>
          <w:hyperlink w:anchor="_Toc192855205" w:history="1">
            <w:r w:rsidRPr="002A2BE0">
              <w:rPr>
                <w:rStyle w:val="Kpr"/>
                <w:rFonts w:eastAsiaTheme="majorEastAsia"/>
                <w:noProof/>
              </w:rPr>
              <w:t>Matematik Eğitiminde Teknoloji ve Ters Yüz Öğrenme Modeli: Bir Bibliyometrik Analiz</w:t>
            </w:r>
            <w:r>
              <w:rPr>
                <w:noProof/>
                <w:webHidden/>
              </w:rPr>
              <w:tab/>
            </w:r>
            <w:r>
              <w:rPr>
                <w:noProof/>
                <w:webHidden/>
              </w:rPr>
              <w:fldChar w:fldCharType="begin"/>
            </w:r>
            <w:r>
              <w:rPr>
                <w:noProof/>
                <w:webHidden/>
              </w:rPr>
              <w:instrText xml:space="preserve"> PAGEREF _Toc192855205 \h </w:instrText>
            </w:r>
            <w:r>
              <w:rPr>
                <w:noProof/>
                <w:webHidden/>
              </w:rPr>
            </w:r>
            <w:r>
              <w:rPr>
                <w:noProof/>
                <w:webHidden/>
              </w:rPr>
              <w:fldChar w:fldCharType="separate"/>
            </w:r>
            <w:r w:rsidR="003B72F6">
              <w:rPr>
                <w:noProof/>
                <w:webHidden/>
              </w:rPr>
              <w:t>278</w:t>
            </w:r>
            <w:r>
              <w:rPr>
                <w:noProof/>
                <w:webHidden/>
              </w:rPr>
              <w:fldChar w:fldCharType="end"/>
            </w:r>
          </w:hyperlink>
        </w:p>
        <w:p w14:paraId="646D968E" w14:textId="1A228A85" w:rsidR="005A58C7" w:rsidRDefault="005A58C7">
          <w:pPr>
            <w:pStyle w:val="T1"/>
            <w:rPr>
              <w:rFonts w:eastAsiaTheme="minorEastAsia" w:cstheme="minorBidi"/>
              <w:b w:val="0"/>
              <w:bCs w:val="0"/>
              <w:noProof/>
              <w:kern w:val="2"/>
              <w:sz w:val="24"/>
              <w:szCs w:val="24"/>
              <w14:ligatures w14:val="standardContextual"/>
            </w:rPr>
          </w:pPr>
          <w:hyperlink w:anchor="_Toc192855206" w:history="1">
            <w:r w:rsidRPr="002A2BE0">
              <w:rPr>
                <w:rStyle w:val="Kpr"/>
                <w:rFonts w:eastAsiaTheme="majorEastAsia"/>
                <w:noProof/>
              </w:rPr>
              <w:t>Sosyal Bilgiler Öğretmenlerinin Eğitim Felsefesi ve Toplumsal Değerler Üzerine Görüşleri</w:t>
            </w:r>
            <w:r>
              <w:rPr>
                <w:noProof/>
                <w:webHidden/>
              </w:rPr>
              <w:tab/>
            </w:r>
            <w:r>
              <w:rPr>
                <w:noProof/>
                <w:webHidden/>
              </w:rPr>
              <w:fldChar w:fldCharType="begin"/>
            </w:r>
            <w:r>
              <w:rPr>
                <w:noProof/>
                <w:webHidden/>
              </w:rPr>
              <w:instrText xml:space="preserve"> PAGEREF _Toc192855206 \h </w:instrText>
            </w:r>
            <w:r>
              <w:rPr>
                <w:noProof/>
                <w:webHidden/>
              </w:rPr>
            </w:r>
            <w:r>
              <w:rPr>
                <w:noProof/>
                <w:webHidden/>
              </w:rPr>
              <w:fldChar w:fldCharType="separate"/>
            </w:r>
            <w:r w:rsidR="003B72F6">
              <w:rPr>
                <w:noProof/>
                <w:webHidden/>
              </w:rPr>
              <w:t>280</w:t>
            </w:r>
            <w:r>
              <w:rPr>
                <w:noProof/>
                <w:webHidden/>
              </w:rPr>
              <w:fldChar w:fldCharType="end"/>
            </w:r>
          </w:hyperlink>
        </w:p>
        <w:p w14:paraId="5B35A75E" w14:textId="4C672C54" w:rsidR="005A58C7" w:rsidRDefault="005A58C7">
          <w:pPr>
            <w:pStyle w:val="T1"/>
            <w:rPr>
              <w:rFonts w:eastAsiaTheme="minorEastAsia" w:cstheme="minorBidi"/>
              <w:b w:val="0"/>
              <w:bCs w:val="0"/>
              <w:noProof/>
              <w:kern w:val="2"/>
              <w:sz w:val="24"/>
              <w:szCs w:val="24"/>
              <w14:ligatures w14:val="standardContextual"/>
            </w:rPr>
          </w:pPr>
          <w:hyperlink w:anchor="_Toc192855207" w:history="1">
            <w:r w:rsidRPr="002A2BE0">
              <w:rPr>
                <w:rStyle w:val="Kpr"/>
                <w:rFonts w:eastAsiaTheme="majorEastAsia"/>
                <w:noProof/>
              </w:rPr>
              <w:t>Öğretmenlerin Yaşam Doyumları ve Mesleki Dayanıklılık Arasındaki İlişkide Örgüt Uyumu ve Öğretmen Coşkusunun Aracı Rolü</w:t>
            </w:r>
            <w:r>
              <w:rPr>
                <w:noProof/>
                <w:webHidden/>
              </w:rPr>
              <w:tab/>
            </w:r>
            <w:r>
              <w:rPr>
                <w:noProof/>
                <w:webHidden/>
              </w:rPr>
              <w:fldChar w:fldCharType="begin"/>
            </w:r>
            <w:r>
              <w:rPr>
                <w:noProof/>
                <w:webHidden/>
              </w:rPr>
              <w:instrText xml:space="preserve"> PAGEREF _Toc192855207 \h </w:instrText>
            </w:r>
            <w:r>
              <w:rPr>
                <w:noProof/>
                <w:webHidden/>
              </w:rPr>
            </w:r>
            <w:r>
              <w:rPr>
                <w:noProof/>
                <w:webHidden/>
              </w:rPr>
              <w:fldChar w:fldCharType="separate"/>
            </w:r>
            <w:r w:rsidR="003B72F6">
              <w:rPr>
                <w:noProof/>
                <w:webHidden/>
              </w:rPr>
              <w:t>281</w:t>
            </w:r>
            <w:r>
              <w:rPr>
                <w:noProof/>
                <w:webHidden/>
              </w:rPr>
              <w:fldChar w:fldCharType="end"/>
            </w:r>
          </w:hyperlink>
        </w:p>
        <w:p w14:paraId="34629C90" w14:textId="34A9C56C" w:rsidR="005A58C7" w:rsidRDefault="005A58C7">
          <w:pPr>
            <w:pStyle w:val="T1"/>
            <w:rPr>
              <w:rFonts w:eastAsiaTheme="minorEastAsia" w:cstheme="minorBidi"/>
              <w:b w:val="0"/>
              <w:bCs w:val="0"/>
              <w:noProof/>
              <w:kern w:val="2"/>
              <w:sz w:val="24"/>
              <w:szCs w:val="24"/>
              <w14:ligatures w14:val="standardContextual"/>
            </w:rPr>
          </w:pPr>
          <w:hyperlink w:anchor="_Toc192855208" w:history="1">
            <w:r w:rsidRPr="002A2BE0">
              <w:rPr>
                <w:rStyle w:val="Kpr"/>
                <w:rFonts w:eastAsiaTheme="majorEastAsia"/>
                <w:noProof/>
              </w:rPr>
              <w:t>Koronavirüs (COVID-19) Sonrasında Akademik Özgürlük: Fırsatlar ve Tehditler</w:t>
            </w:r>
            <w:r>
              <w:rPr>
                <w:noProof/>
                <w:webHidden/>
              </w:rPr>
              <w:tab/>
            </w:r>
            <w:r>
              <w:rPr>
                <w:noProof/>
                <w:webHidden/>
              </w:rPr>
              <w:fldChar w:fldCharType="begin"/>
            </w:r>
            <w:r>
              <w:rPr>
                <w:noProof/>
                <w:webHidden/>
              </w:rPr>
              <w:instrText xml:space="preserve"> PAGEREF _Toc192855208 \h </w:instrText>
            </w:r>
            <w:r>
              <w:rPr>
                <w:noProof/>
                <w:webHidden/>
              </w:rPr>
            </w:r>
            <w:r>
              <w:rPr>
                <w:noProof/>
                <w:webHidden/>
              </w:rPr>
              <w:fldChar w:fldCharType="separate"/>
            </w:r>
            <w:r w:rsidR="003B72F6">
              <w:rPr>
                <w:noProof/>
                <w:webHidden/>
              </w:rPr>
              <w:t>283</w:t>
            </w:r>
            <w:r>
              <w:rPr>
                <w:noProof/>
                <w:webHidden/>
              </w:rPr>
              <w:fldChar w:fldCharType="end"/>
            </w:r>
          </w:hyperlink>
        </w:p>
        <w:p w14:paraId="461D0ADE" w14:textId="6FB150EF" w:rsidR="005A58C7" w:rsidRDefault="005A58C7">
          <w:pPr>
            <w:pStyle w:val="T1"/>
            <w:rPr>
              <w:rFonts w:eastAsiaTheme="minorEastAsia" w:cstheme="minorBidi"/>
              <w:b w:val="0"/>
              <w:bCs w:val="0"/>
              <w:noProof/>
              <w:kern w:val="2"/>
              <w:sz w:val="24"/>
              <w:szCs w:val="24"/>
              <w14:ligatures w14:val="standardContextual"/>
            </w:rPr>
          </w:pPr>
          <w:hyperlink w:anchor="_Toc192855209" w:history="1">
            <w:r w:rsidRPr="002A2BE0">
              <w:rPr>
                <w:rStyle w:val="Kpr"/>
                <w:rFonts w:eastAsiaTheme="majorEastAsia"/>
                <w:noProof/>
              </w:rPr>
              <w:t>After -COP29-What do COPs bring or take away from the world?</w:t>
            </w:r>
            <w:r>
              <w:rPr>
                <w:noProof/>
                <w:webHidden/>
              </w:rPr>
              <w:tab/>
            </w:r>
            <w:r>
              <w:rPr>
                <w:noProof/>
                <w:webHidden/>
              </w:rPr>
              <w:fldChar w:fldCharType="begin"/>
            </w:r>
            <w:r>
              <w:rPr>
                <w:noProof/>
                <w:webHidden/>
              </w:rPr>
              <w:instrText xml:space="preserve"> PAGEREF _Toc192855209 \h </w:instrText>
            </w:r>
            <w:r>
              <w:rPr>
                <w:noProof/>
                <w:webHidden/>
              </w:rPr>
            </w:r>
            <w:r>
              <w:rPr>
                <w:noProof/>
                <w:webHidden/>
              </w:rPr>
              <w:fldChar w:fldCharType="separate"/>
            </w:r>
            <w:r w:rsidR="003B72F6">
              <w:rPr>
                <w:noProof/>
                <w:webHidden/>
              </w:rPr>
              <w:t>284</w:t>
            </w:r>
            <w:r>
              <w:rPr>
                <w:noProof/>
                <w:webHidden/>
              </w:rPr>
              <w:fldChar w:fldCharType="end"/>
            </w:r>
          </w:hyperlink>
        </w:p>
        <w:p w14:paraId="6336B638" w14:textId="012F484D" w:rsidR="005A58C7" w:rsidRDefault="005A58C7">
          <w:pPr>
            <w:pStyle w:val="T1"/>
            <w:rPr>
              <w:rFonts w:eastAsiaTheme="minorEastAsia" w:cstheme="minorBidi"/>
              <w:b w:val="0"/>
              <w:bCs w:val="0"/>
              <w:noProof/>
              <w:kern w:val="2"/>
              <w:sz w:val="24"/>
              <w:szCs w:val="24"/>
              <w14:ligatures w14:val="standardContextual"/>
            </w:rPr>
          </w:pPr>
          <w:hyperlink w:anchor="_Toc192855210" w:history="1">
            <w:r w:rsidRPr="002A2BE0">
              <w:rPr>
                <w:rStyle w:val="Kpr"/>
                <w:rFonts w:eastAsiaTheme="majorEastAsia"/>
                <w:noProof/>
              </w:rPr>
              <w:t>Küresel Kuruluş Vatandaşlığı-Uluslararası Aktörlere Aidiyet</w:t>
            </w:r>
            <w:r>
              <w:rPr>
                <w:noProof/>
                <w:webHidden/>
              </w:rPr>
              <w:tab/>
            </w:r>
            <w:r>
              <w:rPr>
                <w:noProof/>
                <w:webHidden/>
              </w:rPr>
              <w:fldChar w:fldCharType="begin"/>
            </w:r>
            <w:r>
              <w:rPr>
                <w:noProof/>
                <w:webHidden/>
              </w:rPr>
              <w:instrText xml:space="preserve"> PAGEREF _Toc192855210 \h </w:instrText>
            </w:r>
            <w:r>
              <w:rPr>
                <w:noProof/>
                <w:webHidden/>
              </w:rPr>
            </w:r>
            <w:r>
              <w:rPr>
                <w:noProof/>
                <w:webHidden/>
              </w:rPr>
              <w:fldChar w:fldCharType="separate"/>
            </w:r>
            <w:r w:rsidR="003B72F6">
              <w:rPr>
                <w:noProof/>
                <w:webHidden/>
              </w:rPr>
              <w:t>285</w:t>
            </w:r>
            <w:r>
              <w:rPr>
                <w:noProof/>
                <w:webHidden/>
              </w:rPr>
              <w:fldChar w:fldCharType="end"/>
            </w:r>
          </w:hyperlink>
        </w:p>
        <w:p w14:paraId="44F97ECD" w14:textId="17AF8791" w:rsidR="005A58C7" w:rsidRDefault="005A58C7">
          <w:pPr>
            <w:pStyle w:val="T1"/>
            <w:rPr>
              <w:rFonts w:eastAsiaTheme="minorEastAsia" w:cstheme="minorBidi"/>
              <w:b w:val="0"/>
              <w:bCs w:val="0"/>
              <w:noProof/>
              <w:kern w:val="2"/>
              <w:sz w:val="24"/>
              <w:szCs w:val="24"/>
              <w14:ligatures w14:val="standardContextual"/>
            </w:rPr>
          </w:pPr>
          <w:hyperlink w:anchor="_Toc192855211" w:history="1">
            <w:r w:rsidRPr="002A2BE0">
              <w:rPr>
                <w:rStyle w:val="Kpr"/>
                <w:rFonts w:eastAsiaTheme="majorEastAsia"/>
                <w:noProof/>
              </w:rPr>
              <w:t>Küreselleşme Sürecinde Bölgesel Kalkınma Aracı Olarak Kültür Ve İnanç Turizminin Keşfi: Mardin Örneğinde Eleştirel Bir İnceleme</w:t>
            </w:r>
            <w:r>
              <w:rPr>
                <w:noProof/>
                <w:webHidden/>
              </w:rPr>
              <w:tab/>
            </w:r>
            <w:r>
              <w:rPr>
                <w:noProof/>
                <w:webHidden/>
              </w:rPr>
              <w:fldChar w:fldCharType="begin"/>
            </w:r>
            <w:r>
              <w:rPr>
                <w:noProof/>
                <w:webHidden/>
              </w:rPr>
              <w:instrText xml:space="preserve"> PAGEREF _Toc192855211 \h </w:instrText>
            </w:r>
            <w:r>
              <w:rPr>
                <w:noProof/>
                <w:webHidden/>
              </w:rPr>
            </w:r>
            <w:r>
              <w:rPr>
                <w:noProof/>
                <w:webHidden/>
              </w:rPr>
              <w:fldChar w:fldCharType="separate"/>
            </w:r>
            <w:r w:rsidR="003B72F6">
              <w:rPr>
                <w:noProof/>
                <w:webHidden/>
              </w:rPr>
              <w:t>286</w:t>
            </w:r>
            <w:r>
              <w:rPr>
                <w:noProof/>
                <w:webHidden/>
              </w:rPr>
              <w:fldChar w:fldCharType="end"/>
            </w:r>
          </w:hyperlink>
        </w:p>
        <w:p w14:paraId="32824D00" w14:textId="7D855654" w:rsidR="005A58C7" w:rsidRDefault="005A58C7">
          <w:pPr>
            <w:pStyle w:val="T1"/>
            <w:rPr>
              <w:rFonts w:eastAsiaTheme="minorEastAsia" w:cstheme="minorBidi"/>
              <w:b w:val="0"/>
              <w:bCs w:val="0"/>
              <w:noProof/>
              <w:kern w:val="2"/>
              <w:sz w:val="24"/>
              <w:szCs w:val="24"/>
              <w14:ligatures w14:val="standardContextual"/>
            </w:rPr>
          </w:pPr>
          <w:hyperlink w:anchor="_Toc192855212" w:history="1">
            <w:r w:rsidRPr="002A2BE0">
              <w:rPr>
                <w:rStyle w:val="Kpr"/>
                <w:rFonts w:eastAsiaTheme="majorEastAsia"/>
                <w:noProof/>
              </w:rPr>
              <w:t>Bangladeş’te Şeyh Hasina Hükümetinin Devrilmesinin Nedenlerinin Analizi</w:t>
            </w:r>
            <w:r>
              <w:rPr>
                <w:noProof/>
                <w:webHidden/>
              </w:rPr>
              <w:tab/>
            </w:r>
            <w:r>
              <w:rPr>
                <w:noProof/>
                <w:webHidden/>
              </w:rPr>
              <w:fldChar w:fldCharType="begin"/>
            </w:r>
            <w:r>
              <w:rPr>
                <w:noProof/>
                <w:webHidden/>
              </w:rPr>
              <w:instrText xml:space="preserve"> PAGEREF _Toc192855212 \h </w:instrText>
            </w:r>
            <w:r>
              <w:rPr>
                <w:noProof/>
                <w:webHidden/>
              </w:rPr>
            </w:r>
            <w:r>
              <w:rPr>
                <w:noProof/>
                <w:webHidden/>
              </w:rPr>
              <w:fldChar w:fldCharType="separate"/>
            </w:r>
            <w:r w:rsidR="003B72F6">
              <w:rPr>
                <w:noProof/>
                <w:webHidden/>
              </w:rPr>
              <w:t>287</w:t>
            </w:r>
            <w:r>
              <w:rPr>
                <w:noProof/>
                <w:webHidden/>
              </w:rPr>
              <w:fldChar w:fldCharType="end"/>
            </w:r>
          </w:hyperlink>
        </w:p>
        <w:p w14:paraId="4BD0BA43" w14:textId="68A9DFCB" w:rsidR="005A58C7" w:rsidRDefault="005A58C7">
          <w:pPr>
            <w:pStyle w:val="T1"/>
            <w:rPr>
              <w:rFonts w:eastAsiaTheme="minorEastAsia" w:cstheme="minorBidi"/>
              <w:b w:val="0"/>
              <w:bCs w:val="0"/>
              <w:noProof/>
              <w:kern w:val="2"/>
              <w:sz w:val="24"/>
              <w:szCs w:val="24"/>
              <w14:ligatures w14:val="standardContextual"/>
            </w:rPr>
          </w:pPr>
          <w:hyperlink w:anchor="_Toc192855213" w:history="1">
            <w:r w:rsidRPr="002A2BE0">
              <w:rPr>
                <w:rStyle w:val="Kpr"/>
                <w:rFonts w:eastAsiaTheme="majorEastAsia"/>
                <w:noProof/>
              </w:rPr>
              <w:t>Veba Günlerinde İnsanlık: Daniel Defoe’nun Aynasından Salgın Döneminin Toplumsal ve Psikolojik İzleri</w:t>
            </w:r>
            <w:r>
              <w:rPr>
                <w:noProof/>
                <w:webHidden/>
              </w:rPr>
              <w:tab/>
            </w:r>
            <w:r>
              <w:rPr>
                <w:noProof/>
                <w:webHidden/>
              </w:rPr>
              <w:fldChar w:fldCharType="begin"/>
            </w:r>
            <w:r>
              <w:rPr>
                <w:noProof/>
                <w:webHidden/>
              </w:rPr>
              <w:instrText xml:space="preserve"> PAGEREF _Toc192855213 \h </w:instrText>
            </w:r>
            <w:r>
              <w:rPr>
                <w:noProof/>
                <w:webHidden/>
              </w:rPr>
            </w:r>
            <w:r>
              <w:rPr>
                <w:noProof/>
                <w:webHidden/>
              </w:rPr>
              <w:fldChar w:fldCharType="separate"/>
            </w:r>
            <w:r w:rsidR="003B72F6">
              <w:rPr>
                <w:noProof/>
                <w:webHidden/>
              </w:rPr>
              <w:t>289</w:t>
            </w:r>
            <w:r>
              <w:rPr>
                <w:noProof/>
                <w:webHidden/>
              </w:rPr>
              <w:fldChar w:fldCharType="end"/>
            </w:r>
          </w:hyperlink>
        </w:p>
        <w:p w14:paraId="21867E33" w14:textId="6318BABE" w:rsidR="005A58C7" w:rsidRDefault="005A58C7">
          <w:pPr>
            <w:pStyle w:val="T1"/>
            <w:rPr>
              <w:rFonts w:eastAsiaTheme="minorEastAsia" w:cstheme="minorBidi"/>
              <w:b w:val="0"/>
              <w:bCs w:val="0"/>
              <w:noProof/>
              <w:kern w:val="2"/>
              <w:sz w:val="24"/>
              <w:szCs w:val="24"/>
              <w14:ligatures w14:val="standardContextual"/>
            </w:rPr>
          </w:pPr>
          <w:hyperlink w:anchor="_Toc192855214" w:history="1">
            <w:r w:rsidRPr="002A2BE0">
              <w:rPr>
                <w:rStyle w:val="Kpr"/>
                <w:rFonts w:eastAsiaTheme="majorEastAsia"/>
                <w:noProof/>
              </w:rPr>
              <w:t>Humanity in The Plague: Social and Psychological Traces of The Epidemic Period Through Daniel Defoe’s Mirror</w:t>
            </w:r>
            <w:r>
              <w:rPr>
                <w:noProof/>
                <w:webHidden/>
              </w:rPr>
              <w:tab/>
            </w:r>
            <w:r>
              <w:rPr>
                <w:noProof/>
                <w:webHidden/>
              </w:rPr>
              <w:fldChar w:fldCharType="begin"/>
            </w:r>
            <w:r>
              <w:rPr>
                <w:noProof/>
                <w:webHidden/>
              </w:rPr>
              <w:instrText xml:space="preserve"> PAGEREF _Toc192855214 \h </w:instrText>
            </w:r>
            <w:r>
              <w:rPr>
                <w:noProof/>
                <w:webHidden/>
              </w:rPr>
            </w:r>
            <w:r>
              <w:rPr>
                <w:noProof/>
                <w:webHidden/>
              </w:rPr>
              <w:fldChar w:fldCharType="separate"/>
            </w:r>
            <w:r w:rsidR="003B72F6">
              <w:rPr>
                <w:noProof/>
                <w:webHidden/>
              </w:rPr>
              <w:t>290</w:t>
            </w:r>
            <w:r>
              <w:rPr>
                <w:noProof/>
                <w:webHidden/>
              </w:rPr>
              <w:fldChar w:fldCharType="end"/>
            </w:r>
          </w:hyperlink>
        </w:p>
        <w:p w14:paraId="3FA4268C" w14:textId="72C7F08E" w:rsidR="005A58C7" w:rsidRDefault="005A58C7">
          <w:pPr>
            <w:pStyle w:val="T1"/>
            <w:rPr>
              <w:rFonts w:eastAsiaTheme="minorEastAsia" w:cstheme="minorBidi"/>
              <w:b w:val="0"/>
              <w:bCs w:val="0"/>
              <w:noProof/>
              <w:kern w:val="2"/>
              <w:sz w:val="24"/>
              <w:szCs w:val="24"/>
              <w14:ligatures w14:val="standardContextual"/>
            </w:rPr>
          </w:pPr>
          <w:hyperlink w:anchor="_Toc192855215" w:history="1">
            <w:r w:rsidRPr="002A2BE0">
              <w:rPr>
                <w:rStyle w:val="Kpr"/>
                <w:rFonts w:eastAsiaTheme="majorEastAsia"/>
                <w:noProof/>
              </w:rPr>
              <w:t>Exploring Eco-Consciousness through Short Stories for Young People: The Magic School Bus and the Climate Challenge</w:t>
            </w:r>
            <w:r>
              <w:rPr>
                <w:noProof/>
                <w:webHidden/>
              </w:rPr>
              <w:tab/>
            </w:r>
            <w:r>
              <w:rPr>
                <w:noProof/>
                <w:webHidden/>
              </w:rPr>
              <w:fldChar w:fldCharType="begin"/>
            </w:r>
            <w:r>
              <w:rPr>
                <w:noProof/>
                <w:webHidden/>
              </w:rPr>
              <w:instrText xml:space="preserve"> PAGEREF _Toc192855215 \h </w:instrText>
            </w:r>
            <w:r>
              <w:rPr>
                <w:noProof/>
                <w:webHidden/>
              </w:rPr>
            </w:r>
            <w:r>
              <w:rPr>
                <w:noProof/>
                <w:webHidden/>
              </w:rPr>
              <w:fldChar w:fldCharType="separate"/>
            </w:r>
            <w:r w:rsidR="003B72F6">
              <w:rPr>
                <w:noProof/>
                <w:webHidden/>
              </w:rPr>
              <w:t>292</w:t>
            </w:r>
            <w:r>
              <w:rPr>
                <w:noProof/>
                <w:webHidden/>
              </w:rPr>
              <w:fldChar w:fldCharType="end"/>
            </w:r>
          </w:hyperlink>
        </w:p>
        <w:p w14:paraId="17678F4B" w14:textId="579C5A68" w:rsidR="005A58C7" w:rsidRDefault="005A58C7">
          <w:pPr>
            <w:pStyle w:val="T1"/>
            <w:rPr>
              <w:rFonts w:eastAsiaTheme="minorEastAsia" w:cstheme="minorBidi"/>
              <w:b w:val="0"/>
              <w:bCs w:val="0"/>
              <w:noProof/>
              <w:kern w:val="2"/>
              <w:sz w:val="24"/>
              <w:szCs w:val="24"/>
              <w14:ligatures w14:val="standardContextual"/>
            </w:rPr>
          </w:pPr>
          <w:hyperlink w:anchor="_Toc192855216" w:history="1">
            <w:r w:rsidRPr="002A2BE0">
              <w:rPr>
                <w:rStyle w:val="Kpr"/>
                <w:rFonts w:eastAsiaTheme="majorEastAsia"/>
                <w:noProof/>
              </w:rPr>
              <w:t>Avrupa Ülkelerinde Faaliyet Gösteren İşletmelerde Psikososyal Riskler</w:t>
            </w:r>
            <w:r>
              <w:rPr>
                <w:noProof/>
                <w:webHidden/>
              </w:rPr>
              <w:tab/>
            </w:r>
            <w:r>
              <w:rPr>
                <w:noProof/>
                <w:webHidden/>
              </w:rPr>
              <w:fldChar w:fldCharType="begin"/>
            </w:r>
            <w:r>
              <w:rPr>
                <w:noProof/>
                <w:webHidden/>
              </w:rPr>
              <w:instrText xml:space="preserve"> PAGEREF _Toc192855216 \h </w:instrText>
            </w:r>
            <w:r>
              <w:rPr>
                <w:noProof/>
                <w:webHidden/>
              </w:rPr>
            </w:r>
            <w:r>
              <w:rPr>
                <w:noProof/>
                <w:webHidden/>
              </w:rPr>
              <w:fldChar w:fldCharType="separate"/>
            </w:r>
            <w:r w:rsidR="003B72F6">
              <w:rPr>
                <w:noProof/>
                <w:webHidden/>
              </w:rPr>
              <w:t>293</w:t>
            </w:r>
            <w:r>
              <w:rPr>
                <w:noProof/>
                <w:webHidden/>
              </w:rPr>
              <w:fldChar w:fldCharType="end"/>
            </w:r>
          </w:hyperlink>
        </w:p>
        <w:p w14:paraId="7AF10031" w14:textId="0B6C9F55" w:rsidR="005A58C7" w:rsidRDefault="005A58C7">
          <w:pPr>
            <w:pStyle w:val="T1"/>
            <w:rPr>
              <w:rFonts w:eastAsiaTheme="minorEastAsia" w:cstheme="minorBidi"/>
              <w:b w:val="0"/>
              <w:bCs w:val="0"/>
              <w:noProof/>
              <w:kern w:val="2"/>
              <w:sz w:val="24"/>
              <w:szCs w:val="24"/>
              <w14:ligatures w14:val="standardContextual"/>
            </w:rPr>
          </w:pPr>
          <w:hyperlink w:anchor="_Toc192855217" w:history="1">
            <w:r w:rsidRPr="002A2BE0">
              <w:rPr>
                <w:rStyle w:val="Kpr"/>
                <w:rFonts w:eastAsiaTheme="majorEastAsia"/>
                <w:noProof/>
              </w:rPr>
              <w:t>Müze</w:t>
            </w:r>
            <w:r w:rsidRPr="002A2BE0">
              <w:rPr>
                <w:rStyle w:val="Kpr"/>
                <w:rFonts w:eastAsiaTheme="majorEastAsia"/>
                <w:noProof/>
                <w:spacing w:val="-17"/>
              </w:rPr>
              <w:t xml:space="preserve"> </w:t>
            </w:r>
            <w:r w:rsidRPr="002A2BE0">
              <w:rPr>
                <w:rStyle w:val="Kpr"/>
                <w:rFonts w:eastAsiaTheme="majorEastAsia"/>
                <w:noProof/>
              </w:rPr>
              <w:t>Sergileme</w:t>
            </w:r>
            <w:r w:rsidRPr="002A2BE0">
              <w:rPr>
                <w:rStyle w:val="Kpr"/>
                <w:rFonts w:eastAsiaTheme="majorEastAsia"/>
                <w:noProof/>
                <w:spacing w:val="-13"/>
              </w:rPr>
              <w:t xml:space="preserve"> </w:t>
            </w:r>
            <w:r w:rsidRPr="002A2BE0">
              <w:rPr>
                <w:rStyle w:val="Kpr"/>
                <w:rFonts w:eastAsiaTheme="majorEastAsia"/>
                <w:noProof/>
              </w:rPr>
              <w:t>Mekanlarında</w:t>
            </w:r>
            <w:r w:rsidRPr="002A2BE0">
              <w:rPr>
                <w:rStyle w:val="Kpr"/>
                <w:rFonts w:eastAsiaTheme="majorEastAsia"/>
                <w:noProof/>
                <w:spacing w:val="-9"/>
              </w:rPr>
              <w:t xml:space="preserve"> </w:t>
            </w:r>
            <w:r w:rsidRPr="002A2BE0">
              <w:rPr>
                <w:rStyle w:val="Kpr"/>
                <w:rFonts w:eastAsiaTheme="majorEastAsia"/>
                <w:noProof/>
              </w:rPr>
              <w:t>Benlik</w:t>
            </w:r>
            <w:r w:rsidRPr="002A2BE0">
              <w:rPr>
                <w:rStyle w:val="Kpr"/>
                <w:rFonts w:eastAsiaTheme="majorEastAsia"/>
                <w:noProof/>
                <w:spacing w:val="-15"/>
              </w:rPr>
              <w:t xml:space="preserve"> </w:t>
            </w:r>
            <w:r w:rsidRPr="002A2BE0">
              <w:rPr>
                <w:rStyle w:val="Kpr"/>
                <w:rFonts w:eastAsiaTheme="majorEastAsia"/>
                <w:noProof/>
              </w:rPr>
              <w:t>Yaratma</w:t>
            </w:r>
            <w:r w:rsidRPr="002A2BE0">
              <w:rPr>
                <w:rStyle w:val="Kpr"/>
                <w:rFonts w:eastAsiaTheme="majorEastAsia"/>
                <w:noProof/>
                <w:spacing w:val="-15"/>
              </w:rPr>
              <w:t xml:space="preserve"> </w:t>
            </w:r>
            <w:r w:rsidRPr="002A2BE0">
              <w:rPr>
                <w:rStyle w:val="Kpr"/>
                <w:rFonts w:eastAsiaTheme="majorEastAsia"/>
                <w:noProof/>
              </w:rPr>
              <w:t>Arzusu</w:t>
            </w:r>
            <w:r w:rsidRPr="002A2BE0">
              <w:rPr>
                <w:rStyle w:val="Kpr"/>
                <w:rFonts w:eastAsiaTheme="majorEastAsia"/>
                <w:noProof/>
                <w:spacing w:val="-10"/>
              </w:rPr>
              <w:t xml:space="preserve"> </w:t>
            </w:r>
            <w:r w:rsidRPr="002A2BE0">
              <w:rPr>
                <w:rStyle w:val="Kpr"/>
                <w:rFonts w:eastAsiaTheme="majorEastAsia"/>
                <w:noProof/>
              </w:rPr>
              <w:t>ve</w:t>
            </w:r>
            <w:r w:rsidRPr="002A2BE0">
              <w:rPr>
                <w:rStyle w:val="Kpr"/>
                <w:rFonts w:eastAsiaTheme="majorEastAsia"/>
                <w:noProof/>
                <w:spacing w:val="-14"/>
              </w:rPr>
              <w:t xml:space="preserve"> </w:t>
            </w:r>
            <w:r w:rsidRPr="002A2BE0">
              <w:rPr>
                <w:rStyle w:val="Kpr"/>
                <w:rFonts w:eastAsiaTheme="majorEastAsia"/>
                <w:noProof/>
              </w:rPr>
              <w:t>Toplumsal</w:t>
            </w:r>
            <w:r w:rsidRPr="002A2BE0">
              <w:rPr>
                <w:rStyle w:val="Kpr"/>
                <w:rFonts w:eastAsiaTheme="majorEastAsia"/>
                <w:noProof/>
                <w:spacing w:val="-9"/>
              </w:rPr>
              <w:t xml:space="preserve"> </w:t>
            </w:r>
            <w:r w:rsidRPr="002A2BE0">
              <w:rPr>
                <w:rStyle w:val="Kpr"/>
                <w:rFonts w:eastAsiaTheme="majorEastAsia"/>
                <w:noProof/>
                <w:spacing w:val="-2"/>
              </w:rPr>
              <w:t>Katılım</w:t>
            </w:r>
            <w:r>
              <w:rPr>
                <w:noProof/>
                <w:webHidden/>
              </w:rPr>
              <w:tab/>
            </w:r>
            <w:r>
              <w:rPr>
                <w:noProof/>
                <w:webHidden/>
              </w:rPr>
              <w:fldChar w:fldCharType="begin"/>
            </w:r>
            <w:r>
              <w:rPr>
                <w:noProof/>
                <w:webHidden/>
              </w:rPr>
              <w:instrText xml:space="preserve"> PAGEREF _Toc192855217 \h </w:instrText>
            </w:r>
            <w:r>
              <w:rPr>
                <w:noProof/>
                <w:webHidden/>
              </w:rPr>
            </w:r>
            <w:r>
              <w:rPr>
                <w:noProof/>
                <w:webHidden/>
              </w:rPr>
              <w:fldChar w:fldCharType="separate"/>
            </w:r>
            <w:r w:rsidR="003B72F6">
              <w:rPr>
                <w:noProof/>
                <w:webHidden/>
              </w:rPr>
              <w:t>303</w:t>
            </w:r>
            <w:r>
              <w:rPr>
                <w:noProof/>
                <w:webHidden/>
              </w:rPr>
              <w:fldChar w:fldCharType="end"/>
            </w:r>
          </w:hyperlink>
        </w:p>
        <w:p w14:paraId="0AA150BD" w14:textId="06FFA093" w:rsidR="005A58C7" w:rsidRDefault="005A58C7">
          <w:pPr>
            <w:pStyle w:val="T1"/>
            <w:rPr>
              <w:rFonts w:eastAsiaTheme="minorEastAsia" w:cstheme="minorBidi"/>
              <w:b w:val="0"/>
              <w:bCs w:val="0"/>
              <w:noProof/>
              <w:kern w:val="2"/>
              <w:sz w:val="24"/>
              <w:szCs w:val="24"/>
              <w14:ligatures w14:val="standardContextual"/>
            </w:rPr>
          </w:pPr>
          <w:hyperlink w:anchor="_Toc192855218" w:history="1">
            <w:r w:rsidRPr="002A2BE0">
              <w:rPr>
                <w:rStyle w:val="Kpr"/>
                <w:rFonts w:eastAsiaTheme="majorEastAsia"/>
                <w:noProof/>
              </w:rPr>
              <w:t>Genç Yetişkinlerde Gelecek Kaygısı ile ilişkili Psikososyal Faktörler</w:t>
            </w:r>
            <w:r>
              <w:rPr>
                <w:noProof/>
                <w:webHidden/>
              </w:rPr>
              <w:tab/>
            </w:r>
            <w:r>
              <w:rPr>
                <w:noProof/>
                <w:webHidden/>
              </w:rPr>
              <w:fldChar w:fldCharType="begin"/>
            </w:r>
            <w:r>
              <w:rPr>
                <w:noProof/>
                <w:webHidden/>
              </w:rPr>
              <w:instrText xml:space="preserve"> PAGEREF _Toc192855218 \h </w:instrText>
            </w:r>
            <w:r>
              <w:rPr>
                <w:noProof/>
                <w:webHidden/>
              </w:rPr>
            </w:r>
            <w:r>
              <w:rPr>
                <w:noProof/>
                <w:webHidden/>
              </w:rPr>
              <w:fldChar w:fldCharType="separate"/>
            </w:r>
            <w:r w:rsidR="003B72F6">
              <w:rPr>
                <w:noProof/>
                <w:webHidden/>
              </w:rPr>
              <w:t>305</w:t>
            </w:r>
            <w:r>
              <w:rPr>
                <w:noProof/>
                <w:webHidden/>
              </w:rPr>
              <w:fldChar w:fldCharType="end"/>
            </w:r>
          </w:hyperlink>
        </w:p>
        <w:p w14:paraId="69A31C94" w14:textId="38B51EF6" w:rsidR="005A58C7" w:rsidRDefault="005A58C7">
          <w:pPr>
            <w:pStyle w:val="T1"/>
            <w:rPr>
              <w:rFonts w:eastAsiaTheme="minorEastAsia" w:cstheme="minorBidi"/>
              <w:b w:val="0"/>
              <w:bCs w:val="0"/>
              <w:noProof/>
              <w:kern w:val="2"/>
              <w:sz w:val="24"/>
              <w:szCs w:val="24"/>
              <w14:ligatures w14:val="standardContextual"/>
            </w:rPr>
          </w:pPr>
          <w:hyperlink w:anchor="_Toc192855219" w:history="1">
            <w:r w:rsidRPr="002A2BE0">
              <w:rPr>
                <w:rStyle w:val="Kpr"/>
                <w:rFonts w:eastAsiaTheme="majorEastAsia"/>
                <w:noProof/>
              </w:rPr>
              <w:t>The Substance: A Psychological and Existential Exploration of Beauty, Identity, and Social Marginalization</w:t>
            </w:r>
            <w:r>
              <w:rPr>
                <w:noProof/>
                <w:webHidden/>
              </w:rPr>
              <w:tab/>
            </w:r>
            <w:r>
              <w:rPr>
                <w:noProof/>
                <w:webHidden/>
              </w:rPr>
              <w:fldChar w:fldCharType="begin"/>
            </w:r>
            <w:r>
              <w:rPr>
                <w:noProof/>
                <w:webHidden/>
              </w:rPr>
              <w:instrText xml:space="preserve"> PAGEREF _Toc192855219 \h </w:instrText>
            </w:r>
            <w:r>
              <w:rPr>
                <w:noProof/>
                <w:webHidden/>
              </w:rPr>
            </w:r>
            <w:r>
              <w:rPr>
                <w:noProof/>
                <w:webHidden/>
              </w:rPr>
              <w:fldChar w:fldCharType="separate"/>
            </w:r>
            <w:r w:rsidR="003B72F6">
              <w:rPr>
                <w:noProof/>
                <w:webHidden/>
              </w:rPr>
              <w:t>315</w:t>
            </w:r>
            <w:r>
              <w:rPr>
                <w:noProof/>
                <w:webHidden/>
              </w:rPr>
              <w:fldChar w:fldCharType="end"/>
            </w:r>
          </w:hyperlink>
        </w:p>
        <w:p w14:paraId="318C4344" w14:textId="78F4369A" w:rsidR="005A58C7" w:rsidRDefault="005A58C7">
          <w:pPr>
            <w:pStyle w:val="T1"/>
            <w:rPr>
              <w:rFonts w:eastAsiaTheme="minorEastAsia" w:cstheme="minorBidi"/>
              <w:b w:val="0"/>
              <w:bCs w:val="0"/>
              <w:noProof/>
              <w:kern w:val="2"/>
              <w:sz w:val="24"/>
              <w:szCs w:val="24"/>
              <w14:ligatures w14:val="standardContextual"/>
            </w:rPr>
          </w:pPr>
          <w:hyperlink w:anchor="_Toc192855220" w:history="1">
            <w:r w:rsidRPr="002A2BE0">
              <w:rPr>
                <w:rStyle w:val="Kpr"/>
                <w:rFonts w:eastAsiaTheme="majorEastAsia"/>
                <w:noProof/>
              </w:rPr>
              <w:t>Egzersiz Bağımlılığı ve İlişkili Olduğu Psikolojik Değişkenler: Narsisizm, Benlik Saygısı ve Obsesyon Açısından Bir İnceleme</w:t>
            </w:r>
            <w:r>
              <w:rPr>
                <w:noProof/>
                <w:webHidden/>
              </w:rPr>
              <w:tab/>
            </w:r>
            <w:r>
              <w:rPr>
                <w:noProof/>
                <w:webHidden/>
              </w:rPr>
              <w:fldChar w:fldCharType="begin"/>
            </w:r>
            <w:r>
              <w:rPr>
                <w:noProof/>
                <w:webHidden/>
              </w:rPr>
              <w:instrText xml:space="preserve"> PAGEREF _Toc192855220 \h </w:instrText>
            </w:r>
            <w:r>
              <w:rPr>
                <w:noProof/>
                <w:webHidden/>
              </w:rPr>
            </w:r>
            <w:r>
              <w:rPr>
                <w:noProof/>
                <w:webHidden/>
              </w:rPr>
              <w:fldChar w:fldCharType="separate"/>
            </w:r>
            <w:r w:rsidR="003B72F6">
              <w:rPr>
                <w:noProof/>
                <w:webHidden/>
              </w:rPr>
              <w:t>316</w:t>
            </w:r>
            <w:r>
              <w:rPr>
                <w:noProof/>
                <w:webHidden/>
              </w:rPr>
              <w:fldChar w:fldCharType="end"/>
            </w:r>
          </w:hyperlink>
        </w:p>
        <w:p w14:paraId="6CFD57F3" w14:textId="5C8652CC" w:rsidR="005A58C7" w:rsidRDefault="005A58C7">
          <w:pPr>
            <w:pStyle w:val="T1"/>
            <w:rPr>
              <w:rFonts w:eastAsiaTheme="minorEastAsia" w:cstheme="minorBidi"/>
              <w:b w:val="0"/>
              <w:bCs w:val="0"/>
              <w:noProof/>
              <w:kern w:val="2"/>
              <w:sz w:val="24"/>
              <w:szCs w:val="24"/>
              <w14:ligatures w14:val="standardContextual"/>
            </w:rPr>
          </w:pPr>
          <w:hyperlink w:anchor="_Toc192855221" w:history="1">
            <w:r w:rsidRPr="002A2BE0">
              <w:rPr>
                <w:rStyle w:val="Kpr"/>
                <w:rFonts w:eastAsiaTheme="majorEastAsia"/>
                <w:noProof/>
              </w:rPr>
              <w:t>Covid-19 Pandemi Sürecinde Pozitif Tanılı Yetişkinlerde Psiko-Sosyal Etkilenmeler</w:t>
            </w:r>
            <w:r>
              <w:rPr>
                <w:noProof/>
                <w:webHidden/>
              </w:rPr>
              <w:tab/>
            </w:r>
            <w:r>
              <w:rPr>
                <w:noProof/>
                <w:webHidden/>
              </w:rPr>
              <w:fldChar w:fldCharType="begin"/>
            </w:r>
            <w:r>
              <w:rPr>
                <w:noProof/>
                <w:webHidden/>
              </w:rPr>
              <w:instrText xml:space="preserve"> PAGEREF _Toc192855221 \h </w:instrText>
            </w:r>
            <w:r>
              <w:rPr>
                <w:noProof/>
                <w:webHidden/>
              </w:rPr>
            </w:r>
            <w:r>
              <w:rPr>
                <w:noProof/>
                <w:webHidden/>
              </w:rPr>
              <w:fldChar w:fldCharType="separate"/>
            </w:r>
            <w:r w:rsidR="003B72F6">
              <w:rPr>
                <w:noProof/>
                <w:webHidden/>
              </w:rPr>
              <w:t>317</w:t>
            </w:r>
            <w:r>
              <w:rPr>
                <w:noProof/>
                <w:webHidden/>
              </w:rPr>
              <w:fldChar w:fldCharType="end"/>
            </w:r>
          </w:hyperlink>
        </w:p>
        <w:p w14:paraId="4E23F3B9" w14:textId="6A7795D6" w:rsidR="005A58C7" w:rsidRDefault="005A58C7">
          <w:pPr>
            <w:pStyle w:val="T1"/>
            <w:rPr>
              <w:rFonts w:eastAsiaTheme="minorEastAsia" w:cstheme="minorBidi"/>
              <w:b w:val="0"/>
              <w:bCs w:val="0"/>
              <w:noProof/>
              <w:kern w:val="2"/>
              <w:sz w:val="24"/>
              <w:szCs w:val="24"/>
              <w14:ligatures w14:val="standardContextual"/>
            </w:rPr>
          </w:pPr>
          <w:hyperlink w:anchor="_Toc192855222" w:history="1">
            <w:r w:rsidRPr="002A2BE0">
              <w:rPr>
                <w:rStyle w:val="Kpr"/>
                <w:rFonts w:eastAsiaTheme="majorEastAsia"/>
                <w:noProof/>
                <w:lang w:val="en-US" w:bidi="fa-IR"/>
              </w:rPr>
              <w:t>Translation of World Literature</w:t>
            </w:r>
            <w:r>
              <w:rPr>
                <w:noProof/>
                <w:webHidden/>
              </w:rPr>
              <w:tab/>
            </w:r>
            <w:r>
              <w:rPr>
                <w:noProof/>
                <w:webHidden/>
              </w:rPr>
              <w:fldChar w:fldCharType="begin"/>
            </w:r>
            <w:r>
              <w:rPr>
                <w:noProof/>
                <w:webHidden/>
              </w:rPr>
              <w:instrText xml:space="preserve"> PAGEREF _Toc192855222 \h </w:instrText>
            </w:r>
            <w:r>
              <w:rPr>
                <w:noProof/>
                <w:webHidden/>
              </w:rPr>
            </w:r>
            <w:r>
              <w:rPr>
                <w:noProof/>
                <w:webHidden/>
              </w:rPr>
              <w:fldChar w:fldCharType="separate"/>
            </w:r>
            <w:r w:rsidR="003B72F6">
              <w:rPr>
                <w:noProof/>
                <w:webHidden/>
              </w:rPr>
              <w:t>319</w:t>
            </w:r>
            <w:r>
              <w:rPr>
                <w:noProof/>
                <w:webHidden/>
              </w:rPr>
              <w:fldChar w:fldCharType="end"/>
            </w:r>
          </w:hyperlink>
        </w:p>
        <w:p w14:paraId="5449D001" w14:textId="31B15C80" w:rsidR="005A58C7" w:rsidRDefault="005A58C7">
          <w:pPr>
            <w:pStyle w:val="T1"/>
            <w:rPr>
              <w:rFonts w:eastAsiaTheme="minorEastAsia" w:cstheme="minorBidi"/>
              <w:b w:val="0"/>
              <w:bCs w:val="0"/>
              <w:noProof/>
              <w:kern w:val="2"/>
              <w:sz w:val="24"/>
              <w:szCs w:val="24"/>
              <w14:ligatures w14:val="standardContextual"/>
            </w:rPr>
          </w:pPr>
          <w:hyperlink w:anchor="_Toc192855223" w:history="1">
            <w:r w:rsidRPr="002A2BE0">
              <w:rPr>
                <w:rStyle w:val="Kpr"/>
                <w:rFonts w:eastAsiaTheme="majorEastAsia"/>
                <w:noProof/>
              </w:rPr>
              <w:t>Ardıl Çeviride Not Alma Tekniklerinin İngilizce ve Türkçe Dil Çifti Bağlamında İncelenmesi: Öğrencilerle Birlikte Bir Vaka İncelemesi</w:t>
            </w:r>
            <w:r>
              <w:rPr>
                <w:noProof/>
                <w:webHidden/>
              </w:rPr>
              <w:tab/>
            </w:r>
            <w:r>
              <w:rPr>
                <w:noProof/>
                <w:webHidden/>
              </w:rPr>
              <w:fldChar w:fldCharType="begin"/>
            </w:r>
            <w:r>
              <w:rPr>
                <w:noProof/>
                <w:webHidden/>
              </w:rPr>
              <w:instrText xml:space="preserve"> PAGEREF _Toc192855223 \h </w:instrText>
            </w:r>
            <w:r>
              <w:rPr>
                <w:noProof/>
                <w:webHidden/>
              </w:rPr>
            </w:r>
            <w:r>
              <w:rPr>
                <w:noProof/>
                <w:webHidden/>
              </w:rPr>
              <w:fldChar w:fldCharType="separate"/>
            </w:r>
            <w:r w:rsidR="003B72F6">
              <w:rPr>
                <w:noProof/>
                <w:webHidden/>
              </w:rPr>
              <w:t>328</w:t>
            </w:r>
            <w:r>
              <w:rPr>
                <w:noProof/>
                <w:webHidden/>
              </w:rPr>
              <w:fldChar w:fldCharType="end"/>
            </w:r>
          </w:hyperlink>
        </w:p>
        <w:p w14:paraId="2EBDA15D" w14:textId="4DB5BAD3" w:rsidR="005A58C7" w:rsidRDefault="005A58C7">
          <w:pPr>
            <w:pStyle w:val="T1"/>
            <w:rPr>
              <w:rFonts w:eastAsiaTheme="minorEastAsia" w:cstheme="minorBidi"/>
              <w:b w:val="0"/>
              <w:bCs w:val="0"/>
              <w:noProof/>
              <w:kern w:val="2"/>
              <w:sz w:val="24"/>
              <w:szCs w:val="24"/>
              <w14:ligatures w14:val="standardContextual"/>
            </w:rPr>
          </w:pPr>
          <w:hyperlink w:anchor="_Toc192855224" w:history="1">
            <w:r w:rsidRPr="002A2BE0">
              <w:rPr>
                <w:rStyle w:val="Kpr"/>
                <w:rFonts w:eastAsiaTheme="majorEastAsia"/>
                <w:noProof/>
                <w:lang w:val="en-US"/>
              </w:rPr>
              <w:t>Differences in Game Perception in Turkish and English Volleyball Terminology</w:t>
            </w:r>
            <w:r>
              <w:rPr>
                <w:noProof/>
                <w:webHidden/>
              </w:rPr>
              <w:tab/>
            </w:r>
            <w:r>
              <w:rPr>
                <w:noProof/>
                <w:webHidden/>
              </w:rPr>
              <w:fldChar w:fldCharType="begin"/>
            </w:r>
            <w:r>
              <w:rPr>
                <w:noProof/>
                <w:webHidden/>
              </w:rPr>
              <w:instrText xml:space="preserve"> PAGEREF _Toc192855224 \h </w:instrText>
            </w:r>
            <w:r>
              <w:rPr>
                <w:noProof/>
                <w:webHidden/>
              </w:rPr>
            </w:r>
            <w:r>
              <w:rPr>
                <w:noProof/>
                <w:webHidden/>
              </w:rPr>
              <w:fldChar w:fldCharType="separate"/>
            </w:r>
            <w:r w:rsidR="003B72F6">
              <w:rPr>
                <w:noProof/>
                <w:webHidden/>
              </w:rPr>
              <w:t>329</w:t>
            </w:r>
            <w:r>
              <w:rPr>
                <w:noProof/>
                <w:webHidden/>
              </w:rPr>
              <w:fldChar w:fldCharType="end"/>
            </w:r>
          </w:hyperlink>
        </w:p>
        <w:p w14:paraId="3BE42EF3" w14:textId="075A9DFC" w:rsidR="005A58C7" w:rsidRDefault="005A58C7">
          <w:pPr>
            <w:pStyle w:val="T1"/>
            <w:rPr>
              <w:rFonts w:eastAsiaTheme="minorEastAsia" w:cstheme="minorBidi"/>
              <w:b w:val="0"/>
              <w:bCs w:val="0"/>
              <w:noProof/>
              <w:kern w:val="2"/>
              <w:sz w:val="24"/>
              <w:szCs w:val="24"/>
              <w14:ligatures w14:val="standardContextual"/>
            </w:rPr>
          </w:pPr>
          <w:hyperlink w:anchor="_Toc192855225" w:history="1">
            <w:r w:rsidRPr="002A2BE0">
              <w:rPr>
                <w:rStyle w:val="Kpr"/>
                <w:rFonts w:eastAsiaTheme="majorEastAsia"/>
                <w:noProof/>
              </w:rPr>
              <w:t>The Reflection Of Socio-Moral Challenges In The Sentimentalist Prose Of Oliver Goldsmith And Henry Mackenzie: Ethical Dilemmas And Emotional Discourse</w:t>
            </w:r>
            <w:r>
              <w:rPr>
                <w:noProof/>
                <w:webHidden/>
              </w:rPr>
              <w:tab/>
            </w:r>
            <w:r>
              <w:rPr>
                <w:noProof/>
                <w:webHidden/>
              </w:rPr>
              <w:fldChar w:fldCharType="begin"/>
            </w:r>
            <w:r>
              <w:rPr>
                <w:noProof/>
                <w:webHidden/>
              </w:rPr>
              <w:instrText xml:space="preserve"> PAGEREF _Toc192855225 \h </w:instrText>
            </w:r>
            <w:r>
              <w:rPr>
                <w:noProof/>
                <w:webHidden/>
              </w:rPr>
            </w:r>
            <w:r>
              <w:rPr>
                <w:noProof/>
                <w:webHidden/>
              </w:rPr>
              <w:fldChar w:fldCharType="separate"/>
            </w:r>
            <w:r w:rsidR="003B72F6">
              <w:rPr>
                <w:noProof/>
                <w:webHidden/>
              </w:rPr>
              <w:t>330</w:t>
            </w:r>
            <w:r>
              <w:rPr>
                <w:noProof/>
                <w:webHidden/>
              </w:rPr>
              <w:fldChar w:fldCharType="end"/>
            </w:r>
          </w:hyperlink>
        </w:p>
        <w:p w14:paraId="3BE9E2AA" w14:textId="498E32AE" w:rsidR="005A58C7" w:rsidRDefault="005A58C7">
          <w:pPr>
            <w:pStyle w:val="T1"/>
            <w:rPr>
              <w:rFonts w:eastAsiaTheme="minorEastAsia" w:cstheme="minorBidi"/>
              <w:b w:val="0"/>
              <w:bCs w:val="0"/>
              <w:noProof/>
              <w:kern w:val="2"/>
              <w:sz w:val="24"/>
              <w:szCs w:val="24"/>
              <w14:ligatures w14:val="standardContextual"/>
            </w:rPr>
          </w:pPr>
          <w:hyperlink w:anchor="_Toc192855226" w:history="1">
            <w:r w:rsidRPr="002A2BE0">
              <w:rPr>
                <w:rStyle w:val="Kpr"/>
                <w:rFonts w:eastAsiaTheme="majorEastAsia"/>
                <w:noProof/>
              </w:rPr>
              <w:t>Tüketici ve Yatırımcı Algısında Vampir Etkisi: Disiplinlerarası Bir İnceleme</w:t>
            </w:r>
            <w:r>
              <w:rPr>
                <w:noProof/>
                <w:webHidden/>
              </w:rPr>
              <w:tab/>
            </w:r>
            <w:r>
              <w:rPr>
                <w:noProof/>
                <w:webHidden/>
              </w:rPr>
              <w:fldChar w:fldCharType="begin"/>
            </w:r>
            <w:r>
              <w:rPr>
                <w:noProof/>
                <w:webHidden/>
              </w:rPr>
              <w:instrText xml:space="preserve"> PAGEREF _Toc192855226 \h </w:instrText>
            </w:r>
            <w:r>
              <w:rPr>
                <w:noProof/>
                <w:webHidden/>
              </w:rPr>
            </w:r>
            <w:r>
              <w:rPr>
                <w:noProof/>
                <w:webHidden/>
              </w:rPr>
              <w:fldChar w:fldCharType="separate"/>
            </w:r>
            <w:r w:rsidR="003B72F6">
              <w:rPr>
                <w:noProof/>
                <w:webHidden/>
              </w:rPr>
              <w:t>335</w:t>
            </w:r>
            <w:r>
              <w:rPr>
                <w:noProof/>
                <w:webHidden/>
              </w:rPr>
              <w:fldChar w:fldCharType="end"/>
            </w:r>
          </w:hyperlink>
        </w:p>
        <w:p w14:paraId="16A96B0D" w14:textId="4729F3D4" w:rsidR="005A58C7" w:rsidRDefault="005A58C7">
          <w:pPr>
            <w:pStyle w:val="T1"/>
            <w:rPr>
              <w:rFonts w:eastAsiaTheme="minorEastAsia" w:cstheme="minorBidi"/>
              <w:b w:val="0"/>
              <w:bCs w:val="0"/>
              <w:noProof/>
              <w:kern w:val="2"/>
              <w:sz w:val="24"/>
              <w:szCs w:val="24"/>
              <w14:ligatures w14:val="standardContextual"/>
            </w:rPr>
          </w:pPr>
          <w:hyperlink w:anchor="_Toc192855227" w:history="1">
            <w:r w:rsidRPr="002A2BE0">
              <w:rPr>
                <w:rStyle w:val="Kpr"/>
                <w:rFonts w:eastAsiaTheme="majorEastAsia"/>
                <w:noProof/>
              </w:rPr>
              <w:t>The Vampire Effect in Consumer and Investor Perception: An Interdisciplinary Review</w:t>
            </w:r>
            <w:r>
              <w:rPr>
                <w:noProof/>
                <w:webHidden/>
              </w:rPr>
              <w:tab/>
            </w:r>
            <w:r>
              <w:rPr>
                <w:noProof/>
                <w:webHidden/>
              </w:rPr>
              <w:fldChar w:fldCharType="begin"/>
            </w:r>
            <w:r>
              <w:rPr>
                <w:noProof/>
                <w:webHidden/>
              </w:rPr>
              <w:instrText xml:space="preserve"> PAGEREF _Toc192855227 \h </w:instrText>
            </w:r>
            <w:r>
              <w:rPr>
                <w:noProof/>
                <w:webHidden/>
              </w:rPr>
            </w:r>
            <w:r>
              <w:rPr>
                <w:noProof/>
                <w:webHidden/>
              </w:rPr>
              <w:fldChar w:fldCharType="separate"/>
            </w:r>
            <w:r w:rsidR="003B72F6">
              <w:rPr>
                <w:noProof/>
                <w:webHidden/>
              </w:rPr>
              <w:t>336</w:t>
            </w:r>
            <w:r>
              <w:rPr>
                <w:noProof/>
                <w:webHidden/>
              </w:rPr>
              <w:fldChar w:fldCharType="end"/>
            </w:r>
          </w:hyperlink>
        </w:p>
        <w:p w14:paraId="7C7C9CA6" w14:textId="3EF456D1" w:rsidR="005A58C7" w:rsidRDefault="005A58C7">
          <w:pPr>
            <w:pStyle w:val="T1"/>
            <w:rPr>
              <w:rFonts w:eastAsiaTheme="minorEastAsia" w:cstheme="minorBidi"/>
              <w:b w:val="0"/>
              <w:bCs w:val="0"/>
              <w:noProof/>
              <w:kern w:val="2"/>
              <w:sz w:val="24"/>
              <w:szCs w:val="24"/>
              <w14:ligatures w14:val="standardContextual"/>
            </w:rPr>
          </w:pPr>
          <w:hyperlink w:anchor="_Toc192855228" w:history="1">
            <w:r w:rsidRPr="002A2BE0">
              <w:rPr>
                <w:rStyle w:val="Kpr"/>
                <w:rFonts w:eastAsiaTheme="majorEastAsia"/>
                <w:noProof/>
                <w:lang w:val="en-US"/>
              </w:rPr>
              <w:t>Comparison Of Saudi Arabia, United Arab Emirates and Turkey Accounting Systems in Terms of Accounting Profession</w:t>
            </w:r>
            <w:r>
              <w:rPr>
                <w:noProof/>
                <w:webHidden/>
              </w:rPr>
              <w:tab/>
            </w:r>
            <w:r>
              <w:rPr>
                <w:noProof/>
                <w:webHidden/>
              </w:rPr>
              <w:fldChar w:fldCharType="begin"/>
            </w:r>
            <w:r>
              <w:rPr>
                <w:noProof/>
                <w:webHidden/>
              </w:rPr>
              <w:instrText xml:space="preserve"> PAGEREF _Toc192855228 \h </w:instrText>
            </w:r>
            <w:r>
              <w:rPr>
                <w:noProof/>
                <w:webHidden/>
              </w:rPr>
            </w:r>
            <w:r>
              <w:rPr>
                <w:noProof/>
                <w:webHidden/>
              </w:rPr>
              <w:fldChar w:fldCharType="separate"/>
            </w:r>
            <w:r w:rsidR="003B72F6">
              <w:rPr>
                <w:noProof/>
                <w:webHidden/>
              </w:rPr>
              <w:t>345</w:t>
            </w:r>
            <w:r>
              <w:rPr>
                <w:noProof/>
                <w:webHidden/>
              </w:rPr>
              <w:fldChar w:fldCharType="end"/>
            </w:r>
          </w:hyperlink>
        </w:p>
        <w:p w14:paraId="53927EB8" w14:textId="04B68CD3" w:rsidR="005A58C7" w:rsidRDefault="005A58C7">
          <w:pPr>
            <w:pStyle w:val="T1"/>
            <w:rPr>
              <w:rFonts w:eastAsiaTheme="minorEastAsia" w:cstheme="minorBidi"/>
              <w:b w:val="0"/>
              <w:bCs w:val="0"/>
              <w:noProof/>
              <w:kern w:val="2"/>
              <w:sz w:val="24"/>
              <w:szCs w:val="24"/>
              <w14:ligatures w14:val="standardContextual"/>
            </w:rPr>
          </w:pPr>
          <w:hyperlink w:anchor="_Toc192855229" w:history="1">
            <w:r w:rsidRPr="002A2BE0">
              <w:rPr>
                <w:rStyle w:val="Kpr"/>
                <w:rFonts w:eastAsiaTheme="majorEastAsia"/>
                <w:noProof/>
                <w:lang w:val="en-US"/>
              </w:rPr>
              <w:t>Status of Accounting Education in Saudi Arabia, United Arab Emirates and Turkey Accounting Systems</w:t>
            </w:r>
            <w:r>
              <w:rPr>
                <w:noProof/>
                <w:webHidden/>
              </w:rPr>
              <w:tab/>
            </w:r>
            <w:r>
              <w:rPr>
                <w:noProof/>
                <w:webHidden/>
              </w:rPr>
              <w:fldChar w:fldCharType="begin"/>
            </w:r>
            <w:r>
              <w:rPr>
                <w:noProof/>
                <w:webHidden/>
              </w:rPr>
              <w:instrText xml:space="preserve"> PAGEREF _Toc192855229 \h </w:instrText>
            </w:r>
            <w:r>
              <w:rPr>
                <w:noProof/>
                <w:webHidden/>
              </w:rPr>
            </w:r>
            <w:r>
              <w:rPr>
                <w:noProof/>
                <w:webHidden/>
              </w:rPr>
              <w:fldChar w:fldCharType="separate"/>
            </w:r>
            <w:r w:rsidR="003B72F6">
              <w:rPr>
                <w:noProof/>
                <w:webHidden/>
              </w:rPr>
              <w:t>358</w:t>
            </w:r>
            <w:r>
              <w:rPr>
                <w:noProof/>
                <w:webHidden/>
              </w:rPr>
              <w:fldChar w:fldCharType="end"/>
            </w:r>
          </w:hyperlink>
        </w:p>
        <w:p w14:paraId="361440C5" w14:textId="7DB95A9E" w:rsidR="005A58C7" w:rsidRDefault="005A58C7">
          <w:pPr>
            <w:pStyle w:val="T1"/>
            <w:rPr>
              <w:rFonts w:eastAsiaTheme="minorEastAsia" w:cstheme="minorBidi"/>
              <w:b w:val="0"/>
              <w:bCs w:val="0"/>
              <w:noProof/>
              <w:kern w:val="2"/>
              <w:sz w:val="24"/>
              <w:szCs w:val="24"/>
              <w14:ligatures w14:val="standardContextual"/>
            </w:rPr>
          </w:pPr>
          <w:hyperlink w:anchor="_Toc192855230" w:history="1">
            <w:r w:rsidRPr="002A2BE0">
              <w:rPr>
                <w:rStyle w:val="Kpr"/>
                <w:rFonts w:eastAsiaTheme="majorEastAsia"/>
                <w:noProof/>
              </w:rPr>
              <w:t xml:space="preserve">Echoes of Absence: The Role of Silence in Conveying Meaning and Communication in </w:t>
            </w:r>
            <w:r w:rsidRPr="002A2BE0">
              <w:rPr>
                <w:rStyle w:val="Kpr"/>
                <w:rFonts w:eastAsiaTheme="majorEastAsia"/>
                <w:i/>
                <w:iCs/>
                <w:noProof/>
              </w:rPr>
              <w:t>Waiting for Godot</w:t>
            </w:r>
            <w:r>
              <w:rPr>
                <w:noProof/>
                <w:webHidden/>
              </w:rPr>
              <w:tab/>
            </w:r>
            <w:r>
              <w:rPr>
                <w:noProof/>
                <w:webHidden/>
              </w:rPr>
              <w:fldChar w:fldCharType="begin"/>
            </w:r>
            <w:r>
              <w:rPr>
                <w:noProof/>
                <w:webHidden/>
              </w:rPr>
              <w:instrText xml:space="preserve"> PAGEREF _Toc192855230 \h </w:instrText>
            </w:r>
            <w:r>
              <w:rPr>
                <w:noProof/>
                <w:webHidden/>
              </w:rPr>
            </w:r>
            <w:r>
              <w:rPr>
                <w:noProof/>
                <w:webHidden/>
              </w:rPr>
              <w:fldChar w:fldCharType="separate"/>
            </w:r>
            <w:r w:rsidR="003B72F6">
              <w:rPr>
                <w:noProof/>
                <w:webHidden/>
              </w:rPr>
              <w:t>376</w:t>
            </w:r>
            <w:r>
              <w:rPr>
                <w:noProof/>
                <w:webHidden/>
              </w:rPr>
              <w:fldChar w:fldCharType="end"/>
            </w:r>
          </w:hyperlink>
        </w:p>
        <w:p w14:paraId="42059CEF" w14:textId="1E4F1AFC" w:rsidR="005A58C7" w:rsidRDefault="005A58C7">
          <w:pPr>
            <w:pStyle w:val="T1"/>
            <w:rPr>
              <w:rFonts w:eastAsiaTheme="minorEastAsia" w:cstheme="minorBidi"/>
              <w:b w:val="0"/>
              <w:bCs w:val="0"/>
              <w:noProof/>
              <w:kern w:val="2"/>
              <w:sz w:val="24"/>
              <w:szCs w:val="24"/>
              <w14:ligatures w14:val="standardContextual"/>
            </w:rPr>
          </w:pPr>
          <w:hyperlink w:anchor="_Toc192855231" w:history="1">
            <w:r w:rsidRPr="002A2BE0">
              <w:rPr>
                <w:rStyle w:val="Kpr"/>
                <w:rFonts w:eastAsiaTheme="majorEastAsia"/>
                <w:noProof/>
              </w:rPr>
              <w:t>Eleştiri Oklarının Hedefi Olan Divan Şairi: Hayâlî Bey</w:t>
            </w:r>
            <w:r>
              <w:rPr>
                <w:noProof/>
                <w:webHidden/>
              </w:rPr>
              <w:tab/>
            </w:r>
            <w:r>
              <w:rPr>
                <w:noProof/>
                <w:webHidden/>
              </w:rPr>
              <w:fldChar w:fldCharType="begin"/>
            </w:r>
            <w:r>
              <w:rPr>
                <w:noProof/>
                <w:webHidden/>
              </w:rPr>
              <w:instrText xml:space="preserve"> PAGEREF _Toc192855231 \h </w:instrText>
            </w:r>
            <w:r>
              <w:rPr>
                <w:noProof/>
                <w:webHidden/>
              </w:rPr>
            </w:r>
            <w:r>
              <w:rPr>
                <w:noProof/>
                <w:webHidden/>
              </w:rPr>
              <w:fldChar w:fldCharType="separate"/>
            </w:r>
            <w:r w:rsidR="003B72F6">
              <w:rPr>
                <w:noProof/>
                <w:webHidden/>
              </w:rPr>
              <w:t>395</w:t>
            </w:r>
            <w:r>
              <w:rPr>
                <w:noProof/>
                <w:webHidden/>
              </w:rPr>
              <w:fldChar w:fldCharType="end"/>
            </w:r>
          </w:hyperlink>
        </w:p>
        <w:p w14:paraId="6C624EB8" w14:textId="16DB08FF" w:rsidR="005A58C7" w:rsidRDefault="005A58C7">
          <w:pPr>
            <w:pStyle w:val="T1"/>
            <w:rPr>
              <w:rFonts w:eastAsiaTheme="minorEastAsia" w:cstheme="minorBidi"/>
              <w:b w:val="0"/>
              <w:bCs w:val="0"/>
              <w:noProof/>
              <w:kern w:val="2"/>
              <w:sz w:val="24"/>
              <w:szCs w:val="24"/>
              <w14:ligatures w14:val="standardContextual"/>
            </w:rPr>
          </w:pPr>
          <w:hyperlink w:anchor="_Toc192855232" w:history="1">
            <w:r w:rsidRPr="002A2BE0">
              <w:rPr>
                <w:rStyle w:val="Kpr"/>
                <w:rFonts w:eastAsiaTheme="majorEastAsia"/>
                <w:noProof/>
              </w:rPr>
              <w:t>The Divan Poet Who Was the Target of Criticism Arrows: Hayâlî Bey</w:t>
            </w:r>
            <w:r>
              <w:rPr>
                <w:noProof/>
                <w:webHidden/>
              </w:rPr>
              <w:tab/>
            </w:r>
            <w:r>
              <w:rPr>
                <w:noProof/>
                <w:webHidden/>
              </w:rPr>
              <w:fldChar w:fldCharType="begin"/>
            </w:r>
            <w:r>
              <w:rPr>
                <w:noProof/>
                <w:webHidden/>
              </w:rPr>
              <w:instrText xml:space="preserve"> PAGEREF _Toc192855232 \h </w:instrText>
            </w:r>
            <w:r>
              <w:rPr>
                <w:noProof/>
                <w:webHidden/>
              </w:rPr>
            </w:r>
            <w:r>
              <w:rPr>
                <w:noProof/>
                <w:webHidden/>
              </w:rPr>
              <w:fldChar w:fldCharType="separate"/>
            </w:r>
            <w:r w:rsidR="003B72F6">
              <w:rPr>
                <w:noProof/>
                <w:webHidden/>
              </w:rPr>
              <w:t>395</w:t>
            </w:r>
            <w:r>
              <w:rPr>
                <w:noProof/>
                <w:webHidden/>
              </w:rPr>
              <w:fldChar w:fldCharType="end"/>
            </w:r>
          </w:hyperlink>
        </w:p>
        <w:p w14:paraId="1272D724" w14:textId="29AC1A07" w:rsidR="005A58C7" w:rsidRDefault="005A58C7">
          <w:pPr>
            <w:pStyle w:val="T1"/>
            <w:rPr>
              <w:rFonts w:eastAsiaTheme="minorEastAsia" w:cstheme="minorBidi"/>
              <w:b w:val="0"/>
              <w:bCs w:val="0"/>
              <w:noProof/>
              <w:kern w:val="2"/>
              <w:sz w:val="24"/>
              <w:szCs w:val="24"/>
              <w14:ligatures w14:val="standardContextual"/>
            </w:rPr>
          </w:pPr>
          <w:hyperlink w:anchor="_Toc192855233" w:history="1">
            <w:r w:rsidRPr="002A2BE0">
              <w:rPr>
                <w:rStyle w:val="Kpr"/>
                <w:rFonts w:eastAsiaTheme="majorEastAsia"/>
                <w:noProof/>
              </w:rPr>
              <w:t>Lâmiî Çelebi Divanı’nda Kadın Karşıtı Söylem</w:t>
            </w:r>
            <w:r>
              <w:rPr>
                <w:noProof/>
                <w:webHidden/>
              </w:rPr>
              <w:tab/>
            </w:r>
            <w:r>
              <w:rPr>
                <w:noProof/>
                <w:webHidden/>
              </w:rPr>
              <w:fldChar w:fldCharType="begin"/>
            </w:r>
            <w:r>
              <w:rPr>
                <w:noProof/>
                <w:webHidden/>
              </w:rPr>
              <w:instrText xml:space="preserve"> PAGEREF _Toc192855233 \h </w:instrText>
            </w:r>
            <w:r>
              <w:rPr>
                <w:noProof/>
                <w:webHidden/>
              </w:rPr>
            </w:r>
            <w:r>
              <w:rPr>
                <w:noProof/>
                <w:webHidden/>
              </w:rPr>
              <w:fldChar w:fldCharType="separate"/>
            </w:r>
            <w:r w:rsidR="003B72F6">
              <w:rPr>
                <w:noProof/>
                <w:webHidden/>
              </w:rPr>
              <w:t>409</w:t>
            </w:r>
            <w:r>
              <w:rPr>
                <w:noProof/>
                <w:webHidden/>
              </w:rPr>
              <w:fldChar w:fldCharType="end"/>
            </w:r>
          </w:hyperlink>
        </w:p>
        <w:p w14:paraId="5AB441F0" w14:textId="2B9BC4EA" w:rsidR="005A58C7" w:rsidRDefault="005A58C7">
          <w:pPr>
            <w:pStyle w:val="T1"/>
            <w:rPr>
              <w:rFonts w:eastAsiaTheme="minorEastAsia" w:cstheme="minorBidi"/>
              <w:b w:val="0"/>
              <w:bCs w:val="0"/>
              <w:noProof/>
              <w:kern w:val="2"/>
              <w:sz w:val="24"/>
              <w:szCs w:val="24"/>
              <w14:ligatures w14:val="standardContextual"/>
            </w:rPr>
          </w:pPr>
          <w:hyperlink w:anchor="_Toc192855234" w:history="1">
            <w:r w:rsidRPr="002A2BE0">
              <w:rPr>
                <w:rStyle w:val="Kpr"/>
                <w:rFonts w:eastAsiaTheme="majorEastAsia"/>
                <w:noProof/>
              </w:rPr>
              <w:t>Anti-Woman Discourse in Lâmiî Çelebi's Divan</w:t>
            </w:r>
            <w:r>
              <w:rPr>
                <w:noProof/>
                <w:webHidden/>
              </w:rPr>
              <w:tab/>
            </w:r>
            <w:r>
              <w:rPr>
                <w:noProof/>
                <w:webHidden/>
              </w:rPr>
              <w:fldChar w:fldCharType="begin"/>
            </w:r>
            <w:r>
              <w:rPr>
                <w:noProof/>
                <w:webHidden/>
              </w:rPr>
              <w:instrText xml:space="preserve"> PAGEREF _Toc192855234 \h </w:instrText>
            </w:r>
            <w:r>
              <w:rPr>
                <w:noProof/>
                <w:webHidden/>
              </w:rPr>
            </w:r>
            <w:r>
              <w:rPr>
                <w:noProof/>
                <w:webHidden/>
              </w:rPr>
              <w:fldChar w:fldCharType="separate"/>
            </w:r>
            <w:r w:rsidR="003B72F6">
              <w:rPr>
                <w:noProof/>
                <w:webHidden/>
              </w:rPr>
              <w:t>410</w:t>
            </w:r>
            <w:r>
              <w:rPr>
                <w:noProof/>
                <w:webHidden/>
              </w:rPr>
              <w:fldChar w:fldCharType="end"/>
            </w:r>
          </w:hyperlink>
        </w:p>
        <w:p w14:paraId="5052876D" w14:textId="0F585345" w:rsidR="005A58C7" w:rsidRDefault="005A58C7">
          <w:pPr>
            <w:pStyle w:val="T1"/>
            <w:rPr>
              <w:rFonts w:eastAsiaTheme="minorEastAsia" w:cstheme="minorBidi"/>
              <w:b w:val="0"/>
              <w:bCs w:val="0"/>
              <w:noProof/>
              <w:kern w:val="2"/>
              <w:sz w:val="24"/>
              <w:szCs w:val="24"/>
              <w14:ligatures w14:val="standardContextual"/>
            </w:rPr>
          </w:pPr>
          <w:hyperlink w:anchor="_Toc192855235" w:history="1">
            <w:r w:rsidRPr="002A2BE0">
              <w:rPr>
                <w:rStyle w:val="Kpr"/>
                <w:rFonts w:eastAsiaTheme="majorEastAsia"/>
                <w:noProof/>
              </w:rPr>
              <w:t>Kazâen Kendi Ölümüne Sebebiyet Verme -Son Dönem Osmanlı Bosna’sı Örneğinde-</w:t>
            </w:r>
            <w:r>
              <w:rPr>
                <w:noProof/>
                <w:webHidden/>
              </w:rPr>
              <w:tab/>
            </w:r>
            <w:r>
              <w:rPr>
                <w:noProof/>
                <w:webHidden/>
              </w:rPr>
              <w:fldChar w:fldCharType="begin"/>
            </w:r>
            <w:r>
              <w:rPr>
                <w:noProof/>
                <w:webHidden/>
              </w:rPr>
              <w:instrText xml:space="preserve"> PAGEREF _Toc192855235 \h </w:instrText>
            </w:r>
            <w:r>
              <w:rPr>
                <w:noProof/>
                <w:webHidden/>
              </w:rPr>
            </w:r>
            <w:r>
              <w:rPr>
                <w:noProof/>
                <w:webHidden/>
              </w:rPr>
              <w:fldChar w:fldCharType="separate"/>
            </w:r>
            <w:r w:rsidR="003B72F6">
              <w:rPr>
                <w:noProof/>
                <w:webHidden/>
              </w:rPr>
              <w:t>418</w:t>
            </w:r>
            <w:r>
              <w:rPr>
                <w:noProof/>
                <w:webHidden/>
              </w:rPr>
              <w:fldChar w:fldCharType="end"/>
            </w:r>
          </w:hyperlink>
        </w:p>
        <w:p w14:paraId="09224861" w14:textId="0C013A28" w:rsidR="005A58C7" w:rsidRDefault="005A58C7">
          <w:pPr>
            <w:pStyle w:val="T1"/>
            <w:rPr>
              <w:rFonts w:eastAsiaTheme="minorEastAsia" w:cstheme="minorBidi"/>
              <w:b w:val="0"/>
              <w:bCs w:val="0"/>
              <w:noProof/>
              <w:kern w:val="2"/>
              <w:sz w:val="24"/>
              <w:szCs w:val="24"/>
              <w14:ligatures w14:val="standardContextual"/>
            </w:rPr>
          </w:pPr>
          <w:hyperlink w:anchor="_Toc192855236" w:history="1">
            <w:r w:rsidRPr="002A2BE0">
              <w:rPr>
                <w:rStyle w:val="Kpr"/>
                <w:rFonts w:eastAsiaTheme="majorEastAsia"/>
                <w:noProof/>
              </w:rPr>
              <w:t>Hun Sanatında Hayvan Üslubu</w:t>
            </w:r>
            <w:r>
              <w:rPr>
                <w:noProof/>
                <w:webHidden/>
              </w:rPr>
              <w:tab/>
            </w:r>
            <w:r>
              <w:rPr>
                <w:noProof/>
                <w:webHidden/>
              </w:rPr>
              <w:fldChar w:fldCharType="begin"/>
            </w:r>
            <w:r>
              <w:rPr>
                <w:noProof/>
                <w:webHidden/>
              </w:rPr>
              <w:instrText xml:space="preserve"> PAGEREF _Toc192855236 \h </w:instrText>
            </w:r>
            <w:r>
              <w:rPr>
                <w:noProof/>
                <w:webHidden/>
              </w:rPr>
            </w:r>
            <w:r>
              <w:rPr>
                <w:noProof/>
                <w:webHidden/>
              </w:rPr>
              <w:fldChar w:fldCharType="separate"/>
            </w:r>
            <w:r w:rsidR="003B72F6">
              <w:rPr>
                <w:noProof/>
                <w:webHidden/>
              </w:rPr>
              <w:t>428</w:t>
            </w:r>
            <w:r>
              <w:rPr>
                <w:noProof/>
                <w:webHidden/>
              </w:rPr>
              <w:fldChar w:fldCharType="end"/>
            </w:r>
          </w:hyperlink>
        </w:p>
        <w:p w14:paraId="033F544F" w14:textId="50D5E05D" w:rsidR="005A58C7" w:rsidRDefault="005A58C7">
          <w:pPr>
            <w:pStyle w:val="T1"/>
            <w:rPr>
              <w:rFonts w:eastAsiaTheme="minorEastAsia" w:cstheme="minorBidi"/>
              <w:b w:val="0"/>
              <w:bCs w:val="0"/>
              <w:noProof/>
              <w:kern w:val="2"/>
              <w:sz w:val="24"/>
              <w:szCs w:val="24"/>
              <w14:ligatures w14:val="standardContextual"/>
            </w:rPr>
          </w:pPr>
          <w:hyperlink w:anchor="_Toc192855237" w:history="1">
            <w:r w:rsidRPr="002A2BE0">
              <w:rPr>
                <w:rStyle w:val="Kpr"/>
                <w:rFonts w:eastAsiaTheme="majorEastAsia"/>
                <w:noProof/>
              </w:rPr>
              <w:t>Animal Style in Hun Art</w:t>
            </w:r>
            <w:r>
              <w:rPr>
                <w:noProof/>
                <w:webHidden/>
              </w:rPr>
              <w:tab/>
            </w:r>
            <w:r>
              <w:rPr>
                <w:noProof/>
                <w:webHidden/>
              </w:rPr>
              <w:fldChar w:fldCharType="begin"/>
            </w:r>
            <w:r>
              <w:rPr>
                <w:noProof/>
                <w:webHidden/>
              </w:rPr>
              <w:instrText xml:space="preserve"> PAGEREF _Toc192855237 \h </w:instrText>
            </w:r>
            <w:r>
              <w:rPr>
                <w:noProof/>
                <w:webHidden/>
              </w:rPr>
            </w:r>
            <w:r>
              <w:rPr>
                <w:noProof/>
                <w:webHidden/>
              </w:rPr>
              <w:fldChar w:fldCharType="separate"/>
            </w:r>
            <w:r w:rsidR="003B72F6">
              <w:rPr>
                <w:noProof/>
                <w:webHidden/>
              </w:rPr>
              <w:t>429</w:t>
            </w:r>
            <w:r>
              <w:rPr>
                <w:noProof/>
                <w:webHidden/>
              </w:rPr>
              <w:fldChar w:fldCharType="end"/>
            </w:r>
          </w:hyperlink>
        </w:p>
        <w:p w14:paraId="2F920E7A" w14:textId="6F66C9BD" w:rsidR="005A58C7" w:rsidRDefault="005A58C7">
          <w:pPr>
            <w:pStyle w:val="T1"/>
            <w:rPr>
              <w:rFonts w:eastAsiaTheme="minorEastAsia" w:cstheme="minorBidi"/>
              <w:b w:val="0"/>
              <w:bCs w:val="0"/>
              <w:noProof/>
              <w:kern w:val="2"/>
              <w:sz w:val="24"/>
              <w:szCs w:val="24"/>
              <w14:ligatures w14:val="standardContextual"/>
            </w:rPr>
          </w:pPr>
          <w:hyperlink w:anchor="_Toc192855238" w:history="1">
            <w:r w:rsidRPr="002A2BE0">
              <w:rPr>
                <w:rStyle w:val="Kpr"/>
                <w:rFonts w:eastAsiaTheme="majorEastAsia"/>
                <w:noProof/>
              </w:rPr>
              <w:t>Sidgwick’in Etik Teorisi ve Eylem</w:t>
            </w:r>
            <w:r>
              <w:rPr>
                <w:noProof/>
                <w:webHidden/>
              </w:rPr>
              <w:tab/>
            </w:r>
            <w:r>
              <w:rPr>
                <w:noProof/>
                <w:webHidden/>
              </w:rPr>
              <w:fldChar w:fldCharType="begin"/>
            </w:r>
            <w:r>
              <w:rPr>
                <w:noProof/>
                <w:webHidden/>
              </w:rPr>
              <w:instrText xml:space="preserve"> PAGEREF _Toc192855238 \h </w:instrText>
            </w:r>
            <w:r>
              <w:rPr>
                <w:noProof/>
                <w:webHidden/>
              </w:rPr>
            </w:r>
            <w:r>
              <w:rPr>
                <w:noProof/>
                <w:webHidden/>
              </w:rPr>
              <w:fldChar w:fldCharType="separate"/>
            </w:r>
            <w:r w:rsidR="003B72F6">
              <w:rPr>
                <w:noProof/>
                <w:webHidden/>
              </w:rPr>
              <w:t>430</w:t>
            </w:r>
            <w:r>
              <w:rPr>
                <w:noProof/>
                <w:webHidden/>
              </w:rPr>
              <w:fldChar w:fldCharType="end"/>
            </w:r>
          </w:hyperlink>
        </w:p>
        <w:p w14:paraId="11422582" w14:textId="69DAA909" w:rsidR="005A58C7" w:rsidRDefault="005A58C7">
          <w:pPr>
            <w:pStyle w:val="T1"/>
            <w:rPr>
              <w:rFonts w:eastAsiaTheme="minorEastAsia" w:cstheme="minorBidi"/>
              <w:b w:val="0"/>
              <w:bCs w:val="0"/>
              <w:noProof/>
              <w:kern w:val="2"/>
              <w:sz w:val="24"/>
              <w:szCs w:val="24"/>
              <w14:ligatures w14:val="standardContextual"/>
            </w:rPr>
          </w:pPr>
          <w:hyperlink w:anchor="_Toc192855239" w:history="1">
            <w:r w:rsidRPr="002A2BE0">
              <w:rPr>
                <w:rStyle w:val="Kpr"/>
                <w:rFonts w:eastAsiaTheme="majorEastAsia"/>
                <w:noProof/>
              </w:rPr>
              <w:t>Etik Yöntemler: Egoizm ve Faydacılık</w:t>
            </w:r>
            <w:r>
              <w:rPr>
                <w:noProof/>
                <w:webHidden/>
              </w:rPr>
              <w:tab/>
            </w:r>
            <w:r>
              <w:rPr>
                <w:noProof/>
                <w:webHidden/>
              </w:rPr>
              <w:fldChar w:fldCharType="begin"/>
            </w:r>
            <w:r>
              <w:rPr>
                <w:noProof/>
                <w:webHidden/>
              </w:rPr>
              <w:instrText xml:space="preserve"> PAGEREF _Toc192855239 \h </w:instrText>
            </w:r>
            <w:r>
              <w:rPr>
                <w:noProof/>
                <w:webHidden/>
              </w:rPr>
            </w:r>
            <w:r>
              <w:rPr>
                <w:noProof/>
                <w:webHidden/>
              </w:rPr>
              <w:fldChar w:fldCharType="separate"/>
            </w:r>
            <w:r w:rsidR="003B72F6">
              <w:rPr>
                <w:noProof/>
                <w:webHidden/>
              </w:rPr>
              <w:t>431</w:t>
            </w:r>
            <w:r>
              <w:rPr>
                <w:noProof/>
                <w:webHidden/>
              </w:rPr>
              <w:fldChar w:fldCharType="end"/>
            </w:r>
          </w:hyperlink>
        </w:p>
        <w:p w14:paraId="31A5A5C6" w14:textId="2DC655C4" w:rsidR="005A58C7" w:rsidRDefault="005A58C7">
          <w:pPr>
            <w:pStyle w:val="T1"/>
            <w:rPr>
              <w:rFonts w:eastAsiaTheme="minorEastAsia" w:cstheme="minorBidi"/>
              <w:b w:val="0"/>
              <w:bCs w:val="0"/>
              <w:noProof/>
              <w:kern w:val="2"/>
              <w:sz w:val="24"/>
              <w:szCs w:val="24"/>
              <w14:ligatures w14:val="standardContextual"/>
            </w:rPr>
          </w:pPr>
          <w:hyperlink w:anchor="_Toc192855240" w:history="1">
            <w:r w:rsidRPr="002A2BE0">
              <w:rPr>
                <w:rStyle w:val="Kpr"/>
                <w:rFonts w:eastAsiaTheme="majorEastAsia"/>
                <w:noProof/>
              </w:rPr>
              <w:t>Gambrinus’ta Sanatın Gücü: Bir Direniş Simgesi Olarak Müziğin Rolü</w:t>
            </w:r>
            <w:r>
              <w:rPr>
                <w:noProof/>
                <w:webHidden/>
              </w:rPr>
              <w:tab/>
            </w:r>
            <w:r>
              <w:rPr>
                <w:noProof/>
                <w:webHidden/>
              </w:rPr>
              <w:fldChar w:fldCharType="begin"/>
            </w:r>
            <w:r>
              <w:rPr>
                <w:noProof/>
                <w:webHidden/>
              </w:rPr>
              <w:instrText xml:space="preserve"> PAGEREF _Toc192855240 \h </w:instrText>
            </w:r>
            <w:r>
              <w:rPr>
                <w:noProof/>
                <w:webHidden/>
              </w:rPr>
            </w:r>
            <w:r>
              <w:rPr>
                <w:noProof/>
                <w:webHidden/>
              </w:rPr>
              <w:fldChar w:fldCharType="separate"/>
            </w:r>
            <w:r w:rsidR="003B72F6">
              <w:rPr>
                <w:noProof/>
                <w:webHidden/>
              </w:rPr>
              <w:t>432</w:t>
            </w:r>
            <w:r>
              <w:rPr>
                <w:noProof/>
                <w:webHidden/>
              </w:rPr>
              <w:fldChar w:fldCharType="end"/>
            </w:r>
          </w:hyperlink>
        </w:p>
        <w:p w14:paraId="3AD56396" w14:textId="05FBCDAE" w:rsidR="005A58C7" w:rsidRDefault="005A58C7">
          <w:pPr>
            <w:pStyle w:val="T1"/>
            <w:rPr>
              <w:rFonts w:eastAsiaTheme="minorEastAsia" w:cstheme="minorBidi"/>
              <w:b w:val="0"/>
              <w:bCs w:val="0"/>
              <w:noProof/>
              <w:kern w:val="2"/>
              <w:sz w:val="24"/>
              <w:szCs w:val="24"/>
              <w14:ligatures w14:val="standardContextual"/>
            </w:rPr>
          </w:pPr>
          <w:hyperlink w:anchor="_Toc192855241" w:history="1">
            <w:r w:rsidRPr="002A2BE0">
              <w:rPr>
                <w:rStyle w:val="Kpr"/>
                <w:rFonts w:eastAsiaTheme="majorEastAsia"/>
                <w:noProof/>
              </w:rPr>
              <w:t>Kocaeli Üniversitesi’nde Lisansüstü Eğitimi Gören Uluslararası Öğrencilerin Entegrasyon</w:t>
            </w:r>
            <w:r w:rsidRPr="002A2BE0">
              <w:rPr>
                <w:rStyle w:val="Kpr"/>
                <w:rFonts w:eastAsiaTheme="majorEastAsia"/>
                <w:noProof/>
                <w:spacing w:val="-5"/>
              </w:rPr>
              <w:t xml:space="preserve"> </w:t>
            </w:r>
            <w:r w:rsidRPr="002A2BE0">
              <w:rPr>
                <w:rStyle w:val="Kpr"/>
                <w:rFonts w:eastAsiaTheme="majorEastAsia"/>
                <w:noProof/>
              </w:rPr>
              <w:t>Sürecinde</w:t>
            </w:r>
            <w:r w:rsidRPr="002A2BE0">
              <w:rPr>
                <w:rStyle w:val="Kpr"/>
                <w:rFonts w:eastAsiaTheme="majorEastAsia"/>
                <w:noProof/>
                <w:spacing w:val="-7"/>
              </w:rPr>
              <w:t xml:space="preserve"> </w:t>
            </w:r>
            <w:r w:rsidRPr="002A2BE0">
              <w:rPr>
                <w:rStyle w:val="Kpr"/>
                <w:rFonts w:eastAsiaTheme="majorEastAsia"/>
                <w:noProof/>
              </w:rPr>
              <w:t>Karşılaştıkları</w:t>
            </w:r>
            <w:r w:rsidRPr="002A2BE0">
              <w:rPr>
                <w:rStyle w:val="Kpr"/>
                <w:rFonts w:eastAsiaTheme="majorEastAsia"/>
                <w:noProof/>
                <w:spacing w:val="-7"/>
              </w:rPr>
              <w:t xml:space="preserve"> </w:t>
            </w:r>
            <w:r w:rsidRPr="002A2BE0">
              <w:rPr>
                <w:rStyle w:val="Kpr"/>
                <w:rFonts w:eastAsiaTheme="majorEastAsia"/>
                <w:noProof/>
              </w:rPr>
              <w:t>Zorluklar:</w:t>
            </w:r>
            <w:r w:rsidRPr="002A2BE0">
              <w:rPr>
                <w:rStyle w:val="Kpr"/>
                <w:rFonts w:eastAsiaTheme="majorEastAsia"/>
                <w:noProof/>
                <w:spacing w:val="-2"/>
              </w:rPr>
              <w:t xml:space="preserve"> </w:t>
            </w:r>
            <w:r w:rsidRPr="002A2BE0">
              <w:rPr>
                <w:rStyle w:val="Kpr"/>
                <w:rFonts w:eastAsiaTheme="majorEastAsia"/>
                <w:noProof/>
              </w:rPr>
              <w:t>Dil</w:t>
            </w:r>
            <w:r w:rsidRPr="002A2BE0">
              <w:rPr>
                <w:rStyle w:val="Kpr"/>
                <w:rFonts w:eastAsiaTheme="majorEastAsia"/>
                <w:noProof/>
                <w:spacing w:val="-7"/>
              </w:rPr>
              <w:t xml:space="preserve"> </w:t>
            </w:r>
            <w:r w:rsidRPr="002A2BE0">
              <w:rPr>
                <w:rStyle w:val="Kpr"/>
                <w:rFonts w:eastAsiaTheme="majorEastAsia"/>
                <w:noProof/>
              </w:rPr>
              <w:t>Sorunları,</w:t>
            </w:r>
            <w:r w:rsidRPr="002A2BE0">
              <w:rPr>
                <w:rStyle w:val="Kpr"/>
                <w:rFonts w:eastAsiaTheme="majorEastAsia"/>
                <w:noProof/>
                <w:spacing w:val="-5"/>
              </w:rPr>
              <w:t xml:space="preserve"> </w:t>
            </w:r>
            <w:r w:rsidRPr="002A2BE0">
              <w:rPr>
                <w:rStyle w:val="Kpr"/>
                <w:rFonts w:eastAsiaTheme="majorEastAsia"/>
                <w:noProof/>
              </w:rPr>
              <w:t>Kültürel</w:t>
            </w:r>
            <w:r w:rsidRPr="002A2BE0">
              <w:rPr>
                <w:rStyle w:val="Kpr"/>
                <w:rFonts w:eastAsiaTheme="majorEastAsia"/>
                <w:noProof/>
                <w:spacing w:val="-6"/>
              </w:rPr>
              <w:t xml:space="preserve"> </w:t>
            </w:r>
            <w:r w:rsidRPr="002A2BE0">
              <w:rPr>
                <w:rStyle w:val="Kpr"/>
                <w:rFonts w:eastAsiaTheme="majorEastAsia"/>
                <w:noProof/>
              </w:rPr>
              <w:t>Farklıkları ve Eğitim Ortamına Uyum</w:t>
            </w:r>
            <w:r>
              <w:rPr>
                <w:noProof/>
                <w:webHidden/>
              </w:rPr>
              <w:tab/>
            </w:r>
            <w:r>
              <w:rPr>
                <w:noProof/>
                <w:webHidden/>
              </w:rPr>
              <w:fldChar w:fldCharType="begin"/>
            </w:r>
            <w:r>
              <w:rPr>
                <w:noProof/>
                <w:webHidden/>
              </w:rPr>
              <w:instrText xml:space="preserve"> PAGEREF _Toc192855241 \h </w:instrText>
            </w:r>
            <w:r>
              <w:rPr>
                <w:noProof/>
                <w:webHidden/>
              </w:rPr>
            </w:r>
            <w:r>
              <w:rPr>
                <w:noProof/>
                <w:webHidden/>
              </w:rPr>
              <w:fldChar w:fldCharType="separate"/>
            </w:r>
            <w:r w:rsidR="003B72F6">
              <w:rPr>
                <w:noProof/>
                <w:webHidden/>
              </w:rPr>
              <w:t>440</w:t>
            </w:r>
            <w:r>
              <w:rPr>
                <w:noProof/>
                <w:webHidden/>
              </w:rPr>
              <w:fldChar w:fldCharType="end"/>
            </w:r>
          </w:hyperlink>
        </w:p>
        <w:p w14:paraId="275A5659" w14:textId="47829F87" w:rsidR="005A58C7" w:rsidRDefault="005A58C7">
          <w:pPr>
            <w:pStyle w:val="T1"/>
            <w:rPr>
              <w:rFonts w:eastAsiaTheme="minorEastAsia" w:cstheme="minorBidi"/>
              <w:b w:val="0"/>
              <w:bCs w:val="0"/>
              <w:noProof/>
              <w:kern w:val="2"/>
              <w:sz w:val="24"/>
              <w:szCs w:val="24"/>
              <w14:ligatures w14:val="standardContextual"/>
            </w:rPr>
          </w:pPr>
          <w:hyperlink w:anchor="_Toc192855242" w:history="1">
            <w:r w:rsidRPr="002A2BE0">
              <w:rPr>
                <w:rStyle w:val="Kpr"/>
                <w:rFonts w:eastAsiaTheme="majorEastAsia"/>
                <w:noProof/>
              </w:rPr>
              <w:t>Cumhuriyetin</w:t>
            </w:r>
            <w:r w:rsidRPr="002A2BE0">
              <w:rPr>
                <w:rStyle w:val="Kpr"/>
                <w:rFonts w:eastAsiaTheme="majorEastAsia"/>
                <w:noProof/>
                <w:spacing w:val="-7"/>
              </w:rPr>
              <w:t xml:space="preserve"> </w:t>
            </w:r>
            <w:r w:rsidRPr="002A2BE0">
              <w:rPr>
                <w:rStyle w:val="Kpr"/>
                <w:rFonts w:eastAsiaTheme="majorEastAsia"/>
                <w:noProof/>
              </w:rPr>
              <w:t>10.</w:t>
            </w:r>
            <w:r w:rsidRPr="002A2BE0">
              <w:rPr>
                <w:rStyle w:val="Kpr"/>
                <w:rFonts w:eastAsiaTheme="majorEastAsia"/>
                <w:noProof/>
                <w:spacing w:val="-5"/>
              </w:rPr>
              <w:t xml:space="preserve"> </w:t>
            </w:r>
            <w:r w:rsidRPr="002A2BE0">
              <w:rPr>
                <w:rStyle w:val="Kpr"/>
                <w:rFonts w:eastAsiaTheme="majorEastAsia"/>
                <w:noProof/>
              </w:rPr>
              <w:t>Yılında</w:t>
            </w:r>
            <w:r w:rsidRPr="002A2BE0">
              <w:rPr>
                <w:rStyle w:val="Kpr"/>
                <w:rFonts w:eastAsiaTheme="majorEastAsia"/>
                <w:noProof/>
                <w:spacing w:val="-7"/>
              </w:rPr>
              <w:t xml:space="preserve"> </w:t>
            </w:r>
            <w:r w:rsidRPr="002A2BE0">
              <w:rPr>
                <w:rStyle w:val="Kpr"/>
                <w:rFonts w:eastAsiaTheme="majorEastAsia"/>
                <w:noProof/>
              </w:rPr>
              <w:t>Atatürk’ün</w:t>
            </w:r>
            <w:r w:rsidRPr="002A2BE0">
              <w:rPr>
                <w:rStyle w:val="Kpr"/>
                <w:rFonts w:eastAsiaTheme="majorEastAsia"/>
                <w:noProof/>
                <w:spacing w:val="-7"/>
              </w:rPr>
              <w:t xml:space="preserve"> </w:t>
            </w:r>
            <w:r w:rsidRPr="002A2BE0">
              <w:rPr>
                <w:rStyle w:val="Kpr"/>
                <w:rFonts w:eastAsiaTheme="majorEastAsia"/>
                <w:noProof/>
              </w:rPr>
              <w:t>Dış</w:t>
            </w:r>
            <w:r w:rsidRPr="002A2BE0">
              <w:rPr>
                <w:rStyle w:val="Kpr"/>
                <w:rFonts w:eastAsiaTheme="majorEastAsia"/>
                <w:noProof/>
                <w:spacing w:val="-7"/>
              </w:rPr>
              <w:t xml:space="preserve"> </w:t>
            </w:r>
            <w:r w:rsidRPr="002A2BE0">
              <w:rPr>
                <w:rStyle w:val="Kpr"/>
                <w:rFonts w:eastAsiaTheme="majorEastAsia"/>
                <w:noProof/>
              </w:rPr>
              <w:t>Politikasına</w:t>
            </w:r>
            <w:r w:rsidRPr="002A2BE0">
              <w:rPr>
                <w:rStyle w:val="Kpr"/>
                <w:rFonts w:eastAsiaTheme="majorEastAsia"/>
                <w:noProof/>
                <w:spacing w:val="-5"/>
              </w:rPr>
              <w:t xml:space="preserve"> </w:t>
            </w:r>
            <w:r w:rsidRPr="002A2BE0">
              <w:rPr>
                <w:rStyle w:val="Kpr"/>
                <w:rFonts w:eastAsiaTheme="majorEastAsia"/>
                <w:noProof/>
              </w:rPr>
              <w:t>Yansıyan Barışçı Ve Dostane Söylemleri</w:t>
            </w:r>
            <w:r>
              <w:rPr>
                <w:noProof/>
                <w:webHidden/>
              </w:rPr>
              <w:tab/>
            </w:r>
            <w:r>
              <w:rPr>
                <w:noProof/>
                <w:webHidden/>
              </w:rPr>
              <w:fldChar w:fldCharType="begin"/>
            </w:r>
            <w:r>
              <w:rPr>
                <w:noProof/>
                <w:webHidden/>
              </w:rPr>
              <w:instrText xml:space="preserve"> PAGEREF _Toc192855242 \h </w:instrText>
            </w:r>
            <w:r>
              <w:rPr>
                <w:noProof/>
                <w:webHidden/>
              </w:rPr>
            </w:r>
            <w:r>
              <w:rPr>
                <w:noProof/>
                <w:webHidden/>
              </w:rPr>
              <w:fldChar w:fldCharType="separate"/>
            </w:r>
            <w:r w:rsidR="003B72F6">
              <w:rPr>
                <w:noProof/>
                <w:webHidden/>
              </w:rPr>
              <w:t>461</w:t>
            </w:r>
            <w:r>
              <w:rPr>
                <w:noProof/>
                <w:webHidden/>
              </w:rPr>
              <w:fldChar w:fldCharType="end"/>
            </w:r>
          </w:hyperlink>
        </w:p>
        <w:p w14:paraId="4FAF5A8A" w14:textId="17DD0B17" w:rsidR="005A58C7" w:rsidRDefault="005A58C7">
          <w:pPr>
            <w:pStyle w:val="T1"/>
            <w:rPr>
              <w:rFonts w:eastAsiaTheme="minorEastAsia" w:cstheme="minorBidi"/>
              <w:b w:val="0"/>
              <w:bCs w:val="0"/>
              <w:noProof/>
              <w:kern w:val="2"/>
              <w:sz w:val="24"/>
              <w:szCs w:val="24"/>
              <w14:ligatures w14:val="standardContextual"/>
            </w:rPr>
          </w:pPr>
          <w:hyperlink w:anchor="_Toc192855243" w:history="1">
            <w:r w:rsidRPr="002A2BE0">
              <w:rPr>
                <w:rStyle w:val="Kpr"/>
                <w:rFonts w:eastAsiaTheme="majorEastAsia"/>
                <w:noProof/>
              </w:rPr>
              <w:t>Atatürk’ün</w:t>
            </w:r>
            <w:r w:rsidRPr="002A2BE0">
              <w:rPr>
                <w:rStyle w:val="Kpr"/>
                <w:rFonts w:eastAsiaTheme="majorEastAsia"/>
                <w:noProof/>
                <w:spacing w:val="-4"/>
              </w:rPr>
              <w:t xml:space="preserve"> </w:t>
            </w:r>
            <w:r w:rsidRPr="002A2BE0">
              <w:rPr>
                <w:rStyle w:val="Kpr"/>
                <w:rFonts w:eastAsiaTheme="majorEastAsia"/>
                <w:noProof/>
              </w:rPr>
              <w:t>Elazığ</w:t>
            </w:r>
            <w:r w:rsidRPr="002A2BE0">
              <w:rPr>
                <w:rStyle w:val="Kpr"/>
                <w:rFonts w:eastAsiaTheme="majorEastAsia"/>
                <w:noProof/>
                <w:spacing w:val="-2"/>
              </w:rPr>
              <w:t xml:space="preserve"> </w:t>
            </w:r>
            <w:r w:rsidRPr="002A2BE0">
              <w:rPr>
                <w:rStyle w:val="Kpr"/>
                <w:rFonts w:eastAsiaTheme="majorEastAsia"/>
                <w:noProof/>
              </w:rPr>
              <w:t>Gezisinin</w:t>
            </w:r>
            <w:r w:rsidRPr="002A2BE0">
              <w:rPr>
                <w:rStyle w:val="Kpr"/>
                <w:rFonts w:eastAsiaTheme="majorEastAsia"/>
                <w:noProof/>
                <w:spacing w:val="-1"/>
              </w:rPr>
              <w:t xml:space="preserve"> </w:t>
            </w:r>
            <w:r w:rsidRPr="002A2BE0">
              <w:rPr>
                <w:rStyle w:val="Kpr"/>
                <w:rFonts w:eastAsiaTheme="majorEastAsia"/>
                <w:noProof/>
              </w:rPr>
              <w:t>Türk</w:t>
            </w:r>
            <w:r w:rsidRPr="002A2BE0">
              <w:rPr>
                <w:rStyle w:val="Kpr"/>
                <w:rFonts w:eastAsiaTheme="majorEastAsia"/>
                <w:noProof/>
                <w:spacing w:val="-1"/>
              </w:rPr>
              <w:t xml:space="preserve"> </w:t>
            </w:r>
            <w:r w:rsidRPr="002A2BE0">
              <w:rPr>
                <w:rStyle w:val="Kpr"/>
                <w:rFonts w:eastAsiaTheme="majorEastAsia"/>
                <w:noProof/>
              </w:rPr>
              <w:t>Basınına</w:t>
            </w:r>
            <w:r w:rsidRPr="002A2BE0">
              <w:rPr>
                <w:rStyle w:val="Kpr"/>
                <w:rFonts w:eastAsiaTheme="majorEastAsia"/>
                <w:noProof/>
                <w:spacing w:val="-3"/>
              </w:rPr>
              <w:t xml:space="preserve"> </w:t>
            </w:r>
            <w:r w:rsidRPr="002A2BE0">
              <w:rPr>
                <w:rStyle w:val="Kpr"/>
                <w:rFonts w:eastAsiaTheme="majorEastAsia"/>
                <w:noProof/>
              </w:rPr>
              <w:t>Yansıması</w:t>
            </w:r>
            <w:r w:rsidRPr="002A2BE0">
              <w:rPr>
                <w:rStyle w:val="Kpr"/>
                <w:rFonts w:eastAsiaTheme="majorEastAsia"/>
                <w:noProof/>
                <w:spacing w:val="-2"/>
              </w:rPr>
              <w:t xml:space="preserve"> (1937)</w:t>
            </w:r>
            <w:r>
              <w:rPr>
                <w:noProof/>
                <w:webHidden/>
              </w:rPr>
              <w:tab/>
            </w:r>
            <w:r>
              <w:rPr>
                <w:noProof/>
                <w:webHidden/>
              </w:rPr>
              <w:fldChar w:fldCharType="begin"/>
            </w:r>
            <w:r>
              <w:rPr>
                <w:noProof/>
                <w:webHidden/>
              </w:rPr>
              <w:instrText xml:space="preserve"> PAGEREF _Toc192855243 \h </w:instrText>
            </w:r>
            <w:r>
              <w:rPr>
                <w:noProof/>
                <w:webHidden/>
              </w:rPr>
            </w:r>
            <w:r>
              <w:rPr>
                <w:noProof/>
                <w:webHidden/>
              </w:rPr>
              <w:fldChar w:fldCharType="separate"/>
            </w:r>
            <w:r w:rsidR="003B72F6">
              <w:rPr>
                <w:noProof/>
                <w:webHidden/>
              </w:rPr>
              <w:t>462</w:t>
            </w:r>
            <w:r>
              <w:rPr>
                <w:noProof/>
                <w:webHidden/>
              </w:rPr>
              <w:fldChar w:fldCharType="end"/>
            </w:r>
          </w:hyperlink>
        </w:p>
        <w:p w14:paraId="1531418B" w14:textId="7C11A48F" w:rsidR="005A58C7" w:rsidRDefault="005A58C7">
          <w:pPr>
            <w:pStyle w:val="T1"/>
            <w:rPr>
              <w:rFonts w:eastAsiaTheme="minorEastAsia" w:cstheme="minorBidi"/>
              <w:b w:val="0"/>
              <w:bCs w:val="0"/>
              <w:noProof/>
              <w:kern w:val="2"/>
              <w:sz w:val="24"/>
              <w:szCs w:val="24"/>
              <w14:ligatures w14:val="standardContextual"/>
            </w:rPr>
          </w:pPr>
          <w:hyperlink w:anchor="_Toc192855244" w:history="1">
            <w:r w:rsidRPr="002A2BE0">
              <w:rPr>
                <w:rStyle w:val="Kpr"/>
                <w:rFonts w:eastAsiaTheme="majorEastAsia"/>
                <w:noProof/>
              </w:rPr>
              <w:t>Romanlardan Öykülere Dedektifin İzinde: Celil Oker’in Öykülerindeki Dedektif Remzi Ünal’ın Temsiline Bir Bakış</w:t>
            </w:r>
            <w:r>
              <w:rPr>
                <w:noProof/>
                <w:webHidden/>
              </w:rPr>
              <w:tab/>
            </w:r>
            <w:r>
              <w:rPr>
                <w:noProof/>
                <w:webHidden/>
              </w:rPr>
              <w:fldChar w:fldCharType="begin"/>
            </w:r>
            <w:r>
              <w:rPr>
                <w:noProof/>
                <w:webHidden/>
              </w:rPr>
              <w:instrText xml:space="preserve"> PAGEREF _Toc192855244 \h </w:instrText>
            </w:r>
            <w:r>
              <w:rPr>
                <w:noProof/>
                <w:webHidden/>
              </w:rPr>
            </w:r>
            <w:r>
              <w:rPr>
                <w:noProof/>
                <w:webHidden/>
              </w:rPr>
              <w:fldChar w:fldCharType="separate"/>
            </w:r>
            <w:r w:rsidR="003B72F6">
              <w:rPr>
                <w:noProof/>
                <w:webHidden/>
              </w:rPr>
              <w:t>463</w:t>
            </w:r>
            <w:r>
              <w:rPr>
                <w:noProof/>
                <w:webHidden/>
              </w:rPr>
              <w:fldChar w:fldCharType="end"/>
            </w:r>
          </w:hyperlink>
        </w:p>
        <w:p w14:paraId="1DAC2A12" w14:textId="5F0A2196" w:rsidR="005A58C7" w:rsidRDefault="005A58C7">
          <w:pPr>
            <w:pStyle w:val="T1"/>
            <w:rPr>
              <w:rFonts w:eastAsiaTheme="minorEastAsia" w:cstheme="minorBidi"/>
              <w:b w:val="0"/>
              <w:bCs w:val="0"/>
              <w:noProof/>
              <w:kern w:val="2"/>
              <w:sz w:val="24"/>
              <w:szCs w:val="24"/>
              <w14:ligatures w14:val="standardContextual"/>
            </w:rPr>
          </w:pPr>
          <w:hyperlink w:anchor="_Toc192855245" w:history="1">
            <w:r w:rsidRPr="002A2BE0">
              <w:rPr>
                <w:rStyle w:val="Kpr"/>
                <w:rFonts w:eastAsiaTheme="majorEastAsia"/>
                <w:noProof/>
              </w:rPr>
              <w:t>Bir Ahilik Sistemi Olarak Otantik Öğrenmenin Matematik Öğretim Sürecinde Kullanımına İlişkin Öğretmen ve Öğrenci Görüşleri</w:t>
            </w:r>
            <w:r w:rsidRPr="002A2BE0">
              <w:rPr>
                <w:rStyle w:val="Kpr"/>
                <w:rFonts w:eastAsiaTheme="majorEastAsia"/>
                <w:noProof/>
                <w:vertAlign w:val="superscript"/>
              </w:rPr>
              <w:t>*</w:t>
            </w:r>
            <w:r>
              <w:rPr>
                <w:noProof/>
                <w:webHidden/>
              </w:rPr>
              <w:tab/>
            </w:r>
            <w:r>
              <w:rPr>
                <w:noProof/>
                <w:webHidden/>
              </w:rPr>
              <w:fldChar w:fldCharType="begin"/>
            </w:r>
            <w:r>
              <w:rPr>
                <w:noProof/>
                <w:webHidden/>
              </w:rPr>
              <w:instrText xml:space="preserve"> PAGEREF _Toc192855245 \h </w:instrText>
            </w:r>
            <w:r>
              <w:rPr>
                <w:noProof/>
                <w:webHidden/>
              </w:rPr>
            </w:r>
            <w:r>
              <w:rPr>
                <w:noProof/>
                <w:webHidden/>
              </w:rPr>
              <w:fldChar w:fldCharType="separate"/>
            </w:r>
            <w:r w:rsidR="003B72F6">
              <w:rPr>
                <w:noProof/>
                <w:webHidden/>
              </w:rPr>
              <w:t>464</w:t>
            </w:r>
            <w:r>
              <w:rPr>
                <w:noProof/>
                <w:webHidden/>
              </w:rPr>
              <w:fldChar w:fldCharType="end"/>
            </w:r>
          </w:hyperlink>
        </w:p>
        <w:p w14:paraId="70D6AD55" w14:textId="6F13CBE6" w:rsidR="005A58C7" w:rsidRDefault="005A58C7">
          <w:pPr>
            <w:pStyle w:val="T1"/>
            <w:rPr>
              <w:rFonts w:eastAsiaTheme="minorEastAsia" w:cstheme="minorBidi"/>
              <w:b w:val="0"/>
              <w:bCs w:val="0"/>
              <w:noProof/>
              <w:kern w:val="2"/>
              <w:sz w:val="24"/>
              <w:szCs w:val="24"/>
              <w14:ligatures w14:val="standardContextual"/>
            </w:rPr>
          </w:pPr>
          <w:hyperlink w:anchor="_Toc192855246" w:history="1">
            <w:r w:rsidRPr="002A2BE0">
              <w:rPr>
                <w:rStyle w:val="Kpr"/>
                <w:rFonts w:eastAsiaTheme="majorEastAsia"/>
                <w:noProof/>
              </w:rPr>
              <w:t>Engellilik</w:t>
            </w:r>
            <w:r w:rsidRPr="002A2BE0">
              <w:rPr>
                <w:rStyle w:val="Kpr"/>
                <w:rFonts w:eastAsiaTheme="majorEastAsia"/>
                <w:noProof/>
                <w:spacing w:val="-10"/>
              </w:rPr>
              <w:t xml:space="preserve"> </w:t>
            </w:r>
            <w:r w:rsidRPr="002A2BE0">
              <w:rPr>
                <w:rStyle w:val="Kpr"/>
                <w:rFonts w:eastAsiaTheme="majorEastAsia"/>
                <w:noProof/>
              </w:rPr>
              <w:t>Kavramının</w:t>
            </w:r>
            <w:r w:rsidRPr="002A2BE0">
              <w:rPr>
                <w:rStyle w:val="Kpr"/>
                <w:rFonts w:eastAsiaTheme="majorEastAsia"/>
                <w:noProof/>
                <w:spacing w:val="-5"/>
              </w:rPr>
              <w:t xml:space="preserve"> </w:t>
            </w:r>
            <w:r w:rsidRPr="002A2BE0">
              <w:rPr>
                <w:rStyle w:val="Kpr"/>
                <w:rFonts w:eastAsiaTheme="majorEastAsia"/>
                <w:noProof/>
              </w:rPr>
              <w:t>Gelişimi</w:t>
            </w:r>
            <w:r w:rsidRPr="002A2BE0">
              <w:rPr>
                <w:rStyle w:val="Kpr"/>
                <w:rFonts w:eastAsiaTheme="majorEastAsia"/>
                <w:noProof/>
                <w:spacing w:val="-5"/>
              </w:rPr>
              <w:t xml:space="preserve"> </w:t>
            </w:r>
            <w:r w:rsidRPr="002A2BE0">
              <w:rPr>
                <w:rStyle w:val="Kpr"/>
                <w:rFonts w:eastAsiaTheme="majorEastAsia"/>
                <w:noProof/>
              </w:rPr>
              <w:t>ve</w:t>
            </w:r>
            <w:r w:rsidRPr="002A2BE0">
              <w:rPr>
                <w:rStyle w:val="Kpr"/>
                <w:rFonts w:eastAsiaTheme="majorEastAsia"/>
                <w:noProof/>
                <w:spacing w:val="-9"/>
              </w:rPr>
              <w:t xml:space="preserve"> </w:t>
            </w:r>
            <w:r w:rsidRPr="002A2BE0">
              <w:rPr>
                <w:rStyle w:val="Kpr"/>
                <w:rFonts w:eastAsiaTheme="majorEastAsia"/>
                <w:noProof/>
              </w:rPr>
              <w:t>Toplumsal</w:t>
            </w:r>
            <w:r w:rsidRPr="002A2BE0">
              <w:rPr>
                <w:rStyle w:val="Kpr"/>
                <w:rFonts w:eastAsiaTheme="majorEastAsia"/>
                <w:noProof/>
                <w:spacing w:val="-15"/>
              </w:rPr>
              <w:t xml:space="preserve"> </w:t>
            </w:r>
            <w:r w:rsidRPr="002A2BE0">
              <w:rPr>
                <w:rStyle w:val="Kpr"/>
                <w:rFonts w:eastAsiaTheme="majorEastAsia"/>
                <w:noProof/>
              </w:rPr>
              <w:t>Açıdan</w:t>
            </w:r>
            <w:r w:rsidRPr="002A2BE0">
              <w:rPr>
                <w:rStyle w:val="Kpr"/>
                <w:rFonts w:eastAsiaTheme="majorEastAsia"/>
                <w:noProof/>
                <w:spacing w:val="-5"/>
              </w:rPr>
              <w:t xml:space="preserve"> </w:t>
            </w:r>
            <w:r w:rsidRPr="002A2BE0">
              <w:rPr>
                <w:rStyle w:val="Kpr"/>
                <w:rFonts w:eastAsiaTheme="majorEastAsia"/>
                <w:noProof/>
              </w:rPr>
              <w:t>Dezavantajlı</w:t>
            </w:r>
            <w:r w:rsidRPr="002A2BE0">
              <w:rPr>
                <w:rStyle w:val="Kpr"/>
                <w:rFonts w:eastAsiaTheme="majorEastAsia"/>
                <w:noProof/>
                <w:spacing w:val="-5"/>
              </w:rPr>
              <w:t xml:space="preserve"> </w:t>
            </w:r>
            <w:r w:rsidRPr="002A2BE0">
              <w:rPr>
                <w:rStyle w:val="Kpr"/>
                <w:rFonts w:eastAsiaTheme="majorEastAsia"/>
                <w:noProof/>
              </w:rPr>
              <w:t>Görülmesi</w:t>
            </w:r>
            <w:r w:rsidRPr="002A2BE0">
              <w:rPr>
                <w:rStyle w:val="Kpr"/>
                <w:rFonts w:eastAsiaTheme="majorEastAsia"/>
                <w:noProof/>
                <w:spacing w:val="-5"/>
              </w:rPr>
              <w:t xml:space="preserve"> </w:t>
            </w:r>
            <w:r w:rsidRPr="002A2BE0">
              <w:rPr>
                <w:rStyle w:val="Kpr"/>
                <w:rFonts w:eastAsiaTheme="majorEastAsia"/>
                <w:noProof/>
                <w:spacing w:val="-2"/>
              </w:rPr>
              <w:t>Problemi</w:t>
            </w:r>
            <w:r>
              <w:rPr>
                <w:noProof/>
                <w:webHidden/>
              </w:rPr>
              <w:tab/>
            </w:r>
            <w:r>
              <w:rPr>
                <w:noProof/>
                <w:webHidden/>
              </w:rPr>
              <w:fldChar w:fldCharType="begin"/>
            </w:r>
            <w:r>
              <w:rPr>
                <w:noProof/>
                <w:webHidden/>
              </w:rPr>
              <w:instrText xml:space="preserve"> PAGEREF _Toc192855246 \h </w:instrText>
            </w:r>
            <w:r>
              <w:rPr>
                <w:noProof/>
                <w:webHidden/>
              </w:rPr>
            </w:r>
            <w:r>
              <w:rPr>
                <w:noProof/>
                <w:webHidden/>
              </w:rPr>
              <w:fldChar w:fldCharType="separate"/>
            </w:r>
            <w:r w:rsidR="003B72F6">
              <w:rPr>
                <w:noProof/>
                <w:webHidden/>
              </w:rPr>
              <w:t>465</w:t>
            </w:r>
            <w:r>
              <w:rPr>
                <w:noProof/>
                <w:webHidden/>
              </w:rPr>
              <w:fldChar w:fldCharType="end"/>
            </w:r>
          </w:hyperlink>
        </w:p>
        <w:p w14:paraId="76C489F1" w14:textId="4F6D22CB" w:rsidR="005A58C7" w:rsidRDefault="005A58C7">
          <w:pPr>
            <w:pStyle w:val="T1"/>
            <w:rPr>
              <w:rFonts w:eastAsiaTheme="minorEastAsia" w:cstheme="minorBidi"/>
              <w:b w:val="0"/>
              <w:bCs w:val="0"/>
              <w:noProof/>
              <w:kern w:val="2"/>
              <w:sz w:val="24"/>
              <w:szCs w:val="24"/>
              <w14:ligatures w14:val="standardContextual"/>
            </w:rPr>
          </w:pPr>
          <w:hyperlink w:anchor="_Toc192855247" w:history="1">
            <w:r w:rsidRPr="002A2BE0">
              <w:rPr>
                <w:rStyle w:val="Kpr"/>
                <w:rFonts w:eastAsiaTheme="majorEastAsia"/>
                <w:noProof/>
              </w:rPr>
              <w:t>Eğitimde</w:t>
            </w:r>
            <w:r w:rsidRPr="002A2BE0">
              <w:rPr>
                <w:rStyle w:val="Kpr"/>
                <w:rFonts w:eastAsiaTheme="majorEastAsia"/>
                <w:noProof/>
                <w:spacing w:val="-3"/>
              </w:rPr>
              <w:t xml:space="preserve"> </w:t>
            </w:r>
            <w:r w:rsidRPr="002A2BE0">
              <w:rPr>
                <w:rStyle w:val="Kpr"/>
                <w:rFonts w:eastAsiaTheme="majorEastAsia"/>
                <w:noProof/>
              </w:rPr>
              <w:t>Erişilebilirliğin</w:t>
            </w:r>
            <w:r w:rsidRPr="002A2BE0">
              <w:rPr>
                <w:rStyle w:val="Kpr"/>
                <w:rFonts w:eastAsiaTheme="majorEastAsia"/>
                <w:noProof/>
                <w:spacing w:val="-2"/>
              </w:rPr>
              <w:t xml:space="preserve"> Artırılması</w:t>
            </w:r>
            <w:r>
              <w:rPr>
                <w:noProof/>
                <w:webHidden/>
              </w:rPr>
              <w:tab/>
            </w:r>
            <w:r>
              <w:rPr>
                <w:noProof/>
                <w:webHidden/>
              </w:rPr>
              <w:fldChar w:fldCharType="begin"/>
            </w:r>
            <w:r>
              <w:rPr>
                <w:noProof/>
                <w:webHidden/>
              </w:rPr>
              <w:instrText xml:space="preserve"> PAGEREF _Toc192855247 \h </w:instrText>
            </w:r>
            <w:r>
              <w:rPr>
                <w:noProof/>
                <w:webHidden/>
              </w:rPr>
            </w:r>
            <w:r>
              <w:rPr>
                <w:noProof/>
                <w:webHidden/>
              </w:rPr>
              <w:fldChar w:fldCharType="separate"/>
            </w:r>
            <w:r w:rsidR="003B72F6">
              <w:rPr>
                <w:noProof/>
                <w:webHidden/>
              </w:rPr>
              <w:t>473</w:t>
            </w:r>
            <w:r>
              <w:rPr>
                <w:noProof/>
                <w:webHidden/>
              </w:rPr>
              <w:fldChar w:fldCharType="end"/>
            </w:r>
          </w:hyperlink>
        </w:p>
        <w:p w14:paraId="6CECCA53" w14:textId="35E84C60" w:rsidR="005A58C7" w:rsidRDefault="005A58C7">
          <w:pPr>
            <w:pStyle w:val="T1"/>
            <w:rPr>
              <w:rFonts w:eastAsiaTheme="minorEastAsia" w:cstheme="minorBidi"/>
              <w:b w:val="0"/>
              <w:bCs w:val="0"/>
              <w:noProof/>
              <w:kern w:val="2"/>
              <w:sz w:val="24"/>
              <w:szCs w:val="24"/>
              <w14:ligatures w14:val="standardContextual"/>
            </w:rPr>
          </w:pPr>
          <w:hyperlink w:anchor="_Toc192855248" w:history="1">
            <w:r w:rsidRPr="002A2BE0">
              <w:rPr>
                <w:rStyle w:val="Kpr"/>
                <w:rFonts w:eastAsiaTheme="majorEastAsia"/>
                <w:noProof/>
              </w:rPr>
              <w:t>Engelli</w:t>
            </w:r>
            <w:r w:rsidRPr="002A2BE0">
              <w:rPr>
                <w:rStyle w:val="Kpr"/>
                <w:rFonts w:eastAsiaTheme="majorEastAsia"/>
                <w:noProof/>
                <w:spacing w:val="-4"/>
              </w:rPr>
              <w:t xml:space="preserve"> </w:t>
            </w:r>
            <w:r w:rsidRPr="002A2BE0">
              <w:rPr>
                <w:rStyle w:val="Kpr"/>
                <w:rFonts w:eastAsiaTheme="majorEastAsia"/>
                <w:noProof/>
              </w:rPr>
              <w:t>Bireyler</w:t>
            </w:r>
            <w:r w:rsidRPr="002A2BE0">
              <w:rPr>
                <w:rStyle w:val="Kpr"/>
                <w:rFonts w:eastAsiaTheme="majorEastAsia"/>
                <w:noProof/>
                <w:spacing w:val="-3"/>
              </w:rPr>
              <w:t xml:space="preserve"> </w:t>
            </w:r>
            <w:r w:rsidRPr="002A2BE0">
              <w:rPr>
                <w:rStyle w:val="Kpr"/>
                <w:rFonts w:eastAsiaTheme="majorEastAsia"/>
                <w:noProof/>
              </w:rPr>
              <w:t>İçin</w:t>
            </w:r>
            <w:r w:rsidRPr="002A2BE0">
              <w:rPr>
                <w:rStyle w:val="Kpr"/>
                <w:rFonts w:eastAsiaTheme="majorEastAsia"/>
                <w:noProof/>
                <w:spacing w:val="-2"/>
              </w:rPr>
              <w:t xml:space="preserve"> </w:t>
            </w:r>
            <w:r w:rsidRPr="002A2BE0">
              <w:rPr>
                <w:rStyle w:val="Kpr"/>
                <w:rFonts w:eastAsiaTheme="majorEastAsia"/>
                <w:noProof/>
              </w:rPr>
              <w:t>İstihdam</w:t>
            </w:r>
            <w:r w:rsidRPr="002A2BE0">
              <w:rPr>
                <w:rStyle w:val="Kpr"/>
                <w:rFonts w:eastAsiaTheme="majorEastAsia"/>
                <w:noProof/>
                <w:spacing w:val="-2"/>
              </w:rPr>
              <w:t xml:space="preserve"> </w:t>
            </w:r>
            <w:r w:rsidRPr="002A2BE0">
              <w:rPr>
                <w:rStyle w:val="Kpr"/>
                <w:rFonts w:eastAsiaTheme="majorEastAsia"/>
                <w:noProof/>
              </w:rPr>
              <w:t>Olanaklarının</w:t>
            </w:r>
            <w:r w:rsidRPr="002A2BE0">
              <w:rPr>
                <w:rStyle w:val="Kpr"/>
                <w:rFonts w:eastAsiaTheme="majorEastAsia"/>
                <w:noProof/>
                <w:spacing w:val="-1"/>
              </w:rPr>
              <w:t xml:space="preserve"> </w:t>
            </w:r>
            <w:r w:rsidRPr="002A2BE0">
              <w:rPr>
                <w:rStyle w:val="Kpr"/>
                <w:rFonts w:eastAsiaTheme="majorEastAsia"/>
                <w:noProof/>
                <w:spacing w:val="-2"/>
              </w:rPr>
              <w:t>Geliştirilmesi</w:t>
            </w:r>
            <w:r>
              <w:rPr>
                <w:noProof/>
                <w:webHidden/>
              </w:rPr>
              <w:tab/>
            </w:r>
            <w:r>
              <w:rPr>
                <w:noProof/>
                <w:webHidden/>
              </w:rPr>
              <w:fldChar w:fldCharType="begin"/>
            </w:r>
            <w:r>
              <w:rPr>
                <w:noProof/>
                <w:webHidden/>
              </w:rPr>
              <w:instrText xml:space="preserve"> PAGEREF _Toc192855248 \h </w:instrText>
            </w:r>
            <w:r>
              <w:rPr>
                <w:noProof/>
                <w:webHidden/>
              </w:rPr>
            </w:r>
            <w:r>
              <w:rPr>
                <w:noProof/>
                <w:webHidden/>
              </w:rPr>
              <w:fldChar w:fldCharType="separate"/>
            </w:r>
            <w:r w:rsidR="003B72F6">
              <w:rPr>
                <w:noProof/>
                <w:webHidden/>
              </w:rPr>
              <w:t>473</w:t>
            </w:r>
            <w:r>
              <w:rPr>
                <w:noProof/>
                <w:webHidden/>
              </w:rPr>
              <w:fldChar w:fldCharType="end"/>
            </w:r>
          </w:hyperlink>
        </w:p>
        <w:p w14:paraId="531AC205" w14:textId="06FBD014" w:rsidR="005A58C7" w:rsidRDefault="005A58C7">
          <w:pPr>
            <w:pStyle w:val="T1"/>
            <w:rPr>
              <w:rFonts w:eastAsiaTheme="minorEastAsia" w:cstheme="minorBidi"/>
              <w:b w:val="0"/>
              <w:bCs w:val="0"/>
              <w:noProof/>
              <w:kern w:val="2"/>
              <w:sz w:val="24"/>
              <w:szCs w:val="24"/>
              <w14:ligatures w14:val="standardContextual"/>
            </w:rPr>
          </w:pPr>
          <w:hyperlink w:anchor="_Toc192855249" w:history="1">
            <w:r w:rsidRPr="002A2BE0">
              <w:rPr>
                <w:rStyle w:val="Kpr"/>
                <w:rFonts w:eastAsiaTheme="majorEastAsia"/>
                <w:noProof/>
              </w:rPr>
              <w:t>Fiziksel</w:t>
            </w:r>
            <w:r w:rsidRPr="002A2BE0">
              <w:rPr>
                <w:rStyle w:val="Kpr"/>
                <w:rFonts w:eastAsiaTheme="majorEastAsia"/>
                <w:noProof/>
                <w:spacing w:val="-4"/>
              </w:rPr>
              <w:t xml:space="preserve"> </w:t>
            </w:r>
            <w:r w:rsidRPr="002A2BE0">
              <w:rPr>
                <w:rStyle w:val="Kpr"/>
                <w:rFonts w:eastAsiaTheme="majorEastAsia"/>
                <w:noProof/>
              </w:rPr>
              <w:t>ve</w:t>
            </w:r>
            <w:r w:rsidRPr="002A2BE0">
              <w:rPr>
                <w:rStyle w:val="Kpr"/>
                <w:rFonts w:eastAsiaTheme="majorEastAsia"/>
                <w:noProof/>
                <w:spacing w:val="-3"/>
              </w:rPr>
              <w:t xml:space="preserve"> </w:t>
            </w:r>
            <w:r w:rsidRPr="002A2BE0">
              <w:rPr>
                <w:rStyle w:val="Kpr"/>
                <w:rFonts w:eastAsiaTheme="majorEastAsia"/>
                <w:noProof/>
              </w:rPr>
              <w:t>Dijital</w:t>
            </w:r>
            <w:r w:rsidRPr="002A2BE0">
              <w:rPr>
                <w:rStyle w:val="Kpr"/>
                <w:rFonts w:eastAsiaTheme="majorEastAsia"/>
                <w:noProof/>
                <w:spacing w:val="-2"/>
              </w:rPr>
              <w:t xml:space="preserve"> </w:t>
            </w:r>
            <w:r w:rsidRPr="002A2BE0">
              <w:rPr>
                <w:rStyle w:val="Kpr"/>
                <w:rFonts w:eastAsiaTheme="majorEastAsia"/>
                <w:noProof/>
              </w:rPr>
              <w:t>Erişilebilirlik</w:t>
            </w:r>
            <w:r w:rsidRPr="002A2BE0">
              <w:rPr>
                <w:rStyle w:val="Kpr"/>
                <w:rFonts w:eastAsiaTheme="majorEastAsia"/>
                <w:noProof/>
                <w:spacing w:val="-2"/>
              </w:rPr>
              <w:t xml:space="preserve"> </w:t>
            </w:r>
            <w:r w:rsidRPr="002A2BE0">
              <w:rPr>
                <w:rStyle w:val="Kpr"/>
                <w:rFonts w:eastAsiaTheme="majorEastAsia"/>
                <w:noProof/>
              </w:rPr>
              <w:t>Standartlarının</w:t>
            </w:r>
            <w:r w:rsidRPr="002A2BE0">
              <w:rPr>
                <w:rStyle w:val="Kpr"/>
                <w:rFonts w:eastAsiaTheme="majorEastAsia"/>
                <w:noProof/>
                <w:spacing w:val="-1"/>
              </w:rPr>
              <w:t xml:space="preserve"> </w:t>
            </w:r>
            <w:r w:rsidRPr="002A2BE0">
              <w:rPr>
                <w:rStyle w:val="Kpr"/>
                <w:rFonts w:eastAsiaTheme="majorEastAsia"/>
                <w:noProof/>
                <w:spacing w:val="-2"/>
              </w:rPr>
              <w:t>Güçlendirilmesi</w:t>
            </w:r>
            <w:r>
              <w:rPr>
                <w:noProof/>
                <w:webHidden/>
              </w:rPr>
              <w:tab/>
            </w:r>
            <w:r>
              <w:rPr>
                <w:noProof/>
                <w:webHidden/>
              </w:rPr>
              <w:fldChar w:fldCharType="begin"/>
            </w:r>
            <w:r>
              <w:rPr>
                <w:noProof/>
                <w:webHidden/>
              </w:rPr>
              <w:instrText xml:space="preserve"> PAGEREF _Toc192855249 \h </w:instrText>
            </w:r>
            <w:r>
              <w:rPr>
                <w:noProof/>
                <w:webHidden/>
              </w:rPr>
            </w:r>
            <w:r>
              <w:rPr>
                <w:noProof/>
                <w:webHidden/>
              </w:rPr>
              <w:fldChar w:fldCharType="separate"/>
            </w:r>
            <w:r w:rsidR="003B72F6">
              <w:rPr>
                <w:noProof/>
                <w:webHidden/>
              </w:rPr>
              <w:t>473</w:t>
            </w:r>
            <w:r>
              <w:rPr>
                <w:noProof/>
                <w:webHidden/>
              </w:rPr>
              <w:fldChar w:fldCharType="end"/>
            </w:r>
          </w:hyperlink>
        </w:p>
        <w:p w14:paraId="44921B00" w14:textId="583628B4" w:rsidR="005A58C7" w:rsidRDefault="005A58C7">
          <w:pPr>
            <w:pStyle w:val="T1"/>
            <w:rPr>
              <w:rFonts w:eastAsiaTheme="minorEastAsia" w:cstheme="minorBidi"/>
              <w:b w:val="0"/>
              <w:bCs w:val="0"/>
              <w:noProof/>
              <w:kern w:val="2"/>
              <w:sz w:val="24"/>
              <w:szCs w:val="24"/>
              <w14:ligatures w14:val="standardContextual"/>
            </w:rPr>
          </w:pPr>
          <w:hyperlink w:anchor="_Toc192855250" w:history="1">
            <w:r w:rsidRPr="002A2BE0">
              <w:rPr>
                <w:rStyle w:val="Kpr"/>
                <w:rFonts w:eastAsiaTheme="majorEastAsia"/>
                <w:noProof/>
              </w:rPr>
              <w:t>Toplumsal</w:t>
            </w:r>
            <w:r w:rsidRPr="002A2BE0">
              <w:rPr>
                <w:rStyle w:val="Kpr"/>
                <w:rFonts w:eastAsiaTheme="majorEastAsia"/>
                <w:noProof/>
                <w:spacing w:val="-2"/>
              </w:rPr>
              <w:t xml:space="preserve"> </w:t>
            </w:r>
            <w:r w:rsidRPr="002A2BE0">
              <w:rPr>
                <w:rStyle w:val="Kpr"/>
                <w:rFonts w:eastAsiaTheme="majorEastAsia"/>
                <w:noProof/>
              </w:rPr>
              <w:t>Farkındalığın</w:t>
            </w:r>
            <w:r w:rsidRPr="002A2BE0">
              <w:rPr>
                <w:rStyle w:val="Kpr"/>
                <w:rFonts w:eastAsiaTheme="majorEastAsia"/>
                <w:noProof/>
                <w:spacing w:val="-2"/>
              </w:rPr>
              <w:t xml:space="preserve"> Artırılması</w:t>
            </w:r>
            <w:r>
              <w:rPr>
                <w:noProof/>
                <w:webHidden/>
              </w:rPr>
              <w:tab/>
            </w:r>
            <w:r>
              <w:rPr>
                <w:noProof/>
                <w:webHidden/>
              </w:rPr>
              <w:fldChar w:fldCharType="begin"/>
            </w:r>
            <w:r>
              <w:rPr>
                <w:noProof/>
                <w:webHidden/>
              </w:rPr>
              <w:instrText xml:space="preserve"> PAGEREF _Toc192855250 \h </w:instrText>
            </w:r>
            <w:r>
              <w:rPr>
                <w:noProof/>
                <w:webHidden/>
              </w:rPr>
            </w:r>
            <w:r>
              <w:rPr>
                <w:noProof/>
                <w:webHidden/>
              </w:rPr>
              <w:fldChar w:fldCharType="separate"/>
            </w:r>
            <w:r w:rsidR="003B72F6">
              <w:rPr>
                <w:noProof/>
                <w:webHidden/>
              </w:rPr>
              <w:t>473</w:t>
            </w:r>
            <w:r>
              <w:rPr>
                <w:noProof/>
                <w:webHidden/>
              </w:rPr>
              <w:fldChar w:fldCharType="end"/>
            </w:r>
          </w:hyperlink>
        </w:p>
        <w:p w14:paraId="34229908" w14:textId="79C14306" w:rsidR="005A58C7" w:rsidRDefault="005A58C7">
          <w:pPr>
            <w:pStyle w:val="T1"/>
            <w:rPr>
              <w:rFonts w:eastAsiaTheme="minorEastAsia" w:cstheme="minorBidi"/>
              <w:b w:val="0"/>
              <w:bCs w:val="0"/>
              <w:noProof/>
              <w:kern w:val="2"/>
              <w:sz w:val="24"/>
              <w:szCs w:val="24"/>
              <w14:ligatures w14:val="standardContextual"/>
            </w:rPr>
          </w:pPr>
          <w:hyperlink w:anchor="_Toc192855251" w:history="1">
            <w:r w:rsidRPr="002A2BE0">
              <w:rPr>
                <w:rStyle w:val="Kpr"/>
                <w:rFonts w:eastAsiaTheme="majorEastAsia"/>
                <w:noProof/>
              </w:rPr>
              <w:t>Annelik, Gönüllü Olabilir Mi?</w:t>
            </w:r>
            <w:r>
              <w:rPr>
                <w:noProof/>
                <w:webHidden/>
              </w:rPr>
              <w:tab/>
            </w:r>
            <w:r>
              <w:rPr>
                <w:noProof/>
                <w:webHidden/>
              </w:rPr>
              <w:fldChar w:fldCharType="begin"/>
            </w:r>
            <w:r>
              <w:rPr>
                <w:noProof/>
                <w:webHidden/>
              </w:rPr>
              <w:instrText xml:space="preserve"> PAGEREF _Toc192855251 \h </w:instrText>
            </w:r>
            <w:r>
              <w:rPr>
                <w:noProof/>
                <w:webHidden/>
              </w:rPr>
            </w:r>
            <w:r>
              <w:rPr>
                <w:noProof/>
                <w:webHidden/>
              </w:rPr>
              <w:fldChar w:fldCharType="separate"/>
            </w:r>
            <w:r w:rsidR="003B72F6">
              <w:rPr>
                <w:noProof/>
                <w:webHidden/>
              </w:rPr>
              <w:t>476</w:t>
            </w:r>
            <w:r>
              <w:rPr>
                <w:noProof/>
                <w:webHidden/>
              </w:rPr>
              <w:fldChar w:fldCharType="end"/>
            </w:r>
          </w:hyperlink>
        </w:p>
        <w:p w14:paraId="2E558D11" w14:textId="40812CCE" w:rsidR="005A58C7" w:rsidRDefault="005A58C7">
          <w:pPr>
            <w:pStyle w:val="T1"/>
            <w:rPr>
              <w:rFonts w:eastAsiaTheme="minorEastAsia" w:cstheme="minorBidi"/>
              <w:b w:val="0"/>
              <w:bCs w:val="0"/>
              <w:noProof/>
              <w:kern w:val="2"/>
              <w:sz w:val="24"/>
              <w:szCs w:val="24"/>
              <w14:ligatures w14:val="standardContextual"/>
            </w:rPr>
          </w:pPr>
          <w:hyperlink w:anchor="_Toc192855252" w:history="1">
            <w:r w:rsidRPr="002A2BE0">
              <w:rPr>
                <w:rStyle w:val="Kpr"/>
                <w:rFonts w:eastAsiaTheme="majorEastAsia"/>
                <w:noProof/>
              </w:rPr>
              <w:t>Can Motherhood Be Voluntary?</w:t>
            </w:r>
            <w:r>
              <w:rPr>
                <w:noProof/>
                <w:webHidden/>
              </w:rPr>
              <w:tab/>
            </w:r>
            <w:r>
              <w:rPr>
                <w:noProof/>
                <w:webHidden/>
              </w:rPr>
              <w:fldChar w:fldCharType="begin"/>
            </w:r>
            <w:r>
              <w:rPr>
                <w:noProof/>
                <w:webHidden/>
              </w:rPr>
              <w:instrText xml:space="preserve"> PAGEREF _Toc192855252 \h </w:instrText>
            </w:r>
            <w:r>
              <w:rPr>
                <w:noProof/>
                <w:webHidden/>
              </w:rPr>
            </w:r>
            <w:r>
              <w:rPr>
                <w:noProof/>
                <w:webHidden/>
              </w:rPr>
              <w:fldChar w:fldCharType="separate"/>
            </w:r>
            <w:r w:rsidR="003B72F6">
              <w:rPr>
                <w:noProof/>
                <w:webHidden/>
              </w:rPr>
              <w:t>476</w:t>
            </w:r>
            <w:r>
              <w:rPr>
                <w:noProof/>
                <w:webHidden/>
              </w:rPr>
              <w:fldChar w:fldCharType="end"/>
            </w:r>
          </w:hyperlink>
        </w:p>
        <w:p w14:paraId="231191C1" w14:textId="4C5A5860" w:rsidR="005A58C7" w:rsidRDefault="005A58C7">
          <w:pPr>
            <w:pStyle w:val="T1"/>
            <w:rPr>
              <w:rFonts w:eastAsiaTheme="minorEastAsia" w:cstheme="minorBidi"/>
              <w:b w:val="0"/>
              <w:bCs w:val="0"/>
              <w:noProof/>
              <w:kern w:val="2"/>
              <w:sz w:val="24"/>
              <w:szCs w:val="24"/>
              <w14:ligatures w14:val="standardContextual"/>
            </w:rPr>
          </w:pPr>
          <w:hyperlink w:anchor="_Toc192855253" w:history="1">
            <w:r w:rsidRPr="002A2BE0">
              <w:rPr>
                <w:rStyle w:val="Kpr"/>
                <w:rFonts w:eastAsiaTheme="majorEastAsia"/>
                <w:noProof/>
                <w:shd w:val="clear" w:color="auto" w:fill="FFFFFF"/>
              </w:rPr>
              <w:t>Çekingen Söylem ve Mücadeleleriyle Osmanlı Kadınları</w:t>
            </w:r>
            <w:r>
              <w:rPr>
                <w:noProof/>
                <w:webHidden/>
              </w:rPr>
              <w:tab/>
            </w:r>
            <w:r>
              <w:rPr>
                <w:noProof/>
                <w:webHidden/>
              </w:rPr>
              <w:fldChar w:fldCharType="begin"/>
            </w:r>
            <w:r>
              <w:rPr>
                <w:noProof/>
                <w:webHidden/>
              </w:rPr>
              <w:instrText xml:space="preserve"> PAGEREF _Toc192855253 \h </w:instrText>
            </w:r>
            <w:r>
              <w:rPr>
                <w:noProof/>
                <w:webHidden/>
              </w:rPr>
            </w:r>
            <w:r>
              <w:rPr>
                <w:noProof/>
                <w:webHidden/>
              </w:rPr>
              <w:fldChar w:fldCharType="separate"/>
            </w:r>
            <w:r w:rsidR="003B72F6">
              <w:rPr>
                <w:noProof/>
                <w:webHidden/>
              </w:rPr>
              <w:t>486</w:t>
            </w:r>
            <w:r>
              <w:rPr>
                <w:noProof/>
                <w:webHidden/>
              </w:rPr>
              <w:fldChar w:fldCharType="end"/>
            </w:r>
          </w:hyperlink>
        </w:p>
        <w:p w14:paraId="74116503" w14:textId="4DADF8B6" w:rsidR="005A58C7" w:rsidRDefault="005A58C7">
          <w:pPr>
            <w:pStyle w:val="T1"/>
            <w:rPr>
              <w:rFonts w:eastAsiaTheme="minorEastAsia" w:cstheme="minorBidi"/>
              <w:b w:val="0"/>
              <w:bCs w:val="0"/>
              <w:noProof/>
              <w:kern w:val="2"/>
              <w:sz w:val="24"/>
              <w:szCs w:val="24"/>
              <w14:ligatures w14:val="standardContextual"/>
            </w:rPr>
          </w:pPr>
          <w:hyperlink w:anchor="_Toc192855254" w:history="1">
            <w:r w:rsidRPr="002A2BE0">
              <w:rPr>
                <w:rStyle w:val="Kpr"/>
                <w:rFonts w:eastAsiaTheme="majorEastAsia"/>
                <w:noProof/>
              </w:rPr>
              <w:t>Ottoman Women with Their Shy Speech and Actions</w:t>
            </w:r>
            <w:r>
              <w:rPr>
                <w:noProof/>
                <w:webHidden/>
              </w:rPr>
              <w:tab/>
            </w:r>
            <w:r>
              <w:rPr>
                <w:noProof/>
                <w:webHidden/>
              </w:rPr>
              <w:fldChar w:fldCharType="begin"/>
            </w:r>
            <w:r>
              <w:rPr>
                <w:noProof/>
                <w:webHidden/>
              </w:rPr>
              <w:instrText xml:space="preserve"> PAGEREF _Toc192855254 \h </w:instrText>
            </w:r>
            <w:r>
              <w:rPr>
                <w:noProof/>
                <w:webHidden/>
              </w:rPr>
            </w:r>
            <w:r>
              <w:rPr>
                <w:noProof/>
                <w:webHidden/>
              </w:rPr>
              <w:fldChar w:fldCharType="separate"/>
            </w:r>
            <w:r w:rsidR="003B72F6">
              <w:rPr>
                <w:noProof/>
                <w:webHidden/>
              </w:rPr>
              <w:t>487</w:t>
            </w:r>
            <w:r>
              <w:rPr>
                <w:noProof/>
                <w:webHidden/>
              </w:rPr>
              <w:fldChar w:fldCharType="end"/>
            </w:r>
          </w:hyperlink>
        </w:p>
        <w:p w14:paraId="5A5D245E" w14:textId="63E619F9" w:rsidR="005A58C7" w:rsidRDefault="005A58C7">
          <w:pPr>
            <w:pStyle w:val="T1"/>
            <w:rPr>
              <w:rFonts w:eastAsiaTheme="minorEastAsia" w:cstheme="minorBidi"/>
              <w:b w:val="0"/>
              <w:bCs w:val="0"/>
              <w:noProof/>
              <w:kern w:val="2"/>
              <w:sz w:val="24"/>
              <w:szCs w:val="24"/>
              <w14:ligatures w14:val="standardContextual"/>
            </w:rPr>
          </w:pPr>
          <w:hyperlink w:anchor="_Toc192855255" w:history="1">
            <w:r w:rsidRPr="002A2BE0">
              <w:rPr>
                <w:rStyle w:val="Kpr"/>
                <w:rFonts w:eastAsiaTheme="majorEastAsia"/>
                <w:noProof/>
                <w:shd w:val="clear" w:color="auto" w:fill="FFFFFF"/>
              </w:rPr>
              <w:t>Profeminizm: Kapsamı ve Amacı</w:t>
            </w:r>
            <w:r>
              <w:rPr>
                <w:noProof/>
                <w:webHidden/>
              </w:rPr>
              <w:tab/>
            </w:r>
            <w:r>
              <w:rPr>
                <w:noProof/>
                <w:webHidden/>
              </w:rPr>
              <w:fldChar w:fldCharType="begin"/>
            </w:r>
            <w:r>
              <w:rPr>
                <w:noProof/>
                <w:webHidden/>
              </w:rPr>
              <w:instrText xml:space="preserve"> PAGEREF _Toc192855255 \h </w:instrText>
            </w:r>
            <w:r>
              <w:rPr>
                <w:noProof/>
                <w:webHidden/>
              </w:rPr>
            </w:r>
            <w:r>
              <w:rPr>
                <w:noProof/>
                <w:webHidden/>
              </w:rPr>
              <w:fldChar w:fldCharType="separate"/>
            </w:r>
            <w:r w:rsidR="003B72F6">
              <w:rPr>
                <w:noProof/>
                <w:webHidden/>
              </w:rPr>
              <w:t>488</w:t>
            </w:r>
            <w:r>
              <w:rPr>
                <w:noProof/>
                <w:webHidden/>
              </w:rPr>
              <w:fldChar w:fldCharType="end"/>
            </w:r>
          </w:hyperlink>
        </w:p>
        <w:p w14:paraId="424902CA" w14:textId="6B073A97" w:rsidR="005A58C7" w:rsidRDefault="005A58C7">
          <w:pPr>
            <w:pStyle w:val="T1"/>
            <w:rPr>
              <w:rFonts w:eastAsiaTheme="minorEastAsia" w:cstheme="minorBidi"/>
              <w:b w:val="0"/>
              <w:bCs w:val="0"/>
              <w:noProof/>
              <w:kern w:val="2"/>
              <w:sz w:val="24"/>
              <w:szCs w:val="24"/>
              <w14:ligatures w14:val="standardContextual"/>
            </w:rPr>
          </w:pPr>
          <w:hyperlink w:anchor="_Toc192855256" w:history="1">
            <w:r w:rsidRPr="002A2BE0">
              <w:rPr>
                <w:rStyle w:val="Kpr"/>
                <w:rFonts w:eastAsiaTheme="majorEastAsia"/>
                <w:noProof/>
              </w:rPr>
              <w:t>Profeminism: Its Scope and Purpose</w:t>
            </w:r>
            <w:r>
              <w:rPr>
                <w:noProof/>
                <w:webHidden/>
              </w:rPr>
              <w:tab/>
            </w:r>
            <w:r>
              <w:rPr>
                <w:noProof/>
                <w:webHidden/>
              </w:rPr>
              <w:fldChar w:fldCharType="begin"/>
            </w:r>
            <w:r>
              <w:rPr>
                <w:noProof/>
                <w:webHidden/>
              </w:rPr>
              <w:instrText xml:space="preserve"> PAGEREF _Toc192855256 \h </w:instrText>
            </w:r>
            <w:r>
              <w:rPr>
                <w:noProof/>
                <w:webHidden/>
              </w:rPr>
            </w:r>
            <w:r>
              <w:rPr>
                <w:noProof/>
                <w:webHidden/>
              </w:rPr>
              <w:fldChar w:fldCharType="separate"/>
            </w:r>
            <w:r w:rsidR="003B72F6">
              <w:rPr>
                <w:noProof/>
                <w:webHidden/>
              </w:rPr>
              <w:t>489</w:t>
            </w:r>
            <w:r>
              <w:rPr>
                <w:noProof/>
                <w:webHidden/>
              </w:rPr>
              <w:fldChar w:fldCharType="end"/>
            </w:r>
          </w:hyperlink>
        </w:p>
        <w:p w14:paraId="05FCD4A8" w14:textId="63F248CD" w:rsidR="005A58C7" w:rsidRDefault="005A58C7">
          <w:pPr>
            <w:pStyle w:val="T1"/>
            <w:rPr>
              <w:rFonts w:eastAsiaTheme="minorEastAsia" w:cstheme="minorBidi"/>
              <w:b w:val="0"/>
              <w:bCs w:val="0"/>
              <w:noProof/>
              <w:kern w:val="2"/>
              <w:sz w:val="24"/>
              <w:szCs w:val="24"/>
              <w14:ligatures w14:val="standardContextual"/>
            </w:rPr>
          </w:pPr>
          <w:hyperlink w:anchor="_Toc192855257" w:history="1">
            <w:r w:rsidRPr="002A2BE0">
              <w:rPr>
                <w:rStyle w:val="Kpr"/>
                <w:rFonts w:eastAsiaTheme="majorEastAsia"/>
                <w:noProof/>
              </w:rPr>
              <w:t>Başkanlık Sisteminde Seçimler; 2024 Başkanlık Seçimleri Ve Donald Trump’un Tekrar Başkan Seçilmesi</w:t>
            </w:r>
            <w:r>
              <w:rPr>
                <w:noProof/>
                <w:webHidden/>
              </w:rPr>
              <w:tab/>
            </w:r>
            <w:r>
              <w:rPr>
                <w:noProof/>
                <w:webHidden/>
              </w:rPr>
              <w:fldChar w:fldCharType="begin"/>
            </w:r>
            <w:r>
              <w:rPr>
                <w:noProof/>
                <w:webHidden/>
              </w:rPr>
              <w:instrText xml:space="preserve"> PAGEREF _Toc192855257 \h </w:instrText>
            </w:r>
            <w:r>
              <w:rPr>
                <w:noProof/>
                <w:webHidden/>
              </w:rPr>
            </w:r>
            <w:r>
              <w:rPr>
                <w:noProof/>
                <w:webHidden/>
              </w:rPr>
              <w:fldChar w:fldCharType="separate"/>
            </w:r>
            <w:r w:rsidR="003B72F6">
              <w:rPr>
                <w:noProof/>
                <w:webHidden/>
              </w:rPr>
              <w:t>490</w:t>
            </w:r>
            <w:r>
              <w:rPr>
                <w:noProof/>
                <w:webHidden/>
              </w:rPr>
              <w:fldChar w:fldCharType="end"/>
            </w:r>
          </w:hyperlink>
        </w:p>
        <w:p w14:paraId="4F76D944" w14:textId="06D808BD" w:rsidR="005A58C7" w:rsidRDefault="005A58C7">
          <w:pPr>
            <w:pStyle w:val="T1"/>
            <w:rPr>
              <w:rFonts w:eastAsiaTheme="minorEastAsia" w:cstheme="minorBidi"/>
              <w:b w:val="0"/>
              <w:bCs w:val="0"/>
              <w:noProof/>
              <w:kern w:val="2"/>
              <w:sz w:val="24"/>
              <w:szCs w:val="24"/>
              <w14:ligatures w14:val="standardContextual"/>
            </w:rPr>
          </w:pPr>
          <w:hyperlink w:anchor="_Toc192855258" w:history="1">
            <w:r w:rsidRPr="002A2BE0">
              <w:rPr>
                <w:rStyle w:val="Kpr"/>
                <w:rFonts w:eastAsiaTheme="majorEastAsia"/>
                <w:noProof/>
              </w:rPr>
              <w:t>Türk Dış Politikası’nın Yumuşak Güç Bağlamında Dönüşümü</w:t>
            </w:r>
            <w:r>
              <w:rPr>
                <w:noProof/>
                <w:webHidden/>
              </w:rPr>
              <w:tab/>
            </w:r>
            <w:r>
              <w:rPr>
                <w:noProof/>
                <w:webHidden/>
              </w:rPr>
              <w:fldChar w:fldCharType="begin"/>
            </w:r>
            <w:r>
              <w:rPr>
                <w:noProof/>
                <w:webHidden/>
              </w:rPr>
              <w:instrText xml:space="preserve"> PAGEREF _Toc192855258 \h </w:instrText>
            </w:r>
            <w:r>
              <w:rPr>
                <w:noProof/>
                <w:webHidden/>
              </w:rPr>
            </w:r>
            <w:r>
              <w:rPr>
                <w:noProof/>
                <w:webHidden/>
              </w:rPr>
              <w:fldChar w:fldCharType="separate"/>
            </w:r>
            <w:r w:rsidR="003B72F6">
              <w:rPr>
                <w:noProof/>
                <w:webHidden/>
              </w:rPr>
              <w:t>491</w:t>
            </w:r>
            <w:r>
              <w:rPr>
                <w:noProof/>
                <w:webHidden/>
              </w:rPr>
              <w:fldChar w:fldCharType="end"/>
            </w:r>
          </w:hyperlink>
        </w:p>
        <w:p w14:paraId="1D79F44D" w14:textId="681E06F5" w:rsidR="005A58C7" w:rsidRDefault="005A58C7">
          <w:pPr>
            <w:pStyle w:val="T1"/>
            <w:rPr>
              <w:rFonts w:eastAsiaTheme="minorEastAsia" w:cstheme="minorBidi"/>
              <w:b w:val="0"/>
              <w:bCs w:val="0"/>
              <w:noProof/>
              <w:kern w:val="2"/>
              <w:sz w:val="24"/>
              <w:szCs w:val="24"/>
              <w14:ligatures w14:val="standardContextual"/>
            </w:rPr>
          </w:pPr>
          <w:hyperlink w:anchor="_Toc192855259" w:history="1">
            <w:r w:rsidRPr="002A2BE0">
              <w:rPr>
                <w:rStyle w:val="Kpr"/>
                <w:rFonts w:eastAsiaTheme="majorEastAsia"/>
                <w:noProof/>
              </w:rPr>
              <w:t>Lüksemburg ve Helsinki Zirveleri</w:t>
            </w:r>
            <w:r>
              <w:rPr>
                <w:noProof/>
                <w:webHidden/>
              </w:rPr>
              <w:tab/>
            </w:r>
            <w:r>
              <w:rPr>
                <w:noProof/>
                <w:webHidden/>
              </w:rPr>
              <w:fldChar w:fldCharType="begin"/>
            </w:r>
            <w:r>
              <w:rPr>
                <w:noProof/>
                <w:webHidden/>
              </w:rPr>
              <w:instrText xml:space="preserve"> PAGEREF _Toc192855259 \h </w:instrText>
            </w:r>
            <w:r>
              <w:rPr>
                <w:noProof/>
                <w:webHidden/>
              </w:rPr>
            </w:r>
            <w:r>
              <w:rPr>
                <w:noProof/>
                <w:webHidden/>
              </w:rPr>
              <w:fldChar w:fldCharType="separate"/>
            </w:r>
            <w:r w:rsidR="003B72F6">
              <w:rPr>
                <w:noProof/>
                <w:webHidden/>
              </w:rPr>
              <w:t>492</w:t>
            </w:r>
            <w:r>
              <w:rPr>
                <w:noProof/>
                <w:webHidden/>
              </w:rPr>
              <w:fldChar w:fldCharType="end"/>
            </w:r>
          </w:hyperlink>
        </w:p>
        <w:p w14:paraId="6A9DE558" w14:textId="40A55B8E" w:rsidR="005A58C7" w:rsidRDefault="005A58C7">
          <w:pPr>
            <w:pStyle w:val="T1"/>
            <w:rPr>
              <w:rFonts w:eastAsiaTheme="minorEastAsia" w:cstheme="minorBidi"/>
              <w:b w:val="0"/>
              <w:bCs w:val="0"/>
              <w:noProof/>
              <w:kern w:val="2"/>
              <w:sz w:val="24"/>
              <w:szCs w:val="24"/>
              <w14:ligatures w14:val="standardContextual"/>
            </w:rPr>
          </w:pPr>
          <w:hyperlink w:anchor="_Toc192855260" w:history="1">
            <w:r w:rsidRPr="002A2BE0">
              <w:rPr>
                <w:rStyle w:val="Kpr"/>
                <w:rFonts w:eastAsiaTheme="majorEastAsia"/>
                <w:noProof/>
              </w:rPr>
              <w:t>Turning Points in Turkey-European Union Relations: The Luxembourg and Helsinki Summits</w:t>
            </w:r>
            <w:r>
              <w:rPr>
                <w:noProof/>
                <w:webHidden/>
              </w:rPr>
              <w:tab/>
            </w:r>
            <w:r>
              <w:rPr>
                <w:noProof/>
                <w:webHidden/>
              </w:rPr>
              <w:fldChar w:fldCharType="begin"/>
            </w:r>
            <w:r>
              <w:rPr>
                <w:noProof/>
                <w:webHidden/>
              </w:rPr>
              <w:instrText xml:space="preserve"> PAGEREF _Toc192855260 \h </w:instrText>
            </w:r>
            <w:r>
              <w:rPr>
                <w:noProof/>
                <w:webHidden/>
              </w:rPr>
            </w:r>
            <w:r>
              <w:rPr>
                <w:noProof/>
                <w:webHidden/>
              </w:rPr>
              <w:fldChar w:fldCharType="separate"/>
            </w:r>
            <w:r w:rsidR="003B72F6">
              <w:rPr>
                <w:noProof/>
                <w:webHidden/>
              </w:rPr>
              <w:t>493</w:t>
            </w:r>
            <w:r>
              <w:rPr>
                <w:noProof/>
                <w:webHidden/>
              </w:rPr>
              <w:fldChar w:fldCharType="end"/>
            </w:r>
          </w:hyperlink>
        </w:p>
        <w:p w14:paraId="467443B9" w14:textId="444CA1AC" w:rsidR="005A58C7" w:rsidRDefault="005A58C7">
          <w:pPr>
            <w:pStyle w:val="T1"/>
            <w:rPr>
              <w:rFonts w:eastAsiaTheme="minorEastAsia" w:cstheme="minorBidi"/>
              <w:b w:val="0"/>
              <w:bCs w:val="0"/>
              <w:noProof/>
              <w:kern w:val="2"/>
              <w:sz w:val="24"/>
              <w:szCs w:val="24"/>
              <w14:ligatures w14:val="standardContextual"/>
            </w:rPr>
          </w:pPr>
          <w:hyperlink w:anchor="_Toc192855261" w:history="1">
            <w:r w:rsidRPr="002A2BE0">
              <w:rPr>
                <w:rStyle w:val="Kpr"/>
                <w:rFonts w:eastAsiaTheme="majorEastAsia"/>
                <w:noProof/>
              </w:rPr>
              <w:t>Savaş Sonrası Suriye’de Yeniden İnşa: Afet Sonrası Yeniden Yapılanma Modeliyle Altyapı ve Sosyal Politikaların Geliştirilmesi</w:t>
            </w:r>
            <w:r>
              <w:rPr>
                <w:noProof/>
                <w:webHidden/>
              </w:rPr>
              <w:tab/>
            </w:r>
            <w:r>
              <w:rPr>
                <w:noProof/>
                <w:webHidden/>
              </w:rPr>
              <w:fldChar w:fldCharType="begin"/>
            </w:r>
            <w:r>
              <w:rPr>
                <w:noProof/>
                <w:webHidden/>
              </w:rPr>
              <w:instrText xml:space="preserve"> PAGEREF _Toc192855261 \h </w:instrText>
            </w:r>
            <w:r>
              <w:rPr>
                <w:noProof/>
                <w:webHidden/>
              </w:rPr>
            </w:r>
            <w:r>
              <w:rPr>
                <w:noProof/>
                <w:webHidden/>
              </w:rPr>
              <w:fldChar w:fldCharType="separate"/>
            </w:r>
            <w:r w:rsidR="003B72F6">
              <w:rPr>
                <w:noProof/>
                <w:webHidden/>
              </w:rPr>
              <w:t>501</w:t>
            </w:r>
            <w:r>
              <w:rPr>
                <w:noProof/>
                <w:webHidden/>
              </w:rPr>
              <w:fldChar w:fldCharType="end"/>
            </w:r>
          </w:hyperlink>
        </w:p>
        <w:p w14:paraId="7556F97A" w14:textId="0630A798" w:rsidR="005A58C7" w:rsidRDefault="005A58C7">
          <w:pPr>
            <w:pStyle w:val="T1"/>
            <w:rPr>
              <w:rFonts w:eastAsiaTheme="minorEastAsia" w:cstheme="minorBidi"/>
              <w:b w:val="0"/>
              <w:bCs w:val="0"/>
              <w:noProof/>
              <w:kern w:val="2"/>
              <w:sz w:val="24"/>
              <w:szCs w:val="24"/>
              <w14:ligatures w14:val="standardContextual"/>
            </w:rPr>
          </w:pPr>
          <w:hyperlink w:anchor="_Toc192855262" w:history="1">
            <w:r w:rsidRPr="002A2BE0">
              <w:rPr>
                <w:rStyle w:val="Kpr"/>
                <w:rFonts w:eastAsiaTheme="majorEastAsia"/>
                <w:noProof/>
              </w:rPr>
              <w:t>Afetler ve Demografik Dönüşüm: Nüfus Dinamikleri Üzerine Etkileri</w:t>
            </w:r>
            <w:r>
              <w:rPr>
                <w:noProof/>
                <w:webHidden/>
              </w:rPr>
              <w:tab/>
            </w:r>
            <w:r>
              <w:rPr>
                <w:noProof/>
                <w:webHidden/>
              </w:rPr>
              <w:fldChar w:fldCharType="begin"/>
            </w:r>
            <w:r>
              <w:rPr>
                <w:noProof/>
                <w:webHidden/>
              </w:rPr>
              <w:instrText xml:space="preserve"> PAGEREF _Toc192855262 \h </w:instrText>
            </w:r>
            <w:r>
              <w:rPr>
                <w:noProof/>
                <w:webHidden/>
              </w:rPr>
            </w:r>
            <w:r>
              <w:rPr>
                <w:noProof/>
                <w:webHidden/>
              </w:rPr>
              <w:fldChar w:fldCharType="separate"/>
            </w:r>
            <w:r w:rsidR="003B72F6">
              <w:rPr>
                <w:noProof/>
                <w:webHidden/>
              </w:rPr>
              <w:t>502</w:t>
            </w:r>
            <w:r>
              <w:rPr>
                <w:noProof/>
                <w:webHidden/>
              </w:rPr>
              <w:fldChar w:fldCharType="end"/>
            </w:r>
          </w:hyperlink>
        </w:p>
        <w:p w14:paraId="24ADC564" w14:textId="1D627B4B" w:rsidR="005A58C7" w:rsidRDefault="005A58C7">
          <w:pPr>
            <w:pStyle w:val="T1"/>
            <w:rPr>
              <w:rFonts w:eastAsiaTheme="minorEastAsia" w:cstheme="minorBidi"/>
              <w:b w:val="0"/>
              <w:bCs w:val="0"/>
              <w:noProof/>
              <w:kern w:val="2"/>
              <w:sz w:val="24"/>
              <w:szCs w:val="24"/>
              <w14:ligatures w14:val="standardContextual"/>
            </w:rPr>
          </w:pPr>
          <w:hyperlink w:anchor="_Toc192855263" w:history="1">
            <w:r w:rsidRPr="002A2BE0">
              <w:rPr>
                <w:rStyle w:val="Kpr"/>
                <w:rFonts w:eastAsiaTheme="majorEastAsia"/>
                <w:noProof/>
              </w:rPr>
              <w:t>How Is Artificial Intelligence Used in Dubai's Smart Police Stations?</w:t>
            </w:r>
            <w:r>
              <w:rPr>
                <w:noProof/>
                <w:webHidden/>
              </w:rPr>
              <w:tab/>
            </w:r>
            <w:r>
              <w:rPr>
                <w:noProof/>
                <w:webHidden/>
              </w:rPr>
              <w:fldChar w:fldCharType="begin"/>
            </w:r>
            <w:r>
              <w:rPr>
                <w:noProof/>
                <w:webHidden/>
              </w:rPr>
              <w:instrText xml:space="preserve"> PAGEREF _Toc192855263 \h </w:instrText>
            </w:r>
            <w:r>
              <w:rPr>
                <w:noProof/>
                <w:webHidden/>
              </w:rPr>
            </w:r>
            <w:r>
              <w:rPr>
                <w:noProof/>
                <w:webHidden/>
              </w:rPr>
              <w:fldChar w:fldCharType="separate"/>
            </w:r>
            <w:r w:rsidR="003B72F6">
              <w:rPr>
                <w:noProof/>
                <w:webHidden/>
              </w:rPr>
              <w:t>503</w:t>
            </w:r>
            <w:r>
              <w:rPr>
                <w:noProof/>
                <w:webHidden/>
              </w:rPr>
              <w:fldChar w:fldCharType="end"/>
            </w:r>
          </w:hyperlink>
        </w:p>
        <w:p w14:paraId="397A61C6" w14:textId="0E8D9782" w:rsidR="005A58C7" w:rsidRDefault="005A58C7">
          <w:pPr>
            <w:pStyle w:val="T1"/>
            <w:rPr>
              <w:rFonts w:eastAsiaTheme="minorEastAsia" w:cstheme="minorBidi"/>
              <w:b w:val="0"/>
              <w:bCs w:val="0"/>
              <w:noProof/>
              <w:kern w:val="2"/>
              <w:sz w:val="24"/>
              <w:szCs w:val="24"/>
              <w14:ligatures w14:val="standardContextual"/>
            </w:rPr>
          </w:pPr>
          <w:hyperlink w:anchor="_Toc192855264" w:history="1">
            <w:r w:rsidRPr="002A2BE0">
              <w:rPr>
                <w:rStyle w:val="Kpr"/>
                <w:rFonts w:eastAsiaTheme="majorEastAsia"/>
                <w:noProof/>
              </w:rPr>
              <w:t>Ergenlerde Dijital Oyun Bağımlılığı, Sosyal Dışlanma ve Siber Zorbalık Arasındaki İlişkiler</w:t>
            </w:r>
            <w:r>
              <w:rPr>
                <w:noProof/>
                <w:webHidden/>
              </w:rPr>
              <w:tab/>
            </w:r>
            <w:r>
              <w:rPr>
                <w:noProof/>
                <w:webHidden/>
              </w:rPr>
              <w:fldChar w:fldCharType="begin"/>
            </w:r>
            <w:r>
              <w:rPr>
                <w:noProof/>
                <w:webHidden/>
              </w:rPr>
              <w:instrText xml:space="preserve"> PAGEREF _Toc192855264 \h </w:instrText>
            </w:r>
            <w:r>
              <w:rPr>
                <w:noProof/>
                <w:webHidden/>
              </w:rPr>
            </w:r>
            <w:r>
              <w:rPr>
                <w:noProof/>
                <w:webHidden/>
              </w:rPr>
              <w:fldChar w:fldCharType="separate"/>
            </w:r>
            <w:r w:rsidR="003B72F6">
              <w:rPr>
                <w:noProof/>
                <w:webHidden/>
              </w:rPr>
              <w:t>504</w:t>
            </w:r>
            <w:r>
              <w:rPr>
                <w:noProof/>
                <w:webHidden/>
              </w:rPr>
              <w:fldChar w:fldCharType="end"/>
            </w:r>
          </w:hyperlink>
        </w:p>
        <w:p w14:paraId="2705B79B" w14:textId="5DA6154A" w:rsidR="005A58C7" w:rsidRDefault="005A58C7">
          <w:pPr>
            <w:pStyle w:val="T1"/>
            <w:rPr>
              <w:rFonts w:eastAsiaTheme="minorEastAsia" w:cstheme="minorBidi"/>
              <w:b w:val="0"/>
              <w:bCs w:val="0"/>
              <w:noProof/>
              <w:kern w:val="2"/>
              <w:sz w:val="24"/>
              <w:szCs w:val="24"/>
              <w14:ligatures w14:val="standardContextual"/>
            </w:rPr>
          </w:pPr>
          <w:hyperlink w:anchor="_Toc192855265" w:history="1">
            <w:r w:rsidRPr="002A2BE0">
              <w:rPr>
                <w:rStyle w:val="Kpr"/>
                <w:rFonts w:eastAsiaTheme="majorEastAsia"/>
                <w:noProof/>
              </w:rPr>
              <w:t>Üniversite Öğrencilerinin Derse Katılımlarının Ruh ve Beden Sağlığı Açısından İncelenmesi</w:t>
            </w:r>
            <w:r>
              <w:rPr>
                <w:noProof/>
                <w:webHidden/>
              </w:rPr>
              <w:tab/>
            </w:r>
            <w:r>
              <w:rPr>
                <w:noProof/>
                <w:webHidden/>
              </w:rPr>
              <w:fldChar w:fldCharType="begin"/>
            </w:r>
            <w:r>
              <w:rPr>
                <w:noProof/>
                <w:webHidden/>
              </w:rPr>
              <w:instrText xml:space="preserve"> PAGEREF _Toc192855265 \h </w:instrText>
            </w:r>
            <w:r>
              <w:rPr>
                <w:noProof/>
                <w:webHidden/>
              </w:rPr>
            </w:r>
            <w:r>
              <w:rPr>
                <w:noProof/>
                <w:webHidden/>
              </w:rPr>
              <w:fldChar w:fldCharType="separate"/>
            </w:r>
            <w:r w:rsidR="003B72F6">
              <w:rPr>
                <w:noProof/>
                <w:webHidden/>
              </w:rPr>
              <w:t>535</w:t>
            </w:r>
            <w:r>
              <w:rPr>
                <w:noProof/>
                <w:webHidden/>
              </w:rPr>
              <w:fldChar w:fldCharType="end"/>
            </w:r>
          </w:hyperlink>
        </w:p>
        <w:p w14:paraId="21618483" w14:textId="54B4E616" w:rsidR="005A58C7" w:rsidRDefault="005A58C7">
          <w:pPr>
            <w:pStyle w:val="T1"/>
            <w:rPr>
              <w:rFonts w:eastAsiaTheme="minorEastAsia" w:cstheme="minorBidi"/>
              <w:b w:val="0"/>
              <w:bCs w:val="0"/>
              <w:noProof/>
              <w:kern w:val="2"/>
              <w:sz w:val="24"/>
              <w:szCs w:val="24"/>
              <w14:ligatures w14:val="standardContextual"/>
            </w:rPr>
          </w:pPr>
          <w:hyperlink w:anchor="_Toc192855266" w:history="1">
            <w:r w:rsidRPr="002A2BE0">
              <w:rPr>
                <w:rStyle w:val="Kpr"/>
                <w:rFonts w:eastAsiaTheme="majorEastAsia"/>
                <w:noProof/>
              </w:rPr>
              <w:t>Yahudilikte Kadınlara Özgü İbadet ve Dualar</w:t>
            </w:r>
            <w:r>
              <w:rPr>
                <w:noProof/>
                <w:webHidden/>
              </w:rPr>
              <w:tab/>
            </w:r>
            <w:r>
              <w:rPr>
                <w:noProof/>
                <w:webHidden/>
              </w:rPr>
              <w:fldChar w:fldCharType="begin"/>
            </w:r>
            <w:r>
              <w:rPr>
                <w:noProof/>
                <w:webHidden/>
              </w:rPr>
              <w:instrText xml:space="preserve"> PAGEREF _Toc192855266 \h </w:instrText>
            </w:r>
            <w:r>
              <w:rPr>
                <w:noProof/>
                <w:webHidden/>
              </w:rPr>
            </w:r>
            <w:r>
              <w:rPr>
                <w:noProof/>
                <w:webHidden/>
              </w:rPr>
              <w:fldChar w:fldCharType="separate"/>
            </w:r>
            <w:r w:rsidR="003B72F6">
              <w:rPr>
                <w:noProof/>
                <w:webHidden/>
              </w:rPr>
              <w:t>537</w:t>
            </w:r>
            <w:r>
              <w:rPr>
                <w:noProof/>
                <w:webHidden/>
              </w:rPr>
              <w:fldChar w:fldCharType="end"/>
            </w:r>
          </w:hyperlink>
        </w:p>
        <w:p w14:paraId="352548D7" w14:textId="02FF3A48" w:rsidR="005A58C7" w:rsidRDefault="005A58C7">
          <w:pPr>
            <w:pStyle w:val="T1"/>
            <w:rPr>
              <w:rFonts w:eastAsiaTheme="minorEastAsia" w:cstheme="minorBidi"/>
              <w:b w:val="0"/>
              <w:bCs w:val="0"/>
              <w:noProof/>
              <w:kern w:val="2"/>
              <w:sz w:val="24"/>
              <w:szCs w:val="24"/>
              <w14:ligatures w14:val="standardContextual"/>
            </w:rPr>
          </w:pPr>
          <w:hyperlink w:anchor="_Toc192855267" w:history="1">
            <w:r w:rsidRPr="002A2BE0">
              <w:rPr>
                <w:rStyle w:val="Kpr"/>
                <w:rFonts w:eastAsiaTheme="majorEastAsia"/>
                <w:noProof/>
              </w:rPr>
              <w:t>Worship and Prayers of Jewish Women</w:t>
            </w:r>
            <w:r>
              <w:rPr>
                <w:noProof/>
                <w:webHidden/>
              </w:rPr>
              <w:tab/>
            </w:r>
            <w:r>
              <w:rPr>
                <w:noProof/>
                <w:webHidden/>
              </w:rPr>
              <w:fldChar w:fldCharType="begin"/>
            </w:r>
            <w:r>
              <w:rPr>
                <w:noProof/>
                <w:webHidden/>
              </w:rPr>
              <w:instrText xml:space="preserve"> PAGEREF _Toc192855267 \h </w:instrText>
            </w:r>
            <w:r>
              <w:rPr>
                <w:noProof/>
                <w:webHidden/>
              </w:rPr>
            </w:r>
            <w:r>
              <w:rPr>
                <w:noProof/>
                <w:webHidden/>
              </w:rPr>
              <w:fldChar w:fldCharType="separate"/>
            </w:r>
            <w:r w:rsidR="003B72F6">
              <w:rPr>
                <w:noProof/>
                <w:webHidden/>
              </w:rPr>
              <w:t>537</w:t>
            </w:r>
            <w:r>
              <w:rPr>
                <w:noProof/>
                <w:webHidden/>
              </w:rPr>
              <w:fldChar w:fldCharType="end"/>
            </w:r>
          </w:hyperlink>
        </w:p>
        <w:p w14:paraId="7268433C" w14:textId="7F1E5841" w:rsidR="005A58C7" w:rsidRDefault="005A58C7">
          <w:pPr>
            <w:pStyle w:val="T1"/>
            <w:rPr>
              <w:rFonts w:eastAsiaTheme="minorEastAsia" w:cstheme="minorBidi"/>
              <w:b w:val="0"/>
              <w:bCs w:val="0"/>
              <w:noProof/>
              <w:kern w:val="2"/>
              <w:sz w:val="24"/>
              <w:szCs w:val="24"/>
              <w14:ligatures w14:val="standardContextual"/>
            </w:rPr>
          </w:pPr>
          <w:hyperlink w:anchor="_Toc192855268" w:history="1">
            <w:r w:rsidRPr="002A2BE0">
              <w:rPr>
                <w:rStyle w:val="Kpr"/>
                <w:rFonts w:eastAsiaTheme="majorEastAsia"/>
                <w:noProof/>
              </w:rPr>
              <w:t>Eğitimin Sosyolojik Temelleri Perspektiften Transhümanizm: Teknolojik İlerleme ve Toplumsal Değişim</w:t>
            </w:r>
            <w:r>
              <w:rPr>
                <w:noProof/>
                <w:webHidden/>
              </w:rPr>
              <w:tab/>
            </w:r>
            <w:r>
              <w:rPr>
                <w:noProof/>
                <w:webHidden/>
              </w:rPr>
              <w:fldChar w:fldCharType="begin"/>
            </w:r>
            <w:r>
              <w:rPr>
                <w:noProof/>
                <w:webHidden/>
              </w:rPr>
              <w:instrText xml:space="preserve"> PAGEREF _Toc192855268 \h </w:instrText>
            </w:r>
            <w:r>
              <w:rPr>
                <w:noProof/>
                <w:webHidden/>
              </w:rPr>
            </w:r>
            <w:r>
              <w:rPr>
                <w:noProof/>
                <w:webHidden/>
              </w:rPr>
              <w:fldChar w:fldCharType="separate"/>
            </w:r>
            <w:r w:rsidR="003B72F6">
              <w:rPr>
                <w:noProof/>
                <w:webHidden/>
              </w:rPr>
              <w:t>563</w:t>
            </w:r>
            <w:r>
              <w:rPr>
                <w:noProof/>
                <w:webHidden/>
              </w:rPr>
              <w:fldChar w:fldCharType="end"/>
            </w:r>
          </w:hyperlink>
        </w:p>
        <w:p w14:paraId="24E83A8D" w14:textId="2DE0C05A" w:rsidR="005A58C7" w:rsidRDefault="005A58C7">
          <w:pPr>
            <w:pStyle w:val="T1"/>
            <w:rPr>
              <w:rFonts w:eastAsiaTheme="minorEastAsia" w:cstheme="minorBidi"/>
              <w:b w:val="0"/>
              <w:bCs w:val="0"/>
              <w:noProof/>
              <w:kern w:val="2"/>
              <w:sz w:val="24"/>
              <w:szCs w:val="24"/>
              <w14:ligatures w14:val="standardContextual"/>
            </w:rPr>
          </w:pPr>
          <w:hyperlink w:anchor="_Toc192855269" w:history="1">
            <w:r w:rsidRPr="002A2BE0">
              <w:rPr>
                <w:rStyle w:val="Kpr"/>
                <w:rFonts w:eastAsiaTheme="majorEastAsia"/>
                <w:noProof/>
              </w:rPr>
              <w:t>What is Measured, What is Ignored? The Ethical Dilemmas and Biopolitical Framework of Disease Burden Indicators</w:t>
            </w:r>
            <w:r>
              <w:rPr>
                <w:noProof/>
                <w:webHidden/>
              </w:rPr>
              <w:tab/>
            </w:r>
            <w:r>
              <w:rPr>
                <w:noProof/>
                <w:webHidden/>
              </w:rPr>
              <w:fldChar w:fldCharType="begin"/>
            </w:r>
            <w:r>
              <w:rPr>
                <w:noProof/>
                <w:webHidden/>
              </w:rPr>
              <w:instrText xml:space="preserve"> PAGEREF _Toc192855269 \h </w:instrText>
            </w:r>
            <w:r>
              <w:rPr>
                <w:noProof/>
                <w:webHidden/>
              </w:rPr>
            </w:r>
            <w:r>
              <w:rPr>
                <w:noProof/>
                <w:webHidden/>
              </w:rPr>
              <w:fldChar w:fldCharType="separate"/>
            </w:r>
            <w:r w:rsidR="003B72F6">
              <w:rPr>
                <w:noProof/>
                <w:webHidden/>
              </w:rPr>
              <w:t>565</w:t>
            </w:r>
            <w:r>
              <w:rPr>
                <w:noProof/>
                <w:webHidden/>
              </w:rPr>
              <w:fldChar w:fldCharType="end"/>
            </w:r>
          </w:hyperlink>
        </w:p>
        <w:p w14:paraId="7C1B0052" w14:textId="0AD66F2F" w:rsidR="005A58C7" w:rsidRDefault="005A58C7">
          <w:pPr>
            <w:pStyle w:val="T1"/>
            <w:rPr>
              <w:rFonts w:eastAsiaTheme="minorEastAsia" w:cstheme="minorBidi"/>
              <w:b w:val="0"/>
              <w:bCs w:val="0"/>
              <w:noProof/>
              <w:kern w:val="2"/>
              <w:sz w:val="24"/>
              <w:szCs w:val="24"/>
              <w14:ligatures w14:val="standardContextual"/>
            </w:rPr>
          </w:pPr>
          <w:hyperlink w:anchor="_Toc192855270" w:history="1">
            <w:r w:rsidRPr="002A2BE0">
              <w:rPr>
                <w:rStyle w:val="Kpr"/>
                <w:rFonts w:eastAsiaTheme="majorEastAsia"/>
                <w:noProof/>
              </w:rPr>
              <w:t>Measuring the Economic Security from Copenhagen School’s Perspective: Comparison of Selected Regions</w:t>
            </w:r>
            <w:r>
              <w:rPr>
                <w:noProof/>
                <w:webHidden/>
              </w:rPr>
              <w:tab/>
            </w:r>
            <w:r>
              <w:rPr>
                <w:noProof/>
                <w:webHidden/>
              </w:rPr>
              <w:fldChar w:fldCharType="begin"/>
            </w:r>
            <w:r>
              <w:rPr>
                <w:noProof/>
                <w:webHidden/>
              </w:rPr>
              <w:instrText xml:space="preserve"> PAGEREF _Toc192855270 \h </w:instrText>
            </w:r>
            <w:r>
              <w:rPr>
                <w:noProof/>
                <w:webHidden/>
              </w:rPr>
            </w:r>
            <w:r>
              <w:rPr>
                <w:noProof/>
                <w:webHidden/>
              </w:rPr>
              <w:fldChar w:fldCharType="separate"/>
            </w:r>
            <w:r w:rsidR="003B72F6">
              <w:rPr>
                <w:noProof/>
                <w:webHidden/>
              </w:rPr>
              <w:t>566</w:t>
            </w:r>
            <w:r>
              <w:rPr>
                <w:noProof/>
                <w:webHidden/>
              </w:rPr>
              <w:fldChar w:fldCharType="end"/>
            </w:r>
          </w:hyperlink>
        </w:p>
        <w:p w14:paraId="32E84679" w14:textId="0478ACE3" w:rsidR="005A58C7" w:rsidRDefault="005A58C7">
          <w:pPr>
            <w:pStyle w:val="T1"/>
            <w:rPr>
              <w:rFonts w:eastAsiaTheme="minorEastAsia" w:cstheme="minorBidi"/>
              <w:b w:val="0"/>
              <w:bCs w:val="0"/>
              <w:noProof/>
              <w:kern w:val="2"/>
              <w:sz w:val="24"/>
              <w:szCs w:val="24"/>
              <w14:ligatures w14:val="standardContextual"/>
            </w:rPr>
          </w:pPr>
          <w:hyperlink w:anchor="_Toc192855271" w:history="1">
            <w:r w:rsidRPr="002A2BE0">
              <w:rPr>
                <w:rStyle w:val="Kpr"/>
                <w:rFonts w:eastAsiaTheme="majorEastAsia"/>
                <w:noProof/>
              </w:rPr>
              <w:t>The July Revolution in Bangladesh and the Crisis in Bangladesh-India Relations</w:t>
            </w:r>
            <w:r>
              <w:rPr>
                <w:noProof/>
                <w:webHidden/>
              </w:rPr>
              <w:tab/>
            </w:r>
            <w:r>
              <w:rPr>
                <w:noProof/>
                <w:webHidden/>
              </w:rPr>
              <w:fldChar w:fldCharType="begin"/>
            </w:r>
            <w:r>
              <w:rPr>
                <w:noProof/>
                <w:webHidden/>
              </w:rPr>
              <w:instrText xml:space="preserve"> PAGEREF _Toc192855271 \h </w:instrText>
            </w:r>
            <w:r>
              <w:rPr>
                <w:noProof/>
                <w:webHidden/>
              </w:rPr>
            </w:r>
            <w:r>
              <w:rPr>
                <w:noProof/>
                <w:webHidden/>
              </w:rPr>
              <w:fldChar w:fldCharType="separate"/>
            </w:r>
            <w:r w:rsidR="003B72F6">
              <w:rPr>
                <w:noProof/>
                <w:webHidden/>
              </w:rPr>
              <w:t>583</w:t>
            </w:r>
            <w:r>
              <w:rPr>
                <w:noProof/>
                <w:webHidden/>
              </w:rPr>
              <w:fldChar w:fldCharType="end"/>
            </w:r>
          </w:hyperlink>
        </w:p>
        <w:p w14:paraId="13E44D07" w14:textId="5930C929" w:rsidR="005A58C7" w:rsidRDefault="005A58C7">
          <w:pPr>
            <w:pStyle w:val="T1"/>
            <w:rPr>
              <w:rFonts w:eastAsiaTheme="minorEastAsia" w:cstheme="minorBidi"/>
              <w:b w:val="0"/>
              <w:bCs w:val="0"/>
              <w:noProof/>
              <w:kern w:val="2"/>
              <w:sz w:val="24"/>
              <w:szCs w:val="24"/>
              <w14:ligatures w14:val="standardContextual"/>
            </w:rPr>
          </w:pPr>
          <w:hyperlink w:anchor="_Toc192855272" w:history="1">
            <w:r w:rsidRPr="002A2BE0">
              <w:rPr>
                <w:rStyle w:val="Kpr"/>
                <w:rFonts w:eastAsiaTheme="majorEastAsia"/>
                <w:noProof/>
              </w:rPr>
              <w:t>Türkiye’de Sosyal Belediyecilik Uygulamaları: Zorluklar ve Fırsatlar</w:t>
            </w:r>
            <w:r>
              <w:rPr>
                <w:noProof/>
                <w:webHidden/>
              </w:rPr>
              <w:tab/>
            </w:r>
            <w:r>
              <w:rPr>
                <w:noProof/>
                <w:webHidden/>
              </w:rPr>
              <w:fldChar w:fldCharType="begin"/>
            </w:r>
            <w:r>
              <w:rPr>
                <w:noProof/>
                <w:webHidden/>
              </w:rPr>
              <w:instrText xml:space="preserve"> PAGEREF _Toc192855272 \h </w:instrText>
            </w:r>
            <w:r>
              <w:rPr>
                <w:noProof/>
                <w:webHidden/>
              </w:rPr>
            </w:r>
            <w:r>
              <w:rPr>
                <w:noProof/>
                <w:webHidden/>
              </w:rPr>
              <w:fldChar w:fldCharType="separate"/>
            </w:r>
            <w:r w:rsidR="003B72F6">
              <w:rPr>
                <w:noProof/>
                <w:webHidden/>
              </w:rPr>
              <w:t>584</w:t>
            </w:r>
            <w:r>
              <w:rPr>
                <w:noProof/>
                <w:webHidden/>
              </w:rPr>
              <w:fldChar w:fldCharType="end"/>
            </w:r>
          </w:hyperlink>
        </w:p>
        <w:p w14:paraId="386BBA71" w14:textId="46422BC9" w:rsidR="005A58C7" w:rsidRDefault="005A58C7">
          <w:pPr>
            <w:pStyle w:val="T1"/>
            <w:rPr>
              <w:rFonts w:eastAsiaTheme="minorEastAsia" w:cstheme="minorBidi"/>
              <w:b w:val="0"/>
              <w:bCs w:val="0"/>
              <w:noProof/>
              <w:kern w:val="2"/>
              <w:sz w:val="24"/>
              <w:szCs w:val="24"/>
              <w14:ligatures w14:val="standardContextual"/>
            </w:rPr>
          </w:pPr>
          <w:hyperlink w:anchor="_Toc192855273" w:history="1">
            <w:r w:rsidRPr="002A2BE0">
              <w:rPr>
                <w:rStyle w:val="Kpr"/>
                <w:rFonts w:eastAsiaTheme="majorEastAsia"/>
                <w:noProof/>
              </w:rPr>
              <w:t>Social Municipalisation Practıces in Türkiye: Challenges and Opportunities</w:t>
            </w:r>
            <w:r>
              <w:rPr>
                <w:noProof/>
                <w:webHidden/>
              </w:rPr>
              <w:tab/>
            </w:r>
            <w:r>
              <w:rPr>
                <w:noProof/>
                <w:webHidden/>
              </w:rPr>
              <w:fldChar w:fldCharType="begin"/>
            </w:r>
            <w:r>
              <w:rPr>
                <w:noProof/>
                <w:webHidden/>
              </w:rPr>
              <w:instrText xml:space="preserve"> PAGEREF _Toc192855273 \h </w:instrText>
            </w:r>
            <w:r>
              <w:rPr>
                <w:noProof/>
                <w:webHidden/>
              </w:rPr>
            </w:r>
            <w:r>
              <w:rPr>
                <w:noProof/>
                <w:webHidden/>
              </w:rPr>
              <w:fldChar w:fldCharType="separate"/>
            </w:r>
            <w:r w:rsidR="003B72F6">
              <w:rPr>
                <w:noProof/>
                <w:webHidden/>
              </w:rPr>
              <w:t>585</w:t>
            </w:r>
            <w:r>
              <w:rPr>
                <w:noProof/>
                <w:webHidden/>
              </w:rPr>
              <w:fldChar w:fldCharType="end"/>
            </w:r>
          </w:hyperlink>
        </w:p>
        <w:p w14:paraId="17DC6409" w14:textId="75606CAA" w:rsidR="005A58C7" w:rsidRDefault="005A58C7">
          <w:pPr>
            <w:pStyle w:val="T1"/>
            <w:rPr>
              <w:rFonts w:eastAsiaTheme="minorEastAsia" w:cstheme="minorBidi"/>
              <w:b w:val="0"/>
              <w:bCs w:val="0"/>
              <w:noProof/>
              <w:kern w:val="2"/>
              <w:sz w:val="24"/>
              <w:szCs w:val="24"/>
              <w14:ligatures w14:val="standardContextual"/>
            </w:rPr>
          </w:pPr>
          <w:hyperlink w:anchor="_Toc192855274" w:history="1">
            <w:r w:rsidRPr="002A2BE0">
              <w:rPr>
                <w:rStyle w:val="Kpr"/>
                <w:rFonts w:eastAsiaTheme="majorEastAsia"/>
                <w:noProof/>
              </w:rPr>
              <w:t>Avrupa Yeşil Mutabakatı Kapsamında Türkiye</w:t>
            </w:r>
            <w:r w:rsidRPr="002A2BE0">
              <w:rPr>
                <w:rStyle w:val="Kpr"/>
                <w:rFonts w:eastAsiaTheme="majorEastAsia"/>
                <w:noProof/>
                <w:rtl/>
              </w:rPr>
              <w:t>’</w:t>
            </w:r>
            <w:r w:rsidRPr="002A2BE0">
              <w:rPr>
                <w:rStyle w:val="Kpr"/>
                <w:rFonts w:eastAsiaTheme="majorEastAsia"/>
                <w:noProof/>
              </w:rPr>
              <w:t>de Yeşil Lojistik Uygulamaları ve Geleceği</w:t>
            </w:r>
            <w:r>
              <w:rPr>
                <w:noProof/>
                <w:webHidden/>
              </w:rPr>
              <w:tab/>
            </w:r>
            <w:r>
              <w:rPr>
                <w:noProof/>
                <w:webHidden/>
              </w:rPr>
              <w:fldChar w:fldCharType="begin"/>
            </w:r>
            <w:r>
              <w:rPr>
                <w:noProof/>
                <w:webHidden/>
              </w:rPr>
              <w:instrText xml:space="preserve"> PAGEREF _Toc192855274 \h </w:instrText>
            </w:r>
            <w:r>
              <w:rPr>
                <w:noProof/>
                <w:webHidden/>
              </w:rPr>
            </w:r>
            <w:r>
              <w:rPr>
                <w:noProof/>
                <w:webHidden/>
              </w:rPr>
              <w:fldChar w:fldCharType="separate"/>
            </w:r>
            <w:r w:rsidR="003B72F6">
              <w:rPr>
                <w:noProof/>
                <w:webHidden/>
              </w:rPr>
              <w:t>586</w:t>
            </w:r>
            <w:r>
              <w:rPr>
                <w:noProof/>
                <w:webHidden/>
              </w:rPr>
              <w:fldChar w:fldCharType="end"/>
            </w:r>
          </w:hyperlink>
        </w:p>
        <w:p w14:paraId="7CF65EB8" w14:textId="1B3EE85B" w:rsidR="005A58C7" w:rsidRDefault="005A58C7">
          <w:pPr>
            <w:pStyle w:val="T1"/>
            <w:rPr>
              <w:rFonts w:eastAsiaTheme="minorEastAsia" w:cstheme="minorBidi"/>
              <w:b w:val="0"/>
              <w:bCs w:val="0"/>
              <w:noProof/>
              <w:kern w:val="2"/>
              <w:sz w:val="24"/>
              <w:szCs w:val="24"/>
              <w14:ligatures w14:val="standardContextual"/>
            </w:rPr>
          </w:pPr>
          <w:hyperlink w:anchor="_Toc192855275" w:history="1">
            <w:r w:rsidRPr="002A2BE0">
              <w:rPr>
                <w:rStyle w:val="Kpr"/>
                <w:rFonts w:eastAsiaTheme="majorEastAsia"/>
                <w:noProof/>
              </w:rPr>
              <w:t>Green Logistics Applications and the Future in Türkiye within the Scope of the European Green Deal</w:t>
            </w:r>
            <w:r>
              <w:rPr>
                <w:noProof/>
                <w:webHidden/>
              </w:rPr>
              <w:tab/>
            </w:r>
            <w:r>
              <w:rPr>
                <w:noProof/>
                <w:webHidden/>
              </w:rPr>
              <w:fldChar w:fldCharType="begin"/>
            </w:r>
            <w:r>
              <w:rPr>
                <w:noProof/>
                <w:webHidden/>
              </w:rPr>
              <w:instrText xml:space="preserve"> PAGEREF _Toc192855275 \h </w:instrText>
            </w:r>
            <w:r>
              <w:rPr>
                <w:noProof/>
                <w:webHidden/>
              </w:rPr>
            </w:r>
            <w:r>
              <w:rPr>
                <w:noProof/>
                <w:webHidden/>
              </w:rPr>
              <w:fldChar w:fldCharType="separate"/>
            </w:r>
            <w:r w:rsidR="003B72F6">
              <w:rPr>
                <w:noProof/>
                <w:webHidden/>
              </w:rPr>
              <w:t>587</w:t>
            </w:r>
            <w:r>
              <w:rPr>
                <w:noProof/>
                <w:webHidden/>
              </w:rPr>
              <w:fldChar w:fldCharType="end"/>
            </w:r>
          </w:hyperlink>
        </w:p>
        <w:p w14:paraId="129CB48E" w14:textId="4E4D2F76" w:rsidR="005A58C7" w:rsidRDefault="005A58C7">
          <w:pPr>
            <w:pStyle w:val="T1"/>
            <w:rPr>
              <w:rFonts w:eastAsiaTheme="minorEastAsia" w:cstheme="minorBidi"/>
              <w:b w:val="0"/>
              <w:bCs w:val="0"/>
              <w:noProof/>
              <w:kern w:val="2"/>
              <w:sz w:val="24"/>
              <w:szCs w:val="24"/>
              <w14:ligatures w14:val="standardContextual"/>
            </w:rPr>
          </w:pPr>
          <w:hyperlink w:anchor="_Toc192855276" w:history="1">
            <w:r w:rsidRPr="002A2BE0">
              <w:rPr>
                <w:rStyle w:val="Kpr"/>
                <w:rFonts w:eastAsiaTheme="majorEastAsia"/>
                <w:noProof/>
              </w:rPr>
              <w:t>State Formation in Post-Baath Syria: A Historical Sociological Analysis</w:t>
            </w:r>
            <w:r>
              <w:rPr>
                <w:noProof/>
                <w:webHidden/>
              </w:rPr>
              <w:tab/>
            </w:r>
            <w:r>
              <w:rPr>
                <w:noProof/>
                <w:webHidden/>
              </w:rPr>
              <w:fldChar w:fldCharType="begin"/>
            </w:r>
            <w:r>
              <w:rPr>
                <w:noProof/>
                <w:webHidden/>
              </w:rPr>
              <w:instrText xml:space="preserve"> PAGEREF _Toc192855276 \h </w:instrText>
            </w:r>
            <w:r>
              <w:rPr>
                <w:noProof/>
                <w:webHidden/>
              </w:rPr>
            </w:r>
            <w:r>
              <w:rPr>
                <w:noProof/>
                <w:webHidden/>
              </w:rPr>
              <w:fldChar w:fldCharType="separate"/>
            </w:r>
            <w:r w:rsidR="003B72F6">
              <w:rPr>
                <w:noProof/>
                <w:webHidden/>
              </w:rPr>
              <w:t>588</w:t>
            </w:r>
            <w:r>
              <w:rPr>
                <w:noProof/>
                <w:webHidden/>
              </w:rPr>
              <w:fldChar w:fldCharType="end"/>
            </w:r>
          </w:hyperlink>
        </w:p>
        <w:p w14:paraId="20C75ADE" w14:textId="05829782" w:rsidR="005A58C7" w:rsidRDefault="005A58C7">
          <w:pPr>
            <w:pStyle w:val="T1"/>
            <w:rPr>
              <w:rFonts w:eastAsiaTheme="minorEastAsia" w:cstheme="minorBidi"/>
              <w:b w:val="0"/>
              <w:bCs w:val="0"/>
              <w:noProof/>
              <w:kern w:val="2"/>
              <w:sz w:val="24"/>
              <w:szCs w:val="24"/>
              <w14:ligatures w14:val="standardContextual"/>
            </w:rPr>
          </w:pPr>
          <w:hyperlink w:anchor="_Toc192855277" w:history="1">
            <w:r w:rsidRPr="002A2BE0">
              <w:rPr>
                <w:rStyle w:val="Kpr"/>
                <w:rFonts w:eastAsiaTheme="majorEastAsia"/>
                <w:noProof/>
              </w:rPr>
              <w:t xml:space="preserve">The Importance and Impacts of the United Nations Policies on United Arab Emirates' Gender </w:t>
            </w:r>
            <w:r w:rsidRPr="002A2BE0">
              <w:rPr>
                <w:rStyle w:val="Kpr"/>
                <w:rFonts w:eastAsiaTheme="majorEastAsia"/>
                <w:noProof/>
              </w:rPr>
              <w:lastRenderedPageBreak/>
              <w:t>Equality</w:t>
            </w:r>
            <w:r>
              <w:rPr>
                <w:noProof/>
                <w:webHidden/>
              </w:rPr>
              <w:tab/>
            </w:r>
            <w:r>
              <w:rPr>
                <w:noProof/>
                <w:webHidden/>
              </w:rPr>
              <w:fldChar w:fldCharType="begin"/>
            </w:r>
            <w:r>
              <w:rPr>
                <w:noProof/>
                <w:webHidden/>
              </w:rPr>
              <w:instrText xml:space="preserve"> PAGEREF _Toc192855277 \h </w:instrText>
            </w:r>
            <w:r>
              <w:rPr>
                <w:noProof/>
                <w:webHidden/>
              </w:rPr>
            </w:r>
            <w:r>
              <w:rPr>
                <w:noProof/>
                <w:webHidden/>
              </w:rPr>
              <w:fldChar w:fldCharType="separate"/>
            </w:r>
            <w:r w:rsidR="003B72F6">
              <w:rPr>
                <w:noProof/>
                <w:webHidden/>
              </w:rPr>
              <w:t>601</w:t>
            </w:r>
            <w:r>
              <w:rPr>
                <w:noProof/>
                <w:webHidden/>
              </w:rPr>
              <w:fldChar w:fldCharType="end"/>
            </w:r>
          </w:hyperlink>
        </w:p>
        <w:p w14:paraId="1AF5C1BB" w14:textId="20406320" w:rsidR="005A58C7" w:rsidRDefault="005A58C7">
          <w:pPr>
            <w:pStyle w:val="T1"/>
            <w:rPr>
              <w:rFonts w:eastAsiaTheme="minorEastAsia" w:cstheme="minorBidi"/>
              <w:b w:val="0"/>
              <w:bCs w:val="0"/>
              <w:noProof/>
              <w:kern w:val="2"/>
              <w:sz w:val="24"/>
              <w:szCs w:val="24"/>
              <w14:ligatures w14:val="standardContextual"/>
            </w:rPr>
          </w:pPr>
          <w:hyperlink w:anchor="_Toc192855278" w:history="1">
            <w:r w:rsidRPr="002A2BE0">
              <w:rPr>
                <w:rStyle w:val="Kpr"/>
                <w:rFonts w:eastAsiaTheme="majorEastAsia"/>
                <w:noProof/>
              </w:rPr>
              <w:t>Metaverse, Rekreasyon ve Toplumsal Cinsiyet Eşitliği: Dijital Dünyadaki Fırsatlar ve Tehditler</w:t>
            </w:r>
            <w:r>
              <w:rPr>
                <w:noProof/>
                <w:webHidden/>
              </w:rPr>
              <w:tab/>
            </w:r>
            <w:r>
              <w:rPr>
                <w:noProof/>
                <w:webHidden/>
              </w:rPr>
              <w:fldChar w:fldCharType="begin"/>
            </w:r>
            <w:r>
              <w:rPr>
                <w:noProof/>
                <w:webHidden/>
              </w:rPr>
              <w:instrText xml:space="preserve"> PAGEREF _Toc192855278 \h </w:instrText>
            </w:r>
            <w:r>
              <w:rPr>
                <w:noProof/>
                <w:webHidden/>
              </w:rPr>
            </w:r>
            <w:r>
              <w:rPr>
                <w:noProof/>
                <w:webHidden/>
              </w:rPr>
              <w:fldChar w:fldCharType="separate"/>
            </w:r>
            <w:r w:rsidR="003B72F6">
              <w:rPr>
                <w:noProof/>
                <w:webHidden/>
              </w:rPr>
              <w:t>602</w:t>
            </w:r>
            <w:r>
              <w:rPr>
                <w:noProof/>
                <w:webHidden/>
              </w:rPr>
              <w:fldChar w:fldCharType="end"/>
            </w:r>
          </w:hyperlink>
        </w:p>
        <w:p w14:paraId="6115D68F" w14:textId="46E11BF4" w:rsidR="005A58C7" w:rsidRDefault="005A58C7">
          <w:pPr>
            <w:pStyle w:val="T1"/>
            <w:rPr>
              <w:rFonts w:eastAsiaTheme="minorEastAsia" w:cstheme="minorBidi"/>
              <w:b w:val="0"/>
              <w:bCs w:val="0"/>
              <w:noProof/>
              <w:kern w:val="2"/>
              <w:sz w:val="24"/>
              <w:szCs w:val="24"/>
              <w14:ligatures w14:val="standardContextual"/>
            </w:rPr>
          </w:pPr>
          <w:hyperlink w:anchor="_Toc192855279" w:history="1">
            <w:r w:rsidRPr="002A2BE0">
              <w:rPr>
                <w:rStyle w:val="Kpr"/>
                <w:rFonts w:eastAsiaTheme="majorEastAsia"/>
                <w:noProof/>
              </w:rPr>
              <w:t>Metaverse, Recreation and Gender Equality: Opportunities and Threats in the Digital World</w:t>
            </w:r>
            <w:r>
              <w:rPr>
                <w:noProof/>
                <w:webHidden/>
              </w:rPr>
              <w:tab/>
            </w:r>
            <w:r>
              <w:rPr>
                <w:noProof/>
                <w:webHidden/>
              </w:rPr>
              <w:fldChar w:fldCharType="begin"/>
            </w:r>
            <w:r>
              <w:rPr>
                <w:noProof/>
                <w:webHidden/>
              </w:rPr>
              <w:instrText xml:space="preserve"> PAGEREF _Toc192855279 \h </w:instrText>
            </w:r>
            <w:r>
              <w:rPr>
                <w:noProof/>
                <w:webHidden/>
              </w:rPr>
            </w:r>
            <w:r>
              <w:rPr>
                <w:noProof/>
                <w:webHidden/>
              </w:rPr>
              <w:fldChar w:fldCharType="separate"/>
            </w:r>
            <w:r w:rsidR="003B72F6">
              <w:rPr>
                <w:noProof/>
                <w:webHidden/>
              </w:rPr>
              <w:t>604</w:t>
            </w:r>
            <w:r>
              <w:rPr>
                <w:noProof/>
                <w:webHidden/>
              </w:rPr>
              <w:fldChar w:fldCharType="end"/>
            </w:r>
          </w:hyperlink>
        </w:p>
        <w:p w14:paraId="1DD50B8F" w14:textId="516753BB" w:rsidR="005A58C7" w:rsidRDefault="005A58C7">
          <w:pPr>
            <w:pStyle w:val="T1"/>
            <w:rPr>
              <w:rFonts w:eastAsiaTheme="minorEastAsia" w:cstheme="minorBidi"/>
              <w:b w:val="0"/>
              <w:bCs w:val="0"/>
              <w:noProof/>
              <w:kern w:val="2"/>
              <w:sz w:val="24"/>
              <w:szCs w:val="24"/>
              <w14:ligatures w14:val="standardContextual"/>
            </w:rPr>
          </w:pPr>
          <w:hyperlink w:anchor="_Toc192855280" w:history="1">
            <w:r w:rsidRPr="002A2BE0">
              <w:rPr>
                <w:rStyle w:val="Kpr"/>
                <w:rFonts w:eastAsiaTheme="majorEastAsia"/>
                <w:noProof/>
              </w:rPr>
              <w:t>Sosyal Medya Reklam Özellikleri ile Tüketici Satın Alma Niyeti Arasındaki İlişki ve Marka Güveninin Moderatör Etkisinin İncelenmesi</w:t>
            </w:r>
            <w:r>
              <w:rPr>
                <w:noProof/>
                <w:webHidden/>
              </w:rPr>
              <w:tab/>
            </w:r>
            <w:r>
              <w:rPr>
                <w:noProof/>
                <w:webHidden/>
              </w:rPr>
              <w:fldChar w:fldCharType="begin"/>
            </w:r>
            <w:r>
              <w:rPr>
                <w:noProof/>
                <w:webHidden/>
              </w:rPr>
              <w:instrText xml:space="preserve"> PAGEREF _Toc192855280 \h </w:instrText>
            </w:r>
            <w:r>
              <w:rPr>
                <w:noProof/>
                <w:webHidden/>
              </w:rPr>
            </w:r>
            <w:r>
              <w:rPr>
                <w:noProof/>
                <w:webHidden/>
              </w:rPr>
              <w:fldChar w:fldCharType="separate"/>
            </w:r>
            <w:r w:rsidR="003B72F6">
              <w:rPr>
                <w:noProof/>
                <w:webHidden/>
              </w:rPr>
              <w:t>615</w:t>
            </w:r>
            <w:r>
              <w:rPr>
                <w:noProof/>
                <w:webHidden/>
              </w:rPr>
              <w:fldChar w:fldCharType="end"/>
            </w:r>
          </w:hyperlink>
        </w:p>
        <w:p w14:paraId="11293E1A" w14:textId="29DAE7B9" w:rsidR="005A58C7" w:rsidRDefault="005A58C7">
          <w:pPr>
            <w:pStyle w:val="T1"/>
            <w:rPr>
              <w:rFonts w:eastAsiaTheme="minorEastAsia" w:cstheme="minorBidi"/>
              <w:b w:val="0"/>
              <w:bCs w:val="0"/>
              <w:noProof/>
              <w:kern w:val="2"/>
              <w:sz w:val="24"/>
              <w:szCs w:val="24"/>
              <w14:ligatures w14:val="standardContextual"/>
            </w:rPr>
          </w:pPr>
          <w:hyperlink w:anchor="_Toc192855281" w:history="1">
            <w:r w:rsidRPr="002A2BE0">
              <w:rPr>
                <w:rStyle w:val="Kpr"/>
                <w:rFonts w:eastAsiaTheme="majorEastAsia"/>
                <w:noProof/>
              </w:rPr>
              <w:t>BIST Manisa Endeksinde (Xsmns) Yer Alan Şirketlerin Critic Ve Aroman Yöntemleriyle 2023 Yılı Finansal Performansının Analiz Edilmesi</w:t>
            </w:r>
            <w:r>
              <w:rPr>
                <w:noProof/>
                <w:webHidden/>
              </w:rPr>
              <w:tab/>
            </w:r>
            <w:r>
              <w:rPr>
                <w:noProof/>
                <w:webHidden/>
              </w:rPr>
              <w:fldChar w:fldCharType="begin"/>
            </w:r>
            <w:r>
              <w:rPr>
                <w:noProof/>
                <w:webHidden/>
              </w:rPr>
              <w:instrText xml:space="preserve"> PAGEREF _Toc192855281 \h </w:instrText>
            </w:r>
            <w:r>
              <w:rPr>
                <w:noProof/>
                <w:webHidden/>
              </w:rPr>
            </w:r>
            <w:r>
              <w:rPr>
                <w:noProof/>
                <w:webHidden/>
              </w:rPr>
              <w:fldChar w:fldCharType="separate"/>
            </w:r>
            <w:r w:rsidR="003B72F6">
              <w:rPr>
                <w:noProof/>
                <w:webHidden/>
              </w:rPr>
              <w:t>616</w:t>
            </w:r>
            <w:r>
              <w:rPr>
                <w:noProof/>
                <w:webHidden/>
              </w:rPr>
              <w:fldChar w:fldCharType="end"/>
            </w:r>
          </w:hyperlink>
        </w:p>
        <w:p w14:paraId="7640140E" w14:textId="4FAF738D" w:rsidR="005A58C7" w:rsidRDefault="005A58C7">
          <w:pPr>
            <w:pStyle w:val="T1"/>
            <w:rPr>
              <w:rFonts w:eastAsiaTheme="minorEastAsia" w:cstheme="minorBidi"/>
              <w:b w:val="0"/>
              <w:bCs w:val="0"/>
              <w:noProof/>
              <w:kern w:val="2"/>
              <w:sz w:val="24"/>
              <w:szCs w:val="24"/>
              <w14:ligatures w14:val="standardContextual"/>
            </w:rPr>
          </w:pPr>
          <w:hyperlink w:anchor="_Toc192855282" w:history="1">
            <w:r w:rsidRPr="002A2BE0">
              <w:rPr>
                <w:rStyle w:val="Kpr"/>
                <w:rFonts w:eastAsiaTheme="majorEastAsia"/>
                <w:noProof/>
              </w:rPr>
              <w:t>Mekânın Antroposen Bağlamında Yeniden Düşünülmesi: Sanat ve Mimarlık Perspektifi</w:t>
            </w:r>
            <w:r>
              <w:rPr>
                <w:noProof/>
                <w:webHidden/>
              </w:rPr>
              <w:tab/>
            </w:r>
            <w:r>
              <w:rPr>
                <w:noProof/>
                <w:webHidden/>
              </w:rPr>
              <w:fldChar w:fldCharType="begin"/>
            </w:r>
            <w:r>
              <w:rPr>
                <w:noProof/>
                <w:webHidden/>
              </w:rPr>
              <w:instrText xml:space="preserve"> PAGEREF _Toc192855282 \h </w:instrText>
            </w:r>
            <w:r>
              <w:rPr>
                <w:noProof/>
                <w:webHidden/>
              </w:rPr>
            </w:r>
            <w:r>
              <w:rPr>
                <w:noProof/>
                <w:webHidden/>
              </w:rPr>
              <w:fldChar w:fldCharType="separate"/>
            </w:r>
            <w:r w:rsidR="003B72F6">
              <w:rPr>
                <w:noProof/>
                <w:webHidden/>
              </w:rPr>
              <w:t>618</w:t>
            </w:r>
            <w:r>
              <w:rPr>
                <w:noProof/>
                <w:webHidden/>
              </w:rPr>
              <w:fldChar w:fldCharType="end"/>
            </w:r>
          </w:hyperlink>
        </w:p>
        <w:p w14:paraId="134E4829" w14:textId="669F7980" w:rsidR="005A58C7" w:rsidRDefault="005A58C7">
          <w:pPr>
            <w:pStyle w:val="T1"/>
            <w:rPr>
              <w:rFonts w:eastAsiaTheme="minorEastAsia" w:cstheme="minorBidi"/>
              <w:b w:val="0"/>
              <w:bCs w:val="0"/>
              <w:noProof/>
              <w:kern w:val="2"/>
              <w:sz w:val="24"/>
              <w:szCs w:val="24"/>
              <w14:ligatures w14:val="standardContextual"/>
            </w:rPr>
          </w:pPr>
          <w:hyperlink w:anchor="_Toc192855283" w:history="1">
            <w:r w:rsidRPr="002A2BE0">
              <w:rPr>
                <w:rStyle w:val="Kpr"/>
                <w:rFonts w:eastAsiaTheme="majorEastAsia"/>
                <w:noProof/>
              </w:rPr>
              <w:t xml:space="preserve">Bir Felsefe Tarihi Yorumu: Marks’ın </w:t>
            </w:r>
            <w:r w:rsidRPr="002A2BE0">
              <w:rPr>
                <w:rStyle w:val="Kpr"/>
                <w:rFonts w:eastAsiaTheme="majorEastAsia"/>
                <w:i/>
                <w:noProof/>
              </w:rPr>
              <w:t>Feuerbach Üzerine Tezler</w:t>
            </w:r>
            <w:r w:rsidRPr="002A2BE0">
              <w:rPr>
                <w:rStyle w:val="Kpr"/>
                <w:rFonts w:eastAsiaTheme="majorEastAsia"/>
                <w:noProof/>
              </w:rPr>
              <w:t>’i</w:t>
            </w:r>
            <w:r>
              <w:rPr>
                <w:noProof/>
                <w:webHidden/>
              </w:rPr>
              <w:tab/>
            </w:r>
            <w:r>
              <w:rPr>
                <w:noProof/>
                <w:webHidden/>
              </w:rPr>
              <w:fldChar w:fldCharType="begin"/>
            </w:r>
            <w:r>
              <w:rPr>
                <w:noProof/>
                <w:webHidden/>
              </w:rPr>
              <w:instrText xml:space="preserve"> PAGEREF _Toc192855283 \h </w:instrText>
            </w:r>
            <w:r>
              <w:rPr>
                <w:noProof/>
                <w:webHidden/>
              </w:rPr>
            </w:r>
            <w:r>
              <w:rPr>
                <w:noProof/>
                <w:webHidden/>
              </w:rPr>
              <w:fldChar w:fldCharType="separate"/>
            </w:r>
            <w:r w:rsidR="003B72F6">
              <w:rPr>
                <w:noProof/>
                <w:webHidden/>
              </w:rPr>
              <w:t>619</w:t>
            </w:r>
            <w:r>
              <w:rPr>
                <w:noProof/>
                <w:webHidden/>
              </w:rPr>
              <w:fldChar w:fldCharType="end"/>
            </w:r>
          </w:hyperlink>
        </w:p>
        <w:p w14:paraId="3D33161A" w14:textId="51321957" w:rsidR="005A58C7" w:rsidRDefault="005A58C7">
          <w:pPr>
            <w:pStyle w:val="T1"/>
            <w:rPr>
              <w:rFonts w:eastAsiaTheme="minorEastAsia" w:cstheme="minorBidi"/>
              <w:b w:val="0"/>
              <w:bCs w:val="0"/>
              <w:noProof/>
              <w:kern w:val="2"/>
              <w:sz w:val="24"/>
              <w:szCs w:val="24"/>
              <w14:ligatures w14:val="standardContextual"/>
            </w:rPr>
          </w:pPr>
          <w:hyperlink w:anchor="_Toc192855284" w:history="1">
            <w:r w:rsidRPr="002A2BE0">
              <w:rPr>
                <w:rStyle w:val="Kpr"/>
                <w:rFonts w:eastAsiaTheme="majorEastAsia"/>
                <w:noProof/>
              </w:rPr>
              <w:t>Birleşmiş Milletler Uzmanlık Kuruluşlarının Ayrıcalık ve Bağışıklıkları</w:t>
            </w:r>
            <w:r>
              <w:rPr>
                <w:noProof/>
                <w:webHidden/>
              </w:rPr>
              <w:tab/>
            </w:r>
            <w:r>
              <w:rPr>
                <w:noProof/>
                <w:webHidden/>
              </w:rPr>
              <w:fldChar w:fldCharType="begin"/>
            </w:r>
            <w:r>
              <w:rPr>
                <w:noProof/>
                <w:webHidden/>
              </w:rPr>
              <w:instrText xml:space="preserve"> PAGEREF _Toc192855284 \h </w:instrText>
            </w:r>
            <w:r>
              <w:rPr>
                <w:noProof/>
                <w:webHidden/>
              </w:rPr>
            </w:r>
            <w:r>
              <w:rPr>
                <w:noProof/>
                <w:webHidden/>
              </w:rPr>
              <w:fldChar w:fldCharType="separate"/>
            </w:r>
            <w:r w:rsidR="003B72F6">
              <w:rPr>
                <w:noProof/>
                <w:webHidden/>
              </w:rPr>
              <w:t>627</w:t>
            </w:r>
            <w:r>
              <w:rPr>
                <w:noProof/>
                <w:webHidden/>
              </w:rPr>
              <w:fldChar w:fldCharType="end"/>
            </w:r>
          </w:hyperlink>
        </w:p>
        <w:p w14:paraId="6BE3A8AD" w14:textId="30DF299E" w:rsidR="005A58C7" w:rsidRDefault="005A58C7">
          <w:pPr>
            <w:pStyle w:val="T1"/>
            <w:rPr>
              <w:rFonts w:eastAsiaTheme="minorEastAsia" w:cstheme="minorBidi"/>
              <w:b w:val="0"/>
              <w:bCs w:val="0"/>
              <w:noProof/>
              <w:kern w:val="2"/>
              <w:sz w:val="24"/>
              <w:szCs w:val="24"/>
              <w14:ligatures w14:val="standardContextual"/>
            </w:rPr>
          </w:pPr>
          <w:hyperlink w:anchor="_Toc192855285" w:history="1">
            <w:r w:rsidRPr="002A2BE0">
              <w:rPr>
                <w:rStyle w:val="Kpr"/>
                <w:rFonts w:eastAsiaTheme="majorEastAsia"/>
                <w:noProof/>
              </w:rPr>
              <w:t>Sosyolojik Açıdan Toplumsal Cinsiyet Ve Sağlık-Hastalık İlişkisi</w:t>
            </w:r>
            <w:r>
              <w:rPr>
                <w:noProof/>
                <w:webHidden/>
              </w:rPr>
              <w:tab/>
            </w:r>
            <w:r>
              <w:rPr>
                <w:noProof/>
                <w:webHidden/>
              </w:rPr>
              <w:fldChar w:fldCharType="begin"/>
            </w:r>
            <w:r>
              <w:rPr>
                <w:noProof/>
                <w:webHidden/>
              </w:rPr>
              <w:instrText xml:space="preserve"> PAGEREF _Toc192855285 \h </w:instrText>
            </w:r>
            <w:r>
              <w:rPr>
                <w:noProof/>
                <w:webHidden/>
              </w:rPr>
            </w:r>
            <w:r>
              <w:rPr>
                <w:noProof/>
                <w:webHidden/>
              </w:rPr>
              <w:fldChar w:fldCharType="separate"/>
            </w:r>
            <w:r w:rsidR="003B72F6">
              <w:rPr>
                <w:noProof/>
                <w:webHidden/>
              </w:rPr>
              <w:t>628</w:t>
            </w:r>
            <w:r>
              <w:rPr>
                <w:noProof/>
                <w:webHidden/>
              </w:rPr>
              <w:fldChar w:fldCharType="end"/>
            </w:r>
          </w:hyperlink>
        </w:p>
        <w:p w14:paraId="17CAEEC2" w14:textId="1BC7277D" w:rsidR="005A58C7" w:rsidRDefault="005A58C7">
          <w:pPr>
            <w:pStyle w:val="T1"/>
            <w:rPr>
              <w:rFonts w:eastAsiaTheme="minorEastAsia" w:cstheme="minorBidi"/>
              <w:b w:val="0"/>
              <w:bCs w:val="0"/>
              <w:noProof/>
              <w:kern w:val="2"/>
              <w:sz w:val="24"/>
              <w:szCs w:val="24"/>
              <w14:ligatures w14:val="standardContextual"/>
            </w:rPr>
          </w:pPr>
          <w:hyperlink w:anchor="_Toc192855286" w:history="1">
            <w:r w:rsidRPr="002A2BE0">
              <w:rPr>
                <w:rStyle w:val="Kpr"/>
                <w:rFonts w:eastAsiaTheme="majorEastAsia"/>
                <w:noProof/>
              </w:rPr>
              <w:t>Metaverse Teknolojilerinin Hukuki Boyutları</w:t>
            </w:r>
            <w:r>
              <w:rPr>
                <w:noProof/>
                <w:webHidden/>
              </w:rPr>
              <w:tab/>
            </w:r>
            <w:r>
              <w:rPr>
                <w:noProof/>
                <w:webHidden/>
              </w:rPr>
              <w:fldChar w:fldCharType="begin"/>
            </w:r>
            <w:r>
              <w:rPr>
                <w:noProof/>
                <w:webHidden/>
              </w:rPr>
              <w:instrText xml:space="preserve"> PAGEREF _Toc192855286 \h </w:instrText>
            </w:r>
            <w:r>
              <w:rPr>
                <w:noProof/>
                <w:webHidden/>
              </w:rPr>
            </w:r>
            <w:r>
              <w:rPr>
                <w:noProof/>
                <w:webHidden/>
              </w:rPr>
              <w:fldChar w:fldCharType="separate"/>
            </w:r>
            <w:r w:rsidR="003B72F6">
              <w:rPr>
                <w:noProof/>
                <w:webHidden/>
              </w:rPr>
              <w:t>656</w:t>
            </w:r>
            <w:r>
              <w:rPr>
                <w:noProof/>
                <w:webHidden/>
              </w:rPr>
              <w:fldChar w:fldCharType="end"/>
            </w:r>
          </w:hyperlink>
        </w:p>
        <w:p w14:paraId="5F365055" w14:textId="125B1104" w:rsidR="005A58C7" w:rsidRDefault="005A58C7">
          <w:pPr>
            <w:pStyle w:val="T1"/>
            <w:rPr>
              <w:rFonts w:eastAsiaTheme="minorEastAsia" w:cstheme="minorBidi"/>
              <w:b w:val="0"/>
              <w:bCs w:val="0"/>
              <w:noProof/>
              <w:kern w:val="2"/>
              <w:sz w:val="24"/>
              <w:szCs w:val="24"/>
              <w14:ligatures w14:val="standardContextual"/>
            </w:rPr>
          </w:pPr>
          <w:hyperlink w:anchor="_Toc192855287" w:history="1">
            <w:r w:rsidRPr="002A2BE0">
              <w:rPr>
                <w:rStyle w:val="Kpr"/>
                <w:rFonts w:eastAsiaTheme="majorEastAsia"/>
                <w:noProof/>
              </w:rPr>
              <w:t>Banka Legal Ekosistemi Çerçevesinde Piyasa Disiplininin Değerlendirilmesi</w:t>
            </w:r>
            <w:r>
              <w:rPr>
                <w:noProof/>
                <w:webHidden/>
              </w:rPr>
              <w:tab/>
            </w:r>
            <w:r>
              <w:rPr>
                <w:noProof/>
                <w:webHidden/>
              </w:rPr>
              <w:fldChar w:fldCharType="begin"/>
            </w:r>
            <w:r>
              <w:rPr>
                <w:noProof/>
                <w:webHidden/>
              </w:rPr>
              <w:instrText xml:space="preserve"> PAGEREF _Toc192855287 \h </w:instrText>
            </w:r>
            <w:r>
              <w:rPr>
                <w:noProof/>
                <w:webHidden/>
              </w:rPr>
            </w:r>
            <w:r>
              <w:rPr>
                <w:noProof/>
                <w:webHidden/>
              </w:rPr>
              <w:fldChar w:fldCharType="separate"/>
            </w:r>
            <w:r w:rsidR="003B72F6">
              <w:rPr>
                <w:noProof/>
                <w:webHidden/>
              </w:rPr>
              <w:t>657</w:t>
            </w:r>
            <w:r>
              <w:rPr>
                <w:noProof/>
                <w:webHidden/>
              </w:rPr>
              <w:fldChar w:fldCharType="end"/>
            </w:r>
          </w:hyperlink>
        </w:p>
        <w:p w14:paraId="41B4AE23" w14:textId="3E03DDFE" w:rsidR="005A58C7" w:rsidRDefault="005A58C7">
          <w:pPr>
            <w:pStyle w:val="T1"/>
            <w:rPr>
              <w:rFonts w:eastAsiaTheme="minorEastAsia" w:cstheme="minorBidi"/>
              <w:b w:val="0"/>
              <w:bCs w:val="0"/>
              <w:noProof/>
              <w:kern w:val="2"/>
              <w:sz w:val="24"/>
              <w:szCs w:val="24"/>
              <w14:ligatures w14:val="standardContextual"/>
            </w:rPr>
          </w:pPr>
          <w:hyperlink w:anchor="_Toc192855288" w:history="1">
            <w:r w:rsidRPr="002A2BE0">
              <w:rPr>
                <w:rStyle w:val="Kpr"/>
                <w:rFonts w:eastAsiaTheme="majorEastAsia"/>
                <w:noProof/>
              </w:rPr>
              <w:t>Türk Sermaye Piyasalarında Kripto Varlıkların Yeri ve Yeni Yasal Düzenlemenin Türk Yatırımcılar ve İşletmeler İçin Önemi</w:t>
            </w:r>
            <w:r>
              <w:rPr>
                <w:noProof/>
                <w:webHidden/>
              </w:rPr>
              <w:tab/>
            </w:r>
            <w:r>
              <w:rPr>
                <w:noProof/>
                <w:webHidden/>
              </w:rPr>
              <w:fldChar w:fldCharType="begin"/>
            </w:r>
            <w:r>
              <w:rPr>
                <w:noProof/>
                <w:webHidden/>
              </w:rPr>
              <w:instrText xml:space="preserve"> PAGEREF _Toc192855288 \h </w:instrText>
            </w:r>
            <w:r>
              <w:rPr>
                <w:noProof/>
                <w:webHidden/>
              </w:rPr>
            </w:r>
            <w:r>
              <w:rPr>
                <w:noProof/>
                <w:webHidden/>
              </w:rPr>
              <w:fldChar w:fldCharType="separate"/>
            </w:r>
            <w:r w:rsidR="003B72F6">
              <w:rPr>
                <w:noProof/>
                <w:webHidden/>
              </w:rPr>
              <w:t>658</w:t>
            </w:r>
            <w:r>
              <w:rPr>
                <w:noProof/>
                <w:webHidden/>
              </w:rPr>
              <w:fldChar w:fldCharType="end"/>
            </w:r>
          </w:hyperlink>
        </w:p>
        <w:p w14:paraId="4B8945B6" w14:textId="7A01EB41" w:rsidR="005A58C7" w:rsidRDefault="005A58C7">
          <w:pPr>
            <w:pStyle w:val="T1"/>
            <w:rPr>
              <w:rFonts w:eastAsiaTheme="minorEastAsia" w:cstheme="minorBidi"/>
              <w:b w:val="0"/>
              <w:bCs w:val="0"/>
              <w:noProof/>
              <w:kern w:val="2"/>
              <w:sz w:val="24"/>
              <w:szCs w:val="24"/>
              <w14:ligatures w14:val="standardContextual"/>
            </w:rPr>
          </w:pPr>
          <w:hyperlink w:anchor="_Toc192855289" w:history="1">
            <w:r w:rsidRPr="002A2BE0">
              <w:rPr>
                <w:rStyle w:val="Kpr"/>
                <w:rFonts w:eastAsiaTheme="majorEastAsia"/>
                <w:noProof/>
              </w:rPr>
              <w:t>Türk Sermaye Piyasalarında Kripto Varlıkların Yeri ve Yeni Yasal Düzenlemenin Türk Yatırımcılar ve İşletmeler İçin Önemi</w:t>
            </w:r>
            <w:r>
              <w:rPr>
                <w:noProof/>
                <w:webHidden/>
              </w:rPr>
              <w:tab/>
            </w:r>
            <w:r>
              <w:rPr>
                <w:noProof/>
                <w:webHidden/>
              </w:rPr>
              <w:fldChar w:fldCharType="begin"/>
            </w:r>
            <w:r>
              <w:rPr>
                <w:noProof/>
                <w:webHidden/>
              </w:rPr>
              <w:instrText xml:space="preserve"> PAGEREF _Toc192855289 \h </w:instrText>
            </w:r>
            <w:r>
              <w:rPr>
                <w:noProof/>
                <w:webHidden/>
              </w:rPr>
            </w:r>
            <w:r>
              <w:rPr>
                <w:noProof/>
                <w:webHidden/>
              </w:rPr>
              <w:fldChar w:fldCharType="separate"/>
            </w:r>
            <w:r w:rsidR="003B72F6">
              <w:rPr>
                <w:noProof/>
                <w:webHidden/>
              </w:rPr>
              <w:t>659</w:t>
            </w:r>
            <w:r>
              <w:rPr>
                <w:noProof/>
                <w:webHidden/>
              </w:rPr>
              <w:fldChar w:fldCharType="end"/>
            </w:r>
          </w:hyperlink>
        </w:p>
        <w:p w14:paraId="6C443E84" w14:textId="5DC24C91" w:rsidR="005A58C7" w:rsidRDefault="005A58C7">
          <w:pPr>
            <w:pStyle w:val="T1"/>
            <w:rPr>
              <w:rFonts w:eastAsiaTheme="minorEastAsia" w:cstheme="minorBidi"/>
              <w:b w:val="0"/>
              <w:bCs w:val="0"/>
              <w:noProof/>
              <w:kern w:val="2"/>
              <w:sz w:val="24"/>
              <w:szCs w:val="24"/>
              <w14:ligatures w14:val="standardContextual"/>
            </w:rPr>
          </w:pPr>
          <w:hyperlink w:anchor="_Toc192855290" w:history="1">
            <w:r w:rsidRPr="002A2BE0">
              <w:rPr>
                <w:rStyle w:val="Kpr"/>
                <w:rFonts w:eastAsiaTheme="majorEastAsia"/>
                <w:noProof/>
              </w:rPr>
              <w:t>John Stuart Mill’in Felsefesinde Birey Ve Toplum İlşkisi Bağlamında İlerleme Düşüncesi</w:t>
            </w:r>
            <w:r>
              <w:rPr>
                <w:noProof/>
                <w:webHidden/>
              </w:rPr>
              <w:tab/>
            </w:r>
            <w:r>
              <w:rPr>
                <w:noProof/>
                <w:webHidden/>
              </w:rPr>
              <w:fldChar w:fldCharType="begin"/>
            </w:r>
            <w:r>
              <w:rPr>
                <w:noProof/>
                <w:webHidden/>
              </w:rPr>
              <w:instrText xml:space="preserve"> PAGEREF _Toc192855290 \h </w:instrText>
            </w:r>
            <w:r>
              <w:rPr>
                <w:noProof/>
                <w:webHidden/>
              </w:rPr>
            </w:r>
            <w:r>
              <w:rPr>
                <w:noProof/>
                <w:webHidden/>
              </w:rPr>
              <w:fldChar w:fldCharType="separate"/>
            </w:r>
            <w:r w:rsidR="003B72F6">
              <w:rPr>
                <w:noProof/>
                <w:webHidden/>
              </w:rPr>
              <w:t>681</w:t>
            </w:r>
            <w:r>
              <w:rPr>
                <w:noProof/>
                <w:webHidden/>
              </w:rPr>
              <w:fldChar w:fldCharType="end"/>
            </w:r>
          </w:hyperlink>
        </w:p>
        <w:p w14:paraId="111F4145" w14:textId="5FB90270" w:rsidR="005A58C7" w:rsidRDefault="005A58C7">
          <w:pPr>
            <w:pStyle w:val="T1"/>
            <w:rPr>
              <w:rFonts w:eastAsiaTheme="minorEastAsia" w:cstheme="minorBidi"/>
              <w:b w:val="0"/>
              <w:bCs w:val="0"/>
              <w:noProof/>
              <w:kern w:val="2"/>
              <w:sz w:val="24"/>
              <w:szCs w:val="24"/>
              <w14:ligatures w14:val="standardContextual"/>
            </w:rPr>
          </w:pPr>
          <w:hyperlink w:anchor="_Toc192855291" w:history="1">
            <w:r w:rsidRPr="002A2BE0">
              <w:rPr>
                <w:rStyle w:val="Kpr"/>
                <w:rFonts w:eastAsiaTheme="majorEastAsia"/>
                <w:noProof/>
              </w:rPr>
              <w:t>Covıd-19 Döneminde Kimlik Ve Aidiyet Duygusuna Dair Anlatılar:</w:t>
            </w:r>
            <w:r>
              <w:rPr>
                <w:noProof/>
                <w:webHidden/>
              </w:rPr>
              <w:tab/>
            </w:r>
            <w:r>
              <w:rPr>
                <w:noProof/>
                <w:webHidden/>
              </w:rPr>
              <w:fldChar w:fldCharType="begin"/>
            </w:r>
            <w:r>
              <w:rPr>
                <w:noProof/>
                <w:webHidden/>
              </w:rPr>
              <w:instrText xml:space="preserve"> PAGEREF _Toc192855291 \h </w:instrText>
            </w:r>
            <w:r>
              <w:rPr>
                <w:noProof/>
                <w:webHidden/>
              </w:rPr>
            </w:r>
            <w:r>
              <w:rPr>
                <w:noProof/>
                <w:webHidden/>
              </w:rPr>
              <w:fldChar w:fldCharType="separate"/>
            </w:r>
            <w:r w:rsidR="003B72F6">
              <w:rPr>
                <w:noProof/>
                <w:webHidden/>
              </w:rPr>
              <w:t>713</w:t>
            </w:r>
            <w:r>
              <w:rPr>
                <w:noProof/>
                <w:webHidden/>
              </w:rPr>
              <w:fldChar w:fldCharType="end"/>
            </w:r>
          </w:hyperlink>
        </w:p>
        <w:p w14:paraId="7717BC85" w14:textId="1A34529F" w:rsidR="005A58C7" w:rsidRDefault="005A58C7">
          <w:pPr>
            <w:pStyle w:val="T1"/>
            <w:rPr>
              <w:rFonts w:eastAsiaTheme="minorEastAsia" w:cstheme="minorBidi"/>
              <w:b w:val="0"/>
              <w:bCs w:val="0"/>
              <w:noProof/>
              <w:kern w:val="2"/>
              <w:sz w:val="24"/>
              <w:szCs w:val="24"/>
              <w14:ligatures w14:val="standardContextual"/>
            </w:rPr>
          </w:pPr>
          <w:hyperlink w:anchor="_Toc192855292" w:history="1">
            <w:r w:rsidRPr="002A2BE0">
              <w:rPr>
                <w:rStyle w:val="Kpr"/>
                <w:rFonts w:eastAsiaTheme="majorEastAsia"/>
                <w:noProof/>
              </w:rPr>
              <w:t>Hollanda’dan Vaka Çalışmaları</w:t>
            </w:r>
            <w:r>
              <w:rPr>
                <w:noProof/>
                <w:webHidden/>
              </w:rPr>
              <w:tab/>
            </w:r>
            <w:r>
              <w:rPr>
                <w:noProof/>
                <w:webHidden/>
              </w:rPr>
              <w:fldChar w:fldCharType="begin"/>
            </w:r>
            <w:r>
              <w:rPr>
                <w:noProof/>
                <w:webHidden/>
              </w:rPr>
              <w:instrText xml:space="preserve"> PAGEREF _Toc192855292 \h </w:instrText>
            </w:r>
            <w:r>
              <w:rPr>
                <w:noProof/>
                <w:webHidden/>
              </w:rPr>
            </w:r>
            <w:r>
              <w:rPr>
                <w:noProof/>
                <w:webHidden/>
              </w:rPr>
              <w:fldChar w:fldCharType="separate"/>
            </w:r>
            <w:r w:rsidR="003B72F6">
              <w:rPr>
                <w:noProof/>
                <w:webHidden/>
              </w:rPr>
              <w:t>713</w:t>
            </w:r>
            <w:r>
              <w:rPr>
                <w:noProof/>
                <w:webHidden/>
              </w:rPr>
              <w:fldChar w:fldCharType="end"/>
            </w:r>
          </w:hyperlink>
        </w:p>
        <w:p w14:paraId="64A82CF4" w14:textId="485BFC4B" w:rsidR="005A58C7" w:rsidRDefault="005A58C7">
          <w:pPr>
            <w:pStyle w:val="T1"/>
            <w:rPr>
              <w:rFonts w:eastAsiaTheme="minorEastAsia" w:cstheme="minorBidi"/>
              <w:b w:val="0"/>
              <w:bCs w:val="0"/>
              <w:noProof/>
              <w:kern w:val="2"/>
              <w:sz w:val="24"/>
              <w:szCs w:val="24"/>
              <w14:ligatures w14:val="standardContextual"/>
            </w:rPr>
          </w:pPr>
          <w:hyperlink w:anchor="_Toc192855293" w:history="1">
            <w:r w:rsidRPr="002A2BE0">
              <w:rPr>
                <w:rStyle w:val="Kpr"/>
                <w:rFonts w:eastAsiaTheme="majorEastAsia"/>
                <w:noProof/>
              </w:rPr>
              <w:t>Yabancı Uyruklu Öğrencilerde Kültürel Zekâ ve Kültürel Şok Arasındaki İlişkinin İncelenmesi</w:t>
            </w:r>
            <w:r>
              <w:rPr>
                <w:noProof/>
                <w:webHidden/>
              </w:rPr>
              <w:tab/>
            </w:r>
            <w:r>
              <w:rPr>
                <w:noProof/>
                <w:webHidden/>
              </w:rPr>
              <w:fldChar w:fldCharType="begin"/>
            </w:r>
            <w:r>
              <w:rPr>
                <w:noProof/>
                <w:webHidden/>
              </w:rPr>
              <w:instrText xml:space="preserve"> PAGEREF _Toc192855293 \h </w:instrText>
            </w:r>
            <w:r>
              <w:rPr>
                <w:noProof/>
                <w:webHidden/>
              </w:rPr>
            </w:r>
            <w:r>
              <w:rPr>
                <w:noProof/>
                <w:webHidden/>
              </w:rPr>
              <w:fldChar w:fldCharType="separate"/>
            </w:r>
            <w:r w:rsidR="003B72F6">
              <w:rPr>
                <w:noProof/>
                <w:webHidden/>
              </w:rPr>
              <w:t>727</w:t>
            </w:r>
            <w:r>
              <w:rPr>
                <w:noProof/>
                <w:webHidden/>
              </w:rPr>
              <w:fldChar w:fldCharType="end"/>
            </w:r>
          </w:hyperlink>
        </w:p>
        <w:p w14:paraId="22D18966" w14:textId="435CD637" w:rsidR="005A58C7" w:rsidRDefault="005A58C7">
          <w:pPr>
            <w:pStyle w:val="T1"/>
            <w:rPr>
              <w:rFonts w:eastAsiaTheme="minorEastAsia" w:cstheme="minorBidi"/>
              <w:b w:val="0"/>
              <w:bCs w:val="0"/>
              <w:noProof/>
              <w:kern w:val="2"/>
              <w:sz w:val="24"/>
              <w:szCs w:val="24"/>
              <w14:ligatures w14:val="standardContextual"/>
            </w:rPr>
          </w:pPr>
          <w:hyperlink w:anchor="_Toc192855294" w:history="1">
            <w:r w:rsidRPr="002A2BE0">
              <w:rPr>
                <w:rStyle w:val="Kpr"/>
                <w:rFonts w:eastAsiaTheme="majorEastAsia"/>
                <w:noProof/>
              </w:rPr>
              <w:t>Hatırlama ve Unutma Süreci Bağlamında Yapay Zekânın İşlevini Sorgulamak</w:t>
            </w:r>
            <w:r>
              <w:rPr>
                <w:noProof/>
                <w:webHidden/>
              </w:rPr>
              <w:tab/>
            </w:r>
            <w:r>
              <w:rPr>
                <w:noProof/>
                <w:webHidden/>
              </w:rPr>
              <w:fldChar w:fldCharType="begin"/>
            </w:r>
            <w:r>
              <w:rPr>
                <w:noProof/>
                <w:webHidden/>
              </w:rPr>
              <w:instrText xml:space="preserve"> PAGEREF _Toc192855294 \h </w:instrText>
            </w:r>
            <w:r>
              <w:rPr>
                <w:noProof/>
                <w:webHidden/>
              </w:rPr>
            </w:r>
            <w:r>
              <w:rPr>
                <w:noProof/>
                <w:webHidden/>
              </w:rPr>
              <w:fldChar w:fldCharType="separate"/>
            </w:r>
            <w:r w:rsidR="003B72F6">
              <w:rPr>
                <w:noProof/>
                <w:webHidden/>
              </w:rPr>
              <w:t>728</w:t>
            </w:r>
            <w:r>
              <w:rPr>
                <w:noProof/>
                <w:webHidden/>
              </w:rPr>
              <w:fldChar w:fldCharType="end"/>
            </w:r>
          </w:hyperlink>
        </w:p>
        <w:p w14:paraId="5B90D217" w14:textId="2CB9D899" w:rsidR="005A58C7" w:rsidRDefault="005A58C7">
          <w:pPr>
            <w:pStyle w:val="T1"/>
            <w:rPr>
              <w:rFonts w:eastAsiaTheme="minorEastAsia" w:cstheme="minorBidi"/>
              <w:b w:val="0"/>
              <w:bCs w:val="0"/>
              <w:noProof/>
              <w:kern w:val="2"/>
              <w:sz w:val="24"/>
              <w:szCs w:val="24"/>
              <w14:ligatures w14:val="standardContextual"/>
            </w:rPr>
          </w:pPr>
          <w:hyperlink w:anchor="_Toc192855295" w:history="1">
            <w:r w:rsidRPr="002A2BE0">
              <w:rPr>
                <w:rStyle w:val="Kpr"/>
                <w:rFonts w:eastAsiaTheme="minorHAnsi"/>
                <w:noProof/>
              </w:rPr>
              <w:t>Sürdürülebilir Kalkınmanın Sağlanmasında Çok Düzeyli Yönetişimin Rolü</w:t>
            </w:r>
            <w:r>
              <w:rPr>
                <w:noProof/>
                <w:webHidden/>
              </w:rPr>
              <w:tab/>
            </w:r>
            <w:r>
              <w:rPr>
                <w:noProof/>
                <w:webHidden/>
              </w:rPr>
              <w:fldChar w:fldCharType="begin"/>
            </w:r>
            <w:r>
              <w:rPr>
                <w:noProof/>
                <w:webHidden/>
              </w:rPr>
              <w:instrText xml:space="preserve"> PAGEREF _Toc192855295 \h </w:instrText>
            </w:r>
            <w:r>
              <w:rPr>
                <w:noProof/>
                <w:webHidden/>
              </w:rPr>
            </w:r>
            <w:r>
              <w:rPr>
                <w:noProof/>
                <w:webHidden/>
              </w:rPr>
              <w:fldChar w:fldCharType="separate"/>
            </w:r>
            <w:r w:rsidR="003B72F6">
              <w:rPr>
                <w:noProof/>
                <w:webHidden/>
              </w:rPr>
              <w:t>729</w:t>
            </w:r>
            <w:r>
              <w:rPr>
                <w:noProof/>
                <w:webHidden/>
              </w:rPr>
              <w:fldChar w:fldCharType="end"/>
            </w:r>
          </w:hyperlink>
        </w:p>
        <w:p w14:paraId="5DD8937F" w14:textId="3F81F57F" w:rsidR="005A58C7" w:rsidRDefault="005A58C7">
          <w:pPr>
            <w:pStyle w:val="T1"/>
            <w:rPr>
              <w:rFonts w:eastAsiaTheme="minorEastAsia" w:cstheme="minorBidi"/>
              <w:b w:val="0"/>
              <w:bCs w:val="0"/>
              <w:noProof/>
              <w:kern w:val="2"/>
              <w:sz w:val="24"/>
              <w:szCs w:val="24"/>
              <w14:ligatures w14:val="standardContextual"/>
            </w:rPr>
          </w:pPr>
          <w:hyperlink w:anchor="_Toc192855296" w:history="1">
            <w:r w:rsidRPr="002A2BE0">
              <w:rPr>
                <w:rStyle w:val="Kpr"/>
                <w:rFonts w:eastAsiaTheme="majorEastAsia"/>
                <w:noProof/>
              </w:rPr>
              <w:t>Akıllı Kentlerde Vatandaş Odaklı Bir Akıllı Uygulama: Living Lab Uygulaması</w:t>
            </w:r>
            <w:r>
              <w:rPr>
                <w:noProof/>
                <w:webHidden/>
              </w:rPr>
              <w:tab/>
            </w:r>
            <w:r>
              <w:rPr>
                <w:noProof/>
                <w:webHidden/>
              </w:rPr>
              <w:fldChar w:fldCharType="begin"/>
            </w:r>
            <w:r>
              <w:rPr>
                <w:noProof/>
                <w:webHidden/>
              </w:rPr>
              <w:instrText xml:space="preserve"> PAGEREF _Toc192855296 \h </w:instrText>
            </w:r>
            <w:r>
              <w:rPr>
                <w:noProof/>
                <w:webHidden/>
              </w:rPr>
            </w:r>
            <w:r>
              <w:rPr>
                <w:noProof/>
                <w:webHidden/>
              </w:rPr>
              <w:fldChar w:fldCharType="separate"/>
            </w:r>
            <w:r w:rsidR="003B72F6">
              <w:rPr>
                <w:noProof/>
                <w:webHidden/>
              </w:rPr>
              <w:t>730</w:t>
            </w:r>
            <w:r>
              <w:rPr>
                <w:noProof/>
                <w:webHidden/>
              </w:rPr>
              <w:fldChar w:fldCharType="end"/>
            </w:r>
          </w:hyperlink>
        </w:p>
        <w:p w14:paraId="589F527E" w14:textId="48C73D22" w:rsidR="005A58C7" w:rsidRDefault="005A58C7">
          <w:pPr>
            <w:pStyle w:val="T1"/>
            <w:rPr>
              <w:rFonts w:eastAsiaTheme="minorEastAsia" w:cstheme="minorBidi"/>
              <w:b w:val="0"/>
              <w:bCs w:val="0"/>
              <w:noProof/>
              <w:kern w:val="2"/>
              <w:sz w:val="24"/>
              <w:szCs w:val="24"/>
              <w14:ligatures w14:val="standardContextual"/>
            </w:rPr>
          </w:pPr>
          <w:hyperlink w:anchor="_Toc192855297" w:history="1">
            <w:r w:rsidRPr="002A2BE0">
              <w:rPr>
                <w:rStyle w:val="Kpr"/>
                <w:rFonts w:eastAsiaTheme="majorEastAsia"/>
                <w:noProof/>
              </w:rPr>
              <w:t>Kent Kır Ayrımında Yeni Bir Sınıflandırma: Yoğun Kent, Orta Yoğun Kent ve Kır</w:t>
            </w:r>
            <w:r>
              <w:rPr>
                <w:noProof/>
                <w:webHidden/>
              </w:rPr>
              <w:tab/>
            </w:r>
            <w:r>
              <w:rPr>
                <w:noProof/>
                <w:webHidden/>
              </w:rPr>
              <w:fldChar w:fldCharType="begin"/>
            </w:r>
            <w:r>
              <w:rPr>
                <w:noProof/>
                <w:webHidden/>
              </w:rPr>
              <w:instrText xml:space="preserve"> PAGEREF _Toc192855297 \h </w:instrText>
            </w:r>
            <w:r>
              <w:rPr>
                <w:noProof/>
                <w:webHidden/>
              </w:rPr>
            </w:r>
            <w:r>
              <w:rPr>
                <w:noProof/>
                <w:webHidden/>
              </w:rPr>
              <w:fldChar w:fldCharType="separate"/>
            </w:r>
            <w:r w:rsidR="003B72F6">
              <w:rPr>
                <w:noProof/>
                <w:webHidden/>
              </w:rPr>
              <w:t>742</w:t>
            </w:r>
            <w:r>
              <w:rPr>
                <w:noProof/>
                <w:webHidden/>
              </w:rPr>
              <w:fldChar w:fldCharType="end"/>
            </w:r>
          </w:hyperlink>
        </w:p>
        <w:p w14:paraId="732C8011" w14:textId="5AA970B6" w:rsidR="005A58C7" w:rsidRDefault="005A58C7">
          <w:pPr>
            <w:pStyle w:val="T1"/>
            <w:rPr>
              <w:rFonts w:eastAsiaTheme="minorEastAsia" w:cstheme="minorBidi"/>
              <w:b w:val="0"/>
              <w:bCs w:val="0"/>
              <w:noProof/>
              <w:kern w:val="2"/>
              <w:sz w:val="24"/>
              <w:szCs w:val="24"/>
              <w14:ligatures w14:val="standardContextual"/>
            </w:rPr>
          </w:pPr>
          <w:hyperlink w:anchor="_Toc192855298" w:history="1">
            <w:r w:rsidRPr="002A2BE0">
              <w:rPr>
                <w:rStyle w:val="Kpr"/>
                <w:rFonts w:eastAsiaTheme="majorEastAsia"/>
                <w:noProof/>
              </w:rPr>
              <w:t>İklim Değişikliğinin Tarım ve Kırsal Nüfus Üzerine Etkileri: Azerbaycan Örneği</w:t>
            </w:r>
            <w:r>
              <w:rPr>
                <w:noProof/>
                <w:webHidden/>
              </w:rPr>
              <w:tab/>
            </w:r>
            <w:r>
              <w:rPr>
                <w:noProof/>
                <w:webHidden/>
              </w:rPr>
              <w:fldChar w:fldCharType="begin"/>
            </w:r>
            <w:r>
              <w:rPr>
                <w:noProof/>
                <w:webHidden/>
              </w:rPr>
              <w:instrText xml:space="preserve"> PAGEREF _Toc192855298 \h </w:instrText>
            </w:r>
            <w:r>
              <w:rPr>
                <w:noProof/>
                <w:webHidden/>
              </w:rPr>
            </w:r>
            <w:r>
              <w:rPr>
                <w:noProof/>
                <w:webHidden/>
              </w:rPr>
              <w:fldChar w:fldCharType="separate"/>
            </w:r>
            <w:r w:rsidR="003B72F6">
              <w:rPr>
                <w:noProof/>
                <w:webHidden/>
              </w:rPr>
              <w:t>743</w:t>
            </w:r>
            <w:r>
              <w:rPr>
                <w:noProof/>
                <w:webHidden/>
              </w:rPr>
              <w:fldChar w:fldCharType="end"/>
            </w:r>
          </w:hyperlink>
        </w:p>
        <w:p w14:paraId="0D39F348" w14:textId="4736D7B9" w:rsidR="005A58C7" w:rsidRDefault="005A58C7">
          <w:pPr>
            <w:pStyle w:val="T1"/>
            <w:rPr>
              <w:rFonts w:eastAsiaTheme="minorEastAsia" w:cstheme="minorBidi"/>
              <w:b w:val="0"/>
              <w:bCs w:val="0"/>
              <w:noProof/>
              <w:kern w:val="2"/>
              <w:sz w:val="24"/>
              <w:szCs w:val="24"/>
              <w14:ligatures w14:val="standardContextual"/>
            </w:rPr>
          </w:pPr>
          <w:hyperlink w:anchor="_Toc192855299" w:history="1">
            <w:r w:rsidRPr="002A2BE0">
              <w:rPr>
                <w:rStyle w:val="Kpr"/>
                <w:rFonts w:eastAsiaTheme="majorEastAsia"/>
                <w:noProof/>
              </w:rPr>
              <w:t>İklim Krizi ve Kent Yaşamı</w:t>
            </w:r>
            <w:r>
              <w:rPr>
                <w:noProof/>
                <w:webHidden/>
              </w:rPr>
              <w:tab/>
            </w:r>
            <w:r>
              <w:rPr>
                <w:noProof/>
                <w:webHidden/>
              </w:rPr>
              <w:fldChar w:fldCharType="begin"/>
            </w:r>
            <w:r>
              <w:rPr>
                <w:noProof/>
                <w:webHidden/>
              </w:rPr>
              <w:instrText xml:space="preserve"> PAGEREF _Toc192855299 \h </w:instrText>
            </w:r>
            <w:r>
              <w:rPr>
                <w:noProof/>
                <w:webHidden/>
              </w:rPr>
            </w:r>
            <w:r>
              <w:rPr>
                <w:noProof/>
                <w:webHidden/>
              </w:rPr>
              <w:fldChar w:fldCharType="separate"/>
            </w:r>
            <w:r w:rsidR="003B72F6">
              <w:rPr>
                <w:noProof/>
                <w:webHidden/>
              </w:rPr>
              <w:t>744</w:t>
            </w:r>
            <w:r>
              <w:rPr>
                <w:noProof/>
                <w:webHidden/>
              </w:rPr>
              <w:fldChar w:fldCharType="end"/>
            </w:r>
          </w:hyperlink>
        </w:p>
        <w:p w14:paraId="0336C23D" w14:textId="4F1FCBC1" w:rsidR="005A58C7" w:rsidRDefault="005A58C7">
          <w:pPr>
            <w:pStyle w:val="T1"/>
            <w:rPr>
              <w:rFonts w:eastAsiaTheme="minorEastAsia" w:cstheme="minorBidi"/>
              <w:b w:val="0"/>
              <w:bCs w:val="0"/>
              <w:noProof/>
              <w:kern w:val="2"/>
              <w:sz w:val="24"/>
              <w:szCs w:val="24"/>
              <w14:ligatures w14:val="standardContextual"/>
            </w:rPr>
          </w:pPr>
          <w:hyperlink w:anchor="_Toc192855300" w:history="1">
            <w:r w:rsidRPr="002A2BE0">
              <w:rPr>
                <w:rStyle w:val="Kpr"/>
                <w:rFonts w:eastAsiaTheme="majorEastAsia"/>
                <w:noProof/>
              </w:rPr>
              <w:t>Eğitim, Sosyal Yaşam ve Sağlık: 19. İngiliz Edebiyatı Ve Tarihi Bağlamında Charles Dickens’ın Eserlerine Yansıyan Toplum Portresi</w:t>
            </w:r>
            <w:r>
              <w:rPr>
                <w:noProof/>
                <w:webHidden/>
              </w:rPr>
              <w:tab/>
            </w:r>
            <w:r>
              <w:rPr>
                <w:noProof/>
                <w:webHidden/>
              </w:rPr>
              <w:fldChar w:fldCharType="begin"/>
            </w:r>
            <w:r>
              <w:rPr>
                <w:noProof/>
                <w:webHidden/>
              </w:rPr>
              <w:instrText xml:space="preserve"> PAGEREF _Toc192855300 \h </w:instrText>
            </w:r>
            <w:r>
              <w:rPr>
                <w:noProof/>
                <w:webHidden/>
              </w:rPr>
            </w:r>
            <w:r>
              <w:rPr>
                <w:noProof/>
                <w:webHidden/>
              </w:rPr>
              <w:fldChar w:fldCharType="separate"/>
            </w:r>
            <w:r w:rsidR="003B72F6">
              <w:rPr>
                <w:noProof/>
                <w:webHidden/>
              </w:rPr>
              <w:t>745</w:t>
            </w:r>
            <w:r>
              <w:rPr>
                <w:noProof/>
                <w:webHidden/>
              </w:rPr>
              <w:fldChar w:fldCharType="end"/>
            </w:r>
          </w:hyperlink>
        </w:p>
        <w:p w14:paraId="66C650A9" w14:textId="3B180ED0" w:rsidR="005A58C7" w:rsidRDefault="005A58C7">
          <w:pPr>
            <w:pStyle w:val="T1"/>
            <w:rPr>
              <w:rFonts w:eastAsiaTheme="minorEastAsia" w:cstheme="minorBidi"/>
              <w:b w:val="0"/>
              <w:bCs w:val="0"/>
              <w:noProof/>
              <w:kern w:val="2"/>
              <w:sz w:val="24"/>
              <w:szCs w:val="24"/>
              <w14:ligatures w14:val="standardContextual"/>
            </w:rPr>
          </w:pPr>
          <w:hyperlink w:anchor="_Toc192855301" w:history="1">
            <w:r w:rsidRPr="002A2BE0">
              <w:rPr>
                <w:rStyle w:val="Kpr"/>
                <w:rFonts w:eastAsiaTheme="majorEastAsia"/>
                <w:noProof/>
              </w:rPr>
              <w:t>Education, Social Life, And Health: A Portrait Of The Society Reflected In The Works Of Charles Dickens In 19th-Century English Literature And Historical Context</w:t>
            </w:r>
            <w:r>
              <w:rPr>
                <w:noProof/>
                <w:webHidden/>
              </w:rPr>
              <w:tab/>
            </w:r>
            <w:r>
              <w:rPr>
                <w:noProof/>
                <w:webHidden/>
              </w:rPr>
              <w:fldChar w:fldCharType="begin"/>
            </w:r>
            <w:r>
              <w:rPr>
                <w:noProof/>
                <w:webHidden/>
              </w:rPr>
              <w:instrText xml:space="preserve"> PAGEREF _Toc192855301 \h </w:instrText>
            </w:r>
            <w:r>
              <w:rPr>
                <w:noProof/>
                <w:webHidden/>
              </w:rPr>
            </w:r>
            <w:r>
              <w:rPr>
                <w:noProof/>
                <w:webHidden/>
              </w:rPr>
              <w:fldChar w:fldCharType="separate"/>
            </w:r>
            <w:r w:rsidR="003B72F6">
              <w:rPr>
                <w:noProof/>
                <w:webHidden/>
              </w:rPr>
              <w:t>746</w:t>
            </w:r>
            <w:r>
              <w:rPr>
                <w:noProof/>
                <w:webHidden/>
              </w:rPr>
              <w:fldChar w:fldCharType="end"/>
            </w:r>
          </w:hyperlink>
        </w:p>
        <w:p w14:paraId="61114D92" w14:textId="1BACA021" w:rsidR="005A58C7" w:rsidRDefault="005A58C7">
          <w:pPr>
            <w:pStyle w:val="T1"/>
            <w:rPr>
              <w:rFonts w:eastAsiaTheme="minorEastAsia" w:cstheme="minorBidi"/>
              <w:b w:val="0"/>
              <w:bCs w:val="0"/>
              <w:noProof/>
              <w:kern w:val="2"/>
              <w:sz w:val="24"/>
              <w:szCs w:val="24"/>
              <w14:ligatures w14:val="standardContextual"/>
            </w:rPr>
          </w:pPr>
          <w:hyperlink w:anchor="_Toc192855302" w:history="1">
            <w:r w:rsidRPr="002A2BE0">
              <w:rPr>
                <w:rStyle w:val="Kpr"/>
                <w:rFonts w:eastAsiaTheme="majorEastAsia"/>
                <w:noProof/>
              </w:rPr>
              <w:t>Murathan Mungan’ın Seçtikleriyle ‘Erkekler Yalnızlıklar’ Adlı Öykü Kitabında Madun Erkeklikler</w:t>
            </w:r>
            <w:r>
              <w:rPr>
                <w:noProof/>
                <w:webHidden/>
              </w:rPr>
              <w:tab/>
            </w:r>
            <w:r>
              <w:rPr>
                <w:noProof/>
                <w:webHidden/>
              </w:rPr>
              <w:fldChar w:fldCharType="begin"/>
            </w:r>
            <w:r>
              <w:rPr>
                <w:noProof/>
                <w:webHidden/>
              </w:rPr>
              <w:instrText xml:space="preserve"> PAGEREF _Toc192855302 \h </w:instrText>
            </w:r>
            <w:r>
              <w:rPr>
                <w:noProof/>
                <w:webHidden/>
              </w:rPr>
            </w:r>
            <w:r>
              <w:rPr>
                <w:noProof/>
                <w:webHidden/>
              </w:rPr>
              <w:fldChar w:fldCharType="separate"/>
            </w:r>
            <w:r w:rsidR="003B72F6">
              <w:rPr>
                <w:noProof/>
                <w:webHidden/>
              </w:rPr>
              <w:t>764</w:t>
            </w:r>
            <w:r>
              <w:rPr>
                <w:noProof/>
                <w:webHidden/>
              </w:rPr>
              <w:fldChar w:fldCharType="end"/>
            </w:r>
          </w:hyperlink>
        </w:p>
        <w:p w14:paraId="6FD9B347" w14:textId="1D756379" w:rsidR="005A58C7" w:rsidRDefault="005A58C7">
          <w:pPr>
            <w:pStyle w:val="T1"/>
            <w:rPr>
              <w:rFonts w:eastAsiaTheme="minorEastAsia" w:cstheme="minorBidi"/>
              <w:b w:val="0"/>
              <w:bCs w:val="0"/>
              <w:noProof/>
              <w:kern w:val="2"/>
              <w:sz w:val="24"/>
              <w:szCs w:val="24"/>
              <w14:ligatures w14:val="standardContextual"/>
            </w:rPr>
          </w:pPr>
          <w:hyperlink w:anchor="_Toc192855303" w:history="1">
            <w:r w:rsidRPr="002A2BE0">
              <w:rPr>
                <w:rStyle w:val="Kpr"/>
                <w:rFonts w:eastAsiaTheme="majorEastAsia"/>
                <w:noProof/>
              </w:rPr>
              <w:t>Tüketici Gücünün Yükselişi-Boykotun Sosyal Etkileri</w:t>
            </w:r>
            <w:r>
              <w:rPr>
                <w:noProof/>
                <w:webHidden/>
              </w:rPr>
              <w:tab/>
            </w:r>
            <w:r>
              <w:rPr>
                <w:noProof/>
                <w:webHidden/>
              </w:rPr>
              <w:fldChar w:fldCharType="begin"/>
            </w:r>
            <w:r>
              <w:rPr>
                <w:noProof/>
                <w:webHidden/>
              </w:rPr>
              <w:instrText xml:space="preserve"> PAGEREF _Toc192855303 \h </w:instrText>
            </w:r>
            <w:r>
              <w:rPr>
                <w:noProof/>
                <w:webHidden/>
              </w:rPr>
            </w:r>
            <w:r>
              <w:rPr>
                <w:noProof/>
                <w:webHidden/>
              </w:rPr>
              <w:fldChar w:fldCharType="separate"/>
            </w:r>
            <w:r w:rsidR="003B72F6">
              <w:rPr>
                <w:noProof/>
                <w:webHidden/>
              </w:rPr>
              <w:t>780</w:t>
            </w:r>
            <w:r>
              <w:rPr>
                <w:noProof/>
                <w:webHidden/>
              </w:rPr>
              <w:fldChar w:fldCharType="end"/>
            </w:r>
          </w:hyperlink>
        </w:p>
        <w:p w14:paraId="0DBF9173" w14:textId="31478EF6" w:rsidR="005A58C7" w:rsidRDefault="005A58C7">
          <w:pPr>
            <w:pStyle w:val="T1"/>
            <w:rPr>
              <w:rFonts w:eastAsiaTheme="minorEastAsia" w:cstheme="minorBidi"/>
              <w:b w:val="0"/>
              <w:bCs w:val="0"/>
              <w:noProof/>
              <w:kern w:val="2"/>
              <w:sz w:val="24"/>
              <w:szCs w:val="24"/>
              <w14:ligatures w14:val="standardContextual"/>
            </w:rPr>
          </w:pPr>
          <w:hyperlink w:anchor="_Toc192855304" w:history="1">
            <w:r w:rsidRPr="002A2BE0">
              <w:rPr>
                <w:rStyle w:val="Kpr"/>
                <w:rFonts w:eastAsiaTheme="majorEastAsia"/>
                <w:noProof/>
              </w:rPr>
              <w:t>Dijital Oyun İllüstrasyonlarında Tarihi Dönem Betimlemeleri Üzerine Bir İnceleme</w:t>
            </w:r>
            <w:r>
              <w:rPr>
                <w:noProof/>
                <w:webHidden/>
              </w:rPr>
              <w:tab/>
            </w:r>
            <w:r>
              <w:rPr>
                <w:noProof/>
                <w:webHidden/>
              </w:rPr>
              <w:fldChar w:fldCharType="begin"/>
            </w:r>
            <w:r>
              <w:rPr>
                <w:noProof/>
                <w:webHidden/>
              </w:rPr>
              <w:instrText xml:space="preserve"> PAGEREF _Toc192855304 \h </w:instrText>
            </w:r>
            <w:r>
              <w:rPr>
                <w:noProof/>
                <w:webHidden/>
              </w:rPr>
            </w:r>
            <w:r>
              <w:rPr>
                <w:noProof/>
                <w:webHidden/>
              </w:rPr>
              <w:fldChar w:fldCharType="separate"/>
            </w:r>
            <w:r w:rsidR="003B72F6">
              <w:rPr>
                <w:noProof/>
                <w:webHidden/>
              </w:rPr>
              <w:t>781</w:t>
            </w:r>
            <w:r>
              <w:rPr>
                <w:noProof/>
                <w:webHidden/>
              </w:rPr>
              <w:fldChar w:fldCharType="end"/>
            </w:r>
          </w:hyperlink>
        </w:p>
        <w:p w14:paraId="7B47E1F6" w14:textId="093B966A" w:rsidR="009F0AE3" w:rsidRDefault="009F0AE3">
          <w:r>
            <w:rPr>
              <w:rFonts w:asciiTheme="minorHAnsi" w:hAnsiTheme="minorHAnsi"/>
              <w:sz w:val="20"/>
              <w:szCs w:val="20"/>
            </w:rPr>
            <w:fldChar w:fldCharType="end"/>
          </w:r>
        </w:p>
      </w:sdtContent>
    </w:sdt>
    <w:p w14:paraId="068AB22D" w14:textId="77777777" w:rsidR="00F84AD5" w:rsidRPr="00D42316" w:rsidRDefault="00F84AD5">
      <w:pPr>
        <w:tabs>
          <w:tab w:val="left" w:pos="1632"/>
        </w:tabs>
        <w:jc w:val="both"/>
        <w:sectPr w:rsidR="00F84AD5" w:rsidRPr="00D42316" w:rsidSect="00DA5A57">
          <w:footerReference w:type="default" r:id="rId16"/>
          <w:type w:val="continuous"/>
          <w:pgSz w:w="11906" w:h="16838"/>
          <w:pgMar w:top="1418" w:right="1418" w:bottom="1418" w:left="1418" w:header="1304" w:footer="1361" w:gutter="0"/>
          <w:pgNumType w:start="0"/>
          <w:cols w:space="708"/>
        </w:sectPr>
      </w:pPr>
    </w:p>
    <w:p w14:paraId="4E26C138" w14:textId="336B8972" w:rsidR="00DA5A57" w:rsidRDefault="00DA5A57">
      <w:pPr>
        <w:autoSpaceDE/>
        <w:autoSpaceDN/>
        <w:rPr>
          <w:b/>
        </w:rPr>
      </w:pPr>
      <w:r>
        <w:rPr>
          <w:b/>
        </w:rPr>
        <w:br w:type="page"/>
      </w:r>
    </w:p>
    <w:p w14:paraId="02A3DD5E" w14:textId="77777777" w:rsidR="00F84AD5" w:rsidRPr="00D42316" w:rsidRDefault="00AC051C" w:rsidP="00254C59">
      <w:pPr>
        <w:pStyle w:val="Balk1"/>
        <w:spacing w:line="360" w:lineRule="auto"/>
        <w:rPr>
          <w:rFonts w:cs="Times New Roman"/>
          <w:b/>
          <w:szCs w:val="24"/>
        </w:rPr>
      </w:pPr>
      <w:bookmarkStart w:id="0" w:name="_Toc192855135"/>
      <w:r w:rsidRPr="00D42316">
        <w:rPr>
          <w:rFonts w:cs="Times New Roman"/>
          <w:b/>
          <w:szCs w:val="24"/>
        </w:rPr>
        <w:lastRenderedPageBreak/>
        <w:t>SUNUŞ</w:t>
      </w:r>
      <w:bookmarkEnd w:id="0"/>
    </w:p>
    <w:p w14:paraId="37019F5E" w14:textId="77777777" w:rsidR="00DA5A86" w:rsidRPr="004C0BC5" w:rsidRDefault="00DA5A86" w:rsidP="00254C59">
      <w:pPr>
        <w:spacing w:line="360" w:lineRule="auto"/>
        <w:ind w:firstLine="708"/>
      </w:pPr>
      <w:r w:rsidRPr="004C0BC5">
        <w:t>Değerli Araştırmacılar,</w:t>
      </w:r>
    </w:p>
    <w:p w14:paraId="544BA354" w14:textId="77777777" w:rsidR="00DA5A86" w:rsidRPr="004C0BC5" w:rsidRDefault="00DA5A86" w:rsidP="00254C59">
      <w:pPr>
        <w:spacing w:line="360" w:lineRule="auto"/>
        <w:ind w:firstLine="708"/>
      </w:pPr>
      <w:r w:rsidRPr="004C0BC5">
        <w:t>İnsan ve toplum bilimleri alanında çalışan araştırmacılar ve uzmanlar için güçlü bir akademik paylaşım ortamı oluşturma amacıyla başladığımız bu yolculukta, kongremizin dördüncüsü</w:t>
      </w:r>
      <w:r>
        <w:t xml:space="preserve"> gerçekleştirilmiştir</w:t>
      </w:r>
      <w:r w:rsidRPr="004C0BC5">
        <w:t>. Gelenekselleşen bir akademik buluşma noktası hâline gelen kongremiz, bilim dünyasına katkı sunmaya, yeni fikirlerin doğmasına ve akademik iş birliklerinin gelişmesine önemli bir zemin hazırlamayı amaçlamaktadır. </w:t>
      </w:r>
    </w:p>
    <w:p w14:paraId="74C5A09C" w14:textId="77777777" w:rsidR="00DA5A86" w:rsidRPr="004C0BC5" w:rsidRDefault="00DA5A86" w:rsidP="00254C59">
      <w:pPr>
        <w:spacing w:line="360" w:lineRule="auto"/>
        <w:ind w:firstLine="708"/>
      </w:pPr>
      <w:r w:rsidRPr="004C0BC5">
        <w:t>Her yıl artan ilgi ve genişleyen katılımcı kitlesi, bu çabanın karşılık bulduğunu görmek açısından bizler için büyük bir motivasyon kaynağıdır. Bu yıl kongremize gösterilen yoğun ilgi, çok sayıda bildiri başvurusu ve uluslararası katılım oranının yüksekliği, bu platformun akademik dünyadaki yerini her geçen gün daha da güçlendirdiğini ortaya koymaktadır. Farklı ülkelerden gelen bildirilerin sunulacak olması, disiplinler arası etkileşimi artır</w:t>
      </w:r>
      <w:r>
        <w:t>ıp</w:t>
      </w:r>
      <w:r w:rsidRPr="004C0BC5">
        <w:t xml:space="preserve"> bilimsel bilgi paylaşımını daha da zenginleştir</w:t>
      </w:r>
      <w:r>
        <w:t>mektedir</w:t>
      </w:r>
      <w:r w:rsidRPr="004C0BC5">
        <w:t>.</w:t>
      </w:r>
    </w:p>
    <w:p w14:paraId="5CAF6B5E" w14:textId="77777777" w:rsidR="00DA5A86" w:rsidRPr="004C0BC5" w:rsidRDefault="00DA5A86" w:rsidP="00254C59">
      <w:pPr>
        <w:spacing w:line="360" w:lineRule="auto"/>
        <w:ind w:firstLine="708"/>
      </w:pPr>
      <w:r w:rsidRPr="004C0BC5">
        <w:t>Bilim, yalnızca öğrenmek değil, aynı zamanda sorgulamak, araştırmak ve paylaşmaktır. Akademik dünya sürekli değişen, dinamik bir yapıya sahiptir ve bu gelişimin arkasında bilim insanlarının titiz çalışmaları yer almaktadır. Bu yıl kongremizde ele alınan konular; psikoloji, sosyoloji, mütercim-tercümanlık, işletme, yönetim bilişim sistemleri, siyaset bilimi, kamu yönetimi ve uluslararası ilişkiler gibi geniş bir akademik alanı kapsamaktadır. Bu çeşitlilik, bilimin çok yönlü yapısını ve disiplinler arası etkileşimin gücünü bir kez daha gözler önüne sermektedir.</w:t>
      </w:r>
    </w:p>
    <w:p w14:paraId="50B6E82A" w14:textId="77777777" w:rsidR="00DA5A86" w:rsidRPr="004C0BC5" w:rsidRDefault="00DA5A86" w:rsidP="00254C59">
      <w:pPr>
        <w:spacing w:line="360" w:lineRule="auto"/>
        <w:ind w:firstLine="708"/>
      </w:pPr>
      <w:r w:rsidRPr="004C0BC5">
        <w:t>Bilimsel çalışmaların yalnızca akademik dünyada değil, toplumda da yankı bulması gerektiğine inan</w:t>
      </w:r>
      <w:r>
        <w:t xml:space="preserve">maktayım. </w:t>
      </w:r>
      <w:r w:rsidRPr="004C0BC5">
        <w:t>Üretilen bilginin, kuramsal çerçevenin ötesine geçerek günümüzün sorunlarına çözüm sunmasını önemli görüyoru</w:t>
      </w:r>
      <w:r>
        <w:t>m</w:t>
      </w:r>
      <w:r w:rsidRPr="004C0BC5">
        <w:t>. Bu nedenle kongremizde sunulan bildirilerin, akademik katkılarının yanı sıra güncel problemlere ışık tutmasını ve toplumsal fayda sağlaması bekl</w:t>
      </w:r>
      <w:r>
        <w:t xml:space="preserve">enmektedir. </w:t>
      </w:r>
    </w:p>
    <w:p w14:paraId="13F56622" w14:textId="77777777" w:rsidR="00DA5A86" w:rsidRPr="004C0BC5" w:rsidRDefault="00DA5A86" w:rsidP="00254C59">
      <w:pPr>
        <w:spacing w:line="360" w:lineRule="auto"/>
        <w:ind w:firstLine="708"/>
      </w:pPr>
      <w:r w:rsidRPr="004C0BC5">
        <w:t>Bilimsel araştırmalarda yöntem, ulaşılan bilginin güvenilirliği ve geçerliliği açısından kritik bir unsur olup, sosyal bilimlerde nitel ve nicel yaklaşımlar arasında denge sağlamak büyük önem taşımaktadır. Günümüzde nicel analizler veriye dayalı sonuçlar sağlarken, nitel yöntemler insan davranışlarını</w:t>
      </w:r>
      <w:r>
        <w:t>n</w:t>
      </w:r>
      <w:r w:rsidRPr="004C0BC5">
        <w:t>, toplumsal süreçleri</w:t>
      </w:r>
      <w:r>
        <w:t xml:space="preserve">n </w:t>
      </w:r>
      <w:r w:rsidRPr="004C0BC5">
        <w:t>ve kültürel yapıların derinlemesine anlaşılmasına katkıda bulunmaktadır.</w:t>
      </w:r>
    </w:p>
    <w:p w14:paraId="485BD5C8" w14:textId="77777777" w:rsidR="00DA5A86" w:rsidRPr="004C0BC5" w:rsidRDefault="00DA5A86" w:rsidP="00254C59">
      <w:pPr>
        <w:spacing w:line="360" w:lineRule="auto"/>
        <w:ind w:firstLine="708"/>
      </w:pPr>
      <w:r w:rsidRPr="004C0BC5">
        <w:t xml:space="preserve">Son yıllarda yapay </w:t>
      </w:r>
      <w:proofErr w:type="gramStart"/>
      <w:r w:rsidRPr="004C0BC5">
        <w:t>zeka</w:t>
      </w:r>
      <w:proofErr w:type="gramEnd"/>
      <w:r w:rsidRPr="004C0BC5">
        <w:t xml:space="preserve">, veri analitiği ve büyük veri teknikleri, araştırma süreçlerini </w:t>
      </w:r>
      <w:r w:rsidRPr="004C0BC5">
        <w:lastRenderedPageBreak/>
        <w:t>yeniden şekillendirmiştir. Psikoloji, sosyoloji ve uluslararası ilişkiler gibi alanlarda büyük veri analizleri, metin madenciliği, doğal dil işleme ve makine öğrenmesi gibi yöntemler, akademik dünyaya yeni bir perspektif kazandırmıştır. Ancak bu teknolojik dönüşümün, etik sorumlulukları da beraberinde getirdiğini unutmamak gerekir.</w:t>
      </w:r>
    </w:p>
    <w:p w14:paraId="062532AD" w14:textId="77777777" w:rsidR="00DA5A86" w:rsidRPr="004C0BC5" w:rsidRDefault="00DA5A86" w:rsidP="00254C59">
      <w:pPr>
        <w:spacing w:line="360" w:lineRule="auto"/>
        <w:ind w:firstLine="708"/>
      </w:pPr>
      <w:r w:rsidRPr="004C0BC5">
        <w:t>Bilimin gücü, yalnızca elde edilen sonuçlarla değil, bu sonuçlara ulaşma süreciyle de değerlendiril</w:t>
      </w:r>
      <w:r>
        <w:t>mektedir.</w:t>
      </w:r>
      <w:r w:rsidRPr="004C0BC5">
        <w:t xml:space="preserve"> Akademik etik, üretilen bilginin güvenilirliğini ve bilim dünyasında saygınlığını korumanın temel taşıdır. İntihal, veri manipülasyonu ve kaynak göstermeden alıntı yapma gibi etik ihlaller, akademik dünyanın en büyük tehditleri arasındadır. Kongremizde sunulan tüm çalışmaların bilimsel yöntemlere uygun, etik kurallara bağlı ve akademik dürüstlük çerçevesinde hazırlandığını vurgulamak isteri</w:t>
      </w:r>
      <w:r>
        <w:t>m</w:t>
      </w:r>
      <w:r w:rsidRPr="004C0BC5">
        <w:t>.</w:t>
      </w:r>
    </w:p>
    <w:p w14:paraId="5C15C23B" w14:textId="77777777" w:rsidR="00DA5A86" w:rsidRPr="004C0BC5" w:rsidRDefault="00DA5A86" w:rsidP="00254C59">
      <w:pPr>
        <w:spacing w:line="360" w:lineRule="auto"/>
        <w:ind w:firstLine="708"/>
      </w:pPr>
      <w:r w:rsidRPr="004C0BC5">
        <w:t>Bu kongrenin gerçekleşmesine katkı sunan üniversitemize, bilim kurulumuza, düzenleme komitemize, oturum başkanlarımıza ve değerli hocalarımıza içtenlikle teşekkür ederi</w:t>
      </w:r>
      <w:r>
        <w:t>m</w:t>
      </w:r>
      <w:r w:rsidRPr="004C0BC5">
        <w:t>. Ayrıca, bildirileriyle kongremize katkı sağlayan tüm araştırmacılara, akademik tartışmalara değer katan tüm katılımcılara ve bilim dünyasına ışık tutan çalışmalarıyla kongremizi zenginleştiren herkese teşekkür ederiz.</w:t>
      </w:r>
    </w:p>
    <w:p w14:paraId="49C931CB" w14:textId="77777777" w:rsidR="00DA5A86" w:rsidRPr="004C0BC5" w:rsidRDefault="00DA5A86" w:rsidP="00254C59">
      <w:pPr>
        <w:spacing w:line="360" w:lineRule="auto"/>
        <w:ind w:firstLine="708"/>
      </w:pPr>
      <w:r w:rsidRPr="004C0BC5">
        <w:t>Kongrede sunulan bildirile</w:t>
      </w:r>
      <w:r>
        <w:t xml:space="preserve">r, </w:t>
      </w:r>
      <w:r w:rsidRPr="004C0BC5">
        <w:t>hepimiz için ilham verici, akademik açıdan verimli ve keyifli bir deneyim o</w:t>
      </w:r>
      <w:r>
        <w:t xml:space="preserve">lmuştur. </w:t>
      </w:r>
    </w:p>
    <w:p w14:paraId="468802DA" w14:textId="77777777" w:rsidR="00DA5A86" w:rsidRPr="004C0BC5" w:rsidRDefault="00DA5A86" w:rsidP="00254C59">
      <w:pPr>
        <w:spacing w:line="360" w:lineRule="auto"/>
      </w:pPr>
      <w:r w:rsidRPr="004C0BC5">
        <w:t>Sevgi ve saygılarımla,</w:t>
      </w:r>
    </w:p>
    <w:p w14:paraId="6AE23152" w14:textId="77777777" w:rsidR="00DA5A86" w:rsidRPr="004C0BC5" w:rsidRDefault="00DA5A86" w:rsidP="00254C59">
      <w:pPr>
        <w:spacing w:line="360" w:lineRule="auto"/>
      </w:pPr>
    </w:p>
    <w:p w14:paraId="028B059D" w14:textId="77777777" w:rsidR="00DA5A86" w:rsidRDefault="00DA5A86" w:rsidP="00254C59">
      <w:pPr>
        <w:spacing w:line="360" w:lineRule="auto"/>
        <w:jc w:val="center"/>
      </w:pPr>
      <w:r>
        <w:t xml:space="preserve">                                                                                           Prof. Dr. Cem Harun Meydan </w:t>
      </w:r>
    </w:p>
    <w:p w14:paraId="2A62FE07" w14:textId="77777777" w:rsidR="00DA5A86" w:rsidRPr="004C0BC5" w:rsidRDefault="00DA5A86" w:rsidP="00254C59">
      <w:pPr>
        <w:spacing w:line="360" w:lineRule="auto"/>
        <w:jc w:val="right"/>
      </w:pPr>
      <w:r w:rsidRPr="004C0BC5">
        <w:t>Kongre Düzenleme Kurul</w:t>
      </w:r>
      <w:r>
        <w:t xml:space="preserve"> Başkanı</w:t>
      </w:r>
    </w:p>
    <w:p w14:paraId="32B8098B" w14:textId="77777777" w:rsidR="00DA5A86" w:rsidRPr="004C0BC5" w:rsidRDefault="00DA5A86" w:rsidP="00DA5A86"/>
    <w:p w14:paraId="637009B5" w14:textId="77777777" w:rsidR="00F84AD5" w:rsidRPr="00D42316" w:rsidRDefault="00F84AD5">
      <w:pPr>
        <w:tabs>
          <w:tab w:val="left" w:pos="1632"/>
        </w:tabs>
        <w:jc w:val="center"/>
        <w:rPr>
          <w:b/>
        </w:rPr>
      </w:pPr>
    </w:p>
    <w:p w14:paraId="5C314530" w14:textId="77777777" w:rsidR="00F84AD5" w:rsidRPr="00D42316" w:rsidRDefault="00F84AD5">
      <w:pPr>
        <w:tabs>
          <w:tab w:val="left" w:pos="1632"/>
        </w:tabs>
        <w:jc w:val="both"/>
      </w:pPr>
    </w:p>
    <w:p w14:paraId="69382A83" w14:textId="77777777" w:rsidR="00F84AD5" w:rsidRPr="00D42316" w:rsidRDefault="00F84AD5">
      <w:pPr>
        <w:tabs>
          <w:tab w:val="left" w:pos="1632"/>
        </w:tabs>
        <w:jc w:val="both"/>
      </w:pPr>
    </w:p>
    <w:p w14:paraId="2AC3C8E5" w14:textId="77777777" w:rsidR="00F84AD5" w:rsidRPr="00D42316" w:rsidRDefault="00F84AD5">
      <w:pPr>
        <w:tabs>
          <w:tab w:val="left" w:pos="1632"/>
        </w:tabs>
        <w:jc w:val="both"/>
      </w:pPr>
    </w:p>
    <w:p w14:paraId="33FEC2D9" w14:textId="77777777" w:rsidR="00F84AD5" w:rsidRPr="00D42316" w:rsidRDefault="00F84AD5">
      <w:pPr>
        <w:tabs>
          <w:tab w:val="left" w:pos="1632"/>
        </w:tabs>
        <w:jc w:val="both"/>
      </w:pPr>
    </w:p>
    <w:p w14:paraId="4F85C783" w14:textId="77777777" w:rsidR="00F84AD5" w:rsidRPr="00D42316" w:rsidRDefault="00F84AD5">
      <w:pPr>
        <w:tabs>
          <w:tab w:val="left" w:pos="1632"/>
        </w:tabs>
        <w:jc w:val="both"/>
      </w:pPr>
    </w:p>
    <w:p w14:paraId="5A43CDC5" w14:textId="77777777" w:rsidR="00F84AD5" w:rsidRPr="00D42316" w:rsidRDefault="00F84AD5">
      <w:pPr>
        <w:tabs>
          <w:tab w:val="left" w:pos="1632"/>
        </w:tabs>
        <w:jc w:val="both"/>
      </w:pPr>
    </w:p>
    <w:p w14:paraId="7639EEF5" w14:textId="77777777" w:rsidR="00F84AD5" w:rsidRPr="00D42316" w:rsidRDefault="00F84AD5">
      <w:pPr>
        <w:tabs>
          <w:tab w:val="left" w:pos="1632"/>
        </w:tabs>
        <w:jc w:val="both"/>
      </w:pPr>
    </w:p>
    <w:p w14:paraId="27911887" w14:textId="77777777" w:rsidR="00F84AD5" w:rsidRPr="00D42316" w:rsidRDefault="00F84AD5">
      <w:pPr>
        <w:tabs>
          <w:tab w:val="left" w:pos="1632"/>
        </w:tabs>
        <w:jc w:val="both"/>
      </w:pPr>
    </w:p>
    <w:p w14:paraId="0466BFB3" w14:textId="77777777" w:rsidR="00F84AD5" w:rsidRPr="00D42316" w:rsidRDefault="00F84AD5">
      <w:pPr>
        <w:tabs>
          <w:tab w:val="left" w:pos="1632"/>
        </w:tabs>
        <w:jc w:val="both"/>
      </w:pPr>
    </w:p>
    <w:p w14:paraId="74D4E288" w14:textId="77777777" w:rsidR="00F84AD5" w:rsidRPr="00D42316" w:rsidRDefault="00F84AD5">
      <w:pPr>
        <w:tabs>
          <w:tab w:val="left" w:pos="1632"/>
        </w:tabs>
        <w:jc w:val="both"/>
      </w:pPr>
    </w:p>
    <w:p w14:paraId="26037790" w14:textId="77777777" w:rsidR="00F84AD5" w:rsidRPr="00D42316" w:rsidRDefault="00F84AD5">
      <w:pPr>
        <w:tabs>
          <w:tab w:val="left" w:pos="1632"/>
        </w:tabs>
        <w:jc w:val="both"/>
      </w:pPr>
    </w:p>
    <w:p w14:paraId="6E0EA866" w14:textId="77777777" w:rsidR="00F84AD5" w:rsidRPr="00D42316" w:rsidRDefault="00F84AD5">
      <w:pPr>
        <w:tabs>
          <w:tab w:val="left" w:pos="1632"/>
        </w:tabs>
        <w:jc w:val="both"/>
      </w:pPr>
    </w:p>
    <w:p w14:paraId="51956EAA" w14:textId="77777777" w:rsidR="00F84AD5" w:rsidRPr="00D42316" w:rsidRDefault="00F84AD5">
      <w:pPr>
        <w:tabs>
          <w:tab w:val="left" w:pos="1632"/>
        </w:tabs>
        <w:jc w:val="both"/>
      </w:pPr>
    </w:p>
    <w:p w14:paraId="5F271069" w14:textId="1A491D65" w:rsidR="002B6256" w:rsidRDefault="040E09B1" w:rsidP="004C7694">
      <w:pPr>
        <w:pStyle w:val="Tark"/>
      </w:pPr>
      <w:bookmarkStart w:id="1" w:name="_Toc192855136"/>
      <w:r w:rsidRPr="009F0AE3">
        <w:lastRenderedPageBreak/>
        <w:t>Basit Görüntüleme Verileri Üzerinden Ciltte Karsinom Yapıların Kestirimi: Bir Veri Yapılandırma ve İstatistiksel Öğrenme Araştırması</w:t>
      </w:r>
      <w:bookmarkEnd w:id="1"/>
    </w:p>
    <w:p w14:paraId="0E176D05" w14:textId="77777777" w:rsidR="002B6256" w:rsidRPr="002B6256" w:rsidRDefault="002B6256" w:rsidP="002B6256">
      <w:pPr>
        <w:pStyle w:val="Metin"/>
      </w:pPr>
    </w:p>
    <w:p w14:paraId="7C6B7425" w14:textId="29D273DF" w:rsidR="00F84AD5" w:rsidRPr="00D42316" w:rsidRDefault="040E09B1" w:rsidP="002B6256">
      <w:pPr>
        <w:jc w:val="center"/>
      </w:pPr>
      <w:r w:rsidRPr="00D42316">
        <w:rPr>
          <w:color w:val="000000" w:themeColor="text1"/>
        </w:rPr>
        <w:t>Irmak Uzun Bayar</w:t>
      </w:r>
      <w:r w:rsidR="00F84AD5" w:rsidRPr="00D42316">
        <w:br/>
      </w:r>
      <w:r w:rsidRPr="00D42316">
        <w:rPr>
          <w:color w:val="000000" w:themeColor="text1"/>
        </w:rPr>
        <w:t>Ankara Bilim Üniversitesi, Yönetim Bilişim Sistemleri</w:t>
      </w:r>
      <w:r w:rsidR="00F84AD5" w:rsidRPr="00D42316">
        <w:br/>
      </w:r>
      <w:hyperlink r:id="rId17">
        <w:r w:rsidRPr="00D42316">
          <w:rPr>
            <w:rStyle w:val="Kpr"/>
          </w:rPr>
          <w:t>irmak.bayar@ankarabilim.edu.tr</w:t>
        </w:r>
        <w:r w:rsidR="00F84AD5" w:rsidRPr="00D42316">
          <w:br/>
        </w:r>
      </w:hyperlink>
      <w:r w:rsidRPr="00D42316">
        <w:rPr>
          <w:color w:val="000000" w:themeColor="text1"/>
        </w:rPr>
        <w:t>0000-0003-0988-1273</w:t>
      </w:r>
    </w:p>
    <w:p w14:paraId="4FB3FDAE" w14:textId="676E37BE" w:rsidR="00F84AD5" w:rsidRPr="00D42316" w:rsidRDefault="00F84AD5" w:rsidP="002B6256">
      <w:pPr>
        <w:jc w:val="both"/>
      </w:pPr>
    </w:p>
    <w:p w14:paraId="16EF34D6" w14:textId="6C6CAF05" w:rsidR="00F84AD5" w:rsidRPr="00D42316" w:rsidRDefault="040E09B1" w:rsidP="61EF8856">
      <w:pPr>
        <w:jc w:val="center"/>
      </w:pPr>
      <w:r w:rsidRPr="00D42316">
        <w:rPr>
          <w:color w:val="000000" w:themeColor="text1"/>
        </w:rPr>
        <w:t xml:space="preserve">Berke Kadir </w:t>
      </w:r>
      <w:proofErr w:type="spellStart"/>
      <w:r w:rsidRPr="00D42316">
        <w:rPr>
          <w:color w:val="000000" w:themeColor="text1"/>
        </w:rPr>
        <w:t>Sinaplı</w:t>
      </w:r>
      <w:proofErr w:type="spellEnd"/>
      <w:r w:rsidR="00F84AD5" w:rsidRPr="00D42316">
        <w:br/>
      </w:r>
      <w:r w:rsidRPr="00D42316">
        <w:rPr>
          <w:color w:val="000000" w:themeColor="text1"/>
        </w:rPr>
        <w:t>Ankara Bilim Üniversitesi, Yönetim Bilişim Sistemleri</w:t>
      </w:r>
    </w:p>
    <w:p w14:paraId="6DB44C69" w14:textId="3CC2A02C" w:rsidR="00F84AD5" w:rsidRPr="00D42316" w:rsidRDefault="040E09B1" w:rsidP="61EF8856">
      <w:pPr>
        <w:jc w:val="center"/>
      </w:pPr>
      <w:hyperlink r:id="rId18">
        <w:r w:rsidRPr="00D42316">
          <w:rPr>
            <w:rStyle w:val="Kpr"/>
          </w:rPr>
          <w:t>s220303007@ankarabilim.edu.tr</w:t>
        </w:r>
        <w:r w:rsidR="00F84AD5" w:rsidRPr="00D42316">
          <w:br/>
        </w:r>
      </w:hyperlink>
      <w:r w:rsidRPr="00D42316">
        <w:rPr>
          <w:color w:val="000000" w:themeColor="text1"/>
        </w:rPr>
        <w:t>0009-0005-9325-2753</w:t>
      </w:r>
    </w:p>
    <w:p w14:paraId="39B36096" w14:textId="572CA02A" w:rsidR="00F84AD5" w:rsidRPr="00D42316" w:rsidRDefault="00F84AD5" w:rsidP="61EF8856">
      <w:pPr>
        <w:jc w:val="both"/>
      </w:pPr>
    </w:p>
    <w:p w14:paraId="6BD9B6DD" w14:textId="01F96EC2" w:rsidR="002B6256" w:rsidRDefault="040E09B1" w:rsidP="002B6256">
      <w:pPr>
        <w:jc w:val="center"/>
        <w:rPr>
          <w:b/>
          <w:bCs/>
        </w:rPr>
      </w:pPr>
      <w:r w:rsidRPr="009F0AE3">
        <w:rPr>
          <w:b/>
          <w:bCs/>
        </w:rPr>
        <w:t>Özet</w:t>
      </w:r>
    </w:p>
    <w:p w14:paraId="6F2E0DE5" w14:textId="77777777" w:rsidR="002B6256" w:rsidRPr="002B6256" w:rsidRDefault="002B6256" w:rsidP="002B6256">
      <w:pPr>
        <w:jc w:val="center"/>
        <w:rPr>
          <w:b/>
          <w:bCs/>
        </w:rPr>
      </w:pPr>
    </w:p>
    <w:p w14:paraId="1A35BE24" w14:textId="552C07EA" w:rsidR="00F84AD5" w:rsidRPr="00E86AA5" w:rsidRDefault="040E09B1" w:rsidP="00E86AA5">
      <w:pPr>
        <w:pStyle w:val="Metin"/>
      </w:pPr>
      <w:r w:rsidRPr="00E86AA5">
        <w:t>Bu çalışma, Birleşmiş Milletler Sürdürülebilir Kalkınma Amaçları’ndan 3. hedef olan “Sağlık ve Kaliteli Yaşam” doğrultusunda, deri kanserinin erken teşhisi için derin öğrenme ve yapay zekâ yöntemlerini kullanmayı amaçlamaktadır. Deri kanserinde mevcut teşhis yöntemlerinin zaman alıcı ve maliyetli olması nedeniyle, bu çalışmada önerilen derin öğrenme tabanlı model, görüntü işleme teknikleri ile daha hızlı ve doğru sonuçlar sağlamayı hedeflemektedir. Çalışma kapsamında, toplam 10.015 görüntüden oluşan veri seti kullanılarak model eğitilmiş ve doğruluk oranı %98’in üzerine çıkarılmıştır. Veri toplama, ön işleme, model geliştirme ve performans değerlendirme aşamalarından oluşan süreçte Convolutional Neural Network (CNN) tabanlı bir yaklaşım benimsenmiştir. Performans metrikleri arasında doğruluk, hassasiyet, geri çağırma ve F1 skoru yer almakta olup, modelin genellenebilirliği k-bölümlü çapraz doğrulama ile test edilmiştir. Çalışmanın sonuçları, deri kanseri teşhis süreçlerinde hem hız hem de doğruluk açısından önemli bir ilerleme sağlanabileceğini göstermiştir. Ayrıca, geliştirilen modelin klinik ortamlarda karar destek mekanizması olarak kullanılması, teşhis sürecini standartlaştırması ve hata oranını azaltması planlanmaktadır. Bu araştırma, yalnızca teşhis doğruluğunu artırmakla kalmayıp süreci hızlandırmayı da hedeflemesi bakımından literatüre özgün bir katkı sunmaktadır. Erken teşhisin tedavi sürecine olumlu etkileri göz önünde bulundurulduğunda, bu çalışma deri kanseri başta olmak üzere diğer kanser türlerinde de benzer yöntemlerin uygulanabilirliğine ışık tutmaktadır. Çalışma hem sağlık sistemleri hem de bilimsel gelişmeler açısından anlamlı ve yenilikçi bir adım olarak değerlendirilmektedir.</w:t>
      </w:r>
    </w:p>
    <w:p w14:paraId="174628D9" w14:textId="77777777" w:rsidR="00487EF1" w:rsidRPr="00D42316" w:rsidRDefault="00487EF1" w:rsidP="61EF8856">
      <w:pPr>
        <w:jc w:val="both"/>
      </w:pPr>
    </w:p>
    <w:p w14:paraId="18FD1453" w14:textId="606FEBEF" w:rsidR="007F2361" w:rsidRDefault="040E09B1" w:rsidP="00E86AA5">
      <w:pPr>
        <w:pStyle w:val="Metin"/>
      </w:pPr>
      <w:r w:rsidRPr="00D42316">
        <w:rPr>
          <w:b/>
        </w:rPr>
        <w:t xml:space="preserve">Anahtar </w:t>
      </w:r>
      <w:r w:rsidR="00D42316">
        <w:rPr>
          <w:b/>
        </w:rPr>
        <w:t>Kelimeler</w:t>
      </w:r>
      <w:r w:rsidRPr="00D42316">
        <w:rPr>
          <w:b/>
        </w:rPr>
        <w:t>:</w:t>
      </w:r>
      <w:r w:rsidRPr="00D42316">
        <w:t xml:space="preserve"> Deri kanseri, makine öğrenmesi, erken teşhis, SKA 3, medikal görüntüleme</w:t>
      </w:r>
    </w:p>
    <w:p w14:paraId="3291B743" w14:textId="4AC712EA" w:rsidR="007F2361" w:rsidRPr="007F2361" w:rsidRDefault="007F2361" w:rsidP="007F2361">
      <w:pPr>
        <w:autoSpaceDE/>
        <w:autoSpaceDN/>
        <w:rPr>
          <w:bCs/>
          <w:noProof/>
        </w:rPr>
      </w:pPr>
      <w:r>
        <w:br w:type="page"/>
      </w:r>
    </w:p>
    <w:p w14:paraId="13839F8C" w14:textId="4875EA78" w:rsidR="00F84AD5" w:rsidRDefault="00AC051C" w:rsidP="004C7694">
      <w:pPr>
        <w:pStyle w:val="Tark"/>
      </w:pPr>
      <w:bookmarkStart w:id="2" w:name="_Toc192855137"/>
      <w:r w:rsidRPr="00D42316">
        <w:lastRenderedPageBreak/>
        <w:t xml:space="preserve">Yapay </w:t>
      </w:r>
      <w:proofErr w:type="gramStart"/>
      <w:r w:rsidRPr="00D42316">
        <w:t>Zeka</w:t>
      </w:r>
      <w:proofErr w:type="gramEnd"/>
      <w:r w:rsidRPr="00D42316">
        <w:t xml:space="preserve"> Müziği ve Türk Müziğinde Sonuçları: Bir Vaka Analizi</w:t>
      </w:r>
      <w:bookmarkEnd w:id="2"/>
    </w:p>
    <w:p w14:paraId="2768AC89" w14:textId="77777777" w:rsidR="002B6256" w:rsidRPr="002B6256" w:rsidRDefault="002B6256" w:rsidP="002B6256">
      <w:pPr>
        <w:pStyle w:val="Metin"/>
      </w:pPr>
    </w:p>
    <w:p w14:paraId="3B8C803F" w14:textId="77777777" w:rsidR="00F84AD5" w:rsidRPr="00D42316" w:rsidRDefault="00AC051C" w:rsidP="002B6256">
      <w:pPr>
        <w:jc w:val="center"/>
      </w:pPr>
      <w:r w:rsidRPr="00D42316">
        <w:t>Zişan Cihangir IŞIN</w:t>
      </w:r>
    </w:p>
    <w:p w14:paraId="1820C82E" w14:textId="1FA81554" w:rsidR="00F84AD5" w:rsidRPr="00D42316" w:rsidRDefault="00AC051C" w:rsidP="002B6256">
      <w:pPr>
        <w:jc w:val="center"/>
      </w:pPr>
      <w:r w:rsidRPr="00D42316">
        <w:t xml:space="preserve">ZEB </w:t>
      </w:r>
      <w:proofErr w:type="spellStart"/>
      <w:r w:rsidRPr="00D42316">
        <w:t>Innovation</w:t>
      </w:r>
      <w:proofErr w:type="spellEnd"/>
    </w:p>
    <w:p w14:paraId="3CAC57A4" w14:textId="77777777" w:rsidR="00F84AD5" w:rsidRPr="00D42316" w:rsidRDefault="00AC051C" w:rsidP="002B6256">
      <w:pPr>
        <w:jc w:val="center"/>
      </w:pPr>
      <w:r w:rsidRPr="00D42316">
        <w:t>zisanisin@gmail.com</w:t>
      </w:r>
    </w:p>
    <w:p w14:paraId="3AAAFAA2" w14:textId="0E470033" w:rsidR="00F84AD5" w:rsidRPr="00D42316" w:rsidRDefault="00AC051C">
      <w:pPr>
        <w:jc w:val="center"/>
      </w:pPr>
      <w:r w:rsidRPr="00D42316">
        <w:t>0000-0002-4641-6728</w:t>
      </w:r>
    </w:p>
    <w:p w14:paraId="4C5DDA57" w14:textId="77777777" w:rsidR="00F84AD5" w:rsidRPr="00D42316" w:rsidRDefault="00F84AD5">
      <w:pPr>
        <w:jc w:val="center"/>
      </w:pPr>
    </w:p>
    <w:p w14:paraId="478E0C01" w14:textId="54DF5F58" w:rsidR="00F84AD5" w:rsidRPr="00D42316" w:rsidRDefault="00AC051C">
      <w:pPr>
        <w:jc w:val="center"/>
      </w:pPr>
      <w:r w:rsidRPr="00D42316">
        <w:t>Tamer IŞIN</w:t>
      </w:r>
    </w:p>
    <w:p w14:paraId="2F6F5862" w14:textId="77777777" w:rsidR="00F84AD5" w:rsidRPr="00D42316" w:rsidRDefault="00AC051C">
      <w:pPr>
        <w:jc w:val="center"/>
      </w:pPr>
      <w:r w:rsidRPr="00D42316">
        <w:t xml:space="preserve">IMED </w:t>
      </w:r>
      <w:proofErr w:type="spellStart"/>
      <w:r w:rsidRPr="00D42316">
        <w:t>Surgical</w:t>
      </w:r>
      <w:proofErr w:type="spellEnd"/>
      <w:r w:rsidRPr="00D42316">
        <w:t xml:space="preserve"> LLC</w:t>
      </w:r>
    </w:p>
    <w:p w14:paraId="5D9E6F28" w14:textId="77777777" w:rsidR="00F84AD5" w:rsidRPr="00D42316" w:rsidRDefault="00AC051C">
      <w:pPr>
        <w:jc w:val="center"/>
      </w:pPr>
      <w:r w:rsidRPr="00D42316">
        <w:t>tamerisin@outlook.com</w:t>
      </w:r>
    </w:p>
    <w:p w14:paraId="221B3D48" w14:textId="77777777" w:rsidR="00F84AD5" w:rsidRPr="00D42316" w:rsidRDefault="00AC051C">
      <w:pPr>
        <w:jc w:val="center"/>
      </w:pPr>
      <w:r w:rsidRPr="00D42316">
        <w:t>0000-0002-3295-6651</w:t>
      </w:r>
    </w:p>
    <w:p w14:paraId="0A0AAE47" w14:textId="77777777" w:rsidR="00F84AD5" w:rsidRPr="00D42316" w:rsidRDefault="00F84AD5">
      <w:pPr>
        <w:jc w:val="center"/>
      </w:pPr>
    </w:p>
    <w:p w14:paraId="56CC9955" w14:textId="77777777" w:rsidR="00F84AD5" w:rsidRPr="00D42316" w:rsidRDefault="00AC051C">
      <w:pPr>
        <w:jc w:val="center"/>
      </w:pPr>
      <w:r w:rsidRPr="00D42316">
        <w:t>Prof. Dr. Mustafa Hilmi BULUT</w:t>
      </w:r>
    </w:p>
    <w:p w14:paraId="02232CEC" w14:textId="77777777" w:rsidR="00F84AD5" w:rsidRPr="00D42316" w:rsidRDefault="00AC051C">
      <w:pPr>
        <w:jc w:val="center"/>
      </w:pPr>
      <w:r w:rsidRPr="00D42316">
        <w:t>Sivas Cumhuriyet Üniversitesi</w:t>
      </w:r>
    </w:p>
    <w:p w14:paraId="1A7F0173" w14:textId="77777777" w:rsidR="00F84AD5" w:rsidRPr="00D42316" w:rsidRDefault="00AC051C">
      <w:pPr>
        <w:jc w:val="center"/>
      </w:pPr>
      <w:r w:rsidRPr="00D42316">
        <w:t>Eğitim Fakültesi, Güzel Sanatlar Eğitimi Bölümü, Müzik Eğitimi A.B.D.</w:t>
      </w:r>
    </w:p>
    <w:p w14:paraId="15675699" w14:textId="77777777" w:rsidR="00F84AD5" w:rsidRPr="00D42316" w:rsidRDefault="00AC051C">
      <w:pPr>
        <w:jc w:val="center"/>
        <w:rPr>
          <w:b/>
        </w:rPr>
      </w:pPr>
      <w:hyperlink r:id="rId19">
        <w:r w:rsidRPr="00D42316">
          <w:t>mhilmibulut@gmail.com</w:t>
        </w:r>
      </w:hyperlink>
    </w:p>
    <w:p w14:paraId="3871F071" w14:textId="77777777" w:rsidR="00F84AD5" w:rsidRDefault="00AC051C">
      <w:pPr>
        <w:jc w:val="center"/>
      </w:pPr>
      <w:r w:rsidRPr="00D42316">
        <w:t>0000-0001-8231-6214</w:t>
      </w:r>
    </w:p>
    <w:p w14:paraId="4F9FA283" w14:textId="77777777" w:rsidR="002B6256" w:rsidRPr="00D42316" w:rsidRDefault="002B6256">
      <w:pPr>
        <w:jc w:val="center"/>
      </w:pPr>
    </w:p>
    <w:p w14:paraId="0621F61F" w14:textId="77777777" w:rsidR="00F84AD5" w:rsidRDefault="00AC051C" w:rsidP="002B6256">
      <w:pPr>
        <w:jc w:val="center"/>
        <w:rPr>
          <w:b/>
        </w:rPr>
      </w:pPr>
      <w:r w:rsidRPr="00D42316">
        <w:rPr>
          <w:b/>
        </w:rPr>
        <w:t>Özet</w:t>
      </w:r>
    </w:p>
    <w:p w14:paraId="05BD2765" w14:textId="77777777" w:rsidR="002B6256" w:rsidRPr="00D42316" w:rsidRDefault="002B6256" w:rsidP="002B6256">
      <w:pPr>
        <w:jc w:val="center"/>
        <w:rPr>
          <w:b/>
        </w:rPr>
      </w:pPr>
    </w:p>
    <w:p w14:paraId="1B559CC5" w14:textId="77777777" w:rsidR="00487EF1" w:rsidRPr="00D42316" w:rsidRDefault="00AC051C" w:rsidP="002B6256">
      <w:pPr>
        <w:pStyle w:val="Metin"/>
      </w:pPr>
      <w:r w:rsidRPr="00D42316">
        <w:t xml:space="preserve">Yapay zeka (YZ) teknolojisi, sanatın farklı alanlarında köklü değişimlere yol açmaktadır. Edebiyat, resim, fotoğraf, sinema ve müzik gibi dallarda üretilen YZ temelli eserler, sanatın doğasını ve geleceğini yeniden tartışmaya açmaktadır. Özellikle müzik alanında, YZ’nin besteleme ve icra süreçlerine dahil olması, geleneksel müzik anlayışını dönüştürme potansiyeli taşımaktadır. YZ’nin sanatla olan etkileşimi henüz tam anlamıyla anlaşılmış olmasa da, yapılan araştırmalar bu teknolojinin gelecekte müzik üretiminde daha aktif bir rol oynayacağını göstermektedir. YZ, geniş müzik veri setlerini analiz ederek öğrenme sürecini şekillendirmekte ve farklı yaklaşımlar kullanarak yeni eserler üretmektedir. Günümüzde en yaygın kullanılan modeller arasında Tekrarlayan Sinir Ağları (RNN) ve Uzun Kısa Süreli Bellek (LSTM) gibi derin öğrenme teknikleri yer almakta olup, bu sistemler müziğin zaman içindeki akışını analiz ederek besteler oluşturmaktadır. Ancak, mevcut YZ sistemleri büyük ölçüde Batı müziği veri setleriyle eğitildiğinden, tonal sistemlere daha yatkın olup, mikrotonal yapıları içeren müzik türlerinde sınırlı başarı göstermektedir. Özellikle Klasik Türk Müziği’nde, YZ sistemleri makamları yeterince ayırt edememekte, Nihavend’i Minör, Rast’ı Majör gibi algılamakta ve Hicaz gibi Batı müziğinde doğrudan karşılığı olmayan makamları üretmekte başka bir yaklaşım benimsemektedir. Bu çalışmada, YZ’nin Klasik Türk Müziği’ni anlama ve üretme başarısını değerlendirmek amacıyla, 10.000 eserlik bir veri setinden faydalanılarak deneysel bir analiz gerçekleştirilmiştir. Orijinali Türkçe olan 14 şiir, 4 farklı dilde promptlara göre Uşşak makamında ve 15 farklı usulde bestelenen 56 eser üretilmiş ve analiz edilmiştir. Sonuçlar, YZ’nin makam ve usul tanımlayan promptlarla eser üretme başarısının düşük olduğunu göstermektedir. Tümü Uşşak makamında düzenlenen promptlara rağmen, üretilen eserlerin 45’i Nihavent, 1’i Rast, 10’u Hicaz makamında bestelenmiştir. Usul açısından, 15 farklı usul tanımlanmış olmasına rağmen, 47 eser Sofyan, 2’si Nim Sofyan, 2’si Devr-i Kebir, 2’si Çifte Düyek, 1’i Çenber, 1’i Ağır Aksak, 1’i Devr-i Hindi usulünde bestelenmiştir. Sonuçlar, YZ’nin Türk müziğinin mikrotonal yapısını anlamada sınırlı kaldığını ve Batı müziğine daha yatkın olduğunu göstermektedir. Bunun temel sebebi, kullanılan veri setlerinin büyük ölçüde Batı </w:t>
      </w:r>
      <w:r w:rsidRPr="00D42316">
        <w:lastRenderedPageBreak/>
        <w:t>müziği eserlerinden oluşmasıdır. Türk müziğinde daha başarılı sonuçlara ulaşabilmek için, YZ modellerinin mikrotonal sistemleri içeren veri setleriyle eğitilmesi önerilmektedir. Gelecekte, YZ’nin kişiselleştirilmiş müzik üretiminde daha etkin hale gelmesi beklenmektedir.</w:t>
      </w:r>
    </w:p>
    <w:p w14:paraId="712FFDEF" w14:textId="779F8AD4" w:rsidR="007F2361" w:rsidRDefault="00AC051C">
      <w:pPr>
        <w:spacing w:before="240" w:after="240"/>
      </w:pPr>
      <w:r w:rsidRPr="00D42316">
        <w:rPr>
          <w:b/>
        </w:rPr>
        <w:t>Anahtar Kelimeler:</w:t>
      </w:r>
      <w:r w:rsidRPr="00D42316">
        <w:t xml:space="preserve"> Makam, usul, yapay </w:t>
      </w:r>
      <w:proofErr w:type="gramStart"/>
      <w:r w:rsidRPr="00D42316">
        <w:t>zeka</w:t>
      </w:r>
      <w:proofErr w:type="gramEnd"/>
      <w:r w:rsidRPr="00D42316">
        <w:t>, beste, Klasik Türk Müziği, YZ Müziği</w:t>
      </w:r>
    </w:p>
    <w:p w14:paraId="21977C77" w14:textId="4B8EA364" w:rsidR="007F2361" w:rsidRPr="00D42316" w:rsidRDefault="007F2361" w:rsidP="007F2361">
      <w:pPr>
        <w:autoSpaceDE/>
        <w:autoSpaceDN/>
      </w:pPr>
      <w:r>
        <w:br w:type="page"/>
      </w:r>
    </w:p>
    <w:p w14:paraId="5BBE4F1D" w14:textId="764A613A" w:rsidR="31496DEE" w:rsidRPr="00D42316" w:rsidRDefault="31496DEE" w:rsidP="004C7694">
      <w:pPr>
        <w:pStyle w:val="Tark"/>
      </w:pPr>
      <w:bookmarkStart w:id="3" w:name="_Toc192855138"/>
      <w:r w:rsidRPr="00D42316">
        <w:lastRenderedPageBreak/>
        <w:t xml:space="preserve">Ever </w:t>
      </w:r>
      <w:proofErr w:type="spellStart"/>
      <w:r w:rsidRPr="00D42316">
        <w:t>Considered</w:t>
      </w:r>
      <w:proofErr w:type="spellEnd"/>
      <w:r w:rsidRPr="00D42316">
        <w:t xml:space="preserve"> UMAP </w:t>
      </w:r>
      <w:proofErr w:type="spellStart"/>
      <w:r w:rsidRPr="00D42316">
        <w:t>For</w:t>
      </w:r>
      <w:proofErr w:type="spellEnd"/>
      <w:r w:rsidRPr="00D42316">
        <w:t xml:space="preserve"> A </w:t>
      </w:r>
      <w:proofErr w:type="spellStart"/>
      <w:r w:rsidRPr="00D42316">
        <w:t>Better</w:t>
      </w:r>
      <w:proofErr w:type="spellEnd"/>
      <w:r w:rsidRPr="00D42316">
        <w:t xml:space="preserve"> </w:t>
      </w:r>
      <w:proofErr w:type="spellStart"/>
      <w:r w:rsidRPr="00D42316">
        <w:t>Imputation</w:t>
      </w:r>
      <w:proofErr w:type="spellEnd"/>
      <w:r w:rsidRPr="00D42316">
        <w:t>?</w:t>
      </w:r>
      <w:bookmarkEnd w:id="3"/>
    </w:p>
    <w:p w14:paraId="75599B4D" w14:textId="5B363B24" w:rsidR="4EAB6EE6" w:rsidRPr="00D42316" w:rsidRDefault="4EAB6EE6" w:rsidP="002B6256">
      <w:pPr>
        <w:jc w:val="center"/>
      </w:pPr>
    </w:p>
    <w:p w14:paraId="3CB7D256" w14:textId="2A953CD1" w:rsidR="31496DEE" w:rsidRPr="00D42316" w:rsidRDefault="31496DEE" w:rsidP="002B6256">
      <w:pPr>
        <w:jc w:val="center"/>
      </w:pPr>
      <w:r w:rsidRPr="00D42316">
        <w:t>Mustafa Mehmet BAYAR</w:t>
      </w:r>
    </w:p>
    <w:p w14:paraId="124BE9EA" w14:textId="24077127" w:rsidR="00487EF1" w:rsidRPr="00D42316" w:rsidRDefault="00487EF1" w:rsidP="002B6256">
      <w:pPr>
        <w:jc w:val="center"/>
      </w:pPr>
      <w:r w:rsidRPr="00D42316">
        <w:t>ANKARA HACI BAYRAM VELİ ÜNİVERSİTESİ</w:t>
      </w:r>
    </w:p>
    <w:p w14:paraId="03B06258" w14:textId="6353422F" w:rsidR="4EAB6EE6" w:rsidRPr="00D42316" w:rsidRDefault="00487EF1" w:rsidP="002B6256">
      <w:pPr>
        <w:jc w:val="center"/>
      </w:pPr>
      <w:hyperlink r:id="rId20" w:history="1">
        <w:r w:rsidRPr="00D42316">
          <w:t>mehmet.bayar@hbv.edu.tr</w:t>
        </w:r>
      </w:hyperlink>
    </w:p>
    <w:p w14:paraId="73658DDD" w14:textId="449D001E" w:rsidR="00487EF1" w:rsidRDefault="00487EF1" w:rsidP="002B6256">
      <w:pPr>
        <w:jc w:val="center"/>
      </w:pPr>
      <w:r w:rsidRPr="00D42316">
        <w:t>0000-0002-8359-8655</w:t>
      </w:r>
    </w:p>
    <w:p w14:paraId="63F69604" w14:textId="77777777" w:rsidR="002B6256" w:rsidRPr="00D42316" w:rsidRDefault="002B6256" w:rsidP="002B6256">
      <w:pPr>
        <w:jc w:val="center"/>
      </w:pPr>
    </w:p>
    <w:p w14:paraId="6BFE90C7" w14:textId="1524A722" w:rsidR="4EAB6EE6" w:rsidRDefault="31496DEE" w:rsidP="002B6256">
      <w:pPr>
        <w:jc w:val="center"/>
        <w:rPr>
          <w:rFonts w:eastAsia="Aptos"/>
          <w:b/>
          <w:bCs/>
          <w:color w:val="000000" w:themeColor="text1"/>
        </w:rPr>
      </w:pPr>
      <w:proofErr w:type="spellStart"/>
      <w:r w:rsidRPr="00D42316">
        <w:rPr>
          <w:rFonts w:eastAsia="Aptos"/>
          <w:b/>
          <w:bCs/>
          <w:color w:val="000000" w:themeColor="text1"/>
        </w:rPr>
        <w:t>Abstract</w:t>
      </w:r>
      <w:proofErr w:type="spellEnd"/>
    </w:p>
    <w:p w14:paraId="639162F5" w14:textId="77777777" w:rsidR="002B6256" w:rsidRPr="00D42316" w:rsidRDefault="002B6256" w:rsidP="002B6256">
      <w:pPr>
        <w:jc w:val="center"/>
      </w:pPr>
    </w:p>
    <w:p w14:paraId="1D972866" w14:textId="13027750" w:rsidR="31496DEE" w:rsidRPr="00D42316" w:rsidRDefault="31496DEE" w:rsidP="002B6256">
      <w:pPr>
        <w:pStyle w:val="Metin"/>
      </w:pPr>
      <w:r w:rsidRPr="00D42316">
        <w:rPr>
          <w:rFonts w:eastAsia="Aptos"/>
        </w:rPr>
        <w:t>This paper considers the use of Uniform Manifol Approximation and Projection (UMAP) as an unsupervised learning alternative for the principal component analysis in imputating missing of faulty data. UMAP is known for its capabilities in preserving non-parametric attributes of the overall data patterns while producing reduced dimensional data summaries. Principal Component ANalysis (PCA), on the other hand, is a profound linear alternative for dimensionality reduction.  Transfering non-parametric capabilities to imputation research emerges as the existance of studies employing PCA for imputation grows. Thus, this paper addresses the UMAP's potential of being a better suited alternative for the generality of use cases in data cleaning and data preprocessing activities.</w:t>
      </w:r>
    </w:p>
    <w:p w14:paraId="0DEEDB16" w14:textId="420EF882" w:rsidR="4EAB6EE6" w:rsidRPr="00D42316" w:rsidRDefault="4EAB6EE6" w:rsidP="4EAB6EE6">
      <w:pPr>
        <w:jc w:val="center"/>
      </w:pPr>
    </w:p>
    <w:p w14:paraId="410D6B30" w14:textId="47BFF2E1" w:rsidR="007F2361" w:rsidRDefault="31496DEE" w:rsidP="00487EF1">
      <w:pPr>
        <w:rPr>
          <w:rFonts w:eastAsia="Aptos"/>
          <w:color w:val="000000" w:themeColor="text1"/>
        </w:rPr>
      </w:pPr>
      <w:proofErr w:type="spellStart"/>
      <w:r w:rsidRPr="00D42316">
        <w:rPr>
          <w:rFonts w:eastAsia="Aptos"/>
          <w:b/>
          <w:bCs/>
          <w:color w:val="000000" w:themeColor="text1"/>
        </w:rPr>
        <w:t>Keywords</w:t>
      </w:r>
      <w:proofErr w:type="spellEnd"/>
      <w:r w:rsidRPr="00D42316">
        <w:rPr>
          <w:rFonts w:eastAsia="Aptos"/>
          <w:b/>
          <w:bCs/>
          <w:color w:val="000000" w:themeColor="text1"/>
        </w:rPr>
        <w:t>:</w:t>
      </w:r>
      <w:r w:rsidRPr="00D42316">
        <w:rPr>
          <w:rFonts w:eastAsia="Aptos"/>
          <w:color w:val="000000" w:themeColor="text1"/>
        </w:rPr>
        <w:t xml:space="preserve"> </w:t>
      </w:r>
      <w:proofErr w:type="spellStart"/>
      <w:r w:rsidRPr="00D42316">
        <w:rPr>
          <w:rFonts w:eastAsia="Aptos"/>
          <w:color w:val="000000" w:themeColor="text1"/>
        </w:rPr>
        <w:t>Unsupervised</w:t>
      </w:r>
      <w:proofErr w:type="spellEnd"/>
      <w:r w:rsidRPr="00D42316">
        <w:rPr>
          <w:rFonts w:eastAsia="Aptos"/>
          <w:color w:val="000000" w:themeColor="text1"/>
        </w:rPr>
        <w:t xml:space="preserve"> Learning, Data Analysis, </w:t>
      </w:r>
      <w:proofErr w:type="spellStart"/>
      <w:r w:rsidRPr="00D42316">
        <w:rPr>
          <w:rFonts w:eastAsia="Aptos"/>
          <w:color w:val="000000" w:themeColor="text1"/>
        </w:rPr>
        <w:t>Missing</w:t>
      </w:r>
      <w:proofErr w:type="spellEnd"/>
      <w:r w:rsidRPr="00D42316">
        <w:rPr>
          <w:rFonts w:eastAsia="Aptos"/>
          <w:color w:val="000000" w:themeColor="text1"/>
        </w:rPr>
        <w:t xml:space="preserve"> Data, </w:t>
      </w:r>
      <w:proofErr w:type="spellStart"/>
      <w:r w:rsidRPr="00D42316">
        <w:rPr>
          <w:rFonts w:eastAsia="Aptos"/>
          <w:color w:val="000000" w:themeColor="text1"/>
        </w:rPr>
        <w:t>Uniform</w:t>
      </w:r>
      <w:proofErr w:type="spellEnd"/>
      <w:r w:rsidRPr="00D42316">
        <w:rPr>
          <w:rFonts w:eastAsia="Aptos"/>
          <w:color w:val="000000" w:themeColor="text1"/>
        </w:rPr>
        <w:t xml:space="preserve"> </w:t>
      </w:r>
      <w:proofErr w:type="spellStart"/>
      <w:r w:rsidRPr="00D42316">
        <w:rPr>
          <w:rFonts w:eastAsia="Aptos"/>
          <w:color w:val="000000" w:themeColor="text1"/>
        </w:rPr>
        <w:t>Manifold</w:t>
      </w:r>
      <w:proofErr w:type="spellEnd"/>
      <w:r w:rsidRPr="00D42316">
        <w:rPr>
          <w:rFonts w:eastAsia="Aptos"/>
          <w:color w:val="000000" w:themeColor="text1"/>
        </w:rPr>
        <w:t xml:space="preserve"> </w:t>
      </w:r>
      <w:proofErr w:type="spellStart"/>
      <w:r w:rsidRPr="00D42316">
        <w:rPr>
          <w:rFonts w:eastAsia="Aptos"/>
          <w:color w:val="000000" w:themeColor="text1"/>
        </w:rPr>
        <w:t>Approximation</w:t>
      </w:r>
      <w:proofErr w:type="spellEnd"/>
      <w:r w:rsidRPr="00D42316">
        <w:rPr>
          <w:rFonts w:eastAsia="Aptos"/>
          <w:color w:val="000000" w:themeColor="text1"/>
        </w:rPr>
        <w:t xml:space="preserve"> </w:t>
      </w:r>
      <w:proofErr w:type="spellStart"/>
      <w:r w:rsidRPr="00D42316">
        <w:rPr>
          <w:rFonts w:eastAsia="Aptos"/>
          <w:color w:val="000000" w:themeColor="text1"/>
        </w:rPr>
        <w:t>and</w:t>
      </w:r>
      <w:proofErr w:type="spellEnd"/>
      <w:r w:rsidRPr="00D42316">
        <w:rPr>
          <w:rFonts w:eastAsia="Aptos"/>
          <w:color w:val="000000" w:themeColor="text1"/>
        </w:rPr>
        <w:t xml:space="preserve"> </w:t>
      </w:r>
      <w:proofErr w:type="spellStart"/>
      <w:r w:rsidRPr="00D42316">
        <w:rPr>
          <w:rFonts w:eastAsia="Aptos"/>
          <w:color w:val="000000" w:themeColor="text1"/>
        </w:rPr>
        <w:t>Projection</w:t>
      </w:r>
      <w:proofErr w:type="spellEnd"/>
      <w:r w:rsidRPr="00D42316">
        <w:rPr>
          <w:rFonts w:eastAsia="Aptos"/>
          <w:color w:val="000000" w:themeColor="text1"/>
        </w:rPr>
        <w:t xml:space="preserve">, </w:t>
      </w:r>
      <w:proofErr w:type="spellStart"/>
      <w:r w:rsidRPr="00D42316">
        <w:rPr>
          <w:rFonts w:eastAsia="Aptos"/>
          <w:color w:val="000000" w:themeColor="text1"/>
        </w:rPr>
        <w:t>Principal</w:t>
      </w:r>
      <w:proofErr w:type="spellEnd"/>
      <w:r w:rsidRPr="00D42316">
        <w:rPr>
          <w:rFonts w:eastAsia="Aptos"/>
          <w:color w:val="000000" w:themeColor="text1"/>
        </w:rPr>
        <w:t xml:space="preserve"> Component Analysis,</w:t>
      </w:r>
    </w:p>
    <w:p w14:paraId="33E605D8" w14:textId="7BE1C63B" w:rsidR="4EAB6EE6" w:rsidRPr="007F2361" w:rsidRDefault="007F2361" w:rsidP="007F2361">
      <w:pPr>
        <w:autoSpaceDE/>
        <w:autoSpaceDN/>
        <w:rPr>
          <w:rFonts w:eastAsia="Aptos"/>
          <w:color w:val="000000" w:themeColor="text1"/>
        </w:rPr>
      </w:pPr>
      <w:r>
        <w:rPr>
          <w:rFonts w:eastAsia="Aptos"/>
          <w:color w:val="000000" w:themeColor="text1"/>
        </w:rPr>
        <w:br w:type="page"/>
      </w:r>
    </w:p>
    <w:p w14:paraId="15CA046B" w14:textId="4264AF06" w:rsidR="00F84AD5" w:rsidRPr="00D42316" w:rsidRDefault="00AC051C" w:rsidP="004C7694">
      <w:pPr>
        <w:pStyle w:val="Tark"/>
      </w:pPr>
      <w:bookmarkStart w:id="4" w:name="_Toc192855139"/>
      <w:r w:rsidRPr="00D42316">
        <w:lastRenderedPageBreak/>
        <w:t>“</w:t>
      </w:r>
      <w:r w:rsidR="00487EF1" w:rsidRPr="00D42316">
        <w:t xml:space="preserve">Gelenekten Geleceğe: </w:t>
      </w:r>
      <w:proofErr w:type="spellStart"/>
      <w:r w:rsidR="00487EF1" w:rsidRPr="00D42316">
        <w:t>Cinuçen</w:t>
      </w:r>
      <w:proofErr w:type="spellEnd"/>
      <w:r w:rsidR="00487EF1" w:rsidRPr="00D42316">
        <w:t xml:space="preserve"> </w:t>
      </w:r>
      <w:proofErr w:type="spellStart"/>
      <w:r w:rsidR="00487EF1" w:rsidRPr="00D42316">
        <w:t>Tanrıkorur’un</w:t>
      </w:r>
      <w:proofErr w:type="spellEnd"/>
      <w:r w:rsidR="00487EF1" w:rsidRPr="00D42316">
        <w:t xml:space="preserve"> Çocuk Şarkılarında Manevi Miras” </w:t>
      </w:r>
      <w:r w:rsidRPr="00D42316">
        <w:footnoteReference w:id="2"/>
      </w:r>
      <w:bookmarkEnd w:id="4"/>
    </w:p>
    <w:p w14:paraId="02183AB1" w14:textId="77777777" w:rsidR="00F84AD5" w:rsidRPr="00D42316" w:rsidRDefault="00F84AD5" w:rsidP="002B6256">
      <w:pPr>
        <w:jc w:val="center"/>
      </w:pPr>
    </w:p>
    <w:p w14:paraId="76904627" w14:textId="77777777" w:rsidR="00F84AD5" w:rsidRPr="00D42316" w:rsidRDefault="00AC051C" w:rsidP="002B6256">
      <w:pPr>
        <w:jc w:val="center"/>
      </w:pPr>
      <w:r w:rsidRPr="00D42316">
        <w:t>Tuğba PİROĞLU</w:t>
      </w:r>
      <w:r w:rsidRPr="00D42316">
        <w:br/>
        <w:t>Bağımsız Araştırmacı</w:t>
      </w:r>
      <w:r w:rsidRPr="00D42316">
        <w:br/>
        <w:t>4040330060@erciyes.edu.tr</w:t>
      </w:r>
      <w:r w:rsidRPr="00D42316">
        <w:br/>
        <w:t>0009-0005-9789-7313</w:t>
      </w:r>
    </w:p>
    <w:p w14:paraId="17E04CAB" w14:textId="77777777" w:rsidR="00F84AD5" w:rsidRPr="00D42316" w:rsidRDefault="00F84AD5" w:rsidP="002B6256">
      <w:pPr>
        <w:jc w:val="both"/>
      </w:pPr>
    </w:p>
    <w:p w14:paraId="12EA0854" w14:textId="77777777" w:rsidR="00F84AD5" w:rsidRPr="00D42316" w:rsidRDefault="00AC051C" w:rsidP="002B6256">
      <w:pPr>
        <w:jc w:val="center"/>
      </w:pPr>
      <w:r w:rsidRPr="00D42316">
        <w:t>Prof. Dr. N. Oya LEVENDOĞLU</w:t>
      </w:r>
      <w:r w:rsidRPr="00D42316">
        <w:br/>
        <w:t>Erciyes Üniversitesi Güzel Sanatlar Fakültesi Müzik Bölümü</w:t>
      </w:r>
      <w:r w:rsidRPr="00D42316">
        <w:br/>
        <w:t>noya@erciyes.edu.tr</w:t>
      </w:r>
      <w:r w:rsidRPr="00D42316">
        <w:br/>
        <w:t>0000-0002-3397-6961</w:t>
      </w:r>
    </w:p>
    <w:p w14:paraId="374E2794" w14:textId="77777777" w:rsidR="00F84AD5" w:rsidRPr="00D42316" w:rsidRDefault="00F84AD5" w:rsidP="002B6256">
      <w:pPr>
        <w:jc w:val="both"/>
      </w:pPr>
    </w:p>
    <w:p w14:paraId="4C5120EC" w14:textId="77777777" w:rsidR="00F84AD5" w:rsidRPr="00D42316" w:rsidRDefault="00AC051C" w:rsidP="002B6256">
      <w:pPr>
        <w:jc w:val="center"/>
        <w:rPr>
          <w:b/>
        </w:rPr>
      </w:pPr>
      <w:r w:rsidRPr="00D42316">
        <w:rPr>
          <w:b/>
        </w:rPr>
        <w:t>Özet</w:t>
      </w:r>
    </w:p>
    <w:p w14:paraId="5F68D480" w14:textId="1859A35D" w:rsidR="00F84AD5" w:rsidRPr="00D42316" w:rsidRDefault="00AC051C" w:rsidP="002B6256">
      <w:pPr>
        <w:pStyle w:val="Metin"/>
      </w:pPr>
      <w:r w:rsidRPr="00D42316">
        <w:t xml:space="preserve">Türk müzik kültüründe gelenekçi anlayışa bağlılığıyla tanınan Cinuçen Tanrıkorur, kendine has üslubuyla nitelikli eserler üreterek, döneminin bestecileri arasında belirgin fark yaratmış özgün bir sanatçı kimliği edinmiştir. Müzikal kimliğinin beraberinde kültür meseleleriyle yakından ilgilenmesi, toplumun değerlerini sanat yoluyla koruma ve geleceğe aktarma çabası milli ve manevi kimlik inşasında önemli bir yer teşkil etmektedir. Bu çalışmanın amacı, Tanrıkorur’un çocuk müziğini değerler eğitimi bağlamında nasıl kullandığını anlamaya çalışmaktır. Çalışmanın cevap aradığı temel soru “Kültürel ve manevi değerlerin bestecinin ürettiği çocuk şarkılarındaki yansımaları nasıldır, besteci bu değerleri aktarırken neyi hedeflemektedir?” şeklinde ifade edilebilir. “Güftelerde kullanılan dini ve manevi kavramlar nelerdir ve bu unsurlar, çocuklara değer aktarımında nasıl bir rol oynamaktadır?” sorusu ise alt problemlerden biridir. Bu kapsamda Tanrıkorur’un bestelemiş olduğu tüm çocuk şarkıları Beste Külliyatından taranmış, elde edilen bulgular temalarına göre sınıflandırılmıştır. Tarama ve sınıflandırma sonucunda kültürel ve manevi miras üst başlığı altında, din ve inanç temalı alt başlıklarla sınırlandırılan 7 eser ele alınmıştır. Çalışma iki bölümden oluşmaktadır. İlk bölümde Tanrıkorur’un bestelediği eserlerin güfte analizi yapılacaktır. Güfteler ele alınırken tematik analiz yöntemiyle ele alınacaktır. Cinuçen Tanrıkorur’un güfte seçimindeki titizliğinden yola çıkarak bestelediği eserlerde tercih ettiği güfte yazarları; kişisel, edebi ve kültürel kimliklerine göre araştırılıp çocuklara aktarılacak temaları işleyişleri bakımından değerlendirilecektir. İkinci bölümde Cinuçen Tanrıkorur’un bestelediği eserlerin makamsal analizi yapılacaktır. Bu analiz “Ezgi çekirdekleri yöntemi” ile yürütülecektir. Bulgular, Tanrıkorur’un güfte seçiminde dini ve kültürel değerleri doğrudan ya da dolaylı şekilde işleyen şairleri ve metinleri tercih ettiğini ortaya koymaktadır. Güftelerde belirgin bir şekilde işlenen Allah sevgisi, ahiret bilinci, insanın manevi sorumlulukları, ibadet, gelenek görenek ve adetler gibi temalar, bestecinin çocuklara aktarılmasını istediği dini ve kültürel mirası yansıtmaktadır. Ayrıca güftelerde kullanılan dil çocukların anlayabileceği yalınlıkta olmakla birlikte, melodik açıdan da sade kurgulanmıştır. Besteci, çocuk sesinin sınırlılığını göz önünde bulundurmuş, makamları tercih ediş ve işleyiş bakımından daha yalın, kolay ezberlenebilir ezgiler tercih etmiştir. Sonuç olarak, Tanrıkorur’un bestelediği şarkılar çocukların gelişimsel özelliklerine her açıdan uygun biçimde üretilmiş, aktarılmak istenen değerler bu şarkılar aracılığıyla manevi ve kültürel mirası geleceğe taşımayı başarmaktadır. Bu eserler, çocukların kültürel ve dini kimlik gelişimine katkı sağlayacak </w:t>
      </w:r>
      <w:r w:rsidRPr="009F0AE3">
        <w:t>nitelikte olup, yeni eser üretimleri için model teşkil etmektedir.</w:t>
      </w:r>
    </w:p>
    <w:p w14:paraId="56B8E12E" w14:textId="77777777" w:rsidR="00487EF1" w:rsidRPr="00D42316" w:rsidRDefault="00487EF1">
      <w:pPr>
        <w:widowControl/>
        <w:pBdr>
          <w:top w:val="nil"/>
          <w:left w:val="nil"/>
          <w:bottom w:val="nil"/>
          <w:right w:val="nil"/>
          <w:between w:val="nil"/>
        </w:pBdr>
        <w:ind w:firstLine="720"/>
        <w:jc w:val="both"/>
        <w:rPr>
          <w:color w:val="000000"/>
        </w:rPr>
      </w:pPr>
    </w:p>
    <w:p w14:paraId="53AD1960" w14:textId="2C834A9D" w:rsidR="00204DBD" w:rsidRDefault="00AC051C" w:rsidP="00E86AA5">
      <w:pPr>
        <w:pStyle w:val="Metin"/>
      </w:pPr>
      <w:r w:rsidRPr="00D42316">
        <w:rPr>
          <w:b/>
        </w:rPr>
        <w:t xml:space="preserve">Anahtar </w:t>
      </w:r>
      <w:r w:rsidR="00D42316">
        <w:rPr>
          <w:b/>
        </w:rPr>
        <w:t>Kelimeler</w:t>
      </w:r>
      <w:r w:rsidRPr="00D42316">
        <w:rPr>
          <w:b/>
        </w:rPr>
        <w:t>:</w:t>
      </w:r>
      <w:r w:rsidRPr="00D42316">
        <w:t xml:space="preserve"> Cinuçen Tanrıkorur, makam müziği, çocuk şarkıları, din ve inanç, manevi miras.</w:t>
      </w:r>
    </w:p>
    <w:p w14:paraId="2BDDFF24" w14:textId="74A439D0" w:rsidR="00E3302B" w:rsidRPr="00204DBD" w:rsidRDefault="00204DBD" w:rsidP="00204DBD">
      <w:pPr>
        <w:autoSpaceDE/>
        <w:autoSpaceDN/>
        <w:rPr>
          <w:bCs/>
          <w:noProof/>
        </w:rPr>
      </w:pPr>
      <w:r>
        <w:br w:type="page"/>
      </w:r>
    </w:p>
    <w:p w14:paraId="7E91C5BE" w14:textId="6801D5DE" w:rsidR="00E3302B" w:rsidRDefault="00E3302B" w:rsidP="002B6256">
      <w:pPr>
        <w:jc w:val="center"/>
        <w:rPr>
          <w:b/>
          <w:lang w:eastAsia="en-US"/>
        </w:rPr>
      </w:pPr>
      <w:r w:rsidRPr="007F2361">
        <w:rPr>
          <w:b/>
          <w:lang w:eastAsia="en-US"/>
        </w:rPr>
        <w:lastRenderedPageBreak/>
        <w:t xml:space="preserve">Sosyal </w:t>
      </w:r>
      <w:r w:rsidR="007F2361" w:rsidRPr="007F2361">
        <w:rPr>
          <w:b/>
          <w:lang w:eastAsia="en-US"/>
        </w:rPr>
        <w:t xml:space="preserve">Medyanın Dijital Alt Kültür </w:t>
      </w:r>
      <w:proofErr w:type="gramStart"/>
      <w:r w:rsidR="007F2361" w:rsidRPr="007F2361">
        <w:rPr>
          <w:b/>
          <w:lang w:eastAsia="en-US"/>
        </w:rPr>
        <w:t>Ve</w:t>
      </w:r>
      <w:proofErr w:type="gramEnd"/>
      <w:r w:rsidR="007F2361" w:rsidRPr="007F2361">
        <w:rPr>
          <w:b/>
          <w:lang w:eastAsia="en-US"/>
        </w:rPr>
        <w:t xml:space="preserve"> Toplulukları</w:t>
      </w:r>
    </w:p>
    <w:p w14:paraId="4E5A2094" w14:textId="77777777" w:rsidR="00626F42" w:rsidRDefault="00626F42" w:rsidP="002B6256">
      <w:pPr>
        <w:jc w:val="center"/>
        <w:rPr>
          <w:b/>
          <w:lang w:eastAsia="en-US"/>
        </w:rPr>
      </w:pPr>
    </w:p>
    <w:p w14:paraId="395BF6AC" w14:textId="72A0B52A" w:rsidR="00E3302B" w:rsidRPr="00626F42" w:rsidRDefault="00626F42" w:rsidP="00626F42">
      <w:pPr>
        <w:jc w:val="center"/>
        <w:rPr>
          <w:bCs/>
          <w:lang w:eastAsia="en-US"/>
        </w:rPr>
      </w:pPr>
      <w:r w:rsidRPr="00626F42">
        <w:rPr>
          <w:bCs/>
          <w:lang w:eastAsia="en-US"/>
        </w:rPr>
        <w:t>Fulya AKBUĞA</w:t>
      </w:r>
    </w:p>
    <w:p w14:paraId="7D2372DB" w14:textId="77777777" w:rsidR="00626F42" w:rsidRPr="00626F42" w:rsidRDefault="00626F42" w:rsidP="00626F42">
      <w:pPr>
        <w:jc w:val="center"/>
        <w:rPr>
          <w:b/>
          <w:lang w:eastAsia="en-US"/>
        </w:rPr>
      </w:pPr>
    </w:p>
    <w:p w14:paraId="1812E680" w14:textId="2E2046BD" w:rsidR="00E3302B" w:rsidRPr="007F2361" w:rsidRDefault="007F2361" w:rsidP="002B6256">
      <w:pPr>
        <w:jc w:val="center"/>
      </w:pPr>
      <w:r>
        <w:rPr>
          <w:b/>
          <w:lang w:eastAsia="en-US"/>
        </w:rPr>
        <w:t>Özet</w:t>
      </w:r>
    </w:p>
    <w:p w14:paraId="25F6F9D0" w14:textId="2B1590E5" w:rsidR="00E3302B" w:rsidRPr="007F2361" w:rsidRDefault="00E3302B" w:rsidP="002B6256">
      <w:pPr>
        <w:jc w:val="both"/>
        <w:rPr>
          <w:rFonts w:eastAsia="Calibri"/>
          <w:lang w:eastAsia="en-US"/>
        </w:rPr>
      </w:pPr>
      <w:r w:rsidRPr="007F2361">
        <w:rPr>
          <w:rFonts w:eastAsia="Calibri"/>
          <w:lang w:eastAsia="en-US"/>
        </w:rPr>
        <w:t>İçinde bulunduğumuz dijital çağda çevrim içi toplulukların yükselişi yalnızca sosyal etkileşimleri dönüştürmekle kalmamış; akışkanlığı, kapsayıcılığı ve sürekli fikir alışverişi ile karakterize edilen ve küreselleşme ve teknolojik gelişmelerin etkisiyle hızla değişen yeni bir kültür biçimini de doğurmuştur. Sosyal medyanın ve çevrim içi toplulukların dinamikleriyle şekillenen bu “dijital kültür”, sanal dünyadaki kullanıcıların kolektif davranışlarını, normlarını ve değerlerini yansıtmaktadır. Yerleşik değerler ve normlar üzerine kurulu olan geleneksel kültürün aksine, dijital kültür ve bu kültüre ait alt kültür öğeleri, bireylere daha demokratik, daha özgür bir alan sunarken, kültürel değişimi hızlı bir şekilde gerçekleştirmekte, bilgi güvenliği ve etik sorunlar açısından da kullanıcılar üzerinde kaygı yaratabilmektedir.</w:t>
      </w:r>
      <w:r w:rsidR="007F2361">
        <w:rPr>
          <w:rFonts w:eastAsia="Calibri"/>
          <w:lang w:eastAsia="en-US"/>
        </w:rPr>
        <w:t xml:space="preserve"> </w:t>
      </w:r>
      <w:r w:rsidRPr="007F2361">
        <w:rPr>
          <w:rFonts w:eastAsia="Calibri"/>
          <w:lang w:eastAsia="en-US"/>
        </w:rPr>
        <w:t xml:space="preserve">Dijital alt kültür ve topluluklar; sanal dünyadaki iletişimi geliştirme, aktivizmi teşvik etme, kültürel ve ticari trendleri yönlendirme ve katılımcılığı destekleme gibi yönleriyle dijital iletişime katkı sağlarken, zaman zaman da sahte içerikler, siber zorbalık, mahremiyet endişeleri ve güvenlik sorunları gibi olumsuzluklar dolayısıyla kullanıcılar üzerinde güvensizlik hissi oluşturmaktadır. Bir </w:t>
      </w:r>
      <w:proofErr w:type="spellStart"/>
      <w:r w:rsidRPr="007F2361">
        <w:rPr>
          <w:rFonts w:eastAsia="Calibri"/>
          <w:lang w:eastAsia="en-US"/>
        </w:rPr>
        <w:t>alanyazın</w:t>
      </w:r>
      <w:proofErr w:type="spellEnd"/>
      <w:r w:rsidRPr="007F2361">
        <w:rPr>
          <w:rFonts w:eastAsia="Calibri"/>
          <w:lang w:eastAsia="en-US"/>
        </w:rPr>
        <w:t xml:space="preserve"> taraması niteliğindeki b</w:t>
      </w:r>
      <w:r w:rsidRPr="007F2361">
        <w:t>u makalede; dijital iletişimin günümüzdeki etkin unsurlarından çevrim içi topluluklar ve dijital kültürün öğeleri; türleri, özellikleri ve temsil ettikleri alt kültür bağlamında ele alınırken, dijital toplulukların ve sundukları yeni kültürel kodların çevrim dışı toplumsal ve bireysel yaşam üzerindeki etkileri de örnekler üzerinden tartışılmaktadır. Makalede kültür ve alt kültür tanımlarına yer verilmiş, dijital kültürün güncel</w:t>
      </w:r>
      <w:r w:rsidRPr="007F2361">
        <w:rPr>
          <w:rFonts w:eastAsia="Calibri"/>
          <w:lang w:eastAsia="en-US"/>
        </w:rPr>
        <w:t xml:space="preserve"> unsurları ise; “</w:t>
      </w:r>
      <w:proofErr w:type="spellStart"/>
      <w:r w:rsidRPr="007F2361">
        <w:rPr>
          <w:rFonts w:eastAsia="Calibri"/>
          <w:lang w:eastAsia="en-US"/>
        </w:rPr>
        <w:t>mem</w:t>
      </w:r>
      <w:proofErr w:type="spellEnd"/>
      <w:r w:rsidRPr="007F2361">
        <w:rPr>
          <w:rFonts w:eastAsia="Calibri"/>
          <w:lang w:eastAsia="en-US"/>
        </w:rPr>
        <w:t xml:space="preserve"> kültürü”, “</w:t>
      </w:r>
      <w:proofErr w:type="spellStart"/>
      <w:r w:rsidRPr="007F2361">
        <w:rPr>
          <w:rFonts w:eastAsia="Calibri"/>
          <w:lang w:eastAsia="en-US"/>
        </w:rPr>
        <w:t>influencer</w:t>
      </w:r>
      <w:proofErr w:type="spellEnd"/>
      <w:r w:rsidRPr="007F2361">
        <w:rPr>
          <w:rFonts w:eastAsia="Calibri"/>
          <w:lang w:eastAsia="en-US"/>
        </w:rPr>
        <w:t xml:space="preserve"> kültürü”, “oyun toplulukları”, “sosyal ağ siteleri kapsamındaki topluluklar”, “hayran kitleleri”, “aktivist gruplar”, “niş ve mikro topluluklar”, “katılımcı sözlükler ve bilgi paylaşım toplulukları”, “forumlar ve tartışma panoları” ve “eğitim toplulukları” olarak sınıflandırılmıştır.</w:t>
      </w:r>
    </w:p>
    <w:p w14:paraId="0EDA6ABF" w14:textId="77777777" w:rsidR="00E3302B" w:rsidRPr="007F2361" w:rsidRDefault="00E3302B" w:rsidP="002B6256">
      <w:pPr>
        <w:jc w:val="both"/>
      </w:pPr>
    </w:p>
    <w:p w14:paraId="6C3DCE1E" w14:textId="44E7CE94" w:rsidR="00E3302B" w:rsidRPr="007F2361" w:rsidRDefault="00E3302B" w:rsidP="002B6256">
      <w:pPr>
        <w:jc w:val="both"/>
      </w:pPr>
      <w:r w:rsidRPr="007F2361">
        <w:rPr>
          <w:b/>
          <w:bCs/>
        </w:rPr>
        <w:t xml:space="preserve">Anahtar </w:t>
      </w:r>
      <w:r w:rsidR="007F2361" w:rsidRPr="007F2361">
        <w:rPr>
          <w:b/>
          <w:bCs/>
        </w:rPr>
        <w:t>Kelimeler</w:t>
      </w:r>
      <w:r w:rsidRPr="007F2361">
        <w:rPr>
          <w:b/>
          <w:bCs/>
        </w:rPr>
        <w:t>:</w:t>
      </w:r>
      <w:r w:rsidRPr="007F2361">
        <w:t xml:space="preserve"> Dijital kültür, çevrim içi topluluklar, sosyal medya, iletişim çalışmaları, dijital medya</w:t>
      </w:r>
    </w:p>
    <w:p w14:paraId="7621C227" w14:textId="77777777" w:rsidR="007F2361" w:rsidRPr="00204DBD" w:rsidRDefault="007F2361" w:rsidP="002B6256">
      <w:pPr>
        <w:jc w:val="center"/>
        <w:rPr>
          <w:b/>
        </w:rPr>
      </w:pPr>
    </w:p>
    <w:p w14:paraId="522ECC06" w14:textId="46D0917F" w:rsidR="00E3302B" w:rsidRPr="00204DBD" w:rsidRDefault="00E3302B" w:rsidP="002B6256">
      <w:pPr>
        <w:ind w:left="709"/>
        <w:jc w:val="center"/>
        <w:rPr>
          <w:b/>
        </w:rPr>
      </w:pPr>
      <w:proofErr w:type="spellStart"/>
      <w:r w:rsidRPr="00204DBD">
        <w:rPr>
          <w:b/>
        </w:rPr>
        <w:t>Digital</w:t>
      </w:r>
      <w:proofErr w:type="spellEnd"/>
      <w:r w:rsidRPr="00204DBD">
        <w:rPr>
          <w:b/>
        </w:rPr>
        <w:t xml:space="preserve"> </w:t>
      </w:r>
      <w:proofErr w:type="spellStart"/>
      <w:r w:rsidR="007F2361" w:rsidRPr="00204DBD">
        <w:rPr>
          <w:b/>
        </w:rPr>
        <w:t>Subcultures</w:t>
      </w:r>
      <w:proofErr w:type="spellEnd"/>
      <w:r w:rsidR="007F2361" w:rsidRPr="00204DBD">
        <w:rPr>
          <w:b/>
        </w:rPr>
        <w:t xml:space="preserve"> </w:t>
      </w:r>
      <w:proofErr w:type="spellStart"/>
      <w:r w:rsidR="007F2361" w:rsidRPr="00204DBD">
        <w:rPr>
          <w:b/>
        </w:rPr>
        <w:t>And</w:t>
      </w:r>
      <w:proofErr w:type="spellEnd"/>
      <w:r w:rsidR="007F2361" w:rsidRPr="00204DBD">
        <w:rPr>
          <w:b/>
        </w:rPr>
        <w:t xml:space="preserve"> </w:t>
      </w:r>
      <w:proofErr w:type="spellStart"/>
      <w:r w:rsidR="007F2361" w:rsidRPr="00204DBD">
        <w:rPr>
          <w:b/>
        </w:rPr>
        <w:t>Communities</w:t>
      </w:r>
      <w:proofErr w:type="spellEnd"/>
      <w:r w:rsidR="007F2361" w:rsidRPr="00204DBD">
        <w:rPr>
          <w:b/>
        </w:rPr>
        <w:t xml:space="preserve"> Of </w:t>
      </w:r>
      <w:proofErr w:type="spellStart"/>
      <w:r w:rsidR="007F2361" w:rsidRPr="00204DBD">
        <w:rPr>
          <w:b/>
        </w:rPr>
        <w:t>Social</w:t>
      </w:r>
      <w:proofErr w:type="spellEnd"/>
      <w:r w:rsidR="007F2361" w:rsidRPr="00204DBD">
        <w:rPr>
          <w:b/>
        </w:rPr>
        <w:t xml:space="preserve"> Media</w:t>
      </w:r>
    </w:p>
    <w:p w14:paraId="314CADC6" w14:textId="77777777" w:rsidR="00204DBD" w:rsidRPr="00204DBD" w:rsidRDefault="00204DBD" w:rsidP="002B6256">
      <w:pPr>
        <w:ind w:left="709"/>
        <w:jc w:val="both"/>
        <w:rPr>
          <w:b/>
        </w:rPr>
      </w:pPr>
    </w:p>
    <w:p w14:paraId="6855D3ED" w14:textId="257FECAE" w:rsidR="00E3302B" w:rsidRPr="00204DBD" w:rsidRDefault="007F2361" w:rsidP="002B6256">
      <w:pPr>
        <w:jc w:val="center"/>
        <w:rPr>
          <w:b/>
        </w:rPr>
      </w:pPr>
      <w:proofErr w:type="spellStart"/>
      <w:r w:rsidRPr="00204DBD">
        <w:rPr>
          <w:b/>
        </w:rPr>
        <w:t>Abstract</w:t>
      </w:r>
      <w:proofErr w:type="spellEnd"/>
    </w:p>
    <w:p w14:paraId="5FB4519B" w14:textId="739C9165" w:rsidR="00E3302B" w:rsidRDefault="00E3302B" w:rsidP="002B6256">
      <w:pPr>
        <w:jc w:val="both"/>
      </w:pPr>
      <w:proofErr w:type="spellStart"/>
      <w:r w:rsidRPr="00204DBD">
        <w:t>In</w:t>
      </w:r>
      <w:proofErr w:type="spellEnd"/>
      <w:r w:rsidRPr="00204DBD">
        <w:t xml:space="preserve"> </w:t>
      </w:r>
      <w:proofErr w:type="spellStart"/>
      <w:r w:rsidRPr="00204DBD">
        <w:t>the</w:t>
      </w:r>
      <w:proofErr w:type="spellEnd"/>
      <w:r w:rsidRPr="00204DBD">
        <w:t xml:space="preserve"> </w:t>
      </w:r>
      <w:proofErr w:type="spellStart"/>
      <w:r w:rsidRPr="00204DBD">
        <w:t>current</w:t>
      </w:r>
      <w:proofErr w:type="spellEnd"/>
      <w:r w:rsidRPr="00204DBD">
        <w:t xml:space="preserve"> </w:t>
      </w:r>
      <w:proofErr w:type="spellStart"/>
      <w:r w:rsidRPr="00204DBD">
        <w:t>digital</w:t>
      </w:r>
      <w:proofErr w:type="spellEnd"/>
      <w:r w:rsidRPr="00204DBD">
        <w:t xml:space="preserve"> </w:t>
      </w:r>
      <w:proofErr w:type="spellStart"/>
      <w:r w:rsidRPr="00204DBD">
        <w:t>age</w:t>
      </w:r>
      <w:proofErr w:type="spellEnd"/>
      <w:r w:rsidRPr="00204DBD">
        <w:t xml:space="preserve">, </w:t>
      </w:r>
      <w:proofErr w:type="spellStart"/>
      <w:r w:rsidRPr="00204DBD">
        <w:t>the</w:t>
      </w:r>
      <w:proofErr w:type="spellEnd"/>
      <w:r w:rsidRPr="00204DBD">
        <w:t xml:space="preserve"> </w:t>
      </w:r>
      <w:proofErr w:type="spellStart"/>
      <w:r w:rsidRPr="00204DBD">
        <w:t>rise</w:t>
      </w:r>
      <w:proofErr w:type="spellEnd"/>
      <w:r w:rsidRPr="00204DBD">
        <w:t xml:space="preserve"> of online </w:t>
      </w:r>
      <w:proofErr w:type="spellStart"/>
      <w:r w:rsidRPr="00204DBD">
        <w:t>communities</w:t>
      </w:r>
      <w:proofErr w:type="spellEnd"/>
      <w:r w:rsidRPr="00204DBD">
        <w:t xml:space="preserve"> has not </w:t>
      </w:r>
      <w:proofErr w:type="spellStart"/>
      <w:r w:rsidRPr="00204DBD">
        <w:t>only</w:t>
      </w:r>
      <w:proofErr w:type="spellEnd"/>
      <w:r w:rsidRPr="00204DBD">
        <w:t xml:space="preserve"> </w:t>
      </w:r>
      <w:proofErr w:type="spellStart"/>
      <w:r w:rsidRPr="00204DBD">
        <w:t>transformed</w:t>
      </w:r>
      <w:proofErr w:type="spellEnd"/>
      <w:r w:rsidRPr="00204DBD">
        <w:t xml:space="preserve"> </w:t>
      </w:r>
      <w:proofErr w:type="spellStart"/>
      <w:r w:rsidRPr="00204DBD">
        <w:t>social</w:t>
      </w:r>
      <w:proofErr w:type="spellEnd"/>
      <w:r w:rsidRPr="00204DBD">
        <w:t xml:space="preserve"> </w:t>
      </w:r>
      <w:proofErr w:type="spellStart"/>
      <w:r w:rsidRPr="00204DBD">
        <w:t>interactions</w:t>
      </w:r>
      <w:proofErr w:type="spellEnd"/>
      <w:r w:rsidRPr="00204DBD">
        <w:t xml:space="preserve"> but has </w:t>
      </w:r>
      <w:proofErr w:type="spellStart"/>
      <w:r w:rsidRPr="00204DBD">
        <w:t>also</w:t>
      </w:r>
      <w:proofErr w:type="spellEnd"/>
      <w:r w:rsidRPr="00204DBD">
        <w:t xml:space="preserve"> </w:t>
      </w:r>
      <w:proofErr w:type="spellStart"/>
      <w:r w:rsidRPr="00204DBD">
        <w:t>birthed</w:t>
      </w:r>
      <w:proofErr w:type="spellEnd"/>
      <w:r w:rsidRPr="00204DBD">
        <w:t xml:space="preserve"> a </w:t>
      </w:r>
      <w:proofErr w:type="spellStart"/>
      <w:r w:rsidRPr="00204DBD">
        <w:t>new</w:t>
      </w:r>
      <w:proofErr w:type="spellEnd"/>
      <w:r w:rsidRPr="00204DBD">
        <w:t xml:space="preserve"> form of </w:t>
      </w:r>
      <w:proofErr w:type="spellStart"/>
      <w:r w:rsidRPr="00204DBD">
        <w:t>culture</w:t>
      </w:r>
      <w:proofErr w:type="spellEnd"/>
      <w:r w:rsidRPr="00204DBD">
        <w:t xml:space="preserve"> </w:t>
      </w:r>
      <w:proofErr w:type="spellStart"/>
      <w:r w:rsidRPr="00204DBD">
        <w:t>characterized</w:t>
      </w:r>
      <w:proofErr w:type="spellEnd"/>
      <w:r w:rsidRPr="00204DBD">
        <w:t xml:space="preserve"> </w:t>
      </w:r>
      <w:proofErr w:type="spellStart"/>
      <w:r w:rsidRPr="00204DBD">
        <w:t>by</w:t>
      </w:r>
      <w:proofErr w:type="spellEnd"/>
      <w:r w:rsidRPr="00204DBD">
        <w:t xml:space="preserve"> </w:t>
      </w:r>
      <w:proofErr w:type="spellStart"/>
      <w:r w:rsidRPr="00204DBD">
        <w:t>fluidity</w:t>
      </w:r>
      <w:proofErr w:type="spellEnd"/>
      <w:r w:rsidRPr="00204DBD">
        <w:t xml:space="preserve">, </w:t>
      </w:r>
      <w:proofErr w:type="spellStart"/>
      <w:r w:rsidRPr="00204DBD">
        <w:t>inclusivity</w:t>
      </w:r>
      <w:proofErr w:type="spellEnd"/>
      <w:r w:rsidRPr="00204DBD">
        <w:t xml:space="preserve">, </w:t>
      </w:r>
      <w:proofErr w:type="spellStart"/>
      <w:r w:rsidRPr="00204DBD">
        <w:t>and</w:t>
      </w:r>
      <w:proofErr w:type="spellEnd"/>
      <w:r w:rsidRPr="00204DBD">
        <w:t xml:space="preserve"> </w:t>
      </w:r>
      <w:proofErr w:type="spellStart"/>
      <w:r w:rsidRPr="00204DBD">
        <w:t>ongoing</w:t>
      </w:r>
      <w:proofErr w:type="spellEnd"/>
      <w:r w:rsidRPr="00204DBD">
        <w:t xml:space="preserve"> </w:t>
      </w:r>
      <w:proofErr w:type="spellStart"/>
      <w:r w:rsidRPr="00204DBD">
        <w:t>exchange</w:t>
      </w:r>
      <w:proofErr w:type="spellEnd"/>
      <w:r w:rsidRPr="00204DBD">
        <w:t xml:space="preserve"> of </w:t>
      </w:r>
      <w:proofErr w:type="spellStart"/>
      <w:r w:rsidRPr="00204DBD">
        <w:t>ideas</w:t>
      </w:r>
      <w:proofErr w:type="spellEnd"/>
      <w:r w:rsidRPr="00204DBD">
        <w:t xml:space="preserve">. </w:t>
      </w:r>
      <w:proofErr w:type="spellStart"/>
      <w:r w:rsidRPr="00204DBD">
        <w:t>This</w:t>
      </w:r>
      <w:proofErr w:type="spellEnd"/>
      <w:r w:rsidRPr="00204DBD">
        <w:t xml:space="preserve"> </w:t>
      </w:r>
      <w:proofErr w:type="spellStart"/>
      <w:r w:rsidRPr="00204DBD">
        <w:t>digital</w:t>
      </w:r>
      <w:proofErr w:type="spellEnd"/>
      <w:r w:rsidRPr="00204DBD">
        <w:t xml:space="preserve"> </w:t>
      </w:r>
      <w:proofErr w:type="spellStart"/>
      <w:r w:rsidRPr="00204DBD">
        <w:t>culture</w:t>
      </w:r>
      <w:proofErr w:type="spellEnd"/>
      <w:r w:rsidRPr="00204DBD">
        <w:t xml:space="preserve">, </w:t>
      </w:r>
      <w:proofErr w:type="spellStart"/>
      <w:r w:rsidRPr="00204DBD">
        <w:t>shaped</w:t>
      </w:r>
      <w:proofErr w:type="spellEnd"/>
      <w:r w:rsidRPr="00204DBD">
        <w:t xml:space="preserve"> </w:t>
      </w:r>
      <w:proofErr w:type="spellStart"/>
      <w:r w:rsidRPr="00204DBD">
        <w:t>by</w:t>
      </w:r>
      <w:proofErr w:type="spellEnd"/>
      <w:r w:rsidRPr="00204DBD">
        <w:t xml:space="preserve"> </w:t>
      </w:r>
      <w:proofErr w:type="spellStart"/>
      <w:r w:rsidRPr="00204DBD">
        <w:t>the</w:t>
      </w:r>
      <w:proofErr w:type="spellEnd"/>
      <w:r w:rsidRPr="00204DBD">
        <w:t xml:space="preserve"> </w:t>
      </w:r>
      <w:proofErr w:type="spellStart"/>
      <w:r w:rsidRPr="00204DBD">
        <w:t>dynamics</w:t>
      </w:r>
      <w:proofErr w:type="spellEnd"/>
      <w:r w:rsidRPr="00204DBD">
        <w:t xml:space="preserve"> of </w:t>
      </w:r>
      <w:proofErr w:type="spellStart"/>
      <w:r w:rsidRPr="00204DBD">
        <w:t>social</w:t>
      </w:r>
      <w:proofErr w:type="spellEnd"/>
      <w:r w:rsidRPr="00204DBD">
        <w:t xml:space="preserve"> </w:t>
      </w:r>
      <w:proofErr w:type="spellStart"/>
      <w:r w:rsidRPr="00204DBD">
        <w:t>media</w:t>
      </w:r>
      <w:proofErr w:type="spellEnd"/>
      <w:r w:rsidRPr="00204DBD">
        <w:t xml:space="preserve"> </w:t>
      </w:r>
      <w:proofErr w:type="spellStart"/>
      <w:r w:rsidRPr="00204DBD">
        <w:t>and</w:t>
      </w:r>
      <w:proofErr w:type="spellEnd"/>
      <w:r w:rsidRPr="00204DBD">
        <w:t xml:space="preserve"> online </w:t>
      </w:r>
      <w:proofErr w:type="spellStart"/>
      <w:r w:rsidRPr="00204DBD">
        <w:t>communities</w:t>
      </w:r>
      <w:proofErr w:type="spellEnd"/>
      <w:r w:rsidRPr="00204DBD">
        <w:t xml:space="preserve">, </w:t>
      </w:r>
      <w:proofErr w:type="spellStart"/>
      <w:r w:rsidRPr="00204DBD">
        <w:t>reflects</w:t>
      </w:r>
      <w:proofErr w:type="spellEnd"/>
      <w:r w:rsidRPr="00204DBD">
        <w:t xml:space="preserve"> </w:t>
      </w:r>
      <w:proofErr w:type="spellStart"/>
      <w:r w:rsidRPr="00204DBD">
        <w:t>the</w:t>
      </w:r>
      <w:proofErr w:type="spellEnd"/>
      <w:r w:rsidRPr="00204DBD">
        <w:t xml:space="preserve"> </w:t>
      </w:r>
      <w:proofErr w:type="spellStart"/>
      <w:r w:rsidRPr="00204DBD">
        <w:t>collective</w:t>
      </w:r>
      <w:proofErr w:type="spellEnd"/>
      <w:r w:rsidRPr="00204DBD">
        <w:t xml:space="preserve"> </w:t>
      </w:r>
      <w:proofErr w:type="spellStart"/>
      <w:r w:rsidRPr="00204DBD">
        <w:t>behaviors</w:t>
      </w:r>
      <w:proofErr w:type="spellEnd"/>
      <w:r w:rsidRPr="00204DBD">
        <w:t xml:space="preserve">, </w:t>
      </w:r>
      <w:proofErr w:type="spellStart"/>
      <w:r w:rsidRPr="00204DBD">
        <w:t>norms</w:t>
      </w:r>
      <w:proofErr w:type="spellEnd"/>
      <w:r w:rsidRPr="00204DBD">
        <w:t xml:space="preserve">, </w:t>
      </w:r>
      <w:proofErr w:type="spellStart"/>
      <w:r w:rsidRPr="00204DBD">
        <w:t>and</w:t>
      </w:r>
      <w:proofErr w:type="spellEnd"/>
      <w:r w:rsidRPr="00204DBD">
        <w:t xml:space="preserve"> </w:t>
      </w:r>
      <w:proofErr w:type="spellStart"/>
      <w:r w:rsidRPr="00204DBD">
        <w:t>values</w:t>
      </w:r>
      <w:proofErr w:type="spellEnd"/>
      <w:r w:rsidRPr="00204DBD">
        <w:t xml:space="preserve"> of </w:t>
      </w:r>
      <w:proofErr w:type="spellStart"/>
      <w:r w:rsidRPr="00204DBD">
        <w:t>users</w:t>
      </w:r>
      <w:proofErr w:type="spellEnd"/>
      <w:r w:rsidRPr="00204DBD">
        <w:t xml:space="preserve"> in </w:t>
      </w:r>
      <w:proofErr w:type="spellStart"/>
      <w:r w:rsidRPr="00204DBD">
        <w:t>the</w:t>
      </w:r>
      <w:proofErr w:type="spellEnd"/>
      <w:r w:rsidRPr="00204DBD">
        <w:t xml:space="preserve"> </w:t>
      </w:r>
      <w:proofErr w:type="spellStart"/>
      <w:r w:rsidRPr="00204DBD">
        <w:t>virtual</w:t>
      </w:r>
      <w:proofErr w:type="spellEnd"/>
      <w:r w:rsidRPr="00204DBD">
        <w:t xml:space="preserve"> </w:t>
      </w:r>
      <w:proofErr w:type="spellStart"/>
      <w:r w:rsidRPr="00204DBD">
        <w:t>world</w:t>
      </w:r>
      <w:proofErr w:type="spellEnd"/>
      <w:r w:rsidRPr="00204DBD">
        <w:t xml:space="preserve">, </w:t>
      </w:r>
      <w:proofErr w:type="spellStart"/>
      <w:r w:rsidRPr="00204DBD">
        <w:t>evolving</w:t>
      </w:r>
      <w:proofErr w:type="spellEnd"/>
      <w:r w:rsidRPr="00204DBD">
        <w:t xml:space="preserve"> </w:t>
      </w:r>
      <w:proofErr w:type="spellStart"/>
      <w:r w:rsidRPr="00204DBD">
        <w:t>rapidly</w:t>
      </w:r>
      <w:proofErr w:type="spellEnd"/>
      <w:r w:rsidRPr="00204DBD">
        <w:t xml:space="preserve"> </w:t>
      </w:r>
      <w:proofErr w:type="spellStart"/>
      <w:r w:rsidRPr="00204DBD">
        <w:t>under</w:t>
      </w:r>
      <w:proofErr w:type="spellEnd"/>
      <w:r w:rsidRPr="00204DBD">
        <w:t xml:space="preserve"> </w:t>
      </w:r>
      <w:proofErr w:type="spellStart"/>
      <w:r w:rsidRPr="00204DBD">
        <w:t>the</w:t>
      </w:r>
      <w:proofErr w:type="spellEnd"/>
      <w:r w:rsidRPr="00204DBD">
        <w:t xml:space="preserve"> </w:t>
      </w:r>
      <w:proofErr w:type="spellStart"/>
      <w:r w:rsidRPr="00204DBD">
        <w:t>influences</w:t>
      </w:r>
      <w:proofErr w:type="spellEnd"/>
      <w:r w:rsidRPr="00204DBD">
        <w:t xml:space="preserve"> of </w:t>
      </w:r>
      <w:proofErr w:type="spellStart"/>
      <w:r w:rsidRPr="00204DBD">
        <w:t>globalization</w:t>
      </w:r>
      <w:proofErr w:type="spellEnd"/>
      <w:r w:rsidRPr="00204DBD">
        <w:t xml:space="preserve"> </w:t>
      </w:r>
      <w:proofErr w:type="spellStart"/>
      <w:r w:rsidRPr="00204DBD">
        <w:t>and</w:t>
      </w:r>
      <w:proofErr w:type="spellEnd"/>
      <w:r w:rsidRPr="00204DBD">
        <w:t xml:space="preserve"> </w:t>
      </w:r>
      <w:proofErr w:type="spellStart"/>
      <w:r w:rsidRPr="00204DBD">
        <w:t>technological</w:t>
      </w:r>
      <w:proofErr w:type="spellEnd"/>
      <w:r w:rsidRPr="00204DBD">
        <w:t xml:space="preserve"> </w:t>
      </w:r>
      <w:proofErr w:type="spellStart"/>
      <w:r w:rsidRPr="00204DBD">
        <w:t>advancement</w:t>
      </w:r>
      <w:proofErr w:type="spellEnd"/>
      <w:r w:rsidRPr="00204DBD">
        <w:t xml:space="preserve">. </w:t>
      </w:r>
      <w:proofErr w:type="spellStart"/>
      <w:r w:rsidRPr="00204DBD">
        <w:t>Unlike</w:t>
      </w:r>
      <w:proofErr w:type="spellEnd"/>
      <w:r w:rsidRPr="00204DBD">
        <w:t xml:space="preserve"> </w:t>
      </w:r>
      <w:proofErr w:type="spellStart"/>
      <w:r w:rsidRPr="00204DBD">
        <w:t>traditional</w:t>
      </w:r>
      <w:proofErr w:type="spellEnd"/>
      <w:r w:rsidRPr="00204DBD">
        <w:t xml:space="preserve"> </w:t>
      </w:r>
      <w:proofErr w:type="spellStart"/>
      <w:r w:rsidRPr="00204DBD">
        <w:t>culture</w:t>
      </w:r>
      <w:proofErr w:type="spellEnd"/>
      <w:r w:rsidRPr="00204DBD">
        <w:t xml:space="preserve">, </w:t>
      </w:r>
      <w:proofErr w:type="spellStart"/>
      <w:r w:rsidRPr="00204DBD">
        <w:t>which</w:t>
      </w:r>
      <w:proofErr w:type="spellEnd"/>
      <w:r w:rsidRPr="00204DBD">
        <w:t xml:space="preserve"> is </w:t>
      </w:r>
      <w:proofErr w:type="spellStart"/>
      <w:r w:rsidRPr="00204DBD">
        <w:t>rooted</w:t>
      </w:r>
      <w:proofErr w:type="spellEnd"/>
      <w:r w:rsidRPr="00204DBD">
        <w:t xml:space="preserve"> in </w:t>
      </w:r>
      <w:proofErr w:type="spellStart"/>
      <w:r w:rsidRPr="00204DBD">
        <w:t>established</w:t>
      </w:r>
      <w:proofErr w:type="spellEnd"/>
      <w:r w:rsidRPr="00204DBD">
        <w:t xml:space="preserve"> </w:t>
      </w:r>
      <w:proofErr w:type="spellStart"/>
      <w:r w:rsidRPr="00204DBD">
        <w:t>values</w:t>
      </w:r>
      <w:proofErr w:type="spellEnd"/>
      <w:r w:rsidRPr="00204DBD">
        <w:t xml:space="preserve"> </w:t>
      </w:r>
      <w:proofErr w:type="spellStart"/>
      <w:r w:rsidRPr="00204DBD">
        <w:t>and</w:t>
      </w:r>
      <w:proofErr w:type="spellEnd"/>
      <w:r w:rsidRPr="00204DBD">
        <w:t xml:space="preserve"> </w:t>
      </w:r>
      <w:proofErr w:type="spellStart"/>
      <w:r w:rsidRPr="00204DBD">
        <w:t>norms</w:t>
      </w:r>
      <w:proofErr w:type="spellEnd"/>
      <w:r w:rsidRPr="00204DBD">
        <w:t xml:space="preserve">, </w:t>
      </w:r>
      <w:proofErr w:type="spellStart"/>
      <w:r w:rsidRPr="00204DBD">
        <w:t>digital</w:t>
      </w:r>
      <w:proofErr w:type="spellEnd"/>
      <w:r w:rsidRPr="00204DBD">
        <w:t xml:space="preserve"> </w:t>
      </w:r>
      <w:proofErr w:type="spellStart"/>
      <w:r w:rsidRPr="00204DBD">
        <w:t>culture</w:t>
      </w:r>
      <w:proofErr w:type="spellEnd"/>
      <w:r w:rsidRPr="00204DBD">
        <w:t xml:space="preserve"> </w:t>
      </w:r>
      <w:proofErr w:type="spellStart"/>
      <w:r w:rsidRPr="00204DBD">
        <w:t>and</w:t>
      </w:r>
      <w:proofErr w:type="spellEnd"/>
      <w:r w:rsidRPr="00204DBD">
        <w:t xml:space="preserve"> </w:t>
      </w:r>
      <w:proofErr w:type="spellStart"/>
      <w:r w:rsidRPr="00204DBD">
        <w:t>its</w:t>
      </w:r>
      <w:proofErr w:type="spellEnd"/>
      <w:r w:rsidRPr="00204DBD">
        <w:t xml:space="preserve"> </w:t>
      </w:r>
      <w:proofErr w:type="spellStart"/>
      <w:r w:rsidRPr="00204DBD">
        <w:t>subcultural</w:t>
      </w:r>
      <w:proofErr w:type="spellEnd"/>
      <w:r w:rsidRPr="00204DBD">
        <w:t xml:space="preserve"> </w:t>
      </w:r>
      <w:proofErr w:type="spellStart"/>
      <w:r w:rsidRPr="00204DBD">
        <w:t>elements</w:t>
      </w:r>
      <w:proofErr w:type="spellEnd"/>
      <w:r w:rsidRPr="00204DBD">
        <w:t xml:space="preserve"> </w:t>
      </w:r>
      <w:proofErr w:type="spellStart"/>
      <w:r w:rsidRPr="00204DBD">
        <w:t>provide</w:t>
      </w:r>
      <w:proofErr w:type="spellEnd"/>
      <w:r w:rsidRPr="00204DBD">
        <w:t xml:space="preserve"> </w:t>
      </w:r>
      <w:proofErr w:type="spellStart"/>
      <w:r w:rsidRPr="00204DBD">
        <w:t>individuals</w:t>
      </w:r>
      <w:proofErr w:type="spellEnd"/>
      <w:r w:rsidRPr="00204DBD">
        <w:t xml:space="preserve"> </w:t>
      </w:r>
      <w:proofErr w:type="spellStart"/>
      <w:r w:rsidRPr="00204DBD">
        <w:t>with</w:t>
      </w:r>
      <w:proofErr w:type="spellEnd"/>
      <w:r w:rsidRPr="00204DBD">
        <w:t xml:space="preserve"> a </w:t>
      </w:r>
      <w:proofErr w:type="spellStart"/>
      <w:r w:rsidRPr="00204DBD">
        <w:t>more</w:t>
      </w:r>
      <w:proofErr w:type="spellEnd"/>
      <w:r w:rsidRPr="00204DBD">
        <w:t xml:space="preserve"> </w:t>
      </w:r>
      <w:proofErr w:type="spellStart"/>
      <w:r w:rsidRPr="00204DBD">
        <w:t>democratic</w:t>
      </w:r>
      <w:proofErr w:type="spellEnd"/>
      <w:r w:rsidRPr="00204DBD">
        <w:t xml:space="preserve">, </w:t>
      </w:r>
      <w:proofErr w:type="spellStart"/>
      <w:r w:rsidRPr="00204DBD">
        <w:t>liberating</w:t>
      </w:r>
      <w:proofErr w:type="spellEnd"/>
      <w:r w:rsidRPr="00204DBD">
        <w:t xml:space="preserve"> </w:t>
      </w:r>
      <w:proofErr w:type="spellStart"/>
      <w:r w:rsidRPr="00204DBD">
        <w:t>space</w:t>
      </w:r>
      <w:proofErr w:type="spellEnd"/>
      <w:r w:rsidRPr="00204DBD">
        <w:t xml:space="preserve">. </w:t>
      </w:r>
      <w:proofErr w:type="spellStart"/>
      <w:r w:rsidRPr="00204DBD">
        <w:t>However</w:t>
      </w:r>
      <w:proofErr w:type="spellEnd"/>
      <w:r w:rsidRPr="00204DBD">
        <w:t xml:space="preserve">, </w:t>
      </w:r>
      <w:proofErr w:type="spellStart"/>
      <w:r w:rsidRPr="00204DBD">
        <w:t>this</w:t>
      </w:r>
      <w:proofErr w:type="spellEnd"/>
      <w:r w:rsidRPr="00204DBD">
        <w:t xml:space="preserve"> </w:t>
      </w:r>
      <w:proofErr w:type="spellStart"/>
      <w:r w:rsidRPr="00204DBD">
        <w:t>culture</w:t>
      </w:r>
      <w:proofErr w:type="spellEnd"/>
      <w:r w:rsidRPr="00204DBD">
        <w:t xml:space="preserve"> </w:t>
      </w:r>
      <w:proofErr w:type="spellStart"/>
      <w:r w:rsidRPr="00204DBD">
        <w:t>facilitates</w:t>
      </w:r>
      <w:proofErr w:type="spellEnd"/>
      <w:r w:rsidRPr="00204DBD">
        <w:t xml:space="preserve"> </w:t>
      </w:r>
      <w:proofErr w:type="spellStart"/>
      <w:r w:rsidRPr="00204DBD">
        <w:t>rapid</w:t>
      </w:r>
      <w:proofErr w:type="spellEnd"/>
      <w:r w:rsidRPr="00204DBD">
        <w:t xml:space="preserve"> </w:t>
      </w:r>
      <w:proofErr w:type="spellStart"/>
      <w:r w:rsidRPr="00204DBD">
        <w:t>cultural</w:t>
      </w:r>
      <w:proofErr w:type="spellEnd"/>
      <w:r w:rsidRPr="00204DBD">
        <w:t xml:space="preserve"> </w:t>
      </w:r>
      <w:proofErr w:type="spellStart"/>
      <w:r w:rsidRPr="00204DBD">
        <w:t>shifts</w:t>
      </w:r>
      <w:proofErr w:type="spellEnd"/>
      <w:r w:rsidRPr="00204DBD">
        <w:t xml:space="preserve"> </w:t>
      </w:r>
      <w:proofErr w:type="spellStart"/>
      <w:r w:rsidRPr="00204DBD">
        <w:t>while</w:t>
      </w:r>
      <w:proofErr w:type="spellEnd"/>
      <w:r w:rsidRPr="00204DBD">
        <w:t xml:space="preserve"> </w:t>
      </w:r>
      <w:proofErr w:type="spellStart"/>
      <w:r w:rsidRPr="00204DBD">
        <w:t>simultaneously</w:t>
      </w:r>
      <w:proofErr w:type="spellEnd"/>
      <w:r w:rsidRPr="00204DBD">
        <w:t xml:space="preserve"> </w:t>
      </w:r>
      <w:proofErr w:type="spellStart"/>
      <w:r w:rsidRPr="00204DBD">
        <w:t>raising</w:t>
      </w:r>
      <w:proofErr w:type="spellEnd"/>
      <w:r w:rsidRPr="00204DBD">
        <w:t xml:space="preserve"> </w:t>
      </w:r>
      <w:proofErr w:type="spellStart"/>
      <w:r w:rsidRPr="00204DBD">
        <w:t>concerns</w:t>
      </w:r>
      <w:proofErr w:type="spellEnd"/>
      <w:r w:rsidRPr="00204DBD">
        <w:t xml:space="preserve"> </w:t>
      </w:r>
      <w:proofErr w:type="spellStart"/>
      <w:r w:rsidRPr="00204DBD">
        <w:t>over</w:t>
      </w:r>
      <w:proofErr w:type="spellEnd"/>
      <w:r w:rsidRPr="00204DBD">
        <w:t xml:space="preserve"> </w:t>
      </w:r>
      <w:proofErr w:type="spellStart"/>
      <w:r w:rsidRPr="00204DBD">
        <w:t>issues</w:t>
      </w:r>
      <w:proofErr w:type="spellEnd"/>
      <w:r w:rsidRPr="00204DBD">
        <w:t xml:space="preserve"> </w:t>
      </w:r>
      <w:proofErr w:type="spellStart"/>
      <w:r w:rsidRPr="00204DBD">
        <w:t>like</w:t>
      </w:r>
      <w:proofErr w:type="spellEnd"/>
      <w:r w:rsidRPr="00204DBD">
        <w:t xml:space="preserve"> </w:t>
      </w:r>
      <w:proofErr w:type="spellStart"/>
      <w:r w:rsidRPr="00204DBD">
        <w:t>information</w:t>
      </w:r>
      <w:proofErr w:type="spellEnd"/>
      <w:r w:rsidRPr="00204DBD">
        <w:t xml:space="preserve"> </w:t>
      </w:r>
      <w:proofErr w:type="spellStart"/>
      <w:r w:rsidRPr="00204DBD">
        <w:t>security</w:t>
      </w:r>
      <w:proofErr w:type="spellEnd"/>
      <w:r w:rsidRPr="00204DBD">
        <w:t xml:space="preserve"> </w:t>
      </w:r>
      <w:proofErr w:type="spellStart"/>
      <w:r w:rsidRPr="00204DBD">
        <w:t>and</w:t>
      </w:r>
      <w:proofErr w:type="spellEnd"/>
      <w:r w:rsidRPr="00204DBD">
        <w:t xml:space="preserve"> </w:t>
      </w:r>
      <w:proofErr w:type="spellStart"/>
      <w:r w:rsidRPr="00204DBD">
        <w:t>ethical</w:t>
      </w:r>
      <w:proofErr w:type="spellEnd"/>
      <w:r w:rsidRPr="00204DBD">
        <w:t xml:space="preserve"> </w:t>
      </w:r>
      <w:proofErr w:type="spellStart"/>
      <w:r w:rsidRPr="00204DBD">
        <w:t>standards</w:t>
      </w:r>
      <w:proofErr w:type="spellEnd"/>
      <w:r w:rsidRPr="00204DBD">
        <w:t xml:space="preserve"> </w:t>
      </w:r>
      <w:proofErr w:type="spellStart"/>
      <w:r w:rsidRPr="00204DBD">
        <w:t>among</w:t>
      </w:r>
      <w:proofErr w:type="spellEnd"/>
      <w:r w:rsidRPr="00204DBD">
        <w:t xml:space="preserve"> </w:t>
      </w:r>
      <w:proofErr w:type="spellStart"/>
      <w:r w:rsidRPr="00204DBD">
        <w:t>users</w:t>
      </w:r>
      <w:proofErr w:type="spellEnd"/>
      <w:r w:rsidRPr="00204DBD">
        <w:t>.</w:t>
      </w:r>
      <w:r w:rsidR="007F2361" w:rsidRPr="00204DBD">
        <w:t xml:space="preserve"> </w:t>
      </w:r>
      <w:proofErr w:type="spellStart"/>
      <w:r w:rsidRPr="00204DBD">
        <w:t>Digital</w:t>
      </w:r>
      <w:proofErr w:type="spellEnd"/>
      <w:r w:rsidRPr="00204DBD">
        <w:t xml:space="preserve"> </w:t>
      </w:r>
      <w:proofErr w:type="spellStart"/>
      <w:r w:rsidRPr="00204DBD">
        <w:t>subcultures</w:t>
      </w:r>
      <w:proofErr w:type="spellEnd"/>
      <w:r w:rsidRPr="00204DBD">
        <w:t xml:space="preserve"> </w:t>
      </w:r>
      <w:proofErr w:type="spellStart"/>
      <w:r w:rsidRPr="00204DBD">
        <w:t>and</w:t>
      </w:r>
      <w:proofErr w:type="spellEnd"/>
      <w:r w:rsidRPr="00204DBD">
        <w:t xml:space="preserve"> </w:t>
      </w:r>
      <w:proofErr w:type="spellStart"/>
      <w:r w:rsidRPr="00204DBD">
        <w:t>communities</w:t>
      </w:r>
      <w:proofErr w:type="spellEnd"/>
      <w:r w:rsidRPr="00204DBD">
        <w:t xml:space="preserve"> </w:t>
      </w:r>
      <w:proofErr w:type="spellStart"/>
      <w:r w:rsidRPr="00204DBD">
        <w:t>contribute</w:t>
      </w:r>
      <w:proofErr w:type="spellEnd"/>
      <w:r w:rsidRPr="00204DBD">
        <w:t xml:space="preserve"> </w:t>
      </w:r>
      <w:proofErr w:type="spellStart"/>
      <w:r w:rsidRPr="00204DBD">
        <w:t>to</w:t>
      </w:r>
      <w:proofErr w:type="spellEnd"/>
      <w:r w:rsidRPr="00204DBD">
        <w:t xml:space="preserve"> </w:t>
      </w:r>
      <w:proofErr w:type="spellStart"/>
      <w:r w:rsidRPr="00204DBD">
        <w:t>digital</w:t>
      </w:r>
      <w:proofErr w:type="spellEnd"/>
      <w:r w:rsidRPr="00204DBD">
        <w:t xml:space="preserve"> </w:t>
      </w:r>
      <w:proofErr w:type="spellStart"/>
      <w:r w:rsidRPr="00204DBD">
        <w:t>communication</w:t>
      </w:r>
      <w:proofErr w:type="spellEnd"/>
      <w:r w:rsidRPr="00204DBD">
        <w:t xml:space="preserve"> </w:t>
      </w:r>
      <w:proofErr w:type="spellStart"/>
      <w:r w:rsidRPr="00204DBD">
        <w:t>by</w:t>
      </w:r>
      <w:proofErr w:type="spellEnd"/>
      <w:r w:rsidRPr="00204DBD">
        <w:t xml:space="preserve"> </w:t>
      </w:r>
      <w:proofErr w:type="spellStart"/>
      <w:r w:rsidRPr="00204DBD">
        <w:t>enhancing</w:t>
      </w:r>
      <w:proofErr w:type="spellEnd"/>
      <w:r w:rsidRPr="00204DBD">
        <w:t xml:space="preserve"> </w:t>
      </w:r>
      <w:proofErr w:type="spellStart"/>
      <w:r w:rsidRPr="00204DBD">
        <w:t>virtual</w:t>
      </w:r>
      <w:proofErr w:type="spellEnd"/>
      <w:r w:rsidRPr="00204DBD">
        <w:t xml:space="preserve"> </w:t>
      </w:r>
      <w:proofErr w:type="spellStart"/>
      <w:r w:rsidRPr="00204DBD">
        <w:t>interaction</w:t>
      </w:r>
      <w:proofErr w:type="spellEnd"/>
      <w:r w:rsidRPr="00204DBD">
        <w:t xml:space="preserve">, </w:t>
      </w:r>
      <w:proofErr w:type="spellStart"/>
      <w:r w:rsidRPr="00204DBD">
        <w:t>promoting</w:t>
      </w:r>
      <w:proofErr w:type="spellEnd"/>
      <w:r w:rsidRPr="00204DBD">
        <w:t xml:space="preserve"> </w:t>
      </w:r>
      <w:proofErr w:type="spellStart"/>
      <w:r w:rsidRPr="00204DBD">
        <w:t>activism</w:t>
      </w:r>
      <w:proofErr w:type="spellEnd"/>
      <w:r w:rsidRPr="00204DBD">
        <w:t xml:space="preserve">, </w:t>
      </w:r>
      <w:proofErr w:type="spellStart"/>
      <w:r w:rsidRPr="00204DBD">
        <w:t>shaping</w:t>
      </w:r>
      <w:proofErr w:type="spellEnd"/>
      <w:r w:rsidRPr="00204DBD">
        <w:t xml:space="preserve"> </w:t>
      </w:r>
      <w:proofErr w:type="spellStart"/>
      <w:r w:rsidRPr="00204DBD">
        <w:t>cultural</w:t>
      </w:r>
      <w:proofErr w:type="spellEnd"/>
      <w:r w:rsidRPr="00204DBD">
        <w:t xml:space="preserve"> </w:t>
      </w:r>
      <w:proofErr w:type="spellStart"/>
      <w:r w:rsidRPr="00204DBD">
        <w:t>and</w:t>
      </w:r>
      <w:proofErr w:type="spellEnd"/>
      <w:r w:rsidRPr="00204DBD">
        <w:t xml:space="preserve"> </w:t>
      </w:r>
      <w:proofErr w:type="spellStart"/>
      <w:r w:rsidRPr="00204DBD">
        <w:t>commercial</w:t>
      </w:r>
      <w:proofErr w:type="spellEnd"/>
      <w:r w:rsidRPr="00204DBD">
        <w:t xml:space="preserve"> </w:t>
      </w:r>
      <w:proofErr w:type="spellStart"/>
      <w:r w:rsidRPr="00204DBD">
        <w:t>trends</w:t>
      </w:r>
      <w:proofErr w:type="spellEnd"/>
      <w:r w:rsidRPr="00204DBD">
        <w:t xml:space="preserve">, </w:t>
      </w:r>
      <w:proofErr w:type="spellStart"/>
      <w:r w:rsidRPr="00204DBD">
        <w:t>and</w:t>
      </w:r>
      <w:proofErr w:type="spellEnd"/>
      <w:r w:rsidRPr="00204DBD">
        <w:t xml:space="preserve"> </w:t>
      </w:r>
      <w:proofErr w:type="spellStart"/>
      <w:r w:rsidRPr="00204DBD">
        <w:t>fostering</w:t>
      </w:r>
      <w:proofErr w:type="spellEnd"/>
      <w:r w:rsidRPr="00204DBD">
        <w:t xml:space="preserve"> </w:t>
      </w:r>
      <w:proofErr w:type="spellStart"/>
      <w:r w:rsidRPr="00204DBD">
        <w:t>participation</w:t>
      </w:r>
      <w:proofErr w:type="spellEnd"/>
      <w:r w:rsidRPr="00204DBD">
        <w:t xml:space="preserve">. At </w:t>
      </w:r>
      <w:proofErr w:type="spellStart"/>
      <w:r w:rsidRPr="00204DBD">
        <w:t>the</w:t>
      </w:r>
      <w:proofErr w:type="spellEnd"/>
      <w:r w:rsidRPr="00204DBD">
        <w:t xml:space="preserve"> </w:t>
      </w:r>
      <w:proofErr w:type="spellStart"/>
      <w:r w:rsidRPr="00204DBD">
        <w:t>same</w:t>
      </w:r>
      <w:proofErr w:type="spellEnd"/>
      <w:r w:rsidRPr="00204DBD">
        <w:t xml:space="preserve"> time, they can </w:t>
      </w:r>
      <w:proofErr w:type="spellStart"/>
      <w:r w:rsidRPr="00204DBD">
        <w:t>also</w:t>
      </w:r>
      <w:proofErr w:type="spellEnd"/>
      <w:r w:rsidRPr="00204DBD">
        <w:t xml:space="preserve"> </w:t>
      </w:r>
      <w:proofErr w:type="spellStart"/>
      <w:r w:rsidRPr="00204DBD">
        <w:t>instill</w:t>
      </w:r>
      <w:proofErr w:type="spellEnd"/>
      <w:r w:rsidRPr="00204DBD">
        <w:t xml:space="preserve"> a sense of </w:t>
      </w:r>
      <w:proofErr w:type="spellStart"/>
      <w:r w:rsidRPr="00204DBD">
        <w:t>mistrust</w:t>
      </w:r>
      <w:proofErr w:type="spellEnd"/>
      <w:r w:rsidRPr="00204DBD">
        <w:t xml:space="preserve"> in </w:t>
      </w:r>
      <w:proofErr w:type="spellStart"/>
      <w:r w:rsidRPr="00204DBD">
        <w:t>users</w:t>
      </w:r>
      <w:proofErr w:type="spellEnd"/>
      <w:r w:rsidRPr="00204DBD">
        <w:t xml:space="preserve"> </w:t>
      </w:r>
      <w:proofErr w:type="spellStart"/>
      <w:r w:rsidRPr="00204DBD">
        <w:t>due</w:t>
      </w:r>
      <w:proofErr w:type="spellEnd"/>
      <w:r w:rsidRPr="00204DBD">
        <w:t xml:space="preserve"> </w:t>
      </w:r>
      <w:proofErr w:type="spellStart"/>
      <w:r w:rsidRPr="00204DBD">
        <w:t>to</w:t>
      </w:r>
      <w:proofErr w:type="spellEnd"/>
      <w:r w:rsidRPr="00204DBD">
        <w:t xml:space="preserve"> </w:t>
      </w:r>
      <w:proofErr w:type="spellStart"/>
      <w:r w:rsidRPr="00204DBD">
        <w:t>challenges</w:t>
      </w:r>
      <w:proofErr w:type="spellEnd"/>
      <w:r w:rsidRPr="00204DBD">
        <w:t xml:space="preserve"> </w:t>
      </w:r>
      <w:proofErr w:type="spellStart"/>
      <w:r w:rsidRPr="00204DBD">
        <w:t>such</w:t>
      </w:r>
      <w:proofErr w:type="spellEnd"/>
      <w:r w:rsidRPr="00204DBD">
        <w:t xml:space="preserve"> as </w:t>
      </w:r>
      <w:proofErr w:type="spellStart"/>
      <w:r w:rsidRPr="00204DBD">
        <w:t>fake</w:t>
      </w:r>
      <w:proofErr w:type="spellEnd"/>
      <w:r w:rsidRPr="00204DBD">
        <w:t xml:space="preserve"> </w:t>
      </w:r>
      <w:proofErr w:type="spellStart"/>
      <w:r w:rsidRPr="00204DBD">
        <w:t>content</w:t>
      </w:r>
      <w:proofErr w:type="spellEnd"/>
      <w:r w:rsidRPr="00204DBD">
        <w:t xml:space="preserve">, </w:t>
      </w:r>
      <w:proofErr w:type="spellStart"/>
      <w:r w:rsidRPr="00204DBD">
        <w:t>cyberbullying</w:t>
      </w:r>
      <w:proofErr w:type="spellEnd"/>
      <w:r w:rsidRPr="00204DBD">
        <w:t xml:space="preserve">, </w:t>
      </w:r>
      <w:proofErr w:type="spellStart"/>
      <w:r w:rsidRPr="00204DBD">
        <w:t>privacy</w:t>
      </w:r>
      <w:proofErr w:type="spellEnd"/>
      <w:r w:rsidRPr="00204DBD">
        <w:t xml:space="preserve"> </w:t>
      </w:r>
      <w:proofErr w:type="spellStart"/>
      <w:r w:rsidRPr="00204DBD">
        <w:t>concerns</w:t>
      </w:r>
      <w:proofErr w:type="spellEnd"/>
      <w:r w:rsidRPr="00204DBD">
        <w:t xml:space="preserve">, </w:t>
      </w:r>
      <w:proofErr w:type="spellStart"/>
      <w:r w:rsidRPr="00204DBD">
        <w:t>and</w:t>
      </w:r>
      <w:proofErr w:type="spellEnd"/>
      <w:r w:rsidRPr="00204DBD">
        <w:t xml:space="preserve"> </w:t>
      </w:r>
      <w:proofErr w:type="spellStart"/>
      <w:r w:rsidRPr="00204DBD">
        <w:t>security</w:t>
      </w:r>
      <w:proofErr w:type="spellEnd"/>
      <w:r w:rsidRPr="00204DBD">
        <w:t xml:space="preserve"> </w:t>
      </w:r>
      <w:proofErr w:type="spellStart"/>
      <w:r w:rsidRPr="00204DBD">
        <w:t>risks</w:t>
      </w:r>
      <w:proofErr w:type="spellEnd"/>
      <w:r w:rsidRPr="00204DBD">
        <w:t xml:space="preserve">. </w:t>
      </w:r>
      <w:proofErr w:type="spellStart"/>
      <w:r w:rsidRPr="00204DBD">
        <w:t>This</w:t>
      </w:r>
      <w:proofErr w:type="spellEnd"/>
      <w:r w:rsidRPr="00204DBD">
        <w:t xml:space="preserve"> </w:t>
      </w:r>
      <w:proofErr w:type="spellStart"/>
      <w:r w:rsidRPr="00204DBD">
        <w:t>literature</w:t>
      </w:r>
      <w:proofErr w:type="spellEnd"/>
      <w:r w:rsidRPr="00204DBD">
        <w:t xml:space="preserve"> </w:t>
      </w:r>
      <w:proofErr w:type="spellStart"/>
      <w:r w:rsidRPr="00204DBD">
        <w:t>review</w:t>
      </w:r>
      <w:proofErr w:type="spellEnd"/>
      <w:r w:rsidRPr="00204DBD">
        <w:t xml:space="preserve"> </w:t>
      </w:r>
      <w:proofErr w:type="spellStart"/>
      <w:r w:rsidRPr="00204DBD">
        <w:t>addresses</w:t>
      </w:r>
      <w:proofErr w:type="spellEnd"/>
      <w:r w:rsidRPr="00204DBD">
        <w:t xml:space="preserve"> </w:t>
      </w:r>
      <w:proofErr w:type="spellStart"/>
      <w:r w:rsidRPr="00204DBD">
        <w:t>the</w:t>
      </w:r>
      <w:proofErr w:type="spellEnd"/>
      <w:r w:rsidRPr="00204DBD">
        <w:t xml:space="preserve"> </w:t>
      </w:r>
      <w:proofErr w:type="spellStart"/>
      <w:r w:rsidRPr="00204DBD">
        <w:t>key</w:t>
      </w:r>
      <w:proofErr w:type="spellEnd"/>
      <w:r w:rsidRPr="00204DBD">
        <w:t xml:space="preserve"> </w:t>
      </w:r>
      <w:proofErr w:type="spellStart"/>
      <w:r w:rsidRPr="00204DBD">
        <w:lastRenderedPageBreak/>
        <w:t>elements</w:t>
      </w:r>
      <w:proofErr w:type="spellEnd"/>
      <w:r w:rsidRPr="00204DBD">
        <w:t xml:space="preserve"> of </w:t>
      </w:r>
      <w:proofErr w:type="spellStart"/>
      <w:r w:rsidRPr="00204DBD">
        <w:t>digital</w:t>
      </w:r>
      <w:proofErr w:type="spellEnd"/>
      <w:r w:rsidRPr="00204DBD">
        <w:t xml:space="preserve"> </w:t>
      </w:r>
      <w:proofErr w:type="spellStart"/>
      <w:r w:rsidRPr="00204DBD">
        <w:t>communication</w:t>
      </w:r>
      <w:proofErr w:type="spellEnd"/>
      <w:r w:rsidRPr="00204DBD">
        <w:t xml:space="preserve"> </w:t>
      </w:r>
      <w:proofErr w:type="spellStart"/>
      <w:r w:rsidRPr="00204DBD">
        <w:t>today</w:t>
      </w:r>
      <w:proofErr w:type="spellEnd"/>
      <w:r w:rsidRPr="00204DBD">
        <w:t xml:space="preserve">, </w:t>
      </w:r>
      <w:proofErr w:type="spellStart"/>
      <w:r w:rsidRPr="00204DBD">
        <w:t>specifically</w:t>
      </w:r>
      <w:proofErr w:type="spellEnd"/>
      <w:r w:rsidRPr="00204DBD">
        <w:t xml:space="preserve"> online </w:t>
      </w:r>
      <w:proofErr w:type="spellStart"/>
      <w:r w:rsidRPr="00204DBD">
        <w:t>communities</w:t>
      </w:r>
      <w:proofErr w:type="spellEnd"/>
      <w:r w:rsidRPr="00204DBD">
        <w:t xml:space="preserve"> </w:t>
      </w:r>
      <w:proofErr w:type="spellStart"/>
      <w:r w:rsidRPr="00204DBD">
        <w:t>and</w:t>
      </w:r>
      <w:proofErr w:type="spellEnd"/>
      <w:r w:rsidRPr="00204DBD">
        <w:t xml:space="preserve"> </w:t>
      </w:r>
      <w:proofErr w:type="spellStart"/>
      <w:r w:rsidRPr="00204DBD">
        <w:t>the</w:t>
      </w:r>
      <w:proofErr w:type="spellEnd"/>
      <w:r w:rsidRPr="00204DBD">
        <w:t xml:space="preserve"> </w:t>
      </w:r>
      <w:proofErr w:type="spellStart"/>
      <w:r w:rsidRPr="00204DBD">
        <w:t>facets</w:t>
      </w:r>
      <w:proofErr w:type="spellEnd"/>
      <w:r w:rsidRPr="00204DBD">
        <w:t xml:space="preserve"> of </w:t>
      </w:r>
      <w:proofErr w:type="spellStart"/>
      <w:r w:rsidRPr="00204DBD">
        <w:t>digital</w:t>
      </w:r>
      <w:proofErr w:type="spellEnd"/>
      <w:r w:rsidRPr="00204DBD">
        <w:t xml:space="preserve"> </w:t>
      </w:r>
      <w:proofErr w:type="spellStart"/>
      <w:r w:rsidRPr="00204DBD">
        <w:t>culture</w:t>
      </w:r>
      <w:proofErr w:type="spellEnd"/>
      <w:r w:rsidRPr="00204DBD">
        <w:t xml:space="preserve">, </w:t>
      </w:r>
      <w:proofErr w:type="spellStart"/>
      <w:r w:rsidRPr="00204DBD">
        <w:t>by</w:t>
      </w:r>
      <w:proofErr w:type="spellEnd"/>
      <w:r w:rsidRPr="00204DBD">
        <w:t xml:space="preserve"> </w:t>
      </w:r>
      <w:proofErr w:type="spellStart"/>
      <w:r w:rsidRPr="00204DBD">
        <w:t>examining</w:t>
      </w:r>
      <w:proofErr w:type="spellEnd"/>
      <w:r w:rsidRPr="00204DBD">
        <w:t xml:space="preserve"> </w:t>
      </w:r>
      <w:proofErr w:type="spellStart"/>
      <w:r w:rsidRPr="00204DBD">
        <w:t>their</w:t>
      </w:r>
      <w:proofErr w:type="spellEnd"/>
      <w:r w:rsidRPr="00204DBD">
        <w:t xml:space="preserve"> </w:t>
      </w:r>
      <w:proofErr w:type="spellStart"/>
      <w:r w:rsidRPr="00204DBD">
        <w:t>types</w:t>
      </w:r>
      <w:proofErr w:type="spellEnd"/>
      <w:r w:rsidRPr="00204DBD">
        <w:t xml:space="preserve">, </w:t>
      </w:r>
      <w:proofErr w:type="spellStart"/>
      <w:r w:rsidRPr="00204DBD">
        <w:t>characteristics</w:t>
      </w:r>
      <w:proofErr w:type="spellEnd"/>
      <w:r w:rsidRPr="00204DBD">
        <w:t xml:space="preserve">, </w:t>
      </w:r>
      <w:proofErr w:type="spellStart"/>
      <w:r w:rsidRPr="00204DBD">
        <w:t>and</w:t>
      </w:r>
      <w:proofErr w:type="spellEnd"/>
      <w:r w:rsidRPr="00204DBD">
        <w:t xml:space="preserve"> </w:t>
      </w:r>
      <w:proofErr w:type="spellStart"/>
      <w:r w:rsidRPr="00204DBD">
        <w:t>the</w:t>
      </w:r>
      <w:proofErr w:type="spellEnd"/>
      <w:r w:rsidRPr="00204DBD">
        <w:t xml:space="preserve"> </w:t>
      </w:r>
      <w:proofErr w:type="spellStart"/>
      <w:r w:rsidRPr="00204DBD">
        <w:t>subcultural</w:t>
      </w:r>
      <w:proofErr w:type="spellEnd"/>
      <w:r w:rsidRPr="00204DBD">
        <w:t xml:space="preserve"> </w:t>
      </w:r>
      <w:proofErr w:type="spellStart"/>
      <w:r w:rsidRPr="00204DBD">
        <w:t>contexts</w:t>
      </w:r>
      <w:proofErr w:type="spellEnd"/>
      <w:r w:rsidRPr="00204DBD">
        <w:t xml:space="preserve"> they </w:t>
      </w:r>
      <w:proofErr w:type="spellStart"/>
      <w:r w:rsidRPr="00204DBD">
        <w:t>represent</w:t>
      </w:r>
      <w:proofErr w:type="spellEnd"/>
      <w:r w:rsidRPr="00204DBD">
        <w:t xml:space="preserve">. </w:t>
      </w:r>
      <w:proofErr w:type="spellStart"/>
      <w:r w:rsidRPr="00204DBD">
        <w:t>It</w:t>
      </w:r>
      <w:proofErr w:type="spellEnd"/>
      <w:r w:rsidRPr="00204DBD">
        <w:t xml:space="preserve"> </w:t>
      </w:r>
      <w:proofErr w:type="spellStart"/>
      <w:r w:rsidRPr="00204DBD">
        <w:t>also</w:t>
      </w:r>
      <w:proofErr w:type="spellEnd"/>
      <w:r w:rsidRPr="00204DBD">
        <w:t xml:space="preserve"> </w:t>
      </w:r>
      <w:proofErr w:type="spellStart"/>
      <w:r w:rsidRPr="00204DBD">
        <w:t>discusses</w:t>
      </w:r>
      <w:proofErr w:type="spellEnd"/>
      <w:r w:rsidRPr="00204DBD">
        <w:t xml:space="preserve"> </w:t>
      </w:r>
      <w:proofErr w:type="spellStart"/>
      <w:r w:rsidRPr="00204DBD">
        <w:t>the</w:t>
      </w:r>
      <w:proofErr w:type="spellEnd"/>
      <w:r w:rsidRPr="00204DBD">
        <w:t xml:space="preserve"> </w:t>
      </w:r>
      <w:proofErr w:type="spellStart"/>
      <w:r w:rsidRPr="00204DBD">
        <w:t>impact</w:t>
      </w:r>
      <w:proofErr w:type="spellEnd"/>
      <w:r w:rsidRPr="00204DBD">
        <w:t xml:space="preserve"> of </w:t>
      </w:r>
      <w:proofErr w:type="spellStart"/>
      <w:r w:rsidRPr="00204DBD">
        <w:t>digital</w:t>
      </w:r>
      <w:proofErr w:type="spellEnd"/>
      <w:r w:rsidRPr="00204DBD">
        <w:t xml:space="preserve"> </w:t>
      </w:r>
      <w:proofErr w:type="spellStart"/>
      <w:r w:rsidRPr="00204DBD">
        <w:t>communities</w:t>
      </w:r>
      <w:proofErr w:type="spellEnd"/>
      <w:r w:rsidRPr="00204DBD">
        <w:t xml:space="preserve"> </w:t>
      </w:r>
      <w:proofErr w:type="spellStart"/>
      <w:r w:rsidRPr="00204DBD">
        <w:t>and</w:t>
      </w:r>
      <w:proofErr w:type="spellEnd"/>
      <w:r w:rsidRPr="00204DBD">
        <w:t xml:space="preserve"> </w:t>
      </w:r>
      <w:proofErr w:type="spellStart"/>
      <w:r w:rsidRPr="00204DBD">
        <w:t>their</w:t>
      </w:r>
      <w:proofErr w:type="spellEnd"/>
      <w:r w:rsidRPr="00204DBD">
        <w:t xml:space="preserve"> </w:t>
      </w:r>
      <w:proofErr w:type="spellStart"/>
      <w:r w:rsidRPr="00204DBD">
        <w:t>emergent</w:t>
      </w:r>
      <w:proofErr w:type="spellEnd"/>
      <w:r w:rsidRPr="00204DBD">
        <w:t xml:space="preserve"> </w:t>
      </w:r>
      <w:proofErr w:type="spellStart"/>
      <w:r w:rsidRPr="00204DBD">
        <w:t>cultural</w:t>
      </w:r>
      <w:proofErr w:type="spellEnd"/>
      <w:r w:rsidRPr="00204DBD">
        <w:t xml:space="preserve"> </w:t>
      </w:r>
      <w:proofErr w:type="spellStart"/>
      <w:r w:rsidRPr="00204DBD">
        <w:t>codes</w:t>
      </w:r>
      <w:proofErr w:type="spellEnd"/>
      <w:r w:rsidRPr="00204DBD">
        <w:t xml:space="preserve"> on offline </w:t>
      </w:r>
      <w:proofErr w:type="spellStart"/>
      <w:r w:rsidRPr="00204DBD">
        <w:t>social</w:t>
      </w:r>
      <w:proofErr w:type="spellEnd"/>
      <w:r w:rsidRPr="00204DBD">
        <w:t xml:space="preserve"> </w:t>
      </w:r>
      <w:proofErr w:type="spellStart"/>
      <w:r w:rsidRPr="00204DBD">
        <w:t>and</w:t>
      </w:r>
      <w:proofErr w:type="spellEnd"/>
      <w:r w:rsidRPr="00204DBD">
        <w:t xml:space="preserve"> </w:t>
      </w:r>
      <w:proofErr w:type="spellStart"/>
      <w:r w:rsidRPr="00204DBD">
        <w:t>individual</w:t>
      </w:r>
      <w:proofErr w:type="spellEnd"/>
      <w:r w:rsidRPr="00204DBD">
        <w:t xml:space="preserve"> life </w:t>
      </w:r>
      <w:proofErr w:type="spellStart"/>
      <w:r w:rsidRPr="00204DBD">
        <w:t>through</w:t>
      </w:r>
      <w:proofErr w:type="spellEnd"/>
      <w:r w:rsidRPr="00204DBD">
        <w:t xml:space="preserve"> </w:t>
      </w:r>
      <w:proofErr w:type="spellStart"/>
      <w:r w:rsidRPr="00204DBD">
        <w:t>specific</w:t>
      </w:r>
      <w:proofErr w:type="spellEnd"/>
      <w:r w:rsidRPr="00204DBD">
        <w:t xml:space="preserve"> </w:t>
      </w:r>
      <w:proofErr w:type="spellStart"/>
      <w:r w:rsidRPr="00204DBD">
        <w:t>examples</w:t>
      </w:r>
      <w:proofErr w:type="spellEnd"/>
      <w:r w:rsidRPr="00204DBD">
        <w:t xml:space="preserve">. </w:t>
      </w:r>
      <w:proofErr w:type="spellStart"/>
      <w:r w:rsidRPr="00204DBD">
        <w:t>The</w:t>
      </w:r>
      <w:proofErr w:type="spellEnd"/>
      <w:r w:rsidRPr="00204DBD">
        <w:t xml:space="preserve"> </w:t>
      </w:r>
      <w:proofErr w:type="spellStart"/>
      <w:r w:rsidRPr="00204DBD">
        <w:t>paper</w:t>
      </w:r>
      <w:proofErr w:type="spellEnd"/>
      <w:r w:rsidRPr="00204DBD">
        <w:t xml:space="preserve"> </w:t>
      </w:r>
      <w:proofErr w:type="spellStart"/>
      <w:r w:rsidRPr="00204DBD">
        <w:t>includes</w:t>
      </w:r>
      <w:proofErr w:type="spellEnd"/>
      <w:r w:rsidRPr="00204DBD">
        <w:t xml:space="preserve"> </w:t>
      </w:r>
      <w:proofErr w:type="spellStart"/>
      <w:r w:rsidRPr="00204DBD">
        <w:t>definitions</w:t>
      </w:r>
      <w:proofErr w:type="spellEnd"/>
      <w:r w:rsidRPr="00204DBD">
        <w:t xml:space="preserve"> of </w:t>
      </w:r>
      <w:proofErr w:type="spellStart"/>
      <w:r w:rsidRPr="00204DBD">
        <w:t>culture</w:t>
      </w:r>
      <w:proofErr w:type="spellEnd"/>
      <w:r w:rsidRPr="00204DBD">
        <w:t xml:space="preserve"> </w:t>
      </w:r>
      <w:proofErr w:type="spellStart"/>
      <w:r w:rsidRPr="00204DBD">
        <w:t>and</w:t>
      </w:r>
      <w:proofErr w:type="spellEnd"/>
      <w:r w:rsidRPr="00204DBD">
        <w:t xml:space="preserve"> </w:t>
      </w:r>
      <w:proofErr w:type="spellStart"/>
      <w:r w:rsidRPr="00204DBD">
        <w:t>subculture</w:t>
      </w:r>
      <w:proofErr w:type="spellEnd"/>
      <w:r w:rsidRPr="00204DBD">
        <w:t xml:space="preserve">, </w:t>
      </w:r>
      <w:proofErr w:type="spellStart"/>
      <w:r w:rsidRPr="00204DBD">
        <w:t>and</w:t>
      </w:r>
      <w:proofErr w:type="spellEnd"/>
      <w:r w:rsidRPr="00204DBD">
        <w:t xml:space="preserve"> </w:t>
      </w:r>
      <w:proofErr w:type="spellStart"/>
      <w:r w:rsidRPr="00204DBD">
        <w:t>categorizes</w:t>
      </w:r>
      <w:proofErr w:type="spellEnd"/>
      <w:r w:rsidRPr="00204DBD">
        <w:t xml:space="preserve"> </w:t>
      </w:r>
      <w:proofErr w:type="spellStart"/>
      <w:r w:rsidRPr="00204DBD">
        <w:t>current</w:t>
      </w:r>
      <w:proofErr w:type="spellEnd"/>
      <w:r w:rsidRPr="00204DBD">
        <w:t xml:space="preserve"> </w:t>
      </w:r>
      <w:proofErr w:type="spellStart"/>
      <w:r w:rsidRPr="00204DBD">
        <w:t>elements</w:t>
      </w:r>
      <w:proofErr w:type="spellEnd"/>
      <w:r w:rsidRPr="00204DBD">
        <w:t xml:space="preserve"> of </w:t>
      </w:r>
      <w:proofErr w:type="spellStart"/>
      <w:r w:rsidRPr="00204DBD">
        <w:t>digital</w:t>
      </w:r>
      <w:proofErr w:type="spellEnd"/>
      <w:r w:rsidRPr="00204DBD">
        <w:t xml:space="preserve"> </w:t>
      </w:r>
      <w:proofErr w:type="spellStart"/>
      <w:r w:rsidRPr="00204DBD">
        <w:t>culture</w:t>
      </w:r>
      <w:proofErr w:type="spellEnd"/>
      <w:r w:rsidRPr="00204DBD">
        <w:t xml:space="preserve"> </w:t>
      </w:r>
      <w:proofErr w:type="spellStart"/>
      <w:r w:rsidRPr="00204DBD">
        <w:t>into</w:t>
      </w:r>
      <w:proofErr w:type="spellEnd"/>
      <w:r w:rsidRPr="00204DBD">
        <w:t xml:space="preserve"> “meme </w:t>
      </w:r>
      <w:proofErr w:type="spellStart"/>
      <w:r w:rsidRPr="00204DBD">
        <w:t>culture</w:t>
      </w:r>
      <w:proofErr w:type="spellEnd"/>
      <w:r w:rsidRPr="00204DBD">
        <w:t>,” “</w:t>
      </w:r>
      <w:proofErr w:type="spellStart"/>
      <w:r w:rsidRPr="00204DBD">
        <w:t>influencer</w:t>
      </w:r>
      <w:proofErr w:type="spellEnd"/>
      <w:r w:rsidRPr="00204DBD">
        <w:t xml:space="preserve"> </w:t>
      </w:r>
      <w:proofErr w:type="spellStart"/>
      <w:r w:rsidRPr="00204DBD">
        <w:t>culture</w:t>
      </w:r>
      <w:proofErr w:type="spellEnd"/>
      <w:r w:rsidRPr="00204DBD">
        <w:t>,” “</w:t>
      </w:r>
      <w:proofErr w:type="spellStart"/>
      <w:r w:rsidRPr="00204DBD">
        <w:t>gaming</w:t>
      </w:r>
      <w:proofErr w:type="spellEnd"/>
      <w:r w:rsidRPr="00204DBD">
        <w:t xml:space="preserve"> </w:t>
      </w:r>
      <w:proofErr w:type="spellStart"/>
      <w:r w:rsidRPr="00204DBD">
        <w:t>communities</w:t>
      </w:r>
      <w:proofErr w:type="spellEnd"/>
      <w:r w:rsidRPr="00204DBD">
        <w:t>,” “</w:t>
      </w:r>
      <w:proofErr w:type="spellStart"/>
      <w:r w:rsidRPr="00204DBD">
        <w:t>social</w:t>
      </w:r>
      <w:proofErr w:type="spellEnd"/>
      <w:r w:rsidRPr="00204DBD">
        <w:t xml:space="preserve"> network </w:t>
      </w:r>
      <w:proofErr w:type="spellStart"/>
      <w:r w:rsidRPr="00204DBD">
        <w:t>communities</w:t>
      </w:r>
      <w:proofErr w:type="spellEnd"/>
      <w:r w:rsidRPr="00204DBD">
        <w:t xml:space="preserve">,” “fan </w:t>
      </w:r>
      <w:proofErr w:type="spellStart"/>
      <w:r w:rsidRPr="00204DBD">
        <w:t>communities</w:t>
      </w:r>
      <w:proofErr w:type="spellEnd"/>
      <w:r w:rsidRPr="00204DBD">
        <w:t>,” “</w:t>
      </w:r>
      <w:proofErr w:type="spellStart"/>
      <w:r w:rsidRPr="00204DBD">
        <w:t>activist</w:t>
      </w:r>
      <w:proofErr w:type="spellEnd"/>
      <w:r w:rsidRPr="00204DBD">
        <w:t xml:space="preserve"> </w:t>
      </w:r>
      <w:proofErr w:type="spellStart"/>
      <w:r w:rsidRPr="00204DBD">
        <w:t>communities</w:t>
      </w:r>
      <w:proofErr w:type="spellEnd"/>
      <w:r w:rsidRPr="00204DBD">
        <w:t>,” “</w:t>
      </w:r>
      <w:proofErr w:type="spellStart"/>
      <w:r w:rsidRPr="00204DBD">
        <w:t>niche</w:t>
      </w:r>
      <w:proofErr w:type="spellEnd"/>
      <w:r w:rsidRPr="00204DBD">
        <w:t xml:space="preserve"> </w:t>
      </w:r>
      <w:proofErr w:type="spellStart"/>
      <w:r w:rsidRPr="00204DBD">
        <w:t>and</w:t>
      </w:r>
      <w:proofErr w:type="spellEnd"/>
      <w:r w:rsidRPr="00204DBD">
        <w:t xml:space="preserve"> </w:t>
      </w:r>
      <w:proofErr w:type="spellStart"/>
      <w:r w:rsidRPr="00204DBD">
        <w:t>micro-communities</w:t>
      </w:r>
      <w:proofErr w:type="spellEnd"/>
      <w:r w:rsidRPr="00204DBD">
        <w:t>,” “</w:t>
      </w:r>
      <w:proofErr w:type="spellStart"/>
      <w:r w:rsidRPr="00204DBD">
        <w:t>wikis</w:t>
      </w:r>
      <w:proofErr w:type="spellEnd"/>
      <w:r w:rsidRPr="00204DBD">
        <w:t xml:space="preserve"> </w:t>
      </w:r>
      <w:proofErr w:type="spellStart"/>
      <w:r w:rsidRPr="00204DBD">
        <w:t>and</w:t>
      </w:r>
      <w:proofErr w:type="spellEnd"/>
      <w:r w:rsidRPr="00204DBD">
        <w:t xml:space="preserve"> </w:t>
      </w:r>
      <w:proofErr w:type="spellStart"/>
      <w:r w:rsidRPr="00204DBD">
        <w:t>knowledge-sharing</w:t>
      </w:r>
      <w:proofErr w:type="spellEnd"/>
      <w:r w:rsidRPr="00204DBD">
        <w:t xml:space="preserve"> </w:t>
      </w:r>
      <w:proofErr w:type="spellStart"/>
      <w:r w:rsidRPr="00204DBD">
        <w:t>platforms</w:t>
      </w:r>
      <w:proofErr w:type="spellEnd"/>
      <w:r w:rsidRPr="00204DBD">
        <w:t>,” “</w:t>
      </w:r>
      <w:proofErr w:type="spellStart"/>
      <w:r w:rsidRPr="00204DBD">
        <w:t>forums</w:t>
      </w:r>
      <w:proofErr w:type="spellEnd"/>
      <w:r w:rsidRPr="00204DBD">
        <w:t xml:space="preserve"> </w:t>
      </w:r>
      <w:proofErr w:type="spellStart"/>
      <w:r w:rsidRPr="00204DBD">
        <w:t>and</w:t>
      </w:r>
      <w:proofErr w:type="spellEnd"/>
      <w:r w:rsidRPr="00204DBD">
        <w:t xml:space="preserve"> </w:t>
      </w:r>
      <w:proofErr w:type="spellStart"/>
      <w:r w:rsidRPr="00204DBD">
        <w:t>discussion</w:t>
      </w:r>
      <w:proofErr w:type="spellEnd"/>
      <w:r w:rsidRPr="00204DBD">
        <w:t xml:space="preserve"> </w:t>
      </w:r>
      <w:proofErr w:type="spellStart"/>
      <w:r w:rsidRPr="00204DBD">
        <w:t>boards</w:t>
      </w:r>
      <w:proofErr w:type="spellEnd"/>
      <w:r w:rsidRPr="00204DBD">
        <w:t xml:space="preserve">,” </w:t>
      </w:r>
      <w:proofErr w:type="spellStart"/>
      <w:r w:rsidRPr="00204DBD">
        <w:t>and</w:t>
      </w:r>
      <w:proofErr w:type="spellEnd"/>
      <w:r w:rsidRPr="00204DBD">
        <w:t xml:space="preserve"> “</w:t>
      </w:r>
      <w:proofErr w:type="spellStart"/>
      <w:r w:rsidRPr="00204DBD">
        <w:t>educational</w:t>
      </w:r>
      <w:proofErr w:type="spellEnd"/>
      <w:r w:rsidRPr="00204DBD">
        <w:t xml:space="preserve"> </w:t>
      </w:r>
      <w:proofErr w:type="spellStart"/>
      <w:r w:rsidRPr="00204DBD">
        <w:t>communities</w:t>
      </w:r>
      <w:proofErr w:type="spellEnd"/>
      <w:r w:rsidRPr="00204DBD">
        <w:t>.”</w:t>
      </w:r>
    </w:p>
    <w:p w14:paraId="2AA6D9B1" w14:textId="77777777" w:rsidR="00254C59" w:rsidRPr="00204DBD" w:rsidRDefault="00254C59" w:rsidP="002B6256">
      <w:pPr>
        <w:jc w:val="both"/>
      </w:pPr>
    </w:p>
    <w:p w14:paraId="23AB99CD" w14:textId="77777777" w:rsidR="00E3302B" w:rsidRPr="00204DBD" w:rsidRDefault="00E3302B" w:rsidP="002B6256">
      <w:pPr>
        <w:jc w:val="both"/>
      </w:pPr>
      <w:proofErr w:type="spellStart"/>
      <w:r w:rsidRPr="00204DBD">
        <w:rPr>
          <w:b/>
          <w:bCs/>
        </w:rPr>
        <w:t>Keywords</w:t>
      </w:r>
      <w:proofErr w:type="spellEnd"/>
      <w:r w:rsidRPr="00204DBD">
        <w:t xml:space="preserve">: </w:t>
      </w:r>
      <w:proofErr w:type="spellStart"/>
      <w:r w:rsidRPr="00204DBD">
        <w:t>Digital</w:t>
      </w:r>
      <w:proofErr w:type="spellEnd"/>
      <w:r w:rsidRPr="00204DBD">
        <w:t xml:space="preserve"> </w:t>
      </w:r>
      <w:proofErr w:type="spellStart"/>
      <w:r w:rsidRPr="00204DBD">
        <w:t>culture</w:t>
      </w:r>
      <w:proofErr w:type="spellEnd"/>
      <w:r w:rsidRPr="00204DBD">
        <w:t xml:space="preserve">, online </w:t>
      </w:r>
      <w:proofErr w:type="spellStart"/>
      <w:r w:rsidRPr="00204DBD">
        <w:t>communities</w:t>
      </w:r>
      <w:proofErr w:type="spellEnd"/>
      <w:r w:rsidRPr="00204DBD">
        <w:t xml:space="preserve">, </w:t>
      </w:r>
      <w:proofErr w:type="spellStart"/>
      <w:r w:rsidRPr="00204DBD">
        <w:t>social</w:t>
      </w:r>
      <w:proofErr w:type="spellEnd"/>
      <w:r w:rsidRPr="00204DBD">
        <w:t xml:space="preserve"> </w:t>
      </w:r>
      <w:proofErr w:type="spellStart"/>
      <w:r w:rsidRPr="00204DBD">
        <w:t>media</w:t>
      </w:r>
      <w:proofErr w:type="spellEnd"/>
      <w:r w:rsidRPr="00204DBD">
        <w:t xml:space="preserve">, </w:t>
      </w:r>
      <w:proofErr w:type="spellStart"/>
      <w:r w:rsidRPr="00204DBD">
        <w:t>communication</w:t>
      </w:r>
      <w:proofErr w:type="spellEnd"/>
      <w:r w:rsidRPr="00204DBD">
        <w:t xml:space="preserve"> </w:t>
      </w:r>
      <w:proofErr w:type="spellStart"/>
      <w:r w:rsidRPr="00204DBD">
        <w:t>studies</w:t>
      </w:r>
      <w:proofErr w:type="spellEnd"/>
      <w:r w:rsidRPr="00204DBD">
        <w:t xml:space="preserve">, </w:t>
      </w:r>
      <w:proofErr w:type="spellStart"/>
      <w:r w:rsidRPr="00204DBD">
        <w:t>digital</w:t>
      </w:r>
      <w:proofErr w:type="spellEnd"/>
      <w:r w:rsidRPr="00204DBD">
        <w:t xml:space="preserve"> </w:t>
      </w:r>
      <w:proofErr w:type="spellStart"/>
      <w:r w:rsidRPr="00204DBD">
        <w:t>media</w:t>
      </w:r>
      <w:proofErr w:type="spellEnd"/>
    </w:p>
    <w:p w14:paraId="0CC3D120" w14:textId="77777777" w:rsidR="00E3302B" w:rsidRPr="00204DBD" w:rsidRDefault="00E3302B" w:rsidP="002B6256">
      <w:pPr>
        <w:jc w:val="both"/>
        <w:rPr>
          <w:lang w:eastAsia="en-US"/>
        </w:rPr>
      </w:pPr>
    </w:p>
    <w:p w14:paraId="0EEA77C7" w14:textId="70E1528B" w:rsidR="00E3302B" w:rsidRDefault="00E3302B" w:rsidP="002B6256">
      <w:pPr>
        <w:ind w:left="2836"/>
        <w:jc w:val="both"/>
        <w:rPr>
          <w:b/>
          <w:lang w:eastAsia="en-US"/>
        </w:rPr>
      </w:pPr>
      <w:r w:rsidRPr="00204DBD">
        <w:rPr>
          <w:b/>
          <w:lang w:eastAsia="en-US"/>
        </w:rPr>
        <w:t xml:space="preserve">       </w:t>
      </w:r>
      <w:proofErr w:type="spellStart"/>
      <w:r w:rsidRPr="00204DBD">
        <w:rPr>
          <w:b/>
          <w:lang w:eastAsia="en-US"/>
        </w:rPr>
        <w:t>Extended</w:t>
      </w:r>
      <w:proofErr w:type="spellEnd"/>
      <w:r w:rsidRPr="00204DBD">
        <w:rPr>
          <w:b/>
          <w:lang w:eastAsia="en-US"/>
        </w:rPr>
        <w:t xml:space="preserve"> </w:t>
      </w:r>
      <w:proofErr w:type="spellStart"/>
      <w:r w:rsidRPr="00204DBD">
        <w:rPr>
          <w:b/>
          <w:lang w:eastAsia="en-US"/>
        </w:rPr>
        <w:t>Abstract</w:t>
      </w:r>
      <w:proofErr w:type="spellEnd"/>
    </w:p>
    <w:p w14:paraId="48EC47CE" w14:textId="77777777" w:rsidR="00204DBD" w:rsidRPr="00204DBD" w:rsidRDefault="00204DBD" w:rsidP="002B6256">
      <w:pPr>
        <w:ind w:left="2836"/>
        <w:jc w:val="both"/>
        <w:rPr>
          <w:b/>
          <w:lang w:eastAsia="en-US"/>
        </w:rPr>
      </w:pPr>
    </w:p>
    <w:p w14:paraId="5CDF71AC" w14:textId="5B7B9D7F" w:rsidR="00204DBD" w:rsidRPr="00204DBD" w:rsidRDefault="00E3302B" w:rsidP="002B6256">
      <w:pPr>
        <w:tabs>
          <w:tab w:val="left" w:pos="284"/>
        </w:tabs>
        <w:adjustRightInd w:val="0"/>
        <w:ind w:left="284" w:hanging="284"/>
        <w:rPr>
          <w:b/>
        </w:rPr>
      </w:pPr>
      <w:proofErr w:type="spellStart"/>
      <w:r w:rsidRPr="00204DBD">
        <w:rPr>
          <w:b/>
        </w:rPr>
        <w:t>Introduction</w:t>
      </w:r>
      <w:proofErr w:type="spellEnd"/>
      <w:r w:rsidRPr="00204DBD">
        <w:rPr>
          <w:b/>
        </w:rPr>
        <w:t xml:space="preserve"> </w:t>
      </w:r>
    </w:p>
    <w:p w14:paraId="6226BCA4" w14:textId="77777777" w:rsidR="00E3302B" w:rsidRDefault="00E3302B" w:rsidP="002B6256">
      <w:pPr>
        <w:jc w:val="both"/>
        <w:rPr>
          <w:rFonts w:eastAsia="Calibri"/>
          <w:lang w:eastAsia="en-US"/>
        </w:rPr>
      </w:pP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innovations</w:t>
      </w:r>
      <w:proofErr w:type="spellEnd"/>
      <w:r w:rsidRPr="00204DBD">
        <w:rPr>
          <w:rFonts w:eastAsia="Calibri"/>
          <w:lang w:eastAsia="en-US"/>
        </w:rPr>
        <w:t xml:space="preserve"> </w:t>
      </w:r>
      <w:proofErr w:type="spellStart"/>
      <w:r w:rsidRPr="00204DBD">
        <w:rPr>
          <w:rFonts w:eastAsia="Calibri"/>
          <w:lang w:eastAsia="en-US"/>
        </w:rPr>
        <w:t>brought</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age</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forms</w:t>
      </w:r>
      <w:proofErr w:type="spellEnd"/>
      <w:r w:rsidRPr="00204DBD">
        <w:rPr>
          <w:rFonts w:eastAsia="Calibri"/>
          <w:lang w:eastAsia="en-US"/>
        </w:rPr>
        <w:t xml:space="preserve"> of </w:t>
      </w:r>
      <w:proofErr w:type="spellStart"/>
      <w:r w:rsidRPr="00204DBD">
        <w:rPr>
          <w:rFonts w:eastAsia="Calibri"/>
          <w:lang w:eastAsia="en-US"/>
        </w:rPr>
        <w:t>communication</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interaction</w:t>
      </w:r>
      <w:proofErr w:type="spellEnd"/>
      <w:r w:rsidRPr="00204DBD">
        <w:rPr>
          <w:rFonts w:eastAsia="Calibri"/>
          <w:lang w:eastAsia="en-US"/>
        </w:rPr>
        <w:t xml:space="preserve"> </w:t>
      </w:r>
      <w:proofErr w:type="spellStart"/>
      <w:r w:rsidRPr="00204DBD">
        <w:rPr>
          <w:rFonts w:eastAsia="Calibri"/>
          <w:lang w:eastAsia="en-US"/>
        </w:rPr>
        <w:t>between</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have</w:t>
      </w:r>
      <w:proofErr w:type="spellEnd"/>
      <w:r w:rsidRPr="00204DBD">
        <w:rPr>
          <w:rFonts w:eastAsia="Calibri"/>
          <w:lang w:eastAsia="en-US"/>
        </w:rPr>
        <w:t xml:space="preserve"> </w:t>
      </w:r>
      <w:proofErr w:type="spellStart"/>
      <w:r w:rsidRPr="00204DBD">
        <w:rPr>
          <w:rFonts w:eastAsia="Calibri"/>
          <w:lang w:eastAsia="en-US"/>
        </w:rPr>
        <w:t>undergone</w:t>
      </w:r>
      <w:proofErr w:type="spellEnd"/>
      <w:r w:rsidRPr="00204DBD">
        <w:rPr>
          <w:rFonts w:eastAsia="Calibri"/>
          <w:lang w:eastAsia="en-US"/>
        </w:rPr>
        <w:t xml:space="preserve"> </w:t>
      </w:r>
      <w:proofErr w:type="spellStart"/>
      <w:r w:rsidRPr="00204DBD">
        <w:rPr>
          <w:rFonts w:eastAsia="Calibri"/>
          <w:lang w:eastAsia="en-US"/>
        </w:rPr>
        <w:t>some</w:t>
      </w:r>
      <w:proofErr w:type="spellEnd"/>
      <w:r w:rsidRPr="00204DBD">
        <w:rPr>
          <w:rFonts w:eastAsia="Calibri"/>
          <w:lang w:eastAsia="en-US"/>
        </w:rPr>
        <w:t xml:space="preserve"> </w:t>
      </w:r>
      <w:proofErr w:type="spellStart"/>
      <w:r w:rsidRPr="00204DBD">
        <w:rPr>
          <w:rFonts w:eastAsia="Calibri"/>
          <w:lang w:eastAsia="en-US"/>
        </w:rPr>
        <w:t>radical</w:t>
      </w:r>
      <w:proofErr w:type="spellEnd"/>
      <w:r w:rsidRPr="00204DBD">
        <w:rPr>
          <w:rFonts w:eastAsia="Calibri"/>
          <w:lang w:eastAsia="en-US"/>
        </w:rPr>
        <w:t xml:space="preserve"> </w:t>
      </w:r>
      <w:proofErr w:type="spellStart"/>
      <w:r w:rsidRPr="00204DBD">
        <w:rPr>
          <w:rFonts w:eastAsia="Calibri"/>
          <w:lang w:eastAsia="en-US"/>
        </w:rPr>
        <w:t>changes</w:t>
      </w:r>
      <w:proofErr w:type="spellEnd"/>
      <w:r w:rsidRPr="00204DBD">
        <w:rPr>
          <w:rFonts w:eastAsia="Calibri"/>
          <w:lang w:eastAsia="en-US"/>
        </w:rPr>
        <w:t xml:space="preserve">. New </w:t>
      </w:r>
      <w:proofErr w:type="spellStart"/>
      <w:r w:rsidRPr="00204DBD">
        <w:rPr>
          <w:rFonts w:eastAsia="Calibri"/>
          <w:lang w:eastAsia="en-US"/>
        </w:rPr>
        <w:t>subcultural</w:t>
      </w:r>
      <w:proofErr w:type="spellEnd"/>
      <w:r w:rsidRPr="00204DBD">
        <w:rPr>
          <w:rFonts w:eastAsia="Calibri"/>
          <w:lang w:eastAsia="en-US"/>
        </w:rPr>
        <w:t xml:space="preserve"> </w:t>
      </w:r>
      <w:proofErr w:type="spellStart"/>
      <w:r w:rsidRPr="00204DBD">
        <w:rPr>
          <w:rFonts w:eastAsia="Calibri"/>
          <w:lang w:eastAsia="en-US"/>
        </w:rPr>
        <w:t>elements</w:t>
      </w:r>
      <w:proofErr w:type="spellEnd"/>
      <w:r w:rsidRPr="00204DBD">
        <w:rPr>
          <w:rFonts w:eastAsia="Calibri"/>
          <w:lang w:eastAsia="en-US"/>
        </w:rPr>
        <w:t xml:space="preserve"> of </w:t>
      </w:r>
      <w:proofErr w:type="spellStart"/>
      <w:r w:rsidRPr="00204DBD">
        <w:rPr>
          <w:rFonts w:eastAsia="Calibri"/>
          <w:lang w:eastAsia="en-US"/>
        </w:rPr>
        <w:t>today’s</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new</w:t>
      </w:r>
      <w:proofErr w:type="spellEnd"/>
      <w:r w:rsidRPr="00204DBD">
        <w:rPr>
          <w:rFonts w:eastAsia="Calibri"/>
          <w:lang w:eastAsia="en-US"/>
        </w:rPr>
        <w:t xml:space="preserve"> </w:t>
      </w:r>
      <w:proofErr w:type="spellStart"/>
      <w:r w:rsidRPr="00204DBD">
        <w:rPr>
          <w:rFonts w:eastAsia="Calibri"/>
          <w:lang w:eastAsia="en-US"/>
        </w:rPr>
        <w:t>terms</w:t>
      </w:r>
      <w:proofErr w:type="spellEnd"/>
      <w:r w:rsidRPr="00204DBD">
        <w:rPr>
          <w:rFonts w:eastAsia="Calibri"/>
          <w:lang w:eastAsia="en-US"/>
        </w:rPr>
        <w:t xml:space="preserve">, </w:t>
      </w:r>
      <w:proofErr w:type="spellStart"/>
      <w:r w:rsidRPr="00204DBD">
        <w:rPr>
          <w:rFonts w:eastAsia="Calibri"/>
          <w:lang w:eastAsia="en-US"/>
        </w:rPr>
        <w:t>habits</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at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center</w:t>
      </w:r>
      <w:proofErr w:type="spellEnd"/>
      <w:r w:rsidRPr="00204DBD">
        <w:rPr>
          <w:rFonts w:eastAsia="Calibri"/>
          <w:lang w:eastAsia="en-US"/>
        </w:rPr>
        <w:t xml:space="preserve"> of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transformation</w:t>
      </w:r>
      <w:proofErr w:type="spellEnd"/>
      <w:r w:rsidRPr="00204DBD">
        <w:rPr>
          <w:rFonts w:eastAsia="Calibri"/>
          <w:lang w:eastAsia="en-US"/>
        </w:rPr>
        <w:t xml:space="preserve">. </w:t>
      </w:r>
      <w:proofErr w:type="spellStart"/>
      <w:r w:rsidRPr="00204DBD">
        <w:rPr>
          <w:rFonts w:eastAsia="Calibri"/>
          <w:lang w:eastAsia="en-US"/>
        </w:rPr>
        <w:t>Unlike</w:t>
      </w:r>
      <w:proofErr w:type="spellEnd"/>
      <w:r w:rsidRPr="00204DBD">
        <w:rPr>
          <w:rFonts w:eastAsia="Calibri"/>
          <w:lang w:eastAsia="en-US"/>
        </w:rPr>
        <w:t xml:space="preserve"> </w:t>
      </w:r>
      <w:proofErr w:type="spellStart"/>
      <w:r w:rsidRPr="00204DBD">
        <w:rPr>
          <w:rFonts w:eastAsia="Calibri"/>
          <w:lang w:eastAsia="en-US"/>
        </w:rPr>
        <w:t>traditional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provides</w:t>
      </w:r>
      <w:proofErr w:type="spellEnd"/>
      <w:r w:rsidRPr="00204DBD">
        <w:rPr>
          <w:rFonts w:eastAsia="Calibri"/>
          <w:lang w:eastAsia="en-US"/>
        </w:rPr>
        <w:t xml:space="preserve"> a </w:t>
      </w:r>
      <w:proofErr w:type="spellStart"/>
      <w:r w:rsidRPr="00204DBD">
        <w:rPr>
          <w:rFonts w:eastAsia="Calibri"/>
          <w:lang w:eastAsia="en-US"/>
        </w:rPr>
        <w:t>faster</w:t>
      </w:r>
      <w:proofErr w:type="spellEnd"/>
      <w:r w:rsidRPr="00204DBD">
        <w:rPr>
          <w:rFonts w:eastAsia="Calibri"/>
          <w:lang w:eastAsia="en-US"/>
        </w:rPr>
        <w:t xml:space="preserve"> </w:t>
      </w:r>
      <w:proofErr w:type="spellStart"/>
      <w:r w:rsidRPr="00204DBD">
        <w:rPr>
          <w:rFonts w:eastAsia="Calibri"/>
          <w:lang w:eastAsia="en-US"/>
        </w:rPr>
        <w:t>transformation</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promises</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a </w:t>
      </w:r>
      <w:proofErr w:type="spellStart"/>
      <w:r w:rsidRPr="00204DBD">
        <w:rPr>
          <w:rFonts w:eastAsia="Calibri"/>
          <w:lang w:eastAsia="en-US"/>
        </w:rPr>
        <w:t>more</w:t>
      </w:r>
      <w:proofErr w:type="spellEnd"/>
      <w:r w:rsidRPr="00204DBD">
        <w:rPr>
          <w:rFonts w:eastAsia="Calibri"/>
          <w:lang w:eastAsia="en-US"/>
        </w:rPr>
        <w:t xml:space="preserve"> </w:t>
      </w:r>
      <w:proofErr w:type="spellStart"/>
      <w:r w:rsidRPr="00204DBD">
        <w:rPr>
          <w:rFonts w:eastAsia="Calibri"/>
          <w:lang w:eastAsia="en-US"/>
        </w:rPr>
        <w:t>democratic</w:t>
      </w:r>
      <w:proofErr w:type="spellEnd"/>
      <w:r w:rsidRPr="00204DBD">
        <w:rPr>
          <w:rFonts w:eastAsia="Calibri"/>
          <w:lang w:eastAsia="en-US"/>
        </w:rPr>
        <w:t xml:space="preserve">, </w:t>
      </w:r>
      <w:proofErr w:type="spellStart"/>
      <w:r w:rsidRPr="00204DBD">
        <w:rPr>
          <w:rFonts w:eastAsia="Calibri"/>
          <w:lang w:eastAsia="en-US"/>
        </w:rPr>
        <w:t>free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environment</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they can </w:t>
      </w:r>
      <w:proofErr w:type="spellStart"/>
      <w:r w:rsidRPr="00204DBD">
        <w:rPr>
          <w:rFonts w:eastAsia="Calibri"/>
          <w:lang w:eastAsia="en-US"/>
        </w:rPr>
        <w:t>display</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different</w:t>
      </w:r>
      <w:proofErr w:type="spellEnd"/>
      <w:r w:rsidRPr="00204DBD">
        <w:rPr>
          <w:rFonts w:eastAsia="Calibri"/>
          <w:lang w:eastAsia="en-US"/>
        </w:rPr>
        <w:t xml:space="preserve"> </w:t>
      </w:r>
      <w:proofErr w:type="spellStart"/>
      <w:r w:rsidRPr="00204DBD">
        <w:rPr>
          <w:rFonts w:eastAsia="Calibri"/>
          <w:lang w:eastAsia="en-US"/>
        </w:rPr>
        <w:t>identities</w:t>
      </w:r>
      <w:proofErr w:type="spellEnd"/>
      <w:r w:rsidRPr="00204DBD">
        <w:rPr>
          <w:rFonts w:eastAsia="Calibri"/>
          <w:lang w:eastAsia="en-US"/>
        </w:rPr>
        <w:t xml:space="preserve">. </w:t>
      </w:r>
      <w:proofErr w:type="spellStart"/>
      <w:r w:rsidRPr="00204DBD">
        <w:rPr>
          <w:rFonts w:eastAsia="Calibri"/>
          <w:lang w:eastAsia="en-US"/>
        </w:rPr>
        <w:t>In</w:t>
      </w:r>
      <w:proofErr w:type="spellEnd"/>
      <w:r w:rsidRPr="00204DBD">
        <w:rPr>
          <w:rFonts w:eastAsia="Calibri"/>
          <w:lang w:eastAsia="en-US"/>
        </w:rPr>
        <w:t xml:space="preserve"> </w:t>
      </w:r>
      <w:proofErr w:type="spellStart"/>
      <w:r w:rsidRPr="00204DBD">
        <w:rPr>
          <w:rFonts w:eastAsia="Calibri"/>
          <w:lang w:eastAsia="en-US"/>
        </w:rPr>
        <w:t>traditional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established</w:t>
      </w:r>
      <w:proofErr w:type="spellEnd"/>
      <w:r w:rsidRPr="00204DBD">
        <w:rPr>
          <w:rFonts w:eastAsia="Calibri"/>
          <w:lang w:eastAsia="en-US"/>
        </w:rPr>
        <w:t xml:space="preserve"> </w:t>
      </w:r>
      <w:proofErr w:type="spellStart"/>
      <w:r w:rsidRPr="00204DBD">
        <w:rPr>
          <w:rFonts w:eastAsia="Calibri"/>
          <w:lang w:eastAsia="en-US"/>
        </w:rPr>
        <w:t>values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norms</w:t>
      </w:r>
      <w:proofErr w:type="spellEnd"/>
      <w:r w:rsidRPr="00204DBD">
        <w:rPr>
          <w:rFonts w:eastAsia="Calibri"/>
          <w:lang w:eastAsia="en-US"/>
        </w:rPr>
        <w:t xml:space="preserve"> </w:t>
      </w:r>
      <w:proofErr w:type="spellStart"/>
      <w:r w:rsidRPr="00204DBD">
        <w:rPr>
          <w:rFonts w:eastAsia="Calibri"/>
          <w:lang w:eastAsia="en-US"/>
        </w:rPr>
        <w:t>prevail</w:t>
      </w:r>
      <w:proofErr w:type="spellEnd"/>
      <w:r w:rsidRPr="00204DBD">
        <w:rPr>
          <w:rFonts w:eastAsia="Calibri"/>
          <w:lang w:eastAsia="en-US"/>
        </w:rPr>
        <w:t xml:space="preserve">. </w:t>
      </w:r>
      <w:proofErr w:type="spellStart"/>
      <w:r w:rsidRPr="00204DBD">
        <w:rPr>
          <w:rFonts w:eastAsia="Calibri"/>
          <w:lang w:eastAsia="en-US"/>
        </w:rPr>
        <w:t>Change</w:t>
      </w:r>
      <w:proofErr w:type="spellEnd"/>
      <w:r w:rsidRPr="00204DBD">
        <w:rPr>
          <w:rFonts w:eastAsia="Calibri"/>
          <w:lang w:eastAsia="en-US"/>
        </w:rPr>
        <w:t xml:space="preserve"> </w:t>
      </w:r>
      <w:proofErr w:type="spellStart"/>
      <w:r w:rsidRPr="00204DBD">
        <w:rPr>
          <w:rFonts w:eastAsia="Calibri"/>
          <w:lang w:eastAsia="en-US"/>
        </w:rPr>
        <w:t>occurs</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slower</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natural</w:t>
      </w:r>
      <w:proofErr w:type="spellEnd"/>
      <w:r w:rsidRPr="00204DBD">
        <w:rPr>
          <w:rFonts w:eastAsia="Calibri"/>
          <w:lang w:eastAsia="en-US"/>
        </w:rPr>
        <w:t xml:space="preserve"> </w:t>
      </w:r>
      <w:proofErr w:type="spellStart"/>
      <w:r w:rsidRPr="00204DBD">
        <w:rPr>
          <w:rFonts w:eastAsia="Calibri"/>
          <w:lang w:eastAsia="en-US"/>
        </w:rPr>
        <w:t>processes</w:t>
      </w:r>
      <w:proofErr w:type="spellEnd"/>
      <w:r w:rsidRPr="00204DBD">
        <w:rPr>
          <w:rFonts w:eastAsia="Calibri"/>
          <w:lang w:eastAsia="en-US"/>
        </w:rPr>
        <w:t xml:space="preserve">. </w:t>
      </w:r>
      <w:proofErr w:type="spellStart"/>
      <w:r w:rsidRPr="00204DBD">
        <w:rPr>
          <w:rFonts w:eastAsia="Calibri"/>
          <w:lang w:eastAsia="en-US"/>
        </w:rPr>
        <w:t>However</w:t>
      </w:r>
      <w:proofErr w:type="spellEnd"/>
      <w:r w:rsidRPr="00204DBD">
        <w:rPr>
          <w:rFonts w:eastAsia="Calibri"/>
          <w:lang w:eastAsia="en-US"/>
        </w:rPr>
        <w:t xml:space="preserve">, </w:t>
      </w:r>
      <w:proofErr w:type="spellStart"/>
      <w:r w:rsidRPr="00204DBD">
        <w:rPr>
          <w:rFonts w:eastAsia="Calibri"/>
          <w:lang w:eastAsia="en-US"/>
        </w:rPr>
        <w:t>changes</w:t>
      </w:r>
      <w:proofErr w:type="spellEnd"/>
      <w:r w:rsidRPr="00204DBD">
        <w:rPr>
          <w:rFonts w:eastAsia="Calibri"/>
          <w:lang w:eastAsia="en-US"/>
        </w:rPr>
        <w:t xml:space="preserve"> in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depend</w:t>
      </w:r>
      <w:proofErr w:type="spellEnd"/>
      <w:r w:rsidRPr="00204DBD">
        <w:rPr>
          <w:rFonts w:eastAsia="Calibri"/>
          <w:lang w:eastAsia="en-US"/>
        </w:rPr>
        <w:t xml:space="preserve"> on </w:t>
      </w:r>
      <w:proofErr w:type="spellStart"/>
      <w:r w:rsidRPr="00204DBD">
        <w:rPr>
          <w:rFonts w:eastAsia="Calibri"/>
          <w:lang w:eastAsia="en-US"/>
        </w:rPr>
        <w:t>technological</w:t>
      </w:r>
      <w:proofErr w:type="spellEnd"/>
      <w:r w:rsidRPr="00204DBD">
        <w:rPr>
          <w:rFonts w:eastAsia="Calibri"/>
          <w:lang w:eastAsia="en-US"/>
        </w:rPr>
        <w:t xml:space="preserve"> </w:t>
      </w:r>
      <w:proofErr w:type="spellStart"/>
      <w:r w:rsidRPr="00204DBD">
        <w:rPr>
          <w:rFonts w:eastAsia="Calibri"/>
          <w:lang w:eastAsia="en-US"/>
        </w:rPr>
        <w:t>changes</w:t>
      </w:r>
      <w:proofErr w:type="spellEnd"/>
      <w:r w:rsidRPr="00204DBD">
        <w:rPr>
          <w:rFonts w:eastAsia="Calibri"/>
          <w:lang w:eastAsia="en-US"/>
        </w:rPr>
        <w:t xml:space="preserve">, global </w:t>
      </w:r>
      <w:proofErr w:type="spellStart"/>
      <w:r w:rsidRPr="00204DBD">
        <w:rPr>
          <w:rFonts w:eastAsia="Calibri"/>
          <w:lang w:eastAsia="en-US"/>
        </w:rPr>
        <w:t>events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trends</w:t>
      </w:r>
      <w:proofErr w:type="spellEnd"/>
      <w:r w:rsidRPr="00204DBD">
        <w:rPr>
          <w:rFonts w:eastAsia="Calibri"/>
          <w:lang w:eastAsia="en-US"/>
        </w:rPr>
        <w:t>.</w:t>
      </w:r>
      <w:r w:rsidRPr="00204DBD">
        <w:t xml:space="preserve"> </w:t>
      </w:r>
      <w:r w:rsidRPr="00204DBD">
        <w:rPr>
          <w:rFonts w:eastAsia="Calibri"/>
          <w:lang w:eastAsia="en-US"/>
        </w:rPr>
        <w:t xml:space="preserve">Online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an </w:t>
      </w:r>
      <w:proofErr w:type="spellStart"/>
      <w:r w:rsidRPr="00204DBD">
        <w:rPr>
          <w:rFonts w:eastAsia="Calibri"/>
          <w:lang w:eastAsia="en-US"/>
        </w:rPr>
        <w:t>important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dynamic</w:t>
      </w:r>
      <w:proofErr w:type="spellEnd"/>
      <w:r w:rsidRPr="00204DBD">
        <w:rPr>
          <w:rFonts w:eastAsia="Calibri"/>
          <w:lang w:eastAsia="en-US"/>
        </w:rPr>
        <w:t xml:space="preserve"> </w:t>
      </w:r>
      <w:proofErr w:type="spellStart"/>
      <w:r w:rsidRPr="00204DBD">
        <w:rPr>
          <w:rFonts w:eastAsia="Calibri"/>
          <w:lang w:eastAsia="en-US"/>
        </w:rPr>
        <w:t>part</w:t>
      </w:r>
      <w:proofErr w:type="spellEnd"/>
      <w:r w:rsidRPr="00204DBD">
        <w:rPr>
          <w:rFonts w:eastAsia="Calibri"/>
          <w:lang w:eastAsia="en-US"/>
        </w:rPr>
        <w:t xml:space="preserve"> of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w:t>
      </w:r>
    </w:p>
    <w:p w14:paraId="5FEFD91D" w14:textId="77777777" w:rsidR="00254C59" w:rsidRPr="00204DBD" w:rsidRDefault="00254C59" w:rsidP="002B6256">
      <w:pPr>
        <w:jc w:val="both"/>
        <w:rPr>
          <w:rFonts w:eastAsia="Calibri"/>
          <w:lang w:eastAsia="en-US"/>
        </w:rPr>
      </w:pPr>
    </w:p>
    <w:p w14:paraId="031FB872" w14:textId="77777777" w:rsidR="00E3302B" w:rsidRPr="00204DBD" w:rsidRDefault="00E3302B" w:rsidP="002B6256">
      <w:pPr>
        <w:jc w:val="both"/>
        <w:rPr>
          <w:rFonts w:eastAsia="Calibri"/>
          <w:lang w:eastAsia="en-US"/>
        </w:rPr>
      </w:pPr>
      <w:r w:rsidRPr="00204DBD">
        <w:rPr>
          <w:rFonts w:eastAsia="Calibri"/>
          <w:lang w:eastAsia="en-US"/>
        </w:rPr>
        <w:t xml:space="preserve">Online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appear</w:t>
      </w:r>
      <w:proofErr w:type="spellEnd"/>
      <w:r w:rsidRPr="00204DBD">
        <w:rPr>
          <w:rFonts w:eastAsia="Calibri"/>
          <w:lang w:eastAsia="en-US"/>
        </w:rPr>
        <w:t xml:space="preserve"> as </w:t>
      </w:r>
      <w:proofErr w:type="spellStart"/>
      <w:r w:rsidRPr="00204DBD">
        <w:rPr>
          <w:rFonts w:eastAsia="Calibri"/>
          <w:lang w:eastAsia="en-US"/>
        </w:rPr>
        <w:t>virtual</w:t>
      </w:r>
      <w:proofErr w:type="spellEnd"/>
      <w:r w:rsidRPr="00204DBD">
        <w:rPr>
          <w:rFonts w:eastAsia="Calibri"/>
          <w:lang w:eastAsia="en-US"/>
        </w:rPr>
        <w:t xml:space="preserve"> </w:t>
      </w:r>
      <w:proofErr w:type="spellStart"/>
      <w:r w:rsidRPr="00204DBD">
        <w:rPr>
          <w:rFonts w:eastAsia="Calibri"/>
          <w:lang w:eastAsia="en-US"/>
        </w:rPr>
        <w:t>environments</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similar</w:t>
      </w:r>
      <w:proofErr w:type="spellEnd"/>
      <w:r w:rsidRPr="00204DBD">
        <w:rPr>
          <w:rFonts w:eastAsia="Calibri"/>
          <w:lang w:eastAsia="en-US"/>
        </w:rPr>
        <w:t xml:space="preserve"> </w:t>
      </w:r>
      <w:proofErr w:type="spellStart"/>
      <w:r w:rsidRPr="00204DBD">
        <w:rPr>
          <w:rFonts w:eastAsia="Calibri"/>
          <w:lang w:eastAsia="en-US"/>
        </w:rPr>
        <w:t>interests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goals</w:t>
      </w:r>
      <w:proofErr w:type="spellEnd"/>
      <w:r w:rsidRPr="00204DBD">
        <w:rPr>
          <w:rFonts w:eastAsia="Calibri"/>
          <w:lang w:eastAsia="en-US"/>
        </w:rPr>
        <w:t xml:space="preserve">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exchange</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find</w:t>
      </w:r>
      <w:proofErr w:type="spellEnd"/>
      <w:r w:rsidRPr="00204DBD">
        <w:rPr>
          <w:rFonts w:eastAsia="Calibri"/>
          <w:lang w:eastAsia="en-US"/>
        </w:rPr>
        <w:t xml:space="preserve"> </w:t>
      </w:r>
      <w:proofErr w:type="spellStart"/>
      <w:r w:rsidRPr="00204DBD">
        <w:rPr>
          <w:rFonts w:eastAsia="Calibri"/>
          <w:lang w:eastAsia="en-US"/>
        </w:rPr>
        <w:t>support</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time </w:t>
      </w:r>
      <w:proofErr w:type="spellStart"/>
      <w:r w:rsidRPr="00204DBD">
        <w:rPr>
          <w:rFonts w:eastAsia="Calibri"/>
          <w:lang w:eastAsia="en-US"/>
        </w:rPr>
        <w:t>to</w:t>
      </w:r>
      <w:proofErr w:type="spellEnd"/>
      <w:r w:rsidRPr="00204DBD">
        <w:rPr>
          <w:rFonts w:eastAsia="Calibri"/>
          <w:lang w:eastAsia="en-US"/>
        </w:rPr>
        <w:t xml:space="preserve"> time,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enable</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development</w:t>
      </w:r>
      <w:proofErr w:type="spellEnd"/>
      <w:r w:rsidRPr="00204DBD">
        <w:rPr>
          <w:rFonts w:eastAsia="Calibri"/>
          <w:lang w:eastAsia="en-US"/>
        </w:rPr>
        <w:t xml:space="preserve"> of </w:t>
      </w:r>
      <w:proofErr w:type="spellStart"/>
      <w:r w:rsidRPr="00204DBD">
        <w:rPr>
          <w:rFonts w:eastAsia="Calibri"/>
          <w:lang w:eastAsia="en-US"/>
        </w:rPr>
        <w:t>joint</w:t>
      </w:r>
      <w:proofErr w:type="spellEnd"/>
      <w:r w:rsidRPr="00204DBD">
        <w:rPr>
          <w:rFonts w:eastAsia="Calibri"/>
          <w:lang w:eastAsia="en-US"/>
        </w:rPr>
        <w:t xml:space="preserve"> </w:t>
      </w:r>
      <w:proofErr w:type="spellStart"/>
      <w:r w:rsidRPr="00204DBD">
        <w:rPr>
          <w:rFonts w:eastAsia="Calibri"/>
          <w:lang w:eastAsia="en-US"/>
        </w:rPr>
        <w:t>projects</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functions</w:t>
      </w:r>
      <w:proofErr w:type="spellEnd"/>
      <w:r w:rsidRPr="00204DBD">
        <w:rPr>
          <w:rFonts w:eastAsia="Calibri"/>
          <w:lang w:eastAsia="en-US"/>
        </w:rPr>
        <w:t xml:space="preserve"> </w:t>
      </w:r>
      <w:proofErr w:type="spellStart"/>
      <w:r w:rsidRPr="00204DBD">
        <w:rPr>
          <w:rFonts w:eastAsia="Calibri"/>
          <w:lang w:eastAsia="en-US"/>
        </w:rPr>
        <w:t>like</w:t>
      </w:r>
      <w:proofErr w:type="spellEnd"/>
      <w:r w:rsidRPr="00204DBD">
        <w:rPr>
          <w:rFonts w:eastAsia="Calibri"/>
          <w:lang w:eastAsia="en-US"/>
        </w:rPr>
        <w:t xml:space="preserve"> </w:t>
      </w:r>
      <w:proofErr w:type="spellStart"/>
      <w:r w:rsidRPr="00204DBD">
        <w:rPr>
          <w:rFonts w:eastAsia="Calibri"/>
          <w:lang w:eastAsia="en-US"/>
        </w:rPr>
        <w:t>meeting</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needs</w:t>
      </w:r>
      <w:proofErr w:type="spellEnd"/>
      <w:r w:rsidRPr="00204DBD">
        <w:rPr>
          <w:rFonts w:eastAsia="Calibri"/>
          <w:lang w:eastAsia="en-US"/>
        </w:rPr>
        <w:t xml:space="preserve">, </w:t>
      </w:r>
      <w:proofErr w:type="spellStart"/>
      <w:r w:rsidRPr="00204DBD">
        <w:rPr>
          <w:rFonts w:eastAsia="Calibri"/>
          <w:lang w:eastAsia="en-US"/>
        </w:rPr>
        <w:t>supporting</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acquisition</w:t>
      </w:r>
      <w:proofErr w:type="spellEnd"/>
      <w:r w:rsidRPr="00204DBD">
        <w:rPr>
          <w:rFonts w:eastAsia="Calibri"/>
          <w:lang w:eastAsia="en-US"/>
        </w:rPr>
        <w:t xml:space="preserve"> </w:t>
      </w:r>
      <w:proofErr w:type="spellStart"/>
      <w:r w:rsidRPr="00204DBD">
        <w:rPr>
          <w:rFonts w:eastAsia="Calibri"/>
          <w:lang w:eastAsia="en-US"/>
        </w:rPr>
        <w:t>processes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creating</w:t>
      </w:r>
      <w:proofErr w:type="spellEnd"/>
      <w:r w:rsidRPr="00204DBD">
        <w:rPr>
          <w:rFonts w:eastAsia="Calibri"/>
          <w:lang w:eastAsia="en-US"/>
        </w:rPr>
        <w:t xml:space="preserve"> </w:t>
      </w:r>
      <w:proofErr w:type="spellStart"/>
      <w:r w:rsidRPr="00204DBD">
        <w:rPr>
          <w:rFonts w:eastAsia="Calibri"/>
          <w:lang w:eastAsia="en-US"/>
        </w:rPr>
        <w:t>professional</w:t>
      </w:r>
      <w:proofErr w:type="spellEnd"/>
      <w:r w:rsidRPr="00204DBD">
        <w:rPr>
          <w:rFonts w:eastAsia="Calibri"/>
          <w:lang w:eastAsia="en-US"/>
        </w:rPr>
        <w:t xml:space="preserve"> </w:t>
      </w:r>
      <w:proofErr w:type="spellStart"/>
      <w:r w:rsidRPr="00204DBD">
        <w:rPr>
          <w:rFonts w:eastAsia="Calibri"/>
          <w:lang w:eastAsia="en-US"/>
        </w:rPr>
        <w:t>networks</w:t>
      </w:r>
      <w:proofErr w:type="spellEnd"/>
      <w:r w:rsidRPr="00204DBD">
        <w:rPr>
          <w:rFonts w:eastAsia="Calibri"/>
          <w:lang w:eastAsia="en-US"/>
        </w:rPr>
        <w:t xml:space="preserve"> </w:t>
      </w:r>
      <w:proofErr w:type="spellStart"/>
      <w:r w:rsidRPr="00204DBD">
        <w:rPr>
          <w:rFonts w:eastAsia="Calibri"/>
          <w:lang w:eastAsia="en-US"/>
        </w:rPr>
        <w:t>have</w:t>
      </w:r>
      <w:proofErr w:type="spellEnd"/>
      <w:r w:rsidRPr="00204DBD">
        <w:rPr>
          <w:rFonts w:eastAsia="Calibri"/>
          <w:lang w:eastAsia="en-US"/>
        </w:rPr>
        <w:t xml:space="preserve"> </w:t>
      </w:r>
      <w:proofErr w:type="spellStart"/>
      <w:r w:rsidRPr="00204DBD">
        <w:rPr>
          <w:rFonts w:eastAsia="Calibri"/>
          <w:lang w:eastAsia="en-US"/>
        </w:rPr>
        <w:t>made</w:t>
      </w:r>
      <w:proofErr w:type="spellEnd"/>
      <w:r w:rsidRPr="00204DBD">
        <w:rPr>
          <w:rFonts w:eastAsia="Calibri"/>
          <w:lang w:eastAsia="en-US"/>
        </w:rPr>
        <w:t xml:space="preserve"> </w:t>
      </w:r>
      <w:proofErr w:type="spellStart"/>
      <w:r w:rsidRPr="00204DBD">
        <w:rPr>
          <w:rFonts w:eastAsia="Calibri"/>
          <w:lang w:eastAsia="en-US"/>
        </w:rPr>
        <w:t>them</w:t>
      </w:r>
      <w:proofErr w:type="spellEnd"/>
      <w:r w:rsidRPr="00204DBD">
        <w:rPr>
          <w:rFonts w:eastAsia="Calibri"/>
          <w:lang w:eastAsia="en-US"/>
        </w:rPr>
        <w:t xml:space="preserve"> an </w:t>
      </w:r>
      <w:proofErr w:type="spellStart"/>
      <w:r w:rsidRPr="00204DBD">
        <w:rPr>
          <w:rFonts w:eastAsia="Calibri"/>
          <w:lang w:eastAsia="en-US"/>
        </w:rPr>
        <w:t>important</w:t>
      </w:r>
      <w:proofErr w:type="spellEnd"/>
      <w:r w:rsidRPr="00204DBD">
        <w:rPr>
          <w:rFonts w:eastAsia="Calibri"/>
          <w:lang w:eastAsia="en-US"/>
        </w:rPr>
        <w:t xml:space="preserve"> </w:t>
      </w:r>
      <w:proofErr w:type="spellStart"/>
      <w:r w:rsidRPr="00204DBD">
        <w:rPr>
          <w:rFonts w:eastAsia="Calibri"/>
          <w:lang w:eastAsia="en-US"/>
        </w:rPr>
        <w:t>part</w:t>
      </w:r>
      <w:proofErr w:type="spellEnd"/>
      <w:r w:rsidRPr="00204DBD">
        <w:rPr>
          <w:rFonts w:eastAsia="Calibri"/>
          <w:lang w:eastAsia="en-US"/>
        </w:rPr>
        <w:t xml:space="preserve"> of modern </w:t>
      </w:r>
      <w:proofErr w:type="spellStart"/>
      <w:r w:rsidRPr="00204DBD">
        <w:rPr>
          <w:rFonts w:eastAsia="Calibri"/>
          <w:lang w:eastAsia="en-US"/>
        </w:rPr>
        <w:t>societies</w:t>
      </w:r>
      <w:proofErr w:type="spellEnd"/>
      <w:r w:rsidRPr="00204DBD">
        <w:rPr>
          <w:rFonts w:eastAsia="Calibri"/>
          <w:lang w:eastAsia="en-US"/>
        </w:rPr>
        <w:t xml:space="preserve">. But, on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other</w:t>
      </w:r>
      <w:proofErr w:type="spellEnd"/>
      <w:r w:rsidRPr="00204DBD">
        <w:rPr>
          <w:rFonts w:eastAsia="Calibri"/>
          <w:lang w:eastAsia="en-US"/>
        </w:rPr>
        <w:t xml:space="preserve"> </w:t>
      </w:r>
      <w:proofErr w:type="spellStart"/>
      <w:r w:rsidRPr="00204DBD">
        <w:rPr>
          <w:rFonts w:eastAsia="Calibri"/>
          <w:lang w:eastAsia="en-US"/>
        </w:rPr>
        <w:t>hand</w:t>
      </w:r>
      <w:proofErr w:type="spellEnd"/>
      <w:r w:rsidRPr="00204DBD">
        <w:rPr>
          <w:rFonts w:eastAsia="Calibri"/>
          <w:lang w:eastAsia="en-US"/>
        </w:rPr>
        <w:t xml:space="preserve">, they can </w:t>
      </w:r>
      <w:proofErr w:type="spellStart"/>
      <w:r w:rsidRPr="00204DBD">
        <w:rPr>
          <w:rFonts w:eastAsia="Calibri"/>
          <w:lang w:eastAsia="en-US"/>
        </w:rPr>
        <w:t>also</w:t>
      </w:r>
      <w:proofErr w:type="spellEnd"/>
      <w:r w:rsidRPr="00204DBD">
        <w:rPr>
          <w:rFonts w:eastAsia="Calibri"/>
          <w:lang w:eastAsia="en-US"/>
        </w:rPr>
        <w:t xml:space="preserve"> </w:t>
      </w:r>
      <w:proofErr w:type="spellStart"/>
      <w:r w:rsidRPr="00204DBD">
        <w:rPr>
          <w:rFonts w:eastAsia="Calibri"/>
          <w:lang w:eastAsia="en-US"/>
        </w:rPr>
        <w:t>lead</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some</w:t>
      </w:r>
      <w:proofErr w:type="spellEnd"/>
      <w:r w:rsidRPr="00204DBD">
        <w:rPr>
          <w:rFonts w:eastAsia="Calibri"/>
          <w:lang w:eastAsia="en-US"/>
        </w:rPr>
        <w:t xml:space="preserve"> </w:t>
      </w:r>
      <w:proofErr w:type="spellStart"/>
      <w:r w:rsidRPr="00204DBD">
        <w:rPr>
          <w:rFonts w:eastAsia="Calibri"/>
          <w:lang w:eastAsia="en-US"/>
        </w:rPr>
        <w:t>negative</w:t>
      </w:r>
      <w:proofErr w:type="spellEnd"/>
      <w:r w:rsidRPr="00204DBD">
        <w:rPr>
          <w:rFonts w:eastAsia="Calibri"/>
          <w:lang w:eastAsia="en-US"/>
        </w:rPr>
        <w:t xml:space="preserve"> </w:t>
      </w:r>
      <w:proofErr w:type="spellStart"/>
      <w:r w:rsidRPr="00204DBD">
        <w:rPr>
          <w:rFonts w:eastAsia="Calibri"/>
          <w:lang w:eastAsia="en-US"/>
        </w:rPr>
        <w:t>situations</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as a </w:t>
      </w:r>
      <w:proofErr w:type="spellStart"/>
      <w:r w:rsidRPr="00204DBD">
        <w:rPr>
          <w:rFonts w:eastAsia="Calibri"/>
          <w:lang w:eastAsia="en-US"/>
        </w:rPr>
        <w:t>result</w:t>
      </w:r>
      <w:proofErr w:type="spellEnd"/>
      <w:r w:rsidRPr="00204DBD">
        <w:rPr>
          <w:rFonts w:eastAsia="Calibri"/>
          <w:lang w:eastAsia="en-US"/>
        </w:rPr>
        <w:t xml:space="preserve"> of </w:t>
      </w:r>
      <w:proofErr w:type="spellStart"/>
      <w:r w:rsidRPr="00204DBD">
        <w:rPr>
          <w:rFonts w:eastAsia="Calibri"/>
          <w:lang w:eastAsia="en-US"/>
        </w:rPr>
        <w:t>misuse</w:t>
      </w:r>
      <w:proofErr w:type="spellEnd"/>
      <w:r w:rsidRPr="00204DBD">
        <w:rPr>
          <w:rFonts w:eastAsia="Calibri"/>
          <w:lang w:eastAsia="en-US"/>
        </w:rPr>
        <w:t xml:space="preserve">, </w:t>
      </w:r>
      <w:proofErr w:type="spellStart"/>
      <w:r w:rsidRPr="00204DBD">
        <w:rPr>
          <w:rFonts w:eastAsia="Calibri"/>
          <w:lang w:eastAsia="en-US"/>
        </w:rPr>
        <w:t>such</w:t>
      </w:r>
      <w:proofErr w:type="spellEnd"/>
      <w:r w:rsidRPr="00204DBD">
        <w:rPr>
          <w:rFonts w:eastAsia="Calibri"/>
          <w:lang w:eastAsia="en-US"/>
        </w:rPr>
        <w:t xml:space="preserve"> as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security</w:t>
      </w:r>
      <w:proofErr w:type="spellEnd"/>
      <w:r w:rsidRPr="00204DBD">
        <w:rPr>
          <w:rFonts w:eastAsia="Calibri"/>
          <w:lang w:eastAsia="en-US"/>
        </w:rPr>
        <w:t xml:space="preserve">, </w:t>
      </w:r>
      <w:proofErr w:type="spellStart"/>
      <w:r w:rsidRPr="00204DBD">
        <w:rPr>
          <w:rFonts w:eastAsia="Calibri"/>
          <w:lang w:eastAsia="en-US"/>
        </w:rPr>
        <w:t>ethical</w:t>
      </w:r>
      <w:proofErr w:type="spellEnd"/>
      <w:r w:rsidRPr="00204DBD">
        <w:rPr>
          <w:rFonts w:eastAsia="Calibri"/>
          <w:lang w:eastAsia="en-US"/>
        </w:rPr>
        <w:t xml:space="preserve"> </w:t>
      </w:r>
      <w:proofErr w:type="spellStart"/>
      <w:r w:rsidRPr="00204DBD">
        <w:rPr>
          <w:rFonts w:eastAsia="Calibri"/>
          <w:lang w:eastAsia="en-US"/>
        </w:rPr>
        <w:t>violations</w:t>
      </w:r>
      <w:proofErr w:type="spellEnd"/>
      <w:r w:rsidRPr="00204DBD">
        <w:rPr>
          <w:rFonts w:eastAsia="Calibri"/>
          <w:lang w:eastAsia="en-US"/>
        </w:rPr>
        <w:t xml:space="preserve">, </w:t>
      </w:r>
      <w:proofErr w:type="spellStart"/>
      <w:r w:rsidRPr="00204DBD">
        <w:rPr>
          <w:rFonts w:eastAsia="Calibri"/>
          <w:lang w:eastAsia="en-US"/>
        </w:rPr>
        <w:t>disturbing</w:t>
      </w:r>
      <w:proofErr w:type="spellEnd"/>
      <w:r w:rsidRPr="00204DBD">
        <w:rPr>
          <w:rFonts w:eastAsia="Calibri"/>
          <w:lang w:eastAsia="en-US"/>
        </w:rPr>
        <w:t xml:space="preserve"> </w:t>
      </w:r>
      <w:proofErr w:type="spellStart"/>
      <w:r w:rsidRPr="00204DBD">
        <w:rPr>
          <w:rFonts w:eastAsia="Calibri"/>
          <w:lang w:eastAsia="en-US"/>
        </w:rPr>
        <w:t>behavior</w:t>
      </w:r>
      <w:proofErr w:type="spellEnd"/>
      <w:r w:rsidRPr="00204DBD">
        <w:rPr>
          <w:rFonts w:eastAsia="Calibri"/>
          <w:lang w:eastAsia="en-US"/>
        </w:rPr>
        <w:t xml:space="preserve"> </w:t>
      </w:r>
      <w:proofErr w:type="spellStart"/>
      <w:r w:rsidRPr="00204DBD">
        <w:rPr>
          <w:rFonts w:eastAsia="Calibri"/>
          <w:lang w:eastAsia="en-US"/>
        </w:rPr>
        <w:t>due</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anonymity</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privacy</w:t>
      </w:r>
      <w:proofErr w:type="spellEnd"/>
      <w:r w:rsidRPr="00204DBD">
        <w:rPr>
          <w:rFonts w:eastAsia="Calibri"/>
          <w:lang w:eastAsia="en-US"/>
        </w:rPr>
        <w:t xml:space="preserve"> </w:t>
      </w:r>
      <w:proofErr w:type="spellStart"/>
      <w:r w:rsidRPr="00204DBD">
        <w:rPr>
          <w:rFonts w:eastAsia="Calibri"/>
          <w:lang w:eastAsia="en-US"/>
        </w:rPr>
        <w:t>concerns</w:t>
      </w:r>
      <w:proofErr w:type="spellEnd"/>
      <w:r w:rsidRPr="00204DBD">
        <w:rPr>
          <w:rFonts w:eastAsia="Calibri"/>
          <w:lang w:eastAsia="en-US"/>
        </w:rPr>
        <w:t xml:space="preserve"> </w:t>
      </w:r>
      <w:proofErr w:type="spellStart"/>
      <w:r w:rsidRPr="00204DBD">
        <w:rPr>
          <w:rFonts w:eastAsia="Calibri"/>
          <w:lang w:eastAsia="en-US"/>
        </w:rPr>
        <w:t>emerge</w:t>
      </w:r>
      <w:proofErr w:type="spellEnd"/>
      <w:r w:rsidRPr="00204DBD">
        <w:rPr>
          <w:rFonts w:eastAsia="Calibri"/>
          <w:lang w:eastAsia="en-US"/>
        </w:rPr>
        <w:t xml:space="preserve"> as </w:t>
      </w:r>
      <w:proofErr w:type="spellStart"/>
      <w:r w:rsidRPr="00204DBD">
        <w:rPr>
          <w:rFonts w:eastAsia="Calibri"/>
          <w:lang w:eastAsia="en-US"/>
        </w:rPr>
        <w:t>important</w:t>
      </w:r>
      <w:proofErr w:type="spellEnd"/>
      <w:r w:rsidRPr="00204DBD">
        <w:rPr>
          <w:rFonts w:eastAsia="Calibri"/>
          <w:lang w:eastAsia="en-US"/>
        </w:rPr>
        <w:t xml:space="preserve"> </w:t>
      </w:r>
      <w:proofErr w:type="spellStart"/>
      <w:r w:rsidRPr="00204DBD">
        <w:rPr>
          <w:rFonts w:eastAsia="Calibri"/>
          <w:lang w:eastAsia="en-US"/>
        </w:rPr>
        <w:t>problems</w:t>
      </w:r>
      <w:proofErr w:type="spellEnd"/>
      <w:r w:rsidRPr="00204DBD">
        <w:rPr>
          <w:rFonts w:eastAsia="Calibri"/>
          <w:lang w:eastAsia="en-US"/>
        </w:rPr>
        <w:t xml:space="preserve"> in </w:t>
      </w:r>
      <w:proofErr w:type="spellStart"/>
      <w:r w:rsidRPr="00204DBD">
        <w:rPr>
          <w:rFonts w:eastAsia="Calibri"/>
          <w:lang w:eastAsia="en-US"/>
        </w:rPr>
        <w:t>terms</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management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effective</w:t>
      </w:r>
      <w:proofErr w:type="spellEnd"/>
      <w:r w:rsidRPr="00204DBD">
        <w:rPr>
          <w:rFonts w:eastAsia="Calibri"/>
          <w:lang w:eastAsia="en-US"/>
        </w:rPr>
        <w:t xml:space="preserve"> </w:t>
      </w:r>
      <w:proofErr w:type="spellStart"/>
      <w:r w:rsidRPr="00204DBD">
        <w:rPr>
          <w:rFonts w:eastAsia="Calibri"/>
          <w:lang w:eastAsia="en-US"/>
        </w:rPr>
        <w:t>use</w:t>
      </w:r>
      <w:proofErr w:type="spellEnd"/>
      <w:r w:rsidRPr="00204DBD">
        <w:rPr>
          <w:rFonts w:eastAsia="Calibri"/>
          <w:lang w:eastAsia="en-US"/>
        </w:rPr>
        <w:t xml:space="preserve"> of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w:t>
      </w:r>
      <w:r w:rsidRPr="00204DBD">
        <w:rPr>
          <w:rFonts w:eastAsia="Calibri"/>
          <w:lang w:eastAsia="en-US"/>
        </w:rPr>
        <w:br/>
        <w:t xml:space="preserve">           </w:t>
      </w:r>
    </w:p>
    <w:p w14:paraId="72F3B139" w14:textId="568C3213" w:rsidR="00E3302B" w:rsidRPr="00204DBD" w:rsidRDefault="00E3302B" w:rsidP="002B6256">
      <w:pPr>
        <w:jc w:val="both"/>
        <w:rPr>
          <w:rFonts w:eastAsia="Calibri"/>
          <w:lang w:eastAsia="en-US"/>
        </w:rPr>
      </w:pP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article</w:t>
      </w:r>
      <w:proofErr w:type="spellEnd"/>
      <w:r w:rsidRPr="00204DBD">
        <w:rPr>
          <w:rFonts w:eastAsia="Calibri"/>
          <w:lang w:eastAsia="en-US"/>
        </w:rPr>
        <w:t xml:space="preserve"> </w:t>
      </w:r>
      <w:proofErr w:type="spellStart"/>
      <w:r w:rsidRPr="00204DBD">
        <w:rPr>
          <w:rFonts w:eastAsia="Calibri"/>
          <w:lang w:eastAsia="en-US"/>
        </w:rPr>
        <w:t>examines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forms</w:t>
      </w:r>
      <w:proofErr w:type="spellEnd"/>
      <w:r w:rsidRPr="00204DBD">
        <w:rPr>
          <w:rFonts w:eastAsia="Calibri"/>
          <w:lang w:eastAsia="en-US"/>
        </w:rPr>
        <w:t xml:space="preserve"> of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interactions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opportunities</w:t>
      </w:r>
      <w:proofErr w:type="spellEnd"/>
      <w:r w:rsidRPr="00204DBD">
        <w:rPr>
          <w:rFonts w:eastAsia="Calibri"/>
          <w:lang w:eastAsia="en-US"/>
        </w:rPr>
        <w:t xml:space="preserve"> </w:t>
      </w:r>
      <w:proofErr w:type="spellStart"/>
      <w:r w:rsidRPr="00204DBD">
        <w:rPr>
          <w:rFonts w:eastAsia="Calibri"/>
          <w:lang w:eastAsia="en-US"/>
        </w:rPr>
        <w:t>provided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new</w:t>
      </w:r>
      <w:proofErr w:type="spellEnd"/>
      <w:r w:rsidRPr="00204DBD">
        <w:rPr>
          <w:rFonts w:eastAsia="Calibri"/>
          <w:lang w:eastAsia="en-US"/>
        </w:rPr>
        <w:t xml:space="preserve"> </w:t>
      </w:r>
      <w:proofErr w:type="spellStart"/>
      <w:r w:rsidRPr="00204DBD">
        <w:rPr>
          <w:rFonts w:eastAsia="Calibri"/>
          <w:lang w:eastAsia="en-US"/>
        </w:rPr>
        <w:t>elements</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online </w:t>
      </w:r>
      <w:proofErr w:type="spellStart"/>
      <w:r w:rsidRPr="00204DBD">
        <w:rPr>
          <w:rFonts w:eastAsia="Calibri"/>
          <w:lang w:eastAsia="en-US"/>
        </w:rPr>
        <w:t>communities</w:t>
      </w:r>
      <w:proofErr w:type="spellEnd"/>
      <w:r w:rsidRPr="00204DBD">
        <w:rPr>
          <w:rFonts w:eastAsia="Calibri"/>
          <w:lang w:eastAsia="en-US"/>
        </w:rPr>
        <w:t xml:space="preserve"> of Internet. </w:t>
      </w:r>
      <w:proofErr w:type="spellStart"/>
      <w:r w:rsidRPr="00204DBD">
        <w:rPr>
          <w:rFonts w:eastAsia="Calibri"/>
          <w:lang w:eastAsia="en-US"/>
        </w:rPr>
        <w:t>Conceptual</w:t>
      </w:r>
      <w:proofErr w:type="spellEnd"/>
      <w:r w:rsidRPr="00204DBD">
        <w:rPr>
          <w:rFonts w:eastAsia="Calibri"/>
          <w:lang w:eastAsia="en-US"/>
        </w:rPr>
        <w:t xml:space="preserve"> </w:t>
      </w:r>
      <w:proofErr w:type="spellStart"/>
      <w:r w:rsidRPr="00204DBD">
        <w:rPr>
          <w:rFonts w:eastAsia="Calibri"/>
          <w:lang w:eastAsia="en-US"/>
        </w:rPr>
        <w:t>framework</w:t>
      </w:r>
      <w:proofErr w:type="spellEnd"/>
      <w:r w:rsidRPr="00204DBD">
        <w:rPr>
          <w:rFonts w:eastAsia="Calibri"/>
          <w:lang w:eastAsia="en-US"/>
        </w:rPr>
        <w:t xml:space="preserve">, </w:t>
      </w:r>
      <w:proofErr w:type="spellStart"/>
      <w:r w:rsidRPr="00204DBD">
        <w:rPr>
          <w:rFonts w:eastAsia="Calibri"/>
          <w:lang w:eastAsia="en-US"/>
        </w:rPr>
        <w:t>begins</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definitions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approaches</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terms</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subculture</w:t>
      </w:r>
      <w:proofErr w:type="spellEnd"/>
      <w:r w:rsidRPr="00204DBD">
        <w:rPr>
          <w:rFonts w:eastAsia="Calibri"/>
          <w:lang w:eastAsia="en-US"/>
        </w:rPr>
        <w:t xml:space="preserve">” </w:t>
      </w:r>
      <w:proofErr w:type="spellStart"/>
      <w:r w:rsidRPr="00204DBD">
        <w:rPr>
          <w:rFonts w:eastAsia="Calibri"/>
          <w:lang w:eastAsia="en-US"/>
        </w:rPr>
        <w:t>developed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different</w:t>
      </w:r>
      <w:proofErr w:type="spellEnd"/>
      <w:r w:rsidRPr="00204DBD">
        <w:rPr>
          <w:rFonts w:eastAsia="Calibri"/>
          <w:lang w:eastAsia="en-US"/>
        </w:rPr>
        <w:t xml:space="preserve"> </w:t>
      </w:r>
      <w:proofErr w:type="spellStart"/>
      <w:r w:rsidRPr="00204DBD">
        <w:rPr>
          <w:rFonts w:eastAsia="Calibri"/>
          <w:lang w:eastAsia="en-US"/>
        </w:rPr>
        <w:t>sociologists</w:t>
      </w:r>
      <w:proofErr w:type="spellEnd"/>
      <w:r w:rsidRPr="00204DBD">
        <w:rPr>
          <w:rFonts w:eastAsia="Calibri"/>
          <w:lang w:eastAsia="en-US"/>
        </w:rPr>
        <w:t xml:space="preserve">. </w:t>
      </w:r>
      <w:proofErr w:type="spellStart"/>
      <w:r w:rsidRPr="00204DBD">
        <w:rPr>
          <w:rFonts w:eastAsia="Calibri"/>
          <w:lang w:eastAsia="en-US"/>
        </w:rPr>
        <w:t>After</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one</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main </w:t>
      </w:r>
      <w:proofErr w:type="spellStart"/>
      <w:r w:rsidRPr="00204DBD">
        <w:rPr>
          <w:rFonts w:eastAsia="Calibri"/>
          <w:lang w:eastAsia="en-US"/>
        </w:rPr>
        <w:t>areas</w:t>
      </w:r>
      <w:proofErr w:type="spellEnd"/>
      <w:r w:rsidRPr="00204DBD">
        <w:rPr>
          <w:rFonts w:eastAsia="Calibri"/>
          <w:lang w:eastAsia="en-US"/>
        </w:rPr>
        <w:t xml:space="preserve"> of </w:t>
      </w:r>
      <w:proofErr w:type="spellStart"/>
      <w:r w:rsidRPr="00204DBD">
        <w:rPr>
          <w:rFonts w:eastAsia="Calibri"/>
          <w:lang w:eastAsia="en-US"/>
        </w:rPr>
        <w:t>interest</w:t>
      </w:r>
      <w:proofErr w:type="spellEnd"/>
      <w:r w:rsidRPr="00204DBD">
        <w:rPr>
          <w:rFonts w:eastAsia="Calibri"/>
          <w:lang w:eastAsia="en-US"/>
        </w:rPr>
        <w:t xml:space="preserve"> of </w:t>
      </w:r>
      <w:proofErr w:type="spellStart"/>
      <w:r w:rsidRPr="00204DBD">
        <w:rPr>
          <w:rFonts w:eastAsia="Calibri"/>
          <w:lang w:eastAsia="en-US"/>
        </w:rPr>
        <w:t>today's</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society</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various</w:t>
      </w:r>
      <w:proofErr w:type="spellEnd"/>
      <w:r w:rsidRPr="00204DBD">
        <w:rPr>
          <w:rFonts w:eastAsia="Calibri"/>
          <w:lang w:eastAsia="en-US"/>
        </w:rPr>
        <w:t xml:space="preserve"> </w:t>
      </w:r>
      <w:proofErr w:type="spellStart"/>
      <w:r w:rsidRPr="00204DBD">
        <w:rPr>
          <w:rFonts w:eastAsia="Calibri"/>
          <w:lang w:eastAsia="en-US"/>
        </w:rPr>
        <w:t>concepts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created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introduced</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classified</w:t>
      </w:r>
      <w:proofErr w:type="spellEnd"/>
      <w:r w:rsidRPr="00204DBD">
        <w:rPr>
          <w:rFonts w:eastAsia="Calibri"/>
          <w:lang w:eastAsia="en-US"/>
        </w:rPr>
        <w:t xml:space="preserve"> in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article</w:t>
      </w:r>
      <w:proofErr w:type="spellEnd"/>
      <w:r w:rsidRPr="00204DBD">
        <w:rPr>
          <w:rFonts w:eastAsia="Calibri"/>
          <w:lang w:eastAsia="en-US"/>
        </w:rPr>
        <w:t xml:space="preserve"> as </w:t>
      </w:r>
      <w:proofErr w:type="spellStart"/>
      <w:r w:rsidRPr="00204DBD">
        <w:rPr>
          <w:rFonts w:eastAsia="Calibri"/>
          <w:lang w:eastAsia="en-US"/>
        </w:rPr>
        <w:t>follows</w:t>
      </w:r>
      <w:proofErr w:type="spellEnd"/>
      <w:r w:rsidRPr="00204DBD">
        <w:rPr>
          <w:rFonts w:eastAsia="Calibri"/>
          <w:lang w:eastAsia="en-US"/>
        </w:rPr>
        <w:t xml:space="preserve">: “Meme </w:t>
      </w:r>
      <w:proofErr w:type="spellStart"/>
      <w:r w:rsidRPr="00204DBD">
        <w:rPr>
          <w:rFonts w:eastAsia="Calibri"/>
          <w:lang w:eastAsia="en-US"/>
        </w:rPr>
        <w:t>Culture</w:t>
      </w:r>
      <w:proofErr w:type="spellEnd"/>
      <w:r w:rsidRPr="00204DBD">
        <w:rPr>
          <w:rFonts w:eastAsia="Calibri"/>
          <w:lang w:eastAsia="en-US"/>
        </w:rPr>
        <w:t>”, “</w:t>
      </w:r>
      <w:proofErr w:type="spellStart"/>
      <w:r w:rsidRPr="00204DBD">
        <w:rPr>
          <w:rFonts w:eastAsia="Calibri"/>
          <w:lang w:eastAsia="en-US"/>
        </w:rPr>
        <w:t>Influencer</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w:t>
      </w:r>
      <w:proofErr w:type="spellStart"/>
      <w:r w:rsidRPr="00204DBD">
        <w:rPr>
          <w:rFonts w:eastAsia="Calibri"/>
          <w:lang w:eastAsia="en-US"/>
        </w:rPr>
        <w:t>Social</w:t>
      </w:r>
      <w:proofErr w:type="spellEnd"/>
      <w:r w:rsidRPr="00204DBD">
        <w:rPr>
          <w:rFonts w:eastAsia="Calibri"/>
          <w:lang w:eastAsia="en-US"/>
        </w:rPr>
        <w:t xml:space="preserve"> Network </w:t>
      </w:r>
      <w:proofErr w:type="spellStart"/>
      <w:r w:rsidRPr="00204DBD">
        <w:rPr>
          <w:rFonts w:eastAsia="Calibri"/>
          <w:lang w:eastAsia="en-US"/>
        </w:rPr>
        <w:t>Communities</w:t>
      </w:r>
      <w:proofErr w:type="spellEnd"/>
      <w:r w:rsidRPr="00204DBD">
        <w:rPr>
          <w:rFonts w:eastAsia="Calibri"/>
          <w:lang w:eastAsia="en-US"/>
        </w:rPr>
        <w:t>”, “</w:t>
      </w:r>
      <w:proofErr w:type="spellStart"/>
      <w:r w:rsidRPr="00204DBD">
        <w:rPr>
          <w:rFonts w:eastAsia="Calibri"/>
          <w:lang w:eastAsia="en-US"/>
        </w:rPr>
        <w:t>Activist</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w:t>
      </w:r>
      <w:proofErr w:type="spellStart"/>
      <w:r w:rsidRPr="00204DBD">
        <w:rPr>
          <w:rFonts w:eastAsia="Calibri"/>
          <w:lang w:eastAsia="en-US"/>
        </w:rPr>
        <w:t>Niche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Micro </w:t>
      </w:r>
      <w:proofErr w:type="spellStart"/>
      <w:r w:rsidRPr="00204DBD">
        <w:rPr>
          <w:rFonts w:eastAsia="Calibri"/>
          <w:lang w:eastAsia="en-US"/>
        </w:rPr>
        <w:t>Communities</w:t>
      </w:r>
      <w:proofErr w:type="spellEnd"/>
      <w:r w:rsidRPr="00204DBD">
        <w:rPr>
          <w:rFonts w:eastAsia="Calibri"/>
          <w:lang w:eastAsia="en-US"/>
        </w:rPr>
        <w:t xml:space="preserve">”, “Fan </w:t>
      </w:r>
      <w:proofErr w:type="spellStart"/>
      <w:r w:rsidRPr="00204DBD">
        <w:rPr>
          <w:rFonts w:eastAsia="Calibri"/>
          <w:lang w:eastAsia="en-US"/>
        </w:rPr>
        <w:t>Communities</w:t>
      </w:r>
      <w:proofErr w:type="spellEnd"/>
      <w:r w:rsidRPr="00204DBD">
        <w:rPr>
          <w:rFonts w:eastAsia="Calibri"/>
          <w:lang w:eastAsia="en-US"/>
        </w:rPr>
        <w:t xml:space="preserve">”, “Gaming </w:t>
      </w:r>
      <w:proofErr w:type="spellStart"/>
      <w:r w:rsidRPr="00204DBD">
        <w:rPr>
          <w:rFonts w:eastAsia="Calibri"/>
          <w:lang w:eastAsia="en-US"/>
        </w:rPr>
        <w:t>Communities</w:t>
      </w:r>
      <w:proofErr w:type="spellEnd"/>
      <w:r w:rsidRPr="00204DBD">
        <w:rPr>
          <w:rFonts w:eastAsia="Calibri"/>
          <w:lang w:eastAsia="en-US"/>
        </w:rPr>
        <w:t>”, “</w:t>
      </w:r>
      <w:proofErr w:type="spellStart"/>
      <w:r w:rsidRPr="00204DBD">
        <w:rPr>
          <w:rFonts w:eastAsia="Calibri"/>
          <w:lang w:eastAsia="en-US"/>
        </w:rPr>
        <w:t>Wikis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Knowledge-</w:t>
      </w:r>
      <w:proofErr w:type="spellStart"/>
      <w:r w:rsidRPr="00204DBD">
        <w:rPr>
          <w:rFonts w:eastAsia="Calibri"/>
          <w:lang w:eastAsia="en-US"/>
        </w:rPr>
        <w:t>Sharing</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w:t>
      </w:r>
      <w:proofErr w:type="spellStart"/>
      <w:r w:rsidRPr="00204DBD">
        <w:rPr>
          <w:rFonts w:eastAsia="Calibri"/>
          <w:lang w:eastAsia="en-US"/>
        </w:rPr>
        <w:t>Forums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Discussion</w:t>
      </w:r>
      <w:proofErr w:type="spellEnd"/>
      <w:r w:rsidRPr="00204DBD">
        <w:rPr>
          <w:rFonts w:eastAsia="Calibri"/>
          <w:lang w:eastAsia="en-US"/>
        </w:rPr>
        <w:t xml:space="preserve"> </w:t>
      </w:r>
      <w:proofErr w:type="spellStart"/>
      <w:r w:rsidRPr="00204DBD">
        <w:rPr>
          <w:rFonts w:eastAsia="Calibri"/>
          <w:lang w:eastAsia="en-US"/>
        </w:rPr>
        <w:t>Boards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Educational</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compliation</w:t>
      </w:r>
      <w:proofErr w:type="spellEnd"/>
      <w:r w:rsidRPr="00204DBD">
        <w:rPr>
          <w:rFonts w:eastAsia="Calibri"/>
          <w:lang w:eastAsia="en-US"/>
        </w:rPr>
        <w:t xml:space="preserve"> </w:t>
      </w:r>
      <w:proofErr w:type="spellStart"/>
      <w:r w:rsidRPr="00204DBD">
        <w:rPr>
          <w:rFonts w:eastAsia="Calibri"/>
          <w:lang w:eastAsia="en-US"/>
        </w:rPr>
        <w:t>article</w:t>
      </w:r>
      <w:proofErr w:type="spellEnd"/>
      <w:r w:rsidRPr="00204DBD">
        <w:rPr>
          <w:rFonts w:eastAsia="Calibri"/>
          <w:lang w:eastAsia="en-US"/>
        </w:rPr>
        <w:t xml:space="preserve"> </w:t>
      </w:r>
      <w:proofErr w:type="spellStart"/>
      <w:r w:rsidRPr="00204DBD">
        <w:rPr>
          <w:rFonts w:eastAsia="Calibri"/>
          <w:lang w:eastAsia="en-US"/>
        </w:rPr>
        <w:t>also</w:t>
      </w:r>
      <w:proofErr w:type="spellEnd"/>
      <w:r w:rsidRPr="00204DBD">
        <w:rPr>
          <w:rFonts w:eastAsia="Calibri"/>
          <w:lang w:eastAsia="en-US"/>
        </w:rPr>
        <w:t xml:space="preserve"> </w:t>
      </w:r>
      <w:proofErr w:type="spellStart"/>
      <w:r w:rsidRPr="00204DBD">
        <w:rPr>
          <w:rFonts w:eastAsia="Calibri"/>
          <w:lang w:eastAsia="en-US"/>
        </w:rPr>
        <w:t>aims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examine</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difficulties</w:t>
      </w:r>
      <w:proofErr w:type="spellEnd"/>
      <w:r w:rsidRPr="00204DBD">
        <w:rPr>
          <w:rFonts w:eastAsia="Calibri"/>
          <w:lang w:eastAsia="en-US"/>
        </w:rPr>
        <w:t xml:space="preserve"> </w:t>
      </w:r>
      <w:proofErr w:type="spellStart"/>
      <w:r w:rsidRPr="00204DBD">
        <w:rPr>
          <w:rFonts w:eastAsia="Calibri"/>
          <w:lang w:eastAsia="en-US"/>
        </w:rPr>
        <w:t>caused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negative</w:t>
      </w:r>
      <w:proofErr w:type="spellEnd"/>
      <w:r w:rsidRPr="00204DBD">
        <w:rPr>
          <w:rFonts w:eastAsia="Calibri"/>
          <w:lang w:eastAsia="en-US"/>
        </w:rPr>
        <w:t xml:space="preserve"> </w:t>
      </w:r>
      <w:proofErr w:type="spellStart"/>
      <w:r w:rsidRPr="00204DBD">
        <w:rPr>
          <w:rFonts w:eastAsia="Calibri"/>
          <w:lang w:eastAsia="en-US"/>
        </w:rPr>
        <w:t>behaviors</w:t>
      </w:r>
      <w:proofErr w:type="spellEnd"/>
      <w:r w:rsidRPr="00204DBD">
        <w:rPr>
          <w:rFonts w:eastAsia="Calibri"/>
          <w:lang w:eastAsia="en-US"/>
        </w:rPr>
        <w:t xml:space="preserve"> </w:t>
      </w:r>
      <w:proofErr w:type="spellStart"/>
      <w:r w:rsidRPr="00204DBD">
        <w:rPr>
          <w:rFonts w:eastAsia="Calibri"/>
          <w:lang w:eastAsia="en-US"/>
        </w:rPr>
        <w:t>arising</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security</w:t>
      </w:r>
      <w:proofErr w:type="spellEnd"/>
      <w:r w:rsidRPr="00204DBD">
        <w:rPr>
          <w:rFonts w:eastAsia="Calibri"/>
          <w:lang w:eastAsia="en-US"/>
        </w:rPr>
        <w:t xml:space="preserve">, </w:t>
      </w:r>
      <w:proofErr w:type="spellStart"/>
      <w:r w:rsidRPr="00204DBD">
        <w:rPr>
          <w:rFonts w:eastAsia="Calibri"/>
          <w:lang w:eastAsia="en-US"/>
        </w:rPr>
        <w:t>ethical</w:t>
      </w:r>
      <w:proofErr w:type="spellEnd"/>
      <w:r w:rsidRPr="00204DBD">
        <w:rPr>
          <w:rFonts w:eastAsia="Calibri"/>
          <w:lang w:eastAsia="en-US"/>
        </w:rPr>
        <w:t xml:space="preserve"> </w:t>
      </w:r>
      <w:proofErr w:type="spellStart"/>
      <w:r w:rsidRPr="00204DBD">
        <w:rPr>
          <w:rFonts w:eastAsia="Calibri"/>
          <w:lang w:eastAsia="en-US"/>
        </w:rPr>
        <w:t>violations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anonymity</w:t>
      </w:r>
      <w:proofErr w:type="spellEnd"/>
      <w:r w:rsidRPr="00204DBD">
        <w:rPr>
          <w:rFonts w:eastAsia="Calibri"/>
          <w:lang w:eastAsia="en-US"/>
        </w:rPr>
        <w:t>.    .</w:t>
      </w:r>
      <w:r w:rsidRPr="00204DBD">
        <w:rPr>
          <w:rFonts w:eastAsia="Calibri"/>
          <w:lang w:eastAsia="en-US"/>
        </w:rPr>
        <w:br/>
        <w:t xml:space="preserve">           </w:t>
      </w:r>
    </w:p>
    <w:p w14:paraId="09E2C050" w14:textId="29A722E2" w:rsidR="00E3302B" w:rsidRPr="00204DBD" w:rsidRDefault="00E3302B" w:rsidP="002B6256">
      <w:pPr>
        <w:jc w:val="both"/>
        <w:rPr>
          <w:rFonts w:eastAsia="Calibri"/>
          <w:lang w:eastAsia="en-US"/>
        </w:rPr>
      </w:pPr>
      <w:r w:rsidRPr="00204DBD">
        <w:rPr>
          <w:rFonts w:eastAsia="Calibri"/>
          <w:lang w:eastAsia="en-US"/>
        </w:rPr>
        <w:lastRenderedPageBreak/>
        <w:t xml:space="preserve">Meme </w:t>
      </w:r>
      <w:proofErr w:type="spellStart"/>
      <w:r w:rsidRPr="00204DBD">
        <w:rPr>
          <w:rFonts w:eastAsia="Calibri"/>
          <w:lang w:eastAsia="en-US"/>
        </w:rPr>
        <w:t>Culture</w:t>
      </w:r>
      <w:proofErr w:type="spellEnd"/>
      <w:r w:rsidRPr="00204DBD">
        <w:rPr>
          <w:rFonts w:eastAsia="Calibri"/>
          <w:lang w:eastAsia="en-US"/>
        </w:rPr>
        <w:t xml:space="preserve">” is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first</w:t>
      </w:r>
      <w:proofErr w:type="spellEnd"/>
      <w:r w:rsidRPr="00204DBD">
        <w:rPr>
          <w:rFonts w:eastAsia="Calibri"/>
          <w:lang w:eastAsia="en-US"/>
        </w:rPr>
        <w:t xml:space="preserve"> </w:t>
      </w:r>
      <w:proofErr w:type="spellStart"/>
      <w:r w:rsidRPr="00204DBD">
        <w:rPr>
          <w:rFonts w:eastAsia="Calibri"/>
          <w:lang w:eastAsia="en-US"/>
        </w:rPr>
        <w:t>sub-title</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Memes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humorous</w:t>
      </w:r>
      <w:proofErr w:type="spellEnd"/>
      <w:r w:rsidRPr="00204DBD">
        <w:rPr>
          <w:rFonts w:eastAsia="Calibri"/>
          <w:lang w:eastAsia="en-US"/>
        </w:rPr>
        <w:t xml:space="preserve"> </w:t>
      </w:r>
      <w:proofErr w:type="spellStart"/>
      <w:r w:rsidRPr="00204DBD">
        <w:rPr>
          <w:rFonts w:eastAsia="Calibri"/>
          <w:lang w:eastAsia="en-US"/>
        </w:rPr>
        <w:t>images</w:t>
      </w:r>
      <w:proofErr w:type="spellEnd"/>
      <w:r w:rsidRPr="00204DBD">
        <w:rPr>
          <w:rFonts w:eastAsia="Calibri"/>
          <w:lang w:eastAsia="en-US"/>
        </w:rPr>
        <w:t xml:space="preserve">, </w:t>
      </w:r>
      <w:proofErr w:type="spellStart"/>
      <w:r w:rsidRPr="00204DBD">
        <w:rPr>
          <w:rFonts w:eastAsia="Calibri"/>
          <w:lang w:eastAsia="en-US"/>
        </w:rPr>
        <w:t>videos</w:t>
      </w:r>
      <w:proofErr w:type="spellEnd"/>
      <w:r w:rsidRPr="00204DBD">
        <w:rPr>
          <w:rFonts w:eastAsia="Calibri"/>
          <w:lang w:eastAsia="en-US"/>
        </w:rPr>
        <w:t xml:space="preserve">, </w:t>
      </w:r>
      <w:proofErr w:type="spellStart"/>
      <w:r w:rsidRPr="00204DBD">
        <w:rPr>
          <w:rFonts w:eastAsia="Calibri"/>
          <w:lang w:eastAsia="en-US"/>
        </w:rPr>
        <w:t>text</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w:t>
      </w:r>
      <w:proofErr w:type="spellStart"/>
      <w:r w:rsidRPr="00204DBD">
        <w:rPr>
          <w:rFonts w:eastAsia="Calibri"/>
          <w:lang w:eastAsia="en-US"/>
        </w:rPr>
        <w:t>other</w:t>
      </w:r>
      <w:proofErr w:type="spellEnd"/>
      <w:r w:rsidRPr="00204DBD">
        <w:rPr>
          <w:rFonts w:eastAsia="Calibri"/>
          <w:lang w:eastAsia="en-US"/>
        </w:rPr>
        <w:t xml:space="preserve"> </w:t>
      </w:r>
      <w:proofErr w:type="spellStart"/>
      <w:r w:rsidRPr="00204DBD">
        <w:rPr>
          <w:rFonts w:eastAsia="Calibri"/>
          <w:lang w:eastAsia="en-US"/>
        </w:rPr>
        <w:t>forms</w:t>
      </w:r>
      <w:proofErr w:type="spellEnd"/>
      <w:r w:rsidRPr="00204DBD">
        <w:rPr>
          <w:rFonts w:eastAsia="Calibri"/>
          <w:lang w:eastAsia="en-US"/>
        </w:rPr>
        <w:t xml:space="preserve"> of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quickly</w:t>
      </w:r>
      <w:proofErr w:type="spellEnd"/>
      <w:r w:rsidRPr="00204DBD">
        <w:rPr>
          <w:rFonts w:eastAsia="Calibri"/>
          <w:lang w:eastAsia="en-US"/>
        </w:rPr>
        <w:t xml:space="preserve"> </w:t>
      </w:r>
      <w:proofErr w:type="spellStart"/>
      <w:r w:rsidRPr="00204DBD">
        <w:rPr>
          <w:rFonts w:eastAsia="Calibri"/>
          <w:lang w:eastAsia="en-US"/>
        </w:rPr>
        <w:t>copied</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spread </w:t>
      </w:r>
      <w:proofErr w:type="spellStart"/>
      <w:r w:rsidRPr="00204DBD">
        <w:rPr>
          <w:rFonts w:eastAsia="Calibri"/>
          <w:lang w:eastAsia="en-US"/>
        </w:rPr>
        <w:t>by</w:t>
      </w:r>
      <w:proofErr w:type="spellEnd"/>
      <w:r w:rsidRPr="00204DBD">
        <w:rPr>
          <w:rFonts w:eastAsia="Calibri"/>
          <w:lang w:eastAsia="en-US"/>
        </w:rPr>
        <w:t xml:space="preserve"> internet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often</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minor</w:t>
      </w:r>
      <w:proofErr w:type="spellEnd"/>
      <w:r w:rsidRPr="00204DBD">
        <w:rPr>
          <w:rFonts w:eastAsia="Calibri"/>
          <w:lang w:eastAsia="en-US"/>
        </w:rPr>
        <w:t xml:space="preserve"> </w:t>
      </w:r>
      <w:proofErr w:type="spellStart"/>
      <w:r w:rsidRPr="00204DBD">
        <w:rPr>
          <w:rFonts w:eastAsia="Calibri"/>
          <w:lang w:eastAsia="en-US"/>
        </w:rPr>
        <w:t>modifications</w:t>
      </w:r>
      <w:proofErr w:type="spellEnd"/>
      <w:r w:rsidRPr="00204DBD">
        <w:rPr>
          <w:rFonts w:eastAsia="Calibri"/>
          <w:lang w:eastAsia="en-US"/>
        </w:rPr>
        <w:t xml:space="preserve">. Internet </w:t>
      </w:r>
      <w:proofErr w:type="spellStart"/>
      <w:r w:rsidRPr="00204DBD">
        <w:rPr>
          <w:rFonts w:eastAsia="Calibri"/>
          <w:lang w:eastAsia="en-US"/>
        </w:rPr>
        <w:t>memes</w:t>
      </w:r>
      <w:proofErr w:type="spellEnd"/>
      <w:r w:rsidRPr="00204DBD">
        <w:rPr>
          <w:rFonts w:eastAsia="Calibri"/>
          <w:lang w:eastAsia="en-US"/>
        </w:rPr>
        <w:t xml:space="preserve"> (meme/</w:t>
      </w:r>
      <w:proofErr w:type="spellStart"/>
      <w:r w:rsidRPr="00204DBD">
        <w:rPr>
          <w:rFonts w:eastAsia="Calibri"/>
          <w:lang w:eastAsia="en-US"/>
        </w:rPr>
        <w:t>miim</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rapidly</w:t>
      </w:r>
      <w:proofErr w:type="spellEnd"/>
      <w:r w:rsidRPr="00204DBD">
        <w:rPr>
          <w:rFonts w:eastAsia="Calibri"/>
          <w:lang w:eastAsia="en-US"/>
        </w:rPr>
        <w:t xml:space="preserve"> </w:t>
      </w:r>
      <w:proofErr w:type="spellStart"/>
      <w:r w:rsidRPr="00204DBD">
        <w:rPr>
          <w:rFonts w:eastAsia="Calibri"/>
          <w:lang w:eastAsia="en-US"/>
        </w:rPr>
        <w:t>shared</w:t>
      </w:r>
      <w:proofErr w:type="spellEnd"/>
      <w:r w:rsidRPr="00204DBD">
        <w:rPr>
          <w:rFonts w:eastAsia="Calibri"/>
          <w:lang w:eastAsia="en-US"/>
        </w:rPr>
        <w:t xml:space="preserve"> on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become</w:t>
      </w:r>
      <w:proofErr w:type="spellEnd"/>
      <w:r w:rsidRPr="00204DBD">
        <w:rPr>
          <w:rFonts w:eastAsia="Calibri"/>
          <w:lang w:eastAsia="en-US"/>
        </w:rPr>
        <w:t xml:space="preserve"> a </w:t>
      </w:r>
      <w:proofErr w:type="spellStart"/>
      <w:r w:rsidRPr="00204DBD">
        <w:rPr>
          <w:rFonts w:eastAsia="Calibri"/>
          <w:lang w:eastAsia="en-US"/>
        </w:rPr>
        <w:t>universal</w:t>
      </w:r>
      <w:proofErr w:type="spellEnd"/>
      <w:r w:rsidRPr="00204DBD">
        <w:rPr>
          <w:rFonts w:eastAsia="Calibri"/>
          <w:lang w:eastAsia="en-US"/>
        </w:rPr>
        <w:t xml:space="preserve"> </w:t>
      </w:r>
      <w:proofErr w:type="spellStart"/>
      <w:r w:rsidRPr="00204DBD">
        <w:rPr>
          <w:rFonts w:eastAsia="Calibri"/>
          <w:lang w:eastAsia="en-US"/>
        </w:rPr>
        <w:t>language</w:t>
      </w:r>
      <w:proofErr w:type="spellEnd"/>
      <w:r w:rsidRPr="00204DBD">
        <w:rPr>
          <w:rFonts w:eastAsia="Calibri"/>
          <w:lang w:eastAsia="en-US"/>
        </w:rPr>
        <w:t xml:space="preserve">. </w:t>
      </w:r>
      <w:proofErr w:type="spellStart"/>
      <w:r w:rsidRPr="00204DBD">
        <w:rPr>
          <w:rFonts w:eastAsia="Calibri"/>
          <w:lang w:eastAsia="en-US"/>
        </w:rPr>
        <w:t>Memes</w:t>
      </w:r>
      <w:proofErr w:type="spellEnd"/>
      <w:r w:rsidRPr="00204DBD">
        <w:rPr>
          <w:rFonts w:eastAsia="Calibri"/>
          <w:lang w:eastAsia="en-US"/>
        </w:rPr>
        <w:t xml:space="preserve"> </w:t>
      </w:r>
      <w:proofErr w:type="spellStart"/>
      <w:r w:rsidRPr="00204DBD">
        <w:rPr>
          <w:rFonts w:eastAsia="Calibri"/>
          <w:lang w:eastAsia="en-US"/>
        </w:rPr>
        <w:t>create</w:t>
      </w:r>
      <w:proofErr w:type="spellEnd"/>
      <w:r w:rsidRPr="00204DBD">
        <w:rPr>
          <w:rFonts w:eastAsia="Calibri"/>
          <w:lang w:eastAsia="en-US"/>
        </w:rPr>
        <w:t xml:space="preserve"> a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cultural</w:t>
      </w:r>
      <w:proofErr w:type="spellEnd"/>
      <w:r w:rsidRPr="00204DBD">
        <w:rPr>
          <w:rFonts w:eastAsia="Calibri"/>
          <w:lang w:eastAsia="en-US"/>
        </w:rPr>
        <w:t xml:space="preserve"> </w:t>
      </w:r>
      <w:proofErr w:type="spellStart"/>
      <w:r w:rsidRPr="00204DBD">
        <w:rPr>
          <w:rFonts w:eastAsia="Calibri"/>
          <w:lang w:eastAsia="en-US"/>
        </w:rPr>
        <w:t>experience</w:t>
      </w:r>
      <w:proofErr w:type="spellEnd"/>
      <w:r w:rsidRPr="00204DBD">
        <w:rPr>
          <w:rFonts w:eastAsia="Calibri"/>
          <w:lang w:eastAsia="en-US"/>
        </w:rPr>
        <w:t xml:space="preserve"> on a global </w:t>
      </w:r>
      <w:proofErr w:type="spellStart"/>
      <w:r w:rsidRPr="00204DBD">
        <w:rPr>
          <w:rFonts w:eastAsia="Calibri"/>
          <w:lang w:eastAsia="en-US"/>
        </w:rPr>
        <w:t>level</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reflecting</w:t>
      </w:r>
      <w:proofErr w:type="spellEnd"/>
      <w:r w:rsidRPr="00204DBD">
        <w:rPr>
          <w:rFonts w:eastAsia="Calibri"/>
          <w:lang w:eastAsia="en-US"/>
        </w:rPr>
        <w:t xml:space="preserve"> popular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issues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daily</w:t>
      </w:r>
      <w:proofErr w:type="spellEnd"/>
      <w:r w:rsidRPr="00204DBD">
        <w:rPr>
          <w:rFonts w:eastAsia="Calibri"/>
          <w:lang w:eastAsia="en-US"/>
        </w:rPr>
        <w:t xml:space="preserve"> life; </w:t>
      </w:r>
      <w:proofErr w:type="spellStart"/>
      <w:r w:rsidRPr="00204DBD">
        <w:rPr>
          <w:rFonts w:eastAsia="Calibri"/>
          <w:lang w:eastAsia="en-US"/>
        </w:rPr>
        <w:t>In</w:t>
      </w:r>
      <w:proofErr w:type="spellEnd"/>
      <w:r w:rsidRPr="00204DBD">
        <w:rPr>
          <w:rFonts w:eastAsia="Calibri"/>
          <w:lang w:eastAsia="en-US"/>
        </w:rPr>
        <w:t xml:space="preserve">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way</w:t>
      </w:r>
      <w:proofErr w:type="spellEnd"/>
      <w:r w:rsidRPr="00204DBD">
        <w:rPr>
          <w:rFonts w:eastAsia="Calibri"/>
          <w:lang w:eastAsia="en-US"/>
        </w:rPr>
        <w:t xml:space="preserve">, it </w:t>
      </w:r>
      <w:proofErr w:type="spellStart"/>
      <w:r w:rsidRPr="00204DBD">
        <w:rPr>
          <w:rFonts w:eastAsia="Calibri"/>
          <w:lang w:eastAsia="en-US"/>
        </w:rPr>
        <w:t>allows</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different</w:t>
      </w:r>
      <w:proofErr w:type="spellEnd"/>
      <w:r w:rsidRPr="00204DBD">
        <w:rPr>
          <w:rFonts w:eastAsia="Calibri"/>
          <w:lang w:eastAsia="en-US"/>
        </w:rPr>
        <w:t xml:space="preserve"> </w:t>
      </w:r>
      <w:proofErr w:type="spellStart"/>
      <w:r w:rsidRPr="00204DBD">
        <w:rPr>
          <w:rFonts w:eastAsia="Calibri"/>
          <w:lang w:eastAsia="en-US"/>
        </w:rPr>
        <w:t>origins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cultures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communicate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bond</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humor</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references</w:t>
      </w:r>
      <w:proofErr w:type="spellEnd"/>
      <w:r w:rsidRPr="00204DBD">
        <w:rPr>
          <w:rFonts w:eastAsia="Calibri"/>
          <w:lang w:eastAsia="en-US"/>
        </w:rPr>
        <w:t xml:space="preserve"> (</w:t>
      </w:r>
      <w:proofErr w:type="spellStart"/>
      <w:r w:rsidRPr="00204DBD">
        <w:rPr>
          <w:rFonts w:eastAsia="Calibri"/>
          <w:lang w:eastAsia="en-US"/>
        </w:rPr>
        <w:t>Nissenbaum</w:t>
      </w:r>
      <w:proofErr w:type="spellEnd"/>
      <w:r w:rsidRPr="00204DBD">
        <w:rPr>
          <w:rFonts w:eastAsia="Calibri"/>
          <w:lang w:eastAsia="en-US"/>
        </w:rPr>
        <w:t xml:space="preserve"> &amp; </w:t>
      </w:r>
      <w:proofErr w:type="spellStart"/>
      <w:r w:rsidRPr="00204DBD">
        <w:rPr>
          <w:rFonts w:eastAsia="Calibri"/>
          <w:lang w:eastAsia="en-US"/>
        </w:rPr>
        <w:t>Shifman</w:t>
      </w:r>
      <w:proofErr w:type="spellEnd"/>
      <w:r w:rsidRPr="00204DBD">
        <w:rPr>
          <w:rFonts w:eastAsia="Calibri"/>
          <w:lang w:eastAsia="en-US"/>
        </w:rPr>
        <w:t xml:space="preserve">, 2014).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who</w:t>
      </w:r>
      <w:proofErr w:type="spellEnd"/>
      <w:r w:rsidRPr="00204DBD">
        <w:rPr>
          <w:rFonts w:eastAsia="Calibri"/>
          <w:lang w:eastAsia="en-US"/>
        </w:rPr>
        <w:t xml:space="preserve"> </w:t>
      </w:r>
      <w:proofErr w:type="spellStart"/>
      <w:r w:rsidRPr="00204DBD">
        <w:rPr>
          <w:rFonts w:eastAsia="Calibri"/>
          <w:lang w:eastAsia="en-US"/>
        </w:rPr>
        <w:t>build</w:t>
      </w:r>
      <w:proofErr w:type="spellEnd"/>
      <w:r w:rsidRPr="00204DBD">
        <w:rPr>
          <w:rFonts w:eastAsia="Calibri"/>
          <w:lang w:eastAsia="en-US"/>
        </w:rPr>
        <w:t xml:space="preserve"> </w:t>
      </w:r>
      <w:proofErr w:type="spellStart"/>
      <w:r w:rsidRPr="00204DBD">
        <w:rPr>
          <w:rFonts w:eastAsia="Calibri"/>
          <w:lang w:eastAsia="en-US"/>
        </w:rPr>
        <w:t>personal</w:t>
      </w:r>
      <w:proofErr w:type="spellEnd"/>
      <w:r w:rsidRPr="00204DBD">
        <w:rPr>
          <w:rFonts w:eastAsia="Calibri"/>
          <w:lang w:eastAsia="en-US"/>
        </w:rPr>
        <w:t xml:space="preserve"> </w:t>
      </w:r>
      <w:proofErr w:type="spellStart"/>
      <w:r w:rsidRPr="00204DBD">
        <w:rPr>
          <w:rFonts w:eastAsia="Calibri"/>
          <w:lang w:eastAsia="en-US"/>
        </w:rPr>
        <w:t>brands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large</w:t>
      </w:r>
      <w:proofErr w:type="spellEnd"/>
      <w:r w:rsidRPr="00204DBD">
        <w:rPr>
          <w:rFonts w:eastAsia="Calibri"/>
          <w:lang w:eastAsia="en-US"/>
        </w:rPr>
        <w:t xml:space="preserve"> </w:t>
      </w:r>
      <w:proofErr w:type="spellStart"/>
      <w:r w:rsidRPr="00204DBD">
        <w:rPr>
          <w:rFonts w:eastAsia="Calibri"/>
          <w:lang w:eastAsia="en-US"/>
        </w:rPr>
        <w:t>audiences</w:t>
      </w:r>
      <w:proofErr w:type="spellEnd"/>
      <w:r w:rsidRPr="00204DBD">
        <w:rPr>
          <w:rFonts w:eastAsia="Calibri"/>
          <w:lang w:eastAsia="en-US"/>
        </w:rPr>
        <w:t xml:space="preserve"> </w:t>
      </w:r>
      <w:proofErr w:type="spellStart"/>
      <w:r w:rsidRPr="00204DBD">
        <w:rPr>
          <w:rFonts w:eastAsia="Calibri"/>
          <w:lang w:eastAsia="en-US"/>
        </w:rPr>
        <w:t>using</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have</w:t>
      </w:r>
      <w:proofErr w:type="spellEnd"/>
      <w:r w:rsidRPr="00204DBD">
        <w:rPr>
          <w:rFonts w:eastAsia="Calibri"/>
          <w:lang w:eastAsia="en-US"/>
        </w:rPr>
        <w:t xml:space="preserve"> </w:t>
      </w:r>
      <w:proofErr w:type="spellStart"/>
      <w:r w:rsidRPr="00204DBD">
        <w:rPr>
          <w:rFonts w:eastAsia="Calibri"/>
          <w:lang w:eastAsia="en-US"/>
        </w:rPr>
        <w:t>created</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influencer</w:t>
      </w:r>
      <w:proofErr w:type="spellEnd"/>
      <w:r w:rsidRPr="00204DBD">
        <w:rPr>
          <w:rFonts w:eastAsia="Calibri"/>
          <w:lang w:eastAsia="en-US"/>
        </w:rPr>
        <w:t xml:space="preserve"> </w:t>
      </w:r>
      <w:proofErr w:type="spellStart"/>
      <w:r w:rsidRPr="00204DBD">
        <w:rPr>
          <w:rFonts w:eastAsia="Calibri"/>
          <w:lang w:eastAsia="en-US"/>
        </w:rPr>
        <w:t>culture</w:t>
      </w:r>
      <w:proofErr w:type="spellEnd"/>
      <w:r w:rsidRPr="00204DBD">
        <w:rPr>
          <w:rFonts w:eastAsia="Calibri"/>
          <w:lang w:eastAsia="en-US"/>
        </w:rPr>
        <w:t xml:space="preserve">.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people</w:t>
      </w:r>
      <w:proofErr w:type="spellEnd"/>
      <w:r w:rsidRPr="00204DBD">
        <w:rPr>
          <w:rFonts w:eastAsia="Calibri"/>
          <w:lang w:eastAsia="en-US"/>
        </w:rPr>
        <w:t xml:space="preserve">; </w:t>
      </w:r>
      <w:proofErr w:type="spellStart"/>
      <w:r w:rsidRPr="00204DBD">
        <w:rPr>
          <w:rFonts w:eastAsia="Calibri"/>
          <w:lang w:eastAsia="en-US"/>
        </w:rPr>
        <w:t>It</w:t>
      </w:r>
      <w:proofErr w:type="spellEnd"/>
      <w:r w:rsidRPr="00204DBD">
        <w:rPr>
          <w:rFonts w:eastAsia="Calibri"/>
          <w:lang w:eastAsia="en-US"/>
        </w:rPr>
        <w:t xml:space="preserve"> can </w:t>
      </w:r>
      <w:proofErr w:type="spellStart"/>
      <w:r w:rsidRPr="00204DBD">
        <w:rPr>
          <w:rFonts w:eastAsia="Calibri"/>
          <w:lang w:eastAsia="en-US"/>
        </w:rPr>
        <w:t>create</w:t>
      </w:r>
      <w:proofErr w:type="spellEnd"/>
      <w:r w:rsidRPr="00204DBD">
        <w:rPr>
          <w:rFonts w:eastAsia="Calibri"/>
          <w:lang w:eastAsia="en-US"/>
        </w:rPr>
        <w:t xml:space="preserve"> </w:t>
      </w:r>
      <w:proofErr w:type="spellStart"/>
      <w:r w:rsidRPr="00204DBD">
        <w:rPr>
          <w:rFonts w:eastAsia="Calibri"/>
          <w:lang w:eastAsia="en-US"/>
        </w:rPr>
        <w:t>subcultures</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w:t>
      </w:r>
      <w:proofErr w:type="spellStart"/>
      <w:r w:rsidRPr="00204DBD">
        <w:rPr>
          <w:rFonts w:eastAsia="Calibri"/>
          <w:lang w:eastAsia="en-US"/>
        </w:rPr>
        <w:t>its</w:t>
      </w:r>
      <w:proofErr w:type="spellEnd"/>
      <w:r w:rsidRPr="00204DBD">
        <w:rPr>
          <w:rFonts w:eastAsia="Calibri"/>
          <w:lang w:eastAsia="en-US"/>
        </w:rPr>
        <w:t xml:space="preserve"> </w:t>
      </w:r>
      <w:proofErr w:type="spellStart"/>
      <w:r w:rsidRPr="00204DBD">
        <w:rPr>
          <w:rFonts w:eastAsia="Calibri"/>
          <w:lang w:eastAsia="en-US"/>
        </w:rPr>
        <w:t>content</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influencing</w:t>
      </w:r>
      <w:proofErr w:type="spellEnd"/>
      <w:r w:rsidRPr="00204DBD">
        <w:rPr>
          <w:rFonts w:eastAsia="Calibri"/>
          <w:lang w:eastAsia="en-US"/>
        </w:rPr>
        <w:t xml:space="preserve"> </w:t>
      </w:r>
      <w:proofErr w:type="spellStart"/>
      <w:r w:rsidRPr="00204DBD">
        <w:rPr>
          <w:rFonts w:eastAsia="Calibri"/>
          <w:lang w:eastAsia="en-US"/>
        </w:rPr>
        <w:t>fashion</w:t>
      </w:r>
      <w:proofErr w:type="spellEnd"/>
      <w:r w:rsidRPr="00204DBD">
        <w:rPr>
          <w:rFonts w:eastAsia="Calibri"/>
          <w:lang w:eastAsia="en-US"/>
        </w:rPr>
        <w:t xml:space="preserve">, </w:t>
      </w:r>
      <w:proofErr w:type="spellStart"/>
      <w:r w:rsidRPr="00204DBD">
        <w:rPr>
          <w:rFonts w:eastAsia="Calibri"/>
          <w:lang w:eastAsia="en-US"/>
        </w:rPr>
        <w:t>beauty</w:t>
      </w:r>
      <w:proofErr w:type="spellEnd"/>
      <w:r w:rsidRPr="00204DBD">
        <w:rPr>
          <w:rFonts w:eastAsia="Calibri"/>
          <w:lang w:eastAsia="en-US"/>
        </w:rPr>
        <w:t xml:space="preserve">, </w:t>
      </w:r>
      <w:proofErr w:type="spellStart"/>
      <w:r w:rsidRPr="00204DBD">
        <w:rPr>
          <w:rFonts w:eastAsia="Calibri"/>
          <w:lang w:eastAsia="en-US"/>
        </w:rPr>
        <w:t>fitness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lifestyle</w:t>
      </w:r>
      <w:proofErr w:type="spellEnd"/>
      <w:r w:rsidRPr="00204DBD">
        <w:rPr>
          <w:rFonts w:eastAsia="Calibri"/>
          <w:lang w:eastAsia="en-US"/>
        </w:rPr>
        <w:t xml:space="preserve"> </w:t>
      </w:r>
      <w:proofErr w:type="spellStart"/>
      <w:r w:rsidRPr="00204DBD">
        <w:rPr>
          <w:rFonts w:eastAsia="Calibri"/>
          <w:lang w:eastAsia="en-US"/>
        </w:rPr>
        <w:t>trends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impact</w:t>
      </w:r>
      <w:proofErr w:type="spellEnd"/>
      <w:r w:rsidRPr="00204DBD">
        <w:rPr>
          <w:rFonts w:eastAsia="Calibri"/>
          <w:lang w:eastAsia="en-US"/>
        </w:rPr>
        <w:t xml:space="preserve"> </w:t>
      </w:r>
      <w:proofErr w:type="spellStart"/>
      <w:r w:rsidRPr="00204DBD">
        <w:rPr>
          <w:rFonts w:eastAsia="Calibri"/>
          <w:lang w:eastAsia="en-US"/>
        </w:rPr>
        <w:t>created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influencers</w:t>
      </w:r>
      <w:proofErr w:type="spellEnd"/>
      <w:r w:rsidRPr="00204DBD">
        <w:rPr>
          <w:rFonts w:eastAsia="Calibri"/>
          <w:lang w:eastAsia="en-US"/>
        </w:rPr>
        <w:t xml:space="preserve"> can spread </w:t>
      </w:r>
      <w:proofErr w:type="spellStart"/>
      <w:r w:rsidRPr="00204DBD">
        <w:rPr>
          <w:rFonts w:eastAsia="Calibri"/>
          <w:lang w:eastAsia="en-US"/>
        </w:rPr>
        <w:t>to</w:t>
      </w:r>
      <w:proofErr w:type="spellEnd"/>
      <w:r w:rsidRPr="00204DBD">
        <w:rPr>
          <w:rFonts w:eastAsia="Calibri"/>
          <w:lang w:eastAsia="en-US"/>
        </w:rPr>
        <w:t xml:space="preserve"> a </w:t>
      </w:r>
      <w:proofErr w:type="spellStart"/>
      <w:r w:rsidRPr="00204DBD">
        <w:rPr>
          <w:rFonts w:eastAsia="Calibri"/>
          <w:lang w:eastAsia="en-US"/>
        </w:rPr>
        <w:t>wide</w:t>
      </w:r>
      <w:proofErr w:type="spellEnd"/>
      <w:r w:rsidRPr="00204DBD">
        <w:rPr>
          <w:rFonts w:eastAsia="Calibri"/>
          <w:lang w:eastAsia="en-US"/>
        </w:rPr>
        <w:t xml:space="preserve"> </w:t>
      </w:r>
      <w:proofErr w:type="spellStart"/>
      <w:r w:rsidRPr="00204DBD">
        <w:rPr>
          <w:rFonts w:eastAsia="Calibri"/>
          <w:lang w:eastAsia="en-US"/>
        </w:rPr>
        <w:t>range</w:t>
      </w:r>
      <w:proofErr w:type="spellEnd"/>
      <w:r w:rsidRPr="00204DBD">
        <w:rPr>
          <w:rFonts w:eastAsia="Calibri"/>
          <w:lang w:eastAsia="en-US"/>
        </w:rPr>
        <w:t xml:space="preserve"> of </w:t>
      </w:r>
      <w:proofErr w:type="spellStart"/>
      <w:r w:rsidRPr="00204DBD">
        <w:rPr>
          <w:rFonts w:eastAsia="Calibri"/>
          <w:lang w:eastAsia="en-US"/>
        </w:rPr>
        <w:t>followers</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interactions</w:t>
      </w:r>
      <w:proofErr w:type="spellEnd"/>
      <w:r w:rsidRPr="00204DBD">
        <w:rPr>
          <w:rFonts w:eastAsia="Calibri"/>
          <w:lang w:eastAsia="en-US"/>
        </w:rPr>
        <w:t xml:space="preserve"> on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Freberg</w:t>
      </w:r>
      <w:proofErr w:type="spellEnd"/>
      <w:r w:rsidRPr="00204DBD">
        <w:rPr>
          <w:rFonts w:eastAsia="Calibri"/>
          <w:lang w:eastAsia="en-US"/>
        </w:rPr>
        <w:t xml:space="preserve"> et al., 2011). </w:t>
      </w:r>
      <w:proofErr w:type="spellStart"/>
      <w:r w:rsidRPr="00204DBD">
        <w:rPr>
          <w:rFonts w:eastAsia="Calibri"/>
          <w:lang w:eastAsia="en-US"/>
        </w:rPr>
        <w:t>Followers</w:t>
      </w:r>
      <w:proofErr w:type="spellEnd"/>
      <w:r w:rsidRPr="00204DBD">
        <w:rPr>
          <w:rFonts w:eastAsia="Calibri"/>
          <w:lang w:eastAsia="en-US"/>
        </w:rPr>
        <w:t xml:space="preserve"> </w:t>
      </w:r>
      <w:proofErr w:type="spellStart"/>
      <w:r w:rsidRPr="00204DBD">
        <w:rPr>
          <w:rFonts w:eastAsia="Calibri"/>
          <w:lang w:eastAsia="en-US"/>
        </w:rPr>
        <w:t>participate</w:t>
      </w:r>
      <w:proofErr w:type="spellEnd"/>
      <w:r w:rsidRPr="00204DBD">
        <w:rPr>
          <w:rFonts w:eastAsia="Calibri"/>
          <w:lang w:eastAsia="en-US"/>
        </w:rPr>
        <w:t xml:space="preserve"> in </w:t>
      </w:r>
      <w:proofErr w:type="spellStart"/>
      <w:r w:rsidRPr="00204DBD">
        <w:rPr>
          <w:rFonts w:eastAsia="Calibri"/>
          <w:lang w:eastAsia="en-US"/>
        </w:rPr>
        <w:t>discussions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collaborations</w:t>
      </w:r>
      <w:proofErr w:type="spellEnd"/>
      <w:r w:rsidRPr="00204DBD">
        <w:rPr>
          <w:rFonts w:eastAsia="Calibri"/>
          <w:lang w:eastAsia="en-US"/>
        </w:rPr>
        <w:t xml:space="preserve">, </w:t>
      </w:r>
      <w:proofErr w:type="spellStart"/>
      <w:r w:rsidRPr="00204DBD">
        <w:rPr>
          <w:rFonts w:eastAsia="Calibri"/>
          <w:lang w:eastAsia="en-US"/>
        </w:rPr>
        <w:t>creating</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based</w:t>
      </w:r>
      <w:proofErr w:type="spellEnd"/>
      <w:r w:rsidRPr="00204DBD">
        <w:rPr>
          <w:rFonts w:eastAsia="Calibri"/>
          <w:lang w:eastAsia="en-US"/>
        </w:rPr>
        <w:t xml:space="preserve"> on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admiration</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influencers</w:t>
      </w:r>
      <w:proofErr w:type="spellEnd"/>
      <w:r w:rsidRPr="00204DBD">
        <w:rPr>
          <w:rFonts w:eastAsia="Calibri"/>
          <w:lang w:eastAsia="en-US"/>
        </w:rPr>
        <w:t xml:space="preserve">. Open </w:t>
      </w:r>
      <w:proofErr w:type="spellStart"/>
      <w:r w:rsidRPr="00204DBD">
        <w:rPr>
          <w:rFonts w:eastAsia="Calibri"/>
          <w:lang w:eastAsia="en-US"/>
        </w:rPr>
        <w:t>or</w:t>
      </w:r>
      <w:proofErr w:type="spellEnd"/>
      <w:r w:rsidRPr="00204DBD">
        <w:rPr>
          <w:rFonts w:eastAsia="Calibri"/>
          <w:lang w:eastAsia="en-US"/>
        </w:rPr>
        <w:t xml:space="preserve"> </w:t>
      </w:r>
      <w:proofErr w:type="spellStart"/>
      <w:r w:rsidRPr="00204DBD">
        <w:rPr>
          <w:rFonts w:eastAsia="Calibri"/>
          <w:lang w:eastAsia="en-US"/>
        </w:rPr>
        <w:t>closed</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can be </w:t>
      </w:r>
      <w:proofErr w:type="spellStart"/>
      <w:r w:rsidRPr="00204DBD">
        <w:rPr>
          <w:rFonts w:eastAsia="Calibri"/>
          <w:lang w:eastAsia="en-US"/>
        </w:rPr>
        <w:t>created</w:t>
      </w:r>
      <w:proofErr w:type="spellEnd"/>
      <w:r w:rsidRPr="00204DBD">
        <w:rPr>
          <w:rFonts w:eastAsia="Calibri"/>
          <w:lang w:eastAsia="en-US"/>
        </w:rPr>
        <w:t xml:space="preserve"> </w:t>
      </w:r>
      <w:proofErr w:type="spellStart"/>
      <w:r w:rsidRPr="00204DBD">
        <w:rPr>
          <w:rFonts w:eastAsia="Calibri"/>
          <w:lang w:eastAsia="en-US"/>
        </w:rPr>
        <w:t>within</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networking</w:t>
      </w:r>
      <w:proofErr w:type="spellEnd"/>
      <w:r w:rsidRPr="00204DBD">
        <w:rPr>
          <w:rFonts w:eastAsia="Calibri"/>
          <w:lang w:eastAsia="en-US"/>
        </w:rPr>
        <w:t xml:space="preserve"> </w:t>
      </w:r>
      <w:proofErr w:type="spellStart"/>
      <w:r w:rsidRPr="00204DBD">
        <w:rPr>
          <w:rFonts w:eastAsia="Calibri"/>
          <w:lang w:eastAsia="en-US"/>
        </w:rPr>
        <w:t>sites</w:t>
      </w:r>
      <w:proofErr w:type="spellEnd"/>
      <w:r w:rsidRPr="00204DBD">
        <w:rPr>
          <w:rFonts w:eastAsia="Calibri"/>
          <w:lang w:eastAsia="en-US"/>
        </w:rPr>
        <w:t xml:space="preserve"> </w:t>
      </w:r>
      <w:proofErr w:type="spellStart"/>
      <w:r w:rsidRPr="00204DBD">
        <w:rPr>
          <w:rFonts w:eastAsia="Calibri"/>
          <w:lang w:eastAsia="en-US"/>
        </w:rPr>
        <w:t>enable</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communicate</w:t>
      </w:r>
      <w:proofErr w:type="spellEnd"/>
      <w:r w:rsidRPr="00204DBD">
        <w:rPr>
          <w:rFonts w:eastAsia="Calibri"/>
          <w:lang w:eastAsia="en-US"/>
        </w:rPr>
        <w:t xml:space="preserve"> </w:t>
      </w:r>
      <w:proofErr w:type="spellStart"/>
      <w:r w:rsidRPr="00204DBD">
        <w:rPr>
          <w:rFonts w:eastAsia="Calibri"/>
          <w:lang w:eastAsia="en-US"/>
        </w:rPr>
        <w:t>within</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scope</w:t>
      </w:r>
      <w:proofErr w:type="spellEnd"/>
      <w:r w:rsidRPr="00204DBD">
        <w:rPr>
          <w:rFonts w:eastAsia="Calibri"/>
          <w:lang w:eastAsia="en-US"/>
        </w:rPr>
        <w:t xml:space="preserve"> of </w:t>
      </w:r>
      <w:proofErr w:type="spellStart"/>
      <w:r w:rsidRPr="00204DBD">
        <w:rPr>
          <w:rFonts w:eastAsia="Calibri"/>
          <w:lang w:eastAsia="en-US"/>
        </w:rPr>
        <w:t>different</w:t>
      </w:r>
      <w:proofErr w:type="spellEnd"/>
      <w:r w:rsidRPr="00204DBD">
        <w:rPr>
          <w:rFonts w:eastAsia="Calibri"/>
          <w:lang w:eastAsia="en-US"/>
        </w:rPr>
        <w:t xml:space="preserve"> </w:t>
      </w:r>
      <w:proofErr w:type="spellStart"/>
      <w:r w:rsidRPr="00204DBD">
        <w:rPr>
          <w:rFonts w:eastAsia="Calibri"/>
          <w:lang w:eastAsia="en-US"/>
        </w:rPr>
        <w:t>themes</w:t>
      </w:r>
      <w:proofErr w:type="spellEnd"/>
      <w:r w:rsidRPr="00204DBD">
        <w:rPr>
          <w:rFonts w:eastAsia="Calibri"/>
          <w:lang w:eastAsia="en-US"/>
        </w:rPr>
        <w:t xml:space="preserve">, </w:t>
      </w:r>
      <w:proofErr w:type="spellStart"/>
      <w:r w:rsidRPr="00204DBD">
        <w:rPr>
          <w:rFonts w:eastAsia="Calibri"/>
          <w:lang w:eastAsia="en-US"/>
        </w:rPr>
        <w:t>friend</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w:t>
      </w:r>
      <w:proofErr w:type="spellStart"/>
      <w:r w:rsidRPr="00204DBD">
        <w:rPr>
          <w:rFonts w:eastAsia="Calibri"/>
          <w:lang w:eastAsia="en-US"/>
        </w:rPr>
        <w:t>areas</w:t>
      </w:r>
      <w:proofErr w:type="spellEnd"/>
      <w:r w:rsidRPr="00204DBD">
        <w:rPr>
          <w:rFonts w:eastAsia="Calibri"/>
          <w:lang w:eastAsia="en-US"/>
        </w:rPr>
        <w:t xml:space="preserve"> of </w:t>
      </w:r>
      <w:proofErr w:type="spellStart"/>
      <w:r w:rsidRPr="00204DBD">
        <w:rPr>
          <w:rFonts w:eastAsia="Calibri"/>
          <w:lang w:eastAsia="en-US"/>
        </w:rPr>
        <w:t>interest</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example</w:t>
      </w:r>
      <w:proofErr w:type="spellEnd"/>
      <w:r w:rsidRPr="00204DBD">
        <w:rPr>
          <w:rFonts w:eastAsia="Calibri"/>
          <w:lang w:eastAsia="en-US"/>
        </w:rPr>
        <w:t xml:space="preserve">, Facebook </w:t>
      </w:r>
      <w:proofErr w:type="spellStart"/>
      <w:r w:rsidRPr="00204DBD">
        <w:rPr>
          <w:rFonts w:eastAsia="Calibri"/>
          <w:lang w:eastAsia="en-US"/>
        </w:rPr>
        <w:t>allows</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friends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family</w:t>
      </w:r>
      <w:proofErr w:type="spellEnd"/>
      <w:r w:rsidRPr="00204DBD">
        <w:rPr>
          <w:rFonts w:eastAsia="Calibri"/>
          <w:lang w:eastAsia="en-US"/>
        </w:rPr>
        <w:t xml:space="preserve"> </w:t>
      </w:r>
      <w:proofErr w:type="spellStart"/>
      <w:r w:rsidRPr="00204DBD">
        <w:rPr>
          <w:rFonts w:eastAsia="Calibri"/>
          <w:lang w:eastAsia="en-US"/>
        </w:rPr>
        <w:t>members</w:t>
      </w:r>
      <w:proofErr w:type="spellEnd"/>
      <w:r w:rsidRPr="00204DBD">
        <w:rPr>
          <w:rFonts w:eastAsia="Calibri"/>
          <w:lang w:eastAsia="en-US"/>
        </w:rPr>
        <w:t xml:space="preserve">, </w:t>
      </w:r>
      <w:proofErr w:type="spellStart"/>
      <w:r w:rsidRPr="00204DBD">
        <w:rPr>
          <w:rFonts w:eastAsia="Calibri"/>
          <w:lang w:eastAsia="en-US"/>
        </w:rPr>
        <w:t>join</w:t>
      </w:r>
      <w:proofErr w:type="spellEnd"/>
      <w:r w:rsidRPr="00204DBD">
        <w:rPr>
          <w:rFonts w:eastAsia="Calibri"/>
          <w:lang w:eastAsia="en-US"/>
        </w:rPr>
        <w:t xml:space="preserve"> </w:t>
      </w:r>
      <w:proofErr w:type="spellStart"/>
      <w:r w:rsidRPr="00204DBD">
        <w:rPr>
          <w:rFonts w:eastAsia="Calibri"/>
          <w:lang w:eastAsia="en-US"/>
        </w:rPr>
        <w:t>various</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participate</w:t>
      </w:r>
      <w:proofErr w:type="spellEnd"/>
      <w:r w:rsidRPr="00204DBD">
        <w:rPr>
          <w:rFonts w:eastAsia="Calibri"/>
          <w:lang w:eastAsia="en-US"/>
        </w:rPr>
        <w:t xml:space="preserve"> in </w:t>
      </w:r>
      <w:proofErr w:type="spellStart"/>
      <w:r w:rsidRPr="00204DBD">
        <w:rPr>
          <w:rFonts w:eastAsia="Calibri"/>
          <w:lang w:eastAsia="en-US"/>
        </w:rPr>
        <w:t>community</w:t>
      </w:r>
      <w:proofErr w:type="spellEnd"/>
      <w:r w:rsidRPr="00204DBD">
        <w:rPr>
          <w:rFonts w:eastAsia="Calibri"/>
          <w:lang w:eastAsia="en-US"/>
        </w:rPr>
        <w:t xml:space="preserve"> </w:t>
      </w:r>
      <w:proofErr w:type="spellStart"/>
      <w:r w:rsidRPr="00204DBD">
        <w:rPr>
          <w:rFonts w:eastAsia="Calibri"/>
          <w:lang w:eastAsia="en-US"/>
        </w:rPr>
        <w:t>events</w:t>
      </w:r>
      <w:proofErr w:type="spellEnd"/>
      <w:r w:rsidRPr="00204DBD">
        <w:rPr>
          <w:rFonts w:eastAsia="Calibri"/>
          <w:lang w:eastAsia="en-US"/>
        </w:rPr>
        <w:t xml:space="preserve">, </w:t>
      </w:r>
      <w:proofErr w:type="spellStart"/>
      <w:r w:rsidRPr="00204DBD">
        <w:rPr>
          <w:rFonts w:eastAsia="Calibri"/>
          <w:lang w:eastAsia="en-US"/>
        </w:rPr>
        <w:t>while</w:t>
      </w:r>
      <w:proofErr w:type="spellEnd"/>
      <w:r w:rsidRPr="00204DBD">
        <w:rPr>
          <w:rFonts w:eastAsia="Calibri"/>
          <w:lang w:eastAsia="en-US"/>
        </w:rPr>
        <w:t xml:space="preserve"> </w:t>
      </w:r>
      <w:proofErr w:type="spellStart"/>
      <w:r w:rsidRPr="00204DBD">
        <w:rPr>
          <w:rFonts w:eastAsia="Calibri"/>
          <w:lang w:eastAsia="en-US"/>
        </w:rPr>
        <w:t>Linkedin</w:t>
      </w:r>
      <w:proofErr w:type="spellEnd"/>
      <w:r w:rsidRPr="00204DBD">
        <w:rPr>
          <w:rFonts w:eastAsia="Calibri"/>
          <w:lang w:eastAsia="en-US"/>
        </w:rPr>
        <w:t xml:space="preserve">, </w:t>
      </w:r>
      <w:proofErr w:type="spellStart"/>
      <w:r w:rsidRPr="00204DBD">
        <w:rPr>
          <w:rFonts w:eastAsia="Calibri"/>
          <w:lang w:eastAsia="en-US"/>
        </w:rPr>
        <w:t>which</w:t>
      </w:r>
      <w:proofErr w:type="spellEnd"/>
      <w:r w:rsidRPr="00204DBD">
        <w:rPr>
          <w:rFonts w:eastAsia="Calibri"/>
          <w:lang w:eastAsia="en-US"/>
        </w:rPr>
        <w:t xml:space="preserve"> </w:t>
      </w:r>
      <w:proofErr w:type="spellStart"/>
      <w:r w:rsidRPr="00204DBD">
        <w:rPr>
          <w:rFonts w:eastAsia="Calibri"/>
          <w:lang w:eastAsia="en-US"/>
        </w:rPr>
        <w:t>provides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opportunity</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professional</w:t>
      </w:r>
      <w:proofErr w:type="spellEnd"/>
      <w:r w:rsidRPr="00204DBD">
        <w:rPr>
          <w:rFonts w:eastAsia="Calibri"/>
          <w:lang w:eastAsia="en-US"/>
        </w:rPr>
        <w:t xml:space="preserve"> </w:t>
      </w:r>
      <w:proofErr w:type="spellStart"/>
      <w:r w:rsidRPr="00204DBD">
        <w:rPr>
          <w:rFonts w:eastAsia="Calibri"/>
          <w:lang w:eastAsia="en-US"/>
        </w:rPr>
        <w:t>networking</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business</w:t>
      </w:r>
      <w:proofErr w:type="spellEnd"/>
      <w:r w:rsidRPr="00204DBD">
        <w:rPr>
          <w:rFonts w:eastAsia="Calibri"/>
          <w:lang w:eastAsia="en-US"/>
        </w:rPr>
        <w:t xml:space="preserve"> </w:t>
      </w:r>
      <w:proofErr w:type="spellStart"/>
      <w:r w:rsidRPr="00204DBD">
        <w:rPr>
          <w:rFonts w:eastAsia="Calibri"/>
          <w:lang w:eastAsia="en-US"/>
        </w:rPr>
        <w:t>discussions</w:t>
      </w:r>
      <w:proofErr w:type="spellEnd"/>
      <w:r w:rsidRPr="00204DBD">
        <w:rPr>
          <w:rFonts w:eastAsia="Calibri"/>
          <w:lang w:eastAsia="en-US"/>
        </w:rPr>
        <w:t xml:space="preserve">, </w:t>
      </w:r>
      <w:proofErr w:type="spellStart"/>
      <w:r w:rsidRPr="00204DBD">
        <w:rPr>
          <w:rFonts w:eastAsia="Calibri"/>
          <w:lang w:eastAsia="en-US"/>
        </w:rPr>
        <w:t>allows</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connect</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colleagues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within</w:t>
      </w:r>
      <w:proofErr w:type="spellEnd"/>
      <w:r w:rsidRPr="00204DBD">
        <w:rPr>
          <w:rFonts w:eastAsia="Calibri"/>
          <w:lang w:eastAsia="en-US"/>
        </w:rPr>
        <w:t xml:space="preserve"> </w:t>
      </w:r>
      <w:proofErr w:type="spellStart"/>
      <w:r w:rsidRPr="00204DBD">
        <w:rPr>
          <w:rFonts w:eastAsia="Calibri"/>
          <w:lang w:eastAsia="en-US"/>
        </w:rPr>
        <w:t>professional</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gramStart"/>
      <w:r w:rsidRPr="00204DBD">
        <w:rPr>
          <w:rFonts w:eastAsia="Calibri"/>
          <w:lang w:eastAsia="en-US"/>
        </w:rPr>
        <w:t>( Miller</w:t>
      </w:r>
      <w:proofErr w:type="gramEnd"/>
      <w:r w:rsidRPr="00204DBD">
        <w:rPr>
          <w:rFonts w:eastAsia="Calibri"/>
          <w:lang w:eastAsia="en-US"/>
        </w:rPr>
        <w:t xml:space="preserve">, 2011). Fan </w:t>
      </w:r>
      <w:proofErr w:type="spellStart"/>
      <w:r w:rsidRPr="00204DBD">
        <w:rPr>
          <w:rFonts w:eastAsia="Calibri"/>
          <w:lang w:eastAsia="en-US"/>
        </w:rPr>
        <w:t>bases</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fan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which</w:t>
      </w:r>
      <w:proofErr w:type="spellEnd"/>
      <w:r w:rsidRPr="00204DBD">
        <w:rPr>
          <w:rFonts w:eastAsia="Calibri"/>
          <w:lang w:eastAsia="en-US"/>
        </w:rPr>
        <w:t xml:space="preserve"> </w:t>
      </w:r>
      <w:proofErr w:type="spellStart"/>
      <w:r w:rsidRPr="00204DBD">
        <w:rPr>
          <w:rFonts w:eastAsia="Calibri"/>
          <w:lang w:eastAsia="en-US"/>
        </w:rPr>
        <w:t>stand</w:t>
      </w:r>
      <w:proofErr w:type="spellEnd"/>
      <w:r w:rsidRPr="00204DBD">
        <w:rPr>
          <w:rFonts w:eastAsia="Calibri"/>
          <w:lang w:eastAsia="en-US"/>
        </w:rPr>
        <w:t xml:space="preserve"> </w:t>
      </w:r>
      <w:proofErr w:type="spellStart"/>
      <w:r w:rsidRPr="00204DBD">
        <w:rPr>
          <w:rFonts w:eastAsia="Calibri"/>
          <w:lang w:eastAsia="en-US"/>
        </w:rPr>
        <w:t>out</w:t>
      </w:r>
      <w:proofErr w:type="spellEnd"/>
      <w:r w:rsidRPr="00204DBD">
        <w:rPr>
          <w:rFonts w:eastAsia="Calibri"/>
          <w:lang w:eastAsia="en-US"/>
        </w:rPr>
        <w:t xml:space="preserve"> as an </w:t>
      </w:r>
      <w:proofErr w:type="spellStart"/>
      <w:r w:rsidRPr="00204DBD">
        <w:rPr>
          <w:rFonts w:eastAsia="Calibri"/>
          <w:lang w:eastAsia="en-US"/>
        </w:rPr>
        <w:t>important</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structure</w:t>
      </w:r>
      <w:proofErr w:type="spellEnd"/>
      <w:r w:rsidRPr="00204DBD">
        <w:rPr>
          <w:rFonts w:eastAsia="Calibri"/>
          <w:lang w:eastAsia="en-US"/>
        </w:rPr>
        <w:t xml:space="preserve"> </w:t>
      </w:r>
      <w:proofErr w:type="spellStart"/>
      <w:r w:rsidRPr="00204DBD">
        <w:rPr>
          <w:rFonts w:eastAsia="Calibri"/>
          <w:lang w:eastAsia="en-US"/>
        </w:rPr>
        <w:t>among</w:t>
      </w:r>
      <w:proofErr w:type="spellEnd"/>
      <w:r w:rsidRPr="00204DBD">
        <w:rPr>
          <w:rFonts w:eastAsia="Calibri"/>
          <w:lang w:eastAsia="en-US"/>
        </w:rPr>
        <w:t xml:space="preserve">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who</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interested</w:t>
      </w:r>
      <w:proofErr w:type="spellEnd"/>
      <w:r w:rsidRPr="00204DBD">
        <w:rPr>
          <w:rFonts w:eastAsia="Calibri"/>
          <w:lang w:eastAsia="en-US"/>
        </w:rPr>
        <w:t xml:space="preserve"> in a </w:t>
      </w:r>
      <w:proofErr w:type="spellStart"/>
      <w:r w:rsidRPr="00204DBD">
        <w:rPr>
          <w:rFonts w:eastAsia="Calibri"/>
          <w:lang w:eastAsia="en-US"/>
        </w:rPr>
        <w:t>particular</w:t>
      </w:r>
      <w:proofErr w:type="spellEnd"/>
      <w:r w:rsidRPr="00204DBD">
        <w:rPr>
          <w:rFonts w:eastAsia="Calibri"/>
          <w:lang w:eastAsia="en-US"/>
        </w:rPr>
        <w:t xml:space="preserve"> </w:t>
      </w:r>
      <w:proofErr w:type="spellStart"/>
      <w:r w:rsidRPr="00204DBD">
        <w:rPr>
          <w:rFonts w:eastAsia="Calibri"/>
          <w:lang w:eastAsia="en-US"/>
        </w:rPr>
        <w:t>celebrity</w:t>
      </w:r>
      <w:proofErr w:type="spellEnd"/>
      <w:r w:rsidRPr="00204DBD">
        <w:rPr>
          <w:rFonts w:eastAsia="Calibri"/>
          <w:lang w:eastAsia="en-US"/>
        </w:rPr>
        <w:t xml:space="preserve">, artist, </w:t>
      </w:r>
      <w:proofErr w:type="spellStart"/>
      <w:r w:rsidRPr="00204DBD">
        <w:rPr>
          <w:rFonts w:eastAsia="Calibri"/>
          <w:lang w:eastAsia="en-US"/>
        </w:rPr>
        <w:t>brand</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w:t>
      </w:r>
      <w:proofErr w:type="spellStart"/>
      <w:r w:rsidRPr="00204DBD">
        <w:rPr>
          <w:rFonts w:eastAsia="Calibri"/>
          <w:lang w:eastAsia="en-US"/>
        </w:rPr>
        <w:t>phenomenon</w:t>
      </w:r>
      <w:proofErr w:type="spellEnd"/>
      <w:r w:rsidRPr="00204DBD">
        <w:rPr>
          <w:rFonts w:eastAsia="Calibri"/>
          <w:lang w:eastAsia="en-US"/>
        </w:rPr>
        <w:t xml:space="preserve">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Fan </w:t>
      </w:r>
      <w:proofErr w:type="spellStart"/>
      <w:r w:rsidRPr="00204DBD">
        <w:rPr>
          <w:rFonts w:eastAsia="Calibri"/>
          <w:lang w:eastAsia="en-US"/>
        </w:rPr>
        <w:t>bases</w:t>
      </w:r>
      <w:proofErr w:type="spellEnd"/>
      <w:r w:rsidRPr="00204DBD">
        <w:rPr>
          <w:rFonts w:eastAsia="Calibri"/>
          <w:lang w:eastAsia="en-US"/>
        </w:rPr>
        <w:t xml:space="preserve"> not </w:t>
      </w:r>
      <w:proofErr w:type="spellStart"/>
      <w:r w:rsidRPr="00204DBD">
        <w:rPr>
          <w:rFonts w:eastAsia="Calibri"/>
          <w:lang w:eastAsia="en-US"/>
        </w:rPr>
        <w:t>only</w:t>
      </w:r>
      <w:proofErr w:type="spellEnd"/>
      <w:r w:rsidRPr="00204DBD">
        <w:rPr>
          <w:rFonts w:eastAsia="Calibri"/>
          <w:lang w:eastAsia="en-US"/>
        </w:rPr>
        <w:t xml:space="preserve"> </w:t>
      </w:r>
      <w:proofErr w:type="spellStart"/>
      <w:r w:rsidRPr="00204DBD">
        <w:rPr>
          <w:rFonts w:eastAsia="Calibri"/>
          <w:lang w:eastAsia="en-US"/>
        </w:rPr>
        <w:t>provide</w:t>
      </w:r>
      <w:proofErr w:type="spellEnd"/>
      <w:r w:rsidRPr="00204DBD">
        <w:rPr>
          <w:rFonts w:eastAsia="Calibri"/>
          <w:lang w:eastAsia="en-US"/>
        </w:rPr>
        <w:t xml:space="preserve"> </w:t>
      </w:r>
      <w:proofErr w:type="spellStart"/>
      <w:r w:rsidRPr="00204DBD">
        <w:rPr>
          <w:rFonts w:eastAsia="Calibri"/>
          <w:lang w:eastAsia="en-US"/>
        </w:rPr>
        <w:t>support</w:t>
      </w:r>
      <w:proofErr w:type="spellEnd"/>
      <w:r w:rsidRPr="00204DBD">
        <w:rPr>
          <w:rFonts w:eastAsia="Calibri"/>
          <w:lang w:eastAsia="en-US"/>
        </w:rPr>
        <w:t xml:space="preserve">, but </w:t>
      </w:r>
      <w:proofErr w:type="spellStart"/>
      <w:r w:rsidRPr="00204DBD">
        <w:rPr>
          <w:rFonts w:eastAsia="Calibri"/>
          <w:lang w:eastAsia="en-US"/>
        </w:rPr>
        <w:t>also</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contribute</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processes</w:t>
      </w:r>
      <w:proofErr w:type="spellEnd"/>
      <w:r w:rsidRPr="00204DBD">
        <w:rPr>
          <w:rFonts w:eastAsia="Calibri"/>
          <w:lang w:eastAsia="en-US"/>
        </w:rPr>
        <w:t xml:space="preserve"> of </w:t>
      </w:r>
      <w:proofErr w:type="spellStart"/>
      <w:r w:rsidRPr="00204DBD">
        <w:rPr>
          <w:rFonts w:eastAsia="Calibri"/>
          <w:lang w:eastAsia="en-US"/>
        </w:rPr>
        <w:t>cultural</w:t>
      </w:r>
      <w:proofErr w:type="spellEnd"/>
      <w:r w:rsidRPr="00204DBD">
        <w:rPr>
          <w:rFonts w:eastAsia="Calibri"/>
          <w:lang w:eastAsia="en-US"/>
        </w:rPr>
        <w:t xml:space="preserve"> </w:t>
      </w:r>
      <w:proofErr w:type="spellStart"/>
      <w:r w:rsidRPr="00204DBD">
        <w:rPr>
          <w:rFonts w:eastAsia="Calibri"/>
          <w:lang w:eastAsia="en-US"/>
        </w:rPr>
        <w:t>production</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fan </w:t>
      </w:r>
      <w:proofErr w:type="spellStart"/>
      <w:r w:rsidRPr="00204DBD">
        <w:rPr>
          <w:rFonts w:eastAsia="Calibri"/>
          <w:lang w:eastAsia="en-US"/>
        </w:rPr>
        <w:t>bases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highly</w:t>
      </w:r>
      <w:proofErr w:type="spellEnd"/>
      <w:r w:rsidRPr="00204DBD">
        <w:rPr>
          <w:rFonts w:eastAsia="Calibri"/>
          <w:lang w:eastAsia="en-US"/>
        </w:rPr>
        <w:t xml:space="preserve"> </w:t>
      </w:r>
      <w:proofErr w:type="spellStart"/>
      <w:r w:rsidRPr="00204DBD">
        <w:rPr>
          <w:rFonts w:eastAsia="Calibri"/>
          <w:lang w:eastAsia="en-US"/>
        </w:rPr>
        <w:t>engaged</w:t>
      </w:r>
      <w:proofErr w:type="spellEnd"/>
      <w:r w:rsidRPr="00204DBD">
        <w:rPr>
          <w:rFonts w:eastAsia="Calibri"/>
          <w:lang w:eastAsia="en-US"/>
        </w:rPr>
        <w:t xml:space="preserve"> </w:t>
      </w:r>
      <w:proofErr w:type="spellStart"/>
      <w:r w:rsidRPr="00204DBD">
        <w:rPr>
          <w:rFonts w:eastAsia="Calibri"/>
          <w:lang w:eastAsia="en-US"/>
        </w:rPr>
        <w:t>within</w:t>
      </w:r>
      <w:proofErr w:type="spellEnd"/>
      <w:r w:rsidRPr="00204DBD">
        <w:rPr>
          <w:rFonts w:eastAsia="Calibri"/>
          <w:lang w:eastAsia="en-US"/>
        </w:rPr>
        <w:t xml:space="preserve">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members</w:t>
      </w:r>
      <w:proofErr w:type="spellEnd"/>
      <w:r w:rsidRPr="00204DBD">
        <w:rPr>
          <w:rFonts w:eastAsia="Calibri"/>
          <w:lang w:eastAsia="en-US"/>
        </w:rPr>
        <w:t xml:space="preserve"> </w:t>
      </w:r>
      <w:proofErr w:type="spellStart"/>
      <w:r w:rsidRPr="00204DBD">
        <w:rPr>
          <w:rFonts w:eastAsia="Calibri"/>
          <w:lang w:eastAsia="en-US"/>
        </w:rPr>
        <w:t>actively</w:t>
      </w:r>
      <w:proofErr w:type="spellEnd"/>
      <w:r w:rsidRPr="00204DBD">
        <w:rPr>
          <w:rFonts w:eastAsia="Calibri"/>
          <w:lang w:eastAsia="en-US"/>
        </w:rPr>
        <w:t xml:space="preserve"> </w:t>
      </w:r>
      <w:proofErr w:type="spellStart"/>
      <w:r w:rsidRPr="00204DBD">
        <w:rPr>
          <w:rFonts w:eastAsia="Calibri"/>
          <w:lang w:eastAsia="en-US"/>
        </w:rPr>
        <w:t>participate</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posts</w:t>
      </w:r>
      <w:proofErr w:type="spellEnd"/>
      <w:r w:rsidRPr="00204DBD">
        <w:rPr>
          <w:rFonts w:eastAsia="Calibri"/>
          <w:lang w:eastAsia="en-US"/>
        </w:rPr>
        <w:t xml:space="preserve">, </w:t>
      </w:r>
      <w:proofErr w:type="spellStart"/>
      <w:r w:rsidRPr="00204DBD">
        <w:rPr>
          <w:rFonts w:eastAsia="Calibri"/>
          <w:lang w:eastAsia="en-US"/>
        </w:rPr>
        <w:t>comments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fan </w:t>
      </w:r>
      <w:proofErr w:type="spellStart"/>
      <w:r w:rsidRPr="00204DBD">
        <w:rPr>
          <w:rFonts w:eastAsia="Calibri"/>
          <w:lang w:eastAsia="en-US"/>
        </w:rPr>
        <w:t>pages</w:t>
      </w:r>
      <w:proofErr w:type="spellEnd"/>
      <w:r w:rsidRPr="00204DBD">
        <w:rPr>
          <w:rFonts w:eastAsia="Calibri"/>
          <w:lang w:eastAsia="en-US"/>
        </w:rPr>
        <w:t xml:space="preserve"> (Jenkins, 2006). Gaming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form </w:t>
      </w:r>
      <w:proofErr w:type="spellStart"/>
      <w:r w:rsidRPr="00204DBD">
        <w:rPr>
          <w:rFonts w:eastAsia="Calibri"/>
          <w:lang w:eastAsia="en-US"/>
        </w:rPr>
        <w:t>around</w:t>
      </w:r>
      <w:proofErr w:type="spellEnd"/>
      <w:r w:rsidRPr="00204DBD">
        <w:rPr>
          <w:rFonts w:eastAsia="Calibri"/>
          <w:lang w:eastAsia="en-US"/>
        </w:rPr>
        <w:t xml:space="preserve">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games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players</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a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interest</w:t>
      </w:r>
      <w:proofErr w:type="spellEnd"/>
      <w:r w:rsidRPr="00204DBD">
        <w:rPr>
          <w:rFonts w:eastAsia="Calibri"/>
          <w:lang w:eastAsia="en-US"/>
        </w:rPr>
        <w:t xml:space="preserve">. Gaming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offer</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members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opportunity</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share</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develop</w:t>
      </w:r>
      <w:proofErr w:type="spellEnd"/>
      <w:r w:rsidRPr="00204DBD">
        <w:rPr>
          <w:rFonts w:eastAsia="Calibri"/>
          <w:lang w:eastAsia="en-US"/>
        </w:rPr>
        <w:t xml:space="preserve"> </w:t>
      </w:r>
      <w:proofErr w:type="spellStart"/>
      <w:r w:rsidRPr="00204DBD">
        <w:rPr>
          <w:rFonts w:eastAsia="Calibri"/>
          <w:lang w:eastAsia="en-US"/>
        </w:rPr>
        <w:t>cultural</w:t>
      </w:r>
      <w:proofErr w:type="spellEnd"/>
      <w:r w:rsidRPr="00204DBD">
        <w:rPr>
          <w:rFonts w:eastAsia="Calibri"/>
          <w:lang w:eastAsia="en-US"/>
        </w:rPr>
        <w:t xml:space="preserve"> </w:t>
      </w:r>
      <w:proofErr w:type="spellStart"/>
      <w:r w:rsidRPr="00204DBD">
        <w:rPr>
          <w:rFonts w:eastAsia="Calibri"/>
          <w:lang w:eastAsia="en-US"/>
        </w:rPr>
        <w:t>norms</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establishing</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connections</w:t>
      </w:r>
      <w:proofErr w:type="spellEnd"/>
      <w:r w:rsidRPr="00204DBD">
        <w:rPr>
          <w:rFonts w:eastAsia="Calibri"/>
          <w:lang w:eastAsia="en-US"/>
        </w:rPr>
        <w:t xml:space="preserve">, in </w:t>
      </w:r>
      <w:proofErr w:type="spellStart"/>
      <w:r w:rsidRPr="00204DBD">
        <w:rPr>
          <w:rFonts w:eastAsia="Calibri"/>
          <w:lang w:eastAsia="en-US"/>
        </w:rPr>
        <w:t>addition</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playing</w:t>
      </w:r>
      <w:proofErr w:type="spellEnd"/>
      <w:r w:rsidRPr="00204DBD">
        <w:rPr>
          <w:rFonts w:eastAsia="Calibri"/>
          <w:lang w:eastAsia="en-US"/>
        </w:rPr>
        <w:t xml:space="preserve"> </w:t>
      </w:r>
      <w:proofErr w:type="spellStart"/>
      <w:r w:rsidRPr="00204DBD">
        <w:rPr>
          <w:rFonts w:eastAsia="Calibri"/>
          <w:lang w:eastAsia="en-US"/>
        </w:rPr>
        <w:t>games</w:t>
      </w:r>
      <w:proofErr w:type="spellEnd"/>
      <w:r w:rsidRPr="00204DBD">
        <w:rPr>
          <w:rFonts w:eastAsia="Calibri"/>
          <w:lang w:eastAsia="en-US"/>
        </w:rPr>
        <w:t xml:space="preserve">.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often</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in-</w:t>
      </w:r>
      <w:proofErr w:type="spellStart"/>
      <w:r w:rsidRPr="00204DBD">
        <w:rPr>
          <w:rFonts w:eastAsia="Calibri"/>
          <w:lang w:eastAsia="en-US"/>
        </w:rPr>
        <w:t>game</w:t>
      </w:r>
      <w:proofErr w:type="spellEnd"/>
      <w:r w:rsidRPr="00204DBD">
        <w:rPr>
          <w:rFonts w:eastAsia="Calibri"/>
          <w:lang w:eastAsia="en-US"/>
        </w:rPr>
        <w:t xml:space="preserve"> </w:t>
      </w:r>
      <w:proofErr w:type="spellStart"/>
      <w:r w:rsidRPr="00204DBD">
        <w:rPr>
          <w:rFonts w:eastAsia="Calibri"/>
          <w:lang w:eastAsia="en-US"/>
        </w:rPr>
        <w:t>chats</w:t>
      </w:r>
      <w:proofErr w:type="spellEnd"/>
      <w:r w:rsidRPr="00204DBD">
        <w:rPr>
          <w:rFonts w:eastAsia="Calibri"/>
          <w:lang w:eastAsia="en-US"/>
        </w:rPr>
        <w:t xml:space="preserve">, </w:t>
      </w:r>
      <w:proofErr w:type="spellStart"/>
      <w:r w:rsidRPr="00204DBD">
        <w:rPr>
          <w:rFonts w:eastAsia="Calibri"/>
          <w:lang w:eastAsia="en-US"/>
        </w:rPr>
        <w:t>forums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sharing</w:t>
      </w:r>
      <w:proofErr w:type="spellEnd"/>
      <w:r w:rsidRPr="00204DBD">
        <w:rPr>
          <w:rFonts w:eastAsia="Calibri"/>
          <w:lang w:eastAsia="en-US"/>
        </w:rPr>
        <w:t xml:space="preserve"> </w:t>
      </w:r>
      <w:proofErr w:type="spellStart"/>
      <w:r w:rsidRPr="00204DBD">
        <w:rPr>
          <w:rFonts w:eastAsia="Calibri"/>
          <w:lang w:eastAsia="en-US"/>
        </w:rPr>
        <w:t>gaming</w:t>
      </w:r>
      <w:proofErr w:type="spellEnd"/>
      <w:r w:rsidRPr="00204DBD">
        <w:rPr>
          <w:rFonts w:eastAsia="Calibri"/>
          <w:lang w:eastAsia="en-US"/>
        </w:rPr>
        <w:t xml:space="preserve"> </w:t>
      </w:r>
      <w:proofErr w:type="spellStart"/>
      <w:r w:rsidRPr="00204DBD">
        <w:rPr>
          <w:rFonts w:eastAsia="Calibri"/>
          <w:lang w:eastAsia="en-US"/>
        </w:rPr>
        <w:t>experiences</w:t>
      </w:r>
      <w:proofErr w:type="spellEnd"/>
      <w:r w:rsidRPr="00204DBD">
        <w:rPr>
          <w:rFonts w:eastAsia="Calibri"/>
          <w:lang w:eastAsia="en-US"/>
        </w:rPr>
        <w:t xml:space="preserve">, </w:t>
      </w:r>
      <w:proofErr w:type="spellStart"/>
      <w:r w:rsidRPr="00204DBD">
        <w:rPr>
          <w:rFonts w:eastAsia="Calibri"/>
          <w:lang w:eastAsia="en-US"/>
        </w:rPr>
        <w:t>discussing</w:t>
      </w:r>
      <w:proofErr w:type="spellEnd"/>
      <w:r w:rsidRPr="00204DBD">
        <w:rPr>
          <w:rFonts w:eastAsia="Calibri"/>
          <w:lang w:eastAsia="en-US"/>
        </w:rPr>
        <w:t xml:space="preserve"> </w:t>
      </w:r>
      <w:proofErr w:type="spellStart"/>
      <w:r w:rsidRPr="00204DBD">
        <w:rPr>
          <w:rFonts w:eastAsia="Calibri"/>
          <w:lang w:eastAsia="en-US"/>
        </w:rPr>
        <w:t>strategies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following</w:t>
      </w:r>
      <w:proofErr w:type="spellEnd"/>
      <w:r w:rsidRPr="00204DBD">
        <w:rPr>
          <w:rFonts w:eastAsia="Calibri"/>
          <w:lang w:eastAsia="en-US"/>
        </w:rPr>
        <w:t xml:space="preserve"> </w:t>
      </w:r>
      <w:proofErr w:type="spellStart"/>
      <w:r w:rsidRPr="00204DBD">
        <w:rPr>
          <w:rFonts w:eastAsia="Calibri"/>
          <w:lang w:eastAsia="en-US"/>
        </w:rPr>
        <w:t>gaming-related</w:t>
      </w:r>
      <w:proofErr w:type="spellEnd"/>
      <w:r w:rsidRPr="00204DBD">
        <w:rPr>
          <w:rFonts w:eastAsia="Calibri"/>
          <w:lang w:eastAsia="en-US"/>
        </w:rPr>
        <w:t xml:space="preserve"> </w:t>
      </w:r>
      <w:proofErr w:type="spellStart"/>
      <w:r w:rsidRPr="00204DBD">
        <w:rPr>
          <w:rFonts w:eastAsia="Calibri"/>
          <w:lang w:eastAsia="en-US"/>
        </w:rPr>
        <w:t>news</w:t>
      </w:r>
      <w:proofErr w:type="spellEnd"/>
      <w:r w:rsidRPr="00204DBD">
        <w:rPr>
          <w:rFonts w:eastAsia="Calibri"/>
          <w:lang w:eastAsia="en-US"/>
        </w:rPr>
        <w:t xml:space="preserve"> (</w:t>
      </w:r>
      <w:proofErr w:type="spellStart"/>
      <w:r w:rsidRPr="00204DBD">
        <w:rPr>
          <w:rFonts w:eastAsia="Calibri"/>
          <w:lang w:eastAsia="en-US"/>
        </w:rPr>
        <w:t>Vasalou</w:t>
      </w:r>
      <w:proofErr w:type="spellEnd"/>
      <w:r w:rsidRPr="00204DBD">
        <w:rPr>
          <w:rFonts w:eastAsia="Calibri"/>
          <w:lang w:eastAsia="en-US"/>
        </w:rPr>
        <w:t xml:space="preserve"> et al., 2008; </w:t>
      </w:r>
      <w:proofErr w:type="spellStart"/>
      <w:r w:rsidRPr="00204DBD">
        <w:rPr>
          <w:rFonts w:eastAsia="Calibri"/>
          <w:lang w:eastAsia="en-US"/>
        </w:rPr>
        <w:t>Klimmt</w:t>
      </w:r>
      <w:proofErr w:type="spellEnd"/>
      <w:r w:rsidRPr="00204DBD">
        <w:rPr>
          <w:rFonts w:eastAsia="Calibri"/>
          <w:lang w:eastAsia="en-US"/>
        </w:rPr>
        <w:t xml:space="preserve"> et al., 2009).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activism</w:t>
      </w:r>
      <w:proofErr w:type="spellEnd"/>
      <w:r w:rsidRPr="00204DBD">
        <w:rPr>
          <w:rFonts w:eastAsia="Calibri"/>
          <w:lang w:eastAsia="en-US"/>
        </w:rPr>
        <w:t xml:space="preserve"> is </w:t>
      </w:r>
      <w:proofErr w:type="spellStart"/>
      <w:r w:rsidRPr="00204DBD">
        <w:rPr>
          <w:rFonts w:eastAsia="Calibri"/>
          <w:lang w:eastAsia="en-US"/>
        </w:rPr>
        <w:t>powered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developing</w:t>
      </w:r>
      <w:proofErr w:type="spellEnd"/>
      <w:r w:rsidRPr="00204DBD">
        <w:rPr>
          <w:rFonts w:eastAsia="Calibri"/>
          <w:lang w:eastAsia="en-US"/>
        </w:rPr>
        <w:t xml:space="preserve"> </w:t>
      </w:r>
      <w:proofErr w:type="spellStart"/>
      <w:r w:rsidRPr="00204DBD">
        <w:rPr>
          <w:rFonts w:eastAsia="Calibri"/>
          <w:lang w:eastAsia="en-US"/>
        </w:rPr>
        <w:t>communication</w:t>
      </w:r>
      <w:proofErr w:type="spellEnd"/>
      <w:r w:rsidRPr="00204DBD">
        <w:rPr>
          <w:rFonts w:eastAsia="Calibri"/>
          <w:lang w:eastAsia="en-US"/>
        </w:rPr>
        <w:t xml:space="preserve"> </w:t>
      </w:r>
      <w:proofErr w:type="spellStart"/>
      <w:r w:rsidRPr="00204DBD">
        <w:rPr>
          <w:rFonts w:eastAsia="Calibri"/>
          <w:lang w:eastAsia="en-US"/>
        </w:rPr>
        <w:t>technologies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parallel</w:t>
      </w:r>
      <w:proofErr w:type="spellEnd"/>
      <w:r w:rsidRPr="00204DBD">
        <w:rPr>
          <w:rFonts w:eastAsia="Calibri"/>
          <w:lang w:eastAsia="en-US"/>
        </w:rPr>
        <w:t xml:space="preserve"> internet </w:t>
      </w:r>
      <w:proofErr w:type="spellStart"/>
      <w:r w:rsidRPr="00204DBD">
        <w:rPr>
          <w:rFonts w:eastAsia="Calibri"/>
          <w:lang w:eastAsia="en-US"/>
        </w:rPr>
        <w:t>phenomenon</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thus</w:t>
      </w:r>
      <w:proofErr w:type="spellEnd"/>
      <w:r w:rsidRPr="00204DBD">
        <w:rPr>
          <w:rFonts w:eastAsia="Calibri"/>
          <w:lang w:eastAsia="en-US"/>
        </w:rPr>
        <w:t xml:space="preserve"> can </w:t>
      </w:r>
      <w:proofErr w:type="spellStart"/>
      <w:r w:rsidRPr="00204DBD">
        <w:rPr>
          <w:rFonts w:eastAsia="Calibri"/>
          <w:lang w:eastAsia="en-US"/>
        </w:rPr>
        <w:t>reach</w:t>
      </w:r>
      <w:proofErr w:type="spellEnd"/>
      <w:r w:rsidRPr="00204DBD">
        <w:rPr>
          <w:rFonts w:eastAsia="Calibri"/>
          <w:lang w:eastAsia="en-US"/>
        </w:rPr>
        <w:t xml:space="preserve"> </w:t>
      </w:r>
      <w:proofErr w:type="spellStart"/>
      <w:r w:rsidRPr="00204DBD">
        <w:rPr>
          <w:rFonts w:eastAsia="Calibri"/>
          <w:lang w:eastAsia="en-US"/>
        </w:rPr>
        <w:t>large</w:t>
      </w:r>
      <w:proofErr w:type="spellEnd"/>
      <w:r w:rsidRPr="00204DBD">
        <w:rPr>
          <w:rFonts w:eastAsia="Calibri"/>
          <w:lang w:eastAsia="en-US"/>
        </w:rPr>
        <w:t xml:space="preserve"> </w:t>
      </w:r>
      <w:proofErr w:type="spellStart"/>
      <w:r w:rsidRPr="00204DBD">
        <w:rPr>
          <w:rFonts w:eastAsia="Calibri"/>
          <w:lang w:eastAsia="en-US"/>
        </w:rPr>
        <w:t>audiences</w:t>
      </w:r>
      <w:proofErr w:type="spellEnd"/>
      <w:r w:rsidRPr="00204DBD">
        <w:rPr>
          <w:rFonts w:eastAsia="Calibri"/>
          <w:lang w:eastAsia="en-US"/>
        </w:rPr>
        <w:t xml:space="preserve"> </w:t>
      </w:r>
      <w:proofErr w:type="spellStart"/>
      <w:r w:rsidRPr="00204DBD">
        <w:rPr>
          <w:rFonts w:eastAsia="Calibri"/>
          <w:lang w:eastAsia="en-US"/>
        </w:rPr>
        <w:t>quickly</w:t>
      </w:r>
      <w:proofErr w:type="spellEnd"/>
      <w:r w:rsidRPr="00204DBD">
        <w:rPr>
          <w:rFonts w:eastAsia="Calibri"/>
          <w:lang w:eastAsia="en-US"/>
        </w:rPr>
        <w:t xml:space="preserve">, </w:t>
      </w:r>
      <w:proofErr w:type="spellStart"/>
      <w:r w:rsidRPr="00204DBD">
        <w:rPr>
          <w:rFonts w:eastAsia="Calibri"/>
          <w:lang w:eastAsia="en-US"/>
        </w:rPr>
        <w:t>easily</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interactively</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shares</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actions</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masses</w:t>
      </w:r>
      <w:proofErr w:type="spellEnd"/>
      <w:r w:rsidRPr="00204DBD">
        <w:rPr>
          <w:rFonts w:eastAsia="Calibri"/>
          <w:lang w:eastAsia="en-US"/>
        </w:rPr>
        <w:t xml:space="preserve"> on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Activist</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also</w:t>
      </w:r>
      <w:proofErr w:type="spellEnd"/>
      <w:r w:rsidRPr="00204DBD">
        <w:rPr>
          <w:rFonts w:eastAsia="Calibri"/>
          <w:lang w:eastAsia="en-US"/>
        </w:rPr>
        <w:t xml:space="preserve"> </w:t>
      </w:r>
      <w:proofErr w:type="spellStart"/>
      <w:r w:rsidRPr="00204DBD">
        <w:rPr>
          <w:rFonts w:eastAsia="Calibri"/>
          <w:lang w:eastAsia="en-US"/>
        </w:rPr>
        <w:t>use</w:t>
      </w:r>
      <w:proofErr w:type="spellEnd"/>
      <w:r w:rsidRPr="00204DBD">
        <w:rPr>
          <w:rFonts w:eastAsia="Calibri"/>
          <w:lang w:eastAsia="en-US"/>
        </w:rPr>
        <w:t xml:space="preserve">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achieve</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goals</w:t>
      </w:r>
      <w:proofErr w:type="spellEnd"/>
      <w:r w:rsidRPr="00204DBD">
        <w:rPr>
          <w:rFonts w:eastAsia="Calibri"/>
          <w:lang w:eastAsia="en-US"/>
        </w:rPr>
        <w:t xml:space="preserve"> of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change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activist</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organized</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goals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in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virtual</w:t>
      </w:r>
      <w:proofErr w:type="spellEnd"/>
      <w:r w:rsidRPr="00204DBD">
        <w:rPr>
          <w:rFonts w:eastAsia="Calibri"/>
          <w:lang w:eastAsia="en-US"/>
        </w:rPr>
        <w:t xml:space="preserve"> </w:t>
      </w:r>
      <w:proofErr w:type="spellStart"/>
      <w:r w:rsidRPr="00204DBD">
        <w:rPr>
          <w:rFonts w:eastAsia="Calibri"/>
          <w:lang w:eastAsia="en-US"/>
        </w:rPr>
        <w:t>environment</w:t>
      </w:r>
      <w:proofErr w:type="spellEnd"/>
      <w:r w:rsidRPr="00204DBD">
        <w:rPr>
          <w:rFonts w:eastAsia="Calibri"/>
          <w:lang w:eastAsia="en-US"/>
        </w:rPr>
        <w:t xml:space="preserve"> (</w:t>
      </w:r>
      <w:proofErr w:type="spellStart"/>
      <w:r w:rsidRPr="00204DBD">
        <w:rPr>
          <w:rFonts w:eastAsia="Calibri"/>
          <w:lang w:eastAsia="en-US"/>
        </w:rPr>
        <w:t>Castells</w:t>
      </w:r>
      <w:proofErr w:type="spellEnd"/>
      <w:r w:rsidRPr="00204DBD">
        <w:rPr>
          <w:rFonts w:eastAsia="Calibri"/>
          <w:lang w:eastAsia="en-US"/>
        </w:rPr>
        <w:t xml:space="preserve">, 2012). </w:t>
      </w:r>
      <w:proofErr w:type="spellStart"/>
      <w:r w:rsidRPr="00204DBD">
        <w:rPr>
          <w:rFonts w:eastAsia="Calibri"/>
          <w:lang w:eastAsia="en-US"/>
        </w:rPr>
        <w:t>Niche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micro</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generally</w:t>
      </w:r>
      <w:proofErr w:type="spellEnd"/>
      <w:r w:rsidRPr="00204DBD">
        <w:rPr>
          <w:rFonts w:eastAsia="Calibri"/>
          <w:lang w:eastAsia="en-US"/>
        </w:rPr>
        <w:t xml:space="preserve"> </w:t>
      </w:r>
      <w:proofErr w:type="spellStart"/>
      <w:r w:rsidRPr="00204DBD">
        <w:rPr>
          <w:rFonts w:eastAsia="Calibri"/>
          <w:lang w:eastAsia="en-US"/>
        </w:rPr>
        <w:t>separated</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larger</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general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sharing</w:t>
      </w:r>
      <w:proofErr w:type="spellEnd"/>
      <w:r w:rsidRPr="00204DBD">
        <w:rPr>
          <w:rFonts w:eastAsia="Calibri"/>
          <w:lang w:eastAsia="en-US"/>
        </w:rPr>
        <w:t xml:space="preserve"> in-</w:t>
      </w:r>
      <w:proofErr w:type="spellStart"/>
      <w:r w:rsidRPr="00204DBD">
        <w:rPr>
          <w:rFonts w:eastAsia="Calibri"/>
          <w:lang w:eastAsia="en-US"/>
        </w:rPr>
        <w:t>depth</w:t>
      </w:r>
      <w:proofErr w:type="spellEnd"/>
      <w:r w:rsidRPr="00204DBD">
        <w:rPr>
          <w:rFonts w:eastAsia="Calibri"/>
          <w:lang w:eastAsia="en-US"/>
        </w:rPr>
        <w:t xml:space="preserve"> </w:t>
      </w:r>
      <w:proofErr w:type="spellStart"/>
      <w:r w:rsidRPr="00204DBD">
        <w:rPr>
          <w:rFonts w:eastAsia="Calibri"/>
          <w:lang w:eastAsia="en-US"/>
        </w:rPr>
        <w:t>knowledge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experience</w:t>
      </w:r>
      <w:proofErr w:type="spellEnd"/>
      <w:r w:rsidRPr="00204DBD">
        <w:rPr>
          <w:rFonts w:eastAsia="Calibri"/>
          <w:lang w:eastAsia="en-US"/>
        </w:rPr>
        <w:t xml:space="preserve"> on a </w:t>
      </w:r>
      <w:proofErr w:type="spellStart"/>
      <w:r w:rsidRPr="00204DBD">
        <w:rPr>
          <w:rFonts w:eastAsia="Calibri"/>
          <w:lang w:eastAsia="en-US"/>
        </w:rPr>
        <w:t>particular</w:t>
      </w:r>
      <w:proofErr w:type="spellEnd"/>
      <w:r w:rsidRPr="00204DBD">
        <w:rPr>
          <w:rFonts w:eastAsia="Calibri"/>
          <w:lang w:eastAsia="en-US"/>
        </w:rPr>
        <w:t xml:space="preserve"> </w:t>
      </w:r>
      <w:proofErr w:type="spellStart"/>
      <w:r w:rsidRPr="00204DBD">
        <w:rPr>
          <w:rFonts w:eastAsia="Calibri"/>
          <w:lang w:eastAsia="en-US"/>
        </w:rPr>
        <w:t>topic</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enabling</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members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establish</w:t>
      </w:r>
      <w:proofErr w:type="spellEnd"/>
      <w:r w:rsidRPr="00204DBD">
        <w:rPr>
          <w:rFonts w:eastAsia="Calibri"/>
          <w:lang w:eastAsia="en-US"/>
        </w:rPr>
        <w:t xml:space="preserve"> </w:t>
      </w:r>
      <w:proofErr w:type="spellStart"/>
      <w:r w:rsidRPr="00204DBD">
        <w:rPr>
          <w:rFonts w:eastAsia="Calibri"/>
          <w:lang w:eastAsia="en-US"/>
        </w:rPr>
        <w:t>strong</w:t>
      </w:r>
      <w:proofErr w:type="spellEnd"/>
      <w:r w:rsidRPr="00204DBD">
        <w:rPr>
          <w:rFonts w:eastAsia="Calibri"/>
          <w:lang w:eastAsia="en-US"/>
        </w:rPr>
        <w:t xml:space="preserve"> </w:t>
      </w:r>
      <w:proofErr w:type="spellStart"/>
      <w:r w:rsidRPr="00204DBD">
        <w:rPr>
          <w:rFonts w:eastAsia="Calibri"/>
          <w:lang w:eastAsia="en-US"/>
        </w:rPr>
        <w:t>bonds</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interests</w:t>
      </w:r>
      <w:proofErr w:type="spellEnd"/>
      <w:r w:rsidRPr="00204DBD">
        <w:rPr>
          <w:rFonts w:eastAsia="Calibri"/>
          <w:lang w:eastAsia="en-US"/>
        </w:rPr>
        <w:t xml:space="preserve">.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small</w:t>
      </w:r>
      <w:proofErr w:type="spellEnd"/>
      <w:r w:rsidRPr="00204DBD">
        <w:rPr>
          <w:rFonts w:eastAsia="Calibri"/>
          <w:lang w:eastAsia="en-US"/>
        </w:rPr>
        <w:t xml:space="preserve">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groups</w:t>
      </w:r>
      <w:proofErr w:type="spellEnd"/>
      <w:r w:rsidRPr="00204DBD">
        <w:rPr>
          <w:rFonts w:eastAsia="Calibri"/>
          <w:lang w:eastAsia="en-US"/>
        </w:rPr>
        <w:t xml:space="preserve"> </w:t>
      </w:r>
      <w:proofErr w:type="spellStart"/>
      <w:r w:rsidRPr="00204DBD">
        <w:rPr>
          <w:rFonts w:eastAsia="Calibri"/>
          <w:lang w:eastAsia="en-US"/>
        </w:rPr>
        <w:t>focusing</w:t>
      </w:r>
      <w:proofErr w:type="spellEnd"/>
      <w:r w:rsidRPr="00204DBD">
        <w:rPr>
          <w:rFonts w:eastAsia="Calibri"/>
          <w:lang w:eastAsia="en-US"/>
        </w:rPr>
        <w:t xml:space="preserve"> on </w:t>
      </w:r>
      <w:proofErr w:type="spellStart"/>
      <w:r w:rsidRPr="00204DBD">
        <w:rPr>
          <w:rFonts w:eastAsia="Calibri"/>
          <w:lang w:eastAsia="en-US"/>
        </w:rPr>
        <w:t>specific</w:t>
      </w:r>
      <w:proofErr w:type="spellEnd"/>
      <w:r w:rsidRPr="00204DBD">
        <w:rPr>
          <w:rFonts w:eastAsia="Calibri"/>
          <w:lang w:eastAsia="en-US"/>
        </w:rPr>
        <w:t xml:space="preserve"> </w:t>
      </w:r>
      <w:proofErr w:type="spellStart"/>
      <w:r w:rsidRPr="00204DBD">
        <w:rPr>
          <w:rFonts w:eastAsia="Calibri"/>
          <w:lang w:eastAsia="en-US"/>
        </w:rPr>
        <w:t>areas</w:t>
      </w:r>
      <w:proofErr w:type="spellEnd"/>
      <w:r w:rsidRPr="00204DBD">
        <w:rPr>
          <w:rFonts w:eastAsia="Calibri"/>
          <w:lang w:eastAsia="en-US"/>
        </w:rPr>
        <w:t xml:space="preserve"> of </w:t>
      </w:r>
      <w:proofErr w:type="spellStart"/>
      <w:r w:rsidRPr="00204DBD">
        <w:rPr>
          <w:rFonts w:eastAsia="Calibri"/>
          <w:lang w:eastAsia="en-US"/>
        </w:rPr>
        <w:t>interest</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separated</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larger</w:t>
      </w:r>
      <w:proofErr w:type="spellEnd"/>
      <w:r w:rsidRPr="00204DBD">
        <w:rPr>
          <w:rFonts w:eastAsia="Calibri"/>
          <w:lang w:eastAsia="en-US"/>
        </w:rPr>
        <w:t xml:space="preserve"> </w:t>
      </w:r>
      <w:proofErr w:type="spellStart"/>
      <w:r w:rsidRPr="00204DBD">
        <w:rPr>
          <w:rFonts w:eastAsia="Calibri"/>
          <w:lang w:eastAsia="en-US"/>
        </w:rPr>
        <w:t>audiences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share</w:t>
      </w:r>
      <w:proofErr w:type="spellEnd"/>
      <w:r w:rsidRPr="00204DBD">
        <w:rPr>
          <w:rFonts w:eastAsia="Calibri"/>
          <w:lang w:eastAsia="en-US"/>
        </w:rPr>
        <w:t xml:space="preserve"> a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interest</w:t>
      </w:r>
      <w:proofErr w:type="spellEnd"/>
      <w:r w:rsidRPr="00204DBD">
        <w:rPr>
          <w:rFonts w:eastAsia="Calibri"/>
          <w:lang w:eastAsia="en-US"/>
        </w:rPr>
        <w:t xml:space="preserve">. </w:t>
      </w:r>
      <w:proofErr w:type="spellStart"/>
      <w:r w:rsidRPr="00204DBD">
        <w:rPr>
          <w:rFonts w:eastAsia="Calibri"/>
          <w:lang w:eastAsia="en-US"/>
        </w:rPr>
        <w:t>Because</w:t>
      </w:r>
      <w:proofErr w:type="spellEnd"/>
      <w:r w:rsidRPr="00204DBD">
        <w:rPr>
          <w:rFonts w:eastAsia="Calibri"/>
          <w:lang w:eastAsia="en-US"/>
        </w:rPr>
        <w:t xml:space="preserve"> they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w:t>
      </w:r>
      <w:proofErr w:type="spellStart"/>
      <w:r w:rsidRPr="00204DBD">
        <w:rPr>
          <w:rFonts w:eastAsia="Calibri"/>
          <w:lang w:eastAsia="en-US"/>
        </w:rPr>
        <w:t>interest</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w:t>
      </w:r>
      <w:proofErr w:type="spellStart"/>
      <w:r w:rsidRPr="00204DBD">
        <w:rPr>
          <w:rFonts w:eastAsia="Calibri"/>
          <w:lang w:eastAsia="en-US"/>
        </w:rPr>
        <w:t>need</w:t>
      </w:r>
      <w:proofErr w:type="spellEnd"/>
      <w:r w:rsidRPr="00204DBD">
        <w:rPr>
          <w:rFonts w:eastAsia="Calibri"/>
          <w:lang w:eastAsia="en-US"/>
        </w:rPr>
        <w:t xml:space="preserve">, they </w:t>
      </w:r>
      <w:proofErr w:type="spellStart"/>
      <w:r w:rsidRPr="00204DBD">
        <w:rPr>
          <w:rFonts w:eastAsia="Calibri"/>
          <w:lang w:eastAsia="en-US"/>
        </w:rPr>
        <w:t>present</w:t>
      </w:r>
      <w:proofErr w:type="spellEnd"/>
      <w:r w:rsidRPr="00204DBD">
        <w:rPr>
          <w:rFonts w:eastAsia="Calibri"/>
          <w:lang w:eastAsia="en-US"/>
        </w:rPr>
        <w:t xml:space="preserve"> </w:t>
      </w:r>
      <w:proofErr w:type="spellStart"/>
      <w:r w:rsidRPr="00204DBD">
        <w:rPr>
          <w:rFonts w:eastAsia="Calibri"/>
          <w:lang w:eastAsia="en-US"/>
        </w:rPr>
        <w:t>unique</w:t>
      </w:r>
      <w:proofErr w:type="spellEnd"/>
      <w:r w:rsidRPr="00204DBD">
        <w:rPr>
          <w:rFonts w:eastAsia="Calibri"/>
          <w:lang w:eastAsia="en-US"/>
        </w:rPr>
        <w:t xml:space="preserve"> </w:t>
      </w:r>
      <w:proofErr w:type="spellStart"/>
      <w:r w:rsidRPr="00204DBD">
        <w:rPr>
          <w:rFonts w:eastAsia="Calibri"/>
          <w:lang w:eastAsia="en-US"/>
        </w:rPr>
        <w:t>opportunities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challenges</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both</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brands</w:t>
      </w:r>
      <w:proofErr w:type="spellEnd"/>
      <w:r w:rsidRPr="00204DBD">
        <w:rPr>
          <w:rFonts w:eastAsia="Calibri"/>
          <w:lang w:eastAsia="en-US"/>
        </w:rPr>
        <w:t xml:space="preserve"> (</w:t>
      </w:r>
      <w:proofErr w:type="spellStart"/>
      <w:r w:rsidRPr="00204DBD">
        <w:rPr>
          <w:rFonts w:eastAsia="Calibri"/>
          <w:lang w:eastAsia="en-US"/>
        </w:rPr>
        <w:t>Wellman</w:t>
      </w:r>
      <w:proofErr w:type="spellEnd"/>
      <w:r w:rsidRPr="00204DBD">
        <w:rPr>
          <w:rFonts w:eastAsia="Calibri"/>
          <w:lang w:eastAsia="en-US"/>
        </w:rPr>
        <w:t xml:space="preserve"> &amp; </w:t>
      </w:r>
      <w:proofErr w:type="spellStart"/>
      <w:r w:rsidRPr="00204DBD">
        <w:rPr>
          <w:rFonts w:eastAsia="Calibri"/>
          <w:lang w:eastAsia="en-US"/>
        </w:rPr>
        <w:t>Gulia</w:t>
      </w:r>
      <w:proofErr w:type="spellEnd"/>
      <w:r w:rsidRPr="00204DBD">
        <w:rPr>
          <w:rFonts w:eastAsia="Calibri"/>
          <w:lang w:eastAsia="en-US"/>
        </w:rPr>
        <w:t xml:space="preserve">, 1999; </w:t>
      </w:r>
      <w:proofErr w:type="spellStart"/>
      <w:r w:rsidRPr="00204DBD">
        <w:rPr>
          <w:rFonts w:eastAsia="Calibri"/>
          <w:lang w:eastAsia="en-US"/>
        </w:rPr>
        <w:t>Rheingold</w:t>
      </w:r>
      <w:proofErr w:type="spellEnd"/>
      <w:r w:rsidRPr="00204DBD">
        <w:rPr>
          <w:rFonts w:eastAsia="Calibri"/>
          <w:lang w:eastAsia="en-US"/>
        </w:rPr>
        <w:t xml:space="preserve">, 2000). </w:t>
      </w:r>
      <w:proofErr w:type="spellStart"/>
      <w:r w:rsidRPr="00204DBD">
        <w:rPr>
          <w:rFonts w:eastAsia="Calibri"/>
          <w:lang w:eastAsia="en-US"/>
        </w:rPr>
        <w:t>Participatory</w:t>
      </w:r>
      <w:proofErr w:type="spellEnd"/>
      <w:r w:rsidRPr="00204DBD">
        <w:rPr>
          <w:rFonts w:eastAsia="Calibri"/>
          <w:lang w:eastAsia="en-US"/>
        </w:rPr>
        <w:t xml:space="preserve"> </w:t>
      </w:r>
      <w:proofErr w:type="spellStart"/>
      <w:r w:rsidRPr="00204DBD">
        <w:rPr>
          <w:rFonts w:eastAsia="Calibri"/>
          <w:lang w:eastAsia="en-US"/>
        </w:rPr>
        <w:t>dictionaries</w:t>
      </w:r>
      <w:proofErr w:type="spellEnd"/>
      <w:r w:rsidRPr="00204DBD">
        <w:rPr>
          <w:rFonts w:eastAsia="Calibri"/>
          <w:lang w:eastAsia="en-US"/>
        </w:rPr>
        <w:t xml:space="preserve"> </w:t>
      </w:r>
      <w:proofErr w:type="spellStart"/>
      <w:r w:rsidRPr="00204DBD">
        <w:rPr>
          <w:rFonts w:eastAsia="Calibri"/>
          <w:lang w:eastAsia="en-US"/>
        </w:rPr>
        <w:t>or</w:t>
      </w:r>
      <w:proofErr w:type="spellEnd"/>
      <w:r w:rsidRPr="00204DBD">
        <w:rPr>
          <w:rFonts w:eastAsia="Calibri"/>
          <w:lang w:eastAsia="en-US"/>
        </w:rPr>
        <w:t xml:space="preserve"> wiki </w:t>
      </w:r>
      <w:proofErr w:type="spellStart"/>
      <w:r w:rsidRPr="00204DBD">
        <w:rPr>
          <w:rFonts w:eastAsia="Calibri"/>
          <w:lang w:eastAsia="en-US"/>
        </w:rPr>
        <w:t>communities</w:t>
      </w:r>
      <w:proofErr w:type="spellEnd"/>
      <w:r w:rsidRPr="00204DBD">
        <w:rPr>
          <w:rFonts w:eastAsia="Calibri"/>
          <w:lang w:eastAsia="en-US"/>
        </w:rPr>
        <w:t xml:space="preserve">; They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at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forefront</w:t>
      </w:r>
      <w:proofErr w:type="spellEnd"/>
      <w:r w:rsidRPr="00204DBD">
        <w:rPr>
          <w:rFonts w:eastAsia="Calibri"/>
          <w:lang w:eastAsia="en-US"/>
        </w:rPr>
        <w:t xml:space="preserve"> of on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sharing</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production</w:t>
      </w:r>
      <w:proofErr w:type="spellEnd"/>
      <w:r w:rsidRPr="00204DBD">
        <w:rPr>
          <w:rFonts w:eastAsia="Calibri"/>
          <w:lang w:eastAsia="en-US"/>
        </w:rPr>
        <w:t xml:space="preserve">, </w:t>
      </w:r>
      <w:proofErr w:type="spellStart"/>
      <w:r w:rsidRPr="00204DBD">
        <w:rPr>
          <w:rFonts w:eastAsia="Calibri"/>
          <w:lang w:eastAsia="en-US"/>
        </w:rPr>
        <w:t>allowing</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create</w:t>
      </w:r>
      <w:proofErr w:type="spellEnd"/>
      <w:r w:rsidRPr="00204DBD">
        <w:rPr>
          <w:rFonts w:eastAsia="Calibri"/>
          <w:lang w:eastAsia="en-US"/>
        </w:rPr>
        <w:t xml:space="preserve">, </w:t>
      </w:r>
      <w:proofErr w:type="spellStart"/>
      <w:r w:rsidRPr="00204DBD">
        <w:rPr>
          <w:rFonts w:eastAsia="Calibri"/>
          <w:lang w:eastAsia="en-US"/>
        </w:rPr>
        <w:t>edit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share</w:t>
      </w:r>
      <w:proofErr w:type="spellEnd"/>
      <w:r w:rsidRPr="00204DBD">
        <w:rPr>
          <w:rFonts w:eastAsia="Calibri"/>
          <w:lang w:eastAsia="en-US"/>
        </w:rPr>
        <w:t xml:space="preserve"> </w:t>
      </w:r>
      <w:proofErr w:type="spellStart"/>
      <w:r w:rsidRPr="00204DBD">
        <w:rPr>
          <w:rFonts w:eastAsia="Calibri"/>
          <w:lang w:eastAsia="en-US"/>
        </w:rPr>
        <w:t>content</w:t>
      </w:r>
      <w:proofErr w:type="spellEnd"/>
      <w:r w:rsidRPr="00204DBD">
        <w:rPr>
          <w:rFonts w:eastAsia="Calibri"/>
          <w:lang w:eastAsia="en-US"/>
        </w:rPr>
        <w:t xml:space="preserve">.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have</w:t>
      </w:r>
      <w:proofErr w:type="spellEnd"/>
      <w:r w:rsidRPr="00204DBD">
        <w:rPr>
          <w:rFonts w:eastAsia="Calibri"/>
          <w:lang w:eastAsia="en-US"/>
        </w:rPr>
        <w:t xml:space="preserve"> a </w:t>
      </w:r>
      <w:proofErr w:type="spellStart"/>
      <w:r w:rsidRPr="00204DBD">
        <w:rPr>
          <w:rFonts w:eastAsia="Calibri"/>
          <w:lang w:eastAsia="en-US"/>
        </w:rPr>
        <w:t>collaborative</w:t>
      </w:r>
      <w:proofErr w:type="spellEnd"/>
      <w:r w:rsidRPr="00204DBD">
        <w:rPr>
          <w:rFonts w:eastAsia="Calibri"/>
          <w:lang w:eastAsia="en-US"/>
        </w:rPr>
        <w:t xml:space="preserve"> </w:t>
      </w:r>
      <w:proofErr w:type="spellStart"/>
      <w:r w:rsidRPr="00204DBD">
        <w:rPr>
          <w:rFonts w:eastAsia="Calibri"/>
          <w:lang w:eastAsia="en-US"/>
        </w:rPr>
        <w:t>structure</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w:t>
      </w:r>
      <w:proofErr w:type="spellStart"/>
      <w:r w:rsidRPr="00204DBD">
        <w:rPr>
          <w:rFonts w:eastAsia="Calibri"/>
          <w:lang w:eastAsia="en-US"/>
        </w:rPr>
        <w:t>represents</w:t>
      </w:r>
      <w:proofErr w:type="spellEnd"/>
      <w:r w:rsidRPr="00204DBD">
        <w:rPr>
          <w:rFonts w:eastAsia="Calibri"/>
          <w:lang w:eastAsia="en-US"/>
        </w:rPr>
        <w:t xml:space="preserve"> </w:t>
      </w:r>
      <w:proofErr w:type="spellStart"/>
      <w:r w:rsidRPr="00204DBD">
        <w:rPr>
          <w:rFonts w:eastAsia="Calibri"/>
          <w:lang w:eastAsia="en-US"/>
        </w:rPr>
        <w:t>democratization</w:t>
      </w:r>
      <w:proofErr w:type="spellEnd"/>
      <w:r w:rsidRPr="00204DBD">
        <w:rPr>
          <w:rFonts w:eastAsia="Calibri"/>
          <w:lang w:eastAsia="en-US"/>
        </w:rPr>
        <w:t xml:space="preserve"> in </w:t>
      </w:r>
      <w:proofErr w:type="spellStart"/>
      <w:r w:rsidRPr="00204DBD">
        <w:rPr>
          <w:rFonts w:eastAsia="Calibri"/>
          <w:lang w:eastAsia="en-US"/>
        </w:rPr>
        <w:t>knowledge</w:t>
      </w:r>
      <w:proofErr w:type="spellEnd"/>
      <w:r w:rsidRPr="00204DBD">
        <w:rPr>
          <w:rFonts w:eastAsia="Calibri"/>
          <w:lang w:eastAsia="en-US"/>
        </w:rPr>
        <w:t xml:space="preserve"> </w:t>
      </w:r>
      <w:proofErr w:type="spellStart"/>
      <w:r w:rsidRPr="00204DBD">
        <w:rPr>
          <w:rFonts w:eastAsia="Calibri"/>
          <w:lang w:eastAsia="en-US"/>
        </w:rPr>
        <w:t>production</w:t>
      </w:r>
      <w:proofErr w:type="spellEnd"/>
      <w:r w:rsidRPr="00204DBD">
        <w:rPr>
          <w:rFonts w:eastAsia="Calibri"/>
          <w:lang w:eastAsia="en-US"/>
        </w:rPr>
        <w:t xml:space="preserve"> </w:t>
      </w:r>
      <w:proofErr w:type="spellStart"/>
      <w:r w:rsidRPr="00204DBD">
        <w:rPr>
          <w:rFonts w:eastAsia="Calibri"/>
          <w:lang w:eastAsia="en-US"/>
        </w:rPr>
        <w:t>processes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creates</w:t>
      </w:r>
      <w:proofErr w:type="spellEnd"/>
      <w:r w:rsidRPr="00204DBD">
        <w:rPr>
          <w:rFonts w:eastAsia="Calibri"/>
          <w:lang w:eastAsia="en-US"/>
        </w:rPr>
        <w:t xml:space="preserve"> a </w:t>
      </w:r>
      <w:proofErr w:type="spellStart"/>
      <w:r w:rsidRPr="00204DBD">
        <w:rPr>
          <w:rFonts w:eastAsia="Calibri"/>
          <w:lang w:eastAsia="en-US"/>
        </w:rPr>
        <w:t>large</w:t>
      </w:r>
      <w:proofErr w:type="spellEnd"/>
      <w:r w:rsidRPr="00204DBD">
        <w:rPr>
          <w:rFonts w:eastAsia="Calibri"/>
          <w:lang w:eastAsia="en-US"/>
        </w:rPr>
        <w:t xml:space="preserve"> </w:t>
      </w:r>
      <w:proofErr w:type="spellStart"/>
      <w:r w:rsidRPr="00204DBD">
        <w:rPr>
          <w:rFonts w:eastAsia="Calibri"/>
          <w:lang w:eastAsia="en-US"/>
        </w:rPr>
        <w:t>knowledge</w:t>
      </w:r>
      <w:proofErr w:type="spellEnd"/>
      <w:r w:rsidRPr="00204DBD">
        <w:rPr>
          <w:rFonts w:eastAsia="Calibri"/>
          <w:lang w:eastAsia="en-US"/>
        </w:rPr>
        <w:t xml:space="preserve"> </w:t>
      </w:r>
      <w:proofErr w:type="spellStart"/>
      <w:r w:rsidRPr="00204DBD">
        <w:rPr>
          <w:rFonts w:eastAsia="Calibri"/>
          <w:lang w:eastAsia="en-US"/>
        </w:rPr>
        <w:t>pool</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voluntary</w:t>
      </w:r>
      <w:proofErr w:type="spellEnd"/>
      <w:r w:rsidRPr="00204DBD">
        <w:rPr>
          <w:rFonts w:eastAsia="Calibri"/>
          <w:lang w:eastAsia="en-US"/>
        </w:rPr>
        <w:t xml:space="preserve"> </w:t>
      </w:r>
      <w:proofErr w:type="spellStart"/>
      <w:r w:rsidRPr="00204DBD">
        <w:rPr>
          <w:rFonts w:eastAsia="Calibri"/>
          <w:lang w:eastAsia="en-US"/>
        </w:rPr>
        <w:t>contributions</w:t>
      </w:r>
      <w:proofErr w:type="spellEnd"/>
      <w:r w:rsidRPr="00204DBD">
        <w:rPr>
          <w:rFonts w:eastAsia="Calibri"/>
          <w:lang w:eastAsia="en-US"/>
        </w:rPr>
        <w:t xml:space="preserve">. </w:t>
      </w:r>
      <w:proofErr w:type="spellStart"/>
      <w:r w:rsidRPr="00204DBD">
        <w:rPr>
          <w:rFonts w:eastAsia="Calibri"/>
          <w:lang w:eastAsia="en-US"/>
        </w:rPr>
        <w:t>This</w:t>
      </w:r>
      <w:proofErr w:type="spellEnd"/>
      <w:r w:rsidRPr="00204DBD">
        <w:rPr>
          <w:rFonts w:eastAsia="Calibri"/>
          <w:lang w:eastAsia="en-US"/>
        </w:rPr>
        <w:t xml:space="preserve"> model, in </w:t>
      </w:r>
      <w:proofErr w:type="spellStart"/>
      <w:r w:rsidRPr="00204DBD">
        <w:rPr>
          <w:rFonts w:eastAsia="Calibri"/>
          <w:lang w:eastAsia="en-US"/>
        </w:rPr>
        <w:t>which</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can </w:t>
      </w:r>
      <w:proofErr w:type="spellStart"/>
      <w:r w:rsidRPr="00204DBD">
        <w:rPr>
          <w:rFonts w:eastAsia="Calibri"/>
          <w:lang w:eastAsia="en-US"/>
        </w:rPr>
        <w:t>add</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edit</w:t>
      </w:r>
      <w:proofErr w:type="spellEnd"/>
      <w:r w:rsidRPr="00204DBD">
        <w:rPr>
          <w:rFonts w:eastAsia="Calibri"/>
          <w:lang w:eastAsia="en-US"/>
        </w:rPr>
        <w:t xml:space="preserve"> </w:t>
      </w:r>
      <w:proofErr w:type="spellStart"/>
      <w:r w:rsidRPr="00204DBD">
        <w:rPr>
          <w:rFonts w:eastAsia="Calibri"/>
          <w:lang w:eastAsia="en-US"/>
        </w:rPr>
        <w:t>content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provide</w:t>
      </w:r>
      <w:proofErr w:type="spellEnd"/>
      <w:r w:rsidRPr="00204DBD">
        <w:rPr>
          <w:rFonts w:eastAsia="Calibri"/>
          <w:lang w:eastAsia="en-US"/>
        </w:rPr>
        <w:t xml:space="preserve"> </w:t>
      </w:r>
      <w:proofErr w:type="spellStart"/>
      <w:r w:rsidRPr="00204DBD">
        <w:rPr>
          <w:rFonts w:eastAsia="Calibri"/>
          <w:lang w:eastAsia="en-US"/>
        </w:rPr>
        <w:t>feedback</w:t>
      </w:r>
      <w:proofErr w:type="spellEnd"/>
      <w:r w:rsidRPr="00204DBD">
        <w:rPr>
          <w:rFonts w:eastAsia="Calibri"/>
          <w:lang w:eastAsia="en-US"/>
        </w:rPr>
        <w:t xml:space="preserve">, </w:t>
      </w:r>
      <w:proofErr w:type="spellStart"/>
      <w:r w:rsidRPr="00204DBD">
        <w:rPr>
          <w:rFonts w:eastAsia="Calibri"/>
          <w:lang w:eastAsia="en-US"/>
        </w:rPr>
        <w:t>allows</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be </w:t>
      </w:r>
      <w:proofErr w:type="spellStart"/>
      <w:r w:rsidRPr="00204DBD">
        <w:rPr>
          <w:rFonts w:eastAsia="Calibri"/>
          <w:lang w:eastAsia="en-US"/>
        </w:rPr>
        <w:t>constantly</w:t>
      </w:r>
      <w:proofErr w:type="spellEnd"/>
      <w:r w:rsidRPr="00204DBD">
        <w:rPr>
          <w:rFonts w:eastAsia="Calibri"/>
          <w:lang w:eastAsia="en-US"/>
        </w:rPr>
        <w:t xml:space="preserve"> </w:t>
      </w:r>
      <w:proofErr w:type="spellStart"/>
      <w:r w:rsidRPr="00204DBD">
        <w:rPr>
          <w:rFonts w:eastAsia="Calibri"/>
          <w:lang w:eastAsia="en-US"/>
        </w:rPr>
        <w:t>updated</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expanded</w:t>
      </w:r>
      <w:proofErr w:type="spellEnd"/>
      <w:r w:rsidRPr="00204DBD">
        <w:rPr>
          <w:rFonts w:eastAsia="Calibri"/>
          <w:lang w:eastAsia="en-US"/>
        </w:rPr>
        <w:t xml:space="preserve"> (</w:t>
      </w:r>
      <w:proofErr w:type="spellStart"/>
      <w:r w:rsidRPr="00204DBD">
        <w:rPr>
          <w:rFonts w:eastAsia="Calibri"/>
          <w:lang w:eastAsia="en-US"/>
        </w:rPr>
        <w:t>Leuf</w:t>
      </w:r>
      <w:proofErr w:type="spellEnd"/>
      <w:r w:rsidRPr="00204DBD">
        <w:rPr>
          <w:rFonts w:eastAsia="Calibri"/>
          <w:lang w:eastAsia="en-US"/>
        </w:rPr>
        <w:t xml:space="preserve"> &amp; Cunningham, 2001; </w:t>
      </w:r>
      <w:proofErr w:type="spellStart"/>
      <w:r w:rsidRPr="00204DBD">
        <w:rPr>
          <w:rFonts w:eastAsia="Calibri"/>
          <w:lang w:eastAsia="en-US"/>
        </w:rPr>
        <w:t>Fallis</w:t>
      </w:r>
      <w:proofErr w:type="spellEnd"/>
      <w:r w:rsidRPr="00204DBD">
        <w:rPr>
          <w:rFonts w:eastAsia="Calibri"/>
          <w:lang w:eastAsia="en-US"/>
        </w:rPr>
        <w:t xml:space="preserve">, 2008; Ford &amp; </w:t>
      </w:r>
      <w:proofErr w:type="spellStart"/>
      <w:r w:rsidRPr="00204DBD">
        <w:rPr>
          <w:rFonts w:eastAsia="Calibri"/>
          <w:lang w:eastAsia="en-US"/>
        </w:rPr>
        <w:t>Wajcman</w:t>
      </w:r>
      <w:proofErr w:type="spellEnd"/>
      <w:r w:rsidRPr="00204DBD">
        <w:rPr>
          <w:rFonts w:eastAsia="Calibri"/>
          <w:lang w:eastAsia="en-US"/>
        </w:rPr>
        <w:t xml:space="preserve">, 2017; </w:t>
      </w:r>
      <w:proofErr w:type="spellStart"/>
      <w:r w:rsidRPr="00204DBD">
        <w:rPr>
          <w:rFonts w:eastAsia="Calibri"/>
          <w:lang w:eastAsia="en-US"/>
        </w:rPr>
        <w:t>Konieczny</w:t>
      </w:r>
      <w:proofErr w:type="spellEnd"/>
      <w:r w:rsidRPr="00204DBD">
        <w:rPr>
          <w:rFonts w:eastAsia="Calibri"/>
          <w:lang w:eastAsia="en-US"/>
        </w:rPr>
        <w:t xml:space="preserve">, 2018).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consisting</w:t>
      </w:r>
      <w:proofErr w:type="spellEnd"/>
      <w:r w:rsidRPr="00204DBD">
        <w:rPr>
          <w:rFonts w:eastAsia="Calibri"/>
          <w:lang w:eastAsia="en-US"/>
        </w:rPr>
        <w:t xml:space="preserve"> of </w:t>
      </w:r>
      <w:proofErr w:type="spellStart"/>
      <w:r w:rsidRPr="00204DBD">
        <w:rPr>
          <w:rFonts w:eastAsia="Calibri"/>
          <w:lang w:eastAsia="en-US"/>
        </w:rPr>
        <w:t>forums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discussion</w:t>
      </w:r>
      <w:proofErr w:type="spellEnd"/>
      <w:r w:rsidRPr="00204DBD">
        <w:rPr>
          <w:rFonts w:eastAsia="Calibri"/>
          <w:lang w:eastAsia="en-US"/>
        </w:rPr>
        <w:t xml:space="preserve"> </w:t>
      </w:r>
      <w:proofErr w:type="spellStart"/>
      <w:r w:rsidRPr="00204DBD">
        <w:rPr>
          <w:rFonts w:eastAsia="Calibri"/>
          <w:lang w:eastAsia="en-US"/>
        </w:rPr>
        <w:t>boards</w:t>
      </w:r>
      <w:proofErr w:type="spellEnd"/>
      <w:r w:rsidRPr="00204DBD">
        <w:rPr>
          <w:rFonts w:eastAsia="Calibri"/>
          <w:lang w:eastAsia="en-US"/>
        </w:rPr>
        <w:t xml:space="preserve"> host </w:t>
      </w:r>
      <w:proofErr w:type="spellStart"/>
      <w:r w:rsidRPr="00204DBD">
        <w:rPr>
          <w:rFonts w:eastAsia="Calibri"/>
          <w:lang w:eastAsia="en-US"/>
        </w:rPr>
        <w:lastRenderedPageBreak/>
        <w:t>communities</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participate</w:t>
      </w:r>
      <w:proofErr w:type="spellEnd"/>
      <w:r w:rsidRPr="00204DBD">
        <w:rPr>
          <w:rFonts w:eastAsia="Calibri"/>
          <w:lang w:eastAsia="en-US"/>
        </w:rPr>
        <w:t xml:space="preserve"> in </w:t>
      </w:r>
      <w:proofErr w:type="spellStart"/>
      <w:r w:rsidRPr="00204DBD">
        <w:rPr>
          <w:rFonts w:eastAsia="Calibri"/>
          <w:lang w:eastAsia="en-US"/>
        </w:rPr>
        <w:t>discussions</w:t>
      </w:r>
      <w:proofErr w:type="spellEnd"/>
      <w:r w:rsidRPr="00204DBD">
        <w:rPr>
          <w:rFonts w:eastAsia="Calibri"/>
          <w:lang w:eastAsia="en-US"/>
        </w:rPr>
        <w:t xml:space="preserve"> on a </w:t>
      </w:r>
      <w:proofErr w:type="spellStart"/>
      <w:r w:rsidRPr="00204DBD">
        <w:rPr>
          <w:rFonts w:eastAsia="Calibri"/>
          <w:lang w:eastAsia="en-US"/>
        </w:rPr>
        <w:t>wide</w:t>
      </w:r>
      <w:proofErr w:type="spellEnd"/>
      <w:r w:rsidRPr="00204DBD">
        <w:rPr>
          <w:rFonts w:eastAsia="Calibri"/>
          <w:lang w:eastAsia="en-US"/>
        </w:rPr>
        <w:t xml:space="preserve"> </w:t>
      </w:r>
      <w:proofErr w:type="spellStart"/>
      <w:r w:rsidRPr="00204DBD">
        <w:rPr>
          <w:rFonts w:eastAsia="Calibri"/>
          <w:lang w:eastAsia="en-US"/>
        </w:rPr>
        <w:t>variety</w:t>
      </w:r>
      <w:proofErr w:type="spellEnd"/>
      <w:r w:rsidRPr="00204DBD">
        <w:rPr>
          <w:rFonts w:eastAsia="Calibri"/>
          <w:lang w:eastAsia="en-US"/>
        </w:rPr>
        <w:t xml:space="preserve"> of </w:t>
      </w:r>
      <w:proofErr w:type="spellStart"/>
      <w:r w:rsidRPr="00204DBD">
        <w:rPr>
          <w:rFonts w:eastAsia="Calibri"/>
          <w:lang w:eastAsia="en-US"/>
        </w:rPr>
        <w:t>topics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most</w:t>
      </w:r>
      <w:proofErr w:type="spellEnd"/>
      <w:r w:rsidRPr="00204DBD">
        <w:rPr>
          <w:rFonts w:eastAsia="Calibri"/>
          <w:lang w:eastAsia="en-US"/>
        </w:rPr>
        <w:t xml:space="preserve"> </w:t>
      </w:r>
      <w:proofErr w:type="spellStart"/>
      <w:r w:rsidRPr="00204DBD">
        <w:rPr>
          <w:rFonts w:eastAsia="Calibri"/>
          <w:lang w:eastAsia="en-US"/>
        </w:rPr>
        <w:t>prominent</w:t>
      </w:r>
      <w:proofErr w:type="spellEnd"/>
      <w:r w:rsidRPr="00204DBD">
        <w:rPr>
          <w:rFonts w:eastAsia="Calibri"/>
          <w:lang w:eastAsia="en-US"/>
        </w:rPr>
        <w:t xml:space="preserve"> </w:t>
      </w:r>
      <w:proofErr w:type="spellStart"/>
      <w:r w:rsidRPr="00204DBD">
        <w:rPr>
          <w:rFonts w:eastAsia="Calibri"/>
          <w:lang w:eastAsia="en-US"/>
        </w:rPr>
        <w:t>ones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Reddit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Quora</w:t>
      </w:r>
      <w:proofErr w:type="spellEnd"/>
      <w:r w:rsidRPr="00204DBD">
        <w:rPr>
          <w:rFonts w:eastAsia="Calibri"/>
          <w:lang w:eastAsia="en-US"/>
        </w:rPr>
        <w:t xml:space="preserve"> (</w:t>
      </w:r>
      <w:proofErr w:type="spellStart"/>
      <w:r w:rsidRPr="00204DBD">
        <w:rPr>
          <w:rFonts w:eastAsia="Calibri"/>
          <w:lang w:eastAsia="en-US"/>
        </w:rPr>
        <w:t>Kabashi</w:t>
      </w:r>
      <w:proofErr w:type="spellEnd"/>
      <w:r w:rsidRPr="00204DBD">
        <w:rPr>
          <w:rFonts w:eastAsia="Calibri"/>
          <w:lang w:eastAsia="en-US"/>
        </w:rPr>
        <w:t xml:space="preserve">, 2024).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also</w:t>
      </w:r>
      <w:proofErr w:type="spellEnd"/>
      <w:r w:rsidRPr="00204DBD">
        <w:rPr>
          <w:rFonts w:eastAsia="Calibri"/>
          <w:lang w:eastAsia="en-US"/>
        </w:rPr>
        <w:t xml:space="preserve"> </w:t>
      </w:r>
      <w:proofErr w:type="spellStart"/>
      <w:r w:rsidRPr="00204DBD">
        <w:rPr>
          <w:rFonts w:eastAsia="Calibri"/>
          <w:lang w:eastAsia="en-US"/>
        </w:rPr>
        <w:t>enables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creation</w:t>
      </w:r>
      <w:proofErr w:type="spellEnd"/>
      <w:r w:rsidRPr="00204DBD">
        <w:rPr>
          <w:rFonts w:eastAsia="Calibri"/>
          <w:lang w:eastAsia="en-US"/>
        </w:rPr>
        <w:t xml:space="preserve"> of </w:t>
      </w:r>
      <w:proofErr w:type="spellStart"/>
      <w:r w:rsidRPr="00204DBD">
        <w:rPr>
          <w:rFonts w:eastAsia="Calibri"/>
          <w:lang w:eastAsia="en-US"/>
        </w:rPr>
        <w:t>large</w:t>
      </w:r>
      <w:proofErr w:type="spellEnd"/>
      <w:r w:rsidRPr="00204DBD">
        <w:rPr>
          <w:rFonts w:eastAsia="Calibri"/>
          <w:lang w:eastAsia="en-US"/>
        </w:rPr>
        <w:t xml:space="preserve"> </w:t>
      </w:r>
      <w:proofErr w:type="spellStart"/>
      <w:r w:rsidRPr="00204DBD">
        <w:rPr>
          <w:rFonts w:eastAsia="Calibri"/>
          <w:lang w:eastAsia="en-US"/>
        </w:rPr>
        <w:t>educational</w:t>
      </w:r>
      <w:proofErr w:type="spellEnd"/>
      <w:r w:rsidRPr="00204DBD">
        <w:rPr>
          <w:rFonts w:eastAsia="Calibri"/>
          <w:lang w:eastAsia="en-US"/>
        </w:rPr>
        <w:t xml:space="preserve"> </w:t>
      </w:r>
      <w:proofErr w:type="spellStart"/>
      <w:r w:rsidRPr="00204DBD">
        <w:rPr>
          <w:rFonts w:eastAsia="Calibri"/>
          <w:lang w:eastAsia="en-US"/>
        </w:rPr>
        <w:t>networks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knowledge</w:t>
      </w:r>
      <w:proofErr w:type="spellEnd"/>
      <w:r w:rsidRPr="00204DBD">
        <w:rPr>
          <w:rFonts w:eastAsia="Calibri"/>
          <w:lang w:eastAsia="en-US"/>
        </w:rPr>
        <w:t xml:space="preserve"> can be </w:t>
      </w:r>
      <w:proofErr w:type="spellStart"/>
      <w:r w:rsidRPr="00204DBD">
        <w:rPr>
          <w:rFonts w:eastAsia="Calibri"/>
          <w:lang w:eastAsia="en-US"/>
        </w:rPr>
        <w:t>freely</w:t>
      </w:r>
      <w:proofErr w:type="spellEnd"/>
      <w:r w:rsidRPr="00204DBD">
        <w:rPr>
          <w:rFonts w:eastAsia="Calibri"/>
          <w:lang w:eastAsia="en-US"/>
        </w:rPr>
        <w:t xml:space="preserve"> </w:t>
      </w:r>
      <w:proofErr w:type="spellStart"/>
      <w:r w:rsidRPr="00204DBD">
        <w:rPr>
          <w:rFonts w:eastAsia="Calibri"/>
          <w:lang w:eastAsia="en-US"/>
        </w:rPr>
        <w:t>shared</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such</w:t>
      </w:r>
      <w:proofErr w:type="spellEnd"/>
      <w:r w:rsidRPr="00204DBD">
        <w:rPr>
          <w:rFonts w:eastAsia="Calibri"/>
          <w:lang w:eastAsia="en-US"/>
        </w:rPr>
        <w:t xml:space="preserve"> as </w:t>
      </w:r>
      <w:proofErr w:type="spellStart"/>
      <w:r w:rsidRPr="00204DBD">
        <w:rPr>
          <w:rFonts w:eastAsia="Calibri"/>
          <w:lang w:eastAsia="en-US"/>
        </w:rPr>
        <w:t>Coursera</w:t>
      </w:r>
      <w:proofErr w:type="spellEnd"/>
      <w:r w:rsidRPr="00204DBD">
        <w:rPr>
          <w:rFonts w:eastAsia="Calibri"/>
          <w:lang w:eastAsia="en-US"/>
        </w:rPr>
        <w:t xml:space="preserve">, </w:t>
      </w:r>
      <w:proofErr w:type="spellStart"/>
      <w:r w:rsidRPr="00204DBD">
        <w:rPr>
          <w:rFonts w:eastAsia="Calibri"/>
          <w:lang w:eastAsia="en-US"/>
        </w:rPr>
        <w:t>edX</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Khan</w:t>
      </w:r>
      <w:proofErr w:type="spellEnd"/>
      <w:r w:rsidRPr="00204DBD">
        <w:rPr>
          <w:rFonts w:eastAsia="Calibri"/>
          <w:lang w:eastAsia="en-US"/>
        </w:rPr>
        <w:t xml:space="preserve"> Academy </w:t>
      </w:r>
      <w:proofErr w:type="spellStart"/>
      <w:r w:rsidRPr="00204DBD">
        <w:rPr>
          <w:rFonts w:eastAsia="Calibri"/>
          <w:lang w:eastAsia="en-US"/>
        </w:rPr>
        <w:t>offer</w:t>
      </w:r>
      <w:proofErr w:type="spellEnd"/>
      <w:r w:rsidRPr="00204DBD">
        <w:rPr>
          <w:rFonts w:eastAsia="Calibri"/>
          <w:lang w:eastAsia="en-US"/>
        </w:rPr>
        <w:t xml:space="preserve"> </w:t>
      </w:r>
      <w:proofErr w:type="spellStart"/>
      <w:r w:rsidRPr="00204DBD">
        <w:rPr>
          <w:rFonts w:eastAsia="Calibri"/>
          <w:lang w:eastAsia="en-US"/>
        </w:rPr>
        <w:t>massive</w:t>
      </w:r>
      <w:proofErr w:type="spellEnd"/>
      <w:r w:rsidRPr="00204DBD">
        <w:rPr>
          <w:rFonts w:eastAsia="Calibri"/>
          <w:lang w:eastAsia="en-US"/>
        </w:rPr>
        <w:t xml:space="preserve"> </w:t>
      </w:r>
      <w:proofErr w:type="spellStart"/>
      <w:r w:rsidRPr="00204DBD">
        <w:rPr>
          <w:rFonts w:eastAsia="Calibri"/>
          <w:lang w:eastAsia="en-US"/>
        </w:rPr>
        <w:t>open</w:t>
      </w:r>
      <w:proofErr w:type="spellEnd"/>
      <w:r w:rsidRPr="00204DBD">
        <w:rPr>
          <w:rFonts w:eastAsia="Calibri"/>
          <w:lang w:eastAsia="en-US"/>
        </w:rPr>
        <w:t xml:space="preserve"> online </w:t>
      </w:r>
      <w:proofErr w:type="spellStart"/>
      <w:r w:rsidRPr="00204DBD">
        <w:rPr>
          <w:rFonts w:eastAsia="Calibri"/>
          <w:lang w:eastAsia="en-US"/>
        </w:rPr>
        <w:t>courses</w:t>
      </w:r>
      <w:proofErr w:type="spellEnd"/>
      <w:r w:rsidRPr="00204DBD">
        <w:rPr>
          <w:rFonts w:eastAsia="Calibri"/>
          <w:lang w:eastAsia="en-US"/>
        </w:rPr>
        <w:t xml:space="preserve"> (</w:t>
      </w:r>
      <w:proofErr w:type="spellStart"/>
      <w:r w:rsidRPr="00204DBD">
        <w:rPr>
          <w:rFonts w:eastAsia="Calibri"/>
          <w:lang w:eastAsia="en-US"/>
        </w:rPr>
        <w:t>MOOCs</w:t>
      </w:r>
      <w:proofErr w:type="spellEnd"/>
      <w:r w:rsidRPr="00204DBD">
        <w:rPr>
          <w:rFonts w:eastAsia="Calibri"/>
          <w:lang w:eastAsia="en-US"/>
        </w:rPr>
        <w:t xml:space="preserve">) </w:t>
      </w:r>
      <w:proofErr w:type="spellStart"/>
      <w:r w:rsidRPr="00204DBD">
        <w:rPr>
          <w:rFonts w:eastAsia="Calibri"/>
          <w:lang w:eastAsia="en-US"/>
        </w:rPr>
        <w:t>that</w:t>
      </w:r>
      <w:proofErr w:type="spellEnd"/>
      <w:r w:rsidRPr="00204DBD">
        <w:rPr>
          <w:rFonts w:eastAsia="Calibri"/>
          <w:lang w:eastAsia="en-US"/>
        </w:rPr>
        <w:t xml:space="preserve"> </w:t>
      </w:r>
      <w:proofErr w:type="spellStart"/>
      <w:r w:rsidRPr="00204DBD">
        <w:rPr>
          <w:rFonts w:eastAsia="Calibri"/>
          <w:lang w:eastAsia="en-US"/>
        </w:rPr>
        <w:t>provide</w:t>
      </w:r>
      <w:proofErr w:type="spellEnd"/>
      <w:r w:rsidRPr="00204DBD">
        <w:rPr>
          <w:rFonts w:eastAsia="Calibri"/>
          <w:lang w:eastAsia="en-US"/>
        </w:rPr>
        <w:t xml:space="preserve"> </w:t>
      </w:r>
      <w:proofErr w:type="spellStart"/>
      <w:r w:rsidRPr="00204DBD">
        <w:rPr>
          <w:rFonts w:eastAsia="Calibri"/>
          <w:lang w:eastAsia="en-US"/>
        </w:rPr>
        <w:t>access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high-quality</w:t>
      </w:r>
      <w:proofErr w:type="spellEnd"/>
      <w:r w:rsidRPr="00204DBD">
        <w:rPr>
          <w:rFonts w:eastAsia="Calibri"/>
          <w:lang w:eastAsia="en-US"/>
        </w:rPr>
        <w:t xml:space="preserve"> </w:t>
      </w:r>
      <w:proofErr w:type="spellStart"/>
      <w:r w:rsidRPr="00204DBD">
        <w:rPr>
          <w:rFonts w:eastAsia="Calibri"/>
          <w:lang w:eastAsia="en-US"/>
        </w:rPr>
        <w:t>education</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prestigious</w:t>
      </w:r>
      <w:proofErr w:type="spellEnd"/>
      <w:r w:rsidRPr="00204DBD">
        <w:rPr>
          <w:rFonts w:eastAsia="Calibri"/>
          <w:lang w:eastAsia="en-US"/>
        </w:rPr>
        <w:t xml:space="preserve"> </w:t>
      </w:r>
      <w:proofErr w:type="spellStart"/>
      <w:r w:rsidRPr="00204DBD">
        <w:rPr>
          <w:rFonts w:eastAsia="Calibri"/>
          <w:lang w:eastAsia="en-US"/>
        </w:rPr>
        <w:t>institutions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millions</w:t>
      </w:r>
      <w:proofErr w:type="spellEnd"/>
      <w:r w:rsidRPr="00204DBD">
        <w:rPr>
          <w:rFonts w:eastAsia="Calibri"/>
          <w:lang w:eastAsia="en-US"/>
        </w:rPr>
        <w:t xml:space="preserve"> of </w:t>
      </w:r>
      <w:proofErr w:type="spellStart"/>
      <w:r w:rsidRPr="00204DBD">
        <w:rPr>
          <w:rFonts w:eastAsia="Calibri"/>
          <w:lang w:eastAsia="en-US"/>
        </w:rPr>
        <w:t>people</w:t>
      </w:r>
      <w:proofErr w:type="spellEnd"/>
      <w:r w:rsidRPr="00204DBD">
        <w:rPr>
          <w:rFonts w:eastAsia="Calibri"/>
          <w:lang w:eastAsia="en-US"/>
        </w:rPr>
        <w:t xml:space="preserve"> </w:t>
      </w:r>
      <w:proofErr w:type="spellStart"/>
      <w:r w:rsidRPr="00204DBD">
        <w:rPr>
          <w:rFonts w:eastAsia="Calibri"/>
          <w:lang w:eastAsia="en-US"/>
        </w:rPr>
        <w:t>around</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world</w:t>
      </w:r>
      <w:proofErr w:type="spellEnd"/>
      <w:r w:rsidRPr="00204DBD">
        <w:rPr>
          <w:rFonts w:eastAsia="Calibri"/>
          <w:lang w:eastAsia="en-US"/>
        </w:rPr>
        <w:t xml:space="preserve"> (</w:t>
      </w:r>
      <w:proofErr w:type="spellStart"/>
      <w:r w:rsidRPr="00204DBD">
        <w:rPr>
          <w:rFonts w:eastAsia="Calibri"/>
          <w:lang w:eastAsia="en-US"/>
        </w:rPr>
        <w:t>Koller</w:t>
      </w:r>
      <w:proofErr w:type="spellEnd"/>
      <w:r w:rsidRPr="00204DBD">
        <w:rPr>
          <w:rFonts w:eastAsia="Calibri"/>
          <w:lang w:eastAsia="en-US"/>
        </w:rPr>
        <w:t xml:space="preserve"> et al., 2013). </w:t>
      </w:r>
      <w:proofErr w:type="spellStart"/>
      <w:r w:rsidRPr="00204DBD">
        <w:rPr>
          <w:rFonts w:eastAsia="Calibri"/>
          <w:lang w:eastAsia="en-US"/>
        </w:rPr>
        <w:t>Such</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promote</w:t>
      </w:r>
      <w:proofErr w:type="spellEnd"/>
      <w:r w:rsidRPr="00204DBD">
        <w:rPr>
          <w:rFonts w:eastAsia="Calibri"/>
          <w:lang w:eastAsia="en-US"/>
        </w:rPr>
        <w:t xml:space="preserve"> a global </w:t>
      </w:r>
      <w:proofErr w:type="spellStart"/>
      <w:r w:rsidRPr="00204DBD">
        <w:rPr>
          <w:rFonts w:eastAsia="Calibri"/>
          <w:lang w:eastAsia="en-US"/>
        </w:rPr>
        <w:t>learning</w:t>
      </w:r>
      <w:proofErr w:type="spellEnd"/>
      <w:r w:rsidRPr="00204DBD">
        <w:rPr>
          <w:rFonts w:eastAsia="Calibri"/>
          <w:lang w:eastAsia="en-US"/>
        </w:rPr>
        <w:t xml:space="preserve"> </w:t>
      </w:r>
      <w:proofErr w:type="spellStart"/>
      <w:r w:rsidRPr="00204DBD">
        <w:rPr>
          <w:rFonts w:eastAsia="Calibri"/>
          <w:lang w:eastAsia="en-US"/>
        </w:rPr>
        <w:t>awareness</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reinforcing</w:t>
      </w:r>
      <w:proofErr w:type="spellEnd"/>
      <w:r w:rsidRPr="00204DBD">
        <w:rPr>
          <w:rFonts w:eastAsia="Calibri"/>
          <w:lang w:eastAsia="en-US"/>
        </w:rPr>
        <w:t xml:space="preserve"> a sense of </w:t>
      </w:r>
      <w:proofErr w:type="spellStart"/>
      <w:r w:rsidRPr="00204DBD">
        <w:rPr>
          <w:rFonts w:eastAsia="Calibri"/>
          <w:lang w:eastAsia="en-US"/>
        </w:rPr>
        <w:t>belonging</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w:t>
      </w:r>
      <w:proofErr w:type="spellStart"/>
      <w:r w:rsidRPr="00204DBD">
        <w:rPr>
          <w:rFonts w:eastAsia="Calibri"/>
          <w:lang w:eastAsia="en-US"/>
        </w:rPr>
        <w:t>discussion</w:t>
      </w:r>
      <w:proofErr w:type="spellEnd"/>
      <w:r w:rsidRPr="00204DBD">
        <w:rPr>
          <w:rFonts w:eastAsia="Calibri"/>
          <w:lang w:eastAsia="en-US"/>
        </w:rPr>
        <w:t xml:space="preserve"> </w:t>
      </w:r>
      <w:proofErr w:type="spellStart"/>
      <w:r w:rsidRPr="00204DBD">
        <w:rPr>
          <w:rFonts w:eastAsia="Calibri"/>
          <w:lang w:eastAsia="en-US"/>
        </w:rPr>
        <w:t>forums</w:t>
      </w:r>
      <w:proofErr w:type="spellEnd"/>
      <w:r w:rsidRPr="00204DBD">
        <w:rPr>
          <w:rFonts w:eastAsia="Calibri"/>
          <w:lang w:eastAsia="en-US"/>
        </w:rPr>
        <w:t xml:space="preserve">, </w:t>
      </w:r>
      <w:proofErr w:type="spellStart"/>
      <w:r w:rsidRPr="00204DBD">
        <w:rPr>
          <w:rFonts w:eastAsia="Calibri"/>
          <w:lang w:eastAsia="en-US"/>
        </w:rPr>
        <w:t>peer</w:t>
      </w:r>
      <w:proofErr w:type="spellEnd"/>
      <w:r w:rsidRPr="00204DBD">
        <w:rPr>
          <w:rFonts w:eastAsia="Calibri"/>
          <w:lang w:eastAsia="en-US"/>
        </w:rPr>
        <w:t xml:space="preserve"> </w:t>
      </w:r>
      <w:proofErr w:type="spellStart"/>
      <w:r w:rsidRPr="00204DBD">
        <w:rPr>
          <w:rFonts w:eastAsia="Calibri"/>
          <w:lang w:eastAsia="en-US"/>
        </w:rPr>
        <w:t>evaluations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collaborative</w:t>
      </w:r>
      <w:proofErr w:type="spellEnd"/>
      <w:r w:rsidRPr="00204DBD">
        <w:rPr>
          <w:rFonts w:eastAsia="Calibri"/>
          <w:lang w:eastAsia="en-US"/>
        </w:rPr>
        <w:t xml:space="preserve"> </w:t>
      </w:r>
      <w:proofErr w:type="spellStart"/>
      <w:r w:rsidRPr="00204DBD">
        <w:rPr>
          <w:rFonts w:eastAsia="Calibri"/>
          <w:lang w:eastAsia="en-US"/>
        </w:rPr>
        <w:t>projects</w:t>
      </w:r>
      <w:proofErr w:type="spellEnd"/>
      <w:r w:rsidRPr="00204DBD">
        <w:rPr>
          <w:rFonts w:eastAsia="Calibri"/>
          <w:lang w:eastAsia="en-US"/>
        </w:rPr>
        <w:t xml:space="preserve"> (</w:t>
      </w:r>
      <w:proofErr w:type="spellStart"/>
      <w:r w:rsidRPr="00204DBD">
        <w:rPr>
          <w:rFonts w:eastAsia="Calibri"/>
          <w:lang w:eastAsia="en-US"/>
        </w:rPr>
        <w:t>Breslow</w:t>
      </w:r>
      <w:proofErr w:type="spellEnd"/>
      <w:r w:rsidRPr="00204DBD">
        <w:rPr>
          <w:rFonts w:eastAsia="Calibri"/>
          <w:lang w:eastAsia="en-US"/>
        </w:rPr>
        <w:t xml:space="preserve"> et al., 2013).</w:t>
      </w:r>
    </w:p>
    <w:p w14:paraId="5AF876FB" w14:textId="77777777" w:rsidR="00E3302B" w:rsidRPr="00204DBD" w:rsidRDefault="00E3302B" w:rsidP="002B6256">
      <w:pPr>
        <w:tabs>
          <w:tab w:val="left" w:pos="9072"/>
        </w:tabs>
        <w:jc w:val="both"/>
      </w:pPr>
    </w:p>
    <w:p w14:paraId="08F964B0" w14:textId="77777777" w:rsidR="00E3302B" w:rsidRPr="00204DBD" w:rsidRDefault="00E3302B" w:rsidP="002B6256">
      <w:pPr>
        <w:jc w:val="both"/>
        <w:rPr>
          <w:lang w:eastAsia="en-US"/>
        </w:rPr>
      </w:pPr>
      <w:proofErr w:type="spellStart"/>
      <w:r w:rsidRPr="00204DBD">
        <w:rPr>
          <w:lang w:eastAsia="en-US"/>
        </w:rPr>
        <w:t>In</w:t>
      </w:r>
      <w:proofErr w:type="spellEnd"/>
      <w:r w:rsidRPr="00204DBD">
        <w:rPr>
          <w:lang w:eastAsia="en-US"/>
        </w:rPr>
        <w:t xml:space="preserve"> </w:t>
      </w:r>
      <w:proofErr w:type="spellStart"/>
      <w:r w:rsidRPr="00204DBD">
        <w:rPr>
          <w:lang w:eastAsia="en-US"/>
        </w:rPr>
        <w:t>this</w:t>
      </w:r>
      <w:proofErr w:type="spellEnd"/>
      <w:r w:rsidRPr="00204DBD">
        <w:rPr>
          <w:lang w:eastAsia="en-US"/>
        </w:rPr>
        <w:t xml:space="preserve"> </w:t>
      </w:r>
      <w:proofErr w:type="spellStart"/>
      <w:r w:rsidRPr="00204DBD">
        <w:rPr>
          <w:lang w:eastAsia="en-US"/>
        </w:rPr>
        <w:t>compilation</w:t>
      </w:r>
      <w:proofErr w:type="spellEnd"/>
      <w:r w:rsidRPr="00204DBD">
        <w:rPr>
          <w:lang w:eastAsia="en-US"/>
        </w:rPr>
        <w:t xml:space="preserve"> </w:t>
      </w:r>
      <w:proofErr w:type="spellStart"/>
      <w:r w:rsidRPr="00204DBD">
        <w:rPr>
          <w:lang w:eastAsia="en-US"/>
        </w:rPr>
        <w:t>article</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concept</w:t>
      </w:r>
      <w:proofErr w:type="spellEnd"/>
      <w:r w:rsidRPr="00204DBD">
        <w:rPr>
          <w:lang w:eastAsia="en-US"/>
        </w:rPr>
        <w:t xml:space="preserve"> of online/</w:t>
      </w:r>
      <w:proofErr w:type="spellStart"/>
      <w:r w:rsidRPr="00204DBD">
        <w:rPr>
          <w:lang w:eastAsia="en-US"/>
        </w:rPr>
        <w:t>digital</w:t>
      </w:r>
      <w:proofErr w:type="spellEnd"/>
      <w:r w:rsidRPr="00204DBD">
        <w:rPr>
          <w:lang w:eastAsia="en-US"/>
        </w:rPr>
        <w:t xml:space="preserve"> </w:t>
      </w:r>
      <w:proofErr w:type="spellStart"/>
      <w:r w:rsidRPr="00204DBD">
        <w:rPr>
          <w:lang w:eastAsia="en-US"/>
        </w:rPr>
        <w:t>communities</w:t>
      </w:r>
      <w:proofErr w:type="spellEnd"/>
      <w:r w:rsidRPr="00204DBD">
        <w:rPr>
          <w:lang w:eastAsia="en-US"/>
        </w:rPr>
        <w:t xml:space="preserve"> </w:t>
      </w:r>
      <w:proofErr w:type="spellStart"/>
      <w:r w:rsidRPr="00204DBD">
        <w:rPr>
          <w:lang w:eastAsia="en-US"/>
        </w:rPr>
        <w:t>and</w:t>
      </w:r>
      <w:proofErr w:type="spellEnd"/>
      <w:r w:rsidRPr="00204DBD">
        <w:rPr>
          <w:lang w:eastAsia="en-US"/>
        </w:rPr>
        <w:t xml:space="preserve"> </w:t>
      </w:r>
      <w:proofErr w:type="spellStart"/>
      <w:r w:rsidRPr="00204DBD">
        <w:rPr>
          <w:lang w:eastAsia="en-US"/>
        </w:rPr>
        <w:t>cultures</w:t>
      </w:r>
      <w:proofErr w:type="spellEnd"/>
      <w:r w:rsidRPr="00204DBD">
        <w:rPr>
          <w:lang w:eastAsia="en-US"/>
        </w:rPr>
        <w:t xml:space="preserve"> of </w:t>
      </w:r>
      <w:proofErr w:type="spellStart"/>
      <w:r w:rsidRPr="00204DBD">
        <w:rPr>
          <w:lang w:eastAsia="en-US"/>
        </w:rPr>
        <w:t>the</w:t>
      </w:r>
      <w:proofErr w:type="spellEnd"/>
      <w:r w:rsidRPr="00204DBD">
        <w:rPr>
          <w:lang w:eastAsia="en-US"/>
        </w:rPr>
        <w:t xml:space="preserve"> </w:t>
      </w:r>
      <w:proofErr w:type="spellStart"/>
      <w:r w:rsidRPr="00204DBD">
        <w:rPr>
          <w:lang w:eastAsia="en-US"/>
        </w:rPr>
        <w:t>digital</w:t>
      </w:r>
      <w:proofErr w:type="spellEnd"/>
      <w:r w:rsidRPr="00204DBD">
        <w:rPr>
          <w:lang w:eastAsia="en-US"/>
        </w:rPr>
        <w:t xml:space="preserve"> </w:t>
      </w:r>
      <w:proofErr w:type="spellStart"/>
      <w:r w:rsidRPr="00204DBD">
        <w:rPr>
          <w:lang w:eastAsia="en-US"/>
        </w:rPr>
        <w:t>world</w:t>
      </w:r>
      <w:proofErr w:type="spellEnd"/>
      <w:r w:rsidRPr="00204DBD">
        <w:rPr>
          <w:lang w:eastAsia="en-US"/>
        </w:rPr>
        <w:t xml:space="preserve"> has </w:t>
      </w:r>
      <w:proofErr w:type="spellStart"/>
      <w:r w:rsidRPr="00204DBD">
        <w:rPr>
          <w:lang w:eastAsia="en-US"/>
        </w:rPr>
        <w:t>been</w:t>
      </w:r>
      <w:proofErr w:type="spellEnd"/>
      <w:r w:rsidRPr="00204DBD">
        <w:rPr>
          <w:lang w:eastAsia="en-US"/>
        </w:rPr>
        <w:t xml:space="preserve"> </w:t>
      </w:r>
      <w:proofErr w:type="spellStart"/>
      <w:r w:rsidRPr="00204DBD">
        <w:rPr>
          <w:lang w:eastAsia="en-US"/>
        </w:rPr>
        <w:t>examined</w:t>
      </w:r>
      <w:proofErr w:type="spellEnd"/>
      <w:r w:rsidRPr="00204DBD">
        <w:rPr>
          <w:lang w:eastAsia="en-US"/>
        </w:rPr>
        <w:t xml:space="preserve"> in a </w:t>
      </w:r>
      <w:proofErr w:type="spellStart"/>
      <w:r w:rsidRPr="00204DBD">
        <w:rPr>
          <w:lang w:eastAsia="en-US"/>
        </w:rPr>
        <w:t>comprehensive</w:t>
      </w:r>
      <w:proofErr w:type="spellEnd"/>
      <w:r w:rsidRPr="00204DBD">
        <w:rPr>
          <w:lang w:eastAsia="en-US"/>
        </w:rPr>
        <w:t xml:space="preserve"> </w:t>
      </w:r>
      <w:proofErr w:type="spellStart"/>
      <w:r w:rsidRPr="00204DBD">
        <w:rPr>
          <w:lang w:eastAsia="en-US"/>
        </w:rPr>
        <w:t>way</w:t>
      </w:r>
      <w:proofErr w:type="spellEnd"/>
      <w:r w:rsidRPr="00204DBD">
        <w:rPr>
          <w:lang w:eastAsia="en-US"/>
        </w:rPr>
        <w:t xml:space="preserve"> </w:t>
      </w:r>
      <w:proofErr w:type="spellStart"/>
      <w:r w:rsidRPr="00204DBD">
        <w:rPr>
          <w:lang w:eastAsia="en-US"/>
        </w:rPr>
        <w:t>with</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academic</w:t>
      </w:r>
      <w:proofErr w:type="spellEnd"/>
      <w:r w:rsidRPr="00204DBD">
        <w:rPr>
          <w:lang w:eastAsia="en-US"/>
        </w:rPr>
        <w:t xml:space="preserve"> </w:t>
      </w:r>
      <w:proofErr w:type="spellStart"/>
      <w:r w:rsidRPr="00204DBD">
        <w:rPr>
          <w:lang w:eastAsia="en-US"/>
        </w:rPr>
        <w:t>studies</w:t>
      </w:r>
      <w:proofErr w:type="spellEnd"/>
      <w:r w:rsidRPr="00204DBD">
        <w:rPr>
          <w:lang w:eastAsia="en-US"/>
        </w:rPr>
        <w:t xml:space="preserve"> </w:t>
      </w:r>
      <w:proofErr w:type="spellStart"/>
      <w:r w:rsidRPr="00204DBD">
        <w:rPr>
          <w:lang w:eastAsia="en-US"/>
        </w:rPr>
        <w:t>and</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thematic</w:t>
      </w:r>
      <w:proofErr w:type="spellEnd"/>
      <w:r w:rsidRPr="00204DBD">
        <w:rPr>
          <w:lang w:eastAsia="en-US"/>
        </w:rPr>
        <w:t xml:space="preserve"> </w:t>
      </w:r>
      <w:proofErr w:type="spellStart"/>
      <w:r w:rsidRPr="00204DBD">
        <w:rPr>
          <w:lang w:eastAsia="en-US"/>
        </w:rPr>
        <w:t>information</w:t>
      </w:r>
      <w:proofErr w:type="spellEnd"/>
      <w:r w:rsidRPr="00204DBD">
        <w:rPr>
          <w:lang w:eastAsia="en-US"/>
        </w:rPr>
        <w:t xml:space="preserve"> </w:t>
      </w:r>
      <w:proofErr w:type="spellStart"/>
      <w:r w:rsidRPr="00204DBD">
        <w:rPr>
          <w:lang w:eastAsia="en-US"/>
        </w:rPr>
        <w:t>regarding</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literature</w:t>
      </w:r>
      <w:proofErr w:type="spellEnd"/>
      <w:r w:rsidRPr="00204DBD">
        <w:rPr>
          <w:lang w:eastAsia="en-US"/>
        </w:rPr>
        <w:t xml:space="preserve">. </w:t>
      </w:r>
      <w:proofErr w:type="spellStart"/>
      <w:r w:rsidRPr="00204DBD">
        <w:rPr>
          <w:lang w:eastAsia="en-US"/>
        </w:rPr>
        <w:t>In</w:t>
      </w:r>
      <w:proofErr w:type="spellEnd"/>
      <w:r w:rsidRPr="00204DBD">
        <w:rPr>
          <w:lang w:eastAsia="en-US"/>
        </w:rPr>
        <w:t xml:space="preserve"> </w:t>
      </w:r>
      <w:proofErr w:type="spellStart"/>
      <w:r w:rsidRPr="00204DBD">
        <w:rPr>
          <w:lang w:eastAsia="en-US"/>
        </w:rPr>
        <w:t>this</w:t>
      </w:r>
      <w:proofErr w:type="spellEnd"/>
      <w:r w:rsidRPr="00204DBD">
        <w:rPr>
          <w:lang w:eastAsia="en-US"/>
        </w:rPr>
        <w:t xml:space="preserve"> </w:t>
      </w:r>
      <w:proofErr w:type="spellStart"/>
      <w:r w:rsidRPr="00204DBD">
        <w:rPr>
          <w:lang w:eastAsia="en-US"/>
        </w:rPr>
        <w:t>context</w:t>
      </w:r>
      <w:proofErr w:type="spellEnd"/>
      <w:r w:rsidRPr="00204DBD">
        <w:rPr>
          <w:lang w:eastAsia="en-US"/>
        </w:rPr>
        <w:t xml:space="preserve">, </w:t>
      </w:r>
      <w:proofErr w:type="spellStart"/>
      <w:r w:rsidRPr="00204DBD">
        <w:rPr>
          <w:lang w:eastAsia="en-US"/>
        </w:rPr>
        <w:t>this</w:t>
      </w:r>
      <w:proofErr w:type="spellEnd"/>
      <w:r w:rsidRPr="00204DBD">
        <w:rPr>
          <w:lang w:eastAsia="en-US"/>
        </w:rPr>
        <w:t xml:space="preserve"> </w:t>
      </w:r>
      <w:proofErr w:type="spellStart"/>
      <w:r w:rsidRPr="00204DBD">
        <w:rPr>
          <w:lang w:eastAsia="en-US"/>
        </w:rPr>
        <w:t>study</w:t>
      </w:r>
      <w:proofErr w:type="spellEnd"/>
      <w:r w:rsidRPr="00204DBD">
        <w:rPr>
          <w:lang w:eastAsia="en-US"/>
        </w:rPr>
        <w:t xml:space="preserve"> </w:t>
      </w:r>
      <w:proofErr w:type="spellStart"/>
      <w:r w:rsidRPr="00204DBD">
        <w:rPr>
          <w:lang w:eastAsia="en-US"/>
        </w:rPr>
        <w:t>aims</w:t>
      </w:r>
      <w:proofErr w:type="spellEnd"/>
      <w:r w:rsidRPr="00204DBD">
        <w:rPr>
          <w:lang w:eastAsia="en-US"/>
        </w:rPr>
        <w:t xml:space="preserve"> </w:t>
      </w:r>
      <w:proofErr w:type="spellStart"/>
      <w:r w:rsidRPr="00204DBD">
        <w:rPr>
          <w:lang w:eastAsia="en-US"/>
        </w:rPr>
        <w:t>to</w:t>
      </w:r>
      <w:proofErr w:type="spellEnd"/>
      <w:r w:rsidRPr="00204DBD">
        <w:rPr>
          <w:lang w:eastAsia="en-US"/>
        </w:rPr>
        <w:t xml:space="preserve"> </w:t>
      </w:r>
      <w:proofErr w:type="spellStart"/>
      <w:r w:rsidRPr="00204DBD">
        <w:rPr>
          <w:lang w:eastAsia="en-US"/>
        </w:rPr>
        <w:t>discuss</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new</w:t>
      </w:r>
      <w:proofErr w:type="spellEnd"/>
      <w:r w:rsidRPr="00204DBD">
        <w:rPr>
          <w:lang w:eastAsia="en-US"/>
        </w:rPr>
        <w:t xml:space="preserve"> </w:t>
      </w:r>
      <w:proofErr w:type="spellStart"/>
      <w:r w:rsidRPr="00204DBD">
        <w:rPr>
          <w:lang w:eastAsia="en-US"/>
        </w:rPr>
        <w:t>cultural</w:t>
      </w:r>
      <w:proofErr w:type="spellEnd"/>
      <w:r w:rsidRPr="00204DBD">
        <w:rPr>
          <w:lang w:eastAsia="en-US"/>
        </w:rPr>
        <w:t xml:space="preserve"> </w:t>
      </w:r>
      <w:proofErr w:type="spellStart"/>
      <w:r w:rsidRPr="00204DBD">
        <w:rPr>
          <w:lang w:eastAsia="en-US"/>
        </w:rPr>
        <w:t>forms</w:t>
      </w:r>
      <w:proofErr w:type="spellEnd"/>
      <w:r w:rsidRPr="00204DBD">
        <w:rPr>
          <w:lang w:eastAsia="en-US"/>
        </w:rPr>
        <w:t xml:space="preserve"> of </w:t>
      </w:r>
      <w:proofErr w:type="spellStart"/>
      <w:r w:rsidRPr="00204DBD">
        <w:rPr>
          <w:lang w:eastAsia="en-US"/>
        </w:rPr>
        <w:t>the</w:t>
      </w:r>
      <w:proofErr w:type="spellEnd"/>
      <w:r w:rsidRPr="00204DBD">
        <w:rPr>
          <w:lang w:eastAsia="en-US"/>
        </w:rPr>
        <w:t xml:space="preserve"> </w:t>
      </w:r>
      <w:proofErr w:type="spellStart"/>
      <w:r w:rsidRPr="00204DBD">
        <w:rPr>
          <w:lang w:eastAsia="en-US"/>
        </w:rPr>
        <w:t>digital</w:t>
      </w:r>
      <w:proofErr w:type="spellEnd"/>
      <w:r w:rsidRPr="00204DBD">
        <w:rPr>
          <w:lang w:eastAsia="en-US"/>
        </w:rPr>
        <w:t xml:space="preserve"> </w:t>
      </w:r>
      <w:proofErr w:type="spellStart"/>
      <w:r w:rsidRPr="00204DBD">
        <w:rPr>
          <w:lang w:eastAsia="en-US"/>
        </w:rPr>
        <w:t>society</w:t>
      </w:r>
      <w:proofErr w:type="spellEnd"/>
      <w:r w:rsidRPr="00204DBD">
        <w:rPr>
          <w:lang w:eastAsia="en-US"/>
        </w:rPr>
        <w:t xml:space="preserve">, </w:t>
      </w:r>
      <w:proofErr w:type="spellStart"/>
      <w:r w:rsidRPr="00204DBD">
        <w:rPr>
          <w:lang w:eastAsia="en-US"/>
        </w:rPr>
        <w:t>alternative</w:t>
      </w:r>
      <w:proofErr w:type="spellEnd"/>
      <w:r w:rsidRPr="00204DBD">
        <w:rPr>
          <w:lang w:eastAsia="en-US"/>
        </w:rPr>
        <w:t xml:space="preserve"> </w:t>
      </w:r>
      <w:proofErr w:type="spellStart"/>
      <w:r w:rsidRPr="00204DBD">
        <w:rPr>
          <w:lang w:eastAsia="en-US"/>
        </w:rPr>
        <w:t>ways</w:t>
      </w:r>
      <w:proofErr w:type="spellEnd"/>
      <w:r w:rsidRPr="00204DBD">
        <w:rPr>
          <w:lang w:eastAsia="en-US"/>
        </w:rPr>
        <w:t xml:space="preserve"> of </w:t>
      </w:r>
      <w:proofErr w:type="spellStart"/>
      <w:r w:rsidRPr="00204DBD">
        <w:rPr>
          <w:lang w:eastAsia="en-US"/>
        </w:rPr>
        <w:t>communicating</w:t>
      </w:r>
      <w:proofErr w:type="spellEnd"/>
      <w:r w:rsidRPr="00204DBD">
        <w:rPr>
          <w:lang w:eastAsia="en-US"/>
        </w:rPr>
        <w:t xml:space="preserve"> </w:t>
      </w:r>
      <w:proofErr w:type="spellStart"/>
      <w:r w:rsidRPr="00204DBD">
        <w:rPr>
          <w:lang w:eastAsia="en-US"/>
        </w:rPr>
        <w:t>through</w:t>
      </w:r>
      <w:proofErr w:type="spellEnd"/>
      <w:r w:rsidRPr="00204DBD">
        <w:rPr>
          <w:lang w:eastAsia="en-US"/>
        </w:rPr>
        <w:t xml:space="preserve"> </w:t>
      </w:r>
      <w:proofErr w:type="spellStart"/>
      <w:r w:rsidRPr="00204DBD">
        <w:rPr>
          <w:lang w:eastAsia="en-US"/>
        </w:rPr>
        <w:t>digital</w:t>
      </w:r>
      <w:proofErr w:type="spellEnd"/>
      <w:r w:rsidRPr="00204DBD">
        <w:rPr>
          <w:lang w:eastAsia="en-US"/>
        </w:rPr>
        <w:t xml:space="preserve"> </w:t>
      </w:r>
      <w:proofErr w:type="spellStart"/>
      <w:r w:rsidRPr="00204DBD">
        <w:rPr>
          <w:lang w:eastAsia="en-US"/>
        </w:rPr>
        <w:t>media</w:t>
      </w:r>
      <w:proofErr w:type="spellEnd"/>
      <w:r w:rsidRPr="00204DBD">
        <w:rPr>
          <w:lang w:eastAsia="en-US"/>
        </w:rPr>
        <w:t xml:space="preserve"> </w:t>
      </w:r>
      <w:proofErr w:type="spellStart"/>
      <w:r w:rsidRPr="00204DBD">
        <w:rPr>
          <w:lang w:eastAsia="en-US"/>
        </w:rPr>
        <w:t>and</w:t>
      </w:r>
      <w:proofErr w:type="spellEnd"/>
      <w:r w:rsidRPr="00204DBD">
        <w:rPr>
          <w:lang w:eastAsia="en-US"/>
        </w:rPr>
        <w:t xml:space="preserve"> </w:t>
      </w:r>
      <w:proofErr w:type="spellStart"/>
      <w:r w:rsidRPr="00204DBD">
        <w:rPr>
          <w:lang w:eastAsia="en-US"/>
        </w:rPr>
        <w:t>analyzing</w:t>
      </w:r>
      <w:proofErr w:type="spellEnd"/>
      <w:r w:rsidRPr="00204DBD">
        <w:rPr>
          <w:lang w:eastAsia="en-US"/>
        </w:rPr>
        <w:t xml:space="preserve"> </w:t>
      </w:r>
      <w:proofErr w:type="spellStart"/>
      <w:r w:rsidRPr="00204DBD">
        <w:rPr>
          <w:lang w:eastAsia="en-US"/>
        </w:rPr>
        <w:t>the</w:t>
      </w:r>
      <w:proofErr w:type="spellEnd"/>
      <w:r w:rsidRPr="00204DBD">
        <w:rPr>
          <w:lang w:eastAsia="en-US"/>
        </w:rPr>
        <w:t xml:space="preserve"> </w:t>
      </w:r>
      <w:proofErr w:type="spellStart"/>
      <w:r w:rsidRPr="00204DBD">
        <w:rPr>
          <w:lang w:eastAsia="en-US"/>
        </w:rPr>
        <w:t>functions</w:t>
      </w:r>
      <w:proofErr w:type="spellEnd"/>
      <w:r w:rsidRPr="00204DBD">
        <w:rPr>
          <w:lang w:eastAsia="en-US"/>
        </w:rPr>
        <w:t xml:space="preserve"> of </w:t>
      </w:r>
      <w:proofErr w:type="spellStart"/>
      <w:r w:rsidRPr="00204DBD">
        <w:rPr>
          <w:lang w:eastAsia="en-US"/>
        </w:rPr>
        <w:t>these</w:t>
      </w:r>
      <w:proofErr w:type="spellEnd"/>
      <w:r w:rsidRPr="00204DBD">
        <w:rPr>
          <w:lang w:eastAsia="en-US"/>
        </w:rPr>
        <w:t xml:space="preserve"> online </w:t>
      </w:r>
      <w:proofErr w:type="spellStart"/>
      <w:r w:rsidRPr="00204DBD">
        <w:rPr>
          <w:lang w:eastAsia="en-US"/>
        </w:rPr>
        <w:t>communities</w:t>
      </w:r>
      <w:proofErr w:type="spellEnd"/>
      <w:r w:rsidRPr="00204DBD">
        <w:rPr>
          <w:lang w:eastAsia="en-US"/>
        </w:rPr>
        <w:t xml:space="preserve"> in </w:t>
      </w:r>
      <w:proofErr w:type="spellStart"/>
      <w:r w:rsidRPr="00204DBD">
        <w:rPr>
          <w:lang w:eastAsia="en-US"/>
        </w:rPr>
        <w:t>the</w:t>
      </w:r>
      <w:proofErr w:type="spellEnd"/>
      <w:r w:rsidRPr="00204DBD">
        <w:rPr>
          <w:lang w:eastAsia="en-US"/>
        </w:rPr>
        <w:t xml:space="preserve"> </w:t>
      </w:r>
      <w:proofErr w:type="spellStart"/>
      <w:r w:rsidRPr="00204DBD">
        <w:rPr>
          <w:lang w:eastAsia="en-US"/>
        </w:rPr>
        <w:t>light</w:t>
      </w:r>
      <w:proofErr w:type="spellEnd"/>
      <w:r w:rsidRPr="00204DBD">
        <w:rPr>
          <w:lang w:eastAsia="en-US"/>
        </w:rPr>
        <w:t xml:space="preserve"> of </w:t>
      </w:r>
      <w:proofErr w:type="spellStart"/>
      <w:r w:rsidRPr="00204DBD">
        <w:rPr>
          <w:lang w:eastAsia="en-US"/>
        </w:rPr>
        <w:t>the</w:t>
      </w:r>
      <w:proofErr w:type="spellEnd"/>
      <w:r w:rsidRPr="00204DBD">
        <w:rPr>
          <w:lang w:eastAsia="en-US"/>
        </w:rPr>
        <w:t xml:space="preserve"> </w:t>
      </w:r>
      <w:proofErr w:type="spellStart"/>
      <w:r w:rsidRPr="00204DBD">
        <w:rPr>
          <w:lang w:eastAsia="en-US"/>
        </w:rPr>
        <w:t>current</w:t>
      </w:r>
      <w:proofErr w:type="spellEnd"/>
      <w:r w:rsidRPr="00204DBD">
        <w:rPr>
          <w:lang w:eastAsia="en-US"/>
        </w:rPr>
        <w:t xml:space="preserve"> </w:t>
      </w:r>
      <w:proofErr w:type="spellStart"/>
      <w:r w:rsidRPr="00204DBD">
        <w:rPr>
          <w:lang w:eastAsia="en-US"/>
        </w:rPr>
        <w:t>researches</w:t>
      </w:r>
      <w:proofErr w:type="spellEnd"/>
      <w:r w:rsidRPr="00204DBD">
        <w:rPr>
          <w:lang w:eastAsia="en-US"/>
        </w:rPr>
        <w:t xml:space="preserve"> in </w:t>
      </w:r>
      <w:proofErr w:type="spellStart"/>
      <w:r w:rsidRPr="00204DBD">
        <w:rPr>
          <w:lang w:eastAsia="en-US"/>
        </w:rPr>
        <w:t>the</w:t>
      </w:r>
      <w:proofErr w:type="spellEnd"/>
      <w:r w:rsidRPr="00204DBD">
        <w:rPr>
          <w:lang w:eastAsia="en-US"/>
        </w:rPr>
        <w:t xml:space="preserve"> </w:t>
      </w:r>
      <w:proofErr w:type="spellStart"/>
      <w:r w:rsidRPr="00204DBD">
        <w:rPr>
          <w:lang w:eastAsia="en-US"/>
        </w:rPr>
        <w:t>field</w:t>
      </w:r>
      <w:proofErr w:type="spellEnd"/>
      <w:r w:rsidRPr="00204DBD">
        <w:rPr>
          <w:lang w:eastAsia="en-US"/>
        </w:rPr>
        <w:t xml:space="preserve">, </w:t>
      </w:r>
      <w:proofErr w:type="spellStart"/>
      <w:r w:rsidRPr="00204DBD">
        <w:rPr>
          <w:lang w:eastAsia="en-US"/>
        </w:rPr>
        <w:t>also</w:t>
      </w:r>
      <w:proofErr w:type="spellEnd"/>
      <w:r w:rsidRPr="00204DBD">
        <w:rPr>
          <w:lang w:eastAsia="en-US"/>
        </w:rPr>
        <w:t xml:space="preserve"> </w:t>
      </w:r>
      <w:proofErr w:type="spellStart"/>
      <w:r w:rsidRPr="00204DBD">
        <w:rPr>
          <w:lang w:eastAsia="en-US"/>
        </w:rPr>
        <w:t>try</w:t>
      </w:r>
      <w:proofErr w:type="spellEnd"/>
      <w:r w:rsidRPr="00204DBD">
        <w:rPr>
          <w:lang w:eastAsia="en-US"/>
        </w:rPr>
        <w:t xml:space="preserve"> </w:t>
      </w:r>
      <w:proofErr w:type="spellStart"/>
      <w:r w:rsidRPr="00204DBD">
        <w:rPr>
          <w:lang w:eastAsia="en-US"/>
        </w:rPr>
        <w:t>to</w:t>
      </w:r>
      <w:proofErr w:type="spellEnd"/>
      <w:r w:rsidRPr="00204DBD">
        <w:rPr>
          <w:lang w:eastAsia="en-US"/>
        </w:rPr>
        <w:t xml:space="preserve"> </w:t>
      </w:r>
      <w:proofErr w:type="spellStart"/>
      <w:r w:rsidRPr="00204DBD">
        <w:rPr>
          <w:lang w:eastAsia="en-US"/>
        </w:rPr>
        <w:t>i</w:t>
      </w:r>
      <w:r w:rsidRPr="00204DBD">
        <w:rPr>
          <w:rFonts w:eastAsia="Calibri"/>
          <w:lang w:eastAsia="en-US"/>
        </w:rPr>
        <w:t>dentify</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areas</w:t>
      </w:r>
      <w:proofErr w:type="spellEnd"/>
      <w:r w:rsidRPr="00204DBD">
        <w:rPr>
          <w:rFonts w:eastAsia="Calibri"/>
          <w:lang w:eastAsia="en-US"/>
        </w:rPr>
        <w:t xml:space="preserve"> </w:t>
      </w:r>
      <w:proofErr w:type="spellStart"/>
      <w:r w:rsidRPr="00204DBD">
        <w:rPr>
          <w:rFonts w:eastAsia="Calibri"/>
          <w:lang w:eastAsia="en-US"/>
        </w:rPr>
        <w:t>where</w:t>
      </w:r>
      <w:proofErr w:type="spellEnd"/>
      <w:r w:rsidRPr="00204DBD">
        <w:rPr>
          <w:rFonts w:eastAsia="Calibri"/>
          <w:lang w:eastAsia="en-US"/>
        </w:rPr>
        <w:t xml:space="preserve"> </w:t>
      </w:r>
      <w:proofErr w:type="spellStart"/>
      <w:r w:rsidRPr="00204DBD">
        <w:rPr>
          <w:rFonts w:eastAsia="Calibri"/>
          <w:lang w:eastAsia="en-US"/>
        </w:rPr>
        <w:t>further</w:t>
      </w:r>
      <w:proofErr w:type="spellEnd"/>
      <w:r w:rsidRPr="00204DBD">
        <w:rPr>
          <w:rFonts w:eastAsia="Calibri"/>
          <w:lang w:eastAsia="en-US"/>
        </w:rPr>
        <w:t xml:space="preserve"> </w:t>
      </w:r>
      <w:proofErr w:type="spellStart"/>
      <w:r w:rsidRPr="00204DBD">
        <w:rPr>
          <w:rFonts w:eastAsia="Calibri"/>
          <w:lang w:eastAsia="en-US"/>
        </w:rPr>
        <w:t>research</w:t>
      </w:r>
      <w:proofErr w:type="spellEnd"/>
      <w:r w:rsidRPr="00204DBD">
        <w:rPr>
          <w:rFonts w:eastAsia="Calibri"/>
          <w:lang w:eastAsia="en-US"/>
        </w:rPr>
        <w:t xml:space="preserve"> is </w:t>
      </w:r>
      <w:proofErr w:type="spellStart"/>
      <w:r w:rsidRPr="00204DBD">
        <w:rPr>
          <w:rFonts w:eastAsia="Calibri"/>
          <w:lang w:eastAsia="en-US"/>
        </w:rPr>
        <w:t>needed</w:t>
      </w:r>
      <w:proofErr w:type="spellEnd"/>
      <w:r w:rsidRPr="00204DBD">
        <w:rPr>
          <w:rFonts w:eastAsia="Calibri"/>
          <w:lang w:eastAsia="en-US"/>
        </w:rPr>
        <w:t xml:space="preserve">. </w:t>
      </w:r>
      <w:r w:rsidRPr="00204DBD">
        <w:rPr>
          <w:lang w:eastAsia="en-US"/>
        </w:rPr>
        <w:t xml:space="preserve"> </w:t>
      </w:r>
    </w:p>
    <w:p w14:paraId="62985DD2" w14:textId="77777777" w:rsidR="00E3302B" w:rsidRPr="00204DBD" w:rsidRDefault="00E3302B" w:rsidP="002B6256">
      <w:pPr>
        <w:jc w:val="both"/>
        <w:rPr>
          <w:rFonts w:eastAsia="Calibri"/>
          <w:lang w:eastAsia="en-US"/>
        </w:rPr>
      </w:pPr>
    </w:p>
    <w:p w14:paraId="0A542FBD" w14:textId="77777777" w:rsidR="00E3302B" w:rsidRPr="00204DBD" w:rsidRDefault="00E3302B" w:rsidP="002B6256">
      <w:pPr>
        <w:jc w:val="both"/>
        <w:rPr>
          <w:rFonts w:eastAsia="Calibri"/>
          <w:lang w:eastAsia="en-US"/>
        </w:rPr>
      </w:pPr>
      <w:proofErr w:type="spellStart"/>
      <w:r w:rsidRPr="00204DBD">
        <w:rPr>
          <w:rFonts w:eastAsia="Calibri"/>
          <w:lang w:eastAsia="en-US"/>
        </w:rPr>
        <w:t>In</w:t>
      </w:r>
      <w:proofErr w:type="spellEnd"/>
      <w:r w:rsidRPr="00204DBD">
        <w:rPr>
          <w:rFonts w:eastAsia="Calibri"/>
          <w:lang w:eastAsia="en-US"/>
        </w:rPr>
        <w:t xml:space="preserve"> </w:t>
      </w:r>
      <w:proofErr w:type="spellStart"/>
      <w:r w:rsidRPr="00204DBD">
        <w:rPr>
          <w:rFonts w:eastAsia="Calibri"/>
          <w:lang w:eastAsia="en-US"/>
        </w:rPr>
        <w:t>line</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opportunities</w:t>
      </w:r>
      <w:proofErr w:type="spellEnd"/>
      <w:r w:rsidRPr="00204DBD">
        <w:rPr>
          <w:rFonts w:eastAsia="Calibri"/>
          <w:lang w:eastAsia="en-US"/>
        </w:rPr>
        <w:t xml:space="preserve"> </w:t>
      </w:r>
      <w:proofErr w:type="spellStart"/>
      <w:r w:rsidRPr="00204DBD">
        <w:rPr>
          <w:rFonts w:eastAsia="Calibri"/>
          <w:lang w:eastAsia="en-US"/>
        </w:rPr>
        <w:t>offered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internet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can </w:t>
      </w:r>
      <w:proofErr w:type="spellStart"/>
      <w:r w:rsidRPr="00204DBD">
        <w:rPr>
          <w:rFonts w:eastAsia="Calibri"/>
          <w:lang w:eastAsia="en-US"/>
        </w:rPr>
        <w:t>come</w:t>
      </w:r>
      <w:proofErr w:type="spellEnd"/>
      <w:r w:rsidRPr="00204DBD">
        <w:rPr>
          <w:rFonts w:eastAsia="Calibri"/>
          <w:lang w:eastAsia="en-US"/>
        </w:rPr>
        <w:t xml:space="preserve"> </w:t>
      </w:r>
      <w:proofErr w:type="spellStart"/>
      <w:r w:rsidRPr="00204DBD">
        <w:rPr>
          <w:rFonts w:eastAsia="Calibri"/>
          <w:lang w:eastAsia="en-US"/>
        </w:rPr>
        <w:t>together</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interact</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people</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common</w:t>
      </w:r>
      <w:proofErr w:type="spellEnd"/>
      <w:r w:rsidRPr="00204DBD">
        <w:rPr>
          <w:rFonts w:eastAsia="Calibri"/>
          <w:lang w:eastAsia="en-US"/>
        </w:rPr>
        <w:t xml:space="preserve"> </w:t>
      </w:r>
      <w:proofErr w:type="spellStart"/>
      <w:r w:rsidRPr="00204DBD">
        <w:rPr>
          <w:rFonts w:eastAsia="Calibri"/>
          <w:lang w:eastAsia="en-US"/>
        </w:rPr>
        <w:t>interests</w:t>
      </w:r>
      <w:proofErr w:type="spellEnd"/>
      <w:r w:rsidRPr="00204DBD">
        <w:rPr>
          <w:rFonts w:eastAsia="Calibri"/>
          <w:lang w:eastAsia="en-US"/>
        </w:rPr>
        <w:t xml:space="preserve">, </w:t>
      </w:r>
      <w:proofErr w:type="spellStart"/>
      <w:r w:rsidRPr="00204DBD">
        <w:rPr>
          <w:rFonts w:eastAsia="Calibri"/>
          <w:lang w:eastAsia="en-US"/>
        </w:rPr>
        <w:t>regardless</w:t>
      </w:r>
      <w:proofErr w:type="spellEnd"/>
      <w:r w:rsidRPr="00204DBD">
        <w:rPr>
          <w:rFonts w:eastAsia="Calibri"/>
          <w:lang w:eastAsia="en-US"/>
        </w:rPr>
        <w:t xml:space="preserve"> of </w:t>
      </w:r>
      <w:proofErr w:type="spellStart"/>
      <w:r w:rsidRPr="00204DBD">
        <w:rPr>
          <w:rFonts w:eastAsia="Calibri"/>
          <w:lang w:eastAsia="en-US"/>
        </w:rPr>
        <w:t>geographical</w:t>
      </w:r>
      <w:proofErr w:type="spellEnd"/>
      <w:r w:rsidRPr="00204DBD">
        <w:rPr>
          <w:rFonts w:eastAsia="Calibri"/>
          <w:lang w:eastAsia="en-US"/>
        </w:rPr>
        <w:t xml:space="preserve"> </w:t>
      </w:r>
      <w:proofErr w:type="spellStart"/>
      <w:r w:rsidRPr="00204DBD">
        <w:rPr>
          <w:rFonts w:eastAsia="Calibri"/>
          <w:lang w:eastAsia="en-US"/>
        </w:rPr>
        <w:t>limitations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can </w:t>
      </w:r>
      <w:proofErr w:type="spellStart"/>
      <w:r w:rsidRPr="00204DBD">
        <w:rPr>
          <w:rFonts w:eastAsia="Calibri"/>
          <w:lang w:eastAsia="en-US"/>
        </w:rPr>
        <w:t>meet</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other</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various</w:t>
      </w:r>
      <w:proofErr w:type="spellEnd"/>
      <w:r w:rsidRPr="00204DBD">
        <w:rPr>
          <w:rFonts w:eastAsia="Calibri"/>
          <w:lang w:eastAsia="en-US"/>
        </w:rPr>
        <w:t xml:space="preserve"> </w:t>
      </w:r>
      <w:proofErr w:type="spellStart"/>
      <w:r w:rsidRPr="00204DBD">
        <w:rPr>
          <w:rFonts w:eastAsia="Calibri"/>
          <w:lang w:eastAsia="en-US"/>
        </w:rPr>
        <w:t>purposes</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sharing</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seeking</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support</w:t>
      </w:r>
      <w:proofErr w:type="spellEnd"/>
      <w:r w:rsidRPr="00204DBD">
        <w:rPr>
          <w:rFonts w:eastAsia="Calibri"/>
          <w:lang w:eastAsia="en-US"/>
        </w:rPr>
        <w:t xml:space="preserve">, </w:t>
      </w:r>
      <w:proofErr w:type="spellStart"/>
      <w:r w:rsidRPr="00204DBD">
        <w:rPr>
          <w:rFonts w:eastAsia="Calibri"/>
          <w:lang w:eastAsia="en-US"/>
        </w:rPr>
        <w:t>from</w:t>
      </w:r>
      <w:proofErr w:type="spellEnd"/>
      <w:r w:rsidRPr="00204DBD">
        <w:rPr>
          <w:rFonts w:eastAsia="Calibri"/>
          <w:lang w:eastAsia="en-US"/>
        </w:rPr>
        <w:t xml:space="preserve"> </w:t>
      </w:r>
      <w:proofErr w:type="spellStart"/>
      <w:r w:rsidRPr="00204DBD">
        <w:rPr>
          <w:rFonts w:eastAsia="Calibri"/>
          <w:lang w:eastAsia="en-US"/>
        </w:rPr>
        <w:t>collaboration</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entertainment</w:t>
      </w:r>
      <w:proofErr w:type="spellEnd"/>
      <w:r w:rsidRPr="00204DBD">
        <w:rPr>
          <w:rFonts w:eastAsia="Calibri"/>
          <w:lang w:eastAsia="en-US"/>
        </w:rPr>
        <w:t xml:space="preserve">, </w:t>
      </w:r>
      <w:proofErr w:type="spellStart"/>
      <w:r w:rsidRPr="00204DBD">
        <w:rPr>
          <w:rFonts w:eastAsia="Calibri"/>
          <w:lang w:eastAsia="en-US"/>
        </w:rPr>
        <w:t>through</w:t>
      </w:r>
      <w:proofErr w:type="spellEnd"/>
      <w:r w:rsidRPr="00204DBD">
        <w:rPr>
          <w:rFonts w:eastAsia="Calibri"/>
          <w:lang w:eastAsia="en-US"/>
        </w:rPr>
        <w:t xml:space="preserve"> online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which</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important</w:t>
      </w:r>
      <w:proofErr w:type="spellEnd"/>
      <w:r w:rsidRPr="00204DBD">
        <w:rPr>
          <w:rFonts w:eastAsia="Calibri"/>
          <w:lang w:eastAsia="en-US"/>
        </w:rPr>
        <w:t xml:space="preserve"> </w:t>
      </w:r>
      <w:proofErr w:type="spellStart"/>
      <w:r w:rsidRPr="00204DBD">
        <w:rPr>
          <w:rFonts w:eastAsia="Calibri"/>
          <w:lang w:eastAsia="en-US"/>
        </w:rPr>
        <w:t>elements</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digital</w:t>
      </w:r>
      <w:proofErr w:type="spellEnd"/>
      <w:r w:rsidRPr="00204DBD">
        <w:rPr>
          <w:rFonts w:eastAsia="Calibri"/>
          <w:lang w:eastAsia="en-US"/>
        </w:rPr>
        <w:t xml:space="preserve"> age. Online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significantly</w:t>
      </w:r>
      <w:proofErr w:type="spellEnd"/>
      <w:r w:rsidRPr="00204DBD">
        <w:rPr>
          <w:rFonts w:eastAsia="Calibri"/>
          <w:lang w:eastAsia="en-US"/>
        </w:rPr>
        <w:t xml:space="preserve"> </w:t>
      </w:r>
      <w:proofErr w:type="spellStart"/>
      <w:r w:rsidRPr="00204DBD">
        <w:rPr>
          <w:rFonts w:eastAsia="Calibri"/>
          <w:lang w:eastAsia="en-US"/>
        </w:rPr>
        <w:t>affect</w:t>
      </w:r>
      <w:proofErr w:type="spellEnd"/>
      <w:r w:rsidRPr="00204DBD">
        <w:rPr>
          <w:rFonts w:eastAsia="Calibri"/>
          <w:lang w:eastAsia="en-US"/>
        </w:rPr>
        <w:t xml:space="preserve"> </w:t>
      </w:r>
      <w:proofErr w:type="spellStart"/>
      <w:r w:rsidRPr="00204DBD">
        <w:rPr>
          <w:rFonts w:eastAsia="Calibri"/>
          <w:lang w:eastAsia="en-US"/>
        </w:rPr>
        <w:t>individuals</w:t>
      </w:r>
      <w:proofErr w:type="spellEnd"/>
      <w:r w:rsidRPr="00204DBD">
        <w:rPr>
          <w:rFonts w:eastAsia="Calibri"/>
          <w:lang w:eastAsia="en-US"/>
        </w:rPr>
        <w:t xml:space="preserve">' </w:t>
      </w:r>
      <w:proofErr w:type="spellStart"/>
      <w:r w:rsidRPr="00204DBD">
        <w:rPr>
          <w:rFonts w:eastAsia="Calibri"/>
          <w:lang w:eastAsia="en-US"/>
        </w:rPr>
        <w:t>processes</w:t>
      </w:r>
      <w:proofErr w:type="spellEnd"/>
      <w:r w:rsidRPr="00204DBD">
        <w:rPr>
          <w:rFonts w:eastAsia="Calibri"/>
          <w:lang w:eastAsia="en-US"/>
        </w:rPr>
        <w:t xml:space="preserve"> of </w:t>
      </w:r>
      <w:proofErr w:type="spellStart"/>
      <w:r w:rsidRPr="00204DBD">
        <w:rPr>
          <w:rFonts w:eastAsia="Calibri"/>
          <w:lang w:eastAsia="en-US"/>
        </w:rPr>
        <w:t>meeting</w:t>
      </w:r>
      <w:proofErr w:type="spellEnd"/>
      <w:r w:rsidRPr="00204DBD">
        <w:rPr>
          <w:rFonts w:eastAsia="Calibri"/>
          <w:lang w:eastAsia="en-US"/>
        </w:rPr>
        <w:t xml:space="preserve"> </w:t>
      </w:r>
      <w:proofErr w:type="spellStart"/>
      <w:r w:rsidRPr="00204DBD">
        <w:rPr>
          <w:rFonts w:eastAsia="Calibri"/>
          <w:lang w:eastAsia="en-US"/>
        </w:rPr>
        <w:t>their</w:t>
      </w:r>
      <w:proofErr w:type="spellEnd"/>
      <w:r w:rsidRPr="00204DBD">
        <w:rPr>
          <w:rFonts w:eastAsia="Calibri"/>
          <w:lang w:eastAsia="en-US"/>
        </w:rPr>
        <w:t xml:space="preserve"> </w:t>
      </w:r>
      <w:proofErr w:type="spellStart"/>
      <w:r w:rsidRPr="00204DBD">
        <w:rPr>
          <w:rFonts w:eastAsia="Calibri"/>
          <w:lang w:eastAsia="en-US"/>
        </w:rPr>
        <w:t>social</w:t>
      </w:r>
      <w:proofErr w:type="spellEnd"/>
      <w:r w:rsidRPr="00204DBD">
        <w:rPr>
          <w:rFonts w:eastAsia="Calibri"/>
          <w:lang w:eastAsia="en-US"/>
        </w:rPr>
        <w:t xml:space="preserve"> </w:t>
      </w:r>
      <w:proofErr w:type="spellStart"/>
      <w:r w:rsidRPr="00204DBD">
        <w:rPr>
          <w:rFonts w:eastAsia="Calibri"/>
          <w:lang w:eastAsia="en-US"/>
        </w:rPr>
        <w:t>needs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obtaining</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providing</w:t>
      </w:r>
      <w:proofErr w:type="spellEnd"/>
      <w:r w:rsidRPr="00204DBD">
        <w:rPr>
          <w:rFonts w:eastAsia="Calibri"/>
          <w:lang w:eastAsia="en-US"/>
        </w:rPr>
        <w:t xml:space="preserve">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with</w:t>
      </w:r>
      <w:proofErr w:type="spellEnd"/>
      <w:r w:rsidRPr="00204DBD">
        <w:rPr>
          <w:rFonts w:eastAsia="Calibri"/>
          <w:lang w:eastAsia="en-US"/>
        </w:rPr>
        <w:t xml:space="preserve"> </w:t>
      </w:r>
      <w:proofErr w:type="spellStart"/>
      <w:r w:rsidRPr="00204DBD">
        <w:rPr>
          <w:rFonts w:eastAsia="Calibri"/>
          <w:lang w:eastAsia="en-US"/>
        </w:rPr>
        <w:t>opportunities</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express</w:t>
      </w:r>
      <w:proofErr w:type="spellEnd"/>
      <w:r w:rsidRPr="00204DBD">
        <w:rPr>
          <w:rFonts w:eastAsia="Calibri"/>
          <w:lang w:eastAsia="en-US"/>
        </w:rPr>
        <w:t xml:space="preserve"> </w:t>
      </w:r>
      <w:proofErr w:type="spellStart"/>
      <w:r w:rsidRPr="00204DBD">
        <w:rPr>
          <w:rFonts w:eastAsia="Calibri"/>
          <w:lang w:eastAsia="en-US"/>
        </w:rPr>
        <w:t>themselves</w:t>
      </w:r>
      <w:proofErr w:type="spellEnd"/>
      <w:r w:rsidRPr="00204DBD">
        <w:rPr>
          <w:rFonts w:eastAsia="Calibri"/>
          <w:lang w:eastAsia="en-US"/>
        </w:rPr>
        <w:t xml:space="preserve">, </w:t>
      </w:r>
      <w:proofErr w:type="spellStart"/>
      <w:r w:rsidRPr="00204DBD">
        <w:rPr>
          <w:rFonts w:eastAsia="Calibri"/>
          <w:lang w:eastAsia="en-US"/>
        </w:rPr>
        <w:t>learn</w:t>
      </w:r>
      <w:proofErr w:type="spellEnd"/>
      <w:r w:rsidRPr="00204DBD">
        <w:rPr>
          <w:rFonts w:eastAsia="Calibri"/>
          <w:lang w:eastAsia="en-US"/>
        </w:rPr>
        <w:t xml:space="preserve"> </w:t>
      </w:r>
      <w:proofErr w:type="spellStart"/>
      <w:r w:rsidRPr="00204DBD">
        <w:rPr>
          <w:rFonts w:eastAsia="Calibri"/>
          <w:lang w:eastAsia="en-US"/>
        </w:rPr>
        <w:t>new</w:t>
      </w:r>
      <w:proofErr w:type="spellEnd"/>
      <w:r w:rsidRPr="00204DBD">
        <w:rPr>
          <w:rFonts w:eastAsia="Calibri"/>
          <w:lang w:eastAsia="en-US"/>
        </w:rPr>
        <w:t xml:space="preserve"> </w:t>
      </w:r>
      <w:proofErr w:type="spellStart"/>
      <w:r w:rsidRPr="00204DBD">
        <w:rPr>
          <w:rFonts w:eastAsia="Calibri"/>
          <w:lang w:eastAsia="en-US"/>
        </w:rPr>
        <w:t>skills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create</w:t>
      </w:r>
      <w:proofErr w:type="spellEnd"/>
      <w:r w:rsidRPr="00204DBD">
        <w:rPr>
          <w:rFonts w:eastAsia="Calibri"/>
          <w:lang w:eastAsia="en-US"/>
        </w:rPr>
        <w:t xml:space="preserve"> </w:t>
      </w:r>
      <w:proofErr w:type="spellStart"/>
      <w:r w:rsidRPr="00204DBD">
        <w:rPr>
          <w:rFonts w:eastAsia="Calibri"/>
          <w:lang w:eastAsia="en-US"/>
        </w:rPr>
        <w:t>professional</w:t>
      </w:r>
      <w:proofErr w:type="spellEnd"/>
      <w:r w:rsidRPr="00204DBD">
        <w:rPr>
          <w:rFonts w:eastAsia="Calibri"/>
          <w:lang w:eastAsia="en-US"/>
        </w:rPr>
        <w:t xml:space="preserve"> </w:t>
      </w:r>
      <w:proofErr w:type="spellStart"/>
      <w:r w:rsidRPr="00204DBD">
        <w:rPr>
          <w:rFonts w:eastAsia="Calibri"/>
          <w:lang w:eastAsia="en-US"/>
        </w:rPr>
        <w:t>networks</w:t>
      </w:r>
      <w:proofErr w:type="spellEnd"/>
      <w:r w:rsidRPr="00204DBD">
        <w:rPr>
          <w:rFonts w:eastAsia="Calibri"/>
          <w:lang w:eastAsia="en-US"/>
        </w:rPr>
        <w:t xml:space="preserve">. </w:t>
      </w:r>
      <w:proofErr w:type="spellStart"/>
      <w:r w:rsidRPr="00204DBD">
        <w:rPr>
          <w:rFonts w:eastAsia="Calibri"/>
          <w:lang w:eastAsia="en-US"/>
        </w:rPr>
        <w:t>However</w:t>
      </w:r>
      <w:proofErr w:type="spellEnd"/>
      <w:r w:rsidRPr="00204DBD">
        <w:rPr>
          <w:rFonts w:eastAsia="Calibri"/>
          <w:lang w:eastAsia="en-US"/>
        </w:rPr>
        <w:t xml:space="preserve">, </w:t>
      </w:r>
      <w:proofErr w:type="spellStart"/>
      <w:r w:rsidRPr="00204DBD">
        <w:rPr>
          <w:rFonts w:eastAsia="Calibri"/>
          <w:lang w:eastAsia="en-US"/>
        </w:rPr>
        <w:t>factors</w:t>
      </w:r>
      <w:proofErr w:type="spellEnd"/>
      <w:r w:rsidRPr="00204DBD">
        <w:rPr>
          <w:rFonts w:eastAsia="Calibri"/>
          <w:lang w:eastAsia="en-US"/>
        </w:rPr>
        <w:t xml:space="preserve"> </w:t>
      </w:r>
      <w:proofErr w:type="spellStart"/>
      <w:r w:rsidRPr="00204DBD">
        <w:rPr>
          <w:rFonts w:eastAsia="Calibri"/>
          <w:lang w:eastAsia="en-US"/>
        </w:rPr>
        <w:t>such</w:t>
      </w:r>
      <w:proofErr w:type="spellEnd"/>
      <w:r w:rsidRPr="00204DBD">
        <w:rPr>
          <w:rFonts w:eastAsia="Calibri"/>
          <w:lang w:eastAsia="en-US"/>
        </w:rPr>
        <w:t xml:space="preserve"> as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rapid</w:t>
      </w:r>
      <w:proofErr w:type="spellEnd"/>
      <w:r w:rsidRPr="00204DBD">
        <w:rPr>
          <w:rFonts w:eastAsia="Calibri"/>
          <w:lang w:eastAsia="en-US"/>
        </w:rPr>
        <w:t xml:space="preserve"> spread of </w:t>
      </w:r>
      <w:proofErr w:type="spellStart"/>
      <w:r w:rsidRPr="00204DBD">
        <w:rPr>
          <w:rFonts w:eastAsia="Calibri"/>
          <w:lang w:eastAsia="en-US"/>
        </w:rPr>
        <w:t>false</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fake</w:t>
      </w:r>
      <w:proofErr w:type="spellEnd"/>
      <w:r w:rsidRPr="00204DBD">
        <w:rPr>
          <w:rFonts w:eastAsia="Calibri"/>
          <w:lang w:eastAsia="en-US"/>
        </w:rPr>
        <w:t xml:space="preserve"> </w:t>
      </w:r>
      <w:proofErr w:type="spellStart"/>
      <w:r w:rsidRPr="00204DBD">
        <w:rPr>
          <w:rFonts w:eastAsia="Calibri"/>
          <w:lang w:eastAsia="en-US"/>
        </w:rPr>
        <w:t>content</w:t>
      </w:r>
      <w:proofErr w:type="spellEnd"/>
      <w:r w:rsidRPr="00204DBD">
        <w:rPr>
          <w:rFonts w:eastAsia="Calibri"/>
          <w:lang w:eastAsia="en-US"/>
        </w:rPr>
        <w:t xml:space="preserve">, </w:t>
      </w:r>
      <w:proofErr w:type="spellStart"/>
      <w:r w:rsidRPr="00204DBD">
        <w:rPr>
          <w:rFonts w:eastAsia="Calibri"/>
          <w:lang w:eastAsia="en-US"/>
        </w:rPr>
        <w:t>cyberbullying</w:t>
      </w:r>
      <w:proofErr w:type="spellEnd"/>
      <w:r w:rsidRPr="00204DBD">
        <w:rPr>
          <w:rFonts w:eastAsia="Calibri"/>
          <w:lang w:eastAsia="en-US"/>
        </w:rPr>
        <w:t xml:space="preserve">, </w:t>
      </w:r>
      <w:proofErr w:type="spellStart"/>
      <w:r w:rsidRPr="00204DBD">
        <w:rPr>
          <w:rFonts w:eastAsia="Calibri"/>
          <w:lang w:eastAsia="en-US"/>
        </w:rPr>
        <w:t>privacy</w:t>
      </w:r>
      <w:proofErr w:type="spellEnd"/>
      <w:r w:rsidRPr="00204DBD">
        <w:rPr>
          <w:rFonts w:eastAsia="Calibri"/>
          <w:lang w:eastAsia="en-US"/>
        </w:rPr>
        <w:t xml:space="preserve"> </w:t>
      </w:r>
      <w:proofErr w:type="spellStart"/>
      <w:r w:rsidRPr="00204DBD">
        <w:rPr>
          <w:rFonts w:eastAsia="Calibri"/>
          <w:lang w:eastAsia="en-US"/>
        </w:rPr>
        <w:t>concerns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online </w:t>
      </w:r>
      <w:proofErr w:type="spellStart"/>
      <w:r w:rsidRPr="00204DBD">
        <w:rPr>
          <w:rFonts w:eastAsia="Calibri"/>
          <w:lang w:eastAsia="en-US"/>
        </w:rPr>
        <w:t>security</w:t>
      </w:r>
      <w:proofErr w:type="spellEnd"/>
      <w:r w:rsidRPr="00204DBD">
        <w:rPr>
          <w:rFonts w:eastAsia="Calibri"/>
          <w:lang w:eastAsia="en-US"/>
        </w:rPr>
        <w:t xml:space="preserve"> </w:t>
      </w:r>
      <w:proofErr w:type="spellStart"/>
      <w:r w:rsidRPr="00204DBD">
        <w:rPr>
          <w:rFonts w:eastAsia="Calibri"/>
          <w:lang w:eastAsia="en-US"/>
        </w:rPr>
        <w:t>issues</w:t>
      </w:r>
      <w:proofErr w:type="spellEnd"/>
      <w:r w:rsidRPr="00204DBD">
        <w:rPr>
          <w:rFonts w:eastAsia="Calibri"/>
          <w:lang w:eastAsia="en-US"/>
        </w:rPr>
        <w:t xml:space="preserve"> </w:t>
      </w:r>
      <w:proofErr w:type="spellStart"/>
      <w:r w:rsidRPr="00204DBD">
        <w:rPr>
          <w:rFonts w:eastAsia="Calibri"/>
          <w:lang w:eastAsia="en-US"/>
        </w:rPr>
        <w:t>sometimes</w:t>
      </w:r>
      <w:proofErr w:type="spellEnd"/>
      <w:r w:rsidRPr="00204DBD">
        <w:rPr>
          <w:rFonts w:eastAsia="Calibri"/>
          <w:lang w:eastAsia="en-US"/>
        </w:rPr>
        <w:t xml:space="preserve"> </w:t>
      </w:r>
      <w:proofErr w:type="spellStart"/>
      <w:r w:rsidRPr="00204DBD">
        <w:rPr>
          <w:rFonts w:eastAsia="Calibri"/>
          <w:lang w:eastAsia="en-US"/>
        </w:rPr>
        <w:t>reduce</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credibility</w:t>
      </w:r>
      <w:proofErr w:type="spellEnd"/>
      <w:r w:rsidRPr="00204DBD">
        <w:rPr>
          <w:rFonts w:eastAsia="Calibri"/>
          <w:lang w:eastAsia="en-US"/>
        </w:rPr>
        <w:t xml:space="preserve"> of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At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point</w:t>
      </w:r>
      <w:proofErr w:type="spellEnd"/>
      <w:r w:rsidRPr="00204DBD">
        <w:rPr>
          <w:rFonts w:eastAsia="Calibri"/>
          <w:lang w:eastAsia="en-US"/>
        </w:rPr>
        <w:t xml:space="preserve">, </w:t>
      </w:r>
      <w:proofErr w:type="spellStart"/>
      <w:r w:rsidRPr="00204DBD">
        <w:rPr>
          <w:rFonts w:eastAsia="Calibri"/>
          <w:lang w:eastAsia="en-US"/>
        </w:rPr>
        <w:t>effective</w:t>
      </w:r>
      <w:proofErr w:type="spellEnd"/>
      <w:r w:rsidRPr="00204DBD">
        <w:rPr>
          <w:rFonts w:eastAsia="Calibri"/>
          <w:lang w:eastAsia="en-US"/>
        </w:rPr>
        <w:t xml:space="preserve"> </w:t>
      </w:r>
      <w:proofErr w:type="spellStart"/>
      <w:r w:rsidRPr="00204DBD">
        <w:rPr>
          <w:rFonts w:eastAsia="Calibri"/>
          <w:lang w:eastAsia="en-US"/>
        </w:rPr>
        <w:t>management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healthy</w:t>
      </w:r>
      <w:proofErr w:type="spellEnd"/>
      <w:r w:rsidRPr="00204DBD">
        <w:rPr>
          <w:rFonts w:eastAsia="Calibri"/>
          <w:lang w:eastAsia="en-US"/>
        </w:rPr>
        <w:t xml:space="preserve"> </w:t>
      </w:r>
      <w:proofErr w:type="spellStart"/>
      <w:r w:rsidRPr="00204DBD">
        <w:rPr>
          <w:rFonts w:eastAsia="Calibri"/>
          <w:lang w:eastAsia="en-US"/>
        </w:rPr>
        <w:t>functioning</w:t>
      </w:r>
      <w:proofErr w:type="spellEnd"/>
      <w:r w:rsidRPr="00204DBD">
        <w:rPr>
          <w:rFonts w:eastAsia="Calibri"/>
          <w:lang w:eastAsia="en-US"/>
        </w:rPr>
        <w:t xml:space="preserve"> of online </w:t>
      </w:r>
      <w:proofErr w:type="spellStart"/>
      <w:r w:rsidRPr="00204DBD">
        <w:rPr>
          <w:rFonts w:eastAsia="Calibri"/>
          <w:lang w:eastAsia="en-US"/>
        </w:rPr>
        <w:t>communities</w:t>
      </w:r>
      <w:proofErr w:type="spellEnd"/>
      <w:r w:rsidRPr="00204DBD">
        <w:rPr>
          <w:rFonts w:eastAsia="Calibri"/>
          <w:lang w:eastAsia="en-US"/>
        </w:rPr>
        <w:t xml:space="preserve"> </w:t>
      </w:r>
      <w:proofErr w:type="spellStart"/>
      <w:r w:rsidRPr="00204DBD">
        <w:rPr>
          <w:rFonts w:eastAsia="Calibri"/>
          <w:lang w:eastAsia="en-US"/>
        </w:rPr>
        <w:t>are</w:t>
      </w:r>
      <w:proofErr w:type="spellEnd"/>
      <w:r w:rsidRPr="00204DBD">
        <w:rPr>
          <w:rFonts w:eastAsia="Calibri"/>
          <w:lang w:eastAsia="en-US"/>
        </w:rPr>
        <w:t xml:space="preserve"> </w:t>
      </w:r>
      <w:proofErr w:type="spellStart"/>
      <w:r w:rsidRPr="00204DBD">
        <w:rPr>
          <w:rFonts w:eastAsia="Calibri"/>
          <w:lang w:eastAsia="en-US"/>
        </w:rPr>
        <w:t>critical</w:t>
      </w:r>
      <w:proofErr w:type="spellEnd"/>
      <w:r w:rsidRPr="00204DBD">
        <w:rPr>
          <w:rFonts w:eastAsia="Calibri"/>
          <w:lang w:eastAsia="en-US"/>
        </w:rPr>
        <w:t xml:space="preserve"> </w:t>
      </w:r>
      <w:proofErr w:type="spellStart"/>
      <w:r w:rsidRPr="00204DBD">
        <w:rPr>
          <w:rFonts w:eastAsia="Calibri"/>
          <w:lang w:eastAsia="en-US"/>
        </w:rPr>
        <w:t>for</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correct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efficient</w:t>
      </w:r>
      <w:proofErr w:type="spellEnd"/>
      <w:r w:rsidRPr="00204DBD">
        <w:rPr>
          <w:rFonts w:eastAsia="Calibri"/>
          <w:lang w:eastAsia="en-US"/>
        </w:rPr>
        <w:t xml:space="preserve"> </w:t>
      </w:r>
      <w:proofErr w:type="spellStart"/>
      <w:r w:rsidRPr="00204DBD">
        <w:rPr>
          <w:rFonts w:eastAsia="Calibri"/>
          <w:lang w:eastAsia="en-US"/>
        </w:rPr>
        <w:t>use</w:t>
      </w:r>
      <w:proofErr w:type="spellEnd"/>
      <w:r w:rsidRPr="00204DBD">
        <w:rPr>
          <w:rFonts w:eastAsia="Calibri"/>
          <w:lang w:eastAsia="en-US"/>
        </w:rPr>
        <w:t xml:space="preserve"> of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opportunities</w:t>
      </w:r>
      <w:proofErr w:type="spellEnd"/>
      <w:r w:rsidRPr="00204DBD">
        <w:rPr>
          <w:rFonts w:eastAsia="Calibri"/>
          <w:lang w:eastAsia="en-US"/>
        </w:rPr>
        <w:t xml:space="preserve"> </w:t>
      </w:r>
      <w:proofErr w:type="spellStart"/>
      <w:r w:rsidRPr="00204DBD">
        <w:rPr>
          <w:rFonts w:eastAsia="Calibri"/>
          <w:lang w:eastAsia="en-US"/>
        </w:rPr>
        <w:t>offered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In</w:t>
      </w:r>
      <w:proofErr w:type="spellEnd"/>
      <w:r w:rsidRPr="00204DBD">
        <w:rPr>
          <w:rFonts w:eastAsia="Calibri"/>
          <w:lang w:eastAsia="en-US"/>
        </w:rPr>
        <w:t xml:space="preserve"> </w:t>
      </w:r>
      <w:proofErr w:type="spellStart"/>
      <w:r w:rsidRPr="00204DBD">
        <w:rPr>
          <w:rFonts w:eastAsia="Calibri"/>
          <w:lang w:eastAsia="en-US"/>
        </w:rPr>
        <w:t>order</w:t>
      </w:r>
      <w:proofErr w:type="spellEnd"/>
      <w:r w:rsidRPr="00204DBD">
        <w:rPr>
          <w:rFonts w:eastAsia="Calibri"/>
          <w:lang w:eastAsia="en-US"/>
        </w:rPr>
        <w:t xml:space="preserv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build</w:t>
      </w:r>
      <w:proofErr w:type="spellEnd"/>
      <w:r w:rsidRPr="00204DBD">
        <w:rPr>
          <w:rFonts w:eastAsia="Calibri"/>
          <w:lang w:eastAsia="en-US"/>
        </w:rPr>
        <w:t xml:space="preserve"> </w:t>
      </w:r>
      <w:proofErr w:type="spellStart"/>
      <w:r w:rsidRPr="00204DBD">
        <w:rPr>
          <w:rFonts w:eastAsia="Calibri"/>
          <w:lang w:eastAsia="en-US"/>
        </w:rPr>
        <w:t>this</w:t>
      </w:r>
      <w:proofErr w:type="spellEnd"/>
      <w:r w:rsidRPr="00204DBD">
        <w:rPr>
          <w:rFonts w:eastAsia="Calibri"/>
          <w:lang w:eastAsia="en-US"/>
        </w:rPr>
        <w:t xml:space="preserve"> </w:t>
      </w:r>
      <w:proofErr w:type="spellStart"/>
      <w:r w:rsidRPr="00204DBD">
        <w:rPr>
          <w:rFonts w:eastAsia="Calibri"/>
          <w:lang w:eastAsia="en-US"/>
        </w:rPr>
        <w:t>trust</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encourage</w:t>
      </w:r>
      <w:proofErr w:type="spellEnd"/>
      <w:r w:rsidRPr="00204DBD">
        <w:rPr>
          <w:rFonts w:eastAsia="Calibri"/>
          <w:lang w:eastAsia="en-US"/>
        </w:rPr>
        <w:t xml:space="preserve"> </w:t>
      </w:r>
      <w:proofErr w:type="spellStart"/>
      <w:r w:rsidRPr="00204DBD">
        <w:rPr>
          <w:rFonts w:eastAsia="Calibri"/>
          <w:lang w:eastAsia="en-US"/>
        </w:rPr>
        <w:t>conscious</w:t>
      </w:r>
      <w:proofErr w:type="spellEnd"/>
      <w:r w:rsidRPr="00204DBD">
        <w:rPr>
          <w:rFonts w:eastAsia="Calibri"/>
          <w:lang w:eastAsia="en-US"/>
        </w:rPr>
        <w:t xml:space="preserve"> </w:t>
      </w:r>
      <w:proofErr w:type="spellStart"/>
      <w:r w:rsidRPr="00204DBD">
        <w:rPr>
          <w:rFonts w:eastAsia="Calibri"/>
          <w:lang w:eastAsia="en-US"/>
        </w:rPr>
        <w:t>use</w:t>
      </w:r>
      <w:proofErr w:type="spellEnd"/>
      <w:r w:rsidRPr="00204DBD">
        <w:rPr>
          <w:rFonts w:eastAsia="Calibri"/>
          <w:lang w:eastAsia="en-US"/>
        </w:rPr>
        <w:t xml:space="preserve">, platform </w:t>
      </w:r>
      <w:proofErr w:type="spellStart"/>
      <w:r w:rsidRPr="00204DBD">
        <w:rPr>
          <w:rFonts w:eastAsia="Calibri"/>
          <w:lang w:eastAsia="en-US"/>
        </w:rPr>
        <w:t>managers</w:t>
      </w:r>
      <w:proofErr w:type="spellEnd"/>
      <w:r w:rsidRPr="00204DBD">
        <w:rPr>
          <w:rFonts w:eastAsia="Calibri"/>
          <w:lang w:eastAsia="en-US"/>
        </w:rPr>
        <w:t xml:space="preserve"> </w:t>
      </w:r>
      <w:proofErr w:type="spellStart"/>
      <w:r w:rsidRPr="00204DBD">
        <w:rPr>
          <w:rFonts w:eastAsia="Calibri"/>
          <w:lang w:eastAsia="en-US"/>
        </w:rPr>
        <w:t>have</w:t>
      </w:r>
      <w:proofErr w:type="spellEnd"/>
      <w:r w:rsidRPr="00204DBD">
        <w:rPr>
          <w:rFonts w:eastAsia="Calibri"/>
          <w:lang w:eastAsia="en-US"/>
        </w:rPr>
        <w:t xml:space="preserve"> a </w:t>
      </w:r>
      <w:proofErr w:type="spellStart"/>
      <w:r w:rsidRPr="00204DBD">
        <w:rPr>
          <w:rFonts w:eastAsia="Calibri"/>
          <w:lang w:eastAsia="en-US"/>
        </w:rPr>
        <w:t>great</w:t>
      </w:r>
      <w:proofErr w:type="spellEnd"/>
      <w:r w:rsidRPr="00204DBD">
        <w:rPr>
          <w:rFonts w:eastAsia="Calibri"/>
          <w:lang w:eastAsia="en-US"/>
        </w:rPr>
        <w:t xml:space="preserve"> role </w:t>
      </w:r>
      <w:proofErr w:type="spellStart"/>
      <w:r w:rsidRPr="00204DBD">
        <w:rPr>
          <w:rFonts w:eastAsia="Calibri"/>
          <w:lang w:eastAsia="en-US"/>
        </w:rPr>
        <w:t>to</w:t>
      </w:r>
      <w:proofErr w:type="spellEnd"/>
      <w:r w:rsidRPr="00204DBD">
        <w:rPr>
          <w:rFonts w:eastAsia="Calibri"/>
          <w:lang w:eastAsia="en-US"/>
        </w:rPr>
        <w:t xml:space="preserve"> </w:t>
      </w:r>
      <w:proofErr w:type="spellStart"/>
      <w:r w:rsidRPr="00204DBD">
        <w:rPr>
          <w:rFonts w:eastAsia="Calibri"/>
          <w:lang w:eastAsia="en-US"/>
        </w:rPr>
        <w:t>play</w:t>
      </w:r>
      <w:proofErr w:type="spellEnd"/>
      <w:r w:rsidRPr="00204DBD">
        <w:rPr>
          <w:rFonts w:eastAsia="Calibri"/>
          <w:lang w:eastAsia="en-US"/>
        </w:rPr>
        <w:t xml:space="preserve"> in </w:t>
      </w:r>
      <w:proofErr w:type="spellStart"/>
      <w:r w:rsidRPr="00204DBD">
        <w:rPr>
          <w:rFonts w:eastAsia="Calibri"/>
          <w:lang w:eastAsia="en-US"/>
        </w:rPr>
        <w:t>improving</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quality</w:t>
      </w:r>
      <w:proofErr w:type="spellEnd"/>
      <w:r w:rsidRPr="00204DBD">
        <w:rPr>
          <w:rFonts w:eastAsia="Calibri"/>
          <w:lang w:eastAsia="en-US"/>
        </w:rPr>
        <w:t xml:space="preserve"> of online </w:t>
      </w:r>
      <w:proofErr w:type="spellStart"/>
      <w:r w:rsidRPr="00204DBD">
        <w:rPr>
          <w:rFonts w:eastAsia="Calibri"/>
          <w:lang w:eastAsia="en-US"/>
        </w:rPr>
        <w:t>interactions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maximizing</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public</w:t>
      </w:r>
      <w:proofErr w:type="spellEnd"/>
      <w:r w:rsidRPr="00204DBD">
        <w:rPr>
          <w:rFonts w:eastAsia="Calibri"/>
          <w:lang w:eastAsia="en-US"/>
        </w:rPr>
        <w:t xml:space="preserve"> </w:t>
      </w:r>
      <w:proofErr w:type="spellStart"/>
      <w:r w:rsidRPr="00204DBD">
        <w:rPr>
          <w:rFonts w:eastAsia="Calibri"/>
          <w:lang w:eastAsia="en-US"/>
        </w:rPr>
        <w:t>benefit</w:t>
      </w:r>
      <w:proofErr w:type="spellEnd"/>
      <w:r w:rsidRPr="00204DBD">
        <w:rPr>
          <w:rFonts w:eastAsia="Calibri"/>
          <w:lang w:eastAsia="en-US"/>
        </w:rPr>
        <w:t xml:space="preserve"> </w:t>
      </w:r>
      <w:proofErr w:type="spellStart"/>
      <w:r w:rsidRPr="00204DBD">
        <w:rPr>
          <w:rFonts w:eastAsia="Calibri"/>
          <w:lang w:eastAsia="en-US"/>
        </w:rPr>
        <w:t>provided</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platforms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 xml:space="preserve"> in </w:t>
      </w:r>
      <w:proofErr w:type="spellStart"/>
      <w:r w:rsidRPr="00204DBD">
        <w:rPr>
          <w:rFonts w:eastAsia="Calibri"/>
          <w:lang w:eastAsia="en-US"/>
        </w:rPr>
        <w:t>question</w:t>
      </w:r>
      <w:proofErr w:type="spellEnd"/>
      <w:r w:rsidRPr="00204DBD">
        <w:rPr>
          <w:rFonts w:eastAsia="Calibri"/>
          <w:lang w:eastAsia="en-US"/>
        </w:rPr>
        <w:t xml:space="preserve">, </w:t>
      </w:r>
      <w:proofErr w:type="spellStart"/>
      <w:r w:rsidRPr="00204DBD">
        <w:rPr>
          <w:rFonts w:eastAsia="Calibri"/>
          <w:lang w:eastAsia="en-US"/>
        </w:rPr>
        <w:t>by</w:t>
      </w:r>
      <w:proofErr w:type="spellEnd"/>
      <w:r w:rsidRPr="00204DBD">
        <w:rPr>
          <w:rFonts w:eastAsia="Calibri"/>
          <w:lang w:eastAsia="en-US"/>
        </w:rPr>
        <w:t xml:space="preserve"> </w:t>
      </w:r>
      <w:proofErr w:type="spellStart"/>
      <w:r w:rsidRPr="00204DBD">
        <w:rPr>
          <w:rFonts w:eastAsia="Calibri"/>
          <w:lang w:eastAsia="en-US"/>
        </w:rPr>
        <w:t>observing</w:t>
      </w:r>
      <w:proofErr w:type="spellEnd"/>
      <w:r w:rsidRPr="00204DBD">
        <w:rPr>
          <w:rFonts w:eastAsia="Calibri"/>
          <w:lang w:eastAsia="en-US"/>
        </w:rPr>
        <w:t xml:space="preserve"> </w:t>
      </w:r>
      <w:proofErr w:type="spellStart"/>
      <w:r w:rsidRPr="00204DBD">
        <w:rPr>
          <w:rFonts w:eastAsia="Calibri"/>
          <w:lang w:eastAsia="en-US"/>
        </w:rPr>
        <w:t>information</w:t>
      </w:r>
      <w:proofErr w:type="spellEnd"/>
      <w:r w:rsidRPr="00204DBD">
        <w:rPr>
          <w:rFonts w:eastAsia="Calibri"/>
          <w:lang w:eastAsia="en-US"/>
        </w:rPr>
        <w:t xml:space="preserve"> </w:t>
      </w:r>
      <w:proofErr w:type="spellStart"/>
      <w:r w:rsidRPr="00204DBD">
        <w:rPr>
          <w:rFonts w:eastAsia="Calibri"/>
          <w:lang w:eastAsia="en-US"/>
        </w:rPr>
        <w:t>security</w:t>
      </w:r>
      <w:proofErr w:type="spellEnd"/>
      <w:r w:rsidRPr="00204DBD">
        <w:rPr>
          <w:rFonts w:eastAsia="Calibri"/>
          <w:lang w:eastAsia="en-US"/>
        </w:rPr>
        <w:t xml:space="preserve">, </w:t>
      </w:r>
      <w:proofErr w:type="spellStart"/>
      <w:r w:rsidRPr="00204DBD">
        <w:rPr>
          <w:rFonts w:eastAsia="Calibri"/>
          <w:lang w:eastAsia="en-US"/>
        </w:rPr>
        <w:t>ethical</w:t>
      </w:r>
      <w:proofErr w:type="spellEnd"/>
      <w:r w:rsidRPr="00204DBD">
        <w:rPr>
          <w:rFonts w:eastAsia="Calibri"/>
          <w:lang w:eastAsia="en-US"/>
        </w:rPr>
        <w:t xml:space="preserve"> </w:t>
      </w:r>
      <w:proofErr w:type="spellStart"/>
      <w:r w:rsidRPr="00204DBD">
        <w:rPr>
          <w:rFonts w:eastAsia="Calibri"/>
          <w:lang w:eastAsia="en-US"/>
        </w:rPr>
        <w:t>codes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legal </w:t>
      </w:r>
      <w:proofErr w:type="spellStart"/>
      <w:r w:rsidRPr="00204DBD">
        <w:rPr>
          <w:rFonts w:eastAsia="Calibri"/>
          <w:lang w:eastAsia="en-US"/>
        </w:rPr>
        <w:t>obligations</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increased</w:t>
      </w:r>
      <w:proofErr w:type="spellEnd"/>
      <w:r w:rsidRPr="00204DBD">
        <w:rPr>
          <w:rFonts w:eastAsia="Calibri"/>
          <w:lang w:eastAsia="en-US"/>
        </w:rPr>
        <w:t xml:space="preserve"> </w:t>
      </w:r>
      <w:proofErr w:type="spellStart"/>
      <w:r w:rsidRPr="00204DBD">
        <w:rPr>
          <w:rFonts w:eastAsia="Calibri"/>
          <w:lang w:eastAsia="en-US"/>
        </w:rPr>
        <w:t>awareness</w:t>
      </w:r>
      <w:proofErr w:type="spellEnd"/>
      <w:r w:rsidRPr="00204DBD">
        <w:rPr>
          <w:rFonts w:eastAsia="Calibri"/>
          <w:lang w:eastAsia="en-US"/>
        </w:rPr>
        <w:t xml:space="preserve"> of </w:t>
      </w:r>
      <w:proofErr w:type="spellStart"/>
      <w:r w:rsidRPr="00204DBD">
        <w:rPr>
          <w:rFonts w:eastAsia="Calibri"/>
          <w:lang w:eastAsia="en-US"/>
        </w:rPr>
        <w:t>users</w:t>
      </w:r>
      <w:proofErr w:type="spellEnd"/>
      <w:r w:rsidRPr="00204DBD">
        <w:rPr>
          <w:rFonts w:eastAsia="Calibri"/>
          <w:lang w:eastAsia="en-US"/>
        </w:rPr>
        <w:t xml:space="preserve">, </w:t>
      </w:r>
      <w:proofErr w:type="spellStart"/>
      <w:r w:rsidRPr="00204DBD">
        <w:rPr>
          <w:rFonts w:eastAsia="Calibri"/>
          <w:lang w:eastAsia="en-US"/>
        </w:rPr>
        <w:t>educators</w:t>
      </w:r>
      <w:proofErr w:type="spellEnd"/>
      <w:r w:rsidRPr="00204DBD">
        <w:rPr>
          <w:rFonts w:eastAsia="Calibri"/>
          <w:lang w:eastAsia="en-US"/>
        </w:rPr>
        <w:t xml:space="preserve"> </w:t>
      </w:r>
      <w:proofErr w:type="spellStart"/>
      <w:r w:rsidRPr="00204DBD">
        <w:rPr>
          <w:rFonts w:eastAsia="Calibri"/>
          <w:lang w:eastAsia="en-US"/>
        </w:rPr>
        <w:t>and</w:t>
      </w:r>
      <w:proofErr w:type="spellEnd"/>
      <w:r w:rsidRPr="00204DBD">
        <w:rPr>
          <w:rFonts w:eastAsia="Calibri"/>
          <w:lang w:eastAsia="en-US"/>
        </w:rPr>
        <w:t xml:space="preserve"> </w:t>
      </w:r>
      <w:proofErr w:type="spellStart"/>
      <w:r w:rsidRPr="00204DBD">
        <w:rPr>
          <w:rFonts w:eastAsia="Calibri"/>
          <w:lang w:eastAsia="en-US"/>
        </w:rPr>
        <w:t>institutions</w:t>
      </w:r>
      <w:proofErr w:type="spellEnd"/>
      <w:r w:rsidRPr="00204DBD">
        <w:rPr>
          <w:rFonts w:eastAsia="Calibri"/>
          <w:lang w:eastAsia="en-US"/>
        </w:rPr>
        <w:t xml:space="preserve"> in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field</w:t>
      </w:r>
      <w:proofErr w:type="spellEnd"/>
      <w:r w:rsidRPr="00204DBD">
        <w:rPr>
          <w:rFonts w:eastAsia="Calibri"/>
          <w:lang w:eastAsia="en-US"/>
        </w:rPr>
        <w:t xml:space="preserve"> of </w:t>
      </w:r>
      <w:proofErr w:type="spellStart"/>
      <w:r w:rsidRPr="00204DBD">
        <w:rPr>
          <w:rFonts w:eastAsia="Calibri"/>
          <w:lang w:eastAsia="en-US"/>
        </w:rPr>
        <w:t>digital</w:t>
      </w:r>
      <w:proofErr w:type="spellEnd"/>
      <w:r w:rsidRPr="00204DBD">
        <w:rPr>
          <w:rFonts w:eastAsia="Calibri"/>
          <w:lang w:eastAsia="en-US"/>
        </w:rPr>
        <w:t xml:space="preserve"> </w:t>
      </w:r>
      <w:proofErr w:type="spellStart"/>
      <w:r w:rsidRPr="00204DBD">
        <w:rPr>
          <w:rFonts w:eastAsia="Calibri"/>
          <w:lang w:eastAsia="en-US"/>
        </w:rPr>
        <w:t>media</w:t>
      </w:r>
      <w:proofErr w:type="spellEnd"/>
      <w:r w:rsidRPr="00204DBD">
        <w:rPr>
          <w:rFonts w:eastAsia="Calibri"/>
          <w:lang w:eastAsia="en-US"/>
        </w:rPr>
        <w:t xml:space="preserve"> </w:t>
      </w:r>
      <w:proofErr w:type="spellStart"/>
      <w:r w:rsidRPr="00204DBD">
        <w:rPr>
          <w:rFonts w:eastAsia="Calibri"/>
          <w:lang w:eastAsia="en-US"/>
        </w:rPr>
        <w:t>literacy</w:t>
      </w:r>
      <w:proofErr w:type="spellEnd"/>
      <w:r w:rsidRPr="00204DBD">
        <w:rPr>
          <w:rFonts w:eastAsia="Calibri"/>
          <w:lang w:eastAsia="en-US"/>
        </w:rPr>
        <w:t xml:space="preserve"> </w:t>
      </w:r>
      <w:proofErr w:type="spellStart"/>
      <w:r w:rsidRPr="00204DBD">
        <w:rPr>
          <w:rFonts w:eastAsia="Calibri"/>
          <w:lang w:eastAsia="en-US"/>
        </w:rPr>
        <w:t>will</w:t>
      </w:r>
      <w:proofErr w:type="spellEnd"/>
      <w:r w:rsidRPr="00204DBD">
        <w:rPr>
          <w:rFonts w:eastAsia="Calibri"/>
          <w:lang w:eastAsia="en-US"/>
        </w:rPr>
        <w:t xml:space="preserve"> </w:t>
      </w:r>
      <w:proofErr w:type="spellStart"/>
      <w:r w:rsidRPr="00204DBD">
        <w:rPr>
          <w:rFonts w:eastAsia="Calibri"/>
          <w:lang w:eastAsia="en-US"/>
        </w:rPr>
        <w:t>increase</w:t>
      </w:r>
      <w:proofErr w:type="spellEnd"/>
      <w:r w:rsidRPr="00204DBD">
        <w:rPr>
          <w:rFonts w:eastAsia="Calibri"/>
          <w:lang w:eastAsia="en-US"/>
        </w:rPr>
        <w:t xml:space="preserve"> </w:t>
      </w:r>
      <w:proofErr w:type="spellStart"/>
      <w:r w:rsidRPr="00204DBD">
        <w:rPr>
          <w:rFonts w:eastAsia="Calibri"/>
          <w:lang w:eastAsia="en-US"/>
        </w:rPr>
        <w:t>the</w:t>
      </w:r>
      <w:proofErr w:type="spellEnd"/>
      <w:r w:rsidRPr="00204DBD">
        <w:rPr>
          <w:rFonts w:eastAsia="Calibri"/>
          <w:lang w:eastAsia="en-US"/>
        </w:rPr>
        <w:t xml:space="preserve"> </w:t>
      </w:r>
      <w:proofErr w:type="spellStart"/>
      <w:r w:rsidRPr="00204DBD">
        <w:rPr>
          <w:rFonts w:eastAsia="Calibri"/>
          <w:lang w:eastAsia="en-US"/>
        </w:rPr>
        <w:t>functionality</w:t>
      </w:r>
      <w:proofErr w:type="spellEnd"/>
      <w:r w:rsidRPr="00204DBD">
        <w:rPr>
          <w:rFonts w:eastAsia="Calibri"/>
          <w:lang w:eastAsia="en-US"/>
        </w:rPr>
        <w:t xml:space="preserve"> of </w:t>
      </w:r>
      <w:proofErr w:type="spellStart"/>
      <w:r w:rsidRPr="00204DBD">
        <w:rPr>
          <w:rFonts w:eastAsia="Calibri"/>
          <w:lang w:eastAsia="en-US"/>
        </w:rPr>
        <w:t>these</w:t>
      </w:r>
      <w:proofErr w:type="spellEnd"/>
      <w:r w:rsidRPr="00204DBD">
        <w:rPr>
          <w:rFonts w:eastAsia="Calibri"/>
          <w:lang w:eastAsia="en-US"/>
        </w:rPr>
        <w:t xml:space="preserve"> </w:t>
      </w:r>
      <w:proofErr w:type="spellStart"/>
      <w:r w:rsidRPr="00204DBD">
        <w:rPr>
          <w:rFonts w:eastAsia="Calibri"/>
          <w:lang w:eastAsia="en-US"/>
        </w:rPr>
        <w:t>communities</w:t>
      </w:r>
      <w:proofErr w:type="spellEnd"/>
      <w:r w:rsidRPr="00204DBD">
        <w:rPr>
          <w:rFonts w:eastAsia="Calibri"/>
          <w:lang w:eastAsia="en-US"/>
        </w:rPr>
        <w:t>.</w:t>
      </w:r>
    </w:p>
    <w:p w14:paraId="5AB80F18" w14:textId="77777777" w:rsidR="00E3302B" w:rsidRPr="00204DBD" w:rsidRDefault="00E3302B" w:rsidP="002B6256">
      <w:pPr>
        <w:jc w:val="both"/>
        <w:rPr>
          <w:b/>
        </w:rPr>
      </w:pPr>
    </w:p>
    <w:p w14:paraId="6227F6B7" w14:textId="77777777" w:rsidR="00E3302B" w:rsidRPr="00204DBD" w:rsidRDefault="00E3302B" w:rsidP="002B6256">
      <w:pPr>
        <w:rPr>
          <w:b/>
        </w:rPr>
      </w:pPr>
      <w:r w:rsidRPr="00204DBD">
        <w:rPr>
          <w:b/>
        </w:rPr>
        <w:t>Giriş</w:t>
      </w:r>
    </w:p>
    <w:p w14:paraId="3230B302" w14:textId="77777777" w:rsidR="00E3302B" w:rsidRDefault="00E3302B" w:rsidP="002B6256">
      <w:pPr>
        <w:jc w:val="both"/>
      </w:pPr>
      <w:r w:rsidRPr="00204DBD">
        <w:t xml:space="preserve">Dijital çağın getirdiği yeniliklerle birlikte, topluluklar arasındaki iletişim ve etkileşim biçimleri köklü değişimlere uğramıştır. Söz konusu dijital dönüşümün merkezinde yer alan ve farklı coğrafyalardan kullanıcıları </w:t>
      </w:r>
      <w:proofErr w:type="spellStart"/>
      <w:r w:rsidRPr="00204DBD">
        <w:t>biraraya</w:t>
      </w:r>
      <w:proofErr w:type="spellEnd"/>
      <w:r w:rsidRPr="00204DBD">
        <w:t xml:space="preserve"> getiren yeni kültürel öğeler ve dijital/çevrim içi topluluklar; benzer ilgi ve hedeflere sahip bireylerin buluştuğu, kullanıcıların bilgi alışverişinde bulunduğu, zaman zaman destek bulduğu ve ortak projelerin geliştirilmesine olanak sağlayan sanal ortamlar olarak karşımıza çıkmaktadır. Bu derleme makalede; dijital kültür kavramına ait öğeler ve çevrim içi topluluklar, yapılan akademik çalışmalar ve literatüre ilişkin tematik bilgilerle birlikte kapsamlı bir şekilde incelenmiştir.</w:t>
      </w:r>
    </w:p>
    <w:p w14:paraId="4F5790FD" w14:textId="77777777" w:rsidR="00254C59" w:rsidRPr="00204DBD" w:rsidRDefault="00254C59" w:rsidP="002B6256">
      <w:pPr>
        <w:jc w:val="both"/>
      </w:pPr>
    </w:p>
    <w:p w14:paraId="1150161E" w14:textId="77777777" w:rsidR="00E3302B" w:rsidRDefault="00E3302B" w:rsidP="002B6256">
      <w:pPr>
        <w:jc w:val="both"/>
      </w:pPr>
      <w:r w:rsidRPr="00204DBD">
        <w:t xml:space="preserve">Dijital teknolojilerin yaygınlaştığı ve iletişimin yeni unsurlar ile çevrim içi ortamda yeniden inşa edildiği günümüzde, “kültür” kavramı da dijital bağlamda yeniden ele alınmaya başlanmıştır.  Çevrim içi toplulukların dijital medya aracılığıyla kurduğu alternatif iletişim yollarını tartışmayı ve bu toplulukların sosyal yaşamdaki işlevlerini, alandaki güncel </w:t>
      </w:r>
      <w:r w:rsidRPr="00204DBD">
        <w:lastRenderedPageBreak/>
        <w:t xml:space="preserve">araştırmalar ışığında analiz etmeyi amaçlayan bu çalışmada öncelikle “kültür” ve “alt kültür” terimlerinin farklı sosyologlar tarafından geliştirilen tanım ve yaklaşımlarına yer verilmiş, ardından günümüz enformasyon toplumunun başat ilgi alanlarından dijital kültür ve bu kültürün yarattığı çeşitli kavram ve topluluklar anlatılmıştır. </w:t>
      </w:r>
    </w:p>
    <w:p w14:paraId="686E2978" w14:textId="77777777" w:rsidR="00254C59" w:rsidRPr="00204DBD" w:rsidRDefault="00254C59" w:rsidP="002B6256">
      <w:pPr>
        <w:jc w:val="both"/>
      </w:pPr>
    </w:p>
    <w:p w14:paraId="486D2DD4" w14:textId="77777777" w:rsidR="00E3302B" w:rsidRDefault="00E3302B" w:rsidP="002B6256">
      <w:pPr>
        <w:jc w:val="both"/>
      </w:pPr>
      <w:r w:rsidRPr="00204DBD">
        <w:t xml:space="preserve">İnternet ve sosyal medyanın sunduğu fırsatlar doğrultusunda bireyler, coğrafi sınırlamalara bakılmaksızın ortak ilgi alanlarına sahip kişilerle bir araya gelerek etkileşimde bulunabilmekte ve kullanıcılar diğer kullanıcılarla, bilgi paylaşımından sosyal destek paylaşımına kadar çeşitli amaçlarla buluşabilmektedir. Öte yandan; bilgi güvenliği, etik ihlâller, siber zorbalık, anonimlik kaynaklı rahatsız edici davranışlar, mahremiyet kaygıları gibi konular, sosyal medyanın ve çevrim içi toplulukların yönetimi ve etkin kullanımı açısından önemli sorunlar olarak karşımıza çıkmaktadır. </w:t>
      </w:r>
    </w:p>
    <w:p w14:paraId="76105F32" w14:textId="77777777" w:rsidR="00254C59" w:rsidRPr="00204DBD" w:rsidRDefault="00254C59" w:rsidP="002B6256">
      <w:pPr>
        <w:jc w:val="both"/>
      </w:pPr>
    </w:p>
    <w:p w14:paraId="3EEC1C3D" w14:textId="68FC885F" w:rsidR="00E3302B" w:rsidRDefault="00E3302B" w:rsidP="002B6256">
      <w:pPr>
        <w:jc w:val="both"/>
      </w:pPr>
      <w:r w:rsidRPr="00204DBD">
        <w:t>Dijital kültüre ait yeni kavramların ve dijital/çevrim içi toplulukların farklı türlerini, sosyal etkileşim biçimlerini, sağladığı fırsatları ve barındırdığı negatif unsurları incelemeyi amaçlayan bir alan yazın taraması niteliğinde olan bu çalışmada söz konusu başlıkları şekillendiren kavramsal çerçeve “Kültür ve Alt Kültür” başlığı altında ele alınmakta, sonrasında dijital kültür ve çevrim topluluklara ait alt başlıklar sunulmaktadır.</w:t>
      </w:r>
    </w:p>
    <w:p w14:paraId="741AB12C" w14:textId="77777777" w:rsidR="000A70F0" w:rsidRPr="00204DBD" w:rsidRDefault="000A70F0" w:rsidP="002B6256">
      <w:pPr>
        <w:jc w:val="both"/>
      </w:pPr>
    </w:p>
    <w:p w14:paraId="53DCFBE0" w14:textId="03D148DE" w:rsidR="00E3302B" w:rsidRPr="00204DBD" w:rsidRDefault="00E3302B">
      <w:pPr>
        <w:widowControl/>
        <w:numPr>
          <w:ilvl w:val="0"/>
          <w:numId w:val="73"/>
        </w:numPr>
        <w:autoSpaceDE/>
        <w:autoSpaceDN/>
        <w:jc w:val="both"/>
        <w:rPr>
          <w:b/>
        </w:rPr>
      </w:pPr>
      <w:r w:rsidRPr="00204DBD">
        <w:rPr>
          <w:b/>
        </w:rPr>
        <w:t>Kültür ve Alt Kültür</w:t>
      </w:r>
    </w:p>
    <w:p w14:paraId="5FB7A2C2" w14:textId="77777777" w:rsidR="00E3302B" w:rsidRDefault="00E3302B" w:rsidP="002B6256">
      <w:pPr>
        <w:jc w:val="both"/>
      </w:pPr>
      <w:proofErr w:type="spellStart"/>
      <w:r w:rsidRPr="00204DBD">
        <w:t>Thorpe</w:t>
      </w:r>
      <w:proofErr w:type="spellEnd"/>
      <w:r w:rsidRPr="00204DBD">
        <w:t xml:space="preserve"> ve diğerleri kültürü </w:t>
      </w:r>
      <w:r w:rsidRPr="00204DBD">
        <w:rPr>
          <w:i/>
        </w:rPr>
        <w:t>“İnsanların bir grup olarak düşünme, davranma ve kendilerini bir toplumun üyesi olarak tanımlama şekilleri”</w:t>
      </w:r>
      <w:r w:rsidRPr="00204DBD">
        <w:t xml:space="preserve"> olarak tanımlamaktadır (</w:t>
      </w:r>
      <w:proofErr w:type="spellStart"/>
      <w:r w:rsidRPr="00204DBD">
        <w:t>Thorpe</w:t>
      </w:r>
      <w:proofErr w:type="spellEnd"/>
      <w:r w:rsidRPr="00204DBD">
        <w:t xml:space="preserve"> vd., 2019: 174). Kültürün toplumsal düzenin inşasındaki rolü hakkında farklı görüşler bulunmaktadır. Bazı yapısalcılar ve Marksistlerin benimsediği görüş, kültürel yönlendirmeleri veya kuralları, toplum içinde nispeten tekbiçim, bağdaşık ve nispeten durağan olarak anlatmakta, kültür ile toplumsal yapı arasındaki ilişkilerde yeniden yapılanma ve değişime az yer bırakmaktadır. Diğer bir görüş ise kültürü farklı toplumsal aktörlerin “maddi” ve “ideal” çıkarlarına göre farklı durumlarda faaliyete geçirilebilecek farklı eylem stratejilerinin alet kutusu olarak görmektedir (</w:t>
      </w:r>
      <w:proofErr w:type="spellStart"/>
      <w:r w:rsidRPr="00204DBD">
        <w:t>Swidler</w:t>
      </w:r>
      <w:proofErr w:type="spellEnd"/>
      <w:r w:rsidRPr="00204DBD">
        <w:t xml:space="preserve">, 1986’dan </w:t>
      </w:r>
      <w:proofErr w:type="spellStart"/>
      <w:r w:rsidRPr="00204DBD">
        <w:t>Akt</w:t>
      </w:r>
      <w:proofErr w:type="spellEnd"/>
      <w:r w:rsidRPr="00204DBD">
        <w:t xml:space="preserve">. </w:t>
      </w:r>
      <w:proofErr w:type="spellStart"/>
      <w:r w:rsidRPr="00204DBD">
        <w:t>Eisenstandt</w:t>
      </w:r>
      <w:proofErr w:type="spellEnd"/>
      <w:r w:rsidRPr="00204DBD">
        <w:t>, 2014).</w:t>
      </w:r>
    </w:p>
    <w:p w14:paraId="24DF94AD" w14:textId="77777777" w:rsidR="00254C59" w:rsidRPr="00204DBD" w:rsidRDefault="00254C59" w:rsidP="002B6256">
      <w:pPr>
        <w:jc w:val="both"/>
      </w:pPr>
    </w:p>
    <w:p w14:paraId="22EBC9EA" w14:textId="77777777" w:rsidR="00E3302B" w:rsidRDefault="00E3302B" w:rsidP="002B6256">
      <w:pPr>
        <w:jc w:val="both"/>
      </w:pPr>
      <w:r w:rsidRPr="00204DBD">
        <w:t>Parsons’a göre toplumsal davranışları yönlendirmede hayati bir rol oynayan kültürel normlar; beklenen davranış kalıplarını oluşturarak, bireylere sosyalleşme yoluyla kendi kültürlerine ait değerleri, inançları ve uygulamaları öğreterek içselleştirilir. Bu süreç, genç nesillerin kendi kültürel değerlerini benimsemelerine ve sürdürmelerine olanak tanıdığı için herhangi bir toplumdaki uyum ve süreklilik için oldukça önemli görülmektedir (Parsons, 1951). Bireyler, ritüeller, gelenekler, dil ve ortak tarih gibi unsurlar aracılığıyla, daha geniş bir kültürel bağlam içinde benlik duygularını geliştirmektedirler (</w:t>
      </w:r>
      <w:proofErr w:type="spellStart"/>
      <w:r w:rsidRPr="00204DBD">
        <w:t>Geertz</w:t>
      </w:r>
      <w:proofErr w:type="spellEnd"/>
      <w:r w:rsidRPr="00204DBD">
        <w:t>, 1973). Ulusal kültürler, genellikle ortak sembolleri ve kolektif hafızayı vurgulayarak vatandaşların davranışlarını ve öz algılarını etkiler. Ancak toplumlar çok kültürlü hale geldikçe, tekil kültürel kimlik kavramı daha karmaşık bir hal almakta ve çoğu zaman bireylerin birden fazla kültürel bağlamda yolunu bulma çabasına yol açmaktadır (</w:t>
      </w:r>
      <w:proofErr w:type="spellStart"/>
      <w:r w:rsidRPr="00204DBD">
        <w:t>Hall</w:t>
      </w:r>
      <w:proofErr w:type="spellEnd"/>
      <w:r w:rsidRPr="00204DBD">
        <w:t>, 1992).</w:t>
      </w:r>
    </w:p>
    <w:p w14:paraId="2548C376" w14:textId="77777777" w:rsidR="00254C59" w:rsidRPr="00204DBD" w:rsidRDefault="00254C59" w:rsidP="002B6256">
      <w:pPr>
        <w:jc w:val="both"/>
      </w:pPr>
    </w:p>
    <w:p w14:paraId="4AADDCE4" w14:textId="77777777" w:rsidR="00E3302B" w:rsidRPr="00204DBD" w:rsidRDefault="00E3302B" w:rsidP="002B6256">
      <w:pPr>
        <w:jc w:val="both"/>
      </w:pPr>
      <w:proofErr w:type="spellStart"/>
      <w:r w:rsidRPr="00204DBD">
        <w:t>Ritzer’e</w:t>
      </w:r>
      <w:proofErr w:type="spellEnd"/>
      <w:r w:rsidRPr="00204DBD">
        <w:t xml:space="preserve"> göre, kültür statik değildir. Ona göre toplumlar, yeni fikirlerle, teknolojilerle ve çevresel baskılarla karşılaştıkça sürekli olarak değişmekte, yenilik, keşif ve yayılma yoluyla gerçekleşen bu kültürel </w:t>
      </w:r>
      <w:proofErr w:type="gramStart"/>
      <w:r w:rsidRPr="00204DBD">
        <w:t>değişim -</w:t>
      </w:r>
      <w:proofErr w:type="gramEnd"/>
      <w:r w:rsidRPr="00204DBD">
        <w:t xml:space="preserve"> başlangıçta bir Amerikan konsepti olan </w:t>
      </w:r>
      <w:proofErr w:type="spellStart"/>
      <w:r w:rsidRPr="00204DBD">
        <w:t>fast</w:t>
      </w:r>
      <w:proofErr w:type="spellEnd"/>
      <w:r w:rsidRPr="00204DBD">
        <w:t xml:space="preserve"> </w:t>
      </w:r>
      <w:proofErr w:type="spellStart"/>
      <w:r w:rsidRPr="00204DBD">
        <w:t>food’un</w:t>
      </w:r>
      <w:proofErr w:type="spellEnd"/>
      <w:r w:rsidRPr="00204DBD">
        <w:t xml:space="preserve"> dünya çapında popüler olması gibi- özellikle günümüzün küreselleşen dünyasında ön plana çıkmaktadır (</w:t>
      </w:r>
      <w:proofErr w:type="spellStart"/>
      <w:r w:rsidRPr="00204DBD">
        <w:t>Ritzer</w:t>
      </w:r>
      <w:proofErr w:type="spellEnd"/>
      <w:r w:rsidRPr="00204DBD">
        <w:t>, 2004).</w:t>
      </w:r>
    </w:p>
    <w:p w14:paraId="0AFFEA3A" w14:textId="77777777" w:rsidR="00E3302B" w:rsidRDefault="00E3302B" w:rsidP="002B6256">
      <w:pPr>
        <w:jc w:val="both"/>
      </w:pPr>
      <w:r w:rsidRPr="00204DBD">
        <w:lastRenderedPageBreak/>
        <w:t xml:space="preserve">Başlangıçta baskın kültürel değerlere karşı oluşan gençlik temelli gruplara atıfta bulunan “alt kültür” kavramı ise ilk kez 20. yüzyılın ortalarında kullanılmış, Amerikalı sosyolog Albert Cohen, alt sınıf gençlik çetelerinin ana akım toplumun sosyal beklentilerine yanıt olarak </w:t>
      </w:r>
      <w:proofErr w:type="spellStart"/>
      <w:r w:rsidRPr="00204DBD">
        <w:t>altkültürel</w:t>
      </w:r>
      <w:proofErr w:type="spellEnd"/>
      <w:r w:rsidRPr="00204DBD">
        <w:t xml:space="preserve"> değerleri nasıl geliştirdiklerini açıklamak için bu kavramı geliştirmiştir (Cohen, 1955).</w:t>
      </w:r>
    </w:p>
    <w:p w14:paraId="77008603" w14:textId="77777777" w:rsidR="00254C59" w:rsidRPr="00204DBD" w:rsidRDefault="00254C59" w:rsidP="002B6256">
      <w:pPr>
        <w:jc w:val="both"/>
      </w:pPr>
    </w:p>
    <w:p w14:paraId="16C96CEB" w14:textId="77777777" w:rsidR="00E3302B" w:rsidRDefault="00E3302B" w:rsidP="002B6256">
      <w:pPr>
        <w:jc w:val="both"/>
      </w:pPr>
      <w:r w:rsidRPr="00204DBD">
        <w:t>20. Yüzyıl başlarında Chicago Okulunda gerçekleşen sosyolojik temelli yaklaşım çerçevesinde alt kültür kavramı üzerinde sistematik araştırmalar yapılmaya başlanmış, 20. yüzyılın ikinci yarısından sonra ise Birmingham Üniversitesinde çağdaş kültür üzerine çalışan araştırmacılar, alt kültürleri sınıf, etnik yapı ve cinsiyete göre yeniden tanımlama yoluna gitmişlerdir. Bu iki temel yaklaşım sonrasında ise alt kültürler; sosyal tarih, antropoloji, edebiyat, kültür ve medya çalışmaları dâhil olmak üzere birçok disiplinin perspektifinden ele alınmıştır (</w:t>
      </w:r>
      <w:proofErr w:type="spellStart"/>
      <w:r w:rsidRPr="00204DBD">
        <w:t>Thornton</w:t>
      </w:r>
      <w:proofErr w:type="spellEnd"/>
      <w:r w:rsidRPr="00204DBD">
        <w:t xml:space="preserve">, 1997’den </w:t>
      </w:r>
      <w:proofErr w:type="spellStart"/>
      <w:r w:rsidRPr="00204DBD">
        <w:t>Akt</w:t>
      </w:r>
      <w:proofErr w:type="spellEnd"/>
      <w:r w:rsidRPr="00204DBD">
        <w:t xml:space="preserve">. </w:t>
      </w:r>
      <w:proofErr w:type="spellStart"/>
      <w:r w:rsidRPr="00204DBD">
        <w:t>Öcel</w:t>
      </w:r>
      <w:proofErr w:type="spellEnd"/>
      <w:r w:rsidRPr="00204DBD">
        <w:t xml:space="preserve"> vd., 2022).</w:t>
      </w:r>
    </w:p>
    <w:p w14:paraId="3813E6A3" w14:textId="77777777" w:rsidR="00254C59" w:rsidRPr="00204DBD" w:rsidRDefault="00254C59" w:rsidP="002B6256">
      <w:pPr>
        <w:jc w:val="both"/>
      </w:pPr>
    </w:p>
    <w:p w14:paraId="48642F8A" w14:textId="77777777" w:rsidR="00E3302B" w:rsidRDefault="00E3302B" w:rsidP="002B6256">
      <w:pPr>
        <w:jc w:val="both"/>
      </w:pPr>
      <w:r w:rsidRPr="00204DBD">
        <w:t>Alt kültürler, genellikle farklı estetik unsurlar, lehçeler ve sosyal ritüeller, vb. ile işaretlenmekte, bu özellikler grup içindeki üyeleri tanımlamaya ve onları diğerlerinden ayırt etmeye hizmet etmektedir. (</w:t>
      </w:r>
      <w:proofErr w:type="spellStart"/>
      <w:r w:rsidRPr="00204DBD">
        <w:t>Muggleton</w:t>
      </w:r>
      <w:proofErr w:type="spellEnd"/>
      <w:r w:rsidRPr="00204DBD">
        <w:t xml:space="preserve">, 2000). İnternet ise alt kültürlerin oluşumunu ve işleyiş biçimini bütünüyle değiştirmiştir. Çevrim içi alanlar, dünyanın dört bir yanından benzer düşüncelere sahip bireylerin bağlantı kurmasına olanak tanıyarak ulusal sınırları aşan küresel alt kültürler yaratmakta, “anime” gibi belirli türlerin ve ilgi alanlarının hayranlarını bir araya getiren, içerik paylaşan, etkinlikler düzenleyen ve kolektif kimlik duygusu yaratan hayran toplulukları çevrim içi olarak yaygınlaşmaktadır (Jenkins, 2006). </w:t>
      </w:r>
    </w:p>
    <w:p w14:paraId="4E895A2F" w14:textId="77777777" w:rsidR="00254C59" w:rsidRPr="00204DBD" w:rsidRDefault="00254C59" w:rsidP="002B6256">
      <w:pPr>
        <w:jc w:val="both"/>
      </w:pPr>
    </w:p>
    <w:p w14:paraId="4DF43D92" w14:textId="59EB2A5F" w:rsidR="00E3302B" w:rsidRDefault="00E3302B" w:rsidP="002B6256">
      <w:pPr>
        <w:jc w:val="both"/>
      </w:pPr>
      <w:r w:rsidRPr="00204DBD">
        <w:t xml:space="preserve">Sosyal medya platformları aynı zamanda farklı konu ve ilgi alanlarına adanmış topluluklarla niş alt kategorilerin gelişmesine de olanak tanımıştır. </w:t>
      </w:r>
      <w:proofErr w:type="spellStart"/>
      <w:r w:rsidRPr="00204DBD">
        <w:t>Thornton’a</w:t>
      </w:r>
      <w:proofErr w:type="spellEnd"/>
      <w:r w:rsidRPr="00204DBD">
        <w:t xml:space="preserve"> göre, alt kültürler dijital platformlar aracılığıyla daha görünür hale geldikçe ana kültürü de etkiler. Gotik veya </w:t>
      </w:r>
      <w:proofErr w:type="spellStart"/>
      <w:r w:rsidRPr="00204DBD">
        <w:t>hip</w:t>
      </w:r>
      <w:proofErr w:type="spellEnd"/>
      <w:r w:rsidRPr="00204DBD">
        <w:t>-hop alt kültürünün artık ana akım modayı ve müziği etkilemesi bunun belirgin örneklerindendir. “</w:t>
      </w:r>
      <w:proofErr w:type="spellStart"/>
      <w:r w:rsidRPr="00204DBD">
        <w:t>Altkültürel</w:t>
      </w:r>
      <w:proofErr w:type="spellEnd"/>
      <w:r w:rsidRPr="00204DBD">
        <w:t xml:space="preserve"> metalaşma” olarak adlandırılan bu olgu, alt kültürlerin ana akım endüstriler tarafından nasıl yavaş yavaş benimsenebileceğini göstermektedir (</w:t>
      </w:r>
      <w:proofErr w:type="spellStart"/>
      <w:r w:rsidRPr="00204DBD">
        <w:t>Thornton</w:t>
      </w:r>
      <w:proofErr w:type="spellEnd"/>
      <w:r w:rsidRPr="00204DBD">
        <w:t>, 1997).</w:t>
      </w:r>
    </w:p>
    <w:p w14:paraId="1FBBBBF4" w14:textId="77777777" w:rsidR="00254C59" w:rsidRPr="002B6256" w:rsidRDefault="00254C59" w:rsidP="002B6256">
      <w:pPr>
        <w:jc w:val="both"/>
      </w:pPr>
    </w:p>
    <w:p w14:paraId="2DEADD5C" w14:textId="77777777" w:rsidR="00E3302B" w:rsidRPr="00204DBD" w:rsidRDefault="00E3302B">
      <w:pPr>
        <w:widowControl/>
        <w:numPr>
          <w:ilvl w:val="0"/>
          <w:numId w:val="73"/>
        </w:numPr>
        <w:autoSpaceDE/>
        <w:autoSpaceDN/>
        <w:jc w:val="both"/>
        <w:rPr>
          <w:b/>
        </w:rPr>
      </w:pPr>
      <w:r w:rsidRPr="00204DBD">
        <w:rPr>
          <w:b/>
        </w:rPr>
        <w:t>Dijital alt kültür ve çevrim içi topluluklar</w:t>
      </w:r>
    </w:p>
    <w:p w14:paraId="7D7703D2" w14:textId="3F0BCA5D" w:rsidR="002B6256" w:rsidRDefault="00E3302B" w:rsidP="002B6256">
      <w:pPr>
        <w:pStyle w:val="NormalWeb"/>
        <w:spacing w:before="0" w:beforeAutospacing="0" w:after="0" w:afterAutospacing="0"/>
        <w:jc w:val="both"/>
      </w:pPr>
      <w:proofErr w:type="spellStart"/>
      <w:r w:rsidRPr="00204DBD">
        <w:t>Günümüzde</w:t>
      </w:r>
      <w:proofErr w:type="spellEnd"/>
      <w:r w:rsidRPr="00204DBD">
        <w:t xml:space="preserve"> internet </w:t>
      </w:r>
      <w:proofErr w:type="spellStart"/>
      <w:r w:rsidRPr="00204DBD">
        <w:t>teknolojilerinin</w:t>
      </w:r>
      <w:proofErr w:type="spellEnd"/>
      <w:r w:rsidRPr="00204DBD">
        <w:t xml:space="preserve"> </w:t>
      </w:r>
      <w:proofErr w:type="spellStart"/>
      <w:r w:rsidRPr="00204DBD">
        <w:t>hızla</w:t>
      </w:r>
      <w:proofErr w:type="spellEnd"/>
      <w:r w:rsidRPr="00204DBD">
        <w:t xml:space="preserve"> </w:t>
      </w:r>
      <w:proofErr w:type="spellStart"/>
      <w:r w:rsidRPr="00204DBD">
        <w:t>gelişmesi</w:t>
      </w:r>
      <w:proofErr w:type="spellEnd"/>
      <w:r w:rsidRPr="00204DBD">
        <w:t xml:space="preserve">, </w:t>
      </w:r>
      <w:proofErr w:type="spellStart"/>
      <w:r w:rsidRPr="00204DBD">
        <w:t>iletişimin</w:t>
      </w:r>
      <w:proofErr w:type="spellEnd"/>
      <w:r w:rsidRPr="00204DBD">
        <w:t xml:space="preserve"> </w:t>
      </w:r>
      <w:proofErr w:type="spellStart"/>
      <w:r w:rsidRPr="00204DBD">
        <w:t>anında</w:t>
      </w:r>
      <w:proofErr w:type="spellEnd"/>
      <w:r w:rsidRPr="00204DBD">
        <w:t xml:space="preserve"> </w:t>
      </w:r>
      <w:proofErr w:type="spellStart"/>
      <w:r w:rsidRPr="00204DBD">
        <w:t>ve</w:t>
      </w:r>
      <w:proofErr w:type="spellEnd"/>
      <w:r w:rsidRPr="00204DBD">
        <w:t xml:space="preserve"> </w:t>
      </w:r>
      <w:proofErr w:type="spellStart"/>
      <w:r w:rsidRPr="00204DBD">
        <w:t>geniş</w:t>
      </w:r>
      <w:proofErr w:type="spellEnd"/>
      <w:r w:rsidRPr="00204DBD">
        <w:t xml:space="preserve"> </w:t>
      </w:r>
      <w:proofErr w:type="spellStart"/>
      <w:r w:rsidRPr="00204DBD">
        <w:t>çapta</w:t>
      </w:r>
      <w:proofErr w:type="spellEnd"/>
      <w:r w:rsidRPr="00204DBD">
        <w:t xml:space="preserve"> </w:t>
      </w:r>
      <w:proofErr w:type="spellStart"/>
      <w:r w:rsidRPr="00204DBD">
        <w:t>gerçekleşebilmesine</w:t>
      </w:r>
      <w:proofErr w:type="spellEnd"/>
      <w:r w:rsidRPr="00204DBD">
        <w:t xml:space="preserve"> </w:t>
      </w:r>
      <w:proofErr w:type="spellStart"/>
      <w:r w:rsidRPr="00204DBD">
        <w:t>olanak</w:t>
      </w:r>
      <w:proofErr w:type="spellEnd"/>
      <w:r w:rsidRPr="00204DBD">
        <w:t xml:space="preserve"> </w:t>
      </w:r>
      <w:proofErr w:type="spellStart"/>
      <w:r w:rsidRPr="00204DBD">
        <w:t>sağlamaktadır</w:t>
      </w:r>
      <w:proofErr w:type="spellEnd"/>
      <w:r w:rsidRPr="00204DBD">
        <w:t xml:space="preserve">. </w:t>
      </w:r>
      <w:proofErr w:type="spellStart"/>
      <w:r w:rsidRPr="00204DBD">
        <w:t>Statista’nın</w:t>
      </w:r>
      <w:proofErr w:type="spellEnd"/>
      <w:r w:rsidRPr="00204DBD">
        <w:t xml:space="preserve"> </w:t>
      </w:r>
      <w:proofErr w:type="spellStart"/>
      <w:r w:rsidRPr="00204DBD">
        <w:t>Şubat</w:t>
      </w:r>
      <w:proofErr w:type="spellEnd"/>
      <w:r w:rsidRPr="00204DBD">
        <w:t xml:space="preserve"> 2025 </w:t>
      </w:r>
      <w:proofErr w:type="spellStart"/>
      <w:r w:rsidRPr="00204DBD">
        <w:t>verilerine</w:t>
      </w:r>
      <w:proofErr w:type="spellEnd"/>
      <w:r w:rsidRPr="00204DBD">
        <w:t xml:space="preserve"> </w:t>
      </w:r>
      <w:proofErr w:type="spellStart"/>
      <w:r w:rsidRPr="00204DBD">
        <w:t>göre</w:t>
      </w:r>
      <w:proofErr w:type="spellEnd"/>
      <w:r w:rsidRPr="00204DBD">
        <w:t xml:space="preserve">, </w:t>
      </w:r>
      <w:proofErr w:type="spellStart"/>
      <w:r w:rsidRPr="00204DBD">
        <w:t>dünya</w:t>
      </w:r>
      <w:proofErr w:type="spellEnd"/>
      <w:r w:rsidRPr="00204DBD">
        <w:t xml:space="preserve"> </w:t>
      </w:r>
      <w:proofErr w:type="spellStart"/>
      <w:r w:rsidRPr="00204DBD">
        <w:t>genelinde</w:t>
      </w:r>
      <w:proofErr w:type="spellEnd"/>
      <w:r w:rsidRPr="00204DBD">
        <w:t xml:space="preserve"> </w:t>
      </w:r>
      <w:r w:rsidRPr="00204DBD">
        <w:rPr>
          <w:bCs/>
        </w:rPr>
        <w:t xml:space="preserve">5,56 </w:t>
      </w:r>
      <w:proofErr w:type="spellStart"/>
      <w:r w:rsidRPr="00204DBD">
        <w:rPr>
          <w:bCs/>
        </w:rPr>
        <w:t>milyar</w:t>
      </w:r>
      <w:proofErr w:type="spellEnd"/>
      <w:r w:rsidRPr="00204DBD">
        <w:t xml:space="preserve"> internet </w:t>
      </w:r>
      <w:proofErr w:type="spellStart"/>
      <w:r w:rsidRPr="00204DBD">
        <w:t>kullanıcısı</w:t>
      </w:r>
      <w:proofErr w:type="spellEnd"/>
      <w:r w:rsidRPr="00204DBD">
        <w:t xml:space="preserve"> </w:t>
      </w:r>
      <w:proofErr w:type="spellStart"/>
      <w:r w:rsidRPr="00204DBD">
        <w:t>bulunmaktadır</w:t>
      </w:r>
      <w:proofErr w:type="spellEnd"/>
      <w:r w:rsidRPr="00204DBD">
        <w:t xml:space="preserve">. </w:t>
      </w:r>
      <w:proofErr w:type="spellStart"/>
      <w:r w:rsidRPr="00204DBD">
        <w:t>Söz</w:t>
      </w:r>
      <w:proofErr w:type="spellEnd"/>
      <w:r w:rsidRPr="00204DBD">
        <w:t xml:space="preserve"> </w:t>
      </w:r>
      <w:proofErr w:type="spellStart"/>
      <w:r w:rsidRPr="00204DBD">
        <w:t>konusu</w:t>
      </w:r>
      <w:proofErr w:type="spellEnd"/>
      <w:r w:rsidRPr="00204DBD">
        <w:t xml:space="preserve"> </w:t>
      </w:r>
      <w:proofErr w:type="spellStart"/>
      <w:r w:rsidRPr="00204DBD">
        <w:t>kullanıcıların</w:t>
      </w:r>
      <w:proofErr w:type="spellEnd"/>
      <w:r w:rsidRPr="00204DBD">
        <w:t xml:space="preserve"> </w:t>
      </w:r>
      <w:r w:rsidRPr="00204DBD">
        <w:rPr>
          <w:bCs/>
        </w:rPr>
        <w:t xml:space="preserve">5,24 </w:t>
      </w:r>
      <w:proofErr w:type="spellStart"/>
      <w:r w:rsidRPr="00204DBD">
        <w:rPr>
          <w:bCs/>
        </w:rPr>
        <w:t>milyarı</w:t>
      </w:r>
      <w:proofErr w:type="spellEnd"/>
      <w:r w:rsidRPr="00204DBD">
        <w:t xml:space="preserve">, </w:t>
      </w:r>
      <w:proofErr w:type="spellStart"/>
      <w:r w:rsidRPr="00204DBD">
        <w:t>yani</w:t>
      </w:r>
      <w:proofErr w:type="spellEnd"/>
      <w:r w:rsidRPr="00204DBD">
        <w:t xml:space="preserve"> </w:t>
      </w:r>
      <w:proofErr w:type="spellStart"/>
      <w:r w:rsidRPr="00204DBD">
        <w:rPr>
          <w:bCs/>
        </w:rPr>
        <w:t>dünya</w:t>
      </w:r>
      <w:proofErr w:type="spellEnd"/>
      <w:r w:rsidRPr="00204DBD">
        <w:rPr>
          <w:bCs/>
        </w:rPr>
        <w:t xml:space="preserve"> </w:t>
      </w:r>
      <w:proofErr w:type="spellStart"/>
      <w:r w:rsidRPr="00204DBD">
        <w:rPr>
          <w:bCs/>
        </w:rPr>
        <w:t>nüfusunun</w:t>
      </w:r>
      <w:proofErr w:type="spellEnd"/>
      <w:r w:rsidRPr="00204DBD">
        <w:rPr>
          <w:bCs/>
        </w:rPr>
        <w:t xml:space="preserve"> </w:t>
      </w:r>
      <w:proofErr w:type="spellStart"/>
      <w:r w:rsidRPr="00204DBD">
        <w:rPr>
          <w:bCs/>
        </w:rPr>
        <w:t>yaklaşık</w:t>
      </w:r>
      <w:proofErr w:type="spellEnd"/>
      <w:r w:rsidRPr="00204DBD">
        <w:rPr>
          <w:bCs/>
        </w:rPr>
        <w:t xml:space="preserve"> </w:t>
      </w:r>
      <w:proofErr w:type="spellStart"/>
      <w:r w:rsidRPr="00204DBD">
        <w:rPr>
          <w:bCs/>
        </w:rPr>
        <w:t>yüzde</w:t>
      </w:r>
      <w:proofErr w:type="spellEnd"/>
      <w:r w:rsidRPr="00204DBD">
        <w:rPr>
          <w:bCs/>
        </w:rPr>
        <w:t xml:space="preserve"> 64’ü</w:t>
      </w:r>
      <w:r w:rsidRPr="00204DBD">
        <w:t xml:space="preserve"> </w:t>
      </w:r>
      <w:proofErr w:type="spellStart"/>
      <w:r w:rsidRPr="00204DBD">
        <w:t>aynı</w:t>
      </w:r>
      <w:proofErr w:type="spellEnd"/>
      <w:r w:rsidRPr="00204DBD">
        <w:t xml:space="preserve"> </w:t>
      </w:r>
      <w:proofErr w:type="spellStart"/>
      <w:r w:rsidRPr="00204DBD">
        <w:t>zamanda</w:t>
      </w:r>
      <w:proofErr w:type="spellEnd"/>
      <w:r w:rsidRPr="00204DBD">
        <w:t xml:space="preserve"> </w:t>
      </w:r>
      <w:proofErr w:type="spellStart"/>
      <w:r w:rsidRPr="00204DBD">
        <w:t>sosyal</w:t>
      </w:r>
      <w:proofErr w:type="spellEnd"/>
      <w:r w:rsidRPr="00204DBD">
        <w:t xml:space="preserve"> </w:t>
      </w:r>
      <w:proofErr w:type="spellStart"/>
      <w:r w:rsidRPr="00204DBD">
        <w:t>medya</w:t>
      </w:r>
      <w:proofErr w:type="spellEnd"/>
      <w:r w:rsidRPr="00204DBD">
        <w:t xml:space="preserve"> </w:t>
      </w:r>
      <w:proofErr w:type="spellStart"/>
      <w:r w:rsidRPr="00204DBD">
        <w:t>kullanıcısı</w:t>
      </w:r>
      <w:proofErr w:type="spellEnd"/>
      <w:r w:rsidRPr="00204DBD">
        <w:t xml:space="preserve"> </w:t>
      </w:r>
      <w:proofErr w:type="spellStart"/>
      <w:r w:rsidRPr="00204DBD">
        <w:t>konumundadır</w:t>
      </w:r>
      <w:proofErr w:type="spellEnd"/>
      <w:r w:rsidRPr="00204DBD">
        <w:t xml:space="preserve"> (Petrosyan, 2025). E-</w:t>
      </w:r>
      <w:proofErr w:type="spellStart"/>
      <w:r w:rsidRPr="00204DBD">
        <w:t>posta</w:t>
      </w:r>
      <w:proofErr w:type="spellEnd"/>
      <w:r w:rsidRPr="00204DBD">
        <w:t xml:space="preserve">, </w:t>
      </w:r>
      <w:proofErr w:type="spellStart"/>
      <w:r w:rsidRPr="00204DBD">
        <w:t>sosyal</w:t>
      </w:r>
      <w:proofErr w:type="spellEnd"/>
      <w:r w:rsidRPr="00204DBD">
        <w:t xml:space="preserve"> </w:t>
      </w:r>
      <w:proofErr w:type="spellStart"/>
      <w:r w:rsidRPr="00204DBD">
        <w:t>ağ</w:t>
      </w:r>
      <w:proofErr w:type="spellEnd"/>
      <w:r w:rsidRPr="00204DBD">
        <w:t xml:space="preserve"> </w:t>
      </w:r>
      <w:proofErr w:type="spellStart"/>
      <w:r w:rsidRPr="00204DBD">
        <w:t>siteleri</w:t>
      </w:r>
      <w:proofErr w:type="spellEnd"/>
      <w:r w:rsidRPr="00204DBD">
        <w:t xml:space="preserve"> </w:t>
      </w:r>
      <w:proofErr w:type="spellStart"/>
      <w:r w:rsidRPr="00204DBD">
        <w:t>ve</w:t>
      </w:r>
      <w:proofErr w:type="spellEnd"/>
      <w:r w:rsidRPr="00204DBD">
        <w:t xml:space="preserve"> </w:t>
      </w:r>
      <w:proofErr w:type="spellStart"/>
      <w:r w:rsidRPr="00204DBD">
        <w:t>mesajlaşma</w:t>
      </w:r>
      <w:proofErr w:type="spellEnd"/>
      <w:r w:rsidRPr="00204DBD">
        <w:t xml:space="preserve"> </w:t>
      </w:r>
      <w:proofErr w:type="spellStart"/>
      <w:r w:rsidRPr="00204DBD">
        <w:t>uygulamaları</w:t>
      </w:r>
      <w:proofErr w:type="spellEnd"/>
      <w:r w:rsidRPr="00204DBD">
        <w:t xml:space="preserve"> </w:t>
      </w:r>
      <w:proofErr w:type="spellStart"/>
      <w:r w:rsidRPr="00204DBD">
        <w:t>gibi</w:t>
      </w:r>
      <w:proofErr w:type="spellEnd"/>
      <w:r w:rsidRPr="00204DBD">
        <w:t xml:space="preserve"> </w:t>
      </w:r>
      <w:proofErr w:type="spellStart"/>
      <w:r w:rsidRPr="00204DBD">
        <w:t>dijital</w:t>
      </w:r>
      <w:proofErr w:type="spellEnd"/>
      <w:r w:rsidRPr="00204DBD">
        <w:t xml:space="preserve"> </w:t>
      </w:r>
      <w:proofErr w:type="spellStart"/>
      <w:r w:rsidRPr="00204DBD">
        <w:t>ortamlar</w:t>
      </w:r>
      <w:proofErr w:type="spellEnd"/>
      <w:r w:rsidRPr="00204DBD">
        <w:t xml:space="preserve">, </w:t>
      </w:r>
      <w:proofErr w:type="spellStart"/>
      <w:r w:rsidRPr="00204DBD">
        <w:t>bireylerin</w:t>
      </w:r>
      <w:proofErr w:type="spellEnd"/>
      <w:r w:rsidRPr="00204DBD">
        <w:t xml:space="preserve"> </w:t>
      </w:r>
      <w:proofErr w:type="spellStart"/>
      <w:r w:rsidRPr="00204DBD">
        <w:t>çok</w:t>
      </w:r>
      <w:proofErr w:type="spellEnd"/>
      <w:r w:rsidRPr="00204DBD">
        <w:t xml:space="preserve"> </w:t>
      </w:r>
      <w:proofErr w:type="spellStart"/>
      <w:r w:rsidRPr="00204DBD">
        <w:t>uzak</w:t>
      </w:r>
      <w:proofErr w:type="spellEnd"/>
      <w:r w:rsidRPr="00204DBD">
        <w:t xml:space="preserve"> </w:t>
      </w:r>
      <w:proofErr w:type="spellStart"/>
      <w:r w:rsidRPr="00204DBD">
        <w:t>mesafelerde</w:t>
      </w:r>
      <w:proofErr w:type="spellEnd"/>
      <w:r w:rsidRPr="00204DBD">
        <w:t xml:space="preserve"> </w:t>
      </w:r>
      <w:proofErr w:type="spellStart"/>
      <w:r w:rsidRPr="00204DBD">
        <w:t>ilişkilerini</w:t>
      </w:r>
      <w:proofErr w:type="spellEnd"/>
      <w:r w:rsidRPr="00204DBD">
        <w:t xml:space="preserve"> </w:t>
      </w:r>
      <w:proofErr w:type="spellStart"/>
      <w:r w:rsidRPr="00204DBD">
        <w:t>sürdürmelerine</w:t>
      </w:r>
      <w:proofErr w:type="spellEnd"/>
      <w:r w:rsidRPr="00204DBD">
        <w:t xml:space="preserve"> </w:t>
      </w:r>
      <w:proofErr w:type="spellStart"/>
      <w:r w:rsidRPr="00204DBD">
        <w:t>imkân</w:t>
      </w:r>
      <w:proofErr w:type="spellEnd"/>
      <w:r w:rsidRPr="00204DBD">
        <w:t xml:space="preserve"> </w:t>
      </w:r>
      <w:proofErr w:type="spellStart"/>
      <w:r w:rsidRPr="00204DBD">
        <w:t>tanımakta</w:t>
      </w:r>
      <w:proofErr w:type="spellEnd"/>
      <w:r w:rsidRPr="00204DBD">
        <w:t xml:space="preserve">, </w:t>
      </w:r>
      <w:proofErr w:type="spellStart"/>
      <w:r w:rsidRPr="00204DBD">
        <w:t>yavaş</w:t>
      </w:r>
      <w:proofErr w:type="spellEnd"/>
      <w:r w:rsidRPr="00204DBD">
        <w:t xml:space="preserve"> </w:t>
      </w:r>
      <w:proofErr w:type="spellStart"/>
      <w:r w:rsidRPr="00204DBD">
        <w:t>ve</w:t>
      </w:r>
      <w:proofErr w:type="spellEnd"/>
      <w:r w:rsidRPr="00204DBD">
        <w:t xml:space="preserve"> </w:t>
      </w:r>
      <w:proofErr w:type="spellStart"/>
      <w:r w:rsidRPr="00204DBD">
        <w:t>doğal</w:t>
      </w:r>
      <w:proofErr w:type="spellEnd"/>
      <w:r w:rsidRPr="00204DBD">
        <w:t xml:space="preserve"> </w:t>
      </w:r>
      <w:proofErr w:type="spellStart"/>
      <w:r w:rsidRPr="00204DBD">
        <w:t>bir</w:t>
      </w:r>
      <w:proofErr w:type="spellEnd"/>
      <w:r w:rsidRPr="00204DBD">
        <w:t xml:space="preserve"> </w:t>
      </w:r>
      <w:proofErr w:type="spellStart"/>
      <w:r w:rsidRPr="00204DBD">
        <w:t>süreçte</w:t>
      </w:r>
      <w:proofErr w:type="spellEnd"/>
      <w:r w:rsidRPr="00204DBD">
        <w:t xml:space="preserve"> </w:t>
      </w:r>
      <w:proofErr w:type="spellStart"/>
      <w:r w:rsidRPr="00204DBD">
        <w:t>gelişen</w:t>
      </w:r>
      <w:proofErr w:type="spellEnd"/>
      <w:r w:rsidRPr="00204DBD">
        <w:t xml:space="preserve"> </w:t>
      </w:r>
      <w:proofErr w:type="spellStart"/>
      <w:r w:rsidRPr="00204DBD">
        <w:t>geleneksel</w:t>
      </w:r>
      <w:proofErr w:type="spellEnd"/>
      <w:r w:rsidRPr="00204DBD">
        <w:t xml:space="preserve"> </w:t>
      </w:r>
      <w:proofErr w:type="spellStart"/>
      <w:r w:rsidRPr="00204DBD">
        <w:t>kültürün</w:t>
      </w:r>
      <w:proofErr w:type="spellEnd"/>
      <w:r w:rsidRPr="00204DBD">
        <w:t xml:space="preserve"> </w:t>
      </w:r>
      <w:proofErr w:type="spellStart"/>
      <w:r w:rsidRPr="00204DBD">
        <w:t>yerini</w:t>
      </w:r>
      <w:proofErr w:type="spellEnd"/>
      <w:r w:rsidRPr="00204DBD">
        <w:t xml:space="preserve">, </w:t>
      </w:r>
      <w:proofErr w:type="spellStart"/>
      <w:r w:rsidRPr="00204DBD">
        <w:t>farklı</w:t>
      </w:r>
      <w:proofErr w:type="spellEnd"/>
      <w:r w:rsidRPr="00204DBD">
        <w:t xml:space="preserve"> </w:t>
      </w:r>
      <w:proofErr w:type="spellStart"/>
      <w:r w:rsidRPr="00204DBD">
        <w:t>dinamikleriyle</w:t>
      </w:r>
      <w:proofErr w:type="spellEnd"/>
      <w:r w:rsidRPr="00204DBD">
        <w:t xml:space="preserve"> “</w:t>
      </w:r>
      <w:proofErr w:type="spellStart"/>
      <w:r w:rsidRPr="00204DBD">
        <w:t>dijital</w:t>
      </w:r>
      <w:proofErr w:type="spellEnd"/>
      <w:r w:rsidRPr="00204DBD">
        <w:t xml:space="preserve"> </w:t>
      </w:r>
      <w:proofErr w:type="spellStart"/>
      <w:r w:rsidRPr="00204DBD">
        <w:t>kültür</w:t>
      </w:r>
      <w:proofErr w:type="spellEnd"/>
      <w:r w:rsidRPr="00204DBD">
        <w:t xml:space="preserve">” </w:t>
      </w:r>
      <w:proofErr w:type="spellStart"/>
      <w:r w:rsidRPr="00204DBD">
        <w:t>almaktadır</w:t>
      </w:r>
      <w:proofErr w:type="spellEnd"/>
      <w:r w:rsidRPr="00204DBD">
        <w:t xml:space="preserve">. </w:t>
      </w:r>
      <w:proofErr w:type="spellStart"/>
      <w:r w:rsidRPr="00204DBD">
        <w:t>Geleneksel</w:t>
      </w:r>
      <w:proofErr w:type="spellEnd"/>
      <w:r w:rsidRPr="00204DBD">
        <w:t xml:space="preserve"> </w:t>
      </w:r>
      <w:proofErr w:type="spellStart"/>
      <w:r w:rsidRPr="00204DBD">
        <w:t>kültürde</w:t>
      </w:r>
      <w:proofErr w:type="spellEnd"/>
      <w:r w:rsidRPr="00204DBD">
        <w:t xml:space="preserve"> </w:t>
      </w:r>
      <w:proofErr w:type="spellStart"/>
      <w:r w:rsidRPr="00204DBD">
        <w:t>sosyalleşme</w:t>
      </w:r>
      <w:proofErr w:type="spellEnd"/>
      <w:r w:rsidRPr="00204DBD">
        <w:t xml:space="preserve"> </w:t>
      </w:r>
      <w:proofErr w:type="spellStart"/>
      <w:r w:rsidRPr="00204DBD">
        <w:t>çoğunlukla</w:t>
      </w:r>
      <w:proofErr w:type="spellEnd"/>
      <w:r w:rsidRPr="00204DBD">
        <w:t xml:space="preserve"> </w:t>
      </w:r>
      <w:proofErr w:type="spellStart"/>
      <w:r w:rsidRPr="00204DBD">
        <w:t>aile</w:t>
      </w:r>
      <w:proofErr w:type="spellEnd"/>
      <w:r w:rsidRPr="00204DBD">
        <w:t xml:space="preserve">, </w:t>
      </w:r>
      <w:proofErr w:type="spellStart"/>
      <w:r w:rsidRPr="00204DBD">
        <w:t>mahalle</w:t>
      </w:r>
      <w:proofErr w:type="spellEnd"/>
      <w:r w:rsidRPr="00204DBD">
        <w:t xml:space="preserve">, </w:t>
      </w:r>
      <w:proofErr w:type="spellStart"/>
      <w:r w:rsidRPr="00204DBD">
        <w:t>okul</w:t>
      </w:r>
      <w:proofErr w:type="spellEnd"/>
      <w:r w:rsidRPr="00204DBD">
        <w:t xml:space="preserve"> </w:t>
      </w:r>
      <w:proofErr w:type="spellStart"/>
      <w:r w:rsidRPr="00204DBD">
        <w:t>ve</w:t>
      </w:r>
      <w:proofErr w:type="spellEnd"/>
      <w:r w:rsidRPr="00204DBD">
        <w:t xml:space="preserve"> </w:t>
      </w:r>
      <w:proofErr w:type="spellStart"/>
      <w:r w:rsidRPr="00204DBD">
        <w:t>iş</w:t>
      </w:r>
      <w:proofErr w:type="spellEnd"/>
      <w:r w:rsidRPr="00204DBD">
        <w:t xml:space="preserve"> </w:t>
      </w:r>
      <w:proofErr w:type="spellStart"/>
      <w:r w:rsidRPr="00204DBD">
        <w:t>yerleri</w:t>
      </w:r>
      <w:proofErr w:type="spellEnd"/>
      <w:r w:rsidRPr="00204DBD">
        <w:t xml:space="preserve"> </w:t>
      </w:r>
      <w:proofErr w:type="spellStart"/>
      <w:r w:rsidRPr="00204DBD">
        <w:t>gibi</w:t>
      </w:r>
      <w:proofErr w:type="spellEnd"/>
      <w:r w:rsidRPr="00204DBD">
        <w:t xml:space="preserve"> </w:t>
      </w:r>
      <w:proofErr w:type="spellStart"/>
      <w:r w:rsidRPr="00204DBD">
        <w:t>fiziksel</w:t>
      </w:r>
      <w:proofErr w:type="spellEnd"/>
      <w:r w:rsidRPr="00204DBD">
        <w:t xml:space="preserve"> </w:t>
      </w:r>
      <w:proofErr w:type="spellStart"/>
      <w:r w:rsidRPr="00204DBD">
        <w:t>mekânlarda</w:t>
      </w:r>
      <w:proofErr w:type="spellEnd"/>
      <w:r w:rsidRPr="00204DBD">
        <w:t xml:space="preserve"> </w:t>
      </w:r>
      <w:proofErr w:type="spellStart"/>
      <w:r w:rsidRPr="00204DBD">
        <w:t>gerçekleşmekte</w:t>
      </w:r>
      <w:proofErr w:type="spellEnd"/>
      <w:r w:rsidRPr="00204DBD">
        <w:t xml:space="preserve"> </w:t>
      </w:r>
      <w:proofErr w:type="spellStart"/>
      <w:r w:rsidRPr="00204DBD">
        <w:t>ve</w:t>
      </w:r>
      <w:proofErr w:type="spellEnd"/>
      <w:r w:rsidRPr="00204DBD">
        <w:t xml:space="preserve"> </w:t>
      </w:r>
      <w:proofErr w:type="spellStart"/>
      <w:r w:rsidRPr="00204DBD">
        <w:t>sosyal</w:t>
      </w:r>
      <w:proofErr w:type="spellEnd"/>
      <w:r w:rsidRPr="00204DBD">
        <w:t xml:space="preserve"> </w:t>
      </w:r>
      <w:proofErr w:type="spellStart"/>
      <w:r w:rsidRPr="00204DBD">
        <w:t>normlar</w:t>
      </w:r>
      <w:proofErr w:type="spellEnd"/>
      <w:r w:rsidRPr="00204DBD">
        <w:t xml:space="preserve">, </w:t>
      </w:r>
      <w:proofErr w:type="spellStart"/>
      <w:r w:rsidRPr="00204DBD">
        <w:t>kişiler</w:t>
      </w:r>
      <w:proofErr w:type="spellEnd"/>
      <w:r w:rsidRPr="00204DBD">
        <w:t xml:space="preserve"> </w:t>
      </w:r>
      <w:proofErr w:type="spellStart"/>
      <w:r w:rsidRPr="00204DBD">
        <w:t>arası</w:t>
      </w:r>
      <w:proofErr w:type="spellEnd"/>
      <w:r w:rsidRPr="00204DBD">
        <w:t xml:space="preserve"> </w:t>
      </w:r>
      <w:proofErr w:type="spellStart"/>
      <w:r w:rsidRPr="00204DBD">
        <w:t>ilişkilerle</w:t>
      </w:r>
      <w:proofErr w:type="spellEnd"/>
      <w:r w:rsidRPr="00204DBD">
        <w:t xml:space="preserve"> </w:t>
      </w:r>
      <w:proofErr w:type="spellStart"/>
      <w:r w:rsidRPr="00204DBD">
        <w:t>kuşaktan</w:t>
      </w:r>
      <w:proofErr w:type="spellEnd"/>
      <w:r w:rsidRPr="00204DBD">
        <w:t xml:space="preserve"> </w:t>
      </w:r>
      <w:proofErr w:type="spellStart"/>
      <w:r w:rsidRPr="00204DBD">
        <w:t>kuşağa</w:t>
      </w:r>
      <w:proofErr w:type="spellEnd"/>
      <w:r w:rsidRPr="00204DBD">
        <w:t xml:space="preserve"> </w:t>
      </w:r>
      <w:proofErr w:type="spellStart"/>
      <w:r w:rsidRPr="00204DBD">
        <w:t>aktarılmaktadır</w:t>
      </w:r>
      <w:proofErr w:type="spellEnd"/>
      <w:r w:rsidRPr="00204DBD">
        <w:t xml:space="preserve"> (Berger </w:t>
      </w:r>
      <w:proofErr w:type="spellStart"/>
      <w:r w:rsidRPr="00204DBD">
        <w:t>ve</w:t>
      </w:r>
      <w:proofErr w:type="spellEnd"/>
      <w:r w:rsidRPr="00204DBD">
        <w:t xml:space="preserve"> </w:t>
      </w:r>
      <w:proofErr w:type="spellStart"/>
      <w:r w:rsidRPr="00204DBD">
        <w:t>Luckmann</w:t>
      </w:r>
      <w:proofErr w:type="spellEnd"/>
      <w:r w:rsidRPr="00204DBD">
        <w:t xml:space="preserve">, 1966). </w:t>
      </w:r>
      <w:proofErr w:type="spellStart"/>
      <w:r w:rsidRPr="00204DBD">
        <w:t>Oysa</w:t>
      </w:r>
      <w:proofErr w:type="spellEnd"/>
      <w:r w:rsidRPr="00204DBD">
        <w:t xml:space="preserve"> </w:t>
      </w:r>
      <w:proofErr w:type="spellStart"/>
      <w:r w:rsidRPr="00204DBD">
        <w:t>dijital</w:t>
      </w:r>
      <w:proofErr w:type="spellEnd"/>
      <w:r w:rsidRPr="00204DBD">
        <w:t xml:space="preserve"> </w:t>
      </w:r>
      <w:proofErr w:type="spellStart"/>
      <w:r w:rsidRPr="00204DBD">
        <w:t>kültürde</w:t>
      </w:r>
      <w:proofErr w:type="spellEnd"/>
      <w:r w:rsidRPr="00204DBD">
        <w:t xml:space="preserve"> </w:t>
      </w:r>
      <w:proofErr w:type="spellStart"/>
      <w:r w:rsidRPr="00204DBD">
        <w:t>sosyalleşme</w:t>
      </w:r>
      <w:proofErr w:type="spellEnd"/>
      <w:r w:rsidRPr="00204DBD">
        <w:t xml:space="preserve">, </w:t>
      </w:r>
      <w:proofErr w:type="spellStart"/>
      <w:r w:rsidRPr="00204DBD">
        <w:t>fiziksel</w:t>
      </w:r>
      <w:proofErr w:type="spellEnd"/>
      <w:r w:rsidRPr="00204DBD">
        <w:t xml:space="preserve"> </w:t>
      </w:r>
      <w:proofErr w:type="spellStart"/>
      <w:r w:rsidRPr="00204DBD">
        <w:t>mekân</w:t>
      </w:r>
      <w:proofErr w:type="spellEnd"/>
      <w:r w:rsidRPr="00204DBD">
        <w:t xml:space="preserve"> </w:t>
      </w:r>
      <w:proofErr w:type="spellStart"/>
      <w:r w:rsidRPr="00204DBD">
        <w:t>bağımlılığından</w:t>
      </w:r>
      <w:proofErr w:type="spellEnd"/>
      <w:r w:rsidRPr="00204DBD">
        <w:t xml:space="preserve"> </w:t>
      </w:r>
      <w:proofErr w:type="spellStart"/>
      <w:r w:rsidRPr="00204DBD">
        <w:t>büyük</w:t>
      </w:r>
      <w:proofErr w:type="spellEnd"/>
      <w:r w:rsidRPr="00204DBD">
        <w:t xml:space="preserve"> </w:t>
      </w:r>
      <w:proofErr w:type="spellStart"/>
      <w:r w:rsidRPr="00204DBD">
        <w:t>ölçüde</w:t>
      </w:r>
      <w:proofErr w:type="spellEnd"/>
      <w:r w:rsidRPr="00204DBD">
        <w:t xml:space="preserve"> </w:t>
      </w:r>
      <w:proofErr w:type="spellStart"/>
      <w:r w:rsidRPr="00204DBD">
        <w:t>kopmakta</w:t>
      </w:r>
      <w:proofErr w:type="spellEnd"/>
      <w:r w:rsidRPr="00204DBD">
        <w:t xml:space="preserve">; </w:t>
      </w:r>
      <w:proofErr w:type="spellStart"/>
      <w:r w:rsidRPr="00204DBD">
        <w:t>bireyler</w:t>
      </w:r>
      <w:proofErr w:type="spellEnd"/>
      <w:r w:rsidRPr="00204DBD">
        <w:t xml:space="preserve">, </w:t>
      </w:r>
      <w:proofErr w:type="spellStart"/>
      <w:r w:rsidRPr="00204DBD">
        <w:t>sosyal</w:t>
      </w:r>
      <w:proofErr w:type="spellEnd"/>
      <w:r w:rsidRPr="00204DBD">
        <w:t xml:space="preserve"> </w:t>
      </w:r>
      <w:proofErr w:type="spellStart"/>
      <w:r w:rsidRPr="00204DBD">
        <w:t>medya</w:t>
      </w:r>
      <w:proofErr w:type="spellEnd"/>
      <w:r w:rsidRPr="00204DBD">
        <w:t xml:space="preserve"> </w:t>
      </w:r>
      <w:proofErr w:type="spellStart"/>
      <w:r w:rsidRPr="00204DBD">
        <w:t>ve</w:t>
      </w:r>
      <w:proofErr w:type="spellEnd"/>
      <w:r w:rsidRPr="00204DBD">
        <w:t xml:space="preserve"> </w:t>
      </w:r>
      <w:proofErr w:type="spellStart"/>
      <w:r w:rsidRPr="00204DBD">
        <w:t>dijital</w:t>
      </w:r>
      <w:proofErr w:type="spellEnd"/>
      <w:r w:rsidRPr="00204DBD">
        <w:t xml:space="preserve"> </w:t>
      </w:r>
      <w:proofErr w:type="spellStart"/>
      <w:r w:rsidRPr="00204DBD">
        <w:t>platformlar</w:t>
      </w:r>
      <w:proofErr w:type="spellEnd"/>
      <w:r w:rsidRPr="00204DBD">
        <w:t xml:space="preserve"> </w:t>
      </w:r>
      <w:proofErr w:type="spellStart"/>
      <w:r w:rsidRPr="00204DBD">
        <w:t>üzerinden</w:t>
      </w:r>
      <w:proofErr w:type="spellEnd"/>
      <w:r w:rsidRPr="00204DBD">
        <w:t xml:space="preserve"> </w:t>
      </w:r>
      <w:proofErr w:type="spellStart"/>
      <w:r w:rsidRPr="00204DBD">
        <w:t>dünyanın</w:t>
      </w:r>
      <w:proofErr w:type="spellEnd"/>
      <w:r w:rsidRPr="00204DBD">
        <w:t xml:space="preserve"> her </w:t>
      </w:r>
      <w:proofErr w:type="spellStart"/>
      <w:r w:rsidRPr="00204DBD">
        <w:t>yerinden</w:t>
      </w:r>
      <w:proofErr w:type="spellEnd"/>
      <w:r w:rsidRPr="00204DBD">
        <w:t xml:space="preserve"> </w:t>
      </w:r>
      <w:proofErr w:type="spellStart"/>
      <w:r w:rsidRPr="00204DBD">
        <w:t>farklı</w:t>
      </w:r>
      <w:proofErr w:type="spellEnd"/>
      <w:r w:rsidRPr="00204DBD">
        <w:t xml:space="preserve"> </w:t>
      </w:r>
      <w:proofErr w:type="spellStart"/>
      <w:r w:rsidRPr="00204DBD">
        <w:t>kullanıcılar</w:t>
      </w:r>
      <w:proofErr w:type="spellEnd"/>
      <w:r w:rsidRPr="00204DBD">
        <w:t xml:space="preserve"> </w:t>
      </w:r>
      <w:proofErr w:type="spellStart"/>
      <w:r w:rsidRPr="00204DBD">
        <w:t>ile</w:t>
      </w:r>
      <w:proofErr w:type="spellEnd"/>
      <w:r w:rsidRPr="00204DBD">
        <w:t xml:space="preserve"> </w:t>
      </w:r>
      <w:proofErr w:type="spellStart"/>
      <w:r w:rsidRPr="00204DBD">
        <w:t>bağlantı</w:t>
      </w:r>
      <w:proofErr w:type="spellEnd"/>
      <w:r w:rsidRPr="00204DBD">
        <w:t xml:space="preserve"> </w:t>
      </w:r>
      <w:proofErr w:type="spellStart"/>
      <w:r w:rsidRPr="00204DBD">
        <w:t>kurarak</w:t>
      </w:r>
      <w:proofErr w:type="spellEnd"/>
      <w:r w:rsidRPr="00204DBD">
        <w:t xml:space="preserve"> </w:t>
      </w:r>
      <w:proofErr w:type="spellStart"/>
      <w:r w:rsidRPr="00204DBD">
        <w:t>kimliklerini</w:t>
      </w:r>
      <w:proofErr w:type="spellEnd"/>
      <w:r w:rsidRPr="00204DBD">
        <w:t xml:space="preserve"> </w:t>
      </w:r>
      <w:proofErr w:type="spellStart"/>
      <w:r w:rsidRPr="00204DBD">
        <w:t>bu</w:t>
      </w:r>
      <w:proofErr w:type="spellEnd"/>
      <w:r w:rsidRPr="00204DBD">
        <w:t xml:space="preserve"> </w:t>
      </w:r>
      <w:proofErr w:type="spellStart"/>
      <w:r w:rsidRPr="00204DBD">
        <w:t>çevrim</w:t>
      </w:r>
      <w:proofErr w:type="spellEnd"/>
      <w:r w:rsidRPr="00204DBD">
        <w:t xml:space="preserve"> </w:t>
      </w:r>
      <w:proofErr w:type="spellStart"/>
      <w:r w:rsidRPr="00204DBD">
        <w:t>içi</w:t>
      </w:r>
      <w:proofErr w:type="spellEnd"/>
      <w:r w:rsidRPr="00204DBD">
        <w:t xml:space="preserve"> </w:t>
      </w:r>
      <w:proofErr w:type="spellStart"/>
      <w:r w:rsidRPr="00204DBD">
        <w:t>topluluklar</w:t>
      </w:r>
      <w:proofErr w:type="spellEnd"/>
      <w:r w:rsidRPr="00204DBD">
        <w:t xml:space="preserve"> </w:t>
      </w:r>
      <w:proofErr w:type="spellStart"/>
      <w:r w:rsidRPr="00204DBD">
        <w:t>aracılığıyla</w:t>
      </w:r>
      <w:proofErr w:type="spellEnd"/>
      <w:r w:rsidRPr="00204DBD">
        <w:t xml:space="preserve"> </w:t>
      </w:r>
      <w:proofErr w:type="spellStart"/>
      <w:r w:rsidRPr="00204DBD">
        <w:t>ifade</w:t>
      </w:r>
      <w:proofErr w:type="spellEnd"/>
      <w:r w:rsidRPr="00204DBD">
        <w:t xml:space="preserve"> </w:t>
      </w:r>
      <w:proofErr w:type="spellStart"/>
      <w:r w:rsidRPr="00204DBD">
        <w:t>edebilmektedir</w:t>
      </w:r>
      <w:proofErr w:type="spellEnd"/>
      <w:r w:rsidRPr="00204DBD">
        <w:t xml:space="preserve">.  Sanal </w:t>
      </w:r>
      <w:proofErr w:type="spellStart"/>
      <w:r w:rsidRPr="00204DBD">
        <w:t>dünyadaki</w:t>
      </w:r>
      <w:proofErr w:type="spellEnd"/>
      <w:r w:rsidRPr="00204DBD">
        <w:t xml:space="preserve"> </w:t>
      </w:r>
      <w:proofErr w:type="spellStart"/>
      <w:r w:rsidRPr="00204DBD">
        <w:t>bu</w:t>
      </w:r>
      <w:proofErr w:type="spellEnd"/>
      <w:r w:rsidRPr="00204DBD">
        <w:t xml:space="preserve"> </w:t>
      </w:r>
      <w:proofErr w:type="spellStart"/>
      <w:r w:rsidRPr="00204DBD">
        <w:t>gelişmeler</w:t>
      </w:r>
      <w:proofErr w:type="spellEnd"/>
      <w:r w:rsidRPr="00204DBD">
        <w:t xml:space="preserve">, Manuel </w:t>
      </w:r>
      <w:proofErr w:type="spellStart"/>
      <w:r w:rsidRPr="00204DBD">
        <w:t>Castells'in</w:t>
      </w:r>
      <w:proofErr w:type="spellEnd"/>
      <w:r w:rsidRPr="00204DBD">
        <w:t xml:space="preserve"> “</w:t>
      </w:r>
      <w:proofErr w:type="spellStart"/>
      <w:r w:rsidRPr="00204DBD">
        <w:t>ağ</w:t>
      </w:r>
      <w:proofErr w:type="spellEnd"/>
      <w:r w:rsidRPr="00204DBD">
        <w:t xml:space="preserve"> </w:t>
      </w:r>
      <w:proofErr w:type="spellStart"/>
      <w:r w:rsidRPr="00204DBD">
        <w:t>toplumu</w:t>
      </w:r>
      <w:proofErr w:type="spellEnd"/>
      <w:r w:rsidRPr="00204DBD">
        <w:t xml:space="preserve">” </w:t>
      </w:r>
      <w:proofErr w:type="spellStart"/>
      <w:r w:rsidRPr="00204DBD">
        <w:t>olarak</w:t>
      </w:r>
      <w:proofErr w:type="spellEnd"/>
      <w:r w:rsidRPr="00204DBD">
        <w:t xml:space="preserve"> </w:t>
      </w:r>
      <w:proofErr w:type="spellStart"/>
      <w:r w:rsidRPr="00204DBD">
        <w:t>tanımladığı</w:t>
      </w:r>
      <w:proofErr w:type="spellEnd"/>
      <w:r w:rsidRPr="00204DBD">
        <w:t xml:space="preserve">, </w:t>
      </w:r>
      <w:proofErr w:type="spellStart"/>
      <w:r w:rsidRPr="00204DBD">
        <w:t>ilişkilere</w:t>
      </w:r>
      <w:proofErr w:type="spellEnd"/>
      <w:r w:rsidRPr="00204DBD">
        <w:t xml:space="preserve"> </w:t>
      </w:r>
      <w:proofErr w:type="spellStart"/>
      <w:r w:rsidRPr="00204DBD">
        <w:t>ve</w:t>
      </w:r>
      <w:proofErr w:type="spellEnd"/>
      <w:r w:rsidRPr="00204DBD">
        <w:t xml:space="preserve"> </w:t>
      </w:r>
      <w:proofErr w:type="spellStart"/>
      <w:r w:rsidRPr="00204DBD">
        <w:t>sosyal</w:t>
      </w:r>
      <w:proofErr w:type="spellEnd"/>
      <w:r w:rsidRPr="00204DBD">
        <w:t xml:space="preserve"> </w:t>
      </w:r>
      <w:proofErr w:type="spellStart"/>
      <w:r w:rsidRPr="00204DBD">
        <w:t>yapılara</w:t>
      </w:r>
      <w:proofErr w:type="spellEnd"/>
      <w:r w:rsidRPr="00204DBD">
        <w:t xml:space="preserve"> </w:t>
      </w:r>
      <w:proofErr w:type="spellStart"/>
      <w:r w:rsidRPr="00204DBD">
        <w:t>giderek</w:t>
      </w:r>
      <w:proofErr w:type="spellEnd"/>
      <w:r w:rsidRPr="00204DBD">
        <w:t xml:space="preserve"> </w:t>
      </w:r>
      <w:proofErr w:type="spellStart"/>
      <w:r w:rsidRPr="00204DBD">
        <w:t>artan</w:t>
      </w:r>
      <w:proofErr w:type="spellEnd"/>
      <w:r w:rsidRPr="00204DBD">
        <w:t xml:space="preserve"> </w:t>
      </w:r>
      <w:proofErr w:type="spellStart"/>
      <w:r w:rsidRPr="00204DBD">
        <w:t>oranda</w:t>
      </w:r>
      <w:proofErr w:type="spellEnd"/>
      <w:r w:rsidRPr="00204DBD">
        <w:t xml:space="preserve"> </w:t>
      </w:r>
      <w:proofErr w:type="spellStart"/>
      <w:r w:rsidRPr="00204DBD">
        <w:t>teknolojinin</w:t>
      </w:r>
      <w:proofErr w:type="spellEnd"/>
      <w:r w:rsidRPr="00204DBD">
        <w:t xml:space="preserve"> </w:t>
      </w:r>
      <w:proofErr w:type="spellStart"/>
      <w:r w:rsidRPr="00204DBD">
        <w:t>aracılık</w:t>
      </w:r>
      <w:proofErr w:type="spellEnd"/>
      <w:r w:rsidRPr="00204DBD">
        <w:t xml:space="preserve"> </w:t>
      </w:r>
      <w:proofErr w:type="spellStart"/>
      <w:r w:rsidRPr="00204DBD">
        <w:t>ettiği</w:t>
      </w:r>
      <w:proofErr w:type="spellEnd"/>
      <w:r w:rsidRPr="00204DBD">
        <w:t xml:space="preserve"> </w:t>
      </w:r>
      <w:proofErr w:type="spellStart"/>
      <w:r w:rsidRPr="00204DBD">
        <w:t>bir</w:t>
      </w:r>
      <w:proofErr w:type="spellEnd"/>
      <w:r w:rsidRPr="00204DBD">
        <w:t xml:space="preserve"> </w:t>
      </w:r>
      <w:proofErr w:type="spellStart"/>
      <w:r w:rsidRPr="00204DBD">
        <w:t>ortam</w:t>
      </w:r>
      <w:proofErr w:type="spellEnd"/>
      <w:r w:rsidRPr="00204DBD">
        <w:t xml:space="preserve"> </w:t>
      </w:r>
      <w:proofErr w:type="spellStart"/>
      <w:r w:rsidRPr="00204DBD">
        <w:t>yaratmıştır</w:t>
      </w:r>
      <w:proofErr w:type="spellEnd"/>
      <w:r w:rsidRPr="00204DBD">
        <w:t xml:space="preserve"> (Castells, 1996). </w:t>
      </w:r>
      <w:proofErr w:type="spellStart"/>
      <w:r w:rsidRPr="00204DBD">
        <w:t>Dijital</w:t>
      </w:r>
      <w:proofErr w:type="spellEnd"/>
      <w:r w:rsidRPr="00204DBD">
        <w:t xml:space="preserve"> </w:t>
      </w:r>
      <w:proofErr w:type="spellStart"/>
      <w:r w:rsidRPr="00204DBD">
        <w:t>kültür</w:t>
      </w:r>
      <w:proofErr w:type="spellEnd"/>
      <w:r w:rsidRPr="00204DBD">
        <w:t xml:space="preserve">, </w:t>
      </w:r>
      <w:proofErr w:type="spellStart"/>
      <w:r w:rsidRPr="00204DBD">
        <w:t>sosyalleşme</w:t>
      </w:r>
      <w:proofErr w:type="spellEnd"/>
      <w:r w:rsidRPr="00204DBD">
        <w:t xml:space="preserve"> </w:t>
      </w:r>
      <w:proofErr w:type="spellStart"/>
      <w:r w:rsidRPr="00204DBD">
        <w:t>süreçlerini</w:t>
      </w:r>
      <w:proofErr w:type="spellEnd"/>
      <w:r w:rsidRPr="00204DBD">
        <w:t xml:space="preserve"> </w:t>
      </w:r>
      <w:proofErr w:type="spellStart"/>
      <w:r w:rsidRPr="00204DBD">
        <w:t>hızlandırırken</w:t>
      </w:r>
      <w:proofErr w:type="spellEnd"/>
      <w:r w:rsidRPr="00204DBD">
        <w:t xml:space="preserve"> </w:t>
      </w:r>
      <w:proofErr w:type="spellStart"/>
      <w:r w:rsidRPr="00204DBD">
        <w:t>aynı</w:t>
      </w:r>
      <w:proofErr w:type="spellEnd"/>
      <w:r w:rsidRPr="00204DBD">
        <w:t xml:space="preserve"> </w:t>
      </w:r>
      <w:proofErr w:type="spellStart"/>
      <w:r w:rsidRPr="00204DBD">
        <w:t>zamanda</w:t>
      </w:r>
      <w:proofErr w:type="spellEnd"/>
      <w:r w:rsidRPr="00204DBD">
        <w:t xml:space="preserve"> </w:t>
      </w:r>
      <w:proofErr w:type="spellStart"/>
      <w:r w:rsidRPr="00204DBD">
        <w:t>bireylerin</w:t>
      </w:r>
      <w:proofErr w:type="spellEnd"/>
      <w:r w:rsidRPr="00204DBD">
        <w:t xml:space="preserve"> </w:t>
      </w:r>
      <w:proofErr w:type="spellStart"/>
      <w:r w:rsidRPr="00204DBD">
        <w:t>farklı</w:t>
      </w:r>
      <w:proofErr w:type="spellEnd"/>
      <w:r w:rsidRPr="00204DBD">
        <w:t xml:space="preserve"> </w:t>
      </w:r>
      <w:proofErr w:type="spellStart"/>
      <w:r w:rsidRPr="00204DBD">
        <w:t>kimlik</w:t>
      </w:r>
      <w:proofErr w:type="spellEnd"/>
      <w:r w:rsidRPr="00204DBD">
        <w:t xml:space="preserve"> </w:t>
      </w:r>
      <w:proofErr w:type="spellStart"/>
      <w:r w:rsidRPr="00204DBD">
        <w:t>temsillerine</w:t>
      </w:r>
      <w:proofErr w:type="spellEnd"/>
      <w:r w:rsidRPr="00204DBD">
        <w:t xml:space="preserve"> de </w:t>
      </w:r>
      <w:proofErr w:type="spellStart"/>
      <w:r w:rsidRPr="00204DBD">
        <w:t>olanak</w:t>
      </w:r>
      <w:proofErr w:type="spellEnd"/>
      <w:r w:rsidRPr="00204DBD">
        <w:t xml:space="preserve"> </w:t>
      </w:r>
      <w:proofErr w:type="spellStart"/>
      <w:r w:rsidRPr="00204DBD">
        <w:lastRenderedPageBreak/>
        <w:t>tanımaktadır</w:t>
      </w:r>
      <w:proofErr w:type="spellEnd"/>
      <w:r w:rsidRPr="00204DBD">
        <w:t xml:space="preserve">. Erving </w:t>
      </w:r>
      <w:proofErr w:type="spellStart"/>
      <w:r w:rsidRPr="00204DBD">
        <w:t>Goffman'ın</w:t>
      </w:r>
      <w:proofErr w:type="spellEnd"/>
      <w:r w:rsidRPr="00204DBD">
        <w:t xml:space="preserve"> “</w:t>
      </w:r>
      <w:proofErr w:type="spellStart"/>
      <w:r w:rsidRPr="00204DBD">
        <w:t>benliğin</w:t>
      </w:r>
      <w:proofErr w:type="spellEnd"/>
      <w:r w:rsidRPr="00204DBD">
        <w:t xml:space="preserve"> </w:t>
      </w:r>
      <w:proofErr w:type="spellStart"/>
      <w:r w:rsidRPr="00204DBD">
        <w:t>sunumu</w:t>
      </w:r>
      <w:proofErr w:type="spellEnd"/>
      <w:r w:rsidRPr="00204DBD">
        <w:t xml:space="preserve">” </w:t>
      </w:r>
      <w:proofErr w:type="spellStart"/>
      <w:r w:rsidRPr="00204DBD">
        <w:t>kavramı</w:t>
      </w:r>
      <w:proofErr w:type="spellEnd"/>
      <w:r w:rsidRPr="00204DBD">
        <w:t xml:space="preserve">, </w:t>
      </w:r>
      <w:proofErr w:type="spellStart"/>
      <w:r w:rsidRPr="00204DBD">
        <w:t>dijital</w:t>
      </w:r>
      <w:proofErr w:type="spellEnd"/>
      <w:r w:rsidRPr="00204DBD">
        <w:t xml:space="preserve"> </w:t>
      </w:r>
      <w:proofErr w:type="spellStart"/>
      <w:r w:rsidRPr="00204DBD">
        <w:t>çağdan</w:t>
      </w:r>
      <w:proofErr w:type="spellEnd"/>
      <w:r w:rsidRPr="00204DBD">
        <w:t xml:space="preserve"> </w:t>
      </w:r>
      <w:proofErr w:type="spellStart"/>
      <w:r w:rsidRPr="00204DBD">
        <w:t>önce</w:t>
      </w:r>
      <w:proofErr w:type="spellEnd"/>
      <w:r w:rsidRPr="00204DBD">
        <w:t xml:space="preserve"> </w:t>
      </w:r>
      <w:proofErr w:type="spellStart"/>
      <w:r w:rsidRPr="00204DBD">
        <w:t>formüle</w:t>
      </w:r>
      <w:proofErr w:type="spellEnd"/>
      <w:r w:rsidRPr="00204DBD">
        <w:t xml:space="preserve"> </w:t>
      </w:r>
      <w:proofErr w:type="spellStart"/>
      <w:r w:rsidRPr="00204DBD">
        <w:t>edilmiş</w:t>
      </w:r>
      <w:proofErr w:type="spellEnd"/>
      <w:r w:rsidRPr="00204DBD">
        <w:t xml:space="preserve"> </w:t>
      </w:r>
      <w:proofErr w:type="spellStart"/>
      <w:r w:rsidRPr="00204DBD">
        <w:t>olmasına</w:t>
      </w:r>
      <w:proofErr w:type="spellEnd"/>
      <w:r w:rsidRPr="00204DBD">
        <w:t xml:space="preserve"> </w:t>
      </w:r>
      <w:proofErr w:type="spellStart"/>
      <w:r w:rsidRPr="00204DBD">
        <w:t>rağmen</w:t>
      </w:r>
      <w:proofErr w:type="spellEnd"/>
      <w:r w:rsidRPr="00204DBD">
        <w:t xml:space="preserve">, internet </w:t>
      </w:r>
      <w:proofErr w:type="spellStart"/>
      <w:r w:rsidRPr="00204DBD">
        <w:t>ve</w:t>
      </w:r>
      <w:proofErr w:type="spellEnd"/>
      <w:r w:rsidRPr="00204DBD">
        <w:t xml:space="preserve"> </w:t>
      </w:r>
      <w:proofErr w:type="spellStart"/>
      <w:r w:rsidRPr="00204DBD">
        <w:t>sosyal</w:t>
      </w:r>
      <w:proofErr w:type="spellEnd"/>
      <w:r w:rsidRPr="00204DBD">
        <w:t xml:space="preserve"> </w:t>
      </w:r>
      <w:proofErr w:type="spellStart"/>
      <w:r w:rsidRPr="00204DBD">
        <w:t>medya</w:t>
      </w:r>
      <w:proofErr w:type="spellEnd"/>
      <w:r w:rsidRPr="00204DBD">
        <w:t xml:space="preserve"> </w:t>
      </w:r>
      <w:proofErr w:type="spellStart"/>
      <w:r w:rsidRPr="00204DBD">
        <w:t>kullanıcılarının</w:t>
      </w:r>
      <w:proofErr w:type="spellEnd"/>
      <w:r w:rsidRPr="00204DBD">
        <w:t xml:space="preserve"> </w:t>
      </w:r>
      <w:proofErr w:type="spellStart"/>
      <w:r w:rsidRPr="00204DBD">
        <w:t>kendilerinin</w:t>
      </w:r>
      <w:proofErr w:type="spellEnd"/>
      <w:r w:rsidRPr="00204DBD">
        <w:t xml:space="preserve"> idealize </w:t>
      </w:r>
      <w:proofErr w:type="spellStart"/>
      <w:r w:rsidRPr="00204DBD">
        <w:t>edilmiş</w:t>
      </w:r>
      <w:proofErr w:type="spellEnd"/>
      <w:r w:rsidRPr="00204DBD">
        <w:t xml:space="preserve"> </w:t>
      </w:r>
      <w:proofErr w:type="spellStart"/>
      <w:r w:rsidRPr="00204DBD">
        <w:t>versiyonlarını</w:t>
      </w:r>
      <w:proofErr w:type="spellEnd"/>
      <w:r w:rsidRPr="00204DBD">
        <w:t xml:space="preserve"> </w:t>
      </w:r>
      <w:proofErr w:type="spellStart"/>
      <w:r w:rsidRPr="00204DBD">
        <w:t>sunduğu</w:t>
      </w:r>
      <w:proofErr w:type="spellEnd"/>
      <w:r w:rsidRPr="00204DBD">
        <w:t xml:space="preserve"> </w:t>
      </w:r>
      <w:proofErr w:type="spellStart"/>
      <w:r w:rsidRPr="00204DBD">
        <w:t>çevrim</w:t>
      </w:r>
      <w:proofErr w:type="spellEnd"/>
      <w:r w:rsidRPr="00204DBD">
        <w:t xml:space="preserve"> </w:t>
      </w:r>
      <w:proofErr w:type="spellStart"/>
      <w:r w:rsidRPr="00204DBD">
        <w:t>içi</w:t>
      </w:r>
      <w:proofErr w:type="spellEnd"/>
      <w:r w:rsidRPr="00204DBD">
        <w:t xml:space="preserve"> </w:t>
      </w:r>
      <w:proofErr w:type="spellStart"/>
      <w:r w:rsidRPr="00204DBD">
        <w:t>kimlik</w:t>
      </w:r>
      <w:proofErr w:type="spellEnd"/>
      <w:r w:rsidRPr="00204DBD">
        <w:t xml:space="preserve"> </w:t>
      </w:r>
      <w:proofErr w:type="spellStart"/>
      <w:r w:rsidRPr="00204DBD">
        <w:t>oluşumunu</w:t>
      </w:r>
      <w:proofErr w:type="spellEnd"/>
      <w:r w:rsidRPr="00204DBD">
        <w:t xml:space="preserve"> </w:t>
      </w:r>
      <w:proofErr w:type="spellStart"/>
      <w:r w:rsidRPr="00204DBD">
        <w:t>açıklamak</w:t>
      </w:r>
      <w:proofErr w:type="spellEnd"/>
      <w:r w:rsidRPr="00204DBD">
        <w:t xml:space="preserve"> </w:t>
      </w:r>
      <w:proofErr w:type="spellStart"/>
      <w:r w:rsidRPr="00204DBD">
        <w:t>için</w:t>
      </w:r>
      <w:proofErr w:type="spellEnd"/>
      <w:r w:rsidRPr="00204DBD">
        <w:t xml:space="preserve"> </w:t>
      </w:r>
      <w:proofErr w:type="spellStart"/>
      <w:r w:rsidRPr="00204DBD">
        <w:t>yaygın</w:t>
      </w:r>
      <w:proofErr w:type="spellEnd"/>
      <w:r w:rsidRPr="00204DBD">
        <w:t xml:space="preserve"> </w:t>
      </w:r>
      <w:proofErr w:type="spellStart"/>
      <w:r w:rsidRPr="00204DBD">
        <w:t>olarak</w:t>
      </w:r>
      <w:proofErr w:type="spellEnd"/>
      <w:r w:rsidRPr="00204DBD">
        <w:t xml:space="preserve"> </w:t>
      </w:r>
      <w:proofErr w:type="spellStart"/>
      <w:r w:rsidRPr="00204DBD">
        <w:t>kullanılmaktadır</w:t>
      </w:r>
      <w:proofErr w:type="spellEnd"/>
      <w:r w:rsidRPr="00204DBD">
        <w:t xml:space="preserve"> (Goffman, 1959/2009). </w:t>
      </w:r>
      <w:proofErr w:type="spellStart"/>
      <w:r w:rsidRPr="00204DBD">
        <w:t>Kullanıcılar</w:t>
      </w:r>
      <w:proofErr w:type="spellEnd"/>
      <w:r w:rsidRPr="00204DBD">
        <w:t xml:space="preserve"> yeni </w:t>
      </w:r>
      <w:proofErr w:type="spellStart"/>
      <w:r w:rsidRPr="00204DBD">
        <w:t>kimlikleri</w:t>
      </w:r>
      <w:proofErr w:type="spellEnd"/>
      <w:r w:rsidRPr="00204DBD">
        <w:t xml:space="preserve"> </w:t>
      </w:r>
      <w:proofErr w:type="spellStart"/>
      <w:r w:rsidRPr="00204DBD">
        <w:t>keşfetme</w:t>
      </w:r>
      <w:proofErr w:type="spellEnd"/>
      <w:r w:rsidRPr="00204DBD">
        <w:t xml:space="preserve"> </w:t>
      </w:r>
      <w:proofErr w:type="spellStart"/>
      <w:r w:rsidRPr="00204DBD">
        <w:t>özgürlüğünü</w:t>
      </w:r>
      <w:proofErr w:type="spellEnd"/>
      <w:r w:rsidRPr="00204DBD">
        <w:t xml:space="preserve"> </w:t>
      </w:r>
      <w:proofErr w:type="spellStart"/>
      <w:r w:rsidRPr="00204DBD">
        <w:t>deneyimledikçe</w:t>
      </w:r>
      <w:proofErr w:type="spellEnd"/>
      <w:r w:rsidRPr="00204DBD">
        <w:t xml:space="preserve">, </w:t>
      </w:r>
      <w:proofErr w:type="spellStart"/>
      <w:r w:rsidRPr="00204DBD">
        <w:t>aynı</w:t>
      </w:r>
      <w:proofErr w:type="spellEnd"/>
      <w:r w:rsidRPr="00204DBD">
        <w:t xml:space="preserve"> </w:t>
      </w:r>
      <w:proofErr w:type="spellStart"/>
      <w:r w:rsidRPr="00204DBD">
        <w:t>zamanda</w:t>
      </w:r>
      <w:proofErr w:type="spellEnd"/>
      <w:r w:rsidRPr="00204DBD">
        <w:t xml:space="preserve"> </w:t>
      </w:r>
      <w:proofErr w:type="spellStart"/>
      <w:r w:rsidRPr="00204DBD">
        <w:t>dijital</w:t>
      </w:r>
      <w:proofErr w:type="spellEnd"/>
      <w:r w:rsidRPr="00204DBD">
        <w:t xml:space="preserve"> </w:t>
      </w:r>
      <w:proofErr w:type="spellStart"/>
      <w:r w:rsidRPr="00204DBD">
        <w:t>topluluklarının</w:t>
      </w:r>
      <w:proofErr w:type="spellEnd"/>
      <w:r w:rsidRPr="00204DBD">
        <w:t xml:space="preserve"> </w:t>
      </w:r>
      <w:proofErr w:type="spellStart"/>
      <w:r w:rsidRPr="00204DBD">
        <w:t>beklentilerine</w:t>
      </w:r>
      <w:proofErr w:type="spellEnd"/>
      <w:r w:rsidRPr="00204DBD">
        <w:t xml:space="preserve"> </w:t>
      </w:r>
      <w:proofErr w:type="spellStart"/>
      <w:r w:rsidRPr="00204DBD">
        <w:t>uyma</w:t>
      </w:r>
      <w:proofErr w:type="spellEnd"/>
      <w:r w:rsidRPr="00204DBD">
        <w:t xml:space="preserve"> </w:t>
      </w:r>
      <w:proofErr w:type="spellStart"/>
      <w:r w:rsidRPr="00204DBD">
        <w:t>baskısıyla</w:t>
      </w:r>
      <w:proofErr w:type="spellEnd"/>
      <w:r w:rsidRPr="00204DBD">
        <w:t xml:space="preserve"> </w:t>
      </w:r>
      <w:proofErr w:type="spellStart"/>
      <w:r w:rsidRPr="00204DBD">
        <w:t>karşı</w:t>
      </w:r>
      <w:proofErr w:type="spellEnd"/>
      <w:r w:rsidRPr="00204DBD">
        <w:t xml:space="preserve"> </w:t>
      </w:r>
      <w:proofErr w:type="spellStart"/>
      <w:r w:rsidRPr="00204DBD">
        <w:t>karşıya</w:t>
      </w:r>
      <w:proofErr w:type="spellEnd"/>
      <w:r w:rsidRPr="00204DBD">
        <w:t xml:space="preserve"> </w:t>
      </w:r>
      <w:proofErr w:type="spellStart"/>
      <w:r w:rsidRPr="00204DBD">
        <w:t>kaldıklarından</w:t>
      </w:r>
      <w:proofErr w:type="spellEnd"/>
      <w:r w:rsidRPr="00204DBD">
        <w:t xml:space="preserve">, </w:t>
      </w:r>
      <w:proofErr w:type="spellStart"/>
      <w:r w:rsidRPr="00204DBD">
        <w:t>dijital</w:t>
      </w:r>
      <w:proofErr w:type="spellEnd"/>
      <w:r w:rsidRPr="00204DBD">
        <w:t xml:space="preserve"> </w:t>
      </w:r>
      <w:proofErr w:type="spellStart"/>
      <w:r w:rsidRPr="00204DBD">
        <w:t>kimlik</w:t>
      </w:r>
      <w:proofErr w:type="spellEnd"/>
      <w:r w:rsidRPr="00204DBD">
        <w:t xml:space="preserve"> hem </w:t>
      </w:r>
      <w:proofErr w:type="spellStart"/>
      <w:r w:rsidRPr="00204DBD">
        <w:t>güçlendirici</w:t>
      </w:r>
      <w:proofErr w:type="spellEnd"/>
      <w:r w:rsidRPr="00204DBD">
        <w:t xml:space="preserve"> hem de </w:t>
      </w:r>
      <w:proofErr w:type="spellStart"/>
      <w:r w:rsidRPr="00204DBD">
        <w:t>sınırlayıcı</w:t>
      </w:r>
      <w:proofErr w:type="spellEnd"/>
      <w:r w:rsidRPr="00204DBD">
        <w:t xml:space="preserve"> hale </w:t>
      </w:r>
      <w:proofErr w:type="spellStart"/>
      <w:r w:rsidRPr="00204DBD">
        <w:t>gelebilmektedir</w:t>
      </w:r>
      <w:proofErr w:type="spellEnd"/>
      <w:r w:rsidRPr="00204DBD">
        <w:t xml:space="preserve"> (Turkle, 2011). </w:t>
      </w:r>
      <w:proofErr w:type="spellStart"/>
      <w:r w:rsidRPr="00204DBD">
        <w:t>Söz</w:t>
      </w:r>
      <w:proofErr w:type="spellEnd"/>
      <w:r w:rsidRPr="00204DBD">
        <w:t xml:space="preserve"> </w:t>
      </w:r>
      <w:proofErr w:type="spellStart"/>
      <w:r w:rsidRPr="00204DBD">
        <w:t>konusu</w:t>
      </w:r>
      <w:proofErr w:type="spellEnd"/>
      <w:r w:rsidRPr="00204DBD">
        <w:t xml:space="preserve"> </w:t>
      </w:r>
      <w:proofErr w:type="spellStart"/>
      <w:r w:rsidRPr="00204DBD">
        <w:t>dijital</w:t>
      </w:r>
      <w:proofErr w:type="spellEnd"/>
      <w:r w:rsidRPr="00204DBD">
        <w:t xml:space="preserve"> </w:t>
      </w:r>
      <w:proofErr w:type="spellStart"/>
      <w:r w:rsidRPr="00204DBD">
        <w:t>kültürün</w:t>
      </w:r>
      <w:proofErr w:type="spellEnd"/>
      <w:r w:rsidRPr="00204DBD">
        <w:t xml:space="preserve"> </w:t>
      </w:r>
      <w:proofErr w:type="spellStart"/>
      <w:r w:rsidRPr="00204DBD">
        <w:t>dinamikleri</w:t>
      </w:r>
      <w:proofErr w:type="spellEnd"/>
      <w:r w:rsidRPr="00204DBD">
        <w:t xml:space="preserve">, </w:t>
      </w:r>
      <w:proofErr w:type="spellStart"/>
      <w:r w:rsidRPr="00204DBD">
        <w:t>canlı</w:t>
      </w:r>
      <w:proofErr w:type="spellEnd"/>
      <w:r w:rsidRPr="00204DBD">
        <w:t xml:space="preserve"> </w:t>
      </w:r>
      <w:proofErr w:type="spellStart"/>
      <w:r w:rsidRPr="00204DBD">
        <w:t>bir</w:t>
      </w:r>
      <w:proofErr w:type="spellEnd"/>
      <w:r w:rsidRPr="00204DBD">
        <w:t xml:space="preserve"> </w:t>
      </w:r>
      <w:proofErr w:type="spellStart"/>
      <w:r w:rsidRPr="00204DBD">
        <w:t>organizma</w:t>
      </w:r>
      <w:proofErr w:type="spellEnd"/>
      <w:r w:rsidRPr="00204DBD">
        <w:t xml:space="preserve"> </w:t>
      </w:r>
      <w:proofErr w:type="spellStart"/>
      <w:r w:rsidRPr="00204DBD">
        <w:t>gibi</w:t>
      </w:r>
      <w:proofErr w:type="spellEnd"/>
      <w:r w:rsidRPr="00204DBD">
        <w:t xml:space="preserve"> </w:t>
      </w:r>
      <w:proofErr w:type="spellStart"/>
      <w:r w:rsidRPr="00204DBD">
        <w:t>sürekli</w:t>
      </w:r>
      <w:proofErr w:type="spellEnd"/>
      <w:r w:rsidRPr="00204DBD">
        <w:t xml:space="preserve"> </w:t>
      </w:r>
      <w:proofErr w:type="spellStart"/>
      <w:r w:rsidRPr="00204DBD">
        <w:t>değişmekte</w:t>
      </w:r>
      <w:proofErr w:type="spellEnd"/>
      <w:r w:rsidRPr="00204DBD">
        <w:t xml:space="preserve">, </w:t>
      </w:r>
      <w:proofErr w:type="spellStart"/>
      <w:r w:rsidRPr="00204DBD">
        <w:t>teknolojik</w:t>
      </w:r>
      <w:proofErr w:type="spellEnd"/>
      <w:r w:rsidRPr="00204DBD">
        <w:t xml:space="preserve"> </w:t>
      </w:r>
      <w:proofErr w:type="spellStart"/>
      <w:r w:rsidRPr="00204DBD">
        <w:t>gelişmeler</w:t>
      </w:r>
      <w:proofErr w:type="spellEnd"/>
      <w:r w:rsidRPr="00204DBD">
        <w:t xml:space="preserve">, </w:t>
      </w:r>
      <w:proofErr w:type="spellStart"/>
      <w:r w:rsidRPr="00204DBD">
        <w:t>güncel</w:t>
      </w:r>
      <w:proofErr w:type="spellEnd"/>
      <w:r w:rsidRPr="00204DBD">
        <w:t xml:space="preserve"> </w:t>
      </w:r>
      <w:proofErr w:type="spellStart"/>
      <w:r w:rsidRPr="00204DBD">
        <w:t>akımlar</w:t>
      </w:r>
      <w:proofErr w:type="spellEnd"/>
      <w:r w:rsidRPr="00204DBD">
        <w:t xml:space="preserve">, </w:t>
      </w:r>
      <w:proofErr w:type="spellStart"/>
      <w:r w:rsidRPr="00204DBD">
        <w:t>alışkanlıklar</w:t>
      </w:r>
      <w:proofErr w:type="spellEnd"/>
      <w:r w:rsidRPr="00204DBD">
        <w:t xml:space="preserve">, </w:t>
      </w:r>
      <w:proofErr w:type="spellStart"/>
      <w:r w:rsidRPr="00204DBD">
        <w:t>gündemdeki</w:t>
      </w:r>
      <w:proofErr w:type="spellEnd"/>
      <w:r w:rsidRPr="00204DBD">
        <w:t xml:space="preserve"> </w:t>
      </w:r>
      <w:proofErr w:type="spellStart"/>
      <w:r w:rsidRPr="00204DBD">
        <w:t>olaylar</w:t>
      </w:r>
      <w:proofErr w:type="spellEnd"/>
      <w:r w:rsidRPr="00204DBD">
        <w:t xml:space="preserve"> </w:t>
      </w:r>
      <w:proofErr w:type="spellStart"/>
      <w:r w:rsidRPr="00204DBD">
        <w:t>ve</w:t>
      </w:r>
      <w:proofErr w:type="spellEnd"/>
      <w:r w:rsidRPr="00204DBD">
        <w:t xml:space="preserve"> </w:t>
      </w:r>
      <w:proofErr w:type="spellStart"/>
      <w:r w:rsidRPr="00204DBD">
        <w:t>kapitalizm</w:t>
      </w:r>
      <w:proofErr w:type="spellEnd"/>
      <w:r w:rsidRPr="00204DBD">
        <w:t xml:space="preserve"> </w:t>
      </w:r>
      <w:proofErr w:type="spellStart"/>
      <w:r w:rsidRPr="00204DBD">
        <w:t>tarafından</w:t>
      </w:r>
      <w:proofErr w:type="spellEnd"/>
      <w:r w:rsidRPr="00204DBD">
        <w:t xml:space="preserve"> </w:t>
      </w:r>
      <w:proofErr w:type="spellStart"/>
      <w:r w:rsidRPr="00204DBD">
        <w:t>sunulan</w:t>
      </w:r>
      <w:proofErr w:type="spellEnd"/>
      <w:r w:rsidRPr="00204DBD">
        <w:t xml:space="preserve"> </w:t>
      </w:r>
      <w:proofErr w:type="spellStart"/>
      <w:r w:rsidRPr="00204DBD">
        <w:t>seçeneklerle</w:t>
      </w:r>
      <w:proofErr w:type="spellEnd"/>
      <w:r w:rsidRPr="00204DBD">
        <w:t xml:space="preserve"> </w:t>
      </w:r>
      <w:proofErr w:type="spellStart"/>
      <w:r w:rsidRPr="00204DBD">
        <w:t>bünyesine</w:t>
      </w:r>
      <w:proofErr w:type="spellEnd"/>
      <w:r w:rsidRPr="00204DBD">
        <w:t xml:space="preserve"> yeni </w:t>
      </w:r>
      <w:proofErr w:type="spellStart"/>
      <w:r w:rsidRPr="00204DBD">
        <w:t>unsurlar</w:t>
      </w:r>
      <w:proofErr w:type="spellEnd"/>
      <w:r w:rsidRPr="00204DBD">
        <w:t xml:space="preserve"> </w:t>
      </w:r>
      <w:proofErr w:type="spellStart"/>
      <w:r w:rsidRPr="00204DBD">
        <w:t>eklemektedir</w:t>
      </w:r>
      <w:proofErr w:type="spellEnd"/>
      <w:r w:rsidRPr="00204DBD">
        <w:t xml:space="preserve">. </w:t>
      </w:r>
      <w:proofErr w:type="spellStart"/>
      <w:r w:rsidRPr="00204DBD">
        <w:t>Dijital</w:t>
      </w:r>
      <w:proofErr w:type="spellEnd"/>
      <w:r w:rsidRPr="00204DBD">
        <w:t xml:space="preserve"> </w:t>
      </w:r>
      <w:proofErr w:type="spellStart"/>
      <w:r w:rsidRPr="00204DBD">
        <w:t>kültüre</w:t>
      </w:r>
      <w:proofErr w:type="spellEnd"/>
      <w:r w:rsidRPr="00204DBD">
        <w:t xml:space="preserve"> </w:t>
      </w:r>
      <w:proofErr w:type="spellStart"/>
      <w:r w:rsidRPr="00204DBD">
        <w:t>ait</w:t>
      </w:r>
      <w:proofErr w:type="spellEnd"/>
      <w:r w:rsidRPr="00204DBD">
        <w:t xml:space="preserve"> </w:t>
      </w:r>
      <w:proofErr w:type="spellStart"/>
      <w:r w:rsidRPr="00204DBD">
        <w:t>bu</w:t>
      </w:r>
      <w:proofErr w:type="spellEnd"/>
      <w:r w:rsidRPr="00204DBD">
        <w:t xml:space="preserve"> </w:t>
      </w:r>
      <w:proofErr w:type="spellStart"/>
      <w:r w:rsidRPr="00204DBD">
        <w:t>unsurlar</w:t>
      </w:r>
      <w:proofErr w:type="spellEnd"/>
      <w:r w:rsidRPr="00204DBD">
        <w:t xml:space="preserve">, </w:t>
      </w:r>
      <w:proofErr w:type="spellStart"/>
      <w:r w:rsidRPr="00204DBD">
        <w:t>bu</w:t>
      </w:r>
      <w:proofErr w:type="spellEnd"/>
      <w:r w:rsidRPr="00204DBD">
        <w:t xml:space="preserve"> </w:t>
      </w:r>
      <w:proofErr w:type="spellStart"/>
      <w:r w:rsidRPr="00204DBD">
        <w:t>çalışma</w:t>
      </w:r>
      <w:proofErr w:type="spellEnd"/>
      <w:r w:rsidRPr="00204DBD">
        <w:t xml:space="preserve"> </w:t>
      </w:r>
      <w:proofErr w:type="spellStart"/>
      <w:r w:rsidRPr="00204DBD">
        <w:t>kapsamında</w:t>
      </w:r>
      <w:proofErr w:type="spellEnd"/>
      <w:r w:rsidRPr="00204DBD">
        <w:t xml:space="preserve">; “Mem </w:t>
      </w:r>
      <w:proofErr w:type="spellStart"/>
      <w:r w:rsidRPr="00204DBD">
        <w:t>Kültürü</w:t>
      </w:r>
      <w:proofErr w:type="spellEnd"/>
      <w:r w:rsidRPr="00204DBD">
        <w:t xml:space="preserve">”, “Influencer </w:t>
      </w:r>
      <w:proofErr w:type="spellStart"/>
      <w:r w:rsidRPr="00204DBD">
        <w:t>Kültürü</w:t>
      </w:r>
      <w:proofErr w:type="spellEnd"/>
      <w:r w:rsidRPr="00204DBD">
        <w:t xml:space="preserve">”, “Oyun </w:t>
      </w:r>
      <w:proofErr w:type="spellStart"/>
      <w:r w:rsidRPr="00204DBD">
        <w:t>Toplulukları</w:t>
      </w:r>
      <w:proofErr w:type="spellEnd"/>
      <w:r w:rsidRPr="00204DBD">
        <w:t>”, “</w:t>
      </w:r>
      <w:proofErr w:type="spellStart"/>
      <w:r w:rsidRPr="00204DBD">
        <w:t>Sosyal</w:t>
      </w:r>
      <w:proofErr w:type="spellEnd"/>
      <w:r w:rsidRPr="00204DBD">
        <w:t xml:space="preserve"> </w:t>
      </w:r>
      <w:proofErr w:type="spellStart"/>
      <w:r w:rsidRPr="00204DBD">
        <w:t>Ağ</w:t>
      </w:r>
      <w:proofErr w:type="spellEnd"/>
      <w:r w:rsidRPr="00204DBD">
        <w:t xml:space="preserve"> </w:t>
      </w:r>
      <w:proofErr w:type="spellStart"/>
      <w:r w:rsidRPr="00204DBD">
        <w:t>Sitesi</w:t>
      </w:r>
      <w:proofErr w:type="spellEnd"/>
      <w:r w:rsidRPr="00204DBD">
        <w:t xml:space="preserve"> </w:t>
      </w:r>
      <w:proofErr w:type="spellStart"/>
      <w:r w:rsidRPr="00204DBD">
        <w:t>Toplulukları</w:t>
      </w:r>
      <w:proofErr w:type="spellEnd"/>
      <w:r w:rsidRPr="00204DBD">
        <w:t>”, “</w:t>
      </w:r>
      <w:proofErr w:type="spellStart"/>
      <w:r w:rsidRPr="00204DBD">
        <w:t>Hayran</w:t>
      </w:r>
      <w:proofErr w:type="spellEnd"/>
      <w:r w:rsidRPr="00204DBD">
        <w:t xml:space="preserve"> </w:t>
      </w:r>
      <w:proofErr w:type="spellStart"/>
      <w:r w:rsidRPr="00204DBD">
        <w:t>Toplulukları</w:t>
      </w:r>
      <w:proofErr w:type="spellEnd"/>
      <w:r w:rsidRPr="00204DBD">
        <w:t>”, “</w:t>
      </w:r>
      <w:proofErr w:type="spellStart"/>
      <w:r w:rsidRPr="00204DBD">
        <w:t>Aktivist</w:t>
      </w:r>
      <w:proofErr w:type="spellEnd"/>
      <w:r w:rsidRPr="00204DBD">
        <w:t xml:space="preserve"> </w:t>
      </w:r>
      <w:proofErr w:type="spellStart"/>
      <w:r w:rsidRPr="00204DBD">
        <w:t>Topluluklar</w:t>
      </w:r>
      <w:proofErr w:type="spellEnd"/>
      <w:r w:rsidRPr="00204DBD">
        <w:t>”, “</w:t>
      </w:r>
      <w:proofErr w:type="spellStart"/>
      <w:r w:rsidRPr="00204DBD">
        <w:t>Niş</w:t>
      </w:r>
      <w:proofErr w:type="spellEnd"/>
      <w:r w:rsidRPr="00204DBD">
        <w:t xml:space="preserve"> </w:t>
      </w:r>
      <w:proofErr w:type="spellStart"/>
      <w:r w:rsidRPr="00204DBD">
        <w:t>ve</w:t>
      </w:r>
      <w:proofErr w:type="spellEnd"/>
      <w:r w:rsidRPr="00204DBD">
        <w:t xml:space="preserve"> </w:t>
      </w:r>
      <w:proofErr w:type="spellStart"/>
      <w:r w:rsidRPr="00204DBD">
        <w:t>Mikro</w:t>
      </w:r>
      <w:proofErr w:type="spellEnd"/>
      <w:r w:rsidRPr="00204DBD">
        <w:t xml:space="preserve"> </w:t>
      </w:r>
      <w:proofErr w:type="spellStart"/>
      <w:r w:rsidRPr="00204DBD">
        <w:t>Topluluklar</w:t>
      </w:r>
      <w:proofErr w:type="spellEnd"/>
      <w:r w:rsidRPr="00204DBD">
        <w:t>”, “</w:t>
      </w:r>
      <w:proofErr w:type="spellStart"/>
      <w:r w:rsidRPr="00204DBD">
        <w:t>Katılımcı</w:t>
      </w:r>
      <w:proofErr w:type="spellEnd"/>
      <w:r w:rsidRPr="00204DBD">
        <w:t xml:space="preserve"> </w:t>
      </w:r>
      <w:proofErr w:type="spellStart"/>
      <w:r w:rsidRPr="00204DBD">
        <w:t>Sözlükler</w:t>
      </w:r>
      <w:proofErr w:type="spellEnd"/>
      <w:r w:rsidRPr="00204DBD">
        <w:t xml:space="preserve"> </w:t>
      </w:r>
      <w:proofErr w:type="spellStart"/>
      <w:r w:rsidRPr="00204DBD">
        <w:t>ve</w:t>
      </w:r>
      <w:proofErr w:type="spellEnd"/>
      <w:r w:rsidRPr="00204DBD">
        <w:t xml:space="preserve"> Bilgi </w:t>
      </w:r>
      <w:proofErr w:type="spellStart"/>
      <w:r w:rsidRPr="00204DBD">
        <w:t>Paylaşım</w:t>
      </w:r>
      <w:proofErr w:type="spellEnd"/>
      <w:r w:rsidRPr="00204DBD">
        <w:t xml:space="preserve"> </w:t>
      </w:r>
      <w:proofErr w:type="spellStart"/>
      <w:r w:rsidRPr="00204DBD">
        <w:t>Platformları</w:t>
      </w:r>
      <w:proofErr w:type="spellEnd"/>
      <w:r w:rsidRPr="00204DBD">
        <w:t>”, “</w:t>
      </w:r>
      <w:proofErr w:type="spellStart"/>
      <w:r w:rsidRPr="00204DBD">
        <w:t>Forumlar</w:t>
      </w:r>
      <w:proofErr w:type="spellEnd"/>
      <w:r w:rsidRPr="00204DBD">
        <w:t xml:space="preserve"> </w:t>
      </w:r>
      <w:proofErr w:type="spellStart"/>
      <w:r w:rsidRPr="00204DBD">
        <w:t>ve</w:t>
      </w:r>
      <w:proofErr w:type="spellEnd"/>
      <w:r w:rsidRPr="00204DBD">
        <w:t xml:space="preserve"> </w:t>
      </w:r>
      <w:proofErr w:type="spellStart"/>
      <w:r w:rsidRPr="00204DBD">
        <w:t>Tartışma</w:t>
      </w:r>
      <w:proofErr w:type="spellEnd"/>
      <w:r w:rsidRPr="00204DBD">
        <w:t xml:space="preserve"> </w:t>
      </w:r>
      <w:proofErr w:type="spellStart"/>
      <w:r w:rsidRPr="00204DBD">
        <w:t>Platformları</w:t>
      </w:r>
      <w:proofErr w:type="spellEnd"/>
      <w:r w:rsidRPr="00204DBD">
        <w:t xml:space="preserve">” </w:t>
      </w:r>
      <w:proofErr w:type="spellStart"/>
      <w:r w:rsidRPr="00204DBD">
        <w:t>ve</w:t>
      </w:r>
      <w:proofErr w:type="spellEnd"/>
      <w:r w:rsidRPr="00204DBD">
        <w:t xml:space="preserve"> “</w:t>
      </w:r>
      <w:proofErr w:type="spellStart"/>
      <w:r w:rsidRPr="00204DBD">
        <w:t>Eğitim</w:t>
      </w:r>
      <w:proofErr w:type="spellEnd"/>
      <w:r w:rsidRPr="00204DBD">
        <w:t xml:space="preserve"> </w:t>
      </w:r>
      <w:proofErr w:type="spellStart"/>
      <w:r w:rsidRPr="00204DBD">
        <w:t>Toplulukları</w:t>
      </w:r>
      <w:proofErr w:type="spellEnd"/>
      <w:r w:rsidRPr="00204DBD">
        <w:t xml:space="preserve">” </w:t>
      </w:r>
      <w:proofErr w:type="spellStart"/>
      <w:r w:rsidRPr="00204DBD">
        <w:t>başlıkları</w:t>
      </w:r>
      <w:proofErr w:type="spellEnd"/>
      <w:r w:rsidRPr="00204DBD">
        <w:t xml:space="preserve"> </w:t>
      </w:r>
      <w:proofErr w:type="spellStart"/>
      <w:r w:rsidRPr="00204DBD">
        <w:t>altında</w:t>
      </w:r>
      <w:proofErr w:type="spellEnd"/>
      <w:r w:rsidRPr="00204DBD">
        <w:t xml:space="preserve"> </w:t>
      </w:r>
      <w:proofErr w:type="spellStart"/>
      <w:r w:rsidRPr="00204DBD">
        <w:t>incelenmektedir</w:t>
      </w:r>
      <w:proofErr w:type="spellEnd"/>
      <w:r w:rsidRPr="00204DBD">
        <w:t xml:space="preserve">. </w:t>
      </w:r>
    </w:p>
    <w:p w14:paraId="5746F7C1" w14:textId="77777777" w:rsidR="00254C59" w:rsidRPr="00204DBD" w:rsidRDefault="00254C59" w:rsidP="002B6256">
      <w:pPr>
        <w:pStyle w:val="NormalWeb"/>
        <w:spacing w:before="0" w:beforeAutospacing="0" w:after="0" w:afterAutospacing="0"/>
        <w:jc w:val="both"/>
      </w:pPr>
    </w:p>
    <w:p w14:paraId="7D4F355A" w14:textId="77777777" w:rsidR="00E3302B" w:rsidRPr="00204DBD" w:rsidRDefault="00E3302B" w:rsidP="002B6256">
      <w:pPr>
        <w:jc w:val="both"/>
        <w:rPr>
          <w:b/>
          <w:bCs/>
        </w:rPr>
      </w:pPr>
      <w:r w:rsidRPr="00204DBD">
        <w:rPr>
          <w:b/>
        </w:rPr>
        <w:t>2.1. Mem Kültürü</w:t>
      </w:r>
    </w:p>
    <w:p w14:paraId="62BEAF49" w14:textId="77777777" w:rsidR="00E3302B" w:rsidRDefault="00E3302B" w:rsidP="002B6256">
      <w:pPr>
        <w:jc w:val="both"/>
      </w:pPr>
      <w:r w:rsidRPr="00204DBD">
        <w:t>“</w:t>
      </w:r>
      <w:proofErr w:type="spellStart"/>
      <w:r w:rsidRPr="00204DBD">
        <w:t>Mem”ler</w:t>
      </w:r>
      <w:proofErr w:type="spellEnd"/>
      <w:r w:rsidRPr="00204DBD">
        <w:t xml:space="preserve">, internet kullanıcıları tarafından sıklıkla küçük değişikliklerle hızla kopyalanan ve yayılan mizahi resimler, videolar, metinler veya diğer medya biçimleridir. İnternet </w:t>
      </w:r>
      <w:proofErr w:type="spellStart"/>
      <w:r w:rsidRPr="00204DBD">
        <w:t>memleri</w:t>
      </w:r>
      <w:proofErr w:type="spellEnd"/>
      <w:r w:rsidRPr="00204DBD">
        <w:t xml:space="preserve"> (meme/</w:t>
      </w:r>
      <w:proofErr w:type="spellStart"/>
      <w:r w:rsidRPr="00204DBD">
        <w:t>miim</w:t>
      </w:r>
      <w:proofErr w:type="spellEnd"/>
      <w:r w:rsidRPr="00204DBD">
        <w:t xml:space="preserve">), sosyal medyada hızla paylaşılarak evrensel bir dil halini almaktadır. Popüler kültürü, toplumsal konuları ve günlük yaşamı yansıtarak küresel düzeyde ortak bir kültürel deneyim yaratan </w:t>
      </w:r>
      <w:proofErr w:type="spellStart"/>
      <w:r w:rsidRPr="00204DBD">
        <w:t>memler</w:t>
      </w:r>
      <w:proofErr w:type="spellEnd"/>
      <w:r w:rsidRPr="00204DBD">
        <w:t>; bu şekilde farklı köken ve kültürden gelen bireylerin ortak mizah ve referanslar üzerinden iletişim kurmasına ve bağ kurmasına olanak tanımaktadır (</w:t>
      </w:r>
      <w:proofErr w:type="spellStart"/>
      <w:r w:rsidRPr="00204DBD">
        <w:t>Nissenbaum</w:t>
      </w:r>
      <w:proofErr w:type="spellEnd"/>
      <w:r w:rsidRPr="00204DBD">
        <w:t xml:space="preserve"> ve </w:t>
      </w:r>
      <w:proofErr w:type="spellStart"/>
      <w:r w:rsidRPr="00204DBD">
        <w:t>Shifman</w:t>
      </w:r>
      <w:proofErr w:type="spellEnd"/>
      <w:r w:rsidRPr="00204DBD">
        <w:t xml:space="preserve">, 2014). </w:t>
      </w:r>
    </w:p>
    <w:p w14:paraId="63EACB73" w14:textId="77777777" w:rsidR="00254C59" w:rsidRPr="00204DBD" w:rsidRDefault="00254C59" w:rsidP="002B6256">
      <w:pPr>
        <w:jc w:val="both"/>
      </w:pPr>
    </w:p>
    <w:p w14:paraId="48576B72" w14:textId="77777777" w:rsidR="00E3302B" w:rsidRDefault="00E3302B" w:rsidP="002B6256">
      <w:pPr>
        <w:jc w:val="both"/>
      </w:pPr>
      <w:r w:rsidRPr="00204DBD">
        <w:t xml:space="preserve">“Mem” terimi, Richard </w:t>
      </w:r>
      <w:proofErr w:type="spellStart"/>
      <w:r w:rsidRPr="00204DBD">
        <w:t>Dawkins</w:t>
      </w:r>
      <w:proofErr w:type="spellEnd"/>
      <w:r w:rsidRPr="00204DBD">
        <w:t xml:space="preserve"> tarafından 1976 tarihli “</w:t>
      </w:r>
      <w:proofErr w:type="spellStart"/>
      <w:r w:rsidRPr="00204DBD">
        <w:t>The</w:t>
      </w:r>
      <w:proofErr w:type="spellEnd"/>
      <w:r w:rsidRPr="00204DBD">
        <w:t xml:space="preserve"> </w:t>
      </w:r>
      <w:proofErr w:type="spellStart"/>
      <w:r w:rsidRPr="00204DBD">
        <w:t>Selfish</w:t>
      </w:r>
      <w:proofErr w:type="spellEnd"/>
      <w:r w:rsidRPr="00204DBD">
        <w:t xml:space="preserve"> Gene” adlı kitabında; bir kültür içinde kişiden kişiye yayılan bir fikri, davranışı veya tarzı tanımlamak için ortaya atılmış bir kavramdır. İnternetin yükselişiyle birlikte </w:t>
      </w:r>
      <w:proofErr w:type="spellStart"/>
      <w:r w:rsidRPr="00204DBD">
        <w:t>memler</w:t>
      </w:r>
      <w:proofErr w:type="spellEnd"/>
      <w:r w:rsidRPr="00204DBD">
        <w:t xml:space="preserve"> dijital bir formata dönüşerek çevrim içi iletişimin önemli bir unsuru haline gelmiştir. </w:t>
      </w:r>
      <w:proofErr w:type="spellStart"/>
      <w:r w:rsidRPr="00204DBD">
        <w:t>Dawkins'in</w:t>
      </w:r>
      <w:proofErr w:type="spellEnd"/>
      <w:r w:rsidRPr="00204DBD">
        <w:t xml:space="preserve"> yeni kelimeye yönelik motivasyonu, toplumdaki kültürel ve genetik aktarım arasında öne sürülen ilişkiyi kavramsallaştırma ve </w:t>
      </w:r>
      <w:proofErr w:type="spellStart"/>
      <w:r w:rsidRPr="00204DBD">
        <w:t>sözelleştirme</w:t>
      </w:r>
      <w:proofErr w:type="spellEnd"/>
      <w:r w:rsidRPr="00204DBD">
        <w:t xml:space="preserve"> ihtiyacından kaynaklanan bir benzetme olarak ortaya çıkmış, “taklit edilen şey” anlamına gelen Yunanca “</w:t>
      </w:r>
      <w:proofErr w:type="spellStart"/>
      <w:r w:rsidRPr="00204DBD">
        <w:t>mimeme</w:t>
      </w:r>
      <w:proofErr w:type="spellEnd"/>
      <w:r w:rsidRPr="00204DBD">
        <w:t xml:space="preserve">” kelimesinden alıntı yapılarak ve “meme” şeklinde kısaltılarak oluşturulmuştur. Aslında </w:t>
      </w:r>
      <w:proofErr w:type="spellStart"/>
      <w:r w:rsidRPr="00204DBD">
        <w:t>memler</w:t>
      </w:r>
      <w:proofErr w:type="spellEnd"/>
      <w:r w:rsidRPr="00204DBD">
        <w:t>, kopyalamaktan çok söylemsel bir argümanı görsel ve sıklıkla sözlü etkileşim yoluyla önerme veya ona karşı çıkma kapasitesi ile toplumun, politikanın, vb. kritik bir bileşenini içermektedir. Bu yüzden belki de “entimem” (gizli bir önermeye sahip argüman) olarak tanımlanması daha doğru olacaktır (</w:t>
      </w:r>
      <w:proofErr w:type="spellStart"/>
      <w:r w:rsidRPr="00204DBD">
        <w:t>Wiggins</w:t>
      </w:r>
      <w:proofErr w:type="spellEnd"/>
      <w:r w:rsidRPr="00204DBD">
        <w:t>, 2019).</w:t>
      </w:r>
    </w:p>
    <w:p w14:paraId="31BB05C5" w14:textId="77777777" w:rsidR="00254C59" w:rsidRPr="00204DBD" w:rsidRDefault="00254C59" w:rsidP="002B6256">
      <w:pPr>
        <w:jc w:val="both"/>
      </w:pPr>
    </w:p>
    <w:p w14:paraId="5CC1CBC7" w14:textId="77777777" w:rsidR="00E3302B" w:rsidRDefault="00E3302B" w:rsidP="002B6256">
      <w:pPr>
        <w:jc w:val="both"/>
      </w:pPr>
      <w:r w:rsidRPr="00204DBD">
        <w:t xml:space="preserve">Basit metin tabanlı şakalardan, </w:t>
      </w:r>
      <w:proofErr w:type="spellStart"/>
      <w:r w:rsidRPr="00204DBD">
        <w:t>GIF'ler</w:t>
      </w:r>
      <w:proofErr w:type="spellEnd"/>
      <w:r w:rsidRPr="00204DBD">
        <w:t xml:space="preserve">, videolar ve ayrıntılı görüntü makrolarına ve karmaşık multimedya formatlarına doğru evrilen </w:t>
      </w:r>
      <w:proofErr w:type="spellStart"/>
      <w:r w:rsidRPr="00204DBD">
        <w:t>memler</w:t>
      </w:r>
      <w:proofErr w:type="spellEnd"/>
      <w:r w:rsidRPr="00204DBD">
        <w:t xml:space="preserve">; </w:t>
      </w:r>
      <w:proofErr w:type="spellStart"/>
      <w:r w:rsidRPr="00204DBD">
        <w:t>Reddit</w:t>
      </w:r>
      <w:proofErr w:type="spellEnd"/>
      <w:r w:rsidRPr="00204DBD">
        <w:t xml:space="preserve">, 4chan ve Tumblr gibi platformlar aracılığıyla daha da yaygınlaşmıştır. İnternette, özellikle sosyal medya platformlarında </w:t>
      </w:r>
      <w:proofErr w:type="spellStart"/>
      <w:r w:rsidRPr="00204DBD">
        <w:t>memlerin</w:t>
      </w:r>
      <w:proofErr w:type="spellEnd"/>
      <w:r w:rsidRPr="00204DBD">
        <w:t xml:space="preserve"> yaratılması, paylaşılması ve bunlar aracılığıyla etkileşimde bulunulması gibi yaygın bir olguyu ifade eden “</w:t>
      </w:r>
      <w:proofErr w:type="spellStart"/>
      <w:r w:rsidRPr="00204DBD">
        <w:t>mem</w:t>
      </w:r>
      <w:proofErr w:type="spellEnd"/>
      <w:r w:rsidRPr="00204DBD">
        <w:t xml:space="preserve"> kültürü”, kullanıcıların bu içerikleri oluşturup yayılmalarına katkıda bulunarak, onlara anlamlarını gerçek zamanlı olarak şekillendirme ve yeniden yaratma fırsatı sunmaktadır (</w:t>
      </w:r>
      <w:proofErr w:type="spellStart"/>
      <w:r w:rsidRPr="00204DBD">
        <w:t>Shifman</w:t>
      </w:r>
      <w:proofErr w:type="spellEnd"/>
      <w:r w:rsidRPr="00204DBD">
        <w:t xml:space="preserve">, 2013). </w:t>
      </w:r>
    </w:p>
    <w:p w14:paraId="1D8A52CD" w14:textId="77777777" w:rsidR="00254C59" w:rsidRPr="00204DBD" w:rsidRDefault="00254C59" w:rsidP="002B6256">
      <w:pPr>
        <w:jc w:val="both"/>
      </w:pPr>
    </w:p>
    <w:p w14:paraId="11B3898E" w14:textId="77777777" w:rsidR="00E3302B" w:rsidRDefault="00E3302B" w:rsidP="002B6256">
      <w:pPr>
        <w:jc w:val="both"/>
      </w:pPr>
      <w:r w:rsidRPr="00204DBD">
        <w:t xml:space="preserve">Memlerin en önemli özelliği, hızla yayılması ve sıklıkla viral fenomen haline gelmesidir. Çoğu </w:t>
      </w:r>
      <w:proofErr w:type="spellStart"/>
      <w:r w:rsidRPr="00204DBD">
        <w:t>mem</w:t>
      </w:r>
      <w:proofErr w:type="spellEnd"/>
      <w:r w:rsidRPr="00204DBD">
        <w:t xml:space="preserve"> mizah ve hiciv içerdiği için kullanıcıların güncel olaylara, popüler kültüre ve günlük hayata dair yorum yapmalarına, fikir ve duygularını ifade etmelerine olanak tanımaktadır. Ayrıca </w:t>
      </w:r>
      <w:proofErr w:type="spellStart"/>
      <w:r w:rsidRPr="00204DBD">
        <w:t>mem</w:t>
      </w:r>
      <w:proofErr w:type="spellEnd"/>
      <w:r w:rsidRPr="00204DBD">
        <w:t xml:space="preserve"> kültürünün katılımcı kültürü, aidiyeti ve kolektif kimliği destekleyen, esnek bir </w:t>
      </w:r>
      <w:r w:rsidRPr="00204DBD">
        <w:lastRenderedPageBreak/>
        <w:t xml:space="preserve">yanı vardır. Kullanıcılar, kendi değişimlerini ve varyasyonlarını ekleyerek </w:t>
      </w:r>
      <w:proofErr w:type="spellStart"/>
      <w:r w:rsidRPr="00204DBD">
        <w:t>mem</w:t>
      </w:r>
      <w:proofErr w:type="spellEnd"/>
      <w:r w:rsidRPr="00204DBD">
        <w:t xml:space="preserve"> oluşumuna ve yayılmasına katkıda bulunabilmektedirler (</w:t>
      </w:r>
      <w:proofErr w:type="spellStart"/>
      <w:r w:rsidRPr="00204DBD">
        <w:rPr>
          <w:highlight w:val="white"/>
        </w:rPr>
        <w:t>Bauckhage</w:t>
      </w:r>
      <w:proofErr w:type="spellEnd"/>
      <w:r w:rsidRPr="00204DBD">
        <w:rPr>
          <w:highlight w:val="white"/>
        </w:rPr>
        <w:t xml:space="preserve">, 2021; </w:t>
      </w:r>
      <w:r w:rsidRPr="00204DBD">
        <w:t xml:space="preserve">Ahmed ve </w:t>
      </w:r>
      <w:proofErr w:type="spellStart"/>
      <w:r w:rsidRPr="00204DBD">
        <w:t>Masood</w:t>
      </w:r>
      <w:proofErr w:type="spellEnd"/>
      <w:r w:rsidRPr="00204DBD">
        <w:t xml:space="preserve">, 2024). Popüler kültürün bir parçası olan, genellikle yorumlar, taklitler veya parodiler yoluyla, hatta diğer medya kanallarındaki ilgili haberler aracılığıyla paylaşılan internet </w:t>
      </w:r>
      <w:proofErr w:type="spellStart"/>
      <w:r w:rsidRPr="00204DBD">
        <w:t>memlerinin</w:t>
      </w:r>
      <w:proofErr w:type="spellEnd"/>
      <w:r w:rsidRPr="00204DBD">
        <w:t xml:space="preserve"> çoğu hızla yayılırken bazıları sadece birkaç gün içinde popülerlik eksenine girip çıkmaktadır. Gönüllülük esasıyla yayılan </w:t>
      </w:r>
      <w:proofErr w:type="spellStart"/>
      <w:r w:rsidRPr="00204DBD">
        <w:t>memlerin</w:t>
      </w:r>
      <w:proofErr w:type="spellEnd"/>
      <w:r w:rsidRPr="00204DBD">
        <w:t xml:space="preserve"> sosyal topluluklar aracılığıyla çoğalmaları önceden belirlenmiş yolları izlememekte ve genellikle bunu kontrol etme çabalarına meydan okumaktadır (</w:t>
      </w:r>
      <w:proofErr w:type="spellStart"/>
      <w:r w:rsidRPr="00204DBD">
        <w:rPr>
          <w:highlight w:val="white"/>
        </w:rPr>
        <w:t>Bauckhage</w:t>
      </w:r>
      <w:proofErr w:type="spellEnd"/>
      <w:r w:rsidRPr="00204DBD">
        <w:rPr>
          <w:highlight w:val="white"/>
        </w:rPr>
        <w:t>, 2021).</w:t>
      </w:r>
    </w:p>
    <w:p w14:paraId="6AAFB4EE" w14:textId="77777777" w:rsidR="00254C59" w:rsidRPr="00204DBD" w:rsidRDefault="00254C59" w:rsidP="002B6256">
      <w:pPr>
        <w:jc w:val="both"/>
      </w:pPr>
    </w:p>
    <w:p w14:paraId="2FB0D485" w14:textId="77777777" w:rsidR="00E3302B" w:rsidRDefault="00E3302B" w:rsidP="002B6256">
      <w:pPr>
        <w:jc w:val="both"/>
      </w:pPr>
      <w:r w:rsidRPr="00204DBD">
        <w:t xml:space="preserve">Memler, yalnızca eğlence aracı olarak değil, ticari amaçlar için de kullanılmaktadır. Markalar, reklam ve pazarlama stratejilerinde kullanarak geniş kitlelere ulaşmayı hedeflediği için, </w:t>
      </w:r>
      <w:proofErr w:type="spellStart"/>
      <w:r w:rsidRPr="00204DBD">
        <w:t>memlerin</w:t>
      </w:r>
      <w:proofErr w:type="spellEnd"/>
      <w:r w:rsidRPr="00204DBD">
        <w:t xml:space="preserve"> ekonomik değeri ve ticari etkisi artmaktadır (</w:t>
      </w:r>
      <w:proofErr w:type="spellStart"/>
      <w:r w:rsidRPr="00204DBD">
        <w:t>Benaim</w:t>
      </w:r>
      <w:proofErr w:type="spellEnd"/>
      <w:r w:rsidRPr="00204DBD">
        <w:t xml:space="preserve">, 2018). Özellikle yanlış bilgi yayma ve kültürel hassasiyetlerin ihlali gibi sorunlar dışında, bazı </w:t>
      </w:r>
      <w:proofErr w:type="spellStart"/>
      <w:r w:rsidRPr="00204DBD">
        <w:t>memler</w:t>
      </w:r>
      <w:proofErr w:type="spellEnd"/>
      <w:r w:rsidRPr="00204DBD">
        <w:t xml:space="preserve">, stereotipleri veya nefret söylemini sürdürdüğü için saldırgan tona veya zararlı içeriğe sahip olabilmektedir. Dolayısıyla, </w:t>
      </w:r>
      <w:proofErr w:type="spellStart"/>
      <w:r w:rsidRPr="00204DBD">
        <w:t>mem</w:t>
      </w:r>
      <w:proofErr w:type="spellEnd"/>
      <w:r w:rsidRPr="00204DBD">
        <w:t xml:space="preserve"> kültürünün etik sonuçlarıyla ilgili endişeler ile başa çıkmak için medya okuryazarlığının teşvik edilmesi oldukça önemlidir (</w:t>
      </w:r>
      <w:proofErr w:type="spellStart"/>
      <w:r w:rsidRPr="00204DBD">
        <w:t>Pandiani</w:t>
      </w:r>
      <w:proofErr w:type="spellEnd"/>
      <w:r w:rsidRPr="00204DBD">
        <w:t xml:space="preserve"> vd., 2024).</w:t>
      </w:r>
    </w:p>
    <w:p w14:paraId="56BABA93" w14:textId="77777777" w:rsidR="000A70F0" w:rsidRPr="00204DBD" w:rsidRDefault="000A70F0" w:rsidP="002B6256">
      <w:pPr>
        <w:jc w:val="both"/>
      </w:pPr>
    </w:p>
    <w:p w14:paraId="2DD5B42E" w14:textId="77777777" w:rsidR="00E3302B" w:rsidRPr="00204DBD" w:rsidRDefault="00E3302B" w:rsidP="002B6256">
      <w:pPr>
        <w:jc w:val="both"/>
        <w:rPr>
          <w:b/>
        </w:rPr>
      </w:pPr>
      <w:r w:rsidRPr="00204DBD">
        <w:rPr>
          <w:b/>
        </w:rPr>
        <w:t xml:space="preserve">2.2. </w:t>
      </w:r>
      <w:proofErr w:type="spellStart"/>
      <w:r w:rsidRPr="00204DBD">
        <w:rPr>
          <w:b/>
        </w:rPr>
        <w:t>Influencer</w:t>
      </w:r>
      <w:proofErr w:type="spellEnd"/>
      <w:r w:rsidRPr="00204DBD">
        <w:rPr>
          <w:b/>
        </w:rPr>
        <w:t xml:space="preserve"> Kültürü</w:t>
      </w:r>
    </w:p>
    <w:p w14:paraId="7A6E1596" w14:textId="77777777" w:rsidR="00E3302B" w:rsidRDefault="00E3302B" w:rsidP="002B6256">
      <w:pPr>
        <w:jc w:val="both"/>
      </w:pPr>
      <w:proofErr w:type="spellStart"/>
      <w:r w:rsidRPr="00204DBD">
        <w:t>Influencerlar</w:t>
      </w:r>
      <w:proofErr w:type="spellEnd"/>
      <w:r w:rsidRPr="00204DBD">
        <w:t>, hedef kitleleriyle ilişkileri geliştirerek, temsil ettikleri markaların itibarını artırmak için müşterileri yönlendirerek çevrim içi etkinlikleri duyurmayı ve olası müşterilerin geri bildirimlerini talep etmeyi, bu amaçla ilgi çekici paylaşımlar yaparak yoğun içerik trafiği yaratmayı hedefleyen kişilerdir (</w:t>
      </w:r>
      <w:proofErr w:type="spellStart"/>
      <w:r w:rsidRPr="00204DBD">
        <w:t>Booth</w:t>
      </w:r>
      <w:proofErr w:type="spellEnd"/>
      <w:r w:rsidRPr="00204DBD">
        <w:t xml:space="preserve"> ve </w:t>
      </w:r>
      <w:proofErr w:type="spellStart"/>
      <w:r w:rsidRPr="00204DBD">
        <w:t>Matic</w:t>
      </w:r>
      <w:proofErr w:type="spellEnd"/>
      <w:r w:rsidRPr="00204DBD">
        <w:t xml:space="preserve">, 2011). Sosyal medya platformlarını kullanarak kişisel markalar inşa eden ve geniş kitleler ile etkileşimde bulunan bireyler, </w:t>
      </w:r>
      <w:proofErr w:type="spellStart"/>
      <w:r w:rsidRPr="00204DBD">
        <w:t>influencer</w:t>
      </w:r>
      <w:proofErr w:type="spellEnd"/>
      <w:r w:rsidRPr="00204DBD">
        <w:t xml:space="preserve"> kültürünü ortaya çıkarmıştır. Bu kişiler; moda, güzellik, </w:t>
      </w:r>
      <w:proofErr w:type="spellStart"/>
      <w:r w:rsidRPr="00204DBD">
        <w:t>fitness</w:t>
      </w:r>
      <w:proofErr w:type="spellEnd"/>
      <w:r w:rsidRPr="00204DBD">
        <w:t xml:space="preserve"> ve yaşam tarzı trendlerini etkileyerek, içerikleri etrafında alt kültürler oluşturabilmektedir. </w:t>
      </w:r>
      <w:proofErr w:type="spellStart"/>
      <w:r w:rsidRPr="00204DBD">
        <w:t>Influencerların</w:t>
      </w:r>
      <w:proofErr w:type="spellEnd"/>
      <w:r w:rsidRPr="00204DBD">
        <w:t xml:space="preserve"> yarattıkları etki, sosyal medya üzerindeki etkileşimleri ile geniş bir takipçi kitlesine yayılabilmektedir (</w:t>
      </w:r>
      <w:proofErr w:type="spellStart"/>
      <w:r w:rsidRPr="00204DBD">
        <w:t>Freberg</w:t>
      </w:r>
      <w:proofErr w:type="spellEnd"/>
      <w:r w:rsidRPr="00204DBD">
        <w:t xml:space="preserve"> vd., 2011). Takipçiler, </w:t>
      </w:r>
      <w:proofErr w:type="spellStart"/>
      <w:r w:rsidRPr="00204DBD">
        <w:t>influencerlara</w:t>
      </w:r>
      <w:proofErr w:type="spellEnd"/>
      <w:r w:rsidRPr="00204DBD">
        <w:t xml:space="preserve"> olan hayranlıkları temelinde topluluklar oluşturarak tartışmalara ve </w:t>
      </w:r>
      <w:proofErr w:type="gramStart"/>
      <w:r w:rsidRPr="00204DBD">
        <w:t>işbirliklerine</w:t>
      </w:r>
      <w:proofErr w:type="gramEnd"/>
      <w:r w:rsidRPr="00204DBD">
        <w:t xml:space="preserve"> katılmaktadır. </w:t>
      </w:r>
    </w:p>
    <w:p w14:paraId="790B8DEA" w14:textId="77777777" w:rsidR="00254C59" w:rsidRPr="00204DBD" w:rsidRDefault="00254C59" w:rsidP="002B6256">
      <w:pPr>
        <w:jc w:val="both"/>
      </w:pPr>
    </w:p>
    <w:p w14:paraId="6C3F0344" w14:textId="77777777" w:rsidR="00E3302B" w:rsidRDefault="00E3302B" w:rsidP="002B6256">
      <w:pPr>
        <w:jc w:val="both"/>
      </w:pPr>
      <w:proofErr w:type="spellStart"/>
      <w:r w:rsidRPr="00204DBD">
        <w:t>Influencer</w:t>
      </w:r>
      <w:proofErr w:type="spellEnd"/>
      <w:r w:rsidRPr="00204DBD">
        <w:t xml:space="preserve"> olan içerik üreticilerinin popülerliği, özellikle Instagram, YouTube ve </w:t>
      </w:r>
      <w:proofErr w:type="spellStart"/>
      <w:r w:rsidRPr="00204DBD">
        <w:t>TikTok</w:t>
      </w:r>
      <w:proofErr w:type="spellEnd"/>
      <w:r w:rsidRPr="00204DBD">
        <w:t xml:space="preserve"> gibi platformlar sayesinde bu kişilerin kendi markalarını inşa etmeleri ve geniş bir takipçi kitlesine ulaşmaları ile daha da artmış durumdadır. </w:t>
      </w:r>
      <w:proofErr w:type="spellStart"/>
      <w:r w:rsidRPr="00204DBD">
        <w:t>Influencerların</w:t>
      </w:r>
      <w:proofErr w:type="spellEnd"/>
      <w:r w:rsidRPr="00204DBD">
        <w:t xml:space="preserve"> bu süreçteki başarısı, sosyal ağ sitelerinin etkileşimli ve görsel odaklı doğasından kaynaklanmaktadır. İçeriklerini takipçileriyle sürekli bir etkileşim içinde paylaşarak güçlü topluluklar oluşturan </w:t>
      </w:r>
      <w:proofErr w:type="spellStart"/>
      <w:r w:rsidRPr="00204DBD">
        <w:t>influencerların</w:t>
      </w:r>
      <w:proofErr w:type="spellEnd"/>
      <w:r w:rsidRPr="00204DBD">
        <w:t xml:space="preserve"> bu faaliyetleri, markaların tanıtım stratejileri için önemli bir araçtır. </w:t>
      </w:r>
      <w:proofErr w:type="spellStart"/>
      <w:r w:rsidRPr="00204DBD">
        <w:t>Influencerların</w:t>
      </w:r>
      <w:proofErr w:type="spellEnd"/>
      <w:r w:rsidRPr="00204DBD">
        <w:t xml:space="preserve"> takipçileriyle kurduğu yakın bağ, onların marka tavsiyelerini daha etkili hale getirmektedir (</w:t>
      </w:r>
      <w:proofErr w:type="spellStart"/>
      <w:r w:rsidRPr="00204DBD">
        <w:t>Marwick</w:t>
      </w:r>
      <w:proofErr w:type="spellEnd"/>
      <w:r w:rsidRPr="00204DBD">
        <w:t>, 2015).</w:t>
      </w:r>
    </w:p>
    <w:p w14:paraId="61E58F3E" w14:textId="77777777" w:rsidR="00254C59" w:rsidRPr="00204DBD" w:rsidRDefault="00254C59" w:rsidP="002B6256">
      <w:pPr>
        <w:jc w:val="both"/>
      </w:pPr>
    </w:p>
    <w:p w14:paraId="486D3792" w14:textId="77777777" w:rsidR="00E3302B" w:rsidRDefault="00E3302B" w:rsidP="002B6256">
      <w:pPr>
        <w:jc w:val="both"/>
      </w:pPr>
      <w:proofErr w:type="spellStart"/>
      <w:r w:rsidRPr="00204DBD">
        <w:t>Influencerlar</w:t>
      </w:r>
      <w:proofErr w:type="spellEnd"/>
      <w:r w:rsidRPr="00204DBD">
        <w:t xml:space="preserve">, ürünlerin tanıtımında ve tüketici davranışlarının yönlendirilmesinde kritik bir rol oynadığı için markalar, </w:t>
      </w:r>
      <w:proofErr w:type="spellStart"/>
      <w:r w:rsidRPr="00204DBD">
        <w:t>influencerların</w:t>
      </w:r>
      <w:proofErr w:type="spellEnd"/>
      <w:r w:rsidRPr="00204DBD">
        <w:t xml:space="preserve"> geniş takipçi kitlesini hedefleyerek ve bu kişileri kullanarak etkili reklam kampanyaları yürütmektedir (</w:t>
      </w:r>
      <w:proofErr w:type="spellStart"/>
      <w:r w:rsidRPr="00204DBD">
        <w:t>Kapitan</w:t>
      </w:r>
      <w:proofErr w:type="spellEnd"/>
      <w:r w:rsidRPr="00204DBD">
        <w:t xml:space="preserve"> ve </w:t>
      </w:r>
      <w:proofErr w:type="spellStart"/>
      <w:r w:rsidRPr="00204DBD">
        <w:t>Silvera</w:t>
      </w:r>
      <w:proofErr w:type="spellEnd"/>
      <w:r w:rsidRPr="00204DBD">
        <w:t xml:space="preserve">, 2016). </w:t>
      </w:r>
      <w:proofErr w:type="spellStart"/>
      <w:r w:rsidRPr="00204DBD">
        <w:t>Khamis</w:t>
      </w:r>
      <w:proofErr w:type="spellEnd"/>
      <w:r w:rsidRPr="00204DBD">
        <w:t xml:space="preserve"> ve diğerlerine göre, </w:t>
      </w:r>
      <w:proofErr w:type="spellStart"/>
      <w:r w:rsidRPr="00204DBD">
        <w:t>influencer</w:t>
      </w:r>
      <w:proofErr w:type="spellEnd"/>
      <w:r w:rsidRPr="00204DBD">
        <w:t xml:space="preserve"> kültüründe </w:t>
      </w:r>
      <w:proofErr w:type="spellStart"/>
      <w:r w:rsidRPr="00204DBD">
        <w:t>influencerların</w:t>
      </w:r>
      <w:proofErr w:type="spellEnd"/>
      <w:r w:rsidRPr="00204DBD">
        <w:t xml:space="preserve"> özgünlüklerini koruyarak güven oluşturmaları, onların başarılı olma ve takipçi kitle üzerinde etki yaratmaları açısından kritik bir faktördür (</w:t>
      </w:r>
      <w:proofErr w:type="spellStart"/>
      <w:r w:rsidRPr="00204DBD">
        <w:t>Khamis</w:t>
      </w:r>
      <w:proofErr w:type="spellEnd"/>
      <w:r w:rsidRPr="00204DBD">
        <w:t xml:space="preserve"> vd., 2017). Sosyal medyanın ve dijital iletişimin bir sonucu olarak, modern pazarlama ve topluluk oluşturma stratejilerini yeniden şekillendiren </w:t>
      </w:r>
      <w:proofErr w:type="spellStart"/>
      <w:r w:rsidRPr="00204DBD">
        <w:t>influencerlar</w:t>
      </w:r>
      <w:proofErr w:type="spellEnd"/>
      <w:r w:rsidRPr="00204DBD">
        <w:t xml:space="preserve">, kişisel markalarını yaratarak bu markaları geniş kitlelere tanıtma becerileriyle, dijital çağın önemli figürleri haline gelmiştir. </w:t>
      </w:r>
      <w:proofErr w:type="spellStart"/>
      <w:r w:rsidRPr="00204DBD">
        <w:t>Influencer</w:t>
      </w:r>
      <w:proofErr w:type="spellEnd"/>
      <w:r w:rsidRPr="00204DBD">
        <w:t xml:space="preserve"> kültürünün evrimi ve etkilerinin, dijital medya </w:t>
      </w:r>
      <w:r w:rsidRPr="00204DBD">
        <w:lastRenderedPageBreak/>
        <w:t>dünyasının dinamiklerine bağlı olarak değişmeye devam etmesi beklenmektedir (</w:t>
      </w:r>
      <w:proofErr w:type="spellStart"/>
      <w:r w:rsidRPr="00204DBD">
        <w:t>Casaló</w:t>
      </w:r>
      <w:proofErr w:type="spellEnd"/>
      <w:r w:rsidRPr="00204DBD">
        <w:t xml:space="preserve"> vd., 2018).</w:t>
      </w:r>
    </w:p>
    <w:p w14:paraId="5E9FDCFC" w14:textId="77777777" w:rsidR="000A70F0" w:rsidRPr="00204DBD" w:rsidRDefault="000A70F0" w:rsidP="002B6256">
      <w:pPr>
        <w:jc w:val="both"/>
      </w:pPr>
    </w:p>
    <w:p w14:paraId="20F9BD39" w14:textId="77777777" w:rsidR="00E3302B" w:rsidRPr="00204DBD" w:rsidRDefault="00E3302B" w:rsidP="002B6256">
      <w:pPr>
        <w:jc w:val="both"/>
        <w:rPr>
          <w:b/>
        </w:rPr>
      </w:pPr>
      <w:r w:rsidRPr="00204DBD">
        <w:rPr>
          <w:b/>
        </w:rPr>
        <w:t>2.3. Oyun toplulukları</w:t>
      </w:r>
    </w:p>
    <w:p w14:paraId="27DCFDBD" w14:textId="77777777" w:rsidR="00E3302B" w:rsidRDefault="00E3302B" w:rsidP="002B6256">
      <w:pPr>
        <w:jc w:val="both"/>
      </w:pPr>
      <w:r w:rsidRPr="00204DBD">
        <w:t>Oyun toplulukları, çevrim içi oyunların etrafında oluşan ve oyuncuların ortak bir ilgi alanı etrafında bir araya gelerek etkileşimde bulunduğu sosyal gruplardır. Oyun toplulukları, üyelerine oyun oynamak dışında, sosyal bağlantılar kurarak bilgi paylaşmak ve kültürel normlar geliştirmek gibi olanaklar da sunmaktadır. Bu toplulukların üyeleri, genellikle oyun içi sohbetler, forumlar ve sosyal medya platformları aracılığıyla etkileşim kurar, oyun deneyimlerini paylaşır, stratejileri tartışır ve oyunla ilgili haberleri takip eder (</w:t>
      </w:r>
      <w:proofErr w:type="spellStart"/>
      <w:r w:rsidRPr="00204DBD">
        <w:t>Vasalou</w:t>
      </w:r>
      <w:proofErr w:type="spellEnd"/>
      <w:r w:rsidRPr="00204DBD">
        <w:t xml:space="preserve"> vd., 2008; </w:t>
      </w:r>
      <w:proofErr w:type="spellStart"/>
      <w:r w:rsidRPr="00204DBD">
        <w:t>Klimmt</w:t>
      </w:r>
      <w:proofErr w:type="spellEnd"/>
      <w:r w:rsidRPr="00204DBD">
        <w:t xml:space="preserve"> vd., 2009). Oyun topluluklarındaki sosyal destek, oyuncuların oyun deneyimlerini iyileştirdiği gibi, oyuncuların topluluklarına aidiyet hislerini güçlendirmektedir (</w:t>
      </w:r>
      <w:proofErr w:type="spellStart"/>
      <w:r w:rsidRPr="00204DBD">
        <w:t>Cole</w:t>
      </w:r>
      <w:proofErr w:type="spellEnd"/>
      <w:r w:rsidRPr="00204DBD">
        <w:t xml:space="preserve"> ve Griffiths, 2007). </w:t>
      </w:r>
    </w:p>
    <w:p w14:paraId="468FE276" w14:textId="77777777" w:rsidR="00254C59" w:rsidRPr="00204DBD" w:rsidRDefault="00254C59" w:rsidP="002B6256">
      <w:pPr>
        <w:jc w:val="both"/>
      </w:pPr>
    </w:p>
    <w:p w14:paraId="63FF00D1" w14:textId="77777777" w:rsidR="00E3302B" w:rsidRDefault="00E3302B" w:rsidP="002B6256">
      <w:pPr>
        <w:jc w:val="both"/>
      </w:pPr>
      <w:r w:rsidRPr="00204DBD">
        <w:t>Oyun aracılığıyla bir sosyal topluluğun üyesi olmak, bireylerin grubun diğer üyelerinden etkilenmesini ve topluluğun davranışsal normlarının yayılmasını sağlayabilmektedir (</w:t>
      </w:r>
      <w:proofErr w:type="spellStart"/>
      <w:r w:rsidRPr="00204DBD">
        <w:t>Hamari</w:t>
      </w:r>
      <w:proofErr w:type="spellEnd"/>
      <w:r w:rsidRPr="00204DBD">
        <w:t xml:space="preserve"> ve </w:t>
      </w:r>
      <w:proofErr w:type="spellStart"/>
      <w:r w:rsidRPr="00204DBD">
        <w:t>Koivisto</w:t>
      </w:r>
      <w:proofErr w:type="spellEnd"/>
      <w:r w:rsidRPr="00204DBD">
        <w:t xml:space="preserve">, 2015). Öte yandan, diğer çevrim içi topluluklarda olduğu gibi, oyun topluluklarında da kullanıcılar siber zorbalık ve ayrımcılık gibi tutum ve davranışlara maruz kalabilmekte, bu gibi sorunlar kullanıcıların deneyimlerini olumsuz yönde etkileyebilmektedir. </w:t>
      </w:r>
      <w:proofErr w:type="spellStart"/>
      <w:r w:rsidRPr="00204DBD">
        <w:t>Kowert</w:t>
      </w:r>
      <w:proofErr w:type="spellEnd"/>
      <w:r w:rsidRPr="00204DBD">
        <w:t xml:space="preserve"> ve diğerlerinin yaptığı araştırma, çevrim içi oyun oynamanın bireyin psikososyal durumu üzerinde olumsuz etkileri olduğuna dair önceki bilgilerin geçerli olmadığını, aksine bu bireylerin önceden var olan sorunlarını telafi etmek için çevrim içi oyun oynamaya yöneldiğini göstermektedir (</w:t>
      </w:r>
      <w:proofErr w:type="spellStart"/>
      <w:r w:rsidRPr="00204DBD">
        <w:t>Kowert</w:t>
      </w:r>
      <w:proofErr w:type="spellEnd"/>
      <w:r w:rsidRPr="00204DBD">
        <w:t xml:space="preserve"> vd., 2015).</w:t>
      </w:r>
    </w:p>
    <w:p w14:paraId="7984F58A" w14:textId="77777777" w:rsidR="000A70F0" w:rsidRPr="00204DBD" w:rsidRDefault="000A70F0" w:rsidP="002B6256">
      <w:pPr>
        <w:jc w:val="both"/>
      </w:pPr>
    </w:p>
    <w:p w14:paraId="48CF44DE" w14:textId="77777777" w:rsidR="00E3302B" w:rsidRPr="00204DBD" w:rsidRDefault="00E3302B" w:rsidP="002B6256">
      <w:pPr>
        <w:jc w:val="both"/>
      </w:pPr>
      <w:r w:rsidRPr="00204DBD">
        <w:rPr>
          <w:b/>
        </w:rPr>
        <w:t>2.4. Sosyal ağ siteleri kapsamındaki topluluklar</w:t>
      </w:r>
    </w:p>
    <w:p w14:paraId="5291C48D" w14:textId="77777777" w:rsidR="00E3302B" w:rsidRDefault="00E3302B" w:rsidP="002B6256">
      <w:pPr>
        <w:jc w:val="both"/>
      </w:pPr>
      <w:r w:rsidRPr="00204DBD">
        <w:t xml:space="preserve">Sosyal ağ sitelerinin bünyesinde oluşturulabilen açık veya kapalı topluluklar da kullanıcıların farklı temalar, arkadaş grupları veya ilgi alanları kapsamında iletişim kurmasını sağlamaktadır. Örneğin Facebook, kullanıcıların arkadaşları ve aile bireyleri ile etkileşimde bulunmalarına, çeşitli gruplara katılmalarına ve topluluk etkinliklerine dâhil olmalarına olanak tanırken, profesyonel ağ kurma ve iş dünyası ile ilgili tartışmalar yapma olanağı sağlayan </w:t>
      </w:r>
      <w:proofErr w:type="spellStart"/>
      <w:r w:rsidRPr="00204DBD">
        <w:t>LinkedIn’de</w:t>
      </w:r>
      <w:proofErr w:type="spellEnd"/>
      <w:r w:rsidRPr="00204DBD">
        <w:t xml:space="preserve"> ise kullanıcılar, meslektaşlarıyla bağlantı kurarak profesyonel topluluklar bünyesinde etkileşimde bulunabilmektedirler (Miller, 2011). Kurumsal adını 2021 yılında Meta olarak değiştiren Facebook, 2022'de Facebook Grupları için topluluk sohbetlerini başlatarak grup üyelerinin gerçek zamanlı olarak iletişim kurmasını sağlamış, 2024 yılı </w:t>
      </w:r>
      <w:proofErr w:type="gramStart"/>
      <w:r w:rsidRPr="00204DBD">
        <w:t>Haziran</w:t>
      </w:r>
      <w:proofErr w:type="gramEnd"/>
      <w:r w:rsidRPr="00204DBD">
        <w:t xml:space="preserve"> ayında ise kullanıcıların Facebook gruplarına ihtiyaç duymadan Messenger’da zahmetsizce büyük topluluk sohbetleri oluşturmasına olanak tanıyan yeni bir özelliği tanıtmıştır. Bu yeni özellik, kullanıcılar önceden bağlantıda olmasalar bile Messenger’da 5.000 kadar kişiyle bağlantı kurulabilmesine olanak tanımaktadır (</w:t>
      </w:r>
      <w:proofErr w:type="spellStart"/>
      <w:r w:rsidRPr="00204DBD">
        <w:t>Job</w:t>
      </w:r>
      <w:proofErr w:type="spellEnd"/>
      <w:r w:rsidRPr="00204DBD">
        <w:t>, 2024).</w:t>
      </w:r>
    </w:p>
    <w:p w14:paraId="3E89512C" w14:textId="77777777" w:rsidR="00254C59" w:rsidRPr="00204DBD" w:rsidRDefault="00254C59" w:rsidP="002B6256">
      <w:pPr>
        <w:jc w:val="both"/>
      </w:pPr>
    </w:p>
    <w:p w14:paraId="2FD32A5B" w14:textId="305B5553" w:rsidR="00E3302B" w:rsidRDefault="00E3302B" w:rsidP="002B6256">
      <w:pPr>
        <w:jc w:val="both"/>
        <w:rPr>
          <w:rFonts w:eastAsia="Calibri"/>
          <w:lang w:eastAsia="en-US"/>
        </w:rPr>
      </w:pPr>
      <w:r w:rsidRPr="00204DBD">
        <w:t xml:space="preserve">Sosyal medyanın yaygınlaşmasından önce de internette farklı platformlar üzerinden kullanıcıları birleştiren gruplar yaygın olarak kullanılmaktaydı. Bu grupların en öne çıkanı olarak bilinen </w:t>
      </w:r>
      <w:r w:rsidRPr="00204DBD">
        <w:rPr>
          <w:rFonts w:eastAsia="Calibri"/>
          <w:lang w:eastAsia="en-US"/>
        </w:rPr>
        <w:t xml:space="preserve">Yahoo </w:t>
      </w:r>
      <w:proofErr w:type="spellStart"/>
      <w:r w:rsidRPr="00204DBD">
        <w:rPr>
          <w:rFonts w:eastAsia="Calibri"/>
          <w:lang w:eastAsia="en-US"/>
        </w:rPr>
        <w:t>Groups</w:t>
      </w:r>
      <w:proofErr w:type="spellEnd"/>
      <w:r w:rsidRPr="00204DBD">
        <w:rPr>
          <w:rFonts w:eastAsia="Calibri"/>
          <w:lang w:eastAsia="en-US"/>
        </w:rPr>
        <w:t>, 1998 yılında faaliyete geçmiş, kullanıcıların e-posta tabanlı gruplar oluşturmasına ve yönetmesine olanak tanımıştır. Bu platform, kapalı grupların üyelerinin sadece onaylı üyelerle etkileşimde bulunabileceği bir ortam sunarak, grup içi bilgilerin dışarı sızmamasını sağlamıştır (</w:t>
      </w:r>
      <w:proofErr w:type="spellStart"/>
      <w:r w:rsidRPr="00204DBD">
        <w:rPr>
          <w:rFonts w:eastAsia="Calibri"/>
          <w:lang w:eastAsia="en-US"/>
        </w:rPr>
        <w:t>Hagel</w:t>
      </w:r>
      <w:proofErr w:type="spellEnd"/>
      <w:r w:rsidRPr="00204DBD">
        <w:rPr>
          <w:rFonts w:eastAsia="Calibri"/>
          <w:lang w:eastAsia="en-US"/>
        </w:rPr>
        <w:t xml:space="preserve"> ve Armstrong, 1997). Yahoo </w:t>
      </w:r>
      <w:proofErr w:type="spellStart"/>
      <w:r w:rsidRPr="00204DBD">
        <w:rPr>
          <w:rFonts w:eastAsia="Calibri"/>
          <w:lang w:eastAsia="en-US"/>
        </w:rPr>
        <w:t>Groups</w:t>
      </w:r>
      <w:proofErr w:type="spellEnd"/>
      <w:r w:rsidRPr="00204DBD">
        <w:rPr>
          <w:rFonts w:eastAsia="Calibri"/>
          <w:lang w:eastAsia="en-US"/>
        </w:rPr>
        <w:t>, 15 Aralık 2020'de kapanmanın son aşamasını tamamlayarak web ortamından tamamen kaldırılmıştır (</w:t>
      </w:r>
      <w:proofErr w:type="spellStart"/>
      <w:r w:rsidRPr="00204DBD">
        <w:rPr>
          <w:rFonts w:eastAsia="Calibri"/>
          <w:lang w:eastAsia="en-US"/>
        </w:rPr>
        <w:t>Southern</w:t>
      </w:r>
      <w:proofErr w:type="spellEnd"/>
      <w:r w:rsidRPr="00204DBD">
        <w:rPr>
          <w:rFonts w:eastAsia="Calibri"/>
          <w:lang w:eastAsia="en-US"/>
        </w:rPr>
        <w:t>, 2020).</w:t>
      </w:r>
    </w:p>
    <w:p w14:paraId="692C8A8A" w14:textId="77777777" w:rsidR="002604BA" w:rsidRPr="00204DBD" w:rsidRDefault="002604BA" w:rsidP="002B6256">
      <w:pPr>
        <w:jc w:val="both"/>
        <w:rPr>
          <w:rFonts w:eastAsia="Calibri"/>
          <w:lang w:eastAsia="en-US"/>
        </w:rPr>
      </w:pPr>
    </w:p>
    <w:p w14:paraId="530CBA53" w14:textId="77777777" w:rsidR="00E3302B" w:rsidRPr="00204DBD" w:rsidRDefault="00E3302B" w:rsidP="002B6256">
      <w:pPr>
        <w:jc w:val="both"/>
        <w:rPr>
          <w:b/>
        </w:rPr>
      </w:pPr>
      <w:r w:rsidRPr="00204DBD">
        <w:rPr>
          <w:b/>
        </w:rPr>
        <w:t>2.5. Hayran toplulukları</w:t>
      </w:r>
    </w:p>
    <w:p w14:paraId="2A54F71E" w14:textId="77777777" w:rsidR="00E3302B" w:rsidRDefault="00E3302B" w:rsidP="002B6256">
      <w:pPr>
        <w:jc w:val="both"/>
      </w:pPr>
      <w:r w:rsidRPr="00204DBD">
        <w:t xml:space="preserve">Turner’a göre şöhret, bir temsil türü ve söylemsel bir etkidir; bu temsilleri ve etkilerini üreten promosyon, tanıtım ve medya endüstrileri tarafından ticareti yapılan bir meta, toplumsal işlevi olan kültürel bir oluşumdur (Turner, 2004: 9). Çevrim içi topluluklar içinde önemli bir sosyal yapı olarak öne çıkan hayran kitleleri veya hayran grupları ise belirli bir ünlü, sanatçı, marka ya da fenomen ile ilgilenen bireylerin bir araya geldiği topluluklardır. Hayran toplulukları, sadece destek sağlamakla kalmaz, aynı zamanda etkileşimde bulunur ve kültürel üretim süreçlerine katkı verir. Hayran kitleleri, çevrim içi topluluklar içinde yüksek derecede etkileşim sağlamakta, üyeler sosyal medya paylaşımları, yorumlar ve fan sayfaları aracılığıyla hayranlar arası iletişime aktif bir şekilde katılım göstermektedirler (Jenkins, 2006). </w:t>
      </w:r>
    </w:p>
    <w:p w14:paraId="3EAB6A4C" w14:textId="77777777" w:rsidR="00254C59" w:rsidRPr="00204DBD" w:rsidRDefault="00254C59" w:rsidP="002B6256">
      <w:pPr>
        <w:jc w:val="both"/>
      </w:pPr>
    </w:p>
    <w:p w14:paraId="18990222" w14:textId="77777777" w:rsidR="00E3302B" w:rsidRDefault="00E3302B" w:rsidP="002B6256">
      <w:pPr>
        <w:jc w:val="both"/>
      </w:pPr>
      <w:r w:rsidRPr="00204DBD">
        <w:t xml:space="preserve">Goffman’a göre bireyler, toplumsal yaşamda “izlenim yönetimini” gerçekleştirirken, arzu edilen kimliği ideal bir şekilde sunmak için sürekli olarak, adeta bir tiyatro sahnesindeymişçesine farklı performanslar sergilemektedir. (Goffman, 1959/2009). Goffman, “Yüz Çalışması” makalesinde ise “yüz” kavramını metaforik olarak ele alır ve kişinin benlik sunumunu ifade eden “yüz” ü ve dolayısıyla itibarını korumak için toplumsal yaşamdaki yerini göz önünde bulundurarak davrandığını, aksi taktirde “yüz” ü kaybetme riskiyle karşı karşıya kaldığını ifade eder (Goffman, 1974/2017). Goffman’ın yaklaşımından yola çıkan ve özellikle Twitter’da paylaşım yapan ünlü isimlerin hesaplarını inceleyen </w:t>
      </w:r>
      <w:proofErr w:type="spellStart"/>
      <w:r w:rsidRPr="00204DBD">
        <w:t>Marwick</w:t>
      </w:r>
      <w:proofErr w:type="spellEnd"/>
      <w:r w:rsidRPr="00204DBD">
        <w:t xml:space="preserve"> ve </w:t>
      </w:r>
      <w:proofErr w:type="spellStart"/>
      <w:r w:rsidRPr="00204DBD">
        <w:t>Boyd’a</w:t>
      </w:r>
      <w:proofErr w:type="spellEnd"/>
      <w:r w:rsidRPr="00204DBD">
        <w:t xml:space="preserve"> göre; sosyal medyada ünlü olma pratiği, “</w:t>
      </w:r>
      <w:proofErr w:type="spellStart"/>
      <w:r w:rsidRPr="00204DBD">
        <w:t>yüz”ü</w:t>
      </w:r>
      <w:proofErr w:type="spellEnd"/>
      <w:r w:rsidRPr="00204DBD">
        <w:t xml:space="preserve"> başarılı bir şekilde korumak ve izlenimleri yönetmek için bu çoklu izleyici kitlesiyle pazarlık yapmayı içermektedir. Ünlü kullanıcılar, takipçileriyle bağlantı kurmak için @yanıtlar biçimindeki kamuya açık bildirimi kullanırken, hayranlar ise ünlü kişilere yalnızca bir yanıt alma umuduyla değil onlarla olumlu ya da olumsuz bir ilişki kurmak için yanıt vermektedir. Hayranlar kamuya açık bir yanıt alırsa, bunlar bir statü göstergesi olarak işlev görür ve hayran topluluğu içinde duyurulur. Ünlüler, ulaşılabilir olduklarını göstermek, sadık takipçilerine geri dönüş yapmak ve popülerliklerini yönetmek için hayranlarına yanıt verir, onlardan bahsederler. Ünlü bir kullanıcı, kamusal görünümle ilgili ön sahne normlarına bağlı kalmaktadır ancak Goffman’ın sahne arkası olarak adlandırdığı, gerçek benliğe daha yakın alanı korumak, arada asistanların, korumaların, menajerlerin olmadığı bir yer olduğu için Twitter benzeri sosyal mecralarda daha zor hale gelmektedir. Çok ünlü insanlar sürekli olarak karmaşık kimlik performanslarında gezinirler. Sosyal medyadaki ünlü pratiği, ünlüye “sahne arkası” erişiminin görünüşünü ve performansını içermektedir (</w:t>
      </w:r>
      <w:proofErr w:type="spellStart"/>
      <w:r w:rsidRPr="00204DBD">
        <w:t>Marwick</w:t>
      </w:r>
      <w:proofErr w:type="spellEnd"/>
      <w:r w:rsidRPr="00204DBD">
        <w:t xml:space="preserve"> ve </w:t>
      </w:r>
      <w:proofErr w:type="spellStart"/>
      <w:r w:rsidRPr="00204DBD">
        <w:t>Boyd</w:t>
      </w:r>
      <w:proofErr w:type="spellEnd"/>
      <w:r w:rsidRPr="00204DBD">
        <w:t>, 2011).</w:t>
      </w:r>
    </w:p>
    <w:p w14:paraId="63CF9094" w14:textId="77777777" w:rsidR="00254C59" w:rsidRPr="00204DBD" w:rsidRDefault="00254C59" w:rsidP="002B6256">
      <w:pPr>
        <w:jc w:val="both"/>
      </w:pPr>
    </w:p>
    <w:p w14:paraId="40F389B9" w14:textId="77777777" w:rsidR="00E3302B" w:rsidRDefault="00E3302B" w:rsidP="002B6256">
      <w:pPr>
        <w:jc w:val="both"/>
      </w:pPr>
      <w:r w:rsidRPr="00204DBD">
        <w:t>Sosyal medya, taraftarların spora ve/veya belirli kulüplere olan ortak ilgileri etrafında sanal olarak birleşmelerine de olanak tanımakta ve bu çevrim içi alanlarda gerçekleşen etkileşimler, taraftarların günlük yaşamlarının önemli bir unsurunu temsil etmektedir (</w:t>
      </w:r>
      <w:proofErr w:type="spellStart"/>
      <w:r w:rsidRPr="00204DBD">
        <w:t>Gibbons</w:t>
      </w:r>
      <w:proofErr w:type="spellEnd"/>
      <w:r w:rsidRPr="00204DBD">
        <w:t xml:space="preserve"> ve Dixon, 2010). Norman, çevrim içi spor taraftarı gruplarını kavramsallaştırmak ve bu grupların sosyal sınırlarının değişkenliğini ve küçük boyutlarını vurgulamak için “elektronik kabileler” kavramından yararlanmaktadır (Adams ve Smith, </w:t>
      </w:r>
      <w:hyperlink r:id="rId21">
        <w:r w:rsidRPr="00204DBD">
          <w:t>2008</w:t>
        </w:r>
      </w:hyperlink>
      <w:r w:rsidRPr="00204DBD">
        <w:t>).  Söz konusu sanal gruplaşmalar; taraftarların kulüplerine bağlılıklarını ve duygusal bağlarını ifade etmelerine ve ritüelleri, gelenekleri, değerleri ve inançları paylaşmalarına olanak tanıyarak aidiyet duygusunu pekiştirmektedir (</w:t>
      </w:r>
      <w:proofErr w:type="spellStart"/>
      <w:r w:rsidRPr="00204DBD">
        <w:t>Fenton</w:t>
      </w:r>
      <w:proofErr w:type="spellEnd"/>
      <w:r w:rsidRPr="00204DBD">
        <w:t xml:space="preserve"> vd., 2021).</w:t>
      </w:r>
    </w:p>
    <w:p w14:paraId="0EFA7FE4" w14:textId="77777777" w:rsidR="002604BA" w:rsidRPr="00204DBD" w:rsidRDefault="002604BA" w:rsidP="002B6256">
      <w:pPr>
        <w:jc w:val="both"/>
      </w:pPr>
    </w:p>
    <w:p w14:paraId="59F760F6" w14:textId="77777777" w:rsidR="00E3302B" w:rsidRPr="00204DBD" w:rsidRDefault="00E3302B" w:rsidP="002B6256">
      <w:pPr>
        <w:jc w:val="both"/>
        <w:rPr>
          <w:b/>
        </w:rPr>
      </w:pPr>
      <w:r w:rsidRPr="00204DBD">
        <w:rPr>
          <w:b/>
        </w:rPr>
        <w:t>2.6. Aktivist topluluklar</w:t>
      </w:r>
    </w:p>
    <w:p w14:paraId="024FA6A5" w14:textId="77777777" w:rsidR="00E3302B" w:rsidRDefault="00E3302B" w:rsidP="002B6256">
      <w:pPr>
        <w:jc w:val="both"/>
      </w:pPr>
      <w:r w:rsidRPr="00204DBD">
        <w:t xml:space="preserve">Dijital aktivizm, gelişen iletişim teknolojilerinden güç alarak geniş kitlelere hızlı, kolay ve etkili </w:t>
      </w:r>
      <w:r w:rsidRPr="00204DBD">
        <w:lastRenderedPageBreak/>
        <w:t xml:space="preserve">bir biçimde ulaşabilmekte, dijital eylemleri çevrim içi platformlarda kitleler ile paylaşmaktadır. Bu nedenle dijital aktivizm son derece etkili, fazla bir maliyet gerektirmeyen, çoksesliliği temel alan </w:t>
      </w:r>
      <w:proofErr w:type="spellStart"/>
      <w:r w:rsidRPr="00204DBD">
        <w:t>mutlakçılığa</w:t>
      </w:r>
      <w:proofErr w:type="spellEnd"/>
      <w:r w:rsidRPr="00204DBD">
        <w:t xml:space="preserve"> yönelik bir faaliyettir (</w:t>
      </w:r>
      <w:proofErr w:type="spellStart"/>
      <w:r w:rsidRPr="00204DBD">
        <w:t>Yegen</w:t>
      </w:r>
      <w:proofErr w:type="spellEnd"/>
      <w:r w:rsidRPr="00204DBD">
        <w:t xml:space="preserve">, 2014). </w:t>
      </w:r>
      <w:proofErr w:type="spellStart"/>
      <w:r w:rsidRPr="00204DBD">
        <w:t>Castells’e</w:t>
      </w:r>
      <w:proofErr w:type="spellEnd"/>
      <w:r w:rsidRPr="00204DBD">
        <w:t xml:space="preserve"> göre; korkunun üstesinden gelmek, bireylerin toplumsal bir harekete katılmak için geçmeleri gereken temel eşiktir ve birliktelik, korkunun üstesinden gelmek için temel bir psikolojik mekanizmadır. Aktivist gruplar </w:t>
      </w:r>
      <w:proofErr w:type="gramStart"/>
      <w:r w:rsidRPr="00204DBD">
        <w:t>da,</w:t>
      </w:r>
      <w:proofErr w:type="gramEnd"/>
      <w:r w:rsidRPr="00204DBD">
        <w:t xml:space="preserve"> toplumsal değişim hedeflerine ulaşmak için çevrim içi topluluklardan yararlanmakta, dijital medya aracılığıyla organize olan aktivist gruplar, ortak hedefler etrafında bir araya gelerek sanal ortamda etkileşimde bulunmaktadır (</w:t>
      </w:r>
      <w:proofErr w:type="spellStart"/>
      <w:r w:rsidRPr="00204DBD">
        <w:t>Castells</w:t>
      </w:r>
      <w:proofErr w:type="spellEnd"/>
      <w:r w:rsidRPr="00204DBD">
        <w:t xml:space="preserve">, 2012). </w:t>
      </w:r>
    </w:p>
    <w:p w14:paraId="35BC80A5" w14:textId="77777777" w:rsidR="00254C59" w:rsidRPr="00204DBD" w:rsidRDefault="00254C59" w:rsidP="002B6256">
      <w:pPr>
        <w:jc w:val="both"/>
      </w:pPr>
    </w:p>
    <w:p w14:paraId="44B8C349" w14:textId="77777777" w:rsidR="00E3302B" w:rsidRDefault="00E3302B" w:rsidP="002B6256">
      <w:pPr>
        <w:jc w:val="both"/>
      </w:pPr>
      <w:r w:rsidRPr="00204DBD">
        <w:t xml:space="preserve">Araştırmalara göre, genel olarak sokak gösterileri ve özel olarak iklim protestoları, iyi eğitimli kişilerden oluşmaktadır Sosyal medya platformlarındaki çevrim içi topluluklar, aktivistlerin kolaylıkla iletişim kurmasını ve stratejilerini koordine etmesini sağlamaktadır. Dijital toplulukları kampanya yürütme, destek toplama ve farkındalık yaratma süreçlerinde kullanan aktivistler, bu yolla geniş kitlelere ulaşabilmekte, toplumsal değişim çağrılarını etkili bir şekilde ileterek destekçi ağlarını genişletmektedirler. Aktivistler, imza kampanyaları, kitlesel fonlama ve dijital lobicilik yoluyla coğrafi sınırlama olmaksızın destek toplayarak karar vericiler üzerinde baskı uygulayabilmektedir (Bennett vd., 2012). Örneğin, Büyük </w:t>
      </w:r>
      <w:proofErr w:type="spellStart"/>
      <w:r w:rsidRPr="00204DBD">
        <w:t>Thunberg</w:t>
      </w:r>
      <w:proofErr w:type="spellEnd"/>
      <w:r w:rsidRPr="00204DBD">
        <w:t xml:space="preserve"> liderliğindeki “Gelecek için Cumalar” hareketi, iklim grevlerini organize etmek ve mesajlarını dünya çapında duyurmak için sosyal medyayı kullanmış ve iklim değişikliği konusundaki farkındalığı önemli ölçüde artırmıştır (</w:t>
      </w:r>
      <w:proofErr w:type="spellStart"/>
      <w:r w:rsidRPr="00204DBD">
        <w:t>Wahlström</w:t>
      </w:r>
      <w:proofErr w:type="spellEnd"/>
      <w:r w:rsidRPr="00204DBD">
        <w:t xml:space="preserve"> vd., 2019).</w:t>
      </w:r>
    </w:p>
    <w:p w14:paraId="658E6390" w14:textId="77777777" w:rsidR="00254C59" w:rsidRPr="00204DBD" w:rsidRDefault="00254C59" w:rsidP="002B6256">
      <w:pPr>
        <w:jc w:val="both"/>
      </w:pPr>
    </w:p>
    <w:p w14:paraId="7F289BF6" w14:textId="77777777" w:rsidR="00E3302B" w:rsidRDefault="00E3302B" w:rsidP="002B6256">
      <w:pPr>
        <w:keepNext/>
        <w:keepLines/>
        <w:jc w:val="both"/>
        <w:outlineLvl w:val="2"/>
      </w:pPr>
      <w:bookmarkStart w:id="5" w:name="_heading=h.u8gaqz6b90mt" w:colFirst="0" w:colLast="0"/>
      <w:bookmarkEnd w:id="5"/>
      <w:r w:rsidRPr="00204DBD">
        <w:t xml:space="preserve">Aktivist hareketler, günümüzde mesajlarını organize etmek, harekete geçirmek ve yaymak için güçlü bir araç olarak dijital medyaya giderek daha fazla yönelmektedir. Twitter (X), Facebook ve Instagram gibi sosyal medya platformları aktivistlerin neredeyse anında küresel bir izleyici kitlesine ulaşmalarına olanak tanıyarak destekçiler arasındaki topluluk ve dayanışma duygusunu güçlendirmektedir (Bennett ve </w:t>
      </w:r>
      <w:proofErr w:type="spellStart"/>
      <w:r w:rsidRPr="00204DBD">
        <w:t>Segerberg</w:t>
      </w:r>
      <w:proofErr w:type="spellEnd"/>
      <w:r w:rsidRPr="00204DBD">
        <w:t>, 2012). 2011’de ortaya çıkan “</w:t>
      </w:r>
      <w:proofErr w:type="spellStart"/>
      <w:r w:rsidRPr="00204DBD">
        <w:t>Hashtag</w:t>
      </w:r>
      <w:proofErr w:type="spellEnd"/>
      <w:r w:rsidRPr="00204DBD">
        <w:t xml:space="preserve"> Aktivizmi”, ilk olarak #IranElection’ın tartışmalı seçimi protesto eden İranlılar için bir örgütlenme aracı olarak hizmet etmiş ve küresel bir izleyici kitlesine yeni doğmakta olan bir devrim için ön sırada yer sunmuş; sonrasında özellikle Twitter (X) aracılılığıyla yayılarak, #BlackLivesMatter, #MeToo, #YesAllWomen gibi </w:t>
      </w:r>
      <w:proofErr w:type="spellStart"/>
      <w:r w:rsidRPr="00204DBD">
        <w:t>hashtag’lerin</w:t>
      </w:r>
      <w:proofErr w:type="spellEnd"/>
      <w:r w:rsidRPr="00204DBD">
        <w:t xml:space="preserve"> kullanımıyla, ötekileştirilen grupların haklarını savunan, bu gruplar arasındaki iletişimi ve farkındalığı artıran ve toplumsal değişimi yönlendiren viral kampanyaların oluşturulmasında etkili olmuştur (Jackson, </w:t>
      </w:r>
      <w:proofErr w:type="spellStart"/>
      <w:r w:rsidRPr="00204DBD">
        <w:t>Bailey</w:t>
      </w:r>
      <w:proofErr w:type="spellEnd"/>
      <w:r w:rsidRPr="00204DBD">
        <w:t xml:space="preserve"> ve </w:t>
      </w:r>
      <w:proofErr w:type="spellStart"/>
      <w:r w:rsidRPr="00204DBD">
        <w:t>Welles</w:t>
      </w:r>
      <w:proofErr w:type="spellEnd"/>
      <w:r w:rsidRPr="00204DBD">
        <w:t>, 2020).</w:t>
      </w:r>
    </w:p>
    <w:p w14:paraId="4C91B1EA" w14:textId="77777777" w:rsidR="00254C59" w:rsidRPr="00204DBD" w:rsidRDefault="00254C59" w:rsidP="002B6256">
      <w:pPr>
        <w:keepNext/>
        <w:keepLines/>
        <w:jc w:val="both"/>
        <w:outlineLvl w:val="2"/>
      </w:pPr>
    </w:p>
    <w:p w14:paraId="53F43868" w14:textId="77777777" w:rsidR="00E3302B" w:rsidRDefault="00E3302B" w:rsidP="002B6256">
      <w:pPr>
        <w:jc w:val="both"/>
      </w:pPr>
      <w:proofErr w:type="spellStart"/>
      <w:r w:rsidRPr="00204DBD">
        <w:t>Castells’e</w:t>
      </w:r>
      <w:proofErr w:type="spellEnd"/>
      <w:r w:rsidRPr="00204DBD">
        <w:t xml:space="preserve"> göre; dijital medyanın aktivist hareketler açısından önemli bir avantajı, ana akım medya kuruluşları gibi belirli konularda önyargılı veya ilgisiz olabilen geleneksel eşik bekçilerini devre dışı bırakma özelliğidir (</w:t>
      </w:r>
      <w:proofErr w:type="spellStart"/>
      <w:r w:rsidRPr="00204DBD">
        <w:t>Castells</w:t>
      </w:r>
      <w:proofErr w:type="spellEnd"/>
      <w:r w:rsidRPr="00204DBD">
        <w:t>, 2012). Bilgi yayılımının bu şekilde demokratikleştirilmesi, marjinalleştirilmiş seslerin duyulmasını sağlayarak taban hareketlerinin ortaya çıkmasını sağlamaktadır (</w:t>
      </w:r>
      <w:proofErr w:type="spellStart"/>
      <w:r w:rsidRPr="00204DBD">
        <w:t>Freelon</w:t>
      </w:r>
      <w:proofErr w:type="spellEnd"/>
      <w:r w:rsidRPr="00204DBD">
        <w:t xml:space="preserve">, </w:t>
      </w:r>
      <w:proofErr w:type="spellStart"/>
      <w:r w:rsidRPr="00204DBD">
        <w:t>McIlwain</w:t>
      </w:r>
      <w:proofErr w:type="spellEnd"/>
      <w:r w:rsidRPr="00204DBD">
        <w:t xml:space="preserve"> ve Clark, 2016).</w:t>
      </w:r>
    </w:p>
    <w:p w14:paraId="58B24B5A" w14:textId="77777777" w:rsidR="00254C59" w:rsidRPr="00204DBD" w:rsidRDefault="00254C59" w:rsidP="002B6256">
      <w:pPr>
        <w:jc w:val="both"/>
      </w:pPr>
    </w:p>
    <w:p w14:paraId="5B24DA5A" w14:textId="77777777" w:rsidR="00E3302B" w:rsidRPr="00204DBD" w:rsidRDefault="00E3302B" w:rsidP="002B6256">
      <w:pPr>
        <w:jc w:val="both"/>
      </w:pPr>
      <w:r w:rsidRPr="00204DBD">
        <w:t>Dijital medya aynı zamanda, hızlı iletişim ve koordinasyona olanak sağlayarak bir takım protesto ve etkinliklerin düzenlenmesini kolaylaştırmaktadır. WhatsApp ve Telegram gibi platformlar genellikle lojistik ayrıntıları güvenli bir şekilde paylaşmak ve büyük grupları etkili ve güvenli bir şekilde harekete geçirmeye yardımcı olmak için kullanılan platformlar arasındadır (</w:t>
      </w:r>
      <w:proofErr w:type="spellStart"/>
      <w:r w:rsidRPr="00204DBD">
        <w:t>Gerbaudo</w:t>
      </w:r>
      <w:proofErr w:type="spellEnd"/>
      <w:r w:rsidRPr="00204DBD">
        <w:t>, 2012). Bu özellik, sosyal medyanın gösterileri koordine etmede ve sahadan gerçek zamanlı güncellemeleri paylaşmada önemli bir rol oynadığı Arap Baharı sırasında da açıkça ortaya konulmuştur (Howard ve Hussain, 2013).</w:t>
      </w:r>
    </w:p>
    <w:p w14:paraId="2FD9901A" w14:textId="77777777" w:rsidR="00E3302B" w:rsidRDefault="00E3302B" w:rsidP="002B6256">
      <w:pPr>
        <w:jc w:val="both"/>
      </w:pPr>
      <w:r w:rsidRPr="00204DBD">
        <w:lastRenderedPageBreak/>
        <w:t xml:space="preserve">Dijital çağ, aktivist hareketlerin işleyiş biçiminde bir devrim yaratarak sosyal yardım ve örgütlenme için benzeri görülmemiş fırsatlar sunarken aynı zamanda yeni zorluklar ve kaygılar da ortaya çıkarmış durumdadır. Yanlış bilginin yayılması ve yetkililer tarafından dijital gözetime maruz kalma riski, aktivistler için endişe yaratan unsurlar arasındadır. </w:t>
      </w:r>
      <w:proofErr w:type="spellStart"/>
      <w:r w:rsidRPr="00204DBD">
        <w:t>Morozov’a</w:t>
      </w:r>
      <w:proofErr w:type="spellEnd"/>
      <w:r w:rsidRPr="00204DBD">
        <w:t xml:space="preserve"> göre, zannettikleri kadar güvende olmayan aktivistler bilgi teknolojisine aşırı bağımlı oldukları taktirde hareketlerini zayıflatabilmektedirler (</w:t>
      </w:r>
      <w:proofErr w:type="spellStart"/>
      <w:r w:rsidRPr="00204DBD">
        <w:t>Morozov</w:t>
      </w:r>
      <w:proofErr w:type="spellEnd"/>
      <w:r w:rsidRPr="00204DBD">
        <w:t xml:space="preserve">, 2011). </w:t>
      </w:r>
    </w:p>
    <w:p w14:paraId="54BCB8FC" w14:textId="77777777" w:rsidR="000A70F0" w:rsidRPr="00204DBD" w:rsidRDefault="000A70F0" w:rsidP="002B6256">
      <w:pPr>
        <w:jc w:val="both"/>
      </w:pPr>
    </w:p>
    <w:p w14:paraId="487A1461" w14:textId="77777777" w:rsidR="00E3302B" w:rsidRPr="00204DBD" w:rsidRDefault="00E3302B" w:rsidP="002B6256">
      <w:pPr>
        <w:jc w:val="both"/>
        <w:rPr>
          <w:b/>
        </w:rPr>
      </w:pPr>
      <w:r w:rsidRPr="00204DBD">
        <w:rPr>
          <w:b/>
        </w:rPr>
        <w:t>2.7. Niş ve mikro topluluklar</w:t>
      </w:r>
    </w:p>
    <w:p w14:paraId="0E6CAC67" w14:textId="77777777" w:rsidR="00E3302B" w:rsidRDefault="00E3302B" w:rsidP="002B6256">
      <w:pPr>
        <w:jc w:val="both"/>
      </w:pPr>
      <w:r w:rsidRPr="00204DBD">
        <w:t>Niş ve mikro topluluklar, genellikle daha geniş ve genel topluluklardan ayrılarak, belirli bir konu hakkında derinlemesine bilgi ve deneyim paylaşımı yapmakta ve üyelerinin ortak ilgi alanları etrafında güçlü bağlar kurmalarını sağlamaktadır. Belirli ilgi alanlarına odaklanan bu küçük çevrim içi gruplar, daha geniş kitlelerden ayrılarak, ortak bir ilgi veya ihtiyaç etrafında bir araya geldikleri için hem bireyler hem de markalar için özgün fırsatlar ve aynı zamanda zorluklar yaratmaktadır (</w:t>
      </w:r>
      <w:proofErr w:type="spellStart"/>
      <w:r w:rsidRPr="00204DBD">
        <w:t>Wellman</w:t>
      </w:r>
      <w:proofErr w:type="spellEnd"/>
      <w:r w:rsidRPr="00204DBD">
        <w:t xml:space="preserve"> ve </w:t>
      </w:r>
      <w:proofErr w:type="spellStart"/>
      <w:r w:rsidRPr="00204DBD">
        <w:t>Gulia</w:t>
      </w:r>
      <w:proofErr w:type="spellEnd"/>
      <w:r w:rsidRPr="00204DBD">
        <w:t xml:space="preserve">, 1999; </w:t>
      </w:r>
      <w:proofErr w:type="spellStart"/>
      <w:r w:rsidRPr="00204DBD">
        <w:t>Rheingold</w:t>
      </w:r>
      <w:proofErr w:type="spellEnd"/>
      <w:r w:rsidRPr="00204DBD">
        <w:t xml:space="preserve">, 2000). </w:t>
      </w:r>
    </w:p>
    <w:p w14:paraId="188A46A8" w14:textId="77777777" w:rsidR="00254C59" w:rsidRPr="00204DBD" w:rsidRDefault="00254C59" w:rsidP="002B6256">
      <w:pPr>
        <w:jc w:val="both"/>
      </w:pPr>
    </w:p>
    <w:p w14:paraId="7A1E92C1" w14:textId="77777777" w:rsidR="00E3302B" w:rsidRDefault="00E3302B" w:rsidP="002B6256">
      <w:pPr>
        <w:jc w:val="both"/>
      </w:pPr>
      <w:r w:rsidRPr="00204DBD">
        <w:t xml:space="preserve">Daha küçük ama sosyal medyada oldukça etkileşimli takipçilere sahip olan mikro </w:t>
      </w:r>
      <w:proofErr w:type="spellStart"/>
      <w:r w:rsidRPr="00204DBD">
        <w:t>influencerlar</w:t>
      </w:r>
      <w:proofErr w:type="spellEnd"/>
      <w:r w:rsidRPr="00204DBD">
        <w:t xml:space="preserve">, niş toplulukların arkasındaki itici güç konumundadır. Kitlesel pazardaki benzerlerinin aksine, mikro </w:t>
      </w:r>
      <w:proofErr w:type="spellStart"/>
      <w:r w:rsidRPr="00204DBD">
        <w:t>influencerlar</w:t>
      </w:r>
      <w:proofErr w:type="spellEnd"/>
      <w:r w:rsidRPr="00204DBD">
        <w:t xml:space="preserve"> izleyicileriyle özgün bağlantılar kurma konusunda benzersiz bir yeteneğe sahiptir; daha küçük takipçi sayıları, anlamlı etkileşimlere ve genellikle daha büyük kampanyalarda eksik olan kişisel bağlantı hissine olanak tanımaktadır. Araştırmalar, mikro </w:t>
      </w:r>
      <w:proofErr w:type="spellStart"/>
      <w:r w:rsidRPr="00204DBD">
        <w:t>influencerların</w:t>
      </w:r>
      <w:proofErr w:type="spellEnd"/>
      <w:r w:rsidRPr="00204DBD">
        <w:t xml:space="preserve"> daha yüksek etkileşim elde ettiğini, bunun da genellikle daha etkili marka </w:t>
      </w:r>
      <w:proofErr w:type="gramStart"/>
      <w:r w:rsidRPr="00204DBD">
        <w:t>işbirliklerine</w:t>
      </w:r>
      <w:proofErr w:type="gramEnd"/>
      <w:r w:rsidRPr="00204DBD">
        <w:t xml:space="preserve"> ve daha yüksek dönüşüm oranlarına yol açtığını göstermektedir (</w:t>
      </w:r>
      <w:proofErr w:type="spellStart"/>
      <w:r w:rsidRPr="00204DBD">
        <w:t>Stinner</w:t>
      </w:r>
      <w:proofErr w:type="spellEnd"/>
      <w:r w:rsidRPr="00204DBD">
        <w:t xml:space="preserve">, 2023). Bunun nedeni, mikro </w:t>
      </w:r>
      <w:proofErr w:type="spellStart"/>
      <w:r w:rsidRPr="00204DBD">
        <w:t>influencerların</w:t>
      </w:r>
      <w:proofErr w:type="spellEnd"/>
      <w:r w:rsidRPr="00204DBD">
        <w:t xml:space="preserve"> sundukları markalar veya ürünler doğrultusunda nokta atışı yapmaları ve seslendikleri niş topluluklar aracılığıyla tam da doğru hedef kitleye ulaşabilmeleridir. Bu topluluklar, markaların hedef kitlelerine daha doğrudan ve etkili bir şekilde ulaşmasını sağlarken, belirli konularda derinlemesine bilgi paylaşımı yaparak üyelerinin bilgiye erişimini artırmaktadır (</w:t>
      </w:r>
      <w:proofErr w:type="spellStart"/>
      <w:r w:rsidRPr="00204DBD">
        <w:t>Muniz</w:t>
      </w:r>
      <w:proofErr w:type="spellEnd"/>
      <w:r w:rsidRPr="00204DBD">
        <w:t xml:space="preserve"> ve </w:t>
      </w:r>
      <w:proofErr w:type="spellStart"/>
      <w:r w:rsidRPr="00204DBD">
        <w:t>O’Guinn</w:t>
      </w:r>
      <w:proofErr w:type="spellEnd"/>
      <w:r w:rsidRPr="00204DBD">
        <w:t xml:space="preserve">, 2001). Belirli bir tema veya niş bir konu etrafında odaklanmış içerik oluşturup tüketen, yüksek düzeyde etkileşime sahip kullanıcı grupları olan mikro toplulukların sayıları özellikle </w:t>
      </w:r>
      <w:proofErr w:type="spellStart"/>
      <w:r w:rsidRPr="00204DBD">
        <w:t>TikTok’ta</w:t>
      </w:r>
      <w:proofErr w:type="spellEnd"/>
      <w:r w:rsidRPr="00204DBD">
        <w:t xml:space="preserve"> her gün, her farklı sektörde ve alanda hızla artmaktadır. Bu mikro topluluklardan bazıları arasında; finansal öneri ve ipuçları veren </w:t>
      </w:r>
      <w:proofErr w:type="spellStart"/>
      <w:r w:rsidRPr="00204DBD">
        <w:t>MoneyTok</w:t>
      </w:r>
      <w:proofErr w:type="spellEnd"/>
      <w:r w:rsidRPr="00204DBD">
        <w:t xml:space="preserve">, “kendin yap” projelerine ve tüyolara odaklanan </w:t>
      </w:r>
      <w:proofErr w:type="spellStart"/>
      <w:r w:rsidRPr="00204DBD">
        <w:t>DIYTok</w:t>
      </w:r>
      <w:proofErr w:type="spellEnd"/>
      <w:r w:rsidRPr="00204DBD">
        <w:t xml:space="preserve">, kitap ve literatür tavsiyelerinde bulunan </w:t>
      </w:r>
      <w:proofErr w:type="spellStart"/>
      <w:r w:rsidRPr="00204DBD">
        <w:t>BookTok</w:t>
      </w:r>
      <w:proofErr w:type="spellEnd"/>
      <w:r w:rsidRPr="00204DBD">
        <w:t xml:space="preserve">, ayrıca </w:t>
      </w:r>
      <w:proofErr w:type="spellStart"/>
      <w:r w:rsidRPr="00204DBD">
        <w:t>YogaTok</w:t>
      </w:r>
      <w:proofErr w:type="spellEnd"/>
      <w:r w:rsidRPr="00204DBD">
        <w:t xml:space="preserve">, </w:t>
      </w:r>
      <w:proofErr w:type="spellStart"/>
      <w:r w:rsidRPr="00204DBD">
        <w:t>SoloTravelTok</w:t>
      </w:r>
      <w:proofErr w:type="spellEnd"/>
      <w:r w:rsidRPr="00204DBD">
        <w:t xml:space="preserve">, </w:t>
      </w:r>
      <w:proofErr w:type="spellStart"/>
      <w:r w:rsidRPr="00204DBD">
        <w:t>VeganTok</w:t>
      </w:r>
      <w:proofErr w:type="spellEnd"/>
      <w:r w:rsidRPr="00204DBD">
        <w:t xml:space="preserve"> gibi hesaplar yer almaktadır. Tik Tok’ta dans, yemek pişirme, güzellik ve makyaj, seyahat ve spor, sağlık ve </w:t>
      </w:r>
      <w:proofErr w:type="spellStart"/>
      <w:r w:rsidRPr="00204DBD">
        <w:t>fitness</w:t>
      </w:r>
      <w:proofErr w:type="spellEnd"/>
      <w:r w:rsidRPr="00204DBD">
        <w:t xml:space="preserve"> gibi çok sayıda daha geniş kategori ve daha geniş toplulukları içinde barındıran birçok farklı mikro topluluk bulunmaktadır (</w:t>
      </w:r>
      <w:proofErr w:type="spellStart"/>
      <w:r w:rsidRPr="00204DBD">
        <w:t>Hynes</w:t>
      </w:r>
      <w:proofErr w:type="spellEnd"/>
      <w:r w:rsidRPr="00204DBD">
        <w:t>, 2024).</w:t>
      </w:r>
    </w:p>
    <w:p w14:paraId="340DCA42" w14:textId="77777777" w:rsidR="00254C59" w:rsidRPr="00204DBD" w:rsidRDefault="00254C59" w:rsidP="002B6256">
      <w:pPr>
        <w:jc w:val="both"/>
      </w:pPr>
    </w:p>
    <w:p w14:paraId="107A5D64" w14:textId="438A3A00" w:rsidR="00E3302B" w:rsidRDefault="00E3302B" w:rsidP="002B6256">
      <w:pPr>
        <w:jc w:val="both"/>
      </w:pPr>
      <w:r w:rsidRPr="00204DBD">
        <w:t>Dijital medya aynı zamanda özelleşmiş bilginin niş topluluklarda yayılmasını da kolaylaştırmaktadır. Niş konulara adanmış bloglar, podcastler ve YouTube kanalları, derinlemesine bilgi arayan meraklılar için değerli kaynaklar olarak hizmet vermektedir. Zaman zaman YouTube’daki videoların altına yazılan yorumlar da benzer ilgi alanlarına sahip olan kullanıcıları bir araya getirerek çeşitli alt kültür topluluklarının oluşmasını sağlamaktadır. Söz konusu medya metinleri aracılığıyla gerçekleşen tartışmalar gündelik kültürün, anlamın ve kimlik pratiğinin diğer alanlarına da yayılmakta, kültürel vatandaşlık eylemleri halini almaktadır (</w:t>
      </w:r>
      <w:proofErr w:type="spellStart"/>
      <w:r w:rsidRPr="00204DBD">
        <w:t>Burgess</w:t>
      </w:r>
      <w:proofErr w:type="spellEnd"/>
      <w:r w:rsidRPr="00204DBD">
        <w:t xml:space="preserve"> ve </w:t>
      </w:r>
      <w:proofErr w:type="spellStart"/>
      <w:r w:rsidRPr="00204DBD">
        <w:t>Green</w:t>
      </w:r>
      <w:proofErr w:type="spellEnd"/>
      <w:r w:rsidRPr="00204DBD">
        <w:t xml:space="preserve">, 2018). </w:t>
      </w:r>
    </w:p>
    <w:p w14:paraId="27E77990" w14:textId="77777777" w:rsidR="000A70F0" w:rsidRPr="00204DBD" w:rsidRDefault="000A70F0" w:rsidP="002B6256">
      <w:pPr>
        <w:jc w:val="both"/>
      </w:pPr>
    </w:p>
    <w:p w14:paraId="415D7D3A" w14:textId="77777777" w:rsidR="00E3302B" w:rsidRPr="00204DBD" w:rsidRDefault="00E3302B" w:rsidP="002B6256">
      <w:pPr>
        <w:jc w:val="both"/>
      </w:pPr>
      <w:r w:rsidRPr="00204DBD">
        <w:rPr>
          <w:b/>
        </w:rPr>
        <w:t>2.8. Katılımcı sözlükler ve bilgi paylaşım platformları</w:t>
      </w:r>
    </w:p>
    <w:p w14:paraId="3A99F7E2" w14:textId="77777777" w:rsidR="00E3302B" w:rsidRDefault="00E3302B" w:rsidP="002B6256">
      <w:pPr>
        <w:jc w:val="both"/>
      </w:pPr>
      <w:r w:rsidRPr="00204DBD">
        <w:t xml:space="preserve">Katılımcı sözlükler veya wiki toplulukları; çevrim içi bilgi paylaşımı ve üretiminin öncüsü olan, </w:t>
      </w:r>
      <w:r w:rsidRPr="00204DBD">
        <w:lastRenderedPageBreak/>
        <w:t xml:space="preserve">kullanıcıların içerik oluşturmasına, düzenlemesine ve paylaşmasına olanak tanıyan dijital topluluklardır. Bu topluluklar, bilgi üretim süreçlerinde demokratikleşmeyi temsil eden, gönüllü katkılarla geniş bir bilgi havuzu oluşturan, </w:t>
      </w:r>
      <w:proofErr w:type="gramStart"/>
      <w:r w:rsidRPr="00204DBD">
        <w:t>işbirliğine</w:t>
      </w:r>
      <w:proofErr w:type="gramEnd"/>
      <w:r w:rsidRPr="00204DBD">
        <w:t xml:space="preserve"> dayalı bir yapıya sahiptir. Kullanıcıların içerik ekleyip düzenlediği ve geri bildirimde bulunabildiği bu model, bilgilerin sürekli güncellenmesine ve genişletilmesine olanak sağlamaktadır (</w:t>
      </w:r>
      <w:proofErr w:type="spellStart"/>
      <w:r w:rsidRPr="00204DBD">
        <w:t>Leuf</w:t>
      </w:r>
      <w:proofErr w:type="spellEnd"/>
      <w:r w:rsidRPr="00204DBD">
        <w:t xml:space="preserve"> ve Cunningham, 2001; </w:t>
      </w:r>
      <w:proofErr w:type="spellStart"/>
      <w:r w:rsidRPr="00204DBD">
        <w:t>Fallis</w:t>
      </w:r>
      <w:proofErr w:type="spellEnd"/>
      <w:r w:rsidRPr="00204DBD">
        <w:t xml:space="preserve">, 2008; Ford ve </w:t>
      </w:r>
      <w:proofErr w:type="spellStart"/>
      <w:r w:rsidRPr="00204DBD">
        <w:t>Wajcman</w:t>
      </w:r>
      <w:proofErr w:type="spellEnd"/>
      <w:r w:rsidRPr="00204DBD">
        <w:t xml:space="preserve">, 2017; </w:t>
      </w:r>
      <w:proofErr w:type="spellStart"/>
      <w:r w:rsidRPr="00204DBD">
        <w:t>Konieczny</w:t>
      </w:r>
      <w:proofErr w:type="spellEnd"/>
      <w:r w:rsidRPr="00204DBD">
        <w:t>, 2018). Topluluk yöneticileri, içerik kalitesini sağlamak ve topluluk içindeki etkileşimleri yönetmek için çeşitli stratejiler uygulamaktadır. Ayrıca, anonim katkılar ve tarafsızlık sorunları, yönetim sürecinin önemli bir parçasıdır (</w:t>
      </w:r>
      <w:proofErr w:type="spellStart"/>
      <w:r w:rsidRPr="00204DBD">
        <w:t>Giles</w:t>
      </w:r>
      <w:proofErr w:type="spellEnd"/>
      <w:r w:rsidRPr="00204DBD">
        <w:t>, 2005). Bu gibi oluşumlarda kaynak gösterme ve referans ekleme zorunluluğu, bilgilerin doğruluğunu artırmada önemli bir rol oynamaktadır (</w:t>
      </w:r>
      <w:proofErr w:type="spellStart"/>
      <w:r w:rsidRPr="00204DBD">
        <w:t>Mesgari</w:t>
      </w:r>
      <w:proofErr w:type="spellEnd"/>
      <w:r w:rsidRPr="00204DBD">
        <w:t xml:space="preserve"> vd., 2015). Kullanıcıların dünya çapında bilgi paylaşmasını ve düzenlemesini sağlayan en büyük wiki platformu olan Wikipedia, çok sayıda dilde içerik sunmaktadır (</w:t>
      </w:r>
      <w:proofErr w:type="spellStart"/>
      <w:r w:rsidRPr="00204DBD">
        <w:t>Kittur</w:t>
      </w:r>
      <w:proofErr w:type="spellEnd"/>
      <w:r w:rsidRPr="00204DBD">
        <w:t xml:space="preserve"> vd., 2007). </w:t>
      </w:r>
      <w:proofErr w:type="spellStart"/>
      <w:r w:rsidRPr="00204DBD">
        <w:t>Lih’e</w:t>
      </w:r>
      <w:proofErr w:type="spellEnd"/>
      <w:r w:rsidRPr="00204DBD">
        <w:t xml:space="preserve"> göre; Wikipedia, kullanıcılara dünya çapında çeşitli konularda makale yazma ve düzenleme imkânı sunarak, </w:t>
      </w:r>
      <w:proofErr w:type="gramStart"/>
      <w:r w:rsidRPr="00204DBD">
        <w:t>işbirliği</w:t>
      </w:r>
      <w:proofErr w:type="gramEnd"/>
      <w:r w:rsidRPr="00204DBD">
        <w:t xml:space="preserve"> yapmayı ve bilgi paylaşımını daha önce görülmemiş bir seviyeye taşımış ve yeni bir işbirliği modeli yaratmıştır. Bu </w:t>
      </w:r>
      <w:proofErr w:type="gramStart"/>
      <w:r w:rsidRPr="00204DBD">
        <w:t>işbirliği</w:t>
      </w:r>
      <w:proofErr w:type="gramEnd"/>
      <w:r w:rsidRPr="00204DBD">
        <w:t xml:space="preserve"> modeli, Wikipedia’yı dijital çağda benzersiz ve etkili bir kaynak haline getirmiş durumdadır (</w:t>
      </w:r>
      <w:proofErr w:type="spellStart"/>
      <w:r w:rsidRPr="00204DBD">
        <w:t>Lih</w:t>
      </w:r>
      <w:proofErr w:type="spellEnd"/>
      <w:r w:rsidRPr="00204DBD">
        <w:t xml:space="preserve">, 2011). En ünlü wikilerden biri olan </w:t>
      </w:r>
      <w:proofErr w:type="spellStart"/>
      <w:r w:rsidRPr="00204DBD">
        <w:t>Wikihow</w:t>
      </w:r>
      <w:proofErr w:type="spellEnd"/>
      <w:r w:rsidRPr="00204DBD">
        <w:t xml:space="preserve"> ise kullanıcılara “nasıl yapılır” başlığı altında farklı konularında ayrıntılı talimatlar sunan bir wiki platformudur. Kullanıcılar, çeşitli konular hakkında adım adım kılavuzlar oluşturarak paylaşır (</w:t>
      </w:r>
      <w:proofErr w:type="spellStart"/>
      <w:r w:rsidRPr="00204DBD">
        <w:t>Dahlberg</w:t>
      </w:r>
      <w:proofErr w:type="spellEnd"/>
      <w:r w:rsidRPr="00204DBD">
        <w:t xml:space="preserve"> ve </w:t>
      </w:r>
      <w:proofErr w:type="spellStart"/>
      <w:r w:rsidRPr="00204DBD">
        <w:t>Phelan</w:t>
      </w:r>
      <w:proofErr w:type="spellEnd"/>
      <w:r w:rsidRPr="00204DBD">
        <w:t xml:space="preserve">, 2016). </w:t>
      </w:r>
      <w:proofErr w:type="spellStart"/>
      <w:r w:rsidRPr="00204DBD">
        <w:t>Baike</w:t>
      </w:r>
      <w:proofErr w:type="spellEnd"/>
      <w:r w:rsidRPr="00204DBD">
        <w:t xml:space="preserve"> ise Çin’de popüler olan bir çevrim içi ansiklopedi platformudur. </w:t>
      </w:r>
      <w:proofErr w:type="spellStart"/>
      <w:r w:rsidRPr="00204DBD">
        <w:t>Baidu</w:t>
      </w:r>
      <w:proofErr w:type="spellEnd"/>
      <w:r w:rsidRPr="00204DBD">
        <w:t xml:space="preserve"> </w:t>
      </w:r>
      <w:proofErr w:type="spellStart"/>
      <w:r w:rsidRPr="00204DBD">
        <w:t>Baike’de</w:t>
      </w:r>
      <w:proofErr w:type="spellEnd"/>
      <w:r w:rsidRPr="00204DBD">
        <w:t xml:space="preserve"> farklı kategorilerdeki bilimsel girdilerden oluşan bir “Bilim Bölümü” de bulunmaktadır. Bu bilimsel girdiler kullanıcılar tarafından oluşturulur; bilimsel ve güvenilir kalmaları için uzmanlar tarafından incelendikten veya değiştirildikten sonra kilitlenir. Uzmanlar gerçek isimleri ve bağlı oldukları kurumlar ile platforma katkıda bulunmaktadırlar (Cheng ve Dong, 2018). Urban Dictionary, 400.000’den fazla benzersiz başlık için bir milyondan fazla tanımdan oluşan bir katılımcı sözlüktür. 2000 yılında o zamanın üniversite öğrencisi Aaron </w:t>
      </w:r>
      <w:proofErr w:type="spellStart"/>
      <w:r w:rsidRPr="00204DBD">
        <w:t>Peckman</w:t>
      </w:r>
      <w:proofErr w:type="spellEnd"/>
      <w:r w:rsidRPr="00204DBD">
        <w:t xml:space="preserve"> tarafından yaratılan bu argo sözlüğü, aslında ilk başta </w:t>
      </w:r>
      <w:proofErr w:type="spellStart"/>
      <w:r w:rsidRPr="00204DBD">
        <w:t>dictionary.com’un</w:t>
      </w:r>
      <w:proofErr w:type="spellEnd"/>
      <w:r w:rsidRPr="00204DBD">
        <w:t xml:space="preserve"> parodisi olarak ortaya çıkmıştır. Kullanıcılar, insanların dili günlük hayatta nasıl kullandığını anlamak için bu siteyi ziyaret etmekte ve elde ettikleri bilgiyi de çoğu zaman güvenilir ve yetkin bulmaktadır (</w:t>
      </w:r>
      <w:proofErr w:type="spellStart"/>
      <w:r w:rsidRPr="00204DBD">
        <w:t>Damaso</w:t>
      </w:r>
      <w:proofErr w:type="spellEnd"/>
      <w:r w:rsidRPr="00204DBD">
        <w:t xml:space="preserve"> ve </w:t>
      </w:r>
      <w:proofErr w:type="spellStart"/>
      <w:r w:rsidRPr="00204DBD">
        <w:t>Cotter</w:t>
      </w:r>
      <w:proofErr w:type="spellEnd"/>
      <w:r w:rsidRPr="00204DBD">
        <w:t xml:space="preserve">, 2007). </w:t>
      </w:r>
    </w:p>
    <w:p w14:paraId="135BBEA8" w14:textId="77777777" w:rsidR="00254C59" w:rsidRPr="00204DBD" w:rsidRDefault="00254C59" w:rsidP="002B6256">
      <w:pPr>
        <w:jc w:val="both"/>
      </w:pPr>
    </w:p>
    <w:p w14:paraId="3FC75C76" w14:textId="77777777" w:rsidR="00E3302B" w:rsidRDefault="00E3302B" w:rsidP="002B6256">
      <w:pPr>
        <w:jc w:val="both"/>
        <w:rPr>
          <w:highlight w:val="white"/>
        </w:rPr>
      </w:pPr>
      <w:r w:rsidRPr="00204DBD">
        <w:t xml:space="preserve">       Türkiye’nin en çok takip edilen katılımcı sözlük uygulaması ise 1999 yılından bu yana faaliyet gösteren; çeşitli sözcük, terim, kavram ve kişilere ilişkin bilgi, deneyim, gözlem, espri, yorum, anket, link ve kaynak içeren interaktif bir platform ve veri tabanı olarak hizmet veren Ekşi Sözlük sitesidir (Gürel ve Yakın, 2013). </w:t>
      </w:r>
      <w:r w:rsidRPr="00204DBD">
        <w:rPr>
          <w:i/>
          <w:highlight w:val="white"/>
        </w:rPr>
        <w:t>“Kurulduğu günden bu yana herkesin bilgiye rahatça erişmesini sağlamayı amaçlayan şeffaf bir platform”</w:t>
      </w:r>
      <w:r w:rsidRPr="00204DBD">
        <w:rPr>
          <w:highlight w:val="white"/>
        </w:rPr>
        <w:t xml:space="preserve"> olarak tanımlanan ekşi </w:t>
      </w:r>
      <w:proofErr w:type="spellStart"/>
      <w:r w:rsidRPr="00204DBD">
        <w:rPr>
          <w:highlight w:val="white"/>
        </w:rPr>
        <w:t>sözlük’te</w:t>
      </w:r>
      <w:proofErr w:type="spellEnd"/>
      <w:r w:rsidRPr="00204DBD">
        <w:rPr>
          <w:highlight w:val="white"/>
        </w:rPr>
        <w:t xml:space="preserve"> kullanıcıların yazdığı içerikler (</w:t>
      </w:r>
      <w:proofErr w:type="spellStart"/>
      <w:r w:rsidRPr="00204DBD">
        <w:rPr>
          <w:highlight w:val="white"/>
        </w:rPr>
        <w:t>entry’ler</w:t>
      </w:r>
      <w:proofErr w:type="spellEnd"/>
      <w:r w:rsidRPr="00204DBD">
        <w:rPr>
          <w:highlight w:val="white"/>
        </w:rPr>
        <w:t xml:space="preserve">) yanında gizlilik politikasında belirtilen birtakım başka verilere ekşi sözlük ziyaretçileri tarafından da serbestçe erişim sağlanabilmektedir. Sitede belirtilen kurallara göre; </w:t>
      </w:r>
      <w:r w:rsidRPr="00204DBD">
        <w:rPr>
          <w:i/>
          <w:highlight w:val="white"/>
        </w:rPr>
        <w:t xml:space="preserve">“intihara yönlendirme, çocukların cinsel istismarı, uyuşturucu veya uyarıcı madde kullanılmasını kolaylaştırma, sağlık için tehlikeli madde temini, müstehcenlik, fuhuş, kumar oynanması için yer ve imkân sağlama, 5816 sayılı </w:t>
      </w:r>
      <w:proofErr w:type="spellStart"/>
      <w:r w:rsidRPr="00204DBD">
        <w:rPr>
          <w:i/>
          <w:highlight w:val="white"/>
        </w:rPr>
        <w:t>atatürk</w:t>
      </w:r>
      <w:proofErr w:type="spellEnd"/>
      <w:r w:rsidRPr="00204DBD">
        <w:rPr>
          <w:i/>
          <w:highlight w:val="white"/>
        </w:rPr>
        <w:t xml:space="preserve"> aleyhine işlenen suçlar hakkında </w:t>
      </w:r>
      <w:proofErr w:type="spellStart"/>
      <w:r w:rsidRPr="00204DBD">
        <w:rPr>
          <w:i/>
          <w:highlight w:val="white"/>
        </w:rPr>
        <w:t>kanun'da</w:t>
      </w:r>
      <w:proofErr w:type="spellEnd"/>
      <w:r w:rsidRPr="00204DBD">
        <w:rPr>
          <w:i/>
          <w:highlight w:val="white"/>
        </w:rPr>
        <w:t xml:space="preserve"> yer alan suçlar, 7258 sayılı futbol ve diğer spor müsabakalarında bahis ve şans oyunları düzenlenmesi hakkında kanunda yer alan suçlar, yaşam hakkı ile kişilerin can ve mal güvenliğinin korunması, millî güvenlik ve kamu düzeninin korunması, suç işlenmesinin önlenmesi, genel sağlığın korunması, kişilik haklarının ihlal edilmesi (5651 sayılı </w:t>
      </w:r>
      <w:proofErr w:type="spellStart"/>
      <w:r w:rsidRPr="00204DBD">
        <w:rPr>
          <w:i/>
          <w:highlight w:val="white"/>
        </w:rPr>
        <w:t>kanun’un</w:t>
      </w:r>
      <w:proofErr w:type="spellEnd"/>
      <w:r w:rsidRPr="00204DBD">
        <w:rPr>
          <w:i/>
          <w:highlight w:val="white"/>
        </w:rPr>
        <w:t xml:space="preserve"> 9. maddesi), özel hayatın gizliliğinin ihlal edilmesi (5651 sayılı </w:t>
      </w:r>
      <w:proofErr w:type="spellStart"/>
      <w:r w:rsidRPr="00204DBD">
        <w:rPr>
          <w:i/>
          <w:highlight w:val="white"/>
        </w:rPr>
        <w:t>kanun’un</w:t>
      </w:r>
      <w:proofErr w:type="spellEnd"/>
      <w:r w:rsidRPr="00204DBD">
        <w:rPr>
          <w:i/>
          <w:highlight w:val="white"/>
        </w:rPr>
        <w:t xml:space="preserve"> 9/a maddesi), 5846 sayılı fikir ve sanat eserleri kanunu (“</w:t>
      </w:r>
      <w:proofErr w:type="spellStart"/>
      <w:r w:rsidRPr="00204DBD">
        <w:rPr>
          <w:i/>
          <w:highlight w:val="white"/>
        </w:rPr>
        <w:t>fsek</w:t>
      </w:r>
      <w:proofErr w:type="spellEnd"/>
      <w:r w:rsidRPr="00204DBD">
        <w:rPr>
          <w:i/>
          <w:highlight w:val="white"/>
        </w:rPr>
        <w:t>”) kapsamında telif haklarının ihlal edilmesi (</w:t>
      </w:r>
      <w:proofErr w:type="spellStart"/>
      <w:r w:rsidRPr="00204DBD">
        <w:rPr>
          <w:i/>
          <w:highlight w:val="white"/>
        </w:rPr>
        <w:t>fsek</w:t>
      </w:r>
      <w:proofErr w:type="spellEnd"/>
      <w:r w:rsidRPr="00204DBD">
        <w:rPr>
          <w:i/>
          <w:highlight w:val="white"/>
        </w:rPr>
        <w:t xml:space="preserve"> ek madde 4), </w:t>
      </w:r>
      <w:proofErr w:type="spellStart"/>
      <w:r w:rsidRPr="00204DBD">
        <w:rPr>
          <w:i/>
          <w:highlight w:val="white"/>
        </w:rPr>
        <w:t>islam</w:t>
      </w:r>
      <w:proofErr w:type="spellEnd"/>
      <w:r w:rsidRPr="00204DBD">
        <w:rPr>
          <w:i/>
          <w:highlight w:val="white"/>
        </w:rPr>
        <w:t xml:space="preserve"> dininin temel nitelikleri açısından sakıncalı olduğu din işleri yüksek kurulu </w:t>
      </w:r>
      <w:r w:rsidRPr="00204DBD">
        <w:rPr>
          <w:i/>
          <w:highlight w:val="white"/>
        </w:rPr>
        <w:lastRenderedPageBreak/>
        <w:t xml:space="preserve">tarafından tespit edilen meallerin yayını (633 sayılı diyanet işleri başkanlığı kuruluş ve görevleri hakkında </w:t>
      </w:r>
      <w:proofErr w:type="spellStart"/>
      <w:r w:rsidRPr="00204DBD">
        <w:rPr>
          <w:i/>
          <w:highlight w:val="white"/>
        </w:rPr>
        <w:t>kanun’un</w:t>
      </w:r>
      <w:proofErr w:type="spellEnd"/>
      <w:r w:rsidRPr="00204DBD">
        <w:rPr>
          <w:i/>
          <w:highlight w:val="white"/>
        </w:rPr>
        <w:t xml:space="preserve"> 5. maddesi), 1262 sayılı ispençiyari ve tıbbi müstahzarlar kanunu (“1262” sayılı kanun) kapsamında tanıtım veya satış yasağının ihlal edilmesi (1262 sayılı </w:t>
      </w:r>
      <w:proofErr w:type="spellStart"/>
      <w:r w:rsidRPr="00204DBD">
        <w:rPr>
          <w:i/>
          <w:highlight w:val="white"/>
        </w:rPr>
        <w:t>kanun’un</w:t>
      </w:r>
      <w:proofErr w:type="spellEnd"/>
      <w:r w:rsidRPr="00204DBD">
        <w:rPr>
          <w:i/>
          <w:highlight w:val="white"/>
        </w:rPr>
        <w:t xml:space="preserve"> 18. maddesi) ve yürürlükteki kanunlarda yer alan benzeri özel düzenlemeler”,</w:t>
      </w:r>
      <w:r w:rsidRPr="00204DBD">
        <w:rPr>
          <w:highlight w:val="white"/>
        </w:rPr>
        <w:t xml:space="preserve"> içeriklerin çıkarılması ve/veya erişimin engellenmesi kararına yol açabilmektedir (Ekşi Sözlük). </w:t>
      </w:r>
    </w:p>
    <w:p w14:paraId="4742DCF8" w14:textId="77777777" w:rsidR="00254C59" w:rsidRPr="00204DBD" w:rsidRDefault="00254C59" w:rsidP="002B6256">
      <w:pPr>
        <w:jc w:val="both"/>
        <w:rPr>
          <w:highlight w:val="white"/>
        </w:rPr>
      </w:pPr>
    </w:p>
    <w:p w14:paraId="5E330005" w14:textId="77777777" w:rsidR="00E3302B" w:rsidRDefault="00E3302B" w:rsidP="002B6256">
      <w:pPr>
        <w:jc w:val="both"/>
      </w:pPr>
      <w:r w:rsidRPr="00204DBD">
        <w:rPr>
          <w:highlight w:val="white"/>
        </w:rPr>
        <w:t xml:space="preserve">2022 yılı istatistiklerine göre; web, </w:t>
      </w:r>
      <w:proofErr w:type="spellStart"/>
      <w:r w:rsidRPr="00204DBD">
        <w:rPr>
          <w:highlight w:val="white"/>
        </w:rPr>
        <w:t>android</w:t>
      </w:r>
      <w:proofErr w:type="spellEnd"/>
      <w:r w:rsidRPr="00204DBD">
        <w:rPr>
          <w:highlight w:val="white"/>
        </w:rPr>
        <w:t xml:space="preserve"> ve </w:t>
      </w:r>
      <w:proofErr w:type="spellStart"/>
      <w:r w:rsidRPr="00204DBD">
        <w:rPr>
          <w:highlight w:val="white"/>
        </w:rPr>
        <w:t>ios</w:t>
      </w:r>
      <w:proofErr w:type="spellEnd"/>
      <w:r w:rsidRPr="00204DBD">
        <w:rPr>
          <w:highlight w:val="white"/>
        </w:rPr>
        <w:t xml:space="preserve"> üzerinden toplam 363 milyonun üzerinde farklı kişi 8,1 milyarı aşkın sayfa görüntülenmiştir (Ekşi Sözlük). İsimlerin tarihi ve etimolojik kaynakları üzerinde duran </w:t>
      </w:r>
      <w:proofErr w:type="spellStart"/>
      <w:r w:rsidRPr="00204DBD">
        <w:rPr>
          <w:highlight w:val="white"/>
        </w:rPr>
        <w:t>Nişanyan</w:t>
      </w:r>
      <w:proofErr w:type="spellEnd"/>
      <w:r w:rsidRPr="00204DBD">
        <w:rPr>
          <w:highlight w:val="white"/>
        </w:rPr>
        <w:t xml:space="preserve"> Sözlük ve daha çok adını taşıyan üniversitelerin öğrenci ve mezunları tarafından kullanılan sözlükler (Uludağ Sözlük, İTÜ Sözlük, vs.), daha çok Galatasaray Kulübü taraftarlarının kullandığı Galatasaray Sözlük de Türkiye'de geniş kullanıcı sayısına sahip olan sözlük platformları arasındadır.</w:t>
      </w:r>
    </w:p>
    <w:p w14:paraId="1254E858" w14:textId="77777777" w:rsidR="000A70F0" w:rsidRPr="00204DBD" w:rsidRDefault="000A70F0" w:rsidP="002B6256">
      <w:pPr>
        <w:jc w:val="both"/>
      </w:pPr>
    </w:p>
    <w:p w14:paraId="6594A1E5" w14:textId="77777777" w:rsidR="00E3302B" w:rsidRPr="00204DBD" w:rsidRDefault="00E3302B" w:rsidP="002B6256">
      <w:pPr>
        <w:jc w:val="both"/>
        <w:rPr>
          <w:b/>
        </w:rPr>
      </w:pPr>
      <w:r w:rsidRPr="00204DBD">
        <w:rPr>
          <w:b/>
        </w:rPr>
        <w:t>2.9. Forumlar ve tartışma panoları</w:t>
      </w:r>
    </w:p>
    <w:p w14:paraId="1213C57B" w14:textId="4BDB9523" w:rsidR="00E3302B" w:rsidRDefault="00E3302B" w:rsidP="002B6256">
      <w:pPr>
        <w:jc w:val="both"/>
      </w:pPr>
      <w:r w:rsidRPr="00204DBD">
        <w:t xml:space="preserve">Forumlar ve tartışma panolarından oluşan platformlar kullanıcıların çok çeşitli konularda tartışmalara katıldığı topluluklara ev sahipliği yapmaktadır. En fazla öne çıkanları </w:t>
      </w:r>
      <w:proofErr w:type="spellStart"/>
      <w:r w:rsidRPr="00204DBD">
        <w:t>Reddit</w:t>
      </w:r>
      <w:proofErr w:type="spellEnd"/>
      <w:r w:rsidRPr="00204DBD">
        <w:t xml:space="preserve"> ve </w:t>
      </w:r>
      <w:proofErr w:type="spellStart"/>
      <w:r w:rsidRPr="00204DBD">
        <w:t>Quora’dır</w:t>
      </w:r>
      <w:proofErr w:type="spellEnd"/>
      <w:r w:rsidRPr="00204DBD">
        <w:t xml:space="preserve">. </w:t>
      </w:r>
      <w:proofErr w:type="spellStart"/>
      <w:r w:rsidRPr="00204DBD">
        <w:t>Reddit</w:t>
      </w:r>
      <w:proofErr w:type="spellEnd"/>
      <w:r w:rsidRPr="00204DBD">
        <w:t xml:space="preserve">, kullanıcılara içerik paylaşabilecekleri ve farklı konu başlıklarını alt dizinlerde tartışabilecekleri geniş bir forum koleksiyonu sunmaktadır. Kullanıcılar, geniş bir konu yelpazesi hakkında tartışmalar yapabilir, içerik paylaşabilir ve diğer kullanıcılarla etkileşimde bulunabilir. </w:t>
      </w:r>
      <w:proofErr w:type="spellStart"/>
      <w:r w:rsidRPr="00204DBD">
        <w:t>Subreddits</w:t>
      </w:r>
      <w:proofErr w:type="spellEnd"/>
      <w:r w:rsidRPr="00204DBD">
        <w:t xml:space="preserve"> (alt başlıklar), kullanıcıların belirli ilgi alanlarına yönelik topluluklar oluşturmasına ve bu topluluklarda bilgi ve deneyim alışverişinde bulunmasına olanak tanımaktadır. </w:t>
      </w:r>
      <w:proofErr w:type="spellStart"/>
      <w:r w:rsidRPr="00204DBD">
        <w:t>Reddit’in</w:t>
      </w:r>
      <w:proofErr w:type="spellEnd"/>
      <w:r w:rsidRPr="00204DBD">
        <w:t xml:space="preserve"> sağladığı anonimlik ve </w:t>
      </w:r>
      <w:proofErr w:type="spellStart"/>
      <w:r w:rsidRPr="00204DBD">
        <w:t>moderasyon</w:t>
      </w:r>
      <w:proofErr w:type="spellEnd"/>
      <w:r w:rsidRPr="00204DBD">
        <w:t xml:space="preserve"> sistemleri, kullanıcı etkileşimlerinin şeklini ve topluluk dinamiklerini önemli ölçüde etkilemektedir. </w:t>
      </w:r>
      <w:proofErr w:type="spellStart"/>
      <w:r w:rsidRPr="00204DBD">
        <w:t>Quora</w:t>
      </w:r>
      <w:proofErr w:type="spellEnd"/>
      <w:r w:rsidRPr="00204DBD">
        <w:t xml:space="preserve"> ise kullanıcıların sorular sormasına ve yanıt almasına olanak tanıyan bir platformdur. </w:t>
      </w:r>
      <w:proofErr w:type="spellStart"/>
      <w:r w:rsidRPr="00204DBD">
        <w:t>Quora'nın</w:t>
      </w:r>
      <w:proofErr w:type="spellEnd"/>
      <w:r w:rsidRPr="00204DBD">
        <w:t xml:space="preserve"> kullanıcıları, alanında uzman kişilerden bilgi alarak bu enformasyonu çeşitli açılardan değerlendirebilmektedir (</w:t>
      </w:r>
      <w:proofErr w:type="spellStart"/>
      <w:r w:rsidRPr="00204DBD">
        <w:t>Kabashi</w:t>
      </w:r>
      <w:proofErr w:type="spellEnd"/>
      <w:r w:rsidRPr="00204DBD">
        <w:t xml:space="preserve">, 2024). Türkiye’de popüler olan forum ve tartışma platformları arasında </w:t>
      </w:r>
      <w:proofErr w:type="spellStart"/>
      <w:r w:rsidRPr="00204DBD">
        <w:t>KızlarSoruyor</w:t>
      </w:r>
      <w:proofErr w:type="spellEnd"/>
      <w:r w:rsidRPr="00204DBD">
        <w:t xml:space="preserve">, </w:t>
      </w:r>
      <w:proofErr w:type="spellStart"/>
      <w:r w:rsidRPr="00204DBD">
        <w:t>DonanımHaber</w:t>
      </w:r>
      <w:proofErr w:type="spellEnd"/>
      <w:r w:rsidRPr="00204DBD">
        <w:t xml:space="preserve">, </w:t>
      </w:r>
      <w:proofErr w:type="spellStart"/>
      <w:r w:rsidRPr="00204DBD">
        <w:t>Technopat</w:t>
      </w:r>
      <w:proofErr w:type="spellEnd"/>
      <w:r w:rsidRPr="00204DBD">
        <w:t xml:space="preserve"> Sosyal, Kadınlar Kulübü, ShiftDelete.Net Forum gibi siteler başı çekmektedir.</w:t>
      </w:r>
    </w:p>
    <w:p w14:paraId="7A1D9231" w14:textId="77777777" w:rsidR="00254C59" w:rsidRPr="00204DBD" w:rsidRDefault="00254C59" w:rsidP="002B6256">
      <w:pPr>
        <w:jc w:val="both"/>
      </w:pPr>
    </w:p>
    <w:p w14:paraId="1B8BB9C1" w14:textId="77777777" w:rsidR="00E3302B" w:rsidRDefault="00E3302B" w:rsidP="002B6256">
      <w:pPr>
        <w:jc w:val="both"/>
      </w:pPr>
      <w:r w:rsidRPr="00204DBD">
        <w:t xml:space="preserve">  Çoğu çevrim içi toplulukta çok sayıda gizlenen kullanıcı (</w:t>
      </w:r>
      <w:proofErr w:type="spellStart"/>
      <w:r w:rsidRPr="00204DBD">
        <w:t>lurkers</w:t>
      </w:r>
      <w:proofErr w:type="spellEnd"/>
      <w:r w:rsidRPr="00204DBD">
        <w:t>) vardır. Bu kişiler içeriği okuyarak ve tüketerek topluluğa katılırlar ancak topluluğa hiçbir zaman katkıda bulunmazlar veya resmi olarak katılmazlar (</w:t>
      </w:r>
      <w:proofErr w:type="spellStart"/>
      <w:r w:rsidRPr="00204DBD">
        <w:t>Nonnecke</w:t>
      </w:r>
      <w:proofErr w:type="spellEnd"/>
      <w:r w:rsidRPr="00204DBD">
        <w:t xml:space="preserve"> ve Jenny </w:t>
      </w:r>
      <w:proofErr w:type="spellStart"/>
      <w:r w:rsidRPr="00204DBD">
        <w:t>Preece</w:t>
      </w:r>
      <w:proofErr w:type="spellEnd"/>
      <w:r w:rsidRPr="00204DBD">
        <w:t xml:space="preserve">, 2003). </w:t>
      </w:r>
      <w:proofErr w:type="spellStart"/>
      <w:r w:rsidRPr="00204DBD">
        <w:t>Panek</w:t>
      </w:r>
      <w:proofErr w:type="spellEnd"/>
      <w:r w:rsidRPr="00204DBD">
        <w:t xml:space="preserve"> ve diğerlerine göre, popüler katılımcı web siteleri üç farklı gözlemlenebilir grup dinamiği üretmektedir. “Topluluk dinamiği” olarak adlandırılan ilk dinamikte birçok kullanıcı, uzun bir süre boyunca söyleme aktif olarak katkıda bulunmaktadır. “Yaratıcı/izleyici dinamiği” olarak adlandırılan başka bir dinamikte, çok daha büyük bir kullanıcı grubunun tüketmesi için içeriğin çoğunu az sayıda kullanıcı oluştururken, “kalabalık dinamiği” olarak </w:t>
      </w:r>
      <w:proofErr w:type="gramStart"/>
      <w:r w:rsidRPr="00204DBD">
        <w:t>adlandırılan  üçüncü</w:t>
      </w:r>
      <w:proofErr w:type="gramEnd"/>
      <w:r w:rsidRPr="00204DBD">
        <w:t xml:space="preserve"> dinamikte ise birçok kullanıcı kendi yoluna gitmeden önce nispeten kısa bir süre paylaşımlara katkıda bulunmaktadır (</w:t>
      </w:r>
      <w:proofErr w:type="spellStart"/>
      <w:r w:rsidRPr="00204DBD">
        <w:t>Panek</w:t>
      </w:r>
      <w:proofErr w:type="spellEnd"/>
      <w:r w:rsidRPr="00204DBD">
        <w:t xml:space="preserve"> vd., 2018). </w:t>
      </w:r>
    </w:p>
    <w:p w14:paraId="18A84760" w14:textId="77777777" w:rsidR="00254C59" w:rsidRPr="00204DBD" w:rsidRDefault="00254C59" w:rsidP="002B6256">
      <w:pPr>
        <w:jc w:val="both"/>
      </w:pPr>
    </w:p>
    <w:p w14:paraId="5A61F22F" w14:textId="77777777" w:rsidR="00E3302B" w:rsidRDefault="00E3302B" w:rsidP="002B6256">
      <w:pPr>
        <w:jc w:val="both"/>
      </w:pPr>
      <w:r w:rsidRPr="00204DBD">
        <w:t>Söz konusu forumlar ve tartışma grupları çeşitli psikolojik ve fiziksel rahatsızlıklar ya da bağımlılıklarda sanal destek grubu işlevi de görebilmektedir. Ancak çevrim içi platformlarda paylaşılan bilgilerin doğruluğu her zaman garanti edilemeyeceği için yanlış bilgi ve paylaşımlar, üyelerin sağlığını ve refahını olumsuz yönde etkileyebilmektedir (</w:t>
      </w:r>
      <w:proofErr w:type="spellStart"/>
      <w:r w:rsidRPr="00204DBD">
        <w:t>Coulson</w:t>
      </w:r>
      <w:proofErr w:type="spellEnd"/>
      <w:r w:rsidRPr="00204DBD">
        <w:t>, 2005).</w:t>
      </w:r>
    </w:p>
    <w:p w14:paraId="786B7799" w14:textId="77777777" w:rsidR="000A70F0" w:rsidRPr="00204DBD" w:rsidRDefault="000A70F0" w:rsidP="002B6256">
      <w:pPr>
        <w:jc w:val="both"/>
      </w:pPr>
    </w:p>
    <w:p w14:paraId="7A94E371" w14:textId="77777777" w:rsidR="00E3302B" w:rsidRPr="00204DBD" w:rsidRDefault="00E3302B" w:rsidP="002B6256">
      <w:pPr>
        <w:jc w:val="both"/>
        <w:rPr>
          <w:b/>
        </w:rPr>
      </w:pPr>
      <w:r w:rsidRPr="00204DBD">
        <w:rPr>
          <w:b/>
        </w:rPr>
        <w:t>2.10. Eğitim toplulukları</w:t>
      </w:r>
    </w:p>
    <w:p w14:paraId="3CE6553F" w14:textId="77777777" w:rsidR="00E3302B" w:rsidRPr="00204DBD" w:rsidRDefault="00E3302B" w:rsidP="002B6256">
      <w:pPr>
        <w:jc w:val="both"/>
      </w:pPr>
      <w:r w:rsidRPr="00204DBD">
        <w:lastRenderedPageBreak/>
        <w:t xml:space="preserve">Dijital medya, bilginin özgürce paylaşılabileceği geniş eğitim ağlarının ve topluluklarının oluşturulmasına da olanak sağlamaktadır. </w:t>
      </w:r>
      <w:proofErr w:type="spellStart"/>
      <w:r w:rsidRPr="00204DBD">
        <w:t>Coursera</w:t>
      </w:r>
      <w:proofErr w:type="spellEnd"/>
      <w:r w:rsidRPr="00204DBD">
        <w:t xml:space="preserve">, </w:t>
      </w:r>
      <w:proofErr w:type="spellStart"/>
      <w:r w:rsidRPr="00204DBD">
        <w:t>edX</w:t>
      </w:r>
      <w:proofErr w:type="spellEnd"/>
      <w:r w:rsidRPr="00204DBD">
        <w:t xml:space="preserve"> ve </w:t>
      </w:r>
      <w:proofErr w:type="spellStart"/>
      <w:r w:rsidRPr="00204DBD">
        <w:t>Khan</w:t>
      </w:r>
      <w:proofErr w:type="spellEnd"/>
      <w:r w:rsidRPr="00204DBD">
        <w:t xml:space="preserve"> Academy gibi platformlar, dünya çapında milyonlarca kişiye prestijli kurumlardan kaliteli eğitime erişim sağlayan açık çevrim içi kurslar (MOOC-</w:t>
      </w:r>
      <w:proofErr w:type="spellStart"/>
      <w:r w:rsidRPr="00204DBD">
        <w:t>Massive</w:t>
      </w:r>
      <w:proofErr w:type="spellEnd"/>
      <w:r w:rsidRPr="00204DBD">
        <w:t xml:space="preserve"> Open Online Course) sunmaktadır (</w:t>
      </w:r>
      <w:proofErr w:type="spellStart"/>
      <w:r w:rsidRPr="00204DBD">
        <w:t>Koller</w:t>
      </w:r>
      <w:proofErr w:type="spellEnd"/>
      <w:r w:rsidRPr="00204DBD">
        <w:t xml:space="preserve"> vd., 2013). Özellikle dil öğrenimine odaklanan </w:t>
      </w:r>
      <w:proofErr w:type="spellStart"/>
      <w:r w:rsidRPr="00204DBD">
        <w:t>Duolingo</w:t>
      </w:r>
      <w:proofErr w:type="spellEnd"/>
      <w:r w:rsidRPr="00204DBD">
        <w:t xml:space="preserve"> da oyunlaştırılmış bir yaklaşımla birçok dilde interaktif kurslar sunarak dil edinimini ilgi çekici ve erişilebilir hale getirmekte, alıştırmalar, testler ve etkileşimli etkinlikler aracılığıyla kullanıcıların hızlı bir şekilde yeni diller öğrenmesine yardımcı olmaktadır. Bu platform da kullanıcılara, farklı kullanıcılar ile iletişime geçme, alınan puanlara göre belirli gruplara dâhil olarak diğerleriyle etkileşimde bulunma ve tartışmalara katılabilme gibi özellikler sunmaktadır (</w:t>
      </w:r>
      <w:proofErr w:type="spellStart"/>
      <w:r w:rsidRPr="00204DBD">
        <w:t>Munday</w:t>
      </w:r>
      <w:proofErr w:type="spellEnd"/>
      <w:r w:rsidRPr="00204DBD">
        <w:t>, 2017). Söz konusu eğitim platformları; tartışma forumları, akran değerlendirmeleri ve işbirlikçi projeler aracılığıyla aidiyet duygusunu pekiştirerek küresel bir öğrenme bilincini teşvik etmektedir (</w:t>
      </w:r>
      <w:proofErr w:type="spellStart"/>
      <w:r w:rsidRPr="00204DBD">
        <w:t>Breslowvd</w:t>
      </w:r>
      <w:proofErr w:type="spellEnd"/>
      <w:r w:rsidRPr="00204DBD">
        <w:t xml:space="preserve">., 2013). </w:t>
      </w:r>
      <w:r w:rsidRPr="00204DBD">
        <w:br/>
        <w:t xml:space="preserve">           </w:t>
      </w:r>
    </w:p>
    <w:p w14:paraId="6B611AA4" w14:textId="77777777" w:rsidR="00E3302B" w:rsidRDefault="00E3302B" w:rsidP="002B6256">
      <w:pPr>
        <w:jc w:val="both"/>
      </w:pPr>
      <w:r w:rsidRPr="00204DBD">
        <w:t>Facebook, Twitter (X) ve LinkedIn gibi sosyal medya platformları da eğitim toplulukları için değerli araçlar haline gelmiştir. Eğitimciler ve öğrenciler bu platformları makaleleri paylaşmak, mesleki gelişime katılmak ve akademik söylemlere katkı vermek için kullanırlar (</w:t>
      </w:r>
      <w:proofErr w:type="spellStart"/>
      <w:r w:rsidRPr="00204DBD">
        <w:t>Veletsianos</w:t>
      </w:r>
      <w:proofErr w:type="spellEnd"/>
      <w:r w:rsidRPr="00204DBD">
        <w:t xml:space="preserve">, 2012). Öte yandan; çevrim içi içeriğin kalitesini ve güvenilirliğini sağlamak ve sanal ortamlarda akademik bütünlüğü korumak, eğitimciler için </w:t>
      </w:r>
      <w:proofErr w:type="gramStart"/>
      <w:r w:rsidRPr="00204DBD">
        <w:t>bir takım</w:t>
      </w:r>
      <w:proofErr w:type="gramEnd"/>
      <w:r w:rsidRPr="00204DBD">
        <w:t xml:space="preserve"> zorluklar yaratmaktadır (</w:t>
      </w:r>
      <w:proofErr w:type="spellStart"/>
      <w:r w:rsidRPr="00204DBD">
        <w:t>Bates</w:t>
      </w:r>
      <w:proofErr w:type="spellEnd"/>
      <w:r w:rsidRPr="00204DBD">
        <w:t xml:space="preserve">, 2019). Teknolojiye ve internete erişimde eşit olmayan şartlar eğitimdeki eşitsizlikleri artırabileceği gibi, dijital uçurum gibi sorunlar endişe kaynağı olmayı sürdürmektedir (Van </w:t>
      </w:r>
      <w:proofErr w:type="spellStart"/>
      <w:r w:rsidRPr="00204DBD">
        <w:t>Dijk</w:t>
      </w:r>
      <w:proofErr w:type="spellEnd"/>
      <w:r w:rsidRPr="00204DBD">
        <w:t>, 2020).</w:t>
      </w:r>
    </w:p>
    <w:p w14:paraId="78623B9C" w14:textId="77777777" w:rsidR="000A70F0" w:rsidRPr="00204DBD" w:rsidRDefault="000A70F0" w:rsidP="002B6256">
      <w:pPr>
        <w:jc w:val="both"/>
      </w:pPr>
    </w:p>
    <w:p w14:paraId="0747EDBB" w14:textId="77777777" w:rsidR="00E3302B" w:rsidRPr="00204DBD" w:rsidRDefault="00E3302B" w:rsidP="002B6256">
      <w:pPr>
        <w:rPr>
          <w:b/>
        </w:rPr>
      </w:pPr>
      <w:r w:rsidRPr="00204DBD">
        <w:rPr>
          <w:b/>
        </w:rPr>
        <w:t>Sonuç</w:t>
      </w:r>
    </w:p>
    <w:p w14:paraId="6D77E4D7" w14:textId="77777777" w:rsidR="00E3302B" w:rsidRDefault="00E3302B" w:rsidP="002B6256">
      <w:pPr>
        <w:jc w:val="both"/>
      </w:pPr>
      <w:r w:rsidRPr="00204DBD">
        <w:t xml:space="preserve">Dijital iletişim teknolojilerinin gelişmesi, yeni kültürel formların oluşmasına olanak sağlamış, dijital dünyanın farklı bileşenleri olarak, küresel anlamda yaygınlaşan farklı alt kültürler ortaya çıkmaya başlamıştır. Dijital kültür, geleneksel kültür tanımlarının ötesinde dijital teknolojilerle şekillenen yeni değerler, alışkanlıklar ve etkileşim yollarını temsil etmektedir. Yıllar ve jenerasyonlar boyunca aktarılan değerler, normlar, inançlar ve davranış biçimlerinin yerini, yüz yüze iletişimden uzak, farklı kimliklerin ve iletişim biçimlerinin egemen olduğu, bambaşka uzamlarda bir araya gelen bireylerin oluşturduğu topluluklar ve trendler almaktadır.  </w:t>
      </w:r>
    </w:p>
    <w:p w14:paraId="0ED93C2B" w14:textId="77777777" w:rsidR="00254C59" w:rsidRPr="00204DBD" w:rsidRDefault="00254C59" w:rsidP="002B6256">
      <w:pPr>
        <w:jc w:val="both"/>
      </w:pPr>
    </w:p>
    <w:p w14:paraId="151A4C5F" w14:textId="2CF090DC" w:rsidR="00254C59" w:rsidRPr="00204DBD" w:rsidRDefault="00E3302B" w:rsidP="002B6256">
      <w:pPr>
        <w:jc w:val="both"/>
      </w:pPr>
      <w:r w:rsidRPr="00204DBD">
        <w:t>Bu noktada, internet kullanıcısı olan bireyler, özellikle sosyal medyanın sunduğu olanaklar doğrultusunda coğrafi sınırlamalardan bağımsız olarak, ortak ilgi alanlarına sahip oldukları diğer kullanıcılarla bir araya gelerek etkileşimde bulunabilmekte, farklı alt kültürlerin oluşumuna katkı sağlayabilmektedirler. Dijital alt kültürler; kimliği ifade etme, toplumsal normlara direnme ve değişen dünyaya uyum sağlama konusunda kullanıcılara çok farklı bakış açıları ve hem kişisel hem de profesyonel düzeyde birçok avantaj sunabilmektedir.  Öte yandan, yanlış ve bilinçsiz kullanımlar, yalan haber ve sahte içeriklerin hızlı bir biçimde yayılması, siber zorbalık, mahremiyet kaygıları ve çevrim içi güvenlik sorunları gibi faktörler, zaman zaman söz konusu toplulukların güvenilirliğini azaltmaktadır. Bu noktada, çevrim içi toplulukların etkin yönetimi ve sağlıklı işleyişi, bu platformların sunduğu imkânların doğru ve verimli kullanılması için kritik öneme sahiptir. Söz konusu güveni inşa etmek ve bilinçli kullanımı teşvik etmek için platform yöneticilerine; bilgi güvenliği, etik kodlar ve hukuki zorunlulukları gözeterek, çevrim içi etkileşimlerin kalitesini artırmak ve söz konusu site ve toplulukların sağladığı kamu yararını maksimize etmek açısından büyük rol düşmektedir. Kullanıcılar, eğitimciler ve kurumların dijital medya okuryazarlığı alanında daha bilinçli olmaları ise, kuşkusuz bu toplulukların işlevselliğini artırmak açısından oldukça önemlidir.</w:t>
      </w:r>
    </w:p>
    <w:p w14:paraId="19C67189" w14:textId="68D6A218" w:rsidR="00E3302B" w:rsidRDefault="00E3302B" w:rsidP="002B6256">
      <w:pPr>
        <w:jc w:val="both"/>
      </w:pPr>
      <w:r w:rsidRPr="00204DBD">
        <w:lastRenderedPageBreak/>
        <w:t>Geleneksel kültürün aksine; değişime direnmeyen ve toplumsal normlardan çok bireyler özgürlüklerin gelişmesine hizmet eden dijital kültürün, etik değerler, içerik paylaşımı, bilgi güvenliği ve çevrim içi haklar gibi konularda oluşturduğu yeni eğilimler ve standartlar, akademik anlamda daha derin araştırmaların gerekliliğinin altını çizmektedir. Zira, dijital iletişim teknolojileri ve yapay zekâ uygulamaları gelişmeye devam ettikçe dijital kültürün yeni unsurları ortaya çıkacak; kültürel değişimin hızı, yeni alt kültür ve topluluklar ile kullanıcıları buluşturmaya ve söz konusu kültürel dönüşümün hızına uyma konusunda kullanıcıları zorlamaya devam edecektir.</w:t>
      </w:r>
    </w:p>
    <w:p w14:paraId="6AA594F4" w14:textId="77777777" w:rsidR="000A70F0" w:rsidRPr="00204DBD" w:rsidRDefault="000A70F0" w:rsidP="002B6256">
      <w:pPr>
        <w:jc w:val="both"/>
      </w:pPr>
    </w:p>
    <w:p w14:paraId="6CFE4A31" w14:textId="77777777" w:rsidR="00E3302B" w:rsidRPr="00204DBD" w:rsidRDefault="00E3302B" w:rsidP="002B6256">
      <w:pPr>
        <w:rPr>
          <w:b/>
        </w:rPr>
      </w:pPr>
      <w:r w:rsidRPr="00204DBD">
        <w:rPr>
          <w:b/>
        </w:rPr>
        <w:t>Kaynaklar</w:t>
      </w:r>
    </w:p>
    <w:p w14:paraId="72712731" w14:textId="77777777" w:rsidR="00E3302B" w:rsidRPr="00204DBD" w:rsidRDefault="00E3302B">
      <w:pPr>
        <w:widowControl/>
        <w:numPr>
          <w:ilvl w:val="0"/>
          <w:numId w:val="72"/>
        </w:numPr>
        <w:autoSpaceDE/>
        <w:autoSpaceDN/>
        <w:jc w:val="both"/>
        <w:rPr>
          <w:rFonts w:eastAsia="Calibri"/>
        </w:rPr>
      </w:pPr>
      <w:r w:rsidRPr="00204DBD">
        <w:rPr>
          <w:highlight w:val="white"/>
        </w:rPr>
        <w:t xml:space="preserve">Ahmed, S., &amp; </w:t>
      </w:r>
      <w:proofErr w:type="spellStart"/>
      <w:r w:rsidRPr="00204DBD">
        <w:rPr>
          <w:highlight w:val="white"/>
        </w:rPr>
        <w:t>Masood</w:t>
      </w:r>
      <w:proofErr w:type="spellEnd"/>
      <w:r w:rsidRPr="00204DBD">
        <w:rPr>
          <w:highlight w:val="white"/>
        </w:rPr>
        <w:t xml:space="preserve">, M. (2024). </w:t>
      </w:r>
      <w:proofErr w:type="spellStart"/>
      <w:r w:rsidRPr="00204DBD">
        <w:rPr>
          <w:highlight w:val="white"/>
        </w:rPr>
        <w:t>Breaking</w:t>
      </w:r>
      <w:proofErr w:type="spellEnd"/>
      <w:r w:rsidRPr="00204DBD">
        <w:rPr>
          <w:highlight w:val="white"/>
        </w:rPr>
        <w:t xml:space="preserve"> </w:t>
      </w:r>
      <w:proofErr w:type="spellStart"/>
      <w:r w:rsidRPr="00204DBD">
        <w:rPr>
          <w:highlight w:val="white"/>
        </w:rPr>
        <w:t>Barriers</w:t>
      </w:r>
      <w:proofErr w:type="spellEnd"/>
      <w:r w:rsidRPr="00204DBD">
        <w:rPr>
          <w:highlight w:val="white"/>
        </w:rPr>
        <w:t xml:space="preserve"> </w:t>
      </w:r>
      <w:proofErr w:type="spellStart"/>
      <w:r w:rsidRPr="00204DBD">
        <w:rPr>
          <w:highlight w:val="white"/>
        </w:rPr>
        <w:t>With</w:t>
      </w:r>
      <w:proofErr w:type="spellEnd"/>
      <w:r w:rsidRPr="00204DBD">
        <w:rPr>
          <w:highlight w:val="white"/>
        </w:rPr>
        <w:t xml:space="preserve"> </w:t>
      </w:r>
      <w:proofErr w:type="spellStart"/>
      <w:r w:rsidRPr="00204DBD">
        <w:rPr>
          <w:highlight w:val="white"/>
        </w:rPr>
        <w:t>Memes</w:t>
      </w:r>
      <w:proofErr w:type="spellEnd"/>
      <w:r w:rsidRPr="00204DBD">
        <w:rPr>
          <w:highlight w:val="white"/>
        </w:rPr>
        <w:t xml:space="preserve">: How </w:t>
      </w:r>
      <w:proofErr w:type="spellStart"/>
      <w:r w:rsidRPr="00204DBD">
        <w:rPr>
          <w:highlight w:val="white"/>
        </w:rPr>
        <w:t>Memes</w:t>
      </w:r>
      <w:proofErr w:type="spellEnd"/>
      <w:r w:rsidRPr="00204DBD">
        <w:rPr>
          <w:highlight w:val="white"/>
        </w:rPr>
        <w:t xml:space="preserve"> Bridge </w:t>
      </w:r>
      <w:proofErr w:type="spellStart"/>
      <w:r w:rsidRPr="00204DBD">
        <w:rPr>
          <w:highlight w:val="white"/>
        </w:rPr>
        <w:t>Political</w:t>
      </w:r>
      <w:proofErr w:type="spellEnd"/>
      <w:r w:rsidRPr="00204DBD">
        <w:rPr>
          <w:highlight w:val="white"/>
        </w:rPr>
        <w:t xml:space="preserve"> </w:t>
      </w:r>
      <w:proofErr w:type="spellStart"/>
      <w:r w:rsidRPr="00204DBD">
        <w:rPr>
          <w:highlight w:val="white"/>
        </w:rPr>
        <w:t>Cynicism</w:t>
      </w:r>
      <w:proofErr w:type="spellEnd"/>
      <w:r w:rsidRPr="00204DBD">
        <w:rPr>
          <w:highlight w:val="white"/>
        </w:rPr>
        <w:t xml:space="preserve"> </w:t>
      </w:r>
      <w:proofErr w:type="spellStart"/>
      <w:r w:rsidRPr="00204DBD">
        <w:rPr>
          <w:highlight w:val="white"/>
        </w:rPr>
        <w:t>to</w:t>
      </w:r>
      <w:proofErr w:type="spellEnd"/>
      <w:r w:rsidRPr="00204DBD">
        <w:rPr>
          <w:highlight w:val="white"/>
        </w:rPr>
        <w:t xml:space="preserve"> Online </w:t>
      </w:r>
      <w:proofErr w:type="spellStart"/>
      <w:r w:rsidRPr="00204DBD">
        <w:rPr>
          <w:highlight w:val="white"/>
        </w:rPr>
        <w:t>Political</w:t>
      </w:r>
      <w:proofErr w:type="spellEnd"/>
      <w:r w:rsidRPr="00204DBD">
        <w:rPr>
          <w:highlight w:val="white"/>
        </w:rPr>
        <w:t xml:space="preserve"> </w:t>
      </w:r>
      <w:proofErr w:type="spellStart"/>
      <w:r w:rsidRPr="00204DBD">
        <w:rPr>
          <w:highlight w:val="white"/>
        </w:rPr>
        <w:t>Participation</w:t>
      </w:r>
      <w:proofErr w:type="spellEnd"/>
      <w:r w:rsidRPr="00204DBD">
        <w:rPr>
          <w:highlight w:val="white"/>
        </w:rPr>
        <w:t xml:space="preserve">. </w:t>
      </w:r>
      <w:proofErr w:type="spellStart"/>
      <w:r w:rsidRPr="00204DBD">
        <w:rPr>
          <w:i/>
          <w:highlight w:val="white"/>
        </w:rPr>
        <w:t>Social</w:t>
      </w:r>
      <w:proofErr w:type="spellEnd"/>
      <w:r w:rsidRPr="00204DBD">
        <w:rPr>
          <w:i/>
          <w:highlight w:val="white"/>
        </w:rPr>
        <w:t xml:space="preserve"> Media + </w:t>
      </w:r>
      <w:proofErr w:type="spellStart"/>
      <w:r w:rsidRPr="00204DBD">
        <w:rPr>
          <w:i/>
          <w:highlight w:val="white"/>
        </w:rPr>
        <w:t>Society</w:t>
      </w:r>
      <w:proofErr w:type="spellEnd"/>
      <w:r w:rsidRPr="00204DBD">
        <w:rPr>
          <w:highlight w:val="white"/>
        </w:rPr>
        <w:t xml:space="preserve">, </w:t>
      </w:r>
      <w:r w:rsidRPr="00204DBD">
        <w:rPr>
          <w:i/>
          <w:highlight w:val="white"/>
        </w:rPr>
        <w:t>10</w:t>
      </w:r>
      <w:r w:rsidRPr="00204DBD">
        <w:rPr>
          <w:highlight w:val="white"/>
        </w:rPr>
        <w:t xml:space="preserve">(2). </w:t>
      </w:r>
    </w:p>
    <w:p w14:paraId="79F98A7E" w14:textId="131ECC4C" w:rsidR="00E3302B" w:rsidRPr="00204DBD" w:rsidRDefault="00E3302B">
      <w:pPr>
        <w:widowControl/>
        <w:numPr>
          <w:ilvl w:val="0"/>
          <w:numId w:val="72"/>
        </w:numPr>
        <w:pBdr>
          <w:top w:val="nil"/>
          <w:left w:val="nil"/>
          <w:bottom w:val="nil"/>
          <w:right w:val="nil"/>
          <w:between w:val="nil"/>
        </w:pBdr>
        <w:autoSpaceDE/>
        <w:autoSpaceDN/>
        <w:jc w:val="both"/>
        <w:rPr>
          <w:rFonts w:eastAsia="Calibri"/>
        </w:rPr>
      </w:pPr>
      <w:proofErr w:type="spellStart"/>
      <w:r w:rsidRPr="00204DBD">
        <w:rPr>
          <w:highlight w:val="white"/>
        </w:rPr>
        <w:t>Nissenbaum</w:t>
      </w:r>
      <w:proofErr w:type="spellEnd"/>
      <w:r w:rsidRPr="00204DBD">
        <w:rPr>
          <w:highlight w:val="white"/>
        </w:rPr>
        <w:t xml:space="preserve">, A., &amp; </w:t>
      </w:r>
      <w:proofErr w:type="spellStart"/>
      <w:r w:rsidRPr="00204DBD">
        <w:rPr>
          <w:highlight w:val="white"/>
        </w:rPr>
        <w:t>Shifman</w:t>
      </w:r>
      <w:proofErr w:type="spellEnd"/>
      <w:r w:rsidRPr="00204DBD">
        <w:rPr>
          <w:highlight w:val="white"/>
        </w:rPr>
        <w:t xml:space="preserve">, L. (2017). Internet </w:t>
      </w:r>
      <w:r w:rsidR="000A70F0">
        <w:rPr>
          <w:highlight w:val="white"/>
        </w:rPr>
        <w:pgNum/>
      </w:r>
      <w:proofErr w:type="spellStart"/>
      <w:r w:rsidR="000A70F0">
        <w:rPr>
          <w:highlight w:val="white"/>
        </w:rPr>
        <w:t>orld</w:t>
      </w:r>
      <w:proofErr w:type="spellEnd"/>
      <w:r w:rsidRPr="00204DBD">
        <w:rPr>
          <w:highlight w:val="white"/>
        </w:rPr>
        <w:t xml:space="preserve"> as </w:t>
      </w:r>
      <w:proofErr w:type="spellStart"/>
      <w:r w:rsidRPr="00204DBD">
        <w:rPr>
          <w:highlight w:val="white"/>
        </w:rPr>
        <w:t>contested</w:t>
      </w:r>
      <w:proofErr w:type="spellEnd"/>
      <w:r w:rsidRPr="00204DBD">
        <w:rPr>
          <w:highlight w:val="white"/>
        </w:rPr>
        <w:t xml:space="preserve"> </w:t>
      </w:r>
      <w:proofErr w:type="spellStart"/>
      <w:r w:rsidRPr="00204DBD">
        <w:rPr>
          <w:highlight w:val="white"/>
        </w:rPr>
        <w:t>cultural</w:t>
      </w:r>
      <w:proofErr w:type="spellEnd"/>
      <w:r w:rsidRPr="00204DBD">
        <w:rPr>
          <w:highlight w:val="white"/>
        </w:rPr>
        <w:t xml:space="preserve"> </w:t>
      </w:r>
      <w:proofErr w:type="spellStart"/>
      <w:r w:rsidRPr="00204DBD">
        <w:rPr>
          <w:highlight w:val="white"/>
        </w:rPr>
        <w:t>capital</w:t>
      </w:r>
      <w:proofErr w:type="spellEnd"/>
      <w:r w:rsidRPr="00204DBD">
        <w:rPr>
          <w:highlight w:val="white"/>
        </w:rPr>
        <w:t xml:space="preserve">: </w:t>
      </w:r>
      <w:proofErr w:type="spellStart"/>
      <w:r w:rsidRPr="00204DBD">
        <w:rPr>
          <w:highlight w:val="white"/>
        </w:rPr>
        <w:t>The</w:t>
      </w:r>
      <w:proofErr w:type="spellEnd"/>
      <w:r w:rsidRPr="00204DBD">
        <w:rPr>
          <w:highlight w:val="white"/>
        </w:rPr>
        <w:t xml:space="preserve"> </w:t>
      </w:r>
      <w:proofErr w:type="spellStart"/>
      <w:r w:rsidRPr="00204DBD">
        <w:rPr>
          <w:highlight w:val="white"/>
        </w:rPr>
        <w:t>case</w:t>
      </w:r>
      <w:proofErr w:type="spellEnd"/>
      <w:r w:rsidRPr="00204DBD">
        <w:rPr>
          <w:highlight w:val="white"/>
        </w:rPr>
        <w:t xml:space="preserve"> of 4chan’s /b/ board. </w:t>
      </w:r>
      <w:r w:rsidRPr="00204DBD">
        <w:rPr>
          <w:i/>
          <w:highlight w:val="white"/>
        </w:rPr>
        <w:t xml:space="preserve">New Media &amp; </w:t>
      </w:r>
      <w:proofErr w:type="spellStart"/>
      <w:r w:rsidRPr="00204DBD">
        <w:rPr>
          <w:i/>
          <w:highlight w:val="white"/>
        </w:rPr>
        <w:t>Society</w:t>
      </w:r>
      <w:proofErr w:type="spellEnd"/>
      <w:r w:rsidRPr="00204DBD">
        <w:rPr>
          <w:highlight w:val="white"/>
        </w:rPr>
        <w:t xml:space="preserve">, </w:t>
      </w:r>
      <w:r w:rsidRPr="00204DBD">
        <w:rPr>
          <w:i/>
          <w:highlight w:val="white"/>
        </w:rPr>
        <w:t>19</w:t>
      </w:r>
      <w:r w:rsidRPr="00204DBD">
        <w:rPr>
          <w:highlight w:val="white"/>
        </w:rPr>
        <w:t xml:space="preserve">(4), 483-501. </w:t>
      </w:r>
    </w:p>
    <w:p w14:paraId="7543022D" w14:textId="7BC2309D" w:rsidR="00E3302B" w:rsidRPr="00204DBD" w:rsidRDefault="00E3302B">
      <w:pPr>
        <w:widowControl/>
        <w:numPr>
          <w:ilvl w:val="0"/>
          <w:numId w:val="72"/>
        </w:numPr>
        <w:pBdr>
          <w:top w:val="nil"/>
          <w:left w:val="nil"/>
          <w:bottom w:val="nil"/>
          <w:right w:val="nil"/>
          <w:between w:val="nil"/>
        </w:pBdr>
        <w:autoSpaceDE/>
        <w:autoSpaceDN/>
        <w:jc w:val="both"/>
        <w:rPr>
          <w:rFonts w:eastAsia="Calibri"/>
        </w:rPr>
      </w:pPr>
      <w:proofErr w:type="spellStart"/>
      <w:r w:rsidRPr="00204DBD">
        <w:rPr>
          <w:rFonts w:eastAsia="Arial"/>
          <w:highlight w:val="white"/>
        </w:rPr>
        <w:t>Bates</w:t>
      </w:r>
      <w:proofErr w:type="spellEnd"/>
      <w:r w:rsidRPr="00204DBD">
        <w:rPr>
          <w:rFonts w:eastAsia="Arial"/>
          <w:highlight w:val="white"/>
        </w:rPr>
        <w:t xml:space="preserve">, T. (2019). </w:t>
      </w:r>
      <w:proofErr w:type="spellStart"/>
      <w:r w:rsidRPr="00204DBD">
        <w:rPr>
          <w:rFonts w:eastAsia="Arial"/>
          <w:highlight w:val="white"/>
        </w:rPr>
        <w:t>Teaching</w:t>
      </w:r>
      <w:proofErr w:type="spellEnd"/>
      <w:r w:rsidRPr="00204DBD">
        <w:rPr>
          <w:rFonts w:eastAsia="Arial"/>
          <w:highlight w:val="white"/>
        </w:rPr>
        <w:t xml:space="preserve"> in A </w:t>
      </w:r>
      <w:proofErr w:type="spellStart"/>
      <w:r w:rsidRPr="00204DBD">
        <w:rPr>
          <w:rFonts w:eastAsia="Arial"/>
          <w:highlight w:val="white"/>
        </w:rPr>
        <w:t>Digital</w:t>
      </w:r>
      <w:proofErr w:type="spellEnd"/>
      <w:r w:rsidRPr="00204DBD">
        <w:rPr>
          <w:rFonts w:eastAsia="Arial"/>
          <w:highlight w:val="white"/>
        </w:rPr>
        <w:t xml:space="preserve"> Age </w:t>
      </w:r>
      <w:r w:rsidR="000A70F0">
        <w:rPr>
          <w:rFonts w:eastAsia="Arial"/>
          <w:highlight w:val="white"/>
        </w:rPr>
        <w:t>–</w:t>
      </w:r>
      <w:r w:rsidRPr="00204DBD">
        <w:rPr>
          <w:rFonts w:eastAsia="Arial"/>
          <w:highlight w:val="white"/>
        </w:rPr>
        <w:t xml:space="preserve"> </w:t>
      </w:r>
      <w:proofErr w:type="spellStart"/>
      <w:r w:rsidRPr="00204DBD">
        <w:rPr>
          <w:rFonts w:eastAsia="Arial"/>
          <w:highlight w:val="white"/>
        </w:rPr>
        <w:t>Guidelines</w:t>
      </w:r>
      <w:proofErr w:type="spellEnd"/>
      <w:r w:rsidRPr="00204DBD">
        <w:rPr>
          <w:rFonts w:eastAsia="Arial"/>
          <w:highlight w:val="white"/>
        </w:rPr>
        <w:t xml:space="preserve"> </w:t>
      </w:r>
      <w:proofErr w:type="spellStart"/>
      <w:r w:rsidRPr="00204DBD">
        <w:rPr>
          <w:rFonts w:eastAsia="Arial"/>
          <w:highlight w:val="white"/>
        </w:rPr>
        <w:t>for</w:t>
      </w:r>
      <w:proofErr w:type="spellEnd"/>
      <w:r w:rsidRPr="00204DBD">
        <w:rPr>
          <w:rFonts w:eastAsia="Arial"/>
          <w:highlight w:val="white"/>
        </w:rPr>
        <w:t xml:space="preserve"> </w:t>
      </w:r>
      <w:proofErr w:type="spellStart"/>
      <w:r w:rsidRPr="00204DBD">
        <w:rPr>
          <w:rFonts w:eastAsia="Arial"/>
          <w:highlight w:val="white"/>
        </w:rPr>
        <w:t>Designing</w:t>
      </w:r>
      <w:proofErr w:type="spellEnd"/>
      <w:r w:rsidRPr="00204DBD">
        <w:rPr>
          <w:rFonts w:eastAsia="Arial"/>
          <w:highlight w:val="white"/>
        </w:rPr>
        <w:t xml:space="preserve"> </w:t>
      </w:r>
      <w:proofErr w:type="spellStart"/>
      <w:r w:rsidRPr="00204DBD">
        <w:rPr>
          <w:rFonts w:eastAsia="Arial"/>
          <w:highlight w:val="white"/>
        </w:rPr>
        <w:t>Teaching</w:t>
      </w:r>
      <w:proofErr w:type="spellEnd"/>
      <w:r w:rsidRPr="00204DBD">
        <w:rPr>
          <w:rFonts w:eastAsia="Arial"/>
          <w:highlight w:val="white"/>
        </w:rPr>
        <w:t xml:space="preserve"> </w:t>
      </w:r>
      <w:proofErr w:type="spellStart"/>
      <w:r w:rsidRPr="00204DBD">
        <w:rPr>
          <w:rFonts w:eastAsia="Arial"/>
          <w:highlight w:val="white"/>
        </w:rPr>
        <w:t>and</w:t>
      </w:r>
      <w:proofErr w:type="spellEnd"/>
      <w:r w:rsidRPr="00204DBD">
        <w:rPr>
          <w:rFonts w:eastAsia="Arial"/>
          <w:highlight w:val="white"/>
        </w:rPr>
        <w:t xml:space="preserve"> Learning. (2nd Edition). Vancouver: BC </w:t>
      </w:r>
      <w:proofErr w:type="spellStart"/>
      <w:r w:rsidRPr="00204DBD">
        <w:rPr>
          <w:rFonts w:eastAsia="Arial"/>
          <w:highlight w:val="white"/>
        </w:rPr>
        <w:t>Campus</w:t>
      </w:r>
      <w:proofErr w:type="spellEnd"/>
      <w:r w:rsidRPr="00204DBD">
        <w:rPr>
          <w:rFonts w:eastAsia="Arial"/>
          <w:highlight w:val="white"/>
        </w:rPr>
        <w:t xml:space="preserve"> / </w:t>
      </w:r>
      <w:proofErr w:type="spellStart"/>
      <w:r w:rsidRPr="00204DBD">
        <w:rPr>
          <w:rFonts w:eastAsia="Arial"/>
          <w:highlight w:val="white"/>
        </w:rPr>
        <w:t>Contact</w:t>
      </w:r>
      <w:proofErr w:type="spellEnd"/>
      <w:r w:rsidRPr="00204DBD">
        <w:rPr>
          <w:rFonts w:eastAsia="Arial"/>
          <w:highlight w:val="white"/>
        </w:rPr>
        <w:t xml:space="preserve"> North, </w:t>
      </w:r>
      <w:proofErr w:type="spellStart"/>
      <w:r w:rsidRPr="00204DBD">
        <w:rPr>
          <w:rFonts w:eastAsia="Arial"/>
          <w:highlight w:val="white"/>
        </w:rPr>
        <w:t>Contact</w:t>
      </w:r>
      <w:proofErr w:type="spellEnd"/>
      <w:r w:rsidRPr="00204DBD">
        <w:rPr>
          <w:rFonts w:eastAsia="Arial"/>
          <w:highlight w:val="white"/>
        </w:rPr>
        <w:t xml:space="preserve"> </w:t>
      </w:r>
      <w:proofErr w:type="spellStart"/>
      <w:r w:rsidRPr="00204DBD">
        <w:rPr>
          <w:rFonts w:eastAsia="Arial"/>
          <w:highlight w:val="white"/>
        </w:rPr>
        <w:t>Nord</w:t>
      </w:r>
      <w:proofErr w:type="spellEnd"/>
      <w:r w:rsidRPr="00204DBD">
        <w:rPr>
          <w:rFonts w:eastAsia="Arial"/>
          <w:highlight w:val="white"/>
        </w:rPr>
        <w:t>.</w:t>
      </w:r>
    </w:p>
    <w:p w14:paraId="26B762AC" w14:textId="77777777" w:rsidR="00E3302B" w:rsidRPr="00204DBD" w:rsidRDefault="00E3302B">
      <w:pPr>
        <w:widowControl/>
        <w:numPr>
          <w:ilvl w:val="0"/>
          <w:numId w:val="72"/>
        </w:numPr>
        <w:autoSpaceDE/>
        <w:autoSpaceDN/>
        <w:jc w:val="both"/>
        <w:rPr>
          <w:rFonts w:eastAsia="Calibri"/>
        </w:rPr>
      </w:pPr>
      <w:proofErr w:type="spellStart"/>
      <w:r w:rsidRPr="00204DBD">
        <w:rPr>
          <w:highlight w:val="white"/>
        </w:rPr>
        <w:t>Bauckhage</w:t>
      </w:r>
      <w:proofErr w:type="spellEnd"/>
      <w:r w:rsidRPr="00204DBD">
        <w:rPr>
          <w:highlight w:val="white"/>
        </w:rPr>
        <w:t xml:space="preserve">, C. (2021). </w:t>
      </w:r>
      <w:proofErr w:type="spellStart"/>
      <w:r w:rsidRPr="00204DBD">
        <w:rPr>
          <w:highlight w:val="white"/>
        </w:rPr>
        <w:t>Insights</w:t>
      </w:r>
      <w:proofErr w:type="spellEnd"/>
      <w:r w:rsidRPr="00204DBD">
        <w:rPr>
          <w:highlight w:val="white"/>
        </w:rPr>
        <w:t xml:space="preserve"> </w:t>
      </w:r>
      <w:proofErr w:type="spellStart"/>
      <w:r w:rsidRPr="00204DBD">
        <w:rPr>
          <w:highlight w:val="white"/>
        </w:rPr>
        <w:t>into</w:t>
      </w:r>
      <w:proofErr w:type="spellEnd"/>
      <w:r w:rsidRPr="00204DBD">
        <w:rPr>
          <w:highlight w:val="white"/>
        </w:rPr>
        <w:t xml:space="preserve"> Internet </w:t>
      </w:r>
      <w:proofErr w:type="spellStart"/>
      <w:r w:rsidRPr="00204DBD">
        <w:rPr>
          <w:highlight w:val="white"/>
        </w:rPr>
        <w:t>Memes</w:t>
      </w:r>
      <w:proofErr w:type="spellEnd"/>
      <w:r w:rsidRPr="00204DBD">
        <w:rPr>
          <w:highlight w:val="white"/>
        </w:rPr>
        <w:t xml:space="preserve">. </w:t>
      </w:r>
      <w:proofErr w:type="spellStart"/>
      <w:r w:rsidRPr="00204DBD">
        <w:rPr>
          <w:i/>
          <w:highlight w:val="white"/>
        </w:rPr>
        <w:t>Proceedings</w:t>
      </w:r>
      <w:proofErr w:type="spellEnd"/>
      <w:r w:rsidRPr="00204DBD">
        <w:rPr>
          <w:i/>
          <w:highlight w:val="white"/>
        </w:rPr>
        <w:t xml:space="preserve"> of </w:t>
      </w:r>
      <w:proofErr w:type="spellStart"/>
      <w:r w:rsidRPr="00204DBD">
        <w:rPr>
          <w:i/>
          <w:highlight w:val="white"/>
        </w:rPr>
        <w:t>the</w:t>
      </w:r>
      <w:proofErr w:type="spellEnd"/>
      <w:r w:rsidRPr="00204DBD">
        <w:rPr>
          <w:i/>
          <w:highlight w:val="white"/>
        </w:rPr>
        <w:t xml:space="preserve"> International AAAI Conference on Web </w:t>
      </w:r>
      <w:proofErr w:type="spellStart"/>
      <w:r w:rsidRPr="00204DBD">
        <w:rPr>
          <w:i/>
          <w:highlight w:val="white"/>
        </w:rPr>
        <w:t>and</w:t>
      </w:r>
      <w:proofErr w:type="spellEnd"/>
      <w:r w:rsidRPr="00204DBD">
        <w:rPr>
          <w:i/>
          <w:highlight w:val="white"/>
        </w:rPr>
        <w:t xml:space="preserve"> </w:t>
      </w:r>
      <w:proofErr w:type="spellStart"/>
      <w:r w:rsidRPr="00204DBD">
        <w:rPr>
          <w:i/>
          <w:highlight w:val="white"/>
        </w:rPr>
        <w:t>Social</w:t>
      </w:r>
      <w:proofErr w:type="spellEnd"/>
      <w:r w:rsidRPr="00204DBD">
        <w:rPr>
          <w:i/>
          <w:highlight w:val="white"/>
        </w:rPr>
        <w:t xml:space="preserve"> Media</w:t>
      </w:r>
      <w:r w:rsidRPr="00204DBD">
        <w:rPr>
          <w:highlight w:val="white"/>
        </w:rPr>
        <w:t xml:space="preserve">, </w:t>
      </w:r>
      <w:r w:rsidRPr="00204DBD">
        <w:rPr>
          <w:i/>
          <w:highlight w:val="white"/>
        </w:rPr>
        <w:t>5</w:t>
      </w:r>
      <w:r w:rsidRPr="00204DBD">
        <w:rPr>
          <w:highlight w:val="white"/>
        </w:rPr>
        <w:t xml:space="preserve">(1), 42-49. </w:t>
      </w:r>
    </w:p>
    <w:p w14:paraId="645130BB" w14:textId="77777777" w:rsidR="00E3302B" w:rsidRPr="00204DBD" w:rsidRDefault="00E3302B">
      <w:pPr>
        <w:widowControl/>
        <w:numPr>
          <w:ilvl w:val="0"/>
          <w:numId w:val="72"/>
        </w:numPr>
        <w:autoSpaceDE/>
        <w:autoSpaceDN/>
        <w:jc w:val="both"/>
        <w:rPr>
          <w:rFonts w:eastAsia="Calibri"/>
          <w:highlight w:val="white"/>
        </w:rPr>
      </w:pPr>
      <w:proofErr w:type="spellStart"/>
      <w:r w:rsidRPr="00204DBD">
        <w:rPr>
          <w:highlight w:val="white"/>
        </w:rPr>
        <w:t>Benaim</w:t>
      </w:r>
      <w:proofErr w:type="spellEnd"/>
      <w:r w:rsidRPr="00204DBD">
        <w:rPr>
          <w:highlight w:val="white"/>
        </w:rPr>
        <w:t xml:space="preserve">, M. (2018). </w:t>
      </w:r>
      <w:proofErr w:type="spellStart"/>
      <w:r w:rsidRPr="00204DBD">
        <w:rPr>
          <w:highlight w:val="white"/>
        </w:rPr>
        <w:t>From</w:t>
      </w:r>
      <w:proofErr w:type="spellEnd"/>
      <w:r w:rsidRPr="00204DBD">
        <w:rPr>
          <w:highlight w:val="white"/>
        </w:rPr>
        <w:t xml:space="preserve"> </w:t>
      </w:r>
      <w:proofErr w:type="spellStart"/>
      <w:r w:rsidRPr="00204DBD">
        <w:rPr>
          <w:highlight w:val="white"/>
        </w:rPr>
        <w:t>symbolic</w:t>
      </w:r>
      <w:proofErr w:type="spellEnd"/>
      <w:r w:rsidRPr="00204DBD">
        <w:rPr>
          <w:highlight w:val="white"/>
        </w:rPr>
        <w:t xml:space="preserve"> </w:t>
      </w:r>
      <w:proofErr w:type="spellStart"/>
      <w:r w:rsidRPr="00204DBD">
        <w:rPr>
          <w:highlight w:val="white"/>
        </w:rPr>
        <w:t>values</w:t>
      </w:r>
      <w:proofErr w:type="spellEnd"/>
      <w:r w:rsidRPr="00204DBD">
        <w:rPr>
          <w:highlight w:val="white"/>
        </w:rPr>
        <w:t xml:space="preserve"> </w:t>
      </w:r>
      <w:proofErr w:type="spellStart"/>
      <w:r w:rsidRPr="00204DBD">
        <w:rPr>
          <w:highlight w:val="white"/>
        </w:rPr>
        <w:t>to</w:t>
      </w:r>
      <w:proofErr w:type="spellEnd"/>
      <w:r w:rsidRPr="00204DBD">
        <w:rPr>
          <w:highlight w:val="white"/>
        </w:rPr>
        <w:t xml:space="preserve"> </w:t>
      </w:r>
      <w:proofErr w:type="spellStart"/>
      <w:r w:rsidRPr="00204DBD">
        <w:rPr>
          <w:highlight w:val="white"/>
        </w:rPr>
        <w:t>symbolic</w:t>
      </w:r>
      <w:proofErr w:type="spellEnd"/>
      <w:r w:rsidRPr="00204DBD">
        <w:rPr>
          <w:highlight w:val="white"/>
        </w:rPr>
        <w:t xml:space="preserve"> </w:t>
      </w:r>
      <w:proofErr w:type="spellStart"/>
      <w:r w:rsidRPr="00204DBD">
        <w:rPr>
          <w:highlight w:val="white"/>
        </w:rPr>
        <w:t>innovation</w:t>
      </w:r>
      <w:proofErr w:type="spellEnd"/>
      <w:r w:rsidRPr="00204DBD">
        <w:rPr>
          <w:highlight w:val="white"/>
        </w:rPr>
        <w:t>: Internet-</w:t>
      </w:r>
      <w:proofErr w:type="spellStart"/>
      <w:r w:rsidRPr="00204DBD">
        <w:rPr>
          <w:highlight w:val="white"/>
        </w:rPr>
        <w:t>memes</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innovation</w:t>
      </w:r>
      <w:proofErr w:type="spellEnd"/>
      <w:r w:rsidRPr="00204DBD">
        <w:rPr>
          <w:highlight w:val="white"/>
        </w:rPr>
        <w:t xml:space="preserve">. </w:t>
      </w:r>
      <w:proofErr w:type="spellStart"/>
      <w:r w:rsidRPr="00204DBD">
        <w:rPr>
          <w:i/>
          <w:highlight w:val="white"/>
        </w:rPr>
        <w:t>Research</w:t>
      </w:r>
      <w:proofErr w:type="spellEnd"/>
      <w:r w:rsidRPr="00204DBD">
        <w:rPr>
          <w:i/>
          <w:highlight w:val="white"/>
        </w:rPr>
        <w:t xml:space="preserve"> </w:t>
      </w:r>
      <w:proofErr w:type="spellStart"/>
      <w:r w:rsidRPr="00204DBD">
        <w:rPr>
          <w:i/>
          <w:highlight w:val="white"/>
        </w:rPr>
        <w:t>Policy</w:t>
      </w:r>
      <w:proofErr w:type="spellEnd"/>
      <w:r w:rsidRPr="00204DBD">
        <w:rPr>
          <w:highlight w:val="white"/>
        </w:rPr>
        <w:t xml:space="preserve">, </w:t>
      </w:r>
      <w:r w:rsidRPr="00204DBD">
        <w:rPr>
          <w:i/>
          <w:highlight w:val="white"/>
        </w:rPr>
        <w:t>47</w:t>
      </w:r>
      <w:r w:rsidRPr="00204DBD">
        <w:rPr>
          <w:highlight w:val="white"/>
        </w:rPr>
        <w:t>(5), 901-910.</w:t>
      </w:r>
    </w:p>
    <w:p w14:paraId="19C76461" w14:textId="77777777" w:rsidR="00E3302B" w:rsidRPr="00204DBD" w:rsidRDefault="00E3302B">
      <w:pPr>
        <w:widowControl/>
        <w:numPr>
          <w:ilvl w:val="0"/>
          <w:numId w:val="72"/>
        </w:numPr>
        <w:autoSpaceDE/>
        <w:autoSpaceDN/>
        <w:jc w:val="both"/>
        <w:rPr>
          <w:rFonts w:eastAsia="Calibri"/>
          <w:highlight w:val="white"/>
        </w:rPr>
      </w:pPr>
      <w:r w:rsidRPr="00204DBD">
        <w:t xml:space="preserve">Berger, P., &amp; </w:t>
      </w:r>
      <w:proofErr w:type="spellStart"/>
      <w:r w:rsidRPr="00204DBD">
        <w:t>Luckmann</w:t>
      </w:r>
      <w:proofErr w:type="spellEnd"/>
      <w:r w:rsidRPr="00204DBD">
        <w:t xml:space="preserve">, T. (1966). </w:t>
      </w:r>
      <w:proofErr w:type="spellStart"/>
      <w:r w:rsidRPr="00204DBD">
        <w:rPr>
          <w:i/>
          <w:iCs/>
        </w:rPr>
        <w:t>The</w:t>
      </w:r>
      <w:proofErr w:type="spellEnd"/>
      <w:r w:rsidRPr="00204DBD">
        <w:rPr>
          <w:i/>
          <w:iCs/>
        </w:rPr>
        <w:t xml:space="preserve"> </w:t>
      </w:r>
      <w:proofErr w:type="spellStart"/>
      <w:r w:rsidRPr="00204DBD">
        <w:rPr>
          <w:i/>
          <w:iCs/>
        </w:rPr>
        <w:t>Social</w:t>
      </w:r>
      <w:proofErr w:type="spellEnd"/>
      <w:r w:rsidRPr="00204DBD">
        <w:rPr>
          <w:i/>
          <w:iCs/>
        </w:rPr>
        <w:t xml:space="preserve"> Construction of </w:t>
      </w:r>
      <w:proofErr w:type="spellStart"/>
      <w:r w:rsidRPr="00204DBD">
        <w:rPr>
          <w:i/>
          <w:iCs/>
        </w:rPr>
        <w:t>Reality</w:t>
      </w:r>
      <w:proofErr w:type="spellEnd"/>
      <w:r w:rsidRPr="00204DBD">
        <w:rPr>
          <w:i/>
          <w:iCs/>
        </w:rPr>
        <w:t xml:space="preserve">: A </w:t>
      </w:r>
      <w:proofErr w:type="spellStart"/>
      <w:r w:rsidRPr="00204DBD">
        <w:rPr>
          <w:i/>
          <w:iCs/>
        </w:rPr>
        <w:t>Treatise</w:t>
      </w:r>
      <w:proofErr w:type="spellEnd"/>
      <w:r w:rsidRPr="00204DBD">
        <w:rPr>
          <w:i/>
          <w:iCs/>
        </w:rPr>
        <w:t xml:space="preserve"> in </w:t>
      </w:r>
      <w:proofErr w:type="spellStart"/>
      <w:r w:rsidRPr="00204DBD">
        <w:rPr>
          <w:i/>
          <w:iCs/>
        </w:rPr>
        <w:t>the</w:t>
      </w:r>
      <w:proofErr w:type="spellEnd"/>
      <w:r w:rsidRPr="00204DBD">
        <w:rPr>
          <w:i/>
          <w:iCs/>
        </w:rPr>
        <w:t xml:space="preserve"> </w:t>
      </w:r>
      <w:proofErr w:type="spellStart"/>
      <w:r w:rsidRPr="00204DBD">
        <w:rPr>
          <w:i/>
          <w:iCs/>
        </w:rPr>
        <w:t>Sociology</w:t>
      </w:r>
      <w:proofErr w:type="spellEnd"/>
      <w:r w:rsidRPr="00204DBD">
        <w:rPr>
          <w:i/>
          <w:iCs/>
        </w:rPr>
        <w:t xml:space="preserve"> of Knowledge</w:t>
      </w:r>
      <w:r w:rsidRPr="00204DBD">
        <w:t xml:space="preserve">. New York: </w:t>
      </w:r>
      <w:proofErr w:type="spellStart"/>
      <w:r w:rsidRPr="00204DBD">
        <w:t>Anchor</w:t>
      </w:r>
      <w:proofErr w:type="spellEnd"/>
      <w:r w:rsidRPr="00204DBD">
        <w:t xml:space="preserve"> </w:t>
      </w:r>
      <w:proofErr w:type="spellStart"/>
      <w:r w:rsidRPr="00204DBD">
        <w:t>Books</w:t>
      </w:r>
      <w:proofErr w:type="spellEnd"/>
      <w:r w:rsidRPr="00204DBD">
        <w:t>.</w:t>
      </w:r>
    </w:p>
    <w:p w14:paraId="1162AD0A" w14:textId="3E3DFA76" w:rsidR="00E3302B" w:rsidRPr="00204DBD" w:rsidRDefault="00E3302B">
      <w:pPr>
        <w:widowControl/>
        <w:numPr>
          <w:ilvl w:val="0"/>
          <w:numId w:val="72"/>
        </w:numPr>
        <w:autoSpaceDE/>
        <w:autoSpaceDN/>
        <w:jc w:val="both"/>
        <w:rPr>
          <w:rFonts w:eastAsia="Calibri"/>
          <w:highlight w:val="white"/>
        </w:rPr>
      </w:pPr>
      <w:proofErr w:type="spellStart"/>
      <w:r w:rsidRPr="00204DBD">
        <w:rPr>
          <w:highlight w:val="white"/>
        </w:rPr>
        <w:t>Breslow</w:t>
      </w:r>
      <w:proofErr w:type="spellEnd"/>
      <w:r w:rsidRPr="00204DBD">
        <w:rPr>
          <w:highlight w:val="white"/>
        </w:rPr>
        <w:t xml:space="preserve">, L., </w:t>
      </w:r>
      <w:proofErr w:type="spellStart"/>
      <w:r w:rsidRPr="00204DBD">
        <w:rPr>
          <w:highlight w:val="white"/>
        </w:rPr>
        <w:t>Pritchard</w:t>
      </w:r>
      <w:proofErr w:type="spellEnd"/>
      <w:r w:rsidRPr="00204DBD">
        <w:rPr>
          <w:highlight w:val="white"/>
        </w:rPr>
        <w:t xml:space="preserve">, D.E., </w:t>
      </w:r>
      <w:proofErr w:type="spellStart"/>
      <w:r w:rsidRPr="00204DBD">
        <w:rPr>
          <w:highlight w:val="white"/>
        </w:rPr>
        <w:t>DeBoer</w:t>
      </w:r>
      <w:proofErr w:type="spellEnd"/>
      <w:r w:rsidRPr="00204DBD">
        <w:rPr>
          <w:highlight w:val="white"/>
        </w:rPr>
        <w:t xml:space="preserve">, J., </w:t>
      </w:r>
      <w:proofErr w:type="spellStart"/>
      <w:r w:rsidRPr="00204DBD">
        <w:rPr>
          <w:highlight w:val="white"/>
        </w:rPr>
        <w:t>Stump</w:t>
      </w:r>
      <w:proofErr w:type="spellEnd"/>
      <w:r w:rsidRPr="00204DBD">
        <w:rPr>
          <w:highlight w:val="white"/>
        </w:rPr>
        <w:t xml:space="preserve">, G.S., </w:t>
      </w:r>
      <w:proofErr w:type="spellStart"/>
      <w:r w:rsidRPr="00204DBD">
        <w:rPr>
          <w:highlight w:val="white"/>
        </w:rPr>
        <w:t>Ho</w:t>
      </w:r>
      <w:proofErr w:type="spellEnd"/>
      <w:r w:rsidRPr="00204DBD">
        <w:rPr>
          <w:highlight w:val="white"/>
        </w:rPr>
        <w:t xml:space="preserve">, A.D. &amp; </w:t>
      </w:r>
      <w:proofErr w:type="spellStart"/>
      <w:r w:rsidRPr="00204DBD">
        <w:rPr>
          <w:highlight w:val="white"/>
        </w:rPr>
        <w:t>Seaton</w:t>
      </w:r>
      <w:proofErr w:type="spellEnd"/>
      <w:r w:rsidRPr="00204DBD">
        <w:rPr>
          <w:highlight w:val="white"/>
        </w:rPr>
        <w:t xml:space="preserve">, D.T. (2013). </w:t>
      </w:r>
      <w:proofErr w:type="spellStart"/>
      <w:r w:rsidRPr="00204DBD">
        <w:rPr>
          <w:highlight w:val="white"/>
        </w:rPr>
        <w:t>Studying</w:t>
      </w:r>
      <w:proofErr w:type="spellEnd"/>
      <w:r w:rsidRPr="00204DBD">
        <w:rPr>
          <w:highlight w:val="white"/>
        </w:rPr>
        <w:t xml:space="preserve"> Learning in </w:t>
      </w:r>
      <w:proofErr w:type="spellStart"/>
      <w:r w:rsidRPr="00204DBD">
        <w:rPr>
          <w:highlight w:val="white"/>
        </w:rPr>
        <w:t>the</w:t>
      </w:r>
      <w:proofErr w:type="spellEnd"/>
      <w:r w:rsidRPr="00204DBD">
        <w:rPr>
          <w:highlight w:val="white"/>
        </w:rPr>
        <w:t xml:space="preserve"> </w:t>
      </w:r>
      <w:proofErr w:type="spellStart"/>
      <w:r w:rsidRPr="00204DBD">
        <w:rPr>
          <w:highlight w:val="white"/>
        </w:rPr>
        <w:t>Worldwide</w:t>
      </w:r>
      <w:proofErr w:type="spellEnd"/>
      <w:r w:rsidRPr="00204DBD">
        <w:rPr>
          <w:highlight w:val="white"/>
        </w:rPr>
        <w:t xml:space="preserve"> </w:t>
      </w:r>
      <w:proofErr w:type="spellStart"/>
      <w:r w:rsidRPr="00204DBD">
        <w:rPr>
          <w:highlight w:val="white"/>
        </w:rPr>
        <w:t>Classroom</w:t>
      </w:r>
      <w:proofErr w:type="spellEnd"/>
      <w:r w:rsidRPr="00204DBD">
        <w:rPr>
          <w:highlight w:val="white"/>
        </w:rPr>
        <w:t xml:space="preserve"> </w:t>
      </w:r>
      <w:proofErr w:type="spellStart"/>
      <w:r w:rsidRPr="00204DBD">
        <w:rPr>
          <w:highlight w:val="white"/>
        </w:rPr>
        <w:t>Research</w:t>
      </w:r>
      <w:proofErr w:type="spellEnd"/>
      <w:r w:rsidRPr="00204DBD">
        <w:rPr>
          <w:highlight w:val="white"/>
        </w:rPr>
        <w:t xml:space="preserve"> </w:t>
      </w:r>
      <w:proofErr w:type="spellStart"/>
      <w:r w:rsidRPr="00204DBD">
        <w:rPr>
          <w:highlight w:val="white"/>
        </w:rPr>
        <w:t>into</w:t>
      </w:r>
      <w:proofErr w:type="spellEnd"/>
      <w:r w:rsidRPr="00204DBD">
        <w:rPr>
          <w:highlight w:val="white"/>
        </w:rPr>
        <w:t xml:space="preserve"> </w:t>
      </w:r>
      <w:proofErr w:type="spellStart"/>
      <w:r w:rsidRPr="00204DBD">
        <w:rPr>
          <w:highlight w:val="white"/>
        </w:rPr>
        <w:t>edX</w:t>
      </w:r>
      <w:r w:rsidR="000A70F0">
        <w:rPr>
          <w:highlight w:val="white"/>
        </w:rPr>
        <w:t>’</w:t>
      </w:r>
      <w:r w:rsidRPr="00204DBD">
        <w:rPr>
          <w:highlight w:val="white"/>
        </w:rPr>
        <w:t>s</w:t>
      </w:r>
      <w:proofErr w:type="spellEnd"/>
      <w:r w:rsidRPr="00204DBD">
        <w:rPr>
          <w:highlight w:val="white"/>
        </w:rPr>
        <w:t xml:space="preserve"> First MOOC. </w:t>
      </w:r>
      <w:proofErr w:type="spellStart"/>
      <w:r w:rsidRPr="00204DBD">
        <w:rPr>
          <w:highlight w:val="white"/>
        </w:rPr>
        <w:t>Research</w:t>
      </w:r>
      <w:proofErr w:type="spellEnd"/>
      <w:r w:rsidRPr="00204DBD">
        <w:rPr>
          <w:highlight w:val="white"/>
        </w:rPr>
        <w:t xml:space="preserve"> &amp; </w:t>
      </w:r>
      <w:proofErr w:type="spellStart"/>
      <w:r w:rsidRPr="00204DBD">
        <w:rPr>
          <w:highlight w:val="white"/>
        </w:rPr>
        <w:t>Practice</w:t>
      </w:r>
      <w:proofErr w:type="spellEnd"/>
      <w:r w:rsidRPr="00204DBD">
        <w:rPr>
          <w:highlight w:val="white"/>
        </w:rPr>
        <w:t xml:space="preserve"> in </w:t>
      </w:r>
      <w:proofErr w:type="spellStart"/>
      <w:r w:rsidRPr="00204DBD">
        <w:rPr>
          <w:highlight w:val="white"/>
        </w:rPr>
        <w:t>Assessment</w:t>
      </w:r>
      <w:proofErr w:type="spellEnd"/>
      <w:r w:rsidRPr="00204DBD">
        <w:rPr>
          <w:highlight w:val="white"/>
        </w:rPr>
        <w:t>, 8, 13-25.</w:t>
      </w:r>
    </w:p>
    <w:p w14:paraId="11951D45" w14:textId="77777777" w:rsidR="00E3302B" w:rsidRPr="00204DBD" w:rsidRDefault="00E3302B">
      <w:pPr>
        <w:widowControl/>
        <w:numPr>
          <w:ilvl w:val="0"/>
          <w:numId w:val="72"/>
        </w:numPr>
        <w:autoSpaceDE/>
        <w:autoSpaceDN/>
        <w:contextualSpacing/>
        <w:jc w:val="both"/>
        <w:rPr>
          <w:rFonts w:eastAsia="Calibri"/>
          <w:shd w:val="clear" w:color="auto" w:fill="EAEAEA"/>
        </w:rPr>
      </w:pPr>
      <w:proofErr w:type="spellStart"/>
      <w:r w:rsidRPr="00204DBD">
        <w:rPr>
          <w:highlight w:val="white"/>
        </w:rPr>
        <w:t>Booth</w:t>
      </w:r>
      <w:proofErr w:type="spellEnd"/>
      <w:r w:rsidRPr="00204DBD">
        <w:rPr>
          <w:highlight w:val="white"/>
        </w:rPr>
        <w:t xml:space="preserve"> N., </w:t>
      </w:r>
      <w:proofErr w:type="spellStart"/>
      <w:r w:rsidRPr="00204DBD">
        <w:rPr>
          <w:highlight w:val="white"/>
        </w:rPr>
        <w:t>Matic</w:t>
      </w:r>
      <w:proofErr w:type="spellEnd"/>
      <w:r w:rsidRPr="00204DBD">
        <w:rPr>
          <w:highlight w:val="white"/>
        </w:rPr>
        <w:t xml:space="preserve">, J. A. (2011). </w:t>
      </w:r>
      <w:proofErr w:type="spellStart"/>
      <w:r w:rsidRPr="00204DBD">
        <w:rPr>
          <w:highlight w:val="white"/>
        </w:rPr>
        <w:t>Mapping</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leveraging</w:t>
      </w:r>
      <w:proofErr w:type="spellEnd"/>
      <w:r w:rsidRPr="00204DBD">
        <w:rPr>
          <w:highlight w:val="white"/>
        </w:rPr>
        <w:t xml:space="preserve"> </w:t>
      </w:r>
      <w:proofErr w:type="spellStart"/>
      <w:r w:rsidRPr="00204DBD">
        <w:rPr>
          <w:highlight w:val="white"/>
        </w:rPr>
        <w:t>influencers</w:t>
      </w:r>
      <w:proofErr w:type="spellEnd"/>
      <w:r w:rsidRPr="00204DBD">
        <w:rPr>
          <w:highlight w:val="white"/>
        </w:rPr>
        <w:t xml:space="preserve"> in </w:t>
      </w:r>
      <w:proofErr w:type="spellStart"/>
      <w:r w:rsidRPr="00204DBD">
        <w:rPr>
          <w:highlight w:val="white"/>
        </w:rPr>
        <w:t>social</w:t>
      </w:r>
      <w:proofErr w:type="spellEnd"/>
      <w:r w:rsidRPr="00204DBD">
        <w:rPr>
          <w:highlight w:val="white"/>
        </w:rPr>
        <w:t xml:space="preserve"> </w:t>
      </w:r>
      <w:proofErr w:type="spellStart"/>
      <w:r w:rsidRPr="00204DBD">
        <w:rPr>
          <w:highlight w:val="white"/>
        </w:rPr>
        <w:t>media</w:t>
      </w:r>
      <w:proofErr w:type="spellEnd"/>
      <w:r w:rsidRPr="00204DBD">
        <w:rPr>
          <w:highlight w:val="white"/>
        </w:rPr>
        <w:t xml:space="preserve"> </w:t>
      </w:r>
      <w:proofErr w:type="spellStart"/>
      <w:r w:rsidRPr="00204DBD">
        <w:rPr>
          <w:highlight w:val="white"/>
        </w:rPr>
        <w:t>to</w:t>
      </w:r>
      <w:proofErr w:type="spellEnd"/>
      <w:r w:rsidRPr="00204DBD">
        <w:rPr>
          <w:highlight w:val="white"/>
        </w:rPr>
        <w:t xml:space="preserve"> </w:t>
      </w:r>
      <w:proofErr w:type="spellStart"/>
      <w:r w:rsidRPr="00204DBD">
        <w:rPr>
          <w:highlight w:val="white"/>
        </w:rPr>
        <w:t>shape</w:t>
      </w:r>
      <w:proofErr w:type="spellEnd"/>
      <w:r w:rsidRPr="00204DBD">
        <w:rPr>
          <w:highlight w:val="white"/>
        </w:rPr>
        <w:t xml:space="preserve"> </w:t>
      </w:r>
      <w:proofErr w:type="spellStart"/>
      <w:r w:rsidRPr="00204DBD">
        <w:rPr>
          <w:highlight w:val="white"/>
        </w:rPr>
        <w:t>corporate</w:t>
      </w:r>
      <w:proofErr w:type="spellEnd"/>
      <w:r w:rsidRPr="00204DBD">
        <w:rPr>
          <w:highlight w:val="white"/>
        </w:rPr>
        <w:t xml:space="preserve"> </w:t>
      </w:r>
      <w:proofErr w:type="spellStart"/>
      <w:r w:rsidRPr="00204DBD">
        <w:rPr>
          <w:highlight w:val="white"/>
        </w:rPr>
        <w:t>brand</w:t>
      </w:r>
      <w:proofErr w:type="spellEnd"/>
      <w:r w:rsidRPr="00204DBD">
        <w:rPr>
          <w:highlight w:val="white"/>
        </w:rPr>
        <w:t xml:space="preserve"> </w:t>
      </w:r>
      <w:proofErr w:type="spellStart"/>
      <w:r w:rsidRPr="00204DBD">
        <w:rPr>
          <w:highlight w:val="white"/>
        </w:rPr>
        <w:t>perceptions</w:t>
      </w:r>
      <w:proofErr w:type="spellEnd"/>
      <w:r w:rsidRPr="00204DBD">
        <w:rPr>
          <w:highlight w:val="white"/>
        </w:rPr>
        <w:t xml:space="preserve">, </w:t>
      </w:r>
      <w:proofErr w:type="spellStart"/>
      <w:r w:rsidRPr="00204DBD">
        <w:rPr>
          <w:highlight w:val="white"/>
        </w:rPr>
        <w:t>Corporate</w:t>
      </w:r>
      <w:proofErr w:type="spellEnd"/>
      <w:r w:rsidRPr="00204DBD">
        <w:rPr>
          <w:highlight w:val="white"/>
        </w:rPr>
        <w:t xml:space="preserve"> Communications: An International </w:t>
      </w:r>
      <w:proofErr w:type="spellStart"/>
      <w:r w:rsidRPr="00204DBD">
        <w:rPr>
          <w:highlight w:val="white"/>
        </w:rPr>
        <w:t>Journal</w:t>
      </w:r>
      <w:proofErr w:type="spellEnd"/>
      <w:r w:rsidRPr="00204DBD">
        <w:rPr>
          <w:highlight w:val="white"/>
        </w:rPr>
        <w:t xml:space="preserve">, 16(3), </w:t>
      </w:r>
      <w:proofErr w:type="gramStart"/>
      <w:r w:rsidRPr="00204DBD">
        <w:rPr>
          <w:highlight w:val="white"/>
        </w:rPr>
        <w:t>184 -</w:t>
      </w:r>
      <w:proofErr w:type="gramEnd"/>
      <w:r w:rsidRPr="00204DBD">
        <w:rPr>
          <w:highlight w:val="white"/>
        </w:rPr>
        <w:t>191.</w:t>
      </w:r>
    </w:p>
    <w:p w14:paraId="2090A23B" w14:textId="77777777" w:rsidR="00E3302B" w:rsidRPr="00204DBD" w:rsidRDefault="00E3302B">
      <w:pPr>
        <w:widowControl/>
        <w:numPr>
          <w:ilvl w:val="0"/>
          <w:numId w:val="72"/>
        </w:numPr>
        <w:autoSpaceDE/>
        <w:autoSpaceDN/>
        <w:jc w:val="both"/>
        <w:rPr>
          <w:rFonts w:eastAsia="Calibri"/>
        </w:rPr>
      </w:pPr>
      <w:proofErr w:type="spellStart"/>
      <w:r w:rsidRPr="00204DBD">
        <w:t>Casaló</w:t>
      </w:r>
      <w:proofErr w:type="spellEnd"/>
      <w:r w:rsidRPr="00204DBD">
        <w:t xml:space="preserve">, L. V., </w:t>
      </w:r>
      <w:proofErr w:type="spellStart"/>
      <w:r w:rsidRPr="00204DBD">
        <w:t>Flavián</w:t>
      </w:r>
      <w:proofErr w:type="spellEnd"/>
      <w:r w:rsidRPr="00204DBD">
        <w:t xml:space="preserve">, C., &amp; </w:t>
      </w:r>
      <w:proofErr w:type="spellStart"/>
      <w:r w:rsidRPr="00204DBD">
        <w:t>Ibáñez-Sánchez</w:t>
      </w:r>
      <w:proofErr w:type="spellEnd"/>
      <w:r w:rsidRPr="00204DBD">
        <w:t xml:space="preserve">, S. (2018). </w:t>
      </w:r>
      <w:r w:rsidRPr="00204DBD">
        <w:rPr>
          <w:i/>
        </w:rPr>
        <w:t>“</w:t>
      </w:r>
      <w:proofErr w:type="spellStart"/>
      <w:r w:rsidRPr="00204DBD">
        <w:rPr>
          <w:i/>
        </w:rPr>
        <w:t>Influencers</w:t>
      </w:r>
      <w:proofErr w:type="spellEnd"/>
      <w:r w:rsidRPr="00204DBD">
        <w:rPr>
          <w:i/>
        </w:rPr>
        <w:t xml:space="preserve"> on Instagram: </w:t>
      </w:r>
      <w:proofErr w:type="spellStart"/>
      <w:r w:rsidRPr="00204DBD">
        <w:rPr>
          <w:i/>
        </w:rPr>
        <w:t>Antecedents</w:t>
      </w:r>
      <w:proofErr w:type="spellEnd"/>
      <w:r w:rsidRPr="00204DBD">
        <w:rPr>
          <w:i/>
        </w:rPr>
        <w:t xml:space="preserve"> </w:t>
      </w:r>
      <w:proofErr w:type="spellStart"/>
      <w:r w:rsidRPr="00204DBD">
        <w:rPr>
          <w:i/>
        </w:rPr>
        <w:t>and</w:t>
      </w:r>
      <w:proofErr w:type="spellEnd"/>
      <w:r w:rsidRPr="00204DBD">
        <w:rPr>
          <w:i/>
        </w:rPr>
        <w:t xml:space="preserve"> </w:t>
      </w:r>
      <w:proofErr w:type="spellStart"/>
      <w:r w:rsidRPr="00204DBD">
        <w:rPr>
          <w:i/>
        </w:rPr>
        <w:t>consequences</w:t>
      </w:r>
      <w:proofErr w:type="spellEnd"/>
      <w:r w:rsidRPr="00204DBD">
        <w:rPr>
          <w:i/>
        </w:rPr>
        <w:t xml:space="preserve"> of </w:t>
      </w:r>
      <w:proofErr w:type="spellStart"/>
      <w:r w:rsidRPr="00204DBD">
        <w:rPr>
          <w:i/>
        </w:rPr>
        <w:t>their</w:t>
      </w:r>
      <w:proofErr w:type="spellEnd"/>
      <w:r w:rsidRPr="00204DBD">
        <w:rPr>
          <w:i/>
        </w:rPr>
        <w:t xml:space="preserve"> </w:t>
      </w:r>
      <w:proofErr w:type="spellStart"/>
      <w:r w:rsidRPr="00204DBD">
        <w:rPr>
          <w:i/>
        </w:rPr>
        <w:t>impact</w:t>
      </w:r>
      <w:proofErr w:type="spellEnd"/>
      <w:r w:rsidRPr="00204DBD">
        <w:rPr>
          <w:i/>
        </w:rPr>
        <w:t xml:space="preserve"> on </w:t>
      </w:r>
      <w:proofErr w:type="spellStart"/>
      <w:r w:rsidRPr="00204DBD">
        <w:rPr>
          <w:i/>
        </w:rPr>
        <w:t>consumer</w:t>
      </w:r>
      <w:proofErr w:type="spellEnd"/>
      <w:r w:rsidRPr="00204DBD">
        <w:rPr>
          <w:i/>
        </w:rPr>
        <w:t xml:space="preserve"> </w:t>
      </w:r>
      <w:proofErr w:type="spellStart"/>
      <w:r w:rsidRPr="00204DBD">
        <w:rPr>
          <w:i/>
        </w:rPr>
        <w:t>behavior</w:t>
      </w:r>
      <w:proofErr w:type="spellEnd"/>
      <w:r w:rsidRPr="00204DBD">
        <w:rPr>
          <w:i/>
        </w:rPr>
        <w:t>.”</w:t>
      </w:r>
      <w:r w:rsidRPr="00204DBD">
        <w:t xml:space="preserve"> </w:t>
      </w:r>
      <w:proofErr w:type="spellStart"/>
      <w:r w:rsidRPr="00204DBD">
        <w:rPr>
          <w:i/>
        </w:rPr>
        <w:t>Journal</w:t>
      </w:r>
      <w:proofErr w:type="spellEnd"/>
      <w:r w:rsidRPr="00204DBD">
        <w:rPr>
          <w:i/>
        </w:rPr>
        <w:t xml:space="preserve"> of Business </w:t>
      </w:r>
      <w:proofErr w:type="spellStart"/>
      <w:r w:rsidRPr="00204DBD">
        <w:rPr>
          <w:i/>
        </w:rPr>
        <w:t>Research</w:t>
      </w:r>
      <w:proofErr w:type="spellEnd"/>
      <w:r w:rsidRPr="00204DBD">
        <w:t>, 92, 278-289.</w:t>
      </w:r>
    </w:p>
    <w:p w14:paraId="67AC73D1" w14:textId="77777777" w:rsidR="00E3302B" w:rsidRPr="00204DBD" w:rsidRDefault="00E3302B">
      <w:pPr>
        <w:widowControl/>
        <w:numPr>
          <w:ilvl w:val="0"/>
          <w:numId w:val="72"/>
        </w:numPr>
        <w:autoSpaceDE/>
        <w:autoSpaceDN/>
        <w:jc w:val="both"/>
        <w:rPr>
          <w:rFonts w:eastAsia="Calibri"/>
          <w:highlight w:val="white"/>
        </w:rPr>
      </w:pPr>
      <w:proofErr w:type="spellStart"/>
      <w:r w:rsidRPr="00204DBD">
        <w:t>Castells</w:t>
      </w:r>
      <w:proofErr w:type="spellEnd"/>
      <w:r w:rsidRPr="00204DBD">
        <w:t xml:space="preserve">, M. (2012). Networks of </w:t>
      </w:r>
      <w:proofErr w:type="spellStart"/>
      <w:r w:rsidRPr="00204DBD">
        <w:t>outrage</w:t>
      </w:r>
      <w:proofErr w:type="spellEnd"/>
      <w:r w:rsidRPr="00204DBD">
        <w:t xml:space="preserve"> </w:t>
      </w:r>
      <w:proofErr w:type="spellStart"/>
      <w:r w:rsidRPr="00204DBD">
        <w:t>and</w:t>
      </w:r>
      <w:proofErr w:type="spellEnd"/>
      <w:r w:rsidRPr="00204DBD">
        <w:t xml:space="preserve"> </w:t>
      </w:r>
      <w:proofErr w:type="spellStart"/>
      <w:r w:rsidRPr="00204DBD">
        <w:t>hope</w:t>
      </w:r>
      <w:proofErr w:type="spellEnd"/>
      <w:r w:rsidRPr="00204DBD">
        <w:t xml:space="preserve">: </w:t>
      </w:r>
      <w:proofErr w:type="spellStart"/>
      <w:r w:rsidRPr="00204DBD">
        <w:t>Social</w:t>
      </w:r>
      <w:proofErr w:type="spellEnd"/>
      <w:r w:rsidRPr="00204DBD">
        <w:t xml:space="preserve"> </w:t>
      </w:r>
      <w:proofErr w:type="spellStart"/>
      <w:r w:rsidRPr="00204DBD">
        <w:t>movements</w:t>
      </w:r>
      <w:proofErr w:type="spellEnd"/>
      <w:r w:rsidRPr="00204DBD">
        <w:t xml:space="preserve"> in </w:t>
      </w:r>
      <w:proofErr w:type="spellStart"/>
      <w:r w:rsidRPr="00204DBD">
        <w:t>the</w:t>
      </w:r>
      <w:proofErr w:type="spellEnd"/>
      <w:r w:rsidRPr="00204DBD">
        <w:t xml:space="preserve"> Internet age. Cambridge: </w:t>
      </w:r>
      <w:proofErr w:type="spellStart"/>
      <w:r w:rsidRPr="00204DBD">
        <w:t>Polity</w:t>
      </w:r>
      <w:proofErr w:type="spellEnd"/>
    </w:p>
    <w:p w14:paraId="5DE41694" w14:textId="77777777" w:rsidR="00E3302B" w:rsidRPr="00204DBD" w:rsidRDefault="00E3302B">
      <w:pPr>
        <w:widowControl/>
        <w:numPr>
          <w:ilvl w:val="0"/>
          <w:numId w:val="72"/>
        </w:numPr>
        <w:autoSpaceDE/>
        <w:autoSpaceDN/>
        <w:jc w:val="both"/>
        <w:rPr>
          <w:rFonts w:eastAsia="Calibri"/>
          <w:highlight w:val="white"/>
        </w:rPr>
      </w:pPr>
      <w:r w:rsidRPr="00204DBD">
        <w:rPr>
          <w:highlight w:val="white"/>
        </w:rPr>
        <w:t xml:space="preserve">Christoph </w:t>
      </w:r>
      <w:proofErr w:type="spellStart"/>
      <w:r w:rsidRPr="00204DBD">
        <w:rPr>
          <w:highlight w:val="white"/>
        </w:rPr>
        <w:t>Klimmt</w:t>
      </w:r>
      <w:proofErr w:type="spellEnd"/>
      <w:r w:rsidRPr="00204DBD">
        <w:rPr>
          <w:highlight w:val="white"/>
        </w:rPr>
        <w:t xml:space="preserve">, </w:t>
      </w:r>
      <w:proofErr w:type="spellStart"/>
      <w:r w:rsidRPr="00204DBD">
        <w:rPr>
          <w:highlight w:val="white"/>
        </w:rPr>
        <w:t>Dorothée</w:t>
      </w:r>
      <w:proofErr w:type="spellEnd"/>
      <w:r w:rsidRPr="00204DBD">
        <w:rPr>
          <w:highlight w:val="white"/>
        </w:rPr>
        <w:t xml:space="preserve"> </w:t>
      </w:r>
      <w:proofErr w:type="spellStart"/>
      <w:r w:rsidRPr="00204DBD">
        <w:rPr>
          <w:highlight w:val="white"/>
        </w:rPr>
        <w:t>Hefner</w:t>
      </w:r>
      <w:proofErr w:type="spellEnd"/>
      <w:r w:rsidRPr="00204DBD">
        <w:rPr>
          <w:highlight w:val="white"/>
        </w:rPr>
        <w:t xml:space="preserve">, Peter </w:t>
      </w:r>
      <w:proofErr w:type="spellStart"/>
      <w:r w:rsidRPr="00204DBD">
        <w:rPr>
          <w:highlight w:val="white"/>
        </w:rPr>
        <w:t>Vorderer</w:t>
      </w:r>
      <w:proofErr w:type="spellEnd"/>
      <w:r w:rsidRPr="00204DBD">
        <w:rPr>
          <w:highlight w:val="white"/>
        </w:rPr>
        <w:t xml:space="preserve">, </w:t>
      </w:r>
      <w:proofErr w:type="spellStart"/>
      <w:r w:rsidRPr="00204DBD">
        <w:rPr>
          <w:highlight w:val="white"/>
        </w:rPr>
        <w:t>The</w:t>
      </w:r>
      <w:proofErr w:type="spellEnd"/>
      <w:r w:rsidRPr="00204DBD">
        <w:rPr>
          <w:highlight w:val="white"/>
        </w:rPr>
        <w:t xml:space="preserve"> Video Game </w:t>
      </w:r>
      <w:proofErr w:type="spellStart"/>
      <w:r w:rsidRPr="00204DBD">
        <w:rPr>
          <w:highlight w:val="white"/>
        </w:rPr>
        <w:t>Experience</w:t>
      </w:r>
      <w:proofErr w:type="spellEnd"/>
      <w:r w:rsidRPr="00204DBD">
        <w:rPr>
          <w:highlight w:val="white"/>
        </w:rPr>
        <w:t xml:space="preserve"> as “True” </w:t>
      </w:r>
      <w:proofErr w:type="spellStart"/>
      <w:r w:rsidRPr="00204DBD">
        <w:rPr>
          <w:highlight w:val="white"/>
        </w:rPr>
        <w:t>Identification</w:t>
      </w:r>
      <w:proofErr w:type="spellEnd"/>
      <w:r w:rsidRPr="00204DBD">
        <w:rPr>
          <w:highlight w:val="white"/>
        </w:rPr>
        <w:t xml:space="preserve">: A </w:t>
      </w:r>
      <w:proofErr w:type="spellStart"/>
      <w:r w:rsidRPr="00204DBD">
        <w:rPr>
          <w:highlight w:val="white"/>
        </w:rPr>
        <w:t>Theory</w:t>
      </w:r>
      <w:proofErr w:type="spellEnd"/>
      <w:r w:rsidRPr="00204DBD">
        <w:rPr>
          <w:highlight w:val="white"/>
        </w:rPr>
        <w:t xml:space="preserve"> of </w:t>
      </w:r>
      <w:proofErr w:type="spellStart"/>
      <w:r w:rsidRPr="00204DBD">
        <w:rPr>
          <w:highlight w:val="white"/>
        </w:rPr>
        <w:t>Enjoyable</w:t>
      </w:r>
      <w:proofErr w:type="spellEnd"/>
      <w:r w:rsidRPr="00204DBD">
        <w:rPr>
          <w:highlight w:val="white"/>
        </w:rPr>
        <w:t xml:space="preserve"> </w:t>
      </w:r>
      <w:proofErr w:type="spellStart"/>
      <w:r w:rsidRPr="00204DBD">
        <w:rPr>
          <w:highlight w:val="white"/>
        </w:rPr>
        <w:t>Alterations</w:t>
      </w:r>
      <w:proofErr w:type="spellEnd"/>
      <w:r w:rsidRPr="00204DBD">
        <w:rPr>
          <w:highlight w:val="white"/>
        </w:rPr>
        <w:t xml:space="preserve"> of </w:t>
      </w:r>
      <w:proofErr w:type="spellStart"/>
      <w:r w:rsidRPr="00204DBD">
        <w:rPr>
          <w:highlight w:val="white"/>
        </w:rPr>
        <w:t>Players</w:t>
      </w:r>
      <w:proofErr w:type="spellEnd"/>
      <w:r w:rsidRPr="00204DBD">
        <w:rPr>
          <w:highlight w:val="white"/>
        </w:rPr>
        <w:t>’ Self-</w:t>
      </w:r>
      <w:proofErr w:type="spellStart"/>
      <w:r w:rsidRPr="00204DBD">
        <w:rPr>
          <w:highlight w:val="white"/>
        </w:rPr>
        <w:t>Perception</w:t>
      </w:r>
      <w:proofErr w:type="spellEnd"/>
      <w:r w:rsidRPr="00204DBD">
        <w:rPr>
          <w:highlight w:val="white"/>
        </w:rPr>
        <w:t xml:space="preserve">, </w:t>
      </w:r>
      <w:proofErr w:type="spellStart"/>
      <w:r w:rsidRPr="00204DBD">
        <w:rPr>
          <w:i/>
          <w:highlight w:val="white"/>
        </w:rPr>
        <w:t>Communication</w:t>
      </w:r>
      <w:proofErr w:type="spellEnd"/>
      <w:r w:rsidRPr="00204DBD">
        <w:rPr>
          <w:i/>
          <w:highlight w:val="white"/>
        </w:rPr>
        <w:t xml:space="preserve"> </w:t>
      </w:r>
      <w:proofErr w:type="spellStart"/>
      <w:r w:rsidRPr="00204DBD">
        <w:rPr>
          <w:i/>
          <w:highlight w:val="white"/>
        </w:rPr>
        <w:t>Theory</w:t>
      </w:r>
      <w:proofErr w:type="spellEnd"/>
      <w:r w:rsidRPr="00204DBD">
        <w:rPr>
          <w:highlight w:val="white"/>
        </w:rPr>
        <w:t xml:space="preserve">, Volume 19, </w:t>
      </w:r>
      <w:proofErr w:type="spellStart"/>
      <w:r w:rsidRPr="00204DBD">
        <w:rPr>
          <w:highlight w:val="white"/>
        </w:rPr>
        <w:t>Issue</w:t>
      </w:r>
      <w:proofErr w:type="spellEnd"/>
      <w:r w:rsidRPr="00204DBD">
        <w:rPr>
          <w:highlight w:val="white"/>
        </w:rPr>
        <w:t xml:space="preserve"> 4, </w:t>
      </w:r>
      <w:proofErr w:type="spellStart"/>
      <w:r w:rsidRPr="00204DBD">
        <w:rPr>
          <w:highlight w:val="white"/>
        </w:rPr>
        <w:t>November</w:t>
      </w:r>
      <w:proofErr w:type="spellEnd"/>
      <w:r w:rsidRPr="00204DBD">
        <w:rPr>
          <w:highlight w:val="white"/>
        </w:rPr>
        <w:t xml:space="preserve"> 2009, </w:t>
      </w:r>
      <w:proofErr w:type="spellStart"/>
      <w:r w:rsidRPr="00204DBD">
        <w:rPr>
          <w:highlight w:val="white"/>
        </w:rPr>
        <w:t>Pages</w:t>
      </w:r>
      <w:proofErr w:type="spellEnd"/>
      <w:r w:rsidRPr="00204DBD">
        <w:rPr>
          <w:highlight w:val="white"/>
        </w:rPr>
        <w:t xml:space="preserve"> 351–373, </w:t>
      </w:r>
      <w:hyperlink r:id="rId22">
        <w:r w:rsidRPr="00204DBD">
          <w:rPr>
            <w:highlight w:val="white"/>
          </w:rPr>
          <w:t>https://doi.org/10.1111/j.1468-2885.2009.01347.x</w:t>
        </w:r>
      </w:hyperlink>
    </w:p>
    <w:p w14:paraId="12431D0F" w14:textId="77777777" w:rsidR="00E3302B" w:rsidRPr="00204DBD" w:rsidRDefault="00E3302B">
      <w:pPr>
        <w:widowControl/>
        <w:numPr>
          <w:ilvl w:val="0"/>
          <w:numId w:val="72"/>
        </w:numPr>
        <w:autoSpaceDE/>
        <w:autoSpaceDN/>
        <w:jc w:val="both"/>
        <w:rPr>
          <w:rFonts w:eastAsia="Calibri"/>
          <w:highlight w:val="white"/>
        </w:rPr>
      </w:pPr>
      <w:r w:rsidRPr="00204DBD">
        <w:rPr>
          <w:highlight w:val="white"/>
        </w:rPr>
        <w:t xml:space="preserve">Cheng, N., &amp; Dong, K. (2018). Knowledge </w:t>
      </w:r>
      <w:proofErr w:type="spellStart"/>
      <w:r w:rsidRPr="00204DBD">
        <w:rPr>
          <w:highlight w:val="white"/>
        </w:rPr>
        <w:t>communication</w:t>
      </w:r>
      <w:proofErr w:type="spellEnd"/>
      <w:r w:rsidRPr="00204DBD">
        <w:rPr>
          <w:highlight w:val="white"/>
        </w:rPr>
        <w:t xml:space="preserve"> on </w:t>
      </w:r>
      <w:proofErr w:type="spellStart"/>
      <w:r w:rsidRPr="00204DBD">
        <w:rPr>
          <w:highlight w:val="white"/>
        </w:rPr>
        <w:t>social</w:t>
      </w:r>
      <w:proofErr w:type="spellEnd"/>
      <w:r w:rsidRPr="00204DBD">
        <w:rPr>
          <w:highlight w:val="white"/>
        </w:rPr>
        <w:t xml:space="preserve"> </w:t>
      </w:r>
      <w:proofErr w:type="spellStart"/>
      <w:r w:rsidRPr="00204DBD">
        <w:rPr>
          <w:highlight w:val="white"/>
        </w:rPr>
        <w:t>media</w:t>
      </w:r>
      <w:proofErr w:type="spellEnd"/>
      <w:r w:rsidRPr="00204DBD">
        <w:rPr>
          <w:highlight w:val="white"/>
        </w:rPr>
        <w:t xml:space="preserve">: a </w:t>
      </w:r>
      <w:proofErr w:type="spellStart"/>
      <w:r w:rsidRPr="00204DBD">
        <w:rPr>
          <w:highlight w:val="white"/>
        </w:rPr>
        <w:t>case</w:t>
      </w:r>
      <w:proofErr w:type="spellEnd"/>
      <w:r w:rsidRPr="00204DBD">
        <w:rPr>
          <w:highlight w:val="white"/>
        </w:rPr>
        <w:t xml:space="preserve"> </w:t>
      </w:r>
      <w:proofErr w:type="spellStart"/>
      <w:r w:rsidRPr="00204DBD">
        <w:rPr>
          <w:highlight w:val="white"/>
        </w:rPr>
        <w:t>study</w:t>
      </w:r>
      <w:proofErr w:type="spellEnd"/>
      <w:r w:rsidRPr="00204DBD">
        <w:rPr>
          <w:highlight w:val="white"/>
        </w:rPr>
        <w:t xml:space="preserve"> of </w:t>
      </w:r>
      <w:proofErr w:type="spellStart"/>
      <w:r w:rsidRPr="00204DBD">
        <w:rPr>
          <w:highlight w:val="white"/>
        </w:rPr>
        <w:t>Biomedical</w:t>
      </w:r>
      <w:proofErr w:type="spellEnd"/>
      <w:r w:rsidRPr="00204DBD">
        <w:rPr>
          <w:highlight w:val="white"/>
        </w:rPr>
        <w:t xml:space="preserve"> </w:t>
      </w:r>
      <w:proofErr w:type="spellStart"/>
      <w:r w:rsidRPr="00204DBD">
        <w:rPr>
          <w:highlight w:val="white"/>
        </w:rPr>
        <w:t>Science</w:t>
      </w:r>
      <w:proofErr w:type="spellEnd"/>
      <w:r w:rsidRPr="00204DBD">
        <w:rPr>
          <w:highlight w:val="white"/>
        </w:rPr>
        <w:t xml:space="preserve"> on </w:t>
      </w:r>
      <w:proofErr w:type="spellStart"/>
      <w:r w:rsidRPr="00204DBD">
        <w:rPr>
          <w:highlight w:val="white"/>
        </w:rPr>
        <w:t>Baidu</w:t>
      </w:r>
      <w:proofErr w:type="spellEnd"/>
      <w:r w:rsidRPr="00204DBD">
        <w:rPr>
          <w:highlight w:val="white"/>
        </w:rPr>
        <w:t xml:space="preserve"> </w:t>
      </w:r>
      <w:proofErr w:type="spellStart"/>
      <w:r w:rsidRPr="00204DBD">
        <w:rPr>
          <w:highlight w:val="white"/>
        </w:rPr>
        <w:t>Baike</w:t>
      </w:r>
      <w:proofErr w:type="spellEnd"/>
      <w:r w:rsidRPr="00204DBD">
        <w:rPr>
          <w:highlight w:val="white"/>
        </w:rPr>
        <w:t xml:space="preserve">. </w:t>
      </w:r>
      <w:proofErr w:type="spellStart"/>
      <w:r w:rsidRPr="00204DBD">
        <w:rPr>
          <w:i/>
          <w:highlight w:val="white"/>
        </w:rPr>
        <w:t>Scientometrics</w:t>
      </w:r>
      <w:proofErr w:type="spellEnd"/>
      <w:r w:rsidRPr="00204DBD">
        <w:rPr>
          <w:highlight w:val="white"/>
        </w:rPr>
        <w:t xml:space="preserve">, </w:t>
      </w:r>
      <w:r w:rsidRPr="00204DBD">
        <w:rPr>
          <w:i/>
          <w:highlight w:val="white"/>
        </w:rPr>
        <w:t>116</w:t>
      </w:r>
      <w:r w:rsidRPr="00204DBD">
        <w:rPr>
          <w:highlight w:val="white"/>
        </w:rPr>
        <w:t>(3), 1749-1770.</w:t>
      </w:r>
    </w:p>
    <w:p w14:paraId="33BE9481" w14:textId="77777777" w:rsidR="00E3302B" w:rsidRPr="00204DBD" w:rsidRDefault="00E3302B">
      <w:pPr>
        <w:widowControl/>
        <w:numPr>
          <w:ilvl w:val="0"/>
          <w:numId w:val="72"/>
        </w:numPr>
        <w:autoSpaceDE/>
        <w:autoSpaceDN/>
        <w:jc w:val="both"/>
        <w:rPr>
          <w:rFonts w:eastAsia="Calibri"/>
          <w:highlight w:val="white"/>
        </w:rPr>
      </w:pPr>
      <w:r w:rsidRPr="00204DBD">
        <w:t xml:space="preserve">Cohen, A. K. (1955). </w:t>
      </w:r>
      <w:proofErr w:type="spellStart"/>
      <w:r w:rsidRPr="00204DBD">
        <w:rPr>
          <w:i/>
          <w:iCs/>
        </w:rPr>
        <w:t>Delinquent</w:t>
      </w:r>
      <w:proofErr w:type="spellEnd"/>
      <w:r w:rsidRPr="00204DBD">
        <w:rPr>
          <w:i/>
          <w:iCs/>
        </w:rPr>
        <w:t xml:space="preserve"> </w:t>
      </w:r>
      <w:proofErr w:type="spellStart"/>
      <w:r w:rsidRPr="00204DBD">
        <w:rPr>
          <w:i/>
          <w:iCs/>
        </w:rPr>
        <w:t>Boys</w:t>
      </w:r>
      <w:proofErr w:type="spellEnd"/>
      <w:r w:rsidRPr="00204DBD">
        <w:rPr>
          <w:i/>
          <w:iCs/>
        </w:rPr>
        <w:t xml:space="preserve">: </w:t>
      </w:r>
      <w:proofErr w:type="spellStart"/>
      <w:r w:rsidRPr="00204DBD">
        <w:rPr>
          <w:i/>
          <w:iCs/>
        </w:rPr>
        <w:t>The</w:t>
      </w:r>
      <w:proofErr w:type="spellEnd"/>
      <w:r w:rsidRPr="00204DBD">
        <w:rPr>
          <w:i/>
          <w:iCs/>
        </w:rPr>
        <w:t xml:space="preserve"> </w:t>
      </w:r>
      <w:proofErr w:type="spellStart"/>
      <w:r w:rsidRPr="00204DBD">
        <w:rPr>
          <w:i/>
          <w:iCs/>
        </w:rPr>
        <w:t>Culture</w:t>
      </w:r>
      <w:proofErr w:type="spellEnd"/>
      <w:r w:rsidRPr="00204DBD">
        <w:rPr>
          <w:i/>
          <w:iCs/>
        </w:rPr>
        <w:t xml:space="preserve"> of </w:t>
      </w:r>
      <w:proofErr w:type="spellStart"/>
      <w:r w:rsidRPr="00204DBD">
        <w:rPr>
          <w:i/>
          <w:iCs/>
        </w:rPr>
        <w:t>the</w:t>
      </w:r>
      <w:proofErr w:type="spellEnd"/>
      <w:r w:rsidRPr="00204DBD">
        <w:rPr>
          <w:i/>
          <w:iCs/>
        </w:rPr>
        <w:t xml:space="preserve"> Gang</w:t>
      </w:r>
      <w:r w:rsidRPr="00204DBD">
        <w:t xml:space="preserve">. New York: </w:t>
      </w:r>
      <w:proofErr w:type="spellStart"/>
      <w:r w:rsidRPr="00204DBD">
        <w:t>Free</w:t>
      </w:r>
      <w:proofErr w:type="spellEnd"/>
      <w:r w:rsidRPr="00204DBD">
        <w:t xml:space="preserve"> </w:t>
      </w:r>
      <w:proofErr w:type="spellStart"/>
      <w:r w:rsidRPr="00204DBD">
        <w:t>Press</w:t>
      </w:r>
      <w:proofErr w:type="spellEnd"/>
      <w:r w:rsidRPr="00204DBD">
        <w:t>.</w:t>
      </w:r>
    </w:p>
    <w:p w14:paraId="3153DA5A" w14:textId="77777777" w:rsidR="00E3302B" w:rsidRPr="00204DBD" w:rsidRDefault="00E3302B">
      <w:pPr>
        <w:widowControl/>
        <w:numPr>
          <w:ilvl w:val="0"/>
          <w:numId w:val="72"/>
        </w:numPr>
        <w:autoSpaceDE/>
        <w:autoSpaceDN/>
        <w:jc w:val="both"/>
        <w:rPr>
          <w:rFonts w:eastAsia="Calibri"/>
        </w:rPr>
      </w:pPr>
      <w:proofErr w:type="spellStart"/>
      <w:r w:rsidRPr="00204DBD">
        <w:t>Cole</w:t>
      </w:r>
      <w:proofErr w:type="spellEnd"/>
      <w:r w:rsidRPr="00204DBD">
        <w:t xml:space="preserve">, H. W., &amp; Griffiths, M. D. (2007). </w:t>
      </w:r>
      <w:r w:rsidRPr="00204DBD">
        <w:rPr>
          <w:i/>
        </w:rPr>
        <w:t>“</w:t>
      </w:r>
      <w:proofErr w:type="spellStart"/>
      <w:r w:rsidRPr="00204DBD">
        <w:rPr>
          <w:i/>
        </w:rPr>
        <w:t>Social</w:t>
      </w:r>
      <w:proofErr w:type="spellEnd"/>
      <w:r w:rsidRPr="00204DBD">
        <w:rPr>
          <w:i/>
        </w:rPr>
        <w:t xml:space="preserve"> </w:t>
      </w:r>
      <w:proofErr w:type="spellStart"/>
      <w:r w:rsidRPr="00204DBD">
        <w:rPr>
          <w:i/>
        </w:rPr>
        <w:t>interactions</w:t>
      </w:r>
      <w:proofErr w:type="spellEnd"/>
      <w:r w:rsidRPr="00204DBD">
        <w:rPr>
          <w:i/>
        </w:rPr>
        <w:t xml:space="preserve"> in </w:t>
      </w:r>
      <w:proofErr w:type="spellStart"/>
      <w:r w:rsidRPr="00204DBD">
        <w:rPr>
          <w:i/>
        </w:rPr>
        <w:t>massively</w:t>
      </w:r>
      <w:proofErr w:type="spellEnd"/>
      <w:r w:rsidRPr="00204DBD">
        <w:rPr>
          <w:i/>
        </w:rPr>
        <w:t xml:space="preserve"> </w:t>
      </w:r>
      <w:proofErr w:type="spellStart"/>
      <w:r w:rsidRPr="00204DBD">
        <w:rPr>
          <w:i/>
        </w:rPr>
        <w:t>multiplayer</w:t>
      </w:r>
      <w:proofErr w:type="spellEnd"/>
      <w:r w:rsidRPr="00204DBD">
        <w:rPr>
          <w:i/>
        </w:rPr>
        <w:t xml:space="preserve"> online role-</w:t>
      </w:r>
      <w:proofErr w:type="spellStart"/>
      <w:r w:rsidRPr="00204DBD">
        <w:rPr>
          <w:i/>
        </w:rPr>
        <w:t>playing</w:t>
      </w:r>
      <w:proofErr w:type="spellEnd"/>
      <w:r w:rsidRPr="00204DBD">
        <w:rPr>
          <w:i/>
        </w:rPr>
        <w:t xml:space="preserve"> </w:t>
      </w:r>
      <w:proofErr w:type="spellStart"/>
      <w:r w:rsidRPr="00204DBD">
        <w:rPr>
          <w:i/>
        </w:rPr>
        <w:t>gamers</w:t>
      </w:r>
      <w:proofErr w:type="spellEnd"/>
      <w:r w:rsidRPr="00204DBD">
        <w:rPr>
          <w:i/>
        </w:rPr>
        <w:t>.”</w:t>
      </w:r>
      <w:r w:rsidRPr="00204DBD">
        <w:t xml:space="preserve"> </w:t>
      </w:r>
      <w:proofErr w:type="spellStart"/>
      <w:r w:rsidRPr="00204DBD">
        <w:rPr>
          <w:i/>
        </w:rPr>
        <w:t>CyberPsychology</w:t>
      </w:r>
      <w:proofErr w:type="spellEnd"/>
      <w:r w:rsidRPr="00204DBD">
        <w:rPr>
          <w:i/>
        </w:rPr>
        <w:t xml:space="preserve"> &amp; </w:t>
      </w:r>
      <w:proofErr w:type="spellStart"/>
      <w:r w:rsidRPr="00204DBD">
        <w:rPr>
          <w:i/>
        </w:rPr>
        <w:t>Behavior</w:t>
      </w:r>
      <w:proofErr w:type="spellEnd"/>
      <w:r w:rsidRPr="00204DBD">
        <w:t>, 10(4), 575-582.</w:t>
      </w:r>
    </w:p>
    <w:p w14:paraId="78EC7F17" w14:textId="77777777" w:rsidR="00E3302B" w:rsidRPr="00204DBD" w:rsidRDefault="00E3302B">
      <w:pPr>
        <w:widowControl/>
        <w:numPr>
          <w:ilvl w:val="0"/>
          <w:numId w:val="72"/>
        </w:numPr>
        <w:autoSpaceDE/>
        <w:autoSpaceDN/>
        <w:jc w:val="both"/>
        <w:rPr>
          <w:rFonts w:eastAsia="Calibri"/>
          <w:highlight w:val="white"/>
        </w:rPr>
      </w:pPr>
      <w:proofErr w:type="spellStart"/>
      <w:r w:rsidRPr="00204DBD">
        <w:t>Coulson</w:t>
      </w:r>
      <w:proofErr w:type="spellEnd"/>
      <w:r w:rsidRPr="00204DBD">
        <w:t xml:space="preserve">, N. S. (2005). </w:t>
      </w:r>
      <w:proofErr w:type="spellStart"/>
      <w:r w:rsidRPr="00204DBD">
        <w:t>Receiving</w:t>
      </w:r>
      <w:proofErr w:type="spellEnd"/>
      <w:r w:rsidRPr="00204DBD">
        <w:t xml:space="preserve"> </w:t>
      </w:r>
      <w:proofErr w:type="spellStart"/>
      <w:r w:rsidRPr="00204DBD">
        <w:t>social</w:t>
      </w:r>
      <w:proofErr w:type="spellEnd"/>
      <w:r w:rsidRPr="00204DBD">
        <w:t xml:space="preserve"> </w:t>
      </w:r>
      <w:proofErr w:type="spellStart"/>
      <w:r w:rsidRPr="00204DBD">
        <w:t>support</w:t>
      </w:r>
      <w:proofErr w:type="spellEnd"/>
      <w:r w:rsidRPr="00204DBD">
        <w:t xml:space="preserve"> online: An </w:t>
      </w:r>
      <w:proofErr w:type="spellStart"/>
      <w:r w:rsidRPr="00204DBD">
        <w:t>analysis</w:t>
      </w:r>
      <w:proofErr w:type="spellEnd"/>
      <w:r w:rsidRPr="00204DBD">
        <w:t xml:space="preserve"> of a </w:t>
      </w:r>
      <w:proofErr w:type="spellStart"/>
      <w:r w:rsidRPr="00204DBD">
        <w:t>computer-mediated</w:t>
      </w:r>
      <w:proofErr w:type="spellEnd"/>
      <w:r w:rsidRPr="00204DBD">
        <w:t xml:space="preserve"> </w:t>
      </w:r>
      <w:proofErr w:type="spellStart"/>
      <w:r w:rsidRPr="00204DBD">
        <w:t>support</w:t>
      </w:r>
      <w:proofErr w:type="spellEnd"/>
      <w:r w:rsidRPr="00204DBD">
        <w:t xml:space="preserve"> </w:t>
      </w:r>
      <w:proofErr w:type="spellStart"/>
      <w:r w:rsidRPr="00204DBD">
        <w:t>group</w:t>
      </w:r>
      <w:proofErr w:type="spellEnd"/>
      <w:r w:rsidRPr="00204DBD">
        <w:t xml:space="preserve"> </w:t>
      </w:r>
      <w:proofErr w:type="spellStart"/>
      <w:r w:rsidRPr="00204DBD">
        <w:t>for</w:t>
      </w:r>
      <w:proofErr w:type="spellEnd"/>
      <w:r w:rsidRPr="00204DBD">
        <w:t xml:space="preserve"> </w:t>
      </w:r>
      <w:proofErr w:type="spellStart"/>
      <w:r w:rsidRPr="00204DBD">
        <w:t>individuals</w:t>
      </w:r>
      <w:proofErr w:type="spellEnd"/>
      <w:r w:rsidRPr="00204DBD">
        <w:t xml:space="preserve"> </w:t>
      </w:r>
      <w:proofErr w:type="spellStart"/>
      <w:r w:rsidRPr="00204DBD">
        <w:t>living</w:t>
      </w:r>
      <w:proofErr w:type="spellEnd"/>
      <w:r w:rsidRPr="00204DBD">
        <w:t xml:space="preserve"> </w:t>
      </w:r>
      <w:proofErr w:type="spellStart"/>
      <w:r w:rsidRPr="00204DBD">
        <w:t>with</w:t>
      </w:r>
      <w:proofErr w:type="spellEnd"/>
      <w:r w:rsidRPr="00204DBD">
        <w:t xml:space="preserve"> </w:t>
      </w:r>
      <w:proofErr w:type="spellStart"/>
      <w:r w:rsidRPr="00204DBD">
        <w:t>irritable</w:t>
      </w:r>
      <w:proofErr w:type="spellEnd"/>
      <w:r w:rsidRPr="00204DBD">
        <w:t xml:space="preserve"> </w:t>
      </w:r>
      <w:proofErr w:type="spellStart"/>
      <w:r w:rsidRPr="00204DBD">
        <w:t>bowel</w:t>
      </w:r>
      <w:proofErr w:type="spellEnd"/>
      <w:r w:rsidRPr="00204DBD">
        <w:t xml:space="preserve"> </w:t>
      </w:r>
      <w:proofErr w:type="spellStart"/>
      <w:r w:rsidRPr="00204DBD">
        <w:t>syndrome</w:t>
      </w:r>
      <w:proofErr w:type="spellEnd"/>
      <w:r w:rsidRPr="00204DBD">
        <w:t xml:space="preserve">. </w:t>
      </w:r>
      <w:proofErr w:type="spellStart"/>
      <w:r w:rsidRPr="00204DBD">
        <w:rPr>
          <w:i/>
        </w:rPr>
        <w:t>CyberPsychology</w:t>
      </w:r>
      <w:proofErr w:type="spellEnd"/>
      <w:r w:rsidRPr="00204DBD">
        <w:rPr>
          <w:i/>
        </w:rPr>
        <w:t xml:space="preserve"> &amp; </w:t>
      </w:r>
      <w:proofErr w:type="spellStart"/>
      <w:r w:rsidRPr="00204DBD">
        <w:rPr>
          <w:i/>
        </w:rPr>
        <w:t>Behavior</w:t>
      </w:r>
      <w:proofErr w:type="spellEnd"/>
      <w:r w:rsidRPr="00204DBD">
        <w:rPr>
          <w:i/>
        </w:rPr>
        <w:t>, 8</w:t>
      </w:r>
      <w:r w:rsidRPr="00204DBD">
        <w:t>(6), 580-584.</w:t>
      </w:r>
    </w:p>
    <w:p w14:paraId="23D491BD" w14:textId="77777777" w:rsidR="00E3302B" w:rsidRPr="00204DBD" w:rsidRDefault="00E3302B">
      <w:pPr>
        <w:widowControl/>
        <w:numPr>
          <w:ilvl w:val="0"/>
          <w:numId w:val="72"/>
        </w:numPr>
        <w:autoSpaceDE/>
        <w:autoSpaceDN/>
        <w:jc w:val="both"/>
        <w:rPr>
          <w:rFonts w:eastAsia="Calibri"/>
          <w:highlight w:val="white"/>
        </w:rPr>
      </w:pPr>
      <w:r w:rsidRPr="00204DBD">
        <w:t>Ekşi Sözlük. “</w:t>
      </w:r>
      <w:proofErr w:type="gramStart"/>
      <w:r w:rsidRPr="00204DBD">
        <w:t>ekşi</w:t>
      </w:r>
      <w:proofErr w:type="gramEnd"/>
      <w:r w:rsidRPr="00204DBD">
        <w:t xml:space="preserve"> </w:t>
      </w:r>
      <w:proofErr w:type="spellStart"/>
      <w:r w:rsidRPr="00204DBD">
        <w:t>sözlük’te</w:t>
      </w:r>
      <w:proofErr w:type="spellEnd"/>
      <w:r w:rsidRPr="00204DBD">
        <w:t xml:space="preserve"> 2022 yılında olan biten”. Ekşi Sözlük İnternet Sayfası. </w:t>
      </w:r>
      <w:hyperlink r:id="rId23">
        <w:r w:rsidRPr="00204DBD">
          <w:t>https://eksisozluk.com/entry/147008116</w:t>
        </w:r>
      </w:hyperlink>
      <w:r w:rsidRPr="00204DBD">
        <w:t xml:space="preserve"> (Erişim Tarihi: 02.07.2024).</w:t>
      </w:r>
    </w:p>
    <w:p w14:paraId="2CE7C738" w14:textId="77777777" w:rsidR="00E3302B" w:rsidRPr="00204DBD" w:rsidRDefault="00E3302B">
      <w:pPr>
        <w:widowControl/>
        <w:numPr>
          <w:ilvl w:val="0"/>
          <w:numId w:val="72"/>
        </w:numPr>
        <w:autoSpaceDE/>
        <w:autoSpaceDN/>
        <w:jc w:val="both"/>
        <w:rPr>
          <w:rFonts w:eastAsia="Calibri"/>
          <w:highlight w:val="white"/>
        </w:rPr>
      </w:pPr>
      <w:r w:rsidRPr="00204DBD">
        <w:lastRenderedPageBreak/>
        <w:t>Ekşi Sözlük. “</w:t>
      </w:r>
      <w:proofErr w:type="gramStart"/>
      <w:r w:rsidRPr="00204DBD">
        <w:t>ekşi</w:t>
      </w:r>
      <w:proofErr w:type="gramEnd"/>
      <w:r w:rsidRPr="00204DBD">
        <w:t xml:space="preserve"> sözlük şeffaflık raporları”. Ekşi Sözlük İnternet Sitesi.   </w:t>
      </w:r>
      <w:hyperlink r:id="rId24">
        <w:r w:rsidRPr="00204DBD">
          <w:t>https://eksisozluk.com/entry/125231929</w:t>
        </w:r>
      </w:hyperlink>
      <w:r w:rsidRPr="00204DBD">
        <w:t>. (Erişim tarihi: 02.07.2024).</w:t>
      </w:r>
    </w:p>
    <w:p w14:paraId="52D274BA" w14:textId="77777777" w:rsidR="00E3302B" w:rsidRPr="00204DBD" w:rsidRDefault="00E3302B">
      <w:pPr>
        <w:widowControl/>
        <w:numPr>
          <w:ilvl w:val="0"/>
          <w:numId w:val="72"/>
        </w:numPr>
        <w:autoSpaceDE/>
        <w:autoSpaceDN/>
        <w:contextualSpacing/>
        <w:jc w:val="both"/>
        <w:rPr>
          <w:rFonts w:eastAsia="Calibri"/>
        </w:rPr>
      </w:pPr>
      <w:proofErr w:type="spellStart"/>
      <w:r w:rsidRPr="00204DBD">
        <w:t>Fenton</w:t>
      </w:r>
      <w:proofErr w:type="spellEnd"/>
      <w:r w:rsidRPr="00204DBD">
        <w:t xml:space="preserve">, A., </w:t>
      </w:r>
      <w:proofErr w:type="spellStart"/>
      <w:r w:rsidRPr="00204DBD">
        <w:t>Gillooly</w:t>
      </w:r>
      <w:proofErr w:type="spellEnd"/>
      <w:r w:rsidRPr="00204DBD">
        <w:t xml:space="preserve">, L., &amp; </w:t>
      </w:r>
      <w:proofErr w:type="spellStart"/>
      <w:r w:rsidRPr="00204DBD">
        <w:t>Vasilica</w:t>
      </w:r>
      <w:proofErr w:type="spellEnd"/>
      <w:r w:rsidRPr="00204DBD">
        <w:t xml:space="preserve">, C. M. (2021). </w:t>
      </w:r>
      <w:proofErr w:type="spellStart"/>
      <w:r w:rsidRPr="00204DBD">
        <w:t>Female</w:t>
      </w:r>
      <w:proofErr w:type="spellEnd"/>
      <w:r w:rsidRPr="00204DBD">
        <w:t xml:space="preserve"> </w:t>
      </w:r>
      <w:proofErr w:type="spellStart"/>
      <w:r w:rsidRPr="00204DBD">
        <w:t>fans</w:t>
      </w:r>
      <w:proofErr w:type="spellEnd"/>
      <w:r w:rsidRPr="00204DBD">
        <w:t xml:space="preserve"> </w:t>
      </w:r>
      <w:proofErr w:type="spellStart"/>
      <w:r w:rsidRPr="00204DBD">
        <w:t>and</w:t>
      </w:r>
      <w:proofErr w:type="spellEnd"/>
      <w:r w:rsidRPr="00204DBD">
        <w:t xml:space="preserve"> </w:t>
      </w:r>
      <w:proofErr w:type="spellStart"/>
      <w:r w:rsidRPr="00204DBD">
        <w:t>social</w:t>
      </w:r>
      <w:proofErr w:type="spellEnd"/>
      <w:r w:rsidRPr="00204DBD">
        <w:t xml:space="preserve"> </w:t>
      </w:r>
      <w:proofErr w:type="spellStart"/>
      <w:r w:rsidRPr="00204DBD">
        <w:t>media</w:t>
      </w:r>
      <w:proofErr w:type="spellEnd"/>
      <w:r w:rsidRPr="00204DBD">
        <w:t xml:space="preserve">: </w:t>
      </w:r>
      <w:proofErr w:type="spellStart"/>
      <w:r w:rsidRPr="00204DBD">
        <w:t>micro-communities</w:t>
      </w:r>
      <w:proofErr w:type="spellEnd"/>
      <w:r w:rsidRPr="00204DBD">
        <w:t xml:space="preserve"> </w:t>
      </w:r>
      <w:proofErr w:type="spellStart"/>
      <w:r w:rsidRPr="00204DBD">
        <w:t>and</w:t>
      </w:r>
      <w:proofErr w:type="spellEnd"/>
      <w:r w:rsidRPr="00204DBD">
        <w:t xml:space="preserve"> </w:t>
      </w:r>
      <w:proofErr w:type="spellStart"/>
      <w:r w:rsidRPr="00204DBD">
        <w:t>the</w:t>
      </w:r>
      <w:proofErr w:type="spellEnd"/>
      <w:r w:rsidRPr="00204DBD">
        <w:t xml:space="preserve"> </w:t>
      </w:r>
      <w:proofErr w:type="spellStart"/>
      <w:r w:rsidRPr="00204DBD">
        <w:t>formation</w:t>
      </w:r>
      <w:proofErr w:type="spellEnd"/>
      <w:r w:rsidRPr="00204DBD">
        <w:t xml:space="preserve"> of </w:t>
      </w:r>
      <w:proofErr w:type="spellStart"/>
      <w:r w:rsidRPr="00204DBD">
        <w:t>social</w:t>
      </w:r>
      <w:proofErr w:type="spellEnd"/>
      <w:r w:rsidRPr="00204DBD">
        <w:t xml:space="preserve"> </w:t>
      </w:r>
      <w:proofErr w:type="spellStart"/>
      <w:r w:rsidRPr="00204DBD">
        <w:t>capital</w:t>
      </w:r>
      <w:proofErr w:type="spellEnd"/>
      <w:r w:rsidRPr="00204DBD">
        <w:t xml:space="preserve">. </w:t>
      </w:r>
      <w:proofErr w:type="spellStart"/>
      <w:r w:rsidRPr="00204DBD">
        <w:rPr>
          <w:i/>
        </w:rPr>
        <w:t>European</w:t>
      </w:r>
      <w:proofErr w:type="spellEnd"/>
      <w:r w:rsidRPr="00204DBD">
        <w:rPr>
          <w:i/>
        </w:rPr>
        <w:t xml:space="preserve"> </w:t>
      </w:r>
      <w:proofErr w:type="spellStart"/>
      <w:r w:rsidRPr="00204DBD">
        <w:rPr>
          <w:i/>
        </w:rPr>
        <w:t>Sport</w:t>
      </w:r>
      <w:proofErr w:type="spellEnd"/>
      <w:r w:rsidRPr="00204DBD">
        <w:rPr>
          <w:i/>
        </w:rPr>
        <w:t xml:space="preserve"> Management </w:t>
      </w:r>
      <w:proofErr w:type="spellStart"/>
      <w:r w:rsidRPr="00204DBD">
        <w:rPr>
          <w:i/>
        </w:rPr>
        <w:t>Quarterly</w:t>
      </w:r>
      <w:proofErr w:type="spellEnd"/>
      <w:r w:rsidRPr="00204DBD">
        <w:t xml:space="preserve">, </w:t>
      </w:r>
      <w:r w:rsidRPr="00204DBD">
        <w:rPr>
          <w:i/>
        </w:rPr>
        <w:t>23</w:t>
      </w:r>
      <w:r w:rsidRPr="00204DBD">
        <w:t xml:space="preserve">(2), 370–390. </w:t>
      </w:r>
    </w:p>
    <w:p w14:paraId="6ED4E50D" w14:textId="77777777" w:rsidR="00E3302B" w:rsidRPr="00204DBD" w:rsidRDefault="00E3302B">
      <w:pPr>
        <w:widowControl/>
        <w:numPr>
          <w:ilvl w:val="0"/>
          <w:numId w:val="72"/>
        </w:numPr>
        <w:autoSpaceDE/>
        <w:autoSpaceDN/>
        <w:jc w:val="both"/>
        <w:rPr>
          <w:rFonts w:eastAsia="Calibri"/>
        </w:rPr>
      </w:pPr>
      <w:proofErr w:type="spellStart"/>
      <w:r w:rsidRPr="00204DBD">
        <w:t>Freberg</w:t>
      </w:r>
      <w:proofErr w:type="spellEnd"/>
      <w:r w:rsidRPr="00204DBD">
        <w:t xml:space="preserve">, K., Graham, K., </w:t>
      </w:r>
      <w:proofErr w:type="spellStart"/>
      <w:r w:rsidRPr="00204DBD">
        <w:t>McGaughey</w:t>
      </w:r>
      <w:proofErr w:type="spellEnd"/>
      <w:r w:rsidRPr="00204DBD">
        <w:t xml:space="preserve">, K., &amp; </w:t>
      </w:r>
      <w:proofErr w:type="spellStart"/>
      <w:r w:rsidRPr="00204DBD">
        <w:t>Freberg</w:t>
      </w:r>
      <w:proofErr w:type="spellEnd"/>
      <w:r w:rsidRPr="00204DBD">
        <w:t xml:space="preserve">, L. A. (2011). </w:t>
      </w:r>
      <w:r w:rsidRPr="00204DBD">
        <w:rPr>
          <w:i/>
        </w:rPr>
        <w:t>“</w:t>
      </w:r>
      <w:proofErr w:type="spellStart"/>
      <w:r w:rsidRPr="00204DBD">
        <w:rPr>
          <w:i/>
        </w:rPr>
        <w:t>Who</w:t>
      </w:r>
      <w:proofErr w:type="spellEnd"/>
      <w:r w:rsidRPr="00204DBD">
        <w:rPr>
          <w:i/>
        </w:rPr>
        <w:t xml:space="preserve"> </w:t>
      </w:r>
      <w:proofErr w:type="spellStart"/>
      <w:r w:rsidRPr="00204DBD">
        <w:rPr>
          <w:i/>
        </w:rPr>
        <w:t>are</w:t>
      </w:r>
      <w:proofErr w:type="spellEnd"/>
      <w:r w:rsidRPr="00204DBD">
        <w:rPr>
          <w:i/>
        </w:rPr>
        <w:t xml:space="preserve"> </w:t>
      </w:r>
      <w:proofErr w:type="spellStart"/>
      <w:r w:rsidRPr="00204DBD">
        <w:rPr>
          <w:i/>
        </w:rPr>
        <w:t>the</w:t>
      </w:r>
      <w:proofErr w:type="spellEnd"/>
      <w:r w:rsidRPr="00204DBD">
        <w:rPr>
          <w:i/>
        </w:rPr>
        <w:t xml:space="preserve"> </w:t>
      </w:r>
      <w:proofErr w:type="spellStart"/>
      <w:r w:rsidRPr="00204DBD">
        <w:rPr>
          <w:i/>
        </w:rPr>
        <w:t>social</w:t>
      </w:r>
      <w:proofErr w:type="spellEnd"/>
      <w:r w:rsidRPr="00204DBD">
        <w:rPr>
          <w:i/>
        </w:rPr>
        <w:t xml:space="preserve"> </w:t>
      </w:r>
      <w:proofErr w:type="spellStart"/>
      <w:r w:rsidRPr="00204DBD">
        <w:rPr>
          <w:i/>
        </w:rPr>
        <w:t>media</w:t>
      </w:r>
      <w:proofErr w:type="spellEnd"/>
      <w:r w:rsidRPr="00204DBD">
        <w:rPr>
          <w:i/>
        </w:rPr>
        <w:t xml:space="preserve"> </w:t>
      </w:r>
      <w:proofErr w:type="spellStart"/>
      <w:r w:rsidRPr="00204DBD">
        <w:rPr>
          <w:i/>
        </w:rPr>
        <w:t>influencers</w:t>
      </w:r>
      <w:proofErr w:type="spellEnd"/>
      <w:r w:rsidRPr="00204DBD">
        <w:rPr>
          <w:i/>
        </w:rPr>
        <w:t xml:space="preserve">? A </w:t>
      </w:r>
      <w:proofErr w:type="spellStart"/>
      <w:r w:rsidRPr="00204DBD">
        <w:rPr>
          <w:i/>
        </w:rPr>
        <w:t>study</w:t>
      </w:r>
      <w:proofErr w:type="spellEnd"/>
      <w:r w:rsidRPr="00204DBD">
        <w:rPr>
          <w:i/>
        </w:rPr>
        <w:t xml:space="preserve"> of </w:t>
      </w:r>
      <w:proofErr w:type="spellStart"/>
      <w:r w:rsidRPr="00204DBD">
        <w:rPr>
          <w:i/>
        </w:rPr>
        <w:t>public</w:t>
      </w:r>
      <w:proofErr w:type="spellEnd"/>
      <w:r w:rsidRPr="00204DBD">
        <w:rPr>
          <w:i/>
        </w:rPr>
        <w:t xml:space="preserve"> </w:t>
      </w:r>
      <w:proofErr w:type="spellStart"/>
      <w:r w:rsidRPr="00204DBD">
        <w:rPr>
          <w:i/>
        </w:rPr>
        <w:t>perceptions</w:t>
      </w:r>
      <w:proofErr w:type="spellEnd"/>
      <w:r w:rsidRPr="00204DBD">
        <w:rPr>
          <w:i/>
        </w:rPr>
        <w:t xml:space="preserve"> of </w:t>
      </w:r>
      <w:proofErr w:type="spellStart"/>
      <w:r w:rsidRPr="00204DBD">
        <w:rPr>
          <w:i/>
        </w:rPr>
        <w:t>personality</w:t>
      </w:r>
      <w:proofErr w:type="spellEnd"/>
      <w:r w:rsidRPr="00204DBD">
        <w:rPr>
          <w:i/>
        </w:rPr>
        <w:t>.”</w:t>
      </w:r>
      <w:r w:rsidRPr="00204DBD">
        <w:t xml:space="preserve"> </w:t>
      </w:r>
      <w:proofErr w:type="spellStart"/>
      <w:r w:rsidRPr="00204DBD">
        <w:rPr>
          <w:i/>
        </w:rPr>
        <w:t>Public</w:t>
      </w:r>
      <w:proofErr w:type="spellEnd"/>
      <w:r w:rsidRPr="00204DBD">
        <w:rPr>
          <w:i/>
        </w:rPr>
        <w:t xml:space="preserve"> </w:t>
      </w:r>
      <w:proofErr w:type="spellStart"/>
      <w:r w:rsidRPr="00204DBD">
        <w:rPr>
          <w:i/>
        </w:rPr>
        <w:t>Relations</w:t>
      </w:r>
      <w:proofErr w:type="spellEnd"/>
      <w:r w:rsidRPr="00204DBD">
        <w:rPr>
          <w:i/>
        </w:rPr>
        <w:t xml:space="preserve"> </w:t>
      </w:r>
      <w:proofErr w:type="spellStart"/>
      <w:r w:rsidRPr="00204DBD">
        <w:rPr>
          <w:i/>
        </w:rPr>
        <w:t>Review</w:t>
      </w:r>
      <w:proofErr w:type="spellEnd"/>
      <w:r w:rsidRPr="00204DBD">
        <w:t>, 37(1), 90-92.</w:t>
      </w:r>
    </w:p>
    <w:p w14:paraId="7864099F" w14:textId="77777777" w:rsidR="00E3302B" w:rsidRPr="00204DBD" w:rsidRDefault="00E3302B">
      <w:pPr>
        <w:widowControl/>
        <w:numPr>
          <w:ilvl w:val="0"/>
          <w:numId w:val="72"/>
        </w:numPr>
        <w:autoSpaceDE/>
        <w:autoSpaceDN/>
        <w:jc w:val="both"/>
        <w:rPr>
          <w:rFonts w:eastAsia="Calibri"/>
        </w:rPr>
      </w:pPr>
      <w:proofErr w:type="spellStart"/>
      <w:r w:rsidRPr="00204DBD">
        <w:t>Freelon</w:t>
      </w:r>
      <w:proofErr w:type="spellEnd"/>
      <w:r w:rsidRPr="00204DBD">
        <w:t xml:space="preserve">, D., </w:t>
      </w:r>
      <w:proofErr w:type="spellStart"/>
      <w:r w:rsidRPr="00204DBD">
        <w:t>McIlwain</w:t>
      </w:r>
      <w:proofErr w:type="spellEnd"/>
      <w:r w:rsidRPr="00204DBD">
        <w:t xml:space="preserve">, C. D., &amp; Clark, M. D. (2016). Beyond </w:t>
      </w:r>
      <w:proofErr w:type="spellStart"/>
      <w:r w:rsidRPr="00204DBD">
        <w:t>the</w:t>
      </w:r>
      <w:proofErr w:type="spellEnd"/>
      <w:r w:rsidRPr="00204DBD">
        <w:t xml:space="preserve"> </w:t>
      </w:r>
      <w:proofErr w:type="spellStart"/>
      <w:r w:rsidRPr="00204DBD">
        <w:t>hashtags</w:t>
      </w:r>
      <w:proofErr w:type="spellEnd"/>
      <w:r w:rsidRPr="00204DBD">
        <w:t xml:space="preserve">: #Ferguson, #BlackLivesMatter, </w:t>
      </w:r>
      <w:proofErr w:type="spellStart"/>
      <w:r w:rsidRPr="00204DBD">
        <w:t>and</w:t>
      </w:r>
      <w:proofErr w:type="spellEnd"/>
      <w:r w:rsidRPr="00204DBD">
        <w:t xml:space="preserve"> </w:t>
      </w:r>
      <w:proofErr w:type="spellStart"/>
      <w:r w:rsidRPr="00204DBD">
        <w:t>the</w:t>
      </w:r>
      <w:proofErr w:type="spellEnd"/>
      <w:r w:rsidRPr="00204DBD">
        <w:t xml:space="preserve"> online </w:t>
      </w:r>
      <w:proofErr w:type="spellStart"/>
      <w:r w:rsidRPr="00204DBD">
        <w:t>struggle</w:t>
      </w:r>
      <w:proofErr w:type="spellEnd"/>
      <w:r w:rsidRPr="00204DBD">
        <w:t xml:space="preserve"> </w:t>
      </w:r>
      <w:proofErr w:type="spellStart"/>
      <w:r w:rsidRPr="00204DBD">
        <w:t>for</w:t>
      </w:r>
      <w:proofErr w:type="spellEnd"/>
      <w:r w:rsidRPr="00204DBD">
        <w:t xml:space="preserve"> offline </w:t>
      </w:r>
      <w:proofErr w:type="spellStart"/>
      <w:r w:rsidRPr="00204DBD">
        <w:t>justice</w:t>
      </w:r>
      <w:proofErr w:type="spellEnd"/>
      <w:r w:rsidRPr="00204DBD">
        <w:t xml:space="preserve">. Center </w:t>
      </w:r>
      <w:proofErr w:type="spellStart"/>
      <w:r w:rsidRPr="00204DBD">
        <w:t>for</w:t>
      </w:r>
      <w:proofErr w:type="spellEnd"/>
      <w:r w:rsidRPr="00204DBD">
        <w:t xml:space="preserve"> Media &amp; </w:t>
      </w:r>
      <w:proofErr w:type="spellStart"/>
      <w:r w:rsidRPr="00204DBD">
        <w:t>Social</w:t>
      </w:r>
      <w:proofErr w:type="spellEnd"/>
      <w:r w:rsidRPr="00204DBD">
        <w:t xml:space="preserve"> </w:t>
      </w:r>
      <w:proofErr w:type="spellStart"/>
      <w:r w:rsidRPr="00204DBD">
        <w:t>Impact</w:t>
      </w:r>
      <w:proofErr w:type="spellEnd"/>
      <w:r w:rsidRPr="00204DBD">
        <w:t xml:space="preserve">.  </w:t>
      </w:r>
      <w:hyperlink r:id="rId25">
        <w:r w:rsidRPr="00204DBD">
          <w:t>https://cmsimpact.org/wp-content/uploads/2016/03/beyond_the_hashtags_2016.pdf</w:t>
        </w:r>
      </w:hyperlink>
      <w:r w:rsidRPr="00204DBD">
        <w:t xml:space="preserve"> (Erişim tarihi: 16.08.2024).</w:t>
      </w:r>
    </w:p>
    <w:p w14:paraId="30D21A2A" w14:textId="77777777" w:rsidR="00E3302B" w:rsidRPr="00204DBD" w:rsidRDefault="00E3302B">
      <w:pPr>
        <w:widowControl/>
        <w:numPr>
          <w:ilvl w:val="0"/>
          <w:numId w:val="72"/>
        </w:numPr>
        <w:autoSpaceDE/>
        <w:autoSpaceDN/>
        <w:jc w:val="both"/>
        <w:rPr>
          <w:rFonts w:eastAsia="Calibri"/>
        </w:rPr>
      </w:pPr>
      <w:proofErr w:type="spellStart"/>
      <w:r w:rsidRPr="00204DBD">
        <w:t>Geertz</w:t>
      </w:r>
      <w:proofErr w:type="spellEnd"/>
      <w:r w:rsidRPr="00204DBD">
        <w:t xml:space="preserve">, C. (1973). </w:t>
      </w:r>
      <w:proofErr w:type="spellStart"/>
      <w:r w:rsidRPr="00204DBD">
        <w:rPr>
          <w:i/>
          <w:iCs/>
        </w:rPr>
        <w:t>The</w:t>
      </w:r>
      <w:proofErr w:type="spellEnd"/>
      <w:r w:rsidRPr="00204DBD">
        <w:rPr>
          <w:i/>
          <w:iCs/>
        </w:rPr>
        <w:t xml:space="preserve"> </w:t>
      </w:r>
      <w:proofErr w:type="spellStart"/>
      <w:r w:rsidRPr="00204DBD">
        <w:rPr>
          <w:i/>
          <w:iCs/>
        </w:rPr>
        <w:t>Interpretation</w:t>
      </w:r>
      <w:proofErr w:type="spellEnd"/>
      <w:r w:rsidRPr="00204DBD">
        <w:rPr>
          <w:i/>
          <w:iCs/>
        </w:rPr>
        <w:t xml:space="preserve"> of </w:t>
      </w:r>
      <w:proofErr w:type="spellStart"/>
      <w:r w:rsidRPr="00204DBD">
        <w:rPr>
          <w:i/>
          <w:iCs/>
        </w:rPr>
        <w:t>Cultures</w:t>
      </w:r>
      <w:proofErr w:type="spellEnd"/>
      <w:r w:rsidRPr="00204DBD">
        <w:rPr>
          <w:i/>
          <w:iCs/>
        </w:rPr>
        <w:t xml:space="preserve">: </w:t>
      </w:r>
      <w:proofErr w:type="spellStart"/>
      <w:r w:rsidRPr="00204DBD">
        <w:rPr>
          <w:i/>
          <w:iCs/>
        </w:rPr>
        <w:t>Selected</w:t>
      </w:r>
      <w:proofErr w:type="spellEnd"/>
      <w:r w:rsidRPr="00204DBD">
        <w:rPr>
          <w:i/>
          <w:iCs/>
        </w:rPr>
        <w:t xml:space="preserve"> </w:t>
      </w:r>
      <w:proofErr w:type="spellStart"/>
      <w:r w:rsidRPr="00204DBD">
        <w:rPr>
          <w:i/>
          <w:iCs/>
        </w:rPr>
        <w:t>Essays</w:t>
      </w:r>
      <w:proofErr w:type="spellEnd"/>
      <w:r w:rsidRPr="00204DBD">
        <w:t xml:space="preserve">. New York: Basic </w:t>
      </w:r>
      <w:proofErr w:type="spellStart"/>
      <w:r w:rsidRPr="00204DBD">
        <w:t>Books</w:t>
      </w:r>
      <w:proofErr w:type="spellEnd"/>
      <w:r w:rsidRPr="00204DBD">
        <w:t>.</w:t>
      </w:r>
    </w:p>
    <w:p w14:paraId="07428B69" w14:textId="77777777" w:rsidR="00E3302B" w:rsidRPr="00204DBD" w:rsidRDefault="00E3302B">
      <w:pPr>
        <w:widowControl/>
        <w:numPr>
          <w:ilvl w:val="0"/>
          <w:numId w:val="72"/>
        </w:numPr>
        <w:autoSpaceDE/>
        <w:autoSpaceDN/>
        <w:jc w:val="both"/>
        <w:rPr>
          <w:rFonts w:eastAsia="Calibri"/>
        </w:rPr>
      </w:pPr>
      <w:r w:rsidRPr="00204DBD">
        <w:t xml:space="preserve">Goffman, E. (1959/2009) </w:t>
      </w:r>
      <w:r w:rsidRPr="00204DBD">
        <w:rPr>
          <w:i/>
        </w:rPr>
        <w:t>Günlük Yaşamda Benliğin Sunumu</w:t>
      </w:r>
      <w:r w:rsidRPr="00204DBD">
        <w:t xml:space="preserve"> (</w:t>
      </w:r>
      <w:proofErr w:type="spellStart"/>
      <w:r w:rsidRPr="00204DBD">
        <w:t>Çev.Barış</w:t>
      </w:r>
      <w:proofErr w:type="spellEnd"/>
      <w:r w:rsidRPr="00204DBD">
        <w:t xml:space="preserve"> </w:t>
      </w:r>
      <w:proofErr w:type="spellStart"/>
      <w:r w:rsidRPr="00204DBD">
        <w:t>Cezar</w:t>
      </w:r>
      <w:proofErr w:type="spellEnd"/>
      <w:r w:rsidRPr="00204DBD">
        <w:t>). İstanbul: Metis</w:t>
      </w:r>
    </w:p>
    <w:p w14:paraId="1EEAFFEE" w14:textId="77777777" w:rsidR="00E3302B" w:rsidRPr="00204DBD" w:rsidRDefault="00E3302B">
      <w:pPr>
        <w:widowControl/>
        <w:numPr>
          <w:ilvl w:val="0"/>
          <w:numId w:val="72"/>
        </w:numPr>
        <w:autoSpaceDE/>
        <w:autoSpaceDN/>
        <w:jc w:val="both"/>
        <w:rPr>
          <w:rFonts w:eastAsia="Calibri"/>
        </w:rPr>
      </w:pPr>
      <w:r w:rsidRPr="00204DBD">
        <w:t xml:space="preserve">Goffman, E. (2017) </w:t>
      </w:r>
      <w:r w:rsidRPr="00204DBD">
        <w:rPr>
          <w:i/>
        </w:rPr>
        <w:t>Etkileşim Ritüelleri: Yüz Yüze Davranış Üzerine Denemeler.</w:t>
      </w:r>
      <w:r w:rsidRPr="00204DBD">
        <w:t xml:space="preserve"> </w:t>
      </w:r>
      <w:proofErr w:type="spellStart"/>
      <w:r w:rsidRPr="00204DBD">
        <w:t>Heretik</w:t>
      </w:r>
      <w:proofErr w:type="spellEnd"/>
      <w:r w:rsidRPr="00204DBD">
        <w:t>.</w:t>
      </w:r>
    </w:p>
    <w:p w14:paraId="38691D8F" w14:textId="77777777" w:rsidR="00E3302B" w:rsidRPr="00204DBD" w:rsidRDefault="00E3302B">
      <w:pPr>
        <w:widowControl/>
        <w:numPr>
          <w:ilvl w:val="0"/>
          <w:numId w:val="72"/>
        </w:numPr>
        <w:autoSpaceDE/>
        <w:autoSpaceDN/>
        <w:jc w:val="both"/>
        <w:rPr>
          <w:rFonts w:eastAsia="Calibri"/>
        </w:rPr>
      </w:pPr>
      <w:r w:rsidRPr="00204DBD">
        <w:rPr>
          <w:highlight w:val="white"/>
        </w:rPr>
        <w:t xml:space="preserve">Gürel, E. &amp; Yakın, M. (2013). Ekşi Sözlük: </w:t>
      </w:r>
      <w:proofErr w:type="spellStart"/>
      <w:r w:rsidRPr="00204DBD">
        <w:rPr>
          <w:highlight w:val="white"/>
        </w:rPr>
        <w:t>Postmodern</w:t>
      </w:r>
      <w:proofErr w:type="spellEnd"/>
      <w:r w:rsidRPr="00204DBD">
        <w:rPr>
          <w:highlight w:val="white"/>
        </w:rPr>
        <w:t xml:space="preserve"> Elektronik Kültür. Selçuk İletişim, 4(4), 203-219.</w:t>
      </w:r>
    </w:p>
    <w:p w14:paraId="339FD775" w14:textId="77777777" w:rsidR="00E3302B" w:rsidRPr="00204DBD" w:rsidRDefault="00E3302B">
      <w:pPr>
        <w:widowControl/>
        <w:numPr>
          <w:ilvl w:val="0"/>
          <w:numId w:val="72"/>
        </w:numPr>
        <w:autoSpaceDE/>
        <w:autoSpaceDN/>
        <w:jc w:val="both"/>
        <w:rPr>
          <w:rFonts w:eastAsia="Calibri"/>
        </w:rPr>
      </w:pPr>
      <w:proofErr w:type="spellStart"/>
      <w:r w:rsidRPr="00204DBD">
        <w:rPr>
          <w:rFonts w:eastAsia="Calibri"/>
          <w:shd w:val="clear" w:color="auto" w:fill="FFFFFF"/>
          <w:lang w:eastAsia="en-US"/>
        </w:rPr>
        <w:t>Hagel</w:t>
      </w:r>
      <w:proofErr w:type="spellEnd"/>
      <w:r w:rsidRPr="00204DBD">
        <w:rPr>
          <w:rFonts w:eastAsia="Calibri"/>
          <w:shd w:val="clear" w:color="auto" w:fill="FFFFFF"/>
          <w:lang w:eastAsia="en-US"/>
        </w:rPr>
        <w:t>, H., &amp; Armstrong, A. (1997). </w:t>
      </w:r>
      <w:r w:rsidRPr="00204DBD">
        <w:rPr>
          <w:rFonts w:eastAsia="Calibri"/>
          <w:i/>
          <w:iCs/>
          <w:shd w:val="clear" w:color="auto" w:fill="FFFFFF"/>
          <w:lang w:eastAsia="en-US"/>
        </w:rPr>
        <w:t xml:space="preserve">Net </w:t>
      </w:r>
      <w:proofErr w:type="spellStart"/>
      <w:r w:rsidRPr="00204DBD">
        <w:rPr>
          <w:rFonts w:eastAsia="Calibri"/>
          <w:i/>
          <w:iCs/>
          <w:shd w:val="clear" w:color="auto" w:fill="FFFFFF"/>
          <w:lang w:eastAsia="en-US"/>
        </w:rPr>
        <w:t>gain</w:t>
      </w:r>
      <w:proofErr w:type="spellEnd"/>
      <w:r w:rsidRPr="00204DBD">
        <w:rPr>
          <w:rFonts w:eastAsia="Calibri"/>
          <w:i/>
          <w:iCs/>
          <w:shd w:val="clear" w:color="auto" w:fill="FFFFFF"/>
          <w:lang w:eastAsia="en-US"/>
        </w:rPr>
        <w:t xml:space="preserve">: </w:t>
      </w:r>
      <w:proofErr w:type="spellStart"/>
      <w:r w:rsidRPr="00204DBD">
        <w:rPr>
          <w:rFonts w:eastAsia="Calibri"/>
          <w:i/>
          <w:iCs/>
          <w:shd w:val="clear" w:color="auto" w:fill="FFFFFF"/>
          <w:lang w:eastAsia="en-US"/>
        </w:rPr>
        <w:t>Expanding</w:t>
      </w:r>
      <w:proofErr w:type="spellEnd"/>
      <w:r w:rsidRPr="00204DBD">
        <w:rPr>
          <w:rFonts w:eastAsia="Calibri"/>
          <w:i/>
          <w:iCs/>
          <w:shd w:val="clear" w:color="auto" w:fill="FFFFFF"/>
          <w:lang w:eastAsia="en-US"/>
        </w:rPr>
        <w:t xml:space="preserve"> </w:t>
      </w:r>
      <w:proofErr w:type="spellStart"/>
      <w:r w:rsidRPr="00204DBD">
        <w:rPr>
          <w:rFonts w:eastAsia="Calibri"/>
          <w:i/>
          <w:iCs/>
          <w:shd w:val="clear" w:color="auto" w:fill="FFFFFF"/>
          <w:lang w:eastAsia="en-US"/>
        </w:rPr>
        <w:t>markets</w:t>
      </w:r>
      <w:proofErr w:type="spellEnd"/>
      <w:r w:rsidRPr="00204DBD">
        <w:rPr>
          <w:rFonts w:eastAsia="Calibri"/>
          <w:i/>
          <w:iCs/>
          <w:shd w:val="clear" w:color="auto" w:fill="FFFFFF"/>
          <w:lang w:eastAsia="en-US"/>
        </w:rPr>
        <w:t xml:space="preserve"> </w:t>
      </w:r>
      <w:proofErr w:type="spellStart"/>
      <w:r w:rsidRPr="00204DBD">
        <w:rPr>
          <w:rFonts w:eastAsia="Calibri"/>
          <w:i/>
          <w:iCs/>
          <w:shd w:val="clear" w:color="auto" w:fill="FFFFFF"/>
          <w:lang w:eastAsia="en-US"/>
        </w:rPr>
        <w:t>through</w:t>
      </w:r>
      <w:proofErr w:type="spellEnd"/>
      <w:r w:rsidRPr="00204DBD">
        <w:rPr>
          <w:rFonts w:eastAsia="Calibri"/>
          <w:i/>
          <w:iCs/>
          <w:shd w:val="clear" w:color="auto" w:fill="FFFFFF"/>
          <w:lang w:eastAsia="en-US"/>
        </w:rPr>
        <w:t xml:space="preserve"> </w:t>
      </w:r>
      <w:proofErr w:type="spellStart"/>
      <w:r w:rsidRPr="00204DBD">
        <w:rPr>
          <w:rFonts w:eastAsia="Calibri"/>
          <w:i/>
          <w:iCs/>
          <w:shd w:val="clear" w:color="auto" w:fill="FFFFFF"/>
          <w:lang w:eastAsia="en-US"/>
        </w:rPr>
        <w:t>virtual</w:t>
      </w:r>
      <w:proofErr w:type="spellEnd"/>
      <w:r w:rsidRPr="00204DBD">
        <w:rPr>
          <w:rFonts w:eastAsia="Calibri"/>
          <w:i/>
          <w:iCs/>
          <w:shd w:val="clear" w:color="auto" w:fill="FFFFFF"/>
          <w:lang w:eastAsia="en-US"/>
        </w:rPr>
        <w:t xml:space="preserve"> </w:t>
      </w:r>
      <w:proofErr w:type="spellStart"/>
      <w:r w:rsidRPr="00204DBD">
        <w:rPr>
          <w:rFonts w:eastAsia="Calibri"/>
          <w:i/>
          <w:iCs/>
          <w:shd w:val="clear" w:color="auto" w:fill="FFFFFF"/>
          <w:lang w:eastAsia="en-US"/>
        </w:rPr>
        <w:t>communities</w:t>
      </w:r>
      <w:proofErr w:type="spellEnd"/>
      <w:r w:rsidRPr="00204DBD">
        <w:rPr>
          <w:rFonts w:eastAsia="Calibri"/>
          <w:shd w:val="clear" w:color="auto" w:fill="FFFFFF"/>
          <w:lang w:eastAsia="en-US"/>
        </w:rPr>
        <w:t xml:space="preserve">. </w:t>
      </w:r>
      <w:proofErr w:type="gramStart"/>
      <w:r w:rsidRPr="00204DBD">
        <w:rPr>
          <w:rFonts w:eastAsia="Calibri"/>
          <w:shd w:val="clear" w:color="auto" w:fill="FFFFFF"/>
          <w:lang w:eastAsia="en-US"/>
        </w:rPr>
        <w:t>Boston ,</w:t>
      </w:r>
      <w:proofErr w:type="gramEnd"/>
      <w:r w:rsidRPr="00204DBD">
        <w:rPr>
          <w:rFonts w:eastAsia="Calibri"/>
          <w:shd w:val="clear" w:color="auto" w:fill="FFFFFF"/>
          <w:lang w:eastAsia="en-US"/>
        </w:rPr>
        <w:t xml:space="preserve"> MA : Harvard Business School </w:t>
      </w:r>
      <w:proofErr w:type="spellStart"/>
      <w:r w:rsidRPr="00204DBD">
        <w:rPr>
          <w:rFonts w:eastAsia="Calibri"/>
          <w:shd w:val="clear" w:color="auto" w:fill="FFFFFF"/>
          <w:lang w:eastAsia="en-US"/>
        </w:rPr>
        <w:t>Press</w:t>
      </w:r>
      <w:proofErr w:type="spellEnd"/>
      <w:r w:rsidRPr="00204DBD">
        <w:rPr>
          <w:rFonts w:eastAsia="Calibri"/>
          <w:shd w:val="clear" w:color="auto" w:fill="FFFFFF"/>
          <w:lang w:eastAsia="en-US"/>
        </w:rPr>
        <w:t>.</w:t>
      </w:r>
    </w:p>
    <w:p w14:paraId="16197B8C" w14:textId="77777777" w:rsidR="00E3302B" w:rsidRPr="00204DBD" w:rsidRDefault="00E3302B">
      <w:pPr>
        <w:widowControl/>
        <w:numPr>
          <w:ilvl w:val="0"/>
          <w:numId w:val="72"/>
        </w:numPr>
        <w:autoSpaceDE/>
        <w:autoSpaceDN/>
        <w:jc w:val="both"/>
        <w:rPr>
          <w:rFonts w:eastAsia="Calibri"/>
        </w:rPr>
      </w:pPr>
      <w:proofErr w:type="spellStart"/>
      <w:r w:rsidRPr="00204DBD">
        <w:rPr>
          <w:shd w:val="clear" w:color="auto" w:fill="FFFFFF"/>
        </w:rPr>
        <w:t>Hall</w:t>
      </w:r>
      <w:proofErr w:type="spellEnd"/>
      <w:r w:rsidRPr="00204DBD">
        <w:rPr>
          <w:shd w:val="clear" w:color="auto" w:fill="FFFFFF"/>
        </w:rPr>
        <w:t xml:space="preserve">, S. (1992). </w:t>
      </w:r>
      <w:proofErr w:type="spellStart"/>
      <w:r w:rsidRPr="00204DBD">
        <w:rPr>
          <w:shd w:val="clear" w:color="auto" w:fill="FFFFFF"/>
        </w:rPr>
        <w:t>The</w:t>
      </w:r>
      <w:proofErr w:type="spellEnd"/>
      <w:r w:rsidRPr="00204DBD">
        <w:rPr>
          <w:shd w:val="clear" w:color="auto" w:fill="FFFFFF"/>
        </w:rPr>
        <w:t xml:space="preserve"> </w:t>
      </w:r>
      <w:proofErr w:type="spellStart"/>
      <w:r w:rsidRPr="00204DBD">
        <w:rPr>
          <w:shd w:val="clear" w:color="auto" w:fill="FFFFFF"/>
        </w:rPr>
        <w:t>Question</w:t>
      </w:r>
      <w:proofErr w:type="spellEnd"/>
      <w:r w:rsidRPr="00204DBD">
        <w:rPr>
          <w:shd w:val="clear" w:color="auto" w:fill="FFFFFF"/>
        </w:rPr>
        <w:t xml:space="preserve"> of </w:t>
      </w:r>
      <w:proofErr w:type="spellStart"/>
      <w:r w:rsidRPr="00204DBD">
        <w:rPr>
          <w:shd w:val="clear" w:color="auto" w:fill="FFFFFF"/>
        </w:rPr>
        <w:t>Cultural</w:t>
      </w:r>
      <w:proofErr w:type="spellEnd"/>
      <w:r w:rsidRPr="00204DBD">
        <w:rPr>
          <w:shd w:val="clear" w:color="auto" w:fill="FFFFFF"/>
        </w:rPr>
        <w:t xml:space="preserve"> Identity. </w:t>
      </w:r>
      <w:proofErr w:type="spellStart"/>
      <w:r w:rsidRPr="00204DBD">
        <w:rPr>
          <w:shd w:val="clear" w:color="auto" w:fill="FFFFFF"/>
        </w:rPr>
        <w:t>In</w:t>
      </w:r>
      <w:proofErr w:type="spellEnd"/>
      <w:r w:rsidRPr="00204DBD">
        <w:rPr>
          <w:shd w:val="clear" w:color="auto" w:fill="FFFFFF"/>
        </w:rPr>
        <w:t xml:space="preserve">: S. </w:t>
      </w:r>
      <w:proofErr w:type="spellStart"/>
      <w:r w:rsidRPr="00204DBD">
        <w:rPr>
          <w:shd w:val="clear" w:color="auto" w:fill="FFFFFF"/>
        </w:rPr>
        <w:t>Hall</w:t>
      </w:r>
      <w:proofErr w:type="spellEnd"/>
      <w:r w:rsidRPr="00204DBD">
        <w:rPr>
          <w:shd w:val="clear" w:color="auto" w:fill="FFFFFF"/>
        </w:rPr>
        <w:t xml:space="preserve">, D. </w:t>
      </w:r>
      <w:proofErr w:type="spellStart"/>
      <w:r w:rsidRPr="00204DBD">
        <w:rPr>
          <w:shd w:val="clear" w:color="auto" w:fill="FFFFFF"/>
        </w:rPr>
        <w:t>Held</w:t>
      </w:r>
      <w:proofErr w:type="spellEnd"/>
      <w:r w:rsidRPr="00204DBD">
        <w:rPr>
          <w:shd w:val="clear" w:color="auto" w:fill="FFFFFF"/>
        </w:rPr>
        <w:t xml:space="preserve"> </w:t>
      </w:r>
      <w:proofErr w:type="spellStart"/>
      <w:r w:rsidRPr="00204DBD">
        <w:rPr>
          <w:shd w:val="clear" w:color="auto" w:fill="FFFFFF"/>
        </w:rPr>
        <w:t>and</w:t>
      </w:r>
      <w:proofErr w:type="spellEnd"/>
      <w:r w:rsidRPr="00204DBD">
        <w:rPr>
          <w:shd w:val="clear" w:color="auto" w:fill="FFFFFF"/>
        </w:rPr>
        <w:t xml:space="preserve"> T. </w:t>
      </w:r>
      <w:proofErr w:type="spellStart"/>
      <w:r w:rsidRPr="00204DBD">
        <w:rPr>
          <w:shd w:val="clear" w:color="auto" w:fill="FFFFFF"/>
        </w:rPr>
        <w:t>McGrew</w:t>
      </w:r>
      <w:proofErr w:type="spellEnd"/>
      <w:r w:rsidRPr="00204DBD">
        <w:rPr>
          <w:shd w:val="clear" w:color="auto" w:fill="FFFFFF"/>
        </w:rPr>
        <w:t xml:space="preserve"> (</w:t>
      </w:r>
      <w:proofErr w:type="spellStart"/>
      <w:r w:rsidRPr="00204DBD">
        <w:rPr>
          <w:shd w:val="clear" w:color="auto" w:fill="FFFFFF"/>
        </w:rPr>
        <w:t>Eds</w:t>
      </w:r>
      <w:proofErr w:type="spellEnd"/>
      <w:r w:rsidRPr="00204DBD">
        <w:rPr>
          <w:shd w:val="clear" w:color="auto" w:fill="FFFFFF"/>
        </w:rPr>
        <w:t xml:space="preserve">.), </w:t>
      </w:r>
      <w:proofErr w:type="spellStart"/>
      <w:r w:rsidRPr="00204DBD">
        <w:rPr>
          <w:shd w:val="clear" w:color="auto" w:fill="FFFFFF"/>
        </w:rPr>
        <w:t>Modernity</w:t>
      </w:r>
      <w:proofErr w:type="spellEnd"/>
      <w:r w:rsidRPr="00204DBD">
        <w:rPr>
          <w:shd w:val="clear" w:color="auto" w:fill="FFFFFF"/>
        </w:rPr>
        <w:t xml:space="preserve"> </w:t>
      </w:r>
      <w:proofErr w:type="spellStart"/>
      <w:r w:rsidRPr="00204DBD">
        <w:rPr>
          <w:shd w:val="clear" w:color="auto" w:fill="FFFFFF"/>
        </w:rPr>
        <w:t>and</w:t>
      </w:r>
      <w:proofErr w:type="spellEnd"/>
      <w:r w:rsidRPr="00204DBD">
        <w:rPr>
          <w:shd w:val="clear" w:color="auto" w:fill="FFFFFF"/>
        </w:rPr>
        <w:t xml:space="preserve"> </w:t>
      </w:r>
      <w:proofErr w:type="spellStart"/>
      <w:r w:rsidRPr="00204DBD">
        <w:rPr>
          <w:shd w:val="clear" w:color="auto" w:fill="FFFFFF"/>
        </w:rPr>
        <w:t>Its</w:t>
      </w:r>
      <w:proofErr w:type="spellEnd"/>
      <w:r w:rsidRPr="00204DBD">
        <w:rPr>
          <w:shd w:val="clear" w:color="auto" w:fill="FFFFFF"/>
        </w:rPr>
        <w:t xml:space="preserve"> </w:t>
      </w:r>
      <w:proofErr w:type="spellStart"/>
      <w:r w:rsidRPr="00204DBD">
        <w:rPr>
          <w:shd w:val="clear" w:color="auto" w:fill="FFFFFF"/>
        </w:rPr>
        <w:t>Futures</w:t>
      </w:r>
      <w:proofErr w:type="spellEnd"/>
      <w:r w:rsidRPr="00204DBD">
        <w:rPr>
          <w:shd w:val="clear" w:color="auto" w:fill="FFFFFF"/>
        </w:rPr>
        <w:t xml:space="preserve">. Milton Keynes. Cambridge: Open </w:t>
      </w:r>
      <w:proofErr w:type="spellStart"/>
      <w:r w:rsidRPr="00204DBD">
        <w:rPr>
          <w:shd w:val="clear" w:color="auto" w:fill="FFFFFF"/>
        </w:rPr>
        <w:t>University</w:t>
      </w:r>
      <w:proofErr w:type="spellEnd"/>
      <w:r w:rsidRPr="00204DBD">
        <w:rPr>
          <w:shd w:val="clear" w:color="auto" w:fill="FFFFFF"/>
        </w:rPr>
        <w:t xml:space="preserve"> </w:t>
      </w:r>
      <w:proofErr w:type="spellStart"/>
      <w:r w:rsidRPr="00204DBD">
        <w:rPr>
          <w:shd w:val="clear" w:color="auto" w:fill="FFFFFF"/>
        </w:rPr>
        <w:t>Press</w:t>
      </w:r>
      <w:proofErr w:type="spellEnd"/>
      <w:r w:rsidRPr="00204DBD">
        <w:rPr>
          <w:shd w:val="clear" w:color="auto" w:fill="FFFFFF"/>
        </w:rPr>
        <w:t>.</w:t>
      </w:r>
    </w:p>
    <w:p w14:paraId="6AA56DBE" w14:textId="77777777" w:rsidR="00E3302B" w:rsidRPr="00204DBD" w:rsidRDefault="00E3302B">
      <w:pPr>
        <w:widowControl/>
        <w:numPr>
          <w:ilvl w:val="0"/>
          <w:numId w:val="72"/>
        </w:numPr>
        <w:autoSpaceDE/>
        <w:autoSpaceDN/>
        <w:jc w:val="both"/>
        <w:rPr>
          <w:rFonts w:eastAsia="Calibri"/>
        </w:rPr>
      </w:pPr>
      <w:proofErr w:type="spellStart"/>
      <w:r w:rsidRPr="00204DBD">
        <w:t>Hamari</w:t>
      </w:r>
      <w:proofErr w:type="spellEnd"/>
      <w:r w:rsidRPr="00204DBD">
        <w:t xml:space="preserve">, J., &amp; </w:t>
      </w:r>
      <w:proofErr w:type="spellStart"/>
      <w:r w:rsidRPr="00204DBD">
        <w:t>Koivisto</w:t>
      </w:r>
      <w:proofErr w:type="spellEnd"/>
      <w:r w:rsidRPr="00204DBD">
        <w:t xml:space="preserve">, J. (2015). </w:t>
      </w:r>
      <w:r w:rsidRPr="00204DBD">
        <w:rPr>
          <w:i/>
        </w:rPr>
        <w:t>“</w:t>
      </w:r>
      <w:proofErr w:type="spellStart"/>
      <w:r w:rsidRPr="00204DBD">
        <w:rPr>
          <w:i/>
        </w:rPr>
        <w:t>Working</w:t>
      </w:r>
      <w:proofErr w:type="spellEnd"/>
      <w:r w:rsidRPr="00204DBD">
        <w:rPr>
          <w:i/>
        </w:rPr>
        <w:t xml:space="preserve"> </w:t>
      </w:r>
      <w:proofErr w:type="spellStart"/>
      <w:r w:rsidRPr="00204DBD">
        <w:rPr>
          <w:i/>
        </w:rPr>
        <w:t>out</w:t>
      </w:r>
      <w:proofErr w:type="spellEnd"/>
      <w:r w:rsidRPr="00204DBD">
        <w:rPr>
          <w:i/>
        </w:rPr>
        <w:t xml:space="preserve"> </w:t>
      </w:r>
      <w:proofErr w:type="spellStart"/>
      <w:r w:rsidRPr="00204DBD">
        <w:rPr>
          <w:i/>
        </w:rPr>
        <w:t>for</w:t>
      </w:r>
      <w:proofErr w:type="spellEnd"/>
      <w:r w:rsidRPr="00204DBD">
        <w:rPr>
          <w:i/>
        </w:rPr>
        <w:t xml:space="preserve"> </w:t>
      </w:r>
      <w:proofErr w:type="spellStart"/>
      <w:r w:rsidRPr="00204DBD">
        <w:rPr>
          <w:i/>
        </w:rPr>
        <w:t>rewards</w:t>
      </w:r>
      <w:proofErr w:type="spellEnd"/>
      <w:r w:rsidRPr="00204DBD">
        <w:rPr>
          <w:i/>
        </w:rPr>
        <w:t xml:space="preserve">: Analysis of </w:t>
      </w:r>
      <w:proofErr w:type="spellStart"/>
      <w:r w:rsidRPr="00204DBD">
        <w:rPr>
          <w:i/>
        </w:rPr>
        <w:t>rewards</w:t>
      </w:r>
      <w:proofErr w:type="spellEnd"/>
      <w:r w:rsidRPr="00204DBD">
        <w:rPr>
          <w:i/>
        </w:rPr>
        <w:t xml:space="preserve"> </w:t>
      </w:r>
      <w:proofErr w:type="spellStart"/>
      <w:r w:rsidRPr="00204DBD">
        <w:rPr>
          <w:i/>
        </w:rPr>
        <w:t>and</w:t>
      </w:r>
      <w:proofErr w:type="spellEnd"/>
      <w:r w:rsidRPr="00204DBD">
        <w:rPr>
          <w:i/>
        </w:rPr>
        <w:t xml:space="preserve"> </w:t>
      </w:r>
      <w:proofErr w:type="spellStart"/>
      <w:r w:rsidRPr="00204DBD">
        <w:rPr>
          <w:i/>
        </w:rPr>
        <w:t>extrinsic</w:t>
      </w:r>
      <w:proofErr w:type="spellEnd"/>
      <w:r w:rsidRPr="00204DBD">
        <w:rPr>
          <w:i/>
        </w:rPr>
        <w:t xml:space="preserve"> </w:t>
      </w:r>
      <w:proofErr w:type="spellStart"/>
      <w:r w:rsidRPr="00204DBD">
        <w:rPr>
          <w:i/>
        </w:rPr>
        <w:t>motivation</w:t>
      </w:r>
      <w:proofErr w:type="spellEnd"/>
      <w:r w:rsidRPr="00204DBD">
        <w:rPr>
          <w:i/>
        </w:rPr>
        <w:t xml:space="preserve"> in </w:t>
      </w:r>
      <w:proofErr w:type="spellStart"/>
      <w:r w:rsidRPr="00204DBD">
        <w:rPr>
          <w:i/>
        </w:rPr>
        <w:t>gamification</w:t>
      </w:r>
      <w:proofErr w:type="spellEnd"/>
      <w:r w:rsidRPr="00204DBD">
        <w:rPr>
          <w:i/>
        </w:rPr>
        <w:t>.”</w:t>
      </w:r>
      <w:r w:rsidRPr="00204DBD">
        <w:t xml:space="preserve"> </w:t>
      </w:r>
      <w:proofErr w:type="spellStart"/>
      <w:r w:rsidRPr="00204DBD">
        <w:rPr>
          <w:i/>
        </w:rPr>
        <w:t>Proceedings</w:t>
      </w:r>
      <w:proofErr w:type="spellEnd"/>
      <w:r w:rsidRPr="00204DBD">
        <w:rPr>
          <w:i/>
        </w:rPr>
        <w:t xml:space="preserve"> of </w:t>
      </w:r>
      <w:proofErr w:type="spellStart"/>
      <w:r w:rsidRPr="00204DBD">
        <w:rPr>
          <w:i/>
        </w:rPr>
        <w:t>the</w:t>
      </w:r>
      <w:proofErr w:type="spellEnd"/>
      <w:r w:rsidRPr="00204DBD">
        <w:rPr>
          <w:i/>
        </w:rPr>
        <w:t xml:space="preserve"> 2015 49th Hawaii International Conference on </w:t>
      </w:r>
      <w:proofErr w:type="spellStart"/>
      <w:r w:rsidRPr="00204DBD">
        <w:rPr>
          <w:i/>
        </w:rPr>
        <w:t>System</w:t>
      </w:r>
      <w:proofErr w:type="spellEnd"/>
      <w:r w:rsidRPr="00204DBD">
        <w:rPr>
          <w:i/>
        </w:rPr>
        <w:t xml:space="preserve"> </w:t>
      </w:r>
      <w:proofErr w:type="spellStart"/>
      <w:r w:rsidRPr="00204DBD">
        <w:rPr>
          <w:i/>
        </w:rPr>
        <w:t>Sciences</w:t>
      </w:r>
      <w:proofErr w:type="spellEnd"/>
      <w:r w:rsidRPr="00204DBD">
        <w:t>, 2965-2974.</w:t>
      </w:r>
    </w:p>
    <w:p w14:paraId="67700197" w14:textId="77777777" w:rsidR="00E3302B" w:rsidRPr="00204DBD" w:rsidRDefault="00E3302B">
      <w:pPr>
        <w:widowControl/>
        <w:numPr>
          <w:ilvl w:val="0"/>
          <w:numId w:val="72"/>
        </w:numPr>
        <w:autoSpaceDE/>
        <w:autoSpaceDN/>
        <w:jc w:val="both"/>
        <w:rPr>
          <w:rFonts w:eastAsia="Calibri"/>
        </w:rPr>
      </w:pPr>
      <w:proofErr w:type="spellStart"/>
      <w:r w:rsidRPr="00204DBD">
        <w:rPr>
          <w:highlight w:val="white"/>
        </w:rPr>
        <w:t>Hynes</w:t>
      </w:r>
      <w:proofErr w:type="spellEnd"/>
      <w:r w:rsidRPr="00204DBD">
        <w:rPr>
          <w:highlight w:val="white"/>
        </w:rPr>
        <w:t xml:space="preserve">, A. (25 Haziran, 2024) </w:t>
      </w:r>
      <w:proofErr w:type="spellStart"/>
      <w:r w:rsidRPr="00204DBD">
        <w:rPr>
          <w:highlight w:val="white"/>
        </w:rPr>
        <w:t>Trending</w:t>
      </w:r>
      <w:proofErr w:type="spellEnd"/>
      <w:r w:rsidRPr="00204DBD">
        <w:rPr>
          <w:highlight w:val="white"/>
        </w:rPr>
        <w:t xml:space="preserve"> on </w:t>
      </w:r>
      <w:proofErr w:type="spellStart"/>
      <w:r w:rsidRPr="00204DBD">
        <w:rPr>
          <w:highlight w:val="white"/>
        </w:rPr>
        <w:t>TikTok</w:t>
      </w:r>
      <w:proofErr w:type="spellEnd"/>
      <w:r w:rsidRPr="00204DBD">
        <w:rPr>
          <w:highlight w:val="white"/>
        </w:rPr>
        <w:t xml:space="preserve">: Micro </w:t>
      </w:r>
      <w:proofErr w:type="spellStart"/>
      <w:r w:rsidRPr="00204DBD">
        <w:rPr>
          <w:highlight w:val="white"/>
        </w:rPr>
        <w:t>Communities</w:t>
      </w:r>
      <w:proofErr w:type="spellEnd"/>
      <w:r w:rsidRPr="00204DBD">
        <w:rPr>
          <w:highlight w:val="white"/>
        </w:rPr>
        <w:t xml:space="preserve">. </w:t>
      </w:r>
      <w:proofErr w:type="spellStart"/>
      <w:r w:rsidRPr="00204DBD">
        <w:rPr>
          <w:highlight w:val="white"/>
        </w:rPr>
        <w:t>Propeller</w:t>
      </w:r>
      <w:proofErr w:type="spellEnd"/>
      <w:r w:rsidRPr="00204DBD">
        <w:rPr>
          <w:highlight w:val="white"/>
        </w:rPr>
        <w:t xml:space="preserve"> İnternet Sitesi. </w:t>
      </w:r>
      <w:hyperlink r:id="rId26">
        <w:r w:rsidRPr="00204DBD">
          <w:rPr>
            <w:highlight w:val="white"/>
          </w:rPr>
          <w:t>https://www.propeller.co.uk/insights/tiktok-micro-communities</w:t>
        </w:r>
      </w:hyperlink>
      <w:r w:rsidRPr="00204DBD">
        <w:rPr>
          <w:highlight w:val="white"/>
        </w:rPr>
        <w:t>. (Erişim tarihi: 02.08.2024).</w:t>
      </w:r>
    </w:p>
    <w:p w14:paraId="4EF9E974" w14:textId="77777777" w:rsidR="00E3302B" w:rsidRPr="00204DBD" w:rsidRDefault="00E3302B">
      <w:pPr>
        <w:widowControl/>
        <w:numPr>
          <w:ilvl w:val="0"/>
          <w:numId w:val="72"/>
        </w:numPr>
        <w:autoSpaceDE/>
        <w:autoSpaceDN/>
        <w:jc w:val="both"/>
        <w:rPr>
          <w:rFonts w:eastAsia="Calibri"/>
        </w:rPr>
      </w:pPr>
      <w:r w:rsidRPr="00204DBD">
        <w:t xml:space="preserve">Jackson, S. J., </w:t>
      </w:r>
      <w:proofErr w:type="spellStart"/>
      <w:r w:rsidRPr="00204DBD">
        <w:t>Bailey</w:t>
      </w:r>
      <w:proofErr w:type="spellEnd"/>
      <w:r w:rsidRPr="00204DBD">
        <w:t xml:space="preserve">, M., &amp; </w:t>
      </w:r>
      <w:proofErr w:type="spellStart"/>
      <w:r w:rsidRPr="00204DBD">
        <w:t>Welles</w:t>
      </w:r>
      <w:proofErr w:type="spellEnd"/>
      <w:r w:rsidRPr="00204DBD">
        <w:t xml:space="preserve">, B. F. (2020). #HashtagActivism: Networks of </w:t>
      </w:r>
      <w:proofErr w:type="spellStart"/>
      <w:r w:rsidRPr="00204DBD">
        <w:t>race</w:t>
      </w:r>
      <w:proofErr w:type="spellEnd"/>
      <w:r w:rsidRPr="00204DBD">
        <w:t xml:space="preserve"> </w:t>
      </w:r>
      <w:proofErr w:type="spellStart"/>
      <w:r w:rsidRPr="00204DBD">
        <w:t>and</w:t>
      </w:r>
      <w:proofErr w:type="spellEnd"/>
      <w:r w:rsidRPr="00204DBD">
        <w:t xml:space="preserve"> </w:t>
      </w:r>
      <w:proofErr w:type="spellStart"/>
      <w:r w:rsidRPr="00204DBD">
        <w:t>gender</w:t>
      </w:r>
      <w:proofErr w:type="spellEnd"/>
      <w:r w:rsidRPr="00204DBD">
        <w:t xml:space="preserve"> </w:t>
      </w:r>
      <w:proofErr w:type="spellStart"/>
      <w:r w:rsidRPr="00204DBD">
        <w:t>justice</w:t>
      </w:r>
      <w:proofErr w:type="spellEnd"/>
      <w:r w:rsidRPr="00204DBD">
        <w:t xml:space="preserve">. MIT </w:t>
      </w:r>
      <w:proofErr w:type="spellStart"/>
      <w:r w:rsidRPr="00204DBD">
        <w:t>Press</w:t>
      </w:r>
      <w:proofErr w:type="spellEnd"/>
      <w:r w:rsidRPr="00204DBD">
        <w:t>.</w:t>
      </w:r>
    </w:p>
    <w:p w14:paraId="647DDAAF" w14:textId="77777777" w:rsidR="00E3302B" w:rsidRPr="00204DBD" w:rsidRDefault="00E3302B">
      <w:pPr>
        <w:widowControl/>
        <w:numPr>
          <w:ilvl w:val="0"/>
          <w:numId w:val="72"/>
        </w:numPr>
        <w:autoSpaceDE/>
        <w:autoSpaceDN/>
        <w:jc w:val="both"/>
        <w:rPr>
          <w:rFonts w:eastAsia="Calibri"/>
        </w:rPr>
      </w:pPr>
      <w:r w:rsidRPr="00204DBD">
        <w:rPr>
          <w:highlight w:val="white"/>
        </w:rPr>
        <w:t xml:space="preserve">Jenkins, H. (2006). </w:t>
      </w:r>
      <w:proofErr w:type="spellStart"/>
      <w:r w:rsidRPr="00204DBD">
        <w:rPr>
          <w:highlight w:val="white"/>
        </w:rPr>
        <w:t>Convergence</w:t>
      </w:r>
      <w:proofErr w:type="spellEnd"/>
      <w:r w:rsidRPr="00204DBD">
        <w:rPr>
          <w:highlight w:val="white"/>
        </w:rPr>
        <w:t xml:space="preserve"> </w:t>
      </w:r>
      <w:proofErr w:type="spellStart"/>
      <w:r w:rsidRPr="00204DBD">
        <w:rPr>
          <w:highlight w:val="white"/>
        </w:rPr>
        <w:t>Culture</w:t>
      </w:r>
      <w:proofErr w:type="spellEnd"/>
      <w:r w:rsidRPr="00204DBD">
        <w:rPr>
          <w:highlight w:val="white"/>
        </w:rPr>
        <w:t xml:space="preserve">. </w:t>
      </w:r>
      <w:proofErr w:type="spellStart"/>
      <w:r w:rsidRPr="00204DBD">
        <w:rPr>
          <w:highlight w:val="white"/>
        </w:rPr>
        <w:t>Where</w:t>
      </w:r>
      <w:proofErr w:type="spellEnd"/>
      <w:r w:rsidRPr="00204DBD">
        <w:rPr>
          <w:highlight w:val="white"/>
        </w:rPr>
        <w:t xml:space="preserve"> </w:t>
      </w:r>
      <w:proofErr w:type="spellStart"/>
      <w:r w:rsidRPr="00204DBD">
        <w:rPr>
          <w:highlight w:val="white"/>
        </w:rPr>
        <w:t>Old</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New Media </w:t>
      </w:r>
      <w:proofErr w:type="spellStart"/>
      <w:r w:rsidRPr="00204DBD">
        <w:rPr>
          <w:highlight w:val="white"/>
        </w:rPr>
        <w:t>Collide</w:t>
      </w:r>
      <w:proofErr w:type="spellEnd"/>
      <w:r w:rsidRPr="00204DBD">
        <w:rPr>
          <w:highlight w:val="white"/>
        </w:rPr>
        <w:t xml:space="preserve"> New York, </w:t>
      </w:r>
      <w:proofErr w:type="spellStart"/>
      <w:r w:rsidRPr="00204DBD">
        <w:rPr>
          <w:highlight w:val="white"/>
        </w:rPr>
        <w:t>London</w:t>
      </w:r>
      <w:proofErr w:type="spellEnd"/>
      <w:r w:rsidRPr="00204DBD">
        <w:rPr>
          <w:highlight w:val="white"/>
        </w:rPr>
        <w:t xml:space="preserve">: New York </w:t>
      </w:r>
      <w:proofErr w:type="spellStart"/>
      <w:r w:rsidRPr="00204DBD">
        <w:rPr>
          <w:highlight w:val="white"/>
        </w:rPr>
        <w:t>University</w:t>
      </w:r>
      <w:proofErr w:type="spellEnd"/>
      <w:r w:rsidRPr="00204DBD">
        <w:rPr>
          <w:highlight w:val="white"/>
        </w:rPr>
        <w:t xml:space="preserve"> </w:t>
      </w:r>
      <w:proofErr w:type="spellStart"/>
      <w:r w:rsidRPr="00204DBD">
        <w:rPr>
          <w:highlight w:val="white"/>
        </w:rPr>
        <w:t>Press</w:t>
      </w:r>
      <w:proofErr w:type="spellEnd"/>
      <w:r w:rsidRPr="00204DBD">
        <w:rPr>
          <w:highlight w:val="white"/>
        </w:rPr>
        <w:t>.</w:t>
      </w:r>
    </w:p>
    <w:p w14:paraId="4B3B59B8" w14:textId="77777777" w:rsidR="00E3302B" w:rsidRPr="00204DBD" w:rsidRDefault="00E3302B">
      <w:pPr>
        <w:widowControl/>
        <w:numPr>
          <w:ilvl w:val="0"/>
          <w:numId w:val="72"/>
        </w:numPr>
        <w:autoSpaceDE/>
        <w:autoSpaceDN/>
        <w:jc w:val="both"/>
        <w:rPr>
          <w:rFonts w:eastAsia="Calibri"/>
        </w:rPr>
      </w:pPr>
      <w:proofErr w:type="spellStart"/>
      <w:r w:rsidRPr="00204DBD">
        <w:t>Job</w:t>
      </w:r>
      <w:proofErr w:type="spellEnd"/>
      <w:r w:rsidRPr="00204DBD">
        <w:t xml:space="preserve">, E. (10 Haziran 2024) </w:t>
      </w:r>
      <w:proofErr w:type="spellStart"/>
      <w:r w:rsidRPr="00204DBD">
        <w:t>Messenger’s</w:t>
      </w:r>
      <w:proofErr w:type="spellEnd"/>
      <w:r w:rsidRPr="00204DBD">
        <w:t xml:space="preserve"> New </w:t>
      </w:r>
      <w:proofErr w:type="spellStart"/>
      <w:r w:rsidRPr="00204DBD">
        <w:t>Community</w:t>
      </w:r>
      <w:proofErr w:type="spellEnd"/>
      <w:r w:rsidRPr="00204DBD">
        <w:t xml:space="preserve"> </w:t>
      </w:r>
      <w:proofErr w:type="spellStart"/>
      <w:r w:rsidRPr="00204DBD">
        <w:t>Chats</w:t>
      </w:r>
      <w:proofErr w:type="spellEnd"/>
      <w:r w:rsidRPr="00204DBD">
        <w:t xml:space="preserve"> No </w:t>
      </w:r>
      <w:proofErr w:type="spellStart"/>
      <w:r w:rsidRPr="00204DBD">
        <w:t>Longer</w:t>
      </w:r>
      <w:proofErr w:type="spellEnd"/>
      <w:r w:rsidRPr="00204DBD">
        <w:t xml:space="preserve"> </w:t>
      </w:r>
      <w:proofErr w:type="spellStart"/>
      <w:r w:rsidRPr="00204DBD">
        <w:t>Need</w:t>
      </w:r>
      <w:proofErr w:type="spellEnd"/>
      <w:r w:rsidRPr="00204DBD">
        <w:t xml:space="preserve"> Facebook </w:t>
      </w:r>
      <w:proofErr w:type="spellStart"/>
      <w:r w:rsidRPr="00204DBD">
        <w:t>Groups</w:t>
      </w:r>
      <w:proofErr w:type="spellEnd"/>
      <w:r w:rsidRPr="00204DBD">
        <w:t xml:space="preserve">. </w:t>
      </w:r>
      <w:hyperlink r:id="rId27" w:history="1">
        <w:r w:rsidRPr="00204DBD">
          <w:rPr>
            <w:rStyle w:val="Kpr"/>
            <w:rFonts w:eastAsiaTheme="majorEastAsia"/>
          </w:rPr>
          <w:t>https://www.techedt.com/messengers-new-community-chats-no-longer-need-facebook-groups</w:t>
        </w:r>
      </w:hyperlink>
      <w:r w:rsidRPr="00204DBD">
        <w:rPr>
          <w:rFonts w:eastAsia="Calibri"/>
        </w:rPr>
        <w:t>. (Erişim tarihi: 23 Eylül 2024).</w:t>
      </w:r>
    </w:p>
    <w:p w14:paraId="3EEDC222" w14:textId="77777777" w:rsidR="00E3302B" w:rsidRPr="00204DBD" w:rsidRDefault="00E3302B">
      <w:pPr>
        <w:widowControl/>
        <w:numPr>
          <w:ilvl w:val="0"/>
          <w:numId w:val="72"/>
        </w:numPr>
        <w:autoSpaceDE/>
        <w:autoSpaceDN/>
        <w:jc w:val="both"/>
        <w:rPr>
          <w:highlight w:val="white"/>
        </w:rPr>
      </w:pPr>
      <w:proofErr w:type="spellStart"/>
      <w:r w:rsidRPr="00204DBD">
        <w:rPr>
          <w:highlight w:val="white"/>
        </w:rPr>
        <w:t>Kabashi</w:t>
      </w:r>
      <w:proofErr w:type="spellEnd"/>
      <w:r w:rsidRPr="00204DBD">
        <w:rPr>
          <w:highlight w:val="white"/>
        </w:rPr>
        <w:t xml:space="preserve">, F. (2024) </w:t>
      </w:r>
      <w:proofErr w:type="spellStart"/>
      <w:r w:rsidRPr="00204DBD">
        <w:rPr>
          <w:highlight w:val="white"/>
        </w:rPr>
        <w:t>Reddit</w:t>
      </w:r>
      <w:proofErr w:type="spellEnd"/>
      <w:r w:rsidRPr="00204DBD">
        <w:rPr>
          <w:highlight w:val="white"/>
        </w:rPr>
        <w:t xml:space="preserve"> vs. </w:t>
      </w:r>
      <w:proofErr w:type="spellStart"/>
      <w:r w:rsidRPr="00204DBD">
        <w:rPr>
          <w:highlight w:val="white"/>
        </w:rPr>
        <w:t>Quora</w:t>
      </w:r>
      <w:proofErr w:type="spellEnd"/>
      <w:r w:rsidRPr="00204DBD">
        <w:rPr>
          <w:highlight w:val="white"/>
        </w:rPr>
        <w:t xml:space="preserve">: </w:t>
      </w:r>
      <w:proofErr w:type="spellStart"/>
      <w:r w:rsidRPr="00204DBD">
        <w:rPr>
          <w:highlight w:val="white"/>
        </w:rPr>
        <w:t>Which</w:t>
      </w:r>
      <w:proofErr w:type="spellEnd"/>
      <w:r w:rsidRPr="00204DBD">
        <w:rPr>
          <w:highlight w:val="white"/>
        </w:rPr>
        <w:t xml:space="preserve"> is </w:t>
      </w:r>
      <w:proofErr w:type="spellStart"/>
      <w:r w:rsidRPr="00204DBD">
        <w:rPr>
          <w:highlight w:val="white"/>
        </w:rPr>
        <w:t>the</w:t>
      </w:r>
      <w:proofErr w:type="spellEnd"/>
      <w:r w:rsidRPr="00204DBD">
        <w:rPr>
          <w:highlight w:val="white"/>
        </w:rPr>
        <w:t xml:space="preserve"> </w:t>
      </w:r>
      <w:proofErr w:type="spellStart"/>
      <w:r w:rsidRPr="00204DBD">
        <w:rPr>
          <w:highlight w:val="white"/>
        </w:rPr>
        <w:t>better</w:t>
      </w:r>
      <w:proofErr w:type="spellEnd"/>
      <w:r w:rsidRPr="00204DBD">
        <w:rPr>
          <w:highlight w:val="white"/>
        </w:rPr>
        <w:t xml:space="preserve"> </w:t>
      </w:r>
      <w:proofErr w:type="spellStart"/>
      <w:r w:rsidRPr="00204DBD">
        <w:rPr>
          <w:highlight w:val="white"/>
        </w:rPr>
        <w:t>choice</w:t>
      </w:r>
      <w:proofErr w:type="spellEnd"/>
      <w:r w:rsidRPr="00204DBD">
        <w:rPr>
          <w:highlight w:val="white"/>
        </w:rPr>
        <w:t xml:space="preserve">? </w:t>
      </w:r>
      <w:proofErr w:type="spellStart"/>
      <w:r w:rsidRPr="00204DBD">
        <w:rPr>
          <w:highlight w:val="white"/>
        </w:rPr>
        <w:t>Tactica</w:t>
      </w:r>
      <w:proofErr w:type="spellEnd"/>
      <w:r w:rsidRPr="00204DBD">
        <w:rPr>
          <w:highlight w:val="white"/>
        </w:rPr>
        <w:t xml:space="preserve"> İnternet Sitesi. </w:t>
      </w:r>
      <w:hyperlink r:id="rId28">
        <w:r w:rsidRPr="00204DBD">
          <w:rPr>
            <w:highlight w:val="white"/>
          </w:rPr>
          <w:t>https://seotactica.com/learn/quora-vs-reddit/</w:t>
        </w:r>
      </w:hyperlink>
      <w:r w:rsidRPr="00204DBD">
        <w:rPr>
          <w:highlight w:val="white"/>
        </w:rPr>
        <w:t xml:space="preserve"> (Erişim tarihi: 12.07.2024).</w:t>
      </w:r>
    </w:p>
    <w:p w14:paraId="423D6778" w14:textId="77777777" w:rsidR="00E3302B" w:rsidRPr="00204DBD" w:rsidRDefault="00E3302B">
      <w:pPr>
        <w:widowControl/>
        <w:numPr>
          <w:ilvl w:val="0"/>
          <w:numId w:val="72"/>
        </w:numPr>
        <w:autoSpaceDE/>
        <w:autoSpaceDN/>
        <w:jc w:val="both"/>
        <w:rPr>
          <w:rFonts w:eastAsia="Calibri"/>
        </w:rPr>
      </w:pPr>
      <w:proofErr w:type="spellStart"/>
      <w:r w:rsidRPr="00204DBD">
        <w:t>Kapitan</w:t>
      </w:r>
      <w:proofErr w:type="spellEnd"/>
      <w:r w:rsidRPr="00204DBD">
        <w:t xml:space="preserve">, S., &amp; </w:t>
      </w:r>
      <w:proofErr w:type="spellStart"/>
      <w:r w:rsidRPr="00204DBD">
        <w:t>Silvera</w:t>
      </w:r>
      <w:proofErr w:type="spellEnd"/>
      <w:r w:rsidRPr="00204DBD">
        <w:t xml:space="preserve">, D. H. (2016). </w:t>
      </w:r>
      <w:r w:rsidRPr="00204DBD">
        <w:rPr>
          <w:i/>
        </w:rPr>
        <w:t>“</w:t>
      </w:r>
      <w:proofErr w:type="spellStart"/>
      <w:r w:rsidRPr="00204DBD">
        <w:rPr>
          <w:i/>
        </w:rPr>
        <w:t>From</w:t>
      </w:r>
      <w:proofErr w:type="spellEnd"/>
      <w:r w:rsidRPr="00204DBD">
        <w:rPr>
          <w:i/>
        </w:rPr>
        <w:t xml:space="preserve"> </w:t>
      </w:r>
      <w:proofErr w:type="spellStart"/>
      <w:r w:rsidRPr="00204DBD">
        <w:rPr>
          <w:i/>
        </w:rPr>
        <w:t>digital</w:t>
      </w:r>
      <w:proofErr w:type="spellEnd"/>
      <w:r w:rsidRPr="00204DBD">
        <w:rPr>
          <w:i/>
        </w:rPr>
        <w:t xml:space="preserve"> </w:t>
      </w:r>
      <w:proofErr w:type="spellStart"/>
      <w:r w:rsidRPr="00204DBD">
        <w:rPr>
          <w:i/>
        </w:rPr>
        <w:t>influencers</w:t>
      </w:r>
      <w:proofErr w:type="spellEnd"/>
      <w:r w:rsidRPr="00204DBD">
        <w:rPr>
          <w:i/>
        </w:rPr>
        <w:t xml:space="preserve"> </w:t>
      </w:r>
      <w:proofErr w:type="spellStart"/>
      <w:r w:rsidRPr="00204DBD">
        <w:rPr>
          <w:i/>
        </w:rPr>
        <w:t>to</w:t>
      </w:r>
      <w:proofErr w:type="spellEnd"/>
      <w:r w:rsidRPr="00204DBD">
        <w:rPr>
          <w:i/>
        </w:rPr>
        <w:t xml:space="preserve"> </w:t>
      </w:r>
      <w:proofErr w:type="spellStart"/>
      <w:r w:rsidRPr="00204DBD">
        <w:rPr>
          <w:i/>
        </w:rPr>
        <w:t>social</w:t>
      </w:r>
      <w:proofErr w:type="spellEnd"/>
      <w:r w:rsidRPr="00204DBD">
        <w:rPr>
          <w:i/>
        </w:rPr>
        <w:t xml:space="preserve"> </w:t>
      </w:r>
      <w:proofErr w:type="spellStart"/>
      <w:r w:rsidRPr="00204DBD">
        <w:rPr>
          <w:i/>
        </w:rPr>
        <w:t>media</w:t>
      </w:r>
      <w:proofErr w:type="spellEnd"/>
      <w:r w:rsidRPr="00204DBD">
        <w:rPr>
          <w:i/>
        </w:rPr>
        <w:t xml:space="preserve"> </w:t>
      </w:r>
      <w:proofErr w:type="spellStart"/>
      <w:r w:rsidRPr="00204DBD">
        <w:rPr>
          <w:i/>
        </w:rPr>
        <w:t>celebrities</w:t>
      </w:r>
      <w:proofErr w:type="spellEnd"/>
      <w:r w:rsidRPr="00204DBD">
        <w:rPr>
          <w:i/>
        </w:rPr>
        <w:t xml:space="preserve">: How </w:t>
      </w:r>
      <w:proofErr w:type="spellStart"/>
      <w:r w:rsidRPr="00204DBD">
        <w:rPr>
          <w:i/>
        </w:rPr>
        <w:t>social</w:t>
      </w:r>
      <w:proofErr w:type="spellEnd"/>
      <w:r w:rsidRPr="00204DBD">
        <w:rPr>
          <w:i/>
        </w:rPr>
        <w:t xml:space="preserve"> </w:t>
      </w:r>
      <w:proofErr w:type="spellStart"/>
      <w:r w:rsidRPr="00204DBD">
        <w:rPr>
          <w:i/>
        </w:rPr>
        <w:t>media</w:t>
      </w:r>
      <w:proofErr w:type="spellEnd"/>
      <w:r w:rsidRPr="00204DBD">
        <w:rPr>
          <w:i/>
        </w:rPr>
        <w:t xml:space="preserve"> </w:t>
      </w:r>
      <w:proofErr w:type="spellStart"/>
      <w:r w:rsidRPr="00204DBD">
        <w:rPr>
          <w:i/>
        </w:rPr>
        <w:t>platforms</w:t>
      </w:r>
      <w:proofErr w:type="spellEnd"/>
      <w:r w:rsidRPr="00204DBD">
        <w:rPr>
          <w:i/>
        </w:rPr>
        <w:t xml:space="preserve"> </w:t>
      </w:r>
      <w:proofErr w:type="spellStart"/>
      <w:r w:rsidRPr="00204DBD">
        <w:rPr>
          <w:i/>
        </w:rPr>
        <w:t>shape</w:t>
      </w:r>
      <w:proofErr w:type="spellEnd"/>
      <w:r w:rsidRPr="00204DBD">
        <w:rPr>
          <w:i/>
        </w:rPr>
        <w:t xml:space="preserve"> </w:t>
      </w:r>
      <w:proofErr w:type="spellStart"/>
      <w:r w:rsidRPr="00204DBD">
        <w:rPr>
          <w:i/>
        </w:rPr>
        <w:t>the</w:t>
      </w:r>
      <w:proofErr w:type="spellEnd"/>
      <w:r w:rsidRPr="00204DBD">
        <w:rPr>
          <w:i/>
        </w:rPr>
        <w:t xml:space="preserve"> </w:t>
      </w:r>
      <w:proofErr w:type="spellStart"/>
      <w:r w:rsidRPr="00204DBD">
        <w:rPr>
          <w:i/>
        </w:rPr>
        <w:t>rise</w:t>
      </w:r>
      <w:proofErr w:type="spellEnd"/>
      <w:r w:rsidRPr="00204DBD">
        <w:rPr>
          <w:i/>
        </w:rPr>
        <w:t xml:space="preserve"> of </w:t>
      </w:r>
      <w:proofErr w:type="spellStart"/>
      <w:r w:rsidRPr="00204DBD">
        <w:rPr>
          <w:i/>
        </w:rPr>
        <w:t>influencer</w:t>
      </w:r>
      <w:proofErr w:type="spellEnd"/>
      <w:r w:rsidRPr="00204DBD">
        <w:rPr>
          <w:i/>
        </w:rPr>
        <w:t xml:space="preserve"> marketing.”</w:t>
      </w:r>
      <w:r w:rsidRPr="00204DBD">
        <w:t xml:space="preserve"> </w:t>
      </w:r>
      <w:proofErr w:type="spellStart"/>
      <w:r w:rsidRPr="00204DBD">
        <w:rPr>
          <w:i/>
        </w:rPr>
        <w:t>Journal</w:t>
      </w:r>
      <w:proofErr w:type="spellEnd"/>
      <w:r w:rsidRPr="00204DBD">
        <w:rPr>
          <w:i/>
        </w:rPr>
        <w:t xml:space="preserve"> of </w:t>
      </w:r>
      <w:proofErr w:type="spellStart"/>
      <w:r w:rsidRPr="00204DBD">
        <w:rPr>
          <w:i/>
        </w:rPr>
        <w:t>Advertising</w:t>
      </w:r>
      <w:proofErr w:type="spellEnd"/>
      <w:r w:rsidRPr="00204DBD">
        <w:rPr>
          <w:i/>
        </w:rPr>
        <w:t xml:space="preserve"> </w:t>
      </w:r>
      <w:proofErr w:type="spellStart"/>
      <w:r w:rsidRPr="00204DBD">
        <w:rPr>
          <w:i/>
        </w:rPr>
        <w:t>Research</w:t>
      </w:r>
      <w:proofErr w:type="spellEnd"/>
      <w:r w:rsidRPr="00204DBD">
        <w:t>, 56(4), 455-468.</w:t>
      </w:r>
    </w:p>
    <w:p w14:paraId="48B74D9F" w14:textId="77777777" w:rsidR="00E3302B" w:rsidRPr="00204DBD" w:rsidRDefault="00E3302B">
      <w:pPr>
        <w:widowControl/>
        <w:numPr>
          <w:ilvl w:val="0"/>
          <w:numId w:val="72"/>
        </w:numPr>
        <w:autoSpaceDE/>
        <w:autoSpaceDN/>
        <w:jc w:val="both"/>
        <w:rPr>
          <w:rFonts w:eastAsia="Calibri"/>
        </w:rPr>
      </w:pPr>
      <w:proofErr w:type="spellStart"/>
      <w:r w:rsidRPr="00204DBD">
        <w:t>Khamis</w:t>
      </w:r>
      <w:proofErr w:type="spellEnd"/>
      <w:r w:rsidRPr="00204DBD">
        <w:t xml:space="preserve">, S., </w:t>
      </w:r>
      <w:proofErr w:type="spellStart"/>
      <w:r w:rsidRPr="00204DBD">
        <w:t>Ang</w:t>
      </w:r>
      <w:proofErr w:type="spellEnd"/>
      <w:r w:rsidRPr="00204DBD">
        <w:t xml:space="preserve">, L., &amp; </w:t>
      </w:r>
      <w:proofErr w:type="spellStart"/>
      <w:r w:rsidRPr="00204DBD">
        <w:t>McAlister</w:t>
      </w:r>
      <w:proofErr w:type="spellEnd"/>
      <w:r w:rsidRPr="00204DBD">
        <w:t xml:space="preserve">, A. R. (2017). </w:t>
      </w:r>
      <w:r w:rsidRPr="00204DBD">
        <w:rPr>
          <w:i/>
        </w:rPr>
        <w:t>“Self-</w:t>
      </w:r>
      <w:proofErr w:type="spellStart"/>
      <w:r w:rsidRPr="00204DBD">
        <w:rPr>
          <w:i/>
        </w:rPr>
        <w:t>branding</w:t>
      </w:r>
      <w:proofErr w:type="spellEnd"/>
      <w:r w:rsidRPr="00204DBD">
        <w:rPr>
          <w:i/>
        </w:rPr>
        <w:t>, ‘</w:t>
      </w:r>
      <w:proofErr w:type="spellStart"/>
      <w:r w:rsidRPr="00204DBD">
        <w:rPr>
          <w:i/>
        </w:rPr>
        <w:t>micro-celebrity</w:t>
      </w:r>
      <w:proofErr w:type="spellEnd"/>
      <w:r w:rsidRPr="00204DBD">
        <w:rPr>
          <w:i/>
        </w:rPr>
        <w:t xml:space="preserve">’ </w:t>
      </w:r>
      <w:proofErr w:type="spellStart"/>
      <w:r w:rsidRPr="00204DBD">
        <w:rPr>
          <w:i/>
        </w:rPr>
        <w:t>and</w:t>
      </w:r>
      <w:proofErr w:type="spellEnd"/>
      <w:r w:rsidRPr="00204DBD">
        <w:rPr>
          <w:i/>
        </w:rPr>
        <w:t xml:space="preserve"> </w:t>
      </w:r>
      <w:proofErr w:type="spellStart"/>
      <w:r w:rsidRPr="00204DBD">
        <w:rPr>
          <w:i/>
        </w:rPr>
        <w:t>the</w:t>
      </w:r>
      <w:proofErr w:type="spellEnd"/>
      <w:r w:rsidRPr="00204DBD">
        <w:rPr>
          <w:i/>
        </w:rPr>
        <w:t xml:space="preserve"> </w:t>
      </w:r>
      <w:proofErr w:type="spellStart"/>
      <w:r w:rsidRPr="00204DBD">
        <w:rPr>
          <w:i/>
        </w:rPr>
        <w:t>rise</w:t>
      </w:r>
      <w:proofErr w:type="spellEnd"/>
      <w:r w:rsidRPr="00204DBD">
        <w:rPr>
          <w:i/>
        </w:rPr>
        <w:t xml:space="preserve"> of </w:t>
      </w:r>
      <w:proofErr w:type="spellStart"/>
      <w:r w:rsidRPr="00204DBD">
        <w:rPr>
          <w:i/>
        </w:rPr>
        <w:t>social</w:t>
      </w:r>
      <w:proofErr w:type="spellEnd"/>
      <w:r w:rsidRPr="00204DBD">
        <w:rPr>
          <w:i/>
        </w:rPr>
        <w:t xml:space="preserve"> </w:t>
      </w:r>
      <w:proofErr w:type="spellStart"/>
      <w:r w:rsidRPr="00204DBD">
        <w:rPr>
          <w:i/>
        </w:rPr>
        <w:t>media</w:t>
      </w:r>
      <w:proofErr w:type="spellEnd"/>
      <w:r w:rsidRPr="00204DBD">
        <w:rPr>
          <w:i/>
        </w:rPr>
        <w:t xml:space="preserve"> </w:t>
      </w:r>
      <w:proofErr w:type="spellStart"/>
      <w:r w:rsidRPr="00204DBD">
        <w:rPr>
          <w:i/>
        </w:rPr>
        <w:t>influencers</w:t>
      </w:r>
      <w:proofErr w:type="spellEnd"/>
      <w:r w:rsidRPr="00204DBD">
        <w:rPr>
          <w:i/>
        </w:rPr>
        <w:t>.”</w:t>
      </w:r>
      <w:r w:rsidRPr="00204DBD">
        <w:t xml:space="preserve"> </w:t>
      </w:r>
      <w:proofErr w:type="spellStart"/>
      <w:r w:rsidRPr="00204DBD">
        <w:rPr>
          <w:i/>
        </w:rPr>
        <w:t>Celebrity</w:t>
      </w:r>
      <w:proofErr w:type="spellEnd"/>
      <w:r w:rsidRPr="00204DBD">
        <w:rPr>
          <w:i/>
        </w:rPr>
        <w:t xml:space="preserve"> </w:t>
      </w:r>
      <w:proofErr w:type="spellStart"/>
      <w:r w:rsidRPr="00204DBD">
        <w:rPr>
          <w:i/>
        </w:rPr>
        <w:t>Studies</w:t>
      </w:r>
      <w:proofErr w:type="spellEnd"/>
      <w:r w:rsidRPr="00204DBD">
        <w:t>, 8(2), 191-208.</w:t>
      </w:r>
    </w:p>
    <w:p w14:paraId="3B299D3C" w14:textId="77777777" w:rsidR="00E3302B" w:rsidRPr="00204DBD" w:rsidRDefault="00E3302B">
      <w:pPr>
        <w:widowControl/>
        <w:numPr>
          <w:ilvl w:val="0"/>
          <w:numId w:val="72"/>
        </w:numPr>
        <w:autoSpaceDE/>
        <w:autoSpaceDN/>
        <w:jc w:val="both"/>
        <w:rPr>
          <w:rFonts w:eastAsia="Calibri"/>
        </w:rPr>
      </w:pPr>
      <w:proofErr w:type="spellStart"/>
      <w:r w:rsidRPr="00204DBD">
        <w:t>Koller</w:t>
      </w:r>
      <w:proofErr w:type="spellEnd"/>
      <w:r w:rsidRPr="00204DBD">
        <w:t xml:space="preserve">, D., Ng, A., Do, C., &amp; Chen, Z. (2013). </w:t>
      </w:r>
      <w:proofErr w:type="spellStart"/>
      <w:r w:rsidRPr="00204DBD">
        <w:t>Retention</w:t>
      </w:r>
      <w:proofErr w:type="spellEnd"/>
      <w:r w:rsidRPr="00204DBD">
        <w:t xml:space="preserve"> </w:t>
      </w:r>
      <w:proofErr w:type="spellStart"/>
      <w:r w:rsidRPr="00204DBD">
        <w:t>and</w:t>
      </w:r>
      <w:proofErr w:type="spellEnd"/>
      <w:r w:rsidRPr="00204DBD">
        <w:t xml:space="preserve"> </w:t>
      </w:r>
      <w:proofErr w:type="spellStart"/>
      <w:r w:rsidRPr="00204DBD">
        <w:t>intention</w:t>
      </w:r>
      <w:proofErr w:type="spellEnd"/>
      <w:r w:rsidRPr="00204DBD">
        <w:t xml:space="preserve"> in </w:t>
      </w:r>
      <w:proofErr w:type="spellStart"/>
      <w:r w:rsidRPr="00204DBD">
        <w:t>massive</w:t>
      </w:r>
      <w:proofErr w:type="spellEnd"/>
      <w:r w:rsidRPr="00204DBD">
        <w:t xml:space="preserve"> </w:t>
      </w:r>
      <w:proofErr w:type="spellStart"/>
      <w:r w:rsidRPr="00204DBD">
        <w:t>open</w:t>
      </w:r>
      <w:proofErr w:type="spellEnd"/>
      <w:r w:rsidRPr="00204DBD">
        <w:t xml:space="preserve"> online </w:t>
      </w:r>
      <w:proofErr w:type="spellStart"/>
      <w:r w:rsidRPr="00204DBD">
        <w:t>courses</w:t>
      </w:r>
      <w:proofErr w:type="spellEnd"/>
      <w:r w:rsidRPr="00204DBD">
        <w:t xml:space="preserve">: </w:t>
      </w:r>
      <w:proofErr w:type="spellStart"/>
      <w:r w:rsidRPr="00204DBD">
        <w:t>In-depth</w:t>
      </w:r>
      <w:proofErr w:type="spellEnd"/>
      <w:r w:rsidRPr="00204DBD">
        <w:t xml:space="preserve">. </w:t>
      </w:r>
      <w:proofErr w:type="spellStart"/>
      <w:r w:rsidRPr="00204DBD">
        <w:rPr>
          <w:i/>
        </w:rPr>
        <w:t>Educause</w:t>
      </w:r>
      <w:proofErr w:type="spellEnd"/>
      <w:r w:rsidRPr="00204DBD">
        <w:rPr>
          <w:i/>
        </w:rPr>
        <w:t xml:space="preserve"> </w:t>
      </w:r>
      <w:proofErr w:type="spellStart"/>
      <w:r w:rsidRPr="00204DBD">
        <w:rPr>
          <w:i/>
        </w:rPr>
        <w:t>Review</w:t>
      </w:r>
      <w:proofErr w:type="spellEnd"/>
      <w:r w:rsidRPr="00204DBD">
        <w:rPr>
          <w:i/>
        </w:rPr>
        <w:t>, 48</w:t>
      </w:r>
      <w:r w:rsidRPr="00204DBD">
        <w:t>(3), 62-63</w:t>
      </w:r>
    </w:p>
    <w:p w14:paraId="4681E3C8" w14:textId="77777777" w:rsidR="00E3302B" w:rsidRPr="00204DBD" w:rsidRDefault="00E3302B">
      <w:pPr>
        <w:widowControl/>
        <w:numPr>
          <w:ilvl w:val="0"/>
          <w:numId w:val="72"/>
        </w:numPr>
        <w:autoSpaceDE/>
        <w:autoSpaceDN/>
        <w:jc w:val="both"/>
        <w:rPr>
          <w:rFonts w:eastAsia="Calibri"/>
        </w:rPr>
      </w:pPr>
      <w:proofErr w:type="spellStart"/>
      <w:r w:rsidRPr="00204DBD">
        <w:rPr>
          <w:highlight w:val="white"/>
        </w:rPr>
        <w:t>Kowert</w:t>
      </w:r>
      <w:proofErr w:type="spellEnd"/>
      <w:r w:rsidRPr="00204DBD">
        <w:rPr>
          <w:highlight w:val="white"/>
        </w:rPr>
        <w:t xml:space="preserve">, R., </w:t>
      </w:r>
      <w:proofErr w:type="spellStart"/>
      <w:r w:rsidRPr="00204DBD">
        <w:rPr>
          <w:highlight w:val="white"/>
        </w:rPr>
        <w:t>Vogelgesang</w:t>
      </w:r>
      <w:proofErr w:type="spellEnd"/>
      <w:r w:rsidRPr="00204DBD">
        <w:rPr>
          <w:highlight w:val="white"/>
        </w:rPr>
        <w:t xml:space="preserve">, J., </w:t>
      </w:r>
      <w:proofErr w:type="spellStart"/>
      <w:r w:rsidRPr="00204DBD">
        <w:rPr>
          <w:highlight w:val="white"/>
        </w:rPr>
        <w:t>Festl</w:t>
      </w:r>
      <w:proofErr w:type="spellEnd"/>
      <w:r w:rsidRPr="00204DBD">
        <w:rPr>
          <w:highlight w:val="white"/>
        </w:rPr>
        <w:t xml:space="preserve">, R., &amp; </w:t>
      </w:r>
      <w:proofErr w:type="spellStart"/>
      <w:r w:rsidRPr="00204DBD">
        <w:rPr>
          <w:highlight w:val="white"/>
        </w:rPr>
        <w:t>Quandt</w:t>
      </w:r>
      <w:proofErr w:type="spellEnd"/>
      <w:r w:rsidRPr="00204DBD">
        <w:rPr>
          <w:highlight w:val="white"/>
        </w:rPr>
        <w:t xml:space="preserve">, T. (2015). </w:t>
      </w:r>
      <w:proofErr w:type="spellStart"/>
      <w:r w:rsidRPr="00204DBD">
        <w:rPr>
          <w:highlight w:val="white"/>
        </w:rPr>
        <w:t>Psychosocial</w:t>
      </w:r>
      <w:proofErr w:type="spellEnd"/>
      <w:r w:rsidRPr="00204DBD">
        <w:rPr>
          <w:highlight w:val="white"/>
        </w:rPr>
        <w:t xml:space="preserve"> </w:t>
      </w:r>
      <w:proofErr w:type="spellStart"/>
      <w:r w:rsidRPr="00204DBD">
        <w:rPr>
          <w:highlight w:val="white"/>
        </w:rPr>
        <w:t>causes</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consequences</w:t>
      </w:r>
      <w:proofErr w:type="spellEnd"/>
      <w:r w:rsidRPr="00204DBD">
        <w:rPr>
          <w:highlight w:val="white"/>
        </w:rPr>
        <w:t xml:space="preserve"> of online video </w:t>
      </w:r>
      <w:proofErr w:type="spellStart"/>
      <w:r w:rsidRPr="00204DBD">
        <w:rPr>
          <w:highlight w:val="white"/>
        </w:rPr>
        <w:t>game</w:t>
      </w:r>
      <w:proofErr w:type="spellEnd"/>
      <w:r w:rsidRPr="00204DBD">
        <w:rPr>
          <w:highlight w:val="white"/>
        </w:rPr>
        <w:t xml:space="preserve"> </w:t>
      </w:r>
      <w:proofErr w:type="spellStart"/>
      <w:r w:rsidRPr="00204DBD">
        <w:rPr>
          <w:highlight w:val="white"/>
        </w:rPr>
        <w:t>play</w:t>
      </w:r>
      <w:proofErr w:type="spellEnd"/>
      <w:r w:rsidRPr="00204DBD">
        <w:rPr>
          <w:highlight w:val="white"/>
        </w:rPr>
        <w:t xml:space="preserve">. </w:t>
      </w:r>
      <w:proofErr w:type="spellStart"/>
      <w:r w:rsidRPr="00204DBD">
        <w:rPr>
          <w:i/>
          <w:highlight w:val="white"/>
        </w:rPr>
        <w:t>Computers</w:t>
      </w:r>
      <w:proofErr w:type="spellEnd"/>
      <w:r w:rsidRPr="00204DBD">
        <w:rPr>
          <w:i/>
          <w:highlight w:val="white"/>
        </w:rPr>
        <w:t xml:space="preserve"> in Human </w:t>
      </w:r>
      <w:proofErr w:type="spellStart"/>
      <w:r w:rsidRPr="00204DBD">
        <w:rPr>
          <w:i/>
          <w:highlight w:val="white"/>
        </w:rPr>
        <w:t>Behavior</w:t>
      </w:r>
      <w:proofErr w:type="spellEnd"/>
      <w:r w:rsidRPr="00204DBD">
        <w:rPr>
          <w:highlight w:val="white"/>
        </w:rPr>
        <w:t xml:space="preserve">, </w:t>
      </w:r>
      <w:r w:rsidRPr="00204DBD">
        <w:rPr>
          <w:i/>
          <w:highlight w:val="white"/>
        </w:rPr>
        <w:t>45</w:t>
      </w:r>
      <w:r w:rsidRPr="00204DBD">
        <w:rPr>
          <w:highlight w:val="white"/>
        </w:rPr>
        <w:t>, 51-58.</w:t>
      </w:r>
    </w:p>
    <w:p w14:paraId="000C5976" w14:textId="77777777" w:rsidR="00E3302B" w:rsidRPr="00204DBD" w:rsidRDefault="00E3302B">
      <w:pPr>
        <w:widowControl/>
        <w:numPr>
          <w:ilvl w:val="0"/>
          <w:numId w:val="72"/>
        </w:numPr>
        <w:autoSpaceDE/>
        <w:autoSpaceDN/>
        <w:jc w:val="both"/>
        <w:rPr>
          <w:rFonts w:eastAsia="Calibri"/>
        </w:rPr>
      </w:pPr>
      <w:proofErr w:type="spellStart"/>
      <w:r w:rsidRPr="00204DBD">
        <w:lastRenderedPageBreak/>
        <w:t>Marwick</w:t>
      </w:r>
      <w:proofErr w:type="spellEnd"/>
      <w:r w:rsidRPr="00204DBD">
        <w:t xml:space="preserve">, A. E. (2015). </w:t>
      </w:r>
      <w:r w:rsidRPr="00204DBD">
        <w:rPr>
          <w:i/>
        </w:rPr>
        <w:t>“</w:t>
      </w:r>
      <w:proofErr w:type="spellStart"/>
      <w:r w:rsidRPr="00204DBD">
        <w:rPr>
          <w:i/>
        </w:rPr>
        <w:t>Instafame</w:t>
      </w:r>
      <w:proofErr w:type="spellEnd"/>
      <w:r w:rsidRPr="00204DBD">
        <w:rPr>
          <w:i/>
        </w:rPr>
        <w:t xml:space="preserve">: Luxury </w:t>
      </w:r>
      <w:proofErr w:type="spellStart"/>
      <w:r w:rsidRPr="00204DBD">
        <w:rPr>
          <w:i/>
        </w:rPr>
        <w:t>selfies</w:t>
      </w:r>
      <w:proofErr w:type="spellEnd"/>
      <w:r w:rsidRPr="00204DBD">
        <w:rPr>
          <w:i/>
        </w:rPr>
        <w:t xml:space="preserve"> in </w:t>
      </w:r>
      <w:proofErr w:type="spellStart"/>
      <w:r w:rsidRPr="00204DBD">
        <w:rPr>
          <w:i/>
        </w:rPr>
        <w:t>the</w:t>
      </w:r>
      <w:proofErr w:type="spellEnd"/>
      <w:r w:rsidRPr="00204DBD">
        <w:rPr>
          <w:i/>
        </w:rPr>
        <w:t xml:space="preserve"> </w:t>
      </w:r>
      <w:proofErr w:type="spellStart"/>
      <w:r w:rsidRPr="00204DBD">
        <w:rPr>
          <w:i/>
        </w:rPr>
        <w:t>age</w:t>
      </w:r>
      <w:proofErr w:type="spellEnd"/>
      <w:r w:rsidRPr="00204DBD">
        <w:rPr>
          <w:i/>
        </w:rPr>
        <w:t xml:space="preserve"> of </w:t>
      </w:r>
      <w:proofErr w:type="spellStart"/>
      <w:r w:rsidRPr="00204DBD">
        <w:rPr>
          <w:i/>
        </w:rPr>
        <w:t>social</w:t>
      </w:r>
      <w:proofErr w:type="spellEnd"/>
      <w:r w:rsidRPr="00204DBD">
        <w:rPr>
          <w:i/>
        </w:rPr>
        <w:t xml:space="preserve"> </w:t>
      </w:r>
      <w:proofErr w:type="spellStart"/>
      <w:r w:rsidRPr="00204DBD">
        <w:rPr>
          <w:i/>
        </w:rPr>
        <w:t>media</w:t>
      </w:r>
      <w:proofErr w:type="spellEnd"/>
      <w:r w:rsidRPr="00204DBD">
        <w:rPr>
          <w:i/>
        </w:rPr>
        <w:t>.”</w:t>
      </w:r>
      <w:r w:rsidRPr="00204DBD">
        <w:t xml:space="preserve"> </w:t>
      </w:r>
      <w:proofErr w:type="spellStart"/>
      <w:r w:rsidRPr="00204DBD">
        <w:rPr>
          <w:i/>
        </w:rPr>
        <w:t>Public</w:t>
      </w:r>
      <w:proofErr w:type="spellEnd"/>
      <w:r w:rsidRPr="00204DBD">
        <w:rPr>
          <w:i/>
        </w:rPr>
        <w:t xml:space="preserve"> </w:t>
      </w:r>
      <w:proofErr w:type="spellStart"/>
      <w:r w:rsidRPr="00204DBD">
        <w:rPr>
          <w:i/>
        </w:rPr>
        <w:t>Culture</w:t>
      </w:r>
      <w:proofErr w:type="spellEnd"/>
      <w:r w:rsidRPr="00204DBD">
        <w:t>, 27(1), 137-160.</w:t>
      </w:r>
    </w:p>
    <w:p w14:paraId="74D0A342" w14:textId="77777777" w:rsidR="00E3302B" w:rsidRPr="00204DBD" w:rsidRDefault="00E3302B">
      <w:pPr>
        <w:widowControl/>
        <w:numPr>
          <w:ilvl w:val="0"/>
          <w:numId w:val="72"/>
        </w:numPr>
        <w:autoSpaceDE/>
        <w:autoSpaceDN/>
        <w:contextualSpacing/>
        <w:jc w:val="both"/>
        <w:rPr>
          <w:rFonts w:eastAsia="Calibri"/>
          <w:highlight w:val="white"/>
        </w:rPr>
      </w:pPr>
      <w:proofErr w:type="spellStart"/>
      <w:r w:rsidRPr="00204DBD">
        <w:rPr>
          <w:highlight w:val="white"/>
        </w:rPr>
        <w:t>Marwick</w:t>
      </w:r>
      <w:proofErr w:type="spellEnd"/>
      <w:r w:rsidRPr="00204DBD">
        <w:rPr>
          <w:highlight w:val="white"/>
        </w:rPr>
        <w:t xml:space="preserve">, A. E., &amp; </w:t>
      </w:r>
      <w:proofErr w:type="spellStart"/>
      <w:r w:rsidRPr="00204DBD">
        <w:rPr>
          <w:highlight w:val="white"/>
        </w:rPr>
        <w:t>Boyd</w:t>
      </w:r>
      <w:proofErr w:type="spellEnd"/>
      <w:r w:rsidRPr="00204DBD">
        <w:rPr>
          <w:highlight w:val="white"/>
        </w:rPr>
        <w:t xml:space="preserve">, D. (2011). I tweet </w:t>
      </w:r>
      <w:proofErr w:type="spellStart"/>
      <w:r w:rsidRPr="00204DBD">
        <w:rPr>
          <w:highlight w:val="white"/>
        </w:rPr>
        <w:t>honestly</w:t>
      </w:r>
      <w:proofErr w:type="spellEnd"/>
      <w:r w:rsidRPr="00204DBD">
        <w:rPr>
          <w:highlight w:val="white"/>
        </w:rPr>
        <w:t xml:space="preserve">, I tweet </w:t>
      </w:r>
      <w:proofErr w:type="spellStart"/>
      <w:r w:rsidRPr="00204DBD">
        <w:rPr>
          <w:highlight w:val="white"/>
        </w:rPr>
        <w:t>passionately</w:t>
      </w:r>
      <w:proofErr w:type="spellEnd"/>
      <w:r w:rsidRPr="00204DBD">
        <w:rPr>
          <w:highlight w:val="white"/>
        </w:rPr>
        <w:t xml:space="preserve">: Twitter </w:t>
      </w:r>
      <w:proofErr w:type="spellStart"/>
      <w:r w:rsidRPr="00204DBD">
        <w:rPr>
          <w:highlight w:val="white"/>
        </w:rPr>
        <w:t>users</w:t>
      </w:r>
      <w:proofErr w:type="spellEnd"/>
      <w:r w:rsidRPr="00204DBD">
        <w:rPr>
          <w:highlight w:val="white"/>
        </w:rPr>
        <w:t xml:space="preserve">, </w:t>
      </w:r>
      <w:proofErr w:type="spellStart"/>
      <w:r w:rsidRPr="00204DBD">
        <w:rPr>
          <w:highlight w:val="white"/>
        </w:rPr>
        <w:t>context</w:t>
      </w:r>
      <w:proofErr w:type="spellEnd"/>
      <w:r w:rsidRPr="00204DBD">
        <w:rPr>
          <w:highlight w:val="white"/>
        </w:rPr>
        <w:t xml:space="preserve"> </w:t>
      </w:r>
      <w:proofErr w:type="spellStart"/>
      <w:r w:rsidRPr="00204DBD">
        <w:rPr>
          <w:highlight w:val="white"/>
        </w:rPr>
        <w:t>collapse</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the</w:t>
      </w:r>
      <w:proofErr w:type="spellEnd"/>
      <w:r w:rsidRPr="00204DBD">
        <w:rPr>
          <w:highlight w:val="white"/>
        </w:rPr>
        <w:t xml:space="preserve"> </w:t>
      </w:r>
      <w:proofErr w:type="spellStart"/>
      <w:r w:rsidRPr="00204DBD">
        <w:rPr>
          <w:highlight w:val="white"/>
        </w:rPr>
        <w:t>imagined</w:t>
      </w:r>
      <w:proofErr w:type="spellEnd"/>
      <w:r w:rsidRPr="00204DBD">
        <w:rPr>
          <w:highlight w:val="white"/>
        </w:rPr>
        <w:t xml:space="preserve"> </w:t>
      </w:r>
      <w:proofErr w:type="spellStart"/>
      <w:r w:rsidRPr="00204DBD">
        <w:rPr>
          <w:highlight w:val="white"/>
        </w:rPr>
        <w:t>audience</w:t>
      </w:r>
      <w:proofErr w:type="spellEnd"/>
      <w:r w:rsidRPr="00204DBD">
        <w:rPr>
          <w:highlight w:val="white"/>
        </w:rPr>
        <w:t xml:space="preserve">. </w:t>
      </w:r>
      <w:r w:rsidRPr="00204DBD">
        <w:rPr>
          <w:i/>
          <w:highlight w:val="white"/>
        </w:rPr>
        <w:t xml:space="preserve">New Media &amp; </w:t>
      </w:r>
      <w:proofErr w:type="spellStart"/>
      <w:r w:rsidRPr="00204DBD">
        <w:rPr>
          <w:i/>
          <w:highlight w:val="white"/>
        </w:rPr>
        <w:t>Society</w:t>
      </w:r>
      <w:proofErr w:type="spellEnd"/>
      <w:r w:rsidRPr="00204DBD">
        <w:rPr>
          <w:i/>
          <w:highlight w:val="white"/>
        </w:rPr>
        <w:t>, 13</w:t>
      </w:r>
      <w:r w:rsidRPr="00204DBD">
        <w:rPr>
          <w:highlight w:val="white"/>
        </w:rPr>
        <w:t>(1), 114–133</w:t>
      </w:r>
    </w:p>
    <w:p w14:paraId="03141F4E" w14:textId="77777777" w:rsidR="00E3302B" w:rsidRPr="00204DBD" w:rsidRDefault="00E3302B">
      <w:pPr>
        <w:widowControl/>
        <w:numPr>
          <w:ilvl w:val="0"/>
          <w:numId w:val="72"/>
        </w:numPr>
        <w:autoSpaceDE/>
        <w:autoSpaceDN/>
        <w:jc w:val="both"/>
        <w:rPr>
          <w:rFonts w:eastAsia="Calibri"/>
          <w:highlight w:val="white"/>
        </w:rPr>
      </w:pPr>
      <w:r w:rsidRPr="00204DBD">
        <w:t xml:space="preserve">Miller, V. (2011). </w:t>
      </w:r>
      <w:proofErr w:type="spellStart"/>
      <w:r w:rsidRPr="00204DBD">
        <w:rPr>
          <w:i/>
        </w:rPr>
        <w:t>Understanding</w:t>
      </w:r>
      <w:proofErr w:type="spellEnd"/>
      <w:r w:rsidRPr="00204DBD">
        <w:rPr>
          <w:i/>
        </w:rPr>
        <w:t xml:space="preserve"> </w:t>
      </w:r>
      <w:proofErr w:type="spellStart"/>
      <w:r w:rsidRPr="00204DBD">
        <w:rPr>
          <w:i/>
        </w:rPr>
        <w:t>Digital</w:t>
      </w:r>
      <w:proofErr w:type="spellEnd"/>
      <w:r w:rsidRPr="00204DBD">
        <w:rPr>
          <w:i/>
        </w:rPr>
        <w:t xml:space="preserve"> </w:t>
      </w:r>
      <w:proofErr w:type="spellStart"/>
      <w:r w:rsidRPr="00204DBD">
        <w:rPr>
          <w:i/>
        </w:rPr>
        <w:t>Culture</w:t>
      </w:r>
      <w:proofErr w:type="spellEnd"/>
      <w:r w:rsidRPr="00204DBD">
        <w:t xml:space="preserve">. </w:t>
      </w:r>
      <w:proofErr w:type="spellStart"/>
      <w:r w:rsidRPr="00204DBD">
        <w:t>Sage</w:t>
      </w:r>
      <w:proofErr w:type="spellEnd"/>
      <w:r w:rsidRPr="00204DBD">
        <w:t xml:space="preserve"> Publications.</w:t>
      </w:r>
    </w:p>
    <w:p w14:paraId="3601ABE8" w14:textId="77777777" w:rsidR="00E3302B" w:rsidRPr="00204DBD" w:rsidRDefault="00E3302B">
      <w:pPr>
        <w:widowControl/>
        <w:numPr>
          <w:ilvl w:val="0"/>
          <w:numId w:val="72"/>
        </w:numPr>
        <w:autoSpaceDE/>
        <w:autoSpaceDN/>
        <w:jc w:val="both"/>
        <w:rPr>
          <w:rFonts w:eastAsia="Calibri"/>
          <w:highlight w:val="white"/>
        </w:rPr>
      </w:pPr>
      <w:proofErr w:type="spellStart"/>
      <w:r w:rsidRPr="00204DBD">
        <w:t>Muggleton</w:t>
      </w:r>
      <w:proofErr w:type="spellEnd"/>
      <w:r w:rsidRPr="00204DBD">
        <w:t xml:space="preserve">, D. (2000). </w:t>
      </w:r>
      <w:r w:rsidRPr="00204DBD">
        <w:rPr>
          <w:i/>
          <w:iCs/>
        </w:rPr>
        <w:t xml:space="preserve">Inside </w:t>
      </w:r>
      <w:proofErr w:type="spellStart"/>
      <w:r w:rsidRPr="00204DBD">
        <w:rPr>
          <w:i/>
          <w:iCs/>
        </w:rPr>
        <w:t>Subculture</w:t>
      </w:r>
      <w:proofErr w:type="spellEnd"/>
      <w:r w:rsidRPr="00204DBD">
        <w:rPr>
          <w:i/>
          <w:iCs/>
        </w:rPr>
        <w:t xml:space="preserve">: </w:t>
      </w:r>
      <w:proofErr w:type="spellStart"/>
      <w:r w:rsidRPr="00204DBD">
        <w:rPr>
          <w:i/>
          <w:iCs/>
        </w:rPr>
        <w:t>The</w:t>
      </w:r>
      <w:proofErr w:type="spellEnd"/>
      <w:r w:rsidRPr="00204DBD">
        <w:rPr>
          <w:i/>
          <w:iCs/>
        </w:rPr>
        <w:t xml:space="preserve"> </w:t>
      </w:r>
      <w:proofErr w:type="spellStart"/>
      <w:r w:rsidRPr="00204DBD">
        <w:rPr>
          <w:i/>
          <w:iCs/>
        </w:rPr>
        <w:t>Postmodern</w:t>
      </w:r>
      <w:proofErr w:type="spellEnd"/>
      <w:r w:rsidRPr="00204DBD">
        <w:rPr>
          <w:i/>
          <w:iCs/>
        </w:rPr>
        <w:t xml:space="preserve"> </w:t>
      </w:r>
      <w:proofErr w:type="spellStart"/>
      <w:r w:rsidRPr="00204DBD">
        <w:rPr>
          <w:i/>
          <w:iCs/>
        </w:rPr>
        <w:t>Meaning</w:t>
      </w:r>
      <w:proofErr w:type="spellEnd"/>
      <w:r w:rsidRPr="00204DBD">
        <w:rPr>
          <w:i/>
          <w:iCs/>
        </w:rPr>
        <w:t xml:space="preserve"> of Style</w:t>
      </w:r>
      <w:r w:rsidRPr="00204DBD">
        <w:t xml:space="preserve">. Oxford: </w:t>
      </w:r>
      <w:proofErr w:type="spellStart"/>
      <w:r w:rsidRPr="00204DBD">
        <w:t>Berg</w:t>
      </w:r>
      <w:proofErr w:type="spellEnd"/>
      <w:r w:rsidRPr="00204DBD">
        <w:t xml:space="preserve"> </w:t>
      </w:r>
      <w:proofErr w:type="spellStart"/>
      <w:r w:rsidRPr="00204DBD">
        <w:t>Publishers</w:t>
      </w:r>
      <w:proofErr w:type="spellEnd"/>
      <w:r w:rsidRPr="00204DBD">
        <w:t>.</w:t>
      </w:r>
    </w:p>
    <w:p w14:paraId="792CC270" w14:textId="77777777" w:rsidR="00E3302B" w:rsidRPr="00204DBD" w:rsidRDefault="00E3302B">
      <w:pPr>
        <w:widowControl/>
        <w:numPr>
          <w:ilvl w:val="0"/>
          <w:numId w:val="72"/>
        </w:numPr>
        <w:autoSpaceDE/>
        <w:autoSpaceDN/>
        <w:jc w:val="both"/>
        <w:rPr>
          <w:rFonts w:eastAsia="Calibri"/>
          <w:highlight w:val="white"/>
        </w:rPr>
      </w:pPr>
      <w:proofErr w:type="spellStart"/>
      <w:r w:rsidRPr="00204DBD">
        <w:rPr>
          <w:highlight w:val="white"/>
        </w:rPr>
        <w:t>Munday</w:t>
      </w:r>
      <w:proofErr w:type="spellEnd"/>
      <w:r w:rsidRPr="00204DBD">
        <w:rPr>
          <w:highlight w:val="white"/>
        </w:rPr>
        <w:t xml:space="preserve">, P. (2017). </w:t>
      </w:r>
      <w:proofErr w:type="spellStart"/>
      <w:r w:rsidRPr="00204DBD">
        <w:rPr>
          <w:highlight w:val="white"/>
        </w:rPr>
        <w:t>Duolingo</w:t>
      </w:r>
      <w:proofErr w:type="spellEnd"/>
      <w:r w:rsidRPr="00204DBD">
        <w:rPr>
          <w:highlight w:val="white"/>
        </w:rPr>
        <w:t xml:space="preserve">. </w:t>
      </w:r>
      <w:proofErr w:type="spellStart"/>
      <w:r w:rsidRPr="00204DBD">
        <w:rPr>
          <w:highlight w:val="white"/>
        </w:rPr>
        <w:t>Gamified</w:t>
      </w:r>
      <w:proofErr w:type="spellEnd"/>
      <w:r w:rsidRPr="00204DBD">
        <w:rPr>
          <w:highlight w:val="white"/>
        </w:rPr>
        <w:t xml:space="preserve"> </w:t>
      </w:r>
      <w:proofErr w:type="spellStart"/>
      <w:r w:rsidRPr="00204DBD">
        <w:rPr>
          <w:highlight w:val="white"/>
        </w:rPr>
        <w:t>learning</w:t>
      </w:r>
      <w:proofErr w:type="spellEnd"/>
      <w:r w:rsidRPr="00204DBD">
        <w:rPr>
          <w:highlight w:val="white"/>
        </w:rPr>
        <w:t xml:space="preserve"> </w:t>
      </w:r>
      <w:proofErr w:type="spellStart"/>
      <w:r w:rsidRPr="00204DBD">
        <w:rPr>
          <w:highlight w:val="white"/>
        </w:rPr>
        <w:t>through</w:t>
      </w:r>
      <w:proofErr w:type="spellEnd"/>
      <w:r w:rsidRPr="00204DBD">
        <w:rPr>
          <w:highlight w:val="white"/>
        </w:rPr>
        <w:t xml:space="preserve"> </w:t>
      </w:r>
      <w:proofErr w:type="spellStart"/>
      <w:r w:rsidRPr="00204DBD">
        <w:rPr>
          <w:highlight w:val="white"/>
        </w:rPr>
        <w:t>translation</w:t>
      </w:r>
      <w:proofErr w:type="spellEnd"/>
      <w:r w:rsidRPr="00204DBD">
        <w:rPr>
          <w:highlight w:val="white"/>
        </w:rPr>
        <w:t xml:space="preserve">. </w:t>
      </w:r>
      <w:proofErr w:type="spellStart"/>
      <w:r w:rsidRPr="00204DBD">
        <w:rPr>
          <w:i/>
          <w:highlight w:val="white"/>
        </w:rPr>
        <w:t>Journal</w:t>
      </w:r>
      <w:proofErr w:type="spellEnd"/>
      <w:r w:rsidRPr="00204DBD">
        <w:rPr>
          <w:i/>
          <w:highlight w:val="white"/>
        </w:rPr>
        <w:t xml:space="preserve"> of Spanish Language </w:t>
      </w:r>
      <w:proofErr w:type="spellStart"/>
      <w:r w:rsidRPr="00204DBD">
        <w:rPr>
          <w:i/>
          <w:highlight w:val="white"/>
        </w:rPr>
        <w:t>Teaching</w:t>
      </w:r>
      <w:proofErr w:type="spellEnd"/>
      <w:r w:rsidRPr="00204DBD">
        <w:rPr>
          <w:highlight w:val="white"/>
        </w:rPr>
        <w:t xml:space="preserve">, </w:t>
      </w:r>
      <w:r w:rsidRPr="00204DBD">
        <w:rPr>
          <w:i/>
          <w:highlight w:val="white"/>
        </w:rPr>
        <w:t>4</w:t>
      </w:r>
      <w:r w:rsidRPr="00204DBD">
        <w:rPr>
          <w:highlight w:val="white"/>
        </w:rPr>
        <w:t>(2), 194-198.</w:t>
      </w:r>
    </w:p>
    <w:p w14:paraId="452C4DC1" w14:textId="77777777" w:rsidR="00E3302B" w:rsidRPr="00204DBD" w:rsidRDefault="00E3302B" w:rsidP="002B6256">
      <w:pPr>
        <w:jc w:val="both"/>
      </w:pPr>
      <w:r w:rsidRPr="00204DBD">
        <w:t xml:space="preserve">35- </w:t>
      </w:r>
      <w:proofErr w:type="spellStart"/>
      <w:r w:rsidRPr="00204DBD">
        <w:t>Muniz</w:t>
      </w:r>
      <w:proofErr w:type="spellEnd"/>
      <w:r w:rsidRPr="00204DBD">
        <w:t xml:space="preserve">, A. M., &amp; </w:t>
      </w:r>
      <w:proofErr w:type="spellStart"/>
      <w:r w:rsidRPr="00204DBD">
        <w:t>O’Guinn</w:t>
      </w:r>
      <w:proofErr w:type="spellEnd"/>
      <w:r w:rsidRPr="00204DBD">
        <w:t xml:space="preserve">, T. C. (2001). </w:t>
      </w:r>
      <w:r w:rsidRPr="00204DBD">
        <w:rPr>
          <w:i/>
        </w:rPr>
        <w:t>“</w:t>
      </w:r>
      <w:proofErr w:type="spellStart"/>
      <w:r w:rsidRPr="00204DBD">
        <w:rPr>
          <w:i/>
        </w:rPr>
        <w:t>Brand</w:t>
      </w:r>
      <w:proofErr w:type="spellEnd"/>
      <w:r w:rsidRPr="00204DBD">
        <w:rPr>
          <w:i/>
        </w:rPr>
        <w:t xml:space="preserve"> </w:t>
      </w:r>
      <w:proofErr w:type="spellStart"/>
      <w:r w:rsidRPr="00204DBD">
        <w:rPr>
          <w:i/>
        </w:rPr>
        <w:t>Community</w:t>
      </w:r>
      <w:proofErr w:type="spellEnd"/>
      <w:r w:rsidRPr="00204DBD">
        <w:rPr>
          <w:i/>
        </w:rPr>
        <w:t>.”</w:t>
      </w:r>
      <w:r w:rsidRPr="00204DBD">
        <w:t xml:space="preserve"> </w:t>
      </w:r>
      <w:proofErr w:type="spellStart"/>
      <w:r w:rsidRPr="00204DBD">
        <w:rPr>
          <w:i/>
        </w:rPr>
        <w:t>Journal</w:t>
      </w:r>
      <w:proofErr w:type="spellEnd"/>
      <w:r w:rsidRPr="00204DBD">
        <w:rPr>
          <w:i/>
        </w:rPr>
        <w:t xml:space="preserve"> of Consumer </w:t>
      </w:r>
      <w:proofErr w:type="spellStart"/>
      <w:r w:rsidRPr="00204DBD">
        <w:rPr>
          <w:i/>
        </w:rPr>
        <w:t>Research</w:t>
      </w:r>
      <w:proofErr w:type="spellEnd"/>
      <w:r w:rsidRPr="00204DBD">
        <w:t>, 27(4), 412-432</w:t>
      </w:r>
    </w:p>
    <w:p w14:paraId="4FAFC3BF" w14:textId="77777777" w:rsidR="00E3302B" w:rsidRPr="00204DBD" w:rsidRDefault="00E3302B" w:rsidP="002B6256">
      <w:pPr>
        <w:jc w:val="both"/>
        <w:rPr>
          <w:highlight w:val="white"/>
        </w:rPr>
      </w:pPr>
      <w:r w:rsidRPr="00204DBD">
        <w:rPr>
          <w:highlight w:val="white"/>
        </w:rPr>
        <w:t xml:space="preserve">36- </w:t>
      </w:r>
      <w:proofErr w:type="spellStart"/>
      <w:r w:rsidRPr="00204DBD">
        <w:rPr>
          <w:highlight w:val="white"/>
        </w:rPr>
        <w:t>Nonnecke</w:t>
      </w:r>
      <w:proofErr w:type="spellEnd"/>
      <w:r w:rsidRPr="00204DBD">
        <w:rPr>
          <w:highlight w:val="white"/>
        </w:rPr>
        <w:t xml:space="preserve">, B., </w:t>
      </w:r>
      <w:proofErr w:type="spellStart"/>
      <w:r w:rsidRPr="00204DBD">
        <w:rPr>
          <w:highlight w:val="white"/>
        </w:rPr>
        <w:t>Preece</w:t>
      </w:r>
      <w:proofErr w:type="spellEnd"/>
      <w:r w:rsidRPr="00204DBD">
        <w:rPr>
          <w:highlight w:val="white"/>
        </w:rPr>
        <w:t xml:space="preserve">, J. (2003). </w:t>
      </w:r>
      <w:proofErr w:type="spellStart"/>
      <w:r w:rsidRPr="00204DBD">
        <w:rPr>
          <w:highlight w:val="white"/>
        </w:rPr>
        <w:t>Silent</w:t>
      </w:r>
      <w:proofErr w:type="spellEnd"/>
      <w:r w:rsidRPr="00204DBD">
        <w:rPr>
          <w:highlight w:val="white"/>
        </w:rPr>
        <w:t xml:space="preserve"> </w:t>
      </w:r>
      <w:proofErr w:type="spellStart"/>
      <w:r w:rsidRPr="00204DBD">
        <w:rPr>
          <w:highlight w:val="white"/>
        </w:rPr>
        <w:t>Participants</w:t>
      </w:r>
      <w:proofErr w:type="spellEnd"/>
      <w:r w:rsidRPr="00204DBD">
        <w:rPr>
          <w:highlight w:val="white"/>
        </w:rPr>
        <w:t xml:space="preserve">: </w:t>
      </w:r>
      <w:proofErr w:type="spellStart"/>
      <w:r w:rsidRPr="00204DBD">
        <w:rPr>
          <w:highlight w:val="white"/>
        </w:rPr>
        <w:t>Getting</w:t>
      </w:r>
      <w:proofErr w:type="spellEnd"/>
      <w:r w:rsidRPr="00204DBD">
        <w:rPr>
          <w:highlight w:val="white"/>
        </w:rPr>
        <w:t xml:space="preserve"> </w:t>
      </w:r>
      <w:proofErr w:type="spellStart"/>
      <w:r w:rsidRPr="00204DBD">
        <w:rPr>
          <w:highlight w:val="white"/>
        </w:rPr>
        <w:t>to</w:t>
      </w:r>
      <w:proofErr w:type="spellEnd"/>
      <w:r w:rsidRPr="00204DBD">
        <w:rPr>
          <w:highlight w:val="white"/>
        </w:rPr>
        <w:t xml:space="preserve"> </w:t>
      </w:r>
      <w:proofErr w:type="spellStart"/>
      <w:r w:rsidRPr="00204DBD">
        <w:rPr>
          <w:highlight w:val="white"/>
        </w:rPr>
        <w:t>Know</w:t>
      </w:r>
      <w:proofErr w:type="spellEnd"/>
      <w:r w:rsidRPr="00204DBD">
        <w:rPr>
          <w:highlight w:val="white"/>
        </w:rPr>
        <w:t xml:space="preserve"> </w:t>
      </w:r>
      <w:proofErr w:type="spellStart"/>
      <w:r w:rsidRPr="00204DBD">
        <w:rPr>
          <w:highlight w:val="white"/>
        </w:rPr>
        <w:t>Lurkers</w:t>
      </w:r>
      <w:proofErr w:type="spellEnd"/>
      <w:r w:rsidRPr="00204DBD">
        <w:rPr>
          <w:highlight w:val="white"/>
        </w:rPr>
        <w:t xml:space="preserve"> </w:t>
      </w:r>
      <w:proofErr w:type="spellStart"/>
      <w:r w:rsidRPr="00204DBD">
        <w:rPr>
          <w:highlight w:val="white"/>
        </w:rPr>
        <w:t>Better</w:t>
      </w:r>
      <w:proofErr w:type="spellEnd"/>
      <w:r w:rsidRPr="00204DBD">
        <w:rPr>
          <w:highlight w:val="white"/>
        </w:rPr>
        <w:t xml:space="preserve">. </w:t>
      </w:r>
      <w:proofErr w:type="spellStart"/>
      <w:r w:rsidRPr="00204DBD">
        <w:rPr>
          <w:highlight w:val="white"/>
        </w:rPr>
        <w:t>In</w:t>
      </w:r>
      <w:proofErr w:type="spellEnd"/>
      <w:r w:rsidRPr="00204DBD">
        <w:rPr>
          <w:highlight w:val="white"/>
        </w:rPr>
        <w:t xml:space="preserve">: </w:t>
      </w:r>
      <w:proofErr w:type="spellStart"/>
      <w:r w:rsidRPr="00204DBD">
        <w:rPr>
          <w:highlight w:val="white"/>
        </w:rPr>
        <w:t>Lueg</w:t>
      </w:r>
      <w:proofErr w:type="spellEnd"/>
      <w:r w:rsidRPr="00204DBD">
        <w:rPr>
          <w:highlight w:val="white"/>
        </w:rPr>
        <w:t>, C., Fisher, D. (</w:t>
      </w:r>
      <w:proofErr w:type="spellStart"/>
      <w:r w:rsidRPr="00204DBD">
        <w:rPr>
          <w:highlight w:val="white"/>
        </w:rPr>
        <w:t>eds</w:t>
      </w:r>
      <w:proofErr w:type="spellEnd"/>
      <w:r w:rsidRPr="00204DBD">
        <w:rPr>
          <w:highlight w:val="white"/>
        </w:rPr>
        <w:t xml:space="preserve">) </w:t>
      </w:r>
      <w:proofErr w:type="spellStart"/>
      <w:r w:rsidRPr="00204DBD">
        <w:rPr>
          <w:highlight w:val="white"/>
        </w:rPr>
        <w:t>From</w:t>
      </w:r>
      <w:proofErr w:type="spellEnd"/>
      <w:r w:rsidRPr="00204DBD">
        <w:rPr>
          <w:highlight w:val="white"/>
        </w:rPr>
        <w:t xml:space="preserve"> Usenet </w:t>
      </w:r>
      <w:proofErr w:type="spellStart"/>
      <w:r w:rsidRPr="00204DBD">
        <w:rPr>
          <w:highlight w:val="white"/>
        </w:rPr>
        <w:t>to</w:t>
      </w:r>
      <w:proofErr w:type="spellEnd"/>
      <w:r w:rsidRPr="00204DBD">
        <w:rPr>
          <w:highlight w:val="white"/>
        </w:rPr>
        <w:t xml:space="preserve"> </w:t>
      </w:r>
      <w:proofErr w:type="spellStart"/>
      <w:r w:rsidRPr="00204DBD">
        <w:rPr>
          <w:highlight w:val="white"/>
        </w:rPr>
        <w:t>CoWebs</w:t>
      </w:r>
      <w:proofErr w:type="spellEnd"/>
      <w:r w:rsidRPr="00204DBD">
        <w:rPr>
          <w:highlight w:val="white"/>
        </w:rPr>
        <w:t xml:space="preserve">. </w:t>
      </w:r>
      <w:proofErr w:type="spellStart"/>
      <w:r w:rsidRPr="00204DBD">
        <w:rPr>
          <w:highlight w:val="white"/>
        </w:rPr>
        <w:t>Computer</w:t>
      </w:r>
      <w:proofErr w:type="spellEnd"/>
      <w:r w:rsidRPr="00204DBD">
        <w:rPr>
          <w:highlight w:val="white"/>
        </w:rPr>
        <w:t xml:space="preserve"> </w:t>
      </w:r>
      <w:proofErr w:type="spellStart"/>
      <w:r w:rsidRPr="00204DBD">
        <w:rPr>
          <w:highlight w:val="white"/>
        </w:rPr>
        <w:t>Supported</w:t>
      </w:r>
      <w:proofErr w:type="spellEnd"/>
      <w:r w:rsidRPr="00204DBD">
        <w:rPr>
          <w:highlight w:val="white"/>
        </w:rPr>
        <w:t xml:space="preserve"> </w:t>
      </w:r>
      <w:proofErr w:type="spellStart"/>
      <w:r w:rsidRPr="00204DBD">
        <w:rPr>
          <w:highlight w:val="white"/>
        </w:rPr>
        <w:t>Cooperative</w:t>
      </w:r>
      <w:proofErr w:type="spellEnd"/>
      <w:r w:rsidRPr="00204DBD">
        <w:rPr>
          <w:highlight w:val="white"/>
        </w:rPr>
        <w:t xml:space="preserve"> </w:t>
      </w:r>
      <w:proofErr w:type="spellStart"/>
      <w:r w:rsidRPr="00204DBD">
        <w:rPr>
          <w:highlight w:val="white"/>
        </w:rPr>
        <w:t>Work</w:t>
      </w:r>
      <w:proofErr w:type="spellEnd"/>
      <w:r w:rsidRPr="00204DBD">
        <w:rPr>
          <w:highlight w:val="white"/>
        </w:rPr>
        <w:t xml:space="preserve">. </w:t>
      </w:r>
      <w:proofErr w:type="spellStart"/>
      <w:r w:rsidRPr="00204DBD">
        <w:rPr>
          <w:highlight w:val="white"/>
        </w:rPr>
        <w:t>Springer</w:t>
      </w:r>
      <w:proofErr w:type="spellEnd"/>
      <w:r w:rsidRPr="00204DBD">
        <w:rPr>
          <w:highlight w:val="white"/>
        </w:rPr>
        <w:t xml:space="preserve">, </w:t>
      </w:r>
      <w:proofErr w:type="spellStart"/>
      <w:r w:rsidRPr="00204DBD">
        <w:rPr>
          <w:highlight w:val="white"/>
        </w:rPr>
        <w:t>London</w:t>
      </w:r>
      <w:proofErr w:type="spellEnd"/>
      <w:r w:rsidRPr="00204DBD">
        <w:rPr>
          <w:highlight w:val="white"/>
        </w:rPr>
        <w:t>.</w:t>
      </w:r>
    </w:p>
    <w:p w14:paraId="24F5600A" w14:textId="77777777" w:rsidR="00E3302B" w:rsidRPr="00204DBD" w:rsidRDefault="00E3302B" w:rsidP="002B6256">
      <w:pPr>
        <w:contextualSpacing/>
        <w:jc w:val="both"/>
        <w:rPr>
          <w:highlight w:val="white"/>
        </w:rPr>
      </w:pPr>
      <w:r w:rsidRPr="00204DBD">
        <w:rPr>
          <w:highlight w:val="white"/>
        </w:rPr>
        <w:t xml:space="preserve">37- </w:t>
      </w:r>
      <w:proofErr w:type="spellStart"/>
      <w:r w:rsidRPr="00204DBD">
        <w:rPr>
          <w:highlight w:val="white"/>
        </w:rPr>
        <w:t>Olcese</w:t>
      </w:r>
      <w:proofErr w:type="spellEnd"/>
      <w:r w:rsidRPr="00204DBD">
        <w:rPr>
          <w:highlight w:val="white"/>
        </w:rPr>
        <w:t xml:space="preserve">, C., Saunders, C., &amp; </w:t>
      </w:r>
      <w:proofErr w:type="spellStart"/>
      <w:r w:rsidRPr="00204DBD">
        <w:rPr>
          <w:highlight w:val="white"/>
        </w:rPr>
        <w:t>Tzavidis</w:t>
      </w:r>
      <w:proofErr w:type="spellEnd"/>
      <w:r w:rsidRPr="00204DBD">
        <w:rPr>
          <w:highlight w:val="white"/>
        </w:rPr>
        <w:t xml:space="preserve">, N. (2014). </w:t>
      </w:r>
      <w:proofErr w:type="spellStart"/>
      <w:r w:rsidRPr="00204DBD">
        <w:rPr>
          <w:highlight w:val="white"/>
        </w:rPr>
        <w:t>In</w:t>
      </w:r>
      <w:proofErr w:type="spellEnd"/>
      <w:r w:rsidRPr="00204DBD">
        <w:rPr>
          <w:highlight w:val="white"/>
        </w:rPr>
        <w:t xml:space="preserve"> </w:t>
      </w:r>
      <w:proofErr w:type="spellStart"/>
      <w:r w:rsidRPr="00204DBD">
        <w:rPr>
          <w:highlight w:val="white"/>
        </w:rPr>
        <w:t>the</w:t>
      </w:r>
      <w:proofErr w:type="spellEnd"/>
      <w:r w:rsidRPr="00204DBD">
        <w:rPr>
          <w:highlight w:val="white"/>
        </w:rPr>
        <w:t xml:space="preserve"> </w:t>
      </w:r>
      <w:proofErr w:type="spellStart"/>
      <w:r w:rsidRPr="00204DBD">
        <w:rPr>
          <w:highlight w:val="white"/>
        </w:rPr>
        <w:t>streets</w:t>
      </w:r>
      <w:proofErr w:type="spellEnd"/>
      <w:r w:rsidRPr="00204DBD">
        <w:rPr>
          <w:highlight w:val="white"/>
        </w:rPr>
        <w:t xml:space="preserve"> </w:t>
      </w:r>
      <w:proofErr w:type="spellStart"/>
      <w:r w:rsidRPr="00204DBD">
        <w:rPr>
          <w:highlight w:val="white"/>
        </w:rPr>
        <w:t>with</w:t>
      </w:r>
      <w:proofErr w:type="spellEnd"/>
      <w:r w:rsidRPr="00204DBD">
        <w:rPr>
          <w:highlight w:val="white"/>
        </w:rPr>
        <w:t xml:space="preserve"> a </w:t>
      </w:r>
      <w:proofErr w:type="spellStart"/>
      <w:r w:rsidRPr="00204DBD">
        <w:rPr>
          <w:highlight w:val="white"/>
        </w:rPr>
        <w:t>degree</w:t>
      </w:r>
      <w:proofErr w:type="spellEnd"/>
      <w:r w:rsidRPr="00204DBD">
        <w:rPr>
          <w:highlight w:val="white"/>
        </w:rPr>
        <w:t xml:space="preserve">: How </w:t>
      </w:r>
      <w:proofErr w:type="spellStart"/>
      <w:r w:rsidRPr="00204DBD">
        <w:rPr>
          <w:highlight w:val="white"/>
        </w:rPr>
        <w:t>political</w:t>
      </w:r>
      <w:proofErr w:type="spellEnd"/>
      <w:r w:rsidRPr="00204DBD">
        <w:rPr>
          <w:highlight w:val="white"/>
        </w:rPr>
        <w:t xml:space="preserve"> </w:t>
      </w:r>
      <w:proofErr w:type="spellStart"/>
      <w:r w:rsidRPr="00204DBD">
        <w:rPr>
          <w:highlight w:val="white"/>
        </w:rPr>
        <w:t>generations</w:t>
      </w:r>
      <w:proofErr w:type="spellEnd"/>
      <w:r w:rsidRPr="00204DBD">
        <w:rPr>
          <w:highlight w:val="white"/>
        </w:rPr>
        <w:t xml:space="preserve">, </w:t>
      </w:r>
      <w:proofErr w:type="spellStart"/>
      <w:r w:rsidRPr="00204DBD">
        <w:rPr>
          <w:highlight w:val="white"/>
        </w:rPr>
        <w:t>educational</w:t>
      </w:r>
      <w:proofErr w:type="spellEnd"/>
      <w:r w:rsidRPr="00204DBD">
        <w:rPr>
          <w:highlight w:val="white"/>
        </w:rPr>
        <w:t xml:space="preserve"> </w:t>
      </w:r>
      <w:proofErr w:type="spellStart"/>
      <w:r w:rsidRPr="00204DBD">
        <w:rPr>
          <w:highlight w:val="white"/>
        </w:rPr>
        <w:t>attainment</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student</w:t>
      </w:r>
      <w:proofErr w:type="spellEnd"/>
      <w:r w:rsidRPr="00204DBD">
        <w:rPr>
          <w:highlight w:val="white"/>
        </w:rPr>
        <w:t xml:space="preserve"> </w:t>
      </w:r>
      <w:proofErr w:type="spellStart"/>
      <w:r w:rsidRPr="00204DBD">
        <w:rPr>
          <w:highlight w:val="white"/>
        </w:rPr>
        <w:t>status</w:t>
      </w:r>
      <w:proofErr w:type="spellEnd"/>
      <w:r w:rsidRPr="00204DBD">
        <w:rPr>
          <w:highlight w:val="white"/>
        </w:rPr>
        <w:t xml:space="preserve"> </w:t>
      </w:r>
      <w:proofErr w:type="spellStart"/>
      <w:r w:rsidRPr="00204DBD">
        <w:rPr>
          <w:highlight w:val="white"/>
        </w:rPr>
        <w:t>affect</w:t>
      </w:r>
      <w:proofErr w:type="spellEnd"/>
      <w:r w:rsidRPr="00204DBD">
        <w:rPr>
          <w:highlight w:val="white"/>
        </w:rPr>
        <w:t xml:space="preserve"> </w:t>
      </w:r>
      <w:proofErr w:type="spellStart"/>
      <w:r w:rsidRPr="00204DBD">
        <w:rPr>
          <w:highlight w:val="white"/>
        </w:rPr>
        <w:t>engagement</w:t>
      </w:r>
      <w:proofErr w:type="spellEnd"/>
      <w:r w:rsidRPr="00204DBD">
        <w:rPr>
          <w:highlight w:val="white"/>
        </w:rPr>
        <w:t xml:space="preserve"> in protest </w:t>
      </w:r>
      <w:proofErr w:type="spellStart"/>
      <w:r w:rsidRPr="00204DBD">
        <w:rPr>
          <w:highlight w:val="white"/>
        </w:rPr>
        <w:t>politics</w:t>
      </w:r>
      <w:proofErr w:type="spellEnd"/>
      <w:r w:rsidRPr="00204DBD">
        <w:rPr>
          <w:highlight w:val="white"/>
        </w:rPr>
        <w:t xml:space="preserve">. International </w:t>
      </w:r>
      <w:proofErr w:type="spellStart"/>
      <w:r w:rsidRPr="00204DBD">
        <w:rPr>
          <w:highlight w:val="white"/>
        </w:rPr>
        <w:t>Sociology</w:t>
      </w:r>
      <w:proofErr w:type="spellEnd"/>
      <w:r w:rsidRPr="00204DBD">
        <w:rPr>
          <w:highlight w:val="white"/>
        </w:rPr>
        <w:t>, 29(6), 525-545</w:t>
      </w:r>
    </w:p>
    <w:p w14:paraId="74721774" w14:textId="77777777" w:rsidR="00E3302B" w:rsidRPr="00204DBD" w:rsidRDefault="00E3302B" w:rsidP="002B6256">
      <w:pPr>
        <w:contextualSpacing/>
        <w:jc w:val="both"/>
        <w:rPr>
          <w:rFonts w:eastAsia="Calibri"/>
          <w:highlight w:val="white"/>
        </w:rPr>
      </w:pPr>
      <w:r w:rsidRPr="00204DBD">
        <w:rPr>
          <w:shd w:val="clear" w:color="auto" w:fill="FFFFFF"/>
        </w:rPr>
        <w:t xml:space="preserve">38- </w:t>
      </w:r>
      <w:proofErr w:type="spellStart"/>
      <w:r w:rsidRPr="00204DBD">
        <w:rPr>
          <w:shd w:val="clear" w:color="auto" w:fill="FFFFFF"/>
        </w:rPr>
        <w:t>Öcel</w:t>
      </w:r>
      <w:proofErr w:type="spellEnd"/>
      <w:r w:rsidRPr="00204DBD">
        <w:rPr>
          <w:shd w:val="clear" w:color="auto" w:fill="FFFFFF"/>
        </w:rPr>
        <w:t xml:space="preserve">, Y., Mutlu, H. T., &amp; </w:t>
      </w:r>
      <w:proofErr w:type="spellStart"/>
      <w:r w:rsidRPr="00204DBD">
        <w:rPr>
          <w:shd w:val="clear" w:color="auto" w:fill="FFFFFF"/>
        </w:rPr>
        <w:t>Hiçyılmaz</w:t>
      </w:r>
      <w:proofErr w:type="spellEnd"/>
      <w:r w:rsidRPr="00204DBD">
        <w:rPr>
          <w:shd w:val="clear" w:color="auto" w:fill="FFFFFF"/>
        </w:rPr>
        <w:t>, E. (2022). Alt kültürler ile hedonik tüketim arasında ilişkinin incelenmesi: Türk toplumu üzerine bir uygulama. </w:t>
      </w:r>
      <w:r w:rsidRPr="00204DBD">
        <w:rPr>
          <w:i/>
          <w:iCs/>
          <w:shd w:val="clear" w:color="auto" w:fill="FFFFFF"/>
        </w:rPr>
        <w:t>Elektronik Sosyal Bilimler Dergisi</w:t>
      </w:r>
      <w:r w:rsidRPr="00204DBD">
        <w:rPr>
          <w:shd w:val="clear" w:color="auto" w:fill="FFFFFF"/>
        </w:rPr>
        <w:t>, </w:t>
      </w:r>
      <w:r w:rsidRPr="00204DBD">
        <w:rPr>
          <w:i/>
          <w:iCs/>
          <w:shd w:val="clear" w:color="auto" w:fill="FFFFFF"/>
        </w:rPr>
        <w:t>21</w:t>
      </w:r>
      <w:r w:rsidRPr="00204DBD">
        <w:rPr>
          <w:shd w:val="clear" w:color="auto" w:fill="FFFFFF"/>
        </w:rPr>
        <w:t>(84), 2041-2064.</w:t>
      </w:r>
    </w:p>
    <w:p w14:paraId="57FAA357" w14:textId="77777777" w:rsidR="00E3302B" w:rsidRPr="00204DBD" w:rsidRDefault="00E3302B" w:rsidP="002B6256">
      <w:pPr>
        <w:jc w:val="both"/>
        <w:rPr>
          <w:rFonts w:eastAsia="Calibri"/>
        </w:rPr>
      </w:pPr>
      <w:r w:rsidRPr="00204DBD">
        <w:rPr>
          <w:highlight w:val="white"/>
        </w:rPr>
        <w:t xml:space="preserve">39- </w:t>
      </w:r>
      <w:proofErr w:type="spellStart"/>
      <w:r w:rsidRPr="00204DBD">
        <w:rPr>
          <w:highlight w:val="white"/>
        </w:rPr>
        <w:t>Pandiani</w:t>
      </w:r>
      <w:proofErr w:type="spellEnd"/>
      <w:r w:rsidRPr="00204DBD">
        <w:rPr>
          <w:highlight w:val="white"/>
        </w:rPr>
        <w:t xml:space="preserve">, D. S. M., </w:t>
      </w:r>
      <w:proofErr w:type="spellStart"/>
      <w:r w:rsidRPr="00204DBD">
        <w:rPr>
          <w:highlight w:val="white"/>
        </w:rPr>
        <w:t>Sang</w:t>
      </w:r>
      <w:proofErr w:type="spellEnd"/>
      <w:r w:rsidRPr="00204DBD">
        <w:rPr>
          <w:highlight w:val="white"/>
        </w:rPr>
        <w:t xml:space="preserve">, E. T. K., &amp; </w:t>
      </w:r>
      <w:proofErr w:type="spellStart"/>
      <w:r w:rsidRPr="00204DBD">
        <w:rPr>
          <w:highlight w:val="white"/>
        </w:rPr>
        <w:t>Ceolin</w:t>
      </w:r>
      <w:proofErr w:type="spellEnd"/>
      <w:r w:rsidRPr="00204DBD">
        <w:rPr>
          <w:highlight w:val="white"/>
        </w:rPr>
        <w:t xml:space="preserve">, D. (2024). </w:t>
      </w:r>
      <w:proofErr w:type="spellStart"/>
      <w:r w:rsidRPr="00204DBD">
        <w:rPr>
          <w:highlight w:val="white"/>
        </w:rPr>
        <w:t>Toxic</w:t>
      </w:r>
      <w:proofErr w:type="spellEnd"/>
      <w:r w:rsidRPr="00204DBD">
        <w:rPr>
          <w:highlight w:val="white"/>
        </w:rPr>
        <w:t xml:space="preserve"> </w:t>
      </w:r>
      <w:proofErr w:type="spellStart"/>
      <w:r w:rsidRPr="00204DBD">
        <w:rPr>
          <w:highlight w:val="white"/>
        </w:rPr>
        <w:t>Memes</w:t>
      </w:r>
      <w:proofErr w:type="spellEnd"/>
      <w:r w:rsidRPr="00204DBD">
        <w:rPr>
          <w:highlight w:val="white"/>
        </w:rPr>
        <w:t xml:space="preserve">: A </w:t>
      </w:r>
      <w:proofErr w:type="spellStart"/>
      <w:r w:rsidRPr="00204DBD">
        <w:rPr>
          <w:highlight w:val="white"/>
        </w:rPr>
        <w:t>Survey</w:t>
      </w:r>
      <w:proofErr w:type="spellEnd"/>
      <w:r w:rsidRPr="00204DBD">
        <w:rPr>
          <w:highlight w:val="white"/>
        </w:rPr>
        <w:t xml:space="preserve"> of </w:t>
      </w:r>
      <w:proofErr w:type="spellStart"/>
      <w:r w:rsidRPr="00204DBD">
        <w:rPr>
          <w:highlight w:val="white"/>
        </w:rPr>
        <w:t>Computational</w:t>
      </w:r>
      <w:proofErr w:type="spellEnd"/>
      <w:r w:rsidRPr="00204DBD">
        <w:rPr>
          <w:highlight w:val="white"/>
        </w:rPr>
        <w:t xml:space="preserve"> </w:t>
      </w:r>
      <w:proofErr w:type="spellStart"/>
      <w:r w:rsidRPr="00204DBD">
        <w:rPr>
          <w:highlight w:val="white"/>
        </w:rPr>
        <w:t>Perspectives</w:t>
      </w:r>
      <w:proofErr w:type="spellEnd"/>
      <w:r w:rsidRPr="00204DBD">
        <w:rPr>
          <w:highlight w:val="white"/>
        </w:rPr>
        <w:t xml:space="preserve"> on </w:t>
      </w:r>
      <w:proofErr w:type="spellStart"/>
      <w:r w:rsidRPr="00204DBD">
        <w:rPr>
          <w:highlight w:val="white"/>
        </w:rPr>
        <w:t>the</w:t>
      </w:r>
      <w:proofErr w:type="spellEnd"/>
      <w:r w:rsidRPr="00204DBD">
        <w:rPr>
          <w:highlight w:val="white"/>
        </w:rPr>
        <w:t xml:space="preserve"> </w:t>
      </w:r>
      <w:proofErr w:type="spellStart"/>
      <w:r w:rsidRPr="00204DBD">
        <w:rPr>
          <w:highlight w:val="white"/>
        </w:rPr>
        <w:t>Detection</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Explanation</w:t>
      </w:r>
      <w:proofErr w:type="spellEnd"/>
      <w:r w:rsidRPr="00204DBD">
        <w:rPr>
          <w:highlight w:val="white"/>
        </w:rPr>
        <w:t xml:space="preserve"> of Meme </w:t>
      </w:r>
      <w:proofErr w:type="spellStart"/>
      <w:r w:rsidRPr="00204DBD">
        <w:rPr>
          <w:highlight w:val="white"/>
        </w:rPr>
        <w:t>Toxicities</w:t>
      </w:r>
      <w:proofErr w:type="spellEnd"/>
      <w:r w:rsidRPr="00204DBD">
        <w:rPr>
          <w:highlight w:val="white"/>
        </w:rPr>
        <w:t xml:space="preserve">. </w:t>
      </w:r>
      <w:proofErr w:type="spellStart"/>
      <w:proofErr w:type="gramStart"/>
      <w:r w:rsidRPr="00204DBD">
        <w:rPr>
          <w:i/>
          <w:highlight w:val="white"/>
        </w:rPr>
        <w:t>arXiv</w:t>
      </w:r>
      <w:proofErr w:type="spellEnd"/>
      <w:proofErr w:type="gramEnd"/>
      <w:r w:rsidRPr="00204DBD">
        <w:rPr>
          <w:i/>
          <w:highlight w:val="white"/>
        </w:rPr>
        <w:t xml:space="preserve"> </w:t>
      </w:r>
      <w:proofErr w:type="spellStart"/>
      <w:r w:rsidRPr="00204DBD">
        <w:rPr>
          <w:i/>
          <w:highlight w:val="white"/>
        </w:rPr>
        <w:t>preprint</w:t>
      </w:r>
      <w:proofErr w:type="spellEnd"/>
      <w:r w:rsidRPr="00204DBD">
        <w:rPr>
          <w:i/>
          <w:highlight w:val="white"/>
        </w:rPr>
        <w:t xml:space="preserve"> arXiv:2406.07353</w:t>
      </w:r>
      <w:r w:rsidRPr="00204DBD">
        <w:rPr>
          <w:highlight w:val="white"/>
        </w:rPr>
        <w:t>.</w:t>
      </w:r>
    </w:p>
    <w:p w14:paraId="45593784" w14:textId="77777777" w:rsidR="00E3302B" w:rsidRPr="00204DBD" w:rsidRDefault="00E3302B" w:rsidP="002B6256">
      <w:pPr>
        <w:jc w:val="both"/>
        <w:rPr>
          <w:highlight w:val="white"/>
        </w:rPr>
      </w:pPr>
      <w:r w:rsidRPr="00204DBD">
        <w:rPr>
          <w:rFonts w:eastAsia="Arial"/>
          <w:highlight w:val="white"/>
        </w:rPr>
        <w:t xml:space="preserve">40- </w:t>
      </w:r>
      <w:proofErr w:type="spellStart"/>
      <w:r w:rsidRPr="00204DBD">
        <w:rPr>
          <w:highlight w:val="white"/>
        </w:rPr>
        <w:t>Panek</w:t>
      </w:r>
      <w:proofErr w:type="spellEnd"/>
      <w:r w:rsidRPr="00204DBD">
        <w:rPr>
          <w:highlight w:val="white"/>
        </w:rPr>
        <w:t xml:space="preserve">, E., </w:t>
      </w:r>
      <w:proofErr w:type="spellStart"/>
      <w:r w:rsidRPr="00204DBD">
        <w:rPr>
          <w:highlight w:val="white"/>
        </w:rPr>
        <w:t>Hollenbach</w:t>
      </w:r>
      <w:proofErr w:type="spellEnd"/>
      <w:r w:rsidRPr="00204DBD">
        <w:rPr>
          <w:highlight w:val="white"/>
        </w:rPr>
        <w:t xml:space="preserve">, C., Yang, J., &amp; </w:t>
      </w:r>
      <w:proofErr w:type="spellStart"/>
      <w:r w:rsidRPr="00204DBD">
        <w:rPr>
          <w:highlight w:val="white"/>
        </w:rPr>
        <w:t>Rhodes</w:t>
      </w:r>
      <w:proofErr w:type="spellEnd"/>
      <w:r w:rsidRPr="00204DBD">
        <w:rPr>
          <w:highlight w:val="white"/>
        </w:rPr>
        <w:t xml:space="preserve">, T. (2018). </w:t>
      </w:r>
      <w:proofErr w:type="spellStart"/>
      <w:r w:rsidRPr="00204DBD">
        <w:rPr>
          <w:highlight w:val="white"/>
        </w:rPr>
        <w:t>The</w:t>
      </w:r>
      <w:proofErr w:type="spellEnd"/>
      <w:r w:rsidRPr="00204DBD">
        <w:rPr>
          <w:highlight w:val="white"/>
        </w:rPr>
        <w:t xml:space="preserve"> </w:t>
      </w:r>
      <w:proofErr w:type="spellStart"/>
      <w:r w:rsidRPr="00204DBD">
        <w:rPr>
          <w:highlight w:val="white"/>
        </w:rPr>
        <w:t>Effects</w:t>
      </w:r>
      <w:proofErr w:type="spellEnd"/>
      <w:r w:rsidRPr="00204DBD">
        <w:rPr>
          <w:highlight w:val="white"/>
        </w:rPr>
        <w:t xml:space="preserve"> of </w:t>
      </w:r>
      <w:proofErr w:type="spellStart"/>
      <w:r w:rsidRPr="00204DBD">
        <w:rPr>
          <w:highlight w:val="white"/>
        </w:rPr>
        <w:t>Group</w:t>
      </w:r>
      <w:proofErr w:type="spellEnd"/>
      <w:r w:rsidRPr="00204DBD">
        <w:rPr>
          <w:highlight w:val="white"/>
        </w:rPr>
        <w:t xml:space="preserve"> Size </w:t>
      </w:r>
      <w:proofErr w:type="spellStart"/>
      <w:r w:rsidRPr="00204DBD">
        <w:rPr>
          <w:highlight w:val="white"/>
        </w:rPr>
        <w:t>and</w:t>
      </w:r>
      <w:proofErr w:type="spellEnd"/>
      <w:r w:rsidRPr="00204DBD">
        <w:rPr>
          <w:highlight w:val="white"/>
        </w:rPr>
        <w:t xml:space="preserve"> Time on </w:t>
      </w:r>
      <w:proofErr w:type="spellStart"/>
      <w:r w:rsidRPr="00204DBD">
        <w:rPr>
          <w:highlight w:val="white"/>
        </w:rPr>
        <w:t>the</w:t>
      </w:r>
      <w:proofErr w:type="spellEnd"/>
      <w:r w:rsidRPr="00204DBD">
        <w:rPr>
          <w:highlight w:val="white"/>
        </w:rPr>
        <w:t xml:space="preserve"> </w:t>
      </w:r>
      <w:proofErr w:type="spellStart"/>
      <w:r w:rsidRPr="00204DBD">
        <w:rPr>
          <w:highlight w:val="white"/>
        </w:rPr>
        <w:t>Formation</w:t>
      </w:r>
      <w:proofErr w:type="spellEnd"/>
      <w:r w:rsidRPr="00204DBD">
        <w:rPr>
          <w:highlight w:val="white"/>
        </w:rPr>
        <w:t xml:space="preserve"> of Online </w:t>
      </w:r>
      <w:proofErr w:type="spellStart"/>
      <w:r w:rsidRPr="00204DBD">
        <w:rPr>
          <w:highlight w:val="white"/>
        </w:rPr>
        <w:t>Communities</w:t>
      </w:r>
      <w:proofErr w:type="spellEnd"/>
      <w:r w:rsidRPr="00204DBD">
        <w:rPr>
          <w:highlight w:val="white"/>
        </w:rPr>
        <w:t xml:space="preserve">: </w:t>
      </w:r>
      <w:proofErr w:type="spellStart"/>
      <w:r w:rsidRPr="00204DBD">
        <w:rPr>
          <w:highlight w:val="white"/>
        </w:rPr>
        <w:t>Evidence</w:t>
      </w:r>
      <w:proofErr w:type="spellEnd"/>
      <w:r w:rsidRPr="00204DBD">
        <w:rPr>
          <w:highlight w:val="white"/>
        </w:rPr>
        <w:t xml:space="preserve"> </w:t>
      </w:r>
      <w:proofErr w:type="spellStart"/>
      <w:r w:rsidRPr="00204DBD">
        <w:rPr>
          <w:highlight w:val="white"/>
        </w:rPr>
        <w:t>From</w:t>
      </w:r>
      <w:proofErr w:type="spellEnd"/>
      <w:r w:rsidRPr="00204DBD">
        <w:rPr>
          <w:highlight w:val="white"/>
        </w:rPr>
        <w:t xml:space="preserve"> </w:t>
      </w:r>
      <w:proofErr w:type="spellStart"/>
      <w:r w:rsidRPr="00204DBD">
        <w:rPr>
          <w:highlight w:val="white"/>
        </w:rPr>
        <w:t>Reddit</w:t>
      </w:r>
      <w:proofErr w:type="spellEnd"/>
      <w:r w:rsidRPr="00204DBD">
        <w:rPr>
          <w:highlight w:val="white"/>
        </w:rPr>
        <w:t xml:space="preserve">. </w:t>
      </w:r>
      <w:proofErr w:type="spellStart"/>
      <w:r w:rsidRPr="00204DBD">
        <w:rPr>
          <w:i/>
          <w:highlight w:val="white"/>
        </w:rPr>
        <w:t>Social</w:t>
      </w:r>
      <w:proofErr w:type="spellEnd"/>
      <w:r w:rsidRPr="00204DBD">
        <w:rPr>
          <w:i/>
          <w:highlight w:val="white"/>
        </w:rPr>
        <w:t xml:space="preserve"> Media + </w:t>
      </w:r>
      <w:proofErr w:type="spellStart"/>
      <w:r w:rsidRPr="00204DBD">
        <w:rPr>
          <w:i/>
          <w:highlight w:val="white"/>
        </w:rPr>
        <w:t>Society</w:t>
      </w:r>
      <w:proofErr w:type="spellEnd"/>
      <w:r w:rsidRPr="00204DBD">
        <w:rPr>
          <w:highlight w:val="white"/>
        </w:rPr>
        <w:t xml:space="preserve">, </w:t>
      </w:r>
      <w:r w:rsidRPr="00204DBD">
        <w:rPr>
          <w:i/>
          <w:highlight w:val="white"/>
        </w:rPr>
        <w:t>4</w:t>
      </w:r>
      <w:r w:rsidRPr="00204DBD">
        <w:rPr>
          <w:highlight w:val="white"/>
        </w:rPr>
        <w:t>(4).</w:t>
      </w:r>
    </w:p>
    <w:p w14:paraId="0AB3A6E9" w14:textId="77777777" w:rsidR="00E3302B" w:rsidRPr="00204DBD" w:rsidRDefault="00E3302B">
      <w:pPr>
        <w:widowControl/>
        <w:numPr>
          <w:ilvl w:val="0"/>
          <w:numId w:val="72"/>
        </w:numPr>
        <w:autoSpaceDE/>
        <w:autoSpaceDN/>
        <w:jc w:val="both"/>
        <w:rPr>
          <w:shd w:val="clear" w:color="auto" w:fill="FFFFFF"/>
        </w:rPr>
      </w:pPr>
      <w:r w:rsidRPr="00204DBD">
        <w:rPr>
          <w:shd w:val="clear" w:color="auto" w:fill="FFFFFF"/>
        </w:rPr>
        <w:t xml:space="preserve">Parsons, T. (1951) </w:t>
      </w:r>
      <w:proofErr w:type="spellStart"/>
      <w:r w:rsidRPr="00204DBD">
        <w:rPr>
          <w:shd w:val="clear" w:color="auto" w:fill="FFFFFF"/>
        </w:rPr>
        <w:t>The</w:t>
      </w:r>
      <w:proofErr w:type="spellEnd"/>
      <w:r w:rsidRPr="00204DBD">
        <w:rPr>
          <w:shd w:val="clear" w:color="auto" w:fill="FFFFFF"/>
        </w:rPr>
        <w:t xml:space="preserve"> </w:t>
      </w:r>
      <w:proofErr w:type="spellStart"/>
      <w:r w:rsidRPr="00204DBD">
        <w:rPr>
          <w:shd w:val="clear" w:color="auto" w:fill="FFFFFF"/>
        </w:rPr>
        <w:t>Social</w:t>
      </w:r>
      <w:proofErr w:type="spellEnd"/>
      <w:r w:rsidRPr="00204DBD">
        <w:rPr>
          <w:shd w:val="clear" w:color="auto" w:fill="FFFFFF"/>
        </w:rPr>
        <w:t xml:space="preserve"> </w:t>
      </w:r>
      <w:proofErr w:type="spellStart"/>
      <w:r w:rsidRPr="00204DBD">
        <w:rPr>
          <w:shd w:val="clear" w:color="auto" w:fill="FFFFFF"/>
        </w:rPr>
        <w:t>System</w:t>
      </w:r>
      <w:proofErr w:type="spellEnd"/>
      <w:r w:rsidRPr="00204DBD">
        <w:rPr>
          <w:shd w:val="clear" w:color="auto" w:fill="FFFFFF"/>
        </w:rPr>
        <w:t xml:space="preserve">. </w:t>
      </w:r>
      <w:proofErr w:type="spellStart"/>
      <w:r w:rsidRPr="00204DBD">
        <w:rPr>
          <w:shd w:val="clear" w:color="auto" w:fill="FFFFFF"/>
        </w:rPr>
        <w:t>Free</w:t>
      </w:r>
      <w:proofErr w:type="spellEnd"/>
      <w:r w:rsidRPr="00204DBD">
        <w:rPr>
          <w:shd w:val="clear" w:color="auto" w:fill="FFFFFF"/>
        </w:rPr>
        <w:t xml:space="preserve"> </w:t>
      </w:r>
      <w:proofErr w:type="spellStart"/>
      <w:r w:rsidRPr="00204DBD">
        <w:rPr>
          <w:shd w:val="clear" w:color="auto" w:fill="FFFFFF"/>
        </w:rPr>
        <w:t>Press</w:t>
      </w:r>
      <w:proofErr w:type="spellEnd"/>
      <w:r w:rsidRPr="00204DBD">
        <w:rPr>
          <w:shd w:val="clear" w:color="auto" w:fill="FFFFFF"/>
        </w:rPr>
        <w:t>, New York.</w:t>
      </w:r>
    </w:p>
    <w:p w14:paraId="2916F7F6" w14:textId="77777777" w:rsidR="00E3302B" w:rsidRPr="00204DBD" w:rsidRDefault="00E3302B">
      <w:pPr>
        <w:widowControl/>
        <w:numPr>
          <w:ilvl w:val="0"/>
          <w:numId w:val="72"/>
        </w:numPr>
        <w:autoSpaceDE/>
        <w:autoSpaceDN/>
        <w:jc w:val="both"/>
        <w:rPr>
          <w:shd w:val="clear" w:color="auto" w:fill="FFFFFF"/>
        </w:rPr>
      </w:pPr>
      <w:r w:rsidRPr="00204DBD">
        <w:rPr>
          <w:shd w:val="clear" w:color="auto" w:fill="FFFFFF"/>
        </w:rPr>
        <w:t>Petrosyan, A. (13 Şubat, 2025)</w:t>
      </w:r>
      <w:r w:rsidRPr="00204DBD">
        <w:rPr>
          <w:bCs/>
          <w:shd w:val="clear" w:color="auto" w:fill="FFFFFF"/>
        </w:rPr>
        <w:t xml:space="preserve"> </w:t>
      </w:r>
      <w:proofErr w:type="spellStart"/>
      <w:r w:rsidRPr="00204DBD">
        <w:rPr>
          <w:bCs/>
          <w:shd w:val="clear" w:color="auto" w:fill="FFFFFF"/>
        </w:rPr>
        <w:t>Number</w:t>
      </w:r>
      <w:proofErr w:type="spellEnd"/>
      <w:r w:rsidRPr="00204DBD">
        <w:rPr>
          <w:bCs/>
          <w:shd w:val="clear" w:color="auto" w:fill="FFFFFF"/>
        </w:rPr>
        <w:t xml:space="preserve"> of internet </w:t>
      </w:r>
      <w:proofErr w:type="spellStart"/>
      <w:r w:rsidRPr="00204DBD">
        <w:rPr>
          <w:bCs/>
          <w:shd w:val="clear" w:color="auto" w:fill="FFFFFF"/>
        </w:rPr>
        <w:t>and</w:t>
      </w:r>
      <w:proofErr w:type="spellEnd"/>
      <w:r w:rsidRPr="00204DBD">
        <w:rPr>
          <w:bCs/>
          <w:shd w:val="clear" w:color="auto" w:fill="FFFFFF"/>
        </w:rPr>
        <w:t xml:space="preserve"> </w:t>
      </w:r>
      <w:proofErr w:type="spellStart"/>
      <w:r w:rsidRPr="00204DBD">
        <w:rPr>
          <w:bCs/>
          <w:shd w:val="clear" w:color="auto" w:fill="FFFFFF"/>
        </w:rPr>
        <w:t>social</w:t>
      </w:r>
      <w:proofErr w:type="spellEnd"/>
      <w:r w:rsidRPr="00204DBD">
        <w:rPr>
          <w:bCs/>
          <w:shd w:val="clear" w:color="auto" w:fill="FFFFFF"/>
        </w:rPr>
        <w:t xml:space="preserve"> </w:t>
      </w:r>
      <w:proofErr w:type="spellStart"/>
      <w:r w:rsidRPr="00204DBD">
        <w:rPr>
          <w:bCs/>
          <w:shd w:val="clear" w:color="auto" w:fill="FFFFFF"/>
        </w:rPr>
        <w:t>media</w:t>
      </w:r>
      <w:proofErr w:type="spellEnd"/>
      <w:r w:rsidRPr="00204DBD">
        <w:rPr>
          <w:bCs/>
          <w:shd w:val="clear" w:color="auto" w:fill="FFFFFF"/>
        </w:rPr>
        <w:t xml:space="preserve"> </w:t>
      </w:r>
      <w:proofErr w:type="spellStart"/>
      <w:r w:rsidRPr="00204DBD">
        <w:rPr>
          <w:bCs/>
          <w:shd w:val="clear" w:color="auto" w:fill="FFFFFF"/>
        </w:rPr>
        <w:t>users</w:t>
      </w:r>
      <w:proofErr w:type="spellEnd"/>
      <w:r w:rsidRPr="00204DBD">
        <w:rPr>
          <w:bCs/>
          <w:shd w:val="clear" w:color="auto" w:fill="FFFFFF"/>
        </w:rPr>
        <w:t xml:space="preserve"> </w:t>
      </w:r>
      <w:proofErr w:type="spellStart"/>
      <w:r w:rsidRPr="00204DBD">
        <w:rPr>
          <w:bCs/>
          <w:shd w:val="clear" w:color="auto" w:fill="FFFFFF"/>
        </w:rPr>
        <w:t>worldwide</w:t>
      </w:r>
      <w:proofErr w:type="spellEnd"/>
      <w:r w:rsidRPr="00204DBD">
        <w:rPr>
          <w:bCs/>
          <w:shd w:val="clear" w:color="auto" w:fill="FFFFFF"/>
        </w:rPr>
        <w:t xml:space="preserve"> as of </w:t>
      </w:r>
      <w:proofErr w:type="spellStart"/>
      <w:r w:rsidRPr="00204DBD">
        <w:rPr>
          <w:bCs/>
          <w:shd w:val="clear" w:color="auto" w:fill="FFFFFF"/>
        </w:rPr>
        <w:t>February</w:t>
      </w:r>
      <w:proofErr w:type="spellEnd"/>
      <w:r w:rsidRPr="00204DBD">
        <w:rPr>
          <w:bCs/>
          <w:shd w:val="clear" w:color="auto" w:fill="FFFFFF"/>
        </w:rPr>
        <w:t xml:space="preserve"> 2025. </w:t>
      </w:r>
      <w:r w:rsidRPr="00204DBD">
        <w:rPr>
          <w:shd w:val="clear" w:color="auto" w:fill="FFFFFF"/>
        </w:rPr>
        <w:t xml:space="preserve">  </w:t>
      </w:r>
      <w:proofErr w:type="spellStart"/>
      <w:r w:rsidRPr="00204DBD">
        <w:rPr>
          <w:shd w:val="clear" w:color="auto" w:fill="FFFFFF"/>
        </w:rPr>
        <w:t>Statista</w:t>
      </w:r>
      <w:proofErr w:type="spellEnd"/>
      <w:r w:rsidRPr="00204DBD">
        <w:rPr>
          <w:shd w:val="clear" w:color="auto" w:fill="FFFFFF"/>
        </w:rPr>
        <w:t xml:space="preserve"> İnternet Sitesi. </w:t>
      </w:r>
      <w:hyperlink r:id="rId29" w:history="1">
        <w:r w:rsidRPr="00204DBD">
          <w:rPr>
            <w:rStyle w:val="Kpr"/>
            <w:rFonts w:eastAsiaTheme="majorEastAsia"/>
            <w:shd w:val="clear" w:color="auto" w:fill="FFFFFF"/>
          </w:rPr>
          <w:t>https://www.statista.com/statistics/617136/digital-population-worldwide/</w:t>
        </w:r>
      </w:hyperlink>
      <w:r w:rsidRPr="00204DBD">
        <w:rPr>
          <w:shd w:val="clear" w:color="auto" w:fill="FFFFFF"/>
        </w:rPr>
        <w:t xml:space="preserve"> (Erişim tarihi: 16.02.2025).</w:t>
      </w:r>
    </w:p>
    <w:p w14:paraId="71335E7F" w14:textId="77777777" w:rsidR="00E3302B" w:rsidRPr="00204DBD" w:rsidRDefault="00E3302B" w:rsidP="002B6256">
      <w:pPr>
        <w:jc w:val="both"/>
        <w:rPr>
          <w:shd w:val="clear" w:color="auto" w:fill="FFFFFF"/>
        </w:rPr>
      </w:pPr>
      <w:r w:rsidRPr="00204DBD">
        <w:rPr>
          <w:shd w:val="clear" w:color="auto" w:fill="FFFFFF"/>
        </w:rPr>
        <w:t xml:space="preserve">42- </w:t>
      </w:r>
      <w:proofErr w:type="spellStart"/>
      <w:r w:rsidRPr="00204DBD">
        <w:t>Ritzer</w:t>
      </w:r>
      <w:proofErr w:type="spellEnd"/>
      <w:r w:rsidRPr="00204DBD">
        <w:t xml:space="preserve">, G. (2004). </w:t>
      </w:r>
      <w:proofErr w:type="spellStart"/>
      <w:r w:rsidRPr="00204DBD">
        <w:rPr>
          <w:i/>
          <w:iCs/>
        </w:rPr>
        <w:t>The</w:t>
      </w:r>
      <w:proofErr w:type="spellEnd"/>
      <w:r w:rsidRPr="00204DBD">
        <w:rPr>
          <w:i/>
          <w:iCs/>
        </w:rPr>
        <w:t xml:space="preserve"> </w:t>
      </w:r>
      <w:proofErr w:type="spellStart"/>
      <w:r w:rsidRPr="00204DBD">
        <w:rPr>
          <w:i/>
          <w:iCs/>
        </w:rPr>
        <w:t>McDonaldization</w:t>
      </w:r>
      <w:proofErr w:type="spellEnd"/>
      <w:r w:rsidRPr="00204DBD">
        <w:rPr>
          <w:i/>
          <w:iCs/>
        </w:rPr>
        <w:t xml:space="preserve"> of </w:t>
      </w:r>
      <w:proofErr w:type="spellStart"/>
      <w:r w:rsidRPr="00204DBD">
        <w:rPr>
          <w:i/>
          <w:iCs/>
        </w:rPr>
        <w:t>Society</w:t>
      </w:r>
      <w:proofErr w:type="spellEnd"/>
      <w:r w:rsidRPr="00204DBD">
        <w:t xml:space="preserve">. </w:t>
      </w:r>
      <w:proofErr w:type="spellStart"/>
      <w:r w:rsidRPr="00204DBD">
        <w:t>Thousand</w:t>
      </w:r>
      <w:proofErr w:type="spellEnd"/>
      <w:r w:rsidRPr="00204DBD">
        <w:t xml:space="preserve"> </w:t>
      </w:r>
      <w:proofErr w:type="spellStart"/>
      <w:r w:rsidRPr="00204DBD">
        <w:t>Oaks</w:t>
      </w:r>
      <w:proofErr w:type="spellEnd"/>
      <w:r w:rsidRPr="00204DBD">
        <w:t xml:space="preserve">, CA: Pine </w:t>
      </w:r>
      <w:proofErr w:type="spellStart"/>
      <w:r w:rsidRPr="00204DBD">
        <w:t>Forge</w:t>
      </w:r>
      <w:proofErr w:type="spellEnd"/>
      <w:r w:rsidRPr="00204DBD">
        <w:t xml:space="preserve"> </w:t>
      </w:r>
      <w:proofErr w:type="spellStart"/>
      <w:r w:rsidRPr="00204DBD">
        <w:t>Press</w:t>
      </w:r>
      <w:proofErr w:type="spellEnd"/>
      <w:r w:rsidRPr="00204DBD">
        <w:t>.</w:t>
      </w:r>
    </w:p>
    <w:p w14:paraId="5ABD2EF0" w14:textId="609AA7BF" w:rsidR="00E3302B" w:rsidRPr="000A70F0" w:rsidRDefault="00E3302B">
      <w:pPr>
        <w:pStyle w:val="ListeParagraf"/>
        <w:numPr>
          <w:ilvl w:val="0"/>
          <w:numId w:val="75"/>
        </w:numPr>
        <w:jc w:val="both"/>
        <w:rPr>
          <w:rFonts w:eastAsia="Arial"/>
        </w:rPr>
      </w:pPr>
      <w:proofErr w:type="spellStart"/>
      <w:r w:rsidRPr="000A70F0">
        <w:rPr>
          <w:highlight w:val="white"/>
        </w:rPr>
        <w:t>Shifman</w:t>
      </w:r>
      <w:proofErr w:type="spellEnd"/>
      <w:r w:rsidRPr="000A70F0">
        <w:rPr>
          <w:highlight w:val="white"/>
        </w:rPr>
        <w:t xml:space="preserve">, L. (2013). </w:t>
      </w:r>
      <w:proofErr w:type="spellStart"/>
      <w:r w:rsidRPr="000A70F0">
        <w:rPr>
          <w:highlight w:val="white"/>
        </w:rPr>
        <w:t>Memes</w:t>
      </w:r>
      <w:proofErr w:type="spellEnd"/>
      <w:r w:rsidRPr="000A70F0">
        <w:rPr>
          <w:highlight w:val="white"/>
        </w:rPr>
        <w:t xml:space="preserve"> in a </w:t>
      </w:r>
      <w:proofErr w:type="spellStart"/>
      <w:r w:rsidRPr="000A70F0">
        <w:rPr>
          <w:highlight w:val="white"/>
        </w:rPr>
        <w:t>digital</w:t>
      </w:r>
      <w:proofErr w:type="spellEnd"/>
      <w:r w:rsidRPr="000A70F0">
        <w:rPr>
          <w:highlight w:val="white"/>
        </w:rPr>
        <w:t xml:space="preserve"> </w:t>
      </w:r>
      <w:r w:rsidR="000A70F0">
        <w:rPr>
          <w:highlight w:val="white"/>
        </w:rPr>
        <w:pgNum/>
      </w:r>
      <w:proofErr w:type="spellStart"/>
      <w:r w:rsidR="000A70F0">
        <w:rPr>
          <w:highlight w:val="white"/>
        </w:rPr>
        <w:t>orld</w:t>
      </w:r>
      <w:proofErr w:type="spellEnd"/>
      <w:r w:rsidRPr="000A70F0">
        <w:rPr>
          <w:highlight w:val="white"/>
        </w:rPr>
        <w:t xml:space="preserve">: </w:t>
      </w:r>
      <w:proofErr w:type="spellStart"/>
      <w:r w:rsidRPr="000A70F0">
        <w:rPr>
          <w:highlight w:val="white"/>
        </w:rPr>
        <w:t>Reconciling</w:t>
      </w:r>
      <w:proofErr w:type="spellEnd"/>
      <w:r w:rsidRPr="000A70F0">
        <w:rPr>
          <w:highlight w:val="white"/>
        </w:rPr>
        <w:t xml:space="preserve"> </w:t>
      </w:r>
      <w:proofErr w:type="spellStart"/>
      <w:r w:rsidRPr="000A70F0">
        <w:rPr>
          <w:highlight w:val="white"/>
        </w:rPr>
        <w:t>with</w:t>
      </w:r>
      <w:proofErr w:type="spellEnd"/>
      <w:r w:rsidRPr="000A70F0">
        <w:rPr>
          <w:highlight w:val="white"/>
        </w:rPr>
        <w:t xml:space="preserve"> a </w:t>
      </w:r>
      <w:proofErr w:type="spellStart"/>
      <w:r w:rsidRPr="000A70F0">
        <w:rPr>
          <w:highlight w:val="white"/>
        </w:rPr>
        <w:t>conceptual</w:t>
      </w:r>
      <w:proofErr w:type="spellEnd"/>
      <w:r w:rsidRPr="000A70F0">
        <w:rPr>
          <w:highlight w:val="white"/>
        </w:rPr>
        <w:t xml:space="preserve"> </w:t>
      </w:r>
      <w:proofErr w:type="spellStart"/>
      <w:r w:rsidRPr="000A70F0">
        <w:rPr>
          <w:highlight w:val="white"/>
        </w:rPr>
        <w:t>troublemaker</w:t>
      </w:r>
      <w:proofErr w:type="spellEnd"/>
      <w:r w:rsidRPr="000A70F0">
        <w:rPr>
          <w:highlight w:val="white"/>
        </w:rPr>
        <w:t xml:space="preserve">. </w:t>
      </w:r>
      <w:proofErr w:type="spellStart"/>
      <w:r w:rsidRPr="000A70F0">
        <w:rPr>
          <w:i/>
          <w:highlight w:val="white"/>
        </w:rPr>
        <w:t>Journal</w:t>
      </w:r>
      <w:proofErr w:type="spellEnd"/>
      <w:r w:rsidRPr="000A70F0">
        <w:rPr>
          <w:i/>
          <w:highlight w:val="white"/>
        </w:rPr>
        <w:t xml:space="preserve"> of </w:t>
      </w:r>
      <w:proofErr w:type="spellStart"/>
      <w:r w:rsidRPr="000A70F0">
        <w:rPr>
          <w:i/>
          <w:highlight w:val="white"/>
        </w:rPr>
        <w:t>computer-mediated</w:t>
      </w:r>
      <w:proofErr w:type="spellEnd"/>
      <w:r w:rsidRPr="000A70F0">
        <w:rPr>
          <w:i/>
          <w:highlight w:val="white"/>
        </w:rPr>
        <w:t xml:space="preserve"> </w:t>
      </w:r>
      <w:proofErr w:type="spellStart"/>
      <w:r w:rsidRPr="000A70F0">
        <w:rPr>
          <w:i/>
          <w:highlight w:val="white"/>
        </w:rPr>
        <w:t>communication</w:t>
      </w:r>
      <w:proofErr w:type="spellEnd"/>
      <w:r w:rsidRPr="000A70F0">
        <w:rPr>
          <w:highlight w:val="white"/>
        </w:rPr>
        <w:t xml:space="preserve">, </w:t>
      </w:r>
      <w:r w:rsidRPr="000A70F0">
        <w:rPr>
          <w:i/>
          <w:highlight w:val="white"/>
        </w:rPr>
        <w:t>18</w:t>
      </w:r>
      <w:r w:rsidRPr="000A70F0">
        <w:rPr>
          <w:highlight w:val="white"/>
        </w:rPr>
        <w:t>(3), 362-377.</w:t>
      </w:r>
    </w:p>
    <w:p w14:paraId="26BE9052" w14:textId="28222760" w:rsidR="00E3302B" w:rsidRPr="000A70F0" w:rsidRDefault="00E3302B">
      <w:pPr>
        <w:pStyle w:val="ListeParagraf"/>
        <w:numPr>
          <w:ilvl w:val="0"/>
          <w:numId w:val="76"/>
        </w:numPr>
        <w:jc w:val="both"/>
        <w:rPr>
          <w:rFonts w:eastAsia="Arial"/>
        </w:rPr>
      </w:pPr>
      <w:proofErr w:type="spellStart"/>
      <w:r w:rsidRPr="000A70F0">
        <w:rPr>
          <w:rFonts w:eastAsia="Arial"/>
        </w:rPr>
        <w:t>Southern</w:t>
      </w:r>
      <w:proofErr w:type="spellEnd"/>
      <w:r w:rsidRPr="000A70F0">
        <w:rPr>
          <w:rFonts w:eastAsia="Arial"/>
        </w:rPr>
        <w:t xml:space="preserve">, M. (18 Ekim, 2020) </w:t>
      </w:r>
      <w:r w:rsidRPr="000A70F0">
        <w:rPr>
          <w:rFonts w:eastAsia="Calibri"/>
          <w:lang w:eastAsia="en-US"/>
        </w:rPr>
        <w:t xml:space="preserve">“Yahoo </w:t>
      </w:r>
      <w:proofErr w:type="spellStart"/>
      <w:r w:rsidRPr="000A70F0">
        <w:rPr>
          <w:rFonts w:eastAsia="Calibri"/>
          <w:lang w:eastAsia="en-US"/>
        </w:rPr>
        <w:t>Groups</w:t>
      </w:r>
      <w:proofErr w:type="spellEnd"/>
      <w:r w:rsidRPr="000A70F0">
        <w:rPr>
          <w:rFonts w:eastAsia="Calibri"/>
          <w:lang w:eastAsia="en-US"/>
        </w:rPr>
        <w:t xml:space="preserve"> </w:t>
      </w:r>
      <w:proofErr w:type="spellStart"/>
      <w:r w:rsidRPr="000A70F0">
        <w:rPr>
          <w:rFonts w:eastAsia="Calibri"/>
          <w:lang w:eastAsia="en-US"/>
        </w:rPr>
        <w:t>to</w:t>
      </w:r>
      <w:proofErr w:type="spellEnd"/>
      <w:r w:rsidRPr="000A70F0">
        <w:rPr>
          <w:rFonts w:eastAsia="Calibri"/>
          <w:lang w:eastAsia="en-US"/>
        </w:rPr>
        <w:t xml:space="preserve"> </w:t>
      </w:r>
      <w:proofErr w:type="spellStart"/>
      <w:r w:rsidRPr="000A70F0">
        <w:rPr>
          <w:rFonts w:eastAsia="Calibri"/>
          <w:lang w:eastAsia="en-US"/>
        </w:rPr>
        <w:t>Fully</w:t>
      </w:r>
      <w:proofErr w:type="spellEnd"/>
      <w:r w:rsidRPr="000A70F0">
        <w:rPr>
          <w:rFonts w:eastAsia="Calibri"/>
          <w:lang w:eastAsia="en-US"/>
        </w:rPr>
        <w:t xml:space="preserve"> </w:t>
      </w:r>
      <w:proofErr w:type="spellStart"/>
      <w:r w:rsidRPr="000A70F0">
        <w:rPr>
          <w:rFonts w:eastAsia="Calibri"/>
          <w:lang w:eastAsia="en-US"/>
        </w:rPr>
        <w:t>Shut</w:t>
      </w:r>
      <w:proofErr w:type="spellEnd"/>
      <w:r w:rsidRPr="000A70F0">
        <w:rPr>
          <w:rFonts w:eastAsia="Calibri"/>
          <w:lang w:eastAsia="en-US"/>
        </w:rPr>
        <w:t xml:space="preserve"> </w:t>
      </w:r>
      <w:proofErr w:type="spellStart"/>
      <w:r w:rsidRPr="000A70F0">
        <w:rPr>
          <w:rFonts w:eastAsia="Calibri"/>
          <w:lang w:eastAsia="en-US"/>
        </w:rPr>
        <w:t>Down</w:t>
      </w:r>
      <w:proofErr w:type="spellEnd"/>
      <w:r w:rsidRPr="000A70F0">
        <w:rPr>
          <w:rFonts w:eastAsia="Calibri"/>
          <w:lang w:eastAsia="en-US"/>
        </w:rPr>
        <w:t xml:space="preserve"> on </w:t>
      </w:r>
      <w:proofErr w:type="spellStart"/>
      <w:r w:rsidRPr="000A70F0">
        <w:rPr>
          <w:rFonts w:eastAsia="Calibri"/>
          <w:lang w:eastAsia="en-US"/>
        </w:rPr>
        <w:t>December</w:t>
      </w:r>
      <w:proofErr w:type="spellEnd"/>
      <w:r w:rsidRPr="000A70F0">
        <w:rPr>
          <w:rFonts w:eastAsia="Calibri"/>
          <w:lang w:eastAsia="en-US"/>
        </w:rPr>
        <w:t xml:space="preserve"> 15, 2020”. </w:t>
      </w:r>
      <w:proofErr w:type="spellStart"/>
      <w:r w:rsidRPr="000A70F0">
        <w:rPr>
          <w:rFonts w:eastAsia="Calibri"/>
          <w:lang w:eastAsia="en-US"/>
        </w:rPr>
        <w:t>Search</w:t>
      </w:r>
      <w:proofErr w:type="spellEnd"/>
      <w:r w:rsidRPr="000A70F0">
        <w:rPr>
          <w:rFonts w:eastAsia="Calibri"/>
          <w:lang w:eastAsia="en-US"/>
        </w:rPr>
        <w:t xml:space="preserve"> Engine </w:t>
      </w:r>
      <w:proofErr w:type="spellStart"/>
      <w:r w:rsidRPr="000A70F0">
        <w:rPr>
          <w:rFonts w:eastAsia="Calibri"/>
          <w:lang w:eastAsia="en-US"/>
        </w:rPr>
        <w:t>Journal</w:t>
      </w:r>
      <w:proofErr w:type="spellEnd"/>
      <w:r w:rsidRPr="000A70F0">
        <w:rPr>
          <w:rFonts w:eastAsia="Calibri"/>
          <w:lang w:eastAsia="en-US"/>
        </w:rPr>
        <w:t xml:space="preserve"> İnternet Sitesi. </w:t>
      </w:r>
      <w:hyperlink r:id="rId30" w:history="1">
        <w:r w:rsidRPr="000A70F0">
          <w:rPr>
            <w:rStyle w:val="Kpr"/>
            <w:rFonts w:eastAsia="Arial"/>
          </w:rPr>
          <w:t>https://www.searchenginejournal.com/yahoo-groups-to-fully-shut-down-on-december-15-2020/384313/</w:t>
        </w:r>
      </w:hyperlink>
      <w:r w:rsidRPr="000A70F0">
        <w:rPr>
          <w:rFonts w:eastAsia="Arial"/>
        </w:rPr>
        <w:t xml:space="preserve"> (Erişim tarihi: 03.08.2024).</w:t>
      </w:r>
    </w:p>
    <w:p w14:paraId="77B3592D" w14:textId="1E48E28A" w:rsidR="00E3302B" w:rsidRPr="000A70F0" w:rsidRDefault="00E3302B">
      <w:pPr>
        <w:pStyle w:val="ListeParagraf"/>
        <w:numPr>
          <w:ilvl w:val="0"/>
          <w:numId w:val="77"/>
        </w:numPr>
        <w:jc w:val="both"/>
        <w:rPr>
          <w:highlight w:val="white"/>
        </w:rPr>
      </w:pPr>
      <w:proofErr w:type="spellStart"/>
      <w:r w:rsidRPr="000A70F0">
        <w:rPr>
          <w:highlight w:val="white"/>
        </w:rPr>
        <w:t>Stinner</w:t>
      </w:r>
      <w:proofErr w:type="spellEnd"/>
      <w:r w:rsidRPr="000A70F0">
        <w:rPr>
          <w:highlight w:val="white"/>
        </w:rPr>
        <w:t xml:space="preserve">, H. (20 Eylül, 2023) </w:t>
      </w:r>
      <w:proofErr w:type="spellStart"/>
      <w:r w:rsidRPr="000A70F0">
        <w:rPr>
          <w:highlight w:val="white"/>
        </w:rPr>
        <w:t>Niche</w:t>
      </w:r>
      <w:proofErr w:type="spellEnd"/>
      <w:r w:rsidRPr="000A70F0">
        <w:rPr>
          <w:highlight w:val="white"/>
        </w:rPr>
        <w:t xml:space="preserve"> </w:t>
      </w:r>
      <w:proofErr w:type="spellStart"/>
      <w:r w:rsidRPr="000A70F0">
        <w:rPr>
          <w:highlight w:val="white"/>
        </w:rPr>
        <w:t>Communities</w:t>
      </w:r>
      <w:proofErr w:type="spellEnd"/>
      <w:r w:rsidRPr="000A70F0">
        <w:rPr>
          <w:highlight w:val="white"/>
        </w:rPr>
        <w:t xml:space="preserve">: </w:t>
      </w:r>
      <w:proofErr w:type="spellStart"/>
      <w:r w:rsidRPr="000A70F0">
        <w:rPr>
          <w:highlight w:val="white"/>
        </w:rPr>
        <w:t>Unleasing</w:t>
      </w:r>
      <w:proofErr w:type="spellEnd"/>
      <w:r w:rsidRPr="000A70F0">
        <w:rPr>
          <w:highlight w:val="white"/>
        </w:rPr>
        <w:t xml:space="preserve"> </w:t>
      </w:r>
      <w:proofErr w:type="spellStart"/>
      <w:r w:rsidRPr="000A70F0">
        <w:rPr>
          <w:highlight w:val="white"/>
        </w:rPr>
        <w:t>the</w:t>
      </w:r>
      <w:proofErr w:type="spellEnd"/>
      <w:r w:rsidRPr="000A70F0">
        <w:rPr>
          <w:highlight w:val="white"/>
        </w:rPr>
        <w:t xml:space="preserve"> </w:t>
      </w:r>
      <w:proofErr w:type="spellStart"/>
      <w:r w:rsidRPr="000A70F0">
        <w:rPr>
          <w:highlight w:val="white"/>
        </w:rPr>
        <w:t>Power</w:t>
      </w:r>
      <w:proofErr w:type="spellEnd"/>
      <w:r w:rsidRPr="000A70F0">
        <w:rPr>
          <w:highlight w:val="white"/>
        </w:rPr>
        <w:t xml:space="preserve"> of Micro-</w:t>
      </w:r>
      <w:proofErr w:type="spellStart"/>
      <w:r w:rsidRPr="000A70F0">
        <w:rPr>
          <w:highlight w:val="white"/>
        </w:rPr>
        <w:t>Influencers</w:t>
      </w:r>
      <w:proofErr w:type="spellEnd"/>
      <w:r w:rsidRPr="000A70F0">
        <w:rPr>
          <w:highlight w:val="white"/>
        </w:rPr>
        <w:t xml:space="preserve">. Forbes İnternet Sitesi. </w:t>
      </w:r>
      <w:hyperlink r:id="rId31">
        <w:r w:rsidRPr="000A70F0">
          <w:rPr>
            <w:highlight w:val="white"/>
          </w:rPr>
          <w:t>https://www.forbes.com/councils/forbesbusinesscouncil/2023/09/20/niche-communities-unleashing-the-power-of-micro-influencers/</w:t>
        </w:r>
      </w:hyperlink>
      <w:r w:rsidRPr="000A70F0">
        <w:rPr>
          <w:highlight w:val="white"/>
        </w:rPr>
        <w:t xml:space="preserve"> (Erişim tarihi: 28.08.2024).</w:t>
      </w:r>
    </w:p>
    <w:p w14:paraId="291F2FF5" w14:textId="23F2122E" w:rsidR="00E3302B" w:rsidRPr="00204DBD" w:rsidRDefault="00E3302B" w:rsidP="002B6256">
      <w:pPr>
        <w:contextualSpacing/>
        <w:jc w:val="both"/>
        <w:rPr>
          <w:highlight w:val="white"/>
        </w:rPr>
      </w:pPr>
      <w:r w:rsidRPr="00204DBD">
        <w:rPr>
          <w:highlight w:val="white"/>
        </w:rPr>
        <w:t xml:space="preserve">46- </w:t>
      </w:r>
      <w:proofErr w:type="spellStart"/>
      <w:r w:rsidRPr="00204DBD">
        <w:t>Thornton</w:t>
      </w:r>
      <w:proofErr w:type="spellEnd"/>
      <w:r w:rsidRPr="00204DBD">
        <w:t xml:space="preserve">, S. (1997). </w:t>
      </w:r>
      <w:proofErr w:type="spellStart"/>
      <w:r w:rsidRPr="00204DBD">
        <w:t>The</w:t>
      </w:r>
      <w:proofErr w:type="spellEnd"/>
      <w:r w:rsidRPr="00204DBD">
        <w:t xml:space="preserve"> </w:t>
      </w:r>
      <w:proofErr w:type="spellStart"/>
      <w:r w:rsidRPr="00204DBD">
        <w:t>Subcultures</w:t>
      </w:r>
      <w:proofErr w:type="spellEnd"/>
      <w:r w:rsidRPr="00204DBD">
        <w:t xml:space="preserve"> Reader. A general </w:t>
      </w:r>
      <w:proofErr w:type="spellStart"/>
      <w:r w:rsidRPr="00204DBD">
        <w:t>introduction</w:t>
      </w:r>
      <w:proofErr w:type="spellEnd"/>
      <w:r w:rsidRPr="00204DBD">
        <w:t xml:space="preserve">, TJ </w:t>
      </w:r>
      <w:proofErr w:type="spellStart"/>
      <w:r w:rsidRPr="00204DBD">
        <w:t>Press</w:t>
      </w:r>
      <w:proofErr w:type="spellEnd"/>
      <w:r w:rsidRPr="00204DBD">
        <w:t xml:space="preserve"> (</w:t>
      </w:r>
      <w:proofErr w:type="spellStart"/>
      <w:r w:rsidRPr="00204DBD">
        <w:t>Padstow</w:t>
      </w:r>
      <w:proofErr w:type="spellEnd"/>
      <w:r w:rsidRPr="00204DBD">
        <w:t xml:space="preserve">) </w:t>
      </w:r>
      <w:proofErr w:type="spellStart"/>
      <w:r w:rsidRPr="00204DBD">
        <w:t>Cornwall</w:t>
      </w:r>
      <w:proofErr w:type="spellEnd"/>
      <w:r w:rsidRPr="00204DBD">
        <w:t>.</w:t>
      </w:r>
    </w:p>
    <w:p w14:paraId="3478ECC7" w14:textId="18B0226A" w:rsidR="00E3302B" w:rsidRPr="00254C59" w:rsidRDefault="00E3302B" w:rsidP="002B6256">
      <w:pPr>
        <w:contextualSpacing/>
        <w:jc w:val="both"/>
        <w:rPr>
          <w:rFonts w:eastAsia="Calibri"/>
          <w:color w:val="1C1D1E"/>
          <w:shd w:val="clear" w:color="auto" w:fill="FFFFFF"/>
          <w:lang w:eastAsia="en-US"/>
        </w:rPr>
      </w:pPr>
      <w:r w:rsidRPr="00204DBD">
        <w:rPr>
          <w:highlight w:val="white"/>
        </w:rPr>
        <w:t xml:space="preserve">47- </w:t>
      </w:r>
      <w:proofErr w:type="spellStart"/>
      <w:r w:rsidRPr="00204DBD">
        <w:t>Thorpe</w:t>
      </w:r>
      <w:proofErr w:type="spellEnd"/>
      <w:r w:rsidRPr="00204DBD">
        <w:t xml:space="preserve">, C., </w:t>
      </w:r>
      <w:proofErr w:type="spellStart"/>
      <w:r w:rsidRPr="00204DBD">
        <w:t>Yuill</w:t>
      </w:r>
      <w:proofErr w:type="spellEnd"/>
      <w:r w:rsidRPr="00204DBD">
        <w:t xml:space="preserve">, C., </w:t>
      </w:r>
      <w:proofErr w:type="spellStart"/>
      <w:r w:rsidRPr="00204DBD">
        <w:t>Hobbs</w:t>
      </w:r>
      <w:proofErr w:type="spellEnd"/>
      <w:r w:rsidRPr="00204DBD">
        <w:t xml:space="preserve">, M., </w:t>
      </w:r>
      <w:proofErr w:type="spellStart"/>
      <w:r w:rsidRPr="00204DBD">
        <w:t>Todd</w:t>
      </w:r>
      <w:proofErr w:type="spellEnd"/>
      <w:r w:rsidRPr="00204DBD">
        <w:t xml:space="preserve">, M., </w:t>
      </w:r>
      <w:proofErr w:type="spellStart"/>
      <w:r w:rsidRPr="00204DBD">
        <w:t>Tomley</w:t>
      </w:r>
      <w:proofErr w:type="spellEnd"/>
      <w:r w:rsidRPr="00204DBD">
        <w:t xml:space="preserve">, S. </w:t>
      </w:r>
      <w:r w:rsidR="000A70F0" w:rsidRPr="00204DBD">
        <w:t>V</w:t>
      </w:r>
      <w:r w:rsidRPr="00204DBD">
        <w:t xml:space="preserve">e </w:t>
      </w:r>
      <w:proofErr w:type="spellStart"/>
      <w:r w:rsidRPr="00204DBD">
        <w:t>Weeks</w:t>
      </w:r>
      <w:proofErr w:type="spellEnd"/>
      <w:r w:rsidRPr="00204DBD">
        <w:t xml:space="preserve">, M. (2019). Sosyoloji Kitabı (3. Basımdan Çeviri, Çeviren: Tufan </w:t>
      </w:r>
      <w:proofErr w:type="spellStart"/>
      <w:r w:rsidRPr="00204DBD">
        <w:t>Göbekçin</w:t>
      </w:r>
      <w:proofErr w:type="spellEnd"/>
      <w:r w:rsidRPr="00204DBD">
        <w:t>). İstanbul: Alfa Kitap.</w:t>
      </w:r>
    </w:p>
    <w:p w14:paraId="1E204B49" w14:textId="77777777" w:rsidR="00E3302B" w:rsidRPr="00204DBD" w:rsidRDefault="00E3302B" w:rsidP="002B6256">
      <w:pPr>
        <w:jc w:val="both"/>
        <w:rPr>
          <w:rFonts w:eastAsia="Calibri"/>
          <w:color w:val="1C1D1E"/>
          <w:shd w:val="clear" w:color="auto" w:fill="FFFFFF"/>
          <w:lang w:eastAsia="en-US"/>
        </w:rPr>
      </w:pPr>
      <w:r w:rsidRPr="00204DBD">
        <w:rPr>
          <w:rFonts w:eastAsia="Arial"/>
          <w:highlight w:val="white"/>
        </w:rPr>
        <w:t xml:space="preserve">48- </w:t>
      </w:r>
      <w:proofErr w:type="spellStart"/>
      <w:r w:rsidRPr="00204DBD">
        <w:rPr>
          <w:rFonts w:eastAsia="Arial"/>
          <w:highlight w:val="white"/>
        </w:rPr>
        <w:t>van</w:t>
      </w:r>
      <w:proofErr w:type="spellEnd"/>
      <w:r w:rsidRPr="00204DBD">
        <w:rPr>
          <w:rFonts w:eastAsia="Arial"/>
          <w:highlight w:val="white"/>
        </w:rPr>
        <w:t xml:space="preserve"> </w:t>
      </w:r>
      <w:proofErr w:type="spellStart"/>
      <w:r w:rsidRPr="00204DBD">
        <w:rPr>
          <w:rFonts w:eastAsia="Arial"/>
          <w:highlight w:val="white"/>
        </w:rPr>
        <w:t>Dijk</w:t>
      </w:r>
      <w:proofErr w:type="spellEnd"/>
      <w:r w:rsidRPr="00204DBD">
        <w:rPr>
          <w:rFonts w:eastAsia="Arial"/>
          <w:highlight w:val="white"/>
        </w:rPr>
        <w:t xml:space="preserve"> JAGM (2020) </w:t>
      </w:r>
      <w:proofErr w:type="spellStart"/>
      <w:r w:rsidRPr="00204DBD">
        <w:rPr>
          <w:rFonts w:eastAsia="Arial"/>
          <w:i/>
          <w:highlight w:val="white"/>
        </w:rPr>
        <w:t>The</w:t>
      </w:r>
      <w:proofErr w:type="spellEnd"/>
      <w:r w:rsidRPr="00204DBD">
        <w:rPr>
          <w:rFonts w:eastAsia="Arial"/>
          <w:i/>
          <w:highlight w:val="white"/>
        </w:rPr>
        <w:t xml:space="preserve"> </w:t>
      </w:r>
      <w:proofErr w:type="spellStart"/>
      <w:r w:rsidRPr="00204DBD">
        <w:rPr>
          <w:rFonts w:eastAsia="Arial"/>
          <w:i/>
          <w:highlight w:val="white"/>
        </w:rPr>
        <w:t>Digital</w:t>
      </w:r>
      <w:proofErr w:type="spellEnd"/>
      <w:r w:rsidRPr="00204DBD">
        <w:rPr>
          <w:rFonts w:eastAsia="Arial"/>
          <w:i/>
          <w:highlight w:val="white"/>
        </w:rPr>
        <w:t xml:space="preserve"> </w:t>
      </w:r>
      <w:proofErr w:type="spellStart"/>
      <w:r w:rsidRPr="00204DBD">
        <w:rPr>
          <w:rFonts w:eastAsia="Arial"/>
          <w:i/>
          <w:highlight w:val="white"/>
        </w:rPr>
        <w:t>Divide</w:t>
      </w:r>
      <w:proofErr w:type="spellEnd"/>
      <w:r w:rsidRPr="00204DBD">
        <w:rPr>
          <w:rFonts w:eastAsia="Arial"/>
          <w:highlight w:val="white"/>
        </w:rPr>
        <w:t xml:space="preserve">. Cambridge: </w:t>
      </w:r>
      <w:proofErr w:type="spellStart"/>
      <w:r w:rsidRPr="00204DBD">
        <w:rPr>
          <w:rFonts w:eastAsia="Arial"/>
          <w:highlight w:val="white"/>
        </w:rPr>
        <w:t>Polity</w:t>
      </w:r>
      <w:proofErr w:type="spellEnd"/>
      <w:r w:rsidRPr="00204DBD">
        <w:rPr>
          <w:rFonts w:eastAsia="Arial"/>
          <w:highlight w:val="white"/>
        </w:rPr>
        <w:t xml:space="preserve"> </w:t>
      </w:r>
      <w:proofErr w:type="spellStart"/>
      <w:r w:rsidRPr="00204DBD">
        <w:rPr>
          <w:rFonts w:eastAsia="Arial"/>
          <w:highlight w:val="white"/>
        </w:rPr>
        <w:t>Press</w:t>
      </w:r>
      <w:proofErr w:type="spellEnd"/>
      <w:r w:rsidRPr="00204DBD">
        <w:rPr>
          <w:rFonts w:eastAsia="Arial"/>
          <w:highlight w:val="white"/>
        </w:rPr>
        <w:t>.</w:t>
      </w:r>
    </w:p>
    <w:p w14:paraId="57F503D0" w14:textId="77777777" w:rsidR="00E3302B" w:rsidRPr="00204DBD" w:rsidRDefault="00E3302B" w:rsidP="002B6256">
      <w:pPr>
        <w:jc w:val="both"/>
        <w:rPr>
          <w:rFonts w:eastAsia="Calibri"/>
          <w:shd w:val="clear" w:color="auto" w:fill="FFFFFF"/>
          <w:lang w:eastAsia="en-US"/>
        </w:rPr>
      </w:pPr>
    </w:p>
    <w:p w14:paraId="6DA029A9" w14:textId="77777777" w:rsidR="00E3302B" w:rsidRPr="00204DBD" w:rsidRDefault="00E3302B" w:rsidP="002B6256">
      <w:pPr>
        <w:jc w:val="both"/>
      </w:pPr>
      <w:r w:rsidRPr="00204DBD">
        <w:rPr>
          <w:rFonts w:eastAsia="Calibri"/>
          <w:shd w:val="clear" w:color="auto" w:fill="FFFFFF"/>
          <w:lang w:eastAsia="en-US"/>
        </w:rPr>
        <w:lastRenderedPageBreak/>
        <w:t xml:space="preserve">49- </w:t>
      </w:r>
      <w:proofErr w:type="spellStart"/>
      <w:r w:rsidRPr="00204DBD">
        <w:rPr>
          <w:highlight w:val="white"/>
        </w:rPr>
        <w:t>Vasalou</w:t>
      </w:r>
      <w:proofErr w:type="spellEnd"/>
      <w:r w:rsidRPr="00204DBD">
        <w:rPr>
          <w:highlight w:val="white"/>
        </w:rPr>
        <w:t xml:space="preserve">, A., </w:t>
      </w:r>
      <w:proofErr w:type="spellStart"/>
      <w:r w:rsidRPr="00204DBD">
        <w:rPr>
          <w:highlight w:val="white"/>
        </w:rPr>
        <w:t>Joinson</w:t>
      </w:r>
      <w:proofErr w:type="spellEnd"/>
      <w:r w:rsidRPr="00204DBD">
        <w:rPr>
          <w:highlight w:val="white"/>
        </w:rPr>
        <w:t xml:space="preserve">, A., </w:t>
      </w:r>
      <w:proofErr w:type="spellStart"/>
      <w:r w:rsidRPr="00204DBD">
        <w:rPr>
          <w:highlight w:val="white"/>
        </w:rPr>
        <w:t>Bänziger</w:t>
      </w:r>
      <w:proofErr w:type="spellEnd"/>
      <w:r w:rsidRPr="00204DBD">
        <w:rPr>
          <w:highlight w:val="white"/>
        </w:rPr>
        <w:t xml:space="preserve">, T., </w:t>
      </w:r>
      <w:proofErr w:type="spellStart"/>
      <w:r w:rsidRPr="00204DBD">
        <w:rPr>
          <w:highlight w:val="white"/>
        </w:rPr>
        <w:t>Goldie</w:t>
      </w:r>
      <w:proofErr w:type="spellEnd"/>
      <w:r w:rsidRPr="00204DBD">
        <w:rPr>
          <w:highlight w:val="white"/>
        </w:rPr>
        <w:t xml:space="preserve">, P., &amp; </w:t>
      </w:r>
      <w:proofErr w:type="spellStart"/>
      <w:r w:rsidRPr="00204DBD">
        <w:rPr>
          <w:highlight w:val="white"/>
        </w:rPr>
        <w:t>Pitt</w:t>
      </w:r>
      <w:proofErr w:type="spellEnd"/>
      <w:r w:rsidRPr="00204DBD">
        <w:rPr>
          <w:highlight w:val="white"/>
        </w:rPr>
        <w:t xml:space="preserve">, J. (2008). </w:t>
      </w:r>
      <w:proofErr w:type="spellStart"/>
      <w:r w:rsidRPr="00204DBD">
        <w:rPr>
          <w:highlight w:val="white"/>
        </w:rPr>
        <w:t>Avatars</w:t>
      </w:r>
      <w:proofErr w:type="spellEnd"/>
      <w:r w:rsidRPr="00204DBD">
        <w:rPr>
          <w:highlight w:val="white"/>
        </w:rPr>
        <w:t xml:space="preserve"> in </w:t>
      </w:r>
      <w:proofErr w:type="spellStart"/>
      <w:r w:rsidRPr="00204DBD">
        <w:rPr>
          <w:highlight w:val="white"/>
        </w:rPr>
        <w:t>social</w:t>
      </w:r>
      <w:proofErr w:type="spellEnd"/>
      <w:r w:rsidRPr="00204DBD">
        <w:rPr>
          <w:highlight w:val="white"/>
        </w:rPr>
        <w:t xml:space="preserve"> </w:t>
      </w:r>
      <w:proofErr w:type="spellStart"/>
      <w:r w:rsidRPr="00204DBD">
        <w:rPr>
          <w:highlight w:val="white"/>
        </w:rPr>
        <w:t>media</w:t>
      </w:r>
      <w:proofErr w:type="spellEnd"/>
      <w:r w:rsidRPr="00204DBD">
        <w:rPr>
          <w:highlight w:val="white"/>
        </w:rPr>
        <w:t xml:space="preserve">: </w:t>
      </w:r>
      <w:proofErr w:type="spellStart"/>
      <w:r w:rsidRPr="00204DBD">
        <w:rPr>
          <w:highlight w:val="white"/>
        </w:rPr>
        <w:t>Balancing</w:t>
      </w:r>
      <w:proofErr w:type="spellEnd"/>
      <w:r w:rsidRPr="00204DBD">
        <w:rPr>
          <w:highlight w:val="white"/>
        </w:rPr>
        <w:t xml:space="preserve"> </w:t>
      </w:r>
      <w:proofErr w:type="spellStart"/>
      <w:r w:rsidRPr="00204DBD">
        <w:rPr>
          <w:highlight w:val="white"/>
        </w:rPr>
        <w:t>accuracy</w:t>
      </w:r>
      <w:proofErr w:type="spellEnd"/>
      <w:r w:rsidRPr="00204DBD">
        <w:rPr>
          <w:highlight w:val="white"/>
        </w:rPr>
        <w:t xml:space="preserve">, </w:t>
      </w:r>
      <w:proofErr w:type="spellStart"/>
      <w:r w:rsidRPr="00204DBD">
        <w:rPr>
          <w:highlight w:val="white"/>
        </w:rPr>
        <w:t>playfulness</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embodied</w:t>
      </w:r>
      <w:proofErr w:type="spellEnd"/>
      <w:r w:rsidRPr="00204DBD">
        <w:rPr>
          <w:highlight w:val="white"/>
        </w:rPr>
        <w:t xml:space="preserve"> </w:t>
      </w:r>
      <w:proofErr w:type="spellStart"/>
      <w:r w:rsidRPr="00204DBD">
        <w:rPr>
          <w:highlight w:val="white"/>
        </w:rPr>
        <w:t>messages</w:t>
      </w:r>
      <w:proofErr w:type="spellEnd"/>
      <w:r w:rsidRPr="00204DBD">
        <w:rPr>
          <w:highlight w:val="white"/>
        </w:rPr>
        <w:t xml:space="preserve">. </w:t>
      </w:r>
      <w:r w:rsidRPr="00204DBD">
        <w:rPr>
          <w:i/>
          <w:highlight w:val="white"/>
        </w:rPr>
        <w:t xml:space="preserve">International </w:t>
      </w:r>
      <w:proofErr w:type="spellStart"/>
      <w:r w:rsidRPr="00204DBD">
        <w:rPr>
          <w:i/>
          <w:highlight w:val="white"/>
        </w:rPr>
        <w:t>Journal</w:t>
      </w:r>
      <w:proofErr w:type="spellEnd"/>
      <w:r w:rsidRPr="00204DBD">
        <w:rPr>
          <w:i/>
          <w:highlight w:val="white"/>
        </w:rPr>
        <w:t xml:space="preserve"> of Human-</w:t>
      </w:r>
      <w:proofErr w:type="spellStart"/>
      <w:r w:rsidRPr="00204DBD">
        <w:rPr>
          <w:i/>
          <w:highlight w:val="white"/>
        </w:rPr>
        <w:t>Computer</w:t>
      </w:r>
      <w:proofErr w:type="spellEnd"/>
      <w:r w:rsidRPr="00204DBD">
        <w:rPr>
          <w:i/>
          <w:highlight w:val="white"/>
        </w:rPr>
        <w:t xml:space="preserve"> </w:t>
      </w:r>
      <w:proofErr w:type="spellStart"/>
      <w:r w:rsidRPr="00204DBD">
        <w:rPr>
          <w:i/>
          <w:highlight w:val="white"/>
        </w:rPr>
        <w:t>Studies</w:t>
      </w:r>
      <w:proofErr w:type="spellEnd"/>
      <w:r w:rsidRPr="00204DBD">
        <w:rPr>
          <w:highlight w:val="white"/>
        </w:rPr>
        <w:t xml:space="preserve">, </w:t>
      </w:r>
      <w:r w:rsidRPr="00204DBD">
        <w:rPr>
          <w:i/>
          <w:highlight w:val="white"/>
        </w:rPr>
        <w:t>66</w:t>
      </w:r>
      <w:r w:rsidRPr="00204DBD">
        <w:rPr>
          <w:highlight w:val="white"/>
        </w:rPr>
        <w:t>(11), 801-811.</w:t>
      </w:r>
    </w:p>
    <w:p w14:paraId="346B3633" w14:textId="76558DB1" w:rsidR="00E3302B" w:rsidRPr="00204DBD" w:rsidRDefault="00E3302B" w:rsidP="002B6256">
      <w:pPr>
        <w:jc w:val="both"/>
        <w:rPr>
          <w:highlight w:val="white"/>
        </w:rPr>
      </w:pPr>
      <w:r w:rsidRPr="00204DBD">
        <w:t xml:space="preserve">50- </w:t>
      </w:r>
      <w:proofErr w:type="spellStart"/>
      <w:r w:rsidRPr="00204DBD">
        <w:rPr>
          <w:highlight w:val="white"/>
        </w:rPr>
        <w:t>Veletsianos</w:t>
      </w:r>
      <w:proofErr w:type="spellEnd"/>
      <w:r w:rsidRPr="00204DBD">
        <w:rPr>
          <w:highlight w:val="white"/>
        </w:rPr>
        <w:t xml:space="preserve">, G. (2012). </w:t>
      </w:r>
      <w:proofErr w:type="spellStart"/>
      <w:r w:rsidRPr="00204DBD">
        <w:rPr>
          <w:highlight w:val="white"/>
        </w:rPr>
        <w:t>Higher</w:t>
      </w:r>
      <w:proofErr w:type="spellEnd"/>
      <w:r w:rsidRPr="00204DBD">
        <w:rPr>
          <w:highlight w:val="white"/>
        </w:rPr>
        <w:t xml:space="preserve"> </w:t>
      </w:r>
      <w:proofErr w:type="spellStart"/>
      <w:r w:rsidRPr="00204DBD">
        <w:rPr>
          <w:highlight w:val="white"/>
        </w:rPr>
        <w:t>education</w:t>
      </w:r>
      <w:proofErr w:type="spellEnd"/>
      <w:r w:rsidRPr="00204DBD">
        <w:rPr>
          <w:highlight w:val="white"/>
        </w:rPr>
        <w:t xml:space="preserve"> </w:t>
      </w:r>
      <w:proofErr w:type="spellStart"/>
      <w:r w:rsidRPr="00204DBD">
        <w:rPr>
          <w:highlight w:val="white"/>
        </w:rPr>
        <w:t>scholars</w:t>
      </w:r>
      <w:proofErr w:type="spellEnd"/>
      <w:r w:rsidR="000A70F0">
        <w:rPr>
          <w:highlight w:val="white"/>
        </w:rPr>
        <w:t>’</w:t>
      </w:r>
      <w:r w:rsidRPr="00204DBD">
        <w:rPr>
          <w:highlight w:val="white"/>
        </w:rPr>
        <w:t xml:space="preserve"> </w:t>
      </w:r>
      <w:proofErr w:type="spellStart"/>
      <w:r w:rsidRPr="00204DBD">
        <w:rPr>
          <w:highlight w:val="white"/>
        </w:rPr>
        <w:t>participation</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practices</w:t>
      </w:r>
      <w:proofErr w:type="spellEnd"/>
      <w:r w:rsidRPr="00204DBD">
        <w:rPr>
          <w:highlight w:val="white"/>
        </w:rPr>
        <w:t xml:space="preserve"> on Twitter. </w:t>
      </w:r>
      <w:proofErr w:type="spellStart"/>
      <w:r w:rsidRPr="00204DBD">
        <w:rPr>
          <w:i/>
          <w:highlight w:val="white"/>
        </w:rPr>
        <w:t>Journal</w:t>
      </w:r>
      <w:proofErr w:type="spellEnd"/>
      <w:r w:rsidRPr="00204DBD">
        <w:rPr>
          <w:i/>
          <w:highlight w:val="white"/>
        </w:rPr>
        <w:t xml:space="preserve"> of </w:t>
      </w:r>
      <w:proofErr w:type="spellStart"/>
      <w:r w:rsidRPr="00204DBD">
        <w:rPr>
          <w:i/>
          <w:highlight w:val="white"/>
        </w:rPr>
        <w:t>Computer</w:t>
      </w:r>
      <w:proofErr w:type="spellEnd"/>
      <w:r w:rsidRPr="00204DBD">
        <w:rPr>
          <w:i/>
          <w:highlight w:val="white"/>
        </w:rPr>
        <w:t xml:space="preserve"> </w:t>
      </w:r>
      <w:proofErr w:type="spellStart"/>
      <w:r w:rsidRPr="00204DBD">
        <w:rPr>
          <w:i/>
          <w:highlight w:val="white"/>
        </w:rPr>
        <w:t>Assisted</w:t>
      </w:r>
      <w:proofErr w:type="spellEnd"/>
      <w:r w:rsidRPr="00204DBD">
        <w:rPr>
          <w:i/>
          <w:highlight w:val="white"/>
        </w:rPr>
        <w:t xml:space="preserve"> Learning, 28</w:t>
      </w:r>
      <w:r w:rsidRPr="00204DBD">
        <w:rPr>
          <w:highlight w:val="white"/>
        </w:rPr>
        <w:t>(4), 336–349</w:t>
      </w:r>
    </w:p>
    <w:p w14:paraId="528728A2" w14:textId="3824FCB9" w:rsidR="002604BA" w:rsidRPr="002604BA" w:rsidRDefault="00E3302B" w:rsidP="002B6256">
      <w:pPr>
        <w:contextualSpacing/>
        <w:jc w:val="both"/>
        <w:rPr>
          <w:rFonts w:eastAsia="Calibri"/>
          <w:highlight w:val="white"/>
        </w:rPr>
      </w:pPr>
      <w:r w:rsidRPr="00204DBD">
        <w:rPr>
          <w:highlight w:val="white"/>
        </w:rPr>
        <w:t xml:space="preserve">51-Wahlström, M., </w:t>
      </w:r>
      <w:proofErr w:type="spellStart"/>
      <w:r w:rsidRPr="00204DBD">
        <w:rPr>
          <w:highlight w:val="white"/>
        </w:rPr>
        <w:t>Wennerhag</w:t>
      </w:r>
      <w:proofErr w:type="spellEnd"/>
      <w:r w:rsidRPr="00204DBD">
        <w:rPr>
          <w:highlight w:val="white"/>
        </w:rPr>
        <w:t xml:space="preserve">, M., &amp; </w:t>
      </w:r>
      <w:proofErr w:type="spellStart"/>
      <w:r w:rsidRPr="00204DBD">
        <w:rPr>
          <w:highlight w:val="white"/>
        </w:rPr>
        <w:t>Rootes</w:t>
      </w:r>
      <w:proofErr w:type="spellEnd"/>
      <w:r w:rsidRPr="00204DBD">
        <w:rPr>
          <w:highlight w:val="white"/>
        </w:rPr>
        <w:t xml:space="preserve">, C. (2013). </w:t>
      </w:r>
      <w:proofErr w:type="spellStart"/>
      <w:r w:rsidRPr="00204DBD">
        <w:rPr>
          <w:highlight w:val="white"/>
        </w:rPr>
        <w:t>Framing</w:t>
      </w:r>
      <w:proofErr w:type="spellEnd"/>
      <w:r w:rsidRPr="00204DBD">
        <w:rPr>
          <w:highlight w:val="white"/>
        </w:rPr>
        <w:t xml:space="preserve"> “</w:t>
      </w:r>
      <w:proofErr w:type="spellStart"/>
      <w:r w:rsidRPr="00204DBD">
        <w:rPr>
          <w:highlight w:val="white"/>
        </w:rPr>
        <w:t>The</w:t>
      </w:r>
      <w:proofErr w:type="spellEnd"/>
      <w:r w:rsidRPr="00204DBD">
        <w:rPr>
          <w:highlight w:val="white"/>
        </w:rPr>
        <w:t xml:space="preserve"> </w:t>
      </w:r>
      <w:proofErr w:type="spellStart"/>
      <w:r w:rsidRPr="00204DBD">
        <w:rPr>
          <w:highlight w:val="white"/>
        </w:rPr>
        <w:t>Climate</w:t>
      </w:r>
      <w:proofErr w:type="spellEnd"/>
      <w:r w:rsidRPr="00204DBD">
        <w:rPr>
          <w:highlight w:val="white"/>
        </w:rPr>
        <w:t xml:space="preserve"> </w:t>
      </w:r>
      <w:proofErr w:type="spellStart"/>
      <w:r w:rsidRPr="00204DBD">
        <w:rPr>
          <w:highlight w:val="white"/>
        </w:rPr>
        <w:t>Issue</w:t>
      </w:r>
      <w:proofErr w:type="spellEnd"/>
      <w:r w:rsidRPr="00204DBD">
        <w:rPr>
          <w:highlight w:val="white"/>
        </w:rPr>
        <w:t xml:space="preserve">”: </w:t>
      </w:r>
      <w:proofErr w:type="spellStart"/>
      <w:r w:rsidRPr="00204DBD">
        <w:rPr>
          <w:highlight w:val="white"/>
        </w:rPr>
        <w:t>Patterns</w:t>
      </w:r>
      <w:proofErr w:type="spellEnd"/>
      <w:r w:rsidRPr="00204DBD">
        <w:rPr>
          <w:highlight w:val="white"/>
        </w:rPr>
        <w:t xml:space="preserve"> of </w:t>
      </w:r>
      <w:proofErr w:type="spellStart"/>
      <w:r w:rsidRPr="00204DBD">
        <w:rPr>
          <w:highlight w:val="white"/>
        </w:rPr>
        <w:t>Participation</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Prognostic</w:t>
      </w:r>
      <w:proofErr w:type="spellEnd"/>
      <w:r w:rsidRPr="00204DBD">
        <w:rPr>
          <w:highlight w:val="white"/>
        </w:rPr>
        <w:t xml:space="preserve"> </w:t>
      </w:r>
      <w:proofErr w:type="spellStart"/>
      <w:r w:rsidRPr="00204DBD">
        <w:rPr>
          <w:highlight w:val="white"/>
        </w:rPr>
        <w:t>Frames</w:t>
      </w:r>
      <w:proofErr w:type="spellEnd"/>
      <w:r w:rsidRPr="00204DBD">
        <w:rPr>
          <w:highlight w:val="white"/>
        </w:rPr>
        <w:t xml:space="preserve"> </w:t>
      </w:r>
      <w:proofErr w:type="spellStart"/>
      <w:r w:rsidRPr="00204DBD">
        <w:rPr>
          <w:highlight w:val="white"/>
        </w:rPr>
        <w:t>among</w:t>
      </w:r>
      <w:proofErr w:type="spellEnd"/>
      <w:r w:rsidRPr="00204DBD">
        <w:rPr>
          <w:highlight w:val="white"/>
        </w:rPr>
        <w:t xml:space="preserve"> </w:t>
      </w:r>
      <w:proofErr w:type="spellStart"/>
      <w:r w:rsidRPr="00204DBD">
        <w:rPr>
          <w:highlight w:val="white"/>
        </w:rPr>
        <w:t>Climate</w:t>
      </w:r>
      <w:proofErr w:type="spellEnd"/>
      <w:r w:rsidRPr="00204DBD">
        <w:rPr>
          <w:highlight w:val="white"/>
        </w:rPr>
        <w:t xml:space="preserve"> </w:t>
      </w:r>
      <w:proofErr w:type="spellStart"/>
      <w:r w:rsidRPr="00204DBD">
        <w:rPr>
          <w:highlight w:val="white"/>
        </w:rPr>
        <w:t>Summit</w:t>
      </w:r>
      <w:proofErr w:type="spellEnd"/>
      <w:r w:rsidRPr="00204DBD">
        <w:rPr>
          <w:highlight w:val="white"/>
        </w:rPr>
        <w:t xml:space="preserve"> </w:t>
      </w:r>
      <w:proofErr w:type="spellStart"/>
      <w:r w:rsidRPr="00204DBD">
        <w:rPr>
          <w:highlight w:val="white"/>
        </w:rPr>
        <w:t>Protesters</w:t>
      </w:r>
      <w:proofErr w:type="spellEnd"/>
      <w:r w:rsidRPr="00204DBD">
        <w:rPr>
          <w:highlight w:val="white"/>
        </w:rPr>
        <w:t xml:space="preserve">. Global </w:t>
      </w:r>
      <w:proofErr w:type="spellStart"/>
      <w:r w:rsidRPr="00204DBD">
        <w:rPr>
          <w:highlight w:val="white"/>
        </w:rPr>
        <w:t>Environmental</w:t>
      </w:r>
      <w:proofErr w:type="spellEnd"/>
      <w:r w:rsidRPr="00204DBD">
        <w:rPr>
          <w:highlight w:val="white"/>
        </w:rPr>
        <w:t xml:space="preserve"> </w:t>
      </w:r>
      <w:proofErr w:type="spellStart"/>
      <w:r w:rsidRPr="00204DBD">
        <w:rPr>
          <w:highlight w:val="white"/>
        </w:rPr>
        <w:t>Politics</w:t>
      </w:r>
      <w:proofErr w:type="spellEnd"/>
      <w:r w:rsidRPr="00204DBD">
        <w:rPr>
          <w:highlight w:val="white"/>
        </w:rPr>
        <w:t>, 13(4), 101–122.</w:t>
      </w:r>
    </w:p>
    <w:p w14:paraId="775441FD" w14:textId="77777777" w:rsidR="00E3302B" w:rsidRPr="00204DBD" w:rsidRDefault="00E3302B" w:rsidP="002B6256">
      <w:pPr>
        <w:jc w:val="both"/>
      </w:pPr>
      <w:r w:rsidRPr="00204DBD">
        <w:rPr>
          <w:highlight w:val="white"/>
        </w:rPr>
        <w:t xml:space="preserve">52-Wiggins, B. (2019). </w:t>
      </w:r>
      <w:proofErr w:type="spellStart"/>
      <w:r w:rsidRPr="00204DBD">
        <w:rPr>
          <w:highlight w:val="white"/>
        </w:rPr>
        <w:t>The</w:t>
      </w:r>
      <w:proofErr w:type="spellEnd"/>
      <w:r w:rsidRPr="00204DBD">
        <w:rPr>
          <w:highlight w:val="white"/>
        </w:rPr>
        <w:t xml:space="preserve"> </w:t>
      </w:r>
      <w:proofErr w:type="spellStart"/>
      <w:r w:rsidRPr="00204DBD">
        <w:rPr>
          <w:highlight w:val="white"/>
        </w:rPr>
        <w:t>Discursive</w:t>
      </w:r>
      <w:proofErr w:type="spellEnd"/>
      <w:r w:rsidRPr="00204DBD">
        <w:rPr>
          <w:highlight w:val="white"/>
        </w:rPr>
        <w:t xml:space="preserve"> </w:t>
      </w:r>
      <w:proofErr w:type="spellStart"/>
      <w:r w:rsidRPr="00204DBD">
        <w:rPr>
          <w:highlight w:val="white"/>
        </w:rPr>
        <w:t>Power</w:t>
      </w:r>
      <w:proofErr w:type="spellEnd"/>
      <w:r w:rsidRPr="00204DBD">
        <w:rPr>
          <w:highlight w:val="white"/>
        </w:rPr>
        <w:t xml:space="preserve"> of </w:t>
      </w:r>
      <w:proofErr w:type="spellStart"/>
      <w:r w:rsidRPr="00204DBD">
        <w:rPr>
          <w:highlight w:val="white"/>
        </w:rPr>
        <w:t>Memes</w:t>
      </w:r>
      <w:proofErr w:type="spellEnd"/>
      <w:r w:rsidRPr="00204DBD">
        <w:rPr>
          <w:highlight w:val="white"/>
        </w:rPr>
        <w:t xml:space="preserve"> in </w:t>
      </w:r>
      <w:proofErr w:type="spellStart"/>
      <w:r w:rsidRPr="00204DBD">
        <w:rPr>
          <w:highlight w:val="white"/>
        </w:rPr>
        <w:t>Digital</w:t>
      </w:r>
      <w:proofErr w:type="spellEnd"/>
      <w:r w:rsidRPr="00204DBD">
        <w:rPr>
          <w:highlight w:val="white"/>
        </w:rPr>
        <w:t xml:space="preserve"> </w:t>
      </w:r>
      <w:proofErr w:type="spellStart"/>
      <w:r w:rsidRPr="00204DBD">
        <w:rPr>
          <w:highlight w:val="white"/>
        </w:rPr>
        <w:t>Culture</w:t>
      </w:r>
      <w:proofErr w:type="spellEnd"/>
      <w:r w:rsidRPr="00204DBD">
        <w:rPr>
          <w:highlight w:val="white"/>
        </w:rPr>
        <w:t xml:space="preserve">: </w:t>
      </w:r>
      <w:proofErr w:type="spellStart"/>
      <w:r w:rsidRPr="00204DBD">
        <w:rPr>
          <w:highlight w:val="white"/>
        </w:rPr>
        <w:t>Ideology</w:t>
      </w:r>
      <w:proofErr w:type="spellEnd"/>
      <w:r w:rsidRPr="00204DBD">
        <w:rPr>
          <w:highlight w:val="white"/>
        </w:rPr>
        <w:t xml:space="preserve">, </w:t>
      </w:r>
      <w:proofErr w:type="spellStart"/>
      <w:r w:rsidRPr="00204DBD">
        <w:rPr>
          <w:highlight w:val="white"/>
        </w:rPr>
        <w:t>Semiotics</w:t>
      </w:r>
      <w:proofErr w:type="spellEnd"/>
      <w:r w:rsidRPr="00204DBD">
        <w:rPr>
          <w:highlight w:val="white"/>
        </w:rPr>
        <w:t xml:space="preserve">, </w:t>
      </w:r>
      <w:proofErr w:type="spellStart"/>
      <w:r w:rsidRPr="00204DBD">
        <w:rPr>
          <w:highlight w:val="white"/>
        </w:rPr>
        <w:t>and</w:t>
      </w:r>
      <w:proofErr w:type="spellEnd"/>
      <w:r w:rsidRPr="00204DBD">
        <w:rPr>
          <w:highlight w:val="white"/>
        </w:rPr>
        <w:t xml:space="preserve"> </w:t>
      </w:r>
      <w:proofErr w:type="spellStart"/>
      <w:r w:rsidRPr="00204DBD">
        <w:rPr>
          <w:highlight w:val="white"/>
        </w:rPr>
        <w:t>Intertextuality</w:t>
      </w:r>
      <w:proofErr w:type="spellEnd"/>
      <w:r w:rsidRPr="00204DBD">
        <w:rPr>
          <w:highlight w:val="white"/>
        </w:rPr>
        <w:t xml:space="preserve">. </w:t>
      </w:r>
      <w:proofErr w:type="spellStart"/>
      <w:r w:rsidRPr="00204DBD">
        <w:rPr>
          <w:highlight w:val="white"/>
        </w:rPr>
        <w:t>Routledge</w:t>
      </w:r>
      <w:proofErr w:type="spellEnd"/>
      <w:r w:rsidRPr="00204DBD">
        <w:rPr>
          <w:highlight w:val="white"/>
        </w:rPr>
        <w:t>.</w:t>
      </w:r>
    </w:p>
    <w:p w14:paraId="76747700" w14:textId="1CB87D32" w:rsidR="00204DBD" w:rsidRDefault="00E3302B" w:rsidP="002B6256">
      <w:pPr>
        <w:contextualSpacing/>
        <w:jc w:val="both"/>
        <w:rPr>
          <w:highlight w:val="white"/>
        </w:rPr>
      </w:pPr>
      <w:r w:rsidRPr="00204DBD">
        <w:rPr>
          <w:highlight w:val="white"/>
        </w:rPr>
        <w:t xml:space="preserve">53-Yegen, C. (2014). Bir dijital aktivizm biçimi olarak </w:t>
      </w:r>
      <w:proofErr w:type="spellStart"/>
      <w:r w:rsidRPr="00204DBD">
        <w:rPr>
          <w:highlight w:val="white"/>
        </w:rPr>
        <w:t>slaktivizm</w:t>
      </w:r>
      <w:proofErr w:type="spellEnd"/>
      <w:r w:rsidRPr="00204DBD">
        <w:rPr>
          <w:highlight w:val="white"/>
        </w:rPr>
        <w:t xml:space="preserve">: </w:t>
      </w:r>
      <w:proofErr w:type="spellStart"/>
      <w:r w:rsidRPr="00204DBD">
        <w:rPr>
          <w:highlight w:val="white"/>
        </w:rPr>
        <w:t>Change</w:t>
      </w:r>
      <w:proofErr w:type="spellEnd"/>
      <w:r w:rsidRPr="00204DBD">
        <w:rPr>
          <w:highlight w:val="white"/>
        </w:rPr>
        <w:t xml:space="preserve">. </w:t>
      </w:r>
      <w:r w:rsidR="000A70F0" w:rsidRPr="00204DBD">
        <w:rPr>
          <w:highlight w:val="white"/>
        </w:rPr>
        <w:t>O</w:t>
      </w:r>
      <w:r w:rsidRPr="00204DBD">
        <w:rPr>
          <w:highlight w:val="white"/>
        </w:rPr>
        <w:t xml:space="preserve">rg örneği. </w:t>
      </w:r>
      <w:r w:rsidRPr="00204DBD">
        <w:rPr>
          <w:i/>
          <w:highlight w:val="white"/>
        </w:rPr>
        <w:t>Karadeniz Teknik Üniversitesi İletişim Araştırmaları Dergisi</w:t>
      </w:r>
      <w:r w:rsidRPr="00204DBD">
        <w:rPr>
          <w:highlight w:val="white"/>
        </w:rPr>
        <w:t xml:space="preserve">, </w:t>
      </w:r>
      <w:r w:rsidRPr="00204DBD">
        <w:rPr>
          <w:i/>
          <w:highlight w:val="white"/>
        </w:rPr>
        <w:t>4</w:t>
      </w:r>
      <w:r w:rsidRPr="00204DBD">
        <w:rPr>
          <w:highlight w:val="white"/>
        </w:rPr>
        <w:t>(2), 84-108.</w:t>
      </w:r>
    </w:p>
    <w:p w14:paraId="27C5F495" w14:textId="2B5756E8" w:rsidR="00F84AD5" w:rsidRPr="00FC4D53" w:rsidRDefault="00204DBD" w:rsidP="002B6256">
      <w:pPr>
        <w:autoSpaceDE/>
        <w:autoSpaceDN/>
        <w:rPr>
          <w:highlight w:val="white"/>
        </w:rPr>
      </w:pPr>
      <w:r>
        <w:rPr>
          <w:highlight w:val="white"/>
        </w:rPr>
        <w:br w:type="page"/>
      </w:r>
    </w:p>
    <w:p w14:paraId="423C2B49" w14:textId="77777777" w:rsidR="00F84AD5" w:rsidRPr="00D42316" w:rsidRDefault="00AC051C" w:rsidP="004C7694">
      <w:pPr>
        <w:pStyle w:val="Tark"/>
      </w:pPr>
      <w:bookmarkStart w:id="6" w:name="_Toc192855140"/>
      <w:r w:rsidRPr="00D42316">
        <w:lastRenderedPageBreak/>
        <w:t xml:space="preserve">Düşünce Özgürlüğünün Wilhelm </w:t>
      </w:r>
      <w:proofErr w:type="spellStart"/>
      <w:r w:rsidRPr="00D42316">
        <w:t>von</w:t>
      </w:r>
      <w:proofErr w:type="spellEnd"/>
      <w:r w:rsidRPr="00D42316">
        <w:t xml:space="preserve"> Humboldt’un </w:t>
      </w:r>
      <w:proofErr w:type="spellStart"/>
      <w:r w:rsidRPr="00D42316">
        <w:t>Über</w:t>
      </w:r>
      <w:proofErr w:type="spellEnd"/>
      <w:r w:rsidRPr="00D42316">
        <w:t xml:space="preserve"> </w:t>
      </w:r>
      <w:proofErr w:type="spellStart"/>
      <w:r w:rsidRPr="00D42316">
        <w:t>Religion</w:t>
      </w:r>
      <w:proofErr w:type="spellEnd"/>
      <w:r w:rsidRPr="00D42316">
        <w:t xml:space="preserve"> [Din Üzerine] Fragmanı Üzerinden İncelenmesi</w:t>
      </w:r>
      <w:bookmarkEnd w:id="6"/>
    </w:p>
    <w:p w14:paraId="195577D3" w14:textId="77777777" w:rsidR="00F84AD5" w:rsidRPr="00D42316" w:rsidRDefault="00F84AD5" w:rsidP="000A70F0">
      <w:pPr>
        <w:jc w:val="center"/>
      </w:pPr>
    </w:p>
    <w:p w14:paraId="7EE28721" w14:textId="77777777" w:rsidR="00F84AD5" w:rsidRPr="00D42316" w:rsidRDefault="00AC051C" w:rsidP="000A70F0">
      <w:pPr>
        <w:jc w:val="center"/>
      </w:pPr>
      <w:r w:rsidRPr="00D42316">
        <w:t>Özgün Şerif Sağdıç</w:t>
      </w:r>
      <w:r w:rsidRPr="00D42316">
        <w:br/>
        <w:t>Doktora Öğrencisi, Ankara Üniversitesi, Eğitimin Felsefi, Sosyal ve Tarihi Temelleri</w:t>
      </w:r>
      <w:r w:rsidRPr="00D42316">
        <w:br/>
        <w:t>sagdic@ankara.edu.tr</w:t>
      </w:r>
      <w:r w:rsidRPr="00D42316">
        <w:br/>
        <w:t>0000-0003-4370-0384</w:t>
      </w:r>
    </w:p>
    <w:p w14:paraId="53670701" w14:textId="77777777" w:rsidR="00F84AD5" w:rsidRPr="00D42316" w:rsidRDefault="00F84AD5" w:rsidP="000A70F0">
      <w:pPr>
        <w:jc w:val="both"/>
      </w:pPr>
    </w:p>
    <w:p w14:paraId="3284A1AF" w14:textId="77777777" w:rsidR="00F84AD5" w:rsidRPr="00D42316" w:rsidRDefault="00AC051C" w:rsidP="000A70F0">
      <w:pPr>
        <w:jc w:val="center"/>
        <w:rPr>
          <w:b/>
        </w:rPr>
      </w:pPr>
      <w:r w:rsidRPr="00D42316">
        <w:rPr>
          <w:b/>
        </w:rPr>
        <w:t>Özet</w:t>
      </w:r>
    </w:p>
    <w:p w14:paraId="253B74C4" w14:textId="77777777" w:rsidR="00F84AD5" w:rsidRPr="00D42316" w:rsidRDefault="00AC051C" w:rsidP="000A70F0">
      <w:pPr>
        <w:jc w:val="both"/>
      </w:pPr>
      <w:r w:rsidRPr="00D42316">
        <w:t xml:space="preserve">Humboldt’un felsefi antropolojiyle ilgili sorularını ilk defa ele aldığı </w:t>
      </w:r>
      <w:proofErr w:type="spellStart"/>
      <w:r w:rsidRPr="00D42316">
        <w:rPr>
          <w:i/>
        </w:rPr>
        <w:t>Über</w:t>
      </w:r>
      <w:proofErr w:type="spellEnd"/>
      <w:r w:rsidRPr="00D42316">
        <w:rPr>
          <w:i/>
        </w:rPr>
        <w:t xml:space="preserve"> </w:t>
      </w:r>
      <w:proofErr w:type="spellStart"/>
      <w:r w:rsidRPr="00D42316">
        <w:rPr>
          <w:i/>
        </w:rPr>
        <w:t>Religion</w:t>
      </w:r>
      <w:proofErr w:type="spellEnd"/>
      <w:r w:rsidRPr="00D42316">
        <w:rPr>
          <w:i/>
        </w:rPr>
        <w:t xml:space="preserve"> </w:t>
      </w:r>
      <w:r w:rsidRPr="00D42316">
        <w:t xml:space="preserve">[Din Üzerine-1788/89] fragmanı, onun erken dönem fikirlerini incelemeye olanak sağlamasının yanında din-devlet ilişkisini, devletin düşünce özgürlüğü içerisindeki rolünü, aydınlanma-din ilişkisini ve aydınlanmanın düşünce özgürlüğündeki belirlenimini ele alıyor olması açısından Humboldt’un düşünce dünyasında bir eşik olarak görülebilir. Humboldt’un eğitim düşüncesinin kilit noktasındaki </w:t>
      </w:r>
      <w:proofErr w:type="spellStart"/>
      <w:r w:rsidRPr="00D42316">
        <w:t>Bildung</w:t>
      </w:r>
      <w:proofErr w:type="spellEnd"/>
      <w:r w:rsidRPr="00D42316">
        <w:t xml:space="preserve"> kavramının teolojik bir içerikte, ruhun kusursuzlaşması eylemi olarak “kendi kendini eğitme” sloganıyla özdeşleşerek bireysel bir gelişime karşılık geldiği savunulmuştur. Bu iddia, Humboldt’un eğitimin toplumsal boyutlarına daha az değindiği ilk dönem (1800 öncesi) çalışmalarına dayansa da </w:t>
      </w:r>
      <w:proofErr w:type="spellStart"/>
      <w:r w:rsidRPr="00D42316">
        <w:rPr>
          <w:i/>
        </w:rPr>
        <w:t>Über</w:t>
      </w:r>
      <w:proofErr w:type="spellEnd"/>
      <w:r w:rsidRPr="00D42316">
        <w:rPr>
          <w:i/>
        </w:rPr>
        <w:t xml:space="preserve"> </w:t>
      </w:r>
      <w:proofErr w:type="spellStart"/>
      <w:r w:rsidRPr="00D42316">
        <w:rPr>
          <w:i/>
        </w:rPr>
        <w:t>Religion</w:t>
      </w:r>
      <w:proofErr w:type="spellEnd"/>
      <w:r w:rsidRPr="00D42316">
        <w:rPr>
          <w:i/>
        </w:rPr>
        <w:t>,</w:t>
      </w:r>
      <w:r w:rsidRPr="00D42316">
        <w:t xml:space="preserve"> Humboldt’un eşitlikçi bakış açısını yansıtmakla aydınlanma görüşlerinin ilk filizlendiği çalışması olarak bu görüşün karşısında yer almaktadır. Bu çalışma, bu fragman çerçevesinde Humboldt’un düşünce özgürlüğü-aydınlanma-din ilişkilerini nasıl kurguladığına dair felsefi bir analiz sunmayı amaçlamaktadır. Bu eksende, Humboldt’un sonraki çalışmalarında kritik rol oynayan özgürlük ve eşitlik temalarının temellerinin nasıl atıldığı sorusuna cevap aranacaktır. Araştırma yöntemi olarak nitel araştırma yöntemlerinden olan </w:t>
      </w:r>
      <w:proofErr w:type="gramStart"/>
      <w:r w:rsidRPr="00D42316">
        <w:t>doküman</w:t>
      </w:r>
      <w:proofErr w:type="gramEnd"/>
      <w:r w:rsidRPr="00D42316">
        <w:t xml:space="preserve"> analizi kullanılmıştır. Araştırmanın yürütülmesi için araştırma sorusu odağındaki ana literatür ve yardımcı literatür birlikte ele alınarak metinler birbirleriyle karşılaştırılacak ve ana literatüre göre tutarlılıkları sorgulanacaktır. </w:t>
      </w:r>
      <w:proofErr w:type="spellStart"/>
      <w:r w:rsidRPr="00D42316">
        <w:rPr>
          <w:i/>
        </w:rPr>
        <w:t>Über</w:t>
      </w:r>
      <w:proofErr w:type="spellEnd"/>
      <w:r w:rsidRPr="00D42316">
        <w:rPr>
          <w:i/>
        </w:rPr>
        <w:t xml:space="preserve"> </w:t>
      </w:r>
      <w:proofErr w:type="spellStart"/>
      <w:r w:rsidRPr="00D42316">
        <w:rPr>
          <w:i/>
        </w:rPr>
        <w:t>Religion</w:t>
      </w:r>
      <w:proofErr w:type="spellEnd"/>
      <w:r w:rsidRPr="00D42316">
        <w:t xml:space="preserve">, liberalizmin gelişiminde kritik rol oynayan, Humboldt’un siyaset kuramının izlenebildiği </w:t>
      </w:r>
      <w:r w:rsidRPr="00D42316">
        <w:rPr>
          <w:i/>
        </w:rPr>
        <w:t>Devlet Faaliyetinin Sınırları</w:t>
      </w:r>
      <w:r w:rsidRPr="00D42316">
        <w:t xml:space="preserve"> (1792) eserindeki devletin konumuyla ilgili düşüncelerine temel oluşturmaktadır. Bu yönleriyle incelenmeye değer </w:t>
      </w:r>
      <w:proofErr w:type="gramStart"/>
      <w:r w:rsidRPr="00D42316">
        <w:t>olan  bu</w:t>
      </w:r>
      <w:proofErr w:type="gramEnd"/>
      <w:r w:rsidRPr="00D42316">
        <w:t xml:space="preserve"> fragman, Türkçe literatürde ilk defa bütüncül halde ele alınacaktır. Humboldt, devletin, bireylerin dini inançlarında herhangi bir tasarrufu olamayacağının yanı sıra öznel bir mesele olarak dinin bireyin özgür düşünmesine aykırı olamayacağını belirtmektedir. Yasa koyucu, bireylerin özgür araştırma ruhunu teşvik etmek ve bireyleri dini fikirlerle tanıştırmaktan öteye gidemez. Aksi durumda, yasa koyucunun belirli fikirleri himayesine alarak kendi otoritesine inanç talep etmesi ruhun güçlerinin ilerlemesine mâni olacaktır. </w:t>
      </w:r>
      <w:proofErr w:type="spellStart"/>
      <w:r w:rsidRPr="00D42316">
        <w:rPr>
          <w:i/>
        </w:rPr>
        <w:t>Über</w:t>
      </w:r>
      <w:proofErr w:type="spellEnd"/>
      <w:r w:rsidRPr="00D42316">
        <w:rPr>
          <w:i/>
        </w:rPr>
        <w:t xml:space="preserve"> </w:t>
      </w:r>
      <w:proofErr w:type="spellStart"/>
      <w:r w:rsidRPr="00D42316">
        <w:rPr>
          <w:i/>
        </w:rPr>
        <w:t>Religion</w:t>
      </w:r>
      <w:r w:rsidRPr="00D42316">
        <w:t>’u</w:t>
      </w:r>
      <w:proofErr w:type="spellEnd"/>
      <w:r w:rsidRPr="00D42316">
        <w:t xml:space="preserve"> Humboldt’un düşünce özgürlüğünü radikal şekilde baskılayan, dönemin katı bir yasasına karşı aydınlanmacılarının yanında yer alma amacıyla yazdığını da dikkate alarak çalışma, bu bulgular ışığında bir felsefi tartışmayla sonlandırılacaktır.</w:t>
      </w:r>
    </w:p>
    <w:p w14:paraId="74FB53E6" w14:textId="77777777" w:rsidR="00F84AD5" w:rsidRPr="00D42316" w:rsidRDefault="00F84AD5" w:rsidP="000A70F0">
      <w:pPr>
        <w:jc w:val="both"/>
      </w:pPr>
    </w:p>
    <w:p w14:paraId="68CE9072" w14:textId="47FB124F" w:rsidR="00FC4D53" w:rsidRDefault="00AC051C" w:rsidP="000A70F0">
      <w:pPr>
        <w:jc w:val="both"/>
      </w:pPr>
      <w:r w:rsidRPr="00D42316">
        <w:rPr>
          <w:b/>
        </w:rPr>
        <w:t xml:space="preserve">Anahtar </w:t>
      </w:r>
      <w:r w:rsidR="006719DD" w:rsidRPr="00D42316">
        <w:rPr>
          <w:b/>
        </w:rPr>
        <w:t>Kelimeler</w:t>
      </w:r>
      <w:r w:rsidRPr="00D42316">
        <w:rPr>
          <w:b/>
        </w:rPr>
        <w:t>:</w:t>
      </w:r>
      <w:r w:rsidRPr="00D42316">
        <w:t xml:space="preserve"> Aydınlanma, Din, Düşünce özgürlüğü, Wilhelm </w:t>
      </w:r>
      <w:proofErr w:type="spellStart"/>
      <w:r w:rsidRPr="00D42316">
        <w:t>von</w:t>
      </w:r>
      <w:proofErr w:type="spellEnd"/>
      <w:r w:rsidRPr="00D42316">
        <w:t xml:space="preserve"> Humboldt.</w:t>
      </w:r>
    </w:p>
    <w:p w14:paraId="35D1A63E" w14:textId="6C512F14" w:rsidR="00FC4D53" w:rsidRPr="00D42316" w:rsidRDefault="00FC4D53" w:rsidP="000A70F0">
      <w:pPr>
        <w:autoSpaceDE/>
        <w:autoSpaceDN/>
      </w:pPr>
      <w:r>
        <w:br w:type="page"/>
      </w:r>
    </w:p>
    <w:p w14:paraId="4A23499A" w14:textId="77777777" w:rsidR="00F84AD5" w:rsidRPr="00D42316" w:rsidRDefault="00AC051C" w:rsidP="004C7694">
      <w:pPr>
        <w:pStyle w:val="Tark"/>
      </w:pPr>
      <w:bookmarkStart w:id="7" w:name="_Toc192855141"/>
      <w:r w:rsidRPr="00D42316">
        <w:lastRenderedPageBreak/>
        <w:t>Siber Suç Farkındalığı: Üniversite Öğrencileri Arasında Siber Zorbalık İçin Bir Kalkan mı Katalizör mü?</w:t>
      </w:r>
      <w:bookmarkEnd w:id="7"/>
    </w:p>
    <w:p w14:paraId="10F9EAC1" w14:textId="77777777" w:rsidR="000A70F0" w:rsidRDefault="000A70F0" w:rsidP="000A70F0">
      <w:pPr>
        <w:widowControl/>
        <w:pBdr>
          <w:top w:val="nil"/>
          <w:left w:val="nil"/>
          <w:bottom w:val="nil"/>
          <w:right w:val="nil"/>
          <w:between w:val="nil"/>
        </w:pBdr>
        <w:jc w:val="center"/>
        <w:rPr>
          <w:color w:val="000000"/>
        </w:rPr>
      </w:pPr>
    </w:p>
    <w:p w14:paraId="6704E0CA" w14:textId="53377114" w:rsidR="006719DD" w:rsidRPr="00D42316" w:rsidRDefault="00AC051C" w:rsidP="000A70F0">
      <w:pPr>
        <w:widowControl/>
        <w:pBdr>
          <w:top w:val="nil"/>
          <w:left w:val="nil"/>
          <w:bottom w:val="nil"/>
          <w:right w:val="nil"/>
          <w:between w:val="nil"/>
        </w:pBdr>
        <w:jc w:val="center"/>
        <w:rPr>
          <w:color w:val="000000"/>
        </w:rPr>
      </w:pPr>
      <w:r w:rsidRPr="00D42316">
        <w:rPr>
          <w:color w:val="000000"/>
        </w:rPr>
        <w:t xml:space="preserve">Şahin </w:t>
      </w:r>
      <w:proofErr w:type="spellStart"/>
      <w:r w:rsidRPr="00D42316">
        <w:rPr>
          <w:color w:val="000000"/>
        </w:rPr>
        <w:t>Bayzan</w:t>
      </w:r>
      <w:proofErr w:type="spellEnd"/>
      <w:r w:rsidRPr="00D42316">
        <w:rPr>
          <w:color w:val="000000"/>
        </w:rPr>
        <w:t>,</w:t>
      </w:r>
    </w:p>
    <w:p w14:paraId="403D83AC" w14:textId="43A176F2" w:rsidR="008B5439" w:rsidRPr="00D42316" w:rsidRDefault="008B5439" w:rsidP="000A70F0">
      <w:pPr>
        <w:widowControl/>
        <w:pBdr>
          <w:top w:val="nil"/>
          <w:left w:val="nil"/>
          <w:bottom w:val="nil"/>
          <w:right w:val="nil"/>
          <w:between w:val="nil"/>
        </w:pBdr>
        <w:jc w:val="center"/>
        <w:rPr>
          <w:color w:val="000000"/>
        </w:rPr>
      </w:pPr>
      <w:r w:rsidRPr="00D42316">
        <w:rPr>
          <w:color w:val="000000"/>
        </w:rPr>
        <w:t>0000-0002-5610-0006</w:t>
      </w:r>
    </w:p>
    <w:p w14:paraId="46CB7B7A" w14:textId="37F800A5" w:rsidR="00F84AD5" w:rsidRPr="00D42316" w:rsidRDefault="00AC051C" w:rsidP="000A70F0">
      <w:pPr>
        <w:widowControl/>
        <w:pBdr>
          <w:top w:val="nil"/>
          <w:left w:val="nil"/>
          <w:bottom w:val="nil"/>
          <w:right w:val="nil"/>
          <w:between w:val="nil"/>
        </w:pBdr>
        <w:jc w:val="center"/>
        <w:rPr>
          <w:color w:val="000000"/>
        </w:rPr>
      </w:pPr>
      <w:r w:rsidRPr="00D42316">
        <w:rPr>
          <w:color w:val="000000"/>
        </w:rPr>
        <w:t xml:space="preserve">Dilek </w:t>
      </w:r>
      <w:proofErr w:type="spellStart"/>
      <w:r w:rsidRPr="00D42316">
        <w:rPr>
          <w:color w:val="000000"/>
        </w:rPr>
        <w:t>Uludaşdemir</w:t>
      </w:r>
      <w:proofErr w:type="spellEnd"/>
    </w:p>
    <w:p w14:paraId="00944D30" w14:textId="750FF4AB" w:rsidR="006719DD" w:rsidRPr="00D42316" w:rsidRDefault="006719DD" w:rsidP="000A70F0">
      <w:pPr>
        <w:widowControl/>
        <w:pBdr>
          <w:top w:val="nil"/>
          <w:left w:val="nil"/>
          <w:bottom w:val="nil"/>
          <w:right w:val="nil"/>
          <w:between w:val="nil"/>
        </w:pBdr>
        <w:jc w:val="center"/>
        <w:rPr>
          <w:color w:val="000000"/>
        </w:rPr>
      </w:pPr>
      <w:r w:rsidRPr="00D42316">
        <w:rPr>
          <w:color w:val="000000"/>
        </w:rPr>
        <w:t>Ankara Yıldırım Beyazıt Üniversitesi</w:t>
      </w:r>
    </w:p>
    <w:p w14:paraId="19914A59" w14:textId="17FD1414" w:rsidR="008B5439" w:rsidRPr="00D42316" w:rsidRDefault="008B5439" w:rsidP="000A70F0">
      <w:pPr>
        <w:widowControl/>
        <w:pBdr>
          <w:top w:val="nil"/>
          <w:left w:val="nil"/>
          <w:bottom w:val="nil"/>
          <w:right w:val="nil"/>
          <w:between w:val="nil"/>
        </w:pBdr>
        <w:jc w:val="center"/>
        <w:rPr>
          <w:color w:val="000000"/>
        </w:rPr>
      </w:pPr>
      <w:hyperlink r:id="rId32" w:history="1">
        <w:r w:rsidRPr="00D42316">
          <w:rPr>
            <w:rStyle w:val="Kpr"/>
          </w:rPr>
          <w:t>d.uludasdemir@gmail.com</w:t>
        </w:r>
      </w:hyperlink>
    </w:p>
    <w:p w14:paraId="1DC27296" w14:textId="04398E6C" w:rsidR="008B5439" w:rsidRDefault="008B5439" w:rsidP="000A70F0">
      <w:pPr>
        <w:widowControl/>
        <w:pBdr>
          <w:top w:val="nil"/>
          <w:left w:val="nil"/>
          <w:bottom w:val="nil"/>
          <w:right w:val="nil"/>
          <w:between w:val="nil"/>
        </w:pBdr>
        <w:jc w:val="center"/>
        <w:rPr>
          <w:color w:val="000000"/>
        </w:rPr>
      </w:pPr>
      <w:r w:rsidRPr="00D42316">
        <w:rPr>
          <w:color w:val="000000"/>
        </w:rPr>
        <w:t>0000-0002-2910-2110</w:t>
      </w:r>
    </w:p>
    <w:p w14:paraId="385B6B14" w14:textId="77777777" w:rsidR="000A70F0" w:rsidRPr="00D42316" w:rsidRDefault="000A70F0" w:rsidP="000A70F0">
      <w:pPr>
        <w:widowControl/>
        <w:pBdr>
          <w:top w:val="nil"/>
          <w:left w:val="nil"/>
          <w:bottom w:val="nil"/>
          <w:right w:val="nil"/>
          <w:between w:val="nil"/>
        </w:pBdr>
        <w:jc w:val="center"/>
        <w:rPr>
          <w:color w:val="000000"/>
        </w:rPr>
      </w:pPr>
    </w:p>
    <w:p w14:paraId="074CCBB1" w14:textId="77777777" w:rsidR="00F84AD5" w:rsidRPr="009F0AE3" w:rsidRDefault="00AC051C" w:rsidP="000A70F0">
      <w:pPr>
        <w:jc w:val="center"/>
        <w:rPr>
          <w:b/>
          <w:bCs/>
        </w:rPr>
      </w:pPr>
      <w:r w:rsidRPr="009F0AE3">
        <w:rPr>
          <w:b/>
          <w:bCs/>
        </w:rPr>
        <w:t>Özet</w:t>
      </w:r>
    </w:p>
    <w:p w14:paraId="282F0D02" w14:textId="77777777" w:rsidR="00F84AD5" w:rsidRPr="00D42316" w:rsidRDefault="00AC051C" w:rsidP="000A70F0">
      <w:pPr>
        <w:widowControl/>
        <w:pBdr>
          <w:top w:val="nil"/>
          <w:left w:val="nil"/>
          <w:bottom w:val="nil"/>
          <w:right w:val="nil"/>
          <w:between w:val="nil"/>
        </w:pBdr>
        <w:jc w:val="both"/>
        <w:rPr>
          <w:color w:val="000000"/>
        </w:rPr>
      </w:pPr>
      <w:r w:rsidRPr="00D42316">
        <w:rPr>
          <w:b/>
          <w:color w:val="000000"/>
        </w:rPr>
        <w:t xml:space="preserve">Amaç: </w:t>
      </w:r>
      <w:r w:rsidRPr="00D42316">
        <w:rPr>
          <w:color w:val="000000"/>
        </w:rPr>
        <w:t xml:space="preserve">Bu çalışmanın amacı, üniversite öğrencilerinde siber suç farkındalığı ile siber zorbalık durumları arasındaki ilişkiyi ve bu durumların </w:t>
      </w:r>
      <w:proofErr w:type="spellStart"/>
      <w:r w:rsidRPr="00D42316">
        <w:rPr>
          <w:color w:val="000000"/>
        </w:rPr>
        <w:t>sosyo</w:t>
      </w:r>
      <w:proofErr w:type="spellEnd"/>
      <w:r w:rsidRPr="00D42316">
        <w:rPr>
          <w:color w:val="000000"/>
        </w:rPr>
        <w:t>-demografik değişkenlere göre farklılaşıp farklılaşmadığını belirlemektir.</w:t>
      </w:r>
    </w:p>
    <w:p w14:paraId="3012D90C" w14:textId="77777777" w:rsidR="00F84AD5" w:rsidRPr="00D42316" w:rsidRDefault="00AC051C" w:rsidP="000A70F0">
      <w:pPr>
        <w:widowControl/>
        <w:pBdr>
          <w:top w:val="nil"/>
          <w:left w:val="nil"/>
          <w:bottom w:val="nil"/>
          <w:right w:val="nil"/>
          <w:between w:val="nil"/>
        </w:pBdr>
        <w:jc w:val="both"/>
        <w:rPr>
          <w:color w:val="000000"/>
        </w:rPr>
      </w:pPr>
      <w:r w:rsidRPr="00D42316">
        <w:rPr>
          <w:b/>
          <w:color w:val="000000"/>
        </w:rPr>
        <w:t xml:space="preserve">Yöntem: </w:t>
      </w:r>
      <w:r w:rsidRPr="00D42316">
        <w:rPr>
          <w:color w:val="000000"/>
        </w:rPr>
        <w:t xml:space="preserve">Bu çalışmada Nicel araştırma yaklaşımlarından </w:t>
      </w:r>
      <w:proofErr w:type="spellStart"/>
      <w:r w:rsidRPr="00D42316">
        <w:rPr>
          <w:color w:val="000000"/>
        </w:rPr>
        <w:t>yordayıcı</w:t>
      </w:r>
      <w:proofErr w:type="spellEnd"/>
      <w:r w:rsidRPr="00D42316">
        <w:rPr>
          <w:color w:val="000000"/>
        </w:rPr>
        <w:t xml:space="preserve"> korelasyonel araştırma modelinin kullanıldığı bu çalışma, 2023-2024 akademik yılında Türkiye'deki devlet üniversitelerinde öğrenim gören ve çalışmaya gönüllü olarak katılan 2860 üniversite öğrencisi ile yürütülmüştür. Veriler </w:t>
      </w:r>
      <w:proofErr w:type="spellStart"/>
      <w:r w:rsidRPr="00D42316">
        <w:rPr>
          <w:color w:val="000000"/>
        </w:rPr>
        <w:t>sosyo</w:t>
      </w:r>
      <w:proofErr w:type="spellEnd"/>
      <w:r w:rsidRPr="00D42316">
        <w:rPr>
          <w:color w:val="000000"/>
        </w:rPr>
        <w:t>-demografik özellikler veri formu, Siber Suç Farkındalık Ölçeği (CAS) ve Üniversite Öğrencileri için Gözden Geçirilmiş Siber Zorbalık Envanteri ölçeği kullanılarak toplanmıştır. Veri analizi tanımlayıcı istatistikler (kategorik değişkenler için frekans ve yüzde; sürekli veriler için ortalama ve standart sapma), Cronbach alfa, bağımsız örneklem t-testi, tek yönlü varyans analizi (ANOVA), basit doğrusal korelasyon analizi ve regresyon analizini içermektedir. İstatistiksel anlamlılık düzeyi p&lt;</w:t>
      </w:r>
      <w:proofErr w:type="gramStart"/>
      <w:r w:rsidRPr="00D42316">
        <w:rPr>
          <w:color w:val="000000"/>
        </w:rPr>
        <w:t>0.05</w:t>
      </w:r>
      <w:proofErr w:type="gramEnd"/>
      <w:r w:rsidRPr="00D42316">
        <w:rPr>
          <w:color w:val="000000"/>
        </w:rPr>
        <w:t xml:space="preserve"> olarak kabul edilmiştir.</w:t>
      </w:r>
    </w:p>
    <w:p w14:paraId="5E1D7A99" w14:textId="16925618" w:rsidR="00F84AD5" w:rsidRPr="00D42316" w:rsidRDefault="00AC051C" w:rsidP="000A70F0">
      <w:pPr>
        <w:widowControl/>
        <w:pBdr>
          <w:top w:val="nil"/>
          <w:left w:val="nil"/>
          <w:bottom w:val="nil"/>
          <w:right w:val="nil"/>
          <w:between w:val="nil"/>
        </w:pBdr>
        <w:jc w:val="both"/>
        <w:rPr>
          <w:color w:val="000000"/>
        </w:rPr>
      </w:pPr>
      <w:r w:rsidRPr="00D42316">
        <w:rPr>
          <w:b/>
          <w:color w:val="000000"/>
        </w:rPr>
        <w:t xml:space="preserve">Bulgular: </w:t>
      </w:r>
      <w:r w:rsidRPr="00D42316">
        <w:rPr>
          <w:color w:val="000000"/>
        </w:rPr>
        <w:t xml:space="preserve">Çalışmaya katılan öğrencilerin %63,3'ü kadın, %36,7'si erkektir. Öğrencilerin %46,0'sı eğitimleri süresince yurtta kaldıklarını ve %49,5'i günde 2-3 saat sosyal medya kullandıklarını belirtmişlerdir. Araştırma bulgularına göre, üniversite öğrencilerinin siber suç farkındalık ve siber zorbalık puanları cinsiyet, yaş, yaşanılan yer ve anne-baba eğitim düzeyine göre anlamlı bir farklılık gösterirken, sınıf düzeyine göre anlamlı bir farklılık göstermemektedir. Sosyal medyada geçirilen zaman öğrencilerin siber suç farkındalığı üzerinde anlamlı bir fark yaratmazken, siber zorbalık ve siber mağduriyet puanları üzerinde istatistiksel olarak anlamlı bir etkiye sahiptir. Ayrıca, öğrencilerin siber suç farkındalığı ile siber zorbalık düzeyleri arasında düşük ancak anlamlı bir ilişki bulunmuştur. Analizler, siber suç farkındalığı alt faktörlerinin siber zorbalık düzeylerindeki değişimin %2'sini açıkladığını göstermektedir. Bu alt faktörler arasında gizlilik ve güvenlik farkındalığı siber zorbalık üzerinde anlamlı bir etkiye sahiptir. Özellikle, gizlilik ve güvenlik farkındalığındaki bir standart </w:t>
      </w:r>
      <w:proofErr w:type="spellStart"/>
      <w:r w:rsidRPr="00D42316">
        <w:rPr>
          <w:color w:val="000000"/>
        </w:rPr>
        <w:t>sapmalık</w:t>
      </w:r>
      <w:proofErr w:type="spellEnd"/>
      <w:r w:rsidRPr="00D42316">
        <w:rPr>
          <w:color w:val="000000"/>
        </w:rPr>
        <w:t xml:space="preserve"> artış, siber zorbalık düzeyinde 0,11 standart </w:t>
      </w:r>
      <w:proofErr w:type="spellStart"/>
      <w:r w:rsidRPr="00D42316">
        <w:rPr>
          <w:color w:val="000000"/>
        </w:rPr>
        <w:t>sapmalık</w:t>
      </w:r>
      <w:proofErr w:type="spellEnd"/>
      <w:r w:rsidRPr="00D42316">
        <w:rPr>
          <w:color w:val="000000"/>
        </w:rPr>
        <w:t xml:space="preserve"> bir düşüşe yol açmaktadır.</w:t>
      </w:r>
    </w:p>
    <w:p w14:paraId="36C12DBA" w14:textId="71A4AA36" w:rsidR="00FC4D53" w:rsidRDefault="00AC051C" w:rsidP="000A70F0">
      <w:pPr>
        <w:widowControl/>
        <w:pBdr>
          <w:top w:val="nil"/>
          <w:left w:val="nil"/>
          <w:bottom w:val="nil"/>
          <w:right w:val="nil"/>
          <w:between w:val="nil"/>
        </w:pBdr>
        <w:jc w:val="both"/>
        <w:rPr>
          <w:color w:val="000000"/>
        </w:rPr>
      </w:pPr>
      <w:r w:rsidRPr="00D42316">
        <w:rPr>
          <w:b/>
          <w:color w:val="000000"/>
        </w:rPr>
        <w:t>Sonuç:</w:t>
      </w:r>
      <w:r w:rsidRPr="00D42316">
        <w:rPr>
          <w:color w:val="000000"/>
        </w:rPr>
        <w:t xml:space="preserve"> Üniversite öğrencilerinin siber zorbalık düzeyleri ile siber suç farkındalığı arasında anlamlı bir ilişki vardır. Çevrimiçi gizlilik ve güvenlik farkındalığının artırılmasının siber zorbalığın azaltılmasında etkili olduğu tespit edilmiştir. Buna göre, öğrencilerin siber suç farkındalığının artırılması siber zorbalığın önlenmesinde önemli bir çözüm olarak düşünülebilir. Bu bağlamda, siber suç farkındalığı, üniversite öğrencileri için koruyucu bir kalkan işlevi görebilir</w:t>
      </w:r>
    </w:p>
    <w:p w14:paraId="450EA035" w14:textId="0CD43B79" w:rsidR="002C3918" w:rsidRPr="00FC4D53" w:rsidRDefault="00FC4D53" w:rsidP="000A70F0">
      <w:pPr>
        <w:autoSpaceDE/>
        <w:autoSpaceDN/>
        <w:rPr>
          <w:color w:val="000000"/>
        </w:rPr>
      </w:pPr>
      <w:r>
        <w:rPr>
          <w:color w:val="000000"/>
        </w:rPr>
        <w:br w:type="page"/>
      </w:r>
    </w:p>
    <w:p w14:paraId="11985FF9" w14:textId="77777777" w:rsidR="00F84AD5" w:rsidRDefault="00AC051C" w:rsidP="004C7694">
      <w:pPr>
        <w:pStyle w:val="Tark"/>
      </w:pPr>
      <w:bookmarkStart w:id="8" w:name="_Toc192855142"/>
      <w:proofErr w:type="spellStart"/>
      <w:r w:rsidRPr="00D42316">
        <w:lastRenderedPageBreak/>
        <w:t>Cybercrime</w:t>
      </w:r>
      <w:proofErr w:type="spellEnd"/>
      <w:r w:rsidRPr="00D42316">
        <w:t xml:space="preserve"> </w:t>
      </w:r>
      <w:proofErr w:type="spellStart"/>
      <w:r w:rsidRPr="00D42316">
        <w:t>Awareness</w:t>
      </w:r>
      <w:proofErr w:type="spellEnd"/>
      <w:r w:rsidRPr="00D42316">
        <w:t xml:space="preserve">: A </w:t>
      </w:r>
      <w:proofErr w:type="spellStart"/>
      <w:r w:rsidRPr="00D42316">
        <w:t>Shield</w:t>
      </w:r>
      <w:proofErr w:type="spellEnd"/>
      <w:r w:rsidRPr="00D42316">
        <w:t xml:space="preserve"> </w:t>
      </w:r>
      <w:proofErr w:type="spellStart"/>
      <w:r w:rsidRPr="00D42316">
        <w:t>or</w:t>
      </w:r>
      <w:proofErr w:type="spellEnd"/>
      <w:r w:rsidRPr="00D42316">
        <w:t xml:space="preserve"> </w:t>
      </w:r>
      <w:proofErr w:type="spellStart"/>
      <w:r w:rsidRPr="00D42316">
        <w:t>Catalyst</w:t>
      </w:r>
      <w:proofErr w:type="spellEnd"/>
      <w:r w:rsidRPr="00D42316">
        <w:t xml:space="preserve"> </w:t>
      </w:r>
      <w:proofErr w:type="spellStart"/>
      <w:r w:rsidRPr="00D42316">
        <w:t>for</w:t>
      </w:r>
      <w:proofErr w:type="spellEnd"/>
      <w:r w:rsidRPr="00D42316">
        <w:t xml:space="preserve"> </w:t>
      </w:r>
      <w:proofErr w:type="spellStart"/>
      <w:r w:rsidRPr="00D42316">
        <w:t>Cyberbullying</w:t>
      </w:r>
      <w:proofErr w:type="spellEnd"/>
      <w:r w:rsidRPr="00D42316">
        <w:t xml:space="preserve"> </w:t>
      </w:r>
      <w:proofErr w:type="spellStart"/>
      <w:r w:rsidRPr="00D42316">
        <w:t>Among</w:t>
      </w:r>
      <w:proofErr w:type="spellEnd"/>
      <w:r w:rsidRPr="00D42316">
        <w:t xml:space="preserve"> </w:t>
      </w:r>
      <w:proofErr w:type="spellStart"/>
      <w:r w:rsidRPr="00D42316">
        <w:t>University</w:t>
      </w:r>
      <w:proofErr w:type="spellEnd"/>
      <w:r w:rsidRPr="00D42316">
        <w:t xml:space="preserve"> </w:t>
      </w:r>
      <w:proofErr w:type="spellStart"/>
      <w:r w:rsidRPr="00D42316">
        <w:t>Students</w:t>
      </w:r>
      <w:proofErr w:type="spellEnd"/>
      <w:r w:rsidRPr="00D42316">
        <w:t>?</w:t>
      </w:r>
      <w:bookmarkEnd w:id="8"/>
    </w:p>
    <w:p w14:paraId="3EE08656" w14:textId="77777777" w:rsidR="000A70F0" w:rsidRPr="000A70F0" w:rsidRDefault="000A70F0" w:rsidP="000A70F0">
      <w:pPr>
        <w:pStyle w:val="Metin"/>
      </w:pPr>
    </w:p>
    <w:p w14:paraId="6413E4B2" w14:textId="77777777" w:rsidR="008B5439" w:rsidRPr="00D42316" w:rsidRDefault="008B5439" w:rsidP="000A70F0">
      <w:pPr>
        <w:widowControl/>
        <w:pBdr>
          <w:top w:val="nil"/>
          <w:left w:val="nil"/>
          <w:bottom w:val="nil"/>
          <w:right w:val="nil"/>
          <w:between w:val="nil"/>
        </w:pBdr>
        <w:jc w:val="center"/>
        <w:rPr>
          <w:color w:val="000000"/>
        </w:rPr>
      </w:pPr>
      <w:r w:rsidRPr="00D42316">
        <w:rPr>
          <w:color w:val="000000"/>
        </w:rPr>
        <w:t xml:space="preserve">Şahin </w:t>
      </w:r>
      <w:proofErr w:type="spellStart"/>
      <w:r w:rsidRPr="00D42316">
        <w:rPr>
          <w:color w:val="000000"/>
        </w:rPr>
        <w:t>Bayzan</w:t>
      </w:r>
      <w:proofErr w:type="spellEnd"/>
      <w:r w:rsidRPr="00D42316">
        <w:rPr>
          <w:color w:val="000000"/>
        </w:rPr>
        <w:t>,</w:t>
      </w:r>
    </w:p>
    <w:p w14:paraId="2071D2EC" w14:textId="54407A71" w:rsidR="008B5439" w:rsidRPr="00D42316" w:rsidRDefault="008B5439" w:rsidP="000A70F0">
      <w:pPr>
        <w:widowControl/>
        <w:pBdr>
          <w:top w:val="nil"/>
          <w:left w:val="nil"/>
          <w:bottom w:val="nil"/>
          <w:right w:val="nil"/>
          <w:between w:val="nil"/>
        </w:pBdr>
        <w:jc w:val="center"/>
        <w:rPr>
          <w:color w:val="000000"/>
        </w:rPr>
      </w:pPr>
      <w:r w:rsidRPr="00D42316">
        <w:rPr>
          <w:color w:val="000000"/>
        </w:rPr>
        <w:t>0000-0002-5610-0006</w:t>
      </w:r>
    </w:p>
    <w:p w14:paraId="63EE512D" w14:textId="77777777" w:rsidR="00487EF1" w:rsidRPr="00D42316" w:rsidRDefault="00487EF1" w:rsidP="000A70F0">
      <w:pPr>
        <w:widowControl/>
        <w:pBdr>
          <w:top w:val="nil"/>
          <w:left w:val="nil"/>
          <w:bottom w:val="nil"/>
          <w:right w:val="nil"/>
          <w:between w:val="nil"/>
        </w:pBdr>
        <w:jc w:val="center"/>
        <w:rPr>
          <w:color w:val="000000"/>
        </w:rPr>
      </w:pPr>
    </w:p>
    <w:p w14:paraId="2D3D159C" w14:textId="77777777" w:rsidR="008B5439" w:rsidRPr="00D42316" w:rsidRDefault="008B5439" w:rsidP="000A70F0">
      <w:pPr>
        <w:widowControl/>
        <w:pBdr>
          <w:top w:val="nil"/>
          <w:left w:val="nil"/>
          <w:bottom w:val="nil"/>
          <w:right w:val="nil"/>
          <w:between w:val="nil"/>
        </w:pBdr>
        <w:jc w:val="center"/>
        <w:rPr>
          <w:color w:val="000000"/>
        </w:rPr>
      </w:pPr>
      <w:r w:rsidRPr="00D42316">
        <w:rPr>
          <w:color w:val="000000"/>
        </w:rPr>
        <w:t xml:space="preserve">Dilek </w:t>
      </w:r>
      <w:proofErr w:type="spellStart"/>
      <w:r w:rsidRPr="00D42316">
        <w:rPr>
          <w:color w:val="000000"/>
        </w:rPr>
        <w:t>Uludaşdemir</w:t>
      </w:r>
      <w:proofErr w:type="spellEnd"/>
    </w:p>
    <w:p w14:paraId="1B72BB38" w14:textId="77777777" w:rsidR="008B5439" w:rsidRPr="00D42316" w:rsidRDefault="008B5439" w:rsidP="000A70F0">
      <w:pPr>
        <w:widowControl/>
        <w:pBdr>
          <w:top w:val="nil"/>
          <w:left w:val="nil"/>
          <w:bottom w:val="nil"/>
          <w:right w:val="nil"/>
          <w:between w:val="nil"/>
        </w:pBdr>
        <w:jc w:val="center"/>
        <w:rPr>
          <w:color w:val="000000"/>
        </w:rPr>
      </w:pPr>
      <w:r w:rsidRPr="00D42316">
        <w:rPr>
          <w:color w:val="000000"/>
        </w:rPr>
        <w:t>Ankara Yıldırım Beyazıt Üniversitesi</w:t>
      </w:r>
    </w:p>
    <w:p w14:paraId="1B851A01" w14:textId="77777777" w:rsidR="008B5439" w:rsidRPr="00D42316" w:rsidRDefault="008B5439" w:rsidP="000A70F0">
      <w:pPr>
        <w:widowControl/>
        <w:pBdr>
          <w:top w:val="nil"/>
          <w:left w:val="nil"/>
          <w:bottom w:val="nil"/>
          <w:right w:val="nil"/>
          <w:between w:val="nil"/>
        </w:pBdr>
        <w:jc w:val="center"/>
        <w:rPr>
          <w:color w:val="000000"/>
        </w:rPr>
      </w:pPr>
      <w:hyperlink r:id="rId33" w:history="1">
        <w:r w:rsidRPr="00D42316">
          <w:rPr>
            <w:rStyle w:val="Kpr"/>
          </w:rPr>
          <w:t>d.uludasdemir@gmail.com</w:t>
        </w:r>
      </w:hyperlink>
    </w:p>
    <w:p w14:paraId="5C4356DA" w14:textId="77777777" w:rsidR="008B5439" w:rsidRPr="00D42316" w:rsidRDefault="008B5439" w:rsidP="000A70F0">
      <w:pPr>
        <w:widowControl/>
        <w:pBdr>
          <w:top w:val="nil"/>
          <w:left w:val="nil"/>
          <w:bottom w:val="nil"/>
          <w:right w:val="nil"/>
          <w:between w:val="nil"/>
        </w:pBdr>
        <w:jc w:val="center"/>
        <w:rPr>
          <w:color w:val="000000"/>
        </w:rPr>
      </w:pPr>
      <w:r w:rsidRPr="00D42316">
        <w:rPr>
          <w:color w:val="000000"/>
        </w:rPr>
        <w:t>0000-0002-2910-2110</w:t>
      </w:r>
    </w:p>
    <w:p w14:paraId="769242A6" w14:textId="77777777" w:rsidR="008B5439" w:rsidRPr="00D42316" w:rsidRDefault="008B5439" w:rsidP="000A70F0">
      <w:pPr>
        <w:widowControl/>
        <w:pBdr>
          <w:top w:val="nil"/>
          <w:left w:val="nil"/>
          <w:bottom w:val="nil"/>
          <w:right w:val="nil"/>
          <w:between w:val="nil"/>
        </w:pBdr>
        <w:jc w:val="center"/>
        <w:rPr>
          <w:b/>
          <w:color w:val="000000"/>
        </w:rPr>
      </w:pPr>
    </w:p>
    <w:p w14:paraId="1DA67EFE" w14:textId="77777777" w:rsidR="00F84AD5" w:rsidRPr="009F0AE3" w:rsidRDefault="00AC051C" w:rsidP="000A70F0">
      <w:pPr>
        <w:jc w:val="center"/>
        <w:rPr>
          <w:b/>
          <w:bCs/>
        </w:rPr>
      </w:pPr>
      <w:proofErr w:type="spellStart"/>
      <w:r w:rsidRPr="009F0AE3">
        <w:rPr>
          <w:b/>
          <w:bCs/>
        </w:rPr>
        <w:t>Abstract</w:t>
      </w:r>
      <w:proofErr w:type="spellEnd"/>
    </w:p>
    <w:p w14:paraId="17629E35" w14:textId="77777777" w:rsidR="00F84AD5" w:rsidRPr="00D42316" w:rsidRDefault="00AC051C" w:rsidP="000A70F0">
      <w:pPr>
        <w:jc w:val="both"/>
      </w:pPr>
      <w:proofErr w:type="spellStart"/>
      <w:r w:rsidRPr="00D42316">
        <w:rPr>
          <w:b/>
        </w:rPr>
        <w:t>Objective</w:t>
      </w:r>
      <w:proofErr w:type="spellEnd"/>
      <w:r w:rsidRPr="00D42316">
        <w:rPr>
          <w:b/>
        </w:rPr>
        <w:t xml:space="preserve">: </w:t>
      </w:r>
      <w:proofErr w:type="spellStart"/>
      <w:r w:rsidRPr="00D42316">
        <w:t>The</w:t>
      </w:r>
      <w:proofErr w:type="spellEnd"/>
      <w:r w:rsidRPr="00D42316">
        <w:t xml:space="preserve"> </w:t>
      </w:r>
      <w:proofErr w:type="spellStart"/>
      <w:r w:rsidRPr="00D42316">
        <w:t>aim</w:t>
      </w:r>
      <w:proofErr w:type="spellEnd"/>
      <w:r w:rsidRPr="00D42316">
        <w:t xml:space="preserve"> of </w:t>
      </w:r>
      <w:proofErr w:type="spellStart"/>
      <w:r w:rsidRPr="00D42316">
        <w:t>this</w:t>
      </w:r>
      <w:proofErr w:type="spellEnd"/>
      <w:r w:rsidRPr="00D42316">
        <w:t xml:space="preserve"> </w:t>
      </w:r>
      <w:proofErr w:type="spellStart"/>
      <w:r w:rsidRPr="00D42316">
        <w:t>study</w:t>
      </w:r>
      <w:proofErr w:type="spellEnd"/>
      <w:r w:rsidRPr="00D42316">
        <w:t xml:space="preserve"> is </w:t>
      </w:r>
      <w:proofErr w:type="spellStart"/>
      <w:r w:rsidRPr="00D42316">
        <w:t>to</w:t>
      </w:r>
      <w:proofErr w:type="spellEnd"/>
      <w:r w:rsidRPr="00D42316">
        <w:t xml:space="preserve"> </w:t>
      </w:r>
      <w:proofErr w:type="spellStart"/>
      <w:r w:rsidRPr="00D42316">
        <w:t>determine</w:t>
      </w:r>
      <w:proofErr w:type="spellEnd"/>
      <w:r w:rsidRPr="00D42316">
        <w:t xml:space="preserve"> </w:t>
      </w:r>
      <w:proofErr w:type="spellStart"/>
      <w:r w:rsidRPr="00D42316">
        <w:t>the</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and</w:t>
      </w:r>
      <w:proofErr w:type="spellEnd"/>
      <w:r w:rsidRPr="00D42316">
        <w:t xml:space="preserve"> </w:t>
      </w:r>
      <w:proofErr w:type="spellStart"/>
      <w:r w:rsidRPr="00D42316">
        <w:t>cyberbullying</w:t>
      </w:r>
      <w:proofErr w:type="spellEnd"/>
      <w:r w:rsidRPr="00D42316">
        <w:t xml:space="preserve"> </w:t>
      </w:r>
      <w:proofErr w:type="spellStart"/>
      <w:r w:rsidRPr="00D42316">
        <w:t>situations</w:t>
      </w:r>
      <w:proofErr w:type="spellEnd"/>
      <w:r w:rsidRPr="00D42316">
        <w:t xml:space="preserve"> </w:t>
      </w:r>
      <w:proofErr w:type="spellStart"/>
      <w:r w:rsidRPr="00D42316">
        <w:t>among</w:t>
      </w:r>
      <w:proofErr w:type="spellEnd"/>
      <w:r w:rsidRPr="00D42316">
        <w:t xml:space="preserve"> </w:t>
      </w:r>
      <w:proofErr w:type="spellStart"/>
      <w:r w:rsidRPr="00D42316">
        <w:t>university</w:t>
      </w:r>
      <w:proofErr w:type="spellEnd"/>
      <w:r w:rsidRPr="00D42316">
        <w:t xml:space="preserve"> </w:t>
      </w:r>
      <w:proofErr w:type="spellStart"/>
      <w:r w:rsidRPr="00D42316">
        <w:t>students</w:t>
      </w:r>
      <w:proofErr w:type="spellEnd"/>
      <w:r w:rsidRPr="00D42316">
        <w:t xml:space="preserve"> </w:t>
      </w:r>
      <w:proofErr w:type="spellStart"/>
      <w:r w:rsidRPr="00D42316">
        <w:t>and</w:t>
      </w:r>
      <w:proofErr w:type="spellEnd"/>
      <w:r w:rsidRPr="00D42316">
        <w:t xml:space="preserve"> </w:t>
      </w:r>
      <w:proofErr w:type="spellStart"/>
      <w:r w:rsidRPr="00D42316">
        <w:t>whether</w:t>
      </w:r>
      <w:proofErr w:type="spellEnd"/>
      <w:r w:rsidRPr="00D42316">
        <w:t xml:space="preserve"> </w:t>
      </w:r>
      <w:proofErr w:type="spellStart"/>
      <w:r w:rsidRPr="00D42316">
        <w:t>these</w:t>
      </w:r>
      <w:proofErr w:type="spellEnd"/>
      <w:r w:rsidRPr="00D42316">
        <w:t xml:space="preserve"> </w:t>
      </w:r>
      <w:proofErr w:type="spellStart"/>
      <w:r w:rsidRPr="00D42316">
        <w:t>situations</w:t>
      </w:r>
      <w:proofErr w:type="spellEnd"/>
      <w:r w:rsidRPr="00D42316">
        <w:t xml:space="preserve"> </w:t>
      </w:r>
      <w:proofErr w:type="spellStart"/>
      <w:r w:rsidRPr="00D42316">
        <w:t>differ</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socio-demographic</w:t>
      </w:r>
      <w:proofErr w:type="spellEnd"/>
      <w:r w:rsidRPr="00D42316">
        <w:t xml:space="preserve"> </w:t>
      </w:r>
      <w:proofErr w:type="spellStart"/>
      <w:r w:rsidRPr="00D42316">
        <w:t>variables</w:t>
      </w:r>
      <w:proofErr w:type="spellEnd"/>
      <w:r w:rsidRPr="00D42316">
        <w:t>.</w:t>
      </w:r>
    </w:p>
    <w:p w14:paraId="3D5C191E" w14:textId="06FD8AB9" w:rsidR="00F84AD5" w:rsidRPr="00D42316" w:rsidRDefault="00AC051C" w:rsidP="000A70F0">
      <w:pPr>
        <w:jc w:val="both"/>
      </w:pPr>
      <w:proofErr w:type="spellStart"/>
      <w:r w:rsidRPr="00D42316">
        <w:rPr>
          <w:b/>
        </w:rPr>
        <w:t>Method</w:t>
      </w:r>
      <w:proofErr w:type="spellEnd"/>
      <w:r w:rsidRPr="00D42316">
        <w:rPr>
          <w:b/>
        </w:rPr>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which</w:t>
      </w:r>
      <w:proofErr w:type="spellEnd"/>
      <w:r w:rsidRPr="00D42316">
        <w:t xml:space="preserve"> </w:t>
      </w:r>
      <w:proofErr w:type="spellStart"/>
      <w:r w:rsidRPr="00D42316">
        <w:t>used</w:t>
      </w:r>
      <w:proofErr w:type="spellEnd"/>
      <w:r w:rsidRPr="00D42316">
        <w:t xml:space="preserve"> </w:t>
      </w:r>
      <w:proofErr w:type="spellStart"/>
      <w:r w:rsidRPr="00D42316">
        <w:t>the</w:t>
      </w:r>
      <w:proofErr w:type="spellEnd"/>
      <w:r w:rsidRPr="00D42316">
        <w:t xml:space="preserve"> </w:t>
      </w:r>
      <w:proofErr w:type="spellStart"/>
      <w:r w:rsidRPr="00D42316">
        <w:t>predictive</w:t>
      </w:r>
      <w:proofErr w:type="spellEnd"/>
      <w:r w:rsidRPr="00D42316">
        <w:t xml:space="preserve"> </w:t>
      </w:r>
      <w:proofErr w:type="spellStart"/>
      <w:r w:rsidRPr="00D42316">
        <w:t>correlational</w:t>
      </w:r>
      <w:proofErr w:type="spellEnd"/>
      <w:r w:rsidRPr="00D42316">
        <w:t xml:space="preserve"> </w:t>
      </w:r>
      <w:proofErr w:type="spellStart"/>
      <w:r w:rsidRPr="00D42316">
        <w:t>research</w:t>
      </w:r>
      <w:proofErr w:type="spellEnd"/>
      <w:r w:rsidRPr="00D42316">
        <w:t xml:space="preserve"> model </w:t>
      </w:r>
      <w:proofErr w:type="spellStart"/>
      <w:r w:rsidRPr="00D42316">
        <w:t>from</w:t>
      </w:r>
      <w:proofErr w:type="spellEnd"/>
      <w:r w:rsidRPr="00D42316">
        <w:t xml:space="preserve"> </w:t>
      </w:r>
      <w:proofErr w:type="spellStart"/>
      <w:r w:rsidRPr="00D42316">
        <w:t>quantitative</w:t>
      </w:r>
      <w:proofErr w:type="spellEnd"/>
      <w:r w:rsidRPr="00D42316">
        <w:t xml:space="preserve"> </w:t>
      </w:r>
      <w:proofErr w:type="spellStart"/>
      <w:r w:rsidRPr="00D42316">
        <w:t>research</w:t>
      </w:r>
      <w:proofErr w:type="spellEnd"/>
      <w:r w:rsidRPr="00D42316">
        <w:t xml:space="preserve"> </w:t>
      </w:r>
      <w:proofErr w:type="spellStart"/>
      <w:r w:rsidRPr="00D42316">
        <w:t>approaches</w:t>
      </w:r>
      <w:proofErr w:type="spellEnd"/>
      <w:r w:rsidRPr="00D42316">
        <w:t xml:space="preserve">, </w:t>
      </w:r>
      <w:proofErr w:type="spellStart"/>
      <w:r w:rsidRPr="00D42316">
        <w:t>was</w:t>
      </w:r>
      <w:proofErr w:type="spellEnd"/>
      <w:r w:rsidRPr="00D42316">
        <w:t xml:space="preserve"> </w:t>
      </w:r>
      <w:proofErr w:type="spellStart"/>
      <w:r w:rsidRPr="00D42316">
        <w:t>conducted</w:t>
      </w:r>
      <w:proofErr w:type="spellEnd"/>
      <w:r w:rsidRPr="00D42316">
        <w:t xml:space="preserve"> </w:t>
      </w:r>
      <w:proofErr w:type="spellStart"/>
      <w:r w:rsidRPr="00D42316">
        <w:t>with</w:t>
      </w:r>
      <w:proofErr w:type="spellEnd"/>
      <w:r w:rsidRPr="00D42316">
        <w:t xml:space="preserve"> 2860 </w:t>
      </w:r>
      <w:proofErr w:type="spellStart"/>
      <w:r w:rsidRPr="00D42316">
        <w:t>university</w:t>
      </w:r>
      <w:proofErr w:type="spellEnd"/>
      <w:r w:rsidRPr="00D42316">
        <w:t xml:space="preserve"> </w:t>
      </w:r>
      <w:proofErr w:type="spellStart"/>
      <w:r w:rsidRPr="00D42316">
        <w:t>students</w:t>
      </w:r>
      <w:proofErr w:type="spellEnd"/>
      <w:r w:rsidRPr="00D42316">
        <w:t xml:space="preserve"> </w:t>
      </w:r>
      <w:proofErr w:type="spellStart"/>
      <w:r w:rsidRPr="00D42316">
        <w:t>who</w:t>
      </w:r>
      <w:proofErr w:type="spellEnd"/>
      <w:r w:rsidRPr="00D42316">
        <w:t xml:space="preserve"> </w:t>
      </w:r>
      <w:proofErr w:type="spellStart"/>
      <w:r w:rsidRPr="00D42316">
        <w:t>were</w:t>
      </w:r>
      <w:proofErr w:type="spellEnd"/>
      <w:r w:rsidRPr="00D42316">
        <w:t xml:space="preserve"> </w:t>
      </w:r>
      <w:proofErr w:type="spellStart"/>
      <w:r w:rsidRPr="00D42316">
        <w:t>studying</w:t>
      </w:r>
      <w:proofErr w:type="spellEnd"/>
      <w:r w:rsidRPr="00D42316">
        <w:t xml:space="preserve"> at </w:t>
      </w:r>
      <w:proofErr w:type="spellStart"/>
      <w:r w:rsidRPr="00D42316">
        <w:t>state</w:t>
      </w:r>
      <w:proofErr w:type="spellEnd"/>
      <w:r w:rsidRPr="00D42316">
        <w:t xml:space="preserve"> </w:t>
      </w:r>
      <w:proofErr w:type="spellStart"/>
      <w:r w:rsidRPr="00D42316">
        <w:t>universities</w:t>
      </w:r>
      <w:proofErr w:type="spellEnd"/>
      <w:r w:rsidRPr="00D42316">
        <w:t xml:space="preserve"> in </w:t>
      </w:r>
      <w:proofErr w:type="spellStart"/>
      <w:r w:rsidRPr="00D42316">
        <w:t>Turkey</w:t>
      </w:r>
      <w:proofErr w:type="spellEnd"/>
      <w:r w:rsidRPr="00D42316">
        <w:t xml:space="preserve"> in </w:t>
      </w:r>
      <w:proofErr w:type="spellStart"/>
      <w:r w:rsidRPr="00D42316">
        <w:t>the</w:t>
      </w:r>
      <w:proofErr w:type="spellEnd"/>
      <w:r w:rsidRPr="00D42316">
        <w:t xml:space="preserve"> 2023-2024 </w:t>
      </w:r>
      <w:proofErr w:type="spellStart"/>
      <w:r w:rsidRPr="00D42316">
        <w:t>academic</w:t>
      </w:r>
      <w:proofErr w:type="spellEnd"/>
      <w:r w:rsidRPr="00D42316">
        <w:t xml:space="preserve"> </w:t>
      </w:r>
      <w:proofErr w:type="spellStart"/>
      <w:r w:rsidRPr="00D42316">
        <w:t>year</w:t>
      </w:r>
      <w:proofErr w:type="spellEnd"/>
      <w:r w:rsidRPr="00D42316">
        <w:t xml:space="preserve"> </w:t>
      </w:r>
      <w:proofErr w:type="spellStart"/>
      <w:r w:rsidRPr="00D42316">
        <w:t>and</w:t>
      </w:r>
      <w:proofErr w:type="spellEnd"/>
      <w:r w:rsidRPr="00D42316">
        <w:t xml:space="preserve"> </w:t>
      </w:r>
      <w:proofErr w:type="spellStart"/>
      <w:r w:rsidRPr="00D42316">
        <w:t>who</w:t>
      </w:r>
      <w:proofErr w:type="spellEnd"/>
      <w:r w:rsidRPr="00D42316">
        <w:t xml:space="preserve"> </w:t>
      </w:r>
      <w:proofErr w:type="spellStart"/>
      <w:r w:rsidRPr="00D42316">
        <w:t>voluntarily</w:t>
      </w:r>
      <w:proofErr w:type="spellEnd"/>
      <w:r w:rsidRPr="00D42316">
        <w:t xml:space="preserve"> </w:t>
      </w:r>
      <w:proofErr w:type="spellStart"/>
      <w:r w:rsidRPr="00D42316">
        <w:t>participated</w:t>
      </w:r>
      <w:proofErr w:type="spellEnd"/>
      <w:r w:rsidRPr="00D42316">
        <w:t xml:space="preserve"> in </w:t>
      </w:r>
      <w:proofErr w:type="spellStart"/>
      <w:r w:rsidRPr="00D42316">
        <w:t>the</w:t>
      </w:r>
      <w:proofErr w:type="spellEnd"/>
      <w:r w:rsidRPr="00D42316">
        <w:t xml:space="preserve"> </w:t>
      </w:r>
      <w:proofErr w:type="spellStart"/>
      <w:r w:rsidRPr="00D42316">
        <w:t>study</w:t>
      </w:r>
      <w:proofErr w:type="spellEnd"/>
      <w:r w:rsidRPr="00D42316">
        <w:t xml:space="preserve">. </w:t>
      </w:r>
      <w:proofErr w:type="gramStart"/>
      <w:r w:rsidRPr="00D42316">
        <w:t>Data</w:t>
      </w:r>
      <w:proofErr w:type="gramEnd"/>
      <w:r w:rsidRPr="00D42316">
        <w:t xml:space="preserve"> </w:t>
      </w:r>
      <w:proofErr w:type="spellStart"/>
      <w:r w:rsidRPr="00D42316">
        <w:t>were</w:t>
      </w:r>
      <w:proofErr w:type="spellEnd"/>
      <w:r w:rsidRPr="00D42316">
        <w:t xml:space="preserve"> </w:t>
      </w:r>
      <w:proofErr w:type="spellStart"/>
      <w:r w:rsidRPr="00D42316">
        <w:t>collected</w:t>
      </w:r>
      <w:proofErr w:type="spellEnd"/>
      <w:r w:rsidRPr="00D42316">
        <w:t xml:space="preserve"> </w:t>
      </w:r>
      <w:proofErr w:type="spellStart"/>
      <w:r w:rsidRPr="00D42316">
        <w:t>using</w:t>
      </w:r>
      <w:proofErr w:type="spellEnd"/>
      <w:r w:rsidRPr="00D42316">
        <w:t xml:space="preserve"> </w:t>
      </w:r>
      <w:proofErr w:type="spellStart"/>
      <w:r w:rsidRPr="00D42316">
        <w:t>the</w:t>
      </w:r>
      <w:proofErr w:type="spellEnd"/>
      <w:r w:rsidRPr="00D42316">
        <w:t xml:space="preserve"> </w:t>
      </w:r>
      <w:proofErr w:type="spellStart"/>
      <w:r w:rsidRPr="00D42316">
        <w:t>socio-demographic</w:t>
      </w:r>
      <w:proofErr w:type="spellEnd"/>
      <w:r w:rsidRPr="00D42316">
        <w:t xml:space="preserve"> </w:t>
      </w:r>
      <w:proofErr w:type="spellStart"/>
      <w:r w:rsidRPr="00D42316">
        <w:t>characteristics</w:t>
      </w:r>
      <w:proofErr w:type="spellEnd"/>
      <w:r w:rsidRPr="00D42316">
        <w:t xml:space="preserve"> data form, </w:t>
      </w:r>
      <w:proofErr w:type="spellStart"/>
      <w:r w:rsidRPr="00D42316">
        <w:t>the</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Scale</w:t>
      </w:r>
      <w:proofErr w:type="spellEnd"/>
      <w:r w:rsidRPr="00D42316">
        <w:t xml:space="preserve"> (CAS),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Revised</w:t>
      </w:r>
      <w:proofErr w:type="spellEnd"/>
      <w:r w:rsidRPr="00D42316">
        <w:t xml:space="preserve"> </w:t>
      </w:r>
      <w:proofErr w:type="spellStart"/>
      <w:r w:rsidRPr="00D42316">
        <w:t>Cyberbullying</w:t>
      </w:r>
      <w:proofErr w:type="spellEnd"/>
      <w:r w:rsidRPr="00D42316">
        <w:t xml:space="preserve"> Inventory </w:t>
      </w:r>
      <w:proofErr w:type="spellStart"/>
      <w:r w:rsidRPr="00D42316">
        <w:t>for</w:t>
      </w:r>
      <w:proofErr w:type="spellEnd"/>
      <w:r w:rsidRPr="00D42316">
        <w:t xml:space="preserve"> </w:t>
      </w:r>
      <w:proofErr w:type="spellStart"/>
      <w:r w:rsidRPr="00D42316">
        <w:t>University</w:t>
      </w:r>
      <w:proofErr w:type="spellEnd"/>
      <w:r w:rsidRPr="00D42316">
        <w:t xml:space="preserve"> </w:t>
      </w:r>
      <w:proofErr w:type="spellStart"/>
      <w:r w:rsidRPr="00D42316">
        <w:t>Students</w:t>
      </w:r>
      <w:proofErr w:type="spellEnd"/>
      <w:r w:rsidRPr="00D42316">
        <w:t xml:space="preserve"> </w:t>
      </w:r>
      <w:proofErr w:type="spellStart"/>
      <w:r w:rsidRPr="00D42316">
        <w:t>scale</w:t>
      </w:r>
      <w:proofErr w:type="spellEnd"/>
      <w:r w:rsidRPr="00D42316">
        <w:t xml:space="preserve">.  </w:t>
      </w:r>
      <w:proofErr w:type="gramStart"/>
      <w:r w:rsidRPr="00D42316">
        <w:t>Data</w:t>
      </w:r>
      <w:proofErr w:type="gramEnd"/>
      <w:r w:rsidRPr="00D42316">
        <w:t xml:space="preserve"> </w:t>
      </w:r>
      <w:proofErr w:type="spellStart"/>
      <w:r w:rsidRPr="00D42316">
        <w:t>analysis</w:t>
      </w:r>
      <w:proofErr w:type="spellEnd"/>
      <w:r w:rsidRPr="00D42316">
        <w:t xml:space="preserve"> </w:t>
      </w:r>
      <w:proofErr w:type="spellStart"/>
      <w:r w:rsidRPr="00D42316">
        <w:t>included</w:t>
      </w:r>
      <w:proofErr w:type="spellEnd"/>
      <w:r w:rsidRPr="00D42316">
        <w:t xml:space="preserve"> </w:t>
      </w:r>
      <w:proofErr w:type="spellStart"/>
      <w:r w:rsidRPr="00D42316">
        <w:t>descriptive</w:t>
      </w:r>
      <w:proofErr w:type="spellEnd"/>
      <w:r w:rsidRPr="00D42316">
        <w:t xml:space="preserve"> </w:t>
      </w:r>
      <w:proofErr w:type="spellStart"/>
      <w:r w:rsidRPr="00D42316">
        <w:t>statistics</w:t>
      </w:r>
      <w:proofErr w:type="spellEnd"/>
      <w:r w:rsidRPr="00D42316">
        <w:t xml:space="preserve"> (</w:t>
      </w:r>
      <w:proofErr w:type="spellStart"/>
      <w:r w:rsidRPr="00D42316">
        <w:t>frequency</w:t>
      </w:r>
      <w:proofErr w:type="spellEnd"/>
      <w:r w:rsidRPr="00D42316">
        <w:t xml:space="preserve"> </w:t>
      </w:r>
      <w:proofErr w:type="spellStart"/>
      <w:r w:rsidRPr="00D42316">
        <w:t>and</w:t>
      </w:r>
      <w:proofErr w:type="spellEnd"/>
      <w:r w:rsidRPr="00D42316">
        <w:t xml:space="preserve"> </w:t>
      </w:r>
      <w:proofErr w:type="spellStart"/>
      <w:r w:rsidRPr="00D42316">
        <w:t>percentage</w:t>
      </w:r>
      <w:proofErr w:type="spellEnd"/>
      <w:r w:rsidRPr="00D42316">
        <w:t xml:space="preserve"> </w:t>
      </w:r>
      <w:proofErr w:type="spellStart"/>
      <w:r w:rsidRPr="00D42316">
        <w:t>for</w:t>
      </w:r>
      <w:proofErr w:type="spellEnd"/>
      <w:r w:rsidRPr="00D42316">
        <w:t xml:space="preserve"> </w:t>
      </w:r>
      <w:proofErr w:type="spellStart"/>
      <w:r w:rsidRPr="00D42316">
        <w:t>categorical</w:t>
      </w:r>
      <w:proofErr w:type="spellEnd"/>
      <w:r w:rsidRPr="00D42316">
        <w:t xml:space="preserve"> </w:t>
      </w:r>
      <w:proofErr w:type="spellStart"/>
      <w:r w:rsidRPr="00D42316">
        <w:t>variables</w:t>
      </w:r>
      <w:proofErr w:type="spellEnd"/>
      <w:r w:rsidRPr="00D42316">
        <w:t xml:space="preserve">; </w:t>
      </w:r>
      <w:proofErr w:type="spellStart"/>
      <w:r w:rsidRPr="00D42316">
        <w:t>mean</w:t>
      </w:r>
      <w:proofErr w:type="spellEnd"/>
      <w:r w:rsidRPr="00D42316">
        <w:t xml:space="preserve"> </w:t>
      </w:r>
      <w:proofErr w:type="spellStart"/>
      <w:r w:rsidRPr="00D42316">
        <w:t>and</w:t>
      </w:r>
      <w:proofErr w:type="spellEnd"/>
      <w:r w:rsidRPr="00D42316">
        <w:t xml:space="preserve"> </w:t>
      </w:r>
      <w:proofErr w:type="spellStart"/>
      <w:r w:rsidRPr="00D42316">
        <w:t>standard</w:t>
      </w:r>
      <w:proofErr w:type="spellEnd"/>
      <w:r w:rsidRPr="00D42316">
        <w:t xml:space="preserve"> </w:t>
      </w:r>
      <w:proofErr w:type="spellStart"/>
      <w:r w:rsidRPr="00D42316">
        <w:t>deviation</w:t>
      </w:r>
      <w:proofErr w:type="spellEnd"/>
      <w:r w:rsidRPr="00D42316">
        <w:t xml:space="preserve"> </w:t>
      </w:r>
      <w:proofErr w:type="spellStart"/>
      <w:r w:rsidRPr="00D42316">
        <w:t>for</w:t>
      </w:r>
      <w:proofErr w:type="spellEnd"/>
      <w:r w:rsidRPr="00D42316">
        <w:t xml:space="preserve"> </w:t>
      </w:r>
      <w:proofErr w:type="spellStart"/>
      <w:r w:rsidRPr="00D42316">
        <w:t>continuous</w:t>
      </w:r>
      <w:proofErr w:type="spellEnd"/>
      <w:r w:rsidRPr="00D42316">
        <w:t xml:space="preserve"> data), </w:t>
      </w:r>
      <w:proofErr w:type="spellStart"/>
      <w:r w:rsidRPr="00D42316">
        <w:t>Cronbach's</w:t>
      </w:r>
      <w:proofErr w:type="spellEnd"/>
      <w:r w:rsidRPr="00D42316">
        <w:t xml:space="preserve"> </w:t>
      </w:r>
      <w:proofErr w:type="spellStart"/>
      <w:r w:rsidRPr="00D42316">
        <w:t>alpha</w:t>
      </w:r>
      <w:proofErr w:type="spellEnd"/>
      <w:r w:rsidRPr="00D42316">
        <w:t xml:space="preserve">, </w:t>
      </w:r>
      <w:proofErr w:type="spellStart"/>
      <w:r w:rsidRPr="00D42316">
        <w:t>independent</w:t>
      </w:r>
      <w:proofErr w:type="spellEnd"/>
      <w:r w:rsidRPr="00D42316">
        <w:t xml:space="preserve"> </w:t>
      </w:r>
      <w:proofErr w:type="spellStart"/>
      <w:r w:rsidRPr="00D42316">
        <w:t>samples</w:t>
      </w:r>
      <w:proofErr w:type="spellEnd"/>
      <w:r w:rsidRPr="00D42316">
        <w:t xml:space="preserve"> t-test, </w:t>
      </w:r>
      <w:proofErr w:type="spellStart"/>
      <w:r w:rsidRPr="00D42316">
        <w:t>one-way</w:t>
      </w:r>
      <w:proofErr w:type="spellEnd"/>
      <w:r w:rsidRPr="00D42316">
        <w:t xml:space="preserve"> </w:t>
      </w:r>
      <w:proofErr w:type="spellStart"/>
      <w:r w:rsidRPr="00D42316">
        <w:t>analysis</w:t>
      </w:r>
      <w:proofErr w:type="spellEnd"/>
      <w:r w:rsidRPr="00D42316">
        <w:t xml:space="preserve"> of </w:t>
      </w:r>
      <w:proofErr w:type="spellStart"/>
      <w:r w:rsidRPr="00D42316">
        <w:t>variance</w:t>
      </w:r>
      <w:proofErr w:type="spellEnd"/>
      <w:r w:rsidRPr="00D42316">
        <w:t xml:space="preserve"> (ANOVA), </w:t>
      </w:r>
      <w:proofErr w:type="spellStart"/>
      <w:r w:rsidRPr="00D42316">
        <w:t>simple</w:t>
      </w:r>
      <w:proofErr w:type="spellEnd"/>
      <w:r w:rsidRPr="00D42316">
        <w:t xml:space="preserve"> </w:t>
      </w:r>
      <w:proofErr w:type="spellStart"/>
      <w:r w:rsidRPr="00D42316">
        <w:t>linear</w:t>
      </w:r>
      <w:proofErr w:type="spellEnd"/>
      <w:r w:rsidRPr="00D42316">
        <w:t xml:space="preserve"> </w:t>
      </w:r>
      <w:proofErr w:type="spellStart"/>
      <w:r w:rsidRPr="00D42316">
        <w:t>correlation</w:t>
      </w:r>
      <w:proofErr w:type="spellEnd"/>
      <w:r w:rsidRPr="00D42316">
        <w:t xml:space="preserve"> </w:t>
      </w:r>
      <w:proofErr w:type="spellStart"/>
      <w:r w:rsidRPr="00D42316">
        <w:t>analysis</w:t>
      </w:r>
      <w:proofErr w:type="spellEnd"/>
      <w:r w:rsidRPr="00D42316">
        <w:t xml:space="preserve"> </w:t>
      </w:r>
      <w:proofErr w:type="spellStart"/>
      <w:r w:rsidRPr="00D42316">
        <w:t>and</w:t>
      </w:r>
      <w:proofErr w:type="spellEnd"/>
      <w:r w:rsidRPr="00D42316">
        <w:t xml:space="preserve"> </w:t>
      </w:r>
      <w:proofErr w:type="spellStart"/>
      <w:r w:rsidRPr="00D42316">
        <w:t>regression</w:t>
      </w:r>
      <w:proofErr w:type="spellEnd"/>
      <w:r w:rsidRPr="00D42316">
        <w:t xml:space="preserve"> </w:t>
      </w:r>
      <w:proofErr w:type="spellStart"/>
      <w:r w:rsidRPr="00D42316">
        <w:t>analysis</w:t>
      </w:r>
      <w:proofErr w:type="spellEnd"/>
      <w:r w:rsidRPr="00D42316">
        <w:t xml:space="preserve">. </w:t>
      </w:r>
      <w:proofErr w:type="spellStart"/>
      <w:r w:rsidRPr="00D42316">
        <w:t>The</w:t>
      </w:r>
      <w:proofErr w:type="spellEnd"/>
      <w:r w:rsidRPr="00D42316">
        <w:t xml:space="preserve"> </w:t>
      </w:r>
      <w:proofErr w:type="spellStart"/>
      <w:r w:rsidRPr="00D42316">
        <w:t>level</w:t>
      </w:r>
      <w:proofErr w:type="spellEnd"/>
      <w:r w:rsidRPr="00D42316">
        <w:t xml:space="preserve"> of </w:t>
      </w:r>
      <w:proofErr w:type="spellStart"/>
      <w:r w:rsidRPr="00D42316">
        <w:t>statistical</w:t>
      </w:r>
      <w:proofErr w:type="spellEnd"/>
      <w:r w:rsidRPr="00D42316">
        <w:t xml:space="preserve"> </w:t>
      </w:r>
      <w:proofErr w:type="spellStart"/>
      <w:r w:rsidRPr="00D42316">
        <w:t>significance</w:t>
      </w:r>
      <w:proofErr w:type="spellEnd"/>
      <w:r w:rsidRPr="00D42316">
        <w:t xml:space="preserve"> </w:t>
      </w:r>
      <w:proofErr w:type="spellStart"/>
      <w:r w:rsidRPr="00D42316">
        <w:t>was</w:t>
      </w:r>
      <w:proofErr w:type="spellEnd"/>
      <w:r w:rsidRPr="00D42316">
        <w:t xml:space="preserve"> </w:t>
      </w:r>
      <w:proofErr w:type="spellStart"/>
      <w:r w:rsidRPr="00D42316">
        <w:t>accepted</w:t>
      </w:r>
      <w:proofErr w:type="spellEnd"/>
      <w:r w:rsidRPr="00D42316">
        <w:t xml:space="preserve"> as p&lt;0.05.</w:t>
      </w:r>
    </w:p>
    <w:p w14:paraId="113C60C7" w14:textId="47BF90EE" w:rsidR="00F84AD5" w:rsidRPr="00D42316" w:rsidRDefault="00AC051C" w:rsidP="000A70F0">
      <w:pPr>
        <w:jc w:val="both"/>
      </w:pPr>
      <w:proofErr w:type="spellStart"/>
      <w:r w:rsidRPr="00D42316">
        <w:rPr>
          <w:b/>
        </w:rPr>
        <w:t>Results</w:t>
      </w:r>
      <w:proofErr w:type="spellEnd"/>
      <w:r w:rsidRPr="00D42316">
        <w:rPr>
          <w:b/>
        </w:rPr>
        <w:t xml:space="preserve">: </w:t>
      </w:r>
      <w:r w:rsidRPr="00D42316">
        <w:t xml:space="preserve">Of </w:t>
      </w:r>
      <w:proofErr w:type="spellStart"/>
      <w:r w:rsidRPr="00D42316">
        <w:t>the</w:t>
      </w:r>
      <w:proofErr w:type="spellEnd"/>
      <w:r w:rsidRPr="00D42316">
        <w:t xml:space="preserve"> </w:t>
      </w:r>
      <w:proofErr w:type="spellStart"/>
      <w:r w:rsidRPr="00D42316">
        <w:t>students</w:t>
      </w:r>
      <w:proofErr w:type="spellEnd"/>
      <w:r w:rsidRPr="00D42316">
        <w:t xml:space="preserve"> </w:t>
      </w:r>
      <w:proofErr w:type="spellStart"/>
      <w:r w:rsidRPr="00D42316">
        <w:t>participating</w:t>
      </w:r>
      <w:proofErr w:type="spellEnd"/>
      <w:r w:rsidRPr="00D42316">
        <w:t xml:space="preserve"> in </w:t>
      </w:r>
      <w:proofErr w:type="spellStart"/>
      <w:r w:rsidRPr="00D42316">
        <w:t>the</w:t>
      </w:r>
      <w:proofErr w:type="spellEnd"/>
      <w:r w:rsidRPr="00D42316">
        <w:t xml:space="preserve"> </w:t>
      </w:r>
      <w:proofErr w:type="spellStart"/>
      <w:r w:rsidRPr="00D42316">
        <w:t>study</w:t>
      </w:r>
      <w:proofErr w:type="spellEnd"/>
      <w:r w:rsidRPr="00D42316">
        <w:t xml:space="preserve">, 63.3% </w:t>
      </w:r>
      <w:proofErr w:type="spellStart"/>
      <w:r w:rsidRPr="00D42316">
        <w:t>were</w:t>
      </w:r>
      <w:proofErr w:type="spellEnd"/>
      <w:r w:rsidRPr="00D42316">
        <w:t xml:space="preserve"> </w:t>
      </w:r>
      <w:proofErr w:type="spellStart"/>
      <w:r w:rsidRPr="00D42316">
        <w:t>female</w:t>
      </w:r>
      <w:proofErr w:type="spellEnd"/>
      <w:r w:rsidRPr="00D42316">
        <w:t xml:space="preserve"> </w:t>
      </w:r>
      <w:proofErr w:type="spellStart"/>
      <w:r w:rsidRPr="00D42316">
        <w:t>and</w:t>
      </w:r>
      <w:proofErr w:type="spellEnd"/>
      <w:r w:rsidRPr="00D42316">
        <w:t xml:space="preserve"> 36.7% </w:t>
      </w:r>
      <w:proofErr w:type="spellStart"/>
      <w:r w:rsidRPr="00D42316">
        <w:t>were</w:t>
      </w:r>
      <w:proofErr w:type="spellEnd"/>
      <w:r w:rsidRPr="00D42316">
        <w:t xml:space="preserve"> </w:t>
      </w:r>
      <w:proofErr w:type="spellStart"/>
      <w:r w:rsidRPr="00D42316">
        <w:t>male</w:t>
      </w:r>
      <w:proofErr w:type="spellEnd"/>
      <w:r w:rsidRPr="00D42316">
        <w:t xml:space="preserve">. 46.0% of </w:t>
      </w:r>
      <w:proofErr w:type="spellStart"/>
      <w:r w:rsidRPr="00D42316">
        <w:t>the</w:t>
      </w:r>
      <w:proofErr w:type="spellEnd"/>
      <w:r w:rsidRPr="00D42316">
        <w:t xml:space="preserve"> </w:t>
      </w:r>
      <w:proofErr w:type="spellStart"/>
      <w:r w:rsidRPr="00D42316">
        <w:t>students</w:t>
      </w:r>
      <w:proofErr w:type="spellEnd"/>
      <w:r w:rsidRPr="00D42316">
        <w:t xml:space="preserve"> </w:t>
      </w:r>
      <w:proofErr w:type="spellStart"/>
      <w:r w:rsidRPr="00D42316">
        <w:t>stated</w:t>
      </w:r>
      <w:proofErr w:type="spellEnd"/>
      <w:r w:rsidRPr="00D42316">
        <w:t xml:space="preserve"> </w:t>
      </w:r>
      <w:proofErr w:type="spellStart"/>
      <w:r w:rsidRPr="00D42316">
        <w:t>that</w:t>
      </w:r>
      <w:proofErr w:type="spellEnd"/>
      <w:r w:rsidRPr="00D42316">
        <w:t xml:space="preserve"> they </w:t>
      </w:r>
      <w:proofErr w:type="spellStart"/>
      <w:r w:rsidRPr="00D42316">
        <w:t>stayed</w:t>
      </w:r>
      <w:proofErr w:type="spellEnd"/>
      <w:r w:rsidRPr="00D42316">
        <w:t xml:space="preserve"> in </w:t>
      </w:r>
      <w:proofErr w:type="spellStart"/>
      <w:r w:rsidRPr="00D42316">
        <w:t>dormitories</w:t>
      </w:r>
      <w:proofErr w:type="spellEnd"/>
      <w:r w:rsidRPr="00D42316">
        <w:t xml:space="preserve"> </w:t>
      </w:r>
      <w:proofErr w:type="spellStart"/>
      <w:r w:rsidRPr="00D42316">
        <w:t>during</w:t>
      </w:r>
      <w:proofErr w:type="spellEnd"/>
      <w:r w:rsidRPr="00D42316">
        <w:t xml:space="preserve"> </w:t>
      </w:r>
      <w:proofErr w:type="spellStart"/>
      <w:r w:rsidRPr="00D42316">
        <w:t>their</w:t>
      </w:r>
      <w:proofErr w:type="spellEnd"/>
      <w:r w:rsidRPr="00D42316">
        <w:t xml:space="preserve"> </w:t>
      </w:r>
      <w:proofErr w:type="spellStart"/>
      <w:r w:rsidRPr="00D42316">
        <w:t>education</w:t>
      </w:r>
      <w:proofErr w:type="spellEnd"/>
      <w:r w:rsidRPr="00D42316">
        <w:t xml:space="preserve"> </w:t>
      </w:r>
      <w:proofErr w:type="spellStart"/>
      <w:r w:rsidRPr="00D42316">
        <w:t>and</w:t>
      </w:r>
      <w:proofErr w:type="spellEnd"/>
      <w:r w:rsidRPr="00D42316">
        <w:t xml:space="preserve"> 49.5% of </w:t>
      </w:r>
      <w:proofErr w:type="spellStart"/>
      <w:r w:rsidRPr="00D42316">
        <w:t>them</w:t>
      </w:r>
      <w:proofErr w:type="spellEnd"/>
      <w:r w:rsidRPr="00D42316">
        <w:t xml:space="preserve"> </w:t>
      </w:r>
      <w:proofErr w:type="spellStart"/>
      <w:r w:rsidRPr="00D42316">
        <w:t>used</w:t>
      </w:r>
      <w:proofErr w:type="spellEnd"/>
      <w:r w:rsidRPr="00D42316">
        <w:t xml:space="preserve"> </w:t>
      </w:r>
      <w:proofErr w:type="spellStart"/>
      <w:r w:rsidRPr="00D42316">
        <w:t>social</w:t>
      </w:r>
      <w:proofErr w:type="spellEnd"/>
      <w:r w:rsidRPr="00D42316">
        <w:t xml:space="preserve"> </w:t>
      </w:r>
      <w:proofErr w:type="spellStart"/>
      <w:r w:rsidRPr="00D42316">
        <w:t>media</w:t>
      </w:r>
      <w:proofErr w:type="spellEnd"/>
      <w:r w:rsidRPr="00D42316">
        <w:t xml:space="preserve"> </w:t>
      </w:r>
      <w:proofErr w:type="spellStart"/>
      <w:r w:rsidRPr="00D42316">
        <w:t>for</w:t>
      </w:r>
      <w:proofErr w:type="spellEnd"/>
      <w:r w:rsidRPr="00D42316">
        <w:t xml:space="preserve"> 2-3 </w:t>
      </w:r>
      <w:proofErr w:type="spellStart"/>
      <w:r w:rsidRPr="00D42316">
        <w:t>hours</w:t>
      </w:r>
      <w:proofErr w:type="spellEnd"/>
      <w:r w:rsidRPr="00D42316">
        <w:t xml:space="preserve"> a </w:t>
      </w:r>
      <w:proofErr w:type="spellStart"/>
      <w:r w:rsidRPr="00D42316">
        <w:t>day</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findings</w:t>
      </w:r>
      <w:proofErr w:type="spellEnd"/>
      <w:r w:rsidRPr="00D42316">
        <w:t xml:space="preserve"> of </w:t>
      </w:r>
      <w:proofErr w:type="spellStart"/>
      <w:r w:rsidRPr="00D42316">
        <w:t>the</w:t>
      </w:r>
      <w:proofErr w:type="spellEnd"/>
      <w:r w:rsidRPr="00D42316">
        <w:t xml:space="preserve"> </w:t>
      </w:r>
      <w:proofErr w:type="spellStart"/>
      <w:r w:rsidRPr="00D42316">
        <w:t>research</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and</w:t>
      </w:r>
      <w:proofErr w:type="spellEnd"/>
      <w:r w:rsidRPr="00D42316">
        <w:t xml:space="preserve"> </w:t>
      </w:r>
      <w:proofErr w:type="spellStart"/>
      <w:r w:rsidRPr="00D42316">
        <w:t>cyberbullying</w:t>
      </w:r>
      <w:proofErr w:type="spellEnd"/>
      <w:r w:rsidRPr="00D42316">
        <w:t xml:space="preserve"> </w:t>
      </w:r>
      <w:proofErr w:type="spellStart"/>
      <w:r w:rsidRPr="00D42316">
        <w:t>scores</w:t>
      </w:r>
      <w:proofErr w:type="spellEnd"/>
      <w:r w:rsidRPr="00D42316">
        <w:t xml:space="preserve"> of </w:t>
      </w:r>
      <w:proofErr w:type="spellStart"/>
      <w:r w:rsidRPr="00D42316">
        <w:t>university</w:t>
      </w:r>
      <w:proofErr w:type="spellEnd"/>
      <w:r w:rsidRPr="00D42316">
        <w:t xml:space="preserve"> </w:t>
      </w:r>
      <w:proofErr w:type="spellStart"/>
      <w:r w:rsidRPr="00D42316">
        <w:t>students</w:t>
      </w:r>
      <w:proofErr w:type="spellEnd"/>
      <w:r w:rsidRPr="00D42316">
        <w:t xml:space="preserve"> </w:t>
      </w:r>
      <w:proofErr w:type="spellStart"/>
      <w:r w:rsidRPr="00D42316">
        <w:t>show</w:t>
      </w:r>
      <w:proofErr w:type="spellEnd"/>
      <w:r w:rsidRPr="00D42316">
        <w:t xml:space="preserve">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gender</w:t>
      </w:r>
      <w:proofErr w:type="spellEnd"/>
      <w:r w:rsidRPr="00D42316">
        <w:t xml:space="preserve">, </w:t>
      </w:r>
      <w:proofErr w:type="spellStart"/>
      <w:r w:rsidRPr="00D42316">
        <w:t>age</w:t>
      </w:r>
      <w:proofErr w:type="spellEnd"/>
      <w:r w:rsidRPr="00D42316">
        <w:t xml:space="preserve">, </w:t>
      </w:r>
      <w:proofErr w:type="spellStart"/>
      <w:r w:rsidRPr="00D42316">
        <w:t>place</w:t>
      </w:r>
      <w:proofErr w:type="spellEnd"/>
      <w:r w:rsidRPr="00D42316">
        <w:t xml:space="preserve"> of </w:t>
      </w:r>
      <w:proofErr w:type="spellStart"/>
      <w:r w:rsidRPr="00D42316">
        <w:t>residence</w:t>
      </w:r>
      <w:proofErr w:type="spellEnd"/>
      <w:r w:rsidRPr="00D42316">
        <w:t xml:space="preserve"> </w:t>
      </w:r>
      <w:proofErr w:type="spellStart"/>
      <w:r w:rsidRPr="00D42316">
        <w:t>and</w:t>
      </w:r>
      <w:proofErr w:type="spellEnd"/>
      <w:r w:rsidRPr="00D42316">
        <w:t xml:space="preserve"> </w:t>
      </w:r>
      <w:proofErr w:type="spellStart"/>
      <w:r w:rsidRPr="00D42316">
        <w:t>mother</w:t>
      </w:r>
      <w:proofErr w:type="spellEnd"/>
      <w:r w:rsidRPr="00D42316">
        <w:t xml:space="preserve"> </w:t>
      </w:r>
      <w:proofErr w:type="spellStart"/>
      <w:r w:rsidRPr="00D42316">
        <w:t>and</w:t>
      </w:r>
      <w:proofErr w:type="spellEnd"/>
      <w:r w:rsidRPr="00D42316">
        <w:t xml:space="preserve"> </w:t>
      </w:r>
      <w:proofErr w:type="spellStart"/>
      <w:r w:rsidRPr="00D42316">
        <w:t>father</w:t>
      </w:r>
      <w:proofErr w:type="spellEnd"/>
      <w:r w:rsidRPr="00D42316">
        <w:t xml:space="preserve"> </w:t>
      </w:r>
      <w:proofErr w:type="spellStart"/>
      <w:r w:rsidRPr="00D42316">
        <w:t>education</w:t>
      </w:r>
      <w:proofErr w:type="spellEnd"/>
      <w:r w:rsidRPr="00D42316">
        <w:t xml:space="preserve"> </w:t>
      </w:r>
      <w:proofErr w:type="spellStart"/>
      <w:r w:rsidRPr="00D42316">
        <w:t>level</w:t>
      </w:r>
      <w:proofErr w:type="spellEnd"/>
      <w:r w:rsidRPr="00D42316">
        <w:t xml:space="preserve">; </w:t>
      </w:r>
      <w:proofErr w:type="spellStart"/>
      <w:r w:rsidRPr="00D42316">
        <w:t>however</w:t>
      </w:r>
      <w:proofErr w:type="spellEnd"/>
      <w:r w:rsidRPr="00D42316">
        <w:t xml:space="preserve">, </w:t>
      </w:r>
      <w:proofErr w:type="spellStart"/>
      <w:r w:rsidRPr="00D42316">
        <w:t>there</w:t>
      </w:r>
      <w:proofErr w:type="spellEnd"/>
      <w:r w:rsidRPr="00D42316">
        <w:t xml:space="preserve"> is </w:t>
      </w:r>
      <w:proofErr w:type="spellStart"/>
      <w:r w:rsidRPr="00D42316">
        <w:t>no</w:t>
      </w:r>
      <w:proofErr w:type="spellEnd"/>
      <w:r w:rsidRPr="00D42316">
        <w:t xml:space="preserve">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class</w:t>
      </w:r>
      <w:proofErr w:type="spellEnd"/>
      <w:r w:rsidRPr="00D42316">
        <w:t xml:space="preserve"> </w:t>
      </w:r>
      <w:proofErr w:type="spellStart"/>
      <w:r w:rsidRPr="00D42316">
        <w:t>level</w:t>
      </w:r>
      <w:proofErr w:type="spellEnd"/>
      <w:r w:rsidRPr="00D42316">
        <w:t xml:space="preserve">. </w:t>
      </w:r>
      <w:proofErr w:type="spellStart"/>
      <w:r w:rsidRPr="00D42316">
        <w:t>While</w:t>
      </w:r>
      <w:proofErr w:type="spellEnd"/>
      <w:r w:rsidRPr="00D42316">
        <w:t xml:space="preserve"> </w:t>
      </w:r>
      <w:proofErr w:type="spellStart"/>
      <w:r w:rsidRPr="00D42316">
        <w:t>the</w:t>
      </w:r>
      <w:proofErr w:type="spellEnd"/>
      <w:r w:rsidRPr="00D42316">
        <w:t xml:space="preserve"> time </w:t>
      </w:r>
      <w:proofErr w:type="spellStart"/>
      <w:r w:rsidRPr="00D42316">
        <w:t>spent</w:t>
      </w:r>
      <w:proofErr w:type="spellEnd"/>
      <w:r w:rsidRPr="00D42316">
        <w:t xml:space="preserve"> on </w:t>
      </w:r>
      <w:proofErr w:type="spellStart"/>
      <w:r w:rsidRPr="00D42316">
        <w:t>social</w:t>
      </w:r>
      <w:proofErr w:type="spellEnd"/>
      <w:r w:rsidRPr="00D42316">
        <w:t xml:space="preserve"> </w:t>
      </w:r>
      <w:proofErr w:type="spellStart"/>
      <w:r w:rsidRPr="00D42316">
        <w:t>media</w:t>
      </w:r>
      <w:proofErr w:type="spellEnd"/>
      <w:r w:rsidRPr="00D42316">
        <w:t xml:space="preserve"> </w:t>
      </w:r>
      <w:proofErr w:type="spellStart"/>
      <w:r w:rsidRPr="00D42316">
        <w:t>does</w:t>
      </w:r>
      <w:proofErr w:type="spellEnd"/>
      <w:r w:rsidRPr="00D42316">
        <w:t xml:space="preserve"> not </w:t>
      </w:r>
      <w:proofErr w:type="spellStart"/>
      <w:r w:rsidRPr="00D42316">
        <w:t>make</w:t>
      </w:r>
      <w:proofErr w:type="spellEnd"/>
      <w:r w:rsidRPr="00D42316">
        <w:t xml:space="preserve"> a </w:t>
      </w:r>
      <w:proofErr w:type="spellStart"/>
      <w:r w:rsidRPr="00D42316">
        <w:t>significant</w:t>
      </w:r>
      <w:proofErr w:type="spellEnd"/>
      <w:r w:rsidRPr="00D42316">
        <w:t xml:space="preserve"> </w:t>
      </w:r>
      <w:proofErr w:type="spellStart"/>
      <w:r w:rsidRPr="00D42316">
        <w:t>difference</w:t>
      </w:r>
      <w:proofErr w:type="spellEnd"/>
      <w:r w:rsidRPr="00D42316">
        <w:t xml:space="preserve"> on </w:t>
      </w:r>
      <w:proofErr w:type="spellStart"/>
      <w:r w:rsidRPr="00D42316">
        <w:t>students</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it has a </w:t>
      </w:r>
      <w:proofErr w:type="spellStart"/>
      <w:r w:rsidRPr="00D42316">
        <w:t>statistically</w:t>
      </w:r>
      <w:proofErr w:type="spellEnd"/>
      <w:r w:rsidRPr="00D42316">
        <w:t xml:space="preserve"> </w:t>
      </w:r>
      <w:proofErr w:type="spellStart"/>
      <w:r w:rsidRPr="00D42316">
        <w:t>significant</w:t>
      </w:r>
      <w:proofErr w:type="spellEnd"/>
      <w:r w:rsidRPr="00D42316">
        <w:t xml:space="preserve"> </w:t>
      </w:r>
      <w:proofErr w:type="spellStart"/>
      <w:r w:rsidRPr="00D42316">
        <w:t>effect</w:t>
      </w:r>
      <w:proofErr w:type="spellEnd"/>
      <w:r w:rsidRPr="00D42316">
        <w:t xml:space="preserve"> on </w:t>
      </w:r>
      <w:proofErr w:type="spellStart"/>
      <w:r w:rsidRPr="00D42316">
        <w:t>cyberbullying</w:t>
      </w:r>
      <w:proofErr w:type="spellEnd"/>
      <w:r w:rsidRPr="00D42316">
        <w:t xml:space="preserve"> </w:t>
      </w:r>
      <w:proofErr w:type="spellStart"/>
      <w:r w:rsidRPr="00D42316">
        <w:t>and</w:t>
      </w:r>
      <w:proofErr w:type="spellEnd"/>
      <w:r w:rsidRPr="00D42316">
        <w:t xml:space="preserve"> </w:t>
      </w:r>
      <w:proofErr w:type="spellStart"/>
      <w:r w:rsidRPr="00D42316">
        <w:t>cyber</w:t>
      </w:r>
      <w:proofErr w:type="spellEnd"/>
      <w:r w:rsidRPr="00D42316">
        <w:t xml:space="preserve"> </w:t>
      </w:r>
      <w:proofErr w:type="spellStart"/>
      <w:r w:rsidRPr="00D42316">
        <w:t>victimisation</w:t>
      </w:r>
      <w:proofErr w:type="spellEnd"/>
      <w:r w:rsidRPr="00D42316">
        <w:t xml:space="preserve"> </w:t>
      </w:r>
      <w:proofErr w:type="spellStart"/>
      <w:r w:rsidRPr="00D42316">
        <w:t>scores</w:t>
      </w:r>
      <w:proofErr w:type="spellEnd"/>
      <w:r w:rsidRPr="00D42316">
        <w:t xml:space="preserve">. </w:t>
      </w:r>
      <w:proofErr w:type="spellStart"/>
      <w:r w:rsidRPr="00D42316">
        <w:t>In</w:t>
      </w:r>
      <w:proofErr w:type="spellEnd"/>
      <w:r w:rsidRPr="00D42316">
        <w:t xml:space="preserve"> </w:t>
      </w:r>
      <w:proofErr w:type="spellStart"/>
      <w:r w:rsidRPr="00D42316">
        <w:t>addition</w:t>
      </w:r>
      <w:proofErr w:type="spellEnd"/>
      <w:r w:rsidRPr="00D42316">
        <w:t xml:space="preserve">, a </w:t>
      </w:r>
      <w:proofErr w:type="spellStart"/>
      <w:r w:rsidRPr="00D42316">
        <w:t>low</w:t>
      </w:r>
      <w:proofErr w:type="spellEnd"/>
      <w:r w:rsidRPr="00D42316">
        <w:t xml:space="preserve"> but </w:t>
      </w:r>
      <w:proofErr w:type="spellStart"/>
      <w:r w:rsidRPr="00D42316">
        <w:t>significant</w:t>
      </w:r>
      <w:proofErr w:type="spellEnd"/>
      <w:r w:rsidRPr="00D42316">
        <w:t xml:space="preserve"> </w:t>
      </w:r>
      <w:proofErr w:type="spellStart"/>
      <w:r w:rsidRPr="00D42316">
        <w:t>relationship</w:t>
      </w:r>
      <w:proofErr w:type="spellEnd"/>
      <w:r w:rsidRPr="00D42316">
        <w:t xml:space="preserve"> </w:t>
      </w:r>
      <w:proofErr w:type="spellStart"/>
      <w:r w:rsidRPr="00D42316">
        <w:t>was</w:t>
      </w:r>
      <w:proofErr w:type="spellEnd"/>
      <w:r w:rsidRPr="00D42316">
        <w:t xml:space="preserve"> </w:t>
      </w:r>
      <w:proofErr w:type="spellStart"/>
      <w:r w:rsidRPr="00D42316">
        <w:t>found</w:t>
      </w:r>
      <w:proofErr w:type="spellEnd"/>
      <w:r w:rsidRPr="00D42316">
        <w:t xml:space="preserve"> </w:t>
      </w:r>
      <w:proofErr w:type="spellStart"/>
      <w:r w:rsidRPr="00D42316">
        <w:t>between</w:t>
      </w:r>
      <w:proofErr w:type="spellEnd"/>
      <w:r w:rsidRPr="00D42316">
        <w:t xml:space="preserve"> </w:t>
      </w:r>
      <w:proofErr w:type="spellStart"/>
      <w:r w:rsidRPr="00D42316">
        <w:t>students</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and</w:t>
      </w:r>
      <w:proofErr w:type="spellEnd"/>
      <w:r w:rsidRPr="00D42316">
        <w:t xml:space="preserve"> </w:t>
      </w:r>
      <w:proofErr w:type="spellStart"/>
      <w:r w:rsidRPr="00D42316">
        <w:t>cyberbullying</w:t>
      </w:r>
      <w:proofErr w:type="spellEnd"/>
      <w:r w:rsidRPr="00D42316">
        <w:t xml:space="preserve"> </w:t>
      </w:r>
      <w:proofErr w:type="spellStart"/>
      <w:r w:rsidRPr="00D42316">
        <w:t>levels</w:t>
      </w:r>
      <w:proofErr w:type="spellEnd"/>
      <w:r w:rsidRPr="00D42316">
        <w:t xml:space="preserve">. </w:t>
      </w:r>
      <w:proofErr w:type="spellStart"/>
      <w:r w:rsidRPr="00D42316">
        <w:t>Analyses</w:t>
      </w:r>
      <w:proofErr w:type="spellEnd"/>
      <w:r w:rsidRPr="00D42316">
        <w:t xml:space="preserve"> </w:t>
      </w:r>
      <w:proofErr w:type="spellStart"/>
      <w:r w:rsidRPr="00D42316">
        <w:t>show</w:t>
      </w:r>
      <w:proofErr w:type="spellEnd"/>
      <w:r w:rsidRPr="00D42316">
        <w:t xml:space="preserve"> </w:t>
      </w:r>
      <w:proofErr w:type="spellStart"/>
      <w:r w:rsidRPr="00D42316">
        <w:t>that</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sub-factors</w:t>
      </w:r>
      <w:proofErr w:type="spellEnd"/>
      <w:r w:rsidRPr="00D42316">
        <w:t xml:space="preserve"> </w:t>
      </w:r>
      <w:proofErr w:type="spellStart"/>
      <w:r w:rsidRPr="00D42316">
        <w:t>explain</w:t>
      </w:r>
      <w:proofErr w:type="spellEnd"/>
      <w:r w:rsidRPr="00D42316">
        <w:t xml:space="preserve"> 2% of </w:t>
      </w:r>
      <w:proofErr w:type="spellStart"/>
      <w:r w:rsidRPr="00D42316">
        <w:t>the</w:t>
      </w:r>
      <w:proofErr w:type="spellEnd"/>
      <w:r w:rsidRPr="00D42316">
        <w:t xml:space="preserve"> </w:t>
      </w:r>
      <w:proofErr w:type="spellStart"/>
      <w:r w:rsidRPr="00D42316">
        <w:t>change</w:t>
      </w:r>
      <w:proofErr w:type="spellEnd"/>
      <w:r w:rsidRPr="00D42316">
        <w:t xml:space="preserve"> in </w:t>
      </w:r>
      <w:proofErr w:type="spellStart"/>
      <w:r w:rsidRPr="00D42316">
        <w:t>cyberbullying</w:t>
      </w:r>
      <w:proofErr w:type="spellEnd"/>
      <w:r w:rsidRPr="00D42316">
        <w:t xml:space="preserve"> </w:t>
      </w:r>
      <w:proofErr w:type="spellStart"/>
      <w:r w:rsidRPr="00D42316">
        <w:t>levels</w:t>
      </w:r>
      <w:proofErr w:type="spellEnd"/>
      <w:r w:rsidRPr="00D42316">
        <w:t xml:space="preserve">. </w:t>
      </w:r>
      <w:proofErr w:type="spellStart"/>
      <w:r w:rsidRPr="00D42316">
        <w:t>Among</w:t>
      </w:r>
      <w:proofErr w:type="spellEnd"/>
      <w:r w:rsidRPr="00D42316">
        <w:t xml:space="preserve"> </w:t>
      </w:r>
      <w:proofErr w:type="spellStart"/>
      <w:r w:rsidRPr="00D42316">
        <w:t>these</w:t>
      </w:r>
      <w:proofErr w:type="spellEnd"/>
      <w:r w:rsidRPr="00D42316">
        <w:t xml:space="preserve"> </w:t>
      </w:r>
      <w:proofErr w:type="spellStart"/>
      <w:r w:rsidRPr="00D42316">
        <w:t>sub-factors</w:t>
      </w:r>
      <w:proofErr w:type="spellEnd"/>
      <w:r w:rsidRPr="00D42316">
        <w:t xml:space="preserve">, </w:t>
      </w:r>
      <w:proofErr w:type="spellStart"/>
      <w:r w:rsidRPr="00D42316">
        <w:t>privacy</w:t>
      </w:r>
      <w:proofErr w:type="spellEnd"/>
      <w:r w:rsidRPr="00D42316">
        <w:t xml:space="preserve"> </w:t>
      </w:r>
      <w:proofErr w:type="spellStart"/>
      <w:r w:rsidRPr="00D42316">
        <w:t>and</w:t>
      </w:r>
      <w:proofErr w:type="spellEnd"/>
      <w:r w:rsidRPr="00D42316">
        <w:t xml:space="preserve"> </w:t>
      </w:r>
      <w:proofErr w:type="spellStart"/>
      <w:r w:rsidRPr="00D42316">
        <w:t>security</w:t>
      </w:r>
      <w:proofErr w:type="spellEnd"/>
      <w:r w:rsidRPr="00D42316">
        <w:t xml:space="preserve"> </w:t>
      </w:r>
      <w:proofErr w:type="spellStart"/>
      <w:r w:rsidRPr="00D42316">
        <w:t>awareness</w:t>
      </w:r>
      <w:proofErr w:type="spellEnd"/>
      <w:r w:rsidRPr="00D42316">
        <w:t xml:space="preserve"> has a </w:t>
      </w:r>
      <w:proofErr w:type="spellStart"/>
      <w:r w:rsidRPr="00D42316">
        <w:t>significant</w:t>
      </w:r>
      <w:proofErr w:type="spellEnd"/>
      <w:r w:rsidRPr="00D42316">
        <w:t xml:space="preserve"> </w:t>
      </w:r>
      <w:proofErr w:type="spellStart"/>
      <w:r w:rsidRPr="00D42316">
        <w:t>effect</w:t>
      </w:r>
      <w:proofErr w:type="spellEnd"/>
      <w:r w:rsidRPr="00D42316">
        <w:t xml:space="preserve"> on </w:t>
      </w:r>
      <w:proofErr w:type="spellStart"/>
      <w:r w:rsidRPr="00D42316">
        <w:t>cyberbullying</w:t>
      </w:r>
      <w:proofErr w:type="spellEnd"/>
      <w:r w:rsidRPr="00D42316">
        <w:t xml:space="preserve">. </w:t>
      </w:r>
      <w:proofErr w:type="spellStart"/>
      <w:r w:rsidRPr="00D42316">
        <w:t>Specifically</w:t>
      </w:r>
      <w:proofErr w:type="spellEnd"/>
      <w:r w:rsidRPr="00D42316">
        <w:t xml:space="preserve">, a </w:t>
      </w:r>
      <w:proofErr w:type="spellStart"/>
      <w:r w:rsidRPr="00D42316">
        <w:t>one</w:t>
      </w:r>
      <w:proofErr w:type="spellEnd"/>
      <w:r w:rsidRPr="00D42316">
        <w:t xml:space="preserve"> </w:t>
      </w:r>
      <w:proofErr w:type="spellStart"/>
      <w:r w:rsidRPr="00D42316">
        <w:t>standard</w:t>
      </w:r>
      <w:proofErr w:type="spellEnd"/>
      <w:r w:rsidRPr="00D42316">
        <w:t xml:space="preserve"> </w:t>
      </w:r>
      <w:proofErr w:type="spellStart"/>
      <w:r w:rsidRPr="00D42316">
        <w:t>deviation</w:t>
      </w:r>
      <w:proofErr w:type="spellEnd"/>
      <w:r w:rsidRPr="00D42316">
        <w:t xml:space="preserve"> </w:t>
      </w:r>
      <w:proofErr w:type="spellStart"/>
      <w:r w:rsidRPr="00D42316">
        <w:t>increase</w:t>
      </w:r>
      <w:proofErr w:type="spellEnd"/>
      <w:r w:rsidRPr="00D42316">
        <w:t xml:space="preserve"> in </w:t>
      </w:r>
      <w:proofErr w:type="spellStart"/>
      <w:r w:rsidRPr="00D42316">
        <w:t>privacy</w:t>
      </w:r>
      <w:proofErr w:type="spellEnd"/>
      <w:r w:rsidRPr="00D42316">
        <w:t xml:space="preserve"> </w:t>
      </w:r>
      <w:proofErr w:type="spellStart"/>
      <w:r w:rsidRPr="00D42316">
        <w:t>and</w:t>
      </w:r>
      <w:proofErr w:type="spellEnd"/>
      <w:r w:rsidRPr="00D42316">
        <w:t xml:space="preserve"> </w:t>
      </w:r>
      <w:proofErr w:type="spellStart"/>
      <w:r w:rsidRPr="00D42316">
        <w:t>security</w:t>
      </w:r>
      <w:proofErr w:type="spellEnd"/>
      <w:r w:rsidRPr="00D42316">
        <w:t xml:space="preserve"> </w:t>
      </w:r>
      <w:proofErr w:type="spellStart"/>
      <w:r w:rsidRPr="00D42316">
        <w:t>awareness</w:t>
      </w:r>
      <w:proofErr w:type="spellEnd"/>
      <w:r w:rsidRPr="00D42316">
        <w:t xml:space="preserve"> </w:t>
      </w:r>
      <w:proofErr w:type="spellStart"/>
      <w:r w:rsidRPr="00D42316">
        <w:t>leads</w:t>
      </w:r>
      <w:proofErr w:type="spellEnd"/>
      <w:r w:rsidRPr="00D42316">
        <w:t xml:space="preserve"> </w:t>
      </w:r>
      <w:proofErr w:type="spellStart"/>
      <w:r w:rsidRPr="00D42316">
        <w:t>to</w:t>
      </w:r>
      <w:proofErr w:type="spellEnd"/>
      <w:r w:rsidRPr="00D42316">
        <w:t xml:space="preserve"> a 0.11 </w:t>
      </w:r>
      <w:proofErr w:type="spellStart"/>
      <w:r w:rsidRPr="00D42316">
        <w:t>standard</w:t>
      </w:r>
      <w:proofErr w:type="spellEnd"/>
      <w:r w:rsidRPr="00D42316">
        <w:t xml:space="preserve"> </w:t>
      </w:r>
      <w:proofErr w:type="spellStart"/>
      <w:r w:rsidRPr="00D42316">
        <w:t>deviation</w:t>
      </w:r>
      <w:proofErr w:type="spellEnd"/>
      <w:r w:rsidRPr="00D42316">
        <w:t xml:space="preserve"> </w:t>
      </w:r>
      <w:proofErr w:type="spellStart"/>
      <w:r w:rsidRPr="00D42316">
        <w:t>decrease</w:t>
      </w:r>
      <w:proofErr w:type="spellEnd"/>
      <w:r w:rsidRPr="00D42316">
        <w:t xml:space="preserve"> in </w:t>
      </w:r>
      <w:proofErr w:type="spellStart"/>
      <w:r w:rsidRPr="00D42316">
        <w:t>cyberbullying</w:t>
      </w:r>
      <w:proofErr w:type="spellEnd"/>
      <w:r w:rsidRPr="00D42316">
        <w:t xml:space="preserve"> </w:t>
      </w:r>
      <w:proofErr w:type="spellStart"/>
      <w:r w:rsidRPr="00D42316">
        <w:t>level</w:t>
      </w:r>
      <w:proofErr w:type="spellEnd"/>
      <w:r w:rsidRPr="00D42316">
        <w:t>.</w:t>
      </w:r>
    </w:p>
    <w:p w14:paraId="274A25F5" w14:textId="54CEB525" w:rsidR="00FC4D53" w:rsidRDefault="00AC051C" w:rsidP="000A70F0">
      <w:pPr>
        <w:jc w:val="both"/>
      </w:pPr>
      <w:proofErr w:type="spellStart"/>
      <w:r w:rsidRPr="00D42316">
        <w:rPr>
          <w:b/>
        </w:rPr>
        <w:t>Conclusion</w:t>
      </w:r>
      <w:proofErr w:type="spellEnd"/>
      <w:r w:rsidRPr="00D42316">
        <w:rPr>
          <w:b/>
        </w:rPr>
        <w:t xml:space="preserve">: </w:t>
      </w:r>
      <w:proofErr w:type="spellStart"/>
      <w:r w:rsidRPr="00D42316">
        <w:t>There</w:t>
      </w:r>
      <w:proofErr w:type="spellEnd"/>
      <w:r w:rsidRPr="00D42316">
        <w:t xml:space="preserve"> is a </w:t>
      </w:r>
      <w:proofErr w:type="spellStart"/>
      <w:r w:rsidRPr="00D42316">
        <w:t>significant</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university</w:t>
      </w:r>
      <w:proofErr w:type="spellEnd"/>
      <w:r w:rsidRPr="00D42316">
        <w:t xml:space="preserve"> </w:t>
      </w:r>
      <w:proofErr w:type="spellStart"/>
      <w:r w:rsidRPr="00D42316">
        <w:t>students</w:t>
      </w:r>
      <w:proofErr w:type="spellEnd"/>
      <w:r w:rsidRPr="00D42316">
        <w:t xml:space="preserve">' </w:t>
      </w:r>
      <w:proofErr w:type="spellStart"/>
      <w:r w:rsidRPr="00D42316">
        <w:t>cyberbullying</w:t>
      </w:r>
      <w:proofErr w:type="spellEnd"/>
      <w:r w:rsidRPr="00D42316">
        <w:t xml:space="preserve"> </w:t>
      </w:r>
      <w:proofErr w:type="spellStart"/>
      <w:r w:rsidRPr="00D42316">
        <w:t>levels</w:t>
      </w:r>
      <w:proofErr w:type="spellEnd"/>
      <w:r w:rsidRPr="00D42316">
        <w:t xml:space="preserve"> </w:t>
      </w:r>
      <w:proofErr w:type="spellStart"/>
      <w:r w:rsidRPr="00D42316">
        <w:t>and</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w:t>
      </w:r>
      <w:proofErr w:type="spellStart"/>
      <w:r w:rsidRPr="00D42316">
        <w:t>It</w:t>
      </w:r>
      <w:proofErr w:type="spellEnd"/>
      <w:r w:rsidRPr="00D42316">
        <w:t xml:space="preserve"> has </w:t>
      </w:r>
      <w:proofErr w:type="spellStart"/>
      <w:r w:rsidRPr="00D42316">
        <w:t>been</w:t>
      </w:r>
      <w:proofErr w:type="spellEnd"/>
      <w:r w:rsidRPr="00D42316">
        <w:t xml:space="preserve"> </w:t>
      </w:r>
      <w:proofErr w:type="spellStart"/>
      <w:r w:rsidRPr="00D42316">
        <w:t>determined</w:t>
      </w:r>
      <w:proofErr w:type="spellEnd"/>
      <w:r w:rsidRPr="00D42316">
        <w:t xml:space="preserve"> </w:t>
      </w:r>
      <w:proofErr w:type="spellStart"/>
      <w:r w:rsidRPr="00D42316">
        <w:t>that</w:t>
      </w:r>
      <w:proofErr w:type="spellEnd"/>
      <w:r w:rsidRPr="00D42316">
        <w:t xml:space="preserve"> </w:t>
      </w:r>
      <w:proofErr w:type="spellStart"/>
      <w:r w:rsidRPr="00D42316">
        <w:t>increasing</w:t>
      </w:r>
      <w:proofErr w:type="spellEnd"/>
      <w:r w:rsidRPr="00D42316">
        <w:t xml:space="preserve"> online </w:t>
      </w:r>
      <w:proofErr w:type="spellStart"/>
      <w:r w:rsidRPr="00D42316">
        <w:t>privacy</w:t>
      </w:r>
      <w:proofErr w:type="spellEnd"/>
      <w:r w:rsidRPr="00D42316">
        <w:t xml:space="preserve"> </w:t>
      </w:r>
      <w:proofErr w:type="spellStart"/>
      <w:r w:rsidRPr="00D42316">
        <w:t>and</w:t>
      </w:r>
      <w:proofErr w:type="spellEnd"/>
      <w:r w:rsidRPr="00D42316">
        <w:t xml:space="preserve"> </w:t>
      </w:r>
      <w:proofErr w:type="spellStart"/>
      <w:r w:rsidRPr="00D42316">
        <w:t>security</w:t>
      </w:r>
      <w:proofErr w:type="spellEnd"/>
      <w:r w:rsidRPr="00D42316">
        <w:t xml:space="preserve"> </w:t>
      </w:r>
      <w:proofErr w:type="spellStart"/>
      <w:r w:rsidRPr="00D42316">
        <w:t>awareness</w:t>
      </w:r>
      <w:proofErr w:type="spellEnd"/>
      <w:r w:rsidRPr="00D42316">
        <w:t xml:space="preserve"> is </w:t>
      </w:r>
      <w:proofErr w:type="spellStart"/>
      <w:r w:rsidRPr="00D42316">
        <w:t>effective</w:t>
      </w:r>
      <w:proofErr w:type="spellEnd"/>
      <w:r w:rsidRPr="00D42316">
        <w:t xml:space="preserve"> in </w:t>
      </w:r>
      <w:proofErr w:type="spellStart"/>
      <w:r w:rsidRPr="00D42316">
        <w:t>reducing</w:t>
      </w:r>
      <w:proofErr w:type="spellEnd"/>
      <w:r w:rsidRPr="00D42316">
        <w:t xml:space="preserve"> </w:t>
      </w:r>
      <w:proofErr w:type="spellStart"/>
      <w:r w:rsidRPr="00D42316">
        <w:t>cyberbullying</w:t>
      </w:r>
      <w:proofErr w:type="spellEnd"/>
      <w:r w:rsidRPr="00D42316">
        <w:t xml:space="preserve">. </w:t>
      </w:r>
      <w:proofErr w:type="spellStart"/>
      <w:r w:rsidRPr="00D42316">
        <w:t>Accordingly</w:t>
      </w:r>
      <w:proofErr w:type="spellEnd"/>
      <w:r w:rsidRPr="00D42316">
        <w:t xml:space="preserve">, </w:t>
      </w:r>
      <w:proofErr w:type="spellStart"/>
      <w:r w:rsidRPr="00D42316">
        <w:t>improving</w:t>
      </w:r>
      <w:proofErr w:type="spellEnd"/>
      <w:r w:rsidRPr="00D42316">
        <w:t xml:space="preserve"> </w:t>
      </w:r>
      <w:proofErr w:type="spellStart"/>
      <w:r w:rsidRPr="00D42316">
        <w:t>students</w:t>
      </w:r>
      <w:proofErr w:type="spellEnd"/>
      <w:r w:rsidRPr="00D42316">
        <w:t xml:space="preserve">' </w:t>
      </w:r>
      <w:proofErr w:type="spellStart"/>
      <w:r w:rsidRPr="00D42316">
        <w:t>cybercrime</w:t>
      </w:r>
      <w:proofErr w:type="spellEnd"/>
      <w:r w:rsidRPr="00D42316">
        <w:t xml:space="preserve"> </w:t>
      </w:r>
      <w:proofErr w:type="spellStart"/>
      <w:r w:rsidRPr="00D42316">
        <w:t>awareness</w:t>
      </w:r>
      <w:proofErr w:type="spellEnd"/>
      <w:r w:rsidRPr="00D42316">
        <w:t xml:space="preserve"> can be </w:t>
      </w:r>
      <w:proofErr w:type="spellStart"/>
      <w:r w:rsidRPr="00D42316">
        <w:t>considered</w:t>
      </w:r>
      <w:proofErr w:type="spellEnd"/>
      <w:r w:rsidRPr="00D42316">
        <w:t xml:space="preserve"> as an </w:t>
      </w:r>
      <w:proofErr w:type="spellStart"/>
      <w:r w:rsidRPr="00D42316">
        <w:t>important</w:t>
      </w:r>
      <w:proofErr w:type="spellEnd"/>
      <w:r w:rsidRPr="00D42316">
        <w:t xml:space="preserve"> </w:t>
      </w:r>
      <w:proofErr w:type="spellStart"/>
      <w:r w:rsidRPr="00D42316">
        <w:t>solution</w:t>
      </w:r>
      <w:proofErr w:type="spellEnd"/>
      <w:r w:rsidRPr="00D42316">
        <w:t xml:space="preserve"> </w:t>
      </w:r>
      <w:proofErr w:type="spellStart"/>
      <w:r w:rsidRPr="00D42316">
        <w:t>to</w:t>
      </w:r>
      <w:proofErr w:type="spellEnd"/>
      <w:r w:rsidRPr="00D42316">
        <w:t xml:space="preserve"> </w:t>
      </w:r>
      <w:proofErr w:type="spellStart"/>
      <w:r w:rsidRPr="00D42316">
        <w:t>prevent</w:t>
      </w:r>
      <w:proofErr w:type="spellEnd"/>
      <w:r w:rsidRPr="00D42316">
        <w:t xml:space="preserve"> </w:t>
      </w:r>
      <w:proofErr w:type="spellStart"/>
      <w:r w:rsidRPr="00D42316">
        <w:t>cyberbullying</w:t>
      </w:r>
      <w:proofErr w:type="spellEnd"/>
      <w:r w:rsidRPr="00D42316">
        <w:t>.</w:t>
      </w:r>
    </w:p>
    <w:p w14:paraId="563F6629" w14:textId="4D6269AC" w:rsidR="00F84AD5" w:rsidRPr="00D42316" w:rsidRDefault="00FC4D53" w:rsidP="000A70F0">
      <w:pPr>
        <w:autoSpaceDE/>
        <w:autoSpaceDN/>
      </w:pPr>
      <w:r>
        <w:br w:type="page"/>
      </w:r>
    </w:p>
    <w:p w14:paraId="593F2250" w14:textId="77777777" w:rsidR="00F84AD5" w:rsidRPr="00D42316" w:rsidRDefault="00AC051C" w:rsidP="004C7694">
      <w:pPr>
        <w:pStyle w:val="Tark"/>
      </w:pPr>
      <w:bookmarkStart w:id="9" w:name="_Toc192855143"/>
      <w:proofErr w:type="spellStart"/>
      <w:r w:rsidRPr="00D42316">
        <w:lastRenderedPageBreak/>
        <w:t>Razzaza</w:t>
      </w:r>
      <w:proofErr w:type="spellEnd"/>
      <w:r w:rsidRPr="00D42316">
        <w:t xml:space="preserve"> Gölü'nün (Irak) 40 Yıllık Değişimi: Su Yönetimi ve İklim Etkileri</w:t>
      </w:r>
      <w:bookmarkEnd w:id="9"/>
    </w:p>
    <w:p w14:paraId="6873CD9F" w14:textId="77777777" w:rsidR="00487EF1" w:rsidRPr="00D42316" w:rsidRDefault="00487EF1" w:rsidP="000A70F0">
      <w:pPr>
        <w:jc w:val="center"/>
      </w:pPr>
    </w:p>
    <w:p w14:paraId="661434B9" w14:textId="77777777" w:rsidR="00F84AD5" w:rsidRPr="00D42316" w:rsidRDefault="00AC051C" w:rsidP="000A70F0">
      <w:pPr>
        <w:jc w:val="center"/>
      </w:pPr>
      <w:r w:rsidRPr="00D42316">
        <w:t>Mücahit COŞKUN</w:t>
      </w:r>
      <w:r w:rsidRPr="00D42316">
        <w:br/>
        <w:t>Prof. Dr., Karabük Üniversitesi, Coğrafya</w:t>
      </w:r>
      <w:r w:rsidRPr="00D42316">
        <w:rPr>
          <w:vertAlign w:val="superscript"/>
        </w:rPr>
        <w:footnoteReference w:id="3"/>
      </w:r>
      <w:r w:rsidRPr="00D42316">
        <w:br/>
        <w:t>mcoskun@karabuk.edu.tr</w:t>
      </w:r>
      <w:r w:rsidRPr="00D42316">
        <w:br/>
        <w:t>0000-0002-7881-6742</w:t>
      </w:r>
    </w:p>
    <w:p w14:paraId="303778FF" w14:textId="77777777" w:rsidR="00F84AD5" w:rsidRPr="00D42316" w:rsidRDefault="00F84AD5" w:rsidP="000A70F0">
      <w:pPr>
        <w:jc w:val="both"/>
      </w:pPr>
    </w:p>
    <w:p w14:paraId="5B2995AB" w14:textId="77777777" w:rsidR="00F84AD5" w:rsidRPr="00D42316" w:rsidRDefault="00AC051C" w:rsidP="000A70F0">
      <w:pPr>
        <w:jc w:val="center"/>
      </w:pPr>
      <w:r w:rsidRPr="00D42316">
        <w:t>Duygu MİNAZ</w:t>
      </w:r>
      <w:r w:rsidRPr="00D42316">
        <w:br/>
      </w:r>
      <w:proofErr w:type="spellStart"/>
      <w:r w:rsidRPr="00D42316">
        <w:t>Doktorant</w:t>
      </w:r>
      <w:proofErr w:type="spellEnd"/>
      <w:r w:rsidRPr="00D42316">
        <w:t>, Karabük Üniversitesi, Coğrafya</w:t>
      </w:r>
      <w:r w:rsidRPr="00D42316">
        <w:br/>
        <w:t>duyguminaz@gmail.com</w:t>
      </w:r>
      <w:r w:rsidRPr="00D42316">
        <w:br/>
        <w:t>0000-0003-3274-957X</w:t>
      </w:r>
    </w:p>
    <w:p w14:paraId="655FA273" w14:textId="77777777" w:rsidR="00F84AD5" w:rsidRPr="00D42316" w:rsidRDefault="00F84AD5" w:rsidP="000A70F0">
      <w:pPr>
        <w:jc w:val="center"/>
      </w:pPr>
    </w:p>
    <w:p w14:paraId="20E8141C" w14:textId="77777777" w:rsidR="00F84AD5" w:rsidRPr="00D42316" w:rsidRDefault="00AC051C" w:rsidP="000A70F0">
      <w:pPr>
        <w:jc w:val="center"/>
      </w:pPr>
      <w:proofErr w:type="spellStart"/>
      <w:r w:rsidRPr="00D42316">
        <w:t>Sıracettin</w:t>
      </w:r>
      <w:proofErr w:type="spellEnd"/>
      <w:r w:rsidRPr="00D42316">
        <w:t xml:space="preserve"> GÖZALAN</w:t>
      </w:r>
      <w:r w:rsidRPr="00D42316">
        <w:br/>
        <w:t>Dr., Bağımsız Araştırmacı</w:t>
      </w:r>
      <w:r w:rsidRPr="00D42316">
        <w:br/>
        <w:t>sirac.gozalan@hotmail.com</w:t>
      </w:r>
      <w:r w:rsidRPr="00D42316">
        <w:br/>
        <w:t>0000-0002-6721-1860</w:t>
      </w:r>
    </w:p>
    <w:p w14:paraId="02583318" w14:textId="77777777" w:rsidR="00F84AD5" w:rsidRPr="00D42316" w:rsidRDefault="00F84AD5" w:rsidP="000A70F0">
      <w:pPr>
        <w:jc w:val="center"/>
      </w:pPr>
    </w:p>
    <w:p w14:paraId="0CACC6AF" w14:textId="77777777" w:rsidR="00F84AD5" w:rsidRPr="00D42316" w:rsidRDefault="00AC051C" w:rsidP="000A70F0">
      <w:pPr>
        <w:jc w:val="center"/>
      </w:pPr>
      <w:r w:rsidRPr="00D42316">
        <w:t>Muhammet ÖZTEKİNCİ</w:t>
      </w:r>
      <w:r w:rsidRPr="00D42316">
        <w:br/>
        <w:t>Dr., Bağımsız Araştırmacı</w:t>
      </w:r>
      <w:r w:rsidRPr="00D42316">
        <w:br/>
        <w:t>muhammetoztekinci@gmail.com</w:t>
      </w:r>
      <w:r w:rsidRPr="00D42316">
        <w:br/>
        <w:t>0000-0002-7801-9145</w:t>
      </w:r>
    </w:p>
    <w:p w14:paraId="5B4EEC6F" w14:textId="77777777" w:rsidR="00F84AD5" w:rsidRPr="00D42316" w:rsidRDefault="00F84AD5" w:rsidP="000A70F0">
      <w:pPr>
        <w:jc w:val="both"/>
      </w:pPr>
    </w:p>
    <w:p w14:paraId="7DD14C62" w14:textId="77777777" w:rsidR="00F84AD5" w:rsidRPr="009F0AE3" w:rsidRDefault="00AC051C" w:rsidP="000A70F0">
      <w:pPr>
        <w:jc w:val="center"/>
        <w:rPr>
          <w:b/>
          <w:bCs/>
        </w:rPr>
      </w:pPr>
      <w:r w:rsidRPr="009F0AE3">
        <w:rPr>
          <w:b/>
          <w:bCs/>
        </w:rPr>
        <w:t>Özet</w:t>
      </w:r>
    </w:p>
    <w:p w14:paraId="616C35FF" w14:textId="77777777" w:rsidR="00F84AD5" w:rsidRPr="00D42316" w:rsidRDefault="00AC051C" w:rsidP="000A70F0">
      <w:pPr>
        <w:jc w:val="both"/>
      </w:pPr>
      <w:r w:rsidRPr="00D42316">
        <w:t xml:space="preserve">Bu çalışma, Irak’ın </w:t>
      </w:r>
      <w:proofErr w:type="spellStart"/>
      <w:r w:rsidRPr="00D42316">
        <w:t>Enbar</w:t>
      </w:r>
      <w:proofErr w:type="spellEnd"/>
      <w:r w:rsidRPr="00D42316">
        <w:t xml:space="preserve"> ve Kerbela vilayetleri arasında yer alan </w:t>
      </w:r>
      <w:proofErr w:type="spellStart"/>
      <w:r w:rsidRPr="00D42316">
        <w:t>Razzaza</w:t>
      </w:r>
      <w:proofErr w:type="spellEnd"/>
      <w:r w:rsidRPr="00D42316">
        <w:t xml:space="preserve"> Gölü’nün 1984-2024 yılları arasındaki alansal değişimlerini uzaktan algılama ve Coğrafi Bilgi Sistemleri (CBS) teknikleriyle incelemeyi amaçlamaktadır. Irak’ın ikinci büyük gölü olan </w:t>
      </w:r>
      <w:proofErr w:type="spellStart"/>
      <w:r w:rsidRPr="00D42316">
        <w:t>Razzaza</w:t>
      </w:r>
      <w:proofErr w:type="spellEnd"/>
      <w:r w:rsidRPr="00D42316">
        <w:t xml:space="preserve">, Fırat Nehri'nden beslenen, 1810 km² alana ve 26 milyar m³ su depolama kapasitesine sahip bir tatlı su gölüdür. Göl, su girişinin olmaması ve buharlaşma ile yer altı emilimi yoluyla su kaybetmesi nedeniyle "ölü göl" olarak adlandırılmaktadır. İklim değişiklikleri ve artan tuzluluk gibi faktörler, gölün zengin biyolojik çeşitliliğini olumsuz etkilemiştir ve bu durum, gölün doğal koruma alanı ilan edilmesine yol açmıştır. Araştırmada, 1984, 1994, 2004, 2014 ve 2024 yıllarına ait </w:t>
      </w:r>
      <w:proofErr w:type="spellStart"/>
      <w:r w:rsidRPr="00D42316">
        <w:t>Landsat</w:t>
      </w:r>
      <w:proofErr w:type="spellEnd"/>
      <w:r w:rsidRPr="00D42316">
        <w:t xml:space="preserve"> uydu görüntüleri analiz edilmiştir. Su kütlelerinin alansal değişimlerini tespit etmek için Normalize Edilmiş Fark Su İndeksi (NDWI), Modifiye Edilmiş Fark Su İndeksi (MNDWI) ve Su Oran İndeksi (WRI) kullanılmıştır. NDWI, yeşil ve yakın kızılötesi bantları kullanarak bitki örtüsünü kısıtlayıp su kütlesini ortaya çıkarmaktadır. MNDWI, orta kızılötesi bandı kullanarak yerleşim alanları ve yapıları su kütlelerinden ayırmakta etkili olurken, WRI su kütlesi varlığını daha kesin şekilde tespit </w:t>
      </w:r>
      <w:proofErr w:type="spellStart"/>
      <w:proofErr w:type="gramStart"/>
      <w:r w:rsidRPr="00D42316">
        <w:t>etmektedir.Verilerin</w:t>
      </w:r>
      <w:proofErr w:type="spellEnd"/>
      <w:proofErr w:type="gramEnd"/>
      <w:r w:rsidRPr="00D42316">
        <w:t xml:space="preserve"> analizinde </w:t>
      </w:r>
      <w:proofErr w:type="spellStart"/>
      <w:r w:rsidRPr="00D42316">
        <w:t>ArcGIS</w:t>
      </w:r>
      <w:proofErr w:type="spellEnd"/>
      <w:r w:rsidRPr="00D42316">
        <w:t xml:space="preserve"> 10.8 yazılımı kullanılmış ve doğruluk analizi için </w:t>
      </w:r>
      <w:proofErr w:type="spellStart"/>
      <w:r w:rsidRPr="00D42316">
        <w:t>kappa</w:t>
      </w:r>
      <w:proofErr w:type="spellEnd"/>
      <w:r w:rsidRPr="00D42316">
        <w:t xml:space="preserve"> katsayısı ile genel doğruluk oranı değerlendirilmiştir. Her bir yıl için 400 kontrol noktası belirlenmiş, bu noktalar kara ve su olarak iki sınıfa ayrılmıştır. Çalışma, özellikle MNDWI indeksinin </w:t>
      </w:r>
      <w:proofErr w:type="spellStart"/>
      <w:r w:rsidRPr="00D42316">
        <w:t>Razzaza</w:t>
      </w:r>
      <w:proofErr w:type="spellEnd"/>
      <w:r w:rsidRPr="00D42316">
        <w:t xml:space="preserve"> Gölü’nün su varlığını en iyi yansıtan indeks olduğunu göstermiştir. 1994 yılında gölün en geniş alana sahip olduğu belirlenirken, 2004 yılından itibaren alansal daralmalar ve adacıkların oluşumu gözlemlenmiştir. Bu değişimler, göl çevresindeki tarımsal faaliyetlerin artışı ve suyun tarımsal amaçlarla kullanılmasının bir sonucu olarak değerlendirilmektedir.</w:t>
      </w:r>
    </w:p>
    <w:p w14:paraId="0F607525" w14:textId="77777777" w:rsidR="00F84AD5" w:rsidRPr="00D42316" w:rsidRDefault="00AC051C" w:rsidP="000A70F0">
      <w:pPr>
        <w:jc w:val="both"/>
      </w:pPr>
      <w:r w:rsidRPr="00D42316">
        <w:lastRenderedPageBreak/>
        <w:t>Araştırma sonuçları, göl ekosisteminin sürdürülebilirliği için etkin su yönetimi politikalarının geliştirilmesi gerektiğini vurgulamaktadır. İklim değişikliği ve insan etkileri, gölün ekolojik dengesini tehdit eden başlıca unsurlardır ve bu durum, su kaynaklarının korunmasına yönelik stratejilerin önemini artırmaktadır.</w:t>
      </w:r>
    </w:p>
    <w:p w14:paraId="027AC970" w14:textId="77777777" w:rsidR="00F84AD5" w:rsidRPr="00D42316" w:rsidRDefault="00F84AD5" w:rsidP="000A70F0">
      <w:pPr>
        <w:jc w:val="both"/>
      </w:pPr>
    </w:p>
    <w:p w14:paraId="3B8E7B9F" w14:textId="07DED82F" w:rsidR="00FC4D53" w:rsidRDefault="00AC051C" w:rsidP="000A70F0">
      <w:pPr>
        <w:jc w:val="both"/>
      </w:pPr>
      <w:r w:rsidRPr="00D42316">
        <w:rPr>
          <w:b/>
        </w:rPr>
        <w:t xml:space="preserve">Anahtar </w:t>
      </w:r>
      <w:r w:rsidR="00D42316">
        <w:rPr>
          <w:b/>
        </w:rPr>
        <w:t>Kelimeler</w:t>
      </w:r>
      <w:r w:rsidRPr="00D42316">
        <w:rPr>
          <w:b/>
        </w:rPr>
        <w:t>:</w:t>
      </w:r>
      <w:r w:rsidRPr="00D42316">
        <w:t xml:space="preserve"> </w:t>
      </w:r>
      <w:proofErr w:type="spellStart"/>
      <w:r w:rsidRPr="00D42316">
        <w:t>Razzaza</w:t>
      </w:r>
      <w:proofErr w:type="spellEnd"/>
      <w:r w:rsidRPr="00D42316">
        <w:t xml:space="preserve"> Gölü, Uzaktan Algılama, CBS, Su Yönetimi, Biyolojik Çeşitlilik, İklim Değişikliği.</w:t>
      </w:r>
    </w:p>
    <w:p w14:paraId="108AA4ED" w14:textId="77777777" w:rsidR="006C1169" w:rsidRDefault="00FC4D53" w:rsidP="000A70F0">
      <w:pPr>
        <w:jc w:val="center"/>
        <w:rPr>
          <w:b/>
          <w:bCs/>
          <w:lang w:val="en-US"/>
        </w:rPr>
      </w:pPr>
      <w:r>
        <w:br w:type="page"/>
      </w:r>
      <w:r w:rsidR="006C1169" w:rsidRPr="00F11191">
        <w:rPr>
          <w:b/>
          <w:bCs/>
          <w:lang w:val="en-US"/>
        </w:rPr>
        <w:lastRenderedPageBreak/>
        <w:t>An Assessment of the Presidential and Parliamentary Systems with a Look at the Turkish Case</w:t>
      </w:r>
    </w:p>
    <w:p w14:paraId="7A85DDEA" w14:textId="77777777" w:rsidR="006C1169" w:rsidRPr="00F11191" w:rsidRDefault="006C1169" w:rsidP="000A70F0">
      <w:pPr>
        <w:jc w:val="center"/>
        <w:rPr>
          <w:b/>
          <w:bCs/>
          <w:lang w:val="en-US"/>
        </w:rPr>
      </w:pPr>
    </w:p>
    <w:p w14:paraId="31E5C4FB" w14:textId="77777777" w:rsidR="006C1169" w:rsidRPr="00F11191" w:rsidRDefault="006C1169" w:rsidP="000A70F0">
      <w:pPr>
        <w:pStyle w:val="AralkYok"/>
        <w:jc w:val="center"/>
        <w:rPr>
          <w:rFonts w:ascii="Times New Roman" w:hAnsi="Times New Roman" w:cs="Times New Roman"/>
          <w:sz w:val="24"/>
          <w:szCs w:val="24"/>
          <w:lang w:val="en-US"/>
        </w:rPr>
      </w:pPr>
      <w:r w:rsidRPr="00F11191">
        <w:rPr>
          <w:rFonts w:ascii="Times New Roman" w:hAnsi="Times New Roman" w:cs="Times New Roman"/>
          <w:sz w:val="24"/>
          <w:szCs w:val="24"/>
          <w:lang w:val="en-US"/>
        </w:rPr>
        <w:t>Hakan Köni</w:t>
      </w:r>
    </w:p>
    <w:p w14:paraId="56C2A374" w14:textId="77777777" w:rsidR="006C1169" w:rsidRPr="00F11191" w:rsidRDefault="006C1169" w:rsidP="000A70F0">
      <w:pPr>
        <w:pStyle w:val="AralkYok"/>
        <w:jc w:val="center"/>
        <w:rPr>
          <w:rFonts w:ascii="Times New Roman" w:hAnsi="Times New Roman" w:cs="Times New Roman"/>
          <w:sz w:val="24"/>
          <w:szCs w:val="24"/>
          <w:lang w:val="en-US"/>
        </w:rPr>
      </w:pPr>
      <w:r w:rsidRPr="00F11191">
        <w:rPr>
          <w:rFonts w:ascii="Times New Roman" w:hAnsi="Times New Roman" w:cs="Times New Roman"/>
          <w:sz w:val="24"/>
          <w:szCs w:val="24"/>
          <w:lang w:val="en-US"/>
        </w:rPr>
        <w:t>Ankara Science University,</w:t>
      </w:r>
    </w:p>
    <w:p w14:paraId="040583EB" w14:textId="77777777" w:rsidR="006C1169" w:rsidRPr="00F11191" w:rsidRDefault="006C1169" w:rsidP="000A70F0">
      <w:pPr>
        <w:pStyle w:val="AralkYok"/>
        <w:jc w:val="center"/>
        <w:rPr>
          <w:rFonts w:ascii="Times New Roman" w:hAnsi="Times New Roman" w:cs="Times New Roman"/>
          <w:sz w:val="24"/>
          <w:szCs w:val="24"/>
          <w:lang w:val="en-US"/>
        </w:rPr>
      </w:pPr>
      <w:r w:rsidRPr="00F11191">
        <w:rPr>
          <w:rFonts w:ascii="Times New Roman" w:hAnsi="Times New Roman" w:cs="Times New Roman"/>
          <w:sz w:val="24"/>
          <w:szCs w:val="24"/>
          <w:lang w:val="en-US"/>
        </w:rPr>
        <w:t>Political Science and Public Administration</w:t>
      </w:r>
    </w:p>
    <w:p w14:paraId="62A27BA0" w14:textId="77777777" w:rsidR="006C1169" w:rsidRPr="00F11191" w:rsidRDefault="006C1169" w:rsidP="000A70F0">
      <w:pPr>
        <w:jc w:val="center"/>
        <w:rPr>
          <w:lang w:val="en-US"/>
        </w:rPr>
      </w:pPr>
      <w:hyperlink r:id="rId34" w:history="1">
        <w:r w:rsidRPr="00F11191">
          <w:rPr>
            <w:rStyle w:val="Kpr"/>
            <w:lang w:val="en-US"/>
          </w:rPr>
          <w:t>Hakan.kn@ankarabilim.edu.tr</w:t>
        </w:r>
      </w:hyperlink>
    </w:p>
    <w:p w14:paraId="0E6D9E3E" w14:textId="77777777" w:rsidR="006C1169" w:rsidRPr="00F11191" w:rsidRDefault="006C1169" w:rsidP="000A70F0">
      <w:pPr>
        <w:jc w:val="both"/>
        <w:rPr>
          <w:lang w:val="en-US"/>
        </w:rPr>
      </w:pPr>
    </w:p>
    <w:p w14:paraId="1E5C6054" w14:textId="77777777" w:rsidR="006C1169" w:rsidRPr="00F11191" w:rsidRDefault="006C1169" w:rsidP="000A70F0">
      <w:pPr>
        <w:jc w:val="center"/>
        <w:rPr>
          <w:b/>
          <w:bCs/>
          <w:lang w:val="en-US"/>
        </w:rPr>
      </w:pPr>
      <w:r w:rsidRPr="00F11191">
        <w:rPr>
          <w:b/>
          <w:bCs/>
          <w:lang w:val="en-US"/>
        </w:rPr>
        <w:t>Abstract</w:t>
      </w:r>
    </w:p>
    <w:p w14:paraId="58E84C02" w14:textId="465D9D96" w:rsidR="006C1169" w:rsidRDefault="006C1169" w:rsidP="000A70F0">
      <w:pPr>
        <w:jc w:val="both"/>
        <w:rPr>
          <w:lang w:val="en-US"/>
        </w:rPr>
      </w:pPr>
      <w:r w:rsidRPr="00F11191">
        <w:rPr>
          <w:lang w:val="en-US"/>
        </w:rPr>
        <w:t xml:space="preserve"> This article examines the strengths and weaknesses of the presidential and the parliamentary systems with a following empirical assessment of the Turkish case of 1990s. The presidential system offers advantages against the parliamentary system on the major democratic concern of the separation of powers as in the presidential system, the legislature and the executive are elected through separate elections, and the executive isn’t accountable to the parliament through the vote of confidence, vote of no confidence or question. Additionally, in the presidential system, elections for the executive result in a single winner and there remains no space for post-election coalition diplomacies, coalition crises, disrupted government policies, and similar undesired matters. But despite such remarkable advantages by the presidential system, the parliamentary system can help create a more pluralistic political environment by allowing all political formations, large and small, to take part in the parliament and enjoy a chance to be part of the government via coalitions. In the parliamentary system, small parties can have higher chances of survival, and the governments are prone to operate more responsibly under mechanisms of parliamentary control. Coming to the Turkish case, since 1970s, Türkiye suffered from radical political formations, multi-partner and short-lived coalition governments, coalition breakdowns, and political, economic and social crises that these resulted. These problems are largely eliminated with the transition to the presidential system with the 2017 referendum, but according to some, the pluralism in political life has somewhat declined, electoral alliances came to compel small parties to de-emphasize their ideological uniqueness, and the government came to be identified with a single person, the president. The contention of the paper, however, is that the advantages of the presidential system in Türkiye are much greater than its disadvantages particularly regarding government performance, separation of powers, and handling various domestic and international crises encountered. </w:t>
      </w:r>
    </w:p>
    <w:p w14:paraId="1E0F73F2" w14:textId="325AD3E0" w:rsidR="00F84AD5" w:rsidRPr="006C1169" w:rsidRDefault="006C1169" w:rsidP="000A70F0">
      <w:pPr>
        <w:autoSpaceDE/>
        <w:autoSpaceDN/>
        <w:rPr>
          <w:lang w:val="en-US"/>
        </w:rPr>
      </w:pPr>
      <w:r>
        <w:rPr>
          <w:lang w:val="en-US"/>
        </w:rPr>
        <w:br w:type="page"/>
      </w:r>
    </w:p>
    <w:p w14:paraId="29B1233A" w14:textId="77777777" w:rsidR="00E3302B" w:rsidRPr="00D42316" w:rsidRDefault="00E3302B" w:rsidP="004C7694">
      <w:pPr>
        <w:pStyle w:val="Tark"/>
      </w:pPr>
      <w:bookmarkStart w:id="10" w:name="_Toc192631157"/>
      <w:bookmarkStart w:id="11" w:name="_Toc192855144"/>
      <w:r w:rsidRPr="00D42316">
        <w:lastRenderedPageBreak/>
        <w:t>Örnek Vakalarla Terörist İnovasyon</w:t>
      </w:r>
      <w:bookmarkEnd w:id="10"/>
      <w:bookmarkEnd w:id="11"/>
    </w:p>
    <w:p w14:paraId="0BA14450" w14:textId="77777777" w:rsidR="00E3302B" w:rsidRPr="00D42316" w:rsidRDefault="00E3302B" w:rsidP="000A70F0">
      <w:pPr>
        <w:jc w:val="center"/>
      </w:pPr>
    </w:p>
    <w:p w14:paraId="07BE8E52" w14:textId="03556772" w:rsidR="00E3302B" w:rsidRPr="00D42316" w:rsidRDefault="00E3302B" w:rsidP="000A70F0">
      <w:pPr>
        <w:jc w:val="center"/>
      </w:pPr>
      <w:proofErr w:type="spellStart"/>
      <w:r w:rsidRPr="00D42316">
        <w:t>İlkut</w:t>
      </w:r>
      <w:proofErr w:type="spellEnd"/>
      <w:r w:rsidRPr="00D42316">
        <w:t xml:space="preserve"> Taha Taslı</w:t>
      </w:r>
      <w:r w:rsidRPr="00D42316">
        <w:br/>
        <w:t>Dr., Diplomasi ve Strateji Dergisi Baş Editörü</w:t>
      </w:r>
      <w:r w:rsidRPr="00D42316">
        <w:br/>
        <w:t>ilkuttt@hotmail.com</w:t>
      </w:r>
      <w:r w:rsidRPr="00D42316">
        <w:br/>
        <w:t>0000-0002-4842-8845</w:t>
      </w:r>
    </w:p>
    <w:p w14:paraId="346693A4" w14:textId="77777777" w:rsidR="00E3302B" w:rsidRPr="00D42316" w:rsidRDefault="00E3302B" w:rsidP="000A70F0">
      <w:pPr>
        <w:jc w:val="both"/>
      </w:pPr>
    </w:p>
    <w:p w14:paraId="5E3AC8BA" w14:textId="77777777" w:rsidR="00E3302B" w:rsidRPr="009F0AE3" w:rsidRDefault="00E3302B" w:rsidP="000A70F0">
      <w:pPr>
        <w:jc w:val="center"/>
        <w:rPr>
          <w:b/>
          <w:bCs/>
        </w:rPr>
      </w:pPr>
      <w:r w:rsidRPr="009F0AE3">
        <w:rPr>
          <w:b/>
          <w:bCs/>
        </w:rPr>
        <w:t>Özet</w:t>
      </w:r>
    </w:p>
    <w:p w14:paraId="49DB9B41" w14:textId="1805F2A1" w:rsidR="00E3302B" w:rsidRDefault="00E3302B" w:rsidP="000A70F0">
      <w:pPr>
        <w:jc w:val="both"/>
      </w:pPr>
      <w:r w:rsidRPr="00D42316">
        <w:t>Bu bildiride, terör örgütlerinin saldırı araçları ve taktikleri bakımından inovasyon faaliyetleri incelenmektedir.</w:t>
      </w:r>
      <w:r>
        <w:t xml:space="preserve"> S</w:t>
      </w:r>
      <w:r w:rsidRPr="00D42316">
        <w:t>ilahlı bir mücadelenin en başta sahada kazanıldığı</w:t>
      </w:r>
      <w:r>
        <w:t xml:space="preserve"> varsayımı bağlamında</w:t>
      </w:r>
      <w:r w:rsidRPr="00D42316">
        <w:t xml:space="preserve"> sahadaki mücadeleye doğrudan etki eden faktörlerin </w:t>
      </w:r>
      <w:r>
        <w:t xml:space="preserve">çatışma </w:t>
      </w:r>
      <w:r w:rsidRPr="00D42316">
        <w:t>analizler</w:t>
      </w:r>
      <w:r>
        <w:t>ine</w:t>
      </w:r>
      <w:r w:rsidRPr="00D42316">
        <w:t xml:space="preserve"> dâhil edilmesi gerek</w:t>
      </w:r>
      <w:r>
        <w:t>tiği iddia edilmektedir</w:t>
      </w:r>
      <w:r w:rsidRPr="00D42316">
        <w:t xml:space="preserve">. Bir başka ifade ile teknolojik avantajların döneme göre hangi taraftan yana olup olmadığını anlamak </w:t>
      </w:r>
      <w:r>
        <w:t>çatışmalardaki süreklilik ve kırılmaları anlamak için göstergelerden biri olarak düşünülebilir</w:t>
      </w:r>
      <w:r w:rsidRPr="00D42316">
        <w:t>.</w:t>
      </w:r>
      <w:r w:rsidR="000A70F0">
        <w:t xml:space="preserve"> </w:t>
      </w:r>
      <w:r w:rsidRPr="00D42316">
        <w:t xml:space="preserve">İkinci Dünya Savaşı’ndan 2000’li yıllara kadar </w:t>
      </w:r>
      <w:r>
        <w:t>dönemin silah teknolojisi</w:t>
      </w:r>
      <w:r w:rsidRPr="00D42316">
        <w:t>, terör örgütleri ve benzeri devlet dışı yapılar</w:t>
      </w:r>
      <w:r>
        <w:t>dan “yana” olmuştur</w:t>
      </w:r>
      <w:r w:rsidRPr="00D42316">
        <w:t>. Teröristlerin</w:t>
      </w:r>
      <w:r>
        <w:t xml:space="preserve"> hafif saldırı silahlarıyla</w:t>
      </w:r>
      <w:r w:rsidRPr="00D42316">
        <w:t xml:space="preserve">; hızlı hareket, vur-kaç yapma, gizlenme gibi manevraları onları görece </w:t>
      </w:r>
      <w:r>
        <w:t>etkili</w:t>
      </w:r>
      <w:r w:rsidRPr="00D42316">
        <w:t xml:space="preserve"> kılmıştır. </w:t>
      </w:r>
      <w:r>
        <w:t xml:space="preserve">Ateş gücü sınırlı olsa da yüksek manevra </w:t>
      </w:r>
      <w:proofErr w:type="gramStart"/>
      <w:r>
        <w:t>imkanı</w:t>
      </w:r>
      <w:proofErr w:type="gramEnd"/>
      <w:r>
        <w:t xml:space="preserve"> sunan silahlar, örgütlerin takip-</w:t>
      </w:r>
      <w:proofErr w:type="spellStart"/>
      <w:r>
        <w:t>tarassutunu</w:t>
      </w:r>
      <w:proofErr w:type="spellEnd"/>
      <w:r>
        <w:t xml:space="preserve"> güçleştirerek faaliyetlerini sürdürmeye imkan sağlamıştır.</w:t>
      </w:r>
      <w:r w:rsidR="000A70F0">
        <w:t xml:space="preserve"> </w:t>
      </w:r>
      <w:r>
        <w:t>Buna ek olarak, t</w:t>
      </w:r>
      <w:r w:rsidRPr="00D42316">
        <w:t>eröristler, hayatta kalabilme güdüsü, yüksek ideolojik gayeler, düşmanları zor durumda bırakma ve daha fazla insan gücü toplamak için propaganda yapma gayreti, terörle mücadele güçleri</w:t>
      </w:r>
      <w:r>
        <w:t>nin üstünlüğünü aşma</w:t>
      </w:r>
      <w:r w:rsidRPr="00D42316">
        <w:t xml:space="preserve"> gibi motivasyonlarla terörist inovasyona başvurabilir.</w:t>
      </w:r>
      <w:r>
        <w:t xml:space="preserve"> Temel bir tanım yapmak gerekirse, m</w:t>
      </w:r>
      <w:r w:rsidRPr="00B655EF">
        <w:t>evcut teknolojilerin örgütsel ihtiyaçlara göre kombine edilmesi suretiyle dikkate değer bir</w:t>
      </w:r>
      <w:r>
        <w:t xml:space="preserve"> silahlı</w:t>
      </w:r>
      <w:r w:rsidRPr="00B655EF">
        <w:t xml:space="preserve"> </w:t>
      </w:r>
      <w:proofErr w:type="gramStart"/>
      <w:r w:rsidRPr="00B655EF">
        <w:t>imkan</w:t>
      </w:r>
      <w:proofErr w:type="gramEnd"/>
      <w:r w:rsidRPr="00B655EF">
        <w:t>-kabiliyet</w:t>
      </w:r>
      <w:r>
        <w:t xml:space="preserve"> </w:t>
      </w:r>
      <w:r w:rsidRPr="00B655EF">
        <w:t>üretme</w:t>
      </w:r>
      <w:r>
        <w:t xml:space="preserve"> t</w:t>
      </w:r>
      <w:r w:rsidRPr="00B655EF">
        <w:t>erörist inovasyon</w:t>
      </w:r>
      <w:r>
        <w:t xml:space="preserve"> olarak ifade edilebilir.</w:t>
      </w:r>
      <w:r w:rsidRPr="00B655EF">
        <w:t xml:space="preserve"> </w:t>
      </w:r>
      <w:r>
        <w:t xml:space="preserve">Bu, </w:t>
      </w:r>
      <w:r w:rsidRPr="00B655EF">
        <w:t xml:space="preserve">nükleer silahlar ya da hassas güdümlü füzeler veyahut </w:t>
      </w:r>
      <w:proofErr w:type="spellStart"/>
      <w:r w:rsidRPr="00B655EF">
        <w:t>manpadsler</w:t>
      </w:r>
      <w:proofErr w:type="spellEnd"/>
      <w:r w:rsidRPr="00B655EF">
        <w:t xml:space="preserve"> gibi savaşın karakterini değiştirebilecek yeniliklerden ziyade örgütsel ihtiyaçlar</w:t>
      </w:r>
      <w:r>
        <w:t xml:space="preserve">a odaklıdır. </w:t>
      </w:r>
      <w:r w:rsidR="000A70F0">
        <w:t xml:space="preserve"> </w:t>
      </w:r>
      <w:proofErr w:type="spellStart"/>
      <w:r w:rsidRPr="00D42316">
        <w:t>Aum</w:t>
      </w:r>
      <w:proofErr w:type="spellEnd"/>
      <w:r w:rsidRPr="00D42316">
        <w:t xml:space="preserve"> </w:t>
      </w:r>
      <w:proofErr w:type="spellStart"/>
      <w:r w:rsidRPr="00D42316">
        <w:t>Shinrikyo</w:t>
      </w:r>
      <w:proofErr w:type="spellEnd"/>
      <w:r>
        <w:t xml:space="preserve"> sarin gazı, </w:t>
      </w:r>
      <w:r w:rsidRPr="00D42316">
        <w:t xml:space="preserve">İrlanda Cumhuriyet Ordusu </w:t>
      </w:r>
      <w:r>
        <w:t>(IRA) havan teknolojisi, Tamil Kaplanları intihar yeleği ile terörist inovasyon literatüründeki öncü vakalar olarak değerlendirilebilir.</w:t>
      </w:r>
      <w:r w:rsidR="000A70F0">
        <w:t xml:space="preserve"> </w:t>
      </w:r>
      <w:proofErr w:type="spellStart"/>
      <w:r w:rsidRPr="00D42316">
        <w:t>Aum</w:t>
      </w:r>
      <w:proofErr w:type="spellEnd"/>
      <w:r w:rsidRPr="00D42316">
        <w:t xml:space="preserve"> </w:t>
      </w:r>
      <w:proofErr w:type="spellStart"/>
      <w:r w:rsidRPr="00D42316">
        <w:t>Shinrikyo</w:t>
      </w:r>
      <w:proofErr w:type="spellEnd"/>
      <w:r w:rsidRPr="00D42316">
        <w:t xml:space="preserve">, IRA ve Tamil Kaplanları vakalarında öne çıkan ortak özelliklerden biri, örgütlerin kentli karakteridir. Kentlerin örgütlere sunmuş olduğu </w:t>
      </w:r>
      <w:r>
        <w:t>“</w:t>
      </w:r>
      <w:r w:rsidRPr="00D42316">
        <w:t>eğitim</w:t>
      </w:r>
      <w:r>
        <w:t>”</w:t>
      </w:r>
      <w:r w:rsidRPr="00D42316">
        <w:t xml:space="preserve"> ve </w:t>
      </w:r>
      <w:r>
        <w:t>“</w:t>
      </w:r>
      <w:r w:rsidRPr="00D42316">
        <w:t>araştırma</w:t>
      </w:r>
      <w:r>
        <w:t>”</w:t>
      </w:r>
      <w:r w:rsidRPr="00D42316">
        <w:t xml:space="preserve"> olanaklarının altı çizilmelidir.</w:t>
      </w:r>
      <w:r w:rsidR="000A70F0">
        <w:t xml:space="preserve"> </w:t>
      </w:r>
      <w:proofErr w:type="spellStart"/>
      <w:r w:rsidRPr="00D42316">
        <w:t>Aum</w:t>
      </w:r>
      <w:proofErr w:type="spellEnd"/>
      <w:r w:rsidRPr="00D42316">
        <w:t xml:space="preserve"> </w:t>
      </w:r>
      <w:proofErr w:type="spellStart"/>
      <w:r w:rsidRPr="00D42316">
        <w:t>Shinrikyo</w:t>
      </w:r>
      <w:proofErr w:type="spellEnd"/>
      <w:r w:rsidRPr="00D42316">
        <w:t>, Avustralya’da araştırma merkezi kurmuş, çeşitli milletlerden uzmanlardan yararlanmış, kontrolü altındaki bir hastanenin biyoloji laboratuvarını örgütsel faaliyetleri için kullanmıştır. Bunlara ek olarak örgüt üyeleri, mühendis ve bilim adamı ağırlıklıdır. Sonuç olarak örgüt, nükleer silah üretmeye çalışmış, başarılı olamamış ancak kimyasal silah üretebilmiştir.</w:t>
      </w:r>
      <w:r w:rsidR="000A70F0">
        <w:t xml:space="preserve"> </w:t>
      </w:r>
      <w:r w:rsidRPr="00D42316">
        <w:t>IRA vakasında ise İngiliz güvenlik güçlerinin erişemediği alanlarda kurulan üretim ve test merkezleri ön plana çıkmaktadır. Buna ek olarak, örgütün havacılık ve elektrik mühendisleri istihdam ettiği vurgulanmalıdır. Kanalizasyonlardan saldırı ya da helikopter veyahut iş makinaları kullanma eğilimi de kentlerin bir terör örgütüne sağladığı avantajlar arasında görülebilir. Böylelikle ihtiyaca göre özelleştirilmiş havan topları üretilebilmiştir.</w:t>
      </w:r>
      <w:r w:rsidR="000A70F0">
        <w:t xml:space="preserve"> </w:t>
      </w:r>
      <w:r w:rsidRPr="00D42316">
        <w:t>Tamil Kaplanları</w:t>
      </w:r>
      <w:r>
        <w:t>, kenti ve kırsalı bir arada kapsayan hibrit bir yapıda bir örgüttür. Kontrol ettiği şehirlerde devlet ölçeğinde yapılar oluşturup kamu hizmetleri odaklanmıştır.</w:t>
      </w:r>
      <w:r w:rsidRPr="00D42316">
        <w:t xml:space="preserve"> </w:t>
      </w:r>
      <w:r>
        <w:t>Bünyesindeki mühendis ekibiyle i</w:t>
      </w:r>
      <w:r w:rsidRPr="00D42316">
        <w:t>ntihar yeleği yöntemini geliştir</w:t>
      </w:r>
      <w:r>
        <w:t>miş,</w:t>
      </w:r>
      <w:r w:rsidRPr="00D42316">
        <w:t xml:space="preserve"> </w:t>
      </w:r>
      <w:r>
        <w:t xml:space="preserve">bunu da kentsel alışveriş </w:t>
      </w:r>
      <w:proofErr w:type="gramStart"/>
      <w:r>
        <w:t>imkanı</w:t>
      </w:r>
      <w:proofErr w:type="gramEnd"/>
      <w:r>
        <w:t xml:space="preserve"> ile gündelik yaşam içinde icra etmiştir</w:t>
      </w:r>
      <w:r w:rsidRPr="00D42316">
        <w:t>.</w:t>
      </w:r>
    </w:p>
    <w:p w14:paraId="08DFFAC3" w14:textId="77777777" w:rsidR="00E3302B" w:rsidRPr="00D42316" w:rsidRDefault="00E3302B" w:rsidP="000A70F0">
      <w:pPr>
        <w:jc w:val="both"/>
      </w:pPr>
    </w:p>
    <w:p w14:paraId="13A3BEC5" w14:textId="790A371E" w:rsidR="00FC4D53" w:rsidRDefault="00E3302B" w:rsidP="000A70F0">
      <w:pPr>
        <w:jc w:val="both"/>
      </w:pPr>
      <w:r w:rsidRPr="00D42316">
        <w:rPr>
          <w:b/>
        </w:rPr>
        <w:t xml:space="preserve">Anahtar </w:t>
      </w:r>
      <w:r>
        <w:rPr>
          <w:b/>
        </w:rPr>
        <w:t>Kelimeler</w:t>
      </w:r>
      <w:r w:rsidRPr="00D42316">
        <w:rPr>
          <w:b/>
        </w:rPr>
        <w:t>:</w:t>
      </w:r>
      <w:r w:rsidRPr="00D42316">
        <w:t xml:space="preserve"> Terörist İnovasyon, </w:t>
      </w:r>
      <w:proofErr w:type="spellStart"/>
      <w:r w:rsidRPr="00D42316">
        <w:t>Aum</w:t>
      </w:r>
      <w:proofErr w:type="spellEnd"/>
      <w:r w:rsidRPr="00D42316">
        <w:t xml:space="preserve"> </w:t>
      </w:r>
      <w:proofErr w:type="spellStart"/>
      <w:r w:rsidRPr="00D42316">
        <w:t>Shin</w:t>
      </w:r>
      <w:r>
        <w:t>ri</w:t>
      </w:r>
      <w:r w:rsidRPr="00D42316">
        <w:t>kyo</w:t>
      </w:r>
      <w:proofErr w:type="spellEnd"/>
      <w:r w:rsidRPr="00D42316">
        <w:t>, Tamil Kaplanları, IRA.</w:t>
      </w:r>
    </w:p>
    <w:p w14:paraId="62071EEC" w14:textId="73045DD8" w:rsidR="008B5439" w:rsidRPr="00D42316" w:rsidRDefault="00FC4D53" w:rsidP="000A70F0">
      <w:pPr>
        <w:autoSpaceDE/>
        <w:autoSpaceDN/>
      </w:pPr>
      <w:r>
        <w:br w:type="page"/>
      </w:r>
    </w:p>
    <w:p w14:paraId="16128578" w14:textId="63642FFF" w:rsidR="0034640B" w:rsidRDefault="0034640B" w:rsidP="004C7694">
      <w:pPr>
        <w:pStyle w:val="Tark"/>
      </w:pPr>
      <w:bookmarkStart w:id="12" w:name="_Toc192855145"/>
      <w:r>
        <w:lastRenderedPageBreak/>
        <w:t>Romantik İlişkilerde Belirsizliğin Yarattığı Kaygı Ölçeği: Geçerlik ve Güvenirlik Çalışması</w:t>
      </w:r>
      <w:bookmarkEnd w:id="12"/>
    </w:p>
    <w:p w14:paraId="420F6000" w14:textId="77777777" w:rsidR="0034640B" w:rsidRDefault="0034640B" w:rsidP="000A70F0"/>
    <w:p w14:paraId="62E2B664" w14:textId="77777777" w:rsidR="0034640B" w:rsidRDefault="0034640B" w:rsidP="0034640B">
      <w:pPr>
        <w:jc w:val="center"/>
      </w:pPr>
      <w:r>
        <w:t>Sema Nur Yaprak</w:t>
      </w:r>
      <w:r>
        <w:br/>
        <w:t>Yüksek Lisans Öğrencisi, Ankara Hacı Bayram Veli Üniversitesi, Psikoloji</w:t>
      </w:r>
      <w:r>
        <w:br/>
      </w:r>
      <w:hyperlink r:id="rId35">
        <w:r>
          <w:rPr>
            <w:color w:val="1155CC"/>
            <w:u w:val="single"/>
          </w:rPr>
          <w:t>semayaprak15@gmail.com</w:t>
        </w:r>
      </w:hyperlink>
    </w:p>
    <w:p w14:paraId="66CE2AB6" w14:textId="77777777" w:rsidR="0034640B" w:rsidRDefault="0034640B" w:rsidP="000A70F0"/>
    <w:p w14:paraId="0E496B7A" w14:textId="77777777" w:rsidR="0034640B" w:rsidRDefault="0034640B" w:rsidP="0034640B">
      <w:pPr>
        <w:jc w:val="center"/>
      </w:pPr>
      <w:r>
        <w:t>Ahmet Yıldırım</w:t>
      </w:r>
      <w:r>
        <w:br/>
        <w:t>Dr. Öğr. Üyesi, Ankara Hacı Bayram Veli Üniversitesi, Psikoloji</w:t>
      </w:r>
      <w:r>
        <w:br/>
        <w:t>ahmet-yildirim@hbv.edu.tr</w:t>
      </w:r>
      <w:r>
        <w:br/>
        <w:t>0000-0002-0856-9678</w:t>
      </w:r>
    </w:p>
    <w:p w14:paraId="31ACD541" w14:textId="77777777" w:rsidR="0034640B" w:rsidRDefault="0034640B" w:rsidP="0034640B">
      <w:pPr>
        <w:jc w:val="center"/>
      </w:pPr>
    </w:p>
    <w:p w14:paraId="2F7CC1F1" w14:textId="58CC8B38" w:rsidR="0034640B" w:rsidRDefault="0034640B" w:rsidP="00280CB2">
      <w:pPr>
        <w:jc w:val="center"/>
      </w:pPr>
      <w:r>
        <w:t>Akgül Pınar</w:t>
      </w:r>
      <w:r>
        <w:br/>
        <w:t>Yüksek Lisans Öğrencisi, Ankara Hacı Bayram Veli Üniversitesi, Psikoloji</w:t>
      </w:r>
      <w:r>
        <w:br/>
      </w:r>
      <w:hyperlink r:id="rId36">
        <w:r>
          <w:rPr>
            <w:color w:val="1155CC"/>
            <w:u w:val="single"/>
          </w:rPr>
          <w:t>akgulpinar35@gmail.com</w:t>
        </w:r>
      </w:hyperlink>
      <w:r>
        <w:t xml:space="preserve"> </w:t>
      </w:r>
      <w:r>
        <w:br/>
      </w:r>
      <w:bookmarkStart w:id="13" w:name="_heading=h.3znysh7" w:colFirst="0" w:colLast="0"/>
      <w:bookmarkStart w:id="14" w:name="_heading=h.ouclkbky9rmd" w:colFirst="0" w:colLast="0"/>
      <w:bookmarkEnd w:id="13"/>
      <w:bookmarkEnd w:id="14"/>
    </w:p>
    <w:p w14:paraId="1F769ABD" w14:textId="2D975C86" w:rsidR="0034640B" w:rsidRPr="009F0AE3" w:rsidRDefault="0034640B" w:rsidP="002604BA">
      <w:pPr>
        <w:jc w:val="center"/>
        <w:rPr>
          <w:b/>
          <w:bCs/>
        </w:rPr>
      </w:pPr>
      <w:bookmarkStart w:id="15" w:name="_heading=h.l6k849w7nec8" w:colFirst="0" w:colLast="0"/>
      <w:bookmarkStart w:id="16" w:name="_heading=h.hy0w889gnx5p" w:colFirst="0" w:colLast="0"/>
      <w:bookmarkEnd w:id="15"/>
      <w:bookmarkEnd w:id="16"/>
      <w:r w:rsidRPr="009F0AE3">
        <w:rPr>
          <w:b/>
          <w:bCs/>
        </w:rPr>
        <w:t>Öz</w:t>
      </w:r>
      <w:r w:rsidR="00280CB2" w:rsidRPr="009F0AE3">
        <w:rPr>
          <w:b/>
          <w:bCs/>
        </w:rPr>
        <w:t>et</w:t>
      </w:r>
    </w:p>
    <w:p w14:paraId="241B17D5" w14:textId="77777777" w:rsidR="0034640B" w:rsidRDefault="0034640B" w:rsidP="002604BA">
      <w:pPr>
        <w:jc w:val="both"/>
      </w:pPr>
      <w:r>
        <w:t>Bu çalışmanın amacı, romantik ilişkilerde belirsizlikten kaynaklanan kaygıyı ölçmeye yönelik bir ölçek geliştirmek ve bu ölçeğin psikometrik özelliklerini değerlendirmektir. Araştırma kapsamında, halihazırda bir ilişki içerisinde olan ya da öncesinde romantik ilişki deneyimine sahip olan 206 katılımcıdan veri toplanmıştır. Bir katılımcıya ait puan uç değer niteliğinde olduğu için çalışma dışında bırakılmıştır. Ölçek geliştirme süreci, alan yazından elde edilen kavramsal bilgiler doğrultusunda oluşturulan 25 maddeyle başlamış, yapılan analizler sonucunda ölçeğin nihai formunda 18 madde kalmıştır. Temel Bileşenler Analizi sonucunda ölçeğin iki faktörlü bir yapıya sahip olduğu belirlenmiştir. Ölçeğin iç tutarlık anlamında güvenirlik katsayısı (</w:t>
      </w:r>
      <w:proofErr w:type="spellStart"/>
      <w:r>
        <w:t>Cronbach’s</w:t>
      </w:r>
      <w:proofErr w:type="spellEnd"/>
      <w:r>
        <w:t xml:space="preserve"> Alpha) 0,95 olarak bulunmuş, madde-toplam korelasyonlarının 0,50 ile 0,81 arasında değiştiği görülmüştür. Elde edilen bulgular, ölçeğin romantik ilişkilerde belirsizlik kaynaklı kaygıyı ölçmede geçerli ve güvenilir bir araç olduğunu ortaya koymaktadır. Bu </w:t>
      </w:r>
      <w:proofErr w:type="gramStart"/>
      <w:r>
        <w:t>ölçek,</w:t>
      </w:r>
      <w:proofErr w:type="gramEnd"/>
      <w:r>
        <w:t xml:space="preserve"> hem araştırmacılar hem de uygulayıcılar için romantik ilişki dinamiklerinin değerlendirilmesinde kullanılabilir.</w:t>
      </w:r>
    </w:p>
    <w:p w14:paraId="2016D1DC" w14:textId="77777777" w:rsidR="002C3918" w:rsidRDefault="002C3918" w:rsidP="002C3918">
      <w:pPr>
        <w:spacing w:line="480" w:lineRule="auto"/>
        <w:ind w:right="-286"/>
        <w:jc w:val="both"/>
      </w:pPr>
    </w:p>
    <w:p w14:paraId="0654B7F0" w14:textId="7B2117B9" w:rsidR="000A70F0" w:rsidRDefault="0034640B" w:rsidP="0034640B">
      <w:pPr>
        <w:spacing w:line="480" w:lineRule="auto"/>
        <w:ind w:right="-286"/>
        <w:jc w:val="both"/>
      </w:pPr>
      <w:r w:rsidRPr="002C3918">
        <w:rPr>
          <w:b/>
          <w:bCs/>
          <w:iCs/>
        </w:rPr>
        <w:t>Anahtar Kelimeler</w:t>
      </w:r>
      <w:r>
        <w:rPr>
          <w:i/>
        </w:rPr>
        <w:t>:</w:t>
      </w:r>
      <w:r>
        <w:t xml:space="preserve"> Romantik ilişkiler, belirsizlik, kaygı, güvenirlik, geçerlik</w:t>
      </w:r>
    </w:p>
    <w:p w14:paraId="45D2D55B" w14:textId="77777777" w:rsidR="0034640B" w:rsidRPr="009F0AE3" w:rsidRDefault="0034640B" w:rsidP="00FC4D53">
      <w:pPr>
        <w:jc w:val="center"/>
        <w:rPr>
          <w:b/>
          <w:bCs/>
        </w:rPr>
      </w:pPr>
      <w:r w:rsidRPr="009F0AE3">
        <w:rPr>
          <w:b/>
          <w:bCs/>
        </w:rPr>
        <w:t>Romantik İlişkilerde Belirsizliğin Yarattığı Kaygı Ölçeği: Geçerlik ve Güvenirlik Çalışması</w:t>
      </w:r>
    </w:p>
    <w:p w14:paraId="444FEED5" w14:textId="77777777" w:rsidR="0034640B" w:rsidRDefault="0034640B" w:rsidP="000A70F0">
      <w:pPr>
        <w:spacing w:before="240" w:after="240"/>
        <w:jc w:val="both"/>
      </w:pPr>
      <w:r>
        <w:t>İnsanın psikolojik ve sosyal gelişiminde romantik ilişkiler, temel bir ihtiyaç ve doyum kaynağı olarak ön plana çıkar. Bağlanma kuramı (</w:t>
      </w:r>
      <w:proofErr w:type="spellStart"/>
      <w:r>
        <w:t>Bowlby</w:t>
      </w:r>
      <w:proofErr w:type="spellEnd"/>
      <w:r>
        <w:t xml:space="preserve">, 1969), bireylerin erken çocukluk döneminde ebeveynleriyle kurdukları bağlanma biçimlerinin yetişkinlik dönemindeki romantik ilişkilerinde belirleyici olduğunu ifade eder. Güvenli bağlanma geliştiren bireyler, ilişkilerde güven, yakınlık ve sağlıklı bir iletişim sergilerken; kaygılı bağlanma stiline sahip bireyler, ilişkilerinde terk edilme korkusu, yetersizlik hissi ve yoğun kaygı yaşayabilirler. Bu bağlanma stillerinin yetişkin romantik ilişkilerindeki duygusal süreçleri şekillendirdiği alan yazında kapsamlı bir şekilde ortaya konmuştur (Hazan &amp; </w:t>
      </w:r>
      <w:proofErr w:type="spellStart"/>
      <w:r>
        <w:t>Shaver</w:t>
      </w:r>
      <w:proofErr w:type="spellEnd"/>
      <w:r>
        <w:t>, 1987).</w:t>
      </w:r>
    </w:p>
    <w:p w14:paraId="498A3500" w14:textId="77777777" w:rsidR="0034640B" w:rsidRDefault="0034640B" w:rsidP="000A70F0">
      <w:pPr>
        <w:spacing w:before="240" w:after="240"/>
        <w:jc w:val="both"/>
      </w:pPr>
      <w:r>
        <w:t xml:space="preserve">Bununla birlikte, romantik ilişkilerin dinamiklerini anlamada </w:t>
      </w:r>
      <w:proofErr w:type="spellStart"/>
      <w:r>
        <w:t>Sternberg’in</w:t>
      </w:r>
      <w:proofErr w:type="spellEnd"/>
      <w:r>
        <w:t xml:space="preserve"> Aşk Üçgeni Kuramı </w:t>
      </w:r>
      <w:r>
        <w:lastRenderedPageBreak/>
        <w:t xml:space="preserve">(1986) önemli bir yapı sunar. Kuram, romantik ilişkilerin samimiyet (yakınlık), tutku ve karar/bağlılık olmak üzere üç temel bileşenden oluştuğunu öne sürer. Bu bileşenlerden bir veya daha fazlasının eksikliği, ilişkide duygusal tatminsizlik ve dengesizlik yaratabilir. Örneğin, samimiyet eksikliği, bireylerde duygusal bir boşluk hissine yol açarak, ilişki içerisindeki güvensizlik ve kaygıyı artırabilir. </w:t>
      </w:r>
      <w:proofErr w:type="spellStart"/>
      <w:r>
        <w:t>Horowitz</w:t>
      </w:r>
      <w:proofErr w:type="spellEnd"/>
      <w:r>
        <w:t xml:space="preserve"> (1979), romantik ilişkilerde yeterli düzeyde yakınlık sağlanamamasının bireylerin psikoterapi arayışındaki en yaygın nedenlerden biri olduğunu vurgulamaktadır. Bu, yakınlık eksikliğinin bireysel psikolojik iyi oluş üzerindeki etkisini açıkça ortaya koymaktadır.</w:t>
      </w:r>
    </w:p>
    <w:p w14:paraId="56200FC0" w14:textId="77777777" w:rsidR="0034640B" w:rsidRDefault="0034640B" w:rsidP="000A70F0">
      <w:pPr>
        <w:spacing w:before="240" w:after="240"/>
        <w:jc w:val="both"/>
      </w:pPr>
      <w:r>
        <w:t xml:space="preserve">Romantik ilişkilerde algılanan kaygıyı anlamada Bağlanma Kuramı ve </w:t>
      </w:r>
      <w:proofErr w:type="spellStart"/>
      <w:r>
        <w:t>Sternberg’in</w:t>
      </w:r>
      <w:proofErr w:type="spellEnd"/>
      <w:r>
        <w:t xml:space="preserve"> Aşk Üçgeni </w:t>
      </w:r>
      <w:proofErr w:type="spellStart"/>
      <w:r>
        <w:t>Kuramı’nın</w:t>
      </w:r>
      <w:proofErr w:type="spellEnd"/>
      <w:r>
        <w:t xml:space="preserve"> yanında, Duygusal Zekâ Teorisi (</w:t>
      </w:r>
      <w:proofErr w:type="spellStart"/>
      <w:r>
        <w:t>Salovey</w:t>
      </w:r>
      <w:proofErr w:type="spellEnd"/>
      <w:r>
        <w:t xml:space="preserve"> &amp; Mayer, 1990) de dikkate alınmalıdır. Duygusal zekâ, bireyin kendisinin ve partnerinin duygusal durumlarını tanıma, anlama ve yönetme yeteneğini ifade eder. İlişkilerde yüksek duygusal zekâya sahip bireylerin, partnerlerinin ihtiyaçlarına daha duyarlı oldukları ve bu nedenle daha az kaygı yaşadıkları görülmektedir. Ancak, duygusal zekâ düzeyi düşük bireyler, partnerlerinin duygusal taleplerine yeterince yanıt veremeyebilir; bu durum, bireylerin hem kendilerinde hem de partnerlerinde algılanan kaygının yükselmesine neden olabilir.</w:t>
      </w:r>
    </w:p>
    <w:p w14:paraId="27090EEB" w14:textId="77777777" w:rsidR="0034640B" w:rsidRDefault="0034640B" w:rsidP="000A70F0">
      <w:pPr>
        <w:spacing w:before="240" w:after="240"/>
        <w:jc w:val="both"/>
      </w:pPr>
      <w:r>
        <w:t>Bir diğer kuram olan Sosyal Bağlanma Teorisi (Weiss, 1974) de bireylerin sosyal ilişkilerdeki temel ihtiyaçlarını açıklamaktadır. Weiss, bireylerin sosyal ilişkilerde iki temel ihtiyacı olduğunu öne sürer: yakınlık ve bağlılık. Romantik ilişkilerde bu ihtiyaçların karşılanmaması, bireyin psikolojik dengesini bozarak kaygı, depresyon ve yalnızlık gibi olumsuz duygusal durumların ortaya çıkmasına neden olabilir. Özellikle, partnerden yeterli destek ve güven alamayan bireylerde, ilişkide yaşanan sorunların çözümüne yönelik çabaların yetersiz kalması, algılanan kaygının artmasına yol açabilir.</w:t>
      </w:r>
    </w:p>
    <w:p w14:paraId="218E22DE" w14:textId="77777777" w:rsidR="0034640B" w:rsidRDefault="0034640B" w:rsidP="000A70F0">
      <w:pPr>
        <w:spacing w:before="240" w:after="240"/>
        <w:jc w:val="both"/>
      </w:pPr>
      <w:r>
        <w:t xml:space="preserve">Ek olarak, Stres ve Başa Çıkma Kuramı (Lazarus ve </w:t>
      </w:r>
      <w:proofErr w:type="spellStart"/>
      <w:r>
        <w:t>Folkman</w:t>
      </w:r>
      <w:proofErr w:type="spellEnd"/>
      <w:r>
        <w:t>, 1984), romantik ilişkilerdeki stres kaynaklarını ve bireylerin bu stresle nasıl başa çıktığını anlamada önemli bir çerçeve sunar. Bireyler, ilişkilerindeki sorunları değerlendirme biçimlerine göre ya problem çözmeye yönelik stratejiler geliştirebilir ya da bu sorunları bir tehdit olarak algılayarak kaygı düzeyini yükseltebilir. Örneğin, birey partnerinin yeterli samimiyet göstermemesini kişisel bir yetersizlik olarak algıladığında, kaygı düzeyi artabilir ve bu durum ilişki dinamiğini daha da olumsuz etkileyebilir. Maslow’un İhtiyaçlar Hiyerarşisi Kuramı (1943) da romantik ilişkilerde kaygının anlaşılmasında önemli bir bakış açısı sunmaktadır. Maslow, bireylerin temel ihtiyaçlarının karşılanmasının, daha yüksek düzeydeki ihtiyaçların karşılanmasının ön koşulu olduğunu öne sürer. Sevgi ve ait olma ihtiyacı, bireylerin psikolojik iyi oluşunda kritik bir öneme sahiptir. Bu ihtiyacın romantik bir ilişkide karşılanamaması, bireyin güvensizlik, yetersizlik ve kaygı gibi olumsuz duygular deneyimlemesine neden olabilir (Maslow, 1943).</w:t>
      </w:r>
    </w:p>
    <w:p w14:paraId="64DC5BCA" w14:textId="77777777" w:rsidR="0034640B" w:rsidRDefault="0034640B" w:rsidP="000A70F0">
      <w:pPr>
        <w:spacing w:before="240" w:after="240"/>
        <w:jc w:val="both"/>
      </w:pPr>
      <w:r>
        <w:t>Belirsizliğe tahammülsüzlük, bireylerin belirsiz durumları tehdit edici ve rahatsız edici olarak algılama eğilimidir (</w:t>
      </w:r>
      <w:proofErr w:type="spellStart"/>
      <w:r>
        <w:t>Freeston</w:t>
      </w:r>
      <w:proofErr w:type="spellEnd"/>
      <w:r>
        <w:t xml:space="preserve"> vd., 1994). Romantik ilişkiler, doğası gereği belirsizlik barındırır; ilişkinin geleceği, partnerin duyguları ya da davranışlarının anlamı gibi konular, bireylerde kaygıya yol açabilir. Belirsizliğe tahammülsüzlük düzeyi yüksek bireyler, ilişkilerinde daha fazla güvence arayışı içinde olabilir ve bu durum, ilişkisel dinamikleri olumsuz etkileyebilir.</w:t>
      </w:r>
    </w:p>
    <w:p w14:paraId="74BA369C" w14:textId="77777777" w:rsidR="0034640B" w:rsidRDefault="0034640B" w:rsidP="000A70F0">
      <w:pPr>
        <w:spacing w:before="240" w:after="240"/>
        <w:jc w:val="both"/>
      </w:pPr>
      <w:r>
        <w:t xml:space="preserve">Tüm bu bilgiler ışığında bahsedilen kuramlardaki ihtiyaçların belirsiz bırakılması partnerleri kaygıya sürükleyen durumlardır. Bu çalışmada bahsedilen kuramsal çerçevelerden yola çıkarak, bireylerin romantik ilişkilerde belirsizliğe yönelik algıladıkları kaygıyı ölçmek için </w:t>
      </w:r>
      <w:r>
        <w:lastRenderedPageBreak/>
        <w:t>geçerli ve güvenilir bir ölçek geliştirmeyi amaçlamaktadır. Bu ölçek sayesinde, bireylerin romantik ilişkilerindeki belirsizlik durumundaki kaygı düzeylerini anlamak ve bu kaygının altında yatan dinamikleri çözümlemek mümkün olacaktır. Ölçeğin psikoterapi, danışmanlık ve araştırma süreçlerine katkı sağlayarak, bireylerin romantik ilişkilerde daha sağlıklı bir duygusal denge kurmalarına destek olacağı düşünülmektedir.</w:t>
      </w:r>
    </w:p>
    <w:p w14:paraId="1FE8AD9B" w14:textId="6ACAC09F" w:rsidR="009F0AE3" w:rsidRPr="009F0AE3" w:rsidRDefault="0034640B" w:rsidP="009F0AE3">
      <w:pPr>
        <w:rPr>
          <w:b/>
          <w:bCs/>
        </w:rPr>
      </w:pPr>
      <w:r w:rsidRPr="009F0AE3">
        <w:rPr>
          <w:b/>
          <w:bCs/>
        </w:rPr>
        <w:t>Yöntem</w:t>
      </w:r>
    </w:p>
    <w:p w14:paraId="48784062" w14:textId="77777777" w:rsidR="0034640B" w:rsidRPr="009F0AE3" w:rsidRDefault="0034640B" w:rsidP="009F0AE3">
      <w:pPr>
        <w:rPr>
          <w:b/>
          <w:bCs/>
        </w:rPr>
      </w:pPr>
      <w:r w:rsidRPr="009F0AE3">
        <w:rPr>
          <w:b/>
          <w:bCs/>
        </w:rPr>
        <w:t>Araştırma Deseni</w:t>
      </w:r>
    </w:p>
    <w:p w14:paraId="484AC16C" w14:textId="77777777" w:rsidR="0034640B" w:rsidRDefault="0034640B" w:rsidP="000A70F0">
      <w:pPr>
        <w:ind w:right="-2"/>
        <w:jc w:val="both"/>
      </w:pPr>
      <w:r>
        <w:t>Romantik ilişkilerde belirsizliğe yönelik kaygıya dair bir ölçek geliştirmenin amaçlandığı bu araştırmanın deseni, açımlayıcı karma araştırma desenidir. Açımlayıcı karma araştırma desenlerinde önce nitel araştırma yaklaşımıyla başlanır, daha sonra nicel araştırma yaklaşımı ile devam edilir.</w:t>
      </w:r>
    </w:p>
    <w:p w14:paraId="334ED086" w14:textId="77777777" w:rsidR="000A70F0" w:rsidRDefault="000A70F0" w:rsidP="000A70F0">
      <w:pPr>
        <w:ind w:right="-2"/>
        <w:jc w:val="both"/>
      </w:pPr>
    </w:p>
    <w:p w14:paraId="74424296" w14:textId="2D0177C5" w:rsidR="002604BA" w:rsidRPr="009F0AE3" w:rsidRDefault="0034640B" w:rsidP="009F0AE3">
      <w:pPr>
        <w:rPr>
          <w:b/>
          <w:bCs/>
        </w:rPr>
      </w:pPr>
      <w:r w:rsidRPr="009F0AE3">
        <w:rPr>
          <w:b/>
          <w:bCs/>
        </w:rPr>
        <w:t>Çalışma Grubu</w:t>
      </w:r>
    </w:p>
    <w:p w14:paraId="3825E14C" w14:textId="77777777" w:rsidR="0034640B" w:rsidRDefault="0034640B" w:rsidP="000A70F0">
      <w:pPr>
        <w:ind w:right="-2"/>
        <w:jc w:val="both"/>
      </w:pPr>
      <w:r>
        <w:t>Maddelerin belirlenmesi için yapılan çalışmanın nitel bölümünde 19 katılımcıya kompozisyon yazdırılmıştır. Ölçek hazırlandıktan sonra çalışmaya halihazırda bir romantik ilişki içinde bulunan ya da daha öncesinde bir romantik ilişki içinde bulunmuş toplam 206 kişi katılmıştır. Bir katılımcıya ait standart puan, uç değer niteliğinde olduğu için veri setinden çıkarılmış ve çalışmaya 205 katılımcı ile devam edilmiştir.</w:t>
      </w:r>
    </w:p>
    <w:p w14:paraId="7DBAB594" w14:textId="77777777" w:rsidR="000A70F0" w:rsidRDefault="000A70F0" w:rsidP="000A70F0">
      <w:pPr>
        <w:ind w:right="-2"/>
        <w:jc w:val="both"/>
      </w:pPr>
    </w:p>
    <w:p w14:paraId="2040ED1D" w14:textId="77777777" w:rsidR="0034640B" w:rsidRPr="009F0AE3" w:rsidRDefault="0034640B" w:rsidP="009F0AE3">
      <w:pPr>
        <w:rPr>
          <w:b/>
          <w:bCs/>
        </w:rPr>
      </w:pPr>
      <w:r w:rsidRPr="009F0AE3">
        <w:rPr>
          <w:b/>
          <w:bCs/>
        </w:rPr>
        <w:t>Veri Toplama Araçları</w:t>
      </w:r>
    </w:p>
    <w:p w14:paraId="75D53677" w14:textId="77777777" w:rsidR="0034640B" w:rsidRDefault="0034640B" w:rsidP="000A70F0">
      <w:pPr>
        <w:ind w:right="-2"/>
        <w:jc w:val="both"/>
      </w:pPr>
      <w:r>
        <w:t>Çalışmada katılımcılara sırasıyla demografik bilgi formu, geliştirilmesi amaçlanan Romantik İlişkilerde Belirsizliğin Yarattığı Kaygı Ölçeği (RİBYKÖ) ve yakınsak geçerlik için Flört Kaygısı Ölçeği (FKÖ) sunulmuştur.</w:t>
      </w:r>
    </w:p>
    <w:p w14:paraId="471D51A8" w14:textId="77777777" w:rsidR="000A70F0" w:rsidRDefault="000A70F0" w:rsidP="000A70F0">
      <w:pPr>
        <w:ind w:right="-2"/>
        <w:jc w:val="both"/>
      </w:pPr>
    </w:p>
    <w:p w14:paraId="0F9777A2" w14:textId="1592231B" w:rsidR="0034640B" w:rsidRPr="009F0AE3" w:rsidRDefault="0034640B" w:rsidP="009F0AE3">
      <w:pPr>
        <w:rPr>
          <w:b/>
          <w:bCs/>
        </w:rPr>
      </w:pPr>
      <w:r w:rsidRPr="009F0AE3">
        <w:rPr>
          <w:b/>
          <w:bCs/>
        </w:rPr>
        <w:t>Flört Kaygısı Ölçeği</w:t>
      </w:r>
    </w:p>
    <w:p w14:paraId="40D533D4" w14:textId="77777777" w:rsidR="0034640B" w:rsidRDefault="0034640B" w:rsidP="000A70F0">
      <w:pPr>
        <w:ind w:right="-2"/>
        <w:jc w:val="both"/>
      </w:pPr>
      <w:r>
        <w:t xml:space="preserve">Flört Kaygısı Ölçeği (FKÖ), bireylerin romantik ilişkilerde yaşadığı kaygıyı değerlendirmek için </w:t>
      </w:r>
      <w:proofErr w:type="spellStart"/>
      <w:r>
        <w:t>Glickman</w:t>
      </w:r>
      <w:proofErr w:type="spellEnd"/>
      <w:r>
        <w:t xml:space="preserve"> ve La </w:t>
      </w:r>
      <w:proofErr w:type="spellStart"/>
      <w:r>
        <w:t>Greca</w:t>
      </w:r>
      <w:proofErr w:type="spellEnd"/>
      <w:r>
        <w:t xml:space="preserve"> (2004) tarafından geliştirilmiş, Türkçeye uyarlama çalışması ise Öz Soysal, Bakalım ve Ogan (2023) tarafından yapılmıştır. Ölçek, toplam 21 maddeden oluşmakta ve üç alt boyut içermektedir. Bu alt boyutlar: Olumsuz Değerlendirme Korkusu – Flört (8 madde), Sosyal Stres – Flört (8 madde) ve Sosyal Stres – Grup (5 madde) şeklindedir.</w:t>
      </w:r>
    </w:p>
    <w:p w14:paraId="4E322BC6" w14:textId="77777777" w:rsidR="0034640B" w:rsidRDefault="0034640B" w:rsidP="000A70F0">
      <w:pPr>
        <w:ind w:right="-2"/>
        <w:jc w:val="both"/>
      </w:pPr>
      <w:r>
        <w:t>Türkçe uyarlama çalışmasında, ölçeğin geçerlik ve güvenirliği kapsamlı bir şekilde test edilmiştir. Temel Bileşenler Analizi sonucunda ölçeğin üç faktörlü yapısı doğrulanmıştır. Ölçeğin genel iç tutarlılık katsayısı (</w:t>
      </w:r>
      <w:proofErr w:type="spellStart"/>
      <w:r>
        <w:t>Cronbach’s</w:t>
      </w:r>
      <w:proofErr w:type="spellEnd"/>
      <w:r>
        <w:t xml:space="preserve"> Alpha) .92 olarak hesaplanmıştır. Alt boyutlar için ise sırasıyla .89, .88 ve .85 olarak bulunmuştur. Ayrıca, test-tekrar test güvenirliği analizi sonucunda iki hafta arayla yapılan ölçümler arasında yüksek düzeyde tutarlılık (</w:t>
      </w:r>
      <w:r>
        <w:rPr>
          <w:i/>
        </w:rPr>
        <w:t>r</w:t>
      </w:r>
      <w:r>
        <w:t>=.85) olduğu görülmüştür.</w:t>
      </w:r>
    </w:p>
    <w:p w14:paraId="0463DE54" w14:textId="77777777" w:rsidR="000A70F0" w:rsidRDefault="000A70F0" w:rsidP="000A70F0">
      <w:pPr>
        <w:ind w:right="-2"/>
        <w:jc w:val="both"/>
      </w:pPr>
    </w:p>
    <w:p w14:paraId="75C62A03" w14:textId="77777777" w:rsidR="0034640B" w:rsidRPr="009F0AE3" w:rsidRDefault="0034640B" w:rsidP="009F0AE3">
      <w:pPr>
        <w:rPr>
          <w:b/>
          <w:bCs/>
        </w:rPr>
      </w:pPr>
      <w:r w:rsidRPr="009F0AE3">
        <w:rPr>
          <w:b/>
          <w:bCs/>
        </w:rPr>
        <w:t>Verilerin Toplanması</w:t>
      </w:r>
    </w:p>
    <w:p w14:paraId="4E46A22F" w14:textId="77777777" w:rsidR="0034640B" w:rsidRDefault="0034640B" w:rsidP="000A70F0">
      <w:pPr>
        <w:ind w:right="-2"/>
        <w:jc w:val="both"/>
      </w:pPr>
      <w:r>
        <w:t xml:space="preserve">Katılımcılara çevrimiçi sosyal ağlar aracılığıyla ulaşılmıştır. Veriler çevrim içi ortamda, halihazırda ya da daha önceden romantik ilişki deneyimi bulunan gönüllü katılımcılardan toplanmıştır. Katılımcılardan anonimliklerini bozacak herhangi bir bilgi istenmemiştir. Veri toplama araçlarının </w:t>
      </w:r>
      <w:proofErr w:type="gramStart"/>
      <w:r>
        <w:t>cevaplandırılması  yaklaşık</w:t>
      </w:r>
      <w:proofErr w:type="gramEnd"/>
      <w:r>
        <w:t xml:space="preserve"> 15 dakika sürmüştür.</w:t>
      </w:r>
    </w:p>
    <w:p w14:paraId="04342D31" w14:textId="77777777" w:rsidR="000A70F0" w:rsidRDefault="000A70F0" w:rsidP="000A70F0">
      <w:pPr>
        <w:ind w:right="-2"/>
        <w:jc w:val="both"/>
      </w:pPr>
    </w:p>
    <w:p w14:paraId="06C8D0E6" w14:textId="77777777" w:rsidR="0034640B" w:rsidRPr="009F0AE3" w:rsidRDefault="0034640B" w:rsidP="009F0AE3">
      <w:pPr>
        <w:rPr>
          <w:b/>
          <w:bCs/>
        </w:rPr>
      </w:pPr>
      <w:r w:rsidRPr="009F0AE3">
        <w:rPr>
          <w:b/>
          <w:bCs/>
        </w:rPr>
        <w:t>Verilerin Analizi</w:t>
      </w:r>
    </w:p>
    <w:p w14:paraId="6102C9A4" w14:textId="225971A4" w:rsidR="0034640B" w:rsidRDefault="0034640B" w:rsidP="002C3918">
      <w:pPr>
        <w:ind w:right="-2"/>
        <w:jc w:val="both"/>
      </w:pPr>
      <w:r>
        <w:t>Bu çalışmada elde edilen verilerin geçerlilik ve güvenilirlik analizleri SPSS kullanılarak gerçekleştirilmiştir.</w:t>
      </w:r>
    </w:p>
    <w:p w14:paraId="42FE7A5C" w14:textId="77777777" w:rsidR="0034640B" w:rsidRPr="009F0AE3" w:rsidRDefault="0034640B" w:rsidP="009F0AE3">
      <w:pPr>
        <w:rPr>
          <w:b/>
          <w:bCs/>
        </w:rPr>
      </w:pPr>
      <w:r w:rsidRPr="009F0AE3">
        <w:rPr>
          <w:b/>
          <w:bCs/>
        </w:rPr>
        <w:lastRenderedPageBreak/>
        <w:t>İşlem</w:t>
      </w:r>
    </w:p>
    <w:p w14:paraId="37A8F6D6" w14:textId="5C696835" w:rsidR="0034640B" w:rsidRDefault="0034640B" w:rsidP="000A70F0">
      <w:pPr>
        <w:ind w:right="-2"/>
        <w:jc w:val="both"/>
      </w:pPr>
      <w:r>
        <w:t>Bu araştırmada da öncelikle geliştirilecek ölçeğin ölçtüğü özelliğe ilişkin bir grup katılımcıya (</w:t>
      </w:r>
      <w:r>
        <w:rPr>
          <w:i/>
        </w:rPr>
        <w:t>n</w:t>
      </w:r>
      <w:r>
        <w:t>=19) kompozisyon yazdırılmış, yazılan kompozisyonlar nitel veri analizi yaklaşımıyla ele alınmış ve bu kompozisyonlara bağlı olarak ölçeğin taslak formu ortaya konulmuştur. Daha sonra alanında yetkin uzmanlardan uzman görüşleri alınmış ve bu görüşler ışığında maddelerin son haline karar verilmiştir. En sonunda da geliştirilen ölçeğin pilot uygulaması gerçekleştirilmiş ve toplanan veriler üzerinde nicel yaklaşımla gerekli analizler gerçekleştirilmiştir.</w:t>
      </w:r>
    </w:p>
    <w:p w14:paraId="68123A4B" w14:textId="77777777" w:rsidR="0034640B" w:rsidRDefault="0034640B" w:rsidP="000A70F0">
      <w:pPr>
        <w:ind w:right="-2"/>
        <w:jc w:val="both"/>
      </w:pPr>
      <w:r>
        <w:t xml:space="preserve">Ölçek geliştirmek için romantik ilişkilerin doğasına yönelik kuramlar incelenmiştir. Günümüzde romantik ilişkilerin farklılaşan dinamiği neticesinde bireylerin ilişki içerisinde belirsizliğe yönelik kaygı yaşamaları göz önünde bulundurularak, bu konuyla ilgili bir ölçek geliştirilmesinin literatüre anlamlı bir katkı sağlayacağı düşünülmüştür. Ölçek havuzu oluşturmak için 19 katılımcıdan romantik ilişkilerde belirsizliğe yönelik kompozisyon yazmaları istenmiş ve yazılan kompozisyonlar incelenerek bir madde havuzu oluşturulmuştur. İkisi psikoloji alanında, ikisi Türk dili ve edebiyatı alanında biri de ölçme ve değerlendirme alanında uzman toplam 5 uzmandan görüş alınmış ve buna göre ölçek maddeleri düzenlenmiştir. Ölçeğin taslak formunda yer </w:t>
      </w:r>
      <w:proofErr w:type="gramStart"/>
      <w:r>
        <w:t>alan  25</w:t>
      </w:r>
      <w:proofErr w:type="gramEnd"/>
      <w:r>
        <w:t xml:space="preserve"> madde, yapılan istatistiksel analizler sonucu 18’e düşürülmüştür. Ölçeğin nihai hali, 5’li </w:t>
      </w:r>
      <w:proofErr w:type="spellStart"/>
      <w:r>
        <w:t>Likert</w:t>
      </w:r>
      <w:proofErr w:type="spellEnd"/>
      <w:r>
        <w:t xml:space="preserve"> tipi formatında 18 maddeden oluşmaktadır.</w:t>
      </w:r>
    </w:p>
    <w:p w14:paraId="4D9127BA" w14:textId="77777777" w:rsidR="000A70F0" w:rsidRDefault="000A70F0" w:rsidP="000A70F0">
      <w:pPr>
        <w:ind w:right="-2"/>
        <w:jc w:val="both"/>
      </w:pPr>
    </w:p>
    <w:p w14:paraId="19B24637" w14:textId="54ADE934" w:rsidR="009F0AE3" w:rsidRPr="009F0AE3" w:rsidRDefault="0034640B" w:rsidP="009F0AE3">
      <w:pPr>
        <w:rPr>
          <w:b/>
          <w:bCs/>
        </w:rPr>
      </w:pPr>
      <w:r w:rsidRPr="009F0AE3">
        <w:rPr>
          <w:b/>
          <w:bCs/>
        </w:rPr>
        <w:t>Bulgular</w:t>
      </w:r>
    </w:p>
    <w:p w14:paraId="41FF6E88" w14:textId="2ED8598A" w:rsidR="009F0AE3" w:rsidRPr="009F0AE3" w:rsidRDefault="0034640B" w:rsidP="009F0AE3">
      <w:pPr>
        <w:rPr>
          <w:b/>
          <w:bCs/>
        </w:rPr>
      </w:pPr>
      <w:r w:rsidRPr="009F0AE3">
        <w:rPr>
          <w:b/>
          <w:bCs/>
        </w:rPr>
        <w:t>Geçerliğe İlişkin Bulgular</w:t>
      </w:r>
    </w:p>
    <w:p w14:paraId="59BFD150" w14:textId="3CEFE151" w:rsidR="009F0AE3" w:rsidRPr="009F0AE3" w:rsidRDefault="0034640B" w:rsidP="009F0AE3">
      <w:pPr>
        <w:rPr>
          <w:b/>
          <w:bCs/>
          <w:i/>
        </w:rPr>
      </w:pPr>
      <w:r w:rsidRPr="009F0AE3">
        <w:rPr>
          <w:b/>
          <w:bCs/>
          <w:i/>
        </w:rPr>
        <w:t>Temel Bileşenler Analizi</w:t>
      </w:r>
    </w:p>
    <w:p w14:paraId="1FD1B512" w14:textId="77777777" w:rsidR="0034640B" w:rsidRDefault="0034640B" w:rsidP="000A70F0">
      <w:pPr>
        <w:ind w:right="-2"/>
        <w:jc w:val="both"/>
      </w:pPr>
      <w:r>
        <w:t xml:space="preserve">Öncelikle, Temel Bileşenler Analizi (PCA) için varsayımlar test edilmiştir. </w:t>
      </w:r>
      <w:proofErr w:type="spellStart"/>
      <w:r>
        <w:t>Likert</w:t>
      </w:r>
      <w:proofErr w:type="spellEnd"/>
      <w:r>
        <w:t xml:space="preserve"> tipi maddelerin derece sayısının 5 olması nedeniyle, “değişkenlerin sürekli olması gerektiği” varsayımı karşılanmıştır. Uç değerler hesaplanmış ve bir katılımcıya ait puan uç değer olarak değerlendirilmiş ve veri setinden çıkarılmıştır. Analiz 205 katılımcı ile yürütülmüştür. Değişkenler arasındaki doğrusal ilişkilere dair bir diğer varsayım, Bartlett küresellik testi kullanılarak test edilmiştir ve anlamlı bulunmuştur (p&lt;0,05). Bu durum, değişkenler arasındaki ilişkilerin doğrusal olduğunu göstermektedir. Son varsayımla ilgili olarak (örneklem yeterliliği), KMO testi uygulanmış ve sonuç 0,93 bulunmuştur. Bu, örneklem büyüklüğünün mükemmel olduğunu göstermektedir (Kaiser, 1974).</w:t>
      </w:r>
    </w:p>
    <w:p w14:paraId="4B1C2F08" w14:textId="77777777" w:rsidR="0034640B" w:rsidRDefault="0034640B" w:rsidP="000A70F0">
      <w:pPr>
        <w:ind w:right="-2"/>
        <w:jc w:val="both"/>
      </w:pPr>
      <w:r>
        <w:t>Ölçek geliştirme çalışmalarında bileşen sayısına karar vermede dört temel ölçüt kullanılmaktadır (</w:t>
      </w:r>
      <w:proofErr w:type="spellStart"/>
      <w:r>
        <w:t>Costello</w:t>
      </w:r>
      <w:proofErr w:type="spellEnd"/>
      <w:r>
        <w:t xml:space="preserve"> &amp; Osborne, 2005):</w:t>
      </w:r>
    </w:p>
    <w:p w14:paraId="1345284A" w14:textId="77777777" w:rsidR="0034640B" w:rsidRDefault="0034640B">
      <w:pPr>
        <w:widowControl/>
        <w:numPr>
          <w:ilvl w:val="0"/>
          <w:numId w:val="9"/>
        </w:numPr>
        <w:autoSpaceDE/>
        <w:autoSpaceDN/>
        <w:ind w:right="-2"/>
        <w:jc w:val="both"/>
      </w:pPr>
      <w:r>
        <w:t>Özdeğer Kriteri (</w:t>
      </w:r>
      <w:proofErr w:type="spellStart"/>
      <w:r>
        <w:t>Eigenvalue</w:t>
      </w:r>
      <w:proofErr w:type="spellEnd"/>
      <w:r>
        <w:t>): Özdeğeri 1 veya üzeri olan bileşenler dikkate alınır.</w:t>
      </w:r>
    </w:p>
    <w:p w14:paraId="5F276550" w14:textId="77777777" w:rsidR="0034640B" w:rsidRDefault="0034640B">
      <w:pPr>
        <w:widowControl/>
        <w:numPr>
          <w:ilvl w:val="0"/>
          <w:numId w:val="9"/>
        </w:numPr>
        <w:autoSpaceDE/>
        <w:autoSpaceDN/>
        <w:ind w:right="-2"/>
        <w:jc w:val="both"/>
      </w:pPr>
      <w:proofErr w:type="spellStart"/>
      <w:r>
        <w:t>Scree</w:t>
      </w:r>
      <w:proofErr w:type="spellEnd"/>
      <w:r>
        <w:t xml:space="preserve"> </w:t>
      </w:r>
      <w:proofErr w:type="spellStart"/>
      <w:r>
        <w:t>Plot</w:t>
      </w:r>
      <w:proofErr w:type="spellEnd"/>
      <w:r>
        <w:t xml:space="preserve"> (Çakıl Taşı Grafiği): Grafikteki "dirsek noktası" dikkate alınarak bileşen sayısı belirlenir.</w:t>
      </w:r>
    </w:p>
    <w:p w14:paraId="0566A461" w14:textId="77777777" w:rsidR="0034640B" w:rsidRDefault="0034640B">
      <w:pPr>
        <w:widowControl/>
        <w:numPr>
          <w:ilvl w:val="0"/>
          <w:numId w:val="9"/>
        </w:numPr>
        <w:autoSpaceDE/>
        <w:autoSpaceDN/>
        <w:ind w:right="-2"/>
        <w:jc w:val="both"/>
      </w:pPr>
      <w:r>
        <w:t>Açıklanan Varyans Yüzdesi: Toplam varyansın en az %50’sini açıklayan bileşenler seçilir.</w:t>
      </w:r>
    </w:p>
    <w:p w14:paraId="4DBCC972" w14:textId="77777777" w:rsidR="0034640B" w:rsidRDefault="0034640B">
      <w:pPr>
        <w:widowControl/>
        <w:numPr>
          <w:ilvl w:val="0"/>
          <w:numId w:val="9"/>
        </w:numPr>
        <w:autoSpaceDE/>
        <w:autoSpaceDN/>
        <w:ind w:right="-2"/>
        <w:jc w:val="both"/>
      </w:pPr>
      <w:r>
        <w:t>Teorik ve Anlamsal Yorum: Bileşenlerin teorik uyumu ve anlamlılığı değerlendirilir.</w:t>
      </w:r>
    </w:p>
    <w:p w14:paraId="4806682A" w14:textId="59A3C6A0" w:rsidR="0034640B" w:rsidRPr="000A70F0" w:rsidRDefault="0034640B" w:rsidP="000A70F0">
      <w:pPr>
        <w:ind w:right="-2" w:firstLine="720"/>
        <w:jc w:val="both"/>
      </w:pPr>
      <w:r>
        <w:t>Bu ölçütler, bileşen sayısının doğru belirlenmesini ve ölçeğin geçerliğini destekler. Bu ölçütler dikkate alınarak bileşen sayısının iki olmasına karar verilmiş ve analiz gerçekleştirilmiştir. İki bileşene ait öz-değerler 1’in üzerindedir. İki bileşen tarafından açıklanan toplam varyans oranı %60 civarındadır. Bununla birlikte iki bileşene karar verdikten sonra döndürme yöntemi olarak “</w:t>
      </w:r>
      <w:proofErr w:type="spellStart"/>
      <w:r>
        <w:t>direct</w:t>
      </w:r>
      <w:proofErr w:type="spellEnd"/>
      <w:r>
        <w:t xml:space="preserve"> </w:t>
      </w:r>
      <w:proofErr w:type="spellStart"/>
      <w:r>
        <w:t>oblimin</w:t>
      </w:r>
      <w:proofErr w:type="spellEnd"/>
      <w:r>
        <w:t xml:space="preserve">” yöntemi kullanılmıştır. Çünkü iki bileşen arasında ilişkinin var olduğu kabul edilmiştir. Döndürme yöntemi seçilerek gerçekleştirilen analiz sonucunda her iki bileşene yük veren (faktör yükü) maddeler birer birer çıkarılarak </w:t>
      </w:r>
      <w:r>
        <w:lastRenderedPageBreak/>
        <w:t xml:space="preserve">toplam yedi madde ölçekten çıkarılmıştır. Ölçeğin nihai formunda 18 madde yer almaktadır. Bileşenlerin </w:t>
      </w:r>
      <w:proofErr w:type="gramStart"/>
      <w:r>
        <w:t>isimleri  ve</w:t>
      </w:r>
      <w:proofErr w:type="gramEnd"/>
      <w:r>
        <w:t xml:space="preserve"> bazı maddeler Tablo 1’de sunulmuştur.</w:t>
      </w:r>
    </w:p>
    <w:p w14:paraId="38D6E382" w14:textId="77777777" w:rsidR="0034640B" w:rsidRDefault="0034640B" w:rsidP="0034640B">
      <w:pPr>
        <w:spacing w:after="160" w:line="278" w:lineRule="auto"/>
      </w:pPr>
      <w:r>
        <w:t>Tablo 1:</w:t>
      </w:r>
    </w:p>
    <w:tbl>
      <w:tblPr>
        <w:tblpPr w:leftFromText="180" w:rightFromText="180" w:topFromText="180" w:bottomFromText="180" w:vertAnchor="text"/>
        <w:tblW w:w="9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530"/>
      </w:tblGrid>
      <w:tr w:rsidR="0034640B" w14:paraId="1F505D21" w14:textId="77777777" w:rsidTr="00D23BA5">
        <w:tc>
          <w:tcPr>
            <w:tcW w:w="4785" w:type="dxa"/>
          </w:tcPr>
          <w:p w14:paraId="26E2BA4F" w14:textId="77777777" w:rsidR="0034640B" w:rsidRDefault="0034640B" w:rsidP="00D23BA5">
            <w:pPr>
              <w:rPr>
                <w:b/>
              </w:rPr>
            </w:pPr>
            <w:r>
              <w:rPr>
                <w:b/>
              </w:rPr>
              <w:t>İlişkinin şimdiki durumuna ilişkin kaygı</w:t>
            </w:r>
          </w:p>
          <w:p w14:paraId="6312387F" w14:textId="77777777" w:rsidR="0034640B" w:rsidRDefault="0034640B" w:rsidP="00D23BA5">
            <w:pPr>
              <w:rPr>
                <w:b/>
              </w:rPr>
            </w:pPr>
          </w:p>
        </w:tc>
        <w:tc>
          <w:tcPr>
            <w:tcW w:w="4530" w:type="dxa"/>
          </w:tcPr>
          <w:p w14:paraId="4D0E4B22" w14:textId="77777777" w:rsidR="0034640B" w:rsidRDefault="0034640B" w:rsidP="00D23BA5">
            <w:pPr>
              <w:rPr>
                <w:b/>
              </w:rPr>
            </w:pPr>
            <w:r>
              <w:rPr>
                <w:b/>
              </w:rPr>
              <w:t>İlişkinin geleceğine yönelik kaygı</w:t>
            </w:r>
          </w:p>
          <w:p w14:paraId="38653FE1" w14:textId="77777777" w:rsidR="0034640B" w:rsidRDefault="0034640B" w:rsidP="00D23BA5">
            <w:pPr>
              <w:rPr>
                <w:b/>
              </w:rPr>
            </w:pPr>
          </w:p>
        </w:tc>
      </w:tr>
      <w:tr w:rsidR="0034640B" w14:paraId="3C04C44E" w14:textId="77777777" w:rsidTr="00D23BA5">
        <w:tc>
          <w:tcPr>
            <w:tcW w:w="4785" w:type="dxa"/>
          </w:tcPr>
          <w:p w14:paraId="69116BEA" w14:textId="52CFABF8" w:rsidR="0034640B" w:rsidRDefault="0034640B">
            <w:pPr>
              <w:widowControl/>
              <w:numPr>
                <w:ilvl w:val="0"/>
                <w:numId w:val="8"/>
              </w:numPr>
              <w:autoSpaceDE/>
              <w:autoSpaceDN/>
              <w:rPr>
                <w:b/>
              </w:rPr>
            </w:pPr>
            <w:r>
              <w:t>Partnerimin bana olan bağlılığından emin olamamam beni kaygıya sürükler.</w:t>
            </w:r>
          </w:p>
          <w:p w14:paraId="5C65E14C" w14:textId="77777777" w:rsidR="0034640B" w:rsidRDefault="0034640B" w:rsidP="00D23BA5"/>
        </w:tc>
        <w:tc>
          <w:tcPr>
            <w:tcW w:w="4530" w:type="dxa"/>
          </w:tcPr>
          <w:p w14:paraId="4B811306" w14:textId="77777777" w:rsidR="0034640B" w:rsidRDefault="0034640B">
            <w:pPr>
              <w:widowControl/>
              <w:numPr>
                <w:ilvl w:val="0"/>
                <w:numId w:val="8"/>
              </w:numPr>
              <w:autoSpaceDE/>
              <w:autoSpaceDN/>
              <w:rPr>
                <w:b/>
              </w:rPr>
            </w:pPr>
            <w:r>
              <w:t>Partnerimin ilişkinin geleceği hakkında konuşmaktan kaçınması beni tedirgin eder.</w:t>
            </w:r>
          </w:p>
          <w:p w14:paraId="31C3B508" w14:textId="77777777" w:rsidR="0034640B" w:rsidRDefault="0034640B" w:rsidP="00D23BA5"/>
        </w:tc>
      </w:tr>
      <w:tr w:rsidR="0034640B" w14:paraId="4B3E2023" w14:textId="77777777" w:rsidTr="00D23BA5">
        <w:trPr>
          <w:trHeight w:val="1035"/>
        </w:trPr>
        <w:tc>
          <w:tcPr>
            <w:tcW w:w="4785" w:type="dxa"/>
          </w:tcPr>
          <w:p w14:paraId="1DEBBA5B" w14:textId="77777777" w:rsidR="0034640B" w:rsidRDefault="0034640B">
            <w:pPr>
              <w:widowControl/>
              <w:numPr>
                <w:ilvl w:val="0"/>
                <w:numId w:val="8"/>
              </w:numPr>
              <w:autoSpaceDE/>
              <w:autoSpaceDN/>
              <w:spacing w:after="160" w:line="276" w:lineRule="auto"/>
              <w:jc w:val="both"/>
              <w:rPr>
                <w:b/>
              </w:rPr>
            </w:pPr>
            <w:r>
              <w:t>Partnerimin bana olan ilgisindeki değişkenlik benim için bir kaygı nedenidir.</w:t>
            </w:r>
          </w:p>
        </w:tc>
        <w:tc>
          <w:tcPr>
            <w:tcW w:w="4530" w:type="dxa"/>
          </w:tcPr>
          <w:p w14:paraId="7758FC9D" w14:textId="77777777" w:rsidR="0034640B" w:rsidRDefault="0034640B">
            <w:pPr>
              <w:widowControl/>
              <w:numPr>
                <w:ilvl w:val="0"/>
                <w:numId w:val="8"/>
              </w:numPr>
              <w:autoSpaceDE/>
              <w:autoSpaceDN/>
              <w:spacing w:after="160" w:line="276" w:lineRule="auto"/>
              <w:jc w:val="both"/>
              <w:rPr>
                <w:b/>
              </w:rPr>
            </w:pPr>
            <w:r>
              <w:t>Partnerimin beni ailesiyle tanıştırmaması beni rahatsız eder.</w:t>
            </w:r>
          </w:p>
          <w:p w14:paraId="2BDFFEC9" w14:textId="77777777" w:rsidR="0034640B" w:rsidRDefault="0034640B" w:rsidP="00D23BA5"/>
        </w:tc>
      </w:tr>
    </w:tbl>
    <w:p w14:paraId="372F0D33" w14:textId="77777777" w:rsidR="002C3918" w:rsidRDefault="002C3918" w:rsidP="0034640B">
      <w:pPr>
        <w:spacing w:line="480" w:lineRule="auto"/>
        <w:ind w:right="-2"/>
        <w:rPr>
          <w:b/>
        </w:rPr>
      </w:pPr>
    </w:p>
    <w:p w14:paraId="737ABC6F" w14:textId="77777777" w:rsidR="0034640B" w:rsidRPr="009F0AE3" w:rsidRDefault="0034640B" w:rsidP="009F0AE3">
      <w:pPr>
        <w:rPr>
          <w:b/>
          <w:bCs/>
        </w:rPr>
      </w:pPr>
      <w:r w:rsidRPr="009F0AE3">
        <w:rPr>
          <w:b/>
          <w:bCs/>
        </w:rPr>
        <w:t>Madde Toplam-Test Korelasyonları</w:t>
      </w:r>
    </w:p>
    <w:p w14:paraId="65573704" w14:textId="0A678153" w:rsidR="0034640B" w:rsidRPr="00FC4D53" w:rsidRDefault="0034640B" w:rsidP="00FC4D53">
      <w:pPr>
        <w:spacing w:line="480" w:lineRule="auto"/>
        <w:ind w:right="-2" w:firstLine="720"/>
        <w:rPr>
          <w:b/>
        </w:rPr>
      </w:pPr>
      <w:r>
        <w:t>Madde toplam-test korelasyonları Tablo 2’de verilmiştir.</w:t>
      </w:r>
    </w:p>
    <w:sdt>
      <w:sdtPr>
        <w:tag w:val="goog_rdk_0"/>
        <w:id w:val="1404726279"/>
        <w:lock w:val="contentLocked"/>
      </w:sdtPr>
      <w:sdtContent>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34640B" w14:paraId="2E5646FB" w14:textId="77777777" w:rsidTr="00D23BA5">
            <w:tc>
              <w:tcPr>
                <w:tcW w:w="4531" w:type="dxa"/>
              </w:tcPr>
              <w:p w14:paraId="5DE68F09" w14:textId="77777777" w:rsidR="0034640B" w:rsidRDefault="0034640B" w:rsidP="00D23BA5">
                <w:pPr>
                  <w:rPr>
                    <w:b/>
                  </w:rPr>
                </w:pPr>
                <w:r>
                  <w:rPr>
                    <w:b/>
                  </w:rPr>
                  <w:t>Madde No</w:t>
                </w:r>
              </w:p>
            </w:tc>
            <w:tc>
              <w:tcPr>
                <w:tcW w:w="4531" w:type="dxa"/>
              </w:tcPr>
              <w:p w14:paraId="710A2C66" w14:textId="77777777" w:rsidR="0034640B" w:rsidRDefault="0034640B" w:rsidP="00D23BA5">
                <w:pPr>
                  <w:rPr>
                    <w:b/>
                  </w:rPr>
                </w:pPr>
                <w:r>
                  <w:rPr>
                    <w:b/>
                  </w:rPr>
                  <w:t>Madde-Toplam Korelasyonu (𝑟)</w:t>
                </w:r>
              </w:p>
            </w:tc>
          </w:tr>
          <w:tr w:rsidR="0034640B" w14:paraId="1D395A8E" w14:textId="77777777" w:rsidTr="00D23BA5">
            <w:tc>
              <w:tcPr>
                <w:tcW w:w="4531" w:type="dxa"/>
              </w:tcPr>
              <w:p w14:paraId="3EEDE3AD" w14:textId="77777777" w:rsidR="0034640B" w:rsidRDefault="0034640B" w:rsidP="00D23BA5">
                <w:r>
                  <w:t>Madde 1</w:t>
                </w:r>
              </w:p>
            </w:tc>
            <w:tc>
              <w:tcPr>
                <w:tcW w:w="4531" w:type="dxa"/>
                <w:tcBorders>
                  <w:top w:val="single" w:sz="8" w:space="0" w:color="152935"/>
                  <w:left w:val="single" w:sz="8" w:space="0" w:color="E0E0E0"/>
                  <w:bottom w:val="single" w:sz="8" w:space="0" w:color="AEAEAE"/>
                  <w:right w:val="single" w:sz="8" w:space="0" w:color="E0E0E0"/>
                </w:tcBorders>
                <w:shd w:val="clear" w:color="auto" w:fill="F9F9FB"/>
              </w:tcPr>
              <w:p w14:paraId="47442B2E" w14:textId="77777777" w:rsidR="0034640B" w:rsidRDefault="0034640B" w:rsidP="00D23BA5">
                <w:r>
                  <w:t>0,63</w:t>
                </w:r>
              </w:p>
            </w:tc>
          </w:tr>
          <w:tr w:rsidR="0034640B" w14:paraId="6CACAF3E" w14:textId="77777777" w:rsidTr="00D23BA5">
            <w:tc>
              <w:tcPr>
                <w:tcW w:w="4531" w:type="dxa"/>
              </w:tcPr>
              <w:p w14:paraId="3C53C111" w14:textId="77777777" w:rsidR="0034640B" w:rsidRDefault="0034640B" w:rsidP="00D23BA5">
                <w:r>
                  <w:t>Madde 2</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74228DF4" w14:textId="77777777" w:rsidR="0034640B" w:rsidRDefault="0034640B" w:rsidP="00D23BA5">
                <w:r>
                  <w:t>0,72</w:t>
                </w:r>
              </w:p>
            </w:tc>
          </w:tr>
          <w:tr w:rsidR="0034640B" w14:paraId="5D7594B5" w14:textId="77777777" w:rsidTr="00D23BA5">
            <w:tc>
              <w:tcPr>
                <w:tcW w:w="4531" w:type="dxa"/>
              </w:tcPr>
              <w:p w14:paraId="37CBC30D" w14:textId="77777777" w:rsidR="0034640B" w:rsidRDefault="0034640B" w:rsidP="00D23BA5">
                <w:r>
                  <w:t>Madde 3</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1F06A85C" w14:textId="77777777" w:rsidR="0034640B" w:rsidRDefault="0034640B" w:rsidP="00D23BA5">
                <w:r>
                  <w:t>0,50</w:t>
                </w:r>
              </w:p>
            </w:tc>
          </w:tr>
          <w:tr w:rsidR="0034640B" w14:paraId="02C49EE2" w14:textId="77777777" w:rsidTr="00D23BA5">
            <w:tc>
              <w:tcPr>
                <w:tcW w:w="4531" w:type="dxa"/>
              </w:tcPr>
              <w:p w14:paraId="02D6C1F1" w14:textId="77777777" w:rsidR="0034640B" w:rsidRDefault="0034640B" w:rsidP="00D23BA5">
                <w:r>
                  <w:t>Madde 4</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03DAFA65" w14:textId="77777777" w:rsidR="0034640B" w:rsidRDefault="0034640B" w:rsidP="00D23BA5">
                <w:r>
                  <w:t>0,78</w:t>
                </w:r>
              </w:p>
            </w:tc>
          </w:tr>
          <w:tr w:rsidR="0034640B" w14:paraId="456CF015" w14:textId="77777777" w:rsidTr="00D23BA5">
            <w:tc>
              <w:tcPr>
                <w:tcW w:w="4531" w:type="dxa"/>
              </w:tcPr>
              <w:p w14:paraId="4C0FF254" w14:textId="77777777" w:rsidR="0034640B" w:rsidRDefault="0034640B" w:rsidP="00D23BA5">
                <w:r>
                  <w:t>Madde 5</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1AD05581" w14:textId="77777777" w:rsidR="0034640B" w:rsidRDefault="0034640B" w:rsidP="00D23BA5">
                <w:r>
                  <w:t>0,58</w:t>
                </w:r>
              </w:p>
            </w:tc>
          </w:tr>
          <w:tr w:rsidR="0034640B" w14:paraId="5722F49F" w14:textId="77777777" w:rsidTr="00D23BA5">
            <w:tc>
              <w:tcPr>
                <w:tcW w:w="4531" w:type="dxa"/>
              </w:tcPr>
              <w:p w14:paraId="7F4334A2" w14:textId="77777777" w:rsidR="0034640B" w:rsidRDefault="0034640B" w:rsidP="00D23BA5">
                <w:r>
                  <w:t>Madde 6</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50473757" w14:textId="77777777" w:rsidR="0034640B" w:rsidRDefault="0034640B" w:rsidP="00D23BA5">
                <w:r>
                  <w:t>0,59</w:t>
                </w:r>
              </w:p>
            </w:tc>
          </w:tr>
          <w:tr w:rsidR="0034640B" w14:paraId="47D75FEC" w14:textId="77777777" w:rsidTr="00D23BA5">
            <w:tc>
              <w:tcPr>
                <w:tcW w:w="4531" w:type="dxa"/>
              </w:tcPr>
              <w:p w14:paraId="730F66CD" w14:textId="77777777" w:rsidR="0034640B" w:rsidRDefault="0034640B" w:rsidP="00D23BA5">
                <w:r>
                  <w:t>Madde 7</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30E7CE05" w14:textId="77777777" w:rsidR="0034640B" w:rsidRDefault="0034640B" w:rsidP="00D23BA5">
                <w:r>
                  <w:t>0,81</w:t>
                </w:r>
              </w:p>
            </w:tc>
          </w:tr>
          <w:tr w:rsidR="0034640B" w14:paraId="3F7BDF4D" w14:textId="77777777" w:rsidTr="00D23BA5">
            <w:tc>
              <w:tcPr>
                <w:tcW w:w="4531" w:type="dxa"/>
              </w:tcPr>
              <w:p w14:paraId="2C87ACDD" w14:textId="77777777" w:rsidR="0034640B" w:rsidRDefault="0034640B" w:rsidP="00D23BA5">
                <w:r>
                  <w:t>Madde 8</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6BFF62BD" w14:textId="77777777" w:rsidR="0034640B" w:rsidRDefault="0034640B" w:rsidP="00D23BA5">
                <w:r>
                  <w:t>0,80</w:t>
                </w:r>
              </w:p>
            </w:tc>
          </w:tr>
          <w:tr w:rsidR="0034640B" w14:paraId="25D7CF38" w14:textId="77777777" w:rsidTr="00D23BA5">
            <w:tc>
              <w:tcPr>
                <w:tcW w:w="4531" w:type="dxa"/>
              </w:tcPr>
              <w:p w14:paraId="0E32635E" w14:textId="77777777" w:rsidR="0034640B" w:rsidRDefault="0034640B" w:rsidP="00D23BA5">
                <w:r>
                  <w:t>Madde 9</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3E1AD12F" w14:textId="77777777" w:rsidR="0034640B" w:rsidRDefault="0034640B" w:rsidP="00D23BA5">
                <w:r>
                  <w:t>0,72</w:t>
                </w:r>
              </w:p>
            </w:tc>
          </w:tr>
          <w:tr w:rsidR="0034640B" w14:paraId="3485DDDF" w14:textId="77777777" w:rsidTr="00D23BA5">
            <w:tc>
              <w:tcPr>
                <w:tcW w:w="4531" w:type="dxa"/>
              </w:tcPr>
              <w:p w14:paraId="63355455" w14:textId="77777777" w:rsidR="0034640B" w:rsidRDefault="0034640B" w:rsidP="00D23BA5">
                <w:r>
                  <w:t>Madde 10</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0FF13B8A" w14:textId="77777777" w:rsidR="0034640B" w:rsidRDefault="0034640B" w:rsidP="00D23BA5">
                <w:r>
                  <w:t>0,79</w:t>
                </w:r>
              </w:p>
            </w:tc>
          </w:tr>
          <w:tr w:rsidR="0034640B" w14:paraId="701BA289" w14:textId="77777777" w:rsidTr="00D23BA5">
            <w:tc>
              <w:tcPr>
                <w:tcW w:w="4531" w:type="dxa"/>
              </w:tcPr>
              <w:p w14:paraId="0E9D8B75" w14:textId="77777777" w:rsidR="0034640B" w:rsidRDefault="0034640B" w:rsidP="00D23BA5">
                <w:r>
                  <w:t>Madde 11</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4CFBBA01" w14:textId="77777777" w:rsidR="0034640B" w:rsidRDefault="0034640B" w:rsidP="00D23BA5">
                <w:r>
                  <w:t>0,75</w:t>
                </w:r>
              </w:p>
            </w:tc>
          </w:tr>
          <w:tr w:rsidR="0034640B" w14:paraId="50C802E5" w14:textId="77777777" w:rsidTr="00D23BA5">
            <w:tc>
              <w:tcPr>
                <w:tcW w:w="4531" w:type="dxa"/>
              </w:tcPr>
              <w:p w14:paraId="6F374A5E" w14:textId="77777777" w:rsidR="0034640B" w:rsidRDefault="0034640B" w:rsidP="00D23BA5">
                <w:r>
                  <w:t>Madde 12</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372CE7DE" w14:textId="77777777" w:rsidR="0034640B" w:rsidRDefault="0034640B" w:rsidP="00D23BA5">
                <w:r>
                  <w:t>0,70</w:t>
                </w:r>
              </w:p>
            </w:tc>
          </w:tr>
          <w:tr w:rsidR="0034640B" w14:paraId="3D4A8133" w14:textId="77777777" w:rsidTr="00D23BA5">
            <w:tc>
              <w:tcPr>
                <w:tcW w:w="4531" w:type="dxa"/>
              </w:tcPr>
              <w:p w14:paraId="2423DD77" w14:textId="77777777" w:rsidR="0034640B" w:rsidRDefault="0034640B" w:rsidP="00D23BA5">
                <w:r>
                  <w:t>Madde 13</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0EF3E2A5" w14:textId="77777777" w:rsidR="0034640B" w:rsidRDefault="0034640B" w:rsidP="00D23BA5">
                <w:r>
                  <w:t>0,67</w:t>
                </w:r>
              </w:p>
            </w:tc>
          </w:tr>
          <w:tr w:rsidR="0034640B" w14:paraId="51E077DC" w14:textId="77777777" w:rsidTr="00D23BA5">
            <w:tc>
              <w:tcPr>
                <w:tcW w:w="4531" w:type="dxa"/>
              </w:tcPr>
              <w:p w14:paraId="6E4B5046" w14:textId="77777777" w:rsidR="0034640B" w:rsidRDefault="0034640B" w:rsidP="00D23BA5">
                <w:r>
                  <w:t>Madde 14</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5A5389F6" w14:textId="77777777" w:rsidR="0034640B" w:rsidRDefault="0034640B" w:rsidP="00D23BA5">
                <w:r>
                  <w:t>0,66</w:t>
                </w:r>
              </w:p>
            </w:tc>
          </w:tr>
          <w:tr w:rsidR="0034640B" w14:paraId="6CFDE4DF" w14:textId="77777777" w:rsidTr="00D23BA5">
            <w:tc>
              <w:tcPr>
                <w:tcW w:w="4531" w:type="dxa"/>
              </w:tcPr>
              <w:p w14:paraId="2B63166E" w14:textId="77777777" w:rsidR="0034640B" w:rsidRDefault="0034640B" w:rsidP="00D23BA5">
                <w:r>
                  <w:t>Madde 15</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136035D5" w14:textId="77777777" w:rsidR="0034640B" w:rsidRDefault="0034640B" w:rsidP="00D23BA5">
                <w:r>
                  <w:t>0,70</w:t>
                </w:r>
              </w:p>
            </w:tc>
          </w:tr>
          <w:tr w:rsidR="0034640B" w14:paraId="70829055" w14:textId="77777777" w:rsidTr="00D23BA5">
            <w:tc>
              <w:tcPr>
                <w:tcW w:w="4531" w:type="dxa"/>
              </w:tcPr>
              <w:p w14:paraId="63423D90" w14:textId="77777777" w:rsidR="0034640B" w:rsidRDefault="0034640B" w:rsidP="00D23BA5">
                <w:r>
                  <w:t>Madde 16</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7F40B592" w14:textId="77777777" w:rsidR="0034640B" w:rsidRDefault="0034640B" w:rsidP="00D23BA5">
                <w:r>
                  <w:t>0,69</w:t>
                </w:r>
              </w:p>
            </w:tc>
          </w:tr>
          <w:tr w:rsidR="0034640B" w14:paraId="2458D639" w14:textId="77777777" w:rsidTr="00D23BA5">
            <w:tc>
              <w:tcPr>
                <w:tcW w:w="4531" w:type="dxa"/>
              </w:tcPr>
              <w:p w14:paraId="5BE7F51A" w14:textId="77777777" w:rsidR="0034640B" w:rsidRDefault="0034640B" w:rsidP="00D23BA5">
                <w:r>
                  <w:t>Madde 17</w:t>
                </w:r>
              </w:p>
            </w:tc>
            <w:tc>
              <w:tcPr>
                <w:tcW w:w="4531" w:type="dxa"/>
                <w:tcBorders>
                  <w:top w:val="single" w:sz="8" w:space="0" w:color="AEAEAE"/>
                  <w:left w:val="single" w:sz="8" w:space="0" w:color="E0E0E0"/>
                  <w:bottom w:val="single" w:sz="8" w:space="0" w:color="AEAEAE"/>
                  <w:right w:val="single" w:sz="8" w:space="0" w:color="E0E0E0"/>
                </w:tcBorders>
                <w:shd w:val="clear" w:color="auto" w:fill="F9F9FB"/>
              </w:tcPr>
              <w:p w14:paraId="6CB2D9C2" w14:textId="77777777" w:rsidR="0034640B" w:rsidRDefault="0034640B" w:rsidP="00D23BA5">
                <w:r>
                  <w:t>0,59</w:t>
                </w:r>
              </w:p>
            </w:tc>
          </w:tr>
          <w:tr w:rsidR="0034640B" w14:paraId="1CDEB2C2" w14:textId="77777777" w:rsidTr="00D23BA5">
            <w:tc>
              <w:tcPr>
                <w:tcW w:w="4531" w:type="dxa"/>
              </w:tcPr>
              <w:p w14:paraId="7F1F0E03" w14:textId="77777777" w:rsidR="0034640B" w:rsidRDefault="0034640B" w:rsidP="00D23BA5">
                <w:r>
                  <w:t>Madde 18</w:t>
                </w:r>
              </w:p>
            </w:tc>
            <w:tc>
              <w:tcPr>
                <w:tcW w:w="4531" w:type="dxa"/>
                <w:tcBorders>
                  <w:top w:val="single" w:sz="8" w:space="0" w:color="AEAEAE"/>
                  <w:left w:val="single" w:sz="8" w:space="0" w:color="E0E0E0"/>
                  <w:bottom w:val="single" w:sz="8" w:space="0" w:color="152935"/>
                  <w:right w:val="single" w:sz="8" w:space="0" w:color="E0E0E0"/>
                </w:tcBorders>
                <w:shd w:val="clear" w:color="auto" w:fill="F9F9FB"/>
              </w:tcPr>
              <w:p w14:paraId="656989F7" w14:textId="77777777" w:rsidR="0034640B" w:rsidRDefault="0034640B" w:rsidP="00D23BA5">
                <w:r>
                  <w:t>0,62</w:t>
                </w:r>
              </w:p>
            </w:tc>
          </w:tr>
        </w:tbl>
      </w:sdtContent>
    </w:sdt>
    <w:p w14:paraId="267C70C7" w14:textId="77777777" w:rsidR="0034640B" w:rsidRDefault="0034640B" w:rsidP="0034640B">
      <w:pPr>
        <w:spacing w:after="160" w:line="278" w:lineRule="auto"/>
        <w:rPr>
          <w:b/>
        </w:rPr>
      </w:pPr>
    </w:p>
    <w:p w14:paraId="0EFF53E5" w14:textId="04052675" w:rsidR="0034640B" w:rsidRDefault="0034640B" w:rsidP="0034640B">
      <w:pPr>
        <w:spacing w:after="160" w:line="278" w:lineRule="auto"/>
      </w:pPr>
      <w:r>
        <w:t>Madde toplam-test korelasyonlarının 0,50 ile 0,81 arasında değiştiği gözlenmektedir.</w:t>
      </w:r>
    </w:p>
    <w:p w14:paraId="7442243F" w14:textId="77777777" w:rsidR="0034640B" w:rsidRPr="009F0AE3" w:rsidRDefault="0034640B" w:rsidP="009F0AE3">
      <w:pPr>
        <w:rPr>
          <w:b/>
          <w:bCs/>
        </w:rPr>
      </w:pPr>
      <w:r w:rsidRPr="009F0AE3">
        <w:rPr>
          <w:b/>
          <w:bCs/>
        </w:rPr>
        <w:t>Yapı Geçerliğine İlişkin Ek Kanıtlar</w:t>
      </w:r>
    </w:p>
    <w:p w14:paraId="28757D99" w14:textId="77777777" w:rsidR="0034640B" w:rsidRDefault="0034640B" w:rsidP="000A70F0">
      <w:pPr>
        <w:ind w:right="-2"/>
        <w:jc w:val="both"/>
      </w:pPr>
      <w:r>
        <w:t xml:space="preserve">Yakınsak geçerlik kapsamında Flört Kaygısı Ölçeği (Öz Soysal ve ark., 2023) ile çalışma kapsamında gerçekleştirilen RİBYKÖ arasındaki korelasyon katsayısı hesaplanmıştır. </w:t>
      </w:r>
      <w:r>
        <w:lastRenderedPageBreak/>
        <w:t>Romantik ilişkilerde belirsizliğe ilişkin kaygı yaşayan bireylerin flört kaygısı yaşamaları da beklenmektedir. Buna bağlı olarak RİBYKÖ arttıkça FKÖ’nün de artması beklenmektedir. Bu noktadan hareketle iki değişken arasında hesaplanan korelasyon katsayısının (</w:t>
      </w:r>
      <w:r>
        <w:rPr>
          <w:i/>
        </w:rPr>
        <w:t>r</w:t>
      </w:r>
      <w:r>
        <w:t>= 0,35) olduğu görülmektedir. Bu katsayı Cohen (1988)’e göre orta düzeyde pozitif bir korelasyona tekabül etmektedir.</w:t>
      </w:r>
    </w:p>
    <w:p w14:paraId="6EF6F1FE" w14:textId="77777777" w:rsidR="002604BA" w:rsidRDefault="002604BA" w:rsidP="002C3918">
      <w:pPr>
        <w:ind w:right="-2" w:firstLine="720"/>
        <w:jc w:val="both"/>
      </w:pPr>
    </w:p>
    <w:p w14:paraId="6DC0F1AD" w14:textId="1E04684B" w:rsidR="002604BA" w:rsidRPr="009F0AE3" w:rsidRDefault="0034640B" w:rsidP="009F0AE3">
      <w:pPr>
        <w:rPr>
          <w:b/>
          <w:bCs/>
        </w:rPr>
      </w:pPr>
      <w:r w:rsidRPr="009F0AE3">
        <w:rPr>
          <w:b/>
          <w:bCs/>
        </w:rPr>
        <w:t>Güvenirliğe İlişkin Bulgular</w:t>
      </w:r>
    </w:p>
    <w:p w14:paraId="090689BE" w14:textId="77777777" w:rsidR="0034640B" w:rsidRDefault="0034640B" w:rsidP="000A70F0">
      <w:pPr>
        <w:ind w:right="-2"/>
        <w:jc w:val="both"/>
      </w:pPr>
      <w:r>
        <w:t xml:space="preserve">Geliştirilen ölçeğin iç tutarlık anlamında güvenirlik katsayısı, Cronbach Alfa ve </w:t>
      </w:r>
      <w:proofErr w:type="spellStart"/>
      <w:r>
        <w:t>McDonalds</w:t>
      </w:r>
      <w:proofErr w:type="spellEnd"/>
      <w:r>
        <w:t xml:space="preserve"> Omega katsayıları kullanılarak hesaplanmıştır. Cronbach Alfa katsayısı .95 olarak hesaplanmıştır. </w:t>
      </w:r>
      <w:proofErr w:type="spellStart"/>
      <w:r>
        <w:t>McDonalds</w:t>
      </w:r>
      <w:proofErr w:type="spellEnd"/>
      <w:r>
        <w:t xml:space="preserve">’ Omega katsayısı da Cronbach Alfa katsayısı ile tutarlı bir şekilde 0,95 olarak kestirilmiştir. Elde edilen iç tutarlık anlamında güvenirlik katsayılarının geliştirilen ölçekte yer alan maddelerin tutarlı bir şekilde ilgili özelliği ölçtüğünü göstermektedir. Bu katsayıların 0,70 ve üzerinde olması iç tutarlık anlamında güvenirliğin sağlandığını göstermektedir (Cohen vd., 2018; </w:t>
      </w:r>
      <w:proofErr w:type="spellStart"/>
      <w:r>
        <w:t>Tavakol</w:t>
      </w:r>
      <w:proofErr w:type="spellEnd"/>
      <w:r>
        <w:t xml:space="preserve"> &amp; </w:t>
      </w:r>
      <w:proofErr w:type="spellStart"/>
      <w:r>
        <w:t>Dennick</w:t>
      </w:r>
      <w:proofErr w:type="spellEnd"/>
      <w:r>
        <w:t>, 2011).</w:t>
      </w:r>
    </w:p>
    <w:p w14:paraId="4C4FCBEF" w14:textId="77777777" w:rsidR="002604BA" w:rsidRDefault="002604BA" w:rsidP="002C3918">
      <w:pPr>
        <w:ind w:right="-2" w:firstLine="720"/>
        <w:jc w:val="both"/>
      </w:pPr>
    </w:p>
    <w:p w14:paraId="5ADEE2A9" w14:textId="77777777" w:rsidR="0034640B" w:rsidRPr="009F0AE3" w:rsidRDefault="0034640B" w:rsidP="009F0AE3">
      <w:pPr>
        <w:rPr>
          <w:b/>
          <w:bCs/>
        </w:rPr>
      </w:pPr>
      <w:r w:rsidRPr="009F0AE3">
        <w:rPr>
          <w:b/>
          <w:bCs/>
        </w:rPr>
        <w:t>Sonuç</w:t>
      </w:r>
    </w:p>
    <w:p w14:paraId="33AA66C8" w14:textId="77777777" w:rsidR="0034640B" w:rsidRDefault="0034640B" w:rsidP="000A70F0">
      <w:pPr>
        <w:ind w:right="-2"/>
        <w:jc w:val="both"/>
      </w:pPr>
      <w:r>
        <w:t xml:space="preserve">Çalışmanın amacı, romantik ilişkilerde belirsizliğin yarattığı kaygıyı ölçmeye yönelik bir ölçek geliştirmekti. Temel bileşenler analizi, ölçeğin iki ana bileşen üzerinden yapıldığını göstermektedir: (1) </w:t>
      </w:r>
      <w:r>
        <w:rPr>
          <w:b/>
        </w:rPr>
        <w:t>İlişkinin şimdiki durumuna ilişkin kaygı</w:t>
      </w:r>
      <w:r>
        <w:t xml:space="preserve">, (2) </w:t>
      </w:r>
      <w:r>
        <w:rPr>
          <w:b/>
        </w:rPr>
        <w:t>İlişkinin geleceğine yönelik kaygı</w:t>
      </w:r>
      <w:r>
        <w:t>.</w:t>
      </w:r>
    </w:p>
    <w:p w14:paraId="2B35C406" w14:textId="77777777" w:rsidR="0034640B" w:rsidRDefault="0034640B" w:rsidP="000A70F0">
      <w:pPr>
        <w:ind w:right="-2"/>
        <w:jc w:val="both"/>
      </w:pPr>
      <w:r>
        <w:t>Çalışma, romantik ilişkilerde belirsizliğin, bireylerin psikolojik iyilik halleri üzerinde önemli bir etkiye sahip olduğunu ortaya koymaktadır. Özellikle, ilişkiyi sürdürebilme ve partnerin duygusal tavırlarına dair belirsizliklerin, bireylerde kaygı yaratma potansiyelinin yüksek olduğu anlaşılmaktadır. Bu sonuçlar, psikoterapi ve danışmanlık süreçlerinde, ilişkilerdeki belirsizliğin ele alınmasının önemini vurgulamaktadır.</w:t>
      </w:r>
    </w:p>
    <w:p w14:paraId="531B6523" w14:textId="2C4F6E16" w:rsidR="0034640B" w:rsidRDefault="0034640B" w:rsidP="000A70F0">
      <w:pPr>
        <w:ind w:right="-2"/>
        <w:jc w:val="both"/>
      </w:pPr>
      <w:r>
        <w:t>Bu bulgular, ilişkilerde belirsizlikle başa çıkma stratejilerinin geliştirilmesi ve kaygı yönetimi tekniklerinin, özellikle belirsizliğin güçlü bir kaygı kaynağı olduğu bireyler için önemli bir müdahale alanı sunduğunu göstermektedir. Gelecek araştırmalar, bu ölçeğin farklı popülasyonlarda ve kültürlerde geçerliliğini inceleyerek, daha kapsamlı sonuçlara ulaşabilir.</w:t>
      </w:r>
    </w:p>
    <w:p w14:paraId="310C38D8" w14:textId="77777777" w:rsidR="002604BA" w:rsidRDefault="002604BA" w:rsidP="002604BA">
      <w:pPr>
        <w:ind w:right="-2" w:firstLine="720"/>
        <w:jc w:val="both"/>
      </w:pPr>
    </w:p>
    <w:p w14:paraId="5D03C907" w14:textId="77777777" w:rsidR="0034640B" w:rsidRDefault="0034640B" w:rsidP="002C3918"/>
    <w:p w14:paraId="164CB042" w14:textId="108F15B3" w:rsidR="009F0AE3" w:rsidRPr="009F0AE3" w:rsidRDefault="0034640B" w:rsidP="002C3918">
      <w:pPr>
        <w:rPr>
          <w:b/>
          <w:bCs/>
        </w:rPr>
      </w:pPr>
      <w:r w:rsidRPr="009F0AE3">
        <w:rPr>
          <w:b/>
          <w:bCs/>
        </w:rPr>
        <w:t>Kaynakça</w:t>
      </w:r>
    </w:p>
    <w:p w14:paraId="4CA0BE22" w14:textId="77777777" w:rsidR="0034640B" w:rsidRDefault="0034640B">
      <w:pPr>
        <w:pStyle w:val="ListeParagraf"/>
        <w:numPr>
          <w:ilvl w:val="0"/>
          <w:numId w:val="36"/>
        </w:numPr>
        <w:ind w:right="-2"/>
      </w:pPr>
      <w:proofErr w:type="spellStart"/>
      <w:r>
        <w:t>Bowlby</w:t>
      </w:r>
      <w:proofErr w:type="spellEnd"/>
      <w:r>
        <w:t xml:space="preserve">, J. (1969). </w:t>
      </w:r>
      <w:proofErr w:type="spellStart"/>
      <w:r>
        <w:t>Attachment</w:t>
      </w:r>
      <w:proofErr w:type="spellEnd"/>
      <w:r>
        <w:t xml:space="preserve"> </w:t>
      </w:r>
      <w:proofErr w:type="spellStart"/>
      <w:r>
        <w:t>and</w:t>
      </w:r>
      <w:proofErr w:type="spellEnd"/>
      <w:r>
        <w:t xml:space="preserve"> </w:t>
      </w:r>
      <w:proofErr w:type="spellStart"/>
      <w:r>
        <w:t>loss</w:t>
      </w:r>
      <w:proofErr w:type="spellEnd"/>
      <w:r>
        <w:t xml:space="preserve">: </w:t>
      </w:r>
      <w:proofErr w:type="spellStart"/>
      <w:r>
        <w:t>Vol</w:t>
      </w:r>
      <w:proofErr w:type="spellEnd"/>
      <w:r>
        <w:t xml:space="preserve">. 1. </w:t>
      </w:r>
      <w:proofErr w:type="spellStart"/>
      <w:r>
        <w:t>Attachment</w:t>
      </w:r>
      <w:proofErr w:type="spellEnd"/>
      <w:r>
        <w:t xml:space="preserve">. New York: Basic </w:t>
      </w:r>
      <w:proofErr w:type="spellStart"/>
      <w:r>
        <w:t>Books</w:t>
      </w:r>
      <w:proofErr w:type="spellEnd"/>
      <w:r>
        <w:t>.</w:t>
      </w:r>
    </w:p>
    <w:p w14:paraId="4DAAE9F4" w14:textId="77777777" w:rsidR="0034640B" w:rsidRDefault="0034640B">
      <w:pPr>
        <w:pStyle w:val="ListeParagraf"/>
        <w:numPr>
          <w:ilvl w:val="0"/>
          <w:numId w:val="36"/>
        </w:numPr>
        <w:ind w:right="-2"/>
      </w:pPr>
      <w:r>
        <w:t xml:space="preserve">Cohen, J. (1988). </w:t>
      </w:r>
      <w:r w:rsidRPr="00A7613A">
        <w:rPr>
          <w:i/>
        </w:rPr>
        <w:t xml:space="preserve">Statistical </w:t>
      </w:r>
      <w:proofErr w:type="spellStart"/>
      <w:r w:rsidRPr="00A7613A">
        <w:rPr>
          <w:i/>
        </w:rPr>
        <w:t>power</w:t>
      </w:r>
      <w:proofErr w:type="spellEnd"/>
      <w:r w:rsidRPr="00A7613A">
        <w:rPr>
          <w:i/>
        </w:rPr>
        <w:t xml:space="preserve"> </w:t>
      </w:r>
      <w:proofErr w:type="spellStart"/>
      <w:r w:rsidRPr="00A7613A">
        <w:rPr>
          <w:i/>
        </w:rPr>
        <w:t>analysis</w:t>
      </w:r>
      <w:proofErr w:type="spellEnd"/>
      <w:r w:rsidRPr="00A7613A">
        <w:rPr>
          <w:i/>
        </w:rPr>
        <w:t xml:space="preserve"> </w:t>
      </w:r>
      <w:proofErr w:type="spellStart"/>
      <w:r w:rsidRPr="00A7613A">
        <w:rPr>
          <w:i/>
        </w:rPr>
        <w:t>for</w:t>
      </w:r>
      <w:proofErr w:type="spellEnd"/>
      <w:r w:rsidRPr="00A7613A">
        <w:rPr>
          <w:i/>
        </w:rPr>
        <w:t xml:space="preserve"> </w:t>
      </w:r>
      <w:proofErr w:type="spellStart"/>
      <w:r w:rsidRPr="00A7613A">
        <w:rPr>
          <w:i/>
        </w:rPr>
        <w:t>the</w:t>
      </w:r>
      <w:proofErr w:type="spellEnd"/>
      <w:r w:rsidRPr="00A7613A">
        <w:rPr>
          <w:i/>
        </w:rPr>
        <w:t xml:space="preserve"> </w:t>
      </w:r>
      <w:proofErr w:type="spellStart"/>
      <w:r w:rsidRPr="00A7613A">
        <w:rPr>
          <w:i/>
        </w:rPr>
        <w:t>behavioral</w:t>
      </w:r>
      <w:proofErr w:type="spellEnd"/>
      <w:r w:rsidRPr="00A7613A">
        <w:rPr>
          <w:i/>
        </w:rPr>
        <w:t xml:space="preserve"> </w:t>
      </w:r>
      <w:proofErr w:type="spellStart"/>
      <w:r w:rsidRPr="00A7613A">
        <w:rPr>
          <w:i/>
        </w:rPr>
        <w:t>sciences</w:t>
      </w:r>
      <w:proofErr w:type="spellEnd"/>
      <w:r>
        <w:t xml:space="preserve"> (2nd ed.). </w:t>
      </w:r>
      <w:proofErr w:type="spellStart"/>
      <w:r>
        <w:t>Routledge</w:t>
      </w:r>
      <w:proofErr w:type="spellEnd"/>
      <w:r>
        <w:t>.</w:t>
      </w:r>
    </w:p>
    <w:p w14:paraId="30DE1A0C" w14:textId="77777777" w:rsidR="0034640B" w:rsidRDefault="0034640B">
      <w:pPr>
        <w:pStyle w:val="ListeParagraf"/>
        <w:numPr>
          <w:ilvl w:val="0"/>
          <w:numId w:val="36"/>
        </w:numPr>
        <w:ind w:right="-2"/>
      </w:pPr>
      <w:r>
        <w:t xml:space="preserve">Cohen, L., </w:t>
      </w:r>
      <w:proofErr w:type="spellStart"/>
      <w:r>
        <w:t>Manion</w:t>
      </w:r>
      <w:proofErr w:type="spellEnd"/>
      <w:r>
        <w:t xml:space="preserve">, L., &amp; Morrison, K. (2018). </w:t>
      </w:r>
      <w:proofErr w:type="spellStart"/>
      <w:r w:rsidRPr="00A7613A">
        <w:rPr>
          <w:i/>
        </w:rPr>
        <w:t>Research</w:t>
      </w:r>
      <w:proofErr w:type="spellEnd"/>
      <w:r w:rsidRPr="00A7613A">
        <w:rPr>
          <w:i/>
        </w:rPr>
        <w:t xml:space="preserve"> </w:t>
      </w:r>
      <w:proofErr w:type="spellStart"/>
      <w:r w:rsidRPr="00A7613A">
        <w:rPr>
          <w:i/>
        </w:rPr>
        <w:t>methods</w:t>
      </w:r>
      <w:proofErr w:type="spellEnd"/>
      <w:r w:rsidRPr="00A7613A">
        <w:rPr>
          <w:i/>
        </w:rPr>
        <w:t xml:space="preserve"> in </w:t>
      </w:r>
      <w:proofErr w:type="spellStart"/>
      <w:r w:rsidRPr="00A7613A">
        <w:rPr>
          <w:i/>
        </w:rPr>
        <w:t>education</w:t>
      </w:r>
      <w:proofErr w:type="spellEnd"/>
      <w:r>
        <w:t xml:space="preserve"> (8th ed.). </w:t>
      </w:r>
      <w:proofErr w:type="spellStart"/>
      <w:r>
        <w:t>Routledge</w:t>
      </w:r>
      <w:proofErr w:type="spellEnd"/>
      <w:r>
        <w:t>.</w:t>
      </w:r>
    </w:p>
    <w:p w14:paraId="539A011F" w14:textId="77777777" w:rsidR="0034640B" w:rsidRDefault="0034640B">
      <w:pPr>
        <w:pStyle w:val="ListeParagraf"/>
        <w:numPr>
          <w:ilvl w:val="0"/>
          <w:numId w:val="36"/>
        </w:numPr>
        <w:ind w:right="-2"/>
      </w:pPr>
      <w:proofErr w:type="spellStart"/>
      <w:r>
        <w:t>Costello</w:t>
      </w:r>
      <w:proofErr w:type="spellEnd"/>
      <w:r>
        <w:t xml:space="preserve">, A. B., &amp; Osborne, J. W. (2005). Best </w:t>
      </w:r>
      <w:proofErr w:type="spellStart"/>
      <w:r>
        <w:t>practices</w:t>
      </w:r>
      <w:proofErr w:type="spellEnd"/>
      <w:r>
        <w:t xml:space="preserve"> in </w:t>
      </w:r>
      <w:proofErr w:type="spellStart"/>
      <w:r>
        <w:t>exploratory</w:t>
      </w:r>
      <w:proofErr w:type="spellEnd"/>
      <w:r>
        <w:t xml:space="preserve"> </w:t>
      </w:r>
      <w:proofErr w:type="spellStart"/>
      <w:r>
        <w:t>factor</w:t>
      </w:r>
      <w:proofErr w:type="spellEnd"/>
      <w:r>
        <w:t xml:space="preserve"> </w:t>
      </w:r>
      <w:proofErr w:type="spellStart"/>
      <w:r>
        <w:t>analysis</w:t>
      </w:r>
      <w:proofErr w:type="spellEnd"/>
      <w:r>
        <w:t xml:space="preserve">: </w:t>
      </w:r>
      <w:proofErr w:type="spellStart"/>
      <w:r>
        <w:t>Four</w:t>
      </w:r>
      <w:proofErr w:type="spellEnd"/>
      <w:r>
        <w:t xml:space="preserve"> </w:t>
      </w:r>
      <w:proofErr w:type="spellStart"/>
      <w:r>
        <w:t>recommendations</w:t>
      </w:r>
      <w:proofErr w:type="spellEnd"/>
      <w:r>
        <w:t xml:space="preserve"> </w:t>
      </w:r>
      <w:proofErr w:type="spellStart"/>
      <w:r>
        <w:t>for</w:t>
      </w:r>
      <w:proofErr w:type="spellEnd"/>
      <w:r>
        <w:t xml:space="preserve"> </w:t>
      </w:r>
      <w:proofErr w:type="spellStart"/>
      <w:r>
        <w:t>getting</w:t>
      </w:r>
      <w:proofErr w:type="spellEnd"/>
      <w:r>
        <w:t xml:space="preserve"> </w:t>
      </w:r>
      <w:proofErr w:type="spellStart"/>
      <w:r>
        <w:t>the</w:t>
      </w:r>
      <w:proofErr w:type="spellEnd"/>
      <w:r>
        <w:t xml:space="preserve"> </w:t>
      </w:r>
      <w:proofErr w:type="spellStart"/>
      <w:r>
        <w:t>most</w:t>
      </w:r>
      <w:proofErr w:type="spellEnd"/>
      <w:r>
        <w:t xml:space="preserve"> </w:t>
      </w:r>
      <w:proofErr w:type="spellStart"/>
      <w:r>
        <w:t>from</w:t>
      </w:r>
      <w:proofErr w:type="spellEnd"/>
      <w:r>
        <w:t xml:space="preserve"> </w:t>
      </w:r>
      <w:proofErr w:type="spellStart"/>
      <w:r>
        <w:t>your</w:t>
      </w:r>
      <w:proofErr w:type="spellEnd"/>
      <w:r>
        <w:t xml:space="preserve"> </w:t>
      </w:r>
      <w:proofErr w:type="spellStart"/>
      <w:r>
        <w:t>analysis</w:t>
      </w:r>
      <w:proofErr w:type="spellEnd"/>
      <w:r>
        <w:t xml:space="preserve">. </w:t>
      </w:r>
      <w:proofErr w:type="spellStart"/>
      <w:r w:rsidRPr="00A7613A">
        <w:rPr>
          <w:i/>
        </w:rPr>
        <w:t>Practical</w:t>
      </w:r>
      <w:proofErr w:type="spellEnd"/>
      <w:r w:rsidRPr="00A7613A">
        <w:rPr>
          <w:i/>
        </w:rPr>
        <w:t xml:space="preserve"> </w:t>
      </w:r>
      <w:proofErr w:type="spellStart"/>
      <w:r w:rsidRPr="00A7613A">
        <w:rPr>
          <w:i/>
        </w:rPr>
        <w:t>Assessment</w:t>
      </w:r>
      <w:proofErr w:type="spellEnd"/>
      <w:r w:rsidRPr="00A7613A">
        <w:rPr>
          <w:i/>
        </w:rPr>
        <w:t xml:space="preserve">, </w:t>
      </w:r>
      <w:proofErr w:type="spellStart"/>
      <w:r w:rsidRPr="00A7613A">
        <w:rPr>
          <w:i/>
        </w:rPr>
        <w:t>Research</w:t>
      </w:r>
      <w:proofErr w:type="spellEnd"/>
      <w:r w:rsidRPr="00A7613A">
        <w:rPr>
          <w:i/>
        </w:rPr>
        <w:t xml:space="preserve">, </w:t>
      </w:r>
      <w:proofErr w:type="spellStart"/>
      <w:r w:rsidRPr="00A7613A">
        <w:rPr>
          <w:i/>
        </w:rPr>
        <w:t>and</w:t>
      </w:r>
      <w:proofErr w:type="spellEnd"/>
      <w:r w:rsidRPr="00A7613A">
        <w:rPr>
          <w:i/>
        </w:rPr>
        <w:t xml:space="preserve"> Evaluation, 10</w:t>
      </w:r>
      <w:r>
        <w:t>(1), 1-9.</w:t>
      </w:r>
    </w:p>
    <w:p w14:paraId="5629D608" w14:textId="77777777" w:rsidR="0034640B" w:rsidRDefault="0034640B">
      <w:pPr>
        <w:pStyle w:val="ListeParagraf"/>
        <w:numPr>
          <w:ilvl w:val="0"/>
          <w:numId w:val="36"/>
        </w:numPr>
        <w:ind w:right="-2"/>
      </w:pPr>
      <w:proofErr w:type="spellStart"/>
      <w:r>
        <w:t>Freeston</w:t>
      </w:r>
      <w:proofErr w:type="spellEnd"/>
      <w:r>
        <w:t xml:space="preserve">, M. H., </w:t>
      </w:r>
      <w:proofErr w:type="spellStart"/>
      <w:r>
        <w:t>Rhéaume</w:t>
      </w:r>
      <w:proofErr w:type="spellEnd"/>
      <w:r>
        <w:t xml:space="preserve">, J., </w:t>
      </w:r>
      <w:proofErr w:type="spellStart"/>
      <w:r>
        <w:t>Letarte</w:t>
      </w:r>
      <w:proofErr w:type="spellEnd"/>
      <w:r>
        <w:t xml:space="preserve">, H., </w:t>
      </w:r>
      <w:proofErr w:type="spellStart"/>
      <w:r>
        <w:t>Dugas</w:t>
      </w:r>
      <w:proofErr w:type="spellEnd"/>
      <w:r>
        <w:t xml:space="preserve">, M. J., &amp; </w:t>
      </w:r>
      <w:proofErr w:type="spellStart"/>
      <w:r>
        <w:t>Ladouceur</w:t>
      </w:r>
      <w:proofErr w:type="spellEnd"/>
      <w:r>
        <w:t xml:space="preserve">, R. (1994). </w:t>
      </w:r>
      <w:proofErr w:type="spellStart"/>
      <w:r>
        <w:t>Why</w:t>
      </w:r>
      <w:proofErr w:type="spellEnd"/>
      <w:r>
        <w:t xml:space="preserve"> do </w:t>
      </w:r>
      <w:proofErr w:type="spellStart"/>
      <w:r>
        <w:t>people</w:t>
      </w:r>
      <w:proofErr w:type="spellEnd"/>
      <w:r>
        <w:t xml:space="preserve"> </w:t>
      </w:r>
      <w:proofErr w:type="spellStart"/>
      <w:r>
        <w:t>worry</w:t>
      </w:r>
      <w:proofErr w:type="spellEnd"/>
      <w:r>
        <w:t xml:space="preserve">? </w:t>
      </w:r>
      <w:proofErr w:type="spellStart"/>
      <w:r w:rsidRPr="00A7613A">
        <w:rPr>
          <w:i/>
        </w:rPr>
        <w:t>Personality</w:t>
      </w:r>
      <w:proofErr w:type="spellEnd"/>
      <w:r w:rsidRPr="00A7613A">
        <w:rPr>
          <w:i/>
        </w:rPr>
        <w:t xml:space="preserve"> </w:t>
      </w:r>
      <w:proofErr w:type="spellStart"/>
      <w:r w:rsidRPr="00A7613A">
        <w:rPr>
          <w:i/>
        </w:rPr>
        <w:t>and</w:t>
      </w:r>
      <w:proofErr w:type="spellEnd"/>
      <w:r w:rsidRPr="00A7613A">
        <w:rPr>
          <w:i/>
        </w:rPr>
        <w:t xml:space="preserve"> </w:t>
      </w:r>
      <w:proofErr w:type="spellStart"/>
      <w:r w:rsidRPr="00A7613A">
        <w:rPr>
          <w:i/>
        </w:rPr>
        <w:t>Individual</w:t>
      </w:r>
      <w:proofErr w:type="spellEnd"/>
      <w:r w:rsidRPr="00A7613A">
        <w:rPr>
          <w:i/>
        </w:rPr>
        <w:t xml:space="preserve"> </w:t>
      </w:r>
      <w:proofErr w:type="spellStart"/>
      <w:r w:rsidRPr="00A7613A">
        <w:rPr>
          <w:i/>
        </w:rPr>
        <w:t>Differences</w:t>
      </w:r>
      <w:proofErr w:type="spellEnd"/>
      <w:r w:rsidRPr="00A7613A">
        <w:rPr>
          <w:i/>
        </w:rPr>
        <w:t>, 17</w:t>
      </w:r>
      <w:r>
        <w:t>(6), 791-802.</w:t>
      </w:r>
    </w:p>
    <w:p w14:paraId="1E04CD98" w14:textId="77777777" w:rsidR="0034640B" w:rsidRDefault="0034640B">
      <w:pPr>
        <w:pStyle w:val="ListeParagraf"/>
        <w:numPr>
          <w:ilvl w:val="0"/>
          <w:numId w:val="36"/>
        </w:numPr>
        <w:ind w:right="-2"/>
      </w:pPr>
      <w:r>
        <w:t xml:space="preserve">Hazan, C., &amp; </w:t>
      </w:r>
      <w:proofErr w:type="spellStart"/>
      <w:r>
        <w:t>Shaver</w:t>
      </w:r>
      <w:proofErr w:type="spellEnd"/>
      <w:r>
        <w:t xml:space="preserve">, P. (1987). </w:t>
      </w:r>
      <w:proofErr w:type="spellStart"/>
      <w:r>
        <w:t>Romantic</w:t>
      </w:r>
      <w:proofErr w:type="spellEnd"/>
      <w:r>
        <w:t xml:space="preserve"> </w:t>
      </w:r>
      <w:proofErr w:type="spellStart"/>
      <w:r>
        <w:t>love</w:t>
      </w:r>
      <w:proofErr w:type="spellEnd"/>
      <w:r>
        <w:t xml:space="preserve"> </w:t>
      </w:r>
      <w:proofErr w:type="spellStart"/>
      <w:r>
        <w:t>conceptualized</w:t>
      </w:r>
      <w:proofErr w:type="spellEnd"/>
      <w:r>
        <w:t xml:space="preserve"> as an </w:t>
      </w:r>
      <w:proofErr w:type="spellStart"/>
      <w:r>
        <w:t>attachment</w:t>
      </w:r>
      <w:proofErr w:type="spellEnd"/>
      <w:r>
        <w:t xml:space="preserve"> </w:t>
      </w:r>
      <w:proofErr w:type="spellStart"/>
      <w:r>
        <w:t>process</w:t>
      </w:r>
      <w:proofErr w:type="spellEnd"/>
      <w:r>
        <w:t xml:space="preserve">. </w:t>
      </w:r>
      <w:proofErr w:type="spellStart"/>
      <w:r>
        <w:t>Journal</w:t>
      </w:r>
      <w:proofErr w:type="spellEnd"/>
      <w:r>
        <w:t xml:space="preserve"> of </w:t>
      </w:r>
      <w:proofErr w:type="spellStart"/>
      <w:r>
        <w:t>Personality</w:t>
      </w:r>
      <w:proofErr w:type="spellEnd"/>
      <w:r>
        <w:t xml:space="preserve"> </w:t>
      </w:r>
      <w:proofErr w:type="spellStart"/>
      <w:r>
        <w:t>and</w:t>
      </w:r>
      <w:proofErr w:type="spellEnd"/>
      <w:r>
        <w:t xml:space="preserve"> </w:t>
      </w:r>
      <w:proofErr w:type="spellStart"/>
      <w:r>
        <w:t>Social</w:t>
      </w:r>
      <w:proofErr w:type="spellEnd"/>
      <w:r>
        <w:t xml:space="preserve"> </w:t>
      </w:r>
      <w:proofErr w:type="spellStart"/>
      <w:r>
        <w:t>Psychology</w:t>
      </w:r>
      <w:proofErr w:type="spellEnd"/>
      <w:r>
        <w:t>, 52(3), 511-524.</w:t>
      </w:r>
    </w:p>
    <w:p w14:paraId="39500E25" w14:textId="77777777" w:rsidR="0034640B" w:rsidRDefault="0034640B">
      <w:pPr>
        <w:pStyle w:val="ListeParagraf"/>
        <w:numPr>
          <w:ilvl w:val="0"/>
          <w:numId w:val="36"/>
        </w:numPr>
        <w:ind w:right="-2"/>
      </w:pPr>
      <w:proofErr w:type="spellStart"/>
      <w:r>
        <w:t>Horowitz</w:t>
      </w:r>
      <w:proofErr w:type="spellEnd"/>
      <w:r>
        <w:t xml:space="preserve">, M. J. (1979). </w:t>
      </w:r>
      <w:proofErr w:type="spellStart"/>
      <w:r>
        <w:t>Personality</w:t>
      </w:r>
      <w:proofErr w:type="spellEnd"/>
      <w:r>
        <w:t xml:space="preserve"> </w:t>
      </w:r>
      <w:proofErr w:type="spellStart"/>
      <w:r>
        <w:t>styles</w:t>
      </w:r>
      <w:proofErr w:type="spellEnd"/>
      <w:r>
        <w:t xml:space="preserve"> </w:t>
      </w:r>
      <w:proofErr w:type="spellStart"/>
      <w:r>
        <w:t>and</w:t>
      </w:r>
      <w:proofErr w:type="spellEnd"/>
      <w:r>
        <w:t xml:space="preserve"> </w:t>
      </w:r>
      <w:proofErr w:type="spellStart"/>
      <w:r>
        <w:t>brief</w:t>
      </w:r>
      <w:proofErr w:type="spellEnd"/>
      <w:r>
        <w:t xml:space="preserve"> </w:t>
      </w:r>
      <w:proofErr w:type="spellStart"/>
      <w:r>
        <w:t>psychotherapy</w:t>
      </w:r>
      <w:proofErr w:type="spellEnd"/>
      <w:r>
        <w:t xml:space="preserve">. New York: Basic </w:t>
      </w:r>
      <w:proofErr w:type="spellStart"/>
      <w:r>
        <w:t>Books</w:t>
      </w:r>
      <w:proofErr w:type="spellEnd"/>
      <w:r>
        <w:t>.</w:t>
      </w:r>
    </w:p>
    <w:p w14:paraId="4F3B77AF" w14:textId="77777777" w:rsidR="0034640B" w:rsidRDefault="0034640B">
      <w:pPr>
        <w:pStyle w:val="ListeParagraf"/>
        <w:numPr>
          <w:ilvl w:val="0"/>
          <w:numId w:val="36"/>
        </w:numPr>
        <w:ind w:right="-2"/>
      </w:pPr>
      <w:r>
        <w:t xml:space="preserve">Lazarus, R. S., &amp; </w:t>
      </w:r>
      <w:proofErr w:type="spellStart"/>
      <w:r>
        <w:t>Folkman</w:t>
      </w:r>
      <w:proofErr w:type="spellEnd"/>
      <w:r>
        <w:t xml:space="preserve">, S. (1984). </w:t>
      </w:r>
      <w:proofErr w:type="spellStart"/>
      <w:r>
        <w:t>Stress</w:t>
      </w:r>
      <w:proofErr w:type="spellEnd"/>
      <w:r>
        <w:t xml:space="preserve">, </w:t>
      </w:r>
      <w:proofErr w:type="spellStart"/>
      <w:r>
        <w:t>appraisal</w:t>
      </w:r>
      <w:proofErr w:type="spellEnd"/>
      <w:r>
        <w:t xml:space="preserve">, </w:t>
      </w:r>
      <w:proofErr w:type="spellStart"/>
      <w:r>
        <w:t>and</w:t>
      </w:r>
      <w:proofErr w:type="spellEnd"/>
      <w:r>
        <w:t xml:space="preserve"> </w:t>
      </w:r>
      <w:proofErr w:type="spellStart"/>
      <w:r>
        <w:t>coping</w:t>
      </w:r>
      <w:proofErr w:type="spellEnd"/>
      <w:r>
        <w:t xml:space="preserve">. New York: </w:t>
      </w:r>
      <w:proofErr w:type="spellStart"/>
      <w:r>
        <w:lastRenderedPageBreak/>
        <w:t>Springer</w:t>
      </w:r>
      <w:proofErr w:type="spellEnd"/>
      <w:r>
        <w:t xml:space="preserve"> Publishing </w:t>
      </w:r>
      <w:proofErr w:type="spellStart"/>
      <w:r>
        <w:t>Company</w:t>
      </w:r>
      <w:proofErr w:type="spellEnd"/>
      <w:r>
        <w:t>.</w:t>
      </w:r>
    </w:p>
    <w:p w14:paraId="376B5109" w14:textId="77777777" w:rsidR="0034640B" w:rsidRDefault="0034640B">
      <w:pPr>
        <w:pStyle w:val="ListeParagraf"/>
        <w:numPr>
          <w:ilvl w:val="0"/>
          <w:numId w:val="36"/>
        </w:numPr>
        <w:ind w:right="-2"/>
      </w:pPr>
      <w:r>
        <w:t xml:space="preserve">Kaiser, H. F. (1974). An </w:t>
      </w:r>
      <w:proofErr w:type="spellStart"/>
      <w:r>
        <w:t>index</w:t>
      </w:r>
      <w:proofErr w:type="spellEnd"/>
      <w:r>
        <w:t xml:space="preserve"> of </w:t>
      </w:r>
      <w:proofErr w:type="spellStart"/>
      <w:r>
        <w:t>factorial</w:t>
      </w:r>
      <w:proofErr w:type="spellEnd"/>
      <w:r>
        <w:t xml:space="preserve"> </w:t>
      </w:r>
      <w:proofErr w:type="spellStart"/>
      <w:r>
        <w:t>simplicity</w:t>
      </w:r>
      <w:proofErr w:type="spellEnd"/>
      <w:r>
        <w:t xml:space="preserve">. </w:t>
      </w:r>
      <w:proofErr w:type="spellStart"/>
      <w:r w:rsidRPr="00A7613A">
        <w:rPr>
          <w:i/>
        </w:rPr>
        <w:t>Psychometrika</w:t>
      </w:r>
      <w:proofErr w:type="spellEnd"/>
      <w:r w:rsidRPr="00A7613A">
        <w:rPr>
          <w:i/>
        </w:rPr>
        <w:t>, 39</w:t>
      </w:r>
      <w:r>
        <w:t>(1), 31–36.</w:t>
      </w:r>
    </w:p>
    <w:p w14:paraId="2B10A5A8" w14:textId="77777777" w:rsidR="0034640B" w:rsidRDefault="0034640B">
      <w:pPr>
        <w:pStyle w:val="ListeParagraf"/>
        <w:numPr>
          <w:ilvl w:val="0"/>
          <w:numId w:val="36"/>
        </w:numPr>
        <w:ind w:right="-2"/>
      </w:pPr>
      <w:r>
        <w:t xml:space="preserve">Maslow, A. H. (1943). A </w:t>
      </w:r>
      <w:proofErr w:type="spellStart"/>
      <w:r>
        <w:t>theory</w:t>
      </w:r>
      <w:proofErr w:type="spellEnd"/>
      <w:r>
        <w:t xml:space="preserve"> of </w:t>
      </w:r>
      <w:proofErr w:type="spellStart"/>
      <w:r>
        <w:t>human</w:t>
      </w:r>
      <w:proofErr w:type="spellEnd"/>
      <w:r>
        <w:t xml:space="preserve"> </w:t>
      </w:r>
      <w:proofErr w:type="spellStart"/>
      <w:r>
        <w:t>motivation</w:t>
      </w:r>
      <w:proofErr w:type="spellEnd"/>
      <w:r>
        <w:t xml:space="preserve">. </w:t>
      </w:r>
      <w:proofErr w:type="spellStart"/>
      <w:r>
        <w:t>Psychological</w:t>
      </w:r>
      <w:proofErr w:type="spellEnd"/>
      <w:r>
        <w:t xml:space="preserve"> </w:t>
      </w:r>
      <w:proofErr w:type="spellStart"/>
      <w:r>
        <w:t>Review</w:t>
      </w:r>
      <w:proofErr w:type="spellEnd"/>
      <w:r>
        <w:t>, 50(4), 370-396.</w:t>
      </w:r>
    </w:p>
    <w:p w14:paraId="38AFDA46" w14:textId="77777777" w:rsidR="0034640B" w:rsidRPr="00A7613A" w:rsidRDefault="0034640B">
      <w:pPr>
        <w:pStyle w:val="ListeParagraf"/>
        <w:numPr>
          <w:ilvl w:val="0"/>
          <w:numId w:val="36"/>
        </w:numPr>
        <w:ind w:right="-2"/>
        <w:rPr>
          <w:i/>
        </w:rPr>
      </w:pPr>
      <w:proofErr w:type="spellStart"/>
      <w:r>
        <w:t>Salovey</w:t>
      </w:r>
      <w:proofErr w:type="spellEnd"/>
      <w:r>
        <w:t xml:space="preserve">, P., &amp; Mayer, J. D. (1990). </w:t>
      </w:r>
      <w:proofErr w:type="spellStart"/>
      <w:r>
        <w:t>Emotional</w:t>
      </w:r>
      <w:proofErr w:type="spellEnd"/>
      <w:r>
        <w:t xml:space="preserve"> </w:t>
      </w:r>
      <w:proofErr w:type="spellStart"/>
      <w:r>
        <w:t>intelligence</w:t>
      </w:r>
      <w:proofErr w:type="spellEnd"/>
      <w:r>
        <w:t xml:space="preserve">. </w:t>
      </w:r>
      <w:proofErr w:type="spellStart"/>
      <w:r>
        <w:t>Imagination</w:t>
      </w:r>
      <w:proofErr w:type="spellEnd"/>
      <w:r>
        <w:t xml:space="preserve">, </w:t>
      </w:r>
      <w:proofErr w:type="spellStart"/>
      <w:r>
        <w:t>Cognition</w:t>
      </w:r>
      <w:proofErr w:type="spellEnd"/>
      <w:r>
        <w:t xml:space="preserve">, </w:t>
      </w:r>
      <w:proofErr w:type="spellStart"/>
      <w:r>
        <w:t>and</w:t>
      </w:r>
      <w:proofErr w:type="spellEnd"/>
      <w:r>
        <w:t xml:space="preserve"> </w:t>
      </w:r>
      <w:proofErr w:type="spellStart"/>
      <w:r>
        <w:t>Personality</w:t>
      </w:r>
      <w:proofErr w:type="spellEnd"/>
      <w:r>
        <w:t>, 9</w:t>
      </w:r>
      <w:r w:rsidRPr="00A7613A">
        <w:rPr>
          <w:i/>
        </w:rPr>
        <w:t>(3), 185-211.</w:t>
      </w:r>
    </w:p>
    <w:p w14:paraId="4D558AC4" w14:textId="77777777" w:rsidR="0034640B" w:rsidRDefault="0034640B">
      <w:pPr>
        <w:pStyle w:val="ListeParagraf"/>
        <w:numPr>
          <w:ilvl w:val="0"/>
          <w:numId w:val="36"/>
        </w:numPr>
        <w:ind w:right="-2"/>
      </w:pPr>
      <w:proofErr w:type="spellStart"/>
      <w:r>
        <w:t>Sternberg</w:t>
      </w:r>
      <w:proofErr w:type="spellEnd"/>
      <w:r>
        <w:t xml:space="preserve">, R. J. (1986). A </w:t>
      </w:r>
      <w:proofErr w:type="spellStart"/>
      <w:r>
        <w:t>triangular</w:t>
      </w:r>
      <w:proofErr w:type="spellEnd"/>
      <w:r>
        <w:t xml:space="preserve"> </w:t>
      </w:r>
      <w:proofErr w:type="spellStart"/>
      <w:r>
        <w:t>theory</w:t>
      </w:r>
      <w:proofErr w:type="spellEnd"/>
      <w:r>
        <w:t xml:space="preserve"> of </w:t>
      </w:r>
      <w:proofErr w:type="spellStart"/>
      <w:r>
        <w:t>love</w:t>
      </w:r>
      <w:proofErr w:type="spellEnd"/>
      <w:r>
        <w:t xml:space="preserve">. </w:t>
      </w:r>
      <w:proofErr w:type="spellStart"/>
      <w:r>
        <w:t>Psychological</w:t>
      </w:r>
      <w:proofErr w:type="spellEnd"/>
      <w:r>
        <w:t xml:space="preserve"> </w:t>
      </w:r>
      <w:proofErr w:type="spellStart"/>
      <w:r>
        <w:t>Review</w:t>
      </w:r>
      <w:proofErr w:type="spellEnd"/>
      <w:r>
        <w:t>, 93(2), 119-135.</w:t>
      </w:r>
    </w:p>
    <w:p w14:paraId="65B96B26" w14:textId="42E5DE63" w:rsidR="0034640B" w:rsidRDefault="0034640B">
      <w:pPr>
        <w:pStyle w:val="ListeParagraf"/>
        <w:numPr>
          <w:ilvl w:val="0"/>
          <w:numId w:val="36"/>
        </w:numPr>
        <w:ind w:right="-2"/>
      </w:pPr>
      <w:proofErr w:type="spellStart"/>
      <w:r>
        <w:t>Tavakol</w:t>
      </w:r>
      <w:proofErr w:type="spellEnd"/>
      <w:r>
        <w:t xml:space="preserve">, M., &amp; </w:t>
      </w:r>
      <w:proofErr w:type="spellStart"/>
      <w:r>
        <w:t>Dennick</w:t>
      </w:r>
      <w:proofErr w:type="spellEnd"/>
      <w:r>
        <w:t xml:space="preserve">, R. (2011). </w:t>
      </w:r>
      <w:proofErr w:type="spellStart"/>
      <w:r>
        <w:t>Making</w:t>
      </w:r>
      <w:proofErr w:type="spellEnd"/>
      <w:r>
        <w:t xml:space="preserve"> sense of </w:t>
      </w:r>
      <w:proofErr w:type="spellStart"/>
      <w:r>
        <w:t>Cronbach's</w:t>
      </w:r>
      <w:proofErr w:type="spellEnd"/>
      <w:r>
        <w:t xml:space="preserve"> </w:t>
      </w:r>
      <w:proofErr w:type="spellStart"/>
      <w:r>
        <w:t>alpha</w:t>
      </w:r>
      <w:proofErr w:type="spellEnd"/>
      <w:r>
        <w:t xml:space="preserve">. </w:t>
      </w:r>
      <w:r w:rsidRPr="00A7613A">
        <w:rPr>
          <w:i/>
        </w:rPr>
        <w:t xml:space="preserve">International </w:t>
      </w:r>
      <w:proofErr w:type="spellStart"/>
      <w:r w:rsidRPr="00A7613A">
        <w:rPr>
          <w:i/>
        </w:rPr>
        <w:t>Journal</w:t>
      </w:r>
      <w:proofErr w:type="spellEnd"/>
      <w:r w:rsidRPr="00A7613A">
        <w:rPr>
          <w:i/>
        </w:rPr>
        <w:t xml:space="preserve"> of </w:t>
      </w:r>
      <w:proofErr w:type="spellStart"/>
      <w:r w:rsidRPr="00A7613A">
        <w:rPr>
          <w:i/>
        </w:rPr>
        <w:t>Medical</w:t>
      </w:r>
      <w:proofErr w:type="spellEnd"/>
      <w:r w:rsidRPr="00A7613A">
        <w:rPr>
          <w:i/>
        </w:rPr>
        <w:t xml:space="preserve"> </w:t>
      </w:r>
      <w:proofErr w:type="spellStart"/>
      <w:r w:rsidRPr="00A7613A">
        <w:rPr>
          <w:i/>
        </w:rPr>
        <w:t>Education</w:t>
      </w:r>
      <w:proofErr w:type="spellEnd"/>
      <w:r w:rsidRPr="00A7613A">
        <w:rPr>
          <w:i/>
        </w:rPr>
        <w:t>, 2</w:t>
      </w:r>
      <w:r>
        <w:t>, 53-55.</w:t>
      </w:r>
    </w:p>
    <w:p w14:paraId="15508ADE" w14:textId="559297FD" w:rsidR="00FC4D53" w:rsidRDefault="0034640B">
      <w:pPr>
        <w:pStyle w:val="ListeParagraf"/>
        <w:numPr>
          <w:ilvl w:val="0"/>
          <w:numId w:val="36"/>
        </w:numPr>
        <w:ind w:right="-2"/>
      </w:pPr>
      <w:r>
        <w:t xml:space="preserve">Weiss, R. S. (1974). </w:t>
      </w:r>
      <w:proofErr w:type="spellStart"/>
      <w:r>
        <w:t>The</w:t>
      </w:r>
      <w:proofErr w:type="spellEnd"/>
      <w:r>
        <w:t xml:space="preserve"> </w:t>
      </w:r>
      <w:proofErr w:type="spellStart"/>
      <w:r>
        <w:t>provisions</w:t>
      </w:r>
      <w:proofErr w:type="spellEnd"/>
      <w:r>
        <w:t xml:space="preserve"> of </w:t>
      </w:r>
      <w:proofErr w:type="spellStart"/>
      <w:r>
        <w:t>social</w:t>
      </w:r>
      <w:proofErr w:type="spellEnd"/>
      <w:r>
        <w:t xml:space="preserve"> </w:t>
      </w:r>
      <w:proofErr w:type="spellStart"/>
      <w:r>
        <w:t>relationships</w:t>
      </w:r>
      <w:proofErr w:type="spellEnd"/>
      <w:r>
        <w:t xml:space="preserve">. </w:t>
      </w:r>
      <w:proofErr w:type="spellStart"/>
      <w:r>
        <w:t>In</w:t>
      </w:r>
      <w:proofErr w:type="spellEnd"/>
      <w:r>
        <w:t xml:space="preserve"> Z. </w:t>
      </w:r>
      <w:proofErr w:type="spellStart"/>
      <w:r>
        <w:t>Rubin</w:t>
      </w:r>
      <w:proofErr w:type="spellEnd"/>
      <w:r>
        <w:t xml:space="preserve"> (Ed.), </w:t>
      </w:r>
      <w:proofErr w:type="spellStart"/>
      <w:r>
        <w:t>Doing</w:t>
      </w:r>
      <w:proofErr w:type="spellEnd"/>
      <w:r>
        <w:t xml:space="preserve"> </w:t>
      </w:r>
      <w:proofErr w:type="spellStart"/>
      <w:r>
        <w:t>unto</w:t>
      </w:r>
      <w:proofErr w:type="spellEnd"/>
      <w:r>
        <w:t xml:space="preserve"> </w:t>
      </w:r>
      <w:proofErr w:type="spellStart"/>
      <w:r>
        <w:t>others</w:t>
      </w:r>
      <w:proofErr w:type="spellEnd"/>
      <w:r>
        <w:t xml:space="preserve"> (</w:t>
      </w:r>
      <w:proofErr w:type="spellStart"/>
      <w:r>
        <w:t>pp</w:t>
      </w:r>
      <w:proofErr w:type="spellEnd"/>
      <w:r>
        <w:t xml:space="preserve">. 17–26). Englewood </w:t>
      </w:r>
      <w:proofErr w:type="spellStart"/>
      <w:r>
        <w:t>Cliffs</w:t>
      </w:r>
      <w:proofErr w:type="spellEnd"/>
      <w:r>
        <w:t xml:space="preserve">, NJ: </w:t>
      </w:r>
      <w:proofErr w:type="spellStart"/>
      <w:r>
        <w:t>Prentice</w:t>
      </w:r>
      <w:proofErr w:type="spellEnd"/>
      <w:r>
        <w:t xml:space="preserve"> </w:t>
      </w:r>
      <w:proofErr w:type="spellStart"/>
      <w:r>
        <w:t>Hall</w:t>
      </w:r>
      <w:proofErr w:type="spellEnd"/>
      <w:r>
        <w:t>.</w:t>
      </w:r>
    </w:p>
    <w:p w14:paraId="647B087B" w14:textId="3EFC10FE" w:rsidR="00F84AD5" w:rsidRPr="00D42316" w:rsidRDefault="00FC4D53" w:rsidP="00FC4D53">
      <w:pPr>
        <w:autoSpaceDE/>
        <w:autoSpaceDN/>
      </w:pPr>
      <w:r>
        <w:br w:type="page"/>
      </w:r>
    </w:p>
    <w:p w14:paraId="5F013C36" w14:textId="77777777" w:rsidR="00F84AD5" w:rsidRPr="00D42316" w:rsidRDefault="00AC051C" w:rsidP="004C7694">
      <w:pPr>
        <w:pStyle w:val="Tark"/>
      </w:pPr>
      <w:bookmarkStart w:id="17" w:name="_Toc192855146"/>
      <w:r w:rsidRPr="00D42316">
        <w:lastRenderedPageBreak/>
        <w:t>Gençlerde Bağlanma Stilleri ile Depresyon, Anksiyete ve Stres Düzeyleri Arasındaki İlişkinin İncelenmesi*</w:t>
      </w:r>
      <w:bookmarkEnd w:id="17"/>
    </w:p>
    <w:p w14:paraId="4D6FC22D" w14:textId="77777777" w:rsidR="00F84AD5" w:rsidRPr="00D42316" w:rsidRDefault="00F84AD5" w:rsidP="00A8748A"/>
    <w:p w14:paraId="53791B07" w14:textId="77777777" w:rsidR="00F84AD5" w:rsidRPr="00D42316" w:rsidRDefault="00AC051C">
      <w:pPr>
        <w:jc w:val="center"/>
      </w:pPr>
      <w:r w:rsidRPr="00D42316">
        <w:t>Reyhan Gül Değerli*</w:t>
      </w:r>
      <w:r w:rsidRPr="00D42316">
        <w:br/>
        <w:t>Lisans Öğrencisi, Kırşehir Ahi Evran Üniversitesi, Rehberlik ve Psikolojik Danışmanlık</w:t>
      </w:r>
      <w:r w:rsidRPr="00D42316">
        <w:br/>
        <w:t>reyhn.degerli@gmail.com</w:t>
      </w:r>
    </w:p>
    <w:p w14:paraId="680EBDD9" w14:textId="77777777" w:rsidR="00F84AD5" w:rsidRPr="00D42316" w:rsidRDefault="00AC051C">
      <w:pPr>
        <w:jc w:val="center"/>
      </w:pPr>
      <w:r w:rsidRPr="00D42316">
        <w:t>0009-0000-0602-5661</w:t>
      </w:r>
    </w:p>
    <w:p w14:paraId="189613AA" w14:textId="77777777" w:rsidR="00F84AD5" w:rsidRPr="00D42316" w:rsidRDefault="00F84AD5">
      <w:pPr>
        <w:jc w:val="both"/>
      </w:pPr>
    </w:p>
    <w:p w14:paraId="507D0E77" w14:textId="77777777" w:rsidR="00F84AD5" w:rsidRPr="00D42316" w:rsidRDefault="00AC051C">
      <w:pPr>
        <w:jc w:val="center"/>
      </w:pPr>
      <w:r w:rsidRPr="00D42316">
        <w:t>Şeyda Aydoğan</w:t>
      </w:r>
      <w:r w:rsidRPr="00D42316">
        <w:br/>
        <w:t>Lisans Öğrencisi, Kırşehir Ahi Evran Üniversitesi, Rehberlik ve Psikolojik Danışmanlık seydaaydogan56@gmail.com</w:t>
      </w:r>
    </w:p>
    <w:p w14:paraId="68A0BD6D" w14:textId="77777777" w:rsidR="00F84AD5" w:rsidRPr="00D42316" w:rsidRDefault="00AC051C">
      <w:pPr>
        <w:jc w:val="center"/>
      </w:pPr>
      <w:r w:rsidRPr="00D42316">
        <w:t>0009-0001-5907-670X</w:t>
      </w:r>
    </w:p>
    <w:p w14:paraId="798FE266" w14:textId="77777777" w:rsidR="00F84AD5" w:rsidRPr="00D42316" w:rsidRDefault="00AC051C">
      <w:pPr>
        <w:jc w:val="center"/>
      </w:pPr>
      <w:r w:rsidRPr="00D42316">
        <w:br/>
        <w:t>Elif Eren</w:t>
      </w:r>
      <w:r w:rsidRPr="00D42316">
        <w:br/>
        <w:t>Lisans Öğrencisi, Kırşehir Ahi Evran Üniversitesi, Rehberlik ve Psikolojik Danışmanlık erenelif780@gmail.com</w:t>
      </w:r>
    </w:p>
    <w:p w14:paraId="1FED6129" w14:textId="77777777" w:rsidR="00F84AD5" w:rsidRPr="00D42316" w:rsidRDefault="00AC051C">
      <w:pPr>
        <w:jc w:val="center"/>
      </w:pPr>
      <w:r w:rsidRPr="00D42316">
        <w:t>0009-0004-8221-8472</w:t>
      </w:r>
    </w:p>
    <w:p w14:paraId="70B53058" w14:textId="77777777" w:rsidR="00F84AD5" w:rsidRPr="00D42316" w:rsidRDefault="00F84AD5">
      <w:pPr>
        <w:jc w:val="center"/>
      </w:pPr>
    </w:p>
    <w:p w14:paraId="720C80A0" w14:textId="77777777" w:rsidR="00F84AD5" w:rsidRPr="00D42316" w:rsidRDefault="00AC051C">
      <w:pPr>
        <w:jc w:val="center"/>
      </w:pPr>
      <w:r w:rsidRPr="00D42316">
        <w:t>Önder Baltacı</w:t>
      </w:r>
    </w:p>
    <w:p w14:paraId="64AF6040" w14:textId="77777777" w:rsidR="00F84AD5" w:rsidRPr="00D42316" w:rsidRDefault="00AC051C">
      <w:pPr>
        <w:jc w:val="center"/>
      </w:pPr>
      <w:r w:rsidRPr="00D42316">
        <w:t xml:space="preserve">Doç. </w:t>
      </w:r>
      <w:proofErr w:type="spellStart"/>
      <w:r w:rsidRPr="00D42316">
        <w:t>Dr</w:t>
      </w:r>
      <w:proofErr w:type="spellEnd"/>
      <w:r w:rsidRPr="00D42316">
        <w:t>, Kırşehir Ahi Evran Üniversitesi, Rehberlik ve Psikolojik Danışmanlık</w:t>
      </w:r>
    </w:p>
    <w:p w14:paraId="370C6745" w14:textId="77777777" w:rsidR="00F84AD5" w:rsidRPr="00D42316" w:rsidRDefault="00AC051C">
      <w:pPr>
        <w:jc w:val="center"/>
      </w:pPr>
      <w:r w:rsidRPr="00D42316">
        <w:t>baltacionder@gmail.com</w:t>
      </w:r>
    </w:p>
    <w:p w14:paraId="71E28ABE" w14:textId="77777777" w:rsidR="00F84AD5" w:rsidRPr="00D42316" w:rsidRDefault="00AC051C">
      <w:pPr>
        <w:jc w:val="center"/>
      </w:pPr>
      <w:r w:rsidRPr="00D42316">
        <w:t>0000-0002-9974-8507</w:t>
      </w:r>
    </w:p>
    <w:p w14:paraId="1AF1A292" w14:textId="77777777" w:rsidR="00F84AD5" w:rsidRPr="00D42316" w:rsidRDefault="00F84AD5">
      <w:pPr>
        <w:jc w:val="center"/>
      </w:pPr>
    </w:p>
    <w:p w14:paraId="42F68525" w14:textId="77777777" w:rsidR="00F84AD5" w:rsidRPr="009F0AE3" w:rsidRDefault="00AC051C" w:rsidP="002604BA">
      <w:pPr>
        <w:jc w:val="center"/>
        <w:rPr>
          <w:b/>
          <w:bCs/>
        </w:rPr>
      </w:pPr>
      <w:r w:rsidRPr="009F0AE3">
        <w:rPr>
          <w:b/>
          <w:bCs/>
        </w:rPr>
        <w:t>Özet</w:t>
      </w:r>
    </w:p>
    <w:p w14:paraId="7875B17E" w14:textId="07915BCD" w:rsidR="00F84AD5" w:rsidRPr="00D42316" w:rsidRDefault="00AC051C" w:rsidP="002604BA">
      <w:pPr>
        <w:jc w:val="both"/>
      </w:pPr>
      <w:bookmarkStart w:id="18" w:name="bookmark=id.2et92p0" w:colFirst="0" w:colLast="0"/>
      <w:bookmarkStart w:id="19" w:name="bookmark=id.3znysh7" w:colFirst="0" w:colLast="0"/>
      <w:bookmarkEnd w:id="18"/>
      <w:bookmarkEnd w:id="19"/>
      <w:r w:rsidRPr="00D42316">
        <w:t xml:space="preserve">Bebeklikten beri gelişen ve gelişmeye devam eden bağlanma stilleri bireylerin geleceğe ilişkin planlarına yönelik kararların alınmasında kritik bir rol oynamaktadır. Bu nedenle bağlanma stilleri hem ülkemizde hem de diğer ülkelerde önemli bir yere sahiptir. Ülkemizde bu konu hakkında literatürde çeşitli araştırmalara ulaşılmaktadır. Bağlanma stilleri, üniversite çağındaki gençlerin özerklik kazanma, gelecek planlaması, uyum sağlama ve iletişim gibi süreçlerini etkileyerek depresyon, anksiyete ve stresle ilişkilendirilebilir. Bu çalışmada, bağlanma stilleriyle depresyon, anksiyete, stres düzeyleri arasındaki ilişki incelenmiştir. Bu araştırma bahsedilen özellikleri nedeniyle birçok açıdan gençlerle ilgili literatüre katkı sunacağı düşünülmektedir. Bu araştırmada; gençlerde bağlanma stilleri ile depresyon, anksiyete ve stres düzeyleri arasındaki ilişkileri incelenmiştir. Araştırmada 2024-2025 eğitim yılında öğrenimine devam eden Kırşehir Ahi Evran Üniversitesi Eğitim Fakültesi öğrencileri örneklem olarak seçilmiştir ve bu araştırmanın yöntemi nicel araştırma yöntemlerinden ilişkisel tarama modelidir. Araştırmada veriler için Kişisel Bilgi Formu, İlişki Anketi, Depresyon-Anksiyete-Stres Ölçeği kullanılmıştır. Verilerin analizinde t-testi ve ANOVA kullanılmıştır. Araştırmada analizler </w:t>
      </w:r>
      <w:proofErr w:type="spellStart"/>
      <w:r w:rsidRPr="00D42316">
        <w:t>Jamovi</w:t>
      </w:r>
      <w:proofErr w:type="spellEnd"/>
      <w:r w:rsidRPr="00D42316">
        <w:t xml:space="preserve"> ile gerçekleştirilmiştir. Araştırma </w:t>
      </w:r>
      <w:proofErr w:type="gramStart"/>
      <w:r w:rsidRPr="00D42316">
        <w:t>sonuçları,</w:t>
      </w:r>
      <w:proofErr w:type="gramEnd"/>
      <w:r w:rsidRPr="00D42316">
        <w:t xml:space="preserve"> hem lisans öğrencilerine hem de gençlere önemli bir kaynak sunmaktadır. Bu çalışmada gençlerin depresyon, anksiyete ve stres düzeyleri ile cinsiyet, bağlanma stilleri, ilişki durumu ve ebeveyn tutumları arasındaki ilişkiler incelenmiştir. Elde edilen verilere göre; T-testi sonuçları, cinsiyetler arasında depresyon, anksiyete ve stres düzeylerinde anlamlı bir fark olmadığını göstermiştir (</w:t>
      </w:r>
      <w:proofErr w:type="gramStart"/>
      <w:r w:rsidRPr="00D42316">
        <w:t>p &gt;</w:t>
      </w:r>
      <w:proofErr w:type="gramEnd"/>
      <w:r w:rsidRPr="00D42316">
        <w:t xml:space="preserve"> .05). Korelasyon analizi, bağlanma stilleri ile depresyon, anksiyete ve stres arasında anlamlı bir ilişki olduğunu ortaya koymuştur (p </w:t>
      </w:r>
      <w:proofErr w:type="gramStart"/>
      <w:r w:rsidRPr="00D42316">
        <w:t>&lt; .</w:t>
      </w:r>
      <w:proofErr w:type="gramEnd"/>
      <w:r w:rsidRPr="00D42316">
        <w:t>05). ANOVA analizi, ilişki durumlarının depresyon, anksiyete ve stres üzerinde anlamlı bir etkisi olmadığını (</w:t>
      </w:r>
      <w:proofErr w:type="gramStart"/>
      <w:r w:rsidRPr="00D42316">
        <w:t>p &gt;</w:t>
      </w:r>
      <w:proofErr w:type="gramEnd"/>
      <w:r w:rsidRPr="00D42316">
        <w:t xml:space="preserve"> .05), ancak ebeveyn tutumlarının (otoriter, </w:t>
      </w:r>
      <w:r w:rsidRPr="00D42316">
        <w:lastRenderedPageBreak/>
        <w:t>demokratik, tutarsız, koruyucu) anlamlı farklılıklar oluşturduğunu göstermiştir (p &lt; .05). Bağlanma stillerinin cinsiyet ve ilişki durumuna göre dağılımında, kayıtsız ve korkulu bağlanma stilleri öne çıkmıştır. Bulgular, bağlanma stillerinin ve ebeveyn tutumlarının gençlerin depresyon, anksiyete ve stres üzerinde önemli bir rol oynadığına işaret etmektedir.</w:t>
      </w:r>
    </w:p>
    <w:p w14:paraId="01D04B73" w14:textId="77777777" w:rsidR="00A8748A" w:rsidRPr="00D42316" w:rsidRDefault="00A8748A" w:rsidP="00A8748A">
      <w:pPr>
        <w:jc w:val="both"/>
      </w:pPr>
    </w:p>
    <w:p w14:paraId="5627216A" w14:textId="61F78A93" w:rsidR="00F84AD5" w:rsidRPr="00D42316" w:rsidRDefault="00AC051C">
      <w:pPr>
        <w:jc w:val="both"/>
      </w:pPr>
      <w:r w:rsidRPr="00D42316">
        <w:rPr>
          <w:b/>
        </w:rPr>
        <w:t xml:space="preserve">Anahtar </w:t>
      </w:r>
      <w:r w:rsidR="00D42316">
        <w:rPr>
          <w:b/>
        </w:rPr>
        <w:t>Kelimeler</w:t>
      </w:r>
      <w:r w:rsidRPr="00D42316">
        <w:rPr>
          <w:b/>
        </w:rPr>
        <w:t>:</w:t>
      </w:r>
      <w:r w:rsidRPr="00D42316">
        <w:t xml:space="preserve"> Bağlanma Stilleri, Depresyon, Anksiyete, Stres</w:t>
      </w:r>
    </w:p>
    <w:p w14:paraId="5F09E2B1" w14:textId="77777777" w:rsidR="00F84AD5" w:rsidRPr="00D42316" w:rsidRDefault="00F84AD5">
      <w:pPr>
        <w:jc w:val="both"/>
      </w:pPr>
    </w:p>
    <w:p w14:paraId="194A9591" w14:textId="77777777" w:rsidR="00F84AD5" w:rsidRPr="009F0AE3" w:rsidRDefault="00AC051C" w:rsidP="002604BA">
      <w:pPr>
        <w:jc w:val="center"/>
        <w:rPr>
          <w:b/>
          <w:bCs/>
        </w:rPr>
      </w:pPr>
      <w:proofErr w:type="spellStart"/>
      <w:r w:rsidRPr="009F0AE3">
        <w:rPr>
          <w:b/>
          <w:bCs/>
        </w:rPr>
        <w:t>Abstract</w:t>
      </w:r>
      <w:proofErr w:type="spellEnd"/>
    </w:p>
    <w:p w14:paraId="5D58996A" w14:textId="77777777" w:rsidR="00F84AD5" w:rsidRPr="00D42316" w:rsidRDefault="00AC051C" w:rsidP="002604BA">
      <w:pPr>
        <w:jc w:val="both"/>
      </w:pP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which</w:t>
      </w:r>
      <w:proofErr w:type="spellEnd"/>
      <w:r w:rsidRPr="00D42316">
        <w:t xml:space="preserve"> </w:t>
      </w:r>
      <w:proofErr w:type="spellStart"/>
      <w:r w:rsidRPr="00D42316">
        <w:t>develop</w:t>
      </w:r>
      <w:proofErr w:type="spellEnd"/>
      <w:r w:rsidRPr="00D42316">
        <w:t xml:space="preserve"> </w:t>
      </w:r>
      <w:proofErr w:type="spellStart"/>
      <w:r w:rsidRPr="00D42316">
        <w:t>and</w:t>
      </w:r>
      <w:proofErr w:type="spellEnd"/>
      <w:r w:rsidRPr="00D42316">
        <w:t xml:space="preserve"> </w:t>
      </w:r>
      <w:proofErr w:type="spellStart"/>
      <w:r w:rsidRPr="00D42316">
        <w:t>continue</w:t>
      </w:r>
      <w:proofErr w:type="spellEnd"/>
      <w:r w:rsidRPr="00D42316">
        <w:t xml:space="preserve"> </w:t>
      </w:r>
      <w:proofErr w:type="spellStart"/>
      <w:r w:rsidRPr="00D42316">
        <w:t>to</w:t>
      </w:r>
      <w:proofErr w:type="spellEnd"/>
      <w:r w:rsidRPr="00D42316">
        <w:t xml:space="preserve"> </w:t>
      </w:r>
      <w:proofErr w:type="spellStart"/>
      <w:r w:rsidRPr="00D42316">
        <w:t>develop</w:t>
      </w:r>
      <w:proofErr w:type="spellEnd"/>
      <w:r w:rsidRPr="00D42316">
        <w:t xml:space="preserve"> since </w:t>
      </w:r>
      <w:proofErr w:type="spellStart"/>
      <w:r w:rsidRPr="00D42316">
        <w:t>infancy</w:t>
      </w:r>
      <w:proofErr w:type="spellEnd"/>
      <w:r w:rsidRPr="00D42316">
        <w:t xml:space="preserve">, </w:t>
      </w:r>
      <w:proofErr w:type="spellStart"/>
      <w:r w:rsidRPr="00D42316">
        <w:t>play</w:t>
      </w:r>
      <w:proofErr w:type="spellEnd"/>
      <w:r w:rsidRPr="00D42316">
        <w:t xml:space="preserve"> a </w:t>
      </w:r>
      <w:proofErr w:type="spellStart"/>
      <w:r w:rsidRPr="00D42316">
        <w:t>critical</w:t>
      </w:r>
      <w:proofErr w:type="spellEnd"/>
      <w:r w:rsidRPr="00D42316">
        <w:t xml:space="preserve"> role in </w:t>
      </w:r>
      <w:proofErr w:type="spellStart"/>
      <w:r w:rsidRPr="00D42316">
        <w:t>making</w:t>
      </w:r>
      <w:proofErr w:type="spellEnd"/>
      <w:r w:rsidRPr="00D42316">
        <w:t xml:space="preserve"> </w:t>
      </w:r>
      <w:proofErr w:type="spellStart"/>
      <w:r w:rsidRPr="00D42316">
        <w:t>decisions</w:t>
      </w:r>
      <w:proofErr w:type="spellEnd"/>
      <w:r w:rsidRPr="00D42316">
        <w:t xml:space="preserve"> </w:t>
      </w:r>
      <w:proofErr w:type="spellStart"/>
      <w:r w:rsidRPr="00D42316">
        <w:t>about</w:t>
      </w:r>
      <w:proofErr w:type="spellEnd"/>
      <w:r w:rsidRPr="00D42316">
        <w:t xml:space="preserve"> </w:t>
      </w:r>
      <w:proofErr w:type="spellStart"/>
      <w:r w:rsidRPr="00D42316">
        <w:t>individuals</w:t>
      </w:r>
      <w:proofErr w:type="spellEnd"/>
      <w:r w:rsidRPr="00D42316">
        <w:t xml:space="preserve">' </w:t>
      </w:r>
      <w:proofErr w:type="spellStart"/>
      <w:r w:rsidRPr="00D42316">
        <w:t>plans</w:t>
      </w:r>
      <w:proofErr w:type="spellEnd"/>
      <w:r w:rsidRPr="00D42316">
        <w:t xml:space="preserve"> </w:t>
      </w:r>
      <w:proofErr w:type="spellStart"/>
      <w:r w:rsidRPr="00D42316">
        <w:t>for</w:t>
      </w:r>
      <w:proofErr w:type="spellEnd"/>
      <w:r w:rsidRPr="00D42316">
        <w:t xml:space="preserve"> </w:t>
      </w:r>
      <w:proofErr w:type="spellStart"/>
      <w:r w:rsidRPr="00D42316">
        <w:t>the</w:t>
      </w:r>
      <w:proofErr w:type="spellEnd"/>
      <w:r w:rsidRPr="00D42316">
        <w:t xml:space="preserve"> </w:t>
      </w:r>
      <w:proofErr w:type="spellStart"/>
      <w:r w:rsidRPr="00D42316">
        <w:t>future</w:t>
      </w:r>
      <w:proofErr w:type="spellEnd"/>
      <w:r w:rsidRPr="00D42316">
        <w:t xml:space="preserve">. </w:t>
      </w:r>
      <w:proofErr w:type="spellStart"/>
      <w:r w:rsidRPr="00D42316">
        <w:t>For</w:t>
      </w:r>
      <w:proofErr w:type="spellEnd"/>
      <w:r w:rsidRPr="00D42316">
        <w:t xml:space="preserve"> </w:t>
      </w:r>
      <w:proofErr w:type="spellStart"/>
      <w:r w:rsidRPr="00D42316">
        <w:t>this</w:t>
      </w:r>
      <w:proofErr w:type="spellEnd"/>
      <w:r w:rsidRPr="00D42316">
        <w:t xml:space="preserve"> </w:t>
      </w:r>
      <w:proofErr w:type="spellStart"/>
      <w:r w:rsidRPr="00D42316">
        <w:t>reason</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have</w:t>
      </w:r>
      <w:proofErr w:type="spellEnd"/>
      <w:r w:rsidRPr="00D42316">
        <w:t xml:space="preserve"> an </w:t>
      </w:r>
      <w:proofErr w:type="spellStart"/>
      <w:r w:rsidRPr="00D42316">
        <w:t>important</w:t>
      </w:r>
      <w:proofErr w:type="spellEnd"/>
      <w:r w:rsidRPr="00D42316">
        <w:t xml:space="preserve"> </w:t>
      </w:r>
      <w:proofErr w:type="spellStart"/>
      <w:r w:rsidRPr="00D42316">
        <w:t>place</w:t>
      </w:r>
      <w:proofErr w:type="spellEnd"/>
      <w:r w:rsidRPr="00D42316">
        <w:t xml:space="preserve"> </w:t>
      </w:r>
      <w:proofErr w:type="spellStart"/>
      <w:r w:rsidRPr="00D42316">
        <w:t>both</w:t>
      </w:r>
      <w:proofErr w:type="spellEnd"/>
      <w:r w:rsidRPr="00D42316">
        <w:t xml:space="preserve"> in </w:t>
      </w:r>
      <w:proofErr w:type="spellStart"/>
      <w:r w:rsidRPr="00D42316">
        <w:t>our</w:t>
      </w:r>
      <w:proofErr w:type="spellEnd"/>
      <w:r w:rsidRPr="00D42316">
        <w:t xml:space="preserve"> </w:t>
      </w:r>
      <w:proofErr w:type="spellStart"/>
      <w:r w:rsidRPr="00D42316">
        <w:t>country</w:t>
      </w:r>
      <w:proofErr w:type="spellEnd"/>
      <w:r w:rsidRPr="00D42316">
        <w:t xml:space="preserve"> </w:t>
      </w:r>
      <w:proofErr w:type="spellStart"/>
      <w:r w:rsidRPr="00D42316">
        <w:t>and</w:t>
      </w:r>
      <w:proofErr w:type="spellEnd"/>
      <w:r w:rsidRPr="00D42316">
        <w:t xml:space="preserve"> in </w:t>
      </w:r>
      <w:proofErr w:type="spellStart"/>
      <w:r w:rsidRPr="00D42316">
        <w:t>other</w:t>
      </w:r>
      <w:proofErr w:type="spellEnd"/>
      <w:r w:rsidRPr="00D42316">
        <w:t xml:space="preserve"> </w:t>
      </w:r>
      <w:proofErr w:type="spellStart"/>
      <w:r w:rsidRPr="00D42316">
        <w:t>countries</w:t>
      </w:r>
      <w:proofErr w:type="spellEnd"/>
      <w:r w:rsidRPr="00D42316">
        <w:t xml:space="preserve">. </w:t>
      </w:r>
      <w:proofErr w:type="spellStart"/>
      <w:r w:rsidRPr="00D42316">
        <w:t>In</w:t>
      </w:r>
      <w:proofErr w:type="spellEnd"/>
      <w:r w:rsidRPr="00D42316">
        <w:t xml:space="preserve"> </w:t>
      </w:r>
      <w:proofErr w:type="spellStart"/>
      <w:r w:rsidRPr="00D42316">
        <w:t>our</w:t>
      </w:r>
      <w:proofErr w:type="spellEnd"/>
      <w:r w:rsidRPr="00D42316">
        <w:t xml:space="preserve"> </w:t>
      </w:r>
      <w:proofErr w:type="spellStart"/>
      <w:r w:rsidRPr="00D42316">
        <w:t>country</w:t>
      </w:r>
      <w:proofErr w:type="spellEnd"/>
      <w:r w:rsidRPr="00D42316">
        <w:t xml:space="preserve">, </w:t>
      </w:r>
      <w:proofErr w:type="spellStart"/>
      <w:r w:rsidRPr="00D42316">
        <w:t>various</w:t>
      </w:r>
      <w:proofErr w:type="spellEnd"/>
      <w:r w:rsidRPr="00D42316">
        <w:t xml:space="preserve"> </w:t>
      </w:r>
      <w:proofErr w:type="spellStart"/>
      <w:r w:rsidRPr="00D42316">
        <w:t>studies</w:t>
      </w:r>
      <w:proofErr w:type="spellEnd"/>
      <w:r w:rsidRPr="00D42316">
        <w:t xml:space="preserve"> on </w:t>
      </w:r>
      <w:proofErr w:type="spellStart"/>
      <w:r w:rsidRPr="00D42316">
        <w:t>this</w:t>
      </w:r>
      <w:proofErr w:type="spellEnd"/>
      <w:r w:rsidRPr="00D42316">
        <w:t xml:space="preserve"> </w:t>
      </w:r>
      <w:proofErr w:type="spellStart"/>
      <w:r w:rsidRPr="00D42316">
        <w:t>subject</w:t>
      </w:r>
      <w:proofErr w:type="spellEnd"/>
      <w:r w:rsidRPr="00D42316">
        <w:t xml:space="preserve"> can be </w:t>
      </w:r>
      <w:proofErr w:type="spellStart"/>
      <w:r w:rsidRPr="00D42316">
        <w:t>found</w:t>
      </w:r>
      <w:proofErr w:type="spellEnd"/>
      <w:r w:rsidRPr="00D42316">
        <w:t xml:space="preserve"> in </w:t>
      </w:r>
      <w:proofErr w:type="spellStart"/>
      <w:r w:rsidRPr="00D42316">
        <w:t>the</w:t>
      </w:r>
      <w:proofErr w:type="spellEnd"/>
      <w:r w:rsidRPr="00D42316">
        <w:t xml:space="preserve"> </w:t>
      </w:r>
      <w:proofErr w:type="spellStart"/>
      <w:r w:rsidRPr="00D42316">
        <w:t>literature</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may</w:t>
      </w:r>
      <w:proofErr w:type="spellEnd"/>
      <w:r w:rsidRPr="00D42316">
        <w:t xml:space="preserve"> be </w:t>
      </w:r>
      <w:proofErr w:type="spellStart"/>
      <w:r w:rsidRPr="00D42316">
        <w:t>associated</w:t>
      </w:r>
      <w:proofErr w:type="spellEnd"/>
      <w:r w:rsidRPr="00D42316">
        <w:t xml:space="preserve"> </w:t>
      </w:r>
      <w:proofErr w:type="spellStart"/>
      <w:r w:rsidRPr="00D42316">
        <w:t>with</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spellStart"/>
      <w:r w:rsidRPr="00D42316">
        <w:t>by</w:t>
      </w:r>
      <w:proofErr w:type="spellEnd"/>
      <w:r w:rsidRPr="00D42316">
        <w:t xml:space="preserve"> </w:t>
      </w:r>
      <w:proofErr w:type="spellStart"/>
      <w:r w:rsidRPr="00D42316">
        <w:t>affecting</w:t>
      </w:r>
      <w:proofErr w:type="spellEnd"/>
      <w:r w:rsidRPr="00D42316">
        <w:t xml:space="preserve"> </w:t>
      </w:r>
      <w:proofErr w:type="spellStart"/>
      <w:r w:rsidRPr="00D42316">
        <w:t>the</w:t>
      </w:r>
      <w:proofErr w:type="spellEnd"/>
      <w:r w:rsidRPr="00D42316">
        <w:t xml:space="preserve"> </w:t>
      </w:r>
      <w:proofErr w:type="spellStart"/>
      <w:r w:rsidRPr="00D42316">
        <w:t>processes</w:t>
      </w:r>
      <w:proofErr w:type="spellEnd"/>
      <w:r w:rsidRPr="00D42316">
        <w:t xml:space="preserve"> </w:t>
      </w:r>
      <w:proofErr w:type="spellStart"/>
      <w:r w:rsidRPr="00D42316">
        <w:t>such</w:t>
      </w:r>
      <w:proofErr w:type="spellEnd"/>
      <w:r w:rsidRPr="00D42316">
        <w:t xml:space="preserve"> as </w:t>
      </w:r>
      <w:proofErr w:type="spellStart"/>
      <w:r w:rsidRPr="00D42316">
        <w:t>gaining</w:t>
      </w:r>
      <w:proofErr w:type="spellEnd"/>
      <w:r w:rsidRPr="00D42316">
        <w:t xml:space="preserve"> </w:t>
      </w:r>
      <w:proofErr w:type="spellStart"/>
      <w:r w:rsidRPr="00D42316">
        <w:t>autonomy</w:t>
      </w:r>
      <w:proofErr w:type="spellEnd"/>
      <w:r w:rsidRPr="00D42316">
        <w:t xml:space="preserve">, </w:t>
      </w:r>
      <w:proofErr w:type="spellStart"/>
      <w:r w:rsidRPr="00D42316">
        <w:t>future</w:t>
      </w:r>
      <w:proofErr w:type="spellEnd"/>
      <w:r w:rsidRPr="00D42316">
        <w:t xml:space="preserve"> </w:t>
      </w:r>
      <w:proofErr w:type="spellStart"/>
      <w:r w:rsidRPr="00D42316">
        <w:t>planning</w:t>
      </w:r>
      <w:proofErr w:type="spellEnd"/>
      <w:r w:rsidRPr="00D42316">
        <w:t xml:space="preserve">, </w:t>
      </w:r>
      <w:proofErr w:type="spellStart"/>
      <w:r w:rsidRPr="00D42316">
        <w:t>adaptation</w:t>
      </w:r>
      <w:proofErr w:type="spellEnd"/>
      <w:r w:rsidRPr="00D42316">
        <w:t xml:space="preserve"> </w:t>
      </w:r>
      <w:proofErr w:type="spellStart"/>
      <w:r w:rsidRPr="00D42316">
        <w:t>and</w:t>
      </w:r>
      <w:proofErr w:type="spellEnd"/>
      <w:r w:rsidRPr="00D42316">
        <w:t xml:space="preserve"> </w:t>
      </w:r>
      <w:proofErr w:type="spellStart"/>
      <w:r w:rsidRPr="00D42316">
        <w:t>communication</w:t>
      </w:r>
      <w:proofErr w:type="spellEnd"/>
      <w:r w:rsidRPr="00D42316">
        <w:t xml:space="preserve"> of </w:t>
      </w:r>
      <w:proofErr w:type="spellStart"/>
      <w:r w:rsidRPr="00D42316">
        <w:t>university-age</w:t>
      </w:r>
      <w:proofErr w:type="spellEnd"/>
      <w:r w:rsidRPr="00D42316">
        <w:t xml:space="preserve"> </w:t>
      </w:r>
      <w:proofErr w:type="spellStart"/>
      <w:r w:rsidRPr="00D42316">
        <w:t>youth</w:t>
      </w:r>
      <w:proofErr w:type="spellEnd"/>
      <w:r w:rsidRPr="00D42316">
        <w:t xml:space="preserv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the</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and</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spellStart"/>
      <w:r w:rsidRPr="00D42316">
        <w:t>levels</w:t>
      </w:r>
      <w:proofErr w:type="spellEnd"/>
      <w:r w:rsidRPr="00D42316">
        <w:t xml:space="preserve"> </w:t>
      </w:r>
      <w:proofErr w:type="spellStart"/>
      <w:r w:rsidRPr="00D42316">
        <w:t>was</w:t>
      </w:r>
      <w:proofErr w:type="spellEnd"/>
      <w:r w:rsidRPr="00D42316">
        <w:t xml:space="preserve"> </w:t>
      </w:r>
      <w:proofErr w:type="spellStart"/>
      <w:r w:rsidRPr="00D42316">
        <w:t>examined</w:t>
      </w:r>
      <w:proofErr w:type="spellEnd"/>
      <w:r w:rsidRPr="00D42316">
        <w:t xml:space="preserve">. </w:t>
      </w:r>
      <w:proofErr w:type="spellStart"/>
      <w:r w:rsidRPr="00D42316">
        <w:t>It</w:t>
      </w:r>
      <w:proofErr w:type="spellEnd"/>
      <w:r w:rsidRPr="00D42316">
        <w:t xml:space="preserve"> is </w:t>
      </w:r>
      <w:proofErr w:type="spellStart"/>
      <w:r w:rsidRPr="00D42316">
        <w:t>thought</w:t>
      </w:r>
      <w:proofErr w:type="spellEnd"/>
      <w:r w:rsidRPr="00D42316">
        <w:t xml:space="preserve"> </w:t>
      </w:r>
      <w:proofErr w:type="spellStart"/>
      <w:r w:rsidRPr="00D42316">
        <w:t>that</w:t>
      </w:r>
      <w:proofErr w:type="spellEnd"/>
      <w:r w:rsidRPr="00D42316">
        <w:t xml:space="preserve"> </w:t>
      </w:r>
      <w:proofErr w:type="spellStart"/>
      <w:r w:rsidRPr="00D42316">
        <w:t>this</w:t>
      </w:r>
      <w:proofErr w:type="spellEnd"/>
      <w:r w:rsidRPr="00D42316">
        <w:t xml:space="preserve"> </w:t>
      </w:r>
      <w:proofErr w:type="spellStart"/>
      <w:r w:rsidRPr="00D42316">
        <w:t>research</w:t>
      </w:r>
      <w:proofErr w:type="spellEnd"/>
      <w:r w:rsidRPr="00D42316">
        <w:t xml:space="preserve"> </w:t>
      </w:r>
      <w:proofErr w:type="spellStart"/>
      <w:r w:rsidRPr="00D42316">
        <w:t>will</w:t>
      </w:r>
      <w:proofErr w:type="spellEnd"/>
      <w:r w:rsidRPr="00D42316">
        <w:t xml:space="preserve"> </w:t>
      </w:r>
      <w:proofErr w:type="spellStart"/>
      <w:r w:rsidRPr="00D42316">
        <w:t>contribute</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literature</w:t>
      </w:r>
      <w:proofErr w:type="spellEnd"/>
      <w:r w:rsidRPr="00D42316">
        <w:t xml:space="preserve"> on </w:t>
      </w:r>
      <w:proofErr w:type="spellStart"/>
      <w:r w:rsidRPr="00D42316">
        <w:t>young</w:t>
      </w:r>
      <w:proofErr w:type="spellEnd"/>
      <w:r w:rsidRPr="00D42316">
        <w:t xml:space="preserve"> </w:t>
      </w:r>
      <w:proofErr w:type="spellStart"/>
      <w:r w:rsidRPr="00D42316">
        <w:t>people</w:t>
      </w:r>
      <w:proofErr w:type="spellEnd"/>
      <w:r w:rsidRPr="00D42316">
        <w:t xml:space="preserve"> in </w:t>
      </w:r>
      <w:proofErr w:type="spellStart"/>
      <w:r w:rsidRPr="00D42316">
        <w:t>many</w:t>
      </w:r>
      <w:proofErr w:type="spellEnd"/>
      <w:r w:rsidRPr="00D42316">
        <w:t xml:space="preserve"> </w:t>
      </w:r>
      <w:proofErr w:type="spellStart"/>
      <w:r w:rsidRPr="00D42316">
        <w:t>aspects</w:t>
      </w:r>
      <w:proofErr w:type="spellEnd"/>
      <w:r w:rsidRPr="00D42316">
        <w:t xml:space="preserve"> </w:t>
      </w:r>
      <w:proofErr w:type="spellStart"/>
      <w:r w:rsidRPr="00D42316">
        <w:t>due</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mentioned</w:t>
      </w:r>
      <w:proofErr w:type="spellEnd"/>
      <w:r w:rsidRPr="00D42316">
        <w:t xml:space="preserve"> </w:t>
      </w:r>
      <w:proofErr w:type="spellStart"/>
      <w:r w:rsidRPr="00D42316">
        <w:t>features</w:t>
      </w:r>
      <w:proofErr w:type="spellEnd"/>
      <w:r w:rsidRPr="00D42316">
        <w:t xml:space="preserv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the</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and</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spellStart"/>
      <w:r w:rsidRPr="00D42316">
        <w:t>levels</w:t>
      </w:r>
      <w:proofErr w:type="spellEnd"/>
      <w:r w:rsidRPr="00D42316">
        <w:t xml:space="preserve"> in </w:t>
      </w:r>
      <w:proofErr w:type="spellStart"/>
      <w:r w:rsidRPr="00D42316">
        <w:t>young</w:t>
      </w:r>
      <w:proofErr w:type="spellEnd"/>
      <w:r w:rsidRPr="00D42316">
        <w:t xml:space="preserve"> </w:t>
      </w:r>
      <w:proofErr w:type="spellStart"/>
      <w:r w:rsidRPr="00D42316">
        <w:t>people</w:t>
      </w:r>
      <w:proofErr w:type="spellEnd"/>
      <w:r w:rsidRPr="00D42316">
        <w:t xml:space="preserve"> </w:t>
      </w:r>
      <w:proofErr w:type="spellStart"/>
      <w:r w:rsidRPr="00D42316">
        <w:t>was</w:t>
      </w:r>
      <w:proofErr w:type="spellEnd"/>
      <w:r w:rsidRPr="00D42316">
        <w:t xml:space="preserve"> </w:t>
      </w:r>
      <w:proofErr w:type="spellStart"/>
      <w:r w:rsidRPr="00D42316">
        <w:t>examined</w:t>
      </w:r>
      <w:proofErr w:type="spellEnd"/>
      <w:r w:rsidRPr="00D42316">
        <w:t xml:space="preserve">. </w:t>
      </w:r>
      <w:proofErr w:type="spellStart"/>
      <w:r w:rsidRPr="00D42316">
        <w:t>In</w:t>
      </w:r>
      <w:proofErr w:type="spellEnd"/>
      <w:r w:rsidRPr="00D42316">
        <w:t xml:space="preserve">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the</w:t>
      </w:r>
      <w:proofErr w:type="spellEnd"/>
      <w:r w:rsidRPr="00D42316">
        <w:t xml:space="preserve"> </w:t>
      </w:r>
      <w:proofErr w:type="spellStart"/>
      <w:r w:rsidRPr="00D42316">
        <w:t>students</w:t>
      </w:r>
      <w:proofErr w:type="spellEnd"/>
      <w:r w:rsidRPr="00D42316">
        <w:t xml:space="preserve"> of Kırşehir Ahi Evran </w:t>
      </w:r>
      <w:proofErr w:type="spellStart"/>
      <w:r w:rsidRPr="00D42316">
        <w:t>University</w:t>
      </w:r>
      <w:proofErr w:type="spellEnd"/>
      <w:r w:rsidRPr="00D42316">
        <w:t xml:space="preserve"> </w:t>
      </w:r>
      <w:proofErr w:type="spellStart"/>
      <w:r w:rsidRPr="00D42316">
        <w:t>Faculty</w:t>
      </w:r>
      <w:proofErr w:type="spellEnd"/>
      <w:r w:rsidRPr="00D42316">
        <w:t xml:space="preserve"> of </w:t>
      </w:r>
      <w:proofErr w:type="spellStart"/>
      <w:r w:rsidRPr="00D42316">
        <w:t>Education</w:t>
      </w:r>
      <w:proofErr w:type="spellEnd"/>
      <w:r w:rsidRPr="00D42316">
        <w:t xml:space="preserve">, </w:t>
      </w:r>
      <w:proofErr w:type="spellStart"/>
      <w:r w:rsidRPr="00D42316">
        <w:t>who</w:t>
      </w:r>
      <w:proofErr w:type="spellEnd"/>
      <w:r w:rsidRPr="00D42316">
        <w:t xml:space="preserve"> </w:t>
      </w:r>
      <w:proofErr w:type="spellStart"/>
      <w:r w:rsidRPr="00D42316">
        <w:t>continue</w:t>
      </w:r>
      <w:proofErr w:type="spellEnd"/>
      <w:r w:rsidRPr="00D42316">
        <w:t xml:space="preserve"> </w:t>
      </w:r>
      <w:proofErr w:type="spellStart"/>
      <w:r w:rsidRPr="00D42316">
        <w:t>their</w:t>
      </w:r>
      <w:proofErr w:type="spellEnd"/>
      <w:r w:rsidRPr="00D42316">
        <w:t xml:space="preserve"> </w:t>
      </w:r>
      <w:proofErr w:type="spellStart"/>
      <w:r w:rsidRPr="00D42316">
        <w:t>education</w:t>
      </w:r>
      <w:proofErr w:type="spellEnd"/>
      <w:r w:rsidRPr="00D42316">
        <w:t xml:space="preserve"> in </w:t>
      </w:r>
      <w:proofErr w:type="spellStart"/>
      <w:r w:rsidRPr="00D42316">
        <w:t>the</w:t>
      </w:r>
      <w:proofErr w:type="spellEnd"/>
      <w:r w:rsidRPr="00D42316">
        <w:t xml:space="preserve"> 2024-2025 </w:t>
      </w:r>
      <w:proofErr w:type="spellStart"/>
      <w:r w:rsidRPr="00D42316">
        <w:t>academic</w:t>
      </w:r>
      <w:proofErr w:type="spellEnd"/>
      <w:r w:rsidRPr="00D42316">
        <w:t xml:space="preserve"> </w:t>
      </w:r>
      <w:proofErr w:type="spellStart"/>
      <w:r w:rsidRPr="00D42316">
        <w:t>year</w:t>
      </w:r>
      <w:proofErr w:type="spellEnd"/>
      <w:r w:rsidRPr="00D42316">
        <w:t xml:space="preserve">, </w:t>
      </w:r>
      <w:proofErr w:type="spellStart"/>
      <w:r w:rsidRPr="00D42316">
        <w:t>were</w:t>
      </w:r>
      <w:proofErr w:type="spellEnd"/>
      <w:r w:rsidRPr="00D42316">
        <w:t xml:space="preserve"> </w:t>
      </w:r>
      <w:proofErr w:type="spellStart"/>
      <w:r w:rsidRPr="00D42316">
        <w:t>selected</w:t>
      </w:r>
      <w:proofErr w:type="spellEnd"/>
      <w:r w:rsidRPr="00D42316">
        <w:t xml:space="preserve"> as </w:t>
      </w:r>
      <w:proofErr w:type="spellStart"/>
      <w:r w:rsidRPr="00D42316">
        <w:t>the</w:t>
      </w:r>
      <w:proofErr w:type="spellEnd"/>
      <w:r w:rsidRPr="00D42316">
        <w:t xml:space="preserve"> </w:t>
      </w:r>
      <w:proofErr w:type="spellStart"/>
      <w:r w:rsidRPr="00D42316">
        <w:t>sample</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method</w:t>
      </w:r>
      <w:proofErr w:type="spellEnd"/>
      <w:r w:rsidRPr="00D42316">
        <w:t xml:space="preserve"> of </w:t>
      </w:r>
      <w:proofErr w:type="spellStart"/>
      <w:r w:rsidRPr="00D42316">
        <w:t>this</w:t>
      </w:r>
      <w:proofErr w:type="spellEnd"/>
      <w:r w:rsidRPr="00D42316">
        <w:t xml:space="preserve"> </w:t>
      </w:r>
      <w:proofErr w:type="spellStart"/>
      <w:r w:rsidRPr="00D42316">
        <w:t>research</w:t>
      </w:r>
      <w:proofErr w:type="spellEnd"/>
      <w:r w:rsidRPr="00D42316">
        <w:t xml:space="preserve"> is </w:t>
      </w:r>
      <w:proofErr w:type="spellStart"/>
      <w:r w:rsidRPr="00D42316">
        <w:t>the</w:t>
      </w:r>
      <w:proofErr w:type="spellEnd"/>
      <w:r w:rsidRPr="00D42316">
        <w:t xml:space="preserve"> </w:t>
      </w:r>
      <w:proofErr w:type="spellStart"/>
      <w:r w:rsidRPr="00D42316">
        <w:t>relational</w:t>
      </w:r>
      <w:proofErr w:type="spellEnd"/>
      <w:r w:rsidRPr="00D42316">
        <w:t xml:space="preserve"> </w:t>
      </w:r>
      <w:proofErr w:type="spellStart"/>
      <w:r w:rsidRPr="00D42316">
        <w:t>survey</w:t>
      </w:r>
      <w:proofErr w:type="spellEnd"/>
      <w:r w:rsidRPr="00D42316">
        <w:t xml:space="preserve"> model </w:t>
      </w:r>
      <w:proofErr w:type="spellStart"/>
      <w:r w:rsidRPr="00D42316">
        <w:t>from</w:t>
      </w:r>
      <w:proofErr w:type="spellEnd"/>
      <w:r w:rsidRPr="00D42316">
        <w:t xml:space="preserve"> </w:t>
      </w:r>
      <w:proofErr w:type="spellStart"/>
      <w:r w:rsidRPr="00D42316">
        <w:t>quantitative</w:t>
      </w:r>
      <w:proofErr w:type="spellEnd"/>
      <w:r w:rsidRPr="00D42316">
        <w:t xml:space="preserve"> </w:t>
      </w:r>
      <w:proofErr w:type="spellStart"/>
      <w:r w:rsidRPr="00D42316">
        <w:t>research</w:t>
      </w:r>
      <w:proofErr w:type="spellEnd"/>
      <w:r w:rsidRPr="00D42316">
        <w:t xml:space="preserve"> </w:t>
      </w:r>
      <w:proofErr w:type="spellStart"/>
      <w:r w:rsidRPr="00D42316">
        <w:t>methods</w:t>
      </w:r>
      <w:proofErr w:type="spellEnd"/>
      <w:r w:rsidRPr="00D42316">
        <w:t xml:space="preserve">. </w:t>
      </w:r>
      <w:proofErr w:type="spellStart"/>
      <w:r w:rsidRPr="00D42316">
        <w:t>Personal</w:t>
      </w:r>
      <w:proofErr w:type="spellEnd"/>
      <w:r w:rsidRPr="00D42316">
        <w:t xml:space="preserve"> Information Form, </w:t>
      </w:r>
      <w:proofErr w:type="spellStart"/>
      <w:r w:rsidRPr="00D42316">
        <w:t>Relationship</w:t>
      </w:r>
      <w:proofErr w:type="spellEnd"/>
      <w:r w:rsidRPr="00D42316">
        <w:t xml:space="preserve"> </w:t>
      </w:r>
      <w:proofErr w:type="spellStart"/>
      <w:r w:rsidRPr="00D42316">
        <w:t>Questionnaire</w:t>
      </w:r>
      <w:proofErr w:type="spellEnd"/>
      <w:r w:rsidRPr="00D42316">
        <w:t xml:space="preserve">, </w:t>
      </w:r>
      <w:proofErr w:type="spellStart"/>
      <w:r w:rsidRPr="00D42316">
        <w:t>Depression-Anxiety-Stress</w:t>
      </w:r>
      <w:proofErr w:type="spellEnd"/>
      <w:r w:rsidRPr="00D42316">
        <w:t xml:space="preserve"> </w:t>
      </w:r>
      <w:proofErr w:type="spellStart"/>
      <w:r w:rsidRPr="00D42316">
        <w:t>Scale</w:t>
      </w:r>
      <w:proofErr w:type="spellEnd"/>
      <w:r w:rsidRPr="00D42316">
        <w:t xml:space="preserve"> </w:t>
      </w:r>
      <w:proofErr w:type="spellStart"/>
      <w:r w:rsidRPr="00D42316">
        <w:t>were</w:t>
      </w:r>
      <w:proofErr w:type="spellEnd"/>
      <w:r w:rsidRPr="00D42316">
        <w:t xml:space="preserve"> </w:t>
      </w:r>
      <w:proofErr w:type="spellStart"/>
      <w:r w:rsidRPr="00D42316">
        <w:t>used</w:t>
      </w:r>
      <w:proofErr w:type="spellEnd"/>
      <w:r w:rsidRPr="00D42316">
        <w:t xml:space="preserve"> </w:t>
      </w:r>
      <w:proofErr w:type="spellStart"/>
      <w:r w:rsidRPr="00D42316">
        <w:t>for</w:t>
      </w:r>
      <w:proofErr w:type="spellEnd"/>
      <w:r w:rsidRPr="00D42316">
        <w:t xml:space="preserve"> </w:t>
      </w:r>
      <w:proofErr w:type="spellStart"/>
      <w:r w:rsidRPr="00D42316">
        <w:t>the</w:t>
      </w:r>
      <w:proofErr w:type="spellEnd"/>
      <w:r w:rsidRPr="00D42316">
        <w:t xml:space="preserve"> </w:t>
      </w:r>
      <w:proofErr w:type="gramStart"/>
      <w:r w:rsidRPr="00D42316">
        <w:t>data</w:t>
      </w:r>
      <w:proofErr w:type="gramEnd"/>
      <w:r w:rsidRPr="00D42316">
        <w:t xml:space="preserve">. T-test </w:t>
      </w:r>
      <w:proofErr w:type="spellStart"/>
      <w:r w:rsidRPr="00D42316">
        <w:t>and</w:t>
      </w:r>
      <w:proofErr w:type="spellEnd"/>
      <w:r w:rsidRPr="00D42316">
        <w:t xml:space="preserve"> ANOVA </w:t>
      </w:r>
      <w:proofErr w:type="spellStart"/>
      <w:r w:rsidRPr="00D42316">
        <w:t>were</w:t>
      </w:r>
      <w:proofErr w:type="spellEnd"/>
      <w:r w:rsidRPr="00D42316">
        <w:t xml:space="preserve"> </w:t>
      </w:r>
      <w:proofErr w:type="spellStart"/>
      <w:r w:rsidRPr="00D42316">
        <w:t>used</w:t>
      </w:r>
      <w:proofErr w:type="spellEnd"/>
      <w:r w:rsidRPr="00D42316">
        <w:t xml:space="preserve"> </w:t>
      </w:r>
      <w:proofErr w:type="spellStart"/>
      <w:r w:rsidRPr="00D42316">
        <w:t>to</w:t>
      </w:r>
      <w:proofErr w:type="spellEnd"/>
      <w:r w:rsidRPr="00D42316">
        <w:t xml:space="preserve"> </w:t>
      </w:r>
      <w:proofErr w:type="spellStart"/>
      <w:r w:rsidRPr="00D42316">
        <w:t>analyze</w:t>
      </w:r>
      <w:proofErr w:type="spellEnd"/>
      <w:r w:rsidRPr="00D42316">
        <w:t xml:space="preserve"> </w:t>
      </w:r>
      <w:proofErr w:type="spellStart"/>
      <w:r w:rsidRPr="00D42316">
        <w:t>the</w:t>
      </w:r>
      <w:proofErr w:type="spellEnd"/>
      <w:r w:rsidRPr="00D42316">
        <w:t xml:space="preserve"> </w:t>
      </w:r>
      <w:proofErr w:type="gramStart"/>
      <w:r w:rsidRPr="00D42316">
        <w:t>data</w:t>
      </w:r>
      <w:proofErr w:type="gramEnd"/>
      <w:r w:rsidRPr="00D42316">
        <w:t xml:space="preserve">. </w:t>
      </w:r>
      <w:proofErr w:type="spellStart"/>
      <w:r w:rsidRPr="00D42316">
        <w:t>Analyses</w:t>
      </w:r>
      <w:proofErr w:type="spellEnd"/>
      <w:r w:rsidRPr="00D42316">
        <w:t xml:space="preserve"> in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were</w:t>
      </w:r>
      <w:proofErr w:type="spellEnd"/>
      <w:r w:rsidRPr="00D42316">
        <w:t xml:space="preserve"> </w:t>
      </w:r>
      <w:proofErr w:type="spellStart"/>
      <w:r w:rsidRPr="00D42316">
        <w:t>carried</w:t>
      </w:r>
      <w:proofErr w:type="spellEnd"/>
      <w:r w:rsidRPr="00D42316">
        <w:t xml:space="preserve"> </w:t>
      </w:r>
      <w:proofErr w:type="spellStart"/>
      <w:r w:rsidRPr="00D42316">
        <w:t>out</w:t>
      </w:r>
      <w:proofErr w:type="spellEnd"/>
      <w:r w:rsidRPr="00D42316">
        <w:t xml:space="preserve"> </w:t>
      </w:r>
      <w:proofErr w:type="spellStart"/>
      <w:r w:rsidRPr="00D42316">
        <w:t>with</w:t>
      </w:r>
      <w:proofErr w:type="spellEnd"/>
      <w:r w:rsidRPr="00D42316">
        <w:t xml:space="preserve"> </w:t>
      </w:r>
      <w:proofErr w:type="spellStart"/>
      <w:r w:rsidRPr="00D42316">
        <w:t>Jamovi</w:t>
      </w:r>
      <w:proofErr w:type="spellEnd"/>
      <w:r w:rsidRPr="00D42316">
        <w:t xml:space="preserve">. </w:t>
      </w:r>
      <w:proofErr w:type="spellStart"/>
      <w:r w:rsidRPr="00D42316">
        <w:t>The</w:t>
      </w:r>
      <w:proofErr w:type="spellEnd"/>
      <w:r w:rsidRPr="00D42316">
        <w:t xml:space="preserve"> </w:t>
      </w:r>
      <w:proofErr w:type="spellStart"/>
      <w:r w:rsidRPr="00D42316">
        <w:t>research</w:t>
      </w:r>
      <w:proofErr w:type="spellEnd"/>
      <w:r w:rsidRPr="00D42316">
        <w:t xml:space="preserve"> </w:t>
      </w:r>
      <w:proofErr w:type="spellStart"/>
      <w:r w:rsidRPr="00D42316">
        <w:t>results</w:t>
      </w:r>
      <w:proofErr w:type="spellEnd"/>
      <w:r w:rsidRPr="00D42316">
        <w:t xml:space="preserve"> </w:t>
      </w:r>
      <w:proofErr w:type="spellStart"/>
      <w:r w:rsidRPr="00D42316">
        <w:t>provide</w:t>
      </w:r>
      <w:proofErr w:type="spellEnd"/>
      <w:r w:rsidRPr="00D42316">
        <w:t xml:space="preserve"> an </w:t>
      </w:r>
      <w:proofErr w:type="spellStart"/>
      <w:r w:rsidRPr="00D42316">
        <w:t>important</w:t>
      </w:r>
      <w:proofErr w:type="spellEnd"/>
      <w:r w:rsidRPr="00D42316">
        <w:t xml:space="preserve"> </w:t>
      </w:r>
      <w:proofErr w:type="spellStart"/>
      <w:r w:rsidRPr="00D42316">
        <w:t>resource</w:t>
      </w:r>
      <w:proofErr w:type="spellEnd"/>
      <w:r w:rsidRPr="00D42316">
        <w:t xml:space="preserve"> </w:t>
      </w:r>
      <w:proofErr w:type="spellStart"/>
      <w:r w:rsidRPr="00D42316">
        <w:t>for</w:t>
      </w:r>
      <w:proofErr w:type="spellEnd"/>
      <w:r w:rsidRPr="00D42316">
        <w:t xml:space="preserve"> </w:t>
      </w:r>
      <w:proofErr w:type="spellStart"/>
      <w:r w:rsidRPr="00D42316">
        <w:t>both</w:t>
      </w:r>
      <w:proofErr w:type="spellEnd"/>
      <w:r w:rsidRPr="00D42316">
        <w:t xml:space="preserve"> </w:t>
      </w:r>
      <w:proofErr w:type="spellStart"/>
      <w:r w:rsidRPr="00D42316">
        <w:t>undergraduate</w:t>
      </w:r>
      <w:proofErr w:type="spellEnd"/>
      <w:r w:rsidRPr="00D42316">
        <w:t xml:space="preserve"> </w:t>
      </w:r>
      <w:proofErr w:type="spellStart"/>
      <w:r w:rsidRPr="00D42316">
        <w:t>students</w:t>
      </w:r>
      <w:proofErr w:type="spellEnd"/>
      <w:r w:rsidRPr="00D42316">
        <w:t xml:space="preserve"> </w:t>
      </w:r>
      <w:proofErr w:type="spellStart"/>
      <w:r w:rsidRPr="00D42316">
        <w:t>and</w:t>
      </w:r>
      <w:proofErr w:type="spellEnd"/>
      <w:r w:rsidRPr="00D42316">
        <w:t xml:space="preserve"> </w:t>
      </w:r>
      <w:proofErr w:type="spellStart"/>
      <w:r w:rsidRPr="00D42316">
        <w:t>young</w:t>
      </w:r>
      <w:proofErr w:type="spellEnd"/>
      <w:r w:rsidRPr="00D42316">
        <w:t xml:space="preserve"> </w:t>
      </w:r>
      <w:proofErr w:type="spellStart"/>
      <w:r w:rsidRPr="00D42316">
        <w:t>people</w:t>
      </w:r>
      <w:proofErr w:type="spellEnd"/>
      <w:r w:rsidRPr="00D42316">
        <w:t xml:space="preserv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the</w:t>
      </w:r>
      <w:proofErr w:type="spellEnd"/>
      <w:r w:rsidRPr="00D42316">
        <w:t xml:space="preserve"> </w:t>
      </w:r>
      <w:proofErr w:type="spellStart"/>
      <w:r w:rsidRPr="00D42316">
        <w:t>relationships</w:t>
      </w:r>
      <w:proofErr w:type="spellEnd"/>
      <w:r w:rsidRPr="00D42316">
        <w:t xml:space="preserve"> </w:t>
      </w:r>
      <w:proofErr w:type="spellStart"/>
      <w:r w:rsidRPr="00D42316">
        <w:t>between</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spellStart"/>
      <w:r w:rsidRPr="00D42316">
        <w:t>levels</w:t>
      </w:r>
      <w:proofErr w:type="spellEnd"/>
      <w:r w:rsidRPr="00D42316">
        <w:t xml:space="preserve"> of </w:t>
      </w:r>
      <w:proofErr w:type="spellStart"/>
      <w:r w:rsidRPr="00D42316">
        <w:t>young</w:t>
      </w:r>
      <w:proofErr w:type="spellEnd"/>
      <w:r w:rsidRPr="00D42316">
        <w:t xml:space="preserve"> </w:t>
      </w:r>
      <w:proofErr w:type="spellStart"/>
      <w:r w:rsidRPr="00D42316">
        <w:t>people</w:t>
      </w:r>
      <w:proofErr w:type="spellEnd"/>
      <w:r w:rsidRPr="00D42316">
        <w:t xml:space="preserve"> </w:t>
      </w:r>
      <w:proofErr w:type="spellStart"/>
      <w:r w:rsidRPr="00D42316">
        <w:t>and</w:t>
      </w:r>
      <w:proofErr w:type="spellEnd"/>
      <w:r w:rsidRPr="00D42316">
        <w:t xml:space="preserve"> </w:t>
      </w:r>
      <w:proofErr w:type="spellStart"/>
      <w:r w:rsidRPr="00D42316">
        <w:t>gender</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relationship</w:t>
      </w:r>
      <w:proofErr w:type="spellEnd"/>
      <w:r w:rsidRPr="00D42316">
        <w:t xml:space="preserve"> </w:t>
      </w:r>
      <w:proofErr w:type="spellStart"/>
      <w:r w:rsidRPr="00D42316">
        <w:t>status</w:t>
      </w:r>
      <w:proofErr w:type="spellEnd"/>
      <w:r w:rsidRPr="00D42316">
        <w:t xml:space="preserve"> </w:t>
      </w:r>
      <w:proofErr w:type="spellStart"/>
      <w:r w:rsidRPr="00D42316">
        <w:t>and</w:t>
      </w:r>
      <w:proofErr w:type="spellEnd"/>
      <w:r w:rsidRPr="00D42316">
        <w:t xml:space="preserve"> </w:t>
      </w:r>
      <w:proofErr w:type="spellStart"/>
      <w:r w:rsidRPr="00D42316">
        <w:t>parental</w:t>
      </w:r>
      <w:proofErr w:type="spellEnd"/>
      <w:r w:rsidRPr="00D42316">
        <w:t xml:space="preserve"> </w:t>
      </w:r>
      <w:proofErr w:type="spellStart"/>
      <w:r w:rsidRPr="00D42316">
        <w:t>attitudes</w:t>
      </w:r>
      <w:proofErr w:type="spellEnd"/>
      <w:r w:rsidRPr="00D42316">
        <w:t xml:space="preserve"> </w:t>
      </w:r>
      <w:proofErr w:type="spellStart"/>
      <w:r w:rsidRPr="00D42316">
        <w:t>were</w:t>
      </w:r>
      <w:proofErr w:type="spellEnd"/>
      <w:r w:rsidRPr="00D42316">
        <w:t xml:space="preserve"> </w:t>
      </w:r>
      <w:proofErr w:type="spellStart"/>
      <w:r w:rsidRPr="00D42316">
        <w:t>examined</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data </w:t>
      </w:r>
      <w:proofErr w:type="spellStart"/>
      <w:r w:rsidRPr="00D42316">
        <w:t>obtained</w:t>
      </w:r>
      <w:proofErr w:type="spellEnd"/>
      <w:r w:rsidRPr="00D42316">
        <w:t xml:space="preserve">; T-test </w:t>
      </w:r>
      <w:proofErr w:type="spellStart"/>
      <w:r w:rsidRPr="00D42316">
        <w:t>results</w:t>
      </w:r>
      <w:proofErr w:type="spellEnd"/>
      <w:r w:rsidRPr="00D42316">
        <w:t xml:space="preserve"> </w:t>
      </w:r>
      <w:proofErr w:type="spellStart"/>
      <w:r w:rsidRPr="00D42316">
        <w:t>showed</w:t>
      </w:r>
      <w:proofErr w:type="spellEnd"/>
      <w:r w:rsidRPr="00D42316">
        <w:t xml:space="preserve"> </w:t>
      </w:r>
      <w:proofErr w:type="spellStart"/>
      <w:r w:rsidRPr="00D42316">
        <w:t>that</w:t>
      </w:r>
      <w:proofErr w:type="spellEnd"/>
      <w:r w:rsidRPr="00D42316">
        <w:t xml:space="preserve"> </w:t>
      </w:r>
      <w:proofErr w:type="spellStart"/>
      <w:r w:rsidRPr="00D42316">
        <w:t>there</w:t>
      </w:r>
      <w:proofErr w:type="spellEnd"/>
      <w:r w:rsidRPr="00D42316">
        <w:t xml:space="preserve"> </w:t>
      </w:r>
      <w:proofErr w:type="spellStart"/>
      <w:r w:rsidRPr="00D42316">
        <w:t>was</w:t>
      </w:r>
      <w:proofErr w:type="spellEnd"/>
      <w:r w:rsidRPr="00D42316">
        <w:t xml:space="preserve"> </w:t>
      </w:r>
      <w:proofErr w:type="spellStart"/>
      <w:r w:rsidRPr="00D42316">
        <w:t>no</w:t>
      </w:r>
      <w:proofErr w:type="spellEnd"/>
      <w:r w:rsidRPr="00D42316">
        <w:t xml:space="preserve"> </w:t>
      </w:r>
      <w:proofErr w:type="spellStart"/>
      <w:r w:rsidRPr="00D42316">
        <w:t>significant</w:t>
      </w:r>
      <w:proofErr w:type="spellEnd"/>
      <w:r w:rsidRPr="00D42316">
        <w:t xml:space="preserve"> </w:t>
      </w:r>
      <w:proofErr w:type="spellStart"/>
      <w:r w:rsidRPr="00D42316">
        <w:t>difference</w:t>
      </w:r>
      <w:proofErr w:type="spellEnd"/>
      <w:r w:rsidRPr="00D42316">
        <w:t xml:space="preserve"> in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spellStart"/>
      <w:r w:rsidRPr="00D42316">
        <w:t>levels</w:t>
      </w:r>
      <w:proofErr w:type="spellEnd"/>
      <w:r w:rsidRPr="00D42316">
        <w:t xml:space="preserve"> </w:t>
      </w:r>
      <w:proofErr w:type="spellStart"/>
      <w:r w:rsidRPr="00D42316">
        <w:t>between</w:t>
      </w:r>
      <w:proofErr w:type="spellEnd"/>
      <w:r w:rsidRPr="00D42316">
        <w:t xml:space="preserve"> </w:t>
      </w:r>
      <w:proofErr w:type="spellStart"/>
      <w:r w:rsidRPr="00D42316">
        <w:t>genders</w:t>
      </w:r>
      <w:proofErr w:type="spellEnd"/>
      <w:r w:rsidRPr="00D42316">
        <w:t xml:space="preserve"> (</w:t>
      </w:r>
      <w:proofErr w:type="gramStart"/>
      <w:r w:rsidRPr="00D42316">
        <w:t>p &gt;</w:t>
      </w:r>
      <w:proofErr w:type="gramEnd"/>
      <w:r w:rsidRPr="00D42316">
        <w:t xml:space="preserve"> .05). </w:t>
      </w:r>
      <w:proofErr w:type="spellStart"/>
      <w:r w:rsidRPr="00D42316">
        <w:t>Correlation</w:t>
      </w:r>
      <w:proofErr w:type="spellEnd"/>
      <w:r w:rsidRPr="00D42316">
        <w:t xml:space="preserve"> </w:t>
      </w:r>
      <w:proofErr w:type="spellStart"/>
      <w:r w:rsidRPr="00D42316">
        <w:t>analysis</w:t>
      </w:r>
      <w:proofErr w:type="spellEnd"/>
      <w:r w:rsidRPr="00D42316">
        <w:t xml:space="preserve"> </w:t>
      </w:r>
      <w:proofErr w:type="spellStart"/>
      <w:r w:rsidRPr="00D42316">
        <w:t>revealed</w:t>
      </w:r>
      <w:proofErr w:type="spellEnd"/>
      <w:r w:rsidRPr="00D42316">
        <w:t xml:space="preserve"> </w:t>
      </w:r>
      <w:proofErr w:type="spellStart"/>
      <w:r w:rsidRPr="00D42316">
        <w:t>that</w:t>
      </w:r>
      <w:proofErr w:type="spellEnd"/>
      <w:r w:rsidRPr="00D42316">
        <w:t xml:space="preserve"> </w:t>
      </w:r>
      <w:proofErr w:type="spellStart"/>
      <w:r w:rsidRPr="00D42316">
        <w:t>there</w:t>
      </w:r>
      <w:proofErr w:type="spellEnd"/>
      <w:r w:rsidRPr="00D42316">
        <w:t xml:space="preserve"> </w:t>
      </w:r>
      <w:proofErr w:type="spellStart"/>
      <w:r w:rsidRPr="00D42316">
        <w:t>was</w:t>
      </w:r>
      <w:proofErr w:type="spellEnd"/>
      <w:r w:rsidRPr="00D42316">
        <w:t xml:space="preserve"> a </w:t>
      </w:r>
      <w:proofErr w:type="spellStart"/>
      <w:r w:rsidRPr="00D42316">
        <w:t>significant</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and</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(p </w:t>
      </w:r>
      <w:proofErr w:type="gramStart"/>
      <w:r w:rsidRPr="00D42316">
        <w:t>&lt; .</w:t>
      </w:r>
      <w:proofErr w:type="gramEnd"/>
      <w:r w:rsidRPr="00D42316">
        <w:t xml:space="preserve">05). ANOVA </w:t>
      </w:r>
      <w:proofErr w:type="spellStart"/>
      <w:r w:rsidRPr="00D42316">
        <w:t>analysis</w:t>
      </w:r>
      <w:proofErr w:type="spellEnd"/>
      <w:r w:rsidRPr="00D42316">
        <w:t xml:space="preserve"> </w:t>
      </w:r>
      <w:proofErr w:type="spellStart"/>
      <w:r w:rsidRPr="00D42316">
        <w:t>showed</w:t>
      </w:r>
      <w:proofErr w:type="spellEnd"/>
      <w:r w:rsidRPr="00D42316">
        <w:t xml:space="preserve"> </w:t>
      </w:r>
      <w:proofErr w:type="spellStart"/>
      <w:r w:rsidRPr="00D42316">
        <w:t>that</w:t>
      </w:r>
      <w:proofErr w:type="spellEnd"/>
      <w:r w:rsidRPr="00D42316">
        <w:t xml:space="preserve"> </w:t>
      </w:r>
      <w:proofErr w:type="spellStart"/>
      <w:r w:rsidRPr="00D42316">
        <w:t>relationship</w:t>
      </w:r>
      <w:proofErr w:type="spellEnd"/>
      <w:r w:rsidRPr="00D42316">
        <w:t xml:space="preserve"> </w:t>
      </w:r>
      <w:proofErr w:type="spellStart"/>
      <w:r w:rsidRPr="00D42316">
        <w:t>status</w:t>
      </w:r>
      <w:proofErr w:type="spellEnd"/>
      <w:r w:rsidRPr="00D42316">
        <w:t xml:space="preserve"> had </w:t>
      </w:r>
      <w:proofErr w:type="spellStart"/>
      <w:r w:rsidRPr="00D42316">
        <w:t>no</w:t>
      </w:r>
      <w:proofErr w:type="spellEnd"/>
      <w:r w:rsidRPr="00D42316">
        <w:t xml:space="preserve"> </w:t>
      </w:r>
      <w:proofErr w:type="spellStart"/>
      <w:r w:rsidRPr="00D42316">
        <w:t>significant</w:t>
      </w:r>
      <w:proofErr w:type="spellEnd"/>
      <w:r w:rsidRPr="00D42316">
        <w:t xml:space="preserve"> </w:t>
      </w:r>
      <w:proofErr w:type="spellStart"/>
      <w:r w:rsidRPr="00D42316">
        <w:t>effect</w:t>
      </w:r>
      <w:proofErr w:type="spellEnd"/>
      <w:r w:rsidRPr="00D42316">
        <w:t xml:space="preserve"> on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w:t>
      </w:r>
      <w:proofErr w:type="gramStart"/>
      <w:r w:rsidRPr="00D42316">
        <w:t>p &gt;</w:t>
      </w:r>
      <w:proofErr w:type="gramEnd"/>
      <w:r w:rsidRPr="00D42316">
        <w:t xml:space="preserve"> .05), but </w:t>
      </w:r>
      <w:proofErr w:type="spellStart"/>
      <w:r w:rsidRPr="00D42316">
        <w:t>parental</w:t>
      </w:r>
      <w:proofErr w:type="spellEnd"/>
      <w:r w:rsidRPr="00D42316">
        <w:t xml:space="preserve"> </w:t>
      </w:r>
      <w:proofErr w:type="spellStart"/>
      <w:r w:rsidRPr="00D42316">
        <w:t>attitudes</w:t>
      </w:r>
      <w:proofErr w:type="spellEnd"/>
      <w:r w:rsidRPr="00D42316">
        <w:t xml:space="preserve"> (</w:t>
      </w:r>
      <w:proofErr w:type="spellStart"/>
      <w:r w:rsidRPr="00D42316">
        <w:t>authoritarian</w:t>
      </w:r>
      <w:proofErr w:type="spellEnd"/>
      <w:r w:rsidRPr="00D42316">
        <w:t xml:space="preserve">, </w:t>
      </w:r>
      <w:proofErr w:type="spellStart"/>
      <w:r w:rsidRPr="00D42316">
        <w:t>democratic</w:t>
      </w:r>
      <w:proofErr w:type="spellEnd"/>
      <w:r w:rsidRPr="00D42316">
        <w:t xml:space="preserve">, </w:t>
      </w:r>
      <w:proofErr w:type="spellStart"/>
      <w:r w:rsidRPr="00D42316">
        <w:t>inconsistent</w:t>
      </w:r>
      <w:proofErr w:type="spellEnd"/>
      <w:r w:rsidRPr="00D42316">
        <w:t xml:space="preserve">, </w:t>
      </w:r>
      <w:proofErr w:type="spellStart"/>
      <w:r w:rsidRPr="00D42316">
        <w:t>protective</w:t>
      </w:r>
      <w:proofErr w:type="spellEnd"/>
      <w:r w:rsidRPr="00D42316">
        <w:t xml:space="preserve">) </w:t>
      </w:r>
      <w:proofErr w:type="spellStart"/>
      <w:r w:rsidRPr="00D42316">
        <w:t>created</w:t>
      </w:r>
      <w:proofErr w:type="spellEnd"/>
      <w:r w:rsidRPr="00D42316">
        <w:t xml:space="preserve"> </w:t>
      </w:r>
      <w:proofErr w:type="spellStart"/>
      <w:r w:rsidRPr="00D42316">
        <w:t>significant</w:t>
      </w:r>
      <w:proofErr w:type="spellEnd"/>
      <w:r w:rsidRPr="00D42316">
        <w:t xml:space="preserve"> </w:t>
      </w:r>
      <w:proofErr w:type="spellStart"/>
      <w:r w:rsidRPr="00D42316">
        <w:t>differences</w:t>
      </w:r>
      <w:proofErr w:type="spellEnd"/>
      <w:r w:rsidRPr="00D42316">
        <w:t xml:space="preserve"> (p &lt; .05). </w:t>
      </w:r>
      <w:proofErr w:type="spellStart"/>
      <w:r w:rsidRPr="00D42316">
        <w:t>In</w:t>
      </w:r>
      <w:proofErr w:type="spellEnd"/>
      <w:r w:rsidRPr="00D42316">
        <w:t xml:space="preserve"> </w:t>
      </w:r>
      <w:proofErr w:type="spellStart"/>
      <w:r w:rsidRPr="00D42316">
        <w:t>the</w:t>
      </w:r>
      <w:proofErr w:type="spellEnd"/>
      <w:r w:rsidRPr="00D42316">
        <w:t xml:space="preserve"> </w:t>
      </w:r>
      <w:proofErr w:type="spellStart"/>
      <w:r w:rsidRPr="00D42316">
        <w:t>distribution</w:t>
      </w:r>
      <w:proofErr w:type="spellEnd"/>
      <w:r w:rsidRPr="00D42316">
        <w:t xml:space="preserve"> of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gender</w:t>
      </w:r>
      <w:proofErr w:type="spellEnd"/>
      <w:r w:rsidRPr="00D42316">
        <w:t xml:space="preserve"> </w:t>
      </w:r>
      <w:proofErr w:type="spellStart"/>
      <w:r w:rsidRPr="00D42316">
        <w:t>and</w:t>
      </w:r>
      <w:proofErr w:type="spellEnd"/>
      <w:r w:rsidRPr="00D42316">
        <w:t xml:space="preserve"> </w:t>
      </w:r>
      <w:proofErr w:type="spellStart"/>
      <w:r w:rsidRPr="00D42316">
        <w:t>relationship</w:t>
      </w:r>
      <w:proofErr w:type="spellEnd"/>
      <w:r w:rsidRPr="00D42316">
        <w:t xml:space="preserve"> </w:t>
      </w:r>
      <w:proofErr w:type="spellStart"/>
      <w:r w:rsidRPr="00D42316">
        <w:t>status</w:t>
      </w:r>
      <w:proofErr w:type="spellEnd"/>
      <w:r w:rsidRPr="00D42316">
        <w:t xml:space="preserve">, </w:t>
      </w:r>
      <w:proofErr w:type="spellStart"/>
      <w:r w:rsidRPr="00D42316">
        <w:t>the</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of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were</w:t>
      </w:r>
      <w:proofErr w:type="spellEnd"/>
      <w:r w:rsidRPr="00D42316">
        <w:t xml:space="preserve"> </w:t>
      </w:r>
      <w:proofErr w:type="spellStart"/>
      <w:r w:rsidRPr="00D42316">
        <w:t>indifferent</w:t>
      </w:r>
      <w:proofErr w:type="spellEnd"/>
      <w:r w:rsidRPr="00D42316">
        <w:t xml:space="preserve"> </w:t>
      </w:r>
      <w:proofErr w:type="spellStart"/>
      <w:r w:rsidRPr="00D42316">
        <w:t>and</w:t>
      </w:r>
      <w:proofErr w:type="spellEnd"/>
      <w:r w:rsidRPr="00D42316">
        <w:t xml:space="preserve"> </w:t>
      </w:r>
      <w:proofErr w:type="spellStart"/>
      <w:r w:rsidRPr="00D42316">
        <w:t>fearful</w:t>
      </w:r>
      <w:proofErr w:type="spellEnd"/>
      <w:r w:rsidRPr="00D42316">
        <w:t xml:space="preserve">. </w:t>
      </w:r>
      <w:proofErr w:type="spellStart"/>
      <w:r w:rsidRPr="00D42316">
        <w:t>The</w:t>
      </w:r>
      <w:proofErr w:type="spellEnd"/>
      <w:r w:rsidRPr="00D42316">
        <w:t xml:space="preserve"> </w:t>
      </w:r>
      <w:proofErr w:type="spellStart"/>
      <w:r w:rsidRPr="00D42316">
        <w:t>findings</w:t>
      </w:r>
      <w:proofErr w:type="spellEnd"/>
      <w:r w:rsidRPr="00D42316">
        <w:t xml:space="preserve"> </w:t>
      </w:r>
      <w:proofErr w:type="spellStart"/>
      <w:r w:rsidRPr="00D42316">
        <w:t>indicate</w:t>
      </w:r>
      <w:proofErr w:type="spellEnd"/>
      <w:r w:rsidRPr="00D42316">
        <w:t xml:space="preserve"> </w:t>
      </w:r>
      <w:proofErr w:type="spellStart"/>
      <w:r w:rsidRPr="00D42316">
        <w:t>that</w:t>
      </w:r>
      <w:proofErr w:type="spellEnd"/>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and</w:t>
      </w:r>
      <w:proofErr w:type="spellEnd"/>
      <w:r w:rsidRPr="00D42316">
        <w:t xml:space="preserve"> </w:t>
      </w:r>
      <w:proofErr w:type="spellStart"/>
      <w:r w:rsidRPr="00D42316">
        <w:t>parental</w:t>
      </w:r>
      <w:proofErr w:type="spellEnd"/>
      <w:r w:rsidRPr="00D42316">
        <w:t xml:space="preserve"> </w:t>
      </w:r>
      <w:proofErr w:type="spellStart"/>
      <w:r w:rsidRPr="00D42316">
        <w:t>attitudes</w:t>
      </w:r>
      <w:proofErr w:type="spellEnd"/>
      <w:r w:rsidRPr="00D42316">
        <w:t xml:space="preserve"> </w:t>
      </w:r>
      <w:proofErr w:type="spellStart"/>
      <w:r w:rsidRPr="00D42316">
        <w:t>play</w:t>
      </w:r>
      <w:proofErr w:type="spellEnd"/>
      <w:r w:rsidRPr="00D42316">
        <w:t xml:space="preserve"> an </w:t>
      </w:r>
      <w:proofErr w:type="spellStart"/>
      <w:r w:rsidRPr="00D42316">
        <w:t>important</w:t>
      </w:r>
      <w:proofErr w:type="spellEnd"/>
      <w:r w:rsidRPr="00D42316">
        <w:t xml:space="preserve"> role in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stress</w:t>
      </w:r>
      <w:proofErr w:type="spellEnd"/>
      <w:r w:rsidRPr="00D42316">
        <w:t xml:space="preserve"> in </w:t>
      </w:r>
      <w:proofErr w:type="spellStart"/>
      <w:r w:rsidRPr="00D42316">
        <w:t>young</w:t>
      </w:r>
      <w:proofErr w:type="spellEnd"/>
      <w:r w:rsidRPr="00D42316">
        <w:t xml:space="preserve"> </w:t>
      </w:r>
      <w:proofErr w:type="spellStart"/>
      <w:r w:rsidRPr="00D42316">
        <w:t>people</w:t>
      </w:r>
      <w:proofErr w:type="spellEnd"/>
      <w:r w:rsidRPr="00D42316">
        <w:t>.</w:t>
      </w:r>
    </w:p>
    <w:p w14:paraId="2B026B20" w14:textId="77777777" w:rsidR="00F84AD5" w:rsidRPr="00D42316" w:rsidRDefault="00F84AD5">
      <w:pPr>
        <w:spacing w:before="120" w:after="120"/>
        <w:jc w:val="both"/>
      </w:pPr>
    </w:p>
    <w:p w14:paraId="16D46885" w14:textId="30A65A2C" w:rsidR="00FC4D53" w:rsidRDefault="00AC051C">
      <w:pPr>
        <w:spacing w:before="120" w:after="120"/>
        <w:jc w:val="both"/>
      </w:pPr>
      <w:proofErr w:type="spellStart"/>
      <w:r w:rsidRPr="00D42316">
        <w:rPr>
          <w:b/>
        </w:rPr>
        <w:t>Keywords</w:t>
      </w:r>
      <w:proofErr w:type="spellEnd"/>
      <w:r w:rsidRPr="00D42316">
        <w:rPr>
          <w:b/>
        </w:rPr>
        <w:t>:</w:t>
      </w:r>
      <w:r w:rsidRPr="00D42316">
        <w:t xml:space="preserve"> </w:t>
      </w:r>
      <w:proofErr w:type="spellStart"/>
      <w:r w:rsidRPr="00D42316">
        <w:t>Attachment</w:t>
      </w:r>
      <w:proofErr w:type="spellEnd"/>
      <w:r w:rsidRPr="00D42316">
        <w:t xml:space="preserve"> </w:t>
      </w:r>
      <w:proofErr w:type="spellStart"/>
      <w:r w:rsidRPr="00D42316">
        <w:t>Styles</w:t>
      </w:r>
      <w:proofErr w:type="spellEnd"/>
      <w:r w:rsidRPr="00D42316">
        <w:t xml:space="preserve">, </w:t>
      </w:r>
      <w:proofErr w:type="spellStart"/>
      <w:r w:rsidRPr="00D42316">
        <w:t>Depression</w:t>
      </w:r>
      <w:proofErr w:type="spellEnd"/>
      <w:r w:rsidRPr="00D42316">
        <w:t xml:space="preserve">, </w:t>
      </w:r>
      <w:proofErr w:type="spellStart"/>
      <w:r w:rsidRPr="00D42316">
        <w:t>Anxiety</w:t>
      </w:r>
      <w:proofErr w:type="spellEnd"/>
      <w:r w:rsidRPr="00D42316">
        <w:t xml:space="preserve">, </w:t>
      </w:r>
      <w:proofErr w:type="spellStart"/>
      <w:r w:rsidRPr="00D42316">
        <w:t>Stress</w:t>
      </w:r>
      <w:proofErr w:type="spellEnd"/>
    </w:p>
    <w:p w14:paraId="036F4088" w14:textId="5420E322" w:rsidR="00A8748A" w:rsidRPr="00D42316" w:rsidRDefault="00FC4D53" w:rsidP="00FC4D53">
      <w:pPr>
        <w:autoSpaceDE/>
        <w:autoSpaceDN/>
      </w:pPr>
      <w:r>
        <w:br w:type="page"/>
      </w:r>
    </w:p>
    <w:p w14:paraId="3AE8CFDA" w14:textId="77777777" w:rsidR="00F84AD5" w:rsidRPr="00D42316" w:rsidRDefault="00AC051C">
      <w:pPr>
        <w:jc w:val="center"/>
        <w:rPr>
          <w:b/>
        </w:rPr>
      </w:pPr>
      <w:r w:rsidRPr="00D42316">
        <w:rPr>
          <w:b/>
        </w:rPr>
        <w:lastRenderedPageBreak/>
        <w:t>Evli Bireylerin Sahip Oldukları Kariyer Alanları ile Evlilik Doyumlarının İncelenmesi*</w:t>
      </w:r>
    </w:p>
    <w:p w14:paraId="107AA8AD" w14:textId="77777777" w:rsidR="00F84AD5" w:rsidRPr="00D42316" w:rsidRDefault="00F84AD5">
      <w:pPr>
        <w:jc w:val="center"/>
      </w:pPr>
    </w:p>
    <w:p w14:paraId="4CA5BD74" w14:textId="77777777" w:rsidR="00F84AD5" w:rsidRPr="00D42316" w:rsidRDefault="00AC051C">
      <w:pPr>
        <w:jc w:val="center"/>
      </w:pPr>
      <w:r w:rsidRPr="00D42316">
        <w:t>Zahide Nur BAYRAKDAR</w:t>
      </w:r>
    </w:p>
    <w:p w14:paraId="0D61E55C" w14:textId="77777777" w:rsidR="00F84AD5" w:rsidRPr="00D42316" w:rsidRDefault="00AC051C">
      <w:pPr>
        <w:jc w:val="center"/>
      </w:pPr>
      <w:r w:rsidRPr="00D42316">
        <w:t>Lisans Öğrencisi, Kırşehir Ahi Evran Üniversitesi, Rehberlik ve Psikolojik Danışma</w:t>
      </w:r>
      <w:r w:rsidRPr="00D42316">
        <w:br/>
        <w:t xml:space="preserve"> bayrakdar.zahidenur@ogr.ahievran.edu.tr</w:t>
      </w:r>
      <w:r w:rsidRPr="00D42316">
        <w:br/>
        <w:t>0009-0008-1320-2548</w:t>
      </w:r>
    </w:p>
    <w:p w14:paraId="7FA8A235" w14:textId="77777777" w:rsidR="00F84AD5" w:rsidRPr="00D42316" w:rsidRDefault="00F84AD5">
      <w:pPr>
        <w:jc w:val="both"/>
      </w:pPr>
    </w:p>
    <w:p w14:paraId="0363B668" w14:textId="77777777" w:rsidR="00F84AD5" w:rsidRPr="00D42316" w:rsidRDefault="00AC051C">
      <w:pPr>
        <w:jc w:val="center"/>
      </w:pPr>
      <w:r w:rsidRPr="00D42316">
        <w:t>Önder Baltacı</w:t>
      </w:r>
    </w:p>
    <w:p w14:paraId="23595DAB" w14:textId="77777777" w:rsidR="00F84AD5" w:rsidRPr="00D42316" w:rsidRDefault="00AC051C">
      <w:pPr>
        <w:jc w:val="center"/>
      </w:pPr>
      <w:r w:rsidRPr="00D42316">
        <w:t xml:space="preserve">Doç. </w:t>
      </w:r>
      <w:proofErr w:type="spellStart"/>
      <w:r w:rsidRPr="00D42316">
        <w:t>Dr</w:t>
      </w:r>
      <w:proofErr w:type="spellEnd"/>
      <w:r w:rsidRPr="00D42316">
        <w:t>, Kırşehir Ahi Evran Üniversitesi, Rehberlik ve Psikolojik Danışmanlık</w:t>
      </w:r>
    </w:p>
    <w:p w14:paraId="366B3134" w14:textId="77777777" w:rsidR="00F84AD5" w:rsidRPr="00D42316" w:rsidRDefault="00AC051C">
      <w:pPr>
        <w:jc w:val="center"/>
      </w:pPr>
      <w:r w:rsidRPr="00D42316">
        <w:t>baltacionder@gmail.com</w:t>
      </w:r>
    </w:p>
    <w:p w14:paraId="494B67B0" w14:textId="77777777" w:rsidR="00F84AD5" w:rsidRPr="00D42316" w:rsidRDefault="00AC051C">
      <w:pPr>
        <w:jc w:val="center"/>
      </w:pPr>
      <w:r w:rsidRPr="00D42316">
        <w:t>0000-0002-9974-8507</w:t>
      </w:r>
    </w:p>
    <w:p w14:paraId="6CD5B5EF" w14:textId="77777777" w:rsidR="00F84AD5" w:rsidRPr="00D42316" w:rsidRDefault="00F84AD5">
      <w:pPr>
        <w:jc w:val="center"/>
      </w:pPr>
    </w:p>
    <w:p w14:paraId="5DB17A59" w14:textId="77777777" w:rsidR="00F84AD5" w:rsidRPr="009F0AE3" w:rsidRDefault="00AC051C" w:rsidP="002604BA">
      <w:pPr>
        <w:jc w:val="center"/>
        <w:rPr>
          <w:b/>
          <w:bCs/>
        </w:rPr>
      </w:pPr>
      <w:r w:rsidRPr="009F0AE3">
        <w:rPr>
          <w:b/>
          <w:bCs/>
        </w:rPr>
        <w:t>Özet</w:t>
      </w:r>
    </w:p>
    <w:p w14:paraId="7CAF9127" w14:textId="6E7B8729" w:rsidR="00F84AD5" w:rsidRPr="00D42316" w:rsidRDefault="00AC051C" w:rsidP="002604BA">
      <w:pPr>
        <w:jc w:val="both"/>
      </w:pPr>
      <w:r w:rsidRPr="00D42316">
        <w:t>Karşılıklı etkileşim halinde bulunan evlilik ve aileyi yakından ilgilendiren konularda fikir ve görüş birliği yapabilen hatta sorunlarını olumlu bir şekilde halledebilen çiftlerin, beraberliği uyumlu bir evlilik olarak tanımlanmaktadır. Bu nedenle, mutluluk, haz, doyum, ilişkiden beklentilerin gerçekleşmesi evlilikte karşılıklı bir uyum sayesinde mümkün olmaktadır. Eşler arasındaki uyum evlilik hayatı açısından yeterince önemli bir yer teşkil etmektedir. Bu kapsamda evlilik doyumlarına yaşamdaki diğer konuların etkilerinin ortaya çıkarılması önemli görülmektedir. Buradan yola çıkarak bu araştırmanın amacı evli bireylerin sahip oldukları kariyer alanları ile evlilik doyumları arasındaki ilişkilerin araştırılmasıdır. Bu araştırmanın yöntemi genel tarama modelinde ilişkisel bir yaklaşım ile raporlaştırılmıştır. Bu çalışmada; evli bireylerin kariyer alanlarını belirlemek için Kişisel Bilgi Formları uygulanmıştır. Hangi mesleğe sahip oldukları, hangi işi yaptıkları, ne kadar süredir çalışma hayatlarında olduğu ve evlilik süreleri formla gerçekleştirilmiştir. Evlilik doyumları düzeylerini de belirlemek amacıyla Evlilik Doyumu Ölçeği kullanılmıştır. Verilerin analizinde ise t- testi ve ANOVA kullanılmıştır. Araştırmada 2024-2025 eğitim ve öğretim yılı içerisinde evli ve çalışan bireyler örneklem seçilmiştir. Örneklem grubu 512 katılımcıdan oluşmuştur. Araştırmanın veri toplama şekli ise Google Forms ve belge formlarının çoğaltımıyla desteklenmiştir. Elde edilen veriler sonucunda; cinsiyete göre anlamlı fark vardır. Erkeklerin ortalama evlilik doyumu daha yüksektir. Evlilik doyumu açısından kadınlar ve erkekler arasında istatistiksel olarak anlamlı bir fark vardır. İşinizin evliliğinizi etkilediklerini düşünenlere göre anlamlı fark vardır. İşlerini etkilemediğini düşünenlerin evlilik doyumu daha yüksektir. “Evet" ve "Hayır" grupları arasında evlilik doyumu açısından istatistiksel olarak anlamlı bir fark bulunmaktadır. Eşin çalıştığı sektörün evlilik doyumu üzerinde istatistiksel olarak anlamlı bir etkisi vardır. Eşi özel sektörde çalışan bireyler, eşi çalışmayan bireylere kıyasla daha düşük evlilik doyumuna sahiptir. İş memnuniyeti, evlilik doyumu üzerinde anlamlı bir farklılığa sahiptir.</w:t>
      </w:r>
    </w:p>
    <w:p w14:paraId="766089CA" w14:textId="77777777" w:rsidR="00F84AD5" w:rsidRPr="00D42316" w:rsidRDefault="00F84AD5">
      <w:pPr>
        <w:jc w:val="both"/>
      </w:pPr>
    </w:p>
    <w:p w14:paraId="44D69836" w14:textId="7F48FE0E" w:rsidR="00A8748A" w:rsidRPr="00D42316" w:rsidRDefault="00AC051C">
      <w:pPr>
        <w:jc w:val="both"/>
      </w:pPr>
      <w:r w:rsidRPr="00D42316">
        <w:rPr>
          <w:b/>
        </w:rPr>
        <w:t xml:space="preserve">Anahtar </w:t>
      </w:r>
      <w:r w:rsidR="00A8748A" w:rsidRPr="00D42316">
        <w:rPr>
          <w:b/>
        </w:rPr>
        <w:t>Kelime</w:t>
      </w:r>
      <w:r w:rsidRPr="00D42316">
        <w:rPr>
          <w:b/>
        </w:rPr>
        <w:t>ler:</w:t>
      </w:r>
      <w:r w:rsidRPr="00D42316">
        <w:t xml:space="preserve"> Kariyer Alanları, Evlilik Doyumu, Evli Bireyler</w:t>
      </w:r>
    </w:p>
    <w:p w14:paraId="5150E43F" w14:textId="77777777" w:rsidR="00F84AD5" w:rsidRPr="00D42316" w:rsidRDefault="00F84AD5">
      <w:pPr>
        <w:jc w:val="both"/>
      </w:pPr>
    </w:p>
    <w:p w14:paraId="27512027" w14:textId="77777777" w:rsidR="00F84AD5" w:rsidRPr="009F0AE3" w:rsidRDefault="00AC051C" w:rsidP="002604BA">
      <w:pPr>
        <w:jc w:val="center"/>
        <w:rPr>
          <w:b/>
          <w:bCs/>
        </w:rPr>
      </w:pPr>
      <w:proofErr w:type="spellStart"/>
      <w:r w:rsidRPr="009F0AE3">
        <w:rPr>
          <w:b/>
          <w:bCs/>
        </w:rPr>
        <w:t>Abstract</w:t>
      </w:r>
      <w:proofErr w:type="spellEnd"/>
    </w:p>
    <w:p w14:paraId="44BC1916" w14:textId="13FD18DF" w:rsidR="00F84AD5" w:rsidRPr="00D42316" w:rsidRDefault="00AC051C" w:rsidP="002604BA">
      <w:pPr>
        <w:jc w:val="both"/>
      </w:pPr>
      <w:r w:rsidRPr="00D42316">
        <w:t xml:space="preserve">A </w:t>
      </w:r>
      <w:proofErr w:type="spellStart"/>
      <w:r w:rsidRPr="00D42316">
        <w:t>harmonious</w:t>
      </w:r>
      <w:proofErr w:type="spellEnd"/>
      <w:r w:rsidRPr="00D42316">
        <w:t xml:space="preserve"> </w:t>
      </w:r>
      <w:proofErr w:type="spellStart"/>
      <w:r w:rsidRPr="00D42316">
        <w:t>marriage</w:t>
      </w:r>
      <w:proofErr w:type="spellEnd"/>
      <w:r w:rsidRPr="00D42316">
        <w:t xml:space="preserve"> is </w:t>
      </w:r>
      <w:proofErr w:type="spellStart"/>
      <w:r w:rsidRPr="00D42316">
        <w:t>defined</w:t>
      </w:r>
      <w:proofErr w:type="spellEnd"/>
      <w:r w:rsidRPr="00D42316">
        <w:t xml:space="preserve"> as </w:t>
      </w:r>
      <w:proofErr w:type="spellStart"/>
      <w:r w:rsidRPr="00D42316">
        <w:t>the</w:t>
      </w:r>
      <w:proofErr w:type="spellEnd"/>
      <w:r w:rsidRPr="00D42316">
        <w:t xml:space="preserve"> </w:t>
      </w:r>
      <w:proofErr w:type="spellStart"/>
      <w:r w:rsidRPr="00D42316">
        <w:t>union</w:t>
      </w:r>
      <w:proofErr w:type="spellEnd"/>
      <w:r w:rsidRPr="00D42316">
        <w:t xml:space="preserve"> of </w:t>
      </w:r>
      <w:proofErr w:type="spellStart"/>
      <w:r w:rsidRPr="00D42316">
        <w:t>couples</w:t>
      </w:r>
      <w:proofErr w:type="spellEnd"/>
      <w:r w:rsidRPr="00D42316">
        <w:t xml:space="preserve"> </w:t>
      </w:r>
      <w:proofErr w:type="spellStart"/>
      <w:r w:rsidRPr="00D42316">
        <w:t>who</w:t>
      </w:r>
      <w:proofErr w:type="spellEnd"/>
      <w:r w:rsidRPr="00D42316">
        <w:t xml:space="preserve"> </w:t>
      </w:r>
      <w:proofErr w:type="spellStart"/>
      <w:r w:rsidRPr="00D42316">
        <w:t>are</w:t>
      </w:r>
      <w:proofErr w:type="spellEnd"/>
      <w:r w:rsidRPr="00D42316">
        <w:t xml:space="preserve"> </w:t>
      </w:r>
      <w:proofErr w:type="spellStart"/>
      <w:r w:rsidRPr="00D42316">
        <w:t>able</w:t>
      </w:r>
      <w:proofErr w:type="spellEnd"/>
      <w:r w:rsidRPr="00D42316">
        <w:t xml:space="preserve"> </w:t>
      </w:r>
      <w:proofErr w:type="spellStart"/>
      <w:r w:rsidRPr="00D42316">
        <w:t>to</w:t>
      </w:r>
      <w:proofErr w:type="spellEnd"/>
      <w:r w:rsidRPr="00D42316">
        <w:t xml:space="preserve"> </w:t>
      </w:r>
      <w:proofErr w:type="spellStart"/>
      <w:r w:rsidRPr="00D42316">
        <w:t>agree</w:t>
      </w:r>
      <w:proofErr w:type="spellEnd"/>
      <w:r w:rsidRPr="00D42316">
        <w:t xml:space="preserve"> on </w:t>
      </w:r>
      <w:proofErr w:type="spellStart"/>
      <w:r w:rsidRPr="00D42316">
        <w:t>issues</w:t>
      </w:r>
      <w:proofErr w:type="spellEnd"/>
      <w:r w:rsidRPr="00D42316">
        <w:t xml:space="preserve"> </w:t>
      </w:r>
      <w:proofErr w:type="spellStart"/>
      <w:r w:rsidRPr="00D42316">
        <w:t>that</w:t>
      </w:r>
      <w:proofErr w:type="spellEnd"/>
      <w:r w:rsidRPr="00D42316">
        <w:t xml:space="preserve"> </w:t>
      </w:r>
      <w:proofErr w:type="spellStart"/>
      <w:r w:rsidRPr="00D42316">
        <w:t>are</w:t>
      </w:r>
      <w:proofErr w:type="spellEnd"/>
      <w:r w:rsidRPr="00D42316">
        <w:t xml:space="preserve"> </w:t>
      </w:r>
      <w:proofErr w:type="spellStart"/>
      <w:r w:rsidRPr="00D42316">
        <w:t>closely</w:t>
      </w:r>
      <w:proofErr w:type="spellEnd"/>
      <w:r w:rsidRPr="00D42316">
        <w:t xml:space="preserve"> </w:t>
      </w:r>
      <w:proofErr w:type="spellStart"/>
      <w:r w:rsidRPr="00D42316">
        <w:t>related</w:t>
      </w:r>
      <w:proofErr w:type="spellEnd"/>
      <w:r w:rsidRPr="00D42316">
        <w:t xml:space="preserve"> </w:t>
      </w:r>
      <w:proofErr w:type="spellStart"/>
      <w:r w:rsidRPr="00D42316">
        <w:t>to</w:t>
      </w:r>
      <w:proofErr w:type="spellEnd"/>
      <w:r w:rsidRPr="00D42316">
        <w:t xml:space="preserve"> </w:t>
      </w:r>
      <w:proofErr w:type="spellStart"/>
      <w:r w:rsidRPr="00D42316">
        <w:t>marriage</w:t>
      </w:r>
      <w:proofErr w:type="spellEnd"/>
      <w:r w:rsidRPr="00D42316">
        <w:t xml:space="preserve"> </w:t>
      </w:r>
      <w:proofErr w:type="spellStart"/>
      <w:r w:rsidRPr="00D42316">
        <w:t>and</w:t>
      </w:r>
      <w:proofErr w:type="spellEnd"/>
      <w:r w:rsidRPr="00D42316">
        <w:t xml:space="preserve"> </w:t>
      </w:r>
      <w:proofErr w:type="spellStart"/>
      <w:r w:rsidRPr="00D42316">
        <w:t>family</w:t>
      </w:r>
      <w:proofErr w:type="spellEnd"/>
      <w:r w:rsidRPr="00D42316">
        <w:t xml:space="preserve"> in </w:t>
      </w:r>
      <w:proofErr w:type="spellStart"/>
      <w:r w:rsidRPr="00D42316">
        <w:t>mutual</w:t>
      </w:r>
      <w:proofErr w:type="spellEnd"/>
      <w:r w:rsidRPr="00D42316">
        <w:t xml:space="preserve"> </w:t>
      </w:r>
      <w:proofErr w:type="spellStart"/>
      <w:r w:rsidRPr="00D42316">
        <w:t>interaction</w:t>
      </w:r>
      <w:proofErr w:type="spellEnd"/>
      <w:r w:rsidRPr="00D42316">
        <w:t xml:space="preserve"> </w:t>
      </w:r>
      <w:proofErr w:type="spellStart"/>
      <w:r w:rsidRPr="00D42316">
        <w:t>and</w:t>
      </w:r>
      <w:proofErr w:type="spellEnd"/>
      <w:r w:rsidRPr="00D42316">
        <w:t xml:space="preserve"> </w:t>
      </w:r>
      <w:proofErr w:type="spellStart"/>
      <w:r w:rsidRPr="00D42316">
        <w:t>who</w:t>
      </w:r>
      <w:proofErr w:type="spellEnd"/>
      <w:r w:rsidRPr="00D42316">
        <w:t xml:space="preserve"> can </w:t>
      </w:r>
      <w:proofErr w:type="spellStart"/>
      <w:r w:rsidRPr="00D42316">
        <w:t>even</w:t>
      </w:r>
      <w:proofErr w:type="spellEnd"/>
      <w:r w:rsidRPr="00D42316">
        <w:t xml:space="preserve"> </w:t>
      </w:r>
      <w:proofErr w:type="spellStart"/>
      <w:r w:rsidRPr="00D42316">
        <w:t>solve</w:t>
      </w:r>
      <w:proofErr w:type="spellEnd"/>
      <w:r w:rsidRPr="00D42316">
        <w:t xml:space="preserve"> </w:t>
      </w:r>
      <w:proofErr w:type="spellStart"/>
      <w:r w:rsidRPr="00D42316">
        <w:t>their</w:t>
      </w:r>
      <w:proofErr w:type="spellEnd"/>
      <w:r w:rsidRPr="00D42316">
        <w:t xml:space="preserve"> </w:t>
      </w:r>
      <w:proofErr w:type="spellStart"/>
      <w:r w:rsidRPr="00D42316">
        <w:t>problems</w:t>
      </w:r>
      <w:proofErr w:type="spellEnd"/>
      <w:r w:rsidRPr="00D42316">
        <w:t xml:space="preserve"> in a </w:t>
      </w:r>
      <w:proofErr w:type="spellStart"/>
      <w:r w:rsidRPr="00D42316">
        <w:t>positive</w:t>
      </w:r>
      <w:proofErr w:type="spellEnd"/>
      <w:r w:rsidRPr="00D42316">
        <w:t xml:space="preserve"> </w:t>
      </w:r>
      <w:proofErr w:type="spellStart"/>
      <w:r w:rsidRPr="00D42316">
        <w:t>way</w:t>
      </w:r>
      <w:proofErr w:type="spellEnd"/>
      <w:r w:rsidRPr="00D42316">
        <w:t xml:space="preserve">. </w:t>
      </w:r>
      <w:proofErr w:type="spellStart"/>
      <w:r w:rsidRPr="00D42316">
        <w:t>Therefore</w:t>
      </w:r>
      <w:proofErr w:type="spellEnd"/>
      <w:r w:rsidRPr="00D42316">
        <w:t xml:space="preserve">, </w:t>
      </w:r>
      <w:proofErr w:type="spellStart"/>
      <w:r w:rsidRPr="00D42316">
        <w:t>happiness</w:t>
      </w:r>
      <w:proofErr w:type="spellEnd"/>
      <w:r w:rsidRPr="00D42316">
        <w:t xml:space="preserve">, </w:t>
      </w:r>
      <w:proofErr w:type="spellStart"/>
      <w:r w:rsidRPr="00D42316">
        <w:t>pleasure</w:t>
      </w:r>
      <w:proofErr w:type="spellEnd"/>
      <w:r w:rsidRPr="00D42316">
        <w:t xml:space="preserve">, </w:t>
      </w:r>
      <w:proofErr w:type="spellStart"/>
      <w:r w:rsidRPr="00D42316">
        <w:t>satisfaction</w:t>
      </w:r>
      <w:proofErr w:type="spellEnd"/>
      <w:r w:rsidRPr="00D42316">
        <w:t xml:space="preserve"> </w:t>
      </w:r>
      <w:proofErr w:type="spellStart"/>
      <w:r w:rsidRPr="00D42316">
        <w:t>and</w:t>
      </w:r>
      <w:proofErr w:type="spellEnd"/>
      <w:r w:rsidRPr="00D42316">
        <w:t xml:space="preserve"> </w:t>
      </w:r>
      <w:proofErr w:type="spellStart"/>
      <w:r w:rsidRPr="00D42316">
        <w:t>realization</w:t>
      </w:r>
      <w:proofErr w:type="spellEnd"/>
      <w:r w:rsidRPr="00D42316">
        <w:t xml:space="preserve"> of </w:t>
      </w:r>
      <w:proofErr w:type="spellStart"/>
      <w:r w:rsidRPr="00D42316">
        <w:t>expectations</w:t>
      </w:r>
      <w:proofErr w:type="spellEnd"/>
      <w:r w:rsidRPr="00D42316">
        <w:t xml:space="preserve"> </w:t>
      </w:r>
      <w:proofErr w:type="spellStart"/>
      <w:r w:rsidRPr="00D42316">
        <w:t>from</w:t>
      </w:r>
      <w:proofErr w:type="spellEnd"/>
      <w:r w:rsidRPr="00D42316">
        <w:t xml:space="preserve"> </w:t>
      </w:r>
      <w:proofErr w:type="spellStart"/>
      <w:r w:rsidRPr="00D42316">
        <w:t>the</w:t>
      </w:r>
      <w:proofErr w:type="spellEnd"/>
      <w:r w:rsidRPr="00D42316">
        <w:t xml:space="preserve"> </w:t>
      </w:r>
      <w:proofErr w:type="spellStart"/>
      <w:r w:rsidRPr="00D42316">
        <w:t>relationship</w:t>
      </w:r>
      <w:proofErr w:type="spellEnd"/>
      <w:r w:rsidRPr="00D42316">
        <w:t xml:space="preserve"> </w:t>
      </w:r>
      <w:proofErr w:type="spellStart"/>
      <w:r w:rsidRPr="00D42316">
        <w:t>are</w:t>
      </w:r>
      <w:proofErr w:type="spellEnd"/>
      <w:r w:rsidRPr="00D42316">
        <w:t xml:space="preserve"> </w:t>
      </w:r>
      <w:proofErr w:type="spellStart"/>
      <w:r w:rsidRPr="00D42316">
        <w:t>possible</w:t>
      </w:r>
      <w:proofErr w:type="spellEnd"/>
      <w:r w:rsidRPr="00D42316">
        <w:t xml:space="preserve"> </w:t>
      </w:r>
      <w:proofErr w:type="spellStart"/>
      <w:r w:rsidRPr="00D42316">
        <w:t>through</w:t>
      </w:r>
      <w:proofErr w:type="spellEnd"/>
      <w:r w:rsidRPr="00D42316">
        <w:t xml:space="preserve"> </w:t>
      </w:r>
      <w:proofErr w:type="spellStart"/>
      <w:r w:rsidRPr="00D42316">
        <w:t>mutual</w:t>
      </w:r>
      <w:proofErr w:type="spellEnd"/>
      <w:r w:rsidRPr="00D42316">
        <w:t xml:space="preserve"> </w:t>
      </w:r>
      <w:proofErr w:type="spellStart"/>
      <w:r w:rsidRPr="00D42316">
        <w:t>harmony</w:t>
      </w:r>
      <w:proofErr w:type="spellEnd"/>
      <w:r w:rsidRPr="00D42316">
        <w:t xml:space="preserve"> in </w:t>
      </w:r>
      <w:proofErr w:type="spellStart"/>
      <w:r w:rsidRPr="00D42316">
        <w:t>marriage</w:t>
      </w:r>
      <w:proofErr w:type="spellEnd"/>
      <w:r w:rsidRPr="00D42316">
        <w:t xml:space="preserve">. </w:t>
      </w:r>
      <w:proofErr w:type="spellStart"/>
      <w:r w:rsidRPr="00D42316">
        <w:t>Harmony</w:t>
      </w:r>
      <w:proofErr w:type="spellEnd"/>
      <w:r w:rsidRPr="00D42316">
        <w:t xml:space="preserve"> </w:t>
      </w:r>
      <w:proofErr w:type="spellStart"/>
      <w:r w:rsidRPr="00D42316">
        <w:t>between</w:t>
      </w:r>
      <w:proofErr w:type="spellEnd"/>
      <w:r w:rsidRPr="00D42316">
        <w:t xml:space="preserve"> </w:t>
      </w:r>
      <w:proofErr w:type="spellStart"/>
      <w:r w:rsidRPr="00D42316">
        <w:t>spouses</w:t>
      </w:r>
      <w:proofErr w:type="spellEnd"/>
      <w:r w:rsidRPr="00D42316">
        <w:t xml:space="preserve"> </w:t>
      </w:r>
      <w:proofErr w:type="spellStart"/>
      <w:r w:rsidRPr="00D42316">
        <w:t>constitutes</w:t>
      </w:r>
      <w:proofErr w:type="spellEnd"/>
      <w:r w:rsidRPr="00D42316">
        <w:t xml:space="preserve"> a </w:t>
      </w:r>
      <w:proofErr w:type="spellStart"/>
      <w:r w:rsidRPr="00D42316">
        <w:t>sufficiently</w:t>
      </w:r>
      <w:proofErr w:type="spellEnd"/>
      <w:r w:rsidRPr="00D42316">
        <w:t xml:space="preserve"> </w:t>
      </w:r>
      <w:proofErr w:type="spellStart"/>
      <w:r w:rsidRPr="00D42316">
        <w:t>important</w:t>
      </w:r>
      <w:proofErr w:type="spellEnd"/>
      <w:r w:rsidRPr="00D42316">
        <w:t xml:space="preserve"> </w:t>
      </w:r>
      <w:proofErr w:type="spellStart"/>
      <w:r w:rsidRPr="00D42316">
        <w:t>place</w:t>
      </w:r>
      <w:proofErr w:type="spellEnd"/>
      <w:r w:rsidRPr="00D42316">
        <w:t xml:space="preserve"> in </w:t>
      </w:r>
      <w:proofErr w:type="spellStart"/>
      <w:r w:rsidRPr="00D42316">
        <w:t>terms</w:t>
      </w:r>
      <w:proofErr w:type="spellEnd"/>
      <w:r w:rsidRPr="00D42316">
        <w:t xml:space="preserve"> of </w:t>
      </w:r>
      <w:proofErr w:type="spellStart"/>
      <w:r w:rsidRPr="00D42316">
        <w:t>marital</w:t>
      </w:r>
      <w:proofErr w:type="spellEnd"/>
      <w:r w:rsidRPr="00D42316">
        <w:t xml:space="preserve"> life.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context</w:t>
      </w:r>
      <w:proofErr w:type="spellEnd"/>
      <w:r w:rsidRPr="00D42316">
        <w:t xml:space="preserve">, it is </w:t>
      </w:r>
      <w:proofErr w:type="spellStart"/>
      <w:r w:rsidRPr="00D42316">
        <w:t>important</w:t>
      </w:r>
      <w:proofErr w:type="spellEnd"/>
      <w:r w:rsidRPr="00D42316">
        <w:t xml:space="preserve"> </w:t>
      </w:r>
      <w:proofErr w:type="spellStart"/>
      <w:r w:rsidRPr="00D42316">
        <w:t>to</w:t>
      </w:r>
      <w:proofErr w:type="spellEnd"/>
      <w:r w:rsidRPr="00D42316">
        <w:t xml:space="preserve"> </w:t>
      </w:r>
      <w:proofErr w:type="spellStart"/>
      <w:r w:rsidRPr="00D42316">
        <w:t>reveal</w:t>
      </w:r>
      <w:proofErr w:type="spellEnd"/>
      <w:r w:rsidRPr="00D42316">
        <w:t xml:space="preserve"> </w:t>
      </w:r>
      <w:proofErr w:type="spellStart"/>
      <w:r w:rsidRPr="00D42316">
        <w:t>the</w:t>
      </w:r>
      <w:proofErr w:type="spellEnd"/>
      <w:r w:rsidRPr="00D42316">
        <w:t xml:space="preserve"> </w:t>
      </w:r>
      <w:proofErr w:type="spellStart"/>
      <w:r w:rsidRPr="00D42316">
        <w:t>effects</w:t>
      </w:r>
      <w:proofErr w:type="spellEnd"/>
      <w:r w:rsidRPr="00D42316">
        <w:t xml:space="preserve"> of </w:t>
      </w:r>
      <w:proofErr w:type="spellStart"/>
      <w:r w:rsidRPr="00D42316">
        <w:t>other</w:t>
      </w:r>
      <w:proofErr w:type="spellEnd"/>
      <w:r w:rsidRPr="00D42316">
        <w:t xml:space="preserve"> </w:t>
      </w:r>
      <w:proofErr w:type="spellStart"/>
      <w:r w:rsidRPr="00D42316">
        <w:t>issues</w:t>
      </w:r>
      <w:proofErr w:type="spellEnd"/>
      <w:r w:rsidRPr="00D42316">
        <w:t xml:space="preserve"> in life on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Based</w:t>
      </w:r>
      <w:proofErr w:type="spellEnd"/>
      <w:r w:rsidRPr="00D42316">
        <w:t xml:space="preserve"> </w:t>
      </w:r>
      <w:r w:rsidRPr="00D42316">
        <w:lastRenderedPageBreak/>
        <w:t xml:space="preserve">on </w:t>
      </w:r>
      <w:proofErr w:type="spellStart"/>
      <w:r w:rsidRPr="00D42316">
        <w:t>this</w:t>
      </w:r>
      <w:proofErr w:type="spellEnd"/>
      <w:r w:rsidRPr="00D42316">
        <w:t xml:space="preserve">, </w:t>
      </w:r>
      <w:proofErr w:type="spellStart"/>
      <w:r w:rsidRPr="00D42316">
        <w:t>the</w:t>
      </w:r>
      <w:proofErr w:type="spellEnd"/>
      <w:r w:rsidRPr="00D42316">
        <w:t xml:space="preserve"> </w:t>
      </w:r>
      <w:proofErr w:type="spellStart"/>
      <w:r w:rsidRPr="00D42316">
        <w:t>aim</w:t>
      </w:r>
      <w:proofErr w:type="spellEnd"/>
      <w:r w:rsidRPr="00D42316">
        <w:t xml:space="preserve"> of </w:t>
      </w:r>
      <w:proofErr w:type="spellStart"/>
      <w:r w:rsidRPr="00D42316">
        <w:t>this</w:t>
      </w:r>
      <w:proofErr w:type="spellEnd"/>
      <w:r w:rsidRPr="00D42316">
        <w:t xml:space="preserve"> </w:t>
      </w:r>
      <w:proofErr w:type="spellStart"/>
      <w:r w:rsidRPr="00D42316">
        <w:t>study</w:t>
      </w:r>
      <w:proofErr w:type="spellEnd"/>
      <w:r w:rsidRPr="00D42316">
        <w:t xml:space="preserve"> is </w:t>
      </w:r>
      <w:proofErr w:type="spellStart"/>
      <w:r w:rsidRPr="00D42316">
        <w:t>to</w:t>
      </w:r>
      <w:proofErr w:type="spellEnd"/>
      <w:r w:rsidRPr="00D42316">
        <w:t xml:space="preserve"> </w:t>
      </w:r>
      <w:proofErr w:type="spellStart"/>
      <w:r w:rsidRPr="00D42316">
        <w:t>investigate</w:t>
      </w:r>
      <w:proofErr w:type="spellEnd"/>
      <w:r w:rsidRPr="00D42316">
        <w:t xml:space="preserve"> </w:t>
      </w:r>
      <w:proofErr w:type="spellStart"/>
      <w:r w:rsidRPr="00D42316">
        <w:t>the</w:t>
      </w:r>
      <w:proofErr w:type="spellEnd"/>
      <w:r w:rsidRPr="00D42316">
        <w:t xml:space="preserve"> </w:t>
      </w:r>
      <w:proofErr w:type="spellStart"/>
      <w:r w:rsidRPr="00D42316">
        <w:t>relationship</w:t>
      </w:r>
      <w:proofErr w:type="spellEnd"/>
      <w:r w:rsidRPr="00D42316">
        <w:t xml:space="preserve"> </w:t>
      </w:r>
      <w:proofErr w:type="spellStart"/>
      <w:r w:rsidRPr="00D42316">
        <w:t>between</w:t>
      </w:r>
      <w:proofErr w:type="spellEnd"/>
      <w:r w:rsidRPr="00D42316">
        <w:t xml:space="preserve"> </w:t>
      </w:r>
      <w:proofErr w:type="spellStart"/>
      <w:r w:rsidRPr="00D42316">
        <w:t>the</w:t>
      </w:r>
      <w:proofErr w:type="spellEnd"/>
      <w:r w:rsidRPr="00D42316">
        <w:t xml:space="preserve"> </w:t>
      </w:r>
      <w:proofErr w:type="spellStart"/>
      <w:r w:rsidRPr="00D42316">
        <w:t>career</w:t>
      </w:r>
      <w:proofErr w:type="spellEnd"/>
      <w:r w:rsidRPr="00D42316">
        <w:t xml:space="preserve"> </w:t>
      </w:r>
      <w:proofErr w:type="spellStart"/>
      <w:r w:rsidRPr="00D42316">
        <w:t>fields</w:t>
      </w:r>
      <w:proofErr w:type="spellEnd"/>
      <w:r w:rsidRPr="00D42316">
        <w:t xml:space="preserve"> of </w:t>
      </w:r>
      <w:proofErr w:type="spellStart"/>
      <w:r w:rsidRPr="00D42316">
        <w:t>married</w:t>
      </w:r>
      <w:proofErr w:type="spellEnd"/>
      <w:r w:rsidRPr="00D42316">
        <w:t xml:space="preserve">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their</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The</w:t>
      </w:r>
      <w:proofErr w:type="spellEnd"/>
      <w:r w:rsidRPr="00D42316">
        <w:t xml:space="preserve"> </w:t>
      </w:r>
      <w:proofErr w:type="spellStart"/>
      <w:r w:rsidRPr="00D42316">
        <w:t>method</w:t>
      </w:r>
      <w:proofErr w:type="spellEnd"/>
      <w:r w:rsidRPr="00D42316">
        <w:t xml:space="preserve"> of </w:t>
      </w:r>
      <w:proofErr w:type="spellStart"/>
      <w:r w:rsidRPr="00D42316">
        <w:t>this</w:t>
      </w:r>
      <w:proofErr w:type="spellEnd"/>
      <w:r w:rsidRPr="00D42316">
        <w:t xml:space="preserve"> </w:t>
      </w:r>
      <w:proofErr w:type="spellStart"/>
      <w:r w:rsidRPr="00D42316">
        <w:t>research</w:t>
      </w:r>
      <w:proofErr w:type="spellEnd"/>
      <w:r w:rsidRPr="00D42316">
        <w:t xml:space="preserve"> is </w:t>
      </w:r>
      <w:proofErr w:type="spellStart"/>
      <w:r w:rsidRPr="00D42316">
        <w:t>reported</w:t>
      </w:r>
      <w:proofErr w:type="spellEnd"/>
      <w:r w:rsidRPr="00D42316">
        <w:t xml:space="preserve"> </w:t>
      </w:r>
      <w:proofErr w:type="spellStart"/>
      <w:r w:rsidRPr="00D42316">
        <w:t>with</w:t>
      </w:r>
      <w:proofErr w:type="spellEnd"/>
      <w:r w:rsidRPr="00D42316">
        <w:t xml:space="preserve"> a </w:t>
      </w:r>
      <w:proofErr w:type="spellStart"/>
      <w:r w:rsidRPr="00D42316">
        <w:t>relational</w:t>
      </w:r>
      <w:proofErr w:type="spellEnd"/>
      <w:r w:rsidRPr="00D42316">
        <w:t xml:space="preserve"> </w:t>
      </w:r>
      <w:proofErr w:type="spellStart"/>
      <w:r w:rsidRPr="00D42316">
        <w:t>approach</w:t>
      </w:r>
      <w:proofErr w:type="spellEnd"/>
      <w:r w:rsidRPr="00D42316">
        <w:t xml:space="preserve"> in </w:t>
      </w:r>
      <w:proofErr w:type="spellStart"/>
      <w:r w:rsidRPr="00D42316">
        <w:t>the</w:t>
      </w:r>
      <w:proofErr w:type="spellEnd"/>
      <w:r w:rsidRPr="00D42316">
        <w:t xml:space="preserve"> general </w:t>
      </w:r>
      <w:proofErr w:type="spellStart"/>
      <w:r w:rsidRPr="00D42316">
        <w:t>survey</w:t>
      </w:r>
      <w:proofErr w:type="spellEnd"/>
      <w:r w:rsidRPr="00D42316">
        <w:t xml:space="preserve"> model.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Personal</w:t>
      </w:r>
      <w:proofErr w:type="spellEnd"/>
      <w:r w:rsidRPr="00D42316">
        <w:t xml:space="preserve"> Information Forms </w:t>
      </w:r>
      <w:proofErr w:type="spellStart"/>
      <w:r w:rsidRPr="00D42316">
        <w:t>were</w:t>
      </w:r>
      <w:proofErr w:type="spellEnd"/>
      <w:r w:rsidRPr="00D42316">
        <w:t xml:space="preserve"> </w:t>
      </w:r>
      <w:proofErr w:type="spellStart"/>
      <w:r w:rsidRPr="00D42316">
        <w:t>applied</w:t>
      </w:r>
      <w:proofErr w:type="spellEnd"/>
      <w:r w:rsidRPr="00D42316">
        <w:t xml:space="preserve"> </w:t>
      </w:r>
      <w:proofErr w:type="spellStart"/>
      <w:r w:rsidRPr="00D42316">
        <w:t>to</w:t>
      </w:r>
      <w:proofErr w:type="spellEnd"/>
      <w:r w:rsidRPr="00D42316">
        <w:t xml:space="preserve"> </w:t>
      </w:r>
      <w:proofErr w:type="spellStart"/>
      <w:r w:rsidRPr="00D42316">
        <w:t>determine</w:t>
      </w:r>
      <w:proofErr w:type="spellEnd"/>
      <w:r w:rsidRPr="00D42316">
        <w:t xml:space="preserve"> </w:t>
      </w:r>
      <w:proofErr w:type="spellStart"/>
      <w:r w:rsidRPr="00D42316">
        <w:t>the</w:t>
      </w:r>
      <w:proofErr w:type="spellEnd"/>
      <w:r w:rsidRPr="00D42316">
        <w:t xml:space="preserve"> </w:t>
      </w:r>
      <w:proofErr w:type="spellStart"/>
      <w:r w:rsidRPr="00D42316">
        <w:t>career</w:t>
      </w:r>
      <w:proofErr w:type="spellEnd"/>
      <w:r w:rsidRPr="00D42316">
        <w:t xml:space="preserve"> </w:t>
      </w:r>
      <w:proofErr w:type="spellStart"/>
      <w:r w:rsidRPr="00D42316">
        <w:t>fields</w:t>
      </w:r>
      <w:proofErr w:type="spellEnd"/>
      <w:r w:rsidRPr="00D42316">
        <w:t xml:space="preserve"> of </w:t>
      </w:r>
      <w:proofErr w:type="spellStart"/>
      <w:r w:rsidRPr="00D42316">
        <w:t>married</w:t>
      </w:r>
      <w:proofErr w:type="spellEnd"/>
      <w:r w:rsidRPr="00D42316">
        <w:t xml:space="preserve"> </w:t>
      </w:r>
      <w:proofErr w:type="spellStart"/>
      <w:r w:rsidRPr="00D42316">
        <w:t>individuals</w:t>
      </w:r>
      <w:proofErr w:type="spellEnd"/>
      <w:r w:rsidRPr="00D42316">
        <w:t xml:space="preserve">. </w:t>
      </w:r>
      <w:proofErr w:type="spellStart"/>
      <w:r w:rsidRPr="00D42316">
        <w:t>Which</w:t>
      </w:r>
      <w:proofErr w:type="spellEnd"/>
      <w:r w:rsidRPr="00D42316">
        <w:t xml:space="preserve"> </w:t>
      </w:r>
      <w:proofErr w:type="spellStart"/>
      <w:r w:rsidRPr="00D42316">
        <w:t>profession</w:t>
      </w:r>
      <w:proofErr w:type="spellEnd"/>
      <w:r w:rsidRPr="00D42316">
        <w:t xml:space="preserve"> they </w:t>
      </w:r>
      <w:proofErr w:type="spellStart"/>
      <w:r w:rsidRPr="00D42316">
        <w:t>have</w:t>
      </w:r>
      <w:proofErr w:type="spellEnd"/>
      <w:r w:rsidRPr="00D42316">
        <w:t xml:space="preserve">, </w:t>
      </w:r>
      <w:proofErr w:type="spellStart"/>
      <w:r w:rsidRPr="00D42316">
        <w:t>which</w:t>
      </w:r>
      <w:proofErr w:type="spellEnd"/>
      <w:r w:rsidRPr="00D42316">
        <w:t xml:space="preserve"> </w:t>
      </w:r>
      <w:proofErr w:type="spellStart"/>
      <w:r w:rsidRPr="00D42316">
        <w:t>job</w:t>
      </w:r>
      <w:proofErr w:type="spellEnd"/>
      <w:r w:rsidRPr="00D42316">
        <w:t xml:space="preserve"> they do, how </w:t>
      </w:r>
      <w:proofErr w:type="spellStart"/>
      <w:r w:rsidRPr="00D42316">
        <w:t>long</w:t>
      </w:r>
      <w:proofErr w:type="spellEnd"/>
      <w:r w:rsidRPr="00D42316">
        <w:t xml:space="preserve"> they </w:t>
      </w:r>
      <w:proofErr w:type="spellStart"/>
      <w:r w:rsidRPr="00D42316">
        <w:t>have</w:t>
      </w:r>
      <w:proofErr w:type="spellEnd"/>
      <w:r w:rsidRPr="00D42316">
        <w:t xml:space="preserve"> </w:t>
      </w:r>
      <w:proofErr w:type="spellStart"/>
      <w:r w:rsidRPr="00D42316">
        <w:t>been</w:t>
      </w:r>
      <w:proofErr w:type="spellEnd"/>
      <w:r w:rsidRPr="00D42316">
        <w:t xml:space="preserve"> in </w:t>
      </w:r>
      <w:proofErr w:type="spellStart"/>
      <w:r w:rsidRPr="00D42316">
        <w:t>their</w:t>
      </w:r>
      <w:proofErr w:type="spellEnd"/>
      <w:r w:rsidRPr="00D42316">
        <w:t xml:space="preserve"> </w:t>
      </w:r>
      <w:proofErr w:type="spellStart"/>
      <w:r w:rsidRPr="00D42316">
        <w:t>working</w:t>
      </w:r>
      <w:proofErr w:type="spellEnd"/>
      <w:r w:rsidRPr="00D42316">
        <w:t xml:space="preserve"> life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duration</w:t>
      </w:r>
      <w:proofErr w:type="spellEnd"/>
      <w:r w:rsidRPr="00D42316">
        <w:t xml:space="preserve"> of </w:t>
      </w:r>
      <w:proofErr w:type="spellStart"/>
      <w:r w:rsidRPr="00D42316">
        <w:t>their</w:t>
      </w:r>
      <w:proofErr w:type="spellEnd"/>
      <w:r w:rsidRPr="00D42316">
        <w:t xml:space="preserve"> </w:t>
      </w:r>
      <w:proofErr w:type="spellStart"/>
      <w:r w:rsidRPr="00D42316">
        <w:t>marriage</w:t>
      </w:r>
      <w:proofErr w:type="spellEnd"/>
      <w:r w:rsidRPr="00D42316">
        <w:t xml:space="preserve"> </w:t>
      </w:r>
      <w:proofErr w:type="spellStart"/>
      <w:r w:rsidRPr="00D42316">
        <w:t>were</w:t>
      </w:r>
      <w:proofErr w:type="spellEnd"/>
      <w:r w:rsidRPr="00D42316">
        <w:t xml:space="preserve"> </w:t>
      </w:r>
      <w:proofErr w:type="spellStart"/>
      <w:r w:rsidRPr="00D42316">
        <w:t>realized</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form. </w:t>
      </w:r>
      <w:proofErr w:type="spellStart"/>
      <w:r w:rsidRPr="00D42316">
        <w:t>The</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Scale</w:t>
      </w:r>
      <w:proofErr w:type="spellEnd"/>
      <w:r w:rsidRPr="00D42316">
        <w:t xml:space="preserve"> </w:t>
      </w:r>
      <w:proofErr w:type="spellStart"/>
      <w:r w:rsidRPr="00D42316">
        <w:t>was</w:t>
      </w:r>
      <w:proofErr w:type="spellEnd"/>
      <w:r w:rsidRPr="00D42316">
        <w:t xml:space="preserve"> </w:t>
      </w:r>
      <w:proofErr w:type="spellStart"/>
      <w:r w:rsidRPr="00D42316">
        <w:t>also</w:t>
      </w:r>
      <w:proofErr w:type="spellEnd"/>
      <w:r w:rsidRPr="00D42316">
        <w:t xml:space="preserve"> </w:t>
      </w:r>
      <w:proofErr w:type="spellStart"/>
      <w:r w:rsidRPr="00D42316">
        <w:t>used</w:t>
      </w:r>
      <w:proofErr w:type="spellEnd"/>
      <w:r w:rsidRPr="00D42316">
        <w:t xml:space="preserve"> </w:t>
      </w:r>
      <w:proofErr w:type="spellStart"/>
      <w:r w:rsidRPr="00D42316">
        <w:t>to</w:t>
      </w:r>
      <w:proofErr w:type="spellEnd"/>
      <w:r w:rsidRPr="00D42316">
        <w:t xml:space="preserve"> </w:t>
      </w:r>
      <w:proofErr w:type="spellStart"/>
      <w:r w:rsidRPr="00D42316">
        <w:t>determine</w:t>
      </w:r>
      <w:proofErr w:type="spellEnd"/>
      <w:r w:rsidRPr="00D42316">
        <w:t xml:space="preserve"> </w:t>
      </w:r>
      <w:proofErr w:type="spellStart"/>
      <w:r w:rsidRPr="00D42316">
        <w:t>their</w:t>
      </w:r>
      <w:proofErr w:type="spellEnd"/>
      <w:r w:rsidRPr="00D42316">
        <w:t xml:space="preserve"> </w:t>
      </w:r>
      <w:proofErr w:type="spellStart"/>
      <w:r w:rsidRPr="00D42316">
        <w:t>level</w:t>
      </w:r>
      <w:proofErr w:type="spellEnd"/>
      <w:r w:rsidRPr="00D42316">
        <w:t xml:space="preserve"> of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In</w:t>
      </w:r>
      <w:proofErr w:type="spellEnd"/>
      <w:r w:rsidRPr="00D42316">
        <w:t xml:space="preserve"> </w:t>
      </w:r>
      <w:proofErr w:type="spellStart"/>
      <w:r w:rsidRPr="00D42316">
        <w:t>the</w:t>
      </w:r>
      <w:proofErr w:type="spellEnd"/>
      <w:r w:rsidRPr="00D42316">
        <w:t xml:space="preserve"> </w:t>
      </w:r>
      <w:proofErr w:type="spellStart"/>
      <w:r w:rsidRPr="00D42316">
        <w:t>analysis</w:t>
      </w:r>
      <w:proofErr w:type="spellEnd"/>
      <w:r w:rsidRPr="00D42316">
        <w:t xml:space="preserve"> of </w:t>
      </w:r>
      <w:proofErr w:type="spellStart"/>
      <w:r w:rsidRPr="00D42316">
        <w:t>the</w:t>
      </w:r>
      <w:proofErr w:type="spellEnd"/>
      <w:r w:rsidRPr="00D42316">
        <w:t xml:space="preserve"> </w:t>
      </w:r>
      <w:proofErr w:type="gramStart"/>
      <w:r w:rsidRPr="00D42316">
        <w:t>data</w:t>
      </w:r>
      <w:proofErr w:type="gramEnd"/>
      <w:r w:rsidRPr="00D42316">
        <w:t xml:space="preserve">, t-test </w:t>
      </w:r>
      <w:proofErr w:type="spellStart"/>
      <w:r w:rsidRPr="00D42316">
        <w:t>and</w:t>
      </w:r>
      <w:proofErr w:type="spellEnd"/>
      <w:r w:rsidRPr="00D42316">
        <w:t xml:space="preserve"> ANOVA </w:t>
      </w:r>
      <w:proofErr w:type="spellStart"/>
      <w:r w:rsidRPr="00D42316">
        <w:t>were</w:t>
      </w:r>
      <w:proofErr w:type="spellEnd"/>
      <w:r w:rsidRPr="00D42316">
        <w:t xml:space="preserve"> </w:t>
      </w:r>
      <w:proofErr w:type="spellStart"/>
      <w:r w:rsidRPr="00D42316">
        <w:t>used</w:t>
      </w:r>
      <w:proofErr w:type="spellEnd"/>
      <w:r w:rsidRPr="00D42316">
        <w:t xml:space="preserve">. </w:t>
      </w:r>
      <w:proofErr w:type="spellStart"/>
      <w:r w:rsidRPr="00D42316">
        <w:t>In</w:t>
      </w:r>
      <w:proofErr w:type="spellEnd"/>
      <w:r w:rsidRPr="00D42316">
        <w:t xml:space="preserve">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married</w:t>
      </w:r>
      <w:proofErr w:type="spellEnd"/>
      <w:r w:rsidRPr="00D42316">
        <w:t xml:space="preserve"> </w:t>
      </w:r>
      <w:proofErr w:type="spellStart"/>
      <w:r w:rsidRPr="00D42316">
        <w:t>and</w:t>
      </w:r>
      <w:proofErr w:type="spellEnd"/>
      <w:r w:rsidRPr="00D42316">
        <w:t xml:space="preserve"> </w:t>
      </w:r>
      <w:proofErr w:type="spellStart"/>
      <w:r w:rsidRPr="00D42316">
        <w:t>working</w:t>
      </w:r>
      <w:proofErr w:type="spellEnd"/>
      <w:r w:rsidRPr="00D42316">
        <w:t xml:space="preserve"> </w:t>
      </w:r>
      <w:proofErr w:type="spellStart"/>
      <w:r w:rsidRPr="00D42316">
        <w:t>individuals</w:t>
      </w:r>
      <w:proofErr w:type="spellEnd"/>
      <w:r w:rsidRPr="00D42316">
        <w:t xml:space="preserve"> in </w:t>
      </w:r>
      <w:proofErr w:type="spellStart"/>
      <w:r w:rsidRPr="00D42316">
        <w:t>the</w:t>
      </w:r>
      <w:proofErr w:type="spellEnd"/>
      <w:r w:rsidRPr="00D42316">
        <w:t xml:space="preserve"> 2024-2025 </w:t>
      </w:r>
      <w:proofErr w:type="spellStart"/>
      <w:r w:rsidRPr="00D42316">
        <w:t>academic</w:t>
      </w:r>
      <w:proofErr w:type="spellEnd"/>
      <w:r w:rsidRPr="00D42316">
        <w:t xml:space="preserve"> </w:t>
      </w:r>
      <w:proofErr w:type="spellStart"/>
      <w:r w:rsidRPr="00D42316">
        <w:t>year</w:t>
      </w:r>
      <w:proofErr w:type="spellEnd"/>
      <w:r w:rsidRPr="00D42316">
        <w:t xml:space="preserve"> </w:t>
      </w:r>
      <w:proofErr w:type="spellStart"/>
      <w:r w:rsidRPr="00D42316">
        <w:t>were</w:t>
      </w:r>
      <w:proofErr w:type="spellEnd"/>
      <w:r w:rsidRPr="00D42316">
        <w:t xml:space="preserve"> </w:t>
      </w:r>
      <w:proofErr w:type="spellStart"/>
      <w:r w:rsidRPr="00D42316">
        <w:t>selected</w:t>
      </w:r>
      <w:proofErr w:type="spellEnd"/>
      <w:r w:rsidRPr="00D42316">
        <w:t xml:space="preserve"> as </w:t>
      </w:r>
      <w:proofErr w:type="spellStart"/>
      <w:r w:rsidRPr="00D42316">
        <w:t>the</w:t>
      </w:r>
      <w:proofErr w:type="spellEnd"/>
      <w:r w:rsidRPr="00D42316">
        <w:t xml:space="preserve"> </w:t>
      </w:r>
      <w:proofErr w:type="spellStart"/>
      <w:r w:rsidRPr="00D42316">
        <w:t>sample</w:t>
      </w:r>
      <w:proofErr w:type="spellEnd"/>
      <w:r w:rsidRPr="00D42316">
        <w:t xml:space="preserve">. </w:t>
      </w:r>
      <w:proofErr w:type="spellStart"/>
      <w:r w:rsidRPr="00D42316">
        <w:t>The</w:t>
      </w:r>
      <w:proofErr w:type="spellEnd"/>
      <w:r w:rsidRPr="00D42316">
        <w:t xml:space="preserve"> </w:t>
      </w:r>
      <w:proofErr w:type="spellStart"/>
      <w:r w:rsidRPr="00D42316">
        <w:t>sample</w:t>
      </w:r>
      <w:proofErr w:type="spellEnd"/>
      <w:r w:rsidRPr="00D42316">
        <w:t xml:space="preserve"> </w:t>
      </w:r>
      <w:proofErr w:type="spellStart"/>
      <w:r w:rsidRPr="00D42316">
        <w:t>group</w:t>
      </w:r>
      <w:proofErr w:type="spellEnd"/>
      <w:r w:rsidRPr="00D42316">
        <w:t xml:space="preserve"> </w:t>
      </w:r>
      <w:proofErr w:type="spellStart"/>
      <w:r w:rsidRPr="00D42316">
        <w:t>consisted</w:t>
      </w:r>
      <w:proofErr w:type="spellEnd"/>
      <w:r w:rsidRPr="00D42316">
        <w:t xml:space="preserve"> of 512 </w:t>
      </w:r>
      <w:proofErr w:type="spellStart"/>
      <w:r w:rsidRPr="00D42316">
        <w:t>participants</w:t>
      </w:r>
      <w:proofErr w:type="spellEnd"/>
      <w:r w:rsidRPr="00D42316">
        <w:t xml:space="preserve">. </w:t>
      </w:r>
      <w:proofErr w:type="spellStart"/>
      <w:r w:rsidRPr="00D42316">
        <w:t>The</w:t>
      </w:r>
      <w:proofErr w:type="spellEnd"/>
      <w:r w:rsidRPr="00D42316">
        <w:t xml:space="preserve"> </w:t>
      </w:r>
      <w:proofErr w:type="gramStart"/>
      <w:r w:rsidRPr="00D42316">
        <w:t>data</w:t>
      </w:r>
      <w:proofErr w:type="gramEnd"/>
      <w:r w:rsidRPr="00D42316">
        <w:t xml:space="preserve"> </w:t>
      </w:r>
      <w:proofErr w:type="spellStart"/>
      <w:r w:rsidRPr="00D42316">
        <w:t>collection</w:t>
      </w:r>
      <w:proofErr w:type="spellEnd"/>
      <w:r w:rsidRPr="00D42316">
        <w:t xml:space="preserve"> </w:t>
      </w:r>
      <w:proofErr w:type="spellStart"/>
      <w:r w:rsidRPr="00D42316">
        <w:t>method</w:t>
      </w:r>
      <w:proofErr w:type="spellEnd"/>
      <w:r w:rsidRPr="00D42316">
        <w:t xml:space="preserve"> of </w:t>
      </w:r>
      <w:proofErr w:type="spellStart"/>
      <w:r w:rsidRPr="00D42316">
        <w:t>the</w:t>
      </w:r>
      <w:proofErr w:type="spellEnd"/>
      <w:r w:rsidRPr="00D42316">
        <w:t xml:space="preserve"> </w:t>
      </w:r>
      <w:proofErr w:type="spellStart"/>
      <w:r w:rsidRPr="00D42316">
        <w:t>research</w:t>
      </w:r>
      <w:proofErr w:type="spellEnd"/>
      <w:r w:rsidRPr="00D42316">
        <w:t xml:space="preserve"> </w:t>
      </w:r>
      <w:proofErr w:type="spellStart"/>
      <w:r w:rsidRPr="00D42316">
        <w:t>was</w:t>
      </w:r>
      <w:proofErr w:type="spellEnd"/>
      <w:r w:rsidRPr="00D42316">
        <w:t xml:space="preserve"> </w:t>
      </w:r>
      <w:proofErr w:type="spellStart"/>
      <w:r w:rsidRPr="00D42316">
        <w:t>supported</w:t>
      </w:r>
      <w:proofErr w:type="spellEnd"/>
      <w:r w:rsidRPr="00D42316">
        <w:t xml:space="preserve"> </w:t>
      </w:r>
      <w:proofErr w:type="spellStart"/>
      <w:r w:rsidRPr="00D42316">
        <w:t>by</w:t>
      </w:r>
      <w:proofErr w:type="spellEnd"/>
      <w:r w:rsidRPr="00D42316">
        <w:t xml:space="preserve"> Google Forms </w:t>
      </w:r>
      <w:proofErr w:type="spellStart"/>
      <w:r w:rsidRPr="00D42316">
        <w:t>and</w:t>
      </w:r>
      <w:proofErr w:type="spellEnd"/>
      <w:r w:rsidRPr="00D42316">
        <w:t xml:space="preserve"> </w:t>
      </w:r>
      <w:proofErr w:type="spellStart"/>
      <w:r w:rsidRPr="00D42316">
        <w:t>reproduction</w:t>
      </w:r>
      <w:proofErr w:type="spellEnd"/>
      <w:r w:rsidRPr="00D42316">
        <w:t xml:space="preserve"> of </w:t>
      </w:r>
      <w:proofErr w:type="spellStart"/>
      <w:r w:rsidRPr="00D42316">
        <w:t>document</w:t>
      </w:r>
      <w:proofErr w:type="spellEnd"/>
      <w:r w:rsidRPr="00D42316">
        <w:t xml:space="preserve"> </w:t>
      </w:r>
      <w:proofErr w:type="spellStart"/>
      <w:r w:rsidRPr="00D42316">
        <w:t>forms</w:t>
      </w:r>
      <w:proofErr w:type="spellEnd"/>
      <w:r w:rsidRPr="00D42316">
        <w:t xml:space="preserve">. As a </w:t>
      </w:r>
      <w:proofErr w:type="spellStart"/>
      <w:r w:rsidRPr="00D42316">
        <w:t>result</w:t>
      </w:r>
      <w:proofErr w:type="spellEnd"/>
      <w:r w:rsidRPr="00D42316">
        <w:t xml:space="preserve"> of </w:t>
      </w:r>
      <w:proofErr w:type="spellStart"/>
      <w:r w:rsidRPr="00D42316">
        <w:t>the</w:t>
      </w:r>
      <w:proofErr w:type="spellEnd"/>
      <w:r w:rsidRPr="00D42316">
        <w:t xml:space="preserve"> </w:t>
      </w:r>
      <w:proofErr w:type="gramStart"/>
      <w:r w:rsidRPr="00D42316">
        <w:t>data</w:t>
      </w:r>
      <w:proofErr w:type="gramEnd"/>
      <w:r w:rsidRPr="00D42316">
        <w:t xml:space="preserve"> </w:t>
      </w:r>
      <w:proofErr w:type="spellStart"/>
      <w:r w:rsidRPr="00D42316">
        <w:t>obtained</w:t>
      </w:r>
      <w:proofErr w:type="spellEnd"/>
      <w:r w:rsidRPr="00D42316">
        <w:t xml:space="preserve">; </w:t>
      </w:r>
      <w:proofErr w:type="spellStart"/>
      <w:r w:rsidRPr="00D42316">
        <w:t>there</w:t>
      </w:r>
      <w:proofErr w:type="spellEnd"/>
      <w:r w:rsidRPr="00D42316">
        <w:t xml:space="preserve"> is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gender</w:t>
      </w:r>
      <w:proofErr w:type="spellEnd"/>
      <w:r w:rsidRPr="00D42316">
        <w:t xml:space="preserve">. </w:t>
      </w:r>
      <w:proofErr w:type="spellStart"/>
      <w:r w:rsidRPr="00D42316">
        <w:t>The</w:t>
      </w:r>
      <w:proofErr w:type="spellEnd"/>
      <w:r w:rsidRPr="00D42316">
        <w:t xml:space="preserve"> </w:t>
      </w:r>
      <w:proofErr w:type="spellStart"/>
      <w:r w:rsidRPr="00D42316">
        <w:t>average</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of men is </w:t>
      </w:r>
      <w:proofErr w:type="spellStart"/>
      <w:r w:rsidRPr="00D42316">
        <w:t>higher</w:t>
      </w:r>
      <w:proofErr w:type="spellEnd"/>
      <w:r w:rsidRPr="00D42316">
        <w:t xml:space="preserve">. </w:t>
      </w:r>
      <w:proofErr w:type="spellStart"/>
      <w:r w:rsidRPr="00D42316">
        <w:t>There</w:t>
      </w:r>
      <w:proofErr w:type="spellEnd"/>
      <w:r w:rsidRPr="00D42316">
        <w:t xml:space="preserve"> is a </w:t>
      </w:r>
      <w:proofErr w:type="spellStart"/>
      <w:r w:rsidRPr="00D42316">
        <w:t>statistically</w:t>
      </w:r>
      <w:proofErr w:type="spellEnd"/>
      <w:r w:rsidRPr="00D42316">
        <w:t xml:space="preserve">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between</w:t>
      </w:r>
      <w:proofErr w:type="spellEnd"/>
      <w:r w:rsidRPr="00D42316">
        <w:t xml:space="preserve"> men </w:t>
      </w:r>
      <w:proofErr w:type="spellStart"/>
      <w:r w:rsidRPr="00D42316">
        <w:t>and</w:t>
      </w:r>
      <w:proofErr w:type="spellEnd"/>
      <w:r w:rsidRPr="00D42316">
        <w:t xml:space="preserve"> </w:t>
      </w:r>
      <w:proofErr w:type="spellStart"/>
      <w:r w:rsidRPr="00D42316">
        <w:t>women</w:t>
      </w:r>
      <w:proofErr w:type="spellEnd"/>
      <w:r w:rsidRPr="00D42316">
        <w:t xml:space="preserve"> in </w:t>
      </w:r>
      <w:proofErr w:type="spellStart"/>
      <w:r w:rsidRPr="00D42316">
        <w:t>terms</w:t>
      </w:r>
      <w:proofErr w:type="spellEnd"/>
      <w:r w:rsidRPr="00D42316">
        <w:t xml:space="preserve"> of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There</w:t>
      </w:r>
      <w:proofErr w:type="spellEnd"/>
      <w:r w:rsidRPr="00D42316">
        <w:t xml:space="preserve"> is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those</w:t>
      </w:r>
      <w:proofErr w:type="spellEnd"/>
      <w:r w:rsidRPr="00D42316">
        <w:t xml:space="preserve"> </w:t>
      </w:r>
      <w:proofErr w:type="spellStart"/>
      <w:r w:rsidRPr="00D42316">
        <w:t>who</w:t>
      </w:r>
      <w:proofErr w:type="spellEnd"/>
      <w:r w:rsidRPr="00D42316">
        <w:t xml:space="preserve"> </w:t>
      </w:r>
      <w:proofErr w:type="spellStart"/>
      <w:r w:rsidRPr="00D42316">
        <w:t>think</w:t>
      </w:r>
      <w:proofErr w:type="spellEnd"/>
      <w:r w:rsidRPr="00D42316">
        <w:t xml:space="preserve"> </w:t>
      </w:r>
      <w:proofErr w:type="spellStart"/>
      <w:r w:rsidRPr="00D42316">
        <w:t>that</w:t>
      </w:r>
      <w:proofErr w:type="spellEnd"/>
      <w:r w:rsidRPr="00D42316">
        <w:t xml:space="preserve"> </w:t>
      </w:r>
      <w:proofErr w:type="spellStart"/>
      <w:r w:rsidRPr="00D42316">
        <w:t>their</w:t>
      </w:r>
      <w:proofErr w:type="spellEnd"/>
      <w:r w:rsidRPr="00D42316">
        <w:t xml:space="preserve"> </w:t>
      </w:r>
      <w:proofErr w:type="spellStart"/>
      <w:r w:rsidRPr="00D42316">
        <w:t>job</w:t>
      </w:r>
      <w:proofErr w:type="spellEnd"/>
      <w:r w:rsidRPr="00D42316">
        <w:t xml:space="preserve"> </w:t>
      </w:r>
      <w:proofErr w:type="spellStart"/>
      <w:r w:rsidRPr="00D42316">
        <w:t>affects</w:t>
      </w:r>
      <w:proofErr w:type="spellEnd"/>
      <w:r w:rsidRPr="00D42316">
        <w:t xml:space="preserve"> </w:t>
      </w:r>
      <w:proofErr w:type="spellStart"/>
      <w:r w:rsidRPr="00D42316">
        <w:t>their</w:t>
      </w:r>
      <w:proofErr w:type="spellEnd"/>
      <w:r w:rsidRPr="00D42316">
        <w:t xml:space="preserve"> </w:t>
      </w:r>
      <w:proofErr w:type="spellStart"/>
      <w:r w:rsidRPr="00D42316">
        <w:t>marriage</w:t>
      </w:r>
      <w:proofErr w:type="spellEnd"/>
      <w:r w:rsidRPr="00D42316">
        <w:t xml:space="preserve">. </w:t>
      </w:r>
      <w:proofErr w:type="spellStart"/>
      <w:r w:rsidRPr="00D42316">
        <w:t>Those</w:t>
      </w:r>
      <w:proofErr w:type="spellEnd"/>
      <w:r w:rsidRPr="00D42316">
        <w:t xml:space="preserve"> </w:t>
      </w:r>
      <w:proofErr w:type="spellStart"/>
      <w:r w:rsidRPr="00D42316">
        <w:t>who</w:t>
      </w:r>
      <w:proofErr w:type="spellEnd"/>
      <w:r w:rsidRPr="00D42316">
        <w:t xml:space="preserve"> </w:t>
      </w:r>
      <w:proofErr w:type="spellStart"/>
      <w:r w:rsidRPr="00D42316">
        <w:t>think</w:t>
      </w:r>
      <w:proofErr w:type="spellEnd"/>
      <w:r w:rsidRPr="00D42316">
        <w:t xml:space="preserve"> </w:t>
      </w:r>
      <w:proofErr w:type="spellStart"/>
      <w:r w:rsidRPr="00D42316">
        <w:t>that</w:t>
      </w:r>
      <w:proofErr w:type="spellEnd"/>
      <w:r w:rsidRPr="00D42316">
        <w:t xml:space="preserve"> </w:t>
      </w:r>
      <w:proofErr w:type="spellStart"/>
      <w:r w:rsidRPr="00D42316">
        <w:t>their</w:t>
      </w:r>
      <w:proofErr w:type="spellEnd"/>
      <w:r w:rsidRPr="00D42316">
        <w:t xml:space="preserve"> </w:t>
      </w:r>
      <w:proofErr w:type="spellStart"/>
      <w:r w:rsidRPr="00D42316">
        <w:t>work</w:t>
      </w:r>
      <w:proofErr w:type="spellEnd"/>
      <w:r w:rsidRPr="00D42316">
        <w:t xml:space="preserve"> </w:t>
      </w:r>
      <w:proofErr w:type="spellStart"/>
      <w:r w:rsidRPr="00D42316">
        <w:t>does</w:t>
      </w:r>
      <w:proofErr w:type="spellEnd"/>
      <w:r w:rsidRPr="00D42316">
        <w:t xml:space="preserve"> not </w:t>
      </w:r>
      <w:proofErr w:type="spellStart"/>
      <w:r w:rsidRPr="00D42316">
        <w:t>affect</w:t>
      </w:r>
      <w:proofErr w:type="spellEnd"/>
      <w:r w:rsidRPr="00D42316">
        <w:t xml:space="preserve"> </w:t>
      </w:r>
      <w:proofErr w:type="spellStart"/>
      <w:r w:rsidRPr="00D42316">
        <w:t>their</w:t>
      </w:r>
      <w:proofErr w:type="spellEnd"/>
      <w:r w:rsidRPr="00D42316">
        <w:t xml:space="preserve"> </w:t>
      </w:r>
      <w:proofErr w:type="spellStart"/>
      <w:r w:rsidRPr="00D42316">
        <w:t>marriage</w:t>
      </w:r>
      <w:proofErr w:type="spellEnd"/>
      <w:r w:rsidRPr="00D42316">
        <w:t xml:space="preserve"> </w:t>
      </w:r>
      <w:proofErr w:type="spellStart"/>
      <w:r w:rsidRPr="00D42316">
        <w:t>have</w:t>
      </w:r>
      <w:proofErr w:type="spellEnd"/>
      <w:r w:rsidRPr="00D42316">
        <w:t xml:space="preserve"> </w:t>
      </w:r>
      <w:proofErr w:type="spellStart"/>
      <w:r w:rsidRPr="00D42316">
        <w:t>higher</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There</w:t>
      </w:r>
      <w:proofErr w:type="spellEnd"/>
      <w:r w:rsidRPr="00D42316">
        <w:t xml:space="preserve"> is a </w:t>
      </w:r>
      <w:proofErr w:type="spellStart"/>
      <w:r w:rsidRPr="00D42316">
        <w:t>statistically</w:t>
      </w:r>
      <w:proofErr w:type="spellEnd"/>
      <w:r w:rsidRPr="00D42316">
        <w:t xml:space="preserve">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between</w:t>
      </w:r>
      <w:proofErr w:type="spellEnd"/>
      <w:r w:rsidRPr="00D42316">
        <w:t xml:space="preserve"> </w:t>
      </w:r>
      <w:proofErr w:type="spellStart"/>
      <w:r w:rsidRPr="00D42316">
        <w:t>the</w:t>
      </w:r>
      <w:proofErr w:type="spellEnd"/>
      <w:r w:rsidRPr="00D42316">
        <w:t xml:space="preserve"> “</w:t>
      </w:r>
      <w:proofErr w:type="spellStart"/>
      <w:r w:rsidRPr="00D42316">
        <w:t>Yes</w:t>
      </w:r>
      <w:proofErr w:type="spellEnd"/>
      <w:r w:rsidRPr="00D42316">
        <w:t xml:space="preserve">” </w:t>
      </w:r>
      <w:proofErr w:type="spellStart"/>
      <w:r w:rsidRPr="00D42316">
        <w:t>and</w:t>
      </w:r>
      <w:proofErr w:type="spellEnd"/>
      <w:r w:rsidRPr="00D42316">
        <w:t xml:space="preserve"> “No” </w:t>
      </w:r>
      <w:proofErr w:type="spellStart"/>
      <w:r w:rsidRPr="00D42316">
        <w:t>groups</w:t>
      </w:r>
      <w:proofErr w:type="spellEnd"/>
      <w:r w:rsidRPr="00D42316">
        <w:t xml:space="preserve"> in </w:t>
      </w:r>
      <w:proofErr w:type="spellStart"/>
      <w:r w:rsidRPr="00D42316">
        <w:t>terms</w:t>
      </w:r>
      <w:proofErr w:type="spellEnd"/>
      <w:r w:rsidRPr="00D42316">
        <w:t xml:space="preserve"> of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The</w:t>
      </w:r>
      <w:proofErr w:type="spellEnd"/>
      <w:r w:rsidRPr="00D42316">
        <w:t xml:space="preserve"> </w:t>
      </w:r>
      <w:proofErr w:type="spellStart"/>
      <w:r w:rsidRPr="00D42316">
        <w:t>sector</w:t>
      </w:r>
      <w:proofErr w:type="spellEnd"/>
      <w:r w:rsidRPr="00D42316">
        <w:t xml:space="preserve"> in </w:t>
      </w:r>
      <w:proofErr w:type="spellStart"/>
      <w:r w:rsidRPr="00D42316">
        <w:t>which</w:t>
      </w:r>
      <w:proofErr w:type="spellEnd"/>
      <w:r w:rsidRPr="00D42316">
        <w:t xml:space="preserve"> </w:t>
      </w:r>
      <w:proofErr w:type="spellStart"/>
      <w:r w:rsidRPr="00D42316">
        <w:t>the</w:t>
      </w:r>
      <w:proofErr w:type="spellEnd"/>
      <w:r w:rsidRPr="00D42316">
        <w:t xml:space="preserve"> </w:t>
      </w:r>
      <w:proofErr w:type="spellStart"/>
      <w:r w:rsidRPr="00D42316">
        <w:t>spouse</w:t>
      </w:r>
      <w:proofErr w:type="spellEnd"/>
      <w:r w:rsidRPr="00D42316">
        <w:t xml:space="preserve"> </w:t>
      </w:r>
      <w:proofErr w:type="spellStart"/>
      <w:r w:rsidRPr="00D42316">
        <w:t>works</w:t>
      </w:r>
      <w:proofErr w:type="spellEnd"/>
      <w:r w:rsidRPr="00D42316">
        <w:t xml:space="preserve"> has a </w:t>
      </w:r>
      <w:proofErr w:type="spellStart"/>
      <w:r w:rsidRPr="00D42316">
        <w:t>statistically</w:t>
      </w:r>
      <w:proofErr w:type="spellEnd"/>
      <w:r w:rsidRPr="00D42316">
        <w:t xml:space="preserve"> </w:t>
      </w:r>
      <w:proofErr w:type="spellStart"/>
      <w:r w:rsidRPr="00D42316">
        <w:t>significant</w:t>
      </w:r>
      <w:proofErr w:type="spellEnd"/>
      <w:r w:rsidRPr="00D42316">
        <w:t xml:space="preserve"> </w:t>
      </w:r>
      <w:proofErr w:type="spellStart"/>
      <w:r w:rsidRPr="00D42316">
        <w:t>effect</w:t>
      </w:r>
      <w:proofErr w:type="spellEnd"/>
      <w:r w:rsidRPr="00D42316">
        <w:t xml:space="preserve"> on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Individuals</w:t>
      </w:r>
      <w:proofErr w:type="spellEnd"/>
      <w:r w:rsidRPr="00D42316">
        <w:t xml:space="preserve"> </w:t>
      </w:r>
      <w:proofErr w:type="spellStart"/>
      <w:r w:rsidRPr="00D42316">
        <w:t>whose</w:t>
      </w:r>
      <w:proofErr w:type="spellEnd"/>
      <w:r w:rsidRPr="00D42316">
        <w:t xml:space="preserve"> </w:t>
      </w:r>
      <w:proofErr w:type="spellStart"/>
      <w:r w:rsidRPr="00D42316">
        <w:t>spouses</w:t>
      </w:r>
      <w:proofErr w:type="spellEnd"/>
      <w:r w:rsidRPr="00D42316">
        <w:t xml:space="preserve"> </w:t>
      </w:r>
      <w:proofErr w:type="spellStart"/>
      <w:r w:rsidRPr="00D42316">
        <w:t>work</w:t>
      </w:r>
      <w:proofErr w:type="spellEnd"/>
      <w:r w:rsidRPr="00D42316">
        <w:t xml:space="preserve"> in </w:t>
      </w:r>
      <w:proofErr w:type="spellStart"/>
      <w:r w:rsidRPr="00D42316">
        <w:t>the</w:t>
      </w:r>
      <w:proofErr w:type="spellEnd"/>
      <w:r w:rsidRPr="00D42316">
        <w:t xml:space="preserve"> </w:t>
      </w:r>
      <w:proofErr w:type="spellStart"/>
      <w:r w:rsidRPr="00D42316">
        <w:t>private</w:t>
      </w:r>
      <w:proofErr w:type="spellEnd"/>
      <w:r w:rsidRPr="00D42316">
        <w:t xml:space="preserve"> </w:t>
      </w:r>
      <w:proofErr w:type="spellStart"/>
      <w:r w:rsidRPr="00D42316">
        <w:t>sector</w:t>
      </w:r>
      <w:proofErr w:type="spellEnd"/>
      <w:r w:rsidRPr="00D42316">
        <w:t xml:space="preserve"> </w:t>
      </w:r>
      <w:proofErr w:type="spellStart"/>
      <w:r w:rsidRPr="00D42316">
        <w:t>have</w:t>
      </w:r>
      <w:proofErr w:type="spellEnd"/>
      <w:r w:rsidRPr="00D42316">
        <w:t xml:space="preserve"> </w:t>
      </w:r>
      <w:proofErr w:type="spellStart"/>
      <w:r w:rsidRPr="00D42316">
        <w:t>lower</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than</w:t>
      </w:r>
      <w:proofErr w:type="spellEnd"/>
      <w:r w:rsidRPr="00D42316">
        <w:t xml:space="preserve"> </w:t>
      </w:r>
      <w:proofErr w:type="spellStart"/>
      <w:r w:rsidRPr="00D42316">
        <w:t>individuals</w:t>
      </w:r>
      <w:proofErr w:type="spellEnd"/>
      <w:r w:rsidRPr="00D42316">
        <w:t xml:space="preserve"> </w:t>
      </w:r>
      <w:proofErr w:type="spellStart"/>
      <w:r w:rsidRPr="00D42316">
        <w:t>whose</w:t>
      </w:r>
      <w:proofErr w:type="spellEnd"/>
      <w:r w:rsidRPr="00D42316">
        <w:t xml:space="preserve"> </w:t>
      </w:r>
      <w:proofErr w:type="spellStart"/>
      <w:r w:rsidRPr="00D42316">
        <w:t>spouses</w:t>
      </w:r>
      <w:proofErr w:type="spellEnd"/>
      <w:r w:rsidRPr="00D42316">
        <w:t xml:space="preserve"> do not </w:t>
      </w:r>
      <w:proofErr w:type="spellStart"/>
      <w:r w:rsidRPr="00D42316">
        <w:t>work</w:t>
      </w:r>
      <w:proofErr w:type="spellEnd"/>
      <w:r w:rsidRPr="00D42316">
        <w:t xml:space="preserve">. </w:t>
      </w:r>
      <w:proofErr w:type="spellStart"/>
      <w:r w:rsidRPr="00D42316">
        <w:t>Job</w:t>
      </w:r>
      <w:proofErr w:type="spellEnd"/>
      <w:r w:rsidRPr="00D42316">
        <w:t xml:space="preserve"> </w:t>
      </w:r>
      <w:proofErr w:type="spellStart"/>
      <w:r w:rsidRPr="00D42316">
        <w:t>satisfaction</w:t>
      </w:r>
      <w:proofErr w:type="spellEnd"/>
      <w:r w:rsidRPr="00D42316">
        <w:t xml:space="preserve"> has a </w:t>
      </w:r>
      <w:proofErr w:type="spellStart"/>
      <w:r w:rsidRPr="00D42316">
        <w:t>significant</w:t>
      </w:r>
      <w:proofErr w:type="spellEnd"/>
      <w:r w:rsidRPr="00D42316">
        <w:t xml:space="preserve"> </w:t>
      </w:r>
      <w:proofErr w:type="spellStart"/>
      <w:r w:rsidRPr="00D42316">
        <w:t>difference</w:t>
      </w:r>
      <w:proofErr w:type="spellEnd"/>
      <w:r w:rsidRPr="00D42316">
        <w:t xml:space="preserve"> on </w:t>
      </w:r>
      <w:proofErr w:type="spellStart"/>
      <w:r w:rsidRPr="00D42316">
        <w:t>marital</w:t>
      </w:r>
      <w:proofErr w:type="spellEnd"/>
      <w:r w:rsidRPr="00D42316">
        <w:t xml:space="preserve"> </w:t>
      </w:r>
      <w:proofErr w:type="spellStart"/>
      <w:r w:rsidRPr="00D42316">
        <w:t>satisfaction</w:t>
      </w:r>
      <w:proofErr w:type="spellEnd"/>
      <w:r w:rsidRPr="00D42316">
        <w:t>.</w:t>
      </w:r>
    </w:p>
    <w:p w14:paraId="412CC0D3" w14:textId="3BA81CEF" w:rsidR="00FC4D53" w:rsidRDefault="00AC051C">
      <w:pPr>
        <w:spacing w:before="120" w:after="120"/>
        <w:jc w:val="both"/>
      </w:pPr>
      <w:proofErr w:type="spellStart"/>
      <w:r w:rsidRPr="00D42316">
        <w:rPr>
          <w:b/>
        </w:rPr>
        <w:t>Keywords</w:t>
      </w:r>
      <w:proofErr w:type="spellEnd"/>
      <w:r w:rsidRPr="00D42316">
        <w:rPr>
          <w:b/>
        </w:rPr>
        <w:t>:</w:t>
      </w:r>
      <w:r w:rsidRPr="00D42316">
        <w:t xml:space="preserve"> </w:t>
      </w:r>
      <w:proofErr w:type="spellStart"/>
      <w:r w:rsidRPr="00D42316">
        <w:t>Career</w:t>
      </w:r>
      <w:proofErr w:type="spellEnd"/>
      <w:r w:rsidRPr="00D42316">
        <w:t xml:space="preserve"> </w:t>
      </w:r>
      <w:proofErr w:type="spellStart"/>
      <w:r w:rsidRPr="00D42316">
        <w:t>Fields</w:t>
      </w:r>
      <w:proofErr w:type="spellEnd"/>
      <w:r w:rsidRPr="00D42316">
        <w:t xml:space="preserve">, </w:t>
      </w:r>
      <w:proofErr w:type="spellStart"/>
      <w:r w:rsidRPr="00D42316">
        <w:t>Marital</w:t>
      </w:r>
      <w:proofErr w:type="spellEnd"/>
      <w:r w:rsidRPr="00D42316">
        <w:t xml:space="preserve"> </w:t>
      </w:r>
      <w:proofErr w:type="spellStart"/>
      <w:r w:rsidRPr="00D42316">
        <w:t>Satisfaction</w:t>
      </w:r>
      <w:proofErr w:type="spellEnd"/>
      <w:r w:rsidRPr="00D42316">
        <w:t xml:space="preserve">, </w:t>
      </w:r>
      <w:proofErr w:type="spellStart"/>
      <w:r w:rsidRPr="00D42316">
        <w:t>Married</w:t>
      </w:r>
      <w:proofErr w:type="spellEnd"/>
      <w:r w:rsidRPr="00D42316">
        <w:t xml:space="preserve"> </w:t>
      </w:r>
      <w:proofErr w:type="spellStart"/>
      <w:r w:rsidRPr="00D42316">
        <w:t>Individuals</w:t>
      </w:r>
      <w:proofErr w:type="spellEnd"/>
    </w:p>
    <w:p w14:paraId="0776286B" w14:textId="0AFF5D59" w:rsidR="00A8748A" w:rsidRPr="00D42316" w:rsidRDefault="00FC4D53" w:rsidP="00FC4D53">
      <w:pPr>
        <w:autoSpaceDE/>
        <w:autoSpaceDN/>
      </w:pPr>
      <w:r>
        <w:br w:type="page"/>
      </w:r>
    </w:p>
    <w:p w14:paraId="553FCE13" w14:textId="77777777" w:rsidR="00F84AD5" w:rsidRDefault="00AC051C" w:rsidP="004C7694">
      <w:pPr>
        <w:pStyle w:val="Tark"/>
        <w:rPr>
          <w:highlight w:val="white"/>
        </w:rPr>
      </w:pPr>
      <w:bookmarkStart w:id="20" w:name="_Toc192855147"/>
      <w:r w:rsidRPr="00D42316">
        <w:rPr>
          <w:highlight w:val="white"/>
        </w:rPr>
        <w:lastRenderedPageBreak/>
        <w:t>Genç Yetişkinlerin Eko Kaygı Düzeylerinin Demografik Değişkenler Açısından İncelenmesi</w:t>
      </w:r>
      <w:bookmarkEnd w:id="20"/>
    </w:p>
    <w:p w14:paraId="0114F9EB" w14:textId="77777777" w:rsidR="000A70F0" w:rsidRPr="000A70F0" w:rsidRDefault="000A70F0" w:rsidP="000A70F0">
      <w:pPr>
        <w:pStyle w:val="Metin"/>
        <w:rPr>
          <w:highlight w:val="white"/>
        </w:rPr>
      </w:pPr>
    </w:p>
    <w:p w14:paraId="0BD17F74" w14:textId="77777777" w:rsidR="00F84AD5" w:rsidRPr="00D42316" w:rsidRDefault="00AC051C" w:rsidP="000A70F0">
      <w:pPr>
        <w:jc w:val="center"/>
        <w:rPr>
          <w:highlight w:val="white"/>
        </w:rPr>
      </w:pPr>
      <w:r w:rsidRPr="00D42316">
        <w:rPr>
          <w:highlight w:val="white"/>
        </w:rPr>
        <w:t>Suzan Çetiner</w:t>
      </w:r>
    </w:p>
    <w:p w14:paraId="7F1342BA" w14:textId="77777777" w:rsidR="00F84AD5" w:rsidRPr="00D42316" w:rsidRDefault="00AC051C" w:rsidP="000A70F0">
      <w:pPr>
        <w:jc w:val="center"/>
        <w:rPr>
          <w:highlight w:val="white"/>
        </w:rPr>
      </w:pPr>
      <w:r w:rsidRPr="00D42316">
        <w:rPr>
          <w:highlight w:val="white"/>
        </w:rPr>
        <w:t>Lisansüstü Öğrencisi, Başkent Üniversitesi</w:t>
      </w:r>
    </w:p>
    <w:p w14:paraId="2C074409" w14:textId="77777777" w:rsidR="00A8748A" w:rsidRPr="00D42316" w:rsidRDefault="00A8748A" w:rsidP="000A70F0">
      <w:pPr>
        <w:jc w:val="center"/>
        <w:rPr>
          <w:highlight w:val="white"/>
        </w:rPr>
      </w:pPr>
    </w:p>
    <w:p w14:paraId="20F3E59D" w14:textId="77777777" w:rsidR="00F84AD5" w:rsidRPr="00D42316" w:rsidRDefault="00AC051C" w:rsidP="000A70F0">
      <w:pPr>
        <w:jc w:val="center"/>
        <w:rPr>
          <w:highlight w:val="white"/>
        </w:rPr>
      </w:pPr>
      <w:r w:rsidRPr="00D42316">
        <w:rPr>
          <w:highlight w:val="white"/>
        </w:rPr>
        <w:t>Doç. Dr. Hicran Çetin Gündüz</w:t>
      </w:r>
    </w:p>
    <w:p w14:paraId="47BC7E3E" w14:textId="77777777" w:rsidR="00F84AD5" w:rsidRPr="00D42316" w:rsidRDefault="00AC051C" w:rsidP="000A70F0">
      <w:pPr>
        <w:jc w:val="center"/>
        <w:rPr>
          <w:highlight w:val="white"/>
        </w:rPr>
      </w:pPr>
      <w:r w:rsidRPr="00D42316">
        <w:rPr>
          <w:highlight w:val="white"/>
        </w:rPr>
        <w:t>Başkent Üniversitesi</w:t>
      </w:r>
    </w:p>
    <w:p w14:paraId="357D514D" w14:textId="0F232F58" w:rsidR="00A8748A" w:rsidRPr="00D42316" w:rsidRDefault="00A8748A" w:rsidP="000A70F0">
      <w:pPr>
        <w:jc w:val="center"/>
        <w:rPr>
          <w:highlight w:val="white"/>
        </w:rPr>
      </w:pPr>
      <w:hyperlink r:id="rId37" w:history="1">
        <w:r w:rsidRPr="00D42316">
          <w:rPr>
            <w:highlight w:val="white"/>
          </w:rPr>
          <w:t>hcgunduz@baskent.edu.tr</w:t>
        </w:r>
      </w:hyperlink>
    </w:p>
    <w:p w14:paraId="6E373EC8" w14:textId="4B6FCC4F" w:rsidR="00A8748A" w:rsidRDefault="00A8748A" w:rsidP="000A70F0">
      <w:pPr>
        <w:jc w:val="center"/>
        <w:rPr>
          <w:highlight w:val="white"/>
        </w:rPr>
      </w:pPr>
      <w:r w:rsidRPr="00D42316">
        <w:rPr>
          <w:highlight w:val="white"/>
        </w:rPr>
        <w:t>0000-0002-5899-9772</w:t>
      </w:r>
    </w:p>
    <w:p w14:paraId="15EFF80F" w14:textId="77777777" w:rsidR="002604BA" w:rsidRPr="00D42316" w:rsidRDefault="002604BA" w:rsidP="000A70F0">
      <w:pPr>
        <w:jc w:val="center"/>
        <w:rPr>
          <w:highlight w:val="white"/>
        </w:rPr>
      </w:pPr>
    </w:p>
    <w:p w14:paraId="2543F1EF" w14:textId="77777777" w:rsidR="00F84AD5" w:rsidRPr="009F0AE3" w:rsidRDefault="00AC051C" w:rsidP="000A70F0">
      <w:pPr>
        <w:jc w:val="center"/>
        <w:rPr>
          <w:b/>
          <w:bCs/>
          <w:highlight w:val="white"/>
        </w:rPr>
      </w:pPr>
      <w:r w:rsidRPr="009F0AE3">
        <w:rPr>
          <w:b/>
          <w:bCs/>
          <w:highlight w:val="white"/>
        </w:rPr>
        <w:t>Özet</w:t>
      </w:r>
    </w:p>
    <w:p w14:paraId="3AA51665" w14:textId="77777777" w:rsidR="00F84AD5" w:rsidRPr="00D42316" w:rsidRDefault="00AC051C" w:rsidP="000A70F0">
      <w:pPr>
        <w:jc w:val="both"/>
        <w:rPr>
          <w:highlight w:val="white"/>
        </w:rPr>
      </w:pPr>
      <w:r w:rsidRPr="00D42316">
        <w:rPr>
          <w:b/>
          <w:highlight w:val="white"/>
        </w:rPr>
        <w:t xml:space="preserve">Amaç: </w:t>
      </w:r>
      <w:r w:rsidRPr="00D42316">
        <w:rPr>
          <w:highlight w:val="white"/>
        </w:rPr>
        <w:t xml:space="preserve">Son yıllarda çevresel krizler ve iklim değişikliği sorunlarının </w:t>
      </w:r>
      <w:r w:rsidRPr="00D42316">
        <w:t>dünya çapında giderek artan etkileri ekosistemler ve türler için tehdit oluşturmaktadır</w:t>
      </w:r>
      <w:r w:rsidRPr="00D42316">
        <w:rPr>
          <w:color w:val="FF0000"/>
        </w:rPr>
        <w:t>.</w:t>
      </w:r>
      <w:r w:rsidRPr="00D42316">
        <w:t xml:space="preserve"> Değişen iklim ve çevresel faktörlerin insanların fiziksel sağlığını etkilemekle kalmayıp ruh sağlığını da olumsuz etkilediği görülmektedir. Eko kaygı iklim değişikliği, çevresel krizler ve ekosistemlerin bozulmasına karşı yoğun kaygı ve endişe duyulması durumudur.</w:t>
      </w:r>
      <w:r w:rsidRPr="00D42316">
        <w:rPr>
          <w:highlight w:val="white"/>
        </w:rPr>
        <w:t xml:space="preserve"> Araştırmalar gençlerin eko kaygı konusunda risk altında olduğunu göstermektedir. </w:t>
      </w:r>
      <w:r w:rsidRPr="00D42316">
        <w:t>Bu bilgilerden yola çıkarak bu araştırmada genç yetişkinlerin eko kaygı düzeylerinin demografik değişkenler ve bazı bağımsız değişkenler açısından incelenmesi amaçlanmıştır. Genç yetişkinlerin eko kaygı düzeyleri ile cinsiyet, yaş, algılanan sosyoekonomik düzey, yerleşim birimi, yaşamlarının çoğunu geçirdikleri coğrafi bölge, haftalık ekran süresi, çevre dostu davranışlara katılım durumları ve haberleri takip etmek için ayırdıkları haftalık süre arasında anlamlı bir farklılık var mıdır? Sorularına cevap aranmıştır.</w:t>
      </w:r>
    </w:p>
    <w:p w14:paraId="6A58FFD9" w14:textId="6FAFE8EB" w:rsidR="00F84AD5" w:rsidRPr="00D42316" w:rsidRDefault="00AC051C" w:rsidP="000A70F0">
      <w:pPr>
        <w:jc w:val="both"/>
      </w:pPr>
      <w:r w:rsidRPr="00D42316">
        <w:rPr>
          <w:b/>
        </w:rPr>
        <w:t xml:space="preserve">Yöntem: </w:t>
      </w:r>
      <w:r w:rsidRPr="00D42316">
        <w:t>Araştırmanın bağımlı değişkenini eko kaygı düzeyi bağımsız değişkenini demografik değişkenler oluşturmaktadır. Haftalık ekran süresi, çevre dostu davranışlara katılım durumu, haberleri takip süresi bağımsız değişken olarak ele alınmıştır. Araştırmanın örneklemini 18-30 yaş (</w:t>
      </w:r>
      <w:r w:rsidRPr="00D42316">
        <w:rPr>
          <w:i/>
        </w:rPr>
        <w:t>Ort</w:t>
      </w:r>
      <w:r w:rsidRPr="00D42316">
        <w:t xml:space="preserve">.= 21,96; </w:t>
      </w:r>
      <w:proofErr w:type="spellStart"/>
      <w:r w:rsidRPr="00D42316">
        <w:rPr>
          <w:i/>
        </w:rPr>
        <w:t>Ss</w:t>
      </w:r>
      <w:proofErr w:type="spellEnd"/>
      <w:r w:rsidRPr="00D42316">
        <w:t>= 3,39) aralığındaki 163 genç yetişkin oluşturmaktadır. Araştırmanın verilerinin toplanmasında eko kaygıyı ölçmek için Eko Anksiyete Ölçeği ve katılımcıların demografik bilgilerine ulaşmak amacıyla araştırmacı tarafından hazırlanan Kişisel Bilgi Formu kullanılmıştır. Kişisel bilgi formunda bireylerin cinsiyet, yaş, algılanan sosyoekonomik düzey, yerleşim birimi, yaşamlarının çoğunu geçirdikleri coğrafi bölge, haftalık ekran süresi, çevre dostu davranışlara katılım durumları ve haberleri takip etmek için ayırdıkları haftalık süreye ilişkin bilgiler sorulmuştur. Verilerin analizi için SPSS 28.0 paket programı kullanılmıştır. Araştırmada değişkenler arasındaki ilişkileri incelemek için Bağımsız Örneklemler T-Testi ve Tek Yönlü Varyans Analizi (ANOVA) testleri yapılmıştır.</w:t>
      </w:r>
    </w:p>
    <w:p w14:paraId="735C1BE5" w14:textId="77777777" w:rsidR="00F84AD5" w:rsidRPr="00D42316" w:rsidRDefault="00AC051C" w:rsidP="000A70F0">
      <w:pPr>
        <w:jc w:val="both"/>
        <w:rPr>
          <w:b/>
        </w:rPr>
      </w:pPr>
      <w:r w:rsidRPr="00D42316">
        <w:rPr>
          <w:b/>
        </w:rPr>
        <w:t xml:space="preserve">Bulgular: </w:t>
      </w:r>
      <w:r w:rsidRPr="00D42316">
        <w:t>Genç yetişkinlerin eko kaygı düzeylerinin; cinsiyet, yaş, çevreyle ilgili sayfaları takip etme sıklığı, haftalık ekran süresi, haftalık haberleri takip etme süresi, çevre dostu davranışlara katılım değişkenleri ile anlamlı bir farklılık gösterdiği; algılanan sosyoekonomik düzey, yaşamın büyük bir bölümünün geçirildiği coğrafi bölge, yaşanılan yerleşim birimi ile arasında anlamlı bir farklılık göstermediği sonucuna ulaşılmıştır</w:t>
      </w:r>
      <w:r w:rsidRPr="00D42316">
        <w:rPr>
          <w:i/>
        </w:rPr>
        <w:t>.</w:t>
      </w:r>
    </w:p>
    <w:p w14:paraId="2FA707E5" w14:textId="77777777" w:rsidR="00F84AD5" w:rsidRPr="00D42316" w:rsidRDefault="00AC051C" w:rsidP="000A70F0">
      <w:pPr>
        <w:jc w:val="both"/>
        <w:rPr>
          <w:b/>
        </w:rPr>
      </w:pPr>
      <w:r w:rsidRPr="00D42316">
        <w:rPr>
          <w:b/>
        </w:rPr>
        <w:t xml:space="preserve">Sonuç: </w:t>
      </w:r>
      <w:r w:rsidRPr="00D42316">
        <w:t>Gençlerin iklim değişikliğiyle ilgili kaygılarını ele almada ve başa çıkmalarında desteklenmeleri önem taşımaktadır. Ayrıca gençlerin çevresel farkındalıklarını geliştirmek ve iklim değişikliği konusunda bilinçlendirilmeleri açısından çalışmalar yapılması gerekmektedir.</w:t>
      </w:r>
    </w:p>
    <w:p w14:paraId="7BB18176" w14:textId="3C6A66AA" w:rsidR="00FC4D53" w:rsidRDefault="00AC051C" w:rsidP="000A70F0">
      <w:pPr>
        <w:jc w:val="both"/>
      </w:pPr>
      <w:r w:rsidRPr="00D42316">
        <w:rPr>
          <w:b/>
        </w:rPr>
        <w:t>Anahtar Kelimeler:</w:t>
      </w:r>
      <w:r w:rsidRPr="00D42316">
        <w:t xml:space="preserve"> Eko kaygı, genç yetişkinler, demografik değişken</w:t>
      </w:r>
    </w:p>
    <w:p w14:paraId="57663D53" w14:textId="552999B1" w:rsidR="00A8748A" w:rsidRPr="00FC4D53" w:rsidRDefault="00FC4D53" w:rsidP="000A70F0">
      <w:pPr>
        <w:autoSpaceDE/>
        <w:autoSpaceDN/>
      </w:pPr>
      <w:r>
        <w:br w:type="page"/>
      </w:r>
    </w:p>
    <w:p w14:paraId="7DDDD94F" w14:textId="190266F5" w:rsidR="00F84AD5" w:rsidRDefault="00AC051C" w:rsidP="004C7694">
      <w:pPr>
        <w:pStyle w:val="Tark"/>
        <w:rPr>
          <w:highlight w:val="white"/>
        </w:rPr>
      </w:pPr>
      <w:bookmarkStart w:id="21" w:name="_Toc192855148"/>
      <w:proofErr w:type="spellStart"/>
      <w:r w:rsidRPr="00D42316">
        <w:rPr>
          <w:highlight w:val="white"/>
        </w:rPr>
        <w:lastRenderedPageBreak/>
        <w:t>Examination</w:t>
      </w:r>
      <w:proofErr w:type="spellEnd"/>
      <w:r w:rsidRPr="00D42316">
        <w:rPr>
          <w:highlight w:val="white"/>
        </w:rPr>
        <w:t xml:space="preserve"> of Young </w:t>
      </w:r>
      <w:proofErr w:type="spellStart"/>
      <w:r w:rsidRPr="00D42316">
        <w:rPr>
          <w:highlight w:val="white"/>
        </w:rPr>
        <w:t>Adult’s</w:t>
      </w:r>
      <w:proofErr w:type="spellEnd"/>
      <w:r w:rsidRPr="00D42316">
        <w:rPr>
          <w:highlight w:val="white"/>
        </w:rPr>
        <w:t xml:space="preserve"> </w:t>
      </w:r>
      <w:proofErr w:type="spellStart"/>
      <w:r w:rsidRPr="00D42316">
        <w:rPr>
          <w:highlight w:val="white"/>
        </w:rPr>
        <w:t>Eco</w:t>
      </w:r>
      <w:proofErr w:type="spellEnd"/>
      <w:r w:rsidRPr="00D42316">
        <w:rPr>
          <w:highlight w:val="white"/>
        </w:rPr>
        <w:t xml:space="preserve"> </w:t>
      </w:r>
      <w:proofErr w:type="spellStart"/>
      <w:r w:rsidRPr="00D42316">
        <w:rPr>
          <w:highlight w:val="white"/>
        </w:rPr>
        <w:t>Anxiety</w:t>
      </w:r>
      <w:proofErr w:type="spellEnd"/>
      <w:r w:rsidRPr="00D42316">
        <w:rPr>
          <w:highlight w:val="white"/>
        </w:rPr>
        <w:t xml:space="preserve"> </w:t>
      </w:r>
      <w:proofErr w:type="spellStart"/>
      <w:r w:rsidRPr="00D42316">
        <w:rPr>
          <w:highlight w:val="white"/>
        </w:rPr>
        <w:t>Levels</w:t>
      </w:r>
      <w:proofErr w:type="spellEnd"/>
      <w:r w:rsidRPr="00D42316">
        <w:rPr>
          <w:highlight w:val="white"/>
        </w:rPr>
        <w:t xml:space="preserve"> in </w:t>
      </w:r>
      <w:proofErr w:type="spellStart"/>
      <w:r w:rsidRPr="00D42316">
        <w:rPr>
          <w:highlight w:val="white"/>
        </w:rPr>
        <w:t>Terms</w:t>
      </w:r>
      <w:proofErr w:type="spellEnd"/>
      <w:r w:rsidRPr="00D42316">
        <w:rPr>
          <w:highlight w:val="white"/>
        </w:rPr>
        <w:t xml:space="preserve"> of </w:t>
      </w:r>
      <w:proofErr w:type="spellStart"/>
      <w:r w:rsidRPr="00D42316">
        <w:rPr>
          <w:highlight w:val="white"/>
        </w:rPr>
        <w:t>Demographical</w:t>
      </w:r>
      <w:proofErr w:type="spellEnd"/>
      <w:r w:rsidRPr="00D42316">
        <w:rPr>
          <w:highlight w:val="white"/>
        </w:rPr>
        <w:t xml:space="preserve"> </w:t>
      </w:r>
      <w:proofErr w:type="spellStart"/>
      <w:r w:rsidRPr="00D42316">
        <w:rPr>
          <w:highlight w:val="white"/>
        </w:rPr>
        <w:t>Variables</w:t>
      </w:r>
      <w:bookmarkEnd w:id="21"/>
      <w:proofErr w:type="spellEnd"/>
    </w:p>
    <w:p w14:paraId="6CAC201C" w14:textId="77777777" w:rsidR="000A70F0" w:rsidRPr="000A70F0" w:rsidRDefault="000A70F0" w:rsidP="000A70F0">
      <w:pPr>
        <w:pStyle w:val="Metin"/>
        <w:rPr>
          <w:highlight w:val="white"/>
        </w:rPr>
      </w:pPr>
    </w:p>
    <w:p w14:paraId="42E6998B" w14:textId="77777777" w:rsidR="00F84AD5" w:rsidRPr="00D42316" w:rsidRDefault="00AC051C" w:rsidP="000A70F0">
      <w:pPr>
        <w:jc w:val="center"/>
        <w:rPr>
          <w:highlight w:val="white"/>
        </w:rPr>
      </w:pPr>
      <w:r w:rsidRPr="00D42316">
        <w:rPr>
          <w:highlight w:val="white"/>
        </w:rPr>
        <w:t>Suzan Çetiner</w:t>
      </w:r>
    </w:p>
    <w:p w14:paraId="239D4E6D" w14:textId="77777777" w:rsidR="00F84AD5" w:rsidRPr="00D42316" w:rsidRDefault="00AC051C" w:rsidP="000A70F0">
      <w:pPr>
        <w:jc w:val="center"/>
        <w:rPr>
          <w:highlight w:val="white"/>
        </w:rPr>
      </w:pPr>
      <w:r w:rsidRPr="00D42316">
        <w:rPr>
          <w:highlight w:val="white"/>
        </w:rPr>
        <w:t xml:space="preserve">Lisansüstü </w:t>
      </w:r>
      <w:proofErr w:type="spellStart"/>
      <w:proofErr w:type="gramStart"/>
      <w:r w:rsidRPr="00D42316">
        <w:rPr>
          <w:highlight w:val="white"/>
        </w:rPr>
        <w:t>Öğrencisi,Başkent</w:t>
      </w:r>
      <w:proofErr w:type="spellEnd"/>
      <w:proofErr w:type="gramEnd"/>
      <w:r w:rsidRPr="00D42316">
        <w:rPr>
          <w:highlight w:val="white"/>
        </w:rPr>
        <w:t xml:space="preserve"> Üniversitesi</w:t>
      </w:r>
    </w:p>
    <w:p w14:paraId="7E5A6490" w14:textId="77777777" w:rsidR="00A8748A" w:rsidRPr="00D42316" w:rsidRDefault="00A8748A" w:rsidP="000A70F0">
      <w:pPr>
        <w:jc w:val="center"/>
        <w:rPr>
          <w:highlight w:val="white"/>
        </w:rPr>
      </w:pPr>
    </w:p>
    <w:p w14:paraId="7D325C2F" w14:textId="77777777" w:rsidR="00A8748A" w:rsidRPr="00D42316" w:rsidRDefault="00A8748A" w:rsidP="000A70F0">
      <w:pPr>
        <w:jc w:val="center"/>
        <w:rPr>
          <w:highlight w:val="white"/>
        </w:rPr>
      </w:pPr>
      <w:r w:rsidRPr="00D42316">
        <w:rPr>
          <w:highlight w:val="white"/>
        </w:rPr>
        <w:t>Doç. Dr. Hicran Çetin Gündüz</w:t>
      </w:r>
    </w:p>
    <w:p w14:paraId="10076A78" w14:textId="77777777" w:rsidR="00A8748A" w:rsidRPr="00D42316" w:rsidRDefault="00A8748A" w:rsidP="000A70F0">
      <w:pPr>
        <w:jc w:val="center"/>
        <w:rPr>
          <w:highlight w:val="white"/>
        </w:rPr>
      </w:pPr>
      <w:r w:rsidRPr="00D42316">
        <w:rPr>
          <w:highlight w:val="white"/>
        </w:rPr>
        <w:t>Başkent Üniversitesi</w:t>
      </w:r>
    </w:p>
    <w:p w14:paraId="078C2695" w14:textId="77777777" w:rsidR="00A8748A" w:rsidRPr="00D42316" w:rsidRDefault="00A8748A" w:rsidP="000A70F0">
      <w:pPr>
        <w:jc w:val="center"/>
        <w:rPr>
          <w:highlight w:val="white"/>
        </w:rPr>
      </w:pPr>
      <w:hyperlink r:id="rId38" w:history="1">
        <w:r w:rsidRPr="00D42316">
          <w:rPr>
            <w:highlight w:val="white"/>
          </w:rPr>
          <w:t>hcgunduz@baskent.edu.tr</w:t>
        </w:r>
      </w:hyperlink>
    </w:p>
    <w:p w14:paraId="26B0E352" w14:textId="77777777" w:rsidR="00A8748A" w:rsidRDefault="00A8748A" w:rsidP="000A70F0">
      <w:pPr>
        <w:jc w:val="center"/>
        <w:rPr>
          <w:highlight w:val="white"/>
        </w:rPr>
      </w:pPr>
      <w:r w:rsidRPr="00D42316">
        <w:rPr>
          <w:highlight w:val="white"/>
        </w:rPr>
        <w:t>0000-0002-5899-9772</w:t>
      </w:r>
    </w:p>
    <w:p w14:paraId="4194A0C4" w14:textId="77777777" w:rsidR="000A70F0" w:rsidRPr="00D42316" w:rsidRDefault="000A70F0" w:rsidP="000A70F0">
      <w:pPr>
        <w:jc w:val="center"/>
        <w:rPr>
          <w:highlight w:val="white"/>
        </w:rPr>
      </w:pPr>
    </w:p>
    <w:p w14:paraId="54DB1A4A" w14:textId="77777777" w:rsidR="00F84AD5" w:rsidRPr="009F0AE3" w:rsidRDefault="00AC051C" w:rsidP="000A70F0">
      <w:pPr>
        <w:jc w:val="center"/>
        <w:rPr>
          <w:b/>
          <w:bCs/>
        </w:rPr>
      </w:pPr>
      <w:proofErr w:type="spellStart"/>
      <w:r w:rsidRPr="009F0AE3">
        <w:rPr>
          <w:b/>
          <w:bCs/>
        </w:rPr>
        <w:t>Abstract</w:t>
      </w:r>
      <w:proofErr w:type="spellEnd"/>
    </w:p>
    <w:p w14:paraId="748C6484" w14:textId="77777777" w:rsidR="00F84AD5" w:rsidRPr="00D42316" w:rsidRDefault="00AC051C" w:rsidP="000A70F0">
      <w:pPr>
        <w:jc w:val="both"/>
      </w:pPr>
      <w:proofErr w:type="spellStart"/>
      <w:r w:rsidRPr="00D42316">
        <w:rPr>
          <w:b/>
        </w:rPr>
        <w:t>Objective</w:t>
      </w:r>
      <w:proofErr w:type="spellEnd"/>
      <w:r w:rsidRPr="00D42316">
        <w:rPr>
          <w:b/>
        </w:rPr>
        <w:t>:</w:t>
      </w:r>
      <w:r w:rsidRPr="00D42316">
        <w:t xml:space="preserve"> </w:t>
      </w:r>
      <w:proofErr w:type="spellStart"/>
      <w:r w:rsidRPr="00D42316">
        <w:t>In</w:t>
      </w:r>
      <w:proofErr w:type="spellEnd"/>
      <w:r w:rsidRPr="00D42316">
        <w:t xml:space="preserve"> </w:t>
      </w:r>
      <w:proofErr w:type="spellStart"/>
      <w:r w:rsidRPr="00D42316">
        <w:t>recent</w:t>
      </w:r>
      <w:proofErr w:type="spellEnd"/>
      <w:r w:rsidRPr="00D42316">
        <w:t xml:space="preserve"> </w:t>
      </w:r>
      <w:proofErr w:type="spellStart"/>
      <w:r w:rsidRPr="00D42316">
        <w:t>years</w:t>
      </w:r>
      <w:proofErr w:type="spellEnd"/>
      <w:r w:rsidRPr="00D42316">
        <w:t xml:space="preserve">, </w:t>
      </w:r>
      <w:proofErr w:type="spellStart"/>
      <w:r w:rsidRPr="00D42316">
        <w:t>the</w:t>
      </w:r>
      <w:proofErr w:type="spellEnd"/>
      <w:r w:rsidRPr="00D42316">
        <w:t xml:space="preserve"> </w:t>
      </w:r>
      <w:proofErr w:type="spellStart"/>
      <w:r w:rsidRPr="00D42316">
        <w:t>increasing</w:t>
      </w:r>
      <w:proofErr w:type="spellEnd"/>
      <w:r w:rsidRPr="00D42316">
        <w:t xml:space="preserve"> </w:t>
      </w:r>
      <w:proofErr w:type="spellStart"/>
      <w:r w:rsidRPr="00D42316">
        <w:t>effects</w:t>
      </w:r>
      <w:proofErr w:type="spellEnd"/>
      <w:r w:rsidRPr="00D42316">
        <w:t xml:space="preserve"> of </w:t>
      </w:r>
      <w:proofErr w:type="spellStart"/>
      <w:r w:rsidRPr="00D42316">
        <w:t>environmental</w:t>
      </w:r>
      <w:proofErr w:type="spellEnd"/>
      <w:r w:rsidRPr="00D42316">
        <w:t xml:space="preserve"> </w:t>
      </w:r>
      <w:proofErr w:type="spellStart"/>
      <w:r w:rsidRPr="00D42316">
        <w:t>crises</w:t>
      </w:r>
      <w:proofErr w:type="spellEnd"/>
      <w:r w:rsidRPr="00D42316">
        <w:t xml:space="preserve"> </w:t>
      </w:r>
      <w:proofErr w:type="spellStart"/>
      <w:r w:rsidRPr="00D42316">
        <w:t>and</w:t>
      </w:r>
      <w:proofErr w:type="spellEnd"/>
      <w:r w:rsidRPr="00D42316">
        <w:t xml:space="preserve"> </w:t>
      </w:r>
      <w:proofErr w:type="spellStart"/>
      <w:r w:rsidRPr="00D42316">
        <w:t>climate</w:t>
      </w:r>
      <w:proofErr w:type="spellEnd"/>
      <w:r w:rsidRPr="00D42316">
        <w:t xml:space="preserve"> </w:t>
      </w:r>
      <w:proofErr w:type="spellStart"/>
      <w:r w:rsidRPr="00D42316">
        <w:t>change</w:t>
      </w:r>
      <w:proofErr w:type="spellEnd"/>
      <w:r w:rsidRPr="00D42316">
        <w:t xml:space="preserve"> </w:t>
      </w:r>
      <w:proofErr w:type="spellStart"/>
      <w:r w:rsidRPr="00D42316">
        <w:t>problems</w:t>
      </w:r>
      <w:proofErr w:type="spellEnd"/>
      <w:r w:rsidRPr="00D42316">
        <w:t xml:space="preserve"> </w:t>
      </w:r>
      <w:proofErr w:type="spellStart"/>
      <w:r w:rsidRPr="00D42316">
        <w:t>worldwide</w:t>
      </w:r>
      <w:proofErr w:type="spellEnd"/>
      <w:r w:rsidRPr="00D42316">
        <w:t xml:space="preserve"> </w:t>
      </w:r>
      <w:proofErr w:type="spellStart"/>
      <w:r w:rsidRPr="00D42316">
        <w:t>pose</w:t>
      </w:r>
      <w:proofErr w:type="spellEnd"/>
      <w:r w:rsidRPr="00D42316">
        <w:t xml:space="preserve"> a </w:t>
      </w:r>
      <w:proofErr w:type="spellStart"/>
      <w:r w:rsidRPr="00D42316">
        <w:t>threat</w:t>
      </w:r>
      <w:proofErr w:type="spellEnd"/>
      <w:r w:rsidRPr="00D42316">
        <w:t xml:space="preserve"> </w:t>
      </w:r>
      <w:proofErr w:type="spellStart"/>
      <w:r w:rsidRPr="00D42316">
        <w:t>to</w:t>
      </w:r>
      <w:proofErr w:type="spellEnd"/>
      <w:r w:rsidRPr="00D42316">
        <w:t xml:space="preserve"> </w:t>
      </w:r>
      <w:proofErr w:type="spellStart"/>
      <w:r w:rsidRPr="00D42316">
        <w:t>ecosystems</w:t>
      </w:r>
      <w:proofErr w:type="spellEnd"/>
      <w:r w:rsidRPr="00D42316">
        <w:t xml:space="preserve"> </w:t>
      </w:r>
      <w:proofErr w:type="spellStart"/>
      <w:r w:rsidRPr="00D42316">
        <w:t>and</w:t>
      </w:r>
      <w:proofErr w:type="spellEnd"/>
      <w:r w:rsidRPr="00D42316">
        <w:t xml:space="preserve"> </w:t>
      </w:r>
      <w:proofErr w:type="spellStart"/>
      <w:r w:rsidRPr="00D42316">
        <w:t>species</w:t>
      </w:r>
      <w:proofErr w:type="spellEnd"/>
      <w:r w:rsidRPr="00D42316">
        <w:t xml:space="preserve">. </w:t>
      </w:r>
      <w:proofErr w:type="spellStart"/>
      <w:r w:rsidRPr="00D42316">
        <w:t>It</w:t>
      </w:r>
      <w:proofErr w:type="spellEnd"/>
      <w:r w:rsidRPr="00D42316">
        <w:t xml:space="preserve"> is </w:t>
      </w:r>
      <w:proofErr w:type="spellStart"/>
      <w:r w:rsidRPr="00D42316">
        <w:t>seen</w:t>
      </w:r>
      <w:proofErr w:type="spellEnd"/>
      <w:r w:rsidRPr="00D42316">
        <w:t xml:space="preserve"> </w:t>
      </w:r>
      <w:proofErr w:type="spellStart"/>
      <w:r w:rsidRPr="00D42316">
        <w:t>that</w:t>
      </w:r>
      <w:proofErr w:type="spellEnd"/>
      <w:r w:rsidRPr="00D42316">
        <w:t xml:space="preserve"> </w:t>
      </w:r>
      <w:proofErr w:type="spellStart"/>
      <w:r w:rsidRPr="00D42316">
        <w:t>changing</w:t>
      </w:r>
      <w:proofErr w:type="spellEnd"/>
      <w:r w:rsidRPr="00D42316">
        <w:t xml:space="preserve"> </w:t>
      </w:r>
      <w:proofErr w:type="spellStart"/>
      <w:r w:rsidRPr="00D42316">
        <w:t>climate</w:t>
      </w:r>
      <w:proofErr w:type="spellEnd"/>
      <w:r w:rsidRPr="00D42316">
        <w:t xml:space="preserve"> </w:t>
      </w:r>
      <w:proofErr w:type="spellStart"/>
      <w:r w:rsidRPr="00D42316">
        <w:t>and</w:t>
      </w:r>
      <w:proofErr w:type="spellEnd"/>
      <w:r w:rsidRPr="00D42316">
        <w:t xml:space="preserve"> </w:t>
      </w:r>
      <w:proofErr w:type="spellStart"/>
      <w:r w:rsidRPr="00D42316">
        <w:t>environmental</w:t>
      </w:r>
      <w:proofErr w:type="spellEnd"/>
      <w:r w:rsidRPr="00D42316">
        <w:t xml:space="preserve"> </w:t>
      </w:r>
      <w:proofErr w:type="spellStart"/>
      <w:r w:rsidRPr="00D42316">
        <w:t>factors</w:t>
      </w:r>
      <w:proofErr w:type="spellEnd"/>
      <w:r w:rsidRPr="00D42316">
        <w:t xml:space="preserve"> not </w:t>
      </w:r>
      <w:proofErr w:type="spellStart"/>
      <w:r w:rsidRPr="00D42316">
        <w:t>only</w:t>
      </w:r>
      <w:proofErr w:type="spellEnd"/>
      <w:r w:rsidRPr="00D42316">
        <w:t xml:space="preserve"> </w:t>
      </w:r>
      <w:proofErr w:type="spellStart"/>
      <w:r w:rsidRPr="00D42316">
        <w:t>affect</w:t>
      </w:r>
      <w:proofErr w:type="spellEnd"/>
      <w:r w:rsidRPr="00D42316">
        <w:t xml:space="preserve"> </w:t>
      </w:r>
      <w:proofErr w:type="spellStart"/>
      <w:r w:rsidRPr="00D42316">
        <w:t>people's</w:t>
      </w:r>
      <w:proofErr w:type="spellEnd"/>
      <w:r w:rsidRPr="00D42316">
        <w:t xml:space="preserve"> </w:t>
      </w:r>
      <w:proofErr w:type="spellStart"/>
      <w:r w:rsidRPr="00D42316">
        <w:t>physical</w:t>
      </w:r>
      <w:proofErr w:type="spellEnd"/>
      <w:r w:rsidRPr="00D42316">
        <w:t xml:space="preserve"> </w:t>
      </w:r>
      <w:proofErr w:type="spellStart"/>
      <w:r w:rsidRPr="00D42316">
        <w:t>health</w:t>
      </w:r>
      <w:proofErr w:type="spellEnd"/>
      <w:r w:rsidRPr="00D42316">
        <w:t xml:space="preserve"> but </w:t>
      </w:r>
      <w:proofErr w:type="spellStart"/>
      <w:r w:rsidRPr="00D42316">
        <w:t>also</w:t>
      </w:r>
      <w:proofErr w:type="spellEnd"/>
      <w:r w:rsidRPr="00D42316">
        <w:t xml:space="preserve"> </w:t>
      </w:r>
      <w:proofErr w:type="spellStart"/>
      <w:r w:rsidRPr="00D42316">
        <w:t>negatively</w:t>
      </w:r>
      <w:proofErr w:type="spellEnd"/>
      <w:r w:rsidRPr="00D42316">
        <w:t xml:space="preserve"> </w:t>
      </w:r>
      <w:proofErr w:type="spellStart"/>
      <w:r w:rsidRPr="00D42316">
        <w:t>affect</w:t>
      </w:r>
      <w:proofErr w:type="spellEnd"/>
      <w:r w:rsidRPr="00D42316">
        <w:t xml:space="preserve"> </w:t>
      </w:r>
      <w:proofErr w:type="spellStart"/>
      <w:r w:rsidRPr="00D42316">
        <w:t>their</w:t>
      </w:r>
      <w:proofErr w:type="spellEnd"/>
      <w:r w:rsidRPr="00D42316">
        <w:t xml:space="preserve"> </w:t>
      </w:r>
      <w:proofErr w:type="spellStart"/>
      <w:r w:rsidRPr="00D42316">
        <w:t>mental</w:t>
      </w:r>
      <w:proofErr w:type="spellEnd"/>
      <w:r w:rsidRPr="00D42316">
        <w:t xml:space="preserve"> </w:t>
      </w:r>
      <w:proofErr w:type="spellStart"/>
      <w:r w:rsidRPr="00D42316">
        <w:t>health</w:t>
      </w:r>
      <w:proofErr w:type="spellEnd"/>
      <w:r w:rsidRPr="00D42316">
        <w:t xml:space="preserve">. </w:t>
      </w:r>
      <w:proofErr w:type="spellStart"/>
      <w:r w:rsidRPr="00D42316">
        <w:t>Eco-anxiety</w:t>
      </w:r>
      <w:proofErr w:type="spellEnd"/>
      <w:r w:rsidRPr="00D42316">
        <w:t xml:space="preserve"> is a </w:t>
      </w:r>
      <w:proofErr w:type="spellStart"/>
      <w:r w:rsidRPr="00D42316">
        <w:t>state</w:t>
      </w:r>
      <w:proofErr w:type="spellEnd"/>
      <w:r w:rsidRPr="00D42316">
        <w:t xml:space="preserve"> of </w:t>
      </w:r>
      <w:proofErr w:type="spellStart"/>
      <w:r w:rsidRPr="00D42316">
        <w:t>intense</w:t>
      </w:r>
      <w:proofErr w:type="spellEnd"/>
      <w:r w:rsidRPr="00D42316">
        <w:t xml:space="preserve"> </w:t>
      </w:r>
      <w:proofErr w:type="spellStart"/>
      <w:r w:rsidRPr="00D42316">
        <w:t>anxiety</w:t>
      </w:r>
      <w:proofErr w:type="spellEnd"/>
      <w:r w:rsidRPr="00D42316">
        <w:t xml:space="preserve"> </w:t>
      </w:r>
      <w:proofErr w:type="spellStart"/>
      <w:r w:rsidRPr="00D42316">
        <w:t>and</w:t>
      </w:r>
      <w:proofErr w:type="spellEnd"/>
      <w:r w:rsidRPr="00D42316">
        <w:t xml:space="preserve"> </w:t>
      </w:r>
      <w:proofErr w:type="spellStart"/>
      <w:r w:rsidRPr="00D42316">
        <w:t>concern</w:t>
      </w:r>
      <w:proofErr w:type="spellEnd"/>
      <w:r w:rsidRPr="00D42316">
        <w:t xml:space="preserve"> </w:t>
      </w:r>
      <w:proofErr w:type="spellStart"/>
      <w:r w:rsidRPr="00D42316">
        <w:t>about</w:t>
      </w:r>
      <w:proofErr w:type="spellEnd"/>
      <w:r w:rsidRPr="00D42316">
        <w:t xml:space="preserve"> </w:t>
      </w:r>
      <w:proofErr w:type="spellStart"/>
      <w:r w:rsidRPr="00D42316">
        <w:t>climate</w:t>
      </w:r>
      <w:proofErr w:type="spellEnd"/>
      <w:r w:rsidRPr="00D42316">
        <w:t xml:space="preserve"> </w:t>
      </w:r>
      <w:proofErr w:type="spellStart"/>
      <w:r w:rsidRPr="00D42316">
        <w:t>change</w:t>
      </w:r>
      <w:proofErr w:type="spellEnd"/>
      <w:r w:rsidRPr="00D42316">
        <w:t xml:space="preserve">, </w:t>
      </w:r>
      <w:proofErr w:type="spellStart"/>
      <w:r w:rsidRPr="00D42316">
        <w:t>environmental</w:t>
      </w:r>
      <w:proofErr w:type="spellEnd"/>
      <w:r w:rsidRPr="00D42316">
        <w:t xml:space="preserve"> </w:t>
      </w:r>
      <w:proofErr w:type="spellStart"/>
      <w:r w:rsidRPr="00D42316">
        <w:t>crises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degradation</w:t>
      </w:r>
      <w:proofErr w:type="spellEnd"/>
      <w:r w:rsidRPr="00D42316">
        <w:t xml:space="preserve"> of </w:t>
      </w:r>
      <w:proofErr w:type="spellStart"/>
      <w:r w:rsidRPr="00D42316">
        <w:t>ecosystems</w:t>
      </w:r>
      <w:proofErr w:type="spellEnd"/>
      <w:r w:rsidRPr="00D42316">
        <w:t xml:space="preserve">. </w:t>
      </w:r>
      <w:proofErr w:type="spellStart"/>
      <w:r w:rsidRPr="00D42316">
        <w:t>Research</w:t>
      </w:r>
      <w:proofErr w:type="spellEnd"/>
      <w:r w:rsidRPr="00D42316">
        <w:t xml:space="preserve"> </w:t>
      </w:r>
      <w:proofErr w:type="spellStart"/>
      <w:r w:rsidRPr="00D42316">
        <w:t>shows</w:t>
      </w:r>
      <w:proofErr w:type="spellEnd"/>
      <w:r w:rsidRPr="00D42316">
        <w:t xml:space="preserve"> </w:t>
      </w:r>
      <w:proofErr w:type="spellStart"/>
      <w:r w:rsidRPr="00D42316">
        <w:t>that</w:t>
      </w:r>
      <w:proofErr w:type="spellEnd"/>
      <w:r w:rsidRPr="00D42316">
        <w:t xml:space="preserve"> </w:t>
      </w:r>
      <w:proofErr w:type="spellStart"/>
      <w:r w:rsidRPr="00D42316">
        <w:t>young</w:t>
      </w:r>
      <w:proofErr w:type="spellEnd"/>
      <w:r w:rsidRPr="00D42316">
        <w:t xml:space="preserve"> </w:t>
      </w:r>
      <w:proofErr w:type="spellStart"/>
      <w:r w:rsidRPr="00D42316">
        <w:t>people</w:t>
      </w:r>
      <w:proofErr w:type="spellEnd"/>
      <w:r w:rsidRPr="00D42316">
        <w:t xml:space="preserve"> </w:t>
      </w:r>
      <w:proofErr w:type="spellStart"/>
      <w:r w:rsidRPr="00D42316">
        <w:t>are</w:t>
      </w:r>
      <w:proofErr w:type="spellEnd"/>
      <w:r w:rsidRPr="00D42316">
        <w:t xml:space="preserve"> at risk </w:t>
      </w:r>
      <w:proofErr w:type="spellStart"/>
      <w:r w:rsidRPr="00D42316">
        <w:t>for</w:t>
      </w:r>
      <w:proofErr w:type="spellEnd"/>
      <w:r w:rsidRPr="00D42316">
        <w:t xml:space="preserve"> </w:t>
      </w:r>
      <w:proofErr w:type="spellStart"/>
      <w:r w:rsidRPr="00D42316">
        <w:t>eco-anxiety</w:t>
      </w:r>
      <w:proofErr w:type="spellEnd"/>
      <w:r w:rsidRPr="00D42316">
        <w:t xml:space="preserve">. </w:t>
      </w:r>
      <w:proofErr w:type="spellStart"/>
      <w:r w:rsidRPr="00D42316">
        <w:t>Based</w:t>
      </w:r>
      <w:proofErr w:type="spellEnd"/>
      <w:r w:rsidRPr="00D42316">
        <w:t xml:space="preserve"> on </w:t>
      </w:r>
      <w:proofErr w:type="spellStart"/>
      <w:r w:rsidRPr="00D42316">
        <w:t>this</w:t>
      </w:r>
      <w:proofErr w:type="spellEnd"/>
      <w:r w:rsidRPr="00D42316">
        <w:t xml:space="preserve"> </w:t>
      </w:r>
      <w:proofErr w:type="spellStart"/>
      <w:r w:rsidRPr="00D42316">
        <w:t>information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aimed</w:t>
      </w:r>
      <w:proofErr w:type="spellEnd"/>
      <w:r w:rsidRPr="00D42316">
        <w:t xml:space="preserve"> </w:t>
      </w:r>
      <w:proofErr w:type="spellStart"/>
      <w:r w:rsidRPr="00D42316">
        <w:t>to</w:t>
      </w:r>
      <w:proofErr w:type="spellEnd"/>
      <w:r w:rsidRPr="00D42316">
        <w:t xml:space="preserve"> </w:t>
      </w:r>
      <w:proofErr w:type="spellStart"/>
      <w:r w:rsidRPr="00D42316">
        <w:t>examine</w:t>
      </w:r>
      <w:proofErr w:type="spellEnd"/>
      <w:r w:rsidRPr="00D42316">
        <w:t xml:space="preserve"> </w:t>
      </w:r>
      <w:proofErr w:type="spellStart"/>
      <w:r w:rsidRPr="00D42316">
        <w:t>the</w:t>
      </w:r>
      <w:proofErr w:type="spellEnd"/>
      <w:r w:rsidRPr="00D42316">
        <w:t xml:space="preserve"> </w:t>
      </w:r>
      <w:proofErr w:type="spellStart"/>
      <w:r w:rsidRPr="00D42316">
        <w:t>eco-anxiety</w:t>
      </w:r>
      <w:proofErr w:type="spellEnd"/>
      <w:r w:rsidRPr="00D42316">
        <w:t xml:space="preserve"> </w:t>
      </w:r>
      <w:proofErr w:type="spellStart"/>
      <w:r w:rsidRPr="00D42316">
        <w:t>levels</w:t>
      </w:r>
      <w:proofErr w:type="spellEnd"/>
      <w:r w:rsidRPr="00D42316">
        <w:t xml:space="preserve"> of </w:t>
      </w:r>
      <w:proofErr w:type="spellStart"/>
      <w:r w:rsidRPr="00D42316">
        <w:t>young</w:t>
      </w:r>
      <w:proofErr w:type="spellEnd"/>
      <w:r w:rsidRPr="00D42316">
        <w:t xml:space="preserve"> </w:t>
      </w:r>
      <w:proofErr w:type="spellStart"/>
      <w:r w:rsidRPr="00D42316">
        <w:t>adults</w:t>
      </w:r>
      <w:proofErr w:type="spellEnd"/>
      <w:r w:rsidRPr="00D42316">
        <w:t xml:space="preserve"> in </w:t>
      </w:r>
      <w:proofErr w:type="spellStart"/>
      <w:r w:rsidRPr="00D42316">
        <w:t>terms</w:t>
      </w:r>
      <w:proofErr w:type="spellEnd"/>
      <w:r w:rsidRPr="00D42316">
        <w:t xml:space="preserve"> of </w:t>
      </w:r>
      <w:proofErr w:type="spellStart"/>
      <w:r w:rsidRPr="00D42316">
        <w:t>demographic</w:t>
      </w:r>
      <w:proofErr w:type="spellEnd"/>
      <w:r w:rsidRPr="00D42316">
        <w:t xml:space="preserve"> </w:t>
      </w:r>
      <w:proofErr w:type="spellStart"/>
      <w:r w:rsidRPr="00D42316">
        <w:t>variables</w:t>
      </w:r>
      <w:proofErr w:type="spellEnd"/>
      <w:r w:rsidRPr="00D42316">
        <w:t xml:space="preserve"> </w:t>
      </w:r>
      <w:proofErr w:type="spellStart"/>
      <w:r w:rsidRPr="00D42316">
        <w:t>and</w:t>
      </w:r>
      <w:proofErr w:type="spellEnd"/>
      <w:r w:rsidRPr="00D42316">
        <w:t xml:space="preserve"> </w:t>
      </w:r>
      <w:proofErr w:type="spellStart"/>
      <w:r w:rsidRPr="00D42316">
        <w:t>some</w:t>
      </w:r>
      <w:proofErr w:type="spellEnd"/>
      <w:r w:rsidRPr="00D42316">
        <w:t xml:space="preserve"> </w:t>
      </w:r>
      <w:proofErr w:type="spellStart"/>
      <w:r w:rsidRPr="00D42316">
        <w:t>independent</w:t>
      </w:r>
      <w:proofErr w:type="spellEnd"/>
      <w:r w:rsidRPr="00D42316">
        <w:t xml:space="preserve"> </w:t>
      </w:r>
      <w:proofErr w:type="spellStart"/>
      <w:r w:rsidRPr="00D42316">
        <w:t>variables</w:t>
      </w:r>
      <w:proofErr w:type="spellEnd"/>
      <w:r w:rsidRPr="00D42316">
        <w:t xml:space="preserve">. </w:t>
      </w:r>
      <w:proofErr w:type="spellStart"/>
      <w:r w:rsidRPr="00D42316">
        <w:t>For</w:t>
      </w:r>
      <w:proofErr w:type="spellEnd"/>
      <w:r w:rsidRPr="00D42316">
        <w:t xml:space="preserve"> </w:t>
      </w:r>
      <w:proofErr w:type="spellStart"/>
      <w:r w:rsidRPr="00D42316">
        <w:t>this</w:t>
      </w:r>
      <w:proofErr w:type="spellEnd"/>
      <w:r w:rsidRPr="00D42316">
        <w:t xml:space="preserve"> </w:t>
      </w:r>
      <w:proofErr w:type="spellStart"/>
      <w:r w:rsidRPr="00D42316">
        <w:t>purpose</w:t>
      </w:r>
      <w:proofErr w:type="spellEnd"/>
      <w:r w:rsidRPr="00D42316">
        <w:t xml:space="preserve">, </w:t>
      </w:r>
      <w:proofErr w:type="spellStart"/>
      <w:r w:rsidRPr="00D42316">
        <w:t>the</w:t>
      </w:r>
      <w:proofErr w:type="spellEnd"/>
      <w:r w:rsidRPr="00D42316">
        <w:t xml:space="preserve"> </w:t>
      </w:r>
      <w:proofErr w:type="spellStart"/>
      <w:r w:rsidRPr="00D42316">
        <w:t>following</w:t>
      </w:r>
      <w:proofErr w:type="spellEnd"/>
      <w:r w:rsidRPr="00D42316">
        <w:t xml:space="preserve"> </w:t>
      </w:r>
      <w:proofErr w:type="spellStart"/>
      <w:r w:rsidRPr="00D42316">
        <w:t>questions</w:t>
      </w:r>
      <w:proofErr w:type="spellEnd"/>
      <w:r w:rsidRPr="00D42316">
        <w:t xml:space="preserve"> </w:t>
      </w:r>
      <w:proofErr w:type="spellStart"/>
      <w:r w:rsidRPr="00D42316">
        <w:t>were</w:t>
      </w:r>
      <w:proofErr w:type="spellEnd"/>
      <w:r w:rsidRPr="00D42316">
        <w:t xml:space="preserve"> </w:t>
      </w:r>
      <w:proofErr w:type="spellStart"/>
      <w:r w:rsidRPr="00D42316">
        <w:t>sought</w:t>
      </w:r>
      <w:proofErr w:type="spellEnd"/>
      <w:r w:rsidRPr="00D42316">
        <w:t xml:space="preserve">: Is </w:t>
      </w:r>
      <w:proofErr w:type="spellStart"/>
      <w:r w:rsidRPr="00D42316">
        <w:t>there</w:t>
      </w:r>
      <w:proofErr w:type="spellEnd"/>
      <w:r w:rsidRPr="00D42316">
        <w:t xml:space="preserve">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between</w:t>
      </w:r>
      <w:proofErr w:type="spellEnd"/>
      <w:r w:rsidRPr="00D42316">
        <w:t xml:space="preserve"> </w:t>
      </w:r>
      <w:proofErr w:type="spellStart"/>
      <w:r w:rsidRPr="00D42316">
        <w:t>young</w:t>
      </w:r>
      <w:proofErr w:type="spellEnd"/>
      <w:r w:rsidRPr="00D42316">
        <w:t xml:space="preserve"> </w:t>
      </w:r>
      <w:proofErr w:type="spellStart"/>
      <w:r w:rsidRPr="00D42316">
        <w:t>adults</w:t>
      </w:r>
      <w:proofErr w:type="spellEnd"/>
      <w:r w:rsidRPr="00D42316">
        <w:t xml:space="preserve">' </w:t>
      </w:r>
      <w:proofErr w:type="spellStart"/>
      <w:r w:rsidRPr="00D42316">
        <w:t>eco-anxiety</w:t>
      </w:r>
      <w:proofErr w:type="spellEnd"/>
      <w:r w:rsidRPr="00D42316">
        <w:t xml:space="preserve"> </w:t>
      </w:r>
      <w:proofErr w:type="spellStart"/>
      <w:r w:rsidRPr="00D42316">
        <w:t>levels</w:t>
      </w:r>
      <w:proofErr w:type="spellEnd"/>
      <w:r w:rsidRPr="00D42316">
        <w:t xml:space="preserve"> </w:t>
      </w:r>
      <w:proofErr w:type="spellStart"/>
      <w:r w:rsidRPr="00D42316">
        <w:t>and</w:t>
      </w:r>
      <w:proofErr w:type="spellEnd"/>
      <w:r w:rsidRPr="00D42316">
        <w:t xml:space="preserve"> </w:t>
      </w:r>
      <w:proofErr w:type="spellStart"/>
      <w:r w:rsidRPr="00D42316">
        <w:t>their</w:t>
      </w:r>
      <w:proofErr w:type="spellEnd"/>
      <w:r w:rsidRPr="00D42316">
        <w:t xml:space="preserve"> </w:t>
      </w:r>
      <w:proofErr w:type="spellStart"/>
      <w:r w:rsidRPr="00D42316">
        <w:t>gender</w:t>
      </w:r>
      <w:proofErr w:type="spellEnd"/>
      <w:r w:rsidRPr="00D42316">
        <w:t xml:space="preserve">, </w:t>
      </w:r>
      <w:proofErr w:type="spellStart"/>
      <w:r w:rsidRPr="00D42316">
        <w:t>age</w:t>
      </w:r>
      <w:proofErr w:type="spellEnd"/>
      <w:r w:rsidRPr="00D42316">
        <w:t xml:space="preserve">, </w:t>
      </w:r>
      <w:proofErr w:type="spellStart"/>
      <w:r w:rsidRPr="00D42316">
        <w:t>perceived</w:t>
      </w:r>
      <w:proofErr w:type="spellEnd"/>
      <w:r w:rsidRPr="00D42316">
        <w:t xml:space="preserve"> </w:t>
      </w:r>
      <w:proofErr w:type="spellStart"/>
      <w:r w:rsidRPr="00D42316">
        <w:t>socioeconomic</w:t>
      </w:r>
      <w:proofErr w:type="spellEnd"/>
      <w:r w:rsidRPr="00D42316">
        <w:t xml:space="preserve"> </w:t>
      </w:r>
      <w:proofErr w:type="spellStart"/>
      <w:r w:rsidRPr="00D42316">
        <w:t>level</w:t>
      </w:r>
      <w:proofErr w:type="spellEnd"/>
      <w:r w:rsidRPr="00D42316">
        <w:t xml:space="preserve">, </w:t>
      </w:r>
      <w:proofErr w:type="spellStart"/>
      <w:r w:rsidRPr="00D42316">
        <w:t>residence</w:t>
      </w:r>
      <w:proofErr w:type="spellEnd"/>
      <w:r w:rsidRPr="00D42316">
        <w:t xml:space="preserve">, </w:t>
      </w:r>
      <w:proofErr w:type="spellStart"/>
      <w:r w:rsidRPr="00D42316">
        <w:t>geographical</w:t>
      </w:r>
      <w:proofErr w:type="spellEnd"/>
      <w:r w:rsidRPr="00D42316">
        <w:t xml:space="preserve"> </w:t>
      </w:r>
      <w:proofErr w:type="spellStart"/>
      <w:r w:rsidRPr="00D42316">
        <w:t>region</w:t>
      </w:r>
      <w:proofErr w:type="spellEnd"/>
      <w:r w:rsidRPr="00D42316">
        <w:t xml:space="preserve"> </w:t>
      </w:r>
      <w:proofErr w:type="spellStart"/>
      <w:r w:rsidRPr="00D42316">
        <w:t>where</w:t>
      </w:r>
      <w:proofErr w:type="spellEnd"/>
      <w:r w:rsidRPr="00D42316">
        <w:t xml:space="preserve"> they </w:t>
      </w:r>
      <w:proofErr w:type="spellStart"/>
      <w:r w:rsidRPr="00D42316">
        <w:t>spend</w:t>
      </w:r>
      <w:proofErr w:type="spellEnd"/>
      <w:r w:rsidRPr="00D42316">
        <w:t xml:space="preserve"> </w:t>
      </w:r>
      <w:proofErr w:type="spellStart"/>
      <w:r w:rsidRPr="00D42316">
        <w:t>most</w:t>
      </w:r>
      <w:proofErr w:type="spellEnd"/>
      <w:r w:rsidRPr="00D42316">
        <w:t xml:space="preserve"> of </w:t>
      </w:r>
      <w:proofErr w:type="spellStart"/>
      <w:r w:rsidRPr="00D42316">
        <w:t>their</w:t>
      </w:r>
      <w:proofErr w:type="spellEnd"/>
      <w:r w:rsidRPr="00D42316">
        <w:t xml:space="preserve"> </w:t>
      </w:r>
      <w:proofErr w:type="spellStart"/>
      <w:r w:rsidRPr="00D42316">
        <w:t>lives</w:t>
      </w:r>
      <w:proofErr w:type="spellEnd"/>
      <w:r w:rsidRPr="00D42316">
        <w:t xml:space="preserve">, </w:t>
      </w:r>
      <w:proofErr w:type="spellStart"/>
      <w:r w:rsidRPr="00D42316">
        <w:t>weekly</w:t>
      </w:r>
      <w:proofErr w:type="spellEnd"/>
      <w:r w:rsidRPr="00D42316">
        <w:t xml:space="preserve"> </w:t>
      </w:r>
      <w:proofErr w:type="spellStart"/>
      <w:r w:rsidRPr="00D42316">
        <w:t>screen</w:t>
      </w:r>
      <w:proofErr w:type="spellEnd"/>
      <w:r w:rsidRPr="00D42316">
        <w:t xml:space="preserve"> time, </w:t>
      </w:r>
      <w:proofErr w:type="spellStart"/>
      <w:r w:rsidRPr="00D42316">
        <w:t>participation</w:t>
      </w:r>
      <w:proofErr w:type="spellEnd"/>
      <w:r w:rsidRPr="00D42316">
        <w:t xml:space="preserve"> in </w:t>
      </w:r>
      <w:proofErr w:type="spellStart"/>
      <w:r w:rsidRPr="00D42316">
        <w:t>environmentally</w:t>
      </w:r>
      <w:proofErr w:type="spellEnd"/>
      <w:r w:rsidRPr="00D42316">
        <w:t xml:space="preserve"> </w:t>
      </w:r>
      <w:proofErr w:type="spellStart"/>
      <w:r w:rsidRPr="00D42316">
        <w:t>friendly</w:t>
      </w:r>
      <w:proofErr w:type="spellEnd"/>
      <w:r w:rsidRPr="00D42316">
        <w:t xml:space="preserve"> </w:t>
      </w:r>
      <w:proofErr w:type="spellStart"/>
      <w:r w:rsidRPr="00D42316">
        <w:t>behaviors</w:t>
      </w:r>
      <w:proofErr w:type="spellEnd"/>
      <w:r w:rsidRPr="00D42316">
        <w:t xml:space="preserve">, </w:t>
      </w:r>
      <w:proofErr w:type="spellStart"/>
      <w:r w:rsidRPr="00D42316">
        <w:t>and</w:t>
      </w:r>
      <w:proofErr w:type="spellEnd"/>
      <w:r w:rsidRPr="00D42316">
        <w:t xml:space="preserve"> </w:t>
      </w:r>
      <w:proofErr w:type="spellStart"/>
      <w:r w:rsidRPr="00D42316">
        <w:t>weekly</w:t>
      </w:r>
      <w:proofErr w:type="spellEnd"/>
      <w:r w:rsidRPr="00D42316">
        <w:t xml:space="preserve"> time </w:t>
      </w:r>
      <w:proofErr w:type="spellStart"/>
      <w:r w:rsidRPr="00D42316">
        <w:t>spent</w:t>
      </w:r>
      <w:proofErr w:type="spellEnd"/>
      <w:r w:rsidRPr="00D42316">
        <w:t xml:space="preserve"> </w:t>
      </w:r>
      <w:proofErr w:type="spellStart"/>
      <w:r w:rsidRPr="00D42316">
        <w:t>following</w:t>
      </w:r>
      <w:proofErr w:type="spellEnd"/>
      <w:r w:rsidRPr="00D42316">
        <w:t xml:space="preserve"> </w:t>
      </w:r>
      <w:proofErr w:type="spellStart"/>
      <w:r w:rsidRPr="00D42316">
        <w:t>the</w:t>
      </w:r>
      <w:proofErr w:type="spellEnd"/>
      <w:r w:rsidRPr="00D42316">
        <w:t xml:space="preserve"> </w:t>
      </w:r>
      <w:proofErr w:type="spellStart"/>
      <w:r w:rsidRPr="00D42316">
        <w:t>news</w:t>
      </w:r>
      <w:proofErr w:type="spellEnd"/>
      <w:r w:rsidRPr="00D42316">
        <w:t>?</w:t>
      </w:r>
    </w:p>
    <w:p w14:paraId="48F921C6" w14:textId="4A876B44" w:rsidR="00F84AD5" w:rsidRPr="00D42316" w:rsidRDefault="00AC051C" w:rsidP="000A70F0">
      <w:pPr>
        <w:jc w:val="both"/>
      </w:pPr>
      <w:proofErr w:type="spellStart"/>
      <w:r w:rsidRPr="00D42316">
        <w:rPr>
          <w:b/>
        </w:rPr>
        <w:t>Method</w:t>
      </w:r>
      <w:proofErr w:type="spellEnd"/>
      <w:r w:rsidRPr="00D42316">
        <w:rPr>
          <w:b/>
        </w:rPr>
        <w:t xml:space="preserve">: </w:t>
      </w:r>
      <w:proofErr w:type="spellStart"/>
      <w:r w:rsidRPr="00D42316">
        <w:t>The</w:t>
      </w:r>
      <w:proofErr w:type="spellEnd"/>
      <w:r w:rsidRPr="00D42316">
        <w:t xml:space="preserve"> </w:t>
      </w:r>
      <w:proofErr w:type="spellStart"/>
      <w:r w:rsidRPr="00D42316">
        <w:t>dependent</w:t>
      </w:r>
      <w:proofErr w:type="spellEnd"/>
      <w:r w:rsidRPr="00D42316">
        <w:t xml:space="preserve"> </w:t>
      </w:r>
      <w:proofErr w:type="spellStart"/>
      <w:r w:rsidRPr="00D42316">
        <w:t>variable</w:t>
      </w:r>
      <w:proofErr w:type="spellEnd"/>
      <w:r w:rsidRPr="00D42316">
        <w:t xml:space="preserve"> of </w:t>
      </w:r>
      <w:proofErr w:type="spellStart"/>
      <w:r w:rsidRPr="00D42316">
        <w:t>the</w:t>
      </w:r>
      <w:proofErr w:type="spellEnd"/>
      <w:r w:rsidRPr="00D42316">
        <w:t xml:space="preserve"> </w:t>
      </w:r>
      <w:proofErr w:type="spellStart"/>
      <w:r w:rsidRPr="00D42316">
        <w:t>study</w:t>
      </w:r>
      <w:proofErr w:type="spellEnd"/>
      <w:r w:rsidRPr="00D42316">
        <w:t xml:space="preserve"> is </w:t>
      </w:r>
      <w:proofErr w:type="spellStart"/>
      <w:r w:rsidRPr="00D42316">
        <w:t>the</w:t>
      </w:r>
      <w:proofErr w:type="spellEnd"/>
      <w:r w:rsidRPr="00D42316">
        <w:t xml:space="preserve"> </w:t>
      </w:r>
      <w:proofErr w:type="spellStart"/>
      <w:r w:rsidRPr="00D42316">
        <w:t>level</w:t>
      </w:r>
      <w:proofErr w:type="spellEnd"/>
      <w:r w:rsidRPr="00D42316">
        <w:t xml:space="preserve"> of </w:t>
      </w:r>
      <w:proofErr w:type="spellStart"/>
      <w:r w:rsidRPr="00D42316">
        <w:t>eco-anxiety</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independent</w:t>
      </w:r>
      <w:proofErr w:type="spellEnd"/>
      <w:r w:rsidRPr="00D42316">
        <w:t xml:space="preserve"> </w:t>
      </w:r>
      <w:proofErr w:type="spellStart"/>
      <w:r w:rsidRPr="00D42316">
        <w:t>variable</w:t>
      </w:r>
      <w:proofErr w:type="spellEnd"/>
      <w:r w:rsidRPr="00D42316">
        <w:t xml:space="preserve"> is </w:t>
      </w:r>
      <w:proofErr w:type="spellStart"/>
      <w:r w:rsidRPr="00D42316">
        <w:t>demographic</w:t>
      </w:r>
      <w:proofErr w:type="spellEnd"/>
      <w:r w:rsidRPr="00D42316">
        <w:t xml:space="preserve"> </w:t>
      </w:r>
      <w:proofErr w:type="spellStart"/>
      <w:r w:rsidRPr="00D42316">
        <w:t>variables</w:t>
      </w:r>
      <w:proofErr w:type="spellEnd"/>
      <w:r w:rsidRPr="00D42316">
        <w:t xml:space="preserve">. </w:t>
      </w:r>
      <w:proofErr w:type="spellStart"/>
      <w:r w:rsidRPr="00D42316">
        <w:t>Weekly</w:t>
      </w:r>
      <w:proofErr w:type="spellEnd"/>
      <w:r w:rsidRPr="00D42316">
        <w:t xml:space="preserve"> </w:t>
      </w:r>
      <w:proofErr w:type="spellStart"/>
      <w:r w:rsidRPr="00D42316">
        <w:t>screen</w:t>
      </w:r>
      <w:proofErr w:type="spellEnd"/>
      <w:r w:rsidRPr="00D42316">
        <w:t xml:space="preserve"> time, </w:t>
      </w:r>
      <w:proofErr w:type="spellStart"/>
      <w:r w:rsidRPr="00D42316">
        <w:t>participation</w:t>
      </w:r>
      <w:proofErr w:type="spellEnd"/>
      <w:r w:rsidRPr="00D42316">
        <w:t xml:space="preserve"> in </w:t>
      </w:r>
      <w:proofErr w:type="spellStart"/>
      <w:r w:rsidRPr="00D42316">
        <w:t>environmentally</w:t>
      </w:r>
      <w:proofErr w:type="spellEnd"/>
      <w:r w:rsidRPr="00D42316">
        <w:t xml:space="preserve"> </w:t>
      </w:r>
      <w:proofErr w:type="spellStart"/>
      <w:r w:rsidRPr="00D42316">
        <w:t>friendly</w:t>
      </w:r>
      <w:proofErr w:type="spellEnd"/>
      <w:r w:rsidRPr="00D42316">
        <w:t xml:space="preserve"> </w:t>
      </w:r>
      <w:proofErr w:type="spellStart"/>
      <w:r w:rsidRPr="00D42316">
        <w:t>behaviors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duration</w:t>
      </w:r>
      <w:proofErr w:type="spellEnd"/>
      <w:r w:rsidRPr="00D42316">
        <w:t xml:space="preserve"> of </w:t>
      </w:r>
      <w:proofErr w:type="spellStart"/>
      <w:r w:rsidRPr="00D42316">
        <w:t>following</w:t>
      </w:r>
      <w:proofErr w:type="spellEnd"/>
      <w:r w:rsidRPr="00D42316">
        <w:t xml:space="preserve"> </w:t>
      </w:r>
      <w:proofErr w:type="spellStart"/>
      <w:r w:rsidRPr="00D42316">
        <w:t>the</w:t>
      </w:r>
      <w:proofErr w:type="spellEnd"/>
      <w:r w:rsidRPr="00D42316">
        <w:t xml:space="preserve"> </w:t>
      </w:r>
      <w:proofErr w:type="spellStart"/>
      <w:r w:rsidRPr="00D42316">
        <w:t>news</w:t>
      </w:r>
      <w:proofErr w:type="spellEnd"/>
      <w:r w:rsidRPr="00D42316">
        <w:t xml:space="preserve"> </w:t>
      </w:r>
      <w:proofErr w:type="spellStart"/>
      <w:r w:rsidRPr="00D42316">
        <w:t>were</w:t>
      </w:r>
      <w:proofErr w:type="spellEnd"/>
      <w:r w:rsidRPr="00D42316">
        <w:t xml:space="preserve"> </w:t>
      </w:r>
      <w:proofErr w:type="spellStart"/>
      <w:r w:rsidRPr="00D42316">
        <w:t>considered</w:t>
      </w:r>
      <w:proofErr w:type="spellEnd"/>
      <w:r w:rsidRPr="00D42316">
        <w:t xml:space="preserve"> as </w:t>
      </w:r>
      <w:proofErr w:type="spellStart"/>
      <w:r w:rsidRPr="00D42316">
        <w:t>independent</w:t>
      </w:r>
      <w:proofErr w:type="spellEnd"/>
      <w:r w:rsidRPr="00D42316">
        <w:t xml:space="preserve"> </w:t>
      </w:r>
      <w:proofErr w:type="spellStart"/>
      <w:r w:rsidRPr="00D42316">
        <w:t>variables</w:t>
      </w:r>
      <w:proofErr w:type="spellEnd"/>
      <w:r w:rsidRPr="00D42316">
        <w:t xml:space="preserve">. </w:t>
      </w:r>
      <w:proofErr w:type="spellStart"/>
      <w:r w:rsidRPr="00D42316">
        <w:t>The</w:t>
      </w:r>
      <w:proofErr w:type="spellEnd"/>
      <w:r w:rsidRPr="00D42316">
        <w:t xml:space="preserve"> </w:t>
      </w:r>
      <w:proofErr w:type="spellStart"/>
      <w:r w:rsidRPr="00D42316">
        <w:t>sample</w:t>
      </w:r>
      <w:proofErr w:type="spellEnd"/>
      <w:r w:rsidRPr="00D42316">
        <w:t xml:space="preserve"> of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consists</w:t>
      </w:r>
      <w:proofErr w:type="spellEnd"/>
      <w:r w:rsidRPr="00D42316">
        <w:t xml:space="preserve"> of 163 </w:t>
      </w:r>
      <w:proofErr w:type="spellStart"/>
      <w:r w:rsidRPr="00D42316">
        <w:t>young</w:t>
      </w:r>
      <w:proofErr w:type="spellEnd"/>
      <w:r w:rsidRPr="00D42316">
        <w:t xml:space="preserve"> </w:t>
      </w:r>
      <w:proofErr w:type="spellStart"/>
      <w:r w:rsidRPr="00D42316">
        <w:t>adults</w:t>
      </w:r>
      <w:proofErr w:type="spellEnd"/>
      <w:r w:rsidRPr="00D42316">
        <w:t xml:space="preserve"> </w:t>
      </w:r>
      <w:proofErr w:type="spellStart"/>
      <w:r w:rsidRPr="00D42316">
        <w:t>between</w:t>
      </w:r>
      <w:proofErr w:type="spellEnd"/>
      <w:r w:rsidRPr="00D42316">
        <w:t xml:space="preserve"> </w:t>
      </w:r>
      <w:proofErr w:type="spellStart"/>
      <w:r w:rsidRPr="00D42316">
        <w:t>the</w:t>
      </w:r>
      <w:proofErr w:type="spellEnd"/>
      <w:r w:rsidRPr="00D42316">
        <w:t xml:space="preserve"> </w:t>
      </w:r>
      <w:proofErr w:type="spellStart"/>
      <w:r w:rsidRPr="00D42316">
        <w:t>ages</w:t>
      </w:r>
      <w:proofErr w:type="spellEnd"/>
      <w:r w:rsidRPr="00D42316">
        <w:t xml:space="preserve"> of 18-30 (</w:t>
      </w:r>
      <w:proofErr w:type="spellStart"/>
      <w:r w:rsidRPr="00D42316">
        <w:t>mean</w:t>
      </w:r>
      <w:proofErr w:type="spellEnd"/>
      <w:r w:rsidRPr="00D42316">
        <w:t xml:space="preserve">= 21.96; </w:t>
      </w:r>
      <w:proofErr w:type="spellStart"/>
      <w:r w:rsidRPr="00D42316">
        <w:t>sd</w:t>
      </w:r>
      <w:proofErr w:type="spellEnd"/>
      <w:r w:rsidRPr="00D42316">
        <w:t xml:space="preserve">= 3.39). </w:t>
      </w:r>
      <w:proofErr w:type="spellStart"/>
      <w:r w:rsidRPr="00D42316">
        <w:t>In</w:t>
      </w:r>
      <w:proofErr w:type="spellEnd"/>
      <w:r w:rsidRPr="00D42316">
        <w:t xml:space="preserve"> </w:t>
      </w:r>
      <w:proofErr w:type="spellStart"/>
      <w:r w:rsidRPr="00D42316">
        <w:t>order</w:t>
      </w:r>
      <w:proofErr w:type="spellEnd"/>
      <w:r w:rsidRPr="00D42316">
        <w:t xml:space="preserve"> </w:t>
      </w:r>
      <w:proofErr w:type="spellStart"/>
      <w:r w:rsidRPr="00D42316">
        <w:t>to</w:t>
      </w:r>
      <w:proofErr w:type="spellEnd"/>
      <w:r w:rsidRPr="00D42316">
        <w:t xml:space="preserve"> </w:t>
      </w:r>
      <w:proofErr w:type="spellStart"/>
      <w:r w:rsidRPr="00D42316">
        <w:t>measure</w:t>
      </w:r>
      <w:proofErr w:type="spellEnd"/>
      <w:r w:rsidRPr="00D42316">
        <w:t xml:space="preserve"> </w:t>
      </w:r>
      <w:proofErr w:type="spellStart"/>
      <w:r w:rsidRPr="00D42316">
        <w:t>eco</w:t>
      </w:r>
      <w:proofErr w:type="spellEnd"/>
      <w:r w:rsidRPr="00D42316">
        <w:t xml:space="preserve"> </w:t>
      </w:r>
      <w:proofErr w:type="spellStart"/>
      <w:r w:rsidRPr="00D42316">
        <w:t>anxiety</w:t>
      </w:r>
      <w:proofErr w:type="spellEnd"/>
      <w:r w:rsidRPr="00D42316">
        <w:t xml:space="preserve">, </w:t>
      </w:r>
      <w:proofErr w:type="spellStart"/>
      <w:r w:rsidRPr="00D42316">
        <w:t>the</w:t>
      </w:r>
      <w:proofErr w:type="spellEnd"/>
      <w:r w:rsidRPr="00D42316">
        <w:t xml:space="preserve"> </w:t>
      </w:r>
      <w:proofErr w:type="spellStart"/>
      <w:r w:rsidRPr="00D42316">
        <w:t>Eco</w:t>
      </w:r>
      <w:proofErr w:type="spellEnd"/>
      <w:r w:rsidRPr="00D42316">
        <w:t xml:space="preserve"> </w:t>
      </w:r>
      <w:proofErr w:type="spellStart"/>
      <w:r w:rsidRPr="00D42316">
        <w:t>Anxiety</w:t>
      </w:r>
      <w:proofErr w:type="spellEnd"/>
      <w:r w:rsidRPr="00D42316">
        <w:t xml:space="preserve"> </w:t>
      </w:r>
      <w:proofErr w:type="spellStart"/>
      <w:r w:rsidRPr="00D42316">
        <w:t>Scale</w:t>
      </w:r>
      <w:proofErr w:type="spellEnd"/>
      <w:r w:rsidRPr="00D42316">
        <w:t xml:space="preserve"> </w:t>
      </w:r>
      <w:proofErr w:type="spellStart"/>
      <w:r w:rsidRPr="00D42316">
        <w:t>was</w:t>
      </w:r>
      <w:proofErr w:type="spellEnd"/>
      <w:r w:rsidRPr="00D42316">
        <w:t xml:space="preserve"> </w:t>
      </w:r>
      <w:proofErr w:type="spellStart"/>
      <w:r w:rsidRPr="00D42316">
        <w:t>used</w:t>
      </w:r>
      <w:proofErr w:type="spellEnd"/>
      <w:r w:rsidRPr="00D42316">
        <w:t xml:space="preserve"> </w:t>
      </w:r>
      <w:proofErr w:type="spellStart"/>
      <w:r w:rsidRPr="00D42316">
        <w:t>to</w:t>
      </w:r>
      <w:proofErr w:type="spellEnd"/>
      <w:r w:rsidRPr="00D42316">
        <w:t xml:space="preserve"> </w:t>
      </w:r>
      <w:proofErr w:type="spellStart"/>
      <w:r w:rsidRPr="00D42316">
        <w:t>collect</w:t>
      </w:r>
      <w:proofErr w:type="spellEnd"/>
      <w:r w:rsidRPr="00D42316">
        <w:t xml:space="preserve"> </w:t>
      </w:r>
      <w:proofErr w:type="spellStart"/>
      <w:r w:rsidRPr="00D42316">
        <w:t>the</w:t>
      </w:r>
      <w:proofErr w:type="spellEnd"/>
      <w:r w:rsidRPr="00D42316">
        <w:t xml:space="preserve"> </w:t>
      </w:r>
      <w:proofErr w:type="gramStart"/>
      <w:r w:rsidRPr="00D42316">
        <w:t>data</w:t>
      </w:r>
      <w:proofErr w:type="gramEnd"/>
      <w:r w:rsidRPr="00D42316">
        <w:t xml:space="preserve"> of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Personal</w:t>
      </w:r>
      <w:proofErr w:type="spellEnd"/>
      <w:r w:rsidRPr="00D42316">
        <w:t xml:space="preserve"> Information Form </w:t>
      </w:r>
      <w:proofErr w:type="spellStart"/>
      <w:r w:rsidRPr="00D42316">
        <w:t>prepared</w:t>
      </w:r>
      <w:proofErr w:type="spellEnd"/>
      <w:r w:rsidRPr="00D42316">
        <w:t xml:space="preserve"> </w:t>
      </w:r>
      <w:proofErr w:type="spellStart"/>
      <w:r w:rsidRPr="00D42316">
        <w:t>by</w:t>
      </w:r>
      <w:proofErr w:type="spellEnd"/>
      <w:r w:rsidRPr="00D42316">
        <w:t xml:space="preserve"> </w:t>
      </w:r>
      <w:proofErr w:type="spellStart"/>
      <w:r w:rsidRPr="00D42316">
        <w:t>the</w:t>
      </w:r>
      <w:proofErr w:type="spellEnd"/>
      <w:r w:rsidRPr="00D42316">
        <w:t xml:space="preserve"> </w:t>
      </w:r>
      <w:proofErr w:type="spellStart"/>
      <w:r w:rsidRPr="00D42316">
        <w:t>researcher</w:t>
      </w:r>
      <w:proofErr w:type="spellEnd"/>
      <w:r w:rsidRPr="00D42316">
        <w:t xml:space="preserve"> </w:t>
      </w:r>
      <w:proofErr w:type="spellStart"/>
      <w:r w:rsidRPr="00D42316">
        <w:t>was</w:t>
      </w:r>
      <w:proofErr w:type="spellEnd"/>
      <w:r w:rsidRPr="00D42316">
        <w:t xml:space="preserve"> </w:t>
      </w:r>
      <w:proofErr w:type="spellStart"/>
      <w:r w:rsidRPr="00D42316">
        <w:t>used</w:t>
      </w:r>
      <w:proofErr w:type="spellEnd"/>
      <w:r w:rsidRPr="00D42316">
        <w:t xml:space="preserve"> </w:t>
      </w:r>
      <w:proofErr w:type="spellStart"/>
      <w:r w:rsidRPr="00D42316">
        <w:t>to</w:t>
      </w:r>
      <w:proofErr w:type="spellEnd"/>
      <w:r w:rsidRPr="00D42316">
        <w:t xml:space="preserve"> </w:t>
      </w:r>
      <w:proofErr w:type="spellStart"/>
      <w:r w:rsidRPr="00D42316">
        <w:t>obtain</w:t>
      </w:r>
      <w:proofErr w:type="spellEnd"/>
      <w:r w:rsidRPr="00D42316">
        <w:t xml:space="preserve"> </w:t>
      </w:r>
      <w:proofErr w:type="spellStart"/>
      <w:r w:rsidRPr="00D42316">
        <w:t>demographic</w:t>
      </w:r>
      <w:proofErr w:type="spellEnd"/>
      <w:r w:rsidRPr="00D42316">
        <w:t xml:space="preserve"> </w:t>
      </w:r>
      <w:proofErr w:type="spellStart"/>
      <w:r w:rsidRPr="00D42316">
        <w:t>information</w:t>
      </w:r>
      <w:proofErr w:type="spellEnd"/>
      <w:r w:rsidRPr="00D42316">
        <w:t xml:space="preserve"> of </w:t>
      </w:r>
      <w:proofErr w:type="spellStart"/>
      <w:r w:rsidRPr="00D42316">
        <w:t>the</w:t>
      </w:r>
      <w:proofErr w:type="spellEnd"/>
      <w:r w:rsidRPr="00D42316">
        <w:t xml:space="preserve"> </w:t>
      </w:r>
      <w:proofErr w:type="spellStart"/>
      <w:r w:rsidRPr="00D42316">
        <w:t>participants</w:t>
      </w:r>
      <w:proofErr w:type="spellEnd"/>
      <w:r w:rsidRPr="00D42316">
        <w:t xml:space="preserve">. </w:t>
      </w:r>
      <w:proofErr w:type="spellStart"/>
      <w:r w:rsidRPr="00D42316">
        <w:t>The</w:t>
      </w:r>
      <w:proofErr w:type="spellEnd"/>
      <w:r w:rsidRPr="00D42316">
        <w:t xml:space="preserve"> </w:t>
      </w:r>
      <w:proofErr w:type="spellStart"/>
      <w:r w:rsidRPr="00D42316">
        <w:t>personal</w:t>
      </w:r>
      <w:proofErr w:type="spellEnd"/>
      <w:r w:rsidRPr="00D42316">
        <w:t xml:space="preserve"> </w:t>
      </w:r>
      <w:proofErr w:type="spellStart"/>
      <w:r w:rsidRPr="00D42316">
        <w:t>information</w:t>
      </w:r>
      <w:proofErr w:type="spellEnd"/>
      <w:r w:rsidRPr="00D42316">
        <w:t xml:space="preserve"> form </w:t>
      </w:r>
      <w:proofErr w:type="spellStart"/>
      <w:r w:rsidRPr="00D42316">
        <w:t>asked</w:t>
      </w:r>
      <w:proofErr w:type="spellEnd"/>
      <w:r w:rsidRPr="00D42316">
        <w:t xml:space="preserve"> </w:t>
      </w:r>
      <w:proofErr w:type="spellStart"/>
      <w:r w:rsidRPr="00D42316">
        <w:t>about</w:t>
      </w:r>
      <w:proofErr w:type="spellEnd"/>
      <w:r w:rsidRPr="00D42316">
        <w:t xml:space="preserve"> </w:t>
      </w:r>
      <w:proofErr w:type="spellStart"/>
      <w:r w:rsidRPr="00D42316">
        <w:t>the</w:t>
      </w:r>
      <w:proofErr w:type="spellEnd"/>
      <w:r w:rsidRPr="00D42316">
        <w:t xml:space="preserve"> </w:t>
      </w:r>
      <w:proofErr w:type="spellStart"/>
      <w:r w:rsidRPr="00D42316">
        <w:t>individuals</w:t>
      </w:r>
      <w:proofErr w:type="spellEnd"/>
      <w:r w:rsidRPr="00D42316">
        <w:t xml:space="preserve">' </w:t>
      </w:r>
      <w:proofErr w:type="spellStart"/>
      <w:r w:rsidRPr="00D42316">
        <w:t>gender</w:t>
      </w:r>
      <w:proofErr w:type="spellEnd"/>
      <w:r w:rsidRPr="00D42316">
        <w:t xml:space="preserve">, </w:t>
      </w:r>
      <w:proofErr w:type="spellStart"/>
      <w:r w:rsidRPr="00D42316">
        <w:t>age</w:t>
      </w:r>
      <w:proofErr w:type="spellEnd"/>
      <w:r w:rsidRPr="00D42316">
        <w:t xml:space="preserve">, </w:t>
      </w:r>
      <w:proofErr w:type="spellStart"/>
      <w:r w:rsidRPr="00D42316">
        <w:t>perceived</w:t>
      </w:r>
      <w:proofErr w:type="spellEnd"/>
      <w:r w:rsidRPr="00D42316">
        <w:t xml:space="preserve"> </w:t>
      </w:r>
      <w:proofErr w:type="spellStart"/>
      <w:r w:rsidRPr="00D42316">
        <w:t>socioeconomic</w:t>
      </w:r>
      <w:proofErr w:type="spellEnd"/>
      <w:r w:rsidRPr="00D42316">
        <w:t xml:space="preserve"> </w:t>
      </w:r>
      <w:proofErr w:type="spellStart"/>
      <w:r w:rsidRPr="00D42316">
        <w:t>level</w:t>
      </w:r>
      <w:proofErr w:type="spellEnd"/>
      <w:r w:rsidRPr="00D42316">
        <w:t xml:space="preserve">, </w:t>
      </w:r>
      <w:proofErr w:type="spellStart"/>
      <w:r w:rsidRPr="00D42316">
        <w:t>residence</w:t>
      </w:r>
      <w:proofErr w:type="spellEnd"/>
      <w:r w:rsidRPr="00D42316">
        <w:t xml:space="preserve">, </w:t>
      </w:r>
      <w:proofErr w:type="spellStart"/>
      <w:r w:rsidRPr="00D42316">
        <w:t>geographical</w:t>
      </w:r>
      <w:proofErr w:type="spellEnd"/>
      <w:r w:rsidRPr="00D42316">
        <w:t xml:space="preserve"> </w:t>
      </w:r>
      <w:proofErr w:type="spellStart"/>
      <w:r w:rsidRPr="00D42316">
        <w:t>region</w:t>
      </w:r>
      <w:proofErr w:type="spellEnd"/>
      <w:r w:rsidRPr="00D42316">
        <w:t xml:space="preserve"> </w:t>
      </w:r>
      <w:proofErr w:type="spellStart"/>
      <w:r w:rsidRPr="00D42316">
        <w:t>where</w:t>
      </w:r>
      <w:proofErr w:type="spellEnd"/>
      <w:r w:rsidRPr="00D42316">
        <w:t xml:space="preserve"> they </w:t>
      </w:r>
      <w:proofErr w:type="spellStart"/>
      <w:r w:rsidRPr="00D42316">
        <w:t>spend</w:t>
      </w:r>
      <w:proofErr w:type="spellEnd"/>
      <w:r w:rsidRPr="00D42316">
        <w:t xml:space="preserve"> </w:t>
      </w:r>
      <w:proofErr w:type="spellStart"/>
      <w:r w:rsidRPr="00D42316">
        <w:t>most</w:t>
      </w:r>
      <w:proofErr w:type="spellEnd"/>
      <w:r w:rsidRPr="00D42316">
        <w:t xml:space="preserve"> of </w:t>
      </w:r>
      <w:proofErr w:type="spellStart"/>
      <w:r w:rsidRPr="00D42316">
        <w:t>their</w:t>
      </w:r>
      <w:proofErr w:type="spellEnd"/>
      <w:r w:rsidRPr="00D42316">
        <w:t xml:space="preserve"> </w:t>
      </w:r>
      <w:proofErr w:type="spellStart"/>
      <w:r w:rsidRPr="00D42316">
        <w:t>lives</w:t>
      </w:r>
      <w:proofErr w:type="spellEnd"/>
      <w:r w:rsidRPr="00D42316">
        <w:t xml:space="preserve">, </w:t>
      </w:r>
      <w:proofErr w:type="spellStart"/>
      <w:r w:rsidRPr="00D42316">
        <w:t>weekly</w:t>
      </w:r>
      <w:proofErr w:type="spellEnd"/>
      <w:r w:rsidRPr="00D42316">
        <w:t xml:space="preserve"> </w:t>
      </w:r>
      <w:proofErr w:type="spellStart"/>
      <w:r w:rsidRPr="00D42316">
        <w:t>screen</w:t>
      </w:r>
      <w:proofErr w:type="spellEnd"/>
      <w:r w:rsidRPr="00D42316">
        <w:t xml:space="preserve"> time, </w:t>
      </w:r>
      <w:proofErr w:type="spellStart"/>
      <w:r w:rsidRPr="00D42316">
        <w:t>their</w:t>
      </w:r>
      <w:proofErr w:type="spellEnd"/>
      <w:r w:rsidRPr="00D42316">
        <w:t xml:space="preserve"> </w:t>
      </w:r>
      <w:proofErr w:type="spellStart"/>
      <w:r w:rsidRPr="00D42316">
        <w:t>participation</w:t>
      </w:r>
      <w:proofErr w:type="spellEnd"/>
      <w:r w:rsidRPr="00D42316">
        <w:t xml:space="preserve"> in </w:t>
      </w:r>
      <w:proofErr w:type="spellStart"/>
      <w:r w:rsidRPr="00D42316">
        <w:t>environmentally</w:t>
      </w:r>
      <w:proofErr w:type="spellEnd"/>
      <w:r w:rsidRPr="00D42316">
        <w:t xml:space="preserve"> </w:t>
      </w:r>
      <w:proofErr w:type="spellStart"/>
      <w:r w:rsidRPr="00D42316">
        <w:t>friendly</w:t>
      </w:r>
      <w:proofErr w:type="spellEnd"/>
      <w:r w:rsidRPr="00D42316">
        <w:t xml:space="preserve"> </w:t>
      </w:r>
      <w:proofErr w:type="spellStart"/>
      <w:r w:rsidRPr="00D42316">
        <w:t>behaviors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weekly</w:t>
      </w:r>
      <w:proofErr w:type="spellEnd"/>
      <w:r w:rsidRPr="00D42316">
        <w:t xml:space="preserve"> time they </w:t>
      </w:r>
      <w:proofErr w:type="spellStart"/>
      <w:r w:rsidRPr="00D42316">
        <w:t>spend</w:t>
      </w:r>
      <w:proofErr w:type="spellEnd"/>
      <w:r w:rsidRPr="00D42316">
        <w:t xml:space="preserve"> </w:t>
      </w:r>
      <w:proofErr w:type="spellStart"/>
      <w:r w:rsidRPr="00D42316">
        <w:t>following</w:t>
      </w:r>
      <w:proofErr w:type="spellEnd"/>
      <w:r w:rsidRPr="00D42316">
        <w:t xml:space="preserve"> </w:t>
      </w:r>
      <w:proofErr w:type="spellStart"/>
      <w:r w:rsidRPr="00D42316">
        <w:t>the</w:t>
      </w:r>
      <w:proofErr w:type="spellEnd"/>
      <w:r w:rsidRPr="00D42316">
        <w:t xml:space="preserve"> </w:t>
      </w:r>
      <w:proofErr w:type="spellStart"/>
      <w:r w:rsidRPr="00D42316">
        <w:t>news</w:t>
      </w:r>
      <w:proofErr w:type="spellEnd"/>
      <w:r w:rsidRPr="00D42316">
        <w:t xml:space="preserve">. SPSS 28.0 </w:t>
      </w:r>
      <w:proofErr w:type="spellStart"/>
      <w:r w:rsidRPr="00D42316">
        <w:t>package</w:t>
      </w:r>
      <w:proofErr w:type="spellEnd"/>
      <w:r w:rsidRPr="00D42316">
        <w:t xml:space="preserve"> program </w:t>
      </w:r>
      <w:proofErr w:type="spellStart"/>
      <w:r w:rsidRPr="00D42316">
        <w:t>was</w:t>
      </w:r>
      <w:proofErr w:type="spellEnd"/>
      <w:r w:rsidRPr="00D42316">
        <w:t xml:space="preserve"> </w:t>
      </w:r>
      <w:proofErr w:type="spellStart"/>
      <w:r w:rsidRPr="00D42316">
        <w:t>used</w:t>
      </w:r>
      <w:proofErr w:type="spellEnd"/>
      <w:r w:rsidRPr="00D42316">
        <w:t xml:space="preserve"> </w:t>
      </w:r>
      <w:proofErr w:type="spellStart"/>
      <w:r w:rsidRPr="00D42316">
        <w:t>for</w:t>
      </w:r>
      <w:proofErr w:type="spellEnd"/>
      <w:r w:rsidRPr="00D42316">
        <w:t xml:space="preserve"> </w:t>
      </w:r>
      <w:proofErr w:type="gramStart"/>
      <w:r w:rsidRPr="00D42316">
        <w:t>data</w:t>
      </w:r>
      <w:proofErr w:type="gramEnd"/>
      <w:r w:rsidRPr="00D42316">
        <w:t xml:space="preserve"> </w:t>
      </w:r>
      <w:proofErr w:type="spellStart"/>
      <w:r w:rsidRPr="00D42316">
        <w:t>analysis</w:t>
      </w:r>
      <w:proofErr w:type="spellEnd"/>
      <w:r w:rsidRPr="00D42316">
        <w:t xml:space="preserve">. </w:t>
      </w:r>
      <w:proofErr w:type="spellStart"/>
      <w:r w:rsidRPr="00D42316">
        <w:t>Independent</w:t>
      </w:r>
      <w:proofErr w:type="spellEnd"/>
      <w:r w:rsidRPr="00D42316">
        <w:t xml:space="preserve"> </w:t>
      </w:r>
      <w:proofErr w:type="spellStart"/>
      <w:r w:rsidRPr="00D42316">
        <w:t>samples</w:t>
      </w:r>
      <w:proofErr w:type="spellEnd"/>
      <w:r w:rsidRPr="00D42316">
        <w:t xml:space="preserve"> t-test </w:t>
      </w:r>
      <w:proofErr w:type="spellStart"/>
      <w:r w:rsidRPr="00D42316">
        <w:t>and</w:t>
      </w:r>
      <w:proofErr w:type="spellEnd"/>
      <w:r w:rsidRPr="00D42316">
        <w:t xml:space="preserve"> </w:t>
      </w:r>
      <w:proofErr w:type="spellStart"/>
      <w:r w:rsidRPr="00D42316">
        <w:t>one-way</w:t>
      </w:r>
      <w:proofErr w:type="spellEnd"/>
      <w:r w:rsidRPr="00D42316">
        <w:t xml:space="preserve"> </w:t>
      </w:r>
      <w:proofErr w:type="spellStart"/>
      <w:r w:rsidRPr="00D42316">
        <w:t>analysis</w:t>
      </w:r>
      <w:proofErr w:type="spellEnd"/>
      <w:r w:rsidRPr="00D42316">
        <w:t xml:space="preserve"> of </w:t>
      </w:r>
      <w:proofErr w:type="spellStart"/>
      <w:r w:rsidRPr="00D42316">
        <w:t>variance</w:t>
      </w:r>
      <w:proofErr w:type="spellEnd"/>
      <w:r w:rsidRPr="00D42316">
        <w:t xml:space="preserve"> (ANOVA) </w:t>
      </w:r>
      <w:proofErr w:type="spellStart"/>
      <w:r w:rsidRPr="00D42316">
        <w:t>tests</w:t>
      </w:r>
      <w:proofErr w:type="spellEnd"/>
      <w:r w:rsidRPr="00D42316">
        <w:t xml:space="preserve"> </w:t>
      </w:r>
      <w:proofErr w:type="spellStart"/>
      <w:r w:rsidRPr="00D42316">
        <w:t>were</w:t>
      </w:r>
      <w:proofErr w:type="spellEnd"/>
      <w:r w:rsidRPr="00D42316">
        <w:t xml:space="preserve"> </w:t>
      </w:r>
      <w:proofErr w:type="spellStart"/>
      <w:r w:rsidRPr="00D42316">
        <w:t>used</w:t>
      </w:r>
      <w:proofErr w:type="spellEnd"/>
      <w:r w:rsidRPr="00D42316">
        <w:t xml:space="preserve"> </w:t>
      </w:r>
      <w:proofErr w:type="spellStart"/>
      <w:r w:rsidRPr="00D42316">
        <w:t>to</w:t>
      </w:r>
      <w:proofErr w:type="spellEnd"/>
      <w:r w:rsidRPr="00D42316">
        <w:t xml:space="preserve"> </w:t>
      </w:r>
      <w:proofErr w:type="spellStart"/>
      <w:r w:rsidRPr="00D42316">
        <w:t>examine</w:t>
      </w:r>
      <w:proofErr w:type="spellEnd"/>
      <w:r w:rsidRPr="00D42316">
        <w:t xml:space="preserve"> </w:t>
      </w:r>
      <w:proofErr w:type="spellStart"/>
      <w:r w:rsidRPr="00D42316">
        <w:t>the</w:t>
      </w:r>
      <w:proofErr w:type="spellEnd"/>
      <w:r w:rsidRPr="00D42316">
        <w:t xml:space="preserve"> </w:t>
      </w:r>
      <w:proofErr w:type="spellStart"/>
      <w:r w:rsidRPr="00D42316">
        <w:t>relationships</w:t>
      </w:r>
      <w:proofErr w:type="spellEnd"/>
      <w:r w:rsidRPr="00D42316">
        <w:t xml:space="preserve"> </w:t>
      </w:r>
      <w:proofErr w:type="spellStart"/>
      <w:r w:rsidRPr="00D42316">
        <w:t>between</w:t>
      </w:r>
      <w:proofErr w:type="spellEnd"/>
      <w:r w:rsidRPr="00D42316">
        <w:t xml:space="preserve"> </w:t>
      </w:r>
      <w:proofErr w:type="spellStart"/>
      <w:r w:rsidRPr="00D42316">
        <w:t>variables</w:t>
      </w:r>
      <w:proofErr w:type="spellEnd"/>
      <w:r w:rsidRPr="00D42316">
        <w:t xml:space="preserve"> in </w:t>
      </w:r>
      <w:proofErr w:type="spellStart"/>
      <w:r w:rsidRPr="00D42316">
        <w:t>the</w:t>
      </w:r>
      <w:proofErr w:type="spellEnd"/>
      <w:r w:rsidRPr="00D42316">
        <w:t xml:space="preserve"> </w:t>
      </w:r>
      <w:proofErr w:type="spellStart"/>
      <w:r w:rsidRPr="00D42316">
        <w:t>study</w:t>
      </w:r>
      <w:proofErr w:type="spellEnd"/>
      <w:r w:rsidRPr="00D42316">
        <w:t>.</w:t>
      </w:r>
    </w:p>
    <w:p w14:paraId="189192A8" w14:textId="482AFF1F" w:rsidR="00F84AD5" w:rsidRPr="00D42316" w:rsidRDefault="00AC051C" w:rsidP="000A70F0">
      <w:pPr>
        <w:jc w:val="both"/>
        <w:rPr>
          <w:b/>
        </w:rPr>
      </w:pPr>
      <w:proofErr w:type="spellStart"/>
      <w:r w:rsidRPr="00D42316">
        <w:rPr>
          <w:b/>
        </w:rPr>
        <w:t>Findings</w:t>
      </w:r>
      <w:proofErr w:type="spellEnd"/>
      <w:r w:rsidRPr="00D42316">
        <w:rPr>
          <w:b/>
        </w:rPr>
        <w:t xml:space="preserve">: </w:t>
      </w:r>
      <w:proofErr w:type="spellStart"/>
      <w:r w:rsidRPr="00D42316">
        <w:t>It</w:t>
      </w:r>
      <w:proofErr w:type="spellEnd"/>
      <w:r w:rsidRPr="00D42316">
        <w:t xml:space="preserve"> </w:t>
      </w:r>
      <w:proofErr w:type="spellStart"/>
      <w:r w:rsidRPr="00D42316">
        <w:t>was</w:t>
      </w:r>
      <w:proofErr w:type="spellEnd"/>
      <w:r w:rsidRPr="00D42316">
        <w:t xml:space="preserve"> </w:t>
      </w:r>
      <w:proofErr w:type="spellStart"/>
      <w:r w:rsidRPr="00D42316">
        <w:t>concluded</w:t>
      </w:r>
      <w:proofErr w:type="spellEnd"/>
      <w:r w:rsidRPr="00D42316">
        <w:t xml:space="preserve"> </w:t>
      </w:r>
      <w:proofErr w:type="spellStart"/>
      <w:r w:rsidRPr="00D42316">
        <w:t>that</w:t>
      </w:r>
      <w:proofErr w:type="spellEnd"/>
      <w:r w:rsidRPr="00D42316">
        <w:t xml:space="preserve"> </w:t>
      </w:r>
      <w:proofErr w:type="spellStart"/>
      <w:r w:rsidRPr="00D42316">
        <w:t>the</w:t>
      </w:r>
      <w:proofErr w:type="spellEnd"/>
      <w:r w:rsidRPr="00D42316">
        <w:t xml:space="preserve"> </w:t>
      </w:r>
      <w:proofErr w:type="spellStart"/>
      <w:r w:rsidRPr="00D42316">
        <w:t>eco-anxiety</w:t>
      </w:r>
      <w:proofErr w:type="spellEnd"/>
      <w:r w:rsidRPr="00D42316">
        <w:t xml:space="preserve"> </w:t>
      </w:r>
      <w:proofErr w:type="spellStart"/>
      <w:r w:rsidRPr="00D42316">
        <w:t>levels</w:t>
      </w:r>
      <w:proofErr w:type="spellEnd"/>
      <w:r w:rsidRPr="00D42316">
        <w:t xml:space="preserve"> of </w:t>
      </w:r>
      <w:proofErr w:type="spellStart"/>
      <w:r w:rsidRPr="00D42316">
        <w:t>young</w:t>
      </w:r>
      <w:proofErr w:type="spellEnd"/>
      <w:r w:rsidRPr="00D42316">
        <w:t xml:space="preserve"> </w:t>
      </w:r>
      <w:proofErr w:type="spellStart"/>
      <w:r w:rsidRPr="00D42316">
        <w:t>adults</w:t>
      </w:r>
      <w:proofErr w:type="spellEnd"/>
      <w:r w:rsidRPr="00D42316">
        <w:t xml:space="preserve"> </w:t>
      </w:r>
      <w:proofErr w:type="spellStart"/>
      <w:r w:rsidRPr="00D42316">
        <w:t>showed</w:t>
      </w:r>
      <w:proofErr w:type="spellEnd"/>
      <w:r w:rsidRPr="00D42316">
        <w:t xml:space="preserve">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variables</w:t>
      </w:r>
      <w:proofErr w:type="spellEnd"/>
      <w:r w:rsidRPr="00D42316">
        <w:t xml:space="preserve"> of </w:t>
      </w:r>
      <w:proofErr w:type="spellStart"/>
      <w:r w:rsidRPr="00D42316">
        <w:t>gender</w:t>
      </w:r>
      <w:proofErr w:type="spellEnd"/>
      <w:r w:rsidRPr="00D42316">
        <w:t xml:space="preserve">, </w:t>
      </w:r>
      <w:proofErr w:type="spellStart"/>
      <w:r w:rsidRPr="00D42316">
        <w:t>age</w:t>
      </w:r>
      <w:proofErr w:type="spellEnd"/>
      <w:r w:rsidRPr="00D42316">
        <w:t xml:space="preserve">, </w:t>
      </w:r>
      <w:proofErr w:type="spellStart"/>
      <w:r w:rsidRPr="00D42316">
        <w:t>frequency</w:t>
      </w:r>
      <w:proofErr w:type="spellEnd"/>
      <w:r w:rsidRPr="00D42316">
        <w:t xml:space="preserve"> of </w:t>
      </w:r>
      <w:proofErr w:type="spellStart"/>
      <w:r w:rsidRPr="00D42316">
        <w:t>following</w:t>
      </w:r>
      <w:proofErr w:type="spellEnd"/>
      <w:r w:rsidRPr="00D42316">
        <w:t xml:space="preserve"> </w:t>
      </w:r>
      <w:proofErr w:type="spellStart"/>
      <w:r w:rsidRPr="00D42316">
        <w:t>environmental</w:t>
      </w:r>
      <w:proofErr w:type="spellEnd"/>
      <w:r w:rsidRPr="00D42316">
        <w:t xml:space="preserve"> </w:t>
      </w:r>
      <w:proofErr w:type="spellStart"/>
      <w:r w:rsidRPr="00D42316">
        <w:t>pages</w:t>
      </w:r>
      <w:proofErr w:type="spellEnd"/>
      <w:r w:rsidRPr="00D42316">
        <w:t xml:space="preserve">, </w:t>
      </w:r>
      <w:proofErr w:type="spellStart"/>
      <w:r w:rsidRPr="00D42316">
        <w:t>weekly</w:t>
      </w:r>
      <w:proofErr w:type="spellEnd"/>
      <w:r w:rsidRPr="00D42316">
        <w:t xml:space="preserve"> </w:t>
      </w:r>
      <w:proofErr w:type="spellStart"/>
      <w:r w:rsidRPr="00D42316">
        <w:t>screen</w:t>
      </w:r>
      <w:proofErr w:type="spellEnd"/>
      <w:r w:rsidRPr="00D42316">
        <w:t xml:space="preserve"> time, </w:t>
      </w:r>
      <w:proofErr w:type="spellStart"/>
      <w:r w:rsidRPr="00D42316">
        <w:t>duration</w:t>
      </w:r>
      <w:proofErr w:type="spellEnd"/>
      <w:r w:rsidRPr="00D42316">
        <w:t xml:space="preserve"> of </w:t>
      </w:r>
      <w:proofErr w:type="spellStart"/>
      <w:r w:rsidRPr="00D42316">
        <w:t>following</w:t>
      </w:r>
      <w:proofErr w:type="spellEnd"/>
      <w:r w:rsidRPr="00D42316">
        <w:t xml:space="preserve"> </w:t>
      </w:r>
      <w:proofErr w:type="spellStart"/>
      <w:r w:rsidRPr="00D42316">
        <w:t>weekly</w:t>
      </w:r>
      <w:proofErr w:type="spellEnd"/>
      <w:r w:rsidRPr="00D42316">
        <w:t xml:space="preserve"> </w:t>
      </w:r>
      <w:proofErr w:type="spellStart"/>
      <w:r w:rsidRPr="00D42316">
        <w:t>news</w:t>
      </w:r>
      <w:proofErr w:type="spellEnd"/>
      <w:r w:rsidRPr="00D42316">
        <w:t xml:space="preserve">, </w:t>
      </w:r>
      <w:proofErr w:type="spellStart"/>
      <w:r w:rsidRPr="00D42316">
        <w:t>participation</w:t>
      </w:r>
      <w:proofErr w:type="spellEnd"/>
      <w:r w:rsidRPr="00D42316">
        <w:t xml:space="preserve"> in </w:t>
      </w:r>
      <w:proofErr w:type="spellStart"/>
      <w:r w:rsidRPr="00D42316">
        <w:t>environmentally</w:t>
      </w:r>
      <w:proofErr w:type="spellEnd"/>
      <w:r w:rsidRPr="00D42316">
        <w:t xml:space="preserve"> </w:t>
      </w:r>
      <w:proofErr w:type="spellStart"/>
      <w:r w:rsidRPr="00D42316">
        <w:t>friendly</w:t>
      </w:r>
      <w:proofErr w:type="spellEnd"/>
      <w:r w:rsidRPr="00D42316">
        <w:t xml:space="preserve"> </w:t>
      </w:r>
      <w:proofErr w:type="spellStart"/>
      <w:r w:rsidRPr="00D42316">
        <w:t>behaviors</w:t>
      </w:r>
      <w:proofErr w:type="spellEnd"/>
      <w:r w:rsidRPr="00D42316">
        <w:t xml:space="preserve">; but </w:t>
      </w:r>
      <w:proofErr w:type="spellStart"/>
      <w:r w:rsidRPr="00D42316">
        <w:t>did</w:t>
      </w:r>
      <w:proofErr w:type="spellEnd"/>
      <w:r w:rsidRPr="00D42316">
        <w:t xml:space="preserve"> not </w:t>
      </w:r>
      <w:proofErr w:type="spellStart"/>
      <w:r w:rsidRPr="00D42316">
        <w:t>show</w:t>
      </w:r>
      <w:proofErr w:type="spellEnd"/>
      <w:r w:rsidRPr="00D42316">
        <w:t xml:space="preserve"> a </w:t>
      </w:r>
      <w:proofErr w:type="spellStart"/>
      <w:r w:rsidRPr="00D42316">
        <w:t>significant</w:t>
      </w:r>
      <w:proofErr w:type="spellEnd"/>
      <w:r w:rsidRPr="00D42316">
        <w:t xml:space="preserve"> </w:t>
      </w:r>
      <w:proofErr w:type="spellStart"/>
      <w:r w:rsidRPr="00D42316">
        <w:t>difference</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perceived</w:t>
      </w:r>
      <w:proofErr w:type="spellEnd"/>
      <w:r w:rsidRPr="00D42316">
        <w:t xml:space="preserve"> </w:t>
      </w:r>
      <w:proofErr w:type="spellStart"/>
      <w:r w:rsidRPr="00D42316">
        <w:t>socioeconomic</w:t>
      </w:r>
      <w:proofErr w:type="spellEnd"/>
      <w:r w:rsidRPr="00D42316">
        <w:t xml:space="preserve"> </w:t>
      </w:r>
      <w:proofErr w:type="spellStart"/>
      <w:r w:rsidRPr="00D42316">
        <w:t>level</w:t>
      </w:r>
      <w:proofErr w:type="spellEnd"/>
      <w:r w:rsidRPr="00D42316">
        <w:t xml:space="preserve">, </w:t>
      </w:r>
      <w:proofErr w:type="spellStart"/>
      <w:r w:rsidRPr="00D42316">
        <w:t>geographical</w:t>
      </w:r>
      <w:proofErr w:type="spellEnd"/>
      <w:r w:rsidRPr="00D42316">
        <w:t xml:space="preserve"> </w:t>
      </w:r>
      <w:proofErr w:type="spellStart"/>
      <w:r w:rsidRPr="00D42316">
        <w:t>region</w:t>
      </w:r>
      <w:proofErr w:type="spellEnd"/>
      <w:r w:rsidRPr="00D42316">
        <w:t xml:space="preserve"> </w:t>
      </w:r>
      <w:proofErr w:type="spellStart"/>
      <w:r w:rsidRPr="00D42316">
        <w:t>where</w:t>
      </w:r>
      <w:proofErr w:type="spellEnd"/>
      <w:r w:rsidRPr="00D42316">
        <w:t xml:space="preserve"> </w:t>
      </w:r>
      <w:proofErr w:type="spellStart"/>
      <w:r w:rsidRPr="00D42316">
        <w:t>most</w:t>
      </w:r>
      <w:proofErr w:type="spellEnd"/>
      <w:r w:rsidRPr="00D42316">
        <w:t xml:space="preserve"> of life is </w:t>
      </w:r>
      <w:proofErr w:type="spellStart"/>
      <w:r w:rsidRPr="00D42316">
        <w:t>spent</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residential</w:t>
      </w:r>
      <w:proofErr w:type="spellEnd"/>
      <w:r w:rsidRPr="00D42316">
        <w:t xml:space="preserve"> </w:t>
      </w:r>
      <w:proofErr w:type="spellStart"/>
      <w:r w:rsidRPr="00D42316">
        <w:t>area</w:t>
      </w:r>
      <w:proofErr w:type="spellEnd"/>
      <w:r w:rsidRPr="00D42316">
        <w:t xml:space="preserve"> </w:t>
      </w:r>
      <w:proofErr w:type="spellStart"/>
      <w:r w:rsidRPr="00D42316">
        <w:t>where</w:t>
      </w:r>
      <w:proofErr w:type="spellEnd"/>
      <w:r w:rsidRPr="00D42316">
        <w:t xml:space="preserve"> </w:t>
      </w:r>
      <w:proofErr w:type="spellStart"/>
      <w:r w:rsidRPr="00D42316">
        <w:t>one</w:t>
      </w:r>
      <w:proofErr w:type="spellEnd"/>
      <w:r w:rsidRPr="00D42316">
        <w:t xml:space="preserve"> </w:t>
      </w:r>
      <w:proofErr w:type="spellStart"/>
      <w:r w:rsidRPr="00D42316">
        <w:t>lives</w:t>
      </w:r>
      <w:proofErr w:type="spellEnd"/>
      <w:r w:rsidRPr="00D42316">
        <w:t>.</w:t>
      </w:r>
    </w:p>
    <w:p w14:paraId="23B3F5D3" w14:textId="77777777" w:rsidR="00F84AD5" w:rsidRDefault="00AC051C" w:rsidP="000A70F0">
      <w:pPr>
        <w:jc w:val="both"/>
      </w:pPr>
      <w:proofErr w:type="spellStart"/>
      <w:r w:rsidRPr="00D42316">
        <w:rPr>
          <w:b/>
        </w:rPr>
        <w:t>Conclusion</w:t>
      </w:r>
      <w:proofErr w:type="spellEnd"/>
      <w:r w:rsidRPr="00D42316">
        <w:rPr>
          <w:b/>
        </w:rPr>
        <w:t xml:space="preserve">: </w:t>
      </w:r>
      <w:proofErr w:type="spellStart"/>
      <w:r w:rsidRPr="00D42316">
        <w:t>It</w:t>
      </w:r>
      <w:proofErr w:type="spellEnd"/>
      <w:r w:rsidRPr="00D42316">
        <w:t xml:space="preserve"> is </w:t>
      </w:r>
      <w:proofErr w:type="spellStart"/>
      <w:r w:rsidRPr="00D42316">
        <w:t>important</w:t>
      </w:r>
      <w:proofErr w:type="spellEnd"/>
      <w:r w:rsidRPr="00D42316">
        <w:t xml:space="preserve"> </w:t>
      </w:r>
      <w:proofErr w:type="spellStart"/>
      <w:r w:rsidRPr="00D42316">
        <w:t>that</w:t>
      </w:r>
      <w:proofErr w:type="spellEnd"/>
      <w:r w:rsidRPr="00D42316">
        <w:t xml:space="preserve"> </w:t>
      </w:r>
      <w:proofErr w:type="spellStart"/>
      <w:r w:rsidRPr="00D42316">
        <w:t>young</w:t>
      </w:r>
      <w:proofErr w:type="spellEnd"/>
      <w:r w:rsidRPr="00D42316">
        <w:t xml:space="preserve"> </w:t>
      </w:r>
      <w:proofErr w:type="spellStart"/>
      <w:r w:rsidRPr="00D42316">
        <w:t>people</w:t>
      </w:r>
      <w:proofErr w:type="spellEnd"/>
      <w:r w:rsidRPr="00D42316">
        <w:t xml:space="preserve"> </w:t>
      </w:r>
      <w:proofErr w:type="spellStart"/>
      <w:r w:rsidRPr="00D42316">
        <w:t>are</w:t>
      </w:r>
      <w:proofErr w:type="spellEnd"/>
      <w:r w:rsidRPr="00D42316">
        <w:t xml:space="preserve"> </w:t>
      </w:r>
      <w:proofErr w:type="spellStart"/>
      <w:r w:rsidRPr="00D42316">
        <w:t>supported</w:t>
      </w:r>
      <w:proofErr w:type="spellEnd"/>
      <w:r w:rsidRPr="00D42316">
        <w:t xml:space="preserve"> in </w:t>
      </w:r>
      <w:proofErr w:type="spellStart"/>
      <w:r w:rsidRPr="00D42316">
        <w:t>addressing</w:t>
      </w:r>
      <w:proofErr w:type="spellEnd"/>
      <w:r w:rsidRPr="00D42316">
        <w:t xml:space="preserve"> </w:t>
      </w:r>
      <w:proofErr w:type="spellStart"/>
      <w:r w:rsidRPr="00D42316">
        <w:t>and</w:t>
      </w:r>
      <w:proofErr w:type="spellEnd"/>
      <w:r w:rsidRPr="00D42316">
        <w:t xml:space="preserve"> </w:t>
      </w:r>
      <w:proofErr w:type="spellStart"/>
      <w:r w:rsidRPr="00D42316">
        <w:t>coping</w:t>
      </w:r>
      <w:proofErr w:type="spellEnd"/>
      <w:r w:rsidRPr="00D42316">
        <w:t xml:space="preserve"> </w:t>
      </w:r>
      <w:proofErr w:type="spellStart"/>
      <w:r w:rsidRPr="00D42316">
        <w:t>with</w:t>
      </w:r>
      <w:proofErr w:type="spellEnd"/>
      <w:r w:rsidRPr="00D42316">
        <w:t xml:space="preserve"> </w:t>
      </w:r>
      <w:proofErr w:type="spellStart"/>
      <w:r w:rsidRPr="00D42316">
        <w:t>their</w:t>
      </w:r>
      <w:proofErr w:type="spellEnd"/>
      <w:r w:rsidRPr="00D42316">
        <w:t xml:space="preserve"> </w:t>
      </w:r>
      <w:proofErr w:type="spellStart"/>
      <w:r w:rsidRPr="00D42316">
        <w:t>concerns</w:t>
      </w:r>
      <w:proofErr w:type="spellEnd"/>
      <w:r w:rsidRPr="00D42316">
        <w:t xml:space="preserve"> </w:t>
      </w:r>
      <w:proofErr w:type="spellStart"/>
      <w:r w:rsidRPr="00D42316">
        <w:t>about</w:t>
      </w:r>
      <w:proofErr w:type="spellEnd"/>
      <w:r w:rsidRPr="00D42316">
        <w:t xml:space="preserve"> </w:t>
      </w:r>
      <w:proofErr w:type="spellStart"/>
      <w:r w:rsidRPr="00D42316">
        <w:t>climate</w:t>
      </w:r>
      <w:proofErr w:type="spellEnd"/>
      <w:r w:rsidRPr="00D42316">
        <w:t xml:space="preserve"> </w:t>
      </w:r>
      <w:proofErr w:type="spellStart"/>
      <w:r w:rsidRPr="00D42316">
        <w:t>change</w:t>
      </w:r>
      <w:proofErr w:type="spellEnd"/>
      <w:r w:rsidRPr="00D42316">
        <w:t xml:space="preserve">. </w:t>
      </w:r>
      <w:proofErr w:type="spellStart"/>
      <w:r w:rsidRPr="00D42316">
        <w:t>In</w:t>
      </w:r>
      <w:proofErr w:type="spellEnd"/>
      <w:r w:rsidRPr="00D42316">
        <w:t xml:space="preserve"> </w:t>
      </w:r>
      <w:proofErr w:type="spellStart"/>
      <w:r w:rsidRPr="00D42316">
        <w:t>addition</w:t>
      </w:r>
      <w:proofErr w:type="spellEnd"/>
      <w:r w:rsidRPr="00D42316">
        <w:t xml:space="preserve">, </w:t>
      </w:r>
      <w:proofErr w:type="spellStart"/>
      <w:r w:rsidRPr="00D42316">
        <w:t>efforts</w:t>
      </w:r>
      <w:proofErr w:type="spellEnd"/>
      <w:r w:rsidRPr="00D42316">
        <w:t xml:space="preserve"> </w:t>
      </w:r>
      <w:proofErr w:type="spellStart"/>
      <w:r w:rsidRPr="00D42316">
        <w:t>should</w:t>
      </w:r>
      <w:proofErr w:type="spellEnd"/>
      <w:r w:rsidRPr="00D42316">
        <w:t xml:space="preserve"> be </w:t>
      </w:r>
      <w:proofErr w:type="spellStart"/>
      <w:r w:rsidRPr="00D42316">
        <w:t>made</w:t>
      </w:r>
      <w:proofErr w:type="spellEnd"/>
      <w:r w:rsidRPr="00D42316">
        <w:t xml:space="preserve"> </w:t>
      </w:r>
      <w:proofErr w:type="spellStart"/>
      <w:r w:rsidRPr="00D42316">
        <w:t>to</w:t>
      </w:r>
      <w:proofErr w:type="spellEnd"/>
      <w:r w:rsidRPr="00D42316">
        <w:t xml:space="preserve"> </w:t>
      </w:r>
      <w:proofErr w:type="spellStart"/>
      <w:r w:rsidRPr="00D42316">
        <w:t>improve</w:t>
      </w:r>
      <w:proofErr w:type="spellEnd"/>
      <w:r w:rsidRPr="00D42316">
        <w:t xml:space="preserve"> </w:t>
      </w:r>
      <w:proofErr w:type="spellStart"/>
      <w:r w:rsidRPr="00D42316">
        <w:t>their</w:t>
      </w:r>
      <w:proofErr w:type="spellEnd"/>
      <w:r w:rsidRPr="00D42316">
        <w:t xml:space="preserve"> </w:t>
      </w:r>
      <w:proofErr w:type="spellStart"/>
      <w:r w:rsidRPr="00D42316">
        <w:t>environmental</w:t>
      </w:r>
      <w:proofErr w:type="spellEnd"/>
      <w:r w:rsidRPr="00D42316">
        <w:t xml:space="preserve"> </w:t>
      </w:r>
      <w:proofErr w:type="spellStart"/>
      <w:r w:rsidRPr="00D42316">
        <w:t>awareness</w:t>
      </w:r>
      <w:proofErr w:type="spellEnd"/>
      <w:r w:rsidRPr="00D42316">
        <w:t xml:space="preserve"> </w:t>
      </w:r>
      <w:proofErr w:type="spellStart"/>
      <w:r w:rsidRPr="00D42316">
        <w:t>and</w:t>
      </w:r>
      <w:proofErr w:type="spellEnd"/>
      <w:r w:rsidRPr="00D42316">
        <w:t xml:space="preserve"> </w:t>
      </w:r>
      <w:proofErr w:type="spellStart"/>
      <w:r w:rsidRPr="00D42316">
        <w:t>raise</w:t>
      </w:r>
      <w:proofErr w:type="spellEnd"/>
      <w:r w:rsidRPr="00D42316">
        <w:t xml:space="preserve"> </w:t>
      </w:r>
      <w:proofErr w:type="spellStart"/>
      <w:r w:rsidRPr="00D42316">
        <w:t>awareness</w:t>
      </w:r>
      <w:proofErr w:type="spellEnd"/>
      <w:r w:rsidRPr="00D42316">
        <w:t xml:space="preserve"> </w:t>
      </w:r>
      <w:proofErr w:type="spellStart"/>
      <w:r w:rsidRPr="00D42316">
        <w:t>about</w:t>
      </w:r>
      <w:proofErr w:type="spellEnd"/>
      <w:r w:rsidRPr="00D42316">
        <w:t xml:space="preserve"> </w:t>
      </w:r>
      <w:proofErr w:type="spellStart"/>
      <w:r w:rsidRPr="00D42316">
        <w:t>climate</w:t>
      </w:r>
      <w:proofErr w:type="spellEnd"/>
      <w:r w:rsidRPr="00D42316">
        <w:t xml:space="preserve"> </w:t>
      </w:r>
      <w:proofErr w:type="spellStart"/>
      <w:r w:rsidRPr="00D42316">
        <w:t>change</w:t>
      </w:r>
      <w:proofErr w:type="spellEnd"/>
      <w:r w:rsidRPr="00D42316">
        <w:t>.</w:t>
      </w:r>
    </w:p>
    <w:p w14:paraId="52F80BD6" w14:textId="77777777" w:rsidR="000A70F0" w:rsidRPr="00D42316" w:rsidRDefault="000A70F0" w:rsidP="000A70F0">
      <w:pPr>
        <w:jc w:val="both"/>
      </w:pPr>
    </w:p>
    <w:p w14:paraId="6BC909E1" w14:textId="7FECE19F" w:rsidR="008B5439" w:rsidRPr="00D42316" w:rsidRDefault="000C6508" w:rsidP="000A70F0">
      <w:proofErr w:type="spellStart"/>
      <w:r>
        <w:rPr>
          <w:b/>
        </w:rPr>
        <w:t>Keywords</w:t>
      </w:r>
      <w:proofErr w:type="spellEnd"/>
      <w:r w:rsidR="00AC051C" w:rsidRPr="00D42316">
        <w:rPr>
          <w:b/>
        </w:rPr>
        <w:t xml:space="preserve">: </w:t>
      </w:r>
      <w:proofErr w:type="spellStart"/>
      <w:r w:rsidR="00AC051C" w:rsidRPr="00D42316">
        <w:t>Eco-axiety</w:t>
      </w:r>
      <w:proofErr w:type="spellEnd"/>
      <w:r w:rsidR="00AC051C" w:rsidRPr="00D42316">
        <w:t xml:space="preserve">, </w:t>
      </w:r>
      <w:proofErr w:type="spellStart"/>
      <w:r w:rsidR="00AC051C" w:rsidRPr="00D42316">
        <w:t>young</w:t>
      </w:r>
      <w:proofErr w:type="spellEnd"/>
      <w:r w:rsidR="00AC051C" w:rsidRPr="00D42316">
        <w:t xml:space="preserve"> </w:t>
      </w:r>
      <w:proofErr w:type="spellStart"/>
      <w:r w:rsidR="00AC051C" w:rsidRPr="00D42316">
        <w:t>adults</w:t>
      </w:r>
      <w:proofErr w:type="spellEnd"/>
      <w:r w:rsidR="00AC051C" w:rsidRPr="00D42316">
        <w:t xml:space="preserve">, </w:t>
      </w:r>
      <w:proofErr w:type="spellStart"/>
      <w:r w:rsidR="00AC051C" w:rsidRPr="00D42316">
        <w:t>demographical</w:t>
      </w:r>
      <w:proofErr w:type="spellEnd"/>
      <w:r w:rsidR="00AC051C" w:rsidRPr="00D42316">
        <w:t xml:space="preserve"> </w:t>
      </w:r>
      <w:proofErr w:type="spellStart"/>
      <w:r w:rsidR="00AC051C" w:rsidRPr="00D42316">
        <w:t>variable</w:t>
      </w:r>
      <w:proofErr w:type="spellEnd"/>
      <w:r w:rsidR="00FC4D53">
        <w:br w:type="page"/>
      </w:r>
    </w:p>
    <w:p w14:paraId="71B0FA34" w14:textId="77777777" w:rsidR="004F4E7D" w:rsidRPr="004F4E7D" w:rsidRDefault="004F4E7D" w:rsidP="004F4E7D">
      <w:pPr>
        <w:pStyle w:val="Balk1"/>
        <w:spacing w:before="0" w:after="0"/>
        <w:rPr>
          <w:rFonts w:cs="Times New Roman"/>
          <w:b/>
          <w:bCs/>
          <w:color w:val="000000" w:themeColor="text1"/>
        </w:rPr>
      </w:pPr>
      <w:bookmarkStart w:id="22" w:name="_Toc192855149"/>
      <w:r w:rsidRPr="004F4E7D">
        <w:rPr>
          <w:rFonts w:cs="Times New Roman"/>
          <w:b/>
          <w:bCs/>
          <w:color w:val="000000" w:themeColor="text1"/>
        </w:rPr>
        <w:lastRenderedPageBreak/>
        <w:t>Felaket Kaydırması, Prososyal Davranışlar ve Depresyon, Anksiyete ve Stres Düzeyleri Arasındaki İlişkilerin İncelenmesi</w:t>
      </w:r>
      <w:bookmarkEnd w:id="22"/>
    </w:p>
    <w:p w14:paraId="2D7B8E8F" w14:textId="77777777" w:rsidR="004F4E7D" w:rsidRPr="007444EC" w:rsidRDefault="004F4E7D" w:rsidP="004F4E7D"/>
    <w:p w14:paraId="7818CC8D" w14:textId="77777777" w:rsidR="004F4E7D" w:rsidRDefault="004F4E7D" w:rsidP="004F4E7D">
      <w:pPr>
        <w:jc w:val="center"/>
        <w:rPr>
          <w:b/>
        </w:rPr>
      </w:pPr>
      <w:proofErr w:type="spellStart"/>
      <w:proofErr w:type="gramStart"/>
      <w:r w:rsidRPr="007444EC">
        <w:rPr>
          <w:b/>
        </w:rPr>
        <w:t>Arş.Gör.Asude</w:t>
      </w:r>
      <w:proofErr w:type="spellEnd"/>
      <w:proofErr w:type="gramEnd"/>
      <w:r w:rsidRPr="007444EC">
        <w:rPr>
          <w:b/>
        </w:rPr>
        <w:t xml:space="preserve"> Sena MUĞLU</w:t>
      </w:r>
    </w:p>
    <w:p w14:paraId="6A6C3DCC" w14:textId="77777777" w:rsidR="004F4E7D" w:rsidRDefault="004F4E7D" w:rsidP="004F4E7D">
      <w:pPr>
        <w:jc w:val="center"/>
        <w:rPr>
          <w:b/>
        </w:rPr>
      </w:pPr>
      <w:hyperlink r:id="rId39" w:history="1">
        <w:r w:rsidRPr="007E1B16">
          <w:rPr>
            <w:rStyle w:val="Kpr"/>
            <w:b/>
          </w:rPr>
          <w:t>asude.muglu@ahievran.edu.tr</w:t>
        </w:r>
      </w:hyperlink>
    </w:p>
    <w:p w14:paraId="558BAF9F" w14:textId="77777777" w:rsidR="004F4E7D" w:rsidRDefault="004F4E7D" w:rsidP="004F4E7D">
      <w:pPr>
        <w:jc w:val="center"/>
      </w:pPr>
      <w:r>
        <w:t xml:space="preserve">Kırşehir Ahi Evran </w:t>
      </w:r>
      <w:proofErr w:type="spellStart"/>
      <w:proofErr w:type="gramStart"/>
      <w:r>
        <w:t>Üniveristesi,Eğitim</w:t>
      </w:r>
      <w:proofErr w:type="spellEnd"/>
      <w:proofErr w:type="gramEnd"/>
      <w:r>
        <w:t xml:space="preserve"> Fakültesi, Rehberlik ve Psikolojik Danışmanlık Bölümü</w:t>
      </w:r>
    </w:p>
    <w:p w14:paraId="6ADD51E8" w14:textId="77777777" w:rsidR="004F4E7D" w:rsidRDefault="004F4E7D" w:rsidP="004F4E7D">
      <w:pPr>
        <w:jc w:val="center"/>
      </w:pPr>
    </w:p>
    <w:p w14:paraId="479C27BE" w14:textId="77777777" w:rsidR="004F4E7D" w:rsidRPr="007444EC" w:rsidRDefault="004F4E7D" w:rsidP="004F4E7D">
      <w:pPr>
        <w:jc w:val="center"/>
        <w:rPr>
          <w:b/>
        </w:rPr>
      </w:pPr>
      <w:r w:rsidRPr="007444EC">
        <w:rPr>
          <w:b/>
        </w:rPr>
        <w:t>Gülnaz KEKİLLİ</w:t>
      </w:r>
    </w:p>
    <w:p w14:paraId="4CAD849B" w14:textId="77777777" w:rsidR="004F4E7D" w:rsidRDefault="004F4E7D" w:rsidP="004F4E7D">
      <w:pPr>
        <w:jc w:val="center"/>
      </w:pPr>
      <w:hyperlink r:id="rId40" w:history="1">
        <w:r w:rsidRPr="007E1B16">
          <w:rPr>
            <w:rStyle w:val="Kpr"/>
          </w:rPr>
          <w:t>kekilli.gulnaz@ogr.ahievran.edu.tr</w:t>
        </w:r>
      </w:hyperlink>
    </w:p>
    <w:p w14:paraId="37C50D52" w14:textId="77777777" w:rsidR="004F4E7D" w:rsidRDefault="004F4E7D" w:rsidP="004F4E7D">
      <w:pPr>
        <w:jc w:val="center"/>
      </w:pPr>
      <w:r>
        <w:t xml:space="preserve">Kırşehir Ahi Evran </w:t>
      </w:r>
      <w:proofErr w:type="spellStart"/>
      <w:proofErr w:type="gramStart"/>
      <w:r>
        <w:t>Üniversi</w:t>
      </w:r>
      <w:r w:rsidRPr="007444EC">
        <w:t>tesi,Eğitim</w:t>
      </w:r>
      <w:proofErr w:type="spellEnd"/>
      <w:proofErr w:type="gramEnd"/>
      <w:r w:rsidRPr="007444EC">
        <w:t xml:space="preserve"> Fakültesi, Rehberlik ve Psikolojik Danışmanlık Bölümü</w:t>
      </w:r>
    </w:p>
    <w:p w14:paraId="1D9CC28E" w14:textId="77777777" w:rsidR="004F4E7D" w:rsidRDefault="004F4E7D" w:rsidP="004F4E7D">
      <w:pPr>
        <w:jc w:val="center"/>
      </w:pPr>
    </w:p>
    <w:p w14:paraId="21E08B2B" w14:textId="77777777" w:rsidR="004F4E7D" w:rsidRDefault="004F4E7D" w:rsidP="004F4E7D">
      <w:pPr>
        <w:jc w:val="center"/>
        <w:rPr>
          <w:b/>
        </w:rPr>
      </w:pPr>
      <w:r w:rsidRPr="007444EC">
        <w:rPr>
          <w:b/>
        </w:rPr>
        <w:t>Esma YALÇIN</w:t>
      </w:r>
    </w:p>
    <w:p w14:paraId="3E47B255" w14:textId="77777777" w:rsidR="004F4E7D" w:rsidRDefault="004F4E7D" w:rsidP="004F4E7D">
      <w:pPr>
        <w:jc w:val="center"/>
        <w:rPr>
          <w:b/>
        </w:rPr>
      </w:pPr>
      <w:hyperlink r:id="rId41" w:history="1">
        <w:r w:rsidRPr="007E1B16">
          <w:rPr>
            <w:rStyle w:val="Kpr"/>
            <w:b/>
          </w:rPr>
          <w:t>yalcın.esma@ogr.ahievran.edu.tr</w:t>
        </w:r>
      </w:hyperlink>
    </w:p>
    <w:p w14:paraId="5F914C2E" w14:textId="77777777" w:rsidR="004F4E7D" w:rsidRDefault="004F4E7D" w:rsidP="004F4E7D">
      <w:pPr>
        <w:jc w:val="center"/>
      </w:pPr>
      <w:r>
        <w:t xml:space="preserve">Kırşehir Ahi Evran </w:t>
      </w:r>
      <w:proofErr w:type="spellStart"/>
      <w:proofErr w:type="gramStart"/>
      <w:r>
        <w:t>Üniversi</w:t>
      </w:r>
      <w:r w:rsidRPr="007444EC">
        <w:t>tesi,Eğitim</w:t>
      </w:r>
      <w:proofErr w:type="spellEnd"/>
      <w:proofErr w:type="gramEnd"/>
      <w:r w:rsidRPr="007444EC">
        <w:t xml:space="preserve"> Fakültesi, Rehberlik ve Psikolojik Danışmanlık Bölümü</w:t>
      </w:r>
    </w:p>
    <w:p w14:paraId="642470BA" w14:textId="77777777" w:rsidR="004F4E7D" w:rsidRDefault="004F4E7D" w:rsidP="004F4E7D">
      <w:pPr>
        <w:jc w:val="center"/>
      </w:pPr>
    </w:p>
    <w:p w14:paraId="65057E9D" w14:textId="77777777" w:rsidR="004F4E7D" w:rsidRDefault="004F4E7D" w:rsidP="004F4E7D">
      <w:pPr>
        <w:jc w:val="center"/>
        <w:rPr>
          <w:b/>
        </w:rPr>
      </w:pPr>
      <w:r w:rsidRPr="007444EC">
        <w:rPr>
          <w:b/>
        </w:rPr>
        <w:t>Beyza YAĞMUR</w:t>
      </w:r>
    </w:p>
    <w:p w14:paraId="1ED72E38" w14:textId="77777777" w:rsidR="004F4E7D" w:rsidRDefault="004F4E7D" w:rsidP="004F4E7D">
      <w:pPr>
        <w:jc w:val="center"/>
        <w:rPr>
          <w:b/>
        </w:rPr>
      </w:pPr>
      <w:hyperlink r:id="rId42" w:history="1">
        <w:r w:rsidRPr="007E1B16">
          <w:rPr>
            <w:rStyle w:val="Kpr"/>
            <w:b/>
          </w:rPr>
          <w:t>yagmur.beyza@ogr.ahievran.edu.tr</w:t>
        </w:r>
      </w:hyperlink>
    </w:p>
    <w:p w14:paraId="4014E460" w14:textId="77777777" w:rsidR="004F4E7D" w:rsidRDefault="004F4E7D" w:rsidP="004F4E7D">
      <w:pPr>
        <w:jc w:val="center"/>
      </w:pPr>
      <w:r>
        <w:t xml:space="preserve">Kırşehir Ahi Evran </w:t>
      </w:r>
      <w:proofErr w:type="spellStart"/>
      <w:proofErr w:type="gramStart"/>
      <w:r>
        <w:t>Üniversi</w:t>
      </w:r>
      <w:r w:rsidRPr="007444EC">
        <w:t>tesi,Eğitim</w:t>
      </w:r>
      <w:proofErr w:type="spellEnd"/>
      <w:proofErr w:type="gramEnd"/>
      <w:r w:rsidRPr="007444EC">
        <w:t xml:space="preserve"> Fakültesi, Rehberlik ve Psikolojik Danışmanlık Bölümü</w:t>
      </w:r>
    </w:p>
    <w:p w14:paraId="7C89FC08" w14:textId="77777777" w:rsidR="004F4E7D" w:rsidRDefault="004F4E7D" w:rsidP="004F4E7D">
      <w:pPr>
        <w:jc w:val="center"/>
      </w:pPr>
    </w:p>
    <w:p w14:paraId="5496B1D8" w14:textId="77777777" w:rsidR="004F4E7D" w:rsidRPr="0092498C" w:rsidRDefault="004F4E7D" w:rsidP="004F4E7D">
      <w:pPr>
        <w:jc w:val="center"/>
        <w:rPr>
          <w:b/>
        </w:rPr>
      </w:pPr>
      <w:r>
        <w:rPr>
          <w:b/>
        </w:rPr>
        <w:t>Özet</w:t>
      </w:r>
    </w:p>
    <w:p w14:paraId="34319DBC" w14:textId="77777777" w:rsidR="004F4E7D" w:rsidRDefault="004F4E7D" w:rsidP="004F4E7D">
      <w:pPr>
        <w:jc w:val="both"/>
      </w:pPr>
      <w:r w:rsidRPr="00EA68EC">
        <w:t xml:space="preserve">  Pandemi ve deprem gibi kitlesel travmaların ardından olumsuz psikolojik sonuçlarından biri de felaket kaydırması (</w:t>
      </w:r>
      <w:proofErr w:type="spellStart"/>
      <w:r w:rsidRPr="00EA68EC">
        <w:t>doomscrolling</w:t>
      </w:r>
      <w:proofErr w:type="spellEnd"/>
      <w:r w:rsidRPr="00EA68EC">
        <w:t xml:space="preserve">) davranışıdır. Afetlerin ardından sosyal medyada kendilerine güven ortamı arayan bireyler akıştan kaynaklı olarak sürekli olumsuz haberlere maruz kaldığı gözlemlenmektedir. Bu bağlamda 6 </w:t>
      </w:r>
      <w:proofErr w:type="gramStart"/>
      <w:r w:rsidRPr="00EA68EC">
        <w:t>şubat</w:t>
      </w:r>
      <w:proofErr w:type="gramEnd"/>
      <w:r w:rsidRPr="00EA68EC">
        <w:t xml:space="preserve"> depreminin uzun dönemli sonuçlarının incelenmesinin önemli olduğu düşünülmüştür. İnternet üzerinden bilgi arayışı amacıyla yapılan felaket kaydırması davranışının pasif bir başa çıkma yöntem olması sebebiyle ruh sağlığı üzerinde olumsuz etkileri olabileceği görülmektedir. Kitlesel travmaların ardından prososyal davranışların incelenmesi de olumlu başa çıkma açısından önemli görünmektedir. Bu bağlamda kitlesel bir travma olan 6 </w:t>
      </w:r>
      <w:proofErr w:type="gramStart"/>
      <w:r w:rsidRPr="00EA68EC">
        <w:t>şubat</w:t>
      </w:r>
      <w:proofErr w:type="gramEnd"/>
      <w:r w:rsidRPr="00EA68EC">
        <w:t xml:space="preserve"> depreminin ardından üniversite öğrencilerinin başa çıkma yöntemleri açısından felaket kaydırması davranışları ve prososyal davranış düzeylerinin incelenmesi, bu değişkenlerin depresyon, kaygı ve stresle olan ilişkilerinin araştırılması amaçlanmıştır. Çalışmanın temel amacı artan felaket kaydırması prososyal davranış </w:t>
      </w:r>
      <w:proofErr w:type="gramStart"/>
      <w:r w:rsidRPr="00EA68EC">
        <w:t>ve  depresyon</w:t>
      </w:r>
      <w:proofErr w:type="gramEnd"/>
      <w:r w:rsidRPr="00EA68EC">
        <w:t xml:space="preserve">, anksiyete ve stres arasındaki ilişkileri ortaya koymaktır. Bu doğrultuda, Kırşehir Ahi Evran Üniversitesi’ne devam etmekte olan üniversite öğrencilerine uygun örnekleme yoluyla ulaşılmıştır.  Araştırmanın yöntemi nicel yöntemlerinden ilişkisel tarama yöntemidir. Araştırmada Kişisel Bilgi Formu, Felaket Kaydırması Ölçeği, Prososyal Eğilim Ölçeği, Depresyon, Anksiyete ve Stres Ölçeği Kısa Formu (DASS-21) kullanılarak veri toplanmıştır.  Bulgular ilgili </w:t>
      </w:r>
      <w:proofErr w:type="spellStart"/>
      <w:r w:rsidRPr="00EA68EC">
        <w:t>alanyazın</w:t>
      </w:r>
      <w:proofErr w:type="spellEnd"/>
      <w:r w:rsidRPr="00EA68EC">
        <w:t xml:space="preserve"> ışığında tartışılmıştır, araştırmacı ve uygulayıcılara önerilerde bulunulmuştur.</w:t>
      </w:r>
    </w:p>
    <w:p w14:paraId="6E7D0F35" w14:textId="77777777" w:rsidR="004F4E7D" w:rsidRDefault="004F4E7D" w:rsidP="004F4E7D">
      <w:pPr>
        <w:jc w:val="both"/>
      </w:pPr>
    </w:p>
    <w:p w14:paraId="4EBD6342" w14:textId="77777777" w:rsidR="004F4E7D" w:rsidRDefault="004F4E7D" w:rsidP="004F4E7D">
      <w:pPr>
        <w:jc w:val="both"/>
      </w:pPr>
      <w:r w:rsidRPr="00021CEA">
        <w:rPr>
          <w:b/>
          <w:bCs/>
        </w:rPr>
        <w:t>Anahtar Kelimeler</w:t>
      </w:r>
      <w:r>
        <w:t>: Felaket kaydırması, Travma, Depresyon, Anksiyete, Stres Düzeyi</w:t>
      </w:r>
    </w:p>
    <w:p w14:paraId="5295B052" w14:textId="77777777" w:rsidR="004F4E7D" w:rsidRDefault="004F4E7D" w:rsidP="004F4E7D">
      <w:pPr>
        <w:jc w:val="both"/>
      </w:pPr>
    </w:p>
    <w:p w14:paraId="539A0F5B" w14:textId="77777777" w:rsidR="004F4E7D" w:rsidRPr="0092498C" w:rsidRDefault="004F4E7D" w:rsidP="004F4E7D">
      <w:pPr>
        <w:rPr>
          <w:b/>
        </w:rPr>
      </w:pPr>
      <w:r w:rsidRPr="0092498C">
        <w:rPr>
          <w:b/>
        </w:rPr>
        <w:t>Giriş:</w:t>
      </w:r>
    </w:p>
    <w:p w14:paraId="584C0088" w14:textId="77777777" w:rsidR="004F4E7D" w:rsidRDefault="004F4E7D" w:rsidP="004F4E7D">
      <w:pPr>
        <w:jc w:val="both"/>
      </w:pPr>
      <w:r w:rsidRPr="00EA68EC">
        <w:lastRenderedPageBreak/>
        <w:t xml:space="preserve">Kitlesel travmalar ekonomik, sosyolojik ve kültürel birçok alanı olumsuz etkilemesinin yanı sıra bir dizi olumsuz psikolojik sonuç doğurmaktadır. Kitlesel bir travma niteliğindeki 6 </w:t>
      </w:r>
      <w:proofErr w:type="gramStart"/>
      <w:r w:rsidRPr="00EA68EC">
        <w:t>şubat</w:t>
      </w:r>
      <w:proofErr w:type="gramEnd"/>
      <w:r w:rsidRPr="00EA68EC">
        <w:t xml:space="preserve"> 2023 merkezli depremler doğrudan ve dolaylı olarak tüm ülkeyi etkilemiştir (Özbilgin vd., 2023). Kitlesel felaketlerden sonraki iyileşme süreci karmaşık ve çoklu faktörlerin etki ettiği bir süreçtir (</w:t>
      </w:r>
      <w:proofErr w:type="spellStart"/>
      <w:r w:rsidRPr="00EA68EC">
        <w:t>Prayag</w:t>
      </w:r>
      <w:proofErr w:type="spellEnd"/>
      <w:r w:rsidRPr="00EA68EC">
        <w:t xml:space="preserve"> vd., 2021). Kişilerin kitlesel travmalarla başa çıkmak için birtakım yollara başvurduğu görülmektedir. Kitlesel bir travmanın ardından olaylardan haberdar olmak, olaylar hakkındaki kişisel kontrolü artırmak ve belirsizliği azaltmak için başvurulan yollardan biri de felaket haberlerini </w:t>
      </w:r>
      <w:proofErr w:type="spellStart"/>
      <w:r w:rsidRPr="00EA68EC">
        <w:t>kaydırmatır</w:t>
      </w:r>
      <w:proofErr w:type="spellEnd"/>
      <w:r w:rsidRPr="00EA68EC">
        <w:t xml:space="preserve"> (</w:t>
      </w:r>
      <w:proofErr w:type="spellStart"/>
      <w:r w:rsidRPr="00EA68EC">
        <w:t>Sharma</w:t>
      </w:r>
      <w:proofErr w:type="spellEnd"/>
      <w:r w:rsidRPr="00EA68EC">
        <w:t xml:space="preserve"> vd., 2022). Tehlike algılandığında başa çıkmak için bilgi arayışı uyum sağlayıcı bir başa çıkma mekanizması olarak görünse de </w:t>
      </w:r>
      <w:proofErr w:type="spellStart"/>
      <w:r w:rsidRPr="00EA68EC">
        <w:t>Covid</w:t>
      </w:r>
      <w:proofErr w:type="spellEnd"/>
      <w:r w:rsidRPr="00EA68EC">
        <w:t xml:space="preserve"> 19 pandemisi dönemindeki çalışmalar bu felaket haberlerini kaydırma davranışının psikolojik sıkıntıları artıran bir risk faktörü olarak değerlendirmeye başlamıştır (Buchanan vd., 2021). </w:t>
      </w:r>
    </w:p>
    <w:p w14:paraId="76BD3F83" w14:textId="77777777" w:rsidR="004F4E7D" w:rsidRPr="00EA68EC" w:rsidRDefault="004F4E7D" w:rsidP="004F4E7D">
      <w:pPr>
        <w:jc w:val="both"/>
      </w:pPr>
    </w:p>
    <w:p w14:paraId="553A8A30" w14:textId="77777777" w:rsidR="004F4E7D" w:rsidRDefault="004F4E7D" w:rsidP="004F4E7D">
      <w:pPr>
        <w:jc w:val="both"/>
      </w:pPr>
      <w:r w:rsidRPr="00EA68EC">
        <w:t>1.Felaket haberlerini kaydırma (</w:t>
      </w:r>
      <w:proofErr w:type="spellStart"/>
      <w:r w:rsidRPr="00EA68EC">
        <w:t>doomscrolling</w:t>
      </w:r>
      <w:proofErr w:type="spellEnd"/>
      <w:r w:rsidRPr="00EA68EC">
        <w:t xml:space="preserve">) genellikle felaketler, salgın hastalıklar, şiddet ve doğal </w:t>
      </w:r>
      <w:proofErr w:type="spellStart"/>
      <w:r w:rsidRPr="00EA68EC">
        <w:t>afetlerlerin</w:t>
      </w:r>
      <w:proofErr w:type="spellEnd"/>
      <w:r w:rsidRPr="00EA68EC">
        <w:t xml:space="preserve"> ardından tekrarlayıcı olarak meydana gelmesi ile karakterize edilmiştir (</w:t>
      </w:r>
      <w:proofErr w:type="spellStart"/>
      <w:r w:rsidRPr="00EA68EC">
        <w:t>Sharma</w:t>
      </w:r>
      <w:proofErr w:type="spellEnd"/>
      <w:r w:rsidRPr="00EA68EC">
        <w:t xml:space="preserve"> vd., 2022). Bireyin kendisini felaket haberlerine maruz bırakması sürekli bir kaygı ve endişe hissi uyandırsa da birey bu eylemi gerçekleştirmeye devam etmektedir (Rodriguez, 2022). Felaketin ardından olumsuz haberlere odaklanma eğilimi hem fiziksel hem de zihinsel sağlık açısından zararlı olabilmektedir. Felaket haberlerini kaydırma davranışı arttıkça pozitif duygulanımın azaldığı (</w:t>
      </w:r>
      <w:proofErr w:type="spellStart"/>
      <w:r w:rsidRPr="00EA68EC">
        <w:t>Watercutter</w:t>
      </w:r>
      <w:proofErr w:type="spellEnd"/>
      <w:r w:rsidRPr="00EA68EC">
        <w:t xml:space="preserve">, 2020) iyi oluş (Zhao ve Zhou, 2020) ve psikolojik uyum, </w:t>
      </w:r>
      <w:proofErr w:type="spellStart"/>
      <w:r w:rsidRPr="00EA68EC">
        <w:t>mental</w:t>
      </w:r>
      <w:proofErr w:type="spellEnd"/>
      <w:r w:rsidRPr="00EA68EC">
        <w:t xml:space="preserve"> iyi oluş ve duygu düzenleme güçlüğü ile anlamlı bir şekilde ilişkili olduğu görülmektedir (Öksüz et al., 2023;). Felaketin ardından ortaya çıkan kaygıyı ve belirsizlikle başa çıkmak için yapılan felaket haberlerini kaydırmanın paradoksal bir biçimde psikolojik sıkıntıyı artırdığı düşünülmektedir (</w:t>
      </w:r>
      <w:proofErr w:type="spellStart"/>
      <w:r w:rsidRPr="00EA68EC">
        <w:t>Riehm</w:t>
      </w:r>
      <w:proofErr w:type="spellEnd"/>
      <w:r w:rsidRPr="00EA68EC">
        <w:t xml:space="preserve"> et al., 2019). Olumsuz haberlere maruz kalmanın kaygıyı artırdığı, duygu düzenleme (Öksüz et al., 2023), içselleştirme bozuklukları ve madde kullanımı ile ilişkili olduğu (</w:t>
      </w:r>
      <w:proofErr w:type="spellStart"/>
      <w:r w:rsidRPr="00EA68EC">
        <w:t>Dyar</w:t>
      </w:r>
      <w:proofErr w:type="spellEnd"/>
      <w:r w:rsidRPr="00EA68EC">
        <w:t xml:space="preserve"> et al., 2022) bilinmektedir. Felaket kaydırmasını azaltma, yani olumsuz haberlerden kaçınma, bir iyi oluşu artırma stratejisi olarak önerilmektedir (</w:t>
      </w:r>
      <w:proofErr w:type="spellStart"/>
      <w:r w:rsidRPr="00EA68EC">
        <w:t>Mannell</w:t>
      </w:r>
      <w:proofErr w:type="spellEnd"/>
      <w:r w:rsidRPr="00EA68EC">
        <w:t xml:space="preserve"> ve </w:t>
      </w:r>
      <w:proofErr w:type="spellStart"/>
      <w:r w:rsidRPr="00EA68EC">
        <w:t>Meese</w:t>
      </w:r>
      <w:proofErr w:type="spellEnd"/>
      <w:r w:rsidRPr="00EA68EC">
        <w:t>, 2022)</w:t>
      </w:r>
    </w:p>
    <w:p w14:paraId="41D4282E" w14:textId="77777777" w:rsidR="004F4E7D" w:rsidRPr="00EA68EC" w:rsidRDefault="004F4E7D" w:rsidP="004F4E7D">
      <w:pPr>
        <w:jc w:val="both"/>
      </w:pPr>
    </w:p>
    <w:p w14:paraId="03165743" w14:textId="77777777" w:rsidR="004F4E7D" w:rsidRDefault="004F4E7D" w:rsidP="004F4E7D">
      <w:pPr>
        <w:jc w:val="both"/>
      </w:pPr>
      <w:r w:rsidRPr="00EA68EC">
        <w:t>2.</w:t>
      </w:r>
      <w:r w:rsidRPr="00EA68EC">
        <w:tab/>
        <w:t>Üniversite öğrencilerinin telefonlardan sosyal medya platformlarına ulaşabilme durumu ile depresyon ve kaygı dereceleri arasında anlamlı bir ilişki bulunmaktadır (Yalçın,2015). Felaket haberlerini kaydırma, artan kaygı ile ilişkilendirilmektedir (</w:t>
      </w:r>
      <w:proofErr w:type="spellStart"/>
      <w:r w:rsidRPr="00EA68EC">
        <w:t>Barabak</w:t>
      </w:r>
      <w:proofErr w:type="spellEnd"/>
      <w:r w:rsidRPr="00EA68EC">
        <w:t>, 2020). Yine felaket haberlerini kaydırma “kişinin sürekli bir şekilde negatif haberler silsilesinde kendini kaybetmesi ve bunun sonucunda kaygı derecesinde meydana gelen bir değişim olduğu düşünülmektedir.</w:t>
      </w:r>
    </w:p>
    <w:p w14:paraId="0B1E640F" w14:textId="77777777" w:rsidR="004F4E7D" w:rsidRPr="00EA68EC" w:rsidRDefault="004F4E7D" w:rsidP="004F4E7D">
      <w:pPr>
        <w:jc w:val="both"/>
      </w:pPr>
    </w:p>
    <w:p w14:paraId="27F14834" w14:textId="77777777" w:rsidR="004F4E7D" w:rsidRDefault="004F4E7D" w:rsidP="004F4E7D">
      <w:pPr>
        <w:jc w:val="both"/>
      </w:pPr>
      <w:r w:rsidRPr="00EA68EC">
        <w:t>3.Travmatik yaşam olaylarının ardından gözlemlenebilecek bir olumlu ve sağlıklı bir başa çıkma mekanizması da prososyal davranışlardır (</w:t>
      </w:r>
      <w:proofErr w:type="spellStart"/>
      <w:r w:rsidRPr="00EA68EC">
        <w:t>Vollhardt</w:t>
      </w:r>
      <w:proofErr w:type="spellEnd"/>
      <w:r w:rsidRPr="00EA68EC">
        <w:t>, 2009). Prososyal davranışlar başkalarının sosyal ihtiyaçlarını karşılamak, başka bir bireye yardım etmek için gönüllü eylemlerde bulunmak ile karakterize edilmiştir (</w:t>
      </w:r>
      <w:proofErr w:type="spellStart"/>
      <w:r w:rsidRPr="00EA68EC">
        <w:t>Eisenberg</w:t>
      </w:r>
      <w:proofErr w:type="spellEnd"/>
      <w:r w:rsidRPr="00EA68EC">
        <w:t xml:space="preserve"> ve ark., 2006). </w:t>
      </w:r>
      <w:proofErr w:type="spellStart"/>
      <w:r w:rsidRPr="00EA68EC">
        <w:t>Vollhardt</w:t>
      </w:r>
      <w:proofErr w:type="spellEnd"/>
      <w:r w:rsidRPr="00EA68EC">
        <w:t xml:space="preserve"> (2009) travmanın ardından bireyin yaşayabileceği travma sonrası büyümeye dikkat çekmiş ve bireyin kendini daha duyarlı ve güçlü hissedebileceğini ifade etmiştir. Travmatik deneyimin başkalarına olan duyarlılığı artırabileceği ve bu sayede kişinin daha çok prososyal davranış gösterebileceğini öne sürülmüştür (</w:t>
      </w:r>
      <w:proofErr w:type="spellStart"/>
      <w:r w:rsidRPr="00EA68EC">
        <w:t>Vollhardt</w:t>
      </w:r>
      <w:proofErr w:type="spellEnd"/>
      <w:r w:rsidRPr="00EA68EC">
        <w:t>, 2009). Bu öneriyi destekleyen bir çalışmada travma sonrasında iyileşebilen ve güçlenen kişilerin diğerlerine yardım etme davranışlarının arttığı bulunmuştur (</w:t>
      </w:r>
      <w:proofErr w:type="spellStart"/>
      <w:r w:rsidRPr="00EA68EC">
        <w:t>Stidham</w:t>
      </w:r>
      <w:proofErr w:type="spellEnd"/>
      <w:r w:rsidRPr="00EA68EC">
        <w:t xml:space="preserve"> vd., 2012). Travma deneyimi ile prososyal davranış arasında pozitif bir ilişki olduğunu gösteren çalışmalar bulunmaktadır (</w:t>
      </w:r>
      <w:proofErr w:type="spellStart"/>
      <w:r w:rsidRPr="00EA68EC">
        <w:t>Trull</w:t>
      </w:r>
      <w:proofErr w:type="spellEnd"/>
      <w:r w:rsidRPr="00EA68EC">
        <w:t xml:space="preserve">, 2014; </w:t>
      </w:r>
      <w:proofErr w:type="spellStart"/>
      <w:r w:rsidRPr="00EA68EC">
        <w:t>Tsai</w:t>
      </w:r>
      <w:proofErr w:type="spellEnd"/>
      <w:r w:rsidRPr="00EA68EC">
        <w:t xml:space="preserve"> vd., 2015). </w:t>
      </w:r>
      <w:proofErr w:type="spellStart"/>
      <w:r w:rsidRPr="00EA68EC">
        <w:t>Çınarbaş</w:t>
      </w:r>
      <w:proofErr w:type="spellEnd"/>
      <w:r w:rsidRPr="00EA68EC">
        <w:t xml:space="preserve"> ve Doğan (2019) travma yaşamış kişiler daha çok prososyal davranış eğilimi </w:t>
      </w:r>
      <w:r w:rsidRPr="00EA68EC">
        <w:lastRenderedPageBreak/>
        <w:t xml:space="preserve">gösterdiklerini bulgulamıştır. Prososyal davranışlar, kitlesel travmaların olumsuz etkilerinin azalmasında sağlıklı ve olumlu bir başa çıkma tarzı olarak yorumlanabilir (Lin vd., 2020; </w:t>
      </w:r>
      <w:proofErr w:type="spellStart"/>
      <w:r w:rsidRPr="00EA68EC">
        <w:t>Wan</w:t>
      </w:r>
      <w:proofErr w:type="spellEnd"/>
      <w:r w:rsidRPr="00EA68EC">
        <w:t xml:space="preserve"> vd., 2022).</w:t>
      </w:r>
    </w:p>
    <w:p w14:paraId="6E6BB890" w14:textId="77777777" w:rsidR="004F4E7D" w:rsidRDefault="004F4E7D" w:rsidP="004F4E7D">
      <w:pPr>
        <w:jc w:val="both"/>
      </w:pPr>
    </w:p>
    <w:p w14:paraId="35945A6C" w14:textId="77777777" w:rsidR="004F4E7D" w:rsidRDefault="004F4E7D" w:rsidP="004F4E7D">
      <w:pPr>
        <w:jc w:val="both"/>
      </w:pPr>
    </w:p>
    <w:p w14:paraId="175DA4E6" w14:textId="77777777" w:rsidR="004F4E7D" w:rsidRDefault="004F4E7D" w:rsidP="004F4E7D">
      <w:pPr>
        <w:jc w:val="both"/>
      </w:pPr>
    </w:p>
    <w:p w14:paraId="7E8BBFDA" w14:textId="77777777" w:rsidR="004F4E7D" w:rsidRPr="00EA68EC" w:rsidRDefault="004F4E7D" w:rsidP="004F4E7D">
      <w:pPr>
        <w:rPr>
          <w:b/>
        </w:rPr>
      </w:pPr>
      <w:r w:rsidRPr="00EA68EC">
        <w:rPr>
          <w:b/>
        </w:rPr>
        <w:t>YÖNTEM</w:t>
      </w:r>
    </w:p>
    <w:p w14:paraId="524C0628" w14:textId="77777777" w:rsidR="004F4E7D" w:rsidRDefault="004F4E7D" w:rsidP="004F4E7D">
      <w:pPr>
        <w:jc w:val="both"/>
      </w:pPr>
    </w:p>
    <w:p w14:paraId="4994FF07" w14:textId="77777777" w:rsidR="004F4E7D" w:rsidRPr="00EA68EC" w:rsidRDefault="004F4E7D" w:rsidP="004F4E7D">
      <w:pPr>
        <w:jc w:val="both"/>
        <w:rPr>
          <w:b/>
        </w:rPr>
      </w:pPr>
      <w:r w:rsidRPr="00EA68EC">
        <w:rPr>
          <w:b/>
        </w:rPr>
        <w:t>Desen</w:t>
      </w:r>
    </w:p>
    <w:p w14:paraId="740888DB" w14:textId="77777777" w:rsidR="004F4E7D" w:rsidRDefault="004F4E7D" w:rsidP="004F4E7D">
      <w:pPr>
        <w:jc w:val="both"/>
      </w:pPr>
      <w:r w:rsidRPr="00EA68EC">
        <w:t>Bu araştırmanın yöntemi ilişkisel tarama yöntemidir. İlişkisel tarama yöntemi, iki veya daha fazla değişkenin aralarındaki ilişkiyi, birlikte değişim gösterip göstermediklerini; birlikte değişim gösteriyorlarsa da derecesini belirlemeyi amaçlayan çalışmalardır (</w:t>
      </w:r>
      <w:proofErr w:type="spellStart"/>
      <w:r w:rsidRPr="00EA68EC">
        <w:t>Frankel</w:t>
      </w:r>
      <w:proofErr w:type="spellEnd"/>
      <w:r w:rsidRPr="00EA68EC">
        <w:t xml:space="preserve"> &amp; </w:t>
      </w:r>
      <w:proofErr w:type="spellStart"/>
      <w:r w:rsidRPr="00EA68EC">
        <w:t>Wallen</w:t>
      </w:r>
      <w:proofErr w:type="spellEnd"/>
      <w:r w:rsidRPr="00EA68EC">
        <w:t xml:space="preserve">, 2005). </w:t>
      </w:r>
    </w:p>
    <w:p w14:paraId="0677272F" w14:textId="77777777" w:rsidR="004F4E7D" w:rsidRPr="00EA68EC" w:rsidRDefault="004F4E7D" w:rsidP="004F4E7D">
      <w:pPr>
        <w:jc w:val="both"/>
      </w:pPr>
    </w:p>
    <w:p w14:paraId="2426DFA9" w14:textId="77777777" w:rsidR="004F4E7D" w:rsidRPr="00EA68EC" w:rsidRDefault="004F4E7D" w:rsidP="004F4E7D">
      <w:pPr>
        <w:jc w:val="both"/>
        <w:rPr>
          <w:b/>
        </w:rPr>
      </w:pPr>
      <w:r w:rsidRPr="00EA68EC">
        <w:rPr>
          <w:b/>
        </w:rPr>
        <w:t>Çalışma Grubu/Örneklem</w:t>
      </w:r>
    </w:p>
    <w:p w14:paraId="025F28F8" w14:textId="77777777" w:rsidR="004F4E7D" w:rsidRDefault="004F4E7D" w:rsidP="004F4E7D">
      <w:pPr>
        <w:jc w:val="both"/>
      </w:pPr>
      <w:r w:rsidRPr="00EA68EC">
        <w:t xml:space="preserve">Bu araştırmada çalışma grubunu 2024-2025 eğitim yılında öğrenimine devam eden Kırşehir Ahi Evran Üniversitesi’ne devam eden bireyler oluşturmuştur. Uygun örnekleme yöntemi ile katılımcılara ulaşılmıştır. Uygun örnekleme yöntemi, zaman, para ve işgücü gibi faktörlerden kaynaklanan sınırlılıklar dolayı örneklemin kolay ulaşılabilir birimlerden seçilmesi işlemidir (Büyüköztürk, 2012). </w:t>
      </w:r>
    </w:p>
    <w:p w14:paraId="17B36C04" w14:textId="77777777" w:rsidR="004F4E7D" w:rsidRPr="00EA68EC" w:rsidRDefault="004F4E7D" w:rsidP="004F4E7D">
      <w:pPr>
        <w:jc w:val="both"/>
      </w:pPr>
    </w:p>
    <w:p w14:paraId="59439897" w14:textId="77777777" w:rsidR="004F4E7D" w:rsidRPr="00EA68EC" w:rsidRDefault="004F4E7D" w:rsidP="004F4E7D">
      <w:pPr>
        <w:jc w:val="both"/>
        <w:rPr>
          <w:b/>
        </w:rPr>
      </w:pPr>
      <w:r w:rsidRPr="00EA68EC">
        <w:rPr>
          <w:b/>
        </w:rPr>
        <w:t>Veri Analizi</w:t>
      </w:r>
    </w:p>
    <w:p w14:paraId="1141C01C" w14:textId="77777777" w:rsidR="004F4E7D" w:rsidRDefault="004F4E7D" w:rsidP="004F4E7D">
      <w:pPr>
        <w:jc w:val="both"/>
      </w:pPr>
      <w:r w:rsidRPr="00EA68EC">
        <w:t xml:space="preserve">Araştırmanın hipotezlerine ait analizler gerçekleştirilmeden önce analizlerin sahip olduğu ön koşullar incelenmiştir. Bu kapsamda verilerin normal dağılıp dağılmadığı incelenmiştir. Verilerin normallik dağılımı için basıklık ve çarpıklık değerleri dikkate alınmıştır. Daha sonra çoklu normallik varsayımının karşılanıp karşılanmadığı </w:t>
      </w:r>
      <w:proofErr w:type="spellStart"/>
      <w:r w:rsidRPr="00EA68EC">
        <w:t>incelenmiltir</w:t>
      </w:r>
      <w:proofErr w:type="spellEnd"/>
      <w:r w:rsidRPr="00EA68EC">
        <w:t xml:space="preserve">. Ayrıca çoklu bağlantısallık probleminin olup olmadığı da incelenmiştir. Veri setinin araştırmada yapılacak analizler için uygun olduğu belirlendikten sonra analizlere geçilmiştir. Öncelikle bu araştırmada araştırmanın temel değişkenlerinin cinsiyete ve depremden direk ve dolaylı olarak etkilenmesine göre farklılaşıp farklılaşmadığının belirlemek amacıyla bağımsız örneklemler için t-testi analizi gerçekleştirilmiştir. Daha sonra araştırmanın temel değişkenleri arasındaki ilişkiler korelasyon analiziyle incelenmiştir. Felaket kaydırmasının depresyon kaygı ve stres üzerindeki </w:t>
      </w:r>
      <w:proofErr w:type="spellStart"/>
      <w:r w:rsidRPr="00EA68EC">
        <w:t>yordayıcı</w:t>
      </w:r>
      <w:proofErr w:type="spellEnd"/>
      <w:r w:rsidRPr="00EA68EC">
        <w:t xml:space="preserve"> etkisini incelemek için çoklu regresyon analizi yapılmıştır. Bu kapsamda SPSS 27.00 uygulaması kullanılmıştır.</w:t>
      </w:r>
    </w:p>
    <w:p w14:paraId="2273B130" w14:textId="77777777" w:rsidR="004F4E7D" w:rsidRPr="00EA68EC" w:rsidRDefault="004F4E7D" w:rsidP="004F4E7D">
      <w:pPr>
        <w:jc w:val="both"/>
      </w:pPr>
    </w:p>
    <w:p w14:paraId="4B614F0F" w14:textId="77777777" w:rsidR="004F4E7D" w:rsidRPr="00EA68EC" w:rsidRDefault="004F4E7D" w:rsidP="004F4E7D">
      <w:pPr>
        <w:jc w:val="both"/>
        <w:rPr>
          <w:b/>
        </w:rPr>
      </w:pPr>
      <w:r w:rsidRPr="00EA68EC">
        <w:rPr>
          <w:b/>
        </w:rPr>
        <w:t>Veri Toplama Araçları</w:t>
      </w:r>
    </w:p>
    <w:p w14:paraId="6F22DD5F" w14:textId="77777777" w:rsidR="004F4E7D" w:rsidRPr="00EA68EC" w:rsidRDefault="004F4E7D" w:rsidP="004F4E7D">
      <w:pPr>
        <w:jc w:val="both"/>
        <w:rPr>
          <w:b/>
        </w:rPr>
      </w:pPr>
      <w:r w:rsidRPr="00EA68EC">
        <w:rPr>
          <w:b/>
        </w:rPr>
        <w:t>Kişisel Bilgi Formu</w:t>
      </w:r>
    </w:p>
    <w:p w14:paraId="27936712" w14:textId="77777777" w:rsidR="004F4E7D" w:rsidRDefault="004F4E7D" w:rsidP="004F4E7D">
      <w:pPr>
        <w:jc w:val="both"/>
      </w:pPr>
      <w:r w:rsidRPr="00EA68EC">
        <w:t xml:space="preserve">Kişisel bilgi formu katılımcıların demografik özelliklerini (cinsiyet, </w:t>
      </w:r>
      <w:proofErr w:type="gramStart"/>
      <w:r w:rsidRPr="00EA68EC">
        <w:t>yaş,  depreme</w:t>
      </w:r>
      <w:proofErr w:type="gramEnd"/>
      <w:r w:rsidRPr="00EA68EC">
        <w:t xml:space="preserve"> doğrudan ve dolaylı maruz kalma, depremde yaşanılan kaybın çeşidi), öğrenim durumunu (okul türü, sınıf düzeyi) ve internette geçirilen zamana ilişkin soruları içermektedir.</w:t>
      </w:r>
    </w:p>
    <w:p w14:paraId="5CE5E40C" w14:textId="77777777" w:rsidR="004F4E7D" w:rsidRPr="00EA68EC" w:rsidRDefault="004F4E7D" w:rsidP="004F4E7D">
      <w:pPr>
        <w:jc w:val="both"/>
      </w:pPr>
    </w:p>
    <w:p w14:paraId="7A6A7746" w14:textId="77777777" w:rsidR="004F4E7D" w:rsidRPr="00EA68EC" w:rsidRDefault="004F4E7D" w:rsidP="004F4E7D">
      <w:pPr>
        <w:jc w:val="both"/>
        <w:rPr>
          <w:b/>
        </w:rPr>
      </w:pPr>
      <w:r w:rsidRPr="00EA68EC">
        <w:rPr>
          <w:b/>
        </w:rPr>
        <w:t xml:space="preserve">Felaket Kaydırması </w:t>
      </w:r>
      <w:proofErr w:type="gramStart"/>
      <w:r w:rsidRPr="00EA68EC">
        <w:rPr>
          <w:b/>
        </w:rPr>
        <w:t>Ölçeği(</w:t>
      </w:r>
      <w:proofErr w:type="gramEnd"/>
      <w:r w:rsidRPr="00EA68EC">
        <w:rPr>
          <w:b/>
        </w:rPr>
        <w:t>Kısa Form)</w:t>
      </w:r>
    </w:p>
    <w:p w14:paraId="616EAD3E" w14:textId="77777777" w:rsidR="004F4E7D" w:rsidRDefault="004F4E7D" w:rsidP="004F4E7D">
      <w:pPr>
        <w:jc w:val="both"/>
      </w:pPr>
      <w:proofErr w:type="spellStart"/>
      <w:r w:rsidRPr="00EA68EC">
        <w:t>Sharma</w:t>
      </w:r>
      <w:proofErr w:type="spellEnd"/>
      <w:r w:rsidRPr="00EA68EC">
        <w:t xml:space="preserve"> ve diğerleri (2022) tarafından geliştirilen ölçek, 15 maddeden ("Kendimi sürekli olumsuz haberlere bakarken buluyorum" gibi) oluşan tek boyutlu bir ölçümdür. Katılımcılar bu maddeleri, 1'in "kesinlikle katılmıyorum" ve 7'nin "kesinlikle katılıyorum" anlamına geldiği 7'li </w:t>
      </w:r>
      <w:proofErr w:type="spellStart"/>
      <w:r w:rsidRPr="00EA68EC">
        <w:t>Likert</w:t>
      </w:r>
      <w:proofErr w:type="spellEnd"/>
      <w:r w:rsidRPr="00EA68EC">
        <w:t xml:space="preserve"> ölçeği üzerinden değerlendirmektedir. Ölçekten alınan yüksek puanlar, daha yüksek düzeyde kıyamet kaygısına işaret etmektedir. Satıcı ve arkadaşları (2022) ölçeği Türkiye </w:t>
      </w:r>
      <w:r w:rsidRPr="00EA68EC">
        <w:lastRenderedPageBreak/>
        <w:t xml:space="preserve">bağlamına uyarlamak için bir çalışma yürütmüştür. Ölçeğin uyarlanmış versiyonu iyi uyum indeksleri göstermiştir (GFI = 0.958, CFI = 0.970, NFI = 0.960, IFI = 0.970, SRMR = 0.063). Araştırmacılar ayrıca ölçeğin 4 maddelik versiyonu için doğrulayıcı faktör analizi (DFA) yapmış ve modelin uyumlu olduğu görülmüştür (CFI =0.95, NFI = 0.94, IFI = 0.95, SRMR = 0.044). Bu çalışma için </w:t>
      </w:r>
      <w:proofErr w:type="spellStart"/>
      <w:r w:rsidRPr="00EA68EC">
        <w:t>cronbach</w:t>
      </w:r>
      <w:proofErr w:type="spellEnd"/>
      <w:r w:rsidRPr="00EA68EC">
        <w:t xml:space="preserve"> alfa iç tutarlılık katsayısı tekrar hesaplanmıştır.</w:t>
      </w:r>
    </w:p>
    <w:p w14:paraId="6DF90441" w14:textId="77777777" w:rsidR="004F4E7D" w:rsidRPr="00EA68EC" w:rsidRDefault="004F4E7D" w:rsidP="004F4E7D">
      <w:pPr>
        <w:jc w:val="both"/>
      </w:pPr>
    </w:p>
    <w:p w14:paraId="05251E90" w14:textId="77777777" w:rsidR="004F4E7D" w:rsidRPr="00EA68EC" w:rsidRDefault="004F4E7D" w:rsidP="004F4E7D">
      <w:pPr>
        <w:jc w:val="both"/>
        <w:rPr>
          <w:b/>
        </w:rPr>
      </w:pPr>
      <w:r w:rsidRPr="00EA68EC">
        <w:rPr>
          <w:b/>
        </w:rPr>
        <w:t>Prososyal Eğilim Ölçeği</w:t>
      </w:r>
    </w:p>
    <w:p w14:paraId="7C1231D5" w14:textId="77777777" w:rsidR="004F4E7D" w:rsidRDefault="004F4E7D" w:rsidP="004F4E7D">
      <w:pPr>
        <w:jc w:val="both"/>
      </w:pPr>
      <w:r w:rsidRPr="00EA68EC">
        <w:t xml:space="preserve">Yirmi üç maddeden oluşan ölçek Carlo ve </w:t>
      </w:r>
      <w:proofErr w:type="spellStart"/>
      <w:r w:rsidRPr="00EA68EC">
        <w:t>Randal</w:t>
      </w:r>
      <w:proofErr w:type="spellEnd"/>
      <w:r w:rsidRPr="00EA68EC">
        <w:t xml:space="preserve"> (2002) tarafından prososyal davranış eğilimini üniversite öğrencisi örnekleminde ölçmek amacıyla geliştirilmiştir. Ölçekte beşli </w:t>
      </w:r>
      <w:proofErr w:type="spellStart"/>
      <w:r w:rsidRPr="00EA68EC">
        <w:t>Likert</w:t>
      </w:r>
      <w:proofErr w:type="spellEnd"/>
      <w:r w:rsidRPr="00EA68EC">
        <w:t xml:space="preserve"> tipi cevap formatı kullanılmıştır ve yüksek puanlar daha fazla prososyal davranışa işaret etmektedir. İngilizce versiyonunun iç tutarlılık </w:t>
      </w:r>
      <w:proofErr w:type="gramStart"/>
      <w:r w:rsidRPr="00EA68EC">
        <w:t>katsayısı .</w:t>
      </w:r>
      <w:proofErr w:type="gramEnd"/>
      <w:r w:rsidRPr="00EA68EC">
        <w:t xml:space="preserve">73’dür. Kumru, Carlo ve Edwards (2004) 11-21 yaş arası gençler için ölçeği </w:t>
      </w:r>
      <w:proofErr w:type="spellStart"/>
      <w:r w:rsidRPr="00EA68EC">
        <w:t>Türkçe’ye</w:t>
      </w:r>
      <w:proofErr w:type="spellEnd"/>
      <w:r w:rsidRPr="00EA68EC">
        <w:t xml:space="preserve"> uyarlamıştır. Daha sonra, Yıldız, Taştan-Boz ve Yıldırım (2012) ölçeği üniversite öğrenci örneklemine uyarlamıştır. Yıldız ve arkadaşları (2012) ölçeğin Türkçe versiyonunda dört faktör bulmuşlar ve toplam varyansın %56’sının açıklandığını belirtmişlerdir. İç tutarlılık katsayısının .64 ve .68 arasında değiştiğini eklemişlerdir. Ölçeğin iç tutarlılık katsayısı mevcut çalışmada .71 olarak bulunmuştur. Bu çalışma için Cronbach alfa iç tutarlılık katsayısı tekrar hesaplanmıştır.</w:t>
      </w:r>
    </w:p>
    <w:p w14:paraId="610EA912" w14:textId="77777777" w:rsidR="004F4E7D" w:rsidRPr="00EA68EC" w:rsidRDefault="004F4E7D" w:rsidP="004F4E7D">
      <w:pPr>
        <w:jc w:val="both"/>
      </w:pPr>
    </w:p>
    <w:p w14:paraId="0A78F893" w14:textId="77777777" w:rsidR="004F4E7D" w:rsidRPr="00EA68EC" w:rsidRDefault="004F4E7D" w:rsidP="004F4E7D">
      <w:pPr>
        <w:jc w:val="both"/>
        <w:rPr>
          <w:b/>
        </w:rPr>
      </w:pPr>
      <w:r w:rsidRPr="00EA68EC">
        <w:rPr>
          <w:b/>
        </w:rPr>
        <w:t>Depresyon Anksiyete ve Stres Ölçeği (DAS-21)</w:t>
      </w:r>
    </w:p>
    <w:p w14:paraId="5DE4DB7E" w14:textId="77777777" w:rsidR="004F4E7D" w:rsidRDefault="004F4E7D" w:rsidP="004F4E7D">
      <w:pPr>
        <w:jc w:val="both"/>
      </w:pPr>
      <w:r w:rsidRPr="00EA68EC">
        <w:t xml:space="preserve">Bu ölçek </w:t>
      </w:r>
      <w:proofErr w:type="spellStart"/>
      <w:r w:rsidRPr="00EA68EC">
        <w:t>Lovibond</w:t>
      </w:r>
      <w:proofErr w:type="spellEnd"/>
      <w:r w:rsidRPr="00EA68EC">
        <w:t xml:space="preserve"> ve </w:t>
      </w:r>
      <w:proofErr w:type="spellStart"/>
      <w:r w:rsidRPr="00EA68EC">
        <w:t>Lovibond</w:t>
      </w:r>
      <w:proofErr w:type="spellEnd"/>
      <w:r w:rsidRPr="00EA68EC">
        <w:t xml:space="preserve"> (1995) tarafından bireylerin depresyon, anksiyete ve stres düzeylerini belirlemek amacıyla geliştirilmiştir. Ölçeğin Türkçeye uyarlaması Sarıçam (2018) tarafından yapılmıştır. Ölçek beşli </w:t>
      </w:r>
      <w:proofErr w:type="spellStart"/>
      <w:r w:rsidRPr="00EA68EC">
        <w:t>likert</w:t>
      </w:r>
      <w:proofErr w:type="spellEnd"/>
      <w:r w:rsidRPr="00EA68EC">
        <w:t xml:space="preserve"> tipi olup her bir boyuttan alınabilecek en düşük puan 0 en yüksek puan 21’ </w:t>
      </w:r>
      <w:proofErr w:type="spellStart"/>
      <w:r w:rsidRPr="00EA68EC">
        <w:t>dir</w:t>
      </w:r>
      <w:proofErr w:type="spellEnd"/>
      <w:r w:rsidRPr="00EA68EC">
        <w:t>. DASS 21, üç başlık altında yedişer önerme ile depresyon, anksiyete ve stres düzeyini ölçmeyi hedefleyen toplam 21 önermeden oluşmaktadır. Depresyon boyutunda; karamsarlık, herhangi bir işe başlama konusunda, gevşeklik ve zorlanma, moral bozukluğu, keder, değersizlik, keyifsizlik ve isteksizlik, hayatın anlamsız hissedilmesi gibi duygu ve durumların ölçülmesi hedeflenmektedir. Anksiyete boyutu; korku, panik, endişe gibi duygu ve durumların yanı sıra vücudun bunlara gösterdiği reaksiyonların da değerlendirilmesini içermektedir. Stres boyutunda ise rahat olamama, rahatlıkta zorlanma, öfke, kızgınlık, sabırsızlık ve hoşgörüsüzlük gibi duygu ve durumların ölçülmesi amaçlanmaktadır. Ölçeğin Türkçe uyarlamasında uyum iyiliği değerlerinin de kabul edilebilir aralıklarda olduğu görülmüştür [χ2 (39, N= 101) =74.57, p=0.00), GFI=0.951, CFI=0.956, TLI=0.925, RMSEA=0.044, SRMR=0.046]. Ölçeğin orijinal çalışmasında iç tutarlılık katsayısı depresyon için .94, anksiyete için .87 ve stres için .91 olduğu görülmüştür. Ölçeğin Türkçe uyarlama çalışması için iç tutarlılık katsayısı anksiyete için .84, depresyon için .87 ve stres alt boyutu için .85 olduğu saptanmıştır. Bu çalışma için Cronbach alfa iç tutarlılık katsayısı tekrar hesaplanmıştır.</w:t>
      </w:r>
    </w:p>
    <w:p w14:paraId="2FC5648A" w14:textId="77777777" w:rsidR="004F4E7D" w:rsidRPr="00EA68EC" w:rsidRDefault="004F4E7D" w:rsidP="004F4E7D">
      <w:pPr>
        <w:jc w:val="both"/>
      </w:pPr>
    </w:p>
    <w:p w14:paraId="42AECDF6" w14:textId="77777777" w:rsidR="004F4E7D" w:rsidRPr="00EA68EC" w:rsidRDefault="004F4E7D" w:rsidP="004F4E7D">
      <w:pPr>
        <w:jc w:val="both"/>
        <w:rPr>
          <w:b/>
          <w:color w:val="000000" w:themeColor="text1"/>
        </w:rPr>
      </w:pPr>
      <w:r w:rsidRPr="00EA68EC">
        <w:rPr>
          <w:b/>
          <w:color w:val="000000" w:themeColor="text1"/>
        </w:rPr>
        <w:t>Bulgular</w:t>
      </w:r>
    </w:p>
    <w:p w14:paraId="47202950" w14:textId="77777777" w:rsidR="004F4E7D" w:rsidRPr="00EA68EC" w:rsidRDefault="004F4E7D" w:rsidP="004F4E7D">
      <w:pPr>
        <w:jc w:val="both"/>
      </w:pPr>
      <w:r w:rsidRPr="00EA68EC">
        <w:t xml:space="preserve">Bu bölümde ilk olarak, üniversite öğrencilerinin felaket kaydırması prososyal davranış </w:t>
      </w:r>
      <w:proofErr w:type="gramStart"/>
      <w:r w:rsidRPr="00EA68EC">
        <w:t>ve  depresyon</w:t>
      </w:r>
      <w:proofErr w:type="gramEnd"/>
      <w:r w:rsidRPr="00EA68EC">
        <w:t xml:space="preserve">, anksiyete ve stres arasındaki ilişkileri  belirlemek için </w:t>
      </w:r>
      <w:proofErr w:type="spellStart"/>
      <w:r w:rsidRPr="00EA68EC">
        <w:t>Pearson</w:t>
      </w:r>
      <w:proofErr w:type="spellEnd"/>
      <w:r w:rsidRPr="00EA68EC">
        <w:t xml:space="preserve"> Momentler Korelasyon Analizi yapılmıştır. Çalışmada kullanılan ölçekler arasındaki ilişkiyi incelemek için </w:t>
      </w:r>
      <w:proofErr w:type="spellStart"/>
      <w:r w:rsidRPr="00EA68EC">
        <w:t>Pearson</w:t>
      </w:r>
      <w:proofErr w:type="spellEnd"/>
      <w:r w:rsidRPr="00EA68EC">
        <w:t xml:space="preserve"> korelasyon analizi kullanılmıştır. Ayrıca gruplar arası farklılıkları belirlemek için bağımsız örneklem t- testi yapılmıştır. Sonuçlar, x ile y arasında orta derecede güçlü pozitif bir ilişki (r=., P&lt;.05) olduğunu göstermiştir. Öğrencilerin x ve y puanları birlikte artmıştır. </w:t>
      </w:r>
      <w:proofErr w:type="gramStart"/>
      <w:r w:rsidRPr="00EA68EC">
        <w:t>y</w:t>
      </w:r>
      <w:proofErr w:type="gramEnd"/>
      <w:r w:rsidRPr="00EA68EC">
        <w:t xml:space="preserve"> ve z düzeyleri arasında orta düzeyde pozitif bir ilişki bulunmuştur (r=. , p&lt;.05). Öğrencilerin y puanları z puanları </w:t>
      </w:r>
      <w:proofErr w:type="gramStart"/>
      <w:r w:rsidRPr="00EA68EC">
        <w:t>ile birlikte</w:t>
      </w:r>
      <w:proofErr w:type="gramEnd"/>
      <w:r w:rsidRPr="00EA68EC">
        <w:t xml:space="preserve"> artmıştır. Sonuçlar, x ve z arasında orta düzeyde pozitif bir </w:t>
      </w:r>
      <w:r w:rsidRPr="00EA68EC">
        <w:lastRenderedPageBreak/>
        <w:t>ilişkiye sahip olduğunu göstermiştir (r=</w:t>
      </w:r>
      <w:proofErr w:type="gramStart"/>
      <w:r w:rsidRPr="00EA68EC">
        <w:t>. ,</w:t>
      </w:r>
      <w:proofErr w:type="gramEnd"/>
      <w:r w:rsidRPr="00EA68EC">
        <w:t xml:space="preserve"> P&lt;.05). Öğrencilerin x puanları z puanları </w:t>
      </w:r>
      <w:proofErr w:type="gramStart"/>
      <w:r w:rsidRPr="00EA68EC">
        <w:t>ile birlikte</w:t>
      </w:r>
      <w:proofErr w:type="gramEnd"/>
      <w:r w:rsidRPr="00EA68EC">
        <w:t xml:space="preserve"> artmıştır.</w:t>
      </w:r>
    </w:p>
    <w:p w14:paraId="37DDBED3" w14:textId="77777777" w:rsidR="004F4E7D" w:rsidRPr="007444EC" w:rsidRDefault="004F4E7D" w:rsidP="004F4E7D">
      <w:pPr>
        <w:jc w:val="both"/>
      </w:pPr>
    </w:p>
    <w:p w14:paraId="50EE798C" w14:textId="77777777" w:rsidR="004F4E7D" w:rsidRPr="0092498C" w:rsidRDefault="004F4E7D" w:rsidP="004F4E7D">
      <w:pPr>
        <w:rPr>
          <w:b/>
        </w:rPr>
      </w:pPr>
      <w:r w:rsidRPr="0092498C">
        <w:rPr>
          <w:b/>
        </w:rPr>
        <w:t xml:space="preserve">Kaynakça </w:t>
      </w:r>
    </w:p>
    <w:p w14:paraId="67B9C1FB" w14:textId="77777777" w:rsidR="004F4E7D" w:rsidRPr="00021CEA" w:rsidRDefault="004F4E7D">
      <w:pPr>
        <w:pStyle w:val="ListeParagraf"/>
        <w:widowControl/>
        <w:numPr>
          <w:ilvl w:val="0"/>
          <w:numId w:val="91"/>
        </w:numPr>
        <w:autoSpaceDE/>
        <w:autoSpaceDN/>
        <w:jc w:val="both"/>
      </w:pPr>
      <w:r w:rsidRPr="00021CEA">
        <w:t>Akın, A., ve Çetin, B. (2007). Depresyon, anksiyete, stres ölçeği (DASÖ) geçerlik ve güvenirlik.</w:t>
      </w:r>
    </w:p>
    <w:p w14:paraId="5C539705" w14:textId="77777777" w:rsidR="004F4E7D" w:rsidRPr="00021CEA" w:rsidRDefault="004F4E7D">
      <w:pPr>
        <w:pStyle w:val="ListeParagraf"/>
        <w:widowControl/>
        <w:numPr>
          <w:ilvl w:val="0"/>
          <w:numId w:val="91"/>
        </w:numPr>
        <w:autoSpaceDE/>
        <w:autoSpaceDN/>
        <w:jc w:val="both"/>
      </w:pPr>
      <w:proofErr w:type="spellStart"/>
      <w:r w:rsidRPr="00021CEA">
        <w:t>Anand</w:t>
      </w:r>
      <w:proofErr w:type="spellEnd"/>
      <w:r w:rsidRPr="00021CEA">
        <w:t xml:space="preserve">, N., </w:t>
      </w:r>
      <w:proofErr w:type="spellStart"/>
      <w:r w:rsidRPr="00021CEA">
        <w:t>Sharma</w:t>
      </w:r>
      <w:proofErr w:type="spellEnd"/>
      <w:r w:rsidRPr="00021CEA">
        <w:t xml:space="preserve">, M. K., </w:t>
      </w:r>
      <w:proofErr w:type="spellStart"/>
      <w:r w:rsidRPr="00021CEA">
        <w:t>Thakur</w:t>
      </w:r>
      <w:proofErr w:type="spellEnd"/>
      <w:r w:rsidRPr="00021CEA">
        <w:t xml:space="preserve">, P. C., </w:t>
      </w:r>
      <w:proofErr w:type="spellStart"/>
      <w:r w:rsidRPr="00021CEA">
        <w:t>Mondal</w:t>
      </w:r>
      <w:proofErr w:type="spellEnd"/>
      <w:r w:rsidRPr="00021CEA">
        <w:t xml:space="preserve">, I., </w:t>
      </w:r>
      <w:proofErr w:type="spellStart"/>
      <w:r w:rsidRPr="00021CEA">
        <w:t>Sahu</w:t>
      </w:r>
      <w:proofErr w:type="spellEnd"/>
      <w:r w:rsidRPr="00021CEA">
        <w:t xml:space="preserve">, M., Singh, P., ... &amp; Singh, R. (2022). </w:t>
      </w:r>
      <w:proofErr w:type="spellStart"/>
      <w:r w:rsidRPr="00021CEA">
        <w:t>Doomsurfing</w:t>
      </w:r>
      <w:proofErr w:type="spellEnd"/>
      <w:r w:rsidRPr="00021CEA">
        <w:t xml:space="preserve"> </w:t>
      </w:r>
      <w:proofErr w:type="spellStart"/>
      <w:r w:rsidRPr="00021CEA">
        <w:t>and</w:t>
      </w:r>
      <w:proofErr w:type="spellEnd"/>
      <w:r w:rsidRPr="00021CEA">
        <w:t xml:space="preserve"> </w:t>
      </w:r>
      <w:proofErr w:type="spellStart"/>
      <w:r w:rsidRPr="00021CEA">
        <w:t>doomscrolling</w:t>
      </w:r>
      <w:proofErr w:type="spellEnd"/>
      <w:r w:rsidRPr="00021CEA">
        <w:t xml:space="preserve"> </w:t>
      </w:r>
      <w:proofErr w:type="spellStart"/>
      <w:r w:rsidRPr="00021CEA">
        <w:t>mediate</w:t>
      </w:r>
      <w:proofErr w:type="spellEnd"/>
      <w:r w:rsidRPr="00021CEA">
        <w:t xml:space="preserve"> </w:t>
      </w:r>
      <w:proofErr w:type="spellStart"/>
      <w:r w:rsidRPr="00021CEA">
        <w:t>psychological</w:t>
      </w:r>
      <w:proofErr w:type="spellEnd"/>
      <w:r w:rsidRPr="00021CEA">
        <w:t xml:space="preserve"> </w:t>
      </w:r>
      <w:proofErr w:type="spellStart"/>
      <w:r w:rsidRPr="00021CEA">
        <w:t>distress</w:t>
      </w:r>
      <w:proofErr w:type="spellEnd"/>
      <w:r w:rsidRPr="00021CEA">
        <w:t xml:space="preserve"> in COVID‐19 </w:t>
      </w:r>
      <w:proofErr w:type="spellStart"/>
      <w:r w:rsidRPr="00021CEA">
        <w:t>lockdown</w:t>
      </w:r>
      <w:proofErr w:type="spellEnd"/>
      <w:r w:rsidRPr="00021CEA">
        <w:t xml:space="preserve">: </w:t>
      </w:r>
      <w:proofErr w:type="spellStart"/>
      <w:r w:rsidRPr="00021CEA">
        <w:t>Implications</w:t>
      </w:r>
      <w:proofErr w:type="spellEnd"/>
      <w:r w:rsidRPr="00021CEA">
        <w:t xml:space="preserve"> </w:t>
      </w:r>
      <w:proofErr w:type="spellStart"/>
      <w:r w:rsidRPr="00021CEA">
        <w:t>for</w:t>
      </w:r>
      <w:proofErr w:type="spellEnd"/>
      <w:r w:rsidRPr="00021CEA">
        <w:t xml:space="preserve"> </w:t>
      </w:r>
      <w:proofErr w:type="spellStart"/>
      <w:r w:rsidRPr="00021CEA">
        <w:t>awareness</w:t>
      </w:r>
      <w:proofErr w:type="spellEnd"/>
      <w:r w:rsidRPr="00021CEA">
        <w:t xml:space="preserve"> of </w:t>
      </w:r>
      <w:proofErr w:type="spellStart"/>
      <w:r w:rsidRPr="00021CEA">
        <w:t>cognitive</w:t>
      </w:r>
      <w:proofErr w:type="spellEnd"/>
      <w:r w:rsidRPr="00021CEA">
        <w:t xml:space="preserve"> </w:t>
      </w:r>
      <w:proofErr w:type="spellStart"/>
      <w:r w:rsidRPr="00021CEA">
        <w:t>biases</w:t>
      </w:r>
      <w:proofErr w:type="spellEnd"/>
      <w:r w:rsidRPr="00021CEA">
        <w:t xml:space="preserve">. </w:t>
      </w:r>
      <w:proofErr w:type="spellStart"/>
      <w:r w:rsidRPr="00021CEA">
        <w:t>Perspectives</w:t>
      </w:r>
      <w:proofErr w:type="spellEnd"/>
      <w:r w:rsidRPr="00021CEA">
        <w:t xml:space="preserve"> in </w:t>
      </w:r>
      <w:proofErr w:type="spellStart"/>
      <w:r w:rsidRPr="00021CEA">
        <w:t>psychiatric</w:t>
      </w:r>
      <w:proofErr w:type="spellEnd"/>
      <w:r w:rsidRPr="00021CEA">
        <w:t xml:space="preserve"> </w:t>
      </w:r>
      <w:proofErr w:type="spellStart"/>
      <w:r w:rsidRPr="00021CEA">
        <w:t>care</w:t>
      </w:r>
      <w:proofErr w:type="spellEnd"/>
      <w:r w:rsidRPr="00021CEA">
        <w:t>, 58(1), 170-172.</w:t>
      </w:r>
    </w:p>
    <w:p w14:paraId="0DD576AF" w14:textId="77777777" w:rsidR="004F4E7D" w:rsidRPr="00021CEA" w:rsidRDefault="004F4E7D">
      <w:pPr>
        <w:pStyle w:val="ListeParagraf"/>
        <w:widowControl/>
        <w:numPr>
          <w:ilvl w:val="0"/>
          <w:numId w:val="91"/>
        </w:numPr>
        <w:autoSpaceDE/>
        <w:autoSpaceDN/>
        <w:jc w:val="both"/>
      </w:pPr>
      <w:proofErr w:type="spellStart"/>
      <w:r w:rsidRPr="00021CEA">
        <w:t>Barabak</w:t>
      </w:r>
      <w:proofErr w:type="spellEnd"/>
      <w:r w:rsidRPr="00021CEA">
        <w:t>, M. Z. (2020). “</w:t>
      </w:r>
      <w:proofErr w:type="spellStart"/>
      <w:r w:rsidRPr="00021CEA">
        <w:t>Quarantini</w:t>
      </w:r>
      <w:proofErr w:type="spellEnd"/>
      <w:proofErr w:type="gramStart"/>
      <w:r w:rsidRPr="00021CEA">
        <w:t>.”“</w:t>
      </w:r>
      <w:proofErr w:type="spellStart"/>
      <w:proofErr w:type="gramEnd"/>
      <w:r w:rsidRPr="00021CEA">
        <w:t>Doomscrolling</w:t>
      </w:r>
      <w:proofErr w:type="spellEnd"/>
      <w:r w:rsidRPr="00021CEA">
        <w:t xml:space="preserve">.” </w:t>
      </w:r>
      <w:proofErr w:type="spellStart"/>
      <w:r w:rsidRPr="00021CEA">
        <w:t>Here’s</w:t>
      </w:r>
      <w:proofErr w:type="spellEnd"/>
      <w:r w:rsidRPr="00021CEA">
        <w:t xml:space="preserve"> how </w:t>
      </w:r>
      <w:proofErr w:type="spellStart"/>
      <w:r w:rsidRPr="00021CEA">
        <w:t>the</w:t>
      </w:r>
      <w:proofErr w:type="spellEnd"/>
      <w:r w:rsidRPr="00021CEA">
        <w:t xml:space="preserve"> coronavirus is </w:t>
      </w:r>
      <w:proofErr w:type="spellStart"/>
      <w:r w:rsidRPr="00021CEA">
        <w:t>changing</w:t>
      </w:r>
      <w:proofErr w:type="spellEnd"/>
      <w:r w:rsidRPr="00021CEA">
        <w:t xml:space="preserve"> </w:t>
      </w:r>
      <w:proofErr w:type="spellStart"/>
      <w:r w:rsidRPr="00021CEA">
        <w:t>the</w:t>
      </w:r>
      <w:proofErr w:type="spellEnd"/>
      <w:r w:rsidRPr="00021CEA">
        <w:t xml:space="preserve"> </w:t>
      </w:r>
      <w:proofErr w:type="spellStart"/>
      <w:r w:rsidRPr="00021CEA">
        <w:t>way</w:t>
      </w:r>
      <w:proofErr w:type="spellEnd"/>
      <w:r w:rsidRPr="00021CEA">
        <w:t xml:space="preserve"> </w:t>
      </w:r>
      <w:proofErr w:type="spellStart"/>
      <w:r w:rsidRPr="00021CEA">
        <w:t>we</w:t>
      </w:r>
      <w:proofErr w:type="spellEnd"/>
      <w:r w:rsidRPr="00021CEA">
        <w:t xml:space="preserve"> talk. Los Angeles Times.</w:t>
      </w:r>
    </w:p>
    <w:p w14:paraId="5136BF36" w14:textId="77777777" w:rsidR="004F4E7D" w:rsidRPr="00021CEA" w:rsidRDefault="004F4E7D">
      <w:pPr>
        <w:pStyle w:val="ListeParagraf"/>
        <w:widowControl/>
        <w:numPr>
          <w:ilvl w:val="0"/>
          <w:numId w:val="91"/>
        </w:numPr>
        <w:autoSpaceDE/>
        <w:autoSpaceDN/>
        <w:jc w:val="both"/>
      </w:pPr>
      <w:r w:rsidRPr="00021CEA">
        <w:t xml:space="preserve">Buchanan, K., </w:t>
      </w:r>
      <w:proofErr w:type="spellStart"/>
      <w:r w:rsidRPr="00021CEA">
        <w:t>Aknin</w:t>
      </w:r>
      <w:proofErr w:type="spellEnd"/>
      <w:r w:rsidRPr="00021CEA">
        <w:t xml:space="preserve">, L. B., Lotun, S., &amp; </w:t>
      </w:r>
      <w:proofErr w:type="spellStart"/>
      <w:r w:rsidRPr="00021CEA">
        <w:t>Sandstrom</w:t>
      </w:r>
      <w:proofErr w:type="spellEnd"/>
      <w:r w:rsidRPr="00021CEA">
        <w:t xml:space="preserve">, G. M. (2021). </w:t>
      </w:r>
      <w:proofErr w:type="spellStart"/>
      <w:r w:rsidRPr="00021CEA">
        <w:t>Brief</w:t>
      </w:r>
      <w:proofErr w:type="spellEnd"/>
      <w:r w:rsidRPr="00021CEA">
        <w:t xml:space="preserve"> </w:t>
      </w:r>
      <w:proofErr w:type="spellStart"/>
      <w:r w:rsidRPr="00021CEA">
        <w:t>exposure</w:t>
      </w:r>
      <w:proofErr w:type="spellEnd"/>
      <w:r w:rsidRPr="00021CEA">
        <w:t xml:space="preserve"> </w:t>
      </w:r>
      <w:proofErr w:type="spellStart"/>
      <w:r w:rsidRPr="00021CEA">
        <w:t>to</w:t>
      </w:r>
      <w:proofErr w:type="spellEnd"/>
      <w:r w:rsidRPr="00021CEA">
        <w:t xml:space="preserve"> </w:t>
      </w:r>
      <w:proofErr w:type="spellStart"/>
      <w:r w:rsidRPr="00021CEA">
        <w:t>social</w:t>
      </w:r>
      <w:proofErr w:type="spellEnd"/>
      <w:r w:rsidRPr="00021CEA">
        <w:t xml:space="preserve"> </w:t>
      </w:r>
      <w:proofErr w:type="spellStart"/>
      <w:r w:rsidRPr="00021CEA">
        <w:t>media</w:t>
      </w:r>
      <w:proofErr w:type="spellEnd"/>
      <w:r w:rsidRPr="00021CEA">
        <w:t xml:space="preserve"> </w:t>
      </w:r>
      <w:proofErr w:type="spellStart"/>
      <w:r w:rsidRPr="00021CEA">
        <w:t>during</w:t>
      </w:r>
      <w:proofErr w:type="spellEnd"/>
      <w:r w:rsidRPr="00021CEA">
        <w:t xml:space="preserve"> </w:t>
      </w:r>
      <w:proofErr w:type="spellStart"/>
      <w:r w:rsidRPr="00021CEA">
        <w:t>the</w:t>
      </w:r>
      <w:proofErr w:type="spellEnd"/>
      <w:r w:rsidRPr="00021CEA">
        <w:t xml:space="preserve"> COVID-19 </w:t>
      </w:r>
      <w:proofErr w:type="spellStart"/>
      <w:r w:rsidRPr="00021CEA">
        <w:t>pandemic</w:t>
      </w:r>
      <w:proofErr w:type="spellEnd"/>
      <w:r w:rsidRPr="00021CEA">
        <w:t xml:space="preserve">: </w:t>
      </w:r>
      <w:proofErr w:type="spellStart"/>
      <w:r w:rsidRPr="00021CEA">
        <w:t>Doom-scrolling</w:t>
      </w:r>
      <w:proofErr w:type="spellEnd"/>
      <w:r w:rsidRPr="00021CEA">
        <w:t xml:space="preserve"> has </w:t>
      </w:r>
      <w:proofErr w:type="spellStart"/>
      <w:r w:rsidRPr="00021CEA">
        <w:t>negative</w:t>
      </w:r>
      <w:proofErr w:type="spellEnd"/>
      <w:r w:rsidRPr="00021CEA">
        <w:t xml:space="preserve"> </w:t>
      </w:r>
      <w:proofErr w:type="spellStart"/>
      <w:r w:rsidRPr="00021CEA">
        <w:t>emotional</w:t>
      </w:r>
      <w:proofErr w:type="spellEnd"/>
      <w:r w:rsidRPr="00021CEA">
        <w:t xml:space="preserve"> </w:t>
      </w:r>
      <w:proofErr w:type="spellStart"/>
      <w:r w:rsidRPr="00021CEA">
        <w:t>consequences</w:t>
      </w:r>
      <w:proofErr w:type="spellEnd"/>
      <w:r w:rsidRPr="00021CEA">
        <w:t xml:space="preserve">, but </w:t>
      </w:r>
      <w:proofErr w:type="spellStart"/>
      <w:r w:rsidRPr="00021CEA">
        <w:t>kindness-scrolling</w:t>
      </w:r>
      <w:proofErr w:type="spellEnd"/>
      <w:r w:rsidRPr="00021CEA">
        <w:t xml:space="preserve"> </w:t>
      </w:r>
      <w:proofErr w:type="spellStart"/>
      <w:r w:rsidRPr="00021CEA">
        <w:t>does</w:t>
      </w:r>
      <w:proofErr w:type="spellEnd"/>
      <w:r w:rsidRPr="00021CEA">
        <w:t xml:space="preserve"> not. </w:t>
      </w:r>
      <w:proofErr w:type="spellStart"/>
      <w:r w:rsidRPr="00021CEA">
        <w:t>Plos</w:t>
      </w:r>
      <w:proofErr w:type="spellEnd"/>
      <w:r w:rsidRPr="00021CEA">
        <w:t xml:space="preserve"> </w:t>
      </w:r>
      <w:proofErr w:type="spellStart"/>
      <w:r w:rsidRPr="00021CEA">
        <w:t>one</w:t>
      </w:r>
      <w:proofErr w:type="spellEnd"/>
      <w:r w:rsidRPr="00021CEA">
        <w:t>, 16(10), e0257728.</w:t>
      </w:r>
    </w:p>
    <w:p w14:paraId="3C5257D4" w14:textId="77777777" w:rsidR="004F4E7D" w:rsidRPr="00021CEA" w:rsidRDefault="004F4E7D">
      <w:pPr>
        <w:pStyle w:val="ListeParagraf"/>
        <w:widowControl/>
        <w:numPr>
          <w:ilvl w:val="0"/>
          <w:numId w:val="91"/>
        </w:numPr>
        <w:autoSpaceDE/>
        <w:autoSpaceDN/>
        <w:jc w:val="both"/>
      </w:pPr>
      <w:r w:rsidRPr="00021CEA">
        <w:t xml:space="preserve">Büyüköztürk Ş. Testlerin Geçerlilik ve Güvenilirliğinde Kullanılan Bazı İstatistikler. Sosyal Bilimler İçin Veri Analizi El Kitabı. 16. Baskı, Ankara: </w:t>
      </w:r>
      <w:proofErr w:type="spellStart"/>
      <w:r w:rsidRPr="00021CEA">
        <w:t>Pegem</w:t>
      </w:r>
      <w:proofErr w:type="spellEnd"/>
      <w:r w:rsidRPr="00021CEA">
        <w:t xml:space="preserve"> Akademi; 2012. p.167-82.</w:t>
      </w:r>
    </w:p>
    <w:p w14:paraId="3E00385B" w14:textId="77777777" w:rsidR="004F4E7D" w:rsidRPr="00021CEA" w:rsidRDefault="004F4E7D">
      <w:pPr>
        <w:pStyle w:val="ListeParagraf"/>
        <w:widowControl/>
        <w:numPr>
          <w:ilvl w:val="0"/>
          <w:numId w:val="91"/>
        </w:numPr>
        <w:autoSpaceDE/>
        <w:autoSpaceDN/>
        <w:jc w:val="both"/>
      </w:pPr>
      <w:proofErr w:type="spellStart"/>
      <w:r w:rsidRPr="00021CEA">
        <w:t>Canel-Çınarbaş</w:t>
      </w:r>
      <w:proofErr w:type="spellEnd"/>
      <w:r w:rsidRPr="00021CEA">
        <w:t>, D. ve Doğan, F. (2019). Travma sonrası stres ile prososyal davranış arasındaki ilişkide travma sonrası büyümenin rolü. Nesne, 7(15), 201-213. DOI: 10.7816/nesne-07-15-04</w:t>
      </w:r>
    </w:p>
    <w:p w14:paraId="297EDAD2" w14:textId="77777777" w:rsidR="004F4E7D" w:rsidRPr="00021CEA" w:rsidRDefault="004F4E7D">
      <w:pPr>
        <w:pStyle w:val="ListeParagraf"/>
        <w:widowControl/>
        <w:numPr>
          <w:ilvl w:val="0"/>
          <w:numId w:val="91"/>
        </w:numPr>
        <w:autoSpaceDE/>
        <w:autoSpaceDN/>
        <w:jc w:val="both"/>
      </w:pPr>
      <w:r w:rsidRPr="00021CEA">
        <w:t xml:space="preserve">Carlo, G., &amp; </w:t>
      </w:r>
      <w:proofErr w:type="spellStart"/>
      <w:r w:rsidRPr="00021CEA">
        <w:t>Randall</w:t>
      </w:r>
      <w:proofErr w:type="spellEnd"/>
      <w:r w:rsidRPr="00021CEA">
        <w:t xml:space="preserve">, B. A., (2002). </w:t>
      </w:r>
      <w:proofErr w:type="spellStart"/>
      <w:r w:rsidRPr="00021CEA">
        <w:t>The</w:t>
      </w:r>
      <w:proofErr w:type="spellEnd"/>
      <w:r w:rsidRPr="00021CEA">
        <w:t xml:space="preserve"> Development of a </w:t>
      </w:r>
      <w:proofErr w:type="spellStart"/>
      <w:r w:rsidRPr="00021CEA">
        <w:t>Measure</w:t>
      </w:r>
      <w:proofErr w:type="spellEnd"/>
      <w:r w:rsidRPr="00021CEA">
        <w:t xml:space="preserve"> of </w:t>
      </w:r>
      <w:proofErr w:type="spellStart"/>
      <w:r w:rsidRPr="00021CEA">
        <w:t>Prosocial</w:t>
      </w:r>
      <w:proofErr w:type="spellEnd"/>
      <w:r w:rsidRPr="00021CEA">
        <w:t xml:space="preserve"> </w:t>
      </w:r>
      <w:proofErr w:type="spellStart"/>
      <w:r w:rsidRPr="00021CEA">
        <w:t>Behaviors</w:t>
      </w:r>
      <w:proofErr w:type="spellEnd"/>
      <w:r w:rsidRPr="00021CEA">
        <w:t xml:space="preserve"> </w:t>
      </w:r>
      <w:proofErr w:type="spellStart"/>
      <w:r w:rsidRPr="00021CEA">
        <w:t>for</w:t>
      </w:r>
      <w:proofErr w:type="spellEnd"/>
      <w:r w:rsidRPr="00021CEA">
        <w:t xml:space="preserve"> </w:t>
      </w:r>
      <w:proofErr w:type="spellStart"/>
      <w:r w:rsidRPr="00021CEA">
        <w:t>Late</w:t>
      </w:r>
      <w:proofErr w:type="spellEnd"/>
      <w:r w:rsidRPr="00021CEA">
        <w:t xml:space="preserve"> </w:t>
      </w:r>
      <w:proofErr w:type="spellStart"/>
      <w:r w:rsidRPr="00021CEA">
        <w:t>Adolescents</w:t>
      </w:r>
      <w:proofErr w:type="spellEnd"/>
      <w:r w:rsidRPr="00021CEA">
        <w:t>.</w:t>
      </w:r>
    </w:p>
    <w:p w14:paraId="029D6304" w14:textId="77777777" w:rsidR="004F4E7D" w:rsidRPr="00021CEA" w:rsidRDefault="004F4E7D">
      <w:pPr>
        <w:pStyle w:val="ListeParagraf"/>
        <w:widowControl/>
        <w:numPr>
          <w:ilvl w:val="0"/>
          <w:numId w:val="91"/>
        </w:numPr>
        <w:autoSpaceDE/>
        <w:autoSpaceDN/>
        <w:jc w:val="both"/>
      </w:pPr>
      <w:proofErr w:type="gramStart"/>
      <w:r w:rsidRPr="00021CEA">
        <w:t>çalışması</w:t>
      </w:r>
      <w:proofErr w:type="gramEnd"/>
      <w:r w:rsidRPr="00021CEA">
        <w:t xml:space="preserve">. </w:t>
      </w:r>
      <w:proofErr w:type="spellStart"/>
      <w:r w:rsidRPr="00021CEA">
        <w:t>Educational</w:t>
      </w:r>
      <w:proofErr w:type="spellEnd"/>
      <w:r w:rsidRPr="00021CEA">
        <w:t xml:space="preserve"> </w:t>
      </w:r>
      <w:proofErr w:type="spellStart"/>
      <w:r w:rsidRPr="00021CEA">
        <w:t>Sciences</w:t>
      </w:r>
      <w:proofErr w:type="spellEnd"/>
      <w:r w:rsidRPr="00021CEA">
        <w:t xml:space="preserve">: </w:t>
      </w:r>
      <w:proofErr w:type="spellStart"/>
      <w:r w:rsidRPr="00021CEA">
        <w:t>Theory</w:t>
      </w:r>
      <w:proofErr w:type="spellEnd"/>
      <w:r w:rsidRPr="00021CEA">
        <w:t xml:space="preserve"> &amp; </w:t>
      </w:r>
      <w:proofErr w:type="spellStart"/>
      <w:r w:rsidRPr="00021CEA">
        <w:t>Practice</w:t>
      </w:r>
      <w:proofErr w:type="spellEnd"/>
      <w:r w:rsidRPr="00021CEA">
        <w:t>, 7 (1), 241-268.</w:t>
      </w:r>
    </w:p>
    <w:p w14:paraId="6AEC30D2" w14:textId="77777777" w:rsidR="004F4E7D" w:rsidRPr="00021CEA" w:rsidRDefault="004F4E7D">
      <w:pPr>
        <w:pStyle w:val="ListeParagraf"/>
        <w:widowControl/>
        <w:numPr>
          <w:ilvl w:val="0"/>
          <w:numId w:val="91"/>
        </w:numPr>
        <w:autoSpaceDE/>
        <w:autoSpaceDN/>
        <w:jc w:val="both"/>
      </w:pPr>
      <w:proofErr w:type="spellStart"/>
      <w:r w:rsidRPr="00021CEA">
        <w:t>Dyar</w:t>
      </w:r>
      <w:proofErr w:type="spellEnd"/>
      <w:r w:rsidRPr="00021CEA">
        <w:t xml:space="preserve">, C., </w:t>
      </w:r>
      <w:proofErr w:type="spellStart"/>
      <w:r w:rsidRPr="00021CEA">
        <w:t>Crosby</w:t>
      </w:r>
      <w:proofErr w:type="spellEnd"/>
      <w:r w:rsidRPr="00021CEA">
        <w:t xml:space="preserve">, S., </w:t>
      </w:r>
      <w:proofErr w:type="spellStart"/>
      <w:r w:rsidRPr="00021CEA">
        <w:t>Newcomb</w:t>
      </w:r>
      <w:proofErr w:type="spellEnd"/>
      <w:r w:rsidRPr="00021CEA">
        <w:t xml:space="preserve">, M. E., </w:t>
      </w:r>
      <w:proofErr w:type="spellStart"/>
      <w:r w:rsidRPr="00021CEA">
        <w:t>Mustanski</w:t>
      </w:r>
      <w:proofErr w:type="spellEnd"/>
      <w:r w:rsidRPr="00021CEA">
        <w:t xml:space="preserve">, B., &amp; </w:t>
      </w:r>
      <w:proofErr w:type="spellStart"/>
      <w:r w:rsidRPr="00021CEA">
        <w:t>Kaysen</w:t>
      </w:r>
      <w:proofErr w:type="spellEnd"/>
      <w:r w:rsidRPr="00021CEA">
        <w:t xml:space="preserve">, D. (2022). </w:t>
      </w:r>
      <w:proofErr w:type="spellStart"/>
      <w:r w:rsidRPr="00021CEA">
        <w:t>Doomscrolling</w:t>
      </w:r>
      <w:proofErr w:type="spellEnd"/>
      <w:r w:rsidRPr="00021CEA">
        <w:t xml:space="preserve">: </w:t>
      </w:r>
      <w:proofErr w:type="spellStart"/>
      <w:r w:rsidRPr="00021CEA">
        <w:t>Prospective</w:t>
      </w:r>
      <w:proofErr w:type="spellEnd"/>
      <w:r w:rsidRPr="00021CEA">
        <w:t xml:space="preserve"> </w:t>
      </w:r>
      <w:proofErr w:type="spellStart"/>
      <w:r w:rsidRPr="00021CEA">
        <w:t>associations</w:t>
      </w:r>
      <w:proofErr w:type="spellEnd"/>
      <w:r w:rsidRPr="00021CEA">
        <w:t xml:space="preserve"> </w:t>
      </w:r>
      <w:proofErr w:type="spellStart"/>
      <w:r w:rsidRPr="00021CEA">
        <w:t>between</w:t>
      </w:r>
      <w:proofErr w:type="spellEnd"/>
      <w:r w:rsidRPr="00021CEA">
        <w:t xml:space="preserve"> </w:t>
      </w:r>
      <w:proofErr w:type="spellStart"/>
      <w:r w:rsidRPr="00021CEA">
        <w:t>daily</w:t>
      </w:r>
      <w:proofErr w:type="spellEnd"/>
      <w:r w:rsidRPr="00021CEA">
        <w:t xml:space="preserve"> COVID </w:t>
      </w:r>
      <w:proofErr w:type="spellStart"/>
      <w:r w:rsidRPr="00021CEA">
        <w:t>news</w:t>
      </w:r>
      <w:proofErr w:type="spellEnd"/>
      <w:r w:rsidRPr="00021CEA">
        <w:t xml:space="preserve"> </w:t>
      </w:r>
      <w:proofErr w:type="spellStart"/>
      <w:r w:rsidRPr="00021CEA">
        <w:t>exposure</w:t>
      </w:r>
      <w:proofErr w:type="spellEnd"/>
      <w:r w:rsidRPr="00021CEA">
        <w:t xml:space="preserve">, </w:t>
      </w:r>
      <w:proofErr w:type="spellStart"/>
      <w:r w:rsidRPr="00021CEA">
        <w:t>internalizing</w:t>
      </w:r>
      <w:proofErr w:type="spellEnd"/>
      <w:r w:rsidRPr="00021CEA">
        <w:t xml:space="preserve"> </w:t>
      </w:r>
      <w:proofErr w:type="spellStart"/>
      <w:r w:rsidRPr="00021CEA">
        <w:t>symptoms</w:t>
      </w:r>
      <w:proofErr w:type="spellEnd"/>
      <w:r w:rsidRPr="00021CEA">
        <w:t xml:space="preserve">, </w:t>
      </w:r>
      <w:proofErr w:type="spellStart"/>
      <w:r w:rsidRPr="00021CEA">
        <w:t>and</w:t>
      </w:r>
      <w:proofErr w:type="spellEnd"/>
      <w:r w:rsidRPr="00021CEA">
        <w:t xml:space="preserve"> </w:t>
      </w:r>
      <w:proofErr w:type="spellStart"/>
      <w:r w:rsidRPr="00021CEA">
        <w:t>substance</w:t>
      </w:r>
      <w:proofErr w:type="spellEnd"/>
      <w:r w:rsidRPr="00021CEA">
        <w:t xml:space="preserve"> </w:t>
      </w:r>
      <w:proofErr w:type="spellStart"/>
      <w:r w:rsidRPr="00021CEA">
        <w:t>use</w:t>
      </w:r>
      <w:proofErr w:type="spellEnd"/>
      <w:r w:rsidRPr="00021CEA">
        <w:t xml:space="preserve"> </w:t>
      </w:r>
      <w:proofErr w:type="spellStart"/>
      <w:r w:rsidRPr="00021CEA">
        <w:t>among</w:t>
      </w:r>
      <w:proofErr w:type="spellEnd"/>
      <w:r w:rsidRPr="00021CEA">
        <w:t xml:space="preserve"> </w:t>
      </w:r>
      <w:proofErr w:type="spellStart"/>
      <w:r w:rsidRPr="00021CEA">
        <w:t>sexual</w:t>
      </w:r>
      <w:proofErr w:type="spellEnd"/>
      <w:r w:rsidRPr="00021CEA">
        <w:t xml:space="preserve"> </w:t>
      </w:r>
      <w:proofErr w:type="spellStart"/>
      <w:r w:rsidRPr="00021CEA">
        <w:t>and</w:t>
      </w:r>
      <w:proofErr w:type="spellEnd"/>
      <w:r w:rsidRPr="00021CEA">
        <w:t xml:space="preserve"> </w:t>
      </w:r>
      <w:proofErr w:type="spellStart"/>
      <w:r w:rsidRPr="00021CEA">
        <w:t>gender</w:t>
      </w:r>
      <w:proofErr w:type="spellEnd"/>
      <w:r w:rsidRPr="00021CEA">
        <w:t xml:space="preserve"> </w:t>
      </w:r>
      <w:proofErr w:type="spellStart"/>
      <w:r w:rsidRPr="00021CEA">
        <w:t>minority</w:t>
      </w:r>
      <w:proofErr w:type="spellEnd"/>
      <w:r w:rsidRPr="00021CEA">
        <w:t xml:space="preserve"> </w:t>
      </w:r>
      <w:proofErr w:type="spellStart"/>
      <w:r w:rsidRPr="00021CEA">
        <w:t>individuals</w:t>
      </w:r>
      <w:proofErr w:type="spellEnd"/>
      <w:r w:rsidRPr="00021CEA">
        <w:t xml:space="preserve"> </w:t>
      </w:r>
      <w:proofErr w:type="spellStart"/>
      <w:r w:rsidRPr="00021CEA">
        <w:t>assigned</w:t>
      </w:r>
      <w:proofErr w:type="spellEnd"/>
      <w:r w:rsidRPr="00021CEA">
        <w:t xml:space="preserve"> </w:t>
      </w:r>
      <w:proofErr w:type="spellStart"/>
      <w:r w:rsidRPr="00021CEA">
        <w:t>female</w:t>
      </w:r>
      <w:proofErr w:type="spellEnd"/>
      <w:r w:rsidRPr="00021CEA">
        <w:t xml:space="preserve"> at </w:t>
      </w:r>
      <w:proofErr w:type="spellStart"/>
      <w:r w:rsidRPr="00021CEA">
        <w:t>birth</w:t>
      </w:r>
      <w:proofErr w:type="spellEnd"/>
      <w:r w:rsidRPr="00021CEA">
        <w:t xml:space="preserve">. </w:t>
      </w:r>
      <w:proofErr w:type="spellStart"/>
      <w:r w:rsidRPr="00021CEA">
        <w:t>Psychology</w:t>
      </w:r>
      <w:proofErr w:type="spellEnd"/>
      <w:r w:rsidRPr="00021CEA">
        <w:t xml:space="preserve"> of </w:t>
      </w:r>
      <w:proofErr w:type="spellStart"/>
      <w:r w:rsidRPr="00021CEA">
        <w:t>Sexual</w:t>
      </w:r>
      <w:proofErr w:type="spellEnd"/>
      <w:r w:rsidRPr="00021CEA">
        <w:t xml:space="preserve"> </w:t>
      </w:r>
      <w:proofErr w:type="spellStart"/>
      <w:r w:rsidRPr="00021CEA">
        <w:t>Orientation</w:t>
      </w:r>
      <w:proofErr w:type="spellEnd"/>
      <w:r w:rsidRPr="00021CEA">
        <w:t xml:space="preserve"> </w:t>
      </w:r>
      <w:proofErr w:type="spellStart"/>
      <w:r w:rsidRPr="00021CEA">
        <w:t>and</w:t>
      </w:r>
      <w:proofErr w:type="spellEnd"/>
      <w:r w:rsidRPr="00021CEA">
        <w:t xml:space="preserve"> </w:t>
      </w:r>
      <w:proofErr w:type="spellStart"/>
      <w:r w:rsidRPr="00021CEA">
        <w:t>Gender</w:t>
      </w:r>
      <w:proofErr w:type="spellEnd"/>
      <w:r w:rsidRPr="00021CEA">
        <w:t xml:space="preserve"> </w:t>
      </w:r>
      <w:proofErr w:type="spellStart"/>
      <w:r w:rsidRPr="00021CEA">
        <w:t>Diversity</w:t>
      </w:r>
      <w:proofErr w:type="spellEnd"/>
      <w:r w:rsidRPr="00021CEA">
        <w:t>.</w:t>
      </w:r>
    </w:p>
    <w:p w14:paraId="0219D41E" w14:textId="77777777" w:rsidR="004F4E7D" w:rsidRPr="00021CEA" w:rsidRDefault="004F4E7D">
      <w:pPr>
        <w:pStyle w:val="ListeParagraf"/>
        <w:widowControl/>
        <w:numPr>
          <w:ilvl w:val="0"/>
          <w:numId w:val="91"/>
        </w:numPr>
        <w:autoSpaceDE/>
        <w:autoSpaceDN/>
        <w:jc w:val="both"/>
      </w:pPr>
      <w:proofErr w:type="spellStart"/>
      <w:r w:rsidRPr="00021CEA">
        <w:t>Eisenberg</w:t>
      </w:r>
      <w:proofErr w:type="spellEnd"/>
      <w:r w:rsidRPr="00021CEA">
        <w:t xml:space="preserve">, N., </w:t>
      </w:r>
      <w:proofErr w:type="spellStart"/>
      <w:r w:rsidRPr="00021CEA">
        <w:t>Fabes</w:t>
      </w:r>
      <w:proofErr w:type="spellEnd"/>
      <w:r w:rsidRPr="00021CEA">
        <w:t xml:space="preserve">, R. A. ve </w:t>
      </w:r>
      <w:proofErr w:type="spellStart"/>
      <w:r w:rsidRPr="00021CEA">
        <w:t>Spinrad</w:t>
      </w:r>
      <w:proofErr w:type="spellEnd"/>
      <w:r w:rsidRPr="00021CEA">
        <w:t xml:space="preserve">, T. L. (2006). </w:t>
      </w:r>
      <w:proofErr w:type="spellStart"/>
      <w:r w:rsidRPr="00021CEA">
        <w:t>Prosocial</w:t>
      </w:r>
      <w:proofErr w:type="spellEnd"/>
      <w:r w:rsidRPr="00021CEA">
        <w:t xml:space="preserve"> </w:t>
      </w:r>
      <w:proofErr w:type="spellStart"/>
      <w:r w:rsidRPr="00021CEA">
        <w:t>development</w:t>
      </w:r>
      <w:proofErr w:type="spellEnd"/>
      <w:r w:rsidRPr="00021CEA">
        <w:t xml:space="preserve">. W. </w:t>
      </w:r>
      <w:proofErr w:type="spellStart"/>
      <w:r w:rsidRPr="00021CEA">
        <w:t>Damon</w:t>
      </w:r>
      <w:proofErr w:type="spellEnd"/>
      <w:r w:rsidRPr="00021CEA">
        <w:t xml:space="preserve"> ve R. M. </w:t>
      </w:r>
      <w:proofErr w:type="spellStart"/>
      <w:r w:rsidRPr="00021CEA">
        <w:t>Lerner</w:t>
      </w:r>
      <w:proofErr w:type="spellEnd"/>
      <w:r w:rsidRPr="00021CEA">
        <w:t xml:space="preserve">, (Ed.), </w:t>
      </w:r>
      <w:proofErr w:type="spellStart"/>
      <w:r w:rsidRPr="00021CEA">
        <w:t>Handbook</w:t>
      </w:r>
      <w:proofErr w:type="spellEnd"/>
      <w:r w:rsidRPr="00021CEA">
        <w:t xml:space="preserve"> of </w:t>
      </w:r>
      <w:proofErr w:type="spellStart"/>
      <w:r w:rsidRPr="00021CEA">
        <w:t>child</w:t>
      </w:r>
      <w:proofErr w:type="spellEnd"/>
      <w:r w:rsidRPr="00021CEA">
        <w:t xml:space="preserve"> </w:t>
      </w:r>
      <w:proofErr w:type="spellStart"/>
      <w:r w:rsidRPr="00021CEA">
        <w:t>psychology</w:t>
      </w:r>
      <w:proofErr w:type="spellEnd"/>
      <w:r w:rsidRPr="00021CEA">
        <w:t xml:space="preserve"> (6. Baskı, s. 646-718) içinde. New York: John </w:t>
      </w:r>
      <w:proofErr w:type="spellStart"/>
      <w:r w:rsidRPr="00021CEA">
        <w:t>Wiley</w:t>
      </w:r>
      <w:proofErr w:type="spellEnd"/>
      <w:r w:rsidRPr="00021CEA">
        <w:t>.</w:t>
      </w:r>
    </w:p>
    <w:p w14:paraId="33EB35A0" w14:textId="77777777" w:rsidR="004F4E7D" w:rsidRPr="00021CEA" w:rsidRDefault="004F4E7D">
      <w:pPr>
        <w:pStyle w:val="ListeParagraf"/>
        <w:widowControl/>
        <w:numPr>
          <w:ilvl w:val="0"/>
          <w:numId w:val="91"/>
        </w:numPr>
        <w:autoSpaceDE/>
        <w:autoSpaceDN/>
        <w:jc w:val="both"/>
      </w:pPr>
      <w:proofErr w:type="spellStart"/>
      <w:r w:rsidRPr="00021CEA">
        <w:t>Frankel</w:t>
      </w:r>
      <w:proofErr w:type="spellEnd"/>
      <w:r w:rsidRPr="00021CEA">
        <w:t xml:space="preserve">, J.R., &amp; </w:t>
      </w:r>
      <w:proofErr w:type="spellStart"/>
      <w:r w:rsidRPr="00021CEA">
        <w:t>Wallen</w:t>
      </w:r>
      <w:proofErr w:type="spellEnd"/>
      <w:r w:rsidRPr="00021CEA">
        <w:t xml:space="preserve">, N.E. (2005). How </w:t>
      </w:r>
      <w:proofErr w:type="spellStart"/>
      <w:r w:rsidRPr="00021CEA">
        <w:t>to</w:t>
      </w:r>
      <w:proofErr w:type="spellEnd"/>
      <w:r w:rsidRPr="00021CEA">
        <w:t xml:space="preserve"> Design </w:t>
      </w:r>
      <w:proofErr w:type="spellStart"/>
      <w:r w:rsidRPr="00021CEA">
        <w:t>and</w:t>
      </w:r>
      <w:proofErr w:type="spellEnd"/>
      <w:r w:rsidRPr="00021CEA">
        <w:t xml:space="preserve"> </w:t>
      </w:r>
      <w:proofErr w:type="spellStart"/>
      <w:r w:rsidRPr="00021CEA">
        <w:t>Evaluate</w:t>
      </w:r>
      <w:proofErr w:type="spellEnd"/>
      <w:r w:rsidRPr="00021CEA">
        <w:t xml:space="preserve"> </w:t>
      </w:r>
      <w:proofErr w:type="spellStart"/>
      <w:r w:rsidRPr="00021CEA">
        <w:t>Research</w:t>
      </w:r>
      <w:proofErr w:type="spellEnd"/>
      <w:r w:rsidRPr="00021CEA">
        <w:t xml:space="preserve"> in </w:t>
      </w:r>
      <w:proofErr w:type="spellStart"/>
      <w:r w:rsidRPr="00021CEA">
        <w:t>Education</w:t>
      </w:r>
      <w:proofErr w:type="spellEnd"/>
      <w:r w:rsidRPr="00021CEA">
        <w:t xml:space="preserve">. McGraw-Hill International Edition. </w:t>
      </w:r>
      <w:proofErr w:type="spellStart"/>
      <w:r w:rsidRPr="00021CEA">
        <w:t>Sixth</w:t>
      </w:r>
      <w:proofErr w:type="spellEnd"/>
      <w:r w:rsidRPr="00021CEA">
        <w:t xml:space="preserve"> </w:t>
      </w:r>
      <w:proofErr w:type="spellStart"/>
      <w:r w:rsidRPr="00021CEA">
        <w:t>edition</w:t>
      </w:r>
      <w:proofErr w:type="spellEnd"/>
      <w:r w:rsidRPr="00021CEA">
        <w:t xml:space="preserve">. </w:t>
      </w:r>
      <w:proofErr w:type="spellStart"/>
      <w:r w:rsidRPr="00021CEA">
        <w:t>Journal</w:t>
      </w:r>
      <w:proofErr w:type="spellEnd"/>
      <w:r w:rsidRPr="00021CEA">
        <w:t xml:space="preserve"> of </w:t>
      </w:r>
      <w:proofErr w:type="spellStart"/>
      <w:r w:rsidRPr="00021CEA">
        <w:t>Youth</w:t>
      </w:r>
      <w:proofErr w:type="spellEnd"/>
      <w:r w:rsidRPr="00021CEA">
        <w:t xml:space="preserve"> </w:t>
      </w:r>
      <w:proofErr w:type="spellStart"/>
      <w:r w:rsidRPr="00021CEA">
        <w:t>and</w:t>
      </w:r>
      <w:proofErr w:type="spellEnd"/>
      <w:r w:rsidRPr="00021CEA">
        <w:t xml:space="preserve"> </w:t>
      </w:r>
      <w:proofErr w:type="spellStart"/>
      <w:r w:rsidRPr="00021CEA">
        <w:t>Adolescence</w:t>
      </w:r>
      <w:proofErr w:type="spellEnd"/>
      <w:r w:rsidRPr="00021CEA">
        <w:t>, 31(1), 31-44.</w:t>
      </w:r>
    </w:p>
    <w:p w14:paraId="617513D7" w14:textId="77777777" w:rsidR="004F4E7D" w:rsidRPr="00021CEA" w:rsidRDefault="004F4E7D">
      <w:pPr>
        <w:pStyle w:val="ListeParagraf"/>
        <w:widowControl/>
        <w:numPr>
          <w:ilvl w:val="0"/>
          <w:numId w:val="91"/>
        </w:numPr>
        <w:autoSpaceDE/>
        <w:autoSpaceDN/>
        <w:jc w:val="both"/>
      </w:pPr>
      <w:proofErr w:type="spellStart"/>
      <w:r w:rsidRPr="00021CEA">
        <w:t>Journalism</w:t>
      </w:r>
      <w:proofErr w:type="spellEnd"/>
      <w:r w:rsidRPr="00021CEA">
        <w:t xml:space="preserve"> </w:t>
      </w:r>
      <w:proofErr w:type="spellStart"/>
      <w:r w:rsidRPr="00021CEA">
        <w:t>Studies</w:t>
      </w:r>
      <w:proofErr w:type="spellEnd"/>
      <w:r w:rsidRPr="00021CEA">
        <w:t xml:space="preserve"> 23 (3), 302-319, 2022. https://www.tandfonline.com/doi/full/10.1080/1461670X.2021.2021105</w:t>
      </w:r>
    </w:p>
    <w:p w14:paraId="63871258" w14:textId="77777777" w:rsidR="004F4E7D" w:rsidRPr="00021CEA" w:rsidRDefault="004F4E7D">
      <w:pPr>
        <w:pStyle w:val="ListeParagraf"/>
        <w:widowControl/>
        <w:numPr>
          <w:ilvl w:val="0"/>
          <w:numId w:val="91"/>
        </w:numPr>
        <w:autoSpaceDE/>
        <w:autoSpaceDN/>
        <w:jc w:val="both"/>
      </w:pPr>
      <w:r w:rsidRPr="00021CEA">
        <w:t xml:space="preserve">Lin, L., &amp; </w:t>
      </w:r>
      <w:proofErr w:type="spellStart"/>
      <w:r w:rsidRPr="00021CEA">
        <w:t>Shek</w:t>
      </w:r>
      <w:proofErr w:type="spellEnd"/>
      <w:r w:rsidRPr="00021CEA">
        <w:t xml:space="preserve">, D. T. (2022). </w:t>
      </w:r>
      <w:proofErr w:type="spellStart"/>
      <w:r w:rsidRPr="00021CEA">
        <w:t>Association</w:t>
      </w:r>
      <w:proofErr w:type="spellEnd"/>
      <w:r w:rsidRPr="00021CEA">
        <w:t xml:space="preserve"> of </w:t>
      </w:r>
      <w:proofErr w:type="spellStart"/>
      <w:r w:rsidRPr="00021CEA">
        <w:t>normative</w:t>
      </w:r>
      <w:proofErr w:type="spellEnd"/>
      <w:r w:rsidRPr="00021CEA">
        <w:t xml:space="preserve"> moral </w:t>
      </w:r>
      <w:proofErr w:type="spellStart"/>
      <w:r w:rsidRPr="00021CEA">
        <w:t>character</w:t>
      </w:r>
      <w:proofErr w:type="spellEnd"/>
      <w:r w:rsidRPr="00021CEA">
        <w:t xml:space="preserve"> </w:t>
      </w:r>
      <w:proofErr w:type="spellStart"/>
      <w:r w:rsidRPr="00021CEA">
        <w:t>and</w:t>
      </w:r>
      <w:proofErr w:type="spellEnd"/>
      <w:r w:rsidRPr="00021CEA">
        <w:t xml:space="preserve"> </w:t>
      </w:r>
      <w:proofErr w:type="spellStart"/>
      <w:r w:rsidRPr="00021CEA">
        <w:t>prosocial</w:t>
      </w:r>
      <w:proofErr w:type="spellEnd"/>
      <w:r w:rsidRPr="00021CEA">
        <w:t xml:space="preserve"> </w:t>
      </w:r>
      <w:proofErr w:type="spellStart"/>
      <w:r w:rsidRPr="00021CEA">
        <w:t>behavior</w:t>
      </w:r>
      <w:proofErr w:type="spellEnd"/>
      <w:r w:rsidRPr="00021CEA">
        <w:t>–</w:t>
      </w:r>
      <w:proofErr w:type="spellStart"/>
      <w:r w:rsidRPr="00021CEA">
        <w:t>Moderators</w:t>
      </w:r>
      <w:proofErr w:type="spellEnd"/>
      <w:r w:rsidRPr="00021CEA">
        <w:t xml:space="preserve"> of </w:t>
      </w:r>
      <w:proofErr w:type="spellStart"/>
      <w:r w:rsidRPr="00021CEA">
        <w:t>personal</w:t>
      </w:r>
      <w:proofErr w:type="spellEnd"/>
      <w:r w:rsidRPr="00021CEA">
        <w:t xml:space="preserve"> moral </w:t>
      </w:r>
      <w:proofErr w:type="spellStart"/>
      <w:r w:rsidRPr="00021CEA">
        <w:t>character</w:t>
      </w:r>
      <w:proofErr w:type="spellEnd"/>
      <w:r w:rsidRPr="00021CEA">
        <w:t xml:space="preserve"> </w:t>
      </w:r>
      <w:proofErr w:type="spellStart"/>
      <w:r w:rsidRPr="00021CEA">
        <w:t>and</w:t>
      </w:r>
      <w:proofErr w:type="spellEnd"/>
      <w:r w:rsidRPr="00021CEA">
        <w:t xml:space="preserve"> </w:t>
      </w:r>
      <w:proofErr w:type="spellStart"/>
      <w:r w:rsidRPr="00021CEA">
        <w:t>sociodemographic</w:t>
      </w:r>
      <w:proofErr w:type="spellEnd"/>
      <w:r w:rsidRPr="00021CEA">
        <w:t xml:space="preserve"> </w:t>
      </w:r>
      <w:proofErr w:type="spellStart"/>
      <w:r w:rsidRPr="00021CEA">
        <w:t>factors</w:t>
      </w:r>
      <w:proofErr w:type="spellEnd"/>
      <w:r w:rsidRPr="00021CEA">
        <w:t xml:space="preserve">. </w:t>
      </w:r>
      <w:proofErr w:type="spellStart"/>
      <w:r w:rsidRPr="00021CEA">
        <w:t>Personality</w:t>
      </w:r>
      <w:proofErr w:type="spellEnd"/>
      <w:r w:rsidRPr="00021CEA">
        <w:t xml:space="preserve"> </w:t>
      </w:r>
      <w:proofErr w:type="spellStart"/>
      <w:r w:rsidRPr="00021CEA">
        <w:t>and</w:t>
      </w:r>
      <w:proofErr w:type="spellEnd"/>
      <w:r w:rsidRPr="00021CEA">
        <w:t xml:space="preserve"> </w:t>
      </w:r>
      <w:proofErr w:type="spellStart"/>
      <w:r w:rsidRPr="00021CEA">
        <w:t>Individual</w:t>
      </w:r>
      <w:proofErr w:type="spellEnd"/>
      <w:r w:rsidRPr="00021CEA">
        <w:t xml:space="preserve"> </w:t>
      </w:r>
      <w:proofErr w:type="spellStart"/>
      <w:r w:rsidRPr="00021CEA">
        <w:t>Differences</w:t>
      </w:r>
      <w:proofErr w:type="spellEnd"/>
      <w:r w:rsidRPr="00021CEA">
        <w:t>, 187, 111400.</w:t>
      </w:r>
    </w:p>
    <w:p w14:paraId="4FD7A1BE" w14:textId="77777777" w:rsidR="004F4E7D" w:rsidRPr="00021CEA" w:rsidRDefault="004F4E7D">
      <w:pPr>
        <w:pStyle w:val="ListeParagraf"/>
        <w:widowControl/>
        <w:numPr>
          <w:ilvl w:val="0"/>
          <w:numId w:val="91"/>
        </w:numPr>
        <w:autoSpaceDE/>
        <w:autoSpaceDN/>
        <w:jc w:val="both"/>
      </w:pPr>
      <w:proofErr w:type="spellStart"/>
      <w:r w:rsidRPr="00021CEA">
        <w:t>Mannell</w:t>
      </w:r>
      <w:proofErr w:type="spellEnd"/>
      <w:r w:rsidRPr="00021CEA">
        <w:t xml:space="preserve">, K., &amp; </w:t>
      </w:r>
      <w:proofErr w:type="spellStart"/>
      <w:r w:rsidRPr="00021CEA">
        <w:t>Meese</w:t>
      </w:r>
      <w:proofErr w:type="spellEnd"/>
      <w:r w:rsidRPr="00021CEA">
        <w:t xml:space="preserve">, J. (2022). </w:t>
      </w:r>
      <w:proofErr w:type="spellStart"/>
      <w:r w:rsidRPr="00021CEA">
        <w:t>From</w:t>
      </w:r>
      <w:proofErr w:type="spellEnd"/>
      <w:r w:rsidRPr="00021CEA">
        <w:t xml:space="preserve"> </w:t>
      </w:r>
      <w:proofErr w:type="spellStart"/>
      <w:r w:rsidRPr="00021CEA">
        <w:t>doom-scrolling</w:t>
      </w:r>
      <w:proofErr w:type="spellEnd"/>
      <w:r w:rsidRPr="00021CEA">
        <w:t xml:space="preserve"> </w:t>
      </w:r>
      <w:proofErr w:type="spellStart"/>
      <w:r w:rsidRPr="00021CEA">
        <w:t>to</w:t>
      </w:r>
      <w:proofErr w:type="spellEnd"/>
      <w:r w:rsidRPr="00021CEA">
        <w:t xml:space="preserve"> </w:t>
      </w:r>
      <w:proofErr w:type="spellStart"/>
      <w:r w:rsidRPr="00021CEA">
        <w:t>news</w:t>
      </w:r>
      <w:proofErr w:type="spellEnd"/>
      <w:r w:rsidRPr="00021CEA">
        <w:t xml:space="preserve"> </w:t>
      </w:r>
      <w:proofErr w:type="spellStart"/>
      <w:r w:rsidRPr="00021CEA">
        <w:t>avoidance</w:t>
      </w:r>
      <w:proofErr w:type="spellEnd"/>
      <w:r w:rsidRPr="00021CEA">
        <w:t xml:space="preserve">: </w:t>
      </w:r>
      <w:proofErr w:type="spellStart"/>
      <w:r w:rsidRPr="00021CEA">
        <w:t>limiting</w:t>
      </w:r>
      <w:proofErr w:type="spellEnd"/>
      <w:r w:rsidRPr="00021CEA">
        <w:t xml:space="preserve"> </w:t>
      </w:r>
      <w:proofErr w:type="spellStart"/>
      <w:r w:rsidRPr="00021CEA">
        <w:t>news</w:t>
      </w:r>
      <w:proofErr w:type="spellEnd"/>
      <w:r w:rsidRPr="00021CEA">
        <w:t xml:space="preserve"> as a </w:t>
      </w:r>
      <w:proofErr w:type="spellStart"/>
      <w:r w:rsidRPr="00021CEA">
        <w:t>wellbeing</w:t>
      </w:r>
      <w:proofErr w:type="spellEnd"/>
      <w:r w:rsidRPr="00021CEA">
        <w:t xml:space="preserve"> </w:t>
      </w:r>
      <w:proofErr w:type="spellStart"/>
      <w:r w:rsidRPr="00021CEA">
        <w:t>strategy</w:t>
      </w:r>
      <w:proofErr w:type="spellEnd"/>
      <w:r w:rsidRPr="00021CEA">
        <w:t xml:space="preserve"> </w:t>
      </w:r>
      <w:proofErr w:type="spellStart"/>
      <w:r w:rsidRPr="00021CEA">
        <w:t>during</w:t>
      </w:r>
      <w:proofErr w:type="spellEnd"/>
      <w:r w:rsidRPr="00021CEA">
        <w:t xml:space="preserve"> COVID </w:t>
      </w:r>
      <w:proofErr w:type="spellStart"/>
      <w:r w:rsidRPr="00021CEA">
        <w:t>lockdown</w:t>
      </w:r>
      <w:proofErr w:type="spellEnd"/>
      <w:r w:rsidRPr="00021CEA">
        <w:t xml:space="preserve">. </w:t>
      </w:r>
      <w:proofErr w:type="spellStart"/>
      <w:r w:rsidRPr="00021CEA">
        <w:t>Journalism</w:t>
      </w:r>
      <w:proofErr w:type="spellEnd"/>
      <w:r w:rsidRPr="00021CEA">
        <w:t xml:space="preserve"> </w:t>
      </w:r>
      <w:proofErr w:type="spellStart"/>
      <w:r w:rsidRPr="00021CEA">
        <w:t>Studies</w:t>
      </w:r>
      <w:proofErr w:type="spellEnd"/>
      <w:r w:rsidRPr="00021CEA">
        <w:t>, 23(3), 302-319.</w:t>
      </w:r>
    </w:p>
    <w:p w14:paraId="1E64E5D2" w14:textId="77777777" w:rsidR="004F4E7D" w:rsidRPr="00021CEA" w:rsidRDefault="004F4E7D">
      <w:pPr>
        <w:pStyle w:val="ListeParagraf"/>
        <w:widowControl/>
        <w:numPr>
          <w:ilvl w:val="0"/>
          <w:numId w:val="91"/>
        </w:numPr>
        <w:autoSpaceDE/>
        <w:autoSpaceDN/>
        <w:jc w:val="both"/>
      </w:pPr>
      <w:proofErr w:type="spellStart"/>
      <w:r w:rsidRPr="00021CEA">
        <w:t>Özbilgin</w:t>
      </w:r>
      <w:proofErr w:type="spellEnd"/>
      <w:r w:rsidRPr="00021CEA">
        <w:t xml:space="preserve">, M., Erbil, C., </w:t>
      </w:r>
      <w:proofErr w:type="spellStart"/>
      <w:r w:rsidRPr="00021CEA">
        <w:t>Şimşek</w:t>
      </w:r>
      <w:proofErr w:type="spellEnd"/>
      <w:r w:rsidRPr="00021CEA">
        <w:t xml:space="preserve"> </w:t>
      </w:r>
      <w:proofErr w:type="spellStart"/>
      <w:r w:rsidRPr="00021CEA">
        <w:t>Demirbag</w:t>
      </w:r>
      <w:proofErr w:type="spellEnd"/>
      <w:r w:rsidRPr="00021CEA">
        <w:t xml:space="preserve">̆, K., </w:t>
      </w:r>
      <w:proofErr w:type="spellStart"/>
      <w:r w:rsidRPr="00021CEA">
        <w:t>Demirbag</w:t>
      </w:r>
      <w:proofErr w:type="spellEnd"/>
      <w:r w:rsidRPr="00021CEA">
        <w:t xml:space="preserve">̆, O. ve Tanrıverdi, V. (2023). Afet </w:t>
      </w:r>
      <w:proofErr w:type="spellStart"/>
      <w:r w:rsidRPr="00021CEA">
        <w:t>Yönetiminde</w:t>
      </w:r>
      <w:proofErr w:type="spellEnd"/>
      <w:r w:rsidRPr="00021CEA">
        <w:t xml:space="preserve"> </w:t>
      </w:r>
      <w:proofErr w:type="spellStart"/>
      <w:r w:rsidRPr="00021CEA">
        <w:t>Sorumluluğun</w:t>
      </w:r>
      <w:proofErr w:type="spellEnd"/>
      <w:r w:rsidRPr="0092498C">
        <w:t xml:space="preserve"> </w:t>
      </w:r>
      <w:r w:rsidRPr="00021CEA">
        <w:t xml:space="preserve">Yeniden </w:t>
      </w:r>
      <w:proofErr w:type="spellStart"/>
      <w:r w:rsidRPr="00021CEA">
        <w:t>İnşası</w:t>
      </w:r>
      <w:proofErr w:type="spellEnd"/>
      <w:r w:rsidRPr="00021CEA">
        <w:t xml:space="preserve">: Deprem, Sosyal Dramalar, Sosyal Politikalar, Sosyal Mucit </w:t>
      </w:r>
      <w:proofErr w:type="spellStart"/>
      <w:r w:rsidRPr="00021CEA">
        <w:t>Academic</w:t>
      </w:r>
      <w:proofErr w:type="spellEnd"/>
      <w:r w:rsidRPr="00021CEA">
        <w:t xml:space="preserve"> </w:t>
      </w:r>
      <w:proofErr w:type="spellStart"/>
      <w:r w:rsidRPr="00021CEA">
        <w:t>Review</w:t>
      </w:r>
      <w:proofErr w:type="spellEnd"/>
      <w:r w:rsidRPr="00021CEA">
        <w:t>, 4(1), 71-112.</w:t>
      </w:r>
    </w:p>
    <w:p w14:paraId="1FD15D11" w14:textId="77777777" w:rsidR="004F4E7D" w:rsidRPr="00021CEA" w:rsidRDefault="004F4E7D">
      <w:pPr>
        <w:pStyle w:val="ListeParagraf"/>
        <w:widowControl/>
        <w:numPr>
          <w:ilvl w:val="0"/>
          <w:numId w:val="91"/>
        </w:numPr>
        <w:autoSpaceDE/>
        <w:autoSpaceDN/>
        <w:jc w:val="both"/>
      </w:pPr>
      <w:proofErr w:type="spellStart"/>
      <w:r w:rsidRPr="00021CEA">
        <w:lastRenderedPageBreak/>
        <w:t>Prayag</w:t>
      </w:r>
      <w:proofErr w:type="spellEnd"/>
      <w:r w:rsidRPr="00021CEA">
        <w:t xml:space="preserve">, G., </w:t>
      </w:r>
      <w:proofErr w:type="spellStart"/>
      <w:r w:rsidRPr="00021CEA">
        <w:t>Ozanne</w:t>
      </w:r>
      <w:proofErr w:type="spellEnd"/>
      <w:r w:rsidRPr="00021CEA">
        <w:t xml:space="preserve">, L. K., &amp; </w:t>
      </w:r>
      <w:proofErr w:type="spellStart"/>
      <w:r w:rsidRPr="00021CEA">
        <w:t>Spector</w:t>
      </w:r>
      <w:proofErr w:type="spellEnd"/>
      <w:r w:rsidRPr="00021CEA">
        <w:t xml:space="preserve">, S. (2021). A </w:t>
      </w:r>
      <w:proofErr w:type="spellStart"/>
      <w:r w:rsidRPr="00021CEA">
        <w:t>psychological</w:t>
      </w:r>
      <w:proofErr w:type="spellEnd"/>
      <w:r w:rsidRPr="00021CEA">
        <w:t xml:space="preserve"> </w:t>
      </w:r>
      <w:proofErr w:type="spellStart"/>
      <w:r w:rsidRPr="00021CEA">
        <w:t>wellbeing</w:t>
      </w:r>
      <w:proofErr w:type="spellEnd"/>
      <w:r w:rsidRPr="00021CEA">
        <w:t xml:space="preserve"> </w:t>
      </w:r>
      <w:proofErr w:type="spellStart"/>
      <w:r w:rsidRPr="00021CEA">
        <w:t>perspective</w:t>
      </w:r>
      <w:proofErr w:type="spellEnd"/>
      <w:r w:rsidRPr="00021CEA">
        <w:t xml:space="preserve"> of </w:t>
      </w:r>
      <w:proofErr w:type="spellStart"/>
      <w:r w:rsidRPr="00021CEA">
        <w:t>long-term</w:t>
      </w:r>
      <w:proofErr w:type="spellEnd"/>
      <w:r w:rsidRPr="00021CEA">
        <w:t xml:space="preserve"> </w:t>
      </w:r>
      <w:proofErr w:type="spellStart"/>
      <w:r w:rsidRPr="00021CEA">
        <w:t>disaster</w:t>
      </w:r>
      <w:proofErr w:type="spellEnd"/>
      <w:r w:rsidRPr="00021CEA">
        <w:t xml:space="preserve"> </w:t>
      </w:r>
      <w:proofErr w:type="spellStart"/>
      <w:r w:rsidRPr="00021CEA">
        <w:t>recovery</w:t>
      </w:r>
      <w:proofErr w:type="spellEnd"/>
      <w:r w:rsidRPr="00021CEA">
        <w:t xml:space="preserve"> </w:t>
      </w:r>
      <w:proofErr w:type="spellStart"/>
      <w:r w:rsidRPr="00021CEA">
        <w:t>following</w:t>
      </w:r>
      <w:proofErr w:type="spellEnd"/>
      <w:r w:rsidRPr="00021CEA">
        <w:t xml:space="preserve"> </w:t>
      </w:r>
      <w:proofErr w:type="spellStart"/>
      <w:r w:rsidRPr="00021CEA">
        <w:t>the</w:t>
      </w:r>
      <w:proofErr w:type="spellEnd"/>
      <w:r w:rsidRPr="00021CEA">
        <w:t xml:space="preserve"> Canterbury </w:t>
      </w:r>
      <w:proofErr w:type="spellStart"/>
      <w:r w:rsidRPr="00021CEA">
        <w:t>earthquakes</w:t>
      </w:r>
      <w:proofErr w:type="spellEnd"/>
      <w:r w:rsidRPr="00021CEA">
        <w:t xml:space="preserve">. International </w:t>
      </w:r>
      <w:proofErr w:type="spellStart"/>
      <w:r w:rsidRPr="00021CEA">
        <w:t>Journal</w:t>
      </w:r>
      <w:proofErr w:type="spellEnd"/>
      <w:r w:rsidRPr="00021CEA">
        <w:t xml:space="preserve"> of </w:t>
      </w:r>
      <w:proofErr w:type="spellStart"/>
      <w:r w:rsidRPr="00021CEA">
        <w:t>Disaster</w:t>
      </w:r>
      <w:proofErr w:type="spellEnd"/>
      <w:r w:rsidRPr="00021CEA">
        <w:t xml:space="preserve"> Risk </w:t>
      </w:r>
      <w:proofErr w:type="spellStart"/>
      <w:r w:rsidRPr="00021CEA">
        <w:t>Reduction</w:t>
      </w:r>
      <w:proofErr w:type="spellEnd"/>
      <w:r w:rsidRPr="00021CEA">
        <w:t xml:space="preserve">, </w:t>
      </w:r>
      <w:proofErr w:type="gramStart"/>
      <w:r w:rsidRPr="00021CEA">
        <w:t>63 ,</w:t>
      </w:r>
      <w:proofErr w:type="gramEnd"/>
      <w:r w:rsidRPr="00021CEA">
        <w:t xml:space="preserve"> </w:t>
      </w:r>
      <w:proofErr w:type="spellStart"/>
      <w:r w:rsidRPr="00021CEA">
        <w:t>Article</w:t>
      </w:r>
      <w:proofErr w:type="spellEnd"/>
      <w:r w:rsidRPr="00021CEA">
        <w:t xml:space="preserve"> 102438. https://doi.org/10.1016/j.ijdrr.2021.102438</w:t>
      </w:r>
    </w:p>
    <w:p w14:paraId="3DEC1C5C" w14:textId="77777777" w:rsidR="004F4E7D" w:rsidRPr="00021CEA" w:rsidRDefault="004F4E7D">
      <w:pPr>
        <w:pStyle w:val="ListeParagraf"/>
        <w:widowControl/>
        <w:numPr>
          <w:ilvl w:val="0"/>
          <w:numId w:val="91"/>
        </w:numPr>
        <w:autoSpaceDE/>
        <w:autoSpaceDN/>
        <w:jc w:val="both"/>
      </w:pPr>
      <w:proofErr w:type="spellStart"/>
      <w:r w:rsidRPr="00021CEA">
        <w:t>Riehm</w:t>
      </w:r>
      <w:proofErr w:type="spellEnd"/>
      <w:r w:rsidRPr="00021CEA">
        <w:t xml:space="preserve"> KE, </w:t>
      </w:r>
      <w:proofErr w:type="spellStart"/>
      <w:r w:rsidRPr="00021CEA">
        <w:t>Holingue</w:t>
      </w:r>
      <w:proofErr w:type="spellEnd"/>
      <w:r w:rsidRPr="00021CEA">
        <w:t xml:space="preserve"> C, </w:t>
      </w:r>
      <w:proofErr w:type="spellStart"/>
      <w:r w:rsidRPr="00021CEA">
        <w:t>Kalb</w:t>
      </w:r>
      <w:proofErr w:type="spellEnd"/>
      <w:r w:rsidRPr="00021CEA">
        <w:t xml:space="preserve"> LG, Bennett D, </w:t>
      </w:r>
      <w:proofErr w:type="spellStart"/>
      <w:r w:rsidRPr="00021CEA">
        <w:t>Kapteyn</w:t>
      </w:r>
      <w:proofErr w:type="spellEnd"/>
      <w:r w:rsidRPr="00021CEA">
        <w:t xml:space="preserve"> A, Jiang Q, et al. </w:t>
      </w:r>
      <w:proofErr w:type="spellStart"/>
      <w:r w:rsidRPr="00021CEA">
        <w:t>Associations</w:t>
      </w:r>
      <w:proofErr w:type="spellEnd"/>
      <w:r w:rsidRPr="00021CEA">
        <w:t xml:space="preserve"> </w:t>
      </w:r>
      <w:proofErr w:type="spellStart"/>
      <w:r w:rsidRPr="00021CEA">
        <w:t>between</w:t>
      </w:r>
      <w:proofErr w:type="spellEnd"/>
      <w:r w:rsidRPr="00021CEA">
        <w:t xml:space="preserve"> </w:t>
      </w:r>
      <w:proofErr w:type="spellStart"/>
      <w:r w:rsidRPr="00021CEA">
        <w:t>media</w:t>
      </w:r>
      <w:proofErr w:type="spellEnd"/>
      <w:r w:rsidRPr="00021CEA">
        <w:t xml:space="preserve"> </w:t>
      </w:r>
      <w:proofErr w:type="spellStart"/>
      <w:r w:rsidRPr="00021CEA">
        <w:t>exposure</w:t>
      </w:r>
      <w:proofErr w:type="spellEnd"/>
      <w:r w:rsidRPr="00021CEA">
        <w:t xml:space="preserve"> </w:t>
      </w:r>
      <w:proofErr w:type="spellStart"/>
      <w:r w:rsidRPr="00021CEA">
        <w:t>and</w:t>
      </w:r>
      <w:proofErr w:type="spellEnd"/>
      <w:r w:rsidRPr="00021CEA">
        <w:t xml:space="preserve"> </w:t>
      </w:r>
      <w:proofErr w:type="spellStart"/>
      <w:r w:rsidRPr="00021CEA">
        <w:t>mental</w:t>
      </w:r>
      <w:proofErr w:type="spellEnd"/>
      <w:r w:rsidRPr="00021CEA">
        <w:t xml:space="preserve"> </w:t>
      </w:r>
      <w:proofErr w:type="spellStart"/>
      <w:r w:rsidRPr="00021CEA">
        <w:t>distress</w:t>
      </w:r>
      <w:proofErr w:type="spellEnd"/>
      <w:r w:rsidRPr="00021CEA">
        <w:t xml:space="preserve"> </w:t>
      </w:r>
      <w:proofErr w:type="spellStart"/>
      <w:r w:rsidRPr="00021CEA">
        <w:t>among</w:t>
      </w:r>
      <w:proofErr w:type="spellEnd"/>
      <w:r w:rsidRPr="00021CEA">
        <w:t xml:space="preserve"> US </w:t>
      </w:r>
      <w:proofErr w:type="spellStart"/>
      <w:r w:rsidRPr="00021CEA">
        <w:t>adults</w:t>
      </w:r>
      <w:proofErr w:type="spellEnd"/>
      <w:r w:rsidRPr="00021CEA">
        <w:t xml:space="preserve"> at </w:t>
      </w:r>
      <w:proofErr w:type="spellStart"/>
      <w:r w:rsidRPr="00021CEA">
        <w:t>the</w:t>
      </w:r>
      <w:proofErr w:type="spellEnd"/>
      <w:r w:rsidRPr="00021CEA">
        <w:t xml:space="preserve"> </w:t>
      </w:r>
      <w:proofErr w:type="spellStart"/>
      <w:r w:rsidRPr="00021CEA">
        <w:t>beginning</w:t>
      </w:r>
      <w:proofErr w:type="spellEnd"/>
      <w:r w:rsidRPr="00021CEA">
        <w:t xml:space="preserve"> of </w:t>
      </w:r>
      <w:proofErr w:type="spellStart"/>
      <w:r w:rsidRPr="00021CEA">
        <w:t>the</w:t>
      </w:r>
      <w:proofErr w:type="spellEnd"/>
      <w:r w:rsidRPr="00021CEA">
        <w:t xml:space="preserve"> COVID-19 </w:t>
      </w:r>
      <w:proofErr w:type="spellStart"/>
      <w:r w:rsidRPr="00021CEA">
        <w:t>pandemic</w:t>
      </w:r>
      <w:proofErr w:type="spellEnd"/>
      <w:r w:rsidRPr="00021CEA">
        <w:t xml:space="preserve">. </w:t>
      </w:r>
      <w:proofErr w:type="spellStart"/>
      <w:r w:rsidRPr="00021CEA">
        <w:t>American</w:t>
      </w:r>
      <w:proofErr w:type="spellEnd"/>
      <w:r w:rsidRPr="00021CEA">
        <w:t xml:space="preserve"> </w:t>
      </w:r>
      <w:proofErr w:type="spellStart"/>
      <w:r w:rsidRPr="00021CEA">
        <w:t>Journal</w:t>
      </w:r>
      <w:proofErr w:type="spellEnd"/>
      <w:r w:rsidRPr="00021CEA">
        <w:t xml:space="preserve"> of </w:t>
      </w:r>
      <w:proofErr w:type="spellStart"/>
      <w:r w:rsidRPr="00021CEA">
        <w:t>Preventive</w:t>
      </w:r>
      <w:proofErr w:type="spellEnd"/>
      <w:r w:rsidRPr="00021CEA">
        <w:t xml:space="preserve"> </w:t>
      </w:r>
      <w:proofErr w:type="spellStart"/>
      <w:r w:rsidRPr="00021CEA">
        <w:t>Medicine</w:t>
      </w:r>
      <w:proofErr w:type="spellEnd"/>
      <w:r w:rsidRPr="00021CEA">
        <w:t xml:space="preserve">. 2020 </w:t>
      </w:r>
      <w:proofErr w:type="spellStart"/>
      <w:r w:rsidRPr="00021CEA">
        <w:t>Nov</w:t>
      </w:r>
      <w:proofErr w:type="spellEnd"/>
      <w:r w:rsidRPr="00021CEA">
        <w:t xml:space="preserve"> 1; 59(5):630–8. pmid:33011008</w:t>
      </w:r>
    </w:p>
    <w:p w14:paraId="2608BE54" w14:textId="77777777" w:rsidR="004F4E7D" w:rsidRPr="00021CEA" w:rsidRDefault="004F4E7D">
      <w:pPr>
        <w:pStyle w:val="ListeParagraf"/>
        <w:widowControl/>
        <w:numPr>
          <w:ilvl w:val="0"/>
          <w:numId w:val="91"/>
        </w:numPr>
        <w:autoSpaceDE/>
        <w:autoSpaceDN/>
        <w:jc w:val="both"/>
      </w:pPr>
      <w:proofErr w:type="spellStart"/>
      <w:r w:rsidRPr="00021CEA">
        <w:t>Rodrigues</w:t>
      </w:r>
      <w:proofErr w:type="spellEnd"/>
      <w:r w:rsidRPr="00021CEA">
        <w:t xml:space="preserve">, E. V. (2022). </w:t>
      </w:r>
      <w:proofErr w:type="spellStart"/>
      <w:r w:rsidRPr="00021CEA">
        <w:t>Doomscrolling</w:t>
      </w:r>
      <w:proofErr w:type="spellEnd"/>
      <w:r w:rsidRPr="00021CEA">
        <w:t>–</w:t>
      </w:r>
      <w:proofErr w:type="spellStart"/>
      <w:r w:rsidRPr="00021CEA">
        <w:t>threat</w:t>
      </w:r>
      <w:proofErr w:type="spellEnd"/>
      <w:r w:rsidRPr="00021CEA">
        <w:t xml:space="preserve"> </w:t>
      </w:r>
      <w:proofErr w:type="spellStart"/>
      <w:r w:rsidRPr="00021CEA">
        <w:t>to</w:t>
      </w:r>
      <w:proofErr w:type="spellEnd"/>
      <w:r w:rsidRPr="00021CEA">
        <w:t xml:space="preserve"> </w:t>
      </w:r>
      <w:proofErr w:type="spellStart"/>
      <w:r w:rsidRPr="00021CEA">
        <w:t>Mental</w:t>
      </w:r>
      <w:proofErr w:type="spellEnd"/>
      <w:r w:rsidRPr="00021CEA">
        <w:t xml:space="preserve"> </w:t>
      </w:r>
      <w:proofErr w:type="spellStart"/>
      <w:r w:rsidRPr="00021CEA">
        <w:t>Health</w:t>
      </w:r>
      <w:proofErr w:type="spellEnd"/>
      <w:r w:rsidRPr="00021CEA">
        <w:t xml:space="preserve"> </w:t>
      </w:r>
      <w:proofErr w:type="spellStart"/>
      <w:r w:rsidRPr="00021CEA">
        <w:t>and</w:t>
      </w:r>
      <w:proofErr w:type="spellEnd"/>
      <w:r w:rsidRPr="00021CEA">
        <w:t xml:space="preserve"> </w:t>
      </w:r>
      <w:proofErr w:type="spellStart"/>
      <w:r w:rsidRPr="00021CEA">
        <w:t>Well-being</w:t>
      </w:r>
      <w:proofErr w:type="spellEnd"/>
      <w:r w:rsidRPr="00021CEA">
        <w:t xml:space="preserve">: A </w:t>
      </w:r>
      <w:proofErr w:type="spellStart"/>
      <w:r w:rsidRPr="00021CEA">
        <w:t>Review</w:t>
      </w:r>
      <w:proofErr w:type="spellEnd"/>
      <w:r w:rsidRPr="00021CEA">
        <w:t xml:space="preserve">. International </w:t>
      </w:r>
      <w:proofErr w:type="spellStart"/>
      <w:r w:rsidRPr="00021CEA">
        <w:t>Journal</w:t>
      </w:r>
      <w:proofErr w:type="spellEnd"/>
      <w:r w:rsidRPr="00021CEA">
        <w:t xml:space="preserve"> of </w:t>
      </w:r>
      <w:proofErr w:type="spellStart"/>
      <w:r w:rsidRPr="00021CEA">
        <w:t>Nursing</w:t>
      </w:r>
      <w:proofErr w:type="spellEnd"/>
      <w:r w:rsidRPr="00021CEA">
        <w:t xml:space="preserve"> </w:t>
      </w:r>
      <w:proofErr w:type="spellStart"/>
      <w:r w:rsidRPr="00021CEA">
        <w:t>Research</w:t>
      </w:r>
      <w:proofErr w:type="spellEnd"/>
      <w:r w:rsidRPr="00021CEA">
        <w:t>, 127-130.</w:t>
      </w:r>
    </w:p>
    <w:p w14:paraId="387A6C3D" w14:textId="77777777" w:rsidR="004F4E7D" w:rsidRPr="00021CEA" w:rsidRDefault="004F4E7D">
      <w:pPr>
        <w:pStyle w:val="ListeParagraf"/>
        <w:widowControl/>
        <w:numPr>
          <w:ilvl w:val="0"/>
          <w:numId w:val="91"/>
        </w:numPr>
        <w:autoSpaceDE/>
        <w:autoSpaceDN/>
        <w:jc w:val="both"/>
      </w:pPr>
      <w:proofErr w:type="spellStart"/>
      <w:r w:rsidRPr="00021CEA">
        <w:t>Sharma</w:t>
      </w:r>
      <w:proofErr w:type="spellEnd"/>
      <w:r w:rsidRPr="00021CEA">
        <w:t xml:space="preserve">, B., Lee, S. S. &amp; Johnson, B. K. (2022). </w:t>
      </w:r>
      <w:proofErr w:type="spellStart"/>
      <w:r w:rsidRPr="00021CEA">
        <w:t>The</w:t>
      </w:r>
      <w:proofErr w:type="spellEnd"/>
      <w:r w:rsidRPr="00021CEA">
        <w:t xml:space="preserve"> Dark at </w:t>
      </w:r>
      <w:proofErr w:type="spellStart"/>
      <w:r w:rsidRPr="00021CEA">
        <w:t>the</w:t>
      </w:r>
      <w:proofErr w:type="spellEnd"/>
      <w:r w:rsidRPr="00021CEA">
        <w:t xml:space="preserve"> </w:t>
      </w:r>
      <w:proofErr w:type="spellStart"/>
      <w:r w:rsidRPr="00021CEA">
        <w:t>End</w:t>
      </w:r>
      <w:proofErr w:type="spellEnd"/>
      <w:r w:rsidRPr="00021CEA">
        <w:t xml:space="preserve"> of </w:t>
      </w:r>
      <w:proofErr w:type="spellStart"/>
      <w:r w:rsidRPr="00021CEA">
        <w:t>the</w:t>
      </w:r>
      <w:proofErr w:type="spellEnd"/>
      <w:r w:rsidRPr="00021CEA">
        <w:t xml:space="preserve"> </w:t>
      </w:r>
      <w:proofErr w:type="spellStart"/>
      <w:r w:rsidRPr="00021CEA">
        <w:t>Tunnel</w:t>
      </w:r>
      <w:proofErr w:type="spellEnd"/>
      <w:r w:rsidRPr="00021CEA">
        <w:t xml:space="preserve">: </w:t>
      </w:r>
      <w:proofErr w:type="spellStart"/>
      <w:r w:rsidRPr="00021CEA">
        <w:t>Doomscrolling</w:t>
      </w:r>
      <w:proofErr w:type="spellEnd"/>
      <w:r w:rsidRPr="00021CEA">
        <w:t xml:space="preserve"> on </w:t>
      </w:r>
      <w:proofErr w:type="spellStart"/>
      <w:r w:rsidRPr="00021CEA">
        <w:t>Social</w:t>
      </w:r>
      <w:proofErr w:type="spellEnd"/>
      <w:r w:rsidRPr="00021CEA">
        <w:t xml:space="preserve"> Media </w:t>
      </w:r>
      <w:proofErr w:type="spellStart"/>
      <w:r w:rsidRPr="00021CEA">
        <w:t>Newsfeeds</w:t>
      </w:r>
      <w:proofErr w:type="spellEnd"/>
      <w:r w:rsidRPr="00021CEA">
        <w:t xml:space="preserve">. </w:t>
      </w:r>
      <w:proofErr w:type="spellStart"/>
      <w:r w:rsidRPr="00021CEA">
        <w:t>Technology</w:t>
      </w:r>
      <w:proofErr w:type="spellEnd"/>
      <w:r w:rsidRPr="00021CEA">
        <w:t xml:space="preserve">, </w:t>
      </w:r>
      <w:proofErr w:type="spellStart"/>
      <w:r w:rsidRPr="00021CEA">
        <w:t>Mind</w:t>
      </w:r>
      <w:proofErr w:type="spellEnd"/>
      <w:r w:rsidRPr="00021CEA">
        <w:t xml:space="preserve">, </w:t>
      </w:r>
      <w:proofErr w:type="spellStart"/>
      <w:r w:rsidRPr="00021CEA">
        <w:t>and</w:t>
      </w:r>
      <w:proofErr w:type="spellEnd"/>
      <w:r w:rsidRPr="00021CEA">
        <w:t xml:space="preserve"> </w:t>
      </w:r>
      <w:proofErr w:type="spellStart"/>
      <w:r w:rsidRPr="00021CEA">
        <w:t>Behavior</w:t>
      </w:r>
      <w:proofErr w:type="spellEnd"/>
      <w:r w:rsidRPr="00021CEA">
        <w:t xml:space="preserve">, 3 (1). </w:t>
      </w:r>
      <w:proofErr w:type="gramStart"/>
      <w:r w:rsidRPr="00021CEA">
        <w:t>doi</w:t>
      </w:r>
      <w:proofErr w:type="gramEnd"/>
      <w:r w:rsidRPr="00021CEA">
        <w:t>:10.1037/TMB0000059</w:t>
      </w:r>
    </w:p>
    <w:p w14:paraId="4B974430" w14:textId="77777777" w:rsidR="004F4E7D" w:rsidRPr="00021CEA" w:rsidRDefault="004F4E7D">
      <w:pPr>
        <w:pStyle w:val="ListeParagraf"/>
        <w:widowControl/>
        <w:numPr>
          <w:ilvl w:val="0"/>
          <w:numId w:val="91"/>
        </w:numPr>
        <w:autoSpaceDE/>
        <w:autoSpaceDN/>
        <w:jc w:val="both"/>
      </w:pPr>
      <w:proofErr w:type="spellStart"/>
      <w:r w:rsidRPr="00021CEA">
        <w:t>Stidham</w:t>
      </w:r>
      <w:proofErr w:type="spellEnd"/>
      <w:r w:rsidRPr="00021CEA">
        <w:t xml:space="preserve">, A. W., </w:t>
      </w:r>
      <w:proofErr w:type="spellStart"/>
      <w:r w:rsidRPr="00021CEA">
        <w:t>Draucker</w:t>
      </w:r>
      <w:proofErr w:type="spellEnd"/>
      <w:r w:rsidRPr="00021CEA">
        <w:t xml:space="preserve">, C. B., </w:t>
      </w:r>
      <w:proofErr w:type="spellStart"/>
      <w:r w:rsidRPr="00021CEA">
        <w:t>Martsolf</w:t>
      </w:r>
      <w:proofErr w:type="spellEnd"/>
      <w:r w:rsidRPr="00021CEA">
        <w:t xml:space="preserve">, D. S. ve </w:t>
      </w:r>
      <w:proofErr w:type="spellStart"/>
      <w:r w:rsidRPr="00021CEA">
        <w:t>Mullen</w:t>
      </w:r>
      <w:proofErr w:type="spellEnd"/>
      <w:r w:rsidRPr="00021CEA">
        <w:t xml:space="preserve">, L. P. (2012). </w:t>
      </w:r>
      <w:proofErr w:type="spellStart"/>
      <w:r w:rsidRPr="00021CEA">
        <w:t>Altruism</w:t>
      </w:r>
      <w:proofErr w:type="spellEnd"/>
      <w:r w:rsidRPr="00021CEA">
        <w:t xml:space="preserve"> in </w:t>
      </w:r>
      <w:proofErr w:type="spellStart"/>
      <w:r w:rsidRPr="00021CEA">
        <w:t>survivors</w:t>
      </w:r>
      <w:proofErr w:type="spellEnd"/>
      <w:r w:rsidRPr="00021CEA">
        <w:t xml:space="preserve"> of </w:t>
      </w:r>
      <w:proofErr w:type="spellStart"/>
      <w:r w:rsidRPr="00021CEA">
        <w:t>sexual</w:t>
      </w:r>
      <w:proofErr w:type="spellEnd"/>
      <w:r w:rsidRPr="00021CEA">
        <w:t xml:space="preserve"> </w:t>
      </w:r>
      <w:proofErr w:type="spellStart"/>
      <w:proofErr w:type="gramStart"/>
      <w:r w:rsidRPr="00021CEA">
        <w:t>violence:the</w:t>
      </w:r>
      <w:proofErr w:type="spellEnd"/>
      <w:proofErr w:type="gramEnd"/>
      <w:r w:rsidRPr="00021CEA">
        <w:t xml:space="preserve"> </w:t>
      </w:r>
      <w:proofErr w:type="spellStart"/>
      <w:r w:rsidRPr="00021CEA">
        <w:t>typology</w:t>
      </w:r>
      <w:proofErr w:type="spellEnd"/>
      <w:r w:rsidRPr="00021CEA">
        <w:t xml:space="preserve"> of </w:t>
      </w:r>
      <w:proofErr w:type="spellStart"/>
      <w:r w:rsidRPr="00021CEA">
        <w:t>helping</w:t>
      </w:r>
      <w:proofErr w:type="spellEnd"/>
      <w:r w:rsidRPr="00021CEA">
        <w:t xml:space="preserve"> </w:t>
      </w:r>
      <w:proofErr w:type="spellStart"/>
      <w:r w:rsidRPr="00021CEA">
        <w:t>others</w:t>
      </w:r>
      <w:proofErr w:type="spellEnd"/>
      <w:r w:rsidRPr="00021CEA">
        <w:t xml:space="preserve">. </w:t>
      </w:r>
      <w:proofErr w:type="spellStart"/>
      <w:r w:rsidRPr="00021CEA">
        <w:t>Journal</w:t>
      </w:r>
      <w:proofErr w:type="spellEnd"/>
      <w:r w:rsidRPr="00021CEA">
        <w:t xml:space="preserve"> of </w:t>
      </w:r>
      <w:proofErr w:type="spellStart"/>
      <w:r w:rsidRPr="00021CEA">
        <w:t>the</w:t>
      </w:r>
      <w:proofErr w:type="spellEnd"/>
      <w:r w:rsidRPr="00021CEA">
        <w:t xml:space="preserve"> </w:t>
      </w:r>
      <w:proofErr w:type="spellStart"/>
      <w:r w:rsidRPr="00021CEA">
        <w:t>American</w:t>
      </w:r>
      <w:proofErr w:type="spellEnd"/>
      <w:r w:rsidRPr="00021CEA">
        <w:t xml:space="preserve"> </w:t>
      </w:r>
      <w:proofErr w:type="spellStart"/>
      <w:r w:rsidRPr="00021CEA">
        <w:t>Psychiatric</w:t>
      </w:r>
      <w:proofErr w:type="spellEnd"/>
      <w:r w:rsidRPr="00021CEA">
        <w:t xml:space="preserve"> </w:t>
      </w:r>
      <w:proofErr w:type="spellStart"/>
      <w:r w:rsidRPr="00021CEA">
        <w:t>Nurses</w:t>
      </w:r>
      <w:proofErr w:type="spellEnd"/>
      <w:r w:rsidRPr="00021CEA">
        <w:t xml:space="preserve"> </w:t>
      </w:r>
      <w:proofErr w:type="spellStart"/>
      <w:r w:rsidRPr="00021CEA">
        <w:t>Association</w:t>
      </w:r>
      <w:proofErr w:type="spellEnd"/>
      <w:r w:rsidRPr="00021CEA">
        <w:t>, 18(3) 146–155.</w:t>
      </w:r>
    </w:p>
    <w:p w14:paraId="051FD216" w14:textId="77777777" w:rsidR="004F4E7D" w:rsidRPr="00021CEA" w:rsidRDefault="004F4E7D">
      <w:pPr>
        <w:pStyle w:val="ListeParagraf"/>
        <w:widowControl/>
        <w:numPr>
          <w:ilvl w:val="0"/>
          <w:numId w:val="91"/>
        </w:numPr>
        <w:autoSpaceDE/>
        <w:autoSpaceDN/>
        <w:jc w:val="both"/>
      </w:pPr>
      <w:proofErr w:type="spellStart"/>
      <w:r w:rsidRPr="00021CEA">
        <w:t>Trull</w:t>
      </w:r>
      <w:proofErr w:type="spellEnd"/>
      <w:r w:rsidRPr="00021CEA">
        <w:t xml:space="preserve">, R. (2014). </w:t>
      </w:r>
      <w:proofErr w:type="spellStart"/>
      <w:r w:rsidRPr="00021CEA">
        <w:t>Prosocial</w:t>
      </w:r>
      <w:proofErr w:type="spellEnd"/>
      <w:r w:rsidRPr="00021CEA">
        <w:t xml:space="preserve"> </w:t>
      </w:r>
      <w:proofErr w:type="spellStart"/>
      <w:r w:rsidRPr="00021CEA">
        <w:t>Behavior</w:t>
      </w:r>
      <w:proofErr w:type="spellEnd"/>
      <w:r w:rsidRPr="00021CEA">
        <w:t xml:space="preserve"> </w:t>
      </w:r>
      <w:proofErr w:type="spellStart"/>
      <w:r w:rsidRPr="00021CEA">
        <w:t>and</w:t>
      </w:r>
      <w:proofErr w:type="spellEnd"/>
      <w:r w:rsidRPr="00021CEA">
        <w:t xml:space="preserve"> </w:t>
      </w:r>
      <w:proofErr w:type="spellStart"/>
      <w:r w:rsidRPr="00021CEA">
        <w:t>Posttraumatic</w:t>
      </w:r>
      <w:proofErr w:type="spellEnd"/>
      <w:r w:rsidRPr="00021CEA">
        <w:t xml:space="preserve"> </w:t>
      </w:r>
      <w:proofErr w:type="spellStart"/>
      <w:r w:rsidRPr="00021CEA">
        <w:t>Growth</w:t>
      </w:r>
      <w:proofErr w:type="spellEnd"/>
      <w:r w:rsidRPr="00021CEA">
        <w:t xml:space="preserve"> </w:t>
      </w:r>
      <w:proofErr w:type="spellStart"/>
      <w:r w:rsidRPr="00021CEA">
        <w:t>after</w:t>
      </w:r>
      <w:proofErr w:type="spellEnd"/>
      <w:r w:rsidRPr="00021CEA">
        <w:t xml:space="preserve"> </w:t>
      </w:r>
      <w:proofErr w:type="spellStart"/>
      <w:r w:rsidRPr="00021CEA">
        <w:t>Trauma</w:t>
      </w:r>
      <w:proofErr w:type="spellEnd"/>
      <w:r w:rsidRPr="00021CEA">
        <w:t xml:space="preserve"> [PowerPoint </w:t>
      </w:r>
      <w:proofErr w:type="spellStart"/>
      <w:r w:rsidRPr="00021CEA">
        <w:t>slides</w:t>
      </w:r>
      <w:proofErr w:type="spellEnd"/>
      <w:r w:rsidRPr="00021CEA">
        <w:t xml:space="preserve">]. </w:t>
      </w:r>
      <w:proofErr w:type="spellStart"/>
      <w:r w:rsidRPr="00021CEA">
        <w:t>Retrieved</w:t>
      </w:r>
      <w:proofErr w:type="spellEnd"/>
      <w:r w:rsidRPr="00021CEA">
        <w:t xml:space="preserve"> </w:t>
      </w:r>
      <w:proofErr w:type="spellStart"/>
      <w:r w:rsidRPr="00021CEA">
        <w:t>from</w:t>
      </w:r>
      <w:proofErr w:type="spellEnd"/>
      <w:r w:rsidRPr="00021CEA">
        <w:t xml:space="preserve"> http://scholarworks.boisestate.edu/cgi/viewcontent.cgi?article=1040&amp;context=sspa_14.</w:t>
      </w:r>
    </w:p>
    <w:p w14:paraId="30CB5801" w14:textId="77777777" w:rsidR="004F4E7D" w:rsidRPr="00021CEA" w:rsidRDefault="004F4E7D">
      <w:pPr>
        <w:pStyle w:val="ListeParagraf"/>
        <w:widowControl/>
        <w:numPr>
          <w:ilvl w:val="0"/>
          <w:numId w:val="91"/>
        </w:numPr>
        <w:autoSpaceDE/>
        <w:autoSpaceDN/>
        <w:jc w:val="both"/>
      </w:pPr>
      <w:proofErr w:type="spellStart"/>
      <w:r w:rsidRPr="00021CEA">
        <w:t>Tsai</w:t>
      </w:r>
      <w:proofErr w:type="spellEnd"/>
      <w:r w:rsidRPr="00021CEA">
        <w:t xml:space="preserve">, J., </w:t>
      </w:r>
      <w:proofErr w:type="spellStart"/>
      <w:r w:rsidRPr="00021CEA">
        <w:t>Sippel</w:t>
      </w:r>
      <w:proofErr w:type="spellEnd"/>
      <w:r w:rsidRPr="00021CEA">
        <w:t xml:space="preserve">, L. M., </w:t>
      </w:r>
      <w:proofErr w:type="spellStart"/>
      <w:r w:rsidRPr="00021CEA">
        <w:t>Mota</w:t>
      </w:r>
      <w:proofErr w:type="spellEnd"/>
      <w:r w:rsidRPr="00021CEA">
        <w:t xml:space="preserve">, N., </w:t>
      </w:r>
      <w:proofErr w:type="spellStart"/>
      <w:r w:rsidRPr="00021CEA">
        <w:t>Southwick</w:t>
      </w:r>
      <w:proofErr w:type="spellEnd"/>
      <w:r w:rsidRPr="00021CEA">
        <w:t xml:space="preserve">, S. M., &amp; </w:t>
      </w:r>
      <w:proofErr w:type="spellStart"/>
      <w:r w:rsidRPr="00021CEA">
        <w:t>Pietrzak</w:t>
      </w:r>
      <w:proofErr w:type="spellEnd"/>
      <w:r w:rsidRPr="00021CEA">
        <w:t xml:space="preserve">, R. H. (2016). </w:t>
      </w:r>
      <w:proofErr w:type="spellStart"/>
      <w:r w:rsidRPr="00021CEA">
        <w:t>Longitudinal</w:t>
      </w:r>
      <w:proofErr w:type="spellEnd"/>
      <w:r w:rsidRPr="00021CEA">
        <w:t xml:space="preserve"> </w:t>
      </w:r>
      <w:proofErr w:type="spellStart"/>
      <w:r w:rsidRPr="00021CEA">
        <w:t>course</w:t>
      </w:r>
      <w:proofErr w:type="spellEnd"/>
      <w:r w:rsidRPr="00021CEA">
        <w:t xml:space="preserve"> of </w:t>
      </w:r>
      <w:proofErr w:type="spellStart"/>
      <w:r w:rsidRPr="00021CEA">
        <w:t>posttraumatic</w:t>
      </w:r>
      <w:proofErr w:type="spellEnd"/>
      <w:r w:rsidRPr="00021CEA">
        <w:t xml:space="preserve"> </w:t>
      </w:r>
      <w:proofErr w:type="spellStart"/>
      <w:r w:rsidRPr="00021CEA">
        <w:t>growth</w:t>
      </w:r>
      <w:proofErr w:type="spellEnd"/>
      <w:r w:rsidRPr="00021CEA">
        <w:t xml:space="preserve"> </w:t>
      </w:r>
      <w:proofErr w:type="spellStart"/>
      <w:r w:rsidRPr="00021CEA">
        <w:t>among</w:t>
      </w:r>
      <w:proofErr w:type="spellEnd"/>
      <w:r w:rsidRPr="00021CEA">
        <w:t xml:space="preserve"> U.S. </w:t>
      </w:r>
      <w:proofErr w:type="spellStart"/>
      <w:r w:rsidRPr="00021CEA">
        <w:t>military</w:t>
      </w:r>
      <w:proofErr w:type="spellEnd"/>
      <w:r w:rsidRPr="00021CEA">
        <w:t xml:space="preserve"> </w:t>
      </w:r>
      <w:proofErr w:type="spellStart"/>
      <w:r w:rsidRPr="00021CEA">
        <w:t>veterans</w:t>
      </w:r>
      <w:proofErr w:type="spellEnd"/>
      <w:r w:rsidRPr="00021CEA">
        <w:t xml:space="preserve">: </w:t>
      </w:r>
      <w:proofErr w:type="spellStart"/>
      <w:r w:rsidRPr="00021CEA">
        <w:t>Results</w:t>
      </w:r>
      <w:proofErr w:type="spellEnd"/>
      <w:r w:rsidRPr="00021CEA">
        <w:t xml:space="preserve"> </w:t>
      </w:r>
      <w:proofErr w:type="spellStart"/>
      <w:r w:rsidRPr="00021CEA">
        <w:t>from</w:t>
      </w:r>
      <w:proofErr w:type="spellEnd"/>
      <w:r w:rsidRPr="00021CEA">
        <w:t xml:space="preserve"> </w:t>
      </w:r>
      <w:proofErr w:type="spellStart"/>
      <w:r w:rsidRPr="00021CEA">
        <w:t>the</w:t>
      </w:r>
      <w:proofErr w:type="spellEnd"/>
      <w:r w:rsidRPr="00021CEA">
        <w:t xml:space="preserve"> </w:t>
      </w:r>
      <w:proofErr w:type="spellStart"/>
      <w:r w:rsidRPr="00021CEA">
        <w:t>National</w:t>
      </w:r>
      <w:proofErr w:type="spellEnd"/>
      <w:r w:rsidRPr="00021CEA">
        <w:t xml:space="preserve"> </w:t>
      </w:r>
      <w:proofErr w:type="spellStart"/>
      <w:r w:rsidRPr="00021CEA">
        <w:t>Health</w:t>
      </w:r>
      <w:proofErr w:type="spellEnd"/>
      <w:r w:rsidRPr="00021CEA">
        <w:t xml:space="preserve"> </w:t>
      </w:r>
      <w:proofErr w:type="spellStart"/>
      <w:r w:rsidRPr="00021CEA">
        <w:t>and</w:t>
      </w:r>
      <w:proofErr w:type="spellEnd"/>
      <w:r w:rsidRPr="00021CEA">
        <w:t xml:space="preserve"> </w:t>
      </w:r>
      <w:proofErr w:type="spellStart"/>
      <w:r w:rsidRPr="00021CEA">
        <w:t>Resilience</w:t>
      </w:r>
      <w:proofErr w:type="spellEnd"/>
      <w:r w:rsidRPr="00021CEA">
        <w:t xml:space="preserve"> in </w:t>
      </w:r>
      <w:proofErr w:type="spellStart"/>
      <w:r w:rsidRPr="00021CEA">
        <w:t>Veterans</w:t>
      </w:r>
      <w:proofErr w:type="spellEnd"/>
      <w:r w:rsidRPr="00021CEA">
        <w:t xml:space="preserve"> </w:t>
      </w:r>
      <w:proofErr w:type="spellStart"/>
      <w:r w:rsidRPr="00021CEA">
        <w:t>Study</w:t>
      </w:r>
      <w:proofErr w:type="spellEnd"/>
      <w:r w:rsidRPr="00021CEA">
        <w:t xml:space="preserve">. </w:t>
      </w:r>
      <w:proofErr w:type="spellStart"/>
      <w:r w:rsidRPr="00021CEA">
        <w:t>Depression</w:t>
      </w:r>
      <w:proofErr w:type="spellEnd"/>
      <w:r w:rsidRPr="00021CEA">
        <w:t xml:space="preserve"> </w:t>
      </w:r>
      <w:proofErr w:type="spellStart"/>
      <w:r w:rsidRPr="00021CEA">
        <w:t>and</w:t>
      </w:r>
      <w:proofErr w:type="spellEnd"/>
      <w:r w:rsidRPr="00021CEA">
        <w:t xml:space="preserve"> </w:t>
      </w:r>
      <w:proofErr w:type="spellStart"/>
      <w:r w:rsidRPr="00021CEA">
        <w:t>Anxiety</w:t>
      </w:r>
      <w:proofErr w:type="spellEnd"/>
      <w:r w:rsidRPr="00021CEA">
        <w:t>, 33(1), 9–18. https://doi.org/10.1002/da.22371</w:t>
      </w:r>
    </w:p>
    <w:p w14:paraId="03FBF92E" w14:textId="77777777" w:rsidR="004F4E7D" w:rsidRPr="00021CEA" w:rsidRDefault="004F4E7D">
      <w:pPr>
        <w:pStyle w:val="ListeParagraf"/>
        <w:widowControl/>
        <w:numPr>
          <w:ilvl w:val="0"/>
          <w:numId w:val="91"/>
        </w:numPr>
        <w:autoSpaceDE/>
        <w:autoSpaceDN/>
        <w:jc w:val="both"/>
      </w:pPr>
      <w:proofErr w:type="spellStart"/>
      <w:r w:rsidRPr="00021CEA">
        <w:t>Vollhardt</w:t>
      </w:r>
      <w:proofErr w:type="spellEnd"/>
      <w:r w:rsidRPr="00021CEA">
        <w:t xml:space="preserve">, J. R. (2009). </w:t>
      </w:r>
      <w:proofErr w:type="spellStart"/>
      <w:r w:rsidRPr="00021CEA">
        <w:t>Altruism</w:t>
      </w:r>
      <w:proofErr w:type="spellEnd"/>
      <w:r w:rsidRPr="00021CEA">
        <w:t xml:space="preserve"> </w:t>
      </w:r>
      <w:proofErr w:type="spellStart"/>
      <w:r w:rsidRPr="00021CEA">
        <w:t>born</w:t>
      </w:r>
      <w:proofErr w:type="spellEnd"/>
      <w:r w:rsidRPr="00021CEA">
        <w:t xml:space="preserve"> of </w:t>
      </w:r>
      <w:proofErr w:type="spellStart"/>
      <w:r w:rsidRPr="00021CEA">
        <w:t>suffering</w:t>
      </w:r>
      <w:proofErr w:type="spellEnd"/>
      <w:r w:rsidRPr="00021CEA">
        <w:t xml:space="preserve"> </w:t>
      </w:r>
      <w:proofErr w:type="spellStart"/>
      <w:r w:rsidRPr="00021CEA">
        <w:t>and</w:t>
      </w:r>
      <w:proofErr w:type="spellEnd"/>
      <w:r w:rsidRPr="00021CEA">
        <w:t xml:space="preserve"> </w:t>
      </w:r>
      <w:proofErr w:type="spellStart"/>
      <w:r w:rsidRPr="00021CEA">
        <w:t>prosocial</w:t>
      </w:r>
      <w:proofErr w:type="spellEnd"/>
      <w:r w:rsidRPr="00021CEA">
        <w:t xml:space="preserve"> </w:t>
      </w:r>
      <w:proofErr w:type="spellStart"/>
      <w:r w:rsidRPr="00021CEA">
        <w:t>behaviour</w:t>
      </w:r>
      <w:proofErr w:type="spellEnd"/>
      <w:r w:rsidRPr="00021CEA">
        <w:t xml:space="preserve"> </w:t>
      </w:r>
      <w:proofErr w:type="spellStart"/>
      <w:r w:rsidRPr="00021CEA">
        <w:t>following</w:t>
      </w:r>
      <w:proofErr w:type="spellEnd"/>
      <w:r w:rsidRPr="00021CEA">
        <w:t xml:space="preserve"> adverse life </w:t>
      </w:r>
      <w:proofErr w:type="spellStart"/>
      <w:r w:rsidRPr="00021CEA">
        <w:t>events</w:t>
      </w:r>
      <w:proofErr w:type="spellEnd"/>
      <w:r w:rsidRPr="00021CEA">
        <w:t xml:space="preserve">: A </w:t>
      </w:r>
      <w:proofErr w:type="spellStart"/>
      <w:r w:rsidRPr="00021CEA">
        <w:t>review</w:t>
      </w:r>
      <w:proofErr w:type="spellEnd"/>
      <w:r w:rsidRPr="00021CEA">
        <w:t xml:space="preserve"> </w:t>
      </w:r>
      <w:proofErr w:type="spellStart"/>
      <w:r w:rsidRPr="00021CEA">
        <w:t>and</w:t>
      </w:r>
      <w:proofErr w:type="spellEnd"/>
      <w:r w:rsidRPr="00021CEA">
        <w:t xml:space="preserve"> </w:t>
      </w:r>
      <w:proofErr w:type="spellStart"/>
      <w:r w:rsidRPr="00021CEA">
        <w:t>conceptualization</w:t>
      </w:r>
      <w:proofErr w:type="spellEnd"/>
      <w:r w:rsidRPr="00021CEA">
        <w:t xml:space="preserve">. </w:t>
      </w:r>
      <w:proofErr w:type="spellStart"/>
      <w:r w:rsidRPr="00021CEA">
        <w:t>Social</w:t>
      </w:r>
      <w:proofErr w:type="spellEnd"/>
      <w:r w:rsidRPr="00021CEA">
        <w:t xml:space="preserve"> </w:t>
      </w:r>
      <w:proofErr w:type="spellStart"/>
      <w:r w:rsidRPr="00021CEA">
        <w:t>Justice</w:t>
      </w:r>
      <w:proofErr w:type="spellEnd"/>
      <w:r w:rsidRPr="00021CEA">
        <w:t xml:space="preserve"> </w:t>
      </w:r>
      <w:proofErr w:type="spellStart"/>
      <w:r w:rsidRPr="00021CEA">
        <w:t>Research</w:t>
      </w:r>
      <w:proofErr w:type="spellEnd"/>
      <w:r w:rsidRPr="00021CEA">
        <w:t>, 22(1), 53–97.</w:t>
      </w:r>
    </w:p>
    <w:p w14:paraId="749312E1" w14:textId="77777777" w:rsidR="004F4E7D" w:rsidRPr="00021CEA" w:rsidRDefault="004F4E7D">
      <w:pPr>
        <w:pStyle w:val="ListeParagraf"/>
        <w:widowControl/>
        <w:numPr>
          <w:ilvl w:val="0"/>
          <w:numId w:val="91"/>
        </w:numPr>
        <w:autoSpaceDE/>
        <w:autoSpaceDN/>
        <w:jc w:val="both"/>
      </w:pPr>
      <w:proofErr w:type="spellStart"/>
      <w:r w:rsidRPr="00021CEA">
        <w:t>Wan</w:t>
      </w:r>
      <w:proofErr w:type="spellEnd"/>
      <w:r w:rsidRPr="00021CEA">
        <w:t xml:space="preserve">, X., Huang, H., Zhang, Y., </w:t>
      </w:r>
      <w:proofErr w:type="spellStart"/>
      <w:r w:rsidRPr="00021CEA">
        <w:t>Peng</w:t>
      </w:r>
      <w:proofErr w:type="spellEnd"/>
      <w:r w:rsidRPr="00021CEA">
        <w:t xml:space="preserve">, Q., </w:t>
      </w:r>
      <w:proofErr w:type="spellStart"/>
      <w:r w:rsidRPr="00021CEA">
        <w:t>Guo</w:t>
      </w:r>
      <w:proofErr w:type="spellEnd"/>
      <w:r w:rsidRPr="00021CEA">
        <w:t xml:space="preserve">, X., </w:t>
      </w:r>
      <w:proofErr w:type="spellStart"/>
      <w:r w:rsidRPr="00021CEA">
        <w:t>Wu</w:t>
      </w:r>
      <w:proofErr w:type="spellEnd"/>
      <w:r w:rsidRPr="00021CEA">
        <w:t xml:space="preserve">, S., ... &amp; Chen, C. (2023). </w:t>
      </w:r>
      <w:proofErr w:type="spellStart"/>
      <w:r w:rsidRPr="00021CEA">
        <w:t>The</w:t>
      </w:r>
      <w:proofErr w:type="spellEnd"/>
      <w:r w:rsidRPr="00021CEA">
        <w:t xml:space="preserve"> </w:t>
      </w:r>
      <w:proofErr w:type="spellStart"/>
      <w:r w:rsidRPr="00021CEA">
        <w:t>effect</w:t>
      </w:r>
      <w:proofErr w:type="spellEnd"/>
      <w:r w:rsidRPr="00021CEA">
        <w:t xml:space="preserve"> of </w:t>
      </w:r>
      <w:proofErr w:type="spellStart"/>
      <w:r w:rsidRPr="00021CEA">
        <w:t>prosocial</w:t>
      </w:r>
      <w:proofErr w:type="spellEnd"/>
      <w:r w:rsidRPr="00021CEA">
        <w:t xml:space="preserve"> </w:t>
      </w:r>
      <w:proofErr w:type="spellStart"/>
      <w:r w:rsidRPr="00021CEA">
        <w:t>behaviours</w:t>
      </w:r>
      <w:proofErr w:type="spellEnd"/>
      <w:r w:rsidRPr="00021CEA">
        <w:t xml:space="preserve"> on </w:t>
      </w:r>
      <w:proofErr w:type="spellStart"/>
      <w:r w:rsidRPr="00021CEA">
        <w:t>Chinese</w:t>
      </w:r>
      <w:proofErr w:type="spellEnd"/>
      <w:r w:rsidRPr="00021CEA">
        <w:t xml:space="preserve"> </w:t>
      </w:r>
      <w:proofErr w:type="spellStart"/>
      <w:r w:rsidRPr="00021CEA">
        <w:t>undergraduate</w:t>
      </w:r>
      <w:proofErr w:type="spellEnd"/>
      <w:r w:rsidRPr="00021CEA">
        <w:t xml:space="preserve"> </w:t>
      </w:r>
      <w:proofErr w:type="spellStart"/>
      <w:r w:rsidRPr="00021CEA">
        <w:t>nursing</w:t>
      </w:r>
      <w:proofErr w:type="spellEnd"/>
      <w:r w:rsidRPr="00021CEA">
        <w:t xml:space="preserve"> </w:t>
      </w:r>
      <w:proofErr w:type="spellStart"/>
      <w:r w:rsidRPr="00021CEA">
        <w:t>students</w:t>
      </w:r>
      <w:proofErr w:type="spellEnd"/>
      <w:r w:rsidRPr="00021CEA">
        <w:t xml:space="preserve">' </w:t>
      </w:r>
      <w:proofErr w:type="spellStart"/>
      <w:r w:rsidRPr="00021CEA">
        <w:t>subjective</w:t>
      </w:r>
      <w:proofErr w:type="spellEnd"/>
      <w:r w:rsidRPr="00021CEA">
        <w:t xml:space="preserve"> </w:t>
      </w:r>
      <w:proofErr w:type="spellStart"/>
      <w:r w:rsidRPr="00021CEA">
        <w:t>well‐being</w:t>
      </w:r>
      <w:proofErr w:type="spellEnd"/>
      <w:r w:rsidRPr="00021CEA">
        <w:t xml:space="preserve">: </w:t>
      </w:r>
      <w:proofErr w:type="spellStart"/>
      <w:r w:rsidRPr="00021CEA">
        <w:t>The</w:t>
      </w:r>
      <w:proofErr w:type="spellEnd"/>
      <w:r w:rsidRPr="00021CEA">
        <w:t xml:space="preserve"> </w:t>
      </w:r>
      <w:proofErr w:type="spellStart"/>
      <w:r w:rsidRPr="00021CEA">
        <w:t>mediating</w:t>
      </w:r>
      <w:proofErr w:type="spellEnd"/>
      <w:r w:rsidRPr="00021CEA">
        <w:t xml:space="preserve"> role of </w:t>
      </w:r>
      <w:proofErr w:type="spellStart"/>
      <w:r w:rsidRPr="00021CEA">
        <w:t>psychological</w:t>
      </w:r>
      <w:proofErr w:type="spellEnd"/>
      <w:r w:rsidRPr="00021CEA">
        <w:t xml:space="preserve"> </w:t>
      </w:r>
      <w:proofErr w:type="spellStart"/>
      <w:r w:rsidRPr="00021CEA">
        <w:t>resilience</w:t>
      </w:r>
      <w:proofErr w:type="spellEnd"/>
      <w:r w:rsidRPr="00021CEA">
        <w:t xml:space="preserve"> </w:t>
      </w:r>
      <w:proofErr w:type="spellStart"/>
      <w:r w:rsidRPr="00021CEA">
        <w:t>and</w:t>
      </w:r>
      <w:proofErr w:type="spellEnd"/>
      <w:r w:rsidRPr="00021CEA">
        <w:t xml:space="preserve"> </w:t>
      </w:r>
      <w:proofErr w:type="spellStart"/>
      <w:r w:rsidRPr="00021CEA">
        <w:t>coping</w:t>
      </w:r>
      <w:proofErr w:type="spellEnd"/>
      <w:r w:rsidRPr="00021CEA">
        <w:t xml:space="preserve"> </w:t>
      </w:r>
      <w:proofErr w:type="spellStart"/>
      <w:r w:rsidRPr="00021CEA">
        <w:t>styles</w:t>
      </w:r>
      <w:proofErr w:type="spellEnd"/>
      <w:r w:rsidRPr="00021CEA">
        <w:t xml:space="preserve">. International </w:t>
      </w:r>
      <w:proofErr w:type="spellStart"/>
      <w:r w:rsidRPr="00021CEA">
        <w:t>Journal</w:t>
      </w:r>
      <w:proofErr w:type="spellEnd"/>
      <w:r w:rsidRPr="00021CEA">
        <w:t xml:space="preserve"> of </w:t>
      </w:r>
      <w:proofErr w:type="spellStart"/>
      <w:r w:rsidRPr="00021CEA">
        <w:t>Mental</w:t>
      </w:r>
      <w:proofErr w:type="spellEnd"/>
      <w:r w:rsidRPr="00021CEA">
        <w:t xml:space="preserve"> </w:t>
      </w:r>
      <w:proofErr w:type="spellStart"/>
      <w:r w:rsidRPr="00021CEA">
        <w:t>Health</w:t>
      </w:r>
      <w:proofErr w:type="spellEnd"/>
      <w:r w:rsidRPr="00021CEA">
        <w:t xml:space="preserve"> </w:t>
      </w:r>
      <w:proofErr w:type="spellStart"/>
      <w:r w:rsidRPr="00021CEA">
        <w:t>Nursing</w:t>
      </w:r>
      <w:proofErr w:type="spellEnd"/>
      <w:r w:rsidRPr="00021CEA">
        <w:t>, 32(1), 277-289.</w:t>
      </w:r>
    </w:p>
    <w:p w14:paraId="49483248" w14:textId="77777777" w:rsidR="004F4E7D" w:rsidRPr="00021CEA" w:rsidRDefault="004F4E7D">
      <w:pPr>
        <w:pStyle w:val="ListeParagraf"/>
        <w:widowControl/>
        <w:numPr>
          <w:ilvl w:val="0"/>
          <w:numId w:val="91"/>
        </w:numPr>
        <w:autoSpaceDE/>
        <w:autoSpaceDN/>
        <w:jc w:val="both"/>
      </w:pPr>
      <w:proofErr w:type="spellStart"/>
      <w:r w:rsidRPr="00021CEA">
        <w:t>Watercutter</w:t>
      </w:r>
      <w:proofErr w:type="spellEnd"/>
      <w:r w:rsidRPr="00021CEA">
        <w:t xml:space="preserve">, A. (2020, </w:t>
      </w:r>
      <w:proofErr w:type="spellStart"/>
      <w:r w:rsidRPr="00021CEA">
        <w:t>June</w:t>
      </w:r>
      <w:proofErr w:type="spellEnd"/>
      <w:r w:rsidRPr="00021CEA">
        <w:t xml:space="preserve"> 25). </w:t>
      </w:r>
      <w:proofErr w:type="spellStart"/>
      <w:r w:rsidRPr="00021CEA">
        <w:t>Doomscrolling</w:t>
      </w:r>
      <w:proofErr w:type="spellEnd"/>
      <w:r w:rsidRPr="00021CEA">
        <w:t xml:space="preserve"> is </w:t>
      </w:r>
      <w:proofErr w:type="spellStart"/>
      <w:r w:rsidRPr="00021CEA">
        <w:t>slowly</w:t>
      </w:r>
      <w:proofErr w:type="spellEnd"/>
      <w:r w:rsidRPr="00021CEA">
        <w:t xml:space="preserve"> </w:t>
      </w:r>
      <w:proofErr w:type="spellStart"/>
      <w:r w:rsidRPr="00021CEA">
        <w:t>eroding</w:t>
      </w:r>
      <w:proofErr w:type="spellEnd"/>
      <w:r w:rsidRPr="00021CEA">
        <w:t xml:space="preserve"> </w:t>
      </w:r>
      <w:proofErr w:type="spellStart"/>
      <w:r w:rsidRPr="00021CEA">
        <w:t>your</w:t>
      </w:r>
      <w:proofErr w:type="spellEnd"/>
      <w:r w:rsidRPr="00021CEA">
        <w:t xml:space="preserve"> </w:t>
      </w:r>
      <w:proofErr w:type="spellStart"/>
      <w:r w:rsidRPr="00021CEA">
        <w:t>mental</w:t>
      </w:r>
      <w:proofErr w:type="spellEnd"/>
      <w:r w:rsidRPr="00021CEA">
        <w:t xml:space="preserve"> </w:t>
      </w:r>
      <w:proofErr w:type="spellStart"/>
      <w:r w:rsidRPr="00021CEA">
        <w:t>health</w:t>
      </w:r>
      <w:proofErr w:type="spellEnd"/>
      <w:r w:rsidRPr="00021CEA">
        <w:t xml:space="preserve">. </w:t>
      </w:r>
      <w:proofErr w:type="spellStart"/>
      <w:r w:rsidRPr="00021CEA">
        <w:t>Wired</w:t>
      </w:r>
      <w:proofErr w:type="spellEnd"/>
      <w:r w:rsidRPr="00021CEA">
        <w:t>. https://www.wired.com/story/stop-doomscrolling/</w:t>
      </w:r>
    </w:p>
    <w:p w14:paraId="71BDC740" w14:textId="77777777" w:rsidR="004F4E7D" w:rsidRPr="00021CEA" w:rsidRDefault="004F4E7D">
      <w:pPr>
        <w:pStyle w:val="ListeParagraf"/>
        <w:widowControl/>
        <w:numPr>
          <w:ilvl w:val="0"/>
          <w:numId w:val="91"/>
        </w:numPr>
        <w:autoSpaceDE/>
        <w:autoSpaceDN/>
        <w:jc w:val="both"/>
      </w:pPr>
      <w:r w:rsidRPr="00021CEA">
        <w:t>Yalçın, G. (2015). Sosyal Medyanın Yoğun Kullanımın İleri Ergenlikte Yalnızlık ve Depresyona Etkisi. Yüksek Lisans Tezi. İstanbul Arel Üniversitesi, İstanbul.</w:t>
      </w:r>
    </w:p>
    <w:p w14:paraId="1891CCF3" w14:textId="77777777" w:rsidR="004F4E7D" w:rsidRPr="00021CEA" w:rsidRDefault="004F4E7D">
      <w:pPr>
        <w:pStyle w:val="ListeParagraf"/>
        <w:widowControl/>
        <w:numPr>
          <w:ilvl w:val="0"/>
          <w:numId w:val="91"/>
        </w:numPr>
        <w:autoSpaceDE/>
        <w:autoSpaceDN/>
        <w:jc w:val="both"/>
      </w:pPr>
      <w:proofErr w:type="spellStart"/>
      <w:r w:rsidRPr="00021CEA">
        <w:t>Yilmaz</w:t>
      </w:r>
      <w:proofErr w:type="spellEnd"/>
      <w:r w:rsidRPr="00021CEA">
        <w:t xml:space="preserve">, O.; Boz, H.; Arslan, A. Depresyon Anksiyete Stres Ölçeğinin (DASS 21) Türkçe </w:t>
      </w:r>
      <w:proofErr w:type="spellStart"/>
      <w:r w:rsidRPr="00021CEA">
        <w:t>kisa</w:t>
      </w:r>
      <w:proofErr w:type="spellEnd"/>
      <w:r w:rsidRPr="00021CEA">
        <w:t xml:space="preserve"> formunun geçerlilik-güvenilirlik çalışması [</w:t>
      </w:r>
      <w:proofErr w:type="spellStart"/>
      <w:r w:rsidRPr="00021CEA">
        <w:t>The</w:t>
      </w:r>
      <w:proofErr w:type="spellEnd"/>
      <w:r w:rsidRPr="00021CEA">
        <w:t xml:space="preserve"> </w:t>
      </w:r>
      <w:proofErr w:type="spellStart"/>
      <w:r w:rsidRPr="00021CEA">
        <w:t>validity</w:t>
      </w:r>
      <w:proofErr w:type="spellEnd"/>
      <w:r w:rsidRPr="00021CEA">
        <w:t xml:space="preserve"> </w:t>
      </w:r>
      <w:proofErr w:type="spellStart"/>
      <w:r w:rsidRPr="00021CEA">
        <w:t>and</w:t>
      </w:r>
      <w:proofErr w:type="spellEnd"/>
      <w:r w:rsidRPr="00021CEA">
        <w:t xml:space="preserve"> </w:t>
      </w:r>
      <w:proofErr w:type="spellStart"/>
      <w:r w:rsidRPr="00021CEA">
        <w:t>reliability</w:t>
      </w:r>
      <w:proofErr w:type="spellEnd"/>
      <w:r w:rsidRPr="00021CEA">
        <w:t xml:space="preserve"> of </w:t>
      </w:r>
      <w:proofErr w:type="spellStart"/>
      <w:r w:rsidRPr="00021CEA">
        <w:t>depression</w:t>
      </w:r>
      <w:proofErr w:type="spellEnd"/>
      <w:r w:rsidRPr="00021CEA">
        <w:t xml:space="preserve"> </w:t>
      </w:r>
      <w:proofErr w:type="spellStart"/>
      <w:r w:rsidRPr="00021CEA">
        <w:t>stress</w:t>
      </w:r>
      <w:proofErr w:type="spellEnd"/>
      <w:r w:rsidRPr="00021CEA">
        <w:t xml:space="preserve"> </w:t>
      </w:r>
      <w:proofErr w:type="spellStart"/>
      <w:r w:rsidRPr="00021CEA">
        <w:t>and</w:t>
      </w:r>
      <w:proofErr w:type="spellEnd"/>
      <w:r w:rsidRPr="00021CEA">
        <w:t xml:space="preserve"> </w:t>
      </w:r>
      <w:proofErr w:type="spellStart"/>
      <w:r w:rsidRPr="00021CEA">
        <w:t>anxiety</w:t>
      </w:r>
      <w:proofErr w:type="spellEnd"/>
      <w:r w:rsidRPr="00021CEA">
        <w:t xml:space="preserve"> </w:t>
      </w:r>
      <w:proofErr w:type="spellStart"/>
      <w:r w:rsidRPr="00021CEA">
        <w:t>scale</w:t>
      </w:r>
      <w:proofErr w:type="spellEnd"/>
      <w:r w:rsidRPr="00021CEA">
        <w:t xml:space="preserve"> (DASS 21) </w:t>
      </w:r>
      <w:proofErr w:type="spellStart"/>
      <w:r w:rsidRPr="00021CEA">
        <w:t>Turkish</w:t>
      </w:r>
      <w:proofErr w:type="spellEnd"/>
      <w:r w:rsidRPr="00021CEA">
        <w:t xml:space="preserve"> </w:t>
      </w:r>
      <w:proofErr w:type="spellStart"/>
      <w:r w:rsidRPr="00021CEA">
        <w:t>short</w:t>
      </w:r>
      <w:proofErr w:type="spellEnd"/>
      <w:r w:rsidRPr="00021CEA">
        <w:t xml:space="preserve"> form]. J. </w:t>
      </w:r>
      <w:proofErr w:type="spellStart"/>
      <w:r w:rsidRPr="00021CEA">
        <w:t>Financ</w:t>
      </w:r>
      <w:proofErr w:type="spellEnd"/>
      <w:r w:rsidRPr="00021CEA">
        <w:t xml:space="preserve">. </w:t>
      </w:r>
      <w:proofErr w:type="spellStart"/>
      <w:r w:rsidRPr="00021CEA">
        <w:t>Econ</w:t>
      </w:r>
      <w:proofErr w:type="spellEnd"/>
      <w:r w:rsidRPr="00021CEA">
        <w:t xml:space="preserve">. </w:t>
      </w:r>
      <w:proofErr w:type="spellStart"/>
      <w:r w:rsidRPr="00021CEA">
        <w:t>Soc</w:t>
      </w:r>
      <w:proofErr w:type="spellEnd"/>
      <w:r w:rsidRPr="00021CEA">
        <w:t xml:space="preserve">. </w:t>
      </w:r>
      <w:proofErr w:type="spellStart"/>
      <w:r w:rsidRPr="00021CEA">
        <w:t>Stud</w:t>
      </w:r>
      <w:proofErr w:type="spellEnd"/>
      <w:r w:rsidRPr="00021CEA">
        <w:t xml:space="preserve">. 2017, 2, 78–91. </w:t>
      </w:r>
      <w:proofErr w:type="spellStart"/>
      <w:r w:rsidRPr="00021CEA">
        <w:t>Available</w:t>
      </w:r>
      <w:proofErr w:type="spellEnd"/>
      <w:r w:rsidRPr="00021CEA">
        <w:t xml:space="preserve"> online: https://dergipark.org.tr/en/pub/fesa/issue/30912/323190</w:t>
      </w:r>
    </w:p>
    <w:p w14:paraId="2C7052EE" w14:textId="77777777" w:rsidR="004F4E7D" w:rsidRPr="00021CEA" w:rsidRDefault="004F4E7D">
      <w:pPr>
        <w:pStyle w:val="ListeParagraf"/>
        <w:widowControl/>
        <w:numPr>
          <w:ilvl w:val="0"/>
          <w:numId w:val="91"/>
        </w:numPr>
        <w:autoSpaceDE/>
        <w:autoSpaceDN/>
        <w:jc w:val="both"/>
      </w:pPr>
      <w:r w:rsidRPr="00021CEA">
        <w:t xml:space="preserve">Zhao N, Zhou G (2020) </w:t>
      </w:r>
      <w:proofErr w:type="spellStart"/>
      <w:r w:rsidRPr="00021CEA">
        <w:t>Social</w:t>
      </w:r>
      <w:proofErr w:type="spellEnd"/>
      <w:r w:rsidRPr="00021CEA">
        <w:t xml:space="preserve"> Media </w:t>
      </w:r>
      <w:proofErr w:type="spellStart"/>
      <w:r w:rsidRPr="00021CEA">
        <w:t>Use</w:t>
      </w:r>
      <w:proofErr w:type="spellEnd"/>
      <w:r w:rsidRPr="00021CEA">
        <w:t xml:space="preserve"> </w:t>
      </w:r>
      <w:proofErr w:type="spellStart"/>
      <w:r w:rsidRPr="00021CEA">
        <w:t>and</w:t>
      </w:r>
      <w:proofErr w:type="spellEnd"/>
      <w:r w:rsidRPr="00021CEA">
        <w:t xml:space="preserve"> </w:t>
      </w:r>
      <w:proofErr w:type="spellStart"/>
      <w:r w:rsidRPr="00021CEA">
        <w:t>Mental</w:t>
      </w:r>
      <w:proofErr w:type="spellEnd"/>
      <w:r w:rsidRPr="00021CEA">
        <w:t xml:space="preserve"> </w:t>
      </w:r>
      <w:proofErr w:type="spellStart"/>
      <w:r w:rsidRPr="00021CEA">
        <w:t>Health</w:t>
      </w:r>
      <w:proofErr w:type="spellEnd"/>
      <w:r w:rsidRPr="00021CEA">
        <w:t xml:space="preserve"> </w:t>
      </w:r>
      <w:proofErr w:type="spellStart"/>
      <w:r w:rsidRPr="00021CEA">
        <w:t>during</w:t>
      </w:r>
      <w:proofErr w:type="spellEnd"/>
      <w:r w:rsidRPr="00021CEA">
        <w:t xml:space="preserve"> </w:t>
      </w:r>
      <w:proofErr w:type="spellStart"/>
      <w:r w:rsidRPr="00021CEA">
        <w:t>the</w:t>
      </w:r>
      <w:proofErr w:type="spellEnd"/>
      <w:r w:rsidRPr="00021CEA">
        <w:t xml:space="preserve"> COVID-19 </w:t>
      </w:r>
      <w:proofErr w:type="spellStart"/>
      <w:r w:rsidRPr="00021CEA">
        <w:t>Pandemic</w:t>
      </w:r>
      <w:proofErr w:type="spellEnd"/>
      <w:r w:rsidRPr="00021CEA">
        <w:t xml:space="preserve">: </w:t>
      </w:r>
      <w:proofErr w:type="spellStart"/>
      <w:r w:rsidRPr="00021CEA">
        <w:t>Moderator</w:t>
      </w:r>
      <w:proofErr w:type="spellEnd"/>
      <w:r w:rsidRPr="00021CEA">
        <w:t xml:space="preserve"> Role of </w:t>
      </w:r>
      <w:proofErr w:type="spellStart"/>
      <w:r w:rsidRPr="00021CEA">
        <w:t>Disaster</w:t>
      </w:r>
      <w:proofErr w:type="spellEnd"/>
      <w:r w:rsidRPr="00021CEA">
        <w:t xml:space="preserve"> </w:t>
      </w:r>
      <w:proofErr w:type="spellStart"/>
      <w:r w:rsidRPr="00021CEA">
        <w:t>Stressor</w:t>
      </w:r>
      <w:proofErr w:type="spellEnd"/>
      <w:r w:rsidRPr="00021CEA">
        <w:t xml:space="preserve"> </w:t>
      </w:r>
      <w:proofErr w:type="spellStart"/>
      <w:r w:rsidRPr="00021CEA">
        <w:t>and</w:t>
      </w:r>
      <w:proofErr w:type="spellEnd"/>
      <w:r w:rsidRPr="00021CEA">
        <w:t xml:space="preserve"> </w:t>
      </w:r>
      <w:proofErr w:type="spellStart"/>
      <w:r w:rsidRPr="00021CEA">
        <w:t>Mediator</w:t>
      </w:r>
      <w:proofErr w:type="spellEnd"/>
      <w:r w:rsidRPr="00021CEA">
        <w:t xml:space="preserve"> Role of </w:t>
      </w:r>
      <w:proofErr w:type="spellStart"/>
      <w:r w:rsidRPr="00021CEA">
        <w:t>Negative</w:t>
      </w:r>
      <w:proofErr w:type="spellEnd"/>
      <w:r w:rsidRPr="00021CEA">
        <w:t xml:space="preserve"> </w:t>
      </w:r>
      <w:proofErr w:type="spellStart"/>
      <w:r w:rsidRPr="00021CEA">
        <w:t>Affect</w:t>
      </w:r>
      <w:proofErr w:type="spellEnd"/>
      <w:r w:rsidRPr="00021CEA">
        <w:t xml:space="preserve">. </w:t>
      </w:r>
      <w:proofErr w:type="spellStart"/>
      <w:r w:rsidRPr="00021CEA">
        <w:t>Applied</w:t>
      </w:r>
      <w:proofErr w:type="spellEnd"/>
      <w:r w:rsidRPr="00021CEA">
        <w:t xml:space="preserve"> </w:t>
      </w:r>
      <w:proofErr w:type="spellStart"/>
      <w:r w:rsidRPr="00021CEA">
        <w:t>Psychology</w:t>
      </w:r>
      <w:proofErr w:type="spellEnd"/>
      <w:r w:rsidRPr="00021CEA">
        <w:t xml:space="preserve">: </w:t>
      </w:r>
      <w:proofErr w:type="spellStart"/>
      <w:r w:rsidRPr="00021CEA">
        <w:t>Health</w:t>
      </w:r>
      <w:proofErr w:type="spellEnd"/>
      <w:r w:rsidRPr="00021CEA">
        <w:t xml:space="preserve"> </w:t>
      </w:r>
      <w:proofErr w:type="spellStart"/>
      <w:r w:rsidRPr="00021CEA">
        <w:t>and</w:t>
      </w:r>
      <w:proofErr w:type="spellEnd"/>
      <w:r w:rsidRPr="00021CEA">
        <w:t xml:space="preserve"> </w:t>
      </w:r>
      <w:proofErr w:type="spellStart"/>
      <w:r w:rsidRPr="00021CEA">
        <w:t>Well-Being</w:t>
      </w:r>
      <w:proofErr w:type="spellEnd"/>
      <w:r w:rsidRPr="00021CEA">
        <w:t xml:space="preserve"> 12, 1019–1038.</w:t>
      </w:r>
    </w:p>
    <w:p w14:paraId="5AB5209C" w14:textId="0DC7A211" w:rsidR="004F4E7D" w:rsidRDefault="004F4E7D" w:rsidP="004F4E7D">
      <w:pPr>
        <w:autoSpaceDE/>
        <w:autoSpaceDN/>
      </w:pPr>
      <w:r>
        <w:br w:type="page"/>
      </w:r>
    </w:p>
    <w:p w14:paraId="734D6A6E" w14:textId="56717C29" w:rsidR="00914DCC" w:rsidRPr="00252C80" w:rsidRDefault="00914DCC" w:rsidP="004C7694">
      <w:pPr>
        <w:pStyle w:val="Tark"/>
        <w:rPr>
          <w:i/>
          <w:iCs/>
        </w:rPr>
      </w:pPr>
      <w:bookmarkStart w:id="23" w:name="_Toc192855150"/>
      <w:r w:rsidRPr="00252C80">
        <w:lastRenderedPageBreak/>
        <w:t>Afrika’da İnsan Haklarının Güçlendirilmesi</w:t>
      </w:r>
      <w:r>
        <w:t xml:space="preserve"> ve İdam Cezalarının Kaldırılmasında </w:t>
      </w:r>
      <w:r w:rsidRPr="00252C80">
        <w:t>Afrika İnsan ve Halklar</w:t>
      </w:r>
      <w:r>
        <w:t>ın</w:t>
      </w:r>
      <w:r w:rsidRPr="00252C80">
        <w:t xml:space="preserve"> Hakları Mahkemesi</w:t>
      </w:r>
      <w:r>
        <w:t>’</w:t>
      </w:r>
      <w:r w:rsidRPr="00252C80">
        <w:t xml:space="preserve">nin Rolü ve Önemi: </w:t>
      </w:r>
      <w:r w:rsidRPr="00252C80">
        <w:rPr>
          <w:i/>
          <w:iCs/>
        </w:rPr>
        <w:t>4 Haziran 2024 Tarihli Kararlar Işığında Bir İnceleme</w:t>
      </w:r>
      <w:bookmarkEnd w:id="23"/>
    </w:p>
    <w:p w14:paraId="7BF8E70B" w14:textId="77777777" w:rsidR="00914DCC" w:rsidRDefault="00914DCC" w:rsidP="000A70F0">
      <w:pPr>
        <w:rPr>
          <w:b/>
          <w:bCs/>
        </w:rPr>
      </w:pPr>
    </w:p>
    <w:p w14:paraId="16C49ACB" w14:textId="348A25EC" w:rsidR="00914DCC" w:rsidRDefault="00914DCC" w:rsidP="000A70F0">
      <w:pPr>
        <w:jc w:val="center"/>
      </w:pPr>
      <w:r>
        <w:t>Yasin YILDIRIM</w:t>
      </w:r>
      <w:r>
        <w:br/>
        <w:t xml:space="preserve">Öğr. Gör. </w:t>
      </w:r>
      <w:proofErr w:type="spellStart"/>
      <w:r>
        <w:t>Doktorant</w:t>
      </w:r>
      <w:proofErr w:type="spellEnd"/>
      <w:r>
        <w:t>, T.C. Çankırı Karatekin Üniversitesi, Kurşunlu MYO, Adalet Programı</w:t>
      </w:r>
      <w:r>
        <w:br/>
      </w:r>
      <w:hyperlink r:id="rId43" w:history="1">
        <w:r w:rsidRPr="004521C9">
          <w:rPr>
            <w:rStyle w:val="Kpr"/>
            <w:rFonts w:eastAsiaTheme="majorEastAsia"/>
          </w:rPr>
          <w:t>yasinyildirim@karatekin.edu.tr</w:t>
        </w:r>
      </w:hyperlink>
      <w:r>
        <w:t xml:space="preserve">  </w:t>
      </w:r>
      <w:r>
        <w:br/>
      </w:r>
      <w:proofErr w:type="spellStart"/>
      <w:r>
        <w:t>Orcid</w:t>
      </w:r>
      <w:proofErr w:type="spellEnd"/>
      <w:r>
        <w:t xml:space="preserve"> ID: </w:t>
      </w:r>
      <w:r w:rsidRPr="00252C80">
        <w:t>0000-0001-8926-3517</w:t>
      </w:r>
    </w:p>
    <w:p w14:paraId="0F7312B9" w14:textId="77777777" w:rsidR="00914DCC" w:rsidRDefault="00914DCC" w:rsidP="000A70F0">
      <w:pPr>
        <w:jc w:val="both"/>
      </w:pPr>
    </w:p>
    <w:p w14:paraId="7EEB6D70" w14:textId="6823B105" w:rsidR="00914DCC" w:rsidRPr="000A70F0" w:rsidRDefault="00914DCC" w:rsidP="000A70F0">
      <w:pPr>
        <w:jc w:val="center"/>
        <w:rPr>
          <w:b/>
          <w:bCs/>
        </w:rPr>
      </w:pPr>
      <w:r w:rsidRPr="009F0AE3">
        <w:rPr>
          <w:b/>
          <w:bCs/>
        </w:rPr>
        <w:t>Özet</w:t>
      </w:r>
    </w:p>
    <w:p w14:paraId="28D25DC5" w14:textId="32DDAA86" w:rsidR="00914DCC" w:rsidRPr="005649D9" w:rsidRDefault="00914DCC" w:rsidP="000A70F0">
      <w:pPr>
        <w:jc w:val="both"/>
        <w:rPr>
          <w:b/>
          <w:bCs/>
          <w:i/>
          <w:iCs/>
          <w:u w:val="single"/>
        </w:rPr>
      </w:pPr>
      <w:r w:rsidRPr="005649D9">
        <w:t xml:space="preserve">Afrika İnsan ve Halkların Hakları Mahkemesi, Afrika kıtasının hukuki, sosyal ve politik ilişkilerinde önemli rol oynayan ve insan haklarının kıta genelinde korunması için faaliyet gösteren uluslararası bir yargı merciidir. </w:t>
      </w:r>
      <w:r>
        <w:t xml:space="preserve">1998 yılında kurulması kararlaştırılan, 2004 yılında kurulan ve ilk hükmünü 2009 yılında veren </w:t>
      </w:r>
      <w:r w:rsidRPr="005649D9">
        <w:t xml:space="preserve">Mahkeme, </w:t>
      </w:r>
      <w:r>
        <w:t xml:space="preserve">kıta genelinde insan haklarının korunması ve güçlendirilmesi noktasında çalışmalar yapmakta ve tıpkı diğer uluslararası yargı mercileri gibi saygın bir konuma ulaşmaya çalışmaktadır. Mahkemenin </w:t>
      </w:r>
      <w:r w:rsidRPr="005649D9">
        <w:t xml:space="preserve">04/06/2024 tarihinde Tanzanya’nın taraf olduğu ve idam cezalarının konu edildiği 2 farklı davada verdiği kararlar </w:t>
      </w:r>
      <w:r w:rsidRPr="005649D9">
        <w:rPr>
          <w:i/>
          <w:iCs/>
        </w:rPr>
        <w:t>(051/2016 ve 048/2016 sayılı kararlar)</w:t>
      </w:r>
      <w:r w:rsidRPr="005649D9">
        <w:t xml:space="preserve"> </w:t>
      </w:r>
      <w:r>
        <w:t xml:space="preserve">ise </w:t>
      </w:r>
      <w:r w:rsidRPr="005649D9">
        <w:t xml:space="preserve">kıtadaki insan hakları ihlalleri ile mücadele edilmesi ve bu hakların güçlendirilmesi noktasında </w:t>
      </w:r>
      <w:r>
        <w:t xml:space="preserve">özel bir incelemeyi hak etmektedir, zira bahsi geçen kararlar bu minvalde somut ve </w:t>
      </w:r>
      <w:r w:rsidRPr="005649D9">
        <w:t xml:space="preserve">güçlü bir etki meydana getirmiş, kıta genelinde idam </w:t>
      </w:r>
      <w:r>
        <w:t xml:space="preserve">cezası </w:t>
      </w:r>
      <w:r w:rsidRPr="005649D9">
        <w:t>karşıtı yeni bir hareket başlatmıştır. Mezkûr kararlarda Mahkeme, Afrika İnsan ve Halkların Hakları Sözleşmesi’nin insan hayatının dokunulmazlığı ve saygınlığına dair 4 ve 5’inci maddelerine de vurgu yaparak Tanzanya ulusal mahkemelerinin davacılar aleyhinde vermiş olduğu idam kararlarının yanlış olduğuna hükmetmiş</w:t>
      </w:r>
      <w:r>
        <w:t xml:space="preserve">, idam cezalarının infaz edilmemesini salık vermiştir. </w:t>
      </w:r>
      <w:r w:rsidRPr="005649D9">
        <w:t>Geçmişte Mahkemece verilmiş benzer kararlar bulunmakla birlikte aynı tarihte aynı doğrultuda aynı ülke aleyhinde iki farklı hüküm verilmesi</w:t>
      </w:r>
      <w:r>
        <w:t xml:space="preserve"> ise</w:t>
      </w:r>
      <w:r w:rsidRPr="005649D9">
        <w:t xml:space="preserve"> emsaline </w:t>
      </w:r>
      <w:r>
        <w:t xml:space="preserve">ziyadesiyle </w:t>
      </w:r>
      <w:r w:rsidRPr="005649D9">
        <w:t>ender rastlanan bir durum olup Mahkemenin idam cezalarına dair güncel tutumunu gözler önüne serm</w:t>
      </w:r>
      <w:r>
        <w:t xml:space="preserve">ektedir. </w:t>
      </w:r>
      <w:r w:rsidRPr="005649D9">
        <w:t>Bu kararların önemini pekiştiren bir diğer faktör ise izleyen süreçte kıta genelinde idam cezalarının kaldırılması yönünde</w:t>
      </w:r>
      <w:r>
        <w:t xml:space="preserve"> somut adımlar atılmaya başlanmasıdır. </w:t>
      </w:r>
      <w:r w:rsidRPr="005649D9">
        <w:t xml:space="preserve">2024’ün ikinci yarısında Liberya, Gana ve Kenya’da </w:t>
      </w:r>
      <w:r>
        <w:t>bu yönde</w:t>
      </w:r>
      <w:r w:rsidRPr="005649D9">
        <w:t xml:space="preserve"> parlamenter düzeyde adımlar atılmış,</w:t>
      </w:r>
      <w:r>
        <w:t xml:space="preserve"> </w:t>
      </w:r>
      <w:proofErr w:type="gramStart"/>
      <w:r>
        <w:t>Aralık</w:t>
      </w:r>
      <w:proofErr w:type="gramEnd"/>
      <w:r>
        <w:t xml:space="preserve"> ayında </w:t>
      </w:r>
      <w:r w:rsidRPr="005649D9">
        <w:t xml:space="preserve">BM Genel Kurulu’nda yapılan 10. İdam Cezasının Kaldırılmasına Dair Moratoryum Oylamasında Fas ve Zambiya ilk defa lehte oy kullanmış, Zimbabve’de ise 31/12/2024 tarihinde idam cezası resmen kaldırılmıştır. </w:t>
      </w:r>
      <w:proofErr w:type="spellStart"/>
      <w:r w:rsidRPr="005649D9">
        <w:t>AİHHM’nin</w:t>
      </w:r>
      <w:proofErr w:type="spellEnd"/>
      <w:r w:rsidRPr="005649D9">
        <w:t xml:space="preserve"> kararlarının bağlayıcılığı </w:t>
      </w:r>
      <w:r>
        <w:t xml:space="preserve">ve etkililiği </w:t>
      </w:r>
      <w:r w:rsidRPr="005649D9">
        <w:t>hakkında uzun yıllardır tartışmalar devam etmek</w:t>
      </w:r>
      <w:r>
        <w:t>le birlikte</w:t>
      </w:r>
      <w:r w:rsidRPr="005649D9">
        <w:t xml:space="preserve"> mezkûr kararlar insan haklarının önündeki en büyük engellerden biri olan idam cezalarının kaldırılması yönünde somut bir bilinç yaratmış</w:t>
      </w:r>
      <w:r>
        <w:t xml:space="preserve"> </w:t>
      </w:r>
      <w:r w:rsidRPr="005649D9">
        <w:t xml:space="preserve">ve </w:t>
      </w:r>
      <w:r>
        <w:t xml:space="preserve">gelişmekte olan </w:t>
      </w:r>
      <w:r w:rsidRPr="005649D9">
        <w:t xml:space="preserve">Afrika ülkelerinin evrensel hukuk standartlarına yakınlaşmasına yardımcı olmuştur. </w:t>
      </w:r>
      <w:r>
        <w:t>Çalışmanın tam metninde, mezkûr</w:t>
      </w:r>
      <w:r w:rsidRPr="005649D9">
        <w:t xml:space="preserve"> kararlar detaylı bir şekilde incelenecek, Afrika genelinde idam cezalarının </w:t>
      </w:r>
      <w:r>
        <w:t xml:space="preserve">yürürlükten </w:t>
      </w:r>
      <w:r w:rsidRPr="005649D9">
        <w:t xml:space="preserve">kaldırılması </w:t>
      </w:r>
      <w:r>
        <w:t>hususundaki güncel</w:t>
      </w:r>
      <w:r w:rsidRPr="005649D9">
        <w:t xml:space="preserve"> hukuki</w:t>
      </w:r>
      <w:r>
        <w:t>, idari</w:t>
      </w:r>
      <w:r w:rsidRPr="005649D9">
        <w:t xml:space="preserve"> ve politik süreçler değerlendirilecek ve Mahkemenin, kıtadaki ulusal hukuk sistemlerini reforme etme, Afrika genelinde hukuk devleti anlayışını güçlendirme ve insan haklarını korumadaki</w:t>
      </w:r>
      <w:r>
        <w:t xml:space="preserve"> artan</w:t>
      </w:r>
      <w:r w:rsidRPr="005649D9">
        <w:t xml:space="preserve"> rolü vurgulanacaktır.</w:t>
      </w:r>
    </w:p>
    <w:p w14:paraId="2964209D" w14:textId="77777777" w:rsidR="00914DCC" w:rsidRDefault="00914DCC" w:rsidP="000A70F0">
      <w:pPr>
        <w:jc w:val="both"/>
      </w:pPr>
    </w:p>
    <w:p w14:paraId="0143FCE8" w14:textId="03580DCA" w:rsidR="00914DCC" w:rsidRDefault="000C6508" w:rsidP="000A70F0">
      <w:pPr>
        <w:jc w:val="both"/>
      </w:pPr>
      <w:r>
        <w:rPr>
          <w:b/>
          <w:bCs/>
        </w:rPr>
        <w:t>Anahtar Kelimeler</w:t>
      </w:r>
      <w:r w:rsidR="00914DCC" w:rsidRPr="00DE7662">
        <w:rPr>
          <w:b/>
          <w:bCs/>
        </w:rPr>
        <w:t>:</w:t>
      </w:r>
      <w:r w:rsidR="00914DCC">
        <w:t xml:space="preserve"> İdam Cezası, İnsan Hakları, AİHHM, Tanzanya, Uluslararası Hukuk</w:t>
      </w:r>
    </w:p>
    <w:p w14:paraId="3B6AB08C" w14:textId="77777777" w:rsidR="00914DCC" w:rsidRDefault="00914DCC" w:rsidP="00914DCC">
      <w:pPr>
        <w:spacing w:before="120" w:after="120"/>
        <w:jc w:val="both"/>
      </w:pPr>
    </w:p>
    <w:p w14:paraId="0703B0BC" w14:textId="77777777" w:rsidR="00914DCC" w:rsidRPr="009F0AE3" w:rsidRDefault="00914DCC" w:rsidP="00AB7514">
      <w:pPr>
        <w:rPr>
          <w:b/>
          <w:bCs/>
        </w:rPr>
      </w:pPr>
      <w:r w:rsidRPr="009F0AE3">
        <w:rPr>
          <w:b/>
          <w:bCs/>
        </w:rPr>
        <w:t>GİRİŞ</w:t>
      </w:r>
    </w:p>
    <w:p w14:paraId="339FCB34" w14:textId="77777777" w:rsidR="00914DCC" w:rsidRPr="005A1650" w:rsidRDefault="00914DCC" w:rsidP="00AB7514">
      <w:pPr>
        <w:jc w:val="both"/>
        <w:rPr>
          <w:bCs/>
        </w:rPr>
      </w:pPr>
      <w:r w:rsidRPr="005A1650">
        <w:rPr>
          <w:bCs/>
        </w:rPr>
        <w:t xml:space="preserve">İdam cezası, insanlık tarihinin en tartışmalı ve en acil çözüme kavuşturulması gereken cezai </w:t>
      </w:r>
      <w:r w:rsidRPr="005A1650">
        <w:rPr>
          <w:bCs/>
        </w:rPr>
        <w:lastRenderedPageBreak/>
        <w:t>yaptırımlarından biridir. Her ne kadar</w:t>
      </w:r>
      <w:r>
        <w:rPr>
          <w:bCs/>
        </w:rPr>
        <w:t xml:space="preserve"> idam cezası günümüzde Amerika Birleşik Devletleri, Çin Halk Cumhuriyeti, Suudi Arabistan Krallığı ya da Hindistan Cumhuriyeti gibi ülkelerde fiilen uygulanmakta ise de bu ceza türü akademik ve politik çevrelerce genellikle </w:t>
      </w:r>
      <w:r w:rsidRPr="005A1650">
        <w:rPr>
          <w:bCs/>
        </w:rPr>
        <w:t xml:space="preserve">modern insan hakları anlayışıyla çelişen bir uygulama olarak </w:t>
      </w:r>
      <w:r>
        <w:rPr>
          <w:bCs/>
        </w:rPr>
        <w:t xml:space="preserve">kabul edilmekte ve </w:t>
      </w:r>
      <w:r w:rsidRPr="005A1650">
        <w:rPr>
          <w:bCs/>
        </w:rPr>
        <w:t xml:space="preserve">sıklıkla </w:t>
      </w:r>
      <w:r>
        <w:rPr>
          <w:bCs/>
        </w:rPr>
        <w:t>eleştiri konusu yapılmaktadır</w:t>
      </w:r>
      <w:r w:rsidRPr="005A1650">
        <w:rPr>
          <w:bCs/>
        </w:rPr>
        <w:t xml:space="preserve">. </w:t>
      </w:r>
      <w:r>
        <w:rPr>
          <w:bCs/>
        </w:rPr>
        <w:t>Zira i</w:t>
      </w:r>
      <w:r w:rsidRPr="005A1650">
        <w:rPr>
          <w:bCs/>
        </w:rPr>
        <w:t xml:space="preserve">nsan yaşamının dokunulmazlığı, evrensel insan hakları normlarının en temel </w:t>
      </w:r>
      <w:r>
        <w:rPr>
          <w:bCs/>
        </w:rPr>
        <w:t>kaidelerinden</w:t>
      </w:r>
      <w:r w:rsidRPr="005A1650">
        <w:rPr>
          <w:bCs/>
        </w:rPr>
        <w:t xml:space="preserve"> biridir. </w:t>
      </w:r>
      <w:r>
        <w:rPr>
          <w:bCs/>
        </w:rPr>
        <w:t>Öte yandan i</w:t>
      </w:r>
      <w:r w:rsidRPr="005A1650">
        <w:rPr>
          <w:bCs/>
        </w:rPr>
        <w:t>dam cezası, devletin bu dokunulm</w:t>
      </w:r>
      <w:r>
        <w:rPr>
          <w:bCs/>
        </w:rPr>
        <w:t>azlığı ihlal etmesine neden olan bir ceza / yaptırım türü olup</w:t>
      </w:r>
      <w:r w:rsidRPr="005A1650">
        <w:rPr>
          <w:bCs/>
        </w:rPr>
        <w:t xml:space="preserve"> bireylerin temel insan haklarını ihlal et</w:t>
      </w:r>
      <w:r>
        <w:rPr>
          <w:bCs/>
        </w:rPr>
        <w:t>mektedir. Ayrıca, idam cezası</w:t>
      </w:r>
      <w:r w:rsidRPr="005A1650">
        <w:rPr>
          <w:bCs/>
        </w:rPr>
        <w:t xml:space="preserve"> </w:t>
      </w:r>
      <w:r>
        <w:rPr>
          <w:bCs/>
        </w:rPr>
        <w:t>insan onuru ve haysiyeti ile de çelişmekte olup insanı değersizleştirmektedir</w:t>
      </w:r>
      <w:r w:rsidRPr="005A1650">
        <w:rPr>
          <w:bCs/>
        </w:rPr>
        <w:t>. Bunun yanında, idam cezası, toplumsal adaletin sağlanmasında</w:t>
      </w:r>
      <w:r>
        <w:rPr>
          <w:bCs/>
        </w:rPr>
        <w:t xml:space="preserve"> ya da toplum vicdanının rahatlatılmasında da </w:t>
      </w:r>
      <w:r w:rsidRPr="005A1650">
        <w:rPr>
          <w:bCs/>
        </w:rPr>
        <w:t>çoğu zaman</w:t>
      </w:r>
      <w:r>
        <w:rPr>
          <w:bCs/>
        </w:rPr>
        <w:t xml:space="preserve"> yeteri kadar bir</w:t>
      </w:r>
      <w:r w:rsidRPr="005A1650">
        <w:rPr>
          <w:bCs/>
        </w:rPr>
        <w:t xml:space="preserve"> etkin</w:t>
      </w:r>
      <w:r>
        <w:rPr>
          <w:bCs/>
        </w:rPr>
        <w:t xml:space="preserve">lik göstermemektedir, dahası maddi </w:t>
      </w:r>
      <w:r w:rsidRPr="005A1650">
        <w:rPr>
          <w:bCs/>
        </w:rPr>
        <w:t xml:space="preserve">gerçeği </w:t>
      </w:r>
      <w:r>
        <w:rPr>
          <w:bCs/>
        </w:rPr>
        <w:t xml:space="preserve">ortaya çıkarma </w:t>
      </w:r>
      <w:r w:rsidRPr="005A1650">
        <w:rPr>
          <w:bCs/>
        </w:rPr>
        <w:t>ve adaletin doğru bir biçimde tecelli</w:t>
      </w:r>
      <w:r>
        <w:rPr>
          <w:bCs/>
        </w:rPr>
        <w:t xml:space="preserve"> etme süreçlerine de zarar vermektedir.</w:t>
      </w:r>
    </w:p>
    <w:p w14:paraId="1443587E" w14:textId="7CE39DB5" w:rsidR="00914DCC" w:rsidRDefault="00914DCC" w:rsidP="00914DCC">
      <w:pPr>
        <w:spacing w:before="120" w:after="120"/>
        <w:jc w:val="both"/>
        <w:rPr>
          <w:bCs/>
        </w:rPr>
      </w:pPr>
      <w:r>
        <w:rPr>
          <w:bCs/>
        </w:rPr>
        <w:t xml:space="preserve">Adı geçen ülkelerin haricinde, </w:t>
      </w:r>
      <w:r w:rsidRPr="005A1650">
        <w:rPr>
          <w:bCs/>
        </w:rPr>
        <w:t>Afrika kıtasında</w:t>
      </w:r>
      <w:r>
        <w:rPr>
          <w:bCs/>
        </w:rPr>
        <w:t>ki birçok ülkenin hukuk sistemlerinde de</w:t>
      </w:r>
      <w:r w:rsidRPr="005A1650">
        <w:rPr>
          <w:bCs/>
        </w:rPr>
        <w:t xml:space="preserve"> idam cezası hala geçerli bir yaptırım olarak yer almakta ve bu durum, kıtada insan hakları ihlallerinin sürmesine neden olmaktadır. </w:t>
      </w:r>
      <w:r>
        <w:rPr>
          <w:bCs/>
        </w:rPr>
        <w:t>Dahası, bu ceza türü kıtadaki hukuk devleti ve hukukun üstünlüğü gibi temel ilkelerin de tam anlamıyla gerçekleşmesinin önünde bir engel olarak durmaktadır.</w:t>
      </w:r>
    </w:p>
    <w:p w14:paraId="76A6A200" w14:textId="43263073" w:rsidR="00914DCC" w:rsidRDefault="00914DCC" w:rsidP="00914DCC">
      <w:pPr>
        <w:spacing w:before="120" w:after="120"/>
        <w:jc w:val="both"/>
        <w:rPr>
          <w:bCs/>
        </w:rPr>
      </w:pPr>
      <w:r w:rsidRPr="005A1650">
        <w:rPr>
          <w:bCs/>
        </w:rPr>
        <w:t xml:space="preserve">Ancak, </w:t>
      </w:r>
      <w:r>
        <w:rPr>
          <w:bCs/>
        </w:rPr>
        <w:t>2024 yılı içerisinde Afrika kıtasındaki uluslarüstü düzeyde</w:t>
      </w:r>
      <w:r w:rsidRPr="005A1650">
        <w:rPr>
          <w:bCs/>
        </w:rPr>
        <w:t xml:space="preserve"> </w:t>
      </w:r>
      <w:r>
        <w:rPr>
          <w:bCs/>
        </w:rPr>
        <w:t xml:space="preserve">en yüksek yargı mercii olan ve Afrika Birliği’nin resmi yargı organı olarak faaliyet gösteren </w:t>
      </w:r>
      <w:r w:rsidRPr="005A1650">
        <w:rPr>
          <w:bCs/>
        </w:rPr>
        <w:t>Afrika İnsan ve Halkların Hakları Mahkemesi’nin (</w:t>
      </w:r>
      <w:r>
        <w:rPr>
          <w:bCs/>
        </w:rPr>
        <w:t>“Afrika Mahkemesi”</w:t>
      </w:r>
      <w:r w:rsidRPr="005A1650">
        <w:rPr>
          <w:bCs/>
        </w:rPr>
        <w:t>) verdiği kararlar,</w:t>
      </w:r>
      <w:r>
        <w:rPr>
          <w:bCs/>
        </w:rPr>
        <w:t xml:space="preserve"> kıta genelinde</w:t>
      </w:r>
      <w:r w:rsidRPr="005A1650">
        <w:rPr>
          <w:bCs/>
        </w:rPr>
        <w:t xml:space="preserve"> idam cezasının kaldırılması yönünde önemli bir </w:t>
      </w:r>
      <w:r>
        <w:rPr>
          <w:bCs/>
        </w:rPr>
        <w:t>mihenk taşı teşkil etmektedir</w:t>
      </w:r>
      <w:r w:rsidRPr="005A1650">
        <w:rPr>
          <w:bCs/>
        </w:rPr>
        <w:t>. Mahkeme, 4 Haziran 2024 tarihinde Tanzanya</w:t>
      </w:r>
      <w:r>
        <w:rPr>
          <w:bCs/>
        </w:rPr>
        <w:t xml:space="preserve"> Birleşik Cumhuriyeti</w:t>
      </w:r>
      <w:r w:rsidRPr="005A1650">
        <w:rPr>
          <w:bCs/>
        </w:rPr>
        <w:t>’n</w:t>
      </w:r>
      <w:r>
        <w:rPr>
          <w:bCs/>
        </w:rPr>
        <w:t>i</w:t>
      </w:r>
      <w:r w:rsidRPr="005A1650">
        <w:rPr>
          <w:bCs/>
        </w:rPr>
        <w:t>n</w:t>
      </w:r>
      <w:r>
        <w:rPr>
          <w:bCs/>
        </w:rPr>
        <w:t xml:space="preserve"> </w:t>
      </w:r>
      <w:r w:rsidRPr="005A1650">
        <w:rPr>
          <w:bCs/>
        </w:rPr>
        <w:t xml:space="preserve">taraf olduğu ve idam cezalarını konu </w:t>
      </w:r>
      <w:r>
        <w:rPr>
          <w:bCs/>
        </w:rPr>
        <w:t>edildiği iki dava</w:t>
      </w:r>
      <w:r w:rsidRPr="005A1650">
        <w:rPr>
          <w:bCs/>
        </w:rPr>
        <w:t xml:space="preserve"> davalarda verdiği kararlarla, kıta genelinde idam cezasına karşı yeni bir </w:t>
      </w:r>
      <w:r>
        <w:rPr>
          <w:bCs/>
        </w:rPr>
        <w:t>dalganın</w:t>
      </w:r>
      <w:r w:rsidRPr="005A1650">
        <w:rPr>
          <w:bCs/>
        </w:rPr>
        <w:t xml:space="preserve"> başlamasına vesile olmuştur. </w:t>
      </w:r>
      <w:r>
        <w:rPr>
          <w:bCs/>
        </w:rPr>
        <w:t>Afrika Mahkemesi</w:t>
      </w:r>
      <w:r w:rsidRPr="005A1650">
        <w:rPr>
          <w:bCs/>
        </w:rPr>
        <w:t>, söz konusu davalarda, idam cezalarının infaz edilmemesi gerektiğine</w:t>
      </w:r>
      <w:r>
        <w:rPr>
          <w:bCs/>
        </w:rPr>
        <w:t xml:space="preserve">, iç hukuk sistemlerinden bu cezanın kaldırılmasının lazım geldiğine </w:t>
      </w:r>
      <w:r w:rsidRPr="005A1650">
        <w:rPr>
          <w:bCs/>
        </w:rPr>
        <w:t>ve</w:t>
      </w:r>
      <w:r>
        <w:rPr>
          <w:bCs/>
        </w:rPr>
        <w:t xml:space="preserve"> idam cezalarının konsept olarak</w:t>
      </w:r>
      <w:r w:rsidRPr="005A1650">
        <w:rPr>
          <w:bCs/>
        </w:rPr>
        <w:t xml:space="preserve"> Afrika İnsan ve Halkların Hakları Sözleşmesi’ne aykırı olduğuna karar vererek,</w:t>
      </w:r>
      <w:r>
        <w:rPr>
          <w:bCs/>
        </w:rPr>
        <w:t xml:space="preserve"> net bir tavır ortaya koymuştur.</w:t>
      </w:r>
    </w:p>
    <w:p w14:paraId="71A1DE19" w14:textId="2B1D83D2" w:rsidR="00914DCC" w:rsidRDefault="00914DCC" w:rsidP="00914DCC">
      <w:pPr>
        <w:spacing w:before="120" w:after="120"/>
        <w:jc w:val="both"/>
        <w:rPr>
          <w:bCs/>
        </w:rPr>
      </w:pPr>
      <w:r>
        <w:rPr>
          <w:bCs/>
        </w:rPr>
        <w:t>Her ne kadar Tanzanya verilen hükümlere karşın idam cezasını kendi iç hukuk sistemlerinden henüz kaldırmamışsa da başkaca Afrika ülkelerinin 2024 yılının 2’nci yarısında idam cezalarının kaldırılması yolunda attığı somut adımlar Afrika Mahkemesinin bu tavrının somut birer yansıması olarak ortaya çıkmıştır.</w:t>
      </w:r>
    </w:p>
    <w:p w14:paraId="69D247E9" w14:textId="2656D32D" w:rsidR="00914DCC" w:rsidRDefault="00914DCC" w:rsidP="00914DCC">
      <w:pPr>
        <w:spacing w:before="120" w:after="120"/>
        <w:jc w:val="both"/>
        <w:rPr>
          <w:bCs/>
        </w:rPr>
      </w:pPr>
      <w:r>
        <w:rPr>
          <w:bCs/>
        </w:rPr>
        <w:t>İşbu çalışmada Afrika Mahkemesi nezdinde yürütülen yargılama süreçlerinin, Mahkemenin kararında dayanak aldığı temel argümanların ve nihai kararlarının diğer Afrika ülkeleri nezdindeki hukuki ve sosyal etkileri ve de tüm bunların yanında kararların kıta genelinde insan hakları ve hukuk devleti kültürünün inşasına olan konstrüktif ve müspet etkileri tartışılacaktır.</w:t>
      </w:r>
    </w:p>
    <w:p w14:paraId="431DA5F6" w14:textId="77777777" w:rsidR="00914DCC" w:rsidRPr="009F0AE3" w:rsidRDefault="00914DCC" w:rsidP="00AB7514">
      <w:pPr>
        <w:rPr>
          <w:b/>
          <w:bCs/>
        </w:rPr>
      </w:pPr>
      <w:r w:rsidRPr="009F0AE3">
        <w:rPr>
          <w:b/>
          <w:bCs/>
        </w:rPr>
        <w:t>LİTERATÜR TARAMASI VE YÖNTEM</w:t>
      </w:r>
    </w:p>
    <w:p w14:paraId="6374B2EB" w14:textId="6BF02E8D" w:rsidR="00914DCC" w:rsidRDefault="00914DCC" w:rsidP="00AB7514">
      <w:pPr>
        <w:jc w:val="both"/>
      </w:pPr>
      <w:r>
        <w:t xml:space="preserve">İşbu çalışmada nitel araştırma yöntemlerinden istifade edilecektir. Öncelikle Afrika Mahkemesinin Haziran 2024 tarihli kararlarının hukuki incelemesi yapılacak, bu kararların alt hukuki metinleri </w:t>
      </w:r>
      <w:r w:rsidRPr="004938AF">
        <w:t>Afrika İnsan ve Halkların Hakları Sözleşmesi bağlamında</w:t>
      </w:r>
      <w:r>
        <w:t xml:space="preserve"> analiz edilecek, akabinde 2024 yılının ikinci yarısında Afrika genelinde idam cezalarının kaldırılması yolunda atılan hukuki, idari ve politik hamleler</w:t>
      </w:r>
      <w:r w:rsidRPr="009B3D17">
        <w:t xml:space="preserve"> derinlemesine </w:t>
      </w:r>
      <w:r>
        <w:t xml:space="preserve">irdelenecektir. Mevcut hukuki ve politik metinlerin yorumlanması suretiyle Mahkemenin verdiği hükmün direkt ve </w:t>
      </w:r>
      <w:proofErr w:type="gramStart"/>
      <w:r>
        <w:t>endirekt</w:t>
      </w:r>
      <w:proofErr w:type="gramEnd"/>
      <w:r>
        <w:t xml:space="preserve"> etkileri tartışılacaktır.  </w:t>
      </w:r>
      <w:r w:rsidRPr="009B3D17">
        <w:t xml:space="preserve">Bu süreçte, kıta genelinde anayasal değişiklikler, parlamenter girişimler ve uluslararası kuruluşların rolü de </w:t>
      </w:r>
      <w:r>
        <w:t xml:space="preserve">ayrıca </w:t>
      </w:r>
      <w:r w:rsidRPr="009B3D17">
        <w:t>dikkate alınacaktır.</w:t>
      </w:r>
    </w:p>
    <w:p w14:paraId="0F00D86F" w14:textId="7836C2D1" w:rsidR="00914DCC" w:rsidRDefault="00914DCC" w:rsidP="00914DCC">
      <w:pPr>
        <w:spacing w:before="120" w:after="120"/>
        <w:jc w:val="both"/>
      </w:pPr>
      <w:r>
        <w:t xml:space="preserve">Bahsi geçen Mahkeme kararları hayli yeni tarihli oldukları için mevcut literatürde konuyla </w:t>
      </w:r>
      <w:r>
        <w:lastRenderedPageBreak/>
        <w:t xml:space="preserve">alakalı pek fazla eser bulunmamaktadır. Ancak genel olarak idam cezaları ve insan haklarının korunması hakkında mevcut temel </w:t>
      </w:r>
      <w:proofErr w:type="gramStart"/>
      <w:r>
        <w:t>doktrin</w:t>
      </w:r>
      <w:proofErr w:type="gramEnd"/>
      <w:r>
        <w:t xml:space="preserve"> kaynaklardan faydalanılacaktır.</w:t>
      </w:r>
    </w:p>
    <w:p w14:paraId="2E7BE5DA" w14:textId="77777777" w:rsidR="00914DCC" w:rsidRPr="009B3D17" w:rsidRDefault="00914DCC" w:rsidP="00914DCC">
      <w:pPr>
        <w:spacing w:before="120" w:after="120"/>
        <w:jc w:val="both"/>
      </w:pPr>
      <w:r w:rsidRPr="009B3D17">
        <w:t xml:space="preserve">Çalışmada normatif hukuk analizi yöntemi benimsenerek, Afrika Mahkemesi’nin </w:t>
      </w:r>
      <w:r>
        <w:t xml:space="preserve">mezkûr </w:t>
      </w:r>
      <w:r w:rsidRPr="009B3D17">
        <w:t xml:space="preserve">kararlarının uluslararası insan hakları hukuku ile uyumluluğu değerlendirilecek ve bu kararların </w:t>
      </w:r>
      <w:r>
        <w:t xml:space="preserve">Mahkemenin yargı yetkisini kabul eden Afrika ülkeleri üzerindeki </w:t>
      </w:r>
      <w:r w:rsidRPr="009B3D17">
        <w:t>hukuki bağlayıcılığı ile etkileri tartışılacaktır. Bununla birlikte, Mahkeme kararlarının devlet uygulamaları üzerindeki dolaylı (endirekt) ve doğrudan (direkt) etkileri de siyasi</w:t>
      </w:r>
      <w:r>
        <w:t>, hukuki</w:t>
      </w:r>
      <w:r w:rsidRPr="009B3D17">
        <w:t xml:space="preserve"> ve sosyolojik bağlamda ele alınacaktır.</w:t>
      </w:r>
    </w:p>
    <w:p w14:paraId="622DB9A1" w14:textId="67DCC5D5" w:rsidR="00914DCC" w:rsidRPr="009F0AE3" w:rsidRDefault="00914DCC" w:rsidP="00AB7514">
      <w:pPr>
        <w:rPr>
          <w:b/>
          <w:bCs/>
        </w:rPr>
      </w:pPr>
      <w:r w:rsidRPr="009F0AE3">
        <w:rPr>
          <w:b/>
          <w:bCs/>
        </w:rPr>
        <w:t>AFRİKA İNSAN VE HALKLAR HAKLARI MAHKEMESİ’Nİ TANIMAK:</w:t>
      </w:r>
    </w:p>
    <w:p w14:paraId="0F3742BD" w14:textId="77777777" w:rsidR="00914DCC" w:rsidRPr="009F0AE3" w:rsidRDefault="00914DCC" w:rsidP="00AB7514">
      <w:pPr>
        <w:rPr>
          <w:b/>
          <w:bCs/>
          <w:i/>
        </w:rPr>
      </w:pPr>
      <w:r w:rsidRPr="009F0AE3">
        <w:rPr>
          <w:b/>
          <w:bCs/>
          <w:i/>
        </w:rPr>
        <w:t>KURULUŞ, YETKİ VE GÖREV</w:t>
      </w:r>
    </w:p>
    <w:p w14:paraId="5607F9B1" w14:textId="1B9E6A9A" w:rsidR="00914DCC" w:rsidRDefault="00914DCC" w:rsidP="00AB7514">
      <w:pPr>
        <w:jc w:val="both"/>
      </w:pPr>
      <w:r>
        <w:t xml:space="preserve">Afrika Mahkemesi, Afrika Birliği’nin yargı organı olup Avrupa İnsan Hakları Mahkemesi (“AİHM”) ve </w:t>
      </w:r>
      <w:proofErr w:type="spellStart"/>
      <w:r>
        <w:t>Amerikalılararası</w:t>
      </w:r>
      <w:proofErr w:type="spellEnd"/>
      <w:r>
        <w:t xml:space="preserve"> İnsan Hakları Mahkemesi </w:t>
      </w:r>
      <w:proofErr w:type="gramStart"/>
      <w:r>
        <w:t>ile birlikte</w:t>
      </w:r>
      <w:proofErr w:type="gramEnd"/>
      <w:r>
        <w:t xml:space="preserve"> 3 kıtasal mahkemeden biridir. 9 Haziran 1998 tarihinde Afrika İnsan ve Halklar Hakları Mahkemesi’nin Kurulmasına dair Protokol’ün kabul edilmesi ve bu protokolün 15 devlet tarafından akdedilmesi </w:t>
      </w:r>
      <w:proofErr w:type="gramStart"/>
      <w:r>
        <w:t>ile birlikte</w:t>
      </w:r>
      <w:proofErr w:type="gramEnd"/>
      <w:r>
        <w:t xml:space="preserve"> ise 25 Ocak 2004 tarihinde resmen kurulmuştur (Afrika İnsan ve Halkaların Hakları Mahkemesi, 2025). 2006 yılında ilk hakimlerin atanması ile bilfiil faaliyetlerine başlamış 2009 yılında ise ilk kararını vermiştir.</w:t>
      </w:r>
    </w:p>
    <w:p w14:paraId="0B02DB83" w14:textId="276C50D7" w:rsidR="00914DCC" w:rsidRDefault="00914DCC" w:rsidP="00914DCC">
      <w:pPr>
        <w:spacing w:before="120" w:after="120"/>
        <w:jc w:val="both"/>
      </w:pPr>
      <w:r>
        <w:t>Mahkemenin temel misyonu / görevi Afrika Şartı olarak da bilinen Afrika İnsan ve Halklar Hakları Sözleşmesinin uygulanmasını denetlemek, bu Şartta ve Afrikalı devletlerin akdettikleri diğer insan hakları enstrümanlarında yer alan insan haklarına dair temel teamül, kural ve kaideleri korumak, kıta genelinde insan haklarını güçlendirmektir. Yargı merciinin temel vizyonu ise yukarıda adı geçen tüm belgelerin uygulanmasını garanti ederek Afrikalı uluslar nezdinde güçlü bir insan hakları kültürü inşa etmektir.</w:t>
      </w:r>
    </w:p>
    <w:p w14:paraId="07ABECC3" w14:textId="0166191B" w:rsidR="00914DCC" w:rsidRDefault="00914DCC" w:rsidP="00914DCC">
      <w:pPr>
        <w:spacing w:before="120" w:after="120"/>
        <w:jc w:val="both"/>
      </w:pPr>
      <w:r>
        <w:t>Mahkemenin kuruluş protokolünde de vurgulanan temel değerleri ise yargısal bağımsızlık ve tarafsızlık, şeffaflık, ahlaki hesap verebilirlik, ayrımcılıktan kaçınma, hakimler arası mutlak entegrasyon, tüm muhtemel başvuruculara karşı eşitlik ve mahkemeye başvuran kişilerin ihtiyaçlarına cevap verebilirliktir.</w:t>
      </w:r>
    </w:p>
    <w:p w14:paraId="69A6A2D8" w14:textId="44DDE1D9" w:rsidR="00914DCC" w:rsidRDefault="00914DCC" w:rsidP="00914DCC">
      <w:pPr>
        <w:spacing w:before="120" w:after="120"/>
        <w:jc w:val="both"/>
      </w:pPr>
      <w:r>
        <w:t>Afrika İnsan ve Halklar Hakları Mahkemesinin yetkisi ise mezkûr hususlara nazaran çok daha problematiktir ve işbu çalışmaya da konu olan davalarda da özel olarak inceleme konusu yapılmıştır. Günümüzde 55 Afrika Birliği üyesi devletten 54’ü Afrika Şartı’na taraf olmuş ve kendilerinin de bu Şartta yer alan kaidelere uyacaklarını taahhüt etmişlerdir. Bu ülkelerin 34 tanesi ise Mahkemenin kuruluş Protokolünü akdetmiş ancak 34 ülkeden ise sadece 8 tanesi Mahkemenin mutlak yetkisini kabul etmiş ve gerçek ve tüzel kişilerin bu mahkemeye başvurabilmelerine olanak tanımıştır ki bu 8 ülke;</w:t>
      </w:r>
    </w:p>
    <w:p w14:paraId="38C2268A"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Burkina Faso,</w:t>
      </w:r>
    </w:p>
    <w:p w14:paraId="0B4D4F75"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Gambiya Cumhuriyeti,</w:t>
      </w:r>
    </w:p>
    <w:p w14:paraId="2FEDEE62"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Gana Cumhuriyeti,</w:t>
      </w:r>
    </w:p>
    <w:p w14:paraId="55DEE5E4"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Gine-Bissau Cumhuriyeti,</w:t>
      </w:r>
    </w:p>
    <w:p w14:paraId="63262FD2"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Mali Cumhuriyeti,</w:t>
      </w:r>
    </w:p>
    <w:p w14:paraId="4B057CE1"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Malavi Cumhuriyeti,</w:t>
      </w:r>
    </w:p>
    <w:p w14:paraId="2C94ABAA"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Nijer Cumhuriyeti ve de</w:t>
      </w:r>
    </w:p>
    <w:p w14:paraId="5E8A701F" w14:textId="0F2E0ECA" w:rsidR="00914DCC" w:rsidRDefault="00914DCC">
      <w:pPr>
        <w:pStyle w:val="ListeParagraf"/>
        <w:widowControl/>
        <w:numPr>
          <w:ilvl w:val="0"/>
          <w:numId w:val="10"/>
        </w:numPr>
        <w:tabs>
          <w:tab w:val="left" w:pos="851"/>
        </w:tabs>
        <w:autoSpaceDE/>
        <w:autoSpaceDN/>
        <w:spacing w:before="120" w:after="120"/>
        <w:ind w:left="0" w:firstLine="567"/>
        <w:jc w:val="both"/>
      </w:pPr>
      <w:r>
        <w:t>Tunus Cumhuriyeti’dir.</w:t>
      </w:r>
    </w:p>
    <w:p w14:paraId="7FFC4D85" w14:textId="77777777" w:rsidR="00914DCC" w:rsidRDefault="00914DCC" w:rsidP="00914DCC">
      <w:pPr>
        <w:tabs>
          <w:tab w:val="left" w:pos="851"/>
        </w:tabs>
        <w:spacing w:before="120" w:after="120"/>
        <w:jc w:val="both"/>
      </w:pPr>
      <w:r w:rsidRPr="00956F68">
        <w:t xml:space="preserve">Bu 8 ülke, Mahkeme’nin yetkisini açıkça tanımış olduğundan, teorik olarak yalnızca bu </w:t>
      </w:r>
      <w:r w:rsidRPr="00956F68">
        <w:lastRenderedPageBreak/>
        <w:t xml:space="preserve">devletler aleyhine dava açılabileceği veya yalnızca bu ülkelerin vatandaşlarının bireysel başvuru yapabileceği düşünülebilir. Ancak, bu çalışmada incelenen davalarda Mahkeme, </w:t>
      </w:r>
      <w:r>
        <w:t>Tanzanya’nın protokole imza atan 34 ülkeden biri olduğuna işaret ederek kendisini yetkili görmüş ve yetki itirazlarını reddetmiştir. Mahkemenin usul konusunda aldığı bu karar ziyadesiyle önem arz etmekte olup Mahkemenin yetki ve uluslararası belgelere katılım gibi konulardaki görüşünü net bir şekilde ortaya koymaktadır.</w:t>
      </w:r>
    </w:p>
    <w:p w14:paraId="0D36D59D" w14:textId="77777777" w:rsidR="00914DCC" w:rsidRPr="009F0AE3" w:rsidRDefault="00914DCC" w:rsidP="00AB7514">
      <w:pPr>
        <w:rPr>
          <w:b/>
          <w:bCs/>
        </w:rPr>
      </w:pPr>
      <w:r w:rsidRPr="009F0AE3">
        <w:rPr>
          <w:b/>
          <w:bCs/>
        </w:rPr>
        <w:t>AFRİKA MAHKEMESİNİN 4 HAZİRAN 2024 TARİHLİ KARARLARI</w:t>
      </w:r>
    </w:p>
    <w:p w14:paraId="0BADA9E7" w14:textId="74FA08DD" w:rsidR="00914DCC" w:rsidRDefault="00914DCC" w:rsidP="00AB7514">
      <w:pPr>
        <w:tabs>
          <w:tab w:val="left" w:pos="851"/>
        </w:tabs>
        <w:jc w:val="both"/>
      </w:pPr>
      <w:r>
        <w:t xml:space="preserve">4 Haziran 2024 tarihinde Afrika Mahkemesi, Tanzanya’nın taraf olduğu iki farklı davayı karara bağlamıştır. Bu davalar Burundi Cumhuriyeti vatandaşı N. </w:t>
      </w:r>
      <w:proofErr w:type="spellStart"/>
      <w:r>
        <w:t>Zabron</w:t>
      </w:r>
      <w:proofErr w:type="spellEnd"/>
      <w:r>
        <w:t xml:space="preserve"> ve Tanzanya vatandaşı D. </w:t>
      </w:r>
      <w:proofErr w:type="spellStart"/>
      <w:r>
        <w:t>Damian</w:t>
      </w:r>
      <w:proofErr w:type="spellEnd"/>
      <w:r>
        <w:t xml:space="preserve"> tarafından Mahkemeye yapılan bireysel başvurular neticesinde başlamış ve aynı tarihte Mahkemece karara bağlanmışlardır (</w:t>
      </w:r>
      <w:proofErr w:type="spellStart"/>
      <w:r>
        <w:t>Damian</w:t>
      </w:r>
      <w:proofErr w:type="spellEnd"/>
      <w:r>
        <w:t xml:space="preserve"> v. Tanzanya, 2024; </w:t>
      </w:r>
      <w:proofErr w:type="spellStart"/>
      <w:r>
        <w:t>Zabron</w:t>
      </w:r>
      <w:proofErr w:type="spellEnd"/>
      <w:r>
        <w:t xml:space="preserve"> v. Tanzanya 2024). Her iki karar da ihtiva ettikleri nihai argümanlar hasebiyle özel bir analizi hak etmektedir zira bu kararlar insan haklarının ve hukuk devleti anlayışının kıtada güçlenmesi noktasında aktif bir rol oynamaktadır.</w:t>
      </w:r>
    </w:p>
    <w:p w14:paraId="734B9BD9" w14:textId="77777777" w:rsidR="00AB7514" w:rsidRDefault="00AB7514" w:rsidP="00AB7514">
      <w:pPr>
        <w:tabs>
          <w:tab w:val="left" w:pos="851"/>
        </w:tabs>
        <w:jc w:val="both"/>
      </w:pPr>
    </w:p>
    <w:p w14:paraId="205BA96F" w14:textId="77777777" w:rsidR="00914DCC" w:rsidRPr="009F0AE3" w:rsidRDefault="00914DCC" w:rsidP="00AB7514">
      <w:pPr>
        <w:rPr>
          <w:b/>
          <w:bCs/>
        </w:rPr>
      </w:pPr>
      <w:proofErr w:type="spellStart"/>
      <w:r w:rsidRPr="009F0AE3">
        <w:rPr>
          <w:b/>
          <w:bCs/>
        </w:rPr>
        <w:t>Zabron</w:t>
      </w:r>
      <w:proofErr w:type="spellEnd"/>
      <w:r w:rsidRPr="009F0AE3">
        <w:rPr>
          <w:b/>
          <w:bCs/>
        </w:rPr>
        <w:t xml:space="preserve"> v. Tanzanya Davası “Başvuru No: 051/2016”</w:t>
      </w:r>
    </w:p>
    <w:p w14:paraId="777FC8BC" w14:textId="77777777" w:rsidR="00914DCC" w:rsidRDefault="00914DCC" w:rsidP="00AB7514">
      <w:pPr>
        <w:tabs>
          <w:tab w:val="left" w:pos="851"/>
        </w:tabs>
        <w:jc w:val="both"/>
      </w:pPr>
      <w:r>
        <w:t>Taraflar arasındaki dava sürecini açıklayan gerekçeli kararın 3 ve devamı sayfalarında detaylıca izah edildiği üzere;</w:t>
      </w:r>
    </w:p>
    <w:p w14:paraId="7C44C416" w14:textId="3732E9F1" w:rsidR="00914DCC" w:rsidRDefault="00914DCC" w:rsidP="00AB7514">
      <w:pPr>
        <w:tabs>
          <w:tab w:val="left" w:pos="851"/>
        </w:tabs>
        <w:jc w:val="both"/>
      </w:pPr>
      <w:r>
        <w:t xml:space="preserve">Burundi vatandaşı başvurucu Bay </w:t>
      </w:r>
      <w:proofErr w:type="spellStart"/>
      <w:r>
        <w:t>Zabron</w:t>
      </w:r>
      <w:proofErr w:type="spellEnd"/>
      <w:r>
        <w:t xml:space="preserve">, 2004 yılında </w:t>
      </w:r>
      <w:proofErr w:type="spellStart"/>
      <w:r>
        <w:t>Fadhili</w:t>
      </w:r>
      <w:proofErr w:type="spellEnd"/>
      <w:r>
        <w:t xml:space="preserve"> </w:t>
      </w:r>
      <w:proofErr w:type="spellStart"/>
      <w:r>
        <w:t>Seleman</w:t>
      </w:r>
      <w:proofErr w:type="spellEnd"/>
      <w:r>
        <w:t xml:space="preserve"> isimli bir kişiyi kasten öldürmek suçuyla tutuklanmış, yaklaşık 8 yıl süren uzun bir yargılama sonucunda ise 2012 yılında idam cezasına mahkûm edilmiştir. Tanzanya temyiz mahkemesinde yapılan başvurusunun da 2013 yılında reddedilmesi sonrasında idam cezası kararı kesinleşmiştir. 2016 yılında ise idam cezasının kaldırılması amacıyla Afrika Mahkemesi’ne bireysel bir başvuru yapan Bay </w:t>
      </w:r>
      <w:proofErr w:type="spellStart"/>
      <w:r>
        <w:t>Zabron</w:t>
      </w:r>
      <w:proofErr w:type="spellEnd"/>
      <w:r>
        <w:t xml:space="preserve"> tüm yargılama ve tutukluluk süreçleri boyunca adil yargılanma hakkı başta olmak üzere Afrika Şartı, 1963 tarihli Konsolosluk İlişkileri Hakkında Viyana Sözleşmesi ve diğer uluslararası hukuk kaynaklarında koruma altına alınan temel haklarının ve özgürlüklerinin ihlal edildiğini ileri sürmüştür. Davanın Afrika Mahkemesinde görüldüğü esnada, 2020 yılında ise kendisinin idam cezası müebbet hapis cezasına çevrilmiştir. Ancak buna rağmen dava görülmeye devam edilmiş ve 4 Haziran 2024 tarihinde Afrika Mahkemesi nihai kararını vermiştir.</w:t>
      </w:r>
    </w:p>
    <w:p w14:paraId="7523807E" w14:textId="77777777" w:rsidR="00914DCC" w:rsidRDefault="00914DCC" w:rsidP="00914DCC">
      <w:pPr>
        <w:tabs>
          <w:tab w:val="left" w:pos="851"/>
        </w:tabs>
        <w:spacing w:before="120" w:after="120"/>
        <w:jc w:val="both"/>
      </w:pPr>
      <w:r>
        <w:t>Afrika Mahkemesinin ilgili kararında özet olarak aşağıdaki hususlar karara bağlanmıştır:</w:t>
      </w:r>
    </w:p>
    <w:p w14:paraId="6E054F64"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 xml:space="preserve">Öncelikle her ne kadar Tanzanya hükûmeti, başvurucu Bay </w:t>
      </w:r>
      <w:proofErr w:type="spellStart"/>
      <w:r>
        <w:t>Zabron’un</w:t>
      </w:r>
      <w:proofErr w:type="spellEnd"/>
      <w:r>
        <w:t xml:space="preserve"> Mahkemeye başvurusuna süre itirazında ve yetki itirazında bulunmuşsa da Mahkeme hem başvurunun makul süreler içerisinde yapıldığını hem de Tanzanya’nın Mahkemenin kuruluş protokolüne imza atmasında dolayı bu dosyaya bakma noktasında yetkisinin var olduğuna hükmetmiştir,</w:t>
      </w:r>
    </w:p>
    <w:p w14:paraId="5CC3A5A3" w14:textId="37458C82" w:rsidR="00914DCC" w:rsidRDefault="00914DCC">
      <w:pPr>
        <w:pStyle w:val="ListeParagraf"/>
        <w:widowControl/>
        <w:numPr>
          <w:ilvl w:val="0"/>
          <w:numId w:val="10"/>
        </w:numPr>
        <w:tabs>
          <w:tab w:val="left" w:pos="851"/>
        </w:tabs>
        <w:autoSpaceDE/>
        <w:autoSpaceDN/>
        <w:spacing w:before="120" w:after="120"/>
        <w:ind w:left="0" w:firstLine="567"/>
        <w:jc w:val="both"/>
      </w:pPr>
      <w:r>
        <w:t xml:space="preserve">Bay </w:t>
      </w:r>
      <w:proofErr w:type="spellStart"/>
      <w:r>
        <w:t>Zabron</w:t>
      </w:r>
      <w:proofErr w:type="spellEnd"/>
      <w:r>
        <w:t xml:space="preserve"> Afrika Mahkemesine başvurmadan önce tüm iç hukuk yollarını tüketmiştir ve bu şekilde bir diğer usule ilişkin şartı da sağlamıştır,</w:t>
      </w:r>
    </w:p>
    <w:p w14:paraId="58B65739"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 xml:space="preserve">Bay </w:t>
      </w:r>
      <w:proofErr w:type="spellStart"/>
      <w:r>
        <w:t>Zabron</w:t>
      </w:r>
      <w:proofErr w:type="spellEnd"/>
      <w:r>
        <w:t xml:space="preserve"> her ne kadar gerçekten katil dahi olsa gerek mahkeme sürecinde ve gerekse sonrasında kötü muameleye tabi tutulmuştur ve özellikle de idam cezası müebbet hapis cezasına çevrilene kadarki süreçte sürekli olarak ölüm korkusu altında yaşamını sürdürmüştür ki bu da insan psikolojisi üzerinde derin bir etki bırakmaktadır,</w:t>
      </w:r>
    </w:p>
    <w:p w14:paraId="663D0CF5"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 xml:space="preserve">Bay </w:t>
      </w:r>
      <w:proofErr w:type="spellStart"/>
      <w:r>
        <w:t>Zabron’un</w:t>
      </w:r>
      <w:proofErr w:type="spellEnd"/>
      <w:r>
        <w:t xml:space="preserve"> yargılama süreci de çok uzun sürmüş ve olağan bir muhakeme süresini aşmıştır,</w:t>
      </w:r>
    </w:p>
    <w:p w14:paraId="4F26F862" w14:textId="77777777" w:rsidR="00914DCC" w:rsidRDefault="00914DCC">
      <w:pPr>
        <w:pStyle w:val="ListeParagraf"/>
        <w:widowControl/>
        <w:numPr>
          <w:ilvl w:val="0"/>
          <w:numId w:val="10"/>
        </w:numPr>
        <w:tabs>
          <w:tab w:val="left" w:pos="851"/>
        </w:tabs>
        <w:autoSpaceDE/>
        <w:autoSpaceDN/>
        <w:spacing w:before="120" w:after="120"/>
        <w:ind w:left="0" w:firstLine="567"/>
        <w:jc w:val="both"/>
      </w:pPr>
      <w:r>
        <w:t>Tanzanya’daki cezaevi koşulları son derece yetersiz ve kötü olup bir mahkûmun bu şartlarda fiziksel ve ruhsal sağlığını koruması hayli güçtür,</w:t>
      </w:r>
    </w:p>
    <w:p w14:paraId="2513983A" w14:textId="77777777" w:rsidR="00914DCC" w:rsidRDefault="00914DCC">
      <w:pPr>
        <w:pStyle w:val="ListeParagraf"/>
        <w:widowControl/>
        <w:numPr>
          <w:ilvl w:val="0"/>
          <w:numId w:val="10"/>
        </w:numPr>
        <w:tabs>
          <w:tab w:val="left" w:pos="851"/>
        </w:tabs>
        <w:autoSpaceDE/>
        <w:autoSpaceDN/>
        <w:spacing w:before="120" w:after="120"/>
        <w:ind w:left="0" w:firstLine="567"/>
        <w:jc w:val="both"/>
      </w:pPr>
      <w:r>
        <w:lastRenderedPageBreak/>
        <w:t xml:space="preserve">Bay </w:t>
      </w:r>
      <w:proofErr w:type="spellStart"/>
      <w:r>
        <w:t>Zabron</w:t>
      </w:r>
      <w:proofErr w:type="spellEnd"/>
      <w:r>
        <w:t xml:space="preserve"> Burundili bir yabancı olduğundan mütevellit davalı Tanzanya hükûmeti 1963 tarihli Konsolosluk İlişkileri Hakkındaki Viyana Sözleşmesi’nin 36’ncı maddesine uyarınca Burundili diplomatik misyonlara yargılama hakkında bilgi vermesi gerekirken bunu yapmamıştır,</w:t>
      </w:r>
    </w:p>
    <w:p w14:paraId="7BC3ADA0" w14:textId="022C156C" w:rsidR="00914DCC" w:rsidRDefault="00914DCC">
      <w:pPr>
        <w:pStyle w:val="ListeParagraf"/>
        <w:widowControl/>
        <w:numPr>
          <w:ilvl w:val="0"/>
          <w:numId w:val="10"/>
        </w:numPr>
        <w:tabs>
          <w:tab w:val="left" w:pos="851"/>
        </w:tabs>
        <w:autoSpaceDE/>
        <w:autoSpaceDN/>
        <w:spacing w:before="120" w:after="120"/>
        <w:ind w:left="0" w:firstLine="567"/>
        <w:jc w:val="both"/>
      </w:pPr>
      <w:r>
        <w:t xml:space="preserve">Tanzanya hükûmeti vuku bulan tüm bu kötü muamele, uzun yargılama süreçleri, olumsuz cezaevi koşulları ve diğer prosedürel eksiklikler sebebiyle Bay </w:t>
      </w:r>
      <w:proofErr w:type="spellStart"/>
      <w:r>
        <w:t>Zarbon’a</w:t>
      </w:r>
      <w:proofErr w:type="spellEnd"/>
      <w:r>
        <w:t xml:space="preserve"> 300.000,00 Tanzanya </w:t>
      </w:r>
      <w:proofErr w:type="gramStart"/>
      <w:r>
        <w:t>Şilini</w:t>
      </w:r>
      <w:proofErr w:type="gramEnd"/>
      <w:r>
        <w:t xml:space="preserve"> tutarında tazminat ödemelidir,</w:t>
      </w:r>
    </w:p>
    <w:p w14:paraId="1CE8DB0C" w14:textId="703E7A91" w:rsidR="00914DCC" w:rsidRDefault="00914DCC" w:rsidP="00914DCC">
      <w:pPr>
        <w:tabs>
          <w:tab w:val="left" w:pos="851"/>
        </w:tabs>
        <w:spacing w:before="120" w:after="120"/>
        <w:jc w:val="both"/>
      </w:pPr>
      <w:r w:rsidRPr="00120E2C">
        <w:t>Tüm bu</w:t>
      </w:r>
      <w:r>
        <w:t xml:space="preserve"> husus</w:t>
      </w:r>
      <w:r w:rsidRPr="00120E2C">
        <w:t xml:space="preserve">ların yanı sıra, belki de en önemli karar olarak Afrika Mahkemesi başvurucu Bay </w:t>
      </w:r>
      <w:proofErr w:type="spellStart"/>
      <w:r w:rsidRPr="00120E2C">
        <w:t>Zabron</w:t>
      </w:r>
      <w:proofErr w:type="spellEnd"/>
      <w:r w:rsidRPr="00120E2C">
        <w:t xml:space="preserve"> hakkında hükmedilen idam cezasını, bu cezanın insan hayatının bütünlüğü ve onuruna yönelik bir saldırı niteliğinde olduğu, asılarak idam yönteminin ise esasında insanlık dışı ve zalimane bir işkence yöntemi olduğuna hükmetm</w:t>
      </w:r>
      <w:r>
        <w:t>iştir. İdam cezasının Afrika Şartının 5’inci maddesine de açıkça aykırılık teşkil ettiğini ileri süren Mahkeme bu maddede ifade edildiği şekilde herkesin salt insan olduklarından ötürü sahip olduğu temel birtakım haklara sahip olduğuna dikkat çekmiş ve buna istinaden idam cezalarının insan haklarını da açıkça ihlal eden bir eylem olduğuna kanaat getirmiştir.</w:t>
      </w:r>
    </w:p>
    <w:p w14:paraId="2C2821DE" w14:textId="27F0FE92" w:rsidR="00914DCC" w:rsidRDefault="00914DCC" w:rsidP="00914DCC">
      <w:pPr>
        <w:tabs>
          <w:tab w:val="left" w:pos="851"/>
        </w:tabs>
        <w:spacing w:before="120" w:after="120"/>
        <w:jc w:val="both"/>
      </w:pPr>
      <w:r>
        <w:t>Somut olaya ilişkin kararların haricinde, Afrika Mahkemesi son bir karar ve emir olarak da Tanzanya hükûmetine yukarıdaki gerekçelere istinaden bu kararın verildiği tarihten itibaren 6 ay içerisinde kendi iç hukuk sisteminden de idam cezasını kaldırması için süre tanımıştır. Afrika Mahkemesinin bu kararının emredici özelliği sebebiyle özel bir noktada olduğu tasavvur edilmektedir. Zira emsal yargı mercilerinden AİHM baktığı davalarda hukuka aykırılıkları ve insan hakları ihlallerini ortaya koyup hakları ihlal edilen kişilerin zararlarının tazmin edilmesine karar verirken hiçbir ülkeye idari / hukuki nitelikte bir emir ya da talimat verememektedir (</w:t>
      </w:r>
      <w:proofErr w:type="spellStart"/>
      <w:r>
        <w:t>Tumay</w:t>
      </w:r>
      <w:proofErr w:type="spellEnd"/>
      <w:r>
        <w:t>, 2009). Öte yandan Afrika Mahkemesi, AİHM’den farklı olarak Tanzanya hükûmetine açıkça hukuki / idari bir karar alması noktasında talimat vermiştir. Karar salt bu özelliğiyle dahi ön plana çıkmakta ve özel bir incelemeyi gerekli kılmaktadır. Zira AİHM nezdinde kararların icrai ve etkili olup olmaması sık sık tartışma konusu edilmekte ve AİHM mağduriyetleri gerçek anlamda gideremediği gerekçesiyle zaman zaman eleştirilmektedir (Cengiz, 2008).</w:t>
      </w:r>
    </w:p>
    <w:p w14:paraId="1AA81891" w14:textId="77777777" w:rsidR="00914DCC" w:rsidRPr="009F0AE3" w:rsidRDefault="00914DCC" w:rsidP="00AB7514">
      <w:pPr>
        <w:rPr>
          <w:b/>
          <w:bCs/>
        </w:rPr>
      </w:pPr>
      <w:proofErr w:type="spellStart"/>
      <w:r w:rsidRPr="009F0AE3">
        <w:rPr>
          <w:b/>
          <w:bCs/>
        </w:rPr>
        <w:t>Damian</w:t>
      </w:r>
      <w:proofErr w:type="spellEnd"/>
      <w:r w:rsidRPr="009F0AE3">
        <w:rPr>
          <w:b/>
          <w:bCs/>
        </w:rPr>
        <w:t xml:space="preserve"> v. Tanzanya Davası “Başvuru No: 048/2016”</w:t>
      </w:r>
    </w:p>
    <w:p w14:paraId="3DC34120" w14:textId="6362F530" w:rsidR="00914DCC" w:rsidRDefault="00914DCC" w:rsidP="00AB7514">
      <w:pPr>
        <w:tabs>
          <w:tab w:val="left" w:pos="851"/>
        </w:tabs>
        <w:jc w:val="both"/>
      </w:pPr>
      <w:r>
        <w:t xml:space="preserve">İşbu 048/2016 numaralı dava ile yukarıda izah edilen 051/2016 numaralı ve Bay </w:t>
      </w:r>
      <w:proofErr w:type="spellStart"/>
      <w:r>
        <w:t>Zabron’un</w:t>
      </w:r>
      <w:proofErr w:type="spellEnd"/>
      <w:r>
        <w:t xml:space="preserve"> başvurucusu olduğu dava arasında birçok benzerlik bulunmaktadır. Tıpkı Bay </w:t>
      </w:r>
      <w:proofErr w:type="spellStart"/>
      <w:r>
        <w:t>Zabron</w:t>
      </w:r>
      <w:proofErr w:type="spellEnd"/>
      <w:r>
        <w:t xml:space="preserve"> gibi cinayet suçuyla yargılanan, çok uzun süreli bir yargılama sürecine tabii olan ve yine Bay </w:t>
      </w:r>
      <w:proofErr w:type="spellStart"/>
      <w:r>
        <w:t>Zabron</w:t>
      </w:r>
      <w:proofErr w:type="spellEnd"/>
      <w:r>
        <w:t xml:space="preserve"> gibi suçlu bulunarak idam cezasına çarptırılan Bay </w:t>
      </w:r>
      <w:proofErr w:type="spellStart"/>
      <w:r>
        <w:t>Damian</w:t>
      </w:r>
      <w:proofErr w:type="spellEnd"/>
      <w:r>
        <w:t xml:space="preserve"> da hemen hemen aynı argümanlarla başvuruda bulunmuştur. Sadece Bay </w:t>
      </w:r>
      <w:proofErr w:type="spellStart"/>
      <w:r>
        <w:t>Zabron’un</w:t>
      </w:r>
      <w:proofErr w:type="spellEnd"/>
      <w:r>
        <w:t xml:space="preserve"> aksine Tanzanyalı olan ve 1963 tarihli Viyana Sözleşmesine istinaden argümanlar ileri sürmeyen Bay </w:t>
      </w:r>
      <w:proofErr w:type="spellStart"/>
      <w:r>
        <w:t>Damian</w:t>
      </w:r>
      <w:proofErr w:type="spellEnd"/>
      <w:r>
        <w:t xml:space="preserve"> yine Bay </w:t>
      </w:r>
      <w:proofErr w:type="spellStart"/>
      <w:r>
        <w:t>Zabron</w:t>
      </w:r>
      <w:proofErr w:type="spellEnd"/>
      <w:r>
        <w:t xml:space="preserve"> gibi çarptırılmış olduğu idam cezasının kaldırılması için talepte bulunmuştur.</w:t>
      </w:r>
    </w:p>
    <w:p w14:paraId="06A64949" w14:textId="66651D95" w:rsidR="00914DCC" w:rsidRDefault="00914DCC" w:rsidP="00914DCC">
      <w:pPr>
        <w:tabs>
          <w:tab w:val="left" w:pos="851"/>
        </w:tabs>
        <w:spacing w:before="120" w:after="120"/>
        <w:jc w:val="both"/>
      </w:pPr>
      <w:r>
        <w:t>Tanzanya hükûmetinin de yine benzer savunmalarda bulunduğu bu davada Mahkeme bir kez daha süre ve yetki itirazını reddetmiş, başvurucunun temel insan haklarının reddedildiğine kanaat getirmiş ve idam cezasının insanlık onuruna aykırı olduğuna hükmederek davalı ülkeyi tekrar mahkûm etmiştir.</w:t>
      </w:r>
    </w:p>
    <w:p w14:paraId="34563522" w14:textId="502CD397" w:rsidR="00914DCC" w:rsidRDefault="00914DCC" w:rsidP="00914DCC">
      <w:pPr>
        <w:tabs>
          <w:tab w:val="left" w:pos="851"/>
        </w:tabs>
        <w:spacing w:before="120" w:after="120"/>
        <w:jc w:val="both"/>
      </w:pPr>
      <w:r>
        <w:t xml:space="preserve">Tekrara düşmemek adına 048/2016 numaralı davanın ayrıntılarına yer verilmeyecek ise de bu dava nezdinde şu hususun bilhassa vurgulanması gerekmektedir ki aynı ülkenin aynı tarihte aynı konuda verilmiş olan iki kararda iki defa mahkûm edilmesi ve haksız bulunması eşine sık rastlanan bir durum değildir. Bu durum, Afrika Mahkemesinin bu konudaki tavrının somut ve net bir şekilde ortaya konması adına da ziyadesiyle önem arz etmektedir. Zira Mahkemenin bu net tavrının ortaya konmasından sonraki süreçte, 2024 yılının 2’nci yarısında kıtanın genelinde </w:t>
      </w:r>
      <w:r>
        <w:lastRenderedPageBreak/>
        <w:t>idam cezalarının kaldırılması noktasında birçok somut adım atılmaya başlanmıştır.</w:t>
      </w:r>
    </w:p>
    <w:p w14:paraId="6A413B5B" w14:textId="77777777" w:rsidR="00914DCC" w:rsidRPr="009F0AE3" w:rsidRDefault="00914DCC" w:rsidP="00AB7514">
      <w:pPr>
        <w:rPr>
          <w:b/>
          <w:bCs/>
        </w:rPr>
      </w:pPr>
      <w:r w:rsidRPr="009F0AE3">
        <w:rPr>
          <w:b/>
          <w:bCs/>
        </w:rPr>
        <w:t>AFRİKA MAHKEMESİNİN KARARLARININ KITA GENELİNDE YANSIMALARI</w:t>
      </w:r>
    </w:p>
    <w:p w14:paraId="638F0260" w14:textId="62BE285C" w:rsidR="00914DCC" w:rsidRDefault="00914DCC" w:rsidP="00AB7514">
      <w:pPr>
        <w:tabs>
          <w:tab w:val="left" w:pos="851"/>
        </w:tabs>
        <w:jc w:val="both"/>
      </w:pPr>
      <w:r w:rsidRPr="00EB3964">
        <w:t xml:space="preserve">Afrika </w:t>
      </w:r>
      <w:r>
        <w:t xml:space="preserve">Mahkemesinin kararları sadece Tanzanya’da değil tüm kıtada büyük bir yankı uyandırmıştır. Mahkemenin bir günde aynı ülkeyi iki kez haksız bularak hem büyük bir manevi tazminata mahkûm etmesi hem de idam cezasının kaldırılmasını emretmesi diğer Afrikalı devletleri de harekete geçirmiştir. Kararın alınmasını izleyen süreçten itibaren işbu çalışmanın kaleme alındığı 2025 yılının </w:t>
      </w:r>
      <w:proofErr w:type="gramStart"/>
      <w:r>
        <w:t>Şubat</w:t>
      </w:r>
      <w:proofErr w:type="gramEnd"/>
      <w:r>
        <w:t xml:space="preserve"> ayına kadarki süreçte kıtada idam cezasının kaldırılması yolunda aşağıdaki adımlar atılmıştır.</w:t>
      </w:r>
    </w:p>
    <w:p w14:paraId="005B016F" w14:textId="341F4FD4" w:rsidR="00914DCC" w:rsidRDefault="00914DCC" w:rsidP="00914DCC">
      <w:pPr>
        <w:tabs>
          <w:tab w:val="left" w:pos="851"/>
        </w:tabs>
        <w:spacing w:before="120" w:after="120"/>
        <w:jc w:val="both"/>
      </w:pPr>
      <w:r>
        <w:t>Kenya Cumhuriyeti, zaten uzun yıllardır herhangi bir infaz gerçekleştirmediği halde kararı izleyen süreçte idam cezasını resmi olarak da kaldırmak için harekete geçmiştir. Ulusal Parlamentoda yapılan komisyon oylamalarında ve genel kuruldaki ilk oylamada idam cezasının kaldırılması için adım atılmıştır (</w:t>
      </w:r>
      <w:proofErr w:type="spellStart"/>
      <w:r>
        <w:t>Amnesty</w:t>
      </w:r>
      <w:proofErr w:type="spellEnd"/>
      <w:r>
        <w:t xml:space="preserve"> International, 2024 Ekim 10).</w:t>
      </w:r>
    </w:p>
    <w:p w14:paraId="3E52A9A9" w14:textId="30463BE7" w:rsidR="00914DCC" w:rsidRDefault="00914DCC" w:rsidP="00914DCC">
      <w:pPr>
        <w:tabs>
          <w:tab w:val="left" w:pos="851"/>
        </w:tabs>
        <w:spacing w:before="120" w:after="120"/>
        <w:jc w:val="both"/>
      </w:pPr>
      <w:r>
        <w:t>Gambiya Cumhuriyeti de yine 2024 yılı içerisinde idam cezasının kaldırılması için harekete geçmiştir. Son idam cezası infazının 2012’de gerçekleştiği ülkede 2017’den beri devam eden yoğun kampanyalar 2024’te ilk defa yoğun bir politik destek de bularak ülke parlamentosunda görüşülmeye başlanmış ve idam cezasının kaldırılması için resmi kanun teklifi sunulmuştur (</w:t>
      </w:r>
      <w:proofErr w:type="spellStart"/>
      <w:r>
        <w:t>Mavhunga</w:t>
      </w:r>
      <w:proofErr w:type="spellEnd"/>
      <w:r>
        <w:t>, 2024).</w:t>
      </w:r>
    </w:p>
    <w:p w14:paraId="044383ED" w14:textId="1174D620" w:rsidR="00914DCC" w:rsidRDefault="00914DCC" w:rsidP="00914DCC">
      <w:pPr>
        <w:tabs>
          <w:tab w:val="left" w:pos="851"/>
        </w:tabs>
        <w:spacing w:before="120" w:after="120"/>
        <w:jc w:val="both"/>
      </w:pPr>
      <w:r>
        <w:t>2024 yılı içerisinde idam cezasının kaldırılması için somut hukuki adımlar atan diğer ülkeler ise Liberya Cumhuriyeti, Çad Cumhuriyeti, Kongo Cumhuriyeti ve Fildişi Sahili Cumhuriyeti’dir.  Öncelikli olarak Liberya’da Senato idam cezasının kaldırılması için bir taslak hazırlamış ve bu taslak metin Temsilciler Meclisi’ne sunulmuştur. 31 Ocak 2024 tarihinde de Birleşmiş Milletler nezdinde yürütülen İnsan Hakları 75 Girişimi kapsamında idam cezasının kaldırılması için gerekli protokolleri akdetmiştir. Fildişi Sahili’nde de benzer şekilde Senato düzeyinde cezanın kaldırılması için ilk adım atılmıştır. Son olarak Çad ve Kongo’da da idam cezasının kaldırılması için BM komisyon toplantılarında resmi taahhütlerde bulunulmuştur (Birleşmiş Milletler Genel Kurulu, 2024).</w:t>
      </w:r>
    </w:p>
    <w:p w14:paraId="2D28E08F" w14:textId="4A474EDC" w:rsidR="00914DCC" w:rsidRDefault="00914DCC" w:rsidP="00914DCC">
      <w:pPr>
        <w:tabs>
          <w:tab w:val="left" w:pos="851"/>
        </w:tabs>
        <w:spacing w:before="120" w:after="120"/>
        <w:jc w:val="both"/>
      </w:pPr>
      <w:r>
        <w:t xml:space="preserve">17 Aralık 2024 tarihinde ise BM Genel Kurulu’nda İdam Cezasının Kaldırılması için Yapılan Moratoryum Toplantısı’nda da Fas Krallığı, Zambiya Cumhuriyeti ve Kenya tarihlerinde ilk defa lehte oy kullanmışlardır. Halen kendi iç hukuki düzenlemelerinde idam cezasına yer veren bu ülkeler uluslararası düzeyde yapılan oylamada lehte oy kullanarak geleceğe yönelik pozitif bir projeksiyon çizmişlerdir (World </w:t>
      </w:r>
      <w:proofErr w:type="spellStart"/>
      <w:r>
        <w:t>Coalition</w:t>
      </w:r>
      <w:proofErr w:type="spellEnd"/>
      <w:r>
        <w:t xml:space="preserve"> </w:t>
      </w:r>
      <w:proofErr w:type="spellStart"/>
      <w:r>
        <w:t>Against</w:t>
      </w:r>
      <w:proofErr w:type="spellEnd"/>
      <w:r>
        <w:t xml:space="preserve"> </w:t>
      </w:r>
      <w:proofErr w:type="spellStart"/>
      <w:r>
        <w:t>Death</w:t>
      </w:r>
      <w:proofErr w:type="spellEnd"/>
      <w:r>
        <w:t xml:space="preserve"> </w:t>
      </w:r>
      <w:proofErr w:type="spellStart"/>
      <w:r>
        <w:t>Penalty</w:t>
      </w:r>
      <w:proofErr w:type="spellEnd"/>
      <w:r>
        <w:t>, 2024).</w:t>
      </w:r>
    </w:p>
    <w:p w14:paraId="143B900A" w14:textId="2CA92178" w:rsidR="00914DCC" w:rsidRDefault="00914DCC" w:rsidP="00914DCC">
      <w:pPr>
        <w:tabs>
          <w:tab w:val="left" w:pos="851"/>
        </w:tabs>
        <w:spacing w:before="120" w:after="120"/>
        <w:jc w:val="both"/>
      </w:pPr>
      <w:r>
        <w:t>Kıta genelinde en somut ve en güçlü adımı atan ülke ise Zimbabve Cumhuriyeti olmuştur. 31 Aralık 2024 tarihinde Zimbabve Cumhurbaşkanı</w:t>
      </w:r>
      <w:r w:rsidRPr="007D7782">
        <w:t> </w:t>
      </w:r>
      <w:proofErr w:type="spellStart"/>
      <w:r w:rsidRPr="007D7782">
        <w:t>Emmerson</w:t>
      </w:r>
      <w:proofErr w:type="spellEnd"/>
      <w:r w:rsidRPr="007D7782">
        <w:t xml:space="preserve"> </w:t>
      </w:r>
      <w:proofErr w:type="spellStart"/>
      <w:r w:rsidRPr="007D7782">
        <w:t>Mnangagwa</w:t>
      </w:r>
      <w:proofErr w:type="spellEnd"/>
      <w:r>
        <w:t xml:space="preserve"> ulusal parlamentodan gelen kanun tasarısını onaylamış ve en son 2004 yılında gerçekleştirilen infazın ardından 20 yıl sonra idam cezasının tamamen kaldırıldığını ilan etmiştir (</w:t>
      </w:r>
      <w:proofErr w:type="spellStart"/>
      <w:r>
        <w:t>Mutsaka</w:t>
      </w:r>
      <w:proofErr w:type="spellEnd"/>
      <w:r>
        <w:t>, 2024).</w:t>
      </w:r>
    </w:p>
    <w:p w14:paraId="4C118B0D" w14:textId="6F75C05F" w:rsidR="00914DCC" w:rsidRDefault="00914DCC" w:rsidP="00914DCC">
      <w:pPr>
        <w:tabs>
          <w:tab w:val="left" w:pos="851"/>
        </w:tabs>
        <w:spacing w:before="120" w:after="120"/>
        <w:jc w:val="both"/>
      </w:pPr>
      <w:r>
        <w:t>Kıta genelinde kısa bir zaman zarfında 8 ülkede idam cezalarının kaldırılması yolunda somut adımlar atılması ve 1 ülkede ise kesin olarak kaldırılması, önemli bir adım olarak değerlendirilmektedir. Zira kıta genelinde, bilhassa da Sahra-altı Afrika’da idam cezalarının sayısı son 5 yılda 3’e katlanmıştır ve bu durum kıtadaki insan hakları kültürüne büyük bir zarar vermektedir (</w:t>
      </w:r>
      <w:proofErr w:type="spellStart"/>
      <w:r>
        <w:t>Amnesty</w:t>
      </w:r>
      <w:proofErr w:type="spellEnd"/>
      <w:r>
        <w:t xml:space="preserve"> International, 2024 Mayıs 29). Hal böyleyken az sayıda dahi olsa bütün bu ülkelerin idam cezalarının kaldırılması yolunda göstermiş olduğu net tavır geleceğe yönelik umut edici bir hamle olarak görülmektedir.</w:t>
      </w:r>
    </w:p>
    <w:p w14:paraId="58104D22" w14:textId="77777777" w:rsidR="00914DCC" w:rsidRPr="009F0AE3" w:rsidRDefault="00914DCC" w:rsidP="00AB7514">
      <w:pPr>
        <w:rPr>
          <w:b/>
          <w:bCs/>
        </w:rPr>
      </w:pPr>
      <w:r w:rsidRPr="009F0AE3">
        <w:rPr>
          <w:b/>
          <w:bCs/>
        </w:rPr>
        <w:t>SONUÇ</w:t>
      </w:r>
    </w:p>
    <w:p w14:paraId="046C0246" w14:textId="1361FD2B" w:rsidR="00914DCC" w:rsidRDefault="00914DCC" w:rsidP="00AB7514">
      <w:pPr>
        <w:tabs>
          <w:tab w:val="left" w:pos="851"/>
        </w:tabs>
        <w:jc w:val="both"/>
      </w:pPr>
      <w:r w:rsidRPr="00333EC3">
        <w:lastRenderedPageBreak/>
        <w:t xml:space="preserve">Afrika Mahkemesi’nin 4 Haziran 2024 tarihli kararları, kıtada insan haklarının korunması ve hukuk devleti anlayışının güçlendirilmesi açısından kritik bir dönüm noktası niteliğindedir. </w:t>
      </w:r>
      <w:r>
        <w:t>Her iki kararda da M</w:t>
      </w:r>
      <w:r w:rsidRPr="00333EC3">
        <w:t>ahkeme, idam cezasının insanlık dışı ve zalimane bir uygulama olduğu yönünde hüküm vererek, Tanzanya hükümetine iç hukuk sisteminden idam cezasını kaldırması için altı ay süre tanımış</w:t>
      </w:r>
      <w:r>
        <w:t xml:space="preserve">tır. </w:t>
      </w:r>
      <w:r w:rsidRPr="00333EC3">
        <w:t xml:space="preserve">Bu karar, Afrika Mahkemesi’nin emredici yetkisinin genişliğini </w:t>
      </w:r>
      <w:r>
        <w:t xml:space="preserve">ve </w:t>
      </w:r>
      <w:r w:rsidRPr="00333EC3">
        <w:t>kıtadaki insan hakları ihlallerine karşı proaktif</w:t>
      </w:r>
      <w:r>
        <w:t>, güçlü</w:t>
      </w:r>
      <w:r w:rsidRPr="00333EC3">
        <w:t xml:space="preserve"> bir yaklaşım</w:t>
      </w:r>
      <w:r>
        <w:t>a sahip olduğunu da gözler önüne sermiştir.</w:t>
      </w:r>
    </w:p>
    <w:p w14:paraId="3E9FE0A4" w14:textId="313A0974" w:rsidR="00914DCC" w:rsidRDefault="00914DCC" w:rsidP="00914DCC">
      <w:pPr>
        <w:tabs>
          <w:tab w:val="left" w:pos="851"/>
        </w:tabs>
        <w:spacing w:before="120" w:after="120"/>
        <w:jc w:val="both"/>
      </w:pPr>
      <w:r w:rsidRPr="00333EC3">
        <w:t>Öte yandan, Mahkeme’nin Tanzanya’nın yetkiye ilişkin itirazlarını reddetmesi, sadece Mahkeme’nin kendini yetkili kılma pratiği açısından değil, aynı zamanda Afrika kıtasındaki insan hakları yargılamalarının geleceği açısından da önemli bir emsal teşkil etmektedir. Mahkeme’nin iç hukuk yollarının tüketilmesi şartına getirdiği esnek yorum, bireysel başvuruların daha etkili şekilde değerlendirilmesine olanak tanımakta</w:t>
      </w:r>
      <w:r>
        <w:t xml:space="preserve"> ve gelecekte de benzer başvuruların yapılması ihtimalinde Mahkemenin tavrı hakkında fikir vermektedir. </w:t>
      </w:r>
      <w:r w:rsidRPr="00333EC3">
        <w:t>Bu durum, Afrika Mahkemesi’nin kıtada insan hakları standartlarını yükseltme misyonunu daha güçlü bir şekilde yerine getirme potansiyeline sahip olduğunu göstermektedir.</w:t>
      </w:r>
    </w:p>
    <w:p w14:paraId="1679C9AC" w14:textId="1A896EC6" w:rsidR="00914DCC" w:rsidRDefault="00914DCC" w:rsidP="00914DCC">
      <w:pPr>
        <w:tabs>
          <w:tab w:val="left" w:pos="851"/>
        </w:tabs>
        <w:spacing w:before="120" w:after="120"/>
        <w:jc w:val="both"/>
      </w:pPr>
      <w:r w:rsidRPr="00333EC3">
        <w:t xml:space="preserve">Sonuç olarak, </w:t>
      </w:r>
      <w:r>
        <w:t xml:space="preserve">Afrika </w:t>
      </w:r>
      <w:r w:rsidRPr="00333EC3">
        <w:t>Mahkeme</w:t>
      </w:r>
      <w:r>
        <w:t>si</w:t>
      </w:r>
      <w:r w:rsidRPr="00333EC3">
        <w:t xml:space="preserve">’nin verdiği kararlar, Afrika’daki insan hakları hukukunun gelişimi açısından önemli bir adım olup, üye devletlerin Mahkeme’nin yetkisini tanıma konusundaki tutumlarını yeniden değerlendirmelerine neden </w:t>
      </w:r>
      <w:r>
        <w:t>olmuştur</w:t>
      </w:r>
      <w:r w:rsidRPr="00333EC3">
        <w:t>. Bu bağlamda, Mahkeme’nin içtihatlarının, kıtadaki insan hakları mekanizmalarının güçlendirilmesi ve daha geniş bir yargısal etkinliğin sağlanması açısından önemli bir referans noktası olmaya devam edeceği öngörülmektedir.</w:t>
      </w:r>
      <w:r>
        <w:t xml:space="preserve"> 2024’ün ikinci yarısında 9 ülkenin Mahkeme’nin kararlarından etkilenerek atmış olduğu hukuki adımların gelecekte daha fazla ülke tarafından takip edileceği ve bu şekilde kıtadaki insan hakları kültürünün güçleneceği tasavvur edilmektedir.</w:t>
      </w:r>
    </w:p>
    <w:p w14:paraId="4A1F4C8A" w14:textId="77777777" w:rsidR="00AB7514" w:rsidRDefault="00AB7514" w:rsidP="00914DCC">
      <w:pPr>
        <w:tabs>
          <w:tab w:val="left" w:pos="851"/>
        </w:tabs>
        <w:spacing w:before="120" w:after="120"/>
        <w:jc w:val="both"/>
      </w:pPr>
    </w:p>
    <w:p w14:paraId="593A9A02" w14:textId="77777777" w:rsidR="00914DCC" w:rsidRPr="009F0AE3" w:rsidRDefault="00914DCC" w:rsidP="000A70F0">
      <w:pPr>
        <w:rPr>
          <w:b/>
          <w:bCs/>
        </w:rPr>
      </w:pPr>
      <w:r w:rsidRPr="009F0AE3">
        <w:rPr>
          <w:b/>
          <w:bCs/>
        </w:rPr>
        <w:t>KAYNAKÇA</w:t>
      </w:r>
    </w:p>
    <w:p w14:paraId="3833265A" w14:textId="256B6E49" w:rsidR="00914DCC" w:rsidRPr="00A7613A" w:rsidRDefault="00914DCC">
      <w:pPr>
        <w:pStyle w:val="ListeParagraf"/>
        <w:numPr>
          <w:ilvl w:val="0"/>
          <w:numId w:val="37"/>
        </w:numPr>
        <w:tabs>
          <w:tab w:val="left" w:pos="851"/>
        </w:tabs>
        <w:jc w:val="both"/>
        <w:rPr>
          <w:i/>
          <w:iCs/>
        </w:rPr>
      </w:pPr>
      <w:r w:rsidRPr="00E351F4">
        <w:t>Afrika İnsan ve Halkaların Hakları Mahkemesi Resmî Web Sitesi</w:t>
      </w:r>
      <w:r>
        <w:t xml:space="preserve">, </w:t>
      </w:r>
      <w:r w:rsidRPr="00A7613A">
        <w:rPr>
          <w:i/>
          <w:iCs/>
        </w:rPr>
        <w:t xml:space="preserve">Basic Information </w:t>
      </w:r>
      <w:r w:rsidRPr="00E351F4">
        <w:t>(2025)</w:t>
      </w:r>
      <w:r w:rsidRPr="00A7613A">
        <w:rPr>
          <w:i/>
          <w:iCs/>
        </w:rPr>
        <w:t xml:space="preserve"> </w:t>
      </w:r>
      <w:hyperlink r:id="rId44" w:anchor="establishment" w:history="1">
        <w:r w:rsidRPr="00A7613A">
          <w:rPr>
            <w:rStyle w:val="Kpr"/>
            <w:rFonts w:eastAsiaTheme="majorEastAsia"/>
          </w:rPr>
          <w:t>https://www.african-court.org/wpafc/basic-information/#establishment</w:t>
        </w:r>
      </w:hyperlink>
    </w:p>
    <w:p w14:paraId="1D532C8E" w14:textId="25729D85" w:rsidR="00914DCC" w:rsidRDefault="00914DCC">
      <w:pPr>
        <w:pStyle w:val="ListeParagraf"/>
        <w:numPr>
          <w:ilvl w:val="0"/>
          <w:numId w:val="37"/>
        </w:numPr>
        <w:tabs>
          <w:tab w:val="left" w:pos="851"/>
        </w:tabs>
        <w:jc w:val="both"/>
      </w:pPr>
      <w:r w:rsidRPr="00A7613A">
        <w:rPr>
          <w:lang w:val="en-US"/>
        </w:rPr>
        <w:t>Amnesty</w:t>
      </w:r>
      <w:r>
        <w:t xml:space="preserve"> International (2024, 29 Mayıs) </w:t>
      </w:r>
      <w:r w:rsidRPr="00A7613A">
        <w:rPr>
          <w:i/>
          <w:iCs/>
          <w:lang w:val="en-US"/>
        </w:rPr>
        <w:t>Death Penalty 2023: Executions more than Tripled in Sub-Saharan Africa, as Global Executions Soar to Highest Number in Almost a Decade</w:t>
      </w:r>
      <w:r w:rsidRPr="00A7613A">
        <w:rPr>
          <w:lang w:val="en-US"/>
        </w:rPr>
        <w:t xml:space="preserve">. </w:t>
      </w:r>
      <w:hyperlink r:id="rId45" w:history="1">
        <w:r w:rsidRPr="00A7613A">
          <w:rPr>
            <w:rStyle w:val="Kpr"/>
            <w:rFonts w:eastAsiaTheme="majorEastAsia"/>
            <w:lang w:val="en-US"/>
          </w:rPr>
          <w:t>https://www.amnesty.org/en/latest/news/2024/05/executions-more-than-tripled-in-sub-saharan-africa-as-global-executions-soar-to-highest-number-in-almost-a-decade/</w:t>
        </w:r>
      </w:hyperlink>
    </w:p>
    <w:p w14:paraId="1AE0FF9B" w14:textId="3911B73B" w:rsidR="00914DCC" w:rsidRPr="00A7613A" w:rsidRDefault="00914DCC">
      <w:pPr>
        <w:pStyle w:val="ListeParagraf"/>
        <w:numPr>
          <w:ilvl w:val="0"/>
          <w:numId w:val="37"/>
        </w:numPr>
        <w:tabs>
          <w:tab w:val="left" w:pos="851"/>
        </w:tabs>
        <w:jc w:val="both"/>
        <w:rPr>
          <w:lang w:val="en-US"/>
        </w:rPr>
      </w:pPr>
      <w:r w:rsidRPr="00A7613A">
        <w:rPr>
          <w:lang w:val="en-US"/>
        </w:rPr>
        <w:t xml:space="preserve">Amnesty International (2024, 10 </w:t>
      </w:r>
      <w:proofErr w:type="spellStart"/>
      <w:r w:rsidRPr="00A7613A">
        <w:rPr>
          <w:lang w:val="en-US"/>
        </w:rPr>
        <w:t>Ekim</w:t>
      </w:r>
      <w:proofErr w:type="spellEnd"/>
      <w:r w:rsidRPr="00A7613A">
        <w:rPr>
          <w:lang w:val="en-US"/>
        </w:rPr>
        <w:t xml:space="preserve">) </w:t>
      </w:r>
      <w:r w:rsidRPr="00A7613A">
        <w:rPr>
          <w:i/>
          <w:iCs/>
          <w:lang w:val="en-US"/>
        </w:rPr>
        <w:t xml:space="preserve">Africa: Countries on the Cusp of Abolition Must Take a Stand Against the Death Penalty. </w:t>
      </w:r>
      <w:hyperlink r:id="rId46" w:history="1">
        <w:r w:rsidRPr="00A7613A">
          <w:rPr>
            <w:rStyle w:val="Kpr"/>
            <w:rFonts w:eastAsiaTheme="majorEastAsia"/>
            <w:i/>
            <w:iCs/>
            <w:lang w:val="en-US"/>
          </w:rPr>
          <w:t>https://www.amnesty.org/en/latest/news/2024/10/africa-countries-on-the-cusp-of-abolition-must-take-a-stand-against-the-death-penalty/</w:t>
        </w:r>
      </w:hyperlink>
    </w:p>
    <w:p w14:paraId="44BAA3BE" w14:textId="77AF29F2" w:rsidR="00914DCC" w:rsidRPr="00A7613A" w:rsidRDefault="00914DCC">
      <w:pPr>
        <w:pStyle w:val="ListeParagraf"/>
        <w:numPr>
          <w:ilvl w:val="0"/>
          <w:numId w:val="37"/>
        </w:numPr>
        <w:tabs>
          <w:tab w:val="left" w:pos="851"/>
        </w:tabs>
        <w:jc w:val="both"/>
        <w:rPr>
          <w:lang w:val="en-US"/>
        </w:rPr>
      </w:pPr>
      <w:r>
        <w:t xml:space="preserve">Birleşmiş Milletler Genel Kurulu (2024, Temmuz 16) </w:t>
      </w:r>
      <w:r w:rsidRPr="00A7613A">
        <w:rPr>
          <w:i/>
          <w:iCs/>
          <w:lang w:val="en-US"/>
        </w:rPr>
        <w:t xml:space="preserve">Report of Secretary General regarding the Question of Death Penalty. </w:t>
      </w:r>
      <w:r w:rsidRPr="00A7613A">
        <w:rPr>
          <w:lang w:val="en-US"/>
        </w:rPr>
        <w:t xml:space="preserve">A/HRC/57/26. </w:t>
      </w:r>
      <w:hyperlink r:id="rId47" w:history="1">
        <w:r w:rsidRPr="00A7613A">
          <w:rPr>
            <w:rStyle w:val="Kpr"/>
            <w:rFonts w:eastAsiaTheme="majorEastAsia"/>
            <w:lang w:val="en-US"/>
          </w:rPr>
          <w:t>https://uhr.humanrights.go.kr/pub/file/down/5287</w:t>
        </w:r>
      </w:hyperlink>
    </w:p>
    <w:p w14:paraId="47287FF9" w14:textId="77777777" w:rsidR="00914DCC" w:rsidRPr="00C026C2" w:rsidRDefault="00914DCC">
      <w:pPr>
        <w:pStyle w:val="ListeParagraf"/>
        <w:numPr>
          <w:ilvl w:val="0"/>
          <w:numId w:val="37"/>
        </w:numPr>
        <w:tabs>
          <w:tab w:val="left" w:pos="851"/>
        </w:tabs>
        <w:jc w:val="both"/>
      </w:pPr>
      <w:r>
        <w:t xml:space="preserve">Cengiz, S. (2008) </w:t>
      </w:r>
      <w:r w:rsidRPr="00C026C2">
        <w:t>AİHM Kararlarının</w:t>
      </w:r>
      <w:r>
        <w:t xml:space="preserve"> </w:t>
      </w:r>
      <w:r w:rsidRPr="00C026C2">
        <w:t>İç Hukuka Etkisi</w:t>
      </w:r>
      <w:r>
        <w:t xml:space="preserve">. </w:t>
      </w:r>
      <w:r w:rsidRPr="00A7613A">
        <w:rPr>
          <w:i/>
          <w:iCs/>
        </w:rPr>
        <w:t xml:space="preserve">TBB Dergisi, </w:t>
      </w:r>
      <w:r>
        <w:t>79</w:t>
      </w:r>
      <w:r w:rsidRPr="00A7613A">
        <w:rPr>
          <w:i/>
          <w:iCs/>
        </w:rPr>
        <w:t xml:space="preserve">, </w:t>
      </w:r>
      <w:r>
        <w:t>334-350</w:t>
      </w:r>
    </w:p>
    <w:p w14:paraId="77C24606" w14:textId="15E92F1D" w:rsidR="00914DCC" w:rsidRPr="00A7613A" w:rsidRDefault="00914DCC">
      <w:pPr>
        <w:pStyle w:val="ListeParagraf"/>
        <w:numPr>
          <w:ilvl w:val="0"/>
          <w:numId w:val="37"/>
        </w:numPr>
        <w:tabs>
          <w:tab w:val="left" w:pos="851"/>
        </w:tabs>
        <w:jc w:val="both"/>
        <w:rPr>
          <w:lang w:val="en-US"/>
        </w:rPr>
      </w:pPr>
      <w:proofErr w:type="spellStart"/>
      <w:r>
        <w:t>Damian</w:t>
      </w:r>
      <w:proofErr w:type="spellEnd"/>
      <w:r>
        <w:t xml:space="preserve"> v. Tanzanya Davası (2024). </w:t>
      </w:r>
      <w:r w:rsidRPr="00A7613A">
        <w:rPr>
          <w:i/>
          <w:iCs/>
          <w:lang w:val="en-US"/>
        </w:rPr>
        <w:t xml:space="preserve">Full Judgement. </w:t>
      </w:r>
      <w:hyperlink r:id="rId48" w:history="1">
        <w:r w:rsidRPr="00A7613A">
          <w:rPr>
            <w:rStyle w:val="Kpr"/>
            <w:rFonts w:eastAsiaTheme="majorEastAsia"/>
            <w:lang w:val="en-US"/>
          </w:rPr>
          <w:t>https://www.african-court.org/cpmt/storage/app/uploads/public/666/7ee/00c/6667ee00c605e503088357.pdf</w:t>
        </w:r>
      </w:hyperlink>
    </w:p>
    <w:p w14:paraId="73055AD3" w14:textId="2DC12B4D" w:rsidR="00914DCC" w:rsidRDefault="00914DCC">
      <w:pPr>
        <w:pStyle w:val="ListeParagraf"/>
        <w:numPr>
          <w:ilvl w:val="0"/>
          <w:numId w:val="37"/>
        </w:numPr>
        <w:tabs>
          <w:tab w:val="left" w:pos="851"/>
        </w:tabs>
        <w:jc w:val="both"/>
      </w:pPr>
      <w:r w:rsidRPr="00A7613A">
        <w:rPr>
          <w:lang w:val="en-US"/>
        </w:rPr>
        <w:t xml:space="preserve">Mavhunga, C. (2024) </w:t>
      </w:r>
      <w:r w:rsidRPr="00A7613A">
        <w:rPr>
          <w:i/>
          <w:iCs/>
          <w:lang w:val="en-US"/>
        </w:rPr>
        <w:t xml:space="preserve">Three African Countries on Cusp of Death Penalty Abolition. </w:t>
      </w:r>
      <w:r w:rsidRPr="00A7613A">
        <w:rPr>
          <w:lang w:val="en-US"/>
        </w:rPr>
        <w:t>VOA</w:t>
      </w:r>
      <w:r w:rsidRPr="00A7613A">
        <w:rPr>
          <w:i/>
          <w:iCs/>
          <w:lang w:val="en-US"/>
        </w:rPr>
        <w:t xml:space="preserve"> </w:t>
      </w:r>
      <w:hyperlink r:id="rId49" w:history="1">
        <w:r w:rsidRPr="00A7613A">
          <w:rPr>
            <w:rStyle w:val="Kpr"/>
            <w:rFonts w:eastAsiaTheme="majorEastAsia"/>
            <w:i/>
            <w:iCs/>
            <w:lang w:val="en-US"/>
          </w:rPr>
          <w:t>https://www.voanews.com/a/three-african-countries-on-cusp-of-death-penalty-abolition/7817102.html</w:t>
        </w:r>
      </w:hyperlink>
    </w:p>
    <w:p w14:paraId="2F7A3A3A" w14:textId="66A6F28D" w:rsidR="00914DCC" w:rsidRPr="00E87D60" w:rsidRDefault="00914DCC">
      <w:pPr>
        <w:pStyle w:val="ListeParagraf"/>
        <w:numPr>
          <w:ilvl w:val="0"/>
          <w:numId w:val="37"/>
        </w:numPr>
        <w:tabs>
          <w:tab w:val="left" w:pos="851"/>
        </w:tabs>
        <w:jc w:val="both"/>
      </w:pPr>
      <w:proofErr w:type="spellStart"/>
      <w:r>
        <w:lastRenderedPageBreak/>
        <w:t>Mutsaka</w:t>
      </w:r>
      <w:proofErr w:type="spellEnd"/>
      <w:r>
        <w:t xml:space="preserve"> F. (2024) </w:t>
      </w:r>
      <w:r w:rsidRPr="00A7613A">
        <w:rPr>
          <w:i/>
          <w:iCs/>
          <w:lang w:val="en-US"/>
        </w:rPr>
        <w:t>Zimbabwe Abolishes Death Penalty Almost 20 Years After Its Last Hanging</w:t>
      </w:r>
      <w:r w:rsidRPr="00A7613A">
        <w:rPr>
          <w:lang w:val="en-US"/>
        </w:rPr>
        <w:t>. AP.</w:t>
      </w:r>
      <w:hyperlink r:id="rId50" w:history="1">
        <w:r w:rsidRPr="00A7613A">
          <w:rPr>
            <w:rStyle w:val="Kpr"/>
            <w:rFonts w:eastAsiaTheme="majorEastAsia"/>
            <w:i/>
            <w:iCs/>
            <w:lang w:val="en-US"/>
          </w:rPr>
          <w:t>https://apnews.com/article/zimbabwe-death-penalty-abolished-ccbdd774559f5bbf097176d42effbb60</w:t>
        </w:r>
      </w:hyperlink>
    </w:p>
    <w:p w14:paraId="7F189A5C" w14:textId="77777777" w:rsidR="00914DCC" w:rsidRDefault="00914DCC">
      <w:pPr>
        <w:pStyle w:val="ListeParagraf"/>
        <w:numPr>
          <w:ilvl w:val="0"/>
          <w:numId w:val="37"/>
        </w:numPr>
        <w:tabs>
          <w:tab w:val="left" w:pos="851"/>
        </w:tabs>
        <w:jc w:val="both"/>
      </w:pPr>
      <w:proofErr w:type="spellStart"/>
      <w:r w:rsidRPr="00C026C2">
        <w:t>Tumay</w:t>
      </w:r>
      <w:proofErr w:type="spellEnd"/>
      <w:r w:rsidRPr="00C026C2">
        <w:t xml:space="preserve">, M. (2009). </w:t>
      </w:r>
      <w:r w:rsidRPr="00A7613A">
        <w:rPr>
          <w:lang w:val="en-US"/>
        </w:rPr>
        <w:t>The Subsidiary Protection of European Convention on Human Rights</w:t>
      </w:r>
      <w:r w:rsidRPr="00C026C2">
        <w:t xml:space="preserve">. </w:t>
      </w:r>
      <w:r w:rsidRPr="00A7613A">
        <w:rPr>
          <w:i/>
          <w:iCs/>
        </w:rPr>
        <w:t>Selçuk Üniversitesi Hukuk Fakültesi Dergisi,</w:t>
      </w:r>
      <w:r w:rsidRPr="00C026C2">
        <w:t xml:space="preserve"> 17(1), 185-214</w:t>
      </w:r>
    </w:p>
    <w:p w14:paraId="6DE6ACB6" w14:textId="2DB3F34D" w:rsidR="00914DCC" w:rsidRPr="00A7613A" w:rsidRDefault="00914DCC">
      <w:pPr>
        <w:pStyle w:val="ListeParagraf"/>
        <w:numPr>
          <w:ilvl w:val="0"/>
          <w:numId w:val="37"/>
        </w:numPr>
        <w:tabs>
          <w:tab w:val="left" w:pos="851"/>
        </w:tabs>
        <w:jc w:val="both"/>
        <w:rPr>
          <w:lang w:val="en-US"/>
        </w:rPr>
      </w:pPr>
      <w:r w:rsidRPr="00A7613A">
        <w:rPr>
          <w:lang w:val="en-US"/>
        </w:rPr>
        <w:t xml:space="preserve">World Coalition Against Death Penalty (2024) </w:t>
      </w:r>
      <w:r w:rsidRPr="00A7613A">
        <w:rPr>
          <w:i/>
          <w:iCs/>
          <w:lang w:val="en-US"/>
        </w:rPr>
        <w:t>Two Thirds of the United Nations General Assembly Vote in favor of the 10</w:t>
      </w:r>
      <w:r w:rsidRPr="00A7613A">
        <w:rPr>
          <w:i/>
          <w:iCs/>
          <w:vertAlign w:val="superscript"/>
          <w:lang w:val="en-US"/>
        </w:rPr>
        <w:t>th</w:t>
      </w:r>
      <w:r w:rsidRPr="00A7613A">
        <w:rPr>
          <w:i/>
          <w:iCs/>
          <w:lang w:val="en-US"/>
        </w:rPr>
        <w:t xml:space="preserve"> Resolution for a Moratorium on the Death Penalty</w:t>
      </w:r>
      <w:r w:rsidRPr="00A7613A">
        <w:rPr>
          <w:lang w:val="en-US"/>
        </w:rPr>
        <w:t xml:space="preserve">.  </w:t>
      </w:r>
      <w:hyperlink r:id="rId51" w:history="1">
        <w:r w:rsidRPr="00A7613A">
          <w:rPr>
            <w:rStyle w:val="Kpr"/>
            <w:rFonts w:eastAsiaTheme="majorEastAsia"/>
            <w:lang w:val="en-US"/>
          </w:rPr>
          <w:t>https://worldcoalition.org/2024/12/20/two-thirds-of-the-united-nations-general-assembly-vote-in-favor-of-the-10th-resolution-for-a-moratorium-on-the-death-penalty/</w:t>
        </w:r>
      </w:hyperlink>
    </w:p>
    <w:p w14:paraId="457CB488" w14:textId="2151EEA7" w:rsidR="00FC4D53" w:rsidRDefault="00914DCC">
      <w:pPr>
        <w:pStyle w:val="ListeParagraf"/>
        <w:numPr>
          <w:ilvl w:val="0"/>
          <w:numId w:val="37"/>
        </w:numPr>
        <w:tabs>
          <w:tab w:val="left" w:pos="851"/>
        </w:tabs>
        <w:jc w:val="both"/>
      </w:pPr>
      <w:proofErr w:type="spellStart"/>
      <w:r>
        <w:t>Zabron</w:t>
      </w:r>
      <w:proofErr w:type="spellEnd"/>
      <w:r>
        <w:t xml:space="preserve"> v. Tanzanya Davası (2024) </w:t>
      </w:r>
      <w:r w:rsidRPr="00A7613A">
        <w:rPr>
          <w:i/>
          <w:iCs/>
          <w:lang w:val="en-US"/>
        </w:rPr>
        <w:t>Full Judgement</w:t>
      </w:r>
      <w:r>
        <w:t xml:space="preserve">. </w:t>
      </w:r>
      <w:hyperlink r:id="rId52" w:history="1">
        <w:r w:rsidRPr="00A7613A">
          <w:rPr>
            <w:rStyle w:val="Kpr"/>
            <w:rFonts w:eastAsiaTheme="majorEastAsia"/>
          </w:rPr>
          <w:t>https://www.african-court.org/cpmt/storage/app/uploads/public/666/745/3d2/6667453d21c2a296373419.pdf</w:t>
        </w:r>
      </w:hyperlink>
    </w:p>
    <w:p w14:paraId="6C67F5F3" w14:textId="69DE84B7" w:rsidR="00F84AD5" w:rsidRPr="00D42316" w:rsidRDefault="00FC4D53" w:rsidP="000A70F0">
      <w:pPr>
        <w:autoSpaceDE/>
        <w:autoSpaceDN/>
      </w:pPr>
      <w:r>
        <w:br w:type="page"/>
      </w:r>
    </w:p>
    <w:p w14:paraId="487CA0F3" w14:textId="77777777" w:rsidR="0034640B" w:rsidRPr="007E6926" w:rsidRDefault="0034640B" w:rsidP="004C7694">
      <w:pPr>
        <w:pStyle w:val="Tark"/>
      </w:pPr>
      <w:bookmarkStart w:id="24" w:name="_Toc192855151"/>
      <w:r w:rsidRPr="007E6926">
        <w:lastRenderedPageBreak/>
        <w:t>Türk Cumhuriyetleri’nin Rusya-Ukrayna Savaşına Tepkisi: Kazakistan Örneği</w:t>
      </w:r>
      <w:bookmarkEnd w:id="24"/>
    </w:p>
    <w:p w14:paraId="70375DBF" w14:textId="1762CDAA" w:rsidR="0034640B" w:rsidRPr="00A30FC7" w:rsidRDefault="0034640B" w:rsidP="000A70F0">
      <w:pPr>
        <w:jc w:val="center"/>
      </w:pPr>
      <w:r w:rsidRPr="00A30FC7">
        <w:t>Tuğba KAYA</w:t>
      </w:r>
    </w:p>
    <w:p w14:paraId="17144F91" w14:textId="77777777" w:rsidR="0034640B" w:rsidRPr="00A30FC7" w:rsidRDefault="0034640B" w:rsidP="000A70F0">
      <w:pPr>
        <w:jc w:val="center"/>
      </w:pPr>
      <w:r w:rsidRPr="00A30FC7">
        <w:t>Kırşehir Ahi Evran Üniversitesi, Siyaset Bilimi ve Uluslararası İlişkiler</w:t>
      </w:r>
    </w:p>
    <w:p w14:paraId="013D25CD" w14:textId="77777777" w:rsidR="0034640B" w:rsidRPr="00A30FC7" w:rsidRDefault="0034640B" w:rsidP="000A70F0">
      <w:pPr>
        <w:jc w:val="center"/>
      </w:pPr>
      <w:hyperlink r:id="rId53" w:history="1">
        <w:r w:rsidRPr="00A30FC7">
          <w:rPr>
            <w:rStyle w:val="Kpr"/>
            <w:rFonts w:eastAsiaTheme="majorEastAsia"/>
          </w:rPr>
          <w:t>kaya-tugba@ogr.ahievran.edu.tr</w:t>
        </w:r>
      </w:hyperlink>
    </w:p>
    <w:p w14:paraId="21DFDED3" w14:textId="77777777" w:rsidR="0034640B" w:rsidRDefault="0034640B" w:rsidP="000A70F0">
      <w:pPr>
        <w:jc w:val="center"/>
      </w:pPr>
      <w:r w:rsidRPr="00A30FC7">
        <w:t>0000-0002-8873-9357</w:t>
      </w:r>
    </w:p>
    <w:p w14:paraId="7E89440F" w14:textId="77777777" w:rsidR="00AB7514" w:rsidRPr="00A30FC7" w:rsidRDefault="00AB7514" w:rsidP="000A70F0">
      <w:pPr>
        <w:jc w:val="center"/>
      </w:pPr>
    </w:p>
    <w:p w14:paraId="247404B8" w14:textId="77777777" w:rsidR="0034640B" w:rsidRPr="009F0AE3" w:rsidRDefault="0034640B" w:rsidP="000A70F0">
      <w:pPr>
        <w:jc w:val="center"/>
        <w:rPr>
          <w:b/>
          <w:bCs/>
        </w:rPr>
      </w:pPr>
      <w:r w:rsidRPr="009F0AE3">
        <w:rPr>
          <w:b/>
          <w:bCs/>
        </w:rPr>
        <w:t>Özet</w:t>
      </w:r>
    </w:p>
    <w:p w14:paraId="11E5D170" w14:textId="4478BB83" w:rsidR="0034640B" w:rsidRPr="00C5040F" w:rsidRDefault="0034640B" w:rsidP="000A70F0">
      <w:pPr>
        <w:jc w:val="both"/>
      </w:pPr>
      <w:r w:rsidRPr="00C5040F">
        <w:t>Kazakistan Orta Asya’nın en geniş topraklarına sahip ülkesidir ve Rusya ile sınır komşudur. Uzun yıllar boyunca Kazakistan toprakları Rusların kontrolü altında kalmıştır ve Ruslar</w:t>
      </w:r>
      <w:r>
        <w:t>, K</w:t>
      </w:r>
      <w:r w:rsidRPr="00C5040F">
        <w:t xml:space="preserve">azak topraklarını kendi amaçları doğrultusunda kullanmaktan çekinmemiştir. Ülkenin ekonominsin Rusya ile entegre olması, Kazakistan toprakların yerleştirilen Rus nüfusunun varlığı iki ülke arasındaki bağları derinleştirmiştir.  Bugün Kazakistan izlediği dış politikasında Rusya etkisinden kurtularak çok </w:t>
      </w:r>
      <w:proofErr w:type="spellStart"/>
      <w:r w:rsidRPr="00C5040F">
        <w:t>vektörlü</w:t>
      </w:r>
      <w:proofErr w:type="spellEnd"/>
      <w:r w:rsidRPr="00C5040F">
        <w:t xml:space="preserve"> olarak tabir edilen yeni dış politika yaklaşımlarını uygulamaya çalışsa da hala Rusya etkisinden kurtulamamıştır ve uzun vadede Rusya’dan bağımsız dış politika izlemesi mümkün görü</w:t>
      </w:r>
      <w:r>
        <w:t>l</w:t>
      </w:r>
      <w:r w:rsidRPr="00C5040F">
        <w:t>memektedir.</w:t>
      </w:r>
    </w:p>
    <w:p w14:paraId="38A07591" w14:textId="66BE78BD" w:rsidR="0034640B" w:rsidRDefault="0034640B" w:rsidP="000A70F0">
      <w:pPr>
        <w:jc w:val="both"/>
      </w:pPr>
      <w:r w:rsidRPr="00C5040F">
        <w:t>Elbette Kazakistan dış politikasında Rusya etkisinin yoğun olmasının temel sebebi ardında tarihten gelen bir Rusya-Kazakistan ilişkisi vardır. Bu çalışma da Rusya</w:t>
      </w:r>
      <w:r>
        <w:t>-</w:t>
      </w:r>
      <w:r w:rsidRPr="00C5040F">
        <w:t xml:space="preserve">Kazakistan ilişkilerinin tarihi gelişimi üzerinden Rusya-Ukrayna </w:t>
      </w:r>
      <w:r>
        <w:t>S</w:t>
      </w:r>
      <w:r w:rsidRPr="00C5040F">
        <w:t>avaşı</w:t>
      </w:r>
      <w:r>
        <w:t>’</w:t>
      </w:r>
      <w:r w:rsidRPr="00C5040F">
        <w:t>nın Kazakistan ekonomisi ve dış politikası üzerinde yarattığı olumlu ve olumsuz durumlar tartışılacaktır. Akabinde Kazakistan’ın hale devam etmekte olan savaşa verdiği tepki</w:t>
      </w:r>
      <w:r>
        <w:t xml:space="preserve"> üzerinde durulacaktır.</w:t>
      </w:r>
    </w:p>
    <w:p w14:paraId="364436CA" w14:textId="77777777" w:rsidR="009F0AE3" w:rsidRPr="00C5040F" w:rsidRDefault="009F0AE3" w:rsidP="000A70F0">
      <w:pPr>
        <w:jc w:val="both"/>
      </w:pPr>
    </w:p>
    <w:p w14:paraId="7ECAFC86" w14:textId="77777777" w:rsidR="0034640B" w:rsidRDefault="0034640B" w:rsidP="000A70F0">
      <w:pPr>
        <w:jc w:val="both"/>
      </w:pPr>
      <w:r w:rsidRPr="007E6926">
        <w:rPr>
          <w:b/>
          <w:bCs/>
        </w:rPr>
        <w:t>Anahtar Kelimeler</w:t>
      </w:r>
      <w:r>
        <w:t>: Rusya-Ukrayna Savaşı, Kazakistan, Rusya</w:t>
      </w:r>
    </w:p>
    <w:p w14:paraId="7B7963D7" w14:textId="77777777" w:rsidR="0034640B" w:rsidRPr="00C5040F" w:rsidRDefault="0034640B" w:rsidP="000A70F0">
      <w:pPr>
        <w:jc w:val="both"/>
      </w:pPr>
    </w:p>
    <w:p w14:paraId="4C4695CB" w14:textId="77777777" w:rsidR="0034640B" w:rsidRPr="009F0AE3" w:rsidRDefault="0034640B" w:rsidP="000A70F0">
      <w:pPr>
        <w:rPr>
          <w:b/>
          <w:bCs/>
        </w:rPr>
      </w:pPr>
      <w:r w:rsidRPr="009F0AE3">
        <w:rPr>
          <w:b/>
          <w:bCs/>
        </w:rPr>
        <w:t>Giriş</w:t>
      </w:r>
    </w:p>
    <w:p w14:paraId="4AED62FD" w14:textId="342AD6EF" w:rsidR="0034640B" w:rsidRPr="00C5040F" w:rsidRDefault="0034640B" w:rsidP="000A70F0">
      <w:pPr>
        <w:jc w:val="both"/>
      </w:pPr>
      <w:r w:rsidRPr="00C5040F">
        <w:t xml:space="preserve">Kazakistan yüz ölçümü bakımından dünyanın dördüncü büyük ülkesidir ve yüz ölçümü 2.000 km’dir. Ancak </w:t>
      </w:r>
      <w:r>
        <w:t xml:space="preserve">ülkenin yüz ölçümü göz alındığında </w:t>
      </w:r>
      <w:r w:rsidRPr="00C5040F">
        <w:t xml:space="preserve">nüfusu henüz istenilen seviyeye </w:t>
      </w:r>
      <w:r>
        <w:t>ulaşmamıştır</w:t>
      </w:r>
      <w:r w:rsidRPr="00C5040F">
        <w:t xml:space="preserve"> </w:t>
      </w:r>
      <w:r w:rsidRPr="00C5040F">
        <w:fldChar w:fldCharType="begin"/>
      </w:r>
      <w:r>
        <w:instrText xml:space="preserve"> ADDIN ZOTERO_ITEM CSL_CITATION {"citationID":"LXAOBnMu","properties":{"formattedCitation":"(Alkan, 2011)","plainCitation":"(Alkan, 2011)","dontUpdate":true,"noteIndex":0},"citationItems":[{"id":397,"uris":["http://zotero.org/users/10292326/items/ZRNF5DJ3"],"itemData":{"id":397,"type":"book","publisher":"International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 s.</w:t>
      </w:r>
      <w:r>
        <w:t xml:space="preserve"> </w:t>
      </w:r>
      <w:r w:rsidRPr="00C5040F">
        <w:t>23)</w:t>
      </w:r>
      <w:r w:rsidRPr="00C5040F">
        <w:fldChar w:fldCharType="end"/>
      </w:r>
      <w:r>
        <w:t xml:space="preserve">. </w:t>
      </w:r>
      <w:r w:rsidRPr="00C5040F">
        <w:t>Kazakistan sahip olduğu kadim tarihi ile Türk dünyası içinde önemli bir yere sahiptir. Kazaklar cesaretleri ve savaşçı yetenekleriyle geçmişte çetin mücadelelerin aranan ismi olmuştur. Bulundukları coğrafya</w:t>
      </w:r>
      <w:r>
        <w:t>,</w:t>
      </w:r>
      <w:r w:rsidRPr="00C5040F">
        <w:t xml:space="preserve"> şartları </w:t>
      </w:r>
      <w:r>
        <w:t>zorlu</w:t>
      </w:r>
      <w:r w:rsidRPr="00C5040F">
        <w:t xml:space="preserve"> ve dışardan gelecek müdahalelere açık yapıdadır. Kazak halkı birçok devlete karşı bağımsızlık mücadelesi vermiştir ve tarihi boyunca bölgesel güç mücadelelerinin yanı sıra Rus ve Çin gibi iki büyük güç arasında denge aramıştır. 18.yy. Kazak tarihi açısından önemli bir dönüm noktası olmuştur. Bu dönmede Rusların hakimiyeti altına giren Kazakistan toprakları ancak 1991 yılında bağımsızlığını kazanmıştır</w:t>
      </w:r>
      <w:sdt>
        <w:sdtPr>
          <w:id w:val="247859871"/>
          <w:citation/>
        </w:sdtPr>
        <w:sdtContent>
          <w:r>
            <w:fldChar w:fldCharType="begin"/>
          </w:r>
          <w:r>
            <w:instrText xml:space="preserve">CITATION Erg21 \p 28-33 \l 1055 </w:instrText>
          </w:r>
          <w:r>
            <w:fldChar w:fldCharType="separate"/>
          </w:r>
          <w:r>
            <w:rPr>
              <w:noProof/>
            </w:rPr>
            <w:t xml:space="preserve"> </w:t>
          </w:r>
          <w:r w:rsidRPr="007500FE">
            <w:rPr>
              <w:noProof/>
            </w:rPr>
            <w:t>(Savrun, 2021, s. 28-33)</w:t>
          </w:r>
          <w:r>
            <w:fldChar w:fldCharType="end"/>
          </w:r>
        </w:sdtContent>
      </w:sdt>
      <w:r>
        <w:t>.</w:t>
      </w:r>
      <w:r w:rsidRPr="00C5040F">
        <w:t xml:space="preserve"> Neredeyse 200 yıla yakın süren bu hakimiyet sürecinde Ruslar</w:t>
      </w:r>
      <w:r>
        <w:t>,</w:t>
      </w:r>
      <w:r w:rsidRPr="00C5040F">
        <w:t xml:space="preserve"> </w:t>
      </w:r>
      <w:r>
        <w:t>K</w:t>
      </w:r>
      <w:r w:rsidRPr="00C5040F">
        <w:t>azak halkı ile hem demografik hem de ekonomik olarak derin bağlar kurmuştur.</w:t>
      </w:r>
    </w:p>
    <w:p w14:paraId="0FFB6060" w14:textId="655C23FB" w:rsidR="0034640B" w:rsidRPr="00C5040F" w:rsidRDefault="0034640B" w:rsidP="000A70F0">
      <w:pPr>
        <w:jc w:val="both"/>
      </w:pPr>
      <w:r w:rsidRPr="00C5040F">
        <w:t>Bu çalışmada geçmişten günümüze kadar Rusya ve Kazakistan arasındaki tarihi bağlar kronolojik sıraya uygun olarak ele alınmıştır. Çalışmanın ilerleyen kısmında Şubat 2022’de Rusya’nın Ukrayna topraklarına girmesiyle başlayan Rusya-Ukrayna Savaşı’nın Kazakistan üzerindeki etkisi</w:t>
      </w:r>
      <w:r>
        <w:t xml:space="preserve"> incelenmiştir. </w:t>
      </w:r>
      <w:r w:rsidRPr="00C5040F">
        <w:t xml:space="preserve">Başlıkta etki yerine tepki kelimesi kullanılmıştır bunun ardında yatan sebep tarihi bağlarda gizlenmektedir. Rusya ve Ukrayna arasındaki tarihi bağlar </w:t>
      </w:r>
      <w:r>
        <w:t xml:space="preserve">içerişimde </w:t>
      </w:r>
      <w:r w:rsidRPr="00C5040F">
        <w:t>coğrafi, askeri, stratejik</w:t>
      </w:r>
      <w:r>
        <w:t>,</w:t>
      </w:r>
      <w:r w:rsidRPr="00C5040F">
        <w:t xml:space="preserve"> eğitim</w:t>
      </w:r>
      <w:r>
        <w:t>,</w:t>
      </w:r>
      <w:r w:rsidRPr="00C5040F">
        <w:t xml:space="preserve"> dil</w:t>
      </w:r>
      <w:r>
        <w:t xml:space="preserve"> ve </w:t>
      </w:r>
      <w:r w:rsidRPr="00C5040F">
        <w:t xml:space="preserve">kültür gibi </w:t>
      </w:r>
      <w:r>
        <w:t>birçok alanı</w:t>
      </w:r>
      <w:r w:rsidRPr="00C5040F">
        <w:t xml:space="preserve"> içermektedir. </w:t>
      </w:r>
      <w:r>
        <w:t xml:space="preserve">Bu sebepten ötürü </w:t>
      </w:r>
      <w:r w:rsidRPr="00C5040F">
        <w:t>Rusya ve Kazakistan ilişkilerini tek bağlamda değerlendirmek olanaksızdır.</w:t>
      </w:r>
    </w:p>
    <w:p w14:paraId="3C4862CC" w14:textId="3E914D33" w:rsidR="0034640B" w:rsidRDefault="0034640B" w:rsidP="000A70F0">
      <w:pPr>
        <w:jc w:val="both"/>
      </w:pPr>
      <w:r w:rsidRPr="00C5040F">
        <w:t xml:space="preserve">Çalışmanın birinci kısmında Kazak topraklarının Çarlık Rusya döneminde nasıl yavaş yavaş ele geçirildiğine değinilmiştir. İkinci kısımda Sovyetlerin kurulması ve Kazakistan’a yönelik uyguladığı bakir topraklar projesi, sanayi yerleşmesi, Rus nüfusun </w:t>
      </w:r>
      <w:r>
        <w:t>K</w:t>
      </w:r>
      <w:r w:rsidRPr="00C5040F">
        <w:t xml:space="preserve">azak topraklarına göçü, </w:t>
      </w:r>
      <w:r>
        <w:t>K</w:t>
      </w:r>
      <w:r w:rsidRPr="00C5040F">
        <w:t xml:space="preserve">azak halkının genel durumu ele alınmıştır. Üçüncü kısımda 1991 yılı sonrası bağımsızlığını </w:t>
      </w:r>
      <w:r w:rsidRPr="00C5040F">
        <w:lastRenderedPageBreak/>
        <w:t xml:space="preserve">kazanan Kazakistan ve Nazarbayev dönemi Rusya ile olan ilişkiler </w:t>
      </w:r>
      <w:r>
        <w:t>üzerinde durulmuştur</w:t>
      </w:r>
      <w:r w:rsidRPr="00C5040F">
        <w:t xml:space="preserve">. Dördüncü kısımda </w:t>
      </w:r>
      <w:proofErr w:type="spellStart"/>
      <w:r w:rsidRPr="00C5040F">
        <w:t>Tokayev</w:t>
      </w:r>
      <w:proofErr w:type="spellEnd"/>
      <w:r w:rsidRPr="00C5040F">
        <w:t xml:space="preserve"> dönemi Kazakistan dış politikası ve Rusya ile olan ilişkiler </w:t>
      </w:r>
      <w:r>
        <w:t xml:space="preserve">yeni dinamikleri ile incelenmiştir. </w:t>
      </w:r>
      <w:r w:rsidRPr="00C5040F">
        <w:t xml:space="preserve">Son kısımda ise Rusya-Ukrayna savaşının ve Rusya’ya uygulanan yaptırımların Kazakistan’a etkisi ve Kazakistan’ın </w:t>
      </w:r>
      <w:r>
        <w:t xml:space="preserve">savaş sürecinde </w:t>
      </w:r>
      <w:r w:rsidRPr="00C5040F">
        <w:t>Rusya’ya yönelik verdiği tepki ele alınmıştır.</w:t>
      </w:r>
    </w:p>
    <w:p w14:paraId="675E84DA" w14:textId="77777777" w:rsidR="00FC4D53" w:rsidRPr="00A7613A" w:rsidRDefault="00FC4D53" w:rsidP="000A70F0">
      <w:pPr>
        <w:jc w:val="both"/>
      </w:pPr>
    </w:p>
    <w:p w14:paraId="4F418A5D" w14:textId="50440703" w:rsidR="0034640B" w:rsidRPr="00FC4D53" w:rsidRDefault="0034640B" w:rsidP="000A70F0">
      <w:pPr>
        <w:rPr>
          <w:b/>
          <w:bCs/>
        </w:rPr>
      </w:pPr>
      <w:r w:rsidRPr="009F0AE3">
        <w:rPr>
          <w:b/>
          <w:bCs/>
        </w:rPr>
        <w:t>Çarlık Rusya Dönemi Rusya-Kazakistan İlişkileri</w:t>
      </w:r>
    </w:p>
    <w:p w14:paraId="2065E57B" w14:textId="77777777" w:rsidR="0034640B" w:rsidRDefault="0034640B" w:rsidP="000A70F0">
      <w:pPr>
        <w:pStyle w:val="Default"/>
        <w:jc w:val="both"/>
      </w:pPr>
      <w:r w:rsidRPr="00C5040F">
        <w:t>15. yy. Kazak Hanlığının temelinin atıldığı önemli bir yüzyıldır. Kazak Hanlığı 1400’lü yıllarda Altın Orda Devleti’nin Ak Orda Hanının oğulları arasındaki adaletsiz uygulamalarına bir tepkinin olarak sonucu doğmuştur</w:t>
      </w:r>
      <w:r>
        <w:t xml:space="preserve"> </w:t>
      </w:r>
      <w:r w:rsidRPr="00C5040F">
        <w:fldChar w:fldCharType="begin"/>
      </w:r>
      <w:r w:rsidRPr="00C5040F">
        <w:instrText xml:space="preserve"> ADDIN ZOTERO_ITEM CSL_CITATION {"citationID":"0SQLNJ6r","properties":{"formattedCitation":"(Ospanova, t.y.)","plainCitation":"(Ospanova, t.y.)","dontUpdate":true,"noteIndex":0},"citationItems":[{"id":376,"uris":["http://zotero.org/users/10292326/items/XLI38WBA"],"itemData":{"id":376,"type":"article-journal","note":"publisher: Sosyal Bilimler Enstitüsü","source":"Google Scholar","title":"Kаzаk ulusunun dоğuşundаn günümüzе Türk-Kаzаk ilişkilеri","author":[{"family":"Ospanova","given":"Akmaral"}]}}],"schema":"https://github.com/citation-style-language/schema/raw/master/csl-citation.json"} </w:instrText>
      </w:r>
      <w:r w:rsidRPr="00C5040F">
        <w:fldChar w:fldCharType="separate"/>
      </w:r>
      <w:r w:rsidRPr="00C5040F">
        <w:t>(Ospanova, ss. 35-36)</w:t>
      </w:r>
      <w:r w:rsidRPr="00C5040F">
        <w:fldChar w:fldCharType="end"/>
      </w:r>
      <w:r w:rsidRPr="00C5040F">
        <w:t xml:space="preserve">. Kazak Hanlığı kurulduğu yıllarda siyasi bütünlüğünü sağlayamadığı için Hak Nazar Han döneminde üç Cüz sistemi ile yönetilmiştir. Cüzlerin hangi kriterlere göre şekillendiğine dair bir bilgi olmamakla birlikte coğrafi olarak yerleri bellidir. İlk olarak Büyük (Ulu) Cüz, Siri Derya ‘dan başlayarak Yedisu topraklarında içine alan Güney Kazakistan bölgesinde kurulmuştur, Orta Cüz Kuzeydoğu Kazakistan’ın bir kısmı ve Merkezi Kazakistan topraklarını kapsamaktadır. Küçük Cüz ise Batı Kazakistan toprakları üzerinde kurulmuştur </w:t>
      </w:r>
      <w:r w:rsidRPr="00C5040F">
        <w:fldChar w:fldCharType="begin"/>
      </w:r>
      <w:r w:rsidRPr="00C5040F">
        <w:instrText xml:space="preserve"> ADDIN ZOTERO_ITEM CSL_CITATION {"citationID":"s02LValK","properties":{"formattedCitation":"(Hi\\uc0\\u775{}Zmetli\\uc0\\u775{}, t.y.)","plainCitation":"(Hi̇Zmetli̇, t.y.)","dontUpdate":true,"noteIndex":0},"citationItems":[{"id":380,"uris":["http://zotero.org/users/10292326/items/2UFAEHV9"],"itemData":{"id":380,"type":"article-journal","abstract":"On the Nation Qazaq and Qazaq History: Its Past and Present The people of Qazak who were in nomadic life for long centuries had settled in the region of Central Asia. The Qazaq people whom as one of the Turkish origins people we have in common in terms of language, religion, history and culture became independent at the and of 20th century following the period tribalism and imperialism.","language":"tr","source":"Zotero","title":"KAZAK ULUSU VE KAZAK TARİHİ ÜZERİNE: DÜNÜ VE BUGÜNÜ","author":[{"family":"Hi̇Zmetli̇","given":"Dr Sabri"}]}}],"schema":"https://github.com/citation-style-language/schema/raw/master/csl-citation.json"} </w:instrText>
      </w:r>
      <w:r w:rsidRPr="00C5040F">
        <w:fldChar w:fldCharType="separate"/>
      </w:r>
      <w:r w:rsidRPr="00C5040F">
        <w:t>(Hi̇zmetli̇,  s.35)</w:t>
      </w:r>
      <w:r w:rsidRPr="00C5040F">
        <w:fldChar w:fldCharType="end"/>
      </w:r>
      <w:r w:rsidRPr="00C5040F">
        <w:t>.</w:t>
      </w:r>
    </w:p>
    <w:p w14:paraId="0F606DCE" w14:textId="77777777" w:rsidR="0007275E" w:rsidRPr="00C5040F" w:rsidRDefault="0007275E" w:rsidP="000A70F0">
      <w:pPr>
        <w:pStyle w:val="Default"/>
        <w:jc w:val="both"/>
      </w:pPr>
    </w:p>
    <w:p w14:paraId="00217568" w14:textId="328BEA3B" w:rsidR="0034640B" w:rsidRDefault="0034640B" w:rsidP="000A70F0">
      <w:pPr>
        <w:pStyle w:val="Default"/>
        <w:jc w:val="both"/>
      </w:pPr>
      <w:r w:rsidRPr="00C5040F">
        <w:t xml:space="preserve">18. yy. Kazak tarihinin geleceğine yön veren dönüm noktası olmuştur. Bu dönemde Orta Asya da Rusya ve Çin iki </w:t>
      </w:r>
      <w:r>
        <w:t>önemli güç</w:t>
      </w:r>
      <w:r w:rsidRPr="00C5040F">
        <w:t xml:space="preserve"> olarak yerini almıştır ve Kazakistan coğrafyası dönemin iki önemli gücü arasında kalmıştır. İki güç arasında seçim yapmak zorunda kalan Kazak Hanlığı Küçük Cüz Hanı </w:t>
      </w:r>
      <w:proofErr w:type="spellStart"/>
      <w:proofErr w:type="gramStart"/>
      <w:r w:rsidRPr="00C5040F">
        <w:t>Ebulhayr‘</w:t>
      </w:r>
      <w:proofErr w:type="gramEnd"/>
      <w:r w:rsidRPr="00C5040F">
        <w:t>un</w:t>
      </w:r>
      <w:proofErr w:type="spellEnd"/>
      <w:r w:rsidRPr="00C5040F">
        <w:t xml:space="preserve"> Rus himayesini seçmesiyle birlikte Kazakistan’ın geleceği şekillenmiştir. </w:t>
      </w:r>
      <w:proofErr w:type="spellStart"/>
      <w:r w:rsidRPr="00C5040F">
        <w:t>Ebulhayır’ın</w:t>
      </w:r>
      <w:proofErr w:type="spellEnd"/>
      <w:r w:rsidRPr="00C5040F">
        <w:t xml:space="preserve"> yapmış olduğu bu seçim Rusların emperyalist amaçları neticesinde Kazakistan topraklarını işgal etmesiyle sonuçlan</w:t>
      </w:r>
      <w:r>
        <w:t>mıştır.</w:t>
      </w:r>
      <w:r w:rsidRPr="00C5040F">
        <w:t xml:space="preserve"> 1731 yılında başlayan işgaller en sonuncu Kazak Hanı olan </w:t>
      </w:r>
      <w:proofErr w:type="spellStart"/>
      <w:r w:rsidRPr="00C5040F">
        <w:t>Kenesar’ın</w:t>
      </w:r>
      <w:proofErr w:type="spellEnd"/>
      <w:r w:rsidRPr="00C5040F">
        <w:t xml:space="preserve"> vefatına kadar devam etmiştir ve 1847 yılında son hanın ölümüyle işgal tamamlanmıştır </w:t>
      </w:r>
      <w:r w:rsidRPr="00C5040F">
        <w:fldChar w:fldCharType="begin"/>
      </w:r>
      <w:r w:rsidRPr="00C5040F">
        <w:instrText xml:space="preserve"> ADDIN ZOTERO_ITEM CSL_CITATION {"citationID":"taGEyMv0","properties":{"formattedCitation":"(HAYKIR &amp; KARA, 2014)","plainCitation":"(HAYKIR &amp; KARA, 2014)","dontUpdate":true,"noteIndex":0},"citationItems":[{"id":370,"uris":["http://zotero.org/users/10292326/items/6U6ZV9BL"],"itemData":{"id":370,"type":"article-journal","abstract":"Türkistan'dan göç eden Türk kavimlerinin bakiyeleri ile sonradan buraya gelen muhtelif Türk boylarının birleşmesiyle oluşmuş bir Türk toplumun adı olan Türkistan'ın ocak ağası sayılan Kazak Türkleri, bağımsız yaşamak için çok büyük bedeller ödemek zorunda kalmışlardır. Rus Çarlığının XIX. Yüzyılın ilk çeyreğinden itibaren Türkistan'a doğru ilerleyişi uzun ve aşamalı planların sonucudur. Ticari birliklerin bölgeye girişinden sonra askeri hazırlıklar yapılmaya başlanmıştır. işte bu dönemlerde vuku bulan olaylarda Rus ilerleyişini hızlandırmış ve kolaylaştırmıştır. Kazakların tarihinde Kalmuk ve Rusların saldırı ve işgalleri büyük yer tutmaktadır. Büyük güçlerin güdümüne gelen ihtiraslı Kazak hanlarının isyan ve saldırıları da kazakları çok uğraştırmıştır. Kazakların didişmeye girmeleri her defasında hasım güçlerin istilasını getirmiştir.Bu makale, ihtilâllerin arkasındaki sosyal, ekonomik, ve siyasî nedenleri incelemek kadar Kazak tarihi içinde, Kazak-Rus ilişkilerinin yerini de anlatmaya gayret göstermektedir. Rus- Kazak ilişkilerinin başlangıcı 16. Yüzyılın ortasında ticaretl Türkistan'dan göç eden Türk kavimlerinin bakiyeleri ile sonradan buraya gelen muhtelif Türk boylarının birleşmesiyle oluşmuş bir Türk toplumu olan Türkistan' Türkistan'dan göç eden Türk kavimlerinin bakiyeleri ile sonradan buraya gelen muhtelif Türk boylarının birleşmesiyle oluşmuş bir Türk toplumu olan Türkistan'ın ocak ağası sayılan Kazak Türkleri, bağımsız yaşamak için çok büyük bedeller ödemek zorunda kalmışlardır. Rus Çarlığının XIX. Yüzyılın ilk çeyreğinden itibaren Türkistan'a doğru ilerleyişi uzun ve aşamalı planların sonucudur. Ticari birliklerin bölgeye girişinden sonra askeri hazırlıklar yapılmaya başlanmıştır.işte bu dönemlerde vuku bulan olaylarda Rus ilerleyişini hızlandırmış ve kolaylaştırmıştır. Kazakların tarihinde Kalmuk ve Rusların saldırı ve işgalleri büyük yer tutmaktadır. Büyük güçlerin güdümüne gelen ihtiraslı Kazak hanlarının isyan ve saldırıları da kazakları çok uğraştırmıştır. Kazakların didişmeye girmeleri her defasında hasım güçlerin istilasını getirmiştir.Bu makale, ihtilâllerin arkasındaki sosyal, ekonomik, ve siyasî nedenleri incelemek kadar Kazak tarihi içinde, Kazak-Rus ilişkilerinin yerini de anlatmaya gayret göstermektedir. Rus- Kazak ilişkilerinin başlangıcı 16. Yüzyılın ortasında ticaretle başlamış olsa da bu ilişkiler çok cüzî düzeyde ve Moskova ile Orta Asya Hanlıkları arasında sınırlı sonuçlanmıştı. İlk önce bir Kazak elçisinin 1573 tarihinde Moskova'yı ziyaret ettiği kaydedilmiştir. Rus Çarlığı'nın 19. Yüzyılın ilk çeyreğinden itibaren Türkistan'a doğru ilerleyişi uzun ve aşamalı planların sonucudur. Ticarî kolonilerin bölgeye girişinden sonra askerî hazırlıklar yapılmıştır. Kazaklar 18. Yüzyılın son çeyreğinde Pugachev'in güçlerine katıldılar ve 1773-1774'de Irtish Nehrinin önemli bir kısmını kontrolleri altına aldılar ve Orenburg eyaletinin merkezini kuşattılar. 1782- 1783 kışında, Kazaklar Orta Cüz Hanı Sırım Datovun liderlik ettiği, ayaklanmaya katıldılar. Orta Orda Hanı Abılay Hanın torunu Sultan Kenesarı Kasımov'un isyanı Rus kolonizasyonuna karşı Kazak direnişinin bir sembolü oldu. Bununla birlikte başarı sağlayamadılar","archive":"TRDizin","container-title":"Turkish Studies (Elektronik)","ISSN":"1308-2140","issue":"4","journalAbbreviation":"Turkish Studies (Elektronik)","page":"619-629","title":"RUS KOLONİZAYONUNA KARŞI KAZAK MUKAVEMETİ","volume":"9","author":[{"family":"HAYKIR","given":"YAVUZ"},{"family":"KARA","given":"Füsun"}],"issued":{"date-parts":[["2014"]]}}}],"schema":"https://github.com/citation-style-language/schema/raw/master/csl-citation.json"} </w:instrText>
      </w:r>
      <w:r w:rsidRPr="00C5040F">
        <w:fldChar w:fldCharType="separate"/>
      </w:r>
      <w:r w:rsidRPr="00C5040F">
        <w:t>(Haykır &amp; Kara, 2014, s. 67)</w:t>
      </w:r>
      <w:r w:rsidRPr="00C5040F">
        <w:fldChar w:fldCharType="end"/>
      </w:r>
      <w:r w:rsidRPr="00C5040F">
        <w:t xml:space="preserve">. Kazak topraklarını kendi topraklarına katan Rus İmparatorluğu uzun bir süre sömürgeci-istilacı olarak bu toprakları kullanmıştır. Kazakların hukuk sistemi, örf ve adetleri Ruslar tarafından tekrar düzenlenerek ülkenin bütün topraklarının Rus devletine ait olduğu ilan </w:t>
      </w:r>
      <w:r>
        <w:t>edilmiştir.</w:t>
      </w:r>
      <w:r w:rsidRPr="00C5040F">
        <w:t xml:space="preserve"> Kazak halkı kendi topraklarında otlakları geçici olarak kiralayan ve merkeze vergi ödeyen bir halk konumuna gelmiştir. Kazakların dahil olduğu sorunlarda ise geleneksel Kazak örf ve adeti bir kenara bırakılarak Rus yasalarına göre yargılanmaya başla</w:t>
      </w:r>
      <w:r>
        <w:t>n</w:t>
      </w:r>
      <w:r w:rsidRPr="00C5040F">
        <w:t>mıştır. Ruslar</w:t>
      </w:r>
      <w:r>
        <w:t>,</w:t>
      </w:r>
      <w:r w:rsidRPr="00C5040F">
        <w:t xml:space="preserve"> Kazak topraklarını işgal ettikten sonra bu topraklarda kalıcı olabilmek için köklü değişikliklere yapmıştır. Rus işgali karşısında direnen Kazak halkı ise Rusların sert tepkileri ile karşılaşmıştır </w:t>
      </w:r>
      <w:r w:rsidRPr="00C5040F">
        <w:fldChar w:fldCharType="begin"/>
      </w:r>
      <w:r w:rsidRPr="00C5040F">
        <w:instrText xml:space="preserve"> ADDIN ZOTERO_ITEM CSL_CITATION {"citationID":"7h69t9Rq","properties":{"formattedCitation":"(Ospanova, t.y.)","plainCitation":"(Ospanova, t.y.)","dontUpdate":true,"noteIndex":0},"citationItems":[{"id":376,"uris":["http://zotero.org/users/10292326/items/XLI38WBA"],"itemData":{"id":376,"type":"article-journal","note":"publisher: Sosyal Bilimler Enstitüsü","source":"Google Scholar","title":"Kаzаk ulusunun dоğuşundаn günümüzе Türk-Kаzаk ilişkilеri","author":[{"family":"Ospanova","given":"Akmaral"}]}}],"schema":"https://github.com/citation-style-language/schema/raw/master/csl-citation.json"} </w:instrText>
      </w:r>
      <w:r w:rsidRPr="00C5040F">
        <w:fldChar w:fldCharType="separate"/>
      </w:r>
      <w:r w:rsidRPr="00C5040F">
        <w:t>(Ospanova, ss. 59-61)</w:t>
      </w:r>
      <w:r w:rsidRPr="00C5040F">
        <w:fldChar w:fldCharType="end"/>
      </w:r>
      <w:r w:rsidRPr="00C5040F">
        <w:t xml:space="preserve">. 1869 yılında Kazak halkı Rus uygulamaları karşısında ayaklanmıştır Rus askerleri ise 71.000 ailenin temel ihtiyaçlarını karşılayan hayvanları öldürerek halkı açlığa terk etmiştir. 1889 yılında çıkarılan toprak kanunu ile Ruslara istedikleri topraklara yerleşme ve toprak sahibi olma hakkı verilmiştir. Böylelikle gelecekte Kazakistan’ın en büyük hassasiyetlerinden biri olan Rus nüfusu ülkenin kuzeyine yerleşmeye başlamıştır. Çarlık döneminin son nüfus sayımı olan 1911 sayımlarında ülkede %’40 Rus nüfusu varlığı söz konusudur </w:t>
      </w:r>
      <w:r w:rsidRPr="00C5040F">
        <w:fldChar w:fldCharType="begin"/>
      </w:r>
      <w:r w:rsidRPr="00C5040F">
        <w:instrText xml:space="preserve"> ADDIN ZOTERO_ITEM CSL_CITATION {"citationID":"2lPc5K0B","properties":{"formattedCitation":"(Yi\\uc0\\u287{}it, 2001)","plainCitation":"(Yiğit, 2001)","noteIndex":0},"citationItems":[{"id":386,"uris":["http://zotero.org/users/10292326/items/J55ZHTXR"],"itemData":{"id":386,"type":"article-journal","container-title":"F.Ü. Sosyal Bilimler Dergisi","ISSN":"1012-0165","issue":"1","language":"tur","source":"avesis.uludag.edu.tr","title":"Kazakistan ın Değişen Etnik Yapısı","URL":"https://avesis.uludag.edu.tr/yayin/b00e70aa-c1a1-45de-9ea6-7ab7d517ac54/kazakistan-in-degisen-etnik-yapisi","volume":"11","author":[{"family":"Yiğit","given":"Ali̇"}],"accessed":{"date-parts":[["2023",5,25]]},"issued":{"date-parts":[["2001"]]}}}],"schema":"https://github.com/citation-style-language/schema/raw/master/csl-citation.json"} </w:instrText>
      </w:r>
      <w:r w:rsidRPr="00C5040F">
        <w:fldChar w:fldCharType="separate"/>
      </w:r>
      <w:r w:rsidRPr="00C5040F">
        <w:t>(Yiğit, 2001)</w:t>
      </w:r>
      <w:r w:rsidRPr="00C5040F">
        <w:fldChar w:fldCharType="end"/>
      </w:r>
      <w:r w:rsidRPr="00C5040F">
        <w:t xml:space="preserve">. Kazakların önemli stratejik toprakları göç eden halkların eline geçmiştir ve </w:t>
      </w:r>
      <w:r>
        <w:t>K</w:t>
      </w:r>
      <w:r w:rsidRPr="00C5040F">
        <w:t>azak halkı kendi topraklarında ikinci derece vatandaş statüsüne düşürülmesi planlanmıştır. Ancak Rusların bütün baskı ve ezici politikalarına rağmen I. Dünya Savaş’ında ortaya çıkan milliyetçi düşünceler elbette Kazak halkını da etkisi altına almıştır. Böylelikle 1916 yılında Kazakların tarihindeki en büyük isyanı olan Türkistan İsyanı gerçekleşmiştir ve Kazak halkının zihnindeki milliyetçi kurtuluş düşüncelerinin temelleri atılmıştır.</w:t>
      </w:r>
    </w:p>
    <w:p w14:paraId="47CD2564" w14:textId="77777777" w:rsidR="0007275E" w:rsidRPr="00C5040F" w:rsidRDefault="0007275E" w:rsidP="000A70F0">
      <w:pPr>
        <w:pStyle w:val="Default"/>
        <w:jc w:val="both"/>
      </w:pPr>
    </w:p>
    <w:p w14:paraId="1EA1C278" w14:textId="77777777" w:rsidR="0034640B" w:rsidRDefault="0034640B" w:rsidP="000A70F0">
      <w:pPr>
        <w:pStyle w:val="Default"/>
        <w:jc w:val="both"/>
      </w:pPr>
      <w:r w:rsidRPr="00C5040F">
        <w:t xml:space="preserve">Bu dönemde Rusya’da Bolşevik Devrimi gerçekleşmiştir ve Çar II. Nikola tahtan indirilmiştir. </w:t>
      </w:r>
      <w:r w:rsidRPr="00C5040F">
        <w:lastRenderedPageBreak/>
        <w:t xml:space="preserve">Rusya topraklarında Çarlık Rusya’nın devamı olan fakat sistem olarak tamamen farklı olan Sovyet Sosyalist Cumhuriyetleri Birliği kurulmuştur. Kazakistan toprakları da yeni kurulan devletin toprağı içinde yer almıştır </w:t>
      </w:r>
      <w:r w:rsidRPr="00C5040F">
        <w:fldChar w:fldCharType="begin"/>
      </w:r>
      <w:r>
        <w:instrText xml:space="preserve"> ADDIN ZOTERO_ITEM CSL_CITATION {"citationID":"SVbFHig0","properties":{"formattedCitation":"(2022)","plainCitation":"(2022)","noteIndex":0},"citationItems":[{"id":396,"uris":["http://zotero.org/users/10292326/items/Y7WLEJKS"],"itemData":{"id":396,"type":"thesis","event-place":"Yalova","genre":"Yayınlanmış Doktora Tezi","language":"Türkçe","number-of-pages":"293","publisher":"YALOVA ÜNİVERSİTESİ LİSANSÜSTÜ EĞİTİM ENSTİTÜSÜ","publisher-place":"Yalova","title":"DIŞ POLİTİKA VE KİMLİK: İNŞACI PERSPEKTİFİNDEN KAZAK DIŞ POLİTİKASININ ANALİZİ","URL":"file:///C:/Users/yenia/Downloads/732087.pdf","author":[{"family":"","given":"KALDYGUL ADILBEKOVA"}],"accessed":{"date-parts":[["2023",5,26]]},"issued":{"date-parts":[["2022"]]}},"label":"page"}],"schema":"https://github.com/citation-style-language/schema/raw/master/csl-citation.json"} </w:instrText>
      </w:r>
      <w:r w:rsidRPr="00C5040F">
        <w:fldChar w:fldCharType="separate"/>
      </w:r>
      <w:r w:rsidRPr="00D0644D">
        <w:t>(</w:t>
      </w:r>
      <w:r w:rsidRPr="000B2090">
        <w:t xml:space="preserve"> Adılbekova</w:t>
      </w:r>
      <w:r>
        <w:t>,</w:t>
      </w:r>
      <w:r w:rsidRPr="00D0644D">
        <w:t xml:space="preserve"> 2022)</w:t>
      </w:r>
      <w:r w:rsidRPr="00C5040F">
        <w:fldChar w:fldCharType="end"/>
      </w:r>
      <w:r w:rsidRPr="00C5040F">
        <w:t>.</w:t>
      </w:r>
    </w:p>
    <w:p w14:paraId="4F0EE705" w14:textId="77777777" w:rsidR="00FC4D53" w:rsidRPr="00C5040F" w:rsidRDefault="00FC4D53" w:rsidP="000A70F0">
      <w:pPr>
        <w:pStyle w:val="Default"/>
        <w:jc w:val="both"/>
      </w:pPr>
    </w:p>
    <w:p w14:paraId="39D21E74" w14:textId="09C19A8A" w:rsidR="0034640B" w:rsidRPr="00FC4D53" w:rsidRDefault="0034640B" w:rsidP="000A70F0">
      <w:pPr>
        <w:rPr>
          <w:b/>
          <w:bCs/>
        </w:rPr>
      </w:pPr>
      <w:r w:rsidRPr="009F0AE3">
        <w:rPr>
          <w:b/>
          <w:bCs/>
        </w:rPr>
        <w:t>SSCB Dönem Rusya-Kazakistan İlişkileri</w:t>
      </w:r>
    </w:p>
    <w:p w14:paraId="4CE710F8" w14:textId="77777777" w:rsidR="0034640B" w:rsidRDefault="0034640B" w:rsidP="000A70F0">
      <w:pPr>
        <w:jc w:val="both"/>
      </w:pPr>
      <w:r w:rsidRPr="00C5040F">
        <w:t xml:space="preserve">21-26 Temmuz 1917 tarihinde ilk Türk-Kazak Kongresi düzenlenmiştir. Kazakların ilk siyasal hareketi olan Alaş Orda Alihan </w:t>
      </w:r>
      <w:proofErr w:type="spellStart"/>
      <w:r w:rsidRPr="00C5040F">
        <w:t>Bökeyhanov</w:t>
      </w:r>
      <w:proofErr w:type="spellEnd"/>
      <w:r w:rsidRPr="00C5040F">
        <w:t xml:space="preserve"> önderliğinde Kazak aydınlarının bir araya gelmesi ile oluşmuştur. Çarlık Rusya’nın sona ermesi Yeni Rusya devletinin kurulması </w:t>
      </w:r>
      <w:r>
        <w:t>K</w:t>
      </w:r>
      <w:r w:rsidRPr="00C5040F">
        <w:t xml:space="preserve">azak aydınları tarafından </w:t>
      </w:r>
      <w:r>
        <w:t>K</w:t>
      </w:r>
      <w:r w:rsidRPr="00C5040F">
        <w:t>azak devletinin kurulması için bir fırsat olarak görülmüştür</w:t>
      </w:r>
      <w:r>
        <w:t xml:space="preserve"> </w:t>
      </w:r>
      <w:r w:rsidRPr="00C5040F">
        <w:fldChar w:fldCharType="begin"/>
      </w:r>
      <w:r w:rsidRPr="00C5040F">
        <w:instrText xml:space="preserve"> ADDIN ZOTERO_ITEM CSL_CITATION {"citationID":"MQ9Z7uJR","properties":{"formattedCitation":"(Alkan,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t xml:space="preserve">. </w:t>
      </w:r>
      <w:r w:rsidRPr="00C5040F">
        <w:t xml:space="preserve">İkinci genel Kazak kurultayı 5-13 Aralık 1917 yılında gerçekleşti kurultayda dış politika, eğitim, milis güçleri, millî banka, yerel yönetim ve Kırgız (Kazak) Muhtariyetlerinin durumu konuşulan konular arasındadır. Rusya’nın </w:t>
      </w:r>
      <w:r>
        <w:t>B</w:t>
      </w:r>
      <w:r w:rsidRPr="00C5040F">
        <w:t xml:space="preserve">irinci </w:t>
      </w:r>
      <w:r>
        <w:t>D</w:t>
      </w:r>
      <w:r w:rsidRPr="00C5040F">
        <w:t xml:space="preserve">ünya </w:t>
      </w:r>
      <w:r>
        <w:t>Sa</w:t>
      </w:r>
      <w:r w:rsidRPr="00C5040F">
        <w:t>vaşı</w:t>
      </w:r>
      <w:r>
        <w:t>’</w:t>
      </w:r>
      <w:r w:rsidRPr="00C5040F">
        <w:t xml:space="preserve">ndan çekilmesi ve devrim sonrası </w:t>
      </w:r>
      <w:r>
        <w:t>Ç</w:t>
      </w:r>
      <w:r w:rsidRPr="00C5040F">
        <w:t>arlık Rusya’nın hakimiyetinde olan bölgelerin durumuna yönelik belirsizlik ortaya çıkmıştır. Bu belirsizlikten e</w:t>
      </w:r>
      <w:r>
        <w:t>n</w:t>
      </w:r>
      <w:r w:rsidRPr="00C5040F">
        <w:t xml:space="preserve">dişe eden </w:t>
      </w:r>
      <w:r>
        <w:t>K</w:t>
      </w:r>
      <w:r w:rsidRPr="00C5040F">
        <w:t>azaklar kendi aralarında iki</w:t>
      </w:r>
      <w:r>
        <w:t>ye</w:t>
      </w:r>
      <w:r w:rsidRPr="00C5040F">
        <w:t xml:space="preserve"> bölünmüştür bir kısmı bir an önce </w:t>
      </w:r>
      <w:r>
        <w:t>K</w:t>
      </w:r>
      <w:r w:rsidRPr="00C5040F">
        <w:t xml:space="preserve">azak muhtariyetinin ilan edilmesini isterken bir kısmı da ülke içinde yaşan diğer milletlerin (Ruslar-Rus Kazaklar) ile istişare edilmesi gerektiğini görüşü üzerinde durmuştur. Belirsizliklere rağmen Kurultay’ın sonucunda ‘’Alaş Orda Muhtariyet’’ adıyla Muhtariyet ve ‘’Alaş Orda Halk Şuarası’’ adıyla geçici bir hükümet kurulmuştur. Alaş Orda Hükümeti için yapılan seçimleri Alihan </w:t>
      </w:r>
      <w:proofErr w:type="spellStart"/>
      <w:r w:rsidRPr="00C5040F">
        <w:t>Bökeyhanov</w:t>
      </w:r>
      <w:proofErr w:type="spellEnd"/>
      <w:r w:rsidRPr="00C5040F">
        <w:t xml:space="preserve"> kaz</w:t>
      </w:r>
      <w:r>
        <w:t>anmıştır</w:t>
      </w:r>
      <w:r w:rsidRPr="00C5040F">
        <w:t xml:space="preserve"> ve Alaş Orda Muhtar Hükümetinin </w:t>
      </w:r>
      <w:r>
        <w:t>B</w:t>
      </w:r>
      <w:r w:rsidRPr="00C5040F">
        <w:t>aşkanı ol</w:t>
      </w:r>
      <w:r>
        <w:t>muştur</w:t>
      </w:r>
      <w:r w:rsidRPr="00C5040F">
        <w:t xml:space="preserve">. Kurultay sonrası ikinci önemli husus ise bir an önce milli milis kuvvetlerinin kurulması konusu olmuştur. </w:t>
      </w:r>
      <w:proofErr w:type="spellStart"/>
      <w:r w:rsidRPr="00C5040F">
        <w:t>Bökev</w:t>
      </w:r>
      <w:proofErr w:type="spellEnd"/>
      <w:r w:rsidRPr="00C5040F">
        <w:t xml:space="preserve"> Hükümeti ülkenin farklı eyaletlerinden 13.500 kişilik milis kuvveti oluşturulmasına karar vermiştir ve bu kuvvetin eğitim ve teçhizat masraflarının halk tarafından karşılan</w:t>
      </w:r>
      <w:r>
        <w:t>masına karar verilmiştir</w:t>
      </w:r>
      <w:r w:rsidRPr="00C5040F">
        <w:t xml:space="preserve">. Kazak yöneticileri hükümet ve milis kuvvetlerini bir an önce kurarak savunmasız ülke topraklarını Sovyetlere karşı korumayı amaçlamıştır. Zira Bolşevik devrimi sonrası yeni kurulan düzende özgür bir Kazak ülkesi temel amaçlarıdır. Ancak 18 Ocak 1918’de Rus </w:t>
      </w:r>
      <w:r>
        <w:t>K</w:t>
      </w:r>
      <w:r w:rsidRPr="00C5040F">
        <w:t xml:space="preserve">azaklarının elinde bulunan Orenburg’u Bolşevikler işgal etmiştir. Bu işgal henüz kurulmakta olan Alaş Ora Hükümetine darbe vurmuştur. Alaş Orda Hükümetinin yöneticileri Bolşeviklere karşı </w:t>
      </w:r>
      <w:r>
        <w:t>B</w:t>
      </w:r>
      <w:r w:rsidRPr="00C5040F">
        <w:t xml:space="preserve">eyaz </w:t>
      </w:r>
      <w:r>
        <w:t>O</w:t>
      </w:r>
      <w:r w:rsidRPr="00C5040F">
        <w:t>rdu ile iletişim kurmak iste</w:t>
      </w:r>
      <w:r>
        <w:t>mişlerdir</w:t>
      </w:r>
      <w:r w:rsidRPr="00C5040F">
        <w:t xml:space="preserve"> fakat </w:t>
      </w:r>
      <w:r>
        <w:t>B</w:t>
      </w:r>
      <w:r w:rsidRPr="00C5040F">
        <w:t xml:space="preserve">eyaz </w:t>
      </w:r>
      <w:r>
        <w:t>O</w:t>
      </w:r>
      <w:r w:rsidRPr="00C5040F">
        <w:t xml:space="preserve">rdu yöneticileri </w:t>
      </w:r>
      <w:r>
        <w:t>K</w:t>
      </w:r>
      <w:r w:rsidRPr="00C5040F">
        <w:t>azakların kendi hükümetini kurması fikrinden rahatsız olmuştur. Netice olarak Kazak liderler Kızıl ve Beyaz ordu arasında çıkan iç savaşın galibi olan Bolşevikler ile iş birliği yapmak zorunda kal</w:t>
      </w:r>
      <w:r>
        <w:t>mışlardır</w:t>
      </w:r>
      <w:r w:rsidRPr="00C5040F">
        <w:t xml:space="preserve">. Kızıl ordu yöneticileri Alaş Orda liderlerine </w:t>
      </w:r>
      <w:r>
        <w:t>B</w:t>
      </w:r>
      <w:r w:rsidRPr="00C5040F">
        <w:t xml:space="preserve">eyaz </w:t>
      </w:r>
      <w:r>
        <w:t>O</w:t>
      </w:r>
      <w:r w:rsidRPr="00C5040F">
        <w:t xml:space="preserve">rdu ile iletişime geçtiği için güvenmiyordu. Bolşevikler Alaş Orda Hükûmetinin fes edilmesine ve topraklarının Sovyetler Birliğine katılmasına karar vermiştir. Bu tarihten sonra Kazakistan toprakları Sovyetler birliğinin himayesine girmiştir </w:t>
      </w:r>
      <w:r w:rsidRPr="00C5040F">
        <w:fldChar w:fldCharType="begin"/>
      </w:r>
      <w:r>
        <w:instrText xml:space="preserve"> ADDIN ZOTERO_ITEM CSL_CITATION {"citationID":"ml0TImVj","properties":{"formattedCitation":"(HAYKIR &amp; KARA, 2014; Yorulmaz, 2016)","plainCitation":"(HAYKIR &amp; KARA, 2014; Yorulmaz, 2016)","dontUpdate":true,"noteIndex":0},"citationItems":[{"id":370,"uris":["http://zotero.org/users/10292326/items/6U6ZV9BL"],"itemData":{"id":370,"type":"article-journal","abstract":"Türkistan'dan göç eden Türk kavimlerinin bakiyeleri ile sonradan buraya gelen muhtelif Türk boylarının birleşmesiyle oluşmuş bir Türk toplumun adı olan Türkistan'ın ocak ağası sayılan Kazak Türkleri, bağımsız yaşamak için çok büyük bedeller ödemek zorunda kalmışlardır. Rus Çarlığının XIX. Yüzyılın ilk çeyreğinden itibaren Türkistan'a doğru ilerleyişi uzun ve aşamalı planların sonucudur. Ticari birliklerin bölgeye girişinden sonra askeri hazırlıklar yapılmaya başlanmıştır. işte bu dönemlerde vuku bulan olaylarda Rus ilerleyişini hızlandırmış ve kolaylaştırmıştır. Kazakların tarihinde Kalmuk ve Rusların saldırı ve işgalleri büyük yer tutmaktadır. Büyük güçlerin güdümüne gelen ihtiraslı Kazak hanlarının isyan ve saldırıları da kazakları çok uğraştırmıştır. Kazakların didişmeye girmeleri her defasında hasım güçlerin istilasını getirmiştir.Bu makale, ihtilâllerin arkasındaki sosyal, ekonomik, ve siyasî nedenleri incelemek kadar Kazak tarihi içinde, Kazak-Rus ilişkilerinin yerini de anlatmaya gayret göstermektedir. Rus- Kazak ilişkilerinin başlangıcı 16. Yüzyılın ortasında ticaretl Türkistan'dan göç eden Türk kavimlerinin bakiyeleri ile sonradan buraya gelen muhtelif Türk boylarının birleşmesiyle oluşmuş bir Türk toplumu olan Türkistan' Türkistan'dan göç eden Türk kavimlerinin bakiyeleri ile sonradan buraya gelen muhtelif Türk boylarının birleşmesiyle oluşmuş bir Türk toplumu olan Türkistan'ın ocak ağası sayılan Kazak Türkleri, bağımsız yaşamak için çok büyük bedeller ödemek zorunda kalmışlardır. Rus Çarlığının XIX. Yüzyılın ilk çeyreğinden itibaren Türkistan'a doğru ilerleyişi uzun ve aşamalı planların sonucudur. Ticari birliklerin bölgeye girişinden sonra askeri hazırlıklar yapılmaya başlanmıştır.işte bu dönemlerde vuku bulan olaylarda Rus ilerleyişini hızlandırmış ve kolaylaştırmıştır. Kazakların tarihinde Kalmuk ve Rusların saldırı ve işgalleri büyük yer tutmaktadır. Büyük güçlerin güdümüne gelen ihtiraslı Kazak hanlarının isyan ve saldırıları da kazakları çok uğraştırmıştır. Kazakların didişmeye girmeleri her defasında hasım güçlerin istilasını getirmiştir.Bu makale, ihtilâllerin arkasındaki sosyal, ekonomik, ve siyasî nedenleri incelemek kadar Kazak tarihi içinde, Kazak-Rus ilişkilerinin yerini de anlatmaya gayret göstermektedir. Rus- Kazak ilişkilerinin başlangıcı 16. Yüzyılın ortasında ticaretle başlamış olsa da bu ilişkiler çok cüzî düzeyde ve Moskova ile Orta Asya Hanlıkları arasında sınırlı sonuçlanmıştı. İlk önce bir Kazak elçisinin 1573 tarihinde Moskova'yı ziyaret ettiği kaydedilmiştir. Rus Çarlığı'nın 19. Yüzyılın ilk çeyreğinden itibaren Türkistan'a doğru ilerleyişi uzun ve aşamalı planların sonucudur. Ticarî kolonilerin bölgeye girişinden sonra askerî hazırlıklar yapılmıştır. Kazaklar 18. Yüzyılın son çeyreğinde Pugachev'in güçlerine katıldılar ve 1773-1774'de Irtish Nehrinin önemli bir kısmını kontrolleri altına aldılar ve Orenburg eyaletinin merkezini kuşattılar. 1782- 1783 kışında, Kazaklar Orta Cüz Hanı Sırım Datovun liderlik ettiği, ayaklanmaya katıldılar. Orta Orda Hanı Abılay Hanın torunu Sultan Kenesarı Kasımov'un isyanı Rus kolonizasyonuna karşı Kazak direnişinin bir sembolü oldu. Bununla birlikte başarı sağlayamadılar","archive":"TRDizin","container-title":"Turkish Studies (Elektronik)","ISSN":"1308-2140","issue":"4","journalAbbreviation":"Turkish Studies (Elektronik)","page":"619-629","title":"RUS KOLONİZAYONUNA KARŞI KAZAK MUKAVEMETİ","volume":"9","author":[{"family":"HAYKIR","given":"YAVUZ"},{"family":"KARA","given":"Füsun"}],"issued":{"date-parts":[["2014"]]}}},{"id":401,"uris":["http://zotero.org/users/10292326/items/Q9I5Z5PK"],"itemData":{"id":401,"type":"article-journal","container-title":"Belleten","issue":"289","page":"939–976","source":"Google Scholar","title":"Alaş Orda Hareketi","volume":"80","author":[{"family":"Yorulmaz","given":"Osman"}],"issued":{"date-parts":[["2016"]]}}}],"schema":"https://github.com/citation-style-language/schema/raw/master/csl-citation.json"} </w:instrText>
      </w:r>
      <w:r w:rsidRPr="00C5040F">
        <w:fldChar w:fldCharType="separate"/>
      </w:r>
      <w:r w:rsidRPr="008D11C7">
        <w:t>(H</w:t>
      </w:r>
      <w:r>
        <w:t>aykır</w:t>
      </w:r>
      <w:r w:rsidRPr="008D11C7">
        <w:t xml:space="preserve"> &amp; K</w:t>
      </w:r>
      <w:r>
        <w:t>ara</w:t>
      </w:r>
      <w:r w:rsidRPr="008D11C7">
        <w:t>, 2014; Yorulmaz, 2016)</w:t>
      </w:r>
      <w:r w:rsidRPr="00C5040F">
        <w:fldChar w:fldCharType="end"/>
      </w:r>
      <w:r>
        <w:t>.</w:t>
      </w:r>
    </w:p>
    <w:p w14:paraId="08118EDF" w14:textId="77777777" w:rsidR="0007275E" w:rsidRPr="00C5040F" w:rsidRDefault="0007275E" w:rsidP="000A70F0">
      <w:pPr>
        <w:jc w:val="both"/>
      </w:pPr>
    </w:p>
    <w:p w14:paraId="5782E936" w14:textId="77777777" w:rsidR="0034640B" w:rsidRDefault="0034640B" w:rsidP="000A70F0">
      <w:pPr>
        <w:jc w:val="both"/>
      </w:pPr>
      <w:r w:rsidRPr="00C5040F">
        <w:t xml:space="preserve">Çarlık Rusya’nın yıkılışından memnun olan Kazak aydınları ve liderleri bağımsız bir </w:t>
      </w:r>
      <w:r>
        <w:t>K</w:t>
      </w:r>
      <w:r w:rsidRPr="00C5040F">
        <w:t>azak devleti kurma hayaline ulaşamamıştır.</w:t>
      </w:r>
      <w:r>
        <w:t xml:space="preserve"> </w:t>
      </w:r>
      <w:r w:rsidRPr="00C5040F">
        <w:t xml:space="preserve">Çarlık Rusya’nın yayılmacı politikaları yerini Sovyet enternasyonalizmine bırakmıştır. Ruslar, Orta Asya topraklarında ulus ima sürecinde başlamıştır ve Kazakistan topraklarında Kırgız Otonom Sovyet Sosyalist Cumhuriyeti adıyla Sovyetlere bağlı bir özerk bölge kurmuştur. Ruslar, Kazaklara Kırgız adını vererek bölgedeki etnik ve milli kimlikleri yeniden inşa etmeyi amaçlamıştır. 1929 yılında bu uygulamadan vazgeçilerek Kırgızistan adı Kazakistan olarak değiştirilmiştir. Ancak bu süreçte </w:t>
      </w:r>
      <w:r>
        <w:t>K</w:t>
      </w:r>
      <w:r w:rsidRPr="00C5040F">
        <w:t>azak aydınları ve Alaş Orda liderleri</w:t>
      </w:r>
      <w:r>
        <w:t xml:space="preserve"> </w:t>
      </w:r>
      <w:r w:rsidRPr="00C5040F">
        <w:t>milliyetçi politikalar izlediği düşünüldüğü için Ruslar tarafından idam edilmiştir</w:t>
      </w:r>
      <w:r w:rsidRPr="00A43A9D">
        <w:t xml:space="preserve"> </w:t>
      </w:r>
      <w:r w:rsidRPr="00C5040F">
        <w:t xml:space="preserve"> </w:t>
      </w:r>
      <w:r w:rsidRPr="00C5040F">
        <w:fldChar w:fldCharType="begin"/>
      </w:r>
      <w:r>
        <w:instrText xml:space="preserve"> ADDIN ZOTERO_ITEM CSL_CITATION {"citationID":"UO4aZT9B","properties":{"formattedCitation":"(Roy &amp; Moral\\uc0\\u305{}, 2000)","plainCitation":"(Roy &amp; Moralı, 2000)","dontUpdate":true,"noteIndex":0},"citationItems":[{"id":408,"uris":["http://zotero.org/users/10292326/items/EVT2FMYC"],"itemData":{"id":408,"type":"book","publisher":"Metis Yayınları","source":"Google Scholar","title":"Yeni Orta Asya ya da ulusların imal edilişi","author":[{"family":"Roy","given":"Olivier"},{"family":"Moralı","given":"Mehmet"}],"issued":{"date-parts":[["2000"]]}}}],"schema":"https://github.com/citation-style-language/schema/raw/master/csl-citation.json"} </w:instrText>
      </w:r>
      <w:r w:rsidRPr="00C5040F">
        <w:fldChar w:fldCharType="separate"/>
      </w:r>
      <w:r w:rsidRPr="00C5040F">
        <w:t>(Roy &amp; Moralı, 2000</w:t>
      </w:r>
      <w:r>
        <w:t>, s.164</w:t>
      </w:r>
      <w:r w:rsidRPr="00C5040F">
        <w:t>)</w:t>
      </w:r>
      <w:r w:rsidRPr="00C5040F">
        <w:fldChar w:fldCharType="end"/>
      </w:r>
      <w:r>
        <w:t>.</w:t>
      </w:r>
    </w:p>
    <w:p w14:paraId="104958B7" w14:textId="77777777" w:rsidR="0007275E" w:rsidRPr="00C5040F" w:rsidRDefault="0007275E" w:rsidP="000A70F0">
      <w:pPr>
        <w:jc w:val="both"/>
      </w:pPr>
    </w:p>
    <w:p w14:paraId="5439A4C4" w14:textId="77777777" w:rsidR="0034640B" w:rsidRDefault="0034640B" w:rsidP="000A70F0">
      <w:pPr>
        <w:jc w:val="both"/>
      </w:pPr>
      <w:r w:rsidRPr="00C5040F">
        <w:t xml:space="preserve">1926’daki nüfus sayımlarında Kazakistan 6,198.400 kişilik nüfusa sahipti bu nüfusun %58’i </w:t>
      </w:r>
      <w:r w:rsidRPr="00C5040F">
        <w:lastRenderedPageBreak/>
        <w:t xml:space="preserve">Kazak halkı kalan kısımda ise %20,6 Rus, %13,9 Ukraynalı, %2,1 Özbek, %1,3 Tatar, %1 Uygur ve %0,8 Almanlardan oluşmaktadır </w:t>
      </w:r>
      <w:r w:rsidRPr="00C5040F">
        <w:fldChar w:fldCharType="begin"/>
      </w:r>
      <w:r w:rsidRPr="00C5040F">
        <w:instrText xml:space="preserve"> ADDIN ZOTERO_ITEM CSL_CITATION {"citationID":"DlC0p2cU","properties":{"formattedCitation":"(Kara &amp; Ye\\uc0\\u351{}ilot, 2011)","plainCitation":"(Kara &amp; Yeşilot, 2011)","noteIndex":0},"citationItems":[{"id":406,"uris":["http://zotero.org/users/10292326/items/VPIIAA9J"],"itemData":{"id":406,"type":"book","collection-number":"2010.91","collection-title":"Yayın","event-place":"İstanbul","ISBN":"978-9944-60-901-2","language":"tr","number-of-pages":"304","publisher":"İstanbul Ticaret Odası","publisher-place":"İstanbul","source":"K10plus ISBN","title":"Avrasya'nın yükselen yıldızı Kazakistan","author":[{"family":"Kara","given":"Abdulvahap"},{"family":"Yeşilot","given":"Okan"}],"issued":{"date-parts":[["2011"]]}}}],"schema":"https://github.com/citation-style-language/schema/raw/master/csl-citation.json"} </w:instrText>
      </w:r>
      <w:r w:rsidRPr="00C5040F">
        <w:fldChar w:fldCharType="separate"/>
      </w:r>
      <w:r w:rsidRPr="00C5040F">
        <w:t>(Kara &amp; Yeşilot, 2011)</w:t>
      </w:r>
      <w:r w:rsidRPr="00C5040F">
        <w:fldChar w:fldCharType="end"/>
      </w:r>
      <w:r w:rsidRPr="00C5040F">
        <w:t xml:space="preserve">. Kazakistan toprakları Ruslara yakınlığı ve sahip olduğu doğal kaynakları ile hem </w:t>
      </w:r>
      <w:r>
        <w:t>Ç</w:t>
      </w:r>
      <w:r w:rsidRPr="00C5040F">
        <w:t xml:space="preserve">arlık hem de Sovyet Rusya açısından vazgeçilmez olarak görülmüştür. Sovyetler, 1925 ve 1929 yıllarında hazırladıkları ekonomik planlarla </w:t>
      </w:r>
      <w:r>
        <w:t>B</w:t>
      </w:r>
      <w:r w:rsidRPr="00C5040F">
        <w:t xml:space="preserve">irinci </w:t>
      </w:r>
      <w:r>
        <w:t>D</w:t>
      </w:r>
      <w:r w:rsidRPr="00C5040F">
        <w:t xml:space="preserve">ünya </w:t>
      </w:r>
      <w:r>
        <w:t>S</w:t>
      </w:r>
      <w:r w:rsidRPr="00C5040F">
        <w:t xml:space="preserve">avaşında çöken Rus ekonomisini tekrar ayağa kaldırmayı planlamıştır. Bu plan içerisinde Kazakistan’ın hem toprakları hem de nüfusu önemli bir faktör olarak yerini almıştır. Özellikle ikinci ekonomik plan çerçevesinde katı </w:t>
      </w:r>
      <w:proofErr w:type="spellStart"/>
      <w:r w:rsidRPr="00C5040F">
        <w:t>kolhozlaşma</w:t>
      </w:r>
      <w:proofErr w:type="spellEnd"/>
      <w:r w:rsidRPr="00C5040F">
        <w:t xml:space="preserve"> planı uygulamaya başlamıştır ve </w:t>
      </w:r>
      <w:r>
        <w:t>K</w:t>
      </w:r>
      <w:r w:rsidRPr="00C5040F">
        <w:t xml:space="preserve">azak halkı kolhozlarla yerleştirilmiştir, ellerindeki mallar alınarak devletin malı kabul edilmiştir </w:t>
      </w:r>
      <w:r w:rsidRPr="00C5040F">
        <w:fldChar w:fldCharType="begin"/>
      </w:r>
      <w:r w:rsidRPr="00C5040F">
        <w:instrText xml:space="preserve"> ADDIN ZOTERO_ITEM CSL_CITATION {"citationID":"P0gmrcHO","properties":{"formattedCitation":"(Yi\\uc0\\u287{}it, 2001)","plainCitation":"(Yiğit, 2001)","noteIndex":0},"citationItems":[{"id":386,"uris":["http://zotero.org/users/10292326/items/J55ZHTXR"],"itemData":{"id":386,"type":"article-journal","container-title":"F.Ü. Sosyal Bilimler Dergisi","ISSN":"1012-0165","issue":"1","language":"tur","source":"avesis.uludag.edu.tr","title":"Kazakistan ın Değişen Etnik Yapısı","URL":"https://avesis.uludag.edu.tr/yayin/b00e70aa-c1a1-45de-9ea6-7ab7d517ac54/kazakistan-in-degisen-etnik-yapisi","volume":"11","author":[{"family":"Yiğit","given":"Ali̇"}],"accessed":{"date-parts":[["2023",5,25]]},"issued":{"date-parts":[["2001"]]}}}],"schema":"https://github.com/citation-style-language/schema/raw/master/csl-citation.json"} </w:instrText>
      </w:r>
      <w:r w:rsidRPr="00C5040F">
        <w:fldChar w:fldCharType="separate"/>
      </w:r>
      <w:r w:rsidRPr="00C5040F">
        <w:t>(Yiğit, 2001)</w:t>
      </w:r>
      <w:r w:rsidRPr="00C5040F">
        <w:fldChar w:fldCharType="end"/>
      </w:r>
      <w:r w:rsidRPr="00C5040F">
        <w:t>.</w:t>
      </w:r>
    </w:p>
    <w:p w14:paraId="06CCEE15" w14:textId="77777777" w:rsidR="0007275E" w:rsidRPr="00C5040F" w:rsidRDefault="0007275E" w:rsidP="000A70F0">
      <w:pPr>
        <w:jc w:val="both"/>
      </w:pPr>
    </w:p>
    <w:p w14:paraId="4272DF7A" w14:textId="3CA5B286" w:rsidR="0034640B" w:rsidRDefault="0034640B" w:rsidP="000A70F0">
      <w:pPr>
        <w:jc w:val="both"/>
      </w:pPr>
      <w:r w:rsidRPr="00C5040F">
        <w:t xml:space="preserve">İkinci beş yıllık plan içinde Kazak halkının yerleşik hayat geçirilmesi, tarım faaliyetlinin ve üretimin artırılmasını kapsayan </w:t>
      </w:r>
      <w:proofErr w:type="spellStart"/>
      <w:r w:rsidRPr="00C5040F">
        <w:t>kolhozlaşma</w:t>
      </w:r>
      <w:proofErr w:type="spellEnd"/>
      <w:r w:rsidRPr="00C5040F">
        <w:t xml:space="preserve"> süreci, göçebe kültürelden gelen bir halktan şehir proletaryası oluşturma hedefi bir trajedi ile sonuçlanmıştır.1929’dan 1934 yılları içinde Joseph V. Stalin’in kontrolünde olan Sovyetlerde tarımın </w:t>
      </w:r>
      <w:proofErr w:type="spellStart"/>
      <w:r w:rsidRPr="00C5040F">
        <w:t>kolhozlaşması</w:t>
      </w:r>
      <w:proofErr w:type="spellEnd"/>
      <w:r w:rsidRPr="00C5040F">
        <w:t xml:space="preserve"> projesi kapsamında uygulanan politikalara </w:t>
      </w:r>
      <w:r>
        <w:t>K</w:t>
      </w:r>
      <w:r w:rsidRPr="00C5040F">
        <w:t xml:space="preserve">azak </w:t>
      </w:r>
      <w:r>
        <w:t>h</w:t>
      </w:r>
      <w:r w:rsidRPr="00C5040F">
        <w:t>alkı karşı çıkmıştır</w:t>
      </w:r>
      <w:r>
        <w:t xml:space="preserve"> b</w:t>
      </w:r>
      <w:r w:rsidRPr="00C5040F">
        <w:t xml:space="preserve">irçok </w:t>
      </w:r>
      <w:r>
        <w:t>K</w:t>
      </w:r>
      <w:r w:rsidRPr="00C5040F">
        <w:t>azak</w:t>
      </w:r>
      <w:r>
        <w:t>,</w:t>
      </w:r>
      <w:r w:rsidRPr="00C5040F">
        <w:t xml:space="preserve"> Çin ve Afganistan’a kaçmıştır. Bu süreçte nerdeyse 2 milyona yakın Kazak hayatını kaybet</w:t>
      </w:r>
      <w:r>
        <w:t>miştir</w:t>
      </w:r>
      <w:r w:rsidRPr="00C5040F">
        <w:t xml:space="preserve"> ve geri kalanlarla da canlı hayvan stoğunun %’80’nin yok olması nedeniyle açlık ve sefalete sürüklenmiştir </w:t>
      </w:r>
      <w:r w:rsidRPr="00C5040F">
        <w:fldChar w:fldCharType="begin"/>
      </w:r>
      <w:r w:rsidRPr="00C5040F">
        <w:instrText xml:space="preserve"> ADDIN ZOTERO_ITEM CSL_CITATION {"citationID":"LEAHB3R4","properties":{"formattedCitation":"(Curtis, 1996)","plainCitation":"(Curtis, 1996)","noteIndex":0},"citationItems":[{"id":414,"uris":["http://zotero.org/users/10292326/items/7739UFK6"],"itemData":{"id":414,"type":"book","publisher":"Federal Research Division","source":"Google Scholar","title":"Kazakstan: A Country Study","title-short":"Kazakstan","author":[{"family":"Curtis","given":"Glenn Eldon"}],"issued":{"date-parts":[["1996"]]}}}],"schema":"https://github.com/citation-style-language/schema/raw/master/csl-citation.json"} </w:instrText>
      </w:r>
      <w:r w:rsidRPr="00C5040F">
        <w:fldChar w:fldCharType="separate"/>
      </w:r>
      <w:r w:rsidRPr="00C5040F">
        <w:t>(Curtis, 1996)</w:t>
      </w:r>
      <w:r w:rsidRPr="00C5040F">
        <w:fldChar w:fldCharType="end"/>
      </w:r>
      <w:r w:rsidRPr="00C5040F">
        <w:t>. Kazak Trajedisi yaşanmasının en önemli sebebi Rusların ne alt yapısı ne de kültürü müsait olamayan bir toplumun bir gecede yerleşik hayata geçirme projesidir.</w:t>
      </w:r>
    </w:p>
    <w:p w14:paraId="7EED6D3E" w14:textId="77777777" w:rsidR="0007275E" w:rsidRPr="00C5040F" w:rsidRDefault="0007275E" w:rsidP="000A70F0">
      <w:pPr>
        <w:jc w:val="both"/>
      </w:pPr>
    </w:p>
    <w:p w14:paraId="4BF410DA" w14:textId="77777777" w:rsidR="0034640B" w:rsidRDefault="0034640B" w:rsidP="000A70F0">
      <w:pPr>
        <w:jc w:val="both"/>
      </w:pPr>
      <w:r w:rsidRPr="00C5040F">
        <w:t>Ülkede hali hazırda önemli ölçüde var olan Rus nüfusu 1934 yılında yapılan 17. SBKP</w:t>
      </w:r>
      <w:r w:rsidRPr="00C5040F">
        <w:rPr>
          <w:rStyle w:val="DipnotBavurusu"/>
          <w:rFonts w:eastAsiaTheme="majorEastAsia"/>
        </w:rPr>
        <w:footnoteReference w:id="4"/>
      </w:r>
      <w:r w:rsidRPr="00C5040F">
        <w:t xml:space="preserve"> Kongresinde alınan Rus nüfusunun bölgeler yerleştirilmesi kararı ile artırılması amaçlanmıştır. Kurulan kolhoz çiftliklerine genellikle Ruslar başta olmak üzere Alman ve </w:t>
      </w:r>
      <w:proofErr w:type="spellStart"/>
      <w:r w:rsidRPr="00C5040F">
        <w:t>Belaruslu</w:t>
      </w:r>
      <w:proofErr w:type="spellEnd"/>
      <w:r w:rsidRPr="00C5040F">
        <w:t xml:space="preserve"> çiftçiler yerleştirilmiştir. </w:t>
      </w:r>
      <w:r w:rsidRPr="00C5040F">
        <w:fldChar w:fldCharType="begin"/>
      </w:r>
      <w:r w:rsidRPr="00C5040F">
        <w:instrText xml:space="preserve"> ADDIN ZOTERO_ITEM CSL_CITATION {"citationID":"HLfYyO0h","properties":{"formattedCitation":"(Alkan,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 xml:space="preserve">. Kazak trajedisi ve Rus asıllı göçmenlerin ülke içine yerleştirilmesi </w:t>
      </w:r>
      <w:r>
        <w:t>K</w:t>
      </w:r>
      <w:r w:rsidRPr="00C5040F">
        <w:t>azak nüfusunun demografik yapısını kökten değitirmiştir.1929 yılı itibariyle yapılan nüfus sayımında Kazak Halkı 2,307.000 nüfusuyla kendi toprakları içinde azınlık durumuna düşmüştür</w:t>
      </w:r>
      <w:r w:rsidRPr="00C5040F">
        <w:fldChar w:fldCharType="begin"/>
      </w:r>
      <w:r w:rsidRPr="00C5040F">
        <w:instrText xml:space="preserve"> ADDIN ZOTERO_ITEM CSL_CITATION {"citationID":"CW6lrK5c","properties":{"formattedCitation":"(Kara &amp; Ye\\uc0\\u351{}ilot, 2011)","plainCitation":"(Kara &amp; Yeşilot, 2011)","noteIndex":0},"citationItems":[{"id":406,"uris":["http://zotero.org/users/10292326/items/VPIIAA9J"],"itemData":{"id":406,"type":"book","collection-number":"2010.91","collection-title":"Yayın","event-place":"İstanbul","ISBN":"978-9944-60-901-2","language":"tr","number-of-pages":"304","publisher":"İstanbul Ticaret Odası","publisher-place":"İstanbul","source":"K10plus ISBN","title":"Avrasya'nın yükselen yıldızı Kazakistan","author":[{"family":"Kara","given":"Abdulvahap"},{"family":"Yeşilot","given":"Okan"}],"issued":{"date-parts":[["2011"]]}}}],"schema":"https://github.com/citation-style-language/schema/raw/master/csl-citation.json"} </w:instrText>
      </w:r>
      <w:r w:rsidRPr="00C5040F">
        <w:fldChar w:fldCharType="separate"/>
      </w:r>
      <w:r w:rsidRPr="00C5040F">
        <w:t>(Kara &amp; Yeşilot, 2011)</w:t>
      </w:r>
      <w:r w:rsidRPr="00C5040F">
        <w:fldChar w:fldCharType="end"/>
      </w:r>
      <w:r w:rsidRPr="00C5040F">
        <w:t>.</w:t>
      </w:r>
    </w:p>
    <w:p w14:paraId="07E19425" w14:textId="77777777" w:rsidR="0007275E" w:rsidRPr="00C5040F" w:rsidRDefault="0007275E" w:rsidP="000A70F0">
      <w:pPr>
        <w:jc w:val="both"/>
      </w:pPr>
    </w:p>
    <w:p w14:paraId="6D376A9C" w14:textId="77777777" w:rsidR="0034640B" w:rsidRPr="00C5040F" w:rsidRDefault="0034640B" w:rsidP="000A70F0">
      <w:pPr>
        <w:jc w:val="both"/>
      </w:pPr>
      <w:r w:rsidRPr="00C5040F">
        <w:t xml:space="preserve">İkinci </w:t>
      </w:r>
      <w:r>
        <w:t>D</w:t>
      </w:r>
      <w:r w:rsidRPr="00C5040F">
        <w:t xml:space="preserve">ünya </w:t>
      </w:r>
      <w:r>
        <w:t>S</w:t>
      </w:r>
      <w:r w:rsidRPr="00C5040F">
        <w:t xml:space="preserve">avaşı, Kazak halkı için yeni bir dönemin başlangıcı olmuştur. Ruslar cephelerde savaşması ve geri planda çalışması için </w:t>
      </w:r>
      <w:r>
        <w:t>K</w:t>
      </w:r>
      <w:r w:rsidRPr="00C5040F">
        <w:t xml:space="preserve">azak halkını </w:t>
      </w:r>
      <w:r>
        <w:t>İ</w:t>
      </w:r>
      <w:r w:rsidRPr="00C5040F">
        <w:t xml:space="preserve">kinci </w:t>
      </w:r>
      <w:r>
        <w:t>D</w:t>
      </w:r>
      <w:r w:rsidRPr="00C5040F">
        <w:t>ünya savaşına dahil etmiştir. Diğer yandan Nazilerin</w:t>
      </w:r>
      <w:r>
        <w:t>,</w:t>
      </w:r>
      <w:r w:rsidRPr="00C5040F">
        <w:t xml:space="preserve"> Rusların kuzeyine yakınlaşması neticesinde Sovyetlerin kuzey kısımlarında yer alan sanayi tesisleri güvenlik için iç bölgelere taşınmıştır ve en uygun topraklar olarak Kazakistan’ın kuzeyi seçilmiştir. Kurulan sanayi tesislerinde çalışmak üzere Rus işçi ve teknisyenler Kazakistan topraklarına yerleşmiştir. Yine bu dönemde Nazi sınırlarına yakın yerde bulunan </w:t>
      </w:r>
      <w:r>
        <w:t>K</w:t>
      </w:r>
      <w:r w:rsidRPr="00C5040F">
        <w:t xml:space="preserve">ırım </w:t>
      </w:r>
      <w:r>
        <w:t>T</w:t>
      </w:r>
      <w:r w:rsidRPr="00C5040F">
        <w:t>atarları, Almanlar ve Müslüman azınlıklar Kazakistan’ın kuzey bölgelerine göç ettirilmiştir</w:t>
      </w:r>
      <w:r>
        <w:t xml:space="preserve"> </w:t>
      </w:r>
      <w:r w:rsidRPr="00C5040F">
        <w:fldChar w:fldCharType="begin"/>
      </w:r>
      <w:r w:rsidRPr="00C5040F">
        <w:instrText xml:space="preserve"> ADDIN ZOTERO_ITEM CSL_CITATION {"citationID":"3dMDA2wp","properties":{"formattedCitation":"(Curtis, 1996)","plainCitation":"(Curtis, 1996)","noteIndex":0},"citationItems":[{"id":414,"uris":["http://zotero.org/users/10292326/items/7739UFK6"],"itemData":{"id":414,"type":"book","publisher":"Federal Research Division","source":"Google Scholar","title":"Kazakstan: A Country Study","title-short":"Kazakstan","author":[{"family":"Curtis","given":"Glenn Eldon"}],"issued":{"date-parts":[["1996"]]}}}],"schema":"https://github.com/citation-style-language/schema/raw/master/csl-citation.json"} </w:instrText>
      </w:r>
      <w:r w:rsidRPr="00C5040F">
        <w:fldChar w:fldCharType="separate"/>
      </w:r>
      <w:r w:rsidRPr="00C5040F">
        <w:t>(Curtis, 1996)</w:t>
      </w:r>
      <w:r w:rsidRPr="00C5040F">
        <w:fldChar w:fldCharType="end"/>
      </w:r>
      <w:r>
        <w:t>.</w:t>
      </w:r>
      <w:r w:rsidRPr="00C5040F">
        <w:t xml:space="preserve"> İkinci</w:t>
      </w:r>
      <w:r>
        <w:t xml:space="preserve"> D</w:t>
      </w:r>
      <w:r w:rsidRPr="00C5040F">
        <w:t xml:space="preserve">ünya </w:t>
      </w:r>
      <w:r>
        <w:t>S</w:t>
      </w:r>
      <w:r w:rsidRPr="00C5040F">
        <w:t>avaşı</w:t>
      </w:r>
      <w:r>
        <w:t>’</w:t>
      </w:r>
      <w:r w:rsidRPr="00C5040F">
        <w:t xml:space="preserve">nda neredeyse 425 bin </w:t>
      </w:r>
      <w:r>
        <w:t>K</w:t>
      </w:r>
      <w:r w:rsidRPr="00C5040F">
        <w:t xml:space="preserve">azak hayatını kaybetmiştir diğer yandan Kazak topraklarına yerleştirilen göçmenler nedeniyle </w:t>
      </w:r>
      <w:r>
        <w:t>K</w:t>
      </w:r>
      <w:r w:rsidRPr="00C5040F">
        <w:t>azak halkı çoğunluk durumunu kaybetmiştir.</w:t>
      </w:r>
      <w:r>
        <w:t xml:space="preserve"> </w:t>
      </w:r>
      <w:r w:rsidRPr="00C5040F">
        <w:t xml:space="preserve">1954-1962 yıllarında 2 milyon göçmen sanayi ve alt yapı hizmetlerinde çalıştırılmak üzere Kazakistan topraklarına yerleştirilmiştir.1959 yılı itibariyle ülkedeki </w:t>
      </w:r>
      <w:r>
        <w:t>K</w:t>
      </w:r>
      <w:r w:rsidRPr="00C5040F">
        <w:t>azak nüfusu %</w:t>
      </w:r>
      <w:r>
        <w:t>’</w:t>
      </w:r>
      <w:r w:rsidRPr="00C5040F">
        <w:t>29,8’e düşerken Rusların oranı %42,7 kadar yükselmiştir.</w:t>
      </w:r>
    </w:p>
    <w:p w14:paraId="0201E6B3" w14:textId="77777777" w:rsidR="0034640B" w:rsidRPr="00C5040F" w:rsidRDefault="0034640B" w:rsidP="000A70F0">
      <w:pPr>
        <w:jc w:val="both"/>
      </w:pPr>
      <w:r w:rsidRPr="00C5040F">
        <w:t xml:space="preserve">Kolonizasyon dönemi Kazakistan’a çok önemli etkileri olmuştur. İlk olarak Kazak nüfusu azınlığa düşmüştür. İkinci olarak yöneticiler </w:t>
      </w:r>
      <w:r>
        <w:t>K</w:t>
      </w:r>
      <w:r w:rsidRPr="00C5040F">
        <w:t xml:space="preserve">azak etnik kökeni dışından belirlenmiştir ve son olarak Kazakistan’ın kuzey bölgesinde hızlı bir sanayileşme gerçekleşmiştir </w:t>
      </w:r>
      <w:r w:rsidRPr="00C5040F">
        <w:fldChar w:fldCharType="begin"/>
      </w:r>
      <w:r w:rsidRPr="00C5040F">
        <w:instrText xml:space="preserve"> ADDIN ZOTERO_ITEM CSL_CITATION {"citationID":"1nxHPclg","properties":{"formattedCitation":"(Alkan,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 xml:space="preserve">. Kolonizasyon döneminde yapılan politikalar Kazakistan’ın devletinin gelecekteki dış politikasını belirleyici olmuştur. Ülkedeki Rus nüfus ve sanayinin Rusya’ya bağımlı olması </w:t>
      </w:r>
      <w:r>
        <w:lastRenderedPageBreak/>
        <w:t>K</w:t>
      </w:r>
      <w:r w:rsidRPr="00C5040F">
        <w:t xml:space="preserve">azak ekonomisinin Rusya ile </w:t>
      </w:r>
      <w:proofErr w:type="gramStart"/>
      <w:r w:rsidRPr="00C5040F">
        <w:t>entegre</w:t>
      </w:r>
      <w:proofErr w:type="gramEnd"/>
      <w:r w:rsidRPr="00C5040F">
        <w:t xml:space="preserve"> hale gelmesine neden olmuştur.</w:t>
      </w:r>
    </w:p>
    <w:p w14:paraId="1DFC1674" w14:textId="19C2D9EE" w:rsidR="0034640B" w:rsidRDefault="0034640B" w:rsidP="000A70F0">
      <w:pPr>
        <w:jc w:val="both"/>
      </w:pPr>
      <w:r w:rsidRPr="00C5040F">
        <w:t xml:space="preserve">Brejnev dönemi ile Sovyetler birliğine bağlı yönetimler arasında ılımlı bir hava söz konusu olmuştur. Kaza </w:t>
      </w:r>
      <w:proofErr w:type="spellStart"/>
      <w:r w:rsidRPr="00C5040F">
        <w:t>Kominist</w:t>
      </w:r>
      <w:proofErr w:type="spellEnd"/>
      <w:r w:rsidRPr="00C5040F">
        <w:t xml:space="preserve"> Partisi Sekreterliğine </w:t>
      </w:r>
      <w:r>
        <w:t>K</w:t>
      </w:r>
      <w:r w:rsidRPr="00C5040F">
        <w:t xml:space="preserve">azak olan </w:t>
      </w:r>
      <w:proofErr w:type="spellStart"/>
      <w:proofErr w:type="gramStart"/>
      <w:r w:rsidRPr="00C5040F">
        <w:t>Dinmuhammed</w:t>
      </w:r>
      <w:proofErr w:type="spellEnd"/>
      <w:r w:rsidRPr="00C5040F">
        <w:t xml:space="preserve">  </w:t>
      </w:r>
      <w:proofErr w:type="spellStart"/>
      <w:r w:rsidRPr="00C5040F">
        <w:t>Kunayev</w:t>
      </w:r>
      <w:proofErr w:type="spellEnd"/>
      <w:proofErr w:type="gramEnd"/>
      <w:r w:rsidRPr="00C5040F">
        <w:t xml:space="preserve"> atanmıştır. </w:t>
      </w:r>
      <w:proofErr w:type="spellStart"/>
      <w:r w:rsidRPr="00C5040F">
        <w:t>Kunayev</w:t>
      </w:r>
      <w:proofErr w:type="spellEnd"/>
      <w:r w:rsidRPr="00C5040F">
        <w:t xml:space="preserve">, Kazak bir yerel yönetici olarak 22 yıllık bir iktidar sürmüştür. Kazak kimliğinin varlığı Sovyetler tarafından sınırlıda olsa dikkate alınmıştır. </w:t>
      </w:r>
      <w:proofErr w:type="spellStart"/>
      <w:r w:rsidRPr="00C5040F">
        <w:t>Kunayev</w:t>
      </w:r>
      <w:proofErr w:type="spellEnd"/>
      <w:r w:rsidRPr="00C5040F">
        <w:t xml:space="preserve"> iktidarı sürecinde yerel ve merkezi yönetim arasında denge sağlamıştır. </w:t>
      </w:r>
      <w:proofErr w:type="spellStart"/>
      <w:r w:rsidRPr="00C5040F">
        <w:t>Kunayev</w:t>
      </w:r>
      <w:proofErr w:type="spellEnd"/>
      <w:r w:rsidRPr="00C5040F">
        <w:t xml:space="preserve"> döneminin başlangıcı olan 1961 yılında parti içindeki Kazak bakan oranı %’33’ken 1981 itibariyle %’60 oranına ulaşmıştır. Bu sebepten </w:t>
      </w:r>
      <w:proofErr w:type="spellStart"/>
      <w:r w:rsidRPr="00C5040F">
        <w:t>Kunayev</w:t>
      </w:r>
      <w:proofErr w:type="spellEnd"/>
      <w:r w:rsidRPr="00C5040F">
        <w:t xml:space="preserve"> döneminde Kazak milliyetçiliği önem kazanmıştır. </w:t>
      </w:r>
      <w:r w:rsidRPr="00C5040F">
        <w:fldChar w:fldCharType="begin"/>
      </w:r>
      <w:r>
        <w:instrText xml:space="preserve"> ADDIN ZOTERO_ITEM CSL_CITATION {"citationID":"8oTPmBjD","properties":{"formattedCitation":"(\\uc0\\u199{}EL\\uc0\\u304{}K &amp; \\uc0\\u199{}EL\\uc0\\u304{}K, 2018)","plainCitation":"(ÇELİK &amp; ÇELİK, 2018)","dontUpdate":true,"noteIndex":0},"citationItems":[{"id":442,"uris":["http://zotero.org/users/10292326/items/JYGUMA7W"],"itemData":{"id":442,"type":"article-journal","container-title":"Kahramanmaraş Sütçü İmam Üniversitesi Sosyal Bilimler Dergisi","issue":"2","page":"735–750","source":"Google Scholar","title":"Soğuk Savaş’ın Bilinmeyen İsyanı: Jeltoksan Ayaklanması","title-short":"Soğuk Savaş’ın Bilinmeyen İsyanı","volume":"15","author":[{"family":"ÇELİK","given":"Mustafa Edip"},{"family":"ÇELİK","given":"Recep"}],"issued":{"date-parts":[["2018"]]}}}],"schema":"https://github.com/citation-style-language/schema/raw/master/csl-citation.json"} </w:instrText>
      </w:r>
      <w:r w:rsidRPr="00C5040F">
        <w:fldChar w:fldCharType="separate"/>
      </w:r>
      <w:r w:rsidRPr="00C5040F">
        <w:t>(Çelik &amp; Çelik, 2018)</w:t>
      </w:r>
      <w:r w:rsidRPr="00C5040F">
        <w:fldChar w:fldCharType="end"/>
      </w:r>
      <w:r w:rsidRPr="00C5040F">
        <w:t xml:space="preserve">. </w:t>
      </w:r>
      <w:proofErr w:type="spellStart"/>
      <w:r w:rsidRPr="00C5040F">
        <w:t>Kunayev</w:t>
      </w:r>
      <w:proofErr w:type="spellEnd"/>
      <w:r w:rsidRPr="00C5040F">
        <w:t xml:space="preserve"> dönemi için sosyalist sistem içerisinde geleneksel yönetim dönemi denmiştir</w:t>
      </w:r>
    </w:p>
    <w:p w14:paraId="4EC727A0" w14:textId="77777777" w:rsidR="0007275E" w:rsidRPr="00C5040F" w:rsidRDefault="0007275E" w:rsidP="000A70F0">
      <w:pPr>
        <w:jc w:val="both"/>
        <w:rPr>
          <w:highlight w:val="yellow"/>
        </w:rPr>
      </w:pPr>
    </w:p>
    <w:p w14:paraId="6AF6272C" w14:textId="77777777" w:rsidR="0034640B" w:rsidRDefault="0034640B" w:rsidP="000A70F0">
      <w:pPr>
        <w:jc w:val="both"/>
      </w:pPr>
      <w:r w:rsidRPr="00C5040F">
        <w:t>2 Mart</w:t>
      </w:r>
      <w:r>
        <w:t xml:space="preserve"> </w:t>
      </w:r>
      <w:r w:rsidRPr="00C5040F">
        <w:t xml:space="preserve">1954 yılında SBKP konseyinde </w:t>
      </w:r>
      <w:proofErr w:type="spellStart"/>
      <w:proofErr w:type="gramStart"/>
      <w:r w:rsidRPr="00C5040F">
        <w:t>Kuruşçev</w:t>
      </w:r>
      <w:proofErr w:type="spellEnd"/>
      <w:proofErr w:type="gramEnd"/>
      <w:r w:rsidRPr="00C5040F">
        <w:t xml:space="preserve"> kırsal alanların gelişmesi ve ihtiyaç duyulan üretime ulaşmak için </w:t>
      </w:r>
      <w:r w:rsidRPr="00C5040F">
        <w:rPr>
          <w:i/>
          <w:iCs/>
        </w:rPr>
        <w:t xml:space="preserve">‘’Bakir Topraklar’’ </w:t>
      </w:r>
      <w:r w:rsidRPr="00C5040F">
        <w:t xml:space="preserve">planını uygulamaya koymuştur. Sovyetler Birliği işlenmemiş toprakların işlenerek tarıma açılması böylece Sovyetlerin tarım ürünü ekilen arazi oranını%’30’a yükseltmeyi planlanmıştır. Planın en etkili uygulandığı bölge Kazakistan stepleri olmuştur.13 milyon hektar olarak belirlenen bakir toprakların 6,5 milyonu Kazakistan topraklarıdır Rusya ve Ukrayna'dan gelen binlerce gönüllü kendilerine tesis edilen topraklarda tarımsal üretime başlamıştır. Devlet göç edenlerin Kazakistan topraklarında hayat kurmaları için yadım parası ev kredisi imkanları sağlamıştır. Kazakistan’ın nüfusunda ciddi bir artış Kazak sanayisinde canlanma yaşanmıştır </w:t>
      </w:r>
      <w:r w:rsidRPr="00C5040F">
        <w:fldChar w:fldCharType="begin"/>
      </w:r>
      <w:r w:rsidRPr="00C5040F">
        <w:instrText xml:space="preserve"> ADDIN ZOTERO_ITEM CSL_CITATION {"citationID":"YIduKdBH","properties":{"formattedCitation":"(Zhetibayev, 2017)","plainCitation":"(Zhetibayev, 2017)","noteIndex":0},"citationItems":[{"id":421,"uris":["http://zotero.org/users/10292326/items/BCNZUJ26"],"itemData":{"id":421,"type":"article-journal","abstract":"The most important policies applied to the Kazakh Soviet Socialist Republic during Khrushev’s period was Copper Soil Project and the creating of a Complex industrial centers. Through these policies, there have been a number of developments achieved in Kazakhstan's agriculture and industry. The kinds of policies carried out during Khrushev’s period is tried to be explained in this article. Khrushev's famous project in this context i.e. the Copper Soil Project has been shown to contribute greatly to the development of Kazakh SSR’s agriculture. And also moderate economic reforms such as increment in the purchase price of agricultural products and erasing the debt of the kolkhozes was also noted.Later, with the establishment of complex industrial enterprises, the Kazakh SSR experienced some industrial developments but however, it tried to explain that it remained a predominantly raw material-centered region.","container-title":"Bulletin of Economic Theory and Analysis","DOI":"10.25229/beta.293239","ISSN":"2548-0707","issue":"2","language":"tr","page":"169-187","source":"DOI.org (Crossref)","title":"The Economic Policies Applied To The Kazakh Soviet Socialist Republic In Khrushev’s Period","volume":"2","author":[{"family":"Zhetibayev","given":"Zhanture"}],"issued":{"date-parts":[["2017",6,30]]}}}],"schema":"https://github.com/citation-style-language/schema/raw/master/csl-citation.json"} </w:instrText>
      </w:r>
      <w:r w:rsidRPr="00C5040F">
        <w:fldChar w:fldCharType="separate"/>
      </w:r>
      <w:r w:rsidRPr="00C5040F">
        <w:t>(Zhetibayev, 2017)</w:t>
      </w:r>
      <w:r w:rsidRPr="00C5040F">
        <w:fldChar w:fldCharType="end"/>
      </w:r>
      <w:r w:rsidRPr="00C5040F">
        <w:t>.  Fakat Kazakistan stepleri tarıma elverişli olmadığı için topraklarda erozyonla birlikte çölleşme başlamıştır. 4 milyon tarım arazisi üretim yapılamaz hale gelmiştir. 12 milyonluk hektar alan büyük zara</w:t>
      </w:r>
      <w:r>
        <w:t>r</w:t>
      </w:r>
      <w:r w:rsidRPr="00C5040F">
        <w:t xml:space="preserve"> görmüştür. Bakir topraklar projesi Kazakistan'ın bozkırlarını yok etmiştir. Sovyetlerin sanayi ve endüstri çalışmalarını kuzey sınırında yoğunlaştırması Kazak ve Rus ekonomilerini birbirinden ayrılmaz hala getirmiştir.</w:t>
      </w:r>
    </w:p>
    <w:p w14:paraId="6B494D2D" w14:textId="77777777" w:rsidR="0007275E" w:rsidRPr="00C5040F" w:rsidRDefault="0007275E" w:rsidP="000A70F0">
      <w:pPr>
        <w:jc w:val="both"/>
      </w:pPr>
    </w:p>
    <w:p w14:paraId="0049BB53" w14:textId="77777777" w:rsidR="0034640B" w:rsidRDefault="0034640B" w:rsidP="000A70F0">
      <w:pPr>
        <w:jc w:val="both"/>
      </w:pPr>
      <w:r w:rsidRPr="00C5040F">
        <w:t xml:space="preserve">Sovyetler Birliğinin nükleer deneme tesisleri </w:t>
      </w:r>
      <w:r>
        <w:t>D</w:t>
      </w:r>
      <w:r w:rsidRPr="00C5040F">
        <w:t xml:space="preserve">oğu-Kazakistan topraklarında yer almaktadır ve nerdeyse 18.500 km’lik bir alanı kaplamaktadır. Bölgenin adı </w:t>
      </w:r>
      <w:proofErr w:type="spellStart"/>
      <w:r w:rsidRPr="00C5040F">
        <w:t>Semipalatinsk</w:t>
      </w:r>
      <w:proofErr w:type="spellEnd"/>
      <w:r w:rsidRPr="00C5040F">
        <w:t xml:space="preserve"> (Kazakçada </w:t>
      </w:r>
      <w:proofErr w:type="spellStart"/>
      <w:r w:rsidRPr="00C5040F">
        <w:t>Semey</w:t>
      </w:r>
      <w:proofErr w:type="spellEnd"/>
      <w:r w:rsidRPr="00C5040F">
        <w:t xml:space="preserve">) ve nükleer deney yapılan alan ile şehir merkezi arasında 150 km vardır. İlk deney 29 Ağustos 1949 tarihinde yapılmıştır ve bu tarihten itibaren Kazakistan'ının </w:t>
      </w:r>
      <w:proofErr w:type="spellStart"/>
      <w:r w:rsidRPr="00C5040F">
        <w:t>Semipalatinsk</w:t>
      </w:r>
      <w:proofErr w:type="spellEnd"/>
      <w:r w:rsidRPr="00C5040F">
        <w:t xml:space="preserve"> bölgesi yeraltı ve yer üstü nükleer denememeleri bölgesi olarak kullanılmıştır. İlerleyen 40 yıl içinde bölgede 456 nükleer deney gerçekleştirilmiştir.  Bölgede yavşanların %’95’i bu nüfus neredeyse 1,5 milyon insana tekabül etmektedir yer altı denemelerinden ve etrafa yayılan radyasyondan etkilemiştir. Radyasyonlar sadece insanları değil bölgenin tarım arazileri ve otlaklardan beslenen hayvanlarında zarar görmesine neden olmuştur. Bu bölgede yetişen bitki ve üretilen hayvansal gıdalar insan sağlığını tehdit etmeye başlamıştır. Bebek ölümleri, göğüs ve kalp hastalıları artmıştır sadece kazak halkı değil bölgede yaşayan Rus, Alman ve Çeçenlerde radyasyona maruz kalmıştır. 1949 yılında üst deneme, 1963 yılında yer altı denmeleri sona ermiştir </w:t>
      </w:r>
      <w:r w:rsidRPr="00C5040F">
        <w:fldChar w:fldCharType="begin"/>
      </w:r>
      <w:r w:rsidRPr="00C5040F">
        <w:instrText xml:space="preserve"> ADDIN ZOTERO_ITEM CSL_CITATION {"citationID":"eacmTUxc","properties":{"formattedCitation":"(Grosche, 2002)","plainCitation":"(Grosche, 2002)","noteIndex":0},"citationItems":[{"id":425,"uris":["http://zotero.org/users/10292326/items/97FDR595"],"itemData":{"id":425,"type":"article-journal","container-title":"Radiation and Environmental Biophysics","DOI":"10.1007/s00411-002-0141-z","ISSN":"0301-634X","issue":"1","journalAbbreviation":"Radiat Environ Biophys","language":"eng","note":"PMID: 12014411","page":"53-55","source":"PubMed","title":"Semipalatinsk test site: introduction","title-short":"Semipalatinsk test site","volume":"41","author":[{"family":"Grosche","given":"B."}],"issued":{"date-parts":[["2002",3]]}}}],"schema":"https://github.com/citation-style-language/schema/raw/master/csl-citation.json"} </w:instrText>
      </w:r>
      <w:r w:rsidRPr="00C5040F">
        <w:fldChar w:fldCharType="separate"/>
      </w:r>
      <w:r w:rsidRPr="00C5040F">
        <w:t>(Grosche, 2002)</w:t>
      </w:r>
      <w:r w:rsidRPr="00C5040F">
        <w:fldChar w:fldCharType="end"/>
      </w:r>
      <w:r w:rsidRPr="00C5040F">
        <w:t>.</w:t>
      </w:r>
    </w:p>
    <w:p w14:paraId="2825A4CE" w14:textId="77777777" w:rsidR="0007275E" w:rsidRPr="00C5040F" w:rsidRDefault="0007275E" w:rsidP="000A70F0">
      <w:pPr>
        <w:jc w:val="both"/>
      </w:pPr>
    </w:p>
    <w:p w14:paraId="27A407B1" w14:textId="77777777" w:rsidR="0034640B" w:rsidRDefault="0034640B" w:rsidP="000A70F0">
      <w:pPr>
        <w:jc w:val="both"/>
      </w:pPr>
      <w:r w:rsidRPr="00C5040F">
        <w:t>Brejnev–</w:t>
      </w:r>
      <w:proofErr w:type="spellStart"/>
      <w:r w:rsidRPr="00C5040F">
        <w:t>Kunayev</w:t>
      </w:r>
      <w:proofErr w:type="spellEnd"/>
      <w:r w:rsidRPr="00C5040F">
        <w:t xml:space="preserve"> yönetimi sürecinde merkezi yönetim ve yerel yönetim arasında denge gözetilmiştir.</w:t>
      </w:r>
      <w:r>
        <w:t xml:space="preserve"> </w:t>
      </w:r>
      <w:r w:rsidRPr="00C5040F">
        <w:t xml:space="preserve">1985 yılında Gorbaçov’un başa gelmesiyle birlikte bu denge bozulmuştur. Gorbaçov’un glasnost ve perestroyka politikaları </w:t>
      </w:r>
      <w:r>
        <w:t>K</w:t>
      </w:r>
      <w:r w:rsidRPr="00C5040F">
        <w:t xml:space="preserve">azak halkının tepkisini çekmiştir ve </w:t>
      </w:r>
      <w:r>
        <w:t>K</w:t>
      </w:r>
      <w:r w:rsidRPr="00C5040F">
        <w:t xml:space="preserve">azak milliyetçiliğinin yükselişe geçmesine sebep olmuştur. Gorbaçov ilk olarak Brejnev yanlısı olan yöneticileri tasviye etme ve bozulan ekonomiyi düzeltme kararı almıştır. Kazak ekonomisini düzeltmek ve merkezi otoriteyi güçlendirmek </w:t>
      </w:r>
      <w:r>
        <w:t xml:space="preserve">için </w:t>
      </w:r>
      <w:r w:rsidRPr="00C5040F">
        <w:t xml:space="preserve">Kazakistan yönetimine </w:t>
      </w:r>
      <w:proofErr w:type="spellStart"/>
      <w:r w:rsidRPr="00C5040F">
        <w:t>Kunayev</w:t>
      </w:r>
      <w:proofErr w:type="spellEnd"/>
      <w:r w:rsidRPr="00C5040F">
        <w:t xml:space="preserve"> yerine Kazak olmayan </w:t>
      </w:r>
      <w:proofErr w:type="spellStart"/>
      <w:r w:rsidRPr="00C5040F">
        <w:t>Genady</w:t>
      </w:r>
      <w:proofErr w:type="spellEnd"/>
      <w:r w:rsidRPr="00C5040F">
        <w:t xml:space="preserve"> </w:t>
      </w:r>
      <w:proofErr w:type="spellStart"/>
      <w:r w:rsidRPr="00C5040F">
        <w:t>Kolbin’i</w:t>
      </w:r>
      <w:proofErr w:type="spellEnd"/>
      <w:r w:rsidRPr="00C5040F">
        <w:t xml:space="preserve"> atamıştır. </w:t>
      </w:r>
      <w:proofErr w:type="spellStart"/>
      <w:r w:rsidRPr="00C5040F">
        <w:t>Gorboçov</w:t>
      </w:r>
      <w:proofErr w:type="spellEnd"/>
      <w:r>
        <w:t>,</w:t>
      </w:r>
      <w:r w:rsidRPr="00C5040F">
        <w:t xml:space="preserve"> </w:t>
      </w:r>
      <w:proofErr w:type="spellStart"/>
      <w:r w:rsidRPr="00C5040F">
        <w:t>Kolbin’nin</w:t>
      </w:r>
      <w:proofErr w:type="spellEnd"/>
      <w:r w:rsidRPr="00C5040F">
        <w:t xml:space="preserve"> bozulan Kazak ekonomisini </w:t>
      </w:r>
      <w:r w:rsidRPr="00C5040F">
        <w:lastRenderedPageBreak/>
        <w:t xml:space="preserve">iyileştirmesi için göreve atmıştır. Ancak </w:t>
      </w:r>
      <w:proofErr w:type="spellStart"/>
      <w:r w:rsidRPr="00C5040F">
        <w:t>Kunayev</w:t>
      </w:r>
      <w:proofErr w:type="spellEnd"/>
      <w:r w:rsidRPr="00C5040F">
        <w:t xml:space="preserve"> döneminde yerelleşen otorite ile Rus bir yönetici arasında sorunlar olmuştur. </w:t>
      </w:r>
      <w:proofErr w:type="spellStart"/>
      <w:r w:rsidRPr="00C5040F">
        <w:t>Kunayev</w:t>
      </w:r>
      <w:proofErr w:type="spellEnd"/>
      <w:r w:rsidRPr="00C5040F">
        <w:t xml:space="preserve"> kendi döneminde Kazak otoritelerin güçlenmesi ve milliyetçiliğin artması için gerekli zemini yaratmıştır. Diğer yandan zengin petrol ve doğal gaz kaynaklarına rağmen Kazakistan, Sovyetler birliğinin pamuk ve buğday üreticisi konumuna gelmiştir. Yer altı kaynaklarının Rusya kontrolünde olması bozulan ekonomi </w:t>
      </w:r>
      <w:r>
        <w:t>K</w:t>
      </w:r>
      <w:r w:rsidRPr="00C5040F">
        <w:t xml:space="preserve">azak halkına Sovyetlerin sosyalist bir topluluk yaratma hayalinin gerçeklikten uzak olduğunu, Kazakistan’ı fakirliğe sürüklediğini göstermiştir </w:t>
      </w:r>
      <w:r w:rsidRPr="00C5040F">
        <w:fldChar w:fldCharType="begin"/>
      </w:r>
      <w:r w:rsidRPr="00C5040F">
        <w:instrText xml:space="preserve"> ADDIN ZOTERO_ITEM CSL_CITATION {"citationID":"f9FoCInm","properties":{"formattedCitation":"(Ba\\uc0\\u351{}aran, 2017)","plainCitation":"(Başaran, 2017)","noteIndex":0},"citationItems":[{"id":435,"uris":["http://zotero.org/users/10292326/items/95P5AWSD"],"itemData":{"id":435,"type":"article-journal","container-title":"Bölgesel Araştırmalar Dergisi","issue":"1","note":"publisher: Mehmet Seyfettin Erol","page":"57–88","source":"Google Scholar","title":"Jeltoksan ayaklanması ve bu ayaklanmanın Kazakistan’ın bağımsızlığındaki rolü","volume":"1","author":[{"family":"Başaran","given":"Doğacan"}],"issued":{"date-parts":[["2017"]]}}}],"schema":"https://github.com/citation-style-language/schema/raw/master/csl-citation.json"} </w:instrText>
      </w:r>
      <w:r w:rsidRPr="00C5040F">
        <w:fldChar w:fldCharType="separate"/>
      </w:r>
      <w:r w:rsidRPr="00C5040F">
        <w:t>(Başaran, 2017)</w:t>
      </w:r>
      <w:r w:rsidRPr="00C5040F">
        <w:fldChar w:fldCharType="end"/>
      </w:r>
      <w:r w:rsidRPr="00C5040F">
        <w:t>.</w:t>
      </w:r>
    </w:p>
    <w:p w14:paraId="215C6D25" w14:textId="77777777" w:rsidR="0007275E" w:rsidRPr="00C5040F" w:rsidRDefault="0007275E" w:rsidP="000A70F0">
      <w:pPr>
        <w:jc w:val="both"/>
      </w:pPr>
    </w:p>
    <w:p w14:paraId="5AC7CF0B" w14:textId="632F49F0" w:rsidR="0034640B" w:rsidRDefault="0034640B" w:rsidP="000A70F0">
      <w:pPr>
        <w:jc w:val="both"/>
      </w:pPr>
      <w:r w:rsidRPr="00C5040F">
        <w:t xml:space="preserve">Netice olarak Kazak halkı arasında yaygın kitle gösterileri patlak vermiştir ve </w:t>
      </w:r>
      <w:proofErr w:type="spellStart"/>
      <w:r w:rsidRPr="00C5040F">
        <w:t>Jeltoksan</w:t>
      </w:r>
      <w:proofErr w:type="spellEnd"/>
      <w:r w:rsidRPr="00C5040F">
        <w:t xml:space="preserve"> </w:t>
      </w:r>
      <w:r>
        <w:t>A</w:t>
      </w:r>
      <w:r w:rsidRPr="00C5040F">
        <w:t xml:space="preserve">yaklanmaları yaşanmıştır. Sovyet enternasyonalizminin örnek otoritesi olan Kazakistan’da </w:t>
      </w:r>
      <w:proofErr w:type="spellStart"/>
      <w:r w:rsidRPr="00C5040F">
        <w:t>glasnot</w:t>
      </w:r>
      <w:proofErr w:type="spellEnd"/>
      <w:r w:rsidRPr="00C5040F">
        <w:t>(şeffaflık) nedeniyle her şey med</w:t>
      </w:r>
      <w:r>
        <w:t>y</w:t>
      </w:r>
      <w:r w:rsidRPr="00C5040F">
        <w:t>anın önünde gerçeklemiştir. Sovyetlerin içinde yaşanan etnik sorunlar bütün dünyanın gözleri önüne serilmiştir ve Sovyet bir toplum oluşturma retoriğinin bir hayalden ibaret olduğunu göstermiştir</w:t>
      </w:r>
      <w:r>
        <w:t xml:space="preserve"> </w:t>
      </w:r>
      <w:r w:rsidRPr="00C5040F">
        <w:fldChar w:fldCharType="begin"/>
      </w:r>
      <w:r w:rsidRPr="00C5040F">
        <w:instrText xml:space="preserve"> ADDIN ZOTERO_ITEM CSL_CITATION {"citationID":"pzpf47nw","properties":{"formattedCitation":"(Alkan,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t xml:space="preserve">. </w:t>
      </w:r>
      <w:r w:rsidRPr="00C5040F">
        <w:t>1986 yılında meydana gelen ayaklanmalarda ‘’</w:t>
      </w:r>
      <w:r w:rsidRPr="00C5040F">
        <w:rPr>
          <w:b/>
          <w:bCs/>
          <w:i/>
          <w:iCs/>
        </w:rPr>
        <w:t>Kazakistan kazaklarındır, ‘’</w:t>
      </w:r>
      <w:proofErr w:type="spellStart"/>
      <w:r w:rsidRPr="00C5040F">
        <w:rPr>
          <w:b/>
          <w:bCs/>
          <w:i/>
          <w:iCs/>
        </w:rPr>
        <w:t>Kolbin</w:t>
      </w:r>
      <w:proofErr w:type="spellEnd"/>
      <w:r w:rsidRPr="00C5040F">
        <w:rPr>
          <w:b/>
          <w:bCs/>
          <w:i/>
          <w:iCs/>
        </w:rPr>
        <w:t xml:space="preserve"> Rusya'ya geri dön’</w:t>
      </w:r>
      <w:r w:rsidRPr="00C5040F">
        <w:rPr>
          <w:b/>
          <w:bCs/>
        </w:rPr>
        <w:t xml:space="preserve"> </w:t>
      </w:r>
      <w:r w:rsidRPr="00C5040F">
        <w:t xml:space="preserve">’sloganları kullanılmıştır. Ayaklanmalarda binlerce insan hayatını kaybetmiştir </w:t>
      </w:r>
      <w:r w:rsidRPr="00C5040F">
        <w:fldChar w:fldCharType="begin"/>
      </w:r>
      <w:r w:rsidRPr="00C5040F">
        <w:instrText xml:space="preserve"> ADDIN ZOTERO_ITEM CSL_CITATION {"citationID":"whmaUSEK","properties":{"formattedCitation":"(Hizmetli, 2011)","plainCitation":"(Hizmetli, 2011)","noteIndex":0},"citationItems":[{"id":445,"uris":["http://zotero.org/users/10292326/items/ZD6SW6LH"],"itemData":{"id":445,"type":"article-journal","container-title":"İstem","issue":"17","page":"23–43","source":"Google Scholar","title":"Kazak Ulusu ve Kazak Tarihi Üzerine: Dünü ve Bugünü","title-short":"Kazak Ulusu ve Kazak Tarihi Üzerine","author":[{"family":"Hizmetli","given":"Sabri"}],"issued":{"date-parts":[["2011"]]}}}],"schema":"https://github.com/citation-style-language/schema/raw/master/csl-citation.json"} </w:instrText>
      </w:r>
      <w:r w:rsidRPr="00C5040F">
        <w:fldChar w:fldCharType="separate"/>
      </w:r>
      <w:r w:rsidRPr="00C5040F">
        <w:t>(Hizmetli, 2011)</w:t>
      </w:r>
      <w:r w:rsidRPr="00C5040F">
        <w:fldChar w:fldCharType="end"/>
      </w:r>
      <w:r>
        <w:t>.</w:t>
      </w:r>
    </w:p>
    <w:p w14:paraId="69AFC5C7" w14:textId="77777777" w:rsidR="0007275E" w:rsidRPr="00C5040F" w:rsidRDefault="0007275E" w:rsidP="000A70F0">
      <w:pPr>
        <w:jc w:val="both"/>
      </w:pPr>
    </w:p>
    <w:p w14:paraId="3E5EB4A2" w14:textId="77777777" w:rsidR="0034640B" w:rsidRDefault="0034640B" w:rsidP="0007275E">
      <w:pPr>
        <w:jc w:val="both"/>
      </w:pPr>
      <w:r w:rsidRPr="00C5040F">
        <w:t xml:space="preserve">1987 yılında Gorbaçov komünist parti yönetimine bazı Kazakları atayarak etnik tepkiyi frenlemeye çalışmıştır. </w:t>
      </w:r>
      <w:proofErr w:type="spellStart"/>
      <w:r w:rsidRPr="00C5040F">
        <w:t>Kolbin</w:t>
      </w:r>
      <w:proofErr w:type="spellEnd"/>
      <w:r w:rsidRPr="00C5040F">
        <w:t xml:space="preserve"> ise yönetimde Kazakların hassasiyetine önem veren sosyal reformlar düzenleyerek ılımlı yönetici profilini çizmeye çalışmıştır </w:t>
      </w:r>
      <w:r w:rsidRPr="00C5040F">
        <w:fldChar w:fldCharType="begin"/>
      </w:r>
      <w:r w:rsidRPr="00C5040F">
        <w:instrText xml:space="preserve"> ADDIN ZOTERO_ITEM CSL_CITATION {"citationID":"xpryaKJ2","properties":{"formattedCitation":"(Curtis, 1996)","plainCitation":"(Curtis, 1996)","noteIndex":0},"citationItems":[{"id":414,"uris":["http://zotero.org/users/10292326/items/7739UFK6"],"itemData":{"id":414,"type":"book","publisher":"Federal Research Division","source":"Google Scholar","title":"Kazakstan: A Country Study","title-short":"Kazakstan","author":[{"family":"Curtis","given":"Glenn Eldon"}],"issued":{"date-parts":[["1996"]]}}}],"schema":"https://github.com/citation-style-language/schema/raw/master/csl-citation.json"} </w:instrText>
      </w:r>
      <w:r w:rsidRPr="00C5040F">
        <w:fldChar w:fldCharType="separate"/>
      </w:r>
      <w:r w:rsidRPr="00C5040F">
        <w:t>(Curtis, 1996)</w:t>
      </w:r>
      <w:r w:rsidRPr="00C5040F">
        <w:fldChar w:fldCharType="end"/>
      </w:r>
      <w:r w:rsidRPr="00C5040F">
        <w:t xml:space="preserve">. Ancak KZKP içerisinde yeterli otorite kuramamıştır. Gorbaçov’un iyileştirme çabalarına rağmen ekonomide kötüye gitmeye devam etmiştir. Bu ortam Nazarbayev’in yükselişini hızlandırmıştır. KZKP içinde otorite sağlayan Nazarbayev Gorbaçev'inde dikkatini çekmiştir. Gorbaçov, 1989 yılında </w:t>
      </w:r>
      <w:proofErr w:type="spellStart"/>
      <w:r w:rsidRPr="00C5040F">
        <w:t>Kolbin’i</w:t>
      </w:r>
      <w:proofErr w:type="spellEnd"/>
      <w:r w:rsidRPr="00C5040F">
        <w:t xml:space="preserve"> görevden alarak Nazarbayev'i birinci sekreter olarak atamıştır </w:t>
      </w:r>
      <w:r w:rsidRPr="00C5040F">
        <w:fldChar w:fldCharType="begin"/>
      </w:r>
      <w:r w:rsidRPr="00C5040F">
        <w:instrText xml:space="preserve"> ADDIN ZOTERO_ITEM CSL_CITATION {"citationID":"WkrE1hN6","properties":{"formattedCitation":"(Bowyer, 2008)","plainCitation":"(Bowyer, 2008)","noteIndex":0},"citationItems":[{"id":429,"uris":["http://zotero.org/users/10292326/items/8HVDZ6Y2"],"itemData":{"id":429,"type":"book","publisher":"Central Asia-Caucasus Institute &amp; Silk Road Studies Program Washington, DC","source":"Google Scholar","title":"Parliament and political parties in Kazakhstan","author":[{"family":"Bowyer","given":"Anthony Clive"}],"issued":{"date-parts":[["2008"]]}}}],"schema":"https://github.com/citation-style-language/schema/raw/master/csl-citation.json"} </w:instrText>
      </w:r>
      <w:r w:rsidRPr="00C5040F">
        <w:fldChar w:fldCharType="separate"/>
      </w:r>
      <w:r w:rsidRPr="00C5040F">
        <w:t>(Bowyer, 2008)</w:t>
      </w:r>
      <w:r w:rsidRPr="00C5040F">
        <w:fldChar w:fldCharType="end"/>
      </w:r>
      <w:r w:rsidRPr="00C5040F">
        <w:t>.</w:t>
      </w:r>
    </w:p>
    <w:p w14:paraId="52448A4F" w14:textId="77777777" w:rsidR="0034640B" w:rsidRPr="00C5040F" w:rsidRDefault="0034640B" w:rsidP="000A70F0">
      <w:pPr>
        <w:ind w:firstLine="348"/>
        <w:jc w:val="both"/>
      </w:pPr>
    </w:p>
    <w:p w14:paraId="2A7AE246" w14:textId="77777777" w:rsidR="0034640B" w:rsidRPr="0007275E" w:rsidRDefault="0034640B" w:rsidP="000A70F0">
      <w:pPr>
        <w:jc w:val="both"/>
        <w:rPr>
          <w:b/>
          <w:bCs/>
        </w:rPr>
      </w:pPr>
      <w:r w:rsidRPr="0007275E">
        <w:rPr>
          <w:b/>
          <w:bCs/>
        </w:rPr>
        <w:t>Nazarbayev Dönemi Rusya-Kazakistan İlişkisi</w:t>
      </w:r>
    </w:p>
    <w:p w14:paraId="47476EA5" w14:textId="28346B28" w:rsidR="0034640B" w:rsidRPr="00C5040F" w:rsidRDefault="0034640B" w:rsidP="0007275E">
      <w:pPr>
        <w:jc w:val="both"/>
      </w:pPr>
      <w:r w:rsidRPr="00C5040F">
        <w:t>Gorbaçov’un Sovyetlerin başına gelmesiyle birlikte Kazakistan’ın başına da Nazarbayev yönetimi gelmiştir. KZKP içinde belirli otoriteye sahip olan Nazarbayev birinci sekreter olarak atandığında et</w:t>
      </w:r>
      <w:r>
        <w:t>nik</w:t>
      </w:r>
      <w:r w:rsidRPr="00C5040F">
        <w:t>, ekonomik, askeri ve stratejik olmak üzere üç sorun ile yüzleşmek durumunda kalmıştır. Geçmişten Nazarbayev dönemine kadar Rusların Kazakistan üzerinde uyguladığı göç politikaları Kazakistan’ın etnik yapısını büyük oranda değiştirmiştir.1989 yılı verilerine göre ülkede 16,5 milyon genel nüfus vardır. Bu nüfus içerisinde Kazaklar bütün ülkenin %’39</w:t>
      </w:r>
      <w:r>
        <w:t>,</w:t>
      </w:r>
      <w:r w:rsidRPr="00C5040F">
        <w:t xml:space="preserve">7’sini oluştururken ülkenin %’37,8 Rus, %’5,4 Ukraynalı, %’1,1 </w:t>
      </w:r>
      <w:proofErr w:type="spellStart"/>
      <w:r w:rsidRPr="00C5040F">
        <w:t>Belarus</w:t>
      </w:r>
      <w:proofErr w:type="spellEnd"/>
      <w:r w:rsidRPr="00C5040F">
        <w:t xml:space="preserve"> ve %’5,8 Alman nüfusu oluşturmaktadır </w:t>
      </w:r>
      <w:r w:rsidRPr="00C5040F">
        <w:fldChar w:fldCharType="begin"/>
      </w:r>
      <w:r w:rsidRPr="00C5040F">
        <w:instrText xml:space="preserve"> ADDIN ZOTERO_ITEM CSL_CITATION {"citationID":"LT8WvpdX","properties":{"formattedCitation":"(Schatz, 2000)","plainCitation":"(Schatz, 2000)","noteIndex":0},"citationItems":[{"id":448,"uris":["http://zotero.org/users/10292326/items/SEV6F7PC"],"itemData":{"id":448,"type":"article-journal","container-title":"Europe-Asia Studies","DOI":"10.1080/713663070","ISSN":"0966-8136, 1465-3427","issue":"3","journalAbbreviation":"Europe-Asia Studies","language":"en","page":"489-506","source":"DOI.org (Crossref)","title":"The Politics of Multiple Identities: Lineage and Ethnicity in Kazakhstan","title-short":"The Politics of Multiple Identities","volume":"52","author":[{"family":"Schatz","given":"Edward"}],"issued":{"date-parts":[["2000",5]]}}}],"schema":"https://github.com/citation-style-language/schema/raw/master/csl-citation.json"} </w:instrText>
      </w:r>
      <w:r w:rsidRPr="00C5040F">
        <w:fldChar w:fldCharType="separate"/>
      </w:r>
      <w:r w:rsidRPr="00C5040F">
        <w:t>(Schatz, 2000)</w:t>
      </w:r>
      <w:r w:rsidRPr="00C5040F">
        <w:fldChar w:fldCharType="end"/>
      </w:r>
      <w:r w:rsidRPr="00C5040F">
        <w:t xml:space="preserve">. Görüldüğü üzere ülke nüfusunun yarıdan fazlası çoğunluk Rus kökenli olmak üzere yabancıdır. Yabancı nüfus ve </w:t>
      </w:r>
      <w:r>
        <w:t>K</w:t>
      </w:r>
      <w:r w:rsidRPr="00C5040F">
        <w:t xml:space="preserve">azak nüfus arasındaki problem ise </w:t>
      </w:r>
      <w:r>
        <w:t>K</w:t>
      </w:r>
      <w:r w:rsidRPr="00C5040F">
        <w:t>azaklar kırsal kesimde çiftçilik ve hayvancılık ile uğraşırken yabancı nüfus ülkenin kuzeyinde yer alan sanayi kentlerinde ya da yüksek üretimli çiftliklerde yaşamaktadır. Ülkenin nitelikli iş gücü yabancı nüfustan karşılandığı için Kazak halkı kırsal kesimde kalmıştır bu durum nüfusun dağılımında nitelik bakımından eşitsizlik yaratırken ülkenin sanayi ve yüksek kapasiteli çiftlik üretimlerinde yabancı nüfusun nitelikli iş gücüne bağımlı kılmıştır</w:t>
      </w:r>
      <w:r>
        <w:t xml:space="preserve"> </w:t>
      </w:r>
      <w:r w:rsidRPr="00C5040F">
        <w:fldChar w:fldCharType="begin"/>
      </w:r>
      <w:r w:rsidRPr="00C5040F">
        <w:instrText xml:space="preserve"> ADDIN ZOTERO_ITEM CSL_CITATION {"citationID":"mmj9nbDJ","properties":{"formattedCitation":"(Alkan,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 xml:space="preserve">. Ülkedeki yabancı nüfus Kazakistan’ın hem iç hem de dış siyasetinde belirleyici faktörlerden biri haline gelmiştir. Kazak siyasetçiler siyaset söylemlerinde hem Kazak halkının hem de yabancı nüfusu kapsayıcı ılımlı politikalar izlemek durumunda kalmıştır. Çünkü ülke nüfusunun yarısını oluşturan Ruslar coğrafik olarak ülkenin kuzey kesimlerine yani Rusya ile sınır komşusu olduğu yerlerde ikamet etmektedir. Bu durum hem Rusya’ya Kazakistan’ın iç işlerine müdahale etme hakkı vermiştir hem de ülkedeki Rusların Rusya ile birleşme isteğinin önüne geçmeyi zorunlu kılmıştır. Bu sebepten Nazarbayev dönemi Rusya ile uyumlu politikaların izlendiği bir </w:t>
      </w:r>
      <w:r w:rsidRPr="00C5040F">
        <w:lastRenderedPageBreak/>
        <w:t>dönem olmuştur.</w:t>
      </w:r>
    </w:p>
    <w:p w14:paraId="1A6C9A44" w14:textId="5638E889" w:rsidR="0034640B" w:rsidRDefault="0034640B" w:rsidP="000A70F0">
      <w:pPr>
        <w:jc w:val="both"/>
      </w:pPr>
      <w:r w:rsidRPr="00C5040F">
        <w:t>Sovyetler döneminde kalan ikinci önemli sorun ise Kazakistan’ın sanayisinin Rusya’ya bağımlı olmasıdır. İkinci dünya savaşında Nazi tehlikesine karşı Sovyetlerin sanayi varlığı Kazakistan’ın kuzeyine taşınmıştır. Kazakistan</w:t>
      </w:r>
      <w:r>
        <w:t>,</w:t>
      </w:r>
      <w:r w:rsidRPr="00C5040F">
        <w:t xml:space="preserve"> Rus yöneticiler açısından tarım ve sanayide vazgeçilmez hale gelmiştir. Kazakistan ekonomisinde Ruslar belirleyici faktör olmuştur Kazak yöneticiler kısıtlı bir alanda hareket edebilmiştir. Hatta Sovyetlerin dağılmasından sonra dahi Rusya</w:t>
      </w:r>
      <w:r>
        <w:t>,</w:t>
      </w:r>
      <w:r w:rsidRPr="00C5040F">
        <w:t xml:space="preserve"> Kazakistan</w:t>
      </w:r>
      <w:r>
        <w:t xml:space="preserve"> da</w:t>
      </w:r>
      <w:r w:rsidRPr="00C5040F">
        <w:t xml:space="preserve"> sanayinin%’43’ünü yönetir hale gelmiştir. Kazak yöneticiler ise ülkenin sanayi kapasitesinin sadece %’8’ni yönetmiştir </w:t>
      </w:r>
      <w:r w:rsidRPr="00C5040F">
        <w:fldChar w:fldCharType="begin"/>
      </w:r>
      <w:r w:rsidRPr="00C5040F">
        <w:instrText xml:space="preserve"> ADDIN ZOTERO_ITEM CSL_CITATION {"citationID":"RHbCjnqb","properties":{"formattedCitation":"(Alkan,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w:t>
      </w:r>
      <w:r>
        <w:t xml:space="preserve"> </w:t>
      </w:r>
      <w:r w:rsidRPr="00C5040F">
        <w:t>Kazak ekonomisi ve sanayisinin Rusya’ya bağımlı hale gelmesi gelecekteki Kazak dış politikasında da belirleyici faktör olarak</w:t>
      </w:r>
      <w:r>
        <w:t xml:space="preserve"> </w:t>
      </w:r>
      <w:r w:rsidRPr="00C5040F">
        <w:t>etkisini sürdürmüştür.</w:t>
      </w:r>
    </w:p>
    <w:p w14:paraId="0E725AA4" w14:textId="77777777" w:rsidR="0007275E" w:rsidRPr="00C5040F" w:rsidRDefault="0007275E" w:rsidP="000A70F0">
      <w:pPr>
        <w:jc w:val="both"/>
      </w:pPr>
    </w:p>
    <w:p w14:paraId="5366F2E0" w14:textId="77777777" w:rsidR="0034640B" w:rsidRDefault="0034640B" w:rsidP="0007275E">
      <w:pPr>
        <w:jc w:val="both"/>
      </w:pPr>
      <w:r w:rsidRPr="00C5040F">
        <w:t xml:space="preserve">Nazarbayev dönemi Kazakistan’ın dış ticareti genellikle Rusya üzerinden BDT ülkeleri ile olmuştur. Tabi bu durumun önemli sebeplerinden bir de Kazak petrol ve doğal gazının Rus boruları üzerinden diğer devletlere ulaştırılmasıdır. Rusya ve Kazakistan arasındaki ticaret hacmi yüksektir ve ürünlerin fiyatı piyasa ekonomilerinden bağımsız olarak ikili anlaşmalarla düzenlenmektedir. Geçmişte Sovyetlerin merkezinden yönetilen Kazakistan ekonomisi bağımsızlıktan sonra da merkezden yönetilme ihtiyacı duymuştur. Kazak ekonomisi Rus rublesine endeksli hale gelmiştir. Rublenin değerinin düşüşü veya yükselişi Kazakistan ekonomisini yakından ilgilendirmektedir. Kazakistan’ın kapalı ekonomi modeli </w:t>
      </w:r>
      <w:r>
        <w:t>K</w:t>
      </w:r>
      <w:r w:rsidRPr="00C5040F">
        <w:t>azak ekonomisin vermesi gereken önemli sınavlardan biri olarak karşımıza çıkmaktadır. Ancak her şeye rağmen Kazak ekonomisinin bağımsız olması uzun bir süreç sonuçta gerçekleşmesi beklenmektedir. Bu sebepten Kazakistan’ın dış ticaretinde Rusya ve Rus ekonomisinin istikrarı önemli bir faktördür. Şunu belirtmekte fayda var ki Sovyetlerin yıkılmasının ardından kurulan yeni cumhuriyetler geçiş ekonomisi süreci içine girmiştir. Kazakistan ise içlerinde önemli bir özelliğe sahiptir. Coğrafi olarak Rusya’ya sınır olması, Rusya’nın sanayi tesislerinin ve yüksek üretimli çiftliklerinin Kazakistan’ın sınırları içinde yer alması Kazakistan’ın zengin yer altı ve yer üstü kaynaklarına rağmen Rusya’dan bağımsız bir politika izleme sürecini geciktirmiştir</w:t>
      </w:r>
      <w:r>
        <w:t xml:space="preserve"> </w:t>
      </w:r>
      <w:r w:rsidRPr="00C5040F">
        <w:fldChar w:fldCharType="begin"/>
      </w:r>
      <w:r w:rsidRPr="00C5040F">
        <w:instrText xml:space="preserve"> ADDIN ZOTERO_ITEM CSL_CITATION {"citationID":"WXvM0vpd","properties":{"formattedCitation":"(Yayar vd., 2012)","plainCitation":"(Yayar vd., 2012)","noteIndex":0},"citationItems":[{"id":458,"uris":["http://zotero.org/users/10292326/items/7BL2PLVR"],"itemData":{"id":458,"type":"paper-conference","container-title":"International Conference on Eurasian Economies","page":"250–258","source":"Google Scholar","title":"Geçiş Ekonomileri Bağlamında Türkiye-Kazakistan Dış Ticaretine Uygulamalı Bir Bakış","author":[{"family":"Yayar","given":"Rüştü"},{"family":"Demir","given":"Yusuf"},{"family":"Birol","given":"Yunus Emre"}],"issued":{"date-parts":[["2012"]]}}}],"schema":"https://github.com/citation-style-language/schema/raw/master/csl-citation.json"} </w:instrText>
      </w:r>
      <w:r w:rsidRPr="00C5040F">
        <w:fldChar w:fldCharType="separate"/>
      </w:r>
      <w:r w:rsidRPr="00C5040F">
        <w:t>(Yayar</w:t>
      </w:r>
      <w:r>
        <w:t>,</w:t>
      </w:r>
      <w:r w:rsidRPr="00C5040F">
        <w:t xml:space="preserve"> 2012)</w:t>
      </w:r>
      <w:r w:rsidRPr="00C5040F">
        <w:fldChar w:fldCharType="end"/>
      </w:r>
      <w:r>
        <w:t>.</w:t>
      </w:r>
    </w:p>
    <w:p w14:paraId="6B3E95AB" w14:textId="77777777" w:rsidR="0007275E" w:rsidRPr="00C5040F" w:rsidRDefault="0007275E" w:rsidP="0007275E">
      <w:pPr>
        <w:jc w:val="both"/>
      </w:pPr>
    </w:p>
    <w:p w14:paraId="2F8062DA" w14:textId="3B3B7957" w:rsidR="0034640B" w:rsidRDefault="0034640B" w:rsidP="000A70F0">
      <w:pPr>
        <w:jc w:val="both"/>
      </w:pPr>
      <w:r w:rsidRPr="00C5040F">
        <w:t xml:space="preserve">Rusya ve Kazakistan arasındaki üçüncü sorun ise Kazakistan topraklarında Rusya’nın askeri ve nükleer varlığıdır. Daha önce bahsedildiği üzere Rusya, Kazakistan’ın </w:t>
      </w:r>
      <w:proofErr w:type="spellStart"/>
      <w:r w:rsidRPr="00C5040F">
        <w:t>Semiplatinks</w:t>
      </w:r>
      <w:proofErr w:type="spellEnd"/>
      <w:r w:rsidRPr="00C5040F">
        <w:t xml:space="preserve"> bölgesini yer altı nükleer silahlarını test etmek için kullanmıştır. Bu denemeler doğaya ve bölgede yaşayan inşaların sağlığı açısından tehdit oluşturmuştur </w:t>
      </w:r>
      <w:r w:rsidRPr="00C5040F">
        <w:fldChar w:fldCharType="begin"/>
      </w:r>
      <w:r w:rsidRPr="00C5040F">
        <w:instrText xml:space="preserve"> ADDIN ZOTERO_ITEM CSL_CITATION {"citationID":"0vd06uoW","properties":{"formattedCitation":"(Grosche, 2002)","plainCitation":"(Grosche, 2002)","noteIndex":0},"citationItems":[{"id":425,"uris":["http://zotero.org/users/10292326/items/97FDR595"],"itemData":{"id":425,"type":"article-journal","container-title":"Radiation and Environmental Biophysics","DOI":"10.1007/s00411-002-0141-z","ISSN":"0301-634X","issue":"1","journalAbbreviation":"Radiat Environ Biophys","language":"eng","note":"PMID: 12014411","page":"53-55","source":"PubMed","title":"Semipalatinsk test site: introduction","title-short":"Semipalatinsk test site","volume":"41","author":[{"family":"Grosche","given":"B."}],"issued":{"date-parts":[["2002",3]]}}}],"schema":"https://github.com/citation-style-language/schema/raw/master/csl-citation.json"} </w:instrText>
      </w:r>
      <w:r w:rsidRPr="00C5040F">
        <w:fldChar w:fldCharType="separate"/>
      </w:r>
      <w:r w:rsidRPr="00C5040F">
        <w:t>(Grosche, 2002)</w:t>
      </w:r>
      <w:r w:rsidRPr="00C5040F">
        <w:fldChar w:fldCharType="end"/>
      </w:r>
      <w:r>
        <w:t>.</w:t>
      </w:r>
      <w:r w:rsidRPr="00C5040F">
        <w:t xml:space="preserve">  Diğer yandan Sovyetler zamanında ülkeye yerleştirilen nükleer füzelerin varlığı da Kazakistan’ın bağımsızlığı sonrası çözülmesi gereken bir soruna dönüşmüştür. Yine Rusya’ya ait olan </w:t>
      </w:r>
      <w:proofErr w:type="spellStart"/>
      <w:r w:rsidRPr="00C5040F">
        <w:t>Baykonur</w:t>
      </w:r>
      <w:proofErr w:type="spellEnd"/>
      <w:r w:rsidRPr="00C5040F">
        <w:t xml:space="preserve"> Uzay Üssü, Kazakistan toprakları sınırları içinde kalmıştır fakat bu üssün denetimi tamamıyla Rusya’ya aittir. Bu tesiste üretilen ürünlerin %’70’i Rus askeri sanayisine ait ürünlerdir</w:t>
      </w:r>
      <w:r>
        <w:t xml:space="preserve"> </w:t>
      </w:r>
      <w:r w:rsidRPr="00C5040F">
        <w:fldChar w:fldCharType="begin"/>
      </w:r>
      <w:r w:rsidRPr="00C5040F">
        <w:instrText xml:space="preserve"> ADDIN ZOTERO_ITEM CSL_CITATION {"citationID":"YUL79vtb","properties":{"formattedCitation":"(O\\uc0\\u287{}an, 2001)","plainCitation":"(Oğan, 2001)","noteIndex":0},"citationItems":[{"id":463,"uris":["http://zotero.org/users/10292326/items/7DQZADEG"],"itemData":{"id":463,"type":"article-journal","container-title":"Avrasya Dosyası Kazakistan-Kırgızistan Özel, Kış","source":"Google Scholar","title":"Demografinin Gölgesi Altında Rusya-Kazakistan İlişkileri","volume":"2002","author":[{"family":"Oğan","given":"Sinan"}],"issued":{"date-parts":[["2001"]]}}}],"schema":"https://github.com/citation-style-language/schema/raw/master/csl-citation.json"} </w:instrText>
      </w:r>
      <w:r w:rsidRPr="00C5040F">
        <w:fldChar w:fldCharType="separate"/>
      </w:r>
      <w:r w:rsidRPr="00C5040F">
        <w:t>(Oğan, 2001)</w:t>
      </w:r>
      <w:r w:rsidRPr="00C5040F">
        <w:fldChar w:fldCharType="end"/>
      </w:r>
      <w:r w:rsidRPr="00C5040F">
        <w:t>. Bağımsız bir devlet olma yolunda ilerleyen Kazakistan açısından üssün yönetiminin Kazakistan yönetimine geçmesi ve üsse ait masrafların kim tarafından ödeneceği belirsizliği söz konusu olmuştur.</w:t>
      </w:r>
    </w:p>
    <w:p w14:paraId="44C678C4" w14:textId="77777777" w:rsidR="0007275E" w:rsidRPr="00C5040F" w:rsidRDefault="0007275E" w:rsidP="000A70F0">
      <w:pPr>
        <w:jc w:val="both"/>
      </w:pPr>
    </w:p>
    <w:p w14:paraId="6B5D191D" w14:textId="73AADAFD" w:rsidR="0034640B" w:rsidRDefault="0034640B" w:rsidP="000A70F0">
      <w:pPr>
        <w:jc w:val="both"/>
      </w:pPr>
      <w:r w:rsidRPr="00C5040F">
        <w:t xml:space="preserve">1991 yılında Sovyetlerin dağılması ve bağımsız devletlerin kurulması kendi döneminin başlı başına en önemli olayı olmuştur. Soğuk Savaş sona ermiş ve dünya yeni bir düzene doğru evrilmiştir. Sovyetlerin sona ermesinin ardından bu coğrafyada yeni devletler ortaya çıkmıştır. Sovyetler döneminde merkezi yönetime bağlı olan bu devletler için artık kendi yönetimlerini ve ekonomilerini kurma zamanı gelmiştir. İste bu süreçte kurulacak olan Kazakistan’ın başında Nazarbayev yönetimi vardır. Nazarbayev bağımsızlık yolunda şu üç sorunla yüzleşmek </w:t>
      </w:r>
      <w:r w:rsidRPr="00C5040F">
        <w:lastRenderedPageBreak/>
        <w:t xml:space="preserve">durumda kalmıştır. İlk olarak ülkenin kuzey bölgesinde yerleşik olan Rus nüfusunun, Rusya ile birleşme talebinin ortaya çıkması tehlikesi ortaya çıkmıştır. Ülkede farklı etnik grupların olması yeni kurulan devletin ulus inşa sürecini din, dil, tarih ve coğrafya olmak üzere hangi dinamikler üzerine inşa edeceği ve mevcut Rus nüfusunun yükselen </w:t>
      </w:r>
      <w:r>
        <w:t>K</w:t>
      </w:r>
      <w:r w:rsidRPr="00C5040F">
        <w:t>azak milliyetçiliğin ne tepki vereceği sorunu ortaya çıkmıştır</w:t>
      </w:r>
      <w:r>
        <w:t xml:space="preserve"> </w:t>
      </w:r>
      <w:r w:rsidRPr="00C5040F">
        <w:fldChar w:fldCharType="begin"/>
      </w:r>
      <w:r w:rsidRPr="00C5040F">
        <w:instrText xml:space="preserve"> ADDIN ZOTERO_ITEM CSL_CITATION {"citationID":"LLEAQKbz","properties":{"formattedCitation":"(Kaya, 2012)","plainCitation":"(Kaya, 2012)","noteIndex":0},"citationItems":[{"id":465,"uris":["http://zotero.org/users/10292326/items/TJ9MAF55"],"itemData":{"id":465,"type":"article-journal","abstract":"The disintegration of the Union of Soviet Socialist Republics (USSR) in 1991 marked the beginning of a new era in terms of both the political history of the world and the political geography of the Eurasia. Fifteen new states emerged in the geography where the dispersed USSR was located, an area ‘once ruled from Moscow as the center of a large field, [where] some had never become independent actors of international politics in the modern era’ (Aydın, 2005: 245). After gaining their independence, these states began to work in accordance with ‘building an appropriate nation for their state’. In this context, nationbuilding efforts in Kazakhstan will be discussed by taking into consideration the historical and international dynamics in the post-Soviet period in light of nation-building theories. In other words, the transition period from the Soviet imperial nation concept to the modern nation process in Kazakhstan will be analysed.","language":"tr","source":"Zotero","title":"SSCB SONRASI COĞRAFYADA ULUS İNŞA SÜRECİ: KAZAKİSTAN ÖRNEĞİ","author":[{"family":"Kaya","given":"Ayşe"}],"issued":{"date-parts":[["2012"]]}}}],"schema":"https://github.com/citation-style-language/schema/raw/master/csl-citation.json"} </w:instrText>
      </w:r>
      <w:r w:rsidRPr="00C5040F">
        <w:fldChar w:fldCharType="separate"/>
      </w:r>
      <w:r w:rsidRPr="00C5040F">
        <w:t>(Kaya, 2012)</w:t>
      </w:r>
      <w:r w:rsidRPr="00C5040F">
        <w:fldChar w:fldCharType="end"/>
      </w:r>
      <w:r w:rsidRPr="00C5040F">
        <w:t xml:space="preserve">. İkinci olarak sosyalist ekonomiye sahip olan ülkelerin liberal ekonomiye geçiş sürecinin uzun ve sancılı oluşu sürecidir. Sovyetlerin dağılmasından sonra meydana gelen devletler zorunlu olarak merkezi ekonomiden koparak kendi ekonomilerini yeniden yapılandırma sürecine geçmek zorunda kalmıştır. Kazakistan ekonomisi büyük oranda Rus ekonomisine entegredir ve geçiş sürecinde hangi adımların takip edileceği yer altı kaynaklarının yabancı sermayeye açılıp açılmayacağı belirişizdir. </w:t>
      </w:r>
      <w:r w:rsidRPr="00C5040F">
        <w:fldChar w:fldCharType="begin"/>
      </w:r>
      <w:r w:rsidRPr="00C5040F">
        <w:instrText xml:space="preserve"> ADDIN ZOTERO_ITEM CSL_CITATION {"citationID":"SwDKQe8N","properties":{"formattedCitation":"(Yayar vd., 2012)","plainCitation":"(Yayar vd., 2012)","noteIndex":0},"citationItems":[{"id":458,"uris":["http://zotero.org/users/10292326/items/7BL2PLVR"],"itemData":{"id":458,"type":"paper-conference","container-title":"International Conference on Eurasian Economies","page":"250–258","source":"Google Scholar","title":"Geçiş Ekonomileri Bağlamında Türkiye-Kazakistan Dış Ticaretine Uygulamalı Bir Bakış","author":[{"family":"Yayar","given":"Rüştü"},{"family":"Demir","given":"Yusuf"},{"family":"Birol","given":"Yunus Emre"}],"issued":{"date-parts":[["2012"]]}}}],"schema":"https://github.com/citation-style-language/schema/raw/master/csl-citation.json"} </w:instrText>
      </w:r>
      <w:r w:rsidRPr="00C5040F">
        <w:fldChar w:fldCharType="separate"/>
      </w:r>
      <w:r w:rsidRPr="00C5040F">
        <w:t>(Yayar vd., 2012)</w:t>
      </w:r>
      <w:r w:rsidRPr="00C5040F">
        <w:fldChar w:fldCharType="end"/>
      </w:r>
      <w:r w:rsidRPr="00C5040F">
        <w:t>.Son olarak ülkedeki Rus askeri varlığı ve nükleer füzelerin akıbeti meselesidir.</w:t>
      </w:r>
    </w:p>
    <w:p w14:paraId="4A4A9B8F" w14:textId="77777777" w:rsidR="0007275E" w:rsidRPr="00C5040F" w:rsidRDefault="0007275E" w:rsidP="000A70F0">
      <w:pPr>
        <w:jc w:val="both"/>
      </w:pPr>
    </w:p>
    <w:p w14:paraId="6D995828" w14:textId="7CA01AAF" w:rsidR="0034640B" w:rsidRDefault="0034640B" w:rsidP="000A70F0">
      <w:pPr>
        <w:jc w:val="both"/>
      </w:pPr>
      <w:r w:rsidRPr="00C5040F">
        <w:t>Nazarbayev bağımsız bir devletin başkanı olmuştur ve ülkede çözülmesi gereken birçok sorun ile karşı karşıya kalmıştır. Nazarbayev bu sorunların Rusya’dan bağımsız olarak çözülmeyeceğinin farkında olduğu için Sovyet coğrafyasındaki devletler bağımsızlık ilan ederken Kazakistan içlerinde bağımsızlığını en son ilan eden devlet olmuştur. Nazarbayev, Rusya ile yönetimle uyumlu politikalar izlemeye devam etmiştir. Nazarbayev</w:t>
      </w:r>
      <w:r>
        <w:t>,</w:t>
      </w:r>
      <w:r w:rsidRPr="00C5040F">
        <w:t xml:space="preserve"> konfederatif bir yönetimden yana olmuştur ekonomik olarak bağımsızlığa teşviki desteklemiştir ancak askeri, güvenlik ve dış politikada bakımından birliğin çatısı altında kalınması gerektiğini savunmuştur. Nazarbayev etnik ve milliyetçi söylemlerden uzak durarak Rusya yanlısı ve birlik ruhunu yansıtan politikaları takip ederek ülke içindeki Rus nüfusunda tepkisini çekmemeyi amaçlamıştır. Nazarbayev hızlı bir bağımsızlık sürecinin Kazakistan’ı daha büyük bir felakete sürüklemesinden endişe etmiştir.</w:t>
      </w:r>
    </w:p>
    <w:p w14:paraId="1B2E74EE" w14:textId="77777777" w:rsidR="0007275E" w:rsidRPr="00C5040F" w:rsidRDefault="0007275E" w:rsidP="000A70F0">
      <w:pPr>
        <w:jc w:val="both"/>
      </w:pPr>
    </w:p>
    <w:p w14:paraId="2ED7E2A7" w14:textId="252CB8AB" w:rsidR="0034640B" w:rsidRDefault="0034640B" w:rsidP="000A70F0">
      <w:pPr>
        <w:jc w:val="both"/>
      </w:pPr>
      <w:r w:rsidRPr="00C5040F">
        <w:t xml:space="preserve">Gorbaçev ve ekibi birlik yanlısı politika izlerken Yeltsin ve ekibi merkezi hükümetin güçlendirilmesinden yana politikaları takip etmiştir. Gorbaçov’a yönelik darbe girişimi  neticesinde merkezdeki dengeler Yeltsin lehine değişmiştir </w:t>
      </w:r>
      <w:r w:rsidRPr="00C5040F">
        <w:fldChar w:fldCharType="begin"/>
      </w:r>
      <w:r w:rsidRPr="00C5040F">
        <w:instrText xml:space="preserve"> ADDIN ZOTERO_ITEM CSL_CITATION {"citationID":"Z1e3p0dB","properties":{"formattedCitation":"(Curtis, 1996)","plainCitation":"(Curtis, 1996)","noteIndex":0},"citationItems":[{"id":414,"uris":["http://zotero.org/users/10292326/items/7739UFK6"],"itemData":{"id":414,"type":"book","publisher":"Federal Research Division","source":"Google Scholar","title":"Kazakstan: A Country Study","title-short":"Kazakstan","author":[{"family":"Curtis","given":"Glenn Eldon"}],"issued":{"date-parts":[["1996"]]}}}],"schema":"https://github.com/citation-style-language/schema/raw/master/csl-citation.json"} </w:instrText>
      </w:r>
      <w:r w:rsidRPr="00C5040F">
        <w:fldChar w:fldCharType="separate"/>
      </w:r>
      <w:r w:rsidRPr="00C5040F">
        <w:t>(Curtis, 1996)</w:t>
      </w:r>
      <w:r w:rsidRPr="00C5040F">
        <w:fldChar w:fldCharType="end"/>
      </w:r>
      <w:r w:rsidRPr="00C5040F">
        <w:t>. Yeltsin’in merkezi hükümeti güçlendirme girişimleri BDT’nin kurulmasının yolunu açmıştır. Yeltsin ve ekibi Nazarbayev’i Gorbaçov yanlısı olarak gördüğü için BDT kurulurken Nazarbayev’i dahil etmemiştir. Birlik yanlısı politikalarına rağmen Nazarbayev bağımsızlığı ilan etmiştir ve 16 Haziran 1991’de Kazakistan bağımsızlığını kazanmıştır. Kazakistan’ın coğrafi konumu ve geçmişi göz önüne alındığında Rusya’ya en bağımlı ülke konumundadır. Ülkedeki Rus nüfusunun varlığı bir tehlike unsuru oluşturmaktadır. İlk olarak Rus nüfusun milliyetçi-ayrılıkçı düşüncelerin izinde gitmesi ya da Rusya’nın ülkedeki Rus nüfusunu bahanene ederek Kazakistan topraklarına müdahale etmesi ülkenin toprak bütünlüğüne hem iç hem de dış tehdit oluşturmaktadır. Diğer yandan kapalı ekonomi modelinden liberale ekonomi modeline geçiş sürecinde ülkede nakit para ihtiyacı yüksektir. Bu süreçte ülkenin doğal gaz ve petrolünün bir an önce dış piyasalara ulaştırılmasında Rus boru hatları kullanılmaktadır. Bu durum alternatif bir yol bulunana kadar kazak petrol ve doğal gazını Rusya’nın tekeline vermiştir.</w:t>
      </w:r>
    </w:p>
    <w:p w14:paraId="57FE4DBF" w14:textId="77777777" w:rsidR="0007275E" w:rsidRPr="00C5040F" w:rsidRDefault="0007275E" w:rsidP="000A70F0">
      <w:pPr>
        <w:jc w:val="both"/>
      </w:pPr>
    </w:p>
    <w:p w14:paraId="2B1EFEB4" w14:textId="3FB52CCC" w:rsidR="0034640B" w:rsidRDefault="0034640B" w:rsidP="000A70F0">
      <w:pPr>
        <w:jc w:val="both"/>
      </w:pPr>
      <w:r w:rsidRPr="00C5040F">
        <w:t xml:space="preserve">Kazakistan’ın bağımsızlık sürecindeki askeri yapılanmasında ülke açısında sorun teşkil etmektedir. Kazakistan’ın ulusal ordusu yoktur ve Kazaklar genel olarak merkezi ordu içinde görev almaktadır. Bugüne kadar Sovyetlerin denetimi altında olan ülkede Rusya’ya ait yedi askeri üs, nükleer silahlar, </w:t>
      </w:r>
      <w:proofErr w:type="spellStart"/>
      <w:r w:rsidRPr="00C5040F">
        <w:t>Semiplanstik</w:t>
      </w:r>
      <w:proofErr w:type="spellEnd"/>
      <w:r w:rsidRPr="00C5040F">
        <w:t xml:space="preserve"> bölgesinde yer alan nükleer deneme tesisi ve </w:t>
      </w:r>
      <w:proofErr w:type="spellStart"/>
      <w:r w:rsidRPr="00C5040F">
        <w:t>Baykonur</w:t>
      </w:r>
      <w:proofErr w:type="spellEnd"/>
      <w:r w:rsidRPr="00C5040F">
        <w:t xml:space="preserve"> uzay üssü vardır. Rusya, Kazakistan topraklarında 11 milyon hektar alan üzerinde işletme hakkında sahiptir Kazak ordusunun %’42’si Slav kökenlidir. Kazakistan’ın </w:t>
      </w:r>
      <w:r>
        <w:t>H</w:t>
      </w:r>
      <w:r w:rsidRPr="00C5040F">
        <w:t xml:space="preserve">azar </w:t>
      </w:r>
      <w:r>
        <w:t>D</w:t>
      </w:r>
      <w:r w:rsidRPr="00C5040F">
        <w:t xml:space="preserve">enizindeki deniz filosu gücüde Sovyetlerden kalma birliklerdir. Kazakistan’ın yeni kurulma aşamasında </w:t>
      </w:r>
      <w:r w:rsidRPr="00C5040F">
        <w:lastRenderedPageBreak/>
        <w:t xml:space="preserve">Rusya’dan bağımsız bir dış politika izlemesi söz konusu değildir </w:t>
      </w:r>
      <w:r w:rsidRPr="00C5040F">
        <w:fldChar w:fldCharType="begin"/>
      </w:r>
      <w:r w:rsidRPr="00C5040F">
        <w:instrText xml:space="preserve"> ADDIN ZOTERO_ITEM CSL_CITATION {"citationID":"ZjgtgY7Y","properties":{"formattedCitation":"(Nogayeva, 2011)","plainCitation":"(Nogayeva, 2011)","dontUpdate":true,"noteIndex":0},"citationItems":[{"id":468,"uris":["http://zotero.org/users/10292326/items/P7QC7KQC"],"itemData":{"id":468,"type":"book","publisher":"International Strategic Research Organization (USAK)","source":"Google Scholar","title":"Orta Asya'da ABD, Rusya ve Çin: Stratejik Denge Arayışları","title-short":"Orta Asya'da ABD, Rusya ve Çin","volume":"55","author":[{"family":"Nogayeva","given":"Ainur"}],"issued":{"date-parts":[["2011"]]}}}],"schema":"https://github.com/citation-style-language/schema/raw/master/csl-citation.json"} </w:instrText>
      </w:r>
      <w:r w:rsidRPr="00C5040F">
        <w:fldChar w:fldCharType="separate"/>
      </w:r>
      <w:r w:rsidRPr="00C5040F">
        <w:t>(Nogayeva, 2011 ss. 135-136)</w:t>
      </w:r>
      <w:r w:rsidRPr="00C5040F">
        <w:fldChar w:fldCharType="end"/>
      </w:r>
      <w:r w:rsidRPr="00C5040F">
        <w:t xml:space="preserve">. Nazarbayev’in 15 Mayıs 1992 yılında Parlamento’da yaptığı konuşmada Kazakistan’ın dış politika önceliğini ifade etmiştir. Bu öncelik sırasında  Rusya ve BDT devletleri olan ilişkiler ilk sıra da yer almaktadır </w:t>
      </w:r>
      <w:r w:rsidRPr="00C5040F">
        <w:fldChar w:fldCharType="begin"/>
      </w:r>
      <w:r>
        <w:instrText xml:space="preserve"> ADDIN ZOTERO_ITEM CSL_CITATION {"citationID":"fmZRIdtB","properties":{"formattedCitation":"({\\i{}Kazakistan\\uc0\\u8217{}\\uc0\\u305{}n D\\uc0\\u305{}\\uc0\\u351{} \\uc0\\u304{}li\\uc0\\u351{}kileri}, t.y.)","plainCitation":"(Kazakistan’ın Dış İlişkileri, t.y.)","dontUpdate":true,"noteIndex":0},"citationItems":[{"id":466,"uris":["http://zotero.org/users/10292326/items/UH2MHKX8"],"itemData":{"id":466,"type":"webpage","title":"Kazakistan'ın Dış İlişkileri","URL":"https://21yyte.org/tr/merkezler/bolgesel-arastirma-merkezleri/orta-asya-arastirmalari-merkezi/kazakistanin-dis-iliskileri","accessed":{"date-parts":[["2023",6,3]]}}}],"schema":"https://github.com/citation-style-language/schema/raw/master/csl-citation.json"} </w:instrText>
      </w:r>
      <w:r w:rsidRPr="00C5040F">
        <w:fldChar w:fldCharType="separate"/>
      </w:r>
      <w:r w:rsidRPr="00C5040F">
        <w:t>(</w:t>
      </w:r>
      <w:r w:rsidRPr="00C5040F">
        <w:rPr>
          <w:i/>
          <w:iCs/>
        </w:rPr>
        <w:t>Kazakistan’ın Dış İlişkileri</w:t>
      </w:r>
      <w:r w:rsidRPr="00C5040F">
        <w:t>)</w:t>
      </w:r>
      <w:r w:rsidRPr="00C5040F">
        <w:fldChar w:fldCharType="end"/>
      </w:r>
      <w:r w:rsidRPr="00C5040F">
        <w:t>. Nazarbayev yönetimi Rusya’nın içinde yer aldığı bütün oluşumlara dahil olmuştur. Kazakistan’ın dışarda bırakıldığı Rusya’nın dahil olduğu etnik kökenli oluşumlarda karşı çıkmıştır.</w:t>
      </w:r>
    </w:p>
    <w:p w14:paraId="6CBC28EB" w14:textId="77777777" w:rsidR="0007275E" w:rsidRPr="00C5040F" w:rsidRDefault="0007275E" w:rsidP="000A70F0">
      <w:pPr>
        <w:jc w:val="both"/>
      </w:pPr>
    </w:p>
    <w:p w14:paraId="5F1E17A8" w14:textId="24845C30" w:rsidR="0034640B" w:rsidRDefault="0034640B" w:rsidP="000A70F0">
      <w:pPr>
        <w:jc w:val="both"/>
      </w:pPr>
      <w:r w:rsidRPr="00C5040F">
        <w:t xml:space="preserve">Kazakistan ülkede konuşlandırılmış olan füzelerin Rusya’ya gönderilmesi kararını kabul etmiştir. Ülkedeki askeri üslerin 10 yıllık süreçlerle yenilenen anlaşmalar aracılığıyla Rusya tarafından kontrol edilmesine müsaade etmiştir. </w:t>
      </w:r>
      <w:proofErr w:type="spellStart"/>
      <w:r w:rsidRPr="00C5040F">
        <w:t>Baykonur</w:t>
      </w:r>
      <w:proofErr w:type="spellEnd"/>
      <w:r w:rsidRPr="00C5040F">
        <w:t xml:space="preserve"> üssü ise yıllık 150 milyon dolar karşılığında Rusya’ya kiralanmıştır. Rusya kira bedeli yerine Kazakistan’a askeri yardımda bulunmuştur. Kazak subayları</w:t>
      </w:r>
      <w:r>
        <w:t>nın</w:t>
      </w:r>
      <w:r w:rsidRPr="00C5040F">
        <w:t xml:space="preserve"> Rus harp okullarında eğitim görmeye devam etmesi ve askeri tesisatların bakım ve onarımın Rusya tarafından yapılması kararlaştırılmıştır. Böylelikle Rusya Kazakistan topraklarındaki askeri varlığını sürdürmeye devam etmiştir </w:t>
      </w:r>
      <w:r w:rsidRPr="00C5040F">
        <w:fldChar w:fldCharType="begin"/>
      </w:r>
      <w:r w:rsidRPr="00C5040F">
        <w:instrText xml:space="preserve"> ADDIN ZOTERO_ITEM CSL_CITATION {"citationID":"uzr9659v","properties":{"formattedCitation":"(Nogayeva, 2011)","plainCitation":"(Nogayeva, 2011)","dontUpdate":true,"noteIndex":0},"citationItems":[{"id":468,"uris":["http://zotero.org/users/10292326/items/P7QC7KQC"],"itemData":{"id":468,"type":"book","publisher":"International Strategic Research Organization (USAK)","source":"Google Scholar","title":"Orta Asya'da ABD, Rusya ve Çin: Stratejik Denge Arayışları","title-short":"Orta Asya'da ABD, Rusya ve Çin","volume":"55","author":[{"family":"Nogayeva","given":"Ainur"}],"issued":{"date-parts":[["2011"]]}}}],"schema":"https://github.com/citation-style-language/schema/raw/master/csl-citation.json"} </w:instrText>
      </w:r>
      <w:r w:rsidRPr="00C5040F">
        <w:fldChar w:fldCharType="separate"/>
      </w:r>
      <w:r w:rsidRPr="00C5040F">
        <w:t>(Nogayeva, 2011, ss.137-138)</w:t>
      </w:r>
      <w:r w:rsidRPr="00C5040F">
        <w:fldChar w:fldCharType="end"/>
      </w:r>
      <w:r w:rsidRPr="00C5040F">
        <w:t>.</w:t>
      </w:r>
    </w:p>
    <w:p w14:paraId="40AA8EE6" w14:textId="77777777" w:rsidR="0007275E" w:rsidRPr="00C5040F" w:rsidRDefault="0007275E" w:rsidP="000A70F0">
      <w:pPr>
        <w:jc w:val="both"/>
      </w:pPr>
    </w:p>
    <w:p w14:paraId="207E60D3" w14:textId="04D15B42" w:rsidR="0034640B" w:rsidRDefault="0034640B" w:rsidP="000A70F0">
      <w:pPr>
        <w:jc w:val="both"/>
      </w:pPr>
      <w:r w:rsidRPr="00C5040F">
        <w:t xml:space="preserve">Rusya açısında Kazakistan Orta Asya’daki güvenlik çemberinin merkezinde yer aldığı için önemli bir yere sahiptir </w:t>
      </w:r>
      <w:r w:rsidRPr="00C5040F">
        <w:fldChar w:fldCharType="begin"/>
      </w:r>
      <w:r w:rsidRPr="00C5040F">
        <w:instrText xml:space="preserve"> ADDIN ZOTERO_ITEM CSL_CITATION {"citationID":"VOvgVTp9","properties":{"formattedCitation":"(Nogayeva, 2011)","plainCitation":"(Nogayeva, 2011)","dontUpdate":true,"noteIndex":0},"citationItems":[{"id":468,"uris":["http://zotero.org/users/10292326/items/P7QC7KQC"],"itemData":{"id":468,"type":"book","publisher":"International Strategic Research Organization (USAK)","source":"Google Scholar","title":"Orta Asya'da ABD, Rusya ve Çin: Stratejik Denge Arayışları","title-short":"Orta Asya'da ABD, Rusya ve Çin","volume":"55","author":[{"family":"Nogayeva","given":"Ainur"}],"issued":{"date-parts":[["2011"]]}}}],"schema":"https://github.com/citation-style-language/schema/raw/master/csl-citation.json"} </w:instrText>
      </w:r>
      <w:r w:rsidRPr="00C5040F">
        <w:fldChar w:fldCharType="separate"/>
      </w:r>
      <w:r w:rsidRPr="00C5040F">
        <w:t>(Nogayeva, 2011, s.113)</w:t>
      </w:r>
      <w:r w:rsidRPr="00C5040F">
        <w:fldChar w:fldCharType="end"/>
      </w:r>
      <w:r w:rsidRPr="00C5040F">
        <w:t xml:space="preserve">. Öncelikli olarak coğrafik bakımdan Kazakistan toprakları Rusya açısından Çin ve Afganistan’a karşı tampon bölge oluşturmaktadır. Ülkenin sahip olduğu yer altı kaynakları Rusya üzerinden dış pazarlara ulaştırılmaktadır bu da Rusya’nın doğal gaz ticaretinde tekelleşmesini sağlamaktadır. Kazakistan’ın hidrokarbon bakımından zengin olan Hazar </w:t>
      </w:r>
      <w:r>
        <w:t>D</w:t>
      </w:r>
      <w:r w:rsidRPr="00C5040F">
        <w:t>enizine kıyısı olması Rusya’nın Hazar Denizi jeopolitik rekabetinde elini güçlendirmektedir</w:t>
      </w:r>
      <w:r>
        <w:t xml:space="preserve"> </w:t>
      </w:r>
      <w:r w:rsidRPr="00C5040F">
        <w:fldChar w:fldCharType="begin"/>
      </w:r>
      <w:r>
        <w:instrText xml:space="preserve"> ADDIN ZOTERO_ITEM CSL_CITATION {"citationID":"7WGrUnGi","properties":{"formattedCitation":"(HARUNO\\uc0\\u286{}ULLARI, 2016)","plainCitation":"(HARUNOĞULLARI, 2016)","dontUpdate":true,"noteIndex":0},"citationItems":[{"id":472,"uris":["http://zotero.org/users/10292326/items/Z6CVP3D8"],"itemData":{"id":472,"type":"document","publisher":"TUCAUM Uluslararası Coğrafya Sempozyumu, Ekim","source":"Google Scholar","title":"Jeopolitik Rekabet Alanı: Hazar Havzası ve Türkiye","title-short":"Jeopolitik Rekabet Alanı","author":[{"family":"HARUNOĞULLARI","given":"Muazzez"}],"issued":{"date-parts":[["2016"]]}}}],"schema":"https://github.com/citation-style-language/schema/raw/master/csl-citation.json"} </w:instrText>
      </w:r>
      <w:r w:rsidRPr="00C5040F">
        <w:fldChar w:fldCharType="separate"/>
      </w:r>
      <w:r w:rsidRPr="00C5040F">
        <w:t>(Harunoğulları, 2016)</w:t>
      </w:r>
      <w:r w:rsidRPr="00C5040F">
        <w:fldChar w:fldCharType="end"/>
      </w:r>
      <w:r w:rsidRPr="00C5040F">
        <w:t xml:space="preserve">. Kazakistan, Rusya’nın Türk </w:t>
      </w:r>
      <w:r>
        <w:t>C</w:t>
      </w:r>
      <w:r w:rsidRPr="00C5040F">
        <w:t>umhuriyetlerine açılan kapsı ve güney sınırının korunması açısından önemli topraklardır. İki ülkenin birbirine duyduğu ihtiyaç dış politikalarına da yansımıştır Rusya ve Kazakistan birbirleri için vazgeçilmez ticari-askeri stratejik partnerler olmuştur</w:t>
      </w:r>
      <w:r>
        <w:t xml:space="preserve"> </w:t>
      </w:r>
      <w:r w:rsidRPr="00C5040F">
        <w:fldChar w:fldCharType="begin"/>
      </w:r>
      <w:r w:rsidRPr="00C5040F">
        <w:instrText xml:space="preserve"> ADDIN ZOTERO_ITEM CSL_CITATION {"citationID":"fKUVllmp","properties":{"formattedCitation":"(Kara &amp; Ye\\uc0\\u351{}ilot, 2011)","plainCitation":"(Kara &amp; Yeşilot, 2011)","noteIndex":0},"citationItems":[{"id":406,"uris":["http://zotero.org/users/10292326/items/VPIIAA9J"],"itemData":{"id":406,"type":"book","collection-number":"2010.91","collection-title":"Yayın","event-place":"İstanbul","ISBN":"978-9944-60-901-2","language":"tr","number-of-pages":"304","publisher":"İstanbul Ticaret Odası","publisher-place":"İstanbul","source":"K10plus ISBN","title":"Avrasya'nın yükselen yıldızı Kazakistan","author":[{"family":"Kara","given":"Abdulvahap"},{"family":"Yeşilot","given":"Okan"}],"issued":{"date-parts":[["2011"]]}}}],"schema":"https://github.com/citation-style-language/schema/raw/master/csl-citation.json"} </w:instrText>
      </w:r>
      <w:r w:rsidRPr="00C5040F">
        <w:fldChar w:fldCharType="separate"/>
      </w:r>
      <w:r w:rsidRPr="00C5040F">
        <w:t>(Kara &amp; Yeşilot, 2011)</w:t>
      </w:r>
      <w:r w:rsidRPr="00C5040F">
        <w:fldChar w:fldCharType="end"/>
      </w:r>
      <w:r>
        <w:t>.</w:t>
      </w:r>
    </w:p>
    <w:p w14:paraId="2C9C8DDD" w14:textId="77777777" w:rsidR="0007275E" w:rsidRPr="00C5040F" w:rsidRDefault="0007275E" w:rsidP="000A70F0">
      <w:pPr>
        <w:jc w:val="both"/>
      </w:pPr>
    </w:p>
    <w:p w14:paraId="2B553B7F" w14:textId="6EA6A0D5" w:rsidR="0034640B" w:rsidRDefault="0034640B" w:rsidP="000A70F0">
      <w:pPr>
        <w:jc w:val="both"/>
      </w:pPr>
      <w:r w:rsidRPr="00C5040F">
        <w:t xml:space="preserve">Sovyetlerin dağılmasının ardından Orta Asya’ya kürsek ve bölgesel aktörlerin ilgisi artmaya başlamıştır. Bu durumdan rahatsız olan Rusya 1993 yılında </w:t>
      </w:r>
      <w:r w:rsidRPr="00C5040F">
        <w:rPr>
          <w:b/>
          <w:bCs/>
          <w:i/>
          <w:iCs/>
        </w:rPr>
        <w:t>Yakın Çevre Doktrinini</w:t>
      </w:r>
      <w:r w:rsidRPr="00C5040F">
        <w:t xml:space="preserve"> ilan etmiştir böylelikle yakın çevre Rusların hak ve çıkarlarının olduğu alanlar olarak kabul edil</w:t>
      </w:r>
      <w:r>
        <w:t>miştir</w:t>
      </w:r>
      <w:r w:rsidRPr="00C5040F">
        <w:t>. Kazakistan</w:t>
      </w:r>
      <w:r>
        <w:t xml:space="preserve">, </w:t>
      </w:r>
      <w:r w:rsidRPr="00C5040F">
        <w:t>Rusya’nın güvenlik temelli inşa etmeye çalıştığı yakın çevresinde birinci derece önceliğe sahiptir</w:t>
      </w:r>
      <w:r>
        <w:t xml:space="preserve"> </w:t>
      </w:r>
      <w:r w:rsidRPr="00C5040F">
        <w:fldChar w:fldCharType="begin"/>
      </w:r>
      <w:r w:rsidRPr="00C5040F">
        <w:instrText xml:space="preserve"> ADDIN ZOTERO_ITEM CSL_CITATION {"citationID":"TgGzJQUU","properties":{"formattedCitation":"(Kantarci, 2016)","plainCitation":"(Kantarci, 2016)","noteIndex":0},"citationItems":[{"id":474,"uris":["http://zotero.org/users/10292326/items/LFLER35W"],"itemData":{"id":474,"type":"article-journal","container-title":"Karadeniz Araştırmaları","issue":"49","note":"publisher: Karadeniz Araştırmaları Merkezi","page":"232–237","source":"Google Scholar","title":"Mesut Hakkı CAŞIN–Giray Saynur DERMAN, Rus Dış Politikasındaki Değişim ve Kremlin Penceresinden Yeni Ufuklar, İstanbul: SRT Yayınları, 2015, 534 sayfa, Kaynaklar, ISBN: 978-605-65606-2-1.","title-short":"Mesut Hakkı CAŞIN–Giray Saynur DERMAN, Rus Dış Politikasındaki Değişim ve Kremlin Penceresinden Yeni Ufuklar, İstanbul","author":[{"family":"Kantarci","given":"Şenol"}],"issued":{"date-parts":[["2016"]]}}}],"schema":"https://github.com/citation-style-language/schema/raw/master/csl-citation.json"} </w:instrText>
      </w:r>
      <w:r w:rsidRPr="00C5040F">
        <w:fldChar w:fldCharType="separate"/>
      </w:r>
      <w:r w:rsidRPr="00C5040F">
        <w:t>(Kantarci, 2016)</w:t>
      </w:r>
      <w:r w:rsidRPr="00C5040F">
        <w:fldChar w:fldCharType="end"/>
      </w:r>
      <w:r>
        <w:t>.</w:t>
      </w:r>
      <w:r w:rsidRPr="00C5040F">
        <w:t xml:space="preserve"> Kazakistan, Orta Asya ‘da ki Türk devletleri arasında yüz ölçümü en fazla olan ülkedir ve coğrafi konumu gereği olarak Çin ve Rusya arasında tampon bölge konumundadır. Yine Kazakistan’ın sahip olduğu yer altı kaynakları ve insan potansiyeli Rusya açısından önemlidir bu sebepten Rus yöneticiler Kazakistan’ın dış politikasında Rusya ile hareket etmesi gerektiğini düşünmektedir. Kazakistan açısından ise dış politikasında Rusya ile hareket etmek ve Rusya’nın sağlamış olduğu güvenlik çatısı altında yer almak önemlidir. Çünkü ülkedeki Rus askeri varlığı ve Kazakistan’ın kendi milli ordusunun olmaması nedeniyle Kazakistanlı yöneticiler Rusya’nın dahil olduğu bölgesel örgütlerde yer almaya çalışmıştır. İki ülke askeri ve güvenliği garanti altına almak için 1992 ve 1995 yıllarında</w:t>
      </w:r>
      <w:r w:rsidRPr="00C5040F">
        <w:rPr>
          <w:b/>
          <w:bCs/>
        </w:rPr>
        <w:t xml:space="preserve"> </w:t>
      </w:r>
      <w:r w:rsidRPr="00C5040F">
        <w:rPr>
          <w:b/>
          <w:bCs/>
          <w:i/>
          <w:iCs/>
        </w:rPr>
        <w:t>Kollektif Güvenlik Anlaşmasını</w:t>
      </w:r>
      <w:r w:rsidRPr="00C5040F">
        <w:rPr>
          <w:i/>
          <w:iCs/>
        </w:rPr>
        <w:t xml:space="preserve"> </w:t>
      </w:r>
      <w:r w:rsidRPr="00C5040F">
        <w:t xml:space="preserve">imzalamıştır </w:t>
      </w:r>
      <w:r w:rsidRPr="00C5040F">
        <w:fldChar w:fldCharType="begin"/>
      </w:r>
      <w:r w:rsidRPr="00C5040F">
        <w:instrText xml:space="preserve"> ADDIN ZOTERO_ITEM CSL_CITATION {"citationID":"kBugDD1z","properties":{"formattedCitation":"(Kunic, 2020)","plainCitation":"(Kunic, 2020)","noteIndex":0},"citationItems":[{"id":477,"uris":["http://zotero.org/users/10292326/items/JYPWCXY5"],"itemData":{"id":477,"type":"article-journal","container-title":"Elektronik Siyaset Bilimi Araştırmaları Dergisi","issue":"21","note":"publisher: Trakya Üniversitesi-İktisadi ve İdari Bilimler Fakültesi","page":"56–71","source":"Google Scholar","title":"Rusya’nın Orta Asya Politikası: Kazakistan Örneği","title-short":"Rusya’nın Orta Asya Politikası","volume":"11","author":[{"family":"Kunic","given":"Nikolina"}],"issued":{"date-parts":[["2020"]]}}}],"schema":"https://github.com/citation-style-language/schema/raw/master/csl-citation.json"} </w:instrText>
      </w:r>
      <w:r w:rsidRPr="00C5040F">
        <w:fldChar w:fldCharType="separate"/>
      </w:r>
      <w:r w:rsidRPr="00C5040F">
        <w:t>(Kunic, 2020)</w:t>
      </w:r>
      <w:r w:rsidRPr="00C5040F">
        <w:fldChar w:fldCharType="end"/>
      </w:r>
      <w:r>
        <w:t>.</w:t>
      </w:r>
    </w:p>
    <w:p w14:paraId="253FB1C9" w14:textId="77777777" w:rsidR="0007275E" w:rsidRPr="00C5040F" w:rsidRDefault="0007275E" w:rsidP="000A70F0">
      <w:pPr>
        <w:jc w:val="both"/>
      </w:pPr>
    </w:p>
    <w:p w14:paraId="7FD83D7E" w14:textId="0974EB84" w:rsidR="0034640B" w:rsidRDefault="0034640B" w:rsidP="000A70F0">
      <w:pPr>
        <w:jc w:val="both"/>
      </w:pPr>
      <w:r w:rsidRPr="00C5040F">
        <w:t xml:space="preserve">Kazakistan gelecek yıllarda da Rusya ile bölgesel iş birliğine devam etmiştir.1995 yılında Rusya, </w:t>
      </w:r>
      <w:proofErr w:type="spellStart"/>
      <w:r w:rsidRPr="00C5040F">
        <w:t>Belarus</w:t>
      </w:r>
      <w:proofErr w:type="spellEnd"/>
      <w:r w:rsidRPr="00C5040F">
        <w:t xml:space="preserve"> ve Kazakistan’ın katılımıyla gümrük birliği oluşturmuştur.</w:t>
      </w:r>
      <w:r>
        <w:t xml:space="preserve"> </w:t>
      </w:r>
      <w:r w:rsidRPr="00C5040F">
        <w:t>1996</w:t>
      </w:r>
      <w:r>
        <w:t xml:space="preserve"> yılında Rusya ve Kazakistan</w:t>
      </w:r>
      <w:r w:rsidRPr="00C5040F">
        <w:t xml:space="preserve"> Şanghay İş birliği Örgütü</w:t>
      </w:r>
      <w:r>
        <w:t xml:space="preserve">ne üye olmuştur. </w:t>
      </w:r>
      <w:r w:rsidRPr="00C5040F">
        <w:t xml:space="preserve">Nazarbayev hem ticari hem de güvenlik-stratejik konularında Rusya ile iş birliği içinde hareket ederek Kazakistan’ın çıkarlarını güvence altına almak yönünde bir strateji izlemiştir </w:t>
      </w:r>
      <w:r w:rsidRPr="00C5040F">
        <w:fldChar w:fldCharType="begin"/>
      </w:r>
      <w:r w:rsidRPr="00C5040F">
        <w:instrText xml:space="preserve"> ADDIN ZOTERO_ITEM CSL_CITATION {"citationID":"xJBN89xf","properties":{"formattedCitation":"(Alkan,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w:t>
      </w:r>
    </w:p>
    <w:p w14:paraId="1B8FCAB0" w14:textId="77777777" w:rsidR="0007275E" w:rsidRPr="00C5040F" w:rsidRDefault="0007275E" w:rsidP="000A70F0">
      <w:pPr>
        <w:jc w:val="both"/>
      </w:pPr>
    </w:p>
    <w:p w14:paraId="25BBFA1E" w14:textId="657BDC3A" w:rsidR="0034640B" w:rsidRDefault="0034640B" w:rsidP="000A70F0">
      <w:pPr>
        <w:jc w:val="both"/>
      </w:pPr>
      <w:r w:rsidRPr="00C5040F">
        <w:t xml:space="preserve">Nazarbayev bölge devletleri ile iş birliğinde de önem vermekteydi bu sebepten Rusya’nın askeri güvencesine dayanan bir Avrasya Bloğu ’nu seslendiren lider olmuştur. Avrasya söylemi birlik beraberlik ortak tarih ve kültür tezleri üzerine kurulan bir projedir. Nazarbayev bir yandan Rusya ile iş birliği içinde hareket etme diğer yandan da bölgesel iş birliği kurarak Rusya’yı dengelemeyi amaçlamıştır </w:t>
      </w:r>
      <w:r w:rsidRPr="00C5040F">
        <w:fldChar w:fldCharType="begin"/>
      </w:r>
      <w:r w:rsidRPr="00C5040F">
        <w:instrText xml:space="preserve"> ADDIN ZOTERO_ITEM CSL_CITATION {"citationID":"SK4udyOd","properties":{"formattedCitation":"(Kara &amp; Ye\\uc0\\u351{}ilot, 2011)","plainCitation":"(Kara &amp; Yeşilot, 2011)","noteIndex":0},"citationItems":[{"id":406,"uris":["http://zotero.org/users/10292326/items/VPIIAA9J"],"itemData":{"id":406,"type":"book","collection-number":"2010.91","collection-title":"Yayın","event-place":"İstanbul","ISBN":"978-9944-60-901-2","language":"tr","number-of-pages":"304","publisher":"İstanbul Ticaret Odası","publisher-place":"İstanbul","source":"K10plus ISBN","title":"Avrasya'nın yükselen yıldızı Kazakistan","author":[{"family":"Kara","given":"Abdulvahap"},{"family":"Yeşilot","given":"Okan"}],"issued":{"date-parts":[["2011"]]}}}],"schema":"https://github.com/citation-style-language/schema/raw/master/csl-citation.json"} </w:instrText>
      </w:r>
      <w:r w:rsidRPr="00C5040F">
        <w:fldChar w:fldCharType="separate"/>
      </w:r>
      <w:r w:rsidRPr="00C5040F">
        <w:t>(Kara &amp; Yeşilot, 2011)</w:t>
      </w:r>
      <w:r w:rsidRPr="00C5040F">
        <w:fldChar w:fldCharType="end"/>
      </w:r>
      <w:r w:rsidRPr="00C5040F">
        <w:t>.</w:t>
      </w:r>
    </w:p>
    <w:p w14:paraId="48F1409E" w14:textId="77777777" w:rsidR="0007275E" w:rsidRPr="00C5040F" w:rsidRDefault="0007275E" w:rsidP="000A70F0">
      <w:pPr>
        <w:jc w:val="both"/>
      </w:pPr>
    </w:p>
    <w:p w14:paraId="37772797" w14:textId="5BBC7C87" w:rsidR="0034640B" w:rsidRDefault="0034640B" w:rsidP="000A70F0">
      <w:pPr>
        <w:jc w:val="both"/>
      </w:pPr>
      <w:r w:rsidRPr="00C5040F">
        <w:t xml:space="preserve">Kazakistan, Rusya’nın önderliğinde gelişecek olan bir Hazar-Sibirya enerji bloğunu destekletmedir. Nazarbayev bölgesel enerji politikasına ve bir birlik oluşturma konusuna ehemmiyet vermiştir. 2001 yılında yapılan BDT’nin 10.zirvesinde Azerbaycan, Özbekistan ve Türkmenistan’da bölgesel blok projesine destek vermelerini istemiştir. Netice olarak 2002 yılında BDT çatısı altında Rusya, Kazakistan Türkmenistan ve Özbekistan devletlerinin arasında ortak enerji ve çıkar politikası üzerinde anlaşma imzalanmıştır </w:t>
      </w:r>
      <w:r w:rsidRPr="00C5040F">
        <w:fldChar w:fldCharType="begin"/>
      </w:r>
      <w:r w:rsidRPr="00C5040F">
        <w:instrText xml:space="preserve"> ADDIN ZOTERO_ITEM CSL_CITATION {"citationID":"HVWyP9Ej","properties":{"formattedCitation":"(Mereu, 11:42:35Z)","plainCitation":"(Mereu, 11:42:35Z)","noteIndex":0},"citationItems":[{"id":480,"uris":["http://zotero.org/users/10292326/items/J6WFXVI6"],"itemData":{"id":480,"type":"article-newspaper","abstract":"Leaders from the Commonwealth of Independent States held a summit in Moscow today to mark the occasion of the alliance's 10th anniversary. Kazakh President Nursultan Nazarbaev spoke to reporters ahead of the gathering about a variety of topics, ranging from CIS issues and Kazakh-Russian...","container-title":"Radio Free Europe/Radio Liberty","language":"en","section":"Archive","source":"www.rferl.org","title":"Kazakhstan: Nazarbaev Calls For Stronger CIS","title-short":"Kazakhstan","URL":"https://www.rferl.org/a/1098140.html","author":[{"family":"Mereu","given":"Francesca"}],"accessed":{"date-parts":[["2023",6,4]]},"issued":{"literal":"11:42:35Z"}}}],"schema":"https://github.com/citation-style-language/schema/raw/master/csl-citation.json"} </w:instrText>
      </w:r>
      <w:r w:rsidRPr="00C5040F">
        <w:fldChar w:fldCharType="separate"/>
      </w:r>
      <w:r w:rsidRPr="00C5040F">
        <w:t>(Mereu, 11:42:35Z)</w:t>
      </w:r>
      <w:r w:rsidRPr="00C5040F">
        <w:fldChar w:fldCharType="end"/>
      </w:r>
      <w:r w:rsidRPr="00C5040F">
        <w:t xml:space="preserve">. 2003 yılında ise Rusya, </w:t>
      </w:r>
      <w:proofErr w:type="spellStart"/>
      <w:r w:rsidRPr="00C5040F">
        <w:t>Belarus</w:t>
      </w:r>
      <w:proofErr w:type="spellEnd"/>
      <w:r w:rsidRPr="00C5040F">
        <w:t>, Ukrayna ve Kazakistan arasında imzalanan anlaşmayla bütün devletlerin çıkarını korumaya yönelik ortak ekonomik ve ticaret alanı oluşturan bir anlaşma imzalanmıştır.</w:t>
      </w:r>
    </w:p>
    <w:p w14:paraId="048C06C9" w14:textId="77777777" w:rsidR="0007275E" w:rsidRPr="00C5040F" w:rsidRDefault="0007275E" w:rsidP="000A70F0">
      <w:pPr>
        <w:jc w:val="both"/>
      </w:pPr>
    </w:p>
    <w:p w14:paraId="7136ABC3" w14:textId="77777777" w:rsidR="0034640B" w:rsidRDefault="0034640B" w:rsidP="0007275E">
      <w:pPr>
        <w:jc w:val="both"/>
      </w:pPr>
      <w:r w:rsidRPr="00C5040F">
        <w:t xml:space="preserve">Kazakistan bu dönmede dış politika ve ticarette sadece Rusya’ya bağlı bir politika izlemek yerine farklı alternatifler arayışlarına gitmiştir. Kazakistan’ın sahip olduğu petrol ve doğal diğer devletlerin dikkatini çekmektedir. Özellikle Çin ve ABD ile geliştirilen ilişkilerde Rusya’ya karşı bir denge unsuru oluşturmak amaçlamıştır. Bu kapsamda Nazarbayev 2002 yılında ABD’yi ziyaret etmiştir. Bush yönetimi Kazakistan’ın NATO şemsiyesi altında olması gerektiğini, uluslararası kuruluşlara üye olmasını ve liberal ekonomiye geçişte desteklenmesi gerektiğini belirtmiştir. Kazakistan, ABD’nin Afganistan operasyonlarında hava sahasını ABD uçaklarına destek vermiştir (Kara &amp; </w:t>
      </w:r>
      <w:proofErr w:type="spellStart"/>
      <w:r w:rsidRPr="00C5040F">
        <w:t>Yeşilot</w:t>
      </w:r>
      <w:proofErr w:type="spellEnd"/>
      <w:r w:rsidRPr="00C5040F">
        <w:t xml:space="preserve">). 2002 yılında ABD savunma bakanı </w:t>
      </w:r>
      <w:proofErr w:type="spellStart"/>
      <w:r w:rsidRPr="00C5040F">
        <w:t>Rumsfeld</w:t>
      </w:r>
      <w:proofErr w:type="spellEnd"/>
      <w:r w:rsidRPr="00C5040F">
        <w:t xml:space="preserve"> Kazakistan’ı ziyaret etmiştir ve iki ülke arasındaki askeri ilişkilerin geliştirmesi gerektiğini ve iki ülkenin bu konuda ılımlı olduğunu bildirmiştir. Fakat şunu belirtmek gerekir ki Kazakistan’ın bölgesel politikalarda önceliği Rusya ile iş birliği içinde hareket etmektir </w:t>
      </w:r>
      <w:r w:rsidRPr="00C5040F">
        <w:fldChar w:fldCharType="begin"/>
      </w:r>
      <w:r>
        <w:instrText xml:space="preserve"> ADDIN ZOTERO_ITEM CSL_CITATION {"citationID":"QRR64VAM","properties":{"formattedCitation":"({\\i{}N\\uc0\\u252{}kleer Silahlar\\uc0\\u305{} Azaltma G\\uc0\\u246{}r\\uc0\\u252{}\\uc0\\u351{}meleri - 2002-04-29}, t.y.)","plainCitation":"(Nükleer Silahları Azaltma Görüşmeleri - 2002-04-29, t.y.)","dontUpdate":true,"noteIndex":0},"citationItems":[{"id":487,"uris":["http://zotero.org/users/10292326/items/8VR7QB7Y"],"itemData":{"id":487,"type":"webpage","title":"Nükleer Silahları Azaltma Görüşmeleri - 2002-04-29","URL":"https://www.voaturkce.com/a/a-17-a-2002-04-29-15-1-87884402/803439.html","accessed":{"date-parts":[["2023",6,4]]}}}],"schema":"https://github.com/citation-style-language/schema/raw/master/csl-citation.json"} </w:instrText>
      </w:r>
      <w:r w:rsidRPr="00C5040F">
        <w:fldChar w:fldCharType="separate"/>
      </w:r>
      <w:r w:rsidRPr="00C5040F">
        <w:t>(</w:t>
      </w:r>
      <w:r w:rsidRPr="00C5040F">
        <w:rPr>
          <w:i/>
          <w:iCs/>
        </w:rPr>
        <w:t>Nükleer Silahları Azaltma Görüşmeleri - 2002-04-29</w:t>
      </w:r>
      <w:r w:rsidRPr="00C5040F">
        <w:t>)</w:t>
      </w:r>
      <w:r w:rsidRPr="00C5040F">
        <w:fldChar w:fldCharType="end"/>
      </w:r>
      <w:r w:rsidRPr="00C5040F">
        <w:t>.</w:t>
      </w:r>
    </w:p>
    <w:p w14:paraId="40D15E77" w14:textId="77777777" w:rsidR="0007275E" w:rsidRPr="00C5040F" w:rsidRDefault="0007275E" w:rsidP="0007275E">
      <w:pPr>
        <w:jc w:val="both"/>
      </w:pPr>
    </w:p>
    <w:p w14:paraId="596844DC" w14:textId="6902309D" w:rsidR="0034640B" w:rsidRDefault="0034640B" w:rsidP="000A70F0">
      <w:pPr>
        <w:jc w:val="both"/>
      </w:pPr>
      <w:r w:rsidRPr="00C5040F">
        <w:t xml:space="preserve">Kazakistan dış politikasında alternatif seçenekler ararken diğer yandan Rusya ile ticaret ve enerji alanındaki iş birliği derinleşmektedir. İki ülke arasındaki 2004 yılında bir önceki yıla göre %’23 oranında artmıştır.18 Ocak 2005 yılında ise Kazakistan’ın ikinci büyük gaz bölgesi olan </w:t>
      </w:r>
      <w:proofErr w:type="spellStart"/>
      <w:r w:rsidRPr="00C5040F">
        <w:t>Imalevkoye’de</w:t>
      </w:r>
      <w:proofErr w:type="spellEnd"/>
      <w:r w:rsidRPr="00C5040F">
        <w:t xml:space="preserve"> Rus şirketi </w:t>
      </w:r>
      <w:proofErr w:type="spellStart"/>
      <w:r w:rsidRPr="00C5040F">
        <w:t>Gazprom</w:t>
      </w:r>
      <w:proofErr w:type="spellEnd"/>
      <w:r w:rsidRPr="00C5040F">
        <w:t xml:space="preserve"> ve Kazak şirketi </w:t>
      </w:r>
      <w:proofErr w:type="spellStart"/>
      <w:r w:rsidRPr="00C5040F">
        <w:t>KazMunayGaz</w:t>
      </w:r>
      <w:proofErr w:type="spellEnd"/>
      <w:r w:rsidRPr="00C5040F">
        <w:t xml:space="preserve"> birlikte çalışmalar yapmak için anlaşma imzalamıştır </w:t>
      </w:r>
      <w:r w:rsidRPr="00C5040F">
        <w:fldChar w:fldCharType="begin"/>
      </w:r>
      <w:r w:rsidRPr="00C5040F">
        <w:instrText xml:space="preserve"> ADDIN ZOTERO_ITEM CSL_CITATION {"citationID":"ntIab7EL","properties":{"formattedCitation":"(Alkan, 2011)","plainCitation":"(Alkan, 2011)","noteIndex":0},"citationItems":[{"id":397,"uris":["http://zotero.org/users/10292326/items/ZRNF5DJ3"],"itemData":{"id":397,"type":"book","publisher":"International Strategic Research Organization (USAK)","source":"Google Scholar","title":"Orta Asya Türk cumhuriyetlerinde siyasal hayat ve kurumlar","volume":"54","author":[{"family":"Alkan","given":"Haluk"}],"issued":{"date-parts":[["2011"]]}}}],"schema":"https://github.com/citation-style-language/schema/raw/master/csl-citation.json"} </w:instrText>
      </w:r>
      <w:r w:rsidRPr="00C5040F">
        <w:fldChar w:fldCharType="separate"/>
      </w:r>
      <w:r w:rsidRPr="00C5040F">
        <w:t>(Alkan, 2011)</w:t>
      </w:r>
      <w:r w:rsidRPr="00C5040F">
        <w:fldChar w:fldCharType="end"/>
      </w:r>
      <w:r w:rsidRPr="00C5040F">
        <w:t>. Böylelikle Rusya Kazakistan’ın doğalgaz kaynakları üzerinde önemli imtiyazlar elde etmiştir. Kazak gazının Rus boru hattına bağımlığı Kazakistan’ın dış politikasında Rusya’ya karşı hassasiyet oluşturmaktadır. Bu sebepten bölgesel ve küresel politikalarda Rusya’nın onayı da göz önünde tutulmaktadır.</w:t>
      </w:r>
    </w:p>
    <w:p w14:paraId="1B232EC9" w14:textId="77777777" w:rsidR="0007275E" w:rsidRPr="00C5040F" w:rsidRDefault="0007275E" w:rsidP="000A70F0">
      <w:pPr>
        <w:jc w:val="both"/>
      </w:pPr>
    </w:p>
    <w:p w14:paraId="102690DB" w14:textId="140FF49E" w:rsidR="0034640B" w:rsidRDefault="0034640B" w:rsidP="000A70F0">
      <w:pPr>
        <w:jc w:val="both"/>
      </w:pPr>
      <w:r w:rsidRPr="00C5040F">
        <w:t xml:space="preserve">Nazarbayev döneminde Rusya’ya olan bağlılığı azaltmak ve alternatif seçenekler arayışına gidilmiştir. BTC boru hattı Kazak gazının Avrupa’ya ulaştırılması alternatif bir yol olarak görülmüştür. Diğer yandan Kazakistan gazının Çin’e ulaştırılası da önemli bir alternatif olarak görülmüştür. Kazakistan ile Çin arasındaki enerji görüşmelerinin tarihi 24 Eylül 1997 yılın imzalanan Çin’in Ulusal Petrol Şirketi’ne Kazakistan yer altı kaynaklarının araştırılması izninin verilmesi ve Çin ile Kazakistan arasına petrol boru hattının inşasını onaylayan anlaşmaya dayanmaktadır. Çin devlet başkanı 4 Temmuz 2005 tarihinde Astana’ya ziyaret etmiştir ve iki ülke arasında Çin ve Kazakistan’ın stratejik ortaklığını güçlendiren deklarasyon imzalanmıştır. </w:t>
      </w:r>
      <w:r w:rsidRPr="00C5040F">
        <w:lastRenderedPageBreak/>
        <w:t xml:space="preserve">20 Aralık 2006 tarihinde ise iki ülke arasında Çin ile Kazakistan arasında iş birliğini kuvvetlendiren anlaşma imzalanmıştır. 2011 yılın da ise </w:t>
      </w:r>
      <w:proofErr w:type="spellStart"/>
      <w:r w:rsidRPr="00C5040F">
        <w:t>Kenkiyak-Aralsk-Kumkol</w:t>
      </w:r>
      <w:proofErr w:type="spellEnd"/>
      <w:r w:rsidRPr="00C5040F">
        <w:t xml:space="preserve"> petrol güzergâhı projesi faaliyete geçmiştir ve Kazak petrollerini Çin’e taşımaya başlamıştır </w:t>
      </w:r>
      <w:r w:rsidRPr="00C5040F">
        <w:fldChar w:fldCharType="begin"/>
      </w:r>
      <w:r>
        <w:instrText xml:space="preserve"> ADDIN ZOTERO_ITEM CSL_CITATION {"citationID":"3IL3hjTl","properties":{"formattedCitation":"(Ongarova, 2018)","plainCitation":"(Ongarova, 2018)","dontUpdate":true,"noteIndex":0},"citationItems":[{"id":492,"uris":["http://zotero.org/users/10292326/items/465HBXQZ"],"itemData":{"id":492,"type":"article-journal","abstract":"The most important thing in Kazakhstan's foreign policy is the development of energy routes, including the production and export of hydrocarbons. According to some estimates, with the availability of proven hydrocarbon reserves, Kazakhstan ranks 13th in the world. Its share of the world's proven reserves is: 3.2% in oil (about 5 billion dollars), 1.5% in gas (about 2 trillion cubic meters). The hydrocarbon factor plays an important role not only in Kazakhstan's economic development, but also in expanding its position in diplomatic and international spheres. Especially Kazakhstan has the largest share in the Caspian Sea, and according to other coastal states, it is at the forefront of the Caspian in terms of energy richness. This, on the other hand, makes Kazakhstan more important in the international arena in terms of geopolitics.","container-title":"Alınteri Sosyal Bilimler Dergisi","DOI":"10.30913/alinterisosbil.306038","ISSN":"2564-6583","language":"tr","source":"DOI.org (Crossref)","title":"Kazakistan'ın Çok Yönlü Enerji Politikası ve Hazar Denizi","URL":"https://dergipark.org.tr/en/doi/10.30913/alinterisosbil.306038","author":[{"family":"Ongarova","given":"Yerkinay"}],"accessed":{"date-parts":[["2023",6,5]]},"issued":{"date-parts":[["2018",7,30]]}}}],"schema":"https://github.com/citation-style-language/schema/raw/master/csl-citation.json"} </w:instrText>
      </w:r>
      <w:r w:rsidRPr="00C5040F">
        <w:fldChar w:fldCharType="separate"/>
      </w:r>
      <w:r w:rsidRPr="00C5040F">
        <w:t>(Ongarova, 2018, ss.14-15)</w:t>
      </w:r>
      <w:r w:rsidRPr="00C5040F">
        <w:fldChar w:fldCharType="end"/>
      </w:r>
      <w:r>
        <w:t>.</w:t>
      </w:r>
      <w:r w:rsidRPr="00C5040F">
        <w:t xml:space="preserve">  Kazak gazının hem batı hem de Çin pazarı ile buluşması Rusya’nın Orta Asya gazı üzerindeki tekel politikasını kırması açısından önemlidir. Yine bu projelerin başarıya ulaşması neticesinde Kazakistan dış politikasının da Rusya’dan bağımsız şekilde hareket etmesi için alan sağlamaktadır.</w:t>
      </w:r>
    </w:p>
    <w:p w14:paraId="6E1345F2" w14:textId="77777777" w:rsidR="0007275E" w:rsidRPr="00C5040F" w:rsidRDefault="0007275E" w:rsidP="000A70F0">
      <w:pPr>
        <w:jc w:val="both"/>
      </w:pPr>
    </w:p>
    <w:p w14:paraId="328FC85F" w14:textId="77777777" w:rsidR="0034640B" w:rsidRDefault="0034640B" w:rsidP="0007275E">
      <w:pPr>
        <w:jc w:val="both"/>
      </w:pPr>
      <w:r w:rsidRPr="00C5040F">
        <w:t xml:space="preserve">2006 yılında Azerbaycan’da düzenlen Enerji Konferansına ABD başkanı Bush bir mektup göndermiştir ve Kazakistan’ın BTC boru hattına katılması konusunun önemini dile getirmiştir </w:t>
      </w:r>
      <w:r w:rsidRPr="00C5040F">
        <w:fldChar w:fldCharType="begin"/>
      </w:r>
      <w:r w:rsidRPr="00C5040F">
        <w:instrText xml:space="preserve"> ADDIN ZOTERO_ITEM CSL_CITATION {"citationID":"jZ6ZupKK","properties":{"formattedCitation":"({\\i{}Kazakistan BTC boru hatt\\uc0\\u305{}na kat\\uc0\\u305{}lacak - Ekonomi Haberleri - Son Dakika Haberler}, 2017)","plainCitation":"(Kazakistan BTC boru hattına katılacak - Ekonomi Haberleri - Son Dakika Haberler, 2017)","noteIndex":0},"citationItems":[{"id":494,"uris":["http://zotero.org/users/10292326/items/KSK7RJR2"],"itemData":{"id":494,"type":"webpage","abstract":"Kazakistan Devlet Başkanı Nursultan Nazarbayev, ülkesinin BTC petrol boru hattına katılma kararını başkent Almatı’daki Kazakistan Yatırım Zirvesi’...","container-title":"CNN TÜRK","language":"tr","title":"Kazakistan BTC boru hattına katılacak - Ekonomi Haberleri - Son Dakika Haberler","URL":"https://www.cnnturk.com/ekonomi/genel/kazakistan-btc-boru-hattina-katilacak","accessed":{"date-parts":[["2023",6,5]]},"issued":{"date-parts":[["2017",11,14]]}}}],"schema":"https://github.com/citation-style-language/schema/raw/master/csl-citation.json"} </w:instrText>
      </w:r>
      <w:r w:rsidRPr="00C5040F">
        <w:fldChar w:fldCharType="separate"/>
      </w:r>
      <w:r w:rsidRPr="00C5040F">
        <w:t>(</w:t>
      </w:r>
      <w:r w:rsidRPr="00C5040F">
        <w:rPr>
          <w:i/>
          <w:iCs/>
        </w:rPr>
        <w:t>Kazakistan BTC boru hattına katılacak - Ekonomi Haberleri - Son Dakika Haberler</w:t>
      </w:r>
      <w:r w:rsidRPr="00C5040F">
        <w:t>, 2017)</w:t>
      </w:r>
      <w:r w:rsidRPr="00C5040F">
        <w:fldChar w:fldCharType="end"/>
      </w:r>
      <w:r w:rsidRPr="00C5040F">
        <w:t xml:space="preserve">. 2006 yılında Amerikan Başkan Yardımcısı </w:t>
      </w:r>
      <w:proofErr w:type="spellStart"/>
      <w:r w:rsidRPr="00C5040F">
        <w:t>Cheney</w:t>
      </w:r>
      <w:proofErr w:type="spellEnd"/>
      <w:r w:rsidRPr="00C5040F">
        <w:t xml:space="preserve"> Kazakistan’ı ziyaret etmiştir ve enerji-güvenlik alanlarında işbirliği taleplerini Nazarbayev’e iletmiştir </w:t>
      </w:r>
      <w:r w:rsidRPr="00C5040F">
        <w:fldChar w:fldCharType="begin"/>
      </w:r>
      <w:r w:rsidRPr="00C5040F">
        <w:instrText xml:space="preserve"> ADDIN ZOTERO_ITEM CSL_CITATION {"citationID":"t2Y7rFx5","properties":{"formattedCitation":"({\\i{}Vice President Cheney and President Nursultan Nazarbayev Make Remarks in a Meeting in the Golden Hall in Astana, Kazakhstan | The American Presidency Project}, t.y.)","plainCitation":"(Vice President Cheney and President Nursultan Nazarbayev Make Remarks in a Meeting in the Golden Hall in Astana, Kazakhstan | The American Presidency Project, t.y.)","noteIndex":0},"citationItems":[{"id":498,"uris":["http://zotero.org/users/10292326/items/TFUUBXMS"],"itemData":{"id":498,"type":"webpage","title":"Vice President Cheney and President Nursultan Nazarbayev Make Remarks in a Meeting in the Golden Hall in Astana, Kazakhstan | The American Presidency Project","URL":"https://www.presidency.ucsb.edu/documents/vice-president-cheney-and-president-nursultan-nazarbayev-make-remarks-meeting-the-golden","accessed":{"date-parts":[["2023",6,5]]}}}],"schema":"https://github.com/citation-style-language/schema/raw/master/csl-citation.json"} </w:instrText>
      </w:r>
      <w:r w:rsidRPr="00C5040F">
        <w:fldChar w:fldCharType="separate"/>
      </w:r>
      <w:r w:rsidRPr="00C5040F">
        <w:t>(</w:t>
      </w:r>
      <w:r w:rsidRPr="00C5040F">
        <w:rPr>
          <w:i/>
          <w:iCs/>
        </w:rPr>
        <w:t>Vice President Cheney and President Nursultan Nazarbayev Make Remarks in a Meeting in the Golden Hall in Astana, Kazakhstan | The American Presidency Project</w:t>
      </w:r>
      <w:r w:rsidRPr="00C5040F">
        <w:t xml:space="preserve">, </w:t>
      </w:r>
      <w:proofErr w:type="spellStart"/>
      <w:r w:rsidRPr="00C5040F">
        <w:t>t.y</w:t>
      </w:r>
      <w:proofErr w:type="spellEnd"/>
      <w:r w:rsidRPr="00C5040F">
        <w:t>.)</w:t>
      </w:r>
      <w:r w:rsidRPr="00C5040F">
        <w:fldChar w:fldCharType="end"/>
      </w:r>
      <w:r w:rsidRPr="00C5040F">
        <w:t xml:space="preserve">. Nazarbayev ise ABD’li yetkililerden Kazakistan’ının 2006’da düzenlenecek AGİT toplantısında Kazakistan’ın başkanlığı desteğini talep etmiştir. 2007 yılında AB’li bir heyet orta Asya’dan AB’ye ulaşan bir enerji koridoru girişimi talebini iletmek için Kazakistan’ı ziyaret etmiştir. Kazakistan petrolünün gemilerle limana taşınıp oradan da BTC boru hattı ile Avrupa’ya taşınması planlanmıştır </w:t>
      </w:r>
      <w:r w:rsidRPr="00C5040F">
        <w:fldChar w:fldCharType="begin"/>
      </w:r>
      <w:r w:rsidRPr="00C5040F">
        <w:instrText xml:space="preserve"> ADDIN ZOTERO_ITEM CSL_CITATION {"citationID":"5VzzGWmd","properties":{"formattedCitation":"(Pannier, 16:23:37Z)","plainCitation":"(Pannier, 16:23:37Z)","noteIndex":0},"citationItems":[{"id":500,"uris":["http://zotero.org/users/10292326/items/Z484AW29"],"itemData":{"id":500,"type":"article-newspaper","abstract":"A high-level EU delegation in Kazakhstan discussed more than energy cooperation with Central Asian representatives, but to only mixed reactions.","container-title":"Radio Free Europe/Radio Liberty","language":"en","section":"Kazakhstan","source":"www.rferl.org","title":"EU Seeks Energy, Presses On Rights","URL":"https://www.rferl.org/a/1075562.html","author":[{"family":"Pannier","given":"Bruce"}],"accessed":{"date-parts":[["2023",6,5]]},"issued":{"literal":"16:23:37Z"}}}],"schema":"https://github.com/citation-style-language/schema/raw/master/csl-citation.json"} </w:instrText>
      </w:r>
      <w:r w:rsidRPr="00C5040F">
        <w:fldChar w:fldCharType="separate"/>
      </w:r>
      <w:r w:rsidRPr="00C5040F">
        <w:t>(Pannier, 16:23:37Z)</w:t>
      </w:r>
      <w:r w:rsidRPr="00C5040F">
        <w:fldChar w:fldCharType="end"/>
      </w:r>
      <w:r w:rsidRPr="00C5040F">
        <w:t xml:space="preserve">. Fakat bu dönemde yaşanan Renkli Devrimler süreci ABD ve Kazakistan arasını açmıştır ve Kazakistan’ı Rusya’ya yakınlaştırmıştır. Çünkü Gürcistan (2003), Ukrayna (2004), ve Kırgızistan (2005) yaşanan devrim hareketinin Kazakistan’ı da ektisi altına alınmasından endişe edilmiştir </w:t>
      </w:r>
      <w:r w:rsidRPr="00C5040F">
        <w:fldChar w:fldCharType="begin"/>
      </w:r>
      <w:r>
        <w:instrText xml:space="preserve"> ADDIN ZOTERO_ITEM CSL_CITATION {"citationID":"ukF4WjUr","properties":{"formattedCitation":"(Bozkurt, t.y.)","plainCitation":"(Bozkurt, t.y.)","dontUpdate":true,"noteIndex":0},"citationItems":[{"id":505,"uris":["http://zotero.org/users/10292326/items/Z3IYHSEV"],"itemData":{"id":505,"type":"article-journal","language":"tr","source":"Zotero","title":"Bağımsız Devletler Topluluğu’nda Renkli Devrimler- Kırgızistan Örneği","author":[{"family":"Bozkurt","given":"Saynur Giray"}]}}],"schema":"https://github.com/citation-style-language/schema/raw/master/csl-citation.json"} </w:instrText>
      </w:r>
      <w:r w:rsidRPr="00C5040F">
        <w:fldChar w:fldCharType="separate"/>
      </w:r>
      <w:r w:rsidRPr="00C5040F">
        <w:t>(Bozkurt)</w:t>
      </w:r>
      <w:r w:rsidRPr="00C5040F">
        <w:fldChar w:fldCharType="end"/>
      </w:r>
      <w:r w:rsidRPr="00C5040F">
        <w:t>. Rusya, Kazakistan’ın AGİT başkanlığı için destek vermiştir ve 2010 yılına Kazakistan AGİT başkanı olmuştur.</w:t>
      </w:r>
      <w:r w:rsidRPr="00C5040F">
        <w:fldChar w:fldCharType="begin"/>
      </w:r>
      <w:r>
        <w:instrText xml:space="preserve"> ADDIN ZOTERO_ITEM CSL_CITATION {"citationID":"Q0ScRB1H","properties":{"formattedCitation":"(Kara &amp; YE\\uc0\\u350{}\\uc0\\u304{}LOT, t.y.)","plainCitation":"(Kara &amp; YEŞİLOT, t.y.)","dontUpdate":true,"noteIndex":0},"citationItems":[{"id":485,"uris":["http://zotero.org/users/10292326/items/EWYJ59JN"],"itemData":{"id":485,"type":"article-journal","container-title":"Bağımsızlıklarının 25. Yılında Türk Cumhuriyetleri","page":"73–131","source":"Google Scholar","title":"Kazakistan","author":[{"family":"Kara","given":"Abdulvahap"},{"family":"YEŞİLOT","given":"Okan"}]}}],"schema":"https://github.com/citation-style-language/schema/raw/master/csl-citation.json"} </w:instrText>
      </w:r>
      <w:r w:rsidRPr="00C5040F">
        <w:fldChar w:fldCharType="separate"/>
      </w:r>
      <w:r w:rsidRPr="00C5040F">
        <w:t>(Kara &amp; Yeşilot,</w:t>
      </w:r>
      <w:r>
        <w:t xml:space="preserve"> </w:t>
      </w:r>
      <w:r w:rsidRPr="00C5040F">
        <w:t>s.102)</w:t>
      </w:r>
      <w:r w:rsidRPr="00C5040F">
        <w:fldChar w:fldCharType="end"/>
      </w:r>
    </w:p>
    <w:p w14:paraId="6AD417AA" w14:textId="77777777" w:rsidR="0007275E" w:rsidRPr="00C5040F" w:rsidRDefault="0007275E" w:rsidP="0007275E">
      <w:pPr>
        <w:jc w:val="both"/>
      </w:pPr>
    </w:p>
    <w:p w14:paraId="5106C1CC" w14:textId="73C83A98" w:rsidR="0034640B" w:rsidRDefault="0034640B" w:rsidP="000A70F0">
      <w:pPr>
        <w:jc w:val="both"/>
      </w:pPr>
      <w:r w:rsidRPr="00C5040F">
        <w:t>2008 yılında Rusya’nın Gürcistan’a düzenlediği askeri saldırı Rusya’nın Orta Asya gazının Rusya’dan bağımsız olarak iletilmesinin imkânsız olduğunu göstermiştir. Rusya hem ABD ve AB’ye hem de orta Asya devletlerine tavrını net bir şekilde göstermiştir.</w:t>
      </w:r>
      <w:r w:rsidRPr="00C5040F">
        <w:fldChar w:fldCharType="begin"/>
      </w:r>
      <w:r w:rsidRPr="00C5040F">
        <w:instrText xml:space="preserve"> ADDIN ZOTERO_ITEM CSL_CITATION {"citationID":"Tb7Rwqwx","properties":{"formattedCitation":"(Erkan, 2016)","plainCitation":"(Erkan, 2016)","noteIndex":0},"citationItems":[{"id":511,"uris":["http://zotero.org/users/10292326/items/5JLG96UQ"],"itemData":{"id":511,"type":"article-journal","abstract":"The Russian and Georgian war which occurred in 2008 caused anxiety in the World. International community caught unprepared as it had not presumed that Russia would have intervened in Georgia. UN Security Council could not manage to take measures to halt the war as Russia deployed its veto. Despite the USA and NATO’s power, they did not have a legal mechanism to protect Georgia against Russia. Besides, altough the EU was another significant actor, since Germany, France, Italy and Spain have high level economic relations with Russia, the Union could not achieve to take preventive measures against Russia. İn this sense, it would not be wrong to claim that the weak response from the international community encouraged Russia to intervene in Ukraine in the coming years.","container-title":"Uluslararası İktisadi ve İdari İncelemeler Dergisi","DOI":"10.18092/ijeas.48565","ISSN":"1307-9859, 1307-9832","issue":"17","journalAbbreviation":"UİİİD","language":"tr","page":"41","source":"DOI.org (Crossref)","title":"2008 RUSYA-GÜRCİSTAN SAVAŞI VE ULUSLARARASI TOPLUM","volume":"0","author":[{"family":"Erkan","given":"Süleyman"}],"issued":{"date-parts":[["2016",4,20]]}}}],"schema":"https://github.com/citation-style-language/schema/raw/master/csl-citation.json"} </w:instrText>
      </w:r>
      <w:r w:rsidRPr="00C5040F">
        <w:fldChar w:fldCharType="separate"/>
      </w:r>
      <w:r w:rsidRPr="00C5040F">
        <w:t>(Erkan, 2016)</w:t>
      </w:r>
      <w:r w:rsidRPr="00C5040F">
        <w:fldChar w:fldCharType="end"/>
      </w:r>
      <w:r w:rsidRPr="00C5040F">
        <w:t xml:space="preserve"> İşgalden bir gün sonra Rus lider Kazakistan’ı ziyaret ederek iş birliğinin devamlılığını vurgulamıştır. Nazarbayev ise Rusya ile iş birliğine devam edildiğini fakat ABD ile olan ilişkililerinde devam edeceğini vurgulamıştır. Rusya ise Hazar Denizinden çıkarılan gazın Rus boru hatları üzerinden Avrupa’ya ulaştırılması konusunda Orta Asya ülkelerine baskı uygulamaktadır </w:t>
      </w:r>
      <w:r w:rsidRPr="00C5040F">
        <w:fldChar w:fldCharType="begin"/>
      </w:r>
      <w:r>
        <w:instrText xml:space="preserve"> ADDIN ZOTERO_ITEM CSL_CITATION {"citationID":"wDhb8eMg","properties":{"formattedCitation":"({\\i{}Kazakhstan}, t.y.)","plainCitation":"(Kazakhstan, t.y.)","dontUpdate":true,"noteIndex":0},"citationItems":[{"id":516,"uris":["http://zotero.org/users/10292326/items/85HN5ASS"],"itemData":{"id":516,"type":"webpage","language":"en","title":"Kazakhstan: Astana Strives to Balance Ties with United States and Russia | Eurasianet","title-short":"Kazakhstan","URL":"https://eurasianet.org/kazakhstan-astana-strives-to-balance-ties-with-united-states-and-russia","accessed":{"date-parts":[["2023",6,5]]}}}],"schema":"https://github.com/citation-style-language/schema/raw/master/csl-citation.json"} </w:instrText>
      </w:r>
      <w:r w:rsidRPr="00C5040F">
        <w:fldChar w:fldCharType="separate"/>
      </w:r>
      <w:r w:rsidRPr="00C5040F">
        <w:t>(</w:t>
      </w:r>
      <w:r w:rsidRPr="00D25EC9">
        <w:t xml:space="preserve"> </w:t>
      </w:r>
      <w:r>
        <w:t>E</w:t>
      </w:r>
      <w:r w:rsidRPr="0055672D">
        <w:t>u</w:t>
      </w:r>
      <w:r w:rsidRPr="007641EC">
        <w:t>rasianet, 2023</w:t>
      </w:r>
      <w:r w:rsidRPr="00C5040F">
        <w:t>)</w:t>
      </w:r>
      <w:r w:rsidRPr="00C5040F">
        <w:fldChar w:fldCharType="end"/>
      </w:r>
      <w:r w:rsidRPr="00C5040F">
        <w:t xml:space="preserve">. Böylelikle hem AB’yi hem de Orta Asya’yı kendi kontrolü altına tutabilir ve doğalgazı dış politikasında diğer devletlere karşı bir baskı unsuru olarak kullanma imkanını her daim elinde bulundurabilir. Ancak Kazakistan dış politikasında Rusya’nın tek aktör olmasını engellemek için Batı (ABD-AB) ve Çin ile iş birliğine gitmiştir. Kazakistan 2010 yılı itibariyle NATO’nun Afganistan operasyonlarında Kazakistan hava sahasını kullanmasına müsaade etmiştir </w:t>
      </w:r>
      <w:r w:rsidRPr="00C5040F">
        <w:fldChar w:fldCharType="begin"/>
      </w:r>
      <w:r w:rsidRPr="00C5040F">
        <w:instrText xml:space="preserve"> ADDIN ZOTERO_ITEM CSL_CITATION {"citationID":"Ld8GaO5E","properties":{"formattedCitation":"({\\i{}Kazakistan topraklar\\uc0\\u305{}n\\uc0\\u305{} NATO\\uc0\\u8217{}ya a\\uc0\\u231{}\\uc0\\u305{}yor}, 2010)","plainCitation":"(Kazakistan topraklarını NATO’ya açıyor, 2010)","noteIndex":0},"citationItems":[{"id":518,"uris":["http://zotero.org/users/10292326/items/IMAZQAWS"],"itemData":{"id":518,"type":"webpage","abstract":"Kazakistan, NATO'nun Afganistan'a lojistik desteği için topraklarının kullanılmasına izin vereceğini bildirdi.","language":"tr","note":"section: dunya","title":"Kazakistan topraklarını NATO'ya açıyor","URL":"https://www.hurriyet.com.tr/dunya/kazakistan-topraklarini-natoya-aciyor-13616750","accessed":{"date-parts":[["2023",6,5]]},"issued":{"date-parts":[["2010",1,28]]}}}],"schema":"https://github.com/citation-style-language/schema/raw/master/csl-citation.json"} </w:instrText>
      </w:r>
      <w:r w:rsidRPr="00C5040F">
        <w:fldChar w:fldCharType="separate"/>
      </w:r>
      <w:r w:rsidRPr="00C5040F">
        <w:t>(</w:t>
      </w:r>
      <w:r w:rsidRPr="00C5040F">
        <w:rPr>
          <w:i/>
          <w:iCs/>
        </w:rPr>
        <w:t>Kazakistan topraklarını NATO’ya açıyor</w:t>
      </w:r>
      <w:r w:rsidRPr="00C5040F">
        <w:t>, 2010)</w:t>
      </w:r>
      <w:r w:rsidRPr="00C5040F">
        <w:fldChar w:fldCharType="end"/>
      </w:r>
      <w:r w:rsidRPr="00C5040F">
        <w:t>.</w:t>
      </w:r>
    </w:p>
    <w:p w14:paraId="4B388369" w14:textId="77777777" w:rsidR="0007275E" w:rsidRPr="00C5040F" w:rsidRDefault="0007275E" w:rsidP="000A70F0">
      <w:pPr>
        <w:jc w:val="both"/>
      </w:pPr>
    </w:p>
    <w:p w14:paraId="361684BF" w14:textId="18EF753F" w:rsidR="0007275E" w:rsidRPr="00C5040F" w:rsidRDefault="0034640B" w:rsidP="000A70F0">
      <w:pPr>
        <w:jc w:val="both"/>
      </w:pPr>
      <w:r w:rsidRPr="00C5040F">
        <w:t>Rusya ve Kazakistan arasında önemli sorunlardan biri Hazar denizinin statüsüdür. Rusya, Hazar denizinin ortak kullanıma açık bütün devletler tarafından eşit kullanma hakkının olduğunu savunmaktadır. Oysaki Kazakistan, Hazar Denizinde en çok kıyısı olan devlettir. Rusya’nın savunduğu argüman Kazakistan’ın çıkarları ile ters düşmektedir. Ayrıca Azerbaycan, İran ve Türkmenistan’ında hazar denizi kıyısı bulunmaktadır. Bütün kıyıdaş devletlerin ortak bir paydada birleşmesi uzun zaman almıştır.</w:t>
      </w:r>
      <w:r w:rsidRPr="00C5040F">
        <w:fldChar w:fldCharType="begin"/>
      </w:r>
      <w:r w:rsidRPr="00C5040F">
        <w:instrText xml:space="preserve"> ADDIN ZOTERO_ITEM CSL_CITATION {"citationID":"fVrVwc2j","properties":{"formattedCitation":"(Ongarova, 2018)","plainCitation":"(Ongarova, 2018)","noteIndex":0},"citationItems":[{"id":492,"uris":["http://zotero.org/users/10292326/items/465HBXQZ"],"itemData":{"id":492,"type":"article-journal","abstract":"The most important thing in Kazakhstan's foreign policy is the development of energy routes, including the production and export of hydrocarbons. According to some estimates, with the availability of proven hydrocarbon reserves, Kazakhstan ranks 13th in the world. Its share of the world's proven reserves is: 3.2% in oil (about 5 billion dollars), 1.5% in gas (about 2 trillion cubic meters). The hydrocarbon factor plays an important role not only in Kazakhstan's economic development, but also in expanding its position in diplomatic and international spheres. Especially Kazakhstan has the largest share in the Caspian Sea, and according to other coastal states, it is at the forefront of the Caspian in terms of energy richness. This, on the other hand, makes Kazakhstan more important in the international arena in terms of geopolitics.","container-title":"Alınteri Sosyal Bilimler Dergisi","DOI":"10.30913/alinterisosbil.306038","ISSN":"2564-6583","language":"tr","source":"DOI.org (Crossref)","title":"Kazakistan'ın Çok Yönlü Enerji Politikası ve Hazar Denizi","URL":"https://dergipark.org.tr/en/doi/10.30913/alinterisosbil.306038","author":[{"family":"Ongarova","given":"Yerkinay"}],"accessed":{"date-parts":[["2023",6,5]]},"issued":{"date-parts":[["2018",7,30]]}}}],"schema":"https://github.com/citation-style-language/schema/raw/master/csl-citation.json"} </w:instrText>
      </w:r>
      <w:r w:rsidRPr="00C5040F">
        <w:fldChar w:fldCharType="separate"/>
      </w:r>
      <w:r w:rsidRPr="00C5040F">
        <w:t>(</w:t>
      </w:r>
      <w:proofErr w:type="spellStart"/>
      <w:r w:rsidRPr="00C5040F">
        <w:t>Ongarova</w:t>
      </w:r>
      <w:proofErr w:type="spellEnd"/>
      <w:r w:rsidRPr="00C5040F">
        <w:t>, 2018)</w:t>
      </w:r>
      <w:r w:rsidRPr="00C5040F">
        <w:fldChar w:fldCharType="end"/>
      </w:r>
      <w:r w:rsidRPr="00C5040F">
        <w:t xml:space="preserve"> 20 yıl süren müzakereler sonucunda Kazakistan denizinin statüsü 2018  yılında kıyı devletlerin katıldığı toplantıda Hazar Denizi Sözleşmesi imzalanarak Hazar </w:t>
      </w:r>
      <w:r>
        <w:t>D</w:t>
      </w:r>
      <w:r w:rsidRPr="00C5040F">
        <w:t xml:space="preserve">enizinin hukuki statüsü belirlenmiştir </w:t>
      </w:r>
      <w:r w:rsidRPr="00C5040F">
        <w:fldChar w:fldCharType="begin"/>
      </w:r>
      <w:r w:rsidRPr="00C5040F">
        <w:instrText xml:space="preserve"> ADDIN ZOTERO_ITEM CSL_CITATION {"citationID":"Y40C183e","properties":{"formattedCitation":"(Merdan &amp; Kahraman, 2020)","plainCitation":"(Merdan &amp; Kahraman, 2020)","noteIndex":0},"citationItems":[{"id":521,"uris":["http://zotero.org/users/10292326/items/MW3ZEW7A"],"itemData":{"id":521,"type":"article-journal","abstract":"The Caspian Sea has a geopolitical importance that focuses on the interest of both global and regional powers due to its oil and gas resources and its current strategic position. The Caspian Sea, which was only under the control of the Soviet Union and Iran before 1991, was opened to the common use of the five states- Azerbaijan, Kazakhstan and Turkmenistan being a riparian state after the dissolution of the Soviet Union and power struggles began to take place there. The problem of sharing of the Caspian Sea arose with the start of power struggles. Since the legal status of the Caspian Sea could not be determined, the problem of the definition of national borders on the Caspian Sea has continued until 2018. In particular, the lack of legal status until 2018 prevented the existing energy resources in the Caspian Sea from being supplied adequately and supplying to international markets in the desired manner. In 2018, the Caspian Sea Convention was signed by five littoral states and the legal status of the sea was determined. In this article, taking into consideration the theses of the states of the region, it will be evaluated that whether the Caspian Sea is a lake, a sea or a special water basin within the framework of international law and the Convention on the Legal Status of the Caspian Sea signed in 2018 will be examined.","container-title":"Kafkas Üniversitesi İktisadi ve İdari Bilimler Fakültesi Dergisi","DOI":"10.36543/kauiibfd.2020.020","ISSN":"1309-4289","issue":"21","language":"tr","page":"434-468","source":"DOI.org (Crossref)","title":"Hazar Denizi'nin Hukuki Statüsü","volume":"11","author":[{"family":"Merdan","given":"Ali Samir"},{"family":"Kahraman","given":"Firdes Şeyda"}],"issued":{"date-parts":[["2020",6,30]]}}}],"schema":"https://github.com/citation-style-language/schema/raw/master/csl-citation.json"} </w:instrText>
      </w:r>
      <w:r w:rsidRPr="00C5040F">
        <w:fldChar w:fldCharType="separate"/>
      </w:r>
      <w:r w:rsidRPr="00C5040F">
        <w:t xml:space="preserve">(Merdan &amp; Kahraman, </w:t>
      </w:r>
      <w:r w:rsidRPr="00C5040F">
        <w:lastRenderedPageBreak/>
        <w:t>2020)</w:t>
      </w:r>
      <w:r w:rsidRPr="00C5040F">
        <w:fldChar w:fldCharType="end"/>
      </w:r>
      <w:r w:rsidRPr="00C5040F">
        <w:t>.</w:t>
      </w:r>
    </w:p>
    <w:p w14:paraId="06757A83" w14:textId="43F940A9" w:rsidR="0034640B" w:rsidRDefault="0034640B" w:rsidP="000A70F0">
      <w:pPr>
        <w:jc w:val="both"/>
      </w:pPr>
      <w:r w:rsidRPr="00C5040F">
        <w:t xml:space="preserve">Kazakistan’ın en önemli enerji stratejilerinden biri enerji kaynaklarının sadece batı değil doğuya da ulaştırılmasıdır bu bağlamda Çin en önemli ticari partner olarak karşımıza çıkmaktadır. Çin büyümekte olan ekonomisi ve sanayisi nedeniyle enerji kaynaklarına ihtiyaç duyduğu için 2002 yılında dışa açılma </w:t>
      </w:r>
      <w:r w:rsidRPr="00C5040F">
        <w:rPr>
          <w:i/>
          <w:iCs/>
        </w:rPr>
        <w:t xml:space="preserve">‘’ </w:t>
      </w:r>
      <w:proofErr w:type="spellStart"/>
      <w:r w:rsidRPr="00C5040F">
        <w:rPr>
          <w:i/>
          <w:iCs/>
        </w:rPr>
        <w:t>going</w:t>
      </w:r>
      <w:proofErr w:type="spellEnd"/>
      <w:r w:rsidRPr="00C5040F">
        <w:rPr>
          <w:i/>
          <w:iCs/>
        </w:rPr>
        <w:t xml:space="preserve"> </w:t>
      </w:r>
      <w:proofErr w:type="spellStart"/>
      <w:r w:rsidRPr="00C5040F">
        <w:rPr>
          <w:i/>
          <w:iCs/>
        </w:rPr>
        <w:t>out</w:t>
      </w:r>
      <w:proofErr w:type="spellEnd"/>
      <w:r w:rsidRPr="00C5040F">
        <w:rPr>
          <w:i/>
          <w:iCs/>
        </w:rPr>
        <w:t>’’</w:t>
      </w:r>
      <w:r w:rsidRPr="00C5040F">
        <w:t xml:space="preserve"> politikası kapsamında Orta Asya ülkeleri ile ilişkilerini geliştirmeye başlamıştır. Çin başta Çin </w:t>
      </w:r>
      <w:r>
        <w:t>U</w:t>
      </w:r>
      <w:r w:rsidRPr="00C5040F">
        <w:t xml:space="preserve">lusal Petrol </w:t>
      </w:r>
      <w:r>
        <w:t>Ş</w:t>
      </w:r>
      <w:r w:rsidRPr="00C5040F">
        <w:t>irketi olmak üzere yurt dışında çalışmalar yürüten şirketlere kolaylıklar sağlamıştır. Bu şirketlerin çalışma prensibi enerji ve petrol karşılığında kredi vermek üzerine dayalıdır. 2005 yılında temelleri atılan ve 2009 yılında faaliyete geçen Orta Asya-Çin boru hattı Orta Asya devletlerinin sahip olduğu petrol kaynaklarının direk olarak Çin’e ulaşması sağlanmıştır. Çin boru hattı üzerinde yer alan tedarikçi ülkeler ikili anlaşmalar boru hattına petrol verilmesini garanti altına almıştır.</w:t>
      </w:r>
      <w:r w:rsidRPr="00C5040F">
        <w:fldChar w:fldCharType="begin"/>
      </w:r>
      <w:r>
        <w:instrText xml:space="preserve"> ADDIN ZOTERO_ITEM CSL_CITATION {"citationID":"6eG7SqIG","properties":{"formattedCitation":"(Nogayeva, 2011)","plainCitation":"(Nogayeva, 2011)","dontUpdate":true,"noteIndex":0},"citationItems":[{"id":468,"uris":["http://zotero.org/users/10292326/items/P7QC7KQC"],"itemData":{"id":468,"type":"book","publisher":"International Strategic Research Organization (USAK)","source":"Google Scholar","title":"Orta Asya'da ABD, Rusya ve Çin: Stratejik Denge Arayışları","title-short":"Orta Asya'da ABD, Rusya ve Çin","volume":"55","author":[{"family":"Nogayeva","given":"Ainur"}],"issued":{"date-parts":[["2011"]]}}}],"schema":"https://github.com/citation-style-language/schema/raw/master/csl-citation.json"} </w:instrText>
      </w:r>
      <w:r w:rsidRPr="00C5040F">
        <w:fldChar w:fldCharType="separate"/>
      </w:r>
      <w:r w:rsidRPr="00C5040F">
        <w:t>(</w:t>
      </w:r>
      <w:proofErr w:type="spellStart"/>
      <w:r w:rsidRPr="00C5040F">
        <w:t>Nogayeva</w:t>
      </w:r>
      <w:proofErr w:type="spellEnd"/>
      <w:r w:rsidRPr="00C5040F">
        <w:t>, 2011, s.121)</w:t>
      </w:r>
      <w:r w:rsidRPr="00C5040F">
        <w:fldChar w:fldCharType="end"/>
      </w:r>
      <w:r w:rsidRPr="00C5040F">
        <w:t xml:space="preserve"> Çin’in Hazar petrollerine verdiği alım garantisi Orta Asya ülkelerinin Rusya’ya karşı bağımsız politika izlemelerinin yolunu açmıştır.</w:t>
      </w:r>
    </w:p>
    <w:p w14:paraId="652963B6" w14:textId="77777777" w:rsidR="0007275E" w:rsidRPr="00C5040F" w:rsidRDefault="0007275E" w:rsidP="000A70F0">
      <w:pPr>
        <w:jc w:val="both"/>
      </w:pPr>
    </w:p>
    <w:p w14:paraId="63E9ACAF" w14:textId="4C325E9F" w:rsidR="0034640B" w:rsidRDefault="0034640B" w:rsidP="000A70F0">
      <w:pPr>
        <w:jc w:val="both"/>
      </w:pPr>
      <w:r w:rsidRPr="00C5040F">
        <w:t xml:space="preserve">2014 yılı Kazakistan ve Rusya ilişkilerinde kırılmanın yaşandığı yıldır. Kazak gazının Çin’e ulaşması ve Rusya tekelinden çıkması Kazakistan’a dış politikasında Rusya’dan bağımsız hareket etme imkân sağlamıştır. 2014-2020 Kazakistan Cumhuriyeti’nin Dış Politika Konsepti” belgesi yürürlüğe girmiştir ve Kazakistan -2050 Stratejisi: Başarılı Bir Devletin Yeni Dış Siyasi strateji belgesi hazırlanmıştır. Bu belge Kazakistan’ın ileriye dönük stratejileri ve hedeflerine yer verilmiştir. Konseptin içeriğindeki iki önemli kavram pragmatik ve çok yönlü dış politika anlayışıdır. Kazakistan’ın dış politikası tanımlanırken enerji temelli çok </w:t>
      </w:r>
      <w:proofErr w:type="spellStart"/>
      <w:r w:rsidRPr="00C5040F">
        <w:t>vektörlü</w:t>
      </w:r>
      <w:proofErr w:type="spellEnd"/>
      <w:r w:rsidRPr="00C5040F">
        <w:t xml:space="preserve"> dış politika olarak tanımlanmıştır Çok yönlü dış politikanın temelinde BDT(Rusya), Doğu (Çin) ile Batı (ABD, AB) arasında denge kurmaya dayanmaktadır.</w:t>
      </w:r>
    </w:p>
    <w:p w14:paraId="4A38D588" w14:textId="77777777" w:rsidR="0007275E" w:rsidRPr="00C5040F" w:rsidRDefault="0007275E" w:rsidP="000A70F0">
      <w:pPr>
        <w:jc w:val="both"/>
      </w:pPr>
    </w:p>
    <w:p w14:paraId="11F04C06" w14:textId="5CCDCCC3" w:rsidR="0034640B" w:rsidRDefault="0034640B" w:rsidP="000A70F0">
      <w:pPr>
        <w:jc w:val="both"/>
      </w:pPr>
      <w:r w:rsidRPr="00C5040F">
        <w:t xml:space="preserve">Rusya’nın Güney Osetya ve Abhazya’yı bağımsız devletler olarak tanıması Kazakistan’ı rahatsız etmiştir. Kazak yetkililere bir gün aynı durum ile karşı karşıya kalabileceklerini hatırlatmıştır. Yine Rusya’nın Kırım’ı işgalinde Kazakistan BM Genel Kurulu’nda çekimser oy kullanarak Rusya’yı desteklememiştir </w:t>
      </w:r>
      <w:r w:rsidRPr="00C5040F">
        <w:fldChar w:fldCharType="begin"/>
      </w:r>
      <w:r>
        <w:instrText xml:space="preserve"> ADDIN ZOTERO_ITEM CSL_CITATION {"citationID":"Ni1Bee5a","properties":{"formattedCitation":"(\\uc0\\u214{}ztopal, 2018)","plainCitation":"(Öztopal, 2018)","dontUpdate":true,"noteIndex":0},"citationItems":[{"id":523,"uris":["http://zotero.org/users/10292326/items/XVNT7GHK"],"itemData":{"id":523,"type":"article-journal","abstract":"The protest, which started on 21 November 2013 after Yanukovych government’s announcement about the suspension of the Association Agreement, which was planned to be signed between the European Union and Ukraine, soon evolved into anti-government protests and turned into a major domestic political issue. While Ukraine was struggling to solve this problem, Russian Federation sent its troops to Crimea in early March 2014 and annexed Crimea and Akyar (Sevastapol) following an illegal referendum held on 16 March 2014. Many states and international organizations react to this occupation and illegal annexation. This study reviews the process of the illegal annexation process of Crimea and examines the reactions of the leading international organizations, namely, United Nations, European Union, North Atlantic Treaty Organization, Organization for Security and Cooperation in Europe, Shanghai Cooperation Organization, Collective Security Treaty Organization and Organization of Islamic Cooperation.","issue":"19","language":"tr","source":"Zotero","title":"ÖNDE GELEN ULUSLARARASI ÖRGÜTLERİN KIRIM’IN YASADIŞI İLHAKINA TEPKİLERİ","author":[{"family":"Öztopal","given":"Mustafa Kemal"}],"issued":{"date-parts":[["2018"]]}}}],"schema":"https://github.com/citation-style-language/schema/raw/master/csl-citation.json"} </w:instrText>
      </w:r>
      <w:r w:rsidRPr="00C5040F">
        <w:fldChar w:fldCharType="separate"/>
      </w:r>
      <w:r w:rsidRPr="00C5040F">
        <w:t>(Öztopal, 2018, S.19)</w:t>
      </w:r>
      <w:r w:rsidRPr="00C5040F">
        <w:fldChar w:fldCharType="end"/>
      </w:r>
      <w:r w:rsidRPr="00C5040F">
        <w:t>. Rusya ise 2014 yılında Şangay’da düzenlenen bir zirvede</w:t>
      </w:r>
      <w:r>
        <w:t xml:space="preserve"> Putin </w:t>
      </w:r>
      <w:r w:rsidRPr="00187F7B">
        <w:rPr>
          <w:i/>
          <w:iCs/>
        </w:rPr>
        <w:t>‘</w:t>
      </w:r>
      <w:r>
        <w:rPr>
          <w:i/>
          <w:iCs/>
        </w:rPr>
        <w:t>’</w:t>
      </w:r>
      <w:r w:rsidRPr="00187F7B">
        <w:rPr>
          <w:i/>
          <w:iCs/>
        </w:rPr>
        <w:t>Kazakların hiçbir zaman devletleri olmadı.</w:t>
      </w:r>
      <w:r>
        <w:rPr>
          <w:i/>
          <w:iCs/>
        </w:rPr>
        <w:t>’’</w:t>
      </w:r>
      <w:r w:rsidRPr="00187F7B">
        <w:rPr>
          <w:i/>
          <w:iCs/>
        </w:rPr>
        <w:t xml:space="preserve"> </w:t>
      </w:r>
      <w:r>
        <w:t>s</w:t>
      </w:r>
      <w:r w:rsidRPr="00C5040F">
        <w:t>özlerini kullanarak Kazak milliyetçiliğini tetiklemiştir. Rusya’ya tepki olarak 2015 yılında 550 yıllık Kazak tarihi görkemli kutlamalarla kutlanmıştır. (C</w:t>
      </w:r>
      <w:r>
        <w:t>alip</w:t>
      </w:r>
      <w:r w:rsidRPr="00C5040F">
        <w:t xml:space="preserve">, Yusuf Halil. 2023) 2017 yılında ise Kazakistan aşamalı olarak Kiril Alfabesinden Latin alfabesine geçeceğini duyurmuştur </w:t>
      </w:r>
      <w:r w:rsidRPr="00C5040F">
        <w:fldChar w:fldCharType="begin"/>
      </w:r>
      <w:r w:rsidRPr="00C5040F">
        <w:instrText xml:space="preserve"> ADDIN ZOTERO_ITEM CSL_CITATION {"citationID":"4j8Kzg24","properties":{"formattedCitation":"({\\i{}Kazakistan Latin alfabesine ge\\uc0\\u231{}iyor | Al Jazeera Turk - Ortado\\uc0\\u287{}u, Kafkasya, Balkanlar, T\\uc0\\u252{}rkiye ve \\uc0\\u231{}evresindeki b\\uc0\\u246{}lgeden son dakika haberleri ve analizler}, t.y.)","plainCitation":"(Kazakistan Latin alfabesine geçiyor | Al Jazeera Turk - Ortadoğu, Kafkasya, Balkanlar, Türkiye ve çevresindeki bölgeden son dakika haberleri ve analizler, t.y.)","noteIndex":0},"citationItems":[{"id":525,"uris":["http://zotero.org/users/10292326/items/L2D6AR7F"],"itemData":{"id":525,"type":"webpage","title":"Kazakistan Latin alfabesine geçiyor | Al Jazeera Turk - Ortadoğu, Kafkasya, Balkanlar, Türkiye ve çevresindeki bölgeden son dakika haberleri ve analizler","URL":"https://www.aljazeera.com.tr/haber/kazakistan-latin-alfabesine-geciyor","accessed":{"date-parts":[["2023",6,6]]}}}],"schema":"https://github.com/citation-style-language/schema/raw/master/csl-citation.json"} </w:instrText>
      </w:r>
      <w:r w:rsidRPr="00C5040F">
        <w:fldChar w:fldCharType="separate"/>
      </w:r>
      <w:r w:rsidRPr="00C5040F">
        <w:t>(</w:t>
      </w:r>
      <w:r w:rsidRPr="00C5040F">
        <w:rPr>
          <w:i/>
          <w:iCs/>
        </w:rPr>
        <w:t>Kazakistan Latin alfabesine geçiyor | Al Jazeera Turk - Ortadoğu, Kafkasya, Balkanlar, Türkiye ve çevresindeki bölgeden son dakika haberleri ve analizler</w:t>
      </w:r>
      <w:r w:rsidRPr="00C5040F">
        <w:t xml:space="preserve">, </w:t>
      </w:r>
      <w:proofErr w:type="spellStart"/>
      <w:r w:rsidRPr="00C5040F">
        <w:t>t.y</w:t>
      </w:r>
      <w:proofErr w:type="spellEnd"/>
      <w:r w:rsidRPr="00C5040F">
        <w:t>.)</w:t>
      </w:r>
      <w:r w:rsidRPr="00C5040F">
        <w:fldChar w:fldCharType="end"/>
      </w:r>
      <w:r w:rsidRPr="00C5040F">
        <w:t xml:space="preserve">.Kazakistan’ın Batı dünyasına entegre girişimleri başarıyla devam etmiştir ve EXPO 2017’ye Astana ev sahipliği yapmıştır </w:t>
      </w:r>
      <w:r w:rsidRPr="00C5040F">
        <w:fldChar w:fldCharType="begin"/>
      </w:r>
      <w:r>
        <w:instrText xml:space="preserve"> ADDIN ZOTERO_ITEM CSL_CITATION {"citationID":"tQ7Geaue","properties":{"formattedCitation":"(Kara &amp; YE\\uc0\\u350{}\\uc0\\u304{}LOT, t.y.)","plainCitation":"(Kara &amp; YEŞİLOT, t.y.)","dontUpdate":true,"noteIndex":0},"citationItems":[{"id":485,"uris":["http://zotero.org/users/10292326/items/EWYJ59JN"],"itemData":{"id":485,"type":"article-journal","container-title":"Bağımsızlıklarının 25. Yılında Türk Cumhuriyetleri","page":"73–131","source":"Google Scholar","title":"Kazakistan","author":[{"family":"Kara","given":"Abdulvahap"},{"family":"YEŞİLOT","given":"Okan"}]}}],"schema":"https://github.com/citation-style-language/schema/raw/master/csl-citation.json"} </w:instrText>
      </w:r>
      <w:r w:rsidRPr="00C5040F">
        <w:fldChar w:fldCharType="separate"/>
      </w:r>
      <w:r w:rsidRPr="00C5040F">
        <w:t xml:space="preserve">(Kara &amp; Yeşilot, </w:t>
      </w:r>
      <w:r>
        <w:t>s.</w:t>
      </w:r>
      <w:r w:rsidRPr="00C5040F">
        <w:t>104)</w:t>
      </w:r>
      <w:r w:rsidRPr="00C5040F">
        <w:fldChar w:fldCharType="end"/>
      </w:r>
      <w:r w:rsidRPr="00C5040F">
        <w:t>.</w:t>
      </w:r>
    </w:p>
    <w:p w14:paraId="3D742B08" w14:textId="77777777" w:rsidR="00FC4D53" w:rsidRPr="00C5040F" w:rsidRDefault="00FC4D53" w:rsidP="000A70F0">
      <w:pPr>
        <w:jc w:val="both"/>
      </w:pPr>
    </w:p>
    <w:p w14:paraId="280CA341" w14:textId="2CA3B50A" w:rsidR="0034640B" w:rsidRPr="00FC4D53" w:rsidRDefault="0034640B" w:rsidP="000A70F0">
      <w:pPr>
        <w:rPr>
          <w:b/>
          <w:bCs/>
          <w:shd w:val="clear" w:color="auto" w:fill="FFFFFF"/>
        </w:rPr>
      </w:pPr>
      <w:r w:rsidRPr="009F0AE3">
        <w:rPr>
          <w:b/>
          <w:bCs/>
          <w:shd w:val="clear" w:color="auto" w:fill="FFFFFF"/>
        </w:rPr>
        <w:t xml:space="preserve">Kasım Cömert </w:t>
      </w:r>
      <w:proofErr w:type="spellStart"/>
      <w:r w:rsidRPr="009F0AE3">
        <w:rPr>
          <w:b/>
          <w:bCs/>
          <w:shd w:val="clear" w:color="auto" w:fill="FFFFFF"/>
        </w:rPr>
        <w:t>Tokayev</w:t>
      </w:r>
      <w:proofErr w:type="spellEnd"/>
      <w:r w:rsidRPr="009F0AE3">
        <w:rPr>
          <w:b/>
          <w:bCs/>
          <w:shd w:val="clear" w:color="auto" w:fill="FFFFFF"/>
        </w:rPr>
        <w:t xml:space="preserve"> Dönemi Rusya-Kazakistan İlişkileri</w:t>
      </w:r>
    </w:p>
    <w:p w14:paraId="07DFB5BB" w14:textId="786E93BA" w:rsidR="0034640B" w:rsidRDefault="0034640B" w:rsidP="000A70F0">
      <w:pPr>
        <w:jc w:val="both"/>
        <w:rPr>
          <w:color w:val="202124"/>
          <w:shd w:val="clear" w:color="auto" w:fill="FFFFFF"/>
        </w:rPr>
      </w:pPr>
      <w:r w:rsidRPr="00C5040F">
        <w:rPr>
          <w:color w:val="202124"/>
          <w:shd w:val="clear" w:color="auto" w:fill="FFFFFF"/>
        </w:rPr>
        <w:t xml:space="preserve">19 Mart 2019 tarihinde Nur Sultan Nazarbayev görevinden istifa etmiştir ve 9 Haziran 2019 tarihinde yapılan seçimlerde Kasım Cömert </w:t>
      </w:r>
      <w:proofErr w:type="spellStart"/>
      <w:r w:rsidRPr="00C5040F">
        <w:rPr>
          <w:color w:val="202124"/>
          <w:shd w:val="clear" w:color="auto" w:fill="FFFFFF"/>
        </w:rPr>
        <w:t>Tokayev</w:t>
      </w:r>
      <w:proofErr w:type="spellEnd"/>
      <w:r w:rsidRPr="00C5040F">
        <w:rPr>
          <w:color w:val="202124"/>
          <w:shd w:val="clear" w:color="auto" w:fill="FFFFFF"/>
        </w:rPr>
        <w:t xml:space="preserve"> ülkenin ikinci </w:t>
      </w:r>
      <w:r>
        <w:rPr>
          <w:color w:val="202124"/>
          <w:shd w:val="clear" w:color="auto" w:fill="FFFFFF"/>
        </w:rPr>
        <w:t>C</w:t>
      </w:r>
      <w:r w:rsidRPr="00C5040F">
        <w:rPr>
          <w:color w:val="202124"/>
          <w:shd w:val="clear" w:color="auto" w:fill="FFFFFF"/>
        </w:rPr>
        <w:t xml:space="preserve">umhurbaşkanı olarak göreve başlamıştır. Kazakistan’ın bağımsızlığından sonra Dışişleri Bakan yardımcısı, Dışişleri Bakanlığı ve Başbakanlık görevlerini icra eden </w:t>
      </w:r>
      <w:proofErr w:type="spellStart"/>
      <w:r w:rsidRPr="00C5040F">
        <w:rPr>
          <w:color w:val="202124"/>
          <w:shd w:val="clear" w:color="auto" w:fill="FFFFFF"/>
        </w:rPr>
        <w:t>Tokeyev</w:t>
      </w:r>
      <w:proofErr w:type="spellEnd"/>
      <w:r w:rsidRPr="00C5040F">
        <w:rPr>
          <w:color w:val="202124"/>
          <w:shd w:val="clear" w:color="auto" w:fill="FFFFFF"/>
        </w:rPr>
        <w:t xml:space="preserve">, Nazarbayev döneminde de Kazakistan’ın dış politikasının şekillenmesinde önemli bir aktördür. </w:t>
      </w:r>
      <w:proofErr w:type="spellStart"/>
      <w:r w:rsidRPr="00C5040F">
        <w:rPr>
          <w:color w:val="202124"/>
          <w:shd w:val="clear" w:color="auto" w:fill="FFFFFF"/>
        </w:rPr>
        <w:t>Tokayev</w:t>
      </w:r>
      <w:proofErr w:type="spellEnd"/>
      <w:r w:rsidRPr="00C5040F">
        <w:rPr>
          <w:color w:val="202124"/>
          <w:shd w:val="clear" w:color="auto" w:fill="FFFFFF"/>
        </w:rPr>
        <w:t xml:space="preserve"> göreve başladığında geçmişten gelen sorunların birçoğu çözülmüştür. Özellikle ülkenin demografik yapısı Kazakların lehinde değişmiştir. 2019 yılı itibariyle Ülkede %’63,1 Kazak, %’23,7 Rus olmak üzere 18,5 milyon nüfus vardır </w:t>
      </w:r>
      <w:r w:rsidRPr="00C5040F">
        <w:rPr>
          <w:color w:val="202124"/>
          <w:shd w:val="clear" w:color="auto" w:fill="FFFFFF"/>
        </w:rPr>
        <w:fldChar w:fldCharType="begin"/>
      </w:r>
      <w:r w:rsidRPr="00C5040F">
        <w:rPr>
          <w:color w:val="202124"/>
          <w:shd w:val="clear" w:color="auto" w:fill="FFFFFF"/>
        </w:rPr>
        <w:instrText xml:space="preserve"> ADDIN ZOTERO_ITEM CSL_CITATION {"citationID":"GTHVB7Ue","properties":{"formattedCitation":"({\\i{}Kazakistan\\uc0\\u8217{}\\uc0\\u305{}n Tarihi, Etnik Yap\\uc0\\u305{}s\\uc0\\u305{}, Dili ve Y\\uc0\\u246{}netim Bi\\uc0\\u231{}imi}, 2019)","plainCitation":"(Kazakistan’ın Tarihi, Etnik Yapısı, Dili ve Yönetim Biçimi, 2019)","noteIndex":0},"citationItems":[{"id":529,"uris":["http://zotero.org/users/10292326/items/W22LIRBA"],"itemData":{"id":529,"type":"webpage","abstract":"Kazakistan nasıl bir ülkedir? Yönetim biçimi, ekonomisi ve doğal kaynakları nasıldı? Kazakistan'ın kısa tarihi ve halkı hakkında tüm bilgiler.","language":"tr","note":"section: Ülkeler","title":"Kazakistan'ın Tarihi, Etnik Yapısı, Dili ve Yönetim Biçimi","URL":"https://ungo.com.tr/2019/11/kazakistan-hakkinda-bilgiler/","accessed":{"date-parts":[["2023",6,6]]},"issued":{"date-parts":[["2019",11,25]]}}}],"schema":"https://github.com/citation-style-language/schema/raw/master/csl-citation.json"} </w:instrText>
      </w:r>
      <w:r w:rsidRPr="00C5040F">
        <w:rPr>
          <w:color w:val="202124"/>
          <w:shd w:val="clear" w:color="auto" w:fill="FFFFFF"/>
        </w:rPr>
        <w:fldChar w:fldCharType="separate"/>
      </w:r>
      <w:r w:rsidRPr="00C5040F">
        <w:t>(</w:t>
      </w:r>
      <w:r w:rsidRPr="00C5040F">
        <w:rPr>
          <w:i/>
          <w:iCs/>
        </w:rPr>
        <w:t>Kazakistan’ın Tarihi, Etnik Yapısı, Dili ve Yönetim Biçimi</w:t>
      </w:r>
      <w:r w:rsidRPr="00C5040F">
        <w:t>, 2019)</w:t>
      </w:r>
      <w:r w:rsidRPr="00C5040F">
        <w:rPr>
          <w:color w:val="202124"/>
          <w:shd w:val="clear" w:color="auto" w:fill="FFFFFF"/>
        </w:rPr>
        <w:fldChar w:fldCharType="end"/>
      </w:r>
      <w:r w:rsidRPr="00C5040F">
        <w:rPr>
          <w:color w:val="202124"/>
          <w:shd w:val="clear" w:color="auto" w:fill="FFFFFF"/>
        </w:rPr>
        <w:t xml:space="preserve">.Kazakistan’ın kapalı ekonomik yapısı Batılı (AB ve ABD), bölgesel (İran </w:t>
      </w:r>
      <w:r w:rsidRPr="00C5040F">
        <w:rPr>
          <w:color w:val="202124"/>
          <w:shd w:val="clear" w:color="auto" w:fill="FFFFFF"/>
        </w:rPr>
        <w:lastRenderedPageBreak/>
        <w:t xml:space="preserve">Türkiye) Doğulu ( Çin ve BTD ) ile kurduğu ticari ilişkiler neticesinde liberal ekonomiye geçiş sürecini tamamlamıştır. Nazarbayev döneminde Çin ile inşa edilen petrol ve doğalgaz boru hatları dış politikanın Rusya tekelinden çıkması için imkân vermiştir. Yine bir önceki dönemde temelleri atılan ve 2020 yılı itibari ile yürürlüğe giren anlaşma sayesinde Hazar Denizinin statüsü sorunu çözülmüştür ve devletlerin münhasır ekonomik alanları belirlenmiştir </w:t>
      </w:r>
      <w:r w:rsidRPr="00C5040F">
        <w:rPr>
          <w:color w:val="202124"/>
          <w:shd w:val="clear" w:color="auto" w:fill="FFFFFF"/>
        </w:rPr>
        <w:fldChar w:fldCharType="begin"/>
      </w:r>
      <w:r w:rsidRPr="00C5040F">
        <w:rPr>
          <w:color w:val="202124"/>
          <w:shd w:val="clear" w:color="auto" w:fill="FFFFFF"/>
        </w:rPr>
        <w:instrText xml:space="preserve"> ADDIN ZOTERO_ITEM CSL_CITATION {"citationID":"FvZjyos4","properties":{"formattedCitation":"({\\i{}Hazar Denizi\\uc0\\u8217{}nin stat\\uc0\\u252{}s\\uc0\\u252{} 20 y\\uc0\\u305{}ll\\uc0\\u305{}k m\\uc0\\u252{}zakereler sonunda belli oldu | Euronews}, t.y.)","plainCitation":"(Hazar Denizi’nin statüsü 20 yıllık müzakereler sonunda belli oldu | Euronews, t.y.)","noteIndex":0},"citationItems":[{"id":531,"uris":["http://zotero.org/users/10292326/items/6JKSTAWC"],"itemData":{"id":531,"type":"webpage","title":"Hazar Denizi'nin statüsü 20 yıllık müzakereler sonunda belli oldu | Euronews","URL":"https://tr.euronews.com/2018/08/12/hazar-denizi-nin-statusu-20-yillik-muzakereler-sonunda-belli-oldu","accessed":{"date-parts":[["2023",6,6]]}}}],"schema":"https://github.com/citation-style-language/schema/raw/master/csl-citation.json"} </w:instrText>
      </w:r>
      <w:r w:rsidRPr="00C5040F">
        <w:rPr>
          <w:color w:val="202124"/>
          <w:shd w:val="clear" w:color="auto" w:fill="FFFFFF"/>
        </w:rPr>
        <w:fldChar w:fldCharType="separate"/>
      </w:r>
      <w:r w:rsidRPr="00C5040F">
        <w:t>(</w:t>
      </w:r>
      <w:r w:rsidRPr="00C5040F">
        <w:rPr>
          <w:i/>
          <w:iCs/>
        </w:rPr>
        <w:t>Hazar Denizi’nin statüsü 20 yıllık müzakereler sonunda belli oldu | Euronews</w:t>
      </w:r>
      <w:r w:rsidRPr="00C5040F">
        <w:t xml:space="preserve">, </w:t>
      </w:r>
      <w:proofErr w:type="spellStart"/>
      <w:r w:rsidRPr="00C5040F">
        <w:t>t.y</w:t>
      </w:r>
      <w:proofErr w:type="spellEnd"/>
      <w:r w:rsidRPr="00C5040F">
        <w:t>.)</w:t>
      </w:r>
      <w:r w:rsidRPr="00C5040F">
        <w:rPr>
          <w:color w:val="202124"/>
          <w:shd w:val="clear" w:color="auto" w:fill="FFFFFF"/>
        </w:rPr>
        <w:fldChar w:fldCharType="end"/>
      </w:r>
      <w:r w:rsidRPr="00C5040F">
        <w:rPr>
          <w:color w:val="202124"/>
          <w:shd w:val="clear" w:color="auto" w:fill="FFFFFF"/>
        </w:rPr>
        <w:t>.</w:t>
      </w:r>
    </w:p>
    <w:p w14:paraId="0CC22371" w14:textId="77777777" w:rsidR="0007275E" w:rsidRPr="00C5040F" w:rsidRDefault="0007275E" w:rsidP="000A70F0">
      <w:pPr>
        <w:jc w:val="both"/>
        <w:rPr>
          <w:color w:val="202124"/>
          <w:shd w:val="clear" w:color="auto" w:fill="FFFFFF"/>
        </w:rPr>
      </w:pPr>
    </w:p>
    <w:p w14:paraId="2C4B747E" w14:textId="45262ECC" w:rsidR="0034640B" w:rsidRDefault="0034640B" w:rsidP="000A70F0">
      <w:pPr>
        <w:jc w:val="both"/>
        <w:rPr>
          <w:color w:val="202124"/>
          <w:shd w:val="clear" w:color="auto" w:fill="FFFFFF"/>
        </w:rPr>
      </w:pPr>
      <w:r w:rsidRPr="00C5040F">
        <w:rPr>
          <w:color w:val="202124"/>
          <w:shd w:val="clear" w:color="auto" w:fill="FFFFFF"/>
        </w:rPr>
        <w:t>Nazarbayev döneminde inşa edilen çok yönlü(</w:t>
      </w:r>
      <w:proofErr w:type="spellStart"/>
      <w:r w:rsidRPr="00C5040F">
        <w:rPr>
          <w:color w:val="202124"/>
          <w:shd w:val="clear" w:color="auto" w:fill="FFFFFF"/>
        </w:rPr>
        <w:t>vektörlü</w:t>
      </w:r>
      <w:proofErr w:type="spellEnd"/>
      <w:r w:rsidRPr="00C5040F">
        <w:rPr>
          <w:color w:val="202124"/>
          <w:shd w:val="clear" w:color="auto" w:fill="FFFFFF"/>
        </w:rPr>
        <w:t xml:space="preserve">) ve pragmatik Kazakistan’ın uzun dönemli çıkarlarına hizmet eden dış politika anlayışı </w:t>
      </w:r>
      <w:proofErr w:type="spellStart"/>
      <w:r w:rsidRPr="00C5040F">
        <w:rPr>
          <w:color w:val="202124"/>
          <w:shd w:val="clear" w:color="auto" w:fill="FFFFFF"/>
        </w:rPr>
        <w:t>Tokayev</w:t>
      </w:r>
      <w:proofErr w:type="spellEnd"/>
      <w:r w:rsidRPr="00C5040F">
        <w:rPr>
          <w:color w:val="202124"/>
          <w:shd w:val="clear" w:color="auto" w:fill="FFFFFF"/>
        </w:rPr>
        <w:t xml:space="preserve"> döneminde de devam etmiştir. 2014 yılında yayınlanan 2014-2020 Kazakistan Dış Politika Konsepti belgesine göre Kazakistan’ın dış politikası; ulusal, bölgesel ve küresel güvenliğin güçlendirilmesi, diğer devletlerle karşılıklı faydaya dayalı dostane ilişkilerin kurulması, Kazakistan ekonomisin uluslararası ekonomiye entegrasyonu, bölgesel bütünleşmenin desteklenmesi, yasaların güçlendirilerek bireysel hakların korunması ilklerine dayanıyordu. </w:t>
      </w:r>
      <w:proofErr w:type="spellStart"/>
      <w:r w:rsidRPr="00C5040F">
        <w:rPr>
          <w:color w:val="202124"/>
          <w:shd w:val="clear" w:color="auto" w:fill="FFFFFF"/>
        </w:rPr>
        <w:t>Tokayev</w:t>
      </w:r>
      <w:proofErr w:type="spellEnd"/>
      <w:r w:rsidRPr="00C5040F">
        <w:rPr>
          <w:color w:val="202124"/>
          <w:shd w:val="clear" w:color="auto" w:fill="FFFFFF"/>
        </w:rPr>
        <w:t xml:space="preserve"> döneminin başlaması ile </w:t>
      </w:r>
      <w:r w:rsidRPr="00C5040F">
        <w:rPr>
          <w:color w:val="202124"/>
          <w:shd w:val="clear" w:color="auto" w:fill="FFFFFF"/>
        </w:rPr>
        <w:tab/>
        <w:t xml:space="preserve">6 Mart 2020 tarihinde Kazakistan’ın ‘’2020-2030 Dış Politika Konsepti’’ yayınlanmıştır. Bu konsept diğer konsepte göre daha detaylı olarak hazırlanmıştır. Yedi bölümden oluşan ilk konseptin birinci bölümünde uluslararası ilişkilere ve değişen dünya </w:t>
      </w:r>
      <w:proofErr w:type="spellStart"/>
      <w:r w:rsidRPr="00C5040F">
        <w:rPr>
          <w:color w:val="202124"/>
          <w:shd w:val="clear" w:color="auto" w:fill="FFFFFF"/>
        </w:rPr>
        <w:t>kon</w:t>
      </w:r>
      <w:r>
        <w:rPr>
          <w:color w:val="202124"/>
          <w:shd w:val="clear" w:color="auto" w:fill="FFFFFF"/>
        </w:rPr>
        <w:t>j</w:t>
      </w:r>
      <w:r w:rsidRPr="00C5040F">
        <w:rPr>
          <w:color w:val="202124"/>
          <w:shd w:val="clear" w:color="auto" w:fill="FFFFFF"/>
        </w:rPr>
        <w:t>ektörüne</w:t>
      </w:r>
      <w:proofErr w:type="spellEnd"/>
      <w:r w:rsidRPr="00C5040F">
        <w:rPr>
          <w:color w:val="202124"/>
          <w:shd w:val="clear" w:color="auto" w:fill="FFFFFF"/>
        </w:rPr>
        <w:t xml:space="preserve"> değinilmiştir. Birinci bölümde vurgulanan uluslararası hukukun erozyona uğradığı devletlere yönelik tehditlerin arttığı vurgulanmıştır. Orta Asya’nın gelecekte dünya siyasetinde kilit bir nokta da olacağı ve Kazakistan’ında bu siyasetin kalbinde yer alacağı ve Orta Asya devletlerine liderlik edeceği vurgulanmıştır. Kazakistan’ın stratejik hedefleri belirlenmiştir. İkinci bölümde bu amaçlara hangi yöntemler ile ulaşılacağı üzerinde durulmuştur. Üçüncü bölümde Kazakistan’ın dış politikasının temel ilkleri ve stratejik hedeflerinden bahsedilmiştir. Temel prensipler bir önceki konsepti ile aynıdır. Ülkenin kurucu Cumhurbaşkanı </w:t>
      </w:r>
      <w:proofErr w:type="spellStart"/>
      <w:proofErr w:type="gramStart"/>
      <w:r w:rsidRPr="00C5040F">
        <w:rPr>
          <w:color w:val="202124"/>
          <w:shd w:val="clear" w:color="auto" w:fill="FFFFFF"/>
        </w:rPr>
        <w:t>Nazarbayev‘</w:t>
      </w:r>
      <w:proofErr w:type="gramEnd"/>
      <w:r w:rsidRPr="00C5040F">
        <w:rPr>
          <w:color w:val="202124"/>
          <w:shd w:val="clear" w:color="auto" w:fill="FFFFFF"/>
        </w:rPr>
        <w:t>ın</w:t>
      </w:r>
      <w:proofErr w:type="spellEnd"/>
      <w:r w:rsidRPr="00C5040F">
        <w:rPr>
          <w:color w:val="202124"/>
          <w:shd w:val="clear" w:color="auto" w:fill="FFFFFF"/>
        </w:rPr>
        <w:t xml:space="preserve"> dış politika duruşunun devam edeceği  vurgulanmıştır. Dördüncü bölümde Kazakistan’ın amaç ve hedefleri vurgulanmıştır. Beşinci bölümde stratejik hedeflerin geliştirilmesinde hangi metotların takip edilmesi gerektiğinden bahsedilmiştir. Altıncı bölümde dış politikadan beklenen beklentiler ve sonuçlar üzerinde durulmuştur. Görüldüğü üzere Kazakistan’ın yeni dış politikası Nazarbayev döneminde olduğu gibi proaktif, pragmatist ve küresel güçler arasında denge kurmaya dayanmaktadır Diğer konseptten farklı olarak Kazakistan Orta Asya ülkeleri arasındaki liderliğini direk olarak ifade etmiştir ve Kazakistan’ın uzun vadeli stratejik, sürdürülebilir hedefleri üzerinde durulmuştur</w:t>
      </w:r>
      <w:r w:rsidRPr="00C5040F">
        <w:rPr>
          <w:color w:val="202124"/>
          <w:shd w:val="clear" w:color="auto" w:fill="FFFFFF"/>
        </w:rPr>
        <w:fldChar w:fldCharType="begin"/>
      </w:r>
      <w:r w:rsidRPr="00C5040F">
        <w:rPr>
          <w:color w:val="202124"/>
          <w:shd w:val="clear" w:color="auto" w:fill="FFFFFF"/>
        </w:rPr>
        <w:instrText xml:space="preserve"> ADDIN ZOTERO_ITEM CSL_CITATION {"citationID":"mDhDCaLc","properties":{"formattedCitation":"(Hamzao\\uc0\\u287{}lu, 2020)","plainCitation":"(Hamzaoğlu, 2020)","noteIndex":0},"citationItems":[{"id":329,"uris":["http://zotero.org/users/10292326/items/SQBAFMDK"],"itemData":{"id":329,"type":"article-journal","abstract":"Having gained its independence in 1991, the Republic of Kazakhstan has a multi-vector, pragmatic and pro-active foreign policy strategy. This foreign policy strategy, developed by Kazakhstan Founding President Elbasy Nursultan Nazarbayev, continues to have an impact today. The Republic of Kazakhstan has become the leading country of Central Asia under the leadership of Nazarbayev and has gained a respected position in international relations.","container-title":"International Journal of Social Humanities Sciences Research (JSHSR)","DOI":"10.26450/jshsr.1851","ISSN":"2459-1149","issue":"52","journalAbbreviation":"jshsr","language":"tr","page":"978-985","source":"DOI.org (Crossref)","title":"KAZAKİSTAN'IN \"2020-2030 DIŞ POLİTİKA KONSEPTİ\"NİN ANALİZİ","volume":"7","author":[{"family":"Hamzaoğlu","given":"Halit"}],"issued":{"date-parts":[["2020",1,1]]}}}],"schema":"https://github.com/citation-style-language/schema/raw/master/csl-citation.json"} </w:instrText>
      </w:r>
      <w:r w:rsidRPr="00C5040F">
        <w:rPr>
          <w:color w:val="202124"/>
          <w:shd w:val="clear" w:color="auto" w:fill="FFFFFF"/>
        </w:rPr>
        <w:fldChar w:fldCharType="separate"/>
      </w:r>
      <w:r w:rsidRPr="00C5040F">
        <w:t>(Hamzaoğlu, 2020)</w:t>
      </w:r>
      <w:r w:rsidRPr="00C5040F">
        <w:rPr>
          <w:color w:val="202124"/>
          <w:shd w:val="clear" w:color="auto" w:fill="FFFFFF"/>
        </w:rPr>
        <w:fldChar w:fldCharType="end"/>
      </w:r>
      <w:r w:rsidRPr="00C5040F">
        <w:rPr>
          <w:color w:val="202124"/>
          <w:shd w:val="clear" w:color="auto" w:fill="FFFFFF"/>
        </w:rPr>
        <w:t>.</w:t>
      </w:r>
    </w:p>
    <w:p w14:paraId="4EC57DC5" w14:textId="77777777" w:rsidR="0007275E" w:rsidRPr="00C5040F" w:rsidRDefault="0007275E" w:rsidP="000A70F0">
      <w:pPr>
        <w:jc w:val="both"/>
        <w:rPr>
          <w:color w:val="202124"/>
          <w:shd w:val="clear" w:color="auto" w:fill="FFFFFF"/>
        </w:rPr>
      </w:pPr>
    </w:p>
    <w:p w14:paraId="65C0CA08" w14:textId="64DE150F" w:rsidR="0034640B" w:rsidRPr="00C5040F" w:rsidRDefault="0034640B" w:rsidP="000A70F0">
      <w:pPr>
        <w:jc w:val="both"/>
        <w:rPr>
          <w:color w:val="202124"/>
          <w:shd w:val="clear" w:color="auto" w:fill="FFFFFF"/>
        </w:rPr>
      </w:pPr>
      <w:r w:rsidRPr="00C5040F">
        <w:rPr>
          <w:color w:val="202124"/>
          <w:shd w:val="clear" w:color="auto" w:fill="FFFFFF"/>
        </w:rPr>
        <w:t xml:space="preserve">Kazakistan’ın çok yönlü </w:t>
      </w:r>
      <w:proofErr w:type="spellStart"/>
      <w:r w:rsidRPr="00C5040F">
        <w:rPr>
          <w:color w:val="202124"/>
          <w:shd w:val="clear" w:color="auto" w:fill="FFFFFF"/>
        </w:rPr>
        <w:t>pro</w:t>
      </w:r>
      <w:proofErr w:type="spellEnd"/>
      <w:r w:rsidRPr="00C5040F">
        <w:rPr>
          <w:color w:val="202124"/>
          <w:shd w:val="clear" w:color="auto" w:fill="FFFFFF"/>
        </w:rPr>
        <w:t xml:space="preserve">-aktif dış politikasına rağmen Rusya’nın ağırlığı söz konusudur. </w:t>
      </w:r>
      <w:proofErr w:type="spellStart"/>
      <w:r w:rsidRPr="00C5040F">
        <w:rPr>
          <w:color w:val="202124"/>
          <w:shd w:val="clear" w:color="auto" w:fill="FFFFFF"/>
        </w:rPr>
        <w:t>Tokeyev</w:t>
      </w:r>
      <w:proofErr w:type="spellEnd"/>
      <w:r w:rsidRPr="00C5040F">
        <w:rPr>
          <w:color w:val="202124"/>
          <w:shd w:val="clear" w:color="auto" w:fill="FFFFFF"/>
        </w:rPr>
        <w:t xml:space="preserve"> başkan olduktan sonra ilk ziyaretini Rusya’ya gerçekleştirmiştir. Diğer yandan Nazarbayev döneminde Çin’de çalışan ve Çince bile </w:t>
      </w:r>
      <w:proofErr w:type="spellStart"/>
      <w:r w:rsidRPr="00C5040F">
        <w:rPr>
          <w:color w:val="202124"/>
          <w:shd w:val="clear" w:color="auto" w:fill="FFFFFF"/>
        </w:rPr>
        <w:t>Tokayev</w:t>
      </w:r>
      <w:proofErr w:type="spellEnd"/>
      <w:r w:rsidRPr="00C5040F">
        <w:rPr>
          <w:color w:val="202124"/>
          <w:shd w:val="clear" w:color="auto" w:fill="FFFFFF"/>
        </w:rPr>
        <w:t xml:space="preserve"> Şangay çatısı altında da etkin politikalar izlemektedir. </w:t>
      </w:r>
      <w:proofErr w:type="spellStart"/>
      <w:r w:rsidRPr="00C5040F">
        <w:rPr>
          <w:color w:val="202124"/>
          <w:shd w:val="clear" w:color="auto" w:fill="FFFFFF"/>
        </w:rPr>
        <w:t>Tokayev</w:t>
      </w:r>
      <w:proofErr w:type="spellEnd"/>
      <w:r w:rsidRPr="00C5040F">
        <w:rPr>
          <w:color w:val="202124"/>
          <w:shd w:val="clear" w:color="auto" w:fill="FFFFFF"/>
        </w:rPr>
        <w:t xml:space="preserve"> hem bölgesel hem de küresek aktörlerle iş birliğini arttırarak Kazakistan’ın çok </w:t>
      </w:r>
      <w:proofErr w:type="spellStart"/>
      <w:r w:rsidRPr="00C5040F">
        <w:rPr>
          <w:color w:val="202124"/>
          <w:shd w:val="clear" w:color="auto" w:fill="FFFFFF"/>
        </w:rPr>
        <w:t>vektörlü</w:t>
      </w:r>
      <w:proofErr w:type="spellEnd"/>
      <w:r w:rsidRPr="00C5040F">
        <w:rPr>
          <w:color w:val="202124"/>
          <w:shd w:val="clear" w:color="auto" w:fill="FFFFFF"/>
        </w:rPr>
        <w:t xml:space="preserve"> dış politika karakterine uygun davranmıştır. Bu bağlamda </w:t>
      </w:r>
      <w:proofErr w:type="spellStart"/>
      <w:r w:rsidRPr="00C5040F">
        <w:rPr>
          <w:color w:val="202124"/>
          <w:shd w:val="clear" w:color="auto" w:fill="FFFFFF"/>
        </w:rPr>
        <w:t>Tokayev</w:t>
      </w:r>
      <w:proofErr w:type="spellEnd"/>
      <w:r w:rsidRPr="00C5040F">
        <w:rPr>
          <w:color w:val="202124"/>
          <w:shd w:val="clear" w:color="auto" w:fill="FFFFFF"/>
        </w:rPr>
        <w:t xml:space="preserve"> Özbekistan ile 6 Aralık 2021 tarihinde Müttefiklik Anlaşması imzalamıştır. 12 Kasım 2021 tarihinde Türk Devletleri Teşkilatı çatısı altında kurulan TURANSEZ Ekonomik Bölgesi kurulmasını teklif etmiştir </w:t>
      </w:r>
      <w:r w:rsidRPr="00C5040F">
        <w:rPr>
          <w:color w:val="202124"/>
          <w:shd w:val="clear" w:color="auto" w:fill="FFFFFF"/>
        </w:rPr>
        <w:fldChar w:fldCharType="begin"/>
      </w:r>
      <w:r w:rsidRPr="00C5040F">
        <w:rPr>
          <w:color w:val="202124"/>
          <w:shd w:val="clear" w:color="auto" w:fill="FFFFFF"/>
        </w:rPr>
        <w:instrText xml:space="preserve"> ADDIN ZOTERO_ITEM CSL_CITATION {"citationID":"WaHcHO7K","properties":{"formattedCitation":"({\\i{}Tokayev\\uc0\\u8217{}in etkin d\\uc0\\u305{}\\uc0\\u351{} politikas\\uc0\\u305{} - Vusal HASANZADEH}, t.y.)","plainCitation":"(Tokayev’in etkin dış politikası - Vusal HASANZADEH, t.y.)","noteIndex":0},"citationItems":[{"id":533,"uris":["http://zotero.org/users/10292326/items/YZV2NNTD"],"itemData":{"id":533,"type":"webpage","abstract":"Olaylar Ve Görüşler","language":"tr","title":"Tokayev’in etkin dış politikası - Vusal HASANZADEH","URL":"https://www.cumhuriyet.com.tr/yazarlar/olaylar-ve-gorusler/tokayevin-etkin-dis-politikasi-vusal-hasanzadeh-1972665","accessed":{"date-parts":[["2023",6,6]]}}}],"schema":"https://github.com/citation-style-language/schema/raw/master/csl-citation.json"} </w:instrText>
      </w:r>
      <w:r w:rsidRPr="00C5040F">
        <w:rPr>
          <w:color w:val="202124"/>
          <w:shd w:val="clear" w:color="auto" w:fill="FFFFFF"/>
        </w:rPr>
        <w:fldChar w:fldCharType="separate"/>
      </w:r>
      <w:r w:rsidRPr="00C5040F">
        <w:t>(</w:t>
      </w:r>
      <w:r w:rsidRPr="00C5040F">
        <w:rPr>
          <w:i/>
          <w:iCs/>
        </w:rPr>
        <w:t>Tokayev’in etkin dış politikası - Vusal HASANZADEH</w:t>
      </w:r>
      <w:r w:rsidRPr="00C5040F">
        <w:t xml:space="preserve">, </w:t>
      </w:r>
      <w:proofErr w:type="spellStart"/>
      <w:r w:rsidRPr="00C5040F">
        <w:t>t.y</w:t>
      </w:r>
      <w:proofErr w:type="spellEnd"/>
      <w:r w:rsidRPr="00C5040F">
        <w:t>.)</w:t>
      </w:r>
      <w:r w:rsidRPr="00C5040F">
        <w:rPr>
          <w:color w:val="202124"/>
          <w:shd w:val="clear" w:color="auto" w:fill="FFFFFF"/>
        </w:rPr>
        <w:fldChar w:fldCharType="end"/>
      </w:r>
      <w:r w:rsidRPr="00C5040F">
        <w:rPr>
          <w:color w:val="202124"/>
          <w:shd w:val="clear" w:color="auto" w:fill="FFFFFF"/>
        </w:rPr>
        <w:t>.</w:t>
      </w:r>
    </w:p>
    <w:p w14:paraId="301380F4" w14:textId="77777777" w:rsidR="0034640B" w:rsidRPr="00C5040F" w:rsidRDefault="0034640B" w:rsidP="000A70F0">
      <w:pPr>
        <w:ind w:left="360"/>
        <w:jc w:val="both"/>
        <w:rPr>
          <w:shd w:val="clear" w:color="auto" w:fill="FFFFFF"/>
        </w:rPr>
      </w:pPr>
    </w:p>
    <w:p w14:paraId="76310744" w14:textId="1F650006" w:rsidR="0034640B" w:rsidRPr="00FC4D53" w:rsidRDefault="0034640B" w:rsidP="000A70F0">
      <w:pPr>
        <w:rPr>
          <w:b/>
          <w:bCs/>
        </w:rPr>
      </w:pPr>
      <w:r w:rsidRPr="009F0AE3">
        <w:rPr>
          <w:b/>
          <w:bCs/>
        </w:rPr>
        <w:t>Rusya –Ukrayna Savaşı Kazakistan'ının Tepkisi</w:t>
      </w:r>
    </w:p>
    <w:p w14:paraId="51F0BE9A" w14:textId="034B767A" w:rsidR="0034640B" w:rsidRDefault="0034640B" w:rsidP="000A70F0">
      <w:pPr>
        <w:jc w:val="both"/>
      </w:pPr>
      <w:r w:rsidRPr="00C5040F">
        <w:t xml:space="preserve">Tarihin önceki sayfalarına bakıldığında görülmektedir ki Rusya-Ukrayna ilişkileri bazen yakın bazen uzak olmak kaydıyla istikrarsız bir şekilde ilerlemiştir. Kazakistan tarihi ile aynı minvalde ilerleyen Ukrayna tarihi geçmişte </w:t>
      </w:r>
      <w:r>
        <w:t>Ç</w:t>
      </w:r>
      <w:r w:rsidRPr="00C5040F">
        <w:t xml:space="preserve">arlık Rusya’nın toprakları içinde yer almıştır ve </w:t>
      </w:r>
      <w:r w:rsidRPr="00C5040F">
        <w:lastRenderedPageBreak/>
        <w:t>Sovyetlerin dağılması ile bağımsızlığını kazanmıştır. Ukrayna’nın bağımsız bir devlet olmasına rağmen Rus lideri Putin Ukrayna’yı Rusya’nın toprağı olarak görmesi Ukrayna tarafından bağımsızlığına tehdit olarak algılanmıştır. Bağımsızlığını korumak isteyen Ukrayna</w:t>
      </w:r>
      <w:r>
        <w:t>,</w:t>
      </w:r>
      <w:r w:rsidRPr="00C5040F">
        <w:t xml:space="preserve"> ABD ve AB ile yakın ilişkiler kurmak istemiştir. Özellikle 18 Mart 2014 tarihinde Rusya’nın Kırımı işgal etmesi ve Ukrayna’nın </w:t>
      </w:r>
      <w:proofErr w:type="spellStart"/>
      <w:r w:rsidRPr="00C5040F">
        <w:t>Donetsk</w:t>
      </w:r>
      <w:proofErr w:type="spellEnd"/>
      <w:r w:rsidRPr="00C5040F">
        <w:t xml:space="preserve"> ve </w:t>
      </w:r>
      <w:proofErr w:type="spellStart"/>
      <w:r w:rsidRPr="00C5040F">
        <w:t>Lungansk’taki</w:t>
      </w:r>
      <w:proofErr w:type="spellEnd"/>
      <w:r w:rsidRPr="00C5040F">
        <w:t xml:space="preserve"> ayrılıkçı hareketleri desteklemesi Ukrayna’yı NATO’nun güvenlik şemsiyesi altına girme talebini gündeme getirmesine sebep olmuştur. NATO’nun Rusya sınırlarına dayanma ihtimali Rusya tarafından ulusal güvenliğine tehdit olarak algılanmıştır ve 22 Şubat 2022 tarihinde Rusya, Ukrayna topraklarına saldırmıştır. Rusya ilerleyen günlerde Ukrayna’nın bazı bölgelerini işgal etmiştir. 8 milyondan fazla insan ülkelerini terk etmiştir ve hem sivil hem asker binlerce insan hayatını kaybetmiştir.</w:t>
      </w:r>
    </w:p>
    <w:p w14:paraId="2DA3D78A" w14:textId="77777777" w:rsidR="0007275E" w:rsidRPr="00C5040F" w:rsidRDefault="0007275E" w:rsidP="000A70F0">
      <w:pPr>
        <w:jc w:val="both"/>
      </w:pPr>
    </w:p>
    <w:p w14:paraId="1BCD0060" w14:textId="6526179E" w:rsidR="0034640B" w:rsidRDefault="0034640B" w:rsidP="000A70F0">
      <w:pPr>
        <w:jc w:val="both"/>
      </w:pPr>
      <w:r w:rsidRPr="00C5040F">
        <w:t xml:space="preserve">2 Mart 2022 tarihinde Rusya’nın Ukrayna’yı işgali için toplanan Birleşmiş Miletler Güvenlik Konseyinde Kuzey Kore, </w:t>
      </w:r>
      <w:proofErr w:type="spellStart"/>
      <w:r w:rsidRPr="00C5040F">
        <w:t>Belaraus</w:t>
      </w:r>
      <w:proofErr w:type="spellEnd"/>
      <w:r w:rsidRPr="00C5040F">
        <w:t xml:space="preserve"> ve Eritre dışında 140 ülke aleyhte oy kullanmıştır. ABD, AB başta olmak üzere uluslararası kamuoyu Rusya’yı kınamıştır ve derhal işgale son vermesi için çağrıda bulunmuştur. Rusya’nın bütün uyarılara rağmen işgale devam etmesi sayısı on bini geçen yaptırıma uğramasına neden olmuştur. Rusya </w:t>
      </w:r>
      <w:r>
        <w:t>M</w:t>
      </w:r>
      <w:r w:rsidRPr="00C5040F">
        <w:t xml:space="preserve">erkez </w:t>
      </w:r>
      <w:r>
        <w:t>B</w:t>
      </w:r>
      <w:r w:rsidRPr="00C5040F">
        <w:t xml:space="preserve">ankasının varlığı dondurulmuştur ve Rusya Uluslararası Para Transferi (SWİFT)’ten çıkartılmıştır. Orta Asya ülkelerini de ilgilendiren önemli yaptırımlardan biri Rusya’nın enerji transferine getirilen kısıtlamalardır. Çünkü daha önceki bölümde bahsettiğimiz üzere Kazakistan enerji transferinin büyük çoğunluğunu Rus boru hatları üzerinden gerçekleştirmektedir. Uluslararası firmalar Rusya’yı terk etmiştir bu firmaların dövizlerini çekmesi Rus ekonomisinde daralmaya neden olmuştur ve bu firmalar altında açılan insanlar işsiz kalmıştır. Rusya’nın </w:t>
      </w:r>
      <w:proofErr w:type="spellStart"/>
      <w:r w:rsidRPr="00C5040F">
        <w:t>SWİFT’ten</w:t>
      </w:r>
      <w:proofErr w:type="spellEnd"/>
      <w:r w:rsidRPr="00C5040F">
        <w:t xml:space="preserve"> çıkarılması dış borçlarını ödemek hususunda Rusya’yı zorlamıştır. Ruble ile borç ödeme hamlesi de Rusya’nın zor durumda kaldığının göstergesi olmuştur. Birçok gıdadan havacılığa kadar CNN, BBC, Starbucks MC </w:t>
      </w:r>
      <w:proofErr w:type="spellStart"/>
      <w:r w:rsidRPr="00C5040F">
        <w:t>Donalds</w:t>
      </w:r>
      <w:proofErr w:type="spellEnd"/>
      <w:r w:rsidRPr="00C5040F">
        <w:t>, Shell gibi birçok uluslararası firma Rusya’dan çekilmiştir. Rusya hem sıcak savaş hem de ekonomik savaşla karşı karşıya kalmıştır ve ağır bedeller ödemektedi</w:t>
      </w:r>
      <w:r>
        <w:t xml:space="preserve">r </w:t>
      </w:r>
      <w:r>
        <w:fldChar w:fldCharType="begin"/>
      </w:r>
      <w:r>
        <w:instrText xml:space="preserve"> ADDIN ZOTERO_ITEM CSL_CITATION {"citationID":"yGKFT9gr","properties":{"formattedCitation":"({\\i{}Rusya\\uc0\\u8217{}ya Y\\uc0\\u246{}nelik Yapt\\uc0\\u305{}r\\uc0\\u305{}mlar\\uc0\\u305{}n Kazakistan Ekonomisine Etkileri}, t.y.)","plainCitation":"(Rusya’ya Yönelik Yaptırımların Kazakistan Ekonomisine Etkileri, t.y.)","noteIndex":0},"citationItems":[{"id":450,"uris":["http://zotero.org/users/10292326/items/2AVJIGKW"],"itemData":{"id":450,"type":"post-weblog","abstract":"Küresel çapta ülkeler COVID-19’un etkileriyle mücadele ederken, Ukrayna’daki savaş mevcut durumu daha da kötüleştirerek pek çok ülkenin ekonomisine olumsuz yansımaktadır. Rusya’nın Ukrayna’yı işgali sonrasında başta Amerika Birleşik Devletleri ile Batılı ülkeler ve onların müttefikleri Rusya’ya karşı pek çok alanı kapsayan ağır yaptırımlar uygulamaya başlamıştır. Bu süreç özellikle Rusya’nın küresel ticaret […]","language":"tr-TR","title":"Rusya’ya Yönelik Yaptırımların Kazakistan Ekonomisine Etkileri","URL":"https://www.eurasian-research.org/publication/rusyaya-yonelik-yaptirimlarin-kazakistan-ekonomisine-etkileri/?lang=tr","accessed":{"date-parts":[["2023",5,30]]}}}],"schema":"https://github.com/citation-style-language/schema/raw/master/csl-citation.json"} </w:instrText>
      </w:r>
      <w:r>
        <w:fldChar w:fldCharType="separate"/>
      </w:r>
      <w:r w:rsidRPr="000B1A46">
        <w:t>(</w:t>
      </w:r>
      <w:r w:rsidRPr="000B1A46">
        <w:rPr>
          <w:i/>
          <w:iCs/>
        </w:rPr>
        <w:t>Rusya’ya Yönelik Yaptırımların Kazakistan Ekonomisine Etkileri</w:t>
      </w:r>
      <w:r w:rsidRPr="000B1A46">
        <w:t xml:space="preserve">, </w:t>
      </w:r>
      <w:proofErr w:type="spellStart"/>
      <w:r w:rsidRPr="000B1A46">
        <w:t>t.y</w:t>
      </w:r>
      <w:proofErr w:type="spellEnd"/>
      <w:r w:rsidRPr="000B1A46">
        <w:t>.)</w:t>
      </w:r>
      <w:r>
        <w:fldChar w:fldCharType="end"/>
      </w:r>
      <w:r>
        <w:t>.</w:t>
      </w:r>
    </w:p>
    <w:p w14:paraId="02038A09" w14:textId="77777777" w:rsidR="0007275E" w:rsidRPr="00C5040F" w:rsidRDefault="0007275E" w:rsidP="000A70F0">
      <w:pPr>
        <w:jc w:val="both"/>
      </w:pPr>
    </w:p>
    <w:p w14:paraId="229421F7" w14:textId="0164FA10" w:rsidR="0034640B" w:rsidRDefault="0034640B" w:rsidP="0007275E">
      <w:pPr>
        <w:jc w:val="both"/>
      </w:pPr>
      <w:r w:rsidRPr="00C5040F">
        <w:t>Rusya’nın işgali Ukrayna ve Rusya ekonomisinde ağır ekonomik külfete neden olmuştur. Küresel ve bölgesel etkileri olan savaşta Orta Asya ülkeleri özellikle Kazakistan’da ağır ekonomik sorunlar ile baş etmek zorunda kalmıştır. Rusya</w:t>
      </w:r>
      <w:r>
        <w:t>;</w:t>
      </w:r>
      <w:r w:rsidRPr="00C5040F">
        <w:t xml:space="preserve"> BDT, Bağımsız Devletler Topluluğu Serbest Ticaret Bölgesi, Avrasya Ekonomik Birliği, Şanghay İş Birliği Örgütü ve Kollektif Güvenlik Anlaşması’nda önemli bir aktördür.  2 Mart 2022 oylamasında Kazakistan Rusya’nın yanında olmak yerine çekimser oy kullanmıştır.</w:t>
      </w:r>
    </w:p>
    <w:p w14:paraId="3163F612" w14:textId="77777777" w:rsidR="0007275E" w:rsidRDefault="0007275E" w:rsidP="0007275E">
      <w:pPr>
        <w:jc w:val="both"/>
      </w:pPr>
    </w:p>
    <w:p w14:paraId="27E7D853" w14:textId="28AA8959" w:rsidR="0034640B" w:rsidRDefault="0034640B" w:rsidP="0007275E">
      <w:pPr>
        <w:jc w:val="both"/>
      </w:pPr>
      <w:r w:rsidRPr="00C5040F">
        <w:t>Kazakistan’ın açısından Rusya en önemli ticari ortaktır. Rusya pazarı enerji, teknoloji, gıda alanlarında tedarik sorunu yaşamıştır. 2021 yılında Rusya ve Kazakistan arasındaki ticaret hacmi 26 milyar dolara ulaşmıştır</w:t>
      </w:r>
      <w:r w:rsidRPr="00C5040F">
        <w:fldChar w:fldCharType="begin"/>
      </w:r>
      <w:r w:rsidRPr="00C5040F">
        <w:instrText xml:space="preserve"> ADDIN ZOTERO_ITEM CSL_CITATION {"citationID":"eTaimpdf","properties":{"formattedCitation":"({\\i{}Putin ve Tokayev, Kazakistan\\uc0\\u8217{}daki ocak olaylar\\uc0\\u305{}n\\uc0\\u305{} g\\uc0\\u246{}r\\uc0\\u252{}\\uc0\\u351{}t\\uc0\\u252{}}, t.y.)","plainCitation":"(Putin ve Tokayev, Kazakistan’daki ocak olaylarını görüştü, t.y.)","noteIndex":0},"citationItems":[{"id":535,"uris":["http://zotero.org/users/10292326/items/NYI6BNNU"],"itemData":{"id":535,"type":"webpage","abstract":"- Anadolu Ajansı","title":"Putin ve Tokayev, Kazakistan'daki ocak olaylarını görüştü","URL":"https://www.aa.com.tr/tr/dunya/putin-ve-tokayev-kazakistandaki-ocak-olaylarini-gorustu/2499204","accessed":{"date-parts":[["2023",6,7]]}}}],"schema":"https://github.com/citation-style-language/schema/raw/master/csl-citation.json"} </w:instrText>
      </w:r>
      <w:r w:rsidRPr="00C5040F">
        <w:fldChar w:fldCharType="separate"/>
      </w:r>
      <w:r w:rsidRPr="00C5040F">
        <w:t>(</w:t>
      </w:r>
      <w:r w:rsidRPr="00C5040F">
        <w:rPr>
          <w:i/>
          <w:iCs/>
        </w:rPr>
        <w:t>Putin ve Tokayev, Kazakistan’daki ocak olaylarını görüştü</w:t>
      </w:r>
      <w:r w:rsidRPr="00C5040F">
        <w:t>, )</w:t>
      </w:r>
      <w:r w:rsidRPr="00C5040F">
        <w:fldChar w:fldCharType="end"/>
      </w:r>
      <w:r>
        <w:t>.</w:t>
      </w:r>
      <w:r w:rsidRPr="00C5040F">
        <w:t xml:space="preserve"> Diğer Orta Asya ülkelerine nazaran Kazakistan ve Rusya arasındaki ticaret hacmi fazladır. Rusya’daki merkez bankası 28 Şubat 2022 tarihinde enflasyonla mücadele etmek için baz faiz oranını %’9,5’ten %’20 ye yükselmiştir bu karar Kazakistan merkez bankasının faiz oranllarını%’9,75’ten %’14 çıkartmıştır. Daha önceki kısımda bahsettiğimiz üzere Kazakistan bağımsızlığından buyana Rus rublesine bağımlıdır. Yabancı sermayenin Rusya’dan çekilmesi neticesinde ruble değer kaybına neden olmuştur bu da </w:t>
      </w:r>
      <w:proofErr w:type="spellStart"/>
      <w:r w:rsidRPr="00C5040F">
        <w:t>tengrenin</w:t>
      </w:r>
      <w:proofErr w:type="spellEnd"/>
      <w:r w:rsidRPr="00C5040F">
        <w:t xml:space="preserve"> %’16 oranında değer kaybetmesine neden olmuştur. </w:t>
      </w:r>
      <w:proofErr w:type="spellStart"/>
      <w:r w:rsidRPr="00C5040F">
        <w:t>Tengrenin</w:t>
      </w:r>
      <w:proofErr w:type="spellEnd"/>
      <w:r w:rsidRPr="00C5040F">
        <w:t xml:space="preserve"> değer kaybetmesi neticesinde ithal malların değerinde %’14 oranında yükselmiştir.</w:t>
      </w:r>
    </w:p>
    <w:p w14:paraId="559E440C" w14:textId="77777777" w:rsidR="0007275E" w:rsidRDefault="0007275E" w:rsidP="0007275E">
      <w:pPr>
        <w:jc w:val="both"/>
      </w:pPr>
    </w:p>
    <w:p w14:paraId="0462A898" w14:textId="2F8327E5" w:rsidR="0034640B" w:rsidRPr="00C5040F" w:rsidRDefault="0034640B" w:rsidP="0007275E">
      <w:pPr>
        <w:jc w:val="both"/>
      </w:pPr>
      <w:r w:rsidRPr="00C5040F">
        <w:lastRenderedPageBreak/>
        <w:t xml:space="preserve">Rusya’nın SWİFT sisteminden çıkartılması Kazakistan’da önemli faaliyet gösteren </w:t>
      </w:r>
      <w:proofErr w:type="spellStart"/>
      <w:r w:rsidRPr="00C5040F">
        <w:t>Sberbank’ın</w:t>
      </w:r>
      <w:proofErr w:type="spellEnd"/>
      <w:r w:rsidRPr="00C5040F">
        <w:t xml:space="preserve"> yaptırıma uğraması Kazak müştehilerinde zor durumda kalmasına sebep olmuştur. Kazakistan ve Rusya arasında ticaret yapmak zorlaşmıştır Rusya’ya uygulanan yaptırımlar Kazakistan ekonomisini ve vatandaşlarını dolaylı yoldan etkilemiştir. Kazakistan’ın Batı ile olan ticareti büyük çoğunlukta Rusya üzerinden gerçekleşmektedir. Rusya limanlarından Batı limanlarına gönderilen Kazakistan’ın ürünleri ilgili ülkeler tarafından reddedilmiştir ve gümrükte kalmıştır. Özellikle petrol ve doğalgaz ürünlerinin Rus boru hatlarından Batıya ulaştırılıyor olması Kazakistan açısından ciddi ekonomik sorunlara neden olmuştur.</w:t>
      </w:r>
    </w:p>
    <w:p w14:paraId="6A9EBB65" w14:textId="77777777" w:rsidR="0007275E" w:rsidRDefault="0007275E" w:rsidP="0007275E">
      <w:pPr>
        <w:jc w:val="both"/>
      </w:pPr>
    </w:p>
    <w:p w14:paraId="57EA8AC9" w14:textId="33A5619E" w:rsidR="0034640B" w:rsidRPr="00C5040F" w:rsidRDefault="0034640B" w:rsidP="0007275E">
      <w:pPr>
        <w:jc w:val="both"/>
        <w:rPr>
          <w:color w:val="333333"/>
          <w:shd w:val="clear" w:color="auto" w:fill="FFFFFF"/>
        </w:rPr>
      </w:pPr>
      <w:r w:rsidRPr="00C5040F">
        <w:t>Savaşın ilerleyen gümlerinde Putin</w:t>
      </w:r>
      <w:r>
        <w:t>,</w:t>
      </w:r>
      <w:r w:rsidRPr="00C5040F">
        <w:t xml:space="preserve"> Kazakistan’dan asker talebinde bulunmuştur ancak </w:t>
      </w:r>
      <w:proofErr w:type="spellStart"/>
      <w:r w:rsidRPr="00C5040F">
        <w:t>Tokayev</w:t>
      </w:r>
      <w:proofErr w:type="spellEnd"/>
      <w:r w:rsidRPr="00C5040F">
        <w:t xml:space="preserve"> tarafından reddedilmiştir. Kazakistan halkı ise savaşa karşı imza kapyası başlatmıştır. Rusya’nın Ukrayna’yı işgaline karşı çıkan Kazakistan halkı kampanya kapsamında,</w:t>
      </w:r>
      <w:r w:rsidRPr="00C5040F">
        <w:rPr>
          <w:color w:val="333333"/>
          <w:shd w:val="clear" w:color="auto" w:fill="FFFFFF"/>
        </w:rPr>
        <w:t xml:space="preserve"> "Biz Kazakistan halkı, işgale ve bağımsız devletlerin toprak bütünlüğü ihlallerine karşıyız’’ sloganı ile Rusya’ya tepki göstermiştir</w:t>
      </w:r>
      <w:r>
        <w:rPr>
          <w:color w:val="333333"/>
          <w:shd w:val="clear" w:color="auto" w:fill="FFFFFF"/>
        </w:rPr>
        <w:t xml:space="preserve"> </w:t>
      </w:r>
      <w:r w:rsidRPr="00C5040F">
        <w:rPr>
          <w:color w:val="333333"/>
          <w:shd w:val="clear" w:color="auto" w:fill="FFFFFF"/>
        </w:rPr>
        <w:fldChar w:fldCharType="begin"/>
      </w:r>
      <w:r>
        <w:rPr>
          <w:color w:val="333333"/>
          <w:shd w:val="clear" w:color="auto" w:fill="FFFFFF"/>
        </w:rPr>
        <w:instrText xml:space="preserve"> ADDIN ZOTERO_ITEM CSL_CITATION {"citationID":"rfcYkzo3","properties":{"formattedCitation":"(https://www.facebook.com/sondakikacom, 2022)","plainCitation":"(https://www.facebook.com/sondakikacom, 2022)","dontUpdate":true,"noteIndex":0},"citationItems":[{"id":537,"uris":["http://zotero.org/users/10292326/items/27ABJAI7"],"itemData":{"id":537,"type":"webpage","abstract":"Ukrayna Savunma Bakanı Reznikov açıklamasında 'Kazakistan'ın Ukrayna'daki Rus savaşına katılmak için birliklerini göndermeyi reddetmesini memnuniyetle karşılıyoruz.' ifadelerini kullandı.","container-title":"Son Dakika","language":"tr","note":"section: Dünya","title":"Kazakistan Rusya'nın Ukrayna'ya asker göndermesi için yaptığı çağrıyı reddetti","URL":"https://www.sondakika.com/dunya/haber-kazakistan-rusya-nin-ukrayna-ya-asker-gondermesi-14760128/","author":[{"family":"https://www.facebook.com/sondakikacom","given":""}],"accessed":{"date-parts":[["2023",6,7]]},"issued":{"date-parts":[["2022",2,26]]}}}],"schema":"https://github.com/citation-style-language/schema/raw/master/csl-citation.json"} </w:instrText>
      </w:r>
      <w:r w:rsidRPr="00C5040F">
        <w:rPr>
          <w:color w:val="333333"/>
          <w:shd w:val="clear" w:color="auto" w:fill="FFFFFF"/>
        </w:rPr>
        <w:fldChar w:fldCharType="separate"/>
      </w:r>
      <w:r w:rsidRPr="00C5040F">
        <w:t>(Sondakika, 2022)</w:t>
      </w:r>
      <w:r w:rsidRPr="00C5040F">
        <w:rPr>
          <w:color w:val="333333"/>
          <w:shd w:val="clear" w:color="auto" w:fill="FFFFFF"/>
        </w:rPr>
        <w:fldChar w:fldCharType="end"/>
      </w:r>
      <w:r w:rsidRPr="00C5040F">
        <w:rPr>
          <w:color w:val="333333"/>
          <w:shd w:val="clear" w:color="auto" w:fill="FFFFFF"/>
        </w:rPr>
        <w:t xml:space="preserve">. </w:t>
      </w:r>
      <w:r w:rsidRPr="000A3508">
        <w:rPr>
          <w:shd w:val="clear" w:color="auto" w:fill="FFFFFF"/>
        </w:rPr>
        <w:t xml:space="preserve">Kazakistan’ın bölgesel internet ve televizyon yayını yapan </w:t>
      </w:r>
      <w:proofErr w:type="spellStart"/>
      <w:r w:rsidRPr="000A3508">
        <w:rPr>
          <w:spacing w:val="-5"/>
        </w:rPr>
        <w:t>Remstroyservice</w:t>
      </w:r>
      <w:proofErr w:type="spellEnd"/>
      <w:r w:rsidRPr="000A3508">
        <w:rPr>
          <w:spacing w:val="-5"/>
        </w:rPr>
        <w:t xml:space="preserve"> şirketi </w:t>
      </w:r>
      <w:r w:rsidRPr="000A3508">
        <w:rPr>
          <w:shd w:val="clear" w:color="auto" w:fill="FFFFFF"/>
        </w:rPr>
        <w:t xml:space="preserve">Rus kanallarının savaş propagandası yaptığı idealarını  ileri sürerek yapmasını engellemiştir </w:t>
      </w:r>
      <w:r w:rsidRPr="00C5040F">
        <w:rPr>
          <w:color w:val="333333"/>
          <w:shd w:val="clear" w:color="auto" w:fill="FFFFFF"/>
        </w:rPr>
        <w:fldChar w:fldCharType="begin"/>
      </w:r>
      <w:r w:rsidRPr="00C5040F">
        <w:rPr>
          <w:color w:val="333333"/>
          <w:shd w:val="clear" w:color="auto" w:fill="FFFFFF"/>
        </w:rPr>
        <w:instrText xml:space="preserve"> ADDIN ZOTERO_ITEM CSL_CITATION {"citationID":"8UzjvUFN","properties":{"formattedCitation":"({\\i{}Kazakistan\\uc0\\u8217{}da Rus kanallar\\uc0\\u305{}n\\uc0\\u305{}n yay\\uc0\\u305{}n\\uc0\\u305{}na \\uc0\\u8220{}sava\\uc0\\u351{} propagandas\\uc0\\u305{}\\uc0\\u8221{} engeli}, 2022)","plainCitation":"(Kazakistan’da Rus kanallarının yayınına “savaş propagandası” engeli, 2022)","noteIndex":0},"citationItems":[{"id":539,"uris":["http://zotero.org/users/10292326/items/L79S8LFN"],"itemData":{"id":539,"type":"webpage","abstract":"Moskova'nın yakın müttefiki olan Kazakistan'da bölgesel internet ve televizyon hizmetleri sağlayıcısı bir şirket, tüm Rus televizyon kanallarının yayınlarını engellediğini duyurdu","container-title":"euronews","language":"tr","note":"section: news_news","title":"Kazakistan'da Rus kanallarının yayınına 'savaş propagandası' engeli","URL":"https://tr.euronews.com/2022/02/28/kazakistan-da-ukrayna-savas-ndaki-tutumlar-nedeniyle-rus-kanallar-n-n-yay-n-na-son","accessed":{"date-parts":[["2023",6,7]]},"issued":{"date-parts":[["2022",2,28]]}}}],"schema":"https://github.com/citation-style-language/schema/raw/master/csl-citation.json"} </w:instrText>
      </w:r>
      <w:r w:rsidRPr="00C5040F">
        <w:rPr>
          <w:color w:val="333333"/>
          <w:shd w:val="clear" w:color="auto" w:fill="FFFFFF"/>
        </w:rPr>
        <w:fldChar w:fldCharType="separate"/>
      </w:r>
      <w:r w:rsidRPr="00C5040F">
        <w:t>(</w:t>
      </w:r>
      <w:r w:rsidRPr="00C5040F">
        <w:rPr>
          <w:i/>
          <w:iCs/>
        </w:rPr>
        <w:t>Kazakistan’da Rus kanallarının yayınına “savaş propagandası” engeli</w:t>
      </w:r>
      <w:r w:rsidRPr="00C5040F">
        <w:t>, 2022)</w:t>
      </w:r>
      <w:r w:rsidRPr="00C5040F">
        <w:rPr>
          <w:color w:val="333333"/>
          <w:shd w:val="clear" w:color="auto" w:fill="FFFFFF"/>
        </w:rPr>
        <w:fldChar w:fldCharType="end"/>
      </w:r>
      <w:r w:rsidRPr="00C5040F">
        <w:rPr>
          <w:color w:val="333333"/>
          <w:shd w:val="clear" w:color="auto" w:fill="FFFFFF"/>
        </w:rPr>
        <w:t>.</w:t>
      </w:r>
    </w:p>
    <w:p w14:paraId="096BDAAC" w14:textId="77777777" w:rsidR="0007275E" w:rsidRDefault="0007275E" w:rsidP="0007275E">
      <w:pPr>
        <w:jc w:val="both"/>
        <w:rPr>
          <w:color w:val="333333"/>
          <w:shd w:val="clear" w:color="auto" w:fill="FFFFFF"/>
        </w:rPr>
      </w:pPr>
    </w:p>
    <w:p w14:paraId="5BDB2A5E" w14:textId="6687F917" w:rsidR="0034640B" w:rsidRPr="00C5040F" w:rsidRDefault="0034640B" w:rsidP="0007275E">
      <w:pPr>
        <w:jc w:val="both"/>
        <w:rPr>
          <w:color w:val="333333"/>
          <w:shd w:val="clear" w:color="auto" w:fill="FFFFFF"/>
        </w:rPr>
      </w:pPr>
      <w:r w:rsidRPr="00C5040F">
        <w:rPr>
          <w:color w:val="333333"/>
          <w:shd w:val="clear" w:color="auto" w:fill="FFFFFF"/>
        </w:rPr>
        <w:t>Orta Asya ülkeleri ve Rusya; BDT, BDT Serbest Ticaret Bölgesi, Avrasya Ekonomik İş birliği, Şanghay İş birliği Örgütü, Kolektif Güvenlik Anlaşması Örgütü gibi siyasi-ekonomik askeri temelli örgütlerin çatısı altında ortak hareket etmektedir. Fakat Rusya-Ukrayna-Rus savaşında Orta Asya devletleri Rusya’y</w:t>
      </w:r>
      <w:r>
        <w:rPr>
          <w:color w:val="333333"/>
          <w:shd w:val="clear" w:color="auto" w:fill="FFFFFF"/>
        </w:rPr>
        <w:t>ı</w:t>
      </w:r>
      <w:r w:rsidRPr="00C5040F">
        <w:rPr>
          <w:color w:val="333333"/>
          <w:shd w:val="clear" w:color="auto" w:fill="FFFFFF"/>
        </w:rPr>
        <w:t xml:space="preserve"> desteklememektedir ve </w:t>
      </w:r>
      <w:proofErr w:type="spellStart"/>
      <w:r w:rsidRPr="00C5040F">
        <w:rPr>
          <w:color w:val="212529"/>
          <w:shd w:val="clear" w:color="auto" w:fill="FFFFFF"/>
        </w:rPr>
        <w:t>Luhansk</w:t>
      </w:r>
      <w:proofErr w:type="spellEnd"/>
      <w:r w:rsidRPr="00C5040F">
        <w:rPr>
          <w:color w:val="212529"/>
          <w:shd w:val="clear" w:color="auto" w:fill="FFFFFF"/>
        </w:rPr>
        <w:t xml:space="preserve"> ve </w:t>
      </w:r>
      <w:proofErr w:type="spellStart"/>
      <w:r w:rsidRPr="00C5040F">
        <w:rPr>
          <w:color w:val="212529"/>
          <w:shd w:val="clear" w:color="auto" w:fill="FFFFFF"/>
        </w:rPr>
        <w:t>Donetsk</w:t>
      </w:r>
      <w:proofErr w:type="spellEnd"/>
      <w:r w:rsidRPr="00C5040F">
        <w:rPr>
          <w:color w:val="333333"/>
          <w:shd w:val="clear" w:color="auto" w:fill="FFFFFF"/>
        </w:rPr>
        <w:t xml:space="preserve"> bölgelerinin bağımsızlığını tanımamaktadır. Savaşın başlamasının ardından Rusya dışına göç başlamıştır ve göç alan bölgeler arasında Kazakistan ilk sıradadır</w:t>
      </w:r>
      <w:r>
        <w:rPr>
          <w:color w:val="333333"/>
          <w:shd w:val="clear" w:color="auto" w:fill="FFFFFF"/>
        </w:rPr>
        <w:t xml:space="preserve"> </w:t>
      </w:r>
      <w:r w:rsidRPr="00C5040F">
        <w:rPr>
          <w:color w:val="333333"/>
          <w:shd w:val="clear" w:color="auto" w:fill="FFFFFF"/>
        </w:rPr>
        <w:fldChar w:fldCharType="begin"/>
      </w:r>
      <w:r w:rsidRPr="00C5040F">
        <w:rPr>
          <w:color w:val="333333"/>
          <w:shd w:val="clear" w:color="auto" w:fill="FFFFFF"/>
        </w:rPr>
        <w:instrText xml:space="preserve"> ADDIN ZOTERO_ITEM CSL_CITATION {"citationID":"lsqH26FA","properties":{"formattedCitation":"({\\i{}Rusya-Ukrayna Sava\\uc0\\u351{}\\uc0\\u305{}\\uc0\\u8217{}n\\uc0\\u305{}n Orta Asya \\uc0\\u252{}lkelerine etkisi}, t.y.)","plainCitation":"(Rusya-Ukrayna Savaşı’nın Orta Asya ülkelerine etkisi, t.y.)","noteIndex":0},"citationItems":[{"id":541,"uris":["http://zotero.org/users/10292326/items/BS4VZXAI"],"itemData":{"id":541,"type":"webpage","abstract":"Rusya-Ukrayna Savaşı'ndan en çok etkilenen bölgelerin başında Orta Asya geliyor. - Anadolu Ajansı","title":"Rusya-Ukrayna Savaşı'nın Orta Asya ülkelerine etkisi","URL":"https://www.aa.com.tr/tr/analiz/rusya-ukrayna-savasinin-orta-asya-ulkelerine-etkisi/2570168","accessed":{"date-parts":[["2023",6,7]]}}}],"schema":"https://github.com/citation-style-language/schema/raw/master/csl-citation.json"} </w:instrText>
      </w:r>
      <w:r w:rsidRPr="00C5040F">
        <w:rPr>
          <w:color w:val="333333"/>
          <w:shd w:val="clear" w:color="auto" w:fill="FFFFFF"/>
        </w:rPr>
        <w:fldChar w:fldCharType="separate"/>
      </w:r>
      <w:r w:rsidRPr="00C5040F">
        <w:t>(</w:t>
      </w:r>
      <w:r w:rsidRPr="00C5040F">
        <w:rPr>
          <w:i/>
          <w:iCs/>
        </w:rPr>
        <w:t>Rusya-Ukrayna Savaşı’nın Orta Asya ülkelerine etkisi</w:t>
      </w:r>
      <w:r w:rsidRPr="00C5040F">
        <w:t>)</w:t>
      </w:r>
      <w:r w:rsidRPr="00C5040F">
        <w:rPr>
          <w:color w:val="333333"/>
          <w:shd w:val="clear" w:color="auto" w:fill="FFFFFF"/>
        </w:rPr>
        <w:fldChar w:fldCharType="end"/>
      </w:r>
      <w:r w:rsidRPr="00C5040F">
        <w:rPr>
          <w:color w:val="333333"/>
          <w:shd w:val="clear" w:color="auto" w:fill="FFFFFF"/>
        </w:rPr>
        <w:t>.</w:t>
      </w:r>
    </w:p>
    <w:p w14:paraId="663D30C1" w14:textId="77777777" w:rsidR="0007275E" w:rsidRDefault="0007275E" w:rsidP="0007275E">
      <w:pPr>
        <w:jc w:val="both"/>
      </w:pPr>
    </w:p>
    <w:p w14:paraId="01F540D4" w14:textId="337D3A95" w:rsidR="0034640B" w:rsidRDefault="0034640B" w:rsidP="0007275E">
      <w:pPr>
        <w:jc w:val="both"/>
      </w:pPr>
      <w:r w:rsidRPr="00C5040F">
        <w:t xml:space="preserve">Kazakistan Cumhurbaşkanı </w:t>
      </w:r>
      <w:proofErr w:type="spellStart"/>
      <w:r w:rsidRPr="00C5040F">
        <w:t>Tokayev</w:t>
      </w:r>
      <w:proofErr w:type="spellEnd"/>
      <w:r w:rsidRPr="00C5040F">
        <w:t xml:space="preserve"> 2 Mart 2022 tarihinde Rusya Devlet Başkanı Putin ve Ukrayna Devlet Başkanı </w:t>
      </w:r>
      <w:proofErr w:type="spellStart"/>
      <w:r w:rsidRPr="00C5040F">
        <w:t>Zelenskiyle</w:t>
      </w:r>
      <w:proofErr w:type="spellEnd"/>
      <w:r w:rsidRPr="00C5040F">
        <w:t xml:space="preserve"> telefon görüşmesi gerçekleştirmiştir. Görüşmelerde </w:t>
      </w:r>
      <w:proofErr w:type="spellStart"/>
      <w:r w:rsidRPr="00C5040F">
        <w:t>Tokayev</w:t>
      </w:r>
      <w:proofErr w:type="spellEnd"/>
      <w:r w:rsidRPr="00C5040F">
        <w:t xml:space="preserve"> iki ülke arasındaki ekonomik konuları ele alırken askeri ateşkesin sağlanması ve insani alanda iş birliğinin sağlanması gerekliliğini vurgulamıştır.</w:t>
      </w:r>
      <w:r w:rsidRPr="00C5040F">
        <w:fldChar w:fldCharType="begin"/>
      </w:r>
      <w:r w:rsidRPr="00C5040F">
        <w:instrText xml:space="preserve"> ADDIN ZOTERO_ITEM CSL_CITATION {"citationID":"qQhPRiBv","properties":{"formattedCitation":"({\\i{}Kazakistan Cumhurba\\uc0\\u351{}kan\\uc0\\u305{} Tokayev, Putin ve Zelenski ile ayr\\uc0\\u305{} ayr\\uc0\\u305{} g\\uc0\\u246{}r\\uc0\\u252{}\\uc0\\u351{}t\\uc0\\u252{}}, t.y.)","plainCitation":"(Kazakistan Cumhurbaşkanı Tokayev, Putin ve Zelenski ile ayrı ayrı görüştü, t.y.)","noteIndex":0},"citationItems":[{"id":543,"uris":["http://zotero.org/users/10292326/items/ZAPCY5Z3"],"itemData":{"id":543,"type":"webpage","abstract":"undefined","language":"tr","title":"Kazakistan Cumhurbaşkanı Tokayev, Putin ve Zelenski ile ayrı ayrı görüştü","URL":"https://www.ntv.com.tr/ukrayna-savasi/kazakistan-cumhurbaskani-tokayev-putin-ve-zelenski-ile-ayri-ayri-gorustu,uUPEW6c0I0SMF9pNcBDGOQ","accessed":{"date-parts":[["2023",6,7]]}}}],"schema":"https://github.com/citation-style-language/schema/raw/master/csl-citation.json"} </w:instrText>
      </w:r>
      <w:r w:rsidRPr="00C5040F">
        <w:fldChar w:fldCharType="separate"/>
      </w:r>
      <w:r w:rsidRPr="00C5040F">
        <w:t>(</w:t>
      </w:r>
      <w:r w:rsidRPr="00C5040F">
        <w:rPr>
          <w:i/>
          <w:iCs/>
        </w:rPr>
        <w:t>Kazakistan Cumhurbaşkanı Tokayev, Putin ve Zelenski ile ayrı ayrı görüştü</w:t>
      </w:r>
      <w:r w:rsidRPr="00C5040F">
        <w:t xml:space="preserve">, </w:t>
      </w:r>
      <w:proofErr w:type="spellStart"/>
      <w:r w:rsidRPr="00C5040F">
        <w:t>t.y</w:t>
      </w:r>
      <w:proofErr w:type="spellEnd"/>
      <w:r w:rsidRPr="00C5040F">
        <w:t>.)</w:t>
      </w:r>
      <w:r w:rsidRPr="00C5040F">
        <w:fldChar w:fldCharType="end"/>
      </w:r>
      <w:r w:rsidRPr="00C5040F">
        <w:t xml:space="preserve">. Cumhurbaşkanı </w:t>
      </w:r>
      <w:proofErr w:type="spellStart"/>
      <w:r w:rsidRPr="00C5040F">
        <w:t>Tokayev</w:t>
      </w:r>
      <w:proofErr w:type="spellEnd"/>
      <w:r w:rsidRPr="00C5040F">
        <w:t xml:space="preserve">:  Petersburg Uluslararası Ekonomi Forumu (SPIF) kapsamında Rusya Devlet Başkanı Vladimir Putin ile katıldığı ana oturumda Kazakistan’ın sözde </w:t>
      </w:r>
      <w:proofErr w:type="spellStart"/>
      <w:r w:rsidRPr="00C5040F">
        <w:t>Donetsk</w:t>
      </w:r>
      <w:proofErr w:type="spellEnd"/>
      <w:r w:rsidRPr="00C5040F">
        <w:t xml:space="preserve"> ve </w:t>
      </w:r>
      <w:proofErr w:type="spellStart"/>
      <w:r w:rsidRPr="00C5040F">
        <w:t>Luhansk</w:t>
      </w:r>
      <w:proofErr w:type="spellEnd"/>
      <w:r w:rsidRPr="00C5040F">
        <w:t xml:space="preserve"> halk cumhuriyetlerini tanımayacağını ifade etti</w:t>
      </w:r>
      <w:r>
        <w:t xml:space="preserve"> </w:t>
      </w:r>
      <w:r w:rsidRPr="00C5040F">
        <w:fldChar w:fldCharType="begin"/>
      </w:r>
      <w:r w:rsidRPr="00C5040F">
        <w:instrText xml:space="preserve"> ADDIN ZOTERO_ITEM CSL_CITATION {"citationID":"BiU6WlWX","properties":{"formattedCitation":"({\\i{}Tokayev, \\uc0\\u8220{}Kazakistan\\uc0\\u8217{}\\uc0\\u305{}n s\\uc0\\u246{}zde Donetsk ve Luhansk halk cumhuriyetlerini tan\\uc0\\u305{}mayaca\\uc0\\u287{}\\uc0\\u305{}n\\uc0\\u305{}\\uc0\\u8221{} a\\uc0\\u231{}\\uc0\\u305{}klad\\uc0\\u305{}}, t.y.)","plainCitation":"(Tokayev, “Kazakistan’ın sözde Donetsk ve Luhansk halk cumhuriyetlerini tanımayacağını” açıkladı, t.y.)","noteIndex":0},"citationItems":[{"id":545,"uris":["http://zotero.org/users/10292326/items/7TQQPBH9"],"itemData":{"id":545,"type":"webpage","abstract":"Kazakistan Cumhurbaşkanı Kasım Cömert Tokayev, 'Ukrayna’nın doğusundaki sözde Donetsk ve Luhansk halk cumhuriyetlerini tanımayacaklarını' söyledi.\n\n - Anadolu Ajansı","title":"Tokayev, 'Kazakistan’ın sözde Donetsk ve Luhansk halk cumhuriyetlerini tanımayacağını' açıkladı","URL":"https://www.aa.com.tr/tr/dunya/tokayev-kazakistan-in-sozde-donetsk-ve-luhansk-halk-cumhuriyetlerini-tanimayacagini-acikladi/2616593","accessed":{"date-parts":[["2023",6,7]]}}}],"schema":"https://github.com/citation-style-language/schema/raw/master/csl-citation.json"} </w:instrText>
      </w:r>
      <w:r w:rsidRPr="00C5040F">
        <w:fldChar w:fldCharType="separate"/>
      </w:r>
      <w:r w:rsidRPr="00C5040F">
        <w:t>(</w:t>
      </w:r>
      <w:r w:rsidRPr="00C5040F">
        <w:rPr>
          <w:i/>
          <w:iCs/>
        </w:rPr>
        <w:t>Tokayev, “Kazakistan’ın sözde Donetsk ve Luhansk halk cumhuriyetlerini tanımayacağını” açıkladı</w:t>
      </w:r>
      <w:r w:rsidRPr="00C5040F">
        <w:t>)</w:t>
      </w:r>
      <w:r w:rsidRPr="00C5040F">
        <w:fldChar w:fldCharType="end"/>
      </w:r>
      <w:r>
        <w:t>.</w:t>
      </w:r>
      <w:r w:rsidRPr="00C5040F">
        <w:t xml:space="preserve"> Putin ise üstü kapalı olarak Kazakistan’ı tehdit ederek Dostluk yoksa her şey mümkün ifadelerini kullanmıştır. Görüldüğü üzere Kazakistan yöneticileri ve halkı Rusya’nın Ukrayna’yı işgalini desteklememektedir. Hatta bu savaşın sona ermesi ve Rusya’nın Ukrayna’nın toprak birliğine saygı duymasından yana tavır sergilemişlerdir. Çünkü Kazakistan’da Ukrayna gibi geçmişte Sovyetlerin bir parçasıydı Rusya’nın bu ülkeleri kendi alanı gibi görmesi devletlerin bağımsızlığına yönelik bit tehdit oluşturmaktadır. Ayrıca Rusya ve Ukrayna Kazakistan ekonomisi açısından önemli iki ülkedir bu savaş sadece Rusya ve Ukrayna’ya değil Kazakistan ekonomisinde olumsuz yönde etki etkilemektedir.</w:t>
      </w:r>
    </w:p>
    <w:p w14:paraId="7457E6C9" w14:textId="77777777" w:rsidR="0007275E" w:rsidRDefault="0007275E" w:rsidP="0007275E">
      <w:pPr>
        <w:jc w:val="both"/>
      </w:pPr>
    </w:p>
    <w:p w14:paraId="38C4AEFA" w14:textId="54845905" w:rsidR="0034640B" w:rsidRPr="00C5040F" w:rsidRDefault="0034640B" w:rsidP="0007275E">
      <w:pPr>
        <w:jc w:val="both"/>
      </w:pPr>
      <w:r>
        <w:t xml:space="preserve">16 Şubat 2023 tarihinde Cumhurbaşkanı </w:t>
      </w:r>
      <w:proofErr w:type="spellStart"/>
      <w:r>
        <w:t>Tokayev</w:t>
      </w:r>
      <w:proofErr w:type="spellEnd"/>
      <w:r>
        <w:t xml:space="preserve"> ve </w:t>
      </w:r>
      <w:proofErr w:type="spellStart"/>
      <w:r>
        <w:t>Zelensky</w:t>
      </w:r>
      <w:proofErr w:type="spellEnd"/>
      <w:r>
        <w:t xml:space="preserve"> arasında yapılan telefon görüşmesinde Kazakistan Hükümeti Ukrayna’ya insani yardımda bulunacağını teyit etti </w:t>
      </w:r>
      <w:r>
        <w:fldChar w:fldCharType="begin"/>
      </w:r>
      <w:r>
        <w:instrText xml:space="preserve"> ADDIN ZOTERO_ITEM CSL_CITATION {"citationID":"Cbe2jRN1","properties":{"formattedCitation":"(Ualikhanova, 2023)","plainCitation":"(Ualikhanova, 2023)","noteIndex":0},"citationItems":[{"id":837,"uris":["http://zotero.org/users/10292326/items/K5PDIAWU"],"itemData":{"id":837,"type":"webpage","abstract":"Tokayev Reaffirms Kazakhstan’s Position on Russia-Ukraine Conflict in Phone Conversation with Zelenskyy","container-title":"The Astana Times","language":"en","title":"Tokayev Reaffirms Kazakhstan’s Position on Russia-Ukraine Conflict in Phone Conversation with Zelenskyy","URL":"https://astanatimes.com/2023/02/tokayev-reaffirms-kazakhstans-position-on-russia-ukraine-conflict-in-phone-conversation-with-zelenskyy/","author":[{"family":"Ualikhanova","given":"Aruzhan"}],"accessed":{"date-parts":[["2025",2,18]]},"issued":{"date-parts":[["2023",2,17]]}}}],"schema":"https://github.com/citation-style-language/schema/raw/master/csl-citation.json"} </w:instrText>
      </w:r>
      <w:r>
        <w:fldChar w:fldCharType="separate"/>
      </w:r>
      <w:r w:rsidRPr="00CD0E95">
        <w:t>(Ualikhanova, 2023)</w:t>
      </w:r>
      <w:r>
        <w:fldChar w:fldCharType="end"/>
      </w:r>
      <w:r>
        <w:t xml:space="preserve">. 2 Şubat 2024 tarihinde </w:t>
      </w:r>
      <w:proofErr w:type="spellStart"/>
      <w:r>
        <w:t>Tokayev</w:t>
      </w:r>
      <w:proofErr w:type="spellEnd"/>
      <w:r>
        <w:t xml:space="preserve"> ve </w:t>
      </w:r>
      <w:proofErr w:type="spellStart"/>
      <w:r>
        <w:t>Zelensky</w:t>
      </w:r>
      <w:proofErr w:type="spellEnd"/>
      <w:r>
        <w:t xml:space="preserve"> telefon görüşmesi </w:t>
      </w:r>
      <w:r>
        <w:lastRenderedPageBreak/>
        <w:t xml:space="preserve">gerçekleştirdi. Kazakistan lideri </w:t>
      </w:r>
      <w:proofErr w:type="spellStart"/>
      <w:r>
        <w:t>Tokayev</w:t>
      </w:r>
      <w:proofErr w:type="spellEnd"/>
      <w:r>
        <w:t xml:space="preserve"> Ukrayna Barış Formülünün uygulanması ve iki ülke arasındaki ekonomik ilişkiler hakkında görüştür. Ukrayna lideri Kazakistan’ın Ukrayna halkına yönelik insani yardımından dolayı teşekkür etti </w:t>
      </w:r>
      <w:r>
        <w:fldChar w:fldCharType="begin"/>
      </w:r>
      <w:r>
        <w:instrText xml:space="preserve"> ADDIN ZOTERO_ITEM CSL_CITATION {"citationID":"E4suAH3Q","properties":{"formattedCitation":"({\\i{}Tokayev, Zelenskiy ile telefonda g\\uc0\\u246{}r\\uc0\\u252{}\\uc0\\u351{}t\\uc0\\u252{}}, 2024)","plainCitation":"(Tokayev, Zelenskiy ile telefonda görüştü, 2024)","noteIndex":0},"citationItems":[{"id":839,"uris":["http://zotero.org/users/10292326/items/CHVM3VB4"],"itemData":{"id":839,"type":"webpage","abstract":"Haberin devamı için tıklayınız...","container-title":"https://www.yirmidort.tv/dunya/tokayev-zelenskiy-ile-telefonda-gorustu-152516","language":"tr","title":"Tokayev, Zelenskiy ile telefonda görüştü","URL":"https://www.yirmidort.tv/dunya/tokayev-zelenskiy-ile-telefonda-gorustu-152516","accessed":{"date-parts":[["2025",2,18]]},"issued":{"date-parts":[["2024",2,2]]}}}],"schema":"https://github.com/citation-style-language/schema/raw/master/csl-citation.json"} </w:instrText>
      </w:r>
      <w:r>
        <w:fldChar w:fldCharType="separate"/>
      </w:r>
      <w:r w:rsidRPr="00AE6BA0">
        <w:t>(</w:t>
      </w:r>
      <w:r w:rsidRPr="00AE6BA0">
        <w:rPr>
          <w:i/>
          <w:iCs/>
        </w:rPr>
        <w:t>Tokayev, Zelenskiy ile telefonda görüştü</w:t>
      </w:r>
      <w:r w:rsidRPr="00AE6BA0">
        <w:t>, 2024)</w:t>
      </w:r>
      <w:r>
        <w:fldChar w:fldCharType="end"/>
      </w:r>
      <w:r>
        <w:t xml:space="preserve">.Ancak 21.11.2024 tarihinde Kazakistan Cumhurbaşkanı Cömert </w:t>
      </w:r>
      <w:proofErr w:type="spellStart"/>
      <w:r>
        <w:t>Tokayev</w:t>
      </w:r>
      <w:proofErr w:type="spellEnd"/>
      <w:r>
        <w:t xml:space="preserve"> Ukrayna’daki savaşının şiddetinin artmasından dolayı ülke içindeki askeri ve sivil  tesislerin güvenliğinin sağlanması için acil önlemler alacağını duyurmuştur. Kazakistan Cumhurbaşkanı iki ülke arasındaki sorunun müzakereler yoluyla sona erdirilmesi gerektiğini vurgulamıştır   </w:t>
      </w:r>
      <w:r>
        <w:fldChar w:fldCharType="begin"/>
      </w:r>
      <w:r>
        <w:instrText xml:space="preserve"> ADDIN ZOTERO_ITEM CSL_CITATION {"citationID":"mECc0ipk","properties":{"formattedCitation":"({\\i{}Kazakistan\\uc0\\u8217{}da askeri ve sivil tesislerin g\\uc0\\u252{}venli\\uc0\\u287{}inin sa\\uc0\\u287{}lanmas\\uc0\\u305{} i\\uc0\\u231{}in acil talimat verildi}, t.y.)","plainCitation":"(Kazakistan’da askeri ve sivil tesislerin güvenliğinin sağlanması için acil talimat verildi, t.y.)","noteIndex":0},"citationItems":[{"id":841,"uris":["http://zotero.org/users/10292326/items/RWAKSJWH"],"itemData":{"id":841,"type":"webpage","abstract":"Kazakistan Cumhurbaşkanı Kasım Cömert Tokayev, Ukrayna çevresindeki durumun tırmanması nedeniyle ülkedeki kilit askeri ve sivil tesislerin güvenliğinin sağlanması için acil önlemler alınması yönünde ilgili kurumlara talimat verdi. - Anadolu Ajansı","title":"Kazakistan'da askeri ve sivil tesislerin güvenliğinin sağlanması için acil talimat verildi","URL":"https://www.aa.com.tr/tr/dunya/kazakistanda-askeri-ve-sivil-tesislerin-guvenliginin-saglanmasi-icin-acil-talimat-verildi/3400674","accessed":{"date-parts":[["2025",2,18]]}}}],"schema":"https://github.com/citation-style-language/schema/raw/master/csl-citation.json"} </w:instrText>
      </w:r>
      <w:r>
        <w:fldChar w:fldCharType="separate"/>
      </w:r>
      <w:r w:rsidRPr="00062938">
        <w:t>(</w:t>
      </w:r>
      <w:r w:rsidRPr="00062938">
        <w:rPr>
          <w:i/>
          <w:iCs/>
        </w:rPr>
        <w:t>Kazakistan’da askeri ve sivil tesislerin güvenliğinin sağlanması için acil talimat verildi</w:t>
      </w:r>
      <w:r w:rsidRPr="00062938">
        <w:t>)</w:t>
      </w:r>
      <w:r>
        <w:fldChar w:fldCharType="end"/>
      </w:r>
      <w:r>
        <w:t>.</w:t>
      </w:r>
    </w:p>
    <w:p w14:paraId="6C797BDF" w14:textId="77777777" w:rsidR="0034640B" w:rsidRPr="00C5040F" w:rsidRDefault="0034640B" w:rsidP="000A70F0">
      <w:pPr>
        <w:jc w:val="both"/>
      </w:pPr>
    </w:p>
    <w:p w14:paraId="0B91FCB2" w14:textId="77777777" w:rsidR="0034640B" w:rsidRPr="002C3918" w:rsidRDefault="0034640B" w:rsidP="000A70F0">
      <w:pPr>
        <w:jc w:val="both"/>
        <w:rPr>
          <w:b/>
          <w:bCs/>
        </w:rPr>
      </w:pPr>
      <w:r w:rsidRPr="002C3918">
        <w:rPr>
          <w:b/>
          <w:bCs/>
        </w:rPr>
        <w:t>Sonuç</w:t>
      </w:r>
    </w:p>
    <w:p w14:paraId="7A97F4AE" w14:textId="586F0431" w:rsidR="0034640B" w:rsidRPr="00C5040F" w:rsidRDefault="0034640B" w:rsidP="000A70F0">
      <w:pPr>
        <w:jc w:val="both"/>
      </w:pPr>
      <w:r w:rsidRPr="00C5040F">
        <w:t>Kazakistan ve Rusya geçmişten bu yana tarihi bağlara sahip olan iki ülkedir. Bu bağ genel olarak Rusya lehinde kurulmuştur. Çarlık Rusya döneminde başlayan emperyalist politikalar Sovyetler dönemimde kurumsallaşarak devam etmiştir. Ülkenin dili, etnik yapısı, to</w:t>
      </w:r>
      <w:r>
        <w:t>p</w:t>
      </w:r>
      <w:r w:rsidRPr="00C5040F">
        <w:t>raklarının kullanım şekli dahi merkezi yönetimden belirlenmiştir.</w:t>
      </w:r>
    </w:p>
    <w:p w14:paraId="36878856" w14:textId="77777777" w:rsidR="0007275E" w:rsidRDefault="0007275E" w:rsidP="000A70F0">
      <w:pPr>
        <w:jc w:val="both"/>
      </w:pPr>
    </w:p>
    <w:p w14:paraId="3292A402" w14:textId="6B3DA248" w:rsidR="0034640B" w:rsidRPr="00C5040F" w:rsidRDefault="0034640B" w:rsidP="000A70F0">
      <w:pPr>
        <w:jc w:val="both"/>
      </w:pPr>
      <w:r w:rsidRPr="00C5040F">
        <w:t>Kazak halkı zaman zaman Ruslara karşı direniş gösterse dahi bedelini ağır ödemiştir. Özellikle Sovyetler döneminde Kazak halkının genel karakterinin değişerek yerleşik hayata geçirilmesi, Bakir Topraklar Projesi kapsamında Kazak steplerinin tarıma açılması, İkinci Dünya Savaşı neticesinde ülkenin kuzeyine Rus sanayisinin kurulması ve Rus halkının Kazak topraklarına yerleştirmesi Kazakistan’ın kaderini kökünden değiştirmiştir. Daha sonra Kazakistan topraklarındaki zengin petrol ve doğalgaz yataklarının keşfi Kazakistan’ın vazgeçilmez bir ülke olmasına neden olmuştur. Rusya açısından Kazakistan’ın pek çok alanda önemi vardır. Coğrafi olarak Kazakistan Rusya’nın Orta Asya’ya açılan kapısıdır ve Orta Asya’dan gelecek tehditlere karşı tampon bölge görevi görmektedir. Stratejik olarak Kazakistan topraklarına konuşlandırılmış olan askeri üsler Rusya’nın Orta Asya bölgesinde daha etkin bir askeri güç olmasını sağlamaktadır. Enerji bakımından ise Kazakistan’ın sahip olduğu kaynakların ve ürünlerin Rusya üzerinden Batılı devletlere ulaşması Rusya’ya enerji alanında monopol bir devlet olma imkân vermektedir. Bu sebeplerden ötürü Rus yöneticiler Kazakistan politikasına her daim önem vermiştir ve Kazakistan’ı Rus topraklarının bir parçası olarak değerlendirmiştir.</w:t>
      </w:r>
    </w:p>
    <w:p w14:paraId="3EAAB0AD" w14:textId="54B80581" w:rsidR="0034640B" w:rsidRPr="00C5040F" w:rsidRDefault="0034640B" w:rsidP="000A70F0">
      <w:pPr>
        <w:jc w:val="both"/>
      </w:pPr>
      <w:r w:rsidRPr="00C5040F">
        <w:t xml:space="preserve">1991 yılında Sovyetlerin dağılması Kazakistan’a bağımsız devlet olma yolunu açmıştır. Bağımsızlık süreci ile başlayan Nazarbayev dönemi pek çok sorun ile karşı karşıya kalmıştır. Ülkenin Sovyetler döneminde Rusya’nın arka bahçesi konumuna gelmesi Rusya ve Kazakistan ilişkilerini birbirinden ayrılmaz bir düğüm haline getirmiştir. Nazarbayev yönetimi Rusya’dan bir anda kopmak yerine yavaş yavaş sorunları çözmeyi tercih etmiştir. Zira Rusya’ya yönelik uygulanacak agresif bir tavır Kazakistan’ın toprak bütünlüğüne zarar verebilirdi. Bu sebepten Rusya ile uyumlu politikalar izlemek Kazakistan açısından en uygun dış politika olarak görülmüştür. Rusya’nın baskılarına rağmen Nazarbayev dönemi çok yönlü politika ve diğer devletlerle iş birliğini arttığı bir sürece girilmiştir. Özellikle Çin ile kurulan enerji tabanlı iş birliği Kazakistan’ın dış politikasında Rusya’dan bağımsız politikalar izlemesi için imkân sağlamıştır. Yine bu dönemde Nazarbayev hem bölgesel hem de küresel iş birliğine önem vermiştir. Nazarbayev Kazakistan’ın dış politika anlayışını kurumsallaştırmak için 2014-2020 Dış politika konseptini yayınlamıştır. 2014 yılı Kazakistan’ın dış politikasında bir dönüm noktası olmuştur ve Rusya’dan bağımsız dış politikanın ilk adımları atılmıştır. </w:t>
      </w:r>
      <w:proofErr w:type="spellStart"/>
      <w:r w:rsidRPr="00C5040F">
        <w:t>Tokayev</w:t>
      </w:r>
      <w:proofErr w:type="spellEnd"/>
      <w:r w:rsidRPr="00C5040F">
        <w:t xml:space="preserve"> dönemi ise Nazarbayev’in dış politika anlayışı devam etmiştir 2020-2030 Dış Politika konsepti yayınlanmıştır. Bu konsept bir öncekine göre daha detaylı olarak hazırlanmıştır.</w:t>
      </w:r>
    </w:p>
    <w:p w14:paraId="1C74B1E0" w14:textId="77777777" w:rsidR="0007275E" w:rsidRDefault="0007275E" w:rsidP="0007275E">
      <w:pPr>
        <w:jc w:val="both"/>
      </w:pPr>
    </w:p>
    <w:p w14:paraId="3548AF6B" w14:textId="08861F8A" w:rsidR="0034640B" w:rsidRDefault="0034640B" w:rsidP="0007275E">
      <w:pPr>
        <w:jc w:val="both"/>
      </w:pPr>
      <w:r w:rsidRPr="00C5040F">
        <w:t xml:space="preserve">Görüldüğü üzere Kazakistan’ın dış politikası analiz edilirken Rusya’da bağımsız olarak </w:t>
      </w:r>
      <w:r w:rsidRPr="00C5040F">
        <w:lastRenderedPageBreak/>
        <w:t xml:space="preserve">düşünülmesi imkansızdır. Bunun sebebi ise iki ülkenin tarihsel bağlarında yatmaktadır. Kazakistan ekonomisi Rus ekonomisine bütünleşmiş yapısı, askeri güvenliğin Rusya tarafından sağlanması Rusya’yı Kazakistan dış politikasında önemli bir aktör haline getirmektedir. Rusya-Ukrayna </w:t>
      </w:r>
      <w:r>
        <w:t>S</w:t>
      </w:r>
      <w:r w:rsidRPr="00C5040F">
        <w:t xml:space="preserve">avaşı hem Rusya ekonomisine hem de Kazakistan ekonomisi üzerinde kötü etkilere sebep olmuştur. Rusya’ya uygulanan yaptırımlar Kazakistan ekonomisinde dolaydı yoldan etkilemiştir. Kazakistan gaz ve petrol ürünlerinin Rus boru hataları üzerinden </w:t>
      </w:r>
      <w:r>
        <w:t>B</w:t>
      </w:r>
      <w:r w:rsidRPr="00C5040F">
        <w:t xml:space="preserve">atı devletlerine ulaştırılması ve bu devletlerin Rusya’ya uygulanan yaptırımlar nedeniyle Kazak petrol ürünlerini geri çevirmesi Kazakistan ekonomisinde olumsuz etkilemiştir. </w:t>
      </w:r>
      <w:proofErr w:type="spellStart"/>
      <w:r w:rsidRPr="00C5040F">
        <w:t>Tokayev</w:t>
      </w:r>
      <w:proofErr w:type="spellEnd"/>
      <w:r w:rsidRPr="00C5040F">
        <w:t xml:space="preserve"> Rusya’nın Ukrayna’ya yönelik politikasını desteklemediğini uluslararası platformlarda dile getirmesi Kazakistan’ın dış politikasında Rusya e</w:t>
      </w:r>
      <w:r>
        <w:t>tkis</w:t>
      </w:r>
      <w:r w:rsidRPr="00C5040F">
        <w:t>i</w:t>
      </w:r>
      <w:r>
        <w:t>ni</w:t>
      </w:r>
      <w:r w:rsidRPr="00C5040F">
        <w:t xml:space="preserve"> kırmak ve kendi bölgesinde lider devlet olarak hareket etmek istediğinin bir göstergesidir.</w:t>
      </w:r>
    </w:p>
    <w:p w14:paraId="24365268" w14:textId="77777777" w:rsidR="00A7613A" w:rsidRPr="00C5040F" w:rsidRDefault="00A7613A" w:rsidP="000A70F0">
      <w:pPr>
        <w:ind w:firstLine="348"/>
        <w:jc w:val="both"/>
      </w:pPr>
    </w:p>
    <w:p w14:paraId="407E7C27" w14:textId="77777777" w:rsidR="0034640B" w:rsidRPr="009F0AE3" w:rsidRDefault="0034640B" w:rsidP="000A70F0">
      <w:pPr>
        <w:rPr>
          <w:b/>
          <w:bCs/>
        </w:rPr>
      </w:pPr>
      <w:r w:rsidRPr="009F0AE3">
        <w:rPr>
          <w:b/>
          <w:bCs/>
        </w:rPr>
        <w:t>KAYNAKÇA</w:t>
      </w:r>
    </w:p>
    <w:p w14:paraId="4F6DCDAB"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fldChar w:fldCharType="begin"/>
      </w:r>
      <w:r w:rsidRPr="006A31D4">
        <w:rPr>
          <w:rFonts w:ascii="Times New Roman" w:hAnsi="Times New Roman" w:cs="Times New Roman"/>
          <w:sz w:val="24"/>
          <w:szCs w:val="24"/>
        </w:rPr>
        <w:instrText xml:space="preserve"> ADDIN ZOTERO_BIBL {"uncited":[],"omitted":[],"custom":[]} CSL_BIBLIOGRAPHY </w:instrText>
      </w:r>
      <w:r w:rsidRPr="006A31D4">
        <w:rPr>
          <w:rFonts w:ascii="Times New Roman" w:hAnsi="Times New Roman" w:cs="Times New Roman"/>
          <w:sz w:val="24"/>
          <w:szCs w:val="24"/>
        </w:rPr>
        <w:fldChar w:fldCharType="separate"/>
      </w:r>
      <w:r w:rsidRPr="006A31D4">
        <w:rPr>
          <w:rFonts w:ascii="Times New Roman" w:hAnsi="Times New Roman" w:cs="Times New Roman"/>
          <w:sz w:val="24"/>
          <w:szCs w:val="24"/>
        </w:rPr>
        <w:t xml:space="preserve">Alkan, H. (2011). </w:t>
      </w:r>
      <w:r w:rsidRPr="006A31D4">
        <w:rPr>
          <w:rFonts w:ascii="Times New Roman" w:hAnsi="Times New Roman" w:cs="Times New Roman"/>
          <w:i/>
          <w:iCs/>
          <w:sz w:val="24"/>
          <w:szCs w:val="24"/>
        </w:rPr>
        <w:t>Orta Asya Türk cumhuriyetlerinde siyasal hayat ve kurumlar</w:t>
      </w:r>
      <w:r w:rsidRPr="006A31D4">
        <w:rPr>
          <w:rFonts w:ascii="Times New Roman" w:hAnsi="Times New Roman" w:cs="Times New Roman"/>
          <w:sz w:val="24"/>
          <w:szCs w:val="24"/>
        </w:rPr>
        <w:t xml:space="preserve"> (C. 54). International Strategic Research Organization (USAK).</w:t>
      </w:r>
    </w:p>
    <w:p w14:paraId="4277E95F"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Başaran, D. (2017). Jeltoksan ayaklanması ve bu ayaklanmanın Kazakistan’ın bağımsızlığındaki rolü. </w:t>
      </w:r>
      <w:r w:rsidRPr="006A31D4">
        <w:rPr>
          <w:rFonts w:ascii="Times New Roman" w:hAnsi="Times New Roman" w:cs="Times New Roman"/>
          <w:i/>
          <w:iCs/>
          <w:sz w:val="24"/>
          <w:szCs w:val="24"/>
        </w:rPr>
        <w:t>Bölgesel Araştırmalar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w:t>
      </w:r>
      <w:r w:rsidRPr="006A31D4">
        <w:rPr>
          <w:rFonts w:ascii="Times New Roman" w:hAnsi="Times New Roman" w:cs="Times New Roman"/>
          <w:sz w:val="24"/>
          <w:szCs w:val="24"/>
        </w:rPr>
        <w:t>(1), 57-88.</w:t>
      </w:r>
    </w:p>
    <w:p w14:paraId="0D40A999"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Bowyer, A. C. (2008). </w:t>
      </w:r>
      <w:r w:rsidRPr="006A31D4">
        <w:rPr>
          <w:rFonts w:ascii="Times New Roman" w:hAnsi="Times New Roman" w:cs="Times New Roman"/>
          <w:i/>
          <w:iCs/>
          <w:sz w:val="24"/>
          <w:szCs w:val="24"/>
        </w:rPr>
        <w:t>Parliament and political parties in Kazakhstan</w:t>
      </w:r>
      <w:r w:rsidRPr="006A31D4">
        <w:rPr>
          <w:rFonts w:ascii="Times New Roman" w:hAnsi="Times New Roman" w:cs="Times New Roman"/>
          <w:sz w:val="24"/>
          <w:szCs w:val="24"/>
        </w:rPr>
        <w:t>. Central Asia-Caucasus Institute &amp; Silk Road Studies Program Washington, DC.</w:t>
      </w:r>
    </w:p>
    <w:p w14:paraId="04B6FC05"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Bozkurt, S. G. (t.y.). </w:t>
      </w:r>
      <w:r w:rsidRPr="006A31D4">
        <w:rPr>
          <w:rFonts w:ascii="Times New Roman" w:hAnsi="Times New Roman" w:cs="Times New Roman"/>
          <w:i/>
          <w:iCs/>
          <w:sz w:val="24"/>
          <w:szCs w:val="24"/>
        </w:rPr>
        <w:t>Bağımsız Devletler Topluluğu’nda Renkli Devrimler- Kırgızistan Örneği</w:t>
      </w:r>
      <w:r w:rsidRPr="006A31D4">
        <w:rPr>
          <w:rFonts w:ascii="Times New Roman" w:hAnsi="Times New Roman" w:cs="Times New Roman"/>
          <w:sz w:val="24"/>
          <w:szCs w:val="24"/>
        </w:rPr>
        <w:t>.</w:t>
      </w:r>
    </w:p>
    <w:p w14:paraId="7AEF1073"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Curtis, G. E. (1996). </w:t>
      </w:r>
      <w:r w:rsidRPr="006A31D4">
        <w:rPr>
          <w:rFonts w:ascii="Times New Roman" w:hAnsi="Times New Roman" w:cs="Times New Roman"/>
          <w:i/>
          <w:iCs/>
          <w:sz w:val="24"/>
          <w:szCs w:val="24"/>
        </w:rPr>
        <w:t>Kazakstan: A Country Study</w:t>
      </w:r>
      <w:r w:rsidRPr="006A31D4">
        <w:rPr>
          <w:rFonts w:ascii="Times New Roman" w:hAnsi="Times New Roman" w:cs="Times New Roman"/>
          <w:sz w:val="24"/>
          <w:szCs w:val="24"/>
        </w:rPr>
        <w:t>. Federal Research Division.</w:t>
      </w:r>
    </w:p>
    <w:p w14:paraId="4056F44D"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ÇELİK, M. E., &amp; ÇELİK, R. (2018). Soğuk Savaş’ın Bilinmeyen İsyanı: Jeltoksan Ayaklanması. </w:t>
      </w:r>
      <w:r w:rsidRPr="006A31D4">
        <w:rPr>
          <w:rFonts w:ascii="Times New Roman" w:hAnsi="Times New Roman" w:cs="Times New Roman"/>
          <w:i/>
          <w:iCs/>
          <w:sz w:val="24"/>
          <w:szCs w:val="24"/>
        </w:rPr>
        <w:t>Kahramanmaraş Sütçü İmam Üniversitesi Sosyal Bilimler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15</w:t>
      </w:r>
      <w:r w:rsidRPr="006A31D4">
        <w:rPr>
          <w:rFonts w:ascii="Times New Roman" w:hAnsi="Times New Roman" w:cs="Times New Roman"/>
          <w:sz w:val="24"/>
          <w:szCs w:val="24"/>
        </w:rPr>
        <w:t>(2), 735-750.</w:t>
      </w:r>
    </w:p>
    <w:p w14:paraId="62E716CC"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Erkan, S. (2016). 2008 RUSYA-GÜRCİSTAN SAVAŞI VE ULUSLARARASI TOPLUM. </w:t>
      </w:r>
      <w:r w:rsidRPr="006A31D4">
        <w:rPr>
          <w:rFonts w:ascii="Times New Roman" w:hAnsi="Times New Roman" w:cs="Times New Roman"/>
          <w:i/>
          <w:iCs/>
          <w:sz w:val="24"/>
          <w:szCs w:val="24"/>
        </w:rPr>
        <w:t>Uluslararası İktisadi ve İdari İncelemeler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0</w:t>
      </w:r>
      <w:r w:rsidRPr="006A31D4">
        <w:rPr>
          <w:rFonts w:ascii="Times New Roman" w:hAnsi="Times New Roman" w:cs="Times New Roman"/>
          <w:sz w:val="24"/>
          <w:szCs w:val="24"/>
        </w:rPr>
        <w:t>(17), 41. https://doi.org/10.18092/ijeas.48565</w:t>
      </w:r>
    </w:p>
    <w:p w14:paraId="56626E5E"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Grosche, B. (2002). Semipalatinsk test site: Introduction. </w:t>
      </w:r>
      <w:r w:rsidRPr="006A31D4">
        <w:rPr>
          <w:rFonts w:ascii="Times New Roman" w:hAnsi="Times New Roman" w:cs="Times New Roman"/>
          <w:i/>
          <w:iCs/>
          <w:sz w:val="24"/>
          <w:szCs w:val="24"/>
        </w:rPr>
        <w:t>Radiation and Environmental Biophysics</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41</w:t>
      </w:r>
      <w:r w:rsidRPr="006A31D4">
        <w:rPr>
          <w:rFonts w:ascii="Times New Roman" w:hAnsi="Times New Roman" w:cs="Times New Roman"/>
          <w:sz w:val="24"/>
          <w:szCs w:val="24"/>
        </w:rPr>
        <w:t>(1), 53-55. https://doi.org/10.1007/s00411-002-0141-z</w:t>
      </w:r>
    </w:p>
    <w:p w14:paraId="1930F952"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Hamzaoğlu, H. (2020). KAZAKİSTAN’IN “2020-2030 DIŞ POLİTİKA KONSEPTİ”NİN ANALİZİ. </w:t>
      </w:r>
      <w:r w:rsidRPr="006A31D4">
        <w:rPr>
          <w:rFonts w:ascii="Times New Roman" w:hAnsi="Times New Roman" w:cs="Times New Roman"/>
          <w:i/>
          <w:iCs/>
          <w:sz w:val="24"/>
          <w:szCs w:val="24"/>
        </w:rPr>
        <w:t>International Journal of Social Humanities Sciences Research (JSHSR)</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7</w:t>
      </w:r>
      <w:r w:rsidRPr="006A31D4">
        <w:rPr>
          <w:rFonts w:ascii="Times New Roman" w:hAnsi="Times New Roman" w:cs="Times New Roman"/>
          <w:sz w:val="24"/>
          <w:szCs w:val="24"/>
        </w:rPr>
        <w:t>(52), 978-985. https://doi.org/10.26450/jshsr.1851</w:t>
      </w:r>
    </w:p>
    <w:p w14:paraId="06D98B38"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HARUNOĞULLARI, M. (2016). </w:t>
      </w:r>
      <w:r w:rsidRPr="006A31D4">
        <w:rPr>
          <w:rFonts w:ascii="Times New Roman" w:hAnsi="Times New Roman" w:cs="Times New Roman"/>
          <w:i/>
          <w:iCs/>
          <w:sz w:val="24"/>
          <w:szCs w:val="24"/>
        </w:rPr>
        <w:t>Jeopolitik Rekabet Alanı: Hazar Havzası ve Türkiye</w:t>
      </w:r>
      <w:r w:rsidRPr="006A31D4">
        <w:rPr>
          <w:rFonts w:ascii="Times New Roman" w:hAnsi="Times New Roman" w:cs="Times New Roman"/>
          <w:sz w:val="24"/>
          <w:szCs w:val="24"/>
        </w:rPr>
        <w:t>. TUCAUM Uluslararası Coğrafya Sempozyumu, Ekim.</w:t>
      </w:r>
    </w:p>
    <w:p w14:paraId="62BEA14F"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HAYKIR, Y., &amp; KARA, F. (2014). RUS KOLONİZAYONUNA KARŞI KAZAK MUKAVEMETİ. </w:t>
      </w:r>
      <w:r w:rsidRPr="006A31D4">
        <w:rPr>
          <w:rFonts w:ascii="Times New Roman" w:hAnsi="Times New Roman" w:cs="Times New Roman"/>
          <w:i/>
          <w:iCs/>
          <w:sz w:val="24"/>
          <w:szCs w:val="24"/>
        </w:rPr>
        <w:t>Turkish Studies (Elektronik)</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9</w:t>
      </w:r>
      <w:r w:rsidRPr="006A31D4">
        <w:rPr>
          <w:rFonts w:ascii="Times New Roman" w:hAnsi="Times New Roman" w:cs="Times New Roman"/>
          <w:sz w:val="24"/>
          <w:szCs w:val="24"/>
        </w:rPr>
        <w:t>(4), 619-629. TRDizin.</w:t>
      </w:r>
    </w:p>
    <w:p w14:paraId="463F35DB"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Hazar Denizi’nin statüsü 20 yıllık müzakereler sonunda belli oldu | Euronews</w:t>
      </w:r>
      <w:r w:rsidRPr="006A31D4">
        <w:rPr>
          <w:rFonts w:ascii="Times New Roman" w:hAnsi="Times New Roman" w:cs="Times New Roman"/>
          <w:sz w:val="24"/>
          <w:szCs w:val="24"/>
        </w:rPr>
        <w:t>. (t.y.). Geliş tarihi 06 Haziran 2023, gönderen https://tr.euronews.com/2018/08/12/hazar-denizi-nin-statusu-20-yillik-muzakereler-sonunda-belli-oldu</w:t>
      </w:r>
    </w:p>
    <w:p w14:paraId="0201EA74"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Hi̇Zmetli̇, D. S. (t.y.). </w:t>
      </w:r>
      <w:r w:rsidRPr="006A31D4">
        <w:rPr>
          <w:rFonts w:ascii="Times New Roman" w:hAnsi="Times New Roman" w:cs="Times New Roman"/>
          <w:i/>
          <w:iCs/>
          <w:sz w:val="24"/>
          <w:szCs w:val="24"/>
        </w:rPr>
        <w:t>KAZAK ULUSU VE KAZAK TARİHİ ÜZERİNE: DÜNÜ VE BUGÜNÜ</w:t>
      </w:r>
      <w:r w:rsidRPr="006A31D4">
        <w:rPr>
          <w:rFonts w:ascii="Times New Roman" w:hAnsi="Times New Roman" w:cs="Times New Roman"/>
          <w:sz w:val="24"/>
          <w:szCs w:val="24"/>
        </w:rPr>
        <w:t>.</w:t>
      </w:r>
    </w:p>
    <w:p w14:paraId="1E8C1A1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Hizmetli, S. (2011). Kazak Ulusu ve Kazak Tarihi Üzerine: Dünü ve Bugünü. </w:t>
      </w:r>
      <w:r w:rsidRPr="006A31D4">
        <w:rPr>
          <w:rFonts w:ascii="Times New Roman" w:hAnsi="Times New Roman" w:cs="Times New Roman"/>
          <w:i/>
          <w:iCs/>
          <w:sz w:val="24"/>
          <w:szCs w:val="24"/>
        </w:rPr>
        <w:t>İstem</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17</w:t>
      </w:r>
      <w:r w:rsidRPr="006A31D4">
        <w:rPr>
          <w:rFonts w:ascii="Times New Roman" w:hAnsi="Times New Roman" w:cs="Times New Roman"/>
          <w:sz w:val="24"/>
          <w:szCs w:val="24"/>
        </w:rPr>
        <w:t>, 23-43.</w:t>
      </w:r>
    </w:p>
    <w:p w14:paraId="7FD1B5CD"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https://www.facebook.com/sondakikacom. (2022, Şubat 26). </w:t>
      </w:r>
      <w:r w:rsidRPr="006A31D4">
        <w:rPr>
          <w:rFonts w:ascii="Times New Roman" w:hAnsi="Times New Roman" w:cs="Times New Roman"/>
          <w:i/>
          <w:iCs/>
          <w:sz w:val="24"/>
          <w:szCs w:val="24"/>
        </w:rPr>
        <w:t>Kazakistan Rusya’nın Ukrayna’ya asker göndermesi için yaptığı çağrıyı reddetti</w:t>
      </w:r>
      <w:r w:rsidRPr="006A31D4">
        <w:rPr>
          <w:rFonts w:ascii="Times New Roman" w:hAnsi="Times New Roman" w:cs="Times New Roman"/>
          <w:sz w:val="24"/>
          <w:szCs w:val="24"/>
        </w:rPr>
        <w:t>. Son Dakika. https://www.sondakika.com/dunya/haber-kazakistan-rusya-nin-ukrayna-ya-asker-</w:t>
      </w:r>
      <w:r w:rsidRPr="006A31D4">
        <w:rPr>
          <w:rFonts w:ascii="Times New Roman" w:hAnsi="Times New Roman" w:cs="Times New Roman"/>
          <w:sz w:val="24"/>
          <w:szCs w:val="24"/>
        </w:rPr>
        <w:lastRenderedPageBreak/>
        <w:t>gondermesi-14760128/</w:t>
      </w:r>
    </w:p>
    <w:p w14:paraId="2B387B53"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KALDYGUL ADILBEKOVA. (2022). </w:t>
      </w:r>
      <w:r w:rsidRPr="006A31D4">
        <w:rPr>
          <w:rFonts w:ascii="Times New Roman" w:hAnsi="Times New Roman" w:cs="Times New Roman"/>
          <w:i/>
          <w:iCs/>
          <w:sz w:val="24"/>
          <w:szCs w:val="24"/>
        </w:rPr>
        <w:t>DIŞ POLİTİKA VE KİMLİK: İNŞACI PERSPEKTİFİNDEN KAZAK DIŞ POLİTİKASININ ANALİZİ</w:t>
      </w:r>
      <w:r w:rsidRPr="006A31D4">
        <w:rPr>
          <w:rFonts w:ascii="Times New Roman" w:hAnsi="Times New Roman" w:cs="Times New Roman"/>
          <w:sz w:val="24"/>
          <w:szCs w:val="24"/>
        </w:rPr>
        <w:t xml:space="preserve"> [Yayınlanmış Doktora Tezi, YALOVA ÜNİVERSİTESİ LİSANSÜSTÜ EĞİTİM ENSTİTÜSÜ]. file:///C:/Users/yenia/Downloads/732087.pdf</w:t>
      </w:r>
    </w:p>
    <w:p w14:paraId="30DFF0C0"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Kantarci, Ş. (2016). Mesut Hakkı CAŞIN–Giray Saynur DERMAN, Rus Dış Politikasındaki Değişim ve Kremlin Penceresinden Yeni Ufuklar, İstanbul: SRT Yayınları, 2015, 534 sayfa, Kaynaklar, ISBN: 978-605-65606-2-1. </w:t>
      </w:r>
      <w:r w:rsidRPr="006A31D4">
        <w:rPr>
          <w:rFonts w:ascii="Times New Roman" w:hAnsi="Times New Roman" w:cs="Times New Roman"/>
          <w:i/>
          <w:iCs/>
          <w:sz w:val="24"/>
          <w:szCs w:val="24"/>
        </w:rPr>
        <w:t>Karadeniz Araştırmaları</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49</w:t>
      </w:r>
      <w:r w:rsidRPr="006A31D4">
        <w:rPr>
          <w:rFonts w:ascii="Times New Roman" w:hAnsi="Times New Roman" w:cs="Times New Roman"/>
          <w:sz w:val="24"/>
          <w:szCs w:val="24"/>
        </w:rPr>
        <w:t>, 232-237.</w:t>
      </w:r>
    </w:p>
    <w:p w14:paraId="1A23C82C"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Kara, A., &amp; YEŞİLOT, O. (t.y.). Kazakistan. </w:t>
      </w:r>
      <w:r w:rsidRPr="006A31D4">
        <w:rPr>
          <w:rFonts w:ascii="Times New Roman" w:hAnsi="Times New Roman" w:cs="Times New Roman"/>
          <w:i/>
          <w:iCs/>
          <w:sz w:val="24"/>
          <w:szCs w:val="24"/>
        </w:rPr>
        <w:t>Bağımsızlıklarının 25. Yılında Türk Cumhuriyetleri</w:t>
      </w:r>
      <w:r w:rsidRPr="006A31D4">
        <w:rPr>
          <w:rFonts w:ascii="Times New Roman" w:hAnsi="Times New Roman" w:cs="Times New Roman"/>
          <w:sz w:val="24"/>
          <w:szCs w:val="24"/>
        </w:rPr>
        <w:t>, 73-131.</w:t>
      </w:r>
    </w:p>
    <w:p w14:paraId="69C31254"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Kara, A., &amp; Yeşilot, O. (2011). </w:t>
      </w:r>
      <w:r w:rsidRPr="006A31D4">
        <w:rPr>
          <w:rFonts w:ascii="Times New Roman" w:hAnsi="Times New Roman" w:cs="Times New Roman"/>
          <w:i/>
          <w:iCs/>
          <w:sz w:val="24"/>
          <w:szCs w:val="24"/>
        </w:rPr>
        <w:t>Avrasya’nın yükselen yıldızı Kazakistan</w:t>
      </w:r>
      <w:r w:rsidRPr="006A31D4">
        <w:rPr>
          <w:rFonts w:ascii="Times New Roman" w:hAnsi="Times New Roman" w:cs="Times New Roman"/>
          <w:sz w:val="24"/>
          <w:szCs w:val="24"/>
        </w:rPr>
        <w:t>. İstanbul Ticaret Odası.</w:t>
      </w:r>
    </w:p>
    <w:p w14:paraId="7BA31241"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Kaya, A. (2012). </w:t>
      </w:r>
      <w:r w:rsidRPr="006A31D4">
        <w:rPr>
          <w:rFonts w:ascii="Times New Roman" w:hAnsi="Times New Roman" w:cs="Times New Roman"/>
          <w:i/>
          <w:iCs/>
          <w:sz w:val="24"/>
          <w:szCs w:val="24"/>
        </w:rPr>
        <w:t>SSCB SONRASI COĞRAFYADA ULUS İNŞA SÜRECİ: KAZAKİSTAN ÖRNEĞİ</w:t>
      </w:r>
      <w:r w:rsidRPr="006A31D4">
        <w:rPr>
          <w:rFonts w:ascii="Times New Roman" w:hAnsi="Times New Roman" w:cs="Times New Roman"/>
          <w:sz w:val="24"/>
          <w:szCs w:val="24"/>
        </w:rPr>
        <w:t>.</w:t>
      </w:r>
    </w:p>
    <w:p w14:paraId="3A003D7A"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Kazakhstan: Astana Strives to Balance Ties with United States and Russia | Eurasianet</w:t>
      </w:r>
      <w:r w:rsidRPr="006A31D4">
        <w:rPr>
          <w:rFonts w:ascii="Times New Roman" w:hAnsi="Times New Roman" w:cs="Times New Roman"/>
          <w:sz w:val="24"/>
          <w:szCs w:val="24"/>
        </w:rPr>
        <w:t>. (t.y.). Geliş tarihi 05 Haziran 2023, gönderen https://eurasianet.org/kazakhstan-astana-strives-to-balance-ties-with-united-states-and-russia</w:t>
      </w:r>
    </w:p>
    <w:p w14:paraId="36434085"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 BTC boru hattına katılacak—Ekonomi Haberleri—Son Dakika Haberler</w:t>
      </w:r>
      <w:r w:rsidRPr="006A31D4">
        <w:rPr>
          <w:rFonts w:ascii="Times New Roman" w:hAnsi="Times New Roman" w:cs="Times New Roman"/>
          <w:sz w:val="24"/>
          <w:szCs w:val="24"/>
        </w:rPr>
        <w:t>. (2017, Kasım 14). CNN TÜRK. https://www.cnnturk.com/ekonomi/genel/kazakistan-btc-boru-hattina-katilacak</w:t>
      </w:r>
    </w:p>
    <w:p w14:paraId="4D0F07EE"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 Cumhurbaşkanı Tokayev, Putin ve Zelenski ile ayrı ayrı görüştü</w:t>
      </w:r>
      <w:r w:rsidRPr="006A31D4">
        <w:rPr>
          <w:rFonts w:ascii="Times New Roman" w:hAnsi="Times New Roman" w:cs="Times New Roman"/>
          <w:sz w:val="24"/>
          <w:szCs w:val="24"/>
        </w:rPr>
        <w:t>. (t.y.). Geliş tarihi 07 Haziran 2023, gönderen https://www.ntv.com.tr/ukrayna-savasi/kazakistan-cumhurbaskani-tokayev-putin-ve-zelenski-ile-ayri-ayri-gorustu,uUPEW6c0I0SMF9pNcBDGOQ</w:t>
      </w:r>
    </w:p>
    <w:p w14:paraId="54B0189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 Latin alfabesine geçiyor | Al Jazeera Turk—Ortadoğu, Kafkasya, Balkanlar, Türkiye ve çevresindeki bölgeden son dakika haberleri ve analizler</w:t>
      </w:r>
      <w:r w:rsidRPr="006A31D4">
        <w:rPr>
          <w:rFonts w:ascii="Times New Roman" w:hAnsi="Times New Roman" w:cs="Times New Roman"/>
          <w:sz w:val="24"/>
          <w:szCs w:val="24"/>
        </w:rPr>
        <w:t>. (t.y.). Geliş tarihi 06 Haziran 2023, gönderen https://www.aljazeera.com.tr/haber/kazakistan-latin-alfabesine-geciyor</w:t>
      </w:r>
    </w:p>
    <w:p w14:paraId="02AC3E9D"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 topraklarını NATO’ya açıyor</w:t>
      </w:r>
      <w:r w:rsidRPr="006A31D4">
        <w:rPr>
          <w:rFonts w:ascii="Times New Roman" w:hAnsi="Times New Roman" w:cs="Times New Roman"/>
          <w:sz w:val="24"/>
          <w:szCs w:val="24"/>
        </w:rPr>
        <w:t>. (2010, Ocak 28). https://www.hurriyet.com.tr/dunya/kazakistan-topraklarini-natoya-aciyor-13616750</w:t>
      </w:r>
    </w:p>
    <w:p w14:paraId="24EAB3C6"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Kazakistan’da askeri ve sivil tesislerin güvenliğinin sağlanması için acil talimat verildi</w:t>
      </w:r>
      <w:r w:rsidRPr="006A31D4">
        <w:rPr>
          <w:rFonts w:ascii="Times New Roman" w:hAnsi="Times New Roman" w:cs="Times New Roman"/>
          <w:sz w:val="24"/>
          <w:szCs w:val="24"/>
        </w:rPr>
        <w:t>. (t.y.). Geliş tarihi 18 Şubat 2025, gönderen https://www.aa.com.tr/tr/dunya/kazakistanda-askeri-ve-sivil-tesislerin-guvenliginin-saglanmasi-icin-acil-talimat-verildi/3400674</w:t>
      </w:r>
    </w:p>
    <w:p w14:paraId="5AFF8940"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Kazakistan’da Rus kanallarının yayınına “savaş propagandası” engeli</w:t>
      </w:r>
      <w:r w:rsidRPr="006A31D4">
        <w:rPr>
          <w:rFonts w:ascii="Times New Roman" w:hAnsi="Times New Roman" w:cs="Times New Roman"/>
          <w:sz w:val="24"/>
          <w:szCs w:val="24"/>
        </w:rPr>
        <w:t>. (2022, Şubat 28). euronews. https://tr.euronews.com/2022/02/28/kazakistan-da-ukrayna-savas-ndaki-tutumlar-nedeniyle-rus-kanallar-n-n-yay-n-na-son</w:t>
      </w:r>
    </w:p>
    <w:p w14:paraId="18413053"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Kazakistan’ın Dış İlişkileri</w:t>
      </w:r>
      <w:r w:rsidRPr="006A31D4">
        <w:rPr>
          <w:rFonts w:ascii="Times New Roman" w:hAnsi="Times New Roman" w:cs="Times New Roman"/>
          <w:sz w:val="24"/>
          <w:szCs w:val="24"/>
        </w:rPr>
        <w:t>. (t.y.). Geliş tarihi 03 Haziran 2023, gönderen https://21yyte.org/tr/merkezler/bolgesel-arastirma-merkezleri/orta-asya-arastirmalari-merkezi/kazakistanin-dis-iliskileri</w:t>
      </w:r>
    </w:p>
    <w:p w14:paraId="17E78BFD"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Kazakistan’ın Tarihi, Etnik Yapısı, Dili ve Yönetim Biçimi</w:t>
      </w:r>
      <w:r w:rsidRPr="006A31D4">
        <w:rPr>
          <w:rFonts w:ascii="Times New Roman" w:hAnsi="Times New Roman" w:cs="Times New Roman"/>
          <w:sz w:val="24"/>
          <w:szCs w:val="24"/>
        </w:rPr>
        <w:t>. (2019, Kasım 25). https://ungo.com.tr/2019/11/kazakistan-hakkinda-bilgiler/</w:t>
      </w:r>
    </w:p>
    <w:p w14:paraId="28F2265A"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Kunic, N. (2020). Rusya’nın Orta Asya Politikası: Kazakistan Örneği. </w:t>
      </w:r>
      <w:r w:rsidRPr="006A31D4">
        <w:rPr>
          <w:rFonts w:ascii="Times New Roman" w:hAnsi="Times New Roman" w:cs="Times New Roman"/>
          <w:i/>
          <w:iCs/>
          <w:sz w:val="24"/>
          <w:szCs w:val="24"/>
        </w:rPr>
        <w:t>Elektronik Siyaset Bilimi Araştırmaları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11</w:t>
      </w:r>
      <w:r w:rsidRPr="006A31D4">
        <w:rPr>
          <w:rFonts w:ascii="Times New Roman" w:hAnsi="Times New Roman" w:cs="Times New Roman"/>
          <w:sz w:val="24"/>
          <w:szCs w:val="24"/>
        </w:rPr>
        <w:t>(21), 56-71.</w:t>
      </w:r>
    </w:p>
    <w:p w14:paraId="6CB6226F"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Merdan, A. S., &amp; Kahraman, F. Ş. (2020). Hazar Denizi’nin Hukuki Statüsü. </w:t>
      </w:r>
      <w:r w:rsidRPr="006A31D4">
        <w:rPr>
          <w:rFonts w:ascii="Times New Roman" w:hAnsi="Times New Roman" w:cs="Times New Roman"/>
          <w:i/>
          <w:iCs/>
          <w:sz w:val="24"/>
          <w:szCs w:val="24"/>
        </w:rPr>
        <w:t>Kafkas Üniversitesi İktisadi ve İdari Bilimler Fakültesi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11</w:t>
      </w:r>
      <w:r w:rsidRPr="006A31D4">
        <w:rPr>
          <w:rFonts w:ascii="Times New Roman" w:hAnsi="Times New Roman" w:cs="Times New Roman"/>
          <w:sz w:val="24"/>
          <w:szCs w:val="24"/>
        </w:rPr>
        <w:t xml:space="preserve">(21), 434-468. </w:t>
      </w:r>
      <w:r w:rsidRPr="006A31D4">
        <w:rPr>
          <w:rFonts w:ascii="Times New Roman" w:hAnsi="Times New Roman" w:cs="Times New Roman"/>
          <w:sz w:val="24"/>
          <w:szCs w:val="24"/>
        </w:rPr>
        <w:lastRenderedPageBreak/>
        <w:t>https://doi.org/10.36543/kauiibfd.2020.020</w:t>
      </w:r>
    </w:p>
    <w:p w14:paraId="2253F111"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Mereu, F. (11:42:35Z). Kazakhstan: Nazarbaev Calls For Stronger CIS. </w:t>
      </w:r>
      <w:r w:rsidRPr="006A31D4">
        <w:rPr>
          <w:rFonts w:ascii="Times New Roman" w:hAnsi="Times New Roman" w:cs="Times New Roman"/>
          <w:i/>
          <w:iCs/>
          <w:sz w:val="24"/>
          <w:szCs w:val="24"/>
        </w:rPr>
        <w:t>Radio Free Europe/Radio Liberty</w:t>
      </w:r>
      <w:r w:rsidRPr="006A31D4">
        <w:rPr>
          <w:rFonts w:ascii="Times New Roman" w:hAnsi="Times New Roman" w:cs="Times New Roman"/>
          <w:sz w:val="24"/>
          <w:szCs w:val="24"/>
        </w:rPr>
        <w:t>. https://www.rferl.org/a/1098140.html</w:t>
      </w:r>
    </w:p>
    <w:p w14:paraId="0953CC81"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Nogayeva, A. (2011). </w:t>
      </w:r>
      <w:r w:rsidRPr="006A31D4">
        <w:rPr>
          <w:rFonts w:ascii="Times New Roman" w:hAnsi="Times New Roman" w:cs="Times New Roman"/>
          <w:i/>
          <w:iCs/>
          <w:sz w:val="24"/>
          <w:szCs w:val="24"/>
        </w:rPr>
        <w:t>Orta Asya’da ABD, Rusya ve Çin: Stratejik Denge Arayışları</w:t>
      </w:r>
      <w:r w:rsidRPr="006A31D4">
        <w:rPr>
          <w:rFonts w:ascii="Times New Roman" w:hAnsi="Times New Roman" w:cs="Times New Roman"/>
          <w:sz w:val="24"/>
          <w:szCs w:val="24"/>
        </w:rPr>
        <w:t xml:space="preserve"> (C. 55). International Strategic Research Organization (USAK).</w:t>
      </w:r>
    </w:p>
    <w:p w14:paraId="6ED93499"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Nükleer Silahları Azaltma Görüşmeleri—2002-04-29</w:t>
      </w:r>
      <w:r w:rsidRPr="006A31D4">
        <w:rPr>
          <w:rFonts w:ascii="Times New Roman" w:hAnsi="Times New Roman" w:cs="Times New Roman"/>
          <w:sz w:val="24"/>
          <w:szCs w:val="24"/>
        </w:rPr>
        <w:t>. (t.y.). Geliş tarihi 04 Haziran 2023, gönderen https://www.voaturkce.com/a/a-17-a-2002-04-29-15-1-87884402/803439.html</w:t>
      </w:r>
    </w:p>
    <w:p w14:paraId="1DC3B33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Oğan, S. (2001). Demografinin Gölgesi Altında Rusya-Kazakistan İlişkileri. </w:t>
      </w:r>
      <w:r w:rsidRPr="006A31D4">
        <w:rPr>
          <w:rFonts w:ascii="Times New Roman" w:hAnsi="Times New Roman" w:cs="Times New Roman"/>
          <w:i/>
          <w:iCs/>
          <w:sz w:val="24"/>
          <w:szCs w:val="24"/>
        </w:rPr>
        <w:t>Avrasya Dosyası Kazakistan-Kırgızistan Özel, Kış</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2002</w:t>
      </w:r>
      <w:r w:rsidRPr="006A31D4">
        <w:rPr>
          <w:rFonts w:ascii="Times New Roman" w:hAnsi="Times New Roman" w:cs="Times New Roman"/>
          <w:sz w:val="24"/>
          <w:szCs w:val="24"/>
        </w:rPr>
        <w:t>.</w:t>
      </w:r>
    </w:p>
    <w:p w14:paraId="77BF128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Ongarova, Y. (2018). Kazakistan’ın Çok Yönlü Enerji Politikası ve Hazar Denizi. </w:t>
      </w:r>
      <w:r w:rsidRPr="006A31D4">
        <w:rPr>
          <w:rFonts w:ascii="Times New Roman" w:hAnsi="Times New Roman" w:cs="Times New Roman"/>
          <w:i/>
          <w:iCs/>
          <w:sz w:val="24"/>
          <w:szCs w:val="24"/>
        </w:rPr>
        <w:t>Alınteri Sosyal Bilimler Dergisi</w:t>
      </w:r>
      <w:r w:rsidRPr="006A31D4">
        <w:rPr>
          <w:rFonts w:ascii="Times New Roman" w:hAnsi="Times New Roman" w:cs="Times New Roman"/>
          <w:sz w:val="24"/>
          <w:szCs w:val="24"/>
        </w:rPr>
        <w:t>. https://doi.org/10.30913/alinterisosbil.306038</w:t>
      </w:r>
    </w:p>
    <w:p w14:paraId="7836C52B"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Ospanova, A. (t.y.). </w:t>
      </w:r>
      <w:r w:rsidRPr="006A31D4">
        <w:rPr>
          <w:rFonts w:ascii="Times New Roman" w:hAnsi="Times New Roman" w:cs="Times New Roman"/>
          <w:i/>
          <w:iCs/>
          <w:sz w:val="24"/>
          <w:szCs w:val="24"/>
        </w:rPr>
        <w:t>Kаzаk ulusunun dоğuşundаn günümüzе Türk-Kаzаk ilişkilеri</w:t>
      </w:r>
      <w:r w:rsidRPr="006A31D4">
        <w:rPr>
          <w:rFonts w:ascii="Times New Roman" w:hAnsi="Times New Roman" w:cs="Times New Roman"/>
          <w:sz w:val="24"/>
          <w:szCs w:val="24"/>
        </w:rPr>
        <w:t>.</w:t>
      </w:r>
    </w:p>
    <w:p w14:paraId="6836F3B0"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Öztopal, M. K. (2018). </w:t>
      </w:r>
      <w:r w:rsidRPr="006A31D4">
        <w:rPr>
          <w:rFonts w:ascii="Times New Roman" w:hAnsi="Times New Roman" w:cs="Times New Roman"/>
          <w:i/>
          <w:iCs/>
          <w:sz w:val="24"/>
          <w:szCs w:val="24"/>
        </w:rPr>
        <w:t>ÖNDE GELEN ULUSLARARASI ÖRGÜTLERİN KIRIM’IN YASADIŞI İLHAKINA TEPKİLERİ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19</w:t>
      </w:r>
      <w:r w:rsidRPr="006A31D4">
        <w:rPr>
          <w:rFonts w:ascii="Times New Roman" w:hAnsi="Times New Roman" w:cs="Times New Roman"/>
          <w:sz w:val="24"/>
          <w:szCs w:val="24"/>
        </w:rPr>
        <w:t>.</w:t>
      </w:r>
    </w:p>
    <w:p w14:paraId="1F2F8486"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Pannier, B. (16:23:37Z). EU Seeks Energy, Presses On Rights. </w:t>
      </w:r>
      <w:r w:rsidRPr="006A31D4">
        <w:rPr>
          <w:rFonts w:ascii="Times New Roman" w:hAnsi="Times New Roman" w:cs="Times New Roman"/>
          <w:i/>
          <w:iCs/>
          <w:sz w:val="24"/>
          <w:szCs w:val="24"/>
        </w:rPr>
        <w:t>Radio Free Europe/Radio Liberty</w:t>
      </w:r>
      <w:r w:rsidRPr="006A31D4">
        <w:rPr>
          <w:rFonts w:ascii="Times New Roman" w:hAnsi="Times New Roman" w:cs="Times New Roman"/>
          <w:sz w:val="24"/>
          <w:szCs w:val="24"/>
        </w:rPr>
        <w:t>. https://www.rferl.org/a/1075562.html</w:t>
      </w:r>
    </w:p>
    <w:p w14:paraId="7CFBDD7F"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Putin ve Tokayev, Kazakistan’daki ocak olaylarını görüştü</w:t>
      </w:r>
      <w:r w:rsidRPr="006A31D4">
        <w:rPr>
          <w:rFonts w:ascii="Times New Roman" w:hAnsi="Times New Roman" w:cs="Times New Roman"/>
          <w:sz w:val="24"/>
          <w:szCs w:val="24"/>
        </w:rPr>
        <w:t>. (t.y.). Geliş tarihi 07 Haziran 2023, gönderen https://www.aa.com.tr/tr/dunya/putin-ve-tokayev-kazakistandaki-ocak-olaylarini-gorustu/2499204</w:t>
      </w:r>
    </w:p>
    <w:p w14:paraId="656D42A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Roy, O., &amp; Moralı, M. (2000). </w:t>
      </w:r>
      <w:r w:rsidRPr="006A31D4">
        <w:rPr>
          <w:rFonts w:ascii="Times New Roman" w:hAnsi="Times New Roman" w:cs="Times New Roman"/>
          <w:i/>
          <w:iCs/>
          <w:sz w:val="24"/>
          <w:szCs w:val="24"/>
        </w:rPr>
        <w:t>Yeni Orta Asya ya da ulusların imal edilişi</w:t>
      </w:r>
      <w:r w:rsidRPr="006A31D4">
        <w:rPr>
          <w:rFonts w:ascii="Times New Roman" w:hAnsi="Times New Roman" w:cs="Times New Roman"/>
          <w:sz w:val="24"/>
          <w:szCs w:val="24"/>
        </w:rPr>
        <w:t>. Metis Yayınları.</w:t>
      </w:r>
    </w:p>
    <w:p w14:paraId="2BA2E1B4"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Rusya-Ukrayna Savaşı’nın Orta Asya ülkelerine etkisi</w:t>
      </w:r>
      <w:r w:rsidRPr="006A31D4">
        <w:rPr>
          <w:rFonts w:ascii="Times New Roman" w:hAnsi="Times New Roman" w:cs="Times New Roman"/>
          <w:sz w:val="24"/>
          <w:szCs w:val="24"/>
        </w:rPr>
        <w:t>. (t.y.). Geliş tarihi 07 Haziran 2023, gönderen https://www.aa.com.tr/tr/analiz/rusya-ukrayna-savasinin-orta-asya-ulkelerine-etkisi/2570168</w:t>
      </w:r>
    </w:p>
    <w:p w14:paraId="22B9727C"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Rusya’ya Yönelik Yaptırımların Kazakistan Ekonomisine Etkileri</w:t>
      </w:r>
      <w:r w:rsidRPr="006A31D4">
        <w:rPr>
          <w:rFonts w:ascii="Times New Roman" w:hAnsi="Times New Roman" w:cs="Times New Roman"/>
          <w:sz w:val="24"/>
          <w:szCs w:val="24"/>
        </w:rPr>
        <w:t>. (t.y.). Geliş tarihi 30 Mayıs 2023, gönderen https://www.eurasian-research.org/publication/rusyaya-yonelik-yaptirimlarin-kazakistan-ekonomisine-etkileri/?lang=tr</w:t>
      </w:r>
    </w:p>
    <w:p w14:paraId="3F69CC73"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Schatz, E. (2000). The Politics of Multiple Identities: Lineage and Ethnicity in Kazakhstan. </w:t>
      </w:r>
      <w:r w:rsidRPr="006A31D4">
        <w:rPr>
          <w:rFonts w:ascii="Times New Roman" w:hAnsi="Times New Roman" w:cs="Times New Roman"/>
          <w:i/>
          <w:iCs/>
          <w:sz w:val="24"/>
          <w:szCs w:val="24"/>
        </w:rPr>
        <w:t>Europe-Asia Studies</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52</w:t>
      </w:r>
      <w:r w:rsidRPr="006A31D4">
        <w:rPr>
          <w:rFonts w:ascii="Times New Roman" w:hAnsi="Times New Roman" w:cs="Times New Roman"/>
          <w:sz w:val="24"/>
          <w:szCs w:val="24"/>
        </w:rPr>
        <w:t>(3), 489-506. https://doi.org/10.1080/713663070</w:t>
      </w:r>
    </w:p>
    <w:p w14:paraId="58D5239B"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Tokayev, “Kazakistan’ın sözde Donetsk ve Luhansk halk cumhuriyetlerini tanımayacağını” açıkladı</w:t>
      </w:r>
      <w:r w:rsidRPr="006A31D4">
        <w:rPr>
          <w:rFonts w:ascii="Times New Roman" w:hAnsi="Times New Roman" w:cs="Times New Roman"/>
          <w:sz w:val="24"/>
          <w:szCs w:val="24"/>
        </w:rPr>
        <w:t>. (t.y.). Geliş tarihi 07 Haziran 2023, gönderen https://www.aa.com.tr/tr/dunya/tokayev-kazakistan-in-sozde-donetsk-ve-luhansk-halk-cumhuriyetlerini-tanimayacagini-acikladi/2616593</w:t>
      </w:r>
    </w:p>
    <w:p w14:paraId="03C3C442"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Tokayev, Zelenskiy ile telefonda görüştü</w:t>
      </w:r>
      <w:r w:rsidRPr="006A31D4">
        <w:rPr>
          <w:rFonts w:ascii="Times New Roman" w:hAnsi="Times New Roman" w:cs="Times New Roman"/>
          <w:sz w:val="24"/>
          <w:szCs w:val="24"/>
        </w:rPr>
        <w:t>. (2024, Şubat 2). https://www.yirmidort.tv/dunya/tokayev-zelenskiy-ile-telefonda-gorustu-152516. https://www.yirmidort.tv/dunya/tokayev-zelenskiy-ile-telefonda-gorustu-152516</w:t>
      </w:r>
    </w:p>
    <w:p w14:paraId="084CCE61"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Tokayev’in etkin dış politikası—Vusal HASANZADEH</w:t>
      </w:r>
      <w:r w:rsidRPr="006A31D4">
        <w:rPr>
          <w:rFonts w:ascii="Times New Roman" w:hAnsi="Times New Roman" w:cs="Times New Roman"/>
          <w:sz w:val="24"/>
          <w:szCs w:val="24"/>
        </w:rPr>
        <w:t>. (t.y.). Geliş tarihi 06 Haziran 2023, gönderen https://www.cumhuriyet.com.tr/yazarlar/olaylar-ve-gorusler/tokayevin-etkin-dis-politikasi-vusal-hasanzadeh-1972665</w:t>
      </w:r>
    </w:p>
    <w:p w14:paraId="05960DC6"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Ualikhanova, A. (2023, Şubat 17). </w:t>
      </w:r>
      <w:r w:rsidRPr="006A31D4">
        <w:rPr>
          <w:rFonts w:ascii="Times New Roman" w:hAnsi="Times New Roman" w:cs="Times New Roman"/>
          <w:i/>
          <w:iCs/>
          <w:sz w:val="24"/>
          <w:szCs w:val="24"/>
        </w:rPr>
        <w:t>Tokayev Reaffirms Kazakhstan’s Position on Russia-Ukraine Conflict in Phone Conversation with Zelenskyy</w:t>
      </w:r>
      <w:r w:rsidRPr="006A31D4">
        <w:rPr>
          <w:rFonts w:ascii="Times New Roman" w:hAnsi="Times New Roman" w:cs="Times New Roman"/>
          <w:sz w:val="24"/>
          <w:szCs w:val="24"/>
        </w:rPr>
        <w:t>. The Astana Times. https://astanatimes.com/2023/02/tokayev-reaffirms-kazakhstans-position-on-russia-ukraine-conflict-in-phone-conversation-with-zelenskyy/</w:t>
      </w:r>
    </w:p>
    <w:p w14:paraId="689B10B0"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i/>
          <w:iCs/>
          <w:sz w:val="24"/>
          <w:szCs w:val="24"/>
        </w:rPr>
        <w:t>Vice President Cheney and President Nursultan Nazarbayev Make Remarks in a Meeting in the Golden Hall in Astana, Kazakhstan | The American Presidency Project</w:t>
      </w:r>
      <w:r w:rsidRPr="006A31D4">
        <w:rPr>
          <w:rFonts w:ascii="Times New Roman" w:hAnsi="Times New Roman" w:cs="Times New Roman"/>
          <w:sz w:val="24"/>
          <w:szCs w:val="24"/>
        </w:rPr>
        <w:t xml:space="preserve">. (t.y.). Geliş tarihi 05 Haziran 2023, gönderen </w:t>
      </w:r>
      <w:r w:rsidRPr="006A31D4">
        <w:rPr>
          <w:rFonts w:ascii="Times New Roman" w:hAnsi="Times New Roman" w:cs="Times New Roman"/>
          <w:sz w:val="24"/>
          <w:szCs w:val="24"/>
        </w:rPr>
        <w:lastRenderedPageBreak/>
        <w:t>https://www.presidency.ucsb.edu/documents/vice-president-cheney-and-president-nursultan-nazarbayev-make-remarks-meeting-the-golden</w:t>
      </w:r>
    </w:p>
    <w:p w14:paraId="1FDC0CC7"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Yayar, R., Demir, Y., &amp; Birol, Y. E. (2012). Geçiş Ekonomileri Bağlamında Türkiye-Kazakistan Dış Ticaretine Uygulamalı Bir Bakış. </w:t>
      </w:r>
      <w:r w:rsidRPr="006A31D4">
        <w:rPr>
          <w:rFonts w:ascii="Times New Roman" w:hAnsi="Times New Roman" w:cs="Times New Roman"/>
          <w:i/>
          <w:iCs/>
          <w:sz w:val="24"/>
          <w:szCs w:val="24"/>
        </w:rPr>
        <w:t>International Conference on Eurasian Economies</w:t>
      </w:r>
      <w:r w:rsidRPr="006A31D4">
        <w:rPr>
          <w:rFonts w:ascii="Times New Roman" w:hAnsi="Times New Roman" w:cs="Times New Roman"/>
          <w:sz w:val="24"/>
          <w:szCs w:val="24"/>
        </w:rPr>
        <w:t>, 250-258.</w:t>
      </w:r>
    </w:p>
    <w:p w14:paraId="57E2E3CA"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Yiğit, A. (2001). Kazakistan ın Değişen Etnik Yapısı. </w:t>
      </w:r>
      <w:r w:rsidRPr="006A31D4">
        <w:rPr>
          <w:rFonts w:ascii="Times New Roman" w:hAnsi="Times New Roman" w:cs="Times New Roman"/>
          <w:i/>
          <w:iCs/>
          <w:sz w:val="24"/>
          <w:szCs w:val="24"/>
        </w:rPr>
        <w:t>F.Ü. Sosyal Bilimler Dergisi</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11</w:t>
      </w:r>
      <w:r w:rsidRPr="006A31D4">
        <w:rPr>
          <w:rFonts w:ascii="Times New Roman" w:hAnsi="Times New Roman" w:cs="Times New Roman"/>
          <w:sz w:val="24"/>
          <w:szCs w:val="24"/>
        </w:rPr>
        <w:t>(1). https://avesis.uludag.edu.tr/yayin/b00e70aa-c1a1-45de-9ea6-7ab7d517ac54/kazakistan-in-degisen-etnik-yapisi</w:t>
      </w:r>
    </w:p>
    <w:p w14:paraId="3649B0BF" w14:textId="77777777" w:rsidR="0034640B" w:rsidRPr="006A31D4"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Yorulmaz, O. (2016). Alaş Orda Hareketi. </w:t>
      </w:r>
      <w:r w:rsidRPr="006A31D4">
        <w:rPr>
          <w:rFonts w:ascii="Times New Roman" w:hAnsi="Times New Roman" w:cs="Times New Roman"/>
          <w:i/>
          <w:iCs/>
          <w:sz w:val="24"/>
          <w:szCs w:val="24"/>
        </w:rPr>
        <w:t>Belleten</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80</w:t>
      </w:r>
      <w:r w:rsidRPr="006A31D4">
        <w:rPr>
          <w:rFonts w:ascii="Times New Roman" w:hAnsi="Times New Roman" w:cs="Times New Roman"/>
          <w:sz w:val="24"/>
          <w:szCs w:val="24"/>
        </w:rPr>
        <w:t>(289), 939-976.</w:t>
      </w:r>
    </w:p>
    <w:p w14:paraId="440E6C99" w14:textId="6155B063" w:rsidR="00FC4D53" w:rsidRDefault="0034640B">
      <w:pPr>
        <w:pStyle w:val="AralkYok"/>
        <w:numPr>
          <w:ilvl w:val="0"/>
          <w:numId w:val="38"/>
        </w:numPr>
        <w:jc w:val="both"/>
        <w:rPr>
          <w:rFonts w:ascii="Times New Roman" w:hAnsi="Times New Roman" w:cs="Times New Roman"/>
          <w:sz w:val="24"/>
          <w:szCs w:val="24"/>
        </w:rPr>
      </w:pPr>
      <w:r w:rsidRPr="006A31D4">
        <w:rPr>
          <w:rFonts w:ascii="Times New Roman" w:hAnsi="Times New Roman" w:cs="Times New Roman"/>
          <w:sz w:val="24"/>
          <w:szCs w:val="24"/>
        </w:rPr>
        <w:t xml:space="preserve">Zhetibayev, Z. (2017). The Economic Policies Applied To The Kazakh Soviet Socialist Republic In Khrushev’s Period. </w:t>
      </w:r>
      <w:r w:rsidRPr="006A31D4">
        <w:rPr>
          <w:rFonts w:ascii="Times New Roman" w:hAnsi="Times New Roman" w:cs="Times New Roman"/>
          <w:i/>
          <w:iCs/>
          <w:sz w:val="24"/>
          <w:szCs w:val="24"/>
        </w:rPr>
        <w:t>Bulletin of Economic Theory and Analysis</w:t>
      </w:r>
      <w:r w:rsidRPr="006A31D4">
        <w:rPr>
          <w:rFonts w:ascii="Times New Roman" w:hAnsi="Times New Roman" w:cs="Times New Roman"/>
          <w:sz w:val="24"/>
          <w:szCs w:val="24"/>
        </w:rPr>
        <w:t xml:space="preserve">, </w:t>
      </w:r>
      <w:r w:rsidRPr="006A31D4">
        <w:rPr>
          <w:rFonts w:ascii="Times New Roman" w:hAnsi="Times New Roman" w:cs="Times New Roman"/>
          <w:i/>
          <w:iCs/>
          <w:sz w:val="24"/>
          <w:szCs w:val="24"/>
        </w:rPr>
        <w:t>2</w:t>
      </w:r>
      <w:r w:rsidRPr="006A31D4">
        <w:rPr>
          <w:rFonts w:ascii="Times New Roman" w:hAnsi="Times New Roman" w:cs="Times New Roman"/>
          <w:sz w:val="24"/>
          <w:szCs w:val="24"/>
        </w:rPr>
        <w:t>(2), 169-187. https://doi.org/10.25229/beta.293239</w:t>
      </w:r>
    </w:p>
    <w:p w14:paraId="2EF0A77A" w14:textId="76AEE5B0" w:rsidR="0034640B" w:rsidRPr="006A31D4" w:rsidRDefault="00FC4D53" w:rsidP="000A70F0">
      <w:pPr>
        <w:autoSpaceDE/>
        <w:autoSpaceDN/>
      </w:pPr>
      <w:r>
        <w:br w:type="page"/>
      </w:r>
    </w:p>
    <w:p w14:paraId="1853E990" w14:textId="011A3F59" w:rsidR="00F84AD5" w:rsidRPr="009C2F96" w:rsidRDefault="0034640B" w:rsidP="009C2F96">
      <w:pPr>
        <w:pStyle w:val="AralkYok"/>
        <w:jc w:val="center"/>
        <w:rPr>
          <w:rFonts w:ascii="Times New Roman" w:hAnsi="Times New Roman" w:cs="Times New Roman"/>
          <w:b/>
          <w:bCs/>
          <w:sz w:val="24"/>
          <w:szCs w:val="24"/>
        </w:rPr>
      </w:pPr>
      <w:r w:rsidRPr="006A31D4">
        <w:rPr>
          <w:rFonts w:ascii="Times New Roman" w:hAnsi="Times New Roman" w:cs="Times New Roman"/>
          <w:sz w:val="24"/>
          <w:szCs w:val="24"/>
        </w:rPr>
        <w:lastRenderedPageBreak/>
        <w:fldChar w:fldCharType="end"/>
      </w:r>
      <w:proofErr w:type="spellStart"/>
      <w:r w:rsidR="00AC051C" w:rsidRPr="009C2F96">
        <w:rPr>
          <w:rFonts w:ascii="Times New Roman" w:hAnsi="Times New Roman" w:cs="Times New Roman"/>
          <w:b/>
          <w:bCs/>
          <w:sz w:val="24"/>
          <w:szCs w:val="24"/>
        </w:rPr>
        <w:t>Efficiency</w:t>
      </w:r>
      <w:proofErr w:type="spellEnd"/>
      <w:r w:rsidR="00AC051C" w:rsidRPr="009C2F96">
        <w:rPr>
          <w:rFonts w:ascii="Times New Roman" w:hAnsi="Times New Roman" w:cs="Times New Roman"/>
          <w:b/>
          <w:bCs/>
          <w:sz w:val="24"/>
          <w:szCs w:val="24"/>
        </w:rPr>
        <w:t xml:space="preserve">, Chaos, </w:t>
      </w:r>
      <w:proofErr w:type="spellStart"/>
      <w:r w:rsidR="00AC051C" w:rsidRPr="009C2F96">
        <w:rPr>
          <w:rFonts w:ascii="Times New Roman" w:hAnsi="Times New Roman" w:cs="Times New Roman"/>
          <w:b/>
          <w:bCs/>
          <w:sz w:val="24"/>
          <w:szCs w:val="24"/>
        </w:rPr>
        <w:t>and</w:t>
      </w:r>
      <w:proofErr w:type="spellEnd"/>
      <w:r w:rsidR="00AC051C" w:rsidRPr="009C2F96">
        <w:rPr>
          <w:rFonts w:ascii="Times New Roman" w:hAnsi="Times New Roman" w:cs="Times New Roman"/>
          <w:b/>
          <w:bCs/>
          <w:sz w:val="24"/>
          <w:szCs w:val="24"/>
        </w:rPr>
        <w:t xml:space="preserve"> Dynamics of </w:t>
      </w:r>
      <w:proofErr w:type="spellStart"/>
      <w:r w:rsidR="00AC051C" w:rsidRPr="009C2F96">
        <w:rPr>
          <w:rFonts w:ascii="Times New Roman" w:hAnsi="Times New Roman" w:cs="Times New Roman"/>
          <w:b/>
          <w:bCs/>
          <w:sz w:val="24"/>
          <w:szCs w:val="24"/>
        </w:rPr>
        <w:t>Stock</w:t>
      </w:r>
      <w:proofErr w:type="spellEnd"/>
      <w:r w:rsidR="00AC051C" w:rsidRPr="009C2F96">
        <w:rPr>
          <w:rFonts w:ascii="Times New Roman" w:hAnsi="Times New Roman" w:cs="Times New Roman"/>
          <w:b/>
          <w:bCs/>
          <w:sz w:val="24"/>
          <w:szCs w:val="24"/>
        </w:rPr>
        <w:t xml:space="preserve"> </w:t>
      </w:r>
      <w:proofErr w:type="spellStart"/>
      <w:r w:rsidR="00AC051C" w:rsidRPr="009C2F96">
        <w:rPr>
          <w:rFonts w:ascii="Times New Roman" w:hAnsi="Times New Roman" w:cs="Times New Roman"/>
          <w:b/>
          <w:bCs/>
          <w:sz w:val="24"/>
          <w:szCs w:val="24"/>
        </w:rPr>
        <w:t>Returns</w:t>
      </w:r>
      <w:proofErr w:type="spellEnd"/>
      <w:r w:rsidR="00AC051C" w:rsidRPr="009C2F96">
        <w:rPr>
          <w:rFonts w:ascii="Times New Roman" w:hAnsi="Times New Roman" w:cs="Times New Roman"/>
          <w:b/>
          <w:bCs/>
          <w:sz w:val="24"/>
          <w:szCs w:val="24"/>
        </w:rPr>
        <w:t xml:space="preserve">: </w:t>
      </w:r>
      <w:proofErr w:type="spellStart"/>
      <w:r w:rsidR="00AC051C" w:rsidRPr="009C2F96">
        <w:rPr>
          <w:rFonts w:ascii="Times New Roman" w:hAnsi="Times New Roman" w:cs="Times New Roman"/>
          <w:b/>
          <w:bCs/>
          <w:sz w:val="24"/>
          <w:szCs w:val="24"/>
        </w:rPr>
        <w:t>The</w:t>
      </w:r>
      <w:proofErr w:type="spellEnd"/>
      <w:r w:rsidR="00AC051C" w:rsidRPr="009C2F96">
        <w:rPr>
          <w:rFonts w:ascii="Times New Roman" w:hAnsi="Times New Roman" w:cs="Times New Roman"/>
          <w:b/>
          <w:bCs/>
          <w:sz w:val="24"/>
          <w:szCs w:val="24"/>
        </w:rPr>
        <w:t xml:space="preserve"> Case of </w:t>
      </w:r>
      <w:proofErr w:type="spellStart"/>
      <w:r w:rsidR="00AC051C" w:rsidRPr="009C2F96">
        <w:rPr>
          <w:rFonts w:ascii="Times New Roman" w:hAnsi="Times New Roman" w:cs="Times New Roman"/>
          <w:b/>
          <w:bCs/>
          <w:sz w:val="24"/>
          <w:szCs w:val="24"/>
        </w:rPr>
        <w:t>the</w:t>
      </w:r>
      <w:proofErr w:type="spellEnd"/>
      <w:r w:rsidR="00AC051C" w:rsidRPr="009C2F96">
        <w:rPr>
          <w:rFonts w:ascii="Times New Roman" w:hAnsi="Times New Roman" w:cs="Times New Roman"/>
          <w:b/>
          <w:bCs/>
          <w:sz w:val="24"/>
          <w:szCs w:val="24"/>
        </w:rPr>
        <w:t xml:space="preserve"> Casablanca </w:t>
      </w:r>
      <w:proofErr w:type="spellStart"/>
      <w:r w:rsidR="00AC051C" w:rsidRPr="009C2F96">
        <w:rPr>
          <w:rFonts w:ascii="Times New Roman" w:hAnsi="Times New Roman" w:cs="Times New Roman"/>
          <w:b/>
          <w:bCs/>
          <w:sz w:val="24"/>
          <w:szCs w:val="24"/>
        </w:rPr>
        <w:t>Stock</w:t>
      </w:r>
      <w:proofErr w:type="spellEnd"/>
      <w:r w:rsidR="00AC051C" w:rsidRPr="009C2F96">
        <w:rPr>
          <w:rFonts w:ascii="Times New Roman" w:hAnsi="Times New Roman" w:cs="Times New Roman"/>
          <w:b/>
          <w:bCs/>
          <w:sz w:val="24"/>
          <w:szCs w:val="24"/>
        </w:rPr>
        <w:t xml:space="preserve"> Exchange</w:t>
      </w:r>
    </w:p>
    <w:p w14:paraId="13F634C0" w14:textId="77777777" w:rsidR="00A8748A" w:rsidRPr="00D42316" w:rsidRDefault="00A8748A" w:rsidP="009C2F96">
      <w:pPr>
        <w:jc w:val="center"/>
        <w:rPr>
          <w:b/>
        </w:rPr>
      </w:pPr>
    </w:p>
    <w:p w14:paraId="6633E811" w14:textId="77777777" w:rsidR="00F84AD5" w:rsidRPr="00D42316" w:rsidRDefault="00AC051C" w:rsidP="009C2F96">
      <w:pPr>
        <w:widowControl/>
        <w:pBdr>
          <w:top w:val="nil"/>
          <w:left w:val="nil"/>
          <w:bottom w:val="nil"/>
          <w:right w:val="nil"/>
          <w:between w:val="nil"/>
        </w:pBdr>
        <w:jc w:val="center"/>
        <w:rPr>
          <w:color w:val="000000"/>
        </w:rPr>
      </w:pPr>
      <w:proofErr w:type="spellStart"/>
      <w:r w:rsidRPr="00D42316">
        <w:rPr>
          <w:color w:val="000000"/>
        </w:rPr>
        <w:t>Elboubkri</w:t>
      </w:r>
      <w:proofErr w:type="spellEnd"/>
      <w:r w:rsidRPr="00D42316">
        <w:rPr>
          <w:color w:val="000000"/>
        </w:rPr>
        <w:t xml:space="preserve"> </w:t>
      </w:r>
      <w:proofErr w:type="spellStart"/>
      <w:r w:rsidRPr="00D42316">
        <w:rPr>
          <w:color w:val="000000"/>
        </w:rPr>
        <w:t>Youssef</w:t>
      </w:r>
      <w:proofErr w:type="spellEnd"/>
    </w:p>
    <w:p w14:paraId="705ABB33" w14:textId="77777777" w:rsidR="00F84AD5" w:rsidRPr="00D42316" w:rsidRDefault="00AC051C" w:rsidP="009C2F96">
      <w:pPr>
        <w:widowControl/>
        <w:pBdr>
          <w:top w:val="nil"/>
          <w:left w:val="nil"/>
          <w:bottom w:val="nil"/>
          <w:right w:val="nil"/>
          <w:between w:val="nil"/>
        </w:pBdr>
        <w:jc w:val="center"/>
        <w:rPr>
          <w:color w:val="000000"/>
        </w:rPr>
      </w:pPr>
      <w:proofErr w:type="spellStart"/>
      <w:r w:rsidRPr="00D42316">
        <w:rPr>
          <w:color w:val="000000"/>
        </w:rPr>
        <w:t>Faculty</w:t>
      </w:r>
      <w:proofErr w:type="spellEnd"/>
      <w:r w:rsidRPr="00D42316">
        <w:rPr>
          <w:color w:val="000000"/>
        </w:rPr>
        <w:t xml:space="preserve"> of Legal, </w:t>
      </w:r>
      <w:proofErr w:type="spellStart"/>
      <w:r w:rsidRPr="00D42316">
        <w:rPr>
          <w:color w:val="000000"/>
        </w:rPr>
        <w:t>Economic</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Social</w:t>
      </w:r>
      <w:proofErr w:type="spellEnd"/>
      <w:r w:rsidRPr="00D42316">
        <w:rPr>
          <w:color w:val="000000"/>
        </w:rPr>
        <w:t xml:space="preserve"> </w:t>
      </w:r>
      <w:proofErr w:type="spellStart"/>
      <w:r w:rsidRPr="00D42316">
        <w:rPr>
          <w:color w:val="000000"/>
        </w:rPr>
        <w:t>Sciences</w:t>
      </w:r>
      <w:proofErr w:type="spellEnd"/>
      <w:r w:rsidRPr="00D42316">
        <w:rPr>
          <w:color w:val="000000"/>
        </w:rPr>
        <w:t xml:space="preserve"> of </w:t>
      </w:r>
      <w:proofErr w:type="spellStart"/>
      <w:r w:rsidRPr="00D42316">
        <w:rPr>
          <w:color w:val="000000"/>
        </w:rPr>
        <w:t>Marrakech</w:t>
      </w:r>
      <w:proofErr w:type="spellEnd"/>
      <w:r w:rsidRPr="00D42316">
        <w:rPr>
          <w:color w:val="000000"/>
        </w:rPr>
        <w:t xml:space="preserve">, </w:t>
      </w:r>
      <w:proofErr w:type="spellStart"/>
      <w:r w:rsidRPr="00D42316">
        <w:rPr>
          <w:color w:val="000000"/>
        </w:rPr>
        <w:t>Cadi</w:t>
      </w:r>
      <w:proofErr w:type="spellEnd"/>
      <w:r w:rsidRPr="00D42316">
        <w:rPr>
          <w:color w:val="000000"/>
        </w:rPr>
        <w:t xml:space="preserve"> </w:t>
      </w:r>
      <w:proofErr w:type="spellStart"/>
      <w:r w:rsidRPr="00D42316">
        <w:rPr>
          <w:color w:val="000000"/>
        </w:rPr>
        <w:t>Ayyad</w:t>
      </w:r>
      <w:proofErr w:type="spellEnd"/>
      <w:r w:rsidRPr="00D42316">
        <w:rPr>
          <w:color w:val="000000"/>
        </w:rPr>
        <w:t xml:space="preserve"> </w:t>
      </w:r>
      <w:proofErr w:type="spellStart"/>
      <w:r w:rsidRPr="00D42316">
        <w:rPr>
          <w:color w:val="000000"/>
        </w:rPr>
        <w:t>University</w:t>
      </w:r>
      <w:proofErr w:type="spellEnd"/>
    </w:p>
    <w:p w14:paraId="63CC8A5D" w14:textId="77777777" w:rsidR="00F84AD5" w:rsidRPr="00D42316" w:rsidRDefault="00AC051C" w:rsidP="009C2F96">
      <w:pPr>
        <w:widowControl/>
        <w:pBdr>
          <w:top w:val="nil"/>
          <w:left w:val="nil"/>
          <w:bottom w:val="nil"/>
          <w:right w:val="nil"/>
          <w:between w:val="nil"/>
        </w:pBdr>
        <w:jc w:val="center"/>
        <w:rPr>
          <w:color w:val="000000"/>
        </w:rPr>
      </w:pPr>
      <w:r w:rsidRPr="00D42316">
        <w:rPr>
          <w:color w:val="000000"/>
        </w:rPr>
        <w:t xml:space="preserve">(UCA), </w:t>
      </w:r>
      <w:proofErr w:type="spellStart"/>
      <w:r w:rsidRPr="00D42316">
        <w:rPr>
          <w:color w:val="000000"/>
        </w:rPr>
        <w:t>Department</w:t>
      </w:r>
      <w:proofErr w:type="spellEnd"/>
      <w:r w:rsidRPr="00D42316">
        <w:rPr>
          <w:color w:val="000000"/>
        </w:rPr>
        <w:t xml:space="preserve"> of </w:t>
      </w:r>
      <w:proofErr w:type="spellStart"/>
      <w:r w:rsidRPr="00D42316">
        <w:rPr>
          <w:color w:val="000000"/>
        </w:rPr>
        <w:t>Economic</w:t>
      </w:r>
      <w:proofErr w:type="spellEnd"/>
      <w:r w:rsidRPr="00D42316">
        <w:rPr>
          <w:color w:val="000000"/>
        </w:rPr>
        <w:t xml:space="preserve"> </w:t>
      </w:r>
      <w:proofErr w:type="spellStart"/>
      <w:r w:rsidRPr="00D42316">
        <w:rPr>
          <w:color w:val="000000"/>
        </w:rPr>
        <w:t>Sciences</w:t>
      </w:r>
      <w:proofErr w:type="spellEnd"/>
    </w:p>
    <w:p w14:paraId="38E4EEEC" w14:textId="70CD4FED" w:rsidR="00F84AD5" w:rsidRPr="00D42316" w:rsidRDefault="008B5439" w:rsidP="009C2F96">
      <w:pPr>
        <w:widowControl/>
        <w:pBdr>
          <w:top w:val="nil"/>
          <w:left w:val="nil"/>
          <w:bottom w:val="nil"/>
          <w:right w:val="nil"/>
          <w:between w:val="nil"/>
        </w:pBdr>
        <w:jc w:val="center"/>
        <w:rPr>
          <w:color w:val="000000"/>
        </w:rPr>
      </w:pPr>
      <w:hyperlink r:id="rId54" w:history="1">
        <w:r w:rsidRPr="00D42316">
          <w:rPr>
            <w:rStyle w:val="Kpr"/>
          </w:rPr>
          <w:t>y.elboubkri.ced@uca.ac.ma</w:t>
        </w:r>
      </w:hyperlink>
    </w:p>
    <w:p w14:paraId="56EDCA52" w14:textId="77777777" w:rsidR="008B5439" w:rsidRPr="00D42316" w:rsidRDefault="008B5439" w:rsidP="009C2F96">
      <w:pPr>
        <w:widowControl/>
        <w:pBdr>
          <w:top w:val="nil"/>
          <w:left w:val="nil"/>
          <w:bottom w:val="nil"/>
          <w:right w:val="nil"/>
          <w:between w:val="nil"/>
        </w:pBdr>
        <w:jc w:val="center"/>
        <w:rPr>
          <w:color w:val="000000"/>
        </w:rPr>
      </w:pPr>
    </w:p>
    <w:p w14:paraId="41AEA51B" w14:textId="77777777" w:rsidR="00F84AD5" w:rsidRPr="00D42316" w:rsidRDefault="00AC051C" w:rsidP="009C2F96">
      <w:pPr>
        <w:widowControl/>
        <w:pBdr>
          <w:top w:val="nil"/>
          <w:left w:val="nil"/>
          <w:bottom w:val="nil"/>
          <w:right w:val="nil"/>
          <w:between w:val="nil"/>
        </w:pBdr>
        <w:jc w:val="center"/>
        <w:rPr>
          <w:color w:val="000000"/>
        </w:rPr>
      </w:pPr>
      <w:proofErr w:type="spellStart"/>
      <w:r w:rsidRPr="00D42316">
        <w:rPr>
          <w:color w:val="000000"/>
        </w:rPr>
        <w:t>Elghezaoui</w:t>
      </w:r>
      <w:proofErr w:type="spellEnd"/>
      <w:r w:rsidRPr="00D42316">
        <w:rPr>
          <w:color w:val="000000"/>
        </w:rPr>
        <w:t xml:space="preserve"> Maria</w:t>
      </w:r>
    </w:p>
    <w:p w14:paraId="6400E0B0" w14:textId="77777777" w:rsidR="00F84AD5" w:rsidRPr="00D42316" w:rsidRDefault="00AC051C" w:rsidP="009C2F96">
      <w:pPr>
        <w:widowControl/>
        <w:pBdr>
          <w:top w:val="nil"/>
          <w:left w:val="nil"/>
          <w:bottom w:val="nil"/>
          <w:right w:val="nil"/>
          <w:between w:val="nil"/>
        </w:pBdr>
        <w:jc w:val="center"/>
        <w:rPr>
          <w:color w:val="000000"/>
        </w:rPr>
      </w:pPr>
      <w:proofErr w:type="spellStart"/>
      <w:r w:rsidRPr="00D42316">
        <w:rPr>
          <w:color w:val="000000"/>
        </w:rPr>
        <w:t>Faculty</w:t>
      </w:r>
      <w:proofErr w:type="spellEnd"/>
      <w:r w:rsidRPr="00D42316">
        <w:rPr>
          <w:color w:val="000000"/>
        </w:rPr>
        <w:t xml:space="preserve"> of Legal, </w:t>
      </w:r>
      <w:proofErr w:type="spellStart"/>
      <w:r w:rsidRPr="00D42316">
        <w:rPr>
          <w:color w:val="000000"/>
        </w:rPr>
        <w:t>Economic</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Social</w:t>
      </w:r>
      <w:proofErr w:type="spellEnd"/>
      <w:r w:rsidRPr="00D42316">
        <w:rPr>
          <w:color w:val="000000"/>
        </w:rPr>
        <w:t xml:space="preserve"> </w:t>
      </w:r>
      <w:proofErr w:type="spellStart"/>
      <w:r w:rsidRPr="00D42316">
        <w:rPr>
          <w:color w:val="000000"/>
        </w:rPr>
        <w:t>Sciences</w:t>
      </w:r>
      <w:proofErr w:type="spellEnd"/>
      <w:r w:rsidRPr="00D42316">
        <w:rPr>
          <w:color w:val="000000"/>
        </w:rPr>
        <w:t xml:space="preserve"> of </w:t>
      </w:r>
      <w:proofErr w:type="spellStart"/>
      <w:r w:rsidRPr="00D42316">
        <w:rPr>
          <w:color w:val="000000"/>
        </w:rPr>
        <w:t>Marrakech</w:t>
      </w:r>
      <w:proofErr w:type="spellEnd"/>
      <w:r w:rsidRPr="00D42316">
        <w:rPr>
          <w:color w:val="000000"/>
        </w:rPr>
        <w:t xml:space="preserve">, </w:t>
      </w:r>
      <w:proofErr w:type="spellStart"/>
      <w:r w:rsidRPr="00D42316">
        <w:rPr>
          <w:color w:val="000000"/>
        </w:rPr>
        <w:t>Cadi</w:t>
      </w:r>
      <w:proofErr w:type="spellEnd"/>
      <w:r w:rsidRPr="00D42316">
        <w:rPr>
          <w:color w:val="000000"/>
        </w:rPr>
        <w:t xml:space="preserve"> </w:t>
      </w:r>
      <w:proofErr w:type="spellStart"/>
      <w:r w:rsidRPr="00D42316">
        <w:rPr>
          <w:color w:val="000000"/>
        </w:rPr>
        <w:t>Ayyad</w:t>
      </w:r>
      <w:proofErr w:type="spellEnd"/>
      <w:r w:rsidRPr="00D42316">
        <w:rPr>
          <w:color w:val="000000"/>
        </w:rPr>
        <w:t xml:space="preserve"> </w:t>
      </w:r>
      <w:proofErr w:type="spellStart"/>
      <w:r w:rsidRPr="00D42316">
        <w:rPr>
          <w:color w:val="000000"/>
        </w:rPr>
        <w:t>University</w:t>
      </w:r>
      <w:proofErr w:type="spellEnd"/>
    </w:p>
    <w:p w14:paraId="10B89EA6" w14:textId="77777777" w:rsidR="00F84AD5" w:rsidRPr="00D42316" w:rsidRDefault="00AC051C" w:rsidP="009C2F96">
      <w:pPr>
        <w:widowControl/>
        <w:pBdr>
          <w:top w:val="nil"/>
          <w:left w:val="nil"/>
          <w:bottom w:val="nil"/>
          <w:right w:val="nil"/>
          <w:between w:val="nil"/>
        </w:pBdr>
        <w:jc w:val="center"/>
        <w:rPr>
          <w:color w:val="000000"/>
        </w:rPr>
      </w:pPr>
      <w:r w:rsidRPr="00D42316">
        <w:rPr>
          <w:color w:val="000000"/>
        </w:rPr>
        <w:t xml:space="preserve">(UCA), </w:t>
      </w:r>
      <w:proofErr w:type="spellStart"/>
      <w:r w:rsidRPr="00D42316">
        <w:rPr>
          <w:color w:val="000000"/>
        </w:rPr>
        <w:t>Department</w:t>
      </w:r>
      <w:proofErr w:type="spellEnd"/>
      <w:r w:rsidRPr="00D42316">
        <w:rPr>
          <w:color w:val="000000"/>
        </w:rPr>
        <w:t xml:space="preserve"> of </w:t>
      </w:r>
      <w:proofErr w:type="spellStart"/>
      <w:r w:rsidRPr="00D42316">
        <w:rPr>
          <w:color w:val="000000"/>
        </w:rPr>
        <w:t>Economic</w:t>
      </w:r>
      <w:proofErr w:type="spellEnd"/>
      <w:r w:rsidRPr="00D42316">
        <w:rPr>
          <w:color w:val="000000"/>
        </w:rPr>
        <w:t xml:space="preserve"> </w:t>
      </w:r>
      <w:proofErr w:type="spellStart"/>
      <w:r w:rsidRPr="00D42316">
        <w:rPr>
          <w:color w:val="000000"/>
        </w:rPr>
        <w:t>Sciences</w:t>
      </w:r>
      <w:proofErr w:type="spellEnd"/>
    </w:p>
    <w:p w14:paraId="15AB1090" w14:textId="2D2EA33A" w:rsidR="00F84AD5" w:rsidRPr="00D42316" w:rsidRDefault="008B5439" w:rsidP="009C2F96">
      <w:pPr>
        <w:widowControl/>
        <w:pBdr>
          <w:top w:val="nil"/>
          <w:left w:val="nil"/>
          <w:bottom w:val="nil"/>
          <w:right w:val="nil"/>
          <w:between w:val="nil"/>
        </w:pBdr>
        <w:jc w:val="center"/>
        <w:rPr>
          <w:color w:val="000000"/>
        </w:rPr>
      </w:pPr>
      <w:hyperlink r:id="rId55" w:history="1">
        <w:r w:rsidRPr="00D42316">
          <w:rPr>
            <w:rStyle w:val="Kpr"/>
          </w:rPr>
          <w:t>Elghezaoui2000@yahoo.fr</w:t>
        </w:r>
      </w:hyperlink>
    </w:p>
    <w:p w14:paraId="334B634A" w14:textId="77777777" w:rsidR="008B5439" w:rsidRPr="00D42316" w:rsidRDefault="008B5439" w:rsidP="009C2F96">
      <w:pPr>
        <w:widowControl/>
        <w:pBdr>
          <w:top w:val="nil"/>
          <w:left w:val="nil"/>
          <w:bottom w:val="nil"/>
          <w:right w:val="nil"/>
          <w:between w:val="nil"/>
        </w:pBdr>
        <w:jc w:val="center"/>
        <w:rPr>
          <w:color w:val="000000"/>
        </w:rPr>
      </w:pPr>
    </w:p>
    <w:p w14:paraId="5EA71803" w14:textId="77777777" w:rsidR="00F84AD5" w:rsidRPr="009F0AE3" w:rsidRDefault="00AC051C" w:rsidP="009C2F96">
      <w:pPr>
        <w:jc w:val="center"/>
        <w:rPr>
          <w:b/>
          <w:bCs/>
        </w:rPr>
      </w:pPr>
      <w:proofErr w:type="spellStart"/>
      <w:r w:rsidRPr="009F0AE3">
        <w:rPr>
          <w:b/>
          <w:bCs/>
        </w:rPr>
        <w:t>Abstract</w:t>
      </w:r>
      <w:proofErr w:type="spellEnd"/>
    </w:p>
    <w:p w14:paraId="4B5111AB" w14:textId="77777777" w:rsidR="00F84AD5" w:rsidRPr="00D42316" w:rsidRDefault="00AC051C" w:rsidP="00D87549">
      <w:pPr>
        <w:widowControl/>
        <w:pBdr>
          <w:top w:val="nil"/>
          <w:left w:val="nil"/>
          <w:bottom w:val="nil"/>
          <w:right w:val="nil"/>
          <w:between w:val="nil"/>
        </w:pBdr>
        <w:jc w:val="both"/>
        <w:rPr>
          <w:color w:val="000000"/>
        </w:rPr>
      </w:pPr>
      <w:proofErr w:type="spellStart"/>
      <w:r w:rsidRPr="00D42316">
        <w:rPr>
          <w:color w:val="000000"/>
        </w:rPr>
        <w:t>This</w:t>
      </w:r>
      <w:proofErr w:type="spellEnd"/>
      <w:r w:rsidRPr="00D42316">
        <w:rPr>
          <w:color w:val="000000"/>
        </w:rPr>
        <w:t xml:space="preserve"> </w:t>
      </w:r>
      <w:proofErr w:type="spellStart"/>
      <w:r w:rsidRPr="00D42316">
        <w:rPr>
          <w:color w:val="000000"/>
        </w:rPr>
        <w:t>article</w:t>
      </w:r>
      <w:proofErr w:type="spellEnd"/>
      <w:r w:rsidRPr="00D42316">
        <w:rPr>
          <w:color w:val="000000"/>
        </w:rPr>
        <w:t xml:space="preserve"> is </w:t>
      </w:r>
      <w:proofErr w:type="spellStart"/>
      <w:r w:rsidRPr="00D42316">
        <w:rPr>
          <w:color w:val="000000"/>
        </w:rPr>
        <w:t>interested</w:t>
      </w:r>
      <w:proofErr w:type="spellEnd"/>
      <w:r w:rsidRPr="00D42316">
        <w:rPr>
          <w:color w:val="000000"/>
        </w:rPr>
        <w:t xml:space="preserve"> in </w:t>
      </w:r>
      <w:proofErr w:type="spellStart"/>
      <w:r w:rsidRPr="00D42316">
        <w:rPr>
          <w:color w:val="000000"/>
        </w:rPr>
        <w:t>the</w:t>
      </w:r>
      <w:proofErr w:type="spellEnd"/>
      <w:r w:rsidRPr="00D42316">
        <w:rPr>
          <w:color w:val="000000"/>
        </w:rPr>
        <w:t xml:space="preserve"> </w:t>
      </w:r>
      <w:proofErr w:type="spellStart"/>
      <w:r w:rsidRPr="00D42316">
        <w:rPr>
          <w:color w:val="000000"/>
        </w:rPr>
        <w:t>analysis</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w:t>
      </w:r>
      <w:proofErr w:type="spellStart"/>
      <w:r w:rsidRPr="00D42316">
        <w:rPr>
          <w:color w:val="000000"/>
        </w:rPr>
        <w:t>efficiency</w:t>
      </w:r>
      <w:proofErr w:type="spellEnd"/>
      <w:r w:rsidRPr="00D42316">
        <w:rPr>
          <w:color w:val="000000"/>
        </w:rPr>
        <w:t xml:space="preserve"> in </w:t>
      </w:r>
      <w:proofErr w:type="spellStart"/>
      <w:r w:rsidRPr="00D42316">
        <w:rPr>
          <w:color w:val="000000"/>
        </w:rPr>
        <w:t>its</w:t>
      </w:r>
      <w:proofErr w:type="spellEnd"/>
      <w:r w:rsidRPr="00D42316">
        <w:rPr>
          <w:color w:val="000000"/>
        </w:rPr>
        <w:t xml:space="preserve"> </w:t>
      </w:r>
      <w:proofErr w:type="spellStart"/>
      <w:r w:rsidRPr="00D42316">
        <w:rPr>
          <w:color w:val="000000"/>
        </w:rPr>
        <w:t>weak</w:t>
      </w:r>
      <w:proofErr w:type="spellEnd"/>
      <w:r w:rsidRPr="00D42316">
        <w:rPr>
          <w:color w:val="000000"/>
        </w:rPr>
        <w:t xml:space="preserve"> form of </w:t>
      </w:r>
      <w:proofErr w:type="spellStart"/>
      <w:r w:rsidRPr="00D42316">
        <w:rPr>
          <w:color w:val="000000"/>
        </w:rPr>
        <w:t>the</w:t>
      </w:r>
      <w:proofErr w:type="spellEnd"/>
      <w:r w:rsidRPr="00D42316">
        <w:rPr>
          <w:color w:val="000000"/>
        </w:rPr>
        <w:t xml:space="preserve"> Casablanca </w:t>
      </w:r>
      <w:proofErr w:type="spellStart"/>
      <w:r w:rsidRPr="00D42316">
        <w:rPr>
          <w:color w:val="000000"/>
        </w:rPr>
        <w:t>stock</w:t>
      </w:r>
      <w:proofErr w:type="spellEnd"/>
      <w:r w:rsidRPr="00D42316">
        <w:rPr>
          <w:color w:val="000000"/>
        </w:rPr>
        <w:t xml:space="preserve"> market in </w:t>
      </w:r>
      <w:proofErr w:type="spellStart"/>
      <w:r w:rsidRPr="00D42316">
        <w:rPr>
          <w:color w:val="000000"/>
        </w:rPr>
        <w:t>Morocco</w:t>
      </w:r>
      <w:proofErr w:type="spellEnd"/>
      <w:r w:rsidRPr="00D42316">
        <w:rPr>
          <w:color w:val="000000"/>
        </w:rPr>
        <w:t xml:space="preserve">. </w:t>
      </w:r>
      <w:proofErr w:type="spellStart"/>
      <w:r w:rsidRPr="00D42316">
        <w:rPr>
          <w:color w:val="000000"/>
        </w:rPr>
        <w:t>After</w:t>
      </w:r>
      <w:proofErr w:type="spellEnd"/>
      <w:r w:rsidRPr="00D42316">
        <w:rPr>
          <w:color w:val="000000"/>
        </w:rPr>
        <w:t xml:space="preserve"> </w:t>
      </w:r>
      <w:proofErr w:type="spellStart"/>
      <w:r w:rsidRPr="00D42316">
        <w:rPr>
          <w:color w:val="000000"/>
        </w:rPr>
        <w:t>explanations</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w:t>
      </w:r>
      <w:proofErr w:type="spellStart"/>
      <w:r w:rsidRPr="00D42316">
        <w:rPr>
          <w:color w:val="000000"/>
        </w:rPr>
        <w:t>theory</w:t>
      </w:r>
      <w:proofErr w:type="spellEnd"/>
      <w:r w:rsidRPr="00D42316">
        <w:rPr>
          <w:color w:val="000000"/>
        </w:rPr>
        <w:t xml:space="preserve"> of market </w:t>
      </w:r>
      <w:proofErr w:type="spellStart"/>
      <w:r w:rsidRPr="00D42316">
        <w:rPr>
          <w:color w:val="000000"/>
        </w:rPr>
        <w:t>efficiency</w:t>
      </w:r>
      <w:proofErr w:type="spellEnd"/>
      <w:r w:rsidRPr="00D42316">
        <w:rPr>
          <w:color w:val="000000"/>
        </w:rPr>
        <w:t xml:space="preserve"> </w:t>
      </w:r>
      <w:proofErr w:type="spellStart"/>
      <w:r w:rsidRPr="00D42316">
        <w:rPr>
          <w:color w:val="000000"/>
        </w:rPr>
        <w:t>developed</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Eugene </w:t>
      </w:r>
      <w:proofErr w:type="spellStart"/>
      <w:r w:rsidRPr="00D42316">
        <w:rPr>
          <w:color w:val="000000"/>
        </w:rPr>
        <w:t>Fama</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w:t>
      </w:r>
      <w:proofErr w:type="spellStart"/>
      <w:r w:rsidRPr="00D42316">
        <w:rPr>
          <w:color w:val="000000"/>
        </w:rPr>
        <w:t>chaos</w:t>
      </w:r>
      <w:proofErr w:type="spellEnd"/>
      <w:r w:rsidRPr="00D42316">
        <w:rPr>
          <w:color w:val="000000"/>
        </w:rPr>
        <w:t xml:space="preserve"> </w:t>
      </w:r>
      <w:proofErr w:type="spellStart"/>
      <w:r w:rsidRPr="00D42316">
        <w:rPr>
          <w:color w:val="000000"/>
        </w:rPr>
        <w:t>theory</w:t>
      </w:r>
      <w:proofErr w:type="spellEnd"/>
      <w:r w:rsidRPr="00D42316">
        <w:rPr>
          <w:color w:val="000000"/>
        </w:rPr>
        <w:t xml:space="preserve">, </w:t>
      </w:r>
      <w:proofErr w:type="spellStart"/>
      <w:r w:rsidRPr="00D42316">
        <w:rPr>
          <w:color w:val="000000"/>
        </w:rPr>
        <w:t>our</w:t>
      </w:r>
      <w:proofErr w:type="spellEnd"/>
      <w:r w:rsidRPr="00D42316">
        <w:rPr>
          <w:color w:val="000000"/>
        </w:rPr>
        <w:t xml:space="preserve"> </w:t>
      </w:r>
      <w:proofErr w:type="spellStart"/>
      <w:r w:rsidRPr="00D42316">
        <w:rPr>
          <w:color w:val="000000"/>
        </w:rPr>
        <w:t>analysis</w:t>
      </w:r>
      <w:proofErr w:type="spellEnd"/>
      <w:r w:rsidRPr="00D42316">
        <w:rPr>
          <w:color w:val="000000"/>
        </w:rPr>
        <w:t xml:space="preserve"> </w:t>
      </w:r>
      <w:proofErr w:type="spellStart"/>
      <w:r w:rsidRPr="00D42316">
        <w:rPr>
          <w:color w:val="000000"/>
        </w:rPr>
        <w:t>aims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test </w:t>
      </w:r>
      <w:proofErr w:type="spellStart"/>
      <w:r w:rsidRPr="00D42316">
        <w:rPr>
          <w:color w:val="000000"/>
        </w:rPr>
        <w:t>the</w:t>
      </w:r>
      <w:proofErr w:type="spellEnd"/>
      <w:r w:rsidRPr="00D42316">
        <w:rPr>
          <w:color w:val="000000"/>
        </w:rPr>
        <w:t xml:space="preserve"> </w:t>
      </w:r>
      <w:proofErr w:type="spellStart"/>
      <w:r w:rsidRPr="00D42316">
        <w:rPr>
          <w:color w:val="000000"/>
        </w:rPr>
        <w:t>hypothesis</w:t>
      </w:r>
      <w:proofErr w:type="spellEnd"/>
      <w:r w:rsidRPr="00D42316">
        <w:rPr>
          <w:color w:val="000000"/>
        </w:rPr>
        <w:t xml:space="preserve"> of </w:t>
      </w:r>
      <w:proofErr w:type="spellStart"/>
      <w:r w:rsidRPr="00D42316">
        <w:rPr>
          <w:color w:val="000000"/>
        </w:rPr>
        <w:t>efficiency</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Casablanca </w:t>
      </w:r>
      <w:proofErr w:type="spellStart"/>
      <w:r w:rsidRPr="00D42316">
        <w:rPr>
          <w:color w:val="000000"/>
        </w:rPr>
        <w:t>stock</w:t>
      </w:r>
      <w:proofErr w:type="spellEnd"/>
      <w:r w:rsidRPr="00D42316">
        <w:rPr>
          <w:color w:val="000000"/>
        </w:rPr>
        <w:t xml:space="preserve"> market </w:t>
      </w:r>
      <w:proofErr w:type="spellStart"/>
      <w:r w:rsidRPr="00D42316">
        <w:rPr>
          <w:color w:val="000000"/>
        </w:rPr>
        <w:t>using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MASI </w:t>
      </w:r>
      <w:proofErr w:type="spellStart"/>
      <w:r w:rsidRPr="00D42316">
        <w:rPr>
          <w:color w:val="000000"/>
        </w:rPr>
        <w:t>stock</w:t>
      </w:r>
      <w:proofErr w:type="spellEnd"/>
      <w:r w:rsidRPr="00D42316">
        <w:rPr>
          <w:color w:val="000000"/>
        </w:rPr>
        <w:t xml:space="preserve"> </w:t>
      </w:r>
      <w:proofErr w:type="spellStart"/>
      <w:r w:rsidRPr="00D42316">
        <w:rPr>
          <w:color w:val="000000"/>
        </w:rPr>
        <w:t>index</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test </w:t>
      </w:r>
      <w:proofErr w:type="spellStart"/>
      <w:r w:rsidRPr="00D42316">
        <w:rPr>
          <w:color w:val="000000"/>
        </w:rPr>
        <w:t>will</w:t>
      </w:r>
      <w:proofErr w:type="spellEnd"/>
      <w:r w:rsidRPr="00D42316">
        <w:rPr>
          <w:color w:val="000000"/>
        </w:rPr>
        <w:t xml:space="preserve"> </w:t>
      </w:r>
      <w:proofErr w:type="spellStart"/>
      <w:r w:rsidRPr="00D42316">
        <w:rPr>
          <w:color w:val="000000"/>
        </w:rPr>
        <w:t>allow</w:t>
      </w:r>
      <w:proofErr w:type="spellEnd"/>
      <w:r w:rsidRPr="00D42316">
        <w:rPr>
          <w:color w:val="000000"/>
        </w:rPr>
        <w:t xml:space="preserve"> us </w:t>
      </w:r>
      <w:proofErr w:type="spellStart"/>
      <w:r w:rsidRPr="00D42316">
        <w:rPr>
          <w:color w:val="000000"/>
        </w:rPr>
        <w:t>to</w:t>
      </w:r>
      <w:proofErr w:type="spellEnd"/>
      <w:r w:rsidRPr="00D42316">
        <w:rPr>
          <w:color w:val="000000"/>
        </w:rPr>
        <w:t xml:space="preserve"> </w:t>
      </w:r>
      <w:proofErr w:type="spellStart"/>
      <w:r w:rsidRPr="00D42316">
        <w:rPr>
          <w:color w:val="000000"/>
        </w:rPr>
        <w:t>know</w:t>
      </w:r>
      <w:proofErr w:type="spellEnd"/>
      <w:r w:rsidRPr="00D42316">
        <w:rPr>
          <w:color w:val="000000"/>
        </w:rPr>
        <w:t xml:space="preserve"> </w:t>
      </w:r>
      <w:proofErr w:type="spellStart"/>
      <w:r w:rsidRPr="00D42316">
        <w:rPr>
          <w:color w:val="000000"/>
        </w:rPr>
        <w:t>if</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stock</w:t>
      </w:r>
      <w:proofErr w:type="spellEnd"/>
      <w:r w:rsidRPr="00D42316">
        <w:rPr>
          <w:color w:val="000000"/>
        </w:rPr>
        <w:t xml:space="preserve"> market </w:t>
      </w:r>
      <w:proofErr w:type="spellStart"/>
      <w:r w:rsidRPr="00D42316">
        <w:rPr>
          <w:color w:val="000000"/>
        </w:rPr>
        <w:t>returns</w:t>
      </w:r>
      <w:proofErr w:type="spellEnd"/>
      <w:r w:rsidRPr="00D42316">
        <w:rPr>
          <w:color w:val="000000"/>
        </w:rPr>
        <w:t xml:space="preserve"> </w:t>
      </w:r>
      <w:proofErr w:type="spellStart"/>
      <w:r w:rsidRPr="00D42316">
        <w:rPr>
          <w:color w:val="000000"/>
        </w:rPr>
        <w:t>are</w:t>
      </w:r>
      <w:proofErr w:type="spellEnd"/>
      <w:r w:rsidRPr="00D42316">
        <w:rPr>
          <w:color w:val="000000"/>
        </w:rPr>
        <w:t xml:space="preserve"> </w:t>
      </w:r>
      <w:proofErr w:type="spellStart"/>
      <w:r w:rsidRPr="00D42316">
        <w:rPr>
          <w:color w:val="000000"/>
        </w:rPr>
        <w:t>generated</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a </w:t>
      </w:r>
      <w:proofErr w:type="spellStart"/>
      <w:r w:rsidRPr="00D42316">
        <w:rPr>
          <w:color w:val="000000"/>
        </w:rPr>
        <w:t>deterministic</w:t>
      </w:r>
      <w:proofErr w:type="spellEnd"/>
      <w:r w:rsidRPr="00D42316">
        <w:rPr>
          <w:color w:val="000000"/>
        </w:rPr>
        <w:t xml:space="preserve"> </w:t>
      </w:r>
      <w:proofErr w:type="spellStart"/>
      <w:r w:rsidRPr="00D42316">
        <w:rPr>
          <w:color w:val="000000"/>
        </w:rPr>
        <w:t>chaotic</w:t>
      </w:r>
      <w:proofErr w:type="spellEnd"/>
      <w:r w:rsidRPr="00D42316">
        <w:rPr>
          <w:color w:val="000000"/>
        </w:rPr>
        <w:t xml:space="preserve"> </w:t>
      </w:r>
      <w:proofErr w:type="spellStart"/>
      <w:r w:rsidRPr="00D42316">
        <w:rPr>
          <w:color w:val="000000"/>
        </w:rPr>
        <w:t>dynamic</w:t>
      </w:r>
      <w:proofErr w:type="spellEnd"/>
      <w:r w:rsidRPr="00D42316">
        <w:rPr>
          <w:color w:val="000000"/>
        </w:rPr>
        <w:t xml:space="preserve">, </w:t>
      </w:r>
      <w:proofErr w:type="spellStart"/>
      <w:r w:rsidRPr="00D42316">
        <w:rPr>
          <w:color w:val="000000"/>
        </w:rPr>
        <w:t>thus</w:t>
      </w:r>
      <w:proofErr w:type="spellEnd"/>
      <w:r w:rsidRPr="00D42316">
        <w:rPr>
          <w:color w:val="000000"/>
        </w:rPr>
        <w:t xml:space="preserve"> </w:t>
      </w:r>
      <w:proofErr w:type="spellStart"/>
      <w:r w:rsidRPr="00D42316">
        <w:rPr>
          <w:color w:val="000000"/>
        </w:rPr>
        <w:t>rejecting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hypothesis</w:t>
      </w:r>
      <w:proofErr w:type="spellEnd"/>
      <w:r w:rsidRPr="00D42316">
        <w:rPr>
          <w:color w:val="000000"/>
        </w:rPr>
        <w:t xml:space="preserve"> of market </w:t>
      </w:r>
      <w:proofErr w:type="spellStart"/>
      <w:r w:rsidRPr="00D42316">
        <w:rPr>
          <w:color w:val="000000"/>
        </w:rPr>
        <w:t>efficiency</w:t>
      </w:r>
      <w:proofErr w:type="spellEnd"/>
      <w:r w:rsidRPr="00D42316">
        <w:rPr>
          <w:color w:val="000000"/>
        </w:rPr>
        <w:t xml:space="preserve"> </w:t>
      </w:r>
      <w:proofErr w:type="spellStart"/>
      <w:r w:rsidRPr="00D42316">
        <w:rPr>
          <w:color w:val="000000"/>
        </w:rPr>
        <w:t>and</w:t>
      </w:r>
      <w:proofErr w:type="spellEnd"/>
      <w:r w:rsidRPr="00D42316">
        <w:rPr>
          <w:color w:val="000000"/>
        </w:rPr>
        <w:t>/</w:t>
      </w:r>
      <w:proofErr w:type="spellStart"/>
      <w:r w:rsidRPr="00D42316">
        <w:rPr>
          <w:color w:val="000000"/>
        </w:rPr>
        <w:t>or</w:t>
      </w:r>
      <w:proofErr w:type="spellEnd"/>
      <w:r w:rsidRPr="00D42316">
        <w:rPr>
          <w:color w:val="000000"/>
        </w:rPr>
        <w:t xml:space="preserve"> </w:t>
      </w:r>
      <w:proofErr w:type="spellStart"/>
      <w:r w:rsidRPr="00D42316">
        <w:rPr>
          <w:color w:val="000000"/>
        </w:rPr>
        <w:t>are</w:t>
      </w:r>
      <w:proofErr w:type="spellEnd"/>
      <w:r w:rsidRPr="00D42316">
        <w:rPr>
          <w:color w:val="000000"/>
        </w:rPr>
        <w:t xml:space="preserve"> </w:t>
      </w:r>
      <w:proofErr w:type="spellStart"/>
      <w:r w:rsidRPr="00D42316">
        <w:rPr>
          <w:color w:val="000000"/>
        </w:rPr>
        <w:t>characterized</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a </w:t>
      </w:r>
      <w:proofErr w:type="spellStart"/>
      <w:r w:rsidRPr="00D42316">
        <w:rPr>
          <w:color w:val="000000"/>
        </w:rPr>
        <w:t>random</w:t>
      </w:r>
      <w:proofErr w:type="spellEnd"/>
      <w:r w:rsidRPr="00D42316">
        <w:rPr>
          <w:color w:val="000000"/>
        </w:rPr>
        <w:t xml:space="preserve"> </w:t>
      </w:r>
      <w:proofErr w:type="spellStart"/>
      <w:r w:rsidRPr="00D42316">
        <w:rPr>
          <w:color w:val="000000"/>
        </w:rPr>
        <w:t>walk</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thus</w:t>
      </w:r>
      <w:proofErr w:type="spellEnd"/>
      <w:r w:rsidRPr="00D42316">
        <w:rPr>
          <w:color w:val="000000"/>
        </w:rPr>
        <w:t xml:space="preserve"> it is </w:t>
      </w:r>
      <w:proofErr w:type="spellStart"/>
      <w:r w:rsidRPr="00D42316">
        <w:rPr>
          <w:color w:val="000000"/>
        </w:rPr>
        <w:t>impossible</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make</w:t>
      </w:r>
      <w:proofErr w:type="spellEnd"/>
      <w:r w:rsidRPr="00D42316">
        <w:rPr>
          <w:color w:val="000000"/>
        </w:rPr>
        <w:t xml:space="preserve"> </w:t>
      </w:r>
      <w:proofErr w:type="spellStart"/>
      <w:r w:rsidRPr="00D42316">
        <w:rPr>
          <w:color w:val="000000"/>
        </w:rPr>
        <w:t>predictions</w:t>
      </w:r>
      <w:proofErr w:type="spellEnd"/>
      <w:r w:rsidRPr="00D42316">
        <w:rPr>
          <w:color w:val="000000"/>
        </w:rPr>
        <w:t xml:space="preserve"> on </w:t>
      </w:r>
      <w:proofErr w:type="spellStart"/>
      <w:r w:rsidRPr="00D42316">
        <w:rPr>
          <w:color w:val="000000"/>
        </w:rPr>
        <w:t>future</w:t>
      </w:r>
      <w:proofErr w:type="spellEnd"/>
      <w:r w:rsidRPr="00D42316">
        <w:rPr>
          <w:color w:val="000000"/>
        </w:rPr>
        <w:t xml:space="preserve"> </w:t>
      </w:r>
      <w:proofErr w:type="spellStart"/>
      <w:r w:rsidRPr="00D42316">
        <w:rPr>
          <w:color w:val="000000"/>
        </w:rPr>
        <w:t>returns</w:t>
      </w:r>
      <w:proofErr w:type="spellEnd"/>
      <w:r w:rsidRPr="00D42316">
        <w:rPr>
          <w:color w:val="000000"/>
        </w:rPr>
        <w:t>.</w:t>
      </w:r>
    </w:p>
    <w:p w14:paraId="001F9A27" w14:textId="77777777" w:rsidR="00F84AD5" w:rsidRPr="00D42316" w:rsidRDefault="00F84AD5" w:rsidP="009C2F96">
      <w:pPr>
        <w:widowControl/>
        <w:pBdr>
          <w:top w:val="nil"/>
          <w:left w:val="nil"/>
          <w:bottom w:val="nil"/>
          <w:right w:val="nil"/>
          <w:between w:val="nil"/>
        </w:pBdr>
        <w:rPr>
          <w:color w:val="000000"/>
        </w:rPr>
      </w:pPr>
    </w:p>
    <w:p w14:paraId="3B9886A7" w14:textId="73B68FA1" w:rsidR="00FC4D53" w:rsidRDefault="00AC051C" w:rsidP="009C2F96">
      <w:pPr>
        <w:widowControl/>
        <w:pBdr>
          <w:top w:val="nil"/>
          <w:left w:val="nil"/>
          <w:bottom w:val="nil"/>
          <w:right w:val="nil"/>
          <w:between w:val="nil"/>
        </w:pBdr>
        <w:rPr>
          <w:color w:val="000000"/>
        </w:rPr>
      </w:pPr>
      <w:proofErr w:type="spellStart"/>
      <w:r w:rsidRPr="00D42316">
        <w:rPr>
          <w:rFonts w:eastAsia="Helvetica Neue"/>
          <w:b/>
          <w:bCs/>
          <w:color w:val="000000"/>
        </w:rPr>
        <w:t>Key</w:t>
      </w:r>
      <w:r w:rsidR="008B5439" w:rsidRPr="00D42316">
        <w:rPr>
          <w:rFonts w:eastAsia="Helvetica Neue"/>
          <w:b/>
          <w:bCs/>
          <w:color w:val="000000"/>
        </w:rPr>
        <w:t>w</w:t>
      </w:r>
      <w:r w:rsidRPr="00D42316">
        <w:rPr>
          <w:rFonts w:eastAsia="Helvetica Neue"/>
          <w:b/>
          <w:bCs/>
          <w:color w:val="000000"/>
        </w:rPr>
        <w:t>ords</w:t>
      </w:r>
      <w:proofErr w:type="spellEnd"/>
      <w:r w:rsidRPr="00D42316">
        <w:rPr>
          <w:rFonts w:eastAsia="Helvetica Neue"/>
          <w:color w:val="000000"/>
        </w:rPr>
        <w:t xml:space="preserve">: </w:t>
      </w:r>
      <w:proofErr w:type="spellStart"/>
      <w:r w:rsidRPr="00D42316">
        <w:rPr>
          <w:color w:val="000000"/>
        </w:rPr>
        <w:t>chaos</w:t>
      </w:r>
      <w:proofErr w:type="spellEnd"/>
      <w:r w:rsidRPr="00D42316">
        <w:rPr>
          <w:color w:val="000000"/>
        </w:rPr>
        <w:t xml:space="preserve">, </w:t>
      </w:r>
      <w:proofErr w:type="spellStart"/>
      <w:r w:rsidRPr="00D42316">
        <w:rPr>
          <w:color w:val="000000"/>
        </w:rPr>
        <w:t>prediction</w:t>
      </w:r>
      <w:proofErr w:type="spellEnd"/>
      <w:r w:rsidRPr="00D42316">
        <w:rPr>
          <w:color w:val="000000"/>
        </w:rPr>
        <w:t xml:space="preserve">, </w:t>
      </w:r>
      <w:proofErr w:type="spellStart"/>
      <w:r w:rsidRPr="00D42316">
        <w:rPr>
          <w:color w:val="000000"/>
        </w:rPr>
        <w:t>efficiency</w:t>
      </w:r>
      <w:proofErr w:type="spellEnd"/>
      <w:r w:rsidRPr="00D42316">
        <w:rPr>
          <w:color w:val="000000"/>
        </w:rPr>
        <w:t xml:space="preserve">, </w:t>
      </w:r>
      <w:proofErr w:type="spellStart"/>
      <w:r w:rsidRPr="00D42316">
        <w:rPr>
          <w:color w:val="000000"/>
        </w:rPr>
        <w:t>random</w:t>
      </w:r>
      <w:proofErr w:type="spellEnd"/>
      <w:r w:rsidRPr="00D42316">
        <w:rPr>
          <w:color w:val="000000"/>
        </w:rPr>
        <w:t xml:space="preserve"> </w:t>
      </w:r>
      <w:proofErr w:type="spellStart"/>
      <w:r w:rsidRPr="00D42316">
        <w:rPr>
          <w:color w:val="000000"/>
        </w:rPr>
        <w:t>walk</w:t>
      </w:r>
      <w:proofErr w:type="spellEnd"/>
    </w:p>
    <w:p w14:paraId="5447C582" w14:textId="4BC090E5" w:rsidR="002C3918" w:rsidRPr="00A7613A" w:rsidRDefault="00FC4D53" w:rsidP="009C2F96">
      <w:pPr>
        <w:autoSpaceDE/>
        <w:autoSpaceDN/>
        <w:rPr>
          <w:color w:val="000000"/>
        </w:rPr>
      </w:pPr>
      <w:r>
        <w:rPr>
          <w:color w:val="000000"/>
        </w:rPr>
        <w:br w:type="page"/>
      </w:r>
    </w:p>
    <w:p w14:paraId="02FAE8C2" w14:textId="77777777" w:rsidR="00F84AD5" w:rsidRDefault="00AC051C" w:rsidP="004C7694">
      <w:pPr>
        <w:pStyle w:val="Tark"/>
      </w:pPr>
      <w:bookmarkStart w:id="25" w:name="_Toc192855152"/>
      <w:r w:rsidRPr="00D42316">
        <w:lastRenderedPageBreak/>
        <w:t>İşsizlik ve İstihdam</w:t>
      </w:r>
      <w:bookmarkEnd w:id="25"/>
    </w:p>
    <w:p w14:paraId="41F973BA" w14:textId="77777777" w:rsidR="009C2F96" w:rsidRPr="009C2F96" w:rsidRDefault="009C2F96" w:rsidP="009C2F96">
      <w:pPr>
        <w:pStyle w:val="Metin"/>
      </w:pPr>
    </w:p>
    <w:p w14:paraId="6EC019CA" w14:textId="77777777" w:rsidR="00F84AD5" w:rsidRPr="00D42316" w:rsidRDefault="00AC051C" w:rsidP="009C2F96">
      <w:pPr>
        <w:jc w:val="center"/>
      </w:pPr>
      <w:r w:rsidRPr="00D42316">
        <w:t>Timuçin ARSLAN</w:t>
      </w:r>
    </w:p>
    <w:p w14:paraId="5AAA46E1" w14:textId="77777777" w:rsidR="00F84AD5" w:rsidRPr="00D42316" w:rsidRDefault="00AC051C" w:rsidP="009C2F96">
      <w:pPr>
        <w:jc w:val="center"/>
      </w:pPr>
      <w:r w:rsidRPr="00D42316">
        <w:t>Bilim Uzmanı, Bağımsız Araştırmacı</w:t>
      </w:r>
    </w:p>
    <w:p w14:paraId="516E1741" w14:textId="77777777" w:rsidR="00F84AD5" w:rsidRPr="00D42316" w:rsidRDefault="00AC051C" w:rsidP="009C2F96">
      <w:pPr>
        <w:jc w:val="center"/>
      </w:pPr>
      <w:hyperlink r:id="rId56">
        <w:r w:rsidRPr="00D42316">
          <w:rPr>
            <w:color w:val="467886"/>
            <w:u w:val="single"/>
          </w:rPr>
          <w:t>timucin.arslan@hotmail.com</w:t>
        </w:r>
      </w:hyperlink>
    </w:p>
    <w:p w14:paraId="077EF993" w14:textId="77777777" w:rsidR="00F84AD5" w:rsidRDefault="00AC051C" w:rsidP="009C2F96">
      <w:pPr>
        <w:jc w:val="center"/>
      </w:pPr>
      <w:r w:rsidRPr="00D42316">
        <w:t>0000-0003-4455-8535</w:t>
      </w:r>
    </w:p>
    <w:p w14:paraId="49A9DC19" w14:textId="77777777" w:rsidR="009C2F96" w:rsidRPr="00D42316" w:rsidRDefault="009C2F96" w:rsidP="009C2F96">
      <w:pPr>
        <w:jc w:val="center"/>
      </w:pPr>
    </w:p>
    <w:p w14:paraId="2D393187" w14:textId="2E155CD3" w:rsidR="00F84AD5" w:rsidRPr="009F0AE3" w:rsidRDefault="008B5439" w:rsidP="009C2F96">
      <w:pPr>
        <w:jc w:val="center"/>
        <w:rPr>
          <w:b/>
          <w:bCs/>
        </w:rPr>
      </w:pPr>
      <w:r w:rsidRPr="009F0AE3">
        <w:rPr>
          <w:b/>
          <w:bCs/>
        </w:rPr>
        <w:t>Özet</w:t>
      </w:r>
    </w:p>
    <w:p w14:paraId="1F2E4440" w14:textId="338F42BF" w:rsidR="00F84AD5" w:rsidRPr="00D42316" w:rsidRDefault="00AC051C" w:rsidP="009C2F96">
      <w:pPr>
        <w:jc w:val="both"/>
      </w:pPr>
      <w:r w:rsidRPr="00D42316">
        <w:t xml:space="preserve">20.yüzyılda yerel ve küresel düzeyde tartışma konularından biri de işsizlik, istihdam ve bu konuda atılması gereken adımlar oluşturmaktadır. Özellikle pandemi dönemi ve sonrasında yaşanan gelişmeler, yerel olmakla beraber küresel açıdan etki yaratan savaşlar ve çatışmalar ülkelerin işsizlik ve istihdam oranlarına etki etmektedir. İşsizlik, ‘‘çalışma arzu ve iktidarında olup, </w:t>
      </w:r>
      <w:proofErr w:type="gramStart"/>
      <w:r w:rsidRPr="00D42316">
        <w:t>piyasadaki mevcut</w:t>
      </w:r>
      <w:proofErr w:type="gramEnd"/>
      <w:r w:rsidRPr="00D42316">
        <w:t xml:space="preserve"> ücret seviyesinde bir iş arayıp, normal piyasa şartlarında kendisine uygun iş bulamayan kişidir. (Yavuz, 2012, s. 44) İstihdam kavramı ise işgücünün çalışanlar kısmını ifade etmektedir.</w:t>
      </w:r>
      <w:r w:rsidR="009C2F96">
        <w:t xml:space="preserve">  </w:t>
      </w:r>
      <w:r w:rsidRPr="00D42316">
        <w:t>Devletlerarası ambargolar, yeri vergi uygulamaları ve ülkelerin kendi içerisinde yaşadığı ekonomik süreçler devletleri yeni çalışma sistemleri ile birçok açıdan verimi arttırmaya yönelik politikalar izlemesine neden olmuştur.</w:t>
      </w:r>
      <w:r w:rsidR="009C2F96">
        <w:t xml:space="preserve"> </w:t>
      </w:r>
      <w:r w:rsidRPr="00D42316">
        <w:t>Gelişmekte olan ülkeler de daha sık gündeme gelen işsizlik kendi içerisinde birçok başlığa ayrılmıştır. Bu da göstermektedir ki işsizlik küresel çapta birçok şekilde görülebilmektedir. Ülkelerin ekonomik yapıları hangi tür işsizliğin görüleceğini belirlemektedir. Yine her ülkenin farklı bir yapıya sahip olması o ülkenin istihdam oranlarını da etkilemektedir.</w:t>
      </w:r>
      <w:r w:rsidR="009C2F96">
        <w:t xml:space="preserve"> </w:t>
      </w:r>
      <w:r w:rsidRPr="00D42316">
        <w:t>Ülkemizde son yıllarda işsizlik ve istihdam oranlarında dalgalanma yaşanmaktadır. Gelişmekte olan ülkelerde olduğu gibi Türkiye’de de genç işsizlik en önemli sorunlardan biridir.</w:t>
      </w:r>
      <w:r w:rsidR="009C2F96">
        <w:t xml:space="preserve"> </w:t>
      </w:r>
      <w:r w:rsidRPr="00D42316">
        <w:t>Bu çalışma da öncelikle işsizlik türleri ve istihdam türleri açıklanması, kavramsal çerçevenin net bir şekilde ortaya konması amaçlanmıştır. Kavramsal çerçevenin ardından özellikle Türkiye’de işsizlik oranlarının düşürülmesi ile istihdam oranlarının incelenmesi ve atılacak adımların neler olduğunun ortaya konması hedeflenmiştir. Atılan adımların etkinliği ile yerel ve küresel çapta Türkiye’de bu oranları etkileyen nedenlerinde ortaya konması çalışmanın bir diğer amacıdır.</w:t>
      </w:r>
    </w:p>
    <w:p w14:paraId="4CFD089E" w14:textId="77777777" w:rsidR="00F84AD5" w:rsidRPr="00D42316" w:rsidRDefault="00F84AD5" w:rsidP="009C2F96">
      <w:pPr>
        <w:jc w:val="both"/>
      </w:pPr>
    </w:p>
    <w:p w14:paraId="2240662C" w14:textId="1409D07C" w:rsidR="00FC4D53" w:rsidRDefault="00AC051C" w:rsidP="009C2F96">
      <w:pPr>
        <w:jc w:val="both"/>
      </w:pPr>
      <w:r w:rsidRPr="00D42316">
        <w:rPr>
          <w:b/>
        </w:rPr>
        <w:t xml:space="preserve">Anahtar </w:t>
      </w:r>
      <w:r w:rsidR="00A8748A" w:rsidRPr="00D42316">
        <w:rPr>
          <w:b/>
        </w:rPr>
        <w:t>Kelime</w:t>
      </w:r>
      <w:r w:rsidRPr="00D42316">
        <w:rPr>
          <w:b/>
        </w:rPr>
        <w:t>ler:</w:t>
      </w:r>
      <w:r w:rsidRPr="00D42316">
        <w:t xml:space="preserve"> İşsizlik, İstihdam, İnsan Kaynakları, Türkiye Ekonomisi</w:t>
      </w:r>
    </w:p>
    <w:p w14:paraId="0A04A443" w14:textId="6C7F4E2C" w:rsidR="002C3918" w:rsidRPr="00D42316" w:rsidRDefault="00FC4D53" w:rsidP="009C2F96">
      <w:pPr>
        <w:autoSpaceDE/>
        <w:autoSpaceDN/>
      </w:pPr>
      <w:r>
        <w:br w:type="page"/>
      </w:r>
    </w:p>
    <w:p w14:paraId="1FCADEDA" w14:textId="5897012D" w:rsidR="00F84AD5" w:rsidRDefault="00AC051C" w:rsidP="004C7694">
      <w:pPr>
        <w:pStyle w:val="Tark"/>
      </w:pPr>
      <w:bookmarkStart w:id="26" w:name="_Toc192855153"/>
      <w:r w:rsidRPr="00D42316">
        <w:lastRenderedPageBreak/>
        <w:t xml:space="preserve">Girişimcilik Eğitimleri: Tecrübeye Dayalı Bir Yöntem Olarak </w:t>
      </w:r>
      <w:proofErr w:type="spellStart"/>
      <w:r w:rsidRPr="00D42316">
        <w:t>Mentörlük</w:t>
      </w:r>
      <w:bookmarkEnd w:id="26"/>
      <w:proofErr w:type="spellEnd"/>
    </w:p>
    <w:p w14:paraId="33E8A104" w14:textId="77777777" w:rsidR="009C2F96" w:rsidRPr="009C2F96" w:rsidRDefault="009C2F96" w:rsidP="009C2F96">
      <w:pPr>
        <w:pStyle w:val="Metin"/>
      </w:pPr>
    </w:p>
    <w:p w14:paraId="56EE14A4" w14:textId="069AB6D1" w:rsidR="009C2F96" w:rsidRPr="00D42316" w:rsidRDefault="00AC051C" w:rsidP="009C2F96">
      <w:pPr>
        <w:jc w:val="center"/>
      </w:pPr>
      <w:proofErr w:type="spellStart"/>
      <w:r w:rsidRPr="00D42316">
        <w:t>Doç.Dr</w:t>
      </w:r>
      <w:proofErr w:type="spellEnd"/>
      <w:r w:rsidRPr="00D42316">
        <w:t xml:space="preserve">. Mustafa Kemal </w:t>
      </w:r>
      <w:proofErr w:type="spellStart"/>
      <w:r w:rsidRPr="00D42316">
        <w:t>Topcu</w:t>
      </w:r>
      <w:proofErr w:type="spellEnd"/>
    </w:p>
    <w:p w14:paraId="1861A284" w14:textId="31EBF1BB" w:rsidR="00F84AD5" w:rsidRPr="00D42316" w:rsidRDefault="00AC051C" w:rsidP="009C2F96">
      <w:pPr>
        <w:jc w:val="center"/>
      </w:pPr>
      <w:r w:rsidRPr="00D42316">
        <w:t xml:space="preserve">ST Strateji ve Teknoloji Geliştirme </w:t>
      </w:r>
      <w:proofErr w:type="spellStart"/>
      <w:r w:rsidRPr="00D42316">
        <w:t>Ltd.Şti</w:t>
      </w:r>
      <w:proofErr w:type="spellEnd"/>
      <w:r w:rsidRPr="00D42316">
        <w:t>.</w:t>
      </w:r>
    </w:p>
    <w:p w14:paraId="74A464B6" w14:textId="43A56A4D" w:rsidR="00F84AD5" w:rsidRPr="00D42316" w:rsidRDefault="00AC051C" w:rsidP="009C2F96">
      <w:pPr>
        <w:jc w:val="center"/>
      </w:pPr>
      <w:r w:rsidRPr="00D42316">
        <w:t>mktopcu@ststrateji.com</w:t>
      </w:r>
    </w:p>
    <w:p w14:paraId="61B89440" w14:textId="77777777" w:rsidR="00F84AD5" w:rsidRPr="00D42316" w:rsidRDefault="00AC051C" w:rsidP="009C2F96">
      <w:pPr>
        <w:jc w:val="center"/>
      </w:pPr>
      <w:r w:rsidRPr="00D42316">
        <w:t>0000-0002-3298-1283</w:t>
      </w:r>
    </w:p>
    <w:p w14:paraId="011C3817" w14:textId="77777777" w:rsidR="00F84AD5" w:rsidRPr="00D42316" w:rsidRDefault="00F84AD5" w:rsidP="009C2F96">
      <w:pPr>
        <w:jc w:val="center"/>
      </w:pPr>
    </w:p>
    <w:p w14:paraId="32A07FDB" w14:textId="77777777" w:rsidR="00F84AD5" w:rsidRPr="00D42316" w:rsidRDefault="00AC051C" w:rsidP="009C2F96">
      <w:pPr>
        <w:jc w:val="center"/>
      </w:pPr>
      <w:r w:rsidRPr="00D42316">
        <w:t>Zişan Cihangir IŞIN</w:t>
      </w:r>
    </w:p>
    <w:p w14:paraId="5255C28F" w14:textId="3BEBDDDF" w:rsidR="00F84AD5" w:rsidRPr="00D42316" w:rsidRDefault="00AC051C" w:rsidP="009C2F96">
      <w:pPr>
        <w:jc w:val="center"/>
      </w:pPr>
      <w:r w:rsidRPr="00D42316">
        <w:t xml:space="preserve">ZEB </w:t>
      </w:r>
      <w:proofErr w:type="spellStart"/>
      <w:r w:rsidRPr="00D42316">
        <w:t>Innovation</w:t>
      </w:r>
      <w:proofErr w:type="spellEnd"/>
    </w:p>
    <w:p w14:paraId="3F15D0A9" w14:textId="77777777" w:rsidR="00F84AD5" w:rsidRPr="00D42316" w:rsidRDefault="00AC051C" w:rsidP="009C2F96">
      <w:pPr>
        <w:jc w:val="center"/>
      </w:pPr>
      <w:r w:rsidRPr="00D42316">
        <w:t>zisanisin@gmail.com</w:t>
      </w:r>
    </w:p>
    <w:p w14:paraId="42F2CA59" w14:textId="62AB7BF1" w:rsidR="00F84AD5" w:rsidRPr="00D42316" w:rsidRDefault="00AC051C" w:rsidP="009C2F96">
      <w:pPr>
        <w:jc w:val="center"/>
      </w:pPr>
      <w:r w:rsidRPr="00D42316">
        <w:t>0000-0002-4641-6728</w:t>
      </w:r>
    </w:p>
    <w:p w14:paraId="774981D5" w14:textId="77777777" w:rsidR="00F84AD5" w:rsidRPr="00D42316" w:rsidRDefault="00F84AD5" w:rsidP="009C2F96">
      <w:pPr>
        <w:jc w:val="center"/>
      </w:pPr>
    </w:p>
    <w:p w14:paraId="5A06CFD9" w14:textId="67BEB4C6" w:rsidR="00F84AD5" w:rsidRPr="00D42316" w:rsidRDefault="00AC051C" w:rsidP="009C2F96">
      <w:pPr>
        <w:jc w:val="center"/>
      </w:pPr>
      <w:r w:rsidRPr="00D42316">
        <w:t>Tamer IŞIN</w:t>
      </w:r>
    </w:p>
    <w:p w14:paraId="5260A141" w14:textId="77777777" w:rsidR="00F84AD5" w:rsidRPr="00D42316" w:rsidRDefault="00AC051C" w:rsidP="009C2F96">
      <w:pPr>
        <w:jc w:val="center"/>
      </w:pPr>
      <w:r w:rsidRPr="00D42316">
        <w:t xml:space="preserve">IMED </w:t>
      </w:r>
      <w:proofErr w:type="spellStart"/>
      <w:r w:rsidRPr="00D42316">
        <w:t>Surgical</w:t>
      </w:r>
      <w:proofErr w:type="spellEnd"/>
      <w:r w:rsidRPr="00D42316">
        <w:t xml:space="preserve"> LLC</w:t>
      </w:r>
    </w:p>
    <w:p w14:paraId="60172A41" w14:textId="77777777" w:rsidR="00F84AD5" w:rsidRPr="00D42316" w:rsidRDefault="00AC051C" w:rsidP="009C2F96">
      <w:pPr>
        <w:jc w:val="center"/>
      </w:pPr>
      <w:r w:rsidRPr="00D42316">
        <w:t>tamerisin@outlook.com</w:t>
      </w:r>
    </w:p>
    <w:p w14:paraId="36163296" w14:textId="5FF972E4" w:rsidR="00FC4D53" w:rsidRDefault="00AC051C" w:rsidP="009C2F96">
      <w:pPr>
        <w:jc w:val="center"/>
      </w:pPr>
      <w:r w:rsidRPr="00D42316">
        <w:t>0000-0002-3295-6651</w:t>
      </w:r>
    </w:p>
    <w:p w14:paraId="1DE7B7BB" w14:textId="77777777" w:rsidR="00AB7514" w:rsidRPr="00D42316" w:rsidRDefault="00AB7514" w:rsidP="009C2F96">
      <w:pPr>
        <w:jc w:val="center"/>
      </w:pPr>
    </w:p>
    <w:p w14:paraId="32A39E23" w14:textId="77777777" w:rsidR="00F84AD5" w:rsidRPr="009F0AE3" w:rsidRDefault="00AC051C" w:rsidP="009C2F96">
      <w:pPr>
        <w:jc w:val="center"/>
        <w:rPr>
          <w:b/>
          <w:bCs/>
        </w:rPr>
      </w:pPr>
      <w:r w:rsidRPr="009F0AE3">
        <w:rPr>
          <w:b/>
          <w:bCs/>
        </w:rPr>
        <w:t>Özet</w:t>
      </w:r>
    </w:p>
    <w:p w14:paraId="54B0E28A" w14:textId="77777777" w:rsidR="002C3918" w:rsidRDefault="00AC051C" w:rsidP="009C2F96">
      <w:pPr>
        <w:jc w:val="both"/>
        <w:rPr>
          <w:sz w:val="23"/>
          <w:szCs w:val="23"/>
        </w:rPr>
      </w:pPr>
      <w:r w:rsidRPr="002C3918">
        <w:rPr>
          <w:sz w:val="23"/>
          <w:szCs w:val="23"/>
        </w:rPr>
        <w:t xml:space="preserve">Girişimcilikte başarısızlık oranı literatürde değişkenlik gösterse de genel olarak %90 civarında kabul edilmektedir. Bu yüksek oran, kişisel, sosyal ve ekonomik nedenlerin yanı sıra bilgi ve destek eksikliğiyle de ilişkilidir. Tarihsel olarak, Anadolu’daki </w:t>
      </w:r>
      <w:proofErr w:type="spellStart"/>
      <w:r w:rsidRPr="002C3918">
        <w:rPr>
          <w:sz w:val="23"/>
          <w:szCs w:val="23"/>
        </w:rPr>
        <w:t>Ahiyan</w:t>
      </w:r>
      <w:proofErr w:type="spellEnd"/>
      <w:r w:rsidRPr="002C3918">
        <w:rPr>
          <w:sz w:val="23"/>
          <w:szCs w:val="23"/>
        </w:rPr>
        <w:t xml:space="preserve"> ve </w:t>
      </w:r>
      <w:proofErr w:type="spellStart"/>
      <w:r w:rsidRPr="002C3918">
        <w:rPr>
          <w:sz w:val="23"/>
          <w:szCs w:val="23"/>
        </w:rPr>
        <w:t>Bacıyan</w:t>
      </w:r>
      <w:proofErr w:type="spellEnd"/>
      <w:r w:rsidRPr="002C3918">
        <w:rPr>
          <w:sz w:val="23"/>
          <w:szCs w:val="23"/>
        </w:rPr>
        <w:t xml:space="preserve"> ile Avrupa’daki Lonca sistemleri, tecrübeye dayalı öğrenme yöntemleri sunarak başarısızlığa karşı alternatif modeller olmuştur. Ancak günümüzde girişimcilik ekosistemi “kazanan ayakta kalır” anlayışına odaklanmakta, tecrübeye dayalı eğitim ve destek sistemleri ise yeterince hayata geçirilememektedir. Girişimcilik </w:t>
      </w:r>
      <w:proofErr w:type="spellStart"/>
      <w:r w:rsidRPr="002C3918">
        <w:rPr>
          <w:sz w:val="23"/>
          <w:szCs w:val="23"/>
        </w:rPr>
        <w:t>mentörlüğü</w:t>
      </w:r>
      <w:proofErr w:type="spellEnd"/>
      <w:r w:rsidRPr="002C3918">
        <w:rPr>
          <w:sz w:val="23"/>
          <w:szCs w:val="23"/>
        </w:rPr>
        <w:t xml:space="preserve">, dünyada ve Türkiye’de girişimciliğe dair belirli alanlarda yetkinlik zorunluluğu aranmayan bir destek mekanizmasıdır. Ancak girişimciliğin farklı aşamalarına dair belirli bir sınıflandırma, uzmanlık gerekliliği veya sistematik </w:t>
      </w:r>
      <w:proofErr w:type="spellStart"/>
      <w:r w:rsidRPr="002C3918">
        <w:rPr>
          <w:sz w:val="23"/>
          <w:szCs w:val="23"/>
        </w:rPr>
        <w:t>mentörlük</w:t>
      </w:r>
      <w:proofErr w:type="spellEnd"/>
      <w:r w:rsidRPr="002C3918">
        <w:rPr>
          <w:sz w:val="23"/>
          <w:szCs w:val="23"/>
        </w:rPr>
        <w:t xml:space="preserve"> süreçleri bulunmamaktadır. Literatürde fikir aşaması, ön girişimcilik, erken girişimcilik, büyüme, çıkış ve post-girişimcilik gibi evreler tanımlanmış olsa </w:t>
      </w:r>
      <w:proofErr w:type="gramStart"/>
      <w:r w:rsidRPr="002C3918">
        <w:rPr>
          <w:sz w:val="23"/>
          <w:szCs w:val="23"/>
        </w:rPr>
        <w:t>da,</w:t>
      </w:r>
      <w:proofErr w:type="gramEnd"/>
      <w:r w:rsidRPr="002C3918">
        <w:rPr>
          <w:sz w:val="23"/>
          <w:szCs w:val="23"/>
        </w:rPr>
        <w:t xml:space="preserve"> bu süreçlerde hem teorik bilginin hem de pratik tecrübenin yeterince gelişmediği görülmektedir. Türkiye’de TÜBİTAK BİGG, </w:t>
      </w:r>
      <w:proofErr w:type="spellStart"/>
      <w:r w:rsidRPr="002C3918">
        <w:rPr>
          <w:sz w:val="23"/>
          <w:szCs w:val="23"/>
        </w:rPr>
        <w:t>Mentör</w:t>
      </w:r>
      <w:proofErr w:type="spellEnd"/>
      <w:r w:rsidRPr="002C3918">
        <w:rPr>
          <w:sz w:val="23"/>
          <w:szCs w:val="23"/>
        </w:rPr>
        <w:t xml:space="preserve"> Derneği, İTÜ Çekirdek ve Koç Üniversitesi KWORKS gibi programlar incelendiğinde, girişim evrelerine yönelik yeterli uzmanlık ayrımının yapılmadığı anlaşılmaktadır. Mevcut girişimcilik eğitimleri genellikle başarı hikâyelerine odaklanırken, başarısızlık deneyimlerinden öğrenmeyi ihmal etmektedir. Girişimcilik ekosisteminde </w:t>
      </w:r>
      <w:proofErr w:type="spellStart"/>
      <w:r w:rsidRPr="002C3918">
        <w:rPr>
          <w:sz w:val="23"/>
          <w:szCs w:val="23"/>
        </w:rPr>
        <w:t>mentörlük</w:t>
      </w:r>
      <w:proofErr w:type="spellEnd"/>
      <w:r w:rsidRPr="002C3918">
        <w:rPr>
          <w:sz w:val="23"/>
          <w:szCs w:val="23"/>
        </w:rPr>
        <w:t xml:space="preserve">, danışmanlık ve koçluk gibi destek süreçleri etkin uygulanamadığından, girişimcilerin ihtiyaç duyduğu uzmanlıklar da yeterince gelişememektedir. Bu eksiklik, girişimcilik süreçlerinde başarısızlık oranlarının yüksek seyretmesine yol açmaktadır. Bu noktada, girişimcilik eğitim ve destek hizmetlerinin klinik bir yaklaşımla ele alınması önerilmektedir. Tıp dünyasındaki kanıta dayalı uygulamalara benzer şekilde, Girişimcilik Klinikleri, tecrübeye dayalı eğitim modelini temel alarak, girişimcilere doğrulanmış uzmanlar aracılığıyla bilgi aktarımı sağlayan bir yöntem sunmaktadır. Bu model, girişimcilik ekosisteminde hem teorik hem de pratik bilginin sistematik bir şekilde geliştirilmesine imkân tanımaktadır. Geleneksel eğitim, hızlandırma programları ve </w:t>
      </w:r>
      <w:proofErr w:type="spellStart"/>
      <w:r w:rsidRPr="002C3918">
        <w:rPr>
          <w:sz w:val="23"/>
          <w:szCs w:val="23"/>
        </w:rPr>
        <w:t>mentörlük</w:t>
      </w:r>
      <w:proofErr w:type="spellEnd"/>
      <w:r w:rsidRPr="002C3918">
        <w:rPr>
          <w:sz w:val="23"/>
          <w:szCs w:val="23"/>
        </w:rPr>
        <w:t xml:space="preserve"> modelleriyle karşılaştırıldığında, Girişimcilik Klinikleri, girişimcilerin süreç içinde gelişen ihtiyaçlarına uygun olarak uzmanlık bilgisinin güncellenmesini ve tecrübeye dayalı bilgi aktarımını mümkün kılmaktadır. Böylece, girişimcilik eğitiminde teorik bilginin ötesine geçilerek, uygulamalı ve deneyime dayalı bir yapı oluşturulacak, akademi ile girişimcilik ekosistemi arasındaki bağ güçlenecektir.</w:t>
      </w:r>
    </w:p>
    <w:p w14:paraId="6E5CFBF7" w14:textId="77777777" w:rsidR="009C2F96" w:rsidRDefault="009C2F96" w:rsidP="009C2F96">
      <w:pPr>
        <w:jc w:val="both"/>
        <w:rPr>
          <w:sz w:val="23"/>
          <w:szCs w:val="23"/>
        </w:rPr>
      </w:pPr>
    </w:p>
    <w:p w14:paraId="0850225D" w14:textId="16459FA8" w:rsidR="00280CB2" w:rsidRPr="002C3918" w:rsidRDefault="00AC051C" w:rsidP="009C2F96">
      <w:pPr>
        <w:jc w:val="both"/>
        <w:rPr>
          <w:sz w:val="23"/>
          <w:szCs w:val="23"/>
        </w:rPr>
      </w:pPr>
      <w:r w:rsidRPr="002C3918">
        <w:rPr>
          <w:b/>
          <w:sz w:val="23"/>
          <w:szCs w:val="23"/>
        </w:rPr>
        <w:t>Anahtar Kelimeler:</w:t>
      </w:r>
      <w:r w:rsidRPr="002C3918">
        <w:rPr>
          <w:sz w:val="23"/>
          <w:szCs w:val="23"/>
        </w:rPr>
        <w:t xml:space="preserve"> Mentorluk, Koçluk, Girişimcilik Klinikleri, Girişimcilik Eğitimi, Girişimcilik </w:t>
      </w:r>
      <w:r w:rsidRPr="002C3918">
        <w:rPr>
          <w:sz w:val="23"/>
          <w:szCs w:val="23"/>
        </w:rPr>
        <w:lastRenderedPageBreak/>
        <w:t>Destekleri</w:t>
      </w:r>
      <w:r w:rsidR="00FC4D53">
        <w:rPr>
          <w:sz w:val="23"/>
          <w:szCs w:val="23"/>
        </w:rPr>
        <w:br w:type="page"/>
      </w:r>
    </w:p>
    <w:p w14:paraId="7BF6378B" w14:textId="77777777" w:rsidR="00F84AD5" w:rsidRPr="00D42316" w:rsidRDefault="00AC051C" w:rsidP="004C7694">
      <w:pPr>
        <w:pStyle w:val="Tark"/>
      </w:pPr>
      <w:bookmarkStart w:id="27" w:name="_Toc192855154"/>
      <w:r w:rsidRPr="00D42316">
        <w:rPr>
          <w:i/>
        </w:rPr>
        <w:lastRenderedPageBreak/>
        <w:t xml:space="preserve">A </w:t>
      </w:r>
      <w:proofErr w:type="spellStart"/>
      <w:r w:rsidRPr="00D42316">
        <w:rPr>
          <w:i/>
        </w:rPr>
        <w:t>Woman</w:t>
      </w:r>
      <w:proofErr w:type="spellEnd"/>
      <w:r w:rsidRPr="00D42316">
        <w:rPr>
          <w:i/>
        </w:rPr>
        <w:t xml:space="preserve"> is No Man. </w:t>
      </w:r>
      <w:r w:rsidRPr="00D42316">
        <w:t xml:space="preserve">A </w:t>
      </w:r>
      <w:proofErr w:type="spellStart"/>
      <w:r w:rsidRPr="00D42316">
        <w:t>Translator</w:t>
      </w:r>
      <w:proofErr w:type="spellEnd"/>
      <w:r w:rsidRPr="00D42316">
        <w:t xml:space="preserve"> is (No) Author? </w:t>
      </w:r>
      <w:proofErr w:type="spellStart"/>
      <w:r w:rsidRPr="00D42316">
        <w:t>Questioning</w:t>
      </w:r>
      <w:proofErr w:type="spellEnd"/>
      <w:r w:rsidRPr="00D42316">
        <w:t xml:space="preserve"> </w:t>
      </w:r>
      <w:proofErr w:type="spellStart"/>
      <w:r w:rsidRPr="00D42316">
        <w:t>the</w:t>
      </w:r>
      <w:proofErr w:type="spellEnd"/>
      <w:r w:rsidRPr="00D42316">
        <w:t xml:space="preserve"> </w:t>
      </w:r>
      <w:proofErr w:type="spellStart"/>
      <w:r w:rsidRPr="00D42316">
        <w:t>Shared</w:t>
      </w:r>
      <w:proofErr w:type="spellEnd"/>
      <w:r w:rsidRPr="00D42316">
        <w:t xml:space="preserve"> </w:t>
      </w:r>
      <w:proofErr w:type="spellStart"/>
      <w:r w:rsidRPr="00D42316">
        <w:t>Inferiority</w:t>
      </w:r>
      <w:proofErr w:type="spellEnd"/>
      <w:r w:rsidRPr="00D42316">
        <w:t xml:space="preserve"> of </w:t>
      </w:r>
      <w:proofErr w:type="spellStart"/>
      <w:r w:rsidRPr="00D42316">
        <w:t>Women</w:t>
      </w:r>
      <w:proofErr w:type="spellEnd"/>
      <w:r w:rsidRPr="00D42316">
        <w:t xml:space="preserve"> </w:t>
      </w:r>
      <w:proofErr w:type="spellStart"/>
      <w:r w:rsidRPr="00D42316">
        <w:t>and</w:t>
      </w:r>
      <w:proofErr w:type="spellEnd"/>
      <w:r w:rsidRPr="00D42316">
        <w:t xml:space="preserve"> </w:t>
      </w:r>
      <w:proofErr w:type="spellStart"/>
      <w:r w:rsidRPr="00D42316">
        <w:t>Translators</w:t>
      </w:r>
      <w:proofErr w:type="spellEnd"/>
      <w:r w:rsidRPr="00D42316">
        <w:t xml:space="preserve"> </w:t>
      </w:r>
      <w:proofErr w:type="spellStart"/>
      <w:r w:rsidRPr="00D42316">
        <w:t>through</w:t>
      </w:r>
      <w:proofErr w:type="spellEnd"/>
      <w:r w:rsidRPr="00D42316">
        <w:t xml:space="preserve">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Translation</w:t>
      </w:r>
      <w:proofErr w:type="spellEnd"/>
      <w:r w:rsidRPr="00D42316">
        <w:t xml:space="preserve"> of </w:t>
      </w:r>
      <w:proofErr w:type="spellStart"/>
      <w:r w:rsidRPr="00D42316">
        <w:t>Etaf</w:t>
      </w:r>
      <w:proofErr w:type="spellEnd"/>
      <w:r w:rsidRPr="00D42316">
        <w:t xml:space="preserve"> </w:t>
      </w:r>
      <w:proofErr w:type="spellStart"/>
      <w:r w:rsidRPr="00D42316">
        <w:t>Rum’s</w:t>
      </w:r>
      <w:proofErr w:type="spellEnd"/>
      <w:r w:rsidRPr="00D42316">
        <w:t xml:space="preserve"> </w:t>
      </w:r>
      <w:r w:rsidRPr="00D42316">
        <w:rPr>
          <w:i/>
        </w:rPr>
        <w:t xml:space="preserve">A </w:t>
      </w:r>
      <w:proofErr w:type="spellStart"/>
      <w:r w:rsidRPr="00D42316">
        <w:rPr>
          <w:i/>
        </w:rPr>
        <w:t>Woman</w:t>
      </w:r>
      <w:proofErr w:type="spellEnd"/>
      <w:r w:rsidRPr="00D42316">
        <w:rPr>
          <w:i/>
        </w:rPr>
        <w:t xml:space="preserve"> is No Man </w:t>
      </w:r>
      <w:proofErr w:type="spellStart"/>
      <w:r w:rsidRPr="00D42316">
        <w:t>within</w:t>
      </w:r>
      <w:proofErr w:type="spellEnd"/>
      <w:r w:rsidRPr="00D42316">
        <w:t xml:space="preserve"> Feminist </w:t>
      </w:r>
      <w:proofErr w:type="spellStart"/>
      <w:r w:rsidRPr="00D42316">
        <w:t>Translation</w:t>
      </w:r>
      <w:proofErr w:type="spellEnd"/>
      <w:r w:rsidRPr="00D42316">
        <w:t xml:space="preserve"> </w:t>
      </w:r>
      <w:proofErr w:type="spellStart"/>
      <w:r w:rsidRPr="00D42316">
        <w:t>Studies</w:t>
      </w:r>
      <w:bookmarkEnd w:id="27"/>
      <w:proofErr w:type="spellEnd"/>
    </w:p>
    <w:p w14:paraId="2FBDB88C" w14:textId="77777777" w:rsidR="00F84AD5" w:rsidRPr="00D42316" w:rsidRDefault="00F84AD5" w:rsidP="009C2F96">
      <w:pPr>
        <w:jc w:val="center"/>
      </w:pPr>
    </w:p>
    <w:p w14:paraId="1C5D9FD0" w14:textId="77777777" w:rsidR="00F84AD5" w:rsidRPr="00D42316" w:rsidRDefault="00AC051C" w:rsidP="009C2F96">
      <w:pPr>
        <w:jc w:val="center"/>
      </w:pPr>
      <w:r w:rsidRPr="00D42316">
        <w:t>Ayşe SAKİ DEMİREL</w:t>
      </w:r>
    </w:p>
    <w:p w14:paraId="4EC8B6F1" w14:textId="77777777" w:rsidR="00F84AD5" w:rsidRPr="00D42316" w:rsidRDefault="00AC051C" w:rsidP="009C2F96">
      <w:pPr>
        <w:jc w:val="center"/>
      </w:pPr>
      <w:proofErr w:type="spellStart"/>
      <w:r w:rsidRPr="00D42316">
        <w:t>Asst</w:t>
      </w:r>
      <w:proofErr w:type="spellEnd"/>
      <w:r w:rsidRPr="00D42316">
        <w:t xml:space="preserve">. Prof. Dr., Ankara Bilim </w:t>
      </w:r>
      <w:proofErr w:type="spellStart"/>
      <w:r w:rsidRPr="00D42316">
        <w:t>University</w:t>
      </w:r>
      <w:proofErr w:type="spellEnd"/>
      <w:r w:rsidRPr="00D42316">
        <w:t xml:space="preserve">, </w:t>
      </w:r>
      <w:proofErr w:type="spellStart"/>
      <w:r w:rsidRPr="00D42316">
        <w:t>Department</w:t>
      </w:r>
      <w:proofErr w:type="spellEnd"/>
      <w:r w:rsidRPr="00D42316">
        <w:t xml:space="preserve"> of English </w:t>
      </w:r>
      <w:proofErr w:type="spellStart"/>
      <w:r w:rsidRPr="00D42316">
        <w:t>Translation</w:t>
      </w:r>
      <w:proofErr w:type="spellEnd"/>
      <w:r w:rsidRPr="00D42316">
        <w:t xml:space="preserve"> </w:t>
      </w:r>
      <w:proofErr w:type="spellStart"/>
      <w:r w:rsidRPr="00D42316">
        <w:t>and</w:t>
      </w:r>
      <w:proofErr w:type="spellEnd"/>
      <w:r w:rsidRPr="00D42316">
        <w:t xml:space="preserve"> </w:t>
      </w:r>
      <w:proofErr w:type="spellStart"/>
      <w:r w:rsidRPr="00D42316">
        <w:t>Interpretation</w:t>
      </w:r>
      <w:proofErr w:type="spellEnd"/>
    </w:p>
    <w:p w14:paraId="051F273A" w14:textId="77777777" w:rsidR="00F84AD5" w:rsidRPr="00D42316" w:rsidRDefault="00AC051C" w:rsidP="009C2F96">
      <w:pPr>
        <w:jc w:val="center"/>
      </w:pPr>
      <w:r w:rsidRPr="00D42316">
        <w:t>ayse.demirel@ankarabilim.edu.tr</w:t>
      </w:r>
    </w:p>
    <w:p w14:paraId="17309039" w14:textId="1225F470" w:rsidR="00F84AD5" w:rsidRPr="00D42316" w:rsidRDefault="00AC051C" w:rsidP="009C2F96">
      <w:pPr>
        <w:jc w:val="center"/>
      </w:pPr>
      <w:hyperlink r:id="rId57">
        <w:r w:rsidRPr="00D42316">
          <w:rPr>
            <w:color w:val="467886"/>
            <w:u w:val="single"/>
          </w:rPr>
          <w:t>0000-0003-4412-8076</w:t>
        </w:r>
      </w:hyperlink>
    </w:p>
    <w:p w14:paraId="3D199E5E" w14:textId="77777777" w:rsidR="00F84AD5" w:rsidRPr="00D42316" w:rsidRDefault="00F84AD5" w:rsidP="009C2F96">
      <w:pPr>
        <w:jc w:val="center"/>
      </w:pPr>
    </w:p>
    <w:p w14:paraId="38583B29" w14:textId="524052EC" w:rsidR="00F84AD5" w:rsidRPr="00AB7514" w:rsidRDefault="00AC051C" w:rsidP="009C2F96">
      <w:pPr>
        <w:jc w:val="center"/>
        <w:rPr>
          <w:b/>
          <w:bCs/>
        </w:rPr>
      </w:pPr>
      <w:proofErr w:type="spellStart"/>
      <w:r w:rsidRPr="009F0AE3">
        <w:rPr>
          <w:b/>
          <w:bCs/>
        </w:rPr>
        <w:t>Abstract</w:t>
      </w:r>
      <w:proofErr w:type="spellEnd"/>
    </w:p>
    <w:p w14:paraId="2BE26651" w14:textId="77777777" w:rsidR="00F84AD5" w:rsidRPr="00D42316" w:rsidRDefault="00AC051C" w:rsidP="009C2F96">
      <w:pPr>
        <w:jc w:val="both"/>
      </w:pPr>
      <w:proofErr w:type="spellStart"/>
      <w:r w:rsidRPr="00D42316">
        <w:t>Etaf</w:t>
      </w:r>
      <w:proofErr w:type="spellEnd"/>
      <w:r w:rsidRPr="00D42316">
        <w:t xml:space="preserve"> </w:t>
      </w:r>
      <w:proofErr w:type="spellStart"/>
      <w:r w:rsidRPr="00D42316">
        <w:t>Rum’s</w:t>
      </w:r>
      <w:proofErr w:type="spellEnd"/>
      <w:r w:rsidRPr="00D42316">
        <w:t xml:space="preserve"> </w:t>
      </w:r>
      <w:proofErr w:type="spellStart"/>
      <w:r w:rsidRPr="00D42316">
        <w:t>debut</w:t>
      </w:r>
      <w:proofErr w:type="spellEnd"/>
      <w:r w:rsidRPr="00D42316">
        <w:t xml:space="preserve"> </w:t>
      </w:r>
      <w:proofErr w:type="spellStart"/>
      <w:r w:rsidRPr="00D42316">
        <w:t>novel</w:t>
      </w:r>
      <w:proofErr w:type="spellEnd"/>
      <w:r w:rsidRPr="00D42316">
        <w:t xml:space="preserve">, </w:t>
      </w:r>
      <w:r w:rsidRPr="00D42316">
        <w:rPr>
          <w:i/>
        </w:rPr>
        <w:t xml:space="preserve">A </w:t>
      </w:r>
      <w:proofErr w:type="spellStart"/>
      <w:r w:rsidRPr="00D42316">
        <w:rPr>
          <w:i/>
        </w:rPr>
        <w:t>Woman</w:t>
      </w:r>
      <w:proofErr w:type="spellEnd"/>
      <w:r w:rsidRPr="00D42316">
        <w:rPr>
          <w:i/>
        </w:rPr>
        <w:t xml:space="preserve"> is No Man</w:t>
      </w:r>
      <w:r w:rsidRPr="00D42316">
        <w:t xml:space="preserve"> (2019), a New York Times </w:t>
      </w:r>
      <w:proofErr w:type="spellStart"/>
      <w:r w:rsidRPr="00D42316">
        <w:t>bestseller</w:t>
      </w:r>
      <w:proofErr w:type="spellEnd"/>
      <w:r w:rsidRPr="00D42316">
        <w:t xml:space="preserve">, </w:t>
      </w:r>
      <w:proofErr w:type="spellStart"/>
      <w:r w:rsidRPr="00D42316">
        <w:t>powerfully</w:t>
      </w:r>
      <w:proofErr w:type="spellEnd"/>
      <w:r w:rsidRPr="00D42316">
        <w:t xml:space="preserve"> </w:t>
      </w:r>
      <w:proofErr w:type="spellStart"/>
      <w:r w:rsidRPr="00D42316">
        <w:t>explores</w:t>
      </w:r>
      <w:proofErr w:type="spellEnd"/>
      <w:r w:rsidRPr="00D42316">
        <w:t xml:space="preserve"> </w:t>
      </w:r>
      <w:proofErr w:type="spellStart"/>
      <w:r w:rsidRPr="00D42316">
        <w:t>the</w:t>
      </w:r>
      <w:proofErr w:type="spellEnd"/>
      <w:r w:rsidRPr="00D42316">
        <w:t xml:space="preserve"> </w:t>
      </w:r>
      <w:proofErr w:type="spellStart"/>
      <w:r w:rsidRPr="00D42316">
        <w:t>silencing</w:t>
      </w:r>
      <w:proofErr w:type="spellEnd"/>
      <w:r w:rsidRPr="00D42316">
        <w:t xml:space="preserve"> </w:t>
      </w:r>
      <w:proofErr w:type="spellStart"/>
      <w:r w:rsidRPr="00D42316">
        <w:t>and</w:t>
      </w:r>
      <w:proofErr w:type="spellEnd"/>
      <w:r w:rsidRPr="00D42316">
        <w:t xml:space="preserve"> </w:t>
      </w:r>
      <w:proofErr w:type="spellStart"/>
      <w:r w:rsidRPr="00D42316">
        <w:t>subjugation</w:t>
      </w:r>
      <w:proofErr w:type="spellEnd"/>
      <w:r w:rsidRPr="00D42316">
        <w:t xml:space="preserve"> of </w:t>
      </w:r>
      <w:proofErr w:type="spellStart"/>
      <w:r w:rsidRPr="00D42316">
        <w:t>Palestinian</w:t>
      </w:r>
      <w:proofErr w:type="spellEnd"/>
      <w:r w:rsidRPr="00D42316">
        <w:t xml:space="preserve"> </w:t>
      </w:r>
      <w:proofErr w:type="spellStart"/>
      <w:r w:rsidRPr="00D42316">
        <w:t>American</w:t>
      </w:r>
      <w:proofErr w:type="spellEnd"/>
      <w:r w:rsidRPr="00D42316">
        <w:t xml:space="preserve"> </w:t>
      </w:r>
      <w:proofErr w:type="spellStart"/>
      <w:r w:rsidRPr="00D42316">
        <w:t>women</w:t>
      </w:r>
      <w:proofErr w:type="spellEnd"/>
      <w:r w:rsidRPr="00D42316">
        <w:t xml:space="preserve"> </w:t>
      </w:r>
      <w:proofErr w:type="spellStart"/>
      <w:r w:rsidRPr="00D42316">
        <w:t>within</w:t>
      </w:r>
      <w:proofErr w:type="spellEnd"/>
      <w:r w:rsidRPr="00D42316">
        <w:t xml:space="preserve"> a </w:t>
      </w:r>
      <w:proofErr w:type="spellStart"/>
      <w:r w:rsidRPr="00D42316">
        <w:t>patriarchal</w:t>
      </w:r>
      <w:proofErr w:type="spellEnd"/>
      <w:r w:rsidRPr="00D42316">
        <w:t xml:space="preserve"> </w:t>
      </w:r>
      <w:proofErr w:type="spellStart"/>
      <w:r w:rsidRPr="00D42316">
        <w:t>immigrant</w:t>
      </w:r>
      <w:proofErr w:type="spellEnd"/>
      <w:r w:rsidRPr="00D42316">
        <w:t xml:space="preserve"> </w:t>
      </w:r>
      <w:proofErr w:type="spellStart"/>
      <w:r w:rsidRPr="00D42316">
        <w:t>community</w:t>
      </w:r>
      <w:proofErr w:type="spellEnd"/>
      <w:r w:rsidRPr="00D42316">
        <w:t xml:space="preserve">. </w:t>
      </w:r>
      <w:proofErr w:type="spellStart"/>
      <w:r w:rsidRPr="00D42316">
        <w:t>Drawing</w:t>
      </w:r>
      <w:proofErr w:type="spellEnd"/>
      <w:r w:rsidRPr="00D42316">
        <w:t xml:space="preserve"> </w:t>
      </w:r>
      <w:proofErr w:type="spellStart"/>
      <w:r w:rsidRPr="00D42316">
        <w:t>from</w:t>
      </w:r>
      <w:proofErr w:type="spellEnd"/>
      <w:r w:rsidRPr="00D42316">
        <w:t xml:space="preserve"> her </w:t>
      </w:r>
      <w:proofErr w:type="spellStart"/>
      <w:r w:rsidRPr="00D42316">
        <w:t>cultural</w:t>
      </w:r>
      <w:proofErr w:type="spellEnd"/>
      <w:r w:rsidRPr="00D42316">
        <w:t xml:space="preserve"> background, Rum </w:t>
      </w:r>
      <w:proofErr w:type="spellStart"/>
      <w:r w:rsidRPr="00D42316">
        <w:t>crafts</w:t>
      </w:r>
      <w:proofErr w:type="spellEnd"/>
      <w:r w:rsidRPr="00D42316">
        <w:t xml:space="preserve"> a </w:t>
      </w:r>
      <w:proofErr w:type="spellStart"/>
      <w:r w:rsidRPr="00D42316">
        <w:t>multi-generational</w:t>
      </w:r>
      <w:proofErr w:type="spellEnd"/>
      <w:r w:rsidRPr="00D42316">
        <w:t xml:space="preserve"> </w:t>
      </w:r>
      <w:proofErr w:type="spellStart"/>
      <w:r w:rsidRPr="00D42316">
        <w:t>narrative</w:t>
      </w:r>
      <w:proofErr w:type="spellEnd"/>
      <w:r w:rsidRPr="00D42316">
        <w:t xml:space="preserve"> </w:t>
      </w:r>
      <w:proofErr w:type="spellStart"/>
      <w:r w:rsidRPr="00D42316">
        <w:t>that</w:t>
      </w:r>
      <w:proofErr w:type="spellEnd"/>
      <w:r w:rsidRPr="00D42316">
        <w:t xml:space="preserve"> </w:t>
      </w:r>
      <w:proofErr w:type="spellStart"/>
      <w:r w:rsidRPr="00D42316">
        <w:t>follows</w:t>
      </w:r>
      <w:proofErr w:type="spellEnd"/>
      <w:r w:rsidRPr="00D42316">
        <w:t xml:space="preserve"> </w:t>
      </w:r>
      <w:proofErr w:type="spellStart"/>
      <w:r w:rsidRPr="00D42316">
        <w:t>three</w:t>
      </w:r>
      <w:proofErr w:type="spellEnd"/>
      <w:r w:rsidRPr="00D42316">
        <w:t xml:space="preserve"> </w:t>
      </w:r>
      <w:proofErr w:type="spellStart"/>
      <w:r w:rsidRPr="00D42316">
        <w:t>women</w:t>
      </w:r>
      <w:proofErr w:type="spellEnd"/>
      <w:r w:rsidRPr="00D42316">
        <w:t xml:space="preserve"> </w:t>
      </w:r>
      <w:proofErr w:type="spellStart"/>
      <w:r w:rsidRPr="00D42316">
        <w:t>struggling</w:t>
      </w:r>
      <w:proofErr w:type="spellEnd"/>
      <w:r w:rsidRPr="00D42316">
        <w:t xml:space="preserve"> </w:t>
      </w:r>
      <w:proofErr w:type="spellStart"/>
      <w:r w:rsidRPr="00D42316">
        <w:t>against</w:t>
      </w:r>
      <w:proofErr w:type="spellEnd"/>
      <w:r w:rsidRPr="00D42316">
        <w:t xml:space="preserve"> </w:t>
      </w:r>
      <w:proofErr w:type="spellStart"/>
      <w:r w:rsidRPr="00D42316">
        <w:t>gendered</w:t>
      </w:r>
      <w:proofErr w:type="spellEnd"/>
      <w:r w:rsidRPr="00D42316">
        <w:t xml:space="preserve"> </w:t>
      </w:r>
      <w:proofErr w:type="spellStart"/>
      <w:r w:rsidRPr="00D42316">
        <w:t>oppression</w:t>
      </w:r>
      <w:proofErr w:type="spellEnd"/>
      <w:r w:rsidRPr="00D42316">
        <w:t xml:space="preserve">, </w:t>
      </w:r>
      <w:proofErr w:type="spellStart"/>
      <w:r w:rsidRPr="00D42316">
        <w:t>cultural</w:t>
      </w:r>
      <w:proofErr w:type="spellEnd"/>
      <w:r w:rsidRPr="00D42316">
        <w:t xml:space="preserve"> </w:t>
      </w:r>
      <w:proofErr w:type="spellStart"/>
      <w:r w:rsidRPr="00D42316">
        <w:t>expectations</w:t>
      </w:r>
      <w:proofErr w:type="spellEnd"/>
      <w:r w:rsidRPr="00D42316">
        <w:t xml:space="preserve">, </w:t>
      </w:r>
      <w:proofErr w:type="spellStart"/>
      <w:r w:rsidRPr="00D42316">
        <w:t>and</w:t>
      </w:r>
      <w:proofErr w:type="spellEnd"/>
      <w:r w:rsidRPr="00D42316">
        <w:t xml:space="preserve"> </w:t>
      </w:r>
      <w:proofErr w:type="spellStart"/>
      <w:r w:rsidRPr="00D42316">
        <w:t>systemic</w:t>
      </w:r>
      <w:proofErr w:type="spellEnd"/>
      <w:r w:rsidRPr="00D42316">
        <w:t xml:space="preserve"> </w:t>
      </w:r>
      <w:proofErr w:type="spellStart"/>
      <w:r w:rsidRPr="00D42316">
        <w:t>violence</w:t>
      </w:r>
      <w:proofErr w:type="spellEnd"/>
      <w:r w:rsidRPr="00D42316">
        <w:t xml:space="preserve">. Through </w:t>
      </w:r>
      <w:proofErr w:type="spellStart"/>
      <w:r w:rsidRPr="00D42316">
        <w:t>their</w:t>
      </w:r>
      <w:proofErr w:type="spellEnd"/>
      <w:r w:rsidRPr="00D42316">
        <w:t xml:space="preserve"> </w:t>
      </w:r>
      <w:proofErr w:type="spellStart"/>
      <w:r w:rsidRPr="00D42316">
        <w:t>voices</w:t>
      </w:r>
      <w:proofErr w:type="spellEnd"/>
      <w:r w:rsidRPr="00D42316">
        <w:t xml:space="preserve">, </w:t>
      </w:r>
      <w:proofErr w:type="spellStart"/>
      <w:r w:rsidRPr="00D42316">
        <w:t>the</w:t>
      </w:r>
      <w:proofErr w:type="spellEnd"/>
      <w:r w:rsidRPr="00D42316">
        <w:t xml:space="preserve"> </w:t>
      </w:r>
      <w:proofErr w:type="spellStart"/>
      <w:r w:rsidRPr="00D42316">
        <w:t>novel</w:t>
      </w:r>
      <w:proofErr w:type="spellEnd"/>
      <w:r w:rsidRPr="00D42316">
        <w:t xml:space="preserve"> </w:t>
      </w:r>
      <w:proofErr w:type="spellStart"/>
      <w:r w:rsidRPr="00D42316">
        <w:t>critiques</w:t>
      </w:r>
      <w:proofErr w:type="spellEnd"/>
      <w:r w:rsidRPr="00D42316">
        <w:t xml:space="preserve"> </w:t>
      </w:r>
      <w:proofErr w:type="spellStart"/>
      <w:r w:rsidRPr="00D42316">
        <w:t>the</w:t>
      </w:r>
      <w:proofErr w:type="spellEnd"/>
      <w:r w:rsidRPr="00D42316">
        <w:t xml:space="preserve"> </w:t>
      </w:r>
      <w:proofErr w:type="spellStart"/>
      <w:r w:rsidRPr="00D42316">
        <w:t>intersections</w:t>
      </w:r>
      <w:proofErr w:type="spellEnd"/>
      <w:r w:rsidRPr="00D42316">
        <w:t xml:space="preserve"> of </w:t>
      </w:r>
      <w:proofErr w:type="spellStart"/>
      <w:r w:rsidRPr="00D42316">
        <w:t>gender</w:t>
      </w:r>
      <w:proofErr w:type="spellEnd"/>
      <w:r w:rsidRPr="00D42316">
        <w:t xml:space="preserve">, </w:t>
      </w:r>
      <w:proofErr w:type="spellStart"/>
      <w:r w:rsidRPr="00D42316">
        <w:t>culture</w:t>
      </w:r>
      <w:proofErr w:type="spellEnd"/>
      <w:r w:rsidRPr="00D42316">
        <w:t xml:space="preserve">, </w:t>
      </w:r>
      <w:proofErr w:type="spellStart"/>
      <w:r w:rsidRPr="00D42316">
        <w:t>and</w:t>
      </w:r>
      <w:proofErr w:type="spellEnd"/>
      <w:r w:rsidRPr="00D42316">
        <w:t xml:space="preserve"> </w:t>
      </w:r>
      <w:proofErr w:type="spellStart"/>
      <w:r w:rsidRPr="00D42316">
        <w:t>power</w:t>
      </w:r>
      <w:proofErr w:type="spellEnd"/>
      <w:r w:rsidRPr="00D42316">
        <w:t xml:space="preserve">, </w:t>
      </w:r>
      <w:proofErr w:type="spellStart"/>
      <w:r w:rsidRPr="00D42316">
        <w:t>exposing</w:t>
      </w:r>
      <w:proofErr w:type="spellEnd"/>
      <w:r w:rsidRPr="00D42316">
        <w:t xml:space="preserve"> how </w:t>
      </w:r>
      <w:proofErr w:type="spellStart"/>
      <w:r w:rsidRPr="00D42316">
        <w:t>women</w:t>
      </w:r>
      <w:proofErr w:type="spellEnd"/>
      <w:r w:rsidRPr="00D42316">
        <w:t xml:space="preserve"> </w:t>
      </w:r>
      <w:proofErr w:type="spellStart"/>
      <w:r w:rsidRPr="00D42316">
        <w:t>are</w:t>
      </w:r>
      <w:proofErr w:type="spellEnd"/>
      <w:r w:rsidRPr="00D42316">
        <w:t xml:space="preserve"> </w:t>
      </w:r>
      <w:proofErr w:type="spellStart"/>
      <w:r w:rsidRPr="00D42316">
        <w:t>conditioned</w:t>
      </w:r>
      <w:proofErr w:type="spellEnd"/>
      <w:r w:rsidRPr="00D42316">
        <w:t xml:space="preserve"> </w:t>
      </w:r>
      <w:proofErr w:type="spellStart"/>
      <w:r w:rsidRPr="00D42316">
        <w:t>into</w:t>
      </w:r>
      <w:proofErr w:type="spellEnd"/>
      <w:r w:rsidRPr="00D42316">
        <w:t xml:space="preserve"> silence. </w:t>
      </w:r>
      <w:proofErr w:type="spellStart"/>
      <w:r w:rsidRPr="00D42316">
        <w:t>Resonating</w:t>
      </w:r>
      <w:proofErr w:type="spellEnd"/>
      <w:r w:rsidRPr="00D42316">
        <w:t xml:space="preserve"> </w:t>
      </w:r>
      <w:proofErr w:type="spellStart"/>
      <w:r w:rsidRPr="00D42316">
        <w:t>globally</w:t>
      </w:r>
      <w:proofErr w:type="spellEnd"/>
      <w:r w:rsidRPr="00D42316">
        <w:t xml:space="preserve">, </w:t>
      </w:r>
      <w:proofErr w:type="spellStart"/>
      <w:r w:rsidRPr="00D42316">
        <w:t>the</w:t>
      </w:r>
      <w:proofErr w:type="spellEnd"/>
      <w:r w:rsidRPr="00D42316">
        <w:t xml:space="preserve"> </w:t>
      </w:r>
      <w:proofErr w:type="spellStart"/>
      <w:r w:rsidRPr="00D42316">
        <w:t>novel</w:t>
      </w:r>
      <w:proofErr w:type="spellEnd"/>
      <w:r w:rsidRPr="00D42316">
        <w:t xml:space="preserve"> has </w:t>
      </w:r>
      <w:proofErr w:type="spellStart"/>
      <w:r w:rsidRPr="00D42316">
        <w:t>been</w:t>
      </w:r>
      <w:proofErr w:type="spellEnd"/>
      <w:r w:rsidRPr="00D42316">
        <w:t xml:space="preserve"> </w:t>
      </w:r>
      <w:proofErr w:type="spellStart"/>
      <w:r w:rsidRPr="00D42316">
        <w:t>widely</w:t>
      </w:r>
      <w:proofErr w:type="spellEnd"/>
      <w:r w:rsidRPr="00D42316">
        <w:t xml:space="preserve"> </w:t>
      </w:r>
      <w:proofErr w:type="spellStart"/>
      <w:r w:rsidRPr="00D42316">
        <w:t>translated</w:t>
      </w:r>
      <w:proofErr w:type="spellEnd"/>
      <w:r w:rsidRPr="00D42316">
        <w:t xml:space="preserve">, </w:t>
      </w:r>
      <w:proofErr w:type="spellStart"/>
      <w:r w:rsidRPr="00D42316">
        <w:t>including</w:t>
      </w:r>
      <w:proofErr w:type="spellEnd"/>
      <w:r w:rsidRPr="00D42316">
        <w:t xml:space="preserve"> </w:t>
      </w:r>
      <w:proofErr w:type="spellStart"/>
      <w:r w:rsidRPr="00D42316">
        <w:t>into</w:t>
      </w:r>
      <w:proofErr w:type="spellEnd"/>
      <w:r w:rsidRPr="00D42316">
        <w:t xml:space="preserve"> </w:t>
      </w:r>
      <w:proofErr w:type="spellStart"/>
      <w:r w:rsidRPr="00D42316">
        <w:t>Turkish</w:t>
      </w:r>
      <w:proofErr w:type="spellEnd"/>
      <w:r w:rsidRPr="00D42316">
        <w:t xml:space="preserve">, </w:t>
      </w:r>
      <w:proofErr w:type="spellStart"/>
      <w:r w:rsidRPr="00D42316">
        <w:t>allowing</w:t>
      </w:r>
      <w:proofErr w:type="spellEnd"/>
      <w:r w:rsidRPr="00D42316">
        <w:t xml:space="preserve"> </w:t>
      </w:r>
      <w:proofErr w:type="spellStart"/>
      <w:r w:rsidRPr="00D42316">
        <w:t>its</w:t>
      </w:r>
      <w:proofErr w:type="spellEnd"/>
      <w:r w:rsidRPr="00D42316">
        <w:t xml:space="preserve"> </w:t>
      </w:r>
      <w:proofErr w:type="spellStart"/>
      <w:r w:rsidRPr="00D42316">
        <w:t>themes</w:t>
      </w:r>
      <w:proofErr w:type="spellEnd"/>
      <w:r w:rsidRPr="00D42316">
        <w:t xml:space="preserve"> of </w:t>
      </w:r>
      <w:proofErr w:type="spellStart"/>
      <w:r w:rsidRPr="00D42316">
        <w:t>women’s</w:t>
      </w:r>
      <w:proofErr w:type="spellEnd"/>
      <w:r w:rsidRPr="00D42316">
        <w:t xml:space="preserve"> </w:t>
      </w:r>
      <w:proofErr w:type="spellStart"/>
      <w:r w:rsidRPr="00D42316">
        <w:t>oppression</w:t>
      </w:r>
      <w:proofErr w:type="spellEnd"/>
      <w:r w:rsidRPr="00D42316">
        <w:t xml:space="preserve"> </w:t>
      </w:r>
      <w:proofErr w:type="spellStart"/>
      <w:r w:rsidRPr="00D42316">
        <w:t>and</w:t>
      </w:r>
      <w:proofErr w:type="spellEnd"/>
      <w:r w:rsidRPr="00D42316">
        <w:t xml:space="preserve"> </w:t>
      </w:r>
      <w:proofErr w:type="spellStart"/>
      <w:r w:rsidRPr="00D42316">
        <w:t>resistance</w:t>
      </w:r>
      <w:proofErr w:type="spellEnd"/>
      <w:r w:rsidRPr="00D42316">
        <w:t xml:space="preserve"> </w:t>
      </w:r>
      <w:proofErr w:type="spellStart"/>
      <w:r w:rsidRPr="00D42316">
        <w:t>to</w:t>
      </w:r>
      <w:proofErr w:type="spellEnd"/>
      <w:r w:rsidRPr="00D42316">
        <w:t xml:space="preserve"> </w:t>
      </w:r>
      <w:proofErr w:type="spellStart"/>
      <w:r w:rsidRPr="00D42316">
        <w:t>reach</w:t>
      </w:r>
      <w:proofErr w:type="spellEnd"/>
      <w:r w:rsidRPr="00D42316">
        <w:t xml:space="preserve"> </w:t>
      </w:r>
      <w:proofErr w:type="spellStart"/>
      <w:r w:rsidRPr="00D42316">
        <w:t>diverse</w:t>
      </w:r>
      <w:proofErr w:type="spellEnd"/>
      <w:r w:rsidRPr="00D42316">
        <w:t xml:space="preserve"> </w:t>
      </w:r>
      <w:proofErr w:type="spellStart"/>
      <w:r w:rsidRPr="00D42316">
        <w:t>audiences</w:t>
      </w:r>
      <w:proofErr w:type="spellEnd"/>
      <w:r w:rsidRPr="00D42316">
        <w:t xml:space="preserve"> </w:t>
      </w:r>
      <w:proofErr w:type="spellStart"/>
      <w:r w:rsidRPr="00D42316">
        <w:t>and</w:t>
      </w:r>
      <w:proofErr w:type="spellEnd"/>
      <w:r w:rsidRPr="00D42316">
        <w:t xml:space="preserve"> be </w:t>
      </w:r>
      <w:proofErr w:type="spellStart"/>
      <w:r w:rsidRPr="00D42316">
        <w:t>heard</w:t>
      </w:r>
      <w:proofErr w:type="spellEnd"/>
      <w:r w:rsidRPr="00D42316">
        <w:t xml:space="preserve"> </w:t>
      </w:r>
      <w:proofErr w:type="spellStart"/>
      <w:r w:rsidRPr="00D42316">
        <w:t>across</w:t>
      </w:r>
      <w:proofErr w:type="spellEnd"/>
      <w:r w:rsidRPr="00D42316">
        <w:t xml:space="preserve"> </w:t>
      </w:r>
      <w:proofErr w:type="spellStart"/>
      <w:r w:rsidRPr="00D42316">
        <w:t>cultural</w:t>
      </w:r>
      <w:proofErr w:type="spellEnd"/>
      <w:r w:rsidRPr="00D42316">
        <w:t xml:space="preserve"> </w:t>
      </w:r>
      <w:proofErr w:type="spellStart"/>
      <w:r w:rsidRPr="00D42316">
        <w:t>and</w:t>
      </w:r>
      <w:proofErr w:type="spellEnd"/>
      <w:r w:rsidRPr="00D42316">
        <w:t xml:space="preserve"> </w:t>
      </w:r>
      <w:proofErr w:type="spellStart"/>
      <w:r w:rsidRPr="00D42316">
        <w:t>linguistic</w:t>
      </w:r>
      <w:proofErr w:type="spellEnd"/>
      <w:r w:rsidRPr="00D42316">
        <w:t xml:space="preserve"> </w:t>
      </w:r>
      <w:proofErr w:type="spellStart"/>
      <w:r w:rsidRPr="00D42316">
        <w:t>boundaries</w:t>
      </w:r>
      <w:proofErr w:type="spellEnd"/>
      <w:r w:rsidRPr="00D42316">
        <w:t xml:space="preserve">. </w:t>
      </w:r>
      <w:proofErr w:type="spellStart"/>
      <w:r w:rsidRPr="00D42316">
        <w:t>Within</w:t>
      </w:r>
      <w:proofErr w:type="spellEnd"/>
      <w:r w:rsidRPr="00D42316">
        <w:t xml:space="preserve"> Feminist </w:t>
      </w:r>
      <w:proofErr w:type="spellStart"/>
      <w:r w:rsidRPr="00D42316">
        <w:t>Translation</w:t>
      </w:r>
      <w:proofErr w:type="spellEnd"/>
      <w:r w:rsidRPr="00D42316">
        <w:t xml:space="preserve"> </w:t>
      </w:r>
      <w:proofErr w:type="spellStart"/>
      <w:r w:rsidRPr="00D42316">
        <w:t>Studies</w:t>
      </w:r>
      <w:proofErr w:type="spellEnd"/>
      <w:r w:rsidRPr="00D42316">
        <w:t xml:space="preserve"> (FTS), </w:t>
      </w:r>
      <w:proofErr w:type="spellStart"/>
      <w:r w:rsidRPr="00D42316">
        <w:t>such</w:t>
      </w:r>
      <w:proofErr w:type="spellEnd"/>
      <w:r w:rsidRPr="00D42316">
        <w:t xml:space="preserve"> </w:t>
      </w:r>
      <w:proofErr w:type="spellStart"/>
      <w:r w:rsidRPr="00D42316">
        <w:t>translations</w:t>
      </w:r>
      <w:proofErr w:type="spellEnd"/>
      <w:r w:rsidRPr="00D42316">
        <w:t xml:space="preserve"> </w:t>
      </w:r>
      <w:proofErr w:type="spellStart"/>
      <w:r w:rsidRPr="00D42316">
        <w:t>are</w:t>
      </w:r>
      <w:proofErr w:type="spellEnd"/>
      <w:r w:rsidRPr="00D42316">
        <w:t xml:space="preserve"> </w:t>
      </w:r>
      <w:proofErr w:type="spellStart"/>
      <w:r w:rsidRPr="00D42316">
        <w:t>regarded</w:t>
      </w:r>
      <w:proofErr w:type="spellEnd"/>
      <w:r w:rsidRPr="00D42316">
        <w:t xml:space="preserve"> as feminist </w:t>
      </w:r>
      <w:proofErr w:type="spellStart"/>
      <w:r w:rsidRPr="00D42316">
        <w:t>acts</w:t>
      </w:r>
      <w:proofErr w:type="spellEnd"/>
      <w:r w:rsidRPr="00D42316">
        <w:t xml:space="preserve">, as they </w:t>
      </w:r>
      <w:proofErr w:type="spellStart"/>
      <w:r w:rsidRPr="00D42316">
        <w:t>amplify</w:t>
      </w:r>
      <w:proofErr w:type="spellEnd"/>
      <w:r w:rsidRPr="00D42316">
        <w:t xml:space="preserve"> </w:t>
      </w:r>
      <w:proofErr w:type="spellStart"/>
      <w:r w:rsidRPr="00D42316">
        <w:t>women</w:t>
      </w:r>
      <w:proofErr w:type="spellEnd"/>
      <w:r w:rsidRPr="00D42316">
        <w:t xml:space="preserve"> </w:t>
      </w:r>
      <w:proofErr w:type="spellStart"/>
      <w:r w:rsidRPr="00D42316">
        <w:t>authors</w:t>
      </w:r>
      <w:proofErr w:type="spellEnd"/>
      <w:r w:rsidRPr="00D42316">
        <w:t xml:space="preserve">’ </w:t>
      </w:r>
      <w:proofErr w:type="spellStart"/>
      <w:r w:rsidRPr="00D42316">
        <w:t>voices</w:t>
      </w:r>
      <w:proofErr w:type="spellEnd"/>
      <w:r w:rsidRPr="00D42316">
        <w:t xml:space="preserve"> </w:t>
      </w:r>
      <w:proofErr w:type="spellStart"/>
      <w:r w:rsidRPr="00D42316">
        <w:t>and</w:t>
      </w:r>
      <w:proofErr w:type="spellEnd"/>
      <w:r w:rsidRPr="00D42316">
        <w:t xml:space="preserve"> </w:t>
      </w:r>
      <w:proofErr w:type="spellStart"/>
      <w:r w:rsidRPr="00D42316">
        <w:t>help</w:t>
      </w:r>
      <w:proofErr w:type="spellEnd"/>
      <w:r w:rsidRPr="00D42316">
        <w:t xml:space="preserve"> break </w:t>
      </w:r>
      <w:proofErr w:type="spellStart"/>
      <w:r w:rsidRPr="00D42316">
        <w:t>their</w:t>
      </w:r>
      <w:proofErr w:type="spellEnd"/>
      <w:r w:rsidRPr="00D42316">
        <w:t xml:space="preserve"> </w:t>
      </w:r>
      <w:proofErr w:type="spellStart"/>
      <w:r w:rsidRPr="00D42316">
        <w:t>imposed</w:t>
      </w:r>
      <w:proofErr w:type="spellEnd"/>
      <w:r w:rsidRPr="00D42316">
        <w:t xml:space="preserve"> silence. </w:t>
      </w:r>
      <w:proofErr w:type="spellStart"/>
      <w:r w:rsidRPr="00D42316">
        <w:t>Furthermore</w:t>
      </w:r>
      <w:proofErr w:type="spellEnd"/>
      <w:r w:rsidRPr="00D42316">
        <w:t xml:space="preserve">, FTS </w:t>
      </w:r>
      <w:proofErr w:type="spellStart"/>
      <w:r w:rsidRPr="00D42316">
        <w:t>highlights</w:t>
      </w:r>
      <w:proofErr w:type="spellEnd"/>
      <w:r w:rsidRPr="00D42316">
        <w:t xml:space="preserve"> </w:t>
      </w:r>
      <w:proofErr w:type="spellStart"/>
      <w:r w:rsidRPr="00D42316">
        <w:t>the</w:t>
      </w:r>
      <w:proofErr w:type="spellEnd"/>
      <w:r w:rsidRPr="00D42316">
        <w:t xml:space="preserve"> </w:t>
      </w:r>
      <w:proofErr w:type="spellStart"/>
      <w:r w:rsidRPr="00D42316">
        <w:t>twofold</w:t>
      </w:r>
      <w:proofErr w:type="spellEnd"/>
      <w:r w:rsidRPr="00D42316">
        <w:t xml:space="preserve"> </w:t>
      </w:r>
      <w:proofErr w:type="spellStart"/>
      <w:r w:rsidRPr="00D42316">
        <w:t>inferiority</w:t>
      </w:r>
      <w:proofErr w:type="spellEnd"/>
      <w:r w:rsidRPr="00D42316">
        <w:t xml:space="preserve"> of </w:t>
      </w:r>
      <w:proofErr w:type="spellStart"/>
      <w:r w:rsidRPr="00D42316">
        <w:t>both</w:t>
      </w:r>
      <w:proofErr w:type="spellEnd"/>
      <w:r w:rsidRPr="00D42316">
        <w:t xml:space="preserve"> </w:t>
      </w:r>
      <w:proofErr w:type="spellStart"/>
      <w:r w:rsidRPr="00D42316">
        <w:t>women</w:t>
      </w:r>
      <w:proofErr w:type="spellEnd"/>
      <w:r w:rsidRPr="00D42316">
        <w:t xml:space="preserve"> </w:t>
      </w:r>
      <w:proofErr w:type="spellStart"/>
      <w:r w:rsidRPr="00D42316">
        <w:t>and</w:t>
      </w:r>
      <w:proofErr w:type="spellEnd"/>
      <w:r w:rsidRPr="00D42316">
        <w:t xml:space="preserve"> </w:t>
      </w:r>
      <w:proofErr w:type="spellStart"/>
      <w:r w:rsidRPr="00D42316">
        <w:t>translators</w:t>
      </w:r>
      <w:proofErr w:type="spellEnd"/>
      <w:r w:rsidRPr="00D42316">
        <w:t xml:space="preserve"> </w:t>
      </w:r>
      <w:proofErr w:type="spellStart"/>
      <w:r w:rsidRPr="00D42316">
        <w:t>within</w:t>
      </w:r>
      <w:proofErr w:type="spellEnd"/>
      <w:r w:rsidRPr="00D42316">
        <w:t xml:space="preserve"> </w:t>
      </w:r>
      <w:proofErr w:type="spellStart"/>
      <w:r w:rsidRPr="00D42316">
        <w:t>society</w:t>
      </w:r>
      <w:proofErr w:type="spellEnd"/>
      <w:r w:rsidRPr="00D42316">
        <w:t xml:space="preserve">, </w:t>
      </w:r>
      <w:proofErr w:type="spellStart"/>
      <w:r w:rsidRPr="00D42316">
        <w:t>seeking</w:t>
      </w:r>
      <w:proofErr w:type="spellEnd"/>
      <w:r w:rsidRPr="00D42316">
        <w:t xml:space="preserve"> </w:t>
      </w:r>
      <w:proofErr w:type="spellStart"/>
      <w:r w:rsidRPr="00D42316">
        <w:t>to</w:t>
      </w:r>
      <w:proofErr w:type="spellEnd"/>
      <w:r w:rsidRPr="00D42316">
        <w:t xml:space="preserve"> </w:t>
      </w:r>
      <w:proofErr w:type="spellStart"/>
      <w:r w:rsidRPr="00D42316">
        <w:t>dismantle</w:t>
      </w:r>
      <w:proofErr w:type="spellEnd"/>
      <w:r w:rsidRPr="00D42316">
        <w:t xml:space="preserve"> </w:t>
      </w:r>
      <w:proofErr w:type="spellStart"/>
      <w:r w:rsidRPr="00D42316">
        <w:t>the</w:t>
      </w:r>
      <w:proofErr w:type="spellEnd"/>
      <w:r w:rsidRPr="00D42316">
        <w:t xml:space="preserve"> </w:t>
      </w:r>
      <w:proofErr w:type="spellStart"/>
      <w:r w:rsidRPr="00D42316">
        <w:t>structures</w:t>
      </w:r>
      <w:proofErr w:type="spellEnd"/>
      <w:r w:rsidRPr="00D42316">
        <w:t xml:space="preserve"> </w:t>
      </w:r>
      <w:proofErr w:type="spellStart"/>
      <w:r w:rsidRPr="00D42316">
        <w:t>that</w:t>
      </w:r>
      <w:proofErr w:type="spellEnd"/>
      <w:r w:rsidRPr="00D42316">
        <w:t xml:space="preserve"> </w:t>
      </w:r>
      <w:proofErr w:type="spellStart"/>
      <w:r w:rsidRPr="00D42316">
        <w:t>relegate</w:t>
      </w:r>
      <w:proofErr w:type="spellEnd"/>
      <w:r w:rsidRPr="00D42316">
        <w:t xml:space="preserve"> </w:t>
      </w:r>
      <w:proofErr w:type="spellStart"/>
      <w:r w:rsidRPr="00D42316">
        <w:t>them</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bottom</w:t>
      </w:r>
      <w:proofErr w:type="spellEnd"/>
      <w:r w:rsidRPr="00D42316">
        <w:t xml:space="preserve"> of </w:t>
      </w:r>
      <w:proofErr w:type="spellStart"/>
      <w:r w:rsidRPr="00D42316">
        <w:t>the</w:t>
      </w:r>
      <w:proofErr w:type="spellEnd"/>
      <w:r w:rsidRPr="00D42316">
        <w:t xml:space="preserve"> </w:t>
      </w:r>
      <w:proofErr w:type="spellStart"/>
      <w:r w:rsidRPr="00D42316">
        <w:t>social</w:t>
      </w:r>
      <w:proofErr w:type="spellEnd"/>
      <w:r w:rsidRPr="00D42316">
        <w:t xml:space="preserve"> </w:t>
      </w:r>
      <w:proofErr w:type="spellStart"/>
      <w:r w:rsidRPr="00D42316">
        <w:t>and</w:t>
      </w:r>
      <w:proofErr w:type="spellEnd"/>
      <w:r w:rsidRPr="00D42316">
        <w:t xml:space="preserve"> </w:t>
      </w:r>
      <w:proofErr w:type="spellStart"/>
      <w:r w:rsidRPr="00D42316">
        <w:t>literary</w:t>
      </w:r>
      <w:proofErr w:type="spellEnd"/>
      <w:r w:rsidRPr="00D42316">
        <w:t xml:space="preserve"> </w:t>
      </w:r>
      <w:proofErr w:type="spellStart"/>
      <w:r w:rsidRPr="00D42316">
        <w:t>hierarchy</w:t>
      </w:r>
      <w:proofErr w:type="spellEnd"/>
      <w:r w:rsidRPr="00D42316">
        <w:t xml:space="preserve">. </w:t>
      </w:r>
      <w:proofErr w:type="spellStart"/>
      <w:r w:rsidRPr="00D42316">
        <w:t>Therefore</w:t>
      </w:r>
      <w:proofErr w:type="spellEnd"/>
      <w:r w:rsidRPr="00D42316">
        <w:t xml:space="preserve">, FTS </w:t>
      </w:r>
      <w:proofErr w:type="spellStart"/>
      <w:r w:rsidRPr="00D42316">
        <w:t>advocates</w:t>
      </w:r>
      <w:proofErr w:type="spellEnd"/>
      <w:r w:rsidRPr="00D42316">
        <w:t xml:space="preserve"> not </w:t>
      </w:r>
      <w:proofErr w:type="spellStart"/>
      <w:r w:rsidRPr="00D42316">
        <w:t>only</w:t>
      </w:r>
      <w:proofErr w:type="spellEnd"/>
      <w:r w:rsidRPr="00D42316">
        <w:t xml:space="preserve"> </w:t>
      </w:r>
      <w:proofErr w:type="spellStart"/>
      <w:r w:rsidRPr="00D42316">
        <w:t>for</w:t>
      </w:r>
      <w:proofErr w:type="spellEnd"/>
      <w:r w:rsidRPr="00D42316">
        <w:t xml:space="preserve"> </w:t>
      </w:r>
      <w:proofErr w:type="spellStart"/>
      <w:r w:rsidRPr="00D42316">
        <w:t>amplifying</w:t>
      </w:r>
      <w:proofErr w:type="spellEnd"/>
      <w:r w:rsidRPr="00D42316">
        <w:t xml:space="preserve"> </w:t>
      </w:r>
      <w:proofErr w:type="spellStart"/>
      <w:r w:rsidRPr="00D42316">
        <w:t>women</w:t>
      </w:r>
      <w:proofErr w:type="spellEnd"/>
      <w:r w:rsidRPr="00D42316">
        <w:t xml:space="preserve"> </w:t>
      </w:r>
      <w:proofErr w:type="spellStart"/>
      <w:r w:rsidRPr="00D42316">
        <w:t>authors</w:t>
      </w:r>
      <w:proofErr w:type="spellEnd"/>
      <w:r w:rsidRPr="00D42316">
        <w:t xml:space="preserve">’ </w:t>
      </w:r>
      <w:proofErr w:type="spellStart"/>
      <w:r w:rsidRPr="00D42316">
        <w:t>voices</w:t>
      </w:r>
      <w:proofErr w:type="spellEnd"/>
      <w:r w:rsidRPr="00D42316">
        <w:t xml:space="preserve"> but </w:t>
      </w:r>
      <w:proofErr w:type="spellStart"/>
      <w:r w:rsidRPr="00D42316">
        <w:t>also</w:t>
      </w:r>
      <w:proofErr w:type="spellEnd"/>
      <w:r w:rsidRPr="00D42316">
        <w:t xml:space="preserve"> </w:t>
      </w:r>
      <w:proofErr w:type="spellStart"/>
      <w:r w:rsidRPr="00D42316">
        <w:t>for</w:t>
      </w:r>
      <w:proofErr w:type="spellEnd"/>
      <w:r w:rsidRPr="00D42316">
        <w:t xml:space="preserve"> </w:t>
      </w:r>
      <w:proofErr w:type="spellStart"/>
      <w:r w:rsidRPr="00D42316">
        <w:t>recognizing</w:t>
      </w:r>
      <w:proofErr w:type="spellEnd"/>
      <w:r w:rsidRPr="00D42316">
        <w:t xml:space="preserve"> </w:t>
      </w:r>
      <w:proofErr w:type="spellStart"/>
      <w:r w:rsidRPr="00D42316">
        <w:t>translators</w:t>
      </w:r>
      <w:proofErr w:type="spellEnd"/>
      <w:r w:rsidRPr="00D42316">
        <w:t xml:space="preserve"> as </w:t>
      </w:r>
      <w:proofErr w:type="spellStart"/>
      <w:r w:rsidRPr="00D42316">
        <w:t>visible</w:t>
      </w:r>
      <w:proofErr w:type="spellEnd"/>
      <w:r w:rsidRPr="00D42316">
        <w:t xml:space="preserve"> </w:t>
      </w:r>
      <w:proofErr w:type="spellStart"/>
      <w:r w:rsidRPr="00D42316">
        <w:t>agents</w:t>
      </w:r>
      <w:proofErr w:type="spellEnd"/>
      <w:r w:rsidRPr="00D42316">
        <w:t xml:space="preserve"> in </w:t>
      </w:r>
      <w:proofErr w:type="spellStart"/>
      <w:r w:rsidRPr="00D42316">
        <w:t>literary</w:t>
      </w:r>
      <w:proofErr w:type="spellEnd"/>
      <w:r w:rsidRPr="00D42316">
        <w:t xml:space="preserve"> </w:t>
      </w:r>
      <w:proofErr w:type="spellStart"/>
      <w:r w:rsidRPr="00D42316">
        <w:t>production</w:t>
      </w:r>
      <w:proofErr w:type="spellEnd"/>
      <w:r w:rsidRPr="00D42316">
        <w:t xml:space="preserve">, </w:t>
      </w:r>
      <w:proofErr w:type="spellStart"/>
      <w:r w:rsidRPr="00D42316">
        <w:t>challenging</w:t>
      </w:r>
      <w:proofErr w:type="spellEnd"/>
      <w:r w:rsidRPr="00D42316">
        <w:t xml:space="preserve"> </w:t>
      </w:r>
      <w:proofErr w:type="spellStart"/>
      <w:r w:rsidRPr="00D42316">
        <w:t>their</w:t>
      </w:r>
      <w:proofErr w:type="spellEnd"/>
      <w:r w:rsidRPr="00D42316">
        <w:t xml:space="preserve"> </w:t>
      </w:r>
      <w:proofErr w:type="spellStart"/>
      <w:r w:rsidRPr="00D42316">
        <w:t>historical</w:t>
      </w:r>
      <w:proofErr w:type="spellEnd"/>
      <w:r w:rsidRPr="00D42316">
        <w:t xml:space="preserve"> </w:t>
      </w:r>
      <w:proofErr w:type="spellStart"/>
      <w:r w:rsidRPr="00D42316">
        <w:t>and</w:t>
      </w:r>
      <w:proofErr w:type="spellEnd"/>
      <w:r w:rsidRPr="00D42316">
        <w:t xml:space="preserve"> </w:t>
      </w:r>
      <w:proofErr w:type="spellStart"/>
      <w:r w:rsidRPr="00D42316">
        <w:t>systemic</w:t>
      </w:r>
      <w:proofErr w:type="spellEnd"/>
      <w:r w:rsidRPr="00D42316">
        <w:t xml:space="preserve"> </w:t>
      </w:r>
      <w:proofErr w:type="spellStart"/>
      <w:r w:rsidRPr="00D42316">
        <w:t>marginalization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aims</w:t>
      </w:r>
      <w:proofErr w:type="spellEnd"/>
      <w:r w:rsidRPr="00D42316">
        <w:t xml:space="preserve"> </w:t>
      </w:r>
      <w:proofErr w:type="spellStart"/>
      <w:r w:rsidRPr="00D42316">
        <w:t>to</w:t>
      </w:r>
      <w:proofErr w:type="spellEnd"/>
      <w:r w:rsidRPr="00D42316">
        <w:t xml:space="preserve"> </w:t>
      </w:r>
      <w:proofErr w:type="spellStart"/>
      <w:r w:rsidRPr="00D42316">
        <w:t>examine</w:t>
      </w:r>
      <w:proofErr w:type="spellEnd"/>
      <w:r w:rsidRPr="00D42316">
        <w:t xml:space="preserve"> how Arzu </w:t>
      </w:r>
      <w:proofErr w:type="spellStart"/>
      <w:r w:rsidRPr="00D42316">
        <w:t>Altınanıt</w:t>
      </w:r>
      <w:proofErr w:type="spellEnd"/>
      <w:r w:rsidRPr="00D42316">
        <w:t xml:space="preserve">,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translator</w:t>
      </w:r>
      <w:proofErr w:type="spellEnd"/>
      <w:r w:rsidRPr="00D42316">
        <w:t xml:space="preserve"> of </w:t>
      </w:r>
      <w:r w:rsidRPr="00D42316">
        <w:rPr>
          <w:i/>
        </w:rPr>
        <w:t xml:space="preserve">A </w:t>
      </w:r>
      <w:proofErr w:type="spellStart"/>
      <w:r w:rsidRPr="00D42316">
        <w:rPr>
          <w:i/>
        </w:rPr>
        <w:t>Woman</w:t>
      </w:r>
      <w:proofErr w:type="spellEnd"/>
      <w:r w:rsidRPr="00D42316">
        <w:rPr>
          <w:i/>
        </w:rPr>
        <w:t xml:space="preserve"> is No Man</w:t>
      </w:r>
      <w:r w:rsidRPr="00D42316">
        <w:t xml:space="preserve">, </w:t>
      </w:r>
      <w:proofErr w:type="spellStart"/>
      <w:r w:rsidRPr="00D42316">
        <w:t>engages</w:t>
      </w:r>
      <w:proofErr w:type="spellEnd"/>
      <w:r w:rsidRPr="00D42316">
        <w:t xml:space="preserve"> in feminist </w:t>
      </w:r>
      <w:proofErr w:type="spellStart"/>
      <w:r w:rsidRPr="00D42316">
        <w:t>translation</w:t>
      </w:r>
      <w:proofErr w:type="spellEnd"/>
      <w:r w:rsidRPr="00D42316">
        <w:t xml:space="preserve"> </w:t>
      </w:r>
      <w:proofErr w:type="spellStart"/>
      <w:r w:rsidRPr="00D42316">
        <w:t>both</w:t>
      </w:r>
      <w:proofErr w:type="spellEnd"/>
      <w:r w:rsidRPr="00D42316">
        <w:t xml:space="preserve"> </w:t>
      </w:r>
      <w:proofErr w:type="spellStart"/>
      <w:r w:rsidRPr="00D42316">
        <w:t>by</w:t>
      </w:r>
      <w:proofErr w:type="spellEnd"/>
      <w:r w:rsidRPr="00D42316">
        <w:t xml:space="preserve"> </w:t>
      </w:r>
      <w:proofErr w:type="spellStart"/>
      <w:r w:rsidRPr="00D42316">
        <w:t>introducing</w:t>
      </w:r>
      <w:proofErr w:type="spellEnd"/>
      <w:r w:rsidRPr="00D42316">
        <w:t xml:space="preserve"> </w:t>
      </w:r>
      <w:proofErr w:type="spellStart"/>
      <w:r w:rsidRPr="00D42316">
        <w:t>Etaf</w:t>
      </w:r>
      <w:proofErr w:type="spellEnd"/>
      <w:r w:rsidRPr="00D42316">
        <w:t xml:space="preserve"> </w:t>
      </w:r>
      <w:proofErr w:type="spellStart"/>
      <w:r w:rsidRPr="00D42316">
        <w:t>Rum’s</w:t>
      </w:r>
      <w:proofErr w:type="spellEnd"/>
      <w:r w:rsidRPr="00D42316">
        <w:t xml:space="preserve"> </w:t>
      </w:r>
      <w:proofErr w:type="spellStart"/>
      <w:r w:rsidRPr="00D42316">
        <w:t>voice</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literary</w:t>
      </w:r>
      <w:proofErr w:type="spellEnd"/>
      <w:r w:rsidRPr="00D42316">
        <w:t xml:space="preserve"> </w:t>
      </w:r>
      <w:proofErr w:type="spellStart"/>
      <w:r w:rsidRPr="00D42316">
        <w:t>system</w:t>
      </w:r>
      <w:proofErr w:type="spellEnd"/>
      <w:r w:rsidRPr="00D42316">
        <w:t>—</w:t>
      </w:r>
      <w:proofErr w:type="spellStart"/>
      <w:r w:rsidRPr="00D42316">
        <w:t>making</w:t>
      </w:r>
      <w:proofErr w:type="spellEnd"/>
      <w:r w:rsidRPr="00D42316">
        <w:t xml:space="preserve"> </w:t>
      </w:r>
      <w:proofErr w:type="spellStart"/>
      <w:r w:rsidRPr="00D42316">
        <w:t>the</w:t>
      </w:r>
      <w:proofErr w:type="spellEnd"/>
      <w:r w:rsidRPr="00D42316">
        <w:t xml:space="preserve"> </w:t>
      </w:r>
      <w:proofErr w:type="spellStart"/>
      <w:r w:rsidRPr="00D42316">
        <w:t>oppressed</w:t>
      </w:r>
      <w:proofErr w:type="spellEnd"/>
      <w:r w:rsidRPr="00D42316">
        <w:t xml:space="preserve"> </w:t>
      </w:r>
      <w:proofErr w:type="spellStart"/>
      <w:r w:rsidRPr="00D42316">
        <w:t>Palestinian</w:t>
      </w:r>
      <w:proofErr w:type="spellEnd"/>
      <w:r w:rsidRPr="00D42316">
        <w:t xml:space="preserve"> </w:t>
      </w:r>
      <w:proofErr w:type="spellStart"/>
      <w:r w:rsidRPr="00D42316">
        <w:t>American</w:t>
      </w:r>
      <w:proofErr w:type="spellEnd"/>
      <w:r w:rsidRPr="00D42316">
        <w:t xml:space="preserve"> </w:t>
      </w:r>
      <w:proofErr w:type="spellStart"/>
      <w:r w:rsidRPr="00D42316">
        <w:t>women</w:t>
      </w:r>
      <w:proofErr w:type="spellEnd"/>
      <w:r w:rsidRPr="00D42316">
        <w:t xml:space="preserve"> </w:t>
      </w:r>
      <w:proofErr w:type="spellStart"/>
      <w:r w:rsidRPr="00D42316">
        <w:t>visible</w:t>
      </w:r>
      <w:proofErr w:type="spellEnd"/>
      <w:r w:rsidRPr="00D42316">
        <w:t xml:space="preserve"> </w:t>
      </w:r>
      <w:proofErr w:type="spellStart"/>
      <w:r w:rsidRPr="00D42316">
        <w:t>to</w:t>
      </w:r>
      <w:proofErr w:type="spellEnd"/>
      <w:r w:rsidRPr="00D42316">
        <w:t xml:space="preserve"> </w:t>
      </w:r>
      <w:proofErr w:type="spellStart"/>
      <w:r w:rsidRPr="00D42316">
        <w:t>Turkish</w:t>
      </w:r>
      <w:proofErr w:type="spellEnd"/>
      <w:r w:rsidRPr="00D42316">
        <w:t xml:space="preserve"> </w:t>
      </w:r>
      <w:proofErr w:type="spellStart"/>
      <w:r w:rsidRPr="00D42316">
        <w:t>readers</w:t>
      </w:r>
      <w:proofErr w:type="spellEnd"/>
      <w:r w:rsidRPr="00D42316">
        <w:t>—</w:t>
      </w:r>
      <w:proofErr w:type="spellStart"/>
      <w:r w:rsidRPr="00D42316">
        <w:t>and</w:t>
      </w:r>
      <w:proofErr w:type="spellEnd"/>
      <w:r w:rsidRPr="00D42316">
        <w:t xml:space="preserve"> </w:t>
      </w:r>
      <w:proofErr w:type="spellStart"/>
      <w:r w:rsidRPr="00D42316">
        <w:t>by</w:t>
      </w:r>
      <w:proofErr w:type="spellEnd"/>
      <w:r w:rsidRPr="00D42316">
        <w:t xml:space="preserve"> </w:t>
      </w:r>
      <w:proofErr w:type="spellStart"/>
      <w:r w:rsidRPr="00D42316">
        <w:t>resisting</w:t>
      </w:r>
      <w:proofErr w:type="spellEnd"/>
      <w:r w:rsidRPr="00D42316">
        <w:t xml:space="preserve"> her </w:t>
      </w:r>
      <w:proofErr w:type="spellStart"/>
      <w:r w:rsidRPr="00D42316">
        <w:t>own</w:t>
      </w:r>
      <w:proofErr w:type="spellEnd"/>
      <w:r w:rsidRPr="00D42316">
        <w:t xml:space="preserve"> </w:t>
      </w:r>
      <w:proofErr w:type="spellStart"/>
      <w:r w:rsidRPr="00D42316">
        <w:t>invisibility</w:t>
      </w:r>
      <w:proofErr w:type="spellEnd"/>
      <w:r w:rsidRPr="00D42316">
        <w:t xml:space="preserve"> as a </w:t>
      </w:r>
      <w:proofErr w:type="spellStart"/>
      <w:r w:rsidRPr="00D42316">
        <w:t>translator</w:t>
      </w:r>
      <w:proofErr w:type="spellEnd"/>
      <w:r w:rsidRPr="00D42316">
        <w:t xml:space="preserve"> in </w:t>
      </w:r>
      <w:proofErr w:type="spellStart"/>
      <w:r w:rsidRPr="00D42316">
        <w:t>Turkish</w:t>
      </w:r>
      <w:proofErr w:type="spellEnd"/>
      <w:r w:rsidRPr="00D42316">
        <w:t xml:space="preserve"> </w:t>
      </w:r>
      <w:proofErr w:type="spellStart"/>
      <w:r w:rsidRPr="00D42316">
        <w:t>digital</w:t>
      </w:r>
      <w:proofErr w:type="spellEnd"/>
      <w:r w:rsidRPr="00D42316">
        <w:t xml:space="preserve"> </w:t>
      </w:r>
      <w:proofErr w:type="spellStart"/>
      <w:r w:rsidRPr="00D42316">
        <w:t>book-selling</w:t>
      </w:r>
      <w:proofErr w:type="spellEnd"/>
      <w:r w:rsidRPr="00D42316">
        <w:t xml:space="preserve"> </w:t>
      </w:r>
      <w:proofErr w:type="spellStart"/>
      <w:r w:rsidRPr="00D42316">
        <w:t>platforms</w:t>
      </w:r>
      <w:proofErr w:type="spellEnd"/>
      <w:r w:rsidRPr="00D42316">
        <w:t xml:space="preserve">. Through an </w:t>
      </w:r>
      <w:proofErr w:type="spellStart"/>
      <w:r w:rsidRPr="00D42316">
        <w:t>epitextual</w:t>
      </w:r>
      <w:proofErr w:type="spellEnd"/>
      <w:r w:rsidRPr="00D42316">
        <w:t xml:space="preserve"> </w:t>
      </w:r>
      <w:proofErr w:type="spellStart"/>
      <w:r w:rsidRPr="00D42316">
        <w:t>analysis</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reveals</w:t>
      </w:r>
      <w:proofErr w:type="spellEnd"/>
      <w:r w:rsidRPr="00D42316">
        <w:t xml:space="preserve"> </w:t>
      </w:r>
      <w:proofErr w:type="spellStart"/>
      <w:r w:rsidRPr="00D42316">
        <w:t>that</w:t>
      </w:r>
      <w:proofErr w:type="spellEnd"/>
      <w:r w:rsidRPr="00D42316">
        <w:t xml:space="preserve"> </w:t>
      </w:r>
      <w:proofErr w:type="spellStart"/>
      <w:r w:rsidRPr="00D42316">
        <w:t>Altınanıt</w:t>
      </w:r>
      <w:proofErr w:type="spellEnd"/>
      <w:r w:rsidRPr="00D42316">
        <w:t xml:space="preserve">, </w:t>
      </w:r>
      <w:proofErr w:type="spellStart"/>
      <w:r w:rsidRPr="00D42316">
        <w:t>with</w:t>
      </w:r>
      <w:proofErr w:type="spellEnd"/>
      <w:r w:rsidRPr="00D42316">
        <w:t xml:space="preserve"> her </w:t>
      </w:r>
      <w:proofErr w:type="spellStart"/>
      <w:r w:rsidRPr="00D42316">
        <w:t>translation</w:t>
      </w:r>
      <w:proofErr w:type="spellEnd"/>
      <w:r w:rsidRPr="00D42316">
        <w:t xml:space="preserve"> </w:t>
      </w:r>
      <w:proofErr w:type="spellStart"/>
      <w:r w:rsidRPr="00D42316">
        <w:t>titled</w:t>
      </w:r>
      <w:proofErr w:type="spellEnd"/>
      <w:r w:rsidRPr="00D42316">
        <w:t xml:space="preserve"> </w:t>
      </w:r>
      <w:r w:rsidRPr="00D42316">
        <w:rPr>
          <w:i/>
        </w:rPr>
        <w:t>Kadının Sesi Yok</w:t>
      </w:r>
      <w:r w:rsidRPr="00D42316">
        <w:t xml:space="preserve">, not </w:t>
      </w:r>
      <w:proofErr w:type="spellStart"/>
      <w:r w:rsidRPr="00D42316">
        <w:t>only</w:t>
      </w:r>
      <w:proofErr w:type="spellEnd"/>
      <w:r w:rsidRPr="00D42316">
        <w:t xml:space="preserve"> </w:t>
      </w:r>
      <w:proofErr w:type="spellStart"/>
      <w:r w:rsidRPr="00D42316">
        <w:t>becomes</w:t>
      </w:r>
      <w:proofErr w:type="spellEnd"/>
      <w:r w:rsidRPr="00D42316">
        <w:t xml:space="preserve">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voice</w:t>
      </w:r>
      <w:proofErr w:type="spellEnd"/>
      <w:r w:rsidRPr="00D42316">
        <w:t xml:space="preserve"> of Rum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silenced</w:t>
      </w:r>
      <w:proofErr w:type="spellEnd"/>
      <w:r w:rsidRPr="00D42316">
        <w:t xml:space="preserve"> </w:t>
      </w:r>
      <w:proofErr w:type="spellStart"/>
      <w:r w:rsidRPr="00D42316">
        <w:t>women</w:t>
      </w:r>
      <w:proofErr w:type="spellEnd"/>
      <w:r w:rsidRPr="00D42316">
        <w:t xml:space="preserve"> in </w:t>
      </w:r>
      <w:proofErr w:type="spellStart"/>
      <w:r w:rsidRPr="00D42316">
        <w:t>the</w:t>
      </w:r>
      <w:proofErr w:type="spellEnd"/>
      <w:r w:rsidRPr="00D42316">
        <w:t xml:space="preserve"> </w:t>
      </w:r>
      <w:proofErr w:type="spellStart"/>
      <w:r w:rsidRPr="00D42316">
        <w:t>novel</w:t>
      </w:r>
      <w:proofErr w:type="spellEnd"/>
      <w:r w:rsidRPr="00D42316">
        <w:t xml:space="preserve"> but </w:t>
      </w:r>
      <w:proofErr w:type="spellStart"/>
      <w:r w:rsidRPr="00D42316">
        <w:t>also</w:t>
      </w:r>
      <w:proofErr w:type="spellEnd"/>
      <w:r w:rsidRPr="00D42316">
        <w:t xml:space="preserve"> </w:t>
      </w:r>
      <w:proofErr w:type="spellStart"/>
      <w:r w:rsidRPr="00D42316">
        <w:t>advocates</w:t>
      </w:r>
      <w:proofErr w:type="spellEnd"/>
      <w:r w:rsidRPr="00D42316">
        <w:t xml:space="preserve"> </w:t>
      </w:r>
      <w:proofErr w:type="spellStart"/>
      <w:r w:rsidRPr="00D42316">
        <w:t>for</w:t>
      </w:r>
      <w:proofErr w:type="spellEnd"/>
      <w:r w:rsidRPr="00D42316">
        <w:t xml:space="preserve"> her </w:t>
      </w:r>
      <w:proofErr w:type="spellStart"/>
      <w:r w:rsidRPr="00D42316">
        <w:t>own</w:t>
      </w:r>
      <w:proofErr w:type="spellEnd"/>
      <w:r w:rsidRPr="00D42316">
        <w:t xml:space="preserve"> </w:t>
      </w:r>
      <w:proofErr w:type="spellStart"/>
      <w:r w:rsidRPr="00D42316">
        <w:t>visibility</w:t>
      </w:r>
      <w:proofErr w:type="spellEnd"/>
      <w:r w:rsidRPr="00D42316">
        <w:t xml:space="preserve"> as a </w:t>
      </w:r>
      <w:proofErr w:type="spellStart"/>
      <w:r w:rsidRPr="00D42316">
        <w:t>translator</w:t>
      </w:r>
      <w:proofErr w:type="spellEnd"/>
      <w:r w:rsidRPr="00D42316">
        <w:t xml:space="preserve">, </w:t>
      </w:r>
      <w:proofErr w:type="spellStart"/>
      <w:r w:rsidRPr="00D42316">
        <w:t>challenging</w:t>
      </w:r>
      <w:proofErr w:type="spellEnd"/>
      <w:r w:rsidRPr="00D42316">
        <w:t xml:space="preserve"> </w:t>
      </w:r>
      <w:proofErr w:type="spellStart"/>
      <w:r w:rsidRPr="00D42316">
        <w:t>the</w:t>
      </w:r>
      <w:proofErr w:type="spellEnd"/>
      <w:r w:rsidRPr="00D42316">
        <w:t xml:space="preserve"> </w:t>
      </w:r>
      <w:proofErr w:type="spellStart"/>
      <w:r w:rsidRPr="00D42316">
        <w:t>twofold</w:t>
      </w:r>
      <w:proofErr w:type="spellEnd"/>
      <w:r w:rsidRPr="00D42316">
        <w:t xml:space="preserve"> </w:t>
      </w:r>
      <w:proofErr w:type="spellStart"/>
      <w:r w:rsidRPr="00D42316">
        <w:t>subordination</w:t>
      </w:r>
      <w:proofErr w:type="spellEnd"/>
      <w:r w:rsidRPr="00D42316">
        <w:t xml:space="preserve"> of </w:t>
      </w:r>
      <w:proofErr w:type="spellStart"/>
      <w:r w:rsidRPr="00D42316">
        <w:t>women</w:t>
      </w:r>
      <w:proofErr w:type="spellEnd"/>
      <w:r w:rsidRPr="00D42316">
        <w:t xml:space="preserve"> </w:t>
      </w:r>
      <w:proofErr w:type="spellStart"/>
      <w:r w:rsidRPr="00D42316">
        <w:t>and</w:t>
      </w:r>
      <w:proofErr w:type="spellEnd"/>
      <w:r w:rsidRPr="00D42316">
        <w:t xml:space="preserve"> </w:t>
      </w:r>
      <w:proofErr w:type="spellStart"/>
      <w:r w:rsidRPr="00D42316">
        <w:t>translators</w:t>
      </w:r>
      <w:proofErr w:type="spellEnd"/>
      <w:r w:rsidRPr="00D42316">
        <w:t>.</w:t>
      </w:r>
    </w:p>
    <w:p w14:paraId="277C03C6" w14:textId="77777777" w:rsidR="00F84AD5" w:rsidRPr="00D42316" w:rsidRDefault="00F84AD5" w:rsidP="009C2F96">
      <w:pPr>
        <w:jc w:val="both"/>
      </w:pPr>
    </w:p>
    <w:p w14:paraId="73A5FC04" w14:textId="09EFBD0C" w:rsidR="00FC4D53" w:rsidRDefault="00AC051C" w:rsidP="009C2F96">
      <w:pPr>
        <w:jc w:val="both"/>
      </w:pPr>
      <w:proofErr w:type="spellStart"/>
      <w:r w:rsidRPr="00D42316">
        <w:rPr>
          <w:b/>
        </w:rPr>
        <w:t>Keywords</w:t>
      </w:r>
      <w:proofErr w:type="spellEnd"/>
      <w:r w:rsidRPr="00D42316">
        <w:rPr>
          <w:b/>
        </w:rPr>
        <w:t xml:space="preserve">: </w:t>
      </w:r>
      <w:proofErr w:type="spellStart"/>
      <w:r w:rsidRPr="00D42316">
        <w:t>Woman</w:t>
      </w:r>
      <w:proofErr w:type="spellEnd"/>
      <w:r w:rsidRPr="00D42316">
        <w:t xml:space="preserve"> </w:t>
      </w:r>
      <w:proofErr w:type="spellStart"/>
      <w:r w:rsidRPr="00D42316">
        <w:t>and</w:t>
      </w:r>
      <w:proofErr w:type="spellEnd"/>
      <w:r w:rsidRPr="00D42316">
        <w:t xml:space="preserve"> </w:t>
      </w:r>
      <w:proofErr w:type="spellStart"/>
      <w:r w:rsidRPr="00D42316">
        <w:t>Translator</w:t>
      </w:r>
      <w:proofErr w:type="spellEnd"/>
      <w:r w:rsidRPr="00D42316">
        <w:rPr>
          <w:b/>
        </w:rPr>
        <w:t xml:space="preserve">, </w:t>
      </w:r>
      <w:proofErr w:type="spellStart"/>
      <w:r w:rsidRPr="00D42316">
        <w:t>Translator’s</w:t>
      </w:r>
      <w:proofErr w:type="spellEnd"/>
      <w:r w:rsidRPr="00D42316">
        <w:t xml:space="preserve"> </w:t>
      </w:r>
      <w:proofErr w:type="spellStart"/>
      <w:r w:rsidRPr="00D42316">
        <w:t>invisibility</w:t>
      </w:r>
      <w:proofErr w:type="spellEnd"/>
      <w:r w:rsidRPr="00D42316">
        <w:t xml:space="preserve">, Arzu </w:t>
      </w:r>
      <w:proofErr w:type="spellStart"/>
      <w:r w:rsidRPr="00D42316">
        <w:t>Altınanıt</w:t>
      </w:r>
      <w:proofErr w:type="spellEnd"/>
      <w:r w:rsidRPr="00D42316">
        <w:t xml:space="preserve">, </w:t>
      </w:r>
      <w:proofErr w:type="spellStart"/>
      <w:r w:rsidRPr="00D42316">
        <w:t>Etaf</w:t>
      </w:r>
      <w:proofErr w:type="spellEnd"/>
      <w:r w:rsidRPr="00D42316">
        <w:t xml:space="preserve"> Rum, </w:t>
      </w:r>
      <w:r w:rsidRPr="00D42316">
        <w:rPr>
          <w:i/>
        </w:rPr>
        <w:t xml:space="preserve">A </w:t>
      </w:r>
      <w:proofErr w:type="spellStart"/>
      <w:r w:rsidRPr="00D42316">
        <w:rPr>
          <w:i/>
        </w:rPr>
        <w:t>Woman</w:t>
      </w:r>
      <w:proofErr w:type="spellEnd"/>
      <w:r w:rsidRPr="00D42316">
        <w:rPr>
          <w:i/>
        </w:rPr>
        <w:t xml:space="preserve"> is No Man</w:t>
      </w:r>
    </w:p>
    <w:p w14:paraId="2EB77481" w14:textId="661ABF62" w:rsidR="002C3918" w:rsidRPr="00D42316" w:rsidRDefault="00FC4D53" w:rsidP="009C2F96">
      <w:pPr>
        <w:autoSpaceDE/>
        <w:autoSpaceDN/>
      </w:pPr>
      <w:r>
        <w:br w:type="page"/>
      </w:r>
    </w:p>
    <w:p w14:paraId="27BE3051" w14:textId="77777777" w:rsidR="00F84AD5" w:rsidRPr="00D42316" w:rsidRDefault="00AC051C" w:rsidP="004C7694">
      <w:pPr>
        <w:pStyle w:val="Tark"/>
      </w:pPr>
      <w:bookmarkStart w:id="28" w:name="_Toc192855155"/>
      <w:r w:rsidRPr="00D42316">
        <w:lastRenderedPageBreak/>
        <w:t>Zamanı Çevirmek: ‘On Yıl’ Örneği</w:t>
      </w:r>
      <w:bookmarkEnd w:id="28"/>
    </w:p>
    <w:p w14:paraId="46505271" w14:textId="77777777" w:rsidR="00F84AD5" w:rsidRPr="00D42316" w:rsidRDefault="00F84AD5" w:rsidP="009C2F96">
      <w:pPr>
        <w:jc w:val="center"/>
      </w:pPr>
    </w:p>
    <w:p w14:paraId="127789AD" w14:textId="77777777" w:rsidR="00F84AD5" w:rsidRPr="00D42316" w:rsidRDefault="00AC051C" w:rsidP="009C2F96">
      <w:pPr>
        <w:jc w:val="center"/>
      </w:pPr>
      <w:r w:rsidRPr="00D42316">
        <w:t>Nazan İşi</w:t>
      </w:r>
      <w:r w:rsidRPr="00D42316">
        <w:br/>
        <w:t>Dr., Adana Alparslan Türkeş Bilim ve Teknoloji Üniversitesi, Mütercim ve Tercümanlık Bölümü</w:t>
      </w:r>
      <w:r w:rsidRPr="00D42316">
        <w:br/>
        <w:t>nazan.isi@atu.edu.tr</w:t>
      </w:r>
      <w:r w:rsidRPr="00D42316">
        <w:br/>
        <w:t>0000-0001-7448-566X</w:t>
      </w:r>
    </w:p>
    <w:p w14:paraId="2D705557" w14:textId="77777777" w:rsidR="00F84AD5" w:rsidRPr="00D42316" w:rsidRDefault="00F84AD5" w:rsidP="009C2F96">
      <w:pPr>
        <w:jc w:val="both"/>
      </w:pPr>
    </w:p>
    <w:p w14:paraId="4986B11D" w14:textId="77777777" w:rsidR="00F84AD5" w:rsidRPr="009F0AE3" w:rsidRDefault="00AC051C" w:rsidP="009C2F96">
      <w:pPr>
        <w:jc w:val="center"/>
        <w:rPr>
          <w:b/>
          <w:bCs/>
        </w:rPr>
      </w:pPr>
      <w:r w:rsidRPr="009F0AE3">
        <w:rPr>
          <w:b/>
          <w:bCs/>
        </w:rPr>
        <w:t>Özet</w:t>
      </w:r>
    </w:p>
    <w:p w14:paraId="4F457C74" w14:textId="1A2A032C" w:rsidR="00F84AD5" w:rsidRPr="00D42316" w:rsidRDefault="00AC051C" w:rsidP="009C2F96">
      <w:pPr>
        <w:jc w:val="both"/>
      </w:pPr>
      <w:r w:rsidRPr="00D42316">
        <w:t>Dil, dönüşen dünyaya uyum sağlayan dinamik bir sistem olarak çeşitli etkenlerle sürekli değişmekte ve gelişmektedir. Bu etkenlerden biri olan çeviri, yalnızca anlam aktarımıyla sınırlı kalmayıp hedef dilin yapısını ve söz varlığını doğrudan şekillendirmektedir. Özellikle yaygın dillerden yapılan çeviriler, hedef dilde yeni yapılar ve kullanım biçimlerinin ortaya çıkmasına yol açabilir. Son yıllarda makine çevirisi ve yapay zekâ destekli çeviri araçlarının yaygınlaşması, çeviri kaynaklı dil değişim sürecini hızlandırmış ve dilin doğal akışına uygun olmayan kullanımların artmasına neden olmuştur. Bu değişimler, bilinçli bir şekilde yönetilmediğinde hedef dilin özgün yapısına zarar verebileceği gibi bazı durumlarda dilin zenginleşmesine de katkı sağlayabilir. Tarih boyunca çeviri, diller arası etkileşimi artırarak yeni kavramların oluşumunda önemli bir aracı olmuştur. Özellikle bilim, felsefe ve edebiyat alanlarında, çeviri yoluyla bir dilden diğerine aktarılan terimler zamanla hedef dilin söz varlığına eklemlenmiş ve o dilin kavramsal çerçevesini genişletmiştir. Bu birçok Hint-Avrupa dilinde eş değerleri olduğu gibi İngilizce on yıllık zaman dilimi ifade eden ‘</w:t>
      </w:r>
      <w:proofErr w:type="spellStart"/>
      <w:r w:rsidRPr="00D42316">
        <w:t>decade</w:t>
      </w:r>
      <w:proofErr w:type="spellEnd"/>
      <w:r w:rsidRPr="00D42316">
        <w:t xml:space="preserve">’ kelimesinin eş </w:t>
      </w:r>
      <w:proofErr w:type="spellStart"/>
      <w:r w:rsidRPr="00D42316">
        <w:t>dizimli</w:t>
      </w:r>
      <w:proofErr w:type="spellEnd"/>
      <w:r w:rsidRPr="00D42316">
        <w:t xml:space="preserve"> (</w:t>
      </w:r>
      <w:proofErr w:type="spellStart"/>
      <w:r w:rsidRPr="00D42316">
        <w:rPr>
          <w:i/>
        </w:rPr>
        <w:t>collocation</w:t>
      </w:r>
      <w:proofErr w:type="spellEnd"/>
      <w:r w:rsidRPr="00D42316">
        <w:t>) kullanımlarının Türkçe karşılıkları yazılı kaynaklarda incelenerek çevirinin Türkçeye yeni kelimeler ve ifadeler kazandırmadaki rolü tartışılmaktadır. Türkçede zaman bildiren ‘yüzyıl’ ve ‘binyıl’ kelimeleri Türk Dil Kurumunun güncel sözlüğünde isim olarak yer alırken, sözlüklerde yer verilmeyen ‘on yıl’ ifadesi bir sıfat tamlaması örneğidir. Ancak son yıllarda, özellikle İngilizceden yapılan çevirilerde ‘birkaç on yıl’, ‘on yıllar’ ‘on yıllarca’ gibi Türkçe sıfat tamlaması kurallarına uymayan kullanımların arttığı gözlemlenmektedir. Bu tür kullanımlara yalnızca çeviri metinlerde değil, özgün Türkçe metinlerde de rastlanmaktadır. Çeviri yoluyla dilimize giren ve giderek yaygınlaşan ‘</w:t>
      </w:r>
      <w:proofErr w:type="spellStart"/>
      <w:r w:rsidRPr="00D42316">
        <w:t>onyıl</w:t>
      </w:r>
      <w:proofErr w:type="spellEnd"/>
      <w:r w:rsidRPr="00D42316">
        <w:t>’ kelimesinin, ‘yüzyıl’ ve ‘binyıl’ gibi bağımsız bir sözcük olarak sözlüklere eklenmesi, Türkçede zaman bildiren ifadelerin tutarlılığını sağlamak ve çeviri kaynaklı hatalı kullanımlarının önüne geçmek açısından önemli bir adım olacaktır.</w:t>
      </w:r>
    </w:p>
    <w:p w14:paraId="37C43C97" w14:textId="77777777" w:rsidR="00F84AD5" w:rsidRPr="00D42316" w:rsidRDefault="00F84AD5" w:rsidP="009C2F96">
      <w:pPr>
        <w:jc w:val="both"/>
      </w:pPr>
    </w:p>
    <w:p w14:paraId="5267883B" w14:textId="2285FCBA" w:rsidR="00FC4D53" w:rsidRDefault="00AC051C" w:rsidP="009C2F96">
      <w:pPr>
        <w:jc w:val="both"/>
      </w:pPr>
      <w:r w:rsidRPr="00D42316">
        <w:rPr>
          <w:b/>
        </w:rPr>
        <w:t xml:space="preserve">Anahtar </w:t>
      </w:r>
      <w:r w:rsidR="00A8748A" w:rsidRPr="00D42316">
        <w:rPr>
          <w:b/>
        </w:rPr>
        <w:t>Kelime</w:t>
      </w:r>
      <w:r w:rsidRPr="00D42316">
        <w:rPr>
          <w:b/>
        </w:rPr>
        <w:t>ler:</w:t>
      </w:r>
      <w:r w:rsidRPr="00D42316">
        <w:t xml:space="preserve"> Çeviri, ana dili, Türkçe</w:t>
      </w:r>
    </w:p>
    <w:p w14:paraId="37AB3EBA" w14:textId="0E5C9C38" w:rsidR="002C3918" w:rsidRPr="00D42316" w:rsidRDefault="00FC4D53" w:rsidP="009C2F96">
      <w:pPr>
        <w:autoSpaceDE/>
        <w:autoSpaceDN/>
      </w:pPr>
      <w:r>
        <w:br w:type="page"/>
      </w:r>
    </w:p>
    <w:p w14:paraId="70DB387B" w14:textId="1726EF46" w:rsidR="00F84AD5" w:rsidRPr="00D42316" w:rsidRDefault="00AC051C" w:rsidP="004C7694">
      <w:pPr>
        <w:pStyle w:val="Tark"/>
      </w:pPr>
      <w:bookmarkStart w:id="29" w:name="_Toc192855156"/>
      <w:proofErr w:type="spellStart"/>
      <w:r w:rsidRPr="00D42316">
        <w:lastRenderedPageBreak/>
        <w:t>Thematic</w:t>
      </w:r>
      <w:proofErr w:type="spellEnd"/>
      <w:r w:rsidRPr="00D42316">
        <w:t xml:space="preserve"> </w:t>
      </w:r>
      <w:proofErr w:type="spellStart"/>
      <w:r w:rsidRPr="00D42316">
        <w:t>and</w:t>
      </w:r>
      <w:proofErr w:type="spellEnd"/>
      <w:r w:rsidRPr="00D42316">
        <w:t xml:space="preserve"> </w:t>
      </w:r>
      <w:proofErr w:type="spellStart"/>
      <w:r w:rsidRPr="00D42316">
        <w:t>Symbolic</w:t>
      </w:r>
      <w:proofErr w:type="spellEnd"/>
      <w:r w:rsidRPr="00D42316">
        <w:t xml:space="preserve"> </w:t>
      </w:r>
      <w:proofErr w:type="spellStart"/>
      <w:r w:rsidRPr="00D42316">
        <w:t>Elements</w:t>
      </w:r>
      <w:proofErr w:type="spellEnd"/>
      <w:r w:rsidRPr="00D42316">
        <w:t xml:space="preserve"> on </w:t>
      </w:r>
      <w:proofErr w:type="spellStart"/>
      <w:r w:rsidRPr="00D42316">
        <w:t>the</w:t>
      </w:r>
      <w:proofErr w:type="spellEnd"/>
      <w:r w:rsidRPr="00D42316">
        <w:t xml:space="preserve"> </w:t>
      </w:r>
      <w:proofErr w:type="spellStart"/>
      <w:r w:rsidRPr="00D42316">
        <w:t>Screen</w:t>
      </w:r>
      <w:proofErr w:type="spellEnd"/>
      <w:r w:rsidRPr="00D42316">
        <w:t xml:space="preserve">: A </w:t>
      </w:r>
      <w:proofErr w:type="spellStart"/>
      <w:r w:rsidRPr="00D42316">
        <w:t>Comprehensive</w:t>
      </w:r>
      <w:proofErr w:type="spellEnd"/>
      <w:r w:rsidRPr="00D42316">
        <w:t xml:space="preserve"> Analysis of </w:t>
      </w:r>
      <w:proofErr w:type="spellStart"/>
      <w:r w:rsidRPr="00D42316">
        <w:t>Intersemiotic</w:t>
      </w:r>
      <w:proofErr w:type="spellEnd"/>
      <w:r w:rsidRPr="00D42316">
        <w:t xml:space="preserve"> Transfer in </w:t>
      </w:r>
      <w:proofErr w:type="spellStart"/>
      <w:r w:rsidRPr="00D42316">
        <w:t>Eco's</w:t>
      </w:r>
      <w:proofErr w:type="spellEnd"/>
      <w:r w:rsidRPr="00D42316">
        <w:t xml:space="preserve"> </w:t>
      </w:r>
      <w:proofErr w:type="spellStart"/>
      <w:r w:rsidRPr="00D42316">
        <w:rPr>
          <w:i/>
        </w:rPr>
        <w:t>The</w:t>
      </w:r>
      <w:proofErr w:type="spellEnd"/>
      <w:r w:rsidRPr="00D42316">
        <w:rPr>
          <w:i/>
        </w:rPr>
        <w:t xml:space="preserve"> Name of </w:t>
      </w:r>
      <w:proofErr w:type="spellStart"/>
      <w:r w:rsidRPr="00D42316">
        <w:rPr>
          <w:i/>
        </w:rPr>
        <w:t>the</w:t>
      </w:r>
      <w:proofErr w:type="spellEnd"/>
      <w:r w:rsidRPr="00D42316">
        <w:rPr>
          <w:i/>
        </w:rPr>
        <w:t xml:space="preserve"> </w:t>
      </w:r>
      <w:proofErr w:type="spellStart"/>
      <w:r w:rsidRPr="00D42316">
        <w:rPr>
          <w:i/>
        </w:rPr>
        <w:t>Rose</w:t>
      </w:r>
      <w:bookmarkEnd w:id="29"/>
      <w:proofErr w:type="spellEnd"/>
    </w:p>
    <w:p w14:paraId="2512B50E" w14:textId="77777777" w:rsidR="00F84AD5" w:rsidRPr="00D42316" w:rsidRDefault="00F84AD5" w:rsidP="009C2F96">
      <w:pPr>
        <w:jc w:val="center"/>
      </w:pPr>
    </w:p>
    <w:p w14:paraId="59B8A2FD" w14:textId="77777777" w:rsidR="00F84AD5" w:rsidRPr="00D42316" w:rsidRDefault="00AC051C" w:rsidP="009C2F96">
      <w:pPr>
        <w:jc w:val="center"/>
      </w:pPr>
      <w:r w:rsidRPr="00D42316">
        <w:t>Ayşe SUNGUR</w:t>
      </w:r>
    </w:p>
    <w:p w14:paraId="1B51BA00" w14:textId="77777777" w:rsidR="00F84AD5" w:rsidRPr="00D42316" w:rsidRDefault="00AC051C" w:rsidP="009C2F96">
      <w:pPr>
        <w:jc w:val="center"/>
      </w:pPr>
      <w:proofErr w:type="spellStart"/>
      <w:r w:rsidRPr="00D42316">
        <w:t>Lec</w:t>
      </w:r>
      <w:proofErr w:type="spellEnd"/>
      <w:r w:rsidRPr="00D42316">
        <w:t>. (</w:t>
      </w:r>
      <w:proofErr w:type="spellStart"/>
      <w:r w:rsidRPr="00D42316">
        <w:t>Dr</w:t>
      </w:r>
      <w:proofErr w:type="spellEnd"/>
      <w:r w:rsidRPr="00D42316">
        <w:t xml:space="preserve">) </w:t>
      </w:r>
      <w:proofErr w:type="spellStart"/>
      <w:r w:rsidRPr="00D42316">
        <w:t>Gendarmerie</w:t>
      </w:r>
      <w:proofErr w:type="spellEnd"/>
      <w:r w:rsidRPr="00D42316">
        <w:t xml:space="preserve"> </w:t>
      </w:r>
      <w:proofErr w:type="spellStart"/>
      <w:r w:rsidRPr="00D42316">
        <w:t>and</w:t>
      </w:r>
      <w:proofErr w:type="spellEnd"/>
      <w:r w:rsidRPr="00D42316">
        <w:t xml:space="preserve"> </w:t>
      </w:r>
      <w:proofErr w:type="spellStart"/>
      <w:r w:rsidRPr="00D42316">
        <w:t>Coast</w:t>
      </w:r>
      <w:proofErr w:type="spellEnd"/>
      <w:r w:rsidRPr="00D42316">
        <w:t xml:space="preserve"> </w:t>
      </w:r>
      <w:proofErr w:type="spellStart"/>
      <w:r w:rsidRPr="00D42316">
        <w:t>Guard</w:t>
      </w:r>
      <w:proofErr w:type="spellEnd"/>
      <w:r w:rsidRPr="00D42316">
        <w:t xml:space="preserve"> Academy, School of </w:t>
      </w:r>
      <w:proofErr w:type="spellStart"/>
      <w:r w:rsidRPr="00D42316">
        <w:t>Foreign</w:t>
      </w:r>
      <w:proofErr w:type="spellEnd"/>
      <w:r w:rsidRPr="00D42316">
        <w:t xml:space="preserve"> </w:t>
      </w:r>
      <w:proofErr w:type="spellStart"/>
      <w:r w:rsidRPr="00D42316">
        <w:t>Languages</w:t>
      </w:r>
      <w:proofErr w:type="spellEnd"/>
    </w:p>
    <w:p w14:paraId="29594FAB" w14:textId="77777777" w:rsidR="00F84AD5" w:rsidRPr="00D42316" w:rsidRDefault="00AC051C" w:rsidP="009C2F96">
      <w:pPr>
        <w:jc w:val="center"/>
      </w:pPr>
      <w:r w:rsidRPr="00D42316">
        <w:t>ayse.sungur@jsga.edu.com.tr</w:t>
      </w:r>
    </w:p>
    <w:p w14:paraId="62521967" w14:textId="77777777" w:rsidR="00F84AD5" w:rsidRPr="00D42316" w:rsidRDefault="00AC051C" w:rsidP="009C2F96">
      <w:pPr>
        <w:jc w:val="center"/>
      </w:pPr>
      <w:r w:rsidRPr="00D42316">
        <w:t>0000-0002-4030-1081</w:t>
      </w:r>
    </w:p>
    <w:p w14:paraId="02A56CCC" w14:textId="77777777" w:rsidR="00F84AD5" w:rsidRPr="00D42316" w:rsidRDefault="00F84AD5" w:rsidP="009C2F96">
      <w:pPr>
        <w:jc w:val="both"/>
      </w:pPr>
    </w:p>
    <w:p w14:paraId="5D46813A" w14:textId="08BA089F" w:rsidR="00F84AD5" w:rsidRPr="00AB7514" w:rsidRDefault="00AC051C" w:rsidP="009C2F96">
      <w:pPr>
        <w:jc w:val="center"/>
        <w:rPr>
          <w:b/>
          <w:bCs/>
        </w:rPr>
      </w:pPr>
      <w:proofErr w:type="spellStart"/>
      <w:r w:rsidRPr="009F0AE3">
        <w:rPr>
          <w:b/>
          <w:bCs/>
        </w:rPr>
        <w:t>Abstract</w:t>
      </w:r>
      <w:proofErr w:type="spellEnd"/>
    </w:p>
    <w:p w14:paraId="74D87E76" w14:textId="53935361" w:rsidR="00F84AD5" w:rsidRPr="00D42316" w:rsidRDefault="00AC051C" w:rsidP="009C2F96">
      <w:pPr>
        <w:jc w:val="both"/>
      </w:pPr>
      <w:r w:rsidRPr="00D42316">
        <w:t xml:space="preserve">Since Roman </w:t>
      </w:r>
      <w:proofErr w:type="spellStart"/>
      <w:r w:rsidRPr="00D42316">
        <w:t>Jakobson</w:t>
      </w:r>
      <w:proofErr w:type="spellEnd"/>
      <w:r w:rsidRPr="00D42316">
        <w:t xml:space="preserve"> </w:t>
      </w:r>
      <w:proofErr w:type="spellStart"/>
      <w:r w:rsidRPr="00D42316">
        <w:t>introduced</w:t>
      </w:r>
      <w:proofErr w:type="spellEnd"/>
      <w:r w:rsidRPr="00D42316">
        <w:t xml:space="preserve"> </w:t>
      </w:r>
      <w:proofErr w:type="spellStart"/>
      <w:r w:rsidRPr="00D42316">
        <w:t>the</w:t>
      </w:r>
      <w:proofErr w:type="spellEnd"/>
      <w:r w:rsidRPr="00D42316">
        <w:t xml:space="preserve"> </w:t>
      </w:r>
      <w:proofErr w:type="spellStart"/>
      <w:r w:rsidRPr="00D42316">
        <w:t>concept</w:t>
      </w:r>
      <w:proofErr w:type="spellEnd"/>
      <w:r w:rsidRPr="00D42316">
        <w:t xml:space="preserve"> of </w:t>
      </w:r>
      <w:proofErr w:type="spellStart"/>
      <w:r w:rsidRPr="00D42316">
        <w:t>Intersemiotic</w:t>
      </w:r>
      <w:proofErr w:type="spellEnd"/>
      <w:r w:rsidRPr="00D42316">
        <w:t xml:space="preserve"> </w:t>
      </w:r>
      <w:proofErr w:type="spellStart"/>
      <w:r w:rsidRPr="00D42316">
        <w:t>Translation</w:t>
      </w:r>
      <w:proofErr w:type="spellEnd"/>
      <w:r w:rsidRPr="00D42316">
        <w:t xml:space="preserve"> in 1959, </w:t>
      </w:r>
      <w:proofErr w:type="spellStart"/>
      <w:r w:rsidRPr="00D42316">
        <w:t>Translation</w:t>
      </w:r>
      <w:proofErr w:type="spellEnd"/>
      <w:r w:rsidRPr="00D42316">
        <w:t xml:space="preserve"> </w:t>
      </w:r>
      <w:proofErr w:type="spellStart"/>
      <w:r w:rsidRPr="00D42316">
        <w:t>Studies</w:t>
      </w:r>
      <w:proofErr w:type="spellEnd"/>
      <w:r w:rsidRPr="00D42316">
        <w:t xml:space="preserve"> </w:t>
      </w:r>
      <w:proofErr w:type="spellStart"/>
      <w:r w:rsidRPr="00D42316">
        <w:t>scholars</w:t>
      </w:r>
      <w:proofErr w:type="spellEnd"/>
      <w:r w:rsidRPr="00D42316">
        <w:t xml:space="preserve"> </w:t>
      </w:r>
      <w:proofErr w:type="spellStart"/>
      <w:r w:rsidRPr="00D42316">
        <w:t>have</w:t>
      </w:r>
      <w:proofErr w:type="spellEnd"/>
      <w:r w:rsidRPr="00D42316">
        <w:t xml:space="preserve"> </w:t>
      </w:r>
      <w:proofErr w:type="spellStart"/>
      <w:r w:rsidRPr="00D42316">
        <w:t>sought</w:t>
      </w:r>
      <w:proofErr w:type="spellEnd"/>
      <w:r w:rsidRPr="00D42316">
        <w:t xml:space="preserve"> </w:t>
      </w:r>
      <w:proofErr w:type="spellStart"/>
      <w:r w:rsidRPr="00D42316">
        <w:t>various</w:t>
      </w:r>
      <w:proofErr w:type="spellEnd"/>
      <w:r w:rsidRPr="00D42316">
        <w:t xml:space="preserve"> </w:t>
      </w:r>
      <w:proofErr w:type="spellStart"/>
      <w:r w:rsidRPr="00D42316">
        <w:t>ways</w:t>
      </w:r>
      <w:proofErr w:type="spellEnd"/>
      <w:r w:rsidRPr="00D42316">
        <w:t xml:space="preserve"> </w:t>
      </w:r>
      <w:proofErr w:type="spellStart"/>
      <w:r w:rsidRPr="00D42316">
        <w:t>to</w:t>
      </w:r>
      <w:proofErr w:type="spellEnd"/>
      <w:r w:rsidRPr="00D42316">
        <w:t xml:space="preserve"> </w:t>
      </w:r>
      <w:proofErr w:type="spellStart"/>
      <w:r w:rsidRPr="00D42316">
        <w:t>categorize</w:t>
      </w:r>
      <w:proofErr w:type="spellEnd"/>
      <w:r w:rsidRPr="00D42316">
        <w:t xml:space="preserve"> </w:t>
      </w:r>
      <w:proofErr w:type="spellStart"/>
      <w:r w:rsidRPr="00D42316">
        <w:t>the</w:t>
      </w:r>
      <w:proofErr w:type="spellEnd"/>
      <w:r w:rsidRPr="00D42316">
        <w:t xml:space="preserve"> </w:t>
      </w:r>
      <w:proofErr w:type="spellStart"/>
      <w:r w:rsidRPr="00D42316">
        <w:t>adaptation</w:t>
      </w:r>
      <w:proofErr w:type="spellEnd"/>
      <w:r w:rsidRPr="00D42316">
        <w:t xml:space="preserve"> of </w:t>
      </w:r>
      <w:proofErr w:type="spellStart"/>
      <w:r w:rsidRPr="00D42316">
        <w:t>novels</w:t>
      </w:r>
      <w:proofErr w:type="spellEnd"/>
      <w:r w:rsidRPr="00D42316">
        <w:t xml:space="preserve"> </w:t>
      </w:r>
      <w:proofErr w:type="spellStart"/>
      <w:r w:rsidRPr="00D42316">
        <w:t>into</w:t>
      </w:r>
      <w:proofErr w:type="spellEnd"/>
      <w:r w:rsidRPr="00D42316">
        <w:t xml:space="preserve"> </w:t>
      </w:r>
      <w:proofErr w:type="spellStart"/>
      <w:r w:rsidRPr="00D42316">
        <w:t>films</w:t>
      </w:r>
      <w:proofErr w:type="spellEnd"/>
      <w:r w:rsidRPr="00D42316">
        <w:t xml:space="preserve"> as a </w:t>
      </w:r>
      <w:proofErr w:type="spellStart"/>
      <w:r w:rsidRPr="00D42316">
        <w:t>distinct</w:t>
      </w:r>
      <w:proofErr w:type="spellEnd"/>
      <w:r w:rsidRPr="00D42316">
        <w:t xml:space="preserve"> form of </w:t>
      </w:r>
      <w:proofErr w:type="spellStart"/>
      <w:r w:rsidRPr="00D42316">
        <w:t>translation</w:t>
      </w:r>
      <w:proofErr w:type="spellEnd"/>
      <w:r w:rsidRPr="00D42316">
        <w:t xml:space="preserve">. </w:t>
      </w:r>
      <w:proofErr w:type="spellStart"/>
      <w:r w:rsidRPr="00D42316">
        <w:t>Even</w:t>
      </w:r>
      <w:proofErr w:type="spellEnd"/>
      <w:r w:rsidRPr="00D42316">
        <w:t xml:space="preserve"> </w:t>
      </w:r>
      <w:proofErr w:type="spellStart"/>
      <w:r w:rsidRPr="00D42316">
        <w:t>if</w:t>
      </w:r>
      <w:proofErr w:type="spellEnd"/>
      <w:r w:rsidRPr="00D42316">
        <w:t xml:space="preserve"> </w:t>
      </w:r>
      <w:proofErr w:type="spellStart"/>
      <w:r w:rsidRPr="00D42316">
        <w:t>the</w:t>
      </w:r>
      <w:proofErr w:type="spellEnd"/>
      <w:r w:rsidRPr="00D42316">
        <w:t xml:space="preserve"> </w:t>
      </w:r>
      <w:proofErr w:type="spellStart"/>
      <w:r w:rsidRPr="00D42316">
        <w:t>practice</w:t>
      </w:r>
      <w:proofErr w:type="spellEnd"/>
      <w:r w:rsidRPr="00D42316">
        <w:t xml:space="preserve"> of </w:t>
      </w:r>
      <w:proofErr w:type="spellStart"/>
      <w:r w:rsidRPr="00D42316">
        <w:t>adaptation</w:t>
      </w:r>
      <w:proofErr w:type="spellEnd"/>
      <w:r w:rsidRPr="00D42316">
        <w:t xml:space="preserve"> </w:t>
      </w:r>
      <w:proofErr w:type="spellStart"/>
      <w:r w:rsidRPr="00D42316">
        <w:t>flourished</w:t>
      </w:r>
      <w:proofErr w:type="spellEnd"/>
      <w:r w:rsidRPr="00D42316">
        <w:t xml:space="preserve"> since </w:t>
      </w:r>
      <w:proofErr w:type="spellStart"/>
      <w:r w:rsidRPr="00D42316">
        <w:t>the</w:t>
      </w:r>
      <w:proofErr w:type="spellEnd"/>
      <w:r w:rsidRPr="00D42316">
        <w:t xml:space="preserve"> </w:t>
      </w:r>
      <w:proofErr w:type="spellStart"/>
      <w:r w:rsidRPr="00D42316">
        <w:t>dawn</w:t>
      </w:r>
      <w:proofErr w:type="spellEnd"/>
      <w:r w:rsidRPr="00D42316">
        <w:t xml:space="preserve"> of </w:t>
      </w:r>
      <w:proofErr w:type="spellStart"/>
      <w:r w:rsidRPr="00D42316">
        <w:t>cinema</w:t>
      </w:r>
      <w:proofErr w:type="spellEnd"/>
      <w:r w:rsidRPr="00D42316">
        <w:t xml:space="preserve">, it </w:t>
      </w:r>
      <w:proofErr w:type="spellStart"/>
      <w:r w:rsidRPr="00D42316">
        <w:t>lacked</w:t>
      </w:r>
      <w:proofErr w:type="spellEnd"/>
      <w:r w:rsidRPr="00D42316">
        <w:t xml:space="preserve"> a </w:t>
      </w:r>
      <w:proofErr w:type="spellStart"/>
      <w:r w:rsidRPr="00D42316">
        <w:t>systematic</w:t>
      </w:r>
      <w:proofErr w:type="spellEnd"/>
      <w:r w:rsidRPr="00D42316">
        <w:t xml:space="preserve"> </w:t>
      </w:r>
      <w:proofErr w:type="spellStart"/>
      <w:r w:rsidRPr="00D42316">
        <w:t>tool</w:t>
      </w:r>
      <w:proofErr w:type="spellEnd"/>
      <w:r w:rsidRPr="00D42316">
        <w:t xml:space="preserve"> </w:t>
      </w:r>
      <w:proofErr w:type="spellStart"/>
      <w:r w:rsidRPr="00D42316">
        <w:t>for</w:t>
      </w:r>
      <w:proofErr w:type="spellEnd"/>
      <w:r w:rsidRPr="00D42316">
        <w:t xml:space="preserve"> </w:t>
      </w:r>
      <w:proofErr w:type="spellStart"/>
      <w:r w:rsidRPr="00D42316">
        <w:t>analysis</w:t>
      </w:r>
      <w:proofErr w:type="spellEnd"/>
      <w:r w:rsidRPr="00D42316">
        <w:t xml:space="preserve"> </w:t>
      </w:r>
      <w:proofErr w:type="spellStart"/>
      <w:r w:rsidRPr="00D42316">
        <w:t>until</w:t>
      </w:r>
      <w:proofErr w:type="spellEnd"/>
      <w:r w:rsidRPr="00D42316">
        <w:t xml:space="preserve"> Katerina </w:t>
      </w:r>
      <w:proofErr w:type="spellStart"/>
      <w:r w:rsidRPr="00D42316">
        <w:t>Perdikaki</w:t>
      </w:r>
      <w:proofErr w:type="spellEnd"/>
      <w:r w:rsidRPr="00D42316">
        <w:t xml:space="preserve"> (2016) </w:t>
      </w:r>
      <w:proofErr w:type="spellStart"/>
      <w:r w:rsidRPr="00D42316">
        <w:t>developed</w:t>
      </w:r>
      <w:proofErr w:type="spellEnd"/>
      <w:r w:rsidRPr="00D42316">
        <w:t xml:space="preserve"> her model of </w:t>
      </w:r>
      <w:proofErr w:type="spellStart"/>
      <w:r w:rsidRPr="00D42316">
        <w:t>adaptation</w:t>
      </w:r>
      <w:proofErr w:type="spellEnd"/>
      <w:r w:rsidRPr="00D42316">
        <w:t xml:space="preserve"> </w:t>
      </w:r>
      <w:proofErr w:type="spellStart"/>
      <w:r w:rsidRPr="00D42316">
        <w:t>analysis</w:t>
      </w:r>
      <w:proofErr w:type="spellEnd"/>
      <w:r w:rsidRPr="00D42316">
        <w:t xml:space="preserve"> in 2016 </w:t>
      </w:r>
      <w:proofErr w:type="spellStart"/>
      <w:r w:rsidRPr="00D42316">
        <w:t>which</w:t>
      </w:r>
      <w:proofErr w:type="spellEnd"/>
      <w:r w:rsidRPr="00D42316">
        <w:t xml:space="preserve"> </w:t>
      </w:r>
      <w:proofErr w:type="spellStart"/>
      <w:r w:rsidRPr="00D42316">
        <w:t>suggested</w:t>
      </w:r>
      <w:proofErr w:type="spellEnd"/>
      <w:r w:rsidRPr="00D42316">
        <w:t xml:space="preserve"> a </w:t>
      </w:r>
      <w:proofErr w:type="spellStart"/>
      <w:r w:rsidRPr="00D42316">
        <w:t>comprehensive</w:t>
      </w:r>
      <w:proofErr w:type="spellEnd"/>
      <w:r w:rsidRPr="00D42316">
        <w:t xml:space="preserve"> </w:t>
      </w:r>
      <w:proofErr w:type="spellStart"/>
      <w:r w:rsidRPr="00D42316">
        <w:t>framework</w:t>
      </w:r>
      <w:proofErr w:type="spellEnd"/>
      <w:r w:rsidRPr="00D42316">
        <w:t xml:space="preserve"> </w:t>
      </w:r>
      <w:proofErr w:type="spellStart"/>
      <w:r w:rsidRPr="00D42316">
        <w:t>for</w:t>
      </w:r>
      <w:proofErr w:type="spellEnd"/>
      <w:r w:rsidRPr="00D42316">
        <w:t xml:space="preserve"> </w:t>
      </w:r>
      <w:proofErr w:type="spellStart"/>
      <w:r w:rsidRPr="00D42316">
        <w:t>systematically</w:t>
      </w:r>
      <w:proofErr w:type="spellEnd"/>
      <w:r w:rsidRPr="00D42316">
        <w:t xml:space="preserve"> </w:t>
      </w:r>
      <w:proofErr w:type="spellStart"/>
      <w:r w:rsidRPr="00D42316">
        <w:t>analyzing</w:t>
      </w:r>
      <w:proofErr w:type="spellEnd"/>
      <w:r w:rsidRPr="00D42316">
        <w:t xml:space="preserve"> film </w:t>
      </w:r>
      <w:proofErr w:type="spellStart"/>
      <w:r w:rsidRPr="00D42316">
        <w:t>adaptations</w:t>
      </w:r>
      <w:proofErr w:type="spellEnd"/>
      <w:r w:rsidRPr="00D42316">
        <w:t xml:space="preserve"> of </w:t>
      </w:r>
      <w:proofErr w:type="spellStart"/>
      <w:r w:rsidRPr="00D42316">
        <w:t>novels</w:t>
      </w:r>
      <w:proofErr w:type="spellEnd"/>
      <w:r w:rsidRPr="00D42316">
        <w:t xml:space="preserve"> </w:t>
      </w:r>
      <w:proofErr w:type="spellStart"/>
      <w:r w:rsidRPr="00D42316">
        <w:t>through</w:t>
      </w:r>
      <w:proofErr w:type="spellEnd"/>
      <w:r w:rsidRPr="00D42316">
        <w:t xml:space="preserve"> </w:t>
      </w:r>
      <w:proofErr w:type="spellStart"/>
      <w:r w:rsidRPr="00D42316">
        <w:t>the</w:t>
      </w:r>
      <w:proofErr w:type="spellEnd"/>
      <w:r w:rsidRPr="00D42316">
        <w:t xml:space="preserve"> </w:t>
      </w:r>
      <w:proofErr w:type="spellStart"/>
      <w:r w:rsidRPr="00D42316">
        <w:t>lenses</w:t>
      </w:r>
      <w:proofErr w:type="spellEnd"/>
      <w:r w:rsidRPr="00D42316">
        <w:t xml:space="preserve"> of </w:t>
      </w:r>
      <w:proofErr w:type="spellStart"/>
      <w:r w:rsidRPr="00D42316">
        <w:t>Translation</w:t>
      </w:r>
      <w:proofErr w:type="spellEnd"/>
      <w:r w:rsidRPr="00D42316">
        <w:t xml:space="preserve"> </w:t>
      </w:r>
      <w:proofErr w:type="spellStart"/>
      <w:r w:rsidRPr="00D42316">
        <w:t>Studies</w:t>
      </w:r>
      <w:proofErr w:type="spellEnd"/>
      <w:r w:rsidRPr="00D42316">
        <w:t xml:space="preserve">. </w:t>
      </w:r>
      <w:proofErr w:type="spellStart"/>
      <w:r w:rsidRPr="00D42316">
        <w:t>Drawing</w:t>
      </w:r>
      <w:proofErr w:type="spellEnd"/>
      <w:r w:rsidRPr="00D42316">
        <w:t xml:space="preserve"> </w:t>
      </w:r>
      <w:proofErr w:type="spellStart"/>
      <w:r w:rsidRPr="00D42316">
        <w:t>inspiration</w:t>
      </w:r>
      <w:proofErr w:type="spellEnd"/>
      <w:r w:rsidRPr="00D42316">
        <w:t xml:space="preserve"> </w:t>
      </w:r>
      <w:proofErr w:type="spellStart"/>
      <w:r w:rsidRPr="00D42316">
        <w:t>from</w:t>
      </w:r>
      <w:proofErr w:type="spellEnd"/>
      <w:r w:rsidRPr="00D42316">
        <w:t xml:space="preserve"> </w:t>
      </w:r>
      <w:proofErr w:type="spellStart"/>
      <w:r w:rsidRPr="00D42316">
        <w:t>van</w:t>
      </w:r>
      <w:proofErr w:type="spellEnd"/>
      <w:r w:rsidRPr="00D42316">
        <w:t xml:space="preserve"> </w:t>
      </w:r>
      <w:proofErr w:type="spellStart"/>
      <w:r w:rsidRPr="00D42316">
        <w:t>Leuven-Zwart’s</w:t>
      </w:r>
      <w:proofErr w:type="spellEnd"/>
      <w:r w:rsidRPr="00D42316">
        <w:t xml:space="preserve"> </w:t>
      </w:r>
      <w:proofErr w:type="spellStart"/>
      <w:r w:rsidRPr="00D42316">
        <w:t>translation</w:t>
      </w:r>
      <w:proofErr w:type="spellEnd"/>
      <w:r w:rsidRPr="00D42316">
        <w:t xml:space="preserve"> </w:t>
      </w:r>
      <w:proofErr w:type="spellStart"/>
      <w:r w:rsidRPr="00D42316">
        <w:t>taxonomy</w:t>
      </w:r>
      <w:proofErr w:type="spellEnd"/>
      <w:r w:rsidRPr="00D42316">
        <w:t xml:space="preserve"> </w:t>
      </w:r>
      <w:proofErr w:type="spellStart"/>
      <w:r w:rsidRPr="00D42316">
        <w:t>established</w:t>
      </w:r>
      <w:proofErr w:type="spellEnd"/>
      <w:r w:rsidRPr="00D42316">
        <w:t xml:space="preserve"> in 1989, </w:t>
      </w:r>
      <w:proofErr w:type="spellStart"/>
      <w:r w:rsidRPr="00D42316">
        <w:t>Perdikaki</w:t>
      </w:r>
      <w:proofErr w:type="spellEnd"/>
      <w:r w:rsidRPr="00D42316">
        <w:t xml:space="preserve"> </w:t>
      </w:r>
      <w:proofErr w:type="spellStart"/>
      <w:r w:rsidRPr="00D42316">
        <w:t>identified</w:t>
      </w:r>
      <w:proofErr w:type="spellEnd"/>
      <w:r w:rsidRPr="00D42316">
        <w:t xml:space="preserve"> </w:t>
      </w:r>
      <w:proofErr w:type="spellStart"/>
      <w:r w:rsidRPr="00D42316">
        <w:t>and</w:t>
      </w:r>
      <w:proofErr w:type="spellEnd"/>
      <w:r w:rsidRPr="00D42316">
        <w:t xml:space="preserve"> </w:t>
      </w:r>
      <w:proofErr w:type="spellStart"/>
      <w:r w:rsidRPr="00D42316">
        <w:t>classified</w:t>
      </w:r>
      <w:proofErr w:type="spellEnd"/>
      <w:r w:rsidRPr="00D42316">
        <w:t xml:space="preserve"> </w:t>
      </w:r>
      <w:proofErr w:type="spellStart"/>
      <w:r w:rsidRPr="00D42316">
        <w:t>various</w:t>
      </w:r>
      <w:proofErr w:type="spellEnd"/>
      <w:r w:rsidRPr="00D42316">
        <w:t xml:space="preserve"> ‘</w:t>
      </w:r>
      <w:proofErr w:type="spellStart"/>
      <w:r w:rsidRPr="00D42316">
        <w:t>adaptation</w:t>
      </w:r>
      <w:proofErr w:type="spellEnd"/>
      <w:r w:rsidRPr="00D42316">
        <w:t xml:space="preserve"> </w:t>
      </w:r>
      <w:proofErr w:type="spellStart"/>
      <w:r w:rsidRPr="00D42316">
        <w:t>shifts</w:t>
      </w:r>
      <w:proofErr w:type="spellEnd"/>
      <w:r w:rsidRPr="00D42316">
        <w:t xml:space="preserve">’ </w:t>
      </w:r>
      <w:proofErr w:type="spellStart"/>
      <w:r w:rsidRPr="00D42316">
        <w:t>that</w:t>
      </w:r>
      <w:proofErr w:type="spellEnd"/>
      <w:r w:rsidRPr="00D42316">
        <w:t xml:space="preserve"> </w:t>
      </w:r>
      <w:proofErr w:type="spellStart"/>
      <w:r w:rsidRPr="00D42316">
        <w:t>occur</w:t>
      </w:r>
      <w:proofErr w:type="spellEnd"/>
      <w:r w:rsidRPr="00D42316">
        <w:t xml:space="preserve"> </w:t>
      </w:r>
      <w:proofErr w:type="spellStart"/>
      <w:r w:rsidRPr="00D42316">
        <w:t>during</w:t>
      </w:r>
      <w:proofErr w:type="spellEnd"/>
      <w:r w:rsidRPr="00D42316">
        <w:t xml:space="preserve"> </w:t>
      </w:r>
      <w:proofErr w:type="spellStart"/>
      <w:r w:rsidRPr="00D42316">
        <w:t>the</w:t>
      </w:r>
      <w:proofErr w:type="spellEnd"/>
      <w:r w:rsidRPr="00D42316">
        <w:t xml:space="preserve"> </w:t>
      </w:r>
      <w:proofErr w:type="spellStart"/>
      <w:r w:rsidRPr="00D42316">
        <w:t>transformation</w:t>
      </w:r>
      <w:proofErr w:type="spellEnd"/>
      <w:r w:rsidRPr="00D42316">
        <w:t xml:space="preserve"> </w:t>
      </w:r>
      <w:proofErr w:type="spellStart"/>
      <w:r w:rsidRPr="00D42316">
        <w:t>from</w:t>
      </w:r>
      <w:proofErr w:type="spellEnd"/>
      <w:r w:rsidRPr="00D42316">
        <w:t xml:space="preserve"> </w:t>
      </w:r>
      <w:proofErr w:type="spellStart"/>
      <w:r w:rsidRPr="00D42316">
        <w:t>page</w:t>
      </w:r>
      <w:proofErr w:type="spellEnd"/>
      <w:r w:rsidRPr="00D42316">
        <w:t xml:space="preserve"> </w:t>
      </w:r>
      <w:proofErr w:type="spellStart"/>
      <w:r w:rsidRPr="00D42316">
        <w:t>to</w:t>
      </w:r>
      <w:proofErr w:type="spellEnd"/>
      <w:r w:rsidRPr="00D42316">
        <w:t xml:space="preserve"> </w:t>
      </w:r>
      <w:proofErr w:type="spellStart"/>
      <w:r w:rsidRPr="00D42316">
        <w:t>screen</w:t>
      </w:r>
      <w:proofErr w:type="spellEnd"/>
      <w:r w:rsidRPr="00D42316">
        <w:t xml:space="preserve">. </w:t>
      </w:r>
      <w:proofErr w:type="spellStart"/>
      <w:r w:rsidRPr="00D42316">
        <w:t>Despite</w:t>
      </w:r>
      <w:proofErr w:type="spellEnd"/>
      <w:r w:rsidRPr="00D42316">
        <w:t xml:space="preserve"> </w:t>
      </w:r>
      <w:proofErr w:type="spellStart"/>
      <w:r w:rsidRPr="00D42316">
        <w:t>its</w:t>
      </w:r>
      <w:proofErr w:type="spellEnd"/>
      <w:r w:rsidRPr="00D42316">
        <w:t xml:space="preserve"> </w:t>
      </w:r>
      <w:proofErr w:type="spellStart"/>
      <w:r w:rsidRPr="00D42316">
        <w:t>foundational</w:t>
      </w:r>
      <w:proofErr w:type="spellEnd"/>
      <w:r w:rsidRPr="00D42316">
        <w:t xml:space="preserve"> </w:t>
      </w:r>
      <w:proofErr w:type="spellStart"/>
      <w:r w:rsidRPr="00D42316">
        <w:t>contributions</w:t>
      </w:r>
      <w:proofErr w:type="spellEnd"/>
      <w:r w:rsidRPr="00D42316">
        <w:t xml:space="preserve">, her model </w:t>
      </w:r>
      <w:proofErr w:type="spellStart"/>
      <w:r w:rsidRPr="00D42316">
        <w:t>called</w:t>
      </w:r>
      <w:proofErr w:type="spellEnd"/>
      <w:r w:rsidRPr="00D42316">
        <w:t xml:space="preserve"> </w:t>
      </w:r>
      <w:proofErr w:type="spellStart"/>
      <w:r w:rsidRPr="00D42316">
        <w:t>for</w:t>
      </w:r>
      <w:proofErr w:type="spellEnd"/>
      <w:r w:rsidRPr="00D42316">
        <w:t xml:space="preserve"> </w:t>
      </w:r>
      <w:proofErr w:type="spellStart"/>
      <w:r w:rsidRPr="00D42316">
        <w:t>further</w:t>
      </w:r>
      <w:proofErr w:type="spellEnd"/>
      <w:r w:rsidRPr="00D42316">
        <w:t xml:space="preserve"> </w:t>
      </w:r>
      <w:proofErr w:type="spellStart"/>
      <w:r w:rsidRPr="00D42316">
        <w:t>refinement</w:t>
      </w:r>
      <w:proofErr w:type="spellEnd"/>
      <w:r w:rsidRPr="00D42316">
        <w:t xml:space="preserve">, </w:t>
      </w:r>
      <w:proofErr w:type="spellStart"/>
      <w:r w:rsidRPr="00D42316">
        <w:t>particularly</w:t>
      </w:r>
      <w:proofErr w:type="spellEnd"/>
      <w:r w:rsidRPr="00D42316">
        <w:t xml:space="preserve"> in </w:t>
      </w:r>
      <w:proofErr w:type="spellStart"/>
      <w:r w:rsidRPr="00D42316">
        <w:t>addressing</w:t>
      </w:r>
      <w:proofErr w:type="spellEnd"/>
      <w:r w:rsidRPr="00D42316">
        <w:t xml:space="preserve"> </w:t>
      </w:r>
      <w:proofErr w:type="spellStart"/>
      <w:r w:rsidRPr="00D42316">
        <w:t>shifts</w:t>
      </w:r>
      <w:proofErr w:type="spellEnd"/>
      <w:r w:rsidRPr="00D42316">
        <w:t xml:space="preserve"> </w:t>
      </w:r>
      <w:proofErr w:type="spellStart"/>
      <w:r w:rsidRPr="00D42316">
        <w:t>regarding</w:t>
      </w:r>
      <w:proofErr w:type="spellEnd"/>
      <w:r w:rsidRPr="00D42316">
        <w:t xml:space="preserve"> </w:t>
      </w:r>
      <w:proofErr w:type="spellStart"/>
      <w:r w:rsidRPr="00D42316">
        <w:t>literal</w:t>
      </w:r>
      <w:proofErr w:type="spellEnd"/>
      <w:r w:rsidRPr="00D42316">
        <w:t xml:space="preserve"> </w:t>
      </w:r>
      <w:proofErr w:type="spellStart"/>
      <w:r w:rsidRPr="00D42316">
        <w:t>components</w:t>
      </w:r>
      <w:proofErr w:type="spellEnd"/>
      <w:r w:rsidRPr="00D42316">
        <w:t xml:space="preserve"> of a </w:t>
      </w:r>
      <w:proofErr w:type="spellStart"/>
      <w:r w:rsidRPr="00D42316">
        <w:t>novel</w:t>
      </w:r>
      <w:proofErr w:type="spellEnd"/>
      <w:r w:rsidRPr="00D42316">
        <w:t xml:space="preserve"> </w:t>
      </w:r>
      <w:proofErr w:type="spellStart"/>
      <w:r w:rsidRPr="00D42316">
        <w:t>such</w:t>
      </w:r>
      <w:proofErr w:type="spellEnd"/>
      <w:r w:rsidRPr="00D42316">
        <w:t xml:space="preserve"> as </w:t>
      </w:r>
      <w:proofErr w:type="spellStart"/>
      <w:r w:rsidRPr="00D42316">
        <w:t>themes</w:t>
      </w:r>
      <w:proofErr w:type="spellEnd"/>
      <w:r w:rsidRPr="00D42316">
        <w:t>—</w:t>
      </w:r>
      <w:proofErr w:type="spellStart"/>
      <w:r w:rsidRPr="00D42316">
        <w:t>profound</w:t>
      </w:r>
      <w:proofErr w:type="spellEnd"/>
      <w:r w:rsidRPr="00D42316">
        <w:t xml:space="preserve"> </w:t>
      </w:r>
      <w:proofErr w:type="spellStart"/>
      <w:r w:rsidRPr="00D42316">
        <w:t>underlying</w:t>
      </w:r>
      <w:proofErr w:type="spellEnd"/>
      <w:r w:rsidRPr="00D42316">
        <w:t xml:space="preserve"> </w:t>
      </w:r>
      <w:proofErr w:type="spellStart"/>
      <w:r w:rsidRPr="00D42316">
        <w:t>messages</w:t>
      </w:r>
      <w:proofErr w:type="spellEnd"/>
      <w:r w:rsidRPr="00D42316">
        <w:t xml:space="preserve"> </w:t>
      </w:r>
      <w:proofErr w:type="spellStart"/>
      <w:r w:rsidRPr="00D42316">
        <w:t>or</w:t>
      </w:r>
      <w:proofErr w:type="spellEnd"/>
      <w:r w:rsidRPr="00D42316">
        <w:t xml:space="preserve"> </w:t>
      </w:r>
      <w:proofErr w:type="spellStart"/>
      <w:r w:rsidRPr="00D42316">
        <w:t>ideas</w:t>
      </w:r>
      <w:proofErr w:type="spellEnd"/>
      <w:r w:rsidRPr="00D42316">
        <w:t xml:space="preserve"> </w:t>
      </w:r>
      <w:proofErr w:type="spellStart"/>
      <w:r w:rsidRPr="00D42316">
        <w:t>that</w:t>
      </w:r>
      <w:proofErr w:type="spellEnd"/>
      <w:r w:rsidRPr="00D42316">
        <w:t xml:space="preserve"> </w:t>
      </w:r>
      <w:proofErr w:type="spellStart"/>
      <w:r w:rsidRPr="00D42316">
        <w:t>authors</w:t>
      </w:r>
      <w:proofErr w:type="spellEnd"/>
      <w:r w:rsidRPr="00D42316">
        <w:t xml:space="preserve"> </w:t>
      </w:r>
      <w:proofErr w:type="spellStart"/>
      <w:r w:rsidRPr="00D42316">
        <w:t>weave</w:t>
      </w:r>
      <w:proofErr w:type="spellEnd"/>
      <w:r w:rsidRPr="00D42316">
        <w:t xml:space="preserve"> </w:t>
      </w:r>
      <w:proofErr w:type="spellStart"/>
      <w:r w:rsidRPr="00D42316">
        <w:t>into</w:t>
      </w:r>
      <w:proofErr w:type="spellEnd"/>
      <w:r w:rsidRPr="00D42316">
        <w:t xml:space="preserve"> </w:t>
      </w:r>
      <w:proofErr w:type="spellStart"/>
      <w:r w:rsidRPr="00D42316">
        <w:t>their</w:t>
      </w:r>
      <w:proofErr w:type="spellEnd"/>
      <w:r w:rsidRPr="00D42316">
        <w:t xml:space="preserve"> </w:t>
      </w:r>
      <w:proofErr w:type="spellStart"/>
      <w:r w:rsidRPr="00D42316">
        <w:t>narratives</w:t>
      </w:r>
      <w:proofErr w:type="spellEnd"/>
      <w:r w:rsidRPr="00D42316">
        <w:t xml:space="preserve"> </w:t>
      </w:r>
      <w:proofErr w:type="spellStart"/>
      <w:r w:rsidRPr="00D42316">
        <w:t>and</w:t>
      </w:r>
      <w:proofErr w:type="spellEnd"/>
      <w:r w:rsidRPr="00D42316">
        <w:t xml:space="preserve"> </w:t>
      </w:r>
      <w:proofErr w:type="spellStart"/>
      <w:r w:rsidRPr="00D42316">
        <w:t>symbols</w:t>
      </w:r>
      <w:proofErr w:type="spellEnd"/>
      <w:r w:rsidRPr="00D42316">
        <w:t>—</w:t>
      </w:r>
      <w:proofErr w:type="spellStart"/>
      <w:r w:rsidRPr="00D42316">
        <w:t>elements</w:t>
      </w:r>
      <w:proofErr w:type="spellEnd"/>
      <w:r w:rsidRPr="00D42316">
        <w:t xml:space="preserve"> </w:t>
      </w:r>
      <w:proofErr w:type="spellStart"/>
      <w:r w:rsidRPr="00D42316">
        <w:t>like</w:t>
      </w:r>
      <w:proofErr w:type="spellEnd"/>
      <w:r w:rsidRPr="00D42316">
        <w:t xml:space="preserve"> </w:t>
      </w:r>
      <w:proofErr w:type="spellStart"/>
      <w:r w:rsidRPr="00D42316">
        <w:t>objects</w:t>
      </w:r>
      <w:proofErr w:type="spellEnd"/>
      <w:r w:rsidRPr="00D42316">
        <w:t xml:space="preserve">, </w:t>
      </w:r>
      <w:proofErr w:type="spellStart"/>
      <w:r w:rsidRPr="00D42316">
        <w:t>characters</w:t>
      </w:r>
      <w:proofErr w:type="spellEnd"/>
      <w:r w:rsidRPr="00D42316">
        <w:t xml:space="preserve">, </w:t>
      </w:r>
      <w:proofErr w:type="spellStart"/>
      <w:r w:rsidRPr="00D42316">
        <w:t>situations</w:t>
      </w:r>
      <w:proofErr w:type="spellEnd"/>
      <w:r w:rsidRPr="00D42316">
        <w:t xml:space="preserve">, </w:t>
      </w:r>
      <w:proofErr w:type="spellStart"/>
      <w:r w:rsidRPr="00D42316">
        <w:t>or</w:t>
      </w:r>
      <w:proofErr w:type="spellEnd"/>
      <w:r w:rsidRPr="00D42316">
        <w:t xml:space="preserve"> </w:t>
      </w:r>
      <w:proofErr w:type="spellStart"/>
      <w:r w:rsidRPr="00D42316">
        <w:t>actions</w:t>
      </w:r>
      <w:proofErr w:type="spellEnd"/>
      <w:r w:rsidRPr="00D42316">
        <w:t xml:space="preserve"> </w:t>
      </w:r>
      <w:proofErr w:type="spellStart"/>
      <w:r w:rsidRPr="00D42316">
        <w:t>that</w:t>
      </w:r>
      <w:proofErr w:type="spellEnd"/>
      <w:r w:rsidRPr="00D42316">
        <w:t xml:space="preserve"> </w:t>
      </w:r>
      <w:proofErr w:type="spellStart"/>
      <w:r w:rsidRPr="00D42316">
        <w:t>possess</w:t>
      </w:r>
      <w:proofErr w:type="spellEnd"/>
      <w:r w:rsidRPr="00D42316">
        <w:t xml:space="preserve"> </w:t>
      </w:r>
      <w:proofErr w:type="spellStart"/>
      <w:r w:rsidRPr="00D42316">
        <w:t>literal</w:t>
      </w:r>
      <w:proofErr w:type="spellEnd"/>
      <w:r w:rsidRPr="00D42316">
        <w:t xml:space="preserve"> </w:t>
      </w:r>
      <w:proofErr w:type="spellStart"/>
      <w:r w:rsidRPr="00D42316">
        <w:t>meanings</w:t>
      </w:r>
      <w:proofErr w:type="spellEnd"/>
      <w:r w:rsidRPr="00D42316">
        <w:t xml:space="preserve"> yet </w:t>
      </w:r>
      <w:proofErr w:type="spellStart"/>
      <w:r w:rsidRPr="00D42316">
        <w:t>evoke</w:t>
      </w:r>
      <w:proofErr w:type="spellEnd"/>
      <w:r w:rsidRPr="00D42316">
        <w:t xml:space="preserve"> </w:t>
      </w:r>
      <w:proofErr w:type="spellStart"/>
      <w:r w:rsidRPr="00D42316">
        <w:t>more</w:t>
      </w:r>
      <w:proofErr w:type="spellEnd"/>
      <w:r w:rsidRPr="00D42316">
        <w:t xml:space="preserve"> </w:t>
      </w:r>
      <w:proofErr w:type="spellStart"/>
      <w:r w:rsidRPr="00D42316">
        <w:t>decadent</w:t>
      </w:r>
      <w:proofErr w:type="spellEnd"/>
      <w:r w:rsidRPr="00D42316">
        <w:t xml:space="preserve"> </w:t>
      </w:r>
      <w:proofErr w:type="spellStart"/>
      <w:r w:rsidRPr="00D42316">
        <w:t>interpretations</w:t>
      </w:r>
      <w:proofErr w:type="spellEnd"/>
      <w:r w:rsidRPr="00D42316">
        <w:t xml:space="preserve">. </w:t>
      </w:r>
      <w:proofErr w:type="spellStart"/>
      <w:r w:rsidRPr="00D42316">
        <w:t>The</w:t>
      </w:r>
      <w:proofErr w:type="spellEnd"/>
      <w:r w:rsidRPr="00D42316">
        <w:t xml:space="preserve"> </w:t>
      </w:r>
      <w:proofErr w:type="spellStart"/>
      <w:r w:rsidRPr="00D42316">
        <w:t>inclusion</w:t>
      </w:r>
      <w:proofErr w:type="spellEnd"/>
      <w:r w:rsidRPr="00D42316">
        <w:t xml:space="preserve"> of </w:t>
      </w:r>
      <w:proofErr w:type="spellStart"/>
      <w:r w:rsidRPr="00D42316">
        <w:t>these</w:t>
      </w:r>
      <w:proofErr w:type="spellEnd"/>
      <w:r w:rsidRPr="00D42316">
        <w:t xml:space="preserve"> </w:t>
      </w:r>
      <w:proofErr w:type="spellStart"/>
      <w:r w:rsidRPr="00D42316">
        <w:t>components</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model </w:t>
      </w:r>
      <w:proofErr w:type="spellStart"/>
      <w:r w:rsidRPr="00D42316">
        <w:t>are</w:t>
      </w:r>
      <w:proofErr w:type="spellEnd"/>
      <w:r w:rsidRPr="00D42316">
        <w:t xml:space="preserve"> </w:t>
      </w:r>
      <w:proofErr w:type="spellStart"/>
      <w:r w:rsidRPr="00D42316">
        <w:t>termed</w:t>
      </w:r>
      <w:proofErr w:type="spellEnd"/>
      <w:r w:rsidRPr="00D42316">
        <w:t xml:space="preserve"> </w:t>
      </w:r>
      <w:proofErr w:type="spellStart"/>
      <w:r w:rsidRPr="00D42316">
        <w:t>fictional</w:t>
      </w:r>
      <w:proofErr w:type="spellEnd"/>
      <w:r w:rsidRPr="00D42316">
        <w:t xml:space="preserve"> </w:t>
      </w:r>
      <w:proofErr w:type="spellStart"/>
      <w:r w:rsidRPr="00D42316">
        <w:t>shifts</w:t>
      </w:r>
      <w:proofErr w:type="spellEnd"/>
      <w:r w:rsidRPr="00D42316">
        <w:t xml:space="preserve"> </w:t>
      </w:r>
      <w:proofErr w:type="spellStart"/>
      <w:r w:rsidRPr="00D42316">
        <w:t>within</w:t>
      </w:r>
      <w:proofErr w:type="spellEnd"/>
      <w:r w:rsidRPr="00D42316">
        <w:t xml:space="preserve"> </w:t>
      </w:r>
      <w:proofErr w:type="spellStart"/>
      <w:r w:rsidRPr="00D42316">
        <w:t>this</w:t>
      </w:r>
      <w:proofErr w:type="spellEnd"/>
      <w:r w:rsidRPr="00D42316">
        <w:t xml:space="preserve"> </w:t>
      </w:r>
      <w:proofErr w:type="spellStart"/>
      <w:r w:rsidRPr="00D42316">
        <w:t>framework</w:t>
      </w:r>
      <w:proofErr w:type="spellEnd"/>
      <w:r w:rsidRPr="00D42316">
        <w:t xml:space="preserve"> </w:t>
      </w:r>
      <w:proofErr w:type="spellStart"/>
      <w:r w:rsidRPr="00D42316">
        <w:t>and</w:t>
      </w:r>
      <w:proofErr w:type="spellEnd"/>
      <w:r w:rsidRPr="00D42316">
        <w:t xml:space="preserve"> </w:t>
      </w:r>
      <w:proofErr w:type="spellStart"/>
      <w:r w:rsidRPr="00D42316">
        <w:t>added</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original</w:t>
      </w:r>
      <w:proofErr w:type="spellEnd"/>
      <w:r w:rsidRPr="00D42316">
        <w:t xml:space="preserve"> model as an </w:t>
      </w:r>
      <w:proofErr w:type="spellStart"/>
      <w:r w:rsidRPr="00D42316">
        <w:t>extended</w:t>
      </w:r>
      <w:proofErr w:type="spellEnd"/>
      <w:r w:rsidRPr="00D42316">
        <w:t xml:space="preserve"> </w:t>
      </w:r>
      <w:proofErr w:type="spellStart"/>
      <w:r w:rsidRPr="00D42316">
        <w:t>category</w:t>
      </w:r>
      <w:proofErr w:type="spellEnd"/>
      <w:r w:rsidRPr="00D42316">
        <w:t xml:space="preserv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this</w:t>
      </w:r>
      <w:proofErr w:type="spellEnd"/>
      <w:r w:rsidRPr="00D42316">
        <w:t xml:space="preserve"> </w:t>
      </w:r>
      <w:proofErr w:type="spellStart"/>
      <w:r w:rsidRPr="00D42316">
        <w:t>added</w:t>
      </w:r>
      <w:proofErr w:type="spellEnd"/>
      <w:r w:rsidRPr="00D42316">
        <w:t xml:space="preserve"> </w:t>
      </w:r>
      <w:proofErr w:type="spellStart"/>
      <w:r w:rsidRPr="00D42316">
        <w:t>category</w:t>
      </w:r>
      <w:proofErr w:type="spellEnd"/>
      <w:r w:rsidRPr="00D42316">
        <w:t xml:space="preserve"> of </w:t>
      </w:r>
      <w:proofErr w:type="spellStart"/>
      <w:r w:rsidRPr="00D42316">
        <w:t>shifts</w:t>
      </w:r>
      <w:proofErr w:type="spellEnd"/>
      <w:r w:rsidRPr="00D42316">
        <w:t xml:space="preserve"> </w:t>
      </w:r>
      <w:proofErr w:type="spellStart"/>
      <w:r w:rsidRPr="00D42316">
        <w:t>was</w:t>
      </w:r>
      <w:proofErr w:type="spellEnd"/>
      <w:r w:rsidRPr="00D42316">
        <w:t xml:space="preserve"> </w:t>
      </w:r>
      <w:proofErr w:type="spellStart"/>
      <w:r w:rsidRPr="00D42316">
        <w:t>applied</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film </w:t>
      </w:r>
      <w:proofErr w:type="spellStart"/>
      <w:r w:rsidRPr="00D42316">
        <w:t>adaptation</w:t>
      </w:r>
      <w:proofErr w:type="spellEnd"/>
      <w:r w:rsidRPr="00D42316">
        <w:t xml:space="preserve"> of Umberto </w:t>
      </w:r>
      <w:proofErr w:type="spellStart"/>
      <w:r w:rsidRPr="00D42316">
        <w:t>Eco's</w:t>
      </w:r>
      <w:proofErr w:type="spellEnd"/>
      <w:r w:rsidRPr="00D42316">
        <w:t xml:space="preserve"> </w:t>
      </w:r>
      <w:proofErr w:type="spellStart"/>
      <w:r w:rsidRPr="00D42316">
        <w:rPr>
          <w:i/>
        </w:rPr>
        <w:t>The</w:t>
      </w:r>
      <w:proofErr w:type="spellEnd"/>
      <w:r w:rsidRPr="00D42316">
        <w:rPr>
          <w:i/>
        </w:rPr>
        <w:t xml:space="preserve"> Name of </w:t>
      </w:r>
      <w:proofErr w:type="spellStart"/>
      <w:r w:rsidRPr="00D42316">
        <w:rPr>
          <w:i/>
        </w:rPr>
        <w:t>the</w:t>
      </w:r>
      <w:proofErr w:type="spellEnd"/>
      <w:r w:rsidRPr="00D42316">
        <w:rPr>
          <w:i/>
        </w:rPr>
        <w:t xml:space="preserve"> </w:t>
      </w:r>
      <w:proofErr w:type="spellStart"/>
      <w:r w:rsidRPr="00D42316">
        <w:rPr>
          <w:i/>
        </w:rPr>
        <w:t>Rose</w:t>
      </w:r>
      <w:proofErr w:type="spellEnd"/>
      <w:r w:rsidRPr="00D42316">
        <w:t xml:space="preserve">, </w:t>
      </w:r>
      <w:proofErr w:type="spellStart"/>
      <w:r w:rsidRPr="00D42316">
        <w:t>published</w:t>
      </w:r>
      <w:proofErr w:type="spellEnd"/>
      <w:r w:rsidRPr="00D42316">
        <w:t xml:space="preserve"> in 1980. </w:t>
      </w:r>
      <w:proofErr w:type="spellStart"/>
      <w:r w:rsidRPr="00D42316">
        <w:t>This</w:t>
      </w:r>
      <w:proofErr w:type="spellEnd"/>
      <w:r w:rsidRPr="00D42316">
        <w:t xml:space="preserve"> </w:t>
      </w:r>
      <w:proofErr w:type="spellStart"/>
      <w:r w:rsidRPr="00D42316">
        <w:t>compelling</w:t>
      </w:r>
      <w:proofErr w:type="spellEnd"/>
      <w:r w:rsidRPr="00D42316">
        <w:t xml:space="preserve"> </w:t>
      </w:r>
      <w:proofErr w:type="spellStart"/>
      <w:r w:rsidRPr="00D42316">
        <w:t>historical</w:t>
      </w:r>
      <w:proofErr w:type="spellEnd"/>
      <w:r w:rsidRPr="00D42316">
        <w:t xml:space="preserve"> </w:t>
      </w:r>
      <w:proofErr w:type="spellStart"/>
      <w:r w:rsidRPr="00D42316">
        <w:t>murder</w:t>
      </w:r>
      <w:proofErr w:type="spellEnd"/>
      <w:r w:rsidRPr="00D42316">
        <w:t xml:space="preserve"> </w:t>
      </w:r>
      <w:proofErr w:type="spellStart"/>
      <w:r w:rsidRPr="00D42316">
        <w:t>mystery</w:t>
      </w:r>
      <w:proofErr w:type="spellEnd"/>
      <w:r w:rsidRPr="00D42316">
        <w:t xml:space="preserve">, set </w:t>
      </w:r>
      <w:proofErr w:type="spellStart"/>
      <w:r w:rsidRPr="00D42316">
        <w:t>against</w:t>
      </w:r>
      <w:proofErr w:type="spellEnd"/>
      <w:r w:rsidRPr="00D42316">
        <w:t xml:space="preserve"> </w:t>
      </w:r>
      <w:proofErr w:type="spellStart"/>
      <w:r w:rsidRPr="00D42316">
        <w:t>the</w:t>
      </w:r>
      <w:proofErr w:type="spellEnd"/>
      <w:r w:rsidRPr="00D42316">
        <w:t xml:space="preserve"> </w:t>
      </w:r>
      <w:proofErr w:type="spellStart"/>
      <w:r w:rsidRPr="00D42316">
        <w:t>backdrop</w:t>
      </w:r>
      <w:proofErr w:type="spellEnd"/>
      <w:r w:rsidRPr="00D42316">
        <w:t xml:space="preserve"> of an </w:t>
      </w:r>
      <w:proofErr w:type="spellStart"/>
      <w:r w:rsidRPr="00D42316">
        <w:t>Italian</w:t>
      </w:r>
      <w:proofErr w:type="spellEnd"/>
      <w:r w:rsidRPr="00D42316">
        <w:t xml:space="preserve"> </w:t>
      </w:r>
      <w:proofErr w:type="spellStart"/>
      <w:r w:rsidRPr="00D42316">
        <w:t>monastery</w:t>
      </w:r>
      <w:proofErr w:type="spellEnd"/>
      <w:r w:rsidRPr="00D42316">
        <w:t xml:space="preserve"> in 1327, </w:t>
      </w:r>
      <w:proofErr w:type="spellStart"/>
      <w:r w:rsidRPr="00D42316">
        <w:t>was</w:t>
      </w:r>
      <w:proofErr w:type="spellEnd"/>
      <w:r w:rsidRPr="00D42316">
        <w:t xml:space="preserve"> </w:t>
      </w:r>
      <w:proofErr w:type="spellStart"/>
      <w:r w:rsidRPr="00D42316">
        <w:t>brought</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screen</w:t>
      </w:r>
      <w:proofErr w:type="spellEnd"/>
      <w:r w:rsidRPr="00D42316">
        <w:t xml:space="preserve"> in 1986, </w:t>
      </w:r>
      <w:proofErr w:type="spellStart"/>
      <w:r w:rsidRPr="00D42316">
        <w:t>featuring</w:t>
      </w:r>
      <w:proofErr w:type="spellEnd"/>
      <w:r w:rsidRPr="00D42316">
        <w:t xml:space="preserve"> Sean </w:t>
      </w:r>
      <w:proofErr w:type="spellStart"/>
      <w:r w:rsidRPr="00D42316">
        <w:t>Connery</w:t>
      </w:r>
      <w:proofErr w:type="spellEnd"/>
      <w:r w:rsidRPr="00D42316">
        <w:t xml:space="preserve"> </w:t>
      </w:r>
      <w:proofErr w:type="spellStart"/>
      <w:r w:rsidRPr="00D42316">
        <w:t>under</w:t>
      </w:r>
      <w:proofErr w:type="spellEnd"/>
      <w:r w:rsidRPr="00D42316">
        <w:t xml:space="preserve"> </w:t>
      </w:r>
      <w:proofErr w:type="spellStart"/>
      <w:r w:rsidRPr="00D42316">
        <w:t>the</w:t>
      </w:r>
      <w:proofErr w:type="spellEnd"/>
      <w:r w:rsidRPr="00D42316">
        <w:t xml:space="preserve"> </w:t>
      </w:r>
      <w:proofErr w:type="spellStart"/>
      <w:r w:rsidRPr="00D42316">
        <w:t>direction</w:t>
      </w:r>
      <w:proofErr w:type="spellEnd"/>
      <w:r w:rsidRPr="00D42316">
        <w:t xml:space="preserve"> of Jean-Jacques </w:t>
      </w:r>
      <w:proofErr w:type="spellStart"/>
      <w:r w:rsidRPr="00D42316">
        <w:t>Annaud</w:t>
      </w:r>
      <w:proofErr w:type="spellEnd"/>
      <w:r w:rsidRPr="00D42316">
        <w:t xml:space="preserve">. </w:t>
      </w:r>
      <w:proofErr w:type="spellStart"/>
      <w:r w:rsidRPr="00D42316">
        <w:t>To</w:t>
      </w:r>
      <w:proofErr w:type="spellEnd"/>
      <w:r w:rsidRPr="00D42316">
        <w:t xml:space="preserve"> </w:t>
      </w:r>
      <w:proofErr w:type="spellStart"/>
      <w:r w:rsidRPr="00D42316">
        <w:t>identify</w:t>
      </w:r>
      <w:proofErr w:type="spellEnd"/>
      <w:r w:rsidRPr="00D42316">
        <w:t xml:space="preserve"> </w:t>
      </w:r>
      <w:proofErr w:type="spellStart"/>
      <w:r w:rsidRPr="00D42316">
        <w:t>the</w:t>
      </w:r>
      <w:proofErr w:type="spellEnd"/>
      <w:r w:rsidRPr="00D42316">
        <w:t xml:space="preserve"> </w:t>
      </w:r>
      <w:proofErr w:type="spellStart"/>
      <w:r w:rsidRPr="00D42316">
        <w:t>fictional</w:t>
      </w:r>
      <w:proofErr w:type="spellEnd"/>
      <w:r w:rsidRPr="00D42316">
        <w:t xml:space="preserve"> </w:t>
      </w:r>
      <w:proofErr w:type="spellStart"/>
      <w:r w:rsidRPr="00D42316">
        <w:t>shifts</w:t>
      </w:r>
      <w:proofErr w:type="spellEnd"/>
      <w:r w:rsidRPr="00D42316">
        <w:t xml:space="preserve">, </w:t>
      </w:r>
      <w:proofErr w:type="spellStart"/>
      <w:r w:rsidRPr="00D42316">
        <w:t>five</w:t>
      </w:r>
      <w:proofErr w:type="spellEnd"/>
      <w:r w:rsidRPr="00D42316">
        <w:t xml:space="preserve"> </w:t>
      </w:r>
      <w:proofErr w:type="spellStart"/>
      <w:r w:rsidRPr="00D42316">
        <w:t>prominent</w:t>
      </w:r>
      <w:proofErr w:type="spellEnd"/>
      <w:r w:rsidRPr="00D42316">
        <w:t xml:space="preserve"> </w:t>
      </w:r>
      <w:proofErr w:type="spellStart"/>
      <w:r w:rsidRPr="00D42316">
        <w:t>themes</w:t>
      </w:r>
      <w:proofErr w:type="spellEnd"/>
      <w:r w:rsidRPr="00D42316">
        <w:t xml:space="preserve"> </w:t>
      </w:r>
      <w:proofErr w:type="spellStart"/>
      <w:r w:rsidRPr="00D42316">
        <w:t>that</w:t>
      </w:r>
      <w:proofErr w:type="spellEnd"/>
      <w:r w:rsidRPr="00D42316">
        <w:t xml:space="preserve"> </w:t>
      </w:r>
      <w:proofErr w:type="spellStart"/>
      <w:r w:rsidRPr="00D42316">
        <w:t>recur</w:t>
      </w:r>
      <w:proofErr w:type="spellEnd"/>
      <w:r w:rsidRPr="00D42316">
        <w:t xml:space="preserve"> </w:t>
      </w:r>
      <w:proofErr w:type="spellStart"/>
      <w:r w:rsidRPr="00D42316">
        <w:t>throughout</w:t>
      </w:r>
      <w:proofErr w:type="spellEnd"/>
      <w:r w:rsidRPr="00D42316">
        <w:t xml:space="preserve"> </w:t>
      </w:r>
      <w:proofErr w:type="spellStart"/>
      <w:r w:rsidRPr="00D42316">
        <w:t>the</w:t>
      </w:r>
      <w:proofErr w:type="spellEnd"/>
      <w:r w:rsidRPr="00D42316">
        <w:t xml:space="preserve"> </w:t>
      </w:r>
      <w:proofErr w:type="spellStart"/>
      <w:r w:rsidRPr="00D42316">
        <w:t>novel</w:t>
      </w:r>
      <w:proofErr w:type="spellEnd"/>
      <w:r w:rsidRPr="00D42316">
        <w:t xml:space="preserve"> (</w:t>
      </w:r>
      <w:proofErr w:type="spellStart"/>
      <w:r w:rsidRPr="00D42316">
        <w:t>Semiotics</w:t>
      </w:r>
      <w:proofErr w:type="spellEnd"/>
      <w:r w:rsidRPr="00D42316">
        <w:t xml:space="preserve"> </w:t>
      </w:r>
      <w:proofErr w:type="spellStart"/>
      <w:r w:rsidRPr="00D42316">
        <w:t>and</w:t>
      </w:r>
      <w:proofErr w:type="spellEnd"/>
      <w:r w:rsidRPr="00D42316">
        <w:t xml:space="preserve"> </w:t>
      </w:r>
      <w:proofErr w:type="spellStart"/>
      <w:r w:rsidRPr="00D42316">
        <w:t>Interpretation</w:t>
      </w:r>
      <w:proofErr w:type="spellEnd"/>
      <w:r w:rsidRPr="00D42316">
        <w:t xml:space="preserve">, </w:t>
      </w:r>
      <w:proofErr w:type="spellStart"/>
      <w:r w:rsidRPr="00D42316">
        <w:t>The</w:t>
      </w:r>
      <w:proofErr w:type="spellEnd"/>
      <w:r w:rsidRPr="00D42316">
        <w:t xml:space="preserve"> Role of </w:t>
      </w:r>
      <w:proofErr w:type="spellStart"/>
      <w:r w:rsidRPr="00D42316">
        <w:t>Books</w:t>
      </w:r>
      <w:proofErr w:type="spellEnd"/>
      <w:r w:rsidRPr="00D42316">
        <w:t xml:space="preserve"> </w:t>
      </w:r>
      <w:proofErr w:type="spellStart"/>
      <w:r w:rsidRPr="00D42316">
        <w:t>and</w:t>
      </w:r>
      <w:proofErr w:type="spellEnd"/>
      <w:r w:rsidRPr="00D42316">
        <w:t xml:space="preserve"> </w:t>
      </w:r>
      <w:proofErr w:type="spellStart"/>
      <w:r w:rsidRPr="00D42316">
        <w:t>Interpretation</w:t>
      </w:r>
      <w:proofErr w:type="spellEnd"/>
      <w:r w:rsidRPr="00D42316">
        <w:t xml:space="preserve">, </w:t>
      </w:r>
      <w:proofErr w:type="spellStart"/>
      <w:r w:rsidRPr="00D42316">
        <w:t>Religion</w:t>
      </w:r>
      <w:proofErr w:type="spellEnd"/>
      <w:r w:rsidRPr="00D42316">
        <w:t xml:space="preserve">, </w:t>
      </w:r>
      <w:proofErr w:type="spellStart"/>
      <w:r w:rsidRPr="00D42316">
        <w:t>Order</w:t>
      </w:r>
      <w:proofErr w:type="spellEnd"/>
      <w:r w:rsidRPr="00D42316">
        <w:t xml:space="preserve"> </w:t>
      </w:r>
      <w:proofErr w:type="spellStart"/>
      <w:r w:rsidRPr="00D42316">
        <w:t>versus</w:t>
      </w:r>
      <w:proofErr w:type="spellEnd"/>
      <w:r w:rsidRPr="00D42316">
        <w:t xml:space="preserve"> Chaos, </w:t>
      </w:r>
      <w:proofErr w:type="spellStart"/>
      <w:r w:rsidRPr="00D42316">
        <w:t>and</w:t>
      </w:r>
      <w:proofErr w:type="spellEnd"/>
      <w:r w:rsidRPr="00D42316">
        <w:t xml:space="preserve"> </w:t>
      </w:r>
      <w:proofErr w:type="spellStart"/>
      <w:r w:rsidRPr="00D42316">
        <w:t>Women</w:t>
      </w:r>
      <w:proofErr w:type="spellEnd"/>
      <w:r w:rsidRPr="00D42316">
        <w:t xml:space="preserve"> as Dangerous Objects) </w:t>
      </w:r>
      <w:proofErr w:type="spellStart"/>
      <w:r w:rsidRPr="00D42316">
        <w:t>and</w:t>
      </w:r>
      <w:proofErr w:type="spellEnd"/>
      <w:r w:rsidRPr="00D42316">
        <w:t xml:space="preserve"> </w:t>
      </w:r>
      <w:proofErr w:type="spellStart"/>
      <w:r w:rsidRPr="00D42316">
        <w:t>five</w:t>
      </w:r>
      <w:proofErr w:type="spellEnd"/>
      <w:r w:rsidRPr="00D42316">
        <w:t xml:space="preserve"> </w:t>
      </w:r>
      <w:proofErr w:type="spellStart"/>
      <w:r w:rsidRPr="00D42316">
        <w:t>significant</w:t>
      </w:r>
      <w:proofErr w:type="spellEnd"/>
      <w:r w:rsidRPr="00D42316">
        <w:t xml:space="preserve"> </w:t>
      </w:r>
      <w:proofErr w:type="spellStart"/>
      <w:r w:rsidRPr="00D42316">
        <w:t>symbols</w:t>
      </w:r>
      <w:proofErr w:type="spellEnd"/>
      <w:r w:rsidRPr="00D42316">
        <w:t xml:space="preserve"> (</w:t>
      </w:r>
      <w:proofErr w:type="spellStart"/>
      <w:r w:rsidRPr="00D42316">
        <w:t>The</w:t>
      </w:r>
      <w:proofErr w:type="spellEnd"/>
      <w:r w:rsidRPr="00D42316">
        <w:t xml:space="preserve"> </w:t>
      </w:r>
      <w:proofErr w:type="spellStart"/>
      <w:r w:rsidRPr="00D42316">
        <w:t>Rose</w:t>
      </w:r>
      <w:proofErr w:type="spellEnd"/>
      <w:r w:rsidRPr="00D42316">
        <w:t xml:space="preserve">, </w:t>
      </w:r>
      <w:proofErr w:type="spellStart"/>
      <w:r w:rsidRPr="00D42316">
        <w:t>William’s</w:t>
      </w:r>
      <w:proofErr w:type="spellEnd"/>
      <w:r w:rsidRPr="00D42316">
        <w:t xml:space="preserve"> </w:t>
      </w:r>
      <w:proofErr w:type="spellStart"/>
      <w:r w:rsidRPr="00D42316">
        <w:t>Glasses</w:t>
      </w:r>
      <w:proofErr w:type="spellEnd"/>
      <w:r w:rsidRPr="00D42316">
        <w:t xml:space="preserve">, </w:t>
      </w:r>
      <w:proofErr w:type="spellStart"/>
      <w:r w:rsidR="00E3302B">
        <w:t>T</w:t>
      </w:r>
      <w:r w:rsidRPr="00D42316">
        <w:t>he</w:t>
      </w:r>
      <w:proofErr w:type="spellEnd"/>
      <w:r w:rsidRPr="00D42316">
        <w:t xml:space="preserve"> Library, </w:t>
      </w:r>
      <w:proofErr w:type="spellStart"/>
      <w:r w:rsidRPr="00D42316">
        <w:t>The</w:t>
      </w:r>
      <w:proofErr w:type="spellEnd"/>
      <w:r w:rsidRPr="00D42316">
        <w:t xml:space="preserve"> </w:t>
      </w:r>
      <w:proofErr w:type="spellStart"/>
      <w:r w:rsidRPr="00D42316">
        <w:t>Forbidden</w:t>
      </w:r>
      <w:proofErr w:type="spellEnd"/>
      <w:r w:rsidRPr="00D42316">
        <w:t xml:space="preserve"> </w:t>
      </w:r>
      <w:proofErr w:type="spellStart"/>
      <w:r w:rsidRPr="00D42316">
        <w:t>Book</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Labyrinth</w:t>
      </w:r>
      <w:proofErr w:type="spellEnd"/>
      <w:r w:rsidRPr="00D42316">
        <w:t xml:space="preserve">) </w:t>
      </w:r>
      <w:proofErr w:type="spellStart"/>
      <w:r w:rsidRPr="00D42316">
        <w:t>are</w:t>
      </w:r>
      <w:proofErr w:type="spellEnd"/>
      <w:r w:rsidRPr="00D42316">
        <w:t xml:space="preserve"> </w:t>
      </w:r>
      <w:proofErr w:type="spellStart"/>
      <w:r w:rsidRPr="00D42316">
        <w:t>identified</w:t>
      </w:r>
      <w:proofErr w:type="spellEnd"/>
      <w:r w:rsidRPr="00D42316">
        <w:t xml:space="preserve"> </w:t>
      </w:r>
      <w:proofErr w:type="spellStart"/>
      <w:r w:rsidRPr="00D42316">
        <w:t>and</w:t>
      </w:r>
      <w:proofErr w:type="spellEnd"/>
      <w:r w:rsidRPr="00D42316">
        <w:t xml:space="preserve"> </w:t>
      </w:r>
      <w:proofErr w:type="spellStart"/>
      <w:r w:rsidRPr="00D42316">
        <w:t>analyzed</w:t>
      </w:r>
      <w:proofErr w:type="spellEnd"/>
      <w:r w:rsidRPr="00D42316">
        <w:t xml:space="preserve">. </w:t>
      </w:r>
      <w:proofErr w:type="spellStart"/>
      <w:r w:rsidRPr="00D42316">
        <w:t>The</w:t>
      </w:r>
      <w:proofErr w:type="spellEnd"/>
      <w:r w:rsidRPr="00D42316">
        <w:t xml:space="preserve"> </w:t>
      </w:r>
      <w:proofErr w:type="spellStart"/>
      <w:r w:rsidRPr="00D42316">
        <w:t>findings</w:t>
      </w:r>
      <w:proofErr w:type="spellEnd"/>
      <w:r w:rsidRPr="00D42316">
        <w:t xml:space="preserve"> </w:t>
      </w:r>
      <w:proofErr w:type="spellStart"/>
      <w:r w:rsidRPr="00D42316">
        <w:t>suggested</w:t>
      </w:r>
      <w:proofErr w:type="spellEnd"/>
      <w:r w:rsidRPr="00D42316">
        <w:t xml:space="preserve"> </w:t>
      </w:r>
      <w:proofErr w:type="spellStart"/>
      <w:r w:rsidRPr="00D42316">
        <w:t>that</w:t>
      </w:r>
      <w:proofErr w:type="spellEnd"/>
      <w:r w:rsidRPr="00D42316">
        <w:t xml:space="preserve"> </w:t>
      </w:r>
      <w:proofErr w:type="spellStart"/>
      <w:r w:rsidRPr="00D42316">
        <w:t>while</w:t>
      </w:r>
      <w:proofErr w:type="spellEnd"/>
      <w:r w:rsidRPr="00D42316">
        <w:t xml:space="preserve"> </w:t>
      </w:r>
      <w:proofErr w:type="spellStart"/>
      <w:r w:rsidRPr="00D42316">
        <w:t>the</w:t>
      </w:r>
      <w:proofErr w:type="spellEnd"/>
      <w:r w:rsidRPr="00D42316">
        <w:t xml:space="preserve"> film </w:t>
      </w:r>
      <w:proofErr w:type="spellStart"/>
      <w:r w:rsidRPr="00D42316">
        <w:t>captured</w:t>
      </w:r>
      <w:proofErr w:type="spellEnd"/>
      <w:r w:rsidRPr="00D42316">
        <w:t xml:space="preserve"> </w:t>
      </w:r>
      <w:proofErr w:type="spellStart"/>
      <w:r w:rsidRPr="00D42316">
        <w:t>the</w:t>
      </w:r>
      <w:proofErr w:type="spellEnd"/>
      <w:r w:rsidRPr="00D42316">
        <w:t xml:space="preserve"> </w:t>
      </w:r>
      <w:proofErr w:type="spellStart"/>
      <w:r w:rsidRPr="00D42316">
        <w:t>essence</w:t>
      </w:r>
      <w:proofErr w:type="spellEnd"/>
      <w:r w:rsidRPr="00D42316">
        <w:t xml:space="preserve"> of </w:t>
      </w:r>
      <w:proofErr w:type="spellStart"/>
      <w:r w:rsidRPr="00D42316">
        <w:t>the</w:t>
      </w:r>
      <w:proofErr w:type="spellEnd"/>
      <w:r w:rsidRPr="00D42316">
        <w:t xml:space="preserve"> </w:t>
      </w:r>
      <w:proofErr w:type="spellStart"/>
      <w:r w:rsidRPr="00D42316">
        <w:t>identified</w:t>
      </w:r>
      <w:proofErr w:type="spellEnd"/>
      <w:r w:rsidRPr="00D42316">
        <w:t xml:space="preserve"> </w:t>
      </w:r>
      <w:proofErr w:type="spellStart"/>
      <w:r w:rsidRPr="00D42316">
        <w:t>symbols</w:t>
      </w:r>
      <w:proofErr w:type="spellEnd"/>
      <w:r w:rsidRPr="00D42316">
        <w:t>—</w:t>
      </w:r>
      <w:proofErr w:type="spellStart"/>
      <w:r w:rsidRPr="00D42316">
        <w:t>imbuing</w:t>
      </w:r>
      <w:proofErr w:type="spellEnd"/>
      <w:r w:rsidRPr="00D42316">
        <w:t xml:space="preserve"> </w:t>
      </w:r>
      <w:proofErr w:type="spellStart"/>
      <w:r w:rsidRPr="00D42316">
        <w:t>them</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significance</w:t>
      </w:r>
      <w:proofErr w:type="spellEnd"/>
      <w:r w:rsidRPr="00D42316">
        <w:t xml:space="preserve"> they </w:t>
      </w:r>
      <w:proofErr w:type="spellStart"/>
      <w:r w:rsidRPr="00D42316">
        <w:t>deserved</w:t>
      </w:r>
      <w:proofErr w:type="spellEnd"/>
      <w:r w:rsidRPr="00D42316">
        <w:t xml:space="preserve">—it </w:t>
      </w:r>
      <w:proofErr w:type="spellStart"/>
      <w:r w:rsidRPr="00D42316">
        <w:t>fell</w:t>
      </w:r>
      <w:proofErr w:type="spellEnd"/>
      <w:r w:rsidRPr="00D42316">
        <w:t xml:space="preserve"> </w:t>
      </w:r>
      <w:proofErr w:type="spellStart"/>
      <w:r w:rsidRPr="00D42316">
        <w:t>short</w:t>
      </w:r>
      <w:proofErr w:type="spellEnd"/>
      <w:r w:rsidRPr="00D42316">
        <w:t xml:space="preserve"> of </w:t>
      </w:r>
      <w:proofErr w:type="spellStart"/>
      <w:r w:rsidRPr="00D42316">
        <w:t>effectively</w:t>
      </w:r>
      <w:proofErr w:type="spellEnd"/>
      <w:r w:rsidRPr="00D42316">
        <w:t xml:space="preserve"> </w:t>
      </w:r>
      <w:proofErr w:type="spellStart"/>
      <w:r w:rsidRPr="00D42316">
        <w:t>conveying</w:t>
      </w:r>
      <w:proofErr w:type="spellEnd"/>
      <w:r w:rsidRPr="00D42316">
        <w:t xml:space="preserve"> </w:t>
      </w:r>
      <w:proofErr w:type="spellStart"/>
      <w:r w:rsidRPr="00D42316">
        <w:t>the</w:t>
      </w:r>
      <w:proofErr w:type="spellEnd"/>
      <w:r w:rsidRPr="00D42316">
        <w:t xml:space="preserve"> </w:t>
      </w:r>
      <w:proofErr w:type="spellStart"/>
      <w:r w:rsidRPr="00D42316">
        <w:t>rich</w:t>
      </w:r>
      <w:proofErr w:type="spellEnd"/>
      <w:r w:rsidRPr="00D42316">
        <w:t xml:space="preserve"> </w:t>
      </w:r>
      <w:proofErr w:type="spellStart"/>
      <w:r w:rsidRPr="00D42316">
        <w:t>thematic</w:t>
      </w:r>
      <w:proofErr w:type="spellEnd"/>
      <w:r w:rsidRPr="00D42316">
        <w:t xml:space="preserve"> </w:t>
      </w:r>
      <w:proofErr w:type="spellStart"/>
      <w:r w:rsidRPr="00D42316">
        <w:t>layers</w:t>
      </w:r>
      <w:proofErr w:type="spellEnd"/>
      <w:r w:rsidRPr="00D42316">
        <w:t xml:space="preserve"> in </w:t>
      </w:r>
      <w:proofErr w:type="spellStart"/>
      <w:r w:rsidRPr="00D42316">
        <w:t>Eco’s</w:t>
      </w:r>
      <w:proofErr w:type="spellEnd"/>
      <w:r w:rsidRPr="00D42316">
        <w:t xml:space="preserve"> </w:t>
      </w:r>
      <w:proofErr w:type="spellStart"/>
      <w:r w:rsidRPr="00D42316">
        <w:t>original</w:t>
      </w:r>
      <w:proofErr w:type="spellEnd"/>
      <w:r w:rsidRPr="00D42316">
        <w:t xml:space="preserve"> </w:t>
      </w:r>
      <w:proofErr w:type="spellStart"/>
      <w:r w:rsidRPr="00D42316">
        <w:t>novel</w:t>
      </w:r>
      <w:proofErr w:type="spellEnd"/>
      <w:r w:rsidRPr="00D42316">
        <w:t>.</w:t>
      </w:r>
    </w:p>
    <w:p w14:paraId="30786064" w14:textId="77777777" w:rsidR="00F84AD5" w:rsidRPr="00D42316" w:rsidRDefault="00F84AD5" w:rsidP="009C2F96">
      <w:pPr>
        <w:jc w:val="both"/>
      </w:pPr>
    </w:p>
    <w:p w14:paraId="0F9FEA81" w14:textId="7C868E0A" w:rsidR="00FC4D53" w:rsidRDefault="000C6508" w:rsidP="009C2F96">
      <w:pPr>
        <w:jc w:val="both"/>
      </w:pPr>
      <w:proofErr w:type="spellStart"/>
      <w:r>
        <w:rPr>
          <w:b/>
        </w:rPr>
        <w:t>Keywords</w:t>
      </w:r>
      <w:proofErr w:type="spellEnd"/>
      <w:r w:rsidR="00AC051C" w:rsidRPr="00D42316">
        <w:rPr>
          <w:b/>
        </w:rPr>
        <w:t>:</w:t>
      </w:r>
      <w:r w:rsidR="00AC051C" w:rsidRPr="00D42316">
        <w:t xml:space="preserve"> </w:t>
      </w:r>
      <w:proofErr w:type="spellStart"/>
      <w:r w:rsidR="00AC051C" w:rsidRPr="00D42316">
        <w:t>Intersemiotic</w:t>
      </w:r>
      <w:proofErr w:type="spellEnd"/>
      <w:r w:rsidR="00AC051C" w:rsidRPr="00D42316">
        <w:t xml:space="preserve"> </w:t>
      </w:r>
      <w:proofErr w:type="spellStart"/>
      <w:r w:rsidR="00AC051C" w:rsidRPr="00D42316">
        <w:t>Translation</w:t>
      </w:r>
      <w:proofErr w:type="spellEnd"/>
      <w:r w:rsidR="00AC051C" w:rsidRPr="00D42316">
        <w:t xml:space="preserve">, Film Adaptation, Adaptation </w:t>
      </w:r>
      <w:proofErr w:type="spellStart"/>
      <w:r w:rsidR="00AC051C" w:rsidRPr="00D42316">
        <w:t>Shifts</w:t>
      </w:r>
      <w:proofErr w:type="spellEnd"/>
      <w:r w:rsidR="00AC051C" w:rsidRPr="00D42316">
        <w:t xml:space="preserve">, </w:t>
      </w:r>
      <w:proofErr w:type="spellStart"/>
      <w:r w:rsidR="00AC051C" w:rsidRPr="00D42316">
        <w:t>Fictional</w:t>
      </w:r>
      <w:proofErr w:type="spellEnd"/>
      <w:r w:rsidR="00AC051C" w:rsidRPr="00D42316">
        <w:t xml:space="preserve"> </w:t>
      </w:r>
      <w:proofErr w:type="spellStart"/>
      <w:r w:rsidR="00AC051C" w:rsidRPr="00D42316">
        <w:t>Shifts</w:t>
      </w:r>
      <w:proofErr w:type="spellEnd"/>
      <w:r w:rsidR="00AC051C" w:rsidRPr="00D42316">
        <w:t xml:space="preserve">, </w:t>
      </w:r>
      <w:proofErr w:type="spellStart"/>
      <w:r w:rsidR="00AC051C" w:rsidRPr="00D42316">
        <w:t>The</w:t>
      </w:r>
      <w:proofErr w:type="spellEnd"/>
      <w:r w:rsidR="00AC051C" w:rsidRPr="00D42316">
        <w:t xml:space="preserve"> Name of </w:t>
      </w:r>
      <w:proofErr w:type="spellStart"/>
      <w:r w:rsidR="00AC051C" w:rsidRPr="00D42316">
        <w:t>the</w:t>
      </w:r>
      <w:proofErr w:type="spellEnd"/>
      <w:r w:rsidR="00AC051C" w:rsidRPr="00D42316">
        <w:t xml:space="preserve"> </w:t>
      </w:r>
      <w:proofErr w:type="spellStart"/>
      <w:r w:rsidR="00AC051C" w:rsidRPr="00D42316">
        <w:t>Rose</w:t>
      </w:r>
      <w:proofErr w:type="spellEnd"/>
    </w:p>
    <w:p w14:paraId="60BFBD33" w14:textId="563A140A" w:rsidR="00A7613A" w:rsidRPr="00D42316" w:rsidRDefault="00FC4D53" w:rsidP="009C2F96">
      <w:pPr>
        <w:autoSpaceDE/>
        <w:autoSpaceDN/>
      </w:pPr>
      <w:r>
        <w:br w:type="page"/>
      </w:r>
    </w:p>
    <w:p w14:paraId="7A415BC1" w14:textId="77777777" w:rsidR="003E3BD3" w:rsidRPr="003E3BD3" w:rsidRDefault="003E3BD3" w:rsidP="009C2F96">
      <w:pPr>
        <w:jc w:val="center"/>
        <w:rPr>
          <w:b/>
        </w:rPr>
      </w:pPr>
      <w:bookmarkStart w:id="30" w:name="_Toc192631170"/>
      <w:r w:rsidRPr="003E3BD3">
        <w:rPr>
          <w:b/>
        </w:rPr>
        <w:lastRenderedPageBreak/>
        <w:t xml:space="preserve">An Analysis of </w:t>
      </w:r>
      <w:proofErr w:type="spellStart"/>
      <w:r w:rsidRPr="003E3BD3">
        <w:rPr>
          <w:b/>
        </w:rPr>
        <w:t>Lexical</w:t>
      </w:r>
      <w:proofErr w:type="spellEnd"/>
      <w:r w:rsidRPr="003E3BD3">
        <w:rPr>
          <w:b/>
        </w:rPr>
        <w:t xml:space="preserve"> </w:t>
      </w:r>
      <w:proofErr w:type="spellStart"/>
      <w:r w:rsidRPr="003E3BD3">
        <w:rPr>
          <w:b/>
        </w:rPr>
        <w:t>Choices</w:t>
      </w:r>
      <w:proofErr w:type="spellEnd"/>
      <w:r w:rsidRPr="003E3BD3">
        <w:rPr>
          <w:b/>
        </w:rPr>
        <w:t xml:space="preserve"> in </w:t>
      </w:r>
      <w:proofErr w:type="spellStart"/>
      <w:r w:rsidRPr="003E3BD3">
        <w:rPr>
          <w:b/>
        </w:rPr>
        <w:t>the</w:t>
      </w:r>
      <w:proofErr w:type="spellEnd"/>
      <w:r w:rsidRPr="003E3BD3">
        <w:rPr>
          <w:b/>
        </w:rPr>
        <w:t xml:space="preserve"> </w:t>
      </w:r>
      <w:proofErr w:type="spellStart"/>
      <w:r w:rsidRPr="003E3BD3">
        <w:rPr>
          <w:b/>
        </w:rPr>
        <w:t>Translation</w:t>
      </w:r>
      <w:proofErr w:type="spellEnd"/>
      <w:r w:rsidRPr="003E3BD3">
        <w:rPr>
          <w:b/>
        </w:rPr>
        <w:t xml:space="preserve"> of Comic Series: </w:t>
      </w:r>
      <w:proofErr w:type="spellStart"/>
      <w:r w:rsidRPr="003E3BD3">
        <w:rPr>
          <w:b/>
          <w:i/>
        </w:rPr>
        <w:t>Quick</w:t>
      </w:r>
      <w:proofErr w:type="spellEnd"/>
      <w:r w:rsidRPr="003E3BD3">
        <w:rPr>
          <w:b/>
          <w:i/>
        </w:rPr>
        <w:t xml:space="preserve"> et </w:t>
      </w:r>
      <w:proofErr w:type="spellStart"/>
      <w:r w:rsidRPr="003E3BD3">
        <w:rPr>
          <w:b/>
          <w:i/>
        </w:rPr>
        <w:t>Flupke</w:t>
      </w:r>
      <w:bookmarkEnd w:id="30"/>
      <w:proofErr w:type="spellEnd"/>
    </w:p>
    <w:p w14:paraId="3869EA3C" w14:textId="77777777" w:rsidR="003E3BD3" w:rsidRPr="003E3BD3" w:rsidRDefault="003E3BD3" w:rsidP="009C2F96">
      <w:pPr>
        <w:jc w:val="both"/>
        <w:rPr>
          <w:b/>
        </w:rPr>
      </w:pPr>
    </w:p>
    <w:p w14:paraId="524BC1A8" w14:textId="77777777" w:rsidR="003E3BD3" w:rsidRPr="003E3BD3" w:rsidRDefault="003E3BD3" w:rsidP="009C2F96">
      <w:pPr>
        <w:jc w:val="center"/>
      </w:pPr>
      <w:r w:rsidRPr="003E3BD3">
        <w:t>Nesibe ERKALAN ÇAKIR</w:t>
      </w:r>
      <w:r w:rsidRPr="003E3BD3">
        <w:br/>
        <w:t xml:space="preserve">Dr. </w:t>
      </w:r>
      <w:proofErr w:type="spellStart"/>
      <w:r w:rsidRPr="003E3BD3">
        <w:t>Öğrt</w:t>
      </w:r>
      <w:proofErr w:type="spellEnd"/>
      <w:r w:rsidRPr="003E3BD3">
        <w:t xml:space="preserve">. </w:t>
      </w:r>
      <w:proofErr w:type="spellStart"/>
      <w:r w:rsidRPr="003E3BD3">
        <w:t>Üy</w:t>
      </w:r>
      <w:proofErr w:type="spellEnd"/>
      <w:r w:rsidRPr="003E3BD3">
        <w:t xml:space="preserve">., Karamanoğlu </w:t>
      </w:r>
      <w:proofErr w:type="spellStart"/>
      <w:r w:rsidRPr="003E3BD3">
        <w:t>Mehmetbey</w:t>
      </w:r>
      <w:proofErr w:type="spellEnd"/>
      <w:r w:rsidRPr="003E3BD3">
        <w:t xml:space="preserve"> Üniversitesi, Mütercim ve Tercümanlık Bölümü</w:t>
      </w:r>
      <w:r w:rsidRPr="003E3BD3">
        <w:br/>
      </w:r>
      <w:hyperlink r:id="rId58">
        <w:r w:rsidRPr="003E3BD3">
          <w:rPr>
            <w:rStyle w:val="Kpr"/>
          </w:rPr>
          <w:t>nesibecakir@kmu.edu.tr</w:t>
        </w:r>
      </w:hyperlink>
      <w:r w:rsidRPr="003E3BD3">
        <w:t xml:space="preserve"> </w:t>
      </w:r>
      <w:r w:rsidRPr="003E3BD3">
        <w:br/>
        <w:t>0000-0002-5437-6076</w:t>
      </w:r>
    </w:p>
    <w:p w14:paraId="3F513D45" w14:textId="77777777" w:rsidR="003E3BD3" w:rsidRPr="003E3BD3" w:rsidRDefault="003E3BD3" w:rsidP="009C2F96">
      <w:pPr>
        <w:jc w:val="both"/>
      </w:pPr>
    </w:p>
    <w:p w14:paraId="2AA867D8" w14:textId="77777777" w:rsidR="003E3BD3" w:rsidRPr="003E3BD3" w:rsidRDefault="003E3BD3" w:rsidP="009C2F96">
      <w:pPr>
        <w:jc w:val="center"/>
        <w:rPr>
          <w:b/>
          <w:bCs/>
          <w:lang w:val="en-GB"/>
        </w:rPr>
      </w:pPr>
      <w:r w:rsidRPr="003E3BD3">
        <w:rPr>
          <w:b/>
          <w:bCs/>
          <w:lang w:val="en-GB"/>
        </w:rPr>
        <w:t>Abstract</w:t>
      </w:r>
    </w:p>
    <w:p w14:paraId="19A492E7" w14:textId="77777777" w:rsidR="003E3BD3" w:rsidRPr="003E3BD3" w:rsidRDefault="003E3BD3" w:rsidP="009C2F96">
      <w:pPr>
        <w:jc w:val="both"/>
        <w:rPr>
          <w:lang w:val="en-GB"/>
        </w:rPr>
      </w:pPr>
      <w:r w:rsidRPr="003E3BD3">
        <w:rPr>
          <w:lang w:val="en-GB"/>
        </w:rPr>
        <w:t xml:space="preserve">Lexicology, a branch of linguistics concerned with the study of words, their meanings, etymologies, and usage, is crucial for understanding the complexities of vocabulary. Comics, as multimodal texts, exhibit a particularly rich and diverse vocabulary, incorporating slang, idioms, specialized terminology, cultural markers, humorous expressions, and onomatopoeia. This lexical density renders comics a valuable subject of study for both literary and translation scholars. The translation of such varied vocabulary into another language poses significant challenges for translators. This research investigates the vocabulary elements in the Turkish translations of </w:t>
      </w:r>
      <w:proofErr w:type="spellStart"/>
      <w:r w:rsidRPr="003E3BD3">
        <w:rPr>
          <w:lang w:val="en-GB"/>
        </w:rPr>
        <w:t>Hergé's</w:t>
      </w:r>
      <w:proofErr w:type="spellEnd"/>
      <w:r w:rsidRPr="003E3BD3">
        <w:rPr>
          <w:lang w:val="en-GB"/>
        </w:rPr>
        <w:t xml:space="preserve"> </w:t>
      </w:r>
      <w:r w:rsidRPr="003E3BD3">
        <w:rPr>
          <w:i/>
          <w:iCs/>
          <w:lang w:val="en-GB"/>
        </w:rPr>
        <w:t>Quick et Flupke</w:t>
      </w:r>
      <w:r w:rsidRPr="003E3BD3">
        <w:rPr>
          <w:lang w:val="en-GB"/>
        </w:rPr>
        <w:t xml:space="preserve"> comic series, originally written in French. The methodology involves identifying and categorizing the lexical items in the source text, comparing them with their Turkish equivalents, and analysing the translator's decision-making processes through the application of Jiří </w:t>
      </w:r>
      <w:proofErr w:type="spellStart"/>
      <w:r w:rsidRPr="003E3BD3">
        <w:rPr>
          <w:lang w:val="en-GB"/>
        </w:rPr>
        <w:t>Levý's</w:t>
      </w:r>
      <w:proofErr w:type="spellEnd"/>
      <w:r w:rsidRPr="003E3BD3">
        <w:rPr>
          <w:lang w:val="en-GB"/>
        </w:rPr>
        <w:t xml:space="preserve"> game theory. The study demonstrates that the translator's strategic 'moves' resulted in a target text that accurately reflected the semantic content of the source while achieving a natural and idiomatic register in Turkish.</w:t>
      </w:r>
    </w:p>
    <w:p w14:paraId="59A45BB1" w14:textId="77777777" w:rsidR="003E3BD3" w:rsidRPr="003E3BD3" w:rsidRDefault="003E3BD3" w:rsidP="009C2F96">
      <w:pPr>
        <w:jc w:val="both"/>
        <w:rPr>
          <w:lang w:val="en-GB"/>
        </w:rPr>
      </w:pPr>
    </w:p>
    <w:p w14:paraId="115E82D9" w14:textId="3B9D254D" w:rsidR="00FC4D53" w:rsidRDefault="003E3BD3" w:rsidP="009C2F96">
      <w:pPr>
        <w:jc w:val="both"/>
        <w:rPr>
          <w:lang w:val="en-GB"/>
        </w:rPr>
      </w:pPr>
      <w:r w:rsidRPr="003E3BD3">
        <w:rPr>
          <w:b/>
          <w:lang w:val="en-GB"/>
        </w:rPr>
        <w:t>Keywords:</w:t>
      </w:r>
      <w:r w:rsidRPr="003E3BD3">
        <w:rPr>
          <w:lang w:val="en-GB"/>
        </w:rPr>
        <w:t xml:space="preserve"> Translation Studies, Translation of Comics, Theory of Game, Lexicology, </w:t>
      </w:r>
      <w:proofErr w:type="spellStart"/>
      <w:r w:rsidRPr="003E3BD3">
        <w:rPr>
          <w:lang w:val="en-GB"/>
        </w:rPr>
        <w:t>Hergé</w:t>
      </w:r>
      <w:proofErr w:type="spellEnd"/>
    </w:p>
    <w:p w14:paraId="274A75F0" w14:textId="48F4EEB3" w:rsidR="008B5439" w:rsidRPr="00FC4D53" w:rsidRDefault="00FC4D53" w:rsidP="009C2F96">
      <w:pPr>
        <w:autoSpaceDE/>
        <w:autoSpaceDN/>
        <w:rPr>
          <w:lang w:val="en-GB"/>
        </w:rPr>
      </w:pPr>
      <w:r>
        <w:rPr>
          <w:lang w:val="en-GB"/>
        </w:rPr>
        <w:br w:type="page"/>
      </w:r>
    </w:p>
    <w:p w14:paraId="60AE8B2A" w14:textId="77777777" w:rsidR="0034640B" w:rsidRPr="00022F92" w:rsidRDefault="0034640B" w:rsidP="004C7694">
      <w:pPr>
        <w:pStyle w:val="Tark"/>
        <w:rPr>
          <w:lang w:val="en-US"/>
        </w:rPr>
      </w:pPr>
      <w:bookmarkStart w:id="31" w:name="_Toc192855157"/>
      <w:r>
        <w:rPr>
          <w:lang w:val="en-US"/>
        </w:rPr>
        <w:lastRenderedPageBreak/>
        <w:t xml:space="preserve">Within the Curtain of Blood: The Dichotomy of Love and Intellect in a Ghazal by </w:t>
      </w:r>
      <w:proofErr w:type="spellStart"/>
      <w:r w:rsidRPr="001B2081">
        <w:rPr>
          <w:lang w:val="en-US"/>
        </w:rPr>
        <w:t>Rūmī</w:t>
      </w:r>
      <w:bookmarkEnd w:id="31"/>
      <w:proofErr w:type="spellEnd"/>
    </w:p>
    <w:p w14:paraId="231DB316" w14:textId="77777777" w:rsidR="0034640B" w:rsidRPr="00022F92" w:rsidRDefault="0034640B" w:rsidP="009C2F96">
      <w:pPr>
        <w:jc w:val="center"/>
        <w:rPr>
          <w:lang w:val="en-US"/>
        </w:rPr>
      </w:pPr>
    </w:p>
    <w:p w14:paraId="456C0AE4" w14:textId="77777777" w:rsidR="0034640B" w:rsidRPr="00022F92" w:rsidRDefault="0034640B" w:rsidP="009C2F96">
      <w:pPr>
        <w:jc w:val="center"/>
        <w:rPr>
          <w:lang w:val="en-US"/>
        </w:rPr>
      </w:pPr>
      <w:proofErr w:type="spellStart"/>
      <w:r>
        <w:rPr>
          <w:lang w:val="en-US"/>
        </w:rPr>
        <w:t>Güneş</w:t>
      </w:r>
      <w:proofErr w:type="spellEnd"/>
      <w:r>
        <w:rPr>
          <w:lang w:val="en-US"/>
        </w:rPr>
        <w:t xml:space="preserve"> </w:t>
      </w:r>
      <w:proofErr w:type="spellStart"/>
      <w:r>
        <w:rPr>
          <w:lang w:val="en-US"/>
        </w:rPr>
        <w:t>Muhip</w:t>
      </w:r>
      <w:proofErr w:type="spellEnd"/>
      <w:r>
        <w:rPr>
          <w:lang w:val="en-US"/>
        </w:rPr>
        <w:t xml:space="preserve"> Özyurt</w:t>
      </w:r>
    </w:p>
    <w:p w14:paraId="5CEA93A2" w14:textId="43C62280" w:rsidR="0034640B" w:rsidRDefault="0034640B" w:rsidP="009C2F96">
      <w:pPr>
        <w:jc w:val="center"/>
        <w:rPr>
          <w:lang w:val="en-US"/>
        </w:rPr>
      </w:pPr>
      <w:r w:rsidRPr="005F46B7">
        <w:rPr>
          <w:lang w:val="en-US"/>
        </w:rPr>
        <w:t xml:space="preserve">Dr. </w:t>
      </w:r>
      <w:proofErr w:type="spellStart"/>
      <w:r w:rsidRPr="005F46B7">
        <w:rPr>
          <w:lang w:val="en-US"/>
        </w:rPr>
        <w:t>Öğr</w:t>
      </w:r>
      <w:proofErr w:type="spellEnd"/>
      <w:r w:rsidRPr="005F46B7">
        <w:rPr>
          <w:lang w:val="en-US"/>
        </w:rPr>
        <w:t xml:space="preserve">. </w:t>
      </w:r>
      <w:proofErr w:type="spellStart"/>
      <w:r w:rsidRPr="005F46B7">
        <w:rPr>
          <w:lang w:val="en-US"/>
        </w:rPr>
        <w:t>Üyesi</w:t>
      </w:r>
      <w:proofErr w:type="spellEnd"/>
      <w:r>
        <w:rPr>
          <w:lang w:val="en-US"/>
        </w:rPr>
        <w:t xml:space="preserve">, Ankara Yıldırım </w:t>
      </w:r>
      <w:proofErr w:type="spellStart"/>
      <w:r>
        <w:rPr>
          <w:lang w:val="en-US"/>
        </w:rPr>
        <w:t>Beyazıt</w:t>
      </w:r>
      <w:proofErr w:type="spellEnd"/>
      <w:r>
        <w:rPr>
          <w:lang w:val="en-US"/>
        </w:rPr>
        <w:t xml:space="preserve"> </w:t>
      </w:r>
      <w:proofErr w:type="spellStart"/>
      <w:r>
        <w:rPr>
          <w:lang w:val="en-US"/>
        </w:rPr>
        <w:t>Üniversitesi</w:t>
      </w:r>
      <w:proofErr w:type="spellEnd"/>
      <w:r w:rsidRPr="00022F92">
        <w:rPr>
          <w:lang w:val="en-US"/>
        </w:rPr>
        <w:t>,</w:t>
      </w:r>
    </w:p>
    <w:p w14:paraId="2E2EA0A5" w14:textId="77777777" w:rsidR="0034640B" w:rsidRPr="00022F92" w:rsidRDefault="0034640B" w:rsidP="009C2F96">
      <w:pPr>
        <w:jc w:val="center"/>
        <w:rPr>
          <w:lang w:val="en-US"/>
        </w:rPr>
      </w:pPr>
      <w:r w:rsidRPr="00022F92">
        <w:rPr>
          <w:lang w:val="en-US"/>
        </w:rPr>
        <w:t>D</w:t>
      </w:r>
      <w:r>
        <w:rPr>
          <w:lang w:val="en-US"/>
        </w:rPr>
        <w:t xml:space="preserve">oğu </w:t>
      </w:r>
      <w:proofErr w:type="spellStart"/>
      <w:r>
        <w:rPr>
          <w:lang w:val="en-US"/>
        </w:rPr>
        <w:t>Dilleri</w:t>
      </w:r>
      <w:proofErr w:type="spellEnd"/>
      <w:r>
        <w:rPr>
          <w:lang w:val="en-US"/>
        </w:rPr>
        <w:t xml:space="preserve"> </w:t>
      </w:r>
      <w:proofErr w:type="spellStart"/>
      <w:r>
        <w:rPr>
          <w:lang w:val="en-US"/>
        </w:rPr>
        <w:t>ve</w:t>
      </w:r>
      <w:proofErr w:type="spellEnd"/>
      <w:r>
        <w:rPr>
          <w:lang w:val="en-US"/>
        </w:rPr>
        <w:t xml:space="preserve"> </w:t>
      </w:r>
      <w:proofErr w:type="spellStart"/>
      <w:r>
        <w:rPr>
          <w:lang w:val="en-US"/>
        </w:rPr>
        <w:t>Edebiyatları</w:t>
      </w:r>
      <w:proofErr w:type="spellEnd"/>
      <w:r>
        <w:rPr>
          <w:lang w:val="en-US"/>
        </w:rPr>
        <w:t xml:space="preserve"> </w:t>
      </w:r>
      <w:proofErr w:type="spellStart"/>
      <w:r>
        <w:rPr>
          <w:lang w:val="en-US"/>
        </w:rPr>
        <w:t>Bölümü</w:t>
      </w:r>
      <w:proofErr w:type="spellEnd"/>
      <w:r>
        <w:rPr>
          <w:lang w:val="en-US"/>
        </w:rPr>
        <w:t xml:space="preserve">, Fars Dili </w:t>
      </w:r>
      <w:proofErr w:type="spellStart"/>
      <w:r>
        <w:rPr>
          <w:lang w:val="en-US"/>
        </w:rPr>
        <w:t>ve</w:t>
      </w:r>
      <w:proofErr w:type="spellEnd"/>
      <w:r>
        <w:rPr>
          <w:lang w:val="en-US"/>
        </w:rPr>
        <w:t xml:space="preserve"> </w:t>
      </w:r>
      <w:proofErr w:type="spellStart"/>
      <w:r>
        <w:rPr>
          <w:lang w:val="en-US"/>
        </w:rPr>
        <w:t>Edebiyatı</w:t>
      </w:r>
      <w:proofErr w:type="spellEnd"/>
      <w:r>
        <w:rPr>
          <w:lang w:val="en-US"/>
        </w:rPr>
        <w:t xml:space="preserve"> </w:t>
      </w:r>
      <w:proofErr w:type="spellStart"/>
      <w:r>
        <w:rPr>
          <w:lang w:val="en-US"/>
        </w:rPr>
        <w:t>Anabilim</w:t>
      </w:r>
      <w:proofErr w:type="spellEnd"/>
      <w:r>
        <w:rPr>
          <w:lang w:val="en-US"/>
        </w:rPr>
        <w:t xml:space="preserve"> </w:t>
      </w:r>
      <w:proofErr w:type="spellStart"/>
      <w:r>
        <w:rPr>
          <w:lang w:val="en-US"/>
        </w:rPr>
        <w:t>Dalı</w:t>
      </w:r>
      <w:proofErr w:type="spellEnd"/>
    </w:p>
    <w:p w14:paraId="4DD597E8" w14:textId="77777777" w:rsidR="0034640B" w:rsidRPr="00022F92" w:rsidRDefault="0034640B" w:rsidP="009C2F96">
      <w:pPr>
        <w:jc w:val="center"/>
        <w:rPr>
          <w:lang w:val="en-US"/>
        </w:rPr>
      </w:pPr>
      <w:r>
        <w:rPr>
          <w:lang w:val="en-US"/>
        </w:rPr>
        <w:t>gmozyurt@aybu.edu.tr</w:t>
      </w:r>
    </w:p>
    <w:p w14:paraId="16318171" w14:textId="77777777" w:rsidR="0034640B" w:rsidRDefault="0034640B" w:rsidP="009C2F96">
      <w:pPr>
        <w:jc w:val="center"/>
        <w:rPr>
          <w:lang w:val="en-US"/>
        </w:rPr>
      </w:pPr>
      <w:proofErr w:type="spellStart"/>
      <w:r w:rsidRPr="00022F92">
        <w:rPr>
          <w:lang w:val="en-US"/>
        </w:rPr>
        <w:t>Orcid</w:t>
      </w:r>
      <w:proofErr w:type="spellEnd"/>
      <w:r w:rsidRPr="00022F92">
        <w:rPr>
          <w:lang w:val="en-US"/>
        </w:rPr>
        <w:t xml:space="preserve"> ID</w:t>
      </w:r>
      <w:r>
        <w:rPr>
          <w:lang w:val="en-US"/>
        </w:rPr>
        <w:t xml:space="preserve">: </w:t>
      </w:r>
      <w:r w:rsidRPr="005F46B7">
        <w:rPr>
          <w:lang w:val="en-US"/>
        </w:rPr>
        <w:t>0000-0001-9636-9424</w:t>
      </w:r>
    </w:p>
    <w:p w14:paraId="043F7D95" w14:textId="77777777" w:rsidR="0034640B" w:rsidRPr="00022F92" w:rsidRDefault="0034640B" w:rsidP="009C2F96">
      <w:pPr>
        <w:jc w:val="both"/>
        <w:rPr>
          <w:lang w:val="en-US"/>
        </w:rPr>
      </w:pPr>
    </w:p>
    <w:p w14:paraId="12C17315" w14:textId="77777777" w:rsidR="0034640B" w:rsidRPr="009F0AE3" w:rsidRDefault="0034640B" w:rsidP="009C2F96">
      <w:pPr>
        <w:jc w:val="center"/>
        <w:rPr>
          <w:b/>
          <w:bCs/>
          <w:lang w:val="en-US"/>
        </w:rPr>
      </w:pPr>
      <w:r w:rsidRPr="009F0AE3">
        <w:rPr>
          <w:b/>
          <w:bCs/>
          <w:lang w:val="en-US"/>
        </w:rPr>
        <w:t>Abstract</w:t>
      </w:r>
    </w:p>
    <w:p w14:paraId="226897B7" w14:textId="77777777" w:rsidR="0034640B" w:rsidRDefault="0034640B" w:rsidP="009C2F96">
      <w:pPr>
        <w:jc w:val="both"/>
        <w:rPr>
          <w:lang w:val="en-US"/>
        </w:rPr>
      </w:pPr>
      <w:r w:rsidRPr="00022F92">
        <w:rPr>
          <w:lang w:val="en-US"/>
        </w:rPr>
        <w:t>Th</w:t>
      </w:r>
      <w:r>
        <w:rPr>
          <w:lang w:val="en-US"/>
        </w:rPr>
        <w:t xml:space="preserve">e aim of this paper is to analyze the way </w:t>
      </w:r>
      <w:proofErr w:type="spellStart"/>
      <w:r w:rsidRPr="003757D4">
        <w:t>Mawlānā</w:t>
      </w:r>
      <w:proofErr w:type="spellEnd"/>
      <w:r>
        <w:t xml:space="preserve"> </w:t>
      </w:r>
      <w:proofErr w:type="spellStart"/>
      <w:r w:rsidRPr="003757D4">
        <w:t>Djalāl</w:t>
      </w:r>
      <w:proofErr w:type="spellEnd"/>
      <w:r w:rsidRPr="003757D4">
        <w:t xml:space="preserve"> al-</w:t>
      </w:r>
      <w:proofErr w:type="spellStart"/>
      <w:r w:rsidRPr="003757D4">
        <w:t>Dīn</w:t>
      </w:r>
      <w:proofErr w:type="spellEnd"/>
      <w:r w:rsidRPr="003757D4">
        <w:t> </w:t>
      </w:r>
      <w:proofErr w:type="spellStart"/>
      <w:r w:rsidRPr="003757D4">
        <w:t>Rūmī</w:t>
      </w:r>
      <w:proofErr w:type="spellEnd"/>
      <w:r>
        <w:t xml:space="preserve"> </w:t>
      </w:r>
      <w:proofErr w:type="spellStart"/>
      <w:r>
        <w:t>compares</w:t>
      </w:r>
      <w:proofErr w:type="spellEnd"/>
      <w:r>
        <w:t xml:space="preserve"> </w:t>
      </w:r>
      <w:proofErr w:type="spellStart"/>
      <w:r>
        <w:t>love</w:t>
      </w:r>
      <w:proofErr w:type="spellEnd"/>
      <w:r>
        <w:t xml:space="preserve"> (</w:t>
      </w:r>
      <w:proofErr w:type="spellStart"/>
      <w:r>
        <w:t>eshq</w:t>
      </w:r>
      <w:proofErr w:type="spellEnd"/>
      <w:r>
        <w:t xml:space="preserve">) </w:t>
      </w:r>
      <w:proofErr w:type="spellStart"/>
      <w:r>
        <w:t>and</w:t>
      </w:r>
      <w:proofErr w:type="spellEnd"/>
      <w:r>
        <w:t xml:space="preserve"> </w:t>
      </w:r>
      <w:proofErr w:type="spellStart"/>
      <w:r>
        <w:t>intellect</w:t>
      </w:r>
      <w:proofErr w:type="spellEnd"/>
      <w:r>
        <w:t xml:space="preserve"> (</w:t>
      </w:r>
      <w:proofErr w:type="spellStart"/>
      <w:r>
        <w:t>aql</w:t>
      </w:r>
      <w:proofErr w:type="spellEnd"/>
      <w:r>
        <w:t xml:space="preserve">) in </w:t>
      </w:r>
      <w:proofErr w:type="spellStart"/>
      <w:r>
        <w:t>one</w:t>
      </w:r>
      <w:proofErr w:type="spellEnd"/>
      <w:r>
        <w:t xml:space="preserve"> of his </w:t>
      </w:r>
      <w:proofErr w:type="spellStart"/>
      <w:r>
        <w:t>mystical</w:t>
      </w:r>
      <w:proofErr w:type="spellEnd"/>
      <w:r>
        <w:t xml:space="preserve"> </w:t>
      </w:r>
      <w:proofErr w:type="spellStart"/>
      <w:r>
        <w:t>ghazals</w:t>
      </w:r>
      <w:proofErr w:type="spellEnd"/>
      <w:r>
        <w:t xml:space="preserve">. Since </w:t>
      </w:r>
      <w:proofErr w:type="spellStart"/>
      <w:r>
        <w:t>the</w:t>
      </w:r>
      <w:proofErr w:type="spellEnd"/>
      <w:r>
        <w:t xml:space="preserve"> </w:t>
      </w:r>
      <w:proofErr w:type="spellStart"/>
      <w:r>
        <w:t>early</w:t>
      </w:r>
      <w:proofErr w:type="spellEnd"/>
      <w:r>
        <w:t xml:space="preserve"> </w:t>
      </w:r>
      <w:proofErr w:type="spellStart"/>
      <w:r>
        <w:t>centuries</w:t>
      </w:r>
      <w:proofErr w:type="spellEnd"/>
      <w:r>
        <w:t xml:space="preserve"> of </w:t>
      </w:r>
      <w:proofErr w:type="spellStart"/>
      <w:r>
        <w:t>Islam</w:t>
      </w:r>
      <w:proofErr w:type="spellEnd"/>
      <w:r>
        <w:t xml:space="preserve">, </w:t>
      </w:r>
      <w:proofErr w:type="spellStart"/>
      <w:r>
        <w:t>religious</w:t>
      </w:r>
      <w:proofErr w:type="spellEnd"/>
      <w:r>
        <w:t xml:space="preserve"> </w:t>
      </w:r>
      <w:proofErr w:type="spellStart"/>
      <w:r>
        <w:t>scholars</w:t>
      </w:r>
      <w:proofErr w:type="spellEnd"/>
      <w:r>
        <w:t xml:space="preserve"> </w:t>
      </w:r>
      <w:proofErr w:type="spellStart"/>
      <w:r>
        <w:t>held</w:t>
      </w:r>
      <w:proofErr w:type="spellEnd"/>
      <w:r>
        <w:t xml:space="preserve"> </w:t>
      </w:r>
      <w:proofErr w:type="spellStart"/>
      <w:r>
        <w:t>intellect</w:t>
      </w:r>
      <w:proofErr w:type="spellEnd"/>
      <w:r>
        <w:t xml:space="preserve"> in </w:t>
      </w:r>
      <w:proofErr w:type="spellStart"/>
      <w:r>
        <w:t>high</w:t>
      </w:r>
      <w:proofErr w:type="spellEnd"/>
      <w:r>
        <w:t xml:space="preserve"> </w:t>
      </w:r>
      <w:proofErr w:type="spellStart"/>
      <w:r>
        <w:t>regard</w:t>
      </w:r>
      <w:proofErr w:type="spellEnd"/>
      <w:r>
        <w:t xml:space="preserve">, </w:t>
      </w:r>
      <w:proofErr w:type="spellStart"/>
      <w:r>
        <w:t>while</w:t>
      </w:r>
      <w:proofErr w:type="spellEnd"/>
      <w:r>
        <w:t xml:space="preserve"> </w:t>
      </w:r>
      <w:proofErr w:type="spellStart"/>
      <w:r>
        <w:t>sufis</w:t>
      </w:r>
      <w:proofErr w:type="spellEnd"/>
      <w:r>
        <w:t xml:space="preserve"> </w:t>
      </w:r>
      <w:proofErr w:type="spellStart"/>
      <w:r>
        <w:t>saw</w:t>
      </w:r>
      <w:proofErr w:type="spellEnd"/>
      <w:r>
        <w:t xml:space="preserve"> </w:t>
      </w:r>
      <w:proofErr w:type="spellStart"/>
      <w:r>
        <w:t>love</w:t>
      </w:r>
      <w:proofErr w:type="spellEnd"/>
      <w:r>
        <w:t xml:space="preserve"> as </w:t>
      </w:r>
      <w:proofErr w:type="spellStart"/>
      <w:r>
        <w:t>the</w:t>
      </w:r>
      <w:proofErr w:type="spellEnd"/>
      <w:r>
        <w:t xml:space="preserve"> </w:t>
      </w:r>
      <w:proofErr w:type="spellStart"/>
      <w:r>
        <w:t>more</w:t>
      </w:r>
      <w:proofErr w:type="spellEnd"/>
      <w:r>
        <w:t xml:space="preserve"> </w:t>
      </w:r>
      <w:proofErr w:type="spellStart"/>
      <w:r>
        <w:t>effective</w:t>
      </w:r>
      <w:proofErr w:type="spellEnd"/>
      <w:r>
        <w:t xml:space="preserve"> </w:t>
      </w:r>
      <w:proofErr w:type="spellStart"/>
      <w:r>
        <w:t>guide</w:t>
      </w:r>
      <w:proofErr w:type="spellEnd"/>
      <w:r>
        <w:t xml:space="preserve"> </w:t>
      </w:r>
      <w:proofErr w:type="spellStart"/>
      <w:r>
        <w:t>to</w:t>
      </w:r>
      <w:proofErr w:type="spellEnd"/>
      <w:r>
        <w:t xml:space="preserve"> </w:t>
      </w:r>
      <w:proofErr w:type="spellStart"/>
      <w:r>
        <w:t>attain</w:t>
      </w:r>
      <w:proofErr w:type="spellEnd"/>
      <w:r>
        <w:t xml:space="preserve"> </w:t>
      </w:r>
      <w:proofErr w:type="spellStart"/>
      <w:r>
        <w:t>unity</w:t>
      </w:r>
      <w:proofErr w:type="spellEnd"/>
      <w:r>
        <w:t xml:space="preserve"> </w:t>
      </w:r>
      <w:proofErr w:type="spellStart"/>
      <w:r>
        <w:t>with</w:t>
      </w:r>
      <w:proofErr w:type="spellEnd"/>
      <w:r>
        <w:t xml:space="preserve"> </w:t>
      </w:r>
      <w:proofErr w:type="spellStart"/>
      <w:r>
        <w:t>God</w:t>
      </w:r>
      <w:proofErr w:type="spellEnd"/>
      <w:r>
        <w:t xml:space="preserve">. </w:t>
      </w:r>
      <w:proofErr w:type="spellStart"/>
      <w:r>
        <w:t>The</w:t>
      </w:r>
      <w:proofErr w:type="spellEnd"/>
      <w:r>
        <w:t xml:space="preserve"> Sufi </w:t>
      </w:r>
      <w:proofErr w:type="spellStart"/>
      <w:r>
        <w:t>predilection</w:t>
      </w:r>
      <w:proofErr w:type="spellEnd"/>
      <w:r>
        <w:t xml:space="preserve"> </w:t>
      </w:r>
      <w:proofErr w:type="spellStart"/>
      <w:r>
        <w:t>for</w:t>
      </w:r>
      <w:proofErr w:type="spellEnd"/>
      <w:r>
        <w:t xml:space="preserve"> </w:t>
      </w:r>
      <w:proofErr w:type="spellStart"/>
      <w:r>
        <w:t>love</w:t>
      </w:r>
      <w:proofErr w:type="spellEnd"/>
      <w:r>
        <w:t xml:space="preserve"> </w:t>
      </w:r>
      <w:proofErr w:type="spellStart"/>
      <w:r>
        <w:t>over</w:t>
      </w:r>
      <w:proofErr w:type="spellEnd"/>
      <w:r>
        <w:t xml:space="preserve"> </w:t>
      </w:r>
      <w:proofErr w:type="spellStart"/>
      <w:r>
        <w:t>intellect</w:t>
      </w:r>
      <w:proofErr w:type="spellEnd"/>
      <w:r>
        <w:t xml:space="preserve"> </w:t>
      </w:r>
      <w:proofErr w:type="spellStart"/>
      <w:r>
        <w:t>was</w:t>
      </w:r>
      <w:proofErr w:type="spellEnd"/>
      <w:r>
        <w:t xml:space="preserve"> </w:t>
      </w:r>
      <w:proofErr w:type="spellStart"/>
      <w:r>
        <w:t>amplified</w:t>
      </w:r>
      <w:proofErr w:type="spellEnd"/>
      <w:r>
        <w:t xml:space="preserve"> </w:t>
      </w:r>
      <w:proofErr w:type="spellStart"/>
      <w:r>
        <w:t>by</w:t>
      </w:r>
      <w:proofErr w:type="spellEnd"/>
      <w:r>
        <w:t xml:space="preserve"> </w:t>
      </w:r>
      <w:proofErr w:type="spellStart"/>
      <w:r>
        <w:t>Persian</w:t>
      </w:r>
      <w:proofErr w:type="spellEnd"/>
      <w:r>
        <w:t xml:space="preserve"> </w:t>
      </w:r>
      <w:proofErr w:type="spellStart"/>
      <w:r>
        <w:t>mystics</w:t>
      </w:r>
      <w:proofErr w:type="spellEnd"/>
      <w:r>
        <w:t xml:space="preserve">, </w:t>
      </w:r>
      <w:proofErr w:type="spellStart"/>
      <w:r>
        <w:t>namely</w:t>
      </w:r>
      <w:proofErr w:type="spellEnd"/>
      <w:r>
        <w:t xml:space="preserve"> </w:t>
      </w:r>
      <w:proofErr w:type="spellStart"/>
      <w:r w:rsidRPr="00A05E93">
        <w:t>Aḥmad</w:t>
      </w:r>
      <w:proofErr w:type="spellEnd"/>
      <w:r>
        <w:t xml:space="preserve"> </w:t>
      </w:r>
      <w:r w:rsidRPr="00A05E93">
        <w:t>al-</w:t>
      </w:r>
      <w:proofErr w:type="spellStart"/>
      <w:r w:rsidRPr="00A05E93">
        <w:t>Gazzālī</w:t>
      </w:r>
      <w:proofErr w:type="spellEnd"/>
      <w:r>
        <w:t xml:space="preserve">, </w:t>
      </w:r>
      <w:proofErr w:type="spellStart"/>
      <w:r w:rsidRPr="006C101D">
        <w:t>Sanāʾī</w:t>
      </w:r>
      <w:proofErr w:type="spellEnd"/>
      <w:r>
        <w:t xml:space="preserve"> </w:t>
      </w:r>
      <w:proofErr w:type="spellStart"/>
      <w:r>
        <w:t>and</w:t>
      </w:r>
      <w:proofErr w:type="spellEnd"/>
      <w:r>
        <w:t xml:space="preserve"> </w:t>
      </w:r>
      <w:proofErr w:type="spellStart"/>
      <w:r w:rsidRPr="006C101D">
        <w:t>ʿAṭṭār</w:t>
      </w:r>
      <w:proofErr w:type="spellEnd"/>
      <w:r>
        <w:t xml:space="preserve">, </w:t>
      </w:r>
      <w:proofErr w:type="spellStart"/>
      <w:r>
        <w:t>who</w:t>
      </w:r>
      <w:proofErr w:type="spellEnd"/>
      <w:r>
        <w:t xml:space="preserve"> </w:t>
      </w:r>
      <w:proofErr w:type="spellStart"/>
      <w:r>
        <w:t>consistently</w:t>
      </w:r>
      <w:proofErr w:type="spellEnd"/>
      <w:r>
        <w:t xml:space="preserve"> </w:t>
      </w:r>
      <w:proofErr w:type="spellStart"/>
      <w:r>
        <w:t>emphasized</w:t>
      </w:r>
      <w:proofErr w:type="spellEnd"/>
      <w:r>
        <w:t xml:space="preserve"> </w:t>
      </w:r>
      <w:proofErr w:type="spellStart"/>
      <w:r>
        <w:t>the</w:t>
      </w:r>
      <w:proofErr w:type="spellEnd"/>
      <w:r>
        <w:t xml:space="preserve"> </w:t>
      </w:r>
      <w:proofErr w:type="spellStart"/>
      <w:r>
        <w:t>limits</w:t>
      </w:r>
      <w:proofErr w:type="spellEnd"/>
      <w:r>
        <w:t xml:space="preserve"> of </w:t>
      </w:r>
      <w:proofErr w:type="spellStart"/>
      <w:r>
        <w:t>intellect</w:t>
      </w:r>
      <w:proofErr w:type="spellEnd"/>
      <w:r>
        <w:t xml:space="preserve"> </w:t>
      </w:r>
      <w:proofErr w:type="spellStart"/>
      <w:r>
        <w:t>and</w:t>
      </w:r>
      <w:proofErr w:type="spellEnd"/>
      <w:r>
        <w:t xml:space="preserve"> </w:t>
      </w:r>
      <w:proofErr w:type="spellStart"/>
      <w:r>
        <w:t>the</w:t>
      </w:r>
      <w:proofErr w:type="spellEnd"/>
      <w:r>
        <w:t xml:space="preserve"> </w:t>
      </w:r>
      <w:proofErr w:type="spellStart"/>
      <w:r w:rsidRPr="007B02A9">
        <w:t>pr</w:t>
      </w:r>
      <w:r>
        <w:t>imacy</w:t>
      </w:r>
      <w:proofErr w:type="spellEnd"/>
      <w:r>
        <w:t xml:space="preserve"> of </w:t>
      </w:r>
      <w:proofErr w:type="spellStart"/>
      <w:r>
        <w:t>love</w:t>
      </w:r>
      <w:proofErr w:type="spellEnd"/>
      <w:r>
        <w:t xml:space="preserve">. </w:t>
      </w:r>
      <w:proofErr w:type="spellStart"/>
      <w:r>
        <w:t>It</w:t>
      </w:r>
      <w:proofErr w:type="spellEnd"/>
      <w:r>
        <w:t xml:space="preserve"> </w:t>
      </w:r>
      <w:proofErr w:type="spellStart"/>
      <w:r>
        <w:t>was</w:t>
      </w:r>
      <w:proofErr w:type="spellEnd"/>
      <w:r>
        <w:t xml:space="preserve"> in </w:t>
      </w:r>
      <w:proofErr w:type="spellStart"/>
      <w:r w:rsidRPr="003757D4">
        <w:t>Rūmī</w:t>
      </w:r>
      <w:r>
        <w:t>’s</w:t>
      </w:r>
      <w:proofErr w:type="spellEnd"/>
      <w:r>
        <w:t xml:space="preserve"> </w:t>
      </w:r>
      <w:proofErr w:type="spellStart"/>
      <w:r>
        <w:t>works</w:t>
      </w:r>
      <w:proofErr w:type="spellEnd"/>
      <w:r>
        <w:t xml:space="preserve"> </w:t>
      </w:r>
      <w:proofErr w:type="spellStart"/>
      <w:r>
        <w:t>that</w:t>
      </w:r>
      <w:proofErr w:type="spellEnd"/>
      <w:r>
        <w:t xml:space="preserve"> </w:t>
      </w:r>
      <w:proofErr w:type="spellStart"/>
      <w:r>
        <w:t>this</w:t>
      </w:r>
      <w:proofErr w:type="spellEnd"/>
      <w:r>
        <w:t xml:space="preserve"> </w:t>
      </w:r>
      <w:proofErr w:type="spellStart"/>
      <w:r>
        <w:t>approach</w:t>
      </w:r>
      <w:proofErr w:type="spellEnd"/>
      <w:r>
        <w:t xml:space="preserve"> </w:t>
      </w:r>
      <w:proofErr w:type="spellStart"/>
      <w:r>
        <w:t>reached</w:t>
      </w:r>
      <w:proofErr w:type="spellEnd"/>
      <w:r>
        <w:t xml:space="preserve"> a </w:t>
      </w:r>
      <w:proofErr w:type="spellStart"/>
      <w:r>
        <w:t>zenith</w:t>
      </w:r>
      <w:proofErr w:type="spellEnd"/>
      <w:r>
        <w:t xml:space="preserve">, </w:t>
      </w:r>
      <w:proofErr w:type="spellStart"/>
      <w:r>
        <w:t>buttressed</w:t>
      </w:r>
      <w:proofErr w:type="spellEnd"/>
      <w:r>
        <w:t xml:space="preserve"> </w:t>
      </w:r>
      <w:proofErr w:type="spellStart"/>
      <w:r>
        <w:t>by</w:t>
      </w:r>
      <w:proofErr w:type="spellEnd"/>
      <w:r>
        <w:t xml:space="preserve"> </w:t>
      </w:r>
      <w:proofErr w:type="spellStart"/>
      <w:r w:rsidRPr="003757D4">
        <w:t>Rūmī</w:t>
      </w:r>
      <w:r>
        <w:t>’s</w:t>
      </w:r>
      <w:proofErr w:type="spellEnd"/>
      <w:r>
        <w:t xml:space="preserve"> </w:t>
      </w:r>
      <w:proofErr w:type="spellStart"/>
      <w:r>
        <w:t>depth</w:t>
      </w:r>
      <w:proofErr w:type="spellEnd"/>
      <w:r>
        <w:t xml:space="preserve"> of </w:t>
      </w:r>
      <w:proofErr w:type="spellStart"/>
      <w:r>
        <w:t>thought</w:t>
      </w:r>
      <w:proofErr w:type="spellEnd"/>
      <w:r>
        <w:t xml:space="preserve"> </w:t>
      </w:r>
      <w:proofErr w:type="spellStart"/>
      <w:r>
        <w:t>and</w:t>
      </w:r>
      <w:proofErr w:type="spellEnd"/>
      <w:r>
        <w:t xml:space="preserve"> </w:t>
      </w:r>
      <w:proofErr w:type="spellStart"/>
      <w:r>
        <w:t>skill</w:t>
      </w:r>
      <w:proofErr w:type="spellEnd"/>
      <w:r>
        <w:t xml:space="preserve"> in </w:t>
      </w:r>
      <w:proofErr w:type="spellStart"/>
      <w:r>
        <w:t>poetry</w:t>
      </w:r>
      <w:proofErr w:type="spellEnd"/>
      <w:r>
        <w:t xml:space="preserve">. </w:t>
      </w:r>
      <w:proofErr w:type="spellStart"/>
      <w:r w:rsidRPr="003757D4">
        <w:t>Rūmī</w:t>
      </w:r>
      <w:r>
        <w:t>’s</w:t>
      </w:r>
      <w:proofErr w:type="spellEnd"/>
      <w:r>
        <w:t xml:space="preserve"> </w:t>
      </w:r>
      <w:proofErr w:type="spellStart"/>
      <w:r>
        <w:t>particular</w:t>
      </w:r>
      <w:proofErr w:type="spellEnd"/>
      <w:r>
        <w:t xml:space="preserve"> </w:t>
      </w:r>
      <w:proofErr w:type="spellStart"/>
      <w:r>
        <w:t>ghazal</w:t>
      </w:r>
      <w:proofErr w:type="spellEnd"/>
      <w:r>
        <w:t xml:space="preserve"> </w:t>
      </w:r>
      <w:proofErr w:type="spellStart"/>
      <w:r>
        <w:t>discussed</w:t>
      </w:r>
      <w:proofErr w:type="spellEnd"/>
      <w:r>
        <w:t xml:space="preserve"> in </w:t>
      </w:r>
      <w:proofErr w:type="spellStart"/>
      <w:r>
        <w:t>this</w:t>
      </w:r>
      <w:proofErr w:type="spellEnd"/>
      <w:r>
        <w:t xml:space="preserve"> </w:t>
      </w:r>
      <w:proofErr w:type="spellStart"/>
      <w:r>
        <w:t>paper</w:t>
      </w:r>
      <w:proofErr w:type="spellEnd"/>
      <w:r>
        <w:t xml:space="preserve"> </w:t>
      </w:r>
      <w:proofErr w:type="spellStart"/>
      <w:r>
        <w:t>provides</w:t>
      </w:r>
      <w:proofErr w:type="spellEnd"/>
      <w:r>
        <w:t xml:space="preserve"> a </w:t>
      </w:r>
      <w:proofErr w:type="spellStart"/>
      <w:r>
        <w:t>thought-provoking</w:t>
      </w:r>
      <w:proofErr w:type="spellEnd"/>
      <w:r>
        <w:t xml:space="preserve"> </w:t>
      </w:r>
      <w:proofErr w:type="spellStart"/>
      <w:r>
        <w:t>glimpse</w:t>
      </w:r>
      <w:proofErr w:type="spellEnd"/>
      <w:r>
        <w:t xml:space="preserve"> </w:t>
      </w:r>
      <w:proofErr w:type="spellStart"/>
      <w:r>
        <w:t>into</w:t>
      </w:r>
      <w:proofErr w:type="spellEnd"/>
      <w:r>
        <w:t xml:space="preserve"> his </w:t>
      </w:r>
      <w:proofErr w:type="spellStart"/>
      <w:r>
        <w:t>perspectives</w:t>
      </w:r>
      <w:proofErr w:type="spellEnd"/>
      <w:r>
        <w:t xml:space="preserve"> on </w:t>
      </w:r>
      <w:proofErr w:type="spellStart"/>
      <w:r>
        <w:t>the</w:t>
      </w:r>
      <w:proofErr w:type="spellEnd"/>
      <w:r>
        <w:t xml:space="preserve"> </w:t>
      </w:r>
      <w:proofErr w:type="spellStart"/>
      <w:r>
        <w:t>nature</w:t>
      </w:r>
      <w:proofErr w:type="spellEnd"/>
      <w:r>
        <w:t xml:space="preserve"> of </w:t>
      </w:r>
      <w:proofErr w:type="spellStart"/>
      <w:r>
        <w:t>love</w:t>
      </w:r>
      <w:proofErr w:type="spellEnd"/>
      <w:r>
        <w:t xml:space="preserve"> </w:t>
      </w:r>
      <w:proofErr w:type="spellStart"/>
      <w:r>
        <w:t>and</w:t>
      </w:r>
      <w:proofErr w:type="spellEnd"/>
      <w:r>
        <w:t xml:space="preserve"> </w:t>
      </w:r>
      <w:proofErr w:type="spellStart"/>
      <w:r>
        <w:t>its</w:t>
      </w:r>
      <w:proofErr w:type="spellEnd"/>
      <w:r>
        <w:t xml:space="preserve"> </w:t>
      </w:r>
      <w:proofErr w:type="spellStart"/>
      <w:r>
        <w:t>superiority</w:t>
      </w:r>
      <w:proofErr w:type="spellEnd"/>
      <w:r>
        <w:t xml:space="preserve"> </w:t>
      </w:r>
      <w:proofErr w:type="spellStart"/>
      <w:r>
        <w:t>over</w:t>
      </w:r>
      <w:proofErr w:type="spellEnd"/>
      <w:r>
        <w:t xml:space="preserve"> </w:t>
      </w:r>
      <w:proofErr w:type="spellStart"/>
      <w:r>
        <w:t>intellect</w:t>
      </w:r>
      <w:proofErr w:type="spellEnd"/>
      <w:r>
        <w:t xml:space="preserve">. </w:t>
      </w:r>
      <w:proofErr w:type="spellStart"/>
      <w:r w:rsidRPr="003757D4">
        <w:t>Rūmī</w:t>
      </w:r>
      <w:proofErr w:type="spellEnd"/>
      <w:r>
        <w:t xml:space="preserve"> </w:t>
      </w:r>
      <w:proofErr w:type="spellStart"/>
      <w:r>
        <w:t>implies</w:t>
      </w:r>
      <w:proofErr w:type="spellEnd"/>
      <w:r>
        <w:t xml:space="preserve"> </w:t>
      </w:r>
      <w:proofErr w:type="spellStart"/>
      <w:r>
        <w:t>that</w:t>
      </w:r>
      <w:proofErr w:type="spellEnd"/>
      <w:r>
        <w:t xml:space="preserve"> </w:t>
      </w:r>
      <w:proofErr w:type="spellStart"/>
      <w:r>
        <w:t>there</w:t>
      </w:r>
      <w:proofErr w:type="spellEnd"/>
      <w:r>
        <w:t xml:space="preserve"> </w:t>
      </w:r>
      <w:proofErr w:type="spellStart"/>
      <w:r>
        <w:t>are</w:t>
      </w:r>
      <w:proofErr w:type="spellEnd"/>
      <w:r>
        <w:t xml:space="preserve"> two </w:t>
      </w:r>
      <w:proofErr w:type="spellStart"/>
      <w:r>
        <w:t>separate</w:t>
      </w:r>
      <w:proofErr w:type="spellEnd"/>
      <w:r>
        <w:t xml:space="preserve"> </w:t>
      </w:r>
      <w:proofErr w:type="spellStart"/>
      <w:r>
        <w:t>realms</w:t>
      </w:r>
      <w:proofErr w:type="spellEnd"/>
      <w:r>
        <w:t xml:space="preserve"> of </w:t>
      </w:r>
      <w:proofErr w:type="spellStart"/>
      <w:r>
        <w:t>existence</w:t>
      </w:r>
      <w:proofErr w:type="spellEnd"/>
      <w:r>
        <w:t xml:space="preserve">. </w:t>
      </w:r>
      <w:proofErr w:type="spellStart"/>
      <w:r>
        <w:t>The</w:t>
      </w:r>
      <w:proofErr w:type="spellEnd"/>
      <w:r>
        <w:t xml:space="preserve"> </w:t>
      </w:r>
      <w:proofErr w:type="spellStart"/>
      <w:r>
        <w:t>material</w:t>
      </w:r>
      <w:proofErr w:type="spellEnd"/>
      <w:r>
        <w:t xml:space="preserve"> </w:t>
      </w:r>
      <w:proofErr w:type="spellStart"/>
      <w:r>
        <w:t>realm</w:t>
      </w:r>
      <w:proofErr w:type="spellEnd"/>
      <w:r>
        <w:t xml:space="preserve"> is </w:t>
      </w:r>
      <w:proofErr w:type="spellStart"/>
      <w:r>
        <w:t>readily</w:t>
      </w:r>
      <w:proofErr w:type="spellEnd"/>
      <w:r>
        <w:t xml:space="preserve"> </w:t>
      </w:r>
      <w:proofErr w:type="spellStart"/>
      <w:r>
        <w:t>perceptible</w:t>
      </w:r>
      <w:proofErr w:type="spellEnd"/>
      <w:r>
        <w:t xml:space="preserve"> </w:t>
      </w:r>
      <w:proofErr w:type="spellStart"/>
      <w:r>
        <w:t>by</w:t>
      </w:r>
      <w:proofErr w:type="spellEnd"/>
      <w:r>
        <w:t xml:space="preserve"> </w:t>
      </w:r>
      <w:proofErr w:type="spellStart"/>
      <w:r>
        <w:t>intellect</w:t>
      </w:r>
      <w:proofErr w:type="spellEnd"/>
      <w:r>
        <w:t xml:space="preserve"> but </w:t>
      </w:r>
      <w:proofErr w:type="spellStart"/>
      <w:r>
        <w:t>its</w:t>
      </w:r>
      <w:proofErr w:type="spellEnd"/>
      <w:r>
        <w:t xml:space="preserve"> </w:t>
      </w:r>
      <w:proofErr w:type="spellStart"/>
      <w:r>
        <w:t>overtness</w:t>
      </w:r>
      <w:proofErr w:type="spellEnd"/>
      <w:r>
        <w:t xml:space="preserve"> </w:t>
      </w:r>
      <w:proofErr w:type="spellStart"/>
      <w:r>
        <w:t>obscures</w:t>
      </w:r>
      <w:proofErr w:type="spellEnd"/>
      <w:r>
        <w:t xml:space="preserve"> </w:t>
      </w:r>
      <w:proofErr w:type="spellStart"/>
      <w:r>
        <w:t>the</w:t>
      </w:r>
      <w:proofErr w:type="spellEnd"/>
      <w:r>
        <w:t xml:space="preserve"> far </w:t>
      </w:r>
      <w:proofErr w:type="spellStart"/>
      <w:r>
        <w:t>more</w:t>
      </w:r>
      <w:proofErr w:type="spellEnd"/>
      <w:r>
        <w:t xml:space="preserve"> </w:t>
      </w:r>
      <w:proofErr w:type="spellStart"/>
      <w:r>
        <w:t>magnificent</w:t>
      </w:r>
      <w:proofErr w:type="spellEnd"/>
      <w:r>
        <w:t xml:space="preserve"> presence of </w:t>
      </w:r>
      <w:proofErr w:type="spellStart"/>
      <w:r>
        <w:t>the</w:t>
      </w:r>
      <w:proofErr w:type="spellEnd"/>
      <w:r>
        <w:t xml:space="preserve"> </w:t>
      </w:r>
      <w:proofErr w:type="spellStart"/>
      <w:r>
        <w:t>spiritual</w:t>
      </w:r>
      <w:proofErr w:type="spellEnd"/>
      <w:r>
        <w:t xml:space="preserve"> </w:t>
      </w:r>
      <w:proofErr w:type="spellStart"/>
      <w:r>
        <w:t>realm</w:t>
      </w:r>
      <w:proofErr w:type="spellEnd"/>
      <w:r>
        <w:t xml:space="preserve">, </w:t>
      </w:r>
      <w:proofErr w:type="spellStart"/>
      <w:r>
        <w:t>which</w:t>
      </w:r>
      <w:proofErr w:type="spellEnd"/>
      <w:r>
        <w:t xml:space="preserve"> is </w:t>
      </w:r>
      <w:proofErr w:type="spellStart"/>
      <w:r>
        <w:t>only</w:t>
      </w:r>
      <w:proofErr w:type="spellEnd"/>
      <w:r>
        <w:t xml:space="preserve"> </w:t>
      </w:r>
      <w:proofErr w:type="spellStart"/>
      <w:r>
        <w:t>accessible</w:t>
      </w:r>
      <w:proofErr w:type="spellEnd"/>
      <w:r>
        <w:t xml:space="preserve"> </w:t>
      </w:r>
      <w:proofErr w:type="spellStart"/>
      <w:r>
        <w:t>through</w:t>
      </w:r>
      <w:proofErr w:type="spellEnd"/>
      <w:r>
        <w:t xml:space="preserve"> </w:t>
      </w:r>
      <w:proofErr w:type="spellStart"/>
      <w:r>
        <w:t>love</w:t>
      </w:r>
      <w:proofErr w:type="spellEnd"/>
      <w:r>
        <w:t xml:space="preserve">. As a </w:t>
      </w:r>
      <w:proofErr w:type="spellStart"/>
      <w:r>
        <w:t>result</w:t>
      </w:r>
      <w:proofErr w:type="spellEnd"/>
      <w:r>
        <w:t xml:space="preserve">, </w:t>
      </w:r>
      <w:proofErr w:type="spellStart"/>
      <w:r>
        <w:t>those</w:t>
      </w:r>
      <w:proofErr w:type="spellEnd"/>
      <w:r>
        <w:t xml:space="preserve"> </w:t>
      </w:r>
      <w:proofErr w:type="spellStart"/>
      <w:r>
        <w:t>who</w:t>
      </w:r>
      <w:proofErr w:type="spellEnd"/>
      <w:r>
        <w:t xml:space="preserve"> </w:t>
      </w:r>
      <w:proofErr w:type="spellStart"/>
      <w:r>
        <w:t>have</w:t>
      </w:r>
      <w:proofErr w:type="spellEnd"/>
      <w:r>
        <w:t xml:space="preserve"> </w:t>
      </w:r>
      <w:proofErr w:type="spellStart"/>
      <w:r>
        <w:t>embraced</w:t>
      </w:r>
      <w:proofErr w:type="spellEnd"/>
      <w:r>
        <w:t xml:space="preserve"> </w:t>
      </w:r>
      <w:proofErr w:type="spellStart"/>
      <w:r>
        <w:t>the</w:t>
      </w:r>
      <w:proofErr w:type="spellEnd"/>
      <w:r>
        <w:t xml:space="preserve"> </w:t>
      </w:r>
      <w:proofErr w:type="spellStart"/>
      <w:r>
        <w:t>path</w:t>
      </w:r>
      <w:proofErr w:type="spellEnd"/>
      <w:r>
        <w:t xml:space="preserve"> of </w:t>
      </w:r>
      <w:proofErr w:type="spellStart"/>
      <w:r>
        <w:t>divine</w:t>
      </w:r>
      <w:proofErr w:type="spellEnd"/>
      <w:r>
        <w:t xml:space="preserve"> </w:t>
      </w:r>
      <w:proofErr w:type="spellStart"/>
      <w:r>
        <w:t>love</w:t>
      </w:r>
      <w:proofErr w:type="spellEnd"/>
      <w:r>
        <w:t xml:space="preserve">, </w:t>
      </w:r>
      <w:proofErr w:type="spellStart"/>
      <w:r>
        <w:t>experience</w:t>
      </w:r>
      <w:proofErr w:type="spellEnd"/>
      <w:r>
        <w:t xml:space="preserve"> </w:t>
      </w:r>
      <w:proofErr w:type="spellStart"/>
      <w:r>
        <w:t>great</w:t>
      </w:r>
      <w:proofErr w:type="spellEnd"/>
      <w:r>
        <w:t xml:space="preserve"> </w:t>
      </w:r>
      <w:proofErr w:type="spellStart"/>
      <w:r>
        <w:t>inner</w:t>
      </w:r>
      <w:proofErr w:type="spellEnd"/>
      <w:r>
        <w:t xml:space="preserve"> </w:t>
      </w:r>
      <w:proofErr w:type="spellStart"/>
      <w:r>
        <w:t>joy</w:t>
      </w:r>
      <w:proofErr w:type="spellEnd"/>
      <w:r>
        <w:t xml:space="preserve">, </w:t>
      </w:r>
      <w:proofErr w:type="spellStart"/>
      <w:r>
        <w:t>although</w:t>
      </w:r>
      <w:proofErr w:type="spellEnd"/>
      <w:r>
        <w:t xml:space="preserve"> they </w:t>
      </w:r>
      <w:proofErr w:type="spellStart"/>
      <w:r>
        <w:t>may</w:t>
      </w:r>
      <w:proofErr w:type="spellEnd"/>
      <w:r>
        <w:t xml:space="preserve"> </w:t>
      </w:r>
      <w:proofErr w:type="spellStart"/>
      <w:r>
        <w:t>appear</w:t>
      </w:r>
      <w:proofErr w:type="spellEnd"/>
      <w:r>
        <w:t xml:space="preserve"> </w:t>
      </w:r>
      <w:proofErr w:type="spellStart"/>
      <w:r>
        <w:t>to</w:t>
      </w:r>
      <w:proofErr w:type="spellEnd"/>
      <w:r>
        <w:t xml:space="preserve"> be in </w:t>
      </w:r>
      <w:proofErr w:type="spellStart"/>
      <w:r>
        <w:t>suffering</w:t>
      </w:r>
      <w:proofErr w:type="spellEnd"/>
      <w:r>
        <w:t xml:space="preserve"> </w:t>
      </w:r>
      <w:proofErr w:type="spellStart"/>
      <w:r>
        <w:t>to</w:t>
      </w:r>
      <w:proofErr w:type="spellEnd"/>
      <w:r>
        <w:t xml:space="preserve"> </w:t>
      </w:r>
      <w:proofErr w:type="spellStart"/>
      <w:r>
        <w:t>outsiders</w:t>
      </w:r>
      <w:proofErr w:type="spellEnd"/>
      <w:r>
        <w:t xml:space="preserve">. </w:t>
      </w:r>
      <w:proofErr w:type="spellStart"/>
      <w:r w:rsidRPr="009B7BB7">
        <w:t>Interestingly</w:t>
      </w:r>
      <w:proofErr w:type="spellEnd"/>
      <w:r w:rsidRPr="009B7BB7">
        <w:t xml:space="preserve">, </w:t>
      </w:r>
      <w:proofErr w:type="spellStart"/>
      <w:r w:rsidRPr="009B7BB7">
        <w:t>Rūmī</w:t>
      </w:r>
      <w:proofErr w:type="spellEnd"/>
      <w:r w:rsidRPr="009B7BB7">
        <w:t xml:space="preserve"> </w:t>
      </w:r>
      <w:proofErr w:type="spellStart"/>
      <w:r w:rsidRPr="009B7BB7">
        <w:t>goes</w:t>
      </w:r>
      <w:proofErr w:type="spellEnd"/>
      <w:r w:rsidRPr="009B7BB7">
        <w:t xml:space="preserve"> </w:t>
      </w:r>
      <w:proofErr w:type="spellStart"/>
      <w:r w:rsidRPr="009B7BB7">
        <w:t>so</w:t>
      </w:r>
      <w:proofErr w:type="spellEnd"/>
      <w:r w:rsidRPr="009B7BB7">
        <w:t xml:space="preserve"> far as </w:t>
      </w:r>
      <w:proofErr w:type="spellStart"/>
      <w:r w:rsidRPr="009B7BB7">
        <w:t>to</w:t>
      </w:r>
      <w:proofErr w:type="spellEnd"/>
      <w:r w:rsidRPr="009B7BB7">
        <w:t xml:space="preserve"> </w:t>
      </w:r>
      <w:proofErr w:type="spellStart"/>
      <w:r w:rsidRPr="009B7BB7">
        <w:t>criticize</w:t>
      </w:r>
      <w:proofErr w:type="spellEnd"/>
      <w:r w:rsidRPr="009B7BB7">
        <w:t xml:space="preserve"> </w:t>
      </w:r>
      <w:proofErr w:type="spellStart"/>
      <w:r w:rsidRPr="009B7BB7">
        <w:t>proponents</w:t>
      </w:r>
      <w:proofErr w:type="spellEnd"/>
      <w:r w:rsidRPr="009B7BB7">
        <w:t xml:space="preserve"> of </w:t>
      </w:r>
      <w:proofErr w:type="spellStart"/>
      <w:r>
        <w:t>intellect</w:t>
      </w:r>
      <w:proofErr w:type="spellEnd"/>
      <w:r w:rsidRPr="009B7BB7">
        <w:t xml:space="preserve">, not </w:t>
      </w:r>
      <w:proofErr w:type="spellStart"/>
      <w:r w:rsidRPr="009B7BB7">
        <w:t>just</w:t>
      </w:r>
      <w:proofErr w:type="spellEnd"/>
      <w:r w:rsidRPr="009B7BB7">
        <w:t xml:space="preserve"> </w:t>
      </w:r>
      <w:proofErr w:type="spellStart"/>
      <w:r w:rsidRPr="009B7BB7">
        <w:t>for</w:t>
      </w:r>
      <w:proofErr w:type="spellEnd"/>
      <w:r w:rsidRPr="009B7BB7">
        <w:t xml:space="preserve"> </w:t>
      </w:r>
      <w:proofErr w:type="spellStart"/>
      <w:r w:rsidRPr="009B7BB7">
        <w:t>their</w:t>
      </w:r>
      <w:proofErr w:type="spellEnd"/>
      <w:r w:rsidRPr="009B7BB7">
        <w:t xml:space="preserve"> </w:t>
      </w:r>
      <w:proofErr w:type="spellStart"/>
      <w:r w:rsidRPr="009B7BB7">
        <w:t>lack</w:t>
      </w:r>
      <w:proofErr w:type="spellEnd"/>
      <w:r w:rsidRPr="009B7BB7">
        <w:t xml:space="preserve"> of </w:t>
      </w:r>
      <w:proofErr w:type="spellStart"/>
      <w:r w:rsidRPr="009B7BB7">
        <w:t>vision</w:t>
      </w:r>
      <w:proofErr w:type="spellEnd"/>
      <w:r w:rsidRPr="009B7BB7">
        <w:t xml:space="preserve"> but </w:t>
      </w:r>
      <w:proofErr w:type="spellStart"/>
      <w:r w:rsidRPr="009B7BB7">
        <w:t>also</w:t>
      </w:r>
      <w:proofErr w:type="spellEnd"/>
      <w:r w:rsidRPr="009B7BB7">
        <w:t xml:space="preserve"> </w:t>
      </w:r>
      <w:proofErr w:type="spellStart"/>
      <w:r w:rsidRPr="009B7BB7">
        <w:t>for</w:t>
      </w:r>
      <w:proofErr w:type="spellEnd"/>
      <w:r w:rsidRPr="009B7BB7">
        <w:t xml:space="preserve"> </w:t>
      </w:r>
      <w:proofErr w:type="spellStart"/>
      <w:r w:rsidRPr="009B7BB7">
        <w:t>their</w:t>
      </w:r>
      <w:proofErr w:type="spellEnd"/>
      <w:r w:rsidRPr="009B7BB7">
        <w:t xml:space="preserve"> </w:t>
      </w:r>
      <w:proofErr w:type="spellStart"/>
      <w:r w:rsidRPr="009B7BB7">
        <w:t>insincerity</w:t>
      </w:r>
      <w:proofErr w:type="spellEnd"/>
      <w:r w:rsidRPr="009B7BB7">
        <w:t xml:space="preserve">. </w:t>
      </w:r>
      <w:proofErr w:type="spellStart"/>
      <w:r w:rsidRPr="009B7BB7">
        <w:t>To</w:t>
      </w:r>
      <w:proofErr w:type="spellEnd"/>
      <w:r w:rsidRPr="009B7BB7">
        <w:t xml:space="preserve"> </w:t>
      </w:r>
      <w:proofErr w:type="spellStart"/>
      <w:r w:rsidRPr="009B7BB7">
        <w:t>him</w:t>
      </w:r>
      <w:proofErr w:type="spellEnd"/>
      <w:r w:rsidRPr="009B7BB7">
        <w:t xml:space="preserve">, </w:t>
      </w:r>
      <w:proofErr w:type="spellStart"/>
      <w:r>
        <w:t>intellect</w:t>
      </w:r>
      <w:proofErr w:type="spellEnd"/>
      <w:r w:rsidRPr="009B7BB7">
        <w:t xml:space="preserve"> is not </w:t>
      </w:r>
      <w:proofErr w:type="spellStart"/>
      <w:r w:rsidRPr="009B7BB7">
        <w:t>merely</w:t>
      </w:r>
      <w:proofErr w:type="spellEnd"/>
      <w:r w:rsidRPr="009B7BB7">
        <w:t xml:space="preserve"> an </w:t>
      </w:r>
      <w:proofErr w:type="spellStart"/>
      <w:r w:rsidRPr="009B7BB7">
        <w:t>inadequate</w:t>
      </w:r>
      <w:proofErr w:type="spellEnd"/>
      <w:r w:rsidRPr="009B7BB7">
        <w:t xml:space="preserve"> </w:t>
      </w:r>
      <w:proofErr w:type="spellStart"/>
      <w:r w:rsidRPr="009B7BB7">
        <w:t>means</w:t>
      </w:r>
      <w:proofErr w:type="spellEnd"/>
      <w:r w:rsidRPr="009B7BB7">
        <w:t xml:space="preserve"> </w:t>
      </w:r>
      <w:proofErr w:type="spellStart"/>
      <w:r w:rsidRPr="009B7BB7">
        <w:t>for</w:t>
      </w:r>
      <w:proofErr w:type="spellEnd"/>
      <w:r w:rsidRPr="009B7BB7">
        <w:t xml:space="preserve"> </w:t>
      </w:r>
      <w:proofErr w:type="spellStart"/>
      <w:r w:rsidRPr="009B7BB7">
        <w:t>reaching</w:t>
      </w:r>
      <w:proofErr w:type="spellEnd"/>
      <w:r w:rsidRPr="009B7BB7">
        <w:t xml:space="preserve"> </w:t>
      </w:r>
      <w:proofErr w:type="spellStart"/>
      <w:r w:rsidRPr="009B7BB7">
        <w:t>the</w:t>
      </w:r>
      <w:proofErr w:type="spellEnd"/>
      <w:r w:rsidRPr="009B7BB7">
        <w:t xml:space="preserve"> </w:t>
      </w:r>
      <w:proofErr w:type="spellStart"/>
      <w:r w:rsidRPr="009B7BB7">
        <w:t>greater</w:t>
      </w:r>
      <w:proofErr w:type="spellEnd"/>
      <w:r w:rsidRPr="009B7BB7">
        <w:t xml:space="preserve"> </w:t>
      </w:r>
      <w:proofErr w:type="spellStart"/>
      <w:r w:rsidRPr="009B7BB7">
        <w:t>truth</w:t>
      </w:r>
      <w:proofErr w:type="spellEnd"/>
      <w:r w:rsidRPr="009B7BB7">
        <w:t xml:space="preserve">, but </w:t>
      </w:r>
      <w:proofErr w:type="spellStart"/>
      <w:r w:rsidRPr="009B7BB7">
        <w:t>actually</w:t>
      </w:r>
      <w:proofErr w:type="spellEnd"/>
      <w:r w:rsidRPr="009B7BB7">
        <w:t xml:space="preserve"> an </w:t>
      </w:r>
      <w:proofErr w:type="spellStart"/>
      <w:r w:rsidRPr="009B7BB7">
        <w:t>impediment</w:t>
      </w:r>
      <w:proofErr w:type="spellEnd"/>
      <w:r w:rsidRPr="009B7BB7">
        <w:t xml:space="preserve"> </w:t>
      </w:r>
      <w:proofErr w:type="spellStart"/>
      <w:r>
        <w:t>that</w:t>
      </w:r>
      <w:proofErr w:type="spellEnd"/>
      <w:r>
        <w:t xml:space="preserve"> </w:t>
      </w:r>
      <w:proofErr w:type="spellStart"/>
      <w:r>
        <w:t>must</w:t>
      </w:r>
      <w:proofErr w:type="spellEnd"/>
      <w:r>
        <w:t xml:space="preserve"> be </w:t>
      </w:r>
      <w:proofErr w:type="spellStart"/>
      <w:r>
        <w:t>discarded</w:t>
      </w:r>
      <w:proofErr w:type="spellEnd"/>
      <w:r w:rsidRPr="009B7BB7">
        <w:t>.</w:t>
      </w:r>
    </w:p>
    <w:p w14:paraId="21910BF8" w14:textId="77777777" w:rsidR="0034640B" w:rsidRPr="00022F92" w:rsidRDefault="0034640B" w:rsidP="009C2F96">
      <w:pPr>
        <w:jc w:val="both"/>
        <w:rPr>
          <w:lang w:val="en-US"/>
        </w:rPr>
      </w:pPr>
    </w:p>
    <w:p w14:paraId="5484DD51" w14:textId="5A5AD49A" w:rsidR="0034640B" w:rsidRDefault="000C6508" w:rsidP="009C2F96">
      <w:pPr>
        <w:rPr>
          <w:lang w:val="en-US"/>
        </w:rPr>
      </w:pPr>
      <w:r>
        <w:rPr>
          <w:b/>
          <w:bCs/>
          <w:lang w:val="en-US"/>
        </w:rPr>
        <w:t>Keywords</w:t>
      </w:r>
      <w:r w:rsidR="0034640B" w:rsidRPr="00022F92">
        <w:rPr>
          <w:b/>
          <w:bCs/>
          <w:lang w:val="en-US"/>
        </w:rPr>
        <w:t xml:space="preserve">: </w:t>
      </w:r>
      <w:r w:rsidR="0034640B">
        <w:rPr>
          <w:lang w:val="en-US"/>
        </w:rPr>
        <w:t xml:space="preserve">Mawlana Jalal al-din Muhammad Rumi, classical </w:t>
      </w:r>
      <w:proofErr w:type="spellStart"/>
      <w:r w:rsidR="0034640B">
        <w:rPr>
          <w:lang w:val="en-US"/>
        </w:rPr>
        <w:t>persian</w:t>
      </w:r>
      <w:proofErr w:type="spellEnd"/>
      <w:r w:rsidR="0034640B">
        <w:rPr>
          <w:lang w:val="en-US"/>
        </w:rPr>
        <w:t xml:space="preserve"> poetry, </w:t>
      </w:r>
      <w:proofErr w:type="spellStart"/>
      <w:r w:rsidR="0034640B">
        <w:rPr>
          <w:lang w:val="en-US"/>
        </w:rPr>
        <w:t>sufism</w:t>
      </w:r>
      <w:proofErr w:type="spellEnd"/>
      <w:r w:rsidR="0034640B">
        <w:rPr>
          <w:lang w:val="en-US"/>
        </w:rPr>
        <w:t>, love, intellect</w:t>
      </w:r>
    </w:p>
    <w:p w14:paraId="24B3FD96" w14:textId="77777777" w:rsidR="0034640B" w:rsidRDefault="0034640B" w:rsidP="009C2F96">
      <w:pPr>
        <w:rPr>
          <w:lang w:val="en-US"/>
        </w:rPr>
      </w:pPr>
    </w:p>
    <w:p w14:paraId="27826598" w14:textId="77777777" w:rsidR="0034640B" w:rsidRDefault="0034640B" w:rsidP="009C2F96">
      <w:pPr>
        <w:rPr>
          <w:lang w:val="en-US"/>
        </w:rPr>
      </w:pPr>
    </w:p>
    <w:p w14:paraId="50803489" w14:textId="77777777" w:rsidR="0034640B" w:rsidRPr="009F0AE3" w:rsidRDefault="0034640B" w:rsidP="009C2F96">
      <w:pPr>
        <w:rPr>
          <w:b/>
          <w:bCs/>
          <w:lang w:val="en-US"/>
        </w:rPr>
      </w:pPr>
      <w:r w:rsidRPr="009F0AE3">
        <w:rPr>
          <w:b/>
          <w:bCs/>
          <w:lang w:val="en-US"/>
        </w:rPr>
        <w:t>Introduction</w:t>
      </w:r>
    </w:p>
    <w:p w14:paraId="616C4E13" w14:textId="77777777" w:rsidR="0034640B" w:rsidRDefault="0034640B" w:rsidP="009C2F96">
      <w:pPr>
        <w:jc w:val="both"/>
      </w:pPr>
      <w:r w:rsidRPr="002B0DE3">
        <w:rPr>
          <w:lang w:val="en-US"/>
        </w:rPr>
        <w:t xml:space="preserve">The human being’s love for God is one of the main themes </w:t>
      </w:r>
      <w:r>
        <w:rPr>
          <w:lang w:val="en-US"/>
        </w:rPr>
        <w:t xml:space="preserve">in </w:t>
      </w:r>
      <w:proofErr w:type="spellStart"/>
      <w:r w:rsidRPr="002B0DE3">
        <w:t>Mawlānā</w:t>
      </w:r>
      <w:proofErr w:type="spellEnd"/>
      <w:r w:rsidRPr="002B0DE3">
        <w:t xml:space="preserve"> </w:t>
      </w:r>
      <w:proofErr w:type="spellStart"/>
      <w:r w:rsidRPr="002B0DE3">
        <w:t>Djalāl</w:t>
      </w:r>
      <w:proofErr w:type="spellEnd"/>
      <w:r w:rsidRPr="002B0DE3">
        <w:t xml:space="preserve"> al-</w:t>
      </w:r>
      <w:proofErr w:type="spellStart"/>
      <w:r w:rsidRPr="002B0DE3">
        <w:t>Dīn</w:t>
      </w:r>
      <w:proofErr w:type="spellEnd"/>
      <w:r w:rsidRPr="002B0DE3">
        <w:t> </w:t>
      </w:r>
      <w:proofErr w:type="spellStart"/>
      <w:r w:rsidRPr="002B0DE3">
        <w:t>Rūmī</w:t>
      </w:r>
      <w:r>
        <w:t>’s</w:t>
      </w:r>
      <w:proofErr w:type="spellEnd"/>
      <w:r>
        <w:t xml:space="preserve"> (d. 1273) </w:t>
      </w:r>
      <w:proofErr w:type="spellStart"/>
      <w:r>
        <w:t>poetry</w:t>
      </w:r>
      <w:proofErr w:type="spellEnd"/>
      <w:r>
        <w:t xml:space="preserve"> </w:t>
      </w:r>
      <w:proofErr w:type="spellStart"/>
      <w:r>
        <w:t>and</w:t>
      </w:r>
      <w:proofErr w:type="spellEnd"/>
      <w:r>
        <w:t xml:space="preserve"> a </w:t>
      </w:r>
      <w:proofErr w:type="spellStart"/>
      <w:r>
        <w:t>scrutiny</w:t>
      </w:r>
      <w:proofErr w:type="spellEnd"/>
      <w:r>
        <w:t xml:space="preserve"> of his </w:t>
      </w:r>
      <w:proofErr w:type="spellStart"/>
      <w:r>
        <w:t>works</w:t>
      </w:r>
      <w:proofErr w:type="spellEnd"/>
      <w:r>
        <w:t xml:space="preserve"> </w:t>
      </w:r>
      <w:proofErr w:type="spellStart"/>
      <w:r>
        <w:t>reveals</w:t>
      </w:r>
      <w:proofErr w:type="spellEnd"/>
      <w:r>
        <w:t xml:space="preserve"> </w:t>
      </w:r>
      <w:proofErr w:type="spellStart"/>
      <w:r>
        <w:t>that</w:t>
      </w:r>
      <w:proofErr w:type="spellEnd"/>
      <w:r>
        <w:t xml:space="preserve"> he had a </w:t>
      </w:r>
      <w:proofErr w:type="spellStart"/>
      <w:r>
        <w:t>coherent</w:t>
      </w:r>
      <w:proofErr w:type="spellEnd"/>
      <w:r>
        <w:t xml:space="preserve"> set of </w:t>
      </w:r>
      <w:proofErr w:type="spellStart"/>
      <w:r>
        <w:t>views</w:t>
      </w:r>
      <w:proofErr w:type="spellEnd"/>
      <w:r>
        <w:t xml:space="preserve"> </w:t>
      </w:r>
      <w:proofErr w:type="spellStart"/>
      <w:r>
        <w:t>concerning</w:t>
      </w:r>
      <w:proofErr w:type="spellEnd"/>
      <w:r>
        <w:t xml:space="preserve"> </w:t>
      </w:r>
      <w:proofErr w:type="spellStart"/>
      <w:r>
        <w:t>spiritual</w:t>
      </w:r>
      <w:proofErr w:type="spellEnd"/>
      <w:r>
        <w:t xml:space="preserve"> </w:t>
      </w:r>
      <w:proofErr w:type="spellStart"/>
      <w:r>
        <w:t>love</w:t>
      </w:r>
      <w:proofErr w:type="spellEnd"/>
      <w:r>
        <w:t xml:space="preserve"> </w:t>
      </w:r>
      <w:proofErr w:type="spellStart"/>
      <w:r>
        <w:t>and</w:t>
      </w:r>
      <w:proofErr w:type="spellEnd"/>
      <w:r>
        <w:t xml:space="preserve"> </w:t>
      </w:r>
      <w:proofErr w:type="spellStart"/>
      <w:r>
        <w:t>its</w:t>
      </w:r>
      <w:proofErr w:type="spellEnd"/>
      <w:r>
        <w:t xml:space="preserve"> </w:t>
      </w:r>
      <w:proofErr w:type="spellStart"/>
      <w:r>
        <w:t>relation</w:t>
      </w:r>
      <w:proofErr w:type="spellEnd"/>
      <w:r>
        <w:t xml:space="preserve"> </w:t>
      </w:r>
      <w:proofErr w:type="spellStart"/>
      <w:r>
        <w:t>to</w:t>
      </w:r>
      <w:proofErr w:type="spellEnd"/>
      <w:r>
        <w:t xml:space="preserve"> </w:t>
      </w:r>
      <w:proofErr w:type="spellStart"/>
      <w:r>
        <w:t>the</w:t>
      </w:r>
      <w:proofErr w:type="spellEnd"/>
      <w:r>
        <w:t xml:space="preserve"> </w:t>
      </w:r>
      <w:proofErr w:type="spellStart"/>
      <w:r>
        <w:t>individual’s</w:t>
      </w:r>
      <w:proofErr w:type="spellEnd"/>
      <w:r>
        <w:t xml:space="preserve"> </w:t>
      </w:r>
      <w:proofErr w:type="spellStart"/>
      <w:r>
        <w:t>pursuit</w:t>
      </w:r>
      <w:proofErr w:type="spellEnd"/>
      <w:r>
        <w:t xml:space="preserve"> </w:t>
      </w:r>
      <w:proofErr w:type="spellStart"/>
      <w:r>
        <w:t>for</w:t>
      </w:r>
      <w:proofErr w:type="spellEnd"/>
      <w:r>
        <w:t xml:space="preserve"> </w:t>
      </w:r>
      <w:proofErr w:type="spellStart"/>
      <w:r>
        <w:t>achieving</w:t>
      </w:r>
      <w:proofErr w:type="spellEnd"/>
      <w:r>
        <w:t xml:space="preserve"> </w:t>
      </w:r>
      <w:proofErr w:type="spellStart"/>
      <w:r>
        <w:t>unity</w:t>
      </w:r>
      <w:proofErr w:type="spellEnd"/>
      <w:r>
        <w:t xml:space="preserve"> </w:t>
      </w:r>
      <w:proofErr w:type="spellStart"/>
      <w:r>
        <w:t>with</w:t>
      </w:r>
      <w:proofErr w:type="spellEnd"/>
      <w:r>
        <w:t xml:space="preserve"> </w:t>
      </w:r>
      <w:proofErr w:type="spellStart"/>
      <w:r>
        <w:t>the</w:t>
      </w:r>
      <w:proofErr w:type="spellEnd"/>
      <w:r>
        <w:t xml:space="preserve"> </w:t>
      </w:r>
      <w:proofErr w:type="spellStart"/>
      <w:r>
        <w:t>Divine</w:t>
      </w:r>
      <w:proofErr w:type="spellEnd"/>
      <w:r>
        <w:t xml:space="preserve">. </w:t>
      </w:r>
      <w:proofErr w:type="spellStart"/>
      <w:r>
        <w:t>In</w:t>
      </w:r>
      <w:proofErr w:type="spellEnd"/>
      <w:r>
        <w:t xml:space="preserve"> </w:t>
      </w:r>
      <w:proofErr w:type="spellStart"/>
      <w:r>
        <w:t>essence</w:t>
      </w:r>
      <w:proofErr w:type="spellEnd"/>
      <w:r>
        <w:t xml:space="preserve">, </w:t>
      </w:r>
      <w:proofErr w:type="spellStart"/>
      <w:r w:rsidRPr="002B0DE3">
        <w:t>Rūmī</w:t>
      </w:r>
      <w:proofErr w:type="spellEnd"/>
      <w:r>
        <w:t xml:space="preserve"> </w:t>
      </w:r>
      <w:proofErr w:type="spellStart"/>
      <w:r>
        <w:t>proposes</w:t>
      </w:r>
      <w:proofErr w:type="spellEnd"/>
      <w:r>
        <w:t xml:space="preserve"> </w:t>
      </w:r>
      <w:proofErr w:type="spellStart"/>
      <w:r>
        <w:t>that</w:t>
      </w:r>
      <w:proofErr w:type="spellEnd"/>
      <w:r>
        <w:t xml:space="preserve"> </w:t>
      </w:r>
      <w:proofErr w:type="spellStart"/>
      <w:r>
        <w:t>love</w:t>
      </w:r>
      <w:proofErr w:type="spellEnd"/>
      <w:r>
        <w:t xml:space="preserve"> is </w:t>
      </w:r>
      <w:proofErr w:type="spellStart"/>
      <w:r>
        <w:t>the</w:t>
      </w:r>
      <w:proofErr w:type="spellEnd"/>
      <w:r>
        <w:t xml:space="preserve"> </w:t>
      </w:r>
      <w:proofErr w:type="spellStart"/>
      <w:r>
        <w:t>only</w:t>
      </w:r>
      <w:proofErr w:type="spellEnd"/>
      <w:r>
        <w:t xml:space="preserve"> </w:t>
      </w:r>
      <w:proofErr w:type="spellStart"/>
      <w:r>
        <w:t>means</w:t>
      </w:r>
      <w:proofErr w:type="spellEnd"/>
      <w:r>
        <w:t xml:space="preserve"> </w:t>
      </w:r>
      <w:proofErr w:type="spellStart"/>
      <w:r>
        <w:t>for</w:t>
      </w:r>
      <w:proofErr w:type="spellEnd"/>
      <w:r>
        <w:t xml:space="preserve"> </w:t>
      </w:r>
      <w:proofErr w:type="spellStart"/>
      <w:r>
        <w:t>overcoming</w:t>
      </w:r>
      <w:proofErr w:type="spellEnd"/>
      <w:r>
        <w:t xml:space="preserve"> </w:t>
      </w:r>
      <w:proofErr w:type="spellStart"/>
      <w:r>
        <w:t>the</w:t>
      </w:r>
      <w:proofErr w:type="spellEnd"/>
      <w:r>
        <w:t xml:space="preserve"> </w:t>
      </w:r>
      <w:proofErr w:type="spellStart"/>
      <w:r>
        <w:t>boundaries</w:t>
      </w:r>
      <w:proofErr w:type="spellEnd"/>
      <w:r>
        <w:t xml:space="preserve"> of </w:t>
      </w:r>
      <w:proofErr w:type="spellStart"/>
      <w:r>
        <w:t>the</w:t>
      </w:r>
      <w:proofErr w:type="spellEnd"/>
      <w:r>
        <w:t xml:space="preserve"> </w:t>
      </w:r>
      <w:proofErr w:type="spellStart"/>
      <w:r>
        <w:t>physical</w:t>
      </w:r>
      <w:proofErr w:type="spellEnd"/>
      <w:r>
        <w:t xml:space="preserve"> </w:t>
      </w:r>
      <w:proofErr w:type="spellStart"/>
      <w:r>
        <w:t>world</w:t>
      </w:r>
      <w:proofErr w:type="spellEnd"/>
      <w:r>
        <w:t xml:space="preserve"> </w:t>
      </w:r>
      <w:proofErr w:type="spellStart"/>
      <w:r>
        <w:t>and</w:t>
      </w:r>
      <w:proofErr w:type="spellEnd"/>
      <w:r>
        <w:t xml:space="preserve"> </w:t>
      </w:r>
      <w:proofErr w:type="spellStart"/>
      <w:r>
        <w:t>access</w:t>
      </w:r>
      <w:proofErr w:type="spellEnd"/>
      <w:r>
        <w:t xml:space="preserve"> </w:t>
      </w:r>
      <w:proofErr w:type="spellStart"/>
      <w:r>
        <w:t>the</w:t>
      </w:r>
      <w:proofErr w:type="spellEnd"/>
      <w:r>
        <w:t xml:space="preserve"> </w:t>
      </w:r>
      <w:proofErr w:type="spellStart"/>
      <w:r>
        <w:t>spiritual</w:t>
      </w:r>
      <w:proofErr w:type="spellEnd"/>
      <w:r>
        <w:t xml:space="preserve"> </w:t>
      </w:r>
      <w:proofErr w:type="spellStart"/>
      <w:r>
        <w:t>realm</w:t>
      </w:r>
      <w:proofErr w:type="spellEnd"/>
      <w:r>
        <w:t xml:space="preserve">. </w:t>
      </w:r>
      <w:proofErr w:type="spellStart"/>
      <w:r>
        <w:t>While</w:t>
      </w:r>
      <w:proofErr w:type="spellEnd"/>
      <w:r>
        <w:t xml:space="preserve"> his </w:t>
      </w:r>
      <w:proofErr w:type="spellStart"/>
      <w:r>
        <w:t>perspective</w:t>
      </w:r>
      <w:proofErr w:type="spellEnd"/>
      <w:r>
        <w:t xml:space="preserve"> can be </w:t>
      </w:r>
      <w:proofErr w:type="spellStart"/>
      <w:r>
        <w:t>observed</w:t>
      </w:r>
      <w:proofErr w:type="spellEnd"/>
      <w:r>
        <w:t xml:space="preserve"> </w:t>
      </w:r>
      <w:proofErr w:type="spellStart"/>
      <w:r>
        <w:t>throughout</w:t>
      </w:r>
      <w:proofErr w:type="spellEnd"/>
      <w:r>
        <w:t xml:space="preserve"> his </w:t>
      </w:r>
      <w:proofErr w:type="spellStart"/>
      <w:r>
        <w:t>oeuvre</w:t>
      </w:r>
      <w:proofErr w:type="spellEnd"/>
      <w:r>
        <w:t xml:space="preserve">, </w:t>
      </w:r>
      <w:proofErr w:type="spellStart"/>
      <w:r>
        <w:t>there</w:t>
      </w:r>
      <w:proofErr w:type="spellEnd"/>
      <w:r>
        <w:t xml:space="preserve"> </w:t>
      </w:r>
      <w:proofErr w:type="spellStart"/>
      <w:r>
        <w:t>are</w:t>
      </w:r>
      <w:proofErr w:type="spellEnd"/>
      <w:r>
        <w:t xml:space="preserve"> </w:t>
      </w:r>
      <w:proofErr w:type="spellStart"/>
      <w:r>
        <w:t>particular</w:t>
      </w:r>
      <w:proofErr w:type="spellEnd"/>
      <w:r>
        <w:t xml:space="preserve"> </w:t>
      </w:r>
      <w:proofErr w:type="spellStart"/>
      <w:r>
        <w:t>poems</w:t>
      </w:r>
      <w:proofErr w:type="spellEnd"/>
      <w:r>
        <w:t xml:space="preserve"> he </w:t>
      </w:r>
      <w:proofErr w:type="spellStart"/>
      <w:r>
        <w:t>composed</w:t>
      </w:r>
      <w:proofErr w:type="spellEnd"/>
      <w:r>
        <w:t xml:space="preserve"> </w:t>
      </w:r>
      <w:proofErr w:type="spellStart"/>
      <w:r>
        <w:t>that</w:t>
      </w:r>
      <w:proofErr w:type="spellEnd"/>
      <w:r>
        <w:t xml:space="preserve"> </w:t>
      </w:r>
      <w:proofErr w:type="spellStart"/>
      <w:r>
        <w:t>provide</w:t>
      </w:r>
      <w:proofErr w:type="spellEnd"/>
      <w:r>
        <w:t xml:space="preserve"> a </w:t>
      </w:r>
      <w:proofErr w:type="spellStart"/>
      <w:r>
        <w:t>more</w:t>
      </w:r>
      <w:proofErr w:type="spellEnd"/>
      <w:r>
        <w:t xml:space="preserve"> </w:t>
      </w:r>
      <w:proofErr w:type="spellStart"/>
      <w:r>
        <w:t>direct</w:t>
      </w:r>
      <w:proofErr w:type="spellEnd"/>
      <w:r>
        <w:t xml:space="preserve"> </w:t>
      </w:r>
      <w:proofErr w:type="spellStart"/>
      <w:r>
        <w:t>understanding</w:t>
      </w:r>
      <w:proofErr w:type="spellEnd"/>
      <w:r>
        <w:t xml:space="preserve"> of </w:t>
      </w:r>
      <w:proofErr w:type="spellStart"/>
      <w:r>
        <w:t>the</w:t>
      </w:r>
      <w:proofErr w:type="spellEnd"/>
      <w:r>
        <w:t xml:space="preserve"> </w:t>
      </w:r>
      <w:proofErr w:type="spellStart"/>
      <w:r>
        <w:t>way</w:t>
      </w:r>
      <w:proofErr w:type="spellEnd"/>
      <w:r>
        <w:t xml:space="preserve"> he </w:t>
      </w:r>
      <w:proofErr w:type="spellStart"/>
      <w:r>
        <w:t>conceptualizes</w:t>
      </w:r>
      <w:proofErr w:type="spellEnd"/>
      <w:r>
        <w:t xml:space="preserve"> </w:t>
      </w:r>
      <w:proofErr w:type="spellStart"/>
      <w:r>
        <w:t>love</w:t>
      </w:r>
      <w:proofErr w:type="spellEnd"/>
      <w:r>
        <w:t xml:space="preserve"> </w:t>
      </w:r>
      <w:proofErr w:type="spellStart"/>
      <w:r>
        <w:t>and</w:t>
      </w:r>
      <w:proofErr w:type="spellEnd"/>
      <w:r>
        <w:t xml:space="preserve"> </w:t>
      </w:r>
      <w:proofErr w:type="spellStart"/>
      <w:r>
        <w:t>its</w:t>
      </w:r>
      <w:proofErr w:type="spellEnd"/>
      <w:r>
        <w:t xml:space="preserve"> </w:t>
      </w:r>
      <w:proofErr w:type="spellStart"/>
      <w:r>
        <w:t>connection</w:t>
      </w:r>
      <w:proofErr w:type="spellEnd"/>
      <w:r>
        <w:t xml:space="preserve"> </w:t>
      </w:r>
      <w:proofErr w:type="spellStart"/>
      <w:r>
        <w:t>to</w:t>
      </w:r>
      <w:proofErr w:type="spellEnd"/>
      <w:r>
        <w:t xml:space="preserve"> </w:t>
      </w:r>
      <w:proofErr w:type="spellStart"/>
      <w:r>
        <w:t>other</w:t>
      </w:r>
      <w:proofErr w:type="spellEnd"/>
      <w:r>
        <w:t xml:space="preserve"> Sufi </w:t>
      </w:r>
      <w:proofErr w:type="spellStart"/>
      <w:r>
        <w:t>notions</w:t>
      </w:r>
      <w:proofErr w:type="spellEnd"/>
      <w:r>
        <w:t xml:space="preserve">. </w:t>
      </w:r>
      <w:proofErr w:type="spellStart"/>
      <w:r>
        <w:t>Given</w:t>
      </w:r>
      <w:proofErr w:type="spellEnd"/>
      <w:r>
        <w:t xml:space="preserve"> </w:t>
      </w:r>
      <w:proofErr w:type="spellStart"/>
      <w:r>
        <w:t>this</w:t>
      </w:r>
      <w:proofErr w:type="spellEnd"/>
      <w:r>
        <w:t xml:space="preserve"> background, </w:t>
      </w:r>
      <w:proofErr w:type="spellStart"/>
      <w:r>
        <w:t>the</w:t>
      </w:r>
      <w:proofErr w:type="spellEnd"/>
      <w:r>
        <w:t xml:space="preserve"> </w:t>
      </w:r>
      <w:proofErr w:type="spellStart"/>
      <w:r>
        <w:t>purpose</w:t>
      </w:r>
      <w:proofErr w:type="spellEnd"/>
      <w:r>
        <w:t xml:space="preserve"> of </w:t>
      </w:r>
      <w:proofErr w:type="spellStart"/>
      <w:r>
        <w:t>this</w:t>
      </w:r>
      <w:proofErr w:type="spellEnd"/>
      <w:r>
        <w:t xml:space="preserve"> </w:t>
      </w:r>
      <w:proofErr w:type="spellStart"/>
      <w:r>
        <w:t>paper</w:t>
      </w:r>
      <w:proofErr w:type="spellEnd"/>
      <w:r>
        <w:t xml:space="preserve"> is </w:t>
      </w:r>
      <w:proofErr w:type="spellStart"/>
      <w:r>
        <w:t>to</w:t>
      </w:r>
      <w:proofErr w:type="spellEnd"/>
      <w:r>
        <w:t xml:space="preserve"> </w:t>
      </w:r>
      <w:r>
        <w:rPr>
          <w:lang w:val="en-US"/>
        </w:rPr>
        <w:t xml:space="preserve">analyze one of </w:t>
      </w:r>
      <w:proofErr w:type="spellStart"/>
      <w:r w:rsidRPr="002B0DE3">
        <w:t>Rūmī</w:t>
      </w:r>
      <w:r>
        <w:t>’s</w:t>
      </w:r>
      <w:proofErr w:type="spellEnd"/>
      <w:r>
        <w:t xml:space="preserve"> </w:t>
      </w:r>
      <w:proofErr w:type="spellStart"/>
      <w:r>
        <w:t>ghazals</w:t>
      </w:r>
      <w:proofErr w:type="spellEnd"/>
      <w:r>
        <w:t xml:space="preserve"> </w:t>
      </w:r>
      <w:proofErr w:type="spellStart"/>
      <w:r>
        <w:t>that</w:t>
      </w:r>
      <w:proofErr w:type="spellEnd"/>
      <w:r>
        <w:t xml:space="preserve"> </w:t>
      </w:r>
      <w:proofErr w:type="spellStart"/>
      <w:r>
        <w:t>specifically</w:t>
      </w:r>
      <w:proofErr w:type="spellEnd"/>
      <w:r>
        <w:t xml:space="preserve"> </w:t>
      </w:r>
      <w:proofErr w:type="spellStart"/>
      <w:r>
        <w:t>deals</w:t>
      </w:r>
      <w:proofErr w:type="spellEnd"/>
      <w:r>
        <w:t xml:space="preserve"> </w:t>
      </w:r>
      <w:proofErr w:type="spellStart"/>
      <w:r>
        <w:t>with</w:t>
      </w:r>
      <w:proofErr w:type="spellEnd"/>
      <w:r>
        <w:t xml:space="preserve"> </w:t>
      </w:r>
      <w:proofErr w:type="spellStart"/>
      <w:r>
        <w:t>the</w:t>
      </w:r>
      <w:proofErr w:type="spellEnd"/>
      <w:r>
        <w:t xml:space="preserve"> </w:t>
      </w:r>
      <w:proofErr w:type="spellStart"/>
      <w:r>
        <w:t>dichotomy</w:t>
      </w:r>
      <w:proofErr w:type="spellEnd"/>
      <w:r>
        <w:t xml:space="preserve"> </w:t>
      </w:r>
      <w:proofErr w:type="spellStart"/>
      <w:r>
        <w:t>between</w:t>
      </w:r>
      <w:proofErr w:type="spellEnd"/>
      <w:r>
        <w:t xml:space="preserve"> </w:t>
      </w:r>
      <w:proofErr w:type="spellStart"/>
      <w:r>
        <w:t>love</w:t>
      </w:r>
      <w:proofErr w:type="spellEnd"/>
      <w:r>
        <w:t xml:space="preserve"> </w:t>
      </w:r>
      <w:proofErr w:type="spellStart"/>
      <w:r>
        <w:t>and</w:t>
      </w:r>
      <w:proofErr w:type="spellEnd"/>
      <w:r>
        <w:t xml:space="preserve"> </w:t>
      </w:r>
      <w:proofErr w:type="spellStart"/>
      <w:r>
        <w:t>intellect</w:t>
      </w:r>
      <w:proofErr w:type="spellEnd"/>
      <w:r>
        <w:t xml:space="preserve">, </w:t>
      </w:r>
      <w:proofErr w:type="spellStart"/>
      <w:r>
        <w:t>and</w:t>
      </w:r>
      <w:proofErr w:type="spellEnd"/>
      <w:r w:rsidRPr="00890A34">
        <w:t xml:space="preserve"> </w:t>
      </w:r>
      <w:proofErr w:type="spellStart"/>
      <w:r w:rsidRPr="00890A34">
        <w:t>the</w:t>
      </w:r>
      <w:proofErr w:type="spellEnd"/>
      <w:r w:rsidRPr="00890A34">
        <w:t xml:space="preserve"> </w:t>
      </w:r>
      <w:proofErr w:type="spellStart"/>
      <w:r w:rsidRPr="00890A34">
        <w:t>superiority</w:t>
      </w:r>
      <w:proofErr w:type="spellEnd"/>
      <w:r w:rsidRPr="00890A34">
        <w:t xml:space="preserve"> of </w:t>
      </w:r>
      <w:proofErr w:type="spellStart"/>
      <w:r w:rsidRPr="00890A34">
        <w:t>love</w:t>
      </w:r>
      <w:proofErr w:type="spellEnd"/>
      <w:r w:rsidRPr="00890A34">
        <w:t xml:space="preserve"> as </w:t>
      </w:r>
      <w:proofErr w:type="spellStart"/>
      <w:r w:rsidRPr="00890A34">
        <w:t>the</w:t>
      </w:r>
      <w:proofErr w:type="spellEnd"/>
      <w:r w:rsidRPr="00890A34">
        <w:t xml:space="preserve"> </w:t>
      </w:r>
      <w:proofErr w:type="spellStart"/>
      <w:r w:rsidRPr="00890A34">
        <w:t>proper</w:t>
      </w:r>
      <w:proofErr w:type="spellEnd"/>
      <w:r w:rsidRPr="00890A34">
        <w:t xml:space="preserve"> </w:t>
      </w:r>
      <w:proofErr w:type="spellStart"/>
      <w:r w:rsidRPr="00890A34">
        <w:t>medium</w:t>
      </w:r>
      <w:proofErr w:type="spellEnd"/>
      <w:r w:rsidRPr="00890A34">
        <w:t xml:space="preserve"> </w:t>
      </w:r>
      <w:proofErr w:type="spellStart"/>
      <w:r w:rsidRPr="00890A34">
        <w:t>for</w:t>
      </w:r>
      <w:proofErr w:type="spellEnd"/>
      <w:r w:rsidRPr="00890A34">
        <w:t xml:space="preserve"> </w:t>
      </w:r>
      <w:proofErr w:type="spellStart"/>
      <w:r w:rsidRPr="00890A34">
        <w:t>achieving</w:t>
      </w:r>
      <w:proofErr w:type="spellEnd"/>
      <w:r w:rsidRPr="00890A34">
        <w:t xml:space="preserve"> </w:t>
      </w:r>
      <w:proofErr w:type="spellStart"/>
      <w:r w:rsidRPr="00890A34">
        <w:t>personal</w:t>
      </w:r>
      <w:proofErr w:type="spellEnd"/>
      <w:r w:rsidRPr="00890A34">
        <w:t xml:space="preserve"> </w:t>
      </w:r>
      <w:proofErr w:type="spellStart"/>
      <w:r w:rsidRPr="00890A34">
        <w:t>spritiual</w:t>
      </w:r>
      <w:proofErr w:type="spellEnd"/>
      <w:r w:rsidRPr="00890A34">
        <w:t xml:space="preserve"> </w:t>
      </w:r>
      <w:proofErr w:type="spellStart"/>
      <w:r w:rsidRPr="00890A34">
        <w:t>awakening</w:t>
      </w:r>
      <w:proofErr w:type="spellEnd"/>
      <w:r w:rsidRPr="00890A34">
        <w:t>.</w:t>
      </w:r>
    </w:p>
    <w:p w14:paraId="0B917FE6" w14:textId="77777777" w:rsidR="00FC4D53" w:rsidRPr="00890A34" w:rsidRDefault="00FC4D53" w:rsidP="009C2F96">
      <w:pPr>
        <w:rPr>
          <w:b/>
          <w:bCs/>
          <w:color w:val="FF0000"/>
          <w:lang w:val="en-US"/>
        </w:rPr>
      </w:pPr>
    </w:p>
    <w:p w14:paraId="12FC14BC" w14:textId="77777777" w:rsidR="0034640B" w:rsidRPr="009F0AE3" w:rsidRDefault="0034640B" w:rsidP="009C2F96">
      <w:pPr>
        <w:rPr>
          <w:b/>
          <w:bCs/>
          <w:lang w:val="en-US"/>
        </w:rPr>
      </w:pPr>
      <w:r w:rsidRPr="009F0AE3">
        <w:rPr>
          <w:b/>
          <w:bCs/>
          <w:lang w:val="en-US"/>
        </w:rPr>
        <w:t>Literature Review: Love and Intellect in Islamic Thought</w:t>
      </w:r>
    </w:p>
    <w:p w14:paraId="6BB41E00" w14:textId="23264EC9" w:rsidR="0034640B" w:rsidRDefault="0034640B" w:rsidP="009C2F96">
      <w:pPr>
        <w:jc w:val="both"/>
      </w:pPr>
      <w:proofErr w:type="spellStart"/>
      <w:r>
        <w:t>The</w:t>
      </w:r>
      <w:proofErr w:type="spellEnd"/>
      <w:r>
        <w:t xml:space="preserve"> </w:t>
      </w:r>
      <w:proofErr w:type="spellStart"/>
      <w:r>
        <w:t>intellect</w:t>
      </w:r>
      <w:proofErr w:type="spellEnd"/>
      <w:r>
        <w:t xml:space="preserve">, </w:t>
      </w:r>
      <w:proofErr w:type="spellStart"/>
      <w:r>
        <w:t>expressed</w:t>
      </w:r>
      <w:proofErr w:type="spellEnd"/>
      <w:r>
        <w:t xml:space="preserve"> in </w:t>
      </w:r>
      <w:proofErr w:type="spellStart"/>
      <w:r>
        <w:t>the</w:t>
      </w:r>
      <w:proofErr w:type="spellEnd"/>
      <w:r>
        <w:t xml:space="preserve"> </w:t>
      </w:r>
      <w:proofErr w:type="spellStart"/>
      <w:r>
        <w:t>Arabic</w:t>
      </w:r>
      <w:proofErr w:type="spellEnd"/>
      <w:r>
        <w:t xml:space="preserve"> </w:t>
      </w:r>
      <w:proofErr w:type="spellStart"/>
      <w:r>
        <w:t>language</w:t>
      </w:r>
      <w:proofErr w:type="spellEnd"/>
      <w:r>
        <w:t xml:space="preserve"> </w:t>
      </w:r>
      <w:proofErr w:type="spellStart"/>
      <w:r>
        <w:t>with</w:t>
      </w:r>
      <w:proofErr w:type="spellEnd"/>
      <w:r>
        <w:t xml:space="preserve"> </w:t>
      </w:r>
      <w:proofErr w:type="spellStart"/>
      <w:r>
        <w:t>the</w:t>
      </w:r>
      <w:proofErr w:type="spellEnd"/>
      <w:r>
        <w:t xml:space="preserve"> </w:t>
      </w:r>
      <w:proofErr w:type="spellStart"/>
      <w:r>
        <w:t>word</w:t>
      </w:r>
      <w:proofErr w:type="spellEnd"/>
      <w:r>
        <w:t xml:space="preserve"> </w:t>
      </w:r>
      <w:proofErr w:type="spellStart"/>
      <w:r>
        <w:t>Aql</w:t>
      </w:r>
      <w:proofErr w:type="spellEnd"/>
      <w:r>
        <w:t xml:space="preserve">, is a </w:t>
      </w:r>
      <w:proofErr w:type="spellStart"/>
      <w:r>
        <w:t>concept</w:t>
      </w:r>
      <w:proofErr w:type="spellEnd"/>
      <w:r>
        <w:t xml:space="preserve"> </w:t>
      </w:r>
      <w:proofErr w:type="spellStart"/>
      <w:r>
        <w:t>that</w:t>
      </w:r>
      <w:proofErr w:type="spellEnd"/>
      <w:r>
        <w:t xml:space="preserve"> </w:t>
      </w:r>
      <w:proofErr w:type="spellStart"/>
      <w:r>
        <w:t>was</w:t>
      </w:r>
      <w:proofErr w:type="spellEnd"/>
      <w:r>
        <w:t xml:space="preserve"> </w:t>
      </w:r>
      <w:proofErr w:type="spellStart"/>
      <w:r>
        <w:t>held</w:t>
      </w:r>
      <w:proofErr w:type="spellEnd"/>
      <w:r>
        <w:t xml:space="preserve"> in </w:t>
      </w:r>
      <w:proofErr w:type="spellStart"/>
      <w:r>
        <w:t>high</w:t>
      </w:r>
      <w:proofErr w:type="spellEnd"/>
      <w:r>
        <w:t xml:space="preserve"> </w:t>
      </w:r>
      <w:proofErr w:type="spellStart"/>
      <w:r>
        <w:t>esteem</w:t>
      </w:r>
      <w:proofErr w:type="spellEnd"/>
      <w:r>
        <w:t xml:space="preserve"> </w:t>
      </w:r>
      <w:proofErr w:type="spellStart"/>
      <w:r>
        <w:t>by</w:t>
      </w:r>
      <w:proofErr w:type="spellEnd"/>
      <w:r>
        <w:t xml:space="preserve"> </w:t>
      </w:r>
      <w:proofErr w:type="spellStart"/>
      <w:r>
        <w:t>Islamic</w:t>
      </w:r>
      <w:proofErr w:type="spellEnd"/>
      <w:r>
        <w:t xml:space="preserve"> </w:t>
      </w:r>
      <w:proofErr w:type="spellStart"/>
      <w:r>
        <w:t>scholars</w:t>
      </w:r>
      <w:proofErr w:type="spellEnd"/>
      <w:r>
        <w:t xml:space="preserve"> since </w:t>
      </w:r>
      <w:proofErr w:type="spellStart"/>
      <w:r>
        <w:t>the</w:t>
      </w:r>
      <w:proofErr w:type="spellEnd"/>
      <w:r>
        <w:t xml:space="preserve"> </w:t>
      </w:r>
      <w:proofErr w:type="spellStart"/>
      <w:r>
        <w:t>early</w:t>
      </w:r>
      <w:proofErr w:type="spellEnd"/>
      <w:r>
        <w:t xml:space="preserve"> </w:t>
      </w:r>
      <w:proofErr w:type="spellStart"/>
      <w:r>
        <w:t>centuries</w:t>
      </w:r>
      <w:proofErr w:type="spellEnd"/>
      <w:r>
        <w:t xml:space="preserve"> of </w:t>
      </w:r>
      <w:proofErr w:type="spellStart"/>
      <w:r>
        <w:t>Islam</w:t>
      </w:r>
      <w:proofErr w:type="spellEnd"/>
      <w:r>
        <w:t xml:space="preserve">. </w:t>
      </w:r>
      <w:proofErr w:type="spellStart"/>
      <w:r>
        <w:t>The</w:t>
      </w:r>
      <w:proofErr w:type="spellEnd"/>
      <w:r>
        <w:t xml:space="preserve"> </w:t>
      </w:r>
      <w:proofErr w:type="spellStart"/>
      <w:r>
        <w:t>Islamic</w:t>
      </w:r>
      <w:proofErr w:type="spellEnd"/>
      <w:r>
        <w:t xml:space="preserve"> </w:t>
      </w:r>
      <w:proofErr w:type="spellStart"/>
      <w:r>
        <w:t>philosophers</w:t>
      </w:r>
      <w:proofErr w:type="spellEnd"/>
      <w:r>
        <w:t xml:space="preserve"> </w:t>
      </w:r>
      <w:proofErr w:type="spellStart"/>
      <w:r>
        <w:t>and</w:t>
      </w:r>
      <w:proofErr w:type="spellEnd"/>
      <w:r>
        <w:t xml:space="preserve"> </w:t>
      </w:r>
      <w:proofErr w:type="spellStart"/>
      <w:r>
        <w:t>scholars</w:t>
      </w:r>
      <w:proofErr w:type="spellEnd"/>
      <w:r>
        <w:t xml:space="preserve"> of </w:t>
      </w:r>
      <w:proofErr w:type="spellStart"/>
      <w:r>
        <w:t>theology</w:t>
      </w:r>
      <w:proofErr w:type="spellEnd"/>
      <w:r>
        <w:t xml:space="preserve"> (</w:t>
      </w:r>
      <w:proofErr w:type="spellStart"/>
      <w:r>
        <w:t>K</w:t>
      </w:r>
      <w:r w:rsidRPr="008D0102">
        <w:t>alām</w:t>
      </w:r>
      <w:proofErr w:type="spellEnd"/>
      <w:r>
        <w:t xml:space="preserve">) </w:t>
      </w:r>
      <w:proofErr w:type="spellStart"/>
      <w:r>
        <w:t>provided</w:t>
      </w:r>
      <w:proofErr w:type="spellEnd"/>
      <w:r>
        <w:t xml:space="preserve"> </w:t>
      </w:r>
      <w:proofErr w:type="spellStart"/>
      <w:r>
        <w:t>various</w:t>
      </w:r>
      <w:proofErr w:type="spellEnd"/>
      <w:r>
        <w:t xml:space="preserve"> </w:t>
      </w:r>
      <w:proofErr w:type="spellStart"/>
      <w:r>
        <w:t>viewpoints</w:t>
      </w:r>
      <w:proofErr w:type="spellEnd"/>
      <w:r>
        <w:t xml:space="preserve"> as </w:t>
      </w:r>
      <w:proofErr w:type="spellStart"/>
      <w:r>
        <w:t>to</w:t>
      </w:r>
      <w:proofErr w:type="spellEnd"/>
      <w:r>
        <w:t xml:space="preserve"> </w:t>
      </w:r>
      <w:proofErr w:type="spellStart"/>
      <w:r>
        <w:t>the</w:t>
      </w:r>
      <w:proofErr w:type="spellEnd"/>
      <w:r>
        <w:t xml:space="preserve"> </w:t>
      </w:r>
      <w:proofErr w:type="spellStart"/>
      <w:r>
        <w:t>definition</w:t>
      </w:r>
      <w:proofErr w:type="spellEnd"/>
      <w:r>
        <w:t xml:space="preserve">, </w:t>
      </w:r>
      <w:proofErr w:type="spellStart"/>
      <w:r>
        <w:t>origin</w:t>
      </w:r>
      <w:proofErr w:type="spellEnd"/>
      <w:r>
        <w:t xml:space="preserve"> </w:t>
      </w:r>
      <w:proofErr w:type="spellStart"/>
      <w:r>
        <w:t>and</w:t>
      </w:r>
      <w:proofErr w:type="spellEnd"/>
      <w:r>
        <w:t xml:space="preserve"> </w:t>
      </w:r>
      <w:proofErr w:type="spellStart"/>
      <w:r>
        <w:lastRenderedPageBreak/>
        <w:t>the</w:t>
      </w:r>
      <w:proofErr w:type="spellEnd"/>
      <w:r>
        <w:t xml:space="preserve"> </w:t>
      </w:r>
      <w:proofErr w:type="spellStart"/>
      <w:r>
        <w:t>nature</w:t>
      </w:r>
      <w:proofErr w:type="spellEnd"/>
      <w:r>
        <w:t xml:space="preserve"> of </w:t>
      </w:r>
      <w:proofErr w:type="spellStart"/>
      <w:r>
        <w:t>the</w:t>
      </w:r>
      <w:proofErr w:type="spellEnd"/>
      <w:r>
        <w:t xml:space="preserve"> </w:t>
      </w:r>
      <w:proofErr w:type="spellStart"/>
      <w:r>
        <w:t>intellect</w:t>
      </w:r>
      <w:proofErr w:type="spellEnd"/>
      <w:r>
        <w:t xml:space="preserve">, but in general, </w:t>
      </w:r>
      <w:proofErr w:type="spellStart"/>
      <w:r>
        <w:t>both</w:t>
      </w:r>
      <w:proofErr w:type="spellEnd"/>
      <w:r>
        <w:t xml:space="preserve"> </w:t>
      </w:r>
      <w:proofErr w:type="spellStart"/>
      <w:r>
        <w:t>schools</w:t>
      </w:r>
      <w:proofErr w:type="spellEnd"/>
      <w:r>
        <w:t xml:space="preserve"> of </w:t>
      </w:r>
      <w:proofErr w:type="spellStart"/>
      <w:r>
        <w:t>thought</w:t>
      </w:r>
      <w:proofErr w:type="spellEnd"/>
      <w:r>
        <w:t xml:space="preserve"> </w:t>
      </w:r>
      <w:proofErr w:type="spellStart"/>
      <w:r>
        <w:t>accepted</w:t>
      </w:r>
      <w:proofErr w:type="spellEnd"/>
      <w:r>
        <w:t xml:space="preserve"> </w:t>
      </w:r>
      <w:proofErr w:type="spellStart"/>
      <w:r>
        <w:t>that</w:t>
      </w:r>
      <w:proofErr w:type="spellEnd"/>
      <w:r>
        <w:t xml:space="preserve"> </w:t>
      </w:r>
      <w:proofErr w:type="spellStart"/>
      <w:r>
        <w:t>the</w:t>
      </w:r>
      <w:proofErr w:type="spellEnd"/>
      <w:r>
        <w:t xml:space="preserve"> </w:t>
      </w:r>
      <w:proofErr w:type="spellStart"/>
      <w:r>
        <w:t>intellect</w:t>
      </w:r>
      <w:proofErr w:type="spellEnd"/>
      <w:r>
        <w:t xml:space="preserve"> </w:t>
      </w:r>
      <w:proofErr w:type="spellStart"/>
      <w:r>
        <w:t>was</w:t>
      </w:r>
      <w:proofErr w:type="spellEnd"/>
      <w:r>
        <w:t xml:space="preserve"> a </w:t>
      </w:r>
      <w:proofErr w:type="spellStart"/>
      <w:r>
        <w:t>functional</w:t>
      </w:r>
      <w:proofErr w:type="spellEnd"/>
      <w:r>
        <w:t xml:space="preserve"> </w:t>
      </w:r>
      <w:proofErr w:type="spellStart"/>
      <w:r>
        <w:t>tool</w:t>
      </w:r>
      <w:proofErr w:type="spellEnd"/>
      <w:r>
        <w:t xml:space="preserve"> </w:t>
      </w:r>
      <w:proofErr w:type="spellStart"/>
      <w:r>
        <w:t>for</w:t>
      </w:r>
      <w:proofErr w:type="spellEnd"/>
      <w:r>
        <w:t xml:space="preserve"> </w:t>
      </w:r>
      <w:proofErr w:type="spellStart"/>
      <w:r>
        <w:t>discerning</w:t>
      </w:r>
      <w:proofErr w:type="spellEnd"/>
      <w:r>
        <w:t xml:space="preserve"> </w:t>
      </w:r>
      <w:proofErr w:type="spellStart"/>
      <w:r>
        <w:t>between</w:t>
      </w:r>
      <w:proofErr w:type="spellEnd"/>
      <w:r>
        <w:t xml:space="preserve"> </w:t>
      </w:r>
      <w:proofErr w:type="spellStart"/>
      <w:r>
        <w:t>right</w:t>
      </w:r>
      <w:proofErr w:type="spellEnd"/>
      <w:r>
        <w:t xml:space="preserve"> </w:t>
      </w:r>
      <w:proofErr w:type="spellStart"/>
      <w:r>
        <w:t>and</w:t>
      </w:r>
      <w:proofErr w:type="spellEnd"/>
      <w:r>
        <w:t xml:space="preserve"> </w:t>
      </w:r>
      <w:proofErr w:type="spellStart"/>
      <w:r>
        <w:t>wrong</w:t>
      </w:r>
      <w:proofErr w:type="spellEnd"/>
      <w:r>
        <w:t xml:space="preserve"> </w:t>
      </w:r>
      <w:proofErr w:type="spellStart"/>
      <w:r>
        <w:t>and</w:t>
      </w:r>
      <w:proofErr w:type="spellEnd"/>
      <w:r>
        <w:t xml:space="preserve"> </w:t>
      </w:r>
      <w:proofErr w:type="spellStart"/>
      <w:r>
        <w:t>to</w:t>
      </w:r>
      <w:proofErr w:type="spellEnd"/>
      <w:r>
        <w:t xml:space="preserve"> </w:t>
      </w:r>
      <w:proofErr w:type="spellStart"/>
      <w:r>
        <w:t>obtain</w:t>
      </w:r>
      <w:proofErr w:type="spellEnd"/>
      <w:r>
        <w:t xml:space="preserve"> </w:t>
      </w:r>
      <w:proofErr w:type="spellStart"/>
      <w:r>
        <w:t>knowledge</w:t>
      </w:r>
      <w:proofErr w:type="spellEnd"/>
      <w:r>
        <w:t xml:space="preserve"> of </w:t>
      </w:r>
      <w:proofErr w:type="spellStart"/>
      <w:r>
        <w:t>the</w:t>
      </w:r>
      <w:proofErr w:type="spellEnd"/>
      <w:r>
        <w:t xml:space="preserve"> </w:t>
      </w:r>
      <w:proofErr w:type="spellStart"/>
      <w:r>
        <w:t>cosmos</w:t>
      </w:r>
      <w:proofErr w:type="spellEnd"/>
      <w:r>
        <w:t xml:space="preserve"> (</w:t>
      </w:r>
      <w:proofErr w:type="spellStart"/>
      <w:r>
        <w:t>Bolay</w:t>
      </w:r>
      <w:proofErr w:type="spellEnd"/>
      <w:r>
        <w:t>, 1989, p. 246; Yavuz, 1989, p. 246; Rahman, 1989, p. 246;).</w:t>
      </w:r>
    </w:p>
    <w:p w14:paraId="2AA9D07B" w14:textId="77777777" w:rsidR="009C2F96" w:rsidRDefault="009C2F96" w:rsidP="009C2F96">
      <w:pPr>
        <w:jc w:val="both"/>
      </w:pPr>
    </w:p>
    <w:p w14:paraId="77EFDE8E" w14:textId="0FA93709" w:rsidR="0034640B" w:rsidRDefault="0034640B" w:rsidP="009C2F96">
      <w:pPr>
        <w:jc w:val="both"/>
      </w:pPr>
      <w:proofErr w:type="spellStart"/>
      <w:r>
        <w:t>Earliest</w:t>
      </w:r>
      <w:proofErr w:type="spellEnd"/>
      <w:r>
        <w:t xml:space="preserve"> Sufi </w:t>
      </w:r>
      <w:proofErr w:type="spellStart"/>
      <w:r>
        <w:t>references</w:t>
      </w:r>
      <w:proofErr w:type="spellEnd"/>
      <w:r>
        <w:t xml:space="preserve"> </w:t>
      </w:r>
      <w:proofErr w:type="spellStart"/>
      <w:r>
        <w:t>to</w:t>
      </w:r>
      <w:proofErr w:type="spellEnd"/>
      <w:r>
        <w:t xml:space="preserve"> </w:t>
      </w:r>
      <w:proofErr w:type="spellStart"/>
      <w:r>
        <w:t>the</w:t>
      </w:r>
      <w:proofErr w:type="spellEnd"/>
      <w:r>
        <w:t xml:space="preserve"> </w:t>
      </w:r>
      <w:proofErr w:type="spellStart"/>
      <w:r>
        <w:t>love</w:t>
      </w:r>
      <w:proofErr w:type="spellEnd"/>
      <w:r>
        <w:t xml:space="preserve"> </w:t>
      </w:r>
      <w:proofErr w:type="spellStart"/>
      <w:r>
        <w:t>for</w:t>
      </w:r>
      <w:proofErr w:type="spellEnd"/>
      <w:r>
        <w:t xml:space="preserve"> </w:t>
      </w:r>
      <w:proofErr w:type="spellStart"/>
      <w:r>
        <w:t>God</w:t>
      </w:r>
      <w:proofErr w:type="spellEnd"/>
      <w:r>
        <w:t xml:space="preserve"> </w:t>
      </w:r>
      <w:proofErr w:type="spellStart"/>
      <w:r>
        <w:t>go</w:t>
      </w:r>
      <w:proofErr w:type="spellEnd"/>
      <w:r>
        <w:t xml:space="preserve"> </w:t>
      </w:r>
      <w:proofErr w:type="spellStart"/>
      <w:r>
        <w:t>back</w:t>
      </w:r>
      <w:proofErr w:type="spellEnd"/>
      <w:r>
        <w:t xml:space="preserve"> </w:t>
      </w:r>
      <w:proofErr w:type="spellStart"/>
      <w:r>
        <w:t>to</w:t>
      </w:r>
      <w:proofErr w:type="spellEnd"/>
      <w:r>
        <w:t xml:space="preserve"> </w:t>
      </w:r>
      <w:proofErr w:type="spellStart"/>
      <w:r>
        <w:t>the</w:t>
      </w:r>
      <w:proofErr w:type="spellEnd"/>
      <w:r>
        <w:t xml:space="preserve"> 2nd </w:t>
      </w:r>
      <w:proofErr w:type="spellStart"/>
      <w:r>
        <w:t>century</w:t>
      </w:r>
      <w:proofErr w:type="spellEnd"/>
      <w:r>
        <w:t xml:space="preserve"> </w:t>
      </w:r>
      <w:proofErr w:type="spellStart"/>
      <w:r>
        <w:t>after</w:t>
      </w:r>
      <w:proofErr w:type="spellEnd"/>
      <w:r>
        <w:t xml:space="preserve"> </w:t>
      </w:r>
      <w:proofErr w:type="spellStart"/>
      <w:r>
        <w:t>the</w:t>
      </w:r>
      <w:proofErr w:type="spellEnd"/>
      <w:r>
        <w:t xml:space="preserve"> </w:t>
      </w:r>
      <w:proofErr w:type="spellStart"/>
      <w:r>
        <w:t>emergence</w:t>
      </w:r>
      <w:proofErr w:type="spellEnd"/>
      <w:r>
        <w:t xml:space="preserve"> of </w:t>
      </w:r>
      <w:proofErr w:type="spellStart"/>
      <w:r>
        <w:t>Islam</w:t>
      </w:r>
      <w:proofErr w:type="spellEnd"/>
      <w:r>
        <w:t xml:space="preserve">. </w:t>
      </w:r>
      <w:proofErr w:type="spellStart"/>
      <w:r>
        <w:t>Initially</w:t>
      </w:r>
      <w:proofErr w:type="spellEnd"/>
      <w:r>
        <w:t xml:space="preserve">, </w:t>
      </w:r>
      <w:proofErr w:type="spellStart"/>
      <w:r>
        <w:t>the</w:t>
      </w:r>
      <w:proofErr w:type="spellEnd"/>
      <w:r>
        <w:t xml:space="preserve"> </w:t>
      </w:r>
      <w:proofErr w:type="spellStart"/>
      <w:r>
        <w:t>concept</w:t>
      </w:r>
      <w:proofErr w:type="spellEnd"/>
      <w:r>
        <w:t xml:space="preserve"> </w:t>
      </w:r>
      <w:proofErr w:type="spellStart"/>
      <w:r>
        <w:t>was</w:t>
      </w:r>
      <w:proofErr w:type="spellEnd"/>
      <w:r>
        <w:t xml:space="preserve"> </w:t>
      </w:r>
      <w:proofErr w:type="spellStart"/>
      <w:r>
        <w:t>denoted</w:t>
      </w:r>
      <w:proofErr w:type="spellEnd"/>
      <w:r>
        <w:t xml:space="preserve"> </w:t>
      </w:r>
      <w:proofErr w:type="spellStart"/>
      <w:r>
        <w:t>by</w:t>
      </w:r>
      <w:proofErr w:type="spellEnd"/>
      <w:r>
        <w:t xml:space="preserve"> </w:t>
      </w:r>
      <w:proofErr w:type="spellStart"/>
      <w:r>
        <w:t>the</w:t>
      </w:r>
      <w:proofErr w:type="spellEnd"/>
      <w:r>
        <w:t xml:space="preserve"> </w:t>
      </w:r>
      <w:proofErr w:type="spellStart"/>
      <w:r>
        <w:t>Quranic</w:t>
      </w:r>
      <w:proofErr w:type="spellEnd"/>
      <w:r>
        <w:t xml:space="preserve"> </w:t>
      </w:r>
      <w:proofErr w:type="spellStart"/>
      <w:r>
        <w:t>word</w:t>
      </w:r>
      <w:proofErr w:type="spellEnd"/>
      <w:r>
        <w:t xml:space="preserve"> </w:t>
      </w:r>
      <w:proofErr w:type="spellStart"/>
      <w:r w:rsidRPr="00C962A7">
        <w:t>Ḥ</w:t>
      </w:r>
      <w:r>
        <w:t>ubb</w:t>
      </w:r>
      <w:proofErr w:type="spellEnd"/>
      <w:r>
        <w:t xml:space="preserve"> </w:t>
      </w:r>
      <w:proofErr w:type="spellStart"/>
      <w:r>
        <w:t>and</w:t>
      </w:r>
      <w:proofErr w:type="spellEnd"/>
      <w:r>
        <w:t xml:space="preserve"> </w:t>
      </w:r>
      <w:proofErr w:type="spellStart"/>
      <w:r>
        <w:t>for</w:t>
      </w:r>
      <w:proofErr w:type="spellEnd"/>
      <w:r>
        <w:t xml:space="preserve"> a </w:t>
      </w:r>
      <w:proofErr w:type="spellStart"/>
      <w:r>
        <w:t>long</w:t>
      </w:r>
      <w:proofErr w:type="spellEnd"/>
      <w:r>
        <w:t xml:space="preserve"> time, </w:t>
      </w:r>
      <w:proofErr w:type="spellStart"/>
      <w:r>
        <w:t>the</w:t>
      </w:r>
      <w:proofErr w:type="spellEnd"/>
      <w:r>
        <w:t xml:space="preserve"> </w:t>
      </w:r>
      <w:proofErr w:type="spellStart"/>
      <w:r>
        <w:t>word</w:t>
      </w:r>
      <w:proofErr w:type="spellEnd"/>
      <w:r>
        <w:t xml:space="preserve"> </w:t>
      </w:r>
      <w:proofErr w:type="spellStart"/>
      <w:r w:rsidRPr="003874BC">
        <w:rPr>
          <w:lang w:val="en-US"/>
        </w:rPr>
        <w:t>ʿ</w:t>
      </w:r>
      <w:r>
        <w:rPr>
          <w:lang w:val="en-US"/>
        </w:rPr>
        <w:t>Ishk</w:t>
      </w:r>
      <w:proofErr w:type="spellEnd"/>
      <w:r>
        <w:rPr>
          <w:lang w:val="en-US"/>
        </w:rPr>
        <w:t xml:space="preserve"> was not preferred because </w:t>
      </w:r>
      <w:proofErr w:type="spellStart"/>
      <w:r w:rsidRPr="003874BC">
        <w:rPr>
          <w:lang w:val="en-US"/>
        </w:rPr>
        <w:t>ʿ</w:t>
      </w:r>
      <w:r>
        <w:rPr>
          <w:lang w:val="en-US"/>
        </w:rPr>
        <w:t>Ishk</w:t>
      </w:r>
      <w:proofErr w:type="spellEnd"/>
      <w:r>
        <w:rPr>
          <w:lang w:val="en-US"/>
        </w:rPr>
        <w:t xml:space="preserve"> implies a more passionate form of love. It was after </w:t>
      </w:r>
      <w:proofErr w:type="spellStart"/>
      <w:r w:rsidRPr="00A05E93">
        <w:t>Aḥmad</w:t>
      </w:r>
      <w:proofErr w:type="spellEnd"/>
      <w:r>
        <w:t xml:space="preserve"> </w:t>
      </w:r>
      <w:r w:rsidRPr="00A05E93">
        <w:t>al-</w:t>
      </w:r>
      <w:proofErr w:type="spellStart"/>
      <w:r w:rsidRPr="00A05E93">
        <w:t>Gazzālī</w:t>
      </w:r>
      <w:proofErr w:type="spellEnd"/>
      <w:r>
        <w:t xml:space="preserve"> (d. 1123-26) </w:t>
      </w:r>
      <w:proofErr w:type="spellStart"/>
      <w:r>
        <w:t>authored</w:t>
      </w:r>
      <w:proofErr w:type="spellEnd"/>
      <w:r>
        <w:t xml:space="preserve"> a </w:t>
      </w:r>
      <w:proofErr w:type="spellStart"/>
      <w:r>
        <w:t>treatise</w:t>
      </w:r>
      <w:proofErr w:type="spellEnd"/>
      <w:r>
        <w:t xml:space="preserve"> </w:t>
      </w:r>
      <w:proofErr w:type="spellStart"/>
      <w:r>
        <w:t>titled</w:t>
      </w:r>
      <w:proofErr w:type="spellEnd"/>
      <w:r>
        <w:t xml:space="preserve"> </w:t>
      </w:r>
      <w:proofErr w:type="spellStart"/>
      <w:r w:rsidRPr="00772B6F">
        <w:t>Sawāneḥ</w:t>
      </w:r>
      <w:proofErr w:type="spellEnd"/>
      <w:r>
        <w:t xml:space="preserve"> </w:t>
      </w:r>
      <w:r w:rsidRPr="003C1C40">
        <w:t>al-</w:t>
      </w:r>
      <w:proofErr w:type="spellStart"/>
      <w:r w:rsidRPr="003C1C40">
        <w:t>ʿ</w:t>
      </w:r>
      <w:r>
        <w:t>U</w:t>
      </w:r>
      <w:r w:rsidRPr="003C1C40">
        <w:t>shshāq</w:t>
      </w:r>
      <w:proofErr w:type="spellEnd"/>
      <w:r>
        <w:t xml:space="preserve">, </w:t>
      </w:r>
      <w:proofErr w:type="spellStart"/>
      <w:r>
        <w:t>that</w:t>
      </w:r>
      <w:proofErr w:type="spellEnd"/>
      <w:r>
        <w:t xml:space="preserve"> </w:t>
      </w:r>
      <w:proofErr w:type="spellStart"/>
      <w:r w:rsidRPr="003874BC">
        <w:rPr>
          <w:lang w:val="en-US"/>
        </w:rPr>
        <w:t>ʿ</w:t>
      </w:r>
      <w:r>
        <w:rPr>
          <w:lang w:val="en-US"/>
        </w:rPr>
        <w:t>Ishk</w:t>
      </w:r>
      <w:proofErr w:type="spellEnd"/>
      <w:r>
        <w:rPr>
          <w:lang w:val="en-US"/>
        </w:rPr>
        <w:t xml:space="preserve"> became the mainstream word used when discussing divine love </w:t>
      </w:r>
      <w:r>
        <w:t xml:space="preserve">(Uludağ, 1991, </w:t>
      </w:r>
      <w:proofErr w:type="spellStart"/>
      <w:r>
        <w:t>pp</w:t>
      </w:r>
      <w:proofErr w:type="spellEnd"/>
      <w:r>
        <w:t xml:space="preserve">. 11-12; </w:t>
      </w:r>
      <w:proofErr w:type="spellStart"/>
      <w:r>
        <w:t>Arkoun</w:t>
      </w:r>
      <w:proofErr w:type="spellEnd"/>
      <w:r>
        <w:t>, 1997, p. 119).</w:t>
      </w:r>
    </w:p>
    <w:p w14:paraId="25C238FF" w14:textId="77777777" w:rsidR="009C2F96" w:rsidRDefault="009C2F96" w:rsidP="009C2F96">
      <w:pPr>
        <w:jc w:val="both"/>
      </w:pPr>
    </w:p>
    <w:p w14:paraId="4839F7D4" w14:textId="77777777" w:rsidR="0034640B" w:rsidRDefault="0034640B" w:rsidP="009C2F96">
      <w:pPr>
        <w:jc w:val="both"/>
      </w:pPr>
      <w:proofErr w:type="spellStart"/>
      <w:r w:rsidRPr="00A05E93">
        <w:t>Aḥmad</w:t>
      </w:r>
      <w:proofErr w:type="spellEnd"/>
      <w:r>
        <w:t xml:space="preserve"> </w:t>
      </w:r>
      <w:r w:rsidRPr="00A05E93">
        <w:t>al-</w:t>
      </w:r>
      <w:proofErr w:type="spellStart"/>
      <w:r w:rsidRPr="00A05E93">
        <w:t>Gazzālī</w:t>
      </w:r>
      <w:r>
        <w:t>’s</w:t>
      </w:r>
      <w:proofErr w:type="spellEnd"/>
      <w:r>
        <w:t xml:space="preserve"> </w:t>
      </w:r>
      <w:proofErr w:type="spellStart"/>
      <w:r>
        <w:t>elder</w:t>
      </w:r>
      <w:proofErr w:type="spellEnd"/>
      <w:r>
        <w:t xml:space="preserve"> </w:t>
      </w:r>
      <w:proofErr w:type="spellStart"/>
      <w:r>
        <w:t>brother</w:t>
      </w:r>
      <w:proofErr w:type="spellEnd"/>
      <w:r>
        <w:t xml:space="preserve">, </w:t>
      </w:r>
      <w:proofErr w:type="spellStart"/>
      <w:r w:rsidRPr="0002621E">
        <w:t>Abū</w:t>
      </w:r>
      <w:proofErr w:type="spellEnd"/>
      <w:r w:rsidRPr="0002621E">
        <w:t xml:space="preserve"> </w:t>
      </w:r>
      <w:proofErr w:type="spellStart"/>
      <w:r w:rsidRPr="0002621E">
        <w:t>Ḥāmid</w:t>
      </w:r>
      <w:proofErr w:type="spellEnd"/>
      <w:r w:rsidRPr="0002621E">
        <w:t xml:space="preserve"> al-</w:t>
      </w:r>
      <w:proofErr w:type="spellStart"/>
      <w:r w:rsidRPr="0002621E">
        <w:t>Ghazālī</w:t>
      </w:r>
      <w:proofErr w:type="spellEnd"/>
      <w:r w:rsidRPr="0002621E">
        <w:t> (d. 1111)</w:t>
      </w:r>
      <w:r>
        <w:t xml:space="preserve"> </w:t>
      </w:r>
      <w:proofErr w:type="spellStart"/>
      <w:r>
        <w:t>was</w:t>
      </w:r>
      <w:proofErr w:type="spellEnd"/>
      <w:r>
        <w:t xml:space="preserve"> an </w:t>
      </w:r>
      <w:proofErr w:type="spellStart"/>
      <w:r>
        <w:t>Islamic</w:t>
      </w:r>
      <w:proofErr w:type="spellEnd"/>
      <w:r>
        <w:t xml:space="preserve"> </w:t>
      </w:r>
      <w:proofErr w:type="spellStart"/>
      <w:r>
        <w:t>scholar</w:t>
      </w:r>
      <w:proofErr w:type="spellEnd"/>
      <w:r>
        <w:t xml:space="preserve"> </w:t>
      </w:r>
      <w:proofErr w:type="spellStart"/>
      <w:r>
        <w:t>with</w:t>
      </w:r>
      <w:proofErr w:type="spellEnd"/>
      <w:r>
        <w:t xml:space="preserve"> a </w:t>
      </w:r>
      <w:proofErr w:type="spellStart"/>
      <w:r>
        <w:t>strong</w:t>
      </w:r>
      <w:proofErr w:type="spellEnd"/>
      <w:r>
        <w:t xml:space="preserve"> </w:t>
      </w:r>
      <w:proofErr w:type="spellStart"/>
      <w:r>
        <w:t>inclination</w:t>
      </w:r>
      <w:proofErr w:type="spellEnd"/>
      <w:r>
        <w:t xml:space="preserve"> </w:t>
      </w:r>
      <w:proofErr w:type="spellStart"/>
      <w:r>
        <w:t>toward</w:t>
      </w:r>
      <w:proofErr w:type="spellEnd"/>
      <w:r>
        <w:t xml:space="preserve"> </w:t>
      </w:r>
      <w:proofErr w:type="spellStart"/>
      <w:r>
        <w:t>Sufism</w:t>
      </w:r>
      <w:proofErr w:type="spellEnd"/>
      <w:r>
        <w:t xml:space="preserve">, </w:t>
      </w:r>
      <w:proofErr w:type="spellStart"/>
      <w:r>
        <w:t>and</w:t>
      </w:r>
      <w:proofErr w:type="spellEnd"/>
      <w:r>
        <w:t xml:space="preserve"> is </w:t>
      </w:r>
      <w:proofErr w:type="spellStart"/>
      <w:r>
        <w:t>often</w:t>
      </w:r>
      <w:proofErr w:type="spellEnd"/>
      <w:r>
        <w:t xml:space="preserve"> </w:t>
      </w:r>
      <w:proofErr w:type="spellStart"/>
      <w:r>
        <w:t>recognized</w:t>
      </w:r>
      <w:proofErr w:type="spellEnd"/>
      <w:r>
        <w:t xml:space="preserve"> as </w:t>
      </w:r>
      <w:proofErr w:type="spellStart"/>
      <w:r>
        <w:t>the</w:t>
      </w:r>
      <w:proofErr w:type="spellEnd"/>
      <w:r>
        <w:t xml:space="preserve"> </w:t>
      </w:r>
      <w:proofErr w:type="spellStart"/>
      <w:r>
        <w:t>person</w:t>
      </w:r>
      <w:proofErr w:type="spellEnd"/>
      <w:r>
        <w:t xml:space="preserve"> </w:t>
      </w:r>
      <w:proofErr w:type="spellStart"/>
      <w:r>
        <w:t>who</w:t>
      </w:r>
      <w:proofErr w:type="spellEnd"/>
      <w:r>
        <w:t xml:space="preserve"> </w:t>
      </w:r>
      <w:proofErr w:type="spellStart"/>
      <w:r>
        <w:t>provided</w:t>
      </w:r>
      <w:proofErr w:type="spellEnd"/>
      <w:r>
        <w:t xml:space="preserve"> </w:t>
      </w:r>
      <w:proofErr w:type="spellStart"/>
      <w:r>
        <w:t>one</w:t>
      </w:r>
      <w:proofErr w:type="spellEnd"/>
      <w:r>
        <w:t xml:space="preserve"> of </w:t>
      </w:r>
      <w:proofErr w:type="spellStart"/>
      <w:r>
        <w:t>the</w:t>
      </w:r>
      <w:proofErr w:type="spellEnd"/>
      <w:r>
        <w:t xml:space="preserve"> </w:t>
      </w:r>
      <w:proofErr w:type="spellStart"/>
      <w:r>
        <w:t>most</w:t>
      </w:r>
      <w:proofErr w:type="spellEnd"/>
      <w:r>
        <w:t xml:space="preserve"> </w:t>
      </w:r>
      <w:proofErr w:type="spellStart"/>
      <w:r>
        <w:t>coherent</w:t>
      </w:r>
      <w:proofErr w:type="spellEnd"/>
      <w:r>
        <w:t xml:space="preserve"> </w:t>
      </w:r>
      <w:proofErr w:type="spellStart"/>
      <w:r>
        <w:t>criticisms</w:t>
      </w:r>
      <w:proofErr w:type="spellEnd"/>
      <w:r>
        <w:t xml:space="preserve"> of </w:t>
      </w:r>
      <w:proofErr w:type="spellStart"/>
      <w:r>
        <w:t>the</w:t>
      </w:r>
      <w:proofErr w:type="spellEnd"/>
      <w:r>
        <w:t xml:space="preserve"> </w:t>
      </w:r>
      <w:proofErr w:type="spellStart"/>
      <w:r>
        <w:t>intellect</w:t>
      </w:r>
      <w:proofErr w:type="spellEnd"/>
      <w:r>
        <w:t xml:space="preserve"> as a </w:t>
      </w:r>
      <w:proofErr w:type="spellStart"/>
      <w:r>
        <w:t>concept</w:t>
      </w:r>
      <w:proofErr w:type="spellEnd"/>
      <w:r>
        <w:t>. A</w:t>
      </w:r>
      <w:r w:rsidRPr="0002621E">
        <w:t>l-</w:t>
      </w:r>
      <w:proofErr w:type="spellStart"/>
      <w:r w:rsidRPr="0002621E">
        <w:t>Ghazālī</w:t>
      </w:r>
      <w:proofErr w:type="spellEnd"/>
      <w:r>
        <w:t xml:space="preserve"> </w:t>
      </w:r>
      <w:proofErr w:type="spellStart"/>
      <w:r>
        <w:t>maintained</w:t>
      </w:r>
      <w:proofErr w:type="spellEnd"/>
      <w:r>
        <w:t xml:space="preserve"> </w:t>
      </w:r>
      <w:proofErr w:type="spellStart"/>
      <w:r>
        <w:t>that</w:t>
      </w:r>
      <w:proofErr w:type="spellEnd"/>
      <w:r>
        <w:t xml:space="preserve"> </w:t>
      </w:r>
      <w:proofErr w:type="spellStart"/>
      <w:r>
        <w:t>senses</w:t>
      </w:r>
      <w:proofErr w:type="spellEnd"/>
      <w:r>
        <w:t xml:space="preserve"> can </w:t>
      </w:r>
      <w:proofErr w:type="spellStart"/>
      <w:r>
        <w:t>provide</w:t>
      </w:r>
      <w:proofErr w:type="spellEnd"/>
      <w:r>
        <w:t xml:space="preserve"> a </w:t>
      </w:r>
      <w:proofErr w:type="spellStart"/>
      <w:r>
        <w:t>basic</w:t>
      </w:r>
      <w:proofErr w:type="spellEnd"/>
      <w:r>
        <w:t xml:space="preserve"> form of </w:t>
      </w:r>
      <w:proofErr w:type="spellStart"/>
      <w:r>
        <w:t>knowledge</w:t>
      </w:r>
      <w:proofErr w:type="spellEnd"/>
      <w:r>
        <w:t xml:space="preserve"> but </w:t>
      </w:r>
      <w:proofErr w:type="spellStart"/>
      <w:r>
        <w:t>the</w:t>
      </w:r>
      <w:proofErr w:type="spellEnd"/>
      <w:r>
        <w:t xml:space="preserve"> </w:t>
      </w:r>
      <w:proofErr w:type="spellStart"/>
      <w:r>
        <w:t>intellect</w:t>
      </w:r>
      <w:proofErr w:type="spellEnd"/>
      <w:r>
        <w:t xml:space="preserve">, as a </w:t>
      </w:r>
      <w:proofErr w:type="spellStart"/>
      <w:r>
        <w:t>superior</w:t>
      </w:r>
      <w:proofErr w:type="spellEnd"/>
      <w:r>
        <w:t xml:space="preserve"> </w:t>
      </w:r>
      <w:proofErr w:type="spellStart"/>
      <w:r>
        <w:t>means</w:t>
      </w:r>
      <w:proofErr w:type="spellEnd"/>
      <w:r>
        <w:t xml:space="preserve"> </w:t>
      </w:r>
      <w:proofErr w:type="spellStart"/>
      <w:r>
        <w:t>to</w:t>
      </w:r>
      <w:proofErr w:type="spellEnd"/>
      <w:r>
        <w:t xml:space="preserve"> </w:t>
      </w:r>
      <w:proofErr w:type="spellStart"/>
      <w:r>
        <w:t>gain</w:t>
      </w:r>
      <w:proofErr w:type="spellEnd"/>
      <w:r>
        <w:t xml:space="preserve"> </w:t>
      </w:r>
      <w:proofErr w:type="spellStart"/>
      <w:r>
        <w:t>knowledge</w:t>
      </w:r>
      <w:proofErr w:type="spellEnd"/>
      <w:r>
        <w:t xml:space="preserve"> </w:t>
      </w:r>
      <w:proofErr w:type="spellStart"/>
      <w:r>
        <w:t>than</w:t>
      </w:r>
      <w:proofErr w:type="spellEnd"/>
      <w:r>
        <w:t xml:space="preserve"> </w:t>
      </w:r>
      <w:proofErr w:type="spellStart"/>
      <w:r>
        <w:t>the</w:t>
      </w:r>
      <w:proofErr w:type="spellEnd"/>
      <w:r>
        <w:t xml:space="preserve"> </w:t>
      </w:r>
      <w:proofErr w:type="spellStart"/>
      <w:r>
        <w:t>senses</w:t>
      </w:r>
      <w:proofErr w:type="spellEnd"/>
      <w:r>
        <w:t xml:space="preserve">, is </w:t>
      </w:r>
      <w:proofErr w:type="spellStart"/>
      <w:r>
        <w:t>able</w:t>
      </w:r>
      <w:proofErr w:type="spellEnd"/>
      <w:r>
        <w:t xml:space="preserve"> </w:t>
      </w:r>
      <w:proofErr w:type="spellStart"/>
      <w:r>
        <w:t>to</w:t>
      </w:r>
      <w:proofErr w:type="spellEnd"/>
      <w:r>
        <w:t xml:space="preserve"> </w:t>
      </w:r>
      <w:proofErr w:type="spellStart"/>
      <w:r>
        <w:t>tell</w:t>
      </w:r>
      <w:proofErr w:type="spellEnd"/>
      <w:r>
        <w:t xml:space="preserve"> </w:t>
      </w:r>
      <w:proofErr w:type="spellStart"/>
      <w:r>
        <w:t>the</w:t>
      </w:r>
      <w:proofErr w:type="spellEnd"/>
      <w:r>
        <w:t xml:space="preserve"> </w:t>
      </w:r>
      <w:proofErr w:type="spellStart"/>
      <w:r>
        <w:t>falseness</w:t>
      </w:r>
      <w:proofErr w:type="spellEnd"/>
      <w:r>
        <w:t xml:space="preserve"> of </w:t>
      </w:r>
      <w:proofErr w:type="spellStart"/>
      <w:r>
        <w:t>some</w:t>
      </w:r>
      <w:proofErr w:type="spellEnd"/>
      <w:r>
        <w:t xml:space="preserve"> of </w:t>
      </w:r>
      <w:proofErr w:type="spellStart"/>
      <w:r>
        <w:t>the</w:t>
      </w:r>
      <w:proofErr w:type="spellEnd"/>
      <w:r>
        <w:t xml:space="preserve"> </w:t>
      </w:r>
      <w:proofErr w:type="spellStart"/>
      <w:r>
        <w:t>information</w:t>
      </w:r>
      <w:proofErr w:type="spellEnd"/>
      <w:r>
        <w:t xml:space="preserve"> </w:t>
      </w:r>
      <w:proofErr w:type="spellStart"/>
      <w:r>
        <w:t>we</w:t>
      </w:r>
      <w:proofErr w:type="spellEnd"/>
      <w:r>
        <w:t xml:space="preserve"> </w:t>
      </w:r>
      <w:proofErr w:type="spellStart"/>
      <w:r>
        <w:t>obtain</w:t>
      </w:r>
      <w:proofErr w:type="spellEnd"/>
      <w:r>
        <w:t xml:space="preserve"> </w:t>
      </w:r>
      <w:proofErr w:type="spellStart"/>
      <w:r>
        <w:t>through</w:t>
      </w:r>
      <w:proofErr w:type="spellEnd"/>
      <w:r>
        <w:t xml:space="preserve"> </w:t>
      </w:r>
      <w:proofErr w:type="spellStart"/>
      <w:r>
        <w:t>our</w:t>
      </w:r>
      <w:proofErr w:type="spellEnd"/>
      <w:r>
        <w:t xml:space="preserve"> </w:t>
      </w:r>
      <w:proofErr w:type="spellStart"/>
      <w:r>
        <w:t>senses</w:t>
      </w:r>
      <w:proofErr w:type="spellEnd"/>
      <w:r>
        <w:t xml:space="preserve">. </w:t>
      </w:r>
      <w:proofErr w:type="spellStart"/>
      <w:r>
        <w:t>The</w:t>
      </w:r>
      <w:proofErr w:type="spellEnd"/>
      <w:r>
        <w:t xml:space="preserve"> </w:t>
      </w:r>
      <w:proofErr w:type="spellStart"/>
      <w:r>
        <w:t>existence</w:t>
      </w:r>
      <w:proofErr w:type="spellEnd"/>
      <w:r>
        <w:t xml:space="preserve"> of </w:t>
      </w:r>
      <w:proofErr w:type="spellStart"/>
      <w:r>
        <w:t>such</w:t>
      </w:r>
      <w:proofErr w:type="spellEnd"/>
      <w:r>
        <w:t xml:space="preserve"> a </w:t>
      </w:r>
      <w:proofErr w:type="spellStart"/>
      <w:r>
        <w:t>hierarchy</w:t>
      </w:r>
      <w:proofErr w:type="spellEnd"/>
      <w:r>
        <w:t xml:space="preserve"> </w:t>
      </w:r>
      <w:proofErr w:type="spellStart"/>
      <w:r>
        <w:t>suggests</w:t>
      </w:r>
      <w:proofErr w:type="spellEnd"/>
      <w:r>
        <w:t xml:space="preserve"> </w:t>
      </w:r>
      <w:proofErr w:type="spellStart"/>
      <w:r>
        <w:t>that</w:t>
      </w:r>
      <w:proofErr w:type="spellEnd"/>
      <w:r>
        <w:t xml:space="preserve"> </w:t>
      </w:r>
      <w:proofErr w:type="spellStart"/>
      <w:r>
        <w:t>there</w:t>
      </w:r>
      <w:proofErr w:type="spellEnd"/>
      <w:r>
        <w:t xml:space="preserve"> </w:t>
      </w:r>
      <w:proofErr w:type="spellStart"/>
      <w:r>
        <w:t>might</w:t>
      </w:r>
      <w:proofErr w:type="spellEnd"/>
      <w:r>
        <w:t xml:space="preserve"> </w:t>
      </w:r>
      <w:proofErr w:type="spellStart"/>
      <w:r>
        <w:t>exist</w:t>
      </w:r>
      <w:proofErr w:type="spellEnd"/>
      <w:r>
        <w:t xml:space="preserve"> yet </w:t>
      </w:r>
      <w:proofErr w:type="spellStart"/>
      <w:r>
        <w:t>another</w:t>
      </w:r>
      <w:proofErr w:type="spellEnd"/>
      <w:r>
        <w:t xml:space="preserve"> </w:t>
      </w:r>
      <w:proofErr w:type="spellStart"/>
      <w:r>
        <w:t>and</w:t>
      </w:r>
      <w:proofErr w:type="spellEnd"/>
      <w:r>
        <w:t xml:space="preserve"> </w:t>
      </w:r>
      <w:proofErr w:type="spellStart"/>
      <w:r>
        <w:t>even</w:t>
      </w:r>
      <w:proofErr w:type="spellEnd"/>
      <w:r>
        <w:t xml:space="preserve"> </w:t>
      </w:r>
      <w:proofErr w:type="spellStart"/>
      <w:r>
        <w:t>superior</w:t>
      </w:r>
      <w:proofErr w:type="spellEnd"/>
      <w:r>
        <w:t xml:space="preserve"> </w:t>
      </w:r>
      <w:proofErr w:type="spellStart"/>
      <w:r>
        <w:t>means</w:t>
      </w:r>
      <w:proofErr w:type="spellEnd"/>
      <w:r>
        <w:t xml:space="preserve"> </w:t>
      </w:r>
      <w:proofErr w:type="spellStart"/>
      <w:r>
        <w:t>to</w:t>
      </w:r>
      <w:proofErr w:type="spellEnd"/>
      <w:r>
        <w:t xml:space="preserve"> </w:t>
      </w:r>
      <w:proofErr w:type="spellStart"/>
      <w:r>
        <w:t>knowledge</w:t>
      </w:r>
      <w:proofErr w:type="spellEnd"/>
      <w:r>
        <w:t xml:space="preserve">, </w:t>
      </w:r>
      <w:proofErr w:type="spellStart"/>
      <w:r>
        <w:t>which</w:t>
      </w:r>
      <w:proofErr w:type="spellEnd"/>
      <w:r>
        <w:t xml:space="preserve"> </w:t>
      </w:r>
      <w:proofErr w:type="spellStart"/>
      <w:r>
        <w:t>could</w:t>
      </w:r>
      <w:proofErr w:type="spellEnd"/>
      <w:r>
        <w:t xml:space="preserve"> </w:t>
      </w:r>
      <w:proofErr w:type="spellStart"/>
      <w:r>
        <w:t>invalidate</w:t>
      </w:r>
      <w:proofErr w:type="spellEnd"/>
      <w:r>
        <w:t xml:space="preserve"> </w:t>
      </w:r>
      <w:proofErr w:type="spellStart"/>
      <w:r>
        <w:t>the</w:t>
      </w:r>
      <w:proofErr w:type="spellEnd"/>
      <w:r>
        <w:t xml:space="preserve"> </w:t>
      </w:r>
      <w:proofErr w:type="spellStart"/>
      <w:r>
        <w:t>intellect</w:t>
      </w:r>
      <w:proofErr w:type="spellEnd"/>
      <w:r>
        <w:t>. A</w:t>
      </w:r>
      <w:r w:rsidRPr="0002621E">
        <w:t>l-</w:t>
      </w:r>
      <w:proofErr w:type="spellStart"/>
      <w:r w:rsidRPr="0002621E">
        <w:t>Ghazālī</w:t>
      </w:r>
      <w:proofErr w:type="spellEnd"/>
      <w:r>
        <w:t xml:space="preserve"> </w:t>
      </w:r>
      <w:proofErr w:type="spellStart"/>
      <w:r>
        <w:t>further</w:t>
      </w:r>
      <w:proofErr w:type="spellEnd"/>
      <w:r>
        <w:t xml:space="preserve"> </w:t>
      </w:r>
      <w:proofErr w:type="spellStart"/>
      <w:r>
        <w:t>stated</w:t>
      </w:r>
      <w:proofErr w:type="spellEnd"/>
      <w:r>
        <w:t xml:space="preserve"> </w:t>
      </w:r>
      <w:proofErr w:type="spellStart"/>
      <w:r>
        <w:t>that</w:t>
      </w:r>
      <w:proofErr w:type="spellEnd"/>
      <w:r>
        <w:t xml:space="preserve"> he had </w:t>
      </w:r>
      <w:proofErr w:type="spellStart"/>
      <w:r>
        <w:t>attained</w:t>
      </w:r>
      <w:proofErr w:type="spellEnd"/>
      <w:r>
        <w:t xml:space="preserve"> </w:t>
      </w:r>
      <w:proofErr w:type="spellStart"/>
      <w:r>
        <w:t>certitude</w:t>
      </w:r>
      <w:proofErr w:type="spellEnd"/>
      <w:r>
        <w:t xml:space="preserve"> </w:t>
      </w:r>
      <w:proofErr w:type="spellStart"/>
      <w:r>
        <w:t>through</w:t>
      </w:r>
      <w:proofErr w:type="spellEnd"/>
      <w:r>
        <w:t xml:space="preserve"> </w:t>
      </w:r>
      <w:proofErr w:type="spellStart"/>
      <w:r>
        <w:t>enlightenment</w:t>
      </w:r>
      <w:proofErr w:type="spellEnd"/>
      <w:r>
        <w:t xml:space="preserve"> </w:t>
      </w:r>
      <w:proofErr w:type="spellStart"/>
      <w:r>
        <w:t>bestowed</w:t>
      </w:r>
      <w:proofErr w:type="spellEnd"/>
      <w:r>
        <w:t xml:space="preserve"> </w:t>
      </w:r>
      <w:proofErr w:type="spellStart"/>
      <w:r>
        <w:t>upon</w:t>
      </w:r>
      <w:proofErr w:type="spellEnd"/>
      <w:r>
        <w:t xml:space="preserve"> </w:t>
      </w:r>
      <w:proofErr w:type="spellStart"/>
      <w:r>
        <w:t>him</w:t>
      </w:r>
      <w:proofErr w:type="spellEnd"/>
      <w:r>
        <w:t xml:space="preserve"> </w:t>
      </w:r>
      <w:proofErr w:type="spellStart"/>
      <w:r>
        <w:t>by</w:t>
      </w:r>
      <w:proofErr w:type="spellEnd"/>
      <w:r>
        <w:t xml:space="preserve"> </w:t>
      </w:r>
      <w:proofErr w:type="spellStart"/>
      <w:r>
        <w:t>God</w:t>
      </w:r>
      <w:proofErr w:type="spellEnd"/>
      <w:r>
        <w:t xml:space="preserve">, </w:t>
      </w:r>
      <w:proofErr w:type="spellStart"/>
      <w:r>
        <w:t>which</w:t>
      </w:r>
      <w:proofErr w:type="spellEnd"/>
      <w:r>
        <w:t xml:space="preserve"> is </w:t>
      </w:r>
      <w:proofErr w:type="spellStart"/>
      <w:r>
        <w:t>reminiscent</w:t>
      </w:r>
      <w:proofErr w:type="spellEnd"/>
      <w:r>
        <w:t xml:space="preserve"> of </w:t>
      </w:r>
      <w:proofErr w:type="spellStart"/>
      <w:r>
        <w:t>the</w:t>
      </w:r>
      <w:proofErr w:type="spellEnd"/>
      <w:r>
        <w:t xml:space="preserve"> Sufi </w:t>
      </w:r>
      <w:proofErr w:type="spellStart"/>
      <w:r>
        <w:t>concept</w:t>
      </w:r>
      <w:proofErr w:type="spellEnd"/>
      <w:r>
        <w:t xml:space="preserve"> of </w:t>
      </w:r>
      <w:proofErr w:type="spellStart"/>
      <w:r w:rsidRPr="004F1D2A">
        <w:t>Kashf</w:t>
      </w:r>
      <w:proofErr w:type="spellEnd"/>
      <w:r>
        <w:t xml:space="preserve"> </w:t>
      </w:r>
      <w:proofErr w:type="spellStart"/>
      <w:r>
        <w:t>i.e</w:t>
      </w:r>
      <w:proofErr w:type="spellEnd"/>
      <w:r>
        <w:t xml:space="preserve">. </w:t>
      </w:r>
      <w:proofErr w:type="spellStart"/>
      <w:r>
        <w:t>discovering</w:t>
      </w:r>
      <w:proofErr w:type="spellEnd"/>
      <w:r>
        <w:t xml:space="preserve"> </w:t>
      </w:r>
      <w:proofErr w:type="spellStart"/>
      <w:r>
        <w:t>the</w:t>
      </w:r>
      <w:proofErr w:type="spellEnd"/>
      <w:r>
        <w:t xml:space="preserve"> </w:t>
      </w:r>
      <w:proofErr w:type="spellStart"/>
      <w:r>
        <w:t>truth</w:t>
      </w:r>
      <w:proofErr w:type="spellEnd"/>
      <w:r>
        <w:t xml:space="preserve"> </w:t>
      </w:r>
      <w:proofErr w:type="spellStart"/>
      <w:r>
        <w:t>with</w:t>
      </w:r>
      <w:proofErr w:type="spellEnd"/>
      <w:r>
        <w:t xml:space="preserve"> </w:t>
      </w:r>
      <w:proofErr w:type="spellStart"/>
      <w:r>
        <w:t>divine</w:t>
      </w:r>
      <w:proofErr w:type="spellEnd"/>
      <w:r>
        <w:t xml:space="preserve"> </w:t>
      </w:r>
      <w:proofErr w:type="spellStart"/>
      <w:r>
        <w:t>consent</w:t>
      </w:r>
      <w:proofErr w:type="spellEnd"/>
      <w:r>
        <w:t xml:space="preserve"> (Uludağ, 1989, p. 246). </w:t>
      </w:r>
      <w:proofErr w:type="spellStart"/>
      <w:r>
        <w:t>After</w:t>
      </w:r>
      <w:proofErr w:type="spellEnd"/>
      <w:r>
        <w:t xml:space="preserve"> A</w:t>
      </w:r>
      <w:r w:rsidRPr="0002621E">
        <w:t>l-</w:t>
      </w:r>
      <w:proofErr w:type="spellStart"/>
      <w:r w:rsidRPr="0002621E">
        <w:t>Ghazālī</w:t>
      </w:r>
      <w:proofErr w:type="spellEnd"/>
      <w:r>
        <w:t xml:space="preserve"> </w:t>
      </w:r>
      <w:proofErr w:type="spellStart"/>
      <w:r>
        <w:t>the</w:t>
      </w:r>
      <w:proofErr w:type="spellEnd"/>
      <w:r>
        <w:t xml:space="preserve"> </w:t>
      </w:r>
      <w:proofErr w:type="spellStart"/>
      <w:r>
        <w:t>tendency</w:t>
      </w:r>
      <w:proofErr w:type="spellEnd"/>
      <w:r>
        <w:t xml:space="preserve"> </w:t>
      </w:r>
      <w:proofErr w:type="spellStart"/>
      <w:r>
        <w:t>among</w:t>
      </w:r>
      <w:proofErr w:type="spellEnd"/>
      <w:r>
        <w:t xml:space="preserve"> </w:t>
      </w:r>
      <w:proofErr w:type="spellStart"/>
      <w:r>
        <w:t>Sufis</w:t>
      </w:r>
      <w:proofErr w:type="spellEnd"/>
      <w:r>
        <w:t xml:space="preserve"> </w:t>
      </w:r>
      <w:proofErr w:type="spellStart"/>
      <w:r>
        <w:t>to</w:t>
      </w:r>
      <w:proofErr w:type="spellEnd"/>
      <w:r>
        <w:t xml:space="preserve"> </w:t>
      </w:r>
      <w:proofErr w:type="spellStart"/>
      <w:r>
        <w:t>downplay</w:t>
      </w:r>
      <w:proofErr w:type="spellEnd"/>
      <w:r>
        <w:t xml:space="preserve"> </w:t>
      </w:r>
      <w:proofErr w:type="spellStart"/>
      <w:r>
        <w:t>the</w:t>
      </w:r>
      <w:proofErr w:type="spellEnd"/>
      <w:r>
        <w:t xml:space="preserve"> role of </w:t>
      </w:r>
      <w:proofErr w:type="spellStart"/>
      <w:r>
        <w:t>intellect</w:t>
      </w:r>
      <w:proofErr w:type="spellEnd"/>
      <w:r>
        <w:t xml:space="preserve"> in </w:t>
      </w:r>
      <w:proofErr w:type="spellStart"/>
      <w:r>
        <w:t>understanding</w:t>
      </w:r>
      <w:proofErr w:type="spellEnd"/>
      <w:r>
        <w:t xml:space="preserve"> </w:t>
      </w:r>
      <w:proofErr w:type="spellStart"/>
      <w:r>
        <w:t>the</w:t>
      </w:r>
      <w:proofErr w:type="spellEnd"/>
      <w:r>
        <w:t xml:space="preserve"> </w:t>
      </w:r>
      <w:proofErr w:type="spellStart"/>
      <w:r>
        <w:t>metaphysical</w:t>
      </w:r>
      <w:proofErr w:type="spellEnd"/>
      <w:r>
        <w:t xml:space="preserve"> </w:t>
      </w:r>
      <w:proofErr w:type="spellStart"/>
      <w:r>
        <w:t>gained</w:t>
      </w:r>
      <w:proofErr w:type="spellEnd"/>
      <w:r>
        <w:t xml:space="preserve"> momentum, </w:t>
      </w:r>
      <w:proofErr w:type="spellStart"/>
      <w:r>
        <w:t>examples</w:t>
      </w:r>
      <w:proofErr w:type="spellEnd"/>
      <w:r>
        <w:t xml:space="preserve"> of </w:t>
      </w:r>
      <w:proofErr w:type="spellStart"/>
      <w:r>
        <w:t>which</w:t>
      </w:r>
      <w:proofErr w:type="spellEnd"/>
      <w:r>
        <w:t xml:space="preserve"> can be </w:t>
      </w:r>
      <w:proofErr w:type="spellStart"/>
      <w:r>
        <w:t>found</w:t>
      </w:r>
      <w:proofErr w:type="spellEnd"/>
      <w:r>
        <w:t xml:space="preserve"> in </w:t>
      </w:r>
      <w:proofErr w:type="spellStart"/>
      <w:r>
        <w:t>the</w:t>
      </w:r>
      <w:proofErr w:type="spellEnd"/>
      <w:r>
        <w:t xml:space="preserve"> </w:t>
      </w:r>
      <w:proofErr w:type="spellStart"/>
      <w:r>
        <w:t>works</w:t>
      </w:r>
      <w:proofErr w:type="spellEnd"/>
      <w:r>
        <w:t xml:space="preserve"> of </w:t>
      </w:r>
      <w:proofErr w:type="spellStart"/>
      <w:r w:rsidRPr="00A05E93">
        <w:t>Aḥmad</w:t>
      </w:r>
      <w:proofErr w:type="spellEnd"/>
      <w:r>
        <w:t xml:space="preserve"> </w:t>
      </w:r>
      <w:r w:rsidRPr="00A05E93">
        <w:t>al-</w:t>
      </w:r>
      <w:proofErr w:type="spellStart"/>
      <w:r w:rsidRPr="00A05E93">
        <w:t>Gazzālī</w:t>
      </w:r>
      <w:proofErr w:type="spellEnd"/>
      <w:r>
        <w:t xml:space="preserve"> (d. 1123-26), </w:t>
      </w:r>
      <w:proofErr w:type="spellStart"/>
      <w:r w:rsidRPr="006C101D">
        <w:t>Sanāʾī</w:t>
      </w:r>
      <w:proofErr w:type="spellEnd"/>
      <w:r>
        <w:t xml:space="preserve"> (d. 1131?) </w:t>
      </w:r>
      <w:proofErr w:type="spellStart"/>
      <w:r>
        <w:t>and</w:t>
      </w:r>
      <w:proofErr w:type="spellEnd"/>
      <w:r>
        <w:t xml:space="preserve"> </w:t>
      </w:r>
      <w:proofErr w:type="spellStart"/>
      <w:r w:rsidRPr="006C101D">
        <w:t>ʿAṭṭār</w:t>
      </w:r>
      <w:proofErr w:type="spellEnd"/>
      <w:r>
        <w:t xml:space="preserve"> (1221). </w:t>
      </w:r>
      <w:proofErr w:type="spellStart"/>
      <w:r w:rsidRPr="00BF298E">
        <w:t>The</w:t>
      </w:r>
      <w:proofErr w:type="spellEnd"/>
      <w:r w:rsidRPr="00BF298E">
        <w:t xml:space="preserve"> </w:t>
      </w:r>
      <w:proofErr w:type="spellStart"/>
      <w:r w:rsidRPr="00BF298E">
        <w:t>Sufis</w:t>
      </w:r>
      <w:proofErr w:type="spellEnd"/>
      <w:r w:rsidRPr="00BF298E">
        <w:t xml:space="preserve"> of </w:t>
      </w:r>
      <w:proofErr w:type="spellStart"/>
      <w:r w:rsidRPr="00BF298E">
        <w:t>this</w:t>
      </w:r>
      <w:proofErr w:type="spellEnd"/>
      <w:r w:rsidRPr="00BF298E">
        <w:t xml:space="preserve"> </w:t>
      </w:r>
      <w:proofErr w:type="spellStart"/>
      <w:r w:rsidRPr="00BF298E">
        <w:t>era</w:t>
      </w:r>
      <w:proofErr w:type="spellEnd"/>
      <w:r w:rsidRPr="00BF298E">
        <w:t xml:space="preserve"> </w:t>
      </w:r>
      <w:proofErr w:type="spellStart"/>
      <w:r w:rsidRPr="00BF298E">
        <w:t>saw</w:t>
      </w:r>
      <w:proofErr w:type="spellEnd"/>
      <w:r w:rsidRPr="00BF298E">
        <w:t xml:space="preserve"> </w:t>
      </w:r>
      <w:proofErr w:type="spellStart"/>
      <w:r w:rsidRPr="00BF298E">
        <w:t>the</w:t>
      </w:r>
      <w:proofErr w:type="spellEnd"/>
      <w:r w:rsidRPr="00BF298E">
        <w:t xml:space="preserve"> domain of </w:t>
      </w:r>
      <w:proofErr w:type="spellStart"/>
      <w:r w:rsidRPr="00BF298E">
        <w:t>the</w:t>
      </w:r>
      <w:proofErr w:type="spellEnd"/>
      <w:r w:rsidRPr="00BF298E">
        <w:t xml:space="preserve"> </w:t>
      </w:r>
      <w:proofErr w:type="spellStart"/>
      <w:r w:rsidRPr="00BF298E">
        <w:t>intellect</w:t>
      </w:r>
      <w:proofErr w:type="spellEnd"/>
      <w:r w:rsidRPr="00BF298E">
        <w:t xml:space="preserve"> as </w:t>
      </w:r>
      <w:proofErr w:type="spellStart"/>
      <w:r w:rsidRPr="00BF298E">
        <w:t>limited</w:t>
      </w:r>
      <w:proofErr w:type="spellEnd"/>
      <w:r w:rsidRPr="00BF298E">
        <w:t xml:space="preserve"> </w:t>
      </w:r>
      <w:proofErr w:type="spellStart"/>
      <w:r w:rsidRPr="00BF298E">
        <w:t>to</w:t>
      </w:r>
      <w:proofErr w:type="spellEnd"/>
      <w:r w:rsidRPr="00BF298E">
        <w:t xml:space="preserve"> </w:t>
      </w:r>
      <w:proofErr w:type="spellStart"/>
      <w:r w:rsidRPr="00BF298E">
        <w:t>the</w:t>
      </w:r>
      <w:proofErr w:type="spellEnd"/>
      <w:r w:rsidRPr="00BF298E">
        <w:t xml:space="preserve"> </w:t>
      </w:r>
      <w:proofErr w:type="spellStart"/>
      <w:r w:rsidRPr="00BF298E">
        <w:t>material</w:t>
      </w:r>
      <w:proofErr w:type="spellEnd"/>
      <w:r w:rsidRPr="00BF298E">
        <w:t xml:space="preserve"> </w:t>
      </w:r>
      <w:proofErr w:type="spellStart"/>
      <w:r w:rsidRPr="00BF298E">
        <w:t>universe</w:t>
      </w:r>
      <w:proofErr w:type="spellEnd"/>
      <w:r w:rsidRPr="00BF298E">
        <w:t xml:space="preserve"> </w:t>
      </w:r>
      <w:proofErr w:type="spellStart"/>
      <w:r w:rsidRPr="00BF298E">
        <w:t>and</w:t>
      </w:r>
      <w:proofErr w:type="spellEnd"/>
      <w:r w:rsidRPr="00BF298E">
        <w:t xml:space="preserve"> </w:t>
      </w:r>
      <w:proofErr w:type="spellStart"/>
      <w:r w:rsidRPr="00BF298E">
        <w:t>emphasized</w:t>
      </w:r>
      <w:proofErr w:type="spellEnd"/>
      <w:r w:rsidRPr="00BF298E">
        <w:t xml:space="preserve"> </w:t>
      </w:r>
      <w:proofErr w:type="spellStart"/>
      <w:r w:rsidRPr="00BF298E">
        <w:t>spiritual</w:t>
      </w:r>
      <w:proofErr w:type="spellEnd"/>
      <w:r w:rsidRPr="00BF298E">
        <w:t xml:space="preserve"> </w:t>
      </w:r>
      <w:proofErr w:type="spellStart"/>
      <w:r w:rsidRPr="00BF298E">
        <w:t>love</w:t>
      </w:r>
      <w:proofErr w:type="spellEnd"/>
      <w:r w:rsidRPr="00BF298E">
        <w:t xml:space="preserve"> as </w:t>
      </w:r>
      <w:proofErr w:type="spellStart"/>
      <w:r w:rsidRPr="00BF298E">
        <w:t>the</w:t>
      </w:r>
      <w:proofErr w:type="spellEnd"/>
      <w:r w:rsidRPr="00BF298E">
        <w:t xml:space="preserve"> </w:t>
      </w:r>
      <w:proofErr w:type="spellStart"/>
      <w:r w:rsidRPr="00BF298E">
        <w:t>only</w:t>
      </w:r>
      <w:proofErr w:type="spellEnd"/>
      <w:r w:rsidRPr="00BF298E">
        <w:t xml:space="preserve"> </w:t>
      </w:r>
      <w:proofErr w:type="spellStart"/>
      <w:r w:rsidRPr="00BF298E">
        <w:t>reliable</w:t>
      </w:r>
      <w:proofErr w:type="spellEnd"/>
      <w:r w:rsidRPr="00BF298E">
        <w:t xml:space="preserve"> </w:t>
      </w:r>
      <w:proofErr w:type="spellStart"/>
      <w:r w:rsidRPr="00BF298E">
        <w:t>means</w:t>
      </w:r>
      <w:proofErr w:type="spellEnd"/>
      <w:r w:rsidRPr="00BF298E">
        <w:t xml:space="preserve"> of </w:t>
      </w:r>
      <w:proofErr w:type="spellStart"/>
      <w:r w:rsidRPr="00BF298E">
        <w:t>accessing</w:t>
      </w:r>
      <w:proofErr w:type="spellEnd"/>
      <w:r w:rsidRPr="00BF298E">
        <w:t xml:space="preserve"> </w:t>
      </w:r>
      <w:proofErr w:type="spellStart"/>
      <w:r w:rsidRPr="00BF298E">
        <w:t>what</w:t>
      </w:r>
      <w:proofErr w:type="spellEnd"/>
      <w:r w:rsidRPr="00BF298E">
        <w:t xml:space="preserve"> </w:t>
      </w:r>
      <w:proofErr w:type="spellStart"/>
      <w:r w:rsidRPr="00BF298E">
        <w:t>lies</w:t>
      </w:r>
      <w:proofErr w:type="spellEnd"/>
      <w:r w:rsidRPr="00BF298E">
        <w:t xml:space="preserve"> </w:t>
      </w:r>
      <w:proofErr w:type="spellStart"/>
      <w:r w:rsidRPr="00BF298E">
        <w:t>beyond</w:t>
      </w:r>
      <w:proofErr w:type="spellEnd"/>
      <w:r w:rsidRPr="00BF298E">
        <w:t xml:space="preserve"> </w:t>
      </w:r>
      <w:proofErr w:type="spellStart"/>
      <w:r w:rsidRPr="00BF298E">
        <w:t>to</w:t>
      </w:r>
      <w:proofErr w:type="spellEnd"/>
      <w:r w:rsidRPr="00BF298E">
        <w:t xml:space="preserve"> </w:t>
      </w:r>
      <w:proofErr w:type="spellStart"/>
      <w:r w:rsidRPr="00BF298E">
        <w:t>gain</w:t>
      </w:r>
      <w:proofErr w:type="spellEnd"/>
      <w:r w:rsidRPr="00BF298E">
        <w:t xml:space="preserve"> </w:t>
      </w:r>
      <w:proofErr w:type="spellStart"/>
      <w:r w:rsidRPr="00BF298E">
        <w:t>insight</w:t>
      </w:r>
      <w:proofErr w:type="spellEnd"/>
      <w:r w:rsidRPr="00BF298E">
        <w:t xml:space="preserve"> </w:t>
      </w:r>
      <w:proofErr w:type="spellStart"/>
      <w:r w:rsidRPr="00BF298E">
        <w:t>into</w:t>
      </w:r>
      <w:proofErr w:type="spellEnd"/>
      <w:r w:rsidRPr="00BF298E">
        <w:t xml:space="preserve"> </w:t>
      </w:r>
      <w:proofErr w:type="spellStart"/>
      <w:r w:rsidRPr="00BF298E">
        <w:t>divine</w:t>
      </w:r>
      <w:proofErr w:type="spellEnd"/>
      <w:r w:rsidRPr="00BF298E">
        <w:t xml:space="preserve"> </w:t>
      </w:r>
      <w:proofErr w:type="spellStart"/>
      <w:r w:rsidRPr="00BF298E">
        <w:t>secrets</w:t>
      </w:r>
      <w:proofErr w:type="spellEnd"/>
      <w:r w:rsidRPr="00BF298E">
        <w:t>.</w:t>
      </w:r>
      <w:r>
        <w:t xml:space="preserve"> </w:t>
      </w:r>
      <w:proofErr w:type="spellStart"/>
      <w:r>
        <w:t>It</w:t>
      </w:r>
      <w:proofErr w:type="spellEnd"/>
      <w:r>
        <w:t xml:space="preserve"> is, </w:t>
      </w:r>
      <w:proofErr w:type="spellStart"/>
      <w:r>
        <w:t>however</w:t>
      </w:r>
      <w:proofErr w:type="spellEnd"/>
      <w:r>
        <w:t xml:space="preserve"> in </w:t>
      </w:r>
      <w:proofErr w:type="spellStart"/>
      <w:r>
        <w:t>the</w:t>
      </w:r>
      <w:proofErr w:type="spellEnd"/>
      <w:r>
        <w:t xml:space="preserve"> </w:t>
      </w:r>
      <w:proofErr w:type="spellStart"/>
      <w:r>
        <w:t>poetry</w:t>
      </w:r>
      <w:proofErr w:type="spellEnd"/>
      <w:r>
        <w:t xml:space="preserve"> of </w:t>
      </w:r>
      <w:proofErr w:type="spellStart"/>
      <w:r w:rsidRPr="002B0DE3">
        <w:t>Mawlānā</w:t>
      </w:r>
      <w:proofErr w:type="spellEnd"/>
      <w:r w:rsidRPr="002B0DE3">
        <w:t xml:space="preserve"> </w:t>
      </w:r>
      <w:proofErr w:type="spellStart"/>
      <w:r w:rsidRPr="002B0DE3">
        <w:t>Djalāl</w:t>
      </w:r>
      <w:proofErr w:type="spellEnd"/>
      <w:r w:rsidRPr="002B0DE3">
        <w:t xml:space="preserve"> al-</w:t>
      </w:r>
      <w:proofErr w:type="spellStart"/>
      <w:r w:rsidRPr="002B0DE3">
        <w:t>Dīn</w:t>
      </w:r>
      <w:proofErr w:type="spellEnd"/>
      <w:r w:rsidRPr="002B0DE3">
        <w:t> </w:t>
      </w:r>
      <w:proofErr w:type="spellStart"/>
      <w:r w:rsidRPr="002B0DE3">
        <w:t>Rūmī</w:t>
      </w:r>
      <w:proofErr w:type="spellEnd"/>
      <w:r>
        <w:t xml:space="preserve"> </w:t>
      </w:r>
      <w:proofErr w:type="spellStart"/>
      <w:r>
        <w:t>that</w:t>
      </w:r>
      <w:proofErr w:type="spellEnd"/>
      <w:r>
        <w:t xml:space="preserve"> </w:t>
      </w:r>
      <w:proofErr w:type="spellStart"/>
      <w:r>
        <w:t>we</w:t>
      </w:r>
      <w:proofErr w:type="spellEnd"/>
      <w:r>
        <w:t xml:space="preserve"> </w:t>
      </w:r>
      <w:proofErr w:type="spellStart"/>
      <w:r>
        <w:t>see</w:t>
      </w:r>
      <w:proofErr w:type="spellEnd"/>
      <w:r>
        <w:t xml:space="preserve"> </w:t>
      </w:r>
      <w:proofErr w:type="spellStart"/>
      <w:r>
        <w:t>some</w:t>
      </w:r>
      <w:proofErr w:type="spellEnd"/>
      <w:r>
        <w:t xml:space="preserve"> of </w:t>
      </w:r>
      <w:proofErr w:type="spellStart"/>
      <w:r>
        <w:t>the</w:t>
      </w:r>
      <w:proofErr w:type="spellEnd"/>
      <w:r>
        <w:t xml:space="preserve"> </w:t>
      </w:r>
      <w:proofErr w:type="spellStart"/>
      <w:r>
        <w:t>most</w:t>
      </w:r>
      <w:proofErr w:type="spellEnd"/>
      <w:r>
        <w:t xml:space="preserve"> </w:t>
      </w:r>
      <w:proofErr w:type="spellStart"/>
      <w:r>
        <w:t>direct</w:t>
      </w:r>
      <w:proofErr w:type="spellEnd"/>
      <w:r>
        <w:t xml:space="preserve"> </w:t>
      </w:r>
      <w:proofErr w:type="spellStart"/>
      <w:r>
        <w:t>and</w:t>
      </w:r>
      <w:proofErr w:type="spellEnd"/>
      <w:r>
        <w:t xml:space="preserve"> </w:t>
      </w:r>
      <w:proofErr w:type="spellStart"/>
      <w:r>
        <w:t>powerful</w:t>
      </w:r>
      <w:proofErr w:type="spellEnd"/>
      <w:r>
        <w:t xml:space="preserve"> </w:t>
      </w:r>
      <w:proofErr w:type="spellStart"/>
      <w:r>
        <w:t>expressions</w:t>
      </w:r>
      <w:proofErr w:type="spellEnd"/>
      <w:r>
        <w:t xml:space="preserve"> of </w:t>
      </w:r>
      <w:proofErr w:type="spellStart"/>
      <w:r>
        <w:t>the</w:t>
      </w:r>
      <w:proofErr w:type="spellEnd"/>
      <w:r>
        <w:t xml:space="preserve"> </w:t>
      </w:r>
      <w:proofErr w:type="spellStart"/>
      <w:r>
        <w:t>supremacy</w:t>
      </w:r>
      <w:proofErr w:type="spellEnd"/>
      <w:r>
        <w:t xml:space="preserve"> of </w:t>
      </w:r>
      <w:proofErr w:type="spellStart"/>
      <w:r>
        <w:t>love</w:t>
      </w:r>
      <w:proofErr w:type="spellEnd"/>
      <w:r>
        <w:t xml:space="preserve"> </w:t>
      </w:r>
      <w:proofErr w:type="spellStart"/>
      <w:r>
        <w:t>over</w:t>
      </w:r>
      <w:proofErr w:type="spellEnd"/>
      <w:r>
        <w:t xml:space="preserve"> </w:t>
      </w:r>
      <w:proofErr w:type="spellStart"/>
      <w:r>
        <w:t>intellect</w:t>
      </w:r>
      <w:proofErr w:type="spellEnd"/>
      <w:r>
        <w:t>.</w:t>
      </w:r>
    </w:p>
    <w:p w14:paraId="72E55ECC" w14:textId="77777777" w:rsidR="0034640B" w:rsidRDefault="0034640B" w:rsidP="009C2F96">
      <w:pPr>
        <w:jc w:val="both"/>
      </w:pPr>
    </w:p>
    <w:p w14:paraId="6472AFB1" w14:textId="77777777" w:rsidR="0034640B" w:rsidRPr="009F0AE3" w:rsidRDefault="0034640B" w:rsidP="009C2F96">
      <w:pPr>
        <w:rPr>
          <w:b/>
          <w:bCs/>
        </w:rPr>
      </w:pPr>
      <w:proofErr w:type="spellStart"/>
      <w:r w:rsidRPr="009F0AE3">
        <w:rPr>
          <w:b/>
          <w:bCs/>
        </w:rPr>
        <w:t>Mawlānā</w:t>
      </w:r>
      <w:proofErr w:type="spellEnd"/>
      <w:r w:rsidRPr="009F0AE3">
        <w:rPr>
          <w:b/>
          <w:bCs/>
        </w:rPr>
        <w:t xml:space="preserve"> </w:t>
      </w:r>
      <w:proofErr w:type="spellStart"/>
      <w:r w:rsidRPr="009F0AE3">
        <w:rPr>
          <w:b/>
          <w:bCs/>
        </w:rPr>
        <w:t>Djalāl</w:t>
      </w:r>
      <w:proofErr w:type="spellEnd"/>
      <w:r w:rsidRPr="009F0AE3">
        <w:rPr>
          <w:b/>
          <w:bCs/>
        </w:rPr>
        <w:t xml:space="preserve"> al-</w:t>
      </w:r>
      <w:proofErr w:type="spellStart"/>
      <w:r w:rsidRPr="009F0AE3">
        <w:rPr>
          <w:b/>
          <w:bCs/>
        </w:rPr>
        <w:t>Dīn</w:t>
      </w:r>
      <w:proofErr w:type="spellEnd"/>
      <w:r w:rsidRPr="009F0AE3">
        <w:rPr>
          <w:b/>
          <w:bCs/>
        </w:rPr>
        <w:t> </w:t>
      </w:r>
      <w:proofErr w:type="spellStart"/>
      <w:r w:rsidRPr="009F0AE3">
        <w:rPr>
          <w:b/>
          <w:bCs/>
        </w:rPr>
        <w:t>Rūmī</w:t>
      </w:r>
      <w:proofErr w:type="spellEnd"/>
      <w:r w:rsidRPr="009F0AE3">
        <w:rPr>
          <w:b/>
          <w:bCs/>
        </w:rPr>
        <w:t xml:space="preserve"> </w:t>
      </w:r>
      <w:proofErr w:type="spellStart"/>
      <w:r w:rsidRPr="009F0AE3">
        <w:rPr>
          <w:b/>
          <w:bCs/>
        </w:rPr>
        <w:t>and</w:t>
      </w:r>
      <w:proofErr w:type="spellEnd"/>
      <w:r w:rsidRPr="009F0AE3">
        <w:rPr>
          <w:b/>
          <w:bCs/>
        </w:rPr>
        <w:t xml:space="preserve"> his </w:t>
      </w:r>
      <w:proofErr w:type="spellStart"/>
      <w:r w:rsidRPr="009F0AE3">
        <w:rPr>
          <w:b/>
          <w:bCs/>
        </w:rPr>
        <w:t>Ghazal</w:t>
      </w:r>
      <w:proofErr w:type="spellEnd"/>
      <w:r w:rsidRPr="009F0AE3">
        <w:rPr>
          <w:b/>
          <w:bCs/>
        </w:rPr>
        <w:t xml:space="preserve"> on </w:t>
      </w:r>
      <w:proofErr w:type="spellStart"/>
      <w:r w:rsidRPr="009F0AE3">
        <w:rPr>
          <w:b/>
          <w:bCs/>
        </w:rPr>
        <w:t>Love</w:t>
      </w:r>
      <w:proofErr w:type="spellEnd"/>
      <w:r w:rsidRPr="009F0AE3">
        <w:rPr>
          <w:b/>
          <w:bCs/>
        </w:rPr>
        <w:t xml:space="preserve"> </w:t>
      </w:r>
      <w:proofErr w:type="spellStart"/>
      <w:r w:rsidRPr="009F0AE3">
        <w:rPr>
          <w:b/>
          <w:bCs/>
        </w:rPr>
        <w:t>and</w:t>
      </w:r>
      <w:proofErr w:type="spellEnd"/>
      <w:r w:rsidRPr="009F0AE3">
        <w:rPr>
          <w:b/>
          <w:bCs/>
        </w:rPr>
        <w:t xml:space="preserve"> </w:t>
      </w:r>
      <w:proofErr w:type="spellStart"/>
      <w:r w:rsidRPr="009F0AE3">
        <w:rPr>
          <w:b/>
          <w:bCs/>
        </w:rPr>
        <w:t>Intellect</w:t>
      </w:r>
      <w:proofErr w:type="spellEnd"/>
    </w:p>
    <w:p w14:paraId="1ECB159C" w14:textId="77777777" w:rsidR="0034640B" w:rsidRDefault="0034640B" w:rsidP="009C2F96">
      <w:pPr>
        <w:jc w:val="both"/>
      </w:pPr>
      <w:proofErr w:type="spellStart"/>
      <w:r w:rsidRPr="00277183">
        <w:t>Mawlānā</w:t>
      </w:r>
      <w:proofErr w:type="spellEnd"/>
      <w:r w:rsidRPr="00277183">
        <w:t xml:space="preserve"> </w:t>
      </w:r>
      <w:proofErr w:type="spellStart"/>
      <w:r w:rsidRPr="00277183">
        <w:t>Djalāl</w:t>
      </w:r>
      <w:proofErr w:type="spellEnd"/>
      <w:r w:rsidRPr="00277183">
        <w:t xml:space="preserve"> al-</w:t>
      </w:r>
      <w:proofErr w:type="spellStart"/>
      <w:r w:rsidRPr="00277183">
        <w:t>Dīn</w:t>
      </w:r>
      <w:proofErr w:type="spellEnd"/>
      <w:r w:rsidRPr="00277183">
        <w:t> </w:t>
      </w:r>
      <w:proofErr w:type="spellStart"/>
      <w:r w:rsidRPr="00277183">
        <w:t>Rūmī</w:t>
      </w:r>
      <w:proofErr w:type="spellEnd"/>
      <w:r>
        <w:t xml:space="preserve"> </w:t>
      </w:r>
      <w:proofErr w:type="spellStart"/>
      <w:r>
        <w:t>was</w:t>
      </w:r>
      <w:proofErr w:type="spellEnd"/>
      <w:r>
        <w:t xml:space="preserve"> an </w:t>
      </w:r>
      <w:proofErr w:type="spellStart"/>
      <w:r>
        <w:t>eminent</w:t>
      </w:r>
      <w:proofErr w:type="spellEnd"/>
      <w:r>
        <w:t xml:space="preserve"> </w:t>
      </w:r>
      <w:proofErr w:type="spellStart"/>
      <w:r>
        <w:t>Islamic</w:t>
      </w:r>
      <w:proofErr w:type="spellEnd"/>
      <w:r>
        <w:t xml:space="preserve"> </w:t>
      </w:r>
      <w:proofErr w:type="spellStart"/>
      <w:r>
        <w:t>scholar</w:t>
      </w:r>
      <w:proofErr w:type="spellEnd"/>
      <w:r>
        <w:t xml:space="preserve">, </w:t>
      </w:r>
      <w:proofErr w:type="spellStart"/>
      <w:r>
        <w:t>sufi</w:t>
      </w:r>
      <w:proofErr w:type="spellEnd"/>
      <w:r>
        <w:t xml:space="preserve"> </w:t>
      </w:r>
      <w:proofErr w:type="spellStart"/>
      <w:r>
        <w:t>and</w:t>
      </w:r>
      <w:proofErr w:type="spellEnd"/>
      <w:r>
        <w:t xml:space="preserve"> </w:t>
      </w:r>
      <w:proofErr w:type="spellStart"/>
      <w:r>
        <w:t>poet</w:t>
      </w:r>
      <w:proofErr w:type="spellEnd"/>
      <w:r>
        <w:t xml:space="preserve"> </w:t>
      </w:r>
      <w:proofErr w:type="spellStart"/>
      <w:r>
        <w:t>who</w:t>
      </w:r>
      <w:proofErr w:type="spellEnd"/>
      <w:r>
        <w:t xml:space="preserve"> </w:t>
      </w:r>
      <w:proofErr w:type="spellStart"/>
      <w:r>
        <w:t>was</w:t>
      </w:r>
      <w:proofErr w:type="spellEnd"/>
      <w:r>
        <w:t xml:space="preserve"> </w:t>
      </w:r>
      <w:proofErr w:type="spellStart"/>
      <w:r>
        <w:t>born</w:t>
      </w:r>
      <w:proofErr w:type="spellEnd"/>
      <w:r>
        <w:t xml:space="preserve"> in 1207 in </w:t>
      </w:r>
      <w:proofErr w:type="spellStart"/>
      <w:r>
        <w:t>Balkh</w:t>
      </w:r>
      <w:proofErr w:type="spellEnd"/>
      <w:r>
        <w:t xml:space="preserve">, </w:t>
      </w:r>
      <w:proofErr w:type="spellStart"/>
      <w:r>
        <w:t>present</w:t>
      </w:r>
      <w:proofErr w:type="spellEnd"/>
      <w:r>
        <w:t xml:space="preserve"> </w:t>
      </w:r>
      <w:proofErr w:type="spellStart"/>
      <w:r>
        <w:t>day</w:t>
      </w:r>
      <w:proofErr w:type="spellEnd"/>
      <w:r>
        <w:t xml:space="preserve"> </w:t>
      </w:r>
      <w:proofErr w:type="spellStart"/>
      <w:r>
        <w:t>Afghanistan</w:t>
      </w:r>
      <w:proofErr w:type="spellEnd"/>
      <w:r>
        <w:t xml:space="preserve"> but </w:t>
      </w:r>
      <w:proofErr w:type="spellStart"/>
      <w:r>
        <w:t>spent</w:t>
      </w:r>
      <w:proofErr w:type="spellEnd"/>
      <w:r>
        <w:t xml:space="preserve"> </w:t>
      </w:r>
      <w:proofErr w:type="spellStart"/>
      <w:r>
        <w:t>most</w:t>
      </w:r>
      <w:proofErr w:type="spellEnd"/>
      <w:r>
        <w:t xml:space="preserve"> of his life in Konya, </w:t>
      </w:r>
      <w:proofErr w:type="spellStart"/>
      <w:r>
        <w:t>Turkey</w:t>
      </w:r>
      <w:proofErr w:type="spellEnd"/>
      <w:r>
        <w:t xml:space="preserve">. </w:t>
      </w:r>
      <w:proofErr w:type="spellStart"/>
      <w:r>
        <w:t>Sometime</w:t>
      </w:r>
      <w:proofErr w:type="spellEnd"/>
      <w:r>
        <w:t xml:space="preserve"> in 1240s he met </w:t>
      </w:r>
      <w:proofErr w:type="spellStart"/>
      <w:r>
        <w:t>Sh</w:t>
      </w:r>
      <w:r w:rsidRPr="007F2ED1">
        <w:t>ams</w:t>
      </w:r>
      <w:proofErr w:type="spellEnd"/>
      <w:r w:rsidRPr="007F2ED1">
        <w:t xml:space="preserve">-i </w:t>
      </w:r>
      <w:proofErr w:type="spellStart"/>
      <w:r>
        <w:t>T</w:t>
      </w:r>
      <w:r w:rsidRPr="007F2ED1">
        <w:t>abrīzī</w:t>
      </w:r>
      <w:proofErr w:type="spellEnd"/>
      <w:r>
        <w:t xml:space="preserve">, a Sufi </w:t>
      </w:r>
      <w:proofErr w:type="spellStart"/>
      <w:r>
        <w:t>with</w:t>
      </w:r>
      <w:proofErr w:type="spellEnd"/>
      <w:r>
        <w:t xml:space="preserve"> a </w:t>
      </w:r>
      <w:proofErr w:type="spellStart"/>
      <w:r>
        <w:t>strong</w:t>
      </w:r>
      <w:proofErr w:type="spellEnd"/>
      <w:r>
        <w:t xml:space="preserve"> </w:t>
      </w:r>
      <w:proofErr w:type="spellStart"/>
      <w:r>
        <w:t>mystical</w:t>
      </w:r>
      <w:proofErr w:type="spellEnd"/>
      <w:r>
        <w:t xml:space="preserve"> </w:t>
      </w:r>
      <w:proofErr w:type="spellStart"/>
      <w:r>
        <w:t>tendency</w:t>
      </w:r>
      <w:proofErr w:type="spellEnd"/>
      <w:r>
        <w:t xml:space="preserve"> </w:t>
      </w:r>
      <w:proofErr w:type="spellStart"/>
      <w:r>
        <w:t>who</w:t>
      </w:r>
      <w:proofErr w:type="spellEnd"/>
      <w:r>
        <w:t xml:space="preserve"> </w:t>
      </w:r>
      <w:proofErr w:type="spellStart"/>
      <w:r>
        <w:t>became</w:t>
      </w:r>
      <w:proofErr w:type="spellEnd"/>
      <w:r>
        <w:t xml:space="preserve"> </w:t>
      </w:r>
      <w:proofErr w:type="spellStart"/>
      <w:r w:rsidRPr="00277183">
        <w:t>Rūmī</w:t>
      </w:r>
      <w:r>
        <w:t>’s</w:t>
      </w:r>
      <w:proofErr w:type="spellEnd"/>
      <w:r>
        <w:t xml:space="preserve"> </w:t>
      </w:r>
      <w:proofErr w:type="spellStart"/>
      <w:r>
        <w:t>spiritual</w:t>
      </w:r>
      <w:proofErr w:type="spellEnd"/>
      <w:r>
        <w:t xml:space="preserve"> </w:t>
      </w:r>
      <w:proofErr w:type="spellStart"/>
      <w:r>
        <w:t>guide</w:t>
      </w:r>
      <w:proofErr w:type="spellEnd"/>
      <w:r>
        <w:t xml:space="preserve">, </w:t>
      </w:r>
      <w:proofErr w:type="spellStart"/>
      <w:r>
        <w:t>only</w:t>
      </w:r>
      <w:proofErr w:type="spellEnd"/>
      <w:r>
        <w:t xml:space="preserve"> </w:t>
      </w:r>
      <w:proofErr w:type="spellStart"/>
      <w:r>
        <w:t>to</w:t>
      </w:r>
      <w:proofErr w:type="spellEnd"/>
      <w:r>
        <w:t xml:space="preserve"> </w:t>
      </w:r>
      <w:proofErr w:type="spellStart"/>
      <w:r>
        <w:t>disappear</w:t>
      </w:r>
      <w:proofErr w:type="spellEnd"/>
      <w:r>
        <w:t xml:space="preserve"> a </w:t>
      </w:r>
      <w:proofErr w:type="spellStart"/>
      <w:r>
        <w:t>few</w:t>
      </w:r>
      <w:proofErr w:type="spellEnd"/>
      <w:r>
        <w:t xml:space="preserve"> </w:t>
      </w:r>
      <w:proofErr w:type="spellStart"/>
      <w:r>
        <w:t>years</w:t>
      </w:r>
      <w:proofErr w:type="spellEnd"/>
      <w:r>
        <w:t xml:space="preserve"> </w:t>
      </w:r>
      <w:proofErr w:type="spellStart"/>
      <w:r>
        <w:t>later</w:t>
      </w:r>
      <w:proofErr w:type="spellEnd"/>
      <w:r>
        <w:t xml:space="preserve">. </w:t>
      </w:r>
      <w:proofErr w:type="spellStart"/>
      <w:r>
        <w:t>It</w:t>
      </w:r>
      <w:proofErr w:type="spellEnd"/>
      <w:r>
        <w:t xml:space="preserve"> </w:t>
      </w:r>
      <w:proofErr w:type="spellStart"/>
      <w:r>
        <w:t>was</w:t>
      </w:r>
      <w:proofErr w:type="spellEnd"/>
      <w:r>
        <w:t xml:space="preserve"> </w:t>
      </w:r>
      <w:proofErr w:type="spellStart"/>
      <w:r>
        <w:t>after</w:t>
      </w:r>
      <w:proofErr w:type="spellEnd"/>
      <w:r>
        <w:t xml:space="preserve"> </w:t>
      </w:r>
      <w:proofErr w:type="spellStart"/>
      <w:r>
        <w:t>Sh</w:t>
      </w:r>
      <w:r w:rsidRPr="007F2ED1">
        <w:t>ams</w:t>
      </w:r>
      <w:proofErr w:type="spellEnd"/>
      <w:r>
        <w:t xml:space="preserve"> </w:t>
      </w:r>
      <w:proofErr w:type="spellStart"/>
      <w:r>
        <w:t>went</w:t>
      </w:r>
      <w:proofErr w:type="spellEnd"/>
      <w:r>
        <w:t xml:space="preserve"> </w:t>
      </w:r>
      <w:proofErr w:type="spellStart"/>
      <w:r>
        <w:t>away</w:t>
      </w:r>
      <w:proofErr w:type="spellEnd"/>
      <w:r>
        <w:t xml:space="preserve">, </w:t>
      </w:r>
      <w:proofErr w:type="spellStart"/>
      <w:r>
        <w:t>that</w:t>
      </w:r>
      <w:proofErr w:type="spellEnd"/>
      <w:r>
        <w:t xml:space="preserve"> </w:t>
      </w:r>
      <w:proofErr w:type="spellStart"/>
      <w:r w:rsidRPr="00277183">
        <w:t>Rūmī</w:t>
      </w:r>
      <w:proofErr w:type="spellEnd"/>
      <w:r>
        <w:t xml:space="preserve"> </w:t>
      </w:r>
      <w:proofErr w:type="spellStart"/>
      <w:r>
        <w:t>produced</w:t>
      </w:r>
      <w:proofErr w:type="spellEnd"/>
      <w:r>
        <w:t xml:space="preserve"> his </w:t>
      </w:r>
      <w:proofErr w:type="spellStart"/>
      <w:r>
        <w:t>most</w:t>
      </w:r>
      <w:proofErr w:type="spellEnd"/>
      <w:r>
        <w:t xml:space="preserve"> </w:t>
      </w:r>
      <w:proofErr w:type="spellStart"/>
      <w:r>
        <w:t>important</w:t>
      </w:r>
      <w:proofErr w:type="spellEnd"/>
      <w:r>
        <w:t xml:space="preserve"> </w:t>
      </w:r>
      <w:proofErr w:type="spellStart"/>
      <w:r>
        <w:t>works</w:t>
      </w:r>
      <w:proofErr w:type="spellEnd"/>
      <w:r>
        <w:t xml:space="preserve"> </w:t>
      </w:r>
      <w:proofErr w:type="spellStart"/>
      <w:r>
        <w:t>including</w:t>
      </w:r>
      <w:proofErr w:type="spellEnd"/>
      <w:r>
        <w:t xml:space="preserve"> </w:t>
      </w:r>
      <w:proofErr w:type="spellStart"/>
      <w:r>
        <w:t>M</w:t>
      </w:r>
      <w:r w:rsidRPr="00850E2D">
        <w:t>a</w:t>
      </w:r>
      <w:r>
        <w:t>th</w:t>
      </w:r>
      <w:r w:rsidRPr="00850E2D">
        <w:t>nawī</w:t>
      </w:r>
      <w:proofErr w:type="spellEnd"/>
      <w:r>
        <w:t xml:space="preserve"> </w:t>
      </w:r>
      <w:proofErr w:type="spellStart"/>
      <w:r>
        <w:t>and</w:t>
      </w:r>
      <w:proofErr w:type="spellEnd"/>
      <w:r>
        <w:t xml:space="preserve"> his </w:t>
      </w:r>
      <w:proofErr w:type="spellStart"/>
      <w:r>
        <w:t>Diwan</w:t>
      </w:r>
      <w:proofErr w:type="spellEnd"/>
      <w:r>
        <w:t xml:space="preserve">, </w:t>
      </w:r>
      <w:proofErr w:type="spellStart"/>
      <w:r>
        <w:t>which</w:t>
      </w:r>
      <w:proofErr w:type="spellEnd"/>
      <w:r>
        <w:t xml:space="preserve"> </w:t>
      </w:r>
      <w:proofErr w:type="spellStart"/>
      <w:r>
        <w:t>consists</w:t>
      </w:r>
      <w:proofErr w:type="spellEnd"/>
      <w:r>
        <w:t xml:space="preserve"> </w:t>
      </w:r>
      <w:proofErr w:type="spellStart"/>
      <w:r>
        <w:t>mostly</w:t>
      </w:r>
      <w:proofErr w:type="spellEnd"/>
      <w:r>
        <w:t xml:space="preserve"> of </w:t>
      </w:r>
      <w:proofErr w:type="spellStart"/>
      <w:r>
        <w:t>ghazal</w:t>
      </w:r>
      <w:proofErr w:type="spellEnd"/>
      <w:r>
        <w:t xml:space="preserve"> </w:t>
      </w:r>
      <w:proofErr w:type="spellStart"/>
      <w:r>
        <w:t>poetry</w:t>
      </w:r>
      <w:proofErr w:type="spellEnd"/>
      <w:r>
        <w:t xml:space="preserve">. </w:t>
      </w:r>
      <w:proofErr w:type="spellStart"/>
      <w:r>
        <w:t>In</w:t>
      </w:r>
      <w:proofErr w:type="spellEnd"/>
      <w:r>
        <w:t xml:space="preserve"> </w:t>
      </w:r>
      <w:proofErr w:type="spellStart"/>
      <w:r>
        <w:t>the</w:t>
      </w:r>
      <w:proofErr w:type="spellEnd"/>
      <w:r>
        <w:t xml:space="preserve"> </w:t>
      </w:r>
      <w:proofErr w:type="spellStart"/>
      <w:r>
        <w:t>following</w:t>
      </w:r>
      <w:proofErr w:type="spellEnd"/>
      <w:r>
        <w:t xml:space="preserve"> </w:t>
      </w:r>
      <w:proofErr w:type="spellStart"/>
      <w:r>
        <w:t>part</w:t>
      </w:r>
      <w:proofErr w:type="spellEnd"/>
      <w:r>
        <w:t xml:space="preserve"> of </w:t>
      </w:r>
      <w:proofErr w:type="spellStart"/>
      <w:r>
        <w:t>this</w:t>
      </w:r>
      <w:proofErr w:type="spellEnd"/>
      <w:r>
        <w:t xml:space="preserve"> </w:t>
      </w:r>
      <w:proofErr w:type="spellStart"/>
      <w:r>
        <w:t>paper</w:t>
      </w:r>
      <w:proofErr w:type="spellEnd"/>
      <w:r>
        <w:t xml:space="preserve">, </w:t>
      </w:r>
      <w:proofErr w:type="spellStart"/>
      <w:r>
        <w:t>one</w:t>
      </w:r>
      <w:proofErr w:type="spellEnd"/>
      <w:r>
        <w:t xml:space="preserve"> of </w:t>
      </w:r>
      <w:proofErr w:type="spellStart"/>
      <w:r>
        <w:t>the</w:t>
      </w:r>
      <w:proofErr w:type="spellEnd"/>
      <w:r>
        <w:t xml:space="preserve"> </w:t>
      </w:r>
      <w:proofErr w:type="spellStart"/>
      <w:r>
        <w:t>ghazals</w:t>
      </w:r>
      <w:proofErr w:type="spellEnd"/>
      <w:r>
        <w:t xml:space="preserve"> </w:t>
      </w:r>
      <w:proofErr w:type="spellStart"/>
      <w:r>
        <w:t>from</w:t>
      </w:r>
      <w:proofErr w:type="spellEnd"/>
      <w:r>
        <w:t xml:space="preserve"> his </w:t>
      </w:r>
      <w:proofErr w:type="spellStart"/>
      <w:r>
        <w:t>diwan</w:t>
      </w:r>
      <w:proofErr w:type="spellEnd"/>
      <w:r>
        <w:t xml:space="preserve"> (</w:t>
      </w:r>
      <w:proofErr w:type="spellStart"/>
      <w:r w:rsidRPr="002B0DE3">
        <w:t>Mawlānā</w:t>
      </w:r>
      <w:proofErr w:type="spellEnd"/>
      <w:r w:rsidRPr="002B0DE3">
        <w:t xml:space="preserve"> </w:t>
      </w:r>
      <w:proofErr w:type="spellStart"/>
      <w:r w:rsidRPr="002B0DE3">
        <w:t>Djalāl</w:t>
      </w:r>
      <w:proofErr w:type="spellEnd"/>
      <w:r w:rsidRPr="002B0DE3">
        <w:t xml:space="preserve"> al-</w:t>
      </w:r>
      <w:proofErr w:type="spellStart"/>
      <w:r w:rsidRPr="002B0DE3">
        <w:t>Dīn</w:t>
      </w:r>
      <w:proofErr w:type="spellEnd"/>
      <w:r>
        <w:t xml:space="preserve"> </w:t>
      </w:r>
      <w:proofErr w:type="spellStart"/>
      <w:r>
        <w:t>Mu</w:t>
      </w:r>
      <w:r w:rsidRPr="00A05E93">
        <w:t>ḥ</w:t>
      </w:r>
      <w:r>
        <w:t>am</w:t>
      </w:r>
      <w:r w:rsidRPr="00A05E93">
        <w:t>mad</w:t>
      </w:r>
      <w:proofErr w:type="spellEnd"/>
      <w:r>
        <w:t xml:space="preserve">, 1374, p. 99) </w:t>
      </w:r>
      <w:proofErr w:type="spellStart"/>
      <w:r>
        <w:t>will</w:t>
      </w:r>
      <w:proofErr w:type="spellEnd"/>
      <w:r>
        <w:t xml:space="preserve"> be </w:t>
      </w:r>
      <w:proofErr w:type="spellStart"/>
      <w:r>
        <w:t>analyzed</w:t>
      </w:r>
      <w:proofErr w:type="spellEnd"/>
      <w:r>
        <w:t xml:space="preserve"> </w:t>
      </w:r>
      <w:proofErr w:type="spellStart"/>
      <w:r>
        <w:t>to</w:t>
      </w:r>
      <w:proofErr w:type="spellEnd"/>
      <w:r>
        <w:t xml:space="preserve"> </w:t>
      </w:r>
      <w:proofErr w:type="spellStart"/>
      <w:r>
        <w:t>reveal</w:t>
      </w:r>
      <w:proofErr w:type="spellEnd"/>
      <w:r>
        <w:t xml:space="preserve"> </w:t>
      </w:r>
      <w:proofErr w:type="spellStart"/>
      <w:r w:rsidRPr="00277183">
        <w:t>Rūmī</w:t>
      </w:r>
      <w:r>
        <w:t>’s</w:t>
      </w:r>
      <w:proofErr w:type="spellEnd"/>
      <w:r>
        <w:t xml:space="preserve"> </w:t>
      </w:r>
      <w:proofErr w:type="spellStart"/>
      <w:r>
        <w:t>views</w:t>
      </w:r>
      <w:proofErr w:type="spellEnd"/>
      <w:r>
        <w:t xml:space="preserve"> </w:t>
      </w:r>
      <w:proofErr w:type="spellStart"/>
      <w:r>
        <w:t>about</w:t>
      </w:r>
      <w:proofErr w:type="spellEnd"/>
      <w:r>
        <w:t xml:space="preserve"> </w:t>
      </w:r>
      <w:proofErr w:type="spellStart"/>
      <w:r>
        <w:t>love</w:t>
      </w:r>
      <w:proofErr w:type="spellEnd"/>
      <w:r>
        <w:t xml:space="preserve"> </w:t>
      </w:r>
      <w:proofErr w:type="spellStart"/>
      <w:r>
        <w:t>and</w:t>
      </w:r>
      <w:proofErr w:type="spellEnd"/>
      <w:r>
        <w:t xml:space="preserve"> </w:t>
      </w:r>
      <w:proofErr w:type="spellStart"/>
      <w:r>
        <w:t>intellect</w:t>
      </w:r>
      <w:proofErr w:type="spellEnd"/>
      <w:r>
        <w:t>.</w:t>
      </w:r>
    </w:p>
    <w:p w14:paraId="7008C242" w14:textId="77777777" w:rsidR="0034640B" w:rsidRPr="00BD0D2E" w:rsidRDefault="0034640B" w:rsidP="009C2F96">
      <w:pPr>
        <w:jc w:val="center"/>
      </w:pPr>
      <w:r w:rsidRPr="00BD0D2E">
        <w:rPr>
          <w:rtl/>
        </w:rPr>
        <w:t>در م</w:t>
      </w:r>
      <w:r w:rsidRPr="00BD0D2E">
        <w:rPr>
          <w:rFonts w:hint="cs"/>
          <w:rtl/>
        </w:rPr>
        <w:t>ی</w:t>
      </w:r>
      <w:r w:rsidRPr="00BD0D2E">
        <w:rPr>
          <w:rFonts w:hint="eastAsia"/>
          <w:rtl/>
        </w:rPr>
        <w:t>ان</w:t>
      </w:r>
      <w:r w:rsidRPr="00BD0D2E">
        <w:rPr>
          <w:rtl/>
        </w:rPr>
        <w:t xml:space="preserve"> پرده خون عشق را گلزارها</w:t>
      </w:r>
    </w:p>
    <w:p w14:paraId="1B114DD9" w14:textId="77777777" w:rsidR="0034640B" w:rsidRDefault="0034640B" w:rsidP="009C2F96">
      <w:pPr>
        <w:jc w:val="center"/>
        <w:rPr>
          <w:rtl/>
        </w:rPr>
      </w:pPr>
      <w:r w:rsidRPr="00BD0D2E">
        <w:rPr>
          <w:rFonts w:hint="eastAsia"/>
          <w:rtl/>
        </w:rPr>
        <w:t>عاشقان</w:t>
      </w:r>
      <w:r w:rsidRPr="00BD0D2E">
        <w:rPr>
          <w:rtl/>
        </w:rPr>
        <w:t xml:space="preserve"> را با جمال عشق ب</w:t>
      </w:r>
      <w:r w:rsidRPr="00BD0D2E">
        <w:rPr>
          <w:rFonts w:hint="cs"/>
          <w:rtl/>
        </w:rPr>
        <w:t>ی‌</w:t>
      </w:r>
      <w:r w:rsidRPr="00BD0D2E">
        <w:rPr>
          <w:rFonts w:hint="eastAsia"/>
          <w:rtl/>
        </w:rPr>
        <w:t>چون</w:t>
      </w:r>
      <w:r w:rsidRPr="00BD0D2E">
        <w:rPr>
          <w:rtl/>
        </w:rPr>
        <w:t xml:space="preserve"> کارها</w:t>
      </w:r>
    </w:p>
    <w:p w14:paraId="01E438A8" w14:textId="77777777" w:rsidR="0034640B" w:rsidRPr="00CE60CF" w:rsidRDefault="0034640B" w:rsidP="009C2F96">
      <w:pPr>
        <w:jc w:val="center"/>
      </w:pPr>
      <w:proofErr w:type="spellStart"/>
      <w:r w:rsidRPr="00CE60CF">
        <w:t>Within</w:t>
      </w:r>
      <w:proofErr w:type="spellEnd"/>
      <w:r w:rsidRPr="00CE60CF">
        <w:t xml:space="preserve"> </w:t>
      </w:r>
      <w:proofErr w:type="spellStart"/>
      <w:r w:rsidRPr="00CE60CF">
        <w:t>the</w:t>
      </w:r>
      <w:proofErr w:type="spellEnd"/>
      <w:r w:rsidRPr="00CE60CF">
        <w:t xml:space="preserve"> </w:t>
      </w:r>
      <w:proofErr w:type="spellStart"/>
      <w:r w:rsidRPr="00CE60CF">
        <w:t>curtain</w:t>
      </w:r>
      <w:proofErr w:type="spellEnd"/>
      <w:r w:rsidRPr="00CE60CF">
        <w:t xml:space="preserve"> of </w:t>
      </w:r>
      <w:proofErr w:type="spellStart"/>
      <w:r w:rsidRPr="00CE60CF">
        <w:t>blood</w:t>
      </w:r>
      <w:proofErr w:type="spellEnd"/>
      <w:r w:rsidRPr="00CE60CF">
        <w:t xml:space="preserve">, </w:t>
      </w:r>
      <w:proofErr w:type="spellStart"/>
      <w:r w:rsidRPr="00CE60CF">
        <w:t>love</w:t>
      </w:r>
      <w:proofErr w:type="spellEnd"/>
      <w:r w:rsidRPr="00CE60CF">
        <w:t xml:space="preserve"> has </w:t>
      </w:r>
      <w:proofErr w:type="spellStart"/>
      <w:r w:rsidRPr="00CE60CF">
        <w:t>rose</w:t>
      </w:r>
      <w:proofErr w:type="spellEnd"/>
      <w:r w:rsidRPr="00CE60CF">
        <w:t xml:space="preserve"> </w:t>
      </w:r>
      <w:proofErr w:type="spellStart"/>
      <w:r w:rsidRPr="00CE60CF">
        <w:t>gardens</w:t>
      </w:r>
      <w:proofErr w:type="spellEnd"/>
      <w:r w:rsidRPr="00CE60CF">
        <w:t>.</w:t>
      </w:r>
    </w:p>
    <w:p w14:paraId="2B5E28B3" w14:textId="77777777" w:rsidR="0034640B" w:rsidRDefault="0034640B" w:rsidP="009C2F96">
      <w:pPr>
        <w:jc w:val="center"/>
      </w:pPr>
      <w:proofErr w:type="spellStart"/>
      <w:r w:rsidRPr="00CE60CF">
        <w:t>With</w:t>
      </w:r>
      <w:proofErr w:type="spellEnd"/>
      <w:r w:rsidRPr="00CE60CF">
        <w:t xml:space="preserve"> </w:t>
      </w:r>
      <w:proofErr w:type="spellStart"/>
      <w:r w:rsidRPr="00CE60CF">
        <w:t>the</w:t>
      </w:r>
      <w:proofErr w:type="spellEnd"/>
      <w:r w:rsidRPr="00CE60CF">
        <w:t xml:space="preserve"> </w:t>
      </w:r>
      <w:proofErr w:type="spellStart"/>
      <w:r w:rsidRPr="00CE60CF">
        <w:t>beauty</w:t>
      </w:r>
      <w:proofErr w:type="spellEnd"/>
      <w:r w:rsidRPr="00CE60CF">
        <w:t xml:space="preserve"> of </w:t>
      </w:r>
      <w:proofErr w:type="spellStart"/>
      <w:r w:rsidRPr="00CE60CF">
        <w:t>love</w:t>
      </w:r>
      <w:proofErr w:type="spellEnd"/>
      <w:r w:rsidRPr="00CE60CF">
        <w:t xml:space="preserve">, </w:t>
      </w:r>
      <w:proofErr w:type="spellStart"/>
      <w:r w:rsidRPr="00CE60CF">
        <w:t>lovers</w:t>
      </w:r>
      <w:proofErr w:type="spellEnd"/>
      <w:r w:rsidRPr="00CE60CF">
        <w:t xml:space="preserve"> </w:t>
      </w:r>
      <w:proofErr w:type="spellStart"/>
      <w:r w:rsidRPr="00CE60CF">
        <w:t>have</w:t>
      </w:r>
      <w:proofErr w:type="spellEnd"/>
      <w:r w:rsidRPr="00CE60CF">
        <w:t xml:space="preserve"> </w:t>
      </w:r>
      <w:proofErr w:type="spellStart"/>
      <w:r w:rsidRPr="00CE60CF">
        <w:t>pursuits</w:t>
      </w:r>
      <w:proofErr w:type="spellEnd"/>
      <w:r w:rsidRPr="00CE60CF">
        <w:t xml:space="preserve"> </w:t>
      </w:r>
      <w:proofErr w:type="spellStart"/>
      <w:r w:rsidRPr="00CE60CF">
        <w:t>unlike</w:t>
      </w:r>
      <w:proofErr w:type="spellEnd"/>
      <w:r w:rsidRPr="00CE60CF">
        <w:t xml:space="preserve"> </w:t>
      </w:r>
      <w:proofErr w:type="spellStart"/>
      <w:r w:rsidRPr="00CE60CF">
        <w:t>anything</w:t>
      </w:r>
      <w:proofErr w:type="spellEnd"/>
      <w:r w:rsidRPr="00CE60CF">
        <w:t>,</w:t>
      </w:r>
    </w:p>
    <w:p w14:paraId="5CCE9C72" w14:textId="77777777" w:rsidR="009C2F96" w:rsidRPr="00CE60CF" w:rsidRDefault="009C2F96" w:rsidP="009C2F96">
      <w:pPr>
        <w:jc w:val="center"/>
      </w:pPr>
    </w:p>
    <w:p w14:paraId="564C2030" w14:textId="69B108B8" w:rsidR="0034640B" w:rsidRPr="00BD0D2E" w:rsidRDefault="0034640B" w:rsidP="009C2F96">
      <w:pPr>
        <w:jc w:val="both"/>
      </w:pPr>
      <w:proofErr w:type="spellStart"/>
      <w:r>
        <w:t>In</w:t>
      </w:r>
      <w:proofErr w:type="spellEnd"/>
      <w:r>
        <w:t xml:space="preserve"> </w:t>
      </w:r>
      <w:proofErr w:type="spellStart"/>
      <w:r>
        <w:t>the</w:t>
      </w:r>
      <w:proofErr w:type="spellEnd"/>
      <w:r>
        <w:t xml:space="preserve"> </w:t>
      </w:r>
      <w:proofErr w:type="spellStart"/>
      <w:r>
        <w:t>first</w:t>
      </w:r>
      <w:proofErr w:type="spellEnd"/>
      <w:r>
        <w:t xml:space="preserve"> </w:t>
      </w:r>
      <w:proofErr w:type="spellStart"/>
      <w:r>
        <w:t>distich</w:t>
      </w:r>
      <w:proofErr w:type="spellEnd"/>
      <w:r>
        <w:t xml:space="preserve"> of his </w:t>
      </w:r>
      <w:proofErr w:type="spellStart"/>
      <w:r>
        <w:t>ghazal</w:t>
      </w:r>
      <w:proofErr w:type="spellEnd"/>
      <w:r>
        <w:t xml:space="preserve">, </w:t>
      </w:r>
      <w:proofErr w:type="spellStart"/>
      <w:r w:rsidRPr="002B0DE3">
        <w:t>Rūmī</w:t>
      </w:r>
      <w:proofErr w:type="spellEnd"/>
      <w:r>
        <w:t xml:space="preserve"> </w:t>
      </w:r>
      <w:proofErr w:type="spellStart"/>
      <w:r>
        <w:t>clearly</w:t>
      </w:r>
      <w:proofErr w:type="spellEnd"/>
      <w:r>
        <w:t xml:space="preserve"> </w:t>
      </w:r>
      <w:proofErr w:type="spellStart"/>
      <w:r>
        <w:t>defines</w:t>
      </w:r>
      <w:proofErr w:type="spellEnd"/>
      <w:r>
        <w:t xml:space="preserve"> </w:t>
      </w:r>
      <w:proofErr w:type="spellStart"/>
      <w:r>
        <w:t>the</w:t>
      </w:r>
      <w:proofErr w:type="spellEnd"/>
      <w:r>
        <w:t xml:space="preserve"> role of </w:t>
      </w:r>
      <w:proofErr w:type="spellStart"/>
      <w:r>
        <w:t>love</w:t>
      </w:r>
      <w:proofErr w:type="spellEnd"/>
      <w:r>
        <w:t xml:space="preserve"> as a </w:t>
      </w:r>
      <w:proofErr w:type="spellStart"/>
      <w:r>
        <w:t>means</w:t>
      </w:r>
      <w:proofErr w:type="spellEnd"/>
      <w:r>
        <w:t xml:space="preserve"> </w:t>
      </w:r>
      <w:proofErr w:type="spellStart"/>
      <w:r>
        <w:t>to</w:t>
      </w:r>
      <w:proofErr w:type="spellEnd"/>
      <w:r>
        <w:t xml:space="preserve"> </w:t>
      </w:r>
      <w:proofErr w:type="spellStart"/>
      <w:r>
        <w:t>access</w:t>
      </w:r>
      <w:proofErr w:type="spellEnd"/>
      <w:r>
        <w:t xml:space="preserve"> </w:t>
      </w:r>
      <w:proofErr w:type="spellStart"/>
      <w:r>
        <w:t>the</w:t>
      </w:r>
      <w:proofErr w:type="spellEnd"/>
      <w:r>
        <w:t xml:space="preserve"> </w:t>
      </w:r>
      <w:proofErr w:type="spellStart"/>
      <w:r>
        <w:t>spiritual</w:t>
      </w:r>
      <w:proofErr w:type="spellEnd"/>
      <w:r>
        <w:t xml:space="preserve"> </w:t>
      </w:r>
      <w:proofErr w:type="spellStart"/>
      <w:r>
        <w:t>realm</w:t>
      </w:r>
      <w:proofErr w:type="spellEnd"/>
      <w:r>
        <w:t xml:space="preserve">. </w:t>
      </w:r>
      <w:proofErr w:type="spellStart"/>
      <w:r>
        <w:t>The</w:t>
      </w:r>
      <w:proofErr w:type="spellEnd"/>
      <w:r>
        <w:t xml:space="preserve"> </w:t>
      </w:r>
      <w:proofErr w:type="spellStart"/>
      <w:r>
        <w:t>curtain</w:t>
      </w:r>
      <w:proofErr w:type="spellEnd"/>
      <w:r>
        <w:t xml:space="preserve"> of </w:t>
      </w:r>
      <w:proofErr w:type="spellStart"/>
      <w:r>
        <w:t>blood</w:t>
      </w:r>
      <w:proofErr w:type="spellEnd"/>
      <w:r>
        <w:t xml:space="preserve"> is a reference </w:t>
      </w:r>
      <w:proofErr w:type="spellStart"/>
      <w:r>
        <w:t>to</w:t>
      </w:r>
      <w:proofErr w:type="spellEnd"/>
      <w:r>
        <w:t xml:space="preserve"> </w:t>
      </w:r>
      <w:proofErr w:type="spellStart"/>
      <w:r>
        <w:t>the</w:t>
      </w:r>
      <w:proofErr w:type="spellEnd"/>
      <w:r>
        <w:t xml:space="preserve"> </w:t>
      </w:r>
      <w:proofErr w:type="spellStart"/>
      <w:r>
        <w:t>hardship</w:t>
      </w:r>
      <w:proofErr w:type="spellEnd"/>
      <w:r>
        <w:t xml:space="preserve"> </w:t>
      </w:r>
      <w:proofErr w:type="spellStart"/>
      <w:r>
        <w:t>the</w:t>
      </w:r>
      <w:proofErr w:type="spellEnd"/>
      <w:r>
        <w:t xml:space="preserve"> </w:t>
      </w:r>
      <w:proofErr w:type="spellStart"/>
      <w:r>
        <w:t>people</w:t>
      </w:r>
      <w:proofErr w:type="spellEnd"/>
      <w:r>
        <w:t xml:space="preserve"> of </w:t>
      </w:r>
      <w:proofErr w:type="spellStart"/>
      <w:r>
        <w:t>love</w:t>
      </w:r>
      <w:proofErr w:type="spellEnd"/>
      <w:r>
        <w:t xml:space="preserve"> </w:t>
      </w:r>
      <w:proofErr w:type="spellStart"/>
      <w:r>
        <w:t>i.e</w:t>
      </w:r>
      <w:proofErr w:type="spellEnd"/>
      <w:r>
        <w:t xml:space="preserve">. </w:t>
      </w:r>
      <w:proofErr w:type="spellStart"/>
      <w:r>
        <w:t>the</w:t>
      </w:r>
      <w:proofErr w:type="spellEnd"/>
      <w:r>
        <w:t xml:space="preserve"> </w:t>
      </w:r>
      <w:proofErr w:type="spellStart"/>
      <w:r>
        <w:t>sufis</w:t>
      </w:r>
      <w:proofErr w:type="spellEnd"/>
      <w:r>
        <w:t xml:space="preserve"> </w:t>
      </w:r>
      <w:proofErr w:type="spellStart"/>
      <w:r>
        <w:t>must</w:t>
      </w:r>
      <w:proofErr w:type="spellEnd"/>
      <w:r>
        <w:t xml:space="preserve"> </w:t>
      </w:r>
      <w:proofErr w:type="spellStart"/>
      <w:r>
        <w:t>endure</w:t>
      </w:r>
      <w:proofErr w:type="spellEnd"/>
      <w:r>
        <w:t xml:space="preserve">. </w:t>
      </w:r>
      <w:proofErr w:type="spellStart"/>
      <w:r>
        <w:t>However</w:t>
      </w:r>
      <w:proofErr w:type="spellEnd"/>
      <w:r>
        <w:t xml:space="preserve">, </w:t>
      </w:r>
      <w:proofErr w:type="spellStart"/>
      <w:r>
        <w:t>concealed</w:t>
      </w:r>
      <w:proofErr w:type="spellEnd"/>
      <w:r>
        <w:t xml:space="preserve"> </w:t>
      </w:r>
      <w:proofErr w:type="spellStart"/>
      <w:r>
        <w:t>beyond</w:t>
      </w:r>
      <w:proofErr w:type="spellEnd"/>
      <w:r>
        <w:t xml:space="preserve"> is a </w:t>
      </w:r>
      <w:proofErr w:type="spellStart"/>
      <w:r>
        <w:t>realm</w:t>
      </w:r>
      <w:proofErr w:type="spellEnd"/>
      <w:r>
        <w:t xml:space="preserve"> of </w:t>
      </w:r>
      <w:proofErr w:type="spellStart"/>
      <w:r>
        <w:t>spiritual</w:t>
      </w:r>
      <w:proofErr w:type="spellEnd"/>
      <w:r>
        <w:t xml:space="preserve"> </w:t>
      </w:r>
      <w:proofErr w:type="spellStart"/>
      <w:r>
        <w:t>bliss</w:t>
      </w:r>
      <w:proofErr w:type="spellEnd"/>
      <w:r>
        <w:t xml:space="preserve"> </w:t>
      </w:r>
      <w:proofErr w:type="spellStart"/>
      <w:r>
        <w:t>and</w:t>
      </w:r>
      <w:proofErr w:type="spellEnd"/>
      <w:r>
        <w:t xml:space="preserve"> </w:t>
      </w:r>
      <w:proofErr w:type="spellStart"/>
      <w:r>
        <w:t>enlightenment</w:t>
      </w:r>
      <w:proofErr w:type="spellEnd"/>
      <w:r>
        <w:t xml:space="preserve"> </w:t>
      </w:r>
      <w:proofErr w:type="spellStart"/>
      <w:r>
        <w:t>that</w:t>
      </w:r>
      <w:proofErr w:type="spellEnd"/>
      <w:r>
        <w:t xml:space="preserve"> </w:t>
      </w:r>
      <w:proofErr w:type="spellStart"/>
      <w:r>
        <w:t>cannot</w:t>
      </w:r>
      <w:proofErr w:type="spellEnd"/>
      <w:r>
        <w:t xml:space="preserve"> be </w:t>
      </w:r>
      <w:proofErr w:type="spellStart"/>
      <w:r>
        <w:t>compared</w:t>
      </w:r>
      <w:proofErr w:type="spellEnd"/>
      <w:r>
        <w:t xml:space="preserve"> </w:t>
      </w:r>
      <w:proofErr w:type="spellStart"/>
      <w:r>
        <w:t>to</w:t>
      </w:r>
      <w:proofErr w:type="spellEnd"/>
      <w:r>
        <w:t xml:space="preserve"> </w:t>
      </w:r>
      <w:proofErr w:type="spellStart"/>
      <w:r>
        <w:t>anything</w:t>
      </w:r>
      <w:proofErr w:type="spellEnd"/>
      <w:r>
        <w:t xml:space="preserve"> </w:t>
      </w:r>
      <w:proofErr w:type="spellStart"/>
      <w:r>
        <w:t>that</w:t>
      </w:r>
      <w:proofErr w:type="spellEnd"/>
      <w:r>
        <w:t xml:space="preserve"> can be </w:t>
      </w:r>
      <w:proofErr w:type="spellStart"/>
      <w:r>
        <w:t>experienced</w:t>
      </w:r>
      <w:proofErr w:type="spellEnd"/>
      <w:r>
        <w:t xml:space="preserve"> in </w:t>
      </w:r>
      <w:proofErr w:type="spellStart"/>
      <w:r>
        <w:t>the</w:t>
      </w:r>
      <w:proofErr w:type="spellEnd"/>
      <w:r>
        <w:t xml:space="preserve"> </w:t>
      </w:r>
      <w:proofErr w:type="spellStart"/>
      <w:r>
        <w:t>material</w:t>
      </w:r>
      <w:proofErr w:type="spellEnd"/>
      <w:r>
        <w:t xml:space="preserve"> </w:t>
      </w:r>
      <w:proofErr w:type="spellStart"/>
      <w:r>
        <w:t>world</w:t>
      </w:r>
      <w:proofErr w:type="spellEnd"/>
      <w:r>
        <w:t xml:space="preserve">. </w:t>
      </w:r>
      <w:proofErr w:type="spellStart"/>
      <w:r>
        <w:t>Needless</w:t>
      </w:r>
      <w:proofErr w:type="spellEnd"/>
      <w:r>
        <w:t xml:space="preserve"> </w:t>
      </w:r>
      <w:proofErr w:type="spellStart"/>
      <w:r>
        <w:t>to</w:t>
      </w:r>
      <w:proofErr w:type="spellEnd"/>
      <w:r>
        <w:t xml:space="preserve"> say, </w:t>
      </w:r>
      <w:proofErr w:type="spellStart"/>
      <w:r>
        <w:t>only</w:t>
      </w:r>
      <w:proofErr w:type="spellEnd"/>
      <w:r>
        <w:t xml:space="preserve"> </w:t>
      </w:r>
      <w:proofErr w:type="spellStart"/>
      <w:r>
        <w:t>the</w:t>
      </w:r>
      <w:proofErr w:type="spellEnd"/>
      <w:r>
        <w:t xml:space="preserve"> </w:t>
      </w:r>
      <w:proofErr w:type="spellStart"/>
      <w:r>
        <w:t>true</w:t>
      </w:r>
      <w:proofErr w:type="spellEnd"/>
      <w:r>
        <w:t xml:space="preserve"> </w:t>
      </w:r>
      <w:proofErr w:type="spellStart"/>
      <w:r>
        <w:t>followers</w:t>
      </w:r>
      <w:proofErr w:type="spellEnd"/>
      <w:r>
        <w:t xml:space="preserve"> of </w:t>
      </w:r>
      <w:proofErr w:type="spellStart"/>
      <w:r>
        <w:t>the</w:t>
      </w:r>
      <w:proofErr w:type="spellEnd"/>
      <w:r>
        <w:t xml:space="preserve"> Sufi </w:t>
      </w:r>
      <w:proofErr w:type="spellStart"/>
      <w:r>
        <w:t>path</w:t>
      </w:r>
      <w:proofErr w:type="spellEnd"/>
      <w:r>
        <w:t xml:space="preserve"> can </w:t>
      </w:r>
      <w:proofErr w:type="spellStart"/>
      <w:r>
        <w:t>reach</w:t>
      </w:r>
      <w:proofErr w:type="spellEnd"/>
      <w:r>
        <w:t xml:space="preserve"> </w:t>
      </w:r>
      <w:proofErr w:type="spellStart"/>
      <w:r>
        <w:t>the</w:t>
      </w:r>
      <w:proofErr w:type="spellEnd"/>
      <w:r>
        <w:t xml:space="preserve"> </w:t>
      </w:r>
      <w:proofErr w:type="spellStart"/>
      <w:r>
        <w:t>spiritual</w:t>
      </w:r>
      <w:proofErr w:type="spellEnd"/>
      <w:r>
        <w:t xml:space="preserve"> </w:t>
      </w:r>
      <w:proofErr w:type="spellStart"/>
      <w:r>
        <w:t>realm</w:t>
      </w:r>
      <w:proofErr w:type="spellEnd"/>
      <w:r>
        <w:t xml:space="preserve"> </w:t>
      </w:r>
      <w:proofErr w:type="spellStart"/>
      <w:r>
        <w:t>and</w:t>
      </w:r>
      <w:proofErr w:type="spellEnd"/>
      <w:r>
        <w:t xml:space="preserve"> </w:t>
      </w:r>
      <w:proofErr w:type="spellStart"/>
      <w:r>
        <w:t>those</w:t>
      </w:r>
      <w:proofErr w:type="spellEnd"/>
      <w:r>
        <w:t xml:space="preserve"> </w:t>
      </w:r>
      <w:proofErr w:type="spellStart"/>
      <w:r>
        <w:t>who</w:t>
      </w:r>
      <w:proofErr w:type="spellEnd"/>
      <w:r>
        <w:t xml:space="preserve"> do not </w:t>
      </w:r>
      <w:proofErr w:type="spellStart"/>
      <w:r>
        <w:lastRenderedPageBreak/>
        <w:t>understand</w:t>
      </w:r>
      <w:proofErr w:type="spellEnd"/>
      <w:r>
        <w:t xml:space="preserve"> </w:t>
      </w:r>
      <w:proofErr w:type="spellStart"/>
      <w:r>
        <w:t>the</w:t>
      </w:r>
      <w:proofErr w:type="spellEnd"/>
      <w:r>
        <w:t xml:space="preserve"> </w:t>
      </w:r>
      <w:proofErr w:type="spellStart"/>
      <w:r>
        <w:t>concept</w:t>
      </w:r>
      <w:proofErr w:type="spellEnd"/>
      <w:r>
        <w:t xml:space="preserve"> of </w:t>
      </w:r>
      <w:proofErr w:type="spellStart"/>
      <w:r>
        <w:t>love</w:t>
      </w:r>
      <w:proofErr w:type="spellEnd"/>
      <w:r>
        <w:t xml:space="preserve"> </w:t>
      </w:r>
      <w:proofErr w:type="spellStart"/>
      <w:r>
        <w:t>are</w:t>
      </w:r>
      <w:proofErr w:type="spellEnd"/>
      <w:r>
        <w:t xml:space="preserve"> </w:t>
      </w:r>
      <w:proofErr w:type="spellStart"/>
      <w:r>
        <w:t>discouraged</w:t>
      </w:r>
      <w:proofErr w:type="spellEnd"/>
      <w:r>
        <w:t xml:space="preserve"> </w:t>
      </w:r>
      <w:proofErr w:type="spellStart"/>
      <w:r>
        <w:t>by</w:t>
      </w:r>
      <w:proofErr w:type="spellEnd"/>
      <w:r>
        <w:t xml:space="preserve"> </w:t>
      </w:r>
      <w:proofErr w:type="spellStart"/>
      <w:r>
        <w:t>the</w:t>
      </w:r>
      <w:proofErr w:type="spellEnd"/>
      <w:r>
        <w:t xml:space="preserve"> </w:t>
      </w:r>
      <w:proofErr w:type="spellStart"/>
      <w:r>
        <w:t>curtain</w:t>
      </w:r>
      <w:proofErr w:type="spellEnd"/>
      <w:r>
        <w:t xml:space="preserve"> of </w:t>
      </w:r>
      <w:proofErr w:type="spellStart"/>
      <w:r>
        <w:t>blood</w:t>
      </w:r>
      <w:proofErr w:type="spellEnd"/>
      <w:r>
        <w:t>.</w:t>
      </w:r>
    </w:p>
    <w:p w14:paraId="417BB504" w14:textId="77777777" w:rsidR="0034640B" w:rsidRPr="00BD0D2E" w:rsidRDefault="0034640B" w:rsidP="009C2F96">
      <w:pPr>
        <w:jc w:val="center"/>
      </w:pPr>
      <w:r w:rsidRPr="00BD0D2E">
        <w:rPr>
          <w:rFonts w:hint="eastAsia"/>
          <w:rtl/>
        </w:rPr>
        <w:t>عقل</w:t>
      </w:r>
      <w:r w:rsidRPr="00BD0D2E">
        <w:rPr>
          <w:rtl/>
        </w:rPr>
        <w:t xml:space="preserve"> گو</w:t>
      </w:r>
      <w:r w:rsidRPr="00BD0D2E">
        <w:rPr>
          <w:rFonts w:hint="cs"/>
          <w:rtl/>
        </w:rPr>
        <w:t>ی</w:t>
      </w:r>
      <w:r w:rsidRPr="00BD0D2E">
        <w:rPr>
          <w:rFonts w:hint="eastAsia"/>
          <w:rtl/>
        </w:rPr>
        <w:t>د</w:t>
      </w:r>
      <w:r w:rsidRPr="00BD0D2E">
        <w:rPr>
          <w:rtl/>
        </w:rPr>
        <w:t xml:space="preserve"> شش جهت حدست و ب</w:t>
      </w:r>
      <w:r w:rsidRPr="00BD0D2E">
        <w:rPr>
          <w:rFonts w:hint="cs"/>
          <w:rtl/>
        </w:rPr>
        <w:t>ی</w:t>
      </w:r>
      <w:r w:rsidRPr="00BD0D2E">
        <w:rPr>
          <w:rFonts w:hint="eastAsia"/>
          <w:rtl/>
        </w:rPr>
        <w:t>رون</w:t>
      </w:r>
      <w:r w:rsidRPr="00BD0D2E">
        <w:rPr>
          <w:rtl/>
        </w:rPr>
        <w:t xml:space="preserve"> راه ن</w:t>
      </w:r>
      <w:r w:rsidRPr="00BD0D2E">
        <w:rPr>
          <w:rFonts w:hint="cs"/>
          <w:rtl/>
        </w:rPr>
        <w:t>ی</w:t>
      </w:r>
      <w:r w:rsidRPr="00BD0D2E">
        <w:rPr>
          <w:rFonts w:hint="eastAsia"/>
          <w:rtl/>
        </w:rPr>
        <w:t>ست</w:t>
      </w:r>
    </w:p>
    <w:p w14:paraId="41DC43A7" w14:textId="77777777" w:rsidR="0034640B" w:rsidRPr="00BD0D2E" w:rsidRDefault="0034640B" w:rsidP="009C2F96">
      <w:pPr>
        <w:jc w:val="center"/>
      </w:pPr>
      <w:r w:rsidRPr="00BD0D2E">
        <w:rPr>
          <w:rFonts w:hint="eastAsia"/>
          <w:rtl/>
        </w:rPr>
        <w:t>عشق</w:t>
      </w:r>
      <w:r w:rsidRPr="00BD0D2E">
        <w:rPr>
          <w:rtl/>
        </w:rPr>
        <w:t xml:space="preserve"> گو</w:t>
      </w:r>
      <w:r w:rsidRPr="00BD0D2E">
        <w:rPr>
          <w:rFonts w:hint="cs"/>
          <w:rtl/>
        </w:rPr>
        <w:t>ی</w:t>
      </w:r>
      <w:r w:rsidRPr="00BD0D2E">
        <w:rPr>
          <w:rFonts w:hint="eastAsia"/>
          <w:rtl/>
        </w:rPr>
        <w:t>د</w:t>
      </w:r>
      <w:r w:rsidRPr="00BD0D2E">
        <w:rPr>
          <w:rtl/>
        </w:rPr>
        <w:t xml:space="preserve"> راه هست و رفته‌ام من بارها</w:t>
      </w:r>
    </w:p>
    <w:p w14:paraId="3A1C3868" w14:textId="77777777" w:rsidR="0034640B" w:rsidRPr="00CE60CF" w:rsidRDefault="0034640B" w:rsidP="009C2F96">
      <w:pPr>
        <w:jc w:val="center"/>
      </w:pPr>
      <w:proofErr w:type="spellStart"/>
      <w:r w:rsidRPr="00CE60CF">
        <w:t>Intellect</w:t>
      </w:r>
      <w:proofErr w:type="spellEnd"/>
      <w:r w:rsidRPr="00CE60CF">
        <w:t xml:space="preserve"> </w:t>
      </w:r>
      <w:proofErr w:type="spellStart"/>
      <w:r w:rsidRPr="00CE60CF">
        <w:t>says</w:t>
      </w:r>
      <w:proofErr w:type="spellEnd"/>
      <w:r w:rsidRPr="00CE60CF">
        <w:t xml:space="preserve"> </w:t>
      </w:r>
      <w:proofErr w:type="spellStart"/>
      <w:r w:rsidRPr="00CE60CF">
        <w:t>six</w:t>
      </w:r>
      <w:proofErr w:type="spellEnd"/>
      <w:r w:rsidRPr="00CE60CF">
        <w:t xml:space="preserve"> </w:t>
      </w:r>
      <w:proofErr w:type="spellStart"/>
      <w:r w:rsidRPr="00CE60CF">
        <w:t>directions</w:t>
      </w:r>
      <w:proofErr w:type="spellEnd"/>
      <w:r w:rsidRPr="00CE60CF">
        <w:t xml:space="preserve"> </w:t>
      </w:r>
      <w:proofErr w:type="spellStart"/>
      <w:r>
        <w:t>are</w:t>
      </w:r>
      <w:proofErr w:type="spellEnd"/>
      <w:r>
        <w:t xml:space="preserve"> </w:t>
      </w:r>
      <w:proofErr w:type="spellStart"/>
      <w:r>
        <w:t>the</w:t>
      </w:r>
      <w:proofErr w:type="spellEnd"/>
      <w:r>
        <w:t xml:space="preserve"> </w:t>
      </w:r>
      <w:proofErr w:type="spellStart"/>
      <w:r>
        <w:t>boundary</w:t>
      </w:r>
      <w:proofErr w:type="spellEnd"/>
      <w:r>
        <w:t xml:space="preserve"> </w:t>
      </w:r>
      <w:proofErr w:type="spellStart"/>
      <w:r w:rsidRPr="00CE60CF">
        <w:t>and</w:t>
      </w:r>
      <w:proofErr w:type="spellEnd"/>
      <w:r w:rsidRPr="00CE60CF">
        <w:t xml:space="preserve"> </w:t>
      </w:r>
      <w:proofErr w:type="spellStart"/>
      <w:r>
        <w:t>there</w:t>
      </w:r>
      <w:proofErr w:type="spellEnd"/>
      <w:r>
        <w:t xml:space="preserve"> is </w:t>
      </w:r>
      <w:proofErr w:type="spellStart"/>
      <w:r w:rsidRPr="00CE60CF">
        <w:t>no</w:t>
      </w:r>
      <w:proofErr w:type="spellEnd"/>
      <w:r w:rsidRPr="00CE60CF">
        <w:t xml:space="preserve"> </w:t>
      </w:r>
      <w:proofErr w:type="spellStart"/>
      <w:r w:rsidRPr="00CE60CF">
        <w:t>way</w:t>
      </w:r>
      <w:proofErr w:type="spellEnd"/>
      <w:r w:rsidRPr="00CE60CF">
        <w:t xml:space="preserve"> </w:t>
      </w:r>
      <w:proofErr w:type="spellStart"/>
      <w:r w:rsidRPr="00CE60CF">
        <w:t>out</w:t>
      </w:r>
      <w:proofErr w:type="spellEnd"/>
      <w:r w:rsidRPr="00CE60CF">
        <w:t>.</w:t>
      </w:r>
    </w:p>
    <w:p w14:paraId="67ACC658" w14:textId="77777777" w:rsidR="0034640B" w:rsidRDefault="0034640B" w:rsidP="009C2F96">
      <w:pPr>
        <w:jc w:val="center"/>
      </w:pPr>
      <w:proofErr w:type="spellStart"/>
      <w:r w:rsidRPr="00CE60CF">
        <w:t>Love</w:t>
      </w:r>
      <w:proofErr w:type="spellEnd"/>
      <w:r w:rsidRPr="00CE60CF">
        <w:t xml:space="preserve"> </w:t>
      </w:r>
      <w:proofErr w:type="spellStart"/>
      <w:r w:rsidRPr="00CE60CF">
        <w:t>says</w:t>
      </w:r>
      <w:proofErr w:type="spellEnd"/>
      <w:r w:rsidRPr="00CE60CF">
        <w:t xml:space="preserve"> </w:t>
      </w:r>
      <w:proofErr w:type="spellStart"/>
      <w:r w:rsidRPr="00CE60CF">
        <w:t>there</w:t>
      </w:r>
      <w:proofErr w:type="spellEnd"/>
      <w:r w:rsidRPr="00CE60CF">
        <w:t xml:space="preserve"> is a </w:t>
      </w:r>
      <w:proofErr w:type="spellStart"/>
      <w:r w:rsidRPr="00CE60CF">
        <w:t>way</w:t>
      </w:r>
      <w:proofErr w:type="spellEnd"/>
      <w:r w:rsidRPr="00CE60CF">
        <w:t xml:space="preserve"> </w:t>
      </w:r>
      <w:proofErr w:type="spellStart"/>
      <w:r w:rsidRPr="00CE60CF">
        <w:t>and</w:t>
      </w:r>
      <w:proofErr w:type="spellEnd"/>
      <w:r w:rsidRPr="00CE60CF">
        <w:t xml:space="preserve"> I </w:t>
      </w:r>
      <w:proofErr w:type="spellStart"/>
      <w:r w:rsidRPr="00CE60CF">
        <w:t>travelled</w:t>
      </w:r>
      <w:proofErr w:type="spellEnd"/>
      <w:r w:rsidRPr="00CE60CF">
        <w:t xml:space="preserve"> it </w:t>
      </w:r>
      <w:proofErr w:type="spellStart"/>
      <w:r w:rsidRPr="00CE60CF">
        <w:t>several</w:t>
      </w:r>
      <w:proofErr w:type="spellEnd"/>
      <w:r w:rsidRPr="00CE60CF">
        <w:t xml:space="preserve"> </w:t>
      </w:r>
      <w:proofErr w:type="spellStart"/>
      <w:r w:rsidRPr="00CE60CF">
        <w:t>times</w:t>
      </w:r>
      <w:proofErr w:type="spellEnd"/>
      <w:r w:rsidRPr="00CE60CF">
        <w:t>.</w:t>
      </w:r>
    </w:p>
    <w:p w14:paraId="34F3FA55" w14:textId="77777777" w:rsidR="009C2F96" w:rsidRPr="00CE60CF" w:rsidRDefault="009C2F96" w:rsidP="009C2F96">
      <w:pPr>
        <w:jc w:val="center"/>
      </w:pPr>
    </w:p>
    <w:p w14:paraId="6A4212A1" w14:textId="47A85A61" w:rsidR="0034640B" w:rsidRDefault="0034640B" w:rsidP="009C2F96">
      <w:pPr>
        <w:jc w:val="both"/>
      </w:pPr>
      <w:proofErr w:type="spellStart"/>
      <w:r>
        <w:t>In</w:t>
      </w:r>
      <w:proofErr w:type="spellEnd"/>
      <w:r>
        <w:t xml:space="preserve"> </w:t>
      </w:r>
      <w:proofErr w:type="spellStart"/>
      <w:r>
        <w:t>the</w:t>
      </w:r>
      <w:proofErr w:type="spellEnd"/>
      <w:r>
        <w:t xml:space="preserve"> </w:t>
      </w:r>
      <w:proofErr w:type="spellStart"/>
      <w:r>
        <w:t>second</w:t>
      </w:r>
      <w:proofErr w:type="spellEnd"/>
      <w:r>
        <w:t xml:space="preserve"> </w:t>
      </w:r>
      <w:proofErr w:type="spellStart"/>
      <w:r>
        <w:t>distich</w:t>
      </w:r>
      <w:proofErr w:type="spellEnd"/>
      <w:r>
        <w:t xml:space="preserve"> of his </w:t>
      </w:r>
      <w:proofErr w:type="spellStart"/>
      <w:r>
        <w:t>ghazal</w:t>
      </w:r>
      <w:proofErr w:type="spellEnd"/>
      <w:r>
        <w:t xml:space="preserve">, </w:t>
      </w:r>
      <w:proofErr w:type="spellStart"/>
      <w:r w:rsidRPr="002B0DE3">
        <w:t>Rūmī</w:t>
      </w:r>
      <w:proofErr w:type="spellEnd"/>
      <w:r>
        <w:t xml:space="preserve"> </w:t>
      </w:r>
      <w:proofErr w:type="spellStart"/>
      <w:r>
        <w:t>introduces</w:t>
      </w:r>
      <w:proofErr w:type="spellEnd"/>
      <w:r>
        <w:t xml:space="preserve"> his </w:t>
      </w:r>
      <w:proofErr w:type="spellStart"/>
      <w:r>
        <w:t>audience</w:t>
      </w:r>
      <w:proofErr w:type="spellEnd"/>
      <w:r>
        <w:t xml:space="preserve"> </w:t>
      </w:r>
      <w:proofErr w:type="spellStart"/>
      <w:r>
        <w:t>to</w:t>
      </w:r>
      <w:proofErr w:type="spellEnd"/>
      <w:r>
        <w:t xml:space="preserve"> </w:t>
      </w:r>
      <w:proofErr w:type="spellStart"/>
      <w:r>
        <w:t>the</w:t>
      </w:r>
      <w:proofErr w:type="spellEnd"/>
      <w:r>
        <w:t xml:space="preserve"> </w:t>
      </w:r>
      <w:proofErr w:type="spellStart"/>
      <w:r>
        <w:t>concept</w:t>
      </w:r>
      <w:proofErr w:type="spellEnd"/>
      <w:r>
        <w:t xml:space="preserve"> of </w:t>
      </w:r>
      <w:proofErr w:type="spellStart"/>
      <w:r>
        <w:t>intellect</w:t>
      </w:r>
      <w:proofErr w:type="spellEnd"/>
      <w:r>
        <w:t xml:space="preserve"> </w:t>
      </w:r>
      <w:proofErr w:type="spellStart"/>
      <w:r>
        <w:t>vis</w:t>
      </w:r>
      <w:proofErr w:type="spellEnd"/>
      <w:r>
        <w:t>-a-</w:t>
      </w:r>
      <w:proofErr w:type="spellStart"/>
      <w:r>
        <w:t>vis</w:t>
      </w:r>
      <w:proofErr w:type="spellEnd"/>
      <w:r>
        <w:t xml:space="preserve"> </w:t>
      </w:r>
      <w:proofErr w:type="spellStart"/>
      <w:r>
        <w:t>love</w:t>
      </w:r>
      <w:proofErr w:type="spellEnd"/>
      <w:r>
        <w:t xml:space="preserve"> </w:t>
      </w:r>
      <w:proofErr w:type="spellStart"/>
      <w:r>
        <w:t>and</w:t>
      </w:r>
      <w:proofErr w:type="spellEnd"/>
      <w:r>
        <w:t xml:space="preserve"> </w:t>
      </w:r>
      <w:proofErr w:type="spellStart"/>
      <w:r>
        <w:t>provides</w:t>
      </w:r>
      <w:proofErr w:type="spellEnd"/>
      <w:r>
        <w:t xml:space="preserve"> an </w:t>
      </w:r>
      <w:proofErr w:type="spellStart"/>
      <w:r w:rsidRPr="00C01C26">
        <w:t>unequivocal</w:t>
      </w:r>
      <w:proofErr w:type="spellEnd"/>
      <w:r>
        <w:t xml:space="preserve"> </w:t>
      </w:r>
      <w:proofErr w:type="spellStart"/>
      <w:r>
        <w:t>comparison</w:t>
      </w:r>
      <w:proofErr w:type="spellEnd"/>
      <w:r>
        <w:t xml:space="preserve"> of </w:t>
      </w:r>
      <w:proofErr w:type="spellStart"/>
      <w:r>
        <w:t>the</w:t>
      </w:r>
      <w:proofErr w:type="spellEnd"/>
      <w:r>
        <w:t xml:space="preserve"> two </w:t>
      </w:r>
      <w:proofErr w:type="spellStart"/>
      <w:r>
        <w:t>concepts</w:t>
      </w:r>
      <w:proofErr w:type="spellEnd"/>
      <w:r>
        <w:t xml:space="preserve">. </w:t>
      </w:r>
      <w:proofErr w:type="spellStart"/>
      <w:r>
        <w:t>According</w:t>
      </w:r>
      <w:proofErr w:type="spellEnd"/>
      <w:r>
        <w:t xml:space="preserve"> </w:t>
      </w:r>
      <w:proofErr w:type="spellStart"/>
      <w:r>
        <w:t>to</w:t>
      </w:r>
      <w:proofErr w:type="spellEnd"/>
      <w:r>
        <w:t xml:space="preserve"> </w:t>
      </w:r>
      <w:proofErr w:type="spellStart"/>
      <w:r w:rsidRPr="002B0DE3">
        <w:t>Rūmī</w:t>
      </w:r>
      <w:proofErr w:type="spellEnd"/>
      <w:r>
        <w:t xml:space="preserve">, </w:t>
      </w:r>
      <w:proofErr w:type="spellStart"/>
      <w:r>
        <w:t>the</w:t>
      </w:r>
      <w:proofErr w:type="spellEnd"/>
      <w:r>
        <w:t xml:space="preserve"> role of </w:t>
      </w:r>
      <w:proofErr w:type="spellStart"/>
      <w:r>
        <w:t>intellect</w:t>
      </w:r>
      <w:proofErr w:type="spellEnd"/>
      <w:r>
        <w:t xml:space="preserve"> is </w:t>
      </w:r>
      <w:proofErr w:type="spellStart"/>
      <w:r>
        <w:t>to</w:t>
      </w:r>
      <w:proofErr w:type="spellEnd"/>
      <w:r>
        <w:t xml:space="preserve"> put </w:t>
      </w:r>
      <w:proofErr w:type="spellStart"/>
      <w:r>
        <w:t>forward</w:t>
      </w:r>
      <w:proofErr w:type="spellEnd"/>
      <w:r>
        <w:t xml:space="preserve"> an </w:t>
      </w:r>
      <w:proofErr w:type="spellStart"/>
      <w:r>
        <w:t>incomplete</w:t>
      </w:r>
      <w:proofErr w:type="spellEnd"/>
      <w:r>
        <w:t xml:space="preserve"> </w:t>
      </w:r>
      <w:proofErr w:type="spellStart"/>
      <w:r>
        <w:t>vision</w:t>
      </w:r>
      <w:proofErr w:type="spellEnd"/>
      <w:r>
        <w:t xml:space="preserve"> of </w:t>
      </w:r>
      <w:proofErr w:type="spellStart"/>
      <w:r>
        <w:t>the</w:t>
      </w:r>
      <w:proofErr w:type="spellEnd"/>
      <w:r>
        <w:t xml:space="preserve"> </w:t>
      </w:r>
      <w:proofErr w:type="spellStart"/>
      <w:r>
        <w:t>universe</w:t>
      </w:r>
      <w:proofErr w:type="spellEnd"/>
      <w:r>
        <w:t xml:space="preserve"> </w:t>
      </w:r>
      <w:proofErr w:type="spellStart"/>
      <w:r>
        <w:t>that</w:t>
      </w:r>
      <w:proofErr w:type="spellEnd"/>
      <w:r>
        <w:t xml:space="preserve"> </w:t>
      </w:r>
      <w:proofErr w:type="spellStart"/>
      <w:r>
        <w:t>rejects</w:t>
      </w:r>
      <w:proofErr w:type="spellEnd"/>
      <w:r>
        <w:t xml:space="preserve"> </w:t>
      </w:r>
      <w:proofErr w:type="spellStart"/>
      <w:r>
        <w:t>the</w:t>
      </w:r>
      <w:proofErr w:type="spellEnd"/>
      <w:r>
        <w:t xml:space="preserve"> </w:t>
      </w:r>
      <w:proofErr w:type="spellStart"/>
      <w:r>
        <w:t>unseen</w:t>
      </w:r>
      <w:proofErr w:type="spellEnd"/>
      <w:r>
        <w:t xml:space="preserve">, </w:t>
      </w:r>
      <w:proofErr w:type="spellStart"/>
      <w:r>
        <w:t>thus</w:t>
      </w:r>
      <w:proofErr w:type="spellEnd"/>
      <w:r>
        <w:t xml:space="preserve"> </w:t>
      </w:r>
      <w:proofErr w:type="spellStart"/>
      <w:r>
        <w:t>keeping</w:t>
      </w:r>
      <w:proofErr w:type="spellEnd"/>
      <w:r>
        <w:t xml:space="preserve"> </w:t>
      </w:r>
      <w:proofErr w:type="spellStart"/>
      <w:r>
        <w:t>the</w:t>
      </w:r>
      <w:proofErr w:type="spellEnd"/>
      <w:r>
        <w:t xml:space="preserve"> </w:t>
      </w:r>
      <w:proofErr w:type="spellStart"/>
      <w:r>
        <w:t>person</w:t>
      </w:r>
      <w:proofErr w:type="spellEnd"/>
      <w:r>
        <w:t xml:space="preserve"> </w:t>
      </w:r>
      <w:proofErr w:type="spellStart"/>
      <w:r>
        <w:t>from</w:t>
      </w:r>
      <w:proofErr w:type="spellEnd"/>
      <w:r>
        <w:t xml:space="preserve"> </w:t>
      </w:r>
      <w:proofErr w:type="spellStart"/>
      <w:r>
        <w:t>accessing</w:t>
      </w:r>
      <w:proofErr w:type="spellEnd"/>
      <w:r>
        <w:t xml:space="preserve"> </w:t>
      </w:r>
      <w:proofErr w:type="spellStart"/>
      <w:r>
        <w:t>the</w:t>
      </w:r>
      <w:proofErr w:type="spellEnd"/>
      <w:r>
        <w:t xml:space="preserve"> </w:t>
      </w:r>
      <w:proofErr w:type="spellStart"/>
      <w:r>
        <w:t>spiritual</w:t>
      </w:r>
      <w:proofErr w:type="spellEnd"/>
      <w:r>
        <w:t xml:space="preserve"> </w:t>
      </w:r>
      <w:proofErr w:type="spellStart"/>
      <w:r>
        <w:t>realm</w:t>
      </w:r>
      <w:proofErr w:type="spellEnd"/>
      <w:r>
        <w:t xml:space="preserve">. </w:t>
      </w:r>
      <w:proofErr w:type="spellStart"/>
      <w:r>
        <w:t>Love</w:t>
      </w:r>
      <w:proofErr w:type="spellEnd"/>
      <w:r>
        <w:t xml:space="preserve">, on </w:t>
      </w:r>
      <w:proofErr w:type="spellStart"/>
      <w:r>
        <w:t>the</w:t>
      </w:r>
      <w:proofErr w:type="spellEnd"/>
      <w:r>
        <w:t xml:space="preserve"> </w:t>
      </w:r>
      <w:proofErr w:type="spellStart"/>
      <w:r>
        <w:t>other</w:t>
      </w:r>
      <w:proofErr w:type="spellEnd"/>
      <w:r>
        <w:t xml:space="preserve"> </w:t>
      </w:r>
      <w:proofErr w:type="spellStart"/>
      <w:r>
        <w:t>hand</w:t>
      </w:r>
      <w:proofErr w:type="spellEnd"/>
      <w:r>
        <w:t xml:space="preserve">, </w:t>
      </w:r>
      <w:proofErr w:type="spellStart"/>
      <w:r>
        <w:t>provides</w:t>
      </w:r>
      <w:proofErr w:type="spellEnd"/>
      <w:r>
        <w:t xml:space="preserve"> a </w:t>
      </w:r>
      <w:proofErr w:type="spellStart"/>
      <w:r>
        <w:t>more</w:t>
      </w:r>
      <w:proofErr w:type="spellEnd"/>
      <w:r>
        <w:t xml:space="preserve"> </w:t>
      </w:r>
      <w:proofErr w:type="spellStart"/>
      <w:r>
        <w:t>complete</w:t>
      </w:r>
      <w:proofErr w:type="spellEnd"/>
      <w:r>
        <w:t xml:space="preserve"> </w:t>
      </w:r>
      <w:proofErr w:type="spellStart"/>
      <w:r>
        <w:t>vision</w:t>
      </w:r>
      <w:proofErr w:type="spellEnd"/>
      <w:r>
        <w:t xml:space="preserve"> </w:t>
      </w:r>
      <w:proofErr w:type="spellStart"/>
      <w:r>
        <w:t>that</w:t>
      </w:r>
      <w:proofErr w:type="spellEnd"/>
      <w:r>
        <w:t xml:space="preserve"> </w:t>
      </w:r>
      <w:proofErr w:type="spellStart"/>
      <w:r>
        <w:t>acnowledges</w:t>
      </w:r>
      <w:proofErr w:type="spellEnd"/>
      <w:r>
        <w:t xml:space="preserve"> </w:t>
      </w:r>
      <w:proofErr w:type="spellStart"/>
      <w:r>
        <w:t>there</w:t>
      </w:r>
      <w:proofErr w:type="spellEnd"/>
      <w:r>
        <w:t xml:space="preserve"> is </w:t>
      </w:r>
      <w:proofErr w:type="spellStart"/>
      <w:r>
        <w:t>more</w:t>
      </w:r>
      <w:proofErr w:type="spellEnd"/>
      <w:r>
        <w:t xml:space="preserve"> </w:t>
      </w:r>
      <w:proofErr w:type="spellStart"/>
      <w:r>
        <w:t>to</w:t>
      </w:r>
      <w:proofErr w:type="spellEnd"/>
      <w:r>
        <w:t xml:space="preserve"> </w:t>
      </w:r>
      <w:proofErr w:type="spellStart"/>
      <w:r>
        <w:t>the</w:t>
      </w:r>
      <w:proofErr w:type="spellEnd"/>
      <w:r>
        <w:t xml:space="preserve"> </w:t>
      </w:r>
      <w:proofErr w:type="spellStart"/>
      <w:r>
        <w:t>universe</w:t>
      </w:r>
      <w:proofErr w:type="spellEnd"/>
      <w:r>
        <w:t xml:space="preserve"> </w:t>
      </w:r>
      <w:proofErr w:type="spellStart"/>
      <w:r>
        <w:t>than</w:t>
      </w:r>
      <w:proofErr w:type="spellEnd"/>
      <w:r>
        <w:t xml:space="preserve"> </w:t>
      </w:r>
      <w:proofErr w:type="spellStart"/>
      <w:r>
        <w:t>what</w:t>
      </w:r>
      <w:proofErr w:type="spellEnd"/>
      <w:r>
        <w:t xml:space="preserve"> </w:t>
      </w:r>
      <w:proofErr w:type="spellStart"/>
      <w:r>
        <w:t>we</w:t>
      </w:r>
      <w:proofErr w:type="spellEnd"/>
      <w:r>
        <w:t xml:space="preserve"> </w:t>
      </w:r>
      <w:proofErr w:type="spellStart"/>
      <w:r>
        <w:t>are</w:t>
      </w:r>
      <w:proofErr w:type="spellEnd"/>
      <w:r>
        <w:t xml:space="preserve"> </w:t>
      </w:r>
      <w:proofErr w:type="spellStart"/>
      <w:r>
        <w:t>able</w:t>
      </w:r>
      <w:proofErr w:type="spellEnd"/>
      <w:r>
        <w:t xml:space="preserve"> </w:t>
      </w:r>
      <w:proofErr w:type="spellStart"/>
      <w:r>
        <w:t>to</w:t>
      </w:r>
      <w:proofErr w:type="spellEnd"/>
      <w:r>
        <w:t xml:space="preserve"> </w:t>
      </w:r>
      <w:proofErr w:type="spellStart"/>
      <w:r>
        <w:t>perceive</w:t>
      </w:r>
      <w:proofErr w:type="spellEnd"/>
      <w:r>
        <w:t xml:space="preserve"> </w:t>
      </w:r>
      <w:proofErr w:type="spellStart"/>
      <w:r>
        <w:t>through</w:t>
      </w:r>
      <w:proofErr w:type="spellEnd"/>
      <w:r>
        <w:t xml:space="preserve"> </w:t>
      </w:r>
      <w:proofErr w:type="spellStart"/>
      <w:r>
        <w:t>senses</w:t>
      </w:r>
      <w:proofErr w:type="spellEnd"/>
      <w:r>
        <w:t xml:space="preserve"> </w:t>
      </w:r>
      <w:proofErr w:type="spellStart"/>
      <w:r>
        <w:t>and</w:t>
      </w:r>
      <w:proofErr w:type="spellEnd"/>
      <w:r>
        <w:t xml:space="preserve"> </w:t>
      </w:r>
      <w:proofErr w:type="spellStart"/>
      <w:r>
        <w:t>reason</w:t>
      </w:r>
      <w:proofErr w:type="spellEnd"/>
      <w:r>
        <w:t>.</w:t>
      </w:r>
    </w:p>
    <w:p w14:paraId="7991243C" w14:textId="77777777" w:rsidR="009C2F96" w:rsidRPr="00BD0D2E" w:rsidRDefault="009C2F96" w:rsidP="009C2F96">
      <w:pPr>
        <w:jc w:val="both"/>
      </w:pPr>
    </w:p>
    <w:p w14:paraId="03D1A394" w14:textId="77777777" w:rsidR="0034640B" w:rsidRPr="00BD0D2E" w:rsidRDefault="0034640B" w:rsidP="009C2F96">
      <w:pPr>
        <w:jc w:val="center"/>
      </w:pPr>
      <w:r w:rsidRPr="00BD0D2E">
        <w:rPr>
          <w:rFonts w:hint="eastAsia"/>
          <w:rtl/>
        </w:rPr>
        <w:t>عقل</w:t>
      </w:r>
      <w:r w:rsidRPr="00BD0D2E">
        <w:rPr>
          <w:rtl/>
        </w:rPr>
        <w:t xml:space="preserve"> بازار</w:t>
      </w:r>
      <w:r w:rsidRPr="00BD0D2E">
        <w:rPr>
          <w:rFonts w:hint="cs"/>
          <w:rtl/>
        </w:rPr>
        <w:t>ی</w:t>
      </w:r>
      <w:r w:rsidRPr="00BD0D2E">
        <w:rPr>
          <w:rtl/>
        </w:rPr>
        <w:t xml:space="preserve"> بد</w:t>
      </w:r>
      <w:r w:rsidRPr="00BD0D2E">
        <w:rPr>
          <w:rFonts w:hint="cs"/>
          <w:rtl/>
        </w:rPr>
        <w:t>ی</w:t>
      </w:r>
      <w:r w:rsidRPr="00BD0D2E">
        <w:rPr>
          <w:rFonts w:hint="eastAsia"/>
          <w:rtl/>
        </w:rPr>
        <w:t>د</w:t>
      </w:r>
      <w:r w:rsidRPr="00BD0D2E">
        <w:rPr>
          <w:rtl/>
        </w:rPr>
        <w:t xml:space="preserve"> و تاجر</w:t>
      </w:r>
      <w:r w:rsidRPr="00BD0D2E">
        <w:rPr>
          <w:rFonts w:hint="cs"/>
          <w:rtl/>
        </w:rPr>
        <w:t>ی</w:t>
      </w:r>
      <w:r w:rsidRPr="00BD0D2E">
        <w:rPr>
          <w:rtl/>
        </w:rPr>
        <w:t xml:space="preserve"> آغاز کرد</w:t>
      </w:r>
    </w:p>
    <w:p w14:paraId="1C7D0643" w14:textId="77777777" w:rsidR="0034640B" w:rsidRDefault="0034640B" w:rsidP="009C2F96">
      <w:pPr>
        <w:jc w:val="center"/>
      </w:pPr>
      <w:r w:rsidRPr="00BD0D2E">
        <w:rPr>
          <w:rFonts w:hint="eastAsia"/>
          <w:rtl/>
        </w:rPr>
        <w:t>عشق</w:t>
      </w:r>
      <w:r w:rsidRPr="00BD0D2E">
        <w:rPr>
          <w:rtl/>
        </w:rPr>
        <w:t xml:space="preserve"> د</w:t>
      </w:r>
      <w:r w:rsidRPr="00BD0D2E">
        <w:rPr>
          <w:rFonts w:hint="cs"/>
          <w:rtl/>
        </w:rPr>
        <w:t>ی</w:t>
      </w:r>
      <w:r w:rsidRPr="00BD0D2E">
        <w:rPr>
          <w:rFonts w:hint="eastAsia"/>
          <w:rtl/>
        </w:rPr>
        <w:t>ده</w:t>
      </w:r>
      <w:r w:rsidRPr="00BD0D2E">
        <w:rPr>
          <w:rtl/>
        </w:rPr>
        <w:t xml:space="preserve"> زان سو</w:t>
      </w:r>
      <w:r w:rsidRPr="00BD0D2E">
        <w:rPr>
          <w:rFonts w:hint="cs"/>
          <w:rtl/>
        </w:rPr>
        <w:t>ی</w:t>
      </w:r>
      <w:r w:rsidRPr="00BD0D2E">
        <w:rPr>
          <w:rtl/>
        </w:rPr>
        <w:t xml:space="preserve"> بازار او بازارها</w:t>
      </w:r>
    </w:p>
    <w:p w14:paraId="0365F33D" w14:textId="77777777" w:rsidR="0034640B" w:rsidRPr="00CE60CF" w:rsidRDefault="0034640B" w:rsidP="009C2F96">
      <w:pPr>
        <w:jc w:val="center"/>
      </w:pPr>
      <w:proofErr w:type="spellStart"/>
      <w:r w:rsidRPr="00CE60CF">
        <w:t>The</w:t>
      </w:r>
      <w:proofErr w:type="spellEnd"/>
      <w:r w:rsidRPr="00CE60CF">
        <w:t xml:space="preserve"> </w:t>
      </w:r>
      <w:proofErr w:type="spellStart"/>
      <w:r w:rsidRPr="00CE60CF">
        <w:t>intellect</w:t>
      </w:r>
      <w:proofErr w:type="spellEnd"/>
      <w:r w:rsidRPr="00CE60CF">
        <w:t xml:space="preserve"> </w:t>
      </w:r>
      <w:proofErr w:type="spellStart"/>
      <w:r w:rsidRPr="00CE60CF">
        <w:t>saw</w:t>
      </w:r>
      <w:proofErr w:type="spellEnd"/>
      <w:r w:rsidRPr="00CE60CF">
        <w:t xml:space="preserve"> a </w:t>
      </w:r>
      <w:proofErr w:type="spellStart"/>
      <w:r w:rsidRPr="00CE60CF">
        <w:t>marketplace</w:t>
      </w:r>
      <w:proofErr w:type="spellEnd"/>
      <w:r w:rsidRPr="00CE60CF">
        <w:t xml:space="preserve"> </w:t>
      </w:r>
      <w:proofErr w:type="spellStart"/>
      <w:r w:rsidRPr="00CE60CF">
        <w:t>and</w:t>
      </w:r>
      <w:proofErr w:type="spellEnd"/>
      <w:r w:rsidRPr="00CE60CF">
        <w:t xml:space="preserve"> </w:t>
      </w:r>
      <w:proofErr w:type="spellStart"/>
      <w:r w:rsidRPr="00CE60CF">
        <w:t>started</w:t>
      </w:r>
      <w:proofErr w:type="spellEnd"/>
      <w:r w:rsidRPr="00CE60CF">
        <w:t xml:space="preserve"> a </w:t>
      </w:r>
      <w:proofErr w:type="spellStart"/>
      <w:r w:rsidRPr="00CE60CF">
        <w:t>trade</w:t>
      </w:r>
      <w:proofErr w:type="spellEnd"/>
      <w:r w:rsidRPr="00CE60CF">
        <w:t>.</w:t>
      </w:r>
    </w:p>
    <w:p w14:paraId="793115CB" w14:textId="77777777" w:rsidR="0034640B" w:rsidRDefault="0034640B" w:rsidP="009C2F96">
      <w:pPr>
        <w:jc w:val="center"/>
      </w:pPr>
      <w:proofErr w:type="spellStart"/>
      <w:r w:rsidRPr="00CE60CF">
        <w:t>Love</w:t>
      </w:r>
      <w:proofErr w:type="spellEnd"/>
      <w:r w:rsidRPr="00CE60CF">
        <w:t xml:space="preserve"> </w:t>
      </w:r>
      <w:proofErr w:type="spellStart"/>
      <w:r w:rsidRPr="00CE60CF">
        <w:t>saw</w:t>
      </w:r>
      <w:proofErr w:type="spellEnd"/>
      <w:r w:rsidRPr="00CE60CF">
        <w:t xml:space="preserve"> </w:t>
      </w:r>
      <w:proofErr w:type="spellStart"/>
      <w:r w:rsidRPr="00CE60CF">
        <w:t>beyond</w:t>
      </w:r>
      <w:proofErr w:type="spellEnd"/>
      <w:r w:rsidRPr="00CE60CF">
        <w:t xml:space="preserve"> </w:t>
      </w:r>
      <w:proofErr w:type="spellStart"/>
      <w:r w:rsidRPr="00CE60CF">
        <w:t>that</w:t>
      </w:r>
      <w:proofErr w:type="spellEnd"/>
      <w:r w:rsidRPr="00CE60CF">
        <w:t xml:space="preserve"> </w:t>
      </w:r>
      <w:proofErr w:type="spellStart"/>
      <w:r w:rsidRPr="00CE60CF">
        <w:t>marketplace</w:t>
      </w:r>
      <w:proofErr w:type="spellEnd"/>
      <w:r w:rsidRPr="00CE60CF">
        <w:t>, (</w:t>
      </w:r>
      <w:proofErr w:type="spellStart"/>
      <w:r w:rsidRPr="00CE60CF">
        <w:t>several</w:t>
      </w:r>
      <w:proofErr w:type="spellEnd"/>
      <w:r w:rsidRPr="00CE60CF">
        <w:t xml:space="preserve"> </w:t>
      </w:r>
      <w:proofErr w:type="spellStart"/>
      <w:r w:rsidRPr="00CE60CF">
        <w:t>other</w:t>
      </w:r>
      <w:proofErr w:type="spellEnd"/>
      <w:r w:rsidRPr="00CE60CF">
        <w:t xml:space="preserve">) </w:t>
      </w:r>
      <w:proofErr w:type="spellStart"/>
      <w:r w:rsidRPr="00CE60CF">
        <w:t>marketplaces</w:t>
      </w:r>
      <w:proofErr w:type="spellEnd"/>
      <w:r w:rsidRPr="00CE60CF">
        <w:t>.</w:t>
      </w:r>
    </w:p>
    <w:p w14:paraId="2CEE143F" w14:textId="77777777" w:rsidR="009C2F96" w:rsidRDefault="009C2F96" w:rsidP="009C2F96">
      <w:pPr>
        <w:jc w:val="center"/>
      </w:pPr>
    </w:p>
    <w:p w14:paraId="6B1DF425" w14:textId="20A0056B" w:rsidR="0034640B" w:rsidRDefault="0034640B" w:rsidP="009C2F96">
      <w:pPr>
        <w:jc w:val="both"/>
        <w:rPr>
          <w:color w:val="000000" w:themeColor="text1"/>
        </w:rPr>
      </w:pPr>
      <w:proofErr w:type="spellStart"/>
      <w:r>
        <w:t>The</w:t>
      </w:r>
      <w:proofErr w:type="spellEnd"/>
      <w:r>
        <w:t xml:space="preserve"> </w:t>
      </w:r>
      <w:proofErr w:type="spellStart"/>
      <w:r>
        <w:t>third</w:t>
      </w:r>
      <w:proofErr w:type="spellEnd"/>
      <w:r>
        <w:t xml:space="preserve"> </w:t>
      </w:r>
      <w:proofErr w:type="spellStart"/>
      <w:r>
        <w:t>distich</w:t>
      </w:r>
      <w:proofErr w:type="spellEnd"/>
      <w:r>
        <w:t xml:space="preserve"> </w:t>
      </w:r>
      <w:proofErr w:type="spellStart"/>
      <w:r>
        <w:t>expands</w:t>
      </w:r>
      <w:proofErr w:type="spellEnd"/>
      <w:r>
        <w:t xml:space="preserve"> </w:t>
      </w:r>
      <w:proofErr w:type="spellStart"/>
      <w:r>
        <w:t>upon</w:t>
      </w:r>
      <w:proofErr w:type="spellEnd"/>
      <w:r>
        <w:t xml:space="preserve"> </w:t>
      </w:r>
      <w:proofErr w:type="spellStart"/>
      <w:r>
        <w:t>the</w:t>
      </w:r>
      <w:proofErr w:type="spellEnd"/>
      <w:r>
        <w:t xml:space="preserve"> </w:t>
      </w:r>
      <w:proofErr w:type="spellStart"/>
      <w:r>
        <w:t>second</w:t>
      </w:r>
      <w:proofErr w:type="spellEnd"/>
      <w:r>
        <w:t xml:space="preserve"> </w:t>
      </w:r>
      <w:proofErr w:type="spellStart"/>
      <w:r>
        <w:t>by</w:t>
      </w:r>
      <w:proofErr w:type="spellEnd"/>
      <w:r>
        <w:t xml:space="preserve"> </w:t>
      </w:r>
      <w:proofErr w:type="spellStart"/>
      <w:r>
        <w:t>providing</w:t>
      </w:r>
      <w:proofErr w:type="spellEnd"/>
      <w:r>
        <w:t xml:space="preserve"> </w:t>
      </w:r>
      <w:proofErr w:type="spellStart"/>
      <w:r>
        <w:t>more</w:t>
      </w:r>
      <w:proofErr w:type="spellEnd"/>
      <w:r>
        <w:t xml:space="preserve"> </w:t>
      </w:r>
      <w:proofErr w:type="spellStart"/>
      <w:r>
        <w:t>detail</w:t>
      </w:r>
      <w:proofErr w:type="spellEnd"/>
      <w:r>
        <w:t xml:space="preserve"> on </w:t>
      </w:r>
      <w:proofErr w:type="spellStart"/>
      <w:r>
        <w:t>the</w:t>
      </w:r>
      <w:proofErr w:type="spellEnd"/>
      <w:r>
        <w:t xml:space="preserve"> </w:t>
      </w:r>
      <w:proofErr w:type="spellStart"/>
      <w:r>
        <w:t>different</w:t>
      </w:r>
      <w:proofErr w:type="spellEnd"/>
      <w:r>
        <w:t xml:space="preserve"> </w:t>
      </w:r>
      <w:proofErr w:type="spellStart"/>
      <w:r>
        <w:t>roles</w:t>
      </w:r>
      <w:proofErr w:type="spellEnd"/>
      <w:r>
        <w:t xml:space="preserve"> </w:t>
      </w:r>
      <w:proofErr w:type="spellStart"/>
      <w:r>
        <w:t>love</w:t>
      </w:r>
      <w:proofErr w:type="spellEnd"/>
      <w:r>
        <w:t xml:space="preserve"> </w:t>
      </w:r>
      <w:proofErr w:type="spellStart"/>
      <w:r>
        <w:t>and</w:t>
      </w:r>
      <w:proofErr w:type="spellEnd"/>
      <w:r>
        <w:t xml:space="preserve"> </w:t>
      </w:r>
      <w:proofErr w:type="spellStart"/>
      <w:r>
        <w:t>intellect</w:t>
      </w:r>
      <w:proofErr w:type="spellEnd"/>
      <w:r>
        <w:t xml:space="preserve"> </w:t>
      </w:r>
      <w:proofErr w:type="spellStart"/>
      <w:r>
        <w:t>play</w:t>
      </w:r>
      <w:proofErr w:type="spellEnd"/>
      <w:r>
        <w:t xml:space="preserve"> in </w:t>
      </w:r>
      <w:proofErr w:type="spellStart"/>
      <w:r>
        <w:t>the</w:t>
      </w:r>
      <w:proofErr w:type="spellEnd"/>
      <w:r>
        <w:t xml:space="preserve"> </w:t>
      </w:r>
      <w:proofErr w:type="spellStart"/>
      <w:r>
        <w:t>person’s</w:t>
      </w:r>
      <w:proofErr w:type="spellEnd"/>
      <w:r>
        <w:t xml:space="preserve"> </w:t>
      </w:r>
      <w:proofErr w:type="spellStart"/>
      <w:r>
        <w:t>spiritual</w:t>
      </w:r>
      <w:proofErr w:type="spellEnd"/>
      <w:r>
        <w:t xml:space="preserve"> </w:t>
      </w:r>
      <w:proofErr w:type="spellStart"/>
      <w:r>
        <w:t>journey</w:t>
      </w:r>
      <w:proofErr w:type="spellEnd"/>
      <w:r>
        <w:t xml:space="preserve"> </w:t>
      </w:r>
      <w:proofErr w:type="spellStart"/>
      <w:r>
        <w:t>and</w:t>
      </w:r>
      <w:proofErr w:type="spellEnd"/>
      <w:r>
        <w:t xml:space="preserve"> </w:t>
      </w:r>
      <w:proofErr w:type="spellStart"/>
      <w:r>
        <w:t>the</w:t>
      </w:r>
      <w:proofErr w:type="spellEnd"/>
      <w:r>
        <w:t xml:space="preserve"> </w:t>
      </w:r>
      <w:proofErr w:type="spellStart"/>
      <w:r>
        <w:t>consequences</w:t>
      </w:r>
      <w:proofErr w:type="spellEnd"/>
      <w:r>
        <w:t xml:space="preserve"> of </w:t>
      </w:r>
      <w:proofErr w:type="spellStart"/>
      <w:r>
        <w:t>those</w:t>
      </w:r>
      <w:proofErr w:type="spellEnd"/>
      <w:r>
        <w:t xml:space="preserve"> </w:t>
      </w:r>
      <w:proofErr w:type="spellStart"/>
      <w:r>
        <w:t>respective</w:t>
      </w:r>
      <w:proofErr w:type="spellEnd"/>
      <w:r>
        <w:t xml:space="preserve"> </w:t>
      </w:r>
      <w:proofErr w:type="spellStart"/>
      <w:r>
        <w:t>roles</w:t>
      </w:r>
      <w:proofErr w:type="spellEnd"/>
      <w:r>
        <w:t xml:space="preserve">. </w:t>
      </w:r>
      <w:proofErr w:type="spellStart"/>
      <w:r>
        <w:t>The</w:t>
      </w:r>
      <w:proofErr w:type="spellEnd"/>
      <w:r>
        <w:t xml:space="preserve"> </w:t>
      </w:r>
      <w:proofErr w:type="spellStart"/>
      <w:r>
        <w:t>intellect</w:t>
      </w:r>
      <w:proofErr w:type="spellEnd"/>
      <w:r>
        <w:t xml:space="preserve"> is </w:t>
      </w:r>
      <w:proofErr w:type="spellStart"/>
      <w:r>
        <w:t>only</w:t>
      </w:r>
      <w:proofErr w:type="spellEnd"/>
      <w:r>
        <w:t xml:space="preserve"> </w:t>
      </w:r>
      <w:proofErr w:type="spellStart"/>
      <w:r>
        <w:t>able</w:t>
      </w:r>
      <w:proofErr w:type="spellEnd"/>
      <w:r>
        <w:t xml:space="preserve"> </w:t>
      </w:r>
      <w:proofErr w:type="spellStart"/>
      <w:r>
        <w:t>to</w:t>
      </w:r>
      <w:proofErr w:type="spellEnd"/>
      <w:r>
        <w:t xml:space="preserve"> </w:t>
      </w:r>
      <w:proofErr w:type="spellStart"/>
      <w:r>
        <w:t>perceive</w:t>
      </w:r>
      <w:proofErr w:type="spellEnd"/>
      <w:r>
        <w:t xml:space="preserve"> </w:t>
      </w:r>
      <w:proofErr w:type="spellStart"/>
      <w:r>
        <w:t>the</w:t>
      </w:r>
      <w:proofErr w:type="spellEnd"/>
      <w:r>
        <w:t xml:space="preserve"> </w:t>
      </w:r>
      <w:proofErr w:type="spellStart"/>
      <w:r>
        <w:t>most</w:t>
      </w:r>
      <w:proofErr w:type="spellEnd"/>
      <w:r>
        <w:t xml:space="preserve"> </w:t>
      </w:r>
      <w:proofErr w:type="spellStart"/>
      <w:r>
        <w:t>immediate</w:t>
      </w:r>
      <w:proofErr w:type="spellEnd"/>
      <w:r>
        <w:t xml:space="preserve"> </w:t>
      </w:r>
      <w:proofErr w:type="spellStart"/>
      <w:r>
        <w:t>layer</w:t>
      </w:r>
      <w:proofErr w:type="spellEnd"/>
      <w:r>
        <w:t xml:space="preserve"> of </w:t>
      </w:r>
      <w:proofErr w:type="spellStart"/>
      <w:r>
        <w:t>reality</w:t>
      </w:r>
      <w:proofErr w:type="spellEnd"/>
      <w:r>
        <w:t xml:space="preserve"> </w:t>
      </w:r>
      <w:proofErr w:type="spellStart"/>
      <w:r>
        <w:t>and</w:t>
      </w:r>
      <w:proofErr w:type="spellEnd"/>
      <w:r>
        <w:t xml:space="preserve"> </w:t>
      </w:r>
      <w:proofErr w:type="spellStart"/>
      <w:r>
        <w:t>directs</w:t>
      </w:r>
      <w:proofErr w:type="spellEnd"/>
      <w:r>
        <w:t xml:space="preserve"> </w:t>
      </w:r>
      <w:proofErr w:type="spellStart"/>
      <w:r>
        <w:t>the</w:t>
      </w:r>
      <w:proofErr w:type="spellEnd"/>
      <w:r>
        <w:t xml:space="preserve"> </w:t>
      </w:r>
      <w:proofErr w:type="spellStart"/>
      <w:r>
        <w:t>person</w:t>
      </w:r>
      <w:proofErr w:type="spellEnd"/>
      <w:r>
        <w:t xml:space="preserve"> </w:t>
      </w:r>
      <w:proofErr w:type="spellStart"/>
      <w:r>
        <w:t>to</w:t>
      </w:r>
      <w:proofErr w:type="spellEnd"/>
      <w:r>
        <w:t xml:space="preserve"> start </w:t>
      </w:r>
      <w:proofErr w:type="spellStart"/>
      <w:r>
        <w:t>striving</w:t>
      </w:r>
      <w:proofErr w:type="spellEnd"/>
      <w:r>
        <w:t xml:space="preserve"> </w:t>
      </w:r>
      <w:proofErr w:type="spellStart"/>
      <w:r>
        <w:t>within</w:t>
      </w:r>
      <w:proofErr w:type="spellEnd"/>
      <w:r>
        <w:t xml:space="preserve"> </w:t>
      </w:r>
      <w:proofErr w:type="spellStart"/>
      <w:r>
        <w:t>the</w:t>
      </w:r>
      <w:proofErr w:type="spellEnd"/>
      <w:r>
        <w:t xml:space="preserve"> </w:t>
      </w:r>
      <w:proofErr w:type="spellStart"/>
      <w:r>
        <w:t>confines</w:t>
      </w:r>
      <w:proofErr w:type="spellEnd"/>
      <w:r>
        <w:t xml:space="preserve"> of </w:t>
      </w:r>
      <w:proofErr w:type="spellStart"/>
      <w:r>
        <w:t>what</w:t>
      </w:r>
      <w:proofErr w:type="spellEnd"/>
      <w:r>
        <w:t xml:space="preserve"> it </w:t>
      </w:r>
      <w:proofErr w:type="spellStart"/>
      <w:r>
        <w:t>thinks</w:t>
      </w:r>
      <w:proofErr w:type="spellEnd"/>
      <w:r>
        <w:t xml:space="preserve"> is </w:t>
      </w:r>
      <w:proofErr w:type="spellStart"/>
      <w:r>
        <w:t>the</w:t>
      </w:r>
      <w:proofErr w:type="spellEnd"/>
      <w:r>
        <w:t xml:space="preserve"> </w:t>
      </w:r>
      <w:proofErr w:type="spellStart"/>
      <w:r>
        <w:t>entirety</w:t>
      </w:r>
      <w:proofErr w:type="spellEnd"/>
      <w:r>
        <w:t xml:space="preserve"> of </w:t>
      </w:r>
      <w:proofErr w:type="spellStart"/>
      <w:r>
        <w:t>the</w:t>
      </w:r>
      <w:proofErr w:type="spellEnd"/>
      <w:r>
        <w:t xml:space="preserve"> </w:t>
      </w:r>
      <w:proofErr w:type="spellStart"/>
      <w:r>
        <w:t>truth</w:t>
      </w:r>
      <w:proofErr w:type="spellEnd"/>
      <w:r>
        <w:t xml:space="preserve">. </w:t>
      </w:r>
      <w:proofErr w:type="spellStart"/>
      <w:r>
        <w:t>This</w:t>
      </w:r>
      <w:proofErr w:type="spellEnd"/>
      <w:r>
        <w:t xml:space="preserve"> </w:t>
      </w:r>
      <w:proofErr w:type="spellStart"/>
      <w:r>
        <w:t>approach</w:t>
      </w:r>
      <w:proofErr w:type="spellEnd"/>
      <w:r>
        <w:t xml:space="preserve"> can </w:t>
      </w:r>
      <w:proofErr w:type="spellStart"/>
      <w:r>
        <w:t>result</w:t>
      </w:r>
      <w:proofErr w:type="spellEnd"/>
      <w:r>
        <w:t xml:space="preserve"> in </w:t>
      </w:r>
      <w:proofErr w:type="spellStart"/>
      <w:r>
        <w:t>quick</w:t>
      </w:r>
      <w:proofErr w:type="spellEnd"/>
      <w:r>
        <w:t xml:space="preserve"> </w:t>
      </w:r>
      <w:proofErr w:type="spellStart"/>
      <w:r>
        <w:t>gains</w:t>
      </w:r>
      <w:proofErr w:type="spellEnd"/>
      <w:r>
        <w:t xml:space="preserve"> but </w:t>
      </w:r>
      <w:proofErr w:type="spellStart"/>
      <w:r>
        <w:t>compared</w:t>
      </w:r>
      <w:proofErr w:type="spellEnd"/>
      <w:r>
        <w:t xml:space="preserve"> </w:t>
      </w:r>
      <w:proofErr w:type="spellStart"/>
      <w:r>
        <w:t>to</w:t>
      </w:r>
      <w:proofErr w:type="spellEnd"/>
      <w:r>
        <w:t xml:space="preserve"> </w:t>
      </w:r>
      <w:proofErr w:type="spellStart"/>
      <w:r>
        <w:t>what</w:t>
      </w:r>
      <w:proofErr w:type="spellEnd"/>
      <w:r>
        <w:t xml:space="preserve"> </w:t>
      </w:r>
      <w:proofErr w:type="spellStart"/>
      <w:r>
        <w:t>love</w:t>
      </w:r>
      <w:proofErr w:type="spellEnd"/>
      <w:r>
        <w:t xml:space="preserve"> </w:t>
      </w:r>
      <w:proofErr w:type="spellStart"/>
      <w:r>
        <w:t>offers</w:t>
      </w:r>
      <w:proofErr w:type="spellEnd"/>
      <w:r>
        <w:t xml:space="preserve">, </w:t>
      </w:r>
      <w:proofErr w:type="spellStart"/>
      <w:r>
        <w:t>the</w:t>
      </w:r>
      <w:proofErr w:type="spellEnd"/>
      <w:r>
        <w:t xml:space="preserve"> </w:t>
      </w:r>
      <w:proofErr w:type="spellStart"/>
      <w:r>
        <w:t>intellect’s</w:t>
      </w:r>
      <w:proofErr w:type="spellEnd"/>
      <w:r>
        <w:t xml:space="preserve"> </w:t>
      </w:r>
      <w:proofErr w:type="spellStart"/>
      <w:r>
        <w:t>achievements</w:t>
      </w:r>
      <w:proofErr w:type="spellEnd"/>
      <w:r>
        <w:t xml:space="preserve"> </w:t>
      </w:r>
      <w:proofErr w:type="spellStart"/>
      <w:r>
        <w:t>are</w:t>
      </w:r>
      <w:proofErr w:type="spellEnd"/>
      <w:r>
        <w:t xml:space="preserve"> </w:t>
      </w:r>
      <w:proofErr w:type="spellStart"/>
      <w:r>
        <w:t>null</w:t>
      </w:r>
      <w:proofErr w:type="spellEnd"/>
      <w:r>
        <w:t xml:space="preserve">. </w:t>
      </w:r>
      <w:proofErr w:type="spellStart"/>
      <w:r w:rsidRPr="00991A26">
        <w:rPr>
          <w:color w:val="000000" w:themeColor="text1"/>
        </w:rPr>
        <w:t>Indeed</w:t>
      </w:r>
      <w:proofErr w:type="spellEnd"/>
      <w:r w:rsidRPr="00991A26">
        <w:rPr>
          <w:color w:val="000000" w:themeColor="text1"/>
        </w:rPr>
        <w:t xml:space="preserve">, </w:t>
      </w:r>
      <w:proofErr w:type="spellStart"/>
      <w:r w:rsidRPr="00991A26">
        <w:rPr>
          <w:color w:val="000000" w:themeColor="text1"/>
        </w:rPr>
        <w:t>love</w:t>
      </w:r>
      <w:proofErr w:type="spellEnd"/>
      <w:r w:rsidRPr="00991A26">
        <w:rPr>
          <w:color w:val="000000" w:themeColor="text1"/>
        </w:rPr>
        <w:t xml:space="preserve"> </w:t>
      </w:r>
      <w:proofErr w:type="spellStart"/>
      <w:r w:rsidRPr="00991A26">
        <w:rPr>
          <w:color w:val="000000" w:themeColor="text1"/>
        </w:rPr>
        <w:t>allows</w:t>
      </w:r>
      <w:proofErr w:type="spellEnd"/>
      <w:r w:rsidRPr="00991A26">
        <w:rPr>
          <w:color w:val="000000" w:themeColor="text1"/>
        </w:rPr>
        <w:t xml:space="preserve"> </w:t>
      </w:r>
      <w:proofErr w:type="spellStart"/>
      <w:r w:rsidRPr="00991A26">
        <w:rPr>
          <w:color w:val="000000" w:themeColor="text1"/>
        </w:rPr>
        <w:t>for</w:t>
      </w:r>
      <w:proofErr w:type="spellEnd"/>
      <w:r w:rsidRPr="00991A26">
        <w:rPr>
          <w:color w:val="000000" w:themeColor="text1"/>
        </w:rPr>
        <w:t xml:space="preserve"> </w:t>
      </w:r>
      <w:proofErr w:type="spellStart"/>
      <w:r w:rsidRPr="00991A26">
        <w:rPr>
          <w:color w:val="000000" w:themeColor="text1"/>
        </w:rPr>
        <w:t>the</w:t>
      </w:r>
      <w:proofErr w:type="spellEnd"/>
      <w:r w:rsidRPr="00991A26">
        <w:rPr>
          <w:color w:val="000000" w:themeColor="text1"/>
        </w:rPr>
        <w:t xml:space="preserve"> </w:t>
      </w:r>
      <w:proofErr w:type="spellStart"/>
      <w:r w:rsidRPr="00991A26">
        <w:rPr>
          <w:color w:val="000000" w:themeColor="text1"/>
        </w:rPr>
        <w:t>perception</w:t>
      </w:r>
      <w:proofErr w:type="spellEnd"/>
      <w:r w:rsidRPr="00991A26">
        <w:rPr>
          <w:color w:val="000000" w:themeColor="text1"/>
        </w:rPr>
        <w:t xml:space="preserve"> of not </w:t>
      </w:r>
      <w:proofErr w:type="spellStart"/>
      <w:r w:rsidRPr="00991A26">
        <w:rPr>
          <w:color w:val="000000" w:themeColor="text1"/>
        </w:rPr>
        <w:t>only</w:t>
      </w:r>
      <w:proofErr w:type="spellEnd"/>
      <w:r w:rsidRPr="00991A26">
        <w:rPr>
          <w:color w:val="000000" w:themeColor="text1"/>
        </w:rPr>
        <w:t xml:space="preserve"> </w:t>
      </w:r>
      <w:proofErr w:type="spellStart"/>
      <w:r w:rsidRPr="00991A26">
        <w:rPr>
          <w:color w:val="000000" w:themeColor="text1"/>
        </w:rPr>
        <w:t>another</w:t>
      </w:r>
      <w:proofErr w:type="spellEnd"/>
      <w:r w:rsidRPr="00991A26">
        <w:rPr>
          <w:color w:val="000000" w:themeColor="text1"/>
        </w:rPr>
        <w:t xml:space="preserve"> </w:t>
      </w:r>
      <w:proofErr w:type="spellStart"/>
      <w:r w:rsidRPr="00991A26">
        <w:rPr>
          <w:color w:val="000000" w:themeColor="text1"/>
        </w:rPr>
        <w:t>world</w:t>
      </w:r>
      <w:proofErr w:type="spellEnd"/>
      <w:r w:rsidRPr="00991A26">
        <w:rPr>
          <w:color w:val="000000" w:themeColor="text1"/>
        </w:rPr>
        <w:t xml:space="preserve"> </w:t>
      </w:r>
      <w:proofErr w:type="spellStart"/>
      <w:r w:rsidRPr="00991A26">
        <w:rPr>
          <w:color w:val="000000" w:themeColor="text1"/>
        </w:rPr>
        <w:t>beyond</w:t>
      </w:r>
      <w:proofErr w:type="spellEnd"/>
      <w:r w:rsidRPr="00991A26">
        <w:rPr>
          <w:color w:val="000000" w:themeColor="text1"/>
        </w:rPr>
        <w:t xml:space="preserve"> </w:t>
      </w:r>
      <w:proofErr w:type="spellStart"/>
      <w:r w:rsidRPr="00991A26">
        <w:rPr>
          <w:color w:val="000000" w:themeColor="text1"/>
        </w:rPr>
        <w:t>this</w:t>
      </w:r>
      <w:proofErr w:type="spellEnd"/>
      <w:r w:rsidRPr="00991A26">
        <w:rPr>
          <w:color w:val="000000" w:themeColor="text1"/>
        </w:rPr>
        <w:t xml:space="preserve"> </w:t>
      </w:r>
      <w:proofErr w:type="spellStart"/>
      <w:r w:rsidRPr="00991A26">
        <w:rPr>
          <w:color w:val="000000" w:themeColor="text1"/>
        </w:rPr>
        <w:t>one</w:t>
      </w:r>
      <w:proofErr w:type="spellEnd"/>
      <w:r w:rsidRPr="00991A26">
        <w:rPr>
          <w:color w:val="000000" w:themeColor="text1"/>
        </w:rPr>
        <w:t xml:space="preserve"> but </w:t>
      </w:r>
      <w:proofErr w:type="spellStart"/>
      <w:r w:rsidRPr="00991A26">
        <w:rPr>
          <w:color w:val="000000" w:themeColor="text1"/>
        </w:rPr>
        <w:t>several</w:t>
      </w:r>
      <w:proofErr w:type="spellEnd"/>
      <w:r w:rsidRPr="00991A26">
        <w:rPr>
          <w:color w:val="000000" w:themeColor="text1"/>
        </w:rPr>
        <w:t xml:space="preserve"> </w:t>
      </w:r>
      <w:proofErr w:type="spellStart"/>
      <w:r w:rsidRPr="00991A26">
        <w:rPr>
          <w:color w:val="000000" w:themeColor="text1"/>
        </w:rPr>
        <w:t>other</w:t>
      </w:r>
      <w:proofErr w:type="spellEnd"/>
      <w:r w:rsidRPr="00991A26">
        <w:rPr>
          <w:color w:val="000000" w:themeColor="text1"/>
        </w:rPr>
        <w:t xml:space="preserve"> </w:t>
      </w:r>
      <w:proofErr w:type="spellStart"/>
      <w:r w:rsidRPr="00991A26">
        <w:rPr>
          <w:color w:val="000000" w:themeColor="text1"/>
        </w:rPr>
        <w:t>worlds</w:t>
      </w:r>
      <w:proofErr w:type="spellEnd"/>
      <w:r w:rsidRPr="00991A26">
        <w:rPr>
          <w:color w:val="000000" w:themeColor="text1"/>
        </w:rPr>
        <w:t xml:space="preserve"> as </w:t>
      </w:r>
      <w:proofErr w:type="spellStart"/>
      <w:r w:rsidRPr="00991A26">
        <w:rPr>
          <w:color w:val="000000" w:themeColor="text1"/>
        </w:rPr>
        <w:t>well</w:t>
      </w:r>
      <w:proofErr w:type="spellEnd"/>
      <w:r w:rsidRPr="00991A26">
        <w:rPr>
          <w:color w:val="000000" w:themeColor="text1"/>
        </w:rPr>
        <w:t xml:space="preserve">, </w:t>
      </w:r>
      <w:proofErr w:type="spellStart"/>
      <w:r w:rsidRPr="00991A26">
        <w:rPr>
          <w:color w:val="000000" w:themeColor="text1"/>
        </w:rPr>
        <w:t>all</w:t>
      </w:r>
      <w:proofErr w:type="spellEnd"/>
      <w:r w:rsidRPr="00991A26">
        <w:rPr>
          <w:color w:val="000000" w:themeColor="text1"/>
        </w:rPr>
        <w:t xml:space="preserve"> of </w:t>
      </w:r>
      <w:proofErr w:type="spellStart"/>
      <w:r w:rsidRPr="00991A26">
        <w:rPr>
          <w:color w:val="000000" w:themeColor="text1"/>
        </w:rPr>
        <w:t>which</w:t>
      </w:r>
      <w:proofErr w:type="spellEnd"/>
      <w:r w:rsidRPr="00991A26">
        <w:rPr>
          <w:color w:val="000000" w:themeColor="text1"/>
        </w:rPr>
        <w:t xml:space="preserve"> </w:t>
      </w:r>
      <w:proofErr w:type="spellStart"/>
      <w:r w:rsidRPr="00991A26">
        <w:rPr>
          <w:color w:val="000000" w:themeColor="text1"/>
        </w:rPr>
        <w:t>are</w:t>
      </w:r>
      <w:proofErr w:type="spellEnd"/>
      <w:r w:rsidRPr="00991A26">
        <w:rPr>
          <w:color w:val="000000" w:themeColor="text1"/>
        </w:rPr>
        <w:t xml:space="preserve"> </w:t>
      </w:r>
      <w:proofErr w:type="spellStart"/>
      <w:r w:rsidRPr="00991A26">
        <w:rPr>
          <w:color w:val="000000" w:themeColor="text1"/>
        </w:rPr>
        <w:t>waiting</w:t>
      </w:r>
      <w:proofErr w:type="spellEnd"/>
      <w:r w:rsidRPr="00991A26">
        <w:rPr>
          <w:color w:val="000000" w:themeColor="text1"/>
        </w:rPr>
        <w:t xml:space="preserve"> </w:t>
      </w:r>
      <w:proofErr w:type="spellStart"/>
      <w:r w:rsidRPr="00991A26">
        <w:rPr>
          <w:color w:val="000000" w:themeColor="text1"/>
        </w:rPr>
        <w:t>to</w:t>
      </w:r>
      <w:proofErr w:type="spellEnd"/>
      <w:r w:rsidRPr="00991A26">
        <w:rPr>
          <w:color w:val="000000" w:themeColor="text1"/>
        </w:rPr>
        <w:t xml:space="preserve"> be </w:t>
      </w:r>
      <w:proofErr w:type="spellStart"/>
      <w:r w:rsidRPr="00991A26">
        <w:rPr>
          <w:color w:val="000000" w:themeColor="text1"/>
        </w:rPr>
        <w:t>experienced</w:t>
      </w:r>
      <w:proofErr w:type="spellEnd"/>
      <w:r w:rsidRPr="00991A26">
        <w:rPr>
          <w:color w:val="000000" w:themeColor="text1"/>
        </w:rPr>
        <w:t xml:space="preserve"> </w:t>
      </w:r>
      <w:proofErr w:type="spellStart"/>
      <w:r w:rsidRPr="00991A26">
        <w:rPr>
          <w:color w:val="000000" w:themeColor="text1"/>
        </w:rPr>
        <w:t>by</w:t>
      </w:r>
      <w:proofErr w:type="spellEnd"/>
      <w:r w:rsidRPr="00991A26">
        <w:rPr>
          <w:color w:val="000000" w:themeColor="text1"/>
        </w:rPr>
        <w:t xml:space="preserve"> </w:t>
      </w:r>
      <w:proofErr w:type="spellStart"/>
      <w:r w:rsidRPr="00991A26">
        <w:rPr>
          <w:color w:val="000000" w:themeColor="text1"/>
        </w:rPr>
        <w:t>the</w:t>
      </w:r>
      <w:proofErr w:type="spellEnd"/>
      <w:r w:rsidRPr="00991A26">
        <w:rPr>
          <w:color w:val="000000" w:themeColor="text1"/>
        </w:rPr>
        <w:t xml:space="preserve"> </w:t>
      </w:r>
      <w:proofErr w:type="spellStart"/>
      <w:r w:rsidRPr="00991A26">
        <w:rPr>
          <w:color w:val="000000" w:themeColor="text1"/>
        </w:rPr>
        <w:t>people</w:t>
      </w:r>
      <w:proofErr w:type="spellEnd"/>
      <w:r w:rsidRPr="00991A26">
        <w:rPr>
          <w:color w:val="000000" w:themeColor="text1"/>
        </w:rPr>
        <w:t xml:space="preserve"> </w:t>
      </w:r>
      <w:proofErr w:type="spellStart"/>
      <w:r w:rsidRPr="00991A26">
        <w:rPr>
          <w:color w:val="000000" w:themeColor="text1"/>
        </w:rPr>
        <w:t>who</w:t>
      </w:r>
      <w:proofErr w:type="spellEnd"/>
      <w:r w:rsidRPr="00991A26">
        <w:rPr>
          <w:color w:val="000000" w:themeColor="text1"/>
        </w:rPr>
        <w:t xml:space="preserve"> </w:t>
      </w:r>
      <w:proofErr w:type="spellStart"/>
      <w:r w:rsidRPr="00991A26">
        <w:rPr>
          <w:color w:val="000000" w:themeColor="text1"/>
        </w:rPr>
        <w:t>embrace</w:t>
      </w:r>
      <w:proofErr w:type="spellEnd"/>
      <w:r w:rsidRPr="00991A26">
        <w:rPr>
          <w:color w:val="000000" w:themeColor="text1"/>
        </w:rPr>
        <w:t xml:space="preserve"> </w:t>
      </w:r>
      <w:proofErr w:type="spellStart"/>
      <w:r w:rsidRPr="00991A26">
        <w:rPr>
          <w:color w:val="000000" w:themeColor="text1"/>
        </w:rPr>
        <w:t>love</w:t>
      </w:r>
      <w:proofErr w:type="spellEnd"/>
      <w:r w:rsidRPr="00991A26">
        <w:rPr>
          <w:color w:val="000000" w:themeColor="text1"/>
        </w:rPr>
        <w:t xml:space="preserve"> as </w:t>
      </w:r>
      <w:proofErr w:type="spellStart"/>
      <w:r w:rsidRPr="00991A26">
        <w:rPr>
          <w:color w:val="000000" w:themeColor="text1"/>
        </w:rPr>
        <w:t>their</w:t>
      </w:r>
      <w:proofErr w:type="spellEnd"/>
      <w:r w:rsidRPr="00991A26">
        <w:rPr>
          <w:color w:val="000000" w:themeColor="text1"/>
        </w:rPr>
        <w:t xml:space="preserve"> </w:t>
      </w:r>
      <w:proofErr w:type="spellStart"/>
      <w:r w:rsidRPr="00991A26">
        <w:rPr>
          <w:color w:val="000000" w:themeColor="text1"/>
        </w:rPr>
        <w:t>guide</w:t>
      </w:r>
      <w:proofErr w:type="spellEnd"/>
      <w:r w:rsidRPr="00991A26">
        <w:rPr>
          <w:color w:val="000000" w:themeColor="text1"/>
        </w:rPr>
        <w:t>.</w:t>
      </w:r>
    </w:p>
    <w:p w14:paraId="38962B41" w14:textId="77777777" w:rsidR="009C2F96" w:rsidRPr="00991A26" w:rsidRDefault="009C2F96" w:rsidP="009C2F96">
      <w:pPr>
        <w:jc w:val="both"/>
        <w:rPr>
          <w:color w:val="000000" w:themeColor="text1"/>
        </w:rPr>
      </w:pPr>
    </w:p>
    <w:p w14:paraId="772C22C1" w14:textId="77777777" w:rsidR="0034640B" w:rsidRPr="00BD0D2E" w:rsidRDefault="0034640B" w:rsidP="009C2F96">
      <w:pPr>
        <w:jc w:val="center"/>
      </w:pPr>
      <w:r w:rsidRPr="00BD0D2E">
        <w:rPr>
          <w:rFonts w:hint="eastAsia"/>
          <w:rtl/>
        </w:rPr>
        <w:t>ا</w:t>
      </w:r>
      <w:r w:rsidRPr="00BD0D2E">
        <w:rPr>
          <w:rFonts w:hint="cs"/>
          <w:rtl/>
        </w:rPr>
        <w:t>ی</w:t>
      </w:r>
      <w:r w:rsidRPr="00BD0D2E">
        <w:rPr>
          <w:rtl/>
        </w:rPr>
        <w:t xml:space="preserve"> بسا منصور پنهان ز اعتماد جان عشق</w:t>
      </w:r>
    </w:p>
    <w:p w14:paraId="733E34EE" w14:textId="77777777" w:rsidR="0034640B" w:rsidRDefault="0034640B" w:rsidP="009C2F96">
      <w:pPr>
        <w:jc w:val="center"/>
      </w:pPr>
      <w:r w:rsidRPr="00BD0D2E">
        <w:rPr>
          <w:rFonts w:hint="eastAsia"/>
          <w:rtl/>
        </w:rPr>
        <w:t>ترک</w:t>
      </w:r>
      <w:r w:rsidRPr="00BD0D2E">
        <w:rPr>
          <w:rtl/>
        </w:rPr>
        <w:t xml:space="preserve"> منبرها بگفته برشده بر دارها</w:t>
      </w:r>
    </w:p>
    <w:p w14:paraId="3481812D" w14:textId="77777777" w:rsidR="0034640B" w:rsidRPr="00CE60CF" w:rsidRDefault="0034640B" w:rsidP="009C2F96">
      <w:pPr>
        <w:jc w:val="center"/>
      </w:pPr>
      <w:proofErr w:type="spellStart"/>
      <w:r w:rsidRPr="00CE60CF">
        <w:t>So</w:t>
      </w:r>
      <w:proofErr w:type="spellEnd"/>
      <w:r w:rsidRPr="00CE60CF">
        <w:t xml:space="preserve"> </w:t>
      </w:r>
      <w:proofErr w:type="spellStart"/>
      <w:r w:rsidRPr="00CE60CF">
        <w:t>many</w:t>
      </w:r>
      <w:proofErr w:type="spellEnd"/>
      <w:r w:rsidRPr="00CE60CF">
        <w:t xml:space="preserve"> </w:t>
      </w:r>
      <w:proofErr w:type="spellStart"/>
      <w:r w:rsidRPr="00CE60CF">
        <w:t>unknown</w:t>
      </w:r>
      <w:proofErr w:type="spellEnd"/>
      <w:r w:rsidRPr="00CE60CF">
        <w:t xml:space="preserve"> </w:t>
      </w:r>
      <w:proofErr w:type="spellStart"/>
      <w:r w:rsidRPr="001E640D">
        <w:t>Manṣūr</w:t>
      </w:r>
      <w:r>
        <w:t>s</w:t>
      </w:r>
      <w:proofErr w:type="spellEnd"/>
      <w:r w:rsidRPr="00CE60CF">
        <w:t xml:space="preserve"> </w:t>
      </w:r>
      <w:proofErr w:type="spellStart"/>
      <w:r w:rsidRPr="00CE60CF">
        <w:t>counting</w:t>
      </w:r>
      <w:proofErr w:type="spellEnd"/>
      <w:r w:rsidRPr="00CE60CF">
        <w:t xml:space="preserve"> on </w:t>
      </w:r>
      <w:proofErr w:type="spellStart"/>
      <w:r w:rsidRPr="00CE60CF">
        <w:t>the</w:t>
      </w:r>
      <w:proofErr w:type="spellEnd"/>
      <w:r w:rsidRPr="00CE60CF">
        <w:t xml:space="preserve"> </w:t>
      </w:r>
      <w:proofErr w:type="spellStart"/>
      <w:r w:rsidRPr="00CE60CF">
        <w:t>essence</w:t>
      </w:r>
      <w:proofErr w:type="spellEnd"/>
      <w:r w:rsidRPr="00CE60CF">
        <w:t xml:space="preserve"> of </w:t>
      </w:r>
      <w:proofErr w:type="spellStart"/>
      <w:r w:rsidRPr="00CE60CF">
        <w:t>love</w:t>
      </w:r>
      <w:proofErr w:type="spellEnd"/>
      <w:r w:rsidRPr="00CE60CF">
        <w:t>,</w:t>
      </w:r>
    </w:p>
    <w:p w14:paraId="674578C8" w14:textId="77777777" w:rsidR="0034640B" w:rsidRDefault="0034640B" w:rsidP="009C2F96">
      <w:pPr>
        <w:jc w:val="center"/>
      </w:pPr>
      <w:proofErr w:type="spellStart"/>
      <w:r w:rsidRPr="00CE60CF">
        <w:t>Abandoned</w:t>
      </w:r>
      <w:proofErr w:type="spellEnd"/>
      <w:r w:rsidRPr="00CE60CF">
        <w:t xml:space="preserve"> </w:t>
      </w:r>
      <w:proofErr w:type="spellStart"/>
      <w:r w:rsidRPr="00CE60CF">
        <w:t>the</w:t>
      </w:r>
      <w:proofErr w:type="spellEnd"/>
      <w:r w:rsidRPr="00CE60CF">
        <w:t xml:space="preserve"> </w:t>
      </w:r>
      <w:proofErr w:type="spellStart"/>
      <w:r w:rsidRPr="00CE60CF">
        <w:t>pulpits</w:t>
      </w:r>
      <w:proofErr w:type="spellEnd"/>
      <w:r w:rsidRPr="00CE60CF">
        <w:t xml:space="preserve"> </w:t>
      </w:r>
      <w:proofErr w:type="spellStart"/>
      <w:r w:rsidRPr="00CE60CF">
        <w:t>and</w:t>
      </w:r>
      <w:proofErr w:type="spellEnd"/>
      <w:r w:rsidRPr="00CE60CF">
        <w:t xml:space="preserve"> </w:t>
      </w:r>
      <w:proofErr w:type="spellStart"/>
      <w:r w:rsidRPr="00CE60CF">
        <w:t>ascended</w:t>
      </w:r>
      <w:proofErr w:type="spellEnd"/>
      <w:r w:rsidRPr="00CE60CF">
        <w:t xml:space="preserve"> </w:t>
      </w:r>
      <w:proofErr w:type="spellStart"/>
      <w:r w:rsidRPr="00CE60CF">
        <w:t>the</w:t>
      </w:r>
      <w:proofErr w:type="spellEnd"/>
      <w:r w:rsidRPr="00CE60CF">
        <w:t xml:space="preserve"> </w:t>
      </w:r>
      <w:proofErr w:type="spellStart"/>
      <w:r w:rsidRPr="00CE60CF">
        <w:t>gallows</w:t>
      </w:r>
      <w:proofErr w:type="spellEnd"/>
      <w:r w:rsidRPr="00CE60CF">
        <w:t>.</w:t>
      </w:r>
    </w:p>
    <w:p w14:paraId="29789EF3" w14:textId="77777777" w:rsidR="009C2F96" w:rsidRDefault="009C2F96" w:rsidP="009C2F96">
      <w:pPr>
        <w:jc w:val="center"/>
      </w:pPr>
    </w:p>
    <w:p w14:paraId="6F377DE6" w14:textId="77777777" w:rsidR="0034640B" w:rsidRDefault="0034640B" w:rsidP="009C2F96">
      <w:pPr>
        <w:jc w:val="both"/>
      </w:pPr>
      <w:proofErr w:type="spellStart"/>
      <w:r>
        <w:t>In</w:t>
      </w:r>
      <w:proofErr w:type="spellEnd"/>
      <w:r>
        <w:t xml:space="preserve"> </w:t>
      </w:r>
      <w:proofErr w:type="spellStart"/>
      <w:r>
        <w:t>the</w:t>
      </w:r>
      <w:proofErr w:type="spellEnd"/>
      <w:r>
        <w:t xml:space="preserve"> </w:t>
      </w:r>
      <w:proofErr w:type="spellStart"/>
      <w:r>
        <w:t>fourth</w:t>
      </w:r>
      <w:proofErr w:type="spellEnd"/>
      <w:r>
        <w:t xml:space="preserve"> </w:t>
      </w:r>
      <w:proofErr w:type="spellStart"/>
      <w:r>
        <w:t>distich</w:t>
      </w:r>
      <w:proofErr w:type="spellEnd"/>
      <w:r>
        <w:t xml:space="preserve">, </w:t>
      </w:r>
      <w:proofErr w:type="spellStart"/>
      <w:r>
        <w:t>the</w:t>
      </w:r>
      <w:proofErr w:type="spellEnd"/>
      <w:r>
        <w:t xml:space="preserve"> </w:t>
      </w:r>
      <w:proofErr w:type="spellStart"/>
      <w:r>
        <w:t>poet</w:t>
      </w:r>
      <w:proofErr w:type="spellEnd"/>
      <w:r>
        <w:t xml:space="preserve"> </w:t>
      </w:r>
      <w:proofErr w:type="spellStart"/>
      <w:r>
        <w:t>makes</w:t>
      </w:r>
      <w:proofErr w:type="spellEnd"/>
      <w:r>
        <w:t xml:space="preserve"> a reference </w:t>
      </w:r>
      <w:proofErr w:type="spellStart"/>
      <w:r>
        <w:t>to</w:t>
      </w:r>
      <w:proofErr w:type="spellEnd"/>
      <w:r>
        <w:t xml:space="preserve"> </w:t>
      </w:r>
      <w:proofErr w:type="spellStart"/>
      <w:r w:rsidRPr="001E640D">
        <w:t>Manṣūr</w:t>
      </w:r>
      <w:proofErr w:type="spellEnd"/>
      <w:r>
        <w:t xml:space="preserve"> </w:t>
      </w:r>
      <w:r w:rsidRPr="001E640D">
        <w:t>al-</w:t>
      </w:r>
      <w:proofErr w:type="spellStart"/>
      <w:r w:rsidRPr="001E640D">
        <w:t>Ḥallā</w:t>
      </w:r>
      <w:r>
        <w:t>j</w:t>
      </w:r>
      <w:proofErr w:type="spellEnd"/>
      <w:r>
        <w:t xml:space="preserve"> (d. 922), </w:t>
      </w:r>
      <w:proofErr w:type="spellStart"/>
      <w:r>
        <w:t>one</w:t>
      </w:r>
      <w:proofErr w:type="spellEnd"/>
      <w:r>
        <w:t xml:space="preserve"> of </w:t>
      </w:r>
      <w:proofErr w:type="spellStart"/>
      <w:r>
        <w:t>the</w:t>
      </w:r>
      <w:proofErr w:type="spellEnd"/>
      <w:r>
        <w:t xml:space="preserve"> </w:t>
      </w:r>
      <w:proofErr w:type="spellStart"/>
      <w:r>
        <w:t>early</w:t>
      </w:r>
      <w:proofErr w:type="spellEnd"/>
      <w:r>
        <w:t xml:space="preserve"> </w:t>
      </w:r>
      <w:proofErr w:type="spellStart"/>
      <w:r>
        <w:t>Sufis</w:t>
      </w:r>
      <w:proofErr w:type="spellEnd"/>
      <w:r>
        <w:t xml:space="preserve"> </w:t>
      </w:r>
      <w:proofErr w:type="spellStart"/>
      <w:r>
        <w:t>who</w:t>
      </w:r>
      <w:proofErr w:type="spellEnd"/>
      <w:r>
        <w:t xml:space="preserve"> </w:t>
      </w:r>
      <w:proofErr w:type="spellStart"/>
      <w:r>
        <w:t>was</w:t>
      </w:r>
      <w:proofErr w:type="spellEnd"/>
      <w:r>
        <w:t xml:space="preserve"> </w:t>
      </w:r>
      <w:proofErr w:type="spellStart"/>
      <w:r>
        <w:t>executed</w:t>
      </w:r>
      <w:proofErr w:type="spellEnd"/>
      <w:r>
        <w:t xml:space="preserve"> on </w:t>
      </w:r>
      <w:proofErr w:type="spellStart"/>
      <w:r>
        <w:t>accusations</w:t>
      </w:r>
      <w:proofErr w:type="spellEnd"/>
      <w:r>
        <w:t xml:space="preserve"> of </w:t>
      </w:r>
      <w:proofErr w:type="spellStart"/>
      <w:r>
        <w:t>heresy</w:t>
      </w:r>
      <w:proofErr w:type="spellEnd"/>
      <w:r>
        <w:t xml:space="preserve">. </w:t>
      </w:r>
      <w:proofErr w:type="spellStart"/>
      <w:r>
        <w:t>This</w:t>
      </w:r>
      <w:proofErr w:type="spellEnd"/>
      <w:r>
        <w:t xml:space="preserve"> reference </w:t>
      </w:r>
      <w:proofErr w:type="spellStart"/>
      <w:r>
        <w:t>allows</w:t>
      </w:r>
      <w:proofErr w:type="spellEnd"/>
      <w:r>
        <w:t xml:space="preserve"> </w:t>
      </w:r>
      <w:proofErr w:type="spellStart"/>
      <w:r>
        <w:t>the</w:t>
      </w:r>
      <w:proofErr w:type="spellEnd"/>
      <w:r>
        <w:t xml:space="preserve"> </w:t>
      </w:r>
      <w:proofErr w:type="spellStart"/>
      <w:r>
        <w:t>reader</w:t>
      </w:r>
      <w:proofErr w:type="spellEnd"/>
      <w:r>
        <w:t xml:space="preserve"> </w:t>
      </w:r>
      <w:proofErr w:type="spellStart"/>
      <w:r>
        <w:t>to</w:t>
      </w:r>
      <w:proofErr w:type="spellEnd"/>
      <w:r>
        <w:t xml:space="preserve"> </w:t>
      </w:r>
      <w:proofErr w:type="spellStart"/>
      <w:r>
        <w:t>finally</w:t>
      </w:r>
      <w:proofErr w:type="spellEnd"/>
      <w:r>
        <w:t xml:space="preserve"> </w:t>
      </w:r>
      <w:proofErr w:type="spellStart"/>
      <w:r>
        <w:t>understand</w:t>
      </w:r>
      <w:proofErr w:type="spellEnd"/>
      <w:r>
        <w:t xml:space="preserve"> </w:t>
      </w:r>
      <w:proofErr w:type="spellStart"/>
      <w:r>
        <w:t>why</w:t>
      </w:r>
      <w:proofErr w:type="spellEnd"/>
      <w:r>
        <w:t xml:space="preserve"> </w:t>
      </w:r>
      <w:proofErr w:type="spellStart"/>
      <w:r>
        <w:t>the</w:t>
      </w:r>
      <w:proofErr w:type="spellEnd"/>
      <w:r>
        <w:t xml:space="preserve"> Sufi </w:t>
      </w:r>
      <w:proofErr w:type="spellStart"/>
      <w:r>
        <w:t>path</w:t>
      </w:r>
      <w:proofErr w:type="spellEnd"/>
      <w:r>
        <w:t xml:space="preserve"> is </w:t>
      </w:r>
      <w:proofErr w:type="spellStart"/>
      <w:r>
        <w:t>compared</w:t>
      </w:r>
      <w:proofErr w:type="spellEnd"/>
      <w:r>
        <w:t xml:space="preserve"> </w:t>
      </w:r>
      <w:proofErr w:type="spellStart"/>
      <w:r>
        <w:t>to</w:t>
      </w:r>
      <w:proofErr w:type="spellEnd"/>
      <w:r>
        <w:t xml:space="preserve"> a </w:t>
      </w:r>
      <w:proofErr w:type="spellStart"/>
      <w:r>
        <w:t>curtain</w:t>
      </w:r>
      <w:proofErr w:type="spellEnd"/>
      <w:r>
        <w:t xml:space="preserve"> of </w:t>
      </w:r>
      <w:proofErr w:type="spellStart"/>
      <w:r>
        <w:t>blood</w:t>
      </w:r>
      <w:proofErr w:type="spellEnd"/>
      <w:r>
        <w:t xml:space="preserve">. </w:t>
      </w:r>
      <w:proofErr w:type="spellStart"/>
      <w:r>
        <w:t>The</w:t>
      </w:r>
      <w:proofErr w:type="spellEnd"/>
      <w:r>
        <w:t xml:space="preserve"> </w:t>
      </w:r>
      <w:proofErr w:type="spellStart"/>
      <w:r>
        <w:t>experience</w:t>
      </w:r>
      <w:proofErr w:type="spellEnd"/>
      <w:r>
        <w:t xml:space="preserve"> of </w:t>
      </w:r>
      <w:proofErr w:type="spellStart"/>
      <w:r>
        <w:t>the</w:t>
      </w:r>
      <w:proofErr w:type="spellEnd"/>
      <w:r>
        <w:t xml:space="preserve"> </w:t>
      </w:r>
      <w:proofErr w:type="spellStart"/>
      <w:r>
        <w:t>people</w:t>
      </w:r>
      <w:proofErr w:type="spellEnd"/>
      <w:r>
        <w:t xml:space="preserve"> </w:t>
      </w:r>
      <w:proofErr w:type="spellStart"/>
      <w:r>
        <w:t>who</w:t>
      </w:r>
      <w:proofErr w:type="spellEnd"/>
      <w:r>
        <w:t xml:space="preserve"> </w:t>
      </w:r>
      <w:proofErr w:type="spellStart"/>
      <w:r>
        <w:t>embrace</w:t>
      </w:r>
      <w:proofErr w:type="spellEnd"/>
      <w:r>
        <w:t xml:space="preserve"> </w:t>
      </w:r>
      <w:proofErr w:type="spellStart"/>
      <w:r>
        <w:t>love</w:t>
      </w:r>
      <w:proofErr w:type="spellEnd"/>
      <w:r>
        <w:t xml:space="preserve"> </w:t>
      </w:r>
      <w:proofErr w:type="spellStart"/>
      <w:r>
        <w:t>cannot</w:t>
      </w:r>
      <w:proofErr w:type="spellEnd"/>
      <w:r>
        <w:t xml:space="preserve"> be </w:t>
      </w:r>
      <w:proofErr w:type="spellStart"/>
      <w:r>
        <w:t>correctly</w:t>
      </w:r>
      <w:proofErr w:type="spellEnd"/>
      <w:r>
        <w:t xml:space="preserve"> </w:t>
      </w:r>
      <w:proofErr w:type="spellStart"/>
      <w:r>
        <w:t>interpreted</w:t>
      </w:r>
      <w:proofErr w:type="spellEnd"/>
      <w:r>
        <w:t xml:space="preserve"> </w:t>
      </w:r>
      <w:proofErr w:type="spellStart"/>
      <w:r>
        <w:t>by</w:t>
      </w:r>
      <w:proofErr w:type="spellEnd"/>
      <w:r>
        <w:t xml:space="preserve"> </w:t>
      </w:r>
      <w:proofErr w:type="spellStart"/>
      <w:r>
        <w:t>the</w:t>
      </w:r>
      <w:proofErr w:type="spellEnd"/>
      <w:r>
        <w:t xml:space="preserve"> </w:t>
      </w:r>
      <w:proofErr w:type="spellStart"/>
      <w:r>
        <w:t>masses</w:t>
      </w:r>
      <w:proofErr w:type="spellEnd"/>
      <w:r>
        <w:t xml:space="preserve">, </w:t>
      </w:r>
      <w:proofErr w:type="spellStart"/>
      <w:r>
        <w:t>whose</w:t>
      </w:r>
      <w:proofErr w:type="spellEnd"/>
      <w:r>
        <w:t xml:space="preserve"> </w:t>
      </w:r>
      <w:proofErr w:type="spellStart"/>
      <w:r>
        <w:t>perspectives</w:t>
      </w:r>
      <w:proofErr w:type="spellEnd"/>
      <w:r>
        <w:t xml:space="preserve"> </w:t>
      </w:r>
      <w:proofErr w:type="spellStart"/>
      <w:r>
        <w:t>are</w:t>
      </w:r>
      <w:proofErr w:type="spellEnd"/>
      <w:r>
        <w:t xml:space="preserve"> </w:t>
      </w:r>
      <w:proofErr w:type="spellStart"/>
      <w:r>
        <w:t>limited</w:t>
      </w:r>
      <w:proofErr w:type="spellEnd"/>
      <w:r>
        <w:t xml:space="preserve"> </w:t>
      </w:r>
      <w:proofErr w:type="spellStart"/>
      <w:r>
        <w:t>with</w:t>
      </w:r>
      <w:proofErr w:type="spellEnd"/>
      <w:r>
        <w:t xml:space="preserve"> </w:t>
      </w:r>
      <w:proofErr w:type="spellStart"/>
      <w:r>
        <w:t>the</w:t>
      </w:r>
      <w:proofErr w:type="spellEnd"/>
      <w:r>
        <w:t xml:space="preserve"> </w:t>
      </w:r>
      <w:proofErr w:type="spellStart"/>
      <w:r>
        <w:t>physical</w:t>
      </w:r>
      <w:proofErr w:type="spellEnd"/>
      <w:r>
        <w:t xml:space="preserve"> </w:t>
      </w:r>
      <w:proofErr w:type="spellStart"/>
      <w:r>
        <w:t>world</w:t>
      </w:r>
      <w:proofErr w:type="spellEnd"/>
      <w:r>
        <w:t xml:space="preserve">. </w:t>
      </w:r>
      <w:proofErr w:type="spellStart"/>
      <w:r>
        <w:t>Consequently</w:t>
      </w:r>
      <w:proofErr w:type="spellEnd"/>
      <w:r>
        <w:t xml:space="preserve">, </w:t>
      </w:r>
      <w:proofErr w:type="spellStart"/>
      <w:r>
        <w:t>Sufis</w:t>
      </w:r>
      <w:proofErr w:type="spellEnd"/>
      <w:r>
        <w:t xml:space="preserve"> </w:t>
      </w:r>
      <w:proofErr w:type="spellStart"/>
      <w:r>
        <w:t>may</w:t>
      </w:r>
      <w:proofErr w:type="spellEnd"/>
      <w:r>
        <w:t xml:space="preserve"> be </w:t>
      </w:r>
      <w:proofErr w:type="spellStart"/>
      <w:r>
        <w:t>ostracized</w:t>
      </w:r>
      <w:proofErr w:type="spellEnd"/>
      <w:r>
        <w:t xml:space="preserve"> </w:t>
      </w:r>
      <w:proofErr w:type="spellStart"/>
      <w:r>
        <w:t>or</w:t>
      </w:r>
      <w:proofErr w:type="spellEnd"/>
      <w:r>
        <w:t xml:space="preserve"> </w:t>
      </w:r>
      <w:proofErr w:type="spellStart"/>
      <w:r>
        <w:t>even</w:t>
      </w:r>
      <w:proofErr w:type="spellEnd"/>
      <w:r>
        <w:t xml:space="preserve"> </w:t>
      </w:r>
      <w:proofErr w:type="spellStart"/>
      <w:r>
        <w:t>persecuted</w:t>
      </w:r>
      <w:proofErr w:type="spellEnd"/>
      <w:r>
        <w:t xml:space="preserve">. </w:t>
      </w:r>
      <w:proofErr w:type="spellStart"/>
      <w:r>
        <w:t>However</w:t>
      </w:r>
      <w:proofErr w:type="spellEnd"/>
      <w:r>
        <w:t xml:space="preserve">, </w:t>
      </w:r>
      <w:proofErr w:type="spellStart"/>
      <w:r>
        <w:t>empowered</w:t>
      </w:r>
      <w:proofErr w:type="spellEnd"/>
      <w:r>
        <w:t xml:space="preserve"> </w:t>
      </w:r>
      <w:proofErr w:type="spellStart"/>
      <w:r>
        <w:t>by</w:t>
      </w:r>
      <w:proofErr w:type="spellEnd"/>
      <w:r>
        <w:t xml:space="preserve"> </w:t>
      </w:r>
      <w:proofErr w:type="spellStart"/>
      <w:r>
        <w:t>their</w:t>
      </w:r>
      <w:proofErr w:type="spellEnd"/>
      <w:r>
        <w:t xml:space="preserve"> </w:t>
      </w:r>
      <w:proofErr w:type="spellStart"/>
      <w:r>
        <w:t>love</w:t>
      </w:r>
      <w:proofErr w:type="spellEnd"/>
      <w:r>
        <w:t xml:space="preserve">, they </w:t>
      </w:r>
      <w:proofErr w:type="spellStart"/>
      <w:r>
        <w:t>are</w:t>
      </w:r>
      <w:proofErr w:type="spellEnd"/>
      <w:r>
        <w:t xml:space="preserve"> </w:t>
      </w:r>
      <w:proofErr w:type="spellStart"/>
      <w:r>
        <w:t>prepared</w:t>
      </w:r>
      <w:proofErr w:type="spellEnd"/>
      <w:r>
        <w:t xml:space="preserve"> </w:t>
      </w:r>
      <w:proofErr w:type="spellStart"/>
      <w:r>
        <w:t>to</w:t>
      </w:r>
      <w:proofErr w:type="spellEnd"/>
      <w:r>
        <w:t xml:space="preserve"> </w:t>
      </w:r>
      <w:proofErr w:type="spellStart"/>
      <w:r>
        <w:t>give</w:t>
      </w:r>
      <w:proofErr w:type="spellEnd"/>
      <w:r>
        <w:t xml:space="preserve"> </w:t>
      </w:r>
      <w:proofErr w:type="spellStart"/>
      <w:r>
        <w:t>up</w:t>
      </w:r>
      <w:proofErr w:type="spellEnd"/>
      <w:r>
        <w:t xml:space="preserve"> </w:t>
      </w:r>
      <w:proofErr w:type="spellStart"/>
      <w:r>
        <w:t>their</w:t>
      </w:r>
      <w:proofErr w:type="spellEnd"/>
      <w:r>
        <w:t xml:space="preserve"> </w:t>
      </w:r>
      <w:proofErr w:type="spellStart"/>
      <w:r>
        <w:t>titles</w:t>
      </w:r>
      <w:proofErr w:type="spellEnd"/>
      <w:r>
        <w:t xml:space="preserve"> </w:t>
      </w:r>
      <w:proofErr w:type="spellStart"/>
      <w:r>
        <w:t>and</w:t>
      </w:r>
      <w:proofErr w:type="spellEnd"/>
      <w:r>
        <w:t xml:space="preserve"> </w:t>
      </w:r>
      <w:proofErr w:type="spellStart"/>
      <w:r>
        <w:t>positions</w:t>
      </w:r>
      <w:proofErr w:type="spellEnd"/>
      <w:r>
        <w:t xml:space="preserve"> (</w:t>
      </w:r>
      <w:proofErr w:type="spellStart"/>
      <w:r>
        <w:t>pulpits</w:t>
      </w:r>
      <w:proofErr w:type="spellEnd"/>
      <w:r>
        <w:t xml:space="preserve">) </w:t>
      </w:r>
      <w:proofErr w:type="spellStart"/>
      <w:r>
        <w:t>and</w:t>
      </w:r>
      <w:proofErr w:type="spellEnd"/>
      <w:r>
        <w:t xml:space="preserve"> </w:t>
      </w:r>
      <w:proofErr w:type="spellStart"/>
      <w:r>
        <w:t>to</w:t>
      </w:r>
      <w:proofErr w:type="spellEnd"/>
      <w:r>
        <w:t xml:space="preserve"> put </w:t>
      </w:r>
      <w:proofErr w:type="spellStart"/>
      <w:r>
        <w:t>themselves</w:t>
      </w:r>
      <w:proofErr w:type="spellEnd"/>
      <w:r>
        <w:t xml:space="preserve"> in </w:t>
      </w:r>
      <w:proofErr w:type="spellStart"/>
      <w:r>
        <w:t>harm’s</w:t>
      </w:r>
      <w:proofErr w:type="spellEnd"/>
      <w:r>
        <w:t xml:space="preserve"> </w:t>
      </w:r>
      <w:proofErr w:type="spellStart"/>
      <w:r>
        <w:t>way</w:t>
      </w:r>
      <w:proofErr w:type="spellEnd"/>
      <w:r>
        <w:t xml:space="preserve"> in </w:t>
      </w:r>
      <w:proofErr w:type="spellStart"/>
      <w:r>
        <w:t>their</w:t>
      </w:r>
      <w:proofErr w:type="spellEnd"/>
      <w:r>
        <w:t xml:space="preserve"> </w:t>
      </w:r>
      <w:proofErr w:type="spellStart"/>
      <w:r>
        <w:t>quest</w:t>
      </w:r>
      <w:proofErr w:type="spellEnd"/>
      <w:r>
        <w:t xml:space="preserve"> </w:t>
      </w:r>
      <w:proofErr w:type="spellStart"/>
      <w:r>
        <w:t>for</w:t>
      </w:r>
      <w:proofErr w:type="spellEnd"/>
      <w:r>
        <w:t xml:space="preserve"> </w:t>
      </w:r>
      <w:proofErr w:type="spellStart"/>
      <w:r>
        <w:t>unity</w:t>
      </w:r>
      <w:proofErr w:type="spellEnd"/>
      <w:r>
        <w:t xml:space="preserve"> </w:t>
      </w:r>
      <w:proofErr w:type="spellStart"/>
      <w:r>
        <w:t>with</w:t>
      </w:r>
      <w:proofErr w:type="spellEnd"/>
      <w:r>
        <w:t xml:space="preserve"> </w:t>
      </w:r>
      <w:proofErr w:type="spellStart"/>
      <w:r>
        <w:t>the</w:t>
      </w:r>
      <w:proofErr w:type="spellEnd"/>
      <w:r>
        <w:t xml:space="preserve"> </w:t>
      </w:r>
      <w:proofErr w:type="spellStart"/>
      <w:r>
        <w:t>Divine</w:t>
      </w:r>
      <w:proofErr w:type="spellEnd"/>
      <w:r>
        <w:t>.</w:t>
      </w:r>
    </w:p>
    <w:p w14:paraId="476C74F9" w14:textId="77777777" w:rsidR="009C2F96" w:rsidRPr="00BD0D2E" w:rsidRDefault="009C2F96" w:rsidP="009C2F96">
      <w:pPr>
        <w:jc w:val="both"/>
      </w:pPr>
    </w:p>
    <w:p w14:paraId="3EE5DA50" w14:textId="77777777" w:rsidR="0034640B" w:rsidRPr="00BD0D2E" w:rsidRDefault="0034640B" w:rsidP="009C2F96">
      <w:pPr>
        <w:jc w:val="center"/>
      </w:pPr>
      <w:r w:rsidRPr="00BD0D2E">
        <w:rPr>
          <w:rFonts w:hint="eastAsia"/>
          <w:rtl/>
        </w:rPr>
        <w:t>عاشقان</w:t>
      </w:r>
      <w:r w:rsidRPr="00BD0D2E">
        <w:rPr>
          <w:rtl/>
        </w:rPr>
        <w:t xml:space="preserve"> دردکش را در درونه ذوق‌ها</w:t>
      </w:r>
    </w:p>
    <w:p w14:paraId="12F50F59" w14:textId="77777777" w:rsidR="0034640B" w:rsidRDefault="0034640B" w:rsidP="009C2F96">
      <w:pPr>
        <w:jc w:val="center"/>
      </w:pPr>
      <w:r w:rsidRPr="00BD0D2E">
        <w:rPr>
          <w:rFonts w:hint="eastAsia"/>
          <w:rtl/>
        </w:rPr>
        <w:t>عاقلان</w:t>
      </w:r>
      <w:r w:rsidRPr="00BD0D2E">
        <w:rPr>
          <w:rtl/>
        </w:rPr>
        <w:t xml:space="preserve"> ت</w:t>
      </w:r>
      <w:r w:rsidRPr="00BD0D2E">
        <w:rPr>
          <w:rFonts w:hint="cs"/>
          <w:rtl/>
        </w:rPr>
        <w:t>ی</w:t>
      </w:r>
      <w:r w:rsidRPr="00BD0D2E">
        <w:rPr>
          <w:rFonts w:hint="eastAsia"/>
          <w:rtl/>
        </w:rPr>
        <w:t>ره</w:t>
      </w:r>
      <w:r w:rsidRPr="00BD0D2E">
        <w:rPr>
          <w:rtl/>
        </w:rPr>
        <w:t xml:space="preserve"> دل را در درون انکارها</w:t>
      </w:r>
    </w:p>
    <w:p w14:paraId="5E5A8C77" w14:textId="35FCACF8" w:rsidR="0034640B" w:rsidRPr="00CE60CF" w:rsidRDefault="0034640B" w:rsidP="009C2F96">
      <w:pPr>
        <w:jc w:val="center"/>
      </w:pPr>
      <w:proofErr w:type="spellStart"/>
      <w:r w:rsidRPr="00CE60CF">
        <w:t>The</w:t>
      </w:r>
      <w:proofErr w:type="spellEnd"/>
      <w:r w:rsidRPr="00CE60CF">
        <w:t xml:space="preserve"> </w:t>
      </w:r>
      <w:proofErr w:type="spellStart"/>
      <w:r w:rsidRPr="00CE60CF">
        <w:t>suffering</w:t>
      </w:r>
      <w:proofErr w:type="spellEnd"/>
      <w:r w:rsidRPr="00CE60CF">
        <w:t xml:space="preserve"> </w:t>
      </w:r>
      <w:proofErr w:type="spellStart"/>
      <w:r w:rsidRPr="00CE60CF">
        <w:t>lovers</w:t>
      </w:r>
      <w:proofErr w:type="spellEnd"/>
      <w:r w:rsidRPr="00CE60CF">
        <w:t xml:space="preserve"> (</w:t>
      </w:r>
      <w:proofErr w:type="spellStart"/>
      <w:r w:rsidRPr="00CE60CF">
        <w:t>experience</w:t>
      </w:r>
      <w:proofErr w:type="spellEnd"/>
      <w:r w:rsidRPr="00CE60CF">
        <w:t xml:space="preserve">) </w:t>
      </w:r>
      <w:proofErr w:type="spellStart"/>
      <w:r w:rsidRPr="00CE60CF">
        <w:t>joys</w:t>
      </w:r>
      <w:proofErr w:type="spellEnd"/>
      <w:r w:rsidRPr="00CE60CF">
        <w:t xml:space="preserve"> inside,</w:t>
      </w:r>
    </w:p>
    <w:p w14:paraId="52CBA7D7" w14:textId="77777777" w:rsidR="0034640B" w:rsidRDefault="0034640B" w:rsidP="009C2F96">
      <w:pPr>
        <w:jc w:val="center"/>
      </w:pPr>
      <w:proofErr w:type="spellStart"/>
      <w:r w:rsidRPr="00CE60CF">
        <w:t>The</w:t>
      </w:r>
      <w:proofErr w:type="spellEnd"/>
      <w:r w:rsidRPr="00CE60CF">
        <w:t xml:space="preserve"> </w:t>
      </w:r>
      <w:proofErr w:type="spellStart"/>
      <w:r w:rsidRPr="00CE60CF">
        <w:t>dark-hearted</w:t>
      </w:r>
      <w:proofErr w:type="spellEnd"/>
      <w:r w:rsidRPr="00CE60CF">
        <w:t xml:space="preserve"> </w:t>
      </w:r>
      <w:proofErr w:type="spellStart"/>
      <w:r w:rsidRPr="00CE60CF">
        <w:t>people</w:t>
      </w:r>
      <w:proofErr w:type="spellEnd"/>
      <w:r w:rsidRPr="00CE60CF">
        <w:t xml:space="preserve"> of </w:t>
      </w:r>
      <w:proofErr w:type="spellStart"/>
      <w:r w:rsidRPr="00CE60CF">
        <w:t>intellect</w:t>
      </w:r>
      <w:proofErr w:type="spellEnd"/>
      <w:r w:rsidRPr="00CE60CF">
        <w:t xml:space="preserve"> (</w:t>
      </w:r>
      <w:proofErr w:type="spellStart"/>
      <w:r w:rsidRPr="00CE60CF">
        <w:t>hide</w:t>
      </w:r>
      <w:proofErr w:type="spellEnd"/>
      <w:r w:rsidRPr="00CE60CF">
        <w:t xml:space="preserve">) </w:t>
      </w:r>
      <w:proofErr w:type="spellStart"/>
      <w:r w:rsidRPr="00CE60CF">
        <w:t>rejection</w:t>
      </w:r>
      <w:proofErr w:type="spellEnd"/>
      <w:r w:rsidRPr="00CE60CF">
        <w:t xml:space="preserve"> inside,</w:t>
      </w:r>
    </w:p>
    <w:p w14:paraId="1DD4A841" w14:textId="77777777" w:rsidR="009C2F96" w:rsidRPr="00BD0D2E" w:rsidRDefault="009C2F96" w:rsidP="009C2F96">
      <w:pPr>
        <w:jc w:val="center"/>
      </w:pPr>
    </w:p>
    <w:p w14:paraId="69F2D18C" w14:textId="39846A6E" w:rsidR="0034640B" w:rsidRDefault="0034640B" w:rsidP="009C2F96">
      <w:pPr>
        <w:jc w:val="both"/>
      </w:pPr>
      <w:proofErr w:type="spellStart"/>
      <w:r>
        <w:t>In</w:t>
      </w:r>
      <w:proofErr w:type="spellEnd"/>
      <w:r>
        <w:t xml:space="preserve"> </w:t>
      </w:r>
      <w:proofErr w:type="spellStart"/>
      <w:r>
        <w:t>the</w:t>
      </w:r>
      <w:proofErr w:type="spellEnd"/>
      <w:r>
        <w:t xml:space="preserve"> </w:t>
      </w:r>
      <w:proofErr w:type="spellStart"/>
      <w:r>
        <w:t>fifth</w:t>
      </w:r>
      <w:proofErr w:type="spellEnd"/>
      <w:r>
        <w:t xml:space="preserve"> </w:t>
      </w:r>
      <w:proofErr w:type="spellStart"/>
      <w:r>
        <w:t>distich</w:t>
      </w:r>
      <w:proofErr w:type="spellEnd"/>
      <w:r>
        <w:t xml:space="preserve">, </w:t>
      </w:r>
      <w:proofErr w:type="spellStart"/>
      <w:r>
        <w:t>the</w:t>
      </w:r>
      <w:proofErr w:type="spellEnd"/>
      <w:r>
        <w:t xml:space="preserve"> </w:t>
      </w:r>
      <w:proofErr w:type="spellStart"/>
      <w:r>
        <w:t>ghazal</w:t>
      </w:r>
      <w:proofErr w:type="spellEnd"/>
      <w:r>
        <w:t xml:space="preserve"> </w:t>
      </w:r>
      <w:proofErr w:type="spellStart"/>
      <w:r>
        <w:t>takes</w:t>
      </w:r>
      <w:proofErr w:type="spellEnd"/>
      <w:r>
        <w:t xml:space="preserve"> an </w:t>
      </w:r>
      <w:proofErr w:type="spellStart"/>
      <w:r>
        <w:t>unexpected</w:t>
      </w:r>
      <w:proofErr w:type="spellEnd"/>
      <w:r>
        <w:t xml:space="preserve"> </w:t>
      </w:r>
      <w:proofErr w:type="spellStart"/>
      <w:r>
        <w:t>twist</w:t>
      </w:r>
      <w:proofErr w:type="spellEnd"/>
      <w:r>
        <w:t xml:space="preserve"> as </w:t>
      </w:r>
      <w:proofErr w:type="spellStart"/>
      <w:r w:rsidRPr="002B0DE3">
        <w:t>Rūmī</w:t>
      </w:r>
      <w:r>
        <w:t>’s</w:t>
      </w:r>
      <w:proofErr w:type="spellEnd"/>
      <w:r>
        <w:t xml:space="preserve"> </w:t>
      </w:r>
      <w:proofErr w:type="spellStart"/>
      <w:r>
        <w:t>criticism</w:t>
      </w:r>
      <w:proofErr w:type="spellEnd"/>
      <w:r>
        <w:t xml:space="preserve"> of </w:t>
      </w:r>
      <w:proofErr w:type="spellStart"/>
      <w:r>
        <w:t>intellect</w:t>
      </w:r>
      <w:proofErr w:type="spellEnd"/>
      <w:r>
        <w:t xml:space="preserve"> </w:t>
      </w:r>
      <w:proofErr w:type="spellStart"/>
      <w:r>
        <w:t>turns</w:t>
      </w:r>
      <w:proofErr w:type="spellEnd"/>
      <w:r>
        <w:t xml:space="preserve"> </w:t>
      </w:r>
      <w:proofErr w:type="spellStart"/>
      <w:r>
        <w:t>conspicously</w:t>
      </w:r>
      <w:proofErr w:type="spellEnd"/>
      <w:r>
        <w:t xml:space="preserve"> bitter. </w:t>
      </w:r>
      <w:proofErr w:type="spellStart"/>
      <w:r>
        <w:t>So</w:t>
      </w:r>
      <w:proofErr w:type="spellEnd"/>
      <w:r>
        <w:t xml:space="preserve"> far, </w:t>
      </w:r>
      <w:proofErr w:type="spellStart"/>
      <w:r>
        <w:t>the</w:t>
      </w:r>
      <w:proofErr w:type="spellEnd"/>
      <w:r>
        <w:t xml:space="preserve"> </w:t>
      </w:r>
      <w:proofErr w:type="spellStart"/>
      <w:r>
        <w:t>people</w:t>
      </w:r>
      <w:proofErr w:type="spellEnd"/>
      <w:r>
        <w:t xml:space="preserve"> </w:t>
      </w:r>
      <w:proofErr w:type="spellStart"/>
      <w:r>
        <w:t>who</w:t>
      </w:r>
      <w:proofErr w:type="spellEnd"/>
      <w:r>
        <w:t xml:space="preserve"> </w:t>
      </w:r>
      <w:proofErr w:type="spellStart"/>
      <w:r>
        <w:t>choose</w:t>
      </w:r>
      <w:proofErr w:type="spellEnd"/>
      <w:r>
        <w:t xml:space="preserve"> </w:t>
      </w:r>
      <w:proofErr w:type="spellStart"/>
      <w:r>
        <w:t>the</w:t>
      </w:r>
      <w:proofErr w:type="spellEnd"/>
      <w:r>
        <w:t xml:space="preserve"> </w:t>
      </w:r>
      <w:proofErr w:type="spellStart"/>
      <w:r>
        <w:t>intellect</w:t>
      </w:r>
      <w:proofErr w:type="spellEnd"/>
      <w:r>
        <w:t xml:space="preserve"> as </w:t>
      </w:r>
      <w:proofErr w:type="spellStart"/>
      <w:r>
        <w:t>their</w:t>
      </w:r>
      <w:proofErr w:type="spellEnd"/>
      <w:r>
        <w:t xml:space="preserve"> </w:t>
      </w:r>
      <w:proofErr w:type="spellStart"/>
      <w:r>
        <w:t>guide</w:t>
      </w:r>
      <w:proofErr w:type="spellEnd"/>
      <w:r>
        <w:t xml:space="preserve"> </w:t>
      </w:r>
      <w:proofErr w:type="spellStart"/>
      <w:r>
        <w:t>were</w:t>
      </w:r>
      <w:proofErr w:type="spellEnd"/>
      <w:r>
        <w:t xml:space="preserve"> </w:t>
      </w:r>
      <w:proofErr w:type="spellStart"/>
      <w:r>
        <w:t>implied</w:t>
      </w:r>
      <w:proofErr w:type="spellEnd"/>
      <w:r>
        <w:t xml:space="preserve"> </w:t>
      </w:r>
      <w:proofErr w:type="spellStart"/>
      <w:r>
        <w:t>to</w:t>
      </w:r>
      <w:proofErr w:type="spellEnd"/>
      <w:r>
        <w:t xml:space="preserve"> </w:t>
      </w:r>
      <w:r>
        <w:lastRenderedPageBreak/>
        <w:t xml:space="preserve">be </w:t>
      </w:r>
      <w:proofErr w:type="spellStart"/>
      <w:r>
        <w:t>misguided</w:t>
      </w:r>
      <w:proofErr w:type="spellEnd"/>
      <w:r>
        <w:t xml:space="preserve"> </w:t>
      </w:r>
      <w:proofErr w:type="spellStart"/>
      <w:r>
        <w:t>and</w:t>
      </w:r>
      <w:proofErr w:type="spellEnd"/>
      <w:r>
        <w:t xml:space="preserve"> </w:t>
      </w:r>
      <w:proofErr w:type="spellStart"/>
      <w:r>
        <w:t>narrow-sighted</w:t>
      </w:r>
      <w:proofErr w:type="spellEnd"/>
      <w:r>
        <w:t xml:space="preserve"> but </w:t>
      </w:r>
      <w:proofErr w:type="spellStart"/>
      <w:r>
        <w:t>now</w:t>
      </w:r>
      <w:proofErr w:type="spellEnd"/>
      <w:r>
        <w:t xml:space="preserve">, </w:t>
      </w:r>
      <w:proofErr w:type="spellStart"/>
      <w:r>
        <w:t>the</w:t>
      </w:r>
      <w:proofErr w:type="spellEnd"/>
      <w:r>
        <w:t xml:space="preserve"> </w:t>
      </w:r>
      <w:proofErr w:type="spellStart"/>
      <w:r>
        <w:t>poet</w:t>
      </w:r>
      <w:proofErr w:type="spellEnd"/>
      <w:r>
        <w:t xml:space="preserve"> </w:t>
      </w:r>
      <w:proofErr w:type="spellStart"/>
      <w:r>
        <w:t>accuses</w:t>
      </w:r>
      <w:proofErr w:type="spellEnd"/>
      <w:r>
        <w:t xml:space="preserve"> </w:t>
      </w:r>
      <w:proofErr w:type="spellStart"/>
      <w:r>
        <w:t>them</w:t>
      </w:r>
      <w:proofErr w:type="spellEnd"/>
      <w:r>
        <w:t xml:space="preserve"> of </w:t>
      </w:r>
      <w:proofErr w:type="spellStart"/>
      <w:r>
        <w:t>lack</w:t>
      </w:r>
      <w:proofErr w:type="spellEnd"/>
      <w:r>
        <w:t xml:space="preserve"> of </w:t>
      </w:r>
      <w:proofErr w:type="spellStart"/>
      <w:r>
        <w:t>faith</w:t>
      </w:r>
      <w:proofErr w:type="spellEnd"/>
      <w:r>
        <w:t xml:space="preserve">. </w:t>
      </w:r>
      <w:proofErr w:type="spellStart"/>
      <w:r>
        <w:t>This</w:t>
      </w:r>
      <w:proofErr w:type="spellEnd"/>
      <w:r>
        <w:t xml:space="preserve"> </w:t>
      </w:r>
      <w:proofErr w:type="spellStart"/>
      <w:r>
        <w:t>distich</w:t>
      </w:r>
      <w:proofErr w:type="spellEnd"/>
      <w:r>
        <w:t xml:space="preserve"> is a </w:t>
      </w:r>
      <w:proofErr w:type="spellStart"/>
      <w:r>
        <w:t>warning</w:t>
      </w:r>
      <w:proofErr w:type="spellEnd"/>
      <w:r>
        <w:t xml:space="preserve"> </w:t>
      </w:r>
      <w:proofErr w:type="spellStart"/>
      <w:r>
        <w:t>against</w:t>
      </w:r>
      <w:proofErr w:type="spellEnd"/>
      <w:r>
        <w:t xml:space="preserve"> </w:t>
      </w:r>
      <w:proofErr w:type="spellStart"/>
      <w:r>
        <w:t>depending</w:t>
      </w:r>
      <w:proofErr w:type="spellEnd"/>
      <w:r>
        <w:t xml:space="preserve"> on </w:t>
      </w:r>
      <w:proofErr w:type="spellStart"/>
      <w:r>
        <w:t>reason</w:t>
      </w:r>
      <w:proofErr w:type="spellEnd"/>
      <w:r>
        <w:t xml:space="preserve"> </w:t>
      </w:r>
      <w:proofErr w:type="spellStart"/>
      <w:r>
        <w:t>excessively</w:t>
      </w:r>
      <w:proofErr w:type="spellEnd"/>
      <w:r>
        <w:t xml:space="preserve"> </w:t>
      </w:r>
      <w:proofErr w:type="spellStart"/>
      <w:r>
        <w:t>without</w:t>
      </w:r>
      <w:proofErr w:type="spellEnd"/>
      <w:r>
        <w:t xml:space="preserve"> </w:t>
      </w:r>
      <w:proofErr w:type="spellStart"/>
      <w:r>
        <w:t>paying</w:t>
      </w:r>
      <w:proofErr w:type="spellEnd"/>
      <w:r>
        <w:t xml:space="preserve"> </w:t>
      </w:r>
      <w:proofErr w:type="spellStart"/>
      <w:r>
        <w:t>attention</w:t>
      </w:r>
      <w:proofErr w:type="spellEnd"/>
      <w:r>
        <w:t xml:space="preserve"> </w:t>
      </w:r>
      <w:proofErr w:type="spellStart"/>
      <w:r>
        <w:t>to</w:t>
      </w:r>
      <w:proofErr w:type="spellEnd"/>
      <w:r>
        <w:t xml:space="preserve"> </w:t>
      </w:r>
      <w:proofErr w:type="spellStart"/>
      <w:r>
        <w:t>the</w:t>
      </w:r>
      <w:proofErr w:type="spellEnd"/>
      <w:r>
        <w:t xml:space="preserve"> </w:t>
      </w:r>
      <w:proofErr w:type="spellStart"/>
      <w:r>
        <w:t>emotional</w:t>
      </w:r>
      <w:proofErr w:type="spellEnd"/>
      <w:r>
        <w:t xml:space="preserve"> </w:t>
      </w:r>
      <w:proofErr w:type="spellStart"/>
      <w:r>
        <w:t>aspects</w:t>
      </w:r>
      <w:proofErr w:type="spellEnd"/>
      <w:r>
        <w:t xml:space="preserve"> of </w:t>
      </w:r>
      <w:proofErr w:type="spellStart"/>
      <w:r>
        <w:t>human</w:t>
      </w:r>
      <w:proofErr w:type="spellEnd"/>
      <w:r>
        <w:t xml:space="preserve"> </w:t>
      </w:r>
      <w:proofErr w:type="spellStart"/>
      <w:r>
        <w:t>experience</w:t>
      </w:r>
      <w:proofErr w:type="spellEnd"/>
      <w:r>
        <w:t>.</w:t>
      </w:r>
    </w:p>
    <w:p w14:paraId="0B47F5AB" w14:textId="77777777" w:rsidR="009C2F96" w:rsidRPr="00BD0D2E" w:rsidRDefault="009C2F96" w:rsidP="009C2F96">
      <w:pPr>
        <w:jc w:val="both"/>
      </w:pPr>
    </w:p>
    <w:p w14:paraId="235DDE06" w14:textId="77777777" w:rsidR="0034640B" w:rsidRPr="00BD0D2E" w:rsidRDefault="0034640B" w:rsidP="009C2F96">
      <w:pPr>
        <w:jc w:val="center"/>
      </w:pPr>
      <w:r w:rsidRPr="00BD0D2E">
        <w:rPr>
          <w:rFonts w:hint="eastAsia"/>
          <w:rtl/>
        </w:rPr>
        <w:t>عقل</w:t>
      </w:r>
      <w:r w:rsidRPr="00BD0D2E">
        <w:rPr>
          <w:rtl/>
        </w:rPr>
        <w:t xml:space="preserve"> گو</w:t>
      </w:r>
      <w:r w:rsidRPr="00BD0D2E">
        <w:rPr>
          <w:rFonts w:hint="cs"/>
          <w:rtl/>
        </w:rPr>
        <w:t>ی</w:t>
      </w:r>
      <w:r w:rsidRPr="00BD0D2E">
        <w:rPr>
          <w:rFonts w:hint="eastAsia"/>
          <w:rtl/>
        </w:rPr>
        <w:t>د</w:t>
      </w:r>
      <w:r w:rsidRPr="00BD0D2E">
        <w:rPr>
          <w:rtl/>
        </w:rPr>
        <w:t xml:space="preserve"> پا منه کاندر فنا جز خار ن</w:t>
      </w:r>
      <w:r w:rsidRPr="00BD0D2E">
        <w:rPr>
          <w:rFonts w:hint="cs"/>
          <w:rtl/>
        </w:rPr>
        <w:t>ی</w:t>
      </w:r>
      <w:r w:rsidRPr="00BD0D2E">
        <w:rPr>
          <w:rFonts w:hint="eastAsia"/>
          <w:rtl/>
        </w:rPr>
        <w:t>ست</w:t>
      </w:r>
    </w:p>
    <w:p w14:paraId="631B50D0" w14:textId="77777777" w:rsidR="0034640B" w:rsidRDefault="0034640B" w:rsidP="009C2F96">
      <w:pPr>
        <w:jc w:val="center"/>
      </w:pPr>
      <w:r w:rsidRPr="00BD0D2E">
        <w:rPr>
          <w:rFonts w:hint="eastAsia"/>
          <w:rtl/>
        </w:rPr>
        <w:t>عشق</w:t>
      </w:r>
      <w:r w:rsidRPr="00BD0D2E">
        <w:rPr>
          <w:rtl/>
        </w:rPr>
        <w:t xml:space="preserve"> گو</w:t>
      </w:r>
      <w:r w:rsidRPr="00BD0D2E">
        <w:rPr>
          <w:rFonts w:hint="cs"/>
          <w:rtl/>
        </w:rPr>
        <w:t>ی</w:t>
      </w:r>
      <w:r w:rsidRPr="00BD0D2E">
        <w:rPr>
          <w:rFonts w:hint="eastAsia"/>
          <w:rtl/>
        </w:rPr>
        <w:t>د</w:t>
      </w:r>
      <w:r w:rsidRPr="00BD0D2E">
        <w:rPr>
          <w:rtl/>
        </w:rPr>
        <w:t xml:space="preserve"> عقل را کاندر توست آن خارها</w:t>
      </w:r>
    </w:p>
    <w:p w14:paraId="29F82417" w14:textId="77777777" w:rsidR="0034640B" w:rsidRPr="00CE60CF" w:rsidRDefault="0034640B" w:rsidP="009C2F96">
      <w:pPr>
        <w:jc w:val="center"/>
      </w:pPr>
      <w:r w:rsidRPr="00CE60CF">
        <w:rPr>
          <w:lang w:val="en-US"/>
        </w:rPr>
        <w:t>Intellect says: Do not enter, for in the annihilation of self, there is nothing but thorns.</w:t>
      </w:r>
    </w:p>
    <w:p w14:paraId="2F8D48BE" w14:textId="77777777" w:rsidR="0034640B" w:rsidRDefault="0034640B" w:rsidP="009C2F96">
      <w:pPr>
        <w:jc w:val="center"/>
      </w:pPr>
      <w:proofErr w:type="spellStart"/>
      <w:r w:rsidRPr="00CE60CF">
        <w:t>Love</w:t>
      </w:r>
      <w:proofErr w:type="spellEnd"/>
      <w:r w:rsidRPr="00CE60CF">
        <w:t xml:space="preserve"> </w:t>
      </w:r>
      <w:proofErr w:type="spellStart"/>
      <w:r w:rsidRPr="00CE60CF">
        <w:t>says</w:t>
      </w:r>
      <w:proofErr w:type="spellEnd"/>
      <w:r w:rsidRPr="00CE60CF">
        <w:t xml:space="preserve"> </w:t>
      </w:r>
      <w:proofErr w:type="spellStart"/>
      <w:r w:rsidRPr="00CE60CF">
        <w:t>to</w:t>
      </w:r>
      <w:proofErr w:type="spellEnd"/>
      <w:r w:rsidRPr="00CE60CF">
        <w:t xml:space="preserve"> </w:t>
      </w:r>
      <w:proofErr w:type="spellStart"/>
      <w:r w:rsidRPr="00CE60CF">
        <w:t>intellect</w:t>
      </w:r>
      <w:proofErr w:type="spellEnd"/>
      <w:r w:rsidRPr="00CE60CF">
        <w:t xml:space="preserve">: Inside </w:t>
      </w:r>
      <w:proofErr w:type="spellStart"/>
      <w:r w:rsidRPr="00CE60CF">
        <w:t>you</w:t>
      </w:r>
      <w:proofErr w:type="spellEnd"/>
      <w:r w:rsidRPr="00CE60CF">
        <w:t xml:space="preserve">, </w:t>
      </w:r>
      <w:proofErr w:type="spellStart"/>
      <w:r w:rsidRPr="00CE60CF">
        <w:t>are</w:t>
      </w:r>
      <w:proofErr w:type="spellEnd"/>
      <w:r w:rsidRPr="00CE60CF">
        <w:t xml:space="preserve"> </w:t>
      </w:r>
      <w:proofErr w:type="spellStart"/>
      <w:r w:rsidRPr="00CE60CF">
        <w:t>those</w:t>
      </w:r>
      <w:proofErr w:type="spellEnd"/>
      <w:r w:rsidRPr="00CE60CF">
        <w:t xml:space="preserve"> </w:t>
      </w:r>
      <w:proofErr w:type="spellStart"/>
      <w:r w:rsidRPr="00CE60CF">
        <w:t>thorns</w:t>
      </w:r>
      <w:proofErr w:type="spellEnd"/>
      <w:r w:rsidRPr="00CE60CF">
        <w:t>!</w:t>
      </w:r>
    </w:p>
    <w:p w14:paraId="6FE1CD50" w14:textId="77777777" w:rsidR="009C2F96" w:rsidRPr="00CE60CF" w:rsidRDefault="009C2F96" w:rsidP="009C2F96">
      <w:pPr>
        <w:jc w:val="center"/>
      </w:pPr>
    </w:p>
    <w:p w14:paraId="5A2C7850" w14:textId="77777777" w:rsidR="0034640B" w:rsidRDefault="0034640B" w:rsidP="009C2F96">
      <w:pPr>
        <w:jc w:val="both"/>
        <w:rPr>
          <w:color w:val="000000" w:themeColor="text1"/>
        </w:rPr>
      </w:pPr>
      <w:proofErr w:type="spellStart"/>
      <w:r>
        <w:t>In</w:t>
      </w:r>
      <w:proofErr w:type="spellEnd"/>
      <w:r>
        <w:t xml:space="preserve"> </w:t>
      </w:r>
      <w:proofErr w:type="spellStart"/>
      <w:r>
        <w:t>the</w:t>
      </w:r>
      <w:proofErr w:type="spellEnd"/>
      <w:r>
        <w:t xml:space="preserve"> </w:t>
      </w:r>
      <w:proofErr w:type="spellStart"/>
      <w:r>
        <w:t>sixth</w:t>
      </w:r>
      <w:proofErr w:type="spellEnd"/>
      <w:r>
        <w:t xml:space="preserve"> </w:t>
      </w:r>
      <w:proofErr w:type="spellStart"/>
      <w:r>
        <w:t>distich</w:t>
      </w:r>
      <w:proofErr w:type="spellEnd"/>
      <w:r>
        <w:t xml:space="preserve"> </w:t>
      </w:r>
      <w:proofErr w:type="spellStart"/>
      <w:r w:rsidRPr="00D477F2">
        <w:t>Rūmī</w:t>
      </w:r>
      <w:proofErr w:type="spellEnd"/>
      <w:r w:rsidRPr="00D477F2">
        <w:t xml:space="preserve"> </w:t>
      </w:r>
      <w:proofErr w:type="spellStart"/>
      <w:r>
        <w:t>elaborates</w:t>
      </w:r>
      <w:proofErr w:type="spellEnd"/>
      <w:r>
        <w:t xml:space="preserve"> on </w:t>
      </w:r>
      <w:proofErr w:type="spellStart"/>
      <w:r>
        <w:t>the</w:t>
      </w:r>
      <w:proofErr w:type="spellEnd"/>
      <w:r>
        <w:t xml:space="preserve"> idea he has </w:t>
      </w:r>
      <w:proofErr w:type="spellStart"/>
      <w:r>
        <w:t>presented</w:t>
      </w:r>
      <w:proofErr w:type="spellEnd"/>
      <w:r>
        <w:t xml:space="preserve"> in </w:t>
      </w:r>
      <w:proofErr w:type="spellStart"/>
      <w:r>
        <w:t>the</w:t>
      </w:r>
      <w:proofErr w:type="spellEnd"/>
      <w:r>
        <w:t xml:space="preserve"> </w:t>
      </w:r>
      <w:proofErr w:type="spellStart"/>
      <w:r>
        <w:t>fifth</w:t>
      </w:r>
      <w:proofErr w:type="spellEnd"/>
      <w:r>
        <w:t xml:space="preserve"> </w:t>
      </w:r>
      <w:proofErr w:type="spellStart"/>
      <w:r>
        <w:t>distich</w:t>
      </w:r>
      <w:proofErr w:type="spellEnd"/>
      <w:r>
        <w:t xml:space="preserve">. </w:t>
      </w:r>
      <w:proofErr w:type="spellStart"/>
      <w:r w:rsidRPr="00D477F2">
        <w:t>Suggest</w:t>
      </w:r>
      <w:r>
        <w:t>ing</w:t>
      </w:r>
      <w:proofErr w:type="spellEnd"/>
      <w:r>
        <w:t xml:space="preserve"> </w:t>
      </w:r>
      <w:proofErr w:type="spellStart"/>
      <w:r w:rsidRPr="00D477F2">
        <w:t>that</w:t>
      </w:r>
      <w:proofErr w:type="spellEnd"/>
      <w:r w:rsidRPr="00D477F2">
        <w:t xml:space="preserve"> </w:t>
      </w:r>
      <w:proofErr w:type="spellStart"/>
      <w:r w:rsidRPr="00D477F2">
        <w:t>the</w:t>
      </w:r>
      <w:proofErr w:type="spellEnd"/>
      <w:r w:rsidRPr="00D477F2">
        <w:t xml:space="preserve"> </w:t>
      </w:r>
      <w:proofErr w:type="spellStart"/>
      <w:r w:rsidRPr="00D477F2">
        <w:t>intellect</w:t>
      </w:r>
      <w:proofErr w:type="spellEnd"/>
      <w:r w:rsidRPr="00D477F2">
        <w:t xml:space="preserve"> </w:t>
      </w:r>
      <w:proofErr w:type="spellStart"/>
      <w:r w:rsidRPr="00D477F2">
        <w:t>primarily</w:t>
      </w:r>
      <w:proofErr w:type="spellEnd"/>
      <w:r w:rsidRPr="00D477F2">
        <w:t xml:space="preserve"> </w:t>
      </w:r>
      <w:proofErr w:type="spellStart"/>
      <w:r w:rsidRPr="00D477F2">
        <w:t>functions</w:t>
      </w:r>
      <w:proofErr w:type="spellEnd"/>
      <w:r w:rsidRPr="00D477F2">
        <w:t xml:space="preserve"> </w:t>
      </w:r>
      <w:proofErr w:type="spellStart"/>
      <w:r w:rsidRPr="00D477F2">
        <w:t>to</w:t>
      </w:r>
      <w:proofErr w:type="spellEnd"/>
      <w:r w:rsidRPr="00D477F2">
        <w:t xml:space="preserve"> </w:t>
      </w:r>
      <w:proofErr w:type="spellStart"/>
      <w:r w:rsidRPr="00D477F2">
        <w:t>discourage</w:t>
      </w:r>
      <w:proofErr w:type="spellEnd"/>
      <w:r w:rsidRPr="00D477F2">
        <w:t xml:space="preserve"> </w:t>
      </w:r>
      <w:proofErr w:type="spellStart"/>
      <w:r>
        <w:t>the</w:t>
      </w:r>
      <w:proofErr w:type="spellEnd"/>
      <w:r>
        <w:t xml:space="preserve"> </w:t>
      </w:r>
      <w:proofErr w:type="spellStart"/>
      <w:r>
        <w:t>individual</w:t>
      </w:r>
      <w:proofErr w:type="spellEnd"/>
      <w:r w:rsidRPr="00D477F2">
        <w:t xml:space="preserve"> </w:t>
      </w:r>
      <w:proofErr w:type="spellStart"/>
      <w:r w:rsidRPr="00D477F2">
        <w:t>from</w:t>
      </w:r>
      <w:proofErr w:type="spellEnd"/>
      <w:r w:rsidRPr="00D477F2">
        <w:t xml:space="preserve"> </w:t>
      </w:r>
      <w:proofErr w:type="spellStart"/>
      <w:r w:rsidRPr="00D477F2">
        <w:t>striving</w:t>
      </w:r>
      <w:proofErr w:type="spellEnd"/>
      <w:r w:rsidRPr="00D477F2">
        <w:t xml:space="preserve"> </w:t>
      </w:r>
      <w:proofErr w:type="spellStart"/>
      <w:r w:rsidRPr="00D477F2">
        <w:t>for</w:t>
      </w:r>
      <w:proofErr w:type="spellEnd"/>
      <w:r w:rsidRPr="00D477F2">
        <w:t xml:space="preserve"> </w:t>
      </w:r>
      <w:proofErr w:type="spellStart"/>
      <w:r w:rsidRPr="00D477F2">
        <w:t>spiritual</w:t>
      </w:r>
      <w:proofErr w:type="spellEnd"/>
      <w:r w:rsidRPr="00D477F2">
        <w:t xml:space="preserve"> </w:t>
      </w:r>
      <w:proofErr w:type="spellStart"/>
      <w:r w:rsidRPr="00D477F2">
        <w:t>enlightenment</w:t>
      </w:r>
      <w:proofErr w:type="spellEnd"/>
      <w:r w:rsidRPr="00D477F2">
        <w:t xml:space="preserve"> </w:t>
      </w:r>
      <w:proofErr w:type="spellStart"/>
      <w:r w:rsidRPr="00D477F2">
        <w:t>by</w:t>
      </w:r>
      <w:proofErr w:type="spellEnd"/>
      <w:r w:rsidRPr="00D477F2">
        <w:t xml:space="preserve"> </w:t>
      </w:r>
      <w:proofErr w:type="spellStart"/>
      <w:r w:rsidRPr="00D477F2">
        <w:t>portraying</w:t>
      </w:r>
      <w:proofErr w:type="spellEnd"/>
      <w:r w:rsidRPr="00D477F2">
        <w:t xml:space="preserve"> </w:t>
      </w:r>
      <w:proofErr w:type="spellStart"/>
      <w:r w:rsidRPr="00D477F2">
        <w:t>that</w:t>
      </w:r>
      <w:proofErr w:type="spellEnd"/>
      <w:r w:rsidRPr="00D477F2">
        <w:t xml:space="preserve"> </w:t>
      </w:r>
      <w:proofErr w:type="spellStart"/>
      <w:r w:rsidRPr="00D477F2">
        <w:t>path</w:t>
      </w:r>
      <w:proofErr w:type="spellEnd"/>
      <w:r w:rsidRPr="00D477F2">
        <w:t xml:space="preserve"> as </w:t>
      </w:r>
      <w:proofErr w:type="spellStart"/>
      <w:r w:rsidRPr="00D477F2">
        <w:t>one</w:t>
      </w:r>
      <w:proofErr w:type="spellEnd"/>
      <w:r w:rsidRPr="00D477F2">
        <w:t xml:space="preserve"> of </w:t>
      </w:r>
      <w:proofErr w:type="spellStart"/>
      <w:r w:rsidRPr="00D477F2">
        <w:t>ruin</w:t>
      </w:r>
      <w:proofErr w:type="spellEnd"/>
      <w:r w:rsidRPr="00D477F2">
        <w:t xml:space="preserve"> </w:t>
      </w:r>
      <w:proofErr w:type="spellStart"/>
      <w:r w:rsidRPr="00D477F2">
        <w:t>and</w:t>
      </w:r>
      <w:proofErr w:type="spellEnd"/>
      <w:r w:rsidRPr="00D477F2">
        <w:t xml:space="preserve"> </w:t>
      </w:r>
      <w:proofErr w:type="spellStart"/>
      <w:r w:rsidRPr="00D477F2">
        <w:t>suffering</w:t>
      </w:r>
      <w:proofErr w:type="spellEnd"/>
      <w:r w:rsidRPr="00D477F2">
        <w:t>.</w:t>
      </w:r>
      <w:r>
        <w:t xml:space="preserve"> </w:t>
      </w:r>
      <w:proofErr w:type="spellStart"/>
      <w:r>
        <w:t>The</w:t>
      </w:r>
      <w:proofErr w:type="spellEnd"/>
      <w:r>
        <w:t xml:space="preserve"> </w:t>
      </w:r>
      <w:proofErr w:type="spellStart"/>
      <w:r>
        <w:t>intellect’s</w:t>
      </w:r>
      <w:proofErr w:type="spellEnd"/>
      <w:r>
        <w:t xml:space="preserve"> </w:t>
      </w:r>
      <w:proofErr w:type="spellStart"/>
      <w:r>
        <w:t>pessimistic</w:t>
      </w:r>
      <w:proofErr w:type="spellEnd"/>
      <w:r>
        <w:t xml:space="preserve"> </w:t>
      </w:r>
      <w:proofErr w:type="spellStart"/>
      <w:r>
        <w:t>outlook</w:t>
      </w:r>
      <w:proofErr w:type="spellEnd"/>
      <w:r>
        <w:t xml:space="preserve">, as </w:t>
      </w:r>
      <w:proofErr w:type="spellStart"/>
      <w:r w:rsidRPr="00D477F2">
        <w:t>Rūmī</w:t>
      </w:r>
      <w:proofErr w:type="spellEnd"/>
      <w:r>
        <w:t xml:space="preserve"> has </w:t>
      </w:r>
      <w:proofErr w:type="spellStart"/>
      <w:r>
        <w:t>already</w:t>
      </w:r>
      <w:proofErr w:type="spellEnd"/>
      <w:r>
        <w:t xml:space="preserve"> </w:t>
      </w:r>
      <w:proofErr w:type="spellStart"/>
      <w:r>
        <w:t>discussed</w:t>
      </w:r>
      <w:proofErr w:type="spellEnd"/>
      <w:r>
        <w:t xml:space="preserve"> in </w:t>
      </w:r>
      <w:proofErr w:type="spellStart"/>
      <w:r>
        <w:t>the</w:t>
      </w:r>
      <w:proofErr w:type="spellEnd"/>
      <w:r>
        <w:t xml:space="preserve"> </w:t>
      </w:r>
      <w:proofErr w:type="spellStart"/>
      <w:r>
        <w:t>previous</w:t>
      </w:r>
      <w:proofErr w:type="spellEnd"/>
      <w:r>
        <w:t xml:space="preserve"> </w:t>
      </w:r>
      <w:proofErr w:type="spellStart"/>
      <w:r>
        <w:t>parts</w:t>
      </w:r>
      <w:proofErr w:type="spellEnd"/>
      <w:r>
        <w:t xml:space="preserve"> of his </w:t>
      </w:r>
      <w:proofErr w:type="spellStart"/>
      <w:r>
        <w:t>ghazal</w:t>
      </w:r>
      <w:proofErr w:type="spellEnd"/>
      <w:r>
        <w:t xml:space="preserve">, is </w:t>
      </w:r>
      <w:proofErr w:type="spellStart"/>
      <w:r>
        <w:t>wrong</w:t>
      </w:r>
      <w:proofErr w:type="spellEnd"/>
      <w:r>
        <w:t xml:space="preserve">. </w:t>
      </w:r>
      <w:proofErr w:type="spellStart"/>
      <w:r w:rsidRPr="009627D4">
        <w:rPr>
          <w:color w:val="000000" w:themeColor="text1"/>
        </w:rPr>
        <w:t>Love</w:t>
      </w:r>
      <w:proofErr w:type="spellEnd"/>
      <w:r w:rsidRPr="009627D4">
        <w:rPr>
          <w:color w:val="000000" w:themeColor="text1"/>
        </w:rPr>
        <w:t xml:space="preserve"> </w:t>
      </w:r>
      <w:proofErr w:type="spellStart"/>
      <w:r w:rsidRPr="009627D4">
        <w:rPr>
          <w:color w:val="000000" w:themeColor="text1"/>
        </w:rPr>
        <w:t>presents</w:t>
      </w:r>
      <w:proofErr w:type="spellEnd"/>
      <w:r w:rsidRPr="009627D4">
        <w:rPr>
          <w:color w:val="000000" w:themeColor="text1"/>
        </w:rPr>
        <w:t xml:space="preserve"> a </w:t>
      </w:r>
      <w:proofErr w:type="spellStart"/>
      <w:r w:rsidRPr="009627D4">
        <w:rPr>
          <w:color w:val="000000" w:themeColor="text1"/>
        </w:rPr>
        <w:t>counter-argument</w:t>
      </w:r>
      <w:proofErr w:type="spellEnd"/>
      <w:r w:rsidRPr="009627D4">
        <w:rPr>
          <w:color w:val="000000" w:themeColor="text1"/>
        </w:rPr>
        <w:t xml:space="preserve">: </w:t>
      </w:r>
      <w:proofErr w:type="spellStart"/>
      <w:r w:rsidRPr="009627D4">
        <w:rPr>
          <w:color w:val="000000" w:themeColor="text1"/>
        </w:rPr>
        <w:t>the</w:t>
      </w:r>
      <w:proofErr w:type="spellEnd"/>
      <w:r w:rsidRPr="009627D4">
        <w:rPr>
          <w:color w:val="000000" w:themeColor="text1"/>
        </w:rPr>
        <w:t xml:space="preserve"> </w:t>
      </w:r>
      <w:proofErr w:type="spellStart"/>
      <w:r w:rsidRPr="009627D4">
        <w:rPr>
          <w:color w:val="000000" w:themeColor="text1"/>
        </w:rPr>
        <w:t>thorns</w:t>
      </w:r>
      <w:proofErr w:type="spellEnd"/>
      <w:r w:rsidRPr="009627D4">
        <w:rPr>
          <w:color w:val="000000" w:themeColor="text1"/>
        </w:rPr>
        <w:t xml:space="preserve"> </w:t>
      </w:r>
      <w:proofErr w:type="spellStart"/>
      <w:r w:rsidRPr="009627D4">
        <w:rPr>
          <w:color w:val="000000" w:themeColor="text1"/>
        </w:rPr>
        <w:t>are</w:t>
      </w:r>
      <w:proofErr w:type="spellEnd"/>
      <w:r w:rsidRPr="009627D4">
        <w:rPr>
          <w:color w:val="000000" w:themeColor="text1"/>
        </w:rPr>
        <w:t xml:space="preserve"> a </w:t>
      </w:r>
      <w:proofErr w:type="spellStart"/>
      <w:r w:rsidRPr="009627D4">
        <w:rPr>
          <w:color w:val="000000" w:themeColor="text1"/>
        </w:rPr>
        <w:t>delusion</w:t>
      </w:r>
      <w:proofErr w:type="spellEnd"/>
      <w:r w:rsidRPr="009627D4">
        <w:rPr>
          <w:color w:val="000000" w:themeColor="text1"/>
        </w:rPr>
        <w:t xml:space="preserve"> </w:t>
      </w:r>
      <w:proofErr w:type="spellStart"/>
      <w:r w:rsidRPr="009627D4">
        <w:rPr>
          <w:color w:val="000000" w:themeColor="text1"/>
        </w:rPr>
        <w:t>concocted</w:t>
      </w:r>
      <w:proofErr w:type="spellEnd"/>
      <w:r w:rsidRPr="009627D4">
        <w:rPr>
          <w:color w:val="000000" w:themeColor="text1"/>
        </w:rPr>
        <w:t xml:space="preserve"> </w:t>
      </w:r>
      <w:proofErr w:type="spellStart"/>
      <w:r w:rsidRPr="009627D4">
        <w:rPr>
          <w:color w:val="000000" w:themeColor="text1"/>
        </w:rPr>
        <w:t>by</w:t>
      </w:r>
      <w:proofErr w:type="spellEnd"/>
      <w:r w:rsidRPr="009627D4">
        <w:rPr>
          <w:color w:val="000000" w:themeColor="text1"/>
        </w:rPr>
        <w:t xml:space="preserve"> </w:t>
      </w:r>
      <w:proofErr w:type="spellStart"/>
      <w:r w:rsidRPr="009627D4">
        <w:rPr>
          <w:color w:val="000000" w:themeColor="text1"/>
        </w:rPr>
        <w:t>the</w:t>
      </w:r>
      <w:proofErr w:type="spellEnd"/>
      <w:r w:rsidRPr="009627D4">
        <w:rPr>
          <w:color w:val="000000" w:themeColor="text1"/>
        </w:rPr>
        <w:t xml:space="preserve"> </w:t>
      </w:r>
      <w:proofErr w:type="spellStart"/>
      <w:r w:rsidRPr="009627D4">
        <w:rPr>
          <w:color w:val="000000" w:themeColor="text1"/>
        </w:rPr>
        <w:t>intellect</w:t>
      </w:r>
      <w:proofErr w:type="spellEnd"/>
      <w:r w:rsidRPr="009627D4">
        <w:rPr>
          <w:color w:val="000000" w:themeColor="text1"/>
        </w:rPr>
        <w:t>.</w:t>
      </w:r>
    </w:p>
    <w:p w14:paraId="1CEF714A" w14:textId="77777777" w:rsidR="009C2F96" w:rsidRPr="00BD0D2E" w:rsidRDefault="009C2F96" w:rsidP="009C2F96">
      <w:pPr>
        <w:jc w:val="both"/>
      </w:pPr>
    </w:p>
    <w:p w14:paraId="7710865A" w14:textId="77777777" w:rsidR="0034640B" w:rsidRPr="00BD0D2E" w:rsidRDefault="0034640B" w:rsidP="009C2F96">
      <w:pPr>
        <w:jc w:val="center"/>
      </w:pPr>
      <w:r w:rsidRPr="00BD0D2E">
        <w:rPr>
          <w:rFonts w:hint="eastAsia"/>
          <w:rtl/>
        </w:rPr>
        <w:t>ه</w:t>
      </w:r>
      <w:r w:rsidRPr="00BD0D2E">
        <w:rPr>
          <w:rFonts w:hint="cs"/>
          <w:rtl/>
        </w:rPr>
        <w:t>ی</w:t>
      </w:r>
      <w:r w:rsidRPr="00BD0D2E">
        <w:rPr>
          <w:rFonts w:hint="eastAsia"/>
          <w:rtl/>
        </w:rPr>
        <w:t>ن</w:t>
      </w:r>
      <w:r w:rsidRPr="00BD0D2E">
        <w:rPr>
          <w:rtl/>
        </w:rPr>
        <w:t xml:space="preserve"> خمش کن خار هست</w:t>
      </w:r>
      <w:r w:rsidRPr="00BD0D2E">
        <w:rPr>
          <w:rFonts w:hint="cs"/>
          <w:rtl/>
        </w:rPr>
        <w:t>ی</w:t>
      </w:r>
      <w:r w:rsidRPr="00BD0D2E">
        <w:rPr>
          <w:rtl/>
        </w:rPr>
        <w:t xml:space="preserve"> را ز پا</w:t>
      </w:r>
      <w:r w:rsidRPr="00BD0D2E">
        <w:rPr>
          <w:rFonts w:hint="cs"/>
          <w:rtl/>
        </w:rPr>
        <w:t>ی</w:t>
      </w:r>
      <w:r w:rsidRPr="00BD0D2E">
        <w:rPr>
          <w:rtl/>
        </w:rPr>
        <w:t xml:space="preserve"> دل بکن</w:t>
      </w:r>
    </w:p>
    <w:p w14:paraId="4FFF1D1C" w14:textId="77777777" w:rsidR="0034640B" w:rsidRDefault="0034640B" w:rsidP="009C2F96">
      <w:pPr>
        <w:jc w:val="center"/>
      </w:pPr>
      <w:r w:rsidRPr="00BD0D2E">
        <w:rPr>
          <w:rFonts w:hint="eastAsia"/>
          <w:rtl/>
        </w:rPr>
        <w:t>تا</w:t>
      </w:r>
      <w:r w:rsidRPr="00BD0D2E">
        <w:rPr>
          <w:rtl/>
        </w:rPr>
        <w:t xml:space="preserve"> بب</w:t>
      </w:r>
      <w:r w:rsidRPr="00BD0D2E">
        <w:rPr>
          <w:rFonts w:hint="cs"/>
          <w:rtl/>
        </w:rPr>
        <w:t>ی</w:t>
      </w:r>
      <w:r w:rsidRPr="00BD0D2E">
        <w:rPr>
          <w:rFonts w:hint="eastAsia"/>
          <w:rtl/>
        </w:rPr>
        <w:t>ن</w:t>
      </w:r>
      <w:r w:rsidRPr="00BD0D2E">
        <w:rPr>
          <w:rFonts w:hint="cs"/>
          <w:rtl/>
        </w:rPr>
        <w:t>ی</w:t>
      </w:r>
      <w:r w:rsidRPr="00BD0D2E">
        <w:rPr>
          <w:rtl/>
        </w:rPr>
        <w:t xml:space="preserve"> در درون خو</w:t>
      </w:r>
      <w:r w:rsidRPr="00BD0D2E">
        <w:rPr>
          <w:rFonts w:hint="cs"/>
          <w:rtl/>
        </w:rPr>
        <w:t>ی</w:t>
      </w:r>
      <w:r w:rsidRPr="00BD0D2E">
        <w:rPr>
          <w:rFonts w:hint="eastAsia"/>
          <w:rtl/>
        </w:rPr>
        <w:t>شتن</w:t>
      </w:r>
      <w:r w:rsidRPr="00BD0D2E">
        <w:rPr>
          <w:rtl/>
        </w:rPr>
        <w:t xml:space="preserve"> گلزارها</w:t>
      </w:r>
    </w:p>
    <w:p w14:paraId="090CA31A" w14:textId="77777777" w:rsidR="0034640B" w:rsidRPr="00CE60CF" w:rsidRDefault="0034640B" w:rsidP="009C2F96">
      <w:pPr>
        <w:jc w:val="center"/>
      </w:pPr>
      <w:r w:rsidRPr="00CE60CF">
        <w:t xml:space="preserve">Do </w:t>
      </w:r>
      <w:proofErr w:type="spellStart"/>
      <w:r w:rsidRPr="00CE60CF">
        <w:t>away</w:t>
      </w:r>
      <w:proofErr w:type="spellEnd"/>
      <w:r w:rsidRPr="00CE60CF">
        <w:t xml:space="preserve"> </w:t>
      </w:r>
      <w:proofErr w:type="spellStart"/>
      <w:r w:rsidRPr="00CE60CF">
        <w:t>with</w:t>
      </w:r>
      <w:proofErr w:type="spellEnd"/>
      <w:r w:rsidRPr="00CE60CF">
        <w:t xml:space="preserve"> </w:t>
      </w:r>
      <w:proofErr w:type="spellStart"/>
      <w:r>
        <w:t>warnings</w:t>
      </w:r>
      <w:proofErr w:type="spellEnd"/>
      <w:r w:rsidRPr="00CE60CF">
        <w:t xml:space="preserve">! </w:t>
      </w:r>
      <w:proofErr w:type="spellStart"/>
      <w:r w:rsidRPr="00CE60CF">
        <w:t>Uproot</w:t>
      </w:r>
      <w:proofErr w:type="spellEnd"/>
      <w:r w:rsidRPr="00CE60CF">
        <w:t xml:space="preserve"> </w:t>
      </w:r>
      <w:proofErr w:type="spellStart"/>
      <w:r w:rsidRPr="00CE60CF">
        <w:t>the</w:t>
      </w:r>
      <w:proofErr w:type="spellEnd"/>
      <w:r w:rsidRPr="00CE60CF">
        <w:t xml:space="preserve"> </w:t>
      </w:r>
      <w:proofErr w:type="spellStart"/>
      <w:r w:rsidRPr="00CE60CF">
        <w:t>thorn</w:t>
      </w:r>
      <w:proofErr w:type="spellEnd"/>
      <w:r w:rsidRPr="00CE60CF">
        <w:t xml:space="preserve"> of </w:t>
      </w:r>
      <w:proofErr w:type="spellStart"/>
      <w:r w:rsidRPr="00CE60CF">
        <w:t>existence</w:t>
      </w:r>
      <w:proofErr w:type="spellEnd"/>
      <w:r w:rsidRPr="00CE60CF">
        <w:t xml:space="preserve"> </w:t>
      </w:r>
      <w:proofErr w:type="spellStart"/>
      <w:r w:rsidRPr="00CE60CF">
        <w:t>from</w:t>
      </w:r>
      <w:proofErr w:type="spellEnd"/>
      <w:r w:rsidRPr="00CE60CF">
        <w:t xml:space="preserve"> </w:t>
      </w:r>
      <w:proofErr w:type="spellStart"/>
      <w:r w:rsidRPr="00CE60CF">
        <w:t>the</w:t>
      </w:r>
      <w:proofErr w:type="spellEnd"/>
      <w:r w:rsidRPr="00CE60CF">
        <w:t xml:space="preserve"> </w:t>
      </w:r>
      <w:proofErr w:type="spellStart"/>
      <w:r w:rsidRPr="00CE60CF">
        <w:t>heart’s</w:t>
      </w:r>
      <w:proofErr w:type="spellEnd"/>
      <w:r w:rsidRPr="00CE60CF">
        <w:t xml:space="preserve"> </w:t>
      </w:r>
      <w:proofErr w:type="spellStart"/>
      <w:r w:rsidRPr="00CE60CF">
        <w:t>base</w:t>
      </w:r>
      <w:proofErr w:type="spellEnd"/>
      <w:r w:rsidRPr="00CE60CF">
        <w:t>.</w:t>
      </w:r>
    </w:p>
    <w:p w14:paraId="44D9CD73" w14:textId="77777777" w:rsidR="0034640B" w:rsidRDefault="0034640B" w:rsidP="009C2F96">
      <w:pPr>
        <w:jc w:val="center"/>
      </w:pPr>
      <w:proofErr w:type="spellStart"/>
      <w:r w:rsidRPr="00CE60CF">
        <w:t>So</w:t>
      </w:r>
      <w:proofErr w:type="spellEnd"/>
      <w:r w:rsidRPr="00CE60CF">
        <w:t xml:space="preserve"> </w:t>
      </w:r>
      <w:proofErr w:type="spellStart"/>
      <w:r w:rsidRPr="00CE60CF">
        <w:t>that</w:t>
      </w:r>
      <w:proofErr w:type="spellEnd"/>
      <w:r w:rsidRPr="00CE60CF">
        <w:t xml:space="preserve"> </w:t>
      </w:r>
      <w:proofErr w:type="spellStart"/>
      <w:r w:rsidRPr="00CE60CF">
        <w:t>you</w:t>
      </w:r>
      <w:proofErr w:type="spellEnd"/>
      <w:r w:rsidRPr="00CE60CF">
        <w:t xml:space="preserve"> </w:t>
      </w:r>
      <w:proofErr w:type="spellStart"/>
      <w:r w:rsidRPr="00CE60CF">
        <w:t>see</w:t>
      </w:r>
      <w:proofErr w:type="spellEnd"/>
      <w:r w:rsidRPr="00CE60CF">
        <w:t xml:space="preserve"> </w:t>
      </w:r>
      <w:proofErr w:type="spellStart"/>
      <w:r w:rsidRPr="00CE60CF">
        <w:t>the</w:t>
      </w:r>
      <w:proofErr w:type="spellEnd"/>
      <w:r w:rsidRPr="00CE60CF">
        <w:t xml:space="preserve"> </w:t>
      </w:r>
      <w:proofErr w:type="spellStart"/>
      <w:r w:rsidRPr="00CE60CF">
        <w:t>rose</w:t>
      </w:r>
      <w:proofErr w:type="spellEnd"/>
      <w:r w:rsidRPr="00CE60CF">
        <w:t xml:space="preserve"> </w:t>
      </w:r>
      <w:proofErr w:type="spellStart"/>
      <w:r w:rsidRPr="00CE60CF">
        <w:t>gardens</w:t>
      </w:r>
      <w:proofErr w:type="spellEnd"/>
      <w:r w:rsidRPr="00CE60CF">
        <w:t xml:space="preserve"> inside </w:t>
      </w:r>
      <w:proofErr w:type="spellStart"/>
      <w:r w:rsidRPr="00CE60CF">
        <w:t>yourself</w:t>
      </w:r>
      <w:proofErr w:type="spellEnd"/>
      <w:r w:rsidRPr="00CE60CF">
        <w:t>.</w:t>
      </w:r>
    </w:p>
    <w:p w14:paraId="49F68146" w14:textId="77777777" w:rsidR="009C2F96" w:rsidRPr="00BD0D2E" w:rsidRDefault="009C2F96" w:rsidP="009C2F96">
      <w:pPr>
        <w:jc w:val="center"/>
      </w:pPr>
    </w:p>
    <w:p w14:paraId="72AB86AC" w14:textId="27F3CA9D" w:rsidR="0034640B" w:rsidRDefault="0034640B" w:rsidP="009C2F96">
      <w:proofErr w:type="spellStart"/>
      <w:r>
        <w:t>In</w:t>
      </w:r>
      <w:proofErr w:type="spellEnd"/>
      <w:r>
        <w:t xml:space="preserve"> </w:t>
      </w:r>
      <w:proofErr w:type="spellStart"/>
      <w:r>
        <w:t>the</w:t>
      </w:r>
      <w:proofErr w:type="spellEnd"/>
      <w:r>
        <w:t xml:space="preserve"> </w:t>
      </w:r>
      <w:proofErr w:type="spellStart"/>
      <w:r>
        <w:t>seventh</w:t>
      </w:r>
      <w:proofErr w:type="spellEnd"/>
      <w:r>
        <w:t xml:space="preserve"> </w:t>
      </w:r>
      <w:proofErr w:type="spellStart"/>
      <w:r>
        <w:t>distich</w:t>
      </w:r>
      <w:proofErr w:type="spellEnd"/>
      <w:r>
        <w:t xml:space="preserve">, </w:t>
      </w:r>
      <w:proofErr w:type="spellStart"/>
      <w:r w:rsidRPr="00D477F2">
        <w:t>Rūmī</w:t>
      </w:r>
      <w:proofErr w:type="spellEnd"/>
      <w:r>
        <w:t xml:space="preserve"> </w:t>
      </w:r>
      <w:proofErr w:type="spellStart"/>
      <w:r>
        <w:t>continues</w:t>
      </w:r>
      <w:proofErr w:type="spellEnd"/>
      <w:r>
        <w:t xml:space="preserve"> </w:t>
      </w:r>
      <w:proofErr w:type="spellStart"/>
      <w:r>
        <w:t>to</w:t>
      </w:r>
      <w:proofErr w:type="spellEnd"/>
      <w:r>
        <w:t xml:space="preserve"> </w:t>
      </w:r>
      <w:proofErr w:type="spellStart"/>
      <w:r>
        <w:t>expand</w:t>
      </w:r>
      <w:proofErr w:type="spellEnd"/>
      <w:r>
        <w:t xml:space="preserve"> on his </w:t>
      </w:r>
      <w:proofErr w:type="spellStart"/>
      <w:r>
        <w:t>refutation</w:t>
      </w:r>
      <w:proofErr w:type="spellEnd"/>
      <w:r>
        <w:t xml:space="preserve"> of </w:t>
      </w:r>
      <w:proofErr w:type="spellStart"/>
      <w:r>
        <w:t>the</w:t>
      </w:r>
      <w:proofErr w:type="spellEnd"/>
      <w:r>
        <w:t xml:space="preserve"> </w:t>
      </w:r>
      <w:proofErr w:type="spellStart"/>
      <w:r>
        <w:t>intellect-based</w:t>
      </w:r>
      <w:proofErr w:type="spellEnd"/>
      <w:r>
        <w:t xml:space="preserve"> </w:t>
      </w:r>
      <w:proofErr w:type="spellStart"/>
      <w:r>
        <w:t>theory</w:t>
      </w:r>
      <w:proofErr w:type="spellEnd"/>
      <w:r>
        <w:t xml:space="preserve"> </w:t>
      </w:r>
      <w:proofErr w:type="spellStart"/>
      <w:r>
        <w:t>that</w:t>
      </w:r>
      <w:proofErr w:type="spellEnd"/>
      <w:r>
        <w:t xml:space="preserve"> </w:t>
      </w:r>
      <w:proofErr w:type="spellStart"/>
      <w:r>
        <w:t>the</w:t>
      </w:r>
      <w:proofErr w:type="spellEnd"/>
      <w:r>
        <w:t xml:space="preserve"> Sufi </w:t>
      </w:r>
      <w:proofErr w:type="spellStart"/>
      <w:r>
        <w:t>path</w:t>
      </w:r>
      <w:proofErr w:type="spellEnd"/>
      <w:r>
        <w:t xml:space="preserve"> is a </w:t>
      </w:r>
      <w:proofErr w:type="spellStart"/>
      <w:r>
        <w:t>path</w:t>
      </w:r>
      <w:proofErr w:type="spellEnd"/>
      <w:r>
        <w:t xml:space="preserve"> of </w:t>
      </w:r>
      <w:proofErr w:type="spellStart"/>
      <w:r>
        <w:t>suffering</w:t>
      </w:r>
      <w:proofErr w:type="spellEnd"/>
      <w:r>
        <w:t xml:space="preserve">. He </w:t>
      </w:r>
      <w:proofErr w:type="spellStart"/>
      <w:r>
        <w:t>argues</w:t>
      </w:r>
      <w:proofErr w:type="spellEnd"/>
      <w:r>
        <w:t xml:space="preserve"> </w:t>
      </w:r>
      <w:proofErr w:type="spellStart"/>
      <w:r>
        <w:t>that</w:t>
      </w:r>
      <w:proofErr w:type="spellEnd"/>
      <w:r>
        <w:t xml:space="preserve"> </w:t>
      </w:r>
      <w:proofErr w:type="spellStart"/>
      <w:r>
        <w:t>the</w:t>
      </w:r>
      <w:proofErr w:type="spellEnd"/>
      <w:r>
        <w:t xml:space="preserve"> </w:t>
      </w:r>
      <w:proofErr w:type="spellStart"/>
      <w:r>
        <w:t>true</w:t>
      </w:r>
      <w:proofErr w:type="spellEnd"/>
      <w:r>
        <w:t xml:space="preserve"> </w:t>
      </w:r>
      <w:proofErr w:type="spellStart"/>
      <w:r>
        <w:t>cause</w:t>
      </w:r>
      <w:proofErr w:type="spellEnd"/>
      <w:r>
        <w:t xml:space="preserve"> of </w:t>
      </w:r>
      <w:proofErr w:type="spellStart"/>
      <w:r>
        <w:t>the</w:t>
      </w:r>
      <w:proofErr w:type="spellEnd"/>
      <w:r>
        <w:t xml:space="preserve"> </w:t>
      </w:r>
      <w:proofErr w:type="spellStart"/>
      <w:r>
        <w:t>suffering</w:t>
      </w:r>
      <w:proofErr w:type="spellEnd"/>
      <w:r>
        <w:t xml:space="preserve"> </w:t>
      </w:r>
      <w:proofErr w:type="spellStart"/>
      <w:r>
        <w:t>i.e</w:t>
      </w:r>
      <w:proofErr w:type="spellEnd"/>
      <w:r>
        <w:t xml:space="preserve">. </w:t>
      </w:r>
      <w:proofErr w:type="spellStart"/>
      <w:r>
        <w:t>the</w:t>
      </w:r>
      <w:proofErr w:type="spellEnd"/>
      <w:r>
        <w:t xml:space="preserve"> </w:t>
      </w:r>
      <w:proofErr w:type="spellStart"/>
      <w:r>
        <w:t>thorn</w:t>
      </w:r>
      <w:proofErr w:type="spellEnd"/>
      <w:r>
        <w:t xml:space="preserve"> is </w:t>
      </w:r>
      <w:proofErr w:type="spellStart"/>
      <w:r>
        <w:t>the</w:t>
      </w:r>
      <w:proofErr w:type="spellEnd"/>
      <w:r>
        <w:t xml:space="preserve"> </w:t>
      </w:r>
      <w:proofErr w:type="spellStart"/>
      <w:r>
        <w:t>person’s</w:t>
      </w:r>
      <w:proofErr w:type="spellEnd"/>
      <w:r>
        <w:t xml:space="preserve"> </w:t>
      </w:r>
      <w:proofErr w:type="spellStart"/>
      <w:r>
        <w:t>emotional</w:t>
      </w:r>
      <w:proofErr w:type="spellEnd"/>
      <w:r>
        <w:t xml:space="preserve"> </w:t>
      </w:r>
      <w:proofErr w:type="spellStart"/>
      <w:r>
        <w:t>investment</w:t>
      </w:r>
      <w:proofErr w:type="spellEnd"/>
      <w:r>
        <w:t xml:space="preserve"> in </w:t>
      </w:r>
      <w:proofErr w:type="spellStart"/>
      <w:r>
        <w:t>the</w:t>
      </w:r>
      <w:proofErr w:type="spellEnd"/>
      <w:r>
        <w:t xml:space="preserve"> </w:t>
      </w:r>
      <w:proofErr w:type="spellStart"/>
      <w:r>
        <w:t>material</w:t>
      </w:r>
      <w:proofErr w:type="spellEnd"/>
      <w:r>
        <w:t xml:space="preserve"> </w:t>
      </w:r>
      <w:proofErr w:type="spellStart"/>
      <w:r>
        <w:t>world</w:t>
      </w:r>
      <w:proofErr w:type="spellEnd"/>
      <w:r>
        <w:t xml:space="preserve">. </w:t>
      </w:r>
      <w:proofErr w:type="spellStart"/>
      <w:r>
        <w:t>To</w:t>
      </w:r>
      <w:proofErr w:type="spellEnd"/>
      <w:r>
        <w:t xml:space="preserve"> </w:t>
      </w:r>
      <w:proofErr w:type="spellStart"/>
      <w:r>
        <w:t>reach</w:t>
      </w:r>
      <w:proofErr w:type="spellEnd"/>
      <w:r>
        <w:t xml:space="preserve"> </w:t>
      </w:r>
      <w:proofErr w:type="spellStart"/>
      <w:r>
        <w:t>awakening</w:t>
      </w:r>
      <w:proofErr w:type="spellEnd"/>
      <w:r>
        <w:t xml:space="preserve"> </w:t>
      </w:r>
      <w:proofErr w:type="spellStart"/>
      <w:r>
        <w:t>and</w:t>
      </w:r>
      <w:proofErr w:type="spellEnd"/>
      <w:r>
        <w:t xml:space="preserve"> </w:t>
      </w:r>
      <w:proofErr w:type="spellStart"/>
      <w:r>
        <w:t>joy</w:t>
      </w:r>
      <w:proofErr w:type="spellEnd"/>
      <w:r>
        <w:t xml:space="preserve"> (</w:t>
      </w:r>
      <w:proofErr w:type="spellStart"/>
      <w:r>
        <w:t>the</w:t>
      </w:r>
      <w:proofErr w:type="spellEnd"/>
      <w:r>
        <w:t xml:space="preserve"> </w:t>
      </w:r>
      <w:proofErr w:type="spellStart"/>
      <w:r>
        <w:t>rose</w:t>
      </w:r>
      <w:proofErr w:type="spellEnd"/>
      <w:r>
        <w:t xml:space="preserve"> </w:t>
      </w:r>
      <w:proofErr w:type="spellStart"/>
      <w:r>
        <w:t>gardens</w:t>
      </w:r>
      <w:proofErr w:type="spellEnd"/>
      <w:r>
        <w:t xml:space="preserve">) </w:t>
      </w:r>
      <w:proofErr w:type="spellStart"/>
      <w:r>
        <w:t>one</w:t>
      </w:r>
      <w:proofErr w:type="spellEnd"/>
      <w:r>
        <w:t xml:space="preserve"> </w:t>
      </w:r>
      <w:proofErr w:type="spellStart"/>
      <w:r>
        <w:t>must</w:t>
      </w:r>
      <w:proofErr w:type="spellEnd"/>
      <w:r>
        <w:t xml:space="preserve"> </w:t>
      </w:r>
      <w:proofErr w:type="spellStart"/>
      <w:r>
        <w:t>let</w:t>
      </w:r>
      <w:proofErr w:type="spellEnd"/>
      <w:r>
        <w:t xml:space="preserve"> </w:t>
      </w:r>
      <w:proofErr w:type="spellStart"/>
      <w:r>
        <w:t>go</w:t>
      </w:r>
      <w:proofErr w:type="spellEnd"/>
      <w:r>
        <w:t xml:space="preserve"> of </w:t>
      </w:r>
      <w:proofErr w:type="spellStart"/>
      <w:r>
        <w:t>all</w:t>
      </w:r>
      <w:proofErr w:type="spellEnd"/>
      <w:r>
        <w:t xml:space="preserve"> </w:t>
      </w:r>
      <w:proofErr w:type="spellStart"/>
      <w:r>
        <w:t>wordly</w:t>
      </w:r>
      <w:proofErr w:type="spellEnd"/>
      <w:r>
        <w:t xml:space="preserve"> </w:t>
      </w:r>
      <w:proofErr w:type="spellStart"/>
      <w:r>
        <w:t>expectations</w:t>
      </w:r>
      <w:proofErr w:type="spellEnd"/>
      <w:r>
        <w:t>.</w:t>
      </w:r>
    </w:p>
    <w:p w14:paraId="3680C10B" w14:textId="77777777" w:rsidR="009C2F96" w:rsidRPr="00BD0D2E" w:rsidRDefault="009C2F96" w:rsidP="009C2F96"/>
    <w:p w14:paraId="395A62C8" w14:textId="77777777" w:rsidR="0034640B" w:rsidRPr="00BD0D2E" w:rsidRDefault="0034640B" w:rsidP="009C2F96">
      <w:pPr>
        <w:jc w:val="center"/>
      </w:pPr>
      <w:r w:rsidRPr="00BD0D2E">
        <w:rPr>
          <w:rFonts w:hint="eastAsia"/>
          <w:rtl/>
        </w:rPr>
        <w:t>شمس</w:t>
      </w:r>
      <w:r w:rsidRPr="00BD0D2E">
        <w:rPr>
          <w:rtl/>
        </w:rPr>
        <w:t xml:space="preserve"> تبر</w:t>
      </w:r>
      <w:r w:rsidRPr="00BD0D2E">
        <w:rPr>
          <w:rFonts w:hint="cs"/>
          <w:rtl/>
        </w:rPr>
        <w:t>ی</w:t>
      </w:r>
      <w:r w:rsidRPr="00BD0D2E">
        <w:rPr>
          <w:rFonts w:hint="eastAsia"/>
          <w:rtl/>
        </w:rPr>
        <w:t>ز</w:t>
      </w:r>
      <w:r w:rsidRPr="00BD0D2E">
        <w:rPr>
          <w:rFonts w:hint="cs"/>
          <w:rtl/>
        </w:rPr>
        <w:t>ی</w:t>
      </w:r>
      <w:r w:rsidRPr="00BD0D2E">
        <w:rPr>
          <w:rtl/>
        </w:rPr>
        <w:t xml:space="preserve"> تو</w:t>
      </w:r>
      <w:r w:rsidRPr="00BD0D2E">
        <w:rPr>
          <w:rFonts w:hint="cs"/>
          <w:rtl/>
        </w:rPr>
        <w:t>ی</w:t>
      </w:r>
      <w:r w:rsidRPr="00BD0D2E">
        <w:rPr>
          <w:rtl/>
        </w:rPr>
        <w:t xml:space="preserve"> خورش</w:t>
      </w:r>
      <w:r w:rsidRPr="00BD0D2E">
        <w:rPr>
          <w:rFonts w:hint="cs"/>
          <w:rtl/>
        </w:rPr>
        <w:t>ی</w:t>
      </w:r>
      <w:r w:rsidRPr="00BD0D2E">
        <w:rPr>
          <w:rFonts w:hint="eastAsia"/>
          <w:rtl/>
        </w:rPr>
        <w:t>د</w:t>
      </w:r>
      <w:r w:rsidRPr="00BD0D2E">
        <w:rPr>
          <w:rtl/>
        </w:rPr>
        <w:t xml:space="preserve"> اندر ابر حرف</w:t>
      </w:r>
    </w:p>
    <w:p w14:paraId="5B8C5484" w14:textId="77777777" w:rsidR="0034640B" w:rsidRDefault="0034640B" w:rsidP="009C2F96">
      <w:pPr>
        <w:jc w:val="center"/>
      </w:pPr>
      <w:r w:rsidRPr="00BD0D2E">
        <w:rPr>
          <w:rFonts w:hint="eastAsia"/>
          <w:rtl/>
        </w:rPr>
        <w:t>چون</w:t>
      </w:r>
      <w:r w:rsidRPr="00BD0D2E">
        <w:rPr>
          <w:rtl/>
        </w:rPr>
        <w:t xml:space="preserve"> برآمد آفتابت محو شد گفتارها</w:t>
      </w:r>
    </w:p>
    <w:p w14:paraId="31933F32" w14:textId="77777777" w:rsidR="0034640B" w:rsidRPr="00CE60CF" w:rsidRDefault="0034640B" w:rsidP="009C2F96">
      <w:pPr>
        <w:jc w:val="center"/>
      </w:pPr>
      <w:proofErr w:type="spellStart"/>
      <w:r>
        <w:t>Sh</w:t>
      </w:r>
      <w:r w:rsidRPr="007F2ED1">
        <w:t>ams</w:t>
      </w:r>
      <w:proofErr w:type="spellEnd"/>
      <w:r w:rsidRPr="007F2ED1">
        <w:t xml:space="preserve">-i </w:t>
      </w:r>
      <w:proofErr w:type="spellStart"/>
      <w:r>
        <w:t>T</w:t>
      </w:r>
      <w:r w:rsidRPr="007F2ED1">
        <w:t>abrīzī</w:t>
      </w:r>
      <w:proofErr w:type="spellEnd"/>
      <w:r w:rsidRPr="00CE60CF">
        <w:t xml:space="preserve">! </w:t>
      </w:r>
      <w:proofErr w:type="spellStart"/>
      <w:r w:rsidRPr="00CE60CF">
        <w:t>You</w:t>
      </w:r>
      <w:proofErr w:type="spellEnd"/>
      <w:r w:rsidRPr="00CE60CF">
        <w:t xml:space="preserve"> </w:t>
      </w:r>
      <w:proofErr w:type="spellStart"/>
      <w:r w:rsidRPr="00CE60CF">
        <w:t>are</w:t>
      </w:r>
      <w:proofErr w:type="spellEnd"/>
      <w:r w:rsidRPr="00CE60CF">
        <w:t xml:space="preserve"> </w:t>
      </w:r>
      <w:proofErr w:type="spellStart"/>
      <w:r w:rsidRPr="00CE60CF">
        <w:t>the</w:t>
      </w:r>
      <w:proofErr w:type="spellEnd"/>
      <w:r w:rsidRPr="00CE60CF">
        <w:t xml:space="preserve"> sun </w:t>
      </w:r>
      <w:proofErr w:type="spellStart"/>
      <w:r w:rsidRPr="00CE60CF">
        <w:t>within</w:t>
      </w:r>
      <w:proofErr w:type="spellEnd"/>
      <w:r w:rsidRPr="00CE60CF">
        <w:t xml:space="preserve"> </w:t>
      </w:r>
      <w:proofErr w:type="spellStart"/>
      <w:r w:rsidRPr="00CE60CF">
        <w:t>the</w:t>
      </w:r>
      <w:proofErr w:type="spellEnd"/>
      <w:r w:rsidRPr="00CE60CF">
        <w:t xml:space="preserve"> </w:t>
      </w:r>
      <w:proofErr w:type="spellStart"/>
      <w:r w:rsidRPr="00CE60CF">
        <w:t>cloud</w:t>
      </w:r>
      <w:proofErr w:type="spellEnd"/>
      <w:r w:rsidRPr="00CE60CF">
        <w:t xml:space="preserve"> of </w:t>
      </w:r>
      <w:proofErr w:type="spellStart"/>
      <w:r w:rsidRPr="00CE60CF">
        <w:t>words</w:t>
      </w:r>
      <w:proofErr w:type="spellEnd"/>
      <w:r w:rsidRPr="00CE60CF">
        <w:t>.</w:t>
      </w:r>
    </w:p>
    <w:p w14:paraId="78EC2293" w14:textId="4EB0BBE8" w:rsidR="0034640B" w:rsidRDefault="0034640B" w:rsidP="009C2F96">
      <w:pPr>
        <w:jc w:val="center"/>
      </w:pPr>
      <w:proofErr w:type="spellStart"/>
      <w:r w:rsidRPr="00CE60CF">
        <w:t>When</w:t>
      </w:r>
      <w:proofErr w:type="spellEnd"/>
      <w:r w:rsidRPr="00CE60CF">
        <w:t xml:space="preserve"> </w:t>
      </w:r>
      <w:proofErr w:type="spellStart"/>
      <w:r w:rsidRPr="00CE60CF">
        <w:t>the</w:t>
      </w:r>
      <w:proofErr w:type="spellEnd"/>
      <w:r w:rsidRPr="00CE60CF">
        <w:t xml:space="preserve"> sun </w:t>
      </w:r>
      <w:proofErr w:type="spellStart"/>
      <w:r w:rsidRPr="00CE60CF">
        <w:t>rose</w:t>
      </w:r>
      <w:proofErr w:type="spellEnd"/>
      <w:r w:rsidRPr="00CE60CF">
        <w:t xml:space="preserve">, </w:t>
      </w:r>
      <w:proofErr w:type="spellStart"/>
      <w:r w:rsidRPr="00CE60CF">
        <w:t>the</w:t>
      </w:r>
      <w:proofErr w:type="spellEnd"/>
      <w:r w:rsidRPr="00CE60CF">
        <w:t xml:space="preserve"> </w:t>
      </w:r>
      <w:proofErr w:type="spellStart"/>
      <w:r w:rsidRPr="00CE60CF">
        <w:t>speech</w:t>
      </w:r>
      <w:proofErr w:type="spellEnd"/>
      <w:r w:rsidRPr="00CE60CF">
        <w:t xml:space="preserve"> </w:t>
      </w:r>
      <w:proofErr w:type="spellStart"/>
      <w:r w:rsidRPr="00CE60CF">
        <w:t>vanished</w:t>
      </w:r>
      <w:proofErr w:type="spellEnd"/>
      <w:r w:rsidRPr="00CE60CF">
        <w:t>.</w:t>
      </w:r>
    </w:p>
    <w:p w14:paraId="6E07F91C" w14:textId="77777777" w:rsidR="009C2F96" w:rsidRPr="00CE60CF" w:rsidRDefault="009C2F96" w:rsidP="009C2F96">
      <w:pPr>
        <w:jc w:val="center"/>
      </w:pPr>
    </w:p>
    <w:p w14:paraId="15F75133" w14:textId="77777777" w:rsidR="0034640B" w:rsidRDefault="0034640B" w:rsidP="009C2F96">
      <w:pPr>
        <w:jc w:val="both"/>
      </w:pPr>
      <w:proofErr w:type="spellStart"/>
      <w:r>
        <w:t>In</w:t>
      </w:r>
      <w:proofErr w:type="spellEnd"/>
      <w:r>
        <w:t xml:space="preserve"> </w:t>
      </w:r>
      <w:proofErr w:type="spellStart"/>
      <w:r>
        <w:t>the</w:t>
      </w:r>
      <w:proofErr w:type="spellEnd"/>
      <w:r>
        <w:t xml:space="preserve"> final </w:t>
      </w:r>
      <w:proofErr w:type="spellStart"/>
      <w:r>
        <w:t>distich</w:t>
      </w:r>
      <w:proofErr w:type="spellEnd"/>
      <w:r>
        <w:t xml:space="preserve">, </w:t>
      </w:r>
      <w:proofErr w:type="spellStart"/>
      <w:r>
        <w:t>the</w:t>
      </w:r>
      <w:proofErr w:type="spellEnd"/>
      <w:r>
        <w:t xml:space="preserve"> </w:t>
      </w:r>
      <w:proofErr w:type="spellStart"/>
      <w:r>
        <w:t>poet</w:t>
      </w:r>
      <w:proofErr w:type="spellEnd"/>
      <w:r>
        <w:t xml:space="preserve"> </w:t>
      </w:r>
      <w:proofErr w:type="spellStart"/>
      <w:r>
        <w:t>signals</w:t>
      </w:r>
      <w:proofErr w:type="spellEnd"/>
      <w:r>
        <w:t xml:space="preserve"> </w:t>
      </w:r>
      <w:proofErr w:type="spellStart"/>
      <w:r>
        <w:t>that</w:t>
      </w:r>
      <w:proofErr w:type="spellEnd"/>
      <w:r>
        <w:t xml:space="preserve"> he has </w:t>
      </w:r>
      <w:proofErr w:type="spellStart"/>
      <w:r>
        <w:t>finished</w:t>
      </w:r>
      <w:proofErr w:type="spellEnd"/>
      <w:r>
        <w:t xml:space="preserve"> his </w:t>
      </w:r>
      <w:proofErr w:type="spellStart"/>
      <w:r>
        <w:t>discussion</w:t>
      </w:r>
      <w:proofErr w:type="spellEnd"/>
      <w:r>
        <w:t xml:space="preserve"> on </w:t>
      </w:r>
      <w:proofErr w:type="spellStart"/>
      <w:r>
        <w:t>the</w:t>
      </w:r>
      <w:proofErr w:type="spellEnd"/>
      <w:r>
        <w:t xml:space="preserve"> </w:t>
      </w:r>
      <w:proofErr w:type="spellStart"/>
      <w:r>
        <w:t>merits</w:t>
      </w:r>
      <w:proofErr w:type="spellEnd"/>
      <w:r>
        <w:t xml:space="preserve"> of </w:t>
      </w:r>
      <w:proofErr w:type="spellStart"/>
      <w:r>
        <w:t>love</w:t>
      </w:r>
      <w:proofErr w:type="spellEnd"/>
      <w:r>
        <w:t xml:space="preserve"> </w:t>
      </w:r>
      <w:proofErr w:type="spellStart"/>
      <w:r>
        <w:t>and</w:t>
      </w:r>
      <w:proofErr w:type="spellEnd"/>
      <w:r>
        <w:t xml:space="preserve"> </w:t>
      </w:r>
      <w:proofErr w:type="spellStart"/>
      <w:r>
        <w:t>ends</w:t>
      </w:r>
      <w:proofErr w:type="spellEnd"/>
      <w:r>
        <w:t xml:space="preserve"> </w:t>
      </w:r>
      <w:proofErr w:type="spellStart"/>
      <w:r>
        <w:t>the</w:t>
      </w:r>
      <w:proofErr w:type="spellEnd"/>
      <w:r>
        <w:t xml:space="preserve"> </w:t>
      </w:r>
      <w:proofErr w:type="spellStart"/>
      <w:r>
        <w:t>poem</w:t>
      </w:r>
      <w:proofErr w:type="spellEnd"/>
      <w:r>
        <w:t xml:space="preserve"> </w:t>
      </w:r>
      <w:proofErr w:type="spellStart"/>
      <w:r>
        <w:t>by</w:t>
      </w:r>
      <w:proofErr w:type="spellEnd"/>
      <w:r>
        <w:t xml:space="preserve"> </w:t>
      </w:r>
      <w:proofErr w:type="spellStart"/>
      <w:r>
        <w:t>mentioning</w:t>
      </w:r>
      <w:proofErr w:type="spellEnd"/>
      <w:r>
        <w:t xml:space="preserve"> his </w:t>
      </w:r>
      <w:proofErr w:type="spellStart"/>
      <w:r>
        <w:t>friend</w:t>
      </w:r>
      <w:proofErr w:type="spellEnd"/>
      <w:r>
        <w:t xml:space="preserve"> </w:t>
      </w:r>
      <w:proofErr w:type="spellStart"/>
      <w:r>
        <w:t>Sh</w:t>
      </w:r>
      <w:r w:rsidRPr="007F2ED1">
        <w:t>ams</w:t>
      </w:r>
      <w:proofErr w:type="spellEnd"/>
      <w:r w:rsidRPr="007F2ED1">
        <w:t xml:space="preserve">-i </w:t>
      </w:r>
      <w:proofErr w:type="spellStart"/>
      <w:r>
        <w:t>T</w:t>
      </w:r>
      <w:r w:rsidRPr="007F2ED1">
        <w:t>abrīzī</w:t>
      </w:r>
      <w:proofErr w:type="spellEnd"/>
      <w:r>
        <w:t xml:space="preserve">, a name </w:t>
      </w:r>
      <w:proofErr w:type="spellStart"/>
      <w:r>
        <w:t>that</w:t>
      </w:r>
      <w:proofErr w:type="spellEnd"/>
      <w:r>
        <w:t xml:space="preserve"> </w:t>
      </w:r>
      <w:proofErr w:type="spellStart"/>
      <w:r>
        <w:t>frequently</w:t>
      </w:r>
      <w:proofErr w:type="spellEnd"/>
      <w:r>
        <w:t xml:space="preserve"> </w:t>
      </w:r>
      <w:proofErr w:type="spellStart"/>
      <w:r>
        <w:t>appears</w:t>
      </w:r>
      <w:proofErr w:type="spellEnd"/>
      <w:r>
        <w:t xml:space="preserve"> in </w:t>
      </w:r>
      <w:proofErr w:type="spellStart"/>
      <w:r w:rsidRPr="00D477F2">
        <w:t>Rūmī</w:t>
      </w:r>
      <w:r>
        <w:t>’s</w:t>
      </w:r>
      <w:proofErr w:type="spellEnd"/>
      <w:r>
        <w:t xml:space="preserve"> </w:t>
      </w:r>
      <w:proofErr w:type="spellStart"/>
      <w:r>
        <w:t>ghazals</w:t>
      </w:r>
      <w:proofErr w:type="spellEnd"/>
      <w:r>
        <w:t xml:space="preserve">. </w:t>
      </w:r>
      <w:proofErr w:type="spellStart"/>
      <w:r>
        <w:t>In</w:t>
      </w:r>
      <w:proofErr w:type="spellEnd"/>
      <w:r>
        <w:t xml:space="preserve"> </w:t>
      </w:r>
      <w:proofErr w:type="spellStart"/>
      <w:r>
        <w:t>doing</w:t>
      </w:r>
      <w:proofErr w:type="spellEnd"/>
      <w:r>
        <w:t xml:space="preserve"> </w:t>
      </w:r>
      <w:proofErr w:type="spellStart"/>
      <w:r>
        <w:t>so</w:t>
      </w:r>
      <w:proofErr w:type="spellEnd"/>
      <w:r>
        <w:t xml:space="preserve">, </w:t>
      </w:r>
      <w:proofErr w:type="spellStart"/>
      <w:r w:rsidRPr="00D477F2">
        <w:t>Rūmī</w:t>
      </w:r>
      <w:proofErr w:type="spellEnd"/>
      <w:r>
        <w:t xml:space="preserve"> </w:t>
      </w:r>
      <w:proofErr w:type="spellStart"/>
      <w:r>
        <w:t>reminds</w:t>
      </w:r>
      <w:proofErr w:type="spellEnd"/>
      <w:r>
        <w:t xml:space="preserve"> his </w:t>
      </w:r>
      <w:proofErr w:type="spellStart"/>
      <w:r>
        <w:t>audience</w:t>
      </w:r>
      <w:proofErr w:type="spellEnd"/>
      <w:r>
        <w:t xml:space="preserve"> </w:t>
      </w:r>
      <w:proofErr w:type="spellStart"/>
      <w:r>
        <w:t>that</w:t>
      </w:r>
      <w:proofErr w:type="spellEnd"/>
      <w:r>
        <w:t xml:space="preserve"> it </w:t>
      </w:r>
      <w:proofErr w:type="spellStart"/>
      <w:r>
        <w:t>was</w:t>
      </w:r>
      <w:proofErr w:type="spellEnd"/>
      <w:r>
        <w:t xml:space="preserve"> </w:t>
      </w:r>
      <w:proofErr w:type="spellStart"/>
      <w:r w:rsidRPr="00CE60CF">
        <w:t>Shams</w:t>
      </w:r>
      <w:proofErr w:type="spellEnd"/>
      <w:r>
        <w:t xml:space="preserve"> </w:t>
      </w:r>
      <w:proofErr w:type="spellStart"/>
      <w:r>
        <w:t>who</w:t>
      </w:r>
      <w:proofErr w:type="spellEnd"/>
      <w:r>
        <w:t xml:space="preserve"> </w:t>
      </w:r>
      <w:proofErr w:type="spellStart"/>
      <w:r>
        <w:t>inspired</w:t>
      </w:r>
      <w:proofErr w:type="spellEnd"/>
      <w:r>
        <w:t xml:space="preserve"> his </w:t>
      </w:r>
      <w:proofErr w:type="spellStart"/>
      <w:r>
        <w:t>spritual</w:t>
      </w:r>
      <w:proofErr w:type="spellEnd"/>
      <w:r>
        <w:t xml:space="preserve"> </w:t>
      </w:r>
      <w:proofErr w:type="spellStart"/>
      <w:r>
        <w:t>enlightenment</w:t>
      </w:r>
      <w:proofErr w:type="spellEnd"/>
      <w:r>
        <w:t xml:space="preserve">, </w:t>
      </w:r>
      <w:proofErr w:type="spellStart"/>
      <w:r>
        <w:t>the</w:t>
      </w:r>
      <w:proofErr w:type="spellEnd"/>
      <w:r>
        <w:t xml:space="preserve"> </w:t>
      </w:r>
      <w:proofErr w:type="spellStart"/>
      <w:r>
        <w:t>true</w:t>
      </w:r>
      <w:proofErr w:type="spellEnd"/>
      <w:r>
        <w:t xml:space="preserve"> </w:t>
      </w:r>
      <w:proofErr w:type="spellStart"/>
      <w:r>
        <w:t>nature</w:t>
      </w:r>
      <w:proofErr w:type="spellEnd"/>
      <w:r>
        <w:t xml:space="preserve"> of </w:t>
      </w:r>
      <w:proofErr w:type="spellStart"/>
      <w:r>
        <w:t>which</w:t>
      </w:r>
      <w:proofErr w:type="spellEnd"/>
      <w:r>
        <w:t xml:space="preserve"> </w:t>
      </w:r>
      <w:proofErr w:type="spellStart"/>
      <w:r>
        <w:t>cannot</w:t>
      </w:r>
      <w:proofErr w:type="spellEnd"/>
      <w:r>
        <w:t xml:space="preserve"> be put </w:t>
      </w:r>
      <w:proofErr w:type="spellStart"/>
      <w:r>
        <w:t>to</w:t>
      </w:r>
      <w:proofErr w:type="spellEnd"/>
      <w:r>
        <w:t xml:space="preserve"> </w:t>
      </w:r>
      <w:proofErr w:type="spellStart"/>
      <w:r>
        <w:t>words</w:t>
      </w:r>
      <w:proofErr w:type="spellEnd"/>
      <w:r>
        <w:t>.</w:t>
      </w:r>
    </w:p>
    <w:p w14:paraId="4BF2C54D" w14:textId="77777777" w:rsidR="0034640B" w:rsidRDefault="0034640B" w:rsidP="009C2F96">
      <w:pPr>
        <w:jc w:val="both"/>
      </w:pPr>
    </w:p>
    <w:p w14:paraId="3B880885" w14:textId="77777777" w:rsidR="0034640B" w:rsidRPr="009F0AE3" w:rsidRDefault="0034640B" w:rsidP="009C2F96">
      <w:pPr>
        <w:rPr>
          <w:b/>
          <w:bCs/>
        </w:rPr>
      </w:pPr>
      <w:proofErr w:type="spellStart"/>
      <w:r w:rsidRPr="009F0AE3">
        <w:rPr>
          <w:b/>
          <w:bCs/>
        </w:rPr>
        <w:t>Conclusion</w:t>
      </w:r>
      <w:proofErr w:type="spellEnd"/>
    </w:p>
    <w:p w14:paraId="6CBB9F38" w14:textId="77777777" w:rsidR="0034640B" w:rsidRDefault="0034640B" w:rsidP="009C2F96">
      <w:pPr>
        <w:jc w:val="both"/>
      </w:pPr>
      <w:proofErr w:type="spellStart"/>
      <w:r w:rsidRPr="00D477F2">
        <w:t>Rūmī</w:t>
      </w:r>
      <w:r>
        <w:t>’s</w:t>
      </w:r>
      <w:proofErr w:type="spellEnd"/>
      <w:r>
        <w:t xml:space="preserve"> </w:t>
      </w:r>
      <w:proofErr w:type="spellStart"/>
      <w:r>
        <w:t>ghazal</w:t>
      </w:r>
      <w:proofErr w:type="spellEnd"/>
      <w:r>
        <w:t xml:space="preserve"> </w:t>
      </w:r>
      <w:proofErr w:type="spellStart"/>
      <w:r>
        <w:t>analysed</w:t>
      </w:r>
      <w:proofErr w:type="spellEnd"/>
      <w:r>
        <w:t xml:space="preserve"> in </w:t>
      </w:r>
      <w:proofErr w:type="spellStart"/>
      <w:r>
        <w:t>this</w:t>
      </w:r>
      <w:proofErr w:type="spellEnd"/>
      <w:r>
        <w:t xml:space="preserve"> </w:t>
      </w:r>
      <w:proofErr w:type="spellStart"/>
      <w:r>
        <w:t>paper</w:t>
      </w:r>
      <w:proofErr w:type="spellEnd"/>
      <w:r>
        <w:t xml:space="preserve"> </w:t>
      </w:r>
      <w:proofErr w:type="spellStart"/>
      <w:r>
        <w:t>provides</w:t>
      </w:r>
      <w:proofErr w:type="spellEnd"/>
      <w:r>
        <w:t xml:space="preserve"> a </w:t>
      </w:r>
      <w:proofErr w:type="spellStart"/>
      <w:r>
        <w:t>succint</w:t>
      </w:r>
      <w:proofErr w:type="spellEnd"/>
      <w:r>
        <w:t xml:space="preserve"> but </w:t>
      </w:r>
      <w:proofErr w:type="spellStart"/>
      <w:r>
        <w:t>comprehensive</w:t>
      </w:r>
      <w:proofErr w:type="spellEnd"/>
      <w:r>
        <w:t xml:space="preserve"> </w:t>
      </w:r>
      <w:proofErr w:type="spellStart"/>
      <w:r>
        <w:t>account</w:t>
      </w:r>
      <w:proofErr w:type="spellEnd"/>
      <w:r>
        <w:t xml:space="preserve"> of </w:t>
      </w:r>
      <w:proofErr w:type="spellStart"/>
      <w:r>
        <w:t>the</w:t>
      </w:r>
      <w:proofErr w:type="spellEnd"/>
      <w:r>
        <w:t xml:space="preserve"> </w:t>
      </w:r>
      <w:proofErr w:type="spellStart"/>
      <w:r>
        <w:t>contrast</w:t>
      </w:r>
      <w:proofErr w:type="spellEnd"/>
      <w:r>
        <w:t xml:space="preserve"> </w:t>
      </w:r>
      <w:proofErr w:type="spellStart"/>
      <w:r>
        <w:t>between</w:t>
      </w:r>
      <w:proofErr w:type="spellEnd"/>
      <w:r>
        <w:t xml:space="preserve"> </w:t>
      </w:r>
      <w:proofErr w:type="spellStart"/>
      <w:r>
        <w:t>love</w:t>
      </w:r>
      <w:proofErr w:type="spellEnd"/>
      <w:r>
        <w:t xml:space="preserve"> </w:t>
      </w:r>
      <w:proofErr w:type="spellStart"/>
      <w:r>
        <w:t>and</w:t>
      </w:r>
      <w:proofErr w:type="spellEnd"/>
      <w:r>
        <w:t xml:space="preserve"> </w:t>
      </w:r>
      <w:proofErr w:type="spellStart"/>
      <w:r>
        <w:t>intellect</w:t>
      </w:r>
      <w:proofErr w:type="spellEnd"/>
      <w:r>
        <w:t xml:space="preserve">. </w:t>
      </w:r>
      <w:proofErr w:type="spellStart"/>
      <w:r>
        <w:t>Alhought</w:t>
      </w:r>
      <w:proofErr w:type="spellEnd"/>
      <w:r>
        <w:t xml:space="preserve"> </w:t>
      </w:r>
      <w:proofErr w:type="spellStart"/>
      <w:r>
        <w:t>the</w:t>
      </w:r>
      <w:proofErr w:type="spellEnd"/>
      <w:r>
        <w:t xml:space="preserve"> </w:t>
      </w:r>
      <w:proofErr w:type="spellStart"/>
      <w:r>
        <w:t>poet</w:t>
      </w:r>
      <w:proofErr w:type="spellEnd"/>
      <w:r>
        <w:t xml:space="preserve"> </w:t>
      </w:r>
      <w:proofErr w:type="spellStart"/>
      <w:r>
        <w:t>does</w:t>
      </w:r>
      <w:proofErr w:type="spellEnd"/>
      <w:r>
        <w:t xml:space="preserve"> not </w:t>
      </w:r>
      <w:proofErr w:type="spellStart"/>
      <w:r>
        <w:t>directly</w:t>
      </w:r>
      <w:proofErr w:type="spellEnd"/>
      <w:r>
        <w:t xml:space="preserve"> define </w:t>
      </w:r>
      <w:proofErr w:type="spellStart"/>
      <w:r>
        <w:t>love</w:t>
      </w:r>
      <w:proofErr w:type="spellEnd"/>
      <w:r>
        <w:t xml:space="preserve"> </w:t>
      </w:r>
      <w:proofErr w:type="spellStart"/>
      <w:r>
        <w:t>and</w:t>
      </w:r>
      <w:proofErr w:type="spellEnd"/>
      <w:r>
        <w:t xml:space="preserve"> </w:t>
      </w:r>
      <w:proofErr w:type="spellStart"/>
      <w:r>
        <w:t>intellect</w:t>
      </w:r>
      <w:proofErr w:type="spellEnd"/>
      <w:r>
        <w:t xml:space="preserve"> as </w:t>
      </w:r>
      <w:proofErr w:type="spellStart"/>
      <w:r>
        <w:t>concepts</w:t>
      </w:r>
      <w:proofErr w:type="spellEnd"/>
      <w:r>
        <w:t xml:space="preserve">, it is </w:t>
      </w:r>
      <w:proofErr w:type="spellStart"/>
      <w:r>
        <w:t>understood</w:t>
      </w:r>
      <w:proofErr w:type="spellEnd"/>
      <w:r>
        <w:t xml:space="preserve"> </w:t>
      </w:r>
      <w:proofErr w:type="spellStart"/>
      <w:r>
        <w:t>from</w:t>
      </w:r>
      <w:proofErr w:type="spellEnd"/>
      <w:r>
        <w:t xml:space="preserve"> </w:t>
      </w:r>
      <w:proofErr w:type="spellStart"/>
      <w:r>
        <w:t>the</w:t>
      </w:r>
      <w:proofErr w:type="spellEnd"/>
      <w:r>
        <w:t xml:space="preserve"> </w:t>
      </w:r>
      <w:proofErr w:type="spellStart"/>
      <w:r>
        <w:t>poem</w:t>
      </w:r>
      <w:proofErr w:type="spellEnd"/>
      <w:r>
        <w:t xml:space="preserve"> </w:t>
      </w:r>
      <w:proofErr w:type="spellStart"/>
      <w:r>
        <w:t>that</w:t>
      </w:r>
      <w:proofErr w:type="spellEnd"/>
      <w:r>
        <w:t xml:space="preserve"> they </w:t>
      </w:r>
      <w:proofErr w:type="spellStart"/>
      <w:r>
        <w:t>are</w:t>
      </w:r>
      <w:proofErr w:type="spellEnd"/>
      <w:r>
        <w:t xml:space="preserve"> two </w:t>
      </w:r>
      <w:proofErr w:type="spellStart"/>
      <w:r>
        <w:t>distinct</w:t>
      </w:r>
      <w:proofErr w:type="spellEnd"/>
      <w:r>
        <w:t xml:space="preserve"> </w:t>
      </w:r>
      <w:proofErr w:type="spellStart"/>
      <w:r>
        <w:t>ways</w:t>
      </w:r>
      <w:proofErr w:type="spellEnd"/>
      <w:r>
        <w:t xml:space="preserve"> of </w:t>
      </w:r>
      <w:proofErr w:type="spellStart"/>
      <w:r>
        <w:t>perceiving</w:t>
      </w:r>
      <w:proofErr w:type="spellEnd"/>
      <w:r>
        <w:t xml:space="preserve"> </w:t>
      </w:r>
      <w:proofErr w:type="spellStart"/>
      <w:r>
        <w:t>the</w:t>
      </w:r>
      <w:proofErr w:type="spellEnd"/>
      <w:r>
        <w:t xml:space="preserve"> </w:t>
      </w:r>
      <w:proofErr w:type="spellStart"/>
      <w:r>
        <w:t>universe</w:t>
      </w:r>
      <w:proofErr w:type="spellEnd"/>
      <w:r>
        <w:t xml:space="preserve"> </w:t>
      </w:r>
      <w:proofErr w:type="spellStart"/>
      <w:r>
        <w:t>and</w:t>
      </w:r>
      <w:proofErr w:type="spellEnd"/>
      <w:r>
        <w:t xml:space="preserve"> two </w:t>
      </w:r>
      <w:proofErr w:type="spellStart"/>
      <w:r>
        <w:t>possible</w:t>
      </w:r>
      <w:proofErr w:type="spellEnd"/>
      <w:r>
        <w:t xml:space="preserve"> </w:t>
      </w:r>
      <w:proofErr w:type="spellStart"/>
      <w:r>
        <w:t>paths</w:t>
      </w:r>
      <w:proofErr w:type="spellEnd"/>
      <w:r>
        <w:t xml:space="preserve"> </w:t>
      </w:r>
      <w:proofErr w:type="spellStart"/>
      <w:r>
        <w:t>the</w:t>
      </w:r>
      <w:proofErr w:type="spellEnd"/>
      <w:r>
        <w:t xml:space="preserve"> </w:t>
      </w:r>
      <w:proofErr w:type="spellStart"/>
      <w:r>
        <w:t>individual</w:t>
      </w:r>
      <w:proofErr w:type="spellEnd"/>
      <w:r>
        <w:t xml:space="preserve"> can </w:t>
      </w:r>
      <w:proofErr w:type="spellStart"/>
      <w:r>
        <w:t>choose</w:t>
      </w:r>
      <w:proofErr w:type="spellEnd"/>
      <w:r>
        <w:t xml:space="preserve"> in his </w:t>
      </w:r>
      <w:proofErr w:type="spellStart"/>
      <w:r>
        <w:t>quest</w:t>
      </w:r>
      <w:proofErr w:type="spellEnd"/>
      <w:r>
        <w:t xml:space="preserve"> </w:t>
      </w:r>
      <w:proofErr w:type="spellStart"/>
      <w:r>
        <w:t>to</w:t>
      </w:r>
      <w:proofErr w:type="spellEnd"/>
      <w:r>
        <w:t xml:space="preserve"> </w:t>
      </w:r>
      <w:proofErr w:type="spellStart"/>
      <w:r>
        <w:t>understand</w:t>
      </w:r>
      <w:proofErr w:type="spellEnd"/>
      <w:r>
        <w:t xml:space="preserve"> </w:t>
      </w:r>
      <w:proofErr w:type="spellStart"/>
      <w:r>
        <w:t>the</w:t>
      </w:r>
      <w:proofErr w:type="spellEnd"/>
      <w:r>
        <w:t xml:space="preserve"> </w:t>
      </w:r>
      <w:proofErr w:type="spellStart"/>
      <w:r>
        <w:t>nature</w:t>
      </w:r>
      <w:proofErr w:type="spellEnd"/>
      <w:r>
        <w:t xml:space="preserve"> </w:t>
      </w:r>
      <w:proofErr w:type="spellStart"/>
      <w:r>
        <w:t>and</w:t>
      </w:r>
      <w:proofErr w:type="spellEnd"/>
      <w:r>
        <w:t xml:space="preserve"> </w:t>
      </w:r>
      <w:proofErr w:type="spellStart"/>
      <w:r>
        <w:t>meaning</w:t>
      </w:r>
      <w:proofErr w:type="spellEnd"/>
      <w:r>
        <w:t xml:space="preserve"> of </w:t>
      </w:r>
      <w:proofErr w:type="spellStart"/>
      <w:r>
        <w:t>the</w:t>
      </w:r>
      <w:proofErr w:type="spellEnd"/>
      <w:r>
        <w:t xml:space="preserve"> </w:t>
      </w:r>
      <w:proofErr w:type="spellStart"/>
      <w:r>
        <w:t>creation</w:t>
      </w:r>
      <w:proofErr w:type="spellEnd"/>
      <w:r>
        <w:t xml:space="preserve">. As </w:t>
      </w:r>
      <w:proofErr w:type="spellStart"/>
      <w:r w:rsidRPr="00D477F2">
        <w:t>Rūmī</w:t>
      </w:r>
      <w:proofErr w:type="spellEnd"/>
      <w:r>
        <w:t xml:space="preserve"> </w:t>
      </w:r>
      <w:proofErr w:type="spellStart"/>
      <w:r w:rsidRPr="009B2085">
        <w:t>reiterate</w:t>
      </w:r>
      <w:r>
        <w:t>s</w:t>
      </w:r>
      <w:proofErr w:type="spellEnd"/>
      <w:r>
        <w:t xml:space="preserve"> </w:t>
      </w:r>
      <w:proofErr w:type="spellStart"/>
      <w:r>
        <w:t>throughout</w:t>
      </w:r>
      <w:proofErr w:type="spellEnd"/>
      <w:r>
        <w:t xml:space="preserve"> </w:t>
      </w:r>
      <w:proofErr w:type="spellStart"/>
      <w:r>
        <w:t>the</w:t>
      </w:r>
      <w:proofErr w:type="spellEnd"/>
      <w:r>
        <w:t xml:space="preserve"> </w:t>
      </w:r>
      <w:proofErr w:type="spellStart"/>
      <w:r>
        <w:t>ghazal</w:t>
      </w:r>
      <w:proofErr w:type="spellEnd"/>
      <w:r>
        <w:t xml:space="preserve">, </w:t>
      </w:r>
      <w:proofErr w:type="spellStart"/>
      <w:r>
        <w:t>intellect</w:t>
      </w:r>
      <w:proofErr w:type="spellEnd"/>
      <w:r>
        <w:t xml:space="preserve"> </w:t>
      </w:r>
      <w:proofErr w:type="spellStart"/>
      <w:r>
        <w:t>focuses</w:t>
      </w:r>
      <w:proofErr w:type="spellEnd"/>
      <w:r>
        <w:t xml:space="preserve"> on </w:t>
      </w:r>
      <w:proofErr w:type="spellStart"/>
      <w:r>
        <w:t>the</w:t>
      </w:r>
      <w:proofErr w:type="spellEnd"/>
      <w:r>
        <w:t xml:space="preserve"> </w:t>
      </w:r>
      <w:proofErr w:type="spellStart"/>
      <w:r>
        <w:t>part</w:t>
      </w:r>
      <w:proofErr w:type="spellEnd"/>
      <w:r>
        <w:t xml:space="preserve"> of </w:t>
      </w:r>
      <w:proofErr w:type="spellStart"/>
      <w:r>
        <w:t>reality</w:t>
      </w:r>
      <w:proofErr w:type="spellEnd"/>
      <w:r>
        <w:t xml:space="preserve"> </w:t>
      </w:r>
      <w:proofErr w:type="spellStart"/>
      <w:r>
        <w:t>that</w:t>
      </w:r>
      <w:proofErr w:type="spellEnd"/>
      <w:r>
        <w:t xml:space="preserve"> is </w:t>
      </w:r>
      <w:proofErr w:type="spellStart"/>
      <w:r>
        <w:t>visible</w:t>
      </w:r>
      <w:proofErr w:type="spellEnd"/>
      <w:r>
        <w:t xml:space="preserve"> </w:t>
      </w:r>
      <w:proofErr w:type="spellStart"/>
      <w:r>
        <w:t>to</w:t>
      </w:r>
      <w:proofErr w:type="spellEnd"/>
      <w:r>
        <w:t xml:space="preserve"> </w:t>
      </w:r>
      <w:proofErr w:type="spellStart"/>
      <w:r>
        <w:t>our</w:t>
      </w:r>
      <w:proofErr w:type="spellEnd"/>
      <w:r>
        <w:t xml:space="preserve"> </w:t>
      </w:r>
      <w:proofErr w:type="spellStart"/>
      <w:r>
        <w:t>senses</w:t>
      </w:r>
      <w:proofErr w:type="spellEnd"/>
      <w:r>
        <w:t xml:space="preserve">, </w:t>
      </w:r>
      <w:proofErr w:type="spellStart"/>
      <w:r>
        <w:t>while</w:t>
      </w:r>
      <w:proofErr w:type="spellEnd"/>
      <w:r>
        <w:t xml:space="preserve"> </w:t>
      </w:r>
      <w:proofErr w:type="spellStart"/>
      <w:r>
        <w:t>love</w:t>
      </w:r>
      <w:proofErr w:type="spellEnd"/>
      <w:r>
        <w:t xml:space="preserve"> </w:t>
      </w:r>
      <w:proofErr w:type="spellStart"/>
      <w:r>
        <w:t>offers</w:t>
      </w:r>
      <w:proofErr w:type="spellEnd"/>
      <w:r>
        <w:t xml:space="preserve"> an </w:t>
      </w:r>
      <w:proofErr w:type="spellStart"/>
      <w:r>
        <w:t>alternate</w:t>
      </w:r>
      <w:proofErr w:type="spellEnd"/>
      <w:r>
        <w:t xml:space="preserve"> </w:t>
      </w:r>
      <w:proofErr w:type="spellStart"/>
      <w:r>
        <w:t>approach</w:t>
      </w:r>
      <w:proofErr w:type="spellEnd"/>
      <w:r>
        <w:t xml:space="preserve"> </w:t>
      </w:r>
      <w:proofErr w:type="spellStart"/>
      <w:r>
        <w:t>that</w:t>
      </w:r>
      <w:proofErr w:type="spellEnd"/>
      <w:r>
        <w:t xml:space="preserve"> </w:t>
      </w:r>
      <w:proofErr w:type="spellStart"/>
      <w:r>
        <w:t>frees</w:t>
      </w:r>
      <w:proofErr w:type="spellEnd"/>
      <w:r>
        <w:t xml:space="preserve"> </w:t>
      </w:r>
      <w:proofErr w:type="spellStart"/>
      <w:r>
        <w:t>the</w:t>
      </w:r>
      <w:proofErr w:type="spellEnd"/>
      <w:r>
        <w:t xml:space="preserve"> </w:t>
      </w:r>
      <w:proofErr w:type="spellStart"/>
      <w:r>
        <w:t>individual’s</w:t>
      </w:r>
      <w:proofErr w:type="spellEnd"/>
      <w:r>
        <w:t xml:space="preserve"> </w:t>
      </w:r>
      <w:proofErr w:type="spellStart"/>
      <w:r>
        <w:t>experience</w:t>
      </w:r>
      <w:proofErr w:type="spellEnd"/>
      <w:r>
        <w:t xml:space="preserve"> </w:t>
      </w:r>
      <w:proofErr w:type="spellStart"/>
      <w:r>
        <w:t>from</w:t>
      </w:r>
      <w:proofErr w:type="spellEnd"/>
      <w:r>
        <w:t xml:space="preserve"> </w:t>
      </w:r>
      <w:proofErr w:type="spellStart"/>
      <w:r>
        <w:t>the</w:t>
      </w:r>
      <w:proofErr w:type="spellEnd"/>
      <w:r>
        <w:t xml:space="preserve"> </w:t>
      </w:r>
      <w:proofErr w:type="spellStart"/>
      <w:r>
        <w:t>confines</w:t>
      </w:r>
      <w:proofErr w:type="spellEnd"/>
      <w:r>
        <w:t xml:space="preserve"> of </w:t>
      </w:r>
      <w:proofErr w:type="spellStart"/>
      <w:r>
        <w:t>what</w:t>
      </w:r>
      <w:proofErr w:type="spellEnd"/>
      <w:r>
        <w:t xml:space="preserve"> is </w:t>
      </w:r>
      <w:proofErr w:type="spellStart"/>
      <w:r>
        <w:t>touted</w:t>
      </w:r>
      <w:proofErr w:type="spellEnd"/>
      <w:r>
        <w:t xml:space="preserve"> as </w:t>
      </w:r>
      <w:proofErr w:type="spellStart"/>
      <w:r>
        <w:t>rational</w:t>
      </w:r>
      <w:proofErr w:type="spellEnd"/>
      <w:r>
        <w:t xml:space="preserve"> </w:t>
      </w:r>
      <w:proofErr w:type="spellStart"/>
      <w:r>
        <w:t>thinking</w:t>
      </w:r>
      <w:proofErr w:type="spellEnd"/>
      <w:r>
        <w:t xml:space="preserve">, </w:t>
      </w:r>
      <w:proofErr w:type="spellStart"/>
      <w:r>
        <w:t>and</w:t>
      </w:r>
      <w:proofErr w:type="spellEnd"/>
      <w:r>
        <w:t xml:space="preserve"> </w:t>
      </w:r>
      <w:proofErr w:type="spellStart"/>
      <w:r>
        <w:t>paves</w:t>
      </w:r>
      <w:proofErr w:type="spellEnd"/>
      <w:r>
        <w:t xml:space="preserve"> </w:t>
      </w:r>
      <w:proofErr w:type="spellStart"/>
      <w:r>
        <w:t>the</w:t>
      </w:r>
      <w:proofErr w:type="spellEnd"/>
      <w:r>
        <w:t xml:space="preserve"> </w:t>
      </w:r>
      <w:proofErr w:type="spellStart"/>
      <w:r>
        <w:t>way</w:t>
      </w:r>
      <w:proofErr w:type="spellEnd"/>
      <w:r>
        <w:t xml:space="preserve"> </w:t>
      </w:r>
      <w:proofErr w:type="spellStart"/>
      <w:r>
        <w:t>for</w:t>
      </w:r>
      <w:proofErr w:type="spellEnd"/>
      <w:r>
        <w:t xml:space="preserve"> a </w:t>
      </w:r>
      <w:proofErr w:type="spellStart"/>
      <w:r>
        <w:t>spiritual</w:t>
      </w:r>
      <w:proofErr w:type="spellEnd"/>
      <w:r>
        <w:t xml:space="preserve"> </w:t>
      </w:r>
      <w:proofErr w:type="spellStart"/>
      <w:r>
        <w:t>fulfilment</w:t>
      </w:r>
      <w:proofErr w:type="spellEnd"/>
      <w:r>
        <w:t xml:space="preserve"> </w:t>
      </w:r>
      <w:proofErr w:type="spellStart"/>
      <w:r>
        <w:t>that</w:t>
      </w:r>
      <w:proofErr w:type="spellEnd"/>
      <w:r>
        <w:t xml:space="preserve"> is </w:t>
      </w:r>
      <w:proofErr w:type="spellStart"/>
      <w:r>
        <w:t>beyond</w:t>
      </w:r>
      <w:proofErr w:type="spellEnd"/>
      <w:r>
        <w:t xml:space="preserve"> </w:t>
      </w:r>
      <w:proofErr w:type="spellStart"/>
      <w:r>
        <w:t>anything</w:t>
      </w:r>
      <w:proofErr w:type="spellEnd"/>
      <w:r>
        <w:t xml:space="preserve"> </w:t>
      </w:r>
      <w:proofErr w:type="spellStart"/>
      <w:r>
        <w:t>the</w:t>
      </w:r>
      <w:proofErr w:type="spellEnd"/>
      <w:r>
        <w:t xml:space="preserve"> </w:t>
      </w:r>
      <w:proofErr w:type="spellStart"/>
      <w:r>
        <w:t>material</w:t>
      </w:r>
      <w:proofErr w:type="spellEnd"/>
      <w:r>
        <w:t xml:space="preserve"> </w:t>
      </w:r>
      <w:proofErr w:type="spellStart"/>
      <w:r>
        <w:t>world</w:t>
      </w:r>
      <w:proofErr w:type="spellEnd"/>
      <w:r>
        <w:t xml:space="preserve"> can </w:t>
      </w:r>
      <w:proofErr w:type="spellStart"/>
      <w:r>
        <w:t>furnish</w:t>
      </w:r>
      <w:proofErr w:type="spellEnd"/>
      <w:r>
        <w:t xml:space="preserve">. </w:t>
      </w:r>
      <w:r w:rsidRPr="00073710">
        <w:t xml:space="preserve">Since it is </w:t>
      </w:r>
      <w:proofErr w:type="spellStart"/>
      <w:r w:rsidRPr="00073710">
        <w:t>inherently</w:t>
      </w:r>
      <w:proofErr w:type="spellEnd"/>
      <w:r w:rsidRPr="00073710">
        <w:t xml:space="preserve"> </w:t>
      </w:r>
      <w:proofErr w:type="spellStart"/>
      <w:r w:rsidRPr="00073710">
        <w:t>limited</w:t>
      </w:r>
      <w:proofErr w:type="spellEnd"/>
      <w:r w:rsidRPr="00073710">
        <w:t xml:space="preserve"> in </w:t>
      </w:r>
      <w:proofErr w:type="spellStart"/>
      <w:r w:rsidRPr="00073710">
        <w:t>its</w:t>
      </w:r>
      <w:proofErr w:type="spellEnd"/>
      <w:r w:rsidRPr="00073710">
        <w:t xml:space="preserve"> </w:t>
      </w:r>
      <w:proofErr w:type="spellStart"/>
      <w:r w:rsidRPr="00073710">
        <w:t>scope</w:t>
      </w:r>
      <w:proofErr w:type="spellEnd"/>
      <w:r w:rsidRPr="00073710">
        <w:t xml:space="preserve">, </w:t>
      </w:r>
      <w:proofErr w:type="spellStart"/>
      <w:r>
        <w:t>the</w:t>
      </w:r>
      <w:proofErr w:type="spellEnd"/>
      <w:r>
        <w:t xml:space="preserve"> </w:t>
      </w:r>
      <w:proofErr w:type="spellStart"/>
      <w:r w:rsidRPr="00073710">
        <w:t>intellect</w:t>
      </w:r>
      <w:proofErr w:type="spellEnd"/>
      <w:r w:rsidRPr="00073710">
        <w:t xml:space="preserve"> is </w:t>
      </w:r>
      <w:proofErr w:type="spellStart"/>
      <w:r w:rsidRPr="00073710">
        <w:t>also</w:t>
      </w:r>
      <w:proofErr w:type="spellEnd"/>
      <w:r w:rsidRPr="00073710">
        <w:t xml:space="preserve"> </w:t>
      </w:r>
      <w:proofErr w:type="spellStart"/>
      <w:r w:rsidRPr="00073710">
        <w:t>unable</w:t>
      </w:r>
      <w:proofErr w:type="spellEnd"/>
      <w:r w:rsidRPr="00073710">
        <w:t xml:space="preserve"> </w:t>
      </w:r>
      <w:proofErr w:type="spellStart"/>
      <w:r w:rsidRPr="00073710">
        <w:t>to</w:t>
      </w:r>
      <w:proofErr w:type="spellEnd"/>
      <w:r w:rsidRPr="00073710">
        <w:t xml:space="preserve"> </w:t>
      </w:r>
      <w:proofErr w:type="spellStart"/>
      <w:r w:rsidRPr="00073710">
        <w:t>see</w:t>
      </w:r>
      <w:proofErr w:type="spellEnd"/>
      <w:r w:rsidRPr="00073710">
        <w:t xml:space="preserve"> </w:t>
      </w:r>
      <w:proofErr w:type="spellStart"/>
      <w:r w:rsidRPr="00073710">
        <w:t>its</w:t>
      </w:r>
      <w:proofErr w:type="spellEnd"/>
      <w:r w:rsidRPr="00073710">
        <w:t xml:space="preserve"> </w:t>
      </w:r>
      <w:proofErr w:type="spellStart"/>
      <w:r w:rsidRPr="00073710">
        <w:t>own</w:t>
      </w:r>
      <w:proofErr w:type="spellEnd"/>
      <w:r w:rsidRPr="00073710">
        <w:t xml:space="preserve"> </w:t>
      </w:r>
      <w:proofErr w:type="spellStart"/>
      <w:r w:rsidRPr="00073710">
        <w:t>inferiority</w:t>
      </w:r>
      <w:proofErr w:type="spellEnd"/>
      <w:r w:rsidRPr="00073710">
        <w:t xml:space="preserve">, </w:t>
      </w:r>
      <w:proofErr w:type="spellStart"/>
      <w:r w:rsidRPr="00073710">
        <w:t>rejecting</w:t>
      </w:r>
      <w:proofErr w:type="spellEnd"/>
      <w:r w:rsidRPr="00073710">
        <w:t xml:space="preserve"> </w:t>
      </w:r>
      <w:proofErr w:type="spellStart"/>
      <w:r w:rsidRPr="00073710">
        <w:t>and</w:t>
      </w:r>
      <w:proofErr w:type="spellEnd"/>
      <w:r w:rsidRPr="00073710">
        <w:t xml:space="preserve"> </w:t>
      </w:r>
      <w:proofErr w:type="spellStart"/>
      <w:r w:rsidRPr="00073710">
        <w:t>even</w:t>
      </w:r>
      <w:proofErr w:type="spellEnd"/>
      <w:r w:rsidRPr="00073710">
        <w:t xml:space="preserve"> </w:t>
      </w:r>
      <w:proofErr w:type="spellStart"/>
      <w:r w:rsidRPr="00073710">
        <w:t>censuring</w:t>
      </w:r>
      <w:proofErr w:type="spellEnd"/>
      <w:r w:rsidRPr="00073710">
        <w:t xml:space="preserve"> </w:t>
      </w:r>
      <w:proofErr w:type="spellStart"/>
      <w:r w:rsidRPr="00073710">
        <w:t>the</w:t>
      </w:r>
      <w:proofErr w:type="spellEnd"/>
      <w:r w:rsidRPr="00073710">
        <w:t xml:space="preserve"> </w:t>
      </w:r>
      <w:proofErr w:type="spellStart"/>
      <w:r w:rsidRPr="00073710">
        <w:t>possibilities</w:t>
      </w:r>
      <w:proofErr w:type="spellEnd"/>
      <w:r w:rsidRPr="00073710">
        <w:t xml:space="preserve"> </w:t>
      </w:r>
      <w:proofErr w:type="spellStart"/>
      <w:r w:rsidRPr="00073710">
        <w:t>that</w:t>
      </w:r>
      <w:proofErr w:type="spellEnd"/>
      <w:r w:rsidRPr="00073710">
        <w:t xml:space="preserve"> </w:t>
      </w:r>
      <w:proofErr w:type="spellStart"/>
      <w:r w:rsidRPr="00073710">
        <w:t>come</w:t>
      </w:r>
      <w:proofErr w:type="spellEnd"/>
      <w:r w:rsidRPr="00073710">
        <w:t xml:space="preserve"> </w:t>
      </w:r>
      <w:proofErr w:type="spellStart"/>
      <w:r w:rsidRPr="00073710">
        <w:t>with</w:t>
      </w:r>
      <w:proofErr w:type="spellEnd"/>
      <w:r w:rsidRPr="00073710">
        <w:t xml:space="preserve"> </w:t>
      </w:r>
      <w:proofErr w:type="spellStart"/>
      <w:r w:rsidRPr="00073710">
        <w:t>adopting</w:t>
      </w:r>
      <w:proofErr w:type="spellEnd"/>
      <w:r w:rsidRPr="00073710">
        <w:t xml:space="preserve"> </w:t>
      </w:r>
      <w:proofErr w:type="spellStart"/>
      <w:r w:rsidRPr="00073710">
        <w:t>love</w:t>
      </w:r>
      <w:proofErr w:type="spellEnd"/>
      <w:r w:rsidRPr="00073710">
        <w:t xml:space="preserve"> as </w:t>
      </w:r>
      <w:proofErr w:type="spellStart"/>
      <w:r w:rsidRPr="00073710">
        <w:t>one’s</w:t>
      </w:r>
      <w:proofErr w:type="spellEnd"/>
      <w:r w:rsidRPr="00073710">
        <w:t xml:space="preserve"> </w:t>
      </w:r>
      <w:proofErr w:type="spellStart"/>
      <w:r w:rsidRPr="00073710">
        <w:t>guide</w:t>
      </w:r>
      <w:proofErr w:type="spellEnd"/>
      <w:r w:rsidRPr="00073710">
        <w:t>.</w:t>
      </w:r>
      <w:r>
        <w:t xml:space="preserve"> </w:t>
      </w:r>
      <w:proofErr w:type="spellStart"/>
      <w:r w:rsidRPr="00F06A75">
        <w:t>Rūmī’s</w:t>
      </w:r>
      <w:proofErr w:type="spellEnd"/>
      <w:r w:rsidRPr="00F06A75">
        <w:t xml:space="preserve"> </w:t>
      </w:r>
      <w:proofErr w:type="spellStart"/>
      <w:r w:rsidRPr="00F06A75">
        <w:t>criticism</w:t>
      </w:r>
      <w:proofErr w:type="spellEnd"/>
      <w:r w:rsidRPr="00F06A75">
        <w:t xml:space="preserve"> of </w:t>
      </w:r>
      <w:proofErr w:type="spellStart"/>
      <w:r w:rsidRPr="00F06A75">
        <w:t>intellect</w:t>
      </w:r>
      <w:proofErr w:type="spellEnd"/>
      <w:r w:rsidRPr="00F06A75">
        <w:t xml:space="preserve"> </w:t>
      </w:r>
      <w:proofErr w:type="spellStart"/>
      <w:r w:rsidRPr="00F06A75">
        <w:t>takes</w:t>
      </w:r>
      <w:proofErr w:type="spellEnd"/>
      <w:r w:rsidRPr="00F06A75">
        <w:t xml:space="preserve"> on a </w:t>
      </w:r>
      <w:proofErr w:type="spellStart"/>
      <w:r w:rsidRPr="00F06A75">
        <w:t>harsher</w:t>
      </w:r>
      <w:proofErr w:type="spellEnd"/>
      <w:r w:rsidRPr="00F06A75">
        <w:t xml:space="preserve"> </w:t>
      </w:r>
      <w:proofErr w:type="spellStart"/>
      <w:r w:rsidRPr="00F06A75">
        <w:t>tone</w:t>
      </w:r>
      <w:proofErr w:type="spellEnd"/>
      <w:r w:rsidRPr="00F06A75">
        <w:t xml:space="preserve"> in </w:t>
      </w:r>
      <w:proofErr w:type="spellStart"/>
      <w:r w:rsidRPr="00F06A75">
        <w:t>the</w:t>
      </w:r>
      <w:proofErr w:type="spellEnd"/>
      <w:r w:rsidRPr="00F06A75">
        <w:t xml:space="preserve"> </w:t>
      </w:r>
      <w:proofErr w:type="spellStart"/>
      <w:r w:rsidRPr="00F06A75">
        <w:t>second</w:t>
      </w:r>
      <w:proofErr w:type="spellEnd"/>
      <w:r w:rsidRPr="00F06A75">
        <w:t xml:space="preserve"> </w:t>
      </w:r>
      <w:proofErr w:type="spellStart"/>
      <w:r w:rsidRPr="00F06A75">
        <w:t>part</w:t>
      </w:r>
      <w:proofErr w:type="spellEnd"/>
      <w:r w:rsidRPr="00F06A75">
        <w:t xml:space="preserve"> of </w:t>
      </w:r>
      <w:proofErr w:type="spellStart"/>
      <w:r w:rsidRPr="00F06A75">
        <w:t>the</w:t>
      </w:r>
      <w:proofErr w:type="spellEnd"/>
      <w:r w:rsidRPr="00F06A75">
        <w:t xml:space="preserve"> </w:t>
      </w:r>
      <w:proofErr w:type="spellStart"/>
      <w:r w:rsidRPr="00F06A75">
        <w:t>poem</w:t>
      </w:r>
      <w:proofErr w:type="spellEnd"/>
      <w:r w:rsidRPr="00F06A75">
        <w:t xml:space="preserve">. He </w:t>
      </w:r>
      <w:proofErr w:type="spellStart"/>
      <w:r>
        <w:t>comes</w:t>
      </w:r>
      <w:proofErr w:type="spellEnd"/>
      <w:r>
        <w:t xml:space="preserve"> </w:t>
      </w:r>
      <w:proofErr w:type="spellStart"/>
      <w:r>
        <w:t>close</w:t>
      </w:r>
      <w:proofErr w:type="spellEnd"/>
      <w:r w:rsidRPr="00F06A75">
        <w:t xml:space="preserve"> </w:t>
      </w:r>
      <w:proofErr w:type="spellStart"/>
      <w:r w:rsidRPr="00F06A75">
        <w:t>to</w:t>
      </w:r>
      <w:proofErr w:type="spellEnd"/>
      <w:r w:rsidRPr="00F06A75">
        <w:t xml:space="preserve"> </w:t>
      </w:r>
      <w:proofErr w:type="spellStart"/>
      <w:r w:rsidRPr="00F06A75">
        <w:lastRenderedPageBreak/>
        <w:t>equat</w:t>
      </w:r>
      <w:r>
        <w:t>ing</w:t>
      </w:r>
      <w:proofErr w:type="spellEnd"/>
      <w:r w:rsidRPr="00F06A75">
        <w:t xml:space="preserve"> </w:t>
      </w:r>
      <w:proofErr w:type="spellStart"/>
      <w:r w:rsidRPr="00F06A75">
        <w:t>intellect</w:t>
      </w:r>
      <w:proofErr w:type="spellEnd"/>
      <w:r w:rsidRPr="00F06A75">
        <w:t xml:space="preserve"> </w:t>
      </w:r>
      <w:proofErr w:type="spellStart"/>
      <w:r w:rsidRPr="00F06A75">
        <w:t>with</w:t>
      </w:r>
      <w:proofErr w:type="spellEnd"/>
      <w:r w:rsidRPr="00F06A75">
        <w:t xml:space="preserve"> </w:t>
      </w:r>
      <w:proofErr w:type="spellStart"/>
      <w:r w:rsidRPr="00F06A75">
        <w:t>denial</w:t>
      </w:r>
      <w:proofErr w:type="spellEnd"/>
      <w:r w:rsidRPr="00F06A75">
        <w:t xml:space="preserve"> </w:t>
      </w:r>
      <w:proofErr w:type="spellStart"/>
      <w:r w:rsidRPr="00F06A75">
        <w:t>and</w:t>
      </w:r>
      <w:proofErr w:type="spellEnd"/>
      <w:r w:rsidRPr="00F06A75">
        <w:t xml:space="preserve"> </w:t>
      </w:r>
      <w:proofErr w:type="spellStart"/>
      <w:r>
        <w:t>to</w:t>
      </w:r>
      <w:proofErr w:type="spellEnd"/>
      <w:r>
        <w:t xml:space="preserve"> </w:t>
      </w:r>
      <w:proofErr w:type="spellStart"/>
      <w:r w:rsidRPr="00F06A75">
        <w:t>recommend</w:t>
      </w:r>
      <w:r>
        <w:t>ing</w:t>
      </w:r>
      <w:proofErr w:type="spellEnd"/>
      <w:r w:rsidRPr="00F06A75">
        <w:t xml:space="preserve"> </w:t>
      </w:r>
      <w:proofErr w:type="spellStart"/>
      <w:r w:rsidRPr="00F06A75">
        <w:t>its</w:t>
      </w:r>
      <w:proofErr w:type="spellEnd"/>
      <w:r w:rsidRPr="00F06A75">
        <w:t xml:space="preserve"> </w:t>
      </w:r>
      <w:proofErr w:type="spellStart"/>
      <w:r w:rsidRPr="00F06A75">
        <w:t>complete</w:t>
      </w:r>
      <w:proofErr w:type="spellEnd"/>
      <w:r w:rsidRPr="00F06A75">
        <w:t xml:space="preserve"> </w:t>
      </w:r>
      <w:proofErr w:type="spellStart"/>
      <w:r w:rsidRPr="00F06A75">
        <w:t>dismissal</w:t>
      </w:r>
      <w:proofErr w:type="spellEnd"/>
      <w:r w:rsidRPr="00F06A75">
        <w:t>.</w:t>
      </w:r>
      <w:r>
        <w:t xml:space="preserve"> </w:t>
      </w:r>
      <w:proofErr w:type="spellStart"/>
      <w:r>
        <w:t>In</w:t>
      </w:r>
      <w:proofErr w:type="spellEnd"/>
      <w:r>
        <w:t xml:space="preserve"> </w:t>
      </w:r>
      <w:proofErr w:type="spellStart"/>
      <w:r>
        <w:t>conclusion</w:t>
      </w:r>
      <w:proofErr w:type="spellEnd"/>
      <w:r>
        <w:t xml:space="preserve">, </w:t>
      </w:r>
      <w:proofErr w:type="spellStart"/>
      <w:r>
        <w:t>the</w:t>
      </w:r>
      <w:proofErr w:type="spellEnd"/>
      <w:r>
        <w:t xml:space="preserve"> </w:t>
      </w:r>
      <w:proofErr w:type="spellStart"/>
      <w:r>
        <w:t>above</w:t>
      </w:r>
      <w:proofErr w:type="spellEnd"/>
      <w:r>
        <w:t xml:space="preserve"> </w:t>
      </w:r>
      <w:proofErr w:type="spellStart"/>
      <w:r>
        <w:t>ghazal</w:t>
      </w:r>
      <w:proofErr w:type="spellEnd"/>
      <w:r>
        <w:t xml:space="preserve"> </w:t>
      </w:r>
      <w:proofErr w:type="spellStart"/>
      <w:r>
        <w:t>exemplifies</w:t>
      </w:r>
      <w:proofErr w:type="spellEnd"/>
      <w:r>
        <w:t xml:space="preserve"> </w:t>
      </w:r>
      <w:proofErr w:type="spellStart"/>
      <w:r w:rsidRPr="00F06A75">
        <w:t>Rūmī</w:t>
      </w:r>
      <w:r>
        <w:t>’s</w:t>
      </w:r>
      <w:proofErr w:type="spellEnd"/>
      <w:r>
        <w:t xml:space="preserve"> </w:t>
      </w:r>
      <w:proofErr w:type="spellStart"/>
      <w:r>
        <w:t>strong</w:t>
      </w:r>
      <w:proofErr w:type="spellEnd"/>
      <w:r>
        <w:t xml:space="preserve"> </w:t>
      </w:r>
      <w:proofErr w:type="spellStart"/>
      <w:r>
        <w:t>footing</w:t>
      </w:r>
      <w:proofErr w:type="spellEnd"/>
      <w:r>
        <w:t xml:space="preserve"> in </w:t>
      </w:r>
      <w:proofErr w:type="spellStart"/>
      <w:r>
        <w:t>the</w:t>
      </w:r>
      <w:proofErr w:type="spellEnd"/>
      <w:r>
        <w:t xml:space="preserve"> Sufi </w:t>
      </w:r>
      <w:proofErr w:type="spellStart"/>
      <w:r>
        <w:t>tradition</w:t>
      </w:r>
      <w:proofErr w:type="spellEnd"/>
      <w:r>
        <w:t xml:space="preserve"> of </w:t>
      </w:r>
      <w:proofErr w:type="spellStart"/>
      <w:r>
        <w:t>lauding</w:t>
      </w:r>
      <w:proofErr w:type="spellEnd"/>
      <w:r>
        <w:t xml:space="preserve"> </w:t>
      </w:r>
      <w:proofErr w:type="spellStart"/>
      <w:r>
        <w:t>divine</w:t>
      </w:r>
      <w:proofErr w:type="spellEnd"/>
      <w:r>
        <w:t xml:space="preserve"> </w:t>
      </w:r>
      <w:proofErr w:type="spellStart"/>
      <w:r>
        <w:t>love</w:t>
      </w:r>
      <w:proofErr w:type="spellEnd"/>
      <w:r>
        <w:t xml:space="preserve"> </w:t>
      </w:r>
      <w:proofErr w:type="spellStart"/>
      <w:r>
        <w:t>and</w:t>
      </w:r>
      <w:proofErr w:type="spellEnd"/>
      <w:r>
        <w:t xml:space="preserve"> </w:t>
      </w:r>
      <w:proofErr w:type="spellStart"/>
      <w:r>
        <w:t>the</w:t>
      </w:r>
      <w:proofErr w:type="spellEnd"/>
      <w:r>
        <w:t xml:space="preserve"> </w:t>
      </w:r>
      <w:proofErr w:type="spellStart"/>
      <w:r>
        <w:t>way</w:t>
      </w:r>
      <w:proofErr w:type="spellEnd"/>
      <w:r>
        <w:t xml:space="preserve"> he </w:t>
      </w:r>
      <w:proofErr w:type="spellStart"/>
      <w:r>
        <w:t>carries</w:t>
      </w:r>
      <w:proofErr w:type="spellEnd"/>
      <w:r>
        <w:t xml:space="preserve"> </w:t>
      </w:r>
      <w:proofErr w:type="spellStart"/>
      <w:r>
        <w:t>this</w:t>
      </w:r>
      <w:proofErr w:type="spellEnd"/>
      <w:r>
        <w:t xml:space="preserve"> </w:t>
      </w:r>
      <w:proofErr w:type="spellStart"/>
      <w:r>
        <w:t>tradition</w:t>
      </w:r>
      <w:proofErr w:type="spellEnd"/>
      <w:r>
        <w:t xml:space="preserve"> </w:t>
      </w:r>
      <w:proofErr w:type="spellStart"/>
      <w:r>
        <w:t>to</w:t>
      </w:r>
      <w:proofErr w:type="spellEnd"/>
      <w:r>
        <w:t xml:space="preserve"> </w:t>
      </w:r>
      <w:proofErr w:type="spellStart"/>
      <w:r>
        <w:t>its</w:t>
      </w:r>
      <w:proofErr w:type="spellEnd"/>
      <w:r>
        <w:t xml:space="preserve"> </w:t>
      </w:r>
      <w:proofErr w:type="spellStart"/>
      <w:r>
        <w:t>most</w:t>
      </w:r>
      <w:proofErr w:type="spellEnd"/>
      <w:r>
        <w:t xml:space="preserve"> </w:t>
      </w:r>
      <w:proofErr w:type="spellStart"/>
      <w:r>
        <w:t>intense</w:t>
      </w:r>
      <w:proofErr w:type="spellEnd"/>
      <w:r>
        <w:t xml:space="preserve"> form.</w:t>
      </w:r>
    </w:p>
    <w:p w14:paraId="74D81D6E" w14:textId="77777777" w:rsidR="0034640B" w:rsidRDefault="0034640B" w:rsidP="009C2F96">
      <w:pPr>
        <w:jc w:val="both"/>
      </w:pPr>
    </w:p>
    <w:p w14:paraId="21EDE8FE" w14:textId="77777777" w:rsidR="0034640B" w:rsidRDefault="0034640B" w:rsidP="009C2F96">
      <w:pPr>
        <w:jc w:val="both"/>
      </w:pPr>
    </w:p>
    <w:p w14:paraId="3F101EA2" w14:textId="77777777" w:rsidR="0034640B" w:rsidRPr="009F0AE3" w:rsidRDefault="0034640B" w:rsidP="009C2F96">
      <w:pPr>
        <w:rPr>
          <w:b/>
          <w:bCs/>
        </w:rPr>
      </w:pPr>
      <w:proofErr w:type="spellStart"/>
      <w:r w:rsidRPr="009F0AE3">
        <w:rPr>
          <w:b/>
          <w:bCs/>
        </w:rPr>
        <w:t>References</w:t>
      </w:r>
      <w:proofErr w:type="spellEnd"/>
    </w:p>
    <w:p w14:paraId="6873F5D4" w14:textId="6D258912" w:rsidR="0034640B" w:rsidRPr="00021193" w:rsidRDefault="0034640B">
      <w:pPr>
        <w:pStyle w:val="ListeParagraf"/>
        <w:numPr>
          <w:ilvl w:val="0"/>
          <w:numId w:val="39"/>
        </w:numPr>
        <w:jc w:val="both"/>
        <w:rPr>
          <w:lang w:val="en-US"/>
        </w:rPr>
      </w:pPr>
      <w:proofErr w:type="spellStart"/>
      <w:r w:rsidRPr="002B0DE3">
        <w:t>Mawlānā</w:t>
      </w:r>
      <w:proofErr w:type="spellEnd"/>
      <w:r w:rsidRPr="002B0DE3">
        <w:t xml:space="preserve"> </w:t>
      </w:r>
      <w:proofErr w:type="spellStart"/>
      <w:r w:rsidRPr="002B0DE3">
        <w:t>Djalāl</w:t>
      </w:r>
      <w:proofErr w:type="spellEnd"/>
      <w:r w:rsidRPr="002B0DE3">
        <w:t xml:space="preserve"> al-</w:t>
      </w:r>
      <w:proofErr w:type="spellStart"/>
      <w:r w:rsidRPr="002B0DE3">
        <w:t>Dīn</w:t>
      </w:r>
      <w:proofErr w:type="spellEnd"/>
      <w:r>
        <w:t xml:space="preserve"> </w:t>
      </w:r>
      <w:proofErr w:type="spellStart"/>
      <w:r>
        <w:t>Mu</w:t>
      </w:r>
      <w:r w:rsidRPr="00A05E93">
        <w:t>ḥ</w:t>
      </w:r>
      <w:r>
        <w:t>am</w:t>
      </w:r>
      <w:r w:rsidRPr="00A05E93">
        <w:t>mad</w:t>
      </w:r>
      <w:proofErr w:type="spellEnd"/>
      <w:r>
        <w:t xml:space="preserve"> (1374). </w:t>
      </w:r>
      <w:proofErr w:type="spellStart"/>
      <w:r>
        <w:t>Kulliy</w:t>
      </w:r>
      <w:r w:rsidRPr="002B0DE3">
        <w:t>ā</w:t>
      </w:r>
      <w:r>
        <w:t>t</w:t>
      </w:r>
      <w:proofErr w:type="spellEnd"/>
      <w:r>
        <w:t xml:space="preserve">-i </w:t>
      </w:r>
      <w:proofErr w:type="spellStart"/>
      <w:r w:rsidRPr="002B0DE3">
        <w:t>Dī</w:t>
      </w:r>
      <w:r>
        <w:t>wan</w:t>
      </w:r>
      <w:proofErr w:type="spellEnd"/>
      <w:r>
        <w:t xml:space="preserve">-i </w:t>
      </w:r>
      <w:proofErr w:type="spellStart"/>
      <w:r>
        <w:t>Shams</w:t>
      </w:r>
      <w:proofErr w:type="spellEnd"/>
      <w:r>
        <w:t>. (B.</w:t>
      </w:r>
      <w:r w:rsidRPr="00CE60CF">
        <w:t> </w:t>
      </w:r>
      <w:proofErr w:type="spellStart"/>
      <w:r w:rsidRPr="00CE60CF">
        <w:t>Furūzānfar</w:t>
      </w:r>
      <w:proofErr w:type="spellEnd"/>
      <w:r>
        <w:t xml:space="preserve"> Ed., </w:t>
      </w:r>
      <w:proofErr w:type="spellStart"/>
      <w:r>
        <w:t>Vol</w:t>
      </w:r>
      <w:proofErr w:type="spellEnd"/>
      <w:r>
        <w:t>. 1).</w:t>
      </w:r>
    </w:p>
    <w:p w14:paraId="43AAC312" w14:textId="77777777" w:rsidR="0034640B" w:rsidRPr="00021193" w:rsidRDefault="0034640B">
      <w:pPr>
        <w:pStyle w:val="ListeParagraf"/>
        <w:numPr>
          <w:ilvl w:val="0"/>
          <w:numId w:val="39"/>
        </w:numPr>
        <w:jc w:val="both"/>
        <w:rPr>
          <w:lang w:val="en-US"/>
        </w:rPr>
      </w:pPr>
      <w:r w:rsidRPr="00021193">
        <w:rPr>
          <w:lang w:val="en-US"/>
        </w:rPr>
        <w:t xml:space="preserve">Uludağ, S. (1989). Akıl - </w:t>
      </w:r>
      <w:proofErr w:type="spellStart"/>
      <w:r w:rsidRPr="00021193">
        <w:rPr>
          <w:lang w:val="en-US"/>
        </w:rPr>
        <w:t>Tasavvuf</w:t>
      </w:r>
      <w:proofErr w:type="spellEnd"/>
      <w:r w:rsidRPr="00021193">
        <w:rPr>
          <w:lang w:val="en-US"/>
        </w:rPr>
        <w:t xml:space="preserve">. In </w:t>
      </w:r>
      <w:r w:rsidRPr="00021193">
        <w:rPr>
          <w:i/>
          <w:iCs/>
          <w:lang w:val="en-US"/>
        </w:rPr>
        <w:t xml:space="preserve">TDV </w:t>
      </w:r>
      <w:proofErr w:type="spellStart"/>
      <w:r w:rsidRPr="00021193">
        <w:rPr>
          <w:i/>
          <w:iCs/>
          <w:lang w:val="en-US"/>
        </w:rPr>
        <w:t>İslâm</w:t>
      </w:r>
      <w:proofErr w:type="spellEnd"/>
      <w:r w:rsidRPr="00021193">
        <w:rPr>
          <w:i/>
          <w:iCs/>
          <w:lang w:val="en-US"/>
        </w:rPr>
        <w:t xml:space="preserve"> </w:t>
      </w:r>
      <w:proofErr w:type="spellStart"/>
      <w:r w:rsidRPr="00021193">
        <w:rPr>
          <w:i/>
          <w:iCs/>
          <w:lang w:val="en-US"/>
        </w:rPr>
        <w:t>Ansiklopedisi</w:t>
      </w:r>
      <w:proofErr w:type="spellEnd"/>
      <w:r w:rsidRPr="00021193">
        <w:rPr>
          <w:lang w:val="en-US"/>
        </w:rPr>
        <w:t xml:space="preserve">. (Vol. 2, pp. 246-247). Türkiye </w:t>
      </w:r>
      <w:proofErr w:type="spellStart"/>
      <w:r w:rsidRPr="00021193">
        <w:rPr>
          <w:lang w:val="en-US"/>
        </w:rPr>
        <w:t>Diyanet</w:t>
      </w:r>
      <w:proofErr w:type="spellEnd"/>
      <w:r w:rsidRPr="00021193">
        <w:rPr>
          <w:lang w:val="en-US"/>
        </w:rPr>
        <w:t xml:space="preserve"> </w:t>
      </w:r>
      <w:proofErr w:type="spellStart"/>
      <w:r w:rsidRPr="00021193">
        <w:rPr>
          <w:lang w:val="en-US"/>
        </w:rPr>
        <w:t>Vakfı</w:t>
      </w:r>
      <w:proofErr w:type="spellEnd"/>
      <w:r w:rsidRPr="00021193">
        <w:rPr>
          <w:lang w:val="en-US"/>
        </w:rPr>
        <w:t xml:space="preserve"> </w:t>
      </w:r>
      <w:proofErr w:type="spellStart"/>
      <w:r w:rsidRPr="00021193">
        <w:rPr>
          <w:lang w:val="en-US"/>
        </w:rPr>
        <w:t>Yayınları</w:t>
      </w:r>
      <w:proofErr w:type="spellEnd"/>
      <w:r w:rsidRPr="00021193">
        <w:rPr>
          <w:lang w:val="en-US"/>
        </w:rPr>
        <w:t>.</w:t>
      </w:r>
    </w:p>
    <w:p w14:paraId="090A6973" w14:textId="77777777" w:rsidR="0034640B" w:rsidRPr="00021193" w:rsidRDefault="0034640B">
      <w:pPr>
        <w:pStyle w:val="ListeParagraf"/>
        <w:numPr>
          <w:ilvl w:val="0"/>
          <w:numId w:val="39"/>
        </w:numPr>
        <w:jc w:val="both"/>
        <w:rPr>
          <w:lang w:val="en-US"/>
        </w:rPr>
      </w:pPr>
      <w:r w:rsidRPr="00021193">
        <w:rPr>
          <w:lang w:val="en-US"/>
        </w:rPr>
        <w:t xml:space="preserve">Uludağ, S. (1991). </w:t>
      </w:r>
      <w:proofErr w:type="spellStart"/>
      <w:r w:rsidRPr="00021193">
        <w:rPr>
          <w:lang w:val="en-US"/>
        </w:rPr>
        <w:t>Aşk</w:t>
      </w:r>
      <w:proofErr w:type="spellEnd"/>
      <w:r w:rsidRPr="00021193">
        <w:rPr>
          <w:lang w:val="en-US"/>
        </w:rPr>
        <w:t xml:space="preserve">. In </w:t>
      </w:r>
      <w:r w:rsidRPr="00021193">
        <w:rPr>
          <w:i/>
          <w:iCs/>
          <w:lang w:val="en-US"/>
        </w:rPr>
        <w:t xml:space="preserve">TDV </w:t>
      </w:r>
      <w:proofErr w:type="spellStart"/>
      <w:r w:rsidRPr="00021193">
        <w:rPr>
          <w:i/>
          <w:iCs/>
          <w:lang w:val="en-US"/>
        </w:rPr>
        <w:t>İslâm</w:t>
      </w:r>
      <w:proofErr w:type="spellEnd"/>
      <w:r w:rsidRPr="00021193">
        <w:rPr>
          <w:i/>
          <w:iCs/>
          <w:lang w:val="en-US"/>
        </w:rPr>
        <w:t xml:space="preserve"> </w:t>
      </w:r>
      <w:proofErr w:type="spellStart"/>
      <w:r w:rsidRPr="00021193">
        <w:rPr>
          <w:i/>
          <w:iCs/>
          <w:lang w:val="en-US"/>
        </w:rPr>
        <w:t>Ansiklopedisi</w:t>
      </w:r>
      <w:proofErr w:type="spellEnd"/>
      <w:r w:rsidRPr="00021193">
        <w:rPr>
          <w:lang w:val="en-US"/>
        </w:rPr>
        <w:t xml:space="preserve">. (Vol. 4, pp. 11-17). Türkiye </w:t>
      </w:r>
      <w:proofErr w:type="spellStart"/>
      <w:r w:rsidRPr="00021193">
        <w:rPr>
          <w:lang w:val="en-US"/>
        </w:rPr>
        <w:t>Diyanet</w:t>
      </w:r>
      <w:proofErr w:type="spellEnd"/>
      <w:r w:rsidRPr="00021193">
        <w:rPr>
          <w:lang w:val="en-US"/>
        </w:rPr>
        <w:t xml:space="preserve"> </w:t>
      </w:r>
      <w:proofErr w:type="spellStart"/>
      <w:r w:rsidRPr="00021193">
        <w:rPr>
          <w:lang w:val="en-US"/>
        </w:rPr>
        <w:t>Vakfı</w:t>
      </w:r>
      <w:proofErr w:type="spellEnd"/>
      <w:r w:rsidRPr="00021193">
        <w:rPr>
          <w:lang w:val="en-US"/>
        </w:rPr>
        <w:t xml:space="preserve"> </w:t>
      </w:r>
      <w:proofErr w:type="spellStart"/>
      <w:r w:rsidRPr="00021193">
        <w:rPr>
          <w:lang w:val="en-US"/>
        </w:rPr>
        <w:t>Yayınları</w:t>
      </w:r>
      <w:proofErr w:type="spellEnd"/>
      <w:r w:rsidRPr="00021193">
        <w:rPr>
          <w:lang w:val="en-US"/>
        </w:rPr>
        <w:t>.</w:t>
      </w:r>
    </w:p>
    <w:p w14:paraId="6F7C276F" w14:textId="77777777" w:rsidR="0034640B" w:rsidRPr="00021193" w:rsidRDefault="0034640B">
      <w:pPr>
        <w:pStyle w:val="ListeParagraf"/>
        <w:numPr>
          <w:ilvl w:val="0"/>
          <w:numId w:val="39"/>
        </w:numPr>
        <w:jc w:val="both"/>
        <w:rPr>
          <w:lang w:val="en-US"/>
        </w:rPr>
      </w:pPr>
      <w:r w:rsidRPr="00021193">
        <w:rPr>
          <w:lang w:val="en-US"/>
        </w:rPr>
        <w:t xml:space="preserve">Bolay, S. H. (1989). Akıl. In </w:t>
      </w:r>
      <w:r w:rsidRPr="00021193">
        <w:rPr>
          <w:i/>
          <w:iCs/>
          <w:lang w:val="en-US"/>
        </w:rPr>
        <w:t xml:space="preserve">TDV </w:t>
      </w:r>
      <w:proofErr w:type="spellStart"/>
      <w:r w:rsidRPr="00021193">
        <w:rPr>
          <w:i/>
          <w:iCs/>
          <w:lang w:val="en-US"/>
        </w:rPr>
        <w:t>İslâm</w:t>
      </w:r>
      <w:proofErr w:type="spellEnd"/>
      <w:r w:rsidRPr="00021193">
        <w:rPr>
          <w:i/>
          <w:iCs/>
          <w:lang w:val="en-US"/>
        </w:rPr>
        <w:t xml:space="preserve"> </w:t>
      </w:r>
      <w:proofErr w:type="spellStart"/>
      <w:r w:rsidRPr="00021193">
        <w:rPr>
          <w:i/>
          <w:iCs/>
          <w:lang w:val="en-US"/>
        </w:rPr>
        <w:t>Ansiklopedisi</w:t>
      </w:r>
      <w:proofErr w:type="spellEnd"/>
      <w:r w:rsidRPr="00021193">
        <w:rPr>
          <w:lang w:val="en-US"/>
        </w:rPr>
        <w:t xml:space="preserve">. (Vol. 2, pp. 238-242). Türkiye </w:t>
      </w:r>
      <w:proofErr w:type="spellStart"/>
      <w:r w:rsidRPr="00021193">
        <w:rPr>
          <w:lang w:val="en-US"/>
        </w:rPr>
        <w:t>Diyanet</w:t>
      </w:r>
      <w:proofErr w:type="spellEnd"/>
      <w:r w:rsidRPr="00021193">
        <w:rPr>
          <w:lang w:val="en-US"/>
        </w:rPr>
        <w:t xml:space="preserve"> </w:t>
      </w:r>
      <w:proofErr w:type="spellStart"/>
      <w:r w:rsidRPr="00021193">
        <w:rPr>
          <w:lang w:val="en-US"/>
        </w:rPr>
        <w:t>Vakfı</w:t>
      </w:r>
      <w:proofErr w:type="spellEnd"/>
      <w:r w:rsidRPr="00021193">
        <w:rPr>
          <w:lang w:val="en-US"/>
        </w:rPr>
        <w:t xml:space="preserve"> </w:t>
      </w:r>
      <w:proofErr w:type="spellStart"/>
      <w:r w:rsidRPr="00021193">
        <w:rPr>
          <w:lang w:val="en-US"/>
        </w:rPr>
        <w:t>Yayınları</w:t>
      </w:r>
      <w:proofErr w:type="spellEnd"/>
      <w:r w:rsidRPr="00021193">
        <w:rPr>
          <w:lang w:val="en-US"/>
        </w:rPr>
        <w:t>.</w:t>
      </w:r>
    </w:p>
    <w:p w14:paraId="0901B22E" w14:textId="77777777" w:rsidR="0034640B" w:rsidRPr="00021193" w:rsidRDefault="0034640B">
      <w:pPr>
        <w:pStyle w:val="ListeParagraf"/>
        <w:numPr>
          <w:ilvl w:val="0"/>
          <w:numId w:val="39"/>
        </w:numPr>
        <w:jc w:val="both"/>
        <w:rPr>
          <w:lang w:val="en-US"/>
        </w:rPr>
      </w:pPr>
      <w:r w:rsidRPr="00021193">
        <w:rPr>
          <w:lang w:val="en-US"/>
        </w:rPr>
        <w:t xml:space="preserve">Yavuz, Y. Ş. (1989). Akıl - </w:t>
      </w:r>
      <w:proofErr w:type="spellStart"/>
      <w:r w:rsidRPr="00021193">
        <w:rPr>
          <w:lang w:val="en-US"/>
        </w:rPr>
        <w:t>Kelâm</w:t>
      </w:r>
      <w:proofErr w:type="spellEnd"/>
      <w:r w:rsidRPr="00021193">
        <w:rPr>
          <w:lang w:val="en-US"/>
        </w:rPr>
        <w:t xml:space="preserve">. In </w:t>
      </w:r>
      <w:r w:rsidRPr="00021193">
        <w:rPr>
          <w:i/>
          <w:iCs/>
          <w:lang w:val="en-US"/>
        </w:rPr>
        <w:t xml:space="preserve">TDV </w:t>
      </w:r>
      <w:proofErr w:type="spellStart"/>
      <w:r w:rsidRPr="00021193">
        <w:rPr>
          <w:i/>
          <w:iCs/>
          <w:lang w:val="en-US"/>
        </w:rPr>
        <w:t>İslâm</w:t>
      </w:r>
      <w:proofErr w:type="spellEnd"/>
      <w:r w:rsidRPr="00021193">
        <w:rPr>
          <w:i/>
          <w:iCs/>
          <w:lang w:val="en-US"/>
        </w:rPr>
        <w:t xml:space="preserve"> </w:t>
      </w:r>
      <w:proofErr w:type="spellStart"/>
      <w:r w:rsidRPr="00021193">
        <w:rPr>
          <w:i/>
          <w:iCs/>
          <w:lang w:val="en-US"/>
        </w:rPr>
        <w:t>Ansiklopedisi</w:t>
      </w:r>
      <w:proofErr w:type="spellEnd"/>
      <w:r w:rsidRPr="00021193">
        <w:rPr>
          <w:lang w:val="en-US"/>
        </w:rPr>
        <w:t xml:space="preserve">. (Vol. 2, pp. 242-246). Türkiye </w:t>
      </w:r>
      <w:proofErr w:type="spellStart"/>
      <w:r w:rsidRPr="00021193">
        <w:rPr>
          <w:lang w:val="en-US"/>
        </w:rPr>
        <w:t>Diyanet</w:t>
      </w:r>
      <w:proofErr w:type="spellEnd"/>
      <w:r w:rsidRPr="00021193">
        <w:rPr>
          <w:lang w:val="en-US"/>
        </w:rPr>
        <w:t xml:space="preserve"> </w:t>
      </w:r>
      <w:proofErr w:type="spellStart"/>
      <w:r w:rsidRPr="00021193">
        <w:rPr>
          <w:lang w:val="en-US"/>
        </w:rPr>
        <w:t>Vakfı</w:t>
      </w:r>
      <w:proofErr w:type="spellEnd"/>
      <w:r w:rsidRPr="00021193">
        <w:rPr>
          <w:lang w:val="en-US"/>
        </w:rPr>
        <w:t xml:space="preserve"> </w:t>
      </w:r>
      <w:proofErr w:type="spellStart"/>
      <w:r w:rsidRPr="00021193">
        <w:rPr>
          <w:lang w:val="en-US"/>
        </w:rPr>
        <w:t>Yayınları</w:t>
      </w:r>
      <w:proofErr w:type="spellEnd"/>
      <w:r w:rsidRPr="00021193">
        <w:rPr>
          <w:lang w:val="en-US"/>
        </w:rPr>
        <w:t>.</w:t>
      </w:r>
    </w:p>
    <w:p w14:paraId="211D54EC" w14:textId="77777777" w:rsidR="0034640B" w:rsidRPr="00021193" w:rsidRDefault="0034640B">
      <w:pPr>
        <w:pStyle w:val="ListeParagraf"/>
        <w:numPr>
          <w:ilvl w:val="0"/>
          <w:numId w:val="39"/>
        </w:numPr>
        <w:jc w:val="both"/>
        <w:rPr>
          <w:lang w:val="en-US"/>
        </w:rPr>
      </w:pPr>
      <w:r w:rsidRPr="00021193">
        <w:rPr>
          <w:lang w:val="en-US"/>
        </w:rPr>
        <w:t>Rahman, F. (1986</w:t>
      </w:r>
      <w:proofErr w:type="gramStart"/>
      <w:r w:rsidRPr="00021193">
        <w:rPr>
          <w:lang w:val="en-US"/>
        </w:rPr>
        <w:t>).</w:t>
      </w:r>
      <w:proofErr w:type="spellStart"/>
      <w:r w:rsidRPr="00021193">
        <w:rPr>
          <w:lang w:val="en-US"/>
        </w:rPr>
        <w:t>ʿAKL</w:t>
      </w:r>
      <w:proofErr w:type="spellEnd"/>
      <w:proofErr w:type="gramEnd"/>
      <w:r w:rsidRPr="00021193">
        <w:rPr>
          <w:lang w:val="en-US"/>
        </w:rPr>
        <w:t xml:space="preserve">. In </w:t>
      </w:r>
      <w:r w:rsidRPr="00021193">
        <w:rPr>
          <w:i/>
          <w:iCs/>
          <w:lang w:val="en-US"/>
        </w:rPr>
        <w:t xml:space="preserve">The </w:t>
      </w:r>
      <w:proofErr w:type="spellStart"/>
      <w:r w:rsidRPr="00021193">
        <w:rPr>
          <w:i/>
          <w:iCs/>
          <w:lang w:val="en-US"/>
        </w:rPr>
        <w:t>Encyclopaedia</w:t>
      </w:r>
      <w:proofErr w:type="spellEnd"/>
      <w:r w:rsidRPr="00021193">
        <w:rPr>
          <w:i/>
          <w:iCs/>
          <w:lang w:val="en-US"/>
        </w:rPr>
        <w:t xml:space="preserve"> of Islam New Edition</w:t>
      </w:r>
      <w:r w:rsidRPr="00021193">
        <w:rPr>
          <w:lang w:val="en-US"/>
        </w:rPr>
        <w:t xml:space="preserve">. (Vol. I, pp. 341-342). </w:t>
      </w:r>
      <w:proofErr w:type="spellStart"/>
      <w:r>
        <w:t>Brill</w:t>
      </w:r>
      <w:proofErr w:type="spellEnd"/>
      <w:r w:rsidRPr="00021193">
        <w:rPr>
          <w:lang w:val="en-US"/>
        </w:rPr>
        <w:t>.</w:t>
      </w:r>
    </w:p>
    <w:p w14:paraId="48E1BE80" w14:textId="52A0F79C" w:rsidR="00FC4D53" w:rsidRDefault="0034640B">
      <w:pPr>
        <w:pStyle w:val="ListeParagraf"/>
        <w:numPr>
          <w:ilvl w:val="0"/>
          <w:numId w:val="39"/>
        </w:numPr>
        <w:jc w:val="both"/>
        <w:rPr>
          <w:lang w:val="en-US"/>
        </w:rPr>
      </w:pPr>
      <w:proofErr w:type="spellStart"/>
      <w:r w:rsidRPr="00021193">
        <w:rPr>
          <w:lang w:val="en-US"/>
        </w:rPr>
        <w:t>Arkkoun</w:t>
      </w:r>
      <w:proofErr w:type="spellEnd"/>
      <w:r w:rsidRPr="00021193">
        <w:rPr>
          <w:lang w:val="en-US"/>
        </w:rPr>
        <w:t>, F. (1997</w:t>
      </w:r>
      <w:proofErr w:type="gramStart"/>
      <w:r w:rsidRPr="00021193">
        <w:rPr>
          <w:lang w:val="en-US"/>
        </w:rPr>
        <w:t>).</w:t>
      </w:r>
      <w:proofErr w:type="spellStart"/>
      <w:r w:rsidRPr="00021193">
        <w:rPr>
          <w:lang w:val="en-US"/>
        </w:rPr>
        <w:t>ʿISHK</w:t>
      </w:r>
      <w:proofErr w:type="spellEnd"/>
      <w:proofErr w:type="gramEnd"/>
      <w:r w:rsidRPr="00021193">
        <w:rPr>
          <w:lang w:val="en-US"/>
        </w:rPr>
        <w:t xml:space="preserve">. In </w:t>
      </w:r>
      <w:r w:rsidRPr="00021193">
        <w:rPr>
          <w:i/>
          <w:iCs/>
          <w:lang w:val="en-US"/>
        </w:rPr>
        <w:t xml:space="preserve">The </w:t>
      </w:r>
      <w:proofErr w:type="spellStart"/>
      <w:r w:rsidRPr="00021193">
        <w:rPr>
          <w:i/>
          <w:iCs/>
          <w:lang w:val="en-US"/>
        </w:rPr>
        <w:t>Encyclopaedia</w:t>
      </w:r>
      <w:proofErr w:type="spellEnd"/>
      <w:r w:rsidRPr="00021193">
        <w:rPr>
          <w:i/>
          <w:iCs/>
          <w:lang w:val="en-US"/>
        </w:rPr>
        <w:t xml:space="preserve"> of Islam New Edition</w:t>
      </w:r>
      <w:r w:rsidRPr="00021193">
        <w:rPr>
          <w:lang w:val="en-US"/>
        </w:rPr>
        <w:t xml:space="preserve">. (Vol. IV, pp. 118-119). </w:t>
      </w:r>
      <w:proofErr w:type="spellStart"/>
      <w:r>
        <w:t>Brill</w:t>
      </w:r>
      <w:proofErr w:type="spellEnd"/>
      <w:r w:rsidRPr="00021193">
        <w:rPr>
          <w:lang w:val="en-US"/>
        </w:rPr>
        <w:t>.</w:t>
      </w:r>
    </w:p>
    <w:p w14:paraId="5C6DE5E5" w14:textId="42ECA919" w:rsidR="008B5439" w:rsidRPr="009C2F96" w:rsidRDefault="00FC4D53" w:rsidP="009C2F96">
      <w:pPr>
        <w:autoSpaceDE/>
        <w:autoSpaceDN/>
        <w:rPr>
          <w:lang w:val="en-US"/>
        </w:rPr>
      </w:pPr>
      <w:r>
        <w:rPr>
          <w:lang w:val="en-US"/>
        </w:rPr>
        <w:br w:type="page"/>
      </w:r>
    </w:p>
    <w:p w14:paraId="28071465" w14:textId="77777777" w:rsidR="00B470AD" w:rsidRPr="00081A8E" w:rsidRDefault="00B470AD" w:rsidP="009C2F96">
      <w:pPr>
        <w:jc w:val="center"/>
        <w:rPr>
          <w:b/>
          <w:bCs/>
          <w:sz w:val="28"/>
          <w:szCs w:val="28"/>
        </w:rPr>
      </w:pPr>
      <w:r w:rsidRPr="00081A8E">
        <w:rPr>
          <w:b/>
          <w:bCs/>
          <w:sz w:val="28"/>
          <w:szCs w:val="28"/>
        </w:rPr>
        <w:lastRenderedPageBreak/>
        <w:t xml:space="preserve">İsrail’in </w:t>
      </w:r>
      <w:r>
        <w:rPr>
          <w:b/>
          <w:bCs/>
          <w:sz w:val="28"/>
          <w:szCs w:val="28"/>
        </w:rPr>
        <w:t>Orta Doğu Politikalarındaki Din ve Müttefiklik Faktörlerinin</w:t>
      </w:r>
      <w:r w:rsidRPr="00081A8E">
        <w:rPr>
          <w:b/>
          <w:bCs/>
          <w:sz w:val="28"/>
          <w:szCs w:val="28"/>
        </w:rPr>
        <w:t xml:space="preserve"> Analizi</w:t>
      </w:r>
    </w:p>
    <w:p w14:paraId="32A62B40" w14:textId="77777777" w:rsidR="00B470AD" w:rsidRPr="00587C60" w:rsidRDefault="00B470AD" w:rsidP="009C2F96">
      <w:pPr>
        <w:jc w:val="center"/>
      </w:pPr>
      <w:r w:rsidRPr="00587C60">
        <w:t>Mehmet EMİR</w:t>
      </w:r>
      <w:r w:rsidRPr="00587C60">
        <w:rPr>
          <w:rStyle w:val="DipnotBavurusu"/>
          <w:rFonts w:eastAsiaTheme="majorEastAsia"/>
        </w:rPr>
        <w:footnoteReference w:id="5"/>
      </w:r>
    </w:p>
    <w:p w14:paraId="0CCF6180" w14:textId="5B8836D3" w:rsidR="00587C60" w:rsidRPr="00587C60" w:rsidRDefault="00587C60" w:rsidP="009C2F96">
      <w:pPr>
        <w:jc w:val="center"/>
      </w:pPr>
      <w:r w:rsidRPr="00587C60">
        <w:t>Bağımsız Araştırmacı</w:t>
      </w:r>
    </w:p>
    <w:p w14:paraId="63E11CA2" w14:textId="5C2726D9" w:rsidR="00587C60" w:rsidRPr="00587C60" w:rsidRDefault="00587C60" w:rsidP="009C2F96">
      <w:pPr>
        <w:jc w:val="center"/>
      </w:pPr>
      <w:r w:rsidRPr="00587C60">
        <w:t>Mehmetemir019@gmail.com</w:t>
      </w:r>
    </w:p>
    <w:p w14:paraId="4ED8CF90" w14:textId="5A63E000" w:rsidR="00587C60" w:rsidRPr="00587C60" w:rsidRDefault="00587C60" w:rsidP="009C2F96">
      <w:pPr>
        <w:jc w:val="center"/>
      </w:pPr>
      <w:r w:rsidRPr="00587C60">
        <w:t>ORCID ID:0000-0003-3143-1439</w:t>
      </w:r>
    </w:p>
    <w:p w14:paraId="2BD617CF" w14:textId="77777777" w:rsidR="00B470AD" w:rsidRDefault="00B470AD" w:rsidP="009C2F96">
      <w:pPr>
        <w:jc w:val="center"/>
        <w:rPr>
          <w:b/>
          <w:bCs/>
        </w:rPr>
      </w:pPr>
    </w:p>
    <w:p w14:paraId="4F5C26B5" w14:textId="77777777" w:rsidR="00B470AD" w:rsidRPr="005329D0" w:rsidRDefault="00B470AD" w:rsidP="009C2F96">
      <w:pPr>
        <w:jc w:val="center"/>
        <w:rPr>
          <w:b/>
          <w:bCs/>
        </w:rPr>
      </w:pPr>
      <w:r w:rsidRPr="005329D0">
        <w:rPr>
          <w:b/>
          <w:bCs/>
        </w:rPr>
        <w:t>Ö</w:t>
      </w:r>
      <w:r>
        <w:rPr>
          <w:b/>
          <w:bCs/>
        </w:rPr>
        <w:t>zet</w:t>
      </w:r>
    </w:p>
    <w:p w14:paraId="6BA7597B" w14:textId="78DC782B" w:rsidR="00B470AD" w:rsidRDefault="00B470AD" w:rsidP="009C2F96">
      <w:pPr>
        <w:jc w:val="both"/>
      </w:pPr>
      <w:r w:rsidRPr="0099100F">
        <w:t>Orta Doğu coğrafyasında yer alan en önemli aktörlerden birisi de hiç kuşkusuz İsrail’dir. Kuruluşundan günümüze kadar İsrail’in icra ettiği eylemleri hem bölgesel hem de küresel seviyede dikkat çekmiştir. İsrail’in dini inanışı politik, ekonomik ve askeri eylemselliğini doğrudan etkilemektedir. Dini inanışları gereği kendilerine Orta Doğu’da belirli bir toprağın vadedildiğine inanan Yahudiler bu amaçlarına Vadedilmiş Topraklar ülküsüyle ulaşmak istemektedir. Kendilerini tanrının seçilmiş halkı olarak gören ve diğer insanları onların hizmetine verilmiş mahlukat nazarıyla değerlendiren Yahudi anlayışı olan Siyonizm, İsrail’in bütün icra ettiği politikaların temelini oluşturmaktadır. Siyonist anlayışa göre Fırat ve Dicle nehirleri arasında kalan topraklar kendilerine vadedilmiştir ve bu topraklar her ne pahasına olursa olsun alınmalıdır. Ancak İsrail’in büyük ülküsünü gerçekleştirmek istediği yerlerde egemen devletler vardır. Bu durum doğal olarak çatışmaların yaşanacağını işaret etmektedir. Kendilerini üstün ırk olarak gören Yahudilerin bu düşünceleri Vadedilmiş Topraklar ülküsüyle birlikte değerlendirildiğinde kaçınılmaz olarak şiddetin artacağı ve bununla beraber durumun bölgedeki diğer aktörler için büyük tehditler içerdiği görülmektedir. İsrail’in revizyonist politikası hem devletler hukukuna hem de insan hakları hukukuna aykırıdır.</w:t>
      </w:r>
      <w:r w:rsidR="009C2F96">
        <w:t xml:space="preserve"> </w:t>
      </w:r>
      <w:r w:rsidRPr="0099100F">
        <w:t xml:space="preserve">İsrail Başbakanı Benjamin </w:t>
      </w:r>
      <w:proofErr w:type="spellStart"/>
      <w:r w:rsidRPr="0099100F">
        <w:t>Netanyahu’nun</w:t>
      </w:r>
      <w:proofErr w:type="spellEnd"/>
      <w:r w:rsidRPr="0099100F">
        <w:t xml:space="preserve"> Gazze Şeridi saldırıları için kullandığı “</w:t>
      </w:r>
      <w:proofErr w:type="spellStart"/>
      <w:r w:rsidRPr="0099100F">
        <w:t>Yeşeya</w:t>
      </w:r>
      <w:proofErr w:type="spellEnd"/>
      <w:r w:rsidRPr="0099100F">
        <w:t xml:space="preserve"> kehanetlerini gerçekleştireceğiz” söylemi bu aktörün icra ettiği politikalarda ve askeri eylemlerde dini motivasyonunun ne kadar güçlü olduğunu doğrulamıştır. Kuruluşundan beri güvenlik devleti niteliğiyle hareket eden İsrail için Siyonist hedeflere varmak en temel ülküdür. Aktörün özellikle ABD ile ilişkilerini iyi seviyede tutması icra edilen askeri operasyonlar yönüyle büyük avantaj sağlamaktadır. İsrail’in çıkarlarını ABD’nin çıkarları ile de özdeşleştiren </w:t>
      </w:r>
      <w:proofErr w:type="spellStart"/>
      <w:r w:rsidRPr="0099100F">
        <w:t>Netanyahu</w:t>
      </w:r>
      <w:proofErr w:type="spellEnd"/>
      <w:r w:rsidRPr="0099100F">
        <w:t xml:space="preserve"> her fırsatta eylemlerinin aslında bütün müttefiklerinin yararına olduğu söylemini vurgulamaktadır. ABD Başkanları ve Dışişleri Bakanlarının etnik ve dini aidiyetleri ise İsrail’in çıkarları için daha elverişli bir hareket alanı sağlamaktadır.</w:t>
      </w:r>
      <w:r w:rsidR="009C2F96">
        <w:t xml:space="preserve"> </w:t>
      </w:r>
      <w:r w:rsidRPr="0099100F">
        <w:t xml:space="preserve">Orta Doğu’da İsrail’in saldırılarının Uluslararası Adalet Divanı ve Uluslararası Ceza Mahkemesinde görülen başlıca davalar olmasına rağmen başta ABD olmak üzere İngiltere ve Avrupa Birliği üyesi aktörler de Yahudi devletini desteklemeye devam etmektedir. İsrail’in Orta Doğu’daki eylemleri kendini dengeleyecek aktörler karşısına çıkıncaya kadar devam edecektir. Aktörün eylemselliğinde dini motivasyonun ve müttefiklik ilişkilerinin çok güçlü olduğu görülmüştür. </w:t>
      </w:r>
    </w:p>
    <w:p w14:paraId="07302455" w14:textId="77777777" w:rsidR="009C2F96" w:rsidRPr="0099100F" w:rsidRDefault="009C2F96" w:rsidP="009C2F96">
      <w:pPr>
        <w:jc w:val="both"/>
      </w:pPr>
    </w:p>
    <w:p w14:paraId="0E20A9AA" w14:textId="77777777" w:rsidR="00B470AD" w:rsidRPr="005329D0" w:rsidRDefault="00B470AD" w:rsidP="009C2F96">
      <w:pPr>
        <w:jc w:val="both"/>
      </w:pPr>
      <w:r w:rsidRPr="005329D0">
        <w:rPr>
          <w:b/>
          <w:bCs/>
        </w:rPr>
        <w:t>Anahtar Kelimeler:</w:t>
      </w:r>
      <w:r w:rsidRPr="005329D0">
        <w:t xml:space="preserve"> </w:t>
      </w:r>
      <w:r w:rsidRPr="005329D0">
        <w:rPr>
          <w:i/>
          <w:iCs/>
        </w:rPr>
        <w:t>İsrail,</w:t>
      </w:r>
      <w:r>
        <w:rPr>
          <w:i/>
          <w:iCs/>
        </w:rPr>
        <w:t xml:space="preserve"> ABD,</w:t>
      </w:r>
      <w:r w:rsidRPr="005329D0">
        <w:rPr>
          <w:i/>
          <w:iCs/>
        </w:rPr>
        <w:t xml:space="preserve"> </w:t>
      </w:r>
      <w:r>
        <w:rPr>
          <w:i/>
          <w:iCs/>
        </w:rPr>
        <w:t>Orta Doğu, Dini Motivasyon, Strateji.</w:t>
      </w:r>
      <w:r w:rsidRPr="005329D0">
        <w:t xml:space="preserve">  </w:t>
      </w:r>
    </w:p>
    <w:p w14:paraId="16199A7B" w14:textId="77777777" w:rsidR="00B470AD" w:rsidRDefault="00B470AD" w:rsidP="009C2F96">
      <w:pPr>
        <w:jc w:val="both"/>
      </w:pPr>
    </w:p>
    <w:p w14:paraId="71663713" w14:textId="77777777" w:rsidR="009C2F96" w:rsidRDefault="009C2F96" w:rsidP="009C2F96">
      <w:pPr>
        <w:jc w:val="center"/>
        <w:rPr>
          <w:b/>
          <w:bCs/>
          <w:sz w:val="28"/>
          <w:szCs w:val="28"/>
          <w:lang w:val="en-US"/>
        </w:rPr>
      </w:pPr>
    </w:p>
    <w:p w14:paraId="6DA93D53" w14:textId="77777777" w:rsidR="009C2F96" w:rsidRDefault="009C2F96" w:rsidP="009C2F96">
      <w:pPr>
        <w:jc w:val="center"/>
        <w:rPr>
          <w:b/>
          <w:bCs/>
          <w:sz w:val="28"/>
          <w:szCs w:val="28"/>
          <w:lang w:val="en-US"/>
        </w:rPr>
      </w:pPr>
    </w:p>
    <w:p w14:paraId="44CBCFCF" w14:textId="77777777" w:rsidR="009C2F96" w:rsidRDefault="009C2F96" w:rsidP="009C2F96">
      <w:pPr>
        <w:jc w:val="center"/>
        <w:rPr>
          <w:b/>
          <w:bCs/>
          <w:sz w:val="28"/>
          <w:szCs w:val="28"/>
          <w:lang w:val="en-US"/>
        </w:rPr>
      </w:pPr>
    </w:p>
    <w:p w14:paraId="69194500" w14:textId="77777777" w:rsidR="009C2F96" w:rsidRDefault="009C2F96" w:rsidP="009C2F96">
      <w:pPr>
        <w:jc w:val="center"/>
        <w:rPr>
          <w:b/>
          <w:bCs/>
          <w:sz w:val="28"/>
          <w:szCs w:val="28"/>
          <w:lang w:val="en-US"/>
        </w:rPr>
      </w:pPr>
    </w:p>
    <w:p w14:paraId="6F480B3E" w14:textId="59F00C6B" w:rsidR="00B470AD" w:rsidRDefault="00B470AD" w:rsidP="009C2F96">
      <w:pPr>
        <w:jc w:val="center"/>
        <w:rPr>
          <w:b/>
          <w:bCs/>
          <w:sz w:val="28"/>
          <w:szCs w:val="28"/>
          <w:lang w:val="en-US"/>
        </w:rPr>
      </w:pPr>
      <w:r w:rsidRPr="006568C0">
        <w:rPr>
          <w:b/>
          <w:bCs/>
          <w:sz w:val="28"/>
          <w:szCs w:val="28"/>
          <w:lang w:val="en-US"/>
        </w:rPr>
        <w:lastRenderedPageBreak/>
        <w:t>Analysis of Religion and Alliance Factors in Israel's Middle East Policies</w:t>
      </w:r>
    </w:p>
    <w:p w14:paraId="13FA81A7" w14:textId="77777777" w:rsidR="009C2F96" w:rsidRDefault="009C2F96" w:rsidP="009C2F96">
      <w:pPr>
        <w:jc w:val="center"/>
        <w:rPr>
          <w:b/>
          <w:bCs/>
          <w:sz w:val="28"/>
          <w:szCs w:val="28"/>
          <w:lang w:val="en-US"/>
        </w:rPr>
      </w:pPr>
    </w:p>
    <w:p w14:paraId="39E429F5" w14:textId="77777777" w:rsidR="00B470AD" w:rsidRPr="00D15848" w:rsidRDefault="00B470AD" w:rsidP="009C2F96">
      <w:pPr>
        <w:jc w:val="center"/>
        <w:rPr>
          <w:b/>
          <w:bCs/>
          <w:lang w:val="en-US"/>
        </w:rPr>
      </w:pPr>
      <w:r w:rsidRPr="00D15848">
        <w:rPr>
          <w:b/>
          <w:bCs/>
          <w:lang w:val="en-US"/>
        </w:rPr>
        <w:t>A</w:t>
      </w:r>
      <w:r>
        <w:rPr>
          <w:b/>
          <w:bCs/>
          <w:lang w:val="en-US"/>
        </w:rPr>
        <w:t>bstract</w:t>
      </w:r>
    </w:p>
    <w:p w14:paraId="53AA4024" w14:textId="25F2CF90" w:rsidR="00B470AD" w:rsidRPr="0099100F" w:rsidRDefault="00B470AD" w:rsidP="009C2F96">
      <w:pPr>
        <w:jc w:val="both"/>
        <w:rPr>
          <w:lang w:val="en-US"/>
        </w:rPr>
      </w:pPr>
      <w:r w:rsidRPr="0099100F">
        <w:rPr>
          <w:lang w:val="en-US"/>
        </w:rPr>
        <w:t xml:space="preserve">One of the most important actors in the Middle East is undoubtedly Israel. Since its establishment, Israel’s actions have attracted attention both regionally and globally. Israel’s religious beliefs directly affect its political, economic and military activities. Jews, who believe that a certain land in the Middle East has been promised to them due to their religious beliefs, want to achieve this goal through the ideal of the Promised Land. Zionism, which is a Jewish understanding that sees itself as God’s chosen people and evaluates other people as creatures given to their service, forms the basis of all of Israel’s policies. According to the Zionist understanding, the </w:t>
      </w:r>
      <w:proofErr w:type="gramStart"/>
      <w:r w:rsidRPr="0099100F">
        <w:rPr>
          <w:lang w:val="en-US"/>
        </w:rPr>
        <w:t>lands</w:t>
      </w:r>
      <w:proofErr w:type="gramEnd"/>
      <w:r w:rsidRPr="0099100F">
        <w:rPr>
          <w:lang w:val="en-US"/>
        </w:rPr>
        <w:t xml:space="preserve"> between the Euphrates and Tigris rivers have been promised to them and these lands must be taken at all costs.</w:t>
      </w:r>
      <w:r w:rsidR="009C2F96">
        <w:rPr>
          <w:lang w:val="en-US"/>
        </w:rPr>
        <w:t xml:space="preserve"> </w:t>
      </w:r>
      <w:r w:rsidRPr="0099100F">
        <w:rPr>
          <w:lang w:val="en-US"/>
        </w:rPr>
        <w:t xml:space="preserve">The statement "We will fulfill the prophecies of Isaiah" used by Israeli Prime Minister Benjamin Netanyahu for the Gaza Strip attacks has confirmed how strong the religious motivation of this actor is in the policies and military actions he carries out. For Israel, which has been acting as a security state since its establishment, the most fundamental ideal is to achieve Zionist goals. The actor's good relations with the US </w:t>
      </w:r>
      <w:proofErr w:type="gramStart"/>
      <w:r w:rsidRPr="0099100F">
        <w:rPr>
          <w:lang w:val="en-US"/>
        </w:rPr>
        <w:t>in particular provide</w:t>
      </w:r>
      <w:proofErr w:type="gramEnd"/>
      <w:r w:rsidRPr="0099100F">
        <w:rPr>
          <w:lang w:val="en-US"/>
        </w:rPr>
        <w:t xml:space="preserve"> him with a great advantage in terms of military operations. Netanyahu, who also identifies Israel's interests with those of the US, emphasizes at every opportunity that his actions are </w:t>
      </w:r>
      <w:proofErr w:type="gramStart"/>
      <w:r w:rsidRPr="0099100F">
        <w:rPr>
          <w:lang w:val="en-US"/>
        </w:rPr>
        <w:t>actually for</w:t>
      </w:r>
      <w:proofErr w:type="gramEnd"/>
      <w:r w:rsidRPr="0099100F">
        <w:rPr>
          <w:lang w:val="en-US"/>
        </w:rPr>
        <w:t xml:space="preserve"> the benefit of all his allies. The ethnic and religious affiliations of US Presidents and Foreign Ministers provide a more favorable area of ​​action for Israel's interests. </w:t>
      </w:r>
    </w:p>
    <w:p w14:paraId="456B9027" w14:textId="77777777" w:rsidR="00B470AD" w:rsidRDefault="00B470AD" w:rsidP="009C2F96">
      <w:pPr>
        <w:jc w:val="both"/>
        <w:rPr>
          <w:lang w:val="en-US"/>
        </w:rPr>
      </w:pPr>
      <w:r w:rsidRPr="0099100F">
        <w:rPr>
          <w:lang w:val="en-US"/>
        </w:rPr>
        <w:t>Although Israel’s attacks in the Middle East are the main cases heard in the International Court of Justice and the International Criminal Court, actors, especially the US, the UK and the European Union, continue to support the Jewish state. Israel’s actions in the Middle East will continue until it is faced with actors who will balance it. It has been seen that religious motivation and alliance relations are very strong in the actor’s actions.</w:t>
      </w:r>
    </w:p>
    <w:p w14:paraId="1101769F" w14:textId="77777777" w:rsidR="009C2F96" w:rsidRPr="0099100F" w:rsidRDefault="009C2F96" w:rsidP="009C2F96">
      <w:pPr>
        <w:jc w:val="both"/>
        <w:rPr>
          <w:lang w:val="en-US"/>
        </w:rPr>
      </w:pPr>
    </w:p>
    <w:p w14:paraId="4A85FCC3" w14:textId="77777777" w:rsidR="00B470AD" w:rsidRPr="005329D0" w:rsidRDefault="00B470AD" w:rsidP="009C2F96">
      <w:pPr>
        <w:jc w:val="both"/>
        <w:rPr>
          <w:i/>
          <w:iCs/>
        </w:rPr>
      </w:pPr>
      <w:r w:rsidRPr="00D15848">
        <w:rPr>
          <w:b/>
          <w:bCs/>
          <w:lang w:val="en-US"/>
        </w:rPr>
        <w:t>Keywords:</w:t>
      </w:r>
      <w:r w:rsidRPr="00D15848">
        <w:rPr>
          <w:lang w:val="en-US"/>
        </w:rPr>
        <w:t xml:space="preserve"> </w:t>
      </w:r>
      <w:r w:rsidRPr="00C521FD">
        <w:rPr>
          <w:i/>
          <w:iCs/>
          <w:lang w:val="en-US"/>
        </w:rPr>
        <w:t>Israel, USA, Middle East, Religious Motivation, Strategy</w:t>
      </w:r>
      <w:r w:rsidRPr="00D15848">
        <w:rPr>
          <w:i/>
          <w:iCs/>
          <w:lang w:val="en-US"/>
        </w:rPr>
        <w:t>.</w:t>
      </w:r>
      <w:r w:rsidRPr="005329D0">
        <w:rPr>
          <w:i/>
          <w:iCs/>
        </w:rPr>
        <w:t xml:space="preserve">   </w:t>
      </w:r>
    </w:p>
    <w:p w14:paraId="113EA174" w14:textId="77777777" w:rsidR="00B470AD" w:rsidRPr="00087753" w:rsidRDefault="00B470AD" w:rsidP="009C2F96">
      <w:pPr>
        <w:jc w:val="both"/>
      </w:pPr>
    </w:p>
    <w:p w14:paraId="2AC4A619" w14:textId="77777777" w:rsidR="00B470AD" w:rsidRPr="0099100F" w:rsidRDefault="00B470AD" w:rsidP="009C2F96">
      <w:pPr>
        <w:jc w:val="both"/>
        <w:rPr>
          <w:b/>
          <w:bCs/>
        </w:rPr>
      </w:pPr>
      <w:bookmarkStart w:id="32" w:name="_Hlk156728569"/>
      <w:r w:rsidRPr="0099100F">
        <w:rPr>
          <w:b/>
          <w:bCs/>
        </w:rPr>
        <w:t>İsrail’in Orta Doğu Politikalarındaki Dini Motivasyonunun Etkisi</w:t>
      </w:r>
    </w:p>
    <w:bookmarkEnd w:id="32"/>
    <w:p w14:paraId="5524E772" w14:textId="77777777" w:rsidR="00B470AD" w:rsidRDefault="00B470AD" w:rsidP="009C2F96">
      <w:pPr>
        <w:jc w:val="both"/>
      </w:pPr>
      <w:r w:rsidRPr="0099100F">
        <w:t xml:space="preserve">İsrail’in geleneksel olarak tarihinden kaynaklanan temel politik motivasyonu dini temellere dayanmaktadır. Büyük sürgünler yaşamış bir toplum olarak dini inanışlarına daha sıkı bir şekilde sarılarak görece varoluş mücadelesi vermişlerdir. Bu bağlamda İsrail’in politik, ekonomik ve askeri eylemselliğinin tamamlayıcı unsuru dindir </w:t>
      </w:r>
      <w:r w:rsidRPr="0099100F">
        <w:fldChar w:fldCharType="begin"/>
      </w:r>
      <w:r>
        <w:instrText xml:space="preserve"> ADDIN EN.CITE &lt;EndNote&gt;&lt;Cite&gt;&lt;Author&gt;Emir&lt;/Author&gt;&lt;Year&gt;2023&lt;/Year&gt;&lt;RecNum&gt;6474&lt;/RecNum&gt;&lt;DisplayText&gt;(Emir, 2023d)&lt;/DisplayText&gt;&lt;record&gt;&lt;rec-number&gt;6474&lt;/rec-number&gt;&lt;foreign-keys&gt;&lt;key app="EN" db-id="s9fzvtwr1fr258ew0pfv99vivz9e2fd5xxfs" timestamp="1705166409" guid="981e6bda-2bb1-47ea-a904-eb57bbe83839"&gt;6474&lt;/key&gt;&lt;/foreign-keys&gt;&lt;ref-type name="Web Page"&gt;12&lt;/ref-type&gt;&lt;contributors&gt;&lt;authors&gt;&lt;author&gt;Emir, Mehmet&lt;/author&gt;&lt;/authors&gt;&lt;/contributors&gt;&lt;titles&gt;&lt;title&gt;İsrail&amp;apos;in Gazze Operasyonu Bağlamında Değerlendirmeler&lt;/title&gt;&lt;/titles&gt;&lt;volume&gt;13.01.2024&lt;/volume&gt;&lt;dates&gt;&lt;year&gt;2023&lt;/year&gt;&lt;/dates&gt;&lt;publisher&gt;Uluslararası Politika Akademisi&lt;/publisher&gt;&lt;urls&gt;&lt;related-urls&gt;&lt;url&gt;http://politikaakademisi.org/2023/12/13/israilin-gazze-operasyonu-baglaminda-degerlendirmeler/&lt;/url&gt;&lt;/related-urls&gt;&lt;/urls&gt;&lt;/record&gt;&lt;/Cite&gt;&lt;/EndNote&gt;</w:instrText>
      </w:r>
      <w:r w:rsidRPr="0099100F">
        <w:fldChar w:fldCharType="separate"/>
      </w:r>
      <w:r w:rsidRPr="0099100F">
        <w:rPr>
          <w:noProof/>
        </w:rPr>
        <w:t>(Emir, 2023d)</w:t>
      </w:r>
      <w:r w:rsidRPr="0099100F">
        <w:fldChar w:fldCharType="end"/>
      </w:r>
      <w:r w:rsidRPr="0099100F">
        <w:t xml:space="preserve">. Dini inanışları gereği kendilerine belirli bir alandaki toprakların vadedildiğine inanmışlardır. Günümüzdeki temel politikaları da vadedilmiş toprakların tekrar ele geçirilmesine ve burada tam hakimiyete dayanmaktadır. Yahudi inancına sahip olan İsrail vatandaşları için bu kavram hem bir ırkı hem de bir dini temsil etmektedir. Her iki yönüyle de dışa kapalı bir yaklaşım vardır. Diğer bir ifadeyle dışarıdakilerle genişleme hedefi yoktur. Dolayısıyla bütün vizyon ve misyon yalnızca Yahudilere göre şekillenmektedir. Yahudi inancında kendilerini tanrının seçilmiş halkı olarak görme düşüncesi çok kuvvetlidir. Kendileri tanrının seçilmiş halkıyken diğer insanların onların hizmetine verildiğine inanmaktadırlar. Bu yönüyle Yahudiler dışında kalan insanlar </w:t>
      </w:r>
      <w:proofErr w:type="spellStart"/>
      <w:r w:rsidRPr="0099100F">
        <w:t>goyim</w:t>
      </w:r>
      <w:proofErr w:type="spellEnd"/>
      <w:r w:rsidRPr="0099100F">
        <w:t xml:space="preserve"> olarak adlandırılmaktadır </w:t>
      </w:r>
      <w:r w:rsidRPr="0099100F">
        <w:fldChar w:fldCharType="begin"/>
      </w:r>
      <w:r>
        <w:instrText xml:space="preserve"> ADDIN EN.CITE &lt;EndNote&gt;&lt;Cite&gt;&lt;Author&gt;Demirci&lt;/Author&gt;&lt;Year&gt;2013&lt;/Year&gt;&lt;RecNum&gt;6491&lt;/RecNum&gt;&lt;DisplayText&gt;(K. Demirci, 2013; Şentürk &amp;amp; Canatan, 1999)&lt;/DisplayText&gt;&lt;record&gt;&lt;rec-number&gt;6491&lt;/rec-number&gt;&lt;foreign-keys&gt;&lt;key app="EN" db-id="s9fzvtwr1fr258ew0pfv99vivz9e2fd5xxfs" timestamp="1706258816" guid="59af1999-6a76-41c9-a932-65ac30e59ef9"&gt;6491&lt;/key&gt;&lt;/foreign-keys&gt;&lt;ref-type name="Web Page"&gt;12&lt;/ref-type&gt;&lt;contributors&gt;&lt;authors&gt;&lt;author&gt;Demirci, Kürşat&lt;/author&gt;&lt;/authors&gt;&lt;/contributors&gt;&lt;titles&gt;&lt;title&gt;VII. Yahudilik ve Diğer Dinler&lt;/title&gt;&lt;/titles&gt;&lt;volume&gt;26.01.2024&lt;/volume&gt;&lt;dates&gt;&lt;year&gt;2013&lt;/year&gt;&lt;/dates&gt;&lt;publisher&gt;Türk Diyanet Vakfı&lt;/publisher&gt;&lt;urls&gt;&lt;related-urls&gt;&lt;url&gt;https://islamansiklopedisi.org.tr/yahudilik&lt;/url&gt;&lt;/related-urls&gt;&lt;/urls&gt;&lt;/record&gt;&lt;/Cite&gt;&lt;Cite&gt;&lt;Author&gt;Şentürk&lt;/Author&gt;&lt;Year&gt;1999&lt;/Year&gt;&lt;RecNum&gt;6492&lt;/RecNum&gt;&lt;record&gt;&lt;rec-number&gt;6492&lt;/rec-number&gt;&lt;foreign-keys&gt;&lt;key app="EN" db-id="s9fzvtwr1fr258ew0pfv99vivz9e2fd5xxfs" timestamp="1706258957" guid="a00ebd8d-6635-474c-81dc-6e8f334ad5c1"&gt;6492&lt;/key&gt;&lt;/foreign-keys&gt;&lt;ref-type name="Web Page"&gt;12&lt;/ref-type&gt;&lt;contributors&gt;&lt;authors&gt;&lt;author&gt;Şentürk, Recep&lt;/author&gt;&lt;author&gt;Canatan, Kadir&lt;/author&gt;&lt;/authors&gt;&lt;/contributors&gt;&lt;titles&gt;&lt;title&gt;Irkçılık&lt;/title&gt;&lt;/titles&gt;&lt;volume&gt;26.01.2024&lt;/volume&gt;&lt;dates&gt;&lt;year&gt;1999&lt;/year&gt;&lt;/dates&gt;&lt;publisher&gt;Türk Diyanet Vakfı&lt;/publisher&gt;&lt;urls&gt;&lt;related-urls&gt;&lt;url&gt;https://islamansiklopedisi.org.tr/irkcilik&lt;/url&gt;&lt;/related-urls&gt;&lt;/urls&gt;&lt;/record&gt;&lt;/Cite&gt;&lt;/EndNote&gt;</w:instrText>
      </w:r>
      <w:r w:rsidRPr="0099100F">
        <w:fldChar w:fldCharType="separate"/>
      </w:r>
      <w:r>
        <w:rPr>
          <w:noProof/>
        </w:rPr>
        <w:t>(K. Demirci, 2013; Şentürk &amp; Canatan, 1999)</w:t>
      </w:r>
      <w:r w:rsidRPr="0099100F">
        <w:fldChar w:fldCharType="end"/>
      </w:r>
      <w:r w:rsidRPr="0099100F">
        <w:t xml:space="preserve">. Yahudi inancında </w:t>
      </w:r>
      <w:proofErr w:type="spellStart"/>
      <w:r w:rsidRPr="0099100F">
        <w:t>goyim</w:t>
      </w:r>
      <w:proofErr w:type="spellEnd"/>
      <w:r w:rsidRPr="0099100F">
        <w:t xml:space="preserve"> kavramı insan ile hayvan arasındaki varlığa işaret etmektedir. İnanca göre </w:t>
      </w:r>
      <w:proofErr w:type="spellStart"/>
      <w:r w:rsidRPr="0099100F">
        <w:t>goyimler</w:t>
      </w:r>
      <w:proofErr w:type="spellEnd"/>
      <w:r w:rsidRPr="0099100F">
        <w:t xml:space="preserve"> yeterli seviyede düşünce kabiliyetine sahip değildir ve görevleri tanrının seçilmiş halkına hizmet etmektir. Doğal olarak Yahudi inancı dışlayıcı niteliktedir ve üstünlük iddiası içermektedir.</w:t>
      </w:r>
    </w:p>
    <w:p w14:paraId="5C32A09F" w14:textId="77777777" w:rsidR="009C2F96" w:rsidRPr="0099100F" w:rsidRDefault="009C2F96" w:rsidP="009C2F96">
      <w:pPr>
        <w:jc w:val="both"/>
      </w:pPr>
    </w:p>
    <w:p w14:paraId="03CFDC81" w14:textId="77777777" w:rsidR="00B470AD" w:rsidRDefault="00B470AD" w:rsidP="009C2F96">
      <w:pPr>
        <w:jc w:val="both"/>
      </w:pPr>
      <w:r w:rsidRPr="0099100F">
        <w:lastRenderedPageBreak/>
        <w:t xml:space="preserve">Siyonizm bazı istisnalar olmakla beraber İsrail devletinin baskın ideolojisidir. Siyonizm’e göre Fırat ve Dicle nehirleri arasındaki bütün topraklar Yahudilere vadedilmiştir. Günümüzdeki temel devlet motivasyonu da adım adım bu toprakların ele geçirilmesine dayanmaktadır. Siyonist bakış açısı kaçınılmaz olarak çatışmacı bir doğaya sahiptir </w:t>
      </w:r>
      <w:r w:rsidRPr="0099100F">
        <w:fldChar w:fldCharType="begin"/>
      </w:r>
      <w:r>
        <w:instrText xml:space="preserve"> ADDIN EN.CITE &lt;EndNote&gt;&lt;Cite&gt;&lt;Author&gt;Karaman&lt;/Author&gt;&lt;Year&gt;2009&lt;/Year&gt;&lt;RecNum&gt;6493&lt;/RecNum&gt;&lt;DisplayText&gt;(Karaman, 2009)&lt;/DisplayText&gt;&lt;record&gt;&lt;rec-number&gt;6493&lt;/rec-number&gt;&lt;foreign-keys&gt;&lt;key app="EN" db-id="s9fzvtwr1fr258ew0pfv99vivz9e2fd5xxfs" timestamp="1706259168" guid="bfeb1519-e260-4ecf-815a-d5b43887d83c"&gt;6493&lt;/key&gt;&lt;/foreign-keys&gt;&lt;ref-type name="Web Page"&gt;12&lt;/ref-type&gt;&lt;contributors&gt;&lt;authors&gt;&lt;author&gt;Karaman, M. Lutfullah&lt;/author&gt;&lt;/authors&gt;&lt;/contributors&gt;&lt;titles&gt;&lt;title&gt;Siyonizm&lt;/title&gt;&lt;/titles&gt;&lt;volume&gt;26.01.2024&lt;/volume&gt;&lt;dates&gt;&lt;year&gt;2009&lt;/year&gt;&lt;/dates&gt;&lt;publisher&gt;Türk Diyanet Vakfı&lt;/publisher&gt;&lt;urls&gt;&lt;related-urls&gt;&lt;url&gt;https://islamansiklopedisi.org.tr/siyonizm&lt;/url&gt;&lt;/related-urls&gt;&lt;/urls&gt;&lt;/record&gt;&lt;/Cite&gt;&lt;/EndNote&gt;</w:instrText>
      </w:r>
      <w:r w:rsidRPr="0099100F">
        <w:fldChar w:fldCharType="separate"/>
      </w:r>
      <w:r w:rsidRPr="0099100F">
        <w:rPr>
          <w:noProof/>
        </w:rPr>
        <w:t>(Karaman, 2009)</w:t>
      </w:r>
      <w:r w:rsidRPr="0099100F">
        <w:fldChar w:fldCharType="end"/>
      </w:r>
      <w:r w:rsidRPr="0099100F">
        <w:t xml:space="preserve">. Bu topraklar üzerinde egemen devletler vardır. Hiçbir egemen devlet toprak hakimiyetinden kendi rızasıyla vazgeçmeyeceğinden dolayı çatışmalar kaçınılmaz olmaktadır. İsrail’in tarihindeki savaşlar bulunduğu coğrafyada varoluşsal olduğu kadar revizyonist de olmuştur. 1948, 1967 ve 1973 savaşları sonucunda her seferinde kârlı çıkan İsrail olmuştur. Bu moral aynı zamanda dini inanıştaki eylemi gerçekleştirme motivasyonunu da kuvvetlendirmiştir. Siyonizm’in Orta Doğu’da etkili bir ideoloji olması bölge ülkeleri için büyük bir tehdit unsurudur. Çatışmacı bir ideolojinin sonucunda devletler hukuku ve insan hakları hukukunun uygulanması çok büyük bir tehlikeyle karşı karşıyadır </w:t>
      </w:r>
      <w:r w:rsidRPr="0099100F">
        <w:fldChar w:fldCharType="begin"/>
      </w:r>
      <w:r>
        <w:instrText xml:space="preserve"> ADDIN EN.CITE &lt;EndNote&gt;&lt;Cite&gt;&lt;Author&gt;Emir&lt;/Author&gt;&lt;Year&gt;2024&lt;/Year&gt;&lt;RecNum&gt;6475&lt;/RecNum&gt;&lt;DisplayText&gt;(Emir, 2023d, 2024b)&lt;/DisplayText&gt;&lt;record&gt;&lt;rec-number&gt;6475&lt;/rec-number&gt;&lt;foreign-keys&gt;&lt;key app="EN" db-id="s9fzvtwr1fr258ew0pfv99vivz9e2fd5xxfs" timestamp="1705166884" guid="5a080a57-1e23-43ee-8555-89e9e3885677"&gt;6475&lt;/key&gt;&lt;/foreign-keys&gt;&lt;ref-type name="Web Page"&gt;12&lt;/ref-type&gt;&lt;contributors&gt;&lt;authors&gt;&lt;author&gt;Emir, Mehmet&lt;/author&gt;&lt;/authors&gt;&lt;/contributors&gt;&lt;titles&gt;&lt;title&gt;Lübnan ve İran&amp;apos;a Yönelik Saldırılar Hakkında Değerlendirmeler&lt;/title&gt;&lt;/titles&gt;&lt;volume&gt;13.01.2024&lt;/volume&gt;&lt;dates&gt;&lt;year&gt;2024&lt;/year&gt;&lt;/dates&gt;&lt;publisher&gt;Uluslararası Politika Akademisi&lt;/publisher&gt;&lt;urls&gt;&lt;related-urls&gt;&lt;url&gt;http://politikaakademisi.org/2024/01/05/lubnan-ve-irana-yonelik-saldirilar-hakkinda-degerlendirmeler/&lt;/url&gt;&lt;/related-urls&gt;&lt;/urls&gt;&lt;/record&gt;&lt;/Cite&gt;&lt;Cite&gt;&lt;Author&gt;Emir&lt;/Author&gt;&lt;Year&gt;2023&lt;/Year&gt;&lt;RecNum&gt;6474&lt;/RecNum&gt;&lt;record&gt;&lt;rec-number&gt;6474&lt;/rec-number&gt;&lt;foreign-keys&gt;&lt;key app="EN" db-id="s9fzvtwr1fr258ew0pfv99vivz9e2fd5xxfs" timestamp="1705166409" guid="981e6bda-2bb1-47ea-a904-eb57bbe83839"&gt;6474&lt;/key&gt;&lt;/foreign-keys&gt;&lt;ref-type name="Web Page"&gt;12&lt;/ref-type&gt;&lt;contributors&gt;&lt;authors&gt;&lt;author&gt;Emir, Mehmet&lt;/author&gt;&lt;/authors&gt;&lt;/contributors&gt;&lt;titles&gt;&lt;title&gt;İsrail&amp;apos;in Gazze Operasyonu Bağlamında Değerlendirmeler&lt;/title&gt;&lt;/titles&gt;&lt;volume&gt;13.01.2024&lt;/volume&gt;&lt;dates&gt;&lt;year&gt;2023&lt;/year&gt;&lt;/dates&gt;&lt;publisher&gt;Uluslararası Politika Akademisi&lt;/publisher&gt;&lt;urls&gt;&lt;related-urls&gt;&lt;url&gt;http://politikaakademisi.org/2023/12/13/israilin-gazze-operasyonu-baglaminda-degerlendirmeler/&lt;/url&gt;&lt;/related-urls&gt;&lt;/urls&gt;&lt;/record&gt;&lt;/Cite&gt;&lt;/EndNote&gt;</w:instrText>
      </w:r>
      <w:r w:rsidRPr="0099100F">
        <w:fldChar w:fldCharType="separate"/>
      </w:r>
      <w:r w:rsidRPr="0099100F">
        <w:rPr>
          <w:noProof/>
        </w:rPr>
        <w:t>(Emir, 2023d, 2024b)</w:t>
      </w:r>
      <w:r w:rsidRPr="0099100F">
        <w:fldChar w:fldCharType="end"/>
      </w:r>
      <w:r w:rsidRPr="0099100F">
        <w:t>. Kendilerini seçilmiş halk olarak gören Yahudilerin bunun tamamlayıcı bir unsuru olarak vadedilmiş toprakları ele geçirme motivasyonu ciddi sorunlar içermektedir.</w:t>
      </w:r>
    </w:p>
    <w:p w14:paraId="11CCF5EA" w14:textId="77777777" w:rsidR="009C2F96" w:rsidRPr="0099100F" w:rsidRDefault="009C2F96" w:rsidP="009C2F96">
      <w:pPr>
        <w:jc w:val="both"/>
      </w:pPr>
    </w:p>
    <w:p w14:paraId="584AFD67" w14:textId="77777777" w:rsidR="00B470AD" w:rsidRDefault="00B470AD" w:rsidP="009C2F96">
      <w:pPr>
        <w:jc w:val="both"/>
      </w:pPr>
      <w:r w:rsidRPr="0099100F">
        <w:t xml:space="preserve">İsrail’in son Gazze Şeridi saldırılarında Başbakan Benjamin </w:t>
      </w:r>
      <w:proofErr w:type="spellStart"/>
      <w:r w:rsidRPr="0099100F">
        <w:t>Netanyahu’nun</w:t>
      </w:r>
      <w:proofErr w:type="spellEnd"/>
      <w:r w:rsidRPr="0099100F">
        <w:t xml:space="preserve"> söylemleri özellikle dikkat çekmiştir. İsrail gibi dini temeller üzerinde şekillenen bir devlet için Başbakan </w:t>
      </w:r>
      <w:proofErr w:type="spellStart"/>
      <w:r w:rsidRPr="0099100F">
        <w:t>Netanyahu’nun</w:t>
      </w:r>
      <w:proofErr w:type="spellEnd"/>
      <w:r w:rsidRPr="0099100F">
        <w:t xml:space="preserve"> dini söylemi üzerinde dikkatle durmak gerekmektedir. </w:t>
      </w:r>
      <w:proofErr w:type="spellStart"/>
      <w:r w:rsidRPr="0099100F">
        <w:t>Netanyahu</w:t>
      </w:r>
      <w:proofErr w:type="spellEnd"/>
      <w:r w:rsidRPr="0099100F">
        <w:t xml:space="preserve"> “</w:t>
      </w:r>
      <w:proofErr w:type="spellStart"/>
      <w:r w:rsidRPr="0099100F">
        <w:t>Yeşeya</w:t>
      </w:r>
      <w:proofErr w:type="spellEnd"/>
      <w:r w:rsidRPr="0099100F">
        <w:t xml:space="preserve"> kehanetlerini yerine getireceğiz” sözleriyle </w:t>
      </w:r>
      <w:r w:rsidRPr="0099100F">
        <w:fldChar w:fldCharType="begin"/>
      </w:r>
      <w:r>
        <w:instrText xml:space="preserve"> ADDIN EN.CITE &lt;EndNote&gt;&lt;Cite&gt;&lt;Author&gt;Haber&lt;/Author&gt;&lt;Year&gt;2023&lt;/Year&gt;&lt;RecNum&gt;6409&lt;/RecNum&gt;&lt;DisplayText&gt;(N. Haber, 2023)&lt;/DisplayText&gt;&lt;record&gt;&lt;rec-number&gt;6409&lt;/rec-number&gt;&lt;foreign-keys&gt;&lt;key app="EN" db-id="s9fzvtwr1fr258ew0pfv99vivz9e2fd5xxfs" timestamp="1702394099" guid="7286b73b-ecf9-4a9e-bb72-a7b1c684c1fe"&gt;6409&lt;/key&gt;&lt;/foreign-keys&gt;&lt;ref-type name="Web Page"&gt;12&lt;/ref-type&gt;&lt;contributors&gt;&lt;authors&gt;&lt;author&gt;NTV Haber&lt;/author&gt;&lt;/authors&gt;&lt;/contributors&gt;&lt;titles&gt;&lt;title&gt;Netanyahu&amp;apos;dan Gazze&amp;apos;ye Kara Harekatı Hazırlığında &amp;quot;Yeşaya Kehanetleri&amp;quot; Vurgusu: Yeşaya Kehanetleri Nelerdir?&lt;/title&gt;&lt;/titles&gt;&lt;volume&gt;12.12.2023&lt;/volume&gt;&lt;dates&gt;&lt;year&gt;2023&lt;/year&gt;&lt;/dates&gt;&lt;publisher&gt;NTV&lt;/publisher&gt;&lt;urls&gt;&lt;related-urls&gt;&lt;url&gt;https://www.ntv.com.tr/galeri/dunya/netanyahudan-gazzeye-kara-harekati-hazirliginda-yesaya-kehanetleri-vurgusu-yesaya-kehanetleri-nelerdir,ZBDhTWx6AkupBffp-sGj7g/eleDQ-w9H0SZWqJV3djeKw&lt;/url&gt;&lt;/related-urls&gt;&lt;/urls&gt;&lt;/record&gt;&lt;/Cite&gt;&lt;/EndNote&gt;</w:instrText>
      </w:r>
      <w:r w:rsidRPr="0099100F">
        <w:fldChar w:fldCharType="separate"/>
      </w:r>
      <w:r>
        <w:rPr>
          <w:noProof/>
        </w:rPr>
        <w:t>(N. Haber, 2023)</w:t>
      </w:r>
      <w:r w:rsidRPr="0099100F">
        <w:fldChar w:fldCharType="end"/>
      </w:r>
      <w:r w:rsidRPr="0099100F">
        <w:t xml:space="preserve"> Uluslararası İlişkiler alanında pek rastlanmayan dini bir söylemi ifade etmiştir. Bu yaklaşım Uluslararası İlişkilerde analiz edilen söylem içerikleriyle uyuşmamaktadır. Bu bakımdan özellikle dikkat edilmesi gereken bir niteliktedir. </w:t>
      </w:r>
      <w:proofErr w:type="spellStart"/>
      <w:r w:rsidRPr="0099100F">
        <w:t>Netanyahu</w:t>
      </w:r>
      <w:proofErr w:type="spellEnd"/>
      <w:r w:rsidRPr="0099100F">
        <w:t xml:space="preserve"> söylemiyle öncelikle eylemleri bağlamında dini motivasyonun ne kadar kuvvetli olduğunu ortaya koymuştur. Gerçekleştirilmek istenen eylemin bütünleyici unsurunun dini hedefler olduğu belirtilmiştir. Ayrıca bunun söylemsel olarak dünya kamuoyuna açıkça duyurulmasında da bir sakınca görülmemiştir. Politik ve askeri hedefler dini motivasyonla sağlanmak istenmiştir. Diğer bir ifadeyle </w:t>
      </w:r>
      <w:proofErr w:type="spellStart"/>
      <w:r w:rsidRPr="0099100F">
        <w:t>Teopolitika’nın</w:t>
      </w:r>
      <w:proofErr w:type="spellEnd"/>
      <w:r w:rsidRPr="0099100F">
        <w:t xml:space="preserve"> söylemsel gücü eyleme yansımıştır. İsrail-Hamas savaşında İsrail’in yaklaşımının </w:t>
      </w:r>
      <w:proofErr w:type="spellStart"/>
      <w:r w:rsidRPr="0099100F">
        <w:t>Teopolitika</w:t>
      </w:r>
      <w:proofErr w:type="spellEnd"/>
      <w:r w:rsidRPr="0099100F">
        <w:t xml:space="preserve"> yönüyle icra edildiği kanıtlanmıştır. Sonuç olarak İsrail-Hamas savaşında İsrail devletinin politik ve askeri eylemselliğinde dini motivasyonunun çok güçlü olduğu görülmüştür.</w:t>
      </w:r>
    </w:p>
    <w:p w14:paraId="241FC888" w14:textId="77777777" w:rsidR="00587C60" w:rsidRPr="0099100F" w:rsidRDefault="00587C60" w:rsidP="009C2F96">
      <w:pPr>
        <w:jc w:val="both"/>
      </w:pPr>
    </w:p>
    <w:p w14:paraId="4FE84FA1" w14:textId="77777777" w:rsidR="00B470AD" w:rsidRPr="0099100F" w:rsidRDefault="00B470AD" w:rsidP="009C2F96">
      <w:pPr>
        <w:jc w:val="both"/>
        <w:rPr>
          <w:b/>
          <w:bCs/>
        </w:rPr>
      </w:pPr>
      <w:r w:rsidRPr="0099100F">
        <w:rPr>
          <w:b/>
          <w:bCs/>
        </w:rPr>
        <w:t>İsrail’in Müttefikleriyle İlişkileri Çerçe</w:t>
      </w:r>
      <w:r>
        <w:rPr>
          <w:b/>
          <w:bCs/>
        </w:rPr>
        <w:t>ve</w:t>
      </w:r>
      <w:r w:rsidRPr="0099100F">
        <w:rPr>
          <w:b/>
          <w:bCs/>
        </w:rPr>
        <w:t>sinde Orta Doğudaki Eylemlerinin Analizi</w:t>
      </w:r>
    </w:p>
    <w:p w14:paraId="1E43ACF4" w14:textId="77777777" w:rsidR="00B470AD" w:rsidRPr="0099100F" w:rsidRDefault="00B470AD" w:rsidP="009C2F96">
      <w:pPr>
        <w:jc w:val="both"/>
        <w:rPr>
          <w:b/>
          <w:bCs/>
        </w:rPr>
      </w:pPr>
      <w:r w:rsidRPr="0099100F">
        <w:t xml:space="preserve">İsrail’in 7 Ekim 2023 tarihinden beri Hamas ile süren savaşı birçok yönden yeni yaklaşımlar içermiştir. Hamas’ın ilk saldırılarının ardından Gazze Şeridinde başlatılan yoğun saldırı girişimleri dünya kamuoyunda başlıca gündem olmuştur. İsrail’in askeri gücü Kara, Hava ve Deniz Kuvvetleri unsurlarından oluşmaktadır. İsrail’in askeri kuvveti dünya sıralamasında 18. basamakta yer almaktadır </w:t>
      </w:r>
      <w:r w:rsidRPr="0099100F">
        <w:fldChar w:fldCharType="begin"/>
      </w:r>
      <w:r>
        <w:instrText xml:space="preserve"> ADDIN EN.CITE &lt;EndNote&gt;&lt;Cite&gt;&lt;Author&gt;Power&lt;/Author&gt;&lt;Year&gt;2023&lt;/Year&gt;&lt;RecNum&gt;6416&lt;/RecNum&gt;&lt;DisplayText&gt;(Power, 2023)&lt;/DisplayText&gt;&lt;record&gt;&lt;rec-number&gt;6416&lt;/rec-number&gt;&lt;foreign-keys&gt;&lt;key app="EN" db-id="s9fzvtwr1fr258ew0pfv99vivz9e2fd5xxfs" timestamp="1702459826" guid="59e6e388-e2eb-4816-8cb4-4d2c38bfae7c"&gt;6416&lt;/key&gt;&lt;/foreign-keys&gt;&lt;ref-type name="Web Page"&gt;12&lt;/ref-type&gt;&lt;contributors&gt;&lt;authors&gt;&lt;author&gt;Global Fire Power&lt;/author&gt;&lt;/authors&gt;&lt;/contributors&gt;&lt;titles&gt;&lt;title&gt;2023 Military Strength Ranking&lt;/title&gt;&lt;/titles&gt;&lt;volume&gt;13.12.2023&lt;/volume&gt;&lt;dates&gt;&lt;year&gt;2023&lt;/year&gt;&lt;/dates&gt;&lt;publisher&gt;GFP&lt;/publisher&gt;&lt;urls&gt;&lt;related-urls&gt;&lt;url&gt;https://www.globalfirepower.com/countries-listing.php&lt;/url&gt;&lt;/related-urls&gt;&lt;/urls&gt;&lt;/record&gt;&lt;/Cite&gt;&lt;/EndNote&gt;</w:instrText>
      </w:r>
      <w:r w:rsidRPr="0099100F">
        <w:fldChar w:fldCharType="separate"/>
      </w:r>
      <w:r w:rsidRPr="0099100F">
        <w:rPr>
          <w:noProof/>
        </w:rPr>
        <w:t>(Power, 2023)</w:t>
      </w:r>
      <w:r w:rsidRPr="0099100F">
        <w:fldChar w:fldCharType="end"/>
      </w:r>
      <w:r w:rsidRPr="0099100F">
        <w:t xml:space="preserve">. İsrail düzenli ordu askeri gücü bakımından yeterli seviyededir. Bu konumu onun moral ve motivasyon gücüne de doğrudan etki etmektedir. Tarihsel süreçteki başarıları İsrail’in daha güçlü bir politik duruş sergilemesine neden olmaktadır. Bütün bunlara rağmen Hamas’ın örgütsel yapısı düzenli ordu yapılanmasıyla benzerlik göstermediği için İsrail açısından Gazze Şeridinde yürütülen savaşta büyük zorluklarla karşılaşılmıştır. İki yapı arasında asimetrik bir güç farkı olduğundan dolayı Hamas dağınık, tüneller vasıtasıyla esnek bir eylem tarzı izlerken rehine pazarlıklarını da güçlü bir koz olarak kullanmaktadır </w:t>
      </w:r>
      <w:r w:rsidRPr="0099100F">
        <w:fldChar w:fldCharType="begin"/>
      </w:r>
      <w:r>
        <w:instrText xml:space="preserve"> ADDIN EN.CITE &lt;EndNote&gt;&lt;Cite&gt;&lt;Author&gt;Emir&lt;/Author&gt;&lt;Year&gt;2023&lt;/Year&gt;&lt;RecNum&gt;6474&lt;/RecNum&gt;&lt;DisplayText&gt;(Emir, 2023d)&lt;/DisplayText&gt;&lt;record&gt;&lt;rec-number&gt;6474&lt;/rec-number&gt;&lt;foreign-keys&gt;&lt;key app="EN" db-id="s9fzvtwr1fr258ew0pfv99vivz9e2fd5xxfs" timestamp="1705166409" guid="981e6bda-2bb1-47ea-a904-eb57bbe83839"&gt;6474&lt;/key&gt;&lt;/foreign-keys&gt;&lt;ref-type name="Web Page"&gt;12&lt;/ref-type&gt;&lt;contributors&gt;&lt;authors&gt;&lt;author&gt;Emir, Mehmet&lt;/author&gt;&lt;/authors&gt;&lt;/contributors&gt;&lt;titles&gt;&lt;title&gt;İsrail&amp;apos;in Gazze Operasyonu Bağlamında Değerlendirmeler&lt;/title&gt;&lt;/titles&gt;&lt;volume&gt;13.01.2024&lt;/volume&gt;&lt;dates&gt;&lt;year&gt;2023&lt;/year&gt;&lt;/dates&gt;&lt;publisher&gt;Uluslararası Politika Akademisi&lt;/publisher&gt;&lt;urls&gt;&lt;related-urls&gt;&lt;url&gt;http://politikaakademisi.org/2023/12/13/israilin-gazze-operasyonu-baglaminda-degerlendirmeler/&lt;/url&gt;&lt;/related-urls&gt;&lt;/urls&gt;&lt;/record&gt;&lt;/Cite&gt;&lt;/EndNote&gt;</w:instrText>
      </w:r>
      <w:r w:rsidRPr="0099100F">
        <w:fldChar w:fldCharType="separate"/>
      </w:r>
      <w:r w:rsidRPr="0099100F">
        <w:rPr>
          <w:noProof/>
        </w:rPr>
        <w:t>(Emir, 2023d)</w:t>
      </w:r>
      <w:r w:rsidRPr="0099100F">
        <w:fldChar w:fldCharType="end"/>
      </w:r>
      <w:r w:rsidRPr="0099100F">
        <w:t xml:space="preserve">. İsrail açısından zorlu koşullar altında sürdürülen askeri harekatta sivillerin can kaybı büyük bir önem taşımamıştır. İsrail’in Gazze Şeridindeki saldırıları sonucu büyük çoğunluğu kadın ve çocuklardan oluşan 23 binden fazla Filistinli hayatını kaybetmiştir </w:t>
      </w:r>
      <w:r w:rsidRPr="0099100F">
        <w:fldChar w:fldCharType="begin"/>
      </w:r>
      <w:r>
        <w:instrText xml:space="preserve"> ADDIN EN.CITE &lt;EndNote&gt;&lt;Cite&gt;&lt;Author&gt;Emir&lt;/Author&gt;&lt;Year&gt;2024&lt;/Year&gt;&lt;RecNum&gt;6494&lt;/RecNum&gt;&lt;DisplayText&gt;(Emir, 2024a)&lt;/DisplayText&gt;&lt;record&gt;&lt;rec-number&gt;6494&lt;/rec-number&gt;&lt;foreign-keys&gt;&lt;key app="EN" db-id="s9fzvtwr1fr258ew0pfv99vivz9e2fd5xxfs" timestamp="1706260260" guid="64d5a4c7-3b32-4628-bf23-a9fea602859e"&gt;6494&lt;/key&gt;&lt;/foreign-keys&gt;&lt;ref-type name="Web Page"&gt;12&lt;/ref-type&gt;&lt;contributors&gt;&lt;authors&gt;&lt;author&gt;Emir, Mehmet&lt;/author&gt;&lt;/authors&gt;&lt;/contributors&gt;&lt;titles&gt;&lt;title&gt;ABD ve İngiltere&amp;apos;nin Yemen Saldırısının Değerlendirilmesi&lt;/title&gt;&lt;/titles&gt;&lt;volume&gt;26.01.2024&lt;/volume&gt;&lt;dates&gt;&lt;year&gt;2024&lt;/year&gt;&lt;/dates&gt;&lt;publisher&gt;Uluslararası Politika Akademisi&lt;/publisher&gt;&lt;urls&gt;&lt;related-urls&gt;&lt;url&gt;http://politikaakademisi.org/2024/01/14/abd-ve-ingilterenin-yemen-saldirisinin-degerlendirilmesi/&lt;/url&gt;&lt;/related-urls&gt;&lt;/urls&gt;&lt;/record&gt;&lt;/Cite&gt;&lt;/EndNote&gt;</w:instrText>
      </w:r>
      <w:r w:rsidRPr="0099100F">
        <w:fldChar w:fldCharType="separate"/>
      </w:r>
      <w:r w:rsidRPr="0099100F">
        <w:rPr>
          <w:noProof/>
        </w:rPr>
        <w:t>(Emir, 2024a)</w:t>
      </w:r>
      <w:r w:rsidRPr="0099100F">
        <w:fldChar w:fldCharType="end"/>
      </w:r>
      <w:r w:rsidRPr="0099100F">
        <w:t xml:space="preserve">. Savaşta kayıpların çok büyük kısmının sivillerden oluşması hedef gözetiminde ayrım yapılmadığı kaygısını doğurmaktadır. Şiddet olayları ayrıca </w:t>
      </w:r>
      <w:r w:rsidRPr="0099100F">
        <w:lastRenderedPageBreak/>
        <w:t xml:space="preserve">düzensiz göçü de tetiklemektedir </w:t>
      </w:r>
      <w:r w:rsidRPr="0099100F">
        <w:fldChar w:fldCharType="begin"/>
      </w:r>
      <w:r>
        <w:instrText xml:space="preserve"> ADDIN EN.CITE &lt;EndNote&gt;&lt;Cite&gt;&lt;Author&gt;Emir&lt;/Author&gt;&lt;Year&gt;2023&lt;/Year&gt;&lt;RecNum&gt;6500&lt;/RecNum&gt;&lt;Pages&gt;67`, 72&lt;/Pages&gt;&lt;DisplayText&gt;(Emir, 2023c, ss. 67, 72)&lt;/DisplayText&gt;&lt;record&gt;&lt;rec-number&gt;6500&lt;/rec-number&gt;&lt;foreign-keys&gt;&lt;key app="EN" db-id="s9fzvtwr1fr258ew0pfv99vivz9e2fd5xxfs" timestamp="1706293207" guid="25d60ada-cec4-40d2-a8ac-9b79de7bb8de"&gt;6500&lt;/key&gt;&lt;/foreign-keys&gt;&lt;ref-type name="Book Section"&gt;5&lt;/ref-type&gt;&lt;contributors&gt;&lt;authors&gt;&lt;author&gt;Emir, Mehmet&lt;/author&gt;&lt;/authors&gt;&lt;secondary-authors&gt;&lt;author&gt;Dinç, Cengiz&lt;/author&gt;&lt;/secondary-authors&gt;&lt;/contributors&gt;&lt;titles&gt;&lt;title&gt;Avrupa ve Düzensiz Göç&lt;/title&gt;&lt;secondary-title&gt;Avrupa 2023 Siyaset, Güvenlik, Göç, Terör ve Dış İlişkiler&lt;/secondary-title&gt;&lt;/titles&gt;&lt;pages&gt;55-75&lt;/pages&gt;&lt;section&gt;4&lt;/section&gt;&lt;dates&gt;&lt;year&gt;2023&lt;/year&gt;&lt;/dates&gt;&lt;pub-location&gt;Ankara&lt;/pub-location&gt;&lt;publisher&gt;Nobel Akademik Yayıncılık&lt;/publisher&gt;&lt;urls&gt;&lt;/urls&gt;&lt;/record&gt;&lt;/Cite&gt;&lt;/EndNote&gt;</w:instrText>
      </w:r>
      <w:r w:rsidRPr="0099100F">
        <w:fldChar w:fldCharType="separate"/>
      </w:r>
      <w:r>
        <w:rPr>
          <w:noProof/>
        </w:rPr>
        <w:t>(Emir, 2023c, ss. 67, 72)</w:t>
      </w:r>
      <w:r w:rsidRPr="0099100F">
        <w:fldChar w:fldCharType="end"/>
      </w:r>
      <w:r w:rsidRPr="0099100F">
        <w:t>. İsrail’in eylemleri çerçevesinde müttefikleri ile olan ilişkileri de önem kazanmıştır. Bu bağlamda İsrail’in ABD, İngiltere ve Avrupa Birliği ile köklü tarihsel ilişkileri vardır.</w:t>
      </w:r>
    </w:p>
    <w:p w14:paraId="254EE1D6" w14:textId="1599516C" w:rsidR="00587C60" w:rsidRDefault="00B470AD" w:rsidP="009C2F96">
      <w:pPr>
        <w:jc w:val="both"/>
      </w:pPr>
      <w:r w:rsidRPr="0099100F">
        <w:t xml:space="preserve">Tarihsel süreçte İsrail ve ABD arasında çok güçlü bir müttefiklik ilişkisi vardır. İsrail’in kuruluşundan beri politik, askeri ve ekonomik etkileşim sürekli gelişim göstermiştir. İsrail’in eylemlerindeki moral üstünlüğü özellikle ABD’nin sağladığı destekten (Tablo 1) kaynaklanmaktadır </w:t>
      </w:r>
      <w:r w:rsidRPr="0099100F">
        <w:fldChar w:fldCharType="begin"/>
      </w:r>
      <w:r>
        <w:instrText xml:space="preserve"> ADDIN EN.CITE &lt;EndNote&gt;&lt;Cite&gt;&lt;Author&gt;Emir&lt;/Author&gt;&lt;Year&gt;2023&lt;/Year&gt;&lt;RecNum&gt;6495&lt;/RecNum&gt;&lt;DisplayText&gt;(Emir, 2023a)&lt;/DisplayText&gt;&lt;record&gt;&lt;rec-number&gt;6495&lt;/rec-number&gt;&lt;foreign-keys&gt;&lt;key app="EN" db-id="s9fzvtwr1fr258ew0pfv99vivz9e2fd5xxfs" timestamp="1706291635" guid="43d30374-cbb4-47fa-9801-d7091ec35cb7"&gt;6495&lt;/key&gt;&lt;/foreign-keys&gt;&lt;ref-type name="Web Page"&gt;12&lt;/ref-type&gt;&lt;contributors&gt;&lt;authors&gt;&lt;author&gt;Emir, Mehmet&lt;/author&gt;&lt;/authors&gt;&lt;/contributors&gt;&lt;titles&gt;&lt;title&gt;ABD&amp;apos;nin Askeri Güç Projeksiyonunun Değerlendirilmesi&lt;/title&gt;&lt;/titles&gt;&lt;volume&gt;26.01.2024&lt;/volume&gt;&lt;dates&gt;&lt;year&gt;2023&lt;/year&gt;&lt;/dates&gt;&lt;publisher&gt;Uluslararası Politika Akademisi&lt;/publisher&gt;&lt;urls&gt;&lt;related-urls&gt;&lt;url&gt;http://politikaakademisi.org/2023/12/02/abdnin-askeri-guc-projeksiyonunun-degerlendirilmesi/&lt;/url&gt;&lt;/related-urls&gt;&lt;/urls&gt;&lt;/record&gt;&lt;/Cite&gt;&lt;/EndNote&gt;</w:instrText>
      </w:r>
      <w:r w:rsidRPr="0099100F">
        <w:fldChar w:fldCharType="separate"/>
      </w:r>
      <w:r w:rsidRPr="0099100F">
        <w:rPr>
          <w:noProof/>
        </w:rPr>
        <w:t>(Emir, 2023a)</w:t>
      </w:r>
      <w:r w:rsidRPr="0099100F">
        <w:fldChar w:fldCharType="end"/>
      </w:r>
      <w:r w:rsidRPr="0099100F">
        <w:t xml:space="preserve">. Son İsrail-Hamas savaşında da ABD’nin çok güçlü desteği görülmüştür. ABD Başkanı Joe </w:t>
      </w:r>
      <w:proofErr w:type="spellStart"/>
      <w:r w:rsidRPr="0099100F">
        <w:t>Biden’in</w:t>
      </w:r>
      <w:proofErr w:type="spellEnd"/>
      <w:r w:rsidRPr="0099100F">
        <w:t xml:space="preserve"> “Yahudi değilim ancak bende </w:t>
      </w:r>
      <w:proofErr w:type="spellStart"/>
      <w:r w:rsidRPr="0099100F">
        <w:t>Siyonistim</w:t>
      </w:r>
      <w:proofErr w:type="spellEnd"/>
      <w:r w:rsidRPr="0099100F">
        <w:t xml:space="preserve">” sözü birçok şeyi özetlemektedir </w:t>
      </w:r>
      <w:r w:rsidRPr="0099100F">
        <w:fldChar w:fldCharType="begin"/>
      </w:r>
      <w:r>
        <w:instrText xml:space="preserve"> ADDIN EN.CITE &lt;EndNote&gt;&lt;Cite&gt;&lt;Author&gt;Türkçe&lt;/Author&gt;&lt;Year&gt;2023&lt;/Year&gt;&lt;RecNum&gt;6412&lt;/RecNum&gt;&lt;DisplayText&gt;(I. Türkçe, 2023)&lt;/DisplayText&gt;&lt;record&gt;&lt;rec-number&gt;6412&lt;/rec-number&gt;&lt;foreign-keys&gt;&lt;key app="EN" db-id="s9fzvtwr1fr258ew0pfv99vivz9e2fd5xxfs" timestamp="1702454835" guid="a1234291-c241-4e40-87a2-6ecde724bfd9"&gt;6412&lt;/key&gt;&lt;/foreign-keys&gt;&lt;ref-type name="Web Page"&gt;12&lt;/ref-type&gt;&lt;contributors&gt;&lt;authors&gt;&lt;author&gt;Independent Türkçe&lt;/author&gt;&lt;/authors&gt;&lt;/contributors&gt;&lt;titles&gt;&lt;title&gt;&amp;quot;Siyonist&amp;quot; Biden&amp;apos;ın İsrail&amp;apos;le Yakın Bağları: 36 Yılda Milyonlarca Dolar Bağış&lt;/title&gt;&lt;/titles&gt;&lt;volume&gt;13.12.2023&lt;/volume&gt;&lt;dates&gt;&lt;year&gt;2023&lt;/year&gt;&lt;/dates&gt;&lt;urls&gt;&lt;related-urls&gt;&lt;url&gt;https://www.indyturk.com/node/668951/d%C3%BCnya/siyonist-biden%C4%B1n-i%CC%87sraille-yak%C4%B1n-ba%C4%9Flar%C4%B1-36-y%C4%B1lda-milyonlarca-dolar-ba%C4%9F%C4%B1%C5%9F&lt;/url&gt;&lt;/related-urls&gt;&lt;/urls&gt;&lt;/record&gt;&lt;/Cite&gt;&lt;/EndNote&gt;</w:instrText>
      </w:r>
      <w:r w:rsidRPr="0099100F">
        <w:fldChar w:fldCharType="separate"/>
      </w:r>
      <w:r>
        <w:rPr>
          <w:noProof/>
        </w:rPr>
        <w:t>(I. Türkçe, 2023)</w:t>
      </w:r>
      <w:r w:rsidRPr="0099100F">
        <w:fldChar w:fldCharType="end"/>
      </w:r>
      <w:r w:rsidRPr="0099100F">
        <w:t xml:space="preserve">. Başkan Biden ABD’nin İsrail’in askerî harekâtını desteklediğini açıklamıştır. Bunun yanında ABD Dışişleri Bakanı Antony </w:t>
      </w:r>
      <w:proofErr w:type="spellStart"/>
      <w:r w:rsidRPr="0099100F">
        <w:t>Blinken</w:t>
      </w:r>
      <w:proofErr w:type="spellEnd"/>
      <w:r w:rsidRPr="0099100F">
        <w:t xml:space="preserve">, İsrail’i Hamas’a karşı yürüttüğü askeri operasyonları nedeniyle ziyaret ettiğinde “Bir Yahudi olarak buradayım” ifadesini kullanmıştır </w:t>
      </w:r>
      <w:r w:rsidRPr="0099100F">
        <w:fldChar w:fldCharType="begin"/>
      </w:r>
      <w:r>
        <w:instrText xml:space="preserve"> ADDIN EN.CITE &lt;EndNote&gt;&lt;Cite&gt;&lt;Author&gt;Haber&lt;/Author&gt;&lt;Year&gt;2023&lt;/Year&gt;&lt;RecNum&gt;6413&lt;/RecNum&gt;&lt;DisplayText&gt;(T. Haber, 2023a)&lt;/DisplayText&gt;&lt;record&gt;&lt;rec-number&gt;6413&lt;/rec-number&gt;&lt;foreign-keys&gt;&lt;key app="EN" db-id="s9fzvtwr1fr258ew0pfv99vivz9e2fd5xxfs" timestamp="1702454928" guid="c760126b-501c-46a6-9e99-00a459565fd4"&gt;6413&lt;/key&gt;&lt;/foreign-keys&gt;&lt;ref-type name="Web Page"&gt;12&lt;/ref-type&gt;&lt;contributors&gt;&lt;authors&gt;&lt;author&gt;TRT Haber&lt;/author&gt;&lt;/authors&gt;&lt;/contributors&gt;&lt;titles&gt;&lt;title&gt;Blinken: Bir Yahudi Olarak da Buradayım&lt;/title&gt;&lt;/titles&gt;&lt;volume&gt;13.12.2023&lt;/volume&gt;&lt;dates&gt;&lt;year&gt;2023&lt;/year&gt;&lt;/dates&gt;&lt;publisher&gt;TRT&lt;/publisher&gt;&lt;urls&gt;&lt;related-urls&gt;&lt;url&gt;https://www.trthaber.com/haber/dunya/blinken-bir-yahudi-olarak-da-buradayim-802985.html&lt;/url&gt;&lt;/related-urls&gt;&lt;/urls&gt;&lt;/record&gt;&lt;/Cite&gt;&lt;/EndNote&gt;</w:instrText>
      </w:r>
      <w:r w:rsidRPr="0099100F">
        <w:fldChar w:fldCharType="separate"/>
      </w:r>
      <w:r>
        <w:rPr>
          <w:noProof/>
        </w:rPr>
        <w:t>(T. Haber, 2023a)</w:t>
      </w:r>
      <w:r w:rsidRPr="0099100F">
        <w:fldChar w:fldCharType="end"/>
      </w:r>
      <w:r w:rsidRPr="0099100F">
        <w:t xml:space="preserve">. Dolayısıyla İsrail’in eylem motivasyonunda ABD etkisi çok güçlü bir şekilde hissedilmektedir. ABD Başkanı Donald Trump’ın da Kudüs’ü İsrail’in başkenti olarak tanıması ikili ilişkilerde ülkeler arasında altın çağın yaşandığını göstermektedir. ABD’nin İsrail’e desteği yalnızca Hamas operasyonuyla sınırlı kalmamıştır. İsrail’in eşzamanlı olarak Lübnan’da icra ettiği harekatlarda destek görmüştür. Bununla beraber Suriye ve İran’a yönelik eylemlerde de iki ülke arasında güçlü bir çıkar uyumu görülmektedir. ABD açısından çıkarlarına karşı eylemde bulunan İran’a karşı İsrail’in eylemleri büyük avantaj sağlamaktadır. Bu sayede bir yandan ortak hareket edebileceği bir müttefik kazanırken diğer yandan ise bölgeyi şekillendirme sırasındaki riski yaymaktadır </w:t>
      </w:r>
      <w:r w:rsidRPr="0099100F">
        <w:fldChar w:fldCharType="begin"/>
      </w:r>
      <w:r>
        <w:instrText xml:space="preserve"> ADDIN EN.CITE &lt;EndNote&gt;&lt;Cite&gt;&lt;Author&gt;Emir&lt;/Author&gt;&lt;Year&gt;2023&lt;/Year&gt;&lt;RecNum&gt;6499&lt;/RecNum&gt;&lt;Pages&gt;193&lt;/Pages&gt;&lt;DisplayText&gt;(Emir, 2023b, s. 193)&lt;/DisplayText&gt;&lt;record&gt;&lt;rec-number&gt;6499&lt;/rec-number&gt;&lt;foreign-keys&gt;&lt;key app="EN" db-id="s9fzvtwr1fr258ew0pfv99vivz9e2fd5xxfs" timestamp="1706292527" guid="bad4f815-5814-4829-8928-cfa6480a62ae"&gt;6499&lt;/key&gt;&lt;/foreign-keys&gt;&lt;ref-type name="Book"&gt;6&lt;/ref-type&gt;&lt;contributors&gt;&lt;authors&gt;&lt;author&gt;Emir, Mehmet&lt;/author&gt;&lt;/authors&gt;&lt;/contributors&gt;&lt;titles&gt;&lt;title&gt;Avrupa Birliği&amp;apos;nin Gelişen Libya Politikası: Göç ve Güvenlik&lt;/title&gt;&lt;/titles&gt;&lt;pages&gt;321&lt;/pages&gt;&lt;dates&gt;&lt;year&gt;2023&lt;/year&gt;&lt;/dates&gt;&lt;pub-location&gt;Ankara&lt;/pub-location&gt;&lt;publisher&gt;Nobel Akademik Yayıncılık&lt;/publisher&gt;&lt;urls&gt;&lt;/urls&gt;&lt;/record&gt;&lt;/Cite&gt;&lt;/EndNote&gt;</w:instrText>
      </w:r>
      <w:r w:rsidRPr="0099100F">
        <w:fldChar w:fldCharType="separate"/>
      </w:r>
      <w:r>
        <w:rPr>
          <w:noProof/>
        </w:rPr>
        <w:t>(Emir, 2023b, s. 193)</w:t>
      </w:r>
      <w:r w:rsidRPr="0099100F">
        <w:fldChar w:fldCharType="end"/>
      </w:r>
      <w:r w:rsidRPr="0099100F">
        <w:t>. Karşılıklı etkileşim her iki ülkeye de çıkarlarını daha etkili bir şekilde gerçekleştirme olanağı sağlamaktadır.</w:t>
      </w:r>
    </w:p>
    <w:p w14:paraId="5EABF0AE" w14:textId="5611ABC0" w:rsidR="00B470AD" w:rsidRDefault="00587C60" w:rsidP="009C2F96">
      <w:pPr>
        <w:autoSpaceDE/>
        <w:autoSpaceDN/>
        <w:jc w:val="both"/>
      </w:pPr>
      <w:r>
        <w:br w:type="page"/>
      </w:r>
    </w:p>
    <w:p w14:paraId="053D2944" w14:textId="77777777" w:rsidR="00B470AD" w:rsidRPr="0099100F" w:rsidRDefault="00B470AD" w:rsidP="009C2F96">
      <w:pPr>
        <w:jc w:val="both"/>
      </w:pPr>
      <w:r w:rsidRPr="0099100F">
        <w:lastRenderedPageBreak/>
        <w:t xml:space="preserve">Tablo 1. ABD’nin İsrail’e Yaptığı Askeri Yardım Tutarı (2009-2020) </w:t>
      </w:r>
      <w:r w:rsidRPr="0099100F">
        <w:fldChar w:fldCharType="begin"/>
      </w:r>
      <w:r>
        <w:instrText xml:space="preserve"> ADDIN EN.CITE &lt;EndNote&gt;&lt;Cite&gt;&lt;Author&gt;Statista&lt;/Author&gt;&lt;Year&gt;2023&lt;/Year&gt;&lt;RecNum&gt;6401&lt;/RecNum&gt;&lt;DisplayText&gt;(Statista, 2023)&lt;/DisplayText&gt;&lt;record&gt;&lt;rec-number&gt;6401&lt;/rec-number&gt;&lt;foreign-keys&gt;&lt;key app="EN" db-id="s9fzvtwr1fr258ew0pfv99vivz9e2fd5xxfs" timestamp="1701138140" guid="0c25e393-bbad-4393-9606-8ec89a3abd55"&gt;6401&lt;/key&gt;&lt;/foreign-keys&gt;&lt;ref-type name="Report"&gt;27&lt;/ref-type&gt;&lt;contributors&gt;&lt;authors&gt;&lt;author&gt;Statista&lt;/author&gt;&lt;/authors&gt;&lt;/contributors&gt;&lt;titles&gt;&lt;title&gt;Proposed United States Military Aid to Israel from 2009 to 2020&lt;/title&gt;&lt;/titles&gt;&lt;pages&gt;s.1&lt;/pages&gt;&lt;number&gt;id 209368&lt;/number&gt;&lt;dates&gt;&lt;year&gt;2023&lt;/year&gt;&lt;/dates&gt;&lt;urls&gt;&lt;related-urls&gt;&lt;url&gt;https://www.statista.com/statistics/209368/proposed-us-military-aid-to-israel/&lt;/url&gt;&lt;/related-urls&gt;&lt;/urls&gt;&lt;/record&gt;&lt;/Cite&gt;&lt;/EndNote&gt;</w:instrText>
      </w:r>
      <w:r w:rsidRPr="0099100F">
        <w:fldChar w:fldCharType="separate"/>
      </w:r>
      <w:r w:rsidRPr="0099100F">
        <w:rPr>
          <w:noProof/>
        </w:rPr>
        <w:t>(Statista, 2023)</w:t>
      </w:r>
      <w:r w:rsidRPr="0099100F">
        <w:fldChar w:fldCharType="end"/>
      </w:r>
    </w:p>
    <w:p w14:paraId="1664D851" w14:textId="77777777" w:rsidR="00B470AD" w:rsidRPr="0099100F" w:rsidRDefault="00B470AD" w:rsidP="009C2F96">
      <w:pPr>
        <w:jc w:val="both"/>
      </w:pPr>
      <w:r w:rsidRPr="0099100F">
        <w:rPr>
          <w:noProof/>
        </w:rPr>
        <w:drawing>
          <wp:inline distT="0" distB="0" distL="0" distR="0" wp14:anchorId="27DCB53C" wp14:editId="59217F02">
            <wp:extent cx="5975350" cy="3346450"/>
            <wp:effectExtent l="0" t="0" r="6350" b="6350"/>
            <wp:docPr id="15253038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03855"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975350" cy="3346450"/>
                    </a:xfrm>
                    <a:prstGeom prst="rect">
                      <a:avLst/>
                    </a:prstGeom>
                  </pic:spPr>
                </pic:pic>
              </a:graphicData>
            </a:graphic>
          </wp:inline>
        </w:drawing>
      </w:r>
    </w:p>
    <w:p w14:paraId="35CB6143" w14:textId="77777777" w:rsidR="00B470AD" w:rsidRPr="0099100F" w:rsidRDefault="00B470AD" w:rsidP="009C2F96">
      <w:pPr>
        <w:jc w:val="both"/>
        <w:rPr>
          <w:b/>
          <w:bCs/>
        </w:rPr>
      </w:pPr>
    </w:p>
    <w:p w14:paraId="565F05E7" w14:textId="77777777" w:rsidR="00B470AD" w:rsidRDefault="00B470AD" w:rsidP="009C2F96">
      <w:pPr>
        <w:jc w:val="both"/>
      </w:pPr>
      <w:r w:rsidRPr="0099100F">
        <w:t xml:space="preserve">İsrail’in kuruluş sürecinde asıl katkıyı sağlayan devlet olan İngiltere ile ilişkiler çok köklüdür. İngiltere her zaman ve her fırsatta İsrail’i desteklemiş ve onun yanında yer almıştır. İsrail’in Hamas ile savaşında da İngiltere’nin çok güçlü desteği görülmüştür </w:t>
      </w:r>
      <w:r w:rsidRPr="0099100F">
        <w:fldChar w:fldCharType="begin"/>
      </w:r>
      <w:r>
        <w:instrText xml:space="preserve"> ADDIN EN.CITE &lt;EndNote&gt;&lt;Cite&gt;&lt;Author&gt;Walsh&lt;/Author&gt;&lt;Year&gt;2023&lt;/Year&gt;&lt;RecNum&gt;6422&lt;/RecNum&gt;&lt;DisplayText&gt;(Z. Demirci, 2023; Walsh, 2023)&lt;/DisplayText&gt;&lt;record&gt;&lt;rec-number&gt;6422&lt;/rec-number&gt;&lt;foreign-keys&gt;&lt;key app="EN" db-id="s9fzvtwr1fr258ew0pfv99vivz9e2fd5xxfs" timestamp="1702462152" guid="4e2321a7-9330-451f-be75-6a4e490543d8"&gt;6422&lt;/key&gt;&lt;/foreign-keys&gt;&lt;ref-type name="Web Page"&gt;12&lt;/ref-type&gt;&lt;contributors&gt;&lt;authors&gt;&lt;author&gt;Walsh, Aoife&lt;/author&gt;&lt;/authors&gt;&lt;/contributors&gt;&lt;titles&gt;&lt;title&gt;İngiltere, İsrail’e Destek için Doğu Akdeniz’e Gemi ve Gözetleme Uçağı Konuşlandıracak&lt;/title&gt;&lt;/titles&gt;&lt;volume&gt;13.12.2023&lt;/volume&gt;&lt;dates&gt;&lt;year&gt;2023&lt;/year&gt;&lt;/dates&gt;&lt;publisher&gt;BBC&lt;/publisher&gt;&lt;urls&gt;&lt;related-urls&gt;&lt;url&gt;https://www.bbc.com/turkce/articles/ckreyk1g89ro&lt;/url&gt;&lt;/related-urls&gt;&lt;/urls&gt;&lt;/record&gt;&lt;/Cite&gt;&lt;Cite&gt;&lt;Author&gt;Demirci&lt;/Author&gt;&lt;Year&gt;2023&lt;/Year&gt;&lt;RecNum&gt;6423&lt;/RecNum&gt;&lt;record&gt;&lt;rec-number&gt;6423&lt;/rec-number&gt;&lt;foreign-keys&gt;&lt;key app="EN" db-id="s9fzvtwr1fr258ew0pfv99vivz9e2fd5xxfs" timestamp="1702462250" guid="df7ec9fc-d6b2-4d48-a1aa-76ad05055d7c"&gt;6423&lt;/key&gt;&lt;/foreign-keys&gt;&lt;ref-type name="Web Page"&gt;12&lt;/ref-type&gt;&lt;contributors&gt;&lt;authors&gt;&lt;author&gt;Demirci, Zuhal&lt;/author&gt;&lt;/authors&gt;&lt;/contributors&gt;&lt;titles&gt;&lt;title&gt;İngiltere, İsrail&amp;apos;e İstihbarat Sağlamak için Gazze Üzerinde Gözetleme Uçuşları Yapacağını Duyurdu&lt;/title&gt;&lt;/titles&gt;&lt;volume&gt;13.12.2023&lt;/volume&gt;&lt;dates&gt;&lt;year&gt;2023&lt;/year&gt;&lt;/dates&gt;&lt;publisher&gt;Anadolu Ajansı&lt;/publisher&gt;&lt;urls&gt;&lt;related-urls&gt;&lt;url&gt;https://www.aa.com.tr/tr/dunya/ingiltere-israile-istihbarat-saglamak-icin-gazze-uzerinde-gozetleme-ucuslari-yapacagini-duyurdu/3071553&lt;/url&gt;&lt;/related-urls&gt;&lt;/urls&gt;&lt;/record&gt;&lt;/Cite&gt;&lt;/EndNote&gt;</w:instrText>
      </w:r>
      <w:r w:rsidRPr="0099100F">
        <w:fldChar w:fldCharType="separate"/>
      </w:r>
      <w:r>
        <w:rPr>
          <w:noProof/>
        </w:rPr>
        <w:t>(Z. Demirci, 2023; Walsh, 2023)</w:t>
      </w:r>
      <w:r w:rsidRPr="0099100F">
        <w:fldChar w:fldCharType="end"/>
      </w:r>
      <w:r w:rsidRPr="0099100F">
        <w:t xml:space="preserve">. İngiltere açısından Orta Doğu politikaları hayati önemdedir. Günümüzde ABD’nin uluslararası politikada daha görünür olmasına rağmen İngiltere geri planda kalarak ancak çıkarlarını azami derecede koruyarak hareket etmektedir. İngiltere, yalnızca Hamas ile olan mücadelesinde değil bunun yanında Lübnan, Suriye ve İran’a yönelik politikalarında da İsrail’in yanında konumlanmıştır. İsrail bağlamında İngiltere ve ABD gibi iki büyük gücün desteğini almak politik, ekonomik ve askeri hamleler için elverişli bir alan sağlamaktadır </w:t>
      </w:r>
      <w:r w:rsidRPr="0099100F">
        <w:fldChar w:fldCharType="begin"/>
      </w:r>
      <w:r>
        <w:instrText xml:space="preserve"> ADDIN EN.CITE &lt;EndNote&gt;&lt;Cite&gt;&lt;Author&gt;Emir&lt;/Author&gt;&lt;Year&gt;2024&lt;/Year&gt;&lt;RecNum&gt;6494&lt;/RecNum&gt;&lt;DisplayText&gt;(Emir, 2024a)&lt;/DisplayText&gt;&lt;record&gt;&lt;rec-number&gt;6494&lt;/rec-number&gt;&lt;foreign-keys&gt;&lt;key app="EN" db-id="s9fzvtwr1fr258ew0pfv99vivz9e2fd5xxfs" timestamp="1706260260" guid="64d5a4c7-3b32-4628-bf23-a9fea602859e"&gt;6494&lt;/key&gt;&lt;/foreign-keys&gt;&lt;ref-type name="Web Page"&gt;12&lt;/ref-type&gt;&lt;contributors&gt;&lt;authors&gt;&lt;author&gt;Emir, Mehmet&lt;/author&gt;&lt;/authors&gt;&lt;/contributors&gt;&lt;titles&gt;&lt;title&gt;ABD ve İngiltere&amp;apos;nin Yemen Saldırısının Değerlendirilmesi&lt;/title&gt;&lt;/titles&gt;&lt;volume&gt;26.01.2024&lt;/volume&gt;&lt;dates&gt;&lt;year&gt;2024&lt;/year&gt;&lt;/dates&gt;&lt;publisher&gt;Uluslararası Politika Akademisi&lt;/publisher&gt;&lt;urls&gt;&lt;related-urls&gt;&lt;url&gt;http://politikaakademisi.org/2024/01/14/abd-ve-ingilterenin-yemen-saldirisinin-degerlendirilmesi/&lt;/url&gt;&lt;/related-urls&gt;&lt;/urls&gt;&lt;/record&gt;&lt;/Cite&gt;&lt;/EndNote&gt;</w:instrText>
      </w:r>
      <w:r w:rsidRPr="0099100F">
        <w:fldChar w:fldCharType="separate"/>
      </w:r>
      <w:r w:rsidRPr="0099100F">
        <w:rPr>
          <w:noProof/>
        </w:rPr>
        <w:t>(Emir, 2024a)</w:t>
      </w:r>
      <w:r w:rsidRPr="0099100F">
        <w:fldChar w:fldCharType="end"/>
      </w:r>
      <w:r w:rsidRPr="0099100F">
        <w:t>.</w:t>
      </w:r>
    </w:p>
    <w:p w14:paraId="28F470FF" w14:textId="77777777" w:rsidR="009C2F96" w:rsidRPr="0099100F" w:rsidRDefault="009C2F96" w:rsidP="009C2F96">
      <w:pPr>
        <w:jc w:val="both"/>
      </w:pPr>
    </w:p>
    <w:p w14:paraId="3C384191" w14:textId="77777777" w:rsidR="009C2F96" w:rsidRDefault="00B470AD" w:rsidP="009C2F96">
      <w:pPr>
        <w:jc w:val="both"/>
      </w:pPr>
      <w:r w:rsidRPr="0099100F">
        <w:t xml:space="preserve">İsrail’in Avrupalı müttefikleriyle ilişkileri kuruluşundan beri güçlüdür. Avrupa Birliği içinde İsrail’i en çok destekleyen devlet Fransa’dır. İsrail’in her türlü eylemine neredeyse ön kabul ile yaklaşılmaktadır. Son İsrail-Hamas savaşında da Fransa’nın yaklaşımında bir değişim görülmemiştir. İsrail’in askerî harekâtında çok fazla sivil zaiyatın olmasına dikkat edilmeden koşulsuz ve şartsız desteklenmiştir. Lübnan, Yemen, Suriye ve İran gibi diğer İsrail politikaları da Fransa tarafından kabul görmüştür. Fransa’nın yanında bir diğer Avrupa Birliği üyesi Almanya’da İsrail’e destek vermektedir. İsrail’in Hamas’a yönelik askeri operasyonu sürerken Alman Başbakanı bölgeye gelerek dayanışma mesajını bizzat duyurmuştur. İsrail açısında Avrupa Birliğinin başat ülkeleri olan Fransa ve Almanya tarafından desteklenmek </w:t>
      </w:r>
      <w:r w:rsidRPr="0099100F">
        <w:fldChar w:fldCharType="begin"/>
      </w:r>
      <w:r>
        <w:instrText xml:space="preserve"> ADDIN EN.CITE &lt;EndNote&gt;&lt;Cite&gt;&lt;Author&gt;NTV&lt;/Author&gt;&lt;Year&gt;2023&lt;/Year&gt;&lt;RecNum&gt;6424&lt;/RecNum&gt;&lt;DisplayText&gt;(NTV, 2023a)&lt;/DisplayText&gt;&lt;record&gt;&lt;rec-number&gt;6424&lt;/rec-number&gt;&lt;foreign-keys&gt;&lt;key app="EN" db-id="s9fzvtwr1fr258ew0pfv99vivz9e2fd5xxfs" timestamp="1702462439" guid="f4c8f9af-2f81-413a-b370-ee30961b9182"&gt;6424&lt;/key&gt;&lt;/foreign-keys&gt;&lt;ref-type name="Web Page"&gt;12&lt;/ref-type&gt;&lt;contributors&gt;&lt;authors&gt;&lt;author&gt;NTV&lt;/author&gt;&lt;/authors&gt;&lt;/contributors&gt;&lt;titles&gt;&lt;title&gt;ABD, Fransa, Almanya, İtalya ve İngiltere&amp;apos;den İsrail&amp;apos;e Destek&lt;/title&gt;&lt;/titles&gt;&lt;volume&gt;13.12.2023&lt;/volume&gt;&lt;dates&gt;&lt;year&gt;2023&lt;/year&gt;&lt;/dates&gt;&lt;publisher&gt;NTV&lt;/publisher&gt;&lt;urls&gt;&lt;related-urls&gt;&lt;url&gt;https://www.ntv.com.tr/dunya/abd-fransa-almanya-italya-ve-ingiltereden-israile-destek,lBKpKZt_N0CcU3xLC21Ytg&lt;/url&gt;&lt;/related-urls&gt;&lt;/urls&gt;&lt;/record&gt;&lt;/Cite&gt;&lt;/EndNote&gt;</w:instrText>
      </w:r>
      <w:r w:rsidRPr="0099100F">
        <w:fldChar w:fldCharType="separate"/>
      </w:r>
      <w:r w:rsidRPr="0099100F">
        <w:rPr>
          <w:noProof/>
        </w:rPr>
        <w:t>(NTV, 2023a)</w:t>
      </w:r>
      <w:r w:rsidRPr="0099100F">
        <w:fldChar w:fldCharType="end"/>
      </w:r>
      <w:r w:rsidRPr="0099100F">
        <w:t xml:space="preserve"> onun politikalarında yalnız hareket eden bir aktör olmadığını ortaya koymaktadır.   </w:t>
      </w:r>
    </w:p>
    <w:p w14:paraId="16726276" w14:textId="449FA98C" w:rsidR="00B470AD" w:rsidRPr="0014101C" w:rsidRDefault="00B470AD" w:rsidP="009C2F96">
      <w:pPr>
        <w:jc w:val="both"/>
      </w:pPr>
      <w:r w:rsidRPr="0099100F">
        <w:t xml:space="preserve">    </w:t>
      </w:r>
    </w:p>
    <w:p w14:paraId="3D37FFCA" w14:textId="77777777" w:rsidR="00B470AD" w:rsidRDefault="00B470AD" w:rsidP="009C2F96">
      <w:pPr>
        <w:jc w:val="both"/>
      </w:pPr>
      <w:r w:rsidRPr="0099100F">
        <w:t>İsrail-Hamas savaşı yalnızca İsrail ve Gazze Şeridinde yaşayan Filistinliler arasındaki bir çatışma olmaktan çıkmıştır. İsrail saldırılarını yalnızca Hamas’a yönlendirmemiş bunun yanında diğer birtakım askeri eylemlerde de bulunmuştur. Lübnan’da yaşayan Hamas liderlerinden Salih el-</w:t>
      </w:r>
      <w:proofErr w:type="spellStart"/>
      <w:r w:rsidRPr="0099100F">
        <w:t>Aruri</w:t>
      </w:r>
      <w:proofErr w:type="spellEnd"/>
      <w:r w:rsidRPr="0099100F">
        <w:t xml:space="preserve"> suikast ile öldürülmüştür </w:t>
      </w:r>
      <w:r w:rsidRPr="0099100F">
        <w:fldChar w:fldCharType="begin"/>
      </w:r>
      <w:r>
        <w:instrText xml:space="preserve"> ADDIN EN.CITE &lt;EndNote&gt;&lt;Cite&gt;&lt;Author&gt;Emir&lt;/Author&gt;&lt;Year&gt;2024&lt;/Year&gt;&lt;RecNum&gt;6475&lt;/RecNum&gt;&lt;DisplayText&gt;(Emir, 2024b)&lt;/DisplayText&gt;&lt;record&gt;&lt;rec-number&gt;6475&lt;/rec-number&gt;&lt;foreign-keys&gt;&lt;key app="EN" db-id="s9fzvtwr1fr258ew0pfv99vivz9e2fd5xxfs" timestamp="1705166884" guid="5a080a57-1e23-43ee-8555-89e9e3885677"&gt;6475&lt;/key&gt;&lt;/foreign-keys&gt;&lt;ref-type name="Web Page"&gt;12&lt;/ref-type&gt;&lt;contributors&gt;&lt;authors&gt;&lt;author&gt;Emir, Mehmet&lt;/author&gt;&lt;/authors&gt;&lt;/contributors&gt;&lt;titles&gt;&lt;title&gt;Lübnan ve İran&amp;apos;a Yönelik Saldırılar Hakkında Değerlendirmeler&lt;/title&gt;&lt;/titles&gt;&lt;volume&gt;13.01.2024&lt;/volume&gt;&lt;dates&gt;&lt;year&gt;2024&lt;/year&gt;&lt;/dates&gt;&lt;publisher&gt;Uluslararası Politika Akademisi&lt;/publisher&gt;&lt;urls&gt;&lt;related-urls&gt;&lt;url&gt;http://politikaakademisi.org/2024/01/05/lubnan-ve-irana-yonelik-saldirilar-hakkinda-degerlendirmeler/&lt;/url&gt;&lt;/related-urls&gt;&lt;/urls&gt;&lt;/record&gt;&lt;/Cite&gt;&lt;/EndNote&gt;</w:instrText>
      </w:r>
      <w:r w:rsidRPr="0099100F">
        <w:fldChar w:fldCharType="separate"/>
      </w:r>
      <w:r w:rsidRPr="0099100F">
        <w:rPr>
          <w:noProof/>
        </w:rPr>
        <w:t>(Emir, 2024b)</w:t>
      </w:r>
      <w:r w:rsidRPr="0099100F">
        <w:fldChar w:fldCharType="end"/>
      </w:r>
      <w:r w:rsidRPr="0099100F">
        <w:t xml:space="preserve">. Bunun yanı sıra </w:t>
      </w:r>
      <w:r w:rsidRPr="0099100F">
        <w:lastRenderedPageBreak/>
        <w:t xml:space="preserve">Suriye’deki İran hedeflerine de saldırılarda bulunulmuştur </w:t>
      </w:r>
      <w:r w:rsidRPr="0099100F">
        <w:fldChar w:fldCharType="begin"/>
      </w:r>
      <w:r>
        <w:instrText xml:space="preserve"> ADDIN EN.CITE &lt;EndNote&gt;&lt;Cite&gt;&lt;Author&gt;Haber&lt;/Author&gt;&lt;Year&gt;2023&lt;/Year&gt;&lt;RecNum&gt;6445&lt;/RecNum&gt;&lt;DisplayText&gt;(Euronews, 2023; T. Haber, 2023b)&lt;/DisplayText&gt;&lt;record&gt;&lt;rec-number&gt;6445&lt;/rec-number&gt;&lt;foreign-keys&gt;&lt;key app="EN" db-id="s9fzvtwr1fr258ew0pfv99vivz9e2fd5xxfs" timestamp="1704397857" guid="72916b19-05fb-457a-a334-98574768e0e6"&gt;6445&lt;/key&gt;&lt;/foreign-keys&gt;&lt;ref-type name="Web Page"&gt;12&lt;/ref-type&gt;&lt;contributors&gt;&lt;authors&gt;&lt;author&gt;TRT Haber&lt;/author&gt;&lt;/authors&gt;&lt;/contributors&gt;&lt;titles&gt;&lt;title&gt;İran Devrim Muhafızları Ordusu Komutanlarından Musevi, Suriye’de Öldürüldü&lt;/title&gt;&lt;/titles&gt;&lt;volume&gt;04.01.2024&lt;/volume&gt;&lt;dates&gt;&lt;year&gt;2023&lt;/year&gt;&lt;/dates&gt;&lt;publisher&gt;TRT Haber&lt;/publisher&gt;&lt;urls&gt;&lt;related-urls&gt;&lt;url&gt;https://www.trthaber.com/haber/dunya/iran-devrim-muhafizlari-ordusu-komutanlarindan-musevi-suriyede-olduruldu-823689.html&lt;/url&gt;&lt;/related-urls&gt;&lt;/urls&gt;&lt;/record&gt;&lt;/Cite&gt;&lt;Cite&gt;&lt;Author&gt;Euronews&lt;/Author&gt;&lt;Year&gt;2023&lt;/Year&gt;&lt;RecNum&gt;6444&lt;/RecNum&gt;&lt;record&gt;&lt;rec-number&gt;6444&lt;/rec-number&gt;&lt;foreign-keys&gt;&lt;key app="EN" db-id="s9fzvtwr1fr258ew0pfv99vivz9e2fd5xxfs" timestamp="1704397748" guid="35539917-0abf-423b-b45a-1cf7cfae901d"&gt;6444&lt;/key&gt;&lt;/foreign-keys&gt;&lt;ref-type name="Web Page"&gt;12&lt;/ref-type&gt;&lt;contributors&gt;&lt;authors&gt;&lt;author&gt;Euronews&lt;/author&gt;&lt;/authors&gt;&lt;/contributors&gt;&lt;titles&gt;&lt;title&gt;İran Devrim Muhafızları Ordusu Üyesi General Musavi Şam Yakınlarında İsrail Saldırısında Öldürüldü&lt;/title&gt;&lt;/titles&gt;&lt;volume&gt;04.01.2024&lt;/volume&gt;&lt;dates&gt;&lt;year&gt;2023&lt;/year&gt;&lt;/dates&gt;&lt;publisher&gt;Euronews&lt;/publisher&gt;&lt;urls&gt;&lt;related-urls&gt;&lt;url&gt;https://tr.euronews.com/2023/12/25/iran-devrim-muhafizari-ordusu-uyesi-general-musavi-sam-yakinlarinda-israil-saldirisinda-ol#:~:text=%C4%B0ran%20Devrim%20Muhaf%C4%B1zlar%C4%B1%20Ordusu&amp;apos;ndan%20General%20Razi%20Musavi%2C%20Suriye&amp;apos;,son%20dakika%20geli%C5%9Fmesi&amp;apos;%20olarak%20duyuruldu.&lt;/url&gt;&lt;/related-urls&gt;&lt;/urls&gt;&lt;/record&gt;&lt;/Cite&gt;&lt;/EndNote&gt;</w:instrText>
      </w:r>
      <w:r w:rsidRPr="0099100F">
        <w:fldChar w:fldCharType="separate"/>
      </w:r>
      <w:r>
        <w:rPr>
          <w:noProof/>
        </w:rPr>
        <w:t>(Euronews, 2023; T. Haber, 2023b)</w:t>
      </w:r>
      <w:r w:rsidRPr="0099100F">
        <w:fldChar w:fldCharType="end"/>
      </w:r>
      <w:r w:rsidRPr="0099100F">
        <w:t xml:space="preserve">. İsrail gerilimi tırmandırmaktan kaçınmamıştır. Birden çok alanda savaşabileceğini duyurmuştur </w:t>
      </w:r>
      <w:r w:rsidRPr="0099100F">
        <w:fldChar w:fldCharType="begin"/>
      </w:r>
      <w:r>
        <w:instrText xml:space="preserve"> ADDIN EN.CITE &lt;EndNote&gt;&lt;Cite&gt;&lt;Author&gt;Sondakika&lt;/Author&gt;&lt;Year&gt;2023&lt;/Year&gt;&lt;RecNum&gt;6425&lt;/RecNum&gt;&lt;DisplayText&gt;(Sondakika, 2023)&lt;/DisplayText&gt;&lt;record&gt;&lt;rec-number&gt;6425&lt;/rec-number&gt;&lt;foreign-keys&gt;&lt;key app="EN" db-id="s9fzvtwr1fr258ew0pfv99vivz9e2fd5xxfs" timestamp="1702462687" guid="7a77660d-da72-4957-9149-36579a4dde03"&gt;6425&lt;/key&gt;&lt;/foreign-keys&gt;&lt;ref-type name="Web Page"&gt;12&lt;/ref-type&gt;&lt;contributors&gt;&lt;authors&gt;&lt;author&gt;Sondakika&lt;/author&gt;&lt;/authors&gt;&lt;/contributors&gt;&lt;titles&gt;&lt;title&gt;İsrail Ordu Sözcüsü Hagari: Birden Fazla Cephede Savaşabiliriz&lt;/title&gt;&lt;/titles&gt;&lt;volume&gt;13.12.2023&lt;/volume&gt;&lt;dates&gt;&lt;year&gt;2023&lt;/year&gt;&lt;/dates&gt;&lt;publisher&gt;Sondakika.com&lt;/publisher&gt;&lt;urls&gt;&lt;related-urls&gt;&lt;url&gt;https://www.sondakika.com/dunya/haber-israil-ordu-sozcusu-hagari-birden-fazla-cephede-16433059/&lt;/url&gt;&lt;/related-urls&gt;&lt;/urls&gt;&lt;/record&gt;&lt;/Cite&gt;&lt;/EndNote&gt;</w:instrText>
      </w:r>
      <w:r w:rsidRPr="0099100F">
        <w:fldChar w:fldCharType="separate"/>
      </w:r>
      <w:r w:rsidRPr="0099100F">
        <w:rPr>
          <w:noProof/>
        </w:rPr>
        <w:t>(Sondakika, 2023)</w:t>
      </w:r>
      <w:r w:rsidRPr="0099100F">
        <w:fldChar w:fldCharType="end"/>
      </w:r>
      <w:r w:rsidRPr="0099100F">
        <w:t xml:space="preserve">. İsrail’in eylemlerine müttefikleri de destek vermiştir. İsrail’in yaptığı askeri operasyonlardaki sivil kayıplara tepki olarak </w:t>
      </w:r>
      <w:proofErr w:type="spellStart"/>
      <w:r w:rsidRPr="0099100F">
        <w:t>Bab’ül</w:t>
      </w:r>
      <w:proofErr w:type="spellEnd"/>
      <w:r w:rsidRPr="0099100F">
        <w:t xml:space="preserve"> </w:t>
      </w:r>
      <w:proofErr w:type="spellStart"/>
      <w:r w:rsidRPr="0099100F">
        <w:t>Mendep</w:t>
      </w:r>
      <w:proofErr w:type="spellEnd"/>
      <w:r w:rsidRPr="0099100F">
        <w:t xml:space="preserve"> Boğazındaki ticari gemilerden İsrail’e gidenlere el koyan Yemenli </w:t>
      </w:r>
      <w:proofErr w:type="spellStart"/>
      <w:r w:rsidRPr="0099100F">
        <w:t>Husiler</w:t>
      </w:r>
      <w:proofErr w:type="spellEnd"/>
      <w:r w:rsidRPr="0099100F">
        <w:t xml:space="preserve"> de çatışmaların kaçınılmaz parçası olmuştur. İsrail’in müttefikleri ABD ve İngiltere tarafından </w:t>
      </w:r>
      <w:proofErr w:type="spellStart"/>
      <w:r w:rsidRPr="0099100F">
        <w:t>Husiler</w:t>
      </w:r>
      <w:proofErr w:type="spellEnd"/>
      <w:r w:rsidRPr="0099100F">
        <w:t xml:space="preserve"> hedef alınmıştır </w:t>
      </w:r>
      <w:r w:rsidRPr="0099100F">
        <w:fldChar w:fldCharType="begin">
          <w:fldData xml:space="preserve">PEVuZE5vdGU+PENpdGU+PEF1dGhvcj5FbWlyPC9BdXRob3I+PFllYXI+MjAyNDwvWWVhcj48UmVj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</w:fldData>
        </w:fldChar>
      </w:r>
      <w:r>
        <w:instrText xml:space="preserve"> ADDIN EN.CITE </w:instrText>
      </w:r>
      <w:r>
        <w:fldChar w:fldCharType="begin">
          <w:fldData xml:space="preserve">PEVuZE5vdGU+PENpdGU+PEF1dGhvcj5FbWlyPC9BdXRob3I+PFllYXI+MjAyNDwvWWVhcj48UmVj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</w:fldData>
        </w:fldChar>
      </w:r>
      <w:r>
        <w:instrText xml:space="preserve"> ADDIN EN.CITE.DATA </w:instrText>
      </w:r>
      <w:r>
        <w:fldChar w:fldCharType="end"/>
      </w:r>
      <w:r w:rsidRPr="0099100F">
        <w:fldChar w:fldCharType="separate"/>
      </w:r>
      <w:r>
        <w:rPr>
          <w:noProof/>
        </w:rPr>
        <w:t>(Baldor &amp; Copp, 2024; Emir, 2024a; Kube &amp; Stelloh, 2024; Stewart, Ali, &amp; Ghobari, 2024)</w:t>
      </w:r>
      <w:r w:rsidRPr="0099100F">
        <w:fldChar w:fldCharType="end"/>
      </w:r>
      <w:r w:rsidRPr="0099100F">
        <w:t xml:space="preserve">. İsrail’in Hamas’la başlayan savaşı çok geniş bir düzleme taşınmıştır </w:t>
      </w:r>
      <w:r w:rsidRPr="0099100F">
        <w:fldChar w:fldCharType="begin"/>
      </w:r>
      <w:r>
        <w:instrText xml:space="preserve"> ADDIN EN.CITE &lt;EndNote&gt;&lt;Cite&gt;&lt;Author&gt;Schmitt&lt;/Author&gt;&lt;Year&gt;2024&lt;/Year&gt;&lt;RecNum&gt;6433&lt;/RecNum&gt;&lt;DisplayText&gt;(NPR, 2024; Schmitt, Barnes, Cooper, &amp;amp; Sanger, 2024)&lt;/DisplayText&gt;&lt;record&gt;&lt;rec-number&gt;6433&lt;/rec-number&gt;&lt;foreign-keys&gt;&lt;key app="EN" db-id="s9fzvtwr1fr258ew0pfv99vivz9e2fd5xxfs" timestamp="1704375681" guid="1b5597b0-20b8-4d6d-88f8-22c3e71bc868"&gt;6433&lt;/key&gt;&lt;/foreign-keys&gt;&lt;ref-type name="Web Page"&gt;12&lt;/ref-type&gt;&lt;contributors&gt;&lt;authors&gt;&lt;author&gt;Schmitt, Eric&lt;/author&gt;&lt;author&gt;Barnes,Julian E.&lt;/author&gt;&lt;author&gt;Cooper, Helene&lt;/author&gt;&lt;author&gt;Sanger, David E.&lt;/author&gt;&lt;/authors&gt;&lt;/contributors&gt;&lt;titles&gt;&lt;title&gt;Attacks Heighten Fears of a Wider War for the Middle East and U.S.&lt;/title&gt;&lt;/titles&gt;&lt;volume&gt;04.01.2024&lt;/volume&gt;&lt;dates&gt;&lt;year&gt;2024&lt;/year&gt;&lt;/dates&gt;&lt;publisher&gt;The New York Times&lt;/publisher&gt;&lt;urls&gt;&lt;related-urls&gt;&lt;url&gt;https://www.nytimes.com/2024/01/03/us/politics/war-israel-iran-hezbollah-yemen.html&lt;/url&gt;&lt;/related-urls&gt;&lt;/urls&gt;&lt;/record&gt;&lt;/Cite&gt;&lt;Cite&gt;&lt;Author&gt;NPR&lt;/Author&gt;&lt;Year&gt;2024&lt;/Year&gt;&lt;RecNum&gt;6431&lt;/RecNum&gt;&lt;record&gt;&lt;rec-number&gt;6431&lt;/rec-number&gt;&lt;foreign-keys&gt;&lt;key app="EN" db-id="s9fzvtwr1fr258ew0pfv99vivz9e2fd5xxfs" timestamp="1704375215" guid="486f994a-ba3c-4b3c-a11c-4a4b74bdcf01"&gt;6431&lt;/key&gt;&lt;/foreign-keys&gt;&lt;ref-type name="Web Page"&gt;12&lt;/ref-type&gt;&lt;contributors&gt;&lt;authors&gt;&lt;author&gt;NPR&lt;/author&gt;&lt;/authors&gt;&lt;/contributors&gt;&lt;titles&gt;&lt;title&gt;Violence in Iran and Lebanon Prompts Concern Israel-Hamas War Could Expand&lt;/title&gt;&lt;/titles&gt;&lt;volume&gt;04.01.2024&lt;/volume&gt;&lt;dates&gt;&lt;year&gt;2024&lt;/year&gt;&lt;/dates&gt;&lt;publisher&gt;NPR&lt;/publisher&gt;&lt;urls&gt;&lt;related-urls&gt;&lt;url&gt;https://www.npr.org/2024/01/03/1198909893/consider-this-from-npr-draft-01-03-2024&lt;/url&gt;&lt;/related-urls&gt;&lt;/urls&gt;&lt;/record&gt;&lt;/Cite&gt;&lt;/EndNote&gt;</w:instrText>
      </w:r>
      <w:r w:rsidRPr="0099100F">
        <w:fldChar w:fldCharType="separate"/>
      </w:r>
      <w:r>
        <w:rPr>
          <w:noProof/>
        </w:rPr>
        <w:t>(NPR, 2024; Schmitt, Barnes, Cooper, &amp; Sanger, 2024)</w:t>
      </w:r>
      <w:r w:rsidRPr="0099100F">
        <w:fldChar w:fldCharType="end"/>
      </w:r>
      <w:r w:rsidRPr="0099100F">
        <w:t>.</w:t>
      </w:r>
    </w:p>
    <w:p w14:paraId="67016FEF" w14:textId="77777777" w:rsidR="009C2F96" w:rsidRPr="0099100F" w:rsidRDefault="009C2F96" w:rsidP="009C2F96">
      <w:pPr>
        <w:jc w:val="both"/>
      </w:pPr>
    </w:p>
    <w:p w14:paraId="285CC7B2" w14:textId="77777777" w:rsidR="00B470AD" w:rsidRDefault="00B470AD" w:rsidP="009C2F96">
      <w:pPr>
        <w:jc w:val="both"/>
      </w:pPr>
      <w:r w:rsidRPr="0099100F">
        <w:t>Salih el-</w:t>
      </w:r>
      <w:proofErr w:type="spellStart"/>
      <w:r w:rsidRPr="0099100F">
        <w:t>Aruri</w:t>
      </w:r>
      <w:proofErr w:type="spellEnd"/>
      <w:r w:rsidRPr="0099100F">
        <w:t xml:space="preserve"> Hamas’ın üst düzey bir yöneticisi olarak Lübnan’ın başkenti Beyrut’ta görev yapıyordu. Karizmatik kişiliği ile Hamas’ın Lübnan ve İran ile olan temasını sağlıyordu. </w:t>
      </w:r>
      <w:proofErr w:type="spellStart"/>
      <w:r w:rsidRPr="0099100F">
        <w:t>Aruri</w:t>
      </w:r>
      <w:proofErr w:type="spellEnd"/>
      <w:r w:rsidRPr="0099100F">
        <w:t xml:space="preserve"> 2 Ocak 2024 tarihinde insansız hava aracı saldırısında öldürülmüştür </w:t>
      </w:r>
      <w:r w:rsidRPr="0099100F">
        <w:fldChar w:fldCharType="begin"/>
      </w:r>
      <w:r>
        <w:instrText xml:space="preserve"> ADDIN EN.CITE &lt;EndNote&gt;&lt;Cite&gt;&lt;Author&gt;Harkov&lt;/Author&gt;&lt;Year&gt;2024&lt;/Year&gt;&lt;RecNum&gt;6438&lt;/RecNum&gt;&lt;DisplayText&gt;(Harkov, 2024)&lt;/DisplayText&gt;&lt;record&gt;&lt;rec-number&gt;6438&lt;/rec-number&gt;&lt;foreign-keys&gt;&lt;key app="EN" db-id="s9fzvtwr1fr258ew0pfv99vivz9e2fd5xxfs" timestamp="1704395442" guid="18b84c7d-a5cc-4a95-9511-704a9ce35e95"&gt;6438&lt;/key&gt;&lt;/foreign-keys&gt;&lt;ref-type name="Web Page"&gt;12&lt;/ref-type&gt;&lt;contributors&gt;&lt;authors&gt;&lt;author&gt;Harkov, Lahav&lt;/author&gt;&lt;/authors&gt;&lt;/contributors&gt;&lt;titles&gt;&lt;title&gt;Assassinated Hamas leader Saleh Al-Arouri was Key Conduit between Hamas, Iran&lt;/title&gt;&lt;/titles&gt;&lt;volume&gt;04.01.2024&lt;/volume&gt;&lt;dates&gt;&lt;year&gt;2024&lt;/year&gt;&lt;/dates&gt;&lt;publisher&gt;Jewish Insider&lt;/publisher&gt;&lt;urls&gt;&lt;related-urls&gt;&lt;url&gt;https://jewishinsider.com/2024/01/hamas-hezbollah-saleh-al-arouri-assassination-israel-war/&lt;/url&gt;&lt;/related-urls&gt;&lt;/urls&gt;&lt;/record&gt;&lt;/Cite&gt;&lt;/EndNote&gt;</w:instrText>
      </w:r>
      <w:r w:rsidRPr="0099100F">
        <w:fldChar w:fldCharType="separate"/>
      </w:r>
      <w:r w:rsidRPr="0099100F">
        <w:rPr>
          <w:noProof/>
        </w:rPr>
        <w:t>(Harkov, 2024)</w:t>
      </w:r>
      <w:r w:rsidRPr="0099100F">
        <w:fldChar w:fldCharType="end"/>
      </w:r>
      <w:r w:rsidRPr="0099100F">
        <w:t xml:space="preserve">. Saldırının egemen bir devlette icra edilmesinde hiçbir sakınca görülmemiştir. </w:t>
      </w:r>
      <w:proofErr w:type="spellStart"/>
      <w:r w:rsidRPr="0099100F">
        <w:t>Aruri</w:t>
      </w:r>
      <w:proofErr w:type="spellEnd"/>
      <w:r w:rsidRPr="0099100F">
        <w:t xml:space="preserve">, Hamas’ın önemli bir yöneticisiydi ve yaşasaydı daha üst konuma gelmesi bekleniyordu. İsrail tarafından icra edilen suikast eylemine Lübnan hükümeti güçlü bir tepki göstermiştir. Lübnan Hizbullah’ı da kendi sahalarında gerçekleştirilen bu saldırının karşılıksız kalmayacağını duyurmuştur </w:t>
      </w:r>
      <w:r w:rsidRPr="0099100F">
        <w:fldChar w:fldCharType="begin"/>
      </w:r>
      <w:r>
        <w:instrText xml:space="preserve"> ADDIN EN.CITE &lt;EndNote&gt;&lt;Cite&gt;&lt;Author&gt;Hanikra&lt;/Author&gt;&lt;Year&gt;2024&lt;/Year&gt;&lt;RecNum&gt;6434&lt;/RecNum&gt;&lt;DisplayText&gt;(Hanikra, 2024)&lt;/DisplayText&gt;&lt;record&gt;&lt;rec-number&gt;6434&lt;/rec-number&gt;&lt;foreign-keys&gt;&lt;key app="EN" db-id="s9fzvtwr1fr258ew0pfv99vivz9e2fd5xxfs" timestamp="1704375878" guid="45d5a851-1fac-40c0-91f9-b75382a6c492"&gt;6434&lt;/key&gt;&lt;/foreign-keys&gt;&lt;ref-type name="Web Page"&gt;12&lt;/ref-type&gt;&lt;contributors&gt;&lt;authors&gt;&lt;author&gt;Hanikra, Rosh&lt;/author&gt;&lt;/authors&gt;&lt;/contributors&gt;&lt;titles&gt;&lt;title&gt;Another War could Break Out On the Israel-Lebanon Border&lt;/title&gt;&lt;/titles&gt;&lt;volume&gt;04.01.2024&lt;/volume&gt;&lt;dates&gt;&lt;year&gt;2024&lt;/year&gt;&lt;/dates&gt;&lt;publisher&gt;The Economist&lt;/publisher&gt;&lt;urls&gt;&lt;related-urls&gt;&lt;url&gt;https://www.economist.com/middle-east-and-africa/2024/01/04/another-war-could-break-out-on-the-israel-lebanon-border&lt;/url&gt;&lt;/related-urls&gt;&lt;/urls&gt;&lt;/record&gt;&lt;/Cite&gt;&lt;/EndNote&gt;</w:instrText>
      </w:r>
      <w:r w:rsidRPr="0099100F">
        <w:fldChar w:fldCharType="separate"/>
      </w:r>
      <w:r w:rsidRPr="0099100F">
        <w:rPr>
          <w:noProof/>
        </w:rPr>
        <w:t>(Hanikra, 2024)</w:t>
      </w:r>
      <w:r w:rsidRPr="0099100F">
        <w:fldChar w:fldCharType="end"/>
      </w:r>
      <w:r w:rsidRPr="0099100F">
        <w:t xml:space="preserve">. İsrail’in hedef aldığı önemli bir örgütte Lübnan Hizbullah’ıdır. İsrail ayrıca Hamas yöneticilerinin hangi ülkede bulunurlarsa bulunsunlar mutlaka etkisiz hale getirileceğini duyurmuştur. Bu bağlamda egemen devlet otoritelerine karşı açık bir meydan okuma görülmektedir </w:t>
      </w:r>
      <w:r w:rsidRPr="0099100F">
        <w:fldChar w:fldCharType="begin"/>
      </w:r>
      <w:r>
        <w:instrText xml:space="preserve"> ADDIN EN.CITE &lt;EndNote&gt;&lt;Cite&gt;&lt;Author&gt;NTV&lt;/Author&gt;&lt;Year&gt;2023&lt;/Year&gt;&lt;RecNum&gt;6427&lt;/RecNum&gt;&lt;DisplayText&gt;(NTV, 2023b)&lt;/DisplayText&gt;&lt;record&gt;&lt;rec-number&gt;6427&lt;/rec-number&gt;&lt;foreign-keys&gt;&lt;key app="EN" db-id="s9fzvtwr1fr258ew0pfv99vivz9e2fd5xxfs" timestamp="1702463221" guid="2266ef9a-e22d-4eea-ae9e-3f026060da77"&gt;6427&lt;/key&gt;&lt;/foreign-keys&gt;&lt;ref-type name="Web Page"&gt;12&lt;/ref-type&gt;&lt;contributors&gt;&lt;authors&gt;&lt;author&gt;NTV&lt;/author&gt;&lt;/authors&gt;&lt;/contributors&gt;&lt;titles&gt;&lt;title&gt;Cumhurbaşkanı Erdoğan&amp;apos;dan Mossad&amp;apos;a Suikast Uyarısı&lt;/title&gt;&lt;/titles&gt;&lt;volume&gt;13.12.2023&lt;/volume&gt;&lt;dates&gt;&lt;year&gt;2023&lt;/year&gt;&lt;/dates&gt;&lt;urls&gt;&lt;related-urls&gt;&lt;url&gt;https://www.ntv.com.tr/turkiye/cumhurbaskani-erdogandan-mossada-suikast-uyarisi,9pjq2Uxzs02zDxNLv4NMTQ&lt;/url&gt;&lt;/related-urls&gt;&lt;/urls&gt;&lt;/record&gt;&lt;/Cite&gt;&lt;/EndNote&gt;</w:instrText>
      </w:r>
      <w:r w:rsidRPr="0099100F">
        <w:fldChar w:fldCharType="separate"/>
      </w:r>
      <w:r w:rsidRPr="0099100F">
        <w:rPr>
          <w:noProof/>
        </w:rPr>
        <w:t>(NTV, 2023b)</w:t>
      </w:r>
      <w:r w:rsidRPr="0099100F">
        <w:fldChar w:fldCharType="end"/>
      </w:r>
      <w:r w:rsidRPr="0099100F">
        <w:t>. Nitekim Türkiye’de İsrail lehine ajanlık yaptığı iddiasıyla operasyon yapılmış ve çok sayıda şahıs gözaltına alınmıştır. Bunlardan bir kısmı da tutuklanmıştır.</w:t>
      </w:r>
    </w:p>
    <w:p w14:paraId="794AC493" w14:textId="77777777" w:rsidR="009C2F96" w:rsidRPr="0099100F" w:rsidRDefault="009C2F96" w:rsidP="009C2F96">
      <w:pPr>
        <w:jc w:val="both"/>
      </w:pPr>
    </w:p>
    <w:p w14:paraId="0A65ACF1" w14:textId="77777777" w:rsidR="00B470AD" w:rsidRDefault="00B470AD" w:rsidP="009C2F96">
      <w:pPr>
        <w:jc w:val="both"/>
      </w:pPr>
      <w:r w:rsidRPr="0099100F">
        <w:t xml:space="preserve">Yemen’de iktidarın önemli bir parçası olan </w:t>
      </w:r>
      <w:proofErr w:type="spellStart"/>
      <w:r w:rsidRPr="0099100F">
        <w:t>Husiler</w:t>
      </w:r>
      <w:proofErr w:type="spellEnd"/>
      <w:r w:rsidRPr="0099100F">
        <w:t xml:space="preserve"> tarafından </w:t>
      </w:r>
      <w:proofErr w:type="spellStart"/>
      <w:r w:rsidRPr="0099100F">
        <w:t>Bab’ül</w:t>
      </w:r>
      <w:proofErr w:type="spellEnd"/>
      <w:r w:rsidRPr="0099100F">
        <w:t xml:space="preserve"> </w:t>
      </w:r>
      <w:proofErr w:type="spellStart"/>
      <w:r w:rsidRPr="0099100F">
        <w:t>Mendep</w:t>
      </w:r>
      <w:proofErr w:type="spellEnd"/>
      <w:r w:rsidRPr="0099100F">
        <w:t xml:space="preserve"> Boğazından Kızıldeniz’e geçmek isteyen ticari gemilerden İsrail’e gidecek olanlara el konulmuştur (Görsel 1). </w:t>
      </w:r>
      <w:proofErr w:type="spellStart"/>
      <w:r w:rsidRPr="0099100F">
        <w:t>Husilerin</w:t>
      </w:r>
      <w:proofErr w:type="spellEnd"/>
      <w:r w:rsidRPr="0099100F">
        <w:t xml:space="preserve"> bu eylemleri İsrail’in Gazze Şeridinde icra ettiği askerî harekât sırasında hayatını kaybeden çok sayıda sivile yönelik olarak dikkat çekme faaliyetidir. </w:t>
      </w:r>
      <w:proofErr w:type="spellStart"/>
      <w:r w:rsidRPr="0099100F">
        <w:t>Husilerin</w:t>
      </w:r>
      <w:proofErr w:type="spellEnd"/>
      <w:r w:rsidRPr="0099100F">
        <w:t xml:space="preserve"> bu eylemi nedeniyle çok sayıda gemi daha uzun bir yolu tercih etmek zorunda kalmıştır. İsrail’in müttefikleri tarafından bu tepki olumlu karşılanmamıştır. Ekonomik gerekçelerle derhal harekete geçen ABD ve İngiltere Birleşmiş Milletler Güvenlik Konseyinden çıkardıkları kararla </w:t>
      </w:r>
      <w:r w:rsidRPr="0099100F">
        <w:fldChar w:fldCharType="begin"/>
      </w:r>
      <w:r>
        <w:instrText xml:space="preserve"> ADDIN EN.CITE &lt;EndNote&gt;&lt;Cite&gt;&lt;Author&gt;Türkçe&lt;/Author&gt;&lt;Year&gt;2024&lt;/Year&gt;&lt;RecNum&gt;6468&lt;/RecNum&gt;&lt;DisplayText&gt;(B. Türkçe, 2024)&lt;/DisplayText&gt;&lt;record&gt;&lt;rec-number&gt;6468&lt;/rec-number&gt;&lt;foreign-keys&gt;&lt;key app="EN" db-id="s9fzvtwr1fr258ew0pfv99vivz9e2fd5xxfs" timestamp="1705165125" guid="52c64a44-cffc-4acd-ac8b-bb58ebff36bd"&gt;6468&lt;/key&gt;&lt;/foreign-keys&gt;&lt;ref-type name="Web Page"&gt;12&lt;/ref-type&gt;&lt;contributors&gt;&lt;authors&gt;&lt;author&gt;BBC Türkçe&lt;/author&gt;&lt;/authors&gt;&lt;/contributors&gt;&lt;titles&gt;&lt;title&gt;BMGK&amp;apos;dan Kızıldeniz Kararı: Husilerin Saldırıları Acilen Durmalı&lt;/title&gt;&lt;/titles&gt;&lt;volume&gt;13.01.2024&lt;/volume&gt;&lt;dates&gt;&lt;year&gt;2024&lt;/year&gt;&lt;/dates&gt;&lt;publisher&gt;BBC&lt;/publisher&gt;&lt;urls&gt;&lt;related-urls&gt;&lt;url&gt;https://www.bbc.com/turkce/articles/cyd0221g31yo&lt;/url&gt;&lt;/related-urls&gt;&lt;/urls&gt;&lt;/record&gt;&lt;/Cite&gt;&lt;/EndNote&gt;</w:instrText>
      </w:r>
      <w:r w:rsidRPr="0099100F">
        <w:fldChar w:fldCharType="separate"/>
      </w:r>
      <w:r>
        <w:rPr>
          <w:noProof/>
        </w:rPr>
        <w:t>(B. Türkçe, 2024)</w:t>
      </w:r>
      <w:r w:rsidRPr="0099100F">
        <w:fldChar w:fldCharType="end"/>
      </w:r>
      <w:r w:rsidRPr="0099100F">
        <w:t xml:space="preserve"> </w:t>
      </w:r>
      <w:proofErr w:type="spellStart"/>
      <w:r w:rsidRPr="0099100F">
        <w:t>Husilere</w:t>
      </w:r>
      <w:proofErr w:type="spellEnd"/>
      <w:r w:rsidRPr="0099100F">
        <w:t xml:space="preserve"> yönelik askeri operasyon icra etmişlerdir. Kızıldeniz’de gemilerin seyir güvenliğini sağlamak yerine Yemen’de </w:t>
      </w:r>
      <w:proofErr w:type="spellStart"/>
      <w:r w:rsidRPr="0099100F">
        <w:t>Husilere</w:t>
      </w:r>
      <w:proofErr w:type="spellEnd"/>
      <w:r w:rsidRPr="0099100F">
        <w:t xml:space="preserve"> ait birçok askeri ve lojistik hedef vurulmuştur </w:t>
      </w:r>
      <w:r w:rsidRPr="0099100F">
        <w:fldChar w:fldCharType="begin"/>
      </w:r>
      <w:r>
        <w:instrText xml:space="preserve"> ADDIN EN.CITE &lt;EndNote&gt;&lt;Cite&gt;&lt;Author&gt;Bowman&lt;/Author&gt;&lt;Year&gt;2024&lt;/Year&gt;&lt;RecNum&gt;6479&lt;/RecNum&gt;&lt;DisplayText&gt;(Bowman, 2024; News, 2024)&lt;/DisplayText&gt;&lt;record&gt;&lt;rec-number&gt;6479&lt;/rec-number&gt;&lt;foreign-keys&gt;&lt;key app="EN" db-id="s9fzvtwr1fr258ew0pfv99vivz9e2fd5xxfs" timestamp="1705172101" guid="f9019e09-572d-47e8-810e-b021b264c7f3"&gt;6479&lt;/key&gt;&lt;/foreign-keys&gt;&lt;ref-type name="Web Page"&gt;12&lt;/ref-type&gt;&lt;contributors&gt;&lt;authors&gt;&lt;author&gt;Bowman, Tom&lt;/author&gt;&lt;/authors&gt;&lt;/contributors&gt;&lt;titles&gt;&lt;title&gt;U.S. and U.K. Strike Houthi Targets in Yemen&lt;/title&gt;&lt;/titles&gt;&lt;volume&gt;13.01.2024&lt;/volume&gt;&lt;dates&gt;&lt;year&gt;2024&lt;/year&gt;&lt;/dates&gt;&lt;publisher&gt;NPR News&lt;/publisher&gt;&lt;urls&gt;&lt;related-urls&gt;&lt;url&gt;https://www.npr.org/2024/01/11/1223238786/us-strikes-houthis-yemen&lt;/url&gt;&lt;/related-urls&gt;&lt;/urls&gt;&lt;/record&gt;&lt;/Cite&gt;&lt;Cite&gt;&lt;Author&gt;News&lt;/Author&gt;&lt;Year&gt;2024&lt;/Year&gt;&lt;RecNum&gt;6480&lt;/RecNum&gt;&lt;record&gt;&lt;rec-number&gt;6480&lt;/rec-number&gt;&lt;foreign-keys&gt;&lt;key app="EN" db-id="s9fzvtwr1fr258ew0pfv99vivz9e2fd5xxfs" timestamp="1705172202" guid="144841cf-1eb2-417f-95d9-8ffc0b3cdbc9"&gt;6480&lt;/key&gt;&lt;/foreign-keys&gt;&lt;ref-type name="Web Page"&gt;12&lt;/ref-type&gt;&lt;contributors&gt;&lt;authors&gt;&lt;author&gt;Al Jazeera News&lt;/author&gt;&lt;/authors&gt;&lt;/contributors&gt;&lt;titles&gt;&lt;title&gt;World Reacts to US, UK Attacks on Houthi Targets in Yemen&lt;/title&gt;&lt;/titles&gt;&lt;volume&gt;13.01.2024&lt;/volume&gt;&lt;dates&gt;&lt;year&gt;2024&lt;/year&gt;&lt;/dates&gt;&lt;urls&gt;&lt;related-urls&gt;&lt;url&gt;https://www.aljazeera.com/news/2024/1/12/world-reacts-to-us-uk-attacks-on-houthi-targets-in-yemen&lt;/url&gt;&lt;/related-urls&gt;&lt;/urls&gt;&lt;/record&gt;&lt;/Cite&gt;&lt;/EndNote&gt;</w:instrText>
      </w:r>
      <w:r w:rsidRPr="0099100F">
        <w:fldChar w:fldCharType="separate"/>
      </w:r>
      <w:r>
        <w:rPr>
          <w:noProof/>
        </w:rPr>
        <w:t>(Bowman, 2024; News, 2024)</w:t>
      </w:r>
      <w:r w:rsidRPr="0099100F">
        <w:fldChar w:fldCharType="end"/>
      </w:r>
      <w:r w:rsidRPr="0099100F">
        <w:t xml:space="preserve">. </w:t>
      </w:r>
      <w:proofErr w:type="spellStart"/>
      <w:r w:rsidRPr="0099100F">
        <w:t>Husiler</w:t>
      </w:r>
      <w:proofErr w:type="spellEnd"/>
      <w:r w:rsidRPr="0099100F">
        <w:t xml:space="preserve"> ise eylemlerine devam edeceklerini duyurmuşlardır. Gazze Şeridinde devam eden askeri operasyonun bir devamı niteliğindeki </w:t>
      </w:r>
      <w:proofErr w:type="spellStart"/>
      <w:r w:rsidRPr="0099100F">
        <w:t>Husilere</w:t>
      </w:r>
      <w:proofErr w:type="spellEnd"/>
      <w:r w:rsidRPr="0099100F">
        <w:t xml:space="preserve"> yönelik hava saldırıları kararlılıkla sürmüştür.</w:t>
      </w:r>
    </w:p>
    <w:p w14:paraId="55B3EB05" w14:textId="77777777" w:rsidR="009C2F96" w:rsidRPr="0099100F" w:rsidRDefault="009C2F96" w:rsidP="009C2F96">
      <w:pPr>
        <w:jc w:val="both"/>
      </w:pPr>
    </w:p>
    <w:p w14:paraId="79A852A5" w14:textId="77777777" w:rsidR="00B470AD" w:rsidRPr="0099100F" w:rsidRDefault="00B470AD" w:rsidP="009C2F96">
      <w:pPr>
        <w:jc w:val="both"/>
      </w:pPr>
      <w:r w:rsidRPr="0099100F">
        <w:t xml:space="preserve">Görsel 1. Kızıldeniz ve Aden’de Ticari Gemilere Yönelik El Koyma Eylemleri </w:t>
      </w:r>
      <w:r w:rsidRPr="0099100F">
        <w:fldChar w:fldCharType="begin"/>
      </w:r>
      <w:r>
        <w:instrText xml:space="preserve"> ADDIN EN.CITE &lt;EndNote&gt;&lt;Cite&gt;&lt;Author&gt;Bland&lt;/Author&gt;&lt;Year&gt;2024&lt;/Year&gt;&lt;RecNum&gt;6467&lt;/RecNum&gt;&lt;DisplayText&gt;(Bland &amp;amp; McKernan, 2024)&lt;/DisplayText&gt;&lt;record&gt;&lt;rec-number&gt;6467&lt;/rec-number&gt;&lt;foreign-keys&gt;&lt;key app="EN" db-id="s9fzvtwr1fr258ew0pfv99vivz9e2fd5xxfs" timestamp="1705164013" guid="43f6e244-5199-4c7c-b066-1f46246bc69b"&gt;6467&lt;/key&gt;&lt;/foreign-keys&gt;&lt;ref-type name="Web Page"&gt;12&lt;/ref-type&gt;&lt;contributors&gt;&lt;authors&gt;&lt;author&gt;Bland, Archie&lt;/author&gt;&lt;author&gt;McKernan, Bethan&lt;/author&gt;&lt;/authors&gt;&lt;/contributors&gt;&lt;titles&gt;&lt;title&gt;Who are the Houthis and How did the US and UK Strikes on Yemen come about?&lt;/title&gt;&lt;/titles&gt;&lt;volume&gt;13.01.2024&lt;/volume&gt;&lt;dates&gt;&lt;year&gt;2024&lt;/year&gt;&lt;/dates&gt;&lt;publisher&gt;The Guardian&lt;/publisher&gt;&lt;urls&gt;&lt;related-urls&gt;&lt;url&gt;https://www.theguardian.com/world/2024/jan/12/yemen-houthi-rebels-who-are-they-what-attacking-us-uk-airstrikes-red-sea-crisis&lt;/url&gt;&lt;/related-urls&gt;&lt;/urls&gt;&lt;/record&gt;&lt;/Cite&gt;&lt;/EndNote&gt;</w:instrText>
      </w:r>
      <w:r w:rsidRPr="0099100F">
        <w:fldChar w:fldCharType="separate"/>
      </w:r>
      <w:r w:rsidRPr="0099100F">
        <w:rPr>
          <w:noProof/>
        </w:rPr>
        <w:t>(Bland &amp; McKernan, 2024)</w:t>
      </w:r>
      <w:r w:rsidRPr="0099100F">
        <w:fldChar w:fldCharType="end"/>
      </w:r>
    </w:p>
    <w:p w14:paraId="49776D84" w14:textId="77777777" w:rsidR="00B470AD" w:rsidRPr="0099100F" w:rsidRDefault="00B470AD" w:rsidP="009C2F96">
      <w:pPr>
        <w:jc w:val="both"/>
      </w:pPr>
      <w:r w:rsidRPr="0099100F">
        <w:rPr>
          <w:noProof/>
        </w:rPr>
        <w:lastRenderedPageBreak/>
        <w:drawing>
          <wp:inline distT="0" distB="0" distL="0" distR="0" wp14:anchorId="7512631D" wp14:editId="5D71453F">
            <wp:extent cx="5937250" cy="3987800"/>
            <wp:effectExtent l="0" t="0" r="6350" b="0"/>
            <wp:docPr id="1603636232" name="Resim 1" descr="metin, harita, yazı tipi,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36232" name="Resim 1" descr="metin, harita, yazı tipi, atlas içeren bir resim&#10;&#10;Açıklama otomatik olarak oluşturuldu"/>
                    <pic:cNvPicPr/>
                  </pic:nvPicPr>
                  <pic:blipFill>
                    <a:blip r:embed="rId61"/>
                    <a:stretch>
                      <a:fillRect/>
                    </a:stretch>
                  </pic:blipFill>
                  <pic:spPr>
                    <a:xfrm>
                      <a:off x="0" y="0"/>
                      <a:ext cx="5937250" cy="3987800"/>
                    </a:xfrm>
                    <a:prstGeom prst="rect">
                      <a:avLst/>
                    </a:prstGeom>
                  </pic:spPr>
                </pic:pic>
              </a:graphicData>
            </a:graphic>
          </wp:inline>
        </w:drawing>
      </w:r>
    </w:p>
    <w:p w14:paraId="05B13840" w14:textId="77777777" w:rsidR="00B470AD" w:rsidRDefault="00B470AD" w:rsidP="009C2F96">
      <w:pPr>
        <w:jc w:val="both"/>
      </w:pPr>
      <w:r w:rsidRPr="0099100F">
        <w:t>İsrail dini motifler taşıyan Hamas operasyonunu geniş bir alana yayma stratejisini izlem</w:t>
      </w:r>
      <w:r>
        <w:t>iştir</w:t>
      </w:r>
      <w:r w:rsidRPr="0099100F">
        <w:t xml:space="preserve">. Bu nedenle Gazze Şeridinde icra edilen askeri harekatın devamı beraberinde diğer aktörlerinde tepkisini canlı kılmaktadır. İsrail geçmişinde yaptığı savaşlardaki kazanımlarına oldukça güvenmektedir. Bunun yanı sıra müttefiklik ilişkilerinin güçlü olması ve bu müttefiklerinin İsrail için sert güçlerini kullanmaktan çekinmemeleri de motivasyonunu artırmaktadır </w:t>
      </w:r>
      <w:r w:rsidRPr="0099100F">
        <w:fldChar w:fldCharType="begin"/>
      </w:r>
      <w:r>
        <w:instrText xml:space="preserve"> ADDIN EN.CITE &lt;EndNote&gt;&lt;Cite&gt;&lt;Author&gt;Sözcü&lt;/Author&gt;&lt;Year&gt;2024&lt;/Year&gt;&lt;RecNum&gt;6483&lt;/RecNum&gt;&lt;DisplayText&gt;(Milliyet, 2024; Sözcü, 2024)&lt;/DisplayText&gt;&lt;record&gt;&lt;rec-number&gt;6483&lt;/rec-number&gt;&lt;foreign-keys&gt;&lt;key app="EN" db-id="s9fzvtwr1fr258ew0pfv99vivz9e2fd5xxfs" timestamp="1705172502" guid="e4f81ed8-7a7d-40ec-b380-bd358eb4f442"&gt;6483&lt;/key&gt;&lt;/foreign-keys&gt;&lt;ref-type name="Web Page"&gt;12&lt;/ref-type&gt;&lt;contributors&gt;&lt;authors&gt;&lt;author&gt;Sözcü&lt;/author&gt;&lt;/authors&gt;&lt;/contributors&gt;&lt;titles&gt;&lt;title&gt;ABD ve İngiltere&amp;apos;den Yemen&amp;apos;e Ortak Saldırı&lt;/title&gt;&lt;/titles&gt;&lt;volume&gt;13.01.2024&lt;/volume&gt;&lt;dates&gt;&lt;year&gt;2024&lt;/year&gt;&lt;/dates&gt;&lt;urls&gt;&lt;related-urls&gt;&lt;url&gt;https://www.sozcu.com.tr/abd-ve-ingiltere-den-yemen-e-ortak-saldiri-p14795&lt;/url&gt;&lt;/related-urls&gt;&lt;/urls&gt;&lt;/record&gt;&lt;/Cite&gt;&lt;Cite&gt;&lt;Author&gt;Milliyet&lt;/Author&gt;&lt;Year&gt;2024&lt;/Year&gt;&lt;RecNum&gt;6484&lt;/RecNum&gt;&lt;record&gt;&lt;rec-number&gt;6484&lt;/rec-number&gt;&lt;foreign-keys&gt;&lt;key app="EN" db-id="s9fzvtwr1fr258ew0pfv99vivz9e2fd5xxfs" timestamp="1705172566" guid="381c17bb-57c1-41f5-a960-66310e282289"&gt;6484&lt;/key&gt;&lt;/foreign-keys&gt;&lt;ref-type name="Web Page"&gt;12&lt;/ref-type&gt;&lt;contributors&gt;&lt;authors&gt;&lt;author&gt;Milliyet&lt;/author&gt;&lt;/authors&gt;&lt;/contributors&gt;&lt;titles&gt;&lt;title&gt;ABD ve İngiltere Yemen&amp;apos;de Husiler&amp;apos;i Vurdu!&lt;/title&gt;&lt;/titles&gt;&lt;volume&gt;13.01.2024&lt;/volume&gt;&lt;dates&gt;&lt;year&gt;2024&lt;/year&gt;&lt;/dates&gt;&lt;urls&gt;&lt;related-urls&gt;&lt;url&gt;https://www.milliyet.com.tr/dunya/abd-ve-ingiltereden-yemene-hava-saldirisi-7062834&lt;/url&gt;&lt;/related-urls&gt;&lt;/urls&gt;&lt;/record&gt;&lt;/Cite&gt;&lt;/EndNote&gt;</w:instrText>
      </w:r>
      <w:r w:rsidRPr="0099100F">
        <w:fldChar w:fldCharType="separate"/>
      </w:r>
      <w:r w:rsidRPr="0099100F">
        <w:rPr>
          <w:noProof/>
        </w:rPr>
        <w:t>(Milliyet, 2024; Sözcü, 2024)</w:t>
      </w:r>
      <w:r w:rsidRPr="0099100F">
        <w:fldChar w:fldCharType="end"/>
      </w:r>
      <w:r w:rsidRPr="0099100F">
        <w:t>. Bölgedeki diğer aktörler açısından ise olumlu bir gelecek beklentisinden bahsetmek zordur. Zira İsrail ve müttefiklerine açıkça karşı olan güçlere yönelik saldırılar yapılarak bunların zayıflatılması ve sindirilmesi politikası izlenmektedir. ABD yanlısı politika izleyenler açısından ise yine daha önceden duyurulan ve adım adım uygulanan Büyük Orta Doğu Projesi tehlikesi devam etmektedir. Birçok ülkeyi parçalamayı hedefleyen bu projenin uygulama safhasına ara verilmeden devam edilmektedir. Zira bu proje günümüzde ABD yanlısı olan aktörleri de kapsamaktadır. Büyük Orta Doğu Projesinin en büyük kazananı ise İsrail’dir. Müdahale edilen bölge devletlerinin fiilen parçalara ayrılması ve buralardaki istikrarsızlık ortamı İsrail’in revizyonist politikaları için çok elverişli bir durumu da beraberinde getirmektedir. Vadedilmiş topraklara sahip olmanın en kolay yolu parçalanmış aktörleri en az riskle mağlup etmekten geçmektedir. Günümüzde bölgedeki uluslararası gelişmeler de bu durumu teyit etmektedir.</w:t>
      </w:r>
    </w:p>
    <w:p w14:paraId="66B1C0A9" w14:textId="77777777" w:rsidR="009C2F96" w:rsidRPr="0099100F" w:rsidRDefault="009C2F96" w:rsidP="009C2F96">
      <w:pPr>
        <w:jc w:val="both"/>
      </w:pPr>
    </w:p>
    <w:p w14:paraId="7AC793D0" w14:textId="77777777" w:rsidR="00B470AD" w:rsidRDefault="00B470AD" w:rsidP="009C2F96">
      <w:pPr>
        <w:jc w:val="both"/>
      </w:pPr>
      <w:r w:rsidRPr="0099100F">
        <w:t xml:space="preserve">İsrail’in Orta Doğu bölgesindeki en büyük rakibi İran’dır. İsrail özellikle ABD ile iyi ilişkiler geliştirerek çıkarları doğrultusunda stratejiler izlemektedir. Buna karşın İran ise hem İsrail’in hem de ABD’nin hedefi konumundadır. ABD tarafından Şer Ekseninde tanımlanan İran sahip olduğu bütün gücüyle kendisine karşı yürütülen politikaları etkisiz kılmaya çalışmaktadır. Irak, Suriye, Lübnan, Yemen ve Filistin de aktif bir politik ve askeri çabanın içindedir. İsrail’in yanında mezhepsel bir düzlemde Suudi Arabistan ile de bölgesel liderlik mücadelesi </w:t>
      </w:r>
      <w:r w:rsidRPr="0099100F">
        <w:lastRenderedPageBreak/>
        <w:t xml:space="preserve">vermektedir. </w:t>
      </w:r>
    </w:p>
    <w:p w14:paraId="262EE19D" w14:textId="77777777" w:rsidR="009C2F96" w:rsidRPr="0099100F" w:rsidRDefault="009C2F96" w:rsidP="009C2F96">
      <w:pPr>
        <w:jc w:val="both"/>
      </w:pPr>
    </w:p>
    <w:p w14:paraId="557E84FA" w14:textId="77777777" w:rsidR="00B470AD" w:rsidRDefault="00B470AD" w:rsidP="009C2F96">
      <w:pPr>
        <w:jc w:val="both"/>
      </w:pPr>
      <w:r w:rsidRPr="0099100F">
        <w:t xml:space="preserve">İran’ın icra ettiği politikalarındaki en güçlü müttefikleri Rusya ve Çin’dir. Kasım </w:t>
      </w:r>
      <w:proofErr w:type="spellStart"/>
      <w:r w:rsidRPr="0099100F">
        <w:t>Süleymani</w:t>
      </w:r>
      <w:proofErr w:type="spellEnd"/>
      <w:r w:rsidRPr="0099100F">
        <w:t xml:space="preserve"> gibi çok önemli bir komutanının ABD tarafından öldürülmesi İran için büyük bir prestij kaybı olmuştur. Bunun yanında Suriye’deki diplomatik misyonunun vurulması ise bölgesel gücünü kısmen sorgulatır olmuştur. 1 Nisan 2024 tarihindeki saldırı İran için daha dikkatli bir politika izlemesi konusunda önemli bir göstergedir. İran, müttefikleri Rusya ve Çin tarafından bölgede yeterince desteklenmemektedir. Rusya ve Çin açısından İran önemli bir enerji aktörü olmasına rağmen izlediği stratejik yaklaşımların sonucunda verilecek güçlü destek ile ABD, İngiltere ve Avrupa Birliği ile ilişkilerin gerilmesi istenmemektedir. Dolayısıyla İran icra edeceği politikaların neredeyse tamamında tekil aktör olarak kendi gücüne dayanmak zorundadır. </w:t>
      </w:r>
    </w:p>
    <w:p w14:paraId="50DF0B16" w14:textId="77777777" w:rsidR="009C2F96" w:rsidRPr="0099100F" w:rsidRDefault="009C2F96" w:rsidP="009C2F96">
      <w:pPr>
        <w:jc w:val="both"/>
      </w:pPr>
    </w:p>
    <w:p w14:paraId="71C052BE" w14:textId="77777777" w:rsidR="00B470AD" w:rsidRDefault="00B470AD" w:rsidP="009C2F96">
      <w:pPr>
        <w:jc w:val="both"/>
      </w:pPr>
      <w:r w:rsidRPr="0099100F">
        <w:t xml:space="preserve">Vadedilmiş Topraklar amacına erişmek için bütün gücünü kullanan İsrail’e başta ABD olmak üzere İngiltere ve bazı Avrupa Birliği üyesi devletler tarafından verilen destekler onun hareket kapasitesini arttırmaktadır. Filistin ve Lübnan engellerini aşması yeni bir politik durumun inşa edileceği anlamına gelmektedir. İran ise gerek Hamas gerekse de Hizbullah üzerinden İsrail’in yayılmacı politikasını engellemeye çalışmaktadır. İsrail’in Siyonizm çerçevesinde icra ettiği politikalar Yahudi olmayan Siyonistler tarafından da desteklenmektedir. ABD Başkanı Joe Biden ve Dışişleri Bakanı Antony </w:t>
      </w:r>
      <w:proofErr w:type="spellStart"/>
      <w:r w:rsidRPr="0099100F">
        <w:t>Blinken</w:t>
      </w:r>
      <w:proofErr w:type="spellEnd"/>
      <w:r w:rsidRPr="0099100F">
        <w:t xml:space="preserve"> açık bir şekilde bu desteği ifade etmişlerdir. Orta Doğu’da özellikle İsrail’in şiddet içeren eylemleri üzerinden ABD ve İngiltere’ye kendi politikalarını uygulayabilmeleri konusunda elverişli bir alan açılmaktadır. </w:t>
      </w:r>
    </w:p>
    <w:p w14:paraId="3373A050" w14:textId="77777777" w:rsidR="009C2F96" w:rsidRPr="0099100F" w:rsidRDefault="009C2F96" w:rsidP="009C2F96">
      <w:pPr>
        <w:jc w:val="both"/>
      </w:pPr>
    </w:p>
    <w:p w14:paraId="7A3340C0" w14:textId="77777777" w:rsidR="00B470AD" w:rsidRDefault="00B470AD" w:rsidP="009C2F96">
      <w:pPr>
        <w:jc w:val="both"/>
      </w:pPr>
      <w:r w:rsidRPr="0099100F">
        <w:t>Büyük Orta Doğu ve Kuzey Afrika Projesinin asli uygulayıcısının ABD olmasına rağmen en fazla bölgesel çıkarı İsrail sağlamaktadır. Bölgenin istikrarsızlaştırılması ABD için önemli bir yönetim avantajı sağlarken İsrail açısından ise bu istikrarsızlık üzerinden Vadedilmiş Topraklar ülküsüne ulaşma isteği gerçekleştirilmektedir. ABD, İngiltere ve İsrail ile müttefiklik ilişkisi kuran Orta Doğu devletlerinin kendilerine Büyük Orta Doğu ve Kuzey Afrika Projesi kapsamında biçilen bölünme rolünden kaçınamayacakları değerlendirilmektedir.</w:t>
      </w:r>
    </w:p>
    <w:p w14:paraId="43F363D5" w14:textId="77777777" w:rsidR="009C2F96" w:rsidRPr="0099100F" w:rsidRDefault="009C2F96" w:rsidP="009C2F96">
      <w:pPr>
        <w:jc w:val="both"/>
      </w:pPr>
    </w:p>
    <w:p w14:paraId="1B47FE03" w14:textId="77777777" w:rsidR="00B470AD" w:rsidRDefault="00B470AD" w:rsidP="009C2F96">
      <w:pPr>
        <w:jc w:val="both"/>
      </w:pPr>
      <w:r w:rsidRPr="0099100F">
        <w:t xml:space="preserve">İsrail 2024 yılının henüz başlangıcında 2 Ocak 2024 tarihinde Hamas’ın üst düzey bir yöneticisi olan Salih el </w:t>
      </w:r>
      <w:proofErr w:type="spellStart"/>
      <w:r w:rsidRPr="0099100F">
        <w:t>Aruri’yi</w:t>
      </w:r>
      <w:proofErr w:type="spellEnd"/>
      <w:r w:rsidRPr="0099100F">
        <w:t xml:space="preserve"> Beyrut’ta insansız hava aracıyla düzenlediği saldırıyla öldürmüştür. Hamas ile Gazze Şeridinde devam eden savaşın yanında Lübnan topraklarında düzenlenen saldırı da İsrail’in sınır tanımaz operasyon motivasyonunu ortaya koym</w:t>
      </w:r>
      <w:r>
        <w:t>uştur</w:t>
      </w:r>
      <w:r w:rsidRPr="0099100F">
        <w:t xml:space="preserve">.  Suriye’de İranlı General </w:t>
      </w:r>
      <w:proofErr w:type="spellStart"/>
      <w:r w:rsidRPr="0099100F">
        <w:t>Musavi’nin</w:t>
      </w:r>
      <w:proofErr w:type="spellEnd"/>
      <w:r w:rsidRPr="0099100F">
        <w:t xml:space="preserve"> öldürülmesi ve daha önce ABD tarafından öldürülen General Kasım </w:t>
      </w:r>
      <w:proofErr w:type="spellStart"/>
      <w:r w:rsidRPr="0099100F">
        <w:t>Süleymani’nin</w:t>
      </w:r>
      <w:proofErr w:type="spellEnd"/>
      <w:r w:rsidRPr="0099100F">
        <w:t xml:space="preserve"> anma töreninde yapılan saldırılarda özellikle vurgulanmalıdır. İsrail, müttefiki ABD’nin desteğiyle icra ettiği saldırılarla şiddet sarmalını daha geniş bir cepheye yayarak bütün Orta Doğu’da etkili olması için büyük çaba sarf etmiştir. </w:t>
      </w:r>
      <w:proofErr w:type="spellStart"/>
      <w:r w:rsidRPr="0099100F">
        <w:t>Aruri</w:t>
      </w:r>
      <w:proofErr w:type="spellEnd"/>
      <w:r w:rsidRPr="0099100F">
        <w:t xml:space="preserve"> suikastı Hamas’a yönelik çok önemli bir saldırıyken Hizbullah da kendi topraklarında böyle bir eylemin gerçekleştirilmesini intikam gerekçesi olarak değerlendirmiştir. İran’da artan şiddet karşısında tepkisiz kalmayacağını duyurmuştur. İsrail’in başlattığı şiddet sarmalı zaman sürecinde daha fazla yayılmıştır.</w:t>
      </w:r>
    </w:p>
    <w:p w14:paraId="0972A33D" w14:textId="77777777" w:rsidR="009C2F96" w:rsidRPr="0099100F" w:rsidRDefault="009C2F96" w:rsidP="009C2F96">
      <w:pPr>
        <w:jc w:val="both"/>
      </w:pPr>
    </w:p>
    <w:p w14:paraId="33E88119" w14:textId="77777777" w:rsidR="00B470AD" w:rsidRDefault="00B470AD" w:rsidP="009C2F96">
      <w:pPr>
        <w:jc w:val="both"/>
      </w:pPr>
      <w:r w:rsidRPr="0099100F">
        <w:t xml:space="preserve">Yemen’in belirli bölgelerine hâkim olan </w:t>
      </w:r>
      <w:proofErr w:type="spellStart"/>
      <w:r w:rsidRPr="0099100F">
        <w:t>Husiler</w:t>
      </w:r>
      <w:proofErr w:type="spellEnd"/>
      <w:r w:rsidRPr="0099100F">
        <w:t xml:space="preserve">, İsrail’in Gazze Şeridinde Hamas’a yönelik olarak başlatılan ancak sonrasında sivil katliamına dönüşen saldırılarına dair tepki olarak Aden Körfezi ve Kızıldeniz’de ticaret gemilerini hedef alan bir dizi eyleme girişmiştir. Dikkat çekici bir tepki gösterme eylemi olan bu girişimlerde otuzdan fazla ticaret gemisi hedef alınmıştır. </w:t>
      </w:r>
      <w:proofErr w:type="spellStart"/>
      <w:r w:rsidRPr="0099100F">
        <w:t>Husilerin</w:t>
      </w:r>
      <w:proofErr w:type="spellEnd"/>
      <w:r w:rsidRPr="0099100F">
        <w:t xml:space="preserve"> bu eylemlerine karşı Birleşmiş Milletler Güvenlik Konseyi tarafından 10 Ocak 2024 </w:t>
      </w:r>
      <w:r w:rsidRPr="0099100F">
        <w:lastRenderedPageBreak/>
        <w:t xml:space="preserve">tarihinde müdahale kararı çıkarılmıştır. Gazze’de devam eden insanlık dışı eylemlere yönelik tepki vermeyen ABD bu şiddetin durdurulması için eylemde bulunan </w:t>
      </w:r>
      <w:proofErr w:type="spellStart"/>
      <w:r w:rsidRPr="0099100F">
        <w:t>Husilere</w:t>
      </w:r>
      <w:proofErr w:type="spellEnd"/>
      <w:r w:rsidRPr="0099100F">
        <w:t xml:space="preserve"> karşı harekete geçmiş ve sert gücünü kullanmıştır. Birleşmiş Milletler Güvenlik Konseyi kararı ise yapılan müdahaleye meşruiyet sağlamıştır.     </w:t>
      </w:r>
    </w:p>
    <w:p w14:paraId="5CC438F3" w14:textId="77777777" w:rsidR="009C2F96" w:rsidRPr="0099100F" w:rsidRDefault="009C2F96" w:rsidP="009C2F96">
      <w:pPr>
        <w:jc w:val="both"/>
      </w:pPr>
    </w:p>
    <w:p w14:paraId="79AD64E9" w14:textId="77777777" w:rsidR="00B470AD" w:rsidRDefault="00B470AD" w:rsidP="009C2F96">
      <w:pPr>
        <w:jc w:val="both"/>
      </w:pPr>
      <w:r w:rsidRPr="0099100F">
        <w:t xml:space="preserve">ABD ve müttefiki İngiltere 12 Ocak 2024 tarihinde Yemen’in en önemli kentleri </w:t>
      </w:r>
      <w:proofErr w:type="gramStart"/>
      <w:r w:rsidRPr="0099100F">
        <w:t>Sana</w:t>
      </w:r>
      <w:proofErr w:type="gramEnd"/>
      <w:r w:rsidRPr="0099100F">
        <w:t xml:space="preserve">, </w:t>
      </w:r>
      <w:proofErr w:type="spellStart"/>
      <w:r w:rsidRPr="0099100F">
        <w:t>Taiz</w:t>
      </w:r>
      <w:proofErr w:type="spellEnd"/>
      <w:r w:rsidRPr="0099100F">
        <w:t xml:space="preserve">, </w:t>
      </w:r>
      <w:proofErr w:type="spellStart"/>
      <w:r w:rsidRPr="0099100F">
        <w:t>Hudeyde</w:t>
      </w:r>
      <w:proofErr w:type="spellEnd"/>
      <w:r w:rsidRPr="0099100F">
        <w:t xml:space="preserve">, </w:t>
      </w:r>
      <w:proofErr w:type="spellStart"/>
      <w:r w:rsidRPr="0099100F">
        <w:t>Zemar</w:t>
      </w:r>
      <w:proofErr w:type="spellEnd"/>
      <w:r w:rsidRPr="0099100F">
        <w:t xml:space="preserve"> ve </w:t>
      </w:r>
      <w:proofErr w:type="spellStart"/>
      <w:r w:rsidRPr="0099100F">
        <w:t>Sada’yı</w:t>
      </w:r>
      <w:proofErr w:type="spellEnd"/>
      <w:r w:rsidRPr="0099100F">
        <w:t xml:space="preserve"> savaş uçaklarıyla vurmuştur. Ancak bu saldırı Birleşmiş Milletler Güvenlik Konseyinden çıkan karara aykırıdır. Güvenlik Konseyinin kararı Kızıldeniz’deki seyir güvenliğinin sağlanmasına yönelik olmasına rağmen Yemen şehirleri keyfi olarak bombalanmıştır</w:t>
      </w:r>
      <w:r>
        <w:t xml:space="preserve"> </w:t>
      </w:r>
      <w:r>
        <w:fldChar w:fldCharType="begin"/>
      </w:r>
      <w:r>
        <w:instrText xml:space="preserve"> ADDIN EN.CITE &lt;EndNote&gt;&lt;Cite&gt;&lt;Author&gt;Baldor&lt;/Author&gt;&lt;Year&gt;2024&lt;/Year&gt;&lt;RecNum&gt;6476&lt;/RecNum&gt;&lt;DisplayText&gt;(Baldor &amp;amp; Copp, 2024)&lt;/DisplayText&gt;&lt;record&gt;&lt;rec-number&gt;6476&lt;/rec-number&gt;&lt;foreign-keys&gt;&lt;key app="EN" db-id="s9fzvtwr1fr258ew0pfv99vivz9e2fd5xxfs" timestamp="1705167816" guid="0f37846b-3020-4f4a-975a-948054be0444"&gt;6476&lt;/key&gt;&lt;/foreign-keys&gt;&lt;ref-type name="Web Page"&gt;12&lt;/ref-type&gt;&lt;contributors&gt;&lt;authors&gt;&lt;author&gt;Baldor, Lolita C.&lt;/author&gt;&lt;author&gt;Copp, Tara&lt;/author&gt;&lt;/authors&gt;&lt;/contributors&gt;&lt;titles&gt;&lt;title&gt;US, British Militaries Launch Massive Retaliatory Strike against Iranian-backed Houthis in Yemen&lt;/title&gt;&lt;/titles&gt;&lt;volume&gt;13.01.2024&lt;/volume&gt;&lt;dates&gt;&lt;year&gt;2024&lt;/year&gt;&lt;/dates&gt;&lt;publisher&gt;Associated Press&lt;/publisher&gt;&lt;urls&gt;&lt;related-urls&gt;&lt;url&gt;https://apnews.com/article/yemen-houthis-biden-retaliation-attacks-0804b93372cd5e874a0dd03513fe36a2&lt;/url&gt;&lt;/related-urls&gt;&lt;/urls&gt;&lt;/record&gt;&lt;/Cite&gt;&lt;/EndNote&gt;</w:instrText>
      </w:r>
      <w:r>
        <w:fldChar w:fldCharType="separate"/>
      </w:r>
      <w:r>
        <w:rPr>
          <w:noProof/>
        </w:rPr>
        <w:t>(Baldor &amp; Copp, 2024)</w:t>
      </w:r>
      <w:r>
        <w:fldChar w:fldCharType="end"/>
      </w:r>
      <w:r w:rsidRPr="0099100F">
        <w:t>. Yemen gibi egemen bir devlete saldırı düzenlenerek uluslararası hukuk çiğnenmiştir. Saldırıda askeri hedeflerin yanında üretim tesisleri de vurulmuştur. ABD Başkanı Joe Biden saldırı talimatını kendisinin verdiğini ve gerekirse daha fazla saldırının da gerçekleştirilebileceğini söylemiştir</w:t>
      </w:r>
      <w:r>
        <w:t xml:space="preserve"> </w:t>
      </w:r>
      <w:r>
        <w:fldChar w:fldCharType="begin"/>
      </w:r>
      <w:r>
        <w:instrText xml:space="preserve"> ADDIN EN.CITE &lt;EndNote&gt;&lt;Cite&gt;&lt;Author&gt;Haber&lt;/Author&gt;&lt;Year&gt;2024&lt;/Year&gt;&lt;RecNum&gt;6470&lt;/RecNum&gt;&lt;DisplayText&gt;(Haber, 2024)&lt;/DisplayText&gt;&lt;record&gt;&lt;rec-number&gt;6470&lt;/rec-number&gt;&lt;foreign-keys&gt;&lt;key app="EN" db-id="s9fzvtwr1fr258ew0pfv99vivz9e2fd5xxfs" timestamp="1705165432" guid="f852872d-4b77-46f1-82d1-91d0b92400d1"&gt;6470&lt;/key&gt;&lt;/foreign-keys&gt;&lt;ref-type name="Web Page"&gt;12&lt;/ref-type&gt;&lt;contributors&gt;&lt;authors&gt;&lt;author&gt;TRT Haber&lt;/author&gt;&lt;/authors&gt;&lt;/contributors&gt;&lt;titles&gt;&lt;title&gt;ABD ve İngiltere, Yemen&amp;apos;de Saldırı Başlattı&lt;/title&gt;&lt;/titles&gt;&lt;volume&gt;13.01.2024&lt;/volume&gt;&lt;dates&gt;&lt;year&gt;2024&lt;/year&gt;&lt;/dates&gt;&lt;publisher&gt;TRT&lt;/publisher&gt;&lt;urls&gt;&lt;related-urls&gt;&lt;url&gt;https://www.trthaber.com/haber/dunya/abd-ve-ingiltere-yemende-saldiri-baslatti-828356.html&lt;/url&gt;&lt;/related-urls&gt;&lt;/urls&gt;&lt;/record&gt;&lt;/Cite&gt;&lt;/EndNote&gt;</w:instrText>
      </w:r>
      <w:r>
        <w:fldChar w:fldCharType="separate"/>
      </w:r>
      <w:r>
        <w:rPr>
          <w:noProof/>
        </w:rPr>
        <w:t>(Haber, 2024)</w:t>
      </w:r>
      <w:r>
        <w:fldChar w:fldCharType="end"/>
      </w:r>
      <w:r w:rsidRPr="0099100F">
        <w:t xml:space="preserve">. </w:t>
      </w:r>
      <w:proofErr w:type="spellStart"/>
      <w:r w:rsidRPr="0099100F">
        <w:t>BMGK’da</w:t>
      </w:r>
      <w:proofErr w:type="spellEnd"/>
      <w:r w:rsidRPr="0099100F">
        <w:t xml:space="preserve"> alınan saldırı kararında çekimser kalan Rusya bu saldırıyı uluslararası hukuka aykırı olarak nitelendirirken İran kınamıştır.</w:t>
      </w:r>
    </w:p>
    <w:p w14:paraId="4BFA8895" w14:textId="77777777" w:rsidR="009C2F96" w:rsidRPr="0099100F" w:rsidRDefault="009C2F96" w:rsidP="009C2F96">
      <w:pPr>
        <w:jc w:val="both"/>
      </w:pPr>
    </w:p>
    <w:p w14:paraId="0C052DC4" w14:textId="77777777" w:rsidR="00B470AD" w:rsidRDefault="00B470AD" w:rsidP="009C2F96">
      <w:pPr>
        <w:jc w:val="both"/>
      </w:pPr>
      <w:proofErr w:type="spellStart"/>
      <w:r w:rsidRPr="0099100F">
        <w:t>Husiler</w:t>
      </w:r>
      <w:proofErr w:type="spellEnd"/>
      <w:r w:rsidRPr="0099100F">
        <w:t xml:space="preserve"> Gazze Şeridinde yaşanan insan hakları ihlallerine yönelik olarak uluslararası alanda daha fazla dikkat çekmek için </w:t>
      </w:r>
      <w:proofErr w:type="spellStart"/>
      <w:r w:rsidRPr="0099100F">
        <w:t>Bab’ül</w:t>
      </w:r>
      <w:proofErr w:type="spellEnd"/>
      <w:r w:rsidRPr="0099100F">
        <w:t xml:space="preserve"> </w:t>
      </w:r>
      <w:proofErr w:type="spellStart"/>
      <w:r w:rsidRPr="0099100F">
        <w:t>Mendep</w:t>
      </w:r>
      <w:proofErr w:type="spellEnd"/>
      <w:r w:rsidRPr="0099100F">
        <w:t xml:space="preserve"> Boğazından İsrail’e giden ticari gemilere el koymuştur</w:t>
      </w:r>
      <w:r>
        <w:t xml:space="preserve"> </w:t>
      </w:r>
      <w:r>
        <w:fldChar w:fldCharType="begin"/>
      </w:r>
      <w:r>
        <w:instrText xml:space="preserve"> ADDIN EN.CITE &lt;EndNote&gt;&lt;Cite&gt;&lt;Author&gt;Bland&lt;/Author&gt;&lt;Year&gt;2024&lt;/Year&gt;&lt;RecNum&gt;6467&lt;/RecNum&gt;&lt;DisplayText&gt;(Bland &amp;amp; McKernan, 2024)&lt;/DisplayText&gt;&lt;record&gt;&lt;rec-number&gt;6467&lt;/rec-number&gt;&lt;foreign-keys&gt;&lt;key app="EN" db-id="s9fzvtwr1fr258ew0pfv99vivz9e2fd5xxfs" timestamp="1705164013" guid="43f6e244-5199-4c7c-b066-1f46246bc69b"&gt;6467&lt;/key&gt;&lt;/foreign-keys&gt;&lt;ref-type name="Web Page"&gt;12&lt;/ref-type&gt;&lt;contributors&gt;&lt;authors&gt;&lt;author&gt;Bland, Archie&lt;/author&gt;&lt;author&gt;McKernan, Bethan&lt;/author&gt;&lt;/authors&gt;&lt;/contributors&gt;&lt;titles&gt;&lt;title&gt;Who are the Houthis and How did the US and UK Strikes on Yemen come about?&lt;/title&gt;&lt;/titles&gt;&lt;volume&gt;13.01.2024&lt;/volume&gt;&lt;dates&gt;&lt;year&gt;2024&lt;/year&gt;&lt;/dates&gt;&lt;publisher&gt;The Guardian&lt;/publisher&gt;&lt;urls&gt;&lt;related-urls&gt;&lt;url&gt;https://www.theguardian.com/world/2024/jan/12/yemen-houthi-rebels-who-are-they-what-attacking-us-uk-airstrikes-red-sea-crisis&lt;/url&gt;&lt;/related-urls&gt;&lt;/urls&gt;&lt;/record&gt;&lt;/Cite&gt;&lt;/EndNote&gt;</w:instrText>
      </w:r>
      <w:r>
        <w:fldChar w:fldCharType="separate"/>
      </w:r>
      <w:r>
        <w:rPr>
          <w:noProof/>
        </w:rPr>
        <w:t>(Bland &amp; McKernan, 2024)</w:t>
      </w:r>
      <w:r>
        <w:fldChar w:fldCharType="end"/>
      </w:r>
      <w:r w:rsidRPr="0099100F">
        <w:t>. İsrail ve müttefiki ABD’nin bu eylemden dolayı çıkarları olumsuz bir şekilde etkilenmiştir. Gazze’de yaşanan olaylardan dolayı Uluslararası Adalet Divanı ve Uluslararası Ceza Mahkemesi harekete geçmişken bunu dikkate almayan ABD ve İsrail bu katliama tepki gösteren Yemen’e saldırmıştır</w:t>
      </w:r>
      <w:r>
        <w:t xml:space="preserve"> </w:t>
      </w:r>
      <w:r>
        <w:fldChar w:fldCharType="begin"/>
      </w:r>
      <w:r>
        <w:instrText xml:space="preserve"> ADDIN EN.CITE &lt;EndNote&gt;&lt;Cite&gt;&lt;Author&gt;Emir&lt;/Author&gt;&lt;Year&gt;2023&lt;/Year&gt;&lt;RecNum&gt;6474&lt;/RecNum&gt;&lt;DisplayText&gt;(Emir, 2023d)&lt;/DisplayText&gt;&lt;record&gt;&lt;rec-number&gt;6474&lt;/rec-number&gt;&lt;foreign-keys&gt;&lt;key app="EN" db-id="s9fzvtwr1fr258ew0pfv99vivz9e2fd5xxfs" timestamp="1705166409" guid="981e6bda-2bb1-47ea-a904-eb57bbe83839"&gt;6474&lt;/key&gt;&lt;/foreign-keys&gt;&lt;ref-type name="Web Page"&gt;12&lt;/ref-type&gt;&lt;contributors&gt;&lt;authors&gt;&lt;author&gt;Emir, Mehmet&lt;/author&gt;&lt;/authors&gt;&lt;/contributors&gt;&lt;titles&gt;&lt;title&gt;İsrail&amp;apos;in Gazze Operasyonu Bağlamında Değerlendirmeler&lt;/title&gt;&lt;/titles&gt;&lt;volume&gt;13.01.2024&lt;/volume&gt;&lt;dates&gt;&lt;year&gt;2023&lt;/year&gt;&lt;/dates&gt;&lt;publisher&gt;Uluslararası Politika Akademisi&lt;/publisher&gt;&lt;urls&gt;&lt;related-urls&gt;&lt;url&gt;http://politikaakademisi.org/2023/12/13/israilin-gazze-operasyonu-baglaminda-degerlendirmeler/&lt;/url&gt;&lt;/related-urls&gt;&lt;/urls&gt;&lt;/record&gt;&lt;/Cite&gt;&lt;/EndNote&gt;</w:instrText>
      </w:r>
      <w:r>
        <w:fldChar w:fldCharType="separate"/>
      </w:r>
      <w:r>
        <w:rPr>
          <w:noProof/>
        </w:rPr>
        <w:t>(Emir, 2023d)</w:t>
      </w:r>
      <w:r>
        <w:fldChar w:fldCharType="end"/>
      </w:r>
      <w:r w:rsidRPr="0099100F">
        <w:t xml:space="preserve">. Ekonomik çıkarları için askerî harekât düzenleyen müttefikler insan hakları ihlallerini durdurmak için herhangi bir girişimde bulunmamışlardır. Düzenlenen operasyon </w:t>
      </w:r>
      <w:proofErr w:type="spellStart"/>
      <w:r w:rsidRPr="0099100F">
        <w:t>Husileri</w:t>
      </w:r>
      <w:proofErr w:type="spellEnd"/>
      <w:r w:rsidRPr="0099100F">
        <w:t xml:space="preserve"> yıldırmaya ve zayıflatmaya yönelik olsa da bu aktör eylemlerinden vazgeçmemiştir. Sistematik bir şekilde Orta Doğu’da gerilimi tırmandıran İsrail’in bu şiddet içeren politikasına rağmen ABD tarafından destekleniyor olması aynı doğrultuda hareket ettiklerini göstermektedir. Orta Doğu’ya barış ve medeniyet getireceği söylemiyle hareket eden ABD’nin eylemselliği karşısında niyeti ve hareketi arasında bir uyum olmadan operasyonları icra etmiştir. Nitekim ABD’den destek alan İsrail 21 Temmuz 2024 tarihinde </w:t>
      </w:r>
      <w:proofErr w:type="spellStart"/>
      <w:r w:rsidRPr="0099100F">
        <w:t>Hudeyde</w:t>
      </w:r>
      <w:proofErr w:type="spellEnd"/>
      <w:r w:rsidRPr="0099100F">
        <w:t xml:space="preserve"> Limanını vurmuştur. İsrail Savunma Bakanı </w:t>
      </w:r>
      <w:proofErr w:type="spellStart"/>
      <w:r w:rsidRPr="0099100F">
        <w:t>Yoav</w:t>
      </w:r>
      <w:proofErr w:type="spellEnd"/>
      <w:r w:rsidRPr="0099100F">
        <w:t xml:space="preserve"> </w:t>
      </w:r>
      <w:proofErr w:type="spellStart"/>
      <w:r w:rsidRPr="0099100F">
        <w:t>Gallant’ın</w:t>
      </w:r>
      <w:proofErr w:type="spellEnd"/>
      <w:r w:rsidRPr="0099100F">
        <w:t xml:space="preserve"> saldırıyı değerlendirmesi aslında her şeyi özetlemektedir: “</w:t>
      </w:r>
      <w:proofErr w:type="spellStart"/>
      <w:r w:rsidRPr="0099100F">
        <w:rPr>
          <w:i/>
          <w:iCs/>
        </w:rPr>
        <w:t>Hudeyde’de</w:t>
      </w:r>
      <w:proofErr w:type="spellEnd"/>
      <w:r w:rsidRPr="0099100F">
        <w:rPr>
          <w:i/>
          <w:iCs/>
        </w:rPr>
        <w:t xml:space="preserve"> şu an devam eden bir yangın var, bütün Orta Doğu’dan görülebiliyor ve vermek istediği mesaj çok açık</w:t>
      </w:r>
      <w:r w:rsidRPr="0099100F">
        <w:t>”</w:t>
      </w:r>
      <w:r>
        <w:t xml:space="preserve"> </w:t>
      </w:r>
      <w:r>
        <w:fldChar w:fldCharType="begin"/>
      </w:r>
      <w:r>
        <w:instrText xml:space="preserve"> ADDIN EN.CITE &lt;EndNote&gt;&lt;Cite&gt;&lt;Author&gt;BBC&lt;/Author&gt;&lt;Year&gt;2024&lt;/Year&gt;&lt;RecNum&gt;6804&lt;/RecNum&gt;&lt;DisplayText&gt;(BBC, 2024)&lt;/DisplayText&gt;&lt;record&gt;&lt;rec-number&gt;6804&lt;/rec-number&gt;&lt;foreign-keys&gt;&lt;key app="EN" db-id="s9fzvtwr1fr258ew0pfv99vivz9e2fd5xxfs" timestamp="1722891721" guid="63ad1782-ace8-4f97-8b5e-f264913c0c55"&gt;6804&lt;/key&gt;&lt;/foreign-keys&gt;&lt;ref-type name="Web Page"&gt;12&lt;/ref-type&gt;&lt;contributors&gt;&lt;authors&gt;&lt;author&gt;BBC&lt;/author&gt;&lt;/authors&gt;&lt;/contributors&gt;&lt;titles&gt;&lt;title&gt;İsrail, Husilerin Kontrolündeki Hudeyde Limanı Vurdu&lt;/title&gt;&lt;/titles&gt;&lt;volume&gt;06.08.2024&lt;/volume&gt;&lt;dates&gt;&lt;year&gt;2024&lt;/year&gt;&lt;/dates&gt;&lt;publisher&gt;BBC&lt;/publisher&gt;&lt;urls&gt;&lt;related-urls&gt;&lt;url&gt;https://www.bbc.com/turkce/articles/cv2gj7dw7lyo&lt;/url&gt;&lt;/related-urls&gt;&lt;/urls&gt;&lt;/record&gt;&lt;/Cite&gt;&lt;/EndNote&gt;</w:instrText>
      </w:r>
      <w:r>
        <w:fldChar w:fldCharType="separate"/>
      </w:r>
      <w:r>
        <w:rPr>
          <w:noProof/>
        </w:rPr>
        <w:t>(BBC, 2024)</w:t>
      </w:r>
      <w:r>
        <w:fldChar w:fldCharType="end"/>
      </w:r>
      <w:r w:rsidRPr="0099100F">
        <w:t>.</w:t>
      </w:r>
    </w:p>
    <w:p w14:paraId="44A4A9B3" w14:textId="77777777" w:rsidR="009C2F96" w:rsidRDefault="009C2F96" w:rsidP="009C2F96">
      <w:pPr>
        <w:jc w:val="both"/>
      </w:pPr>
    </w:p>
    <w:p w14:paraId="3DB97A11" w14:textId="77777777" w:rsidR="00B470AD" w:rsidRDefault="00B470AD" w:rsidP="009C2F96">
      <w:pPr>
        <w:jc w:val="both"/>
      </w:pPr>
      <w:r>
        <w:t xml:space="preserve">Günümüzde İsrail’in bireysel seviyede önemli aktörler olan İsmail Haniye ve Hasan </w:t>
      </w:r>
      <w:proofErr w:type="spellStart"/>
      <w:r>
        <w:t>Nasrallah</w:t>
      </w:r>
      <w:proofErr w:type="spellEnd"/>
      <w:r>
        <w:t xml:space="preserve"> suikastları dikkat çekmiştir. Hamas, Hizbullah, Suriye ve İran’a karşı önemli başarılar kazanan İsrail’in gelecek politika vizyonu ABD Başkanı Donald Trump sayesinde daha fazla ağırlık kazanacaktır. ABD Başkanı Trump tarafından İsrail politikaları güçlü bir şekilde desteklenmektedir </w:t>
      </w:r>
      <w:r>
        <w:fldChar w:fldCharType="begin">
          <w:fldData xml:space="preserve">PEVuZE5vdGU+PENpdGU+PEF1dGhvcj5LbmVsbDwvQXV0aG9yPjxZZWFyPjIwMjU8L1llYXI+PFJl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==
</w:fldData>
        </w:fldChar>
      </w:r>
      <w:r>
        <w:instrText xml:space="preserve"> ADDIN EN.CITE </w:instrText>
      </w:r>
      <w:r>
        <w:fldChar w:fldCharType="begin">
          <w:fldData xml:space="preserve">PEVuZE5vdGU+PENpdGU+PEF1dGhvcj5LbmVsbDwvQXV0aG9yPjxZZWFyPjIwMjU8L1llYXI+PFJl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==
</w:fldData>
        </w:fldChar>
      </w:r>
      <w:r>
        <w:instrText xml:space="preserve"> ADDIN EN.CITE.DATA </w:instrText>
      </w:r>
      <w:r>
        <w:fldChar w:fldCharType="end"/>
      </w:r>
      <w:r>
        <w:fldChar w:fldCharType="separate"/>
      </w:r>
      <w:r>
        <w:rPr>
          <w:noProof/>
        </w:rPr>
        <w:t>(Knell, 2025)</w:t>
      </w:r>
      <w:r>
        <w:fldChar w:fldCharType="end"/>
      </w:r>
      <w:r>
        <w:t>. İsrail’in dini motivasyonu ve müttefiklik ilişkisinin Orta Doğu politikalarındaki etkisi sürmektedir.</w:t>
      </w:r>
    </w:p>
    <w:p w14:paraId="5C2B2AD1" w14:textId="77777777" w:rsidR="00587C60" w:rsidRPr="0099100F" w:rsidRDefault="00587C60" w:rsidP="009C2F96">
      <w:pPr>
        <w:jc w:val="both"/>
      </w:pPr>
    </w:p>
    <w:p w14:paraId="0F8CAB0E" w14:textId="77777777" w:rsidR="00B470AD" w:rsidRPr="0099100F" w:rsidRDefault="00B470AD" w:rsidP="009C2F96">
      <w:pPr>
        <w:jc w:val="both"/>
        <w:rPr>
          <w:b/>
          <w:bCs/>
        </w:rPr>
      </w:pPr>
      <w:r w:rsidRPr="0099100F">
        <w:rPr>
          <w:b/>
          <w:bCs/>
        </w:rPr>
        <w:t>SONUÇ</w:t>
      </w:r>
    </w:p>
    <w:p w14:paraId="228AF980" w14:textId="77777777" w:rsidR="00B470AD" w:rsidRDefault="00B470AD" w:rsidP="009C2F96">
      <w:pPr>
        <w:jc w:val="both"/>
      </w:pPr>
      <w:r w:rsidRPr="0099100F">
        <w:t xml:space="preserve">İsrail Başbakanı Benjamin </w:t>
      </w:r>
      <w:proofErr w:type="spellStart"/>
      <w:r w:rsidRPr="0099100F">
        <w:t>Netanyahu’nun</w:t>
      </w:r>
      <w:proofErr w:type="spellEnd"/>
      <w:r w:rsidRPr="0099100F">
        <w:t xml:space="preserve"> “</w:t>
      </w:r>
      <w:proofErr w:type="spellStart"/>
      <w:r w:rsidRPr="0099100F">
        <w:t>Yeşeya</w:t>
      </w:r>
      <w:proofErr w:type="spellEnd"/>
      <w:r w:rsidRPr="0099100F">
        <w:t xml:space="preserve"> kehanetlerini gerçekleştireceğiz” söylemiyle başlayan askeri harekatın özünü dini motivasyon sağlamıştır. Bu nedenle son eylemlerde </w:t>
      </w:r>
      <w:proofErr w:type="spellStart"/>
      <w:r w:rsidRPr="0099100F">
        <w:t>Teopolitik</w:t>
      </w:r>
      <w:proofErr w:type="spellEnd"/>
      <w:r w:rsidRPr="0099100F">
        <w:t xml:space="preserve"> yaklaşımın ne kadar etkili olduğu ortaya çıkmıştır. İsrail’in bu eylemleri uluslararası hukuka uygun olmamasına rağmen ABD, İngiltere ve bazı Avrupa Birliği üyesi devletler gibi müttefikleri tarafından olumsuz karşılanmamıştır. Hamas ile mücadele, Lübnan </w:t>
      </w:r>
      <w:r w:rsidRPr="0099100F">
        <w:lastRenderedPageBreak/>
        <w:t xml:space="preserve">ve Suriye’deki eylemler bağlamında müttefiklerinden güçlü bir destek görmüştür. Gazze Şeridinde yaşanan sivil kayıplara karşı bir tepki olarak </w:t>
      </w:r>
      <w:proofErr w:type="spellStart"/>
      <w:r w:rsidRPr="0099100F">
        <w:t>Bab’ül</w:t>
      </w:r>
      <w:proofErr w:type="spellEnd"/>
      <w:r w:rsidRPr="0099100F">
        <w:t xml:space="preserve"> </w:t>
      </w:r>
      <w:proofErr w:type="spellStart"/>
      <w:r w:rsidRPr="0099100F">
        <w:t>Mendep</w:t>
      </w:r>
      <w:proofErr w:type="spellEnd"/>
      <w:r w:rsidRPr="0099100F">
        <w:t xml:space="preserve"> Boğazında İsrail’e giden ticari gemilere el koyan </w:t>
      </w:r>
      <w:proofErr w:type="spellStart"/>
      <w:r w:rsidRPr="0099100F">
        <w:t>Husilere</w:t>
      </w:r>
      <w:proofErr w:type="spellEnd"/>
      <w:r w:rsidRPr="0099100F">
        <w:t xml:space="preserve"> yönelik büyük bir koalisyon gücüyle askeri operasyon düzenlenmiştir. Gazze Şeridinde yaşanan olaylara karşı tepkisiz kalan İsrail’in müttefikleri ekonomik çıkarları söz konusu olduğunda derhal harekete geçmişlerdir. Bu hamleler karşısında uluslararası insan hakları hukuku ve devletler hukukunun işlerliği yönünden birtakım kuşkular doğmuştur. Gerek Gazze Şeridinde gerekse de Lübnan ve Suriye’de icra edilen operasyonlarda sivil kayıplar ve egemen devletlere yönelik icra edilen operasyonlar büyük güçlerin uluslararası hukuka riayetleri yönünden önemli bir delil olmuştur.</w:t>
      </w:r>
    </w:p>
    <w:p w14:paraId="67A0952A" w14:textId="77777777" w:rsidR="009C2F96" w:rsidRPr="0099100F" w:rsidRDefault="009C2F96" w:rsidP="009C2F96">
      <w:pPr>
        <w:jc w:val="both"/>
      </w:pPr>
    </w:p>
    <w:p w14:paraId="48926CEE" w14:textId="77777777" w:rsidR="00B470AD" w:rsidRDefault="00B470AD" w:rsidP="009C2F96">
      <w:pPr>
        <w:jc w:val="both"/>
      </w:pPr>
      <w:r w:rsidRPr="0099100F">
        <w:t xml:space="preserve">İsrail tarafından icra edilen operasyonlara yönelik oluşan sivil kayıplar karşısında Hamas ile olan savaşın durdurulması için Birleşmiş Milletler Güvenlik Konseyine sunulan karar tasarıları ABD tarafından </w:t>
      </w:r>
      <w:proofErr w:type="gramStart"/>
      <w:r w:rsidRPr="0099100F">
        <w:t>veto edilmiştir</w:t>
      </w:r>
      <w:proofErr w:type="gramEnd"/>
      <w:r w:rsidRPr="0099100F">
        <w:t xml:space="preserve">. Yaşanan sivil kayıplara rağmen savaşın durmasını </w:t>
      </w:r>
      <w:proofErr w:type="gramStart"/>
      <w:r w:rsidRPr="0099100F">
        <w:t>veto eden</w:t>
      </w:r>
      <w:proofErr w:type="gramEnd"/>
      <w:r w:rsidRPr="0099100F">
        <w:t xml:space="preserve"> ABD’nin her şart altında müttefiklik ilişkisini sürdürdüğü görülmüştür. Bu çıkar ilişkisinin devamı için çok önemli bir uluslararası örgüt olan Birleşmiş Milletler Güvenlik Konseyinden bağlayıcı uygulanmasının zorunlu olduğu kararların çıkması engellenmiştir. İsrail açısından çok elverişli bir alan sağlayan bu destek cezasızlık halini almıştır. Bu sayede Lübnan ve Suriye’de de askeri harekatlar gerçekleştirilmiştir. Ancak Güney Afrika Cumhuriyeti tarafından İsrail’in askerî harekâtından işlediği suçlara yönelik Uluslararası Adalet Divanına başvuruda bulunulmuştur. Uluslararası Adalet Divanı tarafından kabul edilen davanın duruşmaları halen devam etmektedir. İsrail’in askeri operasyonlarına yönelik olarak ilk defa uluslararası bir mahkemede eylemlerinin cezai olarak incelenmesi önemli bir dönüm noktasıdır. Her ne kadar bu yargılama caydırıcılık yönünle şimdilik büyük bir etkisi olmasa da gelecekte daha etkili hamleler için önemli bir başlangıç olarak kabul edilmelidir.</w:t>
      </w:r>
    </w:p>
    <w:p w14:paraId="6344C8F4" w14:textId="77777777" w:rsidR="009C2F96" w:rsidRPr="0099100F" w:rsidRDefault="009C2F96" w:rsidP="009C2F96">
      <w:pPr>
        <w:jc w:val="both"/>
      </w:pPr>
    </w:p>
    <w:p w14:paraId="3469C09A" w14:textId="77777777" w:rsidR="00B470AD" w:rsidRDefault="00B470AD" w:rsidP="009C2F96">
      <w:pPr>
        <w:jc w:val="both"/>
      </w:pPr>
      <w:r w:rsidRPr="0099100F">
        <w:t xml:space="preserve">Sonuç olarak İsrail açısından dini motifli bir askerî harekât başlatılmıştır. Harekatta istenen sonuçlara etkili bir şekilde ulaşılamamıştır. Operasyonlar esnasından çok sayıda sivil kaybın görülmesi dünya kamuoyunda büyük tepkilerle karşılanmıştır. Buna rağmen İsrail’in müttefikleriyle ilişkilerinde bir değişim görülmemiştir. Müttefiklik ilişkileri sayesinde İsrail’e yönelik olarak Birleşmiş Milletler Güvenlik Konseyi tarafından engelleyici bir yaptırım kararı alınamamıştır. İlk defa cezasızlık hali olarak devam eylemlerine karşı uluslararası bir düzlemde İsrail’e karşı dava açılmıştır. Gazze Şeridinde Hamas’a yönelik olarak başlatılan askerî harekât daha geniş bir çerçevede devam etmiştir. Lübnan’da Hizbullah, Yemen’de </w:t>
      </w:r>
      <w:proofErr w:type="spellStart"/>
      <w:r w:rsidRPr="0099100F">
        <w:t>Husiler</w:t>
      </w:r>
      <w:proofErr w:type="spellEnd"/>
      <w:r w:rsidRPr="0099100F">
        <w:t xml:space="preserve"> ve bilhassa İran rejimine karşı zorlu bir politik, ekonomik ve askeri bir eylemler serisi sürdürülm</w:t>
      </w:r>
      <w:r>
        <w:t>üştür</w:t>
      </w:r>
      <w:r w:rsidRPr="0099100F">
        <w:t>.  Orta Doğu coğrafyasında aktörlerin güç mücadelesi</w:t>
      </w:r>
      <w:r>
        <w:t xml:space="preserve"> devam etmektedir</w:t>
      </w:r>
      <w:r w:rsidRPr="0099100F">
        <w:t>.</w:t>
      </w:r>
    </w:p>
    <w:p w14:paraId="44327670" w14:textId="77777777" w:rsidR="009C2F96" w:rsidRPr="0099100F" w:rsidRDefault="009C2F96" w:rsidP="009C2F96">
      <w:pPr>
        <w:jc w:val="both"/>
      </w:pPr>
    </w:p>
    <w:p w14:paraId="580E9B20" w14:textId="77777777" w:rsidR="00B470AD" w:rsidRDefault="00B470AD" w:rsidP="009C2F96">
      <w:pPr>
        <w:jc w:val="both"/>
      </w:pPr>
      <w:r w:rsidRPr="0099100F">
        <w:t>İsrail bütün gelişmelerden en kazançlı çıkan aktördür. ABD ve onun yanında İngiltere ve Avrupa Birliğinin desteğini alarak güç potansiyelini katlamaktadır. Bu destek sayesinde bölgede sürekli askeri harekatlar düzenleyerek Vadedilmiş Topraklar ülküsüne ulaşmaya çalışmaktadır.</w:t>
      </w:r>
    </w:p>
    <w:p w14:paraId="1DF3220C" w14:textId="77777777" w:rsidR="00587C60" w:rsidRPr="0099100F" w:rsidRDefault="00587C60" w:rsidP="009C2F96">
      <w:pPr>
        <w:jc w:val="both"/>
      </w:pPr>
    </w:p>
    <w:p w14:paraId="436209E5" w14:textId="77777777" w:rsidR="00B470AD" w:rsidRPr="000A35F1" w:rsidRDefault="00B470AD" w:rsidP="009C2F96">
      <w:pPr>
        <w:jc w:val="both"/>
        <w:rPr>
          <w:b/>
          <w:bCs/>
        </w:rPr>
      </w:pPr>
      <w:r w:rsidRPr="000A35F1">
        <w:rPr>
          <w:b/>
          <w:bCs/>
        </w:rPr>
        <w:t>KAYNAKÇA</w:t>
      </w:r>
    </w:p>
    <w:p w14:paraId="232265EB"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fldChar w:fldCharType="begin"/>
      </w:r>
      <w:r w:rsidRPr="00587C60">
        <w:rPr>
          <w:rFonts w:ascii="Times New Roman" w:hAnsi="Times New Roman" w:cs="Times New Roman"/>
          <w:sz w:val="24"/>
          <w:szCs w:val="24"/>
        </w:rPr>
        <w:instrText xml:space="preserve"> ADDIN EN.REFLIST </w:instrText>
      </w:r>
      <w:r w:rsidRPr="00587C60">
        <w:rPr>
          <w:rFonts w:ascii="Times New Roman" w:hAnsi="Times New Roman" w:cs="Times New Roman"/>
          <w:sz w:val="24"/>
          <w:szCs w:val="24"/>
        </w:rPr>
        <w:fldChar w:fldCharType="separate"/>
      </w:r>
      <w:r w:rsidRPr="00587C60">
        <w:rPr>
          <w:rFonts w:ascii="Times New Roman" w:hAnsi="Times New Roman" w:cs="Times New Roman"/>
          <w:sz w:val="24"/>
          <w:szCs w:val="24"/>
        </w:rPr>
        <w:t xml:space="preserve">Baldor, Lolita C., &amp; Copp, Tara. (2024). US, British Militaries Launch Massive Retaliatory Strike against Iranian-backed Houthis in Yemen. Retrieved from </w:t>
      </w:r>
      <w:hyperlink r:id="rId62" w:history="1">
        <w:r w:rsidRPr="00587C60">
          <w:rPr>
            <w:rStyle w:val="Kpr"/>
            <w:rFonts w:ascii="Times New Roman" w:hAnsi="Times New Roman" w:cs="Times New Roman"/>
            <w:sz w:val="24"/>
            <w:szCs w:val="24"/>
          </w:rPr>
          <w:t>https://apnews.com/article/yemen-houthis-biden-retaliation-attacks-0804b93372cd5e874a0dd03513fe36a2</w:t>
        </w:r>
      </w:hyperlink>
    </w:p>
    <w:p w14:paraId="79ACA609"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lastRenderedPageBreak/>
        <w:t xml:space="preserve">BBC. (2024). İsrail, Husilerin Kontrolündeki Hudeyde Limanı Vurdu. Retrieved from </w:t>
      </w:r>
      <w:hyperlink r:id="rId63" w:history="1">
        <w:r w:rsidRPr="00587C60">
          <w:rPr>
            <w:rStyle w:val="Kpr"/>
            <w:rFonts w:ascii="Times New Roman" w:hAnsi="Times New Roman" w:cs="Times New Roman"/>
            <w:sz w:val="24"/>
            <w:szCs w:val="24"/>
          </w:rPr>
          <w:t>https://www.bbc.com/turkce/articles/cv2gj7dw7lyo</w:t>
        </w:r>
      </w:hyperlink>
    </w:p>
    <w:p w14:paraId="6F6A93EA"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Bland, Archie, &amp; McKernan, Bethan. (2024). Who are the Houthis and How did the US and UK Strikes on Yemen come about? Retrieved from </w:t>
      </w:r>
      <w:hyperlink r:id="rId64" w:history="1">
        <w:r w:rsidRPr="00587C60">
          <w:rPr>
            <w:rStyle w:val="Kpr"/>
            <w:rFonts w:ascii="Times New Roman" w:hAnsi="Times New Roman" w:cs="Times New Roman"/>
            <w:sz w:val="24"/>
            <w:szCs w:val="24"/>
          </w:rPr>
          <w:t>https://www.theguardian.com/world/2024/jan/12/yemen-houthi-rebels-who-are-they-what-attacking-us-uk-airstrikes-red-sea-crisis</w:t>
        </w:r>
      </w:hyperlink>
    </w:p>
    <w:p w14:paraId="66B96062"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Bowman, Tom. (2024). U.S. and U.K. Strike Houthi Targets in Yemen. Retrieved from </w:t>
      </w:r>
      <w:hyperlink r:id="rId65" w:history="1">
        <w:r w:rsidRPr="00587C60">
          <w:rPr>
            <w:rStyle w:val="Kpr"/>
            <w:rFonts w:ascii="Times New Roman" w:hAnsi="Times New Roman" w:cs="Times New Roman"/>
            <w:sz w:val="24"/>
            <w:szCs w:val="24"/>
          </w:rPr>
          <w:t>https://www.npr.org/2024/01/11/1223238786/us-strikes-houthis-yemen</w:t>
        </w:r>
      </w:hyperlink>
    </w:p>
    <w:p w14:paraId="70B36A7D"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Demirci, Kürşat. (2013). VII. Yahudilik ve Diğer Dinler. Retrieved from </w:t>
      </w:r>
      <w:hyperlink r:id="rId66" w:history="1">
        <w:r w:rsidRPr="00587C60">
          <w:rPr>
            <w:rStyle w:val="Kpr"/>
            <w:rFonts w:ascii="Times New Roman" w:hAnsi="Times New Roman" w:cs="Times New Roman"/>
            <w:sz w:val="24"/>
            <w:szCs w:val="24"/>
          </w:rPr>
          <w:t>https://islamansiklopedisi.org.tr/yahudilik</w:t>
        </w:r>
      </w:hyperlink>
    </w:p>
    <w:p w14:paraId="2E0923EA"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Demirci, Zuhal. (2023). İngiltere, İsrail'e İstihbarat Sağlamak için Gazze Üzerinde Gözetleme Uçuşları Yapacağını Duyurdu. Retrieved from </w:t>
      </w:r>
      <w:hyperlink r:id="rId67" w:history="1">
        <w:r w:rsidRPr="00587C60">
          <w:rPr>
            <w:rStyle w:val="Kpr"/>
            <w:rFonts w:ascii="Times New Roman" w:hAnsi="Times New Roman" w:cs="Times New Roman"/>
            <w:sz w:val="24"/>
            <w:szCs w:val="24"/>
          </w:rPr>
          <w:t>https://www.aa.com.tr/tr/dunya/ingiltere-israile-istihbarat-saglamak-icin-gazze-uzerinde-gozetleme-ucuslari-yapacagini-duyurdu/3071553</w:t>
        </w:r>
      </w:hyperlink>
    </w:p>
    <w:p w14:paraId="2FB38E11"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(2023a). ABD'nin Askeri Güç Projeksiyonunun Değerlendirilmesi. Retrieved from </w:t>
      </w:r>
      <w:hyperlink r:id="rId68" w:history="1">
        <w:r w:rsidRPr="00587C60">
          <w:rPr>
            <w:rStyle w:val="Kpr"/>
            <w:rFonts w:ascii="Times New Roman" w:hAnsi="Times New Roman" w:cs="Times New Roman"/>
            <w:sz w:val="24"/>
            <w:szCs w:val="24"/>
          </w:rPr>
          <w:t>http://politikaakademisi.org/2023/12/02/abdnin-askeri-guc-projeksiyonunun-degerlendirilmesi/</w:t>
        </w:r>
      </w:hyperlink>
    </w:p>
    <w:p w14:paraId="165DF5A6"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(2023b). </w:t>
      </w:r>
      <w:r w:rsidRPr="00587C60">
        <w:rPr>
          <w:rFonts w:ascii="Times New Roman" w:hAnsi="Times New Roman" w:cs="Times New Roman"/>
          <w:i/>
          <w:sz w:val="24"/>
          <w:szCs w:val="24"/>
        </w:rPr>
        <w:t>Avrupa Birliği'nin Gelişen Libya Politikası: Göç ve Güvenlik</w:t>
      </w:r>
      <w:r w:rsidRPr="00587C60">
        <w:rPr>
          <w:rFonts w:ascii="Times New Roman" w:hAnsi="Times New Roman" w:cs="Times New Roman"/>
          <w:sz w:val="24"/>
          <w:szCs w:val="24"/>
        </w:rPr>
        <w:t>. Ankara: Nobel Akademik Yayıncılık.</w:t>
      </w:r>
    </w:p>
    <w:p w14:paraId="2DA5A21E"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(2023c). Avrupa ve Düzensiz Göç. In Cengiz Dinç (Ed.), </w:t>
      </w:r>
      <w:r w:rsidRPr="00587C60">
        <w:rPr>
          <w:rFonts w:ascii="Times New Roman" w:hAnsi="Times New Roman" w:cs="Times New Roman"/>
          <w:i/>
          <w:sz w:val="24"/>
          <w:szCs w:val="24"/>
        </w:rPr>
        <w:t>Avrupa 2023 Siyaset, Güvenlik, Göç, Terör ve Dış İlişkiler</w:t>
      </w:r>
      <w:r w:rsidRPr="00587C60">
        <w:rPr>
          <w:rFonts w:ascii="Times New Roman" w:hAnsi="Times New Roman" w:cs="Times New Roman"/>
          <w:sz w:val="24"/>
          <w:szCs w:val="24"/>
        </w:rPr>
        <w:t xml:space="preserve"> (ss. 55-75). Ankara: Nobel Akademik Yayıncılık.</w:t>
      </w:r>
    </w:p>
    <w:p w14:paraId="4649374F"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(2023d). İsrail'in Gazze Operasyonu Bağlamında Değerlendirmeler. Retrieved from </w:t>
      </w:r>
      <w:hyperlink r:id="rId69" w:history="1">
        <w:r w:rsidRPr="00587C60">
          <w:rPr>
            <w:rStyle w:val="Kpr"/>
            <w:rFonts w:ascii="Times New Roman" w:hAnsi="Times New Roman" w:cs="Times New Roman"/>
            <w:sz w:val="24"/>
            <w:szCs w:val="24"/>
          </w:rPr>
          <w:t>http://politikaakademisi.org/2023/12/13/israilin-gazze-operasyonu-baglaminda-degerlendirmeler/</w:t>
        </w:r>
      </w:hyperlink>
    </w:p>
    <w:p w14:paraId="01DBA672"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(2024a). ABD ve İngiltere'nin Yemen Saldırısının Değerlendirilmesi. Retrieved from </w:t>
      </w:r>
      <w:hyperlink r:id="rId70" w:history="1">
        <w:r w:rsidRPr="00587C60">
          <w:rPr>
            <w:rStyle w:val="Kpr"/>
            <w:rFonts w:ascii="Times New Roman" w:hAnsi="Times New Roman" w:cs="Times New Roman"/>
            <w:sz w:val="24"/>
            <w:szCs w:val="24"/>
          </w:rPr>
          <w:t>http://politikaakademisi.org/2024/01/14/abd-ve-ingilterenin-yemen-saldirisinin-degerlendirilmesi/</w:t>
        </w:r>
      </w:hyperlink>
    </w:p>
    <w:p w14:paraId="628D2799"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Emir, Mehmet. (2024b). Lübnan ve İran'a Yönelik Saldırılar Hakkında Değerlendirmeler. Retrieved from </w:t>
      </w:r>
      <w:hyperlink r:id="rId71" w:history="1">
        <w:r w:rsidRPr="00587C60">
          <w:rPr>
            <w:rStyle w:val="Kpr"/>
            <w:rFonts w:ascii="Times New Roman" w:hAnsi="Times New Roman" w:cs="Times New Roman"/>
            <w:sz w:val="24"/>
            <w:szCs w:val="24"/>
          </w:rPr>
          <w:t>http://politikaakademisi.org/2024/01/05/lubnan-ve-irana-yonelik-saldirilar-hakkinda-degerlendirmeler/</w:t>
        </w:r>
      </w:hyperlink>
    </w:p>
    <w:p w14:paraId="5C34FDA9"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Euronews. (2023). İran Devrim Muhafızları Ordusu Üyesi General Musavi Şam Yakınlarında İsrail Saldırısında Öldürüldü. Retrieved from </w:t>
      </w:r>
      <w:hyperlink r:id="rId72" w:anchor=":~:text=%C4%B0ran%20Devrim%20Muhaf%C4%B1zlar%C4%B1%20Ordusu'ndan%20General%20Razi%20Musavi%2C%20Suriye',son%20dakika%20geli%C5%9Fmesi'%20olarak%20duyuruldu" w:history="1">
        <w:r w:rsidRPr="00587C60">
          <w:rPr>
            <w:rStyle w:val="Kpr"/>
            <w:rFonts w:ascii="Times New Roman" w:hAnsi="Times New Roman" w:cs="Times New Roman"/>
            <w:sz w:val="24"/>
            <w:szCs w:val="24"/>
          </w:rPr>
          <w:t>https://tr.euronews.com/2023/12/25/iran-devrim-muhafizari-ordusu-uyesi-general-musavi-sam-yakinlarinda-israil-saldirisinda-ol#:~:text=%C4%B0ran%20Devrim%20Muhaf%C4%B1zlar%C4%B1%20Ordusu'ndan%20General%20Razi%20Musavi%2C%20Suriye',son%20dakika%20geli%C5%9Fmesi'%20olarak%20duyuruldu</w:t>
        </w:r>
      </w:hyperlink>
      <w:r w:rsidRPr="00587C60">
        <w:rPr>
          <w:rFonts w:ascii="Times New Roman" w:hAnsi="Times New Roman" w:cs="Times New Roman"/>
          <w:sz w:val="24"/>
          <w:szCs w:val="24"/>
        </w:rPr>
        <w:t>.</w:t>
      </w:r>
    </w:p>
    <w:p w14:paraId="77F42E82"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Haber, NTV. (2023). Netanyahu'dan Gazze'ye Kara Harekatı Hazırlığında "Yeşaya Kehanetleri" Vurgusu: Yeşaya Kehanetleri Nelerdir? Retrieved from </w:t>
      </w:r>
      <w:hyperlink r:id="rId73" w:history="1">
        <w:r w:rsidRPr="00587C60">
          <w:rPr>
            <w:rStyle w:val="Kpr"/>
            <w:rFonts w:ascii="Times New Roman" w:hAnsi="Times New Roman" w:cs="Times New Roman"/>
            <w:sz w:val="24"/>
            <w:szCs w:val="24"/>
          </w:rPr>
          <w:t>https://www.ntv.com.tr/galeri/dunya/netanyahudan-gazzeye-kara-harekati-hazirliginda-yesaya-kehanetleri-vurgusu-yesaya-kehanetleri-nelerdir,ZBDhTWx6AkupBffp-sGj7g/eleDQ-w9H0SZWqJV3djeKw</w:t>
        </w:r>
      </w:hyperlink>
    </w:p>
    <w:p w14:paraId="6DA92391"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Haber, TRT. (2023a). Blinken: Bir Yahudi Olarak da Buradayım. Retrieved from </w:t>
      </w:r>
      <w:hyperlink r:id="rId74" w:history="1">
        <w:r w:rsidRPr="00587C60">
          <w:rPr>
            <w:rStyle w:val="Kpr"/>
            <w:rFonts w:ascii="Times New Roman" w:hAnsi="Times New Roman" w:cs="Times New Roman"/>
            <w:sz w:val="24"/>
            <w:szCs w:val="24"/>
          </w:rPr>
          <w:t>https://www.trthaber.com/haber/dunya/blinken-bir-yahudi-olarak-da-buradayim-802985.html</w:t>
        </w:r>
      </w:hyperlink>
    </w:p>
    <w:p w14:paraId="0CC65290"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lastRenderedPageBreak/>
        <w:t xml:space="preserve">Haber, TRT. (2023b). İran Devrim Muhafızları Ordusu Komutanlarından Musevi, Suriye’de Öldürüldü. Retrieved from </w:t>
      </w:r>
      <w:hyperlink r:id="rId75" w:history="1">
        <w:r w:rsidRPr="00587C60">
          <w:rPr>
            <w:rStyle w:val="Kpr"/>
            <w:rFonts w:ascii="Times New Roman" w:hAnsi="Times New Roman" w:cs="Times New Roman"/>
            <w:sz w:val="24"/>
            <w:szCs w:val="24"/>
          </w:rPr>
          <w:t>https://www.trthaber.com/haber/dunya/iran-devrim-muhafizlari-ordusu-komutanlarindan-musevi-suriyede-olduruldu-823689.html</w:t>
        </w:r>
      </w:hyperlink>
    </w:p>
    <w:p w14:paraId="2F5A0C8B"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Haber, TRT. (2024). ABD ve İngiltere, Yemen'de Saldırı Başlattı. Retrieved from </w:t>
      </w:r>
      <w:hyperlink r:id="rId76" w:history="1">
        <w:r w:rsidRPr="00587C60">
          <w:rPr>
            <w:rStyle w:val="Kpr"/>
            <w:rFonts w:ascii="Times New Roman" w:hAnsi="Times New Roman" w:cs="Times New Roman"/>
            <w:sz w:val="24"/>
            <w:szCs w:val="24"/>
          </w:rPr>
          <w:t>https://www.trthaber.com/haber/dunya/abd-ve-ingiltere-yemende-saldiri-baslatti-828356.html</w:t>
        </w:r>
      </w:hyperlink>
    </w:p>
    <w:p w14:paraId="2CA00D1C"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Hanikra, Rosh. (2024). Another War could Break Out On the Israel-Lebanon Border. Retrieved from </w:t>
      </w:r>
      <w:hyperlink r:id="rId77" w:history="1">
        <w:r w:rsidRPr="00587C60">
          <w:rPr>
            <w:rStyle w:val="Kpr"/>
            <w:rFonts w:ascii="Times New Roman" w:hAnsi="Times New Roman" w:cs="Times New Roman"/>
            <w:sz w:val="24"/>
            <w:szCs w:val="24"/>
          </w:rPr>
          <w:t>https://www.economist.com/middle-east-and-africa/2024/01/04/another-war-could-break-out-on-the-israel-lebanon-border</w:t>
        </w:r>
      </w:hyperlink>
    </w:p>
    <w:p w14:paraId="1323B222"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Harkov, Lahav. (2024). Assassinated Hamas leader Saleh Al-Arouri was Key Conduit between Hamas, Iran. Retrieved from </w:t>
      </w:r>
      <w:hyperlink r:id="rId78" w:history="1">
        <w:r w:rsidRPr="00587C60">
          <w:rPr>
            <w:rStyle w:val="Kpr"/>
            <w:rFonts w:ascii="Times New Roman" w:hAnsi="Times New Roman" w:cs="Times New Roman"/>
            <w:sz w:val="24"/>
            <w:szCs w:val="24"/>
          </w:rPr>
          <w:t>https://jewishinsider.com/2024/01/hamas-hezbollah-saleh-al-arouri-assassination-israel-war/</w:t>
        </w:r>
      </w:hyperlink>
    </w:p>
    <w:p w14:paraId="5B75765A"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Karaman, M. Lutfullah. (2009). Siyonizm. Retrieved from </w:t>
      </w:r>
      <w:hyperlink r:id="rId79" w:history="1">
        <w:r w:rsidRPr="00587C60">
          <w:rPr>
            <w:rStyle w:val="Kpr"/>
            <w:rFonts w:ascii="Times New Roman" w:hAnsi="Times New Roman" w:cs="Times New Roman"/>
            <w:sz w:val="24"/>
            <w:szCs w:val="24"/>
          </w:rPr>
          <w:t>https://islamansiklopedisi.org.tr/siyonizm</w:t>
        </w:r>
      </w:hyperlink>
    </w:p>
    <w:p w14:paraId="444A36C8"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Knell, Yolande. (2025). Netanyahu Seeks Strong Backing From Trump, as First Foreign Leader to Visit. Retrieved from </w:t>
      </w:r>
      <w:hyperlink r:id="rId80" w:history="1">
        <w:r w:rsidRPr="00587C60">
          <w:rPr>
            <w:rStyle w:val="Kpr"/>
            <w:rFonts w:ascii="Times New Roman" w:hAnsi="Times New Roman" w:cs="Times New Roman"/>
            <w:sz w:val="24"/>
            <w:szCs w:val="24"/>
          </w:rPr>
          <w:t>https://www.bbc.com/news/articles/c62e7d6r08ro</w:t>
        </w:r>
      </w:hyperlink>
    </w:p>
    <w:p w14:paraId="6E24798F"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Kube, Courtney, &amp; Stelloh, Tim. (2024). U.S. and Britain Launch Strikes against Houthi Rebel Targets in Yemen. Retrieved from </w:t>
      </w:r>
      <w:hyperlink r:id="rId81" w:history="1">
        <w:r w:rsidRPr="00587C60">
          <w:rPr>
            <w:rStyle w:val="Kpr"/>
            <w:rFonts w:ascii="Times New Roman" w:hAnsi="Times New Roman" w:cs="Times New Roman"/>
            <w:sz w:val="24"/>
            <w:szCs w:val="24"/>
          </w:rPr>
          <w:t>https://www.nbcnews.com/news/world/us-britain-strikes-houthi-yemen-rcna133576</w:t>
        </w:r>
      </w:hyperlink>
    </w:p>
    <w:p w14:paraId="08585A2A"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Milliyet. (2024). ABD ve İngiltere Yemen'de Husiler'i Vurdu! Retrieved from </w:t>
      </w:r>
      <w:hyperlink r:id="rId82" w:history="1">
        <w:r w:rsidRPr="00587C60">
          <w:rPr>
            <w:rStyle w:val="Kpr"/>
            <w:rFonts w:ascii="Times New Roman" w:hAnsi="Times New Roman" w:cs="Times New Roman"/>
            <w:sz w:val="24"/>
            <w:szCs w:val="24"/>
          </w:rPr>
          <w:t>https://www.milliyet.com.tr/dunya/abd-ve-ingiltereden-yemene-hava-saldirisi-7062834</w:t>
        </w:r>
      </w:hyperlink>
    </w:p>
    <w:p w14:paraId="4087B06F"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News, Al Jazeera. (2024). World Reacts to US, UK Attacks on Houthi Targets in Yemen. Retrieved from </w:t>
      </w:r>
      <w:hyperlink r:id="rId83" w:history="1">
        <w:r w:rsidRPr="00587C60">
          <w:rPr>
            <w:rStyle w:val="Kpr"/>
            <w:rFonts w:ascii="Times New Roman" w:hAnsi="Times New Roman" w:cs="Times New Roman"/>
            <w:sz w:val="24"/>
            <w:szCs w:val="24"/>
          </w:rPr>
          <w:t>https://www.aljazeera.com/news/2024/1/12/world-reacts-to-us-uk-attacks-on-houthi-targets-in-yemen</w:t>
        </w:r>
      </w:hyperlink>
    </w:p>
    <w:p w14:paraId="30886E7D"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NPR. (2024). Violence in Iran and Lebanon Prompts Concern Israel-Hamas War Could Expand. Retrieved from </w:t>
      </w:r>
      <w:hyperlink r:id="rId84" w:history="1">
        <w:r w:rsidRPr="00587C60">
          <w:rPr>
            <w:rStyle w:val="Kpr"/>
            <w:rFonts w:ascii="Times New Roman" w:hAnsi="Times New Roman" w:cs="Times New Roman"/>
            <w:sz w:val="24"/>
            <w:szCs w:val="24"/>
          </w:rPr>
          <w:t>https://www.npr.org/2024/01/03/1198909893/consider-this-from-npr-draft-01-03-2024</w:t>
        </w:r>
      </w:hyperlink>
    </w:p>
    <w:p w14:paraId="7D0374EB"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NTV. (2023a). ABD, Fransa, Almanya, İtalya ve İngiltere'den İsrail'e Destek. Retrieved from </w:t>
      </w:r>
      <w:hyperlink r:id="rId85" w:history="1">
        <w:r w:rsidRPr="00587C60">
          <w:rPr>
            <w:rStyle w:val="Kpr"/>
            <w:rFonts w:ascii="Times New Roman" w:hAnsi="Times New Roman" w:cs="Times New Roman"/>
            <w:sz w:val="24"/>
            <w:szCs w:val="24"/>
          </w:rPr>
          <w:t>https://www.ntv.com.tr/dunya/abd-fransa-almanya-italya-ve-ingiltereden-israile-destek,lBKpKZt_N0CcU3xLC21Ytg</w:t>
        </w:r>
      </w:hyperlink>
    </w:p>
    <w:p w14:paraId="08A94E77"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NTV. (2023b). Cumhurbaşkanı Erdoğan'dan Mossad'a Suikast Uyarısı. Retrieved from </w:t>
      </w:r>
      <w:hyperlink r:id="rId86" w:history="1">
        <w:r w:rsidRPr="00587C60">
          <w:rPr>
            <w:rStyle w:val="Kpr"/>
            <w:rFonts w:ascii="Times New Roman" w:hAnsi="Times New Roman" w:cs="Times New Roman"/>
            <w:sz w:val="24"/>
            <w:szCs w:val="24"/>
          </w:rPr>
          <w:t>https://www.ntv.com.tr/turkiye/cumhurbaskani-erdogandan-mossada-suikast-uyarisi,9pjq2Uxzs02zDxNLv4NMTQ</w:t>
        </w:r>
      </w:hyperlink>
    </w:p>
    <w:p w14:paraId="6233DEB4"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Power, Global Fire. (2023). 2023 Military Strength Ranking. Retrieved from </w:t>
      </w:r>
      <w:hyperlink r:id="rId87" w:history="1">
        <w:r w:rsidRPr="00587C60">
          <w:rPr>
            <w:rStyle w:val="Kpr"/>
            <w:rFonts w:ascii="Times New Roman" w:hAnsi="Times New Roman" w:cs="Times New Roman"/>
            <w:sz w:val="24"/>
            <w:szCs w:val="24"/>
          </w:rPr>
          <w:t>https://www.globalfirepower.com/countries-listing.php</w:t>
        </w:r>
      </w:hyperlink>
    </w:p>
    <w:p w14:paraId="7AF3976C"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Schmitt, Eric, Barnes, Julian E., Cooper, Helene, &amp; Sanger, David E. (2024). Attacks Heighten Fears of a Wider War for the Middle East and U.S. Retrieved from </w:t>
      </w:r>
      <w:hyperlink r:id="rId88" w:history="1">
        <w:r w:rsidRPr="00587C60">
          <w:rPr>
            <w:rStyle w:val="Kpr"/>
            <w:rFonts w:ascii="Times New Roman" w:hAnsi="Times New Roman" w:cs="Times New Roman"/>
            <w:sz w:val="24"/>
            <w:szCs w:val="24"/>
          </w:rPr>
          <w:t>https://www.nytimes.com/2024/01/03/us/politics/war-israel-iran-hezbollah-yemen.html</w:t>
        </w:r>
      </w:hyperlink>
    </w:p>
    <w:p w14:paraId="6E0509FC"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Sondakika. (2023). İsrail Ordu Sözcüsü Hagari: Birden Fazla Cephede Savaşabiliriz. Retrieved from </w:t>
      </w:r>
      <w:hyperlink r:id="rId89" w:history="1">
        <w:r w:rsidRPr="00587C60">
          <w:rPr>
            <w:rStyle w:val="Kpr"/>
            <w:rFonts w:ascii="Times New Roman" w:hAnsi="Times New Roman" w:cs="Times New Roman"/>
            <w:sz w:val="24"/>
            <w:szCs w:val="24"/>
          </w:rPr>
          <w:t>https://www.sondakika.com/dunya/haber-israil-ordu-sozcusu-hagari-birden-fazla-cephede-16433059/</w:t>
        </w:r>
      </w:hyperlink>
    </w:p>
    <w:p w14:paraId="525CFD36"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Sözcü. (2024). ABD ve İngiltere'den Yemen'e Ortak Saldırı. Retrieved from </w:t>
      </w:r>
      <w:hyperlink r:id="rId90" w:history="1">
        <w:r w:rsidRPr="00587C60">
          <w:rPr>
            <w:rStyle w:val="Kpr"/>
            <w:rFonts w:ascii="Times New Roman" w:hAnsi="Times New Roman" w:cs="Times New Roman"/>
            <w:sz w:val="24"/>
            <w:szCs w:val="24"/>
          </w:rPr>
          <w:t>https://www.sozcu.com.tr/abd-ve-ingiltere-den-yemen-e-ortak-saldiri-p14795</w:t>
        </w:r>
      </w:hyperlink>
    </w:p>
    <w:p w14:paraId="546AD369"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lastRenderedPageBreak/>
        <w:t xml:space="preserve">Statista. (2023). </w:t>
      </w:r>
      <w:r w:rsidRPr="00587C60">
        <w:rPr>
          <w:rFonts w:ascii="Times New Roman" w:hAnsi="Times New Roman" w:cs="Times New Roman"/>
          <w:i/>
          <w:sz w:val="24"/>
          <w:szCs w:val="24"/>
        </w:rPr>
        <w:t>Proposed United States Military Aid to Israel from 2009 to 2020</w:t>
      </w:r>
      <w:r w:rsidRPr="00587C60">
        <w:rPr>
          <w:rFonts w:ascii="Times New Roman" w:hAnsi="Times New Roman" w:cs="Times New Roman"/>
          <w:sz w:val="24"/>
          <w:szCs w:val="24"/>
        </w:rPr>
        <w:t xml:space="preserve">. Retrieved from </w:t>
      </w:r>
      <w:hyperlink r:id="rId91" w:history="1">
        <w:r w:rsidRPr="00587C60">
          <w:rPr>
            <w:rStyle w:val="Kpr"/>
            <w:rFonts w:ascii="Times New Roman" w:hAnsi="Times New Roman" w:cs="Times New Roman"/>
            <w:sz w:val="24"/>
            <w:szCs w:val="24"/>
          </w:rPr>
          <w:t>https://www.statista.com/statistics/209368/proposed-us-military-aid-to-israel/</w:t>
        </w:r>
      </w:hyperlink>
    </w:p>
    <w:p w14:paraId="213D5856"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Stewart, Phill, Ali, İdrees, &amp; Ghobari, Mohammed. (2024). US and Britain Strike Yemen in Reprisal for Houthi Attacks on Shipping. Retrieved from </w:t>
      </w:r>
      <w:hyperlink r:id="rId92" w:history="1">
        <w:r w:rsidRPr="00587C60">
          <w:rPr>
            <w:rStyle w:val="Kpr"/>
            <w:rFonts w:ascii="Times New Roman" w:hAnsi="Times New Roman" w:cs="Times New Roman"/>
            <w:sz w:val="24"/>
            <w:szCs w:val="24"/>
          </w:rPr>
          <w:t>https://www.reuters.com/world/us-britain-carry-out-strikes-against-houthis-yemen-officials-2024-01-11/</w:t>
        </w:r>
      </w:hyperlink>
    </w:p>
    <w:p w14:paraId="49729204"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Şentürk, Recep, &amp; Canatan, Kadir. (1999). Irkçılık. Retrieved from </w:t>
      </w:r>
      <w:hyperlink r:id="rId93" w:history="1">
        <w:r w:rsidRPr="00587C60">
          <w:rPr>
            <w:rStyle w:val="Kpr"/>
            <w:rFonts w:ascii="Times New Roman" w:hAnsi="Times New Roman" w:cs="Times New Roman"/>
            <w:sz w:val="24"/>
            <w:szCs w:val="24"/>
          </w:rPr>
          <w:t>https://islamansiklopedisi.org.tr/irkcilik</w:t>
        </w:r>
      </w:hyperlink>
    </w:p>
    <w:p w14:paraId="4B5874D3"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Türkçe, BBC. (2024). BMGK'dan Kızıldeniz Kararı: Husilerin Saldırıları Acilen Durmalı. Retrieved from </w:t>
      </w:r>
      <w:hyperlink r:id="rId94" w:history="1">
        <w:r w:rsidRPr="00587C60">
          <w:rPr>
            <w:rStyle w:val="Kpr"/>
            <w:rFonts w:ascii="Times New Roman" w:hAnsi="Times New Roman" w:cs="Times New Roman"/>
            <w:sz w:val="24"/>
            <w:szCs w:val="24"/>
          </w:rPr>
          <w:t>https://www.bbc.com/turkce/articles/cyd0221g31yo</w:t>
        </w:r>
      </w:hyperlink>
    </w:p>
    <w:p w14:paraId="1B86A689"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Türkçe, Independent. (2023). "Siyonist" Biden'ın İsrail'le Yakın Bağları: 36 Yılda Milyonlarca Dolar Bağış. Retrieved from </w:t>
      </w:r>
      <w:hyperlink r:id="rId95" w:history="1">
        <w:r w:rsidRPr="00587C60">
          <w:rPr>
            <w:rStyle w:val="Kpr"/>
            <w:rFonts w:ascii="Times New Roman" w:hAnsi="Times New Roman" w:cs="Times New Roman"/>
            <w:sz w:val="24"/>
            <w:szCs w:val="24"/>
          </w:rPr>
          <w:t>https://www.indyturk.com/node/668951/d%C3%BCnya/siyonist-biden%C4%B1n-i%CC%87sraille-yak%C4%B1n-ba%C4%9Flar%C4%B1-36-y%C4%B1lda-milyonlarca-dolar-ba%C4%9F%C4%B1%C5%9F</w:t>
        </w:r>
      </w:hyperlink>
    </w:p>
    <w:p w14:paraId="17AF8E1E" w14:textId="77777777" w:rsidR="00B470AD" w:rsidRPr="00587C60" w:rsidRDefault="00B470AD">
      <w:pPr>
        <w:pStyle w:val="EndNoteBibliography"/>
        <w:numPr>
          <w:ilvl w:val="0"/>
          <w:numId w:val="78"/>
        </w:numPr>
        <w:spacing w:after="0"/>
        <w:rPr>
          <w:rFonts w:ascii="Times New Roman" w:hAnsi="Times New Roman" w:cs="Times New Roman"/>
          <w:sz w:val="24"/>
          <w:szCs w:val="24"/>
        </w:rPr>
      </w:pPr>
      <w:r w:rsidRPr="00587C60">
        <w:rPr>
          <w:rFonts w:ascii="Times New Roman" w:hAnsi="Times New Roman" w:cs="Times New Roman"/>
          <w:sz w:val="24"/>
          <w:szCs w:val="24"/>
        </w:rPr>
        <w:t xml:space="preserve">Walsh, Aoife. (2023). İngiltere, İsrail’e Destek için Doğu Akdeniz’e Gemi ve Gözetleme Uçağı Konuşlandıracak. Retrieved from </w:t>
      </w:r>
      <w:hyperlink r:id="rId96" w:history="1">
        <w:r w:rsidRPr="00587C60">
          <w:rPr>
            <w:rStyle w:val="Kpr"/>
            <w:rFonts w:ascii="Times New Roman" w:hAnsi="Times New Roman" w:cs="Times New Roman"/>
            <w:sz w:val="24"/>
            <w:szCs w:val="24"/>
          </w:rPr>
          <w:t>https://www.bbc.com/turkce/articles/ckreyk1g89ro</w:t>
        </w:r>
      </w:hyperlink>
    </w:p>
    <w:p w14:paraId="44EBDF27" w14:textId="5BD0E55D" w:rsidR="00587C60" w:rsidRDefault="00B470AD" w:rsidP="009C2F96">
      <w:pPr>
        <w:jc w:val="both"/>
      </w:pPr>
      <w:r w:rsidRPr="00587C60">
        <w:fldChar w:fldCharType="end"/>
      </w:r>
    </w:p>
    <w:p w14:paraId="35C5E7A2" w14:textId="054A0A77" w:rsidR="0034640B" w:rsidRPr="00587C60" w:rsidRDefault="00587C60" w:rsidP="00587C60">
      <w:pPr>
        <w:autoSpaceDE/>
        <w:autoSpaceDN/>
      </w:pPr>
      <w:r>
        <w:br w:type="page"/>
      </w:r>
    </w:p>
    <w:p w14:paraId="7D3F8627" w14:textId="262BC225" w:rsidR="00914DCC" w:rsidRDefault="00164C0C" w:rsidP="004C7694">
      <w:pPr>
        <w:pStyle w:val="Tark"/>
      </w:pPr>
      <w:bookmarkStart w:id="33" w:name="_Toc192855158"/>
      <w:r w:rsidRPr="00C23FA7">
        <w:lastRenderedPageBreak/>
        <w:t xml:space="preserve">Türkiye Yüzyılı” Hedefleri Doğrultusunda İslami Finans Sisteminin Rolü: Hukuki, Jeopolitik ve Jeoekonomik Değerlendirmeler </w:t>
      </w:r>
      <w:r w:rsidR="00914DCC" w:rsidRPr="00C23FA7">
        <w:t>“</w:t>
      </w:r>
      <w:bookmarkEnd w:id="33"/>
    </w:p>
    <w:p w14:paraId="090A724B" w14:textId="77777777" w:rsidR="00914DCC" w:rsidRDefault="00914DCC" w:rsidP="009C2F96">
      <w:pPr>
        <w:jc w:val="center"/>
      </w:pPr>
    </w:p>
    <w:p w14:paraId="70CF5EEA" w14:textId="014241C3" w:rsidR="00914DCC" w:rsidRDefault="00914DCC" w:rsidP="009C2F96">
      <w:pPr>
        <w:jc w:val="center"/>
      </w:pPr>
      <w:r>
        <w:t>Yasin YILDIRIM</w:t>
      </w:r>
      <w:r>
        <w:br/>
        <w:t xml:space="preserve">Öğr. Gör. </w:t>
      </w:r>
      <w:proofErr w:type="spellStart"/>
      <w:r>
        <w:t>Doktorant</w:t>
      </w:r>
      <w:proofErr w:type="spellEnd"/>
      <w:r>
        <w:t xml:space="preserve"> T.C. Çankırı Karatekin Üniversitesi, Kurşunlu MYO, Adalet Programı</w:t>
      </w:r>
      <w:r>
        <w:br/>
      </w:r>
      <w:hyperlink r:id="rId97" w:history="1">
        <w:r w:rsidRPr="004521C9">
          <w:rPr>
            <w:rStyle w:val="Kpr"/>
            <w:rFonts w:eastAsiaTheme="majorEastAsia"/>
          </w:rPr>
          <w:t>yasinyildirim@karatekin.edu.tr</w:t>
        </w:r>
      </w:hyperlink>
      <w:r>
        <w:t xml:space="preserve">  </w:t>
      </w:r>
      <w:r>
        <w:br/>
      </w:r>
      <w:proofErr w:type="spellStart"/>
      <w:r>
        <w:t>Orcid</w:t>
      </w:r>
      <w:proofErr w:type="spellEnd"/>
      <w:r>
        <w:t xml:space="preserve"> ID: </w:t>
      </w:r>
      <w:r w:rsidRPr="00252C80">
        <w:t>0000-0001-8926-3517</w:t>
      </w:r>
    </w:p>
    <w:p w14:paraId="5E7935A3" w14:textId="77777777" w:rsidR="00914DCC" w:rsidRDefault="00914DCC" w:rsidP="009C2F96">
      <w:pPr>
        <w:jc w:val="center"/>
      </w:pPr>
    </w:p>
    <w:p w14:paraId="6B0B8701" w14:textId="77777777" w:rsidR="00914DCC" w:rsidRPr="009F0AE3" w:rsidRDefault="00914DCC" w:rsidP="009C2F96">
      <w:pPr>
        <w:jc w:val="center"/>
        <w:rPr>
          <w:b/>
          <w:bCs/>
        </w:rPr>
      </w:pPr>
      <w:r w:rsidRPr="009F0AE3">
        <w:rPr>
          <w:b/>
          <w:bCs/>
        </w:rPr>
        <w:t>Özet</w:t>
      </w:r>
    </w:p>
    <w:p w14:paraId="34471492" w14:textId="65E177EE" w:rsidR="00914DCC" w:rsidRDefault="00914DCC" w:rsidP="009C2F96">
      <w:pPr>
        <w:jc w:val="both"/>
      </w:pPr>
      <w:bookmarkStart w:id="34" w:name="_Hlk188927903"/>
      <w:r w:rsidRPr="007016B6">
        <w:t>Osmanlı İmparatorluğu’ndan Türkiye Cumhuriyeti’ne geçiş süreci, Türk toplumun</w:t>
      </w:r>
      <w:r>
        <w:t xml:space="preserve">da ve devlet mekanizmalarında radikal değişimlere yol açmıştır. Ancak Türk toplumundaki muhafazakâr düşünce yapısı bu değişim sürecinde etkisini yitirmemiş, toplum ve devlet mekanizmaları nezdindeki ağırlığını korumuştur. Dahası 1980’lerden itibaren, muhafazakâr karakterli hükûmetlerin daha fazla göreve gelmesiyle birlikte İslami finans uygulamaları ve kurumları da güç kazanmaya başlamıştır. Özellikle </w:t>
      </w:r>
      <w:r w:rsidRPr="007016B6">
        <w:t>2002 yılında Adalet ve Kalkınma Partisi’nin iktidara gelişiyle</w:t>
      </w:r>
      <w:r>
        <w:t xml:space="preserve"> birlikte</w:t>
      </w:r>
      <w:r w:rsidRPr="007016B6">
        <w:t xml:space="preserve"> Türkiye’de önemli</w:t>
      </w:r>
      <w:r>
        <w:t xml:space="preserve"> </w:t>
      </w:r>
      <w:r w:rsidRPr="007016B6">
        <w:t>ekonomik ve sosyal değişimler yaşanm</w:t>
      </w:r>
      <w:r>
        <w:t xml:space="preserve">aya başlamış ve bu değişimler İslami finans uygulamalarının ve kurumlarının gelişimini de hızlandırmıştır. Öyle ki, </w:t>
      </w:r>
      <w:r w:rsidRPr="008A502D">
        <w:t xml:space="preserve">2005 yılında </w:t>
      </w:r>
      <w:r>
        <w:t xml:space="preserve">5411 sayılı yeni </w:t>
      </w:r>
      <w:r w:rsidRPr="008A502D">
        <w:t>Bankacılık Kanunu</w:t>
      </w:r>
      <w:r>
        <w:t xml:space="preserve"> çıkarılarak</w:t>
      </w:r>
      <w:r w:rsidRPr="008A502D">
        <w:t xml:space="preserve"> ilk defa</w:t>
      </w:r>
      <w:r>
        <w:t xml:space="preserve"> faizsiz bankacılık hizmeti veren</w:t>
      </w:r>
      <w:r w:rsidRPr="008A502D">
        <w:t xml:space="preserve"> katılım bankaları ile ilgili </w:t>
      </w:r>
      <w:r>
        <w:t xml:space="preserve">spesifik </w:t>
      </w:r>
      <w:r w:rsidRPr="008A502D">
        <w:t>düzenlemelere yer verilmiş</w:t>
      </w:r>
      <w:r>
        <w:t xml:space="preserve">, 2012 yılında ise 6361 sayılı </w:t>
      </w:r>
      <w:r w:rsidRPr="008D2B31">
        <w:rPr>
          <w:color w:val="000000" w:themeColor="text1"/>
        </w:rPr>
        <w:t xml:space="preserve">Finansal Kiralama, Faktöring, Finansman </w:t>
      </w:r>
      <w:r>
        <w:rPr>
          <w:color w:val="000000" w:themeColor="text1"/>
        </w:rPr>
        <w:t>v</w:t>
      </w:r>
      <w:r w:rsidRPr="008D2B31">
        <w:rPr>
          <w:color w:val="000000" w:themeColor="text1"/>
        </w:rPr>
        <w:t>e Tasarruf</w:t>
      </w:r>
      <w:r>
        <w:t xml:space="preserve"> </w:t>
      </w:r>
      <w:r w:rsidRPr="008D2B31">
        <w:rPr>
          <w:color w:val="000000" w:themeColor="text1"/>
        </w:rPr>
        <w:t>Finansman Şirketleri Kanunu</w:t>
      </w:r>
      <w:r>
        <w:rPr>
          <w:color w:val="000000" w:themeColor="text1"/>
        </w:rPr>
        <w:t xml:space="preserve"> h</w:t>
      </w:r>
      <w:r>
        <w:t xml:space="preserve">azırlanarak faizsiz finansman ilkelerine göre faaliyet gösteren tasarruf finansman şirketlerinin kuruluşu hukuki bir zemine oturtulmuştur. Nihayetinde, </w:t>
      </w:r>
      <w:r w:rsidRPr="00142C8B">
        <w:t>20</w:t>
      </w:r>
      <w:r>
        <w:t>00’lerden itibaren, İ</w:t>
      </w:r>
      <w:r w:rsidRPr="00142C8B">
        <w:t>slami finans sistemi</w:t>
      </w:r>
      <w:r>
        <w:t xml:space="preserve"> ve bu sistemin temsilcileri olan kurumlar</w:t>
      </w:r>
      <w:r w:rsidRPr="00142C8B">
        <w:t xml:space="preserve"> Türkiye’deki pazar payını arttırmış, </w:t>
      </w:r>
      <w:r>
        <w:t xml:space="preserve">katılım bankaları ve tasarruf finansman şirketleri </w:t>
      </w:r>
      <w:r w:rsidRPr="00142C8B">
        <w:t>milyonlarca gerçek ve tüzel kişiye hizmet sunar olmuş</w:t>
      </w:r>
      <w:r>
        <w:t xml:space="preserve">tur. </w:t>
      </w:r>
      <w:r w:rsidRPr="00142C8B">
        <w:t xml:space="preserve">Bu süre zarfında yabancı ve yerli özel sermayeli katılım bankalarının sayısının artmasının yanı sıra </w:t>
      </w:r>
      <w:r w:rsidRPr="00F06F79">
        <w:rPr>
          <w:color w:val="000000" w:themeColor="text1"/>
        </w:rPr>
        <w:t xml:space="preserve">yeni kamu sermayeli katılım bankaları da faaliyete geçmiştir. Kısacası, İslami finans konsepti Türk ekonomisinin vazgeçilmez bir haline gelmiştir. Ancak, İslami finansın sadece ekonomik değil aynı zamanda jeopolitik ve jeoekonomik yansımaları da olduğu düşünülmektedir. Öyle ki İslami finans uygulamaları </w:t>
      </w:r>
      <w:r>
        <w:rPr>
          <w:color w:val="000000" w:themeColor="text1"/>
        </w:rPr>
        <w:t xml:space="preserve">ve kurumları </w:t>
      </w:r>
      <w:r w:rsidRPr="00F06F79">
        <w:rPr>
          <w:color w:val="000000" w:themeColor="text1"/>
        </w:rPr>
        <w:t xml:space="preserve">sadece </w:t>
      </w:r>
      <w:r>
        <w:t>muhafazakâr, mevduat sahipleri için</w:t>
      </w:r>
      <w:r w:rsidRPr="007016B6">
        <w:t xml:space="preserve"> alternatif </w:t>
      </w:r>
      <w:r>
        <w:t>bir ekonomi modeli önermemekte</w:t>
      </w:r>
      <w:r w:rsidRPr="007016B6">
        <w:t>,</w:t>
      </w:r>
      <w:r>
        <w:t xml:space="preserve"> aynı zamanda</w:t>
      </w:r>
      <w:r w:rsidRPr="007016B6">
        <w:t xml:space="preserve"> Türkiye’nin </w:t>
      </w:r>
      <w:r>
        <w:t xml:space="preserve">Ortadoğu’daki </w:t>
      </w:r>
      <w:r w:rsidRPr="007016B6">
        <w:t>bölgesel liderlik hedefleri doğrultusunda</w:t>
      </w:r>
      <w:r>
        <w:t xml:space="preserve"> kullanabileceği bir araç olarak da potansiyel arz etmektedir. “Türkiye Yüzyılı” hedefleri doğrultusunda Ortadoğu ve Kuzey Afrika coğrafyası ile angaje olmayı ve nüfuz sahasını genişletmeyi hedefleyen Türkiye için İslami finans kuruluşları; Türkiye’ye sermaye kanalize etme, yatırım çekme, yumuşak güç unsuru teşkil etme, yeni iş birlikleri yaratma gibi hususlarda katalizör görevi görebilir.</w:t>
      </w:r>
      <w:r w:rsidRPr="007016B6">
        <w:t xml:space="preserve"> </w:t>
      </w:r>
      <w:r>
        <w:t xml:space="preserve">Bu kuruluşlar, </w:t>
      </w:r>
      <w:r w:rsidRPr="007016B6">
        <w:t xml:space="preserve">İslam ülkeleri arasındaki dayanışmayı artırırken, Türkiye’nin bölge ülkeleriyle kurduğu ekonomik iş birliğini </w:t>
      </w:r>
      <w:r>
        <w:t xml:space="preserve">de </w:t>
      </w:r>
      <w:r w:rsidRPr="007016B6">
        <w:t>stratejik bir boyuta taşı</w:t>
      </w:r>
      <w:r>
        <w:t xml:space="preserve">yabilecek ve Türkiye’nin prestijini de arttıracaktır. Çalışmada, </w:t>
      </w:r>
      <w:bookmarkEnd w:id="34"/>
      <w:r>
        <w:t>öncelikle İslami finansın Türkiye’deki popülaritesinin artmasının sosyal ve siyasal nedenleri, bu uygulamaların temel hukuki zemini ve ekonomik yansımaları incelenecek, akabinde İslami finansın “Türkiye Yüzyılı” kapsamında, Türk hükûmetinin bölgesel ve küresel ölçekli jeopolitik ve jeoekonomik hedeflerine nasıl etki edebileceği incelenecektir.</w:t>
      </w:r>
    </w:p>
    <w:p w14:paraId="25ECEB66" w14:textId="77777777" w:rsidR="00914DCC" w:rsidRDefault="00914DCC" w:rsidP="009C2F96">
      <w:pPr>
        <w:jc w:val="both"/>
      </w:pPr>
    </w:p>
    <w:p w14:paraId="2D29668D" w14:textId="77777777" w:rsidR="00C1314D" w:rsidRDefault="000C6508" w:rsidP="009C2F96">
      <w:pPr>
        <w:jc w:val="both"/>
      </w:pPr>
      <w:r>
        <w:rPr>
          <w:b/>
          <w:bCs/>
        </w:rPr>
        <w:t>Anahtar Kelimeler</w:t>
      </w:r>
      <w:r w:rsidR="00914DCC" w:rsidRPr="00DE7662">
        <w:rPr>
          <w:b/>
          <w:bCs/>
        </w:rPr>
        <w:t>:</w:t>
      </w:r>
      <w:r w:rsidR="00914DCC">
        <w:t xml:space="preserve"> İslami Finans, Türkiye Yüzyılı, İslam Hukuku, Ortadoğu.</w:t>
      </w:r>
    </w:p>
    <w:p w14:paraId="1D622B90" w14:textId="77777777" w:rsidR="00C1314D" w:rsidRPr="009F0AE3" w:rsidRDefault="00C1314D" w:rsidP="009C2F96">
      <w:pPr>
        <w:rPr>
          <w:b/>
          <w:bCs/>
        </w:rPr>
      </w:pPr>
    </w:p>
    <w:p w14:paraId="24703CF7" w14:textId="284FEDCA" w:rsidR="00914DCC" w:rsidRPr="009F0AE3" w:rsidRDefault="00C1314D" w:rsidP="009C2F96">
      <w:pPr>
        <w:rPr>
          <w:b/>
          <w:bCs/>
        </w:rPr>
      </w:pPr>
      <w:r w:rsidRPr="009F0AE3">
        <w:rPr>
          <w:b/>
          <w:bCs/>
        </w:rPr>
        <w:t xml:space="preserve"> </w:t>
      </w:r>
      <w:r w:rsidR="00914DCC" w:rsidRPr="009F0AE3">
        <w:rPr>
          <w:b/>
          <w:bCs/>
        </w:rPr>
        <w:t>GİRİŞ</w:t>
      </w:r>
    </w:p>
    <w:p w14:paraId="00DF8948" w14:textId="15C2D81B" w:rsidR="00914DCC" w:rsidRDefault="00914DCC" w:rsidP="009C2F96">
      <w:pPr>
        <w:jc w:val="both"/>
      </w:pPr>
      <w:r w:rsidRPr="00C23FA7">
        <w:lastRenderedPageBreak/>
        <w:t xml:space="preserve">Toplumların geçirdikleri </w:t>
      </w:r>
      <w:proofErr w:type="spellStart"/>
      <w:r w:rsidRPr="00C23FA7">
        <w:t>sosyo</w:t>
      </w:r>
      <w:proofErr w:type="spellEnd"/>
      <w:r w:rsidRPr="00C23FA7">
        <w:t>-kültürel değişimler; devlet idaresi, hukuk ve ekonomi başta olmak</w:t>
      </w:r>
      <w:r>
        <w:t xml:space="preserve"> </w:t>
      </w:r>
      <w:r w:rsidRPr="00C23FA7">
        <w:t xml:space="preserve">üzere kamusal hayatın birçok noktasında kendini </w:t>
      </w:r>
      <w:r>
        <w:t>göstermektedir</w:t>
      </w:r>
      <w:r w:rsidRPr="00C23FA7">
        <w:t xml:space="preserve">. </w:t>
      </w:r>
      <w:r>
        <w:t xml:space="preserve">Osmanlı İmparatorluğu’nun yıkılıp yerine genç Türkiye Cumhuriyeti’nin kurulması, bilhassa 1923 tarihinden itibaren Türk hukuk, ekonomi, finans ve politika sistemlerinde derin değişimler görülmesi ve bu değişimlerin de Türk toplumu üzerinde izler bırakması bu hipotezin en somut örneklerindendir. Gerçekten de yeni Cumhuriyetin kurulması </w:t>
      </w:r>
      <w:proofErr w:type="gramStart"/>
      <w:r>
        <w:t>ile birlikte</w:t>
      </w:r>
      <w:proofErr w:type="gramEnd"/>
      <w:r>
        <w:t xml:space="preserve"> yüzyıllardır monarşi yönetimi altında yaşayan ve İslam Hukuku kuralları doğrultusunda yönetilen Türklerin sosyal hayatları büyük bir değişime tabi olmuş, yeni kurumlar ve sistemler günlük hayatın esaslı birer parçası haline gelmişlerdir. Ancak tüm bu değişimlere karşın Türk toplumundaki, en azından toplumun belli bir kesimindeki, muhafazakarlık etkisinden pek de bir şey yitirmemiş, 1980’lerden, özellikle de merhum Cumhurbaşkanı Turgut Özal’ın iktidara gelmesinden itibaren hukuk ve politikada bu eğilim daha fazla hissedilir olmuştur. Bahsi geçen muhafazakarlık ekonomi ve finans gibi alanlarda da kendini göstermiş, özel bir takım ekonomik hassasiyetleri olan ve faizsiz finans ilkelerine bağlı bireylerin bu alanlardaki ihtiyaçlarının karşılanması maksadıyla zaman içerisinde İslami finans konsepti ön plana çıkmaya başlamıştır. Bu konseptin modern anlamda Türkiye’de ortaya çıkması ve güçlü bir hukuki zemin üzerinden yıllar içinde güçlenmesiyle birlikte ise hem Türk ekonomi / finans sektörü kayda değer bir değişime girmiş hem Türkiye’nin yabancı sermaye çekmesi için yeni bir alan yaratılmış hem de Ankara hükûmetinin bölgesel jeopolitik ve jeoekonomik hedeflerinin realize edilmesi için yeni bir fırsat sahası ortaya çıkmıştır.</w:t>
      </w:r>
    </w:p>
    <w:p w14:paraId="2C48206D" w14:textId="77777777" w:rsidR="009C2F96" w:rsidRDefault="009C2F96" w:rsidP="009C2F96">
      <w:pPr>
        <w:jc w:val="both"/>
      </w:pPr>
    </w:p>
    <w:p w14:paraId="1AA22F74" w14:textId="6EE93F4D" w:rsidR="00914DCC" w:rsidRDefault="00914DCC" w:rsidP="009C2F96">
      <w:pPr>
        <w:jc w:val="both"/>
      </w:pPr>
      <w:r>
        <w:t>İşbu çalışmada, her ne kadar ilk bakışta birbiriyle ilgisiz gibi görünen tüm bu konseptler arasında mantıksal bir bağ, bir korelasyon inşa edilerek İslami finans konseptinin Türkiye’de geçirdiği değişim, bankacılık ve finans sektörlerindeki yıllar içerisinde aldığı yer, bu değişimleri meşrulaştıran hukuki düzenlemeler ve bu konseptin Türkiye’nin jeopolitik ve jeoekonomik hedeflerine olan etkileri incelenecek, özellikle “Türkiye Yüzyılı” hedefleri ve 12. Kalkınma Planı doğrultusunda ortaya konan finansal, jeoekonomik ve jeopolitik amaçlarının gerçekleştirilmesindeki rolü araştırılacaktır.</w:t>
      </w:r>
    </w:p>
    <w:p w14:paraId="2DB39035" w14:textId="77777777" w:rsidR="009C2F96" w:rsidRDefault="009C2F96" w:rsidP="009C2F96">
      <w:pPr>
        <w:jc w:val="both"/>
      </w:pPr>
    </w:p>
    <w:p w14:paraId="5B0333A1" w14:textId="77777777" w:rsidR="00914DCC" w:rsidRPr="009F0AE3" w:rsidRDefault="00914DCC" w:rsidP="009C2F96">
      <w:pPr>
        <w:rPr>
          <w:b/>
          <w:bCs/>
        </w:rPr>
      </w:pPr>
      <w:r w:rsidRPr="009F0AE3">
        <w:rPr>
          <w:b/>
          <w:bCs/>
        </w:rPr>
        <w:t>LİTERATÜR TARAMASI VE YÖNTEM</w:t>
      </w:r>
    </w:p>
    <w:p w14:paraId="24E09F90" w14:textId="052E4F5C" w:rsidR="00914DCC" w:rsidRDefault="00914DCC" w:rsidP="009C2F96">
      <w:pPr>
        <w:jc w:val="both"/>
      </w:pPr>
      <w:r>
        <w:t>Bu çalışmada temel olarak nitel araştırma yöntemlerinden ve belli noktalarda ise nicel araştırma yöntemlerinden istifade edilecektir. İslami finans konseptinin tarihçesinden ve hukuki altyapısının keşfedilmesi ve İslami finansın Türkiye’nin jeopolitik ve jeoekonomik hedeflerine olan etkilerinin incelenmesi esnasında nitel araştırma yöntemleri kullanılmak suretiyle ilerlenecektir. Ancak bu niş alanın sektörel büyüklüğünü ve hacmini analiz etmek için ise başta istatistik bilimi olmak üzere nicel araştırma yöntemlerinden ve bilimsel verilerden yararlanılacaktır.</w:t>
      </w:r>
    </w:p>
    <w:p w14:paraId="232F56DA" w14:textId="77777777" w:rsidR="009C2F96" w:rsidRDefault="009C2F96" w:rsidP="009C2F96">
      <w:pPr>
        <w:jc w:val="both"/>
      </w:pPr>
    </w:p>
    <w:p w14:paraId="5856210A" w14:textId="5CA71C91" w:rsidR="00914DCC" w:rsidRPr="001B4AF5" w:rsidRDefault="00914DCC" w:rsidP="009C2F96">
      <w:pPr>
        <w:jc w:val="both"/>
      </w:pPr>
      <w:r>
        <w:t>Çalışmanın bütününde Türk akademisinde İslami finans, katılım bankacılığı, tasarruf finansman yöntemleri gibi alanlardaki makale ve tezlerden, Türkiye Büyük Millet Meclisi tarafından çıkarılan eski ve yeni bankacılık kanunlarından ve ilgili Meclis komisyon görüşmelerinden, Türkiye Cumhuriyeti Cumhurbaşkanlığı Strateji ve Bütçe Başkanlığı tarafından hazırlanan Kalkınma Planlarından istifade edilecektir. Bahsi geçen tüm bu resmî belgeler aracılığıyla İslami finans sisteminin ve enstrümanlarının Türk hukuk ve idare sistemindeki yeri ortaya çıkarılacaktır. Literatür taramasının nispeten küçük ama tamamlayıcı bir kısmında ise İslami finans sisteminin uluslararası alandaki yansımalarını ortaya çıkarmak adına İngilizce kaleme alınan çalışmalara da başvurulacaktır.</w:t>
      </w:r>
    </w:p>
    <w:p w14:paraId="7B3E72A4" w14:textId="77777777" w:rsidR="00914DCC" w:rsidRDefault="00914DCC" w:rsidP="009C2F96">
      <w:pPr>
        <w:jc w:val="both"/>
      </w:pPr>
    </w:p>
    <w:p w14:paraId="25C10101" w14:textId="11FFBD99" w:rsidR="00914DCC" w:rsidRPr="009F0AE3" w:rsidRDefault="00914DCC" w:rsidP="009C2F96">
      <w:pPr>
        <w:rPr>
          <w:b/>
          <w:bCs/>
        </w:rPr>
      </w:pPr>
      <w:r w:rsidRPr="009F0AE3">
        <w:rPr>
          <w:b/>
          <w:bCs/>
        </w:rPr>
        <w:t>İMPARATORLUKTAN CUMHURİYETE TÜRK TOPLUMU VE DEĞİŞEN TOPLUMSAL / SİYASAL KONJONKTÜR</w:t>
      </w:r>
    </w:p>
    <w:p w14:paraId="78504DC4" w14:textId="1B193EAC" w:rsidR="00914DCC" w:rsidRDefault="00914DCC" w:rsidP="009C2F96">
      <w:pPr>
        <w:jc w:val="both"/>
      </w:pPr>
      <w:r w:rsidRPr="00780A37">
        <w:t>Varlığı yaklaşık 620 yıl süren Osmanlı İmparatorluğu, 1. Dünya Savaşı’n</w:t>
      </w:r>
      <w:r>
        <w:t>ın sona ermesine</w:t>
      </w:r>
      <w:r w:rsidRPr="00780A37">
        <w:t xml:space="preserve"> müteakiben yıkılmış ve yerini 1923 yılında kurulan genç ve yeni Türkiye Cumhuriyeti’ne bırakmıştır. Yeni Cumhuriyetin kurulması ise yüzyıllar boyunca önce Selçuklular, sonra Anadolu’daki yerel beylikler ve en nihayetinde Osmanlılar tarafından monarşi ile yönetilen Türk toplumu için çok büyük bir dönüm noktası olmuştur. Sadece, Türk tarihi için değil esasında tüm Ortadoğu tarihi için muazzam bir yer teşkil eden İmparatorluğun yıkılışı ve Cumhuriyetin kuruluşu, beraberinde birçok ve keskin hukuki, politik, ekonomik, </w:t>
      </w:r>
      <w:proofErr w:type="spellStart"/>
      <w:r w:rsidRPr="00780A37">
        <w:t>sosyo</w:t>
      </w:r>
      <w:proofErr w:type="spellEnd"/>
      <w:r w:rsidRPr="00780A37">
        <w:t>-kültürel ve toplumsal değişimleri de beraberinde getirmiştir. Bu değişimlerin en başında ise demokrasinin yerleşmesi, hukuk sisteminin değişmesi ve laikliğin inşasının yer aldığı ifade edilebilir.</w:t>
      </w:r>
    </w:p>
    <w:p w14:paraId="75468CBF" w14:textId="77777777" w:rsidR="009C2F96" w:rsidRPr="00780A37" w:rsidRDefault="009C2F96" w:rsidP="009C2F96">
      <w:pPr>
        <w:jc w:val="both"/>
      </w:pPr>
    </w:p>
    <w:p w14:paraId="3BC44034" w14:textId="2EA2CF1D" w:rsidR="00914DCC" w:rsidRDefault="00914DCC" w:rsidP="009C2F96">
      <w:pPr>
        <w:jc w:val="both"/>
      </w:pPr>
      <w:r w:rsidRPr="00780A37">
        <w:t>Ancak Türk toplumunun demokrasi, Batı tarzı hukuk ve de laiklik ile tanışmasının ve Türk hukuk sisteminin değişmesinin ilk izleri esasında 19’uncu yüzyılın başına kadar gitmektedir. 19’uncu yüzyıl boyunca Osmanlı İmparatorluğu, içerisinde bulunduğu gerileme ve küçülme süreçlerine son vermek adına farklı alanlarda birçok reform hareketi yapmıştır</w:t>
      </w:r>
      <w:sdt>
        <w:sdtPr>
          <w:id w:val="-1721499126"/>
          <w:citation/>
        </w:sdtPr>
        <w:sdtContent>
          <w:r>
            <w:fldChar w:fldCharType="begin"/>
          </w:r>
          <w:r>
            <w:instrText xml:space="preserve"> CITATION Dod92 \l 1055 </w:instrText>
          </w:r>
          <w:r>
            <w:fldChar w:fldCharType="separate"/>
          </w:r>
          <w:r>
            <w:rPr>
              <w:noProof/>
            </w:rPr>
            <w:t xml:space="preserve"> </w:t>
          </w:r>
          <w:r w:rsidRPr="001115C2">
            <w:rPr>
              <w:noProof/>
            </w:rPr>
            <w:t>(Dodd, 1992)</w:t>
          </w:r>
          <w:r>
            <w:fldChar w:fldCharType="end"/>
          </w:r>
        </w:sdtContent>
      </w:sdt>
      <w:r w:rsidRPr="00780A37">
        <w:t xml:space="preserve">. Bu kapsamda yeni kurumlar ihdas edilmiş, yüzyıllardır İslam Hukuku ve temel teamüllerle şekillenen hukuk sistemi Batı tarzı kanunlar uyarınca </w:t>
      </w:r>
      <w:proofErr w:type="gramStart"/>
      <w:r w:rsidRPr="00780A37">
        <w:t>modernize edilmeye</w:t>
      </w:r>
      <w:proofErr w:type="gramEnd"/>
      <w:r w:rsidRPr="00780A37">
        <w:t xml:space="preserve"> çalışılmıştır. Bu minvalde ilk olarak 1808 yılında Padişah II. Mahmut,</w:t>
      </w:r>
      <w:r>
        <w:t xml:space="preserve"> İngiliz tarihindeki dönüm noktalarından</w:t>
      </w:r>
      <w:r w:rsidRPr="00780A37">
        <w:t xml:space="preserve"> 1215 </w:t>
      </w:r>
      <w:r>
        <w:t xml:space="preserve">tarihli </w:t>
      </w:r>
      <w:r w:rsidRPr="00780A37">
        <w:t xml:space="preserve">Magna Carta </w:t>
      </w:r>
      <w:proofErr w:type="spellStart"/>
      <w:r w:rsidRPr="00780A37">
        <w:t>Libertatum’a</w:t>
      </w:r>
      <w:proofErr w:type="spellEnd"/>
      <w:r w:rsidRPr="00780A37">
        <w:t xml:space="preserve"> benzetilebilecek bir biçimde ayan adı verilen ve Anadolu ve Rumeli’nden gelen zengin ve güçlü toprak ağalarıyla </w:t>
      </w:r>
      <w:proofErr w:type="spellStart"/>
      <w:r w:rsidRPr="00780A37">
        <w:t>Sened</w:t>
      </w:r>
      <w:proofErr w:type="spellEnd"/>
      <w:r w:rsidRPr="00780A37">
        <w:t>-i İttifak adı altında bir antlaşma imzalamıştır</w:t>
      </w:r>
      <w:sdt>
        <w:sdtPr>
          <w:id w:val="-1640334350"/>
          <w:citation/>
        </w:sdtPr>
        <w:sdtContent>
          <w:r>
            <w:fldChar w:fldCharType="begin"/>
          </w:r>
          <w:r>
            <w:instrText xml:space="preserve"> CITATION Kin08 \l 1055 </w:instrText>
          </w:r>
          <w:r>
            <w:fldChar w:fldCharType="separate"/>
          </w:r>
          <w:r>
            <w:rPr>
              <w:noProof/>
            </w:rPr>
            <w:t xml:space="preserve"> </w:t>
          </w:r>
          <w:r w:rsidRPr="001115C2">
            <w:rPr>
              <w:noProof/>
            </w:rPr>
            <w:t>(Kinross, 2008)</w:t>
          </w:r>
          <w:r>
            <w:fldChar w:fldCharType="end"/>
          </w:r>
        </w:sdtContent>
      </w:sdt>
      <w:r w:rsidRPr="00780A37">
        <w:t>. Adı geçen antlaşma her ne kadar son derece sınırlı bir etki ortaya koymuşsa da bu şekilde Türk tarihinde ilk kez bir monark kendisi dışında bir başka güç odağının daha varlığını kabul etmiştir.</w:t>
      </w:r>
    </w:p>
    <w:p w14:paraId="4FC7C332" w14:textId="77777777" w:rsidR="009C2F96" w:rsidRPr="00780A37" w:rsidRDefault="009C2F96" w:rsidP="009C2F96">
      <w:pPr>
        <w:jc w:val="both"/>
      </w:pPr>
    </w:p>
    <w:p w14:paraId="72DFE939" w14:textId="12DE0278" w:rsidR="00914DCC" w:rsidRPr="00780A37" w:rsidRDefault="00914DCC" w:rsidP="009C2F96">
      <w:pPr>
        <w:jc w:val="both"/>
      </w:pPr>
      <w:proofErr w:type="spellStart"/>
      <w:r w:rsidRPr="00780A37">
        <w:t>Sened</w:t>
      </w:r>
      <w:proofErr w:type="spellEnd"/>
      <w:r w:rsidRPr="00780A37">
        <w:t>-i İttifak’ı ise sırasıyla 1839 tarihinde I. Abdülmecit tarafından çıkarılan Gülhane-i Hattı Hümayun, 1856 tarihli Islahat Fermanı ve nihayetinde Türk tarihindeki ilk yazılı anayasa olan 1876 Kanun-i Esasi’nin hazırlanması izlemiştir</w:t>
      </w:r>
      <w:sdt>
        <w:sdtPr>
          <w:id w:val="2035691892"/>
          <w:citation/>
        </w:sdtPr>
        <w:sdtContent>
          <w:r>
            <w:fldChar w:fldCharType="begin"/>
          </w:r>
          <w:r>
            <w:instrText xml:space="preserve"> CITATION Sha77 \l 1055 </w:instrText>
          </w:r>
          <w:r>
            <w:fldChar w:fldCharType="separate"/>
          </w:r>
          <w:r>
            <w:rPr>
              <w:noProof/>
            </w:rPr>
            <w:t xml:space="preserve"> </w:t>
          </w:r>
          <w:r w:rsidRPr="004C7A17">
            <w:rPr>
              <w:noProof/>
            </w:rPr>
            <w:t>(Shaw &amp; Shaw, 1977)</w:t>
          </w:r>
          <w:r>
            <w:fldChar w:fldCharType="end"/>
          </w:r>
        </w:sdtContent>
      </w:sdt>
      <w:r w:rsidRPr="00780A37">
        <w:t>. Tüm bu süreç ve belgelerde ise, Osmanlı tebaasını oluşturan müslim ya da gayrimüslim tüm unsurların kanun önünde eşit oldukları, herkesin can ve mal güvenliğinin Padişah ve kanunlar tarafından korunduğu, hukukun üstünlüğüne Padişah da dâhil olmak üzere herkesin saygı duyması gerektiği, hiç kimsenin yargılanmadan cezalandırılamayacağı gibi temel değerler ve kurallara yer verilmiştir. Dahası yine bu yüzyıl boyunca, bahsi geçen Fermanlara müteakiben Ceza Hukuku, Medeni Hukuk, Aile Hukuku, Ticaret Hukuku ya da Vergi Hukuku gibi hukukun birçok sahasında Batı, özellikle de Fransız tarzı yeni kanunlar hazırlanmış, geniş çaplı hukuki revizyon ve resepsiyon süreçleri başlatılmıştır</w:t>
      </w:r>
      <w:r>
        <w:t xml:space="preserve"> </w:t>
      </w:r>
      <w:sdt>
        <w:sdtPr>
          <w:id w:val="325636051"/>
          <w:citation/>
        </w:sdtPr>
        <w:sdtContent>
          <w:r>
            <w:fldChar w:fldCharType="begin"/>
          </w:r>
          <w:r>
            <w:instrText xml:space="preserve"> CITATION Tuc96 \l 1055 </w:instrText>
          </w:r>
          <w:r>
            <w:fldChar w:fldCharType="separate"/>
          </w:r>
          <w:r w:rsidRPr="004C7A17">
            <w:rPr>
              <w:noProof/>
            </w:rPr>
            <w:t>(Tucker, 1996)</w:t>
          </w:r>
          <w:r>
            <w:fldChar w:fldCharType="end"/>
          </w:r>
        </w:sdtContent>
      </w:sdt>
      <w:r w:rsidRPr="00780A37">
        <w:t>.  Özellikle 1860’lardan itibaren yeni ve Batı tarzı mahkemelerin kurulması, İslam Hukuku’na özgün mahkeme, kurallar ve aktörlerin etkilerini oldukça sınırlandırmıştır</w:t>
      </w:r>
      <w:sdt>
        <w:sdtPr>
          <w:id w:val="2084092702"/>
          <w:citation/>
        </w:sdtPr>
        <w:sdtContent>
          <w:r>
            <w:fldChar w:fldCharType="begin"/>
          </w:r>
          <w:r>
            <w:instrText xml:space="preserve"> CITATION Alt21 \l 1055 </w:instrText>
          </w:r>
          <w:r>
            <w:fldChar w:fldCharType="separate"/>
          </w:r>
          <w:r>
            <w:rPr>
              <w:noProof/>
            </w:rPr>
            <w:t xml:space="preserve"> </w:t>
          </w:r>
          <w:r w:rsidRPr="004C7A17">
            <w:rPr>
              <w:noProof/>
            </w:rPr>
            <w:t>(Altıntaş, 2021)</w:t>
          </w:r>
          <w:r>
            <w:fldChar w:fldCharType="end"/>
          </w:r>
        </w:sdtContent>
      </w:sdt>
      <w:r w:rsidRPr="00780A37">
        <w:t xml:space="preserve">. Ha keza II. Mahmut gibi reformist Padişahların da Şeyhülislam olarak anılan ve devletin dini işlerdeki en önemli temsilcisi olan kişilerin yetkilerini sınırlandırmaları ve bu kişileri sadece dini konularda yetkili kılarak idari ve hukuki işlere müdahale etmelerini yasaklamaları ve laik bir </w:t>
      </w:r>
      <w:r>
        <w:t xml:space="preserve">yönetim </w:t>
      </w:r>
      <w:r w:rsidRPr="00780A37">
        <w:t>anlayış</w:t>
      </w:r>
      <w:r>
        <w:t>ı</w:t>
      </w:r>
      <w:r w:rsidRPr="00780A37">
        <w:t xml:space="preserve"> benimsemesi de devletin çehresini değiştirmeye başlamıştır</w:t>
      </w:r>
      <w:sdt>
        <w:sdtPr>
          <w:id w:val="-1903057857"/>
          <w:citation/>
        </w:sdtPr>
        <w:sdtContent>
          <w:r>
            <w:fldChar w:fldCharType="begin"/>
          </w:r>
          <w:r>
            <w:instrText xml:space="preserve"> CITATION Bot07 \l 1055 </w:instrText>
          </w:r>
          <w:r>
            <w:fldChar w:fldCharType="separate"/>
          </w:r>
          <w:r>
            <w:rPr>
              <w:noProof/>
            </w:rPr>
            <w:t xml:space="preserve"> </w:t>
          </w:r>
          <w:r w:rsidRPr="00193FC1">
            <w:rPr>
              <w:noProof/>
            </w:rPr>
            <w:t>(Bottoni, 2007)</w:t>
          </w:r>
          <w:r>
            <w:fldChar w:fldCharType="end"/>
          </w:r>
        </w:sdtContent>
      </w:sdt>
      <w:r w:rsidRPr="00780A37">
        <w:t xml:space="preserve">.  Ancak tüm bu radikal değişikliklere rağmen adı geçen anayasal belgelerde ve süreçlerde laikliğe dair herhangi resmi bir iz yer almamış, dolayısıyla laiklik bir devlet politikası haline gelememiştir. Bu durum da özellikle Anadolu’da yaşayan halkın yüzyıllardır devam eden yaşantısında çok büyük bir </w:t>
      </w:r>
      <w:r w:rsidRPr="00780A37">
        <w:lastRenderedPageBreak/>
        <w:t>değişiklik meydana getirmemiştir. Reformist Padişahların fermanlarında, yeni hazırlanan kanun ve nizamnamelerde ve de Padişahlar ile onlarla aynı çizgide bulunan üst düzey devlet adamlarının eylemlerinde görülen laiklik sınırlı bir etki ortaya koyabilmiştir. Tüm bunlar dikkate alındığında, İmparatorluğun resmi dininin halen İslam olduğu ve de İslam Hukukunun da özellikle hukuki, cezai ya da ticari işlerde etkileri her ne kadar azalmış olsa da halen daha İmparatorluğun ve tebaanın bağlı olduğu temel hukuk düzeni olduğu sonucuna ulaşılmaktadır.</w:t>
      </w:r>
    </w:p>
    <w:p w14:paraId="130323D9" w14:textId="77777777" w:rsidR="00914DCC" w:rsidRDefault="00914DCC" w:rsidP="009C2F96">
      <w:pPr>
        <w:jc w:val="both"/>
      </w:pPr>
      <w:r w:rsidRPr="00780A37">
        <w:t>İslam Hukukunun, devletin resmi dini olduğu ve İslam Hukukunun da buna mukabil olarak temel hukuk sistemi olduğu hususu yeni İmparatorluğun yıkılıp yeni Cumhuriyetin doğuşuna kadarki süreçte ve sonrasında dahi geçerliliğini korumuştur. Öyle ki, 1. Dünya Savaşı’nın İtilaf Devletlerine karşı bağımsızlık savaşı veren Ankara merkezli yeni Türk hük</w:t>
      </w:r>
      <w:r>
        <w:t>û</w:t>
      </w:r>
      <w:r w:rsidRPr="00780A37">
        <w:t>meti tarafından hazırlanan 1921 tarihli Anayasa’da da devletin dininin İslam olduğu benimsenmiştir</w:t>
      </w:r>
      <w:sdt>
        <w:sdtPr>
          <w:id w:val="2026278354"/>
          <w:citation/>
        </w:sdtPr>
        <w:sdtContent>
          <w:r>
            <w:fldChar w:fldCharType="begin"/>
          </w:r>
          <w:r>
            <w:instrText xml:space="preserve"> CITATION Ars61 \l 1055 </w:instrText>
          </w:r>
          <w:r>
            <w:fldChar w:fldCharType="separate"/>
          </w:r>
          <w:r>
            <w:rPr>
              <w:noProof/>
            </w:rPr>
            <w:t xml:space="preserve"> </w:t>
          </w:r>
          <w:r w:rsidRPr="00193FC1">
            <w:rPr>
              <w:noProof/>
            </w:rPr>
            <w:t>(Arsel, 1961)</w:t>
          </w:r>
          <w:r>
            <w:fldChar w:fldCharType="end"/>
          </w:r>
        </w:sdtContent>
      </w:sdt>
      <w:r w:rsidRPr="00780A37">
        <w:t>. Adı geçen Anayasanın 2’nci maddesinde devletin dininin İslam olduğu açıkça ortaya konmuş ve bu madde Türk Kurtuluş Savaşının kazanılmasına müteakip kurulan yeni Cumhuriyet tarafından hazırlanan 1924 tarihli yeni Anayasa’da da yerini korumuştur</w:t>
      </w:r>
      <w:sdt>
        <w:sdtPr>
          <w:id w:val="306825236"/>
          <w:citation/>
        </w:sdtPr>
        <w:sdtContent>
          <w:r>
            <w:fldChar w:fldCharType="begin"/>
          </w:r>
          <w:r>
            <w:instrText xml:space="preserve"> CITATION Güv98 \l 1055 </w:instrText>
          </w:r>
          <w:r>
            <w:fldChar w:fldCharType="separate"/>
          </w:r>
          <w:r>
            <w:rPr>
              <w:noProof/>
            </w:rPr>
            <w:t xml:space="preserve"> </w:t>
          </w:r>
          <w:r w:rsidRPr="00193FC1">
            <w:rPr>
              <w:noProof/>
            </w:rPr>
            <w:t>(Güvenç, 1997-1998)</w:t>
          </w:r>
          <w:r>
            <w:fldChar w:fldCharType="end"/>
          </w:r>
        </w:sdtContent>
      </w:sdt>
      <w:r w:rsidRPr="00780A37">
        <w:t>.</w:t>
      </w:r>
    </w:p>
    <w:p w14:paraId="1612FFB7" w14:textId="77777777" w:rsidR="009C2F96" w:rsidRPr="00780A37" w:rsidRDefault="009C2F96" w:rsidP="009C2F96">
      <w:pPr>
        <w:jc w:val="both"/>
      </w:pPr>
    </w:p>
    <w:p w14:paraId="7A830422" w14:textId="52C039AF" w:rsidR="00914DCC" w:rsidRDefault="00914DCC" w:rsidP="009C2F96">
      <w:pPr>
        <w:jc w:val="both"/>
      </w:pPr>
      <w:r w:rsidRPr="00780A37">
        <w:t>Ancak yeni Cumhuriyetin kurucusu ve Türkiye’nin ilk Cumhurbaşkanı olan Mustafa Kemal Atatürk, Cumhuriyetin ilanına müteakip tüm ülke sathında ve her alanda büyük bir reform ve restorasyon hareketi başlatmış, toplumsal yaşamdan hukuka, ekonomiden endüstriye kadar sayısız alanda köklü değişiklikler yapmaya başlamıştır</w:t>
      </w:r>
      <w:sdt>
        <w:sdtPr>
          <w:id w:val="1622961255"/>
          <w:citation/>
        </w:sdtPr>
        <w:sdtContent>
          <w:r>
            <w:fldChar w:fldCharType="begin"/>
          </w:r>
          <w:r>
            <w:instrText xml:space="preserve"> CITATION Asl97 \l 1055 </w:instrText>
          </w:r>
          <w:r>
            <w:fldChar w:fldCharType="separate"/>
          </w:r>
          <w:r>
            <w:rPr>
              <w:noProof/>
            </w:rPr>
            <w:t xml:space="preserve"> </w:t>
          </w:r>
          <w:r w:rsidRPr="00D12F7E">
            <w:rPr>
              <w:noProof/>
            </w:rPr>
            <w:t>(Aslantaş, 1997)</w:t>
          </w:r>
          <w:r>
            <w:fldChar w:fldCharType="end"/>
          </w:r>
        </w:sdtContent>
      </w:sdt>
      <w:r w:rsidRPr="00780A37">
        <w:t xml:space="preserve">. </w:t>
      </w:r>
      <w:r w:rsidRPr="00193FC1">
        <w:t>Tabir-i</w:t>
      </w:r>
      <w:r w:rsidRPr="00780A37">
        <w:t xml:space="preserve"> caizse, Türk Rönesansı olarak tabir edilen bu süreçte Türk devleti ve Türk toplumu çok radikal bir değişim sürecine girmiştir</w:t>
      </w:r>
      <w:sdt>
        <w:sdtPr>
          <w:id w:val="-477071862"/>
          <w:citation/>
        </w:sdtPr>
        <w:sdtContent>
          <w:r>
            <w:fldChar w:fldCharType="begin"/>
          </w:r>
          <w:r>
            <w:instrText xml:space="preserve"> CITATION Akg19 \l 1055 </w:instrText>
          </w:r>
          <w:r>
            <w:fldChar w:fldCharType="separate"/>
          </w:r>
          <w:r>
            <w:rPr>
              <w:noProof/>
            </w:rPr>
            <w:t xml:space="preserve"> </w:t>
          </w:r>
          <w:r w:rsidRPr="00D12F7E">
            <w:rPr>
              <w:noProof/>
            </w:rPr>
            <w:t>(Akgül, 2019)</w:t>
          </w:r>
          <w:r>
            <w:fldChar w:fldCharType="end"/>
          </w:r>
        </w:sdtContent>
      </w:sdt>
      <w:r w:rsidRPr="00780A37">
        <w:t xml:space="preserve">. Bu değişim sürecindeki en dikkat çekici noktalardan birisi ise laikliğinin getirilmesidir. Fiilen son yüz yıllık süreçte izleri görülen, reformist Osmanlı Padişahları tarafından da fikren kabul edilen laiklik, 1937’de buna dair ilkenin Anayasaya eklenmesi ile resmi ve hukuki bir zemin kazanmıştır. Ancak bu tarihe gelen kadar, 1924’te hilafetin kaldırılması, aynı yıl eğitimde laikliği vurgulayan </w:t>
      </w:r>
      <w:proofErr w:type="spellStart"/>
      <w:r w:rsidRPr="00780A37">
        <w:t>Tevhid</w:t>
      </w:r>
      <w:proofErr w:type="spellEnd"/>
      <w:r w:rsidRPr="00780A37">
        <w:t xml:space="preserve">-i Tedrisat Kanununun hazırlanması, 1926’da İsviçre’den ilham alınarak hazırlanan yeni Medeni Kanun’un kabulü ve Mecelle adı verilen, Osmanlı Hukukunun son dönem temel hukuki belgelerden birinin </w:t>
      </w:r>
      <w:r>
        <w:t>kaldırılması</w:t>
      </w:r>
      <w:r w:rsidRPr="00780A37">
        <w:t xml:space="preserve"> ve de 1928’de Anayasa’dan devletin dininin İslam olduğu ibaresinin çıkarılması gibi birtakım olaylar da</w:t>
      </w:r>
      <w:r>
        <w:t xml:space="preserve"> laikliğe</w:t>
      </w:r>
      <w:r w:rsidRPr="00780A37">
        <w:t xml:space="preserve"> giden yolda önemli birer mihenk taşı olmuşlardır</w:t>
      </w:r>
      <w:sdt>
        <w:sdtPr>
          <w:id w:val="548425703"/>
          <w:citation/>
        </w:sdtPr>
        <w:sdtContent>
          <w:r>
            <w:fldChar w:fldCharType="begin"/>
          </w:r>
          <w:r>
            <w:instrText xml:space="preserve"> CITATION Dav88 \l 1055 </w:instrText>
          </w:r>
          <w:r>
            <w:fldChar w:fldCharType="separate"/>
          </w:r>
          <w:r>
            <w:rPr>
              <w:noProof/>
            </w:rPr>
            <w:t xml:space="preserve"> </w:t>
          </w:r>
          <w:r w:rsidRPr="00BD5B5C">
            <w:rPr>
              <w:noProof/>
            </w:rPr>
            <w:t>(Daver, 1988)</w:t>
          </w:r>
          <w:r>
            <w:fldChar w:fldCharType="end"/>
          </w:r>
        </w:sdtContent>
      </w:sdt>
      <w:r w:rsidRPr="00780A37">
        <w:t>.</w:t>
      </w:r>
    </w:p>
    <w:p w14:paraId="098EE28D" w14:textId="77777777" w:rsidR="009C2F96" w:rsidRPr="00780A37" w:rsidRDefault="009C2F96" w:rsidP="009C2F96">
      <w:pPr>
        <w:jc w:val="both"/>
      </w:pPr>
    </w:p>
    <w:p w14:paraId="0F42976C" w14:textId="77777777" w:rsidR="00914DCC" w:rsidRDefault="00914DCC" w:rsidP="009C2F96">
      <w:pPr>
        <w:jc w:val="both"/>
      </w:pPr>
      <w:r w:rsidRPr="00780A37">
        <w:t xml:space="preserve">Laikliğin genç Cumhuriyet’in ilk yıllarındaki gündeminde bu denli büyük bir yer tutmasının altında yatan en önemli sebep ise kurucu Cumhurbaşkanı </w:t>
      </w:r>
      <w:r>
        <w:t xml:space="preserve">Gazi </w:t>
      </w:r>
      <w:r w:rsidRPr="00780A37">
        <w:t xml:space="preserve">Mustafa Kemal Atatürk’ün </w:t>
      </w:r>
      <w:r>
        <w:t>politik tercihleridir</w:t>
      </w:r>
      <w:r w:rsidRPr="00780A37">
        <w:t xml:space="preserve">. </w:t>
      </w:r>
      <w:r>
        <w:t xml:space="preserve">Cumhurbaşkanı </w:t>
      </w:r>
      <w:r w:rsidRPr="00780A37">
        <w:t xml:space="preserve">Atatürk, 19’uncu yüzyıldaki reformist Osmanlı Padişahlarının aksine laikliği bir devlet politikası haline getirmeye çalışmış, bu yönde somut ve resmi nitelikte adımlar atmış, eğitimden hukuka, ticaretten temel ölçü birimlerine kadar birçok noktada laikliğe dayalı bir sistem inşa etmeye çalışmıştır. Atatürk bu şekilde, Türk toplumunu ve Türk devlet geleneğini </w:t>
      </w:r>
      <w:proofErr w:type="gramStart"/>
      <w:r w:rsidRPr="00780A37">
        <w:t>modernize etmeye</w:t>
      </w:r>
      <w:proofErr w:type="gramEnd"/>
      <w:r w:rsidRPr="00780A37">
        <w:t xml:space="preserve"> ve Batı </w:t>
      </w:r>
      <w:r>
        <w:t>tandanslı</w:t>
      </w:r>
      <w:r w:rsidRPr="00780A37">
        <w:t xml:space="preserve"> bir hale getirme</w:t>
      </w:r>
      <w:r>
        <w:t>k için çaba sarf etmiştir. Cumhurbaşkanı Atatürk</w:t>
      </w:r>
      <w:r w:rsidRPr="00780A37">
        <w:t xml:space="preserve"> Osmanlı İmparatorluğu’nu gerileme ve küçülme süreçlerine sokan olayların önünü kesmeye ve Padişah II. Mahmut tarafından başlatılan ve 1. Abdülmecit tarafından da devam ettirilen geniş kapsamlı restorasyon sürecini halka da yaymak suretiyle devam ettirmiştir</w:t>
      </w:r>
      <w:sdt>
        <w:sdtPr>
          <w:id w:val="-926725737"/>
          <w:citation/>
        </w:sdtPr>
        <w:sdtContent>
          <w:r>
            <w:fldChar w:fldCharType="begin"/>
          </w:r>
          <w:r>
            <w:instrText xml:space="preserve"> CITATION Sha18 \l 1055 </w:instrText>
          </w:r>
          <w:r>
            <w:fldChar w:fldCharType="separate"/>
          </w:r>
          <w:r>
            <w:rPr>
              <w:noProof/>
            </w:rPr>
            <w:t xml:space="preserve"> </w:t>
          </w:r>
          <w:r w:rsidRPr="00BD5B5C">
            <w:rPr>
              <w:noProof/>
            </w:rPr>
            <w:t>(Sharkey, 2018)</w:t>
          </w:r>
          <w:r>
            <w:fldChar w:fldCharType="end"/>
          </w:r>
        </w:sdtContent>
      </w:sdt>
      <w:r w:rsidRPr="00780A37">
        <w:t>.</w:t>
      </w:r>
    </w:p>
    <w:p w14:paraId="1746A276" w14:textId="77777777" w:rsidR="009C2F96" w:rsidRPr="00780A37" w:rsidRDefault="009C2F96" w:rsidP="009C2F96">
      <w:pPr>
        <w:jc w:val="both"/>
      </w:pPr>
    </w:p>
    <w:p w14:paraId="08B7C282" w14:textId="77777777" w:rsidR="00914DCC" w:rsidRDefault="00914DCC" w:rsidP="009C2F96">
      <w:pPr>
        <w:jc w:val="both"/>
      </w:pPr>
      <w:r w:rsidRPr="00780A37">
        <w:t xml:space="preserve">Atatürk tarafından inşa edilen laik devlet ve </w:t>
      </w:r>
      <w:r>
        <w:t xml:space="preserve">modern </w:t>
      </w:r>
      <w:r w:rsidRPr="00780A37">
        <w:t xml:space="preserve">toplum düzeni günümüze kadar ulaşmayı başarmıştır. Günümüzde Türkiye, %99’u Müslüman olan nüfusuyla, Azerbaycan ve Tunus </w:t>
      </w:r>
      <w:proofErr w:type="gramStart"/>
      <w:r w:rsidRPr="00780A37">
        <w:t>ile birlikte</w:t>
      </w:r>
      <w:proofErr w:type="gramEnd"/>
      <w:r w:rsidRPr="00780A37">
        <w:t xml:space="preserve"> Büyük Ortadoğu Coğrafyasının ender laik ülkelerinden biri olarak varlığını devam </w:t>
      </w:r>
      <w:r w:rsidRPr="00780A37">
        <w:lastRenderedPageBreak/>
        <w:t>ettirmektedir. Her ne kadar, özellikle 1950’lerden sonra Türkiye’de ağırlıklı olarak sağ ideolojiye mensup karakterli siyasi partilerin iktidarları görülmüşse de hatta zaman zaman laikliğin tartışıldığı dönemler dahi yaşanmışsa da laiklik halen daha 1982 tarihli güncel anayasada değiştirilemeyecek maddeler arasında yer almaktadır.</w:t>
      </w:r>
    </w:p>
    <w:p w14:paraId="443CF0EE" w14:textId="77777777" w:rsidR="009C2F96" w:rsidRPr="00780A37" w:rsidRDefault="009C2F96" w:rsidP="009C2F96">
      <w:pPr>
        <w:jc w:val="both"/>
      </w:pPr>
    </w:p>
    <w:p w14:paraId="0CADB884" w14:textId="4FECED8B" w:rsidR="00914DCC" w:rsidRDefault="00914DCC" w:rsidP="009C2F96">
      <w:pPr>
        <w:jc w:val="both"/>
      </w:pPr>
      <w:r w:rsidRPr="00780A37">
        <w:t>Ancak laikliğin anayasal ölçekte ve güçlü bir şekilde inşa edilmesine ve de İslam Hukuku kurallarından vazgeçilmesine rağmen, İslamiyet ve onun beraberinde getirdiği sosyal davranış kalıpları Türk toplumu tarafından benimsenmeye ve uygulanmaya devam edilmiştir. Zaman zaman liberal ve sol karakterli zaman zamansa muhafazakâr ve sağ karakterli partilerin iktidarda kaldığı, sağ ve sol ideolojiler arasında şiddetli çatışmaların, ekonomik krizlerin yaşandığı 100 yıllık süreçte İslamiyet’in Türk toplumu üzerindeki etkisi hiçbir zaman azalmamış, hatta artarak devam etmiştir. 19</w:t>
      </w:r>
      <w:r>
        <w:t xml:space="preserve">80’lerde merhum Cumhurbaşkanı Turgut Özel’in önce Başbakan sonra da Cumhurbaşkanı olarak görev yapması, </w:t>
      </w:r>
      <w:r w:rsidRPr="00780A37">
        <w:t>90’larda Prof. Dr. Necmettin Erbakan liderliğindeki Refah Partisinin kısa süreli de olsa iktidar</w:t>
      </w:r>
      <w:r>
        <w:t>a gelmesi</w:t>
      </w:r>
      <w:r w:rsidRPr="00780A37">
        <w:t xml:space="preserve">, 2002’de ise mevcut Cumhurbaşkanı Recep Tayyip Erdoğan liderliğindeki Adalet ve Kalkınma Partisi’nin (“AK Parti”) </w:t>
      </w:r>
      <w:r>
        <w:t>yönetime</w:t>
      </w:r>
      <w:r w:rsidRPr="00780A37">
        <w:t xml:space="preserve"> gelmesi, ve AK Parti’nin halen Türkiye’deki iktidar partisi olması Türk toplumunun </w:t>
      </w:r>
      <w:r>
        <w:t>muhafazakar</w:t>
      </w:r>
      <w:r w:rsidRPr="00780A37">
        <w:t xml:space="preserve"> düşünce ve davranış kalıplarına ne denli bağlı kaldığını ispatlar niteliktedir. Bununla birlikte, </w:t>
      </w:r>
      <w:r>
        <w:t>2023</w:t>
      </w:r>
      <w:r w:rsidRPr="00780A37">
        <w:t xml:space="preserve"> seçimler</w:t>
      </w:r>
      <w:r>
        <w:t>in</w:t>
      </w:r>
      <w:r w:rsidRPr="00780A37">
        <w:t xml:space="preserve">de </w:t>
      </w:r>
      <w:r>
        <w:t>başkaca</w:t>
      </w:r>
      <w:r w:rsidRPr="00780A37">
        <w:t xml:space="preserve"> aşırı muhafazakâr partilerin de TBMM’de koltuk kazanmaları yine Türk toplumun</w:t>
      </w:r>
      <w:r>
        <w:t>daki</w:t>
      </w:r>
      <w:r w:rsidRPr="00780A37">
        <w:t xml:space="preserve"> muhafazakâr </w:t>
      </w:r>
      <w:r>
        <w:t>yapının mevcudiyetini</w:t>
      </w:r>
      <w:r w:rsidRPr="00780A37">
        <w:t xml:space="preserve"> ortaya koymaktadır. Türkiye, çoğunluğu Müslüman bir nüfusa sahip olduğu ve siyasal olarak da muhafazakâr partilerin hâkim pozisyonda bulunduğu bir ülke olduğu halde laiklik ve İslami düşünce yapısının sağlıklı bir denge içerisinde harmanlanabildiği, sağ ve sol siyasi partilerin dengeli bir şekilde temsil edilebildiği ender ülkelerden biridir.</w:t>
      </w:r>
    </w:p>
    <w:p w14:paraId="5127B655" w14:textId="77777777" w:rsidR="009C2F96" w:rsidRPr="00780A37" w:rsidRDefault="009C2F96" w:rsidP="009C2F96">
      <w:pPr>
        <w:jc w:val="both"/>
      </w:pPr>
    </w:p>
    <w:p w14:paraId="7F8C57C5" w14:textId="4F61DBCA" w:rsidR="00914DCC" w:rsidRDefault="00914DCC" w:rsidP="009C2F96">
      <w:pPr>
        <w:jc w:val="both"/>
      </w:pPr>
      <w:r w:rsidRPr="00BF2A8A">
        <w:t>2002 yılı</w:t>
      </w:r>
      <w:r>
        <w:t xml:space="preserve"> ise</w:t>
      </w:r>
      <w:r w:rsidRPr="00BF2A8A">
        <w:t xml:space="preserve"> Türkiye’de toplumsal, siyasal ve ekonomik dönüşüm sürecinin önemli dönüm noktalarından biri olarak kabul edilmektedir. 3 Kasım 2002 tarihinde yapılan genel seçimlerin ardından yeni bir siyasi iradenin yönetimi devralmasıyla birlikte, kamu yönetimi, hukuk ve ekonomi alanlarında kapsamlı değişimler yaşanmıştır. Bu süreçte </w:t>
      </w:r>
      <w:r>
        <w:t>katılım</w:t>
      </w:r>
      <w:r w:rsidRPr="00BF2A8A">
        <w:t xml:space="preserve"> bankacılığı ve İslami finans gibi alternatif </w:t>
      </w:r>
      <w:r>
        <w:t>yapılar</w:t>
      </w:r>
      <w:r w:rsidRPr="00BF2A8A">
        <w:t xml:space="preserve"> daha fazla gündeme gelmiştir. Son yirmi yıl içerisinde ekonomi ve finans sektöründe yaşanan değişimler, Türkiye’nin finansal sisteminin çeşitlenmesine ve belirli kesimlerin ekonomik hassasiyetlerini gözeten yeni modellerin gelişimine katkı sağlamıştır. </w:t>
      </w:r>
      <w:r>
        <w:t>Özellikle bu tarihten sonra yapılan kanuni düzenlemeler ve devlet sermayeli İslami finans konsepti içinde hareket eden kuruluşların ihdas edilmesi beraberinde hem finansal hem de jeopolitik / jeoekonomik etkiler doğurmuştur.</w:t>
      </w:r>
    </w:p>
    <w:p w14:paraId="46102D22" w14:textId="77777777" w:rsidR="00914DCC" w:rsidRDefault="00914DCC" w:rsidP="009C2F96">
      <w:pPr>
        <w:jc w:val="both"/>
      </w:pPr>
      <w:r>
        <w:t>Nihayetinde, önce yüzyıllar boyunca monarşi sonra da Cumhuriyet yönetimi altında varlığını sürdüren Türk toplumunun önemli bir kesiminin tercihleri ve hassasiyetleri, Türkiye’de İslami finans konseptinin yavaş yavaş da olsa güçlenmesine, önemli bir sektörel bileşen haline gelmesine ve Türk devleti için jeopolitik ve jeoekonomik hedeflerin yerine getirilmesinde uygun bir aparat haline gelmesine vesile olmuştur.</w:t>
      </w:r>
    </w:p>
    <w:p w14:paraId="14B977B5" w14:textId="77777777" w:rsidR="009C2F96" w:rsidRDefault="009C2F96" w:rsidP="009C2F96">
      <w:pPr>
        <w:jc w:val="both"/>
      </w:pPr>
    </w:p>
    <w:p w14:paraId="75A041E6" w14:textId="77777777" w:rsidR="00914DCC" w:rsidRPr="009F0AE3" w:rsidRDefault="00914DCC" w:rsidP="009C2F96">
      <w:pPr>
        <w:rPr>
          <w:b/>
          <w:bCs/>
        </w:rPr>
      </w:pPr>
      <w:r w:rsidRPr="009F0AE3">
        <w:rPr>
          <w:b/>
          <w:bCs/>
        </w:rPr>
        <w:t>İSLAMİ FİNANS KONSEPTİNİN YÜKSELİŞİ: KATILIM BANKALARI VE TASARRUF FİNANSMAN KURULUŞLARI</w:t>
      </w:r>
    </w:p>
    <w:p w14:paraId="200CF883" w14:textId="1F14D7CA" w:rsidR="00914DCC" w:rsidRDefault="00914DCC" w:rsidP="009C2F96">
      <w:pPr>
        <w:jc w:val="both"/>
      </w:pPr>
      <w:r w:rsidRPr="009442D3">
        <w:t>Bankacılık</w:t>
      </w:r>
      <w:r>
        <w:t xml:space="preserve"> ve finans</w:t>
      </w:r>
      <w:r w:rsidRPr="009442D3">
        <w:t>, dünyanın en eski iş dallarından olup Antik Roma, Antik Mısır ve de Antik Yunanistan’a kadar giden binlerce yıllık bir mazisi vardır</w:t>
      </w:r>
      <w:sdt>
        <w:sdtPr>
          <w:id w:val="306912561"/>
          <w:citation/>
        </w:sdtPr>
        <w:sdtContent>
          <w:r>
            <w:fldChar w:fldCharType="begin"/>
          </w:r>
          <w:r>
            <w:instrText xml:space="preserve"> CITATION Mik21 \l 1055 </w:instrText>
          </w:r>
          <w:r>
            <w:fldChar w:fldCharType="separate"/>
          </w:r>
          <w:r>
            <w:rPr>
              <w:noProof/>
            </w:rPr>
            <w:t xml:space="preserve"> </w:t>
          </w:r>
          <w:r w:rsidRPr="00694868">
            <w:rPr>
              <w:noProof/>
            </w:rPr>
            <w:t>(Miklinski, 2021)</w:t>
          </w:r>
          <w:r>
            <w:fldChar w:fldCharType="end"/>
          </w:r>
        </w:sdtContent>
      </w:sdt>
      <w:r w:rsidRPr="009442D3">
        <w:t>. Binlerce yıl boyunca insanların, şirketlerin ve devletlerin para ile ilgili ihtiyaçlarının karşılanması ve de servet yönetimlerinin yürütülmesinde rol alan bankalar, zamanla farklı şekiller almış ve bankacılık sistemi içerisinde yeni alternatifler ortaya çıkmaya başlamıştır. Bu alternatif</w:t>
      </w:r>
      <w:r>
        <w:t xml:space="preserve"> finansal </w:t>
      </w:r>
      <w:r>
        <w:lastRenderedPageBreak/>
        <w:t xml:space="preserve">sistemlerin ve kuruluşlarının başında ise </w:t>
      </w:r>
      <w:r w:rsidRPr="009442D3">
        <w:t xml:space="preserve">faizsiz bankacılık </w:t>
      </w:r>
      <w:r>
        <w:t xml:space="preserve">ve tasarruf </w:t>
      </w:r>
      <w:r w:rsidRPr="009442D3">
        <w:t>hizmetlerini esas alan ve temel İslam Hukuku kurallarına bağlı olan katılım banka</w:t>
      </w:r>
      <w:r>
        <w:t>ları ve tasarruf finansman şirketleri gelmektedir.</w:t>
      </w:r>
    </w:p>
    <w:p w14:paraId="5D7B3D8D" w14:textId="77777777" w:rsidR="009C2F96" w:rsidRDefault="009C2F96" w:rsidP="009C2F96">
      <w:pPr>
        <w:jc w:val="both"/>
      </w:pPr>
    </w:p>
    <w:p w14:paraId="2CA678E8" w14:textId="77777777" w:rsidR="00914DCC" w:rsidRPr="009F0AE3" w:rsidRDefault="00914DCC" w:rsidP="009C2F96">
      <w:pPr>
        <w:rPr>
          <w:b/>
          <w:bCs/>
        </w:rPr>
      </w:pPr>
      <w:r w:rsidRPr="009F0AE3">
        <w:rPr>
          <w:b/>
          <w:bCs/>
        </w:rPr>
        <w:t>Katılım Bankaları</w:t>
      </w:r>
    </w:p>
    <w:p w14:paraId="0979226B" w14:textId="0BC3B006" w:rsidR="00914DCC" w:rsidRDefault="00914DCC" w:rsidP="009C2F96">
      <w:pPr>
        <w:jc w:val="both"/>
      </w:pPr>
      <w:r w:rsidRPr="009442D3">
        <w:t xml:space="preserve">Katılım bankacılığı, en temel şekliyle, İslami finans sistemi içerisinde yer alan, İslam Hukuku’nun temel kaideleri uyarınca faizi ve faize benzer şekilde herhangi bir emek ya da çalışma karşılığı olmadan elde edilen kazancı reddeden, </w:t>
      </w:r>
      <w:proofErr w:type="spellStart"/>
      <w:r w:rsidRPr="009442D3">
        <w:t>mudaraba</w:t>
      </w:r>
      <w:proofErr w:type="spellEnd"/>
      <w:r w:rsidRPr="009442D3">
        <w:t xml:space="preserve"> ve </w:t>
      </w:r>
      <w:proofErr w:type="spellStart"/>
      <w:r w:rsidRPr="009442D3">
        <w:t>muşaraka</w:t>
      </w:r>
      <w:proofErr w:type="spellEnd"/>
      <w:r w:rsidRPr="009442D3">
        <w:t xml:space="preserve"> gibi temel İslami finansman türlerini kullanan, alternatif bir bankacılık türüdür</w:t>
      </w:r>
      <w:sdt>
        <w:sdtPr>
          <w:id w:val="37019399"/>
          <w:citation/>
        </w:sdtPr>
        <w:sdtContent>
          <w:r>
            <w:fldChar w:fldCharType="begin"/>
          </w:r>
          <w:r>
            <w:instrText xml:space="preserve">CITATION Ers18 \l 1055 </w:instrText>
          </w:r>
          <w:r>
            <w:fldChar w:fldCharType="separate"/>
          </w:r>
          <w:r>
            <w:rPr>
              <w:noProof/>
            </w:rPr>
            <w:t xml:space="preserve"> </w:t>
          </w:r>
          <w:r w:rsidRPr="00694868">
            <w:rPr>
              <w:noProof/>
            </w:rPr>
            <w:t>(Ersoy &amp; Suner, 2018)</w:t>
          </w:r>
          <w:r>
            <w:fldChar w:fldCharType="end"/>
          </w:r>
        </w:sdtContent>
      </w:sdt>
      <w:r w:rsidRPr="009442D3">
        <w:t>. İslam ülkelerinde klasik Batı tarzı bankacılık uygulamalarına şüpheyle yaklaşan ve özellikle faiz konusunda hassasiyetleri olan insanların finans</w:t>
      </w:r>
      <w:r>
        <w:t>al</w:t>
      </w:r>
      <w:r w:rsidRPr="009442D3">
        <w:t xml:space="preserve"> ihtiyaçlarını karşılamayı amaçlayan bu alternatif bankacılık türü </w:t>
      </w:r>
      <w:r>
        <w:t>yıllar içerisinde</w:t>
      </w:r>
      <w:r w:rsidRPr="009442D3">
        <w:t xml:space="preserve"> uluslararası finans ekosisteminin yerleşik elementlerinden bir</w:t>
      </w:r>
      <w:r>
        <w:t>i haline gelmiştir.</w:t>
      </w:r>
      <w:r w:rsidRPr="009442D3">
        <w:t xml:space="preserve"> Geleneksel ve klasik bankacılığın gerçekleştirmiş olduğu faaliyetlerin tümüne yakınını faizsiz bir şekilde gerçekleştiren katılım bankaları müşterilerinden doğrudan nakit finansman almak veya vermek yerine ortaklık yöntemiyle işlemlerini gerçekleştirerek ticari hayata </w:t>
      </w:r>
      <w:proofErr w:type="gramStart"/>
      <w:r w:rsidRPr="009442D3">
        <w:t>entegre</w:t>
      </w:r>
      <w:proofErr w:type="gramEnd"/>
      <w:r w:rsidRPr="009442D3">
        <w:t xml:space="preserve"> bir şekilde faaliyetlerini sürdürmektedir</w:t>
      </w:r>
      <w:sdt>
        <w:sdtPr>
          <w:id w:val="636773066"/>
          <w:citation/>
        </w:sdtPr>
        <w:sdtContent>
          <w:r>
            <w:fldChar w:fldCharType="begin"/>
          </w:r>
          <w:r>
            <w:instrText xml:space="preserve"> CITATION Oka21 \l 1055 </w:instrText>
          </w:r>
          <w:r>
            <w:fldChar w:fldCharType="separate"/>
          </w:r>
          <w:r>
            <w:rPr>
              <w:noProof/>
            </w:rPr>
            <w:t xml:space="preserve"> </w:t>
          </w:r>
          <w:r w:rsidRPr="00694868">
            <w:rPr>
              <w:noProof/>
            </w:rPr>
            <w:t>(Okan, 2021)</w:t>
          </w:r>
          <w:r>
            <w:fldChar w:fldCharType="end"/>
          </w:r>
        </w:sdtContent>
      </w:sdt>
      <w:r w:rsidRPr="009442D3">
        <w:t>.  Bu tür bankalar, müşterilerine geleneksel bankacılığın aksine kesin bir kar garanti etmemekte olup gerçekleştirdikleri ticari eylemlere binaen bir kâr ve zarar ortaklığı sunmaktadır. Bu şekilde faiz hassasiyeti olan müşteriler, kâr ve zarar risklerinin farkında olarak varlıklarını işlettirmektedir.</w:t>
      </w:r>
    </w:p>
    <w:p w14:paraId="072A16F3" w14:textId="7D26AAF8" w:rsidR="00914DCC" w:rsidRDefault="00914DCC" w:rsidP="009C2F96">
      <w:pPr>
        <w:jc w:val="both"/>
      </w:pPr>
      <w:r w:rsidRPr="009442D3">
        <w:t>Günümüzde başta Körfez bölgesi olmak üzere tüm Ortadoğu ve Kuzey Afrika coğrafyasında, Güneydoğu Asya, Afrika ve Avrupa’da emsalleri görülen bu bankacılık türü modern anlamda 1950’lerde Pakistan’da ve yine aynı dönemlerde Cemal Abdül Nasır yönetimindeki Mısır’da ortaya çıkmıştır.  Türkiye’de ise bu spesifik bankacılık türünün ilk örneklerinin ortaya çıkışı oldukça yakın bir tarihe rastlamaktadır. İlk olarak 1975 yılında bir KİT olarak kurulan Devlet Sanayi İşçi Yatırım Bankası ile Türkiye’de faizsiz bankacılığın temelleri atılmıştır.  Adı geçen banka faizsiz finansal ürün geliştirme noktasında bir ilk olarak kabul edilebilmektedir</w:t>
      </w:r>
      <w:sdt>
        <w:sdtPr>
          <w:id w:val="-259066968"/>
          <w:citation/>
        </w:sdtPr>
        <w:sdtContent>
          <w:r>
            <w:fldChar w:fldCharType="begin"/>
          </w:r>
          <w:r>
            <w:instrText xml:space="preserve"> CITATION Ers18 \l 1055 </w:instrText>
          </w:r>
          <w:r>
            <w:fldChar w:fldCharType="separate"/>
          </w:r>
          <w:r>
            <w:rPr>
              <w:noProof/>
            </w:rPr>
            <w:t xml:space="preserve"> </w:t>
          </w:r>
          <w:r w:rsidRPr="00021743">
            <w:rPr>
              <w:noProof/>
            </w:rPr>
            <w:t>(Ersoy &amp; Suner, 2018)</w:t>
          </w:r>
          <w:r>
            <w:fldChar w:fldCharType="end"/>
          </w:r>
        </w:sdtContent>
      </w:sdt>
      <w:r w:rsidRPr="009442D3">
        <w:t>. Ancak gerçek anlamda katılım bankacılığının Türkiye’deki miladı 1983 yılı olarak kabul edilebilir. Zira 16 Aralık 1983 tarihinde 83/7506 sayılı Bakanlar Kurulu kararı ile ilk kez, faizsiz bankacılığı temel alan Özel Finans Kurumları’nın kurulmasına izin verilmiştir. Bu süreçteki asıl ilginç olan ise 1980 ila 1983 arasında devam eden yaklaşık 3 yıllık askeri cunta yönetiminin ardından sivilleşmeye başlayan Türkiye’de 13 Aralık tarihinde göreve gelen Başbakan Turgut Özal’ın göreve başladıktan sadece 3 gün sonra bu kararı almasıdır. Türkiye’de önce Başbakanlık sonra da Cumhurbaşkanlığı yapan Özal’ın</w:t>
      </w:r>
      <w:r>
        <w:t xml:space="preserve"> iktidarda olduğu</w:t>
      </w:r>
      <w:r w:rsidRPr="003C0519">
        <w:t xml:space="preserve"> dönem, serbest piyasa ekonomisi ve finansal reformlarla birlikte faizsiz finans uygulamalarının gelişimi açısından önemli bir </w:t>
      </w:r>
      <w:r>
        <w:t>süreç</w:t>
      </w:r>
      <w:r w:rsidRPr="003C0519">
        <w:t xml:space="preserve"> olmuştur</w:t>
      </w:r>
      <w:r>
        <w:t xml:space="preserve">. </w:t>
      </w:r>
      <w:r w:rsidRPr="009442D3">
        <w:t xml:space="preserve">Mezkûr bakanlar kurulu kararına müteakiben Türkiye’de katılım bankalarının sayısı ve Pazar payı gittikçe artmaya başlamıştır. 1985 yılında ise Suud sermayeli Albaraka Türk Özel Finans Kurumu ve de Faisal Finans Kurumu faaliyetlerine başlamış, ilerleyen yıllarda ise </w:t>
      </w:r>
      <w:r>
        <w:t xml:space="preserve">1989’da </w:t>
      </w:r>
      <w:r w:rsidRPr="009442D3">
        <w:t>Kuveyt sermayeli Kuveyt Türk Evkaf Finans Kurumu ve Anadolu Özel Finans Kurumu gibi yeni şirketler pazarına dahil olmuştur. 1999 yılında ise Özel Finans Kurumları, 4389 sayılı eski Bankalar Kanunu’nun kapsamın dahil edilmiş ve faizsiz bankacılığın Türkiye’deki varlığı kanuni bir zemine oturtulmuştur.</w:t>
      </w:r>
    </w:p>
    <w:p w14:paraId="6A7A5D2F" w14:textId="77777777" w:rsidR="009C2F96" w:rsidRPr="009442D3" w:rsidRDefault="009C2F96" w:rsidP="009C2F96">
      <w:pPr>
        <w:jc w:val="both"/>
      </w:pPr>
    </w:p>
    <w:p w14:paraId="74BF24F7" w14:textId="4F79E28E" w:rsidR="00914DCC" w:rsidRDefault="00914DCC" w:rsidP="009C2F96">
      <w:pPr>
        <w:jc w:val="both"/>
      </w:pPr>
      <w:r w:rsidRPr="009442D3">
        <w:t xml:space="preserve">2002 yılında AK Parti’nin iktidara gelmesi Türkiye’de esaslı bir siyasal ve toplumsal değişim hareketi başlattığı gibi finans dünyasında da önemli değişimlerin yaşanmasına vesile olmuştur. AK Parti iktidarının henüz 3’üncü yılında, 2005’te yeni ve güncel 5411 sayılı Bankalar Kanunu çıkarılmış ve bu kanunda ilk defa “Katılım Bankacılığı” ifadesine yer verilerek Katılım Bankalarının Türkiye’deki yolculuğu büyük bir ivme kazanmıştır. İlerleyen yıllarda ise Ankara </w:t>
      </w:r>
      <w:r w:rsidRPr="009442D3">
        <w:lastRenderedPageBreak/>
        <w:t>bir yandan toplumun muhafazakâr kesimlerinin ihtiyaçlarına cevap verebilmek diğer yandan da politik ve diplomatik tercihlerinin gereklerini yerine getirebilmek adına bu bankacılık türünün gelişmesi için birçok farklı adım atmaya devam etmiştir. Öyle ki KİT statüsünde ve devlet destekli yeni katılım bankalarının kurulması, Türk ya da yabancı özel sermayeli bankaların kurulmasına destek verilmesi, katılım bankacılığı sahasındaki uluslararası aktörlerle yakın ilişkiler kurulması gibi somut ve önemli adımlar sayesinde Türkiye bu niş alandaki lider ülkelerden birisi haline gelmiştir.</w:t>
      </w:r>
    </w:p>
    <w:p w14:paraId="3C0B9881" w14:textId="77777777" w:rsidR="009C2F96" w:rsidRDefault="009C2F96" w:rsidP="009C2F96">
      <w:pPr>
        <w:jc w:val="both"/>
      </w:pPr>
    </w:p>
    <w:p w14:paraId="63FA1CE0" w14:textId="11F5422C" w:rsidR="00914DCC" w:rsidRDefault="00914DCC" w:rsidP="009C2F96">
      <w:pPr>
        <w:jc w:val="both"/>
      </w:pPr>
      <w:r>
        <w:t>Günümüzde Vakıf Katılım, Ziraat Katılım ve Emlak Katılım gibi kamu bankalarının yanı sıra Albaraka, Kuveyt Türk, Hayat Finans, Dünya Katılım, T.O.M. Bank, Türkiye Finans gibi özel sermayeli katılım bankaları Türkiye’de faaliyet göstermektedir.</w:t>
      </w:r>
    </w:p>
    <w:p w14:paraId="1964DEFF" w14:textId="77777777" w:rsidR="0017453B" w:rsidRDefault="0017453B" w:rsidP="009C2F96">
      <w:pPr>
        <w:jc w:val="both"/>
      </w:pPr>
    </w:p>
    <w:p w14:paraId="0D32B50A" w14:textId="08F84AA2" w:rsidR="00914DCC" w:rsidRDefault="00914DCC" w:rsidP="009C2F96">
      <w:pPr>
        <w:tabs>
          <w:tab w:val="num" w:pos="720"/>
        </w:tabs>
        <w:jc w:val="both"/>
      </w:pPr>
      <w:r w:rsidRPr="001601ED">
        <w:t xml:space="preserve">5411 sayılı Bankacılık Kanunu’nun 2005 yılında yürürlüğe girmesi Türkiye’nin katılım bankacılığı serüveni için bir milat teşkil etmektedir. Zira bu tarihte daha önceden özel finans kurumları olarak adlandırılan </w:t>
      </w:r>
      <w:r>
        <w:t xml:space="preserve">mezkûr </w:t>
      </w:r>
      <w:r w:rsidRPr="001601ED">
        <w:t>finans kurumları artık birer banka halini almaya başlamış, teknik olarak ve hukuken diğer bankalarla aralarında herhangi bir fark kalmamıştır. Dahası aynı tarihte, 2001 yılında kurulan Özel Finans Kurumları Birliği de bugün de varlığını sürdürdüğü şekilde Türkiye Katılım Bankaları Birliği (“TKBB”) adını almıştır.</w:t>
      </w:r>
      <w:r>
        <w:t xml:space="preserve"> </w:t>
      </w:r>
      <w:r w:rsidRPr="001601ED">
        <w:t xml:space="preserve">Hukuki altyapının tesis edilmesi </w:t>
      </w:r>
      <w:proofErr w:type="gramStart"/>
      <w:r w:rsidRPr="001601ED">
        <w:t>ile birlikte</w:t>
      </w:r>
      <w:proofErr w:type="gramEnd"/>
      <w:r w:rsidRPr="001601ED">
        <w:t xml:space="preserve"> Türkiye’deki katılım banklarının sayısında belirgin bir artış görülmüş, her geçen yıl faiz konusunda hassasiyeti olan daha fazla müşteri birikimlerini bu tür bankalarda değerlendirmeye ve katılım bankalarının ulusal pazardaki payı da artmaya başlamıştır. 2011 yılında ilk kez Borsa İstanbul’da faaliyet göstermek üzere katılım endeksinin oluşturulması ile birlikte de katılım bankaları borsada faaliyet göstermeye başlamış ve ulusal finansal sisteme tam anlamıyla entegre olmuştur.</w:t>
      </w:r>
    </w:p>
    <w:p w14:paraId="179DA09A" w14:textId="77777777" w:rsidR="0017453B" w:rsidRDefault="0017453B" w:rsidP="009C2F96">
      <w:pPr>
        <w:tabs>
          <w:tab w:val="num" w:pos="720"/>
        </w:tabs>
        <w:jc w:val="both"/>
      </w:pPr>
    </w:p>
    <w:p w14:paraId="6D57F72E" w14:textId="77777777" w:rsidR="00914DCC" w:rsidRDefault="00914DCC" w:rsidP="009C2F96">
      <w:pPr>
        <w:tabs>
          <w:tab w:val="num" w:pos="720"/>
        </w:tabs>
        <w:jc w:val="both"/>
      </w:pPr>
      <w:r>
        <w:t xml:space="preserve">Gerek reel piyasada gerekse borsada faaliyet gösteren katılım bankaları yıllar içerisinde hatırı sayılır bir müşteri kitlesine ulaşmıştır. Öyle ki </w:t>
      </w:r>
      <w:proofErr w:type="spellStart"/>
      <w:r>
        <w:t>TKBB’nin</w:t>
      </w:r>
      <w:proofErr w:type="spellEnd"/>
      <w:r>
        <w:t xml:space="preserve"> resmi verilerine göre; </w:t>
      </w:r>
      <w:r w:rsidRPr="004B3666">
        <w:t xml:space="preserve">Sektörün aktif </w:t>
      </w:r>
      <w:r>
        <w:t>büyüklüğü</w:t>
      </w:r>
      <w:r w:rsidRPr="004B3666">
        <w:t xml:space="preserve"> yaklaşık </w:t>
      </w:r>
      <w:r>
        <w:t>2,2 t</w:t>
      </w:r>
      <w:r w:rsidRPr="004B3666">
        <w:t xml:space="preserve">rilyon TL, </w:t>
      </w:r>
      <w:r>
        <w:t xml:space="preserve">toplam fon / </w:t>
      </w:r>
      <w:r w:rsidRPr="004B3666">
        <w:t xml:space="preserve">mevduat hacmi </w:t>
      </w:r>
      <w:proofErr w:type="gramStart"/>
      <w:r w:rsidRPr="004B3666">
        <w:t>1</w:t>
      </w:r>
      <w:r>
        <w:t>.6</w:t>
      </w:r>
      <w:proofErr w:type="gramEnd"/>
      <w:r w:rsidRPr="004B3666">
        <w:t xml:space="preserve"> trilyon TL</w:t>
      </w:r>
      <w:r>
        <w:t>'ye ulaşmış, bu şirketlerin n</w:t>
      </w:r>
      <w:r w:rsidRPr="004B3666">
        <w:t>et kâr</w:t>
      </w:r>
      <w:r>
        <w:t>ı</w:t>
      </w:r>
      <w:r w:rsidRPr="004B3666">
        <w:t xml:space="preserve"> </w:t>
      </w:r>
      <w:r>
        <w:t>35 trilyon</w:t>
      </w:r>
      <w:r w:rsidRPr="004B3666">
        <w:t xml:space="preserve"> TL</w:t>
      </w:r>
      <w:r>
        <w:t>’yi bulmuş, t</w:t>
      </w:r>
      <w:r w:rsidRPr="004B3666">
        <w:t xml:space="preserve">üm </w:t>
      </w:r>
      <w:r>
        <w:t xml:space="preserve">bankacılık </w:t>
      </w:r>
      <w:r w:rsidRPr="004B3666">
        <w:t>sektör</w:t>
      </w:r>
      <w:r>
        <w:t>ün</w:t>
      </w:r>
      <w:r w:rsidRPr="004B3666">
        <w:t>deki pay</w:t>
      </w:r>
      <w:r>
        <w:t>ı</w:t>
      </w:r>
      <w:r w:rsidRPr="004B3666">
        <w:t xml:space="preserve"> ise yaklaşık %10</w:t>
      </w:r>
      <w:r>
        <w:t xml:space="preserve"> olarak gerçekleşmiştir. </w:t>
      </w:r>
      <w:r w:rsidRPr="004B3666">
        <w:t>Ağustos 2024 itibariyle katılım bankalarının müşteri sayısı yaklaşık 14 milyon;</w:t>
      </w:r>
      <w:r>
        <w:t xml:space="preserve"> aktif</w:t>
      </w:r>
      <w:r w:rsidRPr="004B3666">
        <w:t xml:space="preserve"> dijital </w:t>
      </w:r>
      <w:r>
        <w:t xml:space="preserve">bankacılık </w:t>
      </w:r>
      <w:r w:rsidRPr="004B3666">
        <w:t>müşteri sayısı ise 5 milyon</w:t>
      </w:r>
      <w:r>
        <w:t xml:space="preserve"> olmuştur</w:t>
      </w:r>
      <w:sdt>
        <w:sdtPr>
          <w:id w:val="874427846"/>
          <w:citation/>
        </w:sdtPr>
        <w:sdtContent>
          <w:r>
            <w:fldChar w:fldCharType="begin"/>
          </w:r>
          <w:r>
            <w:instrText xml:space="preserve"> CITATION Tür24 \l 1055 </w:instrText>
          </w:r>
          <w:r>
            <w:fldChar w:fldCharType="separate"/>
          </w:r>
          <w:r>
            <w:rPr>
              <w:noProof/>
            </w:rPr>
            <w:t xml:space="preserve"> </w:t>
          </w:r>
          <w:r w:rsidRPr="00021743">
            <w:rPr>
              <w:noProof/>
            </w:rPr>
            <w:t>(Türkiye Katılım Bankaları Birliği, 2024)</w:t>
          </w:r>
          <w:r>
            <w:fldChar w:fldCharType="end"/>
          </w:r>
        </w:sdtContent>
      </w:sdt>
      <w:r>
        <w:t>.</w:t>
      </w:r>
    </w:p>
    <w:p w14:paraId="14AABC51" w14:textId="77777777" w:rsidR="0017453B" w:rsidRDefault="0017453B" w:rsidP="009C2F96">
      <w:pPr>
        <w:tabs>
          <w:tab w:val="num" w:pos="720"/>
        </w:tabs>
        <w:jc w:val="both"/>
      </w:pPr>
    </w:p>
    <w:p w14:paraId="62B2828A" w14:textId="77777777" w:rsidR="00914DCC" w:rsidRPr="009F0AE3" w:rsidRDefault="00914DCC" w:rsidP="009C2F96">
      <w:pPr>
        <w:rPr>
          <w:b/>
          <w:bCs/>
        </w:rPr>
      </w:pPr>
      <w:r w:rsidRPr="009F0AE3">
        <w:rPr>
          <w:b/>
          <w:bCs/>
        </w:rPr>
        <w:t>Tasarruf Finansman Şirketleri</w:t>
      </w:r>
    </w:p>
    <w:p w14:paraId="7546D873" w14:textId="251E64E6" w:rsidR="00914DCC" w:rsidRDefault="00914DCC" w:rsidP="009C2F96">
      <w:pPr>
        <w:jc w:val="both"/>
      </w:pPr>
      <w:r w:rsidRPr="00DC19C7">
        <w:t xml:space="preserve">Tasarruf finansman şirketleri, </w:t>
      </w:r>
      <w:r>
        <w:t xml:space="preserve">katılım bankaları </w:t>
      </w:r>
      <w:proofErr w:type="gramStart"/>
      <w:r>
        <w:t>ile birlikte</w:t>
      </w:r>
      <w:proofErr w:type="gramEnd"/>
      <w:r>
        <w:t xml:space="preserve"> İslami finans sisteminin bir diğer asli parçasıdır. Katılım bankalarına benzer şekilde </w:t>
      </w:r>
      <w:r w:rsidRPr="00DC19C7">
        <w:t xml:space="preserve">faizsiz finans ilkeleri çerçevesinde çalışan ve müşterilerine </w:t>
      </w:r>
      <w:r>
        <w:t>gayrimenkul (ev yahut işyeri)</w:t>
      </w:r>
      <w:r w:rsidRPr="00DC19C7">
        <w:t>, taşıt</w:t>
      </w:r>
      <w:r>
        <w:t xml:space="preserve"> / araba</w:t>
      </w:r>
      <w:r w:rsidRPr="00DC19C7">
        <w:t xml:space="preserve"> veya</w:t>
      </w:r>
      <w:r>
        <w:t xml:space="preserve"> başkaca </w:t>
      </w:r>
      <w:r w:rsidRPr="00DC19C7">
        <w:t xml:space="preserve">büyük ölçekli alımlarda finansal destek sunan alternatif finans kurumlarıdır. Bu </w:t>
      </w:r>
      <w:r>
        <w:t>kurumlar</w:t>
      </w:r>
      <w:r w:rsidRPr="00DC19C7">
        <w:t xml:space="preserve">, müşterilerinden belirli bir süre boyunca düzenli tasarruf yapmalarını </w:t>
      </w:r>
      <w:r>
        <w:t xml:space="preserve">ve oluşturulan bir havuza fon transfer akıtmalarını </w:t>
      </w:r>
      <w:r w:rsidRPr="00DC19C7">
        <w:t xml:space="preserve">talep ederek, toplu birikimlerin </w:t>
      </w:r>
      <w:r>
        <w:t xml:space="preserve">kolektif şekilde </w:t>
      </w:r>
      <w:r w:rsidRPr="00DC19C7">
        <w:t xml:space="preserve">organizasyonu yoluyla </w:t>
      </w:r>
      <w:r>
        <w:t xml:space="preserve">müşterilerine </w:t>
      </w:r>
      <w:r w:rsidRPr="00DC19C7">
        <w:t>finansman</w:t>
      </w:r>
      <w:r>
        <w:t xml:space="preserve"> </w:t>
      </w:r>
      <w:r w:rsidRPr="00DC19C7">
        <w:t>sağlamaktadır. Geleneksel bankacılıktan</w:t>
      </w:r>
      <w:r>
        <w:t xml:space="preserve"> ve kredi sisteminden</w:t>
      </w:r>
      <w:r w:rsidRPr="00DC19C7">
        <w:t xml:space="preserve"> farklı olarak, faiz yerine katılımcılar arasında dayanışmaya</w:t>
      </w:r>
      <w:r>
        <w:t xml:space="preserve"> ve kolektif bir </w:t>
      </w:r>
      <w:proofErr w:type="gramStart"/>
      <w:r>
        <w:t>işbirliğine</w:t>
      </w:r>
      <w:proofErr w:type="gramEnd"/>
      <w:r w:rsidRPr="00DC19C7">
        <w:t xml:space="preserve"> dayalı bir model uygulanmakta</w:t>
      </w:r>
      <w:r>
        <w:t>, bu şekilde belli bir zaman sonunda havuzdaki tüm müşteriler talep ettikleri menkul ve gayrimenkul mal varlıkları için bir finansman elde etmektedir.</w:t>
      </w:r>
    </w:p>
    <w:p w14:paraId="30736B54" w14:textId="77777777" w:rsidR="0017453B" w:rsidRDefault="0017453B" w:rsidP="009C2F96">
      <w:pPr>
        <w:jc w:val="both"/>
      </w:pPr>
    </w:p>
    <w:p w14:paraId="39EA9855" w14:textId="77777777" w:rsidR="00914DCC" w:rsidRDefault="00914DCC" w:rsidP="009C2F96">
      <w:pPr>
        <w:jc w:val="both"/>
      </w:pPr>
      <w:r w:rsidRPr="00DC19C7">
        <w:t>Tasarruf finansman sistemi, bireylerin uzun vadeli planlama yapmasını teşvik ederek finansal sürdürülebilirliğe katkı sağlamaktadır. Katılımcılar,</w:t>
      </w:r>
      <w:r>
        <w:t xml:space="preserve"> almak istedikleri mal varlığı değeri ve </w:t>
      </w:r>
      <w:r>
        <w:lastRenderedPageBreak/>
        <w:t>finansal güçleri doğrultusunda önceden</w:t>
      </w:r>
      <w:r w:rsidRPr="00DC19C7">
        <w:t xml:space="preserve"> belirlenen taksitler çerçevesinde</w:t>
      </w:r>
      <w:r>
        <w:t xml:space="preserve"> düzenli </w:t>
      </w:r>
      <w:r w:rsidRPr="00DC19C7">
        <w:t xml:space="preserve">ödeme yaparak sürecin sonunda </w:t>
      </w:r>
      <w:r>
        <w:t>menkul ya d gayrimenkul mal</w:t>
      </w:r>
      <w:r w:rsidRPr="00DC19C7">
        <w:t xml:space="preserve"> sahibi olabilmektedir. Ancak, sistemin işleyişi açısından katılımcı sayısının yeterli olması </w:t>
      </w:r>
      <w:r>
        <w:t xml:space="preserve">ve tüm paydaşların ödemelerini düzenli olarak gerçekleştirmeleri </w:t>
      </w:r>
      <w:r w:rsidRPr="00DC19C7">
        <w:t>büyük önem taşımaktadır.</w:t>
      </w:r>
    </w:p>
    <w:p w14:paraId="4EBBB18F" w14:textId="77777777" w:rsidR="0017453B" w:rsidRPr="00DC19C7" w:rsidRDefault="0017453B" w:rsidP="009C2F96">
      <w:pPr>
        <w:jc w:val="both"/>
      </w:pPr>
    </w:p>
    <w:p w14:paraId="77E2C593" w14:textId="0F677B6E" w:rsidR="00914DCC" w:rsidRDefault="00914DCC" w:rsidP="009C2F96">
      <w:pPr>
        <w:jc w:val="both"/>
      </w:pPr>
      <w:r>
        <w:t xml:space="preserve">1991 yılında </w:t>
      </w:r>
      <w:proofErr w:type="spellStart"/>
      <w:r>
        <w:t>Eminevim</w:t>
      </w:r>
      <w:proofErr w:type="spellEnd"/>
      <w:r>
        <w:t xml:space="preserve"> isimli finansman kuruluşunun faaliyete geçmesi ile başlayan süreç özellikle 2000’lerden itibaren hız kazanmıştır. Günümüzde Türkiye’de faaliyet gösteren 6 finansman şirketi bulunmakta olup her biri Bankacılık Düzenleme ve Denetleme Kurumu gözetiminde, aldıkları lisans doğrultusunda faaliyetlerini devam ettirmektedir. Kamu haber alma kuruluşu Anadolu Ajansı’nın verilerine göre;</w:t>
      </w:r>
      <w:sdt>
        <w:sdtPr>
          <w:id w:val="-315654570"/>
          <w:citation/>
        </w:sdtPr>
        <w:sdtContent>
          <w:r>
            <w:fldChar w:fldCharType="begin"/>
          </w:r>
          <w:r>
            <w:instrText xml:space="preserve"> CITATION Emi24 \l 1055 </w:instrText>
          </w:r>
          <w:r>
            <w:fldChar w:fldCharType="separate"/>
          </w:r>
          <w:r>
            <w:rPr>
              <w:noProof/>
            </w:rPr>
            <w:t xml:space="preserve"> </w:t>
          </w:r>
          <w:r w:rsidRPr="00E76593">
            <w:rPr>
              <w:noProof/>
            </w:rPr>
            <w:t>(Yılmaz, 2024)</w:t>
          </w:r>
          <w:r>
            <w:fldChar w:fldCharType="end"/>
          </w:r>
        </w:sdtContent>
      </w:sdt>
      <w:r>
        <w:t xml:space="preserve"> </w:t>
      </w:r>
      <w:r w:rsidRPr="001B525E">
        <w:t xml:space="preserve">2024 yılının ilk yarısında, bu </w:t>
      </w:r>
      <w:r>
        <w:t xml:space="preserve">niş </w:t>
      </w:r>
      <w:r w:rsidRPr="001B525E">
        <w:t xml:space="preserve">sektörün aktif büyüklüğü </w:t>
      </w:r>
      <w:r>
        <w:t xml:space="preserve">yaklaşık 48 </w:t>
      </w:r>
      <w:r w:rsidRPr="001B525E">
        <w:t xml:space="preserve">milyar TL'ye ulaşmış, öz kaynakları ise </w:t>
      </w:r>
      <w:r>
        <w:t>yaklaşık 18</w:t>
      </w:r>
      <w:r w:rsidRPr="001B525E">
        <w:t xml:space="preserve"> milyar TL olarak kaydedilmiştir. Aynı dönemde, </w:t>
      </w:r>
      <w:r>
        <w:t xml:space="preserve">6 şirketin toplam </w:t>
      </w:r>
      <w:r w:rsidRPr="001B525E">
        <w:t xml:space="preserve">işlem hacmi </w:t>
      </w:r>
      <w:r>
        <w:t xml:space="preserve">ise 110 </w:t>
      </w:r>
      <w:r w:rsidRPr="001B525E">
        <w:t>milyar TL'y</w:t>
      </w:r>
      <w:r>
        <w:t xml:space="preserve">i aşmış </w:t>
      </w:r>
      <w:r w:rsidRPr="001B525E">
        <w:t>ve</w:t>
      </w:r>
      <w:r>
        <w:t xml:space="preserve"> aktif</w:t>
      </w:r>
      <w:r w:rsidRPr="001B525E">
        <w:t xml:space="preserve"> müşteri sayısı </w:t>
      </w:r>
      <w:r>
        <w:t xml:space="preserve">da </w:t>
      </w:r>
      <w:r w:rsidRPr="001B525E">
        <w:t>33</w:t>
      </w:r>
      <w:r>
        <w:t>0.000’lere ulaşmıştır. Bahsi geçen tüm b</w:t>
      </w:r>
      <w:r w:rsidRPr="001B525E">
        <w:t>u veriler, sektörün hızla büyüdüğünü</w:t>
      </w:r>
      <w:r>
        <w:t xml:space="preserve">, </w:t>
      </w:r>
      <w:r w:rsidRPr="001B525E">
        <w:t xml:space="preserve">finansal sistemde </w:t>
      </w:r>
      <w:r>
        <w:t>kayda değer</w:t>
      </w:r>
      <w:r w:rsidRPr="001B525E">
        <w:t xml:space="preserve"> bir yer edindiğini </w:t>
      </w:r>
      <w:r>
        <w:t>ve toplum nezdinde de kabul gördüğünü gözler önüne sermektedir. Ancak tüm bu müspet istatistiki verilere rağmen bahsi geçen sistemin birtakım riskleri vardır ki bunlar katılımcı bireylerin zaman zaman ödemelerini gerçekleştirme konusunda gecikmeleri, sürecin bu ve benzeri nedenlerle uzaması, alternatif çözümlerin sayısının ve kapsamının sınırlılığıdır.</w:t>
      </w:r>
    </w:p>
    <w:p w14:paraId="001410F9" w14:textId="77777777" w:rsidR="0017453B" w:rsidRDefault="0017453B" w:rsidP="009C2F96">
      <w:pPr>
        <w:jc w:val="both"/>
      </w:pPr>
    </w:p>
    <w:p w14:paraId="51C28A4B" w14:textId="77777777" w:rsidR="00914DCC" w:rsidRPr="009F0AE3" w:rsidRDefault="00914DCC" w:rsidP="009C2F96">
      <w:pPr>
        <w:rPr>
          <w:b/>
          <w:bCs/>
        </w:rPr>
      </w:pPr>
      <w:r w:rsidRPr="009F0AE3">
        <w:rPr>
          <w:b/>
          <w:bCs/>
        </w:rPr>
        <w:t xml:space="preserve">İSLAMİ FİNANS SEKTÖRÜNÜN “TÜRKİYE YÜZYILI” HEDEFLERİNE ETKİLERİ: </w:t>
      </w:r>
      <w:r w:rsidRPr="009F0AE3">
        <w:rPr>
          <w:b/>
          <w:bCs/>
          <w:i/>
          <w:iCs/>
        </w:rPr>
        <w:t>12. KALKINMA PLANI DOĞRULTUSUNDA BİR ANALİZ</w:t>
      </w:r>
    </w:p>
    <w:p w14:paraId="361F635D" w14:textId="6D33BA07" w:rsidR="0017453B" w:rsidRDefault="00914DCC" w:rsidP="009C2F96">
      <w:pPr>
        <w:jc w:val="both"/>
      </w:pPr>
      <w:r>
        <w:t xml:space="preserve">Yukarıdaki paragraflarda izah edildiği üzere İslami finans, Türk toplumunun ve finansal hayatının başat unsurlarından biri haline gelmiştir. Sadece Türk vatandaşlarına değil aynı zamanda yabancı gerçek ve tüzel kişilere de hizmet sunmakta olan ve her geçen gün uluslararası faaliyet alanını da genişleten bu niş finansal kurumların sadece ekonomik değil aynı zamanda politik birtakım fonksiyonlarının da olduğu düşünülmektedir. Özellikle de Türkiye’nin “Türkiye Yüzyılı” konsepti altındaki bölgesel ölçekli jeopolitik ve jeoekonomik hedefleri dikkate alındığında bu finans kuruluşlarının başka birtakım fonksiyonları daha üstlenebileceği tasavvur edilmektedir. Dahası katılım bankalarının, tasarruf finansman şirketlerinin ve </w:t>
      </w:r>
      <w:proofErr w:type="spellStart"/>
      <w:r>
        <w:t>TKBB’nin</w:t>
      </w:r>
      <w:proofErr w:type="spellEnd"/>
      <w:r>
        <w:t xml:space="preserve"> son yıllarda;</w:t>
      </w:r>
    </w:p>
    <w:p w14:paraId="37D8841F" w14:textId="77777777" w:rsidR="0017453B" w:rsidRDefault="0017453B" w:rsidP="009C2F96">
      <w:pPr>
        <w:jc w:val="both"/>
      </w:pPr>
    </w:p>
    <w:p w14:paraId="4E64CC75" w14:textId="0DD9F3B0" w:rsidR="00914DCC" w:rsidRDefault="00914DCC">
      <w:pPr>
        <w:pStyle w:val="ListeParagraf"/>
        <w:widowControl/>
        <w:numPr>
          <w:ilvl w:val="0"/>
          <w:numId w:val="11"/>
        </w:numPr>
        <w:autoSpaceDE/>
        <w:autoSpaceDN/>
        <w:jc w:val="both"/>
      </w:pPr>
      <w:r w:rsidRPr="00926A28">
        <w:t>Malezya İslami Bankacılık ve Finans Kurumları Birliği,</w:t>
      </w:r>
    </w:p>
    <w:p w14:paraId="0C0477E7" w14:textId="77777777" w:rsidR="00914DCC" w:rsidRDefault="00914DCC" w:rsidP="009C2F96">
      <w:pPr>
        <w:pStyle w:val="ListeParagraf"/>
        <w:jc w:val="both"/>
      </w:pPr>
    </w:p>
    <w:p w14:paraId="227892C4" w14:textId="77777777" w:rsidR="00914DCC" w:rsidRDefault="00914DCC">
      <w:pPr>
        <w:pStyle w:val="ListeParagraf"/>
        <w:widowControl/>
        <w:numPr>
          <w:ilvl w:val="0"/>
          <w:numId w:val="11"/>
        </w:numPr>
        <w:autoSpaceDE/>
        <w:autoSpaceDN/>
        <w:jc w:val="both"/>
      </w:pPr>
      <w:r w:rsidRPr="00926A28">
        <w:t>Batı Afrika Bankacılar Birliği</w:t>
      </w:r>
      <w:r>
        <w:t>,</w:t>
      </w:r>
    </w:p>
    <w:p w14:paraId="06A32560" w14:textId="77777777" w:rsidR="00914DCC" w:rsidRPr="0001002D" w:rsidRDefault="00914DCC" w:rsidP="009C2F96">
      <w:pPr>
        <w:pStyle w:val="ListeParagraf"/>
      </w:pPr>
    </w:p>
    <w:p w14:paraId="3BDD81E2" w14:textId="77777777" w:rsidR="00914DCC" w:rsidRDefault="00914DCC">
      <w:pPr>
        <w:pStyle w:val="ListeParagraf"/>
        <w:widowControl/>
        <w:numPr>
          <w:ilvl w:val="0"/>
          <w:numId w:val="11"/>
        </w:numPr>
        <w:autoSpaceDE/>
        <w:autoSpaceDN/>
        <w:jc w:val="both"/>
      </w:pPr>
      <w:r>
        <w:t>A</w:t>
      </w:r>
      <w:r w:rsidRPr="00926A28">
        <w:t>zerbaycan Bankalar Birliği</w:t>
      </w:r>
      <w:r>
        <w:t>,</w:t>
      </w:r>
    </w:p>
    <w:p w14:paraId="3BCC82CF" w14:textId="77777777" w:rsidR="00914DCC" w:rsidRPr="0001002D" w:rsidRDefault="00914DCC" w:rsidP="009C2F96">
      <w:pPr>
        <w:pStyle w:val="ListeParagraf"/>
      </w:pPr>
    </w:p>
    <w:p w14:paraId="2FC31285" w14:textId="77777777" w:rsidR="00914DCC" w:rsidRDefault="00914DCC">
      <w:pPr>
        <w:pStyle w:val="ListeParagraf"/>
        <w:widowControl/>
        <w:numPr>
          <w:ilvl w:val="0"/>
          <w:numId w:val="11"/>
        </w:numPr>
        <w:autoSpaceDE/>
        <w:autoSpaceDN/>
        <w:jc w:val="both"/>
      </w:pPr>
      <w:r w:rsidRPr="006A130E">
        <w:t>Özbekistan Bankalar Birliği</w:t>
      </w:r>
      <w:r>
        <w:t>,</w:t>
      </w:r>
    </w:p>
    <w:p w14:paraId="69AA518E" w14:textId="77777777" w:rsidR="00914DCC" w:rsidRPr="0001002D" w:rsidRDefault="00914DCC" w:rsidP="009C2F96">
      <w:pPr>
        <w:pStyle w:val="ListeParagraf"/>
      </w:pPr>
    </w:p>
    <w:p w14:paraId="46079B3D" w14:textId="77777777" w:rsidR="00914DCC" w:rsidRDefault="00914DCC">
      <w:pPr>
        <w:pStyle w:val="ListeParagraf"/>
        <w:widowControl/>
        <w:numPr>
          <w:ilvl w:val="0"/>
          <w:numId w:val="11"/>
        </w:numPr>
        <w:autoSpaceDE/>
        <w:autoSpaceDN/>
        <w:jc w:val="both"/>
      </w:pPr>
      <w:r w:rsidRPr="006A130E">
        <w:t>Bahreyn Bankalar Birliği</w:t>
      </w:r>
    </w:p>
    <w:p w14:paraId="2CDB4728" w14:textId="77777777" w:rsidR="00914DCC" w:rsidRPr="006F1C8B" w:rsidRDefault="00914DCC" w:rsidP="009C2F96">
      <w:pPr>
        <w:pStyle w:val="ListeParagraf"/>
      </w:pPr>
    </w:p>
    <w:p w14:paraId="734594C2" w14:textId="77777777" w:rsidR="00914DCC" w:rsidRDefault="00914DCC">
      <w:pPr>
        <w:pStyle w:val="ListeParagraf"/>
        <w:widowControl/>
        <w:numPr>
          <w:ilvl w:val="0"/>
          <w:numId w:val="11"/>
        </w:numPr>
        <w:autoSpaceDE/>
        <w:autoSpaceDN/>
        <w:jc w:val="both"/>
      </w:pPr>
      <w:r w:rsidRPr="006A130E">
        <w:t>Birleşik Arap Emirlikleri Bankalar Federasyonu</w:t>
      </w:r>
      <w:r>
        <w:t>,</w:t>
      </w:r>
    </w:p>
    <w:p w14:paraId="4F68BE67" w14:textId="77777777" w:rsidR="00914DCC" w:rsidRDefault="00914DCC" w:rsidP="009C2F96">
      <w:pPr>
        <w:pStyle w:val="ListeParagraf"/>
        <w:jc w:val="both"/>
      </w:pPr>
    </w:p>
    <w:p w14:paraId="005D4CDD" w14:textId="77777777" w:rsidR="00914DCC" w:rsidRDefault="00914DCC">
      <w:pPr>
        <w:pStyle w:val="ListeParagraf"/>
        <w:widowControl/>
        <w:numPr>
          <w:ilvl w:val="0"/>
          <w:numId w:val="11"/>
        </w:numPr>
        <w:autoSpaceDE/>
        <w:autoSpaceDN/>
        <w:jc w:val="both"/>
      </w:pPr>
      <w:r w:rsidRPr="006A130E">
        <w:t>Filistin Bankalar Birliği</w:t>
      </w:r>
      <w:r>
        <w:t>,</w:t>
      </w:r>
    </w:p>
    <w:p w14:paraId="165A6CCA" w14:textId="77777777" w:rsidR="00914DCC" w:rsidRDefault="00914DCC" w:rsidP="009C2F96">
      <w:pPr>
        <w:pStyle w:val="ListeParagraf"/>
        <w:jc w:val="both"/>
      </w:pPr>
    </w:p>
    <w:p w14:paraId="260C4532" w14:textId="77777777" w:rsidR="00914DCC" w:rsidRDefault="00914DCC">
      <w:pPr>
        <w:pStyle w:val="ListeParagraf"/>
        <w:widowControl/>
        <w:numPr>
          <w:ilvl w:val="0"/>
          <w:numId w:val="11"/>
        </w:numPr>
        <w:autoSpaceDE/>
        <w:autoSpaceDN/>
        <w:jc w:val="both"/>
      </w:pPr>
      <w:r w:rsidRPr="006A130E">
        <w:t>Türk Devletleri Banka Birlikleri Konseyi</w:t>
      </w:r>
      <w:r>
        <w:t>,</w:t>
      </w:r>
    </w:p>
    <w:p w14:paraId="3FC75FC5" w14:textId="77777777" w:rsidR="00914DCC" w:rsidRPr="0001002D" w:rsidRDefault="00914DCC" w:rsidP="009C2F96">
      <w:pPr>
        <w:pStyle w:val="ListeParagraf"/>
      </w:pPr>
    </w:p>
    <w:p w14:paraId="5EB1D4FE" w14:textId="77777777" w:rsidR="00914DCC" w:rsidRDefault="00914DCC">
      <w:pPr>
        <w:pStyle w:val="ListeParagraf"/>
        <w:widowControl/>
        <w:numPr>
          <w:ilvl w:val="0"/>
          <w:numId w:val="11"/>
        </w:numPr>
        <w:autoSpaceDE/>
        <w:autoSpaceDN/>
        <w:jc w:val="both"/>
      </w:pPr>
      <w:r w:rsidRPr="006A130E">
        <w:t>Bahreyn Bankacılık ve Finans Enstitüsü</w:t>
      </w:r>
      <w:r>
        <w:t>,</w:t>
      </w:r>
    </w:p>
    <w:p w14:paraId="6744F89A" w14:textId="77777777" w:rsidR="00914DCC" w:rsidRPr="00055A95" w:rsidRDefault="00914DCC" w:rsidP="009C2F96">
      <w:pPr>
        <w:pStyle w:val="ListeParagraf"/>
      </w:pPr>
    </w:p>
    <w:p w14:paraId="5C020E1A" w14:textId="77777777" w:rsidR="00914DCC" w:rsidRDefault="00914DCC">
      <w:pPr>
        <w:pStyle w:val="ListeParagraf"/>
        <w:widowControl/>
        <w:numPr>
          <w:ilvl w:val="0"/>
          <w:numId w:val="11"/>
        </w:numPr>
        <w:autoSpaceDE/>
        <w:autoSpaceDN/>
        <w:jc w:val="both"/>
      </w:pPr>
      <w:r w:rsidRPr="0001002D">
        <w:t>Uluslararası İslami Likidite Yönetimi Kuruluşu,</w:t>
      </w:r>
    </w:p>
    <w:p w14:paraId="55E3D356" w14:textId="77777777" w:rsidR="00914DCC" w:rsidRPr="0001002D" w:rsidRDefault="00914DCC" w:rsidP="009C2F96">
      <w:pPr>
        <w:pStyle w:val="ListeParagraf"/>
      </w:pPr>
    </w:p>
    <w:p w14:paraId="202F668E" w14:textId="7D666C18" w:rsidR="00914DCC" w:rsidRDefault="00914DCC">
      <w:pPr>
        <w:pStyle w:val="ListeParagraf"/>
        <w:widowControl/>
        <w:numPr>
          <w:ilvl w:val="0"/>
          <w:numId w:val="11"/>
        </w:numPr>
        <w:autoSpaceDE/>
        <w:autoSpaceDN/>
        <w:jc w:val="both"/>
      </w:pPr>
      <w:r w:rsidRPr="0001002D">
        <w:t>İslami Bankalar ve Finans Kurumları Genel Konseyi,</w:t>
      </w:r>
    </w:p>
    <w:p w14:paraId="36CDC8B9" w14:textId="77777777" w:rsidR="0017453B" w:rsidRPr="0001002D" w:rsidRDefault="0017453B" w:rsidP="0017453B">
      <w:pPr>
        <w:widowControl/>
        <w:autoSpaceDE/>
        <w:autoSpaceDN/>
        <w:jc w:val="both"/>
      </w:pPr>
    </w:p>
    <w:p w14:paraId="557E2708" w14:textId="77777777" w:rsidR="00914DCC" w:rsidRDefault="00914DCC" w:rsidP="009C2F96">
      <w:pPr>
        <w:jc w:val="both"/>
      </w:pPr>
      <w:proofErr w:type="gramStart"/>
      <w:r w:rsidRPr="00723E11">
        <w:t>gibi</w:t>
      </w:r>
      <w:proofErr w:type="gramEnd"/>
      <w:r w:rsidRPr="00723E11">
        <w:t xml:space="preserve"> İslami </w:t>
      </w:r>
      <w:r>
        <w:t>finans konseptinin önemli temsilcileriyle işbirliği içerisinde girmeleri de bu fonksiyonları desteklemektedir</w:t>
      </w:r>
      <w:sdt>
        <w:sdtPr>
          <w:id w:val="-1900588929"/>
          <w:citation/>
        </w:sdtPr>
        <w:sdtContent>
          <w:r>
            <w:fldChar w:fldCharType="begin"/>
          </w:r>
          <w:r>
            <w:instrText xml:space="preserve"> CITATION Tür24 \l 1055 </w:instrText>
          </w:r>
          <w:r>
            <w:fldChar w:fldCharType="separate"/>
          </w:r>
          <w:r>
            <w:rPr>
              <w:noProof/>
            </w:rPr>
            <w:t xml:space="preserve"> </w:t>
          </w:r>
          <w:r w:rsidRPr="00027A00">
            <w:rPr>
              <w:noProof/>
            </w:rPr>
            <w:t>(Türkiye Katılım Bankaları Birliği, 2024)</w:t>
          </w:r>
          <w:r>
            <w:fldChar w:fldCharType="end"/>
          </w:r>
        </w:sdtContent>
      </w:sdt>
      <w:r>
        <w:t>.</w:t>
      </w:r>
    </w:p>
    <w:p w14:paraId="63AC48C1" w14:textId="426DCF77" w:rsidR="00914DCC" w:rsidRDefault="00914DCC" w:rsidP="009C2F96">
      <w:pPr>
        <w:jc w:val="both"/>
      </w:pPr>
      <w:r>
        <w:t>Türk İslami finans kuruluşlarının ve bizatihi sistemin gerçekleşmesine yardımcı olabileceği jeopolitik ve jeoekonomik hedeflerin neler olduğunu anlamak için ise T.C. Cumhurbaşkanlığı Strateji ve Bütçe Başkanlığı tarafından hazırlanan 2024-2028 arasını kapsayan 12. Kalkınma Raporu’nun ilgili maddelerine odaklanmak gerekmektedir. Bu minvalde, Kalkınma Planında yer alan aşağıdaki hedeflerin gerçekleşmesi için İslami finans konseptinden ve kuruluşlarından istifade etmek yerinde bir yaklaşım olacaktır</w:t>
      </w:r>
      <w:sdt>
        <w:sdtPr>
          <w:id w:val="-1890567089"/>
          <w:citation/>
        </w:sdtPr>
        <w:sdtContent>
          <w:r>
            <w:fldChar w:fldCharType="begin"/>
          </w:r>
          <w:r>
            <w:instrText xml:space="preserve">CITATION Tür23 \l 1055 </w:instrText>
          </w:r>
          <w:r>
            <w:fldChar w:fldCharType="separate"/>
          </w:r>
          <w:r>
            <w:rPr>
              <w:noProof/>
            </w:rPr>
            <w:t xml:space="preserve"> </w:t>
          </w:r>
          <w:r w:rsidRPr="00027A00">
            <w:rPr>
              <w:noProof/>
            </w:rPr>
            <w:t>(Türkiye Cumhuriyeti Cumhurbaşkanlığı Strateji ve Bütçe Başkanlığı, 2023)</w:t>
          </w:r>
          <w:r>
            <w:fldChar w:fldCharType="end"/>
          </w:r>
        </w:sdtContent>
      </w:sdt>
      <w:r>
        <w:t>:</w:t>
      </w:r>
    </w:p>
    <w:p w14:paraId="34D28F31" w14:textId="77777777" w:rsidR="0017453B" w:rsidRDefault="0017453B" w:rsidP="009C2F96">
      <w:pPr>
        <w:jc w:val="both"/>
      </w:pPr>
    </w:p>
    <w:p w14:paraId="636FEEB3"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Madde 279 (sf. 49): İstanbul Finans Merkezi (İFM)’</w:t>
      </w:r>
      <w:proofErr w:type="spellStart"/>
      <w:r w:rsidRPr="0001002D">
        <w:rPr>
          <w:i/>
          <w:iCs/>
        </w:rPr>
        <w:t>nin</w:t>
      </w:r>
      <w:proofErr w:type="spellEnd"/>
      <w:r w:rsidRPr="0001002D">
        <w:rPr>
          <w:i/>
          <w:iCs/>
        </w:rPr>
        <w:t xml:space="preserve"> öncülüğünde finansal teknolojilerin gelişimi sağlanarak </w:t>
      </w:r>
      <w:proofErr w:type="spellStart"/>
      <w:r w:rsidRPr="0001002D">
        <w:rPr>
          <w:i/>
          <w:iCs/>
        </w:rPr>
        <w:t>fintek</w:t>
      </w:r>
      <w:proofErr w:type="spellEnd"/>
      <w:r w:rsidRPr="0001002D">
        <w:rPr>
          <w:i/>
          <w:iCs/>
        </w:rPr>
        <w:t xml:space="preserve"> faaliyetlerinin ölçek ve etkinliğinde Türkiye dünyada önde gelen ülkeler arasında yer alacaktır. 2053 Türkiye’sinde özel sektör yatırımlarının ağırlıkla sermaye piyasalarınca fonlandığı, kitle fonlama platformlarının yaygınlaştığı ve derinleştiği bir sermaye piyasası faaliyet gösterecek, özkaynak ağırlıklı fonlamaya öncelik verilecektir. Sermaye piyasalarının derinleşmesi </w:t>
      </w:r>
      <w:proofErr w:type="gramStart"/>
      <w:r w:rsidRPr="0001002D">
        <w:rPr>
          <w:i/>
          <w:iCs/>
        </w:rPr>
        <w:t>ile birlikte</w:t>
      </w:r>
      <w:proofErr w:type="gramEnd"/>
      <w:r w:rsidRPr="0001002D">
        <w:rPr>
          <w:i/>
          <w:iCs/>
        </w:rPr>
        <w:t xml:space="preserve"> borsada işlem gören şirketler milli gelir seviyesi büyüklüğünün üzerinde bir piyasa değerine ulaşacaktır.</w:t>
      </w:r>
    </w:p>
    <w:p w14:paraId="58253A05" w14:textId="77777777" w:rsidR="00914DCC" w:rsidRPr="0001002D" w:rsidRDefault="00914DCC" w:rsidP="009C2F96">
      <w:pPr>
        <w:pStyle w:val="ListeParagraf"/>
        <w:ind w:left="426"/>
        <w:jc w:val="both"/>
        <w:rPr>
          <w:i/>
          <w:iCs/>
        </w:rPr>
      </w:pPr>
    </w:p>
    <w:p w14:paraId="272FA85C"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Madde 286 (sf.51): Uzun vadeli gelişme stratejisinin ilk beş yıllık dönemini kapsayacak olan On İkinci Kalkınma Planında, milletimizin temel değerlerini ve beklentilerini esas alarak ekonomik ve sosyal kalkınmayı sağlamak suretiyle ülkemizin uluslararası konumunun yükseltilmesi ve refahın artırılması amaçlanmaktadır.</w:t>
      </w:r>
    </w:p>
    <w:p w14:paraId="6A5AA364" w14:textId="77777777" w:rsidR="00914DCC" w:rsidRPr="0001002D" w:rsidRDefault="00914DCC" w:rsidP="009C2F96">
      <w:pPr>
        <w:pStyle w:val="ListeParagraf"/>
        <w:rPr>
          <w:i/>
          <w:iCs/>
        </w:rPr>
      </w:pPr>
    </w:p>
    <w:p w14:paraId="323B2898"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 xml:space="preserve">Madde 287 (sf.51): Bu çerçevede, Türkiye’nin yüksek gelir grubu ülkeler ile en yüksek insani gelişmişlik seviyesindeki ülkeler arasına girmesi hedefleri doğrultusunda Planda; …makroekonomide istikrar ve </w:t>
      </w:r>
      <w:proofErr w:type="gramStart"/>
      <w:r w:rsidRPr="0001002D">
        <w:rPr>
          <w:i/>
          <w:iCs/>
        </w:rPr>
        <w:t>sürdürülebilirlik,…</w:t>
      </w:r>
      <w:proofErr w:type="gramEnd"/>
      <w:r w:rsidRPr="0001002D">
        <w:rPr>
          <w:i/>
          <w:iCs/>
        </w:rPr>
        <w:t>uluslararası işbirliklerinin ve stratejik ortaklıkların güçlendirilmesi sağlanacaktır.</w:t>
      </w:r>
    </w:p>
    <w:p w14:paraId="22910CF6" w14:textId="77777777" w:rsidR="00914DCC" w:rsidRPr="0001002D" w:rsidRDefault="00914DCC" w:rsidP="009C2F96">
      <w:pPr>
        <w:pStyle w:val="ListeParagraf"/>
        <w:rPr>
          <w:i/>
          <w:iCs/>
        </w:rPr>
      </w:pPr>
    </w:p>
    <w:p w14:paraId="31AB069F"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 xml:space="preserve">Madde 304 (sf.54): Ülkemizin küresel bir finans merkezi ve uluslararası sermaye için güvenli bir liman olması amacı doğrultusunda, sermaye piyasalarını geliştirecek, </w:t>
      </w:r>
      <w:proofErr w:type="spellStart"/>
      <w:r w:rsidRPr="0001002D">
        <w:rPr>
          <w:i/>
          <w:iCs/>
        </w:rPr>
        <w:t>fintek</w:t>
      </w:r>
      <w:proofErr w:type="spellEnd"/>
      <w:r w:rsidRPr="0001002D">
        <w:rPr>
          <w:i/>
          <w:iCs/>
        </w:rPr>
        <w:t xml:space="preserve"> ekosistemini güçlendirecek, katılım finansın kurumsal yapısını güçlendirecek ve mevzuat altyapısını geliştirecek adımlar atılacaktır.</w:t>
      </w:r>
    </w:p>
    <w:p w14:paraId="0929BFA8" w14:textId="77777777" w:rsidR="00914DCC" w:rsidRPr="0001002D" w:rsidRDefault="00914DCC" w:rsidP="009C2F96">
      <w:pPr>
        <w:pStyle w:val="ListeParagraf"/>
        <w:rPr>
          <w:i/>
          <w:iCs/>
        </w:rPr>
      </w:pPr>
    </w:p>
    <w:p w14:paraId="21AA44DC"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Madde 325 (sf.56): Uluslararası sermayenin ülkemize çekilmesine yönelik sermaye hareketlerinin serbestliği ilkesi doğrultusunda uygulamalara devam edilecektir. Sağlıklı finansman kanalları güçlendirilerek cari işlemler açığının finansmanında orta ve uzun dönemli kaynakların miktar ve çeşitliliğinin artırılması sağlanacaktır. Böylelikle, Türkiye’nin potansiyel büyüme sınırlarının artırılmasına yönelik dış tasarrufların ekonomiye kazandırılmasında ivmelenme sağlanacaktır.</w:t>
      </w:r>
    </w:p>
    <w:p w14:paraId="1C206193" w14:textId="77777777" w:rsidR="00914DCC" w:rsidRPr="0001002D" w:rsidRDefault="00914DCC" w:rsidP="009C2F96">
      <w:pPr>
        <w:pStyle w:val="ListeParagraf"/>
        <w:rPr>
          <w:i/>
          <w:iCs/>
        </w:rPr>
      </w:pPr>
    </w:p>
    <w:p w14:paraId="214BF9FA"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Madde 364.8 (sf.66): Finansal hizmet ihracatı hacmini artırmak üzere, değişen küresel ve bölgesel ihtiyaçlara yönelik İstanbul Finans Merkezi odağında rekabetçi bir finansal ekosistem oluşturulacaktır.</w:t>
      </w:r>
    </w:p>
    <w:p w14:paraId="7AC1C0C9" w14:textId="77777777" w:rsidR="00914DCC" w:rsidRPr="0001002D" w:rsidRDefault="00914DCC" w:rsidP="009C2F96">
      <w:pPr>
        <w:pStyle w:val="ListeParagraf"/>
        <w:rPr>
          <w:i/>
          <w:iCs/>
        </w:rPr>
      </w:pPr>
    </w:p>
    <w:p w14:paraId="760DDE78" w14:textId="77777777" w:rsidR="00914DCC" w:rsidRPr="0001002D" w:rsidRDefault="00914DCC">
      <w:pPr>
        <w:pStyle w:val="ListeParagraf"/>
        <w:widowControl/>
        <w:numPr>
          <w:ilvl w:val="0"/>
          <w:numId w:val="12"/>
        </w:numPr>
        <w:autoSpaceDE/>
        <w:autoSpaceDN/>
        <w:ind w:left="0" w:firstLine="426"/>
        <w:jc w:val="both"/>
        <w:rPr>
          <w:i/>
          <w:iCs/>
        </w:rPr>
      </w:pPr>
      <w:r w:rsidRPr="0001002D">
        <w:rPr>
          <w:i/>
          <w:iCs/>
        </w:rPr>
        <w:t>Madde 383.1 (sf.72): İstanbul Finans Merkezinin uluslararası finans sistemine entegrasyonu güçlendirilecektir.</w:t>
      </w:r>
    </w:p>
    <w:p w14:paraId="0D1CA0C0" w14:textId="77777777" w:rsidR="00914DCC" w:rsidRPr="0001002D" w:rsidRDefault="00914DCC" w:rsidP="009C2F96">
      <w:pPr>
        <w:pStyle w:val="ListeParagraf"/>
        <w:rPr>
          <w:i/>
          <w:iCs/>
        </w:rPr>
      </w:pPr>
    </w:p>
    <w:p w14:paraId="1E4FA2AB" w14:textId="77777777" w:rsidR="00914DCC" w:rsidRPr="0001002D" w:rsidRDefault="00914DCC">
      <w:pPr>
        <w:pStyle w:val="ListeParagraf"/>
        <w:widowControl/>
        <w:numPr>
          <w:ilvl w:val="0"/>
          <w:numId w:val="12"/>
        </w:numPr>
        <w:autoSpaceDE/>
        <w:autoSpaceDN/>
        <w:jc w:val="both"/>
        <w:rPr>
          <w:i/>
          <w:iCs/>
        </w:rPr>
      </w:pPr>
      <w:r w:rsidRPr="0001002D">
        <w:rPr>
          <w:i/>
          <w:iCs/>
        </w:rPr>
        <w:t>Madde 384.4 (sf.72): Tasarruf finansman hizmeti yaygınlaştırılacaktır.</w:t>
      </w:r>
    </w:p>
    <w:p w14:paraId="70204772" w14:textId="77777777" w:rsidR="00914DCC" w:rsidRPr="003614AE" w:rsidRDefault="00914DCC" w:rsidP="009C2F96">
      <w:pPr>
        <w:pStyle w:val="ListeParagraf"/>
      </w:pPr>
    </w:p>
    <w:p w14:paraId="2161CBA3" w14:textId="09BCCFCA" w:rsidR="00914DCC" w:rsidRDefault="00914DCC" w:rsidP="009C2F96">
      <w:pPr>
        <w:jc w:val="both"/>
      </w:pPr>
      <w:r>
        <w:t>Bahsi geçen tüm bu hedeflerin ve daha fazlasının gerçekleşmesinde, Türkiye’nin tıpkı Malezya ya da Bahreyn gibi bir küresel / bölgesel finans merkezi olmasında İslami finans sisteminin ve aktörlerinin somut bir rol üstlenebileceği düşünülmektedir. Zira bu niş aktörlerin özellikli yapıları ve hizmetleri sayesinde yine işbu çalışmanın önceki sayfalarında belirtilen kuruluşlar ve niceleriyle daha birçok farklı alanda çalışma yürütülebilecek ve nihayetinde Türkiye’nin hem sıcak para ihtiyacı karşılanacak hem de uluslararası finansal piyasalardaki itibarı ve konumu güçlenecektir. Bu durum da beraberinde Türkiye’nin jeopolitik ve jeoekonomik hedeflerinin gerçekleşmesine adeta birer katalizör görevi görecektir.</w:t>
      </w:r>
    </w:p>
    <w:p w14:paraId="0D7E6693" w14:textId="77777777" w:rsidR="0017453B" w:rsidRDefault="0017453B" w:rsidP="009C2F96">
      <w:pPr>
        <w:jc w:val="both"/>
      </w:pPr>
    </w:p>
    <w:p w14:paraId="3FCE035B" w14:textId="77777777" w:rsidR="00914DCC" w:rsidRDefault="00914DCC" w:rsidP="009C2F96">
      <w:pPr>
        <w:jc w:val="both"/>
      </w:pPr>
      <w:r>
        <w:t xml:space="preserve">Ancak tüm bu olumlu projeksiyonlara karşın birtakım olumsuzlukların ve risklerin de söz konusu olduğu unutulmamalıdır. Öyle ki; </w:t>
      </w:r>
      <w:r w:rsidRPr="0001002D">
        <w:t xml:space="preserve">İslami finans sektörü, Türkiye’nin “Türkiye Yüzyılı” hedefleri doğrultusunda önemli bir potansiyele sahip olsa da bu sistemin etkin şekilde işleyebilmesi için bazı zorluklar da bulunmaktadır. Finansal sistemin uluslararası düzeydeki büyümesi, sektördeki regülasyon eksiklikleri ve mevzuat altyapısının yetersizliği gibi engellerle karşılaşabilir. Ayrıca, İslami finansın prensipleri gereği faizsiz bir yapının benimsenmesi, yatırımcılar için belirli sınırlamaları ve riskleri de beraberinde getirebilir. Türkiye’nin küresel finans merkezi olma hedefi, bu sektörü güçlendirmeyi gerektirirken, geleneksel bankacılık sistemleriyle entegrasyon ve uyum sorunları da yaşanabilir. İslami finansın sadece belirli bir kesime hitap etmesi, sermaye piyasalarının derinleşmesi sürecinde bir kısıtlama yaratabilir. Ayrıca, küresel ekonomik dalgalanmalara karşı daha savunmasız olma riski, sektörün uluslararası </w:t>
      </w:r>
      <w:proofErr w:type="gramStart"/>
      <w:r w:rsidRPr="0001002D">
        <w:t>işbirliklerine</w:t>
      </w:r>
      <w:proofErr w:type="gramEnd"/>
      <w:r w:rsidRPr="0001002D">
        <w:t xml:space="preserve"> dayalı büyümesini zorlaştırabilir. Bu eksiklikler göz önünde bulundurulduğunda, İslami finansın Türkiye’nin jeopolitik ve ekonomik hedeflerine katkı sağlaması, ancak sağlam bir yasal altyapı ve sektörel reformlarla desteklenmesi gereken bir süreçtir.</w:t>
      </w:r>
    </w:p>
    <w:p w14:paraId="2241CDEC" w14:textId="77777777" w:rsidR="0017453B" w:rsidRPr="003614AE" w:rsidRDefault="0017453B" w:rsidP="009C2F96">
      <w:pPr>
        <w:jc w:val="both"/>
      </w:pPr>
    </w:p>
    <w:p w14:paraId="5D639D69" w14:textId="77777777" w:rsidR="00914DCC" w:rsidRPr="00055A95" w:rsidRDefault="00914DCC" w:rsidP="009C2F96">
      <w:pPr>
        <w:jc w:val="both"/>
        <w:rPr>
          <w:b/>
          <w:bCs/>
        </w:rPr>
      </w:pPr>
      <w:r w:rsidRPr="00055A95">
        <w:rPr>
          <w:b/>
          <w:bCs/>
        </w:rPr>
        <w:t>SONUÇ</w:t>
      </w:r>
    </w:p>
    <w:p w14:paraId="519ABFCD" w14:textId="2B7C3DC5" w:rsidR="00914DCC" w:rsidRDefault="00914DCC" w:rsidP="009C2F96">
      <w:pPr>
        <w:jc w:val="both"/>
      </w:pPr>
      <w:r w:rsidRPr="0001002D">
        <w:t>İslami finans sektörü, Türkiye’nin “Türkiye Yüzyılı” hedeflerine ulaşması</w:t>
      </w:r>
      <w:r>
        <w:t xml:space="preserve"> ve daha spesifik olarak 12.Kalkınma Planlarına erişmesi noktasında</w:t>
      </w:r>
      <w:r w:rsidRPr="0001002D">
        <w:t xml:space="preserve"> önemli bir araç olarak öne çıkmaktadır. Sektörün, özellikle İstanbul Finans Merkezi ve küresel finansal entegrasyon gibi hedeflere katkı sağlama potansiyeli </w:t>
      </w:r>
      <w:r>
        <w:t>göz ardı edilemezdir</w:t>
      </w:r>
      <w:r w:rsidRPr="0001002D">
        <w:t xml:space="preserve">. İslami finansın büyümesi, finansal teknolojilerin geliştirilmesi ve sermaye piyasalarının derinleşmesi gibi kalkınma planındaki unsurların hayata geçirilmesine </w:t>
      </w:r>
      <w:r>
        <w:t xml:space="preserve">de </w:t>
      </w:r>
      <w:r w:rsidRPr="0001002D">
        <w:t>hız kazandırabilir</w:t>
      </w:r>
      <w:r>
        <w:t xml:space="preserve"> ve Türk kamu kuruluşlarının da elini güçlendirebilir.</w:t>
      </w:r>
      <w:r w:rsidRPr="0001002D">
        <w:t xml:space="preserve"> Türkiye’nin küresel bir finans merkezi olma yolundaki stratejileri, İslami finansın sağlayacağı uluslararası </w:t>
      </w:r>
      <w:proofErr w:type="gramStart"/>
      <w:r w:rsidRPr="0001002D">
        <w:t>işbirlikleriyle</w:t>
      </w:r>
      <w:proofErr w:type="gramEnd"/>
      <w:r w:rsidRPr="0001002D">
        <w:t xml:space="preserve"> pekişebilir</w:t>
      </w:r>
      <w:r>
        <w:t xml:space="preserve"> ve bu da kısa, orta ve uzun vadede Türk ekonomisi ve Türk siyaseti için yeni kapılar açabilir. İ</w:t>
      </w:r>
      <w:r w:rsidRPr="0001002D">
        <w:t xml:space="preserve">slami finans kuruluşlarının küresel ölçekteki etkinlikleri, Türkiye’nin sıcak para ihtiyacını karşılamakla kalmayıp, aynı zamanda uluslararası ekonomik prestijini </w:t>
      </w:r>
      <w:r>
        <w:t xml:space="preserve">arttırma yolunda somut bir potansiyel arz etmektedir ki sektöre dair mevcut </w:t>
      </w:r>
      <w:r>
        <w:lastRenderedPageBreak/>
        <w:t xml:space="preserve">istatistikler bu hipotezi destekler niteliktedir. Her ne kadar </w:t>
      </w:r>
      <w:proofErr w:type="gramStart"/>
      <w:r>
        <w:t>bir takım</w:t>
      </w:r>
      <w:proofErr w:type="gramEnd"/>
      <w:r>
        <w:t xml:space="preserve"> eksiklikler ve riskler mevut olsa da u</w:t>
      </w:r>
      <w:r w:rsidRPr="0001002D">
        <w:t>zun vadede, bu sektörün güçlendirilmesi, Türkiye’nin ekonomik büyümesini destekle</w:t>
      </w:r>
      <w:r>
        <w:t>yip yeni istihdam olanakları yaratırken</w:t>
      </w:r>
      <w:r w:rsidRPr="0001002D">
        <w:t xml:space="preserve"> </w:t>
      </w:r>
      <w:r>
        <w:t xml:space="preserve">Türkiye’nin sın 20 yıldır proaktif ve disiplinli bir şekilde yürüttüğü </w:t>
      </w:r>
      <w:r w:rsidRPr="0001002D">
        <w:t>jeopolitik</w:t>
      </w:r>
      <w:r>
        <w:t xml:space="preserve"> ve jeoekonomik</w:t>
      </w:r>
      <w:r w:rsidRPr="0001002D">
        <w:t xml:space="preserve"> hedeflere ulaşma</w:t>
      </w:r>
      <w:r>
        <w:t>sında</w:t>
      </w:r>
      <w:r w:rsidRPr="0001002D">
        <w:t xml:space="preserve"> da kritik bir rol oynayacaktır. Bu dinamik, Türkiye’nin bölgesel ve küresel etkisini artırarak, uluslararası düzeyde rekabetçi bir finansal ekosistem oluşturmasına yardımcı </w:t>
      </w:r>
      <w:r>
        <w:t>olacak aynı zamanda Türkiye’nin halihazırda devam eden birtakım ekonomik sorunlarına da olumlu katkı yapabilecektir.</w:t>
      </w:r>
    </w:p>
    <w:p w14:paraId="0B956579" w14:textId="77777777" w:rsidR="0017453B" w:rsidRDefault="0017453B" w:rsidP="009C2F96">
      <w:pPr>
        <w:jc w:val="both"/>
      </w:pPr>
    </w:p>
    <w:p w14:paraId="38BD0293" w14:textId="585A69AF" w:rsidR="00914DCC" w:rsidRDefault="00914DCC" w:rsidP="009C2F96">
      <w:pPr>
        <w:jc w:val="both"/>
      </w:pPr>
      <w:r>
        <w:t xml:space="preserve">Sonuç olarak; </w:t>
      </w:r>
      <w:r w:rsidRPr="005E24E5">
        <w:t>İslami finans sektörü, Türkiye’nin küresel ekonomik aktör olarak büyümesine katkı sağlamanın yanı sıra</w:t>
      </w:r>
      <w:r>
        <w:t xml:space="preserve"> </w:t>
      </w:r>
      <w:r w:rsidRPr="005E24E5">
        <w:t>dış ticaret ve diplomasi alanındaki ilişkileri de pekiştirebilir. İslami finansın uluslararası düzeyde daha fazla tanınması ve benimsenmesi, Türkiye’nin global finansal ekosistemdeki konumunu daha da sağlamlaştıracaktır. Türkiye, bu sektörü etkin bir şekilde kullanarak, finansal krizlere karşı daha dayanıklı bir yapı oluşturabilir ve ekonomik istikrarını sürdürebilir. İslami finans</w:t>
      </w:r>
      <w:r>
        <w:t xml:space="preserve"> konseptinin</w:t>
      </w:r>
      <w:r w:rsidRPr="005E24E5">
        <w:t xml:space="preserve"> büyümesi, Türkiye’nin hedeflerine ulaşmasını hızlandırarak, ülkenin gelecekteki ekonomik ve politik başarısı için temel bir yapı taşı olacak</w:t>
      </w:r>
      <w:r>
        <w:t>tır, bunun için gerekli olan şey ise güçlü bir hukuki altyapı üzerinde yükselen ve devlet kurumlarınca da somut bir şekilde desteklenen dinamik bir finansal / sektörel yapıdır.</w:t>
      </w:r>
    </w:p>
    <w:p w14:paraId="48AF37C7" w14:textId="77777777" w:rsidR="0017453B" w:rsidRPr="0001002D" w:rsidRDefault="0017453B" w:rsidP="009C2F96">
      <w:pPr>
        <w:jc w:val="both"/>
      </w:pPr>
    </w:p>
    <w:p w14:paraId="79F7A25E" w14:textId="2C1CE902" w:rsidR="0017453B" w:rsidRPr="0017453B" w:rsidRDefault="00914DCC" w:rsidP="009C2F96">
      <w:pPr>
        <w:rPr>
          <w:b/>
          <w:bCs/>
        </w:rPr>
      </w:pPr>
      <w:r w:rsidRPr="009F0AE3">
        <w:rPr>
          <w:b/>
          <w:bCs/>
        </w:rPr>
        <w:t>KAYNAKÇA</w:t>
      </w:r>
    </w:p>
    <w:p w14:paraId="35DB1085" w14:textId="77777777" w:rsidR="0017453B" w:rsidRPr="0017453B" w:rsidRDefault="0017453B" w:rsidP="0017453B">
      <w:pPr>
        <w:ind w:left="720" w:hanging="720"/>
      </w:pPr>
      <w:r w:rsidRPr="0017453B">
        <w:rPr>
          <w:b/>
          <w:bCs/>
        </w:rPr>
        <w:t>1.</w:t>
      </w:r>
      <w:r w:rsidRPr="0017453B">
        <w:tab/>
        <w:t xml:space="preserve">Akgül, A. (2019). </w:t>
      </w:r>
      <w:proofErr w:type="spellStart"/>
      <w:r w:rsidRPr="0017453B">
        <w:t>The</w:t>
      </w:r>
      <w:proofErr w:type="spellEnd"/>
      <w:r w:rsidRPr="0017453B">
        <w:t xml:space="preserve"> Case of Atatürk </w:t>
      </w:r>
      <w:proofErr w:type="spellStart"/>
      <w:r w:rsidRPr="0017453B">
        <w:t>Reforms</w:t>
      </w:r>
      <w:proofErr w:type="spellEnd"/>
      <w:r w:rsidRPr="0017453B">
        <w:t xml:space="preserve"> in </w:t>
      </w:r>
      <w:proofErr w:type="spellStart"/>
      <w:r w:rsidRPr="0017453B">
        <w:t>Early</w:t>
      </w:r>
      <w:proofErr w:type="spellEnd"/>
      <w:r w:rsidRPr="0017453B">
        <w:t xml:space="preserve"> </w:t>
      </w:r>
      <w:proofErr w:type="spellStart"/>
      <w:r w:rsidRPr="0017453B">
        <w:t>Turkish</w:t>
      </w:r>
      <w:proofErr w:type="spellEnd"/>
      <w:r w:rsidRPr="0017453B">
        <w:t xml:space="preserve"> </w:t>
      </w:r>
      <w:proofErr w:type="spellStart"/>
      <w:r w:rsidRPr="0017453B">
        <w:t>Republic</w:t>
      </w:r>
      <w:proofErr w:type="spellEnd"/>
      <w:r w:rsidRPr="0017453B">
        <w:t xml:space="preserve"> </w:t>
      </w:r>
      <w:proofErr w:type="spellStart"/>
      <w:r w:rsidRPr="0017453B">
        <w:t>Between</w:t>
      </w:r>
      <w:proofErr w:type="spellEnd"/>
      <w:r w:rsidRPr="0017453B">
        <w:t xml:space="preserve"> 1923-1946 </w:t>
      </w:r>
      <w:proofErr w:type="spellStart"/>
      <w:r w:rsidRPr="0017453B">
        <w:t>From</w:t>
      </w:r>
      <w:proofErr w:type="spellEnd"/>
      <w:r w:rsidRPr="0017453B">
        <w:t xml:space="preserve"> an </w:t>
      </w:r>
      <w:proofErr w:type="spellStart"/>
      <w:r w:rsidRPr="0017453B">
        <w:t>Educational</w:t>
      </w:r>
      <w:proofErr w:type="spellEnd"/>
      <w:r w:rsidRPr="0017453B">
        <w:t xml:space="preserve"> </w:t>
      </w:r>
      <w:proofErr w:type="spellStart"/>
      <w:r w:rsidRPr="0017453B">
        <w:t>Perspective</w:t>
      </w:r>
      <w:proofErr w:type="spellEnd"/>
      <w:r w:rsidRPr="0017453B">
        <w:t xml:space="preserve">. Harvard </w:t>
      </w:r>
      <w:proofErr w:type="spellStart"/>
      <w:r w:rsidRPr="0017453B">
        <w:t>Extension</w:t>
      </w:r>
      <w:proofErr w:type="spellEnd"/>
      <w:r w:rsidRPr="0017453B">
        <w:t xml:space="preserve"> School.</w:t>
      </w:r>
    </w:p>
    <w:p w14:paraId="30159D24" w14:textId="77777777" w:rsidR="0017453B" w:rsidRPr="0017453B" w:rsidRDefault="0017453B" w:rsidP="0017453B">
      <w:pPr>
        <w:ind w:left="720" w:hanging="720"/>
      </w:pPr>
      <w:r w:rsidRPr="0017453B">
        <w:rPr>
          <w:b/>
          <w:bCs/>
        </w:rPr>
        <w:t>2.</w:t>
      </w:r>
      <w:r w:rsidRPr="0017453B">
        <w:tab/>
        <w:t xml:space="preserve">Altıntaş, Y. (2021). </w:t>
      </w:r>
      <w:proofErr w:type="spellStart"/>
      <w:r w:rsidRPr="0017453B">
        <w:t>Evolutionary</w:t>
      </w:r>
      <w:proofErr w:type="spellEnd"/>
      <w:r w:rsidRPr="0017453B">
        <w:t xml:space="preserve"> </w:t>
      </w:r>
      <w:proofErr w:type="spellStart"/>
      <w:r w:rsidRPr="0017453B">
        <w:t>Secularisation</w:t>
      </w:r>
      <w:proofErr w:type="spellEnd"/>
      <w:r w:rsidRPr="0017453B">
        <w:t xml:space="preserve"> of </w:t>
      </w:r>
      <w:proofErr w:type="spellStart"/>
      <w:r w:rsidRPr="0017453B">
        <w:t>the</w:t>
      </w:r>
      <w:proofErr w:type="spellEnd"/>
      <w:r w:rsidRPr="0017453B">
        <w:t xml:space="preserve"> </w:t>
      </w:r>
      <w:proofErr w:type="spellStart"/>
      <w:r w:rsidRPr="0017453B">
        <w:t>Ottoman</w:t>
      </w:r>
      <w:proofErr w:type="spellEnd"/>
      <w:r w:rsidRPr="0017453B">
        <w:t xml:space="preserve"> </w:t>
      </w:r>
      <w:proofErr w:type="spellStart"/>
      <w:r w:rsidRPr="0017453B">
        <w:t>Law</w:t>
      </w:r>
      <w:proofErr w:type="spellEnd"/>
      <w:r w:rsidRPr="0017453B">
        <w:t xml:space="preserve"> in </w:t>
      </w:r>
      <w:proofErr w:type="spellStart"/>
      <w:r w:rsidRPr="0017453B">
        <w:t>the</w:t>
      </w:r>
      <w:proofErr w:type="spellEnd"/>
      <w:r w:rsidRPr="0017453B">
        <w:t xml:space="preserve"> </w:t>
      </w:r>
      <w:proofErr w:type="spellStart"/>
      <w:r w:rsidRPr="0017453B">
        <w:t>Nineteenth</w:t>
      </w:r>
      <w:proofErr w:type="spellEnd"/>
      <w:r w:rsidRPr="0017453B">
        <w:t xml:space="preserve"> Century: </w:t>
      </w:r>
      <w:proofErr w:type="spellStart"/>
      <w:r w:rsidRPr="0017453B">
        <w:t>Roots</w:t>
      </w:r>
      <w:proofErr w:type="spellEnd"/>
      <w:r w:rsidRPr="0017453B">
        <w:t xml:space="preserve"> </w:t>
      </w:r>
      <w:proofErr w:type="spellStart"/>
      <w:r w:rsidRPr="0017453B">
        <w:t>and</w:t>
      </w:r>
      <w:proofErr w:type="spellEnd"/>
      <w:r w:rsidRPr="0017453B">
        <w:t xml:space="preserve"> </w:t>
      </w:r>
      <w:proofErr w:type="spellStart"/>
      <w:r w:rsidRPr="0017453B">
        <w:t>Implications</w:t>
      </w:r>
      <w:proofErr w:type="spellEnd"/>
      <w:r w:rsidRPr="0017453B">
        <w:t xml:space="preserve">. </w:t>
      </w:r>
      <w:proofErr w:type="gramStart"/>
      <w:r w:rsidRPr="0017453B">
        <w:t>Eskiyeni(</w:t>
      </w:r>
      <w:proofErr w:type="gramEnd"/>
      <w:r w:rsidRPr="0017453B">
        <w:t>44), 385-408.</w:t>
      </w:r>
    </w:p>
    <w:p w14:paraId="483A2FA4" w14:textId="77777777" w:rsidR="0017453B" w:rsidRPr="0017453B" w:rsidRDefault="0017453B" w:rsidP="0017453B">
      <w:pPr>
        <w:ind w:left="720" w:hanging="720"/>
      </w:pPr>
      <w:r w:rsidRPr="0017453B">
        <w:t>3.</w:t>
      </w:r>
      <w:r w:rsidRPr="0017453B">
        <w:tab/>
        <w:t xml:space="preserve">Arsel, İ. (1961). </w:t>
      </w:r>
      <w:proofErr w:type="spellStart"/>
      <w:r w:rsidRPr="0017453B">
        <w:t>Constitutional</w:t>
      </w:r>
      <w:proofErr w:type="spellEnd"/>
      <w:r w:rsidRPr="0017453B">
        <w:t xml:space="preserve"> Development of Türkiye Since </w:t>
      </w:r>
      <w:proofErr w:type="spellStart"/>
      <w:r w:rsidRPr="0017453B">
        <w:t>Republic</w:t>
      </w:r>
      <w:proofErr w:type="spellEnd"/>
      <w:r w:rsidRPr="0017453B">
        <w:t>. Ankara Üniversitesi Hukuk Fakültesi Dergisi, 18(1), 37-70.</w:t>
      </w:r>
    </w:p>
    <w:p w14:paraId="7B427DF1" w14:textId="77777777" w:rsidR="0017453B" w:rsidRPr="0017453B" w:rsidRDefault="0017453B" w:rsidP="0017453B">
      <w:pPr>
        <w:ind w:left="720" w:hanging="720"/>
      </w:pPr>
      <w:r w:rsidRPr="0017453B">
        <w:t>4.</w:t>
      </w:r>
      <w:r w:rsidRPr="0017453B">
        <w:tab/>
        <w:t xml:space="preserve">Aslantaş, H. (1997). Strategic </w:t>
      </w:r>
      <w:proofErr w:type="spellStart"/>
      <w:r w:rsidRPr="0017453B">
        <w:t>Vision</w:t>
      </w:r>
      <w:proofErr w:type="spellEnd"/>
      <w:r w:rsidRPr="0017453B">
        <w:t xml:space="preserve"> of Mustafa Kemal </w:t>
      </w:r>
      <w:proofErr w:type="spellStart"/>
      <w:r w:rsidRPr="0017453B">
        <w:t>Ataturk</w:t>
      </w:r>
      <w:proofErr w:type="spellEnd"/>
      <w:r w:rsidRPr="0017453B">
        <w:t xml:space="preserve">. U.S. </w:t>
      </w:r>
      <w:proofErr w:type="spellStart"/>
      <w:r w:rsidRPr="0017453B">
        <w:t>Army</w:t>
      </w:r>
      <w:proofErr w:type="spellEnd"/>
      <w:r w:rsidRPr="0017453B">
        <w:t xml:space="preserve"> </w:t>
      </w:r>
      <w:proofErr w:type="spellStart"/>
      <w:r w:rsidRPr="0017453B">
        <w:t>War</w:t>
      </w:r>
      <w:proofErr w:type="spellEnd"/>
      <w:r w:rsidRPr="0017453B">
        <w:t xml:space="preserve"> </w:t>
      </w:r>
      <w:proofErr w:type="spellStart"/>
      <w:r w:rsidRPr="0017453B">
        <w:t>College</w:t>
      </w:r>
      <w:proofErr w:type="spellEnd"/>
      <w:r w:rsidRPr="0017453B">
        <w:t>.</w:t>
      </w:r>
    </w:p>
    <w:p w14:paraId="40E67ED0" w14:textId="77777777" w:rsidR="0017453B" w:rsidRPr="0017453B" w:rsidRDefault="0017453B" w:rsidP="0017453B">
      <w:pPr>
        <w:ind w:left="720" w:hanging="720"/>
      </w:pPr>
      <w:r w:rsidRPr="0017453B">
        <w:t>5.</w:t>
      </w:r>
      <w:r w:rsidRPr="0017453B">
        <w:tab/>
      </w:r>
      <w:proofErr w:type="spellStart"/>
      <w:r w:rsidRPr="0017453B">
        <w:t>Bottoni</w:t>
      </w:r>
      <w:proofErr w:type="spellEnd"/>
      <w:r w:rsidRPr="0017453B">
        <w:t xml:space="preserve">, R. (2007). </w:t>
      </w:r>
      <w:proofErr w:type="spellStart"/>
      <w:r w:rsidRPr="0017453B">
        <w:t>The</w:t>
      </w:r>
      <w:proofErr w:type="spellEnd"/>
      <w:r w:rsidRPr="0017453B">
        <w:t xml:space="preserve"> </w:t>
      </w:r>
      <w:proofErr w:type="spellStart"/>
      <w:r w:rsidRPr="0017453B">
        <w:t>Origins</w:t>
      </w:r>
      <w:proofErr w:type="spellEnd"/>
      <w:r w:rsidRPr="0017453B">
        <w:t xml:space="preserve"> of </w:t>
      </w:r>
      <w:proofErr w:type="spellStart"/>
      <w:r w:rsidRPr="0017453B">
        <w:t>Secularism</w:t>
      </w:r>
      <w:proofErr w:type="spellEnd"/>
      <w:r w:rsidRPr="0017453B">
        <w:t xml:space="preserve"> in Türkiye. </w:t>
      </w:r>
      <w:proofErr w:type="spellStart"/>
      <w:r w:rsidRPr="0017453B">
        <w:t>Ecclestiical</w:t>
      </w:r>
      <w:proofErr w:type="spellEnd"/>
      <w:r w:rsidRPr="0017453B">
        <w:t xml:space="preserve"> </w:t>
      </w:r>
      <w:proofErr w:type="spellStart"/>
      <w:r w:rsidRPr="0017453B">
        <w:t>Law</w:t>
      </w:r>
      <w:proofErr w:type="spellEnd"/>
      <w:r w:rsidRPr="0017453B">
        <w:t xml:space="preserve"> </w:t>
      </w:r>
      <w:proofErr w:type="spellStart"/>
      <w:r w:rsidRPr="0017453B">
        <w:t>Journal</w:t>
      </w:r>
      <w:proofErr w:type="spellEnd"/>
      <w:r w:rsidRPr="0017453B">
        <w:t>, 9(2), 175-186.</w:t>
      </w:r>
    </w:p>
    <w:p w14:paraId="659BB991" w14:textId="77777777" w:rsidR="0017453B" w:rsidRPr="0017453B" w:rsidRDefault="0017453B" w:rsidP="0017453B">
      <w:pPr>
        <w:ind w:left="720" w:hanging="720"/>
      </w:pPr>
      <w:r w:rsidRPr="0017453B">
        <w:t>6.</w:t>
      </w:r>
      <w:r w:rsidRPr="0017453B">
        <w:tab/>
      </w:r>
      <w:proofErr w:type="spellStart"/>
      <w:r w:rsidRPr="0017453B">
        <w:t>Daver</w:t>
      </w:r>
      <w:proofErr w:type="spellEnd"/>
      <w:r w:rsidRPr="0017453B">
        <w:t xml:space="preserve">, B. (1988). </w:t>
      </w:r>
      <w:proofErr w:type="spellStart"/>
      <w:r w:rsidRPr="0017453B">
        <w:t>Secularism</w:t>
      </w:r>
      <w:proofErr w:type="spellEnd"/>
      <w:r w:rsidRPr="0017453B">
        <w:t xml:space="preserve"> in Türkiye. Ankara Üniversitesi SBF Dergisi, 43(1), 29-40.</w:t>
      </w:r>
    </w:p>
    <w:p w14:paraId="222ADEDF" w14:textId="77777777" w:rsidR="0017453B" w:rsidRPr="0017453B" w:rsidRDefault="0017453B" w:rsidP="0017453B">
      <w:pPr>
        <w:ind w:left="720" w:hanging="720"/>
      </w:pPr>
      <w:r w:rsidRPr="0017453B">
        <w:t>7.</w:t>
      </w:r>
      <w:r w:rsidRPr="0017453B">
        <w:tab/>
      </w:r>
      <w:proofErr w:type="spellStart"/>
      <w:r w:rsidRPr="0017453B">
        <w:t>Dodd</w:t>
      </w:r>
      <w:proofErr w:type="spellEnd"/>
      <w:r w:rsidRPr="0017453B">
        <w:t xml:space="preserve">, C. H. (1992). </w:t>
      </w:r>
      <w:proofErr w:type="spellStart"/>
      <w:r w:rsidRPr="0017453B">
        <w:t>The</w:t>
      </w:r>
      <w:proofErr w:type="spellEnd"/>
      <w:r w:rsidRPr="0017453B">
        <w:t xml:space="preserve"> Development of </w:t>
      </w:r>
      <w:proofErr w:type="spellStart"/>
      <w:r w:rsidRPr="0017453B">
        <w:t>Turkish</w:t>
      </w:r>
      <w:proofErr w:type="spellEnd"/>
      <w:r w:rsidRPr="0017453B">
        <w:t xml:space="preserve"> </w:t>
      </w:r>
      <w:proofErr w:type="spellStart"/>
      <w:r w:rsidRPr="0017453B">
        <w:t>Democracy</w:t>
      </w:r>
      <w:proofErr w:type="spellEnd"/>
      <w:r w:rsidRPr="0017453B">
        <w:t xml:space="preserve">. British </w:t>
      </w:r>
      <w:proofErr w:type="spellStart"/>
      <w:r w:rsidRPr="0017453B">
        <w:t>Journal</w:t>
      </w:r>
      <w:proofErr w:type="spellEnd"/>
      <w:r w:rsidRPr="0017453B">
        <w:t xml:space="preserve"> of </w:t>
      </w:r>
      <w:proofErr w:type="spellStart"/>
      <w:r w:rsidRPr="0017453B">
        <w:t>Middle</w:t>
      </w:r>
      <w:proofErr w:type="spellEnd"/>
      <w:r w:rsidRPr="0017453B">
        <w:t xml:space="preserve"> East </w:t>
      </w:r>
      <w:proofErr w:type="spellStart"/>
      <w:r w:rsidRPr="0017453B">
        <w:t>Studies</w:t>
      </w:r>
      <w:proofErr w:type="spellEnd"/>
      <w:r w:rsidRPr="0017453B">
        <w:t>, 18(1), 16-30.</w:t>
      </w:r>
    </w:p>
    <w:p w14:paraId="61B4D9C4" w14:textId="77777777" w:rsidR="0017453B" w:rsidRPr="0017453B" w:rsidRDefault="0017453B" w:rsidP="0017453B">
      <w:pPr>
        <w:ind w:left="720" w:hanging="720"/>
      </w:pPr>
      <w:r w:rsidRPr="0017453B">
        <w:t>8.</w:t>
      </w:r>
      <w:r w:rsidRPr="0017453B">
        <w:tab/>
        <w:t xml:space="preserve">Ersoy, M., &amp; </w:t>
      </w:r>
      <w:proofErr w:type="spellStart"/>
      <w:r w:rsidRPr="0017453B">
        <w:t>Suner</w:t>
      </w:r>
      <w:proofErr w:type="spellEnd"/>
      <w:r w:rsidRPr="0017453B">
        <w:t xml:space="preserve">, A. (2018). </w:t>
      </w:r>
      <w:proofErr w:type="spellStart"/>
      <w:r w:rsidRPr="0017453B">
        <w:t>Participation</w:t>
      </w:r>
      <w:proofErr w:type="spellEnd"/>
      <w:r w:rsidRPr="0017453B">
        <w:t xml:space="preserve"> </w:t>
      </w:r>
      <w:proofErr w:type="spellStart"/>
      <w:r w:rsidRPr="0017453B">
        <w:t>Banking</w:t>
      </w:r>
      <w:proofErr w:type="spellEnd"/>
      <w:r w:rsidRPr="0017453B">
        <w:t xml:space="preserve"> in Türkiye </w:t>
      </w:r>
      <w:proofErr w:type="spellStart"/>
      <w:r w:rsidRPr="0017453B">
        <w:t>and</w:t>
      </w:r>
      <w:proofErr w:type="spellEnd"/>
      <w:r w:rsidRPr="0017453B">
        <w:t xml:space="preserve"> </w:t>
      </w:r>
      <w:proofErr w:type="spellStart"/>
      <w:r w:rsidRPr="0017453B">
        <w:t>Public</w:t>
      </w:r>
      <w:proofErr w:type="spellEnd"/>
      <w:r w:rsidRPr="0017453B">
        <w:t xml:space="preserve"> </w:t>
      </w:r>
      <w:proofErr w:type="spellStart"/>
      <w:r w:rsidRPr="0017453B">
        <w:t>Initiative</w:t>
      </w:r>
      <w:proofErr w:type="spellEnd"/>
      <w:r w:rsidRPr="0017453B">
        <w:t xml:space="preserve"> in </w:t>
      </w:r>
      <w:proofErr w:type="spellStart"/>
      <w:r w:rsidRPr="0017453B">
        <w:t>Participation</w:t>
      </w:r>
      <w:proofErr w:type="spellEnd"/>
      <w:r w:rsidRPr="0017453B">
        <w:t xml:space="preserve"> </w:t>
      </w:r>
      <w:proofErr w:type="spellStart"/>
      <w:r w:rsidRPr="0017453B">
        <w:t>Banking</w:t>
      </w:r>
      <w:proofErr w:type="spellEnd"/>
      <w:r w:rsidRPr="0017453B">
        <w:t xml:space="preserve">. Marmara </w:t>
      </w:r>
      <w:proofErr w:type="spellStart"/>
      <w:r w:rsidRPr="0017453B">
        <w:t>Univerdity</w:t>
      </w:r>
      <w:proofErr w:type="spellEnd"/>
      <w:r w:rsidRPr="0017453B">
        <w:t xml:space="preserve"> </w:t>
      </w:r>
      <w:proofErr w:type="spellStart"/>
      <w:r w:rsidRPr="0017453B">
        <w:t>Journal</w:t>
      </w:r>
      <w:proofErr w:type="spellEnd"/>
      <w:r w:rsidRPr="0017453B">
        <w:t xml:space="preserve"> of </w:t>
      </w:r>
      <w:proofErr w:type="spellStart"/>
      <w:r w:rsidRPr="0017453B">
        <w:t>Economic</w:t>
      </w:r>
      <w:proofErr w:type="spellEnd"/>
      <w:r w:rsidRPr="0017453B">
        <w:t xml:space="preserve"> </w:t>
      </w:r>
      <w:proofErr w:type="spellStart"/>
      <w:r w:rsidRPr="0017453B">
        <w:t>and</w:t>
      </w:r>
      <w:proofErr w:type="spellEnd"/>
      <w:r w:rsidRPr="0017453B">
        <w:t xml:space="preserve"> </w:t>
      </w:r>
      <w:proofErr w:type="spellStart"/>
      <w:r w:rsidRPr="0017453B">
        <w:t>Administrative</w:t>
      </w:r>
      <w:proofErr w:type="spellEnd"/>
      <w:r w:rsidRPr="0017453B">
        <w:t xml:space="preserve"> </w:t>
      </w:r>
      <w:proofErr w:type="spellStart"/>
      <w:r w:rsidRPr="0017453B">
        <w:t>Sciences</w:t>
      </w:r>
      <w:proofErr w:type="spellEnd"/>
      <w:r w:rsidRPr="0017453B">
        <w:t>, 40(2), 167-180.</w:t>
      </w:r>
    </w:p>
    <w:p w14:paraId="72131C5A" w14:textId="77777777" w:rsidR="0017453B" w:rsidRPr="0017453B" w:rsidRDefault="0017453B" w:rsidP="0017453B">
      <w:pPr>
        <w:ind w:left="720" w:hanging="720"/>
      </w:pPr>
      <w:r w:rsidRPr="0017453B">
        <w:t>9.</w:t>
      </w:r>
      <w:r w:rsidRPr="0017453B">
        <w:tab/>
        <w:t xml:space="preserve">Güvenç, B. (1997-1998). </w:t>
      </w:r>
      <w:proofErr w:type="spellStart"/>
      <w:r w:rsidRPr="0017453B">
        <w:t>Secular</w:t>
      </w:r>
      <w:proofErr w:type="spellEnd"/>
      <w:r w:rsidRPr="0017453B">
        <w:t xml:space="preserve"> </w:t>
      </w:r>
      <w:proofErr w:type="spellStart"/>
      <w:r w:rsidRPr="0017453B">
        <w:t>Trends</w:t>
      </w:r>
      <w:proofErr w:type="spellEnd"/>
      <w:r w:rsidRPr="0017453B">
        <w:t xml:space="preserve"> </w:t>
      </w:r>
      <w:proofErr w:type="spellStart"/>
      <w:r w:rsidRPr="0017453B">
        <w:t>and</w:t>
      </w:r>
      <w:proofErr w:type="spellEnd"/>
      <w:r w:rsidRPr="0017453B">
        <w:t xml:space="preserve"> </w:t>
      </w:r>
      <w:proofErr w:type="spellStart"/>
      <w:r w:rsidRPr="0017453B">
        <w:t>Turkish</w:t>
      </w:r>
      <w:proofErr w:type="spellEnd"/>
      <w:r w:rsidRPr="0017453B">
        <w:t xml:space="preserve"> Identity. </w:t>
      </w:r>
      <w:proofErr w:type="spellStart"/>
      <w:r w:rsidRPr="0017453B">
        <w:t>Journal</w:t>
      </w:r>
      <w:proofErr w:type="spellEnd"/>
      <w:r w:rsidRPr="0017453B">
        <w:t xml:space="preserve"> of International </w:t>
      </w:r>
      <w:proofErr w:type="spellStart"/>
      <w:r w:rsidRPr="0017453B">
        <w:t>Affairs</w:t>
      </w:r>
      <w:proofErr w:type="spellEnd"/>
      <w:r w:rsidRPr="0017453B">
        <w:t>, 2(4), 20-36.</w:t>
      </w:r>
    </w:p>
    <w:p w14:paraId="623394F7" w14:textId="77777777" w:rsidR="0017453B" w:rsidRPr="0017453B" w:rsidRDefault="0017453B" w:rsidP="0017453B">
      <w:pPr>
        <w:ind w:left="720" w:hanging="720"/>
      </w:pPr>
      <w:r w:rsidRPr="0017453B">
        <w:t>10.</w:t>
      </w:r>
      <w:r w:rsidRPr="0017453B">
        <w:tab/>
      </w:r>
      <w:proofErr w:type="spellStart"/>
      <w:r w:rsidRPr="0017453B">
        <w:t>Kinross</w:t>
      </w:r>
      <w:proofErr w:type="spellEnd"/>
      <w:r w:rsidRPr="0017453B">
        <w:t xml:space="preserve">, L. (2008). Osmanlı İmparatorluğu'nun Yükselişi ve Çöküşü. (M. </w:t>
      </w:r>
      <w:proofErr w:type="spellStart"/>
      <w:r w:rsidRPr="0017453B">
        <w:t>Gaspirali</w:t>
      </w:r>
      <w:proofErr w:type="spellEnd"/>
      <w:r w:rsidRPr="0017453B">
        <w:t>, Çev.) İstanbul: Altın Kitaplar.</w:t>
      </w:r>
    </w:p>
    <w:p w14:paraId="6FE6B3B3" w14:textId="77777777" w:rsidR="0017453B" w:rsidRPr="0017453B" w:rsidRDefault="0017453B" w:rsidP="0017453B">
      <w:pPr>
        <w:ind w:left="720" w:hanging="720"/>
      </w:pPr>
      <w:r w:rsidRPr="0017453B">
        <w:t>11.</w:t>
      </w:r>
      <w:r w:rsidRPr="0017453B">
        <w:tab/>
      </w:r>
      <w:proofErr w:type="spellStart"/>
      <w:r w:rsidRPr="0017453B">
        <w:t>Miklinski</w:t>
      </w:r>
      <w:proofErr w:type="spellEnd"/>
      <w:r w:rsidRPr="0017453B">
        <w:t xml:space="preserve">, M. (2021). </w:t>
      </w:r>
      <w:proofErr w:type="spellStart"/>
      <w:r w:rsidRPr="0017453B">
        <w:t>The</w:t>
      </w:r>
      <w:proofErr w:type="spellEnd"/>
      <w:r w:rsidRPr="0017453B">
        <w:t xml:space="preserve"> </w:t>
      </w:r>
      <w:proofErr w:type="spellStart"/>
      <w:r w:rsidRPr="0017453B">
        <w:t>Origins</w:t>
      </w:r>
      <w:proofErr w:type="spellEnd"/>
      <w:r w:rsidRPr="0017453B">
        <w:t xml:space="preserve"> </w:t>
      </w:r>
      <w:proofErr w:type="spellStart"/>
      <w:r w:rsidRPr="0017453B">
        <w:t>And</w:t>
      </w:r>
      <w:proofErr w:type="spellEnd"/>
      <w:r w:rsidRPr="0017453B">
        <w:t xml:space="preserve"> </w:t>
      </w:r>
      <w:proofErr w:type="spellStart"/>
      <w:r w:rsidRPr="0017453B">
        <w:t>Evolution</w:t>
      </w:r>
      <w:proofErr w:type="spellEnd"/>
      <w:r w:rsidRPr="0017453B">
        <w:t xml:space="preserve"> of Deposit </w:t>
      </w:r>
      <w:proofErr w:type="spellStart"/>
      <w:r w:rsidRPr="0017453B">
        <w:t>Banking</w:t>
      </w:r>
      <w:proofErr w:type="spellEnd"/>
      <w:r w:rsidRPr="0017453B">
        <w:t xml:space="preserve"> </w:t>
      </w:r>
      <w:proofErr w:type="spellStart"/>
      <w:r w:rsidRPr="0017453B">
        <w:t>Actıvıtıes</w:t>
      </w:r>
      <w:proofErr w:type="spellEnd"/>
      <w:r w:rsidRPr="0017453B">
        <w:t xml:space="preserve"> – Analysis of </w:t>
      </w:r>
      <w:proofErr w:type="spellStart"/>
      <w:r w:rsidRPr="0017453B">
        <w:t>the</w:t>
      </w:r>
      <w:proofErr w:type="spellEnd"/>
      <w:r w:rsidRPr="0017453B">
        <w:t xml:space="preserve"> </w:t>
      </w:r>
      <w:proofErr w:type="spellStart"/>
      <w:r w:rsidRPr="0017453B">
        <w:t>Literature</w:t>
      </w:r>
      <w:proofErr w:type="spellEnd"/>
      <w:r w:rsidRPr="0017453B">
        <w:t xml:space="preserve">. Financial </w:t>
      </w:r>
      <w:proofErr w:type="spellStart"/>
      <w:r w:rsidRPr="0017453B">
        <w:t>Law</w:t>
      </w:r>
      <w:proofErr w:type="spellEnd"/>
      <w:r w:rsidRPr="0017453B">
        <w:t xml:space="preserve"> </w:t>
      </w:r>
      <w:proofErr w:type="spellStart"/>
      <w:r w:rsidRPr="0017453B">
        <w:t>Review</w:t>
      </w:r>
      <w:proofErr w:type="spellEnd"/>
      <w:r w:rsidRPr="0017453B">
        <w:t>, 23(3), 128-145.</w:t>
      </w:r>
    </w:p>
    <w:p w14:paraId="0088D06B" w14:textId="77777777" w:rsidR="0017453B" w:rsidRPr="0017453B" w:rsidRDefault="0017453B" w:rsidP="0017453B">
      <w:pPr>
        <w:ind w:left="720" w:hanging="720"/>
      </w:pPr>
      <w:r w:rsidRPr="0017453B">
        <w:t>12.</w:t>
      </w:r>
      <w:r w:rsidRPr="0017453B">
        <w:tab/>
        <w:t xml:space="preserve">Okan, N. (2021). </w:t>
      </w:r>
      <w:proofErr w:type="spellStart"/>
      <w:r w:rsidRPr="0017453B">
        <w:t>The</w:t>
      </w:r>
      <w:proofErr w:type="spellEnd"/>
      <w:r w:rsidRPr="0017453B">
        <w:t xml:space="preserve"> </w:t>
      </w:r>
      <w:proofErr w:type="spellStart"/>
      <w:r w:rsidRPr="0017453B">
        <w:t>Historical</w:t>
      </w:r>
      <w:proofErr w:type="spellEnd"/>
      <w:r w:rsidRPr="0017453B">
        <w:t xml:space="preserve"> Development of </w:t>
      </w:r>
      <w:proofErr w:type="spellStart"/>
      <w:r w:rsidRPr="0017453B">
        <w:t>Participation</w:t>
      </w:r>
      <w:proofErr w:type="spellEnd"/>
      <w:r w:rsidRPr="0017453B">
        <w:t xml:space="preserve"> </w:t>
      </w:r>
      <w:proofErr w:type="spellStart"/>
      <w:r w:rsidRPr="0017453B">
        <w:t>Banking</w:t>
      </w:r>
      <w:proofErr w:type="spellEnd"/>
      <w:r w:rsidRPr="0017453B">
        <w:t xml:space="preserve"> </w:t>
      </w:r>
      <w:proofErr w:type="spellStart"/>
      <w:r w:rsidRPr="0017453B">
        <w:t>And</w:t>
      </w:r>
      <w:proofErr w:type="spellEnd"/>
      <w:r w:rsidRPr="0017453B">
        <w:t xml:space="preserve"> </w:t>
      </w:r>
      <w:proofErr w:type="spellStart"/>
      <w:r w:rsidRPr="0017453B">
        <w:t>Its</w:t>
      </w:r>
      <w:proofErr w:type="spellEnd"/>
      <w:r w:rsidRPr="0017453B">
        <w:t xml:space="preserve"> </w:t>
      </w:r>
      <w:proofErr w:type="spellStart"/>
      <w:r w:rsidRPr="0017453B">
        <w:t>Relationship</w:t>
      </w:r>
      <w:proofErr w:type="spellEnd"/>
      <w:r w:rsidRPr="0017453B">
        <w:t xml:space="preserve"> </w:t>
      </w:r>
      <w:proofErr w:type="spellStart"/>
      <w:r w:rsidRPr="0017453B">
        <w:t>with</w:t>
      </w:r>
      <w:proofErr w:type="spellEnd"/>
      <w:r w:rsidRPr="0017453B">
        <w:t xml:space="preserve"> </w:t>
      </w:r>
      <w:proofErr w:type="spellStart"/>
      <w:r w:rsidRPr="0017453B">
        <w:t>Selected</w:t>
      </w:r>
      <w:proofErr w:type="spellEnd"/>
      <w:r w:rsidRPr="0017453B">
        <w:t xml:space="preserve"> </w:t>
      </w:r>
      <w:proofErr w:type="spellStart"/>
      <w:r w:rsidRPr="0017453B">
        <w:t>Economic</w:t>
      </w:r>
      <w:proofErr w:type="spellEnd"/>
      <w:r w:rsidRPr="0017453B">
        <w:t xml:space="preserve"> </w:t>
      </w:r>
      <w:proofErr w:type="spellStart"/>
      <w:r w:rsidRPr="0017453B">
        <w:t>Variables</w:t>
      </w:r>
      <w:proofErr w:type="spellEnd"/>
      <w:r w:rsidRPr="0017453B">
        <w:t xml:space="preserve">: </w:t>
      </w:r>
      <w:proofErr w:type="spellStart"/>
      <w:r w:rsidRPr="0017453B">
        <w:t>The</w:t>
      </w:r>
      <w:proofErr w:type="spellEnd"/>
      <w:r w:rsidRPr="0017453B">
        <w:t xml:space="preserve"> Case Of Türkiye </w:t>
      </w:r>
      <w:proofErr w:type="spellStart"/>
      <w:r w:rsidRPr="0017453B">
        <w:t>And</w:t>
      </w:r>
      <w:proofErr w:type="spellEnd"/>
      <w:r w:rsidRPr="0017453B">
        <w:t xml:space="preserve"> </w:t>
      </w:r>
      <w:proofErr w:type="spellStart"/>
      <w:r w:rsidRPr="0017453B">
        <w:t>Kuwaıt</w:t>
      </w:r>
      <w:proofErr w:type="spellEnd"/>
      <w:r w:rsidRPr="0017453B">
        <w:t xml:space="preserve">. Karamanoğlu </w:t>
      </w:r>
      <w:proofErr w:type="spellStart"/>
      <w:r w:rsidRPr="0017453B">
        <w:t>Mehmetbey</w:t>
      </w:r>
      <w:proofErr w:type="spellEnd"/>
      <w:r w:rsidRPr="0017453B">
        <w:t xml:space="preserve"> Üniversitesi.</w:t>
      </w:r>
    </w:p>
    <w:p w14:paraId="1BB04C0D" w14:textId="77777777" w:rsidR="0017453B" w:rsidRPr="0017453B" w:rsidRDefault="0017453B" w:rsidP="0017453B">
      <w:pPr>
        <w:ind w:left="720" w:hanging="720"/>
      </w:pPr>
      <w:r w:rsidRPr="0017453B">
        <w:t>13.</w:t>
      </w:r>
      <w:r w:rsidRPr="0017453B">
        <w:tab/>
      </w:r>
      <w:proofErr w:type="spellStart"/>
      <w:r w:rsidRPr="0017453B">
        <w:t>Revisiting</w:t>
      </w:r>
      <w:proofErr w:type="spellEnd"/>
      <w:r w:rsidRPr="0017453B">
        <w:t xml:space="preserve"> Reform: </w:t>
      </w:r>
      <w:proofErr w:type="spellStart"/>
      <w:r w:rsidRPr="0017453B">
        <w:t>Women</w:t>
      </w:r>
      <w:proofErr w:type="spellEnd"/>
      <w:r w:rsidRPr="0017453B">
        <w:t xml:space="preserve"> </w:t>
      </w:r>
      <w:proofErr w:type="spellStart"/>
      <w:r w:rsidRPr="0017453B">
        <w:t>and</w:t>
      </w:r>
      <w:proofErr w:type="spellEnd"/>
      <w:r w:rsidRPr="0017453B">
        <w:t xml:space="preserve"> </w:t>
      </w:r>
      <w:proofErr w:type="spellStart"/>
      <w:r w:rsidRPr="0017453B">
        <w:t>the</w:t>
      </w:r>
      <w:proofErr w:type="spellEnd"/>
      <w:r w:rsidRPr="0017453B">
        <w:t xml:space="preserve"> </w:t>
      </w:r>
      <w:proofErr w:type="spellStart"/>
      <w:r w:rsidRPr="0017453B">
        <w:t>Ottoman</w:t>
      </w:r>
      <w:proofErr w:type="spellEnd"/>
      <w:r w:rsidRPr="0017453B">
        <w:t xml:space="preserve"> </w:t>
      </w:r>
      <w:proofErr w:type="spellStart"/>
      <w:r w:rsidRPr="0017453B">
        <w:t>Law</w:t>
      </w:r>
      <w:proofErr w:type="spellEnd"/>
      <w:r w:rsidRPr="0017453B">
        <w:t xml:space="preserve"> of </w:t>
      </w:r>
      <w:proofErr w:type="spellStart"/>
      <w:r w:rsidRPr="0017453B">
        <w:t>Family</w:t>
      </w:r>
      <w:proofErr w:type="spellEnd"/>
      <w:r w:rsidRPr="0017453B">
        <w:t xml:space="preserve"> </w:t>
      </w:r>
      <w:proofErr w:type="spellStart"/>
      <w:r w:rsidRPr="0017453B">
        <w:t>Rights</w:t>
      </w:r>
      <w:proofErr w:type="spellEnd"/>
      <w:r w:rsidRPr="0017453B">
        <w:t>, 1917</w:t>
      </w:r>
      <w:proofErr w:type="gramStart"/>
      <w:r w:rsidRPr="0017453B">
        <w:t>’ .</w:t>
      </w:r>
      <w:proofErr w:type="gramEnd"/>
      <w:r w:rsidRPr="0017453B">
        <w:t xml:space="preserve"> (</w:t>
      </w:r>
      <w:proofErr w:type="gramStart"/>
      <w:r w:rsidRPr="0017453B">
        <w:t>tarih</w:t>
      </w:r>
      <w:proofErr w:type="gramEnd"/>
      <w:r w:rsidRPr="0017453B">
        <w:t xml:space="preserve"> </w:t>
      </w:r>
      <w:r w:rsidRPr="0017453B">
        <w:lastRenderedPageBreak/>
        <w:t>yok).</w:t>
      </w:r>
    </w:p>
    <w:p w14:paraId="55624485" w14:textId="77777777" w:rsidR="0017453B" w:rsidRPr="0017453B" w:rsidRDefault="0017453B" w:rsidP="0017453B">
      <w:pPr>
        <w:ind w:left="720" w:hanging="720"/>
      </w:pPr>
      <w:r w:rsidRPr="0017453B">
        <w:t>14.</w:t>
      </w:r>
      <w:r w:rsidRPr="0017453B">
        <w:tab/>
      </w:r>
      <w:proofErr w:type="spellStart"/>
      <w:r w:rsidRPr="0017453B">
        <w:t>Sharkey</w:t>
      </w:r>
      <w:proofErr w:type="spellEnd"/>
      <w:r w:rsidRPr="0017453B">
        <w:t xml:space="preserve">, H. J. (2018). A </w:t>
      </w:r>
      <w:proofErr w:type="spellStart"/>
      <w:r w:rsidRPr="0017453B">
        <w:t>History</w:t>
      </w:r>
      <w:proofErr w:type="spellEnd"/>
      <w:r w:rsidRPr="0017453B">
        <w:t xml:space="preserve"> of </w:t>
      </w:r>
      <w:proofErr w:type="spellStart"/>
      <w:r w:rsidRPr="0017453B">
        <w:t>Muslims</w:t>
      </w:r>
      <w:proofErr w:type="spellEnd"/>
      <w:r w:rsidRPr="0017453B">
        <w:t xml:space="preserve">, Christians, </w:t>
      </w:r>
      <w:proofErr w:type="spellStart"/>
      <w:r w:rsidRPr="0017453B">
        <w:t>and</w:t>
      </w:r>
      <w:proofErr w:type="spellEnd"/>
      <w:r w:rsidRPr="0017453B">
        <w:t xml:space="preserve"> </w:t>
      </w:r>
      <w:proofErr w:type="spellStart"/>
      <w:r w:rsidRPr="0017453B">
        <w:t>Jews</w:t>
      </w:r>
      <w:proofErr w:type="spellEnd"/>
      <w:r w:rsidRPr="0017453B">
        <w:t xml:space="preserve"> in </w:t>
      </w:r>
      <w:proofErr w:type="spellStart"/>
      <w:r w:rsidRPr="0017453B">
        <w:t>the</w:t>
      </w:r>
      <w:proofErr w:type="spellEnd"/>
      <w:r w:rsidRPr="0017453B">
        <w:t xml:space="preserve"> </w:t>
      </w:r>
      <w:proofErr w:type="spellStart"/>
      <w:r w:rsidRPr="0017453B">
        <w:t>Middle</w:t>
      </w:r>
      <w:proofErr w:type="spellEnd"/>
      <w:r w:rsidRPr="0017453B">
        <w:t xml:space="preserve"> East. Cambridge: Cambridge </w:t>
      </w:r>
      <w:proofErr w:type="spellStart"/>
      <w:r w:rsidRPr="0017453B">
        <w:t>Press</w:t>
      </w:r>
      <w:proofErr w:type="spellEnd"/>
      <w:r w:rsidRPr="0017453B">
        <w:t>.</w:t>
      </w:r>
    </w:p>
    <w:p w14:paraId="35EB97B1" w14:textId="77777777" w:rsidR="0017453B" w:rsidRPr="0017453B" w:rsidRDefault="0017453B" w:rsidP="0017453B">
      <w:pPr>
        <w:ind w:left="720" w:hanging="720"/>
      </w:pPr>
      <w:r w:rsidRPr="0017453B">
        <w:t>15.</w:t>
      </w:r>
      <w:r w:rsidRPr="0017453B">
        <w:tab/>
        <w:t xml:space="preserve">Shaw, S. J., &amp; Shaw, E. K. (1977). </w:t>
      </w:r>
      <w:proofErr w:type="spellStart"/>
      <w:r w:rsidRPr="0017453B">
        <w:t>History</w:t>
      </w:r>
      <w:proofErr w:type="spellEnd"/>
      <w:r w:rsidRPr="0017453B">
        <w:t xml:space="preserve"> of </w:t>
      </w:r>
      <w:proofErr w:type="spellStart"/>
      <w:r w:rsidRPr="0017453B">
        <w:t>the</w:t>
      </w:r>
      <w:proofErr w:type="spellEnd"/>
      <w:r w:rsidRPr="0017453B">
        <w:t xml:space="preserve"> </w:t>
      </w:r>
      <w:proofErr w:type="spellStart"/>
      <w:r w:rsidRPr="0017453B">
        <w:t>Ottoman</w:t>
      </w:r>
      <w:proofErr w:type="spellEnd"/>
      <w:r w:rsidRPr="0017453B">
        <w:t xml:space="preserve"> </w:t>
      </w:r>
      <w:proofErr w:type="spellStart"/>
      <w:r w:rsidRPr="0017453B">
        <w:t>Empire</w:t>
      </w:r>
      <w:proofErr w:type="spellEnd"/>
      <w:r w:rsidRPr="0017453B">
        <w:t xml:space="preserve"> </w:t>
      </w:r>
      <w:proofErr w:type="spellStart"/>
      <w:r w:rsidRPr="0017453B">
        <w:t>and</w:t>
      </w:r>
      <w:proofErr w:type="spellEnd"/>
      <w:r w:rsidRPr="0017453B">
        <w:t xml:space="preserve"> Modern Türkiye, Reform, </w:t>
      </w:r>
      <w:proofErr w:type="spellStart"/>
      <w:r w:rsidRPr="0017453B">
        <w:t>Revolution</w:t>
      </w:r>
      <w:proofErr w:type="spellEnd"/>
      <w:r w:rsidRPr="0017453B">
        <w:t xml:space="preserve"> </w:t>
      </w:r>
      <w:proofErr w:type="spellStart"/>
      <w:r w:rsidRPr="0017453B">
        <w:t>and</w:t>
      </w:r>
      <w:proofErr w:type="spellEnd"/>
      <w:r w:rsidRPr="0017453B">
        <w:t xml:space="preserve"> </w:t>
      </w:r>
      <w:proofErr w:type="spellStart"/>
      <w:r w:rsidRPr="0017453B">
        <w:t>Republic</w:t>
      </w:r>
      <w:proofErr w:type="spellEnd"/>
      <w:r w:rsidRPr="0017453B">
        <w:t xml:space="preserve">: </w:t>
      </w:r>
      <w:proofErr w:type="spellStart"/>
      <w:r w:rsidRPr="0017453B">
        <w:t>the</w:t>
      </w:r>
      <w:proofErr w:type="spellEnd"/>
      <w:r w:rsidRPr="0017453B">
        <w:t xml:space="preserve"> Rise of Modern Türkiye, 1808-1975. Cambridge: Cambridge </w:t>
      </w:r>
      <w:proofErr w:type="spellStart"/>
      <w:r w:rsidRPr="0017453B">
        <w:t>Press</w:t>
      </w:r>
      <w:proofErr w:type="spellEnd"/>
      <w:r w:rsidRPr="0017453B">
        <w:t>.</w:t>
      </w:r>
    </w:p>
    <w:p w14:paraId="2A273CB7" w14:textId="77777777" w:rsidR="0017453B" w:rsidRPr="0017453B" w:rsidRDefault="0017453B" w:rsidP="0017453B">
      <w:pPr>
        <w:ind w:left="720" w:hanging="720"/>
      </w:pPr>
      <w:r w:rsidRPr="0017453B">
        <w:t>16.</w:t>
      </w:r>
      <w:r w:rsidRPr="0017453B">
        <w:tab/>
      </w:r>
      <w:proofErr w:type="spellStart"/>
      <w:r w:rsidRPr="0017453B">
        <w:t>Tucker</w:t>
      </w:r>
      <w:proofErr w:type="spellEnd"/>
      <w:r w:rsidRPr="0017453B">
        <w:t xml:space="preserve">, J. E. (1996). </w:t>
      </w:r>
      <w:proofErr w:type="spellStart"/>
      <w:r w:rsidRPr="0017453B">
        <w:t>Revisiting</w:t>
      </w:r>
      <w:proofErr w:type="spellEnd"/>
      <w:r w:rsidRPr="0017453B">
        <w:t xml:space="preserve"> Reform: </w:t>
      </w:r>
      <w:proofErr w:type="spellStart"/>
      <w:r w:rsidRPr="0017453B">
        <w:t>Women</w:t>
      </w:r>
      <w:proofErr w:type="spellEnd"/>
      <w:r w:rsidRPr="0017453B">
        <w:t xml:space="preserve"> </w:t>
      </w:r>
      <w:proofErr w:type="spellStart"/>
      <w:r w:rsidRPr="0017453B">
        <w:t>and</w:t>
      </w:r>
      <w:proofErr w:type="spellEnd"/>
      <w:r w:rsidRPr="0017453B">
        <w:t xml:space="preserve"> </w:t>
      </w:r>
      <w:proofErr w:type="spellStart"/>
      <w:r w:rsidRPr="0017453B">
        <w:t>the</w:t>
      </w:r>
      <w:proofErr w:type="spellEnd"/>
      <w:r w:rsidRPr="0017453B">
        <w:t xml:space="preserve"> </w:t>
      </w:r>
      <w:proofErr w:type="spellStart"/>
      <w:r w:rsidRPr="0017453B">
        <w:t>Ottoman</w:t>
      </w:r>
      <w:proofErr w:type="spellEnd"/>
      <w:r w:rsidRPr="0017453B">
        <w:t xml:space="preserve"> </w:t>
      </w:r>
      <w:proofErr w:type="spellStart"/>
      <w:r w:rsidRPr="0017453B">
        <w:t>Law</w:t>
      </w:r>
      <w:proofErr w:type="spellEnd"/>
      <w:r w:rsidRPr="0017453B">
        <w:t xml:space="preserve"> of </w:t>
      </w:r>
      <w:proofErr w:type="spellStart"/>
      <w:r w:rsidRPr="0017453B">
        <w:t>Family</w:t>
      </w:r>
      <w:proofErr w:type="spellEnd"/>
      <w:r w:rsidRPr="0017453B">
        <w:t xml:space="preserve"> </w:t>
      </w:r>
      <w:proofErr w:type="spellStart"/>
      <w:r w:rsidRPr="0017453B">
        <w:t>Rights</w:t>
      </w:r>
      <w:proofErr w:type="spellEnd"/>
      <w:r w:rsidRPr="0017453B">
        <w:t xml:space="preserve">, 1917. </w:t>
      </w:r>
      <w:proofErr w:type="spellStart"/>
      <w:r w:rsidRPr="0017453B">
        <w:t>The</w:t>
      </w:r>
      <w:proofErr w:type="spellEnd"/>
      <w:r w:rsidRPr="0017453B">
        <w:t xml:space="preserve"> </w:t>
      </w:r>
      <w:proofErr w:type="spellStart"/>
      <w:r w:rsidRPr="0017453B">
        <w:t>Arab</w:t>
      </w:r>
      <w:proofErr w:type="spellEnd"/>
      <w:r w:rsidRPr="0017453B">
        <w:t xml:space="preserve"> </w:t>
      </w:r>
      <w:proofErr w:type="spellStart"/>
      <w:r w:rsidRPr="0017453B">
        <w:t>Studies</w:t>
      </w:r>
      <w:proofErr w:type="spellEnd"/>
      <w:r w:rsidRPr="0017453B">
        <w:t>, 4(2), 4-17.</w:t>
      </w:r>
    </w:p>
    <w:p w14:paraId="3E510309" w14:textId="77777777" w:rsidR="0017453B" w:rsidRPr="0017453B" w:rsidRDefault="0017453B" w:rsidP="0017453B">
      <w:pPr>
        <w:ind w:left="720" w:hanging="720"/>
      </w:pPr>
      <w:r w:rsidRPr="0017453B">
        <w:t>17.</w:t>
      </w:r>
      <w:r w:rsidRPr="0017453B">
        <w:tab/>
        <w:t>Türkiye Cumhuriyeti Cumhurbaşkanlığı Strateji ve Bütçe Başkanlığı. (2023). On İkinci Kalkınma Planı (2024-2028). Ankara.</w:t>
      </w:r>
    </w:p>
    <w:p w14:paraId="44EE3FD8" w14:textId="77777777" w:rsidR="0017453B" w:rsidRPr="0017453B" w:rsidRDefault="0017453B" w:rsidP="0017453B">
      <w:pPr>
        <w:ind w:left="720" w:hanging="720"/>
      </w:pPr>
      <w:r w:rsidRPr="0017453B">
        <w:t>18.</w:t>
      </w:r>
      <w:r w:rsidRPr="0017453B">
        <w:tab/>
        <w:t>Türkiye Katılım Bankaları Birliği. (2024). https://www.tkbb.org.tr/</w:t>
      </w:r>
    </w:p>
    <w:p w14:paraId="03141791" w14:textId="77777777" w:rsidR="0017453B" w:rsidRPr="0017453B" w:rsidRDefault="0017453B" w:rsidP="0017453B">
      <w:pPr>
        <w:ind w:left="720" w:hanging="720"/>
      </w:pPr>
      <w:r w:rsidRPr="0017453B">
        <w:t>19.</w:t>
      </w:r>
      <w:r w:rsidRPr="0017453B">
        <w:tab/>
        <w:t>Yılmaz, E. (2024). Banka Dışı Finans Sektörünün İşlem Hacmi Yüzde 77 Arttı. https://www.aa.com.tr/tr/ekonomi/banka-disi-finans-sektorunun-islem-hacmi-yuzde-77-artti/3309450?utm_source=chatgpt.com</w:t>
      </w:r>
    </w:p>
    <w:p w14:paraId="07110310" w14:textId="77777777" w:rsidR="0017453B" w:rsidRPr="0017453B" w:rsidRDefault="0017453B" w:rsidP="009C2F96">
      <w:pPr>
        <w:rPr>
          <w:b/>
          <w:bCs/>
        </w:rPr>
      </w:pPr>
    </w:p>
    <w:p w14:paraId="4F32AE29" w14:textId="700211B3" w:rsidR="00F84AD5" w:rsidRPr="00D42316" w:rsidRDefault="00587C60" w:rsidP="00587C60">
      <w:pPr>
        <w:autoSpaceDE/>
        <w:autoSpaceDN/>
      </w:pPr>
      <w:r>
        <w:br w:type="page"/>
      </w:r>
    </w:p>
    <w:p w14:paraId="665029CB" w14:textId="77777777" w:rsidR="00F84AD5" w:rsidRPr="00D42316" w:rsidRDefault="00AC051C" w:rsidP="004C7694">
      <w:pPr>
        <w:pStyle w:val="Tark"/>
      </w:pPr>
      <w:bookmarkStart w:id="35" w:name="_Toc192855159"/>
      <w:r w:rsidRPr="00D42316">
        <w:lastRenderedPageBreak/>
        <w:t>Filistin Meselesinde Anti-Siyonist Sosyalizm Örneği Olarak İsrail Komünist Partisi (MAKİ)</w:t>
      </w:r>
      <w:bookmarkEnd w:id="35"/>
    </w:p>
    <w:p w14:paraId="2C6034DA" w14:textId="77777777" w:rsidR="00F84AD5" w:rsidRPr="00D42316" w:rsidRDefault="00F84AD5" w:rsidP="0017453B">
      <w:pPr>
        <w:jc w:val="center"/>
      </w:pPr>
    </w:p>
    <w:p w14:paraId="01D85C73" w14:textId="77777777" w:rsidR="00F84AD5" w:rsidRPr="00D42316" w:rsidRDefault="00AC051C" w:rsidP="0017453B">
      <w:pPr>
        <w:jc w:val="center"/>
      </w:pPr>
      <w:r w:rsidRPr="00D42316">
        <w:t>İhsan Ömer ATAGENÇ</w:t>
      </w:r>
      <w:r w:rsidRPr="00D42316">
        <w:br/>
        <w:t>Doç. Dr., Kırklareli Üniversitesi, Uluslararası İlişkiler Bölümü</w:t>
      </w:r>
      <w:r w:rsidRPr="00D42316">
        <w:br/>
        <w:t>atagencomer@yahoo.com</w:t>
      </w:r>
      <w:r w:rsidRPr="00D42316">
        <w:br/>
      </w:r>
    </w:p>
    <w:p w14:paraId="645F65AB" w14:textId="77777777" w:rsidR="00F84AD5" w:rsidRPr="00D42316" w:rsidRDefault="00F84AD5" w:rsidP="0017453B">
      <w:pPr>
        <w:jc w:val="both"/>
      </w:pPr>
    </w:p>
    <w:p w14:paraId="3ACC2C50" w14:textId="77777777" w:rsidR="00F84AD5" w:rsidRPr="009F0AE3" w:rsidRDefault="00AC051C" w:rsidP="0017453B">
      <w:pPr>
        <w:jc w:val="center"/>
        <w:rPr>
          <w:b/>
          <w:bCs/>
        </w:rPr>
      </w:pPr>
      <w:r w:rsidRPr="009F0AE3">
        <w:rPr>
          <w:b/>
          <w:bCs/>
        </w:rPr>
        <w:t>Özet</w:t>
      </w:r>
    </w:p>
    <w:p w14:paraId="684AE27C" w14:textId="08295858" w:rsidR="00F84AD5" w:rsidRDefault="00AC051C" w:rsidP="0017453B">
      <w:pPr>
        <w:jc w:val="both"/>
      </w:pPr>
      <w:r w:rsidRPr="00D42316">
        <w:t xml:space="preserve">İsrail’in kuruluşu Filistin topraklarında sosyalist düşünce açısından bir dönüm noktasıdır. 1919 kurulan Filistin Komünist Partisi’nin (FKP) 1948 yılında faaliyetlerine son vermesinin ardından </w:t>
      </w:r>
      <w:proofErr w:type="spellStart"/>
      <w:r w:rsidRPr="00D42316">
        <w:t>FKP’nin</w:t>
      </w:r>
      <w:proofErr w:type="spellEnd"/>
      <w:r w:rsidRPr="00D42316">
        <w:t xml:space="preserve"> ismi İsrail Komünist Partisi (MAKİ) olarak değiştirilmiştir. Araplar ve Yahudilerin </w:t>
      </w:r>
      <w:proofErr w:type="gramStart"/>
      <w:r w:rsidRPr="00D42316">
        <w:t>işbirliği</w:t>
      </w:r>
      <w:proofErr w:type="gramEnd"/>
      <w:r w:rsidRPr="00D42316">
        <w:t xml:space="preserve"> üzerine kurulu olan </w:t>
      </w:r>
      <w:proofErr w:type="spellStart"/>
      <w:r w:rsidRPr="00D42316">
        <w:t>MAKİ’nin</w:t>
      </w:r>
      <w:proofErr w:type="spellEnd"/>
      <w:r w:rsidRPr="00D42316">
        <w:t xml:space="preserve"> sosyalizme dair yaklaşımlarında sınıfsal temelden ziyade kimlik eksenli politikaların etkili olduğu görülmüş ve </w:t>
      </w:r>
      <w:proofErr w:type="spellStart"/>
      <w:r w:rsidRPr="00D42316">
        <w:t>siyonizmin</w:t>
      </w:r>
      <w:proofErr w:type="spellEnd"/>
      <w:r w:rsidRPr="00D42316">
        <w:t xml:space="preserve"> etkisi altında faaliyetlerine devam eden MAKİ içinde sert tartışmalar ortaya çıkmaya başlamıştır. Parti içinde ortaya çıkan anlaşmazlıklar ilerleyen dönemde bir kopuş ile sonlanmıştır. İsrail’de sosyalizmin çift başlı serüveni anti-</w:t>
      </w:r>
      <w:proofErr w:type="spellStart"/>
      <w:r w:rsidRPr="00D42316">
        <w:t>siyonist</w:t>
      </w:r>
      <w:proofErr w:type="spellEnd"/>
      <w:r w:rsidRPr="00D42316">
        <w:t xml:space="preserve"> bir grup olan </w:t>
      </w:r>
      <w:proofErr w:type="spellStart"/>
      <w:r w:rsidRPr="00D42316">
        <w:t>RAKAH’ın</w:t>
      </w:r>
      <w:proofErr w:type="spellEnd"/>
      <w:r w:rsidRPr="00D42316">
        <w:t xml:space="preserve"> ayrılması ile resmiyet kazanmıştır. MAKİ-RAKAH rekabeti bir yandan İsrail’de sosyalizmin gücünün bölünmesine neden olsa da İsrail devletinin Filistin topraklarında artan saldırgan ve işgalci tutumuna karşı muhalefetin çok daha net çizgilere ayrılmasını da sağlamıştır. </w:t>
      </w:r>
      <w:proofErr w:type="spellStart"/>
      <w:r w:rsidRPr="00D42316">
        <w:t>MAKİ’nin</w:t>
      </w:r>
      <w:proofErr w:type="spellEnd"/>
      <w:r w:rsidRPr="00D42316">
        <w:t xml:space="preserve"> İsrail devletini savunan ve </w:t>
      </w:r>
      <w:proofErr w:type="spellStart"/>
      <w:r w:rsidRPr="00D42316">
        <w:t>siyonizme</w:t>
      </w:r>
      <w:proofErr w:type="spellEnd"/>
      <w:r w:rsidRPr="00D42316">
        <w:t xml:space="preserve"> yakın tutumuna karşılık RAKAH grubunun rijit anti-</w:t>
      </w:r>
      <w:proofErr w:type="spellStart"/>
      <w:r w:rsidRPr="00D42316">
        <w:t>siyonist</w:t>
      </w:r>
      <w:proofErr w:type="spellEnd"/>
      <w:r w:rsidRPr="00D42316">
        <w:t xml:space="preserve"> tavrı 1965 sonrası süreçte partinin </w:t>
      </w:r>
      <w:proofErr w:type="spellStart"/>
      <w:r w:rsidRPr="00D42316">
        <w:t>MAKİ’ye</w:t>
      </w:r>
      <w:proofErr w:type="spellEnd"/>
      <w:r w:rsidRPr="00D42316">
        <w:t xml:space="preserve"> karşı güç kazanmasını sağlamıştır. 1969 seçimlerinde 3, 1973 seçimlerinde 4 milletvekilliği kazanan RAKAH grubu 1973 yılında </w:t>
      </w:r>
      <w:proofErr w:type="spellStart"/>
      <w:r w:rsidRPr="00D42316">
        <w:t>MAKİ’nin</w:t>
      </w:r>
      <w:proofErr w:type="spellEnd"/>
      <w:r w:rsidRPr="00D42316">
        <w:t xml:space="preserve"> ismini </w:t>
      </w:r>
      <w:proofErr w:type="spellStart"/>
      <w:r w:rsidRPr="00D42316">
        <w:t>Moked</w:t>
      </w:r>
      <w:proofErr w:type="spellEnd"/>
      <w:r w:rsidRPr="00D42316">
        <w:t xml:space="preserve"> olarak değiştirmesi ve sonrasında farklı partilerin içine dahil olarak bağımsız bir siyasi aktör olmasına son vermesinin ardından 1989 yılında İsrail Komünist Partisi adını yeniden almıştır. Ancak kendisi de 1977 yılında Kara Panterler ve diğer bazı sol gruplar ile </w:t>
      </w:r>
      <w:proofErr w:type="spellStart"/>
      <w:r w:rsidRPr="00D42316">
        <w:t>Hadash</w:t>
      </w:r>
      <w:proofErr w:type="spellEnd"/>
      <w:r w:rsidRPr="00D42316">
        <w:t xml:space="preserve"> ismi altında bir araya gelmiştir. Siyasi faaliyetlerine halen bu isim altında devam eden İKP bugün, </w:t>
      </w:r>
      <w:proofErr w:type="spellStart"/>
      <w:r w:rsidRPr="00D42316">
        <w:t>Hadash-Ta’al</w:t>
      </w:r>
      <w:proofErr w:type="spellEnd"/>
      <w:r w:rsidRPr="00D42316">
        <w:t xml:space="preserve"> çatısı altında 4 milletvekili ile siyasi mücadelesine devam etmektedir. Bu çalışmanın iki temel amacı bulunmaktadır. Bunlardan ilki Filistin meselesinin Türkiye’deki önemine rağmen Türkçe literatürde fazla bir karşılık bulamayan İsrail’deki anti-</w:t>
      </w:r>
      <w:proofErr w:type="spellStart"/>
      <w:r w:rsidRPr="00D42316">
        <w:t>siyonist</w:t>
      </w:r>
      <w:proofErr w:type="spellEnd"/>
      <w:r w:rsidRPr="00D42316">
        <w:t xml:space="preserve"> sol muhalefet üzerine tarihsel bir değerlendirme yapmaktır.  Çalışmanın bir diğer amacı ise ülkede her dönemde gündemdeki yerini koruyan Filistin meselesindeki aktörlere yeni baştan bakılmasını sağlamayı amaçlamaktadır. Zira etnisite ve kimlik temelli bir tartışmanın sarmalında incelenmeye maruz bırakılan bir konu olan Filistin meselesi hakkında kamuoyunda yeni bir bakış açısının gelişmesine ihtiyaç bulunmaktadır. Yahudi-Arap ve daha da ağırlıklı olarak Musevi-Müslüman ikilemi üzerine kurulu görülen bir tartışmanın arkasında ve tüm bu kimliklerin ötesinde hiçbir kimlik ayırt etmeksizin bütüncül bir özgürlük hedefleyen bir direnişin ortaya çıkmış olması ve bu meselenin tamamen bir insani mesele olduğunu bize anlatan bir hareketin varlığını yeniden gündeme dahil etmek Filistin meselesini tartışırken çok daha sağlıklı bir bakış açısının ortaya çıkmasını da sağlayacaktır.</w:t>
      </w:r>
    </w:p>
    <w:p w14:paraId="5B32D7D9" w14:textId="77777777" w:rsidR="0017453B" w:rsidRPr="00D42316" w:rsidRDefault="0017453B" w:rsidP="0017453B">
      <w:pPr>
        <w:jc w:val="both"/>
      </w:pPr>
    </w:p>
    <w:p w14:paraId="1BDFAE6D" w14:textId="15FFF2FD" w:rsidR="00587C60" w:rsidRDefault="00AC051C" w:rsidP="0017453B">
      <w:pPr>
        <w:jc w:val="both"/>
      </w:pPr>
      <w:r w:rsidRPr="00D42316">
        <w:rPr>
          <w:b/>
        </w:rPr>
        <w:t xml:space="preserve">Anahtar </w:t>
      </w:r>
      <w:r w:rsidR="00D42316">
        <w:rPr>
          <w:b/>
        </w:rPr>
        <w:t>Kelimeler</w:t>
      </w:r>
      <w:r w:rsidRPr="00D42316">
        <w:rPr>
          <w:b/>
        </w:rPr>
        <w:t xml:space="preserve">: </w:t>
      </w:r>
      <w:r w:rsidRPr="00D42316">
        <w:t>Filistin, İsrail Solu, Anti-</w:t>
      </w:r>
      <w:proofErr w:type="spellStart"/>
      <w:r w:rsidRPr="00D42316">
        <w:t>siyonizm</w:t>
      </w:r>
      <w:proofErr w:type="spellEnd"/>
      <w:r w:rsidRPr="00D42316">
        <w:t>, İsrail Komünist Partisi (MAKİ)</w:t>
      </w:r>
    </w:p>
    <w:p w14:paraId="316E5B32" w14:textId="58239F6C" w:rsidR="00C1314D" w:rsidRPr="00587C60" w:rsidRDefault="00587C60" w:rsidP="0017453B">
      <w:pPr>
        <w:autoSpaceDE/>
        <w:autoSpaceDN/>
      </w:pPr>
      <w:r>
        <w:br w:type="page"/>
      </w:r>
    </w:p>
    <w:p w14:paraId="0DCC2738" w14:textId="77777777" w:rsidR="00F84AD5" w:rsidRPr="00D42316" w:rsidRDefault="00AC051C" w:rsidP="004C7694">
      <w:pPr>
        <w:pStyle w:val="Tark"/>
      </w:pPr>
      <w:bookmarkStart w:id="36" w:name="_Toc192855160"/>
      <w:r w:rsidRPr="00D42316">
        <w:lastRenderedPageBreak/>
        <w:t>Filistin, ABD ve İsrail: Uluslararası Hukukun Sınavı</w:t>
      </w:r>
      <w:bookmarkEnd w:id="36"/>
    </w:p>
    <w:p w14:paraId="3A806206" w14:textId="77777777" w:rsidR="00F84AD5" w:rsidRPr="00D42316" w:rsidRDefault="00F84AD5" w:rsidP="0017453B">
      <w:pPr>
        <w:widowControl/>
        <w:pBdr>
          <w:top w:val="nil"/>
          <w:left w:val="nil"/>
          <w:bottom w:val="nil"/>
          <w:right w:val="nil"/>
          <w:between w:val="nil"/>
        </w:pBdr>
        <w:rPr>
          <w:color w:val="000000"/>
        </w:rPr>
      </w:pPr>
    </w:p>
    <w:p w14:paraId="6A3D4230" w14:textId="77777777" w:rsidR="00F84AD5" w:rsidRPr="00D42316" w:rsidRDefault="00AC051C" w:rsidP="0017453B">
      <w:pPr>
        <w:widowControl/>
        <w:pBdr>
          <w:top w:val="nil"/>
          <w:left w:val="nil"/>
          <w:bottom w:val="nil"/>
          <w:right w:val="nil"/>
          <w:between w:val="nil"/>
        </w:pBdr>
        <w:jc w:val="center"/>
        <w:rPr>
          <w:color w:val="000000"/>
        </w:rPr>
      </w:pPr>
      <w:r w:rsidRPr="00D42316">
        <w:rPr>
          <w:color w:val="000000"/>
        </w:rPr>
        <w:t>Ceren Gürseler</w:t>
      </w:r>
    </w:p>
    <w:p w14:paraId="4B212C9D" w14:textId="77777777" w:rsidR="00F84AD5" w:rsidRPr="00D42316" w:rsidRDefault="00AC051C" w:rsidP="0017453B">
      <w:pPr>
        <w:widowControl/>
        <w:pBdr>
          <w:top w:val="nil"/>
          <w:left w:val="nil"/>
          <w:bottom w:val="nil"/>
          <w:right w:val="nil"/>
          <w:between w:val="nil"/>
        </w:pBdr>
        <w:jc w:val="center"/>
        <w:rPr>
          <w:color w:val="000000"/>
        </w:rPr>
      </w:pPr>
      <w:r w:rsidRPr="00D42316">
        <w:rPr>
          <w:color w:val="000000"/>
        </w:rPr>
        <w:t>Doç. Dr., Nevşehir Hacı Bektaş Veli Üniversitesi, Uluslararası İlişkiler Bölümü</w:t>
      </w:r>
    </w:p>
    <w:p w14:paraId="52B96291" w14:textId="77777777" w:rsidR="00F84AD5" w:rsidRPr="00D42316" w:rsidRDefault="00AC051C" w:rsidP="0017453B">
      <w:pPr>
        <w:widowControl/>
        <w:pBdr>
          <w:top w:val="nil"/>
          <w:left w:val="nil"/>
          <w:bottom w:val="nil"/>
          <w:right w:val="nil"/>
          <w:between w:val="nil"/>
        </w:pBdr>
        <w:jc w:val="center"/>
        <w:rPr>
          <w:color w:val="000000"/>
        </w:rPr>
      </w:pPr>
      <w:r w:rsidRPr="00D42316">
        <w:rPr>
          <w:color w:val="000000"/>
        </w:rPr>
        <w:t>cerengurseler@nevsehir.edu.tr</w:t>
      </w:r>
    </w:p>
    <w:p w14:paraId="0AF74871" w14:textId="6404640D" w:rsidR="00F84AD5" w:rsidRPr="00D42316" w:rsidRDefault="00AC051C" w:rsidP="0017453B">
      <w:pPr>
        <w:widowControl/>
        <w:pBdr>
          <w:top w:val="nil"/>
          <w:left w:val="nil"/>
          <w:bottom w:val="nil"/>
          <w:right w:val="nil"/>
          <w:between w:val="nil"/>
        </w:pBdr>
        <w:jc w:val="center"/>
        <w:rPr>
          <w:color w:val="000000"/>
        </w:rPr>
      </w:pPr>
      <w:r w:rsidRPr="00D42316">
        <w:rPr>
          <w:color w:val="000000"/>
        </w:rPr>
        <w:t>0000-0001-6308-5345</w:t>
      </w:r>
      <w:r w:rsidRPr="00D42316">
        <w:rPr>
          <w:color w:val="000000"/>
        </w:rPr>
        <w:br/>
      </w:r>
    </w:p>
    <w:p w14:paraId="4BA2DB63" w14:textId="77777777" w:rsidR="00F84AD5" w:rsidRPr="009F0AE3" w:rsidRDefault="00AC051C" w:rsidP="0017453B">
      <w:pPr>
        <w:jc w:val="center"/>
        <w:rPr>
          <w:b/>
          <w:bCs/>
        </w:rPr>
      </w:pPr>
      <w:r w:rsidRPr="009F0AE3">
        <w:rPr>
          <w:b/>
          <w:bCs/>
        </w:rPr>
        <w:t>Özet</w:t>
      </w:r>
    </w:p>
    <w:p w14:paraId="41C7319E" w14:textId="77777777" w:rsidR="00F84AD5" w:rsidRPr="00D42316" w:rsidRDefault="00F84AD5" w:rsidP="0017453B">
      <w:pPr>
        <w:widowControl/>
        <w:pBdr>
          <w:top w:val="nil"/>
          <w:left w:val="nil"/>
          <w:bottom w:val="nil"/>
          <w:right w:val="nil"/>
          <w:between w:val="nil"/>
        </w:pBdr>
        <w:jc w:val="center"/>
        <w:rPr>
          <w:b/>
          <w:color w:val="000000"/>
        </w:rPr>
      </w:pPr>
    </w:p>
    <w:p w14:paraId="11C74D46" w14:textId="77777777" w:rsidR="00F84AD5" w:rsidRPr="002C3918" w:rsidRDefault="00AC051C" w:rsidP="0017453B">
      <w:pPr>
        <w:widowControl/>
        <w:pBdr>
          <w:top w:val="nil"/>
          <w:left w:val="nil"/>
          <w:bottom w:val="nil"/>
          <w:right w:val="nil"/>
          <w:between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 w:val="left" w:pos="9204"/>
        </w:tabs>
        <w:jc w:val="both"/>
        <w:rPr>
          <w:b/>
          <w:color w:val="000000"/>
          <w:sz w:val="23"/>
          <w:szCs w:val="23"/>
        </w:rPr>
      </w:pPr>
      <w:r w:rsidRPr="002C3918">
        <w:rPr>
          <w:color w:val="000000"/>
          <w:sz w:val="23"/>
          <w:szCs w:val="23"/>
        </w:rPr>
        <w:t xml:space="preserve">7 Ekim 2023’te Hamas’ın saldırılarına karşın İsrail’in Gazze’ye yönelik kuvvet kullanma yasağını ihlal eden </w:t>
      </w:r>
      <w:proofErr w:type="spellStart"/>
      <w:r w:rsidRPr="002C3918">
        <w:rPr>
          <w:color w:val="000000"/>
          <w:sz w:val="23"/>
          <w:szCs w:val="23"/>
        </w:rPr>
        <w:t>saldırılarıları</w:t>
      </w:r>
      <w:proofErr w:type="spellEnd"/>
      <w:r w:rsidRPr="002C3918">
        <w:rPr>
          <w:color w:val="000000"/>
          <w:sz w:val="23"/>
          <w:szCs w:val="23"/>
        </w:rPr>
        <w:t xml:space="preserve"> ve ABD Başkanı Donald Trump’ın Gazze’ye dair açıklamaları uluslararası ilişkilerde şok etkisi yaratmış ve kendi gündemini oluşturmuştur. Tel Aviv-Washington ikilisi, gücü öne çıkarıp uluslararası hukuku ve Filistin kimliğini hiçe saymaktadır. Bu gündemde uluslararası hukukun işlevi, Batı’nın/Kuzey’in norm ve değerleri, söz konusu norm ve değerleri Doğu’ya/Güney’e </w:t>
      </w:r>
      <w:proofErr w:type="gramStart"/>
      <w:r w:rsidRPr="002C3918">
        <w:rPr>
          <w:color w:val="000000"/>
          <w:sz w:val="23"/>
          <w:szCs w:val="23"/>
        </w:rPr>
        <w:t>empoze etmesi</w:t>
      </w:r>
      <w:proofErr w:type="gramEnd"/>
      <w:r w:rsidRPr="002C3918">
        <w:rPr>
          <w:color w:val="000000"/>
          <w:sz w:val="23"/>
          <w:szCs w:val="23"/>
        </w:rPr>
        <w:t xml:space="preserve"> sorgulanmaktadır. Bu çalışmada ana sorunsal 7 Ekim sonrasında uluslararası hukukun işlerlik kazanması girişimlerine, uluslararası toplumun Filistin’e desteğini sergilemesine rağmen Batı’nın değerlerinin, uluslararası hukukun İsrail ve </w:t>
      </w:r>
      <w:proofErr w:type="gramStart"/>
      <w:r w:rsidRPr="002C3918">
        <w:rPr>
          <w:color w:val="000000"/>
          <w:sz w:val="23"/>
          <w:szCs w:val="23"/>
        </w:rPr>
        <w:t>ABD -</w:t>
      </w:r>
      <w:proofErr w:type="gramEnd"/>
      <w:r w:rsidRPr="002C3918">
        <w:rPr>
          <w:color w:val="000000"/>
          <w:sz w:val="23"/>
          <w:szCs w:val="23"/>
        </w:rPr>
        <w:t xml:space="preserve"> bizzat Batı- tarafından uygulanmamasıdır. Bu çalışmanın argümanı uluslararası hukukun işlerlik kazanma girişimlerinde uluslararası toplumun etkin olmasının, Güney’in öne çıkmasının, Kuzey’deki fikir ayrılıklarının Filistin’e barış getirecek unsurun güç ilişkilerinin yanında normatif değerler olduğunu göstermesidir. Güney’in uluslararası hukuku çalıştırması ve Tel Aviv-Washington ikilisinin uluslararası hukuku ihlali arasındaki zıtlığa odaklanılacaktır. Söylem analizinin yanında literatür araştırmasına başvurulacaktır. Uluslararası hukukun konuya dair kilit metinleri; İsrail’in saldırılarına, Trump’ın açıklamalarına ve uluslararası toplumun verdiği cevaplara göre incelenerek nitel araştırma yöntemi kullanılacaktır. ABD ve İsrail’in uluslararası hukuku ihlal etmesi “Güçlünün hukuku mu?” sorusunun sorulmasına neden olmaktadır. Diğer yandan Güney’in bazı devletleri uluslararası hukuka başvurarak şiddet dalgasının sona ermesine ve Filistin-İsrail sorununun çözümüne ilişkin çeşitli adımlar atmaktadır. Uluslararası Adalet Divanı ve Uluslararası Ceza Mahkemesi öne çıkarılmaktadır. Uluslararası toplum özellikle Batı’da sesini yükseltmektedir. ABD ve Fransa başta olmak üzere çeşitli ülkelerde üniversite öğrencileri kamuoyu oluşturmuş, Filistin’e desteklerini sergilemiştir. Filistin’in başta self-determinasyon olmak üzere haklarını ve devletleşmesini savunan uluslararası kesim; İsrail’in </w:t>
      </w:r>
      <w:proofErr w:type="spellStart"/>
      <w:r w:rsidRPr="002C3918">
        <w:rPr>
          <w:i/>
          <w:color w:val="000000"/>
          <w:sz w:val="23"/>
          <w:szCs w:val="23"/>
        </w:rPr>
        <w:t>apartheid</w:t>
      </w:r>
      <w:proofErr w:type="spellEnd"/>
      <w:r w:rsidRPr="002C3918">
        <w:rPr>
          <w:color w:val="000000"/>
          <w:sz w:val="23"/>
          <w:szCs w:val="23"/>
        </w:rPr>
        <w:t xml:space="preserve">, işgal rejiminin yanı sıra uyguladığı orantısız şiddete ve uluslararası hukuku ihlaline karşı normatif değerleri ve hukuku vurgulamaktadır. İsrail’in Filistinlilere yönelik soykırım uyguladığı söylemi ve Filistin halkının self-determinasyonunun desteklenmesi öne çıkmaktadır. Trump’ın göreve başlamasıyla İsrail’in şiddeti ve ABD’nin politikaları “etnik temizlik” olarak adlandırılmaya başlanmıştır. Sonuç olarak Filistin sorunu 7 Ekim sonrasında ve şimdi de Trump’ın başkanlığında uluslararası hukuka duyulan ihtiyacı gözler önüne sermiştir. Tel Aviv-Washington ikilisi </w:t>
      </w:r>
      <w:proofErr w:type="spellStart"/>
      <w:r w:rsidRPr="002C3918">
        <w:rPr>
          <w:i/>
          <w:color w:val="000000"/>
          <w:sz w:val="23"/>
          <w:szCs w:val="23"/>
        </w:rPr>
        <w:t>fait</w:t>
      </w:r>
      <w:proofErr w:type="spellEnd"/>
      <w:r w:rsidRPr="002C3918">
        <w:rPr>
          <w:i/>
          <w:color w:val="000000"/>
          <w:sz w:val="23"/>
          <w:szCs w:val="23"/>
        </w:rPr>
        <w:t xml:space="preserve"> </w:t>
      </w:r>
      <w:proofErr w:type="spellStart"/>
      <w:r w:rsidRPr="002C3918">
        <w:rPr>
          <w:i/>
          <w:color w:val="000000"/>
          <w:sz w:val="23"/>
          <w:szCs w:val="23"/>
        </w:rPr>
        <w:t>accompli</w:t>
      </w:r>
      <w:proofErr w:type="spellEnd"/>
      <w:r w:rsidRPr="002C3918">
        <w:rPr>
          <w:i/>
          <w:color w:val="000000"/>
          <w:sz w:val="23"/>
          <w:szCs w:val="23"/>
        </w:rPr>
        <w:t xml:space="preserve"> </w:t>
      </w:r>
      <w:r w:rsidRPr="002C3918">
        <w:rPr>
          <w:color w:val="000000"/>
          <w:sz w:val="23"/>
          <w:szCs w:val="23"/>
        </w:rPr>
        <w:t xml:space="preserve">biçimde gücü özellikle de askerî ve ekonomik gücü yeniden uluslararası ilişkilerin </w:t>
      </w:r>
      <w:proofErr w:type="gramStart"/>
      <w:r w:rsidRPr="002C3918">
        <w:rPr>
          <w:color w:val="000000"/>
          <w:sz w:val="23"/>
          <w:szCs w:val="23"/>
        </w:rPr>
        <w:t>hakim</w:t>
      </w:r>
      <w:proofErr w:type="gramEnd"/>
      <w:r w:rsidRPr="002C3918">
        <w:rPr>
          <w:color w:val="000000"/>
          <w:sz w:val="23"/>
          <w:szCs w:val="23"/>
        </w:rPr>
        <w:t xml:space="preserve"> parametresi yaparken uluslararası toplum, uluslararası hukuku ve Filistin’in self-determinasyonunu öne çıkarmaktadır. Diğer bir ifadeyle uluslararası alanda Filistin’in kimliğinin tanınmasında halen ikircikli bir yapı mevcuttur.</w:t>
      </w:r>
    </w:p>
    <w:p w14:paraId="25EC25DC" w14:textId="77777777" w:rsidR="00F84AD5" w:rsidRPr="00D42316" w:rsidRDefault="00F84AD5" w:rsidP="0017453B">
      <w:pPr>
        <w:widowControl/>
        <w:pBdr>
          <w:top w:val="nil"/>
          <w:left w:val="nil"/>
          <w:bottom w:val="nil"/>
          <w:right w:val="nil"/>
          <w:between w:val="nil"/>
        </w:pBdr>
        <w:jc w:val="both"/>
        <w:rPr>
          <w:color w:val="000000"/>
        </w:rPr>
      </w:pPr>
    </w:p>
    <w:p w14:paraId="6F7541EF" w14:textId="4C358CCA" w:rsidR="00587C60" w:rsidRDefault="00AC051C" w:rsidP="0017453B">
      <w:pPr>
        <w:widowControl/>
        <w:pBdr>
          <w:top w:val="nil"/>
          <w:left w:val="nil"/>
          <w:bottom w:val="nil"/>
          <w:right w:val="nil"/>
          <w:between w:val="nil"/>
        </w:pBdr>
        <w:jc w:val="both"/>
        <w:rPr>
          <w:color w:val="000000"/>
        </w:rPr>
      </w:pPr>
      <w:r w:rsidRPr="00D42316">
        <w:rPr>
          <w:b/>
          <w:color w:val="000000"/>
        </w:rPr>
        <w:t xml:space="preserve">Anahtar </w:t>
      </w:r>
      <w:r w:rsidR="00BB18D2" w:rsidRPr="00D42316">
        <w:rPr>
          <w:b/>
          <w:color w:val="000000"/>
        </w:rPr>
        <w:t>Kelime</w:t>
      </w:r>
      <w:r w:rsidRPr="00D42316">
        <w:rPr>
          <w:b/>
          <w:color w:val="000000"/>
        </w:rPr>
        <w:t>ler:</w:t>
      </w:r>
      <w:r w:rsidRPr="00D42316">
        <w:rPr>
          <w:color w:val="000000"/>
        </w:rPr>
        <w:t xml:space="preserve"> Filistin, İsrail, Donald Trump, uluslararası hukuk, self-determinasyon</w:t>
      </w:r>
    </w:p>
    <w:p w14:paraId="5F2FF268" w14:textId="10C721ED" w:rsidR="00963624" w:rsidRPr="00587C60" w:rsidRDefault="00587C60" w:rsidP="0017453B">
      <w:pPr>
        <w:autoSpaceDE/>
        <w:autoSpaceDN/>
        <w:rPr>
          <w:color w:val="000000"/>
        </w:rPr>
      </w:pPr>
      <w:r>
        <w:rPr>
          <w:color w:val="000000"/>
        </w:rPr>
        <w:br w:type="page"/>
      </w:r>
    </w:p>
    <w:p w14:paraId="1D6A2AA9" w14:textId="006E43BC" w:rsidR="00F84AD5" w:rsidRPr="00D42316" w:rsidRDefault="00BB18D2" w:rsidP="004C7694">
      <w:pPr>
        <w:pStyle w:val="Tark"/>
      </w:pPr>
      <w:bookmarkStart w:id="37" w:name="_Toc192855161"/>
      <w:r w:rsidRPr="00D42316">
        <w:lastRenderedPageBreak/>
        <w:t xml:space="preserve">Tunca </w:t>
      </w:r>
      <w:proofErr w:type="spellStart"/>
      <w:r w:rsidRPr="00D42316">
        <w:t>Kortantamer'in</w:t>
      </w:r>
      <w:proofErr w:type="spellEnd"/>
      <w:r w:rsidRPr="00D42316">
        <w:t xml:space="preserve"> Klâsik Türk Edebiyatı Sahasına Yaptığı Katkılar Üzerine </w:t>
      </w:r>
      <w:proofErr w:type="spellStart"/>
      <w:r w:rsidRPr="00D42316">
        <w:t>Bâzı</w:t>
      </w:r>
      <w:proofErr w:type="spellEnd"/>
      <w:r w:rsidRPr="00D42316">
        <w:t xml:space="preserve"> Notlar</w:t>
      </w:r>
      <w:bookmarkEnd w:id="37"/>
    </w:p>
    <w:p w14:paraId="19EFEA35" w14:textId="77777777" w:rsidR="00BB18D2" w:rsidRPr="00D42316" w:rsidRDefault="00BB18D2" w:rsidP="0017453B">
      <w:pPr>
        <w:jc w:val="center"/>
        <w:rPr>
          <w:b/>
        </w:rPr>
      </w:pPr>
    </w:p>
    <w:p w14:paraId="0CF3505E" w14:textId="24E2A627" w:rsidR="00F84AD5" w:rsidRPr="009F0AE3" w:rsidRDefault="00AC051C" w:rsidP="0017453B">
      <w:pPr>
        <w:jc w:val="center"/>
        <w:rPr>
          <w:bCs/>
          <w:i/>
        </w:rPr>
      </w:pPr>
      <w:r w:rsidRPr="009F0AE3">
        <w:rPr>
          <w:bCs/>
          <w:i/>
        </w:rPr>
        <w:t xml:space="preserve">Milli değerlerle, evrensel olanları biri birinden </w:t>
      </w:r>
      <w:r w:rsidR="003E3BD3">
        <w:rPr>
          <w:bCs/>
          <w:i/>
        </w:rPr>
        <w:t>ayırıp</w:t>
      </w:r>
      <w:r w:rsidRPr="009F0AE3">
        <w:rPr>
          <w:bCs/>
          <w:i/>
        </w:rPr>
        <w:t xml:space="preserve"> birleştirebilen bir</w:t>
      </w:r>
    </w:p>
    <w:p w14:paraId="6D5ED7C0" w14:textId="77777777" w:rsidR="00F84AD5" w:rsidRPr="009F0AE3" w:rsidRDefault="00AC051C" w:rsidP="0017453B">
      <w:pPr>
        <w:jc w:val="center"/>
        <w:rPr>
          <w:bCs/>
          <w:i/>
        </w:rPr>
      </w:pPr>
      <w:r w:rsidRPr="009F0AE3">
        <w:rPr>
          <w:bCs/>
          <w:i/>
        </w:rPr>
        <w:t xml:space="preserve">Cumhuriyet aydını Tunca </w:t>
      </w:r>
      <w:proofErr w:type="spellStart"/>
      <w:r w:rsidRPr="009F0AE3">
        <w:rPr>
          <w:bCs/>
          <w:i/>
        </w:rPr>
        <w:t>Kortantamer</w:t>
      </w:r>
      <w:proofErr w:type="spellEnd"/>
      <w:r w:rsidRPr="009F0AE3">
        <w:rPr>
          <w:bCs/>
          <w:i/>
        </w:rPr>
        <w:t>…Mine Mengi</w:t>
      </w:r>
    </w:p>
    <w:p w14:paraId="428679DD" w14:textId="77777777" w:rsidR="00BB18D2" w:rsidRPr="00D42316" w:rsidRDefault="00BB18D2" w:rsidP="0017453B">
      <w:pPr>
        <w:jc w:val="center"/>
        <w:rPr>
          <w:b/>
          <w:i/>
        </w:rPr>
      </w:pPr>
    </w:p>
    <w:p w14:paraId="6A87C407" w14:textId="77777777" w:rsidR="00F84AD5" w:rsidRPr="009F0AE3" w:rsidRDefault="00AC051C" w:rsidP="0017453B">
      <w:pPr>
        <w:jc w:val="center"/>
        <w:rPr>
          <w:bCs/>
        </w:rPr>
      </w:pPr>
      <w:r w:rsidRPr="009F0AE3">
        <w:rPr>
          <w:bCs/>
        </w:rPr>
        <w:t>Şeyda Göllü</w:t>
      </w:r>
    </w:p>
    <w:p w14:paraId="7578344E" w14:textId="6D0A7786" w:rsidR="00F84AD5" w:rsidRPr="00D42316" w:rsidRDefault="00AC051C" w:rsidP="0017453B">
      <w:pPr>
        <w:jc w:val="center"/>
      </w:pPr>
      <w:proofErr w:type="spellStart"/>
      <w:r w:rsidRPr="00D42316">
        <w:t>PhD</w:t>
      </w:r>
      <w:proofErr w:type="spellEnd"/>
      <w:r w:rsidRPr="00D42316">
        <w:t xml:space="preserve"> </w:t>
      </w:r>
      <w:proofErr w:type="spellStart"/>
      <w:r w:rsidRPr="00D42316">
        <w:t>Student</w:t>
      </w:r>
      <w:proofErr w:type="spellEnd"/>
      <w:r w:rsidRPr="00D42316">
        <w:t>,</w:t>
      </w:r>
      <w:r w:rsidRPr="00D42316">
        <w:rPr>
          <w:b/>
        </w:rPr>
        <w:t xml:space="preserve"> </w:t>
      </w:r>
      <w:r w:rsidRPr="00D42316">
        <w:t xml:space="preserve">Erciyes Üniversitesi, Eski Türk Edebiyatı </w:t>
      </w:r>
      <w:r w:rsidRPr="00D42316">
        <w:br/>
        <w:t>seydaagollu@yandex.com</w:t>
      </w:r>
    </w:p>
    <w:p w14:paraId="1F7B8687" w14:textId="62E2F4ED" w:rsidR="00F84AD5" w:rsidRPr="00D42316" w:rsidRDefault="00963624" w:rsidP="0017453B">
      <w:pPr>
        <w:jc w:val="center"/>
      </w:pPr>
      <w:hyperlink r:id="rId98" w:history="1">
        <w:r w:rsidRPr="00D42316">
          <w:rPr>
            <w:rStyle w:val="Kpr"/>
          </w:rPr>
          <w:t>https://orcid.org/0000-0002-9290-3797</w:t>
        </w:r>
      </w:hyperlink>
    </w:p>
    <w:p w14:paraId="51D14E19" w14:textId="77777777" w:rsidR="00963624" w:rsidRPr="00D42316" w:rsidRDefault="00963624" w:rsidP="0017453B">
      <w:pPr>
        <w:jc w:val="center"/>
      </w:pPr>
    </w:p>
    <w:p w14:paraId="60E4BBFD" w14:textId="154D4BE3" w:rsidR="00F84AD5" w:rsidRPr="009F0AE3" w:rsidRDefault="00AC051C" w:rsidP="0017453B">
      <w:pPr>
        <w:jc w:val="center"/>
        <w:rPr>
          <w:b/>
          <w:bCs/>
        </w:rPr>
      </w:pPr>
      <w:r w:rsidRPr="009F0AE3">
        <w:rPr>
          <w:b/>
          <w:bCs/>
        </w:rPr>
        <w:t>Ö</w:t>
      </w:r>
      <w:r w:rsidR="00BB18D2" w:rsidRPr="009F0AE3">
        <w:rPr>
          <w:b/>
          <w:bCs/>
        </w:rPr>
        <w:t>zet</w:t>
      </w:r>
    </w:p>
    <w:p w14:paraId="420CB5AC" w14:textId="4598398E" w:rsidR="00F84AD5" w:rsidRPr="00D42316" w:rsidRDefault="00AC051C" w:rsidP="0017453B">
      <w:pPr>
        <w:jc w:val="both"/>
      </w:pPr>
      <w:r w:rsidRPr="00D42316">
        <w:t xml:space="preserve">Almanca, İngilizce ve Türkçe akademik çalışmalarıyla Klâsik Türk edebiyatı sahasında önemli bir yere sâhip olan Prof. Dr. Tunca </w:t>
      </w:r>
      <w:proofErr w:type="spellStart"/>
      <w:proofErr w:type="gramStart"/>
      <w:r w:rsidRPr="00D42316">
        <w:t>Kortantamer</w:t>
      </w:r>
      <w:proofErr w:type="spellEnd"/>
      <w:r w:rsidRPr="00D42316">
        <w:t>,</w:t>
      </w:r>
      <w:proofErr w:type="gramEnd"/>
      <w:r w:rsidRPr="00D42316">
        <w:t xml:space="preserve"> hem Alman ekolünün çalışma disipliniyle hem de kendine özgü bir </w:t>
      </w:r>
      <w:proofErr w:type="spellStart"/>
      <w:r w:rsidRPr="00D42316">
        <w:t>ifâde</w:t>
      </w:r>
      <w:proofErr w:type="spellEnd"/>
      <w:r w:rsidRPr="00D42316">
        <w:t xml:space="preserve"> tarzıyla bu sahanın daha iyi incelenmesine ve anlaşılmasına katkıda bulunmuştur. Özellikle retorik/belâgat unsurları, </w:t>
      </w:r>
      <w:proofErr w:type="spellStart"/>
      <w:r w:rsidRPr="00D42316">
        <w:t>sâkîname</w:t>
      </w:r>
      <w:proofErr w:type="spellEnd"/>
      <w:r w:rsidRPr="00D42316">
        <w:t xml:space="preserve">, teori zemininde metin şerhi, hamse, gazelin anlam-yapı ilişkisinde metaforların işlevi, Türk mizah anlayışı, Türk şiirinde ses ve anlam birimleri, Osmanlı-Türk klâsik şiiri ve Türk edebiyatında gelenek ve modernlik tartışmaları başta olmak üzere çok sayıda akademik araştırma, inceleme ve değerlendirme çalışmaları üzerinde duran </w:t>
      </w:r>
      <w:proofErr w:type="spellStart"/>
      <w:r w:rsidRPr="00D42316">
        <w:t>Kortantamer</w:t>
      </w:r>
      <w:proofErr w:type="spellEnd"/>
      <w:r w:rsidRPr="00D42316">
        <w:t xml:space="preserve">, edebî eserleri ve metinleri incelerken her devrin siyasî, sosyal ve kültürel çevresinin de hesaba katılarak metin şerhi yapılması gerektiğine </w:t>
      </w:r>
      <w:proofErr w:type="spellStart"/>
      <w:r w:rsidRPr="00D42316">
        <w:t>işâret</w:t>
      </w:r>
      <w:proofErr w:type="spellEnd"/>
      <w:r w:rsidRPr="00D42316">
        <w:t xml:space="preserve"> etmesi yönüyle önem arz etmektedir. Çalışmalarının büyük bir çoğunluğunda bir edebiyat araştırmacısının aynı zamanda iyi bir Türkolog, Oryantalist, klâsik dönem uzmanı, kuruluş dönemi uzmanı ve aruz uzmanı gibi vasıflara sâhip olması gerektiği üzerinde de önemle durmuştur. Bununla birlikte genç edebiyat araştırmacılarına yol gösterici nitelikte teknik, metot ve teori alanında değerli bilgiler verilmesi gerektiğine dikkat çekerek Klâsik Türk edebiyatı sahasına disiplinli ve nitelikli bir bilim insanının nasıl yetiştirilmesi gerektiği yönünde âdeta bir rehber olma misyonunu da üstlenmiştir.</w:t>
      </w:r>
    </w:p>
    <w:p w14:paraId="7CA25C60" w14:textId="77777777" w:rsidR="00F84AD5" w:rsidRPr="00D42316" w:rsidRDefault="00AC051C" w:rsidP="0017453B">
      <w:pPr>
        <w:jc w:val="both"/>
      </w:pPr>
      <w:r w:rsidRPr="00D42316">
        <w:t xml:space="preserve">Bu çalışma, Klâsik Türk edebiyatı sahasını karşılaştırmalı ve eleştirel bir perspektifle araştıran ve inceleyen Prof. Dr. Tunca </w:t>
      </w:r>
      <w:proofErr w:type="spellStart"/>
      <w:r w:rsidRPr="00D42316">
        <w:t>Kortantamer’in</w:t>
      </w:r>
      <w:proofErr w:type="spellEnd"/>
      <w:r w:rsidRPr="00D42316">
        <w:t xml:space="preserve"> Klâsik Türk edebiyatı sahasına yapmış olduğu katkılarını konu edinmiştir.</w:t>
      </w:r>
    </w:p>
    <w:p w14:paraId="29B2C99A" w14:textId="77777777" w:rsidR="00BB18D2" w:rsidRPr="00D42316" w:rsidRDefault="00BB18D2" w:rsidP="0017453B">
      <w:pPr>
        <w:jc w:val="both"/>
      </w:pPr>
    </w:p>
    <w:p w14:paraId="7BBEC75B" w14:textId="0C2DD43E" w:rsidR="00587C60" w:rsidRDefault="00AC051C" w:rsidP="0017453B">
      <w:pPr>
        <w:jc w:val="both"/>
      </w:pPr>
      <w:r w:rsidRPr="00D42316">
        <w:rPr>
          <w:b/>
        </w:rPr>
        <w:t xml:space="preserve">Anahtar Kelimeler: </w:t>
      </w:r>
      <w:r w:rsidRPr="00D42316">
        <w:t xml:space="preserve">Tunca </w:t>
      </w:r>
      <w:proofErr w:type="spellStart"/>
      <w:r w:rsidRPr="00D42316">
        <w:t>Kortantamer</w:t>
      </w:r>
      <w:proofErr w:type="spellEnd"/>
      <w:r w:rsidRPr="00D42316">
        <w:t>,</w:t>
      </w:r>
      <w:r w:rsidRPr="00D42316">
        <w:rPr>
          <w:b/>
        </w:rPr>
        <w:t xml:space="preserve"> </w:t>
      </w:r>
      <w:r w:rsidRPr="00D42316">
        <w:t>Klâsik Türk Edebiyatı,</w:t>
      </w:r>
      <w:r w:rsidRPr="00D42316">
        <w:rPr>
          <w:b/>
        </w:rPr>
        <w:t xml:space="preserve"> </w:t>
      </w:r>
      <w:r w:rsidRPr="00D42316">
        <w:t>Metin Şerhi.</w:t>
      </w:r>
    </w:p>
    <w:p w14:paraId="657D2099" w14:textId="58A3CECC" w:rsidR="002C3918" w:rsidRPr="00097B24" w:rsidRDefault="00587C60" w:rsidP="0017453B">
      <w:pPr>
        <w:autoSpaceDE/>
        <w:autoSpaceDN/>
      </w:pPr>
      <w:r>
        <w:br w:type="page"/>
      </w:r>
    </w:p>
    <w:p w14:paraId="706F8C9C" w14:textId="130EBBC6" w:rsidR="00914DCC" w:rsidRPr="00097B24" w:rsidRDefault="00914DCC" w:rsidP="004C7694">
      <w:pPr>
        <w:pStyle w:val="Tark"/>
      </w:pPr>
      <w:bookmarkStart w:id="38" w:name="_Toc192855162"/>
      <w:r>
        <w:lastRenderedPageBreak/>
        <w:t xml:space="preserve">Yaşar Kemal’in </w:t>
      </w:r>
      <w:proofErr w:type="spellStart"/>
      <w:r w:rsidRPr="00C73CA6">
        <w:rPr>
          <w:i/>
          <w:iCs/>
        </w:rPr>
        <w:t>Hüyükteki</w:t>
      </w:r>
      <w:proofErr w:type="spellEnd"/>
      <w:r w:rsidRPr="00C73CA6">
        <w:rPr>
          <w:i/>
          <w:iCs/>
        </w:rPr>
        <w:t xml:space="preserve"> Nar Ağacı</w:t>
      </w:r>
      <w:r w:rsidRPr="005F3BCE">
        <w:t xml:space="preserve"> Romanında İnancın Ontolojik İşlevi ve Anlamın İnşası</w:t>
      </w:r>
      <w:bookmarkEnd w:id="38"/>
    </w:p>
    <w:p w14:paraId="02722DBE" w14:textId="77777777" w:rsidR="00914DCC" w:rsidRDefault="00914DCC" w:rsidP="0017453B">
      <w:pPr>
        <w:jc w:val="center"/>
      </w:pPr>
    </w:p>
    <w:p w14:paraId="7151893E" w14:textId="77777777" w:rsidR="00914DCC" w:rsidRDefault="00914DCC" w:rsidP="0017453B">
      <w:pPr>
        <w:jc w:val="center"/>
      </w:pPr>
      <w:r>
        <w:t>Esra SOY</w:t>
      </w:r>
      <w:r>
        <w:br/>
        <w:t>Dr. Öğr. Üyesi, Sinop Üniversitesi, Türkçe ve Sosyal Bilimler Eğitimi Bölümü</w:t>
      </w:r>
    </w:p>
    <w:p w14:paraId="600B0AB5" w14:textId="77777777" w:rsidR="00914DCC" w:rsidRDefault="00914DCC" w:rsidP="0017453B">
      <w:pPr>
        <w:jc w:val="center"/>
      </w:pPr>
      <w:r w:rsidRPr="005F3BCE">
        <w:t>esrakarasoy@yahoo.com</w:t>
      </w:r>
      <w:r>
        <w:br/>
      </w:r>
      <w:proofErr w:type="spellStart"/>
      <w:r>
        <w:t>Orcid</w:t>
      </w:r>
      <w:proofErr w:type="spellEnd"/>
      <w:r>
        <w:t xml:space="preserve"> ID: </w:t>
      </w:r>
      <w:r w:rsidRPr="002C2369">
        <w:t>0000-0002-4479-7766</w:t>
      </w:r>
    </w:p>
    <w:p w14:paraId="22A6A3D6" w14:textId="77777777" w:rsidR="00914DCC" w:rsidRDefault="00914DCC" w:rsidP="0017453B"/>
    <w:p w14:paraId="6DE819AA" w14:textId="77777777" w:rsidR="00914DCC" w:rsidRPr="009F0AE3" w:rsidRDefault="00914DCC" w:rsidP="0017453B">
      <w:pPr>
        <w:jc w:val="center"/>
        <w:rPr>
          <w:b/>
          <w:bCs/>
        </w:rPr>
      </w:pPr>
      <w:r w:rsidRPr="009F0AE3">
        <w:rPr>
          <w:b/>
          <w:bCs/>
        </w:rPr>
        <w:t>Özet</w:t>
      </w:r>
    </w:p>
    <w:p w14:paraId="7C2D6F30" w14:textId="77777777" w:rsidR="00914DCC" w:rsidRPr="00896A2B" w:rsidRDefault="00914DCC" w:rsidP="0017453B">
      <w:pPr>
        <w:jc w:val="both"/>
      </w:pPr>
      <w:r w:rsidRPr="00896A2B">
        <w:t xml:space="preserve">Yaşar Kemal'in </w:t>
      </w:r>
      <w:proofErr w:type="spellStart"/>
      <w:r w:rsidRPr="00C73CA6">
        <w:rPr>
          <w:i/>
          <w:iCs/>
        </w:rPr>
        <w:t>Hüyükteki</w:t>
      </w:r>
      <w:proofErr w:type="spellEnd"/>
      <w:r w:rsidRPr="00C73CA6">
        <w:rPr>
          <w:i/>
          <w:iCs/>
        </w:rPr>
        <w:t xml:space="preserve"> Nar Ağacı</w:t>
      </w:r>
      <w:r w:rsidRPr="00896A2B">
        <w:t xml:space="preserve"> adlı eseri, Çukurova'nın zorlu coğrafyasında yaşam mücadelesi veren insanların varoluşsal çabalarını, </w:t>
      </w:r>
      <w:proofErr w:type="spellStart"/>
      <w:r w:rsidRPr="00896A2B">
        <w:t>sosyo</w:t>
      </w:r>
      <w:proofErr w:type="spellEnd"/>
      <w:r w:rsidRPr="00896A2B">
        <w:t xml:space="preserve">-ekonomik gerçekliklerini ve kültürel dinamiklerini çok yönlü bir perspektifle ele alır. Roman, yoksulluk, işsizlik ve </w:t>
      </w:r>
      <w:r>
        <w:t xml:space="preserve">mevsimlik işçilik </w:t>
      </w:r>
      <w:r w:rsidRPr="00896A2B">
        <w:t>gibi temaları; geleneksel yaşam pratiklerinin dönüşümü, emek-sermaye geriliminin toplumsal yapıya etkisi, sınıfsal eşitsizliklerin ve ekonomik kırılganlıkların kimlik inşası üzerindeki belirleyiciliği üzerinden konu eder.</w:t>
      </w:r>
    </w:p>
    <w:p w14:paraId="760F7BF2" w14:textId="77777777" w:rsidR="00914DCC" w:rsidRDefault="00914DCC" w:rsidP="0017453B">
      <w:pPr>
        <w:jc w:val="both"/>
      </w:pPr>
      <w:r w:rsidRPr="003D349E">
        <w:t xml:space="preserve">Eserde, inanç olgusu toplumsal ilişki ağlarını ve kültürel kimlik inşasını derinden etkileyen temel bir parametre olarak karşımıza çıkar. Karakterlerin davranışları, umutları, korkuları ve karar alma süreçleri inanç sistemleriyle derinden bağlantılıdır. İnanç ve inanışları temsil eden batıl ritüeller, türküler ve efsaneler gibi kültürel unsurlar, karakterlerin kriz anlarında direnç kaynağı ve psikolojik destek işlevi üstlenir. Metin, bu bağlamda inancın ontolojik sınırlarını, gerçeklikle kurduğu diyalektik ilişkiyi ve bireysel/toplumsal anlam inşasındaki rolünü çok boyutlu bir </w:t>
      </w:r>
      <w:r w:rsidRPr="00896A2B">
        <w:t xml:space="preserve">perspektifle </w:t>
      </w:r>
      <w:r w:rsidRPr="003D349E">
        <w:t>ele alır. Bu çalışma, roman üzerinden inancın hem bireysel hem de kolektif düzlemdeki işlevini; anlamlandırma mekanizmaları, varoluşsal krizler karşısında geliştirilen başa çıkma stratejileri ve dayanışma dinamikleri ekseninde incelemeyi hedefl</w:t>
      </w:r>
      <w:r>
        <w:t>er.</w:t>
      </w:r>
    </w:p>
    <w:p w14:paraId="2D1A0525" w14:textId="77777777" w:rsidR="00021193" w:rsidRDefault="00021193" w:rsidP="0017453B">
      <w:pPr>
        <w:jc w:val="both"/>
      </w:pPr>
    </w:p>
    <w:p w14:paraId="4B12E854" w14:textId="6B684052" w:rsidR="00587C60" w:rsidRDefault="000C6508" w:rsidP="0017453B">
      <w:pPr>
        <w:jc w:val="both"/>
      </w:pPr>
      <w:r>
        <w:rPr>
          <w:b/>
          <w:bCs/>
        </w:rPr>
        <w:t>Anahtar Kelimeler</w:t>
      </w:r>
      <w:r w:rsidR="00914DCC" w:rsidRPr="00896A2B">
        <w:rPr>
          <w:b/>
          <w:bCs/>
        </w:rPr>
        <w:t>:</w:t>
      </w:r>
      <w:r w:rsidR="00914DCC" w:rsidRPr="00896A2B">
        <w:t xml:space="preserve"> Yaşar Kemal, </w:t>
      </w:r>
      <w:proofErr w:type="spellStart"/>
      <w:r w:rsidR="00914DCC" w:rsidRPr="00896A2B">
        <w:t>Hüyükteki</w:t>
      </w:r>
      <w:proofErr w:type="spellEnd"/>
      <w:r w:rsidR="00914DCC" w:rsidRPr="00896A2B">
        <w:t xml:space="preserve"> Nar Ağacı, inanç, </w:t>
      </w:r>
      <w:r w:rsidR="00914DCC">
        <w:t xml:space="preserve">anlam, </w:t>
      </w:r>
      <w:r w:rsidR="00914DCC" w:rsidRPr="00896A2B">
        <w:t xml:space="preserve">toplumsal kimlik, varoluşsal kriz, </w:t>
      </w:r>
      <w:r w:rsidR="00914DCC">
        <w:t>ontoloji.</w:t>
      </w:r>
    </w:p>
    <w:p w14:paraId="303EAF45" w14:textId="4773CC91" w:rsidR="002C3918" w:rsidRDefault="002C3918" w:rsidP="0017453B">
      <w:pPr>
        <w:autoSpaceDE/>
        <w:autoSpaceDN/>
      </w:pPr>
    </w:p>
    <w:p w14:paraId="36FBE50B" w14:textId="77777777" w:rsidR="00914DCC" w:rsidRDefault="00914DCC" w:rsidP="004C7694">
      <w:pPr>
        <w:pStyle w:val="Tark"/>
        <w:rPr>
          <w:i/>
          <w:iCs/>
        </w:rPr>
      </w:pPr>
      <w:bookmarkStart w:id="39" w:name="_Toc192855163"/>
      <w:proofErr w:type="spellStart"/>
      <w:r w:rsidRPr="00076243">
        <w:t>The</w:t>
      </w:r>
      <w:proofErr w:type="spellEnd"/>
      <w:r w:rsidRPr="00076243">
        <w:t xml:space="preserve"> </w:t>
      </w:r>
      <w:proofErr w:type="spellStart"/>
      <w:r w:rsidRPr="00076243">
        <w:t>Ontological</w:t>
      </w:r>
      <w:proofErr w:type="spellEnd"/>
      <w:r w:rsidRPr="00076243">
        <w:t xml:space="preserve"> </w:t>
      </w:r>
      <w:proofErr w:type="spellStart"/>
      <w:r w:rsidRPr="00076243">
        <w:t>Function</w:t>
      </w:r>
      <w:proofErr w:type="spellEnd"/>
      <w:r w:rsidRPr="00076243">
        <w:t xml:space="preserve"> of </w:t>
      </w:r>
      <w:proofErr w:type="spellStart"/>
      <w:r w:rsidRPr="00076243">
        <w:t>Belief</w:t>
      </w:r>
      <w:proofErr w:type="spellEnd"/>
      <w:r w:rsidRPr="00076243">
        <w:t xml:space="preserve"> </w:t>
      </w:r>
      <w:proofErr w:type="spellStart"/>
      <w:r w:rsidRPr="00076243">
        <w:t>and</w:t>
      </w:r>
      <w:proofErr w:type="spellEnd"/>
      <w:r w:rsidRPr="00076243">
        <w:t xml:space="preserve"> </w:t>
      </w:r>
      <w:proofErr w:type="spellStart"/>
      <w:r w:rsidRPr="00076243">
        <w:t>the</w:t>
      </w:r>
      <w:proofErr w:type="spellEnd"/>
      <w:r w:rsidRPr="00076243">
        <w:t xml:space="preserve"> Construction of </w:t>
      </w:r>
      <w:proofErr w:type="spellStart"/>
      <w:r w:rsidRPr="00076243">
        <w:t>Meaning</w:t>
      </w:r>
      <w:proofErr w:type="spellEnd"/>
      <w:r w:rsidRPr="00076243">
        <w:t xml:space="preserve"> in Yaşar </w:t>
      </w:r>
      <w:proofErr w:type="spellStart"/>
      <w:r w:rsidRPr="00076243">
        <w:t>Kemal's</w:t>
      </w:r>
      <w:proofErr w:type="spellEnd"/>
      <w:r w:rsidRPr="00076243">
        <w:t xml:space="preserve"> </w:t>
      </w:r>
      <w:proofErr w:type="spellStart"/>
      <w:r w:rsidRPr="00076243">
        <w:t>Novel</w:t>
      </w:r>
      <w:proofErr w:type="spellEnd"/>
      <w:r w:rsidRPr="00076243">
        <w:t xml:space="preserve"> </w:t>
      </w:r>
      <w:proofErr w:type="spellStart"/>
      <w:r w:rsidRPr="00076243">
        <w:rPr>
          <w:i/>
          <w:iCs/>
        </w:rPr>
        <w:t>Hüyükteki</w:t>
      </w:r>
      <w:proofErr w:type="spellEnd"/>
      <w:r w:rsidRPr="00076243">
        <w:rPr>
          <w:i/>
          <w:iCs/>
        </w:rPr>
        <w:t xml:space="preserve"> Nar Ağacı</w:t>
      </w:r>
      <w:bookmarkEnd w:id="39"/>
    </w:p>
    <w:p w14:paraId="3A136E61" w14:textId="77777777" w:rsidR="0017453B" w:rsidRPr="0017453B" w:rsidRDefault="0017453B" w:rsidP="0017453B">
      <w:pPr>
        <w:pStyle w:val="Metin"/>
      </w:pPr>
    </w:p>
    <w:p w14:paraId="788EB7E0" w14:textId="77777777" w:rsidR="00914DCC" w:rsidRPr="009F0AE3" w:rsidRDefault="00914DCC" w:rsidP="0017453B">
      <w:pPr>
        <w:jc w:val="center"/>
        <w:rPr>
          <w:b/>
          <w:bCs/>
        </w:rPr>
      </w:pPr>
      <w:proofErr w:type="spellStart"/>
      <w:r w:rsidRPr="009F0AE3">
        <w:rPr>
          <w:b/>
          <w:bCs/>
        </w:rPr>
        <w:t>Abstract</w:t>
      </w:r>
      <w:proofErr w:type="spellEnd"/>
    </w:p>
    <w:p w14:paraId="16310743" w14:textId="77777777" w:rsidR="00914DCC" w:rsidRPr="00076243" w:rsidRDefault="00914DCC" w:rsidP="0017453B">
      <w:pPr>
        <w:jc w:val="both"/>
      </w:pPr>
      <w:r w:rsidRPr="00076243">
        <w:t xml:space="preserve">Yaşar </w:t>
      </w:r>
      <w:proofErr w:type="spellStart"/>
      <w:r w:rsidRPr="00076243">
        <w:t>Kemal's</w:t>
      </w:r>
      <w:proofErr w:type="spellEnd"/>
      <w:r w:rsidRPr="00076243">
        <w:t xml:space="preserve"> </w:t>
      </w:r>
      <w:proofErr w:type="spellStart"/>
      <w:r w:rsidRPr="00076243">
        <w:t>novel</w:t>
      </w:r>
      <w:proofErr w:type="spellEnd"/>
      <w:r w:rsidRPr="00076243">
        <w:t xml:space="preserve"> </w:t>
      </w:r>
      <w:proofErr w:type="spellStart"/>
      <w:r w:rsidRPr="00076243">
        <w:rPr>
          <w:i/>
          <w:iCs/>
        </w:rPr>
        <w:t>Hüyükteki</w:t>
      </w:r>
      <w:proofErr w:type="spellEnd"/>
      <w:r w:rsidRPr="00076243">
        <w:rPr>
          <w:i/>
          <w:iCs/>
        </w:rPr>
        <w:t xml:space="preserve"> Nar Ağacı</w:t>
      </w:r>
      <w:r w:rsidRPr="00076243">
        <w:t xml:space="preserve"> </w:t>
      </w:r>
      <w:proofErr w:type="spellStart"/>
      <w:r w:rsidRPr="00076243">
        <w:t>examines</w:t>
      </w:r>
      <w:proofErr w:type="spellEnd"/>
      <w:r w:rsidRPr="00076243">
        <w:t xml:space="preserve"> </w:t>
      </w:r>
      <w:proofErr w:type="spellStart"/>
      <w:r w:rsidRPr="00076243">
        <w:t>the</w:t>
      </w:r>
      <w:proofErr w:type="spellEnd"/>
      <w:r w:rsidRPr="00076243">
        <w:t xml:space="preserve"> </w:t>
      </w:r>
      <w:proofErr w:type="spellStart"/>
      <w:r w:rsidRPr="00076243">
        <w:t>existential</w:t>
      </w:r>
      <w:proofErr w:type="spellEnd"/>
      <w:r w:rsidRPr="00076243">
        <w:t xml:space="preserve"> </w:t>
      </w:r>
      <w:proofErr w:type="spellStart"/>
      <w:r w:rsidRPr="00076243">
        <w:t>struggles</w:t>
      </w:r>
      <w:proofErr w:type="spellEnd"/>
      <w:r w:rsidRPr="00076243">
        <w:t xml:space="preserve">, </w:t>
      </w:r>
      <w:proofErr w:type="spellStart"/>
      <w:r w:rsidRPr="00076243">
        <w:t>socio-economic</w:t>
      </w:r>
      <w:proofErr w:type="spellEnd"/>
      <w:r w:rsidRPr="00076243">
        <w:t xml:space="preserve"> </w:t>
      </w:r>
      <w:proofErr w:type="spellStart"/>
      <w:r w:rsidRPr="00076243">
        <w:t>realities</w:t>
      </w:r>
      <w:proofErr w:type="spellEnd"/>
      <w:r w:rsidRPr="00076243">
        <w:t xml:space="preserve">, </w:t>
      </w:r>
      <w:proofErr w:type="spellStart"/>
      <w:r w:rsidRPr="00076243">
        <w:t>and</w:t>
      </w:r>
      <w:proofErr w:type="spellEnd"/>
      <w:r w:rsidRPr="00076243">
        <w:t xml:space="preserve"> </w:t>
      </w:r>
      <w:proofErr w:type="spellStart"/>
      <w:r w:rsidRPr="00076243">
        <w:t>cultural</w:t>
      </w:r>
      <w:proofErr w:type="spellEnd"/>
      <w:r w:rsidRPr="00076243">
        <w:t xml:space="preserve"> </w:t>
      </w:r>
      <w:proofErr w:type="spellStart"/>
      <w:r w:rsidRPr="00076243">
        <w:t>dynamics</w:t>
      </w:r>
      <w:proofErr w:type="spellEnd"/>
      <w:r w:rsidRPr="00076243">
        <w:t xml:space="preserve"> of </w:t>
      </w:r>
      <w:proofErr w:type="spellStart"/>
      <w:r w:rsidRPr="00076243">
        <w:t>people</w:t>
      </w:r>
      <w:proofErr w:type="spellEnd"/>
      <w:r w:rsidRPr="00076243">
        <w:t xml:space="preserve"> </w:t>
      </w:r>
      <w:proofErr w:type="spellStart"/>
      <w:r w:rsidRPr="00076243">
        <w:t>striving</w:t>
      </w:r>
      <w:proofErr w:type="spellEnd"/>
      <w:r w:rsidRPr="00076243">
        <w:t xml:space="preserve"> </w:t>
      </w:r>
      <w:proofErr w:type="spellStart"/>
      <w:r w:rsidRPr="00076243">
        <w:t>to</w:t>
      </w:r>
      <w:proofErr w:type="spellEnd"/>
      <w:r w:rsidRPr="00076243">
        <w:t xml:space="preserve"> </w:t>
      </w:r>
      <w:proofErr w:type="spellStart"/>
      <w:r w:rsidRPr="00076243">
        <w:t>survive</w:t>
      </w:r>
      <w:proofErr w:type="spellEnd"/>
      <w:r w:rsidRPr="00076243">
        <w:t xml:space="preserve"> in </w:t>
      </w:r>
      <w:proofErr w:type="spellStart"/>
      <w:r w:rsidRPr="00076243">
        <w:t>the</w:t>
      </w:r>
      <w:proofErr w:type="spellEnd"/>
      <w:r w:rsidRPr="00076243">
        <w:t xml:space="preserve"> </w:t>
      </w:r>
      <w:proofErr w:type="spellStart"/>
      <w:r w:rsidRPr="00076243">
        <w:t>challenging</w:t>
      </w:r>
      <w:proofErr w:type="spellEnd"/>
      <w:r w:rsidRPr="00076243">
        <w:t xml:space="preserve"> </w:t>
      </w:r>
      <w:proofErr w:type="spellStart"/>
      <w:r w:rsidRPr="00076243">
        <w:t>geography</w:t>
      </w:r>
      <w:proofErr w:type="spellEnd"/>
      <w:r w:rsidRPr="00076243">
        <w:t xml:space="preserve"> of Çukurova </w:t>
      </w:r>
      <w:proofErr w:type="spellStart"/>
      <w:r w:rsidRPr="00076243">
        <w:t>from</w:t>
      </w:r>
      <w:proofErr w:type="spellEnd"/>
      <w:r w:rsidRPr="00076243">
        <w:t xml:space="preserve"> a </w:t>
      </w:r>
      <w:proofErr w:type="spellStart"/>
      <w:r w:rsidRPr="00076243">
        <w:t>multifaceted</w:t>
      </w:r>
      <w:proofErr w:type="spellEnd"/>
      <w:r w:rsidRPr="00076243">
        <w:t xml:space="preserve"> </w:t>
      </w:r>
      <w:proofErr w:type="spellStart"/>
      <w:r w:rsidRPr="00076243">
        <w:t>perspective</w:t>
      </w:r>
      <w:proofErr w:type="spellEnd"/>
      <w:r w:rsidRPr="00076243">
        <w:t xml:space="preserve">. </w:t>
      </w:r>
      <w:proofErr w:type="spellStart"/>
      <w:r w:rsidRPr="00076243">
        <w:t>The</w:t>
      </w:r>
      <w:proofErr w:type="spellEnd"/>
      <w:r w:rsidRPr="00076243">
        <w:t xml:space="preserve"> </w:t>
      </w:r>
      <w:proofErr w:type="spellStart"/>
      <w:r w:rsidRPr="00076243">
        <w:t>novel</w:t>
      </w:r>
      <w:proofErr w:type="spellEnd"/>
      <w:r w:rsidRPr="00076243">
        <w:t xml:space="preserve"> </w:t>
      </w:r>
      <w:proofErr w:type="spellStart"/>
      <w:r w:rsidRPr="00076243">
        <w:t>addresses</w:t>
      </w:r>
      <w:proofErr w:type="spellEnd"/>
      <w:r w:rsidRPr="00076243">
        <w:t xml:space="preserve"> </w:t>
      </w:r>
      <w:proofErr w:type="spellStart"/>
      <w:r w:rsidRPr="00076243">
        <w:t>themes</w:t>
      </w:r>
      <w:proofErr w:type="spellEnd"/>
      <w:r w:rsidRPr="00076243">
        <w:t xml:space="preserve"> </w:t>
      </w:r>
      <w:proofErr w:type="spellStart"/>
      <w:r w:rsidRPr="00076243">
        <w:t>such</w:t>
      </w:r>
      <w:proofErr w:type="spellEnd"/>
      <w:r w:rsidRPr="00076243">
        <w:t xml:space="preserve"> as </w:t>
      </w:r>
      <w:proofErr w:type="spellStart"/>
      <w:r w:rsidRPr="00076243">
        <w:t>poverty</w:t>
      </w:r>
      <w:proofErr w:type="spellEnd"/>
      <w:r w:rsidRPr="00076243">
        <w:t xml:space="preserve">, </w:t>
      </w:r>
      <w:proofErr w:type="spellStart"/>
      <w:r w:rsidRPr="00076243">
        <w:t>unemployment</w:t>
      </w:r>
      <w:proofErr w:type="spellEnd"/>
      <w:r w:rsidRPr="00076243">
        <w:t xml:space="preserve">, </w:t>
      </w:r>
      <w:proofErr w:type="spellStart"/>
      <w:r w:rsidRPr="00076243">
        <w:t>and</w:t>
      </w:r>
      <w:proofErr w:type="spellEnd"/>
      <w:r w:rsidRPr="00076243">
        <w:t xml:space="preserve"> </w:t>
      </w:r>
      <w:proofErr w:type="spellStart"/>
      <w:r w:rsidRPr="00076243">
        <w:t>seasonal</w:t>
      </w:r>
      <w:proofErr w:type="spellEnd"/>
      <w:r w:rsidRPr="00076243">
        <w:t xml:space="preserve"> </w:t>
      </w:r>
      <w:proofErr w:type="spellStart"/>
      <w:r w:rsidRPr="00076243">
        <w:t>labor</w:t>
      </w:r>
      <w:proofErr w:type="spellEnd"/>
      <w:r w:rsidRPr="00076243">
        <w:t xml:space="preserve"> </w:t>
      </w:r>
      <w:proofErr w:type="spellStart"/>
      <w:r w:rsidRPr="00076243">
        <w:t>through</w:t>
      </w:r>
      <w:proofErr w:type="spellEnd"/>
      <w:r w:rsidRPr="00076243">
        <w:t xml:space="preserve"> </w:t>
      </w:r>
      <w:proofErr w:type="spellStart"/>
      <w:r w:rsidRPr="00076243">
        <w:t>the</w:t>
      </w:r>
      <w:proofErr w:type="spellEnd"/>
      <w:r w:rsidRPr="00076243">
        <w:t xml:space="preserve"> </w:t>
      </w:r>
      <w:proofErr w:type="spellStart"/>
      <w:r w:rsidRPr="00076243">
        <w:t>transformation</w:t>
      </w:r>
      <w:proofErr w:type="spellEnd"/>
      <w:r w:rsidRPr="00076243">
        <w:t xml:space="preserve"> of </w:t>
      </w:r>
      <w:proofErr w:type="spellStart"/>
      <w:r w:rsidRPr="00076243">
        <w:t>traditional</w:t>
      </w:r>
      <w:proofErr w:type="spellEnd"/>
      <w:r w:rsidRPr="00076243">
        <w:t xml:space="preserve"> life </w:t>
      </w:r>
      <w:proofErr w:type="spellStart"/>
      <w:r w:rsidRPr="00076243">
        <w:t>practices</w:t>
      </w:r>
      <w:proofErr w:type="spellEnd"/>
      <w:r w:rsidRPr="00076243">
        <w:t xml:space="preserve">, </w:t>
      </w:r>
      <w:proofErr w:type="spellStart"/>
      <w:r w:rsidRPr="00076243">
        <w:t>the</w:t>
      </w:r>
      <w:proofErr w:type="spellEnd"/>
      <w:r w:rsidRPr="00076243">
        <w:t xml:space="preserve"> </w:t>
      </w:r>
      <w:proofErr w:type="spellStart"/>
      <w:r w:rsidRPr="00076243">
        <w:t>impact</w:t>
      </w:r>
      <w:proofErr w:type="spellEnd"/>
      <w:r w:rsidRPr="00076243">
        <w:t xml:space="preserve"> of </w:t>
      </w:r>
      <w:proofErr w:type="spellStart"/>
      <w:r w:rsidRPr="00076243">
        <w:t>labor-capital</w:t>
      </w:r>
      <w:proofErr w:type="spellEnd"/>
      <w:r w:rsidRPr="00076243">
        <w:t xml:space="preserve"> </w:t>
      </w:r>
      <w:proofErr w:type="spellStart"/>
      <w:r w:rsidRPr="00076243">
        <w:t>tensions</w:t>
      </w:r>
      <w:proofErr w:type="spellEnd"/>
      <w:r w:rsidRPr="00076243">
        <w:t xml:space="preserve"> on </w:t>
      </w:r>
      <w:proofErr w:type="spellStart"/>
      <w:r w:rsidRPr="00076243">
        <w:t>social</w:t>
      </w:r>
      <w:proofErr w:type="spellEnd"/>
      <w:r w:rsidRPr="00076243">
        <w:t xml:space="preserve"> </w:t>
      </w:r>
      <w:proofErr w:type="spellStart"/>
      <w:r w:rsidRPr="00076243">
        <w:t>structure</w:t>
      </w:r>
      <w:proofErr w:type="spellEnd"/>
      <w:r w:rsidRPr="00076243">
        <w:t xml:space="preserve">, </w:t>
      </w:r>
      <w:proofErr w:type="spellStart"/>
      <w:r w:rsidRPr="00076243">
        <w:t>and</w:t>
      </w:r>
      <w:proofErr w:type="spellEnd"/>
      <w:r w:rsidRPr="00076243">
        <w:t xml:space="preserve"> </w:t>
      </w:r>
      <w:proofErr w:type="spellStart"/>
      <w:r w:rsidRPr="00076243">
        <w:t>the</w:t>
      </w:r>
      <w:proofErr w:type="spellEnd"/>
      <w:r w:rsidRPr="00076243">
        <w:t xml:space="preserve"> role of </w:t>
      </w:r>
      <w:proofErr w:type="spellStart"/>
      <w:r w:rsidRPr="00076243">
        <w:t>class</w:t>
      </w:r>
      <w:proofErr w:type="spellEnd"/>
      <w:r w:rsidRPr="00076243">
        <w:t xml:space="preserve"> </w:t>
      </w:r>
      <w:proofErr w:type="spellStart"/>
      <w:r w:rsidRPr="00076243">
        <w:t>inequalities</w:t>
      </w:r>
      <w:proofErr w:type="spellEnd"/>
      <w:r w:rsidRPr="00076243">
        <w:t xml:space="preserve"> </w:t>
      </w:r>
      <w:proofErr w:type="spellStart"/>
      <w:r w:rsidRPr="00076243">
        <w:t>and</w:t>
      </w:r>
      <w:proofErr w:type="spellEnd"/>
      <w:r w:rsidRPr="00076243">
        <w:t xml:space="preserve"> </w:t>
      </w:r>
      <w:proofErr w:type="spellStart"/>
      <w:r w:rsidRPr="00076243">
        <w:t>economic</w:t>
      </w:r>
      <w:proofErr w:type="spellEnd"/>
      <w:r w:rsidRPr="00076243">
        <w:t xml:space="preserve"> </w:t>
      </w:r>
      <w:proofErr w:type="spellStart"/>
      <w:r w:rsidRPr="00076243">
        <w:t>vulnerabilities</w:t>
      </w:r>
      <w:proofErr w:type="spellEnd"/>
      <w:r w:rsidRPr="00076243">
        <w:t xml:space="preserve"> in </w:t>
      </w:r>
      <w:proofErr w:type="spellStart"/>
      <w:r w:rsidRPr="00076243">
        <w:t>identity</w:t>
      </w:r>
      <w:proofErr w:type="spellEnd"/>
      <w:r w:rsidRPr="00076243">
        <w:t xml:space="preserve"> </w:t>
      </w:r>
      <w:proofErr w:type="spellStart"/>
      <w:r w:rsidRPr="00076243">
        <w:t>construction</w:t>
      </w:r>
      <w:proofErr w:type="spellEnd"/>
      <w:r w:rsidRPr="00076243">
        <w:t>.</w:t>
      </w:r>
    </w:p>
    <w:p w14:paraId="71F0449E" w14:textId="77777777" w:rsidR="00914DCC" w:rsidRDefault="00914DCC" w:rsidP="0017453B">
      <w:pPr>
        <w:jc w:val="both"/>
      </w:pPr>
      <w:proofErr w:type="spellStart"/>
      <w:r w:rsidRPr="00076243">
        <w:t>In</w:t>
      </w:r>
      <w:proofErr w:type="spellEnd"/>
      <w:r w:rsidRPr="00076243">
        <w:t xml:space="preserve"> </w:t>
      </w:r>
      <w:proofErr w:type="spellStart"/>
      <w:r w:rsidRPr="00076243">
        <w:t>the</w:t>
      </w:r>
      <w:proofErr w:type="spellEnd"/>
      <w:r w:rsidRPr="00076243">
        <w:t xml:space="preserve"> </w:t>
      </w:r>
      <w:proofErr w:type="spellStart"/>
      <w:r w:rsidRPr="00076243">
        <w:t>work</w:t>
      </w:r>
      <w:proofErr w:type="spellEnd"/>
      <w:r w:rsidRPr="00076243">
        <w:t xml:space="preserve">, </w:t>
      </w:r>
      <w:proofErr w:type="spellStart"/>
      <w:r w:rsidRPr="00076243">
        <w:t>the</w:t>
      </w:r>
      <w:proofErr w:type="spellEnd"/>
      <w:r w:rsidRPr="00076243">
        <w:t xml:space="preserve"> </w:t>
      </w:r>
      <w:proofErr w:type="spellStart"/>
      <w:r w:rsidRPr="00076243">
        <w:t>phenomenon</w:t>
      </w:r>
      <w:proofErr w:type="spellEnd"/>
      <w:r w:rsidRPr="00076243">
        <w:t xml:space="preserve"> of </w:t>
      </w:r>
      <w:proofErr w:type="spellStart"/>
      <w:r w:rsidRPr="00076243">
        <w:t>belief</w:t>
      </w:r>
      <w:proofErr w:type="spellEnd"/>
      <w:r w:rsidRPr="00076243">
        <w:t xml:space="preserve"> </w:t>
      </w:r>
      <w:proofErr w:type="spellStart"/>
      <w:r w:rsidRPr="00076243">
        <w:t>emerges</w:t>
      </w:r>
      <w:proofErr w:type="spellEnd"/>
      <w:r w:rsidRPr="00076243">
        <w:t xml:space="preserve"> as a </w:t>
      </w:r>
      <w:proofErr w:type="spellStart"/>
      <w:r w:rsidRPr="00076243">
        <w:t>fundamental</w:t>
      </w:r>
      <w:proofErr w:type="spellEnd"/>
      <w:r w:rsidRPr="00076243">
        <w:t xml:space="preserve"> </w:t>
      </w:r>
      <w:proofErr w:type="spellStart"/>
      <w:r w:rsidRPr="00076243">
        <w:t>parameter</w:t>
      </w:r>
      <w:proofErr w:type="spellEnd"/>
      <w:r w:rsidRPr="00076243">
        <w:t xml:space="preserve"> </w:t>
      </w:r>
      <w:proofErr w:type="spellStart"/>
      <w:r w:rsidRPr="00076243">
        <w:t>that</w:t>
      </w:r>
      <w:proofErr w:type="spellEnd"/>
      <w:r w:rsidRPr="00076243">
        <w:t xml:space="preserve"> </w:t>
      </w:r>
      <w:proofErr w:type="spellStart"/>
      <w:r w:rsidRPr="00076243">
        <w:t>profoundly</w:t>
      </w:r>
      <w:proofErr w:type="spellEnd"/>
      <w:r w:rsidRPr="00076243">
        <w:t xml:space="preserve"> </w:t>
      </w:r>
      <w:proofErr w:type="spellStart"/>
      <w:r w:rsidRPr="00076243">
        <w:t>influences</w:t>
      </w:r>
      <w:proofErr w:type="spellEnd"/>
      <w:r w:rsidRPr="00076243">
        <w:t xml:space="preserve"> </w:t>
      </w:r>
      <w:proofErr w:type="spellStart"/>
      <w:r w:rsidRPr="00076243">
        <w:t>social</w:t>
      </w:r>
      <w:proofErr w:type="spellEnd"/>
      <w:r w:rsidRPr="00076243">
        <w:t xml:space="preserve"> </w:t>
      </w:r>
      <w:proofErr w:type="spellStart"/>
      <w:r w:rsidRPr="00076243">
        <w:t>networks</w:t>
      </w:r>
      <w:proofErr w:type="spellEnd"/>
      <w:r w:rsidRPr="00076243">
        <w:t xml:space="preserve"> </w:t>
      </w:r>
      <w:proofErr w:type="spellStart"/>
      <w:r w:rsidRPr="00076243">
        <w:t>and</w:t>
      </w:r>
      <w:proofErr w:type="spellEnd"/>
      <w:r w:rsidRPr="00076243">
        <w:t xml:space="preserve"> </w:t>
      </w:r>
      <w:proofErr w:type="spellStart"/>
      <w:r w:rsidRPr="00076243">
        <w:t>cultural</w:t>
      </w:r>
      <w:proofErr w:type="spellEnd"/>
      <w:r w:rsidRPr="00076243">
        <w:t xml:space="preserve"> </w:t>
      </w:r>
      <w:proofErr w:type="spellStart"/>
      <w:r w:rsidRPr="00076243">
        <w:t>identity</w:t>
      </w:r>
      <w:proofErr w:type="spellEnd"/>
      <w:r w:rsidRPr="00076243">
        <w:t xml:space="preserve"> </w:t>
      </w:r>
      <w:proofErr w:type="spellStart"/>
      <w:r w:rsidRPr="00076243">
        <w:t>formation</w:t>
      </w:r>
      <w:proofErr w:type="spellEnd"/>
      <w:r w:rsidRPr="00076243">
        <w:t xml:space="preserve">. </w:t>
      </w:r>
      <w:proofErr w:type="spellStart"/>
      <w:r w:rsidRPr="00076243">
        <w:t>The</w:t>
      </w:r>
      <w:proofErr w:type="spellEnd"/>
      <w:r w:rsidRPr="00076243">
        <w:t xml:space="preserve"> </w:t>
      </w:r>
      <w:proofErr w:type="spellStart"/>
      <w:r w:rsidRPr="00076243">
        <w:t>behaviors</w:t>
      </w:r>
      <w:proofErr w:type="spellEnd"/>
      <w:r w:rsidRPr="00076243">
        <w:t xml:space="preserve">, </w:t>
      </w:r>
      <w:proofErr w:type="spellStart"/>
      <w:r w:rsidRPr="00076243">
        <w:t>hopes</w:t>
      </w:r>
      <w:proofErr w:type="spellEnd"/>
      <w:r w:rsidRPr="00076243">
        <w:t xml:space="preserve">, </w:t>
      </w:r>
      <w:proofErr w:type="spellStart"/>
      <w:r w:rsidRPr="00076243">
        <w:t>fears</w:t>
      </w:r>
      <w:proofErr w:type="spellEnd"/>
      <w:r w:rsidRPr="00076243">
        <w:t xml:space="preserve">, </w:t>
      </w:r>
      <w:proofErr w:type="spellStart"/>
      <w:r w:rsidRPr="00076243">
        <w:t>and</w:t>
      </w:r>
      <w:proofErr w:type="spellEnd"/>
      <w:r w:rsidRPr="00076243">
        <w:t xml:space="preserve"> </w:t>
      </w:r>
      <w:proofErr w:type="spellStart"/>
      <w:r w:rsidRPr="00076243">
        <w:t>decision-making</w:t>
      </w:r>
      <w:proofErr w:type="spellEnd"/>
      <w:r w:rsidRPr="00076243">
        <w:t xml:space="preserve"> </w:t>
      </w:r>
      <w:proofErr w:type="spellStart"/>
      <w:r w:rsidRPr="00076243">
        <w:t>processes</w:t>
      </w:r>
      <w:proofErr w:type="spellEnd"/>
      <w:r w:rsidRPr="00076243">
        <w:t xml:space="preserve"> of </w:t>
      </w:r>
      <w:proofErr w:type="spellStart"/>
      <w:r w:rsidRPr="00076243">
        <w:t>the</w:t>
      </w:r>
      <w:proofErr w:type="spellEnd"/>
      <w:r w:rsidRPr="00076243">
        <w:t xml:space="preserve"> </w:t>
      </w:r>
      <w:proofErr w:type="spellStart"/>
      <w:r w:rsidRPr="00076243">
        <w:t>characters</w:t>
      </w:r>
      <w:proofErr w:type="spellEnd"/>
      <w:r w:rsidRPr="00076243">
        <w:t xml:space="preserve"> </w:t>
      </w:r>
      <w:proofErr w:type="spellStart"/>
      <w:r w:rsidRPr="00076243">
        <w:t>are</w:t>
      </w:r>
      <w:proofErr w:type="spellEnd"/>
      <w:r w:rsidRPr="00076243">
        <w:t xml:space="preserve"> </w:t>
      </w:r>
      <w:proofErr w:type="spellStart"/>
      <w:r w:rsidRPr="00076243">
        <w:t>deeply</w:t>
      </w:r>
      <w:proofErr w:type="spellEnd"/>
      <w:r w:rsidRPr="00076243">
        <w:t xml:space="preserve"> </w:t>
      </w:r>
      <w:proofErr w:type="spellStart"/>
      <w:r w:rsidRPr="00076243">
        <w:t>connected</w:t>
      </w:r>
      <w:proofErr w:type="spellEnd"/>
      <w:r w:rsidRPr="00076243">
        <w:t xml:space="preserve"> </w:t>
      </w:r>
      <w:proofErr w:type="spellStart"/>
      <w:r w:rsidRPr="00076243">
        <w:t>to</w:t>
      </w:r>
      <w:proofErr w:type="spellEnd"/>
      <w:r w:rsidRPr="00076243">
        <w:t xml:space="preserve"> </w:t>
      </w:r>
      <w:proofErr w:type="spellStart"/>
      <w:r w:rsidRPr="00076243">
        <w:t>their</w:t>
      </w:r>
      <w:proofErr w:type="spellEnd"/>
      <w:r w:rsidRPr="00076243">
        <w:t xml:space="preserve"> </w:t>
      </w:r>
      <w:proofErr w:type="spellStart"/>
      <w:r w:rsidRPr="00076243">
        <w:t>belief</w:t>
      </w:r>
      <w:proofErr w:type="spellEnd"/>
      <w:r w:rsidRPr="00076243">
        <w:t xml:space="preserve"> </w:t>
      </w:r>
      <w:proofErr w:type="spellStart"/>
      <w:r w:rsidRPr="00076243">
        <w:t>systems</w:t>
      </w:r>
      <w:proofErr w:type="spellEnd"/>
      <w:r w:rsidRPr="00076243">
        <w:t xml:space="preserve">. </w:t>
      </w:r>
      <w:proofErr w:type="spellStart"/>
      <w:r w:rsidRPr="00076243">
        <w:t>Cultural</w:t>
      </w:r>
      <w:proofErr w:type="spellEnd"/>
      <w:r w:rsidRPr="00076243">
        <w:t xml:space="preserve"> </w:t>
      </w:r>
      <w:proofErr w:type="spellStart"/>
      <w:r w:rsidRPr="00076243">
        <w:t>elements</w:t>
      </w:r>
      <w:proofErr w:type="spellEnd"/>
      <w:r w:rsidRPr="00076243">
        <w:t xml:space="preserve"> </w:t>
      </w:r>
      <w:proofErr w:type="spellStart"/>
      <w:r w:rsidRPr="00076243">
        <w:t>such</w:t>
      </w:r>
      <w:proofErr w:type="spellEnd"/>
      <w:r w:rsidRPr="00076243">
        <w:t xml:space="preserve"> as </w:t>
      </w:r>
      <w:proofErr w:type="spellStart"/>
      <w:r w:rsidRPr="00076243">
        <w:t>superstitious</w:t>
      </w:r>
      <w:proofErr w:type="spellEnd"/>
      <w:r w:rsidRPr="00076243">
        <w:t xml:space="preserve"> </w:t>
      </w:r>
      <w:proofErr w:type="spellStart"/>
      <w:r w:rsidRPr="00076243">
        <w:t>rituals</w:t>
      </w:r>
      <w:proofErr w:type="spellEnd"/>
      <w:r w:rsidRPr="00076243">
        <w:t xml:space="preserve">, folk </w:t>
      </w:r>
      <w:proofErr w:type="spellStart"/>
      <w:r w:rsidRPr="00076243">
        <w:t>songs</w:t>
      </w:r>
      <w:proofErr w:type="spellEnd"/>
      <w:r w:rsidRPr="00076243">
        <w:t xml:space="preserve">, </w:t>
      </w:r>
      <w:proofErr w:type="spellStart"/>
      <w:r w:rsidRPr="00076243">
        <w:t>and</w:t>
      </w:r>
      <w:proofErr w:type="spellEnd"/>
      <w:r w:rsidRPr="00076243">
        <w:t xml:space="preserve"> </w:t>
      </w:r>
      <w:proofErr w:type="spellStart"/>
      <w:r w:rsidRPr="00076243">
        <w:t>legends</w:t>
      </w:r>
      <w:proofErr w:type="spellEnd"/>
      <w:r w:rsidRPr="00076243">
        <w:t xml:space="preserve">, </w:t>
      </w:r>
      <w:proofErr w:type="spellStart"/>
      <w:r w:rsidRPr="00076243">
        <w:t>which</w:t>
      </w:r>
      <w:proofErr w:type="spellEnd"/>
      <w:r w:rsidRPr="00076243">
        <w:t xml:space="preserve"> </w:t>
      </w:r>
      <w:proofErr w:type="spellStart"/>
      <w:r w:rsidRPr="00076243">
        <w:t>represent</w:t>
      </w:r>
      <w:proofErr w:type="spellEnd"/>
      <w:r w:rsidRPr="00076243">
        <w:t xml:space="preserve"> </w:t>
      </w:r>
      <w:proofErr w:type="spellStart"/>
      <w:r w:rsidRPr="00076243">
        <w:t>faith</w:t>
      </w:r>
      <w:proofErr w:type="spellEnd"/>
      <w:r w:rsidRPr="00076243">
        <w:t xml:space="preserve"> </w:t>
      </w:r>
      <w:proofErr w:type="spellStart"/>
      <w:r w:rsidRPr="00076243">
        <w:t>and</w:t>
      </w:r>
      <w:proofErr w:type="spellEnd"/>
      <w:r w:rsidRPr="00076243">
        <w:t xml:space="preserve"> </w:t>
      </w:r>
      <w:proofErr w:type="spellStart"/>
      <w:r w:rsidRPr="00076243">
        <w:t>belief</w:t>
      </w:r>
      <w:proofErr w:type="spellEnd"/>
      <w:r w:rsidRPr="00076243">
        <w:t xml:space="preserve">, </w:t>
      </w:r>
      <w:proofErr w:type="spellStart"/>
      <w:r w:rsidRPr="00076243">
        <w:t>function</w:t>
      </w:r>
      <w:proofErr w:type="spellEnd"/>
      <w:r w:rsidRPr="00076243">
        <w:t xml:space="preserve"> as </w:t>
      </w:r>
      <w:proofErr w:type="spellStart"/>
      <w:r w:rsidRPr="00076243">
        <w:t>sources</w:t>
      </w:r>
      <w:proofErr w:type="spellEnd"/>
      <w:r w:rsidRPr="00076243">
        <w:t xml:space="preserve"> of </w:t>
      </w:r>
      <w:proofErr w:type="spellStart"/>
      <w:r w:rsidRPr="00076243">
        <w:t>resilience</w:t>
      </w:r>
      <w:proofErr w:type="spellEnd"/>
      <w:r w:rsidRPr="00076243">
        <w:t xml:space="preserve"> </w:t>
      </w:r>
      <w:proofErr w:type="spellStart"/>
      <w:r w:rsidRPr="00076243">
        <w:t>and</w:t>
      </w:r>
      <w:proofErr w:type="spellEnd"/>
      <w:r w:rsidRPr="00076243">
        <w:t xml:space="preserve"> </w:t>
      </w:r>
      <w:proofErr w:type="spellStart"/>
      <w:r w:rsidRPr="00076243">
        <w:t>psychological</w:t>
      </w:r>
      <w:proofErr w:type="spellEnd"/>
      <w:r w:rsidRPr="00076243">
        <w:t xml:space="preserve"> </w:t>
      </w:r>
      <w:proofErr w:type="spellStart"/>
      <w:r w:rsidRPr="00076243">
        <w:t>support</w:t>
      </w:r>
      <w:proofErr w:type="spellEnd"/>
      <w:r w:rsidRPr="00076243">
        <w:t xml:space="preserve"> </w:t>
      </w:r>
      <w:proofErr w:type="spellStart"/>
      <w:r w:rsidRPr="00076243">
        <w:t>during</w:t>
      </w:r>
      <w:proofErr w:type="spellEnd"/>
      <w:r w:rsidRPr="00076243">
        <w:t xml:space="preserve"> </w:t>
      </w:r>
      <w:proofErr w:type="spellStart"/>
      <w:r w:rsidRPr="00076243">
        <w:t>moments</w:t>
      </w:r>
      <w:proofErr w:type="spellEnd"/>
      <w:r w:rsidRPr="00076243">
        <w:t xml:space="preserve"> of </w:t>
      </w:r>
      <w:proofErr w:type="spellStart"/>
      <w:r w:rsidRPr="00076243">
        <w:t>crisis</w:t>
      </w:r>
      <w:proofErr w:type="spellEnd"/>
      <w:r w:rsidRPr="00076243">
        <w:t xml:space="preserve">. </w:t>
      </w:r>
      <w:proofErr w:type="spellStart"/>
      <w:r w:rsidRPr="00076243">
        <w:t>In</w:t>
      </w:r>
      <w:proofErr w:type="spellEnd"/>
      <w:r w:rsidRPr="00076243">
        <w:t xml:space="preserve"> </w:t>
      </w:r>
      <w:proofErr w:type="spellStart"/>
      <w:r w:rsidRPr="00076243">
        <w:t>this</w:t>
      </w:r>
      <w:proofErr w:type="spellEnd"/>
      <w:r w:rsidRPr="00076243">
        <w:t xml:space="preserve"> </w:t>
      </w:r>
      <w:proofErr w:type="spellStart"/>
      <w:r w:rsidRPr="00076243">
        <w:t>context</w:t>
      </w:r>
      <w:proofErr w:type="spellEnd"/>
      <w:r w:rsidRPr="00076243">
        <w:t xml:space="preserve">, </w:t>
      </w:r>
      <w:proofErr w:type="spellStart"/>
      <w:r w:rsidRPr="00076243">
        <w:t>the</w:t>
      </w:r>
      <w:proofErr w:type="spellEnd"/>
      <w:r w:rsidRPr="00076243">
        <w:t xml:space="preserve"> </w:t>
      </w:r>
      <w:proofErr w:type="spellStart"/>
      <w:r w:rsidRPr="00076243">
        <w:t>text</w:t>
      </w:r>
      <w:proofErr w:type="spellEnd"/>
      <w:r w:rsidRPr="00076243">
        <w:t xml:space="preserve"> </w:t>
      </w:r>
      <w:proofErr w:type="spellStart"/>
      <w:r w:rsidRPr="00076243">
        <w:t>explores</w:t>
      </w:r>
      <w:proofErr w:type="spellEnd"/>
      <w:r w:rsidRPr="00076243">
        <w:t xml:space="preserve"> </w:t>
      </w:r>
      <w:proofErr w:type="spellStart"/>
      <w:r w:rsidRPr="00076243">
        <w:t>the</w:t>
      </w:r>
      <w:proofErr w:type="spellEnd"/>
      <w:r w:rsidRPr="00076243">
        <w:t xml:space="preserve"> </w:t>
      </w:r>
      <w:proofErr w:type="spellStart"/>
      <w:r w:rsidRPr="00076243">
        <w:t>ontological</w:t>
      </w:r>
      <w:proofErr w:type="spellEnd"/>
      <w:r w:rsidRPr="00076243">
        <w:t xml:space="preserve"> </w:t>
      </w:r>
      <w:proofErr w:type="spellStart"/>
      <w:r w:rsidRPr="00076243">
        <w:t>boundaries</w:t>
      </w:r>
      <w:proofErr w:type="spellEnd"/>
      <w:r w:rsidRPr="00076243">
        <w:t xml:space="preserve"> of </w:t>
      </w:r>
      <w:proofErr w:type="spellStart"/>
      <w:r w:rsidRPr="00076243">
        <w:t>belief</w:t>
      </w:r>
      <w:proofErr w:type="spellEnd"/>
      <w:r w:rsidRPr="00076243">
        <w:t xml:space="preserve">, </w:t>
      </w:r>
      <w:proofErr w:type="spellStart"/>
      <w:r w:rsidRPr="00076243">
        <w:t>its</w:t>
      </w:r>
      <w:proofErr w:type="spellEnd"/>
      <w:r w:rsidRPr="00076243">
        <w:t xml:space="preserve"> </w:t>
      </w:r>
      <w:proofErr w:type="spellStart"/>
      <w:r w:rsidRPr="00076243">
        <w:t>dialectical</w:t>
      </w:r>
      <w:proofErr w:type="spellEnd"/>
      <w:r w:rsidRPr="00076243">
        <w:t xml:space="preserve"> </w:t>
      </w:r>
      <w:proofErr w:type="spellStart"/>
      <w:r w:rsidRPr="00076243">
        <w:t>relationship</w:t>
      </w:r>
      <w:proofErr w:type="spellEnd"/>
      <w:r w:rsidRPr="00076243">
        <w:t xml:space="preserve"> </w:t>
      </w:r>
      <w:proofErr w:type="spellStart"/>
      <w:r w:rsidRPr="00076243">
        <w:t>with</w:t>
      </w:r>
      <w:proofErr w:type="spellEnd"/>
      <w:r w:rsidRPr="00076243">
        <w:t xml:space="preserve"> </w:t>
      </w:r>
      <w:proofErr w:type="spellStart"/>
      <w:r w:rsidRPr="00076243">
        <w:t>reality</w:t>
      </w:r>
      <w:proofErr w:type="spellEnd"/>
      <w:r w:rsidRPr="00076243">
        <w:t xml:space="preserve">, </w:t>
      </w:r>
      <w:proofErr w:type="spellStart"/>
      <w:r w:rsidRPr="00076243">
        <w:t>and</w:t>
      </w:r>
      <w:proofErr w:type="spellEnd"/>
      <w:r w:rsidRPr="00076243">
        <w:t xml:space="preserve"> </w:t>
      </w:r>
      <w:proofErr w:type="spellStart"/>
      <w:r w:rsidRPr="00076243">
        <w:t>its</w:t>
      </w:r>
      <w:proofErr w:type="spellEnd"/>
      <w:r w:rsidRPr="00076243">
        <w:t xml:space="preserve"> role in </w:t>
      </w:r>
      <w:proofErr w:type="spellStart"/>
      <w:r w:rsidRPr="00076243">
        <w:t>individual</w:t>
      </w:r>
      <w:proofErr w:type="spellEnd"/>
      <w:r w:rsidRPr="00076243">
        <w:t xml:space="preserve"> </w:t>
      </w:r>
      <w:proofErr w:type="spellStart"/>
      <w:r w:rsidRPr="00076243">
        <w:t>and</w:t>
      </w:r>
      <w:proofErr w:type="spellEnd"/>
      <w:r w:rsidRPr="00076243">
        <w:t xml:space="preserve"> </w:t>
      </w:r>
      <w:proofErr w:type="spellStart"/>
      <w:r w:rsidRPr="00076243">
        <w:t>social</w:t>
      </w:r>
      <w:proofErr w:type="spellEnd"/>
      <w:r w:rsidRPr="00076243">
        <w:t xml:space="preserve"> </w:t>
      </w:r>
      <w:proofErr w:type="spellStart"/>
      <w:r w:rsidRPr="00076243">
        <w:t>meaning-making</w:t>
      </w:r>
      <w:proofErr w:type="spellEnd"/>
      <w:r w:rsidRPr="00076243">
        <w:t xml:space="preserve"> </w:t>
      </w:r>
      <w:proofErr w:type="spellStart"/>
      <w:r w:rsidRPr="00076243">
        <w:t>from</w:t>
      </w:r>
      <w:proofErr w:type="spellEnd"/>
      <w:r w:rsidRPr="00076243">
        <w:t xml:space="preserve"> a </w:t>
      </w:r>
      <w:proofErr w:type="spellStart"/>
      <w:r w:rsidRPr="00076243">
        <w:t>multidimensional</w:t>
      </w:r>
      <w:proofErr w:type="spellEnd"/>
      <w:r w:rsidRPr="00076243">
        <w:t xml:space="preserve"> </w:t>
      </w:r>
      <w:proofErr w:type="spellStart"/>
      <w:r w:rsidRPr="00076243">
        <w:t>perspective</w:t>
      </w:r>
      <w:proofErr w:type="spellEnd"/>
      <w:r w:rsidRPr="00076243">
        <w:t xml:space="preserve">. </w:t>
      </w:r>
      <w:proofErr w:type="spellStart"/>
      <w:r w:rsidRPr="00076243">
        <w:t>This</w:t>
      </w:r>
      <w:proofErr w:type="spellEnd"/>
      <w:r w:rsidRPr="00076243">
        <w:t xml:space="preserve"> </w:t>
      </w:r>
      <w:proofErr w:type="spellStart"/>
      <w:r w:rsidRPr="00076243">
        <w:t>study</w:t>
      </w:r>
      <w:proofErr w:type="spellEnd"/>
      <w:r w:rsidRPr="00076243">
        <w:t xml:space="preserve"> </w:t>
      </w:r>
      <w:proofErr w:type="spellStart"/>
      <w:r w:rsidRPr="00076243">
        <w:t>aims</w:t>
      </w:r>
      <w:proofErr w:type="spellEnd"/>
      <w:r w:rsidRPr="00076243">
        <w:t xml:space="preserve"> </w:t>
      </w:r>
      <w:proofErr w:type="spellStart"/>
      <w:r w:rsidRPr="00076243">
        <w:t>to</w:t>
      </w:r>
      <w:proofErr w:type="spellEnd"/>
      <w:r w:rsidRPr="00076243">
        <w:t xml:space="preserve"> </w:t>
      </w:r>
      <w:proofErr w:type="spellStart"/>
      <w:r w:rsidRPr="00076243">
        <w:t>examine</w:t>
      </w:r>
      <w:proofErr w:type="spellEnd"/>
      <w:r w:rsidRPr="00076243">
        <w:t xml:space="preserve"> </w:t>
      </w:r>
      <w:proofErr w:type="spellStart"/>
      <w:r w:rsidRPr="00076243">
        <w:t>the</w:t>
      </w:r>
      <w:proofErr w:type="spellEnd"/>
      <w:r w:rsidRPr="00076243">
        <w:t xml:space="preserve"> </w:t>
      </w:r>
      <w:proofErr w:type="spellStart"/>
      <w:r w:rsidRPr="00076243">
        <w:t>function</w:t>
      </w:r>
      <w:proofErr w:type="spellEnd"/>
      <w:r w:rsidRPr="00076243">
        <w:t xml:space="preserve"> of </w:t>
      </w:r>
      <w:proofErr w:type="spellStart"/>
      <w:r w:rsidRPr="00076243">
        <w:t>belief</w:t>
      </w:r>
      <w:proofErr w:type="spellEnd"/>
      <w:r w:rsidRPr="00076243">
        <w:t xml:space="preserve"> on </w:t>
      </w:r>
      <w:proofErr w:type="spellStart"/>
      <w:r w:rsidRPr="00076243">
        <w:t>both</w:t>
      </w:r>
      <w:proofErr w:type="spellEnd"/>
      <w:r w:rsidRPr="00076243">
        <w:t xml:space="preserve"> </w:t>
      </w:r>
      <w:proofErr w:type="spellStart"/>
      <w:r w:rsidRPr="00076243">
        <w:t>individual</w:t>
      </w:r>
      <w:proofErr w:type="spellEnd"/>
      <w:r w:rsidRPr="00076243">
        <w:t xml:space="preserve"> </w:t>
      </w:r>
      <w:proofErr w:type="spellStart"/>
      <w:r w:rsidRPr="00076243">
        <w:t>and</w:t>
      </w:r>
      <w:proofErr w:type="spellEnd"/>
      <w:r w:rsidRPr="00076243">
        <w:t xml:space="preserve"> </w:t>
      </w:r>
      <w:proofErr w:type="spellStart"/>
      <w:r w:rsidRPr="00076243">
        <w:t>collective</w:t>
      </w:r>
      <w:proofErr w:type="spellEnd"/>
      <w:r w:rsidRPr="00076243">
        <w:t xml:space="preserve"> </w:t>
      </w:r>
      <w:proofErr w:type="spellStart"/>
      <w:r w:rsidRPr="00076243">
        <w:lastRenderedPageBreak/>
        <w:t>levels</w:t>
      </w:r>
      <w:proofErr w:type="spellEnd"/>
      <w:r w:rsidRPr="00076243">
        <w:t xml:space="preserve"> </w:t>
      </w:r>
      <w:proofErr w:type="spellStart"/>
      <w:r w:rsidRPr="00076243">
        <w:t>within</w:t>
      </w:r>
      <w:proofErr w:type="spellEnd"/>
      <w:r w:rsidRPr="00076243">
        <w:t xml:space="preserve"> </w:t>
      </w:r>
      <w:proofErr w:type="spellStart"/>
      <w:r w:rsidRPr="00076243">
        <w:t>the</w:t>
      </w:r>
      <w:proofErr w:type="spellEnd"/>
      <w:r w:rsidRPr="00076243">
        <w:t xml:space="preserve"> </w:t>
      </w:r>
      <w:proofErr w:type="spellStart"/>
      <w:r w:rsidRPr="00076243">
        <w:t>novel</w:t>
      </w:r>
      <w:proofErr w:type="spellEnd"/>
      <w:r w:rsidRPr="00076243">
        <w:t xml:space="preserve">, </w:t>
      </w:r>
      <w:proofErr w:type="spellStart"/>
      <w:r w:rsidRPr="00076243">
        <w:t>focusing</w:t>
      </w:r>
      <w:proofErr w:type="spellEnd"/>
      <w:r w:rsidRPr="00076243">
        <w:t xml:space="preserve"> on </w:t>
      </w:r>
      <w:proofErr w:type="spellStart"/>
      <w:r w:rsidRPr="00076243">
        <w:t>mechanisms</w:t>
      </w:r>
      <w:proofErr w:type="spellEnd"/>
      <w:r w:rsidRPr="00076243">
        <w:t xml:space="preserve"> of </w:t>
      </w:r>
      <w:proofErr w:type="spellStart"/>
      <w:r w:rsidRPr="00076243">
        <w:t>meaning-making</w:t>
      </w:r>
      <w:proofErr w:type="spellEnd"/>
      <w:r w:rsidRPr="00076243">
        <w:t xml:space="preserve">, </w:t>
      </w:r>
      <w:proofErr w:type="spellStart"/>
      <w:r w:rsidRPr="00076243">
        <w:t>coping</w:t>
      </w:r>
      <w:proofErr w:type="spellEnd"/>
      <w:r w:rsidRPr="00076243">
        <w:t xml:space="preserve"> </w:t>
      </w:r>
      <w:proofErr w:type="spellStart"/>
      <w:r w:rsidRPr="00076243">
        <w:t>strategies</w:t>
      </w:r>
      <w:proofErr w:type="spellEnd"/>
      <w:r w:rsidRPr="00076243">
        <w:t xml:space="preserve"> </w:t>
      </w:r>
      <w:proofErr w:type="spellStart"/>
      <w:r w:rsidRPr="00076243">
        <w:t>developed</w:t>
      </w:r>
      <w:proofErr w:type="spellEnd"/>
      <w:r w:rsidRPr="00076243">
        <w:t xml:space="preserve"> in </w:t>
      </w:r>
      <w:proofErr w:type="spellStart"/>
      <w:r w:rsidRPr="00076243">
        <w:t>response</w:t>
      </w:r>
      <w:proofErr w:type="spellEnd"/>
      <w:r w:rsidRPr="00076243">
        <w:t xml:space="preserve"> </w:t>
      </w:r>
      <w:proofErr w:type="spellStart"/>
      <w:r w:rsidRPr="00076243">
        <w:t>to</w:t>
      </w:r>
      <w:proofErr w:type="spellEnd"/>
      <w:r w:rsidRPr="00076243">
        <w:t xml:space="preserve"> </w:t>
      </w:r>
      <w:proofErr w:type="spellStart"/>
      <w:r w:rsidRPr="00076243">
        <w:t>existential</w:t>
      </w:r>
      <w:proofErr w:type="spellEnd"/>
      <w:r w:rsidRPr="00076243">
        <w:t xml:space="preserve"> </w:t>
      </w:r>
      <w:proofErr w:type="spellStart"/>
      <w:r w:rsidRPr="00076243">
        <w:t>crises</w:t>
      </w:r>
      <w:proofErr w:type="spellEnd"/>
      <w:r w:rsidRPr="00076243">
        <w:t xml:space="preserve">, </w:t>
      </w:r>
      <w:proofErr w:type="spellStart"/>
      <w:r w:rsidRPr="00076243">
        <w:t>and</w:t>
      </w:r>
      <w:proofErr w:type="spellEnd"/>
      <w:r w:rsidRPr="00076243">
        <w:t xml:space="preserve"> </w:t>
      </w:r>
      <w:proofErr w:type="spellStart"/>
      <w:r w:rsidRPr="00076243">
        <w:t>the</w:t>
      </w:r>
      <w:proofErr w:type="spellEnd"/>
      <w:r w:rsidRPr="00076243">
        <w:t xml:space="preserve"> </w:t>
      </w:r>
      <w:proofErr w:type="spellStart"/>
      <w:r w:rsidRPr="00076243">
        <w:t>dynamics</w:t>
      </w:r>
      <w:proofErr w:type="spellEnd"/>
      <w:r w:rsidRPr="00076243">
        <w:t xml:space="preserve"> of </w:t>
      </w:r>
      <w:proofErr w:type="spellStart"/>
      <w:r w:rsidRPr="00076243">
        <w:t>solidarity</w:t>
      </w:r>
      <w:proofErr w:type="spellEnd"/>
      <w:r w:rsidRPr="00076243">
        <w:t>.</w:t>
      </w:r>
    </w:p>
    <w:p w14:paraId="04E64536" w14:textId="77777777" w:rsidR="00021193" w:rsidRPr="00076243" w:rsidRDefault="00021193" w:rsidP="0017453B">
      <w:pPr>
        <w:jc w:val="both"/>
      </w:pPr>
    </w:p>
    <w:p w14:paraId="298552D7" w14:textId="77777777" w:rsidR="00914DCC" w:rsidRPr="00076243" w:rsidRDefault="00914DCC" w:rsidP="0017453B">
      <w:pPr>
        <w:jc w:val="both"/>
      </w:pPr>
      <w:proofErr w:type="spellStart"/>
      <w:r w:rsidRPr="00076243">
        <w:rPr>
          <w:b/>
          <w:bCs/>
        </w:rPr>
        <w:t>Keywords</w:t>
      </w:r>
      <w:proofErr w:type="spellEnd"/>
      <w:r w:rsidRPr="00076243">
        <w:rPr>
          <w:b/>
          <w:bCs/>
        </w:rPr>
        <w:t>:</w:t>
      </w:r>
      <w:r w:rsidRPr="00076243">
        <w:t xml:space="preserve"> Yaşar Kemal, </w:t>
      </w:r>
      <w:proofErr w:type="spellStart"/>
      <w:r w:rsidRPr="00076243">
        <w:t>Hüyükteki</w:t>
      </w:r>
      <w:proofErr w:type="spellEnd"/>
      <w:r w:rsidRPr="00076243">
        <w:t xml:space="preserve"> Nar Ağacı, </w:t>
      </w:r>
      <w:proofErr w:type="spellStart"/>
      <w:r w:rsidRPr="00076243">
        <w:t>belief</w:t>
      </w:r>
      <w:proofErr w:type="spellEnd"/>
      <w:r w:rsidRPr="00076243">
        <w:t xml:space="preserve">, </w:t>
      </w:r>
      <w:proofErr w:type="spellStart"/>
      <w:r w:rsidRPr="00076243">
        <w:t>meaning</w:t>
      </w:r>
      <w:proofErr w:type="spellEnd"/>
      <w:r w:rsidRPr="00076243">
        <w:t xml:space="preserve">, </w:t>
      </w:r>
      <w:proofErr w:type="spellStart"/>
      <w:r w:rsidRPr="00076243">
        <w:t>social</w:t>
      </w:r>
      <w:proofErr w:type="spellEnd"/>
      <w:r w:rsidRPr="00076243">
        <w:t xml:space="preserve"> </w:t>
      </w:r>
      <w:proofErr w:type="spellStart"/>
      <w:r w:rsidRPr="00076243">
        <w:t>identity</w:t>
      </w:r>
      <w:proofErr w:type="spellEnd"/>
      <w:r w:rsidRPr="00076243">
        <w:t xml:space="preserve">, </w:t>
      </w:r>
      <w:proofErr w:type="spellStart"/>
      <w:r w:rsidRPr="00076243">
        <w:t>existential</w:t>
      </w:r>
      <w:proofErr w:type="spellEnd"/>
      <w:r w:rsidRPr="00076243">
        <w:t xml:space="preserve"> </w:t>
      </w:r>
      <w:proofErr w:type="spellStart"/>
      <w:r w:rsidRPr="00076243">
        <w:t>crisis</w:t>
      </w:r>
      <w:proofErr w:type="spellEnd"/>
      <w:r w:rsidRPr="00076243">
        <w:t xml:space="preserve">, </w:t>
      </w:r>
      <w:proofErr w:type="spellStart"/>
      <w:r w:rsidRPr="00076243">
        <w:t>ontology</w:t>
      </w:r>
      <w:proofErr w:type="spellEnd"/>
      <w:r w:rsidRPr="00076243">
        <w:t>.</w:t>
      </w:r>
    </w:p>
    <w:p w14:paraId="7AC7DC17" w14:textId="77777777" w:rsidR="00914DCC" w:rsidRDefault="00914DCC" w:rsidP="0017453B"/>
    <w:p w14:paraId="60536453" w14:textId="77777777" w:rsidR="00914DCC" w:rsidRPr="009F0AE3" w:rsidRDefault="00914DCC" w:rsidP="0017453B">
      <w:pPr>
        <w:rPr>
          <w:b/>
          <w:bCs/>
        </w:rPr>
      </w:pPr>
      <w:r w:rsidRPr="009F0AE3">
        <w:rPr>
          <w:b/>
          <w:bCs/>
        </w:rPr>
        <w:t>GİRİŞ</w:t>
      </w:r>
    </w:p>
    <w:p w14:paraId="7A3CBBA9" w14:textId="3746687B" w:rsidR="00914DCC" w:rsidRDefault="00914DCC" w:rsidP="0017453B">
      <w:pPr>
        <w:jc w:val="both"/>
      </w:pPr>
      <w:r w:rsidRPr="00D06D85">
        <w:t xml:space="preserve">Yaşar Kemal’in </w:t>
      </w:r>
      <w:r>
        <w:t xml:space="preserve">anlatı </w:t>
      </w:r>
      <w:r w:rsidRPr="00D06D85">
        <w:t>evreni, toplumcu gerçekçi anlayışı temel alarak Anadolu’nun kırsal yaşamını, Çukurova bölgesinin sosyokültürel dokusunu ve bu coğrafyada şekillenen insan-doğa etkileşimini çok katmanlı bir yaklaşımla ele alır. Yazar, özellikle Çukurova’nın tarımsal üretim ilişkileri, emek mücadeleleri</w:t>
      </w:r>
      <w:r>
        <w:t xml:space="preserve">, </w:t>
      </w:r>
      <w:r w:rsidRPr="0083561A">
        <w:t>halkın</w:t>
      </w:r>
      <w:r>
        <w:t xml:space="preserve"> </w:t>
      </w:r>
      <w:r w:rsidRPr="0083561A">
        <w:t xml:space="preserve">adalet arayışı ve özgürlük ideallerini, sıradan insanların gündelik yaşamlarından yola çıkarak destansı bir anlatımla </w:t>
      </w:r>
      <w:r>
        <w:t>konu eder</w:t>
      </w:r>
      <w:r w:rsidRPr="0083561A">
        <w:t>.</w:t>
      </w:r>
    </w:p>
    <w:p w14:paraId="06D61555" w14:textId="77777777" w:rsidR="0017453B" w:rsidRDefault="0017453B" w:rsidP="0017453B">
      <w:pPr>
        <w:jc w:val="both"/>
      </w:pPr>
    </w:p>
    <w:p w14:paraId="06F837BC" w14:textId="77777777" w:rsidR="00914DCC" w:rsidRDefault="00914DCC" w:rsidP="0017453B">
      <w:pPr>
        <w:jc w:val="both"/>
      </w:pPr>
      <w:r>
        <w:t xml:space="preserve">Yaşar Kemal’in </w:t>
      </w:r>
      <w:r w:rsidRPr="0083561A">
        <w:t>“</w:t>
      </w:r>
      <w:r>
        <w:t>s</w:t>
      </w:r>
      <w:r w:rsidRPr="0083561A">
        <w:t>ıcağını, tozunu, dumanını, acı çiçeklerini… Toza bulanmış, yalnız yalnız kalmış dut ağaçlarını severim”</w:t>
      </w:r>
      <w:r>
        <w:t xml:space="preserve"> </w:t>
      </w:r>
      <w:r w:rsidRPr="0083561A">
        <w:t>(2017, s.47)</w:t>
      </w:r>
      <w:r>
        <w:t xml:space="preserve"> diyerek ifade ettiği</w:t>
      </w:r>
      <w:r w:rsidRPr="0083561A">
        <w:t xml:space="preserve"> Çukurova, </w:t>
      </w:r>
      <w:r>
        <w:t xml:space="preserve">eserlerinde </w:t>
      </w:r>
      <w:r w:rsidRPr="0083561A">
        <w:t>yalnızca mekânsal bir unsur değil, gerçekli</w:t>
      </w:r>
      <w:r>
        <w:t xml:space="preserve">kle </w:t>
      </w:r>
      <w:r w:rsidRPr="0083561A">
        <w:t>miti</w:t>
      </w:r>
      <w:r>
        <w:t>n</w:t>
      </w:r>
      <w:r w:rsidRPr="0083561A">
        <w:t xml:space="preserve"> iç içe geçtiği bir sembol dünyasıdır</w:t>
      </w:r>
      <w:r>
        <w:t xml:space="preserve">.  </w:t>
      </w:r>
      <w:r w:rsidRPr="0083561A">
        <w:t xml:space="preserve">Berna </w:t>
      </w:r>
      <w:proofErr w:type="spellStart"/>
      <w:r w:rsidRPr="0083561A">
        <w:t>Moran’ın</w:t>
      </w:r>
      <w:proofErr w:type="spellEnd"/>
      <w:r w:rsidRPr="0083561A">
        <w:t xml:space="preserve"> vurguladığı üzere, Kemal sosyal gerçekliği </w:t>
      </w:r>
      <w:proofErr w:type="spellStart"/>
      <w:r w:rsidRPr="0083561A">
        <w:t>mitik</w:t>
      </w:r>
      <w:proofErr w:type="spellEnd"/>
      <w:r w:rsidRPr="0083561A">
        <w:t xml:space="preserve"> unsurlarla harmanlayarak edebiyatımıza b</w:t>
      </w:r>
      <w:r>
        <w:t>ambaşka bir Çukurova</w:t>
      </w:r>
      <w:r w:rsidRPr="0083561A">
        <w:t xml:space="preserve"> kazandırmıştır (</w:t>
      </w:r>
      <w:proofErr w:type="spellStart"/>
      <w:r>
        <w:t>Moran</w:t>
      </w:r>
      <w:proofErr w:type="spellEnd"/>
      <w:r>
        <w:t xml:space="preserve">, </w:t>
      </w:r>
      <w:r w:rsidRPr="0083561A">
        <w:t>2001, s.171).</w:t>
      </w:r>
      <w:r>
        <w:t xml:space="preserve"> Çoğu zaman Çukurova’nın başat kahraman olduğu bu anlatı evreni; çarpıcı</w:t>
      </w:r>
      <w:r w:rsidRPr="0074308A">
        <w:t xml:space="preserve"> karakterler, olağan sınırları</w:t>
      </w:r>
      <w:r>
        <w:t>nı</w:t>
      </w:r>
      <w:r w:rsidRPr="0074308A">
        <w:t xml:space="preserve"> aşan kurgular, mitolojik öğeler ve lirik anlatım teknikleri </w:t>
      </w:r>
      <w:r>
        <w:t xml:space="preserve">ile </w:t>
      </w:r>
      <w:r w:rsidRPr="005055B5">
        <w:t xml:space="preserve">yalnızca yüzeysel gerçekliği aktarmakla kalmaz; </w:t>
      </w:r>
      <w:r>
        <w:t>yazarın</w:t>
      </w:r>
      <w:r w:rsidRPr="0074308A">
        <w:t xml:space="preserve"> toplumsal gözlemlerini </w:t>
      </w:r>
      <w:r w:rsidRPr="005055B5">
        <w:t xml:space="preserve">simgesel bir düzleme </w:t>
      </w:r>
      <w:r w:rsidRPr="0074308A">
        <w:t>taşıyarak</w:t>
      </w:r>
      <w:r>
        <w:t>,</w:t>
      </w:r>
      <w:r w:rsidRPr="0074308A">
        <w:t xml:space="preserve"> </w:t>
      </w:r>
      <w:r w:rsidRPr="005055B5">
        <w:t xml:space="preserve">toplum yaşamının psikososyal dinamiklerini, kolektif bilinçdışının izlerini ve kültürel kodların iç içe geçtiği derin </w:t>
      </w:r>
      <w:r>
        <w:t xml:space="preserve">anlam </w:t>
      </w:r>
      <w:r w:rsidRPr="005055B5">
        <w:t>katmanları</w:t>
      </w:r>
      <w:r>
        <w:t>nı</w:t>
      </w:r>
      <w:r w:rsidRPr="0074308A">
        <w:t xml:space="preserve"> açığa çıkarır. </w:t>
      </w:r>
      <w:r w:rsidRPr="005D1E16">
        <w:t xml:space="preserve">Bu bağlamda, </w:t>
      </w:r>
      <w:r w:rsidRPr="00D06D85">
        <w:t>Kemal’in anlatıları yalnızca yerel bir coğrafyanın hikâyesi değil</w:t>
      </w:r>
      <w:r>
        <w:t>dir</w:t>
      </w:r>
      <w:r w:rsidRPr="00D06D85">
        <w:t xml:space="preserve">, </w:t>
      </w:r>
      <w:r w:rsidRPr="005D1E16">
        <w:t>okuru insanlığın evrensel çelişkileriyle yüzleştiren poetik bir işlev üstlenir.</w:t>
      </w:r>
      <w:r>
        <w:t xml:space="preserve"> </w:t>
      </w:r>
      <w:r w:rsidRPr="0002487F">
        <w:t xml:space="preserve">Sonuç olarak, Yaşar Kemal’in Çukurova’sı, gerçek ile efsanenin, olağan ile olağanüstünün </w:t>
      </w:r>
      <w:r w:rsidRPr="00457901">
        <w:t xml:space="preserve">iç içe geçtiği </w:t>
      </w:r>
      <w:proofErr w:type="spellStart"/>
      <w:r w:rsidRPr="00457901">
        <w:t>mitik</w:t>
      </w:r>
      <w:proofErr w:type="spellEnd"/>
      <w:r w:rsidRPr="00457901">
        <w:t xml:space="preserve"> bir evren olarak betimlenir.</w:t>
      </w:r>
    </w:p>
    <w:p w14:paraId="4F3F50DC" w14:textId="77777777" w:rsidR="0017453B" w:rsidRDefault="0017453B" w:rsidP="0017453B">
      <w:pPr>
        <w:jc w:val="both"/>
      </w:pPr>
    </w:p>
    <w:p w14:paraId="7B7EEC01" w14:textId="23231073" w:rsidR="00914DCC" w:rsidRDefault="00914DCC" w:rsidP="0017453B">
      <w:pPr>
        <w:jc w:val="both"/>
      </w:pPr>
      <w:r w:rsidRPr="000174C8">
        <w:t xml:space="preserve">Yaşar Kemal’in romanları, bireysel acıların kolektif dayanışma duygusunu tetiklediği bir eksende, bireysel deneyimler ile kolektif aidiyet arasındaki diyalektik ilişkiyi yansıtan ve Anadolu coğrafyasını tarihsel ve kültürel bir bellek mekânına </w:t>
      </w:r>
      <w:r w:rsidRPr="0083561A">
        <w:t>dönüşt</w:t>
      </w:r>
      <w:r>
        <w:t>üren</w:t>
      </w:r>
      <w:r w:rsidRPr="0083561A">
        <w:t xml:space="preserve"> metinlerdir (Zenginoğlu</w:t>
      </w:r>
      <w:r>
        <w:t xml:space="preserve">, </w:t>
      </w:r>
      <w:r w:rsidRPr="0083561A">
        <w:t>2022</w:t>
      </w:r>
      <w:r>
        <w:t xml:space="preserve">, </w:t>
      </w:r>
      <w:r w:rsidRPr="0083561A">
        <w:t xml:space="preserve">s.22). </w:t>
      </w:r>
      <w:r w:rsidRPr="000174C8">
        <w:t>Bu eserler, somut mekânları mitolojik, gerçekçi ve toplumsal bellek katmanlarıyla birleştirerek, yerelin evrenselle olan bağını poetik anlatımın estetik imkânlarıyla birleştire</w:t>
      </w:r>
      <w:r>
        <w:t>rek</w:t>
      </w:r>
      <w:r w:rsidRPr="000174C8">
        <w:t xml:space="preserve"> yeniden inşa eder.</w:t>
      </w:r>
    </w:p>
    <w:p w14:paraId="71CE02A7" w14:textId="77777777" w:rsidR="0017453B" w:rsidRDefault="0017453B" w:rsidP="0017453B">
      <w:pPr>
        <w:jc w:val="both"/>
      </w:pPr>
    </w:p>
    <w:p w14:paraId="4F30D1DB" w14:textId="133AD67C" w:rsidR="00914DCC" w:rsidRDefault="00914DCC" w:rsidP="0017453B">
      <w:pPr>
        <w:jc w:val="both"/>
      </w:pPr>
      <w:r w:rsidRPr="0088012B">
        <w:t>Özellikle toprak</w:t>
      </w:r>
      <w:r>
        <w:t xml:space="preserve"> ve doğayla</w:t>
      </w:r>
      <w:r w:rsidRPr="0088012B">
        <w:t xml:space="preserve"> varoluşsal </w:t>
      </w:r>
      <w:r>
        <w:t xml:space="preserve">bir </w:t>
      </w:r>
      <w:r w:rsidRPr="0088012B">
        <w:t>mücadelenin aktörleri olan köylü sınıfının deneyimleri, sözlü kültürün nesiller arası aktarım mekanizmaları üzerinden okunabilecek bir hafıza katmanı oluşturur. Böylece Kemal’in betimlemeleri, somut mekânları aşarak mitos, gerçeklik ve toplumsal bellek arasındaki iç içe geçmiş ilişkileri poetik bir üslupla belgeleyen, antropolojik derinliğe sahip bir anlatı evreni inşa eder.</w:t>
      </w:r>
      <w:r>
        <w:t xml:space="preserve"> </w:t>
      </w:r>
      <w:proofErr w:type="spellStart"/>
      <w:r w:rsidRPr="0083561A">
        <w:t>Moran’ın</w:t>
      </w:r>
      <w:proofErr w:type="spellEnd"/>
      <w:r w:rsidRPr="0083561A">
        <w:t xml:space="preserve"> </w:t>
      </w:r>
      <w:r w:rsidRPr="0017784C">
        <w:rPr>
          <w:i/>
          <w:iCs/>
        </w:rPr>
        <w:t>destan havalı</w:t>
      </w:r>
      <w:r w:rsidRPr="0083561A">
        <w:t xml:space="preserve"> olarak nitelendirdiği bu anlatılarda (2001, s.101), abartılı karakterler ve arketipler, kurmacayı evrensel insan hallerine açan bir işlev üstlenir. Böylece Yaşar Kemal, toplumsal gerçekliği </w:t>
      </w:r>
      <w:proofErr w:type="spellStart"/>
      <w:r w:rsidRPr="0083561A">
        <w:t>mitik</w:t>
      </w:r>
      <w:proofErr w:type="spellEnd"/>
      <w:r w:rsidRPr="0083561A">
        <w:t xml:space="preserve"> bir dil ile harmanlayarak, insanın doğa ve </w:t>
      </w:r>
      <w:r>
        <w:t xml:space="preserve">egemen güçle </w:t>
      </w:r>
      <w:r w:rsidRPr="0083561A">
        <w:t>mücadelesini zamansız bir trajediye dönüştürür.</w:t>
      </w:r>
    </w:p>
    <w:p w14:paraId="09814633" w14:textId="77777777" w:rsidR="0017453B" w:rsidRDefault="0017453B" w:rsidP="0017453B">
      <w:pPr>
        <w:jc w:val="both"/>
      </w:pPr>
    </w:p>
    <w:p w14:paraId="1EEFA331" w14:textId="53430A31" w:rsidR="00914DCC" w:rsidRDefault="00914DCC" w:rsidP="0017453B">
      <w:pPr>
        <w:jc w:val="both"/>
      </w:pPr>
      <w:r w:rsidRPr="00DB77E3">
        <w:t xml:space="preserve">Kemal'in karakterleri, sıradan bireylerin olağanüstü </w:t>
      </w:r>
      <w:r w:rsidRPr="0083561A">
        <w:t xml:space="preserve">nitelikler kazandığı </w:t>
      </w:r>
      <w:r w:rsidRPr="00DB77E3">
        <w:t xml:space="preserve">bir anlatısal evrende biçimlenir. </w:t>
      </w:r>
      <w:r w:rsidRPr="00E36486">
        <w:t xml:space="preserve">Bu bağlamda, yazarın eserlerinde </w:t>
      </w:r>
      <w:r w:rsidRPr="00E36486">
        <w:rPr>
          <w:i/>
          <w:iCs/>
        </w:rPr>
        <w:t>kültür</w:t>
      </w:r>
      <w:r w:rsidRPr="00E36486">
        <w:t>, yalnızca seçkinlerin ürettiği bir meta değil, toplumsal hafızanın, doğayla kurulan ilişkinin ve emeğin somut koşullarının ortak dilidi</w:t>
      </w:r>
      <w:r>
        <w:t xml:space="preserve">r. </w:t>
      </w:r>
      <w:proofErr w:type="spellStart"/>
      <w:r w:rsidRPr="003C79F3">
        <w:lastRenderedPageBreak/>
        <w:t>Tharaud</w:t>
      </w:r>
      <w:proofErr w:type="spellEnd"/>
      <w:r w:rsidRPr="003C79F3">
        <w:t>, Yaşar Kemal’in eserlerinde sömürülen</w:t>
      </w:r>
      <w:r>
        <w:t>/ezilen</w:t>
      </w:r>
      <w:r w:rsidRPr="003C79F3">
        <w:t xml:space="preserve"> kesimlerin deneyimlerini evrensel bir perspektifle yorumlarken, Homeros destanlarının aristokratik temsil kodlarını </w:t>
      </w:r>
      <w:r w:rsidRPr="0083561A">
        <w:t>aş</w:t>
      </w:r>
      <w:r>
        <w:t>tığını</w:t>
      </w:r>
      <w:r w:rsidRPr="0083561A">
        <w:t xml:space="preserve"> belirtir (</w:t>
      </w:r>
      <w:proofErr w:type="spellStart"/>
      <w:r w:rsidRPr="003C79F3">
        <w:t>Tharaud</w:t>
      </w:r>
      <w:proofErr w:type="spellEnd"/>
      <w:r w:rsidRPr="003C79F3">
        <w:t>, 2017</w:t>
      </w:r>
      <w:r>
        <w:t xml:space="preserve">, </w:t>
      </w:r>
      <w:r w:rsidRPr="0083561A">
        <w:t>s.43).</w:t>
      </w:r>
      <w:r w:rsidRPr="00E36486">
        <w:t xml:space="preserve"> Homeros’un epik geleneğinde merkezîleşen kahramanlık mitosları, Yaşar Kemal’in anlatılarında yerini sıradan insanların direnişine, kolektif belleğin kodlarına ve doğanın döngüsel ritimlerine bırakır.</w:t>
      </w:r>
      <w:r>
        <w:t xml:space="preserve"> Romancı, </w:t>
      </w:r>
      <w:r w:rsidRPr="00DB77E3">
        <w:t xml:space="preserve">eserlerinde betimlediği kişilerin gerçek hayatta "olağanüstü" olmadığını vurgularken, </w:t>
      </w:r>
      <w:r w:rsidRPr="0083561A">
        <w:t>“</w:t>
      </w:r>
      <w:r>
        <w:t>b</w:t>
      </w:r>
      <w:r w:rsidRPr="0083561A">
        <w:t xml:space="preserve">elki de benim coşkulu huyum onları yaratırken olağanüstü yaptı” </w:t>
      </w:r>
      <w:r>
        <w:t xml:space="preserve">diyerek </w:t>
      </w:r>
      <w:r w:rsidRPr="00DB77E3">
        <w:t>bu durumu kendi yaratıcı sürecinin dinamikleriyle açıklar</w:t>
      </w:r>
      <w:r>
        <w:t xml:space="preserve"> </w:t>
      </w:r>
      <w:r w:rsidRPr="0083561A">
        <w:t>(Kemal, 1993, s.</w:t>
      </w:r>
      <w:r>
        <w:t>89</w:t>
      </w:r>
      <w:r w:rsidRPr="0083561A">
        <w:t xml:space="preserve">). </w:t>
      </w:r>
      <w:r>
        <w:t>Bu anlatılarda, k</w:t>
      </w:r>
      <w:r w:rsidRPr="00DB77E3">
        <w:t xml:space="preserve">öylülerin varoluşsal mücadelesi, doğayla kurdukları simbiyotik ilişki ve modernleşme sürecinde yaşanan kültürel çözülme, mitolojik bir anlatımla işlenerek toplumsal gerçekliğin sınırlarını aşar. </w:t>
      </w:r>
      <w:proofErr w:type="spellStart"/>
      <w:r w:rsidRPr="0083561A">
        <w:t>Moran</w:t>
      </w:r>
      <w:proofErr w:type="spellEnd"/>
      <w:r w:rsidRPr="0083561A">
        <w:t>, bu durumu yazarın</w:t>
      </w:r>
      <w:r w:rsidRPr="00DB77E3">
        <w:t xml:space="preserve"> olay örgüsünü ve karakterleri </w:t>
      </w:r>
      <w:r w:rsidRPr="0083561A">
        <w:t>simgesel bir düzleme yükseltme becerisiyle ilişkilendirir (2001</w:t>
      </w:r>
      <w:r>
        <w:t xml:space="preserve">, </w:t>
      </w:r>
      <w:r w:rsidRPr="0083561A">
        <w:t>s.117).</w:t>
      </w:r>
      <w:r>
        <w:t xml:space="preserve"> </w:t>
      </w:r>
      <w:r w:rsidRPr="00DB77E3">
        <w:t xml:space="preserve">Böylece, gündelik yaşamın somut gerçeklikleri, evrensel insanlık durumlarını yansıtan </w:t>
      </w:r>
      <w:proofErr w:type="spellStart"/>
      <w:r w:rsidRPr="00DB77E3">
        <w:t>mitik</w:t>
      </w:r>
      <w:proofErr w:type="spellEnd"/>
      <w:r w:rsidRPr="00DB77E3">
        <w:t xml:space="preserve"> bir temsile dönüşür.</w:t>
      </w:r>
    </w:p>
    <w:p w14:paraId="6A54401A" w14:textId="4DEAEE04" w:rsidR="00914DCC" w:rsidRDefault="00914DCC" w:rsidP="0017453B">
      <w:pPr>
        <w:jc w:val="both"/>
      </w:pPr>
      <w:r>
        <w:t>Kemal’in eserlerinde i</w:t>
      </w:r>
      <w:r w:rsidRPr="0002487F">
        <w:t xml:space="preserve">nsanın varoluş mücadelesi, mitoslarla ve düşlerle beslenirken, modern dünyanın </w:t>
      </w:r>
      <w:r>
        <w:t xml:space="preserve">gerçekleriyle de çelişir. Anlatı </w:t>
      </w:r>
      <w:r w:rsidRPr="0002487F">
        <w:t>karakterleri, bir yandan arkaik bir dünyanın izlerini taşırken diğer taraftan da değişen toplumsal dinamiklerin baskısı altında var olmaya çabalar</w:t>
      </w:r>
      <w:r>
        <w:t xml:space="preserve"> ve</w:t>
      </w:r>
      <w:r w:rsidRPr="0002487F">
        <w:t xml:space="preserve"> bu ikiliğin içinde şekillenir</w:t>
      </w:r>
      <w:r>
        <w:t>ler.</w:t>
      </w:r>
      <w:r w:rsidRPr="0002487F">
        <w:t xml:space="preserve"> </w:t>
      </w:r>
      <w:r>
        <w:t xml:space="preserve"> </w:t>
      </w:r>
      <w:r w:rsidRPr="0002487F">
        <w:t>Anadolu romanının temel özelliklerinden biri olan toplumsal başkaldırı ve halk edebiyatından beslenme, Yaşar Kemal’in yapıtlarında belirgin bir biçimde görülür (</w:t>
      </w:r>
      <w:proofErr w:type="spellStart"/>
      <w:r>
        <w:t>Moran</w:t>
      </w:r>
      <w:proofErr w:type="spellEnd"/>
      <w:r>
        <w:t xml:space="preserve">, 2001, </w:t>
      </w:r>
      <w:r w:rsidRPr="0002487F">
        <w:t>s.102).</w:t>
      </w:r>
      <w:r>
        <w:t xml:space="preserve"> </w:t>
      </w:r>
      <w:r w:rsidRPr="0083561A">
        <w:t>Cevdet Kudret’e göre, edebiyat serüveni</w:t>
      </w:r>
      <w:r>
        <w:t>ni</w:t>
      </w:r>
      <w:r w:rsidRPr="0083561A">
        <w:t xml:space="preserve"> folklor derlemeleriyle (Ağıtlar, </w:t>
      </w:r>
      <w:proofErr w:type="spellStart"/>
      <w:r w:rsidRPr="0083561A">
        <w:t>Çifteçapa</w:t>
      </w:r>
      <w:proofErr w:type="spellEnd"/>
      <w:r w:rsidRPr="0083561A">
        <w:t xml:space="preserve"> Manileri) başla</w:t>
      </w:r>
      <w:r>
        <w:t>tan yazar,</w:t>
      </w:r>
      <w:r w:rsidRPr="0083561A">
        <w:t xml:space="preserve"> halk anlatıcılığından romancılığa uzana</w:t>
      </w:r>
      <w:r>
        <w:t>n</w:t>
      </w:r>
      <w:r w:rsidRPr="0083561A">
        <w:t xml:space="preserve"> süreçte</w:t>
      </w:r>
      <w:r>
        <w:t xml:space="preserve"> folklor ile bağını hiç koparmamış</w:t>
      </w:r>
      <w:r w:rsidRPr="0083561A">
        <w:t>tır (</w:t>
      </w:r>
      <w:r>
        <w:t xml:space="preserve">Kudret, </w:t>
      </w:r>
      <w:r w:rsidRPr="0083561A">
        <w:t>1990</w:t>
      </w:r>
      <w:r>
        <w:t>,</w:t>
      </w:r>
      <w:r w:rsidRPr="0083561A">
        <w:t xml:space="preserve"> s.405). </w:t>
      </w:r>
      <w:r w:rsidRPr="0002487F">
        <w:t xml:space="preserve">Destan, efsane ve halk hikâyelerinin izlerini taşıyan eserleri, aynı zamanda </w:t>
      </w:r>
      <w:proofErr w:type="spellStart"/>
      <w:r w:rsidRPr="0002487F">
        <w:t>modernist</w:t>
      </w:r>
      <w:proofErr w:type="spellEnd"/>
      <w:r w:rsidRPr="0002487F">
        <w:t xml:space="preserve"> anlatım yöntemlerini de</w:t>
      </w:r>
      <w:r>
        <w:t xml:space="preserve"> içinde</w:t>
      </w:r>
      <w:r w:rsidRPr="0002487F">
        <w:t xml:space="preserve"> barındırır (</w:t>
      </w:r>
      <w:proofErr w:type="spellStart"/>
      <w:r>
        <w:t>Moran</w:t>
      </w:r>
      <w:proofErr w:type="spellEnd"/>
      <w:r>
        <w:t xml:space="preserve">, 2001, </w:t>
      </w:r>
      <w:r w:rsidRPr="0002487F">
        <w:t>s.150).</w:t>
      </w:r>
    </w:p>
    <w:p w14:paraId="1A63A6DF" w14:textId="77777777" w:rsidR="0017453B" w:rsidRDefault="0017453B" w:rsidP="0017453B">
      <w:pPr>
        <w:jc w:val="both"/>
      </w:pPr>
    </w:p>
    <w:p w14:paraId="3D2C1337" w14:textId="48B9DEBA" w:rsidR="00914DCC" w:rsidRDefault="00914DCC" w:rsidP="0017453B">
      <w:pPr>
        <w:jc w:val="both"/>
      </w:pPr>
      <w:r w:rsidRPr="0002487F">
        <w:t>Yaşar Kemal’in 1951</w:t>
      </w:r>
      <w:r>
        <w:t xml:space="preserve">’de yazdığı </w:t>
      </w:r>
      <w:proofErr w:type="spellStart"/>
      <w:r w:rsidRPr="009A3AE3">
        <w:rPr>
          <w:i/>
          <w:iCs/>
        </w:rPr>
        <w:t>Hüyükteki</w:t>
      </w:r>
      <w:proofErr w:type="spellEnd"/>
      <w:r w:rsidRPr="009A3AE3">
        <w:rPr>
          <w:i/>
          <w:iCs/>
        </w:rPr>
        <w:t xml:space="preserve"> Nar Ağacı</w:t>
      </w:r>
      <w:r w:rsidRPr="00307937">
        <w:t xml:space="preserve"> </w:t>
      </w:r>
      <w:r>
        <w:t>romanı</w:t>
      </w:r>
      <w:r w:rsidRPr="0002487F">
        <w:t xml:space="preserve">, Çukurova’ya mevsimlik tarım işçiliği yapmaya giden </w:t>
      </w:r>
      <w:proofErr w:type="spellStart"/>
      <w:r w:rsidRPr="0002487F">
        <w:t>Memet</w:t>
      </w:r>
      <w:proofErr w:type="spellEnd"/>
      <w:r w:rsidRPr="0002487F">
        <w:t xml:space="preserve">, </w:t>
      </w:r>
      <w:proofErr w:type="spellStart"/>
      <w:r w:rsidRPr="0002487F">
        <w:t>Hösük</w:t>
      </w:r>
      <w:proofErr w:type="spellEnd"/>
      <w:r w:rsidRPr="0002487F">
        <w:t xml:space="preserve">, Yusuf, Âşık Ali ve </w:t>
      </w:r>
      <w:proofErr w:type="spellStart"/>
      <w:r w:rsidRPr="0002487F">
        <w:t>Memet</w:t>
      </w:r>
      <w:proofErr w:type="spellEnd"/>
      <w:r w:rsidRPr="0002487F">
        <w:t xml:space="preserve"> </w:t>
      </w:r>
      <w:proofErr w:type="spellStart"/>
      <w:r w:rsidRPr="0002487F">
        <w:t>Çocuk’un</w:t>
      </w:r>
      <w:proofErr w:type="spellEnd"/>
      <w:r w:rsidRPr="0002487F">
        <w:t xml:space="preserve"> </w:t>
      </w:r>
      <w:r>
        <w:t xml:space="preserve">yaşadıklarını </w:t>
      </w:r>
      <w:r w:rsidRPr="0002487F">
        <w:t xml:space="preserve">merkeze alarak, yoksulluk, göç ve değişen ekonomik düzenin insan hayatına etkilerini derinlemesine inceler. Eser, karakterlerin </w:t>
      </w:r>
      <w:r>
        <w:t>yoksulluk</w:t>
      </w:r>
      <w:r w:rsidRPr="0002487F">
        <w:t xml:space="preserve"> ve geçim sıkıntısıyla şekillenen umutlarını, Çukurova’nın çetin doğa koşulları, hastalıklar ve sosyal eşitsizliklerle derinleşen mücadeleleri üzerinden resmeder. Roman</w:t>
      </w:r>
      <w:r>
        <w:t>da</w:t>
      </w:r>
      <w:r w:rsidRPr="0002487F">
        <w:t xml:space="preserve"> aynı zamanda tarımda makineleşmenin yarattığı toplumsal dönüşüm, geleneksel yaşam pratiklerinin çözülüşü ve bu sürecin bireyler üzerindeki yıkıcı sonuçları da eleştirel bir bakışla </w:t>
      </w:r>
      <w:r>
        <w:t xml:space="preserve">konu edilir. </w:t>
      </w:r>
      <w:r w:rsidRPr="0002487F">
        <w:t xml:space="preserve">Bilindiği üzere, Türkiye’nin 1947’de uluslararası ekonomik </w:t>
      </w:r>
      <w:r w:rsidRPr="00816060">
        <w:t>sistemle</w:t>
      </w:r>
      <w:r w:rsidRPr="0002487F">
        <w:t xml:space="preserve"> entegrasyonu ve 1948-1952 yıllarında </w:t>
      </w:r>
      <w:r w:rsidRPr="00070D4E">
        <w:rPr>
          <w:i/>
          <w:iCs/>
        </w:rPr>
        <w:t>Marshall Planı</w:t>
      </w:r>
      <w:r w:rsidRPr="0002487F">
        <w:t xml:space="preserve"> kapsamında tarım sektörüne aktarılan sermayeyle birlikte traktör ve biçerdöver gibi tarım makineleri yaygınlaşmış, Çukurova gibi büyük tarım bölgelerinde insan emeğine duyulan ihtiyaç </w:t>
      </w:r>
      <w:r w:rsidRPr="00816060">
        <w:t xml:space="preserve">önemli ölçüde </w:t>
      </w:r>
      <w:r w:rsidRPr="0002487F">
        <w:t>azalmıştır.</w:t>
      </w:r>
      <w:r>
        <w:t xml:space="preserve"> </w:t>
      </w:r>
      <w:r w:rsidRPr="00816060">
        <w:t xml:space="preserve">Söz konusu dönüşüm, </w:t>
      </w:r>
      <w:r w:rsidRPr="0002487F">
        <w:t xml:space="preserve">tarımda verimliliği artırsa da emekçi kesimi derinden sarsmış, kırsal nüfusu işsizliğe ve </w:t>
      </w:r>
      <w:r w:rsidRPr="00816060">
        <w:t>kentlere yönelik kitlesel</w:t>
      </w:r>
      <w:r w:rsidRPr="0002487F">
        <w:t xml:space="preserve"> göçe mecbur bırakmıştır</w:t>
      </w:r>
      <w:r>
        <w:t xml:space="preserve"> (Işıldak, 2020). </w:t>
      </w:r>
      <w:r w:rsidRPr="00816060">
        <w:t>Dolayısıyla, tarımda modernizasyonun yarattığı ekonomik kazanımlar ile sosyoekonomik maliyetler arasındaki çelişki, dönemin en belirgin paradokslarından biri</w:t>
      </w:r>
      <w:r>
        <w:t xml:space="preserve">dir. </w:t>
      </w:r>
      <w:proofErr w:type="spellStart"/>
      <w:r>
        <w:t>Moran</w:t>
      </w:r>
      <w:proofErr w:type="spellEnd"/>
      <w:r>
        <w:t xml:space="preserve">, Kemal’in </w:t>
      </w:r>
      <w:r w:rsidRPr="0083561A">
        <w:t>Çukurova romanların</w:t>
      </w:r>
      <w:r>
        <w:t>ın tümünde görülen</w:t>
      </w:r>
      <w:r w:rsidRPr="0083561A">
        <w:t xml:space="preserve"> </w:t>
      </w:r>
      <w:r w:rsidRPr="006C6B0F">
        <w:rPr>
          <w:i/>
          <w:iCs/>
        </w:rPr>
        <w:t>yozlaşma mitosu</w:t>
      </w:r>
      <w:r>
        <w:t xml:space="preserve">nu iki nedenle ilişkilendirir. Bunlardan biri </w:t>
      </w:r>
      <w:r w:rsidRPr="0083561A">
        <w:t>1876’daki zorunlu iskân politikaları</w:t>
      </w:r>
      <w:r>
        <w:t>, diğeri de</w:t>
      </w:r>
      <w:r w:rsidRPr="0083561A">
        <w:t xml:space="preserve"> 1950’lerde </w:t>
      </w:r>
      <w:r>
        <w:t xml:space="preserve">başlayan tarımda sanayileşmedir </w:t>
      </w:r>
      <w:r w:rsidRPr="0083561A">
        <w:t>(</w:t>
      </w:r>
      <w:proofErr w:type="spellStart"/>
      <w:r w:rsidRPr="0083561A">
        <w:t>Moran</w:t>
      </w:r>
      <w:proofErr w:type="spellEnd"/>
      <w:r w:rsidRPr="0083561A">
        <w:t>, 2001, s.153).</w:t>
      </w:r>
      <w:r>
        <w:t xml:space="preserve"> </w:t>
      </w:r>
      <w:r w:rsidRPr="0083561A">
        <w:t xml:space="preserve">Yaşar Kemal, bu tarihsel kırılmaları, insanın doğa ve kültürle kopuşunun trajedisine dönüştürür. </w:t>
      </w:r>
      <w:proofErr w:type="spellStart"/>
      <w:r w:rsidRPr="009A3AE3">
        <w:rPr>
          <w:i/>
          <w:iCs/>
        </w:rPr>
        <w:t>Hüyükteki</w:t>
      </w:r>
      <w:proofErr w:type="spellEnd"/>
      <w:r w:rsidRPr="009A3AE3">
        <w:rPr>
          <w:i/>
          <w:iCs/>
        </w:rPr>
        <w:t xml:space="preserve"> Nar Ağacı</w:t>
      </w:r>
      <w:r>
        <w:t xml:space="preserve">, </w:t>
      </w:r>
      <w:r w:rsidRPr="0002487F">
        <w:t>t</w:t>
      </w:r>
      <w:r>
        <w:t xml:space="preserve">arımda yaşanan bu dönüşümün toplumsal ve bireysel düzlemde sebep olduğu </w:t>
      </w:r>
      <w:r w:rsidRPr="0002487F">
        <w:t>travmalar</w:t>
      </w:r>
      <w:r>
        <w:t>ı da gözler önüne serer.</w:t>
      </w:r>
    </w:p>
    <w:p w14:paraId="5EEA02CA" w14:textId="1DA26628" w:rsidR="00914DCC" w:rsidRDefault="00914DCC" w:rsidP="0017453B">
      <w:pPr>
        <w:jc w:val="both"/>
      </w:pPr>
      <w:r w:rsidRPr="0002487F">
        <w:t>Eserde inanç ve inanışlar, kültürel mirasın aktarımında temel bir rol üstlenmenin yanı sıra bireylerin psikososyal uyum süreçlerini yönlendiren</w:t>
      </w:r>
      <w:r>
        <w:t xml:space="preserve"> başlıca</w:t>
      </w:r>
      <w:r w:rsidRPr="0002487F">
        <w:t xml:space="preserve"> dinamikler olarak öne çıkar. Karakterlerin motivasyonları, karar alma süreçleri, davranış kalıpları, yaşama tutunma stratejileri, sosyal etkileşimleri, duygusal tepkileri ve bireysel dönüşümleri üzerinde belirleyici </w:t>
      </w:r>
      <w:r w:rsidRPr="0002487F">
        <w:lastRenderedPageBreak/>
        <w:t xml:space="preserve">bir etkiye sahip olan inanışlar, aynı zamanda olay örgüsünün </w:t>
      </w:r>
      <w:r>
        <w:t xml:space="preserve">de </w:t>
      </w:r>
      <w:r w:rsidRPr="0002487F">
        <w:t>yapıtaş</w:t>
      </w:r>
      <w:r>
        <w:t>ın</w:t>
      </w:r>
      <w:r w:rsidRPr="0002487F">
        <w:t xml:space="preserve">ı oluşturur. Roman genelinde karakterlerin psikolojik dirençleri ve tercihleri, inançla kurdukları simbiyotik ilişki ile şekillenir. Bu bağlamda, </w:t>
      </w:r>
      <w:proofErr w:type="spellStart"/>
      <w:r w:rsidRPr="0002487F">
        <w:t>hüyükteki</w:t>
      </w:r>
      <w:proofErr w:type="spellEnd"/>
      <w:r w:rsidRPr="0002487F">
        <w:t xml:space="preserve"> nar ağacına atfedilen kutsallık, metafizik anlam ve </w:t>
      </w:r>
      <w:proofErr w:type="spellStart"/>
      <w:r w:rsidRPr="0002487F">
        <w:t>şifalandırıcı</w:t>
      </w:r>
      <w:proofErr w:type="spellEnd"/>
      <w:r w:rsidRPr="0002487F">
        <w:t xml:space="preserve"> güç inancı, Çukurova coğrafyasında kök salmış yaşam pratiklerini biçimlendiren merkezi bir motif olarak karşımıza çıkar. </w:t>
      </w:r>
      <w:r w:rsidRPr="00FB5CAA">
        <w:t>Gruptaki bireylerin nar ağacını bulma konusundaki kolektif motivasyonu</w:t>
      </w:r>
      <w:r>
        <w:t xml:space="preserve"> ve</w:t>
      </w:r>
      <w:r w:rsidRPr="00FB5CAA">
        <w:t xml:space="preserve"> Yusuf karakterinin </w:t>
      </w:r>
      <w:r w:rsidRPr="0002487F">
        <w:t>nar ağacın</w:t>
      </w:r>
      <w:r>
        <w:t>dan</w:t>
      </w:r>
      <w:r w:rsidRPr="0002487F">
        <w:t xml:space="preserve"> şifa</w:t>
      </w:r>
      <w:r>
        <w:t xml:space="preserve"> bulacağı </w:t>
      </w:r>
      <w:r w:rsidRPr="00FB5CAA">
        <w:t>umuduyla beslediği direnç</w:t>
      </w:r>
      <w:r>
        <w:t>,</w:t>
      </w:r>
      <w:r w:rsidRPr="00FB5CAA">
        <w:t xml:space="preserve"> </w:t>
      </w:r>
      <w:r w:rsidRPr="0002487F">
        <w:t>nar ağacının mucizevi</w:t>
      </w:r>
      <w:r>
        <w:t xml:space="preserve"> gücüne</w:t>
      </w:r>
      <w:r w:rsidRPr="0002487F">
        <w:t xml:space="preserve"> duydu</w:t>
      </w:r>
      <w:r>
        <w:t>kları</w:t>
      </w:r>
      <w:r w:rsidRPr="0002487F">
        <w:t xml:space="preserve"> koşulsuz güvenle doğrudan ilişkilidir.</w:t>
      </w:r>
      <w:r w:rsidRPr="00006879">
        <w:t xml:space="preserve"> </w:t>
      </w:r>
      <w:r w:rsidRPr="00FB5CAA">
        <w:t xml:space="preserve">Bu </w:t>
      </w:r>
      <w:r>
        <w:t>koşulsuz güven</w:t>
      </w:r>
      <w:r w:rsidRPr="00FB5CAA">
        <w:t>, inancın</w:t>
      </w:r>
      <w:r>
        <w:t>/inanışların</w:t>
      </w:r>
      <w:r w:rsidRPr="00FB5CAA">
        <w:t xml:space="preserve"> hem bireysel kararlılığı şekillendiren hem de kolektif eylemleri yönlendiren ontolojik bir dayanak işlevi gördüğünü </w:t>
      </w:r>
      <w:r>
        <w:t xml:space="preserve">açıkça </w:t>
      </w:r>
      <w:r w:rsidRPr="00FB5CAA">
        <w:t>ortaya koymaktadır.</w:t>
      </w:r>
    </w:p>
    <w:p w14:paraId="77B2627C" w14:textId="77777777" w:rsidR="0017453B" w:rsidRDefault="0017453B" w:rsidP="0017453B">
      <w:pPr>
        <w:jc w:val="both"/>
      </w:pPr>
    </w:p>
    <w:p w14:paraId="5279E91B" w14:textId="77777777" w:rsidR="00914DCC" w:rsidRDefault="00914DCC" w:rsidP="0017453B">
      <w:pPr>
        <w:jc w:val="both"/>
      </w:pPr>
      <w:r w:rsidRPr="00800EEA">
        <w:t xml:space="preserve">Bu çalışma, </w:t>
      </w:r>
      <w:proofErr w:type="spellStart"/>
      <w:r w:rsidRPr="009A3AE3">
        <w:rPr>
          <w:i/>
          <w:iCs/>
        </w:rPr>
        <w:t>Hüyükteki</w:t>
      </w:r>
      <w:proofErr w:type="spellEnd"/>
      <w:r w:rsidRPr="009A3AE3">
        <w:rPr>
          <w:i/>
          <w:iCs/>
        </w:rPr>
        <w:t xml:space="preserve"> Nar Ağacı</w:t>
      </w:r>
      <w:r w:rsidRPr="00307937">
        <w:t xml:space="preserve"> </w:t>
      </w:r>
      <w:r>
        <w:t>romanın</w:t>
      </w:r>
      <w:r w:rsidRPr="00800EEA">
        <w:t xml:space="preserve">da inancın ontolojik işlevini ve bu işlevin </w:t>
      </w:r>
      <w:r w:rsidRPr="0002487F">
        <w:t xml:space="preserve">anlam inşası sürecindeki </w:t>
      </w:r>
      <w:r w:rsidRPr="00800EEA">
        <w:t>kurucu rolünü, karakterlerin öznel deneyimleri ile sosyal gerçeklik arasındaki diyalektik etkileşim ekseninde ele almayı amaçlamaktadır. İnancın anlamlandırma süreçlerindeki belirleyiciliği, karakterlerin eylem motivasyonları, psikolojik çatışmaları ve sosyal konumlanışları üzerinden çok katmanlı bir okumaya tabi tutulacaktır.</w:t>
      </w:r>
    </w:p>
    <w:p w14:paraId="2835D887" w14:textId="77777777" w:rsidR="009F0AE3" w:rsidRDefault="009F0AE3" w:rsidP="0017453B">
      <w:pPr>
        <w:jc w:val="both"/>
      </w:pPr>
    </w:p>
    <w:p w14:paraId="50CDC5DD" w14:textId="34C071AF" w:rsidR="009F0AE3" w:rsidRPr="009F0AE3" w:rsidRDefault="00914DCC" w:rsidP="0017453B">
      <w:pPr>
        <w:rPr>
          <w:b/>
          <w:bCs/>
        </w:rPr>
      </w:pPr>
      <w:bookmarkStart w:id="40" w:name="_Hlk190029181"/>
      <w:r w:rsidRPr="009F0AE3">
        <w:rPr>
          <w:b/>
          <w:bCs/>
        </w:rPr>
        <w:t>Olay Örgüsü ve Tematik Yapı</w:t>
      </w:r>
    </w:p>
    <w:p w14:paraId="0DB5E074" w14:textId="7A35C52C" w:rsidR="00914DCC" w:rsidRDefault="00914DCC" w:rsidP="0017453B">
      <w:pPr>
        <w:jc w:val="both"/>
      </w:pPr>
      <w:r w:rsidRPr="007359C8">
        <w:t>Roman, dağ köyünden Çukurova'ya ekonomik zorunlulukla</w:t>
      </w:r>
      <w:r>
        <w:t>,</w:t>
      </w:r>
      <w:r w:rsidRPr="007359C8">
        <w:t xml:space="preserve"> </w:t>
      </w:r>
      <w:r w:rsidRPr="009E4F6E">
        <w:t>mevsimlik iş ara</w:t>
      </w:r>
      <w:r>
        <w:t>mak için</w:t>
      </w:r>
      <w:r w:rsidRPr="009E4F6E">
        <w:t xml:space="preserve"> </w:t>
      </w:r>
      <w:r w:rsidRPr="007359C8">
        <w:t xml:space="preserve">göç eden beş ırgatın yaşam mücadelesini, toplumsal eşitsizliklerle iç içe geçen varoluşsal krizlerini ele alır. İşsizlik, hastalık ve aşağılanma, karakterlerin kolektif umutlarını tüketerek hikâyeyi çaresizlik odaklı bir trajediye dönüştürür. Romanın başlangıç krizi, tarladaki </w:t>
      </w:r>
      <w:r>
        <w:t>tohumların</w:t>
      </w:r>
      <w:r w:rsidRPr="007359C8">
        <w:t xml:space="preserve"> çürümesi, aynı zamanda topraksızlık ve işsizlik sorunudur. Bu kriz, </w:t>
      </w:r>
      <w:proofErr w:type="spellStart"/>
      <w:r w:rsidRPr="007359C8">
        <w:t>Memet'i</w:t>
      </w:r>
      <w:proofErr w:type="spellEnd"/>
      <w:r w:rsidRPr="007359C8">
        <w:t xml:space="preserve"> çözümler aramaya zorlar ve Çukurova'ya gitme kararını tetikler. Yusuf</w:t>
      </w:r>
      <w:r>
        <w:t>,</w:t>
      </w:r>
      <w:r w:rsidRPr="007359C8">
        <w:t xml:space="preserve"> arkadaşlarını bölgenin çetin şartları konusunda uyarmaya çalışsa da içinde bulunduğu yoksulluk ve çaresizlik onu da bu kaçınılmaz göçün bir parçası haline getirir.</w:t>
      </w:r>
    </w:p>
    <w:p w14:paraId="6E47DC53" w14:textId="77777777" w:rsidR="0017453B" w:rsidRDefault="0017453B" w:rsidP="0017453B">
      <w:pPr>
        <w:jc w:val="both"/>
      </w:pPr>
    </w:p>
    <w:p w14:paraId="15706CB4" w14:textId="7BDA3579" w:rsidR="00914DCC" w:rsidRPr="009E4F6E" w:rsidRDefault="00914DCC" w:rsidP="0017453B">
      <w:pPr>
        <w:ind w:left="1134" w:right="1134"/>
        <w:contextualSpacing/>
      </w:pPr>
      <w:r w:rsidRPr="009E4F6E">
        <w:t xml:space="preserve">“Bakın halime. Göz önüne alın beni. Gelin etmeyin. Suyu kurtlu. Ilık, kan gibi... Gitmeyin </w:t>
      </w:r>
      <w:proofErr w:type="spellStart"/>
      <w:r w:rsidRPr="009E4F6E">
        <w:t>kardaş</w:t>
      </w:r>
      <w:proofErr w:type="spellEnd"/>
      <w:r w:rsidRPr="009E4F6E">
        <w:t xml:space="preserve">. Benim lafım size </w:t>
      </w:r>
      <w:proofErr w:type="spellStart"/>
      <w:r w:rsidRPr="009E4F6E">
        <w:t>kardaş</w:t>
      </w:r>
      <w:proofErr w:type="spellEnd"/>
      <w:r w:rsidRPr="009E4F6E">
        <w:t xml:space="preserve"> sözü, baba öğüdü. Bakın halime ... Aç ölün gene gitmeyin. Acınızdan ölün gene... İş var, para var, ekmek var, kuş sütü de var, ne ararsan var ya, ölüm de var. Sürünmek de var. Sıtma da var. Verem var. Bakın halime... Yanar Çukurova, yanar. Gelin gitmeyin.’</w:t>
      </w:r>
    </w:p>
    <w:p w14:paraId="1506EF77" w14:textId="77777777" w:rsidR="00914DCC" w:rsidRPr="009E4F6E" w:rsidRDefault="00914DCC" w:rsidP="0017453B">
      <w:pPr>
        <w:ind w:left="1134" w:right="1134"/>
        <w:contextualSpacing/>
      </w:pPr>
      <w:proofErr w:type="spellStart"/>
      <w:r w:rsidRPr="009E4F6E">
        <w:t>Hösük</w:t>
      </w:r>
      <w:proofErr w:type="spellEnd"/>
      <w:r w:rsidRPr="009E4F6E">
        <w:t>: ‘Çaresi yok, ölsek gene gideceğiz.’</w:t>
      </w:r>
    </w:p>
    <w:p w14:paraId="461D52F1" w14:textId="7D4252F9" w:rsidR="00914DCC" w:rsidRPr="009E4F6E" w:rsidRDefault="00914DCC" w:rsidP="0017453B">
      <w:pPr>
        <w:ind w:left="1134" w:right="1134"/>
        <w:contextualSpacing/>
      </w:pPr>
      <w:proofErr w:type="spellStart"/>
      <w:r w:rsidRPr="009E4F6E">
        <w:t>Memet</w:t>
      </w:r>
      <w:proofErr w:type="spellEnd"/>
      <w:r w:rsidRPr="009E4F6E">
        <w:t>: ‘Gideceğiz.’</w:t>
      </w:r>
    </w:p>
    <w:p w14:paraId="6E03AF8E" w14:textId="77777777" w:rsidR="00914DCC" w:rsidRDefault="00914DCC" w:rsidP="0017453B">
      <w:pPr>
        <w:ind w:left="1134" w:right="1134"/>
        <w:contextualSpacing/>
      </w:pPr>
      <w:proofErr w:type="spellStart"/>
      <w:r w:rsidRPr="009E4F6E">
        <w:t>Hösük</w:t>
      </w:r>
      <w:proofErr w:type="spellEnd"/>
      <w:r w:rsidRPr="009E4F6E">
        <w:t>: ‘Ölüm yokluktan iyi. Sıtma yokluktan iyi. Verem yokluktan iyi.’”</w:t>
      </w:r>
      <w:r>
        <w:t xml:space="preserve"> </w:t>
      </w:r>
      <w:r w:rsidRPr="009E4F6E">
        <w:t>(</w:t>
      </w:r>
      <w:r>
        <w:t xml:space="preserve">Kemal, 1982, </w:t>
      </w:r>
      <w:r w:rsidRPr="009E4F6E">
        <w:t>s.8)</w:t>
      </w:r>
    </w:p>
    <w:p w14:paraId="01F53F0E" w14:textId="77777777" w:rsidR="0017453B" w:rsidRDefault="0017453B" w:rsidP="0017453B">
      <w:pPr>
        <w:ind w:left="1134" w:right="1134"/>
        <w:contextualSpacing/>
      </w:pPr>
    </w:p>
    <w:p w14:paraId="1E72C9C8" w14:textId="74760993" w:rsidR="00914DCC" w:rsidRDefault="00914DCC" w:rsidP="0017453B">
      <w:pPr>
        <w:jc w:val="both"/>
      </w:pPr>
      <w:proofErr w:type="spellStart"/>
      <w:r w:rsidRPr="006915D6">
        <w:t>Hösük’ün</w:t>
      </w:r>
      <w:proofErr w:type="spellEnd"/>
      <w:r w:rsidRPr="006915D6">
        <w:t xml:space="preserve"> “ölmek var, dönmek yok” (s.9) sözüyle ifade ettiği Çukurova’ya gitme kararlılığı, bir cesaret gösterisinden ziyade derin bir çaresizliğin ve kadere boyun eğişin yansımasıdır. Bu anlamda Çukurova, yalnızca coğrafi bir destinasyon değil, adeta bu beş kişi için kaçınılmaz bir yazgı</w:t>
      </w:r>
      <w:r>
        <w:t>ya dönüşür</w:t>
      </w:r>
      <w:r w:rsidRPr="006915D6">
        <w:t>. Âşık Ali’nin yokluğu ateşten gömleğe benzetmesi (s.30),</w:t>
      </w:r>
      <w:r>
        <w:t xml:space="preserve"> o</w:t>
      </w:r>
      <w:r w:rsidRPr="00C96F65">
        <w:t>laca</w:t>
      </w:r>
      <w:r>
        <w:t>ğın ö</w:t>
      </w:r>
      <w:r w:rsidRPr="00C96F65">
        <w:t>nüne geçilme</w:t>
      </w:r>
      <w:r>
        <w:t xml:space="preserve">yeceğini ve elden bir şey gelmeyeceğini söylemesi (s.40), </w:t>
      </w:r>
      <w:r w:rsidRPr="00ED4080">
        <w:t xml:space="preserve">karakterlerin </w:t>
      </w:r>
      <w:r w:rsidRPr="006915D6">
        <w:t>yoksulluk ve toplumsal eşitsizlikler karşısındaki fatalist tavrını</w:t>
      </w:r>
      <w:r>
        <w:t xml:space="preserve"> ve</w:t>
      </w:r>
      <w:r w:rsidRPr="00ED4080">
        <w:t xml:space="preserve"> yaşam koşullarının zorluğuna karşı sergiledikleri pasif direnişi</w:t>
      </w:r>
      <w:r>
        <w:t xml:space="preserve"> yansıtır.</w:t>
      </w:r>
    </w:p>
    <w:p w14:paraId="39833404" w14:textId="77777777" w:rsidR="0017453B" w:rsidRDefault="0017453B" w:rsidP="0017453B">
      <w:pPr>
        <w:jc w:val="both"/>
      </w:pPr>
    </w:p>
    <w:p w14:paraId="34B3C66A" w14:textId="6F5A34A0" w:rsidR="00914DCC" w:rsidRDefault="00914DCC" w:rsidP="0017453B">
      <w:pPr>
        <w:jc w:val="both"/>
      </w:pPr>
      <w:r w:rsidRPr="007359C8">
        <w:t xml:space="preserve">Başlangıçta umudun ve kurtuluşun mekânı olarak tasvir edilen Çukurova, zamanla acımasız bir çelişkiler alanına dönüşür. Hastalık, açlık ve çaresizlik, karakterlerde moral çöküntüye ve </w:t>
      </w:r>
      <w:r w:rsidRPr="007359C8">
        <w:lastRenderedPageBreak/>
        <w:t xml:space="preserve">öfkeye yol açar. </w:t>
      </w:r>
      <w:r w:rsidRPr="009E4F6E">
        <w:t>İki gün süren zorlu bir yolculuğun ardından</w:t>
      </w:r>
      <w:r w:rsidRPr="007359C8">
        <w:t xml:space="preserve"> </w:t>
      </w:r>
      <w:proofErr w:type="spellStart"/>
      <w:r w:rsidRPr="007359C8">
        <w:t>Memet</w:t>
      </w:r>
      <w:proofErr w:type="spellEnd"/>
      <w:r w:rsidRPr="007359C8">
        <w:t xml:space="preserve"> ve arkadaşları </w:t>
      </w:r>
      <w:proofErr w:type="spellStart"/>
      <w:r w:rsidRPr="007359C8">
        <w:t>Memet’in</w:t>
      </w:r>
      <w:proofErr w:type="spellEnd"/>
      <w:r w:rsidRPr="007359C8">
        <w:t xml:space="preserve"> daha önce çalıştığı çiftliğe ulaşırlar. </w:t>
      </w:r>
      <w:proofErr w:type="spellStart"/>
      <w:r w:rsidRPr="007359C8">
        <w:t>Memet</w:t>
      </w:r>
      <w:proofErr w:type="spellEnd"/>
      <w:r>
        <w:t xml:space="preserve">, </w:t>
      </w:r>
      <w:r w:rsidRPr="007359C8">
        <w:t>abla dediği kadından iş konusunda destek görmeyi umarken</w:t>
      </w:r>
      <w:r>
        <w:t xml:space="preserve">, </w:t>
      </w:r>
      <w:r w:rsidRPr="007359C8">
        <w:t xml:space="preserve">ablanın kendisini </w:t>
      </w:r>
      <w:r>
        <w:t>tanımaması/</w:t>
      </w:r>
      <w:r w:rsidRPr="007359C8">
        <w:t>tanımazlıktan gelmesiyle büyük bir hayal kırıklığına uğrar.</w:t>
      </w:r>
      <w:r>
        <w:t xml:space="preserve"> </w:t>
      </w:r>
      <w:r w:rsidRPr="00166338">
        <w:t>Bu reddediliş, yalnızca kişisel bir unutuluş</w:t>
      </w:r>
      <w:r>
        <w:t>u</w:t>
      </w:r>
      <w:r w:rsidRPr="00166338">
        <w:t xml:space="preserve"> değil, geleneksel tarım pratiklerinin yerini alan </w:t>
      </w:r>
      <w:r>
        <w:t xml:space="preserve">mekanik </w:t>
      </w:r>
      <w:r w:rsidRPr="00166338">
        <w:t>düzenin yarattığı yabancılaşma</w:t>
      </w:r>
      <w:r>
        <w:t>yı da gösterir.</w:t>
      </w:r>
    </w:p>
    <w:p w14:paraId="3FAE2755" w14:textId="77777777" w:rsidR="0017453B" w:rsidRDefault="0017453B" w:rsidP="0017453B">
      <w:pPr>
        <w:jc w:val="both"/>
      </w:pPr>
    </w:p>
    <w:p w14:paraId="6FCF924B" w14:textId="77777777" w:rsidR="00914DCC" w:rsidRDefault="00914DCC" w:rsidP="0017453B">
      <w:pPr>
        <w:ind w:left="1134" w:right="1134"/>
        <w:contextualSpacing/>
      </w:pPr>
      <w:r w:rsidRPr="009E4F6E">
        <w:t xml:space="preserve">“Çiftliğe girdiler. Çiftliğin avlusu mavi, kırmızı, san boyalı traktörler, biçerdöverler, </w:t>
      </w:r>
      <w:proofErr w:type="spellStart"/>
      <w:r w:rsidRPr="009E4F6E">
        <w:t>kötenler</w:t>
      </w:r>
      <w:proofErr w:type="spellEnd"/>
      <w:r w:rsidRPr="009E4F6E">
        <w:t xml:space="preserve">, at arabaları, kamyonlar, ciplerle </w:t>
      </w:r>
      <w:proofErr w:type="spellStart"/>
      <w:r w:rsidRPr="009E4F6E">
        <w:t>zık</w:t>
      </w:r>
      <w:proofErr w:type="spellEnd"/>
      <w:r w:rsidRPr="009E4F6E">
        <w:t xml:space="preserve"> gibi doluydu. Güneş altında parıl </w:t>
      </w:r>
      <w:proofErr w:type="spellStart"/>
      <w:r w:rsidRPr="009E4F6E">
        <w:t>pan</w:t>
      </w:r>
      <w:proofErr w:type="spellEnd"/>
      <w:r w:rsidRPr="009E4F6E">
        <w:t xml:space="preserve">! yanıyorlardı. </w:t>
      </w:r>
      <w:proofErr w:type="spellStart"/>
      <w:r w:rsidRPr="009E4F6E">
        <w:t>Massey-Harrısler</w:t>
      </w:r>
      <w:proofErr w:type="spellEnd"/>
      <w:r w:rsidRPr="009E4F6E">
        <w:t xml:space="preserve">, </w:t>
      </w:r>
      <w:proofErr w:type="spellStart"/>
      <w:r w:rsidRPr="009E4F6E">
        <w:t>Fargusonlar</w:t>
      </w:r>
      <w:proofErr w:type="spellEnd"/>
      <w:r w:rsidRPr="009E4F6E">
        <w:t>. Türlü türlü marka makinalar ... üstü başı yağlı birkaç telaşlı adam da makinaların başında dönüp duruyordu.” (</w:t>
      </w:r>
      <w:r>
        <w:t>Kemal, 1982, s.</w:t>
      </w:r>
      <w:r w:rsidRPr="009E4F6E">
        <w:t>16)</w:t>
      </w:r>
    </w:p>
    <w:p w14:paraId="6A53CC1E" w14:textId="77777777" w:rsidR="0017453B" w:rsidRDefault="0017453B" w:rsidP="0017453B">
      <w:pPr>
        <w:ind w:left="1134" w:right="1134"/>
        <w:contextualSpacing/>
      </w:pPr>
    </w:p>
    <w:p w14:paraId="092C3385" w14:textId="77777777" w:rsidR="00914DCC" w:rsidRDefault="00914DCC" w:rsidP="0017453B">
      <w:pPr>
        <w:jc w:val="both"/>
      </w:pPr>
      <w:proofErr w:type="spellStart"/>
      <w:r w:rsidRPr="00DD3053">
        <w:t>Memet'in</w:t>
      </w:r>
      <w:proofErr w:type="spellEnd"/>
      <w:r w:rsidRPr="00DD3053">
        <w:t xml:space="preserve"> çiftlikte karşılaştığı mekanik araçlar (traktörler, biçerdöverler), geleneksel üretim ilişkilerinin tasfiyesi, çalışanların işten çıkarılması ve öküzlerin satılması tarımsal üretimde makineleşmenin yol açtığı radikal dönüşümü yansıtır. </w:t>
      </w:r>
      <w:proofErr w:type="spellStart"/>
      <w:r w:rsidRPr="00DD3053">
        <w:t>Memet'in</w:t>
      </w:r>
      <w:proofErr w:type="spellEnd"/>
      <w:r w:rsidRPr="00DD3053">
        <w:t xml:space="preserve"> bağ kurduğu sarı öküzün biçerdöver tekerleğine "kurban edilmesi" ise bu dönüşümün trajik bir metaforudur.  Mekanizasyon, çiftliğin fiziksel genişlemesini ve ekonomik zenginleşmesini sağlarken, insan emeğinin değersizleşmesini de beraberinde getirmiştir. Sarı oğlanın "her gün ırgadın bini gelip bini gidiyor. Kum gibi kaynıyor ırgat. İş yok güç yok. Abla da şaşırdı. Un yetmiyor, ekmek yetmiyor ... Anca ver, ver, ver..." (</w:t>
      </w:r>
      <w:r w:rsidRPr="003844A0">
        <w:t xml:space="preserve">Kemal, 1982, </w:t>
      </w:r>
      <w:r w:rsidRPr="00DD3053">
        <w:t>s.19) sözleri, işsizliğin yaygınlığını ve geçici tarım işçilerinin maruz kaldığı istikrarsız koşulları vurgular.</w:t>
      </w:r>
    </w:p>
    <w:p w14:paraId="15821392" w14:textId="77777777" w:rsidR="0017453B" w:rsidRPr="00DD3053" w:rsidRDefault="0017453B" w:rsidP="0017453B">
      <w:pPr>
        <w:jc w:val="both"/>
      </w:pPr>
    </w:p>
    <w:p w14:paraId="7FC13AEC" w14:textId="72A1D170" w:rsidR="00914DCC" w:rsidRDefault="00914DCC" w:rsidP="0017453B">
      <w:pPr>
        <w:jc w:val="both"/>
      </w:pPr>
      <w:r w:rsidRPr="00DD3053">
        <w:t xml:space="preserve">Çiftlikte umduklarını bulamayan </w:t>
      </w:r>
      <w:proofErr w:type="spellStart"/>
      <w:r w:rsidRPr="00DD3053">
        <w:t>Memet</w:t>
      </w:r>
      <w:proofErr w:type="spellEnd"/>
      <w:r w:rsidRPr="00DD3053">
        <w:t xml:space="preserve"> ve arkadaşları, iş bulma ümidiyle uğramadık köy, yalvarmadık ağa bırakmazlar. Yolculukları boyunca başlarından birçok olay geçer, Tozlu yollarda, kızgın güneş altında yürümek zorunda kalırlar; açlık, susuzluk, sıcak ve sivrisineklerle mücadele ederken, yerel halk tarafından dağlı diye ötekileştirilir ve düşük ücretli işlerde, kötü koşullarda çalıştırılırlar. Çukurova bölgesini dolaşan beş arkadaş, bölgedeki </w:t>
      </w:r>
      <w:proofErr w:type="spellStart"/>
      <w:r w:rsidRPr="00DD3053">
        <w:t>sosyo</w:t>
      </w:r>
      <w:proofErr w:type="spellEnd"/>
      <w:r w:rsidRPr="00DD3053">
        <w:t>-ekonomik dönüşümün yarattığı çarpıcı değişimlere de tanık olur. Mekanize tarım araçlarının yaygınlaşması, geleneksel tarım ilişkilerini altüst etmiş; insanlar ne yapacaklarını bilemedikleri bu makinelere hayranlıkla karışık adeta tapınır hale gelmişlerdir</w:t>
      </w:r>
      <w:r>
        <w:t xml:space="preserve"> (</w:t>
      </w:r>
      <w:r w:rsidRPr="003844A0">
        <w:t xml:space="preserve">Kemal, 1982, </w:t>
      </w:r>
      <w:r>
        <w:t>s.43)</w:t>
      </w:r>
      <w:r w:rsidRPr="00DD3053">
        <w:t xml:space="preserve">. Her tarafta kendileri gibi yoksul ve işsiz ırgatlarla </w:t>
      </w:r>
      <w:r w:rsidRPr="003844A0">
        <w:t>karşılaşırlar</w:t>
      </w:r>
      <w:r>
        <w:t>; h</w:t>
      </w:r>
      <w:r w:rsidRPr="003844A0">
        <w:t>epsi de onlar gibi şaşkınlık içindedir.</w:t>
      </w:r>
    </w:p>
    <w:p w14:paraId="31BBFE05" w14:textId="77777777" w:rsidR="0017453B" w:rsidRPr="003844A0" w:rsidRDefault="0017453B" w:rsidP="0017453B">
      <w:pPr>
        <w:jc w:val="both"/>
      </w:pPr>
    </w:p>
    <w:p w14:paraId="32FE661F" w14:textId="77777777" w:rsidR="00914DCC" w:rsidRDefault="00914DCC" w:rsidP="0017453B">
      <w:pPr>
        <w:jc w:val="both"/>
      </w:pPr>
      <w:r w:rsidRPr="003844A0">
        <w:t xml:space="preserve">Roman, Çukurova’da iş arayışındaki </w:t>
      </w:r>
      <w:proofErr w:type="spellStart"/>
      <w:r w:rsidRPr="003844A0">
        <w:t>Memet</w:t>
      </w:r>
      <w:proofErr w:type="spellEnd"/>
      <w:r w:rsidRPr="003844A0">
        <w:t xml:space="preserve"> ve arkadaşlarının fiziksel ve psikolojik çöküşünü, toplumsal dışlanma ve aşağılanmayla birleşen varoluşsal krizler üzerinden aktarır. Çukurova’nın kavurucu sıcağı altında ezilen köylüler, açlık ve işsizliğin pençesinde kıvranırken, yalnızca emekleri değil, onurları da ayakaltı edilir. Genç ve acımasız bir ağa, “dağlardan </w:t>
      </w:r>
      <w:proofErr w:type="spellStart"/>
      <w:r w:rsidRPr="003844A0">
        <w:t>Çukurovaya</w:t>
      </w:r>
      <w:proofErr w:type="spellEnd"/>
      <w:r w:rsidRPr="003844A0">
        <w:t xml:space="preserve"> ne kadar akılsız ırgat dökülmüşse bu yıl, hepsinin anasına avradına” (Kemal, 1982, s.43) diyerek ırgatların yüzlerine söver</w:t>
      </w:r>
      <w:r>
        <w:t xml:space="preserve">. </w:t>
      </w:r>
      <w:r w:rsidRPr="003844A0">
        <w:t xml:space="preserve">Uğradıkları </w:t>
      </w:r>
      <w:proofErr w:type="spellStart"/>
      <w:r w:rsidRPr="003844A0">
        <w:t>kavaklı</w:t>
      </w:r>
      <w:proofErr w:type="spellEnd"/>
      <w:r w:rsidRPr="003844A0">
        <w:t xml:space="preserve"> köyde yine </w:t>
      </w:r>
      <w:r w:rsidRPr="0061044B">
        <w:t>sosyal sınıf farklılıkları ve toplumsal hiyerarşi ekseninde gelişen bir çatışma konu edi</w:t>
      </w:r>
      <w:r w:rsidRPr="003844A0">
        <w:t xml:space="preserve">lir. </w:t>
      </w:r>
      <w:r w:rsidRPr="0061044B">
        <w:t>İş aray</w:t>
      </w:r>
      <w:r>
        <w:t xml:space="preserve">an </w:t>
      </w:r>
      <w:r w:rsidRPr="0061044B">
        <w:t xml:space="preserve">yoksul ırgatlar, </w:t>
      </w:r>
      <w:r>
        <w:t>köyün ağası tarafından</w:t>
      </w:r>
      <w:r w:rsidRPr="003844A0">
        <w:t xml:space="preserve"> alay edi</w:t>
      </w:r>
      <w:r>
        <w:t>li</w:t>
      </w:r>
      <w:r w:rsidRPr="003844A0">
        <w:t>p aşağıla</w:t>
      </w:r>
      <w:r>
        <w:t>nır, hatta</w:t>
      </w:r>
      <w:r w:rsidRPr="003844A0">
        <w:t xml:space="preserve"> hırsız tutu</w:t>
      </w:r>
      <w:r>
        <w:t>lu</w:t>
      </w:r>
      <w:r w:rsidRPr="003844A0">
        <w:t>p köyden kovul</w:t>
      </w:r>
      <w:r>
        <w:t>urlar.</w:t>
      </w:r>
      <w:r w:rsidRPr="003844A0">
        <w:t xml:space="preserve"> </w:t>
      </w:r>
      <w:r w:rsidRPr="0061044B">
        <w:t xml:space="preserve">Özellikle Aşık Ali ve </w:t>
      </w:r>
      <w:proofErr w:type="spellStart"/>
      <w:r w:rsidRPr="0061044B">
        <w:t>Memet’in</w:t>
      </w:r>
      <w:proofErr w:type="spellEnd"/>
      <w:r w:rsidRPr="0061044B">
        <w:t>, geleneksel aşık edebiyatı ve Dadaloğlu’nun mirasına yaptıkları vurgu,</w:t>
      </w:r>
      <w:r>
        <w:t xml:space="preserve"> ağa</w:t>
      </w:r>
      <w:r w:rsidRPr="0061044B">
        <w:t xml:space="preserve"> tarafından alaya alınır ve önemsiz görülür.</w:t>
      </w:r>
      <w:r>
        <w:t xml:space="preserve"> Ağa</w:t>
      </w:r>
      <w:r w:rsidRPr="0061044B">
        <w:t>, modern tarım araçlarının insan gücünün yerini aldığını belirterek, ırgatların artık gereksiz olduğunu ima eder</w:t>
      </w:r>
      <w:r>
        <w:t xml:space="preserve"> (</w:t>
      </w:r>
      <w:r w:rsidRPr="003844A0">
        <w:t xml:space="preserve">Kemal, 1982, </w:t>
      </w:r>
      <w:r>
        <w:t>s.77-78)</w:t>
      </w:r>
      <w:r w:rsidRPr="0061044B">
        <w:t>.</w:t>
      </w:r>
      <w:r>
        <w:t xml:space="preserve"> Irgatların </w:t>
      </w:r>
      <w:r w:rsidRPr="003844A0">
        <w:t>maruz kaldığı</w:t>
      </w:r>
      <w:r>
        <w:t xml:space="preserve"> bu tavır, </w:t>
      </w:r>
      <w:r w:rsidRPr="0061044B">
        <w:t>feodal düzenin otoriter yapısını ve güç sahiplerinin, yoksul kesimler üzerindeki baskısını gözler önüne ser</w:t>
      </w:r>
      <w:r>
        <w:t>e</w:t>
      </w:r>
      <w:r w:rsidRPr="0061044B">
        <w:t>r.</w:t>
      </w:r>
      <w:r>
        <w:t xml:space="preserve"> </w:t>
      </w:r>
      <w:r w:rsidRPr="00DD3053">
        <w:t xml:space="preserve">Bu hakaretler, </w:t>
      </w:r>
      <w:r w:rsidRPr="00DD3053">
        <w:lastRenderedPageBreak/>
        <w:t xml:space="preserve">yalnızca sıradan bir zulüm değildir, kökleri sınıf hiyerarşisine dayanan bir şiddetin ve zorbalığın </w:t>
      </w:r>
      <w:r>
        <w:t>dışavurumudur.</w:t>
      </w:r>
    </w:p>
    <w:p w14:paraId="4DF575CE" w14:textId="77777777" w:rsidR="0017453B" w:rsidRPr="00DD3053" w:rsidRDefault="0017453B" w:rsidP="0017453B">
      <w:pPr>
        <w:jc w:val="both"/>
      </w:pPr>
    </w:p>
    <w:p w14:paraId="64A08CCD" w14:textId="44ECA482" w:rsidR="00914DCC" w:rsidRDefault="00914DCC" w:rsidP="0017453B">
      <w:pPr>
        <w:jc w:val="both"/>
      </w:pPr>
      <w:r w:rsidRPr="00DD3053">
        <w:t>Yaşanan manevi zorluklar ve maddi yoksunluklar, karakterlerin varoluşsal mücadelesini derinleştiren bir arka plan oluşturur. Özellikle iki gün boyunca iş bulamadıkları için aç kalmaları, yoksulluğun yalnızca maddi bir sorun olmadığını, aynı zamanda kimlik ve aidiyet krizlerini de tetikleyen sosyokültürel bir olgu olduğunu vurgular. Geçmişte gittiği her köyde, çaldığı her kapıda saygı gören Âşık Ali, saz çal</w:t>
      </w:r>
      <w:r>
        <w:t xml:space="preserve">ması karşılığında ancak </w:t>
      </w:r>
      <w:r w:rsidRPr="00DD3053">
        <w:t>arkadaşları için ekmek topla</w:t>
      </w:r>
      <w:r>
        <w:t xml:space="preserve">yabilir </w:t>
      </w:r>
      <w:r w:rsidRPr="00DD3053">
        <w:t>(</w:t>
      </w:r>
      <w:r w:rsidRPr="003844A0">
        <w:t xml:space="preserve">Kemal, 1982, </w:t>
      </w:r>
      <w:r w:rsidRPr="00DD3053">
        <w:t xml:space="preserve">s.43). Bu itibar kaybı, geleneksel değerlerin çözülüşü ve kapitalist ilişkilerin yükselişi arasındaki gerilimi yansıtır. </w:t>
      </w:r>
      <w:proofErr w:type="spellStart"/>
      <w:r w:rsidRPr="00DD3053">
        <w:t>Memet’in</w:t>
      </w:r>
      <w:proofErr w:type="spellEnd"/>
      <w:r w:rsidRPr="00DD3053">
        <w:t xml:space="preserve"> tüm bu olumsuz koşullara rağmen umudunu koruması dikkat çeker. Onun yeni köylere ulaşma ısrarı, yalnızca gerçeklerden kaçma eğilimi olarak değil, aynı zamanda sistematik çöküşe karşı bireysel düzlemde bir direniş olarak da okunabilir.</w:t>
      </w:r>
    </w:p>
    <w:p w14:paraId="300DAC8A" w14:textId="77777777" w:rsidR="0017453B" w:rsidRPr="00DD3053" w:rsidRDefault="0017453B" w:rsidP="0017453B">
      <w:pPr>
        <w:jc w:val="both"/>
      </w:pPr>
    </w:p>
    <w:p w14:paraId="7E4670A2" w14:textId="77777777" w:rsidR="00914DCC" w:rsidRDefault="00914DCC" w:rsidP="0017453B">
      <w:pPr>
        <w:ind w:left="1134" w:right="1134"/>
        <w:contextualSpacing/>
      </w:pPr>
      <w:r w:rsidRPr="009E4F6E">
        <w:t>“Canla</w:t>
      </w:r>
      <w:r>
        <w:t>rı</w:t>
      </w:r>
      <w:r w:rsidRPr="009E4F6E">
        <w:t xml:space="preserve">na tak demişti gayrı. Çoktandır dönmeye karar vermişlerdi ya, </w:t>
      </w:r>
      <w:proofErr w:type="spellStart"/>
      <w:r w:rsidRPr="009E4F6E">
        <w:t>Memet</w:t>
      </w:r>
      <w:proofErr w:type="spellEnd"/>
      <w:r w:rsidRPr="009E4F6E">
        <w:t xml:space="preserve"> bir türlü yakalarını bırakmıyordu. Memleket diye yola düşüyorlar, </w:t>
      </w:r>
      <w:proofErr w:type="spellStart"/>
      <w:r w:rsidRPr="009E4F6E">
        <w:t>Memet</w:t>
      </w:r>
      <w:proofErr w:type="spellEnd"/>
      <w:r w:rsidRPr="009E4F6E">
        <w:t xml:space="preserve"> ötede bir köy görüyor, ‘Hele şuraya da bir uğrayalım. </w:t>
      </w:r>
      <w:proofErr w:type="spellStart"/>
      <w:r w:rsidRPr="009E4F6E">
        <w:t>Burda</w:t>
      </w:r>
      <w:proofErr w:type="spellEnd"/>
      <w:r w:rsidRPr="009E4F6E">
        <w:t xml:space="preserve"> mutlak iş buluruz,’ diyor, yalvarıyor yakarıyor, onları o köye götürüyordu. Böyle </w:t>
      </w:r>
      <w:proofErr w:type="spellStart"/>
      <w:r w:rsidRPr="009E4F6E">
        <w:t>böyle</w:t>
      </w:r>
      <w:proofErr w:type="spellEnd"/>
      <w:r w:rsidRPr="009E4F6E">
        <w:t xml:space="preserve">, belki on kere yönlerini memlekete dönüp giderlerken, </w:t>
      </w:r>
      <w:proofErr w:type="spellStart"/>
      <w:r w:rsidRPr="009E4F6E">
        <w:t>Memet</w:t>
      </w:r>
      <w:proofErr w:type="spellEnd"/>
      <w:r w:rsidRPr="009E4F6E">
        <w:t xml:space="preserve"> onları geri döndürdü.” (</w:t>
      </w:r>
      <w:r>
        <w:t xml:space="preserve">Kemal, 1982, </w:t>
      </w:r>
      <w:r w:rsidRPr="009E4F6E">
        <w:t>s.45)</w:t>
      </w:r>
    </w:p>
    <w:p w14:paraId="12766EEE" w14:textId="77777777" w:rsidR="0017453B" w:rsidRDefault="0017453B" w:rsidP="0017453B">
      <w:pPr>
        <w:ind w:left="1134" w:right="1134"/>
        <w:contextualSpacing/>
      </w:pPr>
    </w:p>
    <w:p w14:paraId="6F5BE0B9" w14:textId="456FDB94" w:rsidR="00914DCC" w:rsidRDefault="00914DCC" w:rsidP="0017453B">
      <w:pPr>
        <w:jc w:val="both"/>
      </w:pPr>
      <w:r w:rsidRPr="00FC79CA">
        <w:t xml:space="preserve">Diğer yandan Yusuf, Çukurova’yı kasıp kavuran sıtmayı sürekli hatırlatmak ve bununla okuru yüzleştirmek için esere özel olarak konulmuş gibidir. Yusuf’un giderek ağırlaşan hastalığı, grubun kolektif umudunu zayıflatır. </w:t>
      </w:r>
      <w:proofErr w:type="spellStart"/>
      <w:r w:rsidRPr="00FC79CA">
        <w:t>Hösük'ün</w:t>
      </w:r>
      <w:proofErr w:type="spellEnd"/>
      <w:r w:rsidRPr="00FC79CA">
        <w:t xml:space="preserve"> Yusuf'u sırtında taşımak zorunda kalışı, kolektif dayanışmanın sınırlarını zorlayan bir yük haline gelir. Yusuf’un bedenindeki çöküş ile Âşık Ali’nin toplumsal konumundaki düşüş, yapısal eşitsizliklerin hem bireysel hem de kolektif düzeyde yol açtığı travmaları ortaya koyar.</w:t>
      </w:r>
    </w:p>
    <w:p w14:paraId="2DA5831D" w14:textId="77777777" w:rsidR="0017453B" w:rsidRDefault="0017453B" w:rsidP="0017453B">
      <w:pPr>
        <w:jc w:val="both"/>
      </w:pPr>
    </w:p>
    <w:p w14:paraId="4268C572" w14:textId="1743F021" w:rsidR="0017453B" w:rsidRDefault="00914DCC" w:rsidP="0017453B">
      <w:pPr>
        <w:jc w:val="both"/>
      </w:pPr>
      <w:proofErr w:type="spellStart"/>
      <w:r w:rsidRPr="00CD057F">
        <w:t>Memet</w:t>
      </w:r>
      <w:proofErr w:type="spellEnd"/>
      <w:r w:rsidRPr="00CD057F">
        <w:t xml:space="preserve">, </w:t>
      </w:r>
      <w:r>
        <w:t>bir saatlik uzakta ağaçların içinde bir köy görür; k</w:t>
      </w:r>
      <w:r w:rsidRPr="00CD057F">
        <w:t>öyde</w:t>
      </w:r>
      <w:r>
        <w:t xml:space="preserve"> kendilerine</w:t>
      </w:r>
      <w:r w:rsidRPr="00CD057F">
        <w:t xml:space="preserve"> iş</w:t>
      </w:r>
      <w:r>
        <w:t>,</w:t>
      </w:r>
      <w:r w:rsidRPr="00CD057F">
        <w:t xml:space="preserve"> durumu iyice ağırlaşan Yusuf</w:t>
      </w:r>
      <w:r>
        <w:t>’a</w:t>
      </w:r>
      <w:r w:rsidRPr="00B22076">
        <w:t xml:space="preserve"> muska yazacak</w:t>
      </w:r>
      <w:r>
        <w:t xml:space="preserve"> bir</w:t>
      </w:r>
      <w:r w:rsidRPr="00B22076">
        <w:t xml:space="preserve"> hoca</w:t>
      </w:r>
      <w:r>
        <w:t xml:space="preserve"> veya</w:t>
      </w:r>
      <w:r w:rsidRPr="00B22076">
        <w:t xml:space="preserve"> iğne yapacak iğneci </w:t>
      </w:r>
      <w:r w:rsidRPr="00CD057F">
        <w:t>bulabileceklerini,</w:t>
      </w:r>
      <w:r>
        <w:t xml:space="preserve"> </w:t>
      </w:r>
      <w:r w:rsidRPr="00CD057F">
        <w:t xml:space="preserve">ölmesi halinde köylülerin </w:t>
      </w:r>
      <w:r>
        <w:t xml:space="preserve">Yusuf’u </w:t>
      </w:r>
      <w:r w:rsidRPr="00CD057F">
        <w:t xml:space="preserve">mezarlığa gömebileceğini </w:t>
      </w:r>
      <w:r>
        <w:t xml:space="preserve">söyleyerek </w:t>
      </w:r>
      <w:r w:rsidRPr="00CD057F">
        <w:t>arkadaşların</w:t>
      </w:r>
      <w:r>
        <w:t>ı</w:t>
      </w:r>
      <w:r w:rsidRPr="00CD057F">
        <w:t xml:space="preserve"> köye </w:t>
      </w:r>
      <w:r>
        <w:t xml:space="preserve">gitmek </w:t>
      </w:r>
      <w:r w:rsidRPr="00CD057F">
        <w:t xml:space="preserve">için </w:t>
      </w:r>
      <w:r w:rsidRPr="0010172A">
        <w:t>ikna etmeye çalışır.</w:t>
      </w:r>
    </w:p>
    <w:p w14:paraId="0BDAA46A" w14:textId="77777777" w:rsidR="0017453B" w:rsidRDefault="0017453B" w:rsidP="0017453B">
      <w:pPr>
        <w:jc w:val="both"/>
      </w:pPr>
    </w:p>
    <w:p w14:paraId="65EC7964" w14:textId="77777777" w:rsidR="00914DCC" w:rsidRPr="00CD057F" w:rsidRDefault="00914DCC" w:rsidP="0017453B">
      <w:pPr>
        <w:ind w:left="1134" w:right="1134"/>
        <w:contextualSpacing/>
      </w:pPr>
      <w:r w:rsidRPr="00CD057F">
        <w:t>“</w:t>
      </w:r>
      <w:proofErr w:type="spellStart"/>
      <w:r w:rsidRPr="00CD057F">
        <w:t>Memet</w:t>
      </w:r>
      <w:proofErr w:type="spellEnd"/>
      <w:r w:rsidRPr="00CD057F">
        <w:t xml:space="preserve">: ‘Aşık,’ dedi, ‘biz ne diye geldik </w:t>
      </w:r>
      <w:proofErr w:type="spellStart"/>
      <w:r w:rsidRPr="00CD057F">
        <w:t>Çukurovaya</w:t>
      </w:r>
      <w:proofErr w:type="spellEnd"/>
      <w:r w:rsidRPr="00CD057F">
        <w:t>? İş diye geldik. Yusuf ölecek. Ölürse köyde ölsün.’</w:t>
      </w:r>
    </w:p>
    <w:p w14:paraId="3BF9EC36" w14:textId="28F0A3E7" w:rsidR="00914DCC" w:rsidRPr="00CD057F" w:rsidRDefault="00914DCC" w:rsidP="0017453B">
      <w:pPr>
        <w:ind w:left="1134" w:right="1134"/>
        <w:contextualSpacing/>
      </w:pPr>
      <w:r w:rsidRPr="00CD057F">
        <w:t xml:space="preserve">Aşık: ‘Ha köyde ölmüş, ha </w:t>
      </w:r>
      <w:proofErr w:type="spellStart"/>
      <w:r w:rsidRPr="00CD057F">
        <w:t>burda</w:t>
      </w:r>
      <w:proofErr w:type="spellEnd"/>
      <w:r w:rsidRPr="00CD057F">
        <w:t xml:space="preserve"> ölmüş, farkı ne?’</w:t>
      </w:r>
    </w:p>
    <w:p w14:paraId="7DE7A942" w14:textId="32CCAC83" w:rsidR="00914DCC" w:rsidRPr="00CD057F" w:rsidRDefault="00914DCC" w:rsidP="0017453B">
      <w:pPr>
        <w:ind w:left="1134" w:right="1134"/>
        <w:contextualSpacing/>
      </w:pPr>
      <w:proofErr w:type="spellStart"/>
      <w:r w:rsidRPr="00CD057F">
        <w:t>Memet</w:t>
      </w:r>
      <w:proofErr w:type="spellEnd"/>
      <w:r w:rsidRPr="00CD057F">
        <w:t>: ‘Köylü kaldı</w:t>
      </w:r>
      <w:r>
        <w:t>rı</w:t>
      </w:r>
      <w:r w:rsidRPr="00CD057F">
        <w:t>r,’ dedi, ‘</w:t>
      </w:r>
      <w:proofErr w:type="spellStart"/>
      <w:r w:rsidRPr="00CD057F">
        <w:t>Yusufu</w:t>
      </w:r>
      <w:proofErr w:type="spellEnd"/>
      <w:r w:rsidRPr="00CD057F">
        <w:t>. Hiç olmazsa mezarlığa gömülür.’</w:t>
      </w:r>
    </w:p>
    <w:p w14:paraId="3B553A6B" w14:textId="77777777" w:rsidR="00914DCC" w:rsidRDefault="00914DCC" w:rsidP="0017453B">
      <w:pPr>
        <w:ind w:left="1134" w:right="1134"/>
        <w:contextualSpacing/>
      </w:pPr>
      <w:r w:rsidRPr="00CD057F">
        <w:t xml:space="preserve">Aşık Ali: ‘Umudum yok,’ dedi. ‘Burası Çukurova. Mezarlarına almazlar bizi, dağlıları.’” </w:t>
      </w:r>
      <w:r w:rsidRPr="009E4F6E">
        <w:t>(</w:t>
      </w:r>
      <w:r>
        <w:t xml:space="preserve">Kemal, 1982, </w:t>
      </w:r>
      <w:r w:rsidRPr="009E4F6E">
        <w:t>s.4</w:t>
      </w:r>
      <w:r>
        <w:t>9</w:t>
      </w:r>
      <w:r w:rsidRPr="009E4F6E">
        <w:t>)</w:t>
      </w:r>
    </w:p>
    <w:p w14:paraId="5E6657D2" w14:textId="77777777" w:rsidR="0017453B" w:rsidRDefault="0017453B" w:rsidP="0017453B">
      <w:pPr>
        <w:ind w:left="1134" w:right="1134"/>
        <w:contextualSpacing/>
      </w:pPr>
    </w:p>
    <w:p w14:paraId="4FAEF4DC" w14:textId="77777777" w:rsidR="00914DCC" w:rsidRDefault="00914DCC" w:rsidP="0017453B">
      <w:pPr>
        <w:jc w:val="both"/>
      </w:pPr>
      <w:r w:rsidRPr="002A0EF6">
        <w:t>Tartışmalar devam ederken, hatmi çiçeğinin yaprakları üzerinde</w:t>
      </w:r>
      <w:r>
        <w:t xml:space="preserve"> hareketsiz duran </w:t>
      </w:r>
      <w:r w:rsidRPr="002A0EF6">
        <w:t xml:space="preserve">iri bir kelebek dikkatlerini çeker. Sıcaklığın bunaltıcı etkisine rağmen canlılığını ve zarafetini koruyan kelebeği, adeta doğanın </w:t>
      </w:r>
      <w:r>
        <w:t xml:space="preserve">kendilerine </w:t>
      </w:r>
      <w:r w:rsidRPr="002A0EF6">
        <w:t xml:space="preserve">bir mesajı olarak algılayan grup, köy yoluna düşmenin </w:t>
      </w:r>
      <w:r>
        <w:t>en doğrusu olduğuna</w:t>
      </w:r>
      <w:r w:rsidRPr="002A0EF6">
        <w:t xml:space="preserve"> inanır. </w:t>
      </w:r>
      <w:bookmarkStart w:id="41" w:name="_Hlk190986233"/>
      <w:r w:rsidRPr="00AB7629">
        <w:t>Köye vardıklarında, Yusuf’un durumu iyice kötüleşir. Köylüler yabancıların etrafına toplanır</w:t>
      </w:r>
      <w:r>
        <w:t xml:space="preserve">, aralarından bazıları iş için gelen </w:t>
      </w:r>
      <w:r w:rsidRPr="00FC686F">
        <w:rPr>
          <w:i/>
          <w:iCs/>
        </w:rPr>
        <w:t>dağlılar</w:t>
      </w:r>
      <w:r>
        <w:t xml:space="preserve">ın hem </w:t>
      </w:r>
      <w:r w:rsidRPr="00AB7629">
        <w:t>iş</w:t>
      </w:r>
      <w:r>
        <w:t xml:space="preserve"> bulamayıp aç </w:t>
      </w:r>
      <w:r>
        <w:lastRenderedPageBreak/>
        <w:t>kaldıklarını hem de</w:t>
      </w:r>
      <w:r w:rsidRPr="00AB7629">
        <w:t xml:space="preserve"> sıtmaya dayanamayıp öl</w:t>
      </w:r>
      <w:r>
        <w:t xml:space="preserve">düklerini </w:t>
      </w:r>
      <w:proofErr w:type="gramStart"/>
      <w:r>
        <w:t>ve  çok</w:t>
      </w:r>
      <w:proofErr w:type="gramEnd"/>
      <w:r>
        <w:t xml:space="preserve"> </w:t>
      </w:r>
      <w:r w:rsidRPr="00AB7629">
        <w:t xml:space="preserve">dayanıksız </w:t>
      </w:r>
      <w:r>
        <w:t>olduklarını söyler (</w:t>
      </w:r>
      <w:r w:rsidRPr="003844A0">
        <w:t xml:space="preserve">Kemal, 1982, </w:t>
      </w:r>
      <w:r>
        <w:t>s.60-61). Köydeki Cennet adlı yaşlı bir k</w:t>
      </w:r>
      <w:r w:rsidRPr="009E4F6E">
        <w:t>adın</w:t>
      </w:r>
      <w:r>
        <w:t>,</w:t>
      </w:r>
      <w:r w:rsidRPr="009E4F6E">
        <w:t xml:space="preserve"> </w:t>
      </w:r>
      <w:r>
        <w:t>Yusuf’un haline çok üzülür ve k</w:t>
      </w:r>
      <w:r w:rsidRPr="009E4F6E">
        <w:t xml:space="preserve">ırkların mekânı </w:t>
      </w:r>
      <w:proofErr w:type="spellStart"/>
      <w:r w:rsidRPr="009E4F6E">
        <w:t>hüyükte</w:t>
      </w:r>
      <w:r>
        <w:t>ki</w:t>
      </w:r>
      <w:proofErr w:type="spellEnd"/>
      <w:r w:rsidRPr="009E4F6E">
        <w:t xml:space="preserve"> nar ağacına gidip dua etmeleri hâlinde </w:t>
      </w:r>
      <w:r>
        <w:t>k</w:t>
      </w:r>
      <w:r w:rsidRPr="009E4F6E">
        <w:t xml:space="preserve">ırkların yüzü suyu hürmetine Yusuf’un iyileşeceğini söyler. </w:t>
      </w:r>
      <w:r>
        <w:t xml:space="preserve">Bu </w:t>
      </w:r>
      <w:r w:rsidRPr="00AD08BD">
        <w:t xml:space="preserve">andan itibaren kutsal nar ağacı efsanesi, grubun son umut kaynağı haline gelir. </w:t>
      </w:r>
      <w:r>
        <w:t>A</w:t>
      </w:r>
      <w:r w:rsidRPr="007359C8">
        <w:t>rkadaşların</w:t>
      </w:r>
      <w:r>
        <w:t xml:space="preserve"> </w:t>
      </w:r>
      <w:r w:rsidRPr="007359C8">
        <w:t>nar ağacının iyileştirici gücüne d</w:t>
      </w:r>
      <w:r>
        <w:t>uydukları</w:t>
      </w:r>
      <w:r w:rsidRPr="007359C8">
        <w:t xml:space="preserve"> inan</w:t>
      </w:r>
      <w:r>
        <w:t>ç</w:t>
      </w:r>
      <w:r w:rsidRPr="007359C8">
        <w:t xml:space="preserve">, metnin merkezindeki </w:t>
      </w:r>
      <w:proofErr w:type="spellStart"/>
      <w:r w:rsidRPr="007359C8">
        <w:t>mitik</w:t>
      </w:r>
      <w:proofErr w:type="spellEnd"/>
      <w:r w:rsidRPr="007359C8">
        <w:t xml:space="preserve"> </w:t>
      </w:r>
      <w:r>
        <w:t xml:space="preserve">anlatıyı </w:t>
      </w:r>
      <w:r w:rsidRPr="007359C8">
        <w:t>besler</w:t>
      </w:r>
      <w:r>
        <w:t>.</w:t>
      </w:r>
    </w:p>
    <w:p w14:paraId="48F2D466" w14:textId="77777777" w:rsidR="0017453B" w:rsidRPr="00AD08BD" w:rsidRDefault="0017453B" w:rsidP="0017453B">
      <w:pPr>
        <w:jc w:val="both"/>
      </w:pPr>
    </w:p>
    <w:p w14:paraId="5B8306A5" w14:textId="4CA2D509" w:rsidR="0017453B" w:rsidRPr="00D24F5F" w:rsidRDefault="00914DCC" w:rsidP="0017453B">
      <w:pPr>
        <w:jc w:val="both"/>
      </w:pPr>
      <w:r w:rsidRPr="00441D8E">
        <w:t>Âşık Ali, geceyi geçirdikleri köyde</w:t>
      </w:r>
      <w:r>
        <w:t>,</w:t>
      </w:r>
      <w:r w:rsidRPr="00441D8E">
        <w:t xml:space="preserve"> gün ağarana dek arkadaşlarına, daha önce hiç görmediği ve duymadığı nar ağacının dertlilere derman, işsizlere iş veren kutsal bir ağaç olduğuna dair onu</w:t>
      </w:r>
      <w:r w:rsidRPr="0041759E">
        <w:t xml:space="preserve"> </w:t>
      </w:r>
      <w:r w:rsidRPr="00441D8E">
        <w:t xml:space="preserve">yücelten türküler söyleyip efsaneler anlatır. </w:t>
      </w:r>
      <w:proofErr w:type="spellStart"/>
      <w:r w:rsidRPr="0041759E">
        <w:t>Memet</w:t>
      </w:r>
      <w:proofErr w:type="spellEnd"/>
      <w:r w:rsidRPr="0041759E">
        <w:t xml:space="preserve">, türküyü nereden çıkardığını sorunca </w:t>
      </w:r>
      <w:r w:rsidRPr="00441D8E">
        <w:t>Â</w:t>
      </w:r>
      <w:r w:rsidRPr="0041759E">
        <w:t>şık Ali, "</w:t>
      </w:r>
      <w:r w:rsidRPr="00AD08BD">
        <w:t>b</w:t>
      </w:r>
      <w:r w:rsidRPr="0041759E">
        <w:t>en çıkarmadım, hak çıkardı," diye yanıtla</w:t>
      </w:r>
      <w:r w:rsidRPr="00AD08BD">
        <w:t>r (</w:t>
      </w:r>
      <w:r w:rsidRPr="003844A0">
        <w:t xml:space="preserve">Kemal, 1982, </w:t>
      </w:r>
      <w:r w:rsidRPr="00AD08BD">
        <w:t>s.66)</w:t>
      </w:r>
      <w:r w:rsidRPr="0041759E">
        <w:t xml:space="preserve">. </w:t>
      </w:r>
      <w:r w:rsidRPr="00441D8E">
        <w:t xml:space="preserve">Bu sözler, içlerinde kök salan inancı </w:t>
      </w:r>
      <w:r>
        <w:t xml:space="preserve">daha da </w:t>
      </w:r>
      <w:r w:rsidRPr="00441D8E">
        <w:t>perçinler</w:t>
      </w:r>
      <w:r>
        <w:t xml:space="preserve">; </w:t>
      </w:r>
      <w:r w:rsidRPr="007359C8">
        <w:t xml:space="preserve">ağaca ve ağacın kutsallığına olan inanç </w:t>
      </w:r>
      <w:r w:rsidRPr="00441D8E">
        <w:t>tüm grubu etkisi altına</w:t>
      </w:r>
      <w:r>
        <w:t xml:space="preserve"> alır ve</w:t>
      </w:r>
      <w:r w:rsidRPr="00441D8E">
        <w:t xml:space="preserve"> </w:t>
      </w:r>
      <w:r w:rsidRPr="007359C8">
        <w:t>grubun kolektif umudunu şekillendirir</w:t>
      </w:r>
      <w:r>
        <w:t xml:space="preserve">. </w:t>
      </w:r>
      <w:r w:rsidRPr="00D53020">
        <w:t xml:space="preserve">Geleneksel anlatılar ve inanışların rehberliğinde, </w:t>
      </w:r>
      <w:proofErr w:type="spellStart"/>
      <w:r w:rsidRPr="00D53020">
        <w:t>Memet</w:t>
      </w:r>
      <w:proofErr w:type="spellEnd"/>
      <w:r w:rsidRPr="00D53020">
        <w:t xml:space="preserve"> ve arkadaşları ağacın şifalı ve kutsal olduğuna; eğer onu bulurlarsa Yusuf’un iyileşeceğine ve iş bulacaklarına yürekten inanırlar.</w:t>
      </w:r>
      <w:r>
        <w:t xml:space="preserve"> </w:t>
      </w:r>
      <w:r w:rsidRPr="00AD08BD">
        <w:t xml:space="preserve">Hatta Cennet </w:t>
      </w:r>
      <w:r>
        <w:t>k</w:t>
      </w:r>
      <w:r w:rsidRPr="00D24F5F">
        <w:t xml:space="preserve">adın, ağacın insanlara küstüğünü ve bir gece uçup gittiğini söylediğinde, </w:t>
      </w:r>
      <w:proofErr w:type="spellStart"/>
      <w:r w:rsidRPr="00D24F5F">
        <w:t>Memet</w:t>
      </w:r>
      <w:proofErr w:type="spellEnd"/>
      <w:r w:rsidRPr="00D24F5F">
        <w:t xml:space="preserve"> buna şiddetle karşı çıkar ve adeta gürleyerek, “</w:t>
      </w:r>
      <w:r>
        <w:t>k</w:t>
      </w:r>
      <w:r w:rsidRPr="00D24F5F">
        <w:t>üsemez” diye haykırır</w:t>
      </w:r>
      <w:r>
        <w:t xml:space="preserve"> (</w:t>
      </w:r>
      <w:r w:rsidRPr="003844A0">
        <w:t xml:space="preserve">Kemal, 1982, </w:t>
      </w:r>
      <w:r>
        <w:t>s.70)</w:t>
      </w:r>
      <w:r w:rsidRPr="00D24F5F">
        <w:t>. İnsanların o ağaca duyduğu ihtiyaç öylesine büyüktür ki, yokluğunu kabullenmek imkânsız</w:t>
      </w:r>
      <w:r>
        <w:t xml:space="preserve"> hale gelir. </w:t>
      </w:r>
      <w:r w:rsidRPr="00D24F5F">
        <w:t xml:space="preserve">Sonunda kadın, onları köyün dışına çıkarır ve yükselen Anavarza Kalesi’ni işaret ederek </w:t>
      </w:r>
      <w:r>
        <w:t>ağacın orada olduğunu söyler.</w:t>
      </w:r>
    </w:p>
    <w:p w14:paraId="0F33E18F" w14:textId="160C947A" w:rsidR="00914DCC" w:rsidRDefault="00914DCC" w:rsidP="0017453B">
      <w:pPr>
        <w:ind w:left="1134" w:right="1134"/>
        <w:contextualSpacing/>
      </w:pPr>
      <w:r>
        <w:t xml:space="preserve">“‘Sen onun bize yerini söyle,’ dedi </w:t>
      </w:r>
      <w:proofErr w:type="spellStart"/>
      <w:r>
        <w:t>Hösük</w:t>
      </w:r>
      <w:proofErr w:type="spellEnd"/>
      <w:r>
        <w:t xml:space="preserve"> soluğu kabararak. ‘Biz o ağacı görmeli, ona halımızı </w:t>
      </w:r>
      <w:proofErr w:type="spellStart"/>
      <w:r>
        <w:t>arzetmeliyiz</w:t>
      </w:r>
      <w:proofErr w:type="spellEnd"/>
      <w:r>
        <w:t xml:space="preserve">. İsterlerse kökünden kesmiş olsunlar o ağacı, köküne </w:t>
      </w:r>
      <w:proofErr w:type="spellStart"/>
      <w:r>
        <w:t>arzederiz</w:t>
      </w:r>
      <w:proofErr w:type="spellEnd"/>
      <w:r>
        <w:t xml:space="preserve"> halımızı. İsterse bütün kökünü, dalını, gövdesini topraktan alsın çekip gitsin, kökünün yerine </w:t>
      </w:r>
      <w:proofErr w:type="spellStart"/>
      <w:r>
        <w:t>arzederiz</w:t>
      </w:r>
      <w:proofErr w:type="spellEnd"/>
      <w:r>
        <w:t xml:space="preserve"> halımızı. Yeter ki o </w:t>
      </w:r>
      <w:proofErr w:type="spellStart"/>
      <w:r>
        <w:t>hüyüğü</w:t>
      </w:r>
      <w:proofErr w:type="spellEnd"/>
      <w:r>
        <w:t xml:space="preserve"> bulalım da bir gece o nar ağacının altında uyuyalım.’</w:t>
      </w:r>
    </w:p>
    <w:p w14:paraId="5460D38F" w14:textId="7BA8CF61" w:rsidR="00914DCC" w:rsidRDefault="00914DCC" w:rsidP="0017453B">
      <w:pPr>
        <w:ind w:left="1134" w:right="1134"/>
        <w:contextualSpacing/>
      </w:pPr>
      <w:r>
        <w:t>‘Eğer küsüp gitmişse kutsal nar ağacı, mademki kutsal bir ağaçtır, onun makamına varıp bir yüz sürersek, bizim derdimize derman olmağa gene gelir. Bizim derdimize derman olunca da başını alır gene gider, eğer küsmüşse...’</w:t>
      </w:r>
    </w:p>
    <w:p w14:paraId="21A10006" w14:textId="77777777" w:rsidR="00914DCC" w:rsidRDefault="00914DCC" w:rsidP="0017453B">
      <w:pPr>
        <w:ind w:left="1134" w:right="1134"/>
        <w:contextualSpacing/>
      </w:pPr>
      <w:r>
        <w:t xml:space="preserve">‘Gelir,’ dedi </w:t>
      </w:r>
      <w:proofErr w:type="spellStart"/>
      <w:r>
        <w:t>Hösük</w:t>
      </w:r>
      <w:proofErr w:type="spellEnd"/>
      <w:r>
        <w:t xml:space="preserve">. ‘Eğer küsüp gitmişse </w:t>
      </w:r>
      <w:proofErr w:type="gramStart"/>
      <w:r>
        <w:t>de,</w:t>
      </w:r>
      <w:proofErr w:type="gramEnd"/>
      <w:r>
        <w:t xml:space="preserve"> gene gelir.’</w:t>
      </w:r>
    </w:p>
    <w:p w14:paraId="388AAF4F" w14:textId="1628ABE2" w:rsidR="00914DCC" w:rsidRDefault="00914DCC" w:rsidP="0017453B">
      <w:pPr>
        <w:ind w:left="1134" w:right="1134"/>
        <w:contextualSpacing/>
      </w:pPr>
      <w:r>
        <w:t xml:space="preserve">‘Gelir,’ diye sevinerek konuştu </w:t>
      </w:r>
      <w:proofErr w:type="spellStart"/>
      <w:r>
        <w:t>Memet</w:t>
      </w:r>
      <w:proofErr w:type="spellEnd"/>
      <w:r>
        <w:t xml:space="preserve"> çocuk.</w:t>
      </w:r>
    </w:p>
    <w:p w14:paraId="3B744E54" w14:textId="3156C974" w:rsidR="00914DCC" w:rsidRDefault="00914DCC" w:rsidP="0017453B">
      <w:pPr>
        <w:ind w:left="1134" w:right="1134"/>
        <w:contextualSpacing/>
      </w:pPr>
      <w:r>
        <w:t>‘Gelir, hiç gelmez olur mu?’ diye inledi Yusuf.</w:t>
      </w:r>
    </w:p>
    <w:p w14:paraId="77EDC42E" w14:textId="697B4480" w:rsidR="00914DCC" w:rsidRDefault="00914DCC" w:rsidP="0017453B">
      <w:pPr>
        <w:ind w:left="1134" w:right="1134"/>
        <w:contextualSpacing/>
      </w:pPr>
      <w:r>
        <w:t>‘Gelir, gelir,’ dedi Aşık Ali. ‘Kutsal narlar, iyi kimseler her zaman iyi olurlar.’</w:t>
      </w:r>
    </w:p>
    <w:p w14:paraId="778C067A" w14:textId="77777777" w:rsidR="00914DCC" w:rsidRDefault="00914DCC" w:rsidP="0017453B">
      <w:pPr>
        <w:ind w:left="1134" w:right="1134"/>
        <w:contextualSpacing/>
      </w:pPr>
      <w:r>
        <w:t xml:space="preserve">‘İyi olurlar,’ dedi yaşlı kadın.” </w:t>
      </w:r>
      <w:r w:rsidRPr="009E4F6E">
        <w:t>(</w:t>
      </w:r>
      <w:r>
        <w:t xml:space="preserve">Kemal, 1982, </w:t>
      </w:r>
      <w:r w:rsidRPr="009E4F6E">
        <w:t>s.</w:t>
      </w:r>
      <w:r>
        <w:t>70-71</w:t>
      </w:r>
      <w:r w:rsidRPr="009E4F6E">
        <w:t>)</w:t>
      </w:r>
    </w:p>
    <w:p w14:paraId="5B97A8CE" w14:textId="77777777" w:rsidR="0017453B" w:rsidRDefault="0017453B" w:rsidP="0017453B">
      <w:pPr>
        <w:ind w:left="1134" w:right="1134"/>
        <w:contextualSpacing/>
      </w:pPr>
    </w:p>
    <w:p w14:paraId="51E17A91" w14:textId="77777777" w:rsidR="00914DCC" w:rsidRDefault="00914DCC" w:rsidP="0017453B">
      <w:pPr>
        <w:jc w:val="both"/>
      </w:pPr>
      <w:r w:rsidRPr="00257170">
        <w:t>Beş arkadaş, Çukurova’da iki ayın sonunda, Molla Hacı adlı bir köylüden nar ağacının bulunduğu yeri öğrenirler. Molla Hacı, geçmişte ağacın köylerine çok iyiliği dokunduğunu, ancak zamanla kuruduğunu belirtir. Bu da aslında toplumsal yozlaşmaya, insanla doğa arasındaki uyumun bozulmasına bağlanır.</w:t>
      </w:r>
    </w:p>
    <w:p w14:paraId="31A430D0" w14:textId="77777777" w:rsidR="0017453B" w:rsidRPr="00257170" w:rsidRDefault="0017453B" w:rsidP="0017453B">
      <w:pPr>
        <w:jc w:val="both"/>
      </w:pPr>
    </w:p>
    <w:p w14:paraId="5227FD71" w14:textId="77777777" w:rsidR="00914DCC" w:rsidRDefault="00914DCC" w:rsidP="0017453B">
      <w:pPr>
        <w:ind w:left="1134" w:right="1134"/>
        <w:contextualSpacing/>
      </w:pPr>
      <w:r>
        <w:t>“</w:t>
      </w:r>
      <w:r w:rsidRPr="00A95CE1">
        <w:t>Hacı:</w:t>
      </w:r>
      <w:r w:rsidRPr="00A95CE1">
        <w:br/>
      </w:r>
      <w:r>
        <w:t>‘</w:t>
      </w:r>
      <w:r w:rsidRPr="00A95CE1">
        <w:t>Bilirim,</w:t>
      </w:r>
      <w:r>
        <w:t>’</w:t>
      </w:r>
      <w:r w:rsidRPr="00A95CE1">
        <w:t xml:space="preserve"> dedi. </w:t>
      </w:r>
      <w:r>
        <w:t>‘</w:t>
      </w:r>
      <w:r w:rsidRPr="00A95CE1">
        <w:t>O nar ağacının bana, bizim köye çok iyiliği dokundu. Ama sonunda da o kurudu.</w:t>
      </w:r>
      <w:r>
        <w:t xml:space="preserve">’ </w:t>
      </w:r>
      <w:r w:rsidRPr="00A95CE1">
        <w:t>Kolunu kaldırıp boz topraklı bir engebeyi gösterdi:</w:t>
      </w:r>
      <w:r w:rsidRPr="00A95CE1">
        <w:br/>
      </w:r>
      <w:r>
        <w:t>‘</w:t>
      </w:r>
      <w:r w:rsidRPr="00A95CE1">
        <w:t>Bakın, orada a</w:t>
      </w:r>
      <w:r>
        <w:t>ğar</w:t>
      </w:r>
      <w:r w:rsidRPr="00A95CE1">
        <w:t xml:space="preserve">an tepenin üstündeydi o nar ağacı. Bir çınar kadar </w:t>
      </w:r>
      <w:r w:rsidRPr="00A95CE1">
        <w:lastRenderedPageBreak/>
        <w:t>büyük.</w:t>
      </w:r>
      <w:r>
        <w:t xml:space="preserve"> </w:t>
      </w:r>
      <w:r w:rsidRPr="00A95CE1">
        <w:t>Yaz bahar aylarında çiçeklenince, ta uzaklardan bir top ya</w:t>
      </w:r>
      <w:r>
        <w:t>lım</w:t>
      </w:r>
      <w:r w:rsidRPr="00A95CE1">
        <w:t xml:space="preserve"> gibi par</w:t>
      </w:r>
      <w:r>
        <w:t>lar</w:t>
      </w:r>
      <w:r w:rsidRPr="00A95CE1">
        <w:t>dı kızıltısı... Onun yanında, altında, onun toprağında bir gece uyuyana Allah ne dilerse verirdi. Bakın orada, o kadar uzakta değil. İsterseniz bugün burada bizimle kalın..."</w:t>
      </w:r>
      <w:r>
        <w:t xml:space="preserve"> </w:t>
      </w:r>
      <w:r w:rsidRPr="00A95CE1">
        <w:t>(Kemal, 1982, s.1</w:t>
      </w:r>
      <w:r>
        <w:t>13</w:t>
      </w:r>
      <w:r w:rsidRPr="00A95CE1">
        <w:t>)</w:t>
      </w:r>
    </w:p>
    <w:p w14:paraId="01E75C7A" w14:textId="77777777" w:rsidR="0017453B" w:rsidRDefault="0017453B" w:rsidP="0017453B">
      <w:pPr>
        <w:ind w:left="1134" w:right="1134"/>
        <w:contextualSpacing/>
      </w:pPr>
    </w:p>
    <w:p w14:paraId="6332C00D" w14:textId="38FFC8C7" w:rsidR="00914DCC" w:rsidRDefault="00914DCC" w:rsidP="0017453B">
      <w:pPr>
        <w:jc w:val="both"/>
      </w:pPr>
      <w:r w:rsidRPr="002402AD">
        <w:t xml:space="preserve">Tarif edilen yerde ne yeşil bir dal ne </w:t>
      </w:r>
      <w:r>
        <w:t xml:space="preserve">de </w:t>
      </w:r>
      <w:r w:rsidRPr="002402AD">
        <w:t>yaprak vardır, sadece orta yerde köklerini bütün tepeye yaymış</w:t>
      </w:r>
      <w:r>
        <w:t>,</w:t>
      </w:r>
      <w:r w:rsidRPr="002402AD">
        <w:t xml:space="preserve"> kalın bir ağaç gövdesi görürler. </w:t>
      </w:r>
      <w:r w:rsidRPr="009D13E0">
        <w:t>Aşık Ali ve yanındakiler, kutsal say</w:t>
      </w:r>
      <w:r>
        <w:t>ılan</w:t>
      </w:r>
      <w:r w:rsidRPr="009D13E0">
        <w:t xml:space="preserve"> nar ağacının kökün</w:t>
      </w:r>
      <w:r>
        <w:t>e</w:t>
      </w:r>
      <w:r w:rsidRPr="009D13E0">
        <w:t xml:space="preserve"> dua ederler. Ancak </w:t>
      </w:r>
      <w:proofErr w:type="spellStart"/>
      <w:r w:rsidRPr="009D13E0">
        <w:t>Memet</w:t>
      </w:r>
      <w:proofErr w:type="spellEnd"/>
      <w:r w:rsidRPr="009D13E0">
        <w:t xml:space="preserve"> </w:t>
      </w:r>
      <w:r>
        <w:t>Ç</w:t>
      </w:r>
      <w:r w:rsidRPr="009D13E0">
        <w:t>ocuk, ağacın artık ölü olduğunu</w:t>
      </w:r>
      <w:r>
        <w:t xml:space="preserve">, kendisine </w:t>
      </w:r>
      <w:proofErr w:type="spellStart"/>
      <w:r>
        <w:t>hayretmeyen</w:t>
      </w:r>
      <w:proofErr w:type="spellEnd"/>
      <w:r>
        <w:t xml:space="preserve"> ağacın onlara da hayrı olmayacağını </w:t>
      </w:r>
      <w:r w:rsidRPr="009D13E0">
        <w:t xml:space="preserve">söyleyerek duaya katılmaz. Bu sözleri diğerleri tarafından tepkiyle karşılanır. </w:t>
      </w:r>
      <w:r>
        <w:t xml:space="preserve">Geceyi </w:t>
      </w:r>
      <w:proofErr w:type="spellStart"/>
      <w:r w:rsidRPr="009D13E0">
        <w:t>hüyükte</w:t>
      </w:r>
      <w:proofErr w:type="spellEnd"/>
      <w:r>
        <w:t xml:space="preserve"> geçiren grup, gece yarısına kadar ağacın </w:t>
      </w:r>
      <w:r w:rsidRPr="00FE5460">
        <w:t>kerametlerinden söz eder. S</w:t>
      </w:r>
      <w:r w:rsidRPr="009D13E0">
        <w:t>abah uyan</w:t>
      </w:r>
      <w:r w:rsidRPr="00FE5460">
        <w:t xml:space="preserve">dıklarında </w:t>
      </w:r>
      <w:proofErr w:type="spellStart"/>
      <w:r w:rsidRPr="009D13E0">
        <w:t>Memet</w:t>
      </w:r>
      <w:proofErr w:type="spellEnd"/>
      <w:r w:rsidRPr="009D13E0">
        <w:t xml:space="preserve"> çocuğun</w:t>
      </w:r>
      <w:r w:rsidRPr="00FE5460">
        <w:t xml:space="preserve">, </w:t>
      </w:r>
      <w:proofErr w:type="spellStart"/>
      <w:r w:rsidRPr="009D13E0">
        <w:t>Hösük</w:t>
      </w:r>
      <w:r w:rsidRPr="00FE5460">
        <w:t>’ün</w:t>
      </w:r>
      <w:proofErr w:type="spellEnd"/>
      <w:r w:rsidRPr="00FE5460">
        <w:t xml:space="preserve"> </w:t>
      </w:r>
      <w:r w:rsidRPr="009D13E0">
        <w:t xml:space="preserve">hançerini de </w:t>
      </w:r>
      <w:r w:rsidRPr="00FE5460">
        <w:t>alarak gitmiş olduğunu görürler. Bu duruma b</w:t>
      </w:r>
      <w:r w:rsidRPr="009D13E0">
        <w:t xml:space="preserve">ir süre </w:t>
      </w:r>
      <w:r w:rsidRPr="00FE5460">
        <w:t>şaşırıp kalsalar da</w:t>
      </w:r>
      <w:r w:rsidRPr="009D13E0">
        <w:t xml:space="preserve"> </w:t>
      </w:r>
      <w:r w:rsidRPr="00FE5460">
        <w:t>kaderlerine razı bir şekilde</w:t>
      </w:r>
      <w:r>
        <w:t>,</w:t>
      </w:r>
      <w:r w:rsidRPr="009D13E0">
        <w:t xml:space="preserve"> Binboğalar yönüne doğru</w:t>
      </w:r>
      <w:r w:rsidRPr="00FE5460">
        <w:t xml:space="preserve"> </w:t>
      </w:r>
      <w:r w:rsidRPr="009D13E0">
        <w:t>yollarına devam ederler</w:t>
      </w:r>
      <w:r w:rsidRPr="00FE5460">
        <w:t xml:space="preserve">. </w:t>
      </w:r>
      <w:r w:rsidRPr="009D13E0">
        <w:t xml:space="preserve">Yolculuk sırasında </w:t>
      </w:r>
      <w:proofErr w:type="spellStart"/>
      <w:r w:rsidRPr="009D13E0">
        <w:t>Memet</w:t>
      </w:r>
      <w:proofErr w:type="spellEnd"/>
      <w:r w:rsidRPr="009D13E0">
        <w:t xml:space="preserve">, kurban edilen sarı öküzünden </w:t>
      </w:r>
      <w:r>
        <w:t xml:space="preserve">söz açar; </w:t>
      </w:r>
      <w:r w:rsidRPr="009D13E0">
        <w:t xml:space="preserve">ancak Aşık Ali bu sözlere yanıt vermez ve yürüyüş </w:t>
      </w:r>
      <w:r>
        <w:t xml:space="preserve">sessizce </w:t>
      </w:r>
      <w:r w:rsidRPr="009D13E0">
        <w:t>sürer.</w:t>
      </w:r>
    </w:p>
    <w:p w14:paraId="708D886E" w14:textId="77777777" w:rsidR="009F0AE3" w:rsidRPr="00C86141" w:rsidRDefault="009F0AE3" w:rsidP="0017453B">
      <w:pPr>
        <w:jc w:val="both"/>
      </w:pPr>
    </w:p>
    <w:p w14:paraId="2CFE910F" w14:textId="47C651CF" w:rsidR="00914DCC" w:rsidRPr="009F0AE3" w:rsidRDefault="00914DCC" w:rsidP="0017453B">
      <w:pPr>
        <w:rPr>
          <w:b/>
          <w:bCs/>
        </w:rPr>
      </w:pPr>
      <w:r w:rsidRPr="009F0AE3">
        <w:rPr>
          <w:b/>
          <w:bCs/>
        </w:rPr>
        <w:t>Anlatının Gelişimi Açısından Karakterler</w:t>
      </w:r>
    </w:p>
    <w:p w14:paraId="3D0FBA3A" w14:textId="1E3D5209" w:rsidR="00914DCC" w:rsidRDefault="00914DCC" w:rsidP="0017453B">
      <w:pPr>
        <w:jc w:val="both"/>
      </w:pPr>
      <w:proofErr w:type="spellStart"/>
      <w:r w:rsidRPr="00A66697">
        <w:t>Hüyükteki</w:t>
      </w:r>
      <w:proofErr w:type="spellEnd"/>
      <w:r w:rsidRPr="00A66697">
        <w:t xml:space="preserve"> Nar Ağacı romanındaki karakterler, Çukurova'daki zorlu yaşam koşulları ve umut arayışları sürecinde hem psikolojik hem de bilişsel olarak önemli değişimler yaşarlar. Bu değişimler, karakterlerin dünya görüşlerini, inançlarını ve davranışlarını derinden etkiler.</w:t>
      </w:r>
    </w:p>
    <w:p w14:paraId="7FB22C3E" w14:textId="77777777" w:rsidR="0017453B" w:rsidRPr="00A66697" w:rsidRDefault="0017453B" w:rsidP="0017453B">
      <w:pPr>
        <w:jc w:val="both"/>
      </w:pPr>
    </w:p>
    <w:p w14:paraId="1F680B61" w14:textId="3180E2F6" w:rsidR="00914DCC" w:rsidRDefault="00914DCC" w:rsidP="0017453B">
      <w:pPr>
        <w:jc w:val="both"/>
      </w:pPr>
      <w:r w:rsidRPr="00A66697">
        <w:t xml:space="preserve">Romanda </w:t>
      </w:r>
      <w:proofErr w:type="spellStart"/>
      <w:r w:rsidRPr="00A66697">
        <w:t>Memet</w:t>
      </w:r>
      <w:proofErr w:type="spellEnd"/>
      <w:r w:rsidRPr="00A66697">
        <w:t xml:space="preserve"> karakteri, grubun lideri ve merkez figürü olarak önemli bir rol oynar. </w:t>
      </w:r>
      <w:proofErr w:type="spellStart"/>
      <w:r w:rsidRPr="00A66697">
        <w:t>Memet</w:t>
      </w:r>
      <w:proofErr w:type="spellEnd"/>
      <w:r w:rsidRPr="00A66697">
        <w:t>, yoksulluk ve zorluklar karşısında umudunu kaybetmeyen, dirençli ve iyimser bir karakterdir</w:t>
      </w:r>
      <w:r>
        <w:t>. Anlatı boyunca</w:t>
      </w:r>
      <w:r w:rsidRPr="00A66697">
        <w:t xml:space="preserve"> diğerlerine moral verir ve iş bulacaklarına dair inancını korur. </w:t>
      </w:r>
      <w:proofErr w:type="spellStart"/>
      <w:r w:rsidRPr="00A66697">
        <w:t>Memet</w:t>
      </w:r>
      <w:proofErr w:type="spellEnd"/>
      <w:r w:rsidRPr="00A66697">
        <w:t>, ailesine karşı derin bir bağlılık ve sorumluluk duyar. Çukurova'ya gitme nedeni de ailesin</w:t>
      </w:r>
      <w:r>
        <w:t>in geçimini sağlamaktır. Bu açıdan onun i</w:t>
      </w:r>
      <w:r w:rsidRPr="00A66697">
        <w:t>ş</w:t>
      </w:r>
      <w:r>
        <w:t xml:space="preserve"> aramaktaki</w:t>
      </w:r>
      <w:r w:rsidRPr="00A66697">
        <w:t xml:space="preserve"> ısrarı</w:t>
      </w:r>
      <w:r>
        <w:t xml:space="preserve">, </w:t>
      </w:r>
      <w:r w:rsidRPr="00A66697">
        <w:t xml:space="preserve">yalnızca ekonomik bir gereklilik değil, aynı zamanda insan onurunun korunmasına dair bir mücadeledir. Başlangıçta iyimser, umutlu ve lider ruhlu olan </w:t>
      </w:r>
      <w:proofErr w:type="spellStart"/>
      <w:r w:rsidRPr="00A66697">
        <w:t>Memet</w:t>
      </w:r>
      <w:proofErr w:type="spellEnd"/>
      <w:r w:rsidRPr="00A66697">
        <w:t xml:space="preserve">, Çukurova'daki acımasızlıkla karşılaştıkça hayal kırıklığına uğrar. Özellikle ablasının onu tanımamazlıktan gelmesi ve aşağılaması </w:t>
      </w:r>
      <w:proofErr w:type="spellStart"/>
      <w:r w:rsidRPr="00A66697">
        <w:t>Memet</w:t>
      </w:r>
      <w:proofErr w:type="spellEnd"/>
      <w:r w:rsidRPr="00A66697">
        <w:t xml:space="preserve"> için büyük bir hayal kırıklığı olur. Sarı öküzüne yapılanlar onu derinden etkiler.</w:t>
      </w:r>
    </w:p>
    <w:p w14:paraId="622E0449" w14:textId="77777777" w:rsidR="0017453B" w:rsidRPr="00A66697" w:rsidRDefault="0017453B" w:rsidP="0017453B">
      <w:pPr>
        <w:jc w:val="both"/>
      </w:pPr>
    </w:p>
    <w:p w14:paraId="75894693" w14:textId="77777777" w:rsidR="00914DCC" w:rsidRDefault="00914DCC" w:rsidP="0017453B">
      <w:pPr>
        <w:jc w:val="both"/>
      </w:pPr>
      <w:proofErr w:type="spellStart"/>
      <w:proofErr w:type="gramStart"/>
      <w:r w:rsidRPr="00A66697">
        <w:t>Memet</w:t>
      </w:r>
      <w:proofErr w:type="spellEnd"/>
      <w:r w:rsidRPr="00A66697">
        <w:t>,</w:t>
      </w:r>
      <w:proofErr w:type="gramEnd"/>
      <w:r w:rsidRPr="00A66697">
        <w:t xml:space="preserve"> hem inançlı hem de batıl inançlara sahip bir karakterdir. Nar ağacının iyileştirici gücüne inanır ve bu ağacı bulmak için çabalar. Aynı zamanda, yüreğinin kendisine doğru yolu göstereceğine inanır ve kararlarını bu doğrultuda alır. </w:t>
      </w:r>
      <w:proofErr w:type="spellStart"/>
      <w:r w:rsidRPr="00A66697">
        <w:t>Memet</w:t>
      </w:r>
      <w:proofErr w:type="spellEnd"/>
      <w:r w:rsidRPr="00A66697">
        <w:t xml:space="preserve">, grubun lideri olmasına rağmen, zaman zaman kararsızlıklar yaşar ve arkadaşlarının fikirlerinden etkilenir. Özellikle </w:t>
      </w:r>
      <w:proofErr w:type="spellStart"/>
      <w:r w:rsidRPr="00A66697">
        <w:t>Hösük'ün</w:t>
      </w:r>
      <w:proofErr w:type="spellEnd"/>
      <w:r w:rsidRPr="00A66697">
        <w:t xml:space="preserve"> eleştirileri karşısında tereddütler yaşar. Ancak, sonunda kendi inançlarına ve hedeflerine bağlı kalmaya çalışır.</w:t>
      </w:r>
    </w:p>
    <w:p w14:paraId="5F06F929" w14:textId="77777777" w:rsidR="00021193" w:rsidRPr="00A66697" w:rsidRDefault="00021193" w:rsidP="0017453B">
      <w:pPr>
        <w:jc w:val="both"/>
      </w:pPr>
    </w:p>
    <w:p w14:paraId="2E657A67" w14:textId="77777777" w:rsidR="00914DCC" w:rsidRDefault="00914DCC" w:rsidP="0017453B">
      <w:pPr>
        <w:jc w:val="both"/>
      </w:pPr>
      <w:r w:rsidRPr="00A66697">
        <w:t xml:space="preserve">Sonuç olarak </w:t>
      </w:r>
      <w:proofErr w:type="spellStart"/>
      <w:r w:rsidRPr="00A66697">
        <w:t>Memet</w:t>
      </w:r>
      <w:proofErr w:type="spellEnd"/>
      <w:r w:rsidRPr="00A66697">
        <w:t xml:space="preserve"> karakteri, Çukurova'daki yoksul ve sömürülen insanların umutlarını, hayallerini ve çaresizliklerini temsil eder. Nar ağacını bulmak, onun için bir kurtuluş yolu, bir mucize beklentisidir. Onun etrafında gelişen olaylar, Çukurova'nın </w:t>
      </w:r>
      <w:proofErr w:type="spellStart"/>
      <w:r w:rsidRPr="00A66697">
        <w:t>sosyo</w:t>
      </w:r>
      <w:proofErr w:type="spellEnd"/>
      <w:r w:rsidRPr="00A66697">
        <w:t xml:space="preserve">-ekonomik yapısını ve insan ilişkilerini anlamak için önemli bir pencere sunar. Grubun lideri olarak </w:t>
      </w:r>
      <w:proofErr w:type="spellStart"/>
      <w:r w:rsidRPr="00A66697">
        <w:t>Memet</w:t>
      </w:r>
      <w:proofErr w:type="spellEnd"/>
      <w:r w:rsidRPr="00A66697">
        <w:t xml:space="preserve">, sadece kendi değil, aynı zamanda arkadaşlarının da umutlarını taşır ve onların hayatta kalma mücadelesinde önemli bir rol oynar. Romanın sonunda, </w:t>
      </w:r>
      <w:proofErr w:type="spellStart"/>
      <w:r w:rsidRPr="00A66697">
        <w:t>Memet'in</w:t>
      </w:r>
      <w:proofErr w:type="spellEnd"/>
      <w:r w:rsidRPr="00A66697">
        <w:t xml:space="preserve"> inatçılığı ve ısrarcı tutumu azalır, yerini kabullenmeye bırakır. Bu durum, </w:t>
      </w:r>
      <w:proofErr w:type="spellStart"/>
      <w:r w:rsidRPr="00A66697">
        <w:t>Memet'in</w:t>
      </w:r>
      <w:proofErr w:type="spellEnd"/>
      <w:r w:rsidRPr="00A66697">
        <w:t xml:space="preserve"> psikolojik olarak olgunlaştığını ve yaşamın zorluklarını anlamaya başladığını gösterir.</w:t>
      </w:r>
    </w:p>
    <w:p w14:paraId="502815E5" w14:textId="77777777" w:rsidR="00021193" w:rsidRPr="00A66697" w:rsidRDefault="00021193" w:rsidP="0017453B">
      <w:pPr>
        <w:jc w:val="both"/>
      </w:pPr>
    </w:p>
    <w:p w14:paraId="061584C8" w14:textId="388FB9FB" w:rsidR="00914DCC" w:rsidRDefault="00914DCC" w:rsidP="0017453B">
      <w:pPr>
        <w:jc w:val="both"/>
      </w:pPr>
      <w:proofErr w:type="spellStart"/>
      <w:r w:rsidRPr="00A66697">
        <w:t>Hösük</w:t>
      </w:r>
      <w:proofErr w:type="spellEnd"/>
      <w:r w:rsidRPr="00A66697">
        <w:t xml:space="preserve"> karakteri,</w:t>
      </w:r>
      <w:r>
        <w:t xml:space="preserve"> romanda</w:t>
      </w:r>
      <w:r w:rsidRPr="00A66697">
        <w:t xml:space="preserve"> gerçekçi, öfkeli, isyankâr ve pratik zekâlı bir figür olarak yer </w:t>
      </w:r>
      <w:r>
        <w:t xml:space="preserve">alır. </w:t>
      </w:r>
      <w:proofErr w:type="spellStart"/>
      <w:r w:rsidRPr="00A66697">
        <w:lastRenderedPageBreak/>
        <w:t>Hösük</w:t>
      </w:r>
      <w:proofErr w:type="spellEnd"/>
      <w:r w:rsidRPr="00A66697">
        <w:t xml:space="preserve">, fiziksel olarak güçlü ve dayanıklı biridir. Bu özelliği, Çukurova'daki zorlu yaşam koşullarında hayatta kalmasına yardımcı olur. </w:t>
      </w:r>
      <w:r>
        <w:t xml:space="preserve"> </w:t>
      </w:r>
      <w:proofErr w:type="spellStart"/>
      <w:r w:rsidRPr="00A66697">
        <w:t>Hösük</w:t>
      </w:r>
      <w:proofErr w:type="spellEnd"/>
      <w:r w:rsidRPr="00A66697">
        <w:t xml:space="preserve">, </w:t>
      </w:r>
      <w:proofErr w:type="spellStart"/>
      <w:r w:rsidRPr="00A66697">
        <w:t>Memet'in</w:t>
      </w:r>
      <w:proofErr w:type="spellEnd"/>
      <w:r w:rsidRPr="00A66697">
        <w:t xml:space="preserve"> iyimserliğinin aksine, daha gerçekçi ve pragmatik bir yaklaşıma sahiptir. Çukurova'ya dair hayallere kapılmaz ve karşılaştıkları zorluklara karşı pratik çözümler arar.</w:t>
      </w:r>
      <w:r>
        <w:t xml:space="preserve"> </w:t>
      </w:r>
      <w:proofErr w:type="spellStart"/>
      <w:r w:rsidRPr="00A66697">
        <w:t>Hösük</w:t>
      </w:r>
      <w:proofErr w:type="spellEnd"/>
      <w:r w:rsidRPr="00A66697">
        <w:t xml:space="preserve">, Çukurova'daki adaletsizliklere ve sömürüye karşı büyük bir öfke duyar. Ağaların işçilere kötü davranmasına, yoksulluğa ve çaresizliğe tahammül edemez. Bu öfke, zaman zaman kontrolünü kaybetmesine ve sert tepkiler vermesine neden olur. Bir köyde ağanın onlara kötü davranması üzerine </w:t>
      </w:r>
      <w:proofErr w:type="spellStart"/>
      <w:r w:rsidRPr="00A66697">
        <w:t>Hösük'ün</w:t>
      </w:r>
      <w:proofErr w:type="spellEnd"/>
      <w:r w:rsidRPr="00A66697">
        <w:t xml:space="preserve"> adama saldırmak istemesi, öfkesinin bir göstergesidir. </w:t>
      </w:r>
      <w:proofErr w:type="spellStart"/>
      <w:r w:rsidRPr="00A66697">
        <w:t>Hösük</w:t>
      </w:r>
      <w:proofErr w:type="spellEnd"/>
      <w:r w:rsidRPr="00A66697">
        <w:t xml:space="preserve">, düşüncelerini açıkça ifade etmekten çekinmez ve dürüstlüğünden ödün vermez. Onun makineleşmeye ve geleneksel yaşamın yok oluşuna duyduğu öfke, endüstriyel dönüşümün eleştirisini yansıtır. </w:t>
      </w:r>
      <w:proofErr w:type="spellStart"/>
      <w:r w:rsidRPr="00A66697">
        <w:t>Memet'in</w:t>
      </w:r>
      <w:proofErr w:type="spellEnd"/>
      <w:r w:rsidRPr="00A66697">
        <w:t xml:space="preserve"> sürekli umutlu konuşmalarına karşı çıkar ve Çukurova'daki gerçekleri dile getirir.</w:t>
      </w:r>
    </w:p>
    <w:p w14:paraId="2CE56815" w14:textId="77777777" w:rsidR="00021193" w:rsidRPr="00A66697" w:rsidRDefault="00021193" w:rsidP="0017453B">
      <w:pPr>
        <w:jc w:val="both"/>
      </w:pPr>
    </w:p>
    <w:p w14:paraId="0293AB73" w14:textId="7CDE9803" w:rsidR="00914DCC" w:rsidRDefault="00914DCC" w:rsidP="0017453B">
      <w:pPr>
        <w:jc w:val="both"/>
      </w:pPr>
      <w:proofErr w:type="spellStart"/>
      <w:r w:rsidRPr="00A66697">
        <w:t>Hösük</w:t>
      </w:r>
      <w:proofErr w:type="spellEnd"/>
      <w:r w:rsidRPr="00A66697">
        <w:t>, nar ağacının iyileştirici gücüne</w:t>
      </w:r>
      <w:r>
        <w:t xml:space="preserve"> başlangıçta hiç</w:t>
      </w:r>
      <w:r w:rsidRPr="00A66697">
        <w:t xml:space="preserve"> inanmaz</w:t>
      </w:r>
      <w:r>
        <w:t xml:space="preserve">. </w:t>
      </w:r>
      <w:r w:rsidRPr="00A66697">
        <w:t>Ona göre, Çukurova'daki zorlukların çözümü mucizelerde değil, gerçekçi çözümlerde yatmaktadır. Sivrisineklerin ve diğer zorlukların nar ağacıyla ortadan kalkmayacağı</w:t>
      </w:r>
      <w:r>
        <w:t>nı söyler</w:t>
      </w:r>
      <w:r w:rsidRPr="00A66697">
        <w:t xml:space="preserve">. Bu nedenle, nar ağacını aramaya </w:t>
      </w:r>
      <w:r>
        <w:t xml:space="preserve">başlarda </w:t>
      </w:r>
      <w:r w:rsidRPr="00A66697">
        <w:t>isteksizdir ve bir an önce memleketlerine dönmek ister.</w:t>
      </w:r>
    </w:p>
    <w:p w14:paraId="06D89533" w14:textId="77777777" w:rsidR="0017453B" w:rsidRPr="00A66697" w:rsidRDefault="0017453B" w:rsidP="0017453B">
      <w:pPr>
        <w:jc w:val="both"/>
      </w:pPr>
    </w:p>
    <w:p w14:paraId="7625167E" w14:textId="027AB663" w:rsidR="00914DCC" w:rsidRPr="009E4F6E" w:rsidRDefault="00914DCC" w:rsidP="0017453B">
      <w:pPr>
        <w:ind w:left="1134" w:right="1134"/>
        <w:contextualSpacing/>
      </w:pPr>
      <w:r w:rsidRPr="009E4F6E">
        <w:t>“</w:t>
      </w:r>
      <w:proofErr w:type="spellStart"/>
      <w:r w:rsidRPr="009E4F6E">
        <w:t>Memet</w:t>
      </w:r>
      <w:proofErr w:type="spellEnd"/>
      <w:r w:rsidRPr="009E4F6E">
        <w:t xml:space="preserve"> çocuk: ‘Dedem derdi ki ağaçlar ... Öyle ağaç var ki, ermiş gibi… Belki benim de hakkımı verirler.’</w:t>
      </w:r>
    </w:p>
    <w:p w14:paraId="07DCD711" w14:textId="77777777" w:rsidR="00914DCC" w:rsidRPr="009E4F6E" w:rsidRDefault="00914DCC" w:rsidP="0017453B">
      <w:pPr>
        <w:ind w:left="1134" w:right="1134"/>
        <w:contextualSpacing/>
      </w:pPr>
      <w:r w:rsidRPr="009E4F6E">
        <w:t>Yusuf: ‘Çok keramet var ağaçta. O ağacın yöresine hiç sinek yaklaşamazmış. Bir gece orada, o ağacın altında uyuruz.’</w:t>
      </w:r>
    </w:p>
    <w:p w14:paraId="3E3351CF" w14:textId="77777777" w:rsidR="00914DCC" w:rsidRPr="009E4F6E" w:rsidRDefault="00914DCC" w:rsidP="0017453B">
      <w:pPr>
        <w:ind w:left="1134" w:right="1134"/>
        <w:contextualSpacing/>
      </w:pPr>
      <w:r w:rsidRPr="009E4F6E">
        <w:t xml:space="preserve">‘Siz gidin,’ diye hınçla bağırdı </w:t>
      </w:r>
      <w:proofErr w:type="spellStart"/>
      <w:r w:rsidRPr="009E4F6E">
        <w:t>Hösük</w:t>
      </w:r>
      <w:proofErr w:type="spellEnd"/>
      <w:r w:rsidRPr="009E4F6E">
        <w:t xml:space="preserve">. ‘Ulan hiç Çukurova olur da sinek olmaz mı? Bir </w:t>
      </w:r>
      <w:proofErr w:type="spellStart"/>
      <w:r w:rsidRPr="009E4F6E">
        <w:t>fıkara</w:t>
      </w:r>
      <w:proofErr w:type="spellEnd"/>
      <w:r w:rsidRPr="009E4F6E">
        <w:t xml:space="preserve"> nar ağacı ne yapar sivrisineğe, her birisi kemikli?’</w:t>
      </w:r>
    </w:p>
    <w:p w14:paraId="51D65999" w14:textId="38B39ADA" w:rsidR="00914DCC" w:rsidRPr="009E4F6E" w:rsidRDefault="00914DCC" w:rsidP="0017453B">
      <w:pPr>
        <w:ind w:left="1134" w:right="1134"/>
        <w:contextualSpacing/>
      </w:pPr>
      <w:r w:rsidRPr="009E4F6E">
        <w:t xml:space="preserve">‘Tövbe de </w:t>
      </w:r>
      <w:proofErr w:type="spellStart"/>
      <w:r w:rsidRPr="009E4F6E">
        <w:t>Hösük</w:t>
      </w:r>
      <w:proofErr w:type="spellEnd"/>
      <w:r w:rsidRPr="009E4F6E">
        <w:t xml:space="preserve">, tövbe </w:t>
      </w:r>
      <w:proofErr w:type="gramStart"/>
      <w:r w:rsidRPr="009E4F6E">
        <w:t>de,</w:t>
      </w:r>
      <w:proofErr w:type="gramEnd"/>
      <w:r w:rsidRPr="009E4F6E">
        <w:t xml:space="preserve">’ dedi </w:t>
      </w:r>
      <w:proofErr w:type="spellStart"/>
      <w:r w:rsidRPr="009E4F6E">
        <w:t>Memet</w:t>
      </w:r>
      <w:proofErr w:type="spellEnd"/>
      <w:r w:rsidRPr="009E4F6E">
        <w:t xml:space="preserve"> ürküntüyle. ‘Aman o ağaca bir şey söyleme, </w:t>
      </w:r>
      <w:proofErr w:type="spellStart"/>
      <w:r w:rsidRPr="009E4F6E">
        <w:t>çont</w:t>
      </w:r>
      <w:proofErr w:type="spellEnd"/>
      <w:r w:rsidRPr="009E4F6E">
        <w:t xml:space="preserve"> olursun sonra. Bizim ocağımız sönmüş, rezilimiz çıkmış zaten, bir de sen çıkma başımıza, bir de sen </w:t>
      </w:r>
      <w:proofErr w:type="spellStart"/>
      <w:r w:rsidRPr="009E4F6E">
        <w:t>çont</w:t>
      </w:r>
      <w:proofErr w:type="spellEnd"/>
      <w:r w:rsidRPr="009E4F6E">
        <w:t xml:space="preserve"> olup da ... Yusuf yetiyor zaten bize. Aman ha </w:t>
      </w:r>
      <w:proofErr w:type="spellStart"/>
      <w:r w:rsidRPr="009E4F6E">
        <w:t>Hösük</w:t>
      </w:r>
      <w:proofErr w:type="spellEnd"/>
      <w:r w:rsidRPr="009E4F6E">
        <w:t>, sen seni bilin mi, aman ha!’</w:t>
      </w:r>
    </w:p>
    <w:p w14:paraId="273835E6" w14:textId="77777777" w:rsidR="00914DCC" w:rsidRDefault="00914DCC" w:rsidP="0017453B">
      <w:pPr>
        <w:ind w:left="1134" w:right="1134"/>
        <w:contextualSpacing/>
      </w:pPr>
      <w:r w:rsidRPr="009E4F6E">
        <w:t xml:space="preserve">Aşık Ali: ‘Aman ha,’ dedi. ‘Aman ha siz </w:t>
      </w:r>
      <w:proofErr w:type="spellStart"/>
      <w:r w:rsidRPr="009E4F6E">
        <w:t>siz</w:t>
      </w:r>
      <w:proofErr w:type="spellEnd"/>
      <w:r w:rsidRPr="009E4F6E">
        <w:t xml:space="preserve"> olun ermişlerin işine karışmayın, hele ağaçların.’”</w:t>
      </w:r>
      <w:r>
        <w:t xml:space="preserve"> (Kemal, 1982, s.67)</w:t>
      </w:r>
    </w:p>
    <w:p w14:paraId="682A260D" w14:textId="77777777" w:rsidR="0017453B" w:rsidRPr="009E4F6E" w:rsidRDefault="0017453B" w:rsidP="0017453B">
      <w:pPr>
        <w:ind w:left="1134" w:right="1134"/>
        <w:contextualSpacing/>
      </w:pPr>
    </w:p>
    <w:p w14:paraId="327880F0" w14:textId="5D488173" w:rsidR="00914DCC" w:rsidRDefault="00914DCC" w:rsidP="0017453B">
      <w:pPr>
        <w:jc w:val="both"/>
      </w:pPr>
      <w:r w:rsidRPr="00A66697">
        <w:t xml:space="preserve">Sonuç olarak, </w:t>
      </w:r>
      <w:proofErr w:type="spellStart"/>
      <w:r w:rsidRPr="00A66697">
        <w:t>Hösük</w:t>
      </w:r>
      <w:proofErr w:type="spellEnd"/>
      <w:r w:rsidRPr="00A66697">
        <w:t xml:space="preserve"> karakteri, Çukurova'daki zorlu yaşam koşullarının yarattığı öfkeyi, umutsuzluğu ve hayatta kalma mücadelesini temsil eder</w:t>
      </w:r>
      <w:r>
        <w:t xml:space="preserve">; </w:t>
      </w:r>
      <w:r w:rsidRPr="00A66697">
        <w:t xml:space="preserve">romanın toplumsal eleştiri ve sınıf bilinci temalarını derinleştirmesine katkıda bulunur. Yoldaşlık ve dayanışma duygusuyla, arkadaşlarına destek olur ve onların hayatta kalma mücadelesinde önemli bir rol oynar. </w:t>
      </w:r>
      <w:proofErr w:type="spellStart"/>
      <w:r w:rsidRPr="00A66697">
        <w:t>Hösük'ün</w:t>
      </w:r>
      <w:proofErr w:type="spellEnd"/>
      <w:r w:rsidRPr="00A66697">
        <w:t xml:space="preserve"> psikolojik olarak değişimi, arkadaşlarına olan bağlılığında ve onlara yardım etme çabasında görülür. Yusuf'u sırtında taşıması ve diğer arkadaşlarına destek olması,</w:t>
      </w:r>
      <w:r>
        <w:t xml:space="preserve"> </w:t>
      </w:r>
      <w:proofErr w:type="spellStart"/>
      <w:r w:rsidRPr="00A66697">
        <w:t>Hösük'ün</w:t>
      </w:r>
      <w:proofErr w:type="spellEnd"/>
      <w:r w:rsidRPr="00A66697">
        <w:t xml:space="preserve"> arkadaşlarına olan bağlılığını ve fedakarlığını gösterir.</w:t>
      </w:r>
      <w:r>
        <w:t xml:space="preserve"> </w:t>
      </w:r>
      <w:r w:rsidRPr="00A66697">
        <w:t xml:space="preserve">Romanın sonunda, </w:t>
      </w:r>
      <w:proofErr w:type="spellStart"/>
      <w:r w:rsidRPr="00A66697">
        <w:t>Hösük'ün</w:t>
      </w:r>
      <w:proofErr w:type="spellEnd"/>
      <w:r w:rsidRPr="00A66697">
        <w:t xml:space="preserve"> öfkesi ve aksi tutumu yumuşar, hatta başta inanmadığı Nar ağacın</w:t>
      </w:r>
      <w:r>
        <w:t>a katı bir inanış beslemeye başlar.</w:t>
      </w:r>
    </w:p>
    <w:p w14:paraId="64044B91" w14:textId="77777777" w:rsidR="0017453B" w:rsidRPr="00A66697" w:rsidRDefault="0017453B" w:rsidP="0017453B">
      <w:pPr>
        <w:jc w:val="both"/>
      </w:pPr>
    </w:p>
    <w:p w14:paraId="53F73C7F" w14:textId="419B0AF8" w:rsidR="00914DCC" w:rsidRPr="009E4F6E" w:rsidRDefault="00914DCC" w:rsidP="0017453B">
      <w:pPr>
        <w:ind w:left="1134" w:right="1134"/>
        <w:contextualSpacing/>
      </w:pPr>
      <w:r w:rsidRPr="009E4F6E">
        <w:t xml:space="preserve">“‘Dua edelim,’ diye ellerini havaya açtı Aşık Ali. Kıbleye dönüp dudakları kıpır kıpır uzun süre dua okudular. Bir tek </w:t>
      </w:r>
      <w:proofErr w:type="spellStart"/>
      <w:r w:rsidRPr="009E4F6E">
        <w:t>Memet</w:t>
      </w:r>
      <w:proofErr w:type="spellEnd"/>
      <w:r w:rsidRPr="009E4F6E">
        <w:t xml:space="preserve"> çocuk onlara katılmadı.</w:t>
      </w:r>
    </w:p>
    <w:p w14:paraId="4ED8AEA6" w14:textId="77777777" w:rsidR="00914DCC" w:rsidRPr="009E4F6E" w:rsidRDefault="00914DCC" w:rsidP="0017453B">
      <w:pPr>
        <w:ind w:left="1134" w:right="1134"/>
        <w:contextualSpacing/>
      </w:pPr>
      <w:r w:rsidRPr="009E4F6E">
        <w:t xml:space="preserve">‘Sen dua bilmiyor musun </w:t>
      </w:r>
      <w:proofErr w:type="spellStart"/>
      <w:r w:rsidRPr="009E4F6E">
        <w:t>Memet</w:t>
      </w:r>
      <w:proofErr w:type="spellEnd"/>
      <w:r w:rsidRPr="009E4F6E">
        <w:t xml:space="preserve"> çocuk?’ diye sordu Aşık Ali.</w:t>
      </w:r>
    </w:p>
    <w:p w14:paraId="69B10053" w14:textId="74009F09" w:rsidR="00914DCC" w:rsidRPr="009E4F6E" w:rsidRDefault="00914DCC" w:rsidP="0017453B">
      <w:pPr>
        <w:ind w:left="1134" w:right="1134"/>
        <w:contextualSpacing/>
      </w:pPr>
      <w:r w:rsidRPr="009E4F6E">
        <w:t xml:space="preserve">‘Biliyorum,’ diye onu yanıtladı </w:t>
      </w:r>
      <w:proofErr w:type="spellStart"/>
      <w:r w:rsidRPr="009E4F6E">
        <w:t>Memet</w:t>
      </w:r>
      <w:proofErr w:type="spellEnd"/>
      <w:r w:rsidRPr="009E4F6E">
        <w:t xml:space="preserve"> çocuk.</w:t>
      </w:r>
    </w:p>
    <w:p w14:paraId="4666712E" w14:textId="56E21F65" w:rsidR="00914DCC" w:rsidRPr="009E4F6E" w:rsidRDefault="00914DCC" w:rsidP="0017453B">
      <w:pPr>
        <w:ind w:left="1134" w:right="1134"/>
        <w:contextualSpacing/>
      </w:pPr>
      <w:r w:rsidRPr="009E4F6E">
        <w:t>‘Öyleyse?’</w:t>
      </w:r>
    </w:p>
    <w:p w14:paraId="6310C34E" w14:textId="77777777" w:rsidR="00914DCC" w:rsidRPr="009E4F6E" w:rsidRDefault="00914DCC" w:rsidP="0017453B">
      <w:pPr>
        <w:ind w:left="1134" w:right="1134"/>
        <w:contextualSpacing/>
      </w:pPr>
      <w:r w:rsidRPr="009E4F6E">
        <w:lastRenderedPageBreak/>
        <w:t xml:space="preserve">‘Kendisi ölmüş bu ağacın. Zaten kendine </w:t>
      </w:r>
      <w:proofErr w:type="spellStart"/>
      <w:r w:rsidRPr="009E4F6E">
        <w:t>hayretmemiş</w:t>
      </w:r>
      <w:proofErr w:type="spellEnd"/>
      <w:r w:rsidRPr="009E4F6E">
        <w:t xml:space="preserve"> ki bize...’</w:t>
      </w:r>
    </w:p>
    <w:p w14:paraId="15218020" w14:textId="77777777" w:rsidR="00914DCC" w:rsidRPr="009E4F6E" w:rsidRDefault="00914DCC" w:rsidP="0017453B">
      <w:pPr>
        <w:ind w:left="1134" w:right="1134"/>
        <w:contextualSpacing/>
      </w:pPr>
      <w:r w:rsidRPr="009E4F6E">
        <w:t>‘</w:t>
      </w:r>
      <w:proofErr w:type="spellStart"/>
      <w:r w:rsidRPr="009E4F6E">
        <w:t>Suuus</w:t>
      </w:r>
      <w:proofErr w:type="spellEnd"/>
      <w:r w:rsidRPr="009E4F6E">
        <w:t xml:space="preserve">,’ diye onun üstüne yürüdü </w:t>
      </w:r>
      <w:proofErr w:type="spellStart"/>
      <w:r w:rsidRPr="009E4F6E">
        <w:t>Hösük</w:t>
      </w:r>
      <w:proofErr w:type="spellEnd"/>
      <w:r w:rsidRPr="009E4F6E">
        <w:t>. ‘</w:t>
      </w:r>
      <w:proofErr w:type="spellStart"/>
      <w:r w:rsidRPr="009E4F6E">
        <w:t>Suuus</w:t>
      </w:r>
      <w:proofErr w:type="spellEnd"/>
      <w:r w:rsidRPr="009E4F6E">
        <w:t xml:space="preserve">, başımıza iş açacaksın, </w:t>
      </w:r>
      <w:proofErr w:type="spellStart"/>
      <w:r w:rsidRPr="009E4F6E">
        <w:t>suuus</w:t>
      </w:r>
      <w:proofErr w:type="spellEnd"/>
      <w:r w:rsidRPr="009E4F6E">
        <w:t>, pis oğlan, hiç ermiş ağaca karşı öyle konuşulur mu?’</w:t>
      </w:r>
    </w:p>
    <w:p w14:paraId="413CF79C" w14:textId="77777777" w:rsidR="00914DCC" w:rsidRDefault="00914DCC" w:rsidP="0017453B">
      <w:pPr>
        <w:ind w:left="1134" w:right="1134"/>
        <w:contextualSpacing/>
      </w:pPr>
      <w:r w:rsidRPr="009E4F6E">
        <w:t xml:space="preserve">Ötekiler de </w:t>
      </w:r>
      <w:proofErr w:type="spellStart"/>
      <w:r w:rsidRPr="009E4F6E">
        <w:t>Hösüğe</w:t>
      </w:r>
      <w:proofErr w:type="spellEnd"/>
      <w:r w:rsidRPr="009E4F6E">
        <w:t xml:space="preserve"> katıldılar. Belki gece yansına kadar ağacı, ağacın kerametlerini anlattılar durdular çocuğa. Çocuğunsa onların sözleri bir kulağından giriyor, ötekinden çıkıyordu.” (</w:t>
      </w:r>
      <w:r>
        <w:t>Kemal, 1982, s.</w:t>
      </w:r>
      <w:r w:rsidRPr="009E4F6E">
        <w:t>114)</w:t>
      </w:r>
    </w:p>
    <w:p w14:paraId="4448D3E1" w14:textId="77777777" w:rsidR="0017453B" w:rsidRPr="009E4F6E" w:rsidRDefault="0017453B" w:rsidP="0017453B">
      <w:pPr>
        <w:ind w:left="1134" w:right="1134"/>
        <w:contextualSpacing/>
      </w:pPr>
    </w:p>
    <w:p w14:paraId="5AF3E70C" w14:textId="3BDB3ABC" w:rsidR="00914DCC" w:rsidRDefault="00914DCC" w:rsidP="0017453B">
      <w:pPr>
        <w:jc w:val="both"/>
      </w:pPr>
      <w:r w:rsidRPr="00A66697">
        <w:t>Yusuf, romanda Çukurova'nın zorlu koşulları altında ezilen ve umut arayan hasta ve zayıf bir karakterdir</w:t>
      </w:r>
      <w:r>
        <w:t xml:space="preserve">. </w:t>
      </w:r>
      <w:r w:rsidRPr="00A66697">
        <w:t xml:space="preserve">Yokluk ve hastalıkla mücadele eden Yusuf'un hikayesi, Çukurova'nın sert gerçekliğinin </w:t>
      </w:r>
      <w:r>
        <w:t xml:space="preserve">ve </w:t>
      </w:r>
      <w:r w:rsidRPr="00A66697">
        <w:t xml:space="preserve">acımasız koşullarının bedensel bir metaforu haline gelir. </w:t>
      </w:r>
      <w:r>
        <w:t xml:space="preserve">Sanki </w:t>
      </w:r>
      <w:r w:rsidRPr="00A66697">
        <w:t xml:space="preserve">Çukurova’yı kasıp kavuran sıtmayı sürekli hatırlatmak </w:t>
      </w:r>
      <w:r>
        <w:t>ve okuru</w:t>
      </w:r>
      <w:r w:rsidRPr="00A66697">
        <w:t xml:space="preserve"> bununla yüzleştirmek için esere özel olarak konulmuş gibi</w:t>
      </w:r>
      <w:r>
        <w:t xml:space="preserve">dir. </w:t>
      </w:r>
      <w:r w:rsidRPr="00A66697">
        <w:t>Romanın başında Çukurova için demediğini bırakm</w:t>
      </w:r>
      <w:r>
        <w:t>ayan</w:t>
      </w:r>
      <w:r w:rsidRPr="00A66697">
        <w:t xml:space="preserve"> Yusuf</w:t>
      </w:r>
      <w:r>
        <w:t>,</w:t>
      </w:r>
      <w:r w:rsidRPr="00A66697">
        <w:t xml:space="preserve"> aç kalmaktansa ölmek daha iyi deyip diğerleriyle </w:t>
      </w:r>
      <w:r>
        <w:t xml:space="preserve">beraber </w:t>
      </w:r>
      <w:r w:rsidRPr="00A66697">
        <w:t>yola düş</w:t>
      </w:r>
      <w:r>
        <w:t>er</w:t>
      </w:r>
      <w:r w:rsidRPr="00A66697">
        <w:t xml:space="preserve">. Aslında onun için kalmak ya da yola çıkmak arasında </w:t>
      </w:r>
      <w:r>
        <w:t xml:space="preserve">pek </w:t>
      </w:r>
      <w:r w:rsidRPr="00A66697">
        <w:t>bir fark yo</w:t>
      </w:r>
      <w:r>
        <w:t xml:space="preserve">ktur. </w:t>
      </w:r>
      <w:r w:rsidRPr="00A66697">
        <w:t>Sıtması</w:t>
      </w:r>
      <w:r>
        <w:t xml:space="preserve"> yüzünden sürekli nöbet geçiren Yusuf, başına gelecek en kötüsünün ölüm olacağının farkındadır.</w:t>
      </w:r>
    </w:p>
    <w:p w14:paraId="317FE356" w14:textId="77777777" w:rsidR="0017453B" w:rsidRDefault="0017453B" w:rsidP="0017453B">
      <w:pPr>
        <w:jc w:val="both"/>
      </w:pPr>
    </w:p>
    <w:p w14:paraId="59F3AD38" w14:textId="64691E5A" w:rsidR="00914DCC" w:rsidRDefault="00914DCC" w:rsidP="0017453B">
      <w:pPr>
        <w:jc w:val="both"/>
      </w:pPr>
      <w:proofErr w:type="spellStart"/>
      <w:r w:rsidRPr="00A66697">
        <w:t>Hüyükteki</w:t>
      </w:r>
      <w:proofErr w:type="spellEnd"/>
      <w:r w:rsidRPr="00A66697">
        <w:t xml:space="preserve"> nar ağacı efsanesi, Yusuf için bir umut ışığı olur. Yusuf, nar ağacı efsanesine inanır ve bu ağacın kendisine şifa getireceğin</w:t>
      </w:r>
      <w:r>
        <w:t xml:space="preserve">i </w:t>
      </w:r>
      <w:r w:rsidRPr="00A66697">
        <w:t>umut eder. Yusuf'un "</w:t>
      </w:r>
      <w:proofErr w:type="spellStart"/>
      <w:r w:rsidRPr="00A66697">
        <w:t>Çukurovada</w:t>
      </w:r>
      <w:proofErr w:type="spellEnd"/>
      <w:r w:rsidRPr="00A66697">
        <w:t xml:space="preserve"> herkes bilir o nar ağacını. Etme </w:t>
      </w:r>
      <w:proofErr w:type="spellStart"/>
      <w:r w:rsidRPr="00A66697">
        <w:t>Hösük</w:t>
      </w:r>
      <w:proofErr w:type="spellEnd"/>
      <w:r w:rsidRPr="00A66697">
        <w:t xml:space="preserve">, bu marazı ben karnımda yedi yıldır taşırım. Belki bir şifa verir Allah bana, nar ağacına varırsak" </w:t>
      </w:r>
      <w:r w:rsidRPr="009E4F6E">
        <w:t>(</w:t>
      </w:r>
      <w:r>
        <w:t>Kemal, 1982, s.66</w:t>
      </w:r>
      <w:r w:rsidRPr="009E4F6E">
        <w:t>)</w:t>
      </w:r>
      <w:r>
        <w:t xml:space="preserve"> </w:t>
      </w:r>
      <w:r w:rsidRPr="00A66697">
        <w:t>demesi, bu inancı ve umudu yansıtır.</w:t>
      </w:r>
      <w:r>
        <w:t xml:space="preserve"> </w:t>
      </w:r>
      <w:r w:rsidRPr="00A66697">
        <w:t>Ancak, fiziksel durumu nedeniyle çoğu zaman çaresiz kalır.</w:t>
      </w:r>
    </w:p>
    <w:p w14:paraId="69BA23D6" w14:textId="77777777" w:rsidR="0017453B" w:rsidRDefault="0017453B" w:rsidP="0017453B">
      <w:pPr>
        <w:jc w:val="both"/>
      </w:pPr>
    </w:p>
    <w:p w14:paraId="744932D4" w14:textId="77777777" w:rsidR="00914DCC" w:rsidRDefault="00914DCC" w:rsidP="0017453B">
      <w:pPr>
        <w:jc w:val="both"/>
      </w:pPr>
      <w:r w:rsidRPr="00A66697">
        <w:t>Yusuf'un karakteri, Çukurova'daki yoksul insanların umutlarını, hayallerini ve hayata tutunma çabalarını temsil eder. Onun hastalığı ve çektiği acılar, bölgedeki insanların karşılaştığı zorlukların bir yansımasıdır. Yusuf'un nar ağacından şifa beklemesi, insanların doğaüstü güçlere sığınma ve mucizelerden medet umma eğilimini gösterir. Efsaneye olan bağlılığı, Yusuf'un zorluklara karşı direncini artırır. Romanın sonunda, Yusuf'un hastalığı devam etse bile, umudunu kaybetmemesi ve arkadaşlarına destek olması, Yusuf'un psikolojik olarak güçlendiğini gösterir.</w:t>
      </w:r>
    </w:p>
    <w:p w14:paraId="31C5FAA1" w14:textId="77777777" w:rsidR="0017453B" w:rsidRPr="00A66697" w:rsidRDefault="0017453B" w:rsidP="0017453B">
      <w:pPr>
        <w:jc w:val="both"/>
      </w:pPr>
    </w:p>
    <w:p w14:paraId="372FE807" w14:textId="2FBE5DA7" w:rsidR="00914DCC" w:rsidRDefault="00914DCC" w:rsidP="0017453B">
      <w:pPr>
        <w:jc w:val="both"/>
      </w:pPr>
      <w:r w:rsidRPr="00A66697">
        <w:t>Aşık Ali, romanda gezgin bir halk ozanı olarak karşımıza çıkar</w:t>
      </w:r>
      <w:r>
        <w:t xml:space="preserve">. </w:t>
      </w:r>
      <w:r w:rsidRPr="00A66697">
        <w:t>Geleneksel inançlara bağlılığı ve hikâye anlatma yeteneği, Aşık Ali'yi grubun manevi rehberi yapar. Türküleri ve hikâyeleriyle kültürel hafızayı canlı tutan bir köprü işlevi görürken; Aşık Ali'nin babasının Aşık Hüseyin, dedesinin Aşık Halil ve atalarının Dadaloğlu olması, onun köklü bir ozan geleneğine sahip olduğunu gösterir. Zorlu koşullar altında bile umudunu kaybetmeyen ve geleceğe umutla bakan Aşık Ali</w:t>
      </w:r>
      <w:r>
        <w:t xml:space="preserve">, </w:t>
      </w:r>
      <w:r w:rsidRPr="00A66697">
        <w:t>sanatın, umudun ve dayanışmanın sembolü olarak belirginleşir</w:t>
      </w:r>
      <w:r>
        <w:t xml:space="preserve">. </w:t>
      </w:r>
      <w:r w:rsidRPr="00A66697">
        <w:t>Sazı ve sözüyle insanlara umut aşılar ve onların zorlu yaşam koşullarına dayanmaların</w:t>
      </w:r>
      <w:r>
        <w:t xml:space="preserve">ı sağlayan </w:t>
      </w:r>
      <w:r w:rsidRPr="00A66697">
        <w:t>manevi bir güç kaynağı</w:t>
      </w:r>
      <w:r>
        <w:t xml:space="preserve"> olur</w:t>
      </w:r>
      <w:r w:rsidRPr="00A66697">
        <w:t>. Türküleri, Çukurova'nın yoksul insanlarının dertlerini, aşklarını, özlemlerini ve umutlarını</w:t>
      </w:r>
      <w:r>
        <w:t>;</w:t>
      </w:r>
      <w:r w:rsidRPr="00A66697">
        <w:t xml:space="preserve"> Çukurova'daki adaletsizlikleri, sömürüyü ve yoksulluğu dile getirir.</w:t>
      </w:r>
    </w:p>
    <w:p w14:paraId="01314C00" w14:textId="77777777" w:rsidR="00021193" w:rsidRDefault="00021193" w:rsidP="0017453B">
      <w:pPr>
        <w:jc w:val="both"/>
      </w:pPr>
    </w:p>
    <w:p w14:paraId="43E51582" w14:textId="77777777" w:rsidR="00914DCC" w:rsidRDefault="00914DCC" w:rsidP="0017453B">
      <w:pPr>
        <w:jc w:val="both"/>
      </w:pPr>
      <w:r w:rsidRPr="00A66697">
        <w:t>Aşık Ali, nar ağacı efsanesine inanır ve bu inancını arkadaşlarına aşılamaya çalışır. Nar ağacının şifa dağıttığına olan inancı, onun umudunu ve yaşama sevincini korumasına yardımcı olur. Sonuç olarak, Aşık Ali, Çukurova'nın kültürel zenginliğini, insanların dayanışma ruhunu ve sanatın gücünü temsil eder. Onun umudu, inancı ve toplumsal duyarlılığı, romanda önemli bir yer tutar ve okuyucuya ilham verir.</w:t>
      </w:r>
    </w:p>
    <w:p w14:paraId="36E1589F" w14:textId="77777777" w:rsidR="0017453B" w:rsidRPr="00A66697" w:rsidRDefault="0017453B" w:rsidP="0017453B">
      <w:pPr>
        <w:jc w:val="both"/>
      </w:pPr>
    </w:p>
    <w:p w14:paraId="4676E236" w14:textId="351BAC48" w:rsidR="00914DCC" w:rsidRDefault="00914DCC" w:rsidP="0017453B">
      <w:pPr>
        <w:jc w:val="both"/>
      </w:pPr>
      <w:proofErr w:type="spellStart"/>
      <w:r w:rsidRPr="00A66697">
        <w:t>Memet</w:t>
      </w:r>
      <w:proofErr w:type="spellEnd"/>
      <w:r w:rsidRPr="00A66697">
        <w:t xml:space="preserve"> Çocuk, saf, temiz kalpli ve kolayca etkilenen bir çocuktur. Çukurova'nın zorlu </w:t>
      </w:r>
      <w:r w:rsidRPr="00A66697">
        <w:lastRenderedPageBreak/>
        <w:t xml:space="preserve">koşullarında hayatta kalmaya çalışan, umut ve hayal kırıklığı arasında gidip gelen bir figür olarak </w:t>
      </w:r>
      <w:r>
        <w:t xml:space="preserve">romanda </w:t>
      </w:r>
      <w:r w:rsidRPr="00A66697">
        <w:t xml:space="preserve">önemli bir yer tutar. </w:t>
      </w:r>
      <w:proofErr w:type="spellStart"/>
      <w:r w:rsidRPr="00A66697">
        <w:t>Meme</w:t>
      </w:r>
      <w:r>
        <w:t>t</w:t>
      </w:r>
      <w:proofErr w:type="spellEnd"/>
      <w:r w:rsidRPr="00A66697">
        <w:t xml:space="preserve"> </w:t>
      </w:r>
      <w:proofErr w:type="spellStart"/>
      <w:r>
        <w:t>Çocuk’un</w:t>
      </w:r>
      <w:proofErr w:type="spellEnd"/>
      <w:r>
        <w:t xml:space="preserve"> </w:t>
      </w:r>
      <w:r w:rsidRPr="00A66697">
        <w:t>sürekli</w:t>
      </w:r>
      <w:r>
        <w:t xml:space="preserve"> </w:t>
      </w:r>
      <w:r w:rsidRPr="00A66697">
        <w:t>hakkı yenil</w:t>
      </w:r>
      <w:r>
        <w:t xml:space="preserve">diği için </w:t>
      </w:r>
      <w:r w:rsidRPr="00A66697">
        <w:t>roman boyunca hakkını alıp alamayacağı endişesini taşı</w:t>
      </w:r>
      <w:r>
        <w:t>r</w:t>
      </w:r>
      <w:r w:rsidRPr="00A66697">
        <w:t>.</w:t>
      </w:r>
      <w:r>
        <w:t xml:space="preserve"> </w:t>
      </w:r>
      <w:proofErr w:type="spellStart"/>
      <w:r w:rsidRPr="00A66697">
        <w:t>Keklikoğlu'nun</w:t>
      </w:r>
      <w:proofErr w:type="spellEnd"/>
      <w:r w:rsidRPr="00A66697">
        <w:t xml:space="preserve"> yanında çobanlık yap</w:t>
      </w:r>
      <w:r>
        <w:t>ıp hakkını alamayan, s</w:t>
      </w:r>
      <w:r w:rsidRPr="00A66697">
        <w:t>ürekli sopa y</w:t>
      </w:r>
      <w:r>
        <w:t>iyen</w:t>
      </w:r>
      <w:r w:rsidRPr="00A66697">
        <w:t xml:space="preserve"> ve kötü muamele gör</w:t>
      </w:r>
      <w:r>
        <w:t>en</w:t>
      </w:r>
      <w:r w:rsidRPr="00A66697">
        <w:t xml:space="preserve"> </w:t>
      </w:r>
      <w:proofErr w:type="spellStart"/>
      <w:r w:rsidRPr="00A66697">
        <w:t>Memet</w:t>
      </w:r>
      <w:proofErr w:type="spellEnd"/>
      <w:r w:rsidRPr="00A66697">
        <w:t xml:space="preserve"> </w:t>
      </w:r>
      <w:proofErr w:type="spellStart"/>
      <w:r w:rsidRPr="00A66697">
        <w:t>Çocuk</w:t>
      </w:r>
      <w:r>
        <w:t>’un</w:t>
      </w:r>
      <w:proofErr w:type="spellEnd"/>
      <w:r>
        <w:t xml:space="preserve"> en büyük hayali ve p</w:t>
      </w:r>
      <w:r w:rsidRPr="00A66697">
        <w:t>ara kazanmak istemesinin tek sebebi bir çift öküz al</w:t>
      </w:r>
      <w:r>
        <w:t xml:space="preserve">maktır. </w:t>
      </w:r>
      <w:r w:rsidRPr="00A66697">
        <w:t>Kendine</w:t>
      </w:r>
      <w:r>
        <w:t xml:space="preserve"> </w:t>
      </w:r>
      <w:r w:rsidRPr="00A66697">
        <w:t>bir kimlik inşa etme çabası</w:t>
      </w:r>
      <w:r>
        <w:t>nı görünür kılan</w:t>
      </w:r>
      <w:r w:rsidRPr="00A66697">
        <w:t xml:space="preserve"> </w:t>
      </w:r>
      <w:r>
        <w:t>b</w:t>
      </w:r>
      <w:r w:rsidRPr="00A66697">
        <w:t>u hayal, onun için özgürlü</w:t>
      </w:r>
      <w:r>
        <w:t>k</w:t>
      </w:r>
      <w:r w:rsidRPr="00A66697">
        <w:t xml:space="preserve"> ve refahın sembolüdür.</w:t>
      </w:r>
    </w:p>
    <w:p w14:paraId="05D15935" w14:textId="77777777" w:rsidR="0017453B" w:rsidRDefault="0017453B" w:rsidP="0017453B">
      <w:pPr>
        <w:jc w:val="both"/>
      </w:pPr>
    </w:p>
    <w:p w14:paraId="59D0FE1E" w14:textId="01AD0D1E" w:rsidR="00914DCC" w:rsidRDefault="00914DCC" w:rsidP="0017453B">
      <w:pPr>
        <w:jc w:val="both"/>
      </w:pPr>
      <w:r w:rsidRPr="00A66697">
        <w:t xml:space="preserve">Çukurova'da karşılaştığı gerçekler, açlık, yoksulluk ve </w:t>
      </w:r>
      <w:r>
        <w:t>aşağılanma</w:t>
      </w:r>
      <w:r w:rsidRPr="00A66697">
        <w:t xml:space="preserve">, </w:t>
      </w:r>
      <w:proofErr w:type="spellStart"/>
      <w:r w:rsidRPr="00A66697">
        <w:t>Memet</w:t>
      </w:r>
      <w:proofErr w:type="spellEnd"/>
      <w:r w:rsidRPr="00A66697">
        <w:t xml:space="preserve"> Çocuk için büyük bir hayal kırıklığı </w:t>
      </w:r>
      <w:r>
        <w:t xml:space="preserve">olur. Özellikle </w:t>
      </w:r>
      <w:proofErr w:type="spellStart"/>
      <w:r>
        <w:t>k</w:t>
      </w:r>
      <w:r w:rsidRPr="00A66697">
        <w:t>avaklı</w:t>
      </w:r>
      <w:proofErr w:type="spellEnd"/>
      <w:r w:rsidRPr="00A66697">
        <w:t xml:space="preserve"> köyde yaşanan olaylar, bir dönüm noktası</w:t>
      </w:r>
      <w:r>
        <w:t>dı</w:t>
      </w:r>
      <w:r w:rsidRPr="00A66697">
        <w:t xml:space="preserve">r. Köyün ağası tarafından hırsızlıkla suçlanmaları ve kovulmaları, </w:t>
      </w:r>
      <w:proofErr w:type="spellStart"/>
      <w:r w:rsidRPr="00A66697">
        <w:t>Memet</w:t>
      </w:r>
      <w:proofErr w:type="spellEnd"/>
      <w:r w:rsidRPr="00A66697">
        <w:t xml:space="preserve"> </w:t>
      </w:r>
      <w:proofErr w:type="spellStart"/>
      <w:r w:rsidRPr="00A66697">
        <w:t>Çocuk'un</w:t>
      </w:r>
      <w:proofErr w:type="spellEnd"/>
      <w:r w:rsidRPr="00A66697">
        <w:t xml:space="preserve"> onurunu kırar ve kimlik krizi yaşamasına neden olur. Bu olaydan sonra </w:t>
      </w:r>
      <w:proofErr w:type="spellStart"/>
      <w:r w:rsidRPr="00A66697">
        <w:t>Memet</w:t>
      </w:r>
      <w:proofErr w:type="spellEnd"/>
      <w:r w:rsidRPr="00A66697">
        <w:t xml:space="preserve"> Çocuk, içine kapanır ve </w:t>
      </w:r>
      <w:r>
        <w:t xml:space="preserve">tavırları değişir. </w:t>
      </w:r>
      <w:r w:rsidRPr="00A66697">
        <w:t xml:space="preserve">Romanın sonunda </w:t>
      </w:r>
      <w:proofErr w:type="spellStart"/>
      <w:r w:rsidRPr="00A66697">
        <w:t>Memet</w:t>
      </w:r>
      <w:proofErr w:type="spellEnd"/>
      <w:r w:rsidRPr="00A66697">
        <w:t xml:space="preserve"> </w:t>
      </w:r>
      <w:proofErr w:type="spellStart"/>
      <w:r w:rsidRPr="00A66697">
        <w:t>Çocuk'un</w:t>
      </w:r>
      <w:proofErr w:type="spellEnd"/>
      <w:r w:rsidRPr="00A66697">
        <w:t xml:space="preserve"> </w:t>
      </w:r>
      <w:proofErr w:type="spellStart"/>
      <w:r w:rsidRPr="00A66697">
        <w:t>Hösük'ün</w:t>
      </w:r>
      <w:proofErr w:type="spellEnd"/>
      <w:r w:rsidRPr="00A66697">
        <w:t xml:space="preserve"> hançerini alıp kaçması, onun hayallerinden vazgeçtiğini gösterir.</w:t>
      </w:r>
      <w:r>
        <w:t xml:space="preserve"> </w:t>
      </w:r>
      <w:r w:rsidRPr="00A66697">
        <w:t xml:space="preserve">Sonuç olarak </w:t>
      </w:r>
      <w:proofErr w:type="spellStart"/>
      <w:r w:rsidRPr="00A66697">
        <w:t>Memet</w:t>
      </w:r>
      <w:proofErr w:type="spellEnd"/>
      <w:r w:rsidRPr="00A66697">
        <w:t xml:space="preserve"> Çocuk karakteri, Çukurova'daki sosyal ve ekonomik sorunların ortasında sıkışıp kalmış, hayalleri sömürülen ve geleceği belirsiz bir çocuk olarak roman</w:t>
      </w:r>
      <w:r>
        <w:t>da</w:t>
      </w:r>
      <w:r w:rsidRPr="00A66697">
        <w:t xml:space="preserve"> önemli bir </w:t>
      </w:r>
      <w:r>
        <w:t xml:space="preserve">yer tutar ve </w:t>
      </w:r>
      <w:r w:rsidRPr="00A66697">
        <w:t>masumiyetin sistemsel çarklar arasında kayboluşunu simgeler.</w:t>
      </w:r>
    </w:p>
    <w:p w14:paraId="09DD838E" w14:textId="77777777" w:rsidR="0017453B" w:rsidRPr="00D4496A" w:rsidRDefault="0017453B" w:rsidP="0017453B">
      <w:pPr>
        <w:jc w:val="both"/>
      </w:pPr>
    </w:p>
    <w:p w14:paraId="5CD829ED" w14:textId="71F8CF33" w:rsidR="009F0AE3" w:rsidRPr="009F0AE3" w:rsidRDefault="00914DCC" w:rsidP="0017453B">
      <w:pPr>
        <w:rPr>
          <w:b/>
          <w:bCs/>
        </w:rPr>
      </w:pPr>
      <w:proofErr w:type="spellStart"/>
      <w:r w:rsidRPr="009F0AE3">
        <w:rPr>
          <w:b/>
          <w:bCs/>
          <w:i/>
          <w:iCs/>
        </w:rPr>
        <w:t>Hüyükteki</w:t>
      </w:r>
      <w:proofErr w:type="spellEnd"/>
      <w:r w:rsidRPr="009F0AE3">
        <w:rPr>
          <w:b/>
          <w:bCs/>
          <w:i/>
          <w:iCs/>
        </w:rPr>
        <w:t xml:space="preserve"> Nar Ağacı</w:t>
      </w:r>
      <w:r w:rsidRPr="009F0AE3">
        <w:rPr>
          <w:b/>
          <w:bCs/>
        </w:rPr>
        <w:t xml:space="preserve"> </w:t>
      </w:r>
      <w:bookmarkStart w:id="42" w:name="_Hlk190957167"/>
      <w:r w:rsidRPr="009F0AE3">
        <w:rPr>
          <w:b/>
          <w:bCs/>
        </w:rPr>
        <w:t>Romanında İnancın Ontolojik İşlevi ve Anlamın İnşası</w:t>
      </w:r>
      <w:bookmarkEnd w:id="42"/>
    </w:p>
    <w:p w14:paraId="58C14C33" w14:textId="4452B2A5" w:rsidR="00914DCC" w:rsidRDefault="00914DCC" w:rsidP="0017453B">
      <w:pPr>
        <w:jc w:val="both"/>
      </w:pPr>
      <w:r w:rsidRPr="002170DB">
        <w:t>İnanç, “doğruluğu i</w:t>
      </w:r>
      <w:r>
        <w:t>çi</w:t>
      </w:r>
      <w:r w:rsidRPr="002170DB">
        <w:t>n sağlam dayanaklar</w:t>
      </w:r>
      <w:r>
        <w:t>ın</w:t>
      </w:r>
      <w:r w:rsidRPr="002170DB">
        <w:t>, rasyonel temellerin pek söz konusu olmad</w:t>
      </w:r>
      <w:r>
        <w:t>ığı</w:t>
      </w:r>
      <w:r w:rsidRPr="002170DB">
        <w:t xml:space="preserve"> bir öne</w:t>
      </w:r>
      <w:r>
        <w:t>rm</w:t>
      </w:r>
      <w:r w:rsidRPr="002170DB">
        <w:t>eyi doğru kabul etme tav</w:t>
      </w:r>
      <w:r>
        <w:t>rıdır</w:t>
      </w:r>
      <w:r w:rsidRPr="002170DB">
        <w:t>”</w:t>
      </w:r>
      <w:r>
        <w:t xml:space="preserve"> (</w:t>
      </w:r>
      <w:r w:rsidRPr="002170DB">
        <w:t>Cevizci</w:t>
      </w:r>
      <w:r>
        <w:t>, 1999, s.463).</w:t>
      </w:r>
      <w:r w:rsidRPr="002170DB">
        <w:t xml:space="preserve"> </w:t>
      </w:r>
      <w:proofErr w:type="spellStart"/>
      <w:r w:rsidRPr="002170DB">
        <w:t>Søren</w:t>
      </w:r>
      <w:proofErr w:type="spellEnd"/>
      <w:r w:rsidRPr="002170DB">
        <w:t xml:space="preserve"> Kierkegaard, inancı kişisel bir varoluş tarzı olarak tanımlar ve “inancın akıldışı, paradoksal, anlaşılmaz” olduğunu, akılla açıklanamayacağını savunur (2010, s.7). </w:t>
      </w:r>
      <w:r w:rsidRPr="00D73270">
        <w:rPr>
          <w:i/>
          <w:iCs/>
        </w:rPr>
        <w:t>Korku ve Titreme</w:t>
      </w:r>
      <w:r w:rsidRPr="002170DB">
        <w:t xml:space="preserve"> eserinde İbrahim ve İshak hikâyesi</w:t>
      </w:r>
      <w:r>
        <w:rPr>
          <w:rStyle w:val="DipnotBavurusu"/>
          <w:rFonts w:eastAsiaTheme="majorEastAsia"/>
        </w:rPr>
        <w:footnoteReference w:id="6"/>
      </w:r>
      <w:r w:rsidRPr="002170DB">
        <w:t xml:space="preserve"> üzerinden ortaya attığı </w:t>
      </w:r>
      <w:r w:rsidRPr="001D0FF2">
        <w:rPr>
          <w:i/>
          <w:iCs/>
        </w:rPr>
        <w:t>iman sıçraması/iman şövalyeliği</w:t>
      </w:r>
      <w:r>
        <w:t xml:space="preserve"> </w:t>
      </w:r>
      <w:r w:rsidRPr="002170DB">
        <w:t>kavramıyla, anlamın rasyonel temellerle değil, öznel inançla kurulduğunu öne sürer (Kierkegaard, 2022, s.75). İman/inanç sıçraması (</w:t>
      </w:r>
      <w:proofErr w:type="spellStart"/>
      <w:r w:rsidRPr="00A66697">
        <w:rPr>
          <w:i/>
          <w:iCs/>
        </w:rPr>
        <w:t>leap</w:t>
      </w:r>
      <w:proofErr w:type="spellEnd"/>
      <w:r w:rsidRPr="00A66697">
        <w:rPr>
          <w:i/>
          <w:iCs/>
        </w:rPr>
        <w:t xml:space="preserve"> of </w:t>
      </w:r>
      <w:proofErr w:type="spellStart"/>
      <w:r w:rsidRPr="00A66697">
        <w:rPr>
          <w:i/>
          <w:iCs/>
        </w:rPr>
        <w:t>faith</w:t>
      </w:r>
      <w:proofErr w:type="spellEnd"/>
      <w:r w:rsidRPr="002170DB">
        <w:t xml:space="preserve">) “akli bir dayanağa ve düşünceye dayanmadan, insanın bilinmeyenin derinliğine, Tanrıya kendini bırakması, iman etmesi” anlamına gelir (Salur ve Çelebi, 2022, s.367). Bu anlamda din ve inanç, insanı kaygıdan kurtaran bir mekanizma </w:t>
      </w:r>
      <w:r>
        <w:t xml:space="preserve">gibi çalışır </w:t>
      </w:r>
      <w:r w:rsidRPr="002170DB">
        <w:t>(Kierkegaard, 2013, s.116). Romanda, karakterlerin nar ağacının kutsallığına duydukları inanç hem geleneksel değerlere bağlılığı hem de doğaüstü güçlere olan güveni ifade eder. Bu inanç</w:t>
      </w:r>
      <w:r>
        <w:t>,</w:t>
      </w:r>
      <w:r w:rsidRPr="002170DB">
        <w:t xml:space="preserve"> karakterler için </w:t>
      </w:r>
      <w:r>
        <w:t xml:space="preserve">hem kolektif anlam inşası hem de </w:t>
      </w:r>
      <w:r w:rsidRPr="002170DB">
        <w:t xml:space="preserve">yaşama tutunma </w:t>
      </w:r>
      <w:r>
        <w:t>daya</w:t>
      </w:r>
      <w:r w:rsidRPr="002170DB">
        <w:t>nağı olarak işlev görür. Özellikle yoksulluk, kıtlık ve umutsuzluk içinde olan karakterler, bu anlatıya sığınarak hayata tutunmaya çalışırlar.</w:t>
      </w:r>
    </w:p>
    <w:p w14:paraId="1DDDCD53" w14:textId="77777777" w:rsidR="0017453B" w:rsidRDefault="0017453B" w:rsidP="0017453B">
      <w:pPr>
        <w:jc w:val="both"/>
      </w:pPr>
    </w:p>
    <w:p w14:paraId="0A9518CC" w14:textId="339C377D" w:rsidR="00914DCC" w:rsidRDefault="00914DCC" w:rsidP="0017453B">
      <w:pPr>
        <w:jc w:val="both"/>
      </w:pPr>
      <w:r w:rsidRPr="002920DD">
        <w:t>Nar, tarih boyunca çeşitli kültür ve inançlarda zengin sembolik anlamlar taşımıştır. Mezopotamya’dan Budist mitolojisine, Maniheizm’den İslamiyet’e kadar kutsal kabul edilen nar, bereket, doğurganlık, ölümsüzlük, hükümdarlık ve cennet gibi evrensel temaları temsil etmiş</w:t>
      </w:r>
      <w:r>
        <w:t>; i</w:t>
      </w:r>
      <w:r w:rsidRPr="002920DD">
        <w:t>çindeki sayısız çekirde</w:t>
      </w:r>
      <w:r>
        <w:t>kle</w:t>
      </w:r>
      <w:r w:rsidRPr="002920DD">
        <w:t xml:space="preserve"> neslin devamını, kırmızı rengi ve yuvarlak formuyla güneş ve ay ile bağdaştırılarak yaşam döngüsünü simgelemiştir. Şamanizm ve İslami ritüellerde koruyucu, şifacı ve arındırıcı bir rol üstlenen nar, halk anlatılarında cennet meyvesi olarak yüceltilmiş, aşk, sağlık ve bollukla ilişkilendirilmiştir (Kuş ve Duran, 2022, s.22-24; Şenocak, 2015, s.83-99). Ayrıca tasavvufta birlik, aşk ve gönlün manevi olgunluğunu temsil eden nar, </w:t>
      </w:r>
      <w:r w:rsidRPr="002920DD">
        <w:lastRenderedPageBreak/>
        <w:t>içindeki yüzlerce tanecik ile vahdette kesreti yani çokluk içinde birliği simgelemektedir.</w:t>
      </w:r>
      <w:r>
        <w:t xml:space="preserve"> </w:t>
      </w:r>
      <w:r w:rsidRPr="002920DD">
        <w:t>“Gökten geldiği düşünülen”, “ölümsüzlük veya olağanüstülük vasıflarıyla kutsanmış” bu cennet meyvesi, “</w:t>
      </w:r>
      <w:proofErr w:type="spellStart"/>
      <w:r w:rsidRPr="002920DD">
        <w:t>masivadan</w:t>
      </w:r>
      <w:proofErr w:type="spellEnd"/>
      <w:r w:rsidRPr="002920DD">
        <w:t xml:space="preserve"> kurtulup Hak aşkıyla yanan arınmış saf kalbi” temsil eder (Şenocak, 2015, s.99). Hatta halk söyleyişinde </w:t>
      </w:r>
      <w:r>
        <w:t xml:space="preserve">yer alan </w:t>
      </w:r>
      <w:r w:rsidRPr="00AA1CA0">
        <w:rPr>
          <w:i/>
          <w:iCs/>
        </w:rPr>
        <w:t>al elmayı ver narı</w:t>
      </w:r>
      <w:r w:rsidRPr="002920DD">
        <w:t xml:space="preserve"> ifadesi tasavvuf</w:t>
      </w:r>
      <w:r>
        <w:t>î</w:t>
      </w:r>
      <w:r w:rsidRPr="002920DD">
        <w:t xml:space="preserve"> ve mistik bağlamda derin sembolik anlamlar taşımaktadır. Âdem ile Havva kıssasında, bilginin ve yasak olanın sembolü</w:t>
      </w:r>
      <w:r>
        <w:t xml:space="preserve"> olan e</w:t>
      </w:r>
      <w:r w:rsidRPr="002920DD">
        <w:t>lma, genellikle nefsin arzularını, dünyaya bağlılığı veya maddi olanı (bilgiyi) simgeler. Yani</w:t>
      </w:r>
      <w:r>
        <w:t xml:space="preserve"> elmayı verip narı almak, </w:t>
      </w:r>
      <w:r w:rsidRPr="002920DD">
        <w:t>maddi olanı</w:t>
      </w:r>
      <w:r>
        <w:t xml:space="preserve">, </w:t>
      </w:r>
      <w:r w:rsidRPr="002920DD">
        <w:t>dünyevi arzuları, nefsin isteklerini terk edip, manevi olana</w:t>
      </w:r>
      <w:r>
        <w:t xml:space="preserve">, </w:t>
      </w:r>
      <w:r w:rsidRPr="002920DD">
        <w:t>ilahi aşka, maneviyata ve hakikate yönelmeyi öğütleyen bir öğreti niteliğindedir. Dolayısıyla</w:t>
      </w:r>
      <w:r w:rsidRPr="00AD6B49">
        <w:t xml:space="preserve"> </w:t>
      </w:r>
      <w:r>
        <w:t xml:space="preserve">hem </w:t>
      </w:r>
      <w:r w:rsidRPr="002920DD">
        <w:t xml:space="preserve">kültürel </w:t>
      </w:r>
      <w:r>
        <w:t xml:space="preserve">hem de </w:t>
      </w:r>
      <w:r w:rsidRPr="002920DD">
        <w:t>mitolojik</w:t>
      </w:r>
      <w:r>
        <w:t xml:space="preserve"> olarak</w:t>
      </w:r>
      <w:r w:rsidRPr="002920DD">
        <w:t xml:space="preserve"> </w:t>
      </w:r>
      <w:r w:rsidRPr="00346689">
        <w:rPr>
          <w:i/>
          <w:iCs/>
        </w:rPr>
        <w:t xml:space="preserve">nar </w:t>
      </w:r>
      <w:r w:rsidRPr="002920DD">
        <w:t xml:space="preserve">etrafında inşa edilmiş </w:t>
      </w:r>
      <w:r>
        <w:t>oldukça</w:t>
      </w:r>
      <w:r w:rsidRPr="002920DD">
        <w:t xml:space="preserve"> zengin anlam </w:t>
      </w:r>
      <w:r>
        <w:t>katmanları</w:t>
      </w:r>
      <w:r w:rsidRPr="002920DD">
        <w:t xml:space="preserve"> vardır.</w:t>
      </w:r>
    </w:p>
    <w:p w14:paraId="56B24A3E" w14:textId="77777777" w:rsidR="0017453B" w:rsidRPr="002920DD" w:rsidRDefault="0017453B" w:rsidP="0017453B">
      <w:pPr>
        <w:jc w:val="both"/>
      </w:pPr>
    </w:p>
    <w:p w14:paraId="14E4FC8A" w14:textId="0B097E32" w:rsidR="00914DCC" w:rsidRDefault="00914DCC" w:rsidP="0017453B">
      <w:pPr>
        <w:jc w:val="both"/>
      </w:pPr>
      <w:r w:rsidRPr="002920DD">
        <w:t xml:space="preserve">Nar ağacına dair Yusuf’un düşünde gördüğü olağanüstülükler eserin mitolojik dokusunu derinleştirir. Düşle gerçek arasında salınan bu anlatı, yalnızca Yusuf’un içsel yolculuğunu değil, aynı zamanda eserin bütününe sinmiş </w:t>
      </w:r>
      <w:proofErr w:type="spellStart"/>
      <w:r w:rsidRPr="002920DD">
        <w:t>mitik</w:t>
      </w:r>
      <w:proofErr w:type="spellEnd"/>
      <w:r w:rsidRPr="002920DD">
        <w:t xml:space="preserve"> atmosferi de güçlendirir. Kutsal kökeni Hz. Ali’nin diktiği inancına dayanan bu efsanevi ağaç hem fiziksel hem de metafizik özelliklerle bezenmiştir. Çınar büyüklüğündeki nar ağacı, kızıl çiçekleriyle göz kamaştırırken köklerinden fışkıran ışık suyu ile hastalara şifa dağıtır. Etrafına yılan ve sivrisinek gibi zararlıların ve içinde kötülük barındıranların yaklaşamadığı bu </w:t>
      </w:r>
      <w:proofErr w:type="spellStart"/>
      <w:r w:rsidRPr="002920DD">
        <w:t>mitik</w:t>
      </w:r>
      <w:proofErr w:type="spellEnd"/>
      <w:r w:rsidRPr="002920DD">
        <w:t xml:space="preserve"> ağaç, gizemli bir koruma kalkanına sahiptir. Altında uyuyanların bedenen ve ruhen arındığına, hatta üç gün geçirenlerin “yeniden doğduğuna” inanılır. Kesilse bile yeniden canlanma gücüyle adeta ölümsüzlüğe meydan okuyan bu kutsal varlık, mitolojik bir direnişi yansıtır (</w:t>
      </w:r>
      <w:r>
        <w:t xml:space="preserve">Kemal, 1982, </w:t>
      </w:r>
      <w:r w:rsidRPr="002920DD">
        <w:t>s.96-97).</w:t>
      </w:r>
    </w:p>
    <w:p w14:paraId="26AB51F9" w14:textId="77777777" w:rsidR="0017453B" w:rsidRDefault="0017453B" w:rsidP="0017453B">
      <w:pPr>
        <w:jc w:val="both"/>
      </w:pPr>
    </w:p>
    <w:p w14:paraId="2FB8F6FA" w14:textId="77777777" w:rsidR="00914DCC" w:rsidRDefault="00914DCC" w:rsidP="0017453B">
      <w:pPr>
        <w:jc w:val="both"/>
      </w:pPr>
      <w:r w:rsidRPr="007359C8">
        <w:t xml:space="preserve">Viktor </w:t>
      </w:r>
      <w:proofErr w:type="spellStart"/>
      <w:r w:rsidRPr="007359C8">
        <w:t>Frankl'ın</w:t>
      </w:r>
      <w:proofErr w:type="spellEnd"/>
      <w:r w:rsidRPr="007359C8">
        <w:t xml:space="preserve"> Nazi toplama kamplarındaki deneyimlerine dayanan </w:t>
      </w:r>
      <w:proofErr w:type="spellStart"/>
      <w:r w:rsidRPr="007359C8">
        <w:t>logoterapi</w:t>
      </w:r>
      <w:proofErr w:type="spellEnd"/>
      <w:r w:rsidRPr="007359C8">
        <w:t>, insanın temel motivasyonunun yaşamda anlam arayışı olduğunu savunur. Freud'un haz ilkesi</w:t>
      </w:r>
      <w:r w:rsidRPr="007359C8">
        <w:rPr>
          <w:rStyle w:val="DipnotBavurusu"/>
          <w:rFonts w:eastAsiaTheme="majorEastAsia"/>
        </w:rPr>
        <w:footnoteReference w:id="7"/>
      </w:r>
      <w:r w:rsidRPr="007359C8">
        <w:t xml:space="preserve"> ve Adler'in üstünlük çabasının</w:t>
      </w:r>
      <w:r w:rsidRPr="007359C8">
        <w:rPr>
          <w:rStyle w:val="DipnotBavurusu"/>
          <w:rFonts w:eastAsiaTheme="majorEastAsia"/>
        </w:rPr>
        <w:footnoteReference w:id="8"/>
      </w:r>
      <w:r w:rsidRPr="007359C8">
        <w:t xml:space="preserve"> aksine, bu varoluşçu yaklaşım, anlam bulma ihtiyacını insan varoluşunun merkezine yerleştirir</w:t>
      </w:r>
      <w:r>
        <w:t xml:space="preserve"> (</w:t>
      </w:r>
      <w:proofErr w:type="spellStart"/>
      <w:r>
        <w:t>Frankl</w:t>
      </w:r>
      <w:proofErr w:type="spellEnd"/>
      <w:r>
        <w:t>, 2009, s.113)</w:t>
      </w:r>
      <w:r w:rsidRPr="007359C8">
        <w:t xml:space="preserve">. </w:t>
      </w:r>
      <w:proofErr w:type="spellStart"/>
      <w:r w:rsidRPr="007359C8">
        <w:t>Frankl'a</w:t>
      </w:r>
      <w:proofErr w:type="spellEnd"/>
      <w:r w:rsidRPr="007359C8">
        <w:t xml:space="preserve"> göre anlam, bireyin en zorlu koşullarda bile direnç göstermesini sağlar; kamplarda hayatta kalanlar çoğunlukla yaşamlarına amaç bağlayabilenlerdir</w:t>
      </w:r>
      <w:r>
        <w:t xml:space="preserve"> (2009, s.93)</w:t>
      </w:r>
      <w:r w:rsidRPr="007359C8">
        <w:t>. Ağacın aranışı, karakterleri ortak bir amaçta birleştirerek yıkıcı gerçeklikler karşısında direnç ve dayanışma sağlar. Ona atfedilen mucizevi güç, pragmatik bir hayatta kalma stratejisinin ötesinde, anlam arayışının kolektif bir tezahürü olarak şekillenir. Âşık Ali’nin türküleri ve anlatılarıyla beslenen bu sembol, kültürel belleğin çözümsüzlük karşısındaki direnişini de cisimleştirir.</w:t>
      </w:r>
    </w:p>
    <w:p w14:paraId="31F771A6" w14:textId="77777777" w:rsidR="0017453B" w:rsidRPr="007359C8" w:rsidRDefault="0017453B" w:rsidP="0017453B">
      <w:pPr>
        <w:jc w:val="both"/>
      </w:pPr>
    </w:p>
    <w:p w14:paraId="65E79B2D" w14:textId="77777777" w:rsidR="00914DCC" w:rsidRDefault="00914DCC" w:rsidP="0017453B">
      <w:pPr>
        <w:jc w:val="both"/>
      </w:pPr>
      <w:r w:rsidRPr="007359C8">
        <w:t xml:space="preserve">Elli yıldır bölgede şifalı ot toplayan, bütün dağları, pınarları ezbere bilen ve Lokman Hekim'in soyundan geldiği söylenen Otçu Hasan ve </w:t>
      </w:r>
      <w:proofErr w:type="spellStart"/>
      <w:r w:rsidRPr="007359C8">
        <w:t>Savrun</w:t>
      </w:r>
      <w:proofErr w:type="spellEnd"/>
      <w:r w:rsidRPr="007359C8">
        <w:t xml:space="preserve"> Çayı’nda karşılaştıkları </w:t>
      </w:r>
      <w:proofErr w:type="spellStart"/>
      <w:r w:rsidRPr="007359C8">
        <w:t>traktörcünün</w:t>
      </w:r>
      <w:proofErr w:type="spellEnd"/>
      <w:r w:rsidRPr="007359C8">
        <w:t xml:space="preserve"> ağacın varlığına dair reddiyeleri, </w:t>
      </w:r>
      <w:r>
        <w:t xml:space="preserve">yani </w:t>
      </w:r>
      <w:r w:rsidRPr="007359C8">
        <w:t xml:space="preserve">böyle bir ağacın var olmadığını söylemeleri bile onları bu ağacın yokluğuna ikna edemez. Aşık Ali kesin bir şekilde nar ağacının var olduğunu söylerken, </w:t>
      </w:r>
      <w:proofErr w:type="spellStart"/>
      <w:r w:rsidRPr="007359C8">
        <w:t>Memet</w:t>
      </w:r>
      <w:proofErr w:type="spellEnd"/>
      <w:r w:rsidRPr="007359C8">
        <w:t xml:space="preserve"> ve Yusuf da onu destekler. Başlangıçta nar ağacının varlığına inanmayan </w:t>
      </w:r>
      <w:proofErr w:type="spellStart"/>
      <w:r w:rsidRPr="007359C8">
        <w:t>Hösük</w:t>
      </w:r>
      <w:proofErr w:type="spellEnd"/>
      <w:r w:rsidRPr="007359C8">
        <w:t xml:space="preserve"> bile bu inanışa ve bu inanışın yarattığı anlama sıkı sıkıya tutunmuştur. Ağacın yokluğuna dair en ufak bir imaya bile son derece öfkelenir. </w:t>
      </w:r>
      <w:proofErr w:type="spellStart"/>
      <w:r w:rsidRPr="007359C8">
        <w:t>Hösük’ün</w:t>
      </w:r>
      <w:proofErr w:type="spellEnd"/>
      <w:r w:rsidRPr="007359C8">
        <w:t xml:space="preserve"> başlangıçtaki şüpheci tavrının yumuşaması, çaresizliğin inanca dönüşen paradoksal dinamiğini vurgular.</w:t>
      </w:r>
    </w:p>
    <w:p w14:paraId="4862BBC5" w14:textId="77777777" w:rsidR="0017453B" w:rsidRDefault="0017453B" w:rsidP="0017453B">
      <w:pPr>
        <w:jc w:val="both"/>
      </w:pPr>
    </w:p>
    <w:p w14:paraId="0138FCB2" w14:textId="77777777" w:rsidR="00914DCC" w:rsidRDefault="00914DCC" w:rsidP="0017453B">
      <w:pPr>
        <w:ind w:left="1134" w:right="1134"/>
        <w:contextualSpacing/>
      </w:pPr>
      <w:r w:rsidRPr="00A95CE1">
        <w:t>“</w:t>
      </w:r>
      <w:r w:rsidRPr="00D039A9">
        <w:t>Otçu Hasan gevşemiş, yumuşak</w:t>
      </w:r>
      <w:r w:rsidRPr="00A95CE1">
        <w:t>,</w:t>
      </w:r>
      <w:r w:rsidRPr="00D039A9">
        <w:t xml:space="preserve"> okşar onlara </w:t>
      </w:r>
      <w:r w:rsidRPr="00A95CE1">
        <w:t xml:space="preserve">bakarak gülümsedi, </w:t>
      </w:r>
      <w:r w:rsidRPr="00D039A9">
        <w:t>güvenli bir sesle</w:t>
      </w:r>
      <w:r w:rsidRPr="00A95CE1">
        <w:t>: ‘</w:t>
      </w:r>
      <w:r w:rsidRPr="00D039A9">
        <w:t>Çukurova'da böyle kutsal bir ağaç yok,</w:t>
      </w:r>
      <w:r w:rsidRPr="00A95CE1">
        <w:t>’</w:t>
      </w:r>
      <w:r w:rsidRPr="00D039A9">
        <w:t xml:space="preserve"> dedi. </w:t>
      </w:r>
      <w:r w:rsidRPr="00A95CE1">
        <w:t>‘</w:t>
      </w:r>
      <w:r w:rsidRPr="00D039A9">
        <w:t>Olsaydı ah...</w:t>
      </w:r>
      <w:r w:rsidRPr="00A95CE1">
        <w:t xml:space="preserve">’ diye de </w:t>
      </w:r>
      <w:r w:rsidRPr="00D039A9">
        <w:t>ekledi</w:t>
      </w:r>
      <w:r w:rsidRPr="00A95CE1">
        <w:t>.</w:t>
      </w:r>
    </w:p>
    <w:p w14:paraId="0242E8FF" w14:textId="77777777" w:rsidR="00914DCC" w:rsidRDefault="00914DCC" w:rsidP="0017453B">
      <w:pPr>
        <w:ind w:left="1134" w:right="1134"/>
        <w:contextualSpacing/>
      </w:pPr>
      <w:r>
        <w:t>‘</w:t>
      </w:r>
      <w:r w:rsidRPr="00D039A9">
        <w:t>Var</w:t>
      </w:r>
      <w:r w:rsidRPr="00A95CE1">
        <w:t>,’</w:t>
      </w:r>
      <w:r w:rsidRPr="00D039A9">
        <w:t xml:space="preserve"> dedi kesin bir sesle </w:t>
      </w:r>
      <w:r w:rsidRPr="00A95CE1">
        <w:t>Aşık</w:t>
      </w:r>
      <w:r w:rsidRPr="00D039A9">
        <w:t xml:space="preserve"> Ali.</w:t>
      </w:r>
      <w:r w:rsidRPr="00A95CE1">
        <w:t xml:space="preserve"> ‘Var!’</w:t>
      </w:r>
    </w:p>
    <w:p w14:paraId="5BF1382E" w14:textId="77777777" w:rsidR="00914DCC" w:rsidRDefault="00914DCC" w:rsidP="0017453B">
      <w:pPr>
        <w:ind w:left="1134" w:right="1134"/>
        <w:contextualSpacing/>
      </w:pPr>
      <w:proofErr w:type="spellStart"/>
      <w:r w:rsidRPr="00D039A9">
        <w:t>Memet</w:t>
      </w:r>
      <w:proofErr w:type="spellEnd"/>
      <w:r w:rsidRPr="00A95CE1">
        <w:t>: ‘Var!’</w:t>
      </w:r>
    </w:p>
    <w:p w14:paraId="5005353B" w14:textId="77777777" w:rsidR="00914DCC" w:rsidRDefault="00914DCC" w:rsidP="0017453B">
      <w:pPr>
        <w:ind w:left="1134" w:right="1134"/>
        <w:contextualSpacing/>
      </w:pPr>
      <w:r w:rsidRPr="00D039A9">
        <w:t>Yusuf</w:t>
      </w:r>
      <w:r w:rsidRPr="00A95CE1">
        <w:t>: ‘Var!’</w:t>
      </w:r>
    </w:p>
    <w:p w14:paraId="72D7F4F8" w14:textId="063AF818" w:rsidR="00914DCC" w:rsidRDefault="00914DCC" w:rsidP="0017453B">
      <w:pPr>
        <w:ind w:left="1134" w:right="1134"/>
        <w:contextualSpacing/>
      </w:pPr>
      <w:proofErr w:type="spellStart"/>
      <w:r w:rsidRPr="00D039A9">
        <w:t>Hösük</w:t>
      </w:r>
      <w:proofErr w:type="spellEnd"/>
      <w:r w:rsidRPr="00A95CE1">
        <w:t>: ‘</w:t>
      </w:r>
      <w:r w:rsidRPr="00D039A9">
        <w:t>Olmaz olur mu? Sen bilmiyorsun</w:t>
      </w:r>
      <w:r w:rsidRPr="00A95CE1">
        <w:t xml:space="preserve"> </w:t>
      </w:r>
      <w:r w:rsidRPr="00D039A9">
        <w:t>yerini, bir de bizim ağacımıza yok</w:t>
      </w:r>
      <w:r w:rsidRPr="00A95CE1">
        <w:t xml:space="preserve"> </w:t>
      </w:r>
      <w:r w:rsidRPr="00D039A9">
        <w:t>diyorsun!</w:t>
      </w:r>
      <w:r w:rsidRPr="00A95CE1">
        <w:t>’</w:t>
      </w:r>
    </w:p>
    <w:p w14:paraId="61DDB472" w14:textId="77777777" w:rsidR="00914DCC" w:rsidRDefault="00914DCC" w:rsidP="0017453B">
      <w:pPr>
        <w:ind w:left="1134" w:right="1134"/>
        <w:contextualSpacing/>
      </w:pPr>
      <w:r w:rsidRPr="00A95CE1">
        <w:t>‘</w:t>
      </w:r>
      <w:r w:rsidRPr="00D039A9">
        <w:t>Yok,</w:t>
      </w:r>
      <w:r w:rsidRPr="00A95CE1">
        <w:t>’</w:t>
      </w:r>
      <w:r w:rsidRPr="00D039A9">
        <w:t xml:space="preserve"> dedi inatla </w:t>
      </w:r>
      <w:r w:rsidRPr="00A95CE1">
        <w:t>o</w:t>
      </w:r>
      <w:r w:rsidRPr="00D039A9">
        <w:t xml:space="preserve">tçu Hasan. </w:t>
      </w:r>
      <w:r w:rsidRPr="00A95CE1">
        <w:t>‘</w:t>
      </w:r>
      <w:r w:rsidRPr="00D039A9">
        <w:t>Olsa ben yerini bilmez miyim?</w:t>
      </w:r>
      <w:r w:rsidRPr="00A95CE1">
        <w:t>’</w:t>
      </w:r>
    </w:p>
    <w:p w14:paraId="116057E7" w14:textId="77777777" w:rsidR="00914DCC" w:rsidRDefault="00914DCC" w:rsidP="0017453B">
      <w:pPr>
        <w:ind w:left="1134" w:right="1134"/>
        <w:contextualSpacing/>
      </w:pPr>
      <w:r w:rsidRPr="00A95CE1">
        <w:t>‘</w:t>
      </w:r>
      <w:r w:rsidRPr="00D039A9">
        <w:t>Bilemezsin,</w:t>
      </w:r>
      <w:r w:rsidRPr="00A95CE1">
        <w:t>’</w:t>
      </w:r>
      <w:r w:rsidRPr="00D039A9">
        <w:t xml:space="preserve"> dedi </w:t>
      </w:r>
      <w:r w:rsidRPr="00A95CE1">
        <w:t>Aşık</w:t>
      </w:r>
      <w:r w:rsidRPr="00D039A9">
        <w:t xml:space="preserve"> Ali.</w:t>
      </w:r>
    </w:p>
    <w:p w14:paraId="3818EE45" w14:textId="77777777" w:rsidR="00914DCC" w:rsidRDefault="00914DCC" w:rsidP="0017453B">
      <w:pPr>
        <w:ind w:left="1134" w:right="1134"/>
        <w:contextualSpacing/>
      </w:pPr>
      <w:r w:rsidRPr="00A95CE1">
        <w:t>‘</w:t>
      </w:r>
      <w:r w:rsidRPr="00D039A9">
        <w:t>Bilemezsin,</w:t>
      </w:r>
      <w:r w:rsidRPr="00A95CE1">
        <w:t>’</w:t>
      </w:r>
      <w:r w:rsidRPr="00D039A9">
        <w:t xml:space="preserve"> diye gürledi </w:t>
      </w:r>
      <w:proofErr w:type="spellStart"/>
      <w:r w:rsidRPr="00D039A9">
        <w:t>Hösük</w:t>
      </w:r>
      <w:proofErr w:type="spellEnd"/>
      <w:r w:rsidRPr="00D039A9">
        <w:t>.</w:t>
      </w:r>
    </w:p>
    <w:p w14:paraId="2F798D22" w14:textId="77777777" w:rsidR="00914DCC" w:rsidRDefault="00914DCC" w:rsidP="0017453B">
      <w:pPr>
        <w:ind w:left="1134" w:right="1134"/>
        <w:contextualSpacing/>
      </w:pPr>
      <w:r w:rsidRPr="00A95CE1">
        <w:t>‘</w:t>
      </w:r>
      <w:r w:rsidRPr="00D039A9">
        <w:t>Bilirim</w:t>
      </w:r>
      <w:r w:rsidRPr="00A95CE1">
        <w:t>,’</w:t>
      </w:r>
      <w:r w:rsidRPr="00D039A9">
        <w:t xml:space="preserve"> diye gürledi </w:t>
      </w:r>
      <w:r w:rsidRPr="00A95CE1">
        <w:t>o</w:t>
      </w:r>
      <w:r w:rsidRPr="00D039A9">
        <w:t>tçu Hasan, onuruna dokunulmuş.</w:t>
      </w:r>
    </w:p>
    <w:p w14:paraId="65281070" w14:textId="77777777" w:rsidR="00914DCC" w:rsidRDefault="00914DCC" w:rsidP="0017453B">
      <w:pPr>
        <w:ind w:left="1134" w:right="1134"/>
        <w:contextualSpacing/>
      </w:pPr>
      <w:r w:rsidRPr="00A95CE1">
        <w:t>‘</w:t>
      </w:r>
      <w:r w:rsidRPr="00D039A9">
        <w:t>Biliyorsan söyle</w:t>
      </w:r>
      <w:r w:rsidRPr="00A95CE1">
        <w:t xml:space="preserve">,’ </w:t>
      </w:r>
      <w:r w:rsidRPr="00D039A9">
        <w:t>diye dik</w:t>
      </w:r>
      <w:r w:rsidRPr="00A95CE1">
        <w:t>e</w:t>
      </w:r>
      <w:r w:rsidRPr="00D039A9">
        <w:t xml:space="preserve">ldi </w:t>
      </w:r>
      <w:r w:rsidRPr="00A95CE1">
        <w:t>Aşık</w:t>
      </w:r>
      <w:r w:rsidRPr="00D039A9">
        <w:t xml:space="preserve"> Ali.</w:t>
      </w:r>
    </w:p>
    <w:p w14:paraId="4D0B96A4" w14:textId="1F4C5F7A" w:rsidR="00914DCC" w:rsidRDefault="00914DCC" w:rsidP="0017453B">
      <w:pPr>
        <w:ind w:left="1134" w:right="1134"/>
        <w:contextualSpacing/>
      </w:pPr>
      <w:r w:rsidRPr="00A95CE1">
        <w:t>‘</w:t>
      </w:r>
      <w:r w:rsidRPr="00D039A9">
        <w:t>Yok ki bileyim</w:t>
      </w:r>
      <w:r w:rsidRPr="00A95CE1">
        <w:t>.’</w:t>
      </w:r>
    </w:p>
    <w:p w14:paraId="509EF861" w14:textId="77777777" w:rsidR="00914DCC" w:rsidRDefault="00914DCC" w:rsidP="0017453B">
      <w:pPr>
        <w:ind w:left="1134" w:right="1134"/>
        <w:contextualSpacing/>
      </w:pPr>
      <w:r w:rsidRPr="00A95CE1">
        <w:t>‘</w:t>
      </w:r>
      <w:r w:rsidRPr="00D039A9">
        <w:t>Var</w:t>
      </w:r>
      <w:r w:rsidRPr="00A95CE1">
        <w:t>.’</w:t>
      </w:r>
    </w:p>
    <w:p w14:paraId="7DAB832B" w14:textId="77777777" w:rsidR="00914DCC" w:rsidRDefault="00914DCC" w:rsidP="0017453B">
      <w:pPr>
        <w:ind w:left="1134" w:right="1134"/>
        <w:contextualSpacing/>
      </w:pPr>
      <w:r w:rsidRPr="00A95CE1">
        <w:t xml:space="preserve">Araya </w:t>
      </w:r>
      <w:r w:rsidRPr="00D039A9">
        <w:t>Bostancı Ahmet gir</w:t>
      </w:r>
      <w:r w:rsidRPr="00A95CE1">
        <w:t>di,</w:t>
      </w:r>
      <w:r w:rsidRPr="00D039A9">
        <w:t xml:space="preserve"> onları bir an için yatıştırdı.</w:t>
      </w:r>
      <w:r w:rsidRPr="00A95CE1">
        <w:t>” (Kemal, 1982, s.105)</w:t>
      </w:r>
    </w:p>
    <w:p w14:paraId="04006882" w14:textId="77777777" w:rsidR="0017453B" w:rsidRPr="00D039A9" w:rsidRDefault="0017453B" w:rsidP="0017453B">
      <w:pPr>
        <w:ind w:left="1134" w:right="1134"/>
        <w:contextualSpacing/>
      </w:pPr>
    </w:p>
    <w:p w14:paraId="37D3F1F9" w14:textId="77777777" w:rsidR="00914DCC" w:rsidRDefault="00914DCC" w:rsidP="0017453B">
      <w:pPr>
        <w:jc w:val="both"/>
      </w:pPr>
      <w:proofErr w:type="spellStart"/>
      <w:r w:rsidRPr="002D18B8">
        <w:t>Frankl'e</w:t>
      </w:r>
      <w:proofErr w:type="spellEnd"/>
      <w:r w:rsidRPr="002D18B8">
        <w:t xml:space="preserve"> göre anlam arayışı, bireyin ahlaki-tinsel bağlarını güçlendirerek varoluşsal boşluğa düşme riskini azaltır. Anlam, kaçınılmaz acıları anlamlandırma ve bunları kişisel zaferlere dönüştürme işlevi görerek ruh sağlığını korur. Umudun yitirilmesi, manevi çöküşü tetiklerken, anlam odaklı hedefler</w:t>
      </w:r>
      <w:r>
        <w:t xml:space="preserve"> bireylerde</w:t>
      </w:r>
      <w:r w:rsidRPr="002D18B8">
        <w:t xml:space="preserve"> içsel bir direnç sağlar. Anlam arayışı, belirsizlik içinde bile umudu besleyen dinamik bir süreçtir</w:t>
      </w:r>
      <w:r>
        <w:t>, a</w:t>
      </w:r>
      <w:r w:rsidRPr="002D18B8">
        <w:t>nlamsızlık</w:t>
      </w:r>
      <w:r>
        <w:t xml:space="preserve"> ise </w:t>
      </w:r>
      <w:r w:rsidRPr="002D18B8">
        <w:t>amaç ve değer eksikliğiyle tanımlanır (</w:t>
      </w:r>
      <w:proofErr w:type="spellStart"/>
      <w:r w:rsidRPr="002D18B8">
        <w:t>Frankl</w:t>
      </w:r>
      <w:proofErr w:type="spellEnd"/>
      <w:r w:rsidRPr="002D18B8">
        <w:t>, 1994</w:t>
      </w:r>
      <w:r>
        <w:t>, s.32-33; 2009, s.158</w:t>
      </w:r>
      <w:r w:rsidRPr="002D18B8">
        <w:t xml:space="preserve">). </w:t>
      </w:r>
      <w:proofErr w:type="spellStart"/>
      <w:r w:rsidRPr="002D18B8">
        <w:t>Beckett'ın</w:t>
      </w:r>
      <w:proofErr w:type="spellEnd"/>
      <w:r w:rsidRPr="002D18B8">
        <w:t xml:space="preserve"> eserlerindeki gibi, anlam tamamlanmış bir süreç olarak statik değil</w:t>
      </w:r>
      <w:r>
        <w:t>dir</w:t>
      </w:r>
      <w:r w:rsidRPr="002D18B8">
        <w:t>, sürekli yeniden inşa edilir.</w:t>
      </w:r>
      <w:r>
        <w:rPr>
          <w:rStyle w:val="DipnotBavurusu"/>
          <w:rFonts w:eastAsiaTheme="majorEastAsia"/>
        </w:rPr>
        <w:footnoteReference w:id="9"/>
      </w:r>
      <w:r w:rsidRPr="002D18B8">
        <w:t xml:space="preserve"> İnanç</w:t>
      </w:r>
      <w:r>
        <w:t>lar,</w:t>
      </w:r>
      <w:r w:rsidRPr="002D18B8">
        <w:t xml:space="preserve"> bu süreçte umudu besleyerek belirsizliğe rağmen bireylerin dirençli olma</w:t>
      </w:r>
      <w:r>
        <w:t>larını;</w:t>
      </w:r>
      <w:r w:rsidRPr="002D18B8">
        <w:t xml:space="preserve"> değerlerini ve gerçeklik algısını şekillendirerek yaşama anlam yüklemelerini, varoluşsal belirsizliklerle başa çıkmalarını ve içsel boşluk hissini aşmalarını sağla</w:t>
      </w:r>
      <w:r>
        <w:t xml:space="preserve">r (Karaçalı ve Korkmaz, 2023). </w:t>
      </w:r>
      <w:r w:rsidRPr="002D18B8">
        <w:t>Aynı zamanda bireysel ve kolektif anlam inşasını destekler. Böylece hem bireyin içsel uyumunu hem de toplumsal düzenin sürdürülebilirliğini mümkün kılar</w:t>
      </w:r>
      <w:r>
        <w:t xml:space="preserve"> (</w:t>
      </w:r>
      <w:proofErr w:type="spellStart"/>
      <w:r>
        <w:t>Abuzar</w:t>
      </w:r>
      <w:proofErr w:type="spellEnd"/>
      <w:r>
        <w:t>, 2011, s.148)</w:t>
      </w:r>
      <w:r w:rsidRPr="002D18B8">
        <w:t>.</w:t>
      </w:r>
    </w:p>
    <w:p w14:paraId="4364C47B" w14:textId="77777777" w:rsidR="0017453B" w:rsidRPr="002D18B8" w:rsidRDefault="0017453B" w:rsidP="0017453B">
      <w:pPr>
        <w:jc w:val="both"/>
      </w:pPr>
    </w:p>
    <w:p w14:paraId="58F69FC4" w14:textId="77777777" w:rsidR="00914DCC" w:rsidRDefault="00914DCC" w:rsidP="0017453B">
      <w:pPr>
        <w:jc w:val="both"/>
      </w:pPr>
      <w:r w:rsidRPr="002D18B8">
        <w:t>Dinin</w:t>
      </w:r>
      <w:r>
        <w:t>, dolayısıyla da inanışların, bireysel ve toplumsal yaşamdaki</w:t>
      </w:r>
      <w:r w:rsidRPr="002D18B8">
        <w:t xml:space="preserve"> işlevleri, </w:t>
      </w:r>
      <w:r>
        <w:t xml:space="preserve">farklı </w:t>
      </w:r>
      <w:r w:rsidRPr="002D18B8">
        <w:t>teorik perspektifler ışığında göreli ve çok boyutlu şekilde ele alınmaktadır. Temel olarak</w:t>
      </w:r>
      <w:r>
        <w:t xml:space="preserve"> söyleyecek olursak</w:t>
      </w:r>
      <w:r w:rsidRPr="002D18B8">
        <w:t xml:space="preserve">, sosyal sistemin bütünlüğünü ve düzenliliğini sağlamak, dayanışma ve yardımlaşmayı güçlendirmek, sembolik yapılar inşa etmek ve bireysel-toplumsal eylemleri normatif çerçevelerle düzenlemek gibi sosyolojik işlevler </w:t>
      </w:r>
      <w:r>
        <w:t xml:space="preserve">bunlar arasında </w:t>
      </w:r>
      <w:r w:rsidRPr="002D18B8">
        <w:t>öne çık</w:t>
      </w:r>
      <w:r>
        <w:t>anlardır</w:t>
      </w:r>
      <w:r w:rsidRPr="002D18B8">
        <w:t>. Aynı zamanda din, bireylerin anlam arayışına ve kimlik oluşumuna kaynak teşkil ederek kolektif bilinci şekillendir</w:t>
      </w:r>
      <w:r>
        <w:t xml:space="preserve">ir </w:t>
      </w:r>
      <w:r w:rsidRPr="002D18B8">
        <w:t>(</w:t>
      </w:r>
      <w:r>
        <w:t xml:space="preserve">Çoşkun, 2005, </w:t>
      </w:r>
      <w:r w:rsidRPr="002D18B8">
        <w:t>s.14). B</w:t>
      </w:r>
      <w:r>
        <w:t>ütün b</w:t>
      </w:r>
      <w:r w:rsidRPr="002D18B8">
        <w:t>u</w:t>
      </w:r>
      <w:r>
        <w:t xml:space="preserve"> roller</w:t>
      </w:r>
      <w:r w:rsidRPr="002D18B8">
        <w:t xml:space="preserve">, kurumsallaşmış inançların toplumsal yapılar ve bireysel deneyimler üzerindeki çok katmanlı etkisini </w:t>
      </w:r>
      <w:r>
        <w:t xml:space="preserve">de </w:t>
      </w:r>
      <w:r w:rsidRPr="002D18B8">
        <w:t>ortaya koy</w:t>
      </w:r>
      <w:r>
        <w:t>maktadır</w:t>
      </w:r>
      <w:r w:rsidRPr="002D18B8">
        <w:t>.</w:t>
      </w:r>
      <w:r>
        <w:t xml:space="preserve">  </w:t>
      </w:r>
      <w:r w:rsidRPr="00371E45">
        <w:t xml:space="preserve">Peter L. </w:t>
      </w:r>
      <w:r w:rsidRPr="00371E45">
        <w:lastRenderedPageBreak/>
        <w:t xml:space="preserve">Berger’e göre din, toplumun temel değerlerini sembolik anlam dünyaları inşa ederek meşrulaştıran bir olgudur. Berger, bu süreci Thomas </w:t>
      </w:r>
      <w:proofErr w:type="spellStart"/>
      <w:r w:rsidRPr="00371E45">
        <w:t>Luckmann’ın</w:t>
      </w:r>
      <w:proofErr w:type="spellEnd"/>
      <w:r w:rsidRPr="00371E45">
        <w:t xml:space="preserve"> "görünmeyen din" (</w:t>
      </w:r>
      <w:proofErr w:type="spellStart"/>
      <w:r w:rsidRPr="00371E45">
        <w:t>invisible</w:t>
      </w:r>
      <w:proofErr w:type="spellEnd"/>
      <w:r w:rsidRPr="00371E45">
        <w:t xml:space="preserve"> </w:t>
      </w:r>
      <w:proofErr w:type="spellStart"/>
      <w:r w:rsidRPr="00371E45">
        <w:t>religion</w:t>
      </w:r>
      <w:proofErr w:type="spellEnd"/>
      <w:r w:rsidRPr="00371E45">
        <w:t>) kavramına atıfla açıklar: Din, toplumsal düzeni kutsal ve kozmik bir referans çerçevesine bağlayarak, kurumlara nihaî bir ontolojik geçerlilik kazandırır (</w:t>
      </w:r>
      <w:r>
        <w:t xml:space="preserve">Berger, </w:t>
      </w:r>
      <w:r w:rsidRPr="00371E45">
        <w:t>1993, s.16; s.66-67). Ona göre din, bireylere varoluşsal bir çerçeve sağlayarak toplumsal gerçekliği istikrara kavuşturur</w:t>
      </w:r>
      <w:r>
        <w:t>;</w:t>
      </w:r>
      <w:r w:rsidRPr="00371E45">
        <w:t xml:space="preserve"> insanların kaosu anlamlandırmasına ve düzene kavuşturmasına olanak tanıyan bir anlam haritası</w:t>
      </w:r>
      <w:r>
        <w:t xml:space="preserve"> </w:t>
      </w:r>
      <w:r w:rsidRPr="00371E45">
        <w:t>sunar</w:t>
      </w:r>
      <w:r>
        <w:t xml:space="preserve"> </w:t>
      </w:r>
      <w:r w:rsidRPr="00371E45">
        <w:t>(</w:t>
      </w:r>
      <w:r>
        <w:t xml:space="preserve">Berger, </w:t>
      </w:r>
      <w:r w:rsidRPr="00371E45">
        <w:t>1993, s.73</w:t>
      </w:r>
      <w:r>
        <w:t>; 88</w:t>
      </w:r>
      <w:r w:rsidRPr="00371E45">
        <w:t>).</w:t>
      </w:r>
      <w:r>
        <w:t xml:space="preserve"> Elbette </w:t>
      </w:r>
      <w:r w:rsidRPr="00371E45">
        <w:t>bu işlevin yalnızca din</w:t>
      </w:r>
      <w:r>
        <w:t xml:space="preserve">e özgü değildir, </w:t>
      </w:r>
      <w:r w:rsidRPr="00371E45">
        <w:t>ideoloji ve bilim gibi diğer inanç sistemleri için de geçerli</w:t>
      </w:r>
      <w:r>
        <w:t>dir</w:t>
      </w:r>
      <w:r w:rsidRPr="007359C8">
        <w:t xml:space="preserve">. </w:t>
      </w:r>
      <w:r>
        <w:t>D</w:t>
      </w:r>
      <w:r w:rsidRPr="007359C8">
        <w:t xml:space="preserve">ini ritüeller veya ideolojik normlar, toplumsal anlamı sabitler ve </w:t>
      </w:r>
      <w:r>
        <w:t>t</w:t>
      </w:r>
      <w:r w:rsidRPr="007359C8">
        <w:t>oplumdaki bireyler, inançlar aracılığıyla ortak bir anlam dünyası yaratır</w:t>
      </w:r>
      <w:r>
        <w:t>lar</w:t>
      </w:r>
      <w:r w:rsidRPr="007359C8">
        <w:t>. Nar ağacı efsanesi karakterlerin yaşama tutunma çabasını beslerken, bu inanç etrafında ortak bir anlam inşa edilir.</w:t>
      </w:r>
    </w:p>
    <w:p w14:paraId="59DF8FD6" w14:textId="77777777" w:rsidR="00021193" w:rsidRDefault="00021193" w:rsidP="0017453B">
      <w:pPr>
        <w:jc w:val="both"/>
      </w:pPr>
    </w:p>
    <w:p w14:paraId="772E00BB" w14:textId="4BD632E2" w:rsidR="00021193" w:rsidRDefault="00914DCC" w:rsidP="0017453B">
      <w:pPr>
        <w:jc w:val="both"/>
      </w:pPr>
      <w:r w:rsidRPr="007359C8">
        <w:t xml:space="preserve">Çukurova’nın sert gerçekliğiyle yüzleşen işçiler, içsel çatışmalarını aşmak, hayatlarına anlam katmak ve hayata tutunmak için dini ve kültürel referanslara başvururlar. Bu anlamda inanç, karakterlerin varoluşsal sorgulamalarında ve yaşamın zorluklarıyla başa çıkmalarında temel bir rol üstlenir. </w:t>
      </w:r>
      <w:r>
        <w:t>D</w:t>
      </w:r>
      <w:r w:rsidRPr="007359C8">
        <w:t>oğaüstü güçler</w:t>
      </w:r>
      <w:r>
        <w:t xml:space="preserve"> anlatısı</w:t>
      </w:r>
      <w:r w:rsidRPr="007359C8">
        <w:t xml:space="preserve">, tılsımlar ve efsanelerle örülü </w:t>
      </w:r>
      <w:r>
        <w:t xml:space="preserve">büyülü </w:t>
      </w:r>
      <w:r w:rsidRPr="007359C8">
        <w:t xml:space="preserve">bir dünya sunarak insanın bilinmez karşısındaki arayışını yansıtır. Ağacın şifa dağıttığına, işsizlere iş verdiğine ve dertlere çare olduğuna dair derin inanç, Yusuf'un iyileşme sürecinden diğer karakterlerin umut arayışlarına kadar eserin dramatik yapısını şekillendirir. Bu açıdan </w:t>
      </w:r>
      <w:r>
        <w:t>n</w:t>
      </w:r>
      <w:r w:rsidRPr="007359C8">
        <w:t>ar ağacı, salt bir ağaç olmanın ötesinde eserde karakterlerin varoluşsal mücadelesini yönlendiren ontolojik bir dayanağa ve kutsal addedilen, toplumsal bellekte kök salmış bir umut kaynağına dönüşür.</w:t>
      </w:r>
    </w:p>
    <w:p w14:paraId="23A14222" w14:textId="77777777" w:rsidR="0017453B" w:rsidRPr="00FC5EA9" w:rsidRDefault="0017453B" w:rsidP="0017453B">
      <w:pPr>
        <w:jc w:val="both"/>
      </w:pPr>
    </w:p>
    <w:p w14:paraId="1A3D2FFB" w14:textId="6B57401A" w:rsidR="00021193" w:rsidRDefault="00914DCC" w:rsidP="0017453B">
      <w:pPr>
        <w:jc w:val="both"/>
      </w:pPr>
      <w:r w:rsidRPr="00FC5EA9">
        <w:t>Nar ağacının şifa ve kurtuluş vaadi, karakterlerin zorluklara karşı direncini beslerken; beklenen mucizenin gerçekleşmemesi, ağaca ulaşmanın sürekli ertelenmesi, yokluğuna dair çıkan söylentiler… inancın sorgulanmasına</w:t>
      </w:r>
      <w:r>
        <w:t xml:space="preserve"> ve şüpheye</w:t>
      </w:r>
      <w:r w:rsidRPr="00FC5EA9">
        <w:t xml:space="preserve"> yol açar. Fakat Albert </w:t>
      </w:r>
      <w:proofErr w:type="spellStart"/>
      <w:r w:rsidRPr="00FC5EA9">
        <w:t>Camus</w:t>
      </w:r>
      <w:r w:rsidR="0017453B">
        <w:t>’</w:t>
      </w:r>
      <w:r w:rsidRPr="00FC5EA9">
        <w:t>nün</w:t>
      </w:r>
      <w:proofErr w:type="spellEnd"/>
      <w:r w:rsidRPr="00FC5EA9">
        <w:t xml:space="preserve"> absürt kahramanlığına benzer şekilde, kanıtlar zayıfladıkça </w:t>
      </w:r>
      <w:r>
        <w:t xml:space="preserve">kahramanların nar ağacına olan </w:t>
      </w:r>
      <w:r w:rsidRPr="00FC5EA9">
        <w:t>inancın</w:t>
      </w:r>
      <w:r>
        <w:t>ın</w:t>
      </w:r>
      <w:r w:rsidRPr="00FC5EA9">
        <w:t xml:space="preserve"> daha da artması</w:t>
      </w:r>
      <w:r>
        <w:t>/</w:t>
      </w:r>
      <w:r w:rsidRPr="00FC5EA9">
        <w:t>yoğunlaşması, yani inancı terk</w:t>
      </w:r>
      <w:r>
        <w:t xml:space="preserve"> </w:t>
      </w:r>
      <w:r w:rsidRPr="00FC5EA9">
        <w:t>etmem</w:t>
      </w:r>
      <w:r>
        <w:t xml:space="preserve">eleri ve ağacı aramaya devam etmeleri </w:t>
      </w:r>
      <w:r w:rsidRPr="00FC5EA9">
        <w:t>insanın metafizik boşluğa/anlamsızlığa direnişini simgeler (</w:t>
      </w:r>
      <w:r>
        <w:t xml:space="preserve">bu, </w:t>
      </w:r>
      <w:r w:rsidRPr="00FC5EA9">
        <w:t xml:space="preserve">bir tür yaratıcı savunma mekanizması olarak </w:t>
      </w:r>
      <w:r>
        <w:t>da görülebilir</w:t>
      </w:r>
      <w:r w:rsidRPr="00FC5EA9">
        <w:t xml:space="preserve">). Bilindiği üzere </w:t>
      </w:r>
      <w:proofErr w:type="spellStart"/>
      <w:r w:rsidRPr="00FC5EA9">
        <w:t>Camus’nün</w:t>
      </w:r>
      <w:proofErr w:type="spellEnd"/>
      <w:r w:rsidRPr="00FC5EA9">
        <w:t xml:space="preserve"> absürt kahramanlığı, insanın evrendeki anlamsızlık ve saçmalıkla yüzleşmesi, isyan ederek ve bilinçli bir şekilde yaşamaya devam etmesi fikrine dayanır. </w:t>
      </w:r>
      <w:proofErr w:type="spellStart"/>
      <w:r w:rsidRPr="00FC5EA9">
        <w:t>Camus’ye</w:t>
      </w:r>
      <w:proofErr w:type="spellEnd"/>
      <w:r w:rsidRPr="00FC5EA9">
        <w:t xml:space="preserve"> göre absürt kahraman,</w:t>
      </w:r>
      <w:r>
        <w:t xml:space="preserve"> </w:t>
      </w:r>
      <w:proofErr w:type="spellStart"/>
      <w:r w:rsidRPr="00A66613">
        <w:rPr>
          <w:i/>
          <w:iCs/>
        </w:rPr>
        <w:t>Yabancı</w:t>
      </w:r>
      <w:r>
        <w:t>’daki</w:t>
      </w:r>
      <w:proofErr w:type="spellEnd"/>
      <w:r>
        <w:t xml:space="preserve"> </w:t>
      </w:r>
      <w:proofErr w:type="spellStart"/>
      <w:r>
        <w:t>Meursault</w:t>
      </w:r>
      <w:proofErr w:type="spellEnd"/>
      <w:r>
        <w:t xml:space="preserve"> gibi, </w:t>
      </w:r>
      <w:r w:rsidRPr="00FC5EA9">
        <w:t xml:space="preserve">hayatın anlamsız olduğunu kabul eden ama yine de yaşamaya devam eden kişidir. </w:t>
      </w:r>
      <w:r>
        <w:t xml:space="preserve">Bunun en bilinen örneği ise </w:t>
      </w:r>
      <w:proofErr w:type="spellStart"/>
      <w:r w:rsidRPr="00FC5EA9">
        <w:t>Sisifos</w:t>
      </w:r>
      <w:r>
        <w:t>’tur</w:t>
      </w:r>
      <w:proofErr w:type="spellEnd"/>
      <w:r>
        <w:t xml:space="preserve">. </w:t>
      </w:r>
      <w:r w:rsidRPr="00173867">
        <w:t xml:space="preserve">Yunan mitolojisinde </w:t>
      </w:r>
      <w:proofErr w:type="spellStart"/>
      <w:r w:rsidRPr="00173867">
        <w:t>Sisifos</w:t>
      </w:r>
      <w:proofErr w:type="spellEnd"/>
      <w:r w:rsidRPr="00173867">
        <w:t xml:space="preserve">, tanrılar tarafından bir kayayı sonsuza dek bir tepenin zirvesine </w:t>
      </w:r>
      <w:r w:rsidRPr="00FC5EA9">
        <w:t>çıkarmaya</w:t>
      </w:r>
      <w:r w:rsidRPr="00173867">
        <w:t xml:space="preserve"> mahkûm edilmiştir</w:t>
      </w:r>
      <w:r>
        <w:t>;</w:t>
      </w:r>
      <w:r w:rsidRPr="00173867">
        <w:t xml:space="preserve"> </w:t>
      </w:r>
      <w:proofErr w:type="spellStart"/>
      <w:r>
        <w:t>Sisifos</w:t>
      </w:r>
      <w:proofErr w:type="spellEnd"/>
      <w:r>
        <w:t xml:space="preserve"> kayayı tepeye her çıkardığında </w:t>
      </w:r>
      <w:r w:rsidRPr="00173867">
        <w:t xml:space="preserve">kaya </w:t>
      </w:r>
      <w:r>
        <w:t xml:space="preserve">tekrar </w:t>
      </w:r>
      <w:r w:rsidRPr="00FC5EA9">
        <w:t>aşağı yuvarlanır</w:t>
      </w:r>
      <w:r>
        <w:t xml:space="preserve">. </w:t>
      </w:r>
      <w:proofErr w:type="spellStart"/>
      <w:r w:rsidRPr="00FC5EA9">
        <w:t>Sisifos</w:t>
      </w:r>
      <w:proofErr w:type="spellEnd"/>
      <w:r w:rsidRPr="00FC5EA9">
        <w:t xml:space="preserve">, bunun saçmalığını kabul edip yine de kayayı yukarı taşımaya devam eder (Camus, 2010, s.123-126). Anlam arayışından vazgeçmeden, dünyanın anlamsızlığını da kabul ederek yaşama devam etme tavrını ortaya koyan </w:t>
      </w:r>
      <w:proofErr w:type="spellStart"/>
      <w:r w:rsidRPr="00FC5EA9">
        <w:t>Sisifos</w:t>
      </w:r>
      <w:proofErr w:type="spellEnd"/>
      <w:r w:rsidRPr="00FC5EA9">
        <w:t xml:space="preserve">, “dış etkenlerin anlamsızlığına ve koşulların kaçınılmaz baskısına rağmen, gerçekleştirmeye mahkûm olduğu bu anlamsız işi, tanrılara kafa tutmanın bir simgesi şeklinde </w:t>
      </w:r>
      <w:proofErr w:type="spellStart"/>
      <w:r w:rsidRPr="00FC5EA9">
        <w:t>anlamlılaştırmayı</w:t>
      </w:r>
      <w:proofErr w:type="spellEnd"/>
      <w:r w:rsidRPr="00FC5EA9">
        <w:t>” başar</w:t>
      </w:r>
      <w:r>
        <w:t>ır ve bu açıdan</w:t>
      </w:r>
      <w:r w:rsidRPr="00FC5EA9">
        <w:t xml:space="preserve"> “hiç de </w:t>
      </w:r>
      <w:proofErr w:type="spellStart"/>
      <w:r w:rsidRPr="00FC5EA9">
        <w:t>absurd</w:t>
      </w:r>
      <w:proofErr w:type="spellEnd"/>
      <w:r w:rsidRPr="00FC5EA9">
        <w:t>-saçma bir iş yapmış değildir; tam tersine, belki de, insanın varoluşundan beri insan varoluşuna yakışan en anlamlı, en insanca işi yapmıştır” (</w:t>
      </w:r>
      <w:proofErr w:type="spellStart"/>
      <w:r w:rsidRPr="00FC5EA9">
        <w:t>Dinçmen</w:t>
      </w:r>
      <w:proofErr w:type="spellEnd"/>
      <w:r w:rsidRPr="00FC5EA9">
        <w:t xml:space="preserve">, 1997, s.88). </w:t>
      </w:r>
      <w:proofErr w:type="spellStart"/>
      <w:r w:rsidRPr="00FC5EA9">
        <w:t>Camus</w:t>
      </w:r>
      <w:r>
        <w:t>’nün</w:t>
      </w:r>
      <w:proofErr w:type="spellEnd"/>
      <w:r w:rsidRPr="00FC5EA9">
        <w:t xml:space="preserve"> “</w:t>
      </w:r>
      <w:proofErr w:type="spellStart"/>
      <w:r w:rsidRPr="00FC5EA9">
        <w:t>Sisifos</w:t>
      </w:r>
      <w:r w:rsidR="0017453B">
        <w:t>’</w:t>
      </w:r>
      <w:r w:rsidRPr="00FC5EA9">
        <w:t>u</w:t>
      </w:r>
      <w:proofErr w:type="spellEnd"/>
      <w:r w:rsidRPr="00FC5EA9">
        <w:t xml:space="preserve"> mutlu olarak tasarlamak gerekir” (Camus, 2010, s.126</w:t>
      </w:r>
      <w:r>
        <w:t xml:space="preserve">) </w:t>
      </w:r>
      <w:r w:rsidRPr="00FC5EA9">
        <w:t>de</w:t>
      </w:r>
      <w:r>
        <w:t>yişi, a</w:t>
      </w:r>
      <w:r w:rsidRPr="00FC5EA9">
        <w:t xml:space="preserve">nlamı dışsal bir kaynaktan beklemek yerine, </w:t>
      </w:r>
      <w:proofErr w:type="spellStart"/>
      <w:r w:rsidRPr="00FC5EA9">
        <w:t>Sisifos</w:t>
      </w:r>
      <w:r w:rsidR="0017453B">
        <w:t>’</w:t>
      </w:r>
      <w:r w:rsidRPr="00FC5EA9">
        <w:t>u</w:t>
      </w:r>
      <w:r>
        <w:t>n</w:t>
      </w:r>
      <w:proofErr w:type="spellEnd"/>
      <w:r>
        <w:t xml:space="preserve"> </w:t>
      </w:r>
      <w:r w:rsidRPr="00FC5EA9">
        <w:t>kendi bilinciyle yara</w:t>
      </w:r>
      <w:r>
        <w:t xml:space="preserve">tmış olmasına bir göndermedir. </w:t>
      </w:r>
      <w:r w:rsidRPr="00FC5EA9">
        <w:t>Bu</w:t>
      </w:r>
      <w:r>
        <w:t xml:space="preserve"> tavır, </w:t>
      </w:r>
      <w:r w:rsidRPr="00FC5EA9">
        <w:t xml:space="preserve">evrenin anlamsızlığına karşı insanın başkaldırarak kendi anlamını yaratabileceğini </w:t>
      </w:r>
      <w:r>
        <w:t>bize</w:t>
      </w:r>
      <w:r w:rsidRPr="00FC5EA9">
        <w:t xml:space="preserve"> gösterir. </w:t>
      </w:r>
      <w:r>
        <w:t xml:space="preserve">Bu anlamda </w:t>
      </w:r>
      <w:proofErr w:type="spellStart"/>
      <w:r>
        <w:t>Camus’nün</w:t>
      </w:r>
      <w:proofErr w:type="spellEnd"/>
      <w:r>
        <w:t xml:space="preserve"> işaret ettiği </w:t>
      </w:r>
      <w:r w:rsidRPr="00FC5EA9">
        <w:t>mutluluk, zafer</w:t>
      </w:r>
      <w:r>
        <w:t>e varmak</w:t>
      </w:r>
      <w:r w:rsidRPr="00FC5EA9">
        <w:t xml:space="preserve"> ya da nihai bir anlam bulmak değil, bilerek ve isteyerek mücadele</w:t>
      </w:r>
      <w:r>
        <w:t>y</w:t>
      </w:r>
      <w:r w:rsidRPr="00FC5EA9">
        <w:t>e devam etmektedir.</w:t>
      </w:r>
    </w:p>
    <w:p w14:paraId="5AA6217B" w14:textId="77777777" w:rsidR="0017453B" w:rsidRDefault="0017453B" w:rsidP="0017453B">
      <w:pPr>
        <w:jc w:val="both"/>
      </w:pPr>
    </w:p>
    <w:p w14:paraId="6A3BD06A" w14:textId="77777777" w:rsidR="00914DCC" w:rsidRDefault="00914DCC" w:rsidP="0017453B">
      <w:pPr>
        <w:jc w:val="both"/>
      </w:pPr>
      <w:r>
        <w:lastRenderedPageBreak/>
        <w:t xml:space="preserve">Beş arkadaş, nar ağacının bulunduğu söylenen </w:t>
      </w:r>
      <w:r w:rsidRPr="007359C8">
        <w:t xml:space="preserve">yere </w:t>
      </w:r>
      <w:r>
        <w:t xml:space="preserve">vardıklarında, karşılarında </w:t>
      </w:r>
      <w:r w:rsidRPr="007359C8">
        <w:t>kırılmış kalın bir ağaç gövdes</w:t>
      </w:r>
      <w:r>
        <w:t>inden başka</w:t>
      </w:r>
      <w:r w:rsidRPr="007359C8">
        <w:t xml:space="preserve"> ne yeşil bir dal ne</w:t>
      </w:r>
      <w:r>
        <w:t xml:space="preserve"> de</w:t>
      </w:r>
      <w:r w:rsidRPr="007359C8">
        <w:t xml:space="preserve"> yaprak</w:t>
      </w:r>
      <w:r>
        <w:t xml:space="preserve"> görürler. </w:t>
      </w:r>
      <w:r w:rsidRPr="007359C8">
        <w:t xml:space="preserve">Bu kurumuş, çürümüş ağaç gövdesi hem inancın kırılganlığını hem de kültürel belleğin yitirilişini temsil eder. Roman, nar ağacının </w:t>
      </w:r>
      <w:proofErr w:type="spellStart"/>
      <w:r w:rsidRPr="007359C8">
        <w:t>mitik</w:t>
      </w:r>
      <w:proofErr w:type="spellEnd"/>
      <w:r w:rsidRPr="007359C8">
        <w:t xml:space="preserve"> beklentileri yıkmasına rağmen, karakterlerin inancını nasıl metafizik bir dirence dönüştürdüğünü gösterir.</w:t>
      </w:r>
      <w:r>
        <w:t xml:space="preserve"> A</w:t>
      </w:r>
      <w:r w:rsidRPr="007359C8">
        <w:t>ğacın köküne dahi kutsallık atfetme</w:t>
      </w:r>
      <w:r>
        <w:t>ler</w:t>
      </w:r>
      <w:r w:rsidRPr="007359C8">
        <w:t xml:space="preserve">i, ağacın kerametlerini birbirlerine anlatarak geceyi orada dua ederek geçirmeleri umudun ve kutsala olan inancın, nesneden bağımsız bir düzlemde </w:t>
      </w:r>
      <w:r>
        <w:t xml:space="preserve">de </w:t>
      </w:r>
      <w:r w:rsidRPr="007359C8">
        <w:t>varlığını devam etti</w:t>
      </w:r>
      <w:r>
        <w:t xml:space="preserve">rdiğini </w:t>
      </w:r>
      <w:r w:rsidRPr="007359C8">
        <w:t>ortaya koyar. Kutsallık atfedilen ağaç, artık yalnızca fiziksel bir nesne değildir, insanın varoluşsal kırılganlığının ve zorluklarla mücadelede sürdürülen inancın metaforik temsiline dönüşmüştür.</w:t>
      </w:r>
    </w:p>
    <w:p w14:paraId="63F12416" w14:textId="77777777" w:rsidR="0017453B" w:rsidRDefault="0017453B" w:rsidP="0017453B">
      <w:pPr>
        <w:jc w:val="both"/>
      </w:pPr>
    </w:p>
    <w:p w14:paraId="13B75DE2" w14:textId="77777777" w:rsidR="00914DCC" w:rsidRDefault="00914DCC" w:rsidP="0017453B">
      <w:pPr>
        <w:jc w:val="both"/>
      </w:pPr>
      <w:r w:rsidRPr="00E67B4E">
        <w:t xml:space="preserve">Eser, inancın toplumsal dayanışmayı besleyen ve umudu diri tutan işlevinin yanı sıra inançların gerçeklikle çatıştığında yarattığı hayal kırıklığını da irdeler. </w:t>
      </w:r>
      <w:proofErr w:type="spellStart"/>
      <w:r w:rsidRPr="00E67B4E">
        <w:t>Memet</w:t>
      </w:r>
      <w:proofErr w:type="spellEnd"/>
      <w:r w:rsidRPr="00E67B4E">
        <w:t xml:space="preserve"> ve arkadaşlarının nar ağacına ısrarla duydukları inanç, aslında Çukurova’daki son umut ışığına tutunma çabasıdır. Nar ağacının kutsallığına yönelik bu </w:t>
      </w:r>
      <w:proofErr w:type="spellStart"/>
      <w:r w:rsidRPr="00E67B4E">
        <w:t>mitik</w:t>
      </w:r>
      <w:proofErr w:type="spellEnd"/>
      <w:r w:rsidRPr="00E67B4E">
        <w:t xml:space="preserve"> inanç, </w:t>
      </w:r>
      <w:proofErr w:type="spellStart"/>
      <w:r w:rsidRPr="00E67B4E">
        <w:t>Cam</w:t>
      </w:r>
      <w:r>
        <w:t>u</w:t>
      </w:r>
      <w:r w:rsidRPr="00E67B4E">
        <w:t>s’nün</w:t>
      </w:r>
      <w:proofErr w:type="spellEnd"/>
      <w:r w:rsidRPr="00E67B4E">
        <w:t xml:space="preserve"> ifadesiyle </w:t>
      </w:r>
      <w:r>
        <w:t xml:space="preserve">kendisinde </w:t>
      </w:r>
      <w:r w:rsidRPr="00E67B4E">
        <w:t>anlam bulunmasını zorunlu gören tek varlık olarak insanın</w:t>
      </w:r>
      <w:r>
        <w:t xml:space="preserve"> (2015, s.99), </w:t>
      </w:r>
      <w:r w:rsidRPr="00E67B4E">
        <w:t>irrasyonel umutlarla varoluşsal boşluğu doldurma çabasını yansıtır.</w:t>
      </w:r>
      <w:r>
        <w:t xml:space="preserve"> </w:t>
      </w:r>
      <w:proofErr w:type="spellStart"/>
      <w:r w:rsidRPr="007359C8">
        <w:t>Frankl</w:t>
      </w:r>
      <w:proofErr w:type="spellEnd"/>
      <w:r w:rsidRPr="007359C8">
        <w:t xml:space="preserve">, </w:t>
      </w:r>
      <w:r>
        <w:t>t</w:t>
      </w:r>
      <w:r w:rsidRPr="007359C8">
        <w:t>oplama kampı deneyimlerinde ahlaki değerlerini ve inancını koruyan bireylerin zorluklarla başa çıkma kapasitesinin daha yüksek olduğunu gözlemlemiştir</w:t>
      </w:r>
      <w:r>
        <w:t xml:space="preserve"> (1994, s.28; 2009, s.88)</w:t>
      </w:r>
      <w:r w:rsidRPr="007359C8">
        <w:t>. İnanç, kişiye bir amaç (örneğin, bir davaya hizmet veya bir insanı sevme) sunarak anlam inşasını kolaylaştırır. Gelecek inancını</w:t>
      </w:r>
      <w:r>
        <w:t xml:space="preserve"> ve </w:t>
      </w:r>
      <w:r w:rsidRPr="007359C8">
        <w:t>umudunu</w:t>
      </w:r>
      <w:r>
        <w:t xml:space="preserve"> (aslında anlamı)</w:t>
      </w:r>
      <w:r w:rsidRPr="007359C8">
        <w:t xml:space="preserve"> yitiren bireylerin manevi çöküşe ve intihar eğilimine açık hale gelmesi</w:t>
      </w:r>
      <w:r>
        <w:t xml:space="preserve"> (Karaçalı ve Korkmaz, 2023, s.132)</w:t>
      </w:r>
      <w:r w:rsidRPr="007359C8">
        <w:t xml:space="preserve">, inancın yaşamı sürdürülebilir kılan ontolojik güvenlik işlevini </w:t>
      </w:r>
      <w:r>
        <w:t>ortaya koyar.</w:t>
      </w:r>
    </w:p>
    <w:p w14:paraId="319C901D" w14:textId="77777777" w:rsidR="0017453B" w:rsidRDefault="0017453B" w:rsidP="0017453B">
      <w:pPr>
        <w:jc w:val="both"/>
      </w:pPr>
    </w:p>
    <w:p w14:paraId="7C9965BD" w14:textId="77777777" w:rsidR="00914DCC" w:rsidRDefault="00914DCC" w:rsidP="0017453B">
      <w:pPr>
        <w:jc w:val="both"/>
      </w:pPr>
      <w:r w:rsidRPr="009753DF">
        <w:t xml:space="preserve">Romanda dini ritüeller, karakterlerin inanç sistemlerinin somut bir şekilde yansıtılması, manevi aidiyetlerinin pekiştirilmesi ve kültürel kimliklerinin korunmasına yönelik temel araçlar olarak öne çıkar. </w:t>
      </w:r>
      <w:r>
        <w:t>Roman</w:t>
      </w:r>
      <w:r w:rsidRPr="009753DF">
        <w:t>, karakterlerin içsel çatışmalarını ve toplumsal etkileşimlerini, yalnızca nar ağacı etrafında şekillenen yerel mitler veya adak adama, muska yazdırma, hocalara danışma gibi geleneksel pratiklerle değil; aynı zamanda ilahi sığınma arayışı, kadere teslimiyet, kurban ritüeli, dua ve ahiret inancı gibi İslami temalarla bütünleştirerek çok katmanlı bir anlatı evreni kurar. Bu tematik çeşitlilik, metni hem bireysel hem de kolektif hafızanın bir yansımasına dönüştürür. Örneğin Âşık Ali’nin, “Yusuf’u kuyudan çıkaran Allah, bizim yüzümüze bakmadı, bakmayacak” (</w:t>
      </w:r>
      <w:r w:rsidRPr="00A95CE1">
        <w:t xml:space="preserve">Kemal, 1982, </w:t>
      </w:r>
      <w:r w:rsidRPr="009753DF">
        <w:t xml:space="preserve">s.65-66) şeklindeki trajik söylemi, karakterlerin çaresizlik anlarında metafizik bir teselliye sığınma ihtiyacını ve ilahi adalete duyulan güvenin sınırlarını ortaya koyar. Bu tür ifadeler, bireylerin varoluşsal krizlerde veya toplumsal travmalarda dini pratikleri bir tür </w:t>
      </w:r>
      <w:r w:rsidRPr="00DB6A9C">
        <w:rPr>
          <w:i/>
          <w:iCs/>
        </w:rPr>
        <w:t>manevi sığınak</w:t>
      </w:r>
      <w:r>
        <w:t xml:space="preserve"> </w:t>
      </w:r>
      <w:r w:rsidRPr="009753DF">
        <w:t xml:space="preserve">olarak nasıl araçsallaştırdığını gösterir. Ritüeller, yalnızca kişisel inançların dışavurumu değil, aynı zamanda kolektif belleğin nesiller arası aktarımını sağlayan ve toplumsal bağları güçlendiren ortak bir dil işlevi görür. </w:t>
      </w:r>
      <w:r w:rsidRPr="00844A4F">
        <w:t xml:space="preserve">Böylece </w:t>
      </w:r>
      <w:r>
        <w:t>eser</w:t>
      </w:r>
      <w:r w:rsidRPr="00844A4F">
        <w:t xml:space="preserve">, kültürel kimliğin inşasında ve sürdürülmesinde </w:t>
      </w:r>
      <w:r>
        <w:t xml:space="preserve">inanışların ve inançların </w:t>
      </w:r>
      <w:r w:rsidRPr="00844A4F">
        <w:t>kritik bir sosyal dinamik olduğunu vurgul</w:t>
      </w:r>
      <w:r>
        <w:t>amış olur.</w:t>
      </w:r>
    </w:p>
    <w:p w14:paraId="746E77CD" w14:textId="77777777" w:rsidR="0017453B" w:rsidRPr="008F1770" w:rsidRDefault="0017453B" w:rsidP="0017453B">
      <w:pPr>
        <w:jc w:val="both"/>
      </w:pPr>
    </w:p>
    <w:p w14:paraId="23E0FE2C" w14:textId="091D6526" w:rsidR="00914DCC" w:rsidRDefault="00914DCC" w:rsidP="0017453B">
      <w:pPr>
        <w:jc w:val="both"/>
      </w:pPr>
      <w:r w:rsidRPr="008F1770">
        <w:t xml:space="preserve">Roman, Yusuf’un beklenen ölümün gerçekleşmemesi ve nar ağacının yanında uyudukları gecenin sabahında </w:t>
      </w:r>
      <w:proofErr w:type="spellStart"/>
      <w:r w:rsidRPr="008F1770">
        <w:t>Memet</w:t>
      </w:r>
      <w:proofErr w:type="spellEnd"/>
      <w:r w:rsidRPr="008F1770">
        <w:t xml:space="preserve"> </w:t>
      </w:r>
      <w:proofErr w:type="spellStart"/>
      <w:r w:rsidRPr="008F1770">
        <w:t>Çocuk’un</w:t>
      </w:r>
      <w:proofErr w:type="spellEnd"/>
      <w:r w:rsidRPr="008F1770">
        <w:t xml:space="preserve"> </w:t>
      </w:r>
      <w:proofErr w:type="spellStart"/>
      <w:r w:rsidRPr="008F1770">
        <w:t>Hösük’ün</w:t>
      </w:r>
      <w:proofErr w:type="spellEnd"/>
      <w:r w:rsidRPr="008F1770">
        <w:t xml:space="preserve"> hançerini alıp ortan kaybolmasıyla ucu açık bırakılarak sonlandırılmıştır. Bu final, nar ağacının </w:t>
      </w:r>
      <w:r w:rsidRPr="008F1770">
        <w:rPr>
          <w:i/>
          <w:iCs/>
        </w:rPr>
        <w:t>keramet</w:t>
      </w:r>
      <w:r w:rsidRPr="008F1770">
        <w:t xml:space="preserve">ini belirsiz kılar. </w:t>
      </w:r>
      <w:r w:rsidRPr="00591BF2">
        <w:t xml:space="preserve">Bu belirsizlik, inancın akıl sınırlarını aşan </w:t>
      </w:r>
      <w:r>
        <w:t>(</w:t>
      </w:r>
      <w:r w:rsidRPr="008F1770">
        <w:t>irrasyonel</w:t>
      </w:r>
      <w:r>
        <w:t>)</w:t>
      </w:r>
      <w:r w:rsidRPr="00591BF2">
        <w:t xml:space="preserve"> ama varoluşsal </w:t>
      </w:r>
      <w:r>
        <w:t xml:space="preserve">anlam taşıyan </w:t>
      </w:r>
      <w:r w:rsidRPr="00591BF2">
        <w:t xml:space="preserve">paradoksunu yansıtır. İnanç eylemleri, karakterlerin </w:t>
      </w:r>
      <w:r w:rsidRPr="008F1770">
        <w:t>zorluklarla mücadele stratejilerinin merkezinde yer alır</w:t>
      </w:r>
      <w:r>
        <w:t xml:space="preserve">; yaşadıkları tüm zorluklara rağmen </w:t>
      </w:r>
      <w:r w:rsidRPr="00591BF2">
        <w:t>yol bulma çaba</w:t>
      </w:r>
      <w:r>
        <w:t>larını ve maceralarını değerli kılar.</w:t>
      </w:r>
    </w:p>
    <w:p w14:paraId="34A7D6CB" w14:textId="77777777" w:rsidR="0017453B" w:rsidRPr="00791C70" w:rsidRDefault="0017453B" w:rsidP="0017453B">
      <w:pPr>
        <w:jc w:val="both"/>
      </w:pPr>
    </w:p>
    <w:p w14:paraId="098390DD" w14:textId="3E6083CE" w:rsidR="00914DCC" w:rsidRDefault="00914DCC" w:rsidP="0017453B">
      <w:pPr>
        <w:jc w:val="both"/>
      </w:pPr>
      <w:r w:rsidRPr="00791C70">
        <w:lastRenderedPageBreak/>
        <w:t>Romanda karakterlerin varoluşsal boşluk ve yabancılaşma duygularını besleyen en temel faktör</w:t>
      </w:r>
      <w:r>
        <w:t xml:space="preserve">, </w:t>
      </w:r>
      <w:r w:rsidRPr="00791C70">
        <w:t>modern tarım tekniklerinin yarattığı işsizlik</w:t>
      </w:r>
      <w:r>
        <w:t xml:space="preserve">, </w:t>
      </w:r>
      <w:r w:rsidRPr="00791C70">
        <w:t>toplumsal yozlaşma</w:t>
      </w:r>
      <w:r>
        <w:t xml:space="preserve"> ve </w:t>
      </w:r>
      <w:r w:rsidRPr="000F4AE9">
        <w:rPr>
          <w:i/>
          <w:iCs/>
        </w:rPr>
        <w:t xml:space="preserve">dağlı </w:t>
      </w:r>
      <w:r>
        <w:t xml:space="preserve">denilerek </w:t>
      </w:r>
      <w:r w:rsidRPr="00791C70">
        <w:t>Çukurova</w:t>
      </w:r>
      <w:r>
        <w:t xml:space="preserve"> yerlileri</w:t>
      </w:r>
      <w:r w:rsidRPr="00791C70">
        <w:t xml:space="preserve"> tarafından ötekileştirilme</w:t>
      </w:r>
      <w:r>
        <w:t xml:space="preserve">leridir. </w:t>
      </w:r>
      <w:r w:rsidRPr="007359C8">
        <w:t>Yaşar Kemal, modernleşmenin tarım toplumunda yarattığı çelişkileri, makineleşme ve ekonomik ilerleme</w:t>
      </w:r>
      <w:r>
        <w:t xml:space="preserve"> </w:t>
      </w:r>
      <w:r w:rsidRPr="007359C8">
        <w:t xml:space="preserve">söyleminin insani ve toplumsal sonuçlarını, sembolik olarak </w:t>
      </w:r>
      <w:r>
        <w:rPr>
          <w:i/>
          <w:iCs/>
        </w:rPr>
        <w:t>g</w:t>
      </w:r>
      <w:r w:rsidRPr="0045670F">
        <w:rPr>
          <w:i/>
          <w:iCs/>
        </w:rPr>
        <w:t xml:space="preserve">avur </w:t>
      </w:r>
      <w:r>
        <w:rPr>
          <w:i/>
          <w:iCs/>
        </w:rPr>
        <w:t>m</w:t>
      </w:r>
      <w:r w:rsidRPr="0045670F">
        <w:rPr>
          <w:i/>
          <w:iCs/>
        </w:rPr>
        <w:t>otorlar</w:t>
      </w:r>
      <w:r>
        <w:t xml:space="preserve"> </w:t>
      </w:r>
      <w:r w:rsidRPr="007359C8">
        <w:t>(biçerdöverler) üzerinden eleştirir</w:t>
      </w:r>
      <w:r>
        <w:t xml:space="preserve"> (</w:t>
      </w:r>
      <w:r w:rsidRPr="00A95CE1">
        <w:t xml:space="preserve">Kemal, 1982, </w:t>
      </w:r>
      <w:r>
        <w:t>s.35)</w:t>
      </w:r>
      <w:r w:rsidRPr="007359C8">
        <w:t xml:space="preserve">. Verimlilik vaadiyle gelen teknolojik dönüşüm, emeği meta haline getirerek toplumsal bağları yıpratmıştır; </w:t>
      </w:r>
      <w:proofErr w:type="spellStart"/>
      <w:r w:rsidRPr="007359C8">
        <w:t>Memet’in</w:t>
      </w:r>
      <w:proofErr w:type="spellEnd"/>
      <w:r w:rsidRPr="007359C8">
        <w:t xml:space="preserve"> gittiği çiftlikte tanınmaması/kimliksizleşmesi ve öküzlerin kurban edilişi, bu süreçte yok sayılan değerlerin sembolik </w:t>
      </w:r>
      <w:r>
        <w:t xml:space="preserve">bir </w:t>
      </w:r>
      <w:r w:rsidRPr="007359C8">
        <w:t>ifadesi</w:t>
      </w:r>
      <w:r>
        <w:t>dir</w:t>
      </w:r>
      <w:r w:rsidRPr="007359C8">
        <w:t xml:space="preserve">. </w:t>
      </w:r>
      <w:r>
        <w:t>Ayrıca m</w:t>
      </w:r>
      <w:r w:rsidRPr="00791C70">
        <w:t xml:space="preserve">evsimlik işçilik, eserde yalnızca fiziksel bir yer değiştirme değil, kimlik parçalanması, kültürel yabancılaşma ve psikolojik yıkım süreci olarak işlenir. Karakterlerin içsel çatışmaları, psikolojik </w:t>
      </w:r>
      <w:r w:rsidRPr="007359C8">
        <w:t xml:space="preserve">travmaları, aidiyet </w:t>
      </w:r>
      <w:r>
        <w:t>arayışları</w:t>
      </w:r>
      <w:r w:rsidRPr="007359C8">
        <w:t xml:space="preserve"> ve ekonomik belirsizlikleri mevsimlik işçilik üzerinden konu edilmiştir. Bu süreçte inanç ile umut arasındaki simbiyotik ilişki, bir varoluş stratejisine dönüşerek anlam inşasını ve toplumsal bağların yeniden kurulmasını sağlar. </w:t>
      </w:r>
      <w:r w:rsidRPr="00791C70">
        <w:t>Nar ağacı</w:t>
      </w:r>
      <w:r>
        <w:t xml:space="preserve"> aynı zamanda</w:t>
      </w:r>
      <w:r w:rsidRPr="00791C70">
        <w:t xml:space="preserve"> ötekileşenlerin umutlarını somutlaştıran sembolik bir direniş alanı olur.</w:t>
      </w:r>
    </w:p>
    <w:p w14:paraId="5062C8B9" w14:textId="77777777" w:rsidR="0017453B" w:rsidRDefault="0017453B" w:rsidP="0017453B">
      <w:pPr>
        <w:jc w:val="both"/>
      </w:pPr>
    </w:p>
    <w:p w14:paraId="17592E94" w14:textId="77777777" w:rsidR="00914DCC" w:rsidRPr="001D305D" w:rsidRDefault="00914DCC" w:rsidP="0017453B">
      <w:pPr>
        <w:rPr>
          <w:b/>
          <w:bCs/>
        </w:rPr>
      </w:pPr>
      <w:r w:rsidRPr="001D305D">
        <w:rPr>
          <w:b/>
          <w:bCs/>
        </w:rPr>
        <w:t>SONUÇ</w:t>
      </w:r>
    </w:p>
    <w:p w14:paraId="535C9165" w14:textId="17AD3946" w:rsidR="00914DCC" w:rsidRDefault="00914DCC" w:rsidP="0017453B">
      <w:pPr>
        <w:jc w:val="both"/>
      </w:pPr>
      <w:proofErr w:type="spellStart"/>
      <w:r w:rsidRPr="009E4F6E">
        <w:rPr>
          <w:i/>
          <w:iCs/>
        </w:rPr>
        <w:t>Hüyükteki</w:t>
      </w:r>
      <w:proofErr w:type="spellEnd"/>
      <w:r w:rsidRPr="009E4F6E">
        <w:rPr>
          <w:i/>
          <w:iCs/>
        </w:rPr>
        <w:t xml:space="preserve"> Nar Ağacı</w:t>
      </w:r>
      <w:r w:rsidRPr="009E4F6E">
        <w:t xml:space="preserve"> </w:t>
      </w:r>
      <w:r w:rsidRPr="008F1770">
        <w:t>eserinde inanç ve inanışlar hem bireysel hem de toplumsal düzeyde anlamlandırma süreçlerini ve kültürel sürekliliği derinden etkiler. Bu unsurlar, karakterlerin dünyayı algılama biçimleri, yaşam amaçları ve toplumsal rollerini, kararlarını ve umutlarını şekillendirirken, aynı zamanda geçmişten geleceğe aktarılan kültürel değerlerin korunmasına ve sürdürülmesine katkıda bulunur.</w:t>
      </w:r>
    </w:p>
    <w:p w14:paraId="455304D0" w14:textId="77777777" w:rsidR="0017453B" w:rsidRDefault="0017453B" w:rsidP="0017453B">
      <w:pPr>
        <w:jc w:val="both"/>
      </w:pPr>
    </w:p>
    <w:p w14:paraId="2142C149" w14:textId="6B7AF830" w:rsidR="00914DCC" w:rsidRDefault="00914DCC" w:rsidP="0017453B">
      <w:pPr>
        <w:jc w:val="both"/>
      </w:pPr>
      <w:r w:rsidRPr="008F1770">
        <w:t xml:space="preserve">Karakterlerin </w:t>
      </w:r>
      <w:r>
        <w:t>n</w:t>
      </w:r>
      <w:r w:rsidRPr="008F1770">
        <w:t xml:space="preserve">ar </w:t>
      </w:r>
      <w:r>
        <w:t>a</w:t>
      </w:r>
      <w:r w:rsidRPr="008F1770">
        <w:t xml:space="preserve">ğacını arayışları, eserin ana temasını oluşturur ve olayların akışını yönlendirir. </w:t>
      </w:r>
      <w:r>
        <w:t>N</w:t>
      </w:r>
      <w:r w:rsidRPr="008F1770">
        <w:t>ar ağacına yükle</w:t>
      </w:r>
      <w:r>
        <w:t>nen</w:t>
      </w:r>
      <w:r w:rsidRPr="008F1770">
        <w:t xml:space="preserve"> mucizevi güç, onları acımasız gerçeklik karşısında dirençli kılan kolektif bir inanca dönüşür. </w:t>
      </w:r>
      <w:r>
        <w:t>A</w:t>
      </w:r>
      <w:r w:rsidRPr="008F1770">
        <w:t>ğaca ulaşma çabası, ortak bir amaç etrafında birleşmelerini sağlar</w:t>
      </w:r>
      <w:r>
        <w:t xml:space="preserve"> ve onların </w:t>
      </w:r>
      <w:r w:rsidRPr="008F1770">
        <w:t>yaşama tutunma gücünü</w:t>
      </w:r>
      <w:r>
        <w:t xml:space="preserve">, </w:t>
      </w:r>
      <w:r w:rsidRPr="008F1770">
        <w:t>dayanışma duygularını güçlendirir. Nar ağacının kendilerine şifa vereceğine, iş bulacaklarına ve dertlerinden kurtulacaklarına inanan karakterler, nar ağacının sembolize ettiği umut sayesinde</w:t>
      </w:r>
      <w:r>
        <w:t xml:space="preserve"> Çukurova’nın zorlu</w:t>
      </w:r>
      <w:r w:rsidRPr="008F1770">
        <w:t xml:space="preserve"> </w:t>
      </w:r>
      <w:r>
        <w:t xml:space="preserve">ve </w:t>
      </w:r>
      <w:r w:rsidRPr="008F1770">
        <w:t>yıkıcı koşullarına rağmen ayakta kal</w:t>
      </w:r>
      <w:r>
        <w:t>mayı başarırlar.</w:t>
      </w:r>
    </w:p>
    <w:p w14:paraId="6027D3D2" w14:textId="77777777" w:rsidR="0017453B" w:rsidRPr="008F1770" w:rsidRDefault="0017453B" w:rsidP="0017453B">
      <w:pPr>
        <w:jc w:val="both"/>
      </w:pPr>
    </w:p>
    <w:p w14:paraId="18FDCF16" w14:textId="67902765" w:rsidR="00914DCC" w:rsidRDefault="00914DCC" w:rsidP="0017453B">
      <w:pPr>
        <w:jc w:val="both"/>
      </w:pPr>
      <w:r w:rsidRPr="00363C84">
        <w:t>Irgatların duygusal tepkileri, içinde bulundukları sosyoekonomik bağlamla doğrudan ilişkilidir.</w:t>
      </w:r>
      <w:r w:rsidRPr="008F1770">
        <w:t xml:space="preserve"> </w:t>
      </w:r>
      <w:r w:rsidRPr="00363C84">
        <w:t xml:space="preserve">Yoksulluğun tetiklediği umutsuzluk, adaletsizliğe duyulan öfke ve hastalık gibi kriz anlarında belirginleşen dayanışma, toplumsal dinamiklerin birer tezahürüdür. Yusuf’un sıtma krizleri, diğer karakterlerde şefkat ve merhamet duygularını harekete geçirirken, </w:t>
      </w:r>
      <w:r>
        <w:t xml:space="preserve">zaman zaman hissedilen ondan kurtulma arzusu </w:t>
      </w:r>
      <w:r w:rsidRPr="00363C84">
        <w:t>grubun kolektif kırılganlığını</w:t>
      </w:r>
      <w:r>
        <w:t xml:space="preserve"> </w:t>
      </w:r>
      <w:r w:rsidRPr="00363C84">
        <w:t xml:space="preserve">görünür kılar. </w:t>
      </w:r>
      <w:proofErr w:type="spellStart"/>
      <w:r w:rsidRPr="00363C84">
        <w:t>Memet’in</w:t>
      </w:r>
      <w:proofErr w:type="spellEnd"/>
      <w:r w:rsidRPr="00363C84">
        <w:t xml:space="preserve"> iyimserliği ise, bu kırılganlığı dengeleyen ve ortak bilinci ayakta tutan </w:t>
      </w:r>
      <w:r>
        <w:t xml:space="preserve">yapıştırıcı </w:t>
      </w:r>
      <w:r w:rsidRPr="00363C84">
        <w:t>bir unsur olarak öne çıkar. Bu bağlamda, karakterlerin yaşam pratikleri, kültürel kodlarla maddi gerçeklikler arasında salınan varoluşsal bir mücadeleyi temsil eder. Umut ile çaresizlik, inanç ile şüphe, dayanışma ile bireysellik gibi ikilikler, bu mücadelenin temel parametrelerini oluşturur.</w:t>
      </w:r>
    </w:p>
    <w:p w14:paraId="64B8F240" w14:textId="77777777" w:rsidR="0017453B" w:rsidRPr="00363C84" w:rsidRDefault="0017453B" w:rsidP="0017453B">
      <w:pPr>
        <w:jc w:val="both"/>
      </w:pPr>
    </w:p>
    <w:p w14:paraId="5BFE2FFE" w14:textId="77777777" w:rsidR="00914DCC" w:rsidRPr="002A00BC" w:rsidRDefault="00914DCC" w:rsidP="0017453B">
      <w:pPr>
        <w:jc w:val="both"/>
      </w:pPr>
      <w:r w:rsidRPr="002A00BC">
        <w:t xml:space="preserve">Çukurova’ya göç eden ırgatların temel motivasyonu, yoksulluk döngüsünü kırma arzusudur. Ancak bu umut, bölgede karşılaştıkları sömürü düzeni ve adaletsizlikler karşısında hızla hayal kırıklığına evrilir. Çukurova, bereketli topraklarıyla umut vaat etse de sivrisineklerin yol açtığı sıtma, dayanılmaz sıcaklar ve ağır çalışma şartlarıyla oldukça zorlu bir coğrafyadır. Bu zorluklara rağmen, grubun Çukurova’ya gelme kararı, yoksulluğun dayattığı çaresizliği </w:t>
      </w:r>
      <w:r w:rsidRPr="002A00BC">
        <w:lastRenderedPageBreak/>
        <w:t xml:space="preserve">yansıtır. Çukurova’nın sert gerçekliğiyle yüzleşen bireyler, içsel çatışmalarını aşmak için dini ve kültürel referanslara başvururlar. Bu durum, insanın anlamsızlık karşısında anlam üretme çabasını ve inancın bu süreçteki dönüştürücü gücünü ortaya koyar. Özellikle nar ağacına atfedilen metafizik anlam, çözümsüzlük karşısında kültürel belleğin ürettiği sembolik bir sığınak işlevi görür.  Felsefi açıdan bakıldığında, bu durum varoluşsal bir anlam arayışı olarak </w:t>
      </w:r>
      <w:r>
        <w:t>da okunabilir.</w:t>
      </w:r>
      <w:r w:rsidRPr="002A00BC">
        <w:t xml:space="preserve"> </w:t>
      </w:r>
      <w:r>
        <w:t xml:space="preserve">Kutsal nar ağacı </w:t>
      </w:r>
      <w:r w:rsidRPr="002A00BC">
        <w:t>inan</w:t>
      </w:r>
      <w:r>
        <w:t>cı</w:t>
      </w:r>
      <w:r w:rsidRPr="002A00BC">
        <w:t>, yalnızca pragmatik bir hayatta kalma stratejisi değil, aynı zamanda anlam arayışının ontolojik bir tezahürüdür. Bilimsel rasyonalitenin açıklayamadığı ontolojik kaygılar, eserde olduğu gibi bireyleri mitoslara veya batıla inanmaya yönlendirir.</w:t>
      </w:r>
    </w:p>
    <w:p w14:paraId="41841B89" w14:textId="77777777" w:rsidR="00914DCC" w:rsidRDefault="00914DCC" w:rsidP="0017453B">
      <w:pPr>
        <w:jc w:val="both"/>
      </w:pPr>
      <w:r w:rsidRPr="002A00BC">
        <w:t>Kültürel kimliğin korunmasını ve geçmişle bağın sürdürülmesini sağlayan mitler, aynı zamanda hayatın anlamlandırılmasını da sağlamaktadır. Bu durum, insanın anlamsızlık karşısında anlam üretme çabasını ve inancın bu süreçteki dönüştürücü gücünü gösterir. İnanç sistemleri ve kültürel miras, karakterler için psikososyal adaptasyon araçları olarak işlev görür. Aşık Ali'nin türküleri, ortak acıları dile getirerek psikolojik rahatlama sağlar ve toplumsal bağları güçlendirir. Çukurova'nın zorlu koşullarına uyum sağlamaya çalışan</w:t>
      </w:r>
      <w:r>
        <w:t xml:space="preserve"> işçiler</w:t>
      </w:r>
      <w:r w:rsidRPr="002A00BC">
        <w:t>, inançları ve kültürel değerleri sayesinde: umutlarını korur</w:t>
      </w:r>
      <w:r>
        <w:t xml:space="preserve"> ve</w:t>
      </w:r>
      <w:r w:rsidRPr="002A00BC">
        <w:t xml:space="preserve"> stresle başa çıkarlar, Karakterlerin nar ağacına ulaşma arzusu, inanç ve umudun birbirini beslediği bir döngüyü tetikler. Karakterler, nar ağacına ulaşma umuduyla hareket ettikçe, ağacın kutsallığına ve mucizevi etkilerine olan inançları daha da artar. Bu simbiyotik döngü, irrasyonel pratiklerde (halk türküleri, batıl ritüeller, kutsal mekân arayışı) kendini göstererek anlam üretiminin kültürel kodlarla nasıl </w:t>
      </w:r>
      <w:proofErr w:type="spellStart"/>
      <w:r w:rsidRPr="002A00BC">
        <w:t>içiçe</w:t>
      </w:r>
      <w:proofErr w:type="spellEnd"/>
      <w:r w:rsidRPr="002A00BC">
        <w:t xml:space="preserve"> geçtiğini de ortaya koyar.</w:t>
      </w:r>
    </w:p>
    <w:p w14:paraId="755BCD56" w14:textId="77777777" w:rsidR="0017453B" w:rsidRPr="002A00BC" w:rsidRDefault="0017453B" w:rsidP="0017453B">
      <w:pPr>
        <w:jc w:val="both"/>
      </w:pPr>
    </w:p>
    <w:bookmarkEnd w:id="41"/>
    <w:p w14:paraId="04211EB4" w14:textId="20444581" w:rsidR="00914DCC" w:rsidRDefault="00914DCC" w:rsidP="0017453B">
      <w:pPr>
        <w:jc w:val="both"/>
      </w:pPr>
      <w:r w:rsidRPr="002A00BC">
        <w:t>Sonuç olarak</w:t>
      </w:r>
      <w:r>
        <w:t xml:space="preserve"> a</w:t>
      </w:r>
      <w:r w:rsidRPr="002A00BC">
        <w:t>nlam, insanın inançlar, toplumsal normlar ve kişisel deneyimlerle sürekli yeniden ürettiği dinamik bir olgudur. Anlamlılık hayata değer ve amaç katarken anlamdan yoksunluk ise hedef, farkındalık, değer ve doğrultudan yoksun olmak demektir.</w:t>
      </w:r>
      <w:r w:rsidRPr="00CC485E">
        <w:t xml:space="preserve"> </w:t>
      </w:r>
      <w:r w:rsidRPr="002A00BC">
        <w:t>İnsanlar geleneksel olarak hayatlarının anlamını ve değerini sor</w:t>
      </w:r>
      <w:r>
        <w:t>gularken</w:t>
      </w:r>
      <w:r w:rsidRPr="002A00BC">
        <w:t xml:space="preserve"> din, kültür, aşk</w:t>
      </w:r>
      <w:r>
        <w:t xml:space="preserve">, ideolojiler ve idealler gibi </w:t>
      </w:r>
      <w:r w:rsidRPr="002A00BC">
        <w:t xml:space="preserve">alanlara başvururlar. Bu değerler, </w:t>
      </w:r>
      <w:r>
        <w:t xml:space="preserve">insanlara </w:t>
      </w:r>
      <w:r w:rsidRPr="002A00BC">
        <w:t>uğruna yaşamak</w:t>
      </w:r>
      <w:r>
        <w:t xml:space="preserve"> ve mücadele etmek</w:t>
      </w:r>
      <w:r w:rsidRPr="002A00BC">
        <w:t xml:space="preserve"> için sebepler</w:t>
      </w:r>
      <w:r>
        <w:t xml:space="preserve"> verir. </w:t>
      </w:r>
      <w:proofErr w:type="spellStart"/>
      <w:r w:rsidRPr="00367825">
        <w:rPr>
          <w:i/>
          <w:iCs/>
        </w:rPr>
        <w:t>Hüyükteki</w:t>
      </w:r>
      <w:proofErr w:type="spellEnd"/>
      <w:r w:rsidRPr="00367825">
        <w:rPr>
          <w:i/>
          <w:iCs/>
        </w:rPr>
        <w:t xml:space="preserve"> Nar Ağacı</w:t>
      </w:r>
      <w:r>
        <w:t xml:space="preserve"> romanında </w:t>
      </w:r>
      <w:r w:rsidRPr="002A00BC">
        <w:t>inançlar</w:t>
      </w:r>
      <w:r>
        <w:t>, karakterlerin</w:t>
      </w:r>
      <w:r w:rsidRPr="002A00BC">
        <w:t xml:space="preserve"> değerlerini, dünya görüşünü, umudunu, maneviyatını, varoluşsal sorulara yanıtlarını ve sorumluluk bilincini etkileyerek anlam arayışında önemli bir rol oynar.</w:t>
      </w:r>
    </w:p>
    <w:p w14:paraId="05A3A142" w14:textId="77777777" w:rsidR="00914DCC" w:rsidRPr="009F0AE3" w:rsidRDefault="00914DCC" w:rsidP="0017453B">
      <w:pPr>
        <w:rPr>
          <w:b/>
          <w:bCs/>
        </w:rPr>
      </w:pPr>
    </w:p>
    <w:p w14:paraId="716E077D" w14:textId="77777777" w:rsidR="00914DCC" w:rsidRPr="009F0AE3" w:rsidRDefault="00914DCC" w:rsidP="0017453B">
      <w:pPr>
        <w:rPr>
          <w:b/>
          <w:bCs/>
        </w:rPr>
      </w:pPr>
      <w:r w:rsidRPr="009F0AE3">
        <w:rPr>
          <w:b/>
          <w:bCs/>
        </w:rPr>
        <w:t>KAYNAKÇA</w:t>
      </w:r>
      <w:bookmarkStart w:id="43" w:name="_Hlk191673697"/>
      <w:bookmarkEnd w:id="40"/>
    </w:p>
    <w:bookmarkEnd w:id="43"/>
    <w:p w14:paraId="25222E30" w14:textId="77777777" w:rsidR="00914DCC" w:rsidRPr="005A79A7" w:rsidRDefault="00914DCC">
      <w:pPr>
        <w:pStyle w:val="ListeParagraf"/>
        <w:numPr>
          <w:ilvl w:val="0"/>
          <w:numId w:val="13"/>
        </w:numPr>
      </w:pPr>
      <w:proofErr w:type="spellStart"/>
      <w:r w:rsidRPr="005A79A7">
        <w:t>Abuzar</w:t>
      </w:r>
      <w:proofErr w:type="spellEnd"/>
      <w:r w:rsidRPr="005A79A7">
        <w:t xml:space="preserve">, C. (2011). Dinin toplumsal yaşam üzerindeki etkisi. </w:t>
      </w:r>
      <w:r w:rsidRPr="00021193">
        <w:rPr>
          <w:i/>
          <w:iCs/>
        </w:rPr>
        <w:t>Harran Üniversitesi İlahiyat Fakültesi Dergisi, 26</w:t>
      </w:r>
      <w:r w:rsidRPr="005A79A7">
        <w:t>(26), 143–153.</w:t>
      </w:r>
    </w:p>
    <w:p w14:paraId="2B52B0F2" w14:textId="77777777" w:rsidR="00914DCC" w:rsidRDefault="00914DCC">
      <w:pPr>
        <w:pStyle w:val="ListeParagraf"/>
        <w:numPr>
          <w:ilvl w:val="0"/>
          <w:numId w:val="13"/>
        </w:numPr>
      </w:pPr>
      <w:r w:rsidRPr="006072A9">
        <w:t xml:space="preserve">Adler, A. (1983). </w:t>
      </w:r>
      <w:r w:rsidRPr="00021193">
        <w:rPr>
          <w:i/>
          <w:iCs/>
        </w:rPr>
        <w:t>Kişilik bozuklukları ve toplumsal bütünleşme (Üstünlük ve toplumsal ilgi)</w:t>
      </w:r>
      <w:r w:rsidRPr="006072A9">
        <w:t xml:space="preserve"> (</w:t>
      </w:r>
      <w:r>
        <w:t xml:space="preserve">Çev. </w:t>
      </w:r>
      <w:r w:rsidRPr="006072A9">
        <w:t>B</w:t>
      </w:r>
      <w:r>
        <w:t>elkıs</w:t>
      </w:r>
      <w:r w:rsidRPr="006072A9">
        <w:t xml:space="preserve"> Çorakçı). </w:t>
      </w:r>
      <w:r>
        <w:t xml:space="preserve">Say </w:t>
      </w:r>
      <w:r w:rsidRPr="006072A9">
        <w:t>Kitap Pazarlama.</w:t>
      </w:r>
    </w:p>
    <w:p w14:paraId="1E5AEEA9" w14:textId="7B28C246" w:rsidR="00914DCC" w:rsidRDefault="00914DCC">
      <w:pPr>
        <w:pStyle w:val="ListeParagraf"/>
        <w:numPr>
          <w:ilvl w:val="0"/>
          <w:numId w:val="13"/>
        </w:numPr>
      </w:pPr>
      <w:r w:rsidRPr="004B15A9">
        <w:t xml:space="preserve">Adler, A. (2000). </w:t>
      </w:r>
      <w:r w:rsidRPr="00021193">
        <w:rPr>
          <w:i/>
          <w:iCs/>
        </w:rPr>
        <w:t>Yaşama sanatı</w:t>
      </w:r>
      <w:r w:rsidRPr="004B15A9">
        <w:t xml:space="preserve"> (Çev. K</w:t>
      </w:r>
      <w:r>
        <w:t>âmuran</w:t>
      </w:r>
      <w:r w:rsidRPr="004B15A9">
        <w:t xml:space="preserve"> </w:t>
      </w:r>
      <w:proofErr w:type="spellStart"/>
      <w:r w:rsidRPr="004B15A9">
        <w:t>Şipal</w:t>
      </w:r>
      <w:proofErr w:type="spellEnd"/>
      <w:r>
        <w:t xml:space="preserve">). </w:t>
      </w:r>
      <w:r w:rsidRPr="004B15A9">
        <w:t>Say Yayınları.</w:t>
      </w:r>
    </w:p>
    <w:p w14:paraId="21828C75" w14:textId="77777777" w:rsidR="00914DCC" w:rsidRPr="005A79A7" w:rsidRDefault="00914DCC">
      <w:pPr>
        <w:pStyle w:val="ListeParagraf"/>
        <w:numPr>
          <w:ilvl w:val="0"/>
          <w:numId w:val="13"/>
        </w:numPr>
      </w:pPr>
      <w:r w:rsidRPr="005A79A7">
        <w:t xml:space="preserve">Beckett, S. (1978). </w:t>
      </w:r>
      <w:proofErr w:type="spellStart"/>
      <w:r w:rsidRPr="00021193">
        <w:rPr>
          <w:i/>
          <w:iCs/>
        </w:rPr>
        <w:t>Krapp's</w:t>
      </w:r>
      <w:proofErr w:type="spellEnd"/>
      <w:r w:rsidRPr="00021193">
        <w:rPr>
          <w:i/>
          <w:iCs/>
        </w:rPr>
        <w:t xml:space="preserve"> </w:t>
      </w:r>
      <w:proofErr w:type="spellStart"/>
      <w:r w:rsidRPr="00021193">
        <w:rPr>
          <w:i/>
          <w:iCs/>
        </w:rPr>
        <w:t>last</w:t>
      </w:r>
      <w:proofErr w:type="spellEnd"/>
      <w:r w:rsidRPr="00021193">
        <w:rPr>
          <w:i/>
          <w:iCs/>
        </w:rPr>
        <w:t xml:space="preserve"> tape </w:t>
      </w:r>
      <w:proofErr w:type="spellStart"/>
      <w:r w:rsidRPr="00021193">
        <w:rPr>
          <w:i/>
          <w:iCs/>
        </w:rPr>
        <w:t>and</w:t>
      </w:r>
      <w:proofErr w:type="spellEnd"/>
      <w:r w:rsidRPr="00021193">
        <w:rPr>
          <w:i/>
          <w:iCs/>
        </w:rPr>
        <w:t xml:space="preserve"> </w:t>
      </w:r>
      <w:proofErr w:type="spellStart"/>
      <w:r w:rsidRPr="00021193">
        <w:rPr>
          <w:i/>
          <w:iCs/>
        </w:rPr>
        <w:t>other</w:t>
      </w:r>
      <w:proofErr w:type="spellEnd"/>
      <w:r w:rsidRPr="00021193">
        <w:rPr>
          <w:i/>
          <w:iCs/>
        </w:rPr>
        <w:t xml:space="preserve"> </w:t>
      </w:r>
      <w:proofErr w:type="spellStart"/>
      <w:r w:rsidRPr="00021193">
        <w:rPr>
          <w:i/>
          <w:iCs/>
        </w:rPr>
        <w:t>dramatic</w:t>
      </w:r>
      <w:proofErr w:type="spellEnd"/>
      <w:r w:rsidRPr="00021193">
        <w:rPr>
          <w:i/>
          <w:iCs/>
        </w:rPr>
        <w:t xml:space="preserve"> </w:t>
      </w:r>
      <w:proofErr w:type="spellStart"/>
      <w:r w:rsidRPr="00021193">
        <w:rPr>
          <w:i/>
          <w:iCs/>
        </w:rPr>
        <w:t>pieces</w:t>
      </w:r>
      <w:proofErr w:type="spellEnd"/>
      <w:r w:rsidRPr="005A79A7">
        <w:t xml:space="preserve">. </w:t>
      </w:r>
      <w:proofErr w:type="spellStart"/>
      <w:r w:rsidRPr="005A79A7">
        <w:t>Grove</w:t>
      </w:r>
      <w:proofErr w:type="spellEnd"/>
      <w:r w:rsidRPr="005A79A7">
        <w:t xml:space="preserve"> </w:t>
      </w:r>
      <w:proofErr w:type="spellStart"/>
      <w:r w:rsidRPr="005A79A7">
        <w:t>Press</w:t>
      </w:r>
      <w:proofErr w:type="spellEnd"/>
      <w:r w:rsidRPr="005A79A7">
        <w:t>.</w:t>
      </w:r>
    </w:p>
    <w:p w14:paraId="28532DC9" w14:textId="77777777" w:rsidR="00914DCC" w:rsidRDefault="00914DCC">
      <w:pPr>
        <w:pStyle w:val="ListeParagraf"/>
        <w:numPr>
          <w:ilvl w:val="0"/>
          <w:numId w:val="13"/>
        </w:numPr>
      </w:pPr>
      <w:r w:rsidRPr="00D43EA9">
        <w:t xml:space="preserve">Beckett, S. (2006). </w:t>
      </w:r>
      <w:proofErr w:type="spellStart"/>
      <w:r w:rsidRPr="00021193">
        <w:rPr>
          <w:i/>
          <w:iCs/>
        </w:rPr>
        <w:t>Godot'yu</w:t>
      </w:r>
      <w:proofErr w:type="spellEnd"/>
      <w:r w:rsidRPr="00021193">
        <w:rPr>
          <w:i/>
          <w:iCs/>
        </w:rPr>
        <w:t xml:space="preserve"> beklerken</w:t>
      </w:r>
      <w:r w:rsidRPr="00D43EA9">
        <w:t xml:space="preserve"> (</w:t>
      </w:r>
      <w:r>
        <w:t xml:space="preserve">Çev. </w:t>
      </w:r>
      <w:r w:rsidRPr="00D43EA9">
        <w:t>U</w:t>
      </w:r>
      <w:r>
        <w:t>ğur</w:t>
      </w:r>
      <w:r w:rsidRPr="00D43EA9">
        <w:t xml:space="preserve"> Ün</w:t>
      </w:r>
      <w:r>
        <w:t>,</w:t>
      </w:r>
      <w:r w:rsidRPr="00D43EA9">
        <w:t xml:space="preserve"> T</w:t>
      </w:r>
      <w:r>
        <w:t>arık</w:t>
      </w:r>
      <w:r w:rsidRPr="00D43EA9">
        <w:t xml:space="preserve"> </w:t>
      </w:r>
      <w:proofErr w:type="spellStart"/>
      <w:r w:rsidRPr="00D43EA9">
        <w:t>Günersel</w:t>
      </w:r>
      <w:proofErr w:type="spellEnd"/>
      <w:r w:rsidRPr="00D43EA9">
        <w:t>). Kabalcı Yayınları.</w:t>
      </w:r>
    </w:p>
    <w:p w14:paraId="1A104439" w14:textId="77777777" w:rsidR="00914DCC" w:rsidRPr="005A79A7" w:rsidRDefault="00914DCC">
      <w:pPr>
        <w:pStyle w:val="ListeParagraf"/>
        <w:numPr>
          <w:ilvl w:val="0"/>
          <w:numId w:val="13"/>
        </w:numPr>
      </w:pPr>
      <w:r w:rsidRPr="005A79A7">
        <w:t xml:space="preserve">Berger, P. L. (1993). </w:t>
      </w:r>
      <w:r w:rsidRPr="00021193">
        <w:rPr>
          <w:i/>
          <w:iCs/>
        </w:rPr>
        <w:t>Dinin sosyal gerçekliği</w:t>
      </w:r>
      <w:r w:rsidRPr="005A79A7">
        <w:t xml:space="preserve"> (</w:t>
      </w:r>
      <w:r w:rsidRPr="001347D2">
        <w:t>Çev. Ali Coşkun</w:t>
      </w:r>
      <w:r w:rsidRPr="005A79A7">
        <w:t>). İnsan Yayınları.</w:t>
      </w:r>
    </w:p>
    <w:p w14:paraId="7D160E21" w14:textId="77777777" w:rsidR="00914DCC" w:rsidRPr="005A79A7" w:rsidRDefault="00914DCC">
      <w:pPr>
        <w:pStyle w:val="ListeParagraf"/>
        <w:numPr>
          <w:ilvl w:val="0"/>
          <w:numId w:val="13"/>
        </w:numPr>
      </w:pPr>
      <w:r w:rsidRPr="005A79A7">
        <w:t xml:space="preserve">Camus, A. (2010). </w:t>
      </w:r>
      <w:proofErr w:type="spellStart"/>
      <w:r w:rsidRPr="00021193">
        <w:rPr>
          <w:i/>
          <w:iCs/>
        </w:rPr>
        <w:t>Sisifos</w:t>
      </w:r>
      <w:proofErr w:type="spellEnd"/>
      <w:r w:rsidRPr="00021193">
        <w:rPr>
          <w:i/>
          <w:iCs/>
        </w:rPr>
        <w:t xml:space="preserve"> </w:t>
      </w:r>
      <w:proofErr w:type="spellStart"/>
      <w:r w:rsidRPr="00021193">
        <w:rPr>
          <w:i/>
          <w:iCs/>
        </w:rPr>
        <w:t>söyleni</w:t>
      </w:r>
      <w:proofErr w:type="spellEnd"/>
      <w:r w:rsidRPr="005A79A7">
        <w:t xml:space="preserve"> (</w:t>
      </w:r>
      <w:r w:rsidRPr="001347D2">
        <w:t>Çev</w:t>
      </w:r>
      <w:r>
        <w:t>.</w:t>
      </w:r>
      <w:r w:rsidRPr="001347D2">
        <w:t xml:space="preserve"> Tahsin Yücel</w:t>
      </w:r>
      <w:r w:rsidRPr="005A79A7">
        <w:t>). Can Sanat Yayınları.</w:t>
      </w:r>
    </w:p>
    <w:p w14:paraId="5228F682" w14:textId="77777777" w:rsidR="00914DCC" w:rsidRPr="005A79A7" w:rsidRDefault="00914DCC">
      <w:pPr>
        <w:pStyle w:val="ListeParagraf"/>
        <w:numPr>
          <w:ilvl w:val="0"/>
          <w:numId w:val="13"/>
        </w:numPr>
      </w:pPr>
      <w:r w:rsidRPr="005A79A7">
        <w:t xml:space="preserve">Camus, A. (2015). </w:t>
      </w:r>
      <w:r w:rsidRPr="00021193">
        <w:rPr>
          <w:i/>
          <w:iCs/>
        </w:rPr>
        <w:t>Düğün bir Alman dosta mektuplar</w:t>
      </w:r>
      <w:r w:rsidRPr="005A79A7">
        <w:t xml:space="preserve"> (</w:t>
      </w:r>
      <w:r w:rsidRPr="001347D2">
        <w:t>Çev</w:t>
      </w:r>
      <w:r>
        <w:t>.</w:t>
      </w:r>
      <w:r w:rsidRPr="001347D2">
        <w:t xml:space="preserve"> Tahsin Yücel</w:t>
      </w:r>
      <w:r w:rsidRPr="005A79A7">
        <w:t>). Can Sanat Yayınları.</w:t>
      </w:r>
    </w:p>
    <w:p w14:paraId="0885B012" w14:textId="77777777" w:rsidR="00914DCC" w:rsidRPr="005A79A7" w:rsidRDefault="00914DCC">
      <w:pPr>
        <w:pStyle w:val="ListeParagraf"/>
        <w:numPr>
          <w:ilvl w:val="0"/>
          <w:numId w:val="13"/>
        </w:numPr>
      </w:pPr>
      <w:r w:rsidRPr="005A79A7">
        <w:t xml:space="preserve">Cevizci, A. (1999). </w:t>
      </w:r>
      <w:r w:rsidRPr="00021193">
        <w:rPr>
          <w:i/>
          <w:iCs/>
        </w:rPr>
        <w:t>Felsefe sözlüğü</w:t>
      </w:r>
      <w:r w:rsidRPr="005A79A7">
        <w:t>. Paradigma Yayınları.</w:t>
      </w:r>
    </w:p>
    <w:p w14:paraId="0BC06A06" w14:textId="77777777" w:rsidR="00914DCC" w:rsidRPr="005A79A7" w:rsidRDefault="00914DCC">
      <w:pPr>
        <w:pStyle w:val="ListeParagraf"/>
        <w:numPr>
          <w:ilvl w:val="0"/>
          <w:numId w:val="13"/>
        </w:numPr>
      </w:pPr>
      <w:r w:rsidRPr="005A79A7">
        <w:t xml:space="preserve">Coşkun, A. (2005). Toplumsal düşünce tarihinde din sorunu. A. Coşkun (Ed.), </w:t>
      </w:r>
      <w:r w:rsidRPr="00021193">
        <w:rPr>
          <w:i/>
          <w:iCs/>
        </w:rPr>
        <w:t>Din, toplum ve kültür: Din sosyolojisi ve antropolojisine giriş</w:t>
      </w:r>
      <w:r w:rsidRPr="005A79A7">
        <w:t xml:space="preserve"> (</w:t>
      </w:r>
      <w:proofErr w:type="spellStart"/>
      <w:r w:rsidRPr="005A79A7">
        <w:t>ss</w:t>
      </w:r>
      <w:proofErr w:type="spellEnd"/>
      <w:r w:rsidRPr="005A79A7">
        <w:t>. 7–22). İz Yayıncılık.</w:t>
      </w:r>
    </w:p>
    <w:p w14:paraId="6FB02698" w14:textId="77777777" w:rsidR="00914DCC" w:rsidRPr="005A79A7" w:rsidRDefault="00914DCC">
      <w:pPr>
        <w:pStyle w:val="ListeParagraf"/>
        <w:numPr>
          <w:ilvl w:val="0"/>
          <w:numId w:val="13"/>
        </w:numPr>
      </w:pPr>
      <w:proofErr w:type="spellStart"/>
      <w:r w:rsidRPr="005A79A7">
        <w:t>Dinçmen</w:t>
      </w:r>
      <w:proofErr w:type="spellEnd"/>
      <w:r w:rsidRPr="005A79A7">
        <w:t xml:space="preserve">, K. (1997). </w:t>
      </w:r>
      <w:proofErr w:type="spellStart"/>
      <w:r w:rsidRPr="00021193">
        <w:rPr>
          <w:i/>
          <w:iCs/>
        </w:rPr>
        <w:t>Psykhiatria</w:t>
      </w:r>
      <w:proofErr w:type="spellEnd"/>
      <w:r w:rsidRPr="001347D2">
        <w:t xml:space="preserve"> </w:t>
      </w:r>
      <w:r w:rsidRPr="00021193">
        <w:rPr>
          <w:i/>
          <w:iCs/>
        </w:rPr>
        <w:t xml:space="preserve">ve </w:t>
      </w:r>
      <w:proofErr w:type="spellStart"/>
      <w:r w:rsidRPr="00021193">
        <w:rPr>
          <w:i/>
          <w:iCs/>
        </w:rPr>
        <w:t>mythos</w:t>
      </w:r>
      <w:proofErr w:type="spellEnd"/>
      <w:r w:rsidRPr="005A79A7">
        <w:t xml:space="preserve">. </w:t>
      </w:r>
      <w:proofErr w:type="spellStart"/>
      <w:r w:rsidRPr="005A79A7">
        <w:t>Pan</w:t>
      </w:r>
      <w:proofErr w:type="spellEnd"/>
      <w:r w:rsidRPr="005A79A7">
        <w:t xml:space="preserve"> Yayıncılık.</w:t>
      </w:r>
    </w:p>
    <w:p w14:paraId="53C57AD2" w14:textId="77777777" w:rsidR="00914DCC" w:rsidRPr="005A79A7" w:rsidRDefault="00914DCC">
      <w:pPr>
        <w:pStyle w:val="ListeParagraf"/>
        <w:numPr>
          <w:ilvl w:val="0"/>
          <w:numId w:val="13"/>
        </w:numPr>
      </w:pPr>
      <w:proofErr w:type="spellStart"/>
      <w:r w:rsidRPr="005A79A7">
        <w:lastRenderedPageBreak/>
        <w:t>Frankl</w:t>
      </w:r>
      <w:proofErr w:type="spellEnd"/>
      <w:r w:rsidRPr="005A79A7">
        <w:t xml:space="preserve">, V. E. (1994). </w:t>
      </w:r>
      <w:r w:rsidRPr="00021193">
        <w:rPr>
          <w:i/>
          <w:iCs/>
        </w:rPr>
        <w:t>Duyulmayan anlam çığlığı: Psikoterapi ve hümanizm</w:t>
      </w:r>
      <w:r w:rsidRPr="005A79A7">
        <w:t xml:space="preserve"> (</w:t>
      </w:r>
      <w:r w:rsidRPr="001347D2">
        <w:t>Çev. Selçuk Budak</w:t>
      </w:r>
      <w:r w:rsidRPr="005A79A7">
        <w:t>). Öteki Yayınevi.</w:t>
      </w:r>
    </w:p>
    <w:p w14:paraId="5A05AFD1" w14:textId="77777777" w:rsidR="00914DCC" w:rsidRPr="005A79A7" w:rsidRDefault="00914DCC">
      <w:pPr>
        <w:pStyle w:val="ListeParagraf"/>
        <w:numPr>
          <w:ilvl w:val="0"/>
          <w:numId w:val="13"/>
        </w:numPr>
      </w:pPr>
      <w:proofErr w:type="spellStart"/>
      <w:r w:rsidRPr="005A79A7">
        <w:t>Frankl</w:t>
      </w:r>
      <w:proofErr w:type="spellEnd"/>
      <w:r w:rsidRPr="005A79A7">
        <w:t xml:space="preserve">, V. E. (2009). </w:t>
      </w:r>
      <w:r w:rsidRPr="00021193">
        <w:rPr>
          <w:i/>
          <w:iCs/>
        </w:rPr>
        <w:t>İnsanın anlam arayışı</w:t>
      </w:r>
      <w:r w:rsidRPr="005A79A7">
        <w:t xml:space="preserve"> (</w:t>
      </w:r>
      <w:r w:rsidRPr="001347D2">
        <w:t>Çev. Selçuk Budak</w:t>
      </w:r>
      <w:r w:rsidRPr="005A79A7">
        <w:t>). Okuyan Us Yayınları.</w:t>
      </w:r>
    </w:p>
    <w:p w14:paraId="2736C37D" w14:textId="77777777" w:rsidR="00914DCC" w:rsidRPr="005A79A7" w:rsidRDefault="00914DCC">
      <w:pPr>
        <w:pStyle w:val="ListeParagraf"/>
        <w:numPr>
          <w:ilvl w:val="0"/>
          <w:numId w:val="13"/>
        </w:numPr>
      </w:pPr>
      <w:r w:rsidRPr="005A79A7">
        <w:t xml:space="preserve">Freud, S. (2016). </w:t>
      </w:r>
      <w:r w:rsidRPr="00021193">
        <w:rPr>
          <w:i/>
          <w:iCs/>
        </w:rPr>
        <w:t>Psikanaliz</w:t>
      </w:r>
      <w:r w:rsidRPr="005A79A7">
        <w:t>. Gece Kitaplığı.</w:t>
      </w:r>
    </w:p>
    <w:p w14:paraId="7AF64EB9" w14:textId="77777777" w:rsidR="00914DCC" w:rsidRPr="002920DD" w:rsidRDefault="00914DCC">
      <w:pPr>
        <w:pStyle w:val="ListeParagraf"/>
        <w:numPr>
          <w:ilvl w:val="0"/>
          <w:numId w:val="13"/>
        </w:numPr>
      </w:pPr>
      <w:r w:rsidRPr="005A79A7">
        <w:t xml:space="preserve">Freud, S. (2020). </w:t>
      </w:r>
      <w:r w:rsidRPr="00021193">
        <w:rPr>
          <w:i/>
          <w:iCs/>
        </w:rPr>
        <w:t>Uygarlığın huzursuzluğu</w:t>
      </w:r>
      <w:r w:rsidRPr="005A79A7">
        <w:t xml:space="preserve"> </w:t>
      </w:r>
      <w:r>
        <w:t xml:space="preserve">(Çev. Haluk </w:t>
      </w:r>
      <w:proofErr w:type="spellStart"/>
      <w:r>
        <w:t>Barışcan</w:t>
      </w:r>
      <w:proofErr w:type="spellEnd"/>
      <w:r>
        <w:t xml:space="preserve">). </w:t>
      </w:r>
      <w:r w:rsidRPr="005A79A7">
        <w:t>Metis Yayıncılık.</w:t>
      </w:r>
    </w:p>
    <w:p w14:paraId="563717E0" w14:textId="77777777" w:rsidR="00914DCC" w:rsidRDefault="00914DCC">
      <w:pPr>
        <w:pStyle w:val="ListeParagraf"/>
        <w:numPr>
          <w:ilvl w:val="0"/>
          <w:numId w:val="13"/>
        </w:numPr>
      </w:pPr>
      <w:r w:rsidRPr="00E75EBD">
        <w:t xml:space="preserve">Işıldak, S. (2020). </w:t>
      </w:r>
      <w:r w:rsidRPr="00021193">
        <w:rPr>
          <w:i/>
          <w:iCs/>
        </w:rPr>
        <w:t>Marshall Planı ve Türkiye’de tarım (1948-1960)</w:t>
      </w:r>
      <w:r>
        <w:t xml:space="preserve">. </w:t>
      </w:r>
      <w:r w:rsidRPr="00E75EBD">
        <w:t>Doktora tezi, Niğde Ömer Halisdemir Üniversitesi</w:t>
      </w:r>
      <w:r>
        <w:t>.</w:t>
      </w:r>
    </w:p>
    <w:p w14:paraId="1A9BD235" w14:textId="77777777" w:rsidR="00914DCC" w:rsidRPr="005A79A7" w:rsidRDefault="00914DCC">
      <w:pPr>
        <w:pStyle w:val="ListeParagraf"/>
        <w:numPr>
          <w:ilvl w:val="0"/>
          <w:numId w:val="13"/>
        </w:numPr>
      </w:pPr>
      <w:r w:rsidRPr="005A79A7">
        <w:t xml:space="preserve">Karaçalı, M., &amp; Korkmaz, S. (2023). Psikolojik iyi oluş, yaşamda anlam ve dindarlık arasındaki ilişkiler. </w:t>
      </w:r>
      <w:r w:rsidRPr="00021193">
        <w:rPr>
          <w:i/>
          <w:iCs/>
        </w:rPr>
        <w:t>Yakın Doğu Üniversitesi İlahiyat Fakültesi Dergisi, 9</w:t>
      </w:r>
      <w:r w:rsidRPr="005A79A7">
        <w:t xml:space="preserve">(2), 128–147. </w:t>
      </w:r>
      <w:hyperlink r:id="rId99" w:history="1">
        <w:r w:rsidRPr="00021193">
          <w:rPr>
            <w:rStyle w:val="Kpr"/>
            <w:rFonts w:eastAsiaTheme="majorEastAsia"/>
          </w:rPr>
          <w:t>https://doi.org/10.32955/neu.ilaf.2023.9.2.01</w:t>
        </w:r>
      </w:hyperlink>
    </w:p>
    <w:p w14:paraId="66DBE8F5" w14:textId="77777777" w:rsidR="00914DCC" w:rsidRPr="005A79A7" w:rsidRDefault="00914DCC">
      <w:pPr>
        <w:pStyle w:val="ListeParagraf"/>
        <w:numPr>
          <w:ilvl w:val="0"/>
          <w:numId w:val="13"/>
        </w:numPr>
      </w:pPr>
      <w:r w:rsidRPr="005A79A7">
        <w:t xml:space="preserve">Karaman, S., &amp; Yavuz, C. F. (2016). Marshall Planı Türkiye tarımının gelişmesinde nasıl rol oynamıştır? </w:t>
      </w:r>
      <w:r w:rsidRPr="00021193">
        <w:rPr>
          <w:i/>
          <w:iCs/>
        </w:rPr>
        <w:t>Uludağ Üniversitesi İktisadi ve İdari Bilimler Fakültesi Dergisi, 35</w:t>
      </w:r>
      <w:r w:rsidRPr="005A79A7">
        <w:t>(1), 1–14.</w:t>
      </w:r>
    </w:p>
    <w:p w14:paraId="1D84F791" w14:textId="77777777" w:rsidR="00914DCC" w:rsidRPr="005A79A7" w:rsidRDefault="00914DCC">
      <w:pPr>
        <w:pStyle w:val="ListeParagraf"/>
        <w:numPr>
          <w:ilvl w:val="0"/>
          <w:numId w:val="13"/>
        </w:numPr>
      </w:pPr>
      <w:r w:rsidRPr="005A79A7">
        <w:t xml:space="preserve">Kartal, E. (2019). </w:t>
      </w:r>
      <w:r w:rsidRPr="00021193">
        <w:rPr>
          <w:i/>
          <w:iCs/>
        </w:rPr>
        <w:t>Dini inanç ve anlam</w:t>
      </w:r>
      <w:r>
        <w:t xml:space="preserve">. </w:t>
      </w:r>
      <w:r w:rsidRPr="005A79A7">
        <w:t>Yüksek lisans tezi, Ankara Yıldırım Beyazıt Üniversitesi</w:t>
      </w:r>
      <w:r>
        <w:t>.</w:t>
      </w:r>
    </w:p>
    <w:p w14:paraId="111A331F" w14:textId="77777777" w:rsidR="00914DCC" w:rsidRDefault="00914DCC">
      <w:pPr>
        <w:pStyle w:val="ListeParagraf"/>
        <w:numPr>
          <w:ilvl w:val="0"/>
          <w:numId w:val="13"/>
        </w:numPr>
      </w:pPr>
      <w:r w:rsidRPr="0020087E">
        <w:t xml:space="preserve">Kemal, Y. (1982). </w:t>
      </w:r>
      <w:proofErr w:type="spellStart"/>
      <w:r w:rsidRPr="00021193">
        <w:rPr>
          <w:i/>
          <w:iCs/>
        </w:rPr>
        <w:t>Hüyükteki</w:t>
      </w:r>
      <w:proofErr w:type="spellEnd"/>
      <w:r w:rsidRPr="00021193">
        <w:rPr>
          <w:i/>
          <w:iCs/>
        </w:rPr>
        <w:t xml:space="preserve"> nar ağacı</w:t>
      </w:r>
      <w:r w:rsidRPr="0020087E">
        <w:t xml:space="preserve"> (1. baskı). Toros Yayınları.</w:t>
      </w:r>
    </w:p>
    <w:p w14:paraId="3527DDA4" w14:textId="77777777" w:rsidR="00914DCC" w:rsidRDefault="00914DCC">
      <w:pPr>
        <w:pStyle w:val="ListeParagraf"/>
        <w:numPr>
          <w:ilvl w:val="0"/>
          <w:numId w:val="13"/>
        </w:numPr>
      </w:pPr>
      <w:r w:rsidRPr="00804C42">
        <w:t xml:space="preserve">Kemal, Y. (2017). </w:t>
      </w:r>
      <w:r w:rsidRPr="00021193">
        <w:rPr>
          <w:i/>
          <w:iCs/>
        </w:rPr>
        <w:t>Sevmek, sevinmek, iyi şeyler üstüne: Seçme yazılar</w:t>
      </w:r>
      <w:r w:rsidRPr="00804C42">
        <w:t xml:space="preserve"> (</w:t>
      </w:r>
      <w:r>
        <w:t xml:space="preserve">Haz. </w:t>
      </w:r>
      <w:r w:rsidRPr="00804C42">
        <w:t>F</w:t>
      </w:r>
      <w:r>
        <w:t xml:space="preserve">iliz </w:t>
      </w:r>
      <w:r w:rsidRPr="00804C42">
        <w:t>Özdem) (4. baskı). Yapı Kredi Kültür Sanat Yayıncılık.</w:t>
      </w:r>
    </w:p>
    <w:p w14:paraId="556EAAF4" w14:textId="77777777" w:rsidR="00914DCC" w:rsidRPr="005A79A7" w:rsidRDefault="00914DCC">
      <w:pPr>
        <w:pStyle w:val="ListeParagraf"/>
        <w:numPr>
          <w:ilvl w:val="0"/>
          <w:numId w:val="13"/>
        </w:numPr>
      </w:pPr>
      <w:r w:rsidRPr="005A79A7">
        <w:t xml:space="preserve">Kierkegaard, S. (2010). </w:t>
      </w:r>
      <w:r w:rsidRPr="00021193">
        <w:rPr>
          <w:i/>
          <w:iCs/>
        </w:rPr>
        <w:t>Ölümcül hastalık umutsuzluk</w:t>
      </w:r>
      <w:r w:rsidRPr="005A79A7">
        <w:t xml:space="preserve"> (</w:t>
      </w:r>
      <w:r>
        <w:t xml:space="preserve">Çev. </w:t>
      </w:r>
      <w:r w:rsidRPr="005A79A7">
        <w:t>M. Mukadder Yakupoğlu). Doğu Batı Yayınları.</w:t>
      </w:r>
    </w:p>
    <w:p w14:paraId="11A12C55" w14:textId="77777777" w:rsidR="00914DCC" w:rsidRPr="005A79A7" w:rsidRDefault="00914DCC">
      <w:pPr>
        <w:pStyle w:val="ListeParagraf"/>
        <w:numPr>
          <w:ilvl w:val="0"/>
          <w:numId w:val="13"/>
        </w:numPr>
      </w:pPr>
      <w:r w:rsidRPr="005A79A7">
        <w:t xml:space="preserve">Kierkegaard, S. (2013). </w:t>
      </w:r>
      <w:r w:rsidRPr="00021193">
        <w:rPr>
          <w:i/>
          <w:iCs/>
        </w:rPr>
        <w:t>Kaygı kavramı</w:t>
      </w:r>
      <w:r w:rsidRPr="005A79A7">
        <w:t xml:space="preserve"> (</w:t>
      </w:r>
      <w:r w:rsidRPr="001347D2">
        <w:t>Çev</w:t>
      </w:r>
      <w:r>
        <w:t>.</w:t>
      </w:r>
      <w:r w:rsidRPr="001347D2">
        <w:t xml:space="preserve"> Türker </w:t>
      </w:r>
      <w:proofErr w:type="spellStart"/>
      <w:r w:rsidRPr="001347D2">
        <w:t>Armaner</w:t>
      </w:r>
      <w:proofErr w:type="spellEnd"/>
      <w:r w:rsidRPr="005A79A7">
        <w:t>). Türkiye İş Bankası Kültür Yayınları.</w:t>
      </w:r>
    </w:p>
    <w:p w14:paraId="6F2E7C9D" w14:textId="77777777" w:rsidR="00914DCC" w:rsidRPr="005A79A7" w:rsidRDefault="00914DCC">
      <w:pPr>
        <w:pStyle w:val="ListeParagraf"/>
        <w:numPr>
          <w:ilvl w:val="0"/>
          <w:numId w:val="13"/>
        </w:numPr>
      </w:pPr>
      <w:r w:rsidRPr="005A79A7">
        <w:t xml:space="preserve">Kierkegaard, S. (2022). </w:t>
      </w:r>
      <w:r w:rsidRPr="00021193">
        <w:rPr>
          <w:i/>
          <w:iCs/>
        </w:rPr>
        <w:t>Korku ve titreme: Diyalektik lirik</w:t>
      </w:r>
      <w:r w:rsidRPr="005A79A7">
        <w:t xml:space="preserve"> (</w:t>
      </w:r>
      <w:r w:rsidRPr="001347D2">
        <w:t xml:space="preserve">Çev. İbrahim </w:t>
      </w:r>
      <w:proofErr w:type="spellStart"/>
      <w:r w:rsidRPr="001347D2">
        <w:t>Kapaklıkaya</w:t>
      </w:r>
      <w:proofErr w:type="spellEnd"/>
      <w:r w:rsidRPr="005A79A7">
        <w:t>). Ketebe Yayınları.</w:t>
      </w:r>
    </w:p>
    <w:p w14:paraId="656F74AA" w14:textId="77777777" w:rsidR="00914DCC" w:rsidRPr="005A79A7" w:rsidRDefault="00914DCC">
      <w:pPr>
        <w:pStyle w:val="ListeParagraf"/>
        <w:numPr>
          <w:ilvl w:val="0"/>
          <w:numId w:val="13"/>
        </w:numPr>
      </w:pPr>
      <w:r w:rsidRPr="005A79A7">
        <w:t xml:space="preserve">Kudret, C. (1990). </w:t>
      </w:r>
      <w:r w:rsidRPr="00021193">
        <w:rPr>
          <w:i/>
          <w:iCs/>
        </w:rPr>
        <w:t>Türk edebiyatında hikâye ve roman III</w:t>
      </w:r>
      <w:r w:rsidRPr="005A79A7">
        <w:t>. İnkılap Yayınevi.</w:t>
      </w:r>
    </w:p>
    <w:p w14:paraId="7FDB91AB" w14:textId="77777777" w:rsidR="00914DCC" w:rsidRPr="005A79A7" w:rsidRDefault="00914DCC">
      <w:pPr>
        <w:pStyle w:val="ListeParagraf"/>
        <w:numPr>
          <w:ilvl w:val="0"/>
          <w:numId w:val="13"/>
        </w:numPr>
      </w:pPr>
      <w:proofErr w:type="spellStart"/>
      <w:r w:rsidRPr="005A79A7">
        <w:t>Moran</w:t>
      </w:r>
      <w:proofErr w:type="spellEnd"/>
      <w:r w:rsidRPr="005A79A7">
        <w:t xml:space="preserve">, B. (2001). </w:t>
      </w:r>
      <w:r w:rsidRPr="00021193">
        <w:rPr>
          <w:i/>
          <w:iCs/>
        </w:rPr>
        <w:t>Türk romanına eleştirel bir bakış 2</w:t>
      </w:r>
      <w:r w:rsidRPr="005A79A7">
        <w:t>. İletişim Yayınları.</w:t>
      </w:r>
    </w:p>
    <w:p w14:paraId="25704D40" w14:textId="77777777" w:rsidR="00914DCC" w:rsidRPr="005A79A7" w:rsidRDefault="00914DCC">
      <w:pPr>
        <w:pStyle w:val="ListeParagraf"/>
        <w:numPr>
          <w:ilvl w:val="0"/>
          <w:numId w:val="13"/>
        </w:numPr>
      </w:pPr>
      <w:r w:rsidRPr="001347D2">
        <w:t>Özkan Kuş, N</w:t>
      </w:r>
      <w:r>
        <w:t>. ve</w:t>
      </w:r>
      <w:r w:rsidRPr="005A79A7">
        <w:t xml:space="preserve"> Duran, R.</w:t>
      </w:r>
      <w:r>
        <w:t xml:space="preserve"> </w:t>
      </w:r>
      <w:r w:rsidRPr="005A79A7">
        <w:t xml:space="preserve">(2022). Türk kültüründe nar motifi ve tekstil uygulamalarından örnekler. </w:t>
      </w:r>
      <w:proofErr w:type="spellStart"/>
      <w:r w:rsidRPr="00021193">
        <w:rPr>
          <w:i/>
          <w:iCs/>
        </w:rPr>
        <w:t>Ulakbilge</w:t>
      </w:r>
      <w:proofErr w:type="spellEnd"/>
      <w:r w:rsidRPr="00021193">
        <w:rPr>
          <w:i/>
          <w:iCs/>
        </w:rPr>
        <w:t>, 68</w:t>
      </w:r>
      <w:r w:rsidRPr="005A79A7">
        <w:t>, 21–33.</w:t>
      </w:r>
    </w:p>
    <w:p w14:paraId="60505AF4" w14:textId="77777777" w:rsidR="00914DCC" w:rsidRPr="005A79A7" w:rsidRDefault="00914DCC">
      <w:pPr>
        <w:pStyle w:val="ListeParagraf"/>
        <w:numPr>
          <w:ilvl w:val="0"/>
          <w:numId w:val="13"/>
        </w:numPr>
      </w:pPr>
      <w:r w:rsidRPr="005A79A7">
        <w:t xml:space="preserve">Salur, B., &amp; Çelebi, F. (2022). Kierkegaard’ın iman anlayışında </w:t>
      </w:r>
      <w:proofErr w:type="spellStart"/>
      <w:r w:rsidRPr="005A79A7">
        <w:t>Meister</w:t>
      </w:r>
      <w:proofErr w:type="spellEnd"/>
      <w:r w:rsidRPr="005A79A7">
        <w:t xml:space="preserve"> </w:t>
      </w:r>
      <w:proofErr w:type="spellStart"/>
      <w:r w:rsidRPr="005A79A7">
        <w:t>Eckhart</w:t>
      </w:r>
      <w:proofErr w:type="spellEnd"/>
      <w:r w:rsidRPr="005A79A7">
        <w:t xml:space="preserve"> düşüncesinin etkisi. </w:t>
      </w:r>
      <w:r w:rsidRPr="00021193">
        <w:rPr>
          <w:i/>
          <w:iCs/>
        </w:rPr>
        <w:t>Hitit İlahiyat Dergisi, 21</w:t>
      </w:r>
      <w:r w:rsidRPr="005A79A7">
        <w:t>(1), 355–380.</w:t>
      </w:r>
    </w:p>
    <w:p w14:paraId="05BE2028" w14:textId="77777777" w:rsidR="00914DCC" w:rsidRDefault="00914DCC">
      <w:pPr>
        <w:pStyle w:val="ListeParagraf"/>
        <w:numPr>
          <w:ilvl w:val="0"/>
          <w:numId w:val="13"/>
        </w:numPr>
      </w:pPr>
      <w:r w:rsidRPr="005A79A7">
        <w:t xml:space="preserve">Şenocak, E. (2015). Halk anlatı ve inanışlarında mitolojik bir meyve: Nar. </w:t>
      </w:r>
      <w:r w:rsidRPr="00021193">
        <w:rPr>
          <w:i/>
          <w:iCs/>
        </w:rPr>
        <w:t xml:space="preserve">International </w:t>
      </w:r>
      <w:proofErr w:type="spellStart"/>
      <w:r w:rsidRPr="00021193">
        <w:rPr>
          <w:i/>
          <w:iCs/>
        </w:rPr>
        <w:t>Journal</w:t>
      </w:r>
      <w:proofErr w:type="spellEnd"/>
      <w:r w:rsidRPr="00021193">
        <w:rPr>
          <w:i/>
          <w:iCs/>
        </w:rPr>
        <w:t xml:space="preserve"> of </w:t>
      </w:r>
      <w:proofErr w:type="spellStart"/>
      <w:r w:rsidRPr="00021193">
        <w:rPr>
          <w:i/>
          <w:iCs/>
        </w:rPr>
        <w:t>Eurasia</w:t>
      </w:r>
      <w:proofErr w:type="spellEnd"/>
      <w:r w:rsidRPr="00021193">
        <w:rPr>
          <w:i/>
          <w:iCs/>
        </w:rPr>
        <w:t xml:space="preserve"> </w:t>
      </w:r>
      <w:proofErr w:type="spellStart"/>
      <w:r w:rsidRPr="00021193">
        <w:rPr>
          <w:i/>
          <w:iCs/>
        </w:rPr>
        <w:t>Social</w:t>
      </w:r>
      <w:proofErr w:type="spellEnd"/>
      <w:r w:rsidRPr="00021193">
        <w:rPr>
          <w:i/>
          <w:iCs/>
        </w:rPr>
        <w:t xml:space="preserve"> </w:t>
      </w:r>
      <w:proofErr w:type="spellStart"/>
      <w:r w:rsidRPr="00021193">
        <w:rPr>
          <w:i/>
          <w:iCs/>
        </w:rPr>
        <w:t>Sciences</w:t>
      </w:r>
      <w:proofErr w:type="spellEnd"/>
      <w:r w:rsidRPr="00021193">
        <w:rPr>
          <w:i/>
          <w:iCs/>
        </w:rPr>
        <w:t>, 6</w:t>
      </w:r>
      <w:r w:rsidRPr="005A79A7">
        <w:t>(20), 79-104.</w:t>
      </w:r>
    </w:p>
    <w:p w14:paraId="69E44604" w14:textId="77777777" w:rsidR="00914DCC" w:rsidRDefault="00914DCC">
      <w:pPr>
        <w:pStyle w:val="ListeParagraf"/>
        <w:numPr>
          <w:ilvl w:val="0"/>
          <w:numId w:val="13"/>
        </w:numPr>
      </w:pPr>
      <w:proofErr w:type="spellStart"/>
      <w:r w:rsidRPr="00DA147F">
        <w:t>Tharaud</w:t>
      </w:r>
      <w:proofErr w:type="spellEnd"/>
      <w:r w:rsidRPr="00DA147F">
        <w:t xml:space="preserve">, B. C. (2017). </w:t>
      </w:r>
      <w:r w:rsidRPr="00021193">
        <w:rPr>
          <w:i/>
          <w:iCs/>
        </w:rPr>
        <w:t>Çukurova Yaşar Kemal edebiyatının temelleri</w:t>
      </w:r>
      <w:r w:rsidRPr="00DA147F">
        <w:t xml:space="preserve"> (Çev</w:t>
      </w:r>
      <w:r>
        <w:t xml:space="preserve">. </w:t>
      </w:r>
      <w:r w:rsidRPr="00DA147F">
        <w:t>T</w:t>
      </w:r>
      <w:r>
        <w:t>ahsin</w:t>
      </w:r>
      <w:r w:rsidRPr="00DA147F">
        <w:t xml:space="preserve"> Çulhaoğlu)</w:t>
      </w:r>
      <w:r>
        <w:t xml:space="preserve">. </w:t>
      </w:r>
      <w:r w:rsidRPr="00DA147F">
        <w:t>Yapı Kredi Yayınları.</w:t>
      </w:r>
    </w:p>
    <w:p w14:paraId="755EFD16" w14:textId="2202BB5E" w:rsidR="00587C60" w:rsidRDefault="00914DCC">
      <w:pPr>
        <w:pStyle w:val="ListeParagraf"/>
        <w:numPr>
          <w:ilvl w:val="0"/>
          <w:numId w:val="13"/>
        </w:numPr>
      </w:pPr>
      <w:r w:rsidRPr="00883459">
        <w:t xml:space="preserve">Zenginoğlu, C. (2022). </w:t>
      </w:r>
      <w:r w:rsidRPr="00021193">
        <w:rPr>
          <w:i/>
          <w:iCs/>
        </w:rPr>
        <w:t xml:space="preserve">Yaşar Kemal ve </w:t>
      </w:r>
      <w:proofErr w:type="spellStart"/>
      <w:r w:rsidRPr="00021193">
        <w:rPr>
          <w:i/>
          <w:iCs/>
        </w:rPr>
        <w:t>Dido</w:t>
      </w:r>
      <w:proofErr w:type="spellEnd"/>
      <w:r w:rsidRPr="00021193">
        <w:rPr>
          <w:i/>
          <w:iCs/>
        </w:rPr>
        <w:t xml:space="preserve"> </w:t>
      </w:r>
      <w:proofErr w:type="spellStart"/>
      <w:r w:rsidRPr="00021193">
        <w:rPr>
          <w:i/>
          <w:iCs/>
        </w:rPr>
        <w:t>Sotiriyu'nun</w:t>
      </w:r>
      <w:proofErr w:type="spellEnd"/>
      <w:r w:rsidRPr="00021193">
        <w:rPr>
          <w:i/>
          <w:iCs/>
        </w:rPr>
        <w:t xml:space="preserve"> romanlarında toplumsal bellek</w:t>
      </w:r>
      <w:r w:rsidRPr="00883459">
        <w:t xml:space="preserve">. </w:t>
      </w:r>
      <w:proofErr w:type="spellStart"/>
      <w:r w:rsidRPr="00883459">
        <w:t>Libra</w:t>
      </w:r>
      <w:proofErr w:type="spellEnd"/>
      <w:r w:rsidRPr="00883459">
        <w:t xml:space="preserve"> Kitapçılık ve Yayıncılık.</w:t>
      </w:r>
    </w:p>
    <w:p w14:paraId="14F332AE" w14:textId="7DF40FB6" w:rsidR="00021193" w:rsidRPr="00D42316" w:rsidRDefault="00587C60" w:rsidP="00587C60">
      <w:pPr>
        <w:autoSpaceDE/>
        <w:autoSpaceDN/>
      </w:pPr>
      <w:r>
        <w:br w:type="page"/>
      </w:r>
    </w:p>
    <w:p w14:paraId="2A6EDE50" w14:textId="77777777" w:rsidR="00914DCC" w:rsidRDefault="00914DCC" w:rsidP="004C7694">
      <w:pPr>
        <w:pStyle w:val="Tark"/>
      </w:pPr>
      <w:bookmarkStart w:id="44" w:name="_Toc192855164"/>
      <w:r w:rsidRPr="00933944">
        <w:lastRenderedPageBreak/>
        <w:t>Nevşehir Yeraltı Şehirleri Kilise Mekanları: Mazı Yeraltı Şehri</w:t>
      </w:r>
      <w:bookmarkEnd w:id="44"/>
    </w:p>
    <w:p w14:paraId="5696A701" w14:textId="77777777" w:rsidR="0017453B" w:rsidRPr="0017453B" w:rsidRDefault="0017453B" w:rsidP="0017453B">
      <w:pPr>
        <w:pStyle w:val="Metin"/>
      </w:pPr>
    </w:p>
    <w:p w14:paraId="7A536958" w14:textId="77777777" w:rsidR="00914DCC" w:rsidRPr="00933944" w:rsidRDefault="00914DCC" w:rsidP="0017453B">
      <w:pPr>
        <w:jc w:val="center"/>
        <w:rPr>
          <w:rFonts w:eastAsia="Calibri"/>
        </w:rPr>
      </w:pPr>
      <w:r w:rsidRPr="00933944">
        <w:rPr>
          <w:rFonts w:eastAsia="Calibri"/>
        </w:rPr>
        <w:t>Ayşe Özaydın Sipahi</w:t>
      </w:r>
      <w:r w:rsidRPr="00933944">
        <w:rPr>
          <w:rFonts w:eastAsia="Calibri"/>
        </w:rPr>
        <w:br/>
        <w:t xml:space="preserve"> Atatürk Üniversitesi, Mimarlık Bölümü, Restorasyon ve Konservasyon Anabilim Dalı</w:t>
      </w:r>
      <w:r w:rsidRPr="00933944">
        <w:rPr>
          <w:rFonts w:eastAsia="Calibri"/>
        </w:rPr>
        <w:br/>
        <w:t>ayseoz50@gmail.com</w:t>
      </w:r>
      <w:r w:rsidRPr="00933944">
        <w:rPr>
          <w:rFonts w:eastAsia="Calibri"/>
        </w:rPr>
        <w:br/>
      </w:r>
      <w:proofErr w:type="spellStart"/>
      <w:r w:rsidRPr="00933944">
        <w:rPr>
          <w:rFonts w:eastAsia="Calibri"/>
        </w:rPr>
        <w:t>Orcid</w:t>
      </w:r>
      <w:proofErr w:type="spellEnd"/>
      <w:r w:rsidRPr="00933944">
        <w:rPr>
          <w:rFonts w:eastAsia="Calibri"/>
        </w:rPr>
        <w:t xml:space="preserve"> ID: 0009-0000-2290-2249</w:t>
      </w:r>
    </w:p>
    <w:p w14:paraId="6CFD3D57" w14:textId="77777777" w:rsidR="00914DCC" w:rsidRPr="00933944" w:rsidRDefault="00914DCC" w:rsidP="0017453B">
      <w:pPr>
        <w:jc w:val="both"/>
        <w:rPr>
          <w:rFonts w:eastAsia="Calibri"/>
        </w:rPr>
      </w:pPr>
    </w:p>
    <w:p w14:paraId="4A2733DB" w14:textId="77777777" w:rsidR="00914DCC" w:rsidRPr="00933944" w:rsidRDefault="00914DCC" w:rsidP="0017453B">
      <w:pPr>
        <w:jc w:val="center"/>
        <w:rPr>
          <w:rFonts w:eastAsia="Calibri"/>
        </w:rPr>
      </w:pPr>
      <w:r w:rsidRPr="00933944">
        <w:rPr>
          <w:rFonts w:eastAsia="Calibri"/>
        </w:rPr>
        <w:t>Firdevs Kulak Torun</w:t>
      </w:r>
    </w:p>
    <w:p w14:paraId="5CFD3F22" w14:textId="2B114AA6" w:rsidR="00914DCC" w:rsidRPr="00933944" w:rsidRDefault="00914DCC" w:rsidP="0017453B">
      <w:pPr>
        <w:jc w:val="center"/>
        <w:rPr>
          <w:rFonts w:eastAsia="Calibri"/>
        </w:rPr>
      </w:pPr>
      <w:r w:rsidRPr="00933944">
        <w:rPr>
          <w:rFonts w:eastAsia="Calibri"/>
        </w:rPr>
        <w:t>Atatürk Üniversitesi, İç Mimarlık Bölümü</w:t>
      </w:r>
      <w:r w:rsidRPr="00933944">
        <w:rPr>
          <w:rFonts w:eastAsia="Calibri"/>
        </w:rPr>
        <w:br/>
        <w:t>firdevskulaktorun@hotmail.com</w:t>
      </w:r>
      <w:r w:rsidRPr="00933944">
        <w:rPr>
          <w:rFonts w:eastAsia="Calibri"/>
        </w:rPr>
        <w:br/>
      </w:r>
      <w:proofErr w:type="spellStart"/>
      <w:r w:rsidRPr="00933944">
        <w:rPr>
          <w:rFonts w:eastAsia="Calibri"/>
        </w:rPr>
        <w:t>Orcid</w:t>
      </w:r>
      <w:proofErr w:type="spellEnd"/>
      <w:r w:rsidRPr="00933944">
        <w:rPr>
          <w:rFonts w:eastAsia="Calibri"/>
        </w:rPr>
        <w:t xml:space="preserve"> ID: 0000-0003-0133-4216</w:t>
      </w:r>
    </w:p>
    <w:p w14:paraId="7A6BEEBD" w14:textId="77777777" w:rsidR="00914DCC" w:rsidRPr="00933944" w:rsidRDefault="00914DCC" w:rsidP="0017453B">
      <w:pPr>
        <w:jc w:val="both"/>
        <w:rPr>
          <w:rFonts w:eastAsia="Calibri"/>
        </w:rPr>
      </w:pPr>
    </w:p>
    <w:p w14:paraId="19B2BE60" w14:textId="77777777" w:rsidR="00914DCC" w:rsidRPr="009F0AE3" w:rsidRDefault="00914DCC" w:rsidP="0017453B">
      <w:pPr>
        <w:jc w:val="center"/>
        <w:rPr>
          <w:rFonts w:eastAsia="Calibri"/>
          <w:b/>
          <w:bCs/>
        </w:rPr>
      </w:pPr>
      <w:bookmarkStart w:id="45" w:name="_Hlk191298732"/>
      <w:r w:rsidRPr="009F0AE3">
        <w:rPr>
          <w:rFonts w:eastAsia="Calibri"/>
          <w:b/>
          <w:bCs/>
        </w:rPr>
        <w:t>Özet</w:t>
      </w:r>
    </w:p>
    <w:bookmarkEnd w:id="45"/>
    <w:p w14:paraId="793E2A22" w14:textId="77777777" w:rsidR="00914DCC" w:rsidRPr="00933944" w:rsidRDefault="00914DCC" w:rsidP="0017453B">
      <w:pPr>
        <w:jc w:val="both"/>
        <w:rPr>
          <w:rFonts w:eastAsia="Calibri"/>
        </w:rPr>
      </w:pPr>
      <w:r w:rsidRPr="00933944">
        <w:rPr>
          <w:rFonts w:eastAsia="Calibri"/>
        </w:rPr>
        <w:t xml:space="preserve">Kapadokya sahip olduğu doğal ve kültürel zenginlikleriyle UNESCO Dünya Mirası listesinde yer almaktadır. Kapadokya bölgesinde yer alan Nevşehir kenti de tarih boyunca birçok medeniyet ve kültürün izlerini taşımaktadır. Nevşehir’in en dikkat çeken özelliklerinden biri yeraltı şehirlerine sahip olmasıdır. Yeraltı şehirleri savunma, korunma, barınma, ibadet gibi birçok amaçla kullanılmışlardır. Yeraltı şehirlerini inşa ederken duvarlara işledikleri süslemeler de dönemin sanat anlayışını ortaya koymaktadır. Kapadokya’da yaşayan Hristiyan topluluklar düşman saldırısından korunmak için yeraltına kiliseler inşa etmişlerdir. Bu yeraltı şehirlerinde bulunan kiliseler hem dini ibadetlerin gerçekleştirildiği mekânlar hem de sanat ve mimarlık tarihine ışık tutan yapılar olarak öne çıkmaktadırlar. Çalışmanın materyalini oluşturan Mazı yeraltı şehri Ürgüp ilçesine bağlı Mazı Köyü’nde yer almaktadır. İnşa tarihi hakkında net bir bilgi bulunmamaktadır. Dört kattan oluştuğu düşünülmektedir. Şu an iki katı gezilebilir durumdadır. Ahır, depo, kilise, mutfak, su kuyusu, havalandırma bacası gibi mekanları bulunmaktadır. Çalışma konusu kapsamında ele alınan kiliseye ahırdan kısa bir koridor ile ulaşılmaktadır. Kilisenin girişi sürgü taşı ile kapatılarak kilisenin savunması sağlanmıştır. Çalışmanın amacı Nevşehir’in Ürgüp ilçesinde bulunan </w:t>
      </w:r>
      <w:bookmarkStart w:id="46" w:name="_Hlk191420955"/>
      <w:r w:rsidRPr="00933944">
        <w:rPr>
          <w:rFonts w:eastAsia="Calibri"/>
        </w:rPr>
        <w:t>Mazı yeraltı şehrinin kilise mekanının mimari açıdan değerlendirilmesi ve kilisede bulunan birimlerin kullanım amaçlarının saptanmasıdır.</w:t>
      </w:r>
      <w:bookmarkEnd w:id="46"/>
      <w:r w:rsidRPr="00933944">
        <w:rPr>
          <w:rFonts w:eastAsia="Calibri"/>
        </w:rPr>
        <w:t xml:space="preserve"> Çalışma o dönemde yaşamış olan toplumlar hakkında fikir sahibi olabilmek ve o beldeyi tanıyabilmek için oldukça önemlidir. Mazı yeraltı şehri ile ilgili literatür taraması yapılmıştır. Yeraltı şehrine gidilerek yerinde gözlemlenmiş ve fotoğraf çekimleri yapılmıştır. Elde edilen görsel kaynaklarla yeraltı şehrinin mekânsal özellikleri saptanmış, kilisede bulunan mekanlar detaylı bir şekilde incelenmiştir. Çalışma sonucunda elde edilen veriler değerlendirilerek kilisenin mekân özellikleri ortaya koyulmuş ve kilisede bulunan mekanların kullanım amaçları üzerinde tespitler yapılmıştır.</w:t>
      </w:r>
    </w:p>
    <w:p w14:paraId="60E36292" w14:textId="77777777" w:rsidR="00914DCC" w:rsidRPr="00933944" w:rsidRDefault="00914DCC" w:rsidP="0017453B">
      <w:pPr>
        <w:jc w:val="both"/>
        <w:rPr>
          <w:rFonts w:eastAsia="Calibri"/>
          <w:b/>
          <w:bCs/>
        </w:rPr>
      </w:pPr>
    </w:p>
    <w:p w14:paraId="0E495D6C" w14:textId="42BF9061" w:rsidR="00914DCC" w:rsidRPr="00933944" w:rsidRDefault="000C6508" w:rsidP="0017453B">
      <w:pPr>
        <w:jc w:val="both"/>
        <w:rPr>
          <w:rFonts w:eastAsia="Calibri"/>
        </w:rPr>
      </w:pPr>
      <w:r>
        <w:rPr>
          <w:rFonts w:eastAsia="Calibri"/>
          <w:b/>
          <w:bCs/>
        </w:rPr>
        <w:t>Anahtar Kelimeler</w:t>
      </w:r>
      <w:r w:rsidR="00914DCC" w:rsidRPr="00933944">
        <w:rPr>
          <w:rFonts w:eastAsia="Calibri"/>
          <w:b/>
          <w:bCs/>
        </w:rPr>
        <w:t>:</w:t>
      </w:r>
      <w:r w:rsidR="00914DCC" w:rsidRPr="00933944">
        <w:rPr>
          <w:rFonts w:eastAsia="Calibri"/>
        </w:rPr>
        <w:t xml:space="preserve"> Nevşehir, Yeraltı Şehirleri, Mazı Yeraltı Şehri, Kilise.</w:t>
      </w:r>
    </w:p>
    <w:p w14:paraId="2F91BEAB" w14:textId="77777777" w:rsidR="00914DCC" w:rsidRPr="00933944" w:rsidRDefault="00914DCC" w:rsidP="0017453B">
      <w:pPr>
        <w:jc w:val="center"/>
        <w:rPr>
          <w:rFonts w:eastAsia="Calibri"/>
          <w:b/>
          <w:bCs/>
        </w:rPr>
      </w:pPr>
    </w:p>
    <w:p w14:paraId="054C7613" w14:textId="77777777" w:rsidR="00914DCC" w:rsidRPr="009F0AE3" w:rsidRDefault="00914DCC" w:rsidP="0017453B">
      <w:pPr>
        <w:jc w:val="center"/>
        <w:rPr>
          <w:rFonts w:eastAsia="Calibri"/>
          <w:b/>
          <w:bCs/>
        </w:rPr>
      </w:pPr>
      <w:proofErr w:type="spellStart"/>
      <w:r w:rsidRPr="009F0AE3">
        <w:rPr>
          <w:rFonts w:eastAsia="Calibri"/>
          <w:b/>
          <w:bCs/>
        </w:rPr>
        <w:t>Abstract</w:t>
      </w:r>
      <w:proofErr w:type="spellEnd"/>
    </w:p>
    <w:p w14:paraId="615A631C" w14:textId="77777777" w:rsidR="00914DCC" w:rsidRPr="00D33D59" w:rsidRDefault="00914DCC" w:rsidP="0017453B">
      <w:pPr>
        <w:jc w:val="both"/>
        <w:rPr>
          <w:rFonts w:eastAsia="Calibri"/>
        </w:rPr>
      </w:pPr>
      <w:proofErr w:type="spellStart"/>
      <w:r w:rsidRPr="00D33D59">
        <w:rPr>
          <w:rFonts w:eastAsia="Calibri"/>
        </w:rPr>
        <w:t>Cappadocia</w:t>
      </w:r>
      <w:proofErr w:type="spellEnd"/>
      <w:r w:rsidRPr="00D33D59">
        <w:rPr>
          <w:rFonts w:eastAsia="Calibri"/>
        </w:rPr>
        <w:t xml:space="preserve"> is on </w:t>
      </w:r>
      <w:proofErr w:type="spellStart"/>
      <w:r w:rsidRPr="00D33D59">
        <w:rPr>
          <w:rFonts w:eastAsia="Calibri"/>
        </w:rPr>
        <w:t>the</w:t>
      </w:r>
      <w:proofErr w:type="spellEnd"/>
      <w:r w:rsidRPr="00D33D59">
        <w:rPr>
          <w:rFonts w:eastAsia="Calibri"/>
        </w:rPr>
        <w:t xml:space="preserve"> UNESCO World </w:t>
      </w:r>
      <w:proofErr w:type="spellStart"/>
      <w:r w:rsidRPr="00D33D59">
        <w:rPr>
          <w:rFonts w:eastAsia="Calibri"/>
        </w:rPr>
        <w:t>Heritage</w:t>
      </w:r>
      <w:proofErr w:type="spellEnd"/>
      <w:r w:rsidRPr="00D33D59">
        <w:rPr>
          <w:rFonts w:eastAsia="Calibri"/>
        </w:rPr>
        <w:t xml:space="preserve"> </w:t>
      </w:r>
      <w:proofErr w:type="spellStart"/>
      <w:r w:rsidRPr="00D33D59">
        <w:rPr>
          <w:rFonts w:eastAsia="Calibri"/>
        </w:rPr>
        <w:t>List</w:t>
      </w:r>
      <w:proofErr w:type="spellEnd"/>
      <w:r w:rsidRPr="00D33D59">
        <w:rPr>
          <w:rFonts w:eastAsia="Calibri"/>
        </w:rPr>
        <w:t xml:space="preserve"> </w:t>
      </w:r>
      <w:proofErr w:type="spellStart"/>
      <w:r w:rsidRPr="00D33D59">
        <w:rPr>
          <w:rFonts w:eastAsia="Calibri"/>
        </w:rPr>
        <w:t>with</w:t>
      </w:r>
      <w:proofErr w:type="spellEnd"/>
      <w:r w:rsidRPr="00D33D59">
        <w:rPr>
          <w:rFonts w:eastAsia="Calibri"/>
        </w:rPr>
        <w:t xml:space="preserve"> </w:t>
      </w:r>
      <w:proofErr w:type="spellStart"/>
      <w:r w:rsidRPr="00D33D59">
        <w:rPr>
          <w:rFonts w:eastAsia="Calibri"/>
        </w:rPr>
        <w:t>its</w:t>
      </w:r>
      <w:proofErr w:type="spellEnd"/>
      <w:r w:rsidRPr="00D33D59">
        <w:rPr>
          <w:rFonts w:eastAsia="Calibri"/>
        </w:rPr>
        <w:t xml:space="preserve"> </w:t>
      </w:r>
      <w:proofErr w:type="spellStart"/>
      <w:r w:rsidRPr="00D33D59">
        <w:rPr>
          <w:rFonts w:eastAsia="Calibri"/>
        </w:rPr>
        <w:t>natural</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cultural</w:t>
      </w:r>
      <w:proofErr w:type="spellEnd"/>
      <w:r w:rsidRPr="00D33D59">
        <w:rPr>
          <w:rFonts w:eastAsia="Calibri"/>
        </w:rPr>
        <w:t xml:space="preserve"> </w:t>
      </w:r>
      <w:proofErr w:type="spellStart"/>
      <w:r w:rsidRPr="00D33D59">
        <w:rPr>
          <w:rFonts w:eastAsia="Calibri"/>
        </w:rPr>
        <w:t>riches</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city</w:t>
      </w:r>
      <w:proofErr w:type="spellEnd"/>
      <w:r w:rsidRPr="00D33D59">
        <w:rPr>
          <w:rFonts w:eastAsia="Calibri"/>
        </w:rPr>
        <w:t xml:space="preserve"> of Nevşehir, </w:t>
      </w:r>
      <w:proofErr w:type="spellStart"/>
      <w:r w:rsidRPr="00D33D59">
        <w:rPr>
          <w:rFonts w:eastAsia="Calibri"/>
        </w:rPr>
        <w:t>located</w:t>
      </w:r>
      <w:proofErr w:type="spellEnd"/>
      <w:r w:rsidRPr="00D33D59">
        <w:rPr>
          <w:rFonts w:eastAsia="Calibri"/>
        </w:rPr>
        <w:t xml:space="preserve"> in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Cappadocia</w:t>
      </w:r>
      <w:proofErr w:type="spellEnd"/>
      <w:r w:rsidRPr="00D33D59">
        <w:rPr>
          <w:rFonts w:eastAsia="Calibri"/>
        </w:rPr>
        <w:t xml:space="preserve"> </w:t>
      </w:r>
      <w:proofErr w:type="spellStart"/>
      <w:r w:rsidRPr="00D33D59">
        <w:rPr>
          <w:rFonts w:eastAsia="Calibri"/>
        </w:rPr>
        <w:t>region</w:t>
      </w:r>
      <w:proofErr w:type="spellEnd"/>
      <w:r w:rsidRPr="00D33D59">
        <w:rPr>
          <w:rFonts w:eastAsia="Calibri"/>
        </w:rPr>
        <w:t xml:space="preserve">, </w:t>
      </w:r>
      <w:proofErr w:type="spellStart"/>
      <w:r w:rsidRPr="00D33D59">
        <w:rPr>
          <w:rFonts w:eastAsia="Calibri"/>
        </w:rPr>
        <w:t>also</w:t>
      </w:r>
      <w:proofErr w:type="spellEnd"/>
      <w:r w:rsidRPr="00D33D59">
        <w:rPr>
          <w:rFonts w:eastAsia="Calibri"/>
        </w:rPr>
        <w:t xml:space="preserve"> </w:t>
      </w:r>
      <w:proofErr w:type="spellStart"/>
      <w:r w:rsidRPr="00D33D59">
        <w:rPr>
          <w:rFonts w:eastAsia="Calibri"/>
        </w:rPr>
        <w:t>bears</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traces</w:t>
      </w:r>
      <w:proofErr w:type="spellEnd"/>
      <w:r w:rsidRPr="00D33D59">
        <w:rPr>
          <w:rFonts w:eastAsia="Calibri"/>
        </w:rPr>
        <w:t xml:space="preserve"> of </w:t>
      </w:r>
      <w:proofErr w:type="spellStart"/>
      <w:r w:rsidRPr="00D33D59">
        <w:rPr>
          <w:rFonts w:eastAsia="Calibri"/>
        </w:rPr>
        <w:t>many</w:t>
      </w:r>
      <w:proofErr w:type="spellEnd"/>
      <w:r w:rsidRPr="00D33D59">
        <w:rPr>
          <w:rFonts w:eastAsia="Calibri"/>
        </w:rPr>
        <w:t xml:space="preserve"> </w:t>
      </w:r>
      <w:proofErr w:type="spellStart"/>
      <w:r w:rsidRPr="00D33D59">
        <w:rPr>
          <w:rFonts w:eastAsia="Calibri"/>
        </w:rPr>
        <w:t>civilizations</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cultures</w:t>
      </w:r>
      <w:proofErr w:type="spellEnd"/>
      <w:r w:rsidRPr="00D33D59">
        <w:rPr>
          <w:rFonts w:eastAsia="Calibri"/>
        </w:rPr>
        <w:t xml:space="preserve"> </w:t>
      </w:r>
      <w:proofErr w:type="spellStart"/>
      <w:r w:rsidRPr="00D33D59">
        <w:rPr>
          <w:rFonts w:eastAsia="Calibri"/>
        </w:rPr>
        <w:t>throughout</w:t>
      </w:r>
      <w:proofErr w:type="spellEnd"/>
      <w:r w:rsidRPr="00D33D59">
        <w:rPr>
          <w:rFonts w:eastAsia="Calibri"/>
        </w:rPr>
        <w:t xml:space="preserve"> </w:t>
      </w:r>
      <w:proofErr w:type="spellStart"/>
      <w:r w:rsidRPr="00D33D59">
        <w:rPr>
          <w:rFonts w:eastAsia="Calibri"/>
        </w:rPr>
        <w:t>history</w:t>
      </w:r>
      <w:proofErr w:type="spellEnd"/>
      <w:r w:rsidRPr="00D33D59">
        <w:rPr>
          <w:rFonts w:eastAsia="Calibri"/>
        </w:rPr>
        <w:t xml:space="preserve">. </w:t>
      </w:r>
      <w:proofErr w:type="spellStart"/>
      <w:r w:rsidRPr="00D33D59">
        <w:rPr>
          <w:rFonts w:eastAsia="Calibri"/>
        </w:rPr>
        <w:t>One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most</w:t>
      </w:r>
      <w:proofErr w:type="spellEnd"/>
      <w:r w:rsidRPr="00D33D59">
        <w:rPr>
          <w:rFonts w:eastAsia="Calibri"/>
        </w:rPr>
        <w:t xml:space="preserve"> </w:t>
      </w:r>
      <w:proofErr w:type="spellStart"/>
      <w:r w:rsidRPr="00D33D59">
        <w:rPr>
          <w:rFonts w:eastAsia="Calibri"/>
        </w:rPr>
        <w:t>striking</w:t>
      </w:r>
      <w:proofErr w:type="spellEnd"/>
      <w:r w:rsidRPr="00D33D59">
        <w:rPr>
          <w:rFonts w:eastAsia="Calibri"/>
        </w:rPr>
        <w:t xml:space="preserve"> </w:t>
      </w:r>
      <w:proofErr w:type="spellStart"/>
      <w:r w:rsidRPr="00D33D59">
        <w:rPr>
          <w:rFonts w:eastAsia="Calibri"/>
        </w:rPr>
        <w:t>features</w:t>
      </w:r>
      <w:proofErr w:type="spellEnd"/>
      <w:r w:rsidRPr="00D33D59">
        <w:rPr>
          <w:rFonts w:eastAsia="Calibri"/>
        </w:rPr>
        <w:t xml:space="preserve"> of Nevşehir is </w:t>
      </w:r>
      <w:proofErr w:type="spellStart"/>
      <w:r w:rsidRPr="00D33D59">
        <w:rPr>
          <w:rFonts w:eastAsia="Calibri"/>
        </w:rPr>
        <w:t>that</w:t>
      </w:r>
      <w:proofErr w:type="spellEnd"/>
      <w:r w:rsidRPr="00D33D59">
        <w:rPr>
          <w:rFonts w:eastAsia="Calibri"/>
        </w:rPr>
        <w:t xml:space="preserve"> it has underground </w:t>
      </w:r>
      <w:proofErr w:type="spellStart"/>
      <w:r w:rsidRPr="00D33D59">
        <w:rPr>
          <w:rFonts w:eastAsia="Calibri"/>
        </w:rPr>
        <w:t>cities</w:t>
      </w:r>
      <w:proofErr w:type="spellEnd"/>
      <w:r w:rsidRPr="00D33D59">
        <w:rPr>
          <w:rFonts w:eastAsia="Calibri"/>
        </w:rPr>
        <w:t xml:space="preserve">. Underground </w:t>
      </w:r>
      <w:proofErr w:type="spellStart"/>
      <w:r w:rsidRPr="00D33D59">
        <w:rPr>
          <w:rFonts w:eastAsia="Calibri"/>
        </w:rPr>
        <w:t>cities</w:t>
      </w:r>
      <w:proofErr w:type="spellEnd"/>
      <w:r w:rsidRPr="00D33D59">
        <w:rPr>
          <w:rFonts w:eastAsia="Calibri"/>
        </w:rPr>
        <w:t xml:space="preserve"> </w:t>
      </w:r>
      <w:proofErr w:type="spellStart"/>
      <w:r w:rsidRPr="00D33D59">
        <w:rPr>
          <w:rFonts w:eastAsia="Calibri"/>
        </w:rPr>
        <w:t>have</w:t>
      </w:r>
      <w:proofErr w:type="spellEnd"/>
      <w:r w:rsidRPr="00D33D59">
        <w:rPr>
          <w:rFonts w:eastAsia="Calibri"/>
        </w:rPr>
        <w:t xml:space="preserve"> </w:t>
      </w:r>
      <w:proofErr w:type="spellStart"/>
      <w:r w:rsidRPr="00D33D59">
        <w:rPr>
          <w:rFonts w:eastAsia="Calibri"/>
        </w:rPr>
        <w:t>been</w:t>
      </w:r>
      <w:proofErr w:type="spellEnd"/>
      <w:r w:rsidRPr="00D33D59">
        <w:rPr>
          <w:rFonts w:eastAsia="Calibri"/>
        </w:rPr>
        <w:t xml:space="preserve"> </w:t>
      </w:r>
      <w:proofErr w:type="spellStart"/>
      <w:r w:rsidRPr="00D33D59">
        <w:rPr>
          <w:rFonts w:eastAsia="Calibri"/>
        </w:rPr>
        <w:t>used</w:t>
      </w:r>
      <w:proofErr w:type="spellEnd"/>
      <w:r w:rsidRPr="00D33D59">
        <w:rPr>
          <w:rFonts w:eastAsia="Calibri"/>
        </w:rPr>
        <w:t xml:space="preserve"> </w:t>
      </w:r>
      <w:proofErr w:type="spellStart"/>
      <w:r w:rsidRPr="00D33D59">
        <w:rPr>
          <w:rFonts w:eastAsia="Calibri"/>
        </w:rPr>
        <w:t>for</w:t>
      </w:r>
      <w:proofErr w:type="spellEnd"/>
      <w:r w:rsidRPr="00D33D59">
        <w:rPr>
          <w:rFonts w:eastAsia="Calibri"/>
        </w:rPr>
        <w:t xml:space="preserve"> </w:t>
      </w:r>
      <w:proofErr w:type="spellStart"/>
      <w:r w:rsidRPr="00D33D59">
        <w:rPr>
          <w:rFonts w:eastAsia="Calibri"/>
        </w:rPr>
        <w:t>many</w:t>
      </w:r>
      <w:proofErr w:type="spellEnd"/>
      <w:r w:rsidRPr="00D33D59">
        <w:rPr>
          <w:rFonts w:eastAsia="Calibri"/>
        </w:rPr>
        <w:t xml:space="preserve"> </w:t>
      </w:r>
      <w:proofErr w:type="spellStart"/>
      <w:r w:rsidRPr="00D33D59">
        <w:rPr>
          <w:rFonts w:eastAsia="Calibri"/>
        </w:rPr>
        <w:t>purposes</w:t>
      </w:r>
      <w:proofErr w:type="spellEnd"/>
      <w:r w:rsidRPr="00D33D59">
        <w:rPr>
          <w:rFonts w:eastAsia="Calibri"/>
        </w:rPr>
        <w:t xml:space="preserve"> </w:t>
      </w:r>
      <w:proofErr w:type="spellStart"/>
      <w:r w:rsidRPr="00D33D59">
        <w:rPr>
          <w:rFonts w:eastAsia="Calibri"/>
        </w:rPr>
        <w:t>such</w:t>
      </w:r>
      <w:proofErr w:type="spellEnd"/>
      <w:r w:rsidRPr="00D33D59">
        <w:rPr>
          <w:rFonts w:eastAsia="Calibri"/>
        </w:rPr>
        <w:t xml:space="preserve"> as </w:t>
      </w:r>
      <w:proofErr w:type="spellStart"/>
      <w:r w:rsidRPr="00D33D59">
        <w:rPr>
          <w:rFonts w:eastAsia="Calibri"/>
        </w:rPr>
        <w:t>defense</w:t>
      </w:r>
      <w:proofErr w:type="spellEnd"/>
      <w:r w:rsidRPr="00D33D59">
        <w:rPr>
          <w:rFonts w:eastAsia="Calibri"/>
        </w:rPr>
        <w:t xml:space="preserve">, </w:t>
      </w:r>
      <w:proofErr w:type="spellStart"/>
      <w:r w:rsidRPr="00D33D59">
        <w:rPr>
          <w:rFonts w:eastAsia="Calibri"/>
        </w:rPr>
        <w:t>protection</w:t>
      </w:r>
      <w:proofErr w:type="spellEnd"/>
      <w:r w:rsidRPr="00D33D59">
        <w:rPr>
          <w:rFonts w:eastAsia="Calibri"/>
        </w:rPr>
        <w:t xml:space="preserve">, </w:t>
      </w:r>
      <w:proofErr w:type="spellStart"/>
      <w:r w:rsidRPr="00D33D59">
        <w:rPr>
          <w:rFonts w:eastAsia="Calibri"/>
        </w:rPr>
        <w:t>shelter</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worship</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decorations</w:t>
      </w:r>
      <w:proofErr w:type="spellEnd"/>
      <w:r w:rsidRPr="00D33D59">
        <w:rPr>
          <w:rFonts w:eastAsia="Calibri"/>
        </w:rPr>
        <w:t xml:space="preserve"> they </w:t>
      </w:r>
      <w:proofErr w:type="spellStart"/>
      <w:r w:rsidRPr="00D33D59">
        <w:rPr>
          <w:rFonts w:eastAsia="Calibri"/>
        </w:rPr>
        <w:t>made</w:t>
      </w:r>
      <w:proofErr w:type="spellEnd"/>
      <w:r w:rsidRPr="00D33D59">
        <w:rPr>
          <w:rFonts w:eastAsia="Calibri"/>
        </w:rPr>
        <w:t xml:space="preserve"> on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walls</w:t>
      </w:r>
      <w:proofErr w:type="spellEnd"/>
      <w:r w:rsidRPr="00D33D59">
        <w:rPr>
          <w:rFonts w:eastAsia="Calibri"/>
        </w:rPr>
        <w:t xml:space="preserve"> </w:t>
      </w:r>
      <w:proofErr w:type="spellStart"/>
      <w:r w:rsidRPr="00D33D59">
        <w:rPr>
          <w:rFonts w:eastAsia="Calibri"/>
        </w:rPr>
        <w:t>while</w:t>
      </w:r>
      <w:proofErr w:type="spellEnd"/>
      <w:r w:rsidRPr="00D33D59">
        <w:rPr>
          <w:rFonts w:eastAsia="Calibri"/>
        </w:rPr>
        <w:t xml:space="preserve"> </w:t>
      </w:r>
      <w:proofErr w:type="spellStart"/>
      <w:r w:rsidRPr="00D33D59">
        <w:rPr>
          <w:rFonts w:eastAsia="Calibri"/>
        </w:rPr>
        <w:t>building</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underground </w:t>
      </w:r>
      <w:proofErr w:type="spellStart"/>
      <w:r w:rsidRPr="00D33D59">
        <w:rPr>
          <w:rFonts w:eastAsia="Calibri"/>
        </w:rPr>
        <w:t>cities</w:t>
      </w:r>
      <w:proofErr w:type="spellEnd"/>
      <w:r w:rsidRPr="00D33D59">
        <w:rPr>
          <w:rFonts w:eastAsia="Calibri"/>
        </w:rPr>
        <w:t xml:space="preserve"> </w:t>
      </w:r>
      <w:proofErr w:type="spellStart"/>
      <w:r w:rsidRPr="00D33D59">
        <w:rPr>
          <w:rFonts w:eastAsia="Calibri"/>
        </w:rPr>
        <w:t>also</w:t>
      </w:r>
      <w:proofErr w:type="spellEnd"/>
      <w:r w:rsidRPr="00D33D59">
        <w:rPr>
          <w:rFonts w:eastAsia="Calibri"/>
        </w:rPr>
        <w:t xml:space="preserve"> </w:t>
      </w:r>
      <w:proofErr w:type="spellStart"/>
      <w:r w:rsidRPr="00D33D59">
        <w:rPr>
          <w:rFonts w:eastAsia="Calibri"/>
        </w:rPr>
        <w:t>reveal</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artistic</w:t>
      </w:r>
      <w:proofErr w:type="spellEnd"/>
      <w:r w:rsidRPr="00D33D59">
        <w:rPr>
          <w:rFonts w:eastAsia="Calibri"/>
        </w:rPr>
        <w:t xml:space="preserve"> </w:t>
      </w:r>
      <w:proofErr w:type="spellStart"/>
      <w:r w:rsidRPr="00D33D59">
        <w:rPr>
          <w:rFonts w:eastAsia="Calibri"/>
        </w:rPr>
        <w:t>understanding</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period</w:t>
      </w:r>
      <w:proofErr w:type="spellEnd"/>
      <w:r w:rsidRPr="00D33D59">
        <w:rPr>
          <w:rFonts w:eastAsia="Calibri"/>
        </w:rPr>
        <w:t xml:space="preserve">. </w:t>
      </w:r>
      <w:proofErr w:type="spellStart"/>
      <w:r w:rsidRPr="00D33D59">
        <w:rPr>
          <w:rFonts w:eastAsia="Calibri"/>
        </w:rPr>
        <w:t>Christian</w:t>
      </w:r>
      <w:proofErr w:type="spellEnd"/>
      <w:r w:rsidRPr="00D33D59">
        <w:rPr>
          <w:rFonts w:eastAsia="Calibri"/>
        </w:rPr>
        <w:t xml:space="preserve"> </w:t>
      </w:r>
      <w:proofErr w:type="spellStart"/>
      <w:r w:rsidRPr="00D33D59">
        <w:rPr>
          <w:rFonts w:eastAsia="Calibri"/>
        </w:rPr>
        <w:t>communities</w:t>
      </w:r>
      <w:proofErr w:type="spellEnd"/>
      <w:r w:rsidRPr="00D33D59">
        <w:rPr>
          <w:rFonts w:eastAsia="Calibri"/>
        </w:rPr>
        <w:t xml:space="preserve"> </w:t>
      </w:r>
      <w:proofErr w:type="spellStart"/>
      <w:r w:rsidRPr="00D33D59">
        <w:rPr>
          <w:rFonts w:eastAsia="Calibri"/>
        </w:rPr>
        <w:lastRenderedPageBreak/>
        <w:t>living</w:t>
      </w:r>
      <w:proofErr w:type="spellEnd"/>
      <w:r w:rsidRPr="00D33D59">
        <w:rPr>
          <w:rFonts w:eastAsia="Calibri"/>
        </w:rPr>
        <w:t xml:space="preserve"> in </w:t>
      </w:r>
      <w:proofErr w:type="spellStart"/>
      <w:r w:rsidRPr="00D33D59">
        <w:rPr>
          <w:rFonts w:eastAsia="Calibri"/>
        </w:rPr>
        <w:t>Cappadocia</w:t>
      </w:r>
      <w:proofErr w:type="spellEnd"/>
      <w:r w:rsidRPr="00D33D59">
        <w:rPr>
          <w:rFonts w:eastAsia="Calibri"/>
        </w:rPr>
        <w:t xml:space="preserve"> </w:t>
      </w:r>
      <w:proofErr w:type="spellStart"/>
      <w:r w:rsidRPr="00D33D59">
        <w:rPr>
          <w:rFonts w:eastAsia="Calibri"/>
        </w:rPr>
        <w:t>built</w:t>
      </w:r>
      <w:proofErr w:type="spellEnd"/>
      <w:r w:rsidRPr="00D33D59">
        <w:rPr>
          <w:rFonts w:eastAsia="Calibri"/>
        </w:rPr>
        <w:t xml:space="preserve"> </w:t>
      </w:r>
      <w:proofErr w:type="spellStart"/>
      <w:r w:rsidRPr="00D33D59">
        <w:rPr>
          <w:rFonts w:eastAsia="Calibri"/>
        </w:rPr>
        <w:t>churches</w:t>
      </w:r>
      <w:proofErr w:type="spellEnd"/>
      <w:r w:rsidRPr="00D33D59">
        <w:rPr>
          <w:rFonts w:eastAsia="Calibri"/>
        </w:rPr>
        <w:t xml:space="preserve"> underground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protect</w:t>
      </w:r>
      <w:proofErr w:type="spellEnd"/>
      <w:r w:rsidRPr="00D33D59">
        <w:rPr>
          <w:rFonts w:eastAsia="Calibri"/>
        </w:rPr>
        <w:t xml:space="preserve"> </w:t>
      </w:r>
      <w:proofErr w:type="spellStart"/>
      <w:r w:rsidRPr="00D33D59">
        <w:rPr>
          <w:rFonts w:eastAsia="Calibri"/>
        </w:rPr>
        <w:t>themselves</w:t>
      </w:r>
      <w:proofErr w:type="spellEnd"/>
      <w:r w:rsidRPr="00D33D59">
        <w:rPr>
          <w:rFonts w:eastAsia="Calibri"/>
        </w:rPr>
        <w:t xml:space="preserve"> </w:t>
      </w:r>
      <w:proofErr w:type="spellStart"/>
      <w:r w:rsidRPr="00D33D59">
        <w:rPr>
          <w:rFonts w:eastAsia="Calibri"/>
        </w:rPr>
        <w:t>from</w:t>
      </w:r>
      <w:proofErr w:type="spellEnd"/>
      <w:r w:rsidRPr="00D33D59">
        <w:rPr>
          <w:rFonts w:eastAsia="Calibri"/>
        </w:rPr>
        <w:t xml:space="preserve"> </w:t>
      </w:r>
      <w:proofErr w:type="spellStart"/>
      <w:r w:rsidRPr="00D33D59">
        <w:rPr>
          <w:rFonts w:eastAsia="Calibri"/>
        </w:rPr>
        <w:t>enemy</w:t>
      </w:r>
      <w:proofErr w:type="spellEnd"/>
      <w:r w:rsidRPr="00D33D59">
        <w:rPr>
          <w:rFonts w:eastAsia="Calibri"/>
        </w:rPr>
        <w:t xml:space="preserve"> </w:t>
      </w:r>
      <w:proofErr w:type="spellStart"/>
      <w:r w:rsidRPr="00D33D59">
        <w:rPr>
          <w:rFonts w:eastAsia="Calibri"/>
        </w:rPr>
        <w:t>attacks</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churches</w:t>
      </w:r>
      <w:proofErr w:type="spellEnd"/>
      <w:r w:rsidRPr="00D33D59">
        <w:rPr>
          <w:rFonts w:eastAsia="Calibri"/>
        </w:rPr>
        <w:t xml:space="preserve"> in </w:t>
      </w:r>
      <w:proofErr w:type="spellStart"/>
      <w:r w:rsidRPr="00D33D59">
        <w:rPr>
          <w:rFonts w:eastAsia="Calibri"/>
        </w:rPr>
        <w:t>these</w:t>
      </w:r>
      <w:proofErr w:type="spellEnd"/>
      <w:r w:rsidRPr="00D33D59">
        <w:rPr>
          <w:rFonts w:eastAsia="Calibri"/>
        </w:rPr>
        <w:t xml:space="preserve"> underground </w:t>
      </w:r>
      <w:proofErr w:type="spellStart"/>
      <w:r w:rsidRPr="00D33D59">
        <w:rPr>
          <w:rFonts w:eastAsia="Calibri"/>
        </w:rPr>
        <w:t>cities</w:t>
      </w:r>
      <w:proofErr w:type="spellEnd"/>
      <w:r w:rsidRPr="00D33D59">
        <w:rPr>
          <w:rFonts w:eastAsia="Calibri"/>
        </w:rPr>
        <w:t xml:space="preserve"> </w:t>
      </w:r>
      <w:proofErr w:type="spellStart"/>
      <w:r w:rsidRPr="00D33D59">
        <w:rPr>
          <w:rFonts w:eastAsia="Calibri"/>
        </w:rPr>
        <w:t>stand</w:t>
      </w:r>
      <w:proofErr w:type="spellEnd"/>
      <w:r w:rsidRPr="00D33D59">
        <w:rPr>
          <w:rFonts w:eastAsia="Calibri"/>
        </w:rPr>
        <w:t xml:space="preserve"> </w:t>
      </w:r>
      <w:proofErr w:type="spellStart"/>
      <w:r w:rsidRPr="00D33D59">
        <w:rPr>
          <w:rFonts w:eastAsia="Calibri"/>
        </w:rPr>
        <w:t>out</w:t>
      </w:r>
      <w:proofErr w:type="spellEnd"/>
      <w:r w:rsidRPr="00D33D59">
        <w:rPr>
          <w:rFonts w:eastAsia="Calibri"/>
        </w:rPr>
        <w:t xml:space="preserve"> </w:t>
      </w:r>
      <w:proofErr w:type="spellStart"/>
      <w:r w:rsidRPr="00D33D59">
        <w:rPr>
          <w:rFonts w:eastAsia="Calibri"/>
        </w:rPr>
        <w:t>both</w:t>
      </w:r>
      <w:proofErr w:type="spellEnd"/>
      <w:r w:rsidRPr="00D33D59">
        <w:rPr>
          <w:rFonts w:eastAsia="Calibri"/>
        </w:rPr>
        <w:t xml:space="preserve"> as </w:t>
      </w:r>
      <w:proofErr w:type="spellStart"/>
      <w:r w:rsidRPr="00D33D59">
        <w:rPr>
          <w:rFonts w:eastAsia="Calibri"/>
        </w:rPr>
        <w:t>places</w:t>
      </w:r>
      <w:proofErr w:type="spellEnd"/>
      <w:r w:rsidRPr="00D33D59">
        <w:rPr>
          <w:rFonts w:eastAsia="Calibri"/>
        </w:rPr>
        <w:t xml:space="preserve"> </w:t>
      </w:r>
      <w:proofErr w:type="spellStart"/>
      <w:r w:rsidRPr="00D33D59">
        <w:rPr>
          <w:rFonts w:eastAsia="Calibri"/>
        </w:rPr>
        <w:t>where</w:t>
      </w:r>
      <w:proofErr w:type="spellEnd"/>
      <w:r w:rsidRPr="00D33D59">
        <w:rPr>
          <w:rFonts w:eastAsia="Calibri"/>
        </w:rPr>
        <w:t xml:space="preserve"> </w:t>
      </w:r>
      <w:proofErr w:type="spellStart"/>
      <w:r w:rsidRPr="00D33D59">
        <w:rPr>
          <w:rFonts w:eastAsia="Calibri"/>
        </w:rPr>
        <w:t>religious</w:t>
      </w:r>
      <w:proofErr w:type="spellEnd"/>
      <w:r w:rsidRPr="00D33D59">
        <w:rPr>
          <w:rFonts w:eastAsia="Calibri"/>
        </w:rPr>
        <w:t xml:space="preserve"> </w:t>
      </w:r>
      <w:proofErr w:type="spellStart"/>
      <w:r w:rsidRPr="00D33D59">
        <w:rPr>
          <w:rFonts w:eastAsia="Calibri"/>
        </w:rPr>
        <w:t>worship</w:t>
      </w:r>
      <w:proofErr w:type="spellEnd"/>
      <w:r w:rsidRPr="00D33D59">
        <w:rPr>
          <w:rFonts w:eastAsia="Calibri"/>
        </w:rPr>
        <w:t xml:space="preserve"> </w:t>
      </w:r>
      <w:proofErr w:type="spellStart"/>
      <w:r w:rsidRPr="00D33D59">
        <w:rPr>
          <w:rFonts w:eastAsia="Calibri"/>
        </w:rPr>
        <w:t>was</w:t>
      </w:r>
      <w:proofErr w:type="spellEnd"/>
      <w:r w:rsidRPr="00D33D59">
        <w:rPr>
          <w:rFonts w:eastAsia="Calibri"/>
        </w:rPr>
        <w:t xml:space="preserve"> </w:t>
      </w:r>
      <w:proofErr w:type="spellStart"/>
      <w:r w:rsidRPr="00D33D59">
        <w:rPr>
          <w:rFonts w:eastAsia="Calibri"/>
        </w:rPr>
        <w:t>carried</w:t>
      </w:r>
      <w:proofErr w:type="spellEnd"/>
      <w:r w:rsidRPr="00D33D59">
        <w:rPr>
          <w:rFonts w:eastAsia="Calibri"/>
        </w:rPr>
        <w:t xml:space="preserve"> </w:t>
      </w:r>
      <w:proofErr w:type="spellStart"/>
      <w:r w:rsidRPr="00D33D59">
        <w:rPr>
          <w:rFonts w:eastAsia="Calibri"/>
        </w:rPr>
        <w:t>out</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as </w:t>
      </w:r>
      <w:proofErr w:type="spellStart"/>
      <w:r w:rsidRPr="00D33D59">
        <w:rPr>
          <w:rFonts w:eastAsia="Calibri"/>
        </w:rPr>
        <w:t>structures</w:t>
      </w:r>
      <w:proofErr w:type="spellEnd"/>
      <w:r w:rsidRPr="00D33D59">
        <w:rPr>
          <w:rFonts w:eastAsia="Calibri"/>
        </w:rPr>
        <w:t xml:space="preserve"> </w:t>
      </w:r>
      <w:proofErr w:type="spellStart"/>
      <w:r w:rsidRPr="00D33D59">
        <w:rPr>
          <w:rFonts w:eastAsia="Calibri"/>
        </w:rPr>
        <w:t>that</w:t>
      </w:r>
      <w:proofErr w:type="spellEnd"/>
      <w:r w:rsidRPr="00D33D59">
        <w:rPr>
          <w:rFonts w:eastAsia="Calibri"/>
        </w:rPr>
        <w:t xml:space="preserve"> </w:t>
      </w:r>
      <w:proofErr w:type="spellStart"/>
      <w:r w:rsidRPr="00D33D59">
        <w:rPr>
          <w:rFonts w:eastAsia="Calibri"/>
        </w:rPr>
        <w:t>shed</w:t>
      </w:r>
      <w:proofErr w:type="spellEnd"/>
      <w:r w:rsidRPr="00D33D59">
        <w:rPr>
          <w:rFonts w:eastAsia="Calibri"/>
        </w:rPr>
        <w:t xml:space="preserve"> </w:t>
      </w:r>
      <w:proofErr w:type="spellStart"/>
      <w:r w:rsidRPr="00D33D59">
        <w:rPr>
          <w:rFonts w:eastAsia="Calibri"/>
        </w:rPr>
        <w:t>light</w:t>
      </w:r>
      <w:proofErr w:type="spellEnd"/>
      <w:r w:rsidRPr="00D33D59">
        <w:rPr>
          <w:rFonts w:eastAsia="Calibri"/>
        </w:rPr>
        <w:t xml:space="preserve"> on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history</w:t>
      </w:r>
      <w:proofErr w:type="spellEnd"/>
      <w:r w:rsidRPr="00D33D59">
        <w:rPr>
          <w:rFonts w:eastAsia="Calibri"/>
        </w:rPr>
        <w:t xml:space="preserve"> of art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architecture</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underground </w:t>
      </w:r>
      <w:proofErr w:type="spellStart"/>
      <w:r w:rsidRPr="00D33D59">
        <w:rPr>
          <w:rFonts w:eastAsia="Calibri"/>
        </w:rPr>
        <w:t>city</w:t>
      </w:r>
      <w:proofErr w:type="spellEnd"/>
      <w:r w:rsidRPr="00D33D59">
        <w:rPr>
          <w:rFonts w:eastAsia="Calibri"/>
        </w:rPr>
        <w:t xml:space="preserve"> of Mazı, </w:t>
      </w:r>
      <w:proofErr w:type="spellStart"/>
      <w:r w:rsidRPr="00D33D59">
        <w:rPr>
          <w:rFonts w:eastAsia="Calibri"/>
        </w:rPr>
        <w:t>which</w:t>
      </w:r>
      <w:proofErr w:type="spellEnd"/>
      <w:r w:rsidRPr="00D33D59">
        <w:rPr>
          <w:rFonts w:eastAsia="Calibri"/>
        </w:rPr>
        <w:t xml:space="preserve"> </w:t>
      </w:r>
      <w:proofErr w:type="spellStart"/>
      <w:r w:rsidRPr="00D33D59">
        <w:rPr>
          <w:rFonts w:eastAsia="Calibri"/>
        </w:rPr>
        <w:t>constitutes</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material</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study</w:t>
      </w:r>
      <w:proofErr w:type="spellEnd"/>
      <w:r w:rsidRPr="00D33D59">
        <w:rPr>
          <w:rFonts w:eastAsia="Calibri"/>
        </w:rPr>
        <w:t xml:space="preserve">, is </w:t>
      </w:r>
      <w:proofErr w:type="spellStart"/>
      <w:r w:rsidRPr="00D33D59">
        <w:rPr>
          <w:rFonts w:eastAsia="Calibri"/>
        </w:rPr>
        <w:t>located</w:t>
      </w:r>
      <w:proofErr w:type="spellEnd"/>
      <w:r w:rsidRPr="00D33D59">
        <w:rPr>
          <w:rFonts w:eastAsia="Calibri"/>
        </w:rPr>
        <w:t xml:space="preserve"> in Mazı </w:t>
      </w:r>
      <w:proofErr w:type="spellStart"/>
      <w:r w:rsidRPr="00D33D59">
        <w:rPr>
          <w:rFonts w:eastAsia="Calibri"/>
        </w:rPr>
        <w:t>Village</w:t>
      </w:r>
      <w:proofErr w:type="spellEnd"/>
      <w:r w:rsidRPr="00D33D59">
        <w:rPr>
          <w:rFonts w:eastAsia="Calibri"/>
        </w:rPr>
        <w:t xml:space="preserve">, </w:t>
      </w:r>
      <w:proofErr w:type="spellStart"/>
      <w:r w:rsidRPr="00D33D59">
        <w:rPr>
          <w:rFonts w:eastAsia="Calibri"/>
        </w:rPr>
        <w:t>affiliated</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Ürgüp </w:t>
      </w:r>
      <w:proofErr w:type="spellStart"/>
      <w:r w:rsidRPr="00D33D59">
        <w:rPr>
          <w:rFonts w:eastAsia="Calibri"/>
        </w:rPr>
        <w:t>district</w:t>
      </w:r>
      <w:proofErr w:type="spellEnd"/>
      <w:r w:rsidRPr="00D33D59">
        <w:rPr>
          <w:rFonts w:eastAsia="Calibri"/>
        </w:rPr>
        <w:t xml:space="preserve">. </w:t>
      </w:r>
      <w:proofErr w:type="spellStart"/>
      <w:r w:rsidRPr="00D33D59">
        <w:rPr>
          <w:rFonts w:eastAsia="Calibri"/>
        </w:rPr>
        <w:t>There</w:t>
      </w:r>
      <w:proofErr w:type="spellEnd"/>
      <w:r w:rsidRPr="00D33D59">
        <w:rPr>
          <w:rFonts w:eastAsia="Calibri"/>
        </w:rPr>
        <w:t xml:space="preserve"> is </w:t>
      </w:r>
      <w:proofErr w:type="spellStart"/>
      <w:r w:rsidRPr="00D33D59">
        <w:rPr>
          <w:rFonts w:eastAsia="Calibri"/>
        </w:rPr>
        <w:t>no</w:t>
      </w:r>
      <w:proofErr w:type="spellEnd"/>
      <w:r w:rsidRPr="00D33D59">
        <w:rPr>
          <w:rFonts w:eastAsia="Calibri"/>
        </w:rPr>
        <w:t xml:space="preserve"> </w:t>
      </w:r>
      <w:proofErr w:type="spellStart"/>
      <w:r w:rsidRPr="00D33D59">
        <w:rPr>
          <w:rFonts w:eastAsia="Calibri"/>
        </w:rPr>
        <w:t>clear</w:t>
      </w:r>
      <w:proofErr w:type="spellEnd"/>
      <w:r w:rsidRPr="00D33D59">
        <w:rPr>
          <w:rFonts w:eastAsia="Calibri"/>
        </w:rPr>
        <w:t xml:space="preserve"> </w:t>
      </w:r>
      <w:proofErr w:type="spellStart"/>
      <w:r w:rsidRPr="00D33D59">
        <w:rPr>
          <w:rFonts w:eastAsia="Calibri"/>
        </w:rPr>
        <w:t>information</w:t>
      </w:r>
      <w:proofErr w:type="spellEnd"/>
      <w:r w:rsidRPr="00D33D59">
        <w:rPr>
          <w:rFonts w:eastAsia="Calibri"/>
        </w:rPr>
        <w:t xml:space="preserve"> </w:t>
      </w:r>
      <w:proofErr w:type="spellStart"/>
      <w:r w:rsidRPr="00D33D59">
        <w:rPr>
          <w:rFonts w:eastAsia="Calibri"/>
        </w:rPr>
        <w:t>about</w:t>
      </w:r>
      <w:proofErr w:type="spellEnd"/>
      <w:r w:rsidRPr="00D33D59">
        <w:rPr>
          <w:rFonts w:eastAsia="Calibri"/>
        </w:rPr>
        <w:t xml:space="preserve"> </w:t>
      </w:r>
      <w:proofErr w:type="spellStart"/>
      <w:r w:rsidRPr="00D33D59">
        <w:rPr>
          <w:rFonts w:eastAsia="Calibri"/>
        </w:rPr>
        <w:t>its</w:t>
      </w:r>
      <w:proofErr w:type="spellEnd"/>
      <w:r w:rsidRPr="00D33D59">
        <w:rPr>
          <w:rFonts w:eastAsia="Calibri"/>
        </w:rPr>
        <w:t xml:space="preserve"> </w:t>
      </w:r>
      <w:proofErr w:type="spellStart"/>
      <w:r w:rsidRPr="00D33D59">
        <w:rPr>
          <w:rFonts w:eastAsia="Calibri"/>
        </w:rPr>
        <w:t>construction</w:t>
      </w:r>
      <w:proofErr w:type="spellEnd"/>
      <w:r w:rsidRPr="00D33D59">
        <w:rPr>
          <w:rFonts w:eastAsia="Calibri"/>
        </w:rPr>
        <w:t xml:space="preserve"> </w:t>
      </w:r>
      <w:proofErr w:type="spellStart"/>
      <w:r w:rsidRPr="00D33D59">
        <w:rPr>
          <w:rFonts w:eastAsia="Calibri"/>
        </w:rPr>
        <w:t>date</w:t>
      </w:r>
      <w:proofErr w:type="spellEnd"/>
      <w:r w:rsidRPr="00D33D59">
        <w:rPr>
          <w:rFonts w:eastAsia="Calibri"/>
        </w:rPr>
        <w:t xml:space="preserve">. </w:t>
      </w:r>
      <w:proofErr w:type="spellStart"/>
      <w:r w:rsidRPr="00D33D59">
        <w:rPr>
          <w:rFonts w:eastAsia="Calibri"/>
        </w:rPr>
        <w:t>It</w:t>
      </w:r>
      <w:proofErr w:type="spellEnd"/>
      <w:r w:rsidRPr="00D33D59">
        <w:rPr>
          <w:rFonts w:eastAsia="Calibri"/>
        </w:rPr>
        <w:t xml:space="preserve"> is </w:t>
      </w:r>
      <w:proofErr w:type="spellStart"/>
      <w:r w:rsidRPr="00D33D59">
        <w:rPr>
          <w:rFonts w:eastAsia="Calibri"/>
        </w:rPr>
        <w:t>thought</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consist</w:t>
      </w:r>
      <w:proofErr w:type="spellEnd"/>
      <w:r w:rsidRPr="00D33D59">
        <w:rPr>
          <w:rFonts w:eastAsia="Calibri"/>
        </w:rPr>
        <w:t xml:space="preserve"> of </w:t>
      </w:r>
      <w:proofErr w:type="spellStart"/>
      <w:r w:rsidRPr="00D33D59">
        <w:rPr>
          <w:rFonts w:eastAsia="Calibri"/>
        </w:rPr>
        <w:t>four</w:t>
      </w:r>
      <w:proofErr w:type="spellEnd"/>
      <w:r w:rsidRPr="00D33D59">
        <w:rPr>
          <w:rFonts w:eastAsia="Calibri"/>
        </w:rPr>
        <w:t xml:space="preserve"> </w:t>
      </w:r>
      <w:proofErr w:type="spellStart"/>
      <w:r w:rsidRPr="00D33D59">
        <w:rPr>
          <w:rFonts w:eastAsia="Calibri"/>
        </w:rPr>
        <w:t>floors</w:t>
      </w:r>
      <w:proofErr w:type="spellEnd"/>
      <w:r w:rsidRPr="00D33D59">
        <w:rPr>
          <w:rFonts w:eastAsia="Calibri"/>
        </w:rPr>
        <w:t xml:space="preserve">. </w:t>
      </w:r>
      <w:proofErr w:type="spellStart"/>
      <w:r w:rsidRPr="00D33D59">
        <w:rPr>
          <w:rFonts w:eastAsia="Calibri"/>
        </w:rPr>
        <w:t>Currently</w:t>
      </w:r>
      <w:proofErr w:type="spellEnd"/>
      <w:r w:rsidRPr="00D33D59">
        <w:rPr>
          <w:rFonts w:eastAsia="Calibri"/>
        </w:rPr>
        <w:t xml:space="preserve">, two </w:t>
      </w:r>
      <w:proofErr w:type="spellStart"/>
      <w:r w:rsidRPr="00D33D59">
        <w:rPr>
          <w:rFonts w:eastAsia="Calibri"/>
        </w:rPr>
        <w:t>floors</w:t>
      </w:r>
      <w:proofErr w:type="spellEnd"/>
      <w:r w:rsidRPr="00D33D59">
        <w:rPr>
          <w:rFonts w:eastAsia="Calibri"/>
        </w:rPr>
        <w:t xml:space="preserve"> can be </w:t>
      </w:r>
      <w:proofErr w:type="spellStart"/>
      <w:r w:rsidRPr="00D33D59">
        <w:rPr>
          <w:rFonts w:eastAsia="Calibri"/>
        </w:rPr>
        <w:t>visited</w:t>
      </w:r>
      <w:proofErr w:type="spellEnd"/>
      <w:r w:rsidRPr="00D33D59">
        <w:rPr>
          <w:rFonts w:eastAsia="Calibri"/>
        </w:rPr>
        <w:t xml:space="preserve">. </w:t>
      </w:r>
      <w:proofErr w:type="spellStart"/>
      <w:r w:rsidRPr="00D33D59">
        <w:rPr>
          <w:rFonts w:eastAsia="Calibri"/>
        </w:rPr>
        <w:t>It</w:t>
      </w:r>
      <w:proofErr w:type="spellEnd"/>
      <w:r w:rsidRPr="00D33D59">
        <w:rPr>
          <w:rFonts w:eastAsia="Calibri"/>
        </w:rPr>
        <w:t xml:space="preserve"> has </w:t>
      </w:r>
      <w:proofErr w:type="spellStart"/>
      <w:r w:rsidRPr="00D33D59">
        <w:rPr>
          <w:rFonts w:eastAsia="Calibri"/>
        </w:rPr>
        <w:t>spaces</w:t>
      </w:r>
      <w:proofErr w:type="spellEnd"/>
      <w:r w:rsidRPr="00D33D59">
        <w:rPr>
          <w:rFonts w:eastAsia="Calibri"/>
        </w:rPr>
        <w:t xml:space="preserve"> </w:t>
      </w:r>
      <w:proofErr w:type="spellStart"/>
      <w:r w:rsidRPr="00D33D59">
        <w:rPr>
          <w:rFonts w:eastAsia="Calibri"/>
        </w:rPr>
        <w:t>such</w:t>
      </w:r>
      <w:proofErr w:type="spellEnd"/>
      <w:r w:rsidRPr="00D33D59">
        <w:rPr>
          <w:rFonts w:eastAsia="Calibri"/>
        </w:rPr>
        <w:t xml:space="preserve"> as a </w:t>
      </w:r>
      <w:proofErr w:type="spellStart"/>
      <w:r w:rsidRPr="00D33D59">
        <w:rPr>
          <w:rFonts w:eastAsia="Calibri"/>
        </w:rPr>
        <w:t>barn</w:t>
      </w:r>
      <w:proofErr w:type="spellEnd"/>
      <w:r w:rsidRPr="00D33D59">
        <w:rPr>
          <w:rFonts w:eastAsia="Calibri"/>
        </w:rPr>
        <w:t xml:space="preserve">, a </w:t>
      </w:r>
      <w:proofErr w:type="spellStart"/>
      <w:r w:rsidRPr="00D33D59">
        <w:rPr>
          <w:rFonts w:eastAsia="Calibri"/>
        </w:rPr>
        <w:t>warehouse</w:t>
      </w:r>
      <w:proofErr w:type="spellEnd"/>
      <w:r w:rsidRPr="00D33D59">
        <w:rPr>
          <w:rFonts w:eastAsia="Calibri"/>
        </w:rPr>
        <w:t xml:space="preserve">, a </w:t>
      </w:r>
      <w:proofErr w:type="spellStart"/>
      <w:r w:rsidRPr="00D33D59">
        <w:rPr>
          <w:rFonts w:eastAsia="Calibri"/>
        </w:rPr>
        <w:t>church</w:t>
      </w:r>
      <w:proofErr w:type="spellEnd"/>
      <w:r w:rsidRPr="00D33D59">
        <w:rPr>
          <w:rFonts w:eastAsia="Calibri"/>
        </w:rPr>
        <w:t xml:space="preserve">, a </w:t>
      </w:r>
      <w:proofErr w:type="spellStart"/>
      <w:r w:rsidRPr="00D33D59">
        <w:rPr>
          <w:rFonts w:eastAsia="Calibri"/>
        </w:rPr>
        <w:t>kitchen</w:t>
      </w:r>
      <w:proofErr w:type="spellEnd"/>
      <w:r w:rsidRPr="00D33D59">
        <w:rPr>
          <w:rFonts w:eastAsia="Calibri"/>
        </w:rPr>
        <w:t xml:space="preserve">, a </w:t>
      </w:r>
      <w:proofErr w:type="spellStart"/>
      <w:r w:rsidRPr="00D33D59">
        <w:rPr>
          <w:rFonts w:eastAsia="Calibri"/>
        </w:rPr>
        <w:t>water</w:t>
      </w:r>
      <w:proofErr w:type="spellEnd"/>
      <w:r w:rsidRPr="00D33D59">
        <w:rPr>
          <w:rFonts w:eastAsia="Calibri"/>
        </w:rPr>
        <w:t xml:space="preserve"> </w:t>
      </w:r>
      <w:proofErr w:type="spellStart"/>
      <w:r w:rsidRPr="00D33D59">
        <w:rPr>
          <w:rFonts w:eastAsia="Calibri"/>
        </w:rPr>
        <w:t>well</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a </w:t>
      </w:r>
      <w:proofErr w:type="spellStart"/>
      <w:r w:rsidRPr="00D33D59">
        <w:rPr>
          <w:rFonts w:eastAsia="Calibri"/>
        </w:rPr>
        <w:t>ventilation</w:t>
      </w:r>
      <w:proofErr w:type="spellEnd"/>
      <w:r w:rsidRPr="00D33D59">
        <w:rPr>
          <w:rFonts w:eastAsia="Calibri"/>
        </w:rPr>
        <w:t xml:space="preserve"> </w:t>
      </w:r>
      <w:proofErr w:type="spellStart"/>
      <w:r w:rsidRPr="00D33D59">
        <w:rPr>
          <w:rFonts w:eastAsia="Calibri"/>
        </w:rPr>
        <w:t>shaft</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which</w:t>
      </w:r>
      <w:proofErr w:type="spellEnd"/>
      <w:r w:rsidRPr="00D33D59">
        <w:rPr>
          <w:rFonts w:eastAsia="Calibri"/>
        </w:rPr>
        <w:t xml:space="preserve"> is </w:t>
      </w:r>
      <w:proofErr w:type="spellStart"/>
      <w:r w:rsidRPr="00D33D59">
        <w:rPr>
          <w:rFonts w:eastAsia="Calibri"/>
        </w:rPr>
        <w:t>considered</w:t>
      </w:r>
      <w:proofErr w:type="spellEnd"/>
      <w:r w:rsidRPr="00D33D59">
        <w:rPr>
          <w:rFonts w:eastAsia="Calibri"/>
        </w:rPr>
        <w:t xml:space="preserve"> </w:t>
      </w:r>
      <w:proofErr w:type="spellStart"/>
      <w:r w:rsidRPr="00D33D59">
        <w:rPr>
          <w:rFonts w:eastAsia="Calibri"/>
        </w:rPr>
        <w:t>within</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scope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study</w:t>
      </w:r>
      <w:proofErr w:type="spellEnd"/>
      <w:r w:rsidRPr="00D33D59">
        <w:rPr>
          <w:rFonts w:eastAsia="Calibri"/>
        </w:rPr>
        <w:t xml:space="preserve">, can be </w:t>
      </w:r>
      <w:proofErr w:type="spellStart"/>
      <w:r w:rsidRPr="00D33D59">
        <w:rPr>
          <w:rFonts w:eastAsia="Calibri"/>
        </w:rPr>
        <w:t>reached</w:t>
      </w:r>
      <w:proofErr w:type="spellEnd"/>
      <w:r w:rsidRPr="00D33D59">
        <w:rPr>
          <w:rFonts w:eastAsia="Calibri"/>
        </w:rPr>
        <w:t xml:space="preserve"> </w:t>
      </w:r>
      <w:proofErr w:type="spellStart"/>
      <w:r w:rsidRPr="00D33D59">
        <w:rPr>
          <w:rFonts w:eastAsia="Calibri"/>
        </w:rPr>
        <w:t>from</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barn</w:t>
      </w:r>
      <w:proofErr w:type="spellEnd"/>
      <w:r w:rsidRPr="00D33D59">
        <w:rPr>
          <w:rFonts w:eastAsia="Calibri"/>
        </w:rPr>
        <w:t xml:space="preserve"> </w:t>
      </w:r>
      <w:proofErr w:type="spellStart"/>
      <w:r w:rsidRPr="00D33D59">
        <w:rPr>
          <w:rFonts w:eastAsia="Calibri"/>
        </w:rPr>
        <w:t>via</w:t>
      </w:r>
      <w:proofErr w:type="spellEnd"/>
      <w:r w:rsidRPr="00D33D59">
        <w:rPr>
          <w:rFonts w:eastAsia="Calibri"/>
        </w:rPr>
        <w:t xml:space="preserve"> a </w:t>
      </w:r>
      <w:proofErr w:type="spellStart"/>
      <w:r w:rsidRPr="00D33D59">
        <w:rPr>
          <w:rFonts w:eastAsia="Calibri"/>
        </w:rPr>
        <w:t>short</w:t>
      </w:r>
      <w:proofErr w:type="spellEnd"/>
      <w:r w:rsidRPr="00D33D59">
        <w:rPr>
          <w:rFonts w:eastAsia="Calibri"/>
        </w:rPr>
        <w:t xml:space="preserve"> </w:t>
      </w:r>
      <w:proofErr w:type="spellStart"/>
      <w:r w:rsidRPr="00D33D59">
        <w:rPr>
          <w:rFonts w:eastAsia="Calibri"/>
        </w:rPr>
        <w:t>corridor</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entrance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was</w:t>
      </w:r>
      <w:proofErr w:type="spellEnd"/>
      <w:r w:rsidRPr="00D33D59">
        <w:rPr>
          <w:rFonts w:eastAsia="Calibri"/>
        </w:rPr>
        <w:t xml:space="preserve"> </w:t>
      </w:r>
      <w:proofErr w:type="spellStart"/>
      <w:r w:rsidRPr="00D33D59">
        <w:rPr>
          <w:rFonts w:eastAsia="Calibri"/>
        </w:rPr>
        <w:t>closed</w:t>
      </w:r>
      <w:proofErr w:type="spellEnd"/>
      <w:r w:rsidRPr="00D33D59">
        <w:rPr>
          <w:rFonts w:eastAsia="Calibri"/>
        </w:rPr>
        <w:t xml:space="preserve"> </w:t>
      </w:r>
      <w:proofErr w:type="spellStart"/>
      <w:r w:rsidRPr="00D33D59">
        <w:rPr>
          <w:rFonts w:eastAsia="Calibri"/>
        </w:rPr>
        <w:t>with</w:t>
      </w:r>
      <w:proofErr w:type="spellEnd"/>
      <w:r w:rsidRPr="00D33D59">
        <w:rPr>
          <w:rFonts w:eastAsia="Calibri"/>
        </w:rPr>
        <w:t xml:space="preserve"> a </w:t>
      </w:r>
      <w:proofErr w:type="spellStart"/>
      <w:r w:rsidRPr="00D33D59">
        <w:rPr>
          <w:rFonts w:eastAsia="Calibri"/>
        </w:rPr>
        <w:t>bolt</w:t>
      </w:r>
      <w:proofErr w:type="spellEnd"/>
      <w:r w:rsidRPr="00D33D59">
        <w:rPr>
          <w:rFonts w:eastAsia="Calibri"/>
        </w:rPr>
        <w:t xml:space="preserve"> stone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ensure</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defense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aim</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study</w:t>
      </w:r>
      <w:proofErr w:type="spellEnd"/>
      <w:r w:rsidRPr="00D33D59">
        <w:rPr>
          <w:rFonts w:eastAsia="Calibri"/>
        </w:rPr>
        <w:t xml:space="preserve"> is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evaluate</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space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Mazı underground </w:t>
      </w:r>
      <w:proofErr w:type="spellStart"/>
      <w:r w:rsidRPr="00D33D59">
        <w:rPr>
          <w:rFonts w:eastAsia="Calibri"/>
        </w:rPr>
        <w:t>city</w:t>
      </w:r>
      <w:proofErr w:type="spellEnd"/>
      <w:r w:rsidRPr="00D33D59">
        <w:rPr>
          <w:rFonts w:eastAsia="Calibri"/>
        </w:rPr>
        <w:t xml:space="preserve"> </w:t>
      </w:r>
      <w:proofErr w:type="spellStart"/>
      <w:r w:rsidRPr="00D33D59">
        <w:rPr>
          <w:rFonts w:eastAsia="Calibri"/>
        </w:rPr>
        <w:t>located</w:t>
      </w:r>
      <w:proofErr w:type="spellEnd"/>
      <w:r w:rsidRPr="00D33D59">
        <w:rPr>
          <w:rFonts w:eastAsia="Calibri"/>
        </w:rPr>
        <w:t xml:space="preserve"> in </w:t>
      </w:r>
      <w:proofErr w:type="spellStart"/>
      <w:r w:rsidRPr="00D33D59">
        <w:rPr>
          <w:rFonts w:eastAsia="Calibri"/>
        </w:rPr>
        <w:t>the</w:t>
      </w:r>
      <w:proofErr w:type="spellEnd"/>
      <w:r w:rsidRPr="00D33D59">
        <w:rPr>
          <w:rFonts w:eastAsia="Calibri"/>
        </w:rPr>
        <w:t xml:space="preserve"> Ürgüp </w:t>
      </w:r>
      <w:proofErr w:type="spellStart"/>
      <w:r w:rsidRPr="00D33D59">
        <w:rPr>
          <w:rFonts w:eastAsia="Calibri"/>
        </w:rPr>
        <w:t>district</w:t>
      </w:r>
      <w:proofErr w:type="spellEnd"/>
      <w:r w:rsidRPr="00D33D59">
        <w:rPr>
          <w:rFonts w:eastAsia="Calibri"/>
        </w:rPr>
        <w:t xml:space="preserve"> of Nevşehir </w:t>
      </w:r>
      <w:proofErr w:type="spellStart"/>
      <w:r w:rsidRPr="00D33D59">
        <w:rPr>
          <w:rFonts w:eastAsia="Calibri"/>
        </w:rPr>
        <w:t>from</w:t>
      </w:r>
      <w:proofErr w:type="spellEnd"/>
      <w:r w:rsidRPr="00D33D59">
        <w:rPr>
          <w:rFonts w:eastAsia="Calibri"/>
        </w:rPr>
        <w:t xml:space="preserve"> an </w:t>
      </w:r>
      <w:proofErr w:type="spellStart"/>
      <w:r w:rsidRPr="00D33D59">
        <w:rPr>
          <w:rFonts w:eastAsia="Calibri"/>
        </w:rPr>
        <w:t>architectural</w:t>
      </w:r>
      <w:proofErr w:type="spellEnd"/>
      <w:r w:rsidRPr="00D33D59">
        <w:rPr>
          <w:rFonts w:eastAsia="Calibri"/>
        </w:rPr>
        <w:t xml:space="preserve"> </w:t>
      </w:r>
      <w:proofErr w:type="spellStart"/>
      <w:r w:rsidRPr="00D33D59">
        <w:rPr>
          <w:rFonts w:eastAsia="Calibri"/>
        </w:rPr>
        <w:t>perspective</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determine</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purposes</w:t>
      </w:r>
      <w:proofErr w:type="spellEnd"/>
      <w:r w:rsidRPr="00D33D59">
        <w:rPr>
          <w:rFonts w:eastAsia="Calibri"/>
        </w:rPr>
        <w:t xml:space="preserve"> of </w:t>
      </w:r>
      <w:proofErr w:type="spellStart"/>
      <w:r w:rsidRPr="00D33D59">
        <w:rPr>
          <w:rFonts w:eastAsia="Calibri"/>
        </w:rPr>
        <w:t>use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units</w:t>
      </w:r>
      <w:proofErr w:type="spellEnd"/>
      <w:r w:rsidRPr="00D33D59">
        <w:rPr>
          <w:rFonts w:eastAsia="Calibri"/>
        </w:rPr>
        <w:t xml:space="preserve"> in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study</w:t>
      </w:r>
      <w:proofErr w:type="spellEnd"/>
      <w:r w:rsidRPr="00D33D59">
        <w:rPr>
          <w:rFonts w:eastAsia="Calibri"/>
        </w:rPr>
        <w:t xml:space="preserve"> is </w:t>
      </w:r>
      <w:proofErr w:type="spellStart"/>
      <w:r w:rsidRPr="00D33D59">
        <w:rPr>
          <w:rFonts w:eastAsia="Calibri"/>
        </w:rPr>
        <w:t>very</w:t>
      </w:r>
      <w:proofErr w:type="spellEnd"/>
      <w:r w:rsidRPr="00D33D59">
        <w:rPr>
          <w:rFonts w:eastAsia="Calibri"/>
        </w:rPr>
        <w:t xml:space="preserve"> </w:t>
      </w:r>
      <w:proofErr w:type="spellStart"/>
      <w:r w:rsidRPr="00D33D59">
        <w:rPr>
          <w:rFonts w:eastAsia="Calibri"/>
        </w:rPr>
        <w:t>important</w:t>
      </w:r>
      <w:proofErr w:type="spellEnd"/>
      <w:r w:rsidRPr="00D33D59">
        <w:rPr>
          <w:rFonts w:eastAsia="Calibri"/>
        </w:rPr>
        <w:t xml:space="preserve"> in </w:t>
      </w:r>
      <w:proofErr w:type="spellStart"/>
      <w:r w:rsidRPr="00D33D59">
        <w:rPr>
          <w:rFonts w:eastAsia="Calibri"/>
        </w:rPr>
        <w:t>order</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have</w:t>
      </w:r>
      <w:proofErr w:type="spellEnd"/>
      <w:r w:rsidRPr="00D33D59">
        <w:rPr>
          <w:rFonts w:eastAsia="Calibri"/>
        </w:rPr>
        <w:t xml:space="preserve"> an idea </w:t>
      </w:r>
      <w:proofErr w:type="spellStart"/>
      <w:r w:rsidRPr="00D33D59">
        <w:rPr>
          <w:rFonts w:eastAsia="Calibri"/>
        </w:rPr>
        <w:t>about</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societies</w:t>
      </w:r>
      <w:proofErr w:type="spellEnd"/>
      <w:r w:rsidRPr="00D33D59">
        <w:rPr>
          <w:rFonts w:eastAsia="Calibri"/>
        </w:rPr>
        <w:t xml:space="preserve"> </w:t>
      </w:r>
      <w:proofErr w:type="spellStart"/>
      <w:r w:rsidRPr="00D33D59">
        <w:rPr>
          <w:rFonts w:eastAsia="Calibri"/>
        </w:rPr>
        <w:t>that</w:t>
      </w:r>
      <w:proofErr w:type="spellEnd"/>
      <w:r w:rsidRPr="00D33D59">
        <w:rPr>
          <w:rFonts w:eastAsia="Calibri"/>
        </w:rPr>
        <w:t xml:space="preserve"> </w:t>
      </w:r>
      <w:proofErr w:type="spellStart"/>
      <w:r w:rsidRPr="00D33D59">
        <w:rPr>
          <w:rFonts w:eastAsia="Calibri"/>
        </w:rPr>
        <w:t>lived</w:t>
      </w:r>
      <w:proofErr w:type="spellEnd"/>
      <w:r w:rsidRPr="00D33D59">
        <w:rPr>
          <w:rFonts w:eastAsia="Calibri"/>
        </w:rPr>
        <w:t xml:space="preserve"> in </w:t>
      </w:r>
      <w:proofErr w:type="spellStart"/>
      <w:r w:rsidRPr="00D33D59">
        <w:rPr>
          <w:rFonts w:eastAsia="Calibri"/>
        </w:rPr>
        <w:t>that</w:t>
      </w:r>
      <w:proofErr w:type="spellEnd"/>
      <w:r w:rsidRPr="00D33D59">
        <w:rPr>
          <w:rFonts w:eastAsia="Calibri"/>
        </w:rPr>
        <w:t xml:space="preserve"> </w:t>
      </w:r>
      <w:proofErr w:type="spellStart"/>
      <w:r w:rsidRPr="00D33D59">
        <w:rPr>
          <w:rFonts w:eastAsia="Calibri"/>
        </w:rPr>
        <w:t>period</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get</w:t>
      </w:r>
      <w:proofErr w:type="spellEnd"/>
      <w:r w:rsidRPr="00D33D59">
        <w:rPr>
          <w:rFonts w:eastAsia="Calibri"/>
        </w:rPr>
        <w:t xml:space="preserve"> </w:t>
      </w:r>
      <w:proofErr w:type="spellStart"/>
      <w:r w:rsidRPr="00D33D59">
        <w:rPr>
          <w:rFonts w:eastAsia="Calibri"/>
        </w:rPr>
        <w:t>to</w:t>
      </w:r>
      <w:proofErr w:type="spellEnd"/>
      <w:r w:rsidRPr="00D33D59">
        <w:rPr>
          <w:rFonts w:eastAsia="Calibri"/>
        </w:rPr>
        <w:t xml:space="preserve"> </w:t>
      </w:r>
      <w:proofErr w:type="spellStart"/>
      <w:r w:rsidRPr="00D33D59">
        <w:rPr>
          <w:rFonts w:eastAsia="Calibri"/>
        </w:rPr>
        <w:t>know</w:t>
      </w:r>
      <w:proofErr w:type="spellEnd"/>
      <w:r w:rsidRPr="00D33D59">
        <w:rPr>
          <w:rFonts w:eastAsia="Calibri"/>
        </w:rPr>
        <w:t xml:space="preserve"> </w:t>
      </w:r>
      <w:proofErr w:type="spellStart"/>
      <w:r w:rsidRPr="00D33D59">
        <w:rPr>
          <w:rFonts w:eastAsia="Calibri"/>
        </w:rPr>
        <w:t>that</w:t>
      </w:r>
      <w:proofErr w:type="spellEnd"/>
      <w:r w:rsidRPr="00D33D59">
        <w:rPr>
          <w:rFonts w:eastAsia="Calibri"/>
        </w:rPr>
        <w:t xml:space="preserve"> </w:t>
      </w:r>
      <w:proofErr w:type="spellStart"/>
      <w:r w:rsidRPr="00D33D59">
        <w:rPr>
          <w:rFonts w:eastAsia="Calibri"/>
        </w:rPr>
        <w:t>town</w:t>
      </w:r>
      <w:proofErr w:type="spellEnd"/>
      <w:r w:rsidRPr="00D33D59">
        <w:rPr>
          <w:rFonts w:eastAsia="Calibri"/>
        </w:rPr>
        <w:t xml:space="preserve">. A </w:t>
      </w:r>
      <w:proofErr w:type="spellStart"/>
      <w:r w:rsidRPr="00D33D59">
        <w:rPr>
          <w:rFonts w:eastAsia="Calibri"/>
        </w:rPr>
        <w:t>literature</w:t>
      </w:r>
      <w:proofErr w:type="spellEnd"/>
      <w:r w:rsidRPr="00D33D59">
        <w:rPr>
          <w:rFonts w:eastAsia="Calibri"/>
        </w:rPr>
        <w:t xml:space="preserve"> </w:t>
      </w:r>
      <w:proofErr w:type="spellStart"/>
      <w:r w:rsidRPr="00D33D59">
        <w:rPr>
          <w:rFonts w:eastAsia="Calibri"/>
        </w:rPr>
        <w:t>review</w:t>
      </w:r>
      <w:proofErr w:type="spellEnd"/>
      <w:r w:rsidRPr="00D33D59">
        <w:rPr>
          <w:rFonts w:eastAsia="Calibri"/>
        </w:rPr>
        <w:t xml:space="preserve"> </w:t>
      </w:r>
      <w:proofErr w:type="spellStart"/>
      <w:r w:rsidRPr="00D33D59">
        <w:rPr>
          <w:rFonts w:eastAsia="Calibri"/>
        </w:rPr>
        <w:t>was</w:t>
      </w:r>
      <w:proofErr w:type="spellEnd"/>
      <w:r w:rsidRPr="00D33D59">
        <w:rPr>
          <w:rFonts w:eastAsia="Calibri"/>
        </w:rPr>
        <w:t xml:space="preserve"> </w:t>
      </w:r>
      <w:proofErr w:type="spellStart"/>
      <w:r w:rsidRPr="00D33D59">
        <w:rPr>
          <w:rFonts w:eastAsia="Calibri"/>
        </w:rPr>
        <w:t>conducted</w:t>
      </w:r>
      <w:proofErr w:type="spellEnd"/>
      <w:r w:rsidRPr="00D33D59">
        <w:rPr>
          <w:rFonts w:eastAsia="Calibri"/>
        </w:rPr>
        <w:t xml:space="preserve"> on </w:t>
      </w:r>
      <w:proofErr w:type="spellStart"/>
      <w:r w:rsidRPr="00D33D59">
        <w:rPr>
          <w:rFonts w:eastAsia="Calibri"/>
        </w:rPr>
        <w:t>the</w:t>
      </w:r>
      <w:proofErr w:type="spellEnd"/>
      <w:r w:rsidRPr="00D33D59">
        <w:rPr>
          <w:rFonts w:eastAsia="Calibri"/>
        </w:rPr>
        <w:t xml:space="preserve"> Mazı underground </w:t>
      </w:r>
      <w:proofErr w:type="spellStart"/>
      <w:r w:rsidRPr="00D33D59">
        <w:rPr>
          <w:rFonts w:eastAsia="Calibri"/>
        </w:rPr>
        <w:t>city</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underground </w:t>
      </w:r>
      <w:proofErr w:type="spellStart"/>
      <w:r w:rsidRPr="00D33D59">
        <w:rPr>
          <w:rFonts w:eastAsia="Calibri"/>
        </w:rPr>
        <w:t>city</w:t>
      </w:r>
      <w:proofErr w:type="spellEnd"/>
      <w:r w:rsidRPr="00D33D59">
        <w:rPr>
          <w:rFonts w:eastAsia="Calibri"/>
        </w:rPr>
        <w:t xml:space="preserve"> </w:t>
      </w:r>
      <w:proofErr w:type="spellStart"/>
      <w:r w:rsidRPr="00D33D59">
        <w:rPr>
          <w:rFonts w:eastAsia="Calibri"/>
        </w:rPr>
        <w:t>was</w:t>
      </w:r>
      <w:proofErr w:type="spellEnd"/>
      <w:r w:rsidRPr="00D33D59">
        <w:rPr>
          <w:rFonts w:eastAsia="Calibri"/>
        </w:rPr>
        <w:t xml:space="preserve"> </w:t>
      </w:r>
      <w:proofErr w:type="spellStart"/>
      <w:r w:rsidRPr="00D33D59">
        <w:rPr>
          <w:rFonts w:eastAsia="Calibri"/>
        </w:rPr>
        <w:t>visited</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observed</w:t>
      </w:r>
      <w:proofErr w:type="spellEnd"/>
      <w:r w:rsidRPr="00D33D59">
        <w:rPr>
          <w:rFonts w:eastAsia="Calibri"/>
        </w:rPr>
        <w:t xml:space="preserve"> on site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photographs</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taken</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spatial</w:t>
      </w:r>
      <w:proofErr w:type="spellEnd"/>
      <w:r w:rsidRPr="00D33D59">
        <w:rPr>
          <w:rFonts w:eastAsia="Calibri"/>
        </w:rPr>
        <w:t xml:space="preserve"> </w:t>
      </w:r>
      <w:proofErr w:type="spellStart"/>
      <w:r w:rsidRPr="00D33D59">
        <w:rPr>
          <w:rFonts w:eastAsia="Calibri"/>
        </w:rPr>
        <w:t>characteristics</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underground </w:t>
      </w:r>
      <w:proofErr w:type="spellStart"/>
      <w:r w:rsidRPr="00D33D59">
        <w:rPr>
          <w:rFonts w:eastAsia="Calibri"/>
        </w:rPr>
        <w:t>city</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determined</w:t>
      </w:r>
      <w:proofErr w:type="spellEnd"/>
      <w:r w:rsidRPr="00D33D59">
        <w:rPr>
          <w:rFonts w:eastAsia="Calibri"/>
        </w:rPr>
        <w:t xml:space="preserve"> </w:t>
      </w:r>
      <w:proofErr w:type="spellStart"/>
      <w:r w:rsidRPr="00D33D59">
        <w:rPr>
          <w:rFonts w:eastAsia="Calibri"/>
        </w:rPr>
        <w:t>with</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obtained</w:t>
      </w:r>
      <w:proofErr w:type="spellEnd"/>
      <w:r w:rsidRPr="00D33D59">
        <w:rPr>
          <w:rFonts w:eastAsia="Calibri"/>
        </w:rPr>
        <w:t xml:space="preserve"> </w:t>
      </w:r>
      <w:proofErr w:type="spellStart"/>
      <w:r w:rsidRPr="00D33D59">
        <w:rPr>
          <w:rFonts w:eastAsia="Calibri"/>
        </w:rPr>
        <w:t>visual</w:t>
      </w:r>
      <w:proofErr w:type="spellEnd"/>
      <w:r w:rsidRPr="00D33D59">
        <w:rPr>
          <w:rFonts w:eastAsia="Calibri"/>
        </w:rPr>
        <w:t xml:space="preserve"> </w:t>
      </w:r>
      <w:proofErr w:type="spellStart"/>
      <w:r w:rsidRPr="00D33D59">
        <w:rPr>
          <w:rFonts w:eastAsia="Calibri"/>
        </w:rPr>
        <w:t>sources</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spaces</w:t>
      </w:r>
      <w:proofErr w:type="spellEnd"/>
      <w:r w:rsidRPr="00D33D59">
        <w:rPr>
          <w:rFonts w:eastAsia="Calibri"/>
        </w:rPr>
        <w:t xml:space="preserve"> in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examined</w:t>
      </w:r>
      <w:proofErr w:type="spellEnd"/>
      <w:r w:rsidRPr="00D33D59">
        <w:rPr>
          <w:rFonts w:eastAsia="Calibri"/>
        </w:rPr>
        <w:t xml:space="preserve"> in </w:t>
      </w:r>
      <w:proofErr w:type="spellStart"/>
      <w:r w:rsidRPr="00D33D59">
        <w:rPr>
          <w:rFonts w:eastAsia="Calibri"/>
        </w:rPr>
        <w:t>detail</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gramStart"/>
      <w:r w:rsidRPr="00D33D59">
        <w:rPr>
          <w:rFonts w:eastAsia="Calibri"/>
        </w:rPr>
        <w:t>data</w:t>
      </w:r>
      <w:proofErr w:type="gramEnd"/>
      <w:r w:rsidRPr="00D33D59">
        <w:rPr>
          <w:rFonts w:eastAsia="Calibri"/>
        </w:rPr>
        <w:t xml:space="preserve"> </w:t>
      </w:r>
      <w:proofErr w:type="spellStart"/>
      <w:r w:rsidRPr="00D33D59">
        <w:rPr>
          <w:rFonts w:eastAsia="Calibri"/>
        </w:rPr>
        <w:t>obtained</w:t>
      </w:r>
      <w:proofErr w:type="spellEnd"/>
      <w:r w:rsidRPr="00D33D59">
        <w:rPr>
          <w:rFonts w:eastAsia="Calibri"/>
        </w:rPr>
        <w:t xml:space="preserve"> as a </w:t>
      </w:r>
      <w:proofErr w:type="spellStart"/>
      <w:r w:rsidRPr="00D33D59">
        <w:rPr>
          <w:rFonts w:eastAsia="Calibri"/>
        </w:rPr>
        <w:t>result</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study</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evaluated</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spatial</w:t>
      </w:r>
      <w:proofErr w:type="spellEnd"/>
      <w:r w:rsidRPr="00D33D59">
        <w:rPr>
          <w:rFonts w:eastAsia="Calibri"/>
        </w:rPr>
        <w:t xml:space="preserve"> </w:t>
      </w:r>
      <w:proofErr w:type="spellStart"/>
      <w:r w:rsidRPr="00D33D59">
        <w:rPr>
          <w:rFonts w:eastAsia="Calibri"/>
        </w:rPr>
        <w:t>characteristics</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revealed</w:t>
      </w:r>
      <w:proofErr w:type="spellEnd"/>
      <w:r w:rsidRPr="00D33D59">
        <w:rPr>
          <w:rFonts w:eastAsia="Calibri"/>
        </w:rPr>
        <w:t xml:space="preserve"> </w:t>
      </w:r>
      <w:proofErr w:type="spellStart"/>
      <w:r w:rsidRPr="00D33D59">
        <w:rPr>
          <w:rFonts w:eastAsia="Calibri"/>
        </w:rPr>
        <w:t>and</w:t>
      </w:r>
      <w:proofErr w:type="spellEnd"/>
      <w:r w:rsidRPr="00D33D59">
        <w:rPr>
          <w:rFonts w:eastAsia="Calibri"/>
        </w:rPr>
        <w:t xml:space="preserve"> </w:t>
      </w:r>
      <w:proofErr w:type="spellStart"/>
      <w:r w:rsidRPr="00D33D59">
        <w:rPr>
          <w:rFonts w:eastAsia="Calibri"/>
        </w:rPr>
        <w:t>determinations</w:t>
      </w:r>
      <w:proofErr w:type="spellEnd"/>
      <w:r w:rsidRPr="00D33D59">
        <w:rPr>
          <w:rFonts w:eastAsia="Calibri"/>
        </w:rPr>
        <w:t xml:space="preserve"> </w:t>
      </w:r>
      <w:proofErr w:type="spellStart"/>
      <w:r w:rsidRPr="00D33D59">
        <w:rPr>
          <w:rFonts w:eastAsia="Calibri"/>
        </w:rPr>
        <w:t>were</w:t>
      </w:r>
      <w:proofErr w:type="spellEnd"/>
      <w:r w:rsidRPr="00D33D59">
        <w:rPr>
          <w:rFonts w:eastAsia="Calibri"/>
        </w:rPr>
        <w:t xml:space="preserve"> </w:t>
      </w:r>
      <w:proofErr w:type="spellStart"/>
      <w:r w:rsidRPr="00D33D59">
        <w:rPr>
          <w:rFonts w:eastAsia="Calibri"/>
        </w:rPr>
        <w:t>made</w:t>
      </w:r>
      <w:proofErr w:type="spellEnd"/>
      <w:r w:rsidRPr="00D33D59">
        <w:rPr>
          <w:rFonts w:eastAsia="Calibri"/>
        </w:rPr>
        <w:t xml:space="preserve"> on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purposes</w:t>
      </w:r>
      <w:proofErr w:type="spellEnd"/>
      <w:r w:rsidRPr="00D33D59">
        <w:rPr>
          <w:rFonts w:eastAsia="Calibri"/>
        </w:rPr>
        <w:t xml:space="preserve"> of </w:t>
      </w:r>
      <w:proofErr w:type="spellStart"/>
      <w:r w:rsidRPr="00D33D59">
        <w:rPr>
          <w:rFonts w:eastAsia="Calibri"/>
        </w:rPr>
        <w:t>use</w:t>
      </w:r>
      <w:proofErr w:type="spellEnd"/>
      <w:r w:rsidRPr="00D33D59">
        <w:rPr>
          <w:rFonts w:eastAsia="Calibri"/>
        </w:rPr>
        <w:t xml:space="preserve"> of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spaces</w:t>
      </w:r>
      <w:proofErr w:type="spellEnd"/>
      <w:r w:rsidRPr="00D33D59">
        <w:rPr>
          <w:rFonts w:eastAsia="Calibri"/>
        </w:rPr>
        <w:t xml:space="preserve"> in </w:t>
      </w:r>
      <w:proofErr w:type="spellStart"/>
      <w:r w:rsidRPr="00D33D59">
        <w:rPr>
          <w:rFonts w:eastAsia="Calibri"/>
        </w:rPr>
        <w:t>the</w:t>
      </w:r>
      <w:proofErr w:type="spellEnd"/>
      <w:r w:rsidRPr="00D33D59">
        <w:rPr>
          <w:rFonts w:eastAsia="Calibri"/>
        </w:rPr>
        <w:t xml:space="preserve"> </w:t>
      </w:r>
      <w:proofErr w:type="spellStart"/>
      <w:r w:rsidRPr="00D33D59">
        <w:rPr>
          <w:rFonts w:eastAsia="Calibri"/>
        </w:rPr>
        <w:t>church</w:t>
      </w:r>
      <w:proofErr w:type="spellEnd"/>
      <w:r w:rsidRPr="00D33D59">
        <w:rPr>
          <w:rFonts w:eastAsia="Calibri"/>
        </w:rPr>
        <w:t>.</w:t>
      </w:r>
    </w:p>
    <w:p w14:paraId="63990974" w14:textId="77777777" w:rsidR="00914DCC" w:rsidRDefault="00914DCC" w:rsidP="0017453B">
      <w:pPr>
        <w:jc w:val="both"/>
        <w:rPr>
          <w:rFonts w:eastAsia="Calibri"/>
        </w:rPr>
      </w:pPr>
    </w:p>
    <w:p w14:paraId="010C90A5" w14:textId="77777777" w:rsidR="00914DCC" w:rsidRPr="00D33D59" w:rsidRDefault="00914DCC" w:rsidP="0017453B">
      <w:pPr>
        <w:jc w:val="both"/>
        <w:rPr>
          <w:rFonts w:eastAsia="Calibri"/>
        </w:rPr>
      </w:pPr>
      <w:proofErr w:type="spellStart"/>
      <w:r w:rsidRPr="00D33D59">
        <w:rPr>
          <w:rFonts w:eastAsia="Calibri"/>
          <w:b/>
          <w:bCs/>
        </w:rPr>
        <w:t>Keywords</w:t>
      </w:r>
      <w:proofErr w:type="spellEnd"/>
      <w:r w:rsidRPr="00D33D59">
        <w:rPr>
          <w:rFonts w:eastAsia="Calibri"/>
        </w:rPr>
        <w:t xml:space="preserve">: Nevşehir, Underground </w:t>
      </w:r>
      <w:proofErr w:type="spellStart"/>
      <w:r w:rsidRPr="00D33D59">
        <w:rPr>
          <w:rFonts w:eastAsia="Calibri"/>
        </w:rPr>
        <w:t>Cities</w:t>
      </w:r>
      <w:proofErr w:type="spellEnd"/>
      <w:r w:rsidRPr="00D33D59">
        <w:rPr>
          <w:rFonts w:eastAsia="Calibri"/>
        </w:rPr>
        <w:t xml:space="preserve">, Mazı Underground City, </w:t>
      </w:r>
      <w:proofErr w:type="spellStart"/>
      <w:r w:rsidRPr="00D33D59">
        <w:rPr>
          <w:rFonts w:eastAsia="Calibri"/>
        </w:rPr>
        <w:t>Church</w:t>
      </w:r>
      <w:proofErr w:type="spellEnd"/>
      <w:r w:rsidRPr="00D33D59">
        <w:rPr>
          <w:rFonts w:eastAsia="Calibri"/>
        </w:rPr>
        <w:t>.</w:t>
      </w:r>
    </w:p>
    <w:p w14:paraId="5A15B3D3" w14:textId="77777777" w:rsidR="00914DCC" w:rsidRDefault="00914DCC" w:rsidP="0017453B">
      <w:pPr>
        <w:jc w:val="center"/>
        <w:rPr>
          <w:rFonts w:eastAsia="Calibri"/>
          <w:b/>
          <w:bCs/>
        </w:rPr>
      </w:pPr>
    </w:p>
    <w:p w14:paraId="0DA0941A" w14:textId="77777777" w:rsidR="00914DCC" w:rsidRDefault="00914DCC" w:rsidP="0017453B">
      <w:pPr>
        <w:jc w:val="center"/>
        <w:rPr>
          <w:rFonts w:eastAsia="Calibri"/>
          <w:b/>
          <w:bCs/>
        </w:rPr>
      </w:pPr>
    </w:p>
    <w:p w14:paraId="135638F4" w14:textId="5169940D" w:rsidR="00914DCC" w:rsidRPr="0017453B" w:rsidRDefault="00914DCC" w:rsidP="0017453B">
      <w:pPr>
        <w:jc w:val="both"/>
        <w:rPr>
          <w:rFonts w:eastAsia="Calibri"/>
          <w:b/>
          <w:bCs/>
        </w:rPr>
      </w:pPr>
      <w:r>
        <w:rPr>
          <w:rFonts w:eastAsia="Calibri"/>
          <w:b/>
          <w:bCs/>
        </w:rPr>
        <w:t>Giriş</w:t>
      </w:r>
    </w:p>
    <w:p w14:paraId="6DD39A17" w14:textId="77C3702E" w:rsidR="00914DCC" w:rsidRDefault="00914DCC" w:rsidP="0017453B">
      <w:pPr>
        <w:jc w:val="both"/>
      </w:pPr>
      <w:r w:rsidRPr="00197853">
        <w:t>Kapadokya, olağanüstü ve benzersiz yeryüzü oluşumları sayesinde Türkiye'nin önde gelen turistik bölgelerinden biri olarak dikkat çekmektedir. Bölgede, çoğu 1500 yılı aşkın bir geçmişe sahip sayısız yeraltı şehri yer almaktadır. Bu yumuşak tüf kayalarının kolay oyulabilmesi ve etkili ısı yalıtımı özellikleri, bölgedeki yeraltı yerleşimlerinin oluşumunun temel sebeplerinden biri olmuştur</w:t>
      </w:r>
      <w:r>
        <w:fldChar w:fldCharType="begin"/>
      </w:r>
      <w:r>
        <w:instrText xml:space="preserve"> ADDIN ZOTERO_ITEM CSL_CITATION {"citationID":"ZykEKkGS","properties":{"formattedCitation":"(Aydan &amp; Ulusay, 2003)","plainCitation":"(Aydan &amp; Ulusay, 2003)","noteIndex":0},"citationItems":[{"id":24,"uris":["http://zotero.org/users/16162031/items/VHU3HUAJ"],"itemData":{"id":24,"type":"article-journal","container-title":"Engineering Geology","DOI":"10.1016/S0013-7952(02)00285-5","ISSN":"00137952","issue":"3-4","journalAbbreviation":"Engineering Geology","language":"en","note":"number: 3-4","page":"245-272","source":"DOI.org (Crossref)","title":"Geotechnical and geoenvironmental characteristics of man-made underground structures in Cappadocia, Turkey","volume":"69","author":[{"family":"Aydan","given":"Ömer"},{"family":"Ulusay","given":"Reşat"}],"issued":{"date-parts":[["2003",6]]}}}],"schema":"https://github.com/citation-style-language/schema/raw/master/csl-citation.json"} </w:instrText>
      </w:r>
      <w:r>
        <w:fldChar w:fldCharType="separate"/>
      </w:r>
      <w:r w:rsidRPr="00197853">
        <w:t>(Aydan &amp; Ulusay, 2003)</w:t>
      </w:r>
      <w:r>
        <w:fldChar w:fldCharType="end"/>
      </w:r>
      <w:r>
        <w:t>.</w:t>
      </w:r>
      <w:r w:rsidRPr="00A8272B">
        <w:t xml:space="preserve"> Yeraltı şehirlerinde bulunan kiliseler, tarih boyunca Hristiyan toplumlar tarafından düşman saldırılarına karşı korunma</w:t>
      </w:r>
      <w:r>
        <w:t>,</w:t>
      </w:r>
      <w:r w:rsidRPr="00A8272B">
        <w:t xml:space="preserve"> ibadet</w:t>
      </w:r>
      <w:r>
        <w:t xml:space="preserve"> etmek</w:t>
      </w:r>
      <w:r w:rsidRPr="00A8272B">
        <w:t xml:space="preserve"> </w:t>
      </w:r>
      <w:r>
        <w:t>ve toplumsal dayanışma merkezleri oluşturmak</w:t>
      </w:r>
      <w:r w:rsidRPr="00A8272B">
        <w:t xml:space="preserve"> amacıyla kullanılmıştır.</w:t>
      </w:r>
      <w:r>
        <w:t xml:space="preserve"> </w:t>
      </w:r>
      <w:r w:rsidRPr="00084746">
        <w:t>Çalışma kapsamında, Mazı yeraltı şehrindeki kilise mekânı detaylı olarak incelenmiş ve bu yapı, bölgedeki eski toplumların yaşam biçimleri hakkında bilgi edinmek için değerli bir veri kaynağı olarak değerlendirilmiştir.</w:t>
      </w:r>
      <w:r>
        <w:t xml:space="preserve"> Yapılan literatür taramasında yeraltı şehirleriyle ilgili birçok kaynak elde edilmiştir. Mazı yeraltı şehrinin yer aldığı kaynaklardan </w:t>
      </w:r>
      <w:proofErr w:type="spellStart"/>
      <w:r>
        <w:t>Sınıksaran</w:t>
      </w:r>
      <w:proofErr w:type="spellEnd"/>
      <w:r>
        <w:t xml:space="preserve"> (2019) tez çalışmasında Nevşehir yeraltı şehirlerini tanıtmış ve Mazı yeraltı şehrini de detaylı bir şekilde ele almıştır. Özata (2015) tez çalışmasında kaya oyma yapı sorunlarını ele almış ve Mazı yeraltı şehrini de değerlendirmiştir. </w:t>
      </w:r>
      <w:r w:rsidRPr="007E6143">
        <w:rPr>
          <w:rFonts w:eastAsia="Calibri"/>
          <w:szCs w:val="22"/>
        </w:rPr>
        <w:t>Demirtaş (2015) tez çalışmasında, Kaymaklı Yeraltı Şehri'nin</w:t>
      </w:r>
      <w:r>
        <w:rPr>
          <w:rFonts w:eastAsia="Calibri"/>
          <w:szCs w:val="22"/>
        </w:rPr>
        <w:t xml:space="preserve"> detaylı araştırmasını yapmış aynı zamanda Mazı Yeraltı Şehri’ne de değinmiştir.</w:t>
      </w:r>
    </w:p>
    <w:p w14:paraId="69CB600F" w14:textId="77777777" w:rsidR="00914DCC" w:rsidRDefault="00914DCC" w:rsidP="0017453B">
      <w:pPr>
        <w:jc w:val="both"/>
      </w:pPr>
    </w:p>
    <w:p w14:paraId="08F72296" w14:textId="2FDDDC8A" w:rsidR="00914DCC" w:rsidRPr="0017453B" w:rsidRDefault="00914DCC" w:rsidP="0017453B">
      <w:pPr>
        <w:jc w:val="both"/>
        <w:rPr>
          <w:b/>
          <w:bCs/>
        </w:rPr>
      </w:pPr>
      <w:r w:rsidRPr="007E6143">
        <w:rPr>
          <w:b/>
          <w:bCs/>
        </w:rPr>
        <w:t>Amaç ve Yöntem</w:t>
      </w:r>
    </w:p>
    <w:p w14:paraId="0BF6881F" w14:textId="77777777" w:rsidR="00914DCC" w:rsidRDefault="00914DCC" w:rsidP="0017453B">
      <w:pPr>
        <w:jc w:val="both"/>
      </w:pPr>
      <w:r>
        <w:t xml:space="preserve">Yeraltı şehirleri Nevşehir için büyük önem taşıyan yapılardır. Bölgenin kayaç yapısının oyulmaya elverişli oluşu sayesinde birçok yeraltı şehri inşa edilmiştir. Çalışma kapsamında bu yeraltı şehirlerinden biri olan Mazı Yeraltı Şehri incelenmiş olup yeraltı şehrinin kilise </w:t>
      </w:r>
      <w:proofErr w:type="gramStart"/>
      <w:r>
        <w:t>mekanı</w:t>
      </w:r>
      <w:proofErr w:type="gramEnd"/>
      <w:r>
        <w:t xml:space="preserve"> ayrıntılı bir şekilde incelenmiştir. Yeraltı şehri ziyaret edilmiş ve fotoğraf çekimleri yapılmıştır. Yeraltı şehrinde bulunan mekanlar incelenerek tanıtılmış ve kilise mekanının üzerinde durularak bu mekânın birimleri detaylı bir şekilde ele alınmıştır. Bölgedeki diğer yeraltı </w:t>
      </w:r>
      <w:r>
        <w:lastRenderedPageBreak/>
        <w:t xml:space="preserve">şehirlerinin kiliseleri ile Mazı Yeraltı Şehri’nde bulunan kilisenin özellikleri karşılaştırılarak değerlendirilmiştir. Çalışmanın amacı Mazı Yeraltı Şehri’ni tanıtmak ve </w:t>
      </w:r>
      <w:r w:rsidRPr="00933944">
        <w:rPr>
          <w:rFonts w:eastAsia="Calibri"/>
        </w:rPr>
        <w:t xml:space="preserve">Mazı </w:t>
      </w:r>
      <w:r>
        <w:rPr>
          <w:rFonts w:eastAsia="Calibri"/>
        </w:rPr>
        <w:t>Y</w:t>
      </w:r>
      <w:r w:rsidRPr="00933944">
        <w:rPr>
          <w:rFonts w:eastAsia="Calibri"/>
        </w:rPr>
        <w:t xml:space="preserve">eraltı </w:t>
      </w:r>
      <w:r>
        <w:rPr>
          <w:rFonts w:eastAsia="Calibri"/>
        </w:rPr>
        <w:t>Ş</w:t>
      </w:r>
      <w:r w:rsidRPr="00933944">
        <w:rPr>
          <w:rFonts w:eastAsia="Calibri"/>
        </w:rPr>
        <w:t>ehri</w:t>
      </w:r>
      <w:r>
        <w:rPr>
          <w:rFonts w:eastAsia="Calibri"/>
        </w:rPr>
        <w:t>’</w:t>
      </w:r>
      <w:r w:rsidRPr="00933944">
        <w:rPr>
          <w:rFonts w:eastAsia="Calibri"/>
        </w:rPr>
        <w:t>nin kilise mekanını mimari açıdan değerlendi</w:t>
      </w:r>
      <w:r>
        <w:rPr>
          <w:rFonts w:eastAsia="Calibri"/>
        </w:rPr>
        <w:t>rerek</w:t>
      </w:r>
      <w:r w:rsidRPr="00933944">
        <w:rPr>
          <w:rFonts w:eastAsia="Calibri"/>
        </w:rPr>
        <w:t xml:space="preserve"> kilisede bulunan birimlerin kullanım amaçlarının saptanmasıdır.</w:t>
      </w:r>
    </w:p>
    <w:p w14:paraId="0BD0C683" w14:textId="77777777" w:rsidR="00914DCC" w:rsidRDefault="00914DCC" w:rsidP="0017453B">
      <w:pPr>
        <w:jc w:val="both"/>
      </w:pPr>
    </w:p>
    <w:p w14:paraId="643843D9" w14:textId="6D625B3E" w:rsidR="00914DCC" w:rsidRPr="0017453B" w:rsidRDefault="00914DCC" w:rsidP="0017453B">
      <w:pPr>
        <w:jc w:val="both"/>
        <w:rPr>
          <w:b/>
          <w:bCs/>
        </w:rPr>
      </w:pPr>
      <w:r>
        <w:rPr>
          <w:b/>
          <w:bCs/>
        </w:rPr>
        <w:t>Bulgular</w:t>
      </w:r>
    </w:p>
    <w:p w14:paraId="6FCE7B69" w14:textId="715353CE" w:rsidR="00914DCC" w:rsidRPr="0017453B" w:rsidRDefault="00914DCC" w:rsidP="0017453B">
      <w:pPr>
        <w:jc w:val="both"/>
        <w:rPr>
          <w:b/>
          <w:bCs/>
          <w:i/>
          <w:iCs/>
        </w:rPr>
      </w:pPr>
      <w:bookmarkStart w:id="47" w:name="_Hlk191553933"/>
      <w:r w:rsidRPr="008B3F44">
        <w:rPr>
          <w:b/>
          <w:bCs/>
          <w:i/>
          <w:iCs/>
        </w:rPr>
        <w:t>Mazı Yeraltı Şehri</w:t>
      </w:r>
      <w:bookmarkEnd w:id="47"/>
    </w:p>
    <w:p w14:paraId="25DFFB9D" w14:textId="170BAD1C" w:rsidR="00914DCC" w:rsidRPr="00587C60" w:rsidRDefault="00914DCC" w:rsidP="0017453B">
      <w:pPr>
        <w:jc w:val="both"/>
        <w:rPr>
          <w:rFonts w:eastAsia="Calibri"/>
        </w:rPr>
      </w:pPr>
      <w:r w:rsidRPr="00B1712D">
        <w:rPr>
          <w:rFonts w:eastAsia="Calibri"/>
        </w:rPr>
        <w:t>Nevşehir’e bağlı Mazı Köyü’nde yer almakta olup, Ürgüp’ün yaklaşık 18 km güneyinde, Kaymaklı Yeraltı Şehri’nin ise 10 km doğusunda konumlanmaktadır. Mazı Yeraltı Şehri düz arazide değil, yüksekliği yaklaşık 100 m.’</w:t>
      </w:r>
      <w:proofErr w:type="spellStart"/>
      <w:r w:rsidRPr="00B1712D">
        <w:rPr>
          <w:rFonts w:eastAsia="Calibri"/>
        </w:rPr>
        <w:t>yi</w:t>
      </w:r>
      <w:proofErr w:type="spellEnd"/>
      <w:r w:rsidRPr="00B1712D">
        <w:rPr>
          <w:rFonts w:eastAsia="Calibri"/>
        </w:rPr>
        <w:t xml:space="preserve"> bulan kayalıkların batı yamacına oyularak yapılmıştır </w:t>
      </w:r>
      <w:r w:rsidRPr="00B1712D">
        <w:rPr>
          <w:rFonts w:eastAsia="Calibri"/>
        </w:rPr>
        <w:fldChar w:fldCharType="begin"/>
      </w:r>
      <w:r w:rsidRPr="00B1712D">
        <w:rPr>
          <w:rFonts w:eastAsia="Calibri"/>
        </w:rPr>
        <w:instrText xml:space="preserve"> ADDIN ZOTERO_ITEM CSL_CITATION {"citationID":"8ZNJxafw","properties":{"formattedCitation":"(\\uc0\\u304{}brahim DEM\\uc0\\u304{}RTA\\uc0\\u350{}, 2015)","plainCitation":"(İbrahim DEMİRTAŞ, 2015)","noteIndex":0},"citationItems":[{"id":14,"uris":["http://zotero.org/users/16162031/items/5BZGMG2L"],"itemData":{"id":14,"type":"thesis","event-place":"Erzurum","genre":"Yüksek Lisans","language":"tr","note":"titleTranslation:\ntitleTranslation:\ntitleTranslation:\ntitleTranslation:","number-of-pages":"386","publisher":"Atatürk Üniversitesi","publisher-place":"Erzurum","source":"Zotero","title":"Kaymakli Yeralti Şehri̇","author":[{"literal":"İbrahim DEMİRTAŞ"}],"issued":{"date-parts":[["2015"]]}}}],"schema":"https://github.com/citation-style-language/schema/raw/master/csl-citation.json"} </w:instrText>
      </w:r>
      <w:r w:rsidRPr="00B1712D">
        <w:rPr>
          <w:rFonts w:eastAsia="Calibri"/>
        </w:rPr>
        <w:fldChar w:fldCharType="separate"/>
      </w:r>
      <w:r w:rsidRPr="00B1712D">
        <w:rPr>
          <w:rFonts w:eastAsia="Calibri"/>
        </w:rPr>
        <w:t>(Demirtaş, 2015)</w:t>
      </w:r>
      <w:r w:rsidRPr="00B1712D">
        <w:rPr>
          <w:rFonts w:eastAsia="Calibri"/>
        </w:rPr>
        <w:fldChar w:fldCharType="end"/>
      </w:r>
      <w:r w:rsidRPr="00B1712D">
        <w:rPr>
          <w:rFonts w:eastAsia="Calibri"/>
        </w:rPr>
        <w:t xml:space="preserve">. Bu yerleşime, doğu ile batı yönünü birbirine bağlayan bir kaya kovuğundan girilmektedir. Ana giriş kapısının tam konumu bilinmemekle birlikte, zaman içinde yerinden kopan yüksek kayaların yeni giriş yolları oluşturmuştur. Bugüne kadar dört farklı giriş tespit edilmiştir. Bu girişler, kontrolü ve güvenliği sağlamak amacıyla sürgü taşlarıyla kapatılarak şehre dışarıdan erişimin neredeyse imkânsız hale gelmesi sağlanmıştır (Mutlu, 2020). Mazı Yeraltı Şehri’nin derinliği, kilisenin bulunduğu alanda yer alan bir kuyu aracılığıyla 20 metre olarak belirlenmiştir. </w:t>
      </w:r>
      <w:proofErr w:type="gramStart"/>
      <w:r w:rsidRPr="00B1712D">
        <w:rPr>
          <w:rFonts w:eastAsia="Calibri"/>
        </w:rPr>
        <w:t>Zeminle birlikte</w:t>
      </w:r>
      <w:proofErr w:type="gramEnd"/>
      <w:r w:rsidRPr="00B1712D">
        <w:rPr>
          <w:rFonts w:eastAsia="Calibri"/>
        </w:rPr>
        <w:t xml:space="preserve"> iki katı temizlenmiş olan yeraltı şehrinin gezilebilir bölümlerinde 26 oda, 5 salon ve bir kilise yer almaktadır. Ayrıca, gezilebilen alanlarda; biri girişte, biri kiliseye giden koridorun sonunda olmak üzere, farklı birimlerde toplam dört adet sürgü kapı taşı bulunmaktadır (Komisyon, 1989) (Şekil 1).</w:t>
      </w:r>
    </w:p>
    <w:p w14:paraId="1CC479D9" w14:textId="77777777" w:rsidR="00914DCC" w:rsidRDefault="00914DCC" w:rsidP="0017453B">
      <w:pPr>
        <w:jc w:val="center"/>
        <w:rPr>
          <w:rFonts w:eastAsia="Calibri"/>
          <w:b/>
          <w:bCs/>
        </w:rPr>
      </w:pPr>
      <w:r>
        <w:rPr>
          <w:rFonts w:eastAsia="Calibri"/>
          <w:b/>
          <w:bCs/>
          <w:noProof/>
        </w:rPr>
        <w:drawing>
          <wp:inline distT="0" distB="0" distL="0" distR="0" wp14:anchorId="60B1165A" wp14:editId="5499617A">
            <wp:extent cx="2849880" cy="4124347"/>
            <wp:effectExtent l="0" t="0" r="7620" b="9525"/>
            <wp:docPr id="488212523" name="Resim 1" descr="metin, çizim, harita, sanat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12523" name="Resim 1" descr="metin, çizim, harita, sanat içeren bir resim&#10;&#10;Yapay zeka tarafından oluşturulan içerik yanlış olabili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59395" cy="4138117"/>
                    </a:xfrm>
                    <a:prstGeom prst="rect">
                      <a:avLst/>
                    </a:prstGeom>
                  </pic:spPr>
                </pic:pic>
              </a:graphicData>
            </a:graphic>
          </wp:inline>
        </w:drawing>
      </w:r>
    </w:p>
    <w:p w14:paraId="38833C12" w14:textId="77777777" w:rsidR="00914DCC" w:rsidRDefault="00914DCC" w:rsidP="0017453B">
      <w:pPr>
        <w:jc w:val="center"/>
        <w:rPr>
          <w:rFonts w:eastAsia="Calibri"/>
          <w:b/>
          <w:bCs/>
        </w:rPr>
      </w:pPr>
    </w:p>
    <w:p w14:paraId="1DA447E5" w14:textId="77777777" w:rsidR="00914DCC" w:rsidRPr="008A66B3" w:rsidRDefault="00914DCC" w:rsidP="0017453B">
      <w:pPr>
        <w:jc w:val="center"/>
        <w:rPr>
          <w:rFonts w:eastAsia="Calibri"/>
          <w:b/>
          <w:bCs/>
          <w:sz w:val="22"/>
          <w:szCs w:val="22"/>
        </w:rPr>
      </w:pPr>
      <w:bookmarkStart w:id="48" w:name="_Hlk191483031"/>
      <w:r w:rsidRPr="008A66B3">
        <w:rPr>
          <w:rFonts w:eastAsia="Calibri"/>
          <w:b/>
          <w:bCs/>
          <w:sz w:val="22"/>
          <w:szCs w:val="22"/>
        </w:rPr>
        <w:t xml:space="preserve">Şekil 1. </w:t>
      </w:r>
      <w:r w:rsidRPr="008A66B3">
        <w:rPr>
          <w:rFonts w:eastAsia="Calibri"/>
          <w:sz w:val="22"/>
          <w:szCs w:val="22"/>
        </w:rPr>
        <w:t>Mazı Yeraltı Şehri Plan Şeması</w:t>
      </w:r>
      <w:r>
        <w:rPr>
          <w:rFonts w:eastAsia="Calibri"/>
          <w:sz w:val="22"/>
          <w:szCs w:val="22"/>
        </w:rPr>
        <w:t xml:space="preserve"> (K.T.B.)</w:t>
      </w:r>
      <w:bookmarkEnd w:id="48"/>
    </w:p>
    <w:p w14:paraId="4266EF5D" w14:textId="77777777" w:rsidR="00914DCC" w:rsidRDefault="00914DCC" w:rsidP="0017453B">
      <w:pPr>
        <w:jc w:val="both"/>
        <w:rPr>
          <w:rFonts w:eastAsia="Calibri"/>
        </w:rPr>
      </w:pPr>
    </w:p>
    <w:p w14:paraId="157667B7" w14:textId="77777777" w:rsidR="00914DCC" w:rsidRDefault="00914DCC" w:rsidP="0017453B">
      <w:pPr>
        <w:jc w:val="both"/>
        <w:rPr>
          <w:rFonts w:eastAsia="Calibri"/>
        </w:rPr>
      </w:pPr>
    </w:p>
    <w:p w14:paraId="7A759A63" w14:textId="77777777" w:rsidR="00914DCC" w:rsidRDefault="00914DCC" w:rsidP="0017453B">
      <w:pPr>
        <w:jc w:val="both"/>
        <w:rPr>
          <w:rFonts w:eastAsia="Calibri"/>
        </w:rPr>
      </w:pPr>
      <w:r>
        <w:rPr>
          <w:rFonts w:eastAsia="Calibri"/>
        </w:rPr>
        <w:t xml:space="preserve">Mazı yeraltı şehrinin </w:t>
      </w:r>
      <w:proofErr w:type="spellStart"/>
      <w:r>
        <w:rPr>
          <w:rFonts w:eastAsia="Calibri"/>
        </w:rPr>
        <w:t>şuanki</w:t>
      </w:r>
      <w:proofErr w:type="spellEnd"/>
      <w:r>
        <w:rPr>
          <w:rFonts w:eastAsia="Calibri"/>
        </w:rPr>
        <w:t xml:space="preserve"> giriş kapısı </w:t>
      </w:r>
      <w:proofErr w:type="spellStart"/>
      <w:r>
        <w:rPr>
          <w:rFonts w:eastAsia="Calibri"/>
        </w:rPr>
        <w:t>orjinaldir</w:t>
      </w:r>
      <w:proofErr w:type="spellEnd"/>
      <w:r>
        <w:rPr>
          <w:rFonts w:eastAsia="Calibri"/>
        </w:rPr>
        <w:t xml:space="preserve">. Ancak </w:t>
      </w:r>
      <w:r w:rsidRPr="008A66B3">
        <w:rPr>
          <w:rFonts w:eastAsia="Calibri"/>
        </w:rPr>
        <w:t xml:space="preserve">yıkılma ve çökme riskinden dolayı sonradan bölge </w:t>
      </w:r>
      <w:proofErr w:type="spellStart"/>
      <w:r w:rsidRPr="008A66B3">
        <w:rPr>
          <w:rFonts w:eastAsia="Calibri"/>
        </w:rPr>
        <w:t>taşı</w:t>
      </w:r>
      <w:proofErr w:type="spellEnd"/>
      <w:r w:rsidRPr="008A66B3">
        <w:rPr>
          <w:rFonts w:eastAsia="Calibri"/>
        </w:rPr>
        <w:t xml:space="preserve"> kullanılarak bindirme </w:t>
      </w:r>
      <w:proofErr w:type="spellStart"/>
      <w:r w:rsidRPr="008A66B3">
        <w:rPr>
          <w:rFonts w:eastAsia="Calibri"/>
        </w:rPr>
        <w:t>tekniğinde</w:t>
      </w:r>
      <w:proofErr w:type="spellEnd"/>
      <w:r w:rsidRPr="008A66B3">
        <w:rPr>
          <w:rFonts w:eastAsia="Calibri"/>
        </w:rPr>
        <w:t xml:space="preserve"> kemer örgü ile güçlendirilmiştir</w:t>
      </w:r>
      <w:r>
        <w:rPr>
          <w:rFonts w:eastAsia="Calibri"/>
        </w:rPr>
        <w:t xml:space="preserve"> (Sınıksaran,2019) (Şekil 2).</w:t>
      </w:r>
    </w:p>
    <w:p w14:paraId="0CB0D00A" w14:textId="77777777" w:rsidR="00914DCC" w:rsidRDefault="00914DCC" w:rsidP="0017453B">
      <w:pPr>
        <w:jc w:val="both"/>
        <w:rPr>
          <w:rFonts w:eastAsia="Calibri"/>
        </w:rPr>
      </w:pPr>
    </w:p>
    <w:p w14:paraId="7629BDB6" w14:textId="77777777" w:rsidR="00914DCC" w:rsidRDefault="00914DCC" w:rsidP="0017453B">
      <w:pPr>
        <w:jc w:val="center"/>
        <w:rPr>
          <w:rFonts w:eastAsia="Calibri"/>
        </w:rPr>
      </w:pPr>
      <w:r>
        <w:rPr>
          <w:rFonts w:eastAsia="Calibri"/>
          <w:noProof/>
        </w:rPr>
        <w:drawing>
          <wp:inline distT="0" distB="0" distL="0" distR="0" wp14:anchorId="73F1C190" wp14:editId="1B3D68E7">
            <wp:extent cx="3078517" cy="3314700"/>
            <wp:effectExtent l="0" t="0" r="7620" b="0"/>
            <wp:docPr id="1410011869" name="Resim 2" descr="bina, taş, tuğla, kap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11869" name="Resim 2" descr="bina, taş, tuğla, kapı içeren bir resim&#10;&#10;Yapay zeka tarafından oluşturulan içerik yanlış olabilir."/>
                    <pic:cNvPicPr/>
                  </pic:nvPicPr>
                  <pic:blipFill>
                    <a:blip r:embed="rId101">
                      <a:extLst>
                        <a:ext uri="{28A0092B-C50C-407E-A947-70E740481C1C}">
                          <a14:useLocalDpi xmlns:a14="http://schemas.microsoft.com/office/drawing/2010/main" val="0"/>
                        </a:ext>
                      </a:extLst>
                    </a:blip>
                    <a:stretch>
                      <a:fillRect/>
                    </a:stretch>
                  </pic:blipFill>
                  <pic:spPr>
                    <a:xfrm>
                      <a:off x="0" y="0"/>
                      <a:ext cx="3096337" cy="3333887"/>
                    </a:xfrm>
                    <a:prstGeom prst="rect">
                      <a:avLst/>
                    </a:prstGeom>
                  </pic:spPr>
                </pic:pic>
              </a:graphicData>
            </a:graphic>
          </wp:inline>
        </w:drawing>
      </w:r>
    </w:p>
    <w:p w14:paraId="3A5FE428" w14:textId="77777777" w:rsidR="00914DCC" w:rsidRDefault="00914DCC" w:rsidP="0017453B">
      <w:pPr>
        <w:jc w:val="both"/>
        <w:rPr>
          <w:rFonts w:eastAsia="Calibri"/>
        </w:rPr>
      </w:pPr>
    </w:p>
    <w:p w14:paraId="0BC0A1BC" w14:textId="443CEB2C" w:rsidR="00914DCC" w:rsidRDefault="00914DCC" w:rsidP="0017453B">
      <w:pPr>
        <w:jc w:val="center"/>
        <w:rPr>
          <w:rFonts w:eastAsia="Calibri"/>
        </w:rPr>
      </w:pPr>
      <w:bookmarkStart w:id="49" w:name="_Hlk191510930"/>
      <w:r w:rsidRPr="008A66B3">
        <w:rPr>
          <w:rFonts w:eastAsia="Calibri"/>
          <w:b/>
          <w:bCs/>
          <w:sz w:val="22"/>
          <w:szCs w:val="22"/>
        </w:rPr>
        <w:t xml:space="preserve">Şekil </w:t>
      </w:r>
      <w:r>
        <w:rPr>
          <w:rFonts w:eastAsia="Calibri"/>
          <w:b/>
          <w:bCs/>
          <w:sz w:val="22"/>
          <w:szCs w:val="22"/>
        </w:rPr>
        <w:t>2</w:t>
      </w:r>
      <w:r w:rsidRPr="008A66B3">
        <w:rPr>
          <w:rFonts w:eastAsia="Calibri"/>
          <w:b/>
          <w:bCs/>
          <w:sz w:val="22"/>
          <w:szCs w:val="22"/>
        </w:rPr>
        <w:t xml:space="preserve">. </w:t>
      </w:r>
      <w:r w:rsidRPr="008A66B3">
        <w:rPr>
          <w:rFonts w:eastAsia="Calibri"/>
          <w:sz w:val="22"/>
          <w:szCs w:val="22"/>
        </w:rPr>
        <w:t xml:space="preserve">Mazı Yeraltı Şehri </w:t>
      </w:r>
      <w:r>
        <w:rPr>
          <w:rFonts w:eastAsia="Calibri"/>
          <w:sz w:val="22"/>
          <w:szCs w:val="22"/>
        </w:rPr>
        <w:t>Giriş Kapısı (Sınıksaran,2019)</w:t>
      </w:r>
    </w:p>
    <w:p w14:paraId="78095C8B" w14:textId="77777777" w:rsidR="00914DCC" w:rsidRDefault="00914DCC" w:rsidP="0017453B">
      <w:pPr>
        <w:jc w:val="both"/>
        <w:rPr>
          <w:rFonts w:eastAsia="Calibri"/>
        </w:rPr>
      </w:pPr>
    </w:p>
    <w:bookmarkEnd w:id="49"/>
    <w:p w14:paraId="1A3049FE" w14:textId="77777777" w:rsidR="00914DCC" w:rsidRDefault="00914DCC" w:rsidP="0017453B">
      <w:pPr>
        <w:jc w:val="both"/>
        <w:rPr>
          <w:rFonts w:eastAsia="Calibri"/>
        </w:rPr>
      </w:pPr>
      <w:r>
        <w:rPr>
          <w:rFonts w:eastAsia="Calibri"/>
        </w:rPr>
        <w:t>Yeraltı şehrine bir koridor ile girildikten sonra ahır alanına varılmaktadır. Ahır alanı çökmeye karşı demir sütunlarla güçlendirilmiştir (Şekil 3).</w:t>
      </w:r>
    </w:p>
    <w:p w14:paraId="499354BD" w14:textId="77777777" w:rsidR="00914DCC" w:rsidRDefault="00914DCC" w:rsidP="0017453B">
      <w:pPr>
        <w:jc w:val="both"/>
        <w:rPr>
          <w:rFonts w:eastAsia="Calibri"/>
        </w:rPr>
      </w:pPr>
    </w:p>
    <w:p w14:paraId="3426AABB" w14:textId="77777777" w:rsidR="00914DCC" w:rsidRDefault="00914DCC" w:rsidP="0017453B">
      <w:pPr>
        <w:jc w:val="center"/>
        <w:rPr>
          <w:rFonts w:eastAsia="Calibri"/>
        </w:rPr>
      </w:pPr>
      <w:r>
        <w:rPr>
          <w:rFonts w:eastAsia="Calibri"/>
          <w:noProof/>
        </w:rPr>
        <w:lastRenderedPageBreak/>
        <w:drawing>
          <wp:inline distT="0" distB="0" distL="0" distR="0" wp14:anchorId="17A8F829" wp14:editId="1DEE28C2">
            <wp:extent cx="2550795" cy="3401060"/>
            <wp:effectExtent l="0" t="0" r="1905" b="8890"/>
            <wp:docPr id="1662683730" name="Resim 3" descr="iç mekan, mağara, ye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83730" name="Resim 3" descr="iç mekan, mağara, yer içeren bir resim&#10;&#10;Yapay zeka tarafından oluşturulan içerik yanlış olabilir."/>
                    <pic:cNvPicPr/>
                  </pic:nvPicPr>
                  <pic:blipFill>
                    <a:blip r:embed="rId102" cstate="print">
                      <a:extLst>
                        <a:ext uri="{28A0092B-C50C-407E-A947-70E740481C1C}">
                          <a14:useLocalDpi xmlns:a14="http://schemas.microsoft.com/office/drawing/2010/main" val="0"/>
                        </a:ext>
                      </a:extLst>
                    </a:blip>
                    <a:stretch>
                      <a:fillRect/>
                    </a:stretch>
                  </pic:blipFill>
                  <pic:spPr>
                    <a:xfrm flipH="1">
                      <a:off x="0" y="0"/>
                      <a:ext cx="2550795" cy="3401060"/>
                    </a:xfrm>
                    <a:prstGeom prst="rect">
                      <a:avLst/>
                    </a:prstGeom>
                  </pic:spPr>
                </pic:pic>
              </a:graphicData>
            </a:graphic>
          </wp:inline>
        </w:drawing>
      </w:r>
    </w:p>
    <w:p w14:paraId="4A709A21" w14:textId="28C8BA62" w:rsidR="00914DCC" w:rsidRDefault="00914DCC" w:rsidP="0017453B">
      <w:pPr>
        <w:jc w:val="both"/>
        <w:rPr>
          <w:rFonts w:eastAsia="Calibri"/>
          <w:b/>
          <w:bCs/>
          <w:sz w:val="22"/>
          <w:szCs w:val="22"/>
        </w:rPr>
      </w:pPr>
    </w:p>
    <w:p w14:paraId="5CD5C7CB" w14:textId="37A304E3" w:rsidR="00914DCC" w:rsidRDefault="00914DCC" w:rsidP="0017453B">
      <w:pPr>
        <w:jc w:val="center"/>
        <w:rPr>
          <w:rFonts w:eastAsia="Calibri"/>
          <w:sz w:val="22"/>
          <w:szCs w:val="22"/>
        </w:rPr>
      </w:pPr>
      <w:bookmarkStart w:id="50" w:name="_Hlk191511189"/>
      <w:r w:rsidRPr="008A66B3">
        <w:rPr>
          <w:rFonts w:eastAsia="Calibri"/>
          <w:b/>
          <w:bCs/>
          <w:sz w:val="22"/>
          <w:szCs w:val="22"/>
        </w:rPr>
        <w:t xml:space="preserve">Şekil </w:t>
      </w:r>
      <w:r>
        <w:rPr>
          <w:rFonts w:eastAsia="Calibri"/>
          <w:b/>
          <w:bCs/>
          <w:sz w:val="22"/>
          <w:szCs w:val="22"/>
        </w:rPr>
        <w:t>3</w:t>
      </w:r>
      <w:r w:rsidRPr="008A66B3">
        <w:rPr>
          <w:rFonts w:eastAsia="Calibri"/>
          <w:b/>
          <w:bCs/>
          <w:sz w:val="22"/>
          <w:szCs w:val="22"/>
        </w:rPr>
        <w:t xml:space="preserve">. </w:t>
      </w:r>
      <w:r w:rsidRPr="008A66B3">
        <w:rPr>
          <w:rFonts w:eastAsia="Calibri"/>
          <w:sz w:val="22"/>
          <w:szCs w:val="22"/>
        </w:rPr>
        <w:t xml:space="preserve">Mazı Yeraltı Şehri </w:t>
      </w:r>
      <w:r>
        <w:rPr>
          <w:rFonts w:eastAsia="Calibri"/>
          <w:sz w:val="22"/>
          <w:szCs w:val="22"/>
        </w:rPr>
        <w:t>Ahır Alanı (Özaydın Sipahi,2024)</w:t>
      </w:r>
    </w:p>
    <w:p w14:paraId="5F9448CB" w14:textId="77777777" w:rsidR="0017453B" w:rsidRDefault="0017453B" w:rsidP="0017453B">
      <w:pPr>
        <w:jc w:val="center"/>
        <w:rPr>
          <w:rFonts w:eastAsia="Calibri"/>
          <w:b/>
          <w:bCs/>
          <w:sz w:val="22"/>
          <w:szCs w:val="22"/>
        </w:rPr>
      </w:pPr>
    </w:p>
    <w:bookmarkEnd w:id="50"/>
    <w:p w14:paraId="105E8E7E" w14:textId="77777777" w:rsidR="00914DCC" w:rsidRDefault="00914DCC" w:rsidP="0017453B">
      <w:pPr>
        <w:jc w:val="both"/>
        <w:rPr>
          <w:rFonts w:eastAsia="Calibri"/>
        </w:rPr>
      </w:pPr>
      <w:r>
        <w:rPr>
          <w:rFonts w:eastAsia="Calibri"/>
        </w:rPr>
        <w:t>Girişteki ahır kısmından yine bir ahır alanına geçilmektedir. Ahırın ortasında doğal bir taşıyıcı bulunmaktadır. Yine bu alanda diğer yeraltı şehirlerinden farklı olarak taşa oyulmuş bir yalak bulunur (Şekil 4). Bu alanda hayvanların beslenmesi için yapılmış oyuklar bulunmaktadır. Ayrıca hayvanların bağlandığı delikler de mevcuttur (Demirtaş, 2015).</w:t>
      </w:r>
    </w:p>
    <w:p w14:paraId="168D1FCA" w14:textId="77777777" w:rsidR="00914DCC" w:rsidRDefault="00914DCC" w:rsidP="0017453B">
      <w:pPr>
        <w:jc w:val="both"/>
        <w:rPr>
          <w:rFonts w:eastAsia="Calibri"/>
        </w:rPr>
      </w:pPr>
    </w:p>
    <w:p w14:paraId="3F093BB6" w14:textId="77777777" w:rsidR="00914DCC" w:rsidRPr="00831733" w:rsidRDefault="00914DCC" w:rsidP="0017453B">
      <w:pPr>
        <w:jc w:val="center"/>
        <w:rPr>
          <w:rFonts w:eastAsia="Calibri"/>
          <w:b/>
          <w:bCs/>
          <w:sz w:val="22"/>
          <w:szCs w:val="22"/>
        </w:rPr>
      </w:pPr>
      <w:r>
        <w:rPr>
          <w:rFonts w:eastAsia="Calibri"/>
          <w:b/>
          <w:bCs/>
          <w:noProof/>
          <w:sz w:val="22"/>
          <w:szCs w:val="22"/>
        </w:rPr>
        <w:lastRenderedPageBreak/>
        <w:drawing>
          <wp:inline distT="0" distB="0" distL="0" distR="0" wp14:anchorId="1886D585" wp14:editId="549E4EDA">
            <wp:extent cx="2817495" cy="3756660"/>
            <wp:effectExtent l="0" t="0" r="1905" b="0"/>
            <wp:docPr id="752483907" name="Resim 4" descr="yer, kase, çanak, iç mekan, taş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83907" name="Resim 4" descr="yer, kase, çanak, iç mekan, taş içeren bir resim&#10;&#10;Yapay zeka tarafından oluşturulan içerik yanlış olabili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17495" cy="3756660"/>
                    </a:xfrm>
                    <a:prstGeom prst="rect">
                      <a:avLst/>
                    </a:prstGeom>
                  </pic:spPr>
                </pic:pic>
              </a:graphicData>
            </a:graphic>
          </wp:inline>
        </w:drawing>
      </w:r>
    </w:p>
    <w:p w14:paraId="604478DA" w14:textId="77777777" w:rsidR="00914DCC" w:rsidRDefault="00914DCC" w:rsidP="0017453B">
      <w:pPr>
        <w:jc w:val="both"/>
        <w:rPr>
          <w:rFonts w:eastAsia="Calibri"/>
        </w:rPr>
      </w:pPr>
    </w:p>
    <w:p w14:paraId="3DDD24D4" w14:textId="27040F93" w:rsidR="00914DCC" w:rsidRDefault="00914DCC" w:rsidP="0017453B">
      <w:pPr>
        <w:jc w:val="center"/>
        <w:rPr>
          <w:rFonts w:eastAsia="Calibri"/>
          <w:b/>
          <w:bCs/>
          <w:sz w:val="22"/>
          <w:szCs w:val="22"/>
        </w:rPr>
      </w:pPr>
      <w:r w:rsidRPr="008A66B3">
        <w:rPr>
          <w:rFonts w:eastAsia="Calibri"/>
          <w:b/>
          <w:bCs/>
          <w:sz w:val="22"/>
          <w:szCs w:val="22"/>
        </w:rPr>
        <w:t xml:space="preserve">Şekil </w:t>
      </w:r>
      <w:r>
        <w:rPr>
          <w:rFonts w:eastAsia="Calibri"/>
          <w:b/>
          <w:bCs/>
          <w:sz w:val="22"/>
          <w:szCs w:val="22"/>
        </w:rPr>
        <w:t>4</w:t>
      </w:r>
      <w:r w:rsidRPr="008A66B3">
        <w:rPr>
          <w:rFonts w:eastAsia="Calibri"/>
          <w:b/>
          <w:bCs/>
          <w:sz w:val="22"/>
          <w:szCs w:val="22"/>
        </w:rPr>
        <w:t xml:space="preserve">. </w:t>
      </w:r>
      <w:r>
        <w:rPr>
          <w:rFonts w:eastAsia="Calibri"/>
          <w:sz w:val="22"/>
          <w:szCs w:val="22"/>
        </w:rPr>
        <w:t>Yalak (Özaydın Sipahi,2024)</w:t>
      </w:r>
    </w:p>
    <w:p w14:paraId="67DAA67D" w14:textId="77777777" w:rsidR="00914DCC" w:rsidRDefault="00914DCC" w:rsidP="0017453B">
      <w:pPr>
        <w:jc w:val="both"/>
        <w:rPr>
          <w:rFonts w:eastAsia="Calibri"/>
        </w:rPr>
      </w:pPr>
    </w:p>
    <w:p w14:paraId="4A320292" w14:textId="77777777" w:rsidR="00914DCC" w:rsidRDefault="00914DCC" w:rsidP="0017453B">
      <w:pPr>
        <w:jc w:val="both"/>
        <w:rPr>
          <w:rFonts w:eastAsia="Calibri"/>
        </w:rPr>
      </w:pPr>
      <w:r>
        <w:rPr>
          <w:rFonts w:eastAsia="Calibri"/>
        </w:rPr>
        <w:t>Ahırın devamında tavan kısmında geniş bir açıklık olan bir alan yer almaktadır. Havalandırma amaçlı kullanıldığı tahmin edilmektedir. Bu alanda iki adet pencere bulunmaktadır. Pencerelerin ve duvarların üzerinde güvercin oyukları bulunmaktadır (Şekil 5)</w:t>
      </w:r>
    </w:p>
    <w:p w14:paraId="7B9969DC" w14:textId="77777777" w:rsidR="00914DCC" w:rsidRDefault="00914DCC" w:rsidP="0017453B">
      <w:pPr>
        <w:jc w:val="both"/>
        <w:rPr>
          <w:rFonts w:eastAsia="Calibri"/>
        </w:rPr>
      </w:pPr>
    </w:p>
    <w:p w14:paraId="477F206C" w14:textId="77777777" w:rsidR="00914DCC" w:rsidRDefault="00914DCC" w:rsidP="0017453B">
      <w:pPr>
        <w:jc w:val="center"/>
        <w:rPr>
          <w:rFonts w:eastAsia="Calibri"/>
        </w:rPr>
      </w:pPr>
      <w:r>
        <w:rPr>
          <w:rFonts w:eastAsia="Calibri"/>
          <w:noProof/>
        </w:rPr>
        <w:drawing>
          <wp:inline distT="0" distB="0" distL="0" distR="0" wp14:anchorId="0A96230B" wp14:editId="5843D9C2">
            <wp:extent cx="3525520" cy="2644140"/>
            <wp:effectExtent l="0" t="0" r="0" b="3810"/>
            <wp:docPr id="728683182" name="Resim 5" descr="mağara, doğ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83182" name="Resim 5" descr="mağara, doğa içeren bir resim&#10;&#10;Yapay zeka tarafından oluşturulan içerik yanlış olabili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525520" cy="2644140"/>
                    </a:xfrm>
                    <a:prstGeom prst="rect">
                      <a:avLst/>
                    </a:prstGeom>
                  </pic:spPr>
                </pic:pic>
              </a:graphicData>
            </a:graphic>
          </wp:inline>
        </w:drawing>
      </w:r>
      <w:r>
        <w:rPr>
          <w:rFonts w:eastAsia="Calibri"/>
        </w:rPr>
        <w:t>.</w:t>
      </w:r>
    </w:p>
    <w:p w14:paraId="730BA0AE" w14:textId="77777777" w:rsidR="00914DCC" w:rsidRDefault="00914DCC" w:rsidP="0017453B">
      <w:pPr>
        <w:jc w:val="both"/>
        <w:rPr>
          <w:rFonts w:eastAsia="Calibri"/>
        </w:rPr>
      </w:pPr>
    </w:p>
    <w:p w14:paraId="20201E10" w14:textId="61D62FF9" w:rsidR="00914DCC" w:rsidRDefault="00914DCC" w:rsidP="0017453B">
      <w:pPr>
        <w:jc w:val="center"/>
        <w:rPr>
          <w:rFonts w:eastAsia="Calibri"/>
          <w:b/>
          <w:bCs/>
          <w:sz w:val="22"/>
          <w:szCs w:val="22"/>
        </w:rPr>
      </w:pPr>
      <w:r w:rsidRPr="008A66B3">
        <w:rPr>
          <w:rFonts w:eastAsia="Calibri"/>
          <w:b/>
          <w:bCs/>
          <w:sz w:val="22"/>
          <w:szCs w:val="22"/>
        </w:rPr>
        <w:t xml:space="preserve">Şekil </w:t>
      </w:r>
      <w:r>
        <w:rPr>
          <w:rFonts w:eastAsia="Calibri"/>
          <w:b/>
          <w:bCs/>
          <w:sz w:val="22"/>
          <w:szCs w:val="22"/>
        </w:rPr>
        <w:t>5</w:t>
      </w:r>
      <w:r w:rsidRPr="008A66B3">
        <w:rPr>
          <w:rFonts w:eastAsia="Calibri"/>
          <w:b/>
          <w:bCs/>
          <w:sz w:val="22"/>
          <w:szCs w:val="22"/>
        </w:rPr>
        <w:t xml:space="preserve">. </w:t>
      </w:r>
      <w:r>
        <w:rPr>
          <w:rFonts w:eastAsia="Calibri"/>
          <w:sz w:val="22"/>
          <w:szCs w:val="22"/>
        </w:rPr>
        <w:t>Güvercinlik (Özaydın Sipahi,2024)</w:t>
      </w:r>
    </w:p>
    <w:p w14:paraId="0B2E000B" w14:textId="77777777" w:rsidR="00914DCC" w:rsidRDefault="00914DCC" w:rsidP="0017453B">
      <w:pPr>
        <w:jc w:val="center"/>
        <w:rPr>
          <w:rFonts w:eastAsia="Calibri"/>
        </w:rPr>
      </w:pPr>
    </w:p>
    <w:p w14:paraId="7EC44A42" w14:textId="77777777" w:rsidR="00914DCC" w:rsidRDefault="00914DCC" w:rsidP="0017453B">
      <w:pPr>
        <w:jc w:val="both"/>
        <w:rPr>
          <w:rFonts w:eastAsia="Calibri"/>
        </w:rPr>
      </w:pPr>
      <w:r>
        <w:rPr>
          <w:rFonts w:eastAsia="Calibri"/>
        </w:rPr>
        <w:lastRenderedPageBreak/>
        <w:t xml:space="preserve">Mazı Yeraltı Şehri’nde birçok ahırın bulunması hayvancılığın gelişmiş olduğunun ve ekonomik durumun iyi olduğunun göstergesidir. </w:t>
      </w:r>
      <w:r w:rsidRPr="007266E5">
        <w:rPr>
          <w:rFonts w:eastAsia="Calibri"/>
        </w:rPr>
        <w:t>Ahırlar</w:t>
      </w:r>
      <w:r>
        <w:rPr>
          <w:rFonts w:eastAsia="Calibri"/>
        </w:rPr>
        <w:t>ın devamında mutfak birimleri, havalandırma bacası ve</w:t>
      </w:r>
      <w:r w:rsidRPr="007266E5">
        <w:rPr>
          <w:rFonts w:eastAsia="Calibri"/>
        </w:rPr>
        <w:t xml:space="preserve"> </w:t>
      </w:r>
      <w:proofErr w:type="spellStart"/>
      <w:r w:rsidRPr="007266E5">
        <w:rPr>
          <w:rFonts w:eastAsia="Calibri"/>
        </w:rPr>
        <w:t>şırahane</w:t>
      </w:r>
      <w:proofErr w:type="spellEnd"/>
      <w:r w:rsidRPr="007266E5">
        <w:rPr>
          <w:rFonts w:eastAsia="Calibri"/>
        </w:rPr>
        <w:t xml:space="preserve"> bulunmaktadır. Mazı Yeraltı Şehri’nde bulunan </w:t>
      </w:r>
      <w:proofErr w:type="spellStart"/>
      <w:r w:rsidRPr="007266E5">
        <w:rPr>
          <w:rFonts w:eastAsia="Calibri"/>
        </w:rPr>
        <w:t>şırahane</w:t>
      </w:r>
      <w:r>
        <w:rPr>
          <w:rFonts w:eastAsia="Calibri"/>
        </w:rPr>
        <w:t>nin</w:t>
      </w:r>
      <w:proofErr w:type="spellEnd"/>
      <w:r w:rsidRPr="007266E5">
        <w:rPr>
          <w:rFonts w:eastAsia="Calibri"/>
        </w:rPr>
        <w:t xml:space="preserve"> tavanında üzümlerin aşağıya doğru dökülmesini sağlayacak bacalar bulunmaktadır</w:t>
      </w:r>
      <w:r>
        <w:rPr>
          <w:rFonts w:eastAsia="Calibri"/>
        </w:rPr>
        <w:t xml:space="preserve"> (Mutlu, 2020). </w:t>
      </w:r>
      <w:proofErr w:type="spellStart"/>
      <w:r>
        <w:rPr>
          <w:rFonts w:eastAsia="Calibri"/>
        </w:rPr>
        <w:t>Şırahaneye</w:t>
      </w:r>
      <w:proofErr w:type="spellEnd"/>
      <w:r>
        <w:rPr>
          <w:rFonts w:eastAsia="Calibri"/>
        </w:rPr>
        <w:t xml:space="preserve"> giden güzergahta demir bariyerle kapalı içerisinde küpler bulunan depo alanı mevcuttur (Şekil 6).</w:t>
      </w:r>
    </w:p>
    <w:p w14:paraId="4B61C2E2" w14:textId="77777777" w:rsidR="00914DCC" w:rsidRDefault="00914DCC" w:rsidP="0017453B">
      <w:pPr>
        <w:jc w:val="both"/>
        <w:rPr>
          <w:rFonts w:eastAsia="Calibri"/>
        </w:rPr>
      </w:pPr>
    </w:p>
    <w:p w14:paraId="007E2A27" w14:textId="77777777" w:rsidR="00914DCC" w:rsidRDefault="00914DCC" w:rsidP="0017453B">
      <w:pPr>
        <w:jc w:val="center"/>
        <w:rPr>
          <w:rFonts w:eastAsia="Calibri"/>
          <w:noProof/>
        </w:rPr>
      </w:pPr>
    </w:p>
    <w:p w14:paraId="0323C9AD" w14:textId="77777777" w:rsidR="00914DCC" w:rsidRDefault="00914DCC" w:rsidP="0017453B">
      <w:pPr>
        <w:jc w:val="center"/>
        <w:rPr>
          <w:rFonts w:eastAsia="Calibri"/>
          <w:noProof/>
        </w:rPr>
      </w:pPr>
    </w:p>
    <w:p w14:paraId="0EFCAB79" w14:textId="77777777" w:rsidR="00914DCC" w:rsidRDefault="00914DCC" w:rsidP="0017453B">
      <w:pPr>
        <w:jc w:val="center"/>
        <w:rPr>
          <w:rFonts w:eastAsia="Calibri"/>
        </w:rPr>
      </w:pPr>
      <w:r>
        <w:rPr>
          <w:rFonts w:eastAsia="Calibri"/>
          <w:noProof/>
        </w:rPr>
        <w:drawing>
          <wp:inline distT="0" distB="0" distL="0" distR="0" wp14:anchorId="5809C3AF" wp14:editId="3E05DC24">
            <wp:extent cx="2846070" cy="3794760"/>
            <wp:effectExtent l="0" t="0" r="0" b="0"/>
            <wp:docPr id="392896152" name="Resim 6" descr="rendelemek, maden, duvar,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96152" name="Resim 6" descr="rendelemek, maden, duvar, iç mekan içeren bir resim&#10;&#10;Yapay zeka tarafından oluşturulan içerik yanlış olabili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46070" cy="3794760"/>
                    </a:xfrm>
                    <a:prstGeom prst="rect">
                      <a:avLst/>
                    </a:prstGeom>
                  </pic:spPr>
                </pic:pic>
              </a:graphicData>
            </a:graphic>
          </wp:inline>
        </w:drawing>
      </w:r>
    </w:p>
    <w:p w14:paraId="0E4AF3B9" w14:textId="77777777" w:rsidR="00914DCC" w:rsidRDefault="00914DCC" w:rsidP="0017453B">
      <w:pPr>
        <w:jc w:val="both"/>
        <w:rPr>
          <w:rFonts w:eastAsia="Calibri"/>
        </w:rPr>
      </w:pPr>
    </w:p>
    <w:p w14:paraId="1CE2CCEE" w14:textId="4BD127DD" w:rsidR="00914DCC" w:rsidRDefault="00914DCC" w:rsidP="0017453B">
      <w:pPr>
        <w:jc w:val="center"/>
        <w:rPr>
          <w:rFonts w:eastAsia="Calibri"/>
          <w:b/>
          <w:bCs/>
          <w:sz w:val="22"/>
          <w:szCs w:val="22"/>
        </w:rPr>
      </w:pPr>
      <w:r w:rsidRPr="008A66B3">
        <w:rPr>
          <w:rFonts w:eastAsia="Calibri"/>
          <w:b/>
          <w:bCs/>
          <w:sz w:val="22"/>
          <w:szCs w:val="22"/>
        </w:rPr>
        <w:t xml:space="preserve">Şekil </w:t>
      </w:r>
      <w:r>
        <w:rPr>
          <w:rFonts w:eastAsia="Calibri"/>
          <w:b/>
          <w:bCs/>
          <w:sz w:val="22"/>
          <w:szCs w:val="22"/>
        </w:rPr>
        <w:t>6</w:t>
      </w:r>
      <w:r w:rsidRPr="008A66B3">
        <w:rPr>
          <w:rFonts w:eastAsia="Calibri"/>
          <w:b/>
          <w:bCs/>
          <w:sz w:val="22"/>
          <w:szCs w:val="22"/>
        </w:rPr>
        <w:t xml:space="preserve">. </w:t>
      </w:r>
      <w:r>
        <w:rPr>
          <w:rFonts w:eastAsia="Calibri"/>
          <w:sz w:val="22"/>
          <w:szCs w:val="22"/>
        </w:rPr>
        <w:t>Depo Alanı (Özaydın Sipahi,2024)</w:t>
      </w:r>
    </w:p>
    <w:p w14:paraId="5563EDA5" w14:textId="77777777" w:rsidR="0017453B" w:rsidRPr="0017453B" w:rsidRDefault="0017453B" w:rsidP="0017453B">
      <w:pPr>
        <w:jc w:val="center"/>
        <w:rPr>
          <w:rFonts w:eastAsia="Calibri"/>
          <w:b/>
          <w:bCs/>
          <w:sz w:val="22"/>
          <w:szCs w:val="22"/>
        </w:rPr>
      </w:pPr>
    </w:p>
    <w:p w14:paraId="7FBF9582" w14:textId="75A0AE6D" w:rsidR="00914DCC" w:rsidRDefault="00914DCC" w:rsidP="0017453B">
      <w:pPr>
        <w:jc w:val="both"/>
        <w:rPr>
          <w:b/>
          <w:bCs/>
          <w:i/>
          <w:iCs/>
        </w:rPr>
      </w:pPr>
      <w:r w:rsidRPr="008B3F44">
        <w:rPr>
          <w:b/>
          <w:bCs/>
          <w:i/>
          <w:iCs/>
        </w:rPr>
        <w:t>Mazı Yeraltı Şehri</w:t>
      </w:r>
      <w:r>
        <w:rPr>
          <w:b/>
          <w:bCs/>
          <w:i/>
          <w:iCs/>
        </w:rPr>
        <w:t xml:space="preserve"> Kilise Mekânı</w:t>
      </w:r>
    </w:p>
    <w:p w14:paraId="73D78832" w14:textId="77777777" w:rsidR="00914DCC" w:rsidRDefault="00914DCC" w:rsidP="0017453B">
      <w:pPr>
        <w:jc w:val="both"/>
      </w:pPr>
      <w:r w:rsidRPr="00ED5CF4">
        <w:t>Yeraltı şehrine giriş yapıldığında ilk olarak bir ahır alanı ile karşılaşılmaktadır. İlerledikçe, bir başka ahıra daha geçiş sağlanmaktadır. Ahırın içinden geçen kısa bir koridor, doğrudan kiliseye ulaşımı sağlamaktadır. Kilisenin girişinde ise güvenlik amacıyla kullanılan bir sürgü kapısı bulunmaktadır. Kapının yakınında bir kişinin sığabileceği kadar bir açıklık bulunmaktadır. Saldırı anında savunma için bırakıldığı düşünülmektedir</w:t>
      </w:r>
      <w:r>
        <w:t xml:space="preserve"> (</w:t>
      </w:r>
      <w:proofErr w:type="spellStart"/>
      <w:r>
        <w:t>Sınıksaran</w:t>
      </w:r>
      <w:proofErr w:type="spellEnd"/>
      <w:r>
        <w:t>, 2019) (Şekil 7).</w:t>
      </w:r>
    </w:p>
    <w:p w14:paraId="2E90DCA1" w14:textId="77777777" w:rsidR="00914DCC" w:rsidRDefault="00914DCC" w:rsidP="0017453B">
      <w:pPr>
        <w:jc w:val="both"/>
      </w:pPr>
    </w:p>
    <w:p w14:paraId="066CC6B6" w14:textId="77777777" w:rsidR="00914DCC" w:rsidRDefault="00914DCC" w:rsidP="0017453B">
      <w:pPr>
        <w:jc w:val="center"/>
      </w:pPr>
      <w:r>
        <w:rPr>
          <w:noProof/>
        </w:rPr>
        <w:lastRenderedPageBreak/>
        <w:drawing>
          <wp:inline distT="0" distB="0" distL="0" distR="0" wp14:anchorId="195F780D" wp14:editId="01DB23CE">
            <wp:extent cx="2508885" cy="3345180"/>
            <wp:effectExtent l="0" t="0" r="5715" b="7620"/>
            <wp:docPr id="2093620774" name="Resim 7" descr="mağara, doğa, iç mekan, taş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20774" name="Resim 7" descr="mağara, doğa, iç mekan, taş içeren bir resim&#10;&#10;Yapay zeka tarafından oluşturulan içerik yanlış olabili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08885" cy="3345180"/>
                    </a:xfrm>
                    <a:prstGeom prst="rect">
                      <a:avLst/>
                    </a:prstGeom>
                  </pic:spPr>
                </pic:pic>
              </a:graphicData>
            </a:graphic>
          </wp:inline>
        </w:drawing>
      </w:r>
    </w:p>
    <w:p w14:paraId="160FECC4" w14:textId="77777777" w:rsidR="00914DCC" w:rsidRPr="00ED5CF4" w:rsidRDefault="00914DCC" w:rsidP="0017453B">
      <w:pPr>
        <w:jc w:val="both"/>
      </w:pPr>
    </w:p>
    <w:p w14:paraId="7BFADAF7" w14:textId="77777777" w:rsidR="00914DCC" w:rsidRDefault="00914DCC" w:rsidP="0017453B">
      <w:pPr>
        <w:jc w:val="center"/>
        <w:rPr>
          <w:rFonts w:eastAsia="Calibri"/>
          <w:b/>
          <w:bCs/>
          <w:sz w:val="22"/>
          <w:szCs w:val="22"/>
        </w:rPr>
      </w:pPr>
      <w:bookmarkStart w:id="51" w:name="_Hlk191585187"/>
      <w:r w:rsidRPr="008A66B3">
        <w:rPr>
          <w:rFonts w:eastAsia="Calibri"/>
          <w:b/>
          <w:bCs/>
          <w:sz w:val="22"/>
          <w:szCs w:val="22"/>
        </w:rPr>
        <w:t xml:space="preserve">Şekil </w:t>
      </w:r>
      <w:r>
        <w:rPr>
          <w:rFonts w:eastAsia="Calibri"/>
          <w:b/>
          <w:bCs/>
          <w:sz w:val="22"/>
          <w:szCs w:val="22"/>
        </w:rPr>
        <w:t>7</w:t>
      </w:r>
      <w:r w:rsidRPr="008A66B3">
        <w:rPr>
          <w:rFonts w:eastAsia="Calibri"/>
          <w:b/>
          <w:bCs/>
          <w:sz w:val="22"/>
          <w:szCs w:val="22"/>
        </w:rPr>
        <w:t xml:space="preserve">. </w:t>
      </w:r>
      <w:r>
        <w:rPr>
          <w:rFonts w:eastAsia="Calibri"/>
          <w:sz w:val="22"/>
          <w:szCs w:val="22"/>
        </w:rPr>
        <w:t>Sürgü Taşı (Özaydın Sipahi,2024)</w:t>
      </w:r>
    </w:p>
    <w:bookmarkEnd w:id="51"/>
    <w:p w14:paraId="61AF25AC" w14:textId="77777777" w:rsidR="00914DCC" w:rsidRDefault="00914DCC" w:rsidP="0017453B">
      <w:pPr>
        <w:jc w:val="both"/>
      </w:pPr>
    </w:p>
    <w:p w14:paraId="17451F90" w14:textId="77777777" w:rsidR="00914DCC" w:rsidRPr="0096749F" w:rsidRDefault="00914DCC" w:rsidP="0017453B">
      <w:pPr>
        <w:jc w:val="both"/>
      </w:pPr>
      <w:r w:rsidRPr="00AA0D8B">
        <w:t xml:space="preserve">Kilise, tek nefli bir plan düzenine sahiptir ve apsisi, yapının uzun kenarında konumlandırılmıştır. Apsis bölümünün önünde, sağ kanadı tahrip olmuş bir </w:t>
      </w:r>
      <w:proofErr w:type="spellStart"/>
      <w:r w:rsidRPr="00AA0D8B">
        <w:t>templon</w:t>
      </w:r>
      <w:proofErr w:type="spellEnd"/>
      <w:r w:rsidRPr="00AA0D8B">
        <w:t xml:space="preserve"> uygulaması yer almaktadır. </w:t>
      </w:r>
      <w:proofErr w:type="spellStart"/>
      <w:r w:rsidRPr="00AA0D8B">
        <w:t>Templon</w:t>
      </w:r>
      <w:proofErr w:type="spellEnd"/>
      <w:r w:rsidRPr="00AA0D8B">
        <w:t xml:space="preserve"> duvarı, basit silmelerle süslenmiş olup, ortasında sonradan eklendiği düşünülen bir haç motifi bulunmaktadır. Kilisenin kenar bölümlerinde, oturma amacıyla oluşturulmuş ve yer seviyesinden daha yüksekte konumlandırılmış platformlar yer almaktadır. Kilisenin girişinin yan tarafında bulunan odanın ise din görevlisine ait olduğu düşünülmektedir</w:t>
      </w:r>
      <w:r>
        <w:t xml:space="preserve"> (Kültür ve Turizm Bakanlığı, </w:t>
      </w:r>
      <w:proofErr w:type="spellStart"/>
      <w:proofErr w:type="gramStart"/>
      <w:r>
        <w:t>t,y</w:t>
      </w:r>
      <w:proofErr w:type="spellEnd"/>
      <w:proofErr w:type="gramEnd"/>
      <w:r>
        <w:t>)(Şekil 8).</w:t>
      </w:r>
    </w:p>
    <w:p w14:paraId="51D89640" w14:textId="77777777" w:rsidR="00914DCC" w:rsidRPr="0096749F" w:rsidRDefault="00914DCC" w:rsidP="0017453B">
      <w:pPr>
        <w:jc w:val="both"/>
      </w:pPr>
    </w:p>
    <w:p w14:paraId="7D090544" w14:textId="77777777" w:rsidR="00914DCC" w:rsidRDefault="00914DCC" w:rsidP="0017453B">
      <w:pPr>
        <w:jc w:val="center"/>
        <w:rPr>
          <w:rFonts w:eastAsia="Calibri"/>
        </w:rPr>
      </w:pPr>
      <w:r>
        <w:rPr>
          <w:rFonts w:eastAsia="Calibri"/>
          <w:noProof/>
        </w:rPr>
        <w:lastRenderedPageBreak/>
        <w:drawing>
          <wp:inline distT="0" distB="0" distL="0" distR="0" wp14:anchorId="0B5B9EEB" wp14:editId="4EF93754">
            <wp:extent cx="2461260" cy="3281680"/>
            <wp:effectExtent l="0" t="0" r="0" b="0"/>
            <wp:docPr id="1140619852" name="Resim 8" descr="mağar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19852" name="Resim 8" descr="mağara içeren bir resim&#10;&#10;Yapay zeka tarafından oluşturulan içerik yanlış olabili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61260" cy="3281680"/>
                    </a:xfrm>
                    <a:prstGeom prst="rect">
                      <a:avLst/>
                    </a:prstGeom>
                  </pic:spPr>
                </pic:pic>
              </a:graphicData>
            </a:graphic>
          </wp:inline>
        </w:drawing>
      </w:r>
    </w:p>
    <w:p w14:paraId="5E1BF0BF" w14:textId="77777777" w:rsidR="00914DCC" w:rsidRDefault="00914DCC" w:rsidP="0017453B">
      <w:pPr>
        <w:jc w:val="both"/>
        <w:rPr>
          <w:rFonts w:eastAsia="Calibri"/>
        </w:rPr>
      </w:pPr>
    </w:p>
    <w:p w14:paraId="70EFB091" w14:textId="77777777" w:rsidR="00914DCC" w:rsidRDefault="00914DCC" w:rsidP="0017453B">
      <w:pPr>
        <w:jc w:val="center"/>
        <w:rPr>
          <w:rFonts w:eastAsia="Calibri"/>
          <w:sz w:val="22"/>
          <w:szCs w:val="22"/>
        </w:rPr>
      </w:pPr>
      <w:bookmarkStart w:id="52" w:name="_Hlk191585396"/>
      <w:r w:rsidRPr="008A66B3">
        <w:rPr>
          <w:rFonts w:eastAsia="Calibri"/>
          <w:b/>
          <w:bCs/>
          <w:sz w:val="22"/>
          <w:szCs w:val="22"/>
        </w:rPr>
        <w:t xml:space="preserve">Şekil </w:t>
      </w:r>
      <w:r>
        <w:rPr>
          <w:rFonts w:eastAsia="Calibri"/>
          <w:b/>
          <w:bCs/>
          <w:sz w:val="22"/>
          <w:szCs w:val="22"/>
        </w:rPr>
        <w:t>7</w:t>
      </w:r>
      <w:r w:rsidRPr="008A66B3">
        <w:rPr>
          <w:rFonts w:eastAsia="Calibri"/>
          <w:b/>
          <w:bCs/>
          <w:sz w:val="22"/>
          <w:szCs w:val="22"/>
        </w:rPr>
        <w:t xml:space="preserve">. </w:t>
      </w:r>
      <w:r>
        <w:rPr>
          <w:rFonts w:eastAsia="Calibri"/>
          <w:sz w:val="22"/>
          <w:szCs w:val="22"/>
        </w:rPr>
        <w:t>Kilise Apsisi (Özaydın Sipahi,2024)</w:t>
      </w:r>
    </w:p>
    <w:p w14:paraId="1BD0F781" w14:textId="77777777" w:rsidR="0017453B" w:rsidRDefault="0017453B" w:rsidP="0017453B">
      <w:pPr>
        <w:jc w:val="center"/>
        <w:rPr>
          <w:rFonts w:eastAsia="Calibri"/>
          <w:b/>
          <w:bCs/>
          <w:sz w:val="22"/>
          <w:szCs w:val="22"/>
        </w:rPr>
      </w:pPr>
    </w:p>
    <w:bookmarkEnd w:id="52"/>
    <w:p w14:paraId="36559B12" w14:textId="77777777" w:rsidR="00914DCC" w:rsidRPr="007D34D8" w:rsidRDefault="00914DCC" w:rsidP="0017453B">
      <w:pPr>
        <w:jc w:val="both"/>
        <w:rPr>
          <w:rFonts w:eastAsia="Calibri"/>
        </w:rPr>
      </w:pPr>
      <w:r w:rsidRPr="007D34D8">
        <w:rPr>
          <w:rFonts w:eastAsia="Calibri"/>
        </w:rPr>
        <w:t>Kilisenin apsisinin hemen yanında bir su kuyusu bulunmaktadır</w:t>
      </w:r>
      <w:r>
        <w:rPr>
          <w:rFonts w:eastAsia="Calibri"/>
        </w:rPr>
        <w:t xml:space="preserve"> (Şekil 8).</w:t>
      </w:r>
      <w:r w:rsidRPr="007D34D8">
        <w:rPr>
          <w:rFonts w:eastAsia="Calibri"/>
        </w:rPr>
        <w:t xml:space="preserve"> Kuyu aşağıya doğru yaklaşık 20 m derinlikte olup, yeraltı şehrinin gerçek derinliğini göstermesi açısından önemlidir. Apsis ile su kuyusunun arasında, vaftiz için </w:t>
      </w:r>
      <w:proofErr w:type="spellStart"/>
      <w:r w:rsidRPr="007D34D8">
        <w:rPr>
          <w:rFonts w:eastAsia="Calibri"/>
        </w:rPr>
        <w:t>kullanılmıs</w:t>
      </w:r>
      <w:proofErr w:type="spellEnd"/>
      <w:r w:rsidRPr="007D34D8">
        <w:rPr>
          <w:rFonts w:eastAsia="Calibri"/>
        </w:rPr>
        <w:t xml:space="preserve">̧ </w:t>
      </w:r>
      <w:proofErr w:type="spellStart"/>
      <w:r w:rsidRPr="007D34D8">
        <w:rPr>
          <w:rFonts w:eastAsia="Calibri"/>
        </w:rPr>
        <w:t>olabileceği</w:t>
      </w:r>
      <w:proofErr w:type="spellEnd"/>
      <w:r w:rsidRPr="007D34D8">
        <w:rPr>
          <w:rFonts w:eastAsia="Calibri"/>
        </w:rPr>
        <w:t xml:space="preserve"> </w:t>
      </w:r>
      <w:proofErr w:type="spellStart"/>
      <w:r w:rsidRPr="007D34D8">
        <w:rPr>
          <w:rFonts w:eastAsia="Calibri"/>
        </w:rPr>
        <w:t>düşünülen</w:t>
      </w:r>
      <w:proofErr w:type="spellEnd"/>
      <w:r w:rsidRPr="007D34D8">
        <w:rPr>
          <w:rFonts w:eastAsia="Calibri"/>
        </w:rPr>
        <w:t xml:space="preserve"> bir oyuk bulunmaktadır</w:t>
      </w:r>
      <w:r>
        <w:rPr>
          <w:rFonts w:eastAsia="Calibri"/>
        </w:rPr>
        <w:t xml:space="preserve"> (Şekil 9).</w:t>
      </w:r>
    </w:p>
    <w:p w14:paraId="0D2AC6B4" w14:textId="77777777" w:rsidR="00914DCC" w:rsidRDefault="00914DCC" w:rsidP="0017453B">
      <w:pPr>
        <w:jc w:val="both"/>
        <w:rPr>
          <w:rFonts w:eastAsia="Calibri"/>
        </w:rPr>
      </w:pPr>
    </w:p>
    <w:p w14:paraId="3D158D9B" w14:textId="77777777" w:rsidR="00914DCC" w:rsidRDefault="00914DCC" w:rsidP="0017453B">
      <w:pPr>
        <w:jc w:val="both"/>
        <w:rPr>
          <w:rFonts w:eastAsia="Calibri"/>
        </w:rPr>
      </w:pPr>
    </w:p>
    <w:p w14:paraId="7EE63F35" w14:textId="76704478" w:rsidR="00914DCC" w:rsidRDefault="00914DCC" w:rsidP="0017453B">
      <w:pPr>
        <w:jc w:val="both"/>
        <w:rPr>
          <w:rFonts w:eastAsia="Calibri"/>
        </w:rPr>
      </w:pPr>
      <w:r>
        <w:rPr>
          <w:rFonts w:eastAsia="Calibri"/>
          <w:noProof/>
        </w:rPr>
        <w:lastRenderedPageBreak/>
        <w:drawing>
          <wp:inline distT="0" distB="0" distL="0" distR="0" wp14:anchorId="0A509636" wp14:editId="509F5A7A">
            <wp:extent cx="2819400" cy="3759200"/>
            <wp:effectExtent l="0" t="0" r="0" b="0"/>
            <wp:docPr id="136957257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72574" name="Resim 136957257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19400" cy="3759200"/>
                    </a:xfrm>
                    <a:prstGeom prst="rect">
                      <a:avLst/>
                    </a:prstGeom>
                  </pic:spPr>
                </pic:pic>
              </a:graphicData>
            </a:graphic>
          </wp:inline>
        </w:drawing>
      </w:r>
      <w:r>
        <w:rPr>
          <w:rFonts w:eastAsia="Calibri"/>
          <w:noProof/>
        </w:rPr>
        <w:drawing>
          <wp:inline distT="0" distB="0" distL="0" distR="0" wp14:anchorId="0C5ED164" wp14:editId="49CC72C6">
            <wp:extent cx="2590800" cy="3759378"/>
            <wp:effectExtent l="0" t="0" r="0" b="0"/>
            <wp:docPr id="2088825842" name="Resim 10" descr="mağara, zemin, iç mekan, ye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25842" name="Resim 10" descr="mağara, zemin, iç mekan, yer içeren bir resim&#10;&#10;Yapay zeka tarafından oluşturulan içerik yanlış olabilir."/>
                    <pic:cNvPicPr/>
                  </pic:nvPicPr>
                  <pic:blipFill>
                    <a:blip r:embed="rId109">
                      <a:extLst>
                        <a:ext uri="{28A0092B-C50C-407E-A947-70E740481C1C}">
                          <a14:useLocalDpi xmlns:a14="http://schemas.microsoft.com/office/drawing/2010/main" val="0"/>
                        </a:ext>
                      </a:extLst>
                    </a:blip>
                    <a:stretch>
                      <a:fillRect/>
                    </a:stretch>
                  </pic:blipFill>
                  <pic:spPr>
                    <a:xfrm>
                      <a:off x="0" y="0"/>
                      <a:ext cx="2595688" cy="3766470"/>
                    </a:xfrm>
                    <a:prstGeom prst="rect">
                      <a:avLst/>
                    </a:prstGeom>
                  </pic:spPr>
                </pic:pic>
              </a:graphicData>
            </a:graphic>
          </wp:inline>
        </w:drawing>
      </w:r>
    </w:p>
    <w:p w14:paraId="6213D488" w14:textId="77777777" w:rsidR="00914DCC" w:rsidRDefault="00914DCC" w:rsidP="0017453B">
      <w:pPr>
        <w:jc w:val="both"/>
        <w:rPr>
          <w:rFonts w:eastAsia="Calibri"/>
        </w:rPr>
      </w:pPr>
    </w:p>
    <w:p w14:paraId="2DCD3E0C" w14:textId="77777777" w:rsidR="00914DCC" w:rsidRDefault="00914DCC" w:rsidP="0017453B">
      <w:pPr>
        <w:jc w:val="both"/>
        <w:rPr>
          <w:rFonts w:eastAsia="Calibri"/>
        </w:rPr>
      </w:pPr>
    </w:p>
    <w:p w14:paraId="35D227A1" w14:textId="77777777" w:rsidR="00914DCC" w:rsidRPr="00B1712D" w:rsidRDefault="00914DCC" w:rsidP="0017453B">
      <w:pPr>
        <w:jc w:val="both"/>
        <w:rPr>
          <w:rFonts w:eastAsia="Calibri"/>
          <w:b/>
          <w:bCs/>
        </w:rPr>
      </w:pPr>
      <w:r w:rsidRPr="00B1712D">
        <w:rPr>
          <w:rFonts w:eastAsia="Calibri"/>
          <w:b/>
          <w:bCs/>
        </w:rPr>
        <w:t xml:space="preserve">Şekil </w:t>
      </w:r>
      <w:r>
        <w:rPr>
          <w:rFonts w:eastAsia="Calibri"/>
          <w:b/>
          <w:bCs/>
        </w:rPr>
        <w:t>8</w:t>
      </w:r>
      <w:r w:rsidRPr="00B1712D">
        <w:rPr>
          <w:rFonts w:eastAsia="Calibri"/>
          <w:b/>
          <w:bCs/>
        </w:rPr>
        <w:t xml:space="preserve">. </w:t>
      </w:r>
      <w:r>
        <w:rPr>
          <w:rFonts w:eastAsia="Calibri"/>
        </w:rPr>
        <w:t>Su Kuyusu</w:t>
      </w:r>
      <w:r w:rsidRPr="00B1712D">
        <w:rPr>
          <w:rFonts w:eastAsia="Calibri"/>
        </w:rPr>
        <w:t xml:space="preserve"> (Özaydın Sipahi,2024)</w:t>
      </w:r>
      <w:r>
        <w:rPr>
          <w:rFonts w:eastAsia="Calibri"/>
        </w:rPr>
        <w:t xml:space="preserve">                 </w:t>
      </w:r>
      <w:r w:rsidRPr="00B1712D">
        <w:rPr>
          <w:rFonts w:eastAsia="Calibri"/>
          <w:b/>
          <w:bCs/>
        </w:rPr>
        <w:t xml:space="preserve">Şekil </w:t>
      </w:r>
      <w:r>
        <w:rPr>
          <w:rFonts w:eastAsia="Calibri"/>
          <w:b/>
          <w:bCs/>
        </w:rPr>
        <w:t>9</w:t>
      </w:r>
      <w:r w:rsidRPr="00B1712D">
        <w:rPr>
          <w:rFonts w:eastAsia="Calibri"/>
          <w:b/>
          <w:bCs/>
        </w:rPr>
        <w:t xml:space="preserve">. </w:t>
      </w:r>
      <w:r>
        <w:rPr>
          <w:rFonts w:eastAsia="Calibri"/>
        </w:rPr>
        <w:t>Oyuk</w:t>
      </w:r>
      <w:r w:rsidRPr="00B1712D">
        <w:rPr>
          <w:rFonts w:eastAsia="Calibri"/>
        </w:rPr>
        <w:t xml:space="preserve"> (Özaydın Sipahi,2024)</w:t>
      </w:r>
    </w:p>
    <w:p w14:paraId="5A471A16" w14:textId="77777777" w:rsidR="00914DCC" w:rsidRPr="00B1712D" w:rsidRDefault="00914DCC" w:rsidP="0017453B">
      <w:pPr>
        <w:jc w:val="both"/>
        <w:rPr>
          <w:rFonts w:eastAsia="Calibri"/>
          <w:b/>
          <w:bCs/>
        </w:rPr>
      </w:pPr>
    </w:p>
    <w:p w14:paraId="74C0AC95" w14:textId="77777777" w:rsidR="00914DCC" w:rsidRDefault="00914DCC" w:rsidP="0017453B">
      <w:pPr>
        <w:jc w:val="both"/>
        <w:rPr>
          <w:rFonts w:eastAsia="Calibri"/>
        </w:rPr>
      </w:pPr>
    </w:p>
    <w:p w14:paraId="1EA9D43B" w14:textId="77777777" w:rsidR="00914DCC" w:rsidRDefault="00914DCC" w:rsidP="0017453B">
      <w:pPr>
        <w:jc w:val="both"/>
        <w:rPr>
          <w:rFonts w:eastAsia="Calibri"/>
        </w:rPr>
      </w:pPr>
      <w:r w:rsidRPr="00B1712D">
        <w:rPr>
          <w:rFonts w:eastAsia="Calibri"/>
        </w:rPr>
        <w:t>Kilise apsisinin karşısında bulunan küçük oyuk, aynı zamanda gizli bir baca işlevi görmekte olup, yeraltı şehrinin diğer bölümlerine geçiş imkânı sağlamaktadır. Bacanın her iki yanında yer alan küçük oyuklar ise tırmanışı kolaylaştırmak amacıyla yapılmıştır. Kilisede bulunan açıklıklarla üst katlara bağlantı sağlanmaktadır. Ancak şu an için üst katlar gezilebilir durumda değildir. Mazı yeraltı şehrinin gezilebilir mekanlarına bakıldığında yatay bir mimariye sahip olduğu görülmektedir</w:t>
      </w:r>
      <w:r>
        <w:rPr>
          <w:rFonts w:eastAsia="Calibri"/>
        </w:rPr>
        <w:t xml:space="preserve"> (</w:t>
      </w:r>
      <w:proofErr w:type="spellStart"/>
      <w:r>
        <w:rPr>
          <w:rFonts w:eastAsia="Calibri"/>
        </w:rPr>
        <w:t>Sınıksaran</w:t>
      </w:r>
      <w:proofErr w:type="spellEnd"/>
      <w:r>
        <w:rPr>
          <w:rFonts w:eastAsia="Calibri"/>
        </w:rPr>
        <w:t>, 2019) (Şekil 10).</w:t>
      </w:r>
    </w:p>
    <w:p w14:paraId="743F97E6" w14:textId="77777777" w:rsidR="00914DCC" w:rsidRDefault="00914DCC" w:rsidP="0017453B">
      <w:pPr>
        <w:jc w:val="both"/>
        <w:rPr>
          <w:rFonts w:eastAsia="Calibri"/>
        </w:rPr>
      </w:pPr>
    </w:p>
    <w:p w14:paraId="46B342CC" w14:textId="77777777" w:rsidR="00914DCC" w:rsidRDefault="00914DCC" w:rsidP="0017453B">
      <w:pPr>
        <w:jc w:val="both"/>
        <w:rPr>
          <w:rFonts w:eastAsia="Calibri"/>
        </w:rPr>
      </w:pPr>
    </w:p>
    <w:p w14:paraId="661669B1" w14:textId="77777777" w:rsidR="00914DCC" w:rsidRDefault="00914DCC" w:rsidP="0017453B">
      <w:pPr>
        <w:jc w:val="center"/>
        <w:rPr>
          <w:rFonts w:eastAsia="Calibri"/>
        </w:rPr>
      </w:pPr>
      <w:r>
        <w:rPr>
          <w:rFonts w:eastAsia="Calibri"/>
          <w:noProof/>
        </w:rPr>
        <w:lastRenderedPageBreak/>
        <w:drawing>
          <wp:inline distT="0" distB="0" distL="0" distR="0" wp14:anchorId="3655181D" wp14:editId="435BFDEE">
            <wp:extent cx="2708910" cy="3611880"/>
            <wp:effectExtent l="0" t="0" r="0" b="7620"/>
            <wp:docPr id="1912386037" name="Resim 11" descr="doğa, mağar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86037" name="Resim 11" descr="doğa, mağara içeren bir resim&#10;&#10;Yapay zeka tarafından oluşturulan içerik yanlış olabilir."/>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08910" cy="3611880"/>
                    </a:xfrm>
                    <a:prstGeom prst="rect">
                      <a:avLst/>
                    </a:prstGeom>
                  </pic:spPr>
                </pic:pic>
              </a:graphicData>
            </a:graphic>
          </wp:inline>
        </w:drawing>
      </w:r>
    </w:p>
    <w:p w14:paraId="04E1A67D" w14:textId="77777777" w:rsidR="00914DCC" w:rsidRDefault="00914DCC" w:rsidP="0017453B">
      <w:pPr>
        <w:jc w:val="both"/>
        <w:rPr>
          <w:rFonts w:eastAsia="Calibri"/>
        </w:rPr>
      </w:pPr>
    </w:p>
    <w:p w14:paraId="5FBCAE33" w14:textId="4BFFAEBF" w:rsidR="00914DCC" w:rsidRPr="00B1712D" w:rsidRDefault="00914DCC" w:rsidP="0017453B">
      <w:pPr>
        <w:jc w:val="center"/>
        <w:rPr>
          <w:rFonts w:eastAsia="Calibri"/>
          <w:b/>
          <w:bCs/>
        </w:rPr>
      </w:pPr>
      <w:r w:rsidRPr="00B1712D">
        <w:rPr>
          <w:rFonts w:eastAsia="Calibri"/>
          <w:b/>
          <w:bCs/>
        </w:rPr>
        <w:t xml:space="preserve">Şekil </w:t>
      </w:r>
      <w:r>
        <w:rPr>
          <w:rFonts w:eastAsia="Calibri"/>
          <w:b/>
          <w:bCs/>
        </w:rPr>
        <w:t>10</w:t>
      </w:r>
      <w:r w:rsidRPr="00B1712D">
        <w:rPr>
          <w:rFonts w:eastAsia="Calibri"/>
          <w:b/>
          <w:bCs/>
        </w:rPr>
        <w:t xml:space="preserve">. </w:t>
      </w:r>
      <w:r>
        <w:rPr>
          <w:rFonts w:eastAsia="Calibri"/>
        </w:rPr>
        <w:t>Havalandırma Bacası</w:t>
      </w:r>
      <w:r w:rsidRPr="00B1712D">
        <w:rPr>
          <w:rFonts w:eastAsia="Calibri"/>
        </w:rPr>
        <w:t xml:space="preserve"> (Özaydın Sipahi,2024)</w:t>
      </w:r>
    </w:p>
    <w:p w14:paraId="6473BB7C" w14:textId="77777777" w:rsidR="00914DCC" w:rsidRPr="00B1712D" w:rsidRDefault="00914DCC" w:rsidP="0017453B">
      <w:pPr>
        <w:jc w:val="both"/>
        <w:rPr>
          <w:rFonts w:eastAsia="Calibri"/>
        </w:rPr>
      </w:pPr>
    </w:p>
    <w:p w14:paraId="46EC5F89" w14:textId="77777777" w:rsidR="00914DCC" w:rsidRDefault="00914DCC" w:rsidP="0017453B">
      <w:pPr>
        <w:jc w:val="both"/>
        <w:rPr>
          <w:rFonts w:eastAsia="Calibri"/>
        </w:rPr>
      </w:pPr>
    </w:p>
    <w:p w14:paraId="7C24F4B2" w14:textId="6C96EB2C" w:rsidR="00914DCC" w:rsidRPr="0017453B" w:rsidRDefault="00914DCC" w:rsidP="0017453B">
      <w:pPr>
        <w:jc w:val="both"/>
        <w:rPr>
          <w:b/>
          <w:bCs/>
        </w:rPr>
      </w:pPr>
      <w:r w:rsidRPr="00B1712D">
        <w:rPr>
          <w:b/>
          <w:bCs/>
        </w:rPr>
        <w:t>Sonuç</w:t>
      </w:r>
    </w:p>
    <w:p w14:paraId="46F49472" w14:textId="74C8EE1E" w:rsidR="00914DCC" w:rsidRDefault="00914DCC" w:rsidP="0017453B">
      <w:pPr>
        <w:jc w:val="both"/>
        <w:rPr>
          <w:rFonts w:eastAsia="Calibri"/>
        </w:rPr>
      </w:pPr>
      <w:r w:rsidRPr="00B1712D">
        <w:rPr>
          <w:rFonts w:eastAsia="Calibri"/>
        </w:rPr>
        <w:t>Mazı Yeraltı Şehri'nde bulunan kilise mekânı, Kapadokya bölgesindeki diğer yeraltı şehirlerinde yer alan kiliselerle benzerlikler ve farklılıklar göstermektedir. Kilise, tek nefli plan şeması ile bölgedeki Kaymaklı ve Derinkuyu gibi yeraltı şehirlerinde yer alan kiliselere benzemektedir.</w:t>
      </w:r>
      <w:r>
        <w:rPr>
          <w:rFonts w:eastAsia="Calibri"/>
        </w:rPr>
        <w:t xml:space="preserve"> Kaymaklı Yeraltı Şehri’ndeki kilise apsisi mekânın kısa kenarında konumlanırken burada uzun kenar üzerinde konumlanmaktadır.</w:t>
      </w:r>
      <w:r w:rsidRPr="00B1712D">
        <w:rPr>
          <w:rFonts w:eastAsia="Calibri"/>
        </w:rPr>
        <w:t xml:space="preserve"> Mazı’daki kilisenin dikkat çekici özelliklerinden biri, apsis karşısındaki gizli bacanın yeraltı şehrinin diğer bölümlerine bağlantı sağlamasıdır. Bacaların gizli geçiş olarak kullanılması ve oturma platformları gibi unsurlar, buranın hem ibadet hem de barınma amaçlı kullanıldığını ortaya koymaktadır. Ayrıca kilise mekânı diğer yeraltı şehirlerinde daha aşağıya ve girişe uzak yerlere konumlandırılırken Mazı yeraltı şehrinde kilise girişe daha yakın konumlanmıştır. Bu da kilisenin daha erişilebilir konumda olduğunu göstermektedir. Kilise o dönemde yaşamış olan topluluklar hakkında bilgi edinmek için önemli bir veri kaynağı olmuştur.</w:t>
      </w:r>
    </w:p>
    <w:p w14:paraId="23A504DE" w14:textId="77777777" w:rsidR="0017453B" w:rsidRDefault="0017453B" w:rsidP="0017453B">
      <w:pPr>
        <w:jc w:val="both"/>
        <w:rPr>
          <w:rFonts w:eastAsia="Calibri"/>
        </w:rPr>
      </w:pPr>
    </w:p>
    <w:p w14:paraId="1AD6499D" w14:textId="0CB886E1" w:rsidR="00914DCC" w:rsidRPr="0017453B" w:rsidRDefault="00914DCC" w:rsidP="0017453B">
      <w:pPr>
        <w:jc w:val="both"/>
        <w:rPr>
          <w:rFonts w:eastAsia="Calibri"/>
          <w:b/>
          <w:bCs/>
        </w:rPr>
      </w:pPr>
      <w:r w:rsidRPr="00F06977">
        <w:rPr>
          <w:rFonts w:eastAsia="Calibri"/>
          <w:b/>
          <w:bCs/>
        </w:rPr>
        <w:t>Kaynakça</w:t>
      </w:r>
    </w:p>
    <w:p w14:paraId="29D2D132" w14:textId="77777777" w:rsidR="00914DCC" w:rsidRPr="00F06977" w:rsidRDefault="00914DCC">
      <w:pPr>
        <w:pStyle w:val="Kaynaka"/>
        <w:numPr>
          <w:ilvl w:val="0"/>
          <w:numId w:val="40"/>
        </w:numPr>
        <w:spacing w:after="0" w:line="240" w:lineRule="auto"/>
        <w:rPr>
          <w:rFonts w:ascii="Times New Roman" w:hAnsi="Times New Roman" w:cs="Times New Roman"/>
        </w:rPr>
      </w:pPr>
      <w:r w:rsidRPr="00F06977">
        <w:rPr>
          <w:rFonts w:ascii="Times New Roman" w:hAnsi="Times New Roman" w:cs="Times New Roman"/>
        </w:rPr>
        <w:t xml:space="preserve">Aydan, Ö., &amp; </w:t>
      </w:r>
      <w:proofErr w:type="spellStart"/>
      <w:r w:rsidRPr="00F06977">
        <w:rPr>
          <w:rFonts w:ascii="Times New Roman" w:hAnsi="Times New Roman" w:cs="Times New Roman"/>
        </w:rPr>
        <w:t>Ulusay</w:t>
      </w:r>
      <w:proofErr w:type="spellEnd"/>
      <w:r w:rsidRPr="00F06977">
        <w:rPr>
          <w:rFonts w:ascii="Times New Roman" w:hAnsi="Times New Roman" w:cs="Times New Roman"/>
        </w:rPr>
        <w:t xml:space="preserve">, R. (2003). </w:t>
      </w:r>
      <w:proofErr w:type="spellStart"/>
      <w:r w:rsidRPr="00F06977">
        <w:rPr>
          <w:rFonts w:ascii="Times New Roman" w:hAnsi="Times New Roman" w:cs="Times New Roman"/>
        </w:rPr>
        <w:t>Geotechnical</w:t>
      </w:r>
      <w:proofErr w:type="spellEnd"/>
      <w:r w:rsidRPr="00F06977">
        <w:rPr>
          <w:rFonts w:ascii="Times New Roman" w:hAnsi="Times New Roman" w:cs="Times New Roman"/>
        </w:rPr>
        <w:t xml:space="preserve"> </w:t>
      </w:r>
      <w:proofErr w:type="spellStart"/>
      <w:r w:rsidRPr="00F06977">
        <w:rPr>
          <w:rFonts w:ascii="Times New Roman" w:hAnsi="Times New Roman" w:cs="Times New Roman"/>
        </w:rPr>
        <w:t>and</w:t>
      </w:r>
      <w:proofErr w:type="spellEnd"/>
      <w:r w:rsidRPr="00F06977">
        <w:rPr>
          <w:rFonts w:ascii="Times New Roman" w:hAnsi="Times New Roman" w:cs="Times New Roman"/>
        </w:rPr>
        <w:t xml:space="preserve"> </w:t>
      </w:r>
      <w:proofErr w:type="spellStart"/>
      <w:r w:rsidRPr="00F06977">
        <w:rPr>
          <w:rFonts w:ascii="Times New Roman" w:hAnsi="Times New Roman" w:cs="Times New Roman"/>
        </w:rPr>
        <w:t>geoenvironmental</w:t>
      </w:r>
      <w:proofErr w:type="spellEnd"/>
      <w:r w:rsidRPr="00F06977">
        <w:rPr>
          <w:rFonts w:ascii="Times New Roman" w:hAnsi="Times New Roman" w:cs="Times New Roman"/>
        </w:rPr>
        <w:t xml:space="preserve"> </w:t>
      </w:r>
      <w:proofErr w:type="spellStart"/>
      <w:r w:rsidRPr="00F06977">
        <w:rPr>
          <w:rFonts w:ascii="Times New Roman" w:hAnsi="Times New Roman" w:cs="Times New Roman"/>
        </w:rPr>
        <w:t>characteristics</w:t>
      </w:r>
      <w:proofErr w:type="spellEnd"/>
      <w:r w:rsidRPr="00F06977">
        <w:rPr>
          <w:rFonts w:ascii="Times New Roman" w:hAnsi="Times New Roman" w:cs="Times New Roman"/>
        </w:rPr>
        <w:t xml:space="preserve"> of </w:t>
      </w:r>
      <w:proofErr w:type="spellStart"/>
      <w:r w:rsidRPr="00F06977">
        <w:rPr>
          <w:rFonts w:ascii="Times New Roman" w:hAnsi="Times New Roman" w:cs="Times New Roman"/>
        </w:rPr>
        <w:t>man-made</w:t>
      </w:r>
      <w:proofErr w:type="spellEnd"/>
      <w:r w:rsidRPr="00F06977">
        <w:rPr>
          <w:rFonts w:ascii="Times New Roman" w:hAnsi="Times New Roman" w:cs="Times New Roman"/>
        </w:rPr>
        <w:t xml:space="preserve"> underground </w:t>
      </w:r>
      <w:proofErr w:type="spellStart"/>
      <w:r w:rsidRPr="00F06977">
        <w:rPr>
          <w:rFonts w:ascii="Times New Roman" w:hAnsi="Times New Roman" w:cs="Times New Roman"/>
        </w:rPr>
        <w:t>structures</w:t>
      </w:r>
      <w:proofErr w:type="spellEnd"/>
      <w:r w:rsidRPr="00F06977">
        <w:rPr>
          <w:rFonts w:ascii="Times New Roman" w:hAnsi="Times New Roman" w:cs="Times New Roman"/>
        </w:rPr>
        <w:t xml:space="preserve"> in </w:t>
      </w:r>
      <w:proofErr w:type="spellStart"/>
      <w:r w:rsidRPr="00F06977">
        <w:rPr>
          <w:rFonts w:ascii="Times New Roman" w:hAnsi="Times New Roman" w:cs="Times New Roman"/>
        </w:rPr>
        <w:t>Cappadocia</w:t>
      </w:r>
      <w:proofErr w:type="spellEnd"/>
      <w:r w:rsidRPr="00F06977">
        <w:rPr>
          <w:rFonts w:ascii="Times New Roman" w:hAnsi="Times New Roman" w:cs="Times New Roman"/>
        </w:rPr>
        <w:t xml:space="preserve">, </w:t>
      </w:r>
      <w:proofErr w:type="spellStart"/>
      <w:r w:rsidRPr="00F06977">
        <w:rPr>
          <w:rFonts w:ascii="Times New Roman" w:hAnsi="Times New Roman" w:cs="Times New Roman"/>
        </w:rPr>
        <w:t>Turkey</w:t>
      </w:r>
      <w:proofErr w:type="spellEnd"/>
      <w:r w:rsidRPr="00F06977">
        <w:rPr>
          <w:rFonts w:ascii="Times New Roman" w:hAnsi="Times New Roman" w:cs="Times New Roman"/>
        </w:rPr>
        <w:t xml:space="preserve">. </w:t>
      </w:r>
      <w:proofErr w:type="spellStart"/>
      <w:r w:rsidRPr="00F06977">
        <w:rPr>
          <w:rFonts w:ascii="Times New Roman" w:hAnsi="Times New Roman" w:cs="Times New Roman"/>
          <w:i/>
          <w:iCs/>
        </w:rPr>
        <w:t>Engineering</w:t>
      </w:r>
      <w:proofErr w:type="spellEnd"/>
      <w:r w:rsidRPr="00F06977">
        <w:rPr>
          <w:rFonts w:ascii="Times New Roman" w:hAnsi="Times New Roman" w:cs="Times New Roman"/>
          <w:i/>
          <w:iCs/>
        </w:rPr>
        <w:t xml:space="preserve"> </w:t>
      </w:r>
      <w:proofErr w:type="spellStart"/>
      <w:r w:rsidRPr="00F06977">
        <w:rPr>
          <w:rFonts w:ascii="Times New Roman" w:hAnsi="Times New Roman" w:cs="Times New Roman"/>
          <w:i/>
          <w:iCs/>
        </w:rPr>
        <w:t>Geology</w:t>
      </w:r>
      <w:proofErr w:type="spellEnd"/>
      <w:r w:rsidRPr="00F06977">
        <w:rPr>
          <w:rFonts w:ascii="Times New Roman" w:hAnsi="Times New Roman" w:cs="Times New Roman"/>
        </w:rPr>
        <w:t xml:space="preserve">, </w:t>
      </w:r>
      <w:r w:rsidRPr="00F06977">
        <w:rPr>
          <w:rFonts w:ascii="Times New Roman" w:hAnsi="Times New Roman" w:cs="Times New Roman"/>
          <w:i/>
          <w:iCs/>
        </w:rPr>
        <w:t>69</w:t>
      </w:r>
      <w:r w:rsidRPr="00F06977">
        <w:rPr>
          <w:rFonts w:ascii="Times New Roman" w:hAnsi="Times New Roman" w:cs="Times New Roman"/>
        </w:rPr>
        <w:t xml:space="preserve">(3-4), </w:t>
      </w:r>
      <w:proofErr w:type="spellStart"/>
      <w:r w:rsidRPr="00F06977">
        <w:rPr>
          <w:rFonts w:ascii="Times New Roman" w:hAnsi="Times New Roman" w:cs="Times New Roman"/>
        </w:rPr>
        <w:t>Article</w:t>
      </w:r>
      <w:proofErr w:type="spellEnd"/>
      <w:r w:rsidRPr="00F06977">
        <w:rPr>
          <w:rFonts w:ascii="Times New Roman" w:hAnsi="Times New Roman" w:cs="Times New Roman"/>
        </w:rPr>
        <w:t xml:space="preserve"> 3-4. https://doi.org/10.1016/S0013-7952(02)00285-5</w:t>
      </w:r>
    </w:p>
    <w:p w14:paraId="17B037BE" w14:textId="77777777" w:rsidR="00914DCC" w:rsidRPr="00F06977" w:rsidRDefault="00914DCC">
      <w:pPr>
        <w:pStyle w:val="Kaynaka"/>
        <w:numPr>
          <w:ilvl w:val="0"/>
          <w:numId w:val="40"/>
        </w:numPr>
        <w:spacing w:after="0" w:line="240" w:lineRule="auto"/>
        <w:rPr>
          <w:rFonts w:ascii="Times New Roman" w:hAnsi="Times New Roman" w:cs="Times New Roman"/>
        </w:rPr>
      </w:pPr>
      <w:r w:rsidRPr="00F06977">
        <w:rPr>
          <w:rFonts w:eastAsia="Calibri"/>
        </w:rPr>
        <w:fldChar w:fldCharType="begin"/>
      </w:r>
      <w:r w:rsidRPr="00F06977">
        <w:rPr>
          <w:rFonts w:eastAsia="Calibri"/>
        </w:rPr>
        <w:instrText xml:space="preserve"> ADDIN ZOTERO_BIBL {"uncited":[],"omitted":[],"custom":[]} CSL_BIBLIOGRAPHY </w:instrText>
      </w:r>
      <w:r w:rsidRPr="00F06977">
        <w:rPr>
          <w:rFonts w:eastAsia="Calibri"/>
        </w:rPr>
        <w:fldChar w:fldCharType="separate"/>
      </w:r>
      <w:r w:rsidRPr="00F06977">
        <w:rPr>
          <w:rFonts w:ascii="Times New Roman" w:hAnsi="Times New Roman" w:cs="Times New Roman"/>
        </w:rPr>
        <w:t xml:space="preserve">Demirtaş, İ., (2015). </w:t>
      </w:r>
      <w:r w:rsidRPr="00F06977">
        <w:rPr>
          <w:rFonts w:ascii="Times New Roman" w:hAnsi="Times New Roman" w:cs="Times New Roman"/>
          <w:i/>
          <w:iCs/>
        </w:rPr>
        <w:t>Kaymakli Yeralti Şehri̇</w:t>
      </w:r>
      <w:r w:rsidRPr="00F06977">
        <w:rPr>
          <w:rFonts w:ascii="Times New Roman" w:hAnsi="Times New Roman" w:cs="Times New Roman"/>
        </w:rPr>
        <w:t>,</w:t>
      </w:r>
      <w:r>
        <w:rPr>
          <w:rFonts w:ascii="Times New Roman" w:hAnsi="Times New Roman" w:cs="Times New Roman"/>
        </w:rPr>
        <w:t xml:space="preserve"> </w:t>
      </w:r>
      <w:r w:rsidRPr="00F06977">
        <w:rPr>
          <w:rFonts w:ascii="Times New Roman" w:hAnsi="Times New Roman" w:cs="Times New Roman"/>
        </w:rPr>
        <w:t>Yüksek Lisans</w:t>
      </w:r>
      <w:r>
        <w:rPr>
          <w:rFonts w:ascii="Times New Roman" w:hAnsi="Times New Roman" w:cs="Times New Roman"/>
        </w:rPr>
        <w:t xml:space="preserve"> Tezi, </w:t>
      </w:r>
      <w:r w:rsidRPr="00F06977">
        <w:rPr>
          <w:rFonts w:ascii="Times New Roman" w:hAnsi="Times New Roman" w:cs="Times New Roman"/>
        </w:rPr>
        <w:t>Atatürk Üniversitesi, Sosyal Bilimler Enstitüsü, Erzurum</w:t>
      </w:r>
      <w:r>
        <w:rPr>
          <w:rFonts w:ascii="Times New Roman" w:hAnsi="Times New Roman" w:cs="Times New Roman"/>
        </w:rPr>
        <w:t>,</w:t>
      </w:r>
      <w:r w:rsidRPr="00F06977">
        <w:rPr>
          <w:rFonts w:ascii="Times New Roman" w:hAnsi="Times New Roman" w:cs="Times New Roman"/>
        </w:rPr>
        <w:t xml:space="preserve"> 2015.</w:t>
      </w:r>
    </w:p>
    <w:p w14:paraId="5E573FED" w14:textId="77777777" w:rsidR="00914DCC" w:rsidRDefault="00914DCC">
      <w:pPr>
        <w:pStyle w:val="ListeParagraf"/>
        <w:numPr>
          <w:ilvl w:val="0"/>
          <w:numId w:val="40"/>
        </w:numPr>
        <w:rPr>
          <w:rFonts w:eastAsia="Calibri"/>
        </w:rPr>
      </w:pPr>
      <w:r w:rsidRPr="00F06977">
        <w:rPr>
          <w:rFonts w:eastAsia="Calibri"/>
        </w:rPr>
        <w:fldChar w:fldCharType="end"/>
      </w:r>
      <w:r w:rsidRPr="0037214E">
        <w:rPr>
          <w:rFonts w:eastAsia="Calibri"/>
        </w:rPr>
        <w:t xml:space="preserve">Komisyon, (1989), Kapadokya Yeraltı </w:t>
      </w:r>
      <w:proofErr w:type="spellStart"/>
      <w:r w:rsidRPr="0037214E">
        <w:rPr>
          <w:rFonts w:eastAsia="Calibri"/>
        </w:rPr>
        <w:t>Şehirleri</w:t>
      </w:r>
      <w:proofErr w:type="spellEnd"/>
      <w:r w:rsidRPr="0037214E">
        <w:rPr>
          <w:rFonts w:eastAsia="Calibri"/>
        </w:rPr>
        <w:t xml:space="preserve">, Ankara: Kültür ve Turizm </w:t>
      </w:r>
      <w:proofErr w:type="spellStart"/>
      <w:r w:rsidRPr="0037214E">
        <w:rPr>
          <w:rFonts w:eastAsia="Calibri"/>
        </w:rPr>
        <w:t>Bakanlığı</w:t>
      </w:r>
      <w:proofErr w:type="spellEnd"/>
      <w:r w:rsidRPr="0037214E">
        <w:rPr>
          <w:rFonts w:eastAsia="Calibri"/>
        </w:rPr>
        <w:t xml:space="preserve"> Yayınları, 14.</w:t>
      </w:r>
    </w:p>
    <w:p w14:paraId="543C4103" w14:textId="77777777" w:rsidR="00914DCC" w:rsidRDefault="00914DCC" w:rsidP="0017453B">
      <w:pPr>
        <w:jc w:val="both"/>
        <w:rPr>
          <w:rFonts w:eastAsia="Calibri"/>
        </w:rPr>
      </w:pPr>
    </w:p>
    <w:p w14:paraId="2696E8BB" w14:textId="77777777" w:rsidR="00914DCC" w:rsidRPr="00021193" w:rsidRDefault="00914DCC">
      <w:pPr>
        <w:pStyle w:val="ListeParagraf"/>
        <w:numPr>
          <w:ilvl w:val="0"/>
          <w:numId w:val="40"/>
        </w:numPr>
        <w:jc w:val="both"/>
        <w:rPr>
          <w:rFonts w:eastAsia="Calibri"/>
        </w:rPr>
      </w:pPr>
      <w:r w:rsidRPr="00021193">
        <w:rPr>
          <w:rFonts w:eastAsia="Calibri"/>
        </w:rPr>
        <w:lastRenderedPageBreak/>
        <w:t xml:space="preserve">Mutlu, S. A., (2020). Mazı Yeraltı Şehri, İçinde, Kozak, N. (Editör), Online Türkiye Turizm Ansiklopedisi, https://turkiyeturizmansiklopedisi.com/mazi-yeralti-sehri </w:t>
      </w:r>
      <w:bookmarkStart w:id="53" w:name="_Hlk191587144"/>
      <w:r w:rsidRPr="00021193">
        <w:rPr>
          <w:rFonts w:eastAsia="Calibri"/>
        </w:rPr>
        <w:t>(Erişim tarihi: 26.02.2025).</w:t>
      </w:r>
    </w:p>
    <w:bookmarkEnd w:id="53"/>
    <w:p w14:paraId="066B2335" w14:textId="77777777" w:rsidR="00914DCC" w:rsidRDefault="00914DCC" w:rsidP="0017453B">
      <w:pPr>
        <w:jc w:val="both"/>
        <w:rPr>
          <w:rFonts w:eastAsia="Calibri"/>
        </w:rPr>
      </w:pPr>
    </w:p>
    <w:p w14:paraId="5732507D" w14:textId="77777777" w:rsidR="00914DCC" w:rsidRPr="00021193" w:rsidRDefault="00914DCC">
      <w:pPr>
        <w:pStyle w:val="ListeParagraf"/>
        <w:numPr>
          <w:ilvl w:val="0"/>
          <w:numId w:val="40"/>
        </w:numPr>
        <w:jc w:val="both"/>
        <w:rPr>
          <w:rFonts w:eastAsia="Calibri"/>
        </w:rPr>
      </w:pPr>
      <w:r w:rsidRPr="00021193">
        <w:rPr>
          <w:rFonts w:eastAsia="Calibri"/>
        </w:rPr>
        <w:t xml:space="preserve">Özata Ş., (2015). </w:t>
      </w:r>
      <w:r w:rsidRPr="00021193">
        <w:rPr>
          <w:rFonts w:eastAsia="Calibri"/>
          <w:i/>
          <w:iCs/>
        </w:rPr>
        <w:t xml:space="preserve">Kapadokya </w:t>
      </w:r>
      <w:proofErr w:type="spellStart"/>
      <w:r w:rsidRPr="00021193">
        <w:rPr>
          <w:rFonts w:eastAsia="Calibri"/>
          <w:i/>
          <w:iCs/>
        </w:rPr>
        <w:t>Bölgesı</w:t>
      </w:r>
      <w:proofErr w:type="spellEnd"/>
      <w:r w:rsidRPr="00021193">
        <w:rPr>
          <w:rFonts w:eastAsia="Calibri"/>
          <w:i/>
          <w:iCs/>
        </w:rPr>
        <w:t xml:space="preserve">̇ Kaya Oyma Yapı Sorunları ve </w:t>
      </w:r>
      <w:proofErr w:type="spellStart"/>
      <w:r w:rsidRPr="00021193">
        <w:rPr>
          <w:rFonts w:eastAsia="Calibri"/>
          <w:i/>
          <w:iCs/>
        </w:rPr>
        <w:t>Çözüm</w:t>
      </w:r>
      <w:proofErr w:type="spellEnd"/>
      <w:r w:rsidRPr="00021193">
        <w:rPr>
          <w:rFonts w:eastAsia="Calibri"/>
          <w:i/>
          <w:iCs/>
        </w:rPr>
        <w:t xml:space="preserve"> </w:t>
      </w:r>
      <w:proofErr w:type="spellStart"/>
      <w:r w:rsidRPr="00021193">
        <w:rPr>
          <w:rFonts w:eastAsia="Calibri"/>
          <w:i/>
          <w:iCs/>
        </w:rPr>
        <w:t>Önerı̇lerı</w:t>
      </w:r>
      <w:proofErr w:type="spellEnd"/>
      <w:r w:rsidRPr="00021193">
        <w:rPr>
          <w:rFonts w:eastAsia="Calibri"/>
          <w:i/>
          <w:iCs/>
        </w:rPr>
        <w:t xml:space="preserve">̇, </w:t>
      </w:r>
      <w:r w:rsidRPr="00021193">
        <w:rPr>
          <w:rFonts w:eastAsia="Calibri"/>
        </w:rPr>
        <w:t>Yüksek Lisans Tezi, Yıldız Teknik Üniversitesi, Fen Bilimleri Enstitüsü, İstanbul, 2015.</w:t>
      </w:r>
    </w:p>
    <w:p w14:paraId="4046BA01" w14:textId="77777777" w:rsidR="00914DCC" w:rsidRDefault="00914DCC" w:rsidP="0017453B">
      <w:pPr>
        <w:jc w:val="both"/>
        <w:rPr>
          <w:rFonts w:eastAsia="Calibri"/>
        </w:rPr>
      </w:pPr>
    </w:p>
    <w:p w14:paraId="745A9619" w14:textId="77777777" w:rsidR="00914DCC" w:rsidRPr="00021193" w:rsidRDefault="00914DCC">
      <w:pPr>
        <w:pStyle w:val="ListeParagraf"/>
        <w:numPr>
          <w:ilvl w:val="0"/>
          <w:numId w:val="40"/>
        </w:numPr>
        <w:jc w:val="both"/>
        <w:rPr>
          <w:rFonts w:eastAsia="Calibri"/>
        </w:rPr>
      </w:pPr>
      <w:proofErr w:type="spellStart"/>
      <w:r w:rsidRPr="00021193">
        <w:rPr>
          <w:rFonts w:eastAsia="Calibri"/>
        </w:rPr>
        <w:t>Sınıksaran</w:t>
      </w:r>
      <w:proofErr w:type="spellEnd"/>
      <w:r w:rsidRPr="00021193">
        <w:rPr>
          <w:rFonts w:eastAsia="Calibri"/>
        </w:rPr>
        <w:t xml:space="preserve">, M., (2019). </w:t>
      </w:r>
      <w:proofErr w:type="spellStart"/>
      <w:r w:rsidRPr="00021193">
        <w:rPr>
          <w:rFonts w:eastAsia="Calibri"/>
          <w:i/>
          <w:iCs/>
        </w:rPr>
        <w:t>Nevşehı̇r</w:t>
      </w:r>
      <w:proofErr w:type="spellEnd"/>
      <w:r w:rsidRPr="00021193">
        <w:rPr>
          <w:rFonts w:eastAsia="Calibri"/>
          <w:i/>
          <w:iCs/>
        </w:rPr>
        <w:t xml:space="preserve"> </w:t>
      </w:r>
      <w:proofErr w:type="gramStart"/>
      <w:r w:rsidRPr="00021193">
        <w:rPr>
          <w:rFonts w:eastAsia="Calibri"/>
          <w:i/>
          <w:iCs/>
        </w:rPr>
        <w:t>Ve</w:t>
      </w:r>
      <w:proofErr w:type="gramEnd"/>
      <w:r w:rsidRPr="00021193">
        <w:rPr>
          <w:rFonts w:eastAsia="Calibri"/>
          <w:i/>
          <w:iCs/>
        </w:rPr>
        <w:t xml:space="preserve"> </w:t>
      </w:r>
      <w:proofErr w:type="spellStart"/>
      <w:r w:rsidRPr="00021193">
        <w:rPr>
          <w:rFonts w:eastAsia="Calibri"/>
          <w:i/>
          <w:iCs/>
        </w:rPr>
        <w:t>Cı̇varı</w:t>
      </w:r>
      <w:proofErr w:type="spellEnd"/>
      <w:r w:rsidRPr="00021193">
        <w:rPr>
          <w:rFonts w:eastAsia="Calibri"/>
          <w:i/>
          <w:iCs/>
        </w:rPr>
        <w:t xml:space="preserve"> Yeraltı </w:t>
      </w:r>
      <w:proofErr w:type="spellStart"/>
      <w:r w:rsidRPr="00021193">
        <w:rPr>
          <w:rFonts w:eastAsia="Calibri"/>
          <w:i/>
          <w:iCs/>
        </w:rPr>
        <w:t>Şehı̇rlerı̇nı̇n</w:t>
      </w:r>
      <w:proofErr w:type="spellEnd"/>
      <w:r w:rsidRPr="00021193">
        <w:rPr>
          <w:rFonts w:eastAsia="Calibri"/>
          <w:i/>
          <w:iCs/>
        </w:rPr>
        <w:t xml:space="preserve"> Genel </w:t>
      </w:r>
      <w:proofErr w:type="spellStart"/>
      <w:r w:rsidRPr="00021193">
        <w:rPr>
          <w:rFonts w:eastAsia="Calibri"/>
          <w:i/>
          <w:iCs/>
        </w:rPr>
        <w:t>Özellı̇klerı</w:t>
      </w:r>
      <w:proofErr w:type="spellEnd"/>
      <w:r w:rsidRPr="00021193">
        <w:rPr>
          <w:rFonts w:eastAsia="Calibri"/>
          <w:i/>
          <w:iCs/>
        </w:rPr>
        <w:t xml:space="preserve">̇, </w:t>
      </w:r>
      <w:r w:rsidRPr="00021193">
        <w:rPr>
          <w:rFonts w:eastAsia="Calibri"/>
        </w:rPr>
        <w:t>Yüksek Lisans Tezi, Gazi Üniversitesi, Sosyal Bilimler Enstitüsü, Ankara, 2019.</w:t>
      </w:r>
    </w:p>
    <w:p w14:paraId="523D1FD6" w14:textId="77777777" w:rsidR="00914DCC" w:rsidRPr="009F1668" w:rsidRDefault="00914DCC" w:rsidP="0017453B">
      <w:pPr>
        <w:jc w:val="both"/>
        <w:rPr>
          <w:rFonts w:eastAsia="Calibri"/>
        </w:rPr>
      </w:pPr>
    </w:p>
    <w:p w14:paraId="0DFB3E05" w14:textId="77777777" w:rsidR="00914DCC" w:rsidRPr="00021193" w:rsidRDefault="00914DCC">
      <w:pPr>
        <w:pStyle w:val="ListeParagraf"/>
        <w:numPr>
          <w:ilvl w:val="0"/>
          <w:numId w:val="40"/>
        </w:numPr>
        <w:jc w:val="both"/>
        <w:rPr>
          <w:rFonts w:eastAsia="Calibri"/>
        </w:rPr>
      </w:pPr>
      <w:r w:rsidRPr="00021193">
        <w:rPr>
          <w:rFonts w:eastAsia="Calibri"/>
        </w:rPr>
        <w:t>Türkiye Kültür ve Turizm Bakanlığı. (</w:t>
      </w:r>
      <w:proofErr w:type="spellStart"/>
      <w:proofErr w:type="gramStart"/>
      <w:r w:rsidRPr="00021193">
        <w:rPr>
          <w:rFonts w:eastAsia="Calibri"/>
        </w:rPr>
        <w:t>t.y</w:t>
      </w:r>
      <w:proofErr w:type="spellEnd"/>
      <w:r w:rsidRPr="00021193">
        <w:rPr>
          <w:rFonts w:eastAsia="Calibri"/>
        </w:rPr>
        <w:t>.</w:t>
      </w:r>
      <w:proofErr w:type="gramEnd"/>
      <w:r w:rsidRPr="00021193">
        <w:rPr>
          <w:rFonts w:eastAsia="Calibri"/>
        </w:rPr>
        <w:t xml:space="preserve">). Mazı Yeraltı Şehri. </w:t>
      </w:r>
      <w:hyperlink r:id="rId111" w:history="1">
        <w:r w:rsidRPr="00021193">
          <w:rPr>
            <w:rFonts w:eastAsia="Calibri"/>
          </w:rPr>
          <w:t>https://muze.gov.tr/muze-detay?SectionId=MAZ01&amp;DistId=MRK</w:t>
        </w:r>
      </w:hyperlink>
      <w:r w:rsidRPr="00021193">
        <w:rPr>
          <w:rFonts w:eastAsia="Calibri"/>
        </w:rPr>
        <w:t xml:space="preserve"> (Erişim tarihi: 26.02.2025).</w:t>
      </w:r>
    </w:p>
    <w:p w14:paraId="7A870128" w14:textId="77777777" w:rsidR="00914DCC" w:rsidRDefault="00914DCC" w:rsidP="0017453B">
      <w:pPr>
        <w:jc w:val="both"/>
        <w:rPr>
          <w:rFonts w:eastAsia="Calibri"/>
        </w:rPr>
      </w:pPr>
    </w:p>
    <w:p w14:paraId="28445657" w14:textId="6F2ED926" w:rsidR="00587C60" w:rsidRDefault="00914DCC">
      <w:pPr>
        <w:pStyle w:val="ListeParagraf"/>
        <w:numPr>
          <w:ilvl w:val="0"/>
          <w:numId w:val="40"/>
        </w:numPr>
        <w:jc w:val="both"/>
        <w:rPr>
          <w:rFonts w:eastAsia="Calibri"/>
        </w:rPr>
      </w:pPr>
      <w:r w:rsidRPr="00021193">
        <w:rPr>
          <w:rFonts w:eastAsia="Calibri"/>
        </w:rPr>
        <w:t xml:space="preserve">Yamaç, A. Tok, E. (2015). “An </w:t>
      </w:r>
      <w:proofErr w:type="spellStart"/>
      <w:r w:rsidRPr="00021193">
        <w:rPr>
          <w:rFonts w:eastAsia="Calibri"/>
        </w:rPr>
        <w:t>Architect’s</w:t>
      </w:r>
      <w:proofErr w:type="spellEnd"/>
      <w:r w:rsidRPr="00021193">
        <w:rPr>
          <w:rFonts w:eastAsia="Calibri"/>
        </w:rPr>
        <w:t xml:space="preserve"> Underground City”, Opera </w:t>
      </w:r>
      <w:proofErr w:type="spellStart"/>
      <w:r w:rsidRPr="00021193">
        <w:rPr>
          <w:rFonts w:eastAsia="Calibri"/>
        </w:rPr>
        <w:t>Ipogea</w:t>
      </w:r>
      <w:proofErr w:type="spellEnd"/>
      <w:r w:rsidRPr="00021193">
        <w:rPr>
          <w:rFonts w:eastAsia="Calibri"/>
        </w:rPr>
        <w:t xml:space="preserve"> </w:t>
      </w:r>
      <w:proofErr w:type="spellStart"/>
      <w:r w:rsidRPr="00021193">
        <w:rPr>
          <w:rFonts w:eastAsia="Calibri"/>
        </w:rPr>
        <w:t>Journal</w:t>
      </w:r>
      <w:proofErr w:type="spellEnd"/>
      <w:r w:rsidRPr="00021193">
        <w:rPr>
          <w:rFonts w:eastAsia="Calibri"/>
        </w:rPr>
        <w:t xml:space="preserve"> Of </w:t>
      </w:r>
      <w:proofErr w:type="spellStart"/>
      <w:r w:rsidRPr="00021193">
        <w:rPr>
          <w:rFonts w:eastAsia="Calibri"/>
        </w:rPr>
        <w:t>Speleology</w:t>
      </w:r>
      <w:proofErr w:type="spellEnd"/>
      <w:r w:rsidRPr="00021193">
        <w:rPr>
          <w:rFonts w:eastAsia="Calibri"/>
        </w:rPr>
        <w:t xml:space="preserve"> in </w:t>
      </w:r>
      <w:proofErr w:type="spellStart"/>
      <w:r w:rsidRPr="00021193">
        <w:rPr>
          <w:rFonts w:eastAsia="Calibri"/>
        </w:rPr>
        <w:t>Artificial</w:t>
      </w:r>
      <w:proofErr w:type="spellEnd"/>
      <w:r w:rsidRPr="00021193">
        <w:rPr>
          <w:rFonts w:eastAsia="Calibri"/>
        </w:rPr>
        <w:t xml:space="preserve"> Cavities-1, </w:t>
      </w:r>
      <w:proofErr w:type="spellStart"/>
      <w:r w:rsidRPr="00021193">
        <w:rPr>
          <w:rFonts w:eastAsia="Calibri"/>
        </w:rPr>
        <w:t>Italiana</w:t>
      </w:r>
      <w:proofErr w:type="spellEnd"/>
      <w:r w:rsidRPr="00021193">
        <w:rPr>
          <w:rFonts w:eastAsia="Calibri"/>
        </w:rPr>
        <w:t>, 42.</w:t>
      </w:r>
    </w:p>
    <w:p w14:paraId="0C894769" w14:textId="0481E696" w:rsidR="00F84AD5" w:rsidRPr="00587C60" w:rsidRDefault="00587C60" w:rsidP="00587C60">
      <w:pPr>
        <w:autoSpaceDE/>
        <w:autoSpaceDN/>
        <w:rPr>
          <w:rFonts w:eastAsia="Calibri"/>
        </w:rPr>
      </w:pPr>
      <w:r>
        <w:rPr>
          <w:rFonts w:eastAsia="Calibri"/>
        </w:rPr>
        <w:br w:type="page"/>
      </w:r>
    </w:p>
    <w:p w14:paraId="2D5D9664" w14:textId="2ADFB8AB" w:rsidR="00914DCC" w:rsidRDefault="00914DCC" w:rsidP="004C7694">
      <w:pPr>
        <w:pStyle w:val="Tark"/>
      </w:pPr>
      <w:bookmarkStart w:id="54" w:name="_Toc192855165"/>
      <w:r w:rsidRPr="002E2631">
        <w:lastRenderedPageBreak/>
        <w:t>İzmir İyon Üniversitesi</w:t>
      </w:r>
      <w:r>
        <w:t xml:space="preserve"> ve Konstantin </w:t>
      </w:r>
      <w:proofErr w:type="spellStart"/>
      <w:r>
        <w:t>Karatheodory</w:t>
      </w:r>
      <w:bookmarkEnd w:id="54"/>
      <w:proofErr w:type="spellEnd"/>
    </w:p>
    <w:p w14:paraId="7A5F3299" w14:textId="63BC4572" w:rsidR="00914DCC" w:rsidRDefault="00914DCC" w:rsidP="0017453B">
      <w:pPr>
        <w:tabs>
          <w:tab w:val="left" w:pos="7445"/>
        </w:tabs>
        <w:jc w:val="center"/>
      </w:pPr>
    </w:p>
    <w:p w14:paraId="73AD129E" w14:textId="34EBF16B" w:rsidR="00914DCC" w:rsidRDefault="00914DCC" w:rsidP="0017453B">
      <w:pPr>
        <w:jc w:val="center"/>
      </w:pPr>
      <w:r>
        <w:t>Arzu Erman</w:t>
      </w:r>
      <w:r>
        <w:br/>
        <w:t>Dr. Öğr. Üyesi, Ankara Yıldırım Beyazıt Üniversitesi, Tarih Bölümü</w:t>
      </w:r>
      <w:r>
        <w:br/>
        <w:t>arzuerman@aybu.edu.tr</w:t>
      </w:r>
      <w:r>
        <w:br/>
      </w:r>
      <w:proofErr w:type="spellStart"/>
      <w:r>
        <w:t>Orcid</w:t>
      </w:r>
      <w:proofErr w:type="spellEnd"/>
      <w:r>
        <w:t xml:space="preserve"> ID:0000-0002-3657</w:t>
      </w:r>
    </w:p>
    <w:p w14:paraId="51B01D9A" w14:textId="77777777" w:rsidR="00914DCC" w:rsidRDefault="00914DCC" w:rsidP="0017453B">
      <w:pPr>
        <w:jc w:val="center"/>
      </w:pPr>
    </w:p>
    <w:p w14:paraId="6C6C6D7E" w14:textId="77777777" w:rsidR="00914DCC" w:rsidRPr="00097B24" w:rsidRDefault="00914DCC" w:rsidP="0017453B">
      <w:pPr>
        <w:jc w:val="center"/>
        <w:rPr>
          <w:b/>
          <w:bCs/>
        </w:rPr>
      </w:pPr>
      <w:r w:rsidRPr="00097B24">
        <w:rPr>
          <w:b/>
          <w:bCs/>
        </w:rPr>
        <w:t>Özet</w:t>
      </w:r>
    </w:p>
    <w:p w14:paraId="16B15EBB" w14:textId="77777777" w:rsidR="00914DCC" w:rsidRPr="00161E4F" w:rsidRDefault="00914DCC" w:rsidP="0017453B">
      <w:pPr>
        <w:jc w:val="both"/>
        <w:rPr>
          <w:sz w:val="34"/>
        </w:rPr>
      </w:pPr>
      <w:proofErr w:type="spellStart"/>
      <w:r>
        <w:t>Karatheodory</w:t>
      </w:r>
      <w:proofErr w:type="spellEnd"/>
      <w:r>
        <w:t xml:space="preserve"> ailesi Osmanlı </w:t>
      </w:r>
      <w:proofErr w:type="spellStart"/>
      <w:r>
        <w:t>Devlet’nin</w:t>
      </w:r>
      <w:proofErr w:type="spellEnd"/>
      <w:r>
        <w:t xml:space="preserve"> yönetim sistemi içinde önemli görevler üstlenmiş Fenerli elit bir ailedir. Babası Osmanlı Devleti’ni yurtdışında temsil eden bir diplomat olan Konstantin </w:t>
      </w:r>
      <w:proofErr w:type="spellStart"/>
      <w:r>
        <w:t>Karatheodory</w:t>
      </w:r>
      <w:proofErr w:type="spellEnd"/>
      <w:r>
        <w:t xml:space="preserve"> bu nedenle Avrupa’da doğmuş ve aristokratik bir çevrede büyümüştür. Amcasının Girit Valiliği sırasında adanın Yunanistan ile birleşmesi için siyasi faaliyetler yürüten </w:t>
      </w:r>
      <w:proofErr w:type="spellStart"/>
      <w:r>
        <w:t>Eleftherios</w:t>
      </w:r>
      <w:proofErr w:type="spellEnd"/>
      <w:r>
        <w:t xml:space="preserve"> Venizelos ile tanışması onun Yunan davasına sempati duymasına sebep olmuştur. Venizelos’un Yunanistan Başbakanı olmasıyla birlikte yeni Liberal Hükümet eğitim yoluyla Yunanistan’ın modernleştirilerek Yunan olmayan Ortodoks toplulukların Yunan Devleti’ne dahil edilmesine çalışmıştır.  Venizelos, I. Dünya Savaşı sonunda yapılacak barış görüşülmeleri için bulunduğu Paris’te </w:t>
      </w:r>
      <w:proofErr w:type="spellStart"/>
      <w:r>
        <w:t>Karatheodory</w:t>
      </w:r>
      <w:proofErr w:type="spellEnd"/>
      <w:r>
        <w:t xml:space="preserve"> ile buluşarak Atina dışında bir yerde üniversite kurma fikri üzerine görüşmüştür. </w:t>
      </w:r>
      <w:proofErr w:type="spellStart"/>
      <w:r>
        <w:t>Karatheodory</w:t>
      </w:r>
      <w:proofErr w:type="spellEnd"/>
      <w:r>
        <w:t xml:space="preserve">, üniversite için Selanik, Sakız ve İzmir önerisinde bulunmuştur. Paris Barış Konferansı’nda alınan karar gereği Yunanistan’ın İzmir’i işgal etmesi </w:t>
      </w:r>
      <w:proofErr w:type="gramStart"/>
      <w:r>
        <w:t>ile birlikte</w:t>
      </w:r>
      <w:proofErr w:type="gramEnd"/>
      <w:r>
        <w:t xml:space="preserve"> üniversite için İzmir’in en ideal kent olduğuna karar verilmiştir. Bunun üzerine 1920’de </w:t>
      </w:r>
      <w:proofErr w:type="spellStart"/>
      <w:r>
        <w:t>Karatheodory</w:t>
      </w:r>
      <w:proofErr w:type="spellEnd"/>
      <w:r>
        <w:t xml:space="preserve">, İzmir İyon </w:t>
      </w:r>
      <w:r w:rsidRPr="004D20BE">
        <w:t>Üniversi</w:t>
      </w:r>
      <w:r>
        <w:t xml:space="preserve">tesi’nin kurulmasıyla görevlendirilmiştir. Venizelos’un onu seçmesinde </w:t>
      </w:r>
      <w:proofErr w:type="spellStart"/>
      <w:r>
        <w:t>Karatheodory’nin</w:t>
      </w:r>
      <w:proofErr w:type="spellEnd"/>
      <w:r>
        <w:t xml:space="preserve"> başarılı bir akademisyen olarak üniversite deneyimi olması kadar ailesinin Osmanlı Hükümeti nezdinde tanınmış olması ve olası tepkilerin önüne geçmek istemesi büyük rol oynamıştır. 14 Temmuz 1920’de yürürlüğe giren kanun ile İzmir’de eğitim dilinin Yunanca olacağı pek çok farklı fakülteden oluşacak bir </w:t>
      </w:r>
      <w:r w:rsidRPr="00FB1161">
        <w:t xml:space="preserve">üniversitesi </w:t>
      </w:r>
      <w:r>
        <w:t xml:space="preserve">kurulma süreci başlamıştır. Böylesi bir savaş ortamında üniversite açma fikri </w:t>
      </w:r>
      <w:r w:rsidRPr="00FB1161">
        <w:t>Venizelos Hükümeti’nin İzmir’</w:t>
      </w:r>
      <w:r>
        <w:t>e ve bu işgale</w:t>
      </w:r>
      <w:r w:rsidRPr="00FB1161">
        <w:t xml:space="preserve"> bakışını</w:t>
      </w:r>
      <w:r>
        <w:t xml:space="preserve"> yansıtması bakımından önemlidir. 1922 yazına kadar inşa süreci devam eden üniversitenin </w:t>
      </w:r>
      <w:proofErr w:type="spellStart"/>
      <w:r>
        <w:t>Karatheodory’nin</w:t>
      </w:r>
      <w:proofErr w:type="spellEnd"/>
      <w:r>
        <w:t xml:space="preserve"> belirlediği </w:t>
      </w:r>
      <w:r w:rsidRPr="007D01A8">
        <w:rPr>
          <w:i/>
        </w:rPr>
        <w:t>“Işık Doğu’dan</w:t>
      </w:r>
      <w:r>
        <w:t xml:space="preserve"> </w:t>
      </w:r>
      <w:r w:rsidRPr="007D01A8">
        <w:rPr>
          <w:i/>
        </w:rPr>
        <w:t>Yükselir”</w:t>
      </w:r>
      <w:r>
        <w:t xml:space="preserve"> sloganıyla Eylül 1922’de eğitime başlaması düşünülmektedir. Ancak Yunan ordusunun Anadolu’da büyük yenilgi alarak çekilmesi ile Yunanistan’ın İzmir’de özerk bir yönetim kurma beklentisi son bulduğu gibi İzmir’deki ilk üniversitenin hiç açılmadan tarihteki yerini almasına neden olmuştur.</w:t>
      </w:r>
      <w:r w:rsidRPr="0023717A">
        <w:t xml:space="preserve"> </w:t>
      </w:r>
      <w:r>
        <w:t xml:space="preserve">Çalışma Yunanistan’ın modernleştirme projesi olarak eğitimi araçsallaştırmasının yanı sıra Fenerli aristokratik bir ailenin Yunan Megali </w:t>
      </w:r>
      <w:proofErr w:type="spellStart"/>
      <w:r>
        <w:t>İdeası’na</w:t>
      </w:r>
      <w:proofErr w:type="spellEnd"/>
      <w:r>
        <w:t xml:space="preserve"> ve Osmanlı Devleti’nin geleceğine dair farklı bakış açılarına yer verecektir.</w:t>
      </w:r>
    </w:p>
    <w:p w14:paraId="2D8BEB40" w14:textId="77777777" w:rsidR="00914DCC" w:rsidRDefault="00914DCC" w:rsidP="0017453B">
      <w:pPr>
        <w:jc w:val="both"/>
      </w:pPr>
    </w:p>
    <w:p w14:paraId="2028793E" w14:textId="4764C7D2" w:rsidR="00914DCC" w:rsidRDefault="000C6508" w:rsidP="0017453B">
      <w:pPr>
        <w:jc w:val="both"/>
      </w:pPr>
      <w:r>
        <w:rPr>
          <w:b/>
          <w:bCs/>
        </w:rPr>
        <w:t>Anahtar Kelimeler</w:t>
      </w:r>
      <w:r w:rsidR="00914DCC" w:rsidRPr="00DE7662">
        <w:rPr>
          <w:b/>
          <w:bCs/>
        </w:rPr>
        <w:t>:</w:t>
      </w:r>
      <w:r w:rsidR="00914DCC">
        <w:t xml:space="preserve"> İzmir </w:t>
      </w:r>
      <w:r w:rsidR="00914DCC" w:rsidRPr="007D01A8">
        <w:t>İyon Üniversitesi</w:t>
      </w:r>
      <w:r w:rsidR="00914DCC">
        <w:rPr>
          <w:sz w:val="26"/>
        </w:rPr>
        <w:t xml:space="preserve">, </w:t>
      </w:r>
      <w:r w:rsidR="00914DCC" w:rsidRPr="00161E4F">
        <w:t xml:space="preserve">Konstantin </w:t>
      </w:r>
      <w:proofErr w:type="spellStart"/>
      <w:r w:rsidR="00914DCC" w:rsidRPr="00161E4F">
        <w:t>Karatheodory</w:t>
      </w:r>
      <w:proofErr w:type="spellEnd"/>
      <w:r w:rsidR="00914DCC" w:rsidRPr="00161E4F">
        <w:t>,</w:t>
      </w:r>
      <w:r w:rsidR="00914DCC">
        <w:rPr>
          <w:sz w:val="26"/>
        </w:rPr>
        <w:t xml:space="preserve"> </w:t>
      </w:r>
      <w:r w:rsidR="00914DCC" w:rsidRPr="00161E4F">
        <w:t>İzmir’in İşgali,</w:t>
      </w:r>
      <w:r w:rsidR="00914DCC">
        <w:t xml:space="preserve"> Venizelos, Megali İdea</w:t>
      </w:r>
    </w:p>
    <w:p w14:paraId="180DE0DE" w14:textId="77777777" w:rsidR="008F7191" w:rsidRDefault="008F7191" w:rsidP="0017453B">
      <w:pPr>
        <w:jc w:val="both"/>
      </w:pPr>
    </w:p>
    <w:p w14:paraId="42FBD689" w14:textId="77777777" w:rsidR="0017453B" w:rsidRDefault="0017453B" w:rsidP="0017453B">
      <w:pPr>
        <w:jc w:val="both"/>
      </w:pPr>
    </w:p>
    <w:p w14:paraId="167816F9" w14:textId="77777777" w:rsidR="0017453B" w:rsidRDefault="0017453B" w:rsidP="0017453B">
      <w:pPr>
        <w:jc w:val="both"/>
      </w:pPr>
    </w:p>
    <w:p w14:paraId="1EDC44EE" w14:textId="77777777" w:rsidR="0017453B" w:rsidRDefault="0017453B" w:rsidP="0017453B">
      <w:pPr>
        <w:jc w:val="both"/>
      </w:pPr>
    </w:p>
    <w:p w14:paraId="7756D468" w14:textId="77777777" w:rsidR="0017453B" w:rsidRDefault="0017453B" w:rsidP="0017453B">
      <w:pPr>
        <w:jc w:val="both"/>
      </w:pPr>
    </w:p>
    <w:p w14:paraId="28FC3168" w14:textId="77777777" w:rsidR="0017453B" w:rsidRDefault="0017453B" w:rsidP="0017453B">
      <w:pPr>
        <w:jc w:val="both"/>
      </w:pPr>
    </w:p>
    <w:p w14:paraId="17793016" w14:textId="77777777" w:rsidR="0017453B" w:rsidRDefault="0017453B" w:rsidP="0017453B">
      <w:pPr>
        <w:jc w:val="both"/>
      </w:pPr>
    </w:p>
    <w:p w14:paraId="08F44286" w14:textId="77777777" w:rsidR="0017453B" w:rsidRDefault="0017453B" w:rsidP="0017453B">
      <w:pPr>
        <w:jc w:val="both"/>
      </w:pPr>
    </w:p>
    <w:p w14:paraId="6FCB3794" w14:textId="77777777" w:rsidR="0017453B" w:rsidRDefault="0017453B" w:rsidP="0017453B">
      <w:pPr>
        <w:jc w:val="both"/>
      </w:pPr>
    </w:p>
    <w:p w14:paraId="065FA145" w14:textId="77777777" w:rsidR="008F7191" w:rsidRDefault="008F7191" w:rsidP="0017453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1F1F1F"/>
        </w:rPr>
      </w:pPr>
    </w:p>
    <w:p w14:paraId="1E139616" w14:textId="57DCB38B" w:rsidR="00914DCC" w:rsidRDefault="00914DCC" w:rsidP="004C7694">
      <w:pPr>
        <w:pStyle w:val="Tark"/>
      </w:pPr>
      <w:bookmarkStart w:id="55" w:name="_Toc192855166"/>
      <w:proofErr w:type="spellStart"/>
      <w:r w:rsidRPr="00A4537F">
        <w:t>Izmir</w:t>
      </w:r>
      <w:proofErr w:type="spellEnd"/>
      <w:r w:rsidRPr="00A4537F">
        <w:t xml:space="preserve"> </w:t>
      </w:r>
      <w:proofErr w:type="spellStart"/>
      <w:r w:rsidRPr="00A4537F">
        <w:t>Ionian</w:t>
      </w:r>
      <w:proofErr w:type="spellEnd"/>
      <w:r w:rsidRPr="00A4537F">
        <w:t xml:space="preserve"> </w:t>
      </w:r>
      <w:proofErr w:type="spellStart"/>
      <w:r w:rsidRPr="00A4537F">
        <w:t>University</w:t>
      </w:r>
      <w:proofErr w:type="spellEnd"/>
      <w:r w:rsidRPr="00A4537F">
        <w:t xml:space="preserve"> </w:t>
      </w:r>
      <w:proofErr w:type="spellStart"/>
      <w:r w:rsidRPr="00A4537F">
        <w:t>and</w:t>
      </w:r>
      <w:proofErr w:type="spellEnd"/>
      <w:r w:rsidRPr="00A4537F">
        <w:t xml:space="preserve"> Konstantin </w:t>
      </w:r>
      <w:proofErr w:type="spellStart"/>
      <w:r w:rsidRPr="00A4537F">
        <w:t>Karatheodory</w:t>
      </w:r>
      <w:bookmarkEnd w:id="55"/>
      <w:proofErr w:type="spellEnd"/>
    </w:p>
    <w:p w14:paraId="040D63A9" w14:textId="77777777" w:rsidR="0017453B" w:rsidRPr="0017453B" w:rsidRDefault="0017453B" w:rsidP="0017453B">
      <w:pPr>
        <w:pStyle w:val="Metin"/>
      </w:pPr>
    </w:p>
    <w:p w14:paraId="70719DAF" w14:textId="77777777" w:rsidR="00914DCC" w:rsidRDefault="00914DCC" w:rsidP="0017453B">
      <w:pPr>
        <w:jc w:val="center"/>
      </w:pPr>
      <w:r>
        <w:t>Arzu Erman</w:t>
      </w:r>
      <w:r>
        <w:br/>
        <w:t xml:space="preserve"> </w:t>
      </w:r>
      <w:proofErr w:type="spellStart"/>
      <w:r>
        <w:t>Asst</w:t>
      </w:r>
      <w:proofErr w:type="spellEnd"/>
      <w:r>
        <w:t xml:space="preserve">. Prof., Ankara Yıldırım Beyazıt </w:t>
      </w:r>
      <w:proofErr w:type="spellStart"/>
      <w:r>
        <w:t>University</w:t>
      </w:r>
      <w:proofErr w:type="spellEnd"/>
      <w:r>
        <w:t xml:space="preserve">, </w:t>
      </w:r>
      <w:proofErr w:type="spellStart"/>
      <w:r>
        <w:t>History</w:t>
      </w:r>
      <w:proofErr w:type="spellEnd"/>
      <w:r>
        <w:t xml:space="preserve"> </w:t>
      </w:r>
      <w:proofErr w:type="spellStart"/>
      <w:r>
        <w:t>Department</w:t>
      </w:r>
      <w:proofErr w:type="spellEnd"/>
      <w:r>
        <w:br/>
        <w:t>arzuerman@aybu.edu.tr</w:t>
      </w:r>
      <w:r>
        <w:br/>
      </w:r>
      <w:proofErr w:type="spellStart"/>
      <w:r>
        <w:t>Orcid</w:t>
      </w:r>
      <w:proofErr w:type="spellEnd"/>
      <w:r>
        <w:t xml:space="preserve"> ID:0000-0002-3657</w:t>
      </w:r>
    </w:p>
    <w:p w14:paraId="51BB3EA8" w14:textId="48E0B3E9" w:rsidR="00914DCC" w:rsidRDefault="00914DCC" w:rsidP="0017453B">
      <w:pPr>
        <w:jc w:val="center"/>
        <w:rPr>
          <w:b/>
        </w:rPr>
      </w:pPr>
    </w:p>
    <w:p w14:paraId="46812622" w14:textId="10B4EE5D" w:rsidR="00914DCC" w:rsidRPr="00A4537F" w:rsidRDefault="00914DCC" w:rsidP="0017453B">
      <w:pPr>
        <w:jc w:val="center"/>
        <w:rPr>
          <w:b/>
        </w:rPr>
      </w:pPr>
      <w:proofErr w:type="spellStart"/>
      <w:r w:rsidRPr="00A4537F">
        <w:rPr>
          <w:b/>
        </w:rPr>
        <w:t>Abstract</w:t>
      </w:r>
      <w:proofErr w:type="spellEnd"/>
    </w:p>
    <w:p w14:paraId="63A0C655" w14:textId="77777777" w:rsidR="00914DCC" w:rsidRDefault="00914DCC" w:rsidP="0017453B">
      <w:pPr>
        <w:jc w:val="both"/>
      </w:pPr>
      <w:proofErr w:type="spellStart"/>
      <w:r w:rsidRPr="00FA2BDA">
        <w:t>The</w:t>
      </w:r>
      <w:proofErr w:type="spellEnd"/>
      <w:r w:rsidRPr="00FA2BDA">
        <w:t xml:space="preserve"> </w:t>
      </w:r>
      <w:proofErr w:type="spellStart"/>
      <w:r w:rsidRPr="00FA2BDA">
        <w:t>Karatheodory</w:t>
      </w:r>
      <w:proofErr w:type="spellEnd"/>
      <w:r w:rsidRPr="00FA2BDA">
        <w:t xml:space="preserve"> </w:t>
      </w:r>
      <w:proofErr w:type="spellStart"/>
      <w:r w:rsidRPr="00FA2BDA">
        <w:t>family</w:t>
      </w:r>
      <w:proofErr w:type="spellEnd"/>
      <w:r w:rsidRPr="00FA2BDA">
        <w:t xml:space="preserve"> </w:t>
      </w:r>
      <w:proofErr w:type="spellStart"/>
      <w:r w:rsidRPr="00FA2BDA">
        <w:t>was</w:t>
      </w:r>
      <w:proofErr w:type="spellEnd"/>
      <w:r w:rsidRPr="00FA2BDA">
        <w:t xml:space="preserve"> an elite </w:t>
      </w:r>
      <w:proofErr w:type="spellStart"/>
      <w:r w:rsidRPr="00FA2BDA">
        <w:t>family</w:t>
      </w:r>
      <w:proofErr w:type="spellEnd"/>
      <w:r w:rsidRPr="00FA2BDA">
        <w:t xml:space="preserve"> </w:t>
      </w:r>
      <w:proofErr w:type="spellStart"/>
      <w:r w:rsidRPr="00FA2BDA">
        <w:t>from</w:t>
      </w:r>
      <w:proofErr w:type="spellEnd"/>
      <w:r w:rsidRPr="00FA2BDA">
        <w:t xml:space="preserve"> </w:t>
      </w:r>
      <w:proofErr w:type="spellStart"/>
      <w:r w:rsidRPr="00FA2BDA">
        <w:t>Phanariots</w:t>
      </w:r>
      <w:proofErr w:type="spellEnd"/>
      <w:r w:rsidRPr="00FA2BDA">
        <w:t xml:space="preserve"> </w:t>
      </w:r>
      <w:proofErr w:type="spellStart"/>
      <w:r w:rsidRPr="00FA2BDA">
        <w:t>who</w:t>
      </w:r>
      <w:proofErr w:type="spellEnd"/>
      <w:r w:rsidRPr="00FA2BDA">
        <w:t xml:space="preserve"> </w:t>
      </w:r>
      <w:proofErr w:type="spellStart"/>
      <w:r w:rsidRPr="00FA2BDA">
        <w:t>held</w:t>
      </w:r>
      <w:proofErr w:type="spellEnd"/>
      <w:r w:rsidRPr="00FA2BDA">
        <w:t xml:space="preserve"> </w:t>
      </w:r>
      <w:proofErr w:type="spellStart"/>
      <w:r w:rsidRPr="00FA2BDA">
        <w:t>important</w:t>
      </w:r>
      <w:proofErr w:type="spellEnd"/>
      <w:r w:rsidRPr="00FA2BDA">
        <w:t xml:space="preserve"> </w:t>
      </w:r>
      <w:proofErr w:type="spellStart"/>
      <w:r w:rsidRPr="00FA2BDA">
        <w:t>positions</w:t>
      </w:r>
      <w:proofErr w:type="spellEnd"/>
      <w:r w:rsidRPr="00FA2BDA">
        <w:t xml:space="preserve"> in </w:t>
      </w:r>
      <w:proofErr w:type="spellStart"/>
      <w:r w:rsidRPr="00FA2BDA">
        <w:t>the</w:t>
      </w:r>
      <w:proofErr w:type="spellEnd"/>
      <w:r w:rsidRPr="00FA2BDA">
        <w:t xml:space="preserve"> </w:t>
      </w:r>
      <w:proofErr w:type="spellStart"/>
      <w:r w:rsidRPr="00FA2BDA">
        <w:t>administrative</w:t>
      </w:r>
      <w:proofErr w:type="spellEnd"/>
      <w:r w:rsidRPr="00FA2BDA">
        <w:t xml:space="preserve"> </w:t>
      </w:r>
      <w:proofErr w:type="spellStart"/>
      <w:r w:rsidRPr="00FA2BDA">
        <w:t>system</w:t>
      </w:r>
      <w:proofErr w:type="spellEnd"/>
      <w:r w:rsidRPr="00FA2BDA">
        <w:t xml:space="preserve"> of </w:t>
      </w:r>
      <w:proofErr w:type="spellStart"/>
      <w:r w:rsidRPr="00FA2BDA">
        <w:t>the</w:t>
      </w:r>
      <w:proofErr w:type="spellEnd"/>
      <w:r w:rsidRPr="00FA2BDA">
        <w:t xml:space="preserve"> </w:t>
      </w:r>
      <w:proofErr w:type="spellStart"/>
      <w:r w:rsidRPr="00FA2BDA">
        <w:t>Ottoman</w:t>
      </w:r>
      <w:proofErr w:type="spellEnd"/>
      <w:r w:rsidRPr="00FA2BDA">
        <w:t xml:space="preserve"> </w:t>
      </w:r>
      <w:proofErr w:type="spellStart"/>
      <w:r w:rsidRPr="00FA2BDA">
        <w:t>Empire</w:t>
      </w:r>
      <w:proofErr w:type="spellEnd"/>
      <w:r w:rsidRPr="00FA2BDA">
        <w:t xml:space="preserve">. Konstantin </w:t>
      </w:r>
      <w:proofErr w:type="spellStart"/>
      <w:r w:rsidRPr="00FA2BDA">
        <w:t>Karatheodory</w:t>
      </w:r>
      <w:proofErr w:type="spellEnd"/>
      <w:r w:rsidRPr="00FA2BDA">
        <w:t xml:space="preserve"> had an </w:t>
      </w:r>
      <w:proofErr w:type="spellStart"/>
      <w:r w:rsidRPr="00FA2BDA">
        <w:t>academic</w:t>
      </w:r>
      <w:proofErr w:type="spellEnd"/>
      <w:r w:rsidRPr="00FA2BDA">
        <w:t xml:space="preserve"> </w:t>
      </w:r>
      <w:proofErr w:type="spellStart"/>
      <w:r w:rsidRPr="00FA2BDA">
        <w:t>career</w:t>
      </w:r>
      <w:proofErr w:type="spellEnd"/>
      <w:r w:rsidRPr="00FA2BDA">
        <w:t xml:space="preserve"> in </w:t>
      </w:r>
      <w:proofErr w:type="spellStart"/>
      <w:r w:rsidRPr="00FA2BDA">
        <w:t>mathematics</w:t>
      </w:r>
      <w:proofErr w:type="spellEnd"/>
      <w:r w:rsidRPr="00FA2BDA">
        <w:t xml:space="preserve"> </w:t>
      </w:r>
      <w:proofErr w:type="spellStart"/>
      <w:r w:rsidRPr="00FA2BDA">
        <w:t>and</w:t>
      </w:r>
      <w:proofErr w:type="spellEnd"/>
      <w:r w:rsidRPr="00FA2BDA">
        <w:t xml:space="preserve"> </w:t>
      </w:r>
      <w:proofErr w:type="spellStart"/>
      <w:r w:rsidRPr="00FA2BDA">
        <w:t>lectured</w:t>
      </w:r>
      <w:proofErr w:type="spellEnd"/>
      <w:r w:rsidRPr="00FA2BDA">
        <w:t xml:space="preserve"> at </w:t>
      </w:r>
      <w:proofErr w:type="spellStart"/>
      <w:r w:rsidRPr="00FA2BDA">
        <w:t>important</w:t>
      </w:r>
      <w:proofErr w:type="spellEnd"/>
      <w:r w:rsidRPr="00FA2BDA">
        <w:t xml:space="preserve"> </w:t>
      </w:r>
      <w:proofErr w:type="spellStart"/>
      <w:r w:rsidRPr="00FA2BDA">
        <w:t>European</w:t>
      </w:r>
      <w:proofErr w:type="spellEnd"/>
      <w:r w:rsidRPr="00FA2BDA">
        <w:t xml:space="preserve"> </w:t>
      </w:r>
      <w:proofErr w:type="spellStart"/>
      <w:r w:rsidRPr="00FA2BDA">
        <w:t>universities</w:t>
      </w:r>
      <w:proofErr w:type="spellEnd"/>
      <w:r w:rsidRPr="00FA2BDA">
        <w:t xml:space="preserve">. </w:t>
      </w:r>
      <w:proofErr w:type="spellStart"/>
      <w:r w:rsidRPr="006B1195">
        <w:t>During</w:t>
      </w:r>
      <w:proofErr w:type="spellEnd"/>
      <w:r w:rsidRPr="006B1195">
        <w:t xml:space="preserve"> his </w:t>
      </w:r>
      <w:proofErr w:type="spellStart"/>
      <w:r w:rsidRPr="006B1195">
        <w:t>uncle's</w:t>
      </w:r>
      <w:proofErr w:type="spellEnd"/>
      <w:r w:rsidRPr="006B1195">
        <w:t xml:space="preserve"> </w:t>
      </w:r>
      <w:proofErr w:type="spellStart"/>
      <w:r w:rsidRPr="006B1195">
        <w:t>governorship</w:t>
      </w:r>
      <w:proofErr w:type="spellEnd"/>
      <w:r w:rsidRPr="006B1195">
        <w:t xml:space="preserve"> of </w:t>
      </w:r>
      <w:proofErr w:type="spellStart"/>
      <w:r w:rsidRPr="006B1195">
        <w:t>Crete</w:t>
      </w:r>
      <w:proofErr w:type="spellEnd"/>
      <w:r w:rsidRPr="006B1195">
        <w:t xml:space="preserve">, he met Venizelos, </w:t>
      </w:r>
      <w:proofErr w:type="spellStart"/>
      <w:r w:rsidRPr="006B1195">
        <w:t>who</w:t>
      </w:r>
      <w:proofErr w:type="spellEnd"/>
      <w:r w:rsidRPr="006B1195">
        <w:t xml:space="preserve"> </w:t>
      </w:r>
      <w:proofErr w:type="spellStart"/>
      <w:r w:rsidRPr="006B1195">
        <w:t>was</w:t>
      </w:r>
      <w:proofErr w:type="spellEnd"/>
      <w:r w:rsidRPr="006B1195">
        <w:t xml:space="preserve"> </w:t>
      </w:r>
      <w:proofErr w:type="spellStart"/>
      <w:r w:rsidRPr="006B1195">
        <w:t>carrying</w:t>
      </w:r>
      <w:proofErr w:type="spellEnd"/>
      <w:r w:rsidRPr="006B1195">
        <w:t xml:space="preserve"> </w:t>
      </w:r>
      <w:proofErr w:type="spellStart"/>
      <w:r w:rsidRPr="006B1195">
        <w:t>out</w:t>
      </w:r>
      <w:proofErr w:type="spellEnd"/>
      <w:r w:rsidRPr="006B1195">
        <w:t xml:space="preserve"> </w:t>
      </w:r>
      <w:proofErr w:type="spellStart"/>
      <w:r w:rsidRPr="006B1195">
        <w:t>political</w:t>
      </w:r>
      <w:proofErr w:type="spellEnd"/>
      <w:r w:rsidRPr="006B1195">
        <w:t xml:space="preserve"> </w:t>
      </w:r>
      <w:proofErr w:type="spellStart"/>
      <w:r w:rsidRPr="006B1195">
        <w:t>activities</w:t>
      </w:r>
      <w:proofErr w:type="spellEnd"/>
      <w:r w:rsidRPr="006B1195">
        <w:t xml:space="preserve"> </w:t>
      </w:r>
      <w:proofErr w:type="spellStart"/>
      <w:r w:rsidRPr="006B1195">
        <w:t>for</w:t>
      </w:r>
      <w:proofErr w:type="spellEnd"/>
      <w:r w:rsidRPr="006B1195">
        <w:t xml:space="preserve"> </w:t>
      </w:r>
      <w:proofErr w:type="spellStart"/>
      <w:r w:rsidRPr="006B1195">
        <w:t>the</w:t>
      </w:r>
      <w:proofErr w:type="spellEnd"/>
      <w:r w:rsidRPr="006B1195">
        <w:t xml:space="preserve"> </w:t>
      </w:r>
      <w:proofErr w:type="spellStart"/>
      <w:r w:rsidRPr="006B1195">
        <w:t>unification</w:t>
      </w:r>
      <w:proofErr w:type="spellEnd"/>
      <w:r w:rsidRPr="006B1195">
        <w:t xml:space="preserve"> of </w:t>
      </w:r>
      <w:proofErr w:type="spellStart"/>
      <w:r w:rsidRPr="006B1195">
        <w:t>the</w:t>
      </w:r>
      <w:proofErr w:type="spellEnd"/>
      <w:r w:rsidRPr="006B1195">
        <w:t xml:space="preserve"> </w:t>
      </w:r>
      <w:proofErr w:type="spellStart"/>
      <w:r w:rsidRPr="006B1195">
        <w:t>island</w:t>
      </w:r>
      <w:proofErr w:type="spellEnd"/>
      <w:r w:rsidRPr="006B1195">
        <w:t xml:space="preserve"> </w:t>
      </w:r>
      <w:proofErr w:type="spellStart"/>
      <w:r w:rsidRPr="006B1195">
        <w:t>with</w:t>
      </w:r>
      <w:proofErr w:type="spellEnd"/>
      <w:r w:rsidRPr="006B1195">
        <w:t xml:space="preserve"> </w:t>
      </w:r>
      <w:proofErr w:type="spellStart"/>
      <w:r w:rsidRPr="006B1195">
        <w:t>Greece</w:t>
      </w:r>
      <w:proofErr w:type="spellEnd"/>
      <w:r w:rsidRPr="006B1195">
        <w:t xml:space="preserve">, </w:t>
      </w:r>
      <w:proofErr w:type="spellStart"/>
      <w:r w:rsidRPr="006B1195">
        <w:t>which</w:t>
      </w:r>
      <w:proofErr w:type="spellEnd"/>
      <w:r w:rsidRPr="006B1195">
        <w:t xml:space="preserve"> led </w:t>
      </w:r>
      <w:proofErr w:type="spellStart"/>
      <w:r w:rsidRPr="006B1195">
        <w:t>him</w:t>
      </w:r>
      <w:proofErr w:type="spellEnd"/>
      <w:r w:rsidRPr="006B1195">
        <w:t xml:space="preserve"> </w:t>
      </w:r>
      <w:proofErr w:type="spellStart"/>
      <w:r w:rsidRPr="006B1195">
        <w:t>to</w:t>
      </w:r>
      <w:proofErr w:type="spellEnd"/>
      <w:r w:rsidRPr="006B1195">
        <w:t xml:space="preserve"> </w:t>
      </w:r>
      <w:proofErr w:type="spellStart"/>
      <w:r w:rsidRPr="006B1195">
        <w:t>sympathise</w:t>
      </w:r>
      <w:proofErr w:type="spellEnd"/>
      <w:r w:rsidRPr="006B1195">
        <w:t xml:space="preserve"> </w:t>
      </w:r>
      <w:proofErr w:type="spellStart"/>
      <w:r w:rsidRPr="006B1195">
        <w:t>with</w:t>
      </w:r>
      <w:proofErr w:type="spellEnd"/>
      <w:r w:rsidRPr="006B1195">
        <w:t xml:space="preserve"> </w:t>
      </w:r>
      <w:proofErr w:type="spellStart"/>
      <w:r w:rsidRPr="006B1195">
        <w:t>the</w:t>
      </w:r>
      <w:proofErr w:type="spellEnd"/>
      <w:r w:rsidRPr="006B1195">
        <w:t xml:space="preserve"> </w:t>
      </w:r>
      <w:proofErr w:type="spellStart"/>
      <w:r w:rsidRPr="006B1195">
        <w:t>Greek</w:t>
      </w:r>
      <w:proofErr w:type="spellEnd"/>
      <w:r w:rsidRPr="006B1195">
        <w:t xml:space="preserve"> </w:t>
      </w:r>
      <w:proofErr w:type="spellStart"/>
      <w:r w:rsidRPr="006B1195">
        <w:t>cause</w:t>
      </w:r>
      <w:proofErr w:type="spellEnd"/>
      <w:r w:rsidRPr="006B1195">
        <w:t xml:space="preserve">. </w:t>
      </w:r>
      <w:proofErr w:type="spellStart"/>
      <w:r w:rsidRPr="006B1195">
        <w:t>After</w:t>
      </w:r>
      <w:proofErr w:type="spellEnd"/>
      <w:r w:rsidRPr="006B1195">
        <w:t xml:space="preserve"> Venizelos </w:t>
      </w:r>
      <w:proofErr w:type="spellStart"/>
      <w:r w:rsidRPr="006B1195">
        <w:t>became</w:t>
      </w:r>
      <w:proofErr w:type="spellEnd"/>
      <w:r w:rsidRPr="006B1195">
        <w:t xml:space="preserve"> </w:t>
      </w:r>
      <w:proofErr w:type="spellStart"/>
      <w:r w:rsidRPr="006B1195">
        <w:t>the</w:t>
      </w:r>
      <w:proofErr w:type="spellEnd"/>
      <w:r w:rsidRPr="006B1195">
        <w:t xml:space="preserve"> Prime </w:t>
      </w:r>
      <w:proofErr w:type="spellStart"/>
      <w:r w:rsidRPr="006B1195">
        <w:t>Minister</w:t>
      </w:r>
      <w:proofErr w:type="spellEnd"/>
      <w:r w:rsidRPr="006B1195">
        <w:t xml:space="preserve"> of </w:t>
      </w:r>
      <w:proofErr w:type="spellStart"/>
      <w:r w:rsidRPr="006B1195">
        <w:t>Greece</w:t>
      </w:r>
      <w:proofErr w:type="spellEnd"/>
      <w:r w:rsidRPr="006B1195">
        <w:t xml:space="preserve">, </w:t>
      </w:r>
      <w:proofErr w:type="spellStart"/>
      <w:r w:rsidRPr="006B1195">
        <w:t>the</w:t>
      </w:r>
      <w:proofErr w:type="spellEnd"/>
      <w:r w:rsidRPr="006B1195">
        <w:t xml:space="preserve"> </w:t>
      </w:r>
      <w:proofErr w:type="spellStart"/>
      <w:r w:rsidRPr="006B1195">
        <w:t>new</w:t>
      </w:r>
      <w:proofErr w:type="spellEnd"/>
      <w:r w:rsidRPr="006B1195">
        <w:t xml:space="preserve"> Liberal </w:t>
      </w:r>
      <w:proofErr w:type="spellStart"/>
      <w:r w:rsidRPr="006B1195">
        <w:t>Government</w:t>
      </w:r>
      <w:proofErr w:type="spellEnd"/>
      <w:r w:rsidRPr="006B1195">
        <w:t xml:space="preserve"> </w:t>
      </w:r>
      <w:proofErr w:type="spellStart"/>
      <w:r w:rsidRPr="006B1195">
        <w:t>gave</w:t>
      </w:r>
      <w:proofErr w:type="spellEnd"/>
      <w:r w:rsidRPr="006B1195">
        <w:t xml:space="preserve"> </w:t>
      </w:r>
      <w:proofErr w:type="spellStart"/>
      <w:r w:rsidRPr="006B1195">
        <w:t>importance</w:t>
      </w:r>
      <w:proofErr w:type="spellEnd"/>
      <w:r w:rsidRPr="006B1195">
        <w:t xml:space="preserve"> </w:t>
      </w:r>
      <w:proofErr w:type="spellStart"/>
      <w:r w:rsidRPr="006B1195">
        <w:t>to</w:t>
      </w:r>
      <w:proofErr w:type="spellEnd"/>
      <w:r w:rsidRPr="006B1195">
        <w:t xml:space="preserve"> </w:t>
      </w:r>
      <w:proofErr w:type="spellStart"/>
      <w:r w:rsidRPr="006B1195">
        <w:t>the</w:t>
      </w:r>
      <w:proofErr w:type="spellEnd"/>
      <w:r w:rsidRPr="006B1195">
        <w:t xml:space="preserve"> </w:t>
      </w:r>
      <w:proofErr w:type="spellStart"/>
      <w:r w:rsidRPr="006B1195">
        <w:t>modernisation</w:t>
      </w:r>
      <w:proofErr w:type="spellEnd"/>
      <w:r w:rsidRPr="006B1195">
        <w:t xml:space="preserve"> of </w:t>
      </w:r>
      <w:proofErr w:type="spellStart"/>
      <w:r w:rsidRPr="006B1195">
        <w:t>Greece</w:t>
      </w:r>
      <w:proofErr w:type="spellEnd"/>
      <w:r w:rsidRPr="006B1195">
        <w:t xml:space="preserve"> </w:t>
      </w:r>
      <w:proofErr w:type="spellStart"/>
      <w:r w:rsidRPr="006B1195">
        <w:t>through</w:t>
      </w:r>
      <w:proofErr w:type="spellEnd"/>
      <w:r w:rsidRPr="006B1195">
        <w:t xml:space="preserve"> </w:t>
      </w:r>
      <w:proofErr w:type="spellStart"/>
      <w:r w:rsidRPr="006B1195">
        <w:t>education</w:t>
      </w:r>
      <w:proofErr w:type="spellEnd"/>
      <w:r w:rsidRPr="006B1195">
        <w:t xml:space="preserve">. </w:t>
      </w:r>
      <w:r w:rsidRPr="00B61DF3">
        <w:t xml:space="preserve">Venizelos met </w:t>
      </w:r>
      <w:proofErr w:type="spellStart"/>
      <w:r w:rsidRPr="00B61DF3">
        <w:t>with</w:t>
      </w:r>
      <w:proofErr w:type="spellEnd"/>
      <w:r w:rsidRPr="00B61DF3">
        <w:t xml:space="preserve"> </w:t>
      </w:r>
      <w:proofErr w:type="spellStart"/>
      <w:r w:rsidRPr="00B61DF3">
        <w:t>Karatheodory</w:t>
      </w:r>
      <w:proofErr w:type="spellEnd"/>
      <w:r w:rsidRPr="00B61DF3">
        <w:t xml:space="preserve"> in Paris, </w:t>
      </w:r>
      <w:proofErr w:type="spellStart"/>
      <w:r w:rsidRPr="00B61DF3">
        <w:t>where</w:t>
      </w:r>
      <w:proofErr w:type="spellEnd"/>
      <w:r w:rsidRPr="00B61DF3">
        <w:t xml:space="preserve"> he </w:t>
      </w:r>
      <w:proofErr w:type="spellStart"/>
      <w:r w:rsidRPr="00B61DF3">
        <w:t>was</w:t>
      </w:r>
      <w:proofErr w:type="spellEnd"/>
      <w:r w:rsidRPr="00B61DF3">
        <w:t xml:space="preserve"> in Paris </w:t>
      </w:r>
      <w:proofErr w:type="spellStart"/>
      <w:r w:rsidRPr="00B61DF3">
        <w:t>for</w:t>
      </w:r>
      <w:proofErr w:type="spellEnd"/>
      <w:r w:rsidRPr="00B61DF3">
        <w:t xml:space="preserve"> </w:t>
      </w:r>
      <w:proofErr w:type="spellStart"/>
      <w:r w:rsidRPr="00B61DF3">
        <w:t>the</w:t>
      </w:r>
      <w:proofErr w:type="spellEnd"/>
      <w:r w:rsidRPr="00B61DF3">
        <w:t xml:space="preserve"> </w:t>
      </w:r>
      <w:proofErr w:type="spellStart"/>
      <w:r w:rsidRPr="00B61DF3">
        <w:t>peace</w:t>
      </w:r>
      <w:proofErr w:type="spellEnd"/>
      <w:r w:rsidRPr="00B61DF3">
        <w:t xml:space="preserve"> </w:t>
      </w:r>
      <w:proofErr w:type="spellStart"/>
      <w:r w:rsidRPr="00B61DF3">
        <w:t>negotiations</w:t>
      </w:r>
      <w:proofErr w:type="spellEnd"/>
      <w:r w:rsidRPr="00B61DF3">
        <w:t xml:space="preserve"> at </w:t>
      </w:r>
      <w:proofErr w:type="spellStart"/>
      <w:r w:rsidRPr="00B61DF3">
        <w:t>the</w:t>
      </w:r>
      <w:proofErr w:type="spellEnd"/>
      <w:r w:rsidRPr="00B61DF3">
        <w:t xml:space="preserve"> </w:t>
      </w:r>
      <w:proofErr w:type="spellStart"/>
      <w:r w:rsidRPr="00B61DF3">
        <w:t>end</w:t>
      </w:r>
      <w:proofErr w:type="spellEnd"/>
      <w:r w:rsidRPr="00B61DF3">
        <w:t xml:space="preserve"> of World </w:t>
      </w:r>
      <w:proofErr w:type="spellStart"/>
      <w:r w:rsidRPr="00B61DF3">
        <w:t>War</w:t>
      </w:r>
      <w:proofErr w:type="spellEnd"/>
      <w:r w:rsidRPr="00B61DF3">
        <w:t xml:space="preserve"> I, </w:t>
      </w:r>
      <w:proofErr w:type="spellStart"/>
      <w:r w:rsidRPr="00B61DF3">
        <w:t>and</w:t>
      </w:r>
      <w:proofErr w:type="spellEnd"/>
      <w:r w:rsidRPr="00B61DF3">
        <w:t xml:space="preserve"> </w:t>
      </w:r>
      <w:proofErr w:type="spellStart"/>
      <w:r w:rsidRPr="00B61DF3">
        <w:t>discussed</w:t>
      </w:r>
      <w:proofErr w:type="spellEnd"/>
      <w:r w:rsidRPr="00B61DF3">
        <w:t xml:space="preserve"> </w:t>
      </w:r>
      <w:proofErr w:type="spellStart"/>
      <w:r w:rsidRPr="00B61DF3">
        <w:t>the</w:t>
      </w:r>
      <w:proofErr w:type="spellEnd"/>
      <w:r w:rsidRPr="00B61DF3">
        <w:t xml:space="preserve"> idea of </w:t>
      </w:r>
      <w:proofErr w:type="spellStart"/>
      <w:r w:rsidRPr="00B61DF3">
        <w:t>establishing</w:t>
      </w:r>
      <w:proofErr w:type="spellEnd"/>
      <w:r w:rsidRPr="00B61DF3">
        <w:t xml:space="preserve"> a </w:t>
      </w:r>
      <w:proofErr w:type="spellStart"/>
      <w:r w:rsidRPr="00B61DF3">
        <w:t>university</w:t>
      </w:r>
      <w:proofErr w:type="spellEnd"/>
      <w:r w:rsidRPr="00B61DF3">
        <w:t xml:space="preserve"> </w:t>
      </w:r>
      <w:proofErr w:type="spellStart"/>
      <w:r w:rsidRPr="00B61DF3">
        <w:t>outside</w:t>
      </w:r>
      <w:proofErr w:type="spellEnd"/>
      <w:r w:rsidRPr="00B61DF3">
        <w:t xml:space="preserve"> </w:t>
      </w:r>
      <w:proofErr w:type="spellStart"/>
      <w:r w:rsidRPr="00B61DF3">
        <w:t>Athens</w:t>
      </w:r>
      <w:proofErr w:type="spellEnd"/>
      <w:r w:rsidRPr="00B61DF3">
        <w:t xml:space="preserve">. </w:t>
      </w:r>
      <w:proofErr w:type="spellStart"/>
      <w:r w:rsidRPr="00B61DF3">
        <w:t>Karatheodory</w:t>
      </w:r>
      <w:proofErr w:type="spellEnd"/>
      <w:r w:rsidRPr="00B61DF3">
        <w:t xml:space="preserve"> </w:t>
      </w:r>
      <w:proofErr w:type="spellStart"/>
      <w:r w:rsidRPr="00B61DF3">
        <w:t>suggested</w:t>
      </w:r>
      <w:proofErr w:type="spellEnd"/>
      <w:r w:rsidRPr="00B61DF3">
        <w:t xml:space="preserve"> </w:t>
      </w:r>
      <w:proofErr w:type="spellStart"/>
      <w:r w:rsidRPr="00B61DF3">
        <w:t>Thessaloniki</w:t>
      </w:r>
      <w:proofErr w:type="spellEnd"/>
      <w:r w:rsidRPr="00B61DF3">
        <w:t xml:space="preserve">, </w:t>
      </w:r>
      <w:proofErr w:type="spellStart"/>
      <w:r w:rsidRPr="00B61DF3">
        <w:t>Chios</w:t>
      </w:r>
      <w:proofErr w:type="spellEnd"/>
      <w:r w:rsidRPr="00B61DF3">
        <w:t xml:space="preserve"> </w:t>
      </w:r>
      <w:proofErr w:type="spellStart"/>
      <w:r w:rsidRPr="00B61DF3">
        <w:t>and</w:t>
      </w:r>
      <w:proofErr w:type="spellEnd"/>
      <w:r w:rsidRPr="00B61DF3">
        <w:t xml:space="preserve"> </w:t>
      </w:r>
      <w:proofErr w:type="spellStart"/>
      <w:r w:rsidRPr="00B61DF3">
        <w:t>Izmir</w:t>
      </w:r>
      <w:proofErr w:type="spellEnd"/>
      <w:r w:rsidRPr="00B61DF3">
        <w:t xml:space="preserve"> </w:t>
      </w:r>
      <w:proofErr w:type="spellStart"/>
      <w:r w:rsidRPr="00B61DF3">
        <w:t>for</w:t>
      </w:r>
      <w:proofErr w:type="spellEnd"/>
      <w:r w:rsidRPr="00B61DF3">
        <w:t xml:space="preserve"> </w:t>
      </w:r>
      <w:proofErr w:type="spellStart"/>
      <w:r w:rsidRPr="00B61DF3">
        <w:t>the</w:t>
      </w:r>
      <w:proofErr w:type="spellEnd"/>
      <w:r w:rsidRPr="00B61DF3">
        <w:t xml:space="preserve"> </w:t>
      </w:r>
      <w:proofErr w:type="spellStart"/>
      <w:r w:rsidRPr="00B61DF3">
        <w:t>university</w:t>
      </w:r>
      <w:proofErr w:type="spellEnd"/>
      <w:r w:rsidRPr="00B61DF3">
        <w:t xml:space="preserve">. </w:t>
      </w:r>
      <w:proofErr w:type="spellStart"/>
      <w:r w:rsidRPr="00B61DF3">
        <w:t>In</w:t>
      </w:r>
      <w:proofErr w:type="spellEnd"/>
      <w:r w:rsidRPr="00B61DF3">
        <w:t xml:space="preserve"> </w:t>
      </w:r>
      <w:proofErr w:type="spellStart"/>
      <w:r w:rsidRPr="00B61DF3">
        <w:t>accordance</w:t>
      </w:r>
      <w:proofErr w:type="spellEnd"/>
      <w:r w:rsidRPr="00B61DF3">
        <w:t xml:space="preserve"> </w:t>
      </w:r>
      <w:proofErr w:type="spellStart"/>
      <w:r w:rsidRPr="00B61DF3">
        <w:t>with</w:t>
      </w:r>
      <w:proofErr w:type="spellEnd"/>
      <w:r w:rsidRPr="00B61DF3">
        <w:t xml:space="preserve"> </w:t>
      </w:r>
      <w:proofErr w:type="spellStart"/>
      <w:r w:rsidRPr="00B61DF3">
        <w:t>the</w:t>
      </w:r>
      <w:proofErr w:type="spellEnd"/>
      <w:r w:rsidRPr="00B61DF3">
        <w:t xml:space="preserve"> </w:t>
      </w:r>
      <w:proofErr w:type="spellStart"/>
      <w:r w:rsidRPr="00B61DF3">
        <w:t>decision</w:t>
      </w:r>
      <w:proofErr w:type="spellEnd"/>
      <w:r w:rsidRPr="00B61DF3">
        <w:t xml:space="preserve"> </w:t>
      </w:r>
      <w:proofErr w:type="spellStart"/>
      <w:r w:rsidRPr="00B61DF3">
        <w:t>taken</w:t>
      </w:r>
      <w:proofErr w:type="spellEnd"/>
      <w:r w:rsidRPr="00B61DF3">
        <w:t xml:space="preserve"> at </w:t>
      </w:r>
      <w:proofErr w:type="spellStart"/>
      <w:r w:rsidRPr="00B61DF3">
        <w:t>the</w:t>
      </w:r>
      <w:proofErr w:type="spellEnd"/>
      <w:r w:rsidRPr="00B61DF3">
        <w:t xml:space="preserve"> Paris </w:t>
      </w:r>
      <w:proofErr w:type="spellStart"/>
      <w:r w:rsidRPr="00B61DF3">
        <w:t>Peace</w:t>
      </w:r>
      <w:proofErr w:type="spellEnd"/>
      <w:r w:rsidRPr="00B61DF3">
        <w:t xml:space="preserve"> Conference, it </w:t>
      </w:r>
      <w:proofErr w:type="spellStart"/>
      <w:r w:rsidRPr="00B61DF3">
        <w:t>was</w:t>
      </w:r>
      <w:proofErr w:type="spellEnd"/>
      <w:r w:rsidRPr="00B61DF3">
        <w:t xml:space="preserve"> </w:t>
      </w:r>
      <w:proofErr w:type="spellStart"/>
      <w:r w:rsidRPr="00B61DF3">
        <w:t>decided</w:t>
      </w:r>
      <w:proofErr w:type="spellEnd"/>
      <w:r w:rsidRPr="00B61DF3">
        <w:t xml:space="preserve"> </w:t>
      </w:r>
      <w:proofErr w:type="spellStart"/>
      <w:r w:rsidRPr="00B61DF3">
        <w:t>that</w:t>
      </w:r>
      <w:proofErr w:type="spellEnd"/>
      <w:r w:rsidRPr="00B61DF3">
        <w:t xml:space="preserve"> İzmir </w:t>
      </w:r>
      <w:proofErr w:type="spellStart"/>
      <w:r w:rsidRPr="00B61DF3">
        <w:t>was</w:t>
      </w:r>
      <w:proofErr w:type="spellEnd"/>
      <w:r w:rsidRPr="00B61DF3">
        <w:t xml:space="preserve"> </w:t>
      </w:r>
      <w:proofErr w:type="spellStart"/>
      <w:r w:rsidRPr="00B61DF3">
        <w:t>the</w:t>
      </w:r>
      <w:proofErr w:type="spellEnd"/>
      <w:r w:rsidRPr="00B61DF3">
        <w:t xml:space="preserve"> </w:t>
      </w:r>
      <w:proofErr w:type="spellStart"/>
      <w:r w:rsidRPr="00B61DF3">
        <w:t>most</w:t>
      </w:r>
      <w:proofErr w:type="spellEnd"/>
      <w:r w:rsidRPr="00B61DF3">
        <w:t xml:space="preserve"> ideal </w:t>
      </w:r>
      <w:proofErr w:type="spellStart"/>
      <w:r w:rsidRPr="00B61DF3">
        <w:t>city</w:t>
      </w:r>
      <w:proofErr w:type="spellEnd"/>
      <w:r w:rsidRPr="00B61DF3">
        <w:t xml:space="preserve"> </w:t>
      </w:r>
      <w:proofErr w:type="spellStart"/>
      <w:r w:rsidRPr="00B61DF3">
        <w:t>for</w:t>
      </w:r>
      <w:proofErr w:type="spellEnd"/>
      <w:r w:rsidRPr="00B61DF3">
        <w:t xml:space="preserve"> </w:t>
      </w:r>
      <w:proofErr w:type="spellStart"/>
      <w:r w:rsidRPr="00B61DF3">
        <w:t>the</w:t>
      </w:r>
      <w:proofErr w:type="spellEnd"/>
      <w:r w:rsidRPr="00B61DF3">
        <w:t xml:space="preserve"> </w:t>
      </w:r>
      <w:proofErr w:type="spellStart"/>
      <w:r w:rsidRPr="00B61DF3">
        <w:t>university</w:t>
      </w:r>
      <w:proofErr w:type="spellEnd"/>
      <w:r w:rsidRPr="00B61DF3">
        <w:t xml:space="preserve"> </w:t>
      </w:r>
      <w:proofErr w:type="spellStart"/>
      <w:r w:rsidRPr="00B61DF3">
        <w:t>after</w:t>
      </w:r>
      <w:proofErr w:type="spellEnd"/>
      <w:r w:rsidRPr="00B61DF3">
        <w:t xml:space="preserve"> </w:t>
      </w:r>
      <w:proofErr w:type="spellStart"/>
      <w:r w:rsidRPr="00B61DF3">
        <w:t>Greece</w:t>
      </w:r>
      <w:proofErr w:type="spellEnd"/>
      <w:r w:rsidRPr="00B61DF3">
        <w:t xml:space="preserve"> </w:t>
      </w:r>
      <w:proofErr w:type="spellStart"/>
      <w:r w:rsidRPr="00B61DF3">
        <w:t>occupied</w:t>
      </w:r>
      <w:proofErr w:type="spellEnd"/>
      <w:r w:rsidRPr="00B61DF3">
        <w:t xml:space="preserve"> </w:t>
      </w:r>
      <w:proofErr w:type="spellStart"/>
      <w:r w:rsidRPr="00B61DF3">
        <w:t>İzmir.</w:t>
      </w:r>
      <w:r w:rsidRPr="00FF4D5C">
        <w:t>Thereupon</w:t>
      </w:r>
      <w:proofErr w:type="spellEnd"/>
      <w:r w:rsidRPr="00FF4D5C">
        <w:t xml:space="preserve">, in 1920, </w:t>
      </w:r>
      <w:proofErr w:type="spellStart"/>
      <w:r w:rsidRPr="00FF4D5C">
        <w:t>Karatheodory</w:t>
      </w:r>
      <w:proofErr w:type="spellEnd"/>
      <w:r w:rsidRPr="00FF4D5C">
        <w:t xml:space="preserve"> </w:t>
      </w:r>
      <w:proofErr w:type="spellStart"/>
      <w:r w:rsidRPr="00FF4D5C">
        <w:t>was</w:t>
      </w:r>
      <w:proofErr w:type="spellEnd"/>
      <w:r w:rsidRPr="00FF4D5C">
        <w:t xml:space="preserve"> </w:t>
      </w:r>
      <w:proofErr w:type="spellStart"/>
      <w:r w:rsidRPr="00FF4D5C">
        <w:t>tasked</w:t>
      </w:r>
      <w:proofErr w:type="spellEnd"/>
      <w:r w:rsidRPr="00FF4D5C">
        <w:t xml:space="preserve"> </w:t>
      </w:r>
      <w:proofErr w:type="spellStart"/>
      <w:r w:rsidRPr="00FF4D5C">
        <w:t>with</w:t>
      </w:r>
      <w:proofErr w:type="spellEnd"/>
      <w:r w:rsidRPr="00FF4D5C">
        <w:t xml:space="preserve"> </w:t>
      </w:r>
      <w:proofErr w:type="spellStart"/>
      <w:r w:rsidRPr="00FF4D5C">
        <w:t>the</w:t>
      </w:r>
      <w:proofErr w:type="spellEnd"/>
      <w:r w:rsidRPr="00FF4D5C">
        <w:t xml:space="preserve"> </w:t>
      </w:r>
      <w:proofErr w:type="spellStart"/>
      <w:r w:rsidRPr="00FF4D5C">
        <w:t>establishment</w:t>
      </w:r>
      <w:proofErr w:type="spellEnd"/>
      <w:r w:rsidRPr="00FF4D5C">
        <w:t xml:space="preserve"> of </w:t>
      </w:r>
      <w:proofErr w:type="spellStart"/>
      <w:r w:rsidRPr="00FF4D5C">
        <w:t>the</w:t>
      </w:r>
      <w:proofErr w:type="spellEnd"/>
      <w:r w:rsidRPr="00FF4D5C">
        <w:t xml:space="preserve"> </w:t>
      </w:r>
      <w:proofErr w:type="spellStart"/>
      <w:r w:rsidRPr="00FF4D5C">
        <w:t>Ionian</w:t>
      </w:r>
      <w:proofErr w:type="spellEnd"/>
      <w:r w:rsidRPr="00FF4D5C">
        <w:t xml:space="preserve"> </w:t>
      </w:r>
      <w:proofErr w:type="spellStart"/>
      <w:r w:rsidRPr="00FF4D5C">
        <w:t>University</w:t>
      </w:r>
      <w:proofErr w:type="spellEnd"/>
      <w:r w:rsidRPr="00FF4D5C">
        <w:t xml:space="preserve"> of </w:t>
      </w:r>
      <w:proofErr w:type="spellStart"/>
      <w:r w:rsidRPr="00FF4D5C">
        <w:t>Izmir</w:t>
      </w:r>
      <w:proofErr w:type="spellEnd"/>
      <w:r w:rsidRPr="00FF4D5C">
        <w:t xml:space="preserve">. </w:t>
      </w:r>
      <w:proofErr w:type="spellStart"/>
      <w:r w:rsidRPr="00FF4D5C">
        <w:t>With</w:t>
      </w:r>
      <w:proofErr w:type="spellEnd"/>
      <w:r w:rsidRPr="00FF4D5C">
        <w:t xml:space="preserve"> </w:t>
      </w:r>
      <w:proofErr w:type="spellStart"/>
      <w:r w:rsidRPr="00FF4D5C">
        <w:t>the</w:t>
      </w:r>
      <w:proofErr w:type="spellEnd"/>
      <w:r w:rsidRPr="00FF4D5C">
        <w:t xml:space="preserve"> </w:t>
      </w:r>
      <w:proofErr w:type="spellStart"/>
      <w:r w:rsidRPr="00FF4D5C">
        <w:t>law</w:t>
      </w:r>
      <w:proofErr w:type="spellEnd"/>
      <w:r w:rsidRPr="00FF4D5C">
        <w:t xml:space="preserve"> </w:t>
      </w:r>
      <w:proofErr w:type="spellStart"/>
      <w:r w:rsidRPr="00FF4D5C">
        <w:t>enacted</w:t>
      </w:r>
      <w:proofErr w:type="spellEnd"/>
      <w:r w:rsidRPr="00FF4D5C">
        <w:t xml:space="preserve"> on 14 </w:t>
      </w:r>
      <w:proofErr w:type="spellStart"/>
      <w:r w:rsidRPr="00FF4D5C">
        <w:t>July</w:t>
      </w:r>
      <w:proofErr w:type="spellEnd"/>
      <w:r w:rsidRPr="00FF4D5C">
        <w:t xml:space="preserve"> 1920, </w:t>
      </w:r>
      <w:proofErr w:type="spellStart"/>
      <w:r w:rsidRPr="00FF4D5C">
        <w:t>the</w:t>
      </w:r>
      <w:proofErr w:type="spellEnd"/>
      <w:r w:rsidRPr="00FF4D5C">
        <w:t xml:space="preserve"> </w:t>
      </w:r>
      <w:proofErr w:type="spellStart"/>
      <w:r w:rsidRPr="00FF4D5C">
        <w:t>process</w:t>
      </w:r>
      <w:proofErr w:type="spellEnd"/>
      <w:r w:rsidRPr="00FF4D5C">
        <w:t xml:space="preserve"> of </w:t>
      </w:r>
      <w:proofErr w:type="spellStart"/>
      <w:r w:rsidRPr="00FF4D5C">
        <w:t>establishing</w:t>
      </w:r>
      <w:proofErr w:type="spellEnd"/>
      <w:r w:rsidRPr="00FF4D5C">
        <w:t xml:space="preserve"> a </w:t>
      </w:r>
      <w:proofErr w:type="spellStart"/>
      <w:r w:rsidRPr="00FF4D5C">
        <w:t>university</w:t>
      </w:r>
      <w:proofErr w:type="spellEnd"/>
      <w:r w:rsidRPr="00FF4D5C">
        <w:t xml:space="preserve"> </w:t>
      </w:r>
      <w:proofErr w:type="spellStart"/>
      <w:r w:rsidRPr="00FF4D5C">
        <w:t>consisting</w:t>
      </w:r>
      <w:proofErr w:type="spellEnd"/>
      <w:r w:rsidRPr="00FF4D5C">
        <w:t xml:space="preserve"> of </w:t>
      </w:r>
      <w:proofErr w:type="spellStart"/>
      <w:r w:rsidRPr="00FF4D5C">
        <w:t>many</w:t>
      </w:r>
      <w:proofErr w:type="spellEnd"/>
      <w:r w:rsidRPr="00FF4D5C">
        <w:t xml:space="preserve"> </w:t>
      </w:r>
      <w:proofErr w:type="spellStart"/>
      <w:r w:rsidRPr="00FF4D5C">
        <w:t>different</w:t>
      </w:r>
      <w:proofErr w:type="spellEnd"/>
      <w:r w:rsidRPr="00FF4D5C">
        <w:t xml:space="preserve"> </w:t>
      </w:r>
      <w:proofErr w:type="spellStart"/>
      <w:r w:rsidRPr="00FF4D5C">
        <w:t>faculties</w:t>
      </w:r>
      <w:proofErr w:type="spellEnd"/>
      <w:r w:rsidRPr="00FF4D5C">
        <w:t xml:space="preserve"> in </w:t>
      </w:r>
      <w:proofErr w:type="spellStart"/>
      <w:r w:rsidRPr="00FF4D5C">
        <w:t>Izmir</w:t>
      </w:r>
      <w:proofErr w:type="spellEnd"/>
      <w:r w:rsidRPr="00FF4D5C">
        <w:t xml:space="preserve">, </w:t>
      </w:r>
      <w:proofErr w:type="spellStart"/>
      <w:r w:rsidRPr="00FF4D5C">
        <w:t>where</w:t>
      </w:r>
      <w:proofErr w:type="spellEnd"/>
      <w:r w:rsidRPr="00FF4D5C">
        <w:t xml:space="preserve"> </w:t>
      </w:r>
      <w:proofErr w:type="spellStart"/>
      <w:r w:rsidRPr="00FF4D5C">
        <w:t>the</w:t>
      </w:r>
      <w:proofErr w:type="spellEnd"/>
      <w:r w:rsidRPr="00FF4D5C">
        <w:t xml:space="preserve"> </w:t>
      </w:r>
      <w:proofErr w:type="spellStart"/>
      <w:r w:rsidRPr="00FF4D5C">
        <w:t>language</w:t>
      </w:r>
      <w:proofErr w:type="spellEnd"/>
      <w:r w:rsidRPr="00FF4D5C">
        <w:t xml:space="preserve"> of </w:t>
      </w:r>
      <w:proofErr w:type="spellStart"/>
      <w:r w:rsidRPr="00FF4D5C">
        <w:t>instruction</w:t>
      </w:r>
      <w:proofErr w:type="spellEnd"/>
      <w:r w:rsidRPr="00FF4D5C">
        <w:t xml:space="preserve"> </w:t>
      </w:r>
      <w:proofErr w:type="spellStart"/>
      <w:r w:rsidRPr="00FF4D5C">
        <w:t>would</w:t>
      </w:r>
      <w:proofErr w:type="spellEnd"/>
      <w:r w:rsidRPr="00FF4D5C">
        <w:t xml:space="preserve"> be </w:t>
      </w:r>
      <w:proofErr w:type="spellStart"/>
      <w:r w:rsidRPr="00FF4D5C">
        <w:t>Greek</w:t>
      </w:r>
      <w:proofErr w:type="spellEnd"/>
      <w:r w:rsidRPr="00FF4D5C">
        <w:t xml:space="preserve">, </w:t>
      </w:r>
      <w:proofErr w:type="spellStart"/>
      <w:r w:rsidRPr="00FF4D5C">
        <w:t>began</w:t>
      </w:r>
      <w:proofErr w:type="spellEnd"/>
      <w:r w:rsidRPr="00FF4D5C">
        <w:t xml:space="preserve">. </w:t>
      </w:r>
      <w:proofErr w:type="spellStart"/>
      <w:r w:rsidRPr="00FF4D5C">
        <w:t>The</w:t>
      </w:r>
      <w:proofErr w:type="spellEnd"/>
      <w:r w:rsidRPr="00FF4D5C">
        <w:t xml:space="preserve"> idea of </w:t>
      </w:r>
      <w:proofErr w:type="spellStart"/>
      <w:r w:rsidRPr="00FF4D5C">
        <w:t>opening</w:t>
      </w:r>
      <w:proofErr w:type="spellEnd"/>
      <w:r w:rsidRPr="00FF4D5C">
        <w:t xml:space="preserve"> a </w:t>
      </w:r>
      <w:proofErr w:type="spellStart"/>
      <w:r w:rsidRPr="00FF4D5C">
        <w:t>university</w:t>
      </w:r>
      <w:proofErr w:type="spellEnd"/>
      <w:r w:rsidRPr="00FF4D5C">
        <w:t xml:space="preserve"> in </w:t>
      </w:r>
      <w:proofErr w:type="spellStart"/>
      <w:r w:rsidRPr="00FF4D5C">
        <w:t>such</w:t>
      </w:r>
      <w:proofErr w:type="spellEnd"/>
      <w:r w:rsidRPr="00FF4D5C">
        <w:t xml:space="preserve"> a </w:t>
      </w:r>
      <w:proofErr w:type="spellStart"/>
      <w:r w:rsidRPr="00FF4D5C">
        <w:t>war</w:t>
      </w:r>
      <w:proofErr w:type="spellEnd"/>
      <w:r w:rsidRPr="00FF4D5C">
        <w:t xml:space="preserve"> </w:t>
      </w:r>
      <w:proofErr w:type="spellStart"/>
      <w:r w:rsidRPr="00FF4D5C">
        <w:t>environment</w:t>
      </w:r>
      <w:proofErr w:type="spellEnd"/>
      <w:r w:rsidRPr="00FF4D5C">
        <w:t xml:space="preserve"> is </w:t>
      </w:r>
      <w:proofErr w:type="spellStart"/>
      <w:r w:rsidRPr="00FF4D5C">
        <w:t>important</w:t>
      </w:r>
      <w:proofErr w:type="spellEnd"/>
      <w:r w:rsidRPr="00FF4D5C">
        <w:t xml:space="preserve"> in </w:t>
      </w:r>
      <w:proofErr w:type="spellStart"/>
      <w:r w:rsidRPr="00FF4D5C">
        <w:t>terms</w:t>
      </w:r>
      <w:proofErr w:type="spellEnd"/>
      <w:r w:rsidRPr="00FF4D5C">
        <w:t xml:space="preserve"> of </w:t>
      </w:r>
      <w:proofErr w:type="spellStart"/>
      <w:r w:rsidRPr="00FF4D5C">
        <w:t>reflecting</w:t>
      </w:r>
      <w:proofErr w:type="spellEnd"/>
      <w:r w:rsidRPr="00FF4D5C">
        <w:t xml:space="preserve"> </w:t>
      </w:r>
      <w:proofErr w:type="spellStart"/>
      <w:r w:rsidRPr="00FF4D5C">
        <w:t>the</w:t>
      </w:r>
      <w:proofErr w:type="spellEnd"/>
      <w:r w:rsidRPr="00FF4D5C">
        <w:t xml:space="preserve"> Venizelos </w:t>
      </w:r>
      <w:proofErr w:type="spellStart"/>
      <w:r w:rsidRPr="00FF4D5C">
        <w:t>Government's</w:t>
      </w:r>
      <w:proofErr w:type="spellEnd"/>
      <w:r w:rsidRPr="00FF4D5C">
        <w:t xml:space="preserve"> </w:t>
      </w:r>
      <w:proofErr w:type="spellStart"/>
      <w:r w:rsidRPr="00FF4D5C">
        <w:t>view</w:t>
      </w:r>
      <w:proofErr w:type="spellEnd"/>
      <w:r w:rsidRPr="00FF4D5C">
        <w:t xml:space="preserve"> of İzmir </w:t>
      </w:r>
      <w:proofErr w:type="spellStart"/>
      <w:r w:rsidRPr="00FF4D5C">
        <w:t>and</w:t>
      </w:r>
      <w:proofErr w:type="spellEnd"/>
      <w:r w:rsidRPr="00FF4D5C">
        <w:t xml:space="preserve"> </w:t>
      </w:r>
      <w:proofErr w:type="spellStart"/>
      <w:r w:rsidRPr="00FF4D5C">
        <w:t>the</w:t>
      </w:r>
      <w:proofErr w:type="spellEnd"/>
      <w:r w:rsidRPr="00FF4D5C">
        <w:t xml:space="preserve"> </w:t>
      </w:r>
      <w:proofErr w:type="spellStart"/>
      <w:r w:rsidRPr="00FF4D5C">
        <w:t>occupation</w:t>
      </w:r>
      <w:proofErr w:type="spellEnd"/>
      <w:r w:rsidRPr="00FF4D5C">
        <w:t xml:space="preserve">. </w:t>
      </w:r>
      <w:proofErr w:type="spellStart"/>
      <w:r w:rsidRPr="0039446F">
        <w:t>Until</w:t>
      </w:r>
      <w:proofErr w:type="spellEnd"/>
      <w:r w:rsidRPr="0039446F">
        <w:t xml:space="preserve"> </w:t>
      </w:r>
      <w:proofErr w:type="spellStart"/>
      <w:r w:rsidRPr="0039446F">
        <w:t>the</w:t>
      </w:r>
      <w:proofErr w:type="spellEnd"/>
      <w:r w:rsidRPr="0039446F">
        <w:t xml:space="preserve"> </w:t>
      </w:r>
      <w:proofErr w:type="spellStart"/>
      <w:r w:rsidRPr="0039446F">
        <w:t>summer</w:t>
      </w:r>
      <w:proofErr w:type="spellEnd"/>
      <w:r w:rsidRPr="0039446F">
        <w:t xml:space="preserve"> of 1922, </w:t>
      </w:r>
      <w:proofErr w:type="spellStart"/>
      <w:r w:rsidRPr="0039446F">
        <w:t>the</w:t>
      </w:r>
      <w:proofErr w:type="spellEnd"/>
      <w:r w:rsidRPr="0039446F">
        <w:t xml:space="preserve"> </w:t>
      </w:r>
      <w:proofErr w:type="spellStart"/>
      <w:r w:rsidRPr="0039446F">
        <w:t>construction</w:t>
      </w:r>
      <w:proofErr w:type="spellEnd"/>
      <w:r w:rsidRPr="0039446F">
        <w:t xml:space="preserve"> </w:t>
      </w:r>
      <w:proofErr w:type="spellStart"/>
      <w:r w:rsidRPr="0039446F">
        <w:t>process</w:t>
      </w:r>
      <w:proofErr w:type="spellEnd"/>
      <w:r w:rsidRPr="0039446F">
        <w:t xml:space="preserve"> of </w:t>
      </w:r>
      <w:proofErr w:type="spellStart"/>
      <w:r w:rsidRPr="0039446F">
        <w:t>the</w:t>
      </w:r>
      <w:proofErr w:type="spellEnd"/>
      <w:r w:rsidRPr="0039446F">
        <w:t xml:space="preserve"> </w:t>
      </w:r>
      <w:proofErr w:type="spellStart"/>
      <w:r w:rsidRPr="0039446F">
        <w:t>university</w:t>
      </w:r>
      <w:proofErr w:type="spellEnd"/>
      <w:r w:rsidRPr="0039446F">
        <w:t xml:space="preserve"> </w:t>
      </w:r>
      <w:proofErr w:type="spellStart"/>
      <w:r w:rsidRPr="0039446F">
        <w:t>continued</w:t>
      </w:r>
      <w:proofErr w:type="spellEnd"/>
      <w:r w:rsidRPr="0039446F">
        <w:t xml:space="preserve"> </w:t>
      </w:r>
      <w:proofErr w:type="spellStart"/>
      <w:r w:rsidRPr="0039446F">
        <w:t>and</w:t>
      </w:r>
      <w:proofErr w:type="spellEnd"/>
      <w:r w:rsidRPr="0039446F">
        <w:t xml:space="preserve"> it </w:t>
      </w:r>
      <w:proofErr w:type="spellStart"/>
      <w:r w:rsidRPr="0039446F">
        <w:t>was</w:t>
      </w:r>
      <w:proofErr w:type="spellEnd"/>
      <w:r w:rsidRPr="0039446F">
        <w:t xml:space="preserve"> </w:t>
      </w:r>
      <w:proofErr w:type="spellStart"/>
      <w:r w:rsidRPr="0039446F">
        <w:t>planned</w:t>
      </w:r>
      <w:proofErr w:type="spellEnd"/>
      <w:r w:rsidRPr="0039446F">
        <w:t xml:space="preserve"> </w:t>
      </w:r>
      <w:proofErr w:type="spellStart"/>
      <w:r w:rsidRPr="0039446F">
        <w:t>to</w:t>
      </w:r>
      <w:proofErr w:type="spellEnd"/>
      <w:r w:rsidRPr="0039446F">
        <w:t xml:space="preserve"> start </w:t>
      </w:r>
      <w:proofErr w:type="spellStart"/>
      <w:r w:rsidRPr="0039446F">
        <w:t>education</w:t>
      </w:r>
      <w:proofErr w:type="spellEnd"/>
      <w:r w:rsidRPr="0039446F">
        <w:t xml:space="preserve"> in </w:t>
      </w:r>
      <w:proofErr w:type="spellStart"/>
      <w:r w:rsidRPr="0039446F">
        <w:t>September</w:t>
      </w:r>
      <w:proofErr w:type="spellEnd"/>
      <w:r w:rsidRPr="0039446F">
        <w:t xml:space="preserve"> 1922 </w:t>
      </w:r>
      <w:proofErr w:type="spellStart"/>
      <w:r w:rsidRPr="0039446F">
        <w:t>with</w:t>
      </w:r>
      <w:proofErr w:type="spellEnd"/>
      <w:r w:rsidRPr="0039446F">
        <w:t xml:space="preserve"> </w:t>
      </w:r>
      <w:proofErr w:type="spellStart"/>
      <w:r w:rsidRPr="0039446F">
        <w:t>the</w:t>
      </w:r>
      <w:proofErr w:type="spellEnd"/>
      <w:r w:rsidRPr="0039446F">
        <w:t xml:space="preserve"> slogan </w:t>
      </w:r>
      <w:r w:rsidRPr="0039446F">
        <w:rPr>
          <w:i/>
          <w:iCs/>
        </w:rPr>
        <w:t>“</w:t>
      </w:r>
      <w:proofErr w:type="spellStart"/>
      <w:r w:rsidRPr="0039446F">
        <w:rPr>
          <w:i/>
          <w:iCs/>
        </w:rPr>
        <w:t>Light</w:t>
      </w:r>
      <w:proofErr w:type="spellEnd"/>
      <w:r w:rsidRPr="0039446F">
        <w:rPr>
          <w:i/>
          <w:iCs/>
        </w:rPr>
        <w:t xml:space="preserve"> </w:t>
      </w:r>
      <w:proofErr w:type="spellStart"/>
      <w:r w:rsidRPr="0039446F">
        <w:rPr>
          <w:i/>
          <w:iCs/>
        </w:rPr>
        <w:t>Rises</w:t>
      </w:r>
      <w:proofErr w:type="spellEnd"/>
      <w:r w:rsidRPr="0039446F">
        <w:rPr>
          <w:i/>
          <w:iCs/>
        </w:rPr>
        <w:t xml:space="preserve"> </w:t>
      </w:r>
      <w:proofErr w:type="spellStart"/>
      <w:r w:rsidRPr="0039446F">
        <w:rPr>
          <w:i/>
          <w:iCs/>
        </w:rPr>
        <w:t>from</w:t>
      </w:r>
      <w:proofErr w:type="spellEnd"/>
      <w:r w:rsidRPr="0039446F">
        <w:rPr>
          <w:i/>
          <w:iCs/>
        </w:rPr>
        <w:t xml:space="preserve"> </w:t>
      </w:r>
      <w:proofErr w:type="spellStart"/>
      <w:r w:rsidRPr="0039446F">
        <w:rPr>
          <w:i/>
          <w:iCs/>
        </w:rPr>
        <w:t>the</w:t>
      </w:r>
      <w:proofErr w:type="spellEnd"/>
      <w:r w:rsidRPr="0039446F">
        <w:rPr>
          <w:i/>
          <w:iCs/>
        </w:rPr>
        <w:t xml:space="preserve"> East”</w:t>
      </w:r>
      <w:r w:rsidRPr="0039446F">
        <w:t xml:space="preserve"> </w:t>
      </w:r>
      <w:proofErr w:type="spellStart"/>
      <w:r w:rsidRPr="0039446F">
        <w:t>determined</w:t>
      </w:r>
      <w:proofErr w:type="spellEnd"/>
      <w:r w:rsidRPr="0039446F">
        <w:t xml:space="preserve"> </w:t>
      </w:r>
      <w:proofErr w:type="spellStart"/>
      <w:r w:rsidRPr="0039446F">
        <w:t>by</w:t>
      </w:r>
      <w:proofErr w:type="spellEnd"/>
      <w:r w:rsidRPr="0039446F">
        <w:t xml:space="preserve"> </w:t>
      </w:r>
      <w:proofErr w:type="spellStart"/>
      <w:r w:rsidRPr="0039446F">
        <w:t>Karatheodory.</w:t>
      </w:r>
      <w:r w:rsidRPr="00832785">
        <w:t>However</w:t>
      </w:r>
      <w:proofErr w:type="spellEnd"/>
      <w:r w:rsidRPr="00832785">
        <w:t xml:space="preserve">, </w:t>
      </w:r>
      <w:proofErr w:type="spellStart"/>
      <w:r w:rsidRPr="00832785">
        <w:t>with</w:t>
      </w:r>
      <w:proofErr w:type="spellEnd"/>
      <w:r w:rsidRPr="00832785">
        <w:t xml:space="preserve"> </w:t>
      </w:r>
      <w:proofErr w:type="spellStart"/>
      <w:r w:rsidRPr="00832785">
        <w:t>the</w:t>
      </w:r>
      <w:proofErr w:type="spellEnd"/>
      <w:r w:rsidRPr="00832785">
        <w:t xml:space="preserve"> </w:t>
      </w:r>
      <w:proofErr w:type="spellStart"/>
      <w:r w:rsidRPr="00832785">
        <w:t>withdrawal</w:t>
      </w:r>
      <w:proofErr w:type="spellEnd"/>
      <w:r w:rsidRPr="00832785">
        <w:t xml:space="preserve"> of </w:t>
      </w:r>
      <w:proofErr w:type="spellStart"/>
      <w:r w:rsidRPr="00832785">
        <w:t>the</w:t>
      </w:r>
      <w:proofErr w:type="spellEnd"/>
      <w:r w:rsidRPr="00832785">
        <w:t xml:space="preserve"> </w:t>
      </w:r>
      <w:proofErr w:type="spellStart"/>
      <w:r w:rsidRPr="00832785">
        <w:t>Greek</w:t>
      </w:r>
      <w:proofErr w:type="spellEnd"/>
      <w:r w:rsidRPr="00832785">
        <w:t xml:space="preserve"> </w:t>
      </w:r>
      <w:proofErr w:type="spellStart"/>
      <w:r w:rsidRPr="00832785">
        <w:t>army</w:t>
      </w:r>
      <w:proofErr w:type="spellEnd"/>
      <w:r w:rsidRPr="00832785">
        <w:t xml:space="preserve"> </w:t>
      </w:r>
      <w:proofErr w:type="spellStart"/>
      <w:r w:rsidRPr="00832785">
        <w:t>after</w:t>
      </w:r>
      <w:proofErr w:type="spellEnd"/>
      <w:r w:rsidRPr="00832785">
        <w:t xml:space="preserve"> a </w:t>
      </w:r>
      <w:proofErr w:type="spellStart"/>
      <w:r w:rsidRPr="00832785">
        <w:t>major</w:t>
      </w:r>
      <w:proofErr w:type="spellEnd"/>
      <w:r w:rsidRPr="00832785">
        <w:t xml:space="preserve"> </w:t>
      </w:r>
      <w:proofErr w:type="spellStart"/>
      <w:r w:rsidRPr="00832785">
        <w:t>defeat</w:t>
      </w:r>
      <w:proofErr w:type="spellEnd"/>
      <w:r w:rsidRPr="00832785">
        <w:t xml:space="preserve"> in Anatolia, </w:t>
      </w:r>
      <w:proofErr w:type="spellStart"/>
      <w:r w:rsidRPr="00832785">
        <w:t>Greece's</w:t>
      </w:r>
      <w:proofErr w:type="spellEnd"/>
      <w:r w:rsidRPr="00832785">
        <w:t xml:space="preserve"> </w:t>
      </w:r>
      <w:proofErr w:type="spellStart"/>
      <w:r w:rsidRPr="00832785">
        <w:t>expectation</w:t>
      </w:r>
      <w:proofErr w:type="spellEnd"/>
      <w:r w:rsidRPr="00832785">
        <w:t xml:space="preserve"> of </w:t>
      </w:r>
      <w:proofErr w:type="spellStart"/>
      <w:r w:rsidRPr="00832785">
        <w:t>establishing</w:t>
      </w:r>
      <w:proofErr w:type="spellEnd"/>
      <w:r w:rsidRPr="00832785">
        <w:t xml:space="preserve"> an </w:t>
      </w:r>
      <w:proofErr w:type="spellStart"/>
      <w:r w:rsidRPr="00832785">
        <w:t>autonomous</w:t>
      </w:r>
      <w:proofErr w:type="spellEnd"/>
      <w:r w:rsidRPr="00832785">
        <w:t xml:space="preserve"> </w:t>
      </w:r>
      <w:proofErr w:type="spellStart"/>
      <w:r w:rsidRPr="00832785">
        <w:t>administration</w:t>
      </w:r>
      <w:proofErr w:type="spellEnd"/>
      <w:r w:rsidRPr="00832785">
        <w:t xml:space="preserve"> in </w:t>
      </w:r>
      <w:proofErr w:type="spellStart"/>
      <w:r w:rsidRPr="00832785">
        <w:t>Izmir</w:t>
      </w:r>
      <w:proofErr w:type="spellEnd"/>
      <w:r w:rsidRPr="00832785">
        <w:t xml:space="preserve"> </w:t>
      </w:r>
      <w:proofErr w:type="spellStart"/>
      <w:r w:rsidRPr="00832785">
        <w:t>came</w:t>
      </w:r>
      <w:proofErr w:type="spellEnd"/>
      <w:r w:rsidRPr="00832785">
        <w:t xml:space="preserve"> </w:t>
      </w:r>
      <w:proofErr w:type="spellStart"/>
      <w:r w:rsidRPr="00832785">
        <w:t>to</w:t>
      </w:r>
      <w:proofErr w:type="spellEnd"/>
      <w:r w:rsidRPr="00832785">
        <w:t xml:space="preserve"> an </w:t>
      </w:r>
      <w:proofErr w:type="spellStart"/>
      <w:r w:rsidRPr="00832785">
        <w:t>end</w:t>
      </w:r>
      <w:proofErr w:type="spellEnd"/>
      <w:r w:rsidRPr="00832785">
        <w:t xml:space="preserve">, </w:t>
      </w:r>
      <w:proofErr w:type="spellStart"/>
      <w:r w:rsidRPr="00832785">
        <w:t>and</w:t>
      </w:r>
      <w:proofErr w:type="spellEnd"/>
      <w:r w:rsidRPr="00832785">
        <w:t xml:space="preserve"> </w:t>
      </w:r>
      <w:proofErr w:type="spellStart"/>
      <w:r w:rsidRPr="00832785">
        <w:t>the</w:t>
      </w:r>
      <w:proofErr w:type="spellEnd"/>
      <w:r w:rsidRPr="00832785">
        <w:t xml:space="preserve"> </w:t>
      </w:r>
      <w:proofErr w:type="spellStart"/>
      <w:r w:rsidRPr="00832785">
        <w:t>first</w:t>
      </w:r>
      <w:proofErr w:type="spellEnd"/>
      <w:r w:rsidRPr="00832785">
        <w:t xml:space="preserve"> </w:t>
      </w:r>
      <w:proofErr w:type="spellStart"/>
      <w:r w:rsidRPr="00832785">
        <w:t>university</w:t>
      </w:r>
      <w:proofErr w:type="spellEnd"/>
      <w:r w:rsidRPr="00832785">
        <w:t xml:space="preserve"> </w:t>
      </w:r>
      <w:proofErr w:type="spellStart"/>
      <w:r w:rsidRPr="00832785">
        <w:t>established</w:t>
      </w:r>
      <w:proofErr w:type="spellEnd"/>
      <w:r w:rsidRPr="00832785">
        <w:t xml:space="preserve"> in </w:t>
      </w:r>
      <w:proofErr w:type="spellStart"/>
      <w:r w:rsidRPr="00832785">
        <w:t>Izmir</w:t>
      </w:r>
      <w:proofErr w:type="spellEnd"/>
      <w:r w:rsidRPr="00832785">
        <w:t xml:space="preserve"> </w:t>
      </w:r>
      <w:proofErr w:type="spellStart"/>
      <w:r w:rsidRPr="00832785">
        <w:t>took</w:t>
      </w:r>
      <w:proofErr w:type="spellEnd"/>
      <w:r w:rsidRPr="00832785">
        <w:t xml:space="preserve"> </w:t>
      </w:r>
      <w:proofErr w:type="spellStart"/>
      <w:r w:rsidRPr="00832785">
        <w:t>its</w:t>
      </w:r>
      <w:proofErr w:type="spellEnd"/>
      <w:r w:rsidRPr="00832785">
        <w:t xml:space="preserve"> </w:t>
      </w:r>
      <w:proofErr w:type="spellStart"/>
      <w:r w:rsidRPr="00832785">
        <w:t>place</w:t>
      </w:r>
      <w:proofErr w:type="spellEnd"/>
      <w:r w:rsidRPr="00832785">
        <w:t xml:space="preserve"> in </w:t>
      </w:r>
      <w:proofErr w:type="spellStart"/>
      <w:r w:rsidRPr="00832785">
        <w:t>history</w:t>
      </w:r>
      <w:proofErr w:type="spellEnd"/>
      <w:r w:rsidRPr="00832785">
        <w:t xml:space="preserve"> </w:t>
      </w:r>
      <w:proofErr w:type="spellStart"/>
      <w:r w:rsidRPr="00832785">
        <w:t>without</w:t>
      </w:r>
      <w:proofErr w:type="spellEnd"/>
      <w:r w:rsidRPr="00832785">
        <w:t xml:space="preserve"> ever </w:t>
      </w:r>
      <w:proofErr w:type="spellStart"/>
      <w:r w:rsidRPr="00832785">
        <w:t>opening</w:t>
      </w:r>
      <w:proofErr w:type="spellEnd"/>
      <w:r w:rsidRPr="00832785">
        <w:t xml:space="preserve">. </w:t>
      </w:r>
      <w:proofErr w:type="spellStart"/>
      <w:r w:rsidRPr="0062182B">
        <w:t>The</w:t>
      </w:r>
      <w:proofErr w:type="spellEnd"/>
      <w:r w:rsidRPr="0062182B">
        <w:t xml:space="preserve"> </w:t>
      </w:r>
      <w:proofErr w:type="spellStart"/>
      <w:r w:rsidRPr="0062182B">
        <w:t>study</w:t>
      </w:r>
      <w:proofErr w:type="spellEnd"/>
      <w:r w:rsidRPr="0062182B">
        <w:t xml:space="preserve"> </w:t>
      </w:r>
      <w:proofErr w:type="spellStart"/>
      <w:r w:rsidRPr="0062182B">
        <w:t>will</w:t>
      </w:r>
      <w:proofErr w:type="spellEnd"/>
      <w:r w:rsidRPr="0062182B">
        <w:t xml:space="preserve"> </w:t>
      </w:r>
      <w:proofErr w:type="spellStart"/>
      <w:r w:rsidRPr="0062182B">
        <w:t>include</w:t>
      </w:r>
      <w:proofErr w:type="spellEnd"/>
      <w:r w:rsidRPr="0062182B">
        <w:t xml:space="preserve"> </w:t>
      </w:r>
      <w:proofErr w:type="spellStart"/>
      <w:r w:rsidRPr="0062182B">
        <w:t>Greece's</w:t>
      </w:r>
      <w:proofErr w:type="spellEnd"/>
      <w:r w:rsidRPr="0062182B">
        <w:t xml:space="preserve"> </w:t>
      </w:r>
      <w:proofErr w:type="spellStart"/>
      <w:r w:rsidRPr="0062182B">
        <w:t>instrumentalisation</w:t>
      </w:r>
      <w:proofErr w:type="spellEnd"/>
      <w:r w:rsidRPr="0062182B">
        <w:t xml:space="preserve"> of </w:t>
      </w:r>
      <w:proofErr w:type="spellStart"/>
      <w:r w:rsidRPr="0062182B">
        <w:t>education</w:t>
      </w:r>
      <w:proofErr w:type="spellEnd"/>
      <w:r w:rsidRPr="0062182B">
        <w:t xml:space="preserve"> as a </w:t>
      </w:r>
      <w:proofErr w:type="spellStart"/>
      <w:r w:rsidRPr="0062182B">
        <w:t>modernisation</w:t>
      </w:r>
      <w:proofErr w:type="spellEnd"/>
      <w:r w:rsidRPr="0062182B">
        <w:t xml:space="preserve"> </w:t>
      </w:r>
      <w:proofErr w:type="spellStart"/>
      <w:r w:rsidRPr="0062182B">
        <w:t>project</w:t>
      </w:r>
      <w:proofErr w:type="spellEnd"/>
      <w:r w:rsidRPr="0062182B">
        <w:t xml:space="preserve"> as </w:t>
      </w:r>
      <w:proofErr w:type="spellStart"/>
      <w:r w:rsidRPr="0062182B">
        <w:t>well</w:t>
      </w:r>
      <w:proofErr w:type="spellEnd"/>
      <w:r w:rsidRPr="0062182B">
        <w:t xml:space="preserve"> as </w:t>
      </w:r>
      <w:proofErr w:type="spellStart"/>
      <w:r w:rsidRPr="0062182B">
        <w:t>the</w:t>
      </w:r>
      <w:proofErr w:type="spellEnd"/>
      <w:r w:rsidRPr="0062182B">
        <w:t xml:space="preserve"> </w:t>
      </w:r>
      <w:proofErr w:type="spellStart"/>
      <w:r w:rsidRPr="0062182B">
        <w:t>different</w:t>
      </w:r>
      <w:proofErr w:type="spellEnd"/>
      <w:r w:rsidRPr="0062182B">
        <w:t xml:space="preserve"> </w:t>
      </w:r>
      <w:proofErr w:type="spellStart"/>
      <w:r w:rsidRPr="0062182B">
        <w:t>perspectives</w:t>
      </w:r>
      <w:proofErr w:type="spellEnd"/>
      <w:r w:rsidRPr="0062182B">
        <w:t xml:space="preserve"> of an </w:t>
      </w:r>
      <w:proofErr w:type="spellStart"/>
      <w:r w:rsidRPr="0062182B">
        <w:t>aristocratic</w:t>
      </w:r>
      <w:proofErr w:type="spellEnd"/>
      <w:r w:rsidRPr="0062182B">
        <w:t xml:space="preserve"> </w:t>
      </w:r>
      <w:proofErr w:type="spellStart"/>
      <w:r w:rsidRPr="0062182B">
        <w:t>family</w:t>
      </w:r>
      <w:proofErr w:type="spellEnd"/>
      <w:r w:rsidRPr="0062182B">
        <w:t xml:space="preserve"> </w:t>
      </w:r>
      <w:proofErr w:type="spellStart"/>
      <w:r w:rsidRPr="0062182B">
        <w:t>from</w:t>
      </w:r>
      <w:proofErr w:type="spellEnd"/>
      <w:r w:rsidRPr="0062182B">
        <w:t xml:space="preserve"> </w:t>
      </w:r>
      <w:proofErr w:type="spellStart"/>
      <w:r w:rsidRPr="0062182B">
        <w:t>Phanariots</w:t>
      </w:r>
      <w:proofErr w:type="spellEnd"/>
      <w:r w:rsidRPr="0062182B">
        <w:t xml:space="preserve"> on </w:t>
      </w:r>
      <w:proofErr w:type="spellStart"/>
      <w:r w:rsidRPr="0062182B">
        <w:t>the</w:t>
      </w:r>
      <w:proofErr w:type="spellEnd"/>
      <w:r w:rsidRPr="0062182B">
        <w:t xml:space="preserve"> </w:t>
      </w:r>
      <w:proofErr w:type="spellStart"/>
      <w:r w:rsidRPr="0062182B">
        <w:t>Greek</w:t>
      </w:r>
      <w:proofErr w:type="spellEnd"/>
      <w:r w:rsidRPr="0062182B">
        <w:t xml:space="preserve"> Megali </w:t>
      </w:r>
      <w:proofErr w:type="spellStart"/>
      <w:r w:rsidRPr="0062182B">
        <w:t>Idea</w:t>
      </w:r>
      <w:proofErr w:type="spellEnd"/>
      <w:r w:rsidRPr="0062182B">
        <w:t xml:space="preserve"> </w:t>
      </w:r>
      <w:proofErr w:type="spellStart"/>
      <w:r w:rsidRPr="0062182B">
        <w:t>and</w:t>
      </w:r>
      <w:proofErr w:type="spellEnd"/>
      <w:r w:rsidRPr="0062182B">
        <w:t xml:space="preserve"> </w:t>
      </w:r>
      <w:proofErr w:type="spellStart"/>
      <w:r w:rsidRPr="0062182B">
        <w:t>the</w:t>
      </w:r>
      <w:proofErr w:type="spellEnd"/>
      <w:r w:rsidRPr="0062182B">
        <w:t xml:space="preserve"> </w:t>
      </w:r>
      <w:proofErr w:type="spellStart"/>
      <w:r w:rsidRPr="0062182B">
        <w:t>future</w:t>
      </w:r>
      <w:proofErr w:type="spellEnd"/>
      <w:r w:rsidRPr="0062182B">
        <w:t xml:space="preserve"> of </w:t>
      </w:r>
      <w:proofErr w:type="spellStart"/>
      <w:r w:rsidRPr="0062182B">
        <w:t>the</w:t>
      </w:r>
      <w:proofErr w:type="spellEnd"/>
      <w:r w:rsidRPr="0062182B">
        <w:t xml:space="preserve"> </w:t>
      </w:r>
      <w:proofErr w:type="spellStart"/>
      <w:r w:rsidRPr="0062182B">
        <w:t>Ottoman</w:t>
      </w:r>
      <w:proofErr w:type="spellEnd"/>
      <w:r w:rsidRPr="0062182B">
        <w:t xml:space="preserve"> </w:t>
      </w:r>
      <w:proofErr w:type="spellStart"/>
      <w:r w:rsidRPr="0062182B">
        <w:t>Empire</w:t>
      </w:r>
      <w:proofErr w:type="spellEnd"/>
      <w:r w:rsidRPr="0062182B">
        <w:t>.</w:t>
      </w:r>
    </w:p>
    <w:p w14:paraId="29E59EDF" w14:textId="77777777" w:rsidR="00914DCC" w:rsidRDefault="00914DCC" w:rsidP="0017453B">
      <w:pPr>
        <w:jc w:val="both"/>
      </w:pPr>
    </w:p>
    <w:p w14:paraId="690C8B61" w14:textId="77777777" w:rsidR="00914DCC" w:rsidRPr="00A4537F" w:rsidRDefault="00914DCC" w:rsidP="0017453B">
      <w:pPr>
        <w:jc w:val="both"/>
        <w:rPr>
          <w:color w:val="1F1F1F"/>
        </w:rPr>
      </w:pPr>
      <w:proofErr w:type="spellStart"/>
      <w:r w:rsidRPr="00A4537F">
        <w:rPr>
          <w:b/>
        </w:rPr>
        <w:t>Keywords</w:t>
      </w:r>
      <w:proofErr w:type="spellEnd"/>
      <w:r w:rsidRPr="00A4537F">
        <w:rPr>
          <w:b/>
        </w:rPr>
        <w:t>:</w:t>
      </w:r>
      <w:r w:rsidRPr="00A4537F">
        <w:rPr>
          <w:b/>
          <w:color w:val="1F1F1F"/>
        </w:rPr>
        <w:t xml:space="preserve"> </w:t>
      </w:r>
      <w:proofErr w:type="spellStart"/>
      <w:r>
        <w:rPr>
          <w:color w:val="1F1F1F"/>
        </w:rPr>
        <w:t>Izmir</w:t>
      </w:r>
      <w:proofErr w:type="spellEnd"/>
      <w:r>
        <w:rPr>
          <w:color w:val="1F1F1F"/>
        </w:rPr>
        <w:t xml:space="preserve"> </w:t>
      </w:r>
      <w:proofErr w:type="spellStart"/>
      <w:r>
        <w:rPr>
          <w:color w:val="1F1F1F"/>
        </w:rPr>
        <w:t>Ionian</w:t>
      </w:r>
      <w:proofErr w:type="spellEnd"/>
      <w:r>
        <w:rPr>
          <w:color w:val="1F1F1F"/>
        </w:rPr>
        <w:t xml:space="preserve"> </w:t>
      </w:r>
      <w:proofErr w:type="spellStart"/>
      <w:r>
        <w:rPr>
          <w:color w:val="1F1F1F"/>
        </w:rPr>
        <w:t>University</w:t>
      </w:r>
      <w:proofErr w:type="spellEnd"/>
      <w:r>
        <w:rPr>
          <w:color w:val="1F1F1F"/>
        </w:rPr>
        <w:t xml:space="preserve">, </w:t>
      </w:r>
      <w:r w:rsidRPr="00161E4F">
        <w:t xml:space="preserve">Konstantin </w:t>
      </w:r>
      <w:proofErr w:type="spellStart"/>
      <w:r w:rsidRPr="00161E4F">
        <w:t>Karatheodory</w:t>
      </w:r>
      <w:proofErr w:type="spellEnd"/>
      <w:r>
        <w:t xml:space="preserve">, </w:t>
      </w:r>
      <w:proofErr w:type="spellStart"/>
      <w:r>
        <w:t>Occupation</w:t>
      </w:r>
      <w:proofErr w:type="spellEnd"/>
      <w:r>
        <w:t xml:space="preserve"> of </w:t>
      </w:r>
      <w:proofErr w:type="spellStart"/>
      <w:r>
        <w:t>Izmir</w:t>
      </w:r>
      <w:proofErr w:type="spellEnd"/>
      <w:r>
        <w:t xml:space="preserve">, Venizelos, Megali </w:t>
      </w:r>
      <w:proofErr w:type="spellStart"/>
      <w:r>
        <w:t>Idea</w:t>
      </w:r>
      <w:proofErr w:type="spellEnd"/>
      <w:r>
        <w:t>.</w:t>
      </w:r>
    </w:p>
    <w:p w14:paraId="214BF530" w14:textId="77777777" w:rsidR="00914DCC" w:rsidRDefault="00914DCC" w:rsidP="0017453B">
      <w:pPr>
        <w:jc w:val="both"/>
      </w:pPr>
    </w:p>
    <w:p w14:paraId="7A09E9F5" w14:textId="00529484" w:rsidR="00914DCC" w:rsidRDefault="00914DCC" w:rsidP="0017453B">
      <w:pPr>
        <w:jc w:val="both"/>
      </w:pPr>
    </w:p>
    <w:p w14:paraId="69614CB2" w14:textId="3E138F7A" w:rsidR="00914DCC" w:rsidRDefault="00914DCC" w:rsidP="0017453B">
      <w:pPr>
        <w:jc w:val="both"/>
        <w:rPr>
          <w:b/>
          <w:bCs/>
        </w:rPr>
      </w:pPr>
      <w:r>
        <w:rPr>
          <w:b/>
          <w:bCs/>
        </w:rPr>
        <w:t>İZMİR İYON ÜNİVERSİTESİ VE KONSTANTİN KARATHEODORY</w:t>
      </w:r>
    </w:p>
    <w:p w14:paraId="54C829B2" w14:textId="77777777" w:rsidR="00914DCC" w:rsidRDefault="00914DCC" w:rsidP="0017453B">
      <w:pPr>
        <w:jc w:val="both"/>
        <w:rPr>
          <w:b/>
          <w:bCs/>
        </w:rPr>
      </w:pPr>
      <w:r>
        <w:rPr>
          <w:b/>
          <w:bCs/>
        </w:rPr>
        <w:t>Giriş</w:t>
      </w:r>
    </w:p>
    <w:p w14:paraId="1DF4741F" w14:textId="0F740295" w:rsidR="00914DCC" w:rsidRDefault="00914DCC" w:rsidP="0017453B">
      <w:pPr>
        <w:jc w:val="both"/>
      </w:pPr>
      <w:r w:rsidRPr="008512DB">
        <w:t>Fenerliler, eski Biz</w:t>
      </w:r>
      <w:r>
        <w:t>ans soyluları</w:t>
      </w:r>
      <w:r w:rsidRPr="008512DB">
        <w:t xml:space="preserve"> olarak, İstanbul’un fethinden sonra Osmanlı Devleti içinde önemli görevler üstlenmişlerdir. Bu aristokratik aileler güçlerini Avrupa dillerini bilmelerinden, Ortodoks kilisesindeki görevlerinden ve ticari faaliyetlerinden almışlardır.</w:t>
      </w:r>
      <w:r>
        <w:t xml:space="preserve"> Osmanlı yönetim sistemi içinde Baş Tercümanlık, Donanma T</w:t>
      </w:r>
      <w:r w:rsidRPr="008512DB">
        <w:t>ercümanlığı, Eflak</w:t>
      </w:r>
      <w:r>
        <w:t>- Boğdan V</w:t>
      </w:r>
      <w:r w:rsidRPr="008512DB">
        <w:t>oyvodalığı gi</w:t>
      </w:r>
      <w:r>
        <w:t>bi</w:t>
      </w:r>
      <w:r w:rsidRPr="008512DB">
        <w:t xml:space="preserve"> üst düzey bürokratik görevler üstlenmişlerdir.  Ortodoks kilise bürokrasisinde Yunancanın baskın olması onları Yunan kültürü ile yakın ilişkili hale getirmiştir. Bu nedenle Yunan, Rumen, </w:t>
      </w:r>
      <w:r w:rsidRPr="008512DB">
        <w:lastRenderedPageBreak/>
        <w:t xml:space="preserve">Bulgar ve Sırp tarih yazımlarında Yunan kültürünün canlanışını destekleyerek </w:t>
      </w:r>
      <w:r>
        <w:t>ulusal uyanışa yol açan Doğulu D</w:t>
      </w:r>
      <w:r w:rsidRPr="008512DB">
        <w:t>espotlar olarak anlatılmışlardır.</w:t>
      </w:r>
      <w:r>
        <w:t xml:space="preserve"> </w:t>
      </w:r>
      <w:r w:rsidRPr="008512DB">
        <w:t>(</w:t>
      </w:r>
      <w:proofErr w:type="spellStart"/>
      <w:r w:rsidRPr="008512DB">
        <w:t>Philliou</w:t>
      </w:r>
      <w:proofErr w:type="spellEnd"/>
      <w:r w:rsidRPr="008512DB">
        <w:t>, 2010, 54,</w:t>
      </w:r>
      <w:r>
        <w:t xml:space="preserve"> </w:t>
      </w:r>
      <w:r w:rsidRPr="008512DB">
        <w:t>56,</w:t>
      </w:r>
      <w:r>
        <w:t xml:space="preserve"> </w:t>
      </w:r>
      <w:r w:rsidRPr="008512DB">
        <w:t xml:space="preserve">58). </w:t>
      </w:r>
      <w:r>
        <w:t xml:space="preserve">Bu nedenle </w:t>
      </w:r>
      <w:r w:rsidRPr="008512DB">
        <w:t>1821 Yunan isya</w:t>
      </w:r>
      <w:r>
        <w:t>nın başlamasından hemen sonra Bâ</w:t>
      </w:r>
      <w:r w:rsidRPr="008512DB">
        <w:t>b</w:t>
      </w:r>
      <w:r>
        <w:t>-ı Â</w:t>
      </w:r>
      <w:r w:rsidRPr="008512DB">
        <w:t>li, kendi hizmetinde çalışan özellikle de önemli konumlarda bulunan bu yerli Rumlara bü</w:t>
      </w:r>
      <w:r>
        <w:t>yük bir şüpheyle bakmaya başlamıştır. Çoğu istifaya zorlanmış ya da</w:t>
      </w:r>
      <w:r w:rsidRPr="008512DB">
        <w:t xml:space="preserve"> Osmanlı yönet</w:t>
      </w:r>
      <w:r>
        <w:t xml:space="preserve">im kademelerinden </w:t>
      </w:r>
      <w:proofErr w:type="gramStart"/>
      <w:r>
        <w:t>uzaklaştırılmıştır</w:t>
      </w:r>
      <w:r w:rsidRPr="008512DB">
        <w:t>.(</w:t>
      </w:r>
      <w:proofErr w:type="spellStart"/>
      <w:proofErr w:type="gramEnd"/>
      <w:r w:rsidRPr="008512DB">
        <w:t>Je</w:t>
      </w:r>
      <w:r>
        <w:t>lavich</w:t>
      </w:r>
      <w:proofErr w:type="spellEnd"/>
      <w:r>
        <w:t xml:space="preserve">, 2013, s.244). Ekseriyetle </w:t>
      </w:r>
      <w:r w:rsidRPr="008512DB">
        <w:t>birbiriy</w:t>
      </w:r>
      <w:r>
        <w:t>le akraba olduğu</w:t>
      </w:r>
      <w:r w:rsidRPr="008512DB">
        <w:t xml:space="preserve"> </w:t>
      </w:r>
      <w:proofErr w:type="spellStart"/>
      <w:r w:rsidRPr="008512DB">
        <w:t>Mavrokordatos</w:t>
      </w:r>
      <w:proofErr w:type="spellEnd"/>
      <w:r w:rsidRPr="008512DB">
        <w:t xml:space="preserve">, </w:t>
      </w:r>
      <w:proofErr w:type="spellStart"/>
      <w:r w:rsidRPr="008512DB">
        <w:t>Argiropoulos</w:t>
      </w:r>
      <w:proofErr w:type="spellEnd"/>
      <w:r w:rsidRPr="008512DB">
        <w:t xml:space="preserve">, </w:t>
      </w:r>
      <w:proofErr w:type="spellStart"/>
      <w:r w:rsidRPr="008512DB">
        <w:t>Soutsos</w:t>
      </w:r>
      <w:proofErr w:type="spellEnd"/>
      <w:r w:rsidRPr="008512DB">
        <w:t xml:space="preserve">, </w:t>
      </w:r>
      <w:proofErr w:type="spellStart"/>
      <w:r w:rsidRPr="008512DB">
        <w:t>Karatzas</w:t>
      </w:r>
      <w:proofErr w:type="spellEnd"/>
      <w:r w:rsidRPr="008512DB">
        <w:t xml:space="preserve">, </w:t>
      </w:r>
      <w:proofErr w:type="spellStart"/>
      <w:r w:rsidRPr="008512DB">
        <w:t>Kantakouzenos</w:t>
      </w:r>
      <w:proofErr w:type="spellEnd"/>
      <w:r w:rsidRPr="008512DB">
        <w:t xml:space="preserve"> gibi ailelerden bazıları Yunan is</w:t>
      </w:r>
      <w:r>
        <w:t>yanına destek vererek gönüllü</w:t>
      </w:r>
      <w:r w:rsidRPr="008512DB">
        <w:t xml:space="preserve"> olarak</w:t>
      </w:r>
      <w:r>
        <w:t>,</w:t>
      </w:r>
      <w:r w:rsidRPr="008512DB">
        <w:t xml:space="preserve"> bazıları da zorunlu olarak yeni kurulan Yunan D</w:t>
      </w:r>
      <w:r>
        <w:t xml:space="preserve">evleti topraklarına göç etmiştir. </w:t>
      </w:r>
      <w:r w:rsidRPr="008512DB">
        <w:t>(</w:t>
      </w:r>
      <w:proofErr w:type="spellStart"/>
      <w:r w:rsidRPr="008512DB">
        <w:t>Petropulos</w:t>
      </w:r>
      <w:proofErr w:type="spellEnd"/>
      <w:r w:rsidRPr="008512DB">
        <w:t xml:space="preserve">, 1968, s.26). Ancak Fenerlilerin tamamının tutarlı bir ideolojiye ve kolektif bir </w:t>
      </w:r>
      <w:r>
        <w:t xml:space="preserve">ulusal </w:t>
      </w:r>
      <w:r w:rsidRPr="008512DB">
        <w:t>bilince sahip olduğu söylenemez. Nitekim 19.yüzyılın ortalarından 20.yüzyılın başına kadar olan süreç</w:t>
      </w:r>
      <w:r>
        <w:t>te temelleri 18.yüzyılın</w:t>
      </w:r>
      <w:r w:rsidRPr="008512DB">
        <w:t xml:space="preserve"> </w:t>
      </w:r>
      <w:r>
        <w:t xml:space="preserve">önemli </w:t>
      </w:r>
      <w:r w:rsidRPr="008512DB">
        <w:t>Yuna</w:t>
      </w:r>
      <w:r>
        <w:t>n milliyetçilerinden</w:t>
      </w:r>
      <w:r w:rsidRPr="008512DB">
        <w:t xml:space="preserve"> </w:t>
      </w:r>
      <w:proofErr w:type="spellStart"/>
      <w:r w:rsidRPr="008512DB">
        <w:t>Velestinli</w:t>
      </w:r>
      <w:proofErr w:type="spellEnd"/>
      <w:r w:rsidRPr="008512DB">
        <w:t xml:space="preserve"> </w:t>
      </w:r>
      <w:proofErr w:type="spellStart"/>
      <w:r w:rsidRPr="008512DB">
        <w:t>Rigas’tan</w:t>
      </w:r>
      <w:proofErr w:type="spellEnd"/>
      <w:r w:rsidRPr="008512DB">
        <w:t xml:space="preserve"> etkilenen ve Yunan-Osmanlılığı olarak adlandırılabilecek Türklerin ve Yunanların tek bir devlet çatısı altında barış içinde </w:t>
      </w:r>
      <w:proofErr w:type="spellStart"/>
      <w:r w:rsidRPr="008512DB">
        <w:t>yaşabileceği</w:t>
      </w:r>
      <w:proofErr w:type="spellEnd"/>
      <w:r w:rsidRPr="008512DB">
        <w:t xml:space="preserve"> bir düşünce oluşmuştur. (</w:t>
      </w:r>
      <w:proofErr w:type="spellStart"/>
      <w:r w:rsidRPr="008512DB">
        <w:t>Moiras</w:t>
      </w:r>
      <w:proofErr w:type="spellEnd"/>
      <w:r w:rsidRPr="008512DB">
        <w:t>, 2015, s.2). Bu fikrin Osmanlı idaresinde görev alan eski Fener aristokrasisinin imparatorluğa bağlılık düşüncesinin Helenizm’e bağlılık düşüncesiyle birleşmiş şekli olduğu düşünülebilir. Zira 1897’deki Osm</w:t>
      </w:r>
      <w:r>
        <w:t>anlı-Yunan Savaşı’nda Yunanistan’ın almış olduğu</w:t>
      </w:r>
      <w:r w:rsidRPr="008512DB">
        <w:t xml:space="preserve"> </w:t>
      </w:r>
      <w:proofErr w:type="gramStart"/>
      <w:r w:rsidRPr="008512DB">
        <w:t>yenilgi,  Yunan</w:t>
      </w:r>
      <w:proofErr w:type="gramEnd"/>
      <w:r w:rsidRPr="008512DB">
        <w:t xml:space="preserve"> milliyetçiliğinin </w:t>
      </w:r>
      <w:proofErr w:type="spellStart"/>
      <w:r w:rsidRPr="008512DB">
        <w:t>irredantist</w:t>
      </w:r>
      <w:proofErr w:type="spellEnd"/>
      <w:r w:rsidRPr="008512DB">
        <w:t xml:space="preserve"> siyasetinin zafiyetini de gözler önüne sermiştir. (</w:t>
      </w:r>
      <w:proofErr w:type="spellStart"/>
      <w:r w:rsidRPr="008512DB">
        <w:t>Eksertzoglou</w:t>
      </w:r>
      <w:proofErr w:type="spellEnd"/>
      <w:r w:rsidRPr="008512DB">
        <w:t xml:space="preserve">, 2004, s. 13 dipnot). Bu bağlamda </w:t>
      </w:r>
      <w:proofErr w:type="spellStart"/>
      <w:r w:rsidRPr="008512DB">
        <w:t>Karatheodory</w:t>
      </w:r>
      <w:proofErr w:type="spellEnd"/>
      <w:r w:rsidRPr="008512DB">
        <w:t xml:space="preserve"> ailesi Osmanlı Devleti içinde önemli görevler üstlenmeye devam etmiştir.</w:t>
      </w:r>
      <w:r>
        <w:t xml:space="preserve"> Ancak bu ailenin bir başka </w:t>
      </w:r>
      <w:r w:rsidRPr="008512DB">
        <w:t xml:space="preserve">ferdi olan Konstantin </w:t>
      </w:r>
      <w:proofErr w:type="spellStart"/>
      <w:r w:rsidRPr="008512DB">
        <w:t>Karatheodory</w:t>
      </w:r>
      <w:proofErr w:type="spellEnd"/>
      <w:r w:rsidRPr="008512DB">
        <w:t xml:space="preserve">, </w:t>
      </w:r>
      <w:r w:rsidRPr="008512DB">
        <w:rPr>
          <w:i/>
        </w:rPr>
        <w:t>Megali İdea</w:t>
      </w:r>
      <w:r w:rsidRPr="008512DB">
        <w:t xml:space="preserve"> düşüncesinden etkilenerek, Kurtuluş Savaşı yıllarında İzmir’de bir Yunan üniversitesi kurulması projesinin mimarı olmuştur. Çalışmada Yunanistan’</w:t>
      </w:r>
      <w:r>
        <w:t xml:space="preserve">ın İzmir’i işgalinin bölgede özerk bir yönetim kurarak İzmir’i </w:t>
      </w:r>
      <w:proofErr w:type="gramStart"/>
      <w:r>
        <w:t>daimi</w:t>
      </w:r>
      <w:proofErr w:type="gramEnd"/>
      <w:r>
        <w:t xml:space="preserve"> Yunan toprağı yapma amacıyla işgalin </w:t>
      </w:r>
      <w:r w:rsidRPr="008512DB">
        <w:t>kültürel boyutuna verdiği öneme vurgu yapılacaktır.</w:t>
      </w:r>
      <w:r>
        <w:t xml:space="preserve"> Bu nedenle öncelikle Konstantin </w:t>
      </w:r>
      <w:proofErr w:type="spellStart"/>
      <w:r>
        <w:t>Karatheodory</w:t>
      </w:r>
      <w:proofErr w:type="spellEnd"/>
      <w:r>
        <w:t xml:space="preserve"> ve ailesi hakkında bilgi verilecek, ardından İzmir’deki İyon Üniversitesi’nin kuruluşu ve hedefleri üzerinde durulacaktır.</w:t>
      </w:r>
    </w:p>
    <w:p w14:paraId="461796AA" w14:textId="77777777" w:rsidR="00914DCC" w:rsidRPr="00A55E83" w:rsidRDefault="00914DCC" w:rsidP="0017453B">
      <w:pPr>
        <w:jc w:val="both"/>
      </w:pPr>
    </w:p>
    <w:p w14:paraId="11FBC397" w14:textId="7093B7A3" w:rsidR="00914DCC" w:rsidRDefault="00914DCC" w:rsidP="0017453B">
      <w:pPr>
        <w:jc w:val="both"/>
      </w:pPr>
      <w:r>
        <w:rPr>
          <w:b/>
        </w:rPr>
        <w:t xml:space="preserve">1.Konstantin </w:t>
      </w:r>
      <w:proofErr w:type="spellStart"/>
      <w:r>
        <w:rPr>
          <w:b/>
        </w:rPr>
        <w:t>Karathe</w:t>
      </w:r>
      <w:r w:rsidRPr="002E2631">
        <w:rPr>
          <w:b/>
        </w:rPr>
        <w:t>odory</w:t>
      </w:r>
      <w:proofErr w:type="spellEnd"/>
      <w:r>
        <w:rPr>
          <w:b/>
        </w:rPr>
        <w:t xml:space="preserve"> (1873-1950):</w:t>
      </w:r>
      <w:r w:rsidRPr="00BF0FF8">
        <w:t xml:space="preserve"> </w:t>
      </w:r>
      <w:r>
        <w:t xml:space="preserve">13 Eylül </w:t>
      </w:r>
      <w:r w:rsidRPr="00BF0FF8">
        <w:t>1873</w:t>
      </w:r>
      <w:r>
        <w:t xml:space="preserve"> yılında Berlin’de dünyaya gelmiştir. (</w:t>
      </w:r>
      <w:proofErr w:type="spellStart"/>
      <w:r>
        <w:t>Piromali</w:t>
      </w:r>
      <w:proofErr w:type="spellEnd"/>
      <w:r>
        <w:t xml:space="preserve">, </w:t>
      </w:r>
      <w:proofErr w:type="gramStart"/>
      <w:r>
        <w:t>2020,s.</w:t>
      </w:r>
      <w:proofErr w:type="gramEnd"/>
      <w:r>
        <w:t xml:space="preserve">3). Anne tarafı Sakız adasının oldukça varlıklı ve üst sınıf ailelerinden </w:t>
      </w:r>
      <w:proofErr w:type="spellStart"/>
      <w:r>
        <w:t>Petrocochino’lardan</w:t>
      </w:r>
      <w:proofErr w:type="spellEnd"/>
      <w:r>
        <w:t xml:space="preserve"> gelmektedir.</w:t>
      </w:r>
      <w:r>
        <w:rPr>
          <w:lang w:val="el-GR"/>
        </w:rPr>
        <w:t xml:space="preserve"> </w:t>
      </w:r>
      <w:r>
        <w:t xml:space="preserve">Diplomat olan babası </w:t>
      </w:r>
      <w:proofErr w:type="spellStart"/>
      <w:r>
        <w:t>Stefanos</w:t>
      </w:r>
      <w:proofErr w:type="spellEnd"/>
      <w:r>
        <w:t xml:space="preserve"> </w:t>
      </w:r>
      <w:proofErr w:type="spellStart"/>
      <w:r>
        <w:t>Karatheodory</w:t>
      </w:r>
      <w:proofErr w:type="spellEnd"/>
      <w:r>
        <w:t>,</w:t>
      </w:r>
      <w:r>
        <w:rPr>
          <w:rStyle w:val="DipnotBavurusu"/>
          <w:rFonts w:eastAsiaTheme="majorEastAsia"/>
        </w:rPr>
        <w:footnoteReference w:id="10"/>
      </w:r>
      <w:r>
        <w:t xml:space="preserve"> Osmanlı Devleti’nin Berlin elçisi </w:t>
      </w:r>
      <w:proofErr w:type="spellStart"/>
      <w:r>
        <w:t>Yannis</w:t>
      </w:r>
      <w:proofErr w:type="spellEnd"/>
      <w:r>
        <w:t xml:space="preserve"> </w:t>
      </w:r>
      <w:proofErr w:type="spellStart"/>
      <w:r>
        <w:t>Aristarhis’in</w:t>
      </w:r>
      <w:proofErr w:type="spellEnd"/>
      <w:r>
        <w:t xml:space="preserve"> gözetiminde hukuk eğitimi aldıktan sonra </w:t>
      </w:r>
      <w:proofErr w:type="gramStart"/>
      <w:r>
        <w:t>1860’da</w:t>
      </w:r>
      <w:proofErr w:type="gramEnd"/>
      <w:r>
        <w:t xml:space="preserve"> uluslararası sular hukuku üzerine doktora eğitimini tamamlamış ve Osmanlı Devleti’nin Berlin, </w:t>
      </w:r>
      <w:proofErr w:type="spellStart"/>
      <w:r>
        <w:t>Stocholm</w:t>
      </w:r>
      <w:proofErr w:type="spellEnd"/>
      <w:r>
        <w:t xml:space="preserve"> ve Viyana elçiliklerinde sekreter olarak çalışmıştır. 1866- 1871 yılları arasında St. Petersburg elçiliği yapan </w:t>
      </w:r>
      <w:proofErr w:type="spellStart"/>
      <w:r>
        <w:t>Stefanos</w:t>
      </w:r>
      <w:proofErr w:type="spellEnd"/>
      <w:r>
        <w:t xml:space="preserve"> </w:t>
      </w:r>
      <w:proofErr w:type="spellStart"/>
      <w:r>
        <w:t>Karatheodroy’nin</w:t>
      </w:r>
      <w:proofErr w:type="spellEnd"/>
      <w:r>
        <w:t xml:space="preserve"> oğlu Konstantin doğduğunda ise Berlin’deki Osmanlı elçiliğinde Birinci Sekreter olarak görev yapmaktadır. </w:t>
      </w:r>
      <w:proofErr w:type="spellStart"/>
      <w:r>
        <w:lastRenderedPageBreak/>
        <w:t>Stefanos</w:t>
      </w:r>
      <w:proofErr w:type="spellEnd"/>
      <w:r>
        <w:t xml:space="preserve"> </w:t>
      </w:r>
      <w:proofErr w:type="spellStart"/>
      <w:r>
        <w:t>Karatheodory</w:t>
      </w:r>
      <w:proofErr w:type="spellEnd"/>
      <w:r>
        <w:t xml:space="preserve"> bir müddet İstanbul’da bulunmuş ardından Osmanlı Devleti’nin Brüksel büyükelçisi olmuştur. Görevdeyken Sultana karşı yürütülen hakareti önleyemediği için görevinden alınmıştır. Sonrasında da hayatının sonunda kadar Brüksel’de yaşamıştır. </w:t>
      </w:r>
      <w:r w:rsidRPr="00513D5A">
        <w:t>(</w:t>
      </w:r>
      <w:proofErr w:type="spellStart"/>
      <w:r w:rsidRPr="00513D5A">
        <w:t>Georgiadou</w:t>
      </w:r>
      <w:proofErr w:type="spellEnd"/>
      <w:r w:rsidRPr="00513D5A">
        <w:t xml:space="preserve">, </w:t>
      </w:r>
      <w:r>
        <w:t xml:space="preserve">2004, </w:t>
      </w:r>
      <w:r w:rsidRPr="00513D5A">
        <w:t>s. 1,5-6).</w:t>
      </w:r>
      <w:r>
        <w:t xml:space="preserve"> Dolayısıyla Konstantin </w:t>
      </w:r>
      <w:proofErr w:type="spellStart"/>
      <w:r>
        <w:t>Karatheodory</w:t>
      </w:r>
      <w:proofErr w:type="spellEnd"/>
      <w:r>
        <w:t xml:space="preserve">, babasının görevi nedeniyle çocukluk yıllarını Brüksel’de geçirmiş, Avrupai ve aristokrat bir çevrede büyümüştür. Bu nedenle çok küçük yaşta ana dili Yunancanın yanı sıra </w:t>
      </w:r>
      <w:proofErr w:type="spellStart"/>
      <w:r>
        <w:t>Flemenkçeyi</w:t>
      </w:r>
      <w:proofErr w:type="spellEnd"/>
      <w:r>
        <w:t xml:space="preserve"> öğrenmiş, Türkçe ve Almanca da iyi konuşabilmiştir. İlk ve ortaokulu Brüksel’de okurken matematiğe ilgi duymaya başlamıştır. Bu nedenle 1891’de </w:t>
      </w:r>
      <w:proofErr w:type="spellStart"/>
      <w:r>
        <w:t>Atheneum</w:t>
      </w:r>
      <w:proofErr w:type="spellEnd"/>
      <w:r>
        <w:t xml:space="preserve"> </w:t>
      </w:r>
      <w:proofErr w:type="spellStart"/>
      <w:r>
        <w:t>Royal</w:t>
      </w:r>
      <w:proofErr w:type="spellEnd"/>
      <w:r>
        <w:t xml:space="preserve"> de </w:t>
      </w:r>
      <w:proofErr w:type="spellStart"/>
      <w:r>
        <w:t>Bruxelles’de</w:t>
      </w:r>
      <w:proofErr w:type="spellEnd"/>
      <w:r>
        <w:t xml:space="preserve"> mühendislik eğitimini tamamlamış ancak ilerleyen süreçte mühendisliği bırakmıştır. (</w:t>
      </w:r>
      <w:proofErr w:type="spellStart"/>
      <w:r>
        <w:t>Piromali</w:t>
      </w:r>
      <w:proofErr w:type="spellEnd"/>
      <w:r>
        <w:t xml:space="preserve">, 2020, s.3, 7). Ardından Mısır’a giderek iki yıl orada yaşamış, İskenderiye’de bulunduğu sırada oradaki elit Yunan toplumu ile tanışma fırsatı bulmuştur. Örneğin Mısır’da pamuk ticareti ile zenginleşen, Venizelos’a karşı siyasi bir yakınlık besleyen Mısır Yunan cemaatinin de başkanı olan hayırsever Emmanuel </w:t>
      </w:r>
      <w:proofErr w:type="spellStart"/>
      <w:r>
        <w:t>Benakis</w:t>
      </w:r>
      <w:proofErr w:type="spellEnd"/>
      <w:r>
        <w:t xml:space="preserve"> ile tanışmış ve kızı </w:t>
      </w:r>
      <w:proofErr w:type="spellStart"/>
      <w:r>
        <w:t>Pinelopi</w:t>
      </w:r>
      <w:proofErr w:type="spellEnd"/>
      <w:r>
        <w:t xml:space="preserve"> S. Delta ile yakın arkadaş olmuştur. İlerleyen süreçte matematik alanında doktora eğitimini tamamlayan </w:t>
      </w:r>
      <w:proofErr w:type="spellStart"/>
      <w:r>
        <w:t>Karatheodory</w:t>
      </w:r>
      <w:proofErr w:type="spellEnd"/>
      <w:r>
        <w:t xml:space="preserve">, akademisyenliğin çok iyi bir sosyal statüye sahip olduğu Almanya’da kariyerine devam etmiştir. Kısa bir süre İstanbul’da bulunmuş ve burada termodinamik üzerine çalışmıştır. İstanbul’da bulunduğu sırada amcası </w:t>
      </w:r>
      <w:proofErr w:type="spellStart"/>
      <w:r>
        <w:t>Aleksandros</w:t>
      </w:r>
      <w:proofErr w:type="spellEnd"/>
      <w:r>
        <w:t xml:space="preserve"> </w:t>
      </w:r>
      <w:proofErr w:type="spellStart"/>
      <w:r>
        <w:t>Karatheodory</w:t>
      </w:r>
      <w:proofErr w:type="spellEnd"/>
      <w:r>
        <w:t xml:space="preserve"> Paşa</w:t>
      </w:r>
      <w:r>
        <w:rPr>
          <w:rStyle w:val="DipnotBavurusu"/>
          <w:rFonts w:eastAsiaTheme="majorEastAsia"/>
        </w:rPr>
        <w:footnoteReference w:id="11"/>
      </w:r>
      <w:r>
        <w:t xml:space="preserve"> ile önemli Fenerli ailelerden </w:t>
      </w:r>
      <w:proofErr w:type="spellStart"/>
      <w:r>
        <w:t>Kasandra</w:t>
      </w:r>
      <w:proofErr w:type="spellEnd"/>
      <w:r>
        <w:t xml:space="preserve"> </w:t>
      </w:r>
      <w:proofErr w:type="spellStart"/>
      <w:r>
        <w:t>Mousouros’ın</w:t>
      </w:r>
      <w:proofErr w:type="spellEnd"/>
      <w:r>
        <w:t xml:space="preserve"> kızı ile evlenmiştir.  </w:t>
      </w:r>
      <w:proofErr w:type="spellStart"/>
      <w:r>
        <w:t>Karatheodry’nin</w:t>
      </w:r>
      <w:proofErr w:type="spellEnd"/>
      <w:r>
        <w:t xml:space="preserve"> yaptığı bu evlilik, Fener soyluları aracılığıyla bir sosyal ilerleme ve yükselme arzusuna yorulabilir. Nitekim babası aracılığıyla Batı’da güçlü bağlantılar kurarken kayınpederi aracılığıyla da Doğu’da önemli bağlantılar kurmuştur. Kimi yorumlara göre bu meslek seçiminde ailesini uğrattığı hayal kırıklığını telafi etme isteği olarak görülmektedir. Nitekim </w:t>
      </w:r>
      <w:proofErr w:type="spellStart"/>
      <w:r>
        <w:t>Aleksandros</w:t>
      </w:r>
      <w:proofErr w:type="spellEnd"/>
      <w:r>
        <w:t xml:space="preserve"> </w:t>
      </w:r>
      <w:proofErr w:type="spellStart"/>
      <w:r>
        <w:t>Karatheodory</w:t>
      </w:r>
      <w:proofErr w:type="spellEnd"/>
      <w:r>
        <w:t xml:space="preserve"> Paşa, Osmanlı Devleti’nin Dışişleri Bakan vekili olarak İstanbul Konferansı’na katılmış ayrıca 1878 Berlin </w:t>
      </w:r>
      <w:proofErr w:type="spellStart"/>
      <w:r>
        <w:t>Kongresi’de</w:t>
      </w:r>
      <w:proofErr w:type="spellEnd"/>
      <w:r>
        <w:t xml:space="preserve"> tam yetkili olarak Osmanlı Devleti’ni temsil etmiştir. Bunun yanı sıra </w:t>
      </w:r>
      <w:proofErr w:type="spellStart"/>
      <w:r>
        <w:t>Aleksandros</w:t>
      </w:r>
      <w:proofErr w:type="spellEnd"/>
      <w:r>
        <w:t xml:space="preserve"> </w:t>
      </w:r>
      <w:proofErr w:type="spellStart"/>
      <w:r>
        <w:t>Karatheodory</w:t>
      </w:r>
      <w:proofErr w:type="spellEnd"/>
      <w:r>
        <w:t xml:space="preserve"> Paşa, Osmanlı Devleti’nin Dışişleri Bakanlığı görevinin yanı sıra 1885’ten 1894’e kadar da Sisam Adası Valisi, 1895 senesinde Girit Genel Valisi olarak görev yapmıştır. (</w:t>
      </w:r>
      <w:proofErr w:type="spellStart"/>
      <w:r>
        <w:t>Georgiadou</w:t>
      </w:r>
      <w:proofErr w:type="spellEnd"/>
      <w:r>
        <w:t>, 2004, s.</w:t>
      </w:r>
      <w:r w:rsidRPr="00B648E9">
        <w:rPr>
          <w:sz w:val="20"/>
          <w:szCs w:val="20"/>
        </w:rPr>
        <w:t xml:space="preserve"> </w:t>
      </w:r>
      <w:r w:rsidRPr="00B648E9">
        <w:t>17, 35,46,47, 51, 53, 57</w:t>
      </w:r>
      <w:r>
        <w:t>).</w:t>
      </w:r>
      <w:r>
        <w:rPr>
          <w:sz w:val="20"/>
          <w:szCs w:val="20"/>
        </w:rPr>
        <w:t xml:space="preserve"> </w:t>
      </w:r>
      <w:r>
        <w:t xml:space="preserve">Konstantin </w:t>
      </w:r>
      <w:proofErr w:type="spellStart"/>
      <w:r>
        <w:t>Karatheodory</w:t>
      </w:r>
      <w:proofErr w:type="spellEnd"/>
      <w:r>
        <w:t xml:space="preserve">, Bonn, Hannover, </w:t>
      </w:r>
      <w:proofErr w:type="spellStart"/>
      <w:r>
        <w:t>Breslau</w:t>
      </w:r>
      <w:proofErr w:type="spellEnd"/>
      <w:r>
        <w:t xml:space="preserve">, </w:t>
      </w:r>
      <w:proofErr w:type="spellStart"/>
      <w:r>
        <w:t>Göttingen</w:t>
      </w:r>
      <w:proofErr w:type="spellEnd"/>
      <w:r>
        <w:t xml:space="preserve"> ve</w:t>
      </w:r>
      <w:r w:rsidRPr="008C3FE0">
        <w:t xml:space="preserve"> 1918’den itibaren Berlin</w:t>
      </w:r>
      <w:r>
        <w:t xml:space="preserve"> Üniversitesi’nde profesörlük yapmış ve Almanya’da ve uluslar</w:t>
      </w:r>
      <w:r w:rsidRPr="008C3FE0">
        <w:t>a</w:t>
      </w:r>
      <w:r>
        <w:t>rası düzeyde tanınmış matematikçiler arasına girmiştir. (</w:t>
      </w:r>
      <w:proofErr w:type="spellStart"/>
      <w:r>
        <w:t>Georgiadou</w:t>
      </w:r>
      <w:proofErr w:type="spellEnd"/>
      <w:r>
        <w:t>, 2005, s.58).</w:t>
      </w:r>
      <w:r>
        <w:rPr>
          <w:sz w:val="20"/>
          <w:szCs w:val="20"/>
        </w:rPr>
        <w:t xml:space="preserve"> </w:t>
      </w:r>
      <w:r>
        <w:t>Ayrıca Albert Einstein ile kişisel düzeyde çok yakın ilişkileri olmuştur.</w:t>
      </w:r>
      <w:r>
        <w:rPr>
          <w:rStyle w:val="DipnotBavurusu"/>
          <w:rFonts w:eastAsiaTheme="majorEastAsia"/>
        </w:rPr>
        <w:footnoteReference w:id="12"/>
      </w:r>
    </w:p>
    <w:p w14:paraId="028B2471" w14:textId="77777777" w:rsidR="00914DCC" w:rsidRDefault="00914DCC" w:rsidP="0017453B">
      <w:pPr>
        <w:jc w:val="both"/>
      </w:pPr>
    </w:p>
    <w:p w14:paraId="2F01B973" w14:textId="77777777" w:rsidR="00914DCC" w:rsidRDefault="00914DCC" w:rsidP="0017453B">
      <w:pPr>
        <w:jc w:val="both"/>
        <w:rPr>
          <w:lang w:val="el-GR"/>
        </w:rPr>
      </w:pPr>
      <w:r w:rsidRPr="00781E9F">
        <w:rPr>
          <w:b/>
        </w:rPr>
        <w:t xml:space="preserve">1.a. </w:t>
      </w:r>
      <w:proofErr w:type="spellStart"/>
      <w:r>
        <w:rPr>
          <w:b/>
        </w:rPr>
        <w:t>Karatheodory</w:t>
      </w:r>
      <w:proofErr w:type="spellEnd"/>
      <w:r>
        <w:rPr>
          <w:b/>
        </w:rPr>
        <w:t xml:space="preserve">-Venizelos </w:t>
      </w:r>
      <w:r w:rsidRPr="00781E9F">
        <w:rPr>
          <w:b/>
        </w:rPr>
        <w:t>Tanışma</w:t>
      </w:r>
      <w:r>
        <w:rPr>
          <w:b/>
        </w:rPr>
        <w:t>sı</w:t>
      </w:r>
      <w:r w:rsidRPr="00781E9F">
        <w:rPr>
          <w:b/>
        </w:rPr>
        <w:t>:</w:t>
      </w:r>
      <w:r>
        <w:t xml:space="preserve"> Konstantin </w:t>
      </w:r>
      <w:proofErr w:type="spellStart"/>
      <w:r>
        <w:t>Karatheodory</w:t>
      </w:r>
      <w:proofErr w:type="spellEnd"/>
      <w:r>
        <w:t xml:space="preserve">, amcası ve aynı zamanda kayınpederi olan </w:t>
      </w:r>
      <w:proofErr w:type="spellStart"/>
      <w:r>
        <w:t>Aleksandros</w:t>
      </w:r>
      <w:proofErr w:type="spellEnd"/>
      <w:r>
        <w:t xml:space="preserve"> </w:t>
      </w:r>
      <w:proofErr w:type="spellStart"/>
      <w:r>
        <w:t>Karatheodory’i</w:t>
      </w:r>
      <w:proofErr w:type="spellEnd"/>
      <w:r>
        <w:t xml:space="preserve"> Girit Valisi olduğu sırada Girit’te ziyaret etmiş ve burada Yunanistan’ın gelecekteki başbakanı olacak </w:t>
      </w:r>
      <w:proofErr w:type="spellStart"/>
      <w:r>
        <w:t>Eleftherios</w:t>
      </w:r>
      <w:proofErr w:type="spellEnd"/>
      <w:r>
        <w:t xml:space="preserve"> Venizelos ile ilk kez tanışmıştır. Venizelos, o sırada Girit’teki seçimlerin ve meclisin boykot edilmesi çağrısı yaparak Girit Valisi’nin tüm tekliflerini reddetmiş, Büyük </w:t>
      </w:r>
      <w:proofErr w:type="spellStart"/>
      <w:r>
        <w:t>Güçler’in</w:t>
      </w:r>
      <w:proofErr w:type="spellEnd"/>
      <w:r>
        <w:t xml:space="preserve"> garantisi altında özerk bir yönetimi dahi kabul etmeyerek Girit’in Yunanistan’a katılmasını için mücadele veren genç bir siyasetçidir.</w:t>
      </w:r>
      <w:r>
        <w:rPr>
          <w:rStyle w:val="DipnotBavurusu"/>
          <w:rFonts w:eastAsiaTheme="majorEastAsia"/>
        </w:rPr>
        <w:footnoteReference w:id="13"/>
      </w:r>
      <w:r>
        <w:t xml:space="preserve"> Konstantin </w:t>
      </w:r>
      <w:proofErr w:type="spellStart"/>
      <w:r>
        <w:t>Karatheodory</w:t>
      </w:r>
      <w:proofErr w:type="spellEnd"/>
      <w:r>
        <w:t xml:space="preserve"> burada Venizelos’un siyasi görüşlerinden etkilenerek </w:t>
      </w:r>
      <w:r>
        <w:lastRenderedPageBreak/>
        <w:t xml:space="preserve">bundan sonra kendini Megali </w:t>
      </w:r>
      <w:proofErr w:type="spellStart"/>
      <w:r>
        <w:t>İdea’nın</w:t>
      </w:r>
      <w:proofErr w:type="spellEnd"/>
      <w:r>
        <w:t xml:space="preserve"> gerçekleşmesine adamıştır. (</w:t>
      </w:r>
      <w:proofErr w:type="spellStart"/>
      <w:r>
        <w:t>Georgiadou</w:t>
      </w:r>
      <w:proofErr w:type="spellEnd"/>
      <w:r>
        <w:t>, 2004, s. 53).</w:t>
      </w:r>
    </w:p>
    <w:p w14:paraId="703445AC" w14:textId="77777777" w:rsidR="00914DCC" w:rsidRPr="00FF6064" w:rsidRDefault="00914DCC" w:rsidP="0017453B">
      <w:pPr>
        <w:jc w:val="both"/>
        <w:rPr>
          <w:lang w:val="el-GR"/>
        </w:rPr>
      </w:pPr>
    </w:p>
    <w:p w14:paraId="2061C09C" w14:textId="6DF8DA2E" w:rsidR="00914DCC" w:rsidRDefault="00914DCC" w:rsidP="0017453B">
      <w:pPr>
        <w:jc w:val="both"/>
      </w:pPr>
      <w:r>
        <w:t xml:space="preserve">Yunan isyanı sonrası Mora, </w:t>
      </w:r>
      <w:proofErr w:type="spellStart"/>
      <w:r>
        <w:t>Sterea</w:t>
      </w:r>
      <w:proofErr w:type="spellEnd"/>
      <w:r>
        <w:t xml:space="preserve"> ve </w:t>
      </w:r>
      <w:proofErr w:type="spellStart"/>
      <w:r>
        <w:t>Kiklad</w:t>
      </w:r>
      <w:proofErr w:type="spellEnd"/>
      <w:r>
        <w:t xml:space="preserve"> adalarını kaplayan bir alanda Yunan Devleti kurulmuştur. Ancak yeni devletin sınırları içinde yaklaşık 750.000 kişilik bir nüfus bulunmasına rağmen 2.000.000’dan fazla Yunan nüfus Osmanlı Devleti sınırları içinde bulunmaktadır. Bu nedenle Yunanistan, Bizans üzerinde tarihi hak iddia ederek geçmişte onun sahip olduğu topraklara sahip olmayı ve dışarıda kalan nüfusu “özgürleştirme” politikası izlemiştir. Bu ideolojik yorum 19.yüzyıl boyunca ve 20.yüzyıl ilk 20 yılında Megali İdea olarak ün kazanmıştır. Yunan siyasetinde ve entelektüel hayatında büyük yer kaplayan bu ulusal ideoloji, Osmanlı Devleti’nin toprak bütünlüğü için büyük bir tehdit oluşturmuştur. (</w:t>
      </w:r>
      <w:proofErr w:type="spellStart"/>
      <w:r>
        <w:t>Papageorgiou</w:t>
      </w:r>
      <w:proofErr w:type="spellEnd"/>
      <w:r>
        <w:t>, 2005, s.420-421).</w:t>
      </w:r>
    </w:p>
    <w:p w14:paraId="6126F484" w14:textId="77777777" w:rsidR="00914DCC" w:rsidRDefault="00914DCC" w:rsidP="0017453B">
      <w:pPr>
        <w:jc w:val="both"/>
      </w:pPr>
    </w:p>
    <w:p w14:paraId="2E7F4F9C" w14:textId="7ED6FB30" w:rsidR="00914DCC" w:rsidRDefault="00914DCC" w:rsidP="0017453B">
      <w:pPr>
        <w:jc w:val="both"/>
      </w:pPr>
      <w:r>
        <w:t xml:space="preserve">Yunanistan’da Aralık 1910’da yapılan genel seçimlerde Venizelos’un başında bulunduğu Liberal Parti’nin ezici bir üstünlük kazanması Venizelos’a iç işlerinde reformu, ekonomik ve siyasal konularda modernleşmeyi ve siyasi arenada Megali </w:t>
      </w:r>
      <w:proofErr w:type="spellStart"/>
      <w:r>
        <w:t>İdea’yı</w:t>
      </w:r>
      <w:proofErr w:type="spellEnd"/>
      <w:r>
        <w:t xml:space="preserve"> gerçekleştirebilmesi için büyük bir fırsat sunmuştur. (</w:t>
      </w:r>
      <w:proofErr w:type="spellStart"/>
      <w:r>
        <w:t>Clogg</w:t>
      </w:r>
      <w:proofErr w:type="spellEnd"/>
      <w:r>
        <w:t xml:space="preserve">, 2018, s. 81). Yeni hükümet özellikle 1910-1915 arasında eğitim reformuna özel önem vermiştir. Liberal Hükümet’in gelecekteki eğitim bakanı olacak olan ve o sırada Berlin’de eğitim gören Yorgo Papandreou, Konstantin </w:t>
      </w:r>
      <w:proofErr w:type="spellStart"/>
      <w:r>
        <w:t>Karatheodory’yi</w:t>
      </w:r>
      <w:proofErr w:type="spellEnd"/>
      <w:r>
        <w:t xml:space="preserve"> Yunanistan’ın yeniden yapılanma sürecine dahil etmiştir. Nitekim Atina </w:t>
      </w:r>
      <w:proofErr w:type="spellStart"/>
      <w:r>
        <w:t>Kapodistrian</w:t>
      </w:r>
      <w:proofErr w:type="spellEnd"/>
      <w:r>
        <w:t xml:space="preserve"> Üniversitesi’nde yeni kürsüler ve </w:t>
      </w:r>
      <w:proofErr w:type="spellStart"/>
      <w:r>
        <w:t>laboratuarlar</w:t>
      </w:r>
      <w:proofErr w:type="spellEnd"/>
      <w:r>
        <w:t xml:space="preserve"> açılarak ulusal bir üniversiteye entegre edilmesine için oluşturulan komiteye Doğu Bilimleri ve Matematik Fakültesi kürsülerinin açılmasından sorumlu komite üyesi olarak Venizelos, </w:t>
      </w:r>
      <w:proofErr w:type="spellStart"/>
      <w:r>
        <w:t>Karatheodory’yi</w:t>
      </w:r>
      <w:proofErr w:type="spellEnd"/>
      <w:r>
        <w:t xml:space="preserve"> önermiştir. Ancak ikinci görüşmeleri 1919 yılında gerçekleşmiştir. Venizelos 1919’da barış konferansına katılmak için Paris’te bulunduğu sırada Berlin’de bulunan </w:t>
      </w:r>
      <w:proofErr w:type="spellStart"/>
      <w:r>
        <w:t>Karatheodory’yi</w:t>
      </w:r>
      <w:proofErr w:type="spellEnd"/>
      <w:r>
        <w:t xml:space="preserve"> Paris’e davet etmiştir. Nitekim Venizelos bu süreçte dönemin Yunan bilim insanları, entelektüelleri ve Avrupa ile bağlantılı kişilerle gerek eğitim programının hazırlanmasına yardımcı olmak gerekse de ulusal konularda hükümet ile </w:t>
      </w:r>
      <w:proofErr w:type="gramStart"/>
      <w:r>
        <w:t>işbirliği</w:t>
      </w:r>
      <w:proofErr w:type="gramEnd"/>
      <w:r>
        <w:t xml:space="preserve"> sağlamak için onlarla temas kurmaya önem vermiştir. (</w:t>
      </w:r>
      <w:proofErr w:type="spellStart"/>
      <w:r>
        <w:t>Gerogiadou</w:t>
      </w:r>
      <w:proofErr w:type="spellEnd"/>
      <w:r>
        <w:t xml:space="preserve">, 2004, s.87-88,89, 139). Bu nedenle </w:t>
      </w:r>
      <w:proofErr w:type="spellStart"/>
      <w:r>
        <w:t>Karatheodory</w:t>
      </w:r>
      <w:proofErr w:type="spellEnd"/>
      <w:r>
        <w:t>, onun idealleri açısından önemli bir isimdir.</w:t>
      </w:r>
    </w:p>
    <w:p w14:paraId="651DDD79" w14:textId="77777777" w:rsidR="00914DCC" w:rsidRDefault="00914DCC" w:rsidP="0017453B">
      <w:pPr>
        <w:jc w:val="both"/>
      </w:pPr>
    </w:p>
    <w:p w14:paraId="45C667F0" w14:textId="77777777" w:rsidR="00914DCC" w:rsidRDefault="00914DCC" w:rsidP="0017453B">
      <w:pPr>
        <w:jc w:val="both"/>
        <w:rPr>
          <w:b/>
        </w:rPr>
      </w:pPr>
      <w:r>
        <w:rPr>
          <w:b/>
        </w:rPr>
        <w:t>1.</w:t>
      </w:r>
      <w:proofErr w:type="gramStart"/>
      <w:r>
        <w:rPr>
          <w:b/>
        </w:rPr>
        <w:t>b.</w:t>
      </w:r>
      <w:r w:rsidRPr="00326304">
        <w:rPr>
          <w:b/>
        </w:rPr>
        <w:t>Yunanistan’</w:t>
      </w:r>
      <w:r>
        <w:rPr>
          <w:b/>
        </w:rPr>
        <w:t>ın</w:t>
      </w:r>
      <w:proofErr w:type="gramEnd"/>
      <w:r>
        <w:rPr>
          <w:b/>
        </w:rPr>
        <w:t xml:space="preserve"> Modernleşme Projesi Olarak Üniversite Kurma Fikri</w:t>
      </w:r>
    </w:p>
    <w:p w14:paraId="678E3B20" w14:textId="77777777" w:rsidR="00914DCC" w:rsidRDefault="00914DCC" w:rsidP="0017453B">
      <w:pPr>
        <w:jc w:val="both"/>
      </w:pPr>
      <w:r>
        <w:t>Liberal Parti, 20. Yüzyılın ilk 20 yılında Yunan olmayan ve Yunanca konuşmayan Ortodoks nüfuslara karşı da ayrı bir politika geliştirmiştir. Bu nüfusları Yunan Devleti’ne dahil etme girişimi bu politikayı izleyenlerin gözünde bir asimilasyon değil aksine insani bir girişim olarak algılanmış ve Helenizm, Batı modernleşmesini ifade eden bir metafor olarak görülmüştür. (</w:t>
      </w:r>
      <w:proofErr w:type="spellStart"/>
      <w:r w:rsidRPr="007253D8">
        <w:t>Agelopoulos</w:t>
      </w:r>
      <w:proofErr w:type="spellEnd"/>
      <w:r>
        <w:t xml:space="preserve">, 2018, s. 196-197). Nitekim 1837’de kurulan Atina Üniversitesi’nin ilk rektörü Konstantin D. </w:t>
      </w:r>
      <w:proofErr w:type="spellStart"/>
      <w:r>
        <w:t>Skhinas</w:t>
      </w:r>
      <w:proofErr w:type="spellEnd"/>
      <w:r>
        <w:t xml:space="preserve">, üniter bir Yunan Devleti’nin kurulmasını </w:t>
      </w:r>
      <w:proofErr w:type="spellStart"/>
      <w:r>
        <w:t>Yunanlılığın</w:t>
      </w:r>
      <w:proofErr w:type="spellEnd"/>
      <w:r>
        <w:t xml:space="preserve"> ilk başarısı olarak değerlendirmiş ve ikinci sıraya da bir üniversitenin kurulmasını koymuştur. Benzer şekilde 1844’te Yunanistan Başbakanı olan </w:t>
      </w:r>
      <w:proofErr w:type="spellStart"/>
      <w:r>
        <w:t>Kolletis</w:t>
      </w:r>
      <w:proofErr w:type="spellEnd"/>
      <w:r>
        <w:t xml:space="preserve"> de Yunan misyonunun Doğu’yu aydınlatmak olduğunu belirtmiştir. 1844 anayasası danışmanı </w:t>
      </w:r>
      <w:proofErr w:type="spellStart"/>
      <w:r>
        <w:t>Nikolaos</w:t>
      </w:r>
      <w:proofErr w:type="spellEnd"/>
      <w:r>
        <w:t xml:space="preserve"> I. </w:t>
      </w:r>
      <w:proofErr w:type="spellStart"/>
      <w:r>
        <w:t>Saripolos</w:t>
      </w:r>
      <w:proofErr w:type="spellEnd"/>
      <w:r>
        <w:t xml:space="preserve"> </w:t>
      </w:r>
      <w:proofErr w:type="gramStart"/>
      <w:r>
        <w:t>da,</w:t>
      </w:r>
      <w:proofErr w:type="gramEnd"/>
      <w:r>
        <w:t xml:space="preserve"> Yunanistan’ın sadece kendi ulusu değil Doğu’yu da uygarlaştırmakla görevli olduğunu ifade ederek </w:t>
      </w:r>
      <w:proofErr w:type="spellStart"/>
      <w:r>
        <w:t>Kolletis’in</w:t>
      </w:r>
      <w:proofErr w:type="spellEnd"/>
      <w:r>
        <w:t xml:space="preserve"> sloganını devralmıştır. Tarihçi Konstantinos </w:t>
      </w:r>
      <w:proofErr w:type="spellStart"/>
      <w:r>
        <w:t>Paparrigopoulos</w:t>
      </w:r>
      <w:proofErr w:type="spellEnd"/>
      <w:r>
        <w:t xml:space="preserve"> da </w:t>
      </w:r>
      <w:proofErr w:type="spellStart"/>
      <w:r>
        <w:t>Yunanlılığın</w:t>
      </w:r>
      <w:proofErr w:type="spellEnd"/>
      <w:r>
        <w:t xml:space="preserve"> iki büyük tarihsel görevini yerine getirdiğini belirtmiş ve bu bağlamda Yunan tarihinin Antik Yunan, Bizans </w:t>
      </w:r>
      <w:proofErr w:type="gramStart"/>
      <w:r>
        <w:t>Ortaçağı</w:t>
      </w:r>
      <w:proofErr w:type="gramEnd"/>
      <w:r>
        <w:t xml:space="preserve"> ve Modern Yunanistan olarak üç aşamalı gelişim </w:t>
      </w:r>
      <w:r>
        <w:lastRenderedPageBreak/>
        <w:t>gösterdiğini ve bir üçüncü görevi daha olduğunu belirtmiştir. (</w:t>
      </w:r>
      <w:proofErr w:type="spellStart"/>
      <w:r>
        <w:t>Georgiadou</w:t>
      </w:r>
      <w:proofErr w:type="spellEnd"/>
      <w:r>
        <w:t xml:space="preserve">, 2005, s. 63). Dolayısıyla Atina dışında yeni bir üniversite kurma fikri henüz 1911’de Venizelos’un yakın mesai arkadaşlarından biri olan Liberal Parti milletvekillerinden Andreas </w:t>
      </w:r>
      <w:proofErr w:type="spellStart"/>
      <w:r>
        <w:t>Michalakopoulos</w:t>
      </w:r>
      <w:proofErr w:type="spellEnd"/>
      <w:r>
        <w:t xml:space="preserve"> tarafından dile getirilmiştir. “Kurtarılmış Bölgelerde” yeni bir üniversite açma fikri yabancı değildir. Hatta Venizelos üniversite binası olması düşünülen kışlalara bakması için yakın arkadaşlarından birini dahi gizlice İstanbul’a göndermiştir. </w:t>
      </w:r>
      <w:proofErr w:type="spellStart"/>
      <w:proofErr w:type="gramStart"/>
      <w:r>
        <w:t>Karatheodory</w:t>
      </w:r>
      <w:proofErr w:type="spellEnd"/>
      <w:r>
        <w:t xml:space="preserve">,  </w:t>
      </w:r>
      <w:proofErr w:type="spellStart"/>
      <w:r>
        <w:t>ikinici</w:t>
      </w:r>
      <w:proofErr w:type="spellEnd"/>
      <w:proofErr w:type="gramEnd"/>
      <w:r>
        <w:t xml:space="preserve"> bir Yunan üniversitesi açılma hikayesini bir hukuk profesörü olan arkadaşı </w:t>
      </w:r>
      <w:proofErr w:type="spellStart"/>
      <w:r>
        <w:t>Periklis</w:t>
      </w:r>
      <w:proofErr w:type="spellEnd"/>
      <w:r>
        <w:t xml:space="preserve"> </w:t>
      </w:r>
      <w:proofErr w:type="spellStart"/>
      <w:r>
        <w:t>Vizoukidis’e</w:t>
      </w:r>
      <w:proofErr w:type="spellEnd"/>
      <w:r>
        <w:t xml:space="preserve"> anlatmıştır. Buna göre Yunan toprağı olması düşünülen topraklar kurtarılır kurtarılmaz özellikle de Makedonya’da </w:t>
      </w:r>
      <w:proofErr w:type="spellStart"/>
      <w:r>
        <w:t>Selanik’de</w:t>
      </w:r>
      <w:proofErr w:type="spellEnd"/>
      <w:r>
        <w:t xml:space="preserve"> bir üniversite kurma planı olmuştur. Ama I. Dünya Savaşı nedeniyle bu planlar hayata geçirilememiştir. Savaşın hemen ardından Yunanistan hala silahlıyken, yeni bir Yunan üniversitesinin Yunan felsefesinin kaynağında yani İyonya topraklarında kurulması fikri ortaya atılmıştır.  (</w:t>
      </w:r>
      <w:proofErr w:type="spellStart"/>
      <w:proofErr w:type="gramStart"/>
      <w:r>
        <w:t>Georgiadou</w:t>
      </w:r>
      <w:proofErr w:type="spellEnd"/>
      <w:r>
        <w:t>,  2004</w:t>
      </w:r>
      <w:proofErr w:type="gramEnd"/>
      <w:r>
        <w:t xml:space="preserve">, s. 139). Dolayısıyla Venizelos, Versay’da barış görüşmeleri sürerken Paris’te görüştüğü </w:t>
      </w:r>
      <w:proofErr w:type="spellStart"/>
      <w:r>
        <w:t>Karatheodory’e</w:t>
      </w:r>
      <w:proofErr w:type="spellEnd"/>
      <w:r>
        <w:t xml:space="preserve"> ile yeni bir üniversite kurulması ile ilgili görüşmüştür. </w:t>
      </w:r>
      <w:proofErr w:type="spellStart"/>
      <w:r>
        <w:t>Karatheodory</w:t>
      </w:r>
      <w:proofErr w:type="spellEnd"/>
      <w:r>
        <w:t xml:space="preserve">, </w:t>
      </w:r>
      <w:proofErr w:type="spellStart"/>
      <w:r>
        <w:t>Yunanlılığı</w:t>
      </w:r>
      <w:proofErr w:type="spellEnd"/>
      <w:r>
        <w:t xml:space="preserve"> Avrupa, Asya ve Afrika arasında birleştirici bir unsur olarak görmesi nedeniyle Yunanistan’daki bilimsel yaşamın başkent Atina’da yoğunlaşmasına karşıdır ve Avrupa’nın ileri bir şubesi ya da oraya uzanan kolu olarak içinde Slav, Türk, Yahudi, Ermeni ve Levantenlerin yaşayacağı bir Yunanistan tasarımı öngörmektedir. (</w:t>
      </w:r>
      <w:proofErr w:type="spellStart"/>
      <w:r>
        <w:t>Georgiadou</w:t>
      </w:r>
      <w:proofErr w:type="spellEnd"/>
      <w:r>
        <w:t xml:space="preserve">, 2005, s. 64-65). Yapılan görüşmenin ardından </w:t>
      </w:r>
      <w:proofErr w:type="spellStart"/>
      <w:r>
        <w:t>Karatheodory</w:t>
      </w:r>
      <w:proofErr w:type="spellEnd"/>
      <w:r>
        <w:t>, 20 Ekim 1919’da Fransızca olarak kaleme aldığı ve Yunanistan’da yeni bir üniversitenin kurulması projesi hakkında bir muhtıra yazarak onu Venizelos’a vermiştir. Burada üniversitenin yeri olarak İzmir, Selanik ve Sakız’ı önermiştir. (</w:t>
      </w:r>
      <w:proofErr w:type="spellStart"/>
      <w:r>
        <w:t>Hristou</w:t>
      </w:r>
      <w:proofErr w:type="spellEnd"/>
      <w:r>
        <w:t xml:space="preserve">, 2006, s.204-206). Öneriler arasında yer alan </w:t>
      </w:r>
      <w:proofErr w:type="gramStart"/>
      <w:r>
        <w:t>İzmir,</w:t>
      </w:r>
      <w:proofErr w:type="gramEnd"/>
      <w:r>
        <w:t xml:space="preserve"> hem Rum karakteri hem de Müslüman Asya’ya yakınlığı nedeniyle üniversite bünyesinde kurulması düşünülen Doğu Etnoloji Fakültesi için ideal bir yer olarak öne çıkmıştır. Ayrıca İzmir’de geniş bir tarım ve ticaret alanının merkezi konumunda olmasının yanı sıra şehirde üniversite olarak kullanılabilecek binalar da bulunmaktadır. Selanik ise Batı Avrupa’ya yakın olmasının yanı sıra hem Makedonya’nın önemli bir buğday üretim merkezi hem de Balkanlar ile demiryolu bağlantısına sahiptir. Sakız adası ise Anadolu’ya yakın en büyük adalardan biridir. Burası siyasi fanatizmden uzak güvenli bir yerdedir ancak, burada trafik ve alt yapı sorunlarının olması diğer iki yere göre Sakız’ı dezavantajlı bir konuma getirmiştir. (</w:t>
      </w:r>
      <w:proofErr w:type="spellStart"/>
      <w:r>
        <w:t>Georgiadou</w:t>
      </w:r>
      <w:proofErr w:type="spellEnd"/>
      <w:r>
        <w:t>, 2004, s.149</w:t>
      </w:r>
      <w:proofErr w:type="gramStart"/>
      <w:r>
        <w:t>).Ancak</w:t>
      </w:r>
      <w:proofErr w:type="gramEnd"/>
      <w:r>
        <w:t xml:space="preserve"> yapılan görüşmelerde kesin olan bir şey yeni bir üniversite kurulması fikrinde </w:t>
      </w:r>
      <w:proofErr w:type="spellStart"/>
      <w:r>
        <w:t>Karatheodory</w:t>
      </w:r>
      <w:proofErr w:type="spellEnd"/>
      <w:r>
        <w:t>, Venizelos’u ikinci üniversitenin Selanik dışında İzmir’de kurulmasına ikna etmiş olmasıdır.</w:t>
      </w:r>
      <w:r w:rsidRPr="00A27390">
        <w:t xml:space="preserve"> (</w:t>
      </w:r>
      <w:proofErr w:type="spellStart"/>
      <w:r w:rsidRPr="00A27390">
        <w:t>Agelopoulos</w:t>
      </w:r>
      <w:proofErr w:type="spellEnd"/>
      <w:r w:rsidRPr="00A27390">
        <w:t xml:space="preserve">, </w:t>
      </w:r>
      <w:r>
        <w:t xml:space="preserve">2018, </w:t>
      </w:r>
      <w:r w:rsidRPr="00A27390">
        <w:t>s. 205).</w:t>
      </w:r>
      <w:r>
        <w:t xml:space="preserve"> Nitekim söz konusu görüşmeler</w:t>
      </w:r>
      <w:r w:rsidRPr="00075379">
        <w:t xml:space="preserve"> devam</w:t>
      </w:r>
      <w:r>
        <w:t xml:space="preserve"> ederken Yunanistan, taleplerini Paris Barış Konferansı’nda Wilson İlkeleri’nin 12. maddesine dayandırmış, harita ve nüfus verilerini kullanarak İzmir’in Yunanistan tarafından işgal edilmesini talep etmiştir. Konferansa, bu talep konusunda fikir birliği sağlanmış ve 15 Mayıs 1919’da İzmir’in işgaliyle başlayan süreç Batı Anadolu’nun iç bölgelerine yayılacak bir seferi başlatmıştır. (Çolakoğlu, 2022, s.115,118, 122).</w:t>
      </w:r>
    </w:p>
    <w:p w14:paraId="567F2BC4" w14:textId="77777777" w:rsidR="00914DCC" w:rsidRDefault="00914DCC" w:rsidP="0017453B">
      <w:pPr>
        <w:jc w:val="both"/>
      </w:pPr>
    </w:p>
    <w:p w14:paraId="67BEE2AE" w14:textId="186F509C" w:rsidR="00914DCC" w:rsidRDefault="00914DCC" w:rsidP="0017453B">
      <w:pPr>
        <w:jc w:val="both"/>
      </w:pPr>
      <w:r>
        <w:t xml:space="preserve">İzmir’in işgali ile yeni bir dönem başlamış ve İzmir’e 21 Mayıs 1919’da yönetici olarak </w:t>
      </w:r>
      <w:r w:rsidRPr="00075379">
        <w:t xml:space="preserve">Venizelos’un Girit’ten arkadaşı olan ve aynı zamanda </w:t>
      </w:r>
      <w:proofErr w:type="spellStart"/>
      <w:r w:rsidRPr="00075379">
        <w:t>Epir</w:t>
      </w:r>
      <w:proofErr w:type="spellEnd"/>
      <w:r w:rsidRPr="00075379">
        <w:t xml:space="preserve"> Valisi olarak görev yapmakta olan </w:t>
      </w:r>
      <w:proofErr w:type="spellStart"/>
      <w:r w:rsidRPr="00075379">
        <w:t>Aristidis</w:t>
      </w:r>
      <w:proofErr w:type="spellEnd"/>
      <w:r w:rsidRPr="00075379">
        <w:t xml:space="preserve"> </w:t>
      </w:r>
      <w:proofErr w:type="spellStart"/>
      <w:r w:rsidRPr="00075379">
        <w:t>Stergiadis</w:t>
      </w:r>
      <w:proofErr w:type="spellEnd"/>
      <w:r w:rsidRPr="00075379">
        <w:t xml:space="preserve"> </w:t>
      </w:r>
      <w:r>
        <w:t xml:space="preserve">görevlendirilmiştir. </w:t>
      </w:r>
      <w:proofErr w:type="spellStart"/>
      <w:r>
        <w:t>Stergiadis’in</w:t>
      </w:r>
      <w:proofErr w:type="spellEnd"/>
      <w:r w:rsidRPr="00075379">
        <w:t xml:space="preserve"> hukuk fakültesi mezunu olmasının yanı sıra İslam hukuku üzerine uzmanlaşması Venizelos’un Müslüman nüfusun yoğunlukta olduğu bölgeler için onu görevlendirmesinde etkili olmuştur. Böylelikle 1919- 1922 yılları arasında </w:t>
      </w:r>
      <w:proofErr w:type="spellStart"/>
      <w:r w:rsidRPr="00075379">
        <w:t>Stergiadis</w:t>
      </w:r>
      <w:proofErr w:type="spellEnd"/>
      <w:r w:rsidRPr="00075379">
        <w:t>, Yüksek Komiser olarak geldiği İzmir’de Yunan politikalarının belirleyicisi olmuştur.</w:t>
      </w:r>
      <w:r>
        <w:t xml:space="preserve"> (</w:t>
      </w:r>
      <w:proofErr w:type="spellStart"/>
      <w:r>
        <w:t>Tağmat</w:t>
      </w:r>
      <w:proofErr w:type="spellEnd"/>
      <w:r>
        <w:t>, 2020, s. 119-120).</w:t>
      </w:r>
    </w:p>
    <w:p w14:paraId="210B1D4E" w14:textId="77777777" w:rsidR="00914DCC" w:rsidRDefault="00914DCC" w:rsidP="0017453B">
      <w:pPr>
        <w:jc w:val="both"/>
      </w:pPr>
    </w:p>
    <w:p w14:paraId="427008FC" w14:textId="77777777" w:rsidR="00914DCC" w:rsidRDefault="00914DCC" w:rsidP="0017453B">
      <w:pPr>
        <w:jc w:val="both"/>
        <w:rPr>
          <w:b/>
        </w:rPr>
      </w:pPr>
      <w:r>
        <w:rPr>
          <w:b/>
        </w:rPr>
        <w:t>2. İzmir İyon Üniversitesi’nin Kurulması ve Sonu</w:t>
      </w:r>
    </w:p>
    <w:p w14:paraId="5F15889B" w14:textId="77777777" w:rsidR="00914DCC" w:rsidRDefault="00914DCC" w:rsidP="0017453B">
      <w:pPr>
        <w:jc w:val="both"/>
      </w:pPr>
      <w:r>
        <w:lastRenderedPageBreak/>
        <w:t xml:space="preserve">Venizelos, Mart 1920’de İyonya ordusu başkomutanı </w:t>
      </w:r>
      <w:proofErr w:type="spellStart"/>
      <w:r>
        <w:t>Leonidas</w:t>
      </w:r>
      <w:proofErr w:type="spellEnd"/>
      <w:r>
        <w:t xml:space="preserve"> </w:t>
      </w:r>
      <w:proofErr w:type="spellStart"/>
      <w:r>
        <w:t>Paraskevopoulos</w:t>
      </w:r>
      <w:proofErr w:type="spellEnd"/>
      <w:r>
        <w:t xml:space="preserve">, İzmir Yunan cemaatinin ileri gelenlerinden Dr. </w:t>
      </w:r>
      <w:proofErr w:type="spellStart"/>
      <w:r>
        <w:t>Apostolos</w:t>
      </w:r>
      <w:proofErr w:type="spellEnd"/>
      <w:r>
        <w:t xml:space="preserve"> </w:t>
      </w:r>
      <w:proofErr w:type="spellStart"/>
      <w:r>
        <w:t>Psaltof</w:t>
      </w:r>
      <w:proofErr w:type="spellEnd"/>
      <w:r>
        <w:t xml:space="preserve"> ve Konstantin </w:t>
      </w:r>
      <w:proofErr w:type="spellStart"/>
      <w:r>
        <w:t>Karatheodory</w:t>
      </w:r>
      <w:proofErr w:type="spellEnd"/>
      <w:r>
        <w:t xml:space="preserve"> ile İzmir limanına demirleyen bir savaş gemisinde buluşmuş ve yapılan görüşmede </w:t>
      </w:r>
      <w:proofErr w:type="spellStart"/>
      <w:r>
        <w:t>Karatheodry</w:t>
      </w:r>
      <w:proofErr w:type="spellEnd"/>
      <w:r>
        <w:t xml:space="preserve">, İzmir İyon Üniversitesi’nin kurulmasıyla görevlendirilmiştir. Bunun hemen ardından 2/15 Haziran 1920’de Yunanistan Eğitim ve Din İşleri Bakanı tarafından Atina </w:t>
      </w:r>
      <w:proofErr w:type="spellStart"/>
      <w:r>
        <w:t>Kapodistrias</w:t>
      </w:r>
      <w:proofErr w:type="spellEnd"/>
      <w:r>
        <w:t xml:space="preserve"> Üniversitesi’ne Analitik ve Geometri profesörü olarak atanmıştır.  </w:t>
      </w:r>
      <w:proofErr w:type="spellStart"/>
      <w:r>
        <w:t>Karotheodory</w:t>
      </w:r>
      <w:proofErr w:type="spellEnd"/>
      <w:r>
        <w:t xml:space="preserve">, her ne kadar Atina’ya giderek görevine başlamamış olsa da Yunanistan’da memur statüsü kazanmıştır. Venizelos’un </w:t>
      </w:r>
      <w:proofErr w:type="spellStart"/>
      <w:r>
        <w:t>Karatheodory’yi</w:t>
      </w:r>
      <w:proofErr w:type="spellEnd"/>
      <w:r>
        <w:t xml:space="preserve"> seçmesinin nedeni onun üniversite deneyiminin yanı sıra İzmir’de kurulacak bir üniversite için olası bir Türk tepkisini önlemektir. Nitekim </w:t>
      </w:r>
      <w:proofErr w:type="spellStart"/>
      <w:r>
        <w:t>Karatheodory</w:t>
      </w:r>
      <w:proofErr w:type="spellEnd"/>
      <w:r>
        <w:t xml:space="preserve"> ailesi daha önce de belirtildiği gibi uzun yıllar Osmanlı Devleti’ne hizmet etmiş tanınmış bir ailedir. (</w:t>
      </w:r>
      <w:proofErr w:type="spellStart"/>
      <w:r>
        <w:t>Georgiadou</w:t>
      </w:r>
      <w:proofErr w:type="spellEnd"/>
      <w:r>
        <w:t xml:space="preserve">, 2004, s.140, 146). Yapılan görüşmelerin ardından 14 Temmuz 1920 tarihli 2251 </w:t>
      </w:r>
      <w:proofErr w:type="gramStart"/>
      <w:r>
        <w:t>sayılı  “</w:t>
      </w:r>
      <w:proofErr w:type="gramEnd"/>
      <w:r>
        <w:t>İzmir’de Bir Yunan Üniversitesi’nin Kurulması ve İşleyişi Hakkındaki”  kanun, resmi gazetede yayınlanmıştır. (</w:t>
      </w:r>
      <w:proofErr w:type="spellStart"/>
      <w:r>
        <w:t>Hristou</w:t>
      </w:r>
      <w:proofErr w:type="spellEnd"/>
      <w:r>
        <w:t xml:space="preserve">, 2006, s.204). Kanun, İzmir Yüksek Komiseri </w:t>
      </w:r>
      <w:proofErr w:type="spellStart"/>
      <w:r>
        <w:t>Aristidis</w:t>
      </w:r>
      <w:proofErr w:type="spellEnd"/>
      <w:r>
        <w:t xml:space="preserve"> </w:t>
      </w:r>
      <w:proofErr w:type="spellStart"/>
      <w:r>
        <w:t>Stergiadis</w:t>
      </w:r>
      <w:proofErr w:type="spellEnd"/>
      <w:r>
        <w:t xml:space="preserve"> ve </w:t>
      </w:r>
      <w:proofErr w:type="spellStart"/>
      <w:r>
        <w:t>Karatheodory</w:t>
      </w:r>
      <w:proofErr w:type="spellEnd"/>
      <w:r>
        <w:t xml:space="preserve"> tarafından görüşülmüştür. </w:t>
      </w:r>
      <w:proofErr w:type="spellStart"/>
      <w:r>
        <w:t>Stergiadis</w:t>
      </w:r>
      <w:proofErr w:type="spellEnd"/>
      <w:r>
        <w:t>, söz konusu üniversite projesiyle ırk ve millet ayrımı gözetmeden herkes için eğitim olanağı sağlayarak, amaçlarının Yunanistan’ın Küçük Asya’ya yabancı halkları fethetmek değil, kendi medeniyetlerini onlara sunmak için geldiğini göstermek olarak tanımlamıştır. (Milton, 2009, s.117)</w:t>
      </w:r>
    </w:p>
    <w:p w14:paraId="58269313" w14:textId="77777777" w:rsidR="00914DCC" w:rsidRDefault="00914DCC" w:rsidP="0017453B">
      <w:pPr>
        <w:jc w:val="both"/>
      </w:pPr>
    </w:p>
    <w:p w14:paraId="5AE527E7" w14:textId="01742101" w:rsidR="00914DCC" w:rsidRDefault="00914DCC" w:rsidP="0017453B">
      <w:pPr>
        <w:jc w:val="both"/>
      </w:pPr>
      <w:r>
        <w:t xml:space="preserve">Üniversite, Mühendislik, Tarım, Ticaret ve Doğu Halklarının Etnolojisi olmak üzere 4 fakülte olarak tasarlanmıştır. Ancak kısa süre sonra bunlara Sağlık Enstitüsü, Devlet Memurluğu Okulu ve İslam Araştırmaları fakültesine benzer İslam dini okulu da eklenmiştir. Etnoloji Fakültesi ve İslam Dini Fakültesinin kurulması ile sosyal bir modernleşme hedeflenmiş ve bu üniversite ile Yunanistan’ın bütün komşularıyla onarması gereken doğal ilişkilerin geliştirilmesine uygun eğitim ve araştırma merkezlerinin yaratılması amaçlanmıştır. Özellikle Etnoloji Fakültesi’nin </w:t>
      </w:r>
      <w:proofErr w:type="gramStart"/>
      <w:r>
        <w:t>kurulması,  Yunanistan’ın</w:t>
      </w:r>
      <w:proofErr w:type="gramEnd"/>
      <w:r>
        <w:t xml:space="preserve"> kuramsal düzeydeki ulus inşası projesi ile ilgilidir. (</w:t>
      </w:r>
      <w:proofErr w:type="spellStart"/>
      <w:r>
        <w:t>Agelopoulos</w:t>
      </w:r>
      <w:proofErr w:type="spellEnd"/>
      <w:r>
        <w:t xml:space="preserve">, 2018, s.197,206-207). Bu üniversitede öğrenim için başvuranlardan Yunanca bilmeleri istenecek olup öğrenci kabulünün bir giriş sınavı </w:t>
      </w:r>
      <w:proofErr w:type="gramStart"/>
      <w:r>
        <w:t>ile  olması</w:t>
      </w:r>
      <w:proofErr w:type="gramEnd"/>
      <w:r>
        <w:t xml:space="preserve"> düşünülmüştür. </w:t>
      </w:r>
      <w:proofErr w:type="spellStart"/>
      <w:r>
        <w:t>Karatheodory</w:t>
      </w:r>
      <w:proofErr w:type="spellEnd"/>
      <w:r>
        <w:t xml:space="preserve"> ayrıca büyük bir halk kütüphanesinin yanı sıra yüksek standartlarda donatılacak fizik, kimya, makine ve elektrik </w:t>
      </w:r>
      <w:proofErr w:type="spellStart"/>
      <w:r>
        <w:t>laboratuarlarının</w:t>
      </w:r>
      <w:proofErr w:type="spellEnd"/>
      <w:r>
        <w:t xml:space="preserve"> kurulmasını da önermiştir. (</w:t>
      </w:r>
      <w:proofErr w:type="spellStart"/>
      <w:r>
        <w:t>Georgiadou</w:t>
      </w:r>
      <w:proofErr w:type="spellEnd"/>
      <w:r>
        <w:t xml:space="preserve">, 2005, s.66) Her ne kadar eğitim dili Yunanca amaçlansa da bazı özel durumlarda Türkçe ve diğer dillere de izin </w:t>
      </w:r>
      <w:proofErr w:type="spellStart"/>
      <w:r>
        <w:t>verilemesi</w:t>
      </w:r>
      <w:proofErr w:type="spellEnd"/>
      <w:r>
        <w:t xml:space="preserve"> düşünülmüştür. Bunun yanı sıra üniversitenin cinsiyet ve milliyet ayrımı gözetmeden herkese açık olması ve buradaki makam ve maaşların, Atina Üniversitesi’ne denk olması hedeflenmiştir. Üniversite, İzmir’deki Yüksek Komisere karşı sorumlu olacaktır. (</w:t>
      </w:r>
      <w:proofErr w:type="spellStart"/>
      <w:r>
        <w:t>Georgiadou</w:t>
      </w:r>
      <w:proofErr w:type="spellEnd"/>
      <w:r>
        <w:t>, 2004, s. 154). Yunan yönetimi, İzmir bölgesinde yaşayan Türklerin, eğitim görmek istediklerinde İzmir’deki bu üniversiteye ya da Atina’ya gidebileceğini öne sürmüştür (</w:t>
      </w:r>
      <w:proofErr w:type="spellStart"/>
      <w:r>
        <w:t>Toynbee</w:t>
      </w:r>
      <w:proofErr w:type="spellEnd"/>
      <w:r>
        <w:t>, 2007, s.202). Ancak Türklerin ekseriyetle büyük çoğunluğunun Yunanca bilmedikleri düşünüldüğünde bu durum inandırıcı gelmemektedir.</w:t>
      </w:r>
    </w:p>
    <w:p w14:paraId="2438A741" w14:textId="77777777" w:rsidR="00914DCC" w:rsidRDefault="00914DCC" w:rsidP="0017453B">
      <w:pPr>
        <w:jc w:val="both"/>
      </w:pPr>
    </w:p>
    <w:p w14:paraId="2C753664" w14:textId="77777777" w:rsidR="00914DCC" w:rsidRDefault="00914DCC" w:rsidP="0017453B">
      <w:pPr>
        <w:jc w:val="both"/>
      </w:pPr>
    </w:p>
    <w:p w14:paraId="27B462A3" w14:textId="5F22DCE8" w:rsidR="00914DCC" w:rsidRDefault="00914DCC" w:rsidP="0017453B">
      <w:pPr>
        <w:jc w:val="both"/>
      </w:pPr>
      <w:r>
        <w:t xml:space="preserve">Üniversitenin oluşumu tasarlandıktan sonra sıra üniversite olarak kullanılacak yere gelmiştir. Bunun için ilk olarak günümüzdeki Karataş’ta (Bahri Baba Tepesi) bulunan büyük ve yarı inşa edilmiş halde bulunan bir bina düşünülmüştür. Aslında burası 1875’e kadar bir </w:t>
      </w:r>
      <w:proofErr w:type="gramStart"/>
      <w:r>
        <w:t>Yahudi  mezarlığı</w:t>
      </w:r>
      <w:proofErr w:type="gramEnd"/>
      <w:r>
        <w:t xml:space="preserve"> olarak kullanılmıştır ancak, 1878 Türk-Rus savaşı sonrasında İzmir’e sığınan Doğu Rumeli ve Bulgaristan’dan gelen mülteciler buraya geçici olarak yerleştirilmiştir. Yahudiler, bu durumu protesto ettikleri için 1883’te burası yıllık kira ödemeleri karşılığında Yahudilere iade edilmiş olsa da daha sonra yeniden mezarlık olarak kullanılmamıştır. 1914 yılına gelindiğinde de dönemin İzmir Valisi Rahmi Bey, Yahudi cemaatinin herhangi bir vergi </w:t>
      </w:r>
      <w:r>
        <w:lastRenderedPageBreak/>
        <w:t xml:space="preserve">ödemediği gerekçesiyle buraya bir Yüksek </w:t>
      </w:r>
      <w:proofErr w:type="spellStart"/>
      <w:r>
        <w:t>Okul’un</w:t>
      </w:r>
      <w:proofErr w:type="spellEnd"/>
      <w:r>
        <w:t xml:space="preserve"> yanı sıra bir de halk kütüphanesi yaptırmıştır. Yahudi cemaati, Mondros Mütarekesi sonrası söz konusu arazinin mülkiyeti üzerinde hak iddia etse de İzmir İl Meclisi bu yerin kamu arazisi olduğuna karar vermiştir. İzmir’in işgali sonrası da Yunan işgal yönetimi bu yeri, üniversite için kullanmaya karar vermiştir. Yahudi cemaati, bunu protesto etmiş olsa da Yüksek Komiserlik arsa yerinin Osmanlı Devleti’ne ait olduğunu belirterek projenin iptalini reddetmiştir. (</w:t>
      </w:r>
      <w:proofErr w:type="spellStart"/>
      <w:r>
        <w:t>Georgiadou</w:t>
      </w:r>
      <w:proofErr w:type="spellEnd"/>
      <w:r>
        <w:t>, 2004, s.151).</w:t>
      </w:r>
    </w:p>
    <w:p w14:paraId="4E38C58E" w14:textId="77777777" w:rsidR="00914DCC" w:rsidRDefault="00914DCC" w:rsidP="0017453B">
      <w:pPr>
        <w:jc w:val="both"/>
      </w:pPr>
    </w:p>
    <w:p w14:paraId="72FFB738" w14:textId="57819D4D" w:rsidR="00914DCC" w:rsidRDefault="00914DCC" w:rsidP="0017453B">
      <w:pPr>
        <w:jc w:val="both"/>
      </w:pPr>
      <w:r>
        <w:t xml:space="preserve">İzmir’in işgalinden yaklaşık bir yıl sonra 10 Ağustos 1920’de Sevr Barış Antlaşması imzalanmıştır. Ancak Ankara Hükümeti’nin bu antlaşmayı kabul etmeyerek işgallere karşı milli mücadele başlatması ile Sevr Antlaşması ölü doğmuş bir belge niteliğinde kalmıştır. (Küçük, 2009, s.4). Antlaşmanın imzalanmasından iki ay sonra Kral </w:t>
      </w:r>
      <w:proofErr w:type="spellStart"/>
      <w:r>
        <w:t>Aleksandros’un</w:t>
      </w:r>
      <w:proofErr w:type="spellEnd"/>
      <w:r>
        <w:t xml:space="preserve"> ölümü ise Yunanistan’da anayasal tartışmaları yeniden gündeme getirmiş ve ülkedeki ulusal bölünme tutkularını körüklemiştir. Tüm bunlar 1920’de yapılan seçimlere yansımış, küçük ama saygın bir Yunanistan kampanyası yapan Krallık yandaşları seçimlerden galip çıkarken Venizelos ise ağır bir yenilgi almıştır. Bu yenilgi, ülkede neredeyse sekiz yıldır süren savaş bıkkınlığına, İngiltere ve Fransa’nın ülkenin iç işlerine müdahalesine yorulabileceği gibi 1917 ile 1920 yılları arasında bazı Venizelos yandaşlarının tutumuna da bağlanabilmektedir. (</w:t>
      </w:r>
      <w:proofErr w:type="spellStart"/>
      <w:r>
        <w:t>Clogg</w:t>
      </w:r>
      <w:proofErr w:type="spellEnd"/>
      <w:r>
        <w:t>, 2018, s.101).</w:t>
      </w:r>
    </w:p>
    <w:p w14:paraId="5724C8FE" w14:textId="77777777" w:rsidR="00914DCC" w:rsidRDefault="00914DCC" w:rsidP="0017453B">
      <w:pPr>
        <w:jc w:val="both"/>
      </w:pPr>
    </w:p>
    <w:p w14:paraId="393F9676" w14:textId="1DC59270" w:rsidR="00914DCC" w:rsidRDefault="00914DCC" w:rsidP="0017453B">
      <w:pPr>
        <w:jc w:val="both"/>
      </w:pPr>
      <w:r>
        <w:t xml:space="preserve">Seçimlerden sonra başa gelen yeni yönetim ilk iş olarak 1919’da çıkartılan eğitim reformunu iptal ettiği gibi Aralık 1920’de dönemim yeni Eğitim Bakanı çıkardığı bir kararname ile </w:t>
      </w:r>
      <w:proofErr w:type="spellStart"/>
      <w:r>
        <w:t>Karatheodroy’nin</w:t>
      </w:r>
      <w:proofErr w:type="spellEnd"/>
      <w:r>
        <w:t xml:space="preserve"> Atina Üniversitesi’ndeki görevine son vermiştir. Yüksek Komiser </w:t>
      </w:r>
      <w:proofErr w:type="spellStart"/>
      <w:r>
        <w:t>Stergiadis</w:t>
      </w:r>
      <w:proofErr w:type="spellEnd"/>
      <w:r>
        <w:t xml:space="preserve"> ise yeni hükümet kurulunca istifa etmiş ancak istifanın kabul edilmemiş ve Anadolu’daki savaş devam etmiştir. Dolayısıyla Yunanistan’daki politik değişimden Yüksek </w:t>
      </w:r>
      <w:proofErr w:type="spellStart"/>
      <w:r>
        <w:t>Komiser’in</w:t>
      </w:r>
      <w:proofErr w:type="spellEnd"/>
      <w:r>
        <w:t xml:space="preserve"> İyon Üniversitesi’nin kurulmasıyla ilgili kararnamesi etkilenmemiş ve bununla ilgili kararname Aralık 1920’de yayınlanarak üniversite ile ilgili hazırlıklar devam etmiştir. Yarısı bitmiş binanın tamamlanması için </w:t>
      </w:r>
      <w:proofErr w:type="spellStart"/>
      <w:r>
        <w:t>Karatheodory’nin</w:t>
      </w:r>
      <w:proofErr w:type="spellEnd"/>
      <w:r>
        <w:t xml:space="preserve"> önerisiyle mimar </w:t>
      </w:r>
      <w:proofErr w:type="spellStart"/>
      <w:r>
        <w:t>Aritotelis</w:t>
      </w:r>
      <w:proofErr w:type="spellEnd"/>
      <w:r>
        <w:t xml:space="preserve"> </w:t>
      </w:r>
      <w:proofErr w:type="spellStart"/>
      <w:r>
        <w:t>Zachos</w:t>
      </w:r>
      <w:proofErr w:type="spellEnd"/>
      <w:r>
        <w:t xml:space="preserve"> İzmir’e davet edilmiştir. (</w:t>
      </w:r>
      <w:proofErr w:type="spellStart"/>
      <w:r>
        <w:t>Georgiadou</w:t>
      </w:r>
      <w:proofErr w:type="spellEnd"/>
      <w:r>
        <w:t>, 2004, s.153, 155). Binaya ayrıca 320 kişilik bir amfi eklenerek 1922 yazına kadar inşa süreci tamamlanmıştır. (</w:t>
      </w:r>
      <w:proofErr w:type="spellStart"/>
      <w:r w:rsidRPr="00D60E48">
        <w:t>Achladi</w:t>
      </w:r>
      <w:proofErr w:type="spellEnd"/>
      <w:r>
        <w:t>, 2020, 226).</w:t>
      </w:r>
    </w:p>
    <w:p w14:paraId="577BECB4" w14:textId="3F8FA363" w:rsidR="00914DCC" w:rsidRDefault="00914DCC" w:rsidP="0017453B">
      <w:pPr>
        <w:jc w:val="both"/>
      </w:pPr>
    </w:p>
    <w:p w14:paraId="4834AC4D" w14:textId="047BD87F" w:rsidR="00914DCC" w:rsidRDefault="00914DCC" w:rsidP="0017453B">
      <w:pPr>
        <w:jc w:val="both"/>
      </w:pPr>
      <w:r>
        <w:t xml:space="preserve">1921 yılına gelindiğinde Sevr Antlaşması henüz İtalya dışındaki ülkelerin hiçbiri tarafından imzalanmamıştır. Antlaşmada yer alan hükümlerin Türkler tarafından kabul edilmeyeceğinin giderek anlaşılması üzerine Müttefikler, antlaşma şartlarını </w:t>
      </w:r>
      <w:proofErr w:type="gramStart"/>
      <w:r>
        <w:t>revize ederek</w:t>
      </w:r>
      <w:proofErr w:type="gramEnd"/>
      <w:r>
        <w:t xml:space="preserve"> kabul edilebilir bir hale getirmeye çalışmıştır. Ancak Londra Konferansı’nda Sevr hükümlerinin Ankara Hükümeti’ne kabul ettirme girişimleri sonuçsuz kalmıştır. Ankara Hükümeti’nin milli mücadelede kazandığı askeri ve diplomatik başarılar nedeniyle 1922 Mart ayı itibariyle Türkler ve Yunanlar arasında yapılmak istenen arabuluculuk faaliyetleri de başarısı olmuştur. Türklerin, Mustafa Kemal Paşa’nın liderliğinde yaptıkları bağımsızlık savaşında büyük bir yenilgi alan Yunan kuvvetleri üç buçuk yıl içinde ele geçirmiş olduğu tüm mevzileri terk etmek durunda kalmıştır. (Çolakoğlu, 2022, s.127-129).</w:t>
      </w:r>
    </w:p>
    <w:p w14:paraId="27C2E9EE" w14:textId="77777777" w:rsidR="00914DCC" w:rsidRDefault="00914DCC" w:rsidP="0017453B">
      <w:pPr>
        <w:jc w:val="both"/>
      </w:pPr>
    </w:p>
    <w:p w14:paraId="7B950EC6" w14:textId="47ABD980" w:rsidR="00914DCC" w:rsidRDefault="00914DCC" w:rsidP="0017453B">
      <w:pPr>
        <w:jc w:val="both"/>
      </w:pPr>
      <w:r>
        <w:t xml:space="preserve">Büyük hezimetin ardından </w:t>
      </w:r>
      <w:proofErr w:type="spellStart"/>
      <w:r>
        <w:t>Stergiadis</w:t>
      </w:r>
      <w:proofErr w:type="spellEnd"/>
      <w:r>
        <w:t xml:space="preserve">, Yunan ordusunun Anadolu’dan çekilmesini kabul etmiştir. Bu durum Yunanistan’ın Anadolu’daki varlığını sona erdirirken İzmir’de özerk bir Yunan Devleti kurma planlarının da sonu olmuştur. Türk birlikleri, İzmir’e girmeden öncelikle Yüksek Komiserlik ofisinin alt düzey memurları şehri terk etmiş, 8 Eylül’de arşivler temizlenmiş, üst düzey memurlar ve yetkililer de İzmir’den ayrılmıştır. İzmir’deki işgalin son bulmasıyla birlikte </w:t>
      </w:r>
      <w:proofErr w:type="spellStart"/>
      <w:r>
        <w:t>Karatheodory</w:t>
      </w:r>
      <w:proofErr w:type="spellEnd"/>
      <w:r>
        <w:t xml:space="preserve">, üniversite kütüphanesinin bazı kitaplarını ve </w:t>
      </w:r>
      <w:proofErr w:type="spellStart"/>
      <w:r>
        <w:t>labarotuvar</w:t>
      </w:r>
      <w:proofErr w:type="spellEnd"/>
      <w:r>
        <w:t xml:space="preserve"> araçlarını bir gemiye yükleyerek İzmir’den ayrılmış ve 15 Eylül 1922’de Atina’ya </w:t>
      </w:r>
      <w:proofErr w:type="spellStart"/>
      <w:r>
        <w:t>ulaşmıştırtır</w:t>
      </w:r>
      <w:proofErr w:type="spellEnd"/>
      <w:r>
        <w:t xml:space="preserve">. </w:t>
      </w:r>
      <w:r>
        <w:lastRenderedPageBreak/>
        <w:t xml:space="preserve">Orada kısa bir süre üniversiteye atanmış olsa da hayatına ve kariyerine Almanya ve ABD’de devam etmiştir. Konstantin </w:t>
      </w:r>
      <w:proofErr w:type="spellStart"/>
      <w:r>
        <w:t>Karatheodory</w:t>
      </w:r>
      <w:proofErr w:type="spellEnd"/>
      <w:r>
        <w:t>, 2 Şubat 1950’de Almanya’da ölmüştür. (</w:t>
      </w:r>
      <w:proofErr w:type="spellStart"/>
      <w:r>
        <w:t>Georgiadou</w:t>
      </w:r>
      <w:proofErr w:type="spellEnd"/>
      <w:r>
        <w:t xml:space="preserve">, 2004, s.166,168, 172, 441). İzmir’in kurtuluşu </w:t>
      </w:r>
      <w:proofErr w:type="spellStart"/>
      <w:r>
        <w:t>Karatheodory’nin</w:t>
      </w:r>
      <w:proofErr w:type="spellEnd"/>
      <w:r>
        <w:t xml:space="preserve"> belirlediği </w:t>
      </w:r>
      <w:proofErr w:type="spellStart"/>
      <w:r w:rsidRPr="008535E8">
        <w:rPr>
          <w:i/>
        </w:rPr>
        <w:t>Ex</w:t>
      </w:r>
      <w:proofErr w:type="spellEnd"/>
      <w:r w:rsidRPr="008535E8">
        <w:rPr>
          <w:i/>
        </w:rPr>
        <w:t xml:space="preserve"> </w:t>
      </w:r>
      <w:proofErr w:type="spellStart"/>
      <w:r w:rsidRPr="008535E8">
        <w:rPr>
          <w:i/>
        </w:rPr>
        <w:t>Oriente</w:t>
      </w:r>
      <w:proofErr w:type="spellEnd"/>
      <w:r w:rsidRPr="008535E8">
        <w:rPr>
          <w:i/>
        </w:rPr>
        <w:t xml:space="preserve"> </w:t>
      </w:r>
      <w:proofErr w:type="spellStart"/>
      <w:r w:rsidRPr="008535E8">
        <w:rPr>
          <w:i/>
        </w:rPr>
        <w:t>Lux</w:t>
      </w:r>
      <w:proofErr w:type="spellEnd"/>
      <w:r>
        <w:rPr>
          <w:rStyle w:val="DipnotBavurusu"/>
          <w:rFonts w:eastAsiaTheme="majorEastAsia"/>
          <w:i/>
        </w:rPr>
        <w:footnoteReference w:id="14"/>
      </w:r>
      <w:r>
        <w:rPr>
          <w:i/>
        </w:rPr>
        <w:t xml:space="preserve"> </w:t>
      </w:r>
      <w:r>
        <w:t>sloganıyla birinci sınıf öğrencileri için eğitimin Eylül 1922’de başlaması öngörülen ve Doğu’nun en modern üniversitesi olması arzu edilen İzmir İyon Üniversitesi’nin hiç açılmadan tarihteki yerini almasına neden olmuştur. (Milton, 2009, s.117-118).</w:t>
      </w:r>
    </w:p>
    <w:p w14:paraId="2064AE6E" w14:textId="77777777" w:rsidR="00914DCC" w:rsidRDefault="00914DCC" w:rsidP="0017453B">
      <w:pPr>
        <w:jc w:val="both"/>
      </w:pPr>
    </w:p>
    <w:p w14:paraId="51846609" w14:textId="77777777" w:rsidR="00914DCC" w:rsidRDefault="00914DCC" w:rsidP="0017453B">
      <w:pPr>
        <w:jc w:val="both"/>
        <w:rPr>
          <w:b/>
        </w:rPr>
      </w:pPr>
      <w:r w:rsidRPr="005B4B3F">
        <w:rPr>
          <w:b/>
        </w:rPr>
        <w:t>Sonuç</w:t>
      </w:r>
    </w:p>
    <w:p w14:paraId="52B53869" w14:textId="08292075" w:rsidR="00914DCC" w:rsidRDefault="00914DCC" w:rsidP="0017453B">
      <w:pPr>
        <w:jc w:val="both"/>
      </w:pPr>
      <w:r>
        <w:rPr>
          <w:lang w:val="el-GR"/>
        </w:rPr>
        <w:t>Yunanistan 1830’</w:t>
      </w:r>
      <w:r>
        <w:t xml:space="preserve">da müstakil bir devlet olarak tarih sahnesine çıktığında Yunanca konuşan Ortodoks nüfusun büyük çoğunluğu Osmanlı Devleti sınırları içinde kalmıştı. Bu nedenle yeni kurulan Yunan Devleti, Osmanlı Rum nüfusunun Türk egemenliğinden kurtarılarak Bizans İmparatorluğu’nun hüküm sürdüğü yerlere sahip olmak şeklinde ortaya konmuştur. Dolayısıyla bu ideal Yunanlara ait olduğu iddia edilen Güney Balkanlar ve Anadolu’yu da içine alan coğrafyanın özgürleştirilerek medenileştirilmesi iddiasını taşımaktadır. Bu medeniyet projesinde Yunanca konuşmayan diğer Ortodokslar da Yunan dilini ve kültürünü kabul ettikleri takdirde bu ulusun parçası olabileceklerdir. Yunanistan, 20. yüzyılın başında Yunan misyonunun Doğu’yu aydınlatmak olduğu iddiasıyla varoluşsal bir hedef üstlenmiş ve bunun alt yapısı eğitim ve kültür politikaları ekseninde oluşturulmaya çalışılmıştır. Bu bağlamda Venizelos’un Başbakanlığı dönemindeki Yunan Hükümeti’nin ikini bir Yunan üniversitesi kurma projesi olmuştur. İlk olarak bu üniversitenin Makedonya’nın en önemli şehri Selanik’te kurulması düşünülmüşse de I. Dünya Savaşı’nın çıkması bu planı engellemiştir. Savaş sonunda yenilen devletlerle yapılacak barış antlaşmalarının görüşüldüğü Paris Barış Konferansı’nda Yunanistan’ın İzmir’i işgal etmesi kararının çıkması nedeniyle ikinci üniversitenin İzmir’de kurulması görüşü ağırlık kazanmıştır. Zira burası Türk, Rum, Ermeni, Yahudi ve Levanten nüfusun yaşadığı bir yer olarak </w:t>
      </w:r>
      <w:proofErr w:type="spellStart"/>
      <w:r>
        <w:t>Yunanistan’in</w:t>
      </w:r>
      <w:proofErr w:type="spellEnd"/>
      <w:r>
        <w:t xml:space="preserve"> medeniyet misyonu açısından uygun bir yerdir. Bu tasarı, İzmir işgalinin kalıcı </w:t>
      </w:r>
      <w:proofErr w:type="spellStart"/>
      <w:r>
        <w:t>amaçlarlarla</w:t>
      </w:r>
      <w:proofErr w:type="spellEnd"/>
      <w:r>
        <w:t xml:space="preserve"> yapıldığının da bir başka göstergesidir. Venizelos, Yunanistan’ın ikinci üniversitesi olacak İzmir İyon Üniversitesi kurma görevini uzun yıllar Osmanlı Devleti’ne hizmet ederek üst düzey bürokratik görevlerde bulunmuş Fenerli </w:t>
      </w:r>
      <w:proofErr w:type="spellStart"/>
      <w:r>
        <w:t>Karathedoroy</w:t>
      </w:r>
      <w:proofErr w:type="spellEnd"/>
      <w:r>
        <w:t xml:space="preserve"> ailesinden Konstantin </w:t>
      </w:r>
      <w:proofErr w:type="spellStart"/>
      <w:r>
        <w:t>Karatheodory’ye</w:t>
      </w:r>
      <w:proofErr w:type="spellEnd"/>
      <w:r>
        <w:t xml:space="preserve"> vermiştir. Konstantin </w:t>
      </w:r>
      <w:proofErr w:type="spellStart"/>
      <w:r>
        <w:t>Karatheodory</w:t>
      </w:r>
      <w:proofErr w:type="spellEnd"/>
      <w:r>
        <w:t xml:space="preserve">, babası ve dedesinin Osmanlı Devleti’ne duyduğu bağlılığın aksine kendisini Megali </w:t>
      </w:r>
      <w:proofErr w:type="spellStart"/>
      <w:r>
        <w:t>İdea’nın</w:t>
      </w:r>
      <w:proofErr w:type="spellEnd"/>
      <w:r>
        <w:t xml:space="preserve"> gerçekleşmesine adamış Almanya’da ve uluslararası alanda tanınmış bir matematikçidir. Onun idaresinde İzmir İyon Üniversitesi bina, teknik ve alt yapı düzenlemelerini tamamlayarak </w:t>
      </w:r>
      <w:r w:rsidRPr="007953B1">
        <w:rPr>
          <w:i/>
        </w:rPr>
        <w:t>“Işık Doğu’dan Yükselir”</w:t>
      </w:r>
      <w:r>
        <w:t xml:space="preserve"> sloganıyla Helenizm ideallerini yaymak amacıyla Eylül 1922’de eğitime başlamayı planlamıştır. Ancak üniversitenin açılması projesi Türklerin Mustafa Kemal Paşa önderliğinde yaptıkları Ulusal Kurtuluş Savaşı’nı kazanarak Türk ordularının 9 Eylül’de İzmir’e girmeleriyle yarım kalmış ve İzmir İyon Üniversitesi hiç açılmadan tarihteki yerini almıştır.</w:t>
      </w:r>
    </w:p>
    <w:p w14:paraId="18248EFC" w14:textId="77777777" w:rsidR="0017453B" w:rsidRPr="0017453B" w:rsidRDefault="0017453B" w:rsidP="0017453B">
      <w:pPr>
        <w:jc w:val="both"/>
      </w:pPr>
    </w:p>
    <w:p w14:paraId="34BE34F2" w14:textId="4D8E2560" w:rsidR="00914DCC" w:rsidRDefault="00914DCC" w:rsidP="0017453B">
      <w:pPr>
        <w:jc w:val="both"/>
        <w:rPr>
          <w:b/>
        </w:rPr>
      </w:pPr>
      <w:r>
        <w:rPr>
          <w:b/>
        </w:rPr>
        <w:t>Kaynakça</w:t>
      </w:r>
    </w:p>
    <w:p w14:paraId="0001F16C"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Achladi</w:t>
      </w:r>
      <w:proofErr w:type="spellEnd"/>
      <w:r w:rsidRPr="004B67BA">
        <w:rPr>
          <w:rFonts w:ascii="Times New Roman" w:hAnsi="Times New Roman" w:cs="Times New Roman"/>
          <w:sz w:val="24"/>
          <w:szCs w:val="24"/>
        </w:rPr>
        <w:t>, E. (2020</w:t>
      </w:r>
      <w:proofErr w:type="gramStart"/>
      <w:r w:rsidRPr="004B67BA">
        <w:rPr>
          <w:rFonts w:ascii="Times New Roman" w:hAnsi="Times New Roman" w:cs="Times New Roman"/>
          <w:sz w:val="24"/>
          <w:szCs w:val="24"/>
        </w:rPr>
        <w:t>).“</w:t>
      </w:r>
      <w:proofErr w:type="gramEnd"/>
      <w:r w:rsidRPr="004B67BA">
        <w:rPr>
          <w:rFonts w:ascii="Times New Roman" w:hAnsi="Times New Roman" w:cs="Times New Roman"/>
          <w:sz w:val="24"/>
          <w:szCs w:val="24"/>
        </w:rPr>
        <w:t xml:space="preserve">Savaştan Yunan İdaresine: Kozmopolit </w:t>
      </w:r>
      <w:proofErr w:type="spellStart"/>
      <w:r w:rsidRPr="004B67BA">
        <w:rPr>
          <w:rFonts w:ascii="Times New Roman" w:hAnsi="Times New Roman" w:cs="Times New Roman"/>
          <w:sz w:val="24"/>
          <w:szCs w:val="24"/>
        </w:rPr>
        <w:t>Smyrna’nın</w:t>
      </w:r>
      <w:proofErr w:type="spellEnd"/>
      <w:r w:rsidRPr="004B67BA">
        <w:rPr>
          <w:rFonts w:ascii="Times New Roman" w:hAnsi="Times New Roman" w:cs="Times New Roman"/>
          <w:sz w:val="24"/>
          <w:szCs w:val="24"/>
        </w:rPr>
        <w:t xml:space="preserve"> Sonu”, </w:t>
      </w:r>
      <w:r w:rsidRPr="004B67BA">
        <w:rPr>
          <w:rFonts w:ascii="Times New Roman" w:hAnsi="Times New Roman" w:cs="Times New Roman"/>
          <w:i/>
          <w:sz w:val="24"/>
          <w:szCs w:val="24"/>
        </w:rPr>
        <w:t>İzmir 1880-1930 Unutulmuş Bir Kent mi? Bir Osmanlı</w:t>
      </w:r>
      <w:r w:rsidRPr="004B67BA">
        <w:rPr>
          <w:rFonts w:ascii="Times New Roman" w:hAnsi="Times New Roman" w:cs="Times New Roman"/>
          <w:sz w:val="24"/>
          <w:szCs w:val="24"/>
        </w:rPr>
        <w:t xml:space="preserve"> </w:t>
      </w:r>
      <w:r w:rsidRPr="004B67BA">
        <w:rPr>
          <w:rFonts w:ascii="Times New Roman" w:hAnsi="Times New Roman" w:cs="Times New Roman"/>
          <w:i/>
          <w:sz w:val="24"/>
          <w:szCs w:val="24"/>
        </w:rPr>
        <w:t>Limanından Hatıralar</w:t>
      </w:r>
      <w:r w:rsidRPr="004B67BA">
        <w:rPr>
          <w:rFonts w:ascii="Times New Roman" w:hAnsi="Times New Roman" w:cs="Times New Roman"/>
          <w:sz w:val="24"/>
          <w:szCs w:val="24"/>
        </w:rPr>
        <w:t>, Der. Marie-</w:t>
      </w:r>
      <w:proofErr w:type="spellStart"/>
      <w:r w:rsidRPr="004B67BA">
        <w:rPr>
          <w:rFonts w:ascii="Times New Roman" w:hAnsi="Times New Roman" w:cs="Times New Roman"/>
          <w:sz w:val="24"/>
          <w:szCs w:val="24"/>
        </w:rPr>
        <w:t>Carmen</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Smyrnelis</w:t>
      </w:r>
      <w:proofErr w:type="spellEnd"/>
      <w:r w:rsidRPr="004B67BA">
        <w:rPr>
          <w:rFonts w:ascii="Times New Roman" w:hAnsi="Times New Roman" w:cs="Times New Roman"/>
          <w:sz w:val="24"/>
          <w:szCs w:val="24"/>
        </w:rPr>
        <w:t>, Çev. Işık Ergüden, İstanbul: İletişim Yayınları, s.211-227.</w:t>
      </w:r>
    </w:p>
    <w:p w14:paraId="659776FA" w14:textId="77777777" w:rsidR="00914DCC" w:rsidRDefault="00914DCC" w:rsidP="0017453B">
      <w:pPr>
        <w:pStyle w:val="DipnotMetni"/>
        <w:jc w:val="both"/>
        <w:rPr>
          <w:rFonts w:ascii="Times New Roman" w:hAnsi="Times New Roman" w:cs="Times New Roman"/>
          <w:sz w:val="22"/>
          <w:szCs w:val="22"/>
        </w:rPr>
      </w:pPr>
    </w:p>
    <w:p w14:paraId="7EBC3E3E"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Agelopoulos</w:t>
      </w:r>
      <w:proofErr w:type="spellEnd"/>
      <w:r w:rsidRPr="004B67BA">
        <w:rPr>
          <w:rFonts w:ascii="Times New Roman" w:hAnsi="Times New Roman" w:cs="Times New Roman"/>
          <w:sz w:val="24"/>
          <w:szCs w:val="24"/>
        </w:rPr>
        <w:t>, G. (2018). “Çekişmeli Topraklar ve Etnoloji Arayışı: İzmir’de İnsanlar ve Mekânlar, 1919-</w:t>
      </w:r>
      <w:proofErr w:type="gramStart"/>
      <w:r w:rsidRPr="004B67BA">
        <w:rPr>
          <w:rFonts w:ascii="Times New Roman" w:hAnsi="Times New Roman" w:cs="Times New Roman"/>
          <w:sz w:val="24"/>
          <w:szCs w:val="24"/>
        </w:rPr>
        <w:t xml:space="preserve">22,  </w:t>
      </w:r>
      <w:r w:rsidRPr="004B67BA">
        <w:rPr>
          <w:rFonts w:ascii="Times New Roman" w:hAnsi="Times New Roman" w:cs="Times New Roman"/>
          <w:i/>
          <w:sz w:val="24"/>
          <w:szCs w:val="24"/>
        </w:rPr>
        <w:t>Mekan</w:t>
      </w:r>
      <w:proofErr w:type="gramEnd"/>
      <w:r w:rsidRPr="004B67BA">
        <w:rPr>
          <w:rFonts w:ascii="Times New Roman" w:hAnsi="Times New Roman" w:cs="Times New Roman"/>
          <w:i/>
          <w:sz w:val="24"/>
          <w:szCs w:val="24"/>
        </w:rPr>
        <w:t xml:space="preserve"> ve Millet Yunanistan ve Türkiye’nin Coğrafyalarının </w:t>
      </w:r>
      <w:r w:rsidRPr="004B67BA">
        <w:rPr>
          <w:rFonts w:ascii="Times New Roman" w:hAnsi="Times New Roman" w:cs="Times New Roman"/>
          <w:i/>
          <w:sz w:val="24"/>
          <w:szCs w:val="24"/>
        </w:rPr>
        <w:lastRenderedPageBreak/>
        <w:t>Oluşumu</w:t>
      </w:r>
      <w:r w:rsidRPr="004B67BA">
        <w:rPr>
          <w:rFonts w:ascii="Times New Roman" w:hAnsi="Times New Roman" w:cs="Times New Roman"/>
          <w:sz w:val="24"/>
          <w:szCs w:val="24"/>
        </w:rPr>
        <w:t xml:space="preserve">, Der. P. </w:t>
      </w:r>
      <w:proofErr w:type="spellStart"/>
      <w:r w:rsidRPr="004B67BA">
        <w:rPr>
          <w:rFonts w:ascii="Times New Roman" w:hAnsi="Times New Roman" w:cs="Times New Roman"/>
          <w:sz w:val="24"/>
          <w:szCs w:val="24"/>
        </w:rPr>
        <w:t>Nikiforos</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Diamandouros</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Thalia</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Dragonas</w:t>
      </w:r>
      <w:proofErr w:type="spellEnd"/>
      <w:r w:rsidRPr="004B67BA">
        <w:rPr>
          <w:rFonts w:ascii="Times New Roman" w:hAnsi="Times New Roman" w:cs="Times New Roman"/>
          <w:sz w:val="24"/>
          <w:szCs w:val="24"/>
        </w:rPr>
        <w:t xml:space="preserve">, Çağlar </w:t>
      </w:r>
      <w:proofErr w:type="spellStart"/>
      <w:r w:rsidRPr="004B67BA">
        <w:rPr>
          <w:rFonts w:ascii="Times New Roman" w:hAnsi="Times New Roman" w:cs="Times New Roman"/>
          <w:sz w:val="24"/>
          <w:szCs w:val="24"/>
        </w:rPr>
        <w:t>Keyder</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İstanbul:Koç</w:t>
      </w:r>
      <w:proofErr w:type="spellEnd"/>
      <w:r w:rsidRPr="004B67BA">
        <w:rPr>
          <w:rFonts w:ascii="Times New Roman" w:hAnsi="Times New Roman" w:cs="Times New Roman"/>
          <w:sz w:val="24"/>
          <w:szCs w:val="24"/>
        </w:rPr>
        <w:t xml:space="preserve"> Üniversitesi Yayınları, ss.195-210.</w:t>
      </w:r>
    </w:p>
    <w:p w14:paraId="16ACCE08" w14:textId="77777777" w:rsidR="00914DCC" w:rsidRPr="004B67BA" w:rsidRDefault="00914DCC" w:rsidP="0017453B">
      <w:pPr>
        <w:pStyle w:val="DipnotMetni"/>
        <w:jc w:val="both"/>
        <w:rPr>
          <w:rFonts w:ascii="Times New Roman" w:hAnsi="Times New Roman" w:cs="Times New Roman"/>
          <w:sz w:val="24"/>
          <w:szCs w:val="24"/>
        </w:rPr>
      </w:pPr>
    </w:p>
    <w:p w14:paraId="7E68C5F8"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Bozis</w:t>
      </w:r>
      <w:proofErr w:type="spellEnd"/>
      <w:r w:rsidRPr="004B67BA">
        <w:rPr>
          <w:rFonts w:ascii="Times New Roman" w:hAnsi="Times New Roman" w:cs="Times New Roman"/>
          <w:sz w:val="24"/>
          <w:szCs w:val="24"/>
        </w:rPr>
        <w:t xml:space="preserve">, S. (2011). </w:t>
      </w:r>
      <w:r>
        <w:rPr>
          <w:rFonts w:ascii="Times New Roman" w:hAnsi="Times New Roman" w:cs="Times New Roman"/>
          <w:i/>
          <w:sz w:val="24"/>
          <w:szCs w:val="24"/>
        </w:rPr>
        <w:t>İstanbullu</w:t>
      </w:r>
      <w:r w:rsidRPr="004B67BA">
        <w:rPr>
          <w:rFonts w:ascii="Times New Roman" w:hAnsi="Times New Roman" w:cs="Times New Roman"/>
          <w:i/>
          <w:sz w:val="24"/>
          <w:szCs w:val="24"/>
        </w:rPr>
        <w:t xml:space="preserve"> Rumlar</w:t>
      </w:r>
      <w:r>
        <w:rPr>
          <w:rFonts w:ascii="Times New Roman" w:hAnsi="Times New Roman" w:cs="Times New Roman"/>
          <w:sz w:val="24"/>
          <w:szCs w:val="24"/>
        </w:rPr>
        <w:t xml:space="preserve">, İstanbul: </w:t>
      </w:r>
      <w:r w:rsidRPr="004B67BA">
        <w:rPr>
          <w:rFonts w:ascii="Times New Roman" w:hAnsi="Times New Roman" w:cs="Times New Roman"/>
          <w:sz w:val="24"/>
          <w:szCs w:val="24"/>
        </w:rPr>
        <w:t>İstanbul Bilgi Üniversitesi Yayınları.</w:t>
      </w:r>
    </w:p>
    <w:p w14:paraId="147FBCB9" w14:textId="77777777" w:rsidR="00914DCC" w:rsidRPr="004B67BA" w:rsidRDefault="00914DCC" w:rsidP="0017453B">
      <w:pPr>
        <w:pStyle w:val="DipnotMetni"/>
        <w:jc w:val="both"/>
        <w:rPr>
          <w:rFonts w:ascii="Times New Roman" w:hAnsi="Times New Roman" w:cs="Times New Roman"/>
          <w:sz w:val="24"/>
          <w:szCs w:val="24"/>
        </w:rPr>
      </w:pPr>
    </w:p>
    <w:p w14:paraId="0377C1D4"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Clogg</w:t>
      </w:r>
      <w:proofErr w:type="spellEnd"/>
      <w:r w:rsidRPr="004B67BA">
        <w:rPr>
          <w:rFonts w:ascii="Times New Roman" w:hAnsi="Times New Roman" w:cs="Times New Roman"/>
          <w:sz w:val="24"/>
          <w:szCs w:val="24"/>
        </w:rPr>
        <w:t xml:space="preserve">, </w:t>
      </w:r>
      <w:proofErr w:type="gramStart"/>
      <w:r w:rsidRPr="004B67BA">
        <w:rPr>
          <w:rFonts w:ascii="Times New Roman" w:hAnsi="Times New Roman" w:cs="Times New Roman"/>
          <w:sz w:val="24"/>
          <w:szCs w:val="24"/>
        </w:rPr>
        <w:t>R.(</w:t>
      </w:r>
      <w:proofErr w:type="gramEnd"/>
      <w:r w:rsidRPr="004B67BA">
        <w:rPr>
          <w:rFonts w:ascii="Times New Roman" w:hAnsi="Times New Roman" w:cs="Times New Roman"/>
          <w:sz w:val="24"/>
          <w:szCs w:val="24"/>
        </w:rPr>
        <w:t xml:space="preserve">2018). </w:t>
      </w:r>
      <w:r w:rsidRPr="004B67BA">
        <w:rPr>
          <w:rFonts w:ascii="Times New Roman" w:hAnsi="Times New Roman" w:cs="Times New Roman"/>
          <w:i/>
          <w:sz w:val="24"/>
          <w:szCs w:val="24"/>
        </w:rPr>
        <w:t>Yunanistan’ın Kısa Tarihi</w:t>
      </w:r>
      <w:r w:rsidRPr="004B67BA">
        <w:rPr>
          <w:rFonts w:ascii="Times New Roman" w:hAnsi="Times New Roman" w:cs="Times New Roman"/>
          <w:sz w:val="24"/>
          <w:szCs w:val="24"/>
        </w:rPr>
        <w:t>,</w:t>
      </w:r>
      <w:r w:rsidRPr="004B67BA">
        <w:rPr>
          <w:rFonts w:ascii="Times New Roman" w:hAnsi="Times New Roman" w:cs="Times New Roman"/>
          <w:i/>
          <w:sz w:val="24"/>
          <w:szCs w:val="24"/>
        </w:rPr>
        <w:t xml:space="preserve"> </w:t>
      </w:r>
      <w:r w:rsidRPr="004B67BA">
        <w:rPr>
          <w:rFonts w:ascii="Times New Roman" w:hAnsi="Times New Roman" w:cs="Times New Roman"/>
          <w:sz w:val="24"/>
          <w:szCs w:val="24"/>
        </w:rPr>
        <w:t>Çev. Dilek Şendil, İstanbul: Boğaziçi Üniversitesi Yayınları.</w:t>
      </w:r>
    </w:p>
    <w:p w14:paraId="24539378" w14:textId="77777777" w:rsidR="00914DCC" w:rsidRPr="004B67BA" w:rsidRDefault="00914DCC" w:rsidP="0017453B">
      <w:pPr>
        <w:pStyle w:val="DipnotMetni"/>
        <w:jc w:val="both"/>
        <w:rPr>
          <w:rFonts w:ascii="Times New Roman" w:hAnsi="Times New Roman" w:cs="Times New Roman"/>
          <w:sz w:val="24"/>
          <w:szCs w:val="24"/>
        </w:rPr>
      </w:pPr>
    </w:p>
    <w:p w14:paraId="354D37F0" w14:textId="77777777" w:rsidR="00914DCC" w:rsidRPr="004B67BA" w:rsidRDefault="00914DCC">
      <w:pPr>
        <w:pStyle w:val="ListeParagraf"/>
        <w:numPr>
          <w:ilvl w:val="0"/>
          <w:numId w:val="41"/>
        </w:numPr>
        <w:jc w:val="both"/>
      </w:pPr>
      <w:r w:rsidRPr="004B67BA">
        <w:t xml:space="preserve">Çolakoğlu, E.F. (2022). “ABD Kaynaklarına Göre İzmir’in İşgali ve Sonrası”, </w:t>
      </w:r>
      <w:r w:rsidRPr="00021193">
        <w:rPr>
          <w:i/>
        </w:rPr>
        <w:t>AÜ Türk İnkılâp Tarihi Enstitüsü Atatürk Yolu Dergisi</w:t>
      </w:r>
      <w:r w:rsidRPr="004B67BA">
        <w:t>, 70, 109-138.</w:t>
      </w:r>
    </w:p>
    <w:p w14:paraId="6E67C7C1" w14:textId="77777777" w:rsidR="00914DCC" w:rsidRPr="004B67BA" w:rsidRDefault="00914DCC" w:rsidP="0017453B">
      <w:pPr>
        <w:jc w:val="both"/>
      </w:pPr>
    </w:p>
    <w:p w14:paraId="1E672197"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Eksertzoglou</w:t>
      </w:r>
      <w:proofErr w:type="spellEnd"/>
      <w:r w:rsidRPr="004B67BA">
        <w:rPr>
          <w:rFonts w:ascii="Times New Roman" w:hAnsi="Times New Roman" w:cs="Times New Roman"/>
          <w:sz w:val="24"/>
          <w:szCs w:val="24"/>
        </w:rPr>
        <w:t>, H. (2004</w:t>
      </w:r>
      <w:proofErr w:type="gramStart"/>
      <w:r w:rsidRPr="004B67BA">
        <w:rPr>
          <w:rFonts w:ascii="Times New Roman" w:hAnsi="Times New Roman" w:cs="Times New Roman"/>
          <w:sz w:val="24"/>
          <w:szCs w:val="24"/>
        </w:rPr>
        <w:t>).</w:t>
      </w:r>
      <w:r w:rsidRPr="004B67BA">
        <w:rPr>
          <w:rFonts w:ascii="Times New Roman" w:hAnsi="Times New Roman" w:cs="Times New Roman"/>
          <w:i/>
          <w:sz w:val="24"/>
          <w:szCs w:val="24"/>
        </w:rPr>
        <w:t>Osmanlı’da</w:t>
      </w:r>
      <w:proofErr w:type="gramEnd"/>
      <w:r w:rsidRPr="004B67BA">
        <w:rPr>
          <w:rFonts w:ascii="Times New Roman" w:hAnsi="Times New Roman" w:cs="Times New Roman"/>
          <w:i/>
          <w:sz w:val="24"/>
          <w:szCs w:val="24"/>
        </w:rPr>
        <w:t xml:space="preserve"> Cemiyetler ve Rum Cemaati Dersaadet Rum Cemiyet-i </w:t>
      </w:r>
      <w:proofErr w:type="spellStart"/>
      <w:r w:rsidRPr="004B67BA">
        <w:rPr>
          <w:rFonts w:ascii="Times New Roman" w:hAnsi="Times New Roman" w:cs="Times New Roman"/>
          <w:i/>
          <w:sz w:val="24"/>
          <w:szCs w:val="24"/>
        </w:rPr>
        <w:t>Edebiyesi</w:t>
      </w:r>
      <w:proofErr w:type="spellEnd"/>
      <w:r w:rsidRPr="004B67BA">
        <w:rPr>
          <w:rFonts w:ascii="Times New Roman" w:hAnsi="Times New Roman" w:cs="Times New Roman"/>
          <w:i/>
          <w:sz w:val="24"/>
          <w:szCs w:val="24"/>
        </w:rPr>
        <w:t>,</w:t>
      </w:r>
      <w:r w:rsidRPr="004B67BA">
        <w:rPr>
          <w:rFonts w:ascii="Times New Roman" w:hAnsi="Times New Roman" w:cs="Times New Roman"/>
          <w:sz w:val="24"/>
          <w:szCs w:val="24"/>
        </w:rPr>
        <w:t xml:space="preserve"> İstanbul: Tarih Vakfı Yurt Yayınları.</w:t>
      </w:r>
    </w:p>
    <w:p w14:paraId="758055AD" w14:textId="77777777" w:rsidR="00914DCC" w:rsidRPr="004B67BA" w:rsidRDefault="00914DCC" w:rsidP="0017453B">
      <w:pPr>
        <w:pStyle w:val="DipnotMetni"/>
        <w:jc w:val="both"/>
        <w:rPr>
          <w:rFonts w:ascii="Times New Roman" w:hAnsi="Times New Roman" w:cs="Times New Roman"/>
          <w:sz w:val="24"/>
          <w:szCs w:val="24"/>
        </w:rPr>
      </w:pPr>
    </w:p>
    <w:p w14:paraId="5763B40C" w14:textId="77777777" w:rsidR="00914DCC" w:rsidRPr="004B67BA" w:rsidRDefault="00914DCC">
      <w:pPr>
        <w:pStyle w:val="DipnotMetni"/>
        <w:numPr>
          <w:ilvl w:val="0"/>
          <w:numId w:val="41"/>
        </w:numPr>
        <w:jc w:val="both"/>
        <w:rPr>
          <w:rFonts w:ascii="Times New Roman" w:hAnsi="Times New Roman" w:cs="Times New Roman"/>
          <w:sz w:val="24"/>
          <w:szCs w:val="24"/>
        </w:rPr>
      </w:pPr>
      <w:r w:rsidRPr="004B67BA">
        <w:rPr>
          <w:rFonts w:ascii="Times New Roman" w:hAnsi="Times New Roman" w:cs="Times New Roman"/>
          <w:sz w:val="24"/>
          <w:szCs w:val="24"/>
        </w:rPr>
        <w:t xml:space="preserve">Eser, M. (2019). </w:t>
      </w:r>
      <w:proofErr w:type="spellStart"/>
      <w:r w:rsidRPr="004B67BA">
        <w:rPr>
          <w:rFonts w:ascii="Times New Roman" w:hAnsi="Times New Roman" w:cs="Times New Roman"/>
          <w:i/>
          <w:sz w:val="24"/>
          <w:szCs w:val="24"/>
        </w:rPr>
        <w:t>Eleftherios</w:t>
      </w:r>
      <w:proofErr w:type="spellEnd"/>
      <w:r w:rsidRPr="004B67BA">
        <w:rPr>
          <w:rFonts w:ascii="Times New Roman" w:hAnsi="Times New Roman" w:cs="Times New Roman"/>
          <w:i/>
          <w:sz w:val="24"/>
          <w:szCs w:val="24"/>
        </w:rPr>
        <w:t xml:space="preserve"> Venizelos Yunan Arşiv Kaynaklarına Göre Türk-Yunan İlişkileri</w:t>
      </w:r>
      <w:r w:rsidRPr="004B67BA">
        <w:rPr>
          <w:rFonts w:ascii="Times New Roman" w:hAnsi="Times New Roman" w:cs="Times New Roman"/>
          <w:sz w:val="24"/>
          <w:szCs w:val="24"/>
        </w:rPr>
        <w:t>, İstanbul: Yeditepe Yayınevi.</w:t>
      </w:r>
    </w:p>
    <w:p w14:paraId="26FF2746" w14:textId="77777777" w:rsidR="00914DCC" w:rsidRPr="004B67BA" w:rsidRDefault="00914DCC" w:rsidP="0017453B">
      <w:pPr>
        <w:jc w:val="both"/>
      </w:pPr>
    </w:p>
    <w:p w14:paraId="25926606" w14:textId="77777777" w:rsidR="00914DCC" w:rsidRPr="004B67BA" w:rsidRDefault="00914DCC">
      <w:pPr>
        <w:pStyle w:val="ListeParagraf"/>
        <w:numPr>
          <w:ilvl w:val="0"/>
          <w:numId w:val="41"/>
        </w:numPr>
        <w:jc w:val="both"/>
      </w:pPr>
      <w:proofErr w:type="spellStart"/>
      <w:r w:rsidRPr="004B67BA">
        <w:t>Georgiadou</w:t>
      </w:r>
      <w:proofErr w:type="spellEnd"/>
      <w:r w:rsidRPr="004B67BA">
        <w:t xml:space="preserve">, M. (2004). </w:t>
      </w:r>
      <w:r w:rsidRPr="00021193">
        <w:rPr>
          <w:i/>
        </w:rPr>
        <w:t xml:space="preserve">Constantin </w:t>
      </w:r>
      <w:proofErr w:type="spellStart"/>
      <w:proofErr w:type="gramStart"/>
      <w:r w:rsidRPr="00021193">
        <w:rPr>
          <w:i/>
        </w:rPr>
        <w:t>Carathéodory</w:t>
      </w:r>
      <w:proofErr w:type="spellEnd"/>
      <w:r w:rsidRPr="00021193">
        <w:rPr>
          <w:i/>
        </w:rPr>
        <w:t xml:space="preserve">  </w:t>
      </w:r>
      <w:proofErr w:type="spellStart"/>
      <w:r w:rsidRPr="00021193">
        <w:rPr>
          <w:i/>
        </w:rPr>
        <w:t>Mathematics</w:t>
      </w:r>
      <w:proofErr w:type="spellEnd"/>
      <w:proofErr w:type="gramEnd"/>
      <w:r w:rsidRPr="00021193">
        <w:rPr>
          <w:i/>
        </w:rPr>
        <w:t xml:space="preserve"> </w:t>
      </w:r>
      <w:proofErr w:type="spellStart"/>
      <w:r w:rsidRPr="00021193">
        <w:rPr>
          <w:i/>
        </w:rPr>
        <w:t>and</w:t>
      </w:r>
      <w:proofErr w:type="spellEnd"/>
      <w:r w:rsidRPr="00021193">
        <w:rPr>
          <w:i/>
        </w:rPr>
        <w:t xml:space="preserve"> </w:t>
      </w:r>
      <w:proofErr w:type="spellStart"/>
      <w:r w:rsidRPr="00021193">
        <w:rPr>
          <w:i/>
        </w:rPr>
        <w:t>Polirics</w:t>
      </w:r>
      <w:proofErr w:type="spellEnd"/>
      <w:r w:rsidRPr="00021193">
        <w:rPr>
          <w:i/>
        </w:rPr>
        <w:t xml:space="preserve"> in </w:t>
      </w:r>
      <w:proofErr w:type="spellStart"/>
      <w:r w:rsidRPr="00021193">
        <w:rPr>
          <w:i/>
        </w:rPr>
        <w:t>Turbulent</w:t>
      </w:r>
      <w:proofErr w:type="spellEnd"/>
      <w:r w:rsidRPr="00021193">
        <w:rPr>
          <w:i/>
        </w:rPr>
        <w:t xml:space="preserve"> Times</w:t>
      </w:r>
      <w:r w:rsidRPr="004B67BA">
        <w:t xml:space="preserve">, New York: </w:t>
      </w:r>
      <w:proofErr w:type="spellStart"/>
      <w:r w:rsidRPr="004B67BA">
        <w:t>Springer</w:t>
      </w:r>
      <w:proofErr w:type="spellEnd"/>
      <w:r w:rsidRPr="004B67BA">
        <w:t>.</w:t>
      </w:r>
    </w:p>
    <w:p w14:paraId="7C60B37E" w14:textId="77777777" w:rsidR="00914DCC" w:rsidRPr="004B67BA" w:rsidRDefault="00914DCC" w:rsidP="0017453B">
      <w:pPr>
        <w:jc w:val="both"/>
      </w:pPr>
    </w:p>
    <w:p w14:paraId="24D2D546" w14:textId="77777777" w:rsidR="00914DCC" w:rsidRPr="004B67BA" w:rsidRDefault="00914DCC">
      <w:pPr>
        <w:pStyle w:val="ListeParagraf"/>
        <w:numPr>
          <w:ilvl w:val="0"/>
          <w:numId w:val="41"/>
        </w:numPr>
        <w:jc w:val="both"/>
      </w:pPr>
      <w:proofErr w:type="spellStart"/>
      <w:r w:rsidRPr="004B67BA">
        <w:t>Georgiadou</w:t>
      </w:r>
      <w:proofErr w:type="spellEnd"/>
      <w:r w:rsidRPr="004B67BA">
        <w:t xml:space="preserve">, M. (2005 Ekim). “Doğu’daki Yunan Uygarlaştırma Misyonunun </w:t>
      </w:r>
      <w:proofErr w:type="spellStart"/>
      <w:r w:rsidRPr="004B67BA">
        <w:t>Smyrna</w:t>
      </w:r>
      <w:proofErr w:type="spellEnd"/>
      <w:r w:rsidRPr="004B67BA">
        <w:t xml:space="preserve"> (İzmir) Örneği İyonya Üniversitesi”, </w:t>
      </w:r>
      <w:r w:rsidRPr="00021193">
        <w:rPr>
          <w:i/>
        </w:rPr>
        <w:t>Toplumsal Tarih,</w:t>
      </w:r>
      <w:r w:rsidRPr="004B67BA">
        <w:t xml:space="preserve"> </w:t>
      </w:r>
      <w:proofErr w:type="gramStart"/>
      <w:r w:rsidRPr="004B67BA">
        <w:t>142,  58</w:t>
      </w:r>
      <w:proofErr w:type="gramEnd"/>
      <w:r w:rsidRPr="004B67BA">
        <w:t>-67.</w:t>
      </w:r>
    </w:p>
    <w:p w14:paraId="474C9281" w14:textId="77777777" w:rsidR="00914DCC" w:rsidRPr="004B67BA" w:rsidRDefault="00914DCC" w:rsidP="0017453B">
      <w:pPr>
        <w:jc w:val="both"/>
      </w:pPr>
    </w:p>
    <w:p w14:paraId="5F9D41EB"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Hristou</w:t>
      </w:r>
      <w:proofErr w:type="spellEnd"/>
      <w:r w:rsidRPr="004B67BA">
        <w:rPr>
          <w:rFonts w:ascii="Times New Roman" w:hAnsi="Times New Roman" w:cs="Times New Roman"/>
          <w:sz w:val="24"/>
          <w:szCs w:val="24"/>
        </w:rPr>
        <w:t>, A. (2006</w:t>
      </w:r>
      <w:proofErr w:type="gramStart"/>
      <w:r w:rsidRPr="004B67BA">
        <w:rPr>
          <w:rFonts w:ascii="Times New Roman" w:hAnsi="Times New Roman" w:cs="Times New Roman"/>
          <w:sz w:val="24"/>
          <w:szCs w:val="24"/>
        </w:rPr>
        <w:t>).“</w:t>
      </w:r>
      <w:proofErr w:type="gramEnd"/>
      <w:r w:rsidRPr="004B67BA">
        <w:rPr>
          <w:rFonts w:ascii="Times New Roman" w:hAnsi="Times New Roman" w:cs="Times New Roman"/>
          <w:sz w:val="24"/>
          <w:szCs w:val="24"/>
        </w:rPr>
        <w:t xml:space="preserve">Η </w:t>
      </w:r>
      <w:proofErr w:type="spellStart"/>
      <w:r w:rsidRPr="004B67BA">
        <w:rPr>
          <w:rFonts w:ascii="Times New Roman" w:hAnsi="Times New Roman" w:cs="Times New Roman"/>
          <w:sz w:val="24"/>
          <w:szCs w:val="24"/>
        </w:rPr>
        <w:t>Íδρυση</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του</w:t>
      </w:r>
      <w:proofErr w:type="spellEnd"/>
      <w:r w:rsidRPr="004B67BA">
        <w:rPr>
          <w:rFonts w:ascii="Times New Roman" w:hAnsi="Times New Roman" w:cs="Times New Roman"/>
          <w:sz w:val="24"/>
          <w:szCs w:val="24"/>
        </w:rPr>
        <w:t xml:space="preserve"> Πα</w:t>
      </w:r>
      <w:proofErr w:type="spellStart"/>
      <w:r w:rsidRPr="004B67BA">
        <w:rPr>
          <w:rFonts w:ascii="Times New Roman" w:hAnsi="Times New Roman" w:cs="Times New Roman"/>
          <w:sz w:val="24"/>
          <w:szCs w:val="24"/>
        </w:rPr>
        <w:t>νε</w:t>
      </w:r>
      <w:proofErr w:type="spellEnd"/>
      <w:r w:rsidRPr="004B67BA">
        <w:rPr>
          <w:rFonts w:ascii="Times New Roman" w:hAnsi="Times New Roman" w:cs="Times New Roman"/>
          <w:sz w:val="24"/>
          <w:szCs w:val="24"/>
        </w:rPr>
        <w:t>πιστημ</w:t>
      </w:r>
      <w:r w:rsidRPr="004B67BA">
        <w:rPr>
          <w:rFonts w:ascii="Times New Roman" w:hAnsi="Times New Roman" w:cs="Times New Roman"/>
          <w:sz w:val="24"/>
          <w:szCs w:val="24"/>
          <w:lang w:val="el-GR"/>
        </w:rPr>
        <w:t>ίου της Σμύρνης και ο Κωνσταντίνος  Καραθεοδωρὴ</w:t>
      </w:r>
      <w:r w:rsidRPr="004B67BA">
        <w:rPr>
          <w:rFonts w:ascii="Times New Roman" w:hAnsi="Times New Roman" w:cs="Times New Roman"/>
          <w:sz w:val="24"/>
          <w:szCs w:val="24"/>
        </w:rPr>
        <w:t xml:space="preserve">”, </w:t>
      </w:r>
      <w:r w:rsidRPr="004B67BA">
        <w:rPr>
          <w:rFonts w:ascii="Times New Roman" w:hAnsi="Times New Roman" w:cs="Times New Roman"/>
          <w:i/>
          <w:sz w:val="24"/>
          <w:szCs w:val="24"/>
          <w:lang w:val="el-GR"/>
        </w:rPr>
        <w:t>Ο Ελληνισμός της Μικράς Ασίας από την Αρχαιότητα μέχρι τη Μεγάλη Ἑξοδο Παιδεία Εκπαίδευση στις Αλησμόνητες Πατρίδες της Ανατολὴς Πρακτικα 2</w:t>
      </w:r>
      <w:r w:rsidRPr="004B67BA">
        <w:rPr>
          <w:rFonts w:ascii="Times New Roman" w:hAnsi="Times New Roman" w:cs="Times New Roman"/>
          <w:i/>
          <w:sz w:val="24"/>
          <w:szCs w:val="24"/>
          <w:vertAlign w:val="superscript"/>
          <w:lang w:val="el-GR"/>
        </w:rPr>
        <w:t>ου</w:t>
      </w:r>
      <w:r w:rsidRPr="004B67BA">
        <w:rPr>
          <w:rFonts w:ascii="Times New Roman" w:hAnsi="Times New Roman" w:cs="Times New Roman"/>
          <w:i/>
          <w:sz w:val="24"/>
          <w:szCs w:val="24"/>
          <w:lang w:val="el-GR"/>
        </w:rPr>
        <w:t xml:space="preserve"> Συμπόσιου 25</w:t>
      </w:r>
      <w:r w:rsidRPr="004B67BA">
        <w:rPr>
          <w:rFonts w:ascii="Times New Roman" w:hAnsi="Times New Roman" w:cs="Times New Roman"/>
          <w:i/>
          <w:sz w:val="24"/>
          <w:szCs w:val="24"/>
        </w:rPr>
        <w:t>-</w:t>
      </w:r>
      <w:r w:rsidRPr="004B67BA">
        <w:rPr>
          <w:rFonts w:ascii="Times New Roman" w:hAnsi="Times New Roman" w:cs="Times New Roman"/>
          <w:i/>
          <w:sz w:val="24"/>
          <w:szCs w:val="24"/>
          <w:lang w:val="el-GR"/>
        </w:rPr>
        <w:t>27 Νοεμβρίου</w:t>
      </w:r>
      <w:r w:rsidRPr="004B67BA">
        <w:rPr>
          <w:rFonts w:ascii="Times New Roman" w:hAnsi="Times New Roman" w:cs="Times New Roman"/>
          <w:i/>
          <w:sz w:val="24"/>
          <w:szCs w:val="24"/>
        </w:rPr>
        <w:t>.</w:t>
      </w:r>
      <w:r w:rsidRPr="004B67BA">
        <w:rPr>
          <w:rFonts w:ascii="Times New Roman" w:hAnsi="Times New Roman" w:cs="Times New Roman"/>
          <w:sz w:val="24"/>
          <w:szCs w:val="24"/>
          <w:lang w:val="el-GR"/>
        </w:rPr>
        <w:t xml:space="preserve"> </w:t>
      </w:r>
      <w:r w:rsidRPr="004B67BA">
        <w:rPr>
          <w:rFonts w:ascii="Times New Roman" w:hAnsi="Times New Roman" w:cs="Times New Roman"/>
          <w:sz w:val="24"/>
          <w:szCs w:val="24"/>
        </w:rPr>
        <w:t xml:space="preserve">Nea Ionia: </w:t>
      </w:r>
      <w:proofErr w:type="spellStart"/>
      <w:r w:rsidRPr="004B67BA">
        <w:rPr>
          <w:rFonts w:ascii="Times New Roman" w:hAnsi="Times New Roman" w:cs="Times New Roman"/>
          <w:sz w:val="24"/>
          <w:szCs w:val="24"/>
        </w:rPr>
        <w:t>Kemipo</w:t>
      </w:r>
      <w:proofErr w:type="spellEnd"/>
      <w:r w:rsidRPr="004B67BA">
        <w:rPr>
          <w:rFonts w:ascii="Times New Roman" w:hAnsi="Times New Roman" w:cs="Times New Roman"/>
          <w:sz w:val="24"/>
          <w:szCs w:val="24"/>
        </w:rPr>
        <w:t>, s.204-223.</w:t>
      </w:r>
    </w:p>
    <w:p w14:paraId="2EF6B328" w14:textId="77777777" w:rsidR="00914DCC" w:rsidRPr="004B67BA" w:rsidRDefault="00914DCC" w:rsidP="0017453B">
      <w:pPr>
        <w:pStyle w:val="DipnotMetni"/>
        <w:jc w:val="both"/>
        <w:rPr>
          <w:rFonts w:ascii="Times New Roman" w:hAnsi="Times New Roman" w:cs="Times New Roman"/>
          <w:sz w:val="24"/>
          <w:szCs w:val="24"/>
        </w:rPr>
      </w:pPr>
    </w:p>
    <w:p w14:paraId="4943D6C1"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Jelavich</w:t>
      </w:r>
      <w:proofErr w:type="spellEnd"/>
      <w:r w:rsidRPr="004B67BA">
        <w:rPr>
          <w:rFonts w:ascii="Times New Roman" w:hAnsi="Times New Roman" w:cs="Times New Roman"/>
          <w:sz w:val="24"/>
          <w:szCs w:val="24"/>
        </w:rPr>
        <w:t xml:space="preserve">, B. (2013). </w:t>
      </w:r>
      <w:r w:rsidRPr="004B67BA">
        <w:rPr>
          <w:rFonts w:ascii="Times New Roman" w:hAnsi="Times New Roman" w:cs="Times New Roman"/>
          <w:i/>
          <w:sz w:val="24"/>
          <w:szCs w:val="24"/>
        </w:rPr>
        <w:t>Balkan Tarihi 18.ve 19. Yüzyıllar I</w:t>
      </w:r>
      <w:r w:rsidRPr="004B67BA">
        <w:rPr>
          <w:rFonts w:ascii="Times New Roman" w:hAnsi="Times New Roman" w:cs="Times New Roman"/>
          <w:sz w:val="24"/>
          <w:szCs w:val="24"/>
        </w:rPr>
        <w:t xml:space="preserve">, Çev. </w:t>
      </w:r>
      <w:proofErr w:type="spellStart"/>
      <w:proofErr w:type="gramStart"/>
      <w:r w:rsidRPr="004B67BA">
        <w:rPr>
          <w:rFonts w:ascii="Times New Roman" w:hAnsi="Times New Roman" w:cs="Times New Roman"/>
          <w:sz w:val="24"/>
          <w:szCs w:val="24"/>
        </w:rPr>
        <w:t>İ.Durdu</w:t>
      </w:r>
      <w:proofErr w:type="spellEnd"/>
      <w:proofErr w:type="gramEnd"/>
      <w:r w:rsidRPr="004B67BA">
        <w:rPr>
          <w:rFonts w:ascii="Times New Roman" w:hAnsi="Times New Roman" w:cs="Times New Roman"/>
          <w:sz w:val="24"/>
          <w:szCs w:val="24"/>
        </w:rPr>
        <w:t xml:space="preserve">, G. Tunalı, </w:t>
      </w:r>
      <w:proofErr w:type="spellStart"/>
      <w:r w:rsidRPr="004B67BA">
        <w:rPr>
          <w:rFonts w:ascii="Times New Roman" w:hAnsi="Times New Roman" w:cs="Times New Roman"/>
          <w:sz w:val="24"/>
          <w:szCs w:val="24"/>
        </w:rPr>
        <w:t>H.Koç</w:t>
      </w:r>
      <w:proofErr w:type="spellEnd"/>
      <w:r w:rsidRPr="004B67BA">
        <w:rPr>
          <w:rFonts w:ascii="Times New Roman" w:hAnsi="Times New Roman" w:cs="Times New Roman"/>
          <w:sz w:val="24"/>
          <w:szCs w:val="24"/>
        </w:rPr>
        <w:t>, İstanbul: Küre Yayınları.</w:t>
      </w:r>
    </w:p>
    <w:p w14:paraId="4A92800E" w14:textId="77777777" w:rsidR="00914DCC" w:rsidRPr="004B67BA" w:rsidRDefault="00914DCC" w:rsidP="0017453B">
      <w:pPr>
        <w:pStyle w:val="DipnotMetni"/>
        <w:jc w:val="both"/>
        <w:rPr>
          <w:rFonts w:ascii="Times New Roman" w:hAnsi="Times New Roman" w:cs="Times New Roman"/>
          <w:sz w:val="24"/>
          <w:szCs w:val="24"/>
        </w:rPr>
      </w:pPr>
    </w:p>
    <w:p w14:paraId="71478009" w14:textId="77777777" w:rsidR="00914DCC" w:rsidRPr="004B67BA" w:rsidRDefault="00914DCC">
      <w:pPr>
        <w:pStyle w:val="DipnotMetni"/>
        <w:numPr>
          <w:ilvl w:val="0"/>
          <w:numId w:val="41"/>
        </w:numPr>
        <w:jc w:val="both"/>
        <w:rPr>
          <w:rFonts w:ascii="Times New Roman" w:hAnsi="Times New Roman" w:cs="Times New Roman"/>
          <w:sz w:val="24"/>
          <w:szCs w:val="24"/>
        </w:rPr>
      </w:pPr>
      <w:r w:rsidRPr="004B67BA">
        <w:rPr>
          <w:rFonts w:ascii="Times New Roman" w:hAnsi="Times New Roman" w:cs="Times New Roman"/>
          <w:sz w:val="24"/>
          <w:szCs w:val="24"/>
        </w:rPr>
        <w:t xml:space="preserve">Kılıç, M. (2009). </w:t>
      </w:r>
      <w:r w:rsidRPr="004B67BA">
        <w:rPr>
          <w:rFonts w:ascii="Times New Roman" w:hAnsi="Times New Roman" w:cs="Times New Roman"/>
          <w:i/>
          <w:sz w:val="24"/>
          <w:szCs w:val="24"/>
        </w:rPr>
        <w:t xml:space="preserve">Osmanlı Hariciyesinde Gayrimüslimler, </w:t>
      </w:r>
      <w:r w:rsidRPr="004B67BA">
        <w:rPr>
          <w:rFonts w:ascii="Times New Roman" w:hAnsi="Times New Roman" w:cs="Times New Roman"/>
          <w:sz w:val="24"/>
          <w:szCs w:val="24"/>
        </w:rPr>
        <w:t>Ankara: Ankara Üniversitesi, Doktora Tezi.</w:t>
      </w:r>
    </w:p>
    <w:p w14:paraId="5F07C923" w14:textId="77777777" w:rsidR="00914DCC" w:rsidRPr="004B67BA" w:rsidRDefault="00914DCC" w:rsidP="0017453B">
      <w:pPr>
        <w:pStyle w:val="DipnotMetni"/>
        <w:jc w:val="both"/>
        <w:rPr>
          <w:rFonts w:ascii="Times New Roman" w:hAnsi="Times New Roman" w:cs="Times New Roman"/>
          <w:sz w:val="24"/>
          <w:szCs w:val="24"/>
        </w:rPr>
      </w:pPr>
    </w:p>
    <w:p w14:paraId="48BC24E6" w14:textId="77777777" w:rsidR="00914DCC" w:rsidRPr="004B67BA" w:rsidRDefault="00914DCC">
      <w:pPr>
        <w:pStyle w:val="DipnotMetni"/>
        <w:numPr>
          <w:ilvl w:val="0"/>
          <w:numId w:val="41"/>
        </w:numPr>
        <w:jc w:val="both"/>
        <w:rPr>
          <w:rFonts w:ascii="Times New Roman" w:hAnsi="Times New Roman" w:cs="Times New Roman"/>
          <w:sz w:val="24"/>
          <w:szCs w:val="24"/>
        </w:rPr>
      </w:pPr>
      <w:r w:rsidRPr="004B67BA">
        <w:rPr>
          <w:rFonts w:ascii="Times New Roman" w:hAnsi="Times New Roman" w:cs="Times New Roman"/>
          <w:sz w:val="24"/>
          <w:szCs w:val="24"/>
        </w:rPr>
        <w:t xml:space="preserve">Küçük, C. (2009). “Sevr Antlaşması”, </w:t>
      </w:r>
      <w:r w:rsidRPr="004B67BA">
        <w:rPr>
          <w:rFonts w:ascii="Times New Roman" w:hAnsi="Times New Roman" w:cs="Times New Roman"/>
          <w:i/>
          <w:sz w:val="24"/>
          <w:szCs w:val="24"/>
        </w:rPr>
        <w:t xml:space="preserve">TDVİA, </w:t>
      </w:r>
      <w:r w:rsidRPr="004B67BA">
        <w:rPr>
          <w:rFonts w:ascii="Times New Roman" w:hAnsi="Times New Roman" w:cs="Times New Roman"/>
          <w:sz w:val="24"/>
          <w:szCs w:val="24"/>
        </w:rPr>
        <w:t>37, 1-5.</w:t>
      </w:r>
    </w:p>
    <w:p w14:paraId="74E05595" w14:textId="77777777" w:rsidR="00914DCC" w:rsidRPr="004B67BA" w:rsidRDefault="00914DCC" w:rsidP="0017453B">
      <w:pPr>
        <w:pStyle w:val="DipnotMetni"/>
        <w:jc w:val="both"/>
        <w:rPr>
          <w:rFonts w:ascii="Times New Roman" w:hAnsi="Times New Roman" w:cs="Times New Roman"/>
          <w:sz w:val="24"/>
          <w:szCs w:val="24"/>
        </w:rPr>
      </w:pPr>
    </w:p>
    <w:p w14:paraId="5D4020A6" w14:textId="77777777" w:rsidR="00914DCC" w:rsidRPr="004B67BA" w:rsidRDefault="00914DCC">
      <w:pPr>
        <w:pStyle w:val="DipnotMetni"/>
        <w:numPr>
          <w:ilvl w:val="0"/>
          <w:numId w:val="41"/>
        </w:numPr>
        <w:jc w:val="both"/>
        <w:rPr>
          <w:rFonts w:ascii="Times New Roman" w:hAnsi="Times New Roman" w:cs="Times New Roman"/>
          <w:sz w:val="24"/>
          <w:szCs w:val="24"/>
        </w:rPr>
      </w:pPr>
      <w:r w:rsidRPr="004B67BA">
        <w:rPr>
          <w:rFonts w:ascii="Times New Roman" w:hAnsi="Times New Roman" w:cs="Times New Roman"/>
          <w:sz w:val="24"/>
          <w:szCs w:val="24"/>
        </w:rPr>
        <w:t xml:space="preserve">Milton, G. (2009). </w:t>
      </w:r>
      <w:r w:rsidRPr="004B67BA">
        <w:rPr>
          <w:rFonts w:ascii="Times New Roman" w:hAnsi="Times New Roman" w:cs="Times New Roman"/>
          <w:i/>
          <w:sz w:val="24"/>
          <w:szCs w:val="24"/>
        </w:rPr>
        <w:t xml:space="preserve">Kayıp Cennet </w:t>
      </w:r>
      <w:proofErr w:type="spellStart"/>
      <w:r w:rsidRPr="004B67BA">
        <w:rPr>
          <w:rFonts w:ascii="Times New Roman" w:hAnsi="Times New Roman" w:cs="Times New Roman"/>
          <w:i/>
          <w:sz w:val="24"/>
          <w:szCs w:val="24"/>
        </w:rPr>
        <w:t>Smyrna</w:t>
      </w:r>
      <w:proofErr w:type="spellEnd"/>
      <w:r w:rsidRPr="004B67BA">
        <w:rPr>
          <w:rFonts w:ascii="Times New Roman" w:hAnsi="Times New Roman" w:cs="Times New Roman"/>
          <w:i/>
          <w:sz w:val="24"/>
          <w:szCs w:val="24"/>
        </w:rPr>
        <w:t xml:space="preserve"> 1922 Hoşgörü Kentinin Yıkılışı,</w:t>
      </w:r>
      <w:r w:rsidRPr="004B67BA">
        <w:rPr>
          <w:rFonts w:ascii="Times New Roman" w:hAnsi="Times New Roman" w:cs="Times New Roman"/>
          <w:sz w:val="24"/>
          <w:szCs w:val="24"/>
        </w:rPr>
        <w:t xml:space="preserve"> Çev. Esra </w:t>
      </w:r>
      <w:proofErr w:type="spellStart"/>
      <w:r w:rsidRPr="004B67BA">
        <w:rPr>
          <w:rFonts w:ascii="Times New Roman" w:hAnsi="Times New Roman" w:cs="Times New Roman"/>
          <w:sz w:val="24"/>
          <w:szCs w:val="24"/>
        </w:rPr>
        <w:t>Aktuğlu</w:t>
      </w:r>
      <w:proofErr w:type="spellEnd"/>
      <w:r w:rsidRPr="004B67BA">
        <w:rPr>
          <w:rFonts w:ascii="Times New Roman" w:hAnsi="Times New Roman" w:cs="Times New Roman"/>
          <w:sz w:val="24"/>
          <w:szCs w:val="24"/>
        </w:rPr>
        <w:t>, İzmir: Şenocak Yayınları.</w:t>
      </w:r>
    </w:p>
    <w:p w14:paraId="00317353" w14:textId="77777777" w:rsidR="00914DCC" w:rsidRPr="004B67BA" w:rsidRDefault="00914DCC" w:rsidP="0017453B">
      <w:pPr>
        <w:pStyle w:val="DipnotMetni"/>
        <w:jc w:val="both"/>
        <w:rPr>
          <w:rFonts w:ascii="Times New Roman" w:hAnsi="Times New Roman" w:cs="Times New Roman"/>
          <w:sz w:val="24"/>
          <w:szCs w:val="24"/>
        </w:rPr>
      </w:pPr>
    </w:p>
    <w:p w14:paraId="0421E3AA"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Moiras</w:t>
      </w:r>
      <w:proofErr w:type="spellEnd"/>
      <w:r w:rsidRPr="004B67BA">
        <w:rPr>
          <w:rFonts w:ascii="Times New Roman" w:hAnsi="Times New Roman" w:cs="Times New Roman"/>
          <w:sz w:val="24"/>
          <w:szCs w:val="24"/>
        </w:rPr>
        <w:t>, L. (2015). “</w:t>
      </w:r>
      <w:proofErr w:type="spellStart"/>
      <w:r w:rsidRPr="004B67BA">
        <w:rPr>
          <w:rFonts w:ascii="Times New Roman" w:hAnsi="Times New Roman" w:cs="Times New Roman"/>
          <w:sz w:val="24"/>
          <w:szCs w:val="24"/>
        </w:rPr>
        <w:t>Helenottomanizm</w:t>
      </w:r>
      <w:proofErr w:type="spellEnd"/>
      <w:r w:rsidRPr="004B67BA">
        <w:rPr>
          <w:rFonts w:ascii="Times New Roman" w:hAnsi="Times New Roman" w:cs="Times New Roman"/>
          <w:sz w:val="24"/>
          <w:szCs w:val="24"/>
        </w:rPr>
        <w:t xml:space="preserve"> (Yunan-Osmanlıcılığı) İdeolojisi”, </w:t>
      </w:r>
      <w:r w:rsidRPr="004B67BA">
        <w:rPr>
          <w:rFonts w:ascii="Times New Roman" w:hAnsi="Times New Roman" w:cs="Times New Roman"/>
          <w:i/>
          <w:sz w:val="24"/>
          <w:szCs w:val="24"/>
        </w:rPr>
        <w:t xml:space="preserve">Osmanlıdan Cumhuriyete" </w:t>
      </w:r>
      <w:proofErr w:type="spellStart"/>
      <w:r w:rsidRPr="004B67BA">
        <w:rPr>
          <w:rFonts w:ascii="Times New Roman" w:hAnsi="Times New Roman" w:cs="Times New Roman"/>
          <w:i/>
          <w:sz w:val="24"/>
          <w:szCs w:val="24"/>
        </w:rPr>
        <w:t>Sosyo</w:t>
      </w:r>
      <w:proofErr w:type="spellEnd"/>
      <w:r w:rsidRPr="004B67BA">
        <w:rPr>
          <w:rFonts w:ascii="Times New Roman" w:hAnsi="Times New Roman" w:cs="Times New Roman"/>
          <w:i/>
          <w:sz w:val="24"/>
          <w:szCs w:val="24"/>
        </w:rPr>
        <w:t>-Kültürel Siyasi Yansımalar, Ali İhsan Gencer Anısına</w:t>
      </w:r>
      <w:r w:rsidRPr="004B67BA">
        <w:rPr>
          <w:rFonts w:ascii="Times New Roman" w:hAnsi="Times New Roman" w:cs="Times New Roman"/>
          <w:sz w:val="24"/>
          <w:szCs w:val="24"/>
        </w:rPr>
        <w:t xml:space="preserve">, Haz. </w:t>
      </w:r>
      <w:proofErr w:type="spellStart"/>
      <w:proofErr w:type="gramStart"/>
      <w:r w:rsidRPr="004B67BA">
        <w:rPr>
          <w:rFonts w:ascii="Times New Roman" w:hAnsi="Times New Roman" w:cs="Times New Roman"/>
          <w:sz w:val="24"/>
          <w:szCs w:val="24"/>
        </w:rPr>
        <w:t>G.Sarıyıldız</w:t>
      </w:r>
      <w:proofErr w:type="spellEnd"/>
      <w:proofErr w:type="gramEnd"/>
      <w:r w:rsidRPr="004B67BA">
        <w:rPr>
          <w:rFonts w:ascii="Times New Roman" w:hAnsi="Times New Roman" w:cs="Times New Roman"/>
          <w:sz w:val="24"/>
          <w:szCs w:val="24"/>
        </w:rPr>
        <w:t xml:space="preserve">, F. </w:t>
      </w:r>
      <w:proofErr w:type="spellStart"/>
      <w:r w:rsidRPr="004B67BA">
        <w:rPr>
          <w:rFonts w:ascii="Times New Roman" w:hAnsi="Times New Roman" w:cs="Times New Roman"/>
          <w:sz w:val="24"/>
          <w:szCs w:val="24"/>
        </w:rPr>
        <w:t>Ürekli</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R.</w:t>
      </w:r>
      <w:r>
        <w:rPr>
          <w:rFonts w:ascii="Times New Roman" w:hAnsi="Times New Roman" w:cs="Times New Roman"/>
          <w:sz w:val="24"/>
          <w:szCs w:val="24"/>
        </w:rPr>
        <w:t>Karacakaya</w:t>
      </w:r>
      <w:proofErr w:type="spellEnd"/>
      <w:r>
        <w:rPr>
          <w:rFonts w:ascii="Times New Roman" w:hAnsi="Times New Roman" w:cs="Times New Roman"/>
          <w:sz w:val="24"/>
          <w:szCs w:val="24"/>
        </w:rPr>
        <w:t>, N. E. Hacısalihoğlu</w:t>
      </w:r>
      <w:r w:rsidRPr="004B67BA">
        <w:rPr>
          <w:rFonts w:ascii="Times New Roman" w:hAnsi="Times New Roman" w:cs="Times New Roman"/>
          <w:sz w:val="24"/>
          <w:szCs w:val="24"/>
        </w:rPr>
        <w:t>, İstanbul: Derin Yayınları.</w:t>
      </w:r>
    </w:p>
    <w:p w14:paraId="2327A031" w14:textId="77777777" w:rsidR="00914DCC" w:rsidRPr="004B67BA" w:rsidRDefault="00914DCC" w:rsidP="0017453B">
      <w:pPr>
        <w:pStyle w:val="DipnotMetni"/>
        <w:jc w:val="both"/>
        <w:rPr>
          <w:rFonts w:ascii="Times New Roman" w:hAnsi="Times New Roman" w:cs="Times New Roman"/>
          <w:sz w:val="24"/>
          <w:szCs w:val="24"/>
        </w:rPr>
      </w:pPr>
    </w:p>
    <w:p w14:paraId="423938D3"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Papageorgiou</w:t>
      </w:r>
      <w:proofErr w:type="spellEnd"/>
      <w:r w:rsidRPr="004B67BA">
        <w:rPr>
          <w:rFonts w:ascii="Times New Roman" w:hAnsi="Times New Roman" w:cs="Times New Roman"/>
          <w:sz w:val="24"/>
          <w:szCs w:val="24"/>
        </w:rPr>
        <w:t xml:space="preserve">, S. (2005). </w:t>
      </w:r>
      <w:r w:rsidRPr="004B67BA">
        <w:rPr>
          <w:rFonts w:ascii="Times New Roman" w:hAnsi="Times New Roman" w:cs="Times New Roman"/>
          <w:i/>
          <w:sz w:val="24"/>
          <w:szCs w:val="24"/>
          <w:lang w:val="el-GR"/>
        </w:rPr>
        <w:t>Από Το Γένος</w:t>
      </w:r>
      <w:r w:rsidRPr="004B67BA">
        <w:rPr>
          <w:rFonts w:ascii="Times New Roman" w:hAnsi="Times New Roman" w:cs="Times New Roman"/>
          <w:i/>
          <w:sz w:val="24"/>
          <w:szCs w:val="24"/>
        </w:rPr>
        <w:t xml:space="preserve"> </w:t>
      </w:r>
      <w:r w:rsidRPr="004B67BA">
        <w:rPr>
          <w:rFonts w:ascii="Times New Roman" w:hAnsi="Times New Roman" w:cs="Times New Roman"/>
          <w:i/>
          <w:sz w:val="24"/>
          <w:szCs w:val="24"/>
          <w:lang w:val="el-GR"/>
        </w:rPr>
        <w:t xml:space="preserve"> στο Ἑθνος  Η Θεμελίωση του Ελληνικοὺ Κρἀτους 1821</w:t>
      </w:r>
      <w:r w:rsidRPr="004B67BA">
        <w:rPr>
          <w:rFonts w:ascii="Times New Roman" w:hAnsi="Times New Roman" w:cs="Times New Roman"/>
          <w:i/>
          <w:sz w:val="24"/>
          <w:szCs w:val="24"/>
        </w:rPr>
        <w:t>-</w:t>
      </w:r>
      <w:r w:rsidRPr="004B67BA">
        <w:rPr>
          <w:rFonts w:ascii="Times New Roman" w:hAnsi="Times New Roman" w:cs="Times New Roman"/>
          <w:i/>
          <w:sz w:val="24"/>
          <w:szCs w:val="24"/>
          <w:lang w:val="el-GR"/>
        </w:rPr>
        <w:t xml:space="preserve"> 1862</w:t>
      </w:r>
      <w:r w:rsidRPr="004B67BA">
        <w:rPr>
          <w:rFonts w:ascii="Times New Roman" w:hAnsi="Times New Roman" w:cs="Times New Roman"/>
          <w:sz w:val="24"/>
          <w:szCs w:val="24"/>
        </w:rPr>
        <w:t>, Atina: Papazisi.</w:t>
      </w:r>
    </w:p>
    <w:p w14:paraId="2845D314" w14:textId="77777777" w:rsidR="00914DCC" w:rsidRPr="004B67BA" w:rsidRDefault="00914DCC" w:rsidP="0017453B">
      <w:pPr>
        <w:pStyle w:val="DipnotMetni"/>
        <w:jc w:val="both"/>
        <w:rPr>
          <w:rFonts w:ascii="Times New Roman" w:hAnsi="Times New Roman" w:cs="Times New Roman"/>
          <w:sz w:val="24"/>
          <w:szCs w:val="24"/>
        </w:rPr>
      </w:pPr>
    </w:p>
    <w:p w14:paraId="19BF6F06"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proofErr w:type="gramStart"/>
      <w:r w:rsidRPr="004B67BA">
        <w:rPr>
          <w:rFonts w:ascii="Times New Roman" w:hAnsi="Times New Roman" w:cs="Times New Roman"/>
          <w:sz w:val="24"/>
          <w:szCs w:val="24"/>
        </w:rPr>
        <w:lastRenderedPageBreak/>
        <w:t>Petropulos</w:t>
      </w:r>
      <w:proofErr w:type="spellEnd"/>
      <w:r w:rsidRPr="004B67BA">
        <w:rPr>
          <w:rFonts w:ascii="Times New Roman" w:hAnsi="Times New Roman" w:cs="Times New Roman"/>
          <w:sz w:val="24"/>
          <w:szCs w:val="24"/>
        </w:rPr>
        <w:t>,  J.</w:t>
      </w:r>
      <w:proofErr w:type="gramEnd"/>
      <w:r w:rsidRPr="004B67BA">
        <w:rPr>
          <w:rFonts w:ascii="Times New Roman" w:hAnsi="Times New Roman" w:cs="Times New Roman"/>
          <w:sz w:val="24"/>
          <w:szCs w:val="24"/>
        </w:rPr>
        <w:t xml:space="preserve"> A. (1968). </w:t>
      </w:r>
      <w:proofErr w:type="spellStart"/>
      <w:r w:rsidRPr="004B67BA">
        <w:rPr>
          <w:rFonts w:ascii="Times New Roman" w:hAnsi="Times New Roman" w:cs="Times New Roman"/>
          <w:i/>
          <w:sz w:val="24"/>
          <w:szCs w:val="24"/>
        </w:rPr>
        <w:t>Politics</w:t>
      </w:r>
      <w:proofErr w:type="spellEnd"/>
      <w:r w:rsidRPr="004B67BA">
        <w:rPr>
          <w:rFonts w:ascii="Times New Roman" w:hAnsi="Times New Roman" w:cs="Times New Roman"/>
          <w:i/>
          <w:sz w:val="24"/>
          <w:szCs w:val="24"/>
        </w:rPr>
        <w:t xml:space="preserve"> </w:t>
      </w:r>
      <w:proofErr w:type="spellStart"/>
      <w:r w:rsidRPr="004B67BA">
        <w:rPr>
          <w:rFonts w:ascii="Times New Roman" w:hAnsi="Times New Roman" w:cs="Times New Roman"/>
          <w:i/>
          <w:sz w:val="24"/>
          <w:szCs w:val="24"/>
        </w:rPr>
        <w:t>and</w:t>
      </w:r>
      <w:proofErr w:type="spellEnd"/>
      <w:r w:rsidRPr="004B67BA">
        <w:rPr>
          <w:rFonts w:ascii="Times New Roman" w:hAnsi="Times New Roman" w:cs="Times New Roman"/>
          <w:i/>
          <w:sz w:val="24"/>
          <w:szCs w:val="24"/>
        </w:rPr>
        <w:t xml:space="preserve"> </w:t>
      </w:r>
      <w:proofErr w:type="spellStart"/>
      <w:r w:rsidRPr="004B67BA">
        <w:rPr>
          <w:rFonts w:ascii="Times New Roman" w:hAnsi="Times New Roman" w:cs="Times New Roman"/>
          <w:i/>
          <w:sz w:val="24"/>
          <w:szCs w:val="24"/>
        </w:rPr>
        <w:t>Statecraft</w:t>
      </w:r>
      <w:proofErr w:type="spellEnd"/>
      <w:r w:rsidRPr="004B67BA">
        <w:rPr>
          <w:rFonts w:ascii="Times New Roman" w:hAnsi="Times New Roman" w:cs="Times New Roman"/>
          <w:i/>
          <w:sz w:val="24"/>
          <w:szCs w:val="24"/>
        </w:rPr>
        <w:t xml:space="preserve"> in </w:t>
      </w:r>
      <w:proofErr w:type="spellStart"/>
      <w:r w:rsidRPr="004B67BA">
        <w:rPr>
          <w:rFonts w:ascii="Times New Roman" w:hAnsi="Times New Roman" w:cs="Times New Roman"/>
          <w:i/>
          <w:sz w:val="24"/>
          <w:szCs w:val="24"/>
        </w:rPr>
        <w:t>the</w:t>
      </w:r>
      <w:proofErr w:type="spellEnd"/>
      <w:r w:rsidRPr="004B67BA">
        <w:rPr>
          <w:rFonts w:ascii="Times New Roman" w:hAnsi="Times New Roman" w:cs="Times New Roman"/>
          <w:i/>
          <w:sz w:val="24"/>
          <w:szCs w:val="24"/>
        </w:rPr>
        <w:t xml:space="preserve"> </w:t>
      </w:r>
      <w:proofErr w:type="spellStart"/>
      <w:r w:rsidRPr="004B67BA">
        <w:rPr>
          <w:rFonts w:ascii="Times New Roman" w:hAnsi="Times New Roman" w:cs="Times New Roman"/>
          <w:i/>
          <w:sz w:val="24"/>
          <w:szCs w:val="24"/>
        </w:rPr>
        <w:t>Kingdom</w:t>
      </w:r>
      <w:proofErr w:type="spellEnd"/>
      <w:r w:rsidRPr="004B67BA">
        <w:rPr>
          <w:rFonts w:ascii="Times New Roman" w:hAnsi="Times New Roman" w:cs="Times New Roman"/>
          <w:i/>
          <w:sz w:val="24"/>
          <w:szCs w:val="24"/>
        </w:rPr>
        <w:t xml:space="preserve"> of </w:t>
      </w:r>
      <w:proofErr w:type="spellStart"/>
      <w:r w:rsidRPr="004B67BA">
        <w:rPr>
          <w:rFonts w:ascii="Times New Roman" w:hAnsi="Times New Roman" w:cs="Times New Roman"/>
          <w:i/>
          <w:sz w:val="24"/>
          <w:szCs w:val="24"/>
        </w:rPr>
        <w:t>Greece</w:t>
      </w:r>
      <w:proofErr w:type="spellEnd"/>
      <w:r w:rsidRPr="004B67BA">
        <w:rPr>
          <w:rFonts w:ascii="Times New Roman" w:hAnsi="Times New Roman" w:cs="Times New Roman"/>
          <w:i/>
          <w:sz w:val="24"/>
          <w:szCs w:val="24"/>
        </w:rPr>
        <w:t xml:space="preserve"> 1833-1843</w:t>
      </w:r>
      <w:r w:rsidRPr="004B67BA">
        <w:rPr>
          <w:rFonts w:ascii="Times New Roman" w:hAnsi="Times New Roman" w:cs="Times New Roman"/>
          <w:sz w:val="24"/>
          <w:szCs w:val="24"/>
        </w:rPr>
        <w:t xml:space="preserve">, Princeton, New Jersey: Princeton </w:t>
      </w:r>
      <w:proofErr w:type="spellStart"/>
      <w:r w:rsidRPr="004B67BA">
        <w:rPr>
          <w:rFonts w:ascii="Times New Roman" w:hAnsi="Times New Roman" w:cs="Times New Roman"/>
          <w:sz w:val="24"/>
          <w:szCs w:val="24"/>
        </w:rPr>
        <w:t>University</w:t>
      </w:r>
      <w:proofErr w:type="spellEnd"/>
      <w:r w:rsidRPr="004B67BA">
        <w:rPr>
          <w:rFonts w:ascii="Times New Roman" w:hAnsi="Times New Roman" w:cs="Times New Roman"/>
          <w:sz w:val="24"/>
          <w:szCs w:val="24"/>
        </w:rPr>
        <w:t xml:space="preserve"> </w:t>
      </w:r>
      <w:proofErr w:type="spellStart"/>
      <w:r w:rsidRPr="004B67BA">
        <w:rPr>
          <w:rFonts w:ascii="Times New Roman" w:hAnsi="Times New Roman" w:cs="Times New Roman"/>
          <w:sz w:val="24"/>
          <w:szCs w:val="24"/>
        </w:rPr>
        <w:t>Press</w:t>
      </w:r>
      <w:proofErr w:type="spellEnd"/>
      <w:r w:rsidRPr="004B67BA">
        <w:rPr>
          <w:rFonts w:ascii="Times New Roman" w:hAnsi="Times New Roman" w:cs="Times New Roman"/>
          <w:sz w:val="24"/>
          <w:szCs w:val="24"/>
        </w:rPr>
        <w:t>.</w:t>
      </w:r>
    </w:p>
    <w:p w14:paraId="6012FAF7" w14:textId="77777777" w:rsidR="00914DCC" w:rsidRPr="004B67BA" w:rsidRDefault="00914DCC" w:rsidP="0017453B">
      <w:pPr>
        <w:pStyle w:val="DipnotMetni"/>
        <w:jc w:val="both"/>
        <w:rPr>
          <w:rFonts w:ascii="Times New Roman" w:hAnsi="Times New Roman" w:cs="Times New Roman"/>
          <w:sz w:val="24"/>
          <w:szCs w:val="24"/>
        </w:rPr>
      </w:pPr>
    </w:p>
    <w:p w14:paraId="5332C200" w14:textId="77777777" w:rsidR="00914DCC" w:rsidRPr="004B67BA" w:rsidRDefault="00914DCC">
      <w:pPr>
        <w:pStyle w:val="ListeParagraf"/>
        <w:numPr>
          <w:ilvl w:val="0"/>
          <w:numId w:val="41"/>
        </w:numPr>
        <w:jc w:val="both"/>
      </w:pPr>
      <w:proofErr w:type="spellStart"/>
      <w:r w:rsidRPr="004B67BA">
        <w:t>Philliou</w:t>
      </w:r>
      <w:proofErr w:type="spellEnd"/>
      <w:r w:rsidRPr="004B67BA">
        <w:t xml:space="preserve">, C. (2010). “Osmanlı Yönetimindeki Fenerli Nüfuzun Çözümlenmesi”, </w:t>
      </w:r>
      <w:r w:rsidRPr="00021193">
        <w:rPr>
          <w:i/>
        </w:rPr>
        <w:t xml:space="preserve">Toplumsal Tarih </w:t>
      </w:r>
      <w:r w:rsidRPr="004B67BA">
        <w:t xml:space="preserve">Dergisi, Çev. Nilüfer </w:t>
      </w:r>
      <w:proofErr w:type="spellStart"/>
      <w:r w:rsidRPr="004B67BA">
        <w:t>İlkaya</w:t>
      </w:r>
      <w:proofErr w:type="spellEnd"/>
      <w:r w:rsidRPr="004B67BA">
        <w:t>, 193, 54-69.</w:t>
      </w:r>
    </w:p>
    <w:p w14:paraId="5D4965E5" w14:textId="77777777" w:rsidR="00914DCC" w:rsidRPr="004B67BA" w:rsidRDefault="00914DCC" w:rsidP="0017453B">
      <w:pPr>
        <w:jc w:val="both"/>
      </w:pPr>
    </w:p>
    <w:p w14:paraId="63D6F19C" w14:textId="77777777" w:rsidR="00914DCC" w:rsidRPr="004B67BA" w:rsidRDefault="00914DCC">
      <w:pPr>
        <w:pStyle w:val="ListeParagraf"/>
        <w:numPr>
          <w:ilvl w:val="0"/>
          <w:numId w:val="41"/>
        </w:numPr>
        <w:jc w:val="both"/>
      </w:pPr>
      <w:proofErr w:type="spellStart"/>
      <w:r w:rsidRPr="004B67BA">
        <w:t>Piromali</w:t>
      </w:r>
      <w:proofErr w:type="spellEnd"/>
      <w:r w:rsidRPr="004B67BA">
        <w:t xml:space="preserve">, İ. (2020). </w:t>
      </w:r>
      <w:r w:rsidRPr="00021193">
        <w:rPr>
          <w:i/>
          <w:lang w:val="el-GR"/>
        </w:rPr>
        <w:t>Ο Εμπνευσμένος Ἑλληνας Μαθηματικός Κωνσταντίνος Καραθεοδωρὴ (1873-1950)</w:t>
      </w:r>
      <w:r w:rsidRPr="004B67BA">
        <w:t xml:space="preserve">, Kalamata: </w:t>
      </w:r>
      <w:proofErr w:type="spellStart"/>
      <w:r w:rsidRPr="004B67BA">
        <w:t>University</w:t>
      </w:r>
      <w:proofErr w:type="spellEnd"/>
      <w:r w:rsidRPr="004B67BA">
        <w:t xml:space="preserve"> of </w:t>
      </w:r>
      <w:proofErr w:type="spellStart"/>
      <w:r w:rsidRPr="004B67BA">
        <w:t>Peloponnese</w:t>
      </w:r>
      <w:proofErr w:type="spellEnd"/>
      <w:r w:rsidRPr="004B67BA">
        <w:t>, Yüksek Lisans Tezi.</w:t>
      </w:r>
    </w:p>
    <w:p w14:paraId="47FFCB55" w14:textId="77777777" w:rsidR="00914DCC" w:rsidRPr="004B67BA" w:rsidRDefault="00914DCC" w:rsidP="0017453B">
      <w:pPr>
        <w:jc w:val="both"/>
      </w:pPr>
    </w:p>
    <w:p w14:paraId="3B2857AB" w14:textId="77777777" w:rsidR="00914DCC" w:rsidRPr="004B67BA"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Tağmat</w:t>
      </w:r>
      <w:proofErr w:type="spellEnd"/>
      <w:r w:rsidRPr="004B67BA">
        <w:rPr>
          <w:rFonts w:ascii="Times New Roman" w:hAnsi="Times New Roman" w:cs="Times New Roman"/>
          <w:sz w:val="24"/>
          <w:szCs w:val="24"/>
        </w:rPr>
        <w:t xml:space="preserve">, Ç. (2020). “İşgal Yıllarında İzmir’de Yunan İdari Sistemi”, </w:t>
      </w:r>
      <w:r w:rsidRPr="004B67BA">
        <w:rPr>
          <w:rFonts w:ascii="Times New Roman" w:hAnsi="Times New Roman" w:cs="Times New Roman"/>
          <w:i/>
          <w:sz w:val="24"/>
          <w:szCs w:val="24"/>
        </w:rPr>
        <w:t>1918-1919 Mütarekeden Milli Mücadeleye (Hayal Kırıklığı, Uyanış, Örgütlenme ve Direniş</w:t>
      </w:r>
      <w:proofErr w:type="gramStart"/>
      <w:r w:rsidRPr="004B67BA">
        <w:rPr>
          <w:rFonts w:ascii="Times New Roman" w:hAnsi="Times New Roman" w:cs="Times New Roman"/>
          <w:i/>
          <w:sz w:val="24"/>
          <w:szCs w:val="24"/>
        </w:rPr>
        <w:t>)</w:t>
      </w:r>
      <w:r w:rsidRPr="004B67BA">
        <w:rPr>
          <w:rFonts w:ascii="Times New Roman" w:hAnsi="Times New Roman" w:cs="Times New Roman"/>
          <w:sz w:val="24"/>
          <w:szCs w:val="24"/>
        </w:rPr>
        <w:t>,  İstanbul</w:t>
      </w:r>
      <w:proofErr w:type="gramEnd"/>
      <w:r w:rsidRPr="004B67BA">
        <w:rPr>
          <w:rFonts w:ascii="Times New Roman" w:hAnsi="Times New Roman" w:cs="Times New Roman"/>
          <w:sz w:val="24"/>
          <w:szCs w:val="24"/>
        </w:rPr>
        <w:t>: Türk Ocağı Yayınları, s.118-130.</w:t>
      </w:r>
    </w:p>
    <w:p w14:paraId="15B80228" w14:textId="77777777" w:rsidR="00914DCC" w:rsidRPr="004B67BA" w:rsidRDefault="00914DCC" w:rsidP="0017453B">
      <w:pPr>
        <w:pStyle w:val="DipnotMetni"/>
        <w:jc w:val="both"/>
        <w:rPr>
          <w:rFonts w:ascii="Times New Roman" w:hAnsi="Times New Roman" w:cs="Times New Roman"/>
          <w:sz w:val="24"/>
          <w:szCs w:val="24"/>
        </w:rPr>
      </w:pPr>
    </w:p>
    <w:p w14:paraId="4F377380" w14:textId="20049A2D" w:rsidR="00587C60" w:rsidRDefault="00914DCC">
      <w:pPr>
        <w:pStyle w:val="DipnotMetni"/>
        <w:numPr>
          <w:ilvl w:val="0"/>
          <w:numId w:val="41"/>
        </w:numPr>
        <w:jc w:val="both"/>
        <w:rPr>
          <w:rFonts w:ascii="Times New Roman" w:hAnsi="Times New Roman" w:cs="Times New Roman"/>
          <w:sz w:val="24"/>
          <w:szCs w:val="24"/>
        </w:rPr>
      </w:pPr>
      <w:proofErr w:type="spellStart"/>
      <w:r w:rsidRPr="004B67BA">
        <w:rPr>
          <w:rFonts w:ascii="Times New Roman" w:hAnsi="Times New Roman" w:cs="Times New Roman"/>
          <w:sz w:val="24"/>
          <w:szCs w:val="24"/>
        </w:rPr>
        <w:t>Toynbee</w:t>
      </w:r>
      <w:proofErr w:type="spellEnd"/>
      <w:r w:rsidRPr="004B67BA">
        <w:rPr>
          <w:rFonts w:ascii="Times New Roman" w:hAnsi="Times New Roman" w:cs="Times New Roman"/>
          <w:sz w:val="24"/>
          <w:szCs w:val="24"/>
        </w:rPr>
        <w:t xml:space="preserve">, A. J. (2007). </w:t>
      </w:r>
      <w:r w:rsidRPr="004B67BA">
        <w:rPr>
          <w:rFonts w:ascii="Times New Roman" w:hAnsi="Times New Roman" w:cs="Times New Roman"/>
          <w:i/>
          <w:sz w:val="24"/>
          <w:szCs w:val="24"/>
        </w:rPr>
        <w:t>Türkiye’de ve Yunanistan’da Batı Meselesi</w:t>
      </w:r>
      <w:r w:rsidRPr="004B67BA">
        <w:rPr>
          <w:rFonts w:ascii="Times New Roman" w:hAnsi="Times New Roman" w:cs="Times New Roman"/>
          <w:sz w:val="24"/>
          <w:szCs w:val="24"/>
        </w:rPr>
        <w:t xml:space="preserve">, Çev. Kadri Mustafa </w:t>
      </w:r>
      <w:proofErr w:type="spellStart"/>
      <w:r w:rsidRPr="004B67BA">
        <w:rPr>
          <w:rFonts w:ascii="Times New Roman" w:hAnsi="Times New Roman" w:cs="Times New Roman"/>
          <w:sz w:val="24"/>
          <w:szCs w:val="24"/>
        </w:rPr>
        <w:t>Orağlı</w:t>
      </w:r>
      <w:proofErr w:type="spellEnd"/>
      <w:r w:rsidRPr="004B67BA">
        <w:rPr>
          <w:rFonts w:ascii="Times New Roman" w:hAnsi="Times New Roman" w:cs="Times New Roman"/>
          <w:sz w:val="24"/>
          <w:szCs w:val="24"/>
        </w:rPr>
        <w:t>, İstanbul: Yeditepe Yayınevi.</w:t>
      </w:r>
    </w:p>
    <w:p w14:paraId="53940A8A" w14:textId="32F26CD5" w:rsidR="00F84AD5" w:rsidRPr="00587C60" w:rsidRDefault="00587C60" w:rsidP="00587C60">
      <w:pPr>
        <w:autoSpaceDE/>
        <w:autoSpaceDN/>
      </w:pPr>
      <w:r>
        <w:br w:type="page"/>
      </w:r>
    </w:p>
    <w:p w14:paraId="716525C6" w14:textId="4E9B1713" w:rsidR="00F84AD5" w:rsidRPr="00D42316" w:rsidRDefault="00C1314D" w:rsidP="004C7694">
      <w:pPr>
        <w:pStyle w:val="Tark"/>
      </w:pPr>
      <w:bookmarkStart w:id="56" w:name="_Toc192855167"/>
      <w:r w:rsidRPr="00D42316">
        <w:lastRenderedPageBreak/>
        <w:t xml:space="preserve">Su Kaynaklarını Korumak Adına Düşünülmesi Gereken Mali Çözümler </w:t>
      </w:r>
      <w:proofErr w:type="gramStart"/>
      <w:r w:rsidRPr="00D42316">
        <w:t>Ve</w:t>
      </w:r>
      <w:proofErr w:type="gramEnd"/>
      <w:r w:rsidRPr="00D42316">
        <w:t xml:space="preserve"> Mavi Vergileme</w:t>
      </w:r>
      <w:bookmarkEnd w:id="56"/>
    </w:p>
    <w:p w14:paraId="50670E5F" w14:textId="77777777" w:rsidR="00F84AD5" w:rsidRPr="00D42316" w:rsidRDefault="00F84AD5" w:rsidP="0017453B">
      <w:pPr>
        <w:jc w:val="center"/>
      </w:pPr>
    </w:p>
    <w:p w14:paraId="1C9F2CA7" w14:textId="5BF15869" w:rsidR="00F84AD5" w:rsidRPr="00D42316" w:rsidRDefault="00AC051C" w:rsidP="0017453B">
      <w:pPr>
        <w:widowControl/>
        <w:pBdr>
          <w:top w:val="nil"/>
          <w:left w:val="nil"/>
          <w:bottom w:val="nil"/>
          <w:right w:val="nil"/>
          <w:between w:val="nil"/>
        </w:pBdr>
        <w:jc w:val="center"/>
      </w:pPr>
      <w:r w:rsidRPr="00D42316">
        <w:t>Alaattin DEMİR</w:t>
      </w:r>
    </w:p>
    <w:p w14:paraId="21BC0295" w14:textId="44BBDDC7" w:rsidR="00963624" w:rsidRPr="00D42316" w:rsidRDefault="00963624" w:rsidP="0017453B">
      <w:pPr>
        <w:widowControl/>
        <w:pBdr>
          <w:top w:val="nil"/>
          <w:left w:val="nil"/>
          <w:bottom w:val="nil"/>
          <w:right w:val="nil"/>
          <w:between w:val="nil"/>
        </w:pBdr>
        <w:jc w:val="center"/>
      </w:pPr>
      <w:r w:rsidRPr="00D42316">
        <w:t>Doktora Öğrencisi, Ankara Hacı Bayram Veli Üniversitesi, Maliye Bölümü</w:t>
      </w:r>
    </w:p>
    <w:p w14:paraId="17F77F1B" w14:textId="3DFD3C22" w:rsidR="00963624" w:rsidRPr="00D42316" w:rsidRDefault="00963624" w:rsidP="0017453B">
      <w:pPr>
        <w:widowControl/>
        <w:pBdr>
          <w:top w:val="nil"/>
          <w:left w:val="nil"/>
          <w:bottom w:val="nil"/>
          <w:right w:val="nil"/>
          <w:between w:val="nil"/>
        </w:pBdr>
        <w:jc w:val="center"/>
      </w:pPr>
      <w:hyperlink r:id="rId112" w:history="1">
        <w:r w:rsidRPr="00D42316">
          <w:t>alaattin.demir@ogr.hbv.edu.tr</w:t>
        </w:r>
      </w:hyperlink>
    </w:p>
    <w:p w14:paraId="1FABB699" w14:textId="36F8B93F" w:rsidR="00963624" w:rsidRPr="00D42316" w:rsidRDefault="00963624" w:rsidP="0017453B">
      <w:pPr>
        <w:widowControl/>
        <w:pBdr>
          <w:top w:val="nil"/>
          <w:left w:val="nil"/>
          <w:bottom w:val="nil"/>
          <w:right w:val="nil"/>
          <w:between w:val="nil"/>
        </w:pBdr>
        <w:jc w:val="center"/>
      </w:pPr>
      <w:r w:rsidRPr="00D42316">
        <w:t>0000-0002-0302-7909</w:t>
      </w:r>
    </w:p>
    <w:p w14:paraId="2180C9DA" w14:textId="77777777" w:rsidR="00F84AD5" w:rsidRPr="00D42316" w:rsidRDefault="00F84AD5" w:rsidP="0017453B">
      <w:pPr>
        <w:jc w:val="center"/>
      </w:pPr>
    </w:p>
    <w:p w14:paraId="64CC7919" w14:textId="77777777" w:rsidR="00F84AD5" w:rsidRPr="00D42316" w:rsidRDefault="00AC051C" w:rsidP="0017453B">
      <w:pPr>
        <w:widowControl/>
        <w:pBdr>
          <w:top w:val="nil"/>
          <w:left w:val="nil"/>
          <w:bottom w:val="nil"/>
          <w:right w:val="nil"/>
          <w:between w:val="nil"/>
        </w:pBdr>
        <w:ind w:firstLine="360"/>
        <w:jc w:val="center"/>
        <w:rPr>
          <w:b/>
          <w:bCs/>
          <w:color w:val="000000"/>
        </w:rPr>
      </w:pPr>
      <w:r w:rsidRPr="00D42316">
        <w:rPr>
          <w:b/>
          <w:bCs/>
          <w:color w:val="000000"/>
        </w:rPr>
        <w:t>Özet</w:t>
      </w:r>
    </w:p>
    <w:p w14:paraId="134EAA2C" w14:textId="03FE94DE" w:rsidR="00F84AD5" w:rsidRDefault="00AC051C" w:rsidP="0017453B">
      <w:pPr>
        <w:widowControl/>
        <w:pBdr>
          <w:top w:val="nil"/>
          <w:left w:val="nil"/>
          <w:bottom w:val="nil"/>
          <w:right w:val="nil"/>
          <w:between w:val="nil"/>
        </w:pBdr>
        <w:jc w:val="both"/>
        <w:rPr>
          <w:color w:val="000000"/>
        </w:rPr>
      </w:pPr>
      <w:r w:rsidRPr="00D42316">
        <w:rPr>
          <w:color w:val="000000"/>
        </w:rPr>
        <w:t xml:space="preserve">Canlılar için en önemli yaşam kaynağı hava ve sudur. Özellikle 1980 yılından sonra ilk adımları atılmakla birlikte, 21. yüzyılın başından itibaren havayı korumaya yönelik mali çözümler getirilmiştir. Sera gazı etkisi, küresel ısınmayla mücadele, karbon salınımının azaltılması gibi birçok önemli soruna vergisel çözümler getirilmiştir. Karbon salınımını azaltmaya yönelik çevre vergisi, karbon vergisi veya yeşil vergi olarak adlandırılan vergiler, çevreye duyarlılığın arttırılması, negatif dışsallığın azaltılması amacıyla genellikle hava kirliliği üzerine yoğunlaşmıştır. Ancak canlıların havaya erişimleri kadar suya erişimleri de yaşamın sürdürülebilmesi adına önem taşımaktadır. Dünyamızın 2/3 ü su ile kaplıdır. Yerkürede bulunan suyun </w:t>
      </w:r>
      <w:proofErr w:type="gramStart"/>
      <w:r w:rsidRPr="00D42316">
        <w:rPr>
          <w:color w:val="000000"/>
        </w:rPr>
        <w:t>% 97,5</w:t>
      </w:r>
      <w:proofErr w:type="gramEnd"/>
      <w:r w:rsidRPr="00D42316">
        <w:rPr>
          <w:color w:val="000000"/>
        </w:rPr>
        <w:t xml:space="preserve">’i okyanuslarda bulunan tuzlu sulardan oluşmaktadır. Geriye kalan </w:t>
      </w:r>
      <w:proofErr w:type="gramStart"/>
      <w:r w:rsidRPr="00D42316">
        <w:rPr>
          <w:color w:val="000000"/>
        </w:rPr>
        <w:t>% 2,5</w:t>
      </w:r>
      <w:proofErr w:type="gramEnd"/>
      <w:r w:rsidRPr="00D42316">
        <w:rPr>
          <w:color w:val="000000"/>
        </w:rPr>
        <w:t xml:space="preserve"> oranındaki tatlı suyun büyük bir kısmı kutuplarda (</w:t>
      </w:r>
      <w:proofErr w:type="spellStart"/>
      <w:r w:rsidRPr="00D42316">
        <w:rPr>
          <w:color w:val="000000"/>
        </w:rPr>
        <w:t>Antartika</w:t>
      </w:r>
      <w:proofErr w:type="spellEnd"/>
      <w:r w:rsidRPr="00D42316">
        <w:rPr>
          <w:color w:val="000000"/>
        </w:rPr>
        <w:t xml:space="preserve">, </w:t>
      </w:r>
      <w:proofErr w:type="spellStart"/>
      <w:r w:rsidRPr="00D42316">
        <w:rPr>
          <w:color w:val="000000"/>
        </w:rPr>
        <w:t>Greenland</w:t>
      </w:r>
      <w:proofErr w:type="spellEnd"/>
      <w:r w:rsidRPr="00D42316">
        <w:rPr>
          <w:color w:val="000000"/>
        </w:rPr>
        <w:t xml:space="preserve">) buzul ve çok derin jeolojik tabakalarda yeraltı suyu olarak bulunur. Ulaşabildiğimiz temiz su kaynakları göllerde, rezervuarlarda, nehirlerde ve derelerde bulunmakta olup, bu miktar yerküredeki toplam tatlı su potansiyelinin </w:t>
      </w:r>
      <w:proofErr w:type="gramStart"/>
      <w:r w:rsidRPr="00D42316">
        <w:rPr>
          <w:color w:val="000000"/>
        </w:rPr>
        <w:t>% 0,10</w:t>
      </w:r>
      <w:proofErr w:type="gramEnd"/>
      <w:r w:rsidRPr="00D42316">
        <w:rPr>
          <w:color w:val="000000"/>
        </w:rPr>
        <w:t xml:space="preserve">’unu oluşturmaktadır. Görüleceği üzere Dünya’da içilebilir tatlı su kaynaklarına erişim her geçen gün azalmakta, küresel ısınmayla birlikte var olan kaynaklarda da azalış görülmektedir. Bu sebeple hayati öneme sahip olan suyu korumak tüm Dünya vatandaşlarının en doğal görevidir. Su kaynaklarını korumak, su kirliliğini azaltmak, kullanılabilir su miktarını arttırmak, tatlı suya dönüşümü kolaylaştıran alanlara yatırım yapmak ve bunları yaparken bu alanları teşvik etmek mali çözümler arasında yer almaktadır. Su kirliliği olumsuz dışsallıklar arasında yer almaktadır. Dışsallıkların çözümünde piyasa çözümleri, hukuki çözümler olduğu kadar mali çözümler de etkilidir. Öncelikle olumsuz dışsallığı azaltıcı, daha sonra olumlu dışsallık sağlayan alanların arttırılmasının sağlanması maliye politikasının en önemli görevleri arasındadır. Bu sebeple mali literatürde kullanılmayan ancak kesinlikle üzerinde durulması gereken bir kavram “mavi vergileme” değerlendirmeye alınmalıdır. Mavi vergilemenin konusunu, su kaynaklarının kirliliğine sebebiyet veren endüstriyel ve evsel atıklar ile deniz taşıtlarının oluşturduğu negatif dışsallıkları önleyen veya azaltan bir vergiden oluşmalıdır. Bu vergi, su kirliliğine neden olan endüstriyel atıklarının azaltılmasını sağlayan, bu azaltmayı sağlamak adına araştırma ve geliştirme faaliyetleri, inovatif çözümler ve yatırımları teşvik eden vergi teşvik sistemleri oluşturulmalıdır. Mavi vergileme birim başına su kirliliği üzerinden alınmalı ve azaltılan her birim için vergi alınmazken su kirliliği azaltım oranında yine kirliliği azaltmada kullanılmak üzere yapılan yatırımlar, mal ve hizmet alımlarında bu oranda katma değer vergisi indirim </w:t>
      </w:r>
      <w:proofErr w:type="gramStart"/>
      <w:r w:rsidRPr="00D42316">
        <w:rPr>
          <w:color w:val="000000"/>
        </w:rPr>
        <w:t>imkanı</w:t>
      </w:r>
      <w:proofErr w:type="gramEnd"/>
      <w:r w:rsidRPr="00D42316">
        <w:rPr>
          <w:color w:val="000000"/>
        </w:rPr>
        <w:t xml:space="preserve"> tanınmalıdır. Su kaynaklarının korunması adına yapılacak yatırımlara yönelik harcama ve giderlerin tamamının indirimine izin verilmelidir. Bununla birlikte deniz suyu gibi tuzlu, acı veya sodalı suların endüstride kullanımı, kullanılan suların tekrar endüstriyel alanları nakilleri teşvik edilmesi ve suyun dönüştürülebilir olması sağlanmalıdır. Turizm tesislerinde kullanılan suların tatlı su kaynakları olmamasına deniz suyunun arıtılarak havuz ve aquapark gibi yerlerde kullanımı sağlanmalı, bu düzenlemelere uymayanların su kirliliği birim başına vergiye tabi olması, dönüşümü </w:t>
      </w:r>
      <w:r w:rsidRPr="00D42316">
        <w:rPr>
          <w:color w:val="000000"/>
        </w:rPr>
        <w:lastRenderedPageBreak/>
        <w:t>sağlayanların ise kirlilik birimlerinin düşürülerek daha az vergiyle karşılaşması sağlanmalıdır. Çalışmamızda bu hususlar özellikleri ve ayrıntılarıyla vurgulanacak ve açıklanmaya çalışılacaktır. Bu çalışma mevcut uygulamada böyle bir verginin ve vergisel çözümün gerekliliği, bu çözümler sonucunda ulaşılması istenilen ve beklenen hedefler, ekonomiye katkıları, su kirliliğini azaltan, suyun tekraren kullanımını teşvik eden mali çözümler ile mavi vergileme kavramının ilk kez kullanılarak yaygınlaşmasını amaçlamaktadır.</w:t>
      </w:r>
    </w:p>
    <w:p w14:paraId="33546B99" w14:textId="77777777" w:rsidR="0017453B" w:rsidRPr="00D42316" w:rsidRDefault="0017453B" w:rsidP="0017453B">
      <w:pPr>
        <w:widowControl/>
        <w:pBdr>
          <w:top w:val="nil"/>
          <w:left w:val="nil"/>
          <w:bottom w:val="nil"/>
          <w:right w:val="nil"/>
          <w:between w:val="nil"/>
        </w:pBdr>
        <w:jc w:val="both"/>
        <w:rPr>
          <w:color w:val="000000"/>
        </w:rPr>
      </w:pPr>
    </w:p>
    <w:p w14:paraId="12A2344F" w14:textId="2ED112EA" w:rsidR="00B4361D" w:rsidRPr="00D42316" w:rsidRDefault="00AC051C" w:rsidP="0017453B">
      <w:pPr>
        <w:widowControl/>
        <w:pBdr>
          <w:top w:val="nil"/>
          <w:left w:val="nil"/>
          <w:bottom w:val="nil"/>
          <w:right w:val="nil"/>
          <w:between w:val="nil"/>
        </w:pBdr>
        <w:jc w:val="both"/>
        <w:rPr>
          <w:color w:val="000000"/>
        </w:rPr>
      </w:pPr>
      <w:r w:rsidRPr="00D42316">
        <w:rPr>
          <w:b/>
          <w:bCs/>
          <w:color w:val="000000"/>
        </w:rPr>
        <w:t xml:space="preserve">Anahtar </w:t>
      </w:r>
      <w:r w:rsidR="00963624" w:rsidRPr="00D42316">
        <w:rPr>
          <w:b/>
          <w:bCs/>
          <w:color w:val="000000"/>
        </w:rPr>
        <w:t>Kelimeler</w:t>
      </w:r>
      <w:r w:rsidRPr="00D42316">
        <w:rPr>
          <w:color w:val="000000"/>
        </w:rPr>
        <w:t>: Vergi, Mavi Vergileme, Mali Çözümler, Çevreye Duyarlı Vergi, Su Kaynaklarını Korumak Adına Düşünülmesi Gereken Mali Çözümler ve Mavi Vergileme.</w:t>
      </w:r>
    </w:p>
    <w:p w14:paraId="48017CF3" w14:textId="77777777" w:rsidR="00B4361D" w:rsidRPr="00D42316" w:rsidRDefault="00B4361D" w:rsidP="0017453B">
      <w:pPr>
        <w:widowControl/>
        <w:pBdr>
          <w:top w:val="nil"/>
          <w:left w:val="nil"/>
          <w:bottom w:val="nil"/>
          <w:right w:val="nil"/>
          <w:between w:val="nil"/>
        </w:pBdr>
        <w:jc w:val="both"/>
        <w:rPr>
          <w:color w:val="000000"/>
        </w:rPr>
      </w:pPr>
    </w:p>
    <w:p w14:paraId="3B19A23F" w14:textId="77777777" w:rsidR="00021193" w:rsidRPr="00D42316" w:rsidRDefault="00021193" w:rsidP="0017453B">
      <w:pPr>
        <w:widowControl/>
        <w:pBdr>
          <w:top w:val="nil"/>
          <w:left w:val="nil"/>
          <w:bottom w:val="nil"/>
          <w:right w:val="nil"/>
          <w:between w:val="nil"/>
        </w:pBdr>
        <w:jc w:val="both"/>
        <w:rPr>
          <w:color w:val="000000"/>
        </w:rPr>
      </w:pPr>
    </w:p>
    <w:p w14:paraId="620F27F3" w14:textId="526010E7" w:rsidR="00F84AD5" w:rsidRDefault="00587C60" w:rsidP="004C7694">
      <w:pPr>
        <w:pStyle w:val="Tark"/>
      </w:pPr>
      <w:bookmarkStart w:id="57" w:name="_Toc192855168"/>
      <w:r>
        <w:t>Financial</w:t>
      </w:r>
      <w:r w:rsidR="00B4361D" w:rsidRPr="00D42316">
        <w:t xml:space="preserve"> Solut</w:t>
      </w:r>
      <w:r>
        <w:t>ions</w:t>
      </w:r>
      <w:r w:rsidR="00B4361D" w:rsidRPr="00D42316">
        <w:t xml:space="preserve"> </w:t>
      </w:r>
      <w:proofErr w:type="spellStart"/>
      <w:r w:rsidR="00B4361D" w:rsidRPr="00D42316">
        <w:t>To</w:t>
      </w:r>
      <w:proofErr w:type="spellEnd"/>
      <w:r w:rsidR="00B4361D" w:rsidRPr="00D42316">
        <w:t xml:space="preserve"> Be </w:t>
      </w:r>
      <w:proofErr w:type="spellStart"/>
      <w:r w:rsidR="00B4361D" w:rsidRPr="00D42316">
        <w:t>Cons</w:t>
      </w:r>
      <w:r>
        <w:t>i</w:t>
      </w:r>
      <w:r w:rsidR="00B4361D" w:rsidRPr="00D42316">
        <w:t>dered</w:t>
      </w:r>
      <w:proofErr w:type="spellEnd"/>
      <w:r w:rsidR="00B4361D" w:rsidRPr="00D42316">
        <w:t xml:space="preserve"> </w:t>
      </w:r>
      <w:proofErr w:type="spellStart"/>
      <w:r w:rsidR="00B4361D" w:rsidRPr="00D42316">
        <w:t>To</w:t>
      </w:r>
      <w:proofErr w:type="spellEnd"/>
      <w:r w:rsidR="00B4361D" w:rsidRPr="00D42316">
        <w:t xml:space="preserve"> </w:t>
      </w:r>
      <w:proofErr w:type="spellStart"/>
      <w:r w:rsidR="00B4361D" w:rsidRPr="00D42316">
        <w:t>Protect</w:t>
      </w:r>
      <w:proofErr w:type="spellEnd"/>
      <w:r w:rsidR="00B4361D" w:rsidRPr="00D42316">
        <w:t xml:space="preserve"> </w:t>
      </w:r>
      <w:proofErr w:type="spellStart"/>
      <w:r w:rsidR="00B4361D" w:rsidRPr="00D42316">
        <w:t>Water</w:t>
      </w:r>
      <w:proofErr w:type="spellEnd"/>
      <w:r w:rsidR="00B4361D" w:rsidRPr="00D42316">
        <w:t xml:space="preserve"> </w:t>
      </w:r>
      <w:proofErr w:type="spellStart"/>
      <w:r w:rsidR="00B4361D" w:rsidRPr="00D42316">
        <w:t>Resources</w:t>
      </w:r>
      <w:proofErr w:type="spellEnd"/>
      <w:r w:rsidR="00B4361D" w:rsidRPr="00D42316">
        <w:t xml:space="preserve"> </w:t>
      </w:r>
      <w:proofErr w:type="spellStart"/>
      <w:r w:rsidR="00B4361D" w:rsidRPr="00D42316">
        <w:t>And</w:t>
      </w:r>
      <w:proofErr w:type="spellEnd"/>
      <w:r w:rsidR="00B4361D" w:rsidRPr="00D42316">
        <w:t xml:space="preserve"> Blue </w:t>
      </w:r>
      <w:proofErr w:type="spellStart"/>
      <w:r w:rsidR="00B4361D" w:rsidRPr="00D42316">
        <w:t>Taxat</w:t>
      </w:r>
      <w:r>
        <w:t>i</w:t>
      </w:r>
      <w:r w:rsidR="00B4361D" w:rsidRPr="00D42316">
        <w:t>on</w:t>
      </w:r>
      <w:bookmarkEnd w:id="57"/>
      <w:proofErr w:type="spellEnd"/>
    </w:p>
    <w:p w14:paraId="7AC5CF63" w14:textId="77777777" w:rsidR="0017453B" w:rsidRPr="0017453B" w:rsidRDefault="0017453B" w:rsidP="0017453B">
      <w:pPr>
        <w:pStyle w:val="Metin"/>
      </w:pPr>
    </w:p>
    <w:p w14:paraId="7A7C7DA6" w14:textId="77777777" w:rsidR="00F84AD5" w:rsidRPr="00D42316" w:rsidRDefault="00AC051C" w:rsidP="0017453B">
      <w:pPr>
        <w:widowControl/>
        <w:pBdr>
          <w:top w:val="nil"/>
          <w:left w:val="nil"/>
          <w:bottom w:val="nil"/>
          <w:right w:val="nil"/>
          <w:between w:val="nil"/>
        </w:pBdr>
        <w:ind w:left="360"/>
        <w:jc w:val="center"/>
        <w:rPr>
          <w:b/>
          <w:bCs/>
          <w:color w:val="000000"/>
        </w:rPr>
      </w:pPr>
      <w:proofErr w:type="spellStart"/>
      <w:r w:rsidRPr="00D42316">
        <w:rPr>
          <w:b/>
          <w:bCs/>
          <w:color w:val="000000"/>
        </w:rPr>
        <w:t>Abstract</w:t>
      </w:r>
      <w:proofErr w:type="spellEnd"/>
    </w:p>
    <w:p w14:paraId="14ED4A7C" w14:textId="77777777" w:rsidR="00F84AD5" w:rsidRDefault="00AC051C" w:rsidP="0017453B">
      <w:pPr>
        <w:widowControl/>
        <w:pBdr>
          <w:top w:val="nil"/>
          <w:left w:val="nil"/>
          <w:bottom w:val="nil"/>
          <w:right w:val="nil"/>
          <w:between w:val="nil"/>
        </w:pBdr>
        <w:ind w:firstLine="360"/>
        <w:jc w:val="both"/>
        <w:rPr>
          <w:color w:val="000000"/>
        </w:rPr>
      </w:pPr>
      <w:proofErr w:type="spellStart"/>
      <w:r w:rsidRPr="00D42316">
        <w:rPr>
          <w:color w:val="000000"/>
        </w:rPr>
        <w:t>The</w:t>
      </w:r>
      <w:proofErr w:type="spellEnd"/>
      <w:r w:rsidRPr="00D42316">
        <w:rPr>
          <w:color w:val="000000"/>
        </w:rPr>
        <w:t xml:space="preserve"> </w:t>
      </w:r>
      <w:proofErr w:type="spellStart"/>
      <w:r w:rsidRPr="00D42316">
        <w:rPr>
          <w:color w:val="000000"/>
        </w:rPr>
        <w:t>most</w:t>
      </w:r>
      <w:proofErr w:type="spellEnd"/>
      <w:r w:rsidRPr="00D42316">
        <w:rPr>
          <w:color w:val="000000"/>
        </w:rPr>
        <w:t xml:space="preserve"> </w:t>
      </w:r>
      <w:proofErr w:type="spellStart"/>
      <w:r w:rsidRPr="00D42316">
        <w:rPr>
          <w:color w:val="000000"/>
        </w:rPr>
        <w:t>important</w:t>
      </w:r>
      <w:proofErr w:type="spellEnd"/>
      <w:r w:rsidRPr="00D42316">
        <w:rPr>
          <w:color w:val="000000"/>
        </w:rPr>
        <w:t xml:space="preserve"> </w:t>
      </w:r>
      <w:proofErr w:type="spellStart"/>
      <w:r w:rsidRPr="00D42316">
        <w:rPr>
          <w:color w:val="000000"/>
        </w:rPr>
        <w:t>source</w:t>
      </w:r>
      <w:proofErr w:type="spellEnd"/>
      <w:r w:rsidRPr="00D42316">
        <w:rPr>
          <w:color w:val="000000"/>
        </w:rPr>
        <w:t xml:space="preserve"> of life </w:t>
      </w:r>
      <w:proofErr w:type="spellStart"/>
      <w:r w:rsidRPr="00D42316">
        <w:rPr>
          <w:color w:val="000000"/>
        </w:rPr>
        <w:t>for</w:t>
      </w:r>
      <w:proofErr w:type="spellEnd"/>
      <w:r w:rsidRPr="00D42316">
        <w:rPr>
          <w:color w:val="000000"/>
        </w:rPr>
        <w:t xml:space="preserve"> </w:t>
      </w:r>
      <w:proofErr w:type="spellStart"/>
      <w:r w:rsidRPr="00D42316">
        <w:rPr>
          <w:color w:val="000000"/>
        </w:rPr>
        <w:t>living</w:t>
      </w:r>
      <w:proofErr w:type="spellEnd"/>
      <w:r w:rsidRPr="00D42316">
        <w:rPr>
          <w:color w:val="000000"/>
        </w:rPr>
        <w:t xml:space="preserve"> </w:t>
      </w:r>
      <w:proofErr w:type="spellStart"/>
      <w:r w:rsidRPr="00D42316">
        <w:rPr>
          <w:color w:val="000000"/>
        </w:rPr>
        <w:t>things</w:t>
      </w:r>
      <w:proofErr w:type="spellEnd"/>
      <w:r w:rsidRPr="00D42316">
        <w:rPr>
          <w:color w:val="000000"/>
        </w:rPr>
        <w:t xml:space="preserve"> is </w:t>
      </w:r>
      <w:proofErr w:type="spellStart"/>
      <w:r w:rsidRPr="00D42316">
        <w:rPr>
          <w:color w:val="000000"/>
        </w:rPr>
        <w:t>air</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Although</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first</w:t>
      </w:r>
      <w:proofErr w:type="spellEnd"/>
      <w:r w:rsidRPr="00D42316">
        <w:rPr>
          <w:color w:val="000000"/>
        </w:rPr>
        <w:t xml:space="preserve"> </w:t>
      </w:r>
      <w:proofErr w:type="spellStart"/>
      <w:r w:rsidRPr="00D42316">
        <w:rPr>
          <w:color w:val="000000"/>
        </w:rPr>
        <w:t>steps</w:t>
      </w:r>
      <w:proofErr w:type="spellEnd"/>
      <w:r w:rsidRPr="00D42316">
        <w:rPr>
          <w:color w:val="000000"/>
        </w:rPr>
        <w:t xml:space="preserve"> </w:t>
      </w:r>
      <w:proofErr w:type="spellStart"/>
      <w:r w:rsidRPr="00D42316">
        <w:rPr>
          <w:color w:val="000000"/>
        </w:rPr>
        <w:t>were</w:t>
      </w:r>
      <w:proofErr w:type="spellEnd"/>
      <w:r w:rsidRPr="00D42316">
        <w:rPr>
          <w:color w:val="000000"/>
        </w:rPr>
        <w:t xml:space="preserve"> </w:t>
      </w:r>
      <w:proofErr w:type="spellStart"/>
      <w:r w:rsidRPr="00D42316">
        <w:rPr>
          <w:color w:val="000000"/>
        </w:rPr>
        <w:t>taken</w:t>
      </w:r>
      <w:proofErr w:type="spellEnd"/>
      <w:r w:rsidRPr="00D42316">
        <w:rPr>
          <w:color w:val="000000"/>
        </w:rPr>
        <w:t xml:space="preserve"> </w:t>
      </w:r>
      <w:proofErr w:type="spellStart"/>
      <w:r w:rsidRPr="00D42316">
        <w:rPr>
          <w:color w:val="000000"/>
        </w:rPr>
        <w:t>especially</w:t>
      </w:r>
      <w:proofErr w:type="spellEnd"/>
      <w:r w:rsidRPr="00D42316">
        <w:rPr>
          <w:color w:val="000000"/>
        </w:rPr>
        <w:t xml:space="preserve"> </w:t>
      </w:r>
      <w:proofErr w:type="spellStart"/>
      <w:r w:rsidRPr="00D42316">
        <w:rPr>
          <w:color w:val="000000"/>
        </w:rPr>
        <w:t>after</w:t>
      </w:r>
      <w:proofErr w:type="spellEnd"/>
      <w:r w:rsidRPr="00D42316">
        <w:rPr>
          <w:color w:val="000000"/>
        </w:rPr>
        <w:t xml:space="preserve"> 1980, </w:t>
      </w:r>
      <w:proofErr w:type="spellStart"/>
      <w:r w:rsidRPr="00D42316">
        <w:rPr>
          <w:color w:val="000000"/>
        </w:rPr>
        <w:t>financial</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have</w:t>
      </w:r>
      <w:proofErr w:type="spellEnd"/>
      <w:r w:rsidRPr="00D42316">
        <w:rPr>
          <w:color w:val="000000"/>
        </w:rPr>
        <w:t xml:space="preserve"> </w:t>
      </w:r>
      <w:proofErr w:type="spellStart"/>
      <w:r w:rsidRPr="00D42316">
        <w:rPr>
          <w:color w:val="000000"/>
        </w:rPr>
        <w:t>been</w:t>
      </w:r>
      <w:proofErr w:type="spellEnd"/>
      <w:r w:rsidRPr="00D42316">
        <w:rPr>
          <w:color w:val="000000"/>
        </w:rPr>
        <w:t xml:space="preserve"> </w:t>
      </w:r>
      <w:proofErr w:type="spellStart"/>
      <w:r w:rsidRPr="00D42316">
        <w:rPr>
          <w:color w:val="000000"/>
        </w:rPr>
        <w:t>introduced</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protect</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air</w:t>
      </w:r>
      <w:proofErr w:type="spellEnd"/>
      <w:r w:rsidRPr="00D42316">
        <w:rPr>
          <w:color w:val="000000"/>
        </w:rPr>
        <w:t xml:space="preserve"> since </w:t>
      </w:r>
      <w:proofErr w:type="spellStart"/>
      <w:r w:rsidRPr="00D42316">
        <w:rPr>
          <w:color w:val="000000"/>
        </w:rPr>
        <w:t>the</w:t>
      </w:r>
      <w:proofErr w:type="spellEnd"/>
      <w:r w:rsidRPr="00D42316">
        <w:rPr>
          <w:color w:val="000000"/>
        </w:rPr>
        <w:t xml:space="preserve"> </w:t>
      </w:r>
      <w:proofErr w:type="spellStart"/>
      <w:r w:rsidRPr="00D42316">
        <w:rPr>
          <w:color w:val="000000"/>
        </w:rPr>
        <w:t>beginning</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21st </w:t>
      </w:r>
      <w:proofErr w:type="spellStart"/>
      <w:r w:rsidRPr="00D42316">
        <w:rPr>
          <w:color w:val="000000"/>
        </w:rPr>
        <w:t>century</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have</w:t>
      </w:r>
      <w:proofErr w:type="spellEnd"/>
      <w:r w:rsidRPr="00D42316">
        <w:rPr>
          <w:color w:val="000000"/>
        </w:rPr>
        <w:t xml:space="preserve"> </w:t>
      </w:r>
      <w:proofErr w:type="spellStart"/>
      <w:r w:rsidRPr="00D42316">
        <w:rPr>
          <w:color w:val="000000"/>
        </w:rPr>
        <w:t>been</w:t>
      </w:r>
      <w:proofErr w:type="spellEnd"/>
      <w:r w:rsidRPr="00D42316">
        <w:rPr>
          <w:color w:val="000000"/>
        </w:rPr>
        <w:t xml:space="preserve"> </w:t>
      </w:r>
      <w:proofErr w:type="spellStart"/>
      <w:r w:rsidRPr="00D42316">
        <w:rPr>
          <w:color w:val="000000"/>
        </w:rPr>
        <w:t>brought</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many</w:t>
      </w:r>
      <w:proofErr w:type="spellEnd"/>
      <w:r w:rsidRPr="00D42316">
        <w:rPr>
          <w:color w:val="000000"/>
        </w:rPr>
        <w:t xml:space="preserve"> </w:t>
      </w:r>
      <w:proofErr w:type="spellStart"/>
      <w:r w:rsidRPr="00D42316">
        <w:rPr>
          <w:color w:val="000000"/>
        </w:rPr>
        <w:t>important</w:t>
      </w:r>
      <w:proofErr w:type="spellEnd"/>
      <w:r w:rsidRPr="00D42316">
        <w:rPr>
          <w:color w:val="000000"/>
        </w:rPr>
        <w:t xml:space="preserve"> </w:t>
      </w:r>
      <w:proofErr w:type="spellStart"/>
      <w:r w:rsidRPr="00D42316">
        <w:rPr>
          <w:color w:val="000000"/>
        </w:rPr>
        <w:t>problems</w:t>
      </w:r>
      <w:proofErr w:type="spellEnd"/>
      <w:r w:rsidRPr="00D42316">
        <w:rPr>
          <w:color w:val="000000"/>
        </w:rPr>
        <w:t xml:space="preserve"> </w:t>
      </w:r>
      <w:proofErr w:type="spellStart"/>
      <w:r w:rsidRPr="00D42316">
        <w:rPr>
          <w:color w:val="000000"/>
        </w:rPr>
        <w:t>such</w:t>
      </w:r>
      <w:proofErr w:type="spellEnd"/>
      <w:r w:rsidRPr="00D42316">
        <w:rPr>
          <w:color w:val="000000"/>
        </w:rPr>
        <w:t xml:space="preserve"> as </w:t>
      </w:r>
      <w:proofErr w:type="spellStart"/>
      <w:r w:rsidRPr="00D42316">
        <w:rPr>
          <w:color w:val="000000"/>
        </w:rPr>
        <w:t>the</w:t>
      </w:r>
      <w:proofErr w:type="spellEnd"/>
      <w:r w:rsidRPr="00D42316">
        <w:rPr>
          <w:color w:val="000000"/>
        </w:rPr>
        <w:t xml:space="preserve"> </w:t>
      </w:r>
      <w:proofErr w:type="spellStart"/>
      <w:r w:rsidRPr="00D42316">
        <w:rPr>
          <w:color w:val="000000"/>
        </w:rPr>
        <w:t>greenhouse</w:t>
      </w:r>
      <w:proofErr w:type="spellEnd"/>
      <w:r w:rsidRPr="00D42316">
        <w:rPr>
          <w:color w:val="000000"/>
        </w:rPr>
        <w:t xml:space="preserve"> </w:t>
      </w:r>
      <w:proofErr w:type="spellStart"/>
      <w:r w:rsidRPr="00D42316">
        <w:rPr>
          <w:color w:val="000000"/>
        </w:rPr>
        <w:t>gas</w:t>
      </w:r>
      <w:proofErr w:type="spellEnd"/>
      <w:r w:rsidRPr="00D42316">
        <w:rPr>
          <w:color w:val="000000"/>
        </w:rPr>
        <w:t xml:space="preserve"> </w:t>
      </w:r>
      <w:proofErr w:type="spellStart"/>
      <w:r w:rsidRPr="00D42316">
        <w:rPr>
          <w:color w:val="000000"/>
        </w:rPr>
        <w:t>effect</w:t>
      </w:r>
      <w:proofErr w:type="spellEnd"/>
      <w:r w:rsidRPr="00D42316">
        <w:rPr>
          <w:color w:val="000000"/>
        </w:rPr>
        <w:t xml:space="preserve">, </w:t>
      </w:r>
      <w:proofErr w:type="spellStart"/>
      <w:r w:rsidRPr="00D42316">
        <w:rPr>
          <w:color w:val="000000"/>
        </w:rPr>
        <w:t>combating</w:t>
      </w:r>
      <w:proofErr w:type="spellEnd"/>
      <w:r w:rsidRPr="00D42316">
        <w:rPr>
          <w:color w:val="000000"/>
        </w:rPr>
        <w:t xml:space="preserve"> global </w:t>
      </w:r>
      <w:proofErr w:type="spellStart"/>
      <w:r w:rsidRPr="00D42316">
        <w:rPr>
          <w:color w:val="000000"/>
        </w:rPr>
        <w:t>warming</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reducing</w:t>
      </w:r>
      <w:proofErr w:type="spellEnd"/>
      <w:r w:rsidRPr="00D42316">
        <w:rPr>
          <w:color w:val="000000"/>
        </w:rPr>
        <w:t xml:space="preserve"> </w:t>
      </w:r>
      <w:proofErr w:type="spellStart"/>
      <w:r w:rsidRPr="00D42316">
        <w:rPr>
          <w:color w:val="000000"/>
        </w:rPr>
        <w:t>carbon</w:t>
      </w:r>
      <w:proofErr w:type="spellEnd"/>
      <w:r w:rsidRPr="00D42316">
        <w:rPr>
          <w:color w:val="000000"/>
        </w:rPr>
        <w:t xml:space="preserve"> </w:t>
      </w:r>
      <w:proofErr w:type="spellStart"/>
      <w:r w:rsidRPr="00D42316">
        <w:rPr>
          <w:color w:val="000000"/>
        </w:rPr>
        <w:t>emissions</w:t>
      </w:r>
      <w:proofErr w:type="spellEnd"/>
      <w:r w:rsidRPr="00D42316">
        <w:rPr>
          <w:color w:val="000000"/>
        </w:rPr>
        <w:t xml:space="preserve">. </w:t>
      </w:r>
      <w:proofErr w:type="spellStart"/>
      <w:r w:rsidRPr="00D42316">
        <w:rPr>
          <w:color w:val="000000"/>
        </w:rPr>
        <w:t>Taxes</w:t>
      </w:r>
      <w:proofErr w:type="spellEnd"/>
      <w:r w:rsidRPr="00D42316">
        <w:rPr>
          <w:color w:val="000000"/>
        </w:rPr>
        <w:t xml:space="preserve"> </w:t>
      </w:r>
      <w:proofErr w:type="spellStart"/>
      <w:r w:rsidRPr="00D42316">
        <w:rPr>
          <w:color w:val="000000"/>
        </w:rPr>
        <w:t>aimed</w:t>
      </w:r>
      <w:proofErr w:type="spellEnd"/>
      <w:r w:rsidRPr="00D42316">
        <w:rPr>
          <w:color w:val="000000"/>
        </w:rPr>
        <w:t xml:space="preserve"> at </w:t>
      </w:r>
      <w:proofErr w:type="spellStart"/>
      <w:r w:rsidRPr="00D42316">
        <w:rPr>
          <w:color w:val="000000"/>
        </w:rPr>
        <w:t>reducing</w:t>
      </w:r>
      <w:proofErr w:type="spellEnd"/>
      <w:r w:rsidRPr="00D42316">
        <w:rPr>
          <w:color w:val="000000"/>
        </w:rPr>
        <w:t xml:space="preserve"> </w:t>
      </w:r>
      <w:proofErr w:type="spellStart"/>
      <w:r w:rsidRPr="00D42316">
        <w:rPr>
          <w:color w:val="000000"/>
        </w:rPr>
        <w:t>carbon</w:t>
      </w:r>
      <w:proofErr w:type="spellEnd"/>
      <w:r w:rsidRPr="00D42316">
        <w:rPr>
          <w:color w:val="000000"/>
        </w:rPr>
        <w:t xml:space="preserve"> </w:t>
      </w:r>
      <w:proofErr w:type="spellStart"/>
      <w:r w:rsidRPr="00D42316">
        <w:rPr>
          <w:color w:val="000000"/>
        </w:rPr>
        <w:t>emissions</w:t>
      </w:r>
      <w:proofErr w:type="spellEnd"/>
      <w:r w:rsidRPr="00D42316">
        <w:rPr>
          <w:color w:val="000000"/>
        </w:rPr>
        <w:t xml:space="preserve">, </w:t>
      </w:r>
      <w:proofErr w:type="spellStart"/>
      <w:r w:rsidRPr="00D42316">
        <w:rPr>
          <w:color w:val="000000"/>
        </w:rPr>
        <w:t>called</w:t>
      </w:r>
      <w:proofErr w:type="spellEnd"/>
      <w:r w:rsidRPr="00D42316">
        <w:rPr>
          <w:color w:val="000000"/>
        </w:rPr>
        <w:t xml:space="preserve"> </w:t>
      </w:r>
      <w:proofErr w:type="spellStart"/>
      <w:r w:rsidRPr="00D42316">
        <w:rPr>
          <w:color w:val="000000"/>
        </w:rPr>
        <w:t>environmental</w:t>
      </w:r>
      <w:proofErr w:type="spellEnd"/>
      <w:r w:rsidRPr="00D42316">
        <w:rPr>
          <w:color w:val="000000"/>
        </w:rPr>
        <w:t xml:space="preserve"> </w:t>
      </w:r>
      <w:proofErr w:type="spellStart"/>
      <w:r w:rsidRPr="00D42316">
        <w:rPr>
          <w:color w:val="000000"/>
        </w:rPr>
        <w:t>taxes</w:t>
      </w:r>
      <w:proofErr w:type="spellEnd"/>
      <w:r w:rsidRPr="00D42316">
        <w:rPr>
          <w:color w:val="000000"/>
        </w:rPr>
        <w:t xml:space="preserve">, </w:t>
      </w:r>
      <w:proofErr w:type="spellStart"/>
      <w:r w:rsidRPr="00D42316">
        <w:rPr>
          <w:color w:val="000000"/>
        </w:rPr>
        <w:t>carbon</w:t>
      </w:r>
      <w:proofErr w:type="spellEnd"/>
      <w:r w:rsidRPr="00D42316">
        <w:rPr>
          <w:color w:val="000000"/>
        </w:rPr>
        <w:t xml:space="preserve"> </w:t>
      </w:r>
      <w:proofErr w:type="spellStart"/>
      <w:r w:rsidRPr="00D42316">
        <w:rPr>
          <w:color w:val="000000"/>
        </w:rPr>
        <w:t>taxes</w:t>
      </w:r>
      <w:proofErr w:type="spellEnd"/>
      <w:r w:rsidRPr="00D42316">
        <w:rPr>
          <w:color w:val="000000"/>
        </w:rPr>
        <w:t xml:space="preserve"> </w:t>
      </w:r>
      <w:proofErr w:type="spellStart"/>
      <w:r w:rsidRPr="00D42316">
        <w:rPr>
          <w:color w:val="000000"/>
        </w:rPr>
        <w:t>or</w:t>
      </w:r>
      <w:proofErr w:type="spellEnd"/>
      <w:r w:rsidRPr="00D42316">
        <w:rPr>
          <w:color w:val="000000"/>
        </w:rPr>
        <w:t xml:space="preserve"> </w:t>
      </w:r>
      <w:proofErr w:type="spellStart"/>
      <w:r w:rsidRPr="00D42316">
        <w:rPr>
          <w:color w:val="000000"/>
        </w:rPr>
        <w:t>green</w:t>
      </w:r>
      <w:proofErr w:type="spellEnd"/>
      <w:r w:rsidRPr="00D42316">
        <w:rPr>
          <w:color w:val="000000"/>
        </w:rPr>
        <w:t xml:space="preserve"> </w:t>
      </w:r>
      <w:proofErr w:type="spellStart"/>
      <w:r w:rsidRPr="00D42316">
        <w:rPr>
          <w:color w:val="000000"/>
        </w:rPr>
        <w:t>taxes</w:t>
      </w:r>
      <w:proofErr w:type="spellEnd"/>
      <w:r w:rsidRPr="00D42316">
        <w:rPr>
          <w:color w:val="000000"/>
        </w:rPr>
        <w:t xml:space="preserve">, </w:t>
      </w:r>
      <w:proofErr w:type="spellStart"/>
      <w:r w:rsidRPr="00D42316">
        <w:rPr>
          <w:color w:val="000000"/>
        </w:rPr>
        <w:t>generally</w:t>
      </w:r>
      <w:proofErr w:type="spellEnd"/>
      <w:r w:rsidRPr="00D42316">
        <w:rPr>
          <w:color w:val="000000"/>
        </w:rPr>
        <w:t xml:space="preserve"> </w:t>
      </w:r>
      <w:proofErr w:type="spellStart"/>
      <w:r w:rsidRPr="00D42316">
        <w:rPr>
          <w:color w:val="000000"/>
        </w:rPr>
        <w:t>focus</w:t>
      </w:r>
      <w:proofErr w:type="spellEnd"/>
      <w:r w:rsidRPr="00D42316">
        <w:rPr>
          <w:color w:val="000000"/>
        </w:rPr>
        <w:t xml:space="preserve"> on </w:t>
      </w:r>
      <w:proofErr w:type="spellStart"/>
      <w:r w:rsidRPr="00D42316">
        <w:rPr>
          <w:color w:val="000000"/>
        </w:rPr>
        <w:t>air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in </w:t>
      </w:r>
      <w:proofErr w:type="spellStart"/>
      <w:r w:rsidRPr="00D42316">
        <w:rPr>
          <w:color w:val="000000"/>
        </w:rPr>
        <w:t>order</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increase</w:t>
      </w:r>
      <w:proofErr w:type="spellEnd"/>
      <w:r w:rsidRPr="00D42316">
        <w:rPr>
          <w:color w:val="000000"/>
        </w:rPr>
        <w:t xml:space="preserve"> </w:t>
      </w:r>
      <w:proofErr w:type="spellStart"/>
      <w:r w:rsidRPr="00D42316">
        <w:rPr>
          <w:color w:val="000000"/>
        </w:rPr>
        <w:t>environmental</w:t>
      </w:r>
      <w:proofErr w:type="spellEnd"/>
      <w:r w:rsidRPr="00D42316">
        <w:rPr>
          <w:color w:val="000000"/>
        </w:rPr>
        <w:t xml:space="preserve"> </w:t>
      </w:r>
      <w:proofErr w:type="spellStart"/>
      <w:r w:rsidRPr="00D42316">
        <w:rPr>
          <w:color w:val="000000"/>
        </w:rPr>
        <w:t>awareness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reduce</w:t>
      </w:r>
      <w:proofErr w:type="spellEnd"/>
      <w:r w:rsidRPr="00D42316">
        <w:rPr>
          <w:color w:val="000000"/>
        </w:rPr>
        <w:t xml:space="preserve"> </w:t>
      </w:r>
      <w:proofErr w:type="spellStart"/>
      <w:r w:rsidRPr="00D42316">
        <w:rPr>
          <w:color w:val="000000"/>
        </w:rPr>
        <w:t>negative</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w:t>
      </w:r>
      <w:proofErr w:type="spellStart"/>
      <w:r w:rsidRPr="00D42316">
        <w:rPr>
          <w:color w:val="000000"/>
        </w:rPr>
        <w:t>However</w:t>
      </w:r>
      <w:proofErr w:type="spellEnd"/>
      <w:r w:rsidRPr="00D42316">
        <w:rPr>
          <w:color w:val="000000"/>
        </w:rPr>
        <w:t xml:space="preserve">, </w:t>
      </w:r>
      <w:proofErr w:type="spellStart"/>
      <w:r w:rsidRPr="00D42316">
        <w:rPr>
          <w:color w:val="000000"/>
        </w:rPr>
        <w:t>access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is as </w:t>
      </w:r>
      <w:proofErr w:type="spellStart"/>
      <w:r w:rsidRPr="00D42316">
        <w:rPr>
          <w:color w:val="000000"/>
        </w:rPr>
        <w:t>important</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survival</w:t>
      </w:r>
      <w:proofErr w:type="spellEnd"/>
      <w:r w:rsidRPr="00D42316">
        <w:rPr>
          <w:color w:val="000000"/>
        </w:rPr>
        <w:t xml:space="preserve"> of </w:t>
      </w:r>
      <w:proofErr w:type="spellStart"/>
      <w:r w:rsidRPr="00D42316">
        <w:rPr>
          <w:color w:val="000000"/>
        </w:rPr>
        <w:t>living</w:t>
      </w:r>
      <w:proofErr w:type="spellEnd"/>
      <w:r w:rsidRPr="00D42316">
        <w:rPr>
          <w:color w:val="000000"/>
        </w:rPr>
        <w:t xml:space="preserve"> </w:t>
      </w:r>
      <w:proofErr w:type="spellStart"/>
      <w:r w:rsidRPr="00D42316">
        <w:rPr>
          <w:color w:val="000000"/>
        </w:rPr>
        <w:t>things</w:t>
      </w:r>
      <w:proofErr w:type="spellEnd"/>
      <w:r w:rsidRPr="00D42316">
        <w:rPr>
          <w:color w:val="000000"/>
        </w:rPr>
        <w:t xml:space="preserve"> as </w:t>
      </w:r>
      <w:proofErr w:type="spellStart"/>
      <w:r w:rsidRPr="00D42316">
        <w:rPr>
          <w:color w:val="000000"/>
        </w:rPr>
        <w:t>access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air</w:t>
      </w:r>
      <w:proofErr w:type="spellEnd"/>
      <w:r w:rsidRPr="00D42316">
        <w:rPr>
          <w:color w:val="000000"/>
        </w:rPr>
        <w:t xml:space="preserve">. 2/3 of </w:t>
      </w:r>
      <w:proofErr w:type="spellStart"/>
      <w:r w:rsidRPr="00D42316">
        <w:rPr>
          <w:color w:val="000000"/>
        </w:rPr>
        <w:t>our</w:t>
      </w:r>
      <w:proofErr w:type="spellEnd"/>
      <w:r w:rsidRPr="00D42316">
        <w:rPr>
          <w:color w:val="000000"/>
        </w:rPr>
        <w:t xml:space="preserve"> </w:t>
      </w:r>
      <w:proofErr w:type="spellStart"/>
      <w:r w:rsidRPr="00D42316">
        <w:rPr>
          <w:color w:val="000000"/>
        </w:rPr>
        <w:t>world</w:t>
      </w:r>
      <w:proofErr w:type="spellEnd"/>
      <w:r w:rsidRPr="00D42316">
        <w:rPr>
          <w:color w:val="000000"/>
        </w:rPr>
        <w:t xml:space="preserve"> is </w:t>
      </w:r>
      <w:proofErr w:type="spellStart"/>
      <w:r w:rsidRPr="00D42316">
        <w:rPr>
          <w:color w:val="000000"/>
        </w:rPr>
        <w:t>covered</w:t>
      </w:r>
      <w:proofErr w:type="spellEnd"/>
      <w:r w:rsidRPr="00D42316">
        <w:rPr>
          <w:color w:val="000000"/>
        </w:rPr>
        <w:t xml:space="preserve"> </w:t>
      </w:r>
      <w:proofErr w:type="spellStart"/>
      <w:r w:rsidRPr="00D42316">
        <w:rPr>
          <w:color w:val="000000"/>
        </w:rPr>
        <w:t>with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%97,5 of </w:t>
      </w:r>
      <w:proofErr w:type="spellStart"/>
      <w:r w:rsidRPr="00D42316">
        <w:rPr>
          <w:color w:val="000000"/>
        </w:rPr>
        <w:t>the</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on Earth </w:t>
      </w:r>
      <w:proofErr w:type="spellStart"/>
      <w:r w:rsidRPr="00D42316">
        <w:rPr>
          <w:color w:val="000000"/>
        </w:rPr>
        <w:t>consists</w:t>
      </w:r>
      <w:proofErr w:type="spellEnd"/>
      <w:r w:rsidRPr="00D42316">
        <w:rPr>
          <w:color w:val="000000"/>
        </w:rPr>
        <w:t xml:space="preserve"> of salt </w:t>
      </w:r>
      <w:proofErr w:type="spellStart"/>
      <w:r w:rsidRPr="00D42316">
        <w:rPr>
          <w:color w:val="000000"/>
        </w:rPr>
        <w:t>water</w:t>
      </w:r>
      <w:proofErr w:type="spellEnd"/>
      <w:r w:rsidRPr="00D42316">
        <w:rPr>
          <w:color w:val="000000"/>
        </w:rPr>
        <w:t xml:space="preserve"> in </w:t>
      </w:r>
      <w:proofErr w:type="spellStart"/>
      <w:r w:rsidRPr="00D42316">
        <w:rPr>
          <w:color w:val="000000"/>
        </w:rPr>
        <w:t>the</w:t>
      </w:r>
      <w:proofErr w:type="spellEnd"/>
      <w:r w:rsidRPr="00D42316">
        <w:rPr>
          <w:color w:val="000000"/>
        </w:rPr>
        <w:t xml:space="preserve"> </w:t>
      </w:r>
      <w:proofErr w:type="spellStart"/>
      <w:r w:rsidRPr="00D42316">
        <w:rPr>
          <w:color w:val="000000"/>
        </w:rPr>
        <w:t>oceans</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remaining</w:t>
      </w:r>
      <w:proofErr w:type="spellEnd"/>
      <w:r w:rsidRPr="00D42316">
        <w:rPr>
          <w:color w:val="000000"/>
        </w:rPr>
        <w:t xml:space="preserve"> %2, 5 of </w:t>
      </w:r>
      <w:proofErr w:type="spellStart"/>
      <w:r w:rsidRPr="00D42316">
        <w:rPr>
          <w:color w:val="000000"/>
        </w:rPr>
        <w:t>fresh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is </w:t>
      </w:r>
      <w:proofErr w:type="spellStart"/>
      <w:r w:rsidRPr="00D42316">
        <w:rPr>
          <w:color w:val="000000"/>
        </w:rPr>
        <w:t>found</w:t>
      </w:r>
      <w:proofErr w:type="spellEnd"/>
      <w:r w:rsidRPr="00D42316">
        <w:rPr>
          <w:color w:val="000000"/>
        </w:rPr>
        <w:t xml:space="preserve"> in </w:t>
      </w:r>
      <w:proofErr w:type="spellStart"/>
      <w:r w:rsidRPr="00D42316">
        <w:rPr>
          <w:color w:val="000000"/>
        </w:rPr>
        <w:t>the</w:t>
      </w:r>
      <w:proofErr w:type="spellEnd"/>
      <w:r w:rsidRPr="00D42316">
        <w:rPr>
          <w:color w:val="000000"/>
        </w:rPr>
        <w:t xml:space="preserve"> </w:t>
      </w:r>
      <w:proofErr w:type="spellStart"/>
      <w:r w:rsidRPr="00D42316">
        <w:rPr>
          <w:color w:val="000000"/>
        </w:rPr>
        <w:t>poles</w:t>
      </w:r>
      <w:proofErr w:type="spellEnd"/>
      <w:r w:rsidRPr="00D42316">
        <w:rPr>
          <w:color w:val="000000"/>
        </w:rPr>
        <w:t xml:space="preserve"> (</w:t>
      </w:r>
      <w:proofErr w:type="spellStart"/>
      <w:r w:rsidRPr="00D42316">
        <w:rPr>
          <w:color w:val="000000"/>
        </w:rPr>
        <w:t>Antarctica</w:t>
      </w:r>
      <w:proofErr w:type="spellEnd"/>
      <w:r w:rsidRPr="00D42316">
        <w:rPr>
          <w:color w:val="000000"/>
        </w:rPr>
        <w:t xml:space="preserve">, </w:t>
      </w:r>
      <w:proofErr w:type="spellStart"/>
      <w:r w:rsidRPr="00D42316">
        <w:rPr>
          <w:color w:val="000000"/>
        </w:rPr>
        <w:t>Greenland</w:t>
      </w:r>
      <w:proofErr w:type="spellEnd"/>
      <w:r w:rsidRPr="00D42316">
        <w:rPr>
          <w:color w:val="000000"/>
        </w:rPr>
        <w:t xml:space="preserve">) as </w:t>
      </w:r>
      <w:proofErr w:type="spellStart"/>
      <w:r w:rsidRPr="00D42316">
        <w:rPr>
          <w:color w:val="000000"/>
        </w:rPr>
        <w:t>glaciers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as </w:t>
      </w:r>
      <w:proofErr w:type="spellStart"/>
      <w:r w:rsidRPr="00D42316">
        <w:rPr>
          <w:color w:val="000000"/>
        </w:rPr>
        <w:t>groundwater</w:t>
      </w:r>
      <w:proofErr w:type="spellEnd"/>
      <w:r w:rsidRPr="00D42316">
        <w:rPr>
          <w:color w:val="000000"/>
        </w:rPr>
        <w:t xml:space="preserve"> in </w:t>
      </w:r>
      <w:proofErr w:type="spellStart"/>
      <w:r w:rsidRPr="00D42316">
        <w:rPr>
          <w:color w:val="000000"/>
        </w:rPr>
        <w:t>very</w:t>
      </w:r>
      <w:proofErr w:type="spellEnd"/>
      <w:r w:rsidRPr="00D42316">
        <w:rPr>
          <w:color w:val="000000"/>
        </w:rPr>
        <w:t xml:space="preserve"> </w:t>
      </w:r>
      <w:proofErr w:type="spellStart"/>
      <w:r w:rsidRPr="00D42316">
        <w:rPr>
          <w:color w:val="000000"/>
        </w:rPr>
        <w:t>deep</w:t>
      </w:r>
      <w:proofErr w:type="spellEnd"/>
      <w:r w:rsidRPr="00D42316">
        <w:rPr>
          <w:color w:val="000000"/>
        </w:rPr>
        <w:t xml:space="preserve"> </w:t>
      </w:r>
      <w:proofErr w:type="spellStart"/>
      <w:r w:rsidRPr="00D42316">
        <w:rPr>
          <w:color w:val="000000"/>
        </w:rPr>
        <w:t>geological</w:t>
      </w:r>
      <w:proofErr w:type="spellEnd"/>
      <w:r w:rsidRPr="00D42316">
        <w:rPr>
          <w:color w:val="000000"/>
        </w:rPr>
        <w:t xml:space="preserve"> </w:t>
      </w:r>
      <w:proofErr w:type="spellStart"/>
      <w:r w:rsidRPr="00D42316">
        <w:rPr>
          <w:color w:val="000000"/>
        </w:rPr>
        <w:t>layers</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clean</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we</w:t>
      </w:r>
      <w:proofErr w:type="spellEnd"/>
      <w:r w:rsidRPr="00D42316">
        <w:rPr>
          <w:color w:val="000000"/>
        </w:rPr>
        <w:t xml:space="preserve"> can </w:t>
      </w:r>
      <w:proofErr w:type="spellStart"/>
      <w:r w:rsidRPr="00D42316">
        <w:rPr>
          <w:color w:val="000000"/>
        </w:rPr>
        <w:t>access</w:t>
      </w:r>
      <w:proofErr w:type="spellEnd"/>
      <w:r w:rsidRPr="00D42316">
        <w:rPr>
          <w:color w:val="000000"/>
        </w:rPr>
        <w:t xml:space="preserve"> </w:t>
      </w:r>
      <w:proofErr w:type="spellStart"/>
      <w:r w:rsidRPr="00D42316">
        <w:rPr>
          <w:color w:val="000000"/>
        </w:rPr>
        <w:t>are</w:t>
      </w:r>
      <w:proofErr w:type="spellEnd"/>
      <w:r w:rsidRPr="00D42316">
        <w:rPr>
          <w:color w:val="000000"/>
        </w:rPr>
        <w:t xml:space="preserve"> </w:t>
      </w:r>
      <w:proofErr w:type="spellStart"/>
      <w:r w:rsidRPr="00D42316">
        <w:rPr>
          <w:color w:val="000000"/>
        </w:rPr>
        <w:t>found</w:t>
      </w:r>
      <w:proofErr w:type="spellEnd"/>
      <w:r w:rsidRPr="00D42316">
        <w:rPr>
          <w:color w:val="000000"/>
        </w:rPr>
        <w:t xml:space="preserve"> in </w:t>
      </w:r>
      <w:proofErr w:type="spellStart"/>
      <w:r w:rsidRPr="00D42316">
        <w:rPr>
          <w:color w:val="000000"/>
        </w:rPr>
        <w:t>lakes</w:t>
      </w:r>
      <w:proofErr w:type="spellEnd"/>
      <w:r w:rsidRPr="00D42316">
        <w:rPr>
          <w:color w:val="000000"/>
        </w:rPr>
        <w:t xml:space="preserve">, </w:t>
      </w:r>
      <w:proofErr w:type="spellStart"/>
      <w:r w:rsidRPr="00D42316">
        <w:rPr>
          <w:color w:val="000000"/>
        </w:rPr>
        <w:t>reservoirs</w:t>
      </w:r>
      <w:proofErr w:type="spellEnd"/>
      <w:r w:rsidRPr="00D42316">
        <w:rPr>
          <w:color w:val="000000"/>
        </w:rPr>
        <w:t xml:space="preserve">, </w:t>
      </w:r>
      <w:proofErr w:type="spellStart"/>
      <w:r w:rsidRPr="00D42316">
        <w:rPr>
          <w:color w:val="000000"/>
        </w:rPr>
        <w:t>rivers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streams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amount</w:t>
      </w:r>
      <w:proofErr w:type="spellEnd"/>
      <w:r w:rsidRPr="00D42316">
        <w:rPr>
          <w:color w:val="000000"/>
        </w:rPr>
        <w:t xml:space="preserve"> </w:t>
      </w:r>
      <w:proofErr w:type="spellStart"/>
      <w:r w:rsidRPr="00D42316">
        <w:rPr>
          <w:color w:val="000000"/>
        </w:rPr>
        <w:t>constitutes</w:t>
      </w:r>
      <w:proofErr w:type="spellEnd"/>
      <w:r w:rsidRPr="00D42316">
        <w:rPr>
          <w:color w:val="000000"/>
        </w:rPr>
        <w:t xml:space="preserve"> %0,10 of </w:t>
      </w:r>
      <w:proofErr w:type="spellStart"/>
      <w:r w:rsidRPr="00D42316">
        <w:rPr>
          <w:color w:val="000000"/>
        </w:rPr>
        <w:t>the</w:t>
      </w:r>
      <w:proofErr w:type="spellEnd"/>
      <w:r w:rsidRPr="00D42316">
        <w:rPr>
          <w:color w:val="000000"/>
        </w:rPr>
        <w:t xml:space="preserve"> total </w:t>
      </w:r>
      <w:proofErr w:type="spellStart"/>
      <w:r w:rsidRPr="00D42316">
        <w:rPr>
          <w:color w:val="000000"/>
        </w:rPr>
        <w:t>fresh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potential</w:t>
      </w:r>
      <w:proofErr w:type="spellEnd"/>
      <w:r w:rsidRPr="00D42316">
        <w:rPr>
          <w:color w:val="000000"/>
        </w:rPr>
        <w:t xml:space="preserve"> on </w:t>
      </w:r>
      <w:proofErr w:type="spellStart"/>
      <w:r w:rsidRPr="00D42316">
        <w:rPr>
          <w:color w:val="000000"/>
        </w:rPr>
        <w:t>earth</w:t>
      </w:r>
      <w:proofErr w:type="spellEnd"/>
      <w:r w:rsidRPr="00D42316">
        <w:rPr>
          <w:color w:val="000000"/>
        </w:rPr>
        <w:t xml:space="preserve">. As can be </w:t>
      </w:r>
      <w:proofErr w:type="spellStart"/>
      <w:r w:rsidRPr="00D42316">
        <w:rPr>
          <w:color w:val="000000"/>
        </w:rPr>
        <w:t>seen</w:t>
      </w:r>
      <w:proofErr w:type="spellEnd"/>
      <w:r w:rsidRPr="00D42316">
        <w:rPr>
          <w:color w:val="000000"/>
        </w:rPr>
        <w:t xml:space="preserve">, </w:t>
      </w:r>
      <w:proofErr w:type="spellStart"/>
      <w:r w:rsidRPr="00D42316">
        <w:rPr>
          <w:color w:val="000000"/>
        </w:rPr>
        <w:t>access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drinkable</w:t>
      </w:r>
      <w:proofErr w:type="spellEnd"/>
      <w:r w:rsidRPr="00D42316">
        <w:rPr>
          <w:color w:val="000000"/>
        </w:rPr>
        <w:t xml:space="preserve"> </w:t>
      </w:r>
      <w:proofErr w:type="spellStart"/>
      <w:r w:rsidRPr="00D42316">
        <w:rPr>
          <w:color w:val="000000"/>
        </w:rPr>
        <w:t>fresh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in </w:t>
      </w:r>
      <w:proofErr w:type="spellStart"/>
      <w:r w:rsidRPr="00D42316">
        <w:rPr>
          <w:color w:val="000000"/>
        </w:rPr>
        <w:t>the</w:t>
      </w:r>
      <w:proofErr w:type="spellEnd"/>
      <w:r w:rsidRPr="00D42316">
        <w:rPr>
          <w:color w:val="000000"/>
        </w:rPr>
        <w:t xml:space="preserve"> </w:t>
      </w:r>
      <w:proofErr w:type="spellStart"/>
      <w:r w:rsidRPr="00D42316">
        <w:rPr>
          <w:color w:val="000000"/>
        </w:rPr>
        <w:t>world</w:t>
      </w:r>
      <w:proofErr w:type="spellEnd"/>
      <w:r w:rsidRPr="00D42316">
        <w:rPr>
          <w:color w:val="000000"/>
        </w:rPr>
        <w:t xml:space="preserve"> is </w:t>
      </w:r>
      <w:proofErr w:type="spellStart"/>
      <w:r w:rsidRPr="00D42316">
        <w:rPr>
          <w:color w:val="000000"/>
        </w:rPr>
        <w:t>decreasing</w:t>
      </w:r>
      <w:proofErr w:type="spellEnd"/>
      <w:r w:rsidRPr="00D42316">
        <w:rPr>
          <w:color w:val="000000"/>
        </w:rPr>
        <w:t xml:space="preserve"> </w:t>
      </w:r>
      <w:proofErr w:type="spellStart"/>
      <w:r w:rsidRPr="00D42316">
        <w:rPr>
          <w:color w:val="000000"/>
        </w:rPr>
        <w:t>day</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w:t>
      </w:r>
      <w:proofErr w:type="spellStart"/>
      <w:r w:rsidRPr="00D42316">
        <w:rPr>
          <w:color w:val="000000"/>
        </w:rPr>
        <w:t>day</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with</w:t>
      </w:r>
      <w:proofErr w:type="spellEnd"/>
      <w:r w:rsidRPr="00D42316">
        <w:rPr>
          <w:color w:val="000000"/>
        </w:rPr>
        <w:t xml:space="preserve"> global </w:t>
      </w:r>
      <w:proofErr w:type="spellStart"/>
      <w:r w:rsidRPr="00D42316">
        <w:rPr>
          <w:color w:val="000000"/>
        </w:rPr>
        <w:t>warming</w:t>
      </w:r>
      <w:proofErr w:type="spellEnd"/>
      <w:r w:rsidRPr="00D42316">
        <w:rPr>
          <w:color w:val="000000"/>
        </w:rPr>
        <w:t xml:space="preserve">, </w:t>
      </w:r>
      <w:proofErr w:type="spellStart"/>
      <w:r w:rsidRPr="00D42316">
        <w:rPr>
          <w:color w:val="000000"/>
        </w:rPr>
        <w:t>there</w:t>
      </w:r>
      <w:proofErr w:type="spellEnd"/>
      <w:r w:rsidRPr="00D42316">
        <w:rPr>
          <w:color w:val="000000"/>
        </w:rPr>
        <w:t xml:space="preserve"> is </w:t>
      </w:r>
      <w:proofErr w:type="spellStart"/>
      <w:r w:rsidRPr="00D42316">
        <w:rPr>
          <w:color w:val="000000"/>
        </w:rPr>
        <w:t>also</w:t>
      </w:r>
      <w:proofErr w:type="spellEnd"/>
      <w:r w:rsidRPr="00D42316">
        <w:rPr>
          <w:color w:val="000000"/>
        </w:rPr>
        <w:t xml:space="preserve"> a </w:t>
      </w:r>
      <w:proofErr w:type="spellStart"/>
      <w:r w:rsidRPr="00D42316">
        <w:rPr>
          <w:color w:val="000000"/>
        </w:rPr>
        <w:t>decrease</w:t>
      </w:r>
      <w:proofErr w:type="spellEnd"/>
      <w:r w:rsidRPr="00D42316">
        <w:rPr>
          <w:color w:val="000000"/>
        </w:rPr>
        <w:t xml:space="preserve"> in </w:t>
      </w:r>
      <w:proofErr w:type="spellStart"/>
      <w:r w:rsidRPr="00D42316">
        <w:rPr>
          <w:color w:val="000000"/>
        </w:rPr>
        <w:t>existing</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reason</w:t>
      </w:r>
      <w:proofErr w:type="spellEnd"/>
      <w:r w:rsidRPr="00D42316">
        <w:rPr>
          <w:color w:val="000000"/>
        </w:rPr>
        <w:t xml:space="preserve">, </w:t>
      </w:r>
      <w:proofErr w:type="spellStart"/>
      <w:r w:rsidRPr="00D42316">
        <w:rPr>
          <w:color w:val="000000"/>
        </w:rPr>
        <w:t>protecting</w:t>
      </w:r>
      <w:proofErr w:type="spellEnd"/>
      <w:r w:rsidRPr="00D42316">
        <w:rPr>
          <w:color w:val="000000"/>
        </w:rPr>
        <w:t xml:space="preserve"> </w:t>
      </w:r>
      <w:proofErr w:type="spellStart"/>
      <w:r w:rsidRPr="00D42316">
        <w:rPr>
          <w:color w:val="000000"/>
        </w:rPr>
        <w:t>vital</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is </w:t>
      </w:r>
      <w:proofErr w:type="spellStart"/>
      <w:r w:rsidRPr="00D42316">
        <w:rPr>
          <w:color w:val="000000"/>
        </w:rPr>
        <w:t>the</w:t>
      </w:r>
      <w:proofErr w:type="spellEnd"/>
      <w:r w:rsidRPr="00D42316">
        <w:rPr>
          <w:color w:val="000000"/>
        </w:rPr>
        <w:t xml:space="preserve"> </w:t>
      </w:r>
      <w:proofErr w:type="spellStart"/>
      <w:r w:rsidRPr="00D42316">
        <w:rPr>
          <w:color w:val="000000"/>
        </w:rPr>
        <w:t>most</w:t>
      </w:r>
      <w:proofErr w:type="spellEnd"/>
      <w:r w:rsidRPr="00D42316">
        <w:rPr>
          <w:color w:val="000000"/>
        </w:rPr>
        <w:t xml:space="preserve"> </w:t>
      </w:r>
      <w:proofErr w:type="spellStart"/>
      <w:r w:rsidRPr="00D42316">
        <w:rPr>
          <w:color w:val="000000"/>
        </w:rPr>
        <w:t>natural</w:t>
      </w:r>
      <w:proofErr w:type="spellEnd"/>
      <w:r w:rsidRPr="00D42316">
        <w:rPr>
          <w:color w:val="000000"/>
        </w:rPr>
        <w:t xml:space="preserve"> </w:t>
      </w:r>
      <w:proofErr w:type="spellStart"/>
      <w:r w:rsidRPr="00D42316">
        <w:rPr>
          <w:color w:val="000000"/>
        </w:rPr>
        <w:t>duty</w:t>
      </w:r>
      <w:proofErr w:type="spellEnd"/>
      <w:r w:rsidRPr="00D42316">
        <w:rPr>
          <w:color w:val="000000"/>
        </w:rPr>
        <w:t xml:space="preserve"> of </w:t>
      </w:r>
      <w:proofErr w:type="spellStart"/>
      <w:r w:rsidRPr="00D42316">
        <w:rPr>
          <w:color w:val="000000"/>
        </w:rPr>
        <w:t>all</w:t>
      </w:r>
      <w:proofErr w:type="spellEnd"/>
      <w:r w:rsidRPr="00D42316">
        <w:rPr>
          <w:color w:val="000000"/>
        </w:rPr>
        <w:t xml:space="preserve"> </w:t>
      </w:r>
      <w:proofErr w:type="spellStart"/>
      <w:r w:rsidRPr="00D42316">
        <w:rPr>
          <w:color w:val="000000"/>
        </w:rPr>
        <w:t>citizens</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w:t>
      </w:r>
      <w:proofErr w:type="spellStart"/>
      <w:r w:rsidRPr="00D42316">
        <w:rPr>
          <w:color w:val="000000"/>
        </w:rPr>
        <w:t>world</w:t>
      </w:r>
      <w:proofErr w:type="spellEnd"/>
      <w:r w:rsidRPr="00D42316">
        <w:rPr>
          <w:color w:val="000000"/>
        </w:rPr>
        <w:t xml:space="preserve">. </w:t>
      </w:r>
      <w:proofErr w:type="spellStart"/>
      <w:r w:rsidRPr="00D42316">
        <w:rPr>
          <w:color w:val="000000"/>
        </w:rPr>
        <w:t>Protecting</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reducing</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increasing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amount</w:t>
      </w:r>
      <w:proofErr w:type="spellEnd"/>
      <w:r w:rsidRPr="00D42316">
        <w:rPr>
          <w:color w:val="000000"/>
        </w:rPr>
        <w:t xml:space="preserve"> of </w:t>
      </w:r>
      <w:proofErr w:type="spellStart"/>
      <w:r w:rsidRPr="00D42316">
        <w:rPr>
          <w:color w:val="000000"/>
        </w:rPr>
        <w:t>usable</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investing</w:t>
      </w:r>
      <w:proofErr w:type="spellEnd"/>
      <w:r w:rsidRPr="00D42316">
        <w:rPr>
          <w:color w:val="000000"/>
        </w:rPr>
        <w:t xml:space="preserve"> in </w:t>
      </w:r>
      <w:proofErr w:type="spellStart"/>
      <w:r w:rsidRPr="00D42316">
        <w:rPr>
          <w:color w:val="000000"/>
        </w:rPr>
        <w:t>areas</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facilitate</w:t>
      </w:r>
      <w:proofErr w:type="spellEnd"/>
      <w:r w:rsidRPr="00D42316">
        <w:rPr>
          <w:color w:val="000000"/>
        </w:rPr>
        <w:t xml:space="preserve"> </w:t>
      </w:r>
      <w:proofErr w:type="spellStart"/>
      <w:r w:rsidRPr="00D42316">
        <w:rPr>
          <w:color w:val="000000"/>
        </w:rPr>
        <w:t>conversion</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fresh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encouraging</w:t>
      </w:r>
      <w:proofErr w:type="spellEnd"/>
      <w:r w:rsidRPr="00D42316">
        <w:rPr>
          <w:color w:val="000000"/>
        </w:rPr>
        <w:t xml:space="preserve"> </w:t>
      </w:r>
      <w:proofErr w:type="spellStart"/>
      <w:r w:rsidRPr="00D42316">
        <w:rPr>
          <w:color w:val="000000"/>
        </w:rPr>
        <w:t>these</w:t>
      </w:r>
      <w:proofErr w:type="spellEnd"/>
      <w:r w:rsidRPr="00D42316">
        <w:rPr>
          <w:color w:val="000000"/>
        </w:rPr>
        <w:t xml:space="preserve"> </w:t>
      </w:r>
      <w:proofErr w:type="spellStart"/>
      <w:r w:rsidRPr="00D42316">
        <w:rPr>
          <w:color w:val="000000"/>
        </w:rPr>
        <w:t>areas</w:t>
      </w:r>
      <w:proofErr w:type="spellEnd"/>
      <w:r w:rsidRPr="00D42316">
        <w:rPr>
          <w:color w:val="000000"/>
        </w:rPr>
        <w:t xml:space="preserve"> </w:t>
      </w:r>
      <w:proofErr w:type="spellStart"/>
      <w:r w:rsidRPr="00D42316">
        <w:rPr>
          <w:color w:val="000000"/>
        </w:rPr>
        <w:t>while</w:t>
      </w:r>
      <w:proofErr w:type="spellEnd"/>
      <w:r w:rsidRPr="00D42316">
        <w:rPr>
          <w:color w:val="000000"/>
        </w:rPr>
        <w:t xml:space="preserve"> </w:t>
      </w:r>
      <w:proofErr w:type="spellStart"/>
      <w:r w:rsidRPr="00D42316">
        <w:rPr>
          <w:color w:val="000000"/>
        </w:rPr>
        <w:t>doing</w:t>
      </w:r>
      <w:proofErr w:type="spellEnd"/>
      <w:r w:rsidRPr="00D42316">
        <w:rPr>
          <w:color w:val="000000"/>
        </w:rPr>
        <w:t xml:space="preserve"> </w:t>
      </w:r>
      <w:proofErr w:type="spellStart"/>
      <w:r w:rsidRPr="00D42316">
        <w:rPr>
          <w:color w:val="000000"/>
        </w:rPr>
        <w:t>so</w:t>
      </w:r>
      <w:proofErr w:type="spellEnd"/>
      <w:r w:rsidRPr="00D42316">
        <w:rPr>
          <w:color w:val="000000"/>
        </w:rPr>
        <w:t xml:space="preserve"> </w:t>
      </w:r>
      <w:proofErr w:type="spellStart"/>
      <w:r w:rsidRPr="00D42316">
        <w:rPr>
          <w:color w:val="000000"/>
        </w:rPr>
        <w:t>are</w:t>
      </w:r>
      <w:proofErr w:type="spellEnd"/>
      <w:r w:rsidRPr="00D42316">
        <w:rPr>
          <w:color w:val="000000"/>
        </w:rPr>
        <w:t xml:space="preserve"> </w:t>
      </w:r>
      <w:proofErr w:type="spellStart"/>
      <w:r w:rsidRPr="00D42316">
        <w:rPr>
          <w:color w:val="000000"/>
        </w:rPr>
        <w:t>among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financial</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is </w:t>
      </w:r>
      <w:proofErr w:type="spellStart"/>
      <w:r w:rsidRPr="00D42316">
        <w:rPr>
          <w:color w:val="000000"/>
        </w:rPr>
        <w:t>among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negative</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Market </w:t>
      </w:r>
      <w:proofErr w:type="spellStart"/>
      <w:r w:rsidRPr="00D42316">
        <w:rPr>
          <w:color w:val="000000"/>
        </w:rPr>
        <w:t>solutions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financial</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are</w:t>
      </w:r>
      <w:proofErr w:type="spellEnd"/>
      <w:r w:rsidRPr="00D42316">
        <w:rPr>
          <w:color w:val="000000"/>
        </w:rPr>
        <w:t xml:space="preserve"> as </w:t>
      </w:r>
      <w:proofErr w:type="spellStart"/>
      <w:r w:rsidRPr="00D42316">
        <w:rPr>
          <w:color w:val="000000"/>
        </w:rPr>
        <w:t>effective</w:t>
      </w:r>
      <w:proofErr w:type="spellEnd"/>
      <w:r w:rsidRPr="00D42316">
        <w:rPr>
          <w:color w:val="000000"/>
        </w:rPr>
        <w:t xml:space="preserve"> as legal </w:t>
      </w:r>
      <w:proofErr w:type="spellStart"/>
      <w:r w:rsidRPr="00D42316">
        <w:rPr>
          <w:color w:val="000000"/>
        </w:rPr>
        <w:t>solutions</w:t>
      </w:r>
      <w:proofErr w:type="spellEnd"/>
      <w:r w:rsidRPr="00D42316">
        <w:rPr>
          <w:color w:val="000000"/>
        </w:rPr>
        <w:t xml:space="preserve"> in </w:t>
      </w:r>
      <w:proofErr w:type="spellStart"/>
      <w:r w:rsidRPr="00D42316">
        <w:rPr>
          <w:color w:val="000000"/>
        </w:rPr>
        <w:t>resolving</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w:t>
      </w:r>
      <w:proofErr w:type="spellStart"/>
      <w:r w:rsidRPr="00D42316">
        <w:rPr>
          <w:color w:val="000000"/>
        </w:rPr>
        <w:t>One</w:t>
      </w:r>
      <w:proofErr w:type="spellEnd"/>
      <w:r w:rsidRPr="00D42316">
        <w:rPr>
          <w:color w:val="000000"/>
        </w:rPr>
        <w:t xml:space="preserve"> of </w:t>
      </w:r>
      <w:proofErr w:type="spellStart"/>
      <w:r w:rsidRPr="00D42316">
        <w:rPr>
          <w:color w:val="000000"/>
        </w:rPr>
        <w:t>the</w:t>
      </w:r>
      <w:proofErr w:type="spellEnd"/>
      <w:r w:rsidRPr="00D42316">
        <w:rPr>
          <w:color w:val="000000"/>
        </w:rPr>
        <w:t xml:space="preserve"> </w:t>
      </w:r>
      <w:proofErr w:type="spellStart"/>
      <w:r w:rsidRPr="00D42316">
        <w:rPr>
          <w:color w:val="000000"/>
        </w:rPr>
        <w:t>most</w:t>
      </w:r>
      <w:proofErr w:type="spellEnd"/>
      <w:r w:rsidRPr="00D42316">
        <w:rPr>
          <w:color w:val="000000"/>
        </w:rPr>
        <w:t xml:space="preserve"> </w:t>
      </w:r>
      <w:proofErr w:type="spellStart"/>
      <w:r w:rsidRPr="00D42316">
        <w:rPr>
          <w:color w:val="000000"/>
        </w:rPr>
        <w:t>important</w:t>
      </w:r>
      <w:proofErr w:type="spellEnd"/>
      <w:r w:rsidRPr="00D42316">
        <w:rPr>
          <w:color w:val="000000"/>
        </w:rPr>
        <w:t xml:space="preserve"> </w:t>
      </w:r>
      <w:proofErr w:type="spellStart"/>
      <w:r w:rsidRPr="00D42316">
        <w:rPr>
          <w:color w:val="000000"/>
        </w:rPr>
        <w:t>tasks</w:t>
      </w:r>
      <w:proofErr w:type="spellEnd"/>
      <w:r w:rsidRPr="00D42316">
        <w:rPr>
          <w:color w:val="000000"/>
        </w:rPr>
        <w:t xml:space="preserve"> of </w:t>
      </w:r>
      <w:proofErr w:type="spellStart"/>
      <w:r w:rsidRPr="00D42316">
        <w:rPr>
          <w:color w:val="000000"/>
        </w:rPr>
        <w:t>fiscal</w:t>
      </w:r>
      <w:proofErr w:type="spellEnd"/>
      <w:r w:rsidRPr="00D42316">
        <w:rPr>
          <w:color w:val="000000"/>
        </w:rPr>
        <w:t xml:space="preserve"> </w:t>
      </w:r>
      <w:proofErr w:type="spellStart"/>
      <w:r w:rsidRPr="00D42316">
        <w:rPr>
          <w:color w:val="000000"/>
        </w:rPr>
        <w:t>policy</w:t>
      </w:r>
      <w:proofErr w:type="spellEnd"/>
      <w:r w:rsidRPr="00D42316">
        <w:rPr>
          <w:color w:val="000000"/>
        </w:rPr>
        <w:t xml:space="preserve"> is </w:t>
      </w:r>
      <w:proofErr w:type="spellStart"/>
      <w:r w:rsidRPr="00D42316">
        <w:rPr>
          <w:color w:val="000000"/>
        </w:rPr>
        <w:t>to</w:t>
      </w:r>
      <w:proofErr w:type="spellEnd"/>
      <w:r w:rsidRPr="00D42316">
        <w:rPr>
          <w:color w:val="000000"/>
        </w:rPr>
        <w:t xml:space="preserve"> </w:t>
      </w:r>
      <w:proofErr w:type="spellStart"/>
      <w:r w:rsidRPr="00D42316">
        <w:rPr>
          <w:color w:val="000000"/>
        </w:rPr>
        <w:t>first</w:t>
      </w:r>
      <w:proofErr w:type="spellEnd"/>
      <w:r w:rsidRPr="00D42316">
        <w:rPr>
          <w:color w:val="000000"/>
        </w:rPr>
        <w:t xml:space="preserve"> </w:t>
      </w:r>
      <w:proofErr w:type="spellStart"/>
      <w:r w:rsidRPr="00D42316">
        <w:rPr>
          <w:color w:val="000000"/>
        </w:rPr>
        <w:t>reduce</w:t>
      </w:r>
      <w:proofErr w:type="spellEnd"/>
      <w:r w:rsidRPr="00D42316">
        <w:rPr>
          <w:color w:val="000000"/>
        </w:rPr>
        <w:t xml:space="preserve"> </w:t>
      </w:r>
      <w:proofErr w:type="spellStart"/>
      <w:r w:rsidRPr="00D42316">
        <w:rPr>
          <w:color w:val="000000"/>
        </w:rPr>
        <w:t>negative</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then</w:t>
      </w:r>
      <w:proofErr w:type="spellEnd"/>
      <w:r w:rsidRPr="00D42316">
        <w:rPr>
          <w:color w:val="000000"/>
        </w:rPr>
        <w:t xml:space="preserve"> </w:t>
      </w:r>
      <w:proofErr w:type="spellStart"/>
      <w:r w:rsidRPr="00D42316">
        <w:rPr>
          <w:color w:val="000000"/>
        </w:rPr>
        <w:t>increase</w:t>
      </w:r>
      <w:proofErr w:type="spellEnd"/>
      <w:r w:rsidRPr="00D42316">
        <w:rPr>
          <w:color w:val="000000"/>
        </w:rPr>
        <w:t xml:space="preserve"> </w:t>
      </w:r>
      <w:proofErr w:type="spellStart"/>
      <w:r w:rsidRPr="00D42316">
        <w:rPr>
          <w:color w:val="000000"/>
        </w:rPr>
        <w:t>areas</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provide</w:t>
      </w:r>
      <w:proofErr w:type="spellEnd"/>
      <w:r w:rsidRPr="00D42316">
        <w:rPr>
          <w:color w:val="000000"/>
        </w:rPr>
        <w:t xml:space="preserve"> </w:t>
      </w:r>
      <w:proofErr w:type="spellStart"/>
      <w:r w:rsidRPr="00D42316">
        <w:rPr>
          <w:color w:val="000000"/>
        </w:rPr>
        <w:t>positive</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reason</w:t>
      </w:r>
      <w:proofErr w:type="spellEnd"/>
      <w:r w:rsidRPr="00D42316">
        <w:rPr>
          <w:color w:val="000000"/>
        </w:rPr>
        <w:t xml:space="preserve">, a </w:t>
      </w:r>
      <w:proofErr w:type="spellStart"/>
      <w:r w:rsidRPr="00D42316">
        <w:rPr>
          <w:color w:val="000000"/>
        </w:rPr>
        <w:t>concept</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is not </w:t>
      </w:r>
      <w:proofErr w:type="spellStart"/>
      <w:r w:rsidRPr="00D42316">
        <w:rPr>
          <w:color w:val="000000"/>
        </w:rPr>
        <w:t>used</w:t>
      </w:r>
      <w:proofErr w:type="spellEnd"/>
      <w:r w:rsidRPr="00D42316">
        <w:rPr>
          <w:color w:val="000000"/>
        </w:rPr>
        <w:t xml:space="preserve"> in </w:t>
      </w:r>
      <w:proofErr w:type="spellStart"/>
      <w:r w:rsidRPr="00D42316">
        <w:rPr>
          <w:color w:val="000000"/>
        </w:rPr>
        <w:t>the</w:t>
      </w:r>
      <w:proofErr w:type="spellEnd"/>
      <w:r w:rsidRPr="00D42316">
        <w:rPr>
          <w:color w:val="000000"/>
        </w:rPr>
        <w:t xml:space="preserve"> </w:t>
      </w:r>
      <w:proofErr w:type="spellStart"/>
      <w:r w:rsidRPr="00D42316">
        <w:rPr>
          <w:color w:val="000000"/>
        </w:rPr>
        <w:t>financial</w:t>
      </w:r>
      <w:proofErr w:type="spellEnd"/>
      <w:r w:rsidRPr="00D42316">
        <w:rPr>
          <w:color w:val="000000"/>
        </w:rPr>
        <w:t xml:space="preserve"> </w:t>
      </w:r>
      <w:proofErr w:type="spellStart"/>
      <w:r w:rsidRPr="00D42316">
        <w:rPr>
          <w:color w:val="000000"/>
        </w:rPr>
        <w:t>literature</w:t>
      </w:r>
      <w:proofErr w:type="spellEnd"/>
      <w:r w:rsidRPr="00D42316">
        <w:rPr>
          <w:color w:val="000000"/>
        </w:rPr>
        <w:t xml:space="preserve"> but </w:t>
      </w:r>
      <w:proofErr w:type="spellStart"/>
      <w:r w:rsidRPr="00D42316">
        <w:rPr>
          <w:color w:val="000000"/>
        </w:rPr>
        <w:t>should</w:t>
      </w:r>
      <w:proofErr w:type="spellEnd"/>
      <w:r w:rsidRPr="00D42316">
        <w:rPr>
          <w:color w:val="000000"/>
        </w:rPr>
        <w:t xml:space="preserve"> </w:t>
      </w:r>
      <w:proofErr w:type="spellStart"/>
      <w:r w:rsidRPr="00D42316">
        <w:rPr>
          <w:color w:val="000000"/>
        </w:rPr>
        <w:t>definitely</w:t>
      </w:r>
      <w:proofErr w:type="spellEnd"/>
      <w:r w:rsidRPr="00D42316">
        <w:rPr>
          <w:color w:val="000000"/>
        </w:rPr>
        <w:t xml:space="preserve"> be </w:t>
      </w:r>
      <w:proofErr w:type="spellStart"/>
      <w:r w:rsidRPr="00D42316">
        <w:rPr>
          <w:color w:val="000000"/>
        </w:rPr>
        <w:t>emphasized</w:t>
      </w:r>
      <w:proofErr w:type="spellEnd"/>
      <w:r w:rsidRPr="00D42316">
        <w:rPr>
          <w:color w:val="000000"/>
        </w:rPr>
        <w:t>, “</w:t>
      </w:r>
      <w:proofErr w:type="spellStart"/>
      <w:r w:rsidRPr="00D42316">
        <w:rPr>
          <w:color w:val="000000"/>
        </w:rPr>
        <w:t>blue</w:t>
      </w:r>
      <w:proofErr w:type="spellEnd"/>
      <w:r w:rsidRPr="00D42316">
        <w:rPr>
          <w:color w:val="000000"/>
        </w:rPr>
        <w:t xml:space="preserve"> </w:t>
      </w:r>
      <w:proofErr w:type="spellStart"/>
      <w:r w:rsidRPr="00D42316">
        <w:rPr>
          <w:color w:val="000000"/>
        </w:rPr>
        <w:t>taxation</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taken</w:t>
      </w:r>
      <w:proofErr w:type="spellEnd"/>
      <w:r w:rsidRPr="00D42316">
        <w:rPr>
          <w:color w:val="000000"/>
        </w:rPr>
        <w:t xml:space="preserve"> </w:t>
      </w:r>
      <w:proofErr w:type="spellStart"/>
      <w:r w:rsidRPr="00D42316">
        <w:rPr>
          <w:color w:val="000000"/>
        </w:rPr>
        <w:t>into</w:t>
      </w:r>
      <w:proofErr w:type="spellEnd"/>
      <w:r w:rsidRPr="00D42316">
        <w:rPr>
          <w:color w:val="000000"/>
        </w:rPr>
        <w:t xml:space="preserve"> </w:t>
      </w:r>
      <w:proofErr w:type="spellStart"/>
      <w:r w:rsidRPr="00D42316">
        <w:rPr>
          <w:color w:val="000000"/>
        </w:rPr>
        <w:t>consideration</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subject</w:t>
      </w:r>
      <w:proofErr w:type="spellEnd"/>
      <w:r w:rsidRPr="00D42316">
        <w:rPr>
          <w:color w:val="000000"/>
        </w:rPr>
        <w:t xml:space="preserve"> of </w:t>
      </w:r>
      <w:proofErr w:type="spellStart"/>
      <w:r w:rsidRPr="00D42316">
        <w:rPr>
          <w:color w:val="000000"/>
        </w:rPr>
        <w:t>blue</w:t>
      </w:r>
      <w:proofErr w:type="spellEnd"/>
      <w:r w:rsidRPr="00D42316">
        <w:rPr>
          <w:color w:val="000000"/>
        </w:rPr>
        <w:t xml:space="preserve"> </w:t>
      </w:r>
      <w:proofErr w:type="spellStart"/>
      <w:r w:rsidRPr="00D42316">
        <w:rPr>
          <w:color w:val="000000"/>
        </w:rPr>
        <w:t>taxation</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w:t>
      </w:r>
      <w:proofErr w:type="spellStart"/>
      <w:r w:rsidRPr="00D42316">
        <w:rPr>
          <w:color w:val="000000"/>
        </w:rPr>
        <w:t>consist</w:t>
      </w:r>
      <w:proofErr w:type="spellEnd"/>
      <w:r w:rsidRPr="00D42316">
        <w:rPr>
          <w:color w:val="000000"/>
        </w:rPr>
        <w:t xml:space="preserve"> of a </w:t>
      </w:r>
      <w:proofErr w:type="spellStart"/>
      <w:r w:rsidRPr="00D42316">
        <w:rPr>
          <w:color w:val="000000"/>
        </w:rPr>
        <w:t>tax</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prevents</w:t>
      </w:r>
      <w:proofErr w:type="spellEnd"/>
      <w:r w:rsidRPr="00D42316">
        <w:rPr>
          <w:color w:val="000000"/>
        </w:rPr>
        <w:t xml:space="preserve"> </w:t>
      </w:r>
      <w:proofErr w:type="spellStart"/>
      <w:r w:rsidRPr="00D42316">
        <w:rPr>
          <w:color w:val="000000"/>
        </w:rPr>
        <w:t>or</w:t>
      </w:r>
      <w:proofErr w:type="spellEnd"/>
      <w:r w:rsidRPr="00D42316">
        <w:rPr>
          <w:color w:val="000000"/>
        </w:rPr>
        <w:t xml:space="preserve"> </w:t>
      </w:r>
      <w:proofErr w:type="spellStart"/>
      <w:r w:rsidRPr="00D42316">
        <w:rPr>
          <w:color w:val="000000"/>
        </w:rPr>
        <w:t>reduces</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negative</w:t>
      </w:r>
      <w:proofErr w:type="spellEnd"/>
      <w:r w:rsidRPr="00D42316">
        <w:rPr>
          <w:color w:val="000000"/>
        </w:rPr>
        <w:t xml:space="preserve"> </w:t>
      </w:r>
      <w:proofErr w:type="spellStart"/>
      <w:r w:rsidRPr="00D42316">
        <w:rPr>
          <w:color w:val="000000"/>
        </w:rPr>
        <w:t>externalities</w:t>
      </w:r>
      <w:proofErr w:type="spellEnd"/>
      <w:r w:rsidRPr="00D42316">
        <w:rPr>
          <w:color w:val="000000"/>
        </w:rPr>
        <w:t xml:space="preserve"> </w:t>
      </w:r>
      <w:proofErr w:type="spellStart"/>
      <w:r w:rsidRPr="00D42316">
        <w:rPr>
          <w:color w:val="000000"/>
        </w:rPr>
        <w:t>created</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w:t>
      </w:r>
      <w:proofErr w:type="spellStart"/>
      <w:r w:rsidRPr="00D42316">
        <w:rPr>
          <w:color w:val="000000"/>
        </w:rPr>
        <w:t>industrial</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domestic</w:t>
      </w:r>
      <w:proofErr w:type="spellEnd"/>
      <w:r w:rsidRPr="00D42316">
        <w:rPr>
          <w:color w:val="000000"/>
        </w:rPr>
        <w:t xml:space="preserve"> </w:t>
      </w:r>
      <w:proofErr w:type="spellStart"/>
      <w:r w:rsidRPr="00D42316">
        <w:rPr>
          <w:color w:val="000000"/>
        </w:rPr>
        <w:t>waste</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sea</w:t>
      </w:r>
      <w:proofErr w:type="spellEnd"/>
      <w:r w:rsidRPr="00D42316">
        <w:rPr>
          <w:color w:val="000000"/>
        </w:rPr>
        <w:t xml:space="preserve"> </w:t>
      </w:r>
      <w:proofErr w:type="spellStart"/>
      <w:r w:rsidRPr="00D42316">
        <w:rPr>
          <w:color w:val="000000"/>
        </w:rPr>
        <w:t>vessels</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cause</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of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used</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reduce</w:t>
      </w:r>
      <w:proofErr w:type="spellEnd"/>
      <w:r w:rsidRPr="00D42316">
        <w:rPr>
          <w:color w:val="000000"/>
        </w:rPr>
        <w:t xml:space="preserve"> </w:t>
      </w:r>
      <w:proofErr w:type="spellStart"/>
      <w:r w:rsidRPr="00D42316">
        <w:rPr>
          <w:color w:val="000000"/>
        </w:rPr>
        <w:t>industrial</w:t>
      </w:r>
      <w:proofErr w:type="spellEnd"/>
      <w:r w:rsidRPr="00D42316">
        <w:rPr>
          <w:color w:val="000000"/>
        </w:rPr>
        <w:t xml:space="preserve"> </w:t>
      </w:r>
      <w:proofErr w:type="spellStart"/>
      <w:r w:rsidRPr="00D42316">
        <w:rPr>
          <w:color w:val="000000"/>
        </w:rPr>
        <w:t>waste</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causes</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create</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incentive</w:t>
      </w:r>
      <w:proofErr w:type="spellEnd"/>
      <w:r w:rsidRPr="00D42316">
        <w:rPr>
          <w:color w:val="000000"/>
        </w:rPr>
        <w:t xml:space="preserve"> </w:t>
      </w:r>
      <w:proofErr w:type="spellStart"/>
      <w:r w:rsidRPr="00D42316">
        <w:rPr>
          <w:color w:val="000000"/>
        </w:rPr>
        <w:t>systems</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encourage</w:t>
      </w:r>
      <w:proofErr w:type="spellEnd"/>
      <w:r w:rsidRPr="00D42316">
        <w:rPr>
          <w:color w:val="000000"/>
        </w:rPr>
        <w:t xml:space="preserve"> </w:t>
      </w:r>
      <w:proofErr w:type="spellStart"/>
      <w:r w:rsidRPr="00D42316">
        <w:rPr>
          <w:color w:val="000000"/>
        </w:rPr>
        <w:t>research</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development</w:t>
      </w:r>
      <w:proofErr w:type="spellEnd"/>
      <w:r w:rsidRPr="00D42316">
        <w:rPr>
          <w:color w:val="000000"/>
        </w:rPr>
        <w:t xml:space="preserve"> </w:t>
      </w:r>
      <w:proofErr w:type="spellStart"/>
      <w:r w:rsidRPr="00D42316">
        <w:rPr>
          <w:color w:val="000000"/>
        </w:rPr>
        <w:t>activities</w:t>
      </w:r>
      <w:proofErr w:type="spellEnd"/>
      <w:r w:rsidRPr="00D42316">
        <w:rPr>
          <w:color w:val="000000"/>
        </w:rPr>
        <w:t xml:space="preserve">, </w:t>
      </w:r>
      <w:proofErr w:type="spellStart"/>
      <w:r w:rsidRPr="00D42316">
        <w:rPr>
          <w:color w:val="000000"/>
        </w:rPr>
        <w:t>innovative</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investments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achieve</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reduction</w:t>
      </w:r>
      <w:proofErr w:type="spellEnd"/>
      <w:r w:rsidRPr="00D42316">
        <w:rPr>
          <w:color w:val="000000"/>
        </w:rPr>
        <w:t xml:space="preserve">. Blue </w:t>
      </w:r>
      <w:proofErr w:type="spellStart"/>
      <w:r w:rsidRPr="00D42316">
        <w:rPr>
          <w:color w:val="000000"/>
        </w:rPr>
        <w:t>taxation</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levied</w:t>
      </w:r>
      <w:proofErr w:type="spellEnd"/>
      <w:r w:rsidRPr="00D42316">
        <w:rPr>
          <w:color w:val="000000"/>
        </w:rPr>
        <w:t xml:space="preserve"> on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per</w:t>
      </w:r>
      <w:proofErr w:type="spellEnd"/>
      <w:r w:rsidRPr="00D42316">
        <w:rPr>
          <w:color w:val="000000"/>
        </w:rPr>
        <w:t xml:space="preserve"> </w:t>
      </w:r>
      <w:proofErr w:type="spellStart"/>
      <w:r w:rsidRPr="00D42316">
        <w:rPr>
          <w:color w:val="000000"/>
        </w:rPr>
        <w:t>unit</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while</w:t>
      </w:r>
      <w:proofErr w:type="spellEnd"/>
      <w:r w:rsidRPr="00D42316">
        <w:rPr>
          <w:color w:val="000000"/>
        </w:rPr>
        <w:t xml:space="preserve"> </w:t>
      </w:r>
      <w:proofErr w:type="spellStart"/>
      <w:r w:rsidRPr="00D42316">
        <w:rPr>
          <w:color w:val="000000"/>
        </w:rPr>
        <w:t>no</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is </w:t>
      </w:r>
      <w:proofErr w:type="spellStart"/>
      <w:r w:rsidRPr="00D42316">
        <w:rPr>
          <w:color w:val="000000"/>
        </w:rPr>
        <w:t>levied</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each</w:t>
      </w:r>
      <w:proofErr w:type="spellEnd"/>
      <w:r w:rsidRPr="00D42316">
        <w:rPr>
          <w:color w:val="000000"/>
        </w:rPr>
        <w:t xml:space="preserve"> </w:t>
      </w:r>
      <w:proofErr w:type="spellStart"/>
      <w:r w:rsidRPr="00D42316">
        <w:rPr>
          <w:color w:val="000000"/>
        </w:rPr>
        <w:t>unit</w:t>
      </w:r>
      <w:proofErr w:type="spellEnd"/>
      <w:r w:rsidRPr="00D42316">
        <w:rPr>
          <w:color w:val="000000"/>
        </w:rPr>
        <w:t xml:space="preserve"> </w:t>
      </w:r>
      <w:proofErr w:type="spellStart"/>
      <w:r w:rsidRPr="00D42316">
        <w:rPr>
          <w:color w:val="000000"/>
        </w:rPr>
        <w:t>reduced</w:t>
      </w:r>
      <w:proofErr w:type="spellEnd"/>
      <w:r w:rsidRPr="00D42316">
        <w:rPr>
          <w:color w:val="000000"/>
        </w:rPr>
        <w:t xml:space="preserve">, </w:t>
      </w:r>
      <w:proofErr w:type="spellStart"/>
      <w:r w:rsidRPr="00D42316">
        <w:rPr>
          <w:color w:val="000000"/>
        </w:rPr>
        <w:t>investments</w:t>
      </w:r>
      <w:proofErr w:type="spellEnd"/>
      <w:r w:rsidRPr="00D42316">
        <w:rPr>
          <w:color w:val="000000"/>
        </w:rPr>
        <w:t xml:space="preserve"> </w:t>
      </w:r>
      <w:proofErr w:type="spellStart"/>
      <w:r w:rsidRPr="00D42316">
        <w:rPr>
          <w:color w:val="000000"/>
        </w:rPr>
        <w:t>made</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reduce</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purchases</w:t>
      </w:r>
      <w:proofErr w:type="spellEnd"/>
      <w:r w:rsidRPr="00D42316">
        <w:rPr>
          <w:color w:val="000000"/>
        </w:rPr>
        <w:t xml:space="preserve"> of </w:t>
      </w:r>
      <w:proofErr w:type="spellStart"/>
      <w:r w:rsidRPr="00D42316">
        <w:rPr>
          <w:color w:val="000000"/>
        </w:rPr>
        <w:t>goods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services</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granted</w:t>
      </w:r>
      <w:proofErr w:type="spellEnd"/>
      <w:r w:rsidRPr="00D42316">
        <w:rPr>
          <w:color w:val="000000"/>
        </w:rPr>
        <w:t xml:space="preserve"> a </w:t>
      </w:r>
      <w:proofErr w:type="spellStart"/>
      <w:r w:rsidRPr="00D42316">
        <w:rPr>
          <w:color w:val="000000"/>
        </w:rPr>
        <w:t>value</w:t>
      </w:r>
      <w:proofErr w:type="spellEnd"/>
      <w:r w:rsidRPr="00D42316">
        <w:rPr>
          <w:color w:val="000000"/>
        </w:rPr>
        <w:t xml:space="preserve"> </w:t>
      </w:r>
      <w:proofErr w:type="spellStart"/>
      <w:r w:rsidRPr="00D42316">
        <w:rPr>
          <w:color w:val="000000"/>
        </w:rPr>
        <w:t>added</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deduction</w:t>
      </w:r>
      <w:proofErr w:type="spellEnd"/>
      <w:r w:rsidRPr="00D42316">
        <w:rPr>
          <w:color w:val="000000"/>
        </w:rPr>
        <w:t xml:space="preserve"> at </w:t>
      </w:r>
      <w:proofErr w:type="spellStart"/>
      <w:r w:rsidRPr="00D42316">
        <w:rPr>
          <w:color w:val="000000"/>
        </w:rPr>
        <w:t>the</w:t>
      </w:r>
      <w:proofErr w:type="spellEnd"/>
      <w:r w:rsidRPr="00D42316">
        <w:rPr>
          <w:color w:val="000000"/>
        </w:rPr>
        <w:t xml:space="preserve"> </w:t>
      </w:r>
      <w:proofErr w:type="spellStart"/>
      <w:r w:rsidRPr="00D42316">
        <w:rPr>
          <w:color w:val="000000"/>
        </w:rPr>
        <w:t>same</w:t>
      </w:r>
      <w:proofErr w:type="spellEnd"/>
      <w:r w:rsidRPr="00D42316">
        <w:rPr>
          <w:color w:val="000000"/>
        </w:rPr>
        <w:t xml:space="preserve"> rate, </w:t>
      </w:r>
      <w:proofErr w:type="spellStart"/>
      <w:r w:rsidRPr="00D42316">
        <w:rPr>
          <w:color w:val="000000"/>
        </w:rPr>
        <w:t>depending</w:t>
      </w:r>
      <w:proofErr w:type="spellEnd"/>
      <w:r w:rsidRPr="00D42316">
        <w:rPr>
          <w:color w:val="000000"/>
        </w:rPr>
        <w:t xml:space="preserve"> on </w:t>
      </w:r>
      <w:proofErr w:type="spellStart"/>
      <w:r w:rsidRPr="00D42316">
        <w:rPr>
          <w:color w:val="000000"/>
        </w:rPr>
        <w:t>the</w:t>
      </w:r>
      <w:proofErr w:type="spellEnd"/>
      <w:r w:rsidRPr="00D42316">
        <w:rPr>
          <w:color w:val="000000"/>
        </w:rPr>
        <w:t xml:space="preserve"> </w:t>
      </w:r>
      <w:proofErr w:type="spellStart"/>
      <w:r w:rsidRPr="00D42316">
        <w:rPr>
          <w:color w:val="000000"/>
        </w:rPr>
        <w:t>reduction</w:t>
      </w:r>
      <w:proofErr w:type="spellEnd"/>
      <w:r w:rsidRPr="00D42316">
        <w:rPr>
          <w:color w:val="000000"/>
        </w:rPr>
        <w:t xml:space="preserve"> in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All</w:t>
      </w:r>
      <w:proofErr w:type="spellEnd"/>
      <w:r w:rsidRPr="00D42316">
        <w:rPr>
          <w:color w:val="000000"/>
        </w:rPr>
        <w:t xml:space="preserve"> </w:t>
      </w:r>
      <w:proofErr w:type="spellStart"/>
      <w:r w:rsidRPr="00D42316">
        <w:rPr>
          <w:color w:val="000000"/>
        </w:rPr>
        <w:t>expenditures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expenses</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investments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be </w:t>
      </w:r>
      <w:proofErr w:type="spellStart"/>
      <w:r w:rsidRPr="00D42316">
        <w:rPr>
          <w:color w:val="000000"/>
        </w:rPr>
        <w:t>made</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protection</w:t>
      </w:r>
      <w:proofErr w:type="spellEnd"/>
      <w:r w:rsidRPr="00D42316">
        <w:rPr>
          <w:color w:val="000000"/>
        </w:rPr>
        <w:t xml:space="preserve"> of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allowed</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be </w:t>
      </w:r>
      <w:proofErr w:type="spellStart"/>
      <w:r w:rsidRPr="00D42316">
        <w:rPr>
          <w:color w:val="000000"/>
        </w:rPr>
        <w:t>deducted</w:t>
      </w:r>
      <w:proofErr w:type="spellEnd"/>
      <w:r w:rsidRPr="00D42316">
        <w:rPr>
          <w:color w:val="000000"/>
        </w:rPr>
        <w:t xml:space="preserve">. </w:t>
      </w:r>
      <w:proofErr w:type="spellStart"/>
      <w:r w:rsidRPr="00D42316">
        <w:rPr>
          <w:color w:val="000000"/>
        </w:rPr>
        <w:t>In</w:t>
      </w:r>
      <w:proofErr w:type="spellEnd"/>
      <w:r w:rsidRPr="00D42316">
        <w:rPr>
          <w:color w:val="000000"/>
        </w:rPr>
        <w:t xml:space="preserve"> </w:t>
      </w:r>
      <w:proofErr w:type="spellStart"/>
      <w:r w:rsidRPr="00D42316">
        <w:rPr>
          <w:color w:val="000000"/>
        </w:rPr>
        <w:t>addition</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use</w:t>
      </w:r>
      <w:proofErr w:type="spellEnd"/>
      <w:r w:rsidRPr="00D42316">
        <w:rPr>
          <w:color w:val="000000"/>
        </w:rPr>
        <w:t xml:space="preserve"> of </w:t>
      </w:r>
      <w:proofErr w:type="spellStart"/>
      <w:r w:rsidRPr="00D42316">
        <w:rPr>
          <w:color w:val="000000"/>
        </w:rPr>
        <w:t>salty</w:t>
      </w:r>
      <w:proofErr w:type="spellEnd"/>
      <w:r w:rsidRPr="00D42316">
        <w:rPr>
          <w:color w:val="000000"/>
        </w:rPr>
        <w:t xml:space="preserve">, bitter </w:t>
      </w:r>
      <w:proofErr w:type="spellStart"/>
      <w:r w:rsidRPr="00D42316">
        <w:rPr>
          <w:color w:val="000000"/>
        </w:rPr>
        <w:t>or</w:t>
      </w:r>
      <w:proofErr w:type="spellEnd"/>
      <w:r w:rsidRPr="00D42316">
        <w:rPr>
          <w:color w:val="000000"/>
        </w:rPr>
        <w:t xml:space="preserve"> soda </w:t>
      </w:r>
      <w:proofErr w:type="spellStart"/>
      <w:r w:rsidRPr="00D42316">
        <w:rPr>
          <w:color w:val="000000"/>
        </w:rPr>
        <w:t>water</w:t>
      </w:r>
      <w:proofErr w:type="spellEnd"/>
      <w:r w:rsidRPr="00D42316">
        <w:rPr>
          <w:color w:val="000000"/>
        </w:rPr>
        <w:t xml:space="preserve"> </w:t>
      </w:r>
      <w:proofErr w:type="spellStart"/>
      <w:r w:rsidRPr="00D42316">
        <w:rPr>
          <w:color w:val="000000"/>
        </w:rPr>
        <w:t>such</w:t>
      </w:r>
      <w:proofErr w:type="spellEnd"/>
      <w:r w:rsidRPr="00D42316">
        <w:rPr>
          <w:color w:val="000000"/>
        </w:rPr>
        <w:t xml:space="preserve"> as </w:t>
      </w:r>
      <w:proofErr w:type="spellStart"/>
      <w:r w:rsidRPr="00D42316">
        <w:rPr>
          <w:color w:val="000000"/>
        </w:rPr>
        <w:t>sea</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in </w:t>
      </w:r>
      <w:proofErr w:type="spellStart"/>
      <w:r w:rsidRPr="00D42316">
        <w:rPr>
          <w:color w:val="000000"/>
        </w:rPr>
        <w:t>industry</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transportation</w:t>
      </w:r>
      <w:proofErr w:type="spellEnd"/>
      <w:r w:rsidRPr="00D42316">
        <w:rPr>
          <w:color w:val="000000"/>
        </w:rPr>
        <w:t xml:space="preserve"> </w:t>
      </w:r>
      <w:r w:rsidRPr="00D42316">
        <w:rPr>
          <w:color w:val="000000"/>
        </w:rPr>
        <w:lastRenderedPageBreak/>
        <w:t xml:space="preserve">of </w:t>
      </w:r>
      <w:proofErr w:type="spellStart"/>
      <w:r w:rsidRPr="00D42316">
        <w:rPr>
          <w:color w:val="000000"/>
        </w:rPr>
        <w:t>used</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back</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industrial</w:t>
      </w:r>
      <w:proofErr w:type="spellEnd"/>
      <w:r w:rsidRPr="00D42316">
        <w:rPr>
          <w:color w:val="000000"/>
        </w:rPr>
        <w:t xml:space="preserve"> </w:t>
      </w:r>
      <w:proofErr w:type="spellStart"/>
      <w:r w:rsidRPr="00D42316">
        <w:rPr>
          <w:color w:val="000000"/>
        </w:rPr>
        <w:t>areas</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encouraged</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recycled</w:t>
      </w:r>
      <w:proofErr w:type="spellEnd"/>
      <w:r w:rsidRPr="00D42316">
        <w:rPr>
          <w:color w:val="000000"/>
        </w:rPr>
        <w:t xml:space="preserve">. </w:t>
      </w:r>
      <w:proofErr w:type="spellStart"/>
      <w:r w:rsidRPr="00D42316">
        <w:rPr>
          <w:color w:val="000000"/>
        </w:rPr>
        <w:t>Instead</w:t>
      </w:r>
      <w:proofErr w:type="spellEnd"/>
      <w:r w:rsidRPr="00D42316">
        <w:rPr>
          <w:color w:val="000000"/>
        </w:rPr>
        <w:t xml:space="preserve"> of </w:t>
      </w:r>
      <w:proofErr w:type="spellStart"/>
      <w:r w:rsidRPr="00D42316">
        <w:rPr>
          <w:color w:val="000000"/>
        </w:rPr>
        <w:t>using</w:t>
      </w:r>
      <w:proofErr w:type="spellEnd"/>
      <w:r w:rsidRPr="00D42316">
        <w:rPr>
          <w:color w:val="000000"/>
        </w:rPr>
        <w:t xml:space="preserve"> </w:t>
      </w:r>
      <w:proofErr w:type="spellStart"/>
      <w:r w:rsidRPr="00D42316">
        <w:rPr>
          <w:color w:val="000000"/>
        </w:rPr>
        <w:t>fresh</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in </w:t>
      </w:r>
      <w:proofErr w:type="spellStart"/>
      <w:r w:rsidRPr="00D42316">
        <w:rPr>
          <w:color w:val="000000"/>
        </w:rPr>
        <w:t>tourism</w:t>
      </w:r>
      <w:proofErr w:type="spellEnd"/>
      <w:r w:rsidRPr="00D42316">
        <w:rPr>
          <w:color w:val="000000"/>
        </w:rPr>
        <w:t xml:space="preserve"> </w:t>
      </w:r>
      <w:proofErr w:type="spellStart"/>
      <w:r w:rsidRPr="00D42316">
        <w:rPr>
          <w:color w:val="000000"/>
        </w:rPr>
        <w:t>facilities</w:t>
      </w:r>
      <w:proofErr w:type="spellEnd"/>
      <w:r w:rsidRPr="00D42316">
        <w:rPr>
          <w:color w:val="000000"/>
        </w:rPr>
        <w:t xml:space="preserve">, </w:t>
      </w:r>
      <w:proofErr w:type="spellStart"/>
      <w:r w:rsidRPr="00D42316">
        <w:rPr>
          <w:color w:val="000000"/>
        </w:rPr>
        <w:t>sea</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purified</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used</w:t>
      </w:r>
      <w:proofErr w:type="spellEnd"/>
      <w:r w:rsidRPr="00D42316">
        <w:rPr>
          <w:color w:val="000000"/>
        </w:rPr>
        <w:t xml:space="preserve"> in </w:t>
      </w:r>
      <w:proofErr w:type="spellStart"/>
      <w:r w:rsidRPr="00D42316">
        <w:rPr>
          <w:color w:val="000000"/>
        </w:rPr>
        <w:t>places</w:t>
      </w:r>
      <w:proofErr w:type="spellEnd"/>
      <w:r w:rsidRPr="00D42316">
        <w:rPr>
          <w:color w:val="000000"/>
        </w:rPr>
        <w:t xml:space="preserve"> </w:t>
      </w:r>
      <w:proofErr w:type="spellStart"/>
      <w:r w:rsidRPr="00D42316">
        <w:rPr>
          <w:color w:val="000000"/>
        </w:rPr>
        <w:t>like</w:t>
      </w:r>
      <w:proofErr w:type="spellEnd"/>
      <w:r w:rsidRPr="00D42316">
        <w:rPr>
          <w:color w:val="000000"/>
        </w:rPr>
        <w:t xml:space="preserve"> </w:t>
      </w:r>
      <w:proofErr w:type="spellStart"/>
      <w:r w:rsidRPr="00D42316">
        <w:rPr>
          <w:color w:val="000000"/>
        </w:rPr>
        <w:t>pools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aquaparks</w:t>
      </w:r>
      <w:proofErr w:type="spellEnd"/>
      <w:r w:rsidRPr="00D42316">
        <w:rPr>
          <w:color w:val="000000"/>
        </w:rPr>
        <w:t xml:space="preserve">. </w:t>
      </w:r>
      <w:proofErr w:type="spellStart"/>
      <w:r w:rsidRPr="00D42316">
        <w:rPr>
          <w:color w:val="000000"/>
        </w:rPr>
        <w:t>Those</w:t>
      </w:r>
      <w:proofErr w:type="spellEnd"/>
      <w:r w:rsidRPr="00D42316">
        <w:rPr>
          <w:color w:val="000000"/>
        </w:rPr>
        <w:t xml:space="preserve"> </w:t>
      </w:r>
      <w:proofErr w:type="spellStart"/>
      <w:r w:rsidRPr="00D42316">
        <w:rPr>
          <w:color w:val="000000"/>
        </w:rPr>
        <w:t>who</w:t>
      </w:r>
      <w:proofErr w:type="spellEnd"/>
      <w:r w:rsidRPr="00D42316">
        <w:rPr>
          <w:color w:val="000000"/>
        </w:rPr>
        <w:t xml:space="preserve"> do not </w:t>
      </w:r>
      <w:proofErr w:type="spellStart"/>
      <w:r w:rsidRPr="00D42316">
        <w:rPr>
          <w:color w:val="000000"/>
        </w:rPr>
        <w:t>comply</w:t>
      </w:r>
      <w:proofErr w:type="spellEnd"/>
      <w:r w:rsidRPr="00D42316">
        <w:rPr>
          <w:color w:val="000000"/>
        </w:rPr>
        <w:t xml:space="preserve"> </w:t>
      </w:r>
      <w:proofErr w:type="spellStart"/>
      <w:r w:rsidRPr="00D42316">
        <w:rPr>
          <w:color w:val="000000"/>
        </w:rPr>
        <w:t>with</w:t>
      </w:r>
      <w:proofErr w:type="spellEnd"/>
      <w:r w:rsidRPr="00D42316">
        <w:rPr>
          <w:color w:val="000000"/>
        </w:rPr>
        <w:t xml:space="preserve"> </w:t>
      </w:r>
      <w:proofErr w:type="spellStart"/>
      <w:r w:rsidRPr="00D42316">
        <w:rPr>
          <w:color w:val="000000"/>
        </w:rPr>
        <w:t>these</w:t>
      </w:r>
      <w:proofErr w:type="spellEnd"/>
      <w:r w:rsidRPr="00D42316">
        <w:rPr>
          <w:color w:val="000000"/>
        </w:rPr>
        <w:t xml:space="preserve"> </w:t>
      </w:r>
      <w:proofErr w:type="spellStart"/>
      <w:r w:rsidRPr="00D42316">
        <w:rPr>
          <w:color w:val="000000"/>
        </w:rPr>
        <w:t>regulations</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subject</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a </w:t>
      </w:r>
      <w:proofErr w:type="spellStart"/>
      <w:r w:rsidRPr="00D42316">
        <w:rPr>
          <w:color w:val="000000"/>
        </w:rPr>
        <w:t>tax</w:t>
      </w:r>
      <w:proofErr w:type="spellEnd"/>
      <w:r w:rsidRPr="00D42316">
        <w:rPr>
          <w:color w:val="000000"/>
        </w:rPr>
        <w:t xml:space="preserve"> </w:t>
      </w:r>
      <w:proofErr w:type="spellStart"/>
      <w:r w:rsidRPr="00D42316">
        <w:rPr>
          <w:color w:val="000000"/>
        </w:rPr>
        <w:t>per</w:t>
      </w:r>
      <w:proofErr w:type="spellEnd"/>
      <w:r w:rsidRPr="00D42316">
        <w:rPr>
          <w:color w:val="000000"/>
        </w:rPr>
        <w:t xml:space="preserve"> </w:t>
      </w:r>
      <w:proofErr w:type="spellStart"/>
      <w:r w:rsidRPr="00D42316">
        <w:rPr>
          <w:color w:val="000000"/>
        </w:rPr>
        <w:t>unit</w:t>
      </w:r>
      <w:proofErr w:type="spellEnd"/>
      <w:r w:rsidRPr="00D42316">
        <w:rPr>
          <w:color w:val="000000"/>
        </w:rPr>
        <w:t xml:space="preserve"> of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those</w:t>
      </w:r>
      <w:proofErr w:type="spellEnd"/>
      <w:r w:rsidRPr="00D42316">
        <w:rPr>
          <w:color w:val="000000"/>
        </w:rPr>
        <w:t xml:space="preserve"> </w:t>
      </w:r>
      <w:proofErr w:type="spellStart"/>
      <w:r w:rsidRPr="00D42316">
        <w:rPr>
          <w:color w:val="000000"/>
        </w:rPr>
        <w:t>who</w:t>
      </w:r>
      <w:proofErr w:type="spellEnd"/>
      <w:r w:rsidRPr="00D42316">
        <w:rPr>
          <w:color w:val="000000"/>
        </w:rPr>
        <w:t xml:space="preserve"> </w:t>
      </w:r>
      <w:proofErr w:type="spellStart"/>
      <w:r w:rsidRPr="00D42316">
        <w:rPr>
          <w:color w:val="000000"/>
        </w:rPr>
        <w:t>make</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transformation</w:t>
      </w:r>
      <w:proofErr w:type="spellEnd"/>
      <w:r w:rsidRPr="00D42316">
        <w:rPr>
          <w:color w:val="000000"/>
        </w:rPr>
        <w:t xml:space="preserve"> </w:t>
      </w:r>
      <w:proofErr w:type="spellStart"/>
      <w:r w:rsidRPr="00D42316">
        <w:rPr>
          <w:color w:val="000000"/>
        </w:rPr>
        <w:t>should</w:t>
      </w:r>
      <w:proofErr w:type="spellEnd"/>
      <w:r w:rsidRPr="00D42316">
        <w:rPr>
          <w:color w:val="000000"/>
        </w:rPr>
        <w:t xml:space="preserve"> be </w:t>
      </w:r>
      <w:proofErr w:type="spellStart"/>
      <w:r w:rsidRPr="00D42316">
        <w:rPr>
          <w:color w:val="000000"/>
        </w:rPr>
        <w:t>subject</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less</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by</w:t>
      </w:r>
      <w:proofErr w:type="spellEnd"/>
      <w:r w:rsidRPr="00D42316">
        <w:rPr>
          <w:color w:val="000000"/>
        </w:rPr>
        <w:t xml:space="preserve"> </w:t>
      </w:r>
      <w:proofErr w:type="spellStart"/>
      <w:r w:rsidRPr="00D42316">
        <w:rPr>
          <w:color w:val="000000"/>
        </w:rPr>
        <w:t>reducing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units</w:t>
      </w:r>
      <w:proofErr w:type="spellEnd"/>
      <w:r w:rsidRPr="00D42316">
        <w:rPr>
          <w:color w:val="000000"/>
        </w:rPr>
        <w:t xml:space="preserve">. </w:t>
      </w:r>
      <w:proofErr w:type="spellStart"/>
      <w:r w:rsidRPr="00D42316">
        <w:rPr>
          <w:color w:val="000000"/>
        </w:rPr>
        <w:t>In</w:t>
      </w:r>
      <w:proofErr w:type="spellEnd"/>
      <w:r w:rsidRPr="00D42316">
        <w:rPr>
          <w:color w:val="000000"/>
        </w:rPr>
        <w:t xml:space="preserve"> </w:t>
      </w:r>
      <w:proofErr w:type="spellStart"/>
      <w:r w:rsidRPr="00D42316">
        <w:rPr>
          <w:color w:val="000000"/>
        </w:rPr>
        <w:t>our</w:t>
      </w:r>
      <w:proofErr w:type="spellEnd"/>
      <w:r w:rsidRPr="00D42316">
        <w:rPr>
          <w:color w:val="000000"/>
        </w:rPr>
        <w:t xml:space="preserve"> </w:t>
      </w:r>
      <w:proofErr w:type="spellStart"/>
      <w:r w:rsidRPr="00D42316">
        <w:rPr>
          <w:color w:val="000000"/>
        </w:rPr>
        <w:t>study</w:t>
      </w:r>
      <w:proofErr w:type="spellEnd"/>
      <w:r w:rsidRPr="00D42316">
        <w:rPr>
          <w:color w:val="000000"/>
        </w:rPr>
        <w:t xml:space="preserve">, </w:t>
      </w:r>
      <w:proofErr w:type="spellStart"/>
      <w:r w:rsidRPr="00D42316">
        <w:rPr>
          <w:color w:val="000000"/>
        </w:rPr>
        <w:t>these</w:t>
      </w:r>
      <w:proofErr w:type="spellEnd"/>
      <w:r w:rsidRPr="00D42316">
        <w:rPr>
          <w:color w:val="000000"/>
        </w:rPr>
        <w:t xml:space="preserve"> </w:t>
      </w:r>
      <w:proofErr w:type="spellStart"/>
      <w:r w:rsidRPr="00D42316">
        <w:rPr>
          <w:color w:val="000000"/>
        </w:rPr>
        <w:t>issues</w:t>
      </w:r>
      <w:proofErr w:type="spellEnd"/>
      <w:r w:rsidRPr="00D42316">
        <w:rPr>
          <w:color w:val="000000"/>
        </w:rPr>
        <w:t xml:space="preserve"> </w:t>
      </w:r>
      <w:proofErr w:type="spellStart"/>
      <w:r w:rsidRPr="00D42316">
        <w:rPr>
          <w:color w:val="000000"/>
        </w:rPr>
        <w:t>will</w:t>
      </w:r>
      <w:proofErr w:type="spellEnd"/>
      <w:r w:rsidRPr="00D42316">
        <w:rPr>
          <w:color w:val="000000"/>
        </w:rPr>
        <w:t xml:space="preserve"> be </w:t>
      </w:r>
      <w:proofErr w:type="spellStart"/>
      <w:r w:rsidRPr="00D42316">
        <w:rPr>
          <w:color w:val="000000"/>
        </w:rPr>
        <w:t>emphasized</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explained</w:t>
      </w:r>
      <w:proofErr w:type="spellEnd"/>
      <w:r w:rsidRPr="00D42316">
        <w:rPr>
          <w:color w:val="000000"/>
        </w:rPr>
        <w:t xml:space="preserve"> </w:t>
      </w:r>
      <w:proofErr w:type="spellStart"/>
      <w:r w:rsidRPr="00D42316">
        <w:rPr>
          <w:color w:val="000000"/>
        </w:rPr>
        <w:t>with</w:t>
      </w:r>
      <w:proofErr w:type="spellEnd"/>
      <w:r w:rsidRPr="00D42316">
        <w:rPr>
          <w:color w:val="000000"/>
        </w:rPr>
        <w:t xml:space="preserve"> </w:t>
      </w:r>
      <w:proofErr w:type="spellStart"/>
      <w:r w:rsidRPr="00D42316">
        <w:rPr>
          <w:color w:val="000000"/>
        </w:rPr>
        <w:t>their</w:t>
      </w:r>
      <w:proofErr w:type="spellEnd"/>
      <w:r w:rsidRPr="00D42316">
        <w:rPr>
          <w:color w:val="000000"/>
        </w:rPr>
        <w:t xml:space="preserve"> </w:t>
      </w:r>
      <w:proofErr w:type="spellStart"/>
      <w:r w:rsidRPr="00D42316">
        <w:rPr>
          <w:color w:val="000000"/>
        </w:rPr>
        <w:t>characteristics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details</w:t>
      </w:r>
      <w:proofErr w:type="spellEnd"/>
      <w:r w:rsidRPr="00D42316">
        <w:rPr>
          <w:color w:val="000000"/>
        </w:rPr>
        <w:t xml:space="preserve">. </w:t>
      </w:r>
      <w:proofErr w:type="spellStart"/>
      <w:r w:rsidRPr="00D42316">
        <w:rPr>
          <w:color w:val="000000"/>
        </w:rPr>
        <w:t>This</w:t>
      </w:r>
      <w:proofErr w:type="spellEnd"/>
      <w:r w:rsidRPr="00D42316">
        <w:rPr>
          <w:color w:val="000000"/>
        </w:rPr>
        <w:t xml:space="preserve"> </w:t>
      </w:r>
      <w:proofErr w:type="spellStart"/>
      <w:r w:rsidRPr="00D42316">
        <w:rPr>
          <w:color w:val="000000"/>
        </w:rPr>
        <w:t>study</w:t>
      </w:r>
      <w:proofErr w:type="spellEnd"/>
      <w:r w:rsidRPr="00D42316">
        <w:rPr>
          <w:color w:val="000000"/>
        </w:rPr>
        <w:t xml:space="preserve"> </w:t>
      </w:r>
      <w:proofErr w:type="spellStart"/>
      <w:r w:rsidRPr="00D42316">
        <w:rPr>
          <w:color w:val="000000"/>
        </w:rPr>
        <w:t>aims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use</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concept</w:t>
      </w:r>
      <w:proofErr w:type="spellEnd"/>
      <w:r w:rsidRPr="00D42316">
        <w:rPr>
          <w:color w:val="000000"/>
        </w:rPr>
        <w:t xml:space="preserve"> of </w:t>
      </w:r>
      <w:proofErr w:type="spellStart"/>
      <w:r w:rsidRPr="00D42316">
        <w:rPr>
          <w:color w:val="000000"/>
        </w:rPr>
        <w:t>blue</w:t>
      </w:r>
      <w:proofErr w:type="spellEnd"/>
      <w:r w:rsidRPr="00D42316">
        <w:rPr>
          <w:color w:val="000000"/>
        </w:rPr>
        <w:t xml:space="preserve"> </w:t>
      </w:r>
      <w:proofErr w:type="spellStart"/>
      <w:r w:rsidRPr="00D42316">
        <w:rPr>
          <w:color w:val="000000"/>
        </w:rPr>
        <w:t>taxation</w:t>
      </w:r>
      <w:proofErr w:type="spellEnd"/>
      <w:r w:rsidRPr="00D42316">
        <w:rPr>
          <w:color w:val="000000"/>
        </w:rPr>
        <w:t xml:space="preserve"> </w:t>
      </w:r>
      <w:proofErr w:type="spellStart"/>
      <w:r w:rsidRPr="00D42316">
        <w:rPr>
          <w:color w:val="000000"/>
        </w:rPr>
        <w:t>for</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first</w:t>
      </w:r>
      <w:proofErr w:type="spellEnd"/>
      <w:r w:rsidRPr="00D42316">
        <w:rPr>
          <w:color w:val="000000"/>
        </w:rPr>
        <w:t xml:space="preserve"> time </w:t>
      </w:r>
      <w:proofErr w:type="spellStart"/>
      <w:r w:rsidRPr="00D42316">
        <w:rPr>
          <w:color w:val="000000"/>
        </w:rPr>
        <w:t>and</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make</w:t>
      </w:r>
      <w:proofErr w:type="spellEnd"/>
      <w:r w:rsidRPr="00D42316">
        <w:rPr>
          <w:color w:val="000000"/>
        </w:rPr>
        <w:t xml:space="preserve"> it </w:t>
      </w:r>
      <w:proofErr w:type="spellStart"/>
      <w:r w:rsidRPr="00D42316">
        <w:rPr>
          <w:color w:val="000000"/>
        </w:rPr>
        <w:t>widespread</w:t>
      </w:r>
      <w:proofErr w:type="spellEnd"/>
      <w:r w:rsidRPr="00D42316">
        <w:rPr>
          <w:color w:val="000000"/>
        </w:rPr>
        <w:t xml:space="preserve">, </w:t>
      </w:r>
      <w:proofErr w:type="spellStart"/>
      <w:r w:rsidRPr="00D42316">
        <w:rPr>
          <w:color w:val="000000"/>
        </w:rPr>
        <w:t>including</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necessity</w:t>
      </w:r>
      <w:proofErr w:type="spellEnd"/>
      <w:r w:rsidRPr="00D42316">
        <w:rPr>
          <w:color w:val="000000"/>
        </w:rPr>
        <w:t xml:space="preserve"> of </w:t>
      </w:r>
      <w:proofErr w:type="spellStart"/>
      <w:r w:rsidRPr="00D42316">
        <w:rPr>
          <w:color w:val="000000"/>
        </w:rPr>
        <w:t>such</w:t>
      </w:r>
      <w:proofErr w:type="spellEnd"/>
      <w:r w:rsidRPr="00D42316">
        <w:rPr>
          <w:color w:val="000000"/>
        </w:rPr>
        <w:t xml:space="preserve"> a </w:t>
      </w:r>
      <w:proofErr w:type="spellStart"/>
      <w:r w:rsidRPr="00D42316">
        <w:rPr>
          <w:color w:val="000000"/>
        </w:rPr>
        <w:t>tax</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w:t>
      </w:r>
      <w:proofErr w:type="spellStart"/>
      <w:r w:rsidRPr="00D42316">
        <w:rPr>
          <w:color w:val="000000"/>
        </w:rPr>
        <w:t>solution</w:t>
      </w:r>
      <w:proofErr w:type="spellEnd"/>
      <w:r w:rsidRPr="00D42316">
        <w:rPr>
          <w:color w:val="000000"/>
        </w:rPr>
        <w:t xml:space="preserve"> in </w:t>
      </w:r>
      <w:proofErr w:type="spellStart"/>
      <w:r w:rsidRPr="00D42316">
        <w:rPr>
          <w:color w:val="000000"/>
        </w:rPr>
        <w:t>current</w:t>
      </w:r>
      <w:proofErr w:type="spellEnd"/>
      <w:r w:rsidRPr="00D42316">
        <w:rPr>
          <w:color w:val="000000"/>
        </w:rPr>
        <w:t xml:space="preserve"> </w:t>
      </w:r>
      <w:proofErr w:type="spellStart"/>
      <w:r w:rsidRPr="00D42316">
        <w:rPr>
          <w:color w:val="000000"/>
        </w:rPr>
        <w:t>practice</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desired</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expected</w:t>
      </w:r>
      <w:proofErr w:type="spellEnd"/>
      <w:r w:rsidRPr="00D42316">
        <w:rPr>
          <w:color w:val="000000"/>
        </w:rPr>
        <w:t xml:space="preserve"> </w:t>
      </w:r>
      <w:proofErr w:type="spellStart"/>
      <w:r w:rsidRPr="00D42316">
        <w:rPr>
          <w:color w:val="000000"/>
        </w:rPr>
        <w:t>targets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be </w:t>
      </w:r>
      <w:proofErr w:type="spellStart"/>
      <w:r w:rsidRPr="00D42316">
        <w:rPr>
          <w:color w:val="000000"/>
        </w:rPr>
        <w:t>achieved</w:t>
      </w:r>
      <w:proofErr w:type="spellEnd"/>
      <w:r w:rsidRPr="00D42316">
        <w:rPr>
          <w:color w:val="000000"/>
        </w:rPr>
        <w:t xml:space="preserve"> as a </w:t>
      </w:r>
      <w:proofErr w:type="spellStart"/>
      <w:r w:rsidRPr="00D42316">
        <w:rPr>
          <w:color w:val="000000"/>
        </w:rPr>
        <w:t>result</w:t>
      </w:r>
      <w:proofErr w:type="spellEnd"/>
      <w:r w:rsidRPr="00D42316">
        <w:rPr>
          <w:color w:val="000000"/>
        </w:rPr>
        <w:t xml:space="preserve"> of </w:t>
      </w:r>
      <w:proofErr w:type="spellStart"/>
      <w:r w:rsidRPr="00D42316">
        <w:rPr>
          <w:color w:val="000000"/>
        </w:rPr>
        <w:t>these</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their</w:t>
      </w:r>
      <w:proofErr w:type="spellEnd"/>
      <w:r w:rsidRPr="00D42316">
        <w:rPr>
          <w:color w:val="000000"/>
        </w:rPr>
        <w:t xml:space="preserve"> </w:t>
      </w:r>
      <w:proofErr w:type="spellStart"/>
      <w:r w:rsidRPr="00D42316">
        <w:rPr>
          <w:color w:val="000000"/>
        </w:rPr>
        <w:t>contributions</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economy</w:t>
      </w:r>
      <w:proofErr w:type="spellEnd"/>
      <w:r w:rsidRPr="00D42316">
        <w:rPr>
          <w:color w:val="000000"/>
        </w:rPr>
        <w:t xml:space="preserve">, </w:t>
      </w:r>
      <w:proofErr w:type="spellStart"/>
      <w:r w:rsidRPr="00D42316">
        <w:rPr>
          <w:color w:val="000000"/>
        </w:rPr>
        <w:t>financial</w:t>
      </w:r>
      <w:proofErr w:type="spellEnd"/>
      <w:r w:rsidRPr="00D42316">
        <w:rPr>
          <w:color w:val="000000"/>
        </w:rPr>
        <w:t xml:space="preserve"> </w:t>
      </w:r>
      <w:proofErr w:type="spellStart"/>
      <w:r w:rsidRPr="00D42316">
        <w:rPr>
          <w:color w:val="000000"/>
        </w:rPr>
        <w:t>solutions</w:t>
      </w:r>
      <w:proofErr w:type="spellEnd"/>
      <w:r w:rsidRPr="00D42316">
        <w:rPr>
          <w:color w:val="000000"/>
        </w:rPr>
        <w:t xml:space="preserve"> </w:t>
      </w:r>
      <w:proofErr w:type="spellStart"/>
      <w:r w:rsidRPr="00D42316">
        <w:rPr>
          <w:color w:val="000000"/>
        </w:rPr>
        <w:t>that</w:t>
      </w:r>
      <w:proofErr w:type="spellEnd"/>
      <w:r w:rsidRPr="00D42316">
        <w:rPr>
          <w:color w:val="000000"/>
        </w:rPr>
        <w:t xml:space="preserve"> </w:t>
      </w:r>
      <w:proofErr w:type="spellStart"/>
      <w:r w:rsidRPr="00D42316">
        <w:rPr>
          <w:color w:val="000000"/>
        </w:rPr>
        <w:t>reduce</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pollution</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w:t>
      </w:r>
      <w:proofErr w:type="spellStart"/>
      <w:r w:rsidRPr="00D42316">
        <w:rPr>
          <w:color w:val="000000"/>
        </w:rPr>
        <w:t>encourage</w:t>
      </w:r>
      <w:proofErr w:type="spellEnd"/>
      <w:r w:rsidRPr="00D42316">
        <w:rPr>
          <w:color w:val="000000"/>
        </w:rPr>
        <w:t xml:space="preserve"> </w:t>
      </w:r>
      <w:proofErr w:type="spellStart"/>
      <w:r w:rsidRPr="00D42316">
        <w:rPr>
          <w:color w:val="000000"/>
        </w:rPr>
        <w:t>the</w:t>
      </w:r>
      <w:proofErr w:type="spellEnd"/>
      <w:r w:rsidRPr="00D42316">
        <w:rPr>
          <w:color w:val="000000"/>
        </w:rPr>
        <w:t xml:space="preserve"> </w:t>
      </w:r>
      <w:proofErr w:type="spellStart"/>
      <w:r w:rsidRPr="00D42316">
        <w:rPr>
          <w:color w:val="000000"/>
        </w:rPr>
        <w:t>repeated</w:t>
      </w:r>
      <w:proofErr w:type="spellEnd"/>
      <w:r w:rsidRPr="00D42316">
        <w:rPr>
          <w:color w:val="000000"/>
        </w:rPr>
        <w:t xml:space="preserve"> </w:t>
      </w:r>
      <w:proofErr w:type="spellStart"/>
      <w:r w:rsidRPr="00D42316">
        <w:rPr>
          <w:color w:val="000000"/>
        </w:rPr>
        <w:t>use</w:t>
      </w:r>
      <w:proofErr w:type="spellEnd"/>
      <w:r w:rsidRPr="00D42316">
        <w:rPr>
          <w:color w:val="000000"/>
        </w:rPr>
        <w:t xml:space="preserve"> of </w:t>
      </w:r>
      <w:proofErr w:type="spellStart"/>
      <w:r w:rsidRPr="00D42316">
        <w:rPr>
          <w:color w:val="000000"/>
        </w:rPr>
        <w:t>water</w:t>
      </w:r>
      <w:proofErr w:type="spellEnd"/>
      <w:r w:rsidRPr="00D42316">
        <w:rPr>
          <w:color w:val="000000"/>
        </w:rPr>
        <w:t>.</w:t>
      </w:r>
    </w:p>
    <w:p w14:paraId="39DF4693" w14:textId="77777777" w:rsidR="0017453B" w:rsidRPr="00D42316" w:rsidRDefault="0017453B" w:rsidP="0017453B">
      <w:pPr>
        <w:widowControl/>
        <w:pBdr>
          <w:top w:val="nil"/>
          <w:left w:val="nil"/>
          <w:bottom w:val="nil"/>
          <w:right w:val="nil"/>
          <w:between w:val="nil"/>
        </w:pBdr>
        <w:ind w:firstLine="360"/>
        <w:jc w:val="both"/>
        <w:rPr>
          <w:color w:val="000000"/>
        </w:rPr>
      </w:pPr>
    </w:p>
    <w:p w14:paraId="6EF99E85" w14:textId="791EDB46" w:rsidR="00F84AD5" w:rsidRDefault="00AC051C" w:rsidP="0017453B">
      <w:pPr>
        <w:widowControl/>
        <w:pBdr>
          <w:top w:val="nil"/>
          <w:left w:val="nil"/>
          <w:bottom w:val="nil"/>
          <w:right w:val="nil"/>
          <w:between w:val="nil"/>
        </w:pBdr>
        <w:jc w:val="both"/>
        <w:rPr>
          <w:color w:val="000000"/>
        </w:rPr>
      </w:pPr>
      <w:proofErr w:type="spellStart"/>
      <w:r w:rsidRPr="00D42316">
        <w:rPr>
          <w:b/>
          <w:bCs/>
          <w:color w:val="000000"/>
        </w:rPr>
        <w:t>Keywords</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Blue </w:t>
      </w:r>
      <w:proofErr w:type="spellStart"/>
      <w:r w:rsidRPr="00D42316">
        <w:rPr>
          <w:color w:val="000000"/>
        </w:rPr>
        <w:t>Taxation</w:t>
      </w:r>
      <w:proofErr w:type="spellEnd"/>
      <w:r w:rsidRPr="00D42316">
        <w:rPr>
          <w:color w:val="000000"/>
        </w:rPr>
        <w:t xml:space="preserve">, Financial Solutions, </w:t>
      </w:r>
      <w:proofErr w:type="spellStart"/>
      <w:r w:rsidRPr="00D42316">
        <w:rPr>
          <w:color w:val="000000"/>
        </w:rPr>
        <w:t>Environmentally</w:t>
      </w:r>
      <w:proofErr w:type="spellEnd"/>
      <w:r w:rsidRPr="00D42316">
        <w:rPr>
          <w:color w:val="000000"/>
        </w:rPr>
        <w:t xml:space="preserve"> </w:t>
      </w:r>
      <w:proofErr w:type="spellStart"/>
      <w:r w:rsidRPr="00D42316">
        <w:rPr>
          <w:color w:val="000000"/>
        </w:rPr>
        <w:t>Friendly</w:t>
      </w:r>
      <w:proofErr w:type="spellEnd"/>
      <w:r w:rsidRPr="00D42316">
        <w:rPr>
          <w:color w:val="000000"/>
        </w:rPr>
        <w:t xml:space="preserve"> </w:t>
      </w:r>
      <w:proofErr w:type="spellStart"/>
      <w:r w:rsidRPr="00D42316">
        <w:rPr>
          <w:color w:val="000000"/>
        </w:rPr>
        <w:t>Tax</w:t>
      </w:r>
      <w:proofErr w:type="spellEnd"/>
      <w:r w:rsidRPr="00D42316">
        <w:rPr>
          <w:color w:val="000000"/>
        </w:rPr>
        <w:t xml:space="preserve">, Financial Solutions </w:t>
      </w:r>
      <w:proofErr w:type="spellStart"/>
      <w:r w:rsidRPr="00D42316">
        <w:rPr>
          <w:color w:val="000000"/>
        </w:rPr>
        <w:t>to</w:t>
      </w:r>
      <w:proofErr w:type="spellEnd"/>
      <w:r w:rsidRPr="00D42316">
        <w:rPr>
          <w:color w:val="000000"/>
        </w:rPr>
        <w:t xml:space="preserve"> </w:t>
      </w:r>
      <w:proofErr w:type="spellStart"/>
      <w:r w:rsidRPr="00D42316">
        <w:rPr>
          <w:color w:val="000000"/>
        </w:rPr>
        <w:t>Consider</w:t>
      </w:r>
      <w:proofErr w:type="spellEnd"/>
      <w:r w:rsidRPr="00D42316">
        <w:rPr>
          <w:color w:val="000000"/>
        </w:rPr>
        <w:t xml:space="preserve"> </w:t>
      </w:r>
      <w:proofErr w:type="spellStart"/>
      <w:r w:rsidRPr="00D42316">
        <w:rPr>
          <w:color w:val="000000"/>
        </w:rPr>
        <w:t>to</w:t>
      </w:r>
      <w:proofErr w:type="spellEnd"/>
      <w:r w:rsidRPr="00D42316">
        <w:rPr>
          <w:color w:val="000000"/>
        </w:rPr>
        <w:t xml:space="preserve"> </w:t>
      </w:r>
      <w:proofErr w:type="spellStart"/>
      <w:r w:rsidRPr="00D42316">
        <w:rPr>
          <w:color w:val="000000"/>
        </w:rPr>
        <w:t>Protect</w:t>
      </w:r>
      <w:proofErr w:type="spellEnd"/>
      <w:r w:rsidRPr="00D42316">
        <w:rPr>
          <w:color w:val="000000"/>
        </w:rPr>
        <w:t xml:space="preserve"> </w:t>
      </w:r>
      <w:proofErr w:type="spellStart"/>
      <w:r w:rsidRPr="00D42316">
        <w:rPr>
          <w:color w:val="000000"/>
        </w:rPr>
        <w:t>Water</w:t>
      </w:r>
      <w:proofErr w:type="spellEnd"/>
      <w:r w:rsidRPr="00D42316">
        <w:rPr>
          <w:color w:val="000000"/>
        </w:rPr>
        <w:t xml:space="preserve"> </w:t>
      </w:r>
      <w:proofErr w:type="spellStart"/>
      <w:r w:rsidRPr="00D42316">
        <w:rPr>
          <w:color w:val="000000"/>
        </w:rPr>
        <w:t>Resources</w:t>
      </w:r>
      <w:proofErr w:type="spellEnd"/>
      <w:r w:rsidRPr="00D42316">
        <w:rPr>
          <w:color w:val="000000"/>
        </w:rPr>
        <w:t xml:space="preserve"> </w:t>
      </w:r>
      <w:proofErr w:type="spellStart"/>
      <w:r w:rsidRPr="00D42316">
        <w:rPr>
          <w:color w:val="000000"/>
        </w:rPr>
        <w:t>and</w:t>
      </w:r>
      <w:proofErr w:type="spellEnd"/>
      <w:r w:rsidRPr="00D42316">
        <w:rPr>
          <w:color w:val="000000"/>
        </w:rPr>
        <w:t xml:space="preserve"> Blue </w:t>
      </w:r>
      <w:proofErr w:type="spellStart"/>
      <w:r w:rsidRPr="00D42316">
        <w:rPr>
          <w:color w:val="000000"/>
        </w:rPr>
        <w:t>Taxation</w:t>
      </w:r>
      <w:proofErr w:type="spellEnd"/>
      <w:r w:rsidRPr="00D42316">
        <w:rPr>
          <w:color w:val="000000"/>
        </w:rPr>
        <w:t>.</w:t>
      </w:r>
    </w:p>
    <w:p w14:paraId="231B869B" w14:textId="77777777" w:rsidR="0017453B" w:rsidRPr="00D42316" w:rsidRDefault="0017453B" w:rsidP="0017453B">
      <w:pPr>
        <w:widowControl/>
        <w:pBdr>
          <w:top w:val="nil"/>
          <w:left w:val="nil"/>
          <w:bottom w:val="nil"/>
          <w:right w:val="nil"/>
          <w:between w:val="nil"/>
        </w:pBdr>
        <w:jc w:val="both"/>
        <w:rPr>
          <w:color w:val="000000"/>
        </w:rPr>
      </w:pPr>
    </w:p>
    <w:p w14:paraId="79434DEC" w14:textId="6346764F" w:rsidR="00F84AD5" w:rsidRPr="00D42316" w:rsidRDefault="00B4361D" w:rsidP="0017453B">
      <w:pPr>
        <w:widowControl/>
        <w:pBdr>
          <w:top w:val="nil"/>
          <w:left w:val="nil"/>
          <w:bottom w:val="nil"/>
          <w:right w:val="nil"/>
          <w:between w:val="nil"/>
        </w:pBdr>
        <w:jc w:val="both"/>
        <w:rPr>
          <w:b/>
          <w:color w:val="000000"/>
        </w:rPr>
      </w:pPr>
      <w:r w:rsidRPr="00D42316">
        <w:rPr>
          <w:b/>
          <w:color w:val="000000"/>
        </w:rPr>
        <w:t>Kaynakça</w:t>
      </w:r>
    </w:p>
    <w:p w14:paraId="26114F72" w14:textId="77777777" w:rsidR="00F84AD5" w:rsidRPr="00D42316" w:rsidRDefault="00AC051C">
      <w:pPr>
        <w:pStyle w:val="ListeParagraf"/>
        <w:widowControl/>
        <w:numPr>
          <w:ilvl w:val="0"/>
          <w:numId w:val="6"/>
        </w:numPr>
        <w:pBdr>
          <w:top w:val="nil"/>
          <w:left w:val="nil"/>
          <w:bottom w:val="nil"/>
          <w:right w:val="nil"/>
          <w:between w:val="nil"/>
        </w:pBdr>
        <w:jc w:val="both"/>
        <w:rPr>
          <w:color w:val="000000"/>
        </w:rPr>
      </w:pPr>
      <w:r w:rsidRPr="00D42316">
        <w:rPr>
          <w:color w:val="000000"/>
        </w:rPr>
        <w:t>AKDOĞAN Abdurrahman, Kamu Maliyesi, 22.b., Ankara: Gazi Kitabevi, 2021.</w:t>
      </w:r>
    </w:p>
    <w:p w14:paraId="012193DF" w14:textId="77777777" w:rsidR="00F84AD5" w:rsidRPr="00D42316" w:rsidRDefault="00AC051C">
      <w:pPr>
        <w:pStyle w:val="ListeParagraf"/>
        <w:widowControl/>
        <w:numPr>
          <w:ilvl w:val="0"/>
          <w:numId w:val="6"/>
        </w:numPr>
        <w:pBdr>
          <w:top w:val="nil"/>
          <w:left w:val="nil"/>
          <w:bottom w:val="nil"/>
          <w:right w:val="nil"/>
          <w:between w:val="nil"/>
        </w:pBdr>
        <w:jc w:val="both"/>
        <w:rPr>
          <w:color w:val="000000"/>
        </w:rPr>
      </w:pPr>
      <w:r w:rsidRPr="00D42316">
        <w:rPr>
          <w:color w:val="000000"/>
        </w:rPr>
        <w:t>AKDOĞAN Abdurrahman, Vergi Hukuku ve Türk Vergi Sistemi, 16.b., Ankara: Gazi Kitabevi, 2023.</w:t>
      </w:r>
    </w:p>
    <w:p w14:paraId="0032821F" w14:textId="77777777" w:rsidR="00F84AD5" w:rsidRPr="00D42316" w:rsidRDefault="00AC051C">
      <w:pPr>
        <w:pStyle w:val="ListeParagraf"/>
        <w:widowControl/>
        <w:numPr>
          <w:ilvl w:val="0"/>
          <w:numId w:val="6"/>
        </w:numPr>
        <w:pBdr>
          <w:top w:val="nil"/>
          <w:left w:val="nil"/>
          <w:bottom w:val="nil"/>
          <w:right w:val="nil"/>
          <w:between w:val="nil"/>
        </w:pBdr>
        <w:jc w:val="both"/>
        <w:rPr>
          <w:color w:val="000000"/>
        </w:rPr>
      </w:pPr>
      <w:r w:rsidRPr="00D42316">
        <w:rPr>
          <w:color w:val="000000"/>
        </w:rPr>
        <w:t>Meteoroloji Genel Müdürlüğü (2025).</w:t>
      </w:r>
    </w:p>
    <w:p w14:paraId="75935A28" w14:textId="4149B0CB" w:rsidR="00587C60" w:rsidRDefault="00AC051C">
      <w:pPr>
        <w:pStyle w:val="ListeParagraf"/>
        <w:widowControl/>
        <w:numPr>
          <w:ilvl w:val="0"/>
          <w:numId w:val="6"/>
        </w:numPr>
        <w:pBdr>
          <w:top w:val="nil"/>
          <w:left w:val="nil"/>
          <w:bottom w:val="nil"/>
          <w:right w:val="nil"/>
          <w:between w:val="nil"/>
        </w:pBdr>
        <w:jc w:val="both"/>
        <w:rPr>
          <w:color w:val="000000"/>
        </w:rPr>
      </w:pPr>
      <w:r w:rsidRPr="00D42316">
        <w:rPr>
          <w:color w:val="000000"/>
        </w:rPr>
        <w:t>ŞENYÜZ Doğan, YÜCE Mehmet, GERÇEK Adnan, Türk Vergi Sistemi, 18.b., Bursa: Ekin Basım Yayın Dağıtım, 2021.</w:t>
      </w:r>
    </w:p>
    <w:p w14:paraId="1BB24DF5" w14:textId="440C2663" w:rsidR="00963624" w:rsidRPr="00587C60" w:rsidRDefault="00587C60" w:rsidP="00587C60">
      <w:pPr>
        <w:autoSpaceDE/>
        <w:autoSpaceDN/>
        <w:rPr>
          <w:color w:val="000000"/>
        </w:rPr>
      </w:pPr>
      <w:r>
        <w:rPr>
          <w:color w:val="000000"/>
        </w:rPr>
        <w:br w:type="page"/>
      </w:r>
    </w:p>
    <w:p w14:paraId="6EC8122D" w14:textId="77777777" w:rsidR="00914DCC" w:rsidRPr="00214D5F" w:rsidRDefault="00914DCC" w:rsidP="004C7694">
      <w:pPr>
        <w:pStyle w:val="Tark"/>
      </w:pPr>
      <w:bookmarkStart w:id="58" w:name="_Toc192855169"/>
      <w:r w:rsidRPr="00214D5F">
        <w:lastRenderedPageBreak/>
        <w:t xml:space="preserve">Sınırda Karbon Düzenleme </w:t>
      </w:r>
      <w:proofErr w:type="spellStart"/>
      <w:r w:rsidRPr="00214D5F">
        <w:t>Mekanizması’nın</w:t>
      </w:r>
      <w:proofErr w:type="spellEnd"/>
      <w:r w:rsidRPr="00214D5F">
        <w:t xml:space="preserve"> Çin, Rusya ve Türkiye Açısından Karşılaştırmalı Analizi</w:t>
      </w:r>
      <w:bookmarkEnd w:id="58"/>
    </w:p>
    <w:p w14:paraId="0C6E4BC6" w14:textId="77777777" w:rsidR="00914DCC" w:rsidRPr="00214D5F" w:rsidRDefault="00914DCC" w:rsidP="0017453B"/>
    <w:p w14:paraId="7E5DB554" w14:textId="77777777" w:rsidR="00914DCC" w:rsidRPr="00214D5F" w:rsidRDefault="00914DCC" w:rsidP="0017453B">
      <w:pPr>
        <w:jc w:val="center"/>
      </w:pPr>
      <w:r w:rsidRPr="00214D5F">
        <w:t>Muhammet Ali Kazancı</w:t>
      </w:r>
    </w:p>
    <w:p w14:paraId="6C0265E1" w14:textId="77777777" w:rsidR="00914DCC" w:rsidRPr="00214D5F" w:rsidRDefault="00914DCC" w:rsidP="0017453B">
      <w:pPr>
        <w:jc w:val="center"/>
      </w:pPr>
      <w:r w:rsidRPr="00214D5F">
        <w:t xml:space="preserve">Yüksek Lisans Öğrencisi, İskenderun Teknik Üniversitesi, Ekonomi ve Finans </w:t>
      </w:r>
      <w:hyperlink r:id="rId113" w:history="1">
        <w:r w:rsidRPr="00214D5F">
          <w:t>m.kazanci.lee22@iste.edu.tr</w:t>
        </w:r>
      </w:hyperlink>
    </w:p>
    <w:p w14:paraId="330B4713" w14:textId="77777777" w:rsidR="00914DCC" w:rsidRPr="00214D5F" w:rsidRDefault="00914DCC" w:rsidP="0017453B">
      <w:pPr>
        <w:jc w:val="center"/>
      </w:pPr>
      <w:r w:rsidRPr="00214D5F">
        <w:t>0009-0000-0130-299X</w:t>
      </w:r>
    </w:p>
    <w:p w14:paraId="52B271C1" w14:textId="77777777" w:rsidR="00914DCC" w:rsidRPr="00214D5F" w:rsidRDefault="00914DCC" w:rsidP="0017453B">
      <w:pPr>
        <w:jc w:val="center"/>
      </w:pPr>
    </w:p>
    <w:p w14:paraId="22C2C864" w14:textId="77777777" w:rsidR="00914DCC" w:rsidRPr="00214D5F" w:rsidRDefault="00914DCC" w:rsidP="0017453B">
      <w:pPr>
        <w:jc w:val="center"/>
      </w:pPr>
      <w:r w:rsidRPr="00214D5F">
        <w:t xml:space="preserve">Yunus </w:t>
      </w:r>
      <w:proofErr w:type="spellStart"/>
      <w:r w:rsidRPr="00214D5F">
        <w:t>Açcı</w:t>
      </w:r>
      <w:proofErr w:type="spellEnd"/>
    </w:p>
    <w:p w14:paraId="258E5E8D" w14:textId="58A1A9FE" w:rsidR="00914DCC" w:rsidRPr="00214D5F" w:rsidRDefault="00914DCC" w:rsidP="0017453B">
      <w:pPr>
        <w:jc w:val="center"/>
      </w:pPr>
      <w:r w:rsidRPr="00214D5F">
        <w:t>Doçent Doktor, İskenderun Teknik Üniversitesi, Ekonomi</w:t>
      </w:r>
    </w:p>
    <w:p w14:paraId="61CDFFDE" w14:textId="77777777" w:rsidR="00914DCC" w:rsidRPr="00214D5F" w:rsidRDefault="00914DCC" w:rsidP="0017453B">
      <w:pPr>
        <w:jc w:val="center"/>
      </w:pPr>
      <w:hyperlink r:id="rId114" w:history="1">
        <w:r w:rsidRPr="00214D5F">
          <w:t>yunus.acci@iste.edu.tr</w:t>
        </w:r>
      </w:hyperlink>
    </w:p>
    <w:p w14:paraId="36DDCDC7" w14:textId="77777777" w:rsidR="00914DCC" w:rsidRPr="00214D5F" w:rsidRDefault="00914DCC" w:rsidP="0017453B">
      <w:pPr>
        <w:jc w:val="center"/>
      </w:pPr>
      <w:r w:rsidRPr="00214D5F">
        <w:t>0000-0002-3385-9087</w:t>
      </w:r>
    </w:p>
    <w:p w14:paraId="762C14DF" w14:textId="77777777" w:rsidR="00914DCC" w:rsidRPr="00214D5F" w:rsidRDefault="00914DCC" w:rsidP="0017453B">
      <w:pPr>
        <w:jc w:val="center"/>
      </w:pPr>
    </w:p>
    <w:p w14:paraId="14299717" w14:textId="77777777" w:rsidR="00914DCC" w:rsidRPr="00214D5F" w:rsidRDefault="00914DCC" w:rsidP="0017453B">
      <w:pPr>
        <w:jc w:val="center"/>
      </w:pPr>
      <w:r w:rsidRPr="00214D5F">
        <w:rPr>
          <w:b/>
          <w:bCs/>
        </w:rPr>
        <w:t>Özet</w:t>
      </w:r>
    </w:p>
    <w:p w14:paraId="1A960C5F" w14:textId="4D034898" w:rsidR="00914DCC" w:rsidRDefault="00914DCC" w:rsidP="0017453B">
      <w:pPr>
        <w:jc w:val="both"/>
      </w:pPr>
      <w:r w:rsidRPr="00214D5F">
        <w:t xml:space="preserve">Küresel ısınma ve iklim değişikliği ile mücadele uzun yıllardır uluslararası gündemin önemli başlıkları olarak çeşitli platformlarda ele alınmış ve anlaşmalar imzalanmıştır. Avrupa Birliği (AB) ise bu konuda ortaya koyduğu çabayı bir adım ileriye taşıyarak 2019 yılında Avrupa Yeşil Mutabakatı (AYM) adıyla yeni stratejisini duyurmuştur. Buna göre AB’nin tüm politikaları iklim değişikliği ekseninde yeniden şekillendirilecek, başta enerji ve sanayi olmak üzere; ulaştırma, finans, tarım gibi çeşitli alanlarda 2050 yılına kadar iklim-nötr ilk kıta olmak için kritik düzenlemeler yapılacaktır. Bu hedefler doğrultusunda Yeşil </w:t>
      </w:r>
      <w:proofErr w:type="spellStart"/>
      <w:r w:rsidRPr="00214D5F">
        <w:t>Mutabakat’ın</w:t>
      </w:r>
      <w:proofErr w:type="spellEnd"/>
      <w:r w:rsidRPr="00214D5F">
        <w:t xml:space="preserve"> en dikkat çeken konularının başında gelen Sınırda Karbon Düzenleme Mekanizması (SKDM) 2021 yılında açıklanmıştır. Yeni mekanizma ile AB’ye ihraç edilmek istenen ürünlerin üretim sürecinde neden olduğu emisyon miktarı hesaplanacaktır. Üretimin yapıldığı ülkede ihraç edilmek istenen ürünle ilgili herhangi bir emisyon ticaret sistemi (ETS) veya farklı bir emisyon vergilendirmesine tabi işlemin mevcut olup olmadığı dikkate alınarak, AB ETS (Avrupa Birliği Emisyon Ticaret Sistemi) ile uygun bir mali yükümlülük getirilecektir. Dolayısıyla hâlihazırda AB ETS yükümlülüklerinden kaçınmak amacıyla üretim hatlarını birlik ülkeleri dışına taşıyan firmaların neden olduğu karbon kaçağı riskinin de azalması beklenmektedir. Böylece AB diğer ülkeleri </w:t>
      </w:r>
      <w:proofErr w:type="spellStart"/>
      <w:r w:rsidRPr="00214D5F">
        <w:t>karbonsuzlaşmaya</w:t>
      </w:r>
      <w:proofErr w:type="spellEnd"/>
      <w:r w:rsidRPr="00214D5F">
        <w:t xml:space="preserve"> teşvik etmekle birlikte kendi </w:t>
      </w:r>
      <w:proofErr w:type="spellStart"/>
      <w:r w:rsidRPr="00214D5F">
        <w:t>ETS’nin</w:t>
      </w:r>
      <w:proofErr w:type="spellEnd"/>
      <w:r w:rsidRPr="00214D5F">
        <w:t xml:space="preserve"> rekabet bozucu etkilerini en aza indirmeyi hedeflemektedir. SKDM kapsamında 2023 yılı itibarıyla geçiş dönemi başlamış, karbon yoğun üretim yapılan çimento, alüminyum, gübre, elektrik, hidrojen ve demir-çelik sektörleri için yalnızca raporlama zorunluluğu getirilmiştir. 2026 yılında ise sektörlerin kapsamı genişletilerek mali yükümlülükler devreye girecek ve tam uygulama dönemine geçilecektir. Bölgesel çapta sadece AB’yi ilgilendiren önlemlerin aksine </w:t>
      </w:r>
      <w:proofErr w:type="spellStart"/>
      <w:r w:rsidRPr="00214D5F">
        <w:t>SKDM’nin</w:t>
      </w:r>
      <w:proofErr w:type="spellEnd"/>
      <w:r w:rsidRPr="00214D5F">
        <w:t xml:space="preserve"> uluslararası ticareti etkileme potansiyeli AB ile yüksek ticaret hacmine sahip Çin, Rusya ve Türkiye gibi ülkeler açısından kritik öneme sahiptir. Bildiride bu ülkeler inceleme konusu olarak belirlenmiş, </w:t>
      </w:r>
      <w:proofErr w:type="spellStart"/>
      <w:r w:rsidRPr="00214D5F">
        <w:t>SKDM’nin</w:t>
      </w:r>
      <w:proofErr w:type="spellEnd"/>
      <w:r w:rsidRPr="00214D5F">
        <w:t xml:space="preserve"> bu ülkelere etkisi literatür taraması yapılarak karşılaştırılmıştır. Çin ulusal emisyon ticaret sistemine geçiş sağlarken Rusya’da henüz yerel emisyon ticaret sistemi pilot olarak uygulanmaktadır. Türkiye ise kendi emisyon ticaret sistemini geliştirme aşamasında bulunmaktadır. Öte yandan özellikle Rusya ve Çin’in karbon yoğunluğu yüksek üretim miktarları dikkat çekmektedir. Bu açılardan bakıldığında çalışma, henüz yeni olan SKDM sürecinin daha iyi anlaşılmasını ve Türkiye’nin AB ile olan ticarette rakipleriyle farklılıklarının ortaya konulmasını amaçlamaktadır.</w:t>
      </w:r>
    </w:p>
    <w:p w14:paraId="75ECC776" w14:textId="77777777" w:rsidR="0017453B" w:rsidRDefault="0017453B" w:rsidP="0017453B">
      <w:pPr>
        <w:jc w:val="both"/>
      </w:pPr>
    </w:p>
    <w:p w14:paraId="09656923" w14:textId="60BD1A2E" w:rsidR="00914DCC" w:rsidRPr="00214D5F" w:rsidRDefault="000C6508" w:rsidP="0017453B">
      <w:pPr>
        <w:jc w:val="both"/>
      </w:pPr>
      <w:r>
        <w:rPr>
          <w:b/>
        </w:rPr>
        <w:t>Anahtar Kelimeler</w:t>
      </w:r>
      <w:r w:rsidR="00914DCC" w:rsidRPr="00214D5F">
        <w:rPr>
          <w:b/>
        </w:rPr>
        <w:t xml:space="preserve">: </w:t>
      </w:r>
      <w:r w:rsidR="00914DCC" w:rsidRPr="00214D5F">
        <w:t xml:space="preserve">İklim Değişikliği, Emisyon Ticaret Sistemi, Karbon Kaçağı, Avrupa Yeşil </w:t>
      </w:r>
      <w:r w:rsidR="00914DCC" w:rsidRPr="00214D5F">
        <w:lastRenderedPageBreak/>
        <w:t>Mutabakatı</w:t>
      </w:r>
    </w:p>
    <w:p w14:paraId="127F2847" w14:textId="77777777" w:rsidR="00914DCC" w:rsidRPr="00214D5F" w:rsidRDefault="00914DCC" w:rsidP="0017453B">
      <w:pPr>
        <w:ind w:firstLine="360"/>
        <w:rPr>
          <w:b/>
          <w:bCs/>
          <w:iCs/>
          <w:kern w:val="2"/>
          <w14:ligatures w14:val="standardContextual"/>
        </w:rPr>
      </w:pPr>
    </w:p>
    <w:p w14:paraId="3338E6FD" w14:textId="77777777" w:rsidR="00914DCC" w:rsidRPr="00164C0C" w:rsidRDefault="00914DCC" w:rsidP="0017453B">
      <w:pPr>
        <w:pStyle w:val="Balk2"/>
        <w:spacing w:before="0" w:after="0"/>
        <w:rPr>
          <w:rFonts w:ascii="Times New Roman" w:eastAsia="Times New Roman" w:hAnsi="Times New Roman" w:cs="Times New Roman"/>
          <w:b/>
          <w:color w:val="auto"/>
          <w:sz w:val="24"/>
          <w:szCs w:val="24"/>
        </w:rPr>
      </w:pPr>
      <w:r w:rsidRPr="00164C0C">
        <w:rPr>
          <w:rFonts w:ascii="Times New Roman" w:eastAsia="Times New Roman" w:hAnsi="Times New Roman" w:cs="Times New Roman"/>
          <w:b/>
          <w:color w:val="auto"/>
          <w:sz w:val="24"/>
          <w:szCs w:val="24"/>
        </w:rPr>
        <w:t>GİRİŞ</w:t>
      </w:r>
    </w:p>
    <w:p w14:paraId="29023E6B" w14:textId="5F042D86" w:rsidR="00914DCC" w:rsidRDefault="00914DCC" w:rsidP="0017453B">
      <w:pPr>
        <w:jc w:val="both"/>
      </w:pPr>
      <w:r w:rsidRPr="00214D5F">
        <w:t xml:space="preserve">Avrupa </w:t>
      </w:r>
      <w:proofErr w:type="gramStart"/>
      <w:r w:rsidRPr="00214D5F">
        <w:t>Birliği(</w:t>
      </w:r>
      <w:proofErr w:type="gramEnd"/>
      <w:r w:rsidRPr="00214D5F">
        <w:t xml:space="preserve">AB) iklim değişikliği kaygılarının bir sonucu olarak 2005 yılında Emisyon Ticaret Sistemini(ETS) </w:t>
      </w:r>
      <w:r>
        <w:t>kurmuştur.</w:t>
      </w:r>
      <w:r w:rsidRPr="00214D5F">
        <w:t xml:space="preserve"> </w:t>
      </w:r>
      <w:r>
        <w:t>Bu sistemle birlikte AB sınırları</w:t>
      </w:r>
      <w:r w:rsidRPr="00214D5F">
        <w:t xml:space="preserve"> içerisinde </w:t>
      </w:r>
      <w:r>
        <w:t xml:space="preserve">yapılan üretim sonucu </w:t>
      </w:r>
      <w:r w:rsidRPr="00214D5F">
        <w:t xml:space="preserve">ortaya </w:t>
      </w:r>
      <w:r>
        <w:t xml:space="preserve">çıkan </w:t>
      </w:r>
      <w:r w:rsidRPr="00214D5F">
        <w:t>karbon salı</w:t>
      </w:r>
      <w:r>
        <w:t>nımlarının daha önceden alınmış</w:t>
      </w:r>
      <w:r w:rsidRPr="00214D5F">
        <w:t xml:space="preserve"> olan karbon sertifikaları </w:t>
      </w:r>
      <w:r>
        <w:t>vasıtasıyla bir tarife üzerinden ücretlendirilmesi</w:t>
      </w:r>
      <w:r w:rsidRPr="00214D5F">
        <w:t xml:space="preserve"> amaçlamıştır. </w:t>
      </w:r>
      <w:r>
        <w:t xml:space="preserve">Diğer karbon vergilendirme yöntemlerine göre daha karmaşık bir yapısı bulunan </w:t>
      </w:r>
      <w:r w:rsidRPr="00214D5F">
        <w:t>ETS,</w:t>
      </w:r>
      <w:r w:rsidRPr="00D0697D">
        <w:t xml:space="preserve"> </w:t>
      </w:r>
      <w:r w:rsidRPr="00214D5F">
        <w:t>karbon salınımının yıl içerisinde sektör</w:t>
      </w:r>
      <w:r>
        <w:t xml:space="preserve"> bazında veya kıta</w:t>
      </w:r>
      <w:r w:rsidRPr="00214D5F">
        <w:t xml:space="preserve"> genelinde daha önceden belirlenen sınırı</w:t>
      </w:r>
      <w:r>
        <w:t xml:space="preserve">n altında olması için firmaların sertifika satın alması ve bu şekilde sağlanan izinle üretim yapmasına </w:t>
      </w:r>
      <w:proofErr w:type="gramStart"/>
      <w:r>
        <w:t>imkan</w:t>
      </w:r>
      <w:proofErr w:type="gramEnd"/>
      <w:r>
        <w:t xml:space="preserve"> tanımaktadır</w:t>
      </w:r>
      <w:r w:rsidRPr="00214D5F">
        <w:t>.</w:t>
      </w:r>
      <w:sdt>
        <w:sdtPr>
          <w:id w:val="904570112"/>
          <w:citation/>
        </w:sdtPr>
        <w:sdtContent>
          <w:r w:rsidRPr="00214D5F">
            <w:fldChar w:fldCharType="begin"/>
          </w:r>
          <w:r w:rsidRPr="00214D5F">
            <w:instrText xml:space="preserve">CITATION Int15 \l 1055 </w:instrText>
          </w:r>
          <w:r w:rsidRPr="00214D5F">
            <w:fldChar w:fldCharType="separate"/>
          </w:r>
          <w:r>
            <w:rPr>
              <w:noProof/>
            </w:rPr>
            <w:t xml:space="preserve"> </w:t>
          </w:r>
          <w:r w:rsidRPr="00AB0519">
            <w:rPr>
              <w:noProof/>
            </w:rPr>
            <w:t>(International Carbon Action Partnership (ICAP), 2015)</w:t>
          </w:r>
          <w:r w:rsidRPr="00214D5F">
            <w:fldChar w:fldCharType="end"/>
          </w:r>
        </w:sdtContent>
      </w:sdt>
      <w:r w:rsidRPr="00214D5F">
        <w:t xml:space="preserve">. Bununla birlikte, 2005 yılından </w:t>
      </w:r>
      <w:proofErr w:type="gramStart"/>
      <w:r w:rsidRPr="00214D5F">
        <w:t>bu güne</w:t>
      </w:r>
      <w:proofErr w:type="gramEnd"/>
      <w:r w:rsidRPr="00214D5F">
        <w:t xml:space="preserve"> AB </w:t>
      </w:r>
      <w:proofErr w:type="spellStart"/>
      <w:r w:rsidRPr="00214D5F">
        <w:t>ETS’nin</w:t>
      </w:r>
      <w:proofErr w:type="spellEnd"/>
      <w:r w:rsidRPr="00214D5F">
        <w:t xml:space="preserve"> karbon kaçağını engelleyici bir yapıda bulunmaması her geçen yıl daha da belirgin hale gelmiş olup, bu durum yeni vergileme sistemleri üzerine çalışılmasına neden olmuştur.</w:t>
      </w:r>
    </w:p>
    <w:p w14:paraId="1733B1D9" w14:textId="77777777" w:rsidR="0017453B" w:rsidRPr="00214D5F" w:rsidRDefault="0017453B" w:rsidP="0017453B">
      <w:pPr>
        <w:jc w:val="both"/>
      </w:pPr>
    </w:p>
    <w:p w14:paraId="562165C9" w14:textId="77777777" w:rsidR="00914DCC" w:rsidRDefault="00914DCC" w:rsidP="0017453B">
      <w:pPr>
        <w:jc w:val="both"/>
      </w:pPr>
      <w:r w:rsidRPr="00214D5F">
        <w:t>AB</w:t>
      </w:r>
      <w:r>
        <w:t xml:space="preserve">, </w:t>
      </w:r>
      <w:r w:rsidRPr="00214D5F">
        <w:t>11</w:t>
      </w:r>
      <w:r>
        <w:t xml:space="preserve"> Aralık 2019 tarihinde açıklanmış olan</w:t>
      </w:r>
      <w:r w:rsidRPr="00214D5F">
        <w:t xml:space="preserve"> Avrupa Yeşil Mutabakatı (AYM) ile, iklim hedeflerine ulaşmak için yeni bir büyüme stratejisi benimseyeceğini ve tüm politikalarını </w:t>
      </w:r>
      <w:r>
        <w:t xml:space="preserve">buna yönelik olarak </w:t>
      </w:r>
      <w:r w:rsidRPr="00214D5F">
        <w:t xml:space="preserve">yeniden şekillendireceğini </w:t>
      </w:r>
      <w:r>
        <w:t>belirtmiştir</w:t>
      </w:r>
      <w:r w:rsidRPr="00214D5F">
        <w:t xml:space="preserve">. 2050 yılında iklim-nötr ilk kıta olma hedefi ortaya konularak; sanayi, finans, enerji, ulaştırma ve tarım gibi çeşitli alanlar başta olmak üzere neredeyse tüm politikalar için kapsamlı değişiklikler öngören Yeşil Mutabakat AB’nin en büyük girişimlerinden birisi olarak görülmektedir </w:t>
      </w:r>
      <w:sdt>
        <w:sdtPr>
          <w:id w:val="-1801446079"/>
          <w:citation/>
        </w:sdtPr>
        <w:sdtContent>
          <w:r w:rsidRPr="00214D5F">
            <w:fldChar w:fldCharType="begin"/>
          </w:r>
          <w:r w:rsidRPr="00214D5F">
            <w:instrText xml:space="preserve"> CITATION TCT231 \l 1055 </w:instrText>
          </w:r>
          <w:r w:rsidRPr="00214D5F">
            <w:fldChar w:fldCharType="separate"/>
          </w:r>
          <w:r w:rsidRPr="00AB0519">
            <w:rPr>
              <w:noProof/>
            </w:rPr>
            <w:t>(T.C. Ticaret Bakanlığı, 2023)</w:t>
          </w:r>
          <w:r w:rsidRPr="00214D5F">
            <w:fldChar w:fldCharType="end"/>
          </w:r>
        </w:sdtContent>
      </w:sdt>
      <w:r w:rsidRPr="00214D5F">
        <w:t>.</w:t>
      </w:r>
    </w:p>
    <w:p w14:paraId="227D6956" w14:textId="77777777" w:rsidR="0017453B" w:rsidRPr="00214D5F" w:rsidRDefault="0017453B" w:rsidP="0017453B">
      <w:pPr>
        <w:jc w:val="both"/>
      </w:pPr>
    </w:p>
    <w:p w14:paraId="5A4AC4D5" w14:textId="77777777" w:rsidR="00914DCC" w:rsidRDefault="00914DCC" w:rsidP="0017453B">
      <w:pPr>
        <w:jc w:val="both"/>
      </w:pPr>
      <w:r w:rsidRPr="00214D5F">
        <w:t>2021 yılında açıklanan ve AYM çerçevesinde uygulanması planlanan Sınırda Karbon Düzenleme Mekanizması (SKDM) ise doğrudan uluslararası ticareti etkilemesi sebebiyle Yeşil Mutabakatın en dikkat çeken konusu olmuştur. SKDM, emisyon salınımlarına limit getirilen ülkelerden bu konuda daha serbest ya da herhangi bir kısıtlamada bulunmayan ülkelere doğru yatırımların kaymasını en aza indirerek Avrupa Emisyon Ticareti Sistemi'nin aksaklıklarını giderme amacı taşımaktadır. Ancak, bütün bunları yaparken sürdürülebilirliği ve rekabetin desteklenmesi büyük önem arz etmektedir.</w:t>
      </w:r>
    </w:p>
    <w:p w14:paraId="458B6749" w14:textId="77777777" w:rsidR="0017453B" w:rsidRPr="00214D5F" w:rsidRDefault="0017453B" w:rsidP="0017453B">
      <w:pPr>
        <w:jc w:val="both"/>
      </w:pPr>
    </w:p>
    <w:p w14:paraId="016E000A" w14:textId="6462E540" w:rsidR="00914DCC" w:rsidRDefault="00914DCC" w:rsidP="0017453B">
      <w:pPr>
        <w:jc w:val="both"/>
      </w:pPr>
      <w:r w:rsidRPr="00214D5F">
        <w:t xml:space="preserve">Sınırda Karbon Düzenleme Mekanizması, Avrupa Birliği ülkelerine ihracat yapan Türkiye ve diğer ülkeler için kritik önem ihtiva etmektedir. SKDM kapsamında AB sınırından girecek ürünler üretim aşamasında neden olunan karbon salınımları üzerinden fiyatlandırılacak olup eğer üretimin yapıldığı ülkelerde mevcut bir ETS </w:t>
      </w:r>
      <w:proofErr w:type="gramStart"/>
      <w:r w:rsidRPr="00214D5F">
        <w:t>yada</w:t>
      </w:r>
      <w:proofErr w:type="gramEnd"/>
      <w:r w:rsidRPr="00214D5F">
        <w:t xml:space="preserve"> fiyatlandırma mekanizması bulunuyorsa ihracatçı ülkede tahsil edilen ücret AB emisyon fiyatlarından düşülecektir </w:t>
      </w:r>
      <w:sdt>
        <w:sdtPr>
          <w:id w:val="1464234140"/>
          <w:citation/>
        </w:sdtPr>
        <w:sdtContent>
          <w:r w:rsidRPr="00214D5F">
            <w:fldChar w:fldCharType="begin"/>
          </w:r>
          <w:r w:rsidRPr="00214D5F">
            <w:instrText xml:space="preserve"> CITATION Eur22 \l 1055 </w:instrText>
          </w:r>
          <w:r w:rsidRPr="00214D5F">
            <w:fldChar w:fldCharType="separate"/>
          </w:r>
          <w:r w:rsidRPr="00AB0519">
            <w:rPr>
              <w:noProof/>
            </w:rPr>
            <w:t>(European Council, 2022)</w:t>
          </w:r>
          <w:r w:rsidRPr="00214D5F">
            <w:fldChar w:fldCharType="end"/>
          </w:r>
        </w:sdtContent>
      </w:sdt>
      <w:r w:rsidRPr="00214D5F">
        <w:t>. Bu doğrultuda, Türkiye gibi emisyon ticaret sistemine sahip olmayan ülkeler kendi sistemlerini kurarak AB’ye ödemek zorunda kalacakları maliyetin büyük bir bölümünün ülke içerisinde kalmasını sağlayabileceklerdir.</w:t>
      </w:r>
    </w:p>
    <w:p w14:paraId="1AF65EBA" w14:textId="77777777" w:rsidR="0017453B" w:rsidRPr="00214D5F" w:rsidRDefault="0017453B" w:rsidP="0017453B">
      <w:pPr>
        <w:jc w:val="both"/>
      </w:pPr>
    </w:p>
    <w:p w14:paraId="74043F3E" w14:textId="77777777" w:rsidR="00914DCC" w:rsidRDefault="00914DCC" w:rsidP="0017453B">
      <w:pPr>
        <w:jc w:val="both"/>
      </w:pPr>
      <w:r w:rsidRPr="00214D5F">
        <w:t xml:space="preserve">Bu bildiride Sınırda Karbon Düzenleme </w:t>
      </w:r>
      <w:proofErr w:type="spellStart"/>
      <w:r w:rsidRPr="00214D5F">
        <w:t>Mekanizması’nın</w:t>
      </w:r>
      <w:proofErr w:type="spellEnd"/>
      <w:r w:rsidRPr="00214D5F">
        <w:t xml:space="preserve"> AB’nin en büyük ticaret ortaklarından olan Çin ve Rusya’ya olası etkisi üzerine yapılan akademik çalışmalar literatür araştırmasıyla incelenmiştir. Ayrıca </w:t>
      </w:r>
      <w:proofErr w:type="spellStart"/>
      <w:r w:rsidRPr="00214D5F">
        <w:t>SKDM’nin</w:t>
      </w:r>
      <w:proofErr w:type="spellEnd"/>
      <w:r w:rsidRPr="00214D5F">
        <w:t xml:space="preserve"> Türkiye üzerine olası etkilerinin analiz edildiği çalışmalar da incelenerek üç ülkenin SKDM karşısındaki durumu</w:t>
      </w:r>
      <w:r>
        <w:t xml:space="preserve"> nitel analizle</w:t>
      </w:r>
      <w:r w:rsidRPr="00214D5F">
        <w:t xml:space="preserve"> açıklanmaya çalışılmıştır.</w:t>
      </w:r>
      <w:r>
        <w:t xml:space="preserve"> </w:t>
      </w:r>
      <w:r w:rsidRPr="00214D5F">
        <w:t xml:space="preserve">Bu şekilde </w:t>
      </w:r>
      <w:proofErr w:type="spellStart"/>
      <w:r w:rsidRPr="00214D5F">
        <w:t>SKDM’nin</w:t>
      </w:r>
      <w:proofErr w:type="spellEnd"/>
      <w:r w:rsidRPr="00214D5F">
        <w:t xml:space="preserve"> Türkiye’nin AB ile olan ticaretteki rakiplerine karşı olan avantaj ve dezavantajlarının ortaya konulması amaçlanmıştır. Çalışma bu yönüyle ülke bazında yapılan diğer akademik araştırmalardan farklı bir perspektif sunmaktadır.</w:t>
      </w:r>
    </w:p>
    <w:p w14:paraId="32D7EBFA" w14:textId="77777777" w:rsidR="0017453B" w:rsidRPr="00214D5F" w:rsidRDefault="0017453B" w:rsidP="0017453B">
      <w:pPr>
        <w:jc w:val="both"/>
      </w:pPr>
    </w:p>
    <w:p w14:paraId="61FB35E4" w14:textId="1E516729" w:rsidR="00914DCC" w:rsidRPr="00164C0C" w:rsidRDefault="003B45CB" w:rsidP="003B45CB">
      <w:pPr>
        <w:pStyle w:val="Balk2"/>
        <w:spacing w:before="0" w:after="0"/>
        <w:rPr>
          <w:rFonts w:ascii="Times New Roman" w:eastAsia="Times New Roman" w:hAnsi="Times New Roman" w:cs="Times New Roman"/>
          <w:b/>
          <w:color w:val="auto"/>
          <w:sz w:val="24"/>
          <w:szCs w:val="24"/>
        </w:rPr>
      </w:pPr>
      <w:r>
        <w:rPr>
          <w:rFonts w:ascii="Times New Roman" w:eastAsia="Times New Roman" w:hAnsi="Times New Roman" w:cs="Times New Roman"/>
          <w:b/>
          <w:color w:val="auto"/>
          <w:sz w:val="24"/>
          <w:szCs w:val="24"/>
        </w:rPr>
        <w:lastRenderedPageBreak/>
        <w:t>1.</w:t>
      </w:r>
      <w:r w:rsidR="00914DCC" w:rsidRPr="00164C0C">
        <w:rPr>
          <w:rFonts w:ascii="Times New Roman" w:eastAsia="Times New Roman" w:hAnsi="Times New Roman" w:cs="Times New Roman"/>
          <w:b/>
          <w:color w:val="auto"/>
          <w:sz w:val="24"/>
          <w:szCs w:val="24"/>
        </w:rPr>
        <w:t>Emisyon Ticaret Sistemi (ETS)</w:t>
      </w:r>
    </w:p>
    <w:p w14:paraId="7D4F67AE" w14:textId="77777777" w:rsidR="00914DCC" w:rsidRDefault="00914DCC" w:rsidP="0017453B">
      <w:pPr>
        <w:shd w:val="clear" w:color="auto" w:fill="FFFFFF"/>
        <w:jc w:val="both"/>
        <w:rPr>
          <w:rFonts w:ascii="Arial" w:hAnsi="Arial" w:cs="Arial"/>
          <w:color w:val="1F1F1F"/>
        </w:rPr>
      </w:pPr>
      <w:r w:rsidRPr="00214D5F">
        <w:t xml:space="preserve">Emisyon Ticareti gibi market sistemlerinin temel dayanağı Ronald </w:t>
      </w:r>
      <w:proofErr w:type="spellStart"/>
      <w:r w:rsidRPr="00214D5F">
        <w:t>Coase</w:t>
      </w:r>
      <w:proofErr w:type="spellEnd"/>
      <w:r w:rsidRPr="00214D5F">
        <w:t xml:space="preserve"> tarafından öne </w:t>
      </w:r>
      <w:proofErr w:type="gramStart"/>
      <w:r w:rsidRPr="00214D5F">
        <w:t>sürülen  “</w:t>
      </w:r>
      <w:proofErr w:type="spellStart"/>
      <w:proofErr w:type="gramEnd"/>
      <w:r w:rsidRPr="00214D5F">
        <w:t>Coase</w:t>
      </w:r>
      <w:proofErr w:type="spellEnd"/>
      <w:r w:rsidRPr="00214D5F">
        <w:t xml:space="preserve"> Teoremi” olarak görülebilir </w:t>
      </w:r>
      <w:sdt>
        <w:sdtPr>
          <w:id w:val="-840003413"/>
          <w:citation/>
        </w:sdtPr>
        <w:sdtContent>
          <w:r w:rsidRPr="00214D5F">
            <w:fldChar w:fldCharType="begin"/>
          </w:r>
          <w:r w:rsidRPr="00214D5F">
            <w:instrText xml:space="preserve"> CITATION Uyd08 \l 1055 </w:instrText>
          </w:r>
          <w:r w:rsidRPr="00214D5F">
            <w:fldChar w:fldCharType="separate"/>
          </w:r>
          <w:r w:rsidRPr="00AB0519">
            <w:rPr>
              <w:noProof/>
            </w:rPr>
            <w:t>(Uyduranoğlu-Öktem, 2008)</w:t>
          </w:r>
          <w:r w:rsidRPr="00214D5F">
            <w:fldChar w:fldCharType="end"/>
          </w:r>
        </w:sdtContent>
      </w:sdt>
      <w:r w:rsidRPr="00214D5F">
        <w:t xml:space="preserve">. </w:t>
      </w:r>
      <w:proofErr w:type="spellStart"/>
      <w:r w:rsidRPr="00214D5F">
        <w:t>Coase</w:t>
      </w:r>
      <w:proofErr w:type="spellEnd"/>
      <w:r w:rsidRPr="00214D5F">
        <w:t xml:space="preserve"> “Sosyal Maliyet Problemi” isimli makalesinde çevrede bulunan kaynakların kullanımı sonucu ortaya çıkan sorunların sorumluluğunu kullanıcılara yükleyerek çözülebileceğini savunmuştur. Çevre kirliliğini önlemek veya azaltmak amacıyla kamu otoritesi tarafından yapılan yasal düzenlemeler </w:t>
      </w:r>
      <w:proofErr w:type="gramStart"/>
      <w:r w:rsidRPr="00214D5F">
        <w:t>ile birlikte</w:t>
      </w:r>
      <w:proofErr w:type="gramEnd"/>
      <w:r w:rsidRPr="00214D5F">
        <w:t xml:space="preserve">, tesislere emisyon izinleri, yani bir nevi mülkiyet hakkı tanınmaktadır. Bu emisyon izinleri, yine hukuki düzenlemeler çerçevesinde devredilebilir niteliktedir. Bu mekanizma sayesinde, tesisler, belirlenen kirlilik sınırlarının altında kalmak için en düşük maliyetle emisyonlarını azaltmayı hedefler </w:t>
      </w:r>
      <w:sdt>
        <w:sdtPr>
          <w:id w:val="-2101475629"/>
          <w:citation/>
        </w:sdtPr>
        <w:sdtContent>
          <w:r w:rsidRPr="00214D5F">
            <w:fldChar w:fldCharType="begin"/>
          </w:r>
          <w:r w:rsidRPr="00214D5F">
            <w:instrText xml:space="preserve"> CITATION Coa60 \l 1055 </w:instrText>
          </w:r>
          <w:r w:rsidRPr="00214D5F">
            <w:fldChar w:fldCharType="separate"/>
          </w:r>
          <w:r w:rsidRPr="00AB0519">
            <w:rPr>
              <w:noProof/>
            </w:rPr>
            <w:t>(Coase, 1960)</w:t>
          </w:r>
          <w:r w:rsidRPr="00214D5F">
            <w:fldChar w:fldCharType="end"/>
          </w:r>
        </w:sdtContent>
      </w:sdt>
      <w:r w:rsidRPr="00214D5F">
        <w:rPr>
          <w:rFonts w:ascii="Arial" w:hAnsi="Arial" w:cs="Arial"/>
          <w:color w:val="1F1F1F"/>
        </w:rPr>
        <w:t>.</w:t>
      </w:r>
    </w:p>
    <w:p w14:paraId="1AB8D613" w14:textId="77777777" w:rsidR="0017453B" w:rsidRPr="00214D5F" w:rsidRDefault="0017453B" w:rsidP="0017453B">
      <w:pPr>
        <w:shd w:val="clear" w:color="auto" w:fill="FFFFFF"/>
        <w:jc w:val="both"/>
        <w:rPr>
          <w:rFonts w:ascii="Arial" w:hAnsi="Arial" w:cs="Arial"/>
          <w:color w:val="1F1F1F"/>
        </w:rPr>
      </w:pPr>
    </w:p>
    <w:p w14:paraId="6A498814" w14:textId="77777777" w:rsidR="00914DCC" w:rsidRDefault="00914DCC" w:rsidP="0017453B">
      <w:pPr>
        <w:shd w:val="clear" w:color="auto" w:fill="FFFFFF"/>
        <w:jc w:val="both"/>
      </w:pPr>
      <w:r w:rsidRPr="00214D5F">
        <w:t xml:space="preserve">Sistemin fikri mülkiyeti </w:t>
      </w:r>
      <w:proofErr w:type="spellStart"/>
      <w:r w:rsidRPr="00214D5F">
        <w:t>Coase’ye</w:t>
      </w:r>
      <w:proofErr w:type="spellEnd"/>
      <w:r w:rsidRPr="00214D5F">
        <w:t xml:space="preserve"> ait olmasına rağmen ilk uygulama önerisi </w:t>
      </w:r>
      <w:proofErr w:type="spellStart"/>
      <w:r w:rsidRPr="00214D5F">
        <w:t>Dales’e</w:t>
      </w:r>
      <w:proofErr w:type="spellEnd"/>
      <w:r w:rsidRPr="00214D5F">
        <w:t xml:space="preserve"> aittir. Konu üzerine 1972 yılında Montgomery tarafından yapılan çalışmada ise kirlilik sertifikaları tam rekabet piyasası için statik bir model kullanılarak çevresel hedeflere karşı maliyetleri en aza indirebilecek dengenin varlığı ortaya konmuştur</w:t>
      </w:r>
      <w:sdt>
        <w:sdtPr>
          <w:id w:val="1924533334"/>
          <w:citation/>
        </w:sdtPr>
        <w:sdtContent>
          <w:r w:rsidRPr="00214D5F">
            <w:fldChar w:fldCharType="begin"/>
          </w:r>
          <w:r w:rsidRPr="00214D5F">
            <w:instrText xml:space="preserve">CITATION 11Ka \l 1055 </w:instrText>
          </w:r>
          <w:r w:rsidRPr="00214D5F">
            <w:fldChar w:fldCharType="separate"/>
          </w:r>
          <w:r>
            <w:rPr>
              <w:noProof/>
            </w:rPr>
            <w:t xml:space="preserve"> </w:t>
          </w:r>
          <w:r w:rsidRPr="00AB0519">
            <w:rPr>
              <w:noProof/>
            </w:rPr>
            <w:t>(Çelikkol &amp; Özkan , 2011)</w:t>
          </w:r>
          <w:r w:rsidRPr="00214D5F">
            <w:fldChar w:fldCharType="end"/>
          </w:r>
        </w:sdtContent>
      </w:sdt>
      <w:r w:rsidRPr="00214D5F">
        <w:t>.</w:t>
      </w:r>
    </w:p>
    <w:p w14:paraId="747B2920" w14:textId="77777777" w:rsidR="0017453B" w:rsidRPr="00214D5F" w:rsidRDefault="0017453B" w:rsidP="0017453B">
      <w:pPr>
        <w:shd w:val="clear" w:color="auto" w:fill="FFFFFF"/>
        <w:jc w:val="both"/>
      </w:pPr>
    </w:p>
    <w:p w14:paraId="21F64980" w14:textId="77777777" w:rsidR="00914DCC" w:rsidRDefault="00914DCC" w:rsidP="0017453B">
      <w:pPr>
        <w:jc w:val="both"/>
      </w:pPr>
      <w:r w:rsidRPr="00214D5F">
        <w:rPr>
          <w:lang w:eastAsia="ko-KR"/>
        </w:rPr>
        <w:t xml:space="preserve">Emisyon Ticareti uluslararası düzeyde ilk olarak Kyoto Protokolü’nün 17. maddesinde yer almış olsa da 1977 yılından itibaren Amerika Birleşik Devletleri’nde kirlilik hakkının alım satımına dayanan benzeri bir sistem uygulanmıştır. </w:t>
      </w:r>
      <w:r w:rsidRPr="00214D5F">
        <w:t>ABD, 1990 yılında Temiz Hava Hareketi Programı kapsamında emisyonlarının azaltılması için hedefler belirlenmiş, 1995 yılında ise Asit Yağmuru Programı adı altında SO2(kükürt dioksit) emisyonlarının ticaretine olanak tanınmıştır. Bu sistem, başlangıçta yüksek miktarda SO2 salınımı yapan enerji tesislerine odaklanmış olmasına rağmen belirlenen hedeflerin zaman içinde başarıyla gerçekleştirilmiş olması sistemin etkinliği kanıtlanmıştır. ABD’nin yıllar önce emisyon ticareti uygulamalarını yerel düzeyde hayata geçiren ilk ülke olarak dünyadaki diğer ülkelere Emisyon Ticaret Sistemi için önemli bir örnek olmuştur</w:t>
      </w:r>
      <w:sdt>
        <w:sdtPr>
          <w:id w:val="-1580597273"/>
          <w:citation/>
        </w:sdtPr>
        <w:sdtContent>
          <w:r w:rsidRPr="00214D5F">
            <w:fldChar w:fldCharType="begin"/>
          </w:r>
          <w:r w:rsidRPr="00214D5F">
            <w:instrText xml:space="preserve"> CITATION Con08 \l 1055 </w:instrText>
          </w:r>
          <w:r w:rsidRPr="00214D5F">
            <w:fldChar w:fldCharType="separate"/>
          </w:r>
          <w:r>
            <w:rPr>
              <w:noProof/>
            </w:rPr>
            <w:t xml:space="preserve"> </w:t>
          </w:r>
          <w:r w:rsidRPr="00AB0519">
            <w:rPr>
              <w:noProof/>
            </w:rPr>
            <w:t>(Convery &amp; Perthuis, 2008)</w:t>
          </w:r>
          <w:r w:rsidRPr="00214D5F">
            <w:fldChar w:fldCharType="end"/>
          </w:r>
        </w:sdtContent>
      </w:sdt>
      <w:r w:rsidRPr="00214D5F">
        <w:t>.</w:t>
      </w:r>
    </w:p>
    <w:p w14:paraId="0A548BA9" w14:textId="77777777" w:rsidR="003B45CB" w:rsidRPr="00214D5F" w:rsidRDefault="003B45CB" w:rsidP="0017453B">
      <w:pPr>
        <w:jc w:val="both"/>
      </w:pPr>
    </w:p>
    <w:p w14:paraId="006E6C00" w14:textId="287D1C69" w:rsidR="00914DCC" w:rsidRDefault="00914DCC" w:rsidP="0017453B">
      <w:pPr>
        <w:jc w:val="both"/>
      </w:pPr>
      <w:r w:rsidRPr="00214D5F">
        <w:t xml:space="preserve">Birleşmiş Milletler İklim Değişikliği Çerçeve </w:t>
      </w:r>
      <w:proofErr w:type="gramStart"/>
      <w:r w:rsidRPr="00214D5F">
        <w:t>Sözleşmesi(</w:t>
      </w:r>
      <w:proofErr w:type="gramEnd"/>
      <w:r w:rsidRPr="00214D5F">
        <w:t xml:space="preserve">BMİDÇS) karbon ticaretinin iklim değişikliği ile mücadele için bir politika aracı olarak görüldüğü ilk uluslararası sözleşme olmuştur. Buna göre sözleşmenin tüm tarafları iklim değişikliği ile mücadele kapsamında iş birliği, raporlama ve bildirim gereklerinden sorumlu tutulmuştur </w:t>
      </w:r>
      <w:sdt>
        <w:sdtPr>
          <w:id w:val="-467439219"/>
          <w:citation/>
        </w:sdtPr>
        <w:sdtContent>
          <w:r w:rsidRPr="00214D5F">
            <w:fldChar w:fldCharType="begin"/>
          </w:r>
          <w:r>
            <w:instrText xml:space="preserve">CITATION YerTutucu1 \l 1055 </w:instrText>
          </w:r>
          <w:r w:rsidRPr="00214D5F">
            <w:fldChar w:fldCharType="separate"/>
          </w:r>
          <w:r>
            <w:rPr>
              <w:noProof/>
            </w:rPr>
            <w:t>(Türkiye Çevre, Şehircilik ve İklim Değişikliği Bakanlığı, 2022)</w:t>
          </w:r>
          <w:r w:rsidRPr="00214D5F">
            <w:fldChar w:fldCharType="end"/>
          </w:r>
        </w:sdtContent>
      </w:sdt>
      <w:r w:rsidRPr="00214D5F">
        <w:t>. Devam eden süreçte ise Kyoto Protokolünün 17. Maddesi ile yükümlülük alan ülkelerin esneklik mekanizmalarından biri olan emisyon ticaretinden faydalanabilecekleri hüküm altına alınmıştır.</w:t>
      </w:r>
    </w:p>
    <w:p w14:paraId="56A0C7AD" w14:textId="77777777" w:rsidR="003B45CB" w:rsidRPr="00214D5F" w:rsidRDefault="003B45CB" w:rsidP="0017453B">
      <w:pPr>
        <w:jc w:val="both"/>
      </w:pPr>
    </w:p>
    <w:p w14:paraId="2731EDD4" w14:textId="77777777" w:rsidR="00914DCC" w:rsidRDefault="00914DCC" w:rsidP="0017453B">
      <w:pPr>
        <w:ind w:firstLine="708"/>
        <w:jc w:val="both"/>
        <w:rPr>
          <w:i/>
        </w:rPr>
      </w:pPr>
      <w:r w:rsidRPr="00214D5F">
        <w:rPr>
          <w:i/>
          <w:lang w:eastAsia="ko-KR"/>
        </w:rPr>
        <w:t>“</w:t>
      </w:r>
      <w:r w:rsidRPr="00214D5F">
        <w:rPr>
          <w:i/>
        </w:rPr>
        <w:t xml:space="preserve">Taraflar Konferansı, özellikle salım ticaretine ilişkin doğrulama, raporlama ve hesap verilebilirlik için, ilgili prensipleri, yöntemleri, kuralları ve rehber ilkeleri belirleyecektir. Ek B'de yer alan Taraflar, 3. </w:t>
      </w:r>
      <w:proofErr w:type="spellStart"/>
      <w:r w:rsidRPr="00214D5F">
        <w:rPr>
          <w:i/>
        </w:rPr>
        <w:t>Madde'deki</w:t>
      </w:r>
      <w:proofErr w:type="spellEnd"/>
      <w:r w:rsidRPr="00214D5F">
        <w:rPr>
          <w:i/>
        </w:rPr>
        <w:t xml:space="preserve"> taahhütlerini yerine getirmek amacıyla salım ticaretine katılabilirler. Böyle bir ticaret, o </w:t>
      </w:r>
      <w:proofErr w:type="spellStart"/>
      <w:r w:rsidRPr="00214D5F">
        <w:rPr>
          <w:i/>
        </w:rPr>
        <w:t>Madde'deki</w:t>
      </w:r>
      <w:proofErr w:type="spellEnd"/>
      <w:r w:rsidRPr="00214D5F">
        <w:rPr>
          <w:i/>
        </w:rPr>
        <w:t xml:space="preserve"> sayısallaştırılmış salım sınırlandırma ve azaltım taahhütlerini karşılamak amacına yönelik ülke içi eylemleri tamamlayıcı olacaktır </w:t>
      </w:r>
      <w:sdt>
        <w:sdtPr>
          <w:rPr>
            <w:i/>
          </w:rPr>
          <w:id w:val="-1093705198"/>
          <w:citation/>
        </w:sdtPr>
        <w:sdtContent>
          <w:r w:rsidRPr="00214D5F">
            <w:rPr>
              <w:i/>
            </w:rPr>
            <w:fldChar w:fldCharType="begin"/>
          </w:r>
          <w:r w:rsidRPr="00214D5F">
            <w:rPr>
              <w:i/>
            </w:rPr>
            <w:instrText xml:space="preserve">CITATION Bir97 \l 1055 </w:instrText>
          </w:r>
          <w:r w:rsidRPr="00214D5F">
            <w:rPr>
              <w:i/>
            </w:rPr>
            <w:fldChar w:fldCharType="separate"/>
          </w:r>
          <w:r w:rsidRPr="00AB0519">
            <w:rPr>
              <w:noProof/>
            </w:rPr>
            <w:t>(Birleşmiş Milletler;Kyoto Protokolü, 1997)</w:t>
          </w:r>
          <w:r w:rsidRPr="00214D5F">
            <w:rPr>
              <w:i/>
            </w:rPr>
            <w:fldChar w:fldCharType="end"/>
          </w:r>
        </w:sdtContent>
      </w:sdt>
      <w:r w:rsidRPr="00214D5F">
        <w:rPr>
          <w:i/>
        </w:rPr>
        <w:t>.”</w:t>
      </w:r>
    </w:p>
    <w:p w14:paraId="6D1E1832" w14:textId="77777777" w:rsidR="003B45CB" w:rsidRPr="00214D5F" w:rsidRDefault="003B45CB" w:rsidP="0017453B">
      <w:pPr>
        <w:ind w:firstLine="708"/>
        <w:jc w:val="both"/>
        <w:rPr>
          <w:i/>
        </w:rPr>
      </w:pPr>
    </w:p>
    <w:p w14:paraId="417DAFD7" w14:textId="77777777" w:rsidR="00914DCC" w:rsidRDefault="00914DCC" w:rsidP="0017453B">
      <w:pPr>
        <w:jc w:val="both"/>
        <w:rPr>
          <w:lang w:eastAsia="ko-KR"/>
        </w:rPr>
      </w:pPr>
      <w:r w:rsidRPr="00214D5F">
        <w:rPr>
          <w:lang w:eastAsia="ko-KR"/>
        </w:rPr>
        <w:t xml:space="preserve">Emisyon ticaret sistemlerinin ana hedefi </w:t>
      </w:r>
      <w:proofErr w:type="gramStart"/>
      <w:r w:rsidRPr="00214D5F">
        <w:rPr>
          <w:lang w:eastAsia="ko-KR"/>
        </w:rPr>
        <w:t>karbondioksit(</w:t>
      </w:r>
      <w:proofErr w:type="gramEnd"/>
      <w:r w:rsidRPr="00214D5F">
        <w:rPr>
          <w:lang w:eastAsia="ko-KR"/>
        </w:rPr>
        <w:t xml:space="preserve">CO2) salınımlarının azaltılması olarak görülürken uygulama diğer sera gazlarını da kapsayacak şekilde genişletilebilir. Sistem karbon tahsisatlarının belirlenmesi ve ticaretinin yapılabilmesi üzerine tasarlanmaktadır. Böylelikle emisyon limitlerini aşan işletmeler ek tahsisatlar edinerek yükümlülüklerini yerine getirirken, emisyonlarını azaltmayı başaran işletmeler ise kullanılmayan tahsisatlarını satarak ekonomik </w:t>
      </w:r>
      <w:r w:rsidRPr="00214D5F">
        <w:rPr>
          <w:lang w:eastAsia="ko-KR"/>
        </w:rPr>
        <w:lastRenderedPageBreak/>
        <w:t xml:space="preserve">kazanç sağlayabilmektedir. </w:t>
      </w:r>
      <w:sdt>
        <w:sdtPr>
          <w:rPr>
            <w:lang w:eastAsia="ko-KR"/>
          </w:rPr>
          <w:id w:val="499622662"/>
          <w:citation/>
        </w:sdtPr>
        <w:sdtContent>
          <w:r w:rsidRPr="00214D5F">
            <w:rPr>
              <w:lang w:eastAsia="ko-KR"/>
            </w:rPr>
            <w:fldChar w:fldCharType="begin"/>
          </w:r>
          <w:r w:rsidRPr="00214D5F">
            <w:rPr>
              <w:lang w:eastAsia="ko-KR"/>
            </w:rPr>
            <w:instrText xml:space="preserve">CITATION Ulu20 \l 1055 </w:instrText>
          </w:r>
          <w:r w:rsidRPr="00214D5F">
            <w:rPr>
              <w:lang w:eastAsia="ko-KR"/>
            </w:rPr>
            <w:fldChar w:fldCharType="separate"/>
          </w:r>
          <w:r w:rsidRPr="00AB0519">
            <w:rPr>
              <w:noProof/>
              <w:lang w:eastAsia="ko-KR"/>
            </w:rPr>
            <w:t>(International Energy Agency, 2020)</w:t>
          </w:r>
          <w:r w:rsidRPr="00214D5F">
            <w:rPr>
              <w:lang w:eastAsia="ko-KR"/>
            </w:rPr>
            <w:fldChar w:fldCharType="end"/>
          </w:r>
        </w:sdtContent>
      </w:sdt>
    </w:p>
    <w:p w14:paraId="722E4B0F" w14:textId="77777777" w:rsidR="003B45CB" w:rsidRPr="00214D5F" w:rsidRDefault="003B45CB" w:rsidP="0017453B">
      <w:pPr>
        <w:jc w:val="both"/>
        <w:rPr>
          <w:lang w:eastAsia="ko-KR"/>
        </w:rPr>
      </w:pPr>
    </w:p>
    <w:p w14:paraId="0DCF9793" w14:textId="69B89B86" w:rsidR="00914DCC" w:rsidRDefault="00914DCC" w:rsidP="0017453B">
      <w:pPr>
        <w:jc w:val="both"/>
      </w:pPr>
      <w:r w:rsidRPr="00214D5F">
        <w:t>2022 itibarıyla, dünya genelinde karbon vergisi ve emisyon ticareti mekanizmalarını kapsayan toplam 68 karbon fiyatlandırma politikası bulunmaktadır. Ayrıca, karbon fiyatlandırmasından elde edilen gelirler 2021 yılında yüzde 60 artarak 84 milyar dolara ulaşmıştır</w:t>
      </w:r>
      <w:r w:rsidRPr="00214D5F">
        <w:rPr>
          <w:noProof/>
        </w:rPr>
        <w:t xml:space="preserve"> (Uyduranoğlu, vd. 2023)</w:t>
      </w:r>
      <w:r w:rsidRPr="00214D5F">
        <w:t xml:space="preserve">. Küresel ölçekte Emisyon Ticaret Sistemleri karbon fiyatlandırması vasıtasıyla düşük karbonlu üretim yapabilmek için önemli bir araç haline gelmiştir </w:t>
      </w:r>
      <w:r w:rsidRPr="00214D5F">
        <w:rPr>
          <w:noProof/>
        </w:rPr>
        <w:t>( Zhang, vd. 2020)</w:t>
      </w:r>
      <w:r w:rsidRPr="00214D5F">
        <w:t>.</w:t>
      </w:r>
    </w:p>
    <w:p w14:paraId="79494641" w14:textId="77777777" w:rsidR="003B45CB" w:rsidRPr="00214D5F" w:rsidRDefault="003B45CB" w:rsidP="0017453B">
      <w:pPr>
        <w:jc w:val="both"/>
      </w:pPr>
    </w:p>
    <w:p w14:paraId="6FF690B5" w14:textId="6A3356EB" w:rsidR="00914DCC" w:rsidRPr="003B45CB" w:rsidRDefault="00914DCC" w:rsidP="0017453B">
      <w:pPr>
        <w:pStyle w:val="Balk4"/>
        <w:spacing w:before="0" w:after="0"/>
        <w:rPr>
          <w:rFonts w:ascii="Times New Roman" w:eastAsiaTheme="minorHAnsi" w:hAnsi="Times New Roman" w:cs="Times New Roman"/>
          <w:b/>
          <w:bCs/>
          <w:i w:val="0"/>
          <w:iCs w:val="0"/>
          <w:color w:val="000000" w:themeColor="text1"/>
        </w:rPr>
      </w:pPr>
      <w:r w:rsidRPr="003B45CB">
        <w:rPr>
          <w:rFonts w:ascii="Times New Roman" w:eastAsiaTheme="minorHAnsi" w:hAnsi="Times New Roman" w:cs="Times New Roman"/>
          <w:b/>
          <w:bCs/>
          <w:i w:val="0"/>
          <w:iCs w:val="0"/>
          <w:color w:val="000000" w:themeColor="text1"/>
        </w:rPr>
        <w:t>2. AB Emisyon Ticaret Sistemi</w:t>
      </w:r>
    </w:p>
    <w:p w14:paraId="611A5355" w14:textId="4E9A5D25" w:rsidR="00914DCC" w:rsidRDefault="00914DCC" w:rsidP="0017453B">
      <w:pPr>
        <w:pStyle w:val="NormalWeb"/>
        <w:spacing w:before="0" w:beforeAutospacing="0" w:after="0" w:afterAutospacing="0"/>
        <w:jc w:val="both"/>
      </w:pPr>
      <w:r w:rsidRPr="00214D5F">
        <w:t xml:space="preserve">Kyoto </w:t>
      </w:r>
      <w:proofErr w:type="spellStart"/>
      <w:r w:rsidRPr="00214D5F">
        <w:t>Protokolü'nün</w:t>
      </w:r>
      <w:proofErr w:type="spellEnd"/>
      <w:r w:rsidRPr="00214D5F">
        <w:t xml:space="preserve"> </w:t>
      </w:r>
      <w:proofErr w:type="spellStart"/>
      <w:r w:rsidRPr="00214D5F">
        <w:t>ardından</w:t>
      </w:r>
      <w:proofErr w:type="spellEnd"/>
      <w:r w:rsidRPr="00214D5F">
        <w:t xml:space="preserve">, </w:t>
      </w:r>
      <w:proofErr w:type="spellStart"/>
      <w:r w:rsidRPr="00214D5F">
        <w:t>Avrupa</w:t>
      </w:r>
      <w:proofErr w:type="spellEnd"/>
      <w:r w:rsidRPr="00214D5F">
        <w:t xml:space="preserve"> </w:t>
      </w:r>
      <w:proofErr w:type="spellStart"/>
      <w:r w:rsidRPr="00214D5F">
        <w:t>Birliği</w:t>
      </w:r>
      <w:proofErr w:type="spellEnd"/>
      <w:r w:rsidRPr="00214D5F">
        <w:t xml:space="preserve"> 2005 </w:t>
      </w:r>
      <w:proofErr w:type="spellStart"/>
      <w:r w:rsidRPr="00214D5F">
        <w:t>yılında</w:t>
      </w:r>
      <w:proofErr w:type="spellEnd"/>
      <w:r w:rsidRPr="00214D5F">
        <w:t xml:space="preserve"> </w:t>
      </w:r>
      <w:proofErr w:type="spellStart"/>
      <w:r w:rsidRPr="00214D5F">
        <w:t>kendi</w:t>
      </w:r>
      <w:proofErr w:type="spellEnd"/>
      <w:r w:rsidRPr="00214D5F">
        <w:t xml:space="preserve"> </w:t>
      </w:r>
      <w:proofErr w:type="spellStart"/>
      <w:r w:rsidRPr="00214D5F">
        <w:t>sınırları</w:t>
      </w:r>
      <w:proofErr w:type="spellEnd"/>
      <w:r w:rsidRPr="00214D5F">
        <w:t xml:space="preserve"> </w:t>
      </w:r>
      <w:proofErr w:type="spellStart"/>
      <w:r w:rsidRPr="00214D5F">
        <w:t>içinde</w:t>
      </w:r>
      <w:proofErr w:type="spellEnd"/>
      <w:r w:rsidRPr="00214D5F">
        <w:t xml:space="preserve"> </w:t>
      </w:r>
      <w:proofErr w:type="spellStart"/>
      <w:r w:rsidRPr="00214D5F">
        <w:t>geçerli</w:t>
      </w:r>
      <w:proofErr w:type="spellEnd"/>
      <w:r w:rsidRPr="00214D5F">
        <w:t xml:space="preserve"> </w:t>
      </w:r>
      <w:proofErr w:type="spellStart"/>
      <w:r w:rsidRPr="00214D5F">
        <w:t>olan</w:t>
      </w:r>
      <w:proofErr w:type="spellEnd"/>
      <w:r w:rsidRPr="00214D5F">
        <w:t xml:space="preserve"> AB </w:t>
      </w:r>
      <w:proofErr w:type="spellStart"/>
      <w:r w:rsidRPr="00214D5F">
        <w:t>Emisyon</w:t>
      </w:r>
      <w:proofErr w:type="spellEnd"/>
      <w:r w:rsidRPr="00214D5F">
        <w:t xml:space="preserve"> Ticaret </w:t>
      </w:r>
      <w:proofErr w:type="spellStart"/>
      <w:r w:rsidRPr="00214D5F">
        <w:t>Sistemi'ni</w:t>
      </w:r>
      <w:proofErr w:type="spellEnd"/>
      <w:r w:rsidRPr="00214D5F">
        <w:t xml:space="preserve"> </w:t>
      </w:r>
      <w:proofErr w:type="spellStart"/>
      <w:r w:rsidRPr="00214D5F">
        <w:t>uygulamaya</w:t>
      </w:r>
      <w:proofErr w:type="spellEnd"/>
      <w:r w:rsidRPr="00214D5F">
        <w:t xml:space="preserve"> </w:t>
      </w:r>
      <w:proofErr w:type="spellStart"/>
      <w:r w:rsidRPr="00214D5F">
        <w:t>koymuştur</w:t>
      </w:r>
      <w:proofErr w:type="spellEnd"/>
      <w:r w:rsidRPr="00214D5F">
        <w:t xml:space="preserve">. </w:t>
      </w:r>
      <w:proofErr w:type="spellStart"/>
      <w:r w:rsidRPr="00214D5F">
        <w:t>Günümüzde</w:t>
      </w:r>
      <w:proofErr w:type="spellEnd"/>
      <w:r w:rsidRPr="00214D5F">
        <w:t xml:space="preserve"> </w:t>
      </w:r>
      <w:proofErr w:type="spellStart"/>
      <w:r w:rsidRPr="00214D5F">
        <w:t>bu</w:t>
      </w:r>
      <w:proofErr w:type="spellEnd"/>
      <w:r w:rsidRPr="00214D5F">
        <w:t xml:space="preserve"> </w:t>
      </w:r>
      <w:proofErr w:type="spellStart"/>
      <w:r w:rsidRPr="00214D5F">
        <w:t>sistem</w:t>
      </w:r>
      <w:proofErr w:type="spellEnd"/>
      <w:r w:rsidRPr="00214D5F">
        <w:t xml:space="preserve">, </w:t>
      </w:r>
      <w:proofErr w:type="spellStart"/>
      <w:r w:rsidRPr="00214D5F">
        <w:t>yalnızca</w:t>
      </w:r>
      <w:proofErr w:type="spellEnd"/>
      <w:r w:rsidRPr="00214D5F">
        <w:t xml:space="preserve"> AB </w:t>
      </w:r>
      <w:proofErr w:type="spellStart"/>
      <w:r w:rsidRPr="00214D5F">
        <w:t>üyesi</w:t>
      </w:r>
      <w:proofErr w:type="spellEnd"/>
      <w:r w:rsidRPr="00214D5F">
        <w:t xml:space="preserve"> </w:t>
      </w:r>
      <w:proofErr w:type="spellStart"/>
      <w:r w:rsidRPr="00214D5F">
        <w:t>ülkelerde</w:t>
      </w:r>
      <w:proofErr w:type="spellEnd"/>
      <w:r w:rsidRPr="00214D5F">
        <w:t xml:space="preserve"> </w:t>
      </w:r>
      <w:proofErr w:type="spellStart"/>
      <w:r w:rsidRPr="00214D5F">
        <w:t>değil</w:t>
      </w:r>
      <w:proofErr w:type="spellEnd"/>
      <w:r w:rsidRPr="00214D5F">
        <w:t xml:space="preserve">, </w:t>
      </w:r>
      <w:proofErr w:type="spellStart"/>
      <w:r w:rsidRPr="00214D5F">
        <w:t>ETS'yi</w:t>
      </w:r>
      <w:proofErr w:type="spellEnd"/>
      <w:r w:rsidRPr="00214D5F">
        <w:t xml:space="preserve"> </w:t>
      </w:r>
      <w:proofErr w:type="spellStart"/>
      <w:r w:rsidRPr="00214D5F">
        <w:t>benimsemiş</w:t>
      </w:r>
      <w:proofErr w:type="spellEnd"/>
      <w:r w:rsidRPr="00214D5F">
        <w:t xml:space="preserve"> </w:t>
      </w:r>
      <w:proofErr w:type="spellStart"/>
      <w:r w:rsidRPr="00214D5F">
        <w:t>diğer</w:t>
      </w:r>
      <w:proofErr w:type="spellEnd"/>
      <w:r w:rsidRPr="00214D5F">
        <w:t xml:space="preserve"> </w:t>
      </w:r>
      <w:proofErr w:type="spellStart"/>
      <w:r w:rsidRPr="00214D5F">
        <w:t>ülkelerle</w:t>
      </w:r>
      <w:proofErr w:type="spellEnd"/>
      <w:r w:rsidRPr="00214D5F">
        <w:t xml:space="preserve"> </w:t>
      </w:r>
      <w:proofErr w:type="spellStart"/>
      <w:r w:rsidRPr="00214D5F">
        <w:t>bağlantılı</w:t>
      </w:r>
      <w:proofErr w:type="spellEnd"/>
      <w:r w:rsidRPr="00214D5F">
        <w:t xml:space="preserve"> </w:t>
      </w:r>
      <w:proofErr w:type="spellStart"/>
      <w:r w:rsidRPr="00214D5F">
        <w:t>şekilde</w:t>
      </w:r>
      <w:proofErr w:type="spellEnd"/>
      <w:r w:rsidRPr="00214D5F">
        <w:t xml:space="preserve"> </w:t>
      </w:r>
      <w:proofErr w:type="spellStart"/>
      <w:r w:rsidRPr="00214D5F">
        <w:t>uluslararası</w:t>
      </w:r>
      <w:proofErr w:type="spellEnd"/>
      <w:r w:rsidRPr="00214D5F">
        <w:t xml:space="preserve"> </w:t>
      </w:r>
      <w:proofErr w:type="spellStart"/>
      <w:r w:rsidRPr="00214D5F">
        <w:t>bir</w:t>
      </w:r>
      <w:proofErr w:type="spellEnd"/>
      <w:r w:rsidRPr="00214D5F">
        <w:t xml:space="preserve"> </w:t>
      </w:r>
      <w:proofErr w:type="spellStart"/>
      <w:r w:rsidRPr="00214D5F">
        <w:t>yapıda</w:t>
      </w:r>
      <w:proofErr w:type="spellEnd"/>
      <w:r w:rsidRPr="00214D5F">
        <w:t xml:space="preserve"> </w:t>
      </w:r>
      <w:proofErr w:type="spellStart"/>
      <w:r w:rsidRPr="00214D5F">
        <w:t>faaliyet</w:t>
      </w:r>
      <w:proofErr w:type="spellEnd"/>
      <w:r w:rsidRPr="00214D5F">
        <w:t xml:space="preserve"> </w:t>
      </w:r>
      <w:proofErr w:type="spellStart"/>
      <w:r w:rsidRPr="00214D5F">
        <w:t>göstermektedir</w:t>
      </w:r>
      <w:proofErr w:type="spellEnd"/>
      <w:r w:rsidRPr="00214D5F">
        <w:rPr>
          <w:noProof/>
        </w:rPr>
        <w:t xml:space="preserve"> (Uyduranoğlu, vd. 2023)</w:t>
      </w:r>
      <w:r w:rsidRPr="00214D5F">
        <w:t>.</w:t>
      </w:r>
    </w:p>
    <w:p w14:paraId="3583BF6B" w14:textId="77777777" w:rsidR="003B45CB" w:rsidRPr="00214D5F" w:rsidRDefault="003B45CB" w:rsidP="0017453B">
      <w:pPr>
        <w:pStyle w:val="NormalWeb"/>
        <w:spacing w:before="0" w:beforeAutospacing="0" w:after="0" w:afterAutospacing="0"/>
        <w:jc w:val="both"/>
      </w:pPr>
    </w:p>
    <w:p w14:paraId="49FBCD27" w14:textId="24073D5F" w:rsidR="00914DCC" w:rsidRDefault="00914DCC" w:rsidP="0017453B">
      <w:pPr>
        <w:pStyle w:val="NormalWeb"/>
        <w:spacing w:before="0" w:beforeAutospacing="0" w:after="0" w:afterAutospacing="0"/>
        <w:jc w:val="both"/>
        <w:rPr>
          <w:rFonts w:eastAsiaTheme="minorHAnsi"/>
          <w:lang w:eastAsia="en-US"/>
        </w:rPr>
      </w:pPr>
      <w:proofErr w:type="spellStart"/>
      <w:r w:rsidRPr="00214D5F">
        <w:rPr>
          <w:rFonts w:eastAsiaTheme="minorHAnsi"/>
          <w:lang w:eastAsia="en-US"/>
        </w:rPr>
        <w:t>AB’de</w:t>
      </w:r>
      <w:proofErr w:type="spellEnd"/>
      <w:r w:rsidRPr="00214D5F">
        <w:rPr>
          <w:rFonts w:eastAsiaTheme="minorHAnsi"/>
          <w:lang w:eastAsia="en-US"/>
        </w:rPr>
        <w:t xml:space="preserve"> </w:t>
      </w:r>
      <w:proofErr w:type="spellStart"/>
      <w:r w:rsidRPr="00214D5F">
        <w:rPr>
          <w:rFonts w:eastAsiaTheme="minorHAnsi"/>
          <w:lang w:eastAsia="en-US"/>
        </w:rPr>
        <w:t>uygulanan</w:t>
      </w:r>
      <w:proofErr w:type="spellEnd"/>
      <w:r w:rsidRPr="00214D5F">
        <w:rPr>
          <w:rFonts w:eastAsiaTheme="minorHAnsi"/>
          <w:lang w:eastAsia="en-US"/>
        </w:rPr>
        <w:t xml:space="preserve"> </w:t>
      </w:r>
      <w:proofErr w:type="spellStart"/>
      <w:r w:rsidRPr="00214D5F">
        <w:rPr>
          <w:rFonts w:eastAsiaTheme="minorHAnsi"/>
          <w:lang w:eastAsia="en-US"/>
        </w:rPr>
        <w:t>sistem</w:t>
      </w:r>
      <w:proofErr w:type="spellEnd"/>
      <w:r w:rsidRPr="00214D5F">
        <w:rPr>
          <w:rFonts w:eastAsiaTheme="minorHAnsi"/>
          <w:lang w:eastAsia="en-US"/>
        </w:rPr>
        <w:t xml:space="preserve"> “</w:t>
      </w:r>
      <w:proofErr w:type="spellStart"/>
      <w:r w:rsidRPr="00214D5F">
        <w:rPr>
          <w:rFonts w:eastAsiaTheme="minorHAnsi"/>
          <w:lang w:eastAsia="en-US"/>
        </w:rPr>
        <w:t>üst</w:t>
      </w:r>
      <w:proofErr w:type="spellEnd"/>
      <w:r w:rsidRPr="00214D5F">
        <w:rPr>
          <w:rFonts w:eastAsiaTheme="minorHAnsi"/>
          <w:lang w:eastAsia="en-US"/>
        </w:rPr>
        <w:t xml:space="preserve"> </w:t>
      </w:r>
      <w:proofErr w:type="spellStart"/>
      <w:r w:rsidRPr="00214D5F">
        <w:rPr>
          <w:rFonts w:eastAsiaTheme="minorHAnsi"/>
          <w:lang w:eastAsia="en-US"/>
        </w:rPr>
        <w:t>sınır</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ticaret</w:t>
      </w:r>
      <w:proofErr w:type="spellEnd"/>
      <w:r w:rsidRPr="00214D5F">
        <w:rPr>
          <w:rFonts w:eastAsiaTheme="minorHAnsi"/>
          <w:lang w:eastAsia="en-US"/>
        </w:rPr>
        <w:t xml:space="preserve">” </w:t>
      </w:r>
      <w:proofErr w:type="spellStart"/>
      <w:r w:rsidRPr="00214D5F">
        <w:rPr>
          <w:rFonts w:eastAsiaTheme="minorHAnsi"/>
          <w:lang w:eastAsia="en-US"/>
        </w:rPr>
        <w:t>ilkesine</w:t>
      </w:r>
      <w:proofErr w:type="spellEnd"/>
      <w:r w:rsidRPr="00214D5F">
        <w:rPr>
          <w:rFonts w:eastAsiaTheme="minorHAnsi"/>
          <w:lang w:eastAsia="en-US"/>
        </w:rPr>
        <w:t xml:space="preserve"> </w:t>
      </w:r>
      <w:proofErr w:type="spellStart"/>
      <w:r w:rsidRPr="00214D5F">
        <w:rPr>
          <w:rFonts w:eastAsiaTheme="minorHAnsi"/>
          <w:lang w:eastAsia="en-US"/>
        </w:rPr>
        <w:t>dayanmaktadır</w:t>
      </w:r>
      <w:proofErr w:type="spellEnd"/>
      <w:r w:rsidRPr="00214D5F">
        <w:rPr>
          <w:rFonts w:eastAsiaTheme="minorHAnsi"/>
          <w:lang w:eastAsia="en-US"/>
        </w:rPr>
        <w:t xml:space="preserve">. </w:t>
      </w:r>
      <w:proofErr w:type="spellStart"/>
      <w:r w:rsidRPr="00214D5F">
        <w:rPr>
          <w:rFonts w:eastAsiaTheme="minorHAnsi"/>
          <w:lang w:eastAsia="en-US"/>
        </w:rPr>
        <w:t>Üst</w:t>
      </w:r>
      <w:proofErr w:type="spellEnd"/>
      <w:r w:rsidRPr="00214D5F">
        <w:rPr>
          <w:rFonts w:eastAsiaTheme="minorHAnsi"/>
          <w:lang w:eastAsia="en-US"/>
        </w:rPr>
        <w:t xml:space="preserve"> </w:t>
      </w:r>
      <w:proofErr w:type="spellStart"/>
      <w:r w:rsidRPr="00214D5F">
        <w:rPr>
          <w:rFonts w:eastAsiaTheme="minorHAnsi"/>
          <w:lang w:eastAsia="en-US"/>
        </w:rPr>
        <w:t>sınır</w:t>
      </w:r>
      <w:proofErr w:type="spellEnd"/>
      <w:r w:rsidRPr="00214D5F">
        <w:rPr>
          <w:rFonts w:eastAsiaTheme="minorHAnsi"/>
          <w:lang w:eastAsia="en-US"/>
        </w:rPr>
        <w:t xml:space="preserve">, </w:t>
      </w:r>
      <w:proofErr w:type="spellStart"/>
      <w:r w:rsidRPr="00214D5F">
        <w:rPr>
          <w:rFonts w:eastAsiaTheme="minorHAnsi"/>
          <w:lang w:eastAsia="en-US"/>
        </w:rPr>
        <w:t>sistem</w:t>
      </w:r>
      <w:proofErr w:type="spellEnd"/>
      <w:r w:rsidRPr="00214D5F">
        <w:rPr>
          <w:rFonts w:eastAsiaTheme="minorHAnsi"/>
          <w:lang w:eastAsia="en-US"/>
        </w:rPr>
        <w:t xml:space="preserve"> </w:t>
      </w:r>
      <w:proofErr w:type="spellStart"/>
      <w:r w:rsidRPr="00214D5F">
        <w:rPr>
          <w:rFonts w:eastAsiaTheme="minorHAnsi"/>
          <w:lang w:eastAsia="en-US"/>
        </w:rPr>
        <w:t>kapsamındaki</w:t>
      </w:r>
      <w:proofErr w:type="spellEnd"/>
      <w:r w:rsidRPr="00214D5F">
        <w:rPr>
          <w:rFonts w:eastAsiaTheme="minorHAnsi"/>
          <w:lang w:eastAsia="en-US"/>
        </w:rPr>
        <w:t xml:space="preserve"> </w:t>
      </w:r>
      <w:proofErr w:type="spellStart"/>
      <w:r w:rsidRPr="00214D5F">
        <w:rPr>
          <w:rFonts w:eastAsiaTheme="minorHAnsi"/>
          <w:lang w:eastAsia="en-US"/>
        </w:rPr>
        <w:t>tesisler</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fabrikalar</w:t>
      </w:r>
      <w:proofErr w:type="spellEnd"/>
      <w:r w:rsidRPr="00214D5F">
        <w:rPr>
          <w:rFonts w:eastAsiaTheme="minorHAnsi"/>
          <w:lang w:eastAsia="en-US"/>
        </w:rPr>
        <w:t xml:space="preserve"> </w:t>
      </w:r>
      <w:proofErr w:type="spellStart"/>
      <w:r w:rsidRPr="00214D5F">
        <w:rPr>
          <w:rFonts w:eastAsiaTheme="minorHAnsi"/>
          <w:lang w:eastAsia="en-US"/>
        </w:rPr>
        <w:t>tarafından</w:t>
      </w:r>
      <w:proofErr w:type="spellEnd"/>
      <w:r w:rsidRPr="00214D5F">
        <w:rPr>
          <w:rFonts w:eastAsiaTheme="minorHAnsi"/>
          <w:lang w:eastAsia="en-US"/>
        </w:rPr>
        <w:t xml:space="preserve"> </w:t>
      </w:r>
      <w:proofErr w:type="spellStart"/>
      <w:r w:rsidRPr="00214D5F">
        <w:rPr>
          <w:rFonts w:eastAsiaTheme="minorHAnsi"/>
          <w:lang w:eastAsia="en-US"/>
        </w:rPr>
        <w:t>salınabilecek</w:t>
      </w:r>
      <w:proofErr w:type="spellEnd"/>
      <w:r w:rsidRPr="00214D5F">
        <w:rPr>
          <w:rFonts w:eastAsiaTheme="minorHAnsi"/>
          <w:lang w:eastAsia="en-US"/>
        </w:rPr>
        <w:t xml:space="preserve"> </w:t>
      </w:r>
      <w:proofErr w:type="spellStart"/>
      <w:r w:rsidRPr="00214D5F">
        <w:rPr>
          <w:rFonts w:eastAsiaTheme="minorHAnsi"/>
          <w:lang w:eastAsia="en-US"/>
        </w:rPr>
        <w:t>toplam</w:t>
      </w:r>
      <w:proofErr w:type="spellEnd"/>
      <w:r w:rsidRPr="00214D5F">
        <w:rPr>
          <w:rFonts w:eastAsiaTheme="minorHAnsi"/>
          <w:lang w:eastAsia="en-US"/>
        </w:rPr>
        <w:t xml:space="preserve"> sera </w:t>
      </w:r>
      <w:proofErr w:type="spellStart"/>
      <w:r w:rsidRPr="00214D5F">
        <w:rPr>
          <w:rFonts w:eastAsiaTheme="minorHAnsi"/>
          <w:lang w:eastAsia="en-US"/>
        </w:rPr>
        <w:t>gazı</w:t>
      </w:r>
      <w:proofErr w:type="spellEnd"/>
      <w:r w:rsidRPr="00214D5F">
        <w:rPr>
          <w:rFonts w:eastAsiaTheme="minorHAnsi"/>
          <w:lang w:eastAsia="en-US"/>
        </w:rPr>
        <w:t xml:space="preserve"> </w:t>
      </w:r>
      <w:proofErr w:type="spellStart"/>
      <w:r w:rsidRPr="00214D5F">
        <w:rPr>
          <w:rFonts w:eastAsiaTheme="minorHAnsi"/>
          <w:lang w:eastAsia="en-US"/>
        </w:rPr>
        <w:t>miktarına</w:t>
      </w:r>
      <w:proofErr w:type="spellEnd"/>
      <w:r w:rsidRPr="00214D5F">
        <w:rPr>
          <w:rFonts w:eastAsiaTheme="minorHAnsi"/>
          <w:lang w:eastAsia="en-US"/>
        </w:rPr>
        <w:t xml:space="preserve"> </w:t>
      </w:r>
      <w:proofErr w:type="spellStart"/>
      <w:r w:rsidRPr="00214D5F">
        <w:rPr>
          <w:rFonts w:eastAsiaTheme="minorHAnsi"/>
          <w:lang w:eastAsia="en-US"/>
        </w:rPr>
        <w:t>getirilen</w:t>
      </w:r>
      <w:proofErr w:type="spellEnd"/>
      <w:r w:rsidRPr="00214D5F">
        <w:rPr>
          <w:rFonts w:eastAsiaTheme="minorHAnsi"/>
          <w:lang w:eastAsia="en-US"/>
        </w:rPr>
        <w:t xml:space="preserve"> </w:t>
      </w:r>
      <w:proofErr w:type="spellStart"/>
      <w:r w:rsidRPr="00214D5F">
        <w:rPr>
          <w:rFonts w:eastAsiaTheme="minorHAnsi"/>
          <w:lang w:eastAsia="en-US"/>
        </w:rPr>
        <w:t>sınırı</w:t>
      </w:r>
      <w:proofErr w:type="spellEnd"/>
      <w:r w:rsidRPr="00214D5F">
        <w:rPr>
          <w:rFonts w:eastAsiaTheme="minorHAnsi"/>
          <w:lang w:eastAsia="en-US"/>
        </w:rPr>
        <w:t xml:space="preserve"> </w:t>
      </w:r>
      <w:proofErr w:type="spellStart"/>
      <w:r w:rsidRPr="00214D5F">
        <w:rPr>
          <w:rFonts w:eastAsiaTheme="minorHAnsi"/>
          <w:lang w:eastAsia="en-US"/>
        </w:rPr>
        <w:t>ifade</w:t>
      </w:r>
      <w:proofErr w:type="spellEnd"/>
      <w:r w:rsidRPr="00214D5F">
        <w:rPr>
          <w:rFonts w:eastAsiaTheme="minorHAnsi"/>
          <w:lang w:eastAsia="en-US"/>
        </w:rPr>
        <w:t xml:space="preserve"> </w:t>
      </w:r>
      <w:proofErr w:type="spellStart"/>
      <w:r w:rsidRPr="00214D5F">
        <w:rPr>
          <w:rFonts w:eastAsiaTheme="minorHAnsi"/>
          <w:lang w:eastAsia="en-US"/>
        </w:rPr>
        <w:t>eder</w:t>
      </w:r>
      <w:proofErr w:type="spellEnd"/>
      <w:r w:rsidRPr="00214D5F">
        <w:rPr>
          <w:rFonts w:eastAsiaTheme="minorHAnsi"/>
          <w:lang w:eastAsia="en-US"/>
        </w:rPr>
        <w:t xml:space="preserve">. Bu </w:t>
      </w:r>
      <w:proofErr w:type="spellStart"/>
      <w:r w:rsidRPr="00214D5F">
        <w:rPr>
          <w:rFonts w:eastAsiaTheme="minorHAnsi"/>
          <w:lang w:eastAsia="en-US"/>
        </w:rPr>
        <w:t>üst</w:t>
      </w:r>
      <w:proofErr w:type="spellEnd"/>
      <w:r w:rsidRPr="00214D5F">
        <w:rPr>
          <w:rFonts w:eastAsiaTheme="minorHAnsi"/>
          <w:lang w:eastAsia="en-US"/>
        </w:rPr>
        <w:t xml:space="preserve"> </w:t>
      </w:r>
      <w:proofErr w:type="spellStart"/>
      <w:r w:rsidRPr="00214D5F">
        <w:rPr>
          <w:rFonts w:eastAsiaTheme="minorHAnsi"/>
          <w:lang w:eastAsia="en-US"/>
        </w:rPr>
        <w:t>sınır</w:t>
      </w:r>
      <w:proofErr w:type="spellEnd"/>
      <w:r w:rsidRPr="00214D5F">
        <w:rPr>
          <w:rFonts w:eastAsiaTheme="minorHAnsi"/>
          <w:lang w:eastAsia="en-US"/>
        </w:rPr>
        <w:t xml:space="preserve">, </w:t>
      </w:r>
      <w:proofErr w:type="spellStart"/>
      <w:r w:rsidRPr="00214D5F">
        <w:rPr>
          <w:rFonts w:eastAsiaTheme="minorHAnsi"/>
          <w:lang w:eastAsia="en-US"/>
        </w:rPr>
        <w:t>AB'nin</w:t>
      </w:r>
      <w:proofErr w:type="spellEnd"/>
      <w:r w:rsidRPr="00214D5F">
        <w:rPr>
          <w:rFonts w:eastAsiaTheme="minorHAnsi"/>
          <w:lang w:eastAsia="en-US"/>
        </w:rPr>
        <w:t xml:space="preserve"> </w:t>
      </w:r>
      <w:proofErr w:type="spellStart"/>
      <w:r w:rsidRPr="00214D5F">
        <w:rPr>
          <w:rFonts w:eastAsiaTheme="minorHAnsi"/>
          <w:lang w:eastAsia="en-US"/>
        </w:rPr>
        <w:t>iklim</w:t>
      </w:r>
      <w:proofErr w:type="spellEnd"/>
      <w:r w:rsidRPr="00214D5F">
        <w:rPr>
          <w:rFonts w:eastAsiaTheme="minorHAnsi"/>
          <w:lang w:eastAsia="en-US"/>
        </w:rPr>
        <w:t xml:space="preserve"> </w:t>
      </w:r>
      <w:proofErr w:type="spellStart"/>
      <w:r w:rsidRPr="00214D5F">
        <w:rPr>
          <w:rFonts w:eastAsiaTheme="minorHAnsi"/>
          <w:lang w:eastAsia="en-US"/>
        </w:rPr>
        <w:t>hedefine</w:t>
      </w:r>
      <w:proofErr w:type="spellEnd"/>
      <w:r w:rsidRPr="00214D5F">
        <w:rPr>
          <w:rFonts w:eastAsiaTheme="minorHAnsi"/>
          <w:lang w:eastAsia="en-US"/>
        </w:rPr>
        <w:t xml:space="preserve"> </w:t>
      </w:r>
      <w:proofErr w:type="spellStart"/>
      <w:r w:rsidRPr="00214D5F">
        <w:rPr>
          <w:rFonts w:eastAsiaTheme="minorHAnsi"/>
          <w:lang w:eastAsia="en-US"/>
        </w:rPr>
        <w:t>uygun</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her </w:t>
      </w:r>
      <w:proofErr w:type="spellStart"/>
      <w:r w:rsidRPr="00214D5F">
        <w:rPr>
          <w:rFonts w:eastAsiaTheme="minorHAnsi"/>
          <w:lang w:eastAsia="en-US"/>
        </w:rPr>
        <w:t>yıl</w:t>
      </w:r>
      <w:proofErr w:type="spellEnd"/>
      <w:r w:rsidRPr="00214D5F">
        <w:rPr>
          <w:rFonts w:eastAsiaTheme="minorHAnsi"/>
          <w:lang w:eastAsia="en-US"/>
        </w:rPr>
        <w:t xml:space="preserve"> </w:t>
      </w:r>
      <w:proofErr w:type="spellStart"/>
      <w:r w:rsidRPr="00214D5F">
        <w:rPr>
          <w:rFonts w:eastAsiaTheme="minorHAnsi"/>
          <w:lang w:eastAsia="en-US"/>
        </w:rPr>
        <w:t>azaltılmakta</w:t>
      </w:r>
      <w:proofErr w:type="spellEnd"/>
      <w:r w:rsidRPr="00214D5F">
        <w:rPr>
          <w:rFonts w:eastAsiaTheme="minorHAnsi"/>
          <w:lang w:eastAsia="en-US"/>
        </w:rPr>
        <w:t xml:space="preserve"> </w:t>
      </w:r>
      <w:proofErr w:type="spellStart"/>
      <w:r w:rsidRPr="00214D5F">
        <w:rPr>
          <w:rFonts w:eastAsiaTheme="minorHAnsi"/>
          <w:lang w:eastAsia="en-US"/>
        </w:rPr>
        <w:t>dolayısıyla</w:t>
      </w:r>
      <w:proofErr w:type="spellEnd"/>
      <w:r w:rsidRPr="00214D5F">
        <w:rPr>
          <w:rFonts w:eastAsiaTheme="minorHAnsi"/>
          <w:lang w:eastAsia="en-US"/>
        </w:rPr>
        <w:t xml:space="preserve"> </w:t>
      </w:r>
      <w:proofErr w:type="spellStart"/>
      <w:r w:rsidRPr="00214D5F">
        <w:rPr>
          <w:rFonts w:eastAsiaTheme="minorHAnsi"/>
          <w:lang w:eastAsia="en-US"/>
        </w:rPr>
        <w:t>genel</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AB </w:t>
      </w:r>
      <w:proofErr w:type="spellStart"/>
      <w:r w:rsidRPr="00214D5F">
        <w:rPr>
          <w:rFonts w:eastAsiaTheme="minorHAnsi"/>
          <w:lang w:eastAsia="en-US"/>
        </w:rPr>
        <w:t>emisyonlarının</w:t>
      </w:r>
      <w:proofErr w:type="spellEnd"/>
      <w:r w:rsidRPr="00214D5F">
        <w:rPr>
          <w:rFonts w:eastAsiaTheme="minorHAnsi"/>
          <w:lang w:eastAsia="en-US"/>
        </w:rPr>
        <w:t xml:space="preserve"> zaman </w:t>
      </w:r>
      <w:proofErr w:type="spellStart"/>
      <w:r w:rsidRPr="00214D5F">
        <w:rPr>
          <w:rFonts w:eastAsiaTheme="minorHAnsi"/>
          <w:lang w:eastAsia="en-US"/>
        </w:rPr>
        <w:t>içinde</w:t>
      </w:r>
      <w:proofErr w:type="spellEnd"/>
      <w:r w:rsidRPr="00214D5F">
        <w:rPr>
          <w:rFonts w:eastAsiaTheme="minorHAnsi"/>
          <w:lang w:eastAsia="en-US"/>
        </w:rPr>
        <w:t xml:space="preserve"> </w:t>
      </w:r>
      <w:proofErr w:type="spellStart"/>
      <w:r w:rsidRPr="00214D5F">
        <w:rPr>
          <w:rFonts w:eastAsiaTheme="minorHAnsi"/>
          <w:lang w:eastAsia="en-US"/>
        </w:rPr>
        <w:t>azalmasını</w:t>
      </w:r>
      <w:proofErr w:type="spellEnd"/>
      <w:r w:rsidRPr="00214D5F">
        <w:rPr>
          <w:rFonts w:eastAsiaTheme="minorHAnsi"/>
          <w:lang w:eastAsia="en-US"/>
        </w:rPr>
        <w:t xml:space="preserve"> </w:t>
      </w:r>
      <w:proofErr w:type="spellStart"/>
      <w:r w:rsidRPr="00214D5F">
        <w:rPr>
          <w:rFonts w:eastAsiaTheme="minorHAnsi"/>
          <w:lang w:eastAsia="en-US"/>
        </w:rPr>
        <w:t>sağlamaktadır</w:t>
      </w:r>
      <w:proofErr w:type="spellEnd"/>
      <w:r w:rsidRPr="00214D5F">
        <w:rPr>
          <w:rFonts w:eastAsiaTheme="minorHAnsi"/>
          <w:lang w:eastAsia="en-US"/>
        </w:rPr>
        <w:t xml:space="preserve">. Bu </w:t>
      </w:r>
      <w:proofErr w:type="spellStart"/>
      <w:proofErr w:type="gramStart"/>
      <w:r w:rsidRPr="00214D5F">
        <w:rPr>
          <w:rFonts w:eastAsiaTheme="minorHAnsi"/>
          <w:lang w:eastAsia="en-US"/>
        </w:rPr>
        <w:t>sayede</w:t>
      </w:r>
      <w:proofErr w:type="spellEnd"/>
      <w:r w:rsidRPr="00214D5F">
        <w:rPr>
          <w:rFonts w:eastAsiaTheme="minorHAnsi"/>
          <w:lang w:eastAsia="en-US"/>
        </w:rPr>
        <w:t xml:space="preserve">  AB</w:t>
      </w:r>
      <w:proofErr w:type="gramEnd"/>
      <w:r w:rsidRPr="00214D5F">
        <w:rPr>
          <w:rFonts w:eastAsiaTheme="minorHAnsi"/>
          <w:lang w:eastAsia="en-US"/>
        </w:rPr>
        <w:t xml:space="preserve"> ETS, 2023 </w:t>
      </w:r>
      <w:proofErr w:type="spellStart"/>
      <w:r w:rsidRPr="00214D5F">
        <w:rPr>
          <w:rFonts w:eastAsiaTheme="minorHAnsi"/>
          <w:lang w:eastAsia="en-US"/>
        </w:rPr>
        <w:t>yılına</w:t>
      </w:r>
      <w:proofErr w:type="spellEnd"/>
      <w:r w:rsidRPr="00214D5F">
        <w:rPr>
          <w:rFonts w:eastAsiaTheme="minorHAnsi"/>
          <w:lang w:eastAsia="en-US"/>
        </w:rPr>
        <w:t xml:space="preserve"> </w:t>
      </w:r>
      <w:proofErr w:type="spellStart"/>
      <w:r w:rsidRPr="00214D5F">
        <w:rPr>
          <w:rFonts w:eastAsiaTheme="minorHAnsi"/>
          <w:lang w:eastAsia="en-US"/>
        </w:rPr>
        <w:t>kadar</w:t>
      </w:r>
      <w:proofErr w:type="spellEnd"/>
      <w:r w:rsidRPr="00214D5F">
        <w:rPr>
          <w:rFonts w:eastAsiaTheme="minorHAnsi"/>
          <w:lang w:eastAsia="en-US"/>
        </w:rPr>
        <w:t xml:space="preserve"> </w:t>
      </w:r>
      <w:proofErr w:type="spellStart"/>
      <w:r w:rsidRPr="00214D5F">
        <w:rPr>
          <w:rFonts w:eastAsiaTheme="minorHAnsi"/>
          <w:lang w:eastAsia="en-US"/>
        </w:rPr>
        <w:t>Avrupa'daki</w:t>
      </w:r>
      <w:proofErr w:type="spellEnd"/>
      <w:r w:rsidRPr="00214D5F">
        <w:rPr>
          <w:rFonts w:eastAsiaTheme="minorHAnsi"/>
          <w:lang w:eastAsia="en-US"/>
        </w:rPr>
        <w:t xml:space="preserve"> </w:t>
      </w:r>
      <w:proofErr w:type="spellStart"/>
      <w:r w:rsidRPr="00214D5F">
        <w:rPr>
          <w:rFonts w:eastAsiaTheme="minorHAnsi"/>
          <w:lang w:eastAsia="en-US"/>
        </w:rPr>
        <w:t>enerji</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sanayi</w:t>
      </w:r>
      <w:proofErr w:type="spellEnd"/>
      <w:r w:rsidRPr="00214D5F">
        <w:rPr>
          <w:rFonts w:eastAsiaTheme="minorHAnsi"/>
          <w:lang w:eastAsia="en-US"/>
        </w:rPr>
        <w:t xml:space="preserve"> </w:t>
      </w:r>
      <w:proofErr w:type="spellStart"/>
      <w:r w:rsidRPr="00214D5F">
        <w:rPr>
          <w:rFonts w:eastAsiaTheme="minorHAnsi"/>
          <w:lang w:eastAsia="en-US"/>
        </w:rPr>
        <w:t>tesislerinden</w:t>
      </w:r>
      <w:proofErr w:type="spellEnd"/>
      <w:r w:rsidRPr="00214D5F">
        <w:rPr>
          <w:rFonts w:eastAsiaTheme="minorHAnsi"/>
          <w:lang w:eastAsia="en-US"/>
        </w:rPr>
        <w:t xml:space="preserve"> </w:t>
      </w:r>
      <w:proofErr w:type="spellStart"/>
      <w:r w:rsidRPr="00214D5F">
        <w:rPr>
          <w:rFonts w:eastAsiaTheme="minorHAnsi"/>
          <w:lang w:eastAsia="en-US"/>
        </w:rPr>
        <w:t>kaynaklanan</w:t>
      </w:r>
      <w:proofErr w:type="spellEnd"/>
      <w:r w:rsidRPr="00214D5F">
        <w:rPr>
          <w:rFonts w:eastAsiaTheme="minorHAnsi"/>
          <w:lang w:eastAsia="en-US"/>
        </w:rPr>
        <w:t xml:space="preserve"> </w:t>
      </w:r>
      <w:proofErr w:type="spellStart"/>
      <w:r w:rsidRPr="00214D5F">
        <w:rPr>
          <w:rFonts w:eastAsiaTheme="minorHAnsi"/>
          <w:lang w:eastAsia="en-US"/>
        </w:rPr>
        <w:t>emisyonların</w:t>
      </w:r>
      <w:proofErr w:type="spellEnd"/>
      <w:r w:rsidRPr="00214D5F">
        <w:rPr>
          <w:rFonts w:eastAsiaTheme="minorHAnsi"/>
          <w:lang w:eastAsia="en-US"/>
        </w:rPr>
        <w:t xml:space="preserve"> 2005 </w:t>
      </w:r>
      <w:proofErr w:type="spellStart"/>
      <w:r w:rsidRPr="00214D5F">
        <w:rPr>
          <w:rFonts w:eastAsiaTheme="minorHAnsi"/>
          <w:lang w:eastAsia="en-US"/>
        </w:rPr>
        <w:t>yılı</w:t>
      </w:r>
      <w:proofErr w:type="spellEnd"/>
      <w:r w:rsidRPr="00214D5F">
        <w:rPr>
          <w:rFonts w:eastAsiaTheme="minorHAnsi"/>
          <w:lang w:eastAsia="en-US"/>
        </w:rPr>
        <w:t xml:space="preserve"> </w:t>
      </w:r>
      <w:proofErr w:type="spellStart"/>
      <w:r w:rsidRPr="00214D5F">
        <w:rPr>
          <w:rFonts w:eastAsiaTheme="minorHAnsi"/>
          <w:lang w:eastAsia="en-US"/>
        </w:rPr>
        <w:t>seviyelerine</w:t>
      </w:r>
      <w:proofErr w:type="spellEnd"/>
      <w:r w:rsidRPr="00214D5F">
        <w:rPr>
          <w:rFonts w:eastAsiaTheme="minorHAnsi"/>
          <w:lang w:eastAsia="en-US"/>
        </w:rPr>
        <w:t xml:space="preserve"> </w:t>
      </w:r>
      <w:proofErr w:type="spellStart"/>
      <w:r w:rsidRPr="00214D5F">
        <w:rPr>
          <w:rFonts w:eastAsiaTheme="minorHAnsi"/>
          <w:lang w:eastAsia="en-US"/>
        </w:rPr>
        <w:t>kıyasla</w:t>
      </w:r>
      <w:proofErr w:type="spellEnd"/>
      <w:r w:rsidRPr="00214D5F">
        <w:rPr>
          <w:rFonts w:eastAsiaTheme="minorHAnsi"/>
          <w:lang w:eastAsia="en-US"/>
        </w:rPr>
        <w:t xml:space="preserve"> </w:t>
      </w:r>
      <w:proofErr w:type="spellStart"/>
      <w:r w:rsidRPr="00214D5F">
        <w:rPr>
          <w:rFonts w:eastAsiaTheme="minorHAnsi"/>
          <w:lang w:eastAsia="en-US"/>
        </w:rPr>
        <w:t>yaklaşık</w:t>
      </w:r>
      <w:proofErr w:type="spellEnd"/>
      <w:r w:rsidRPr="00214D5F">
        <w:rPr>
          <w:rFonts w:eastAsiaTheme="minorHAnsi"/>
          <w:lang w:eastAsia="en-US"/>
        </w:rPr>
        <w:t xml:space="preserve"> %47 </w:t>
      </w:r>
      <w:proofErr w:type="spellStart"/>
      <w:r w:rsidRPr="00214D5F">
        <w:rPr>
          <w:rFonts w:eastAsiaTheme="minorHAnsi"/>
          <w:lang w:eastAsia="en-US"/>
        </w:rPr>
        <w:t>oranında</w:t>
      </w:r>
      <w:proofErr w:type="spellEnd"/>
      <w:r w:rsidRPr="00214D5F">
        <w:rPr>
          <w:rFonts w:eastAsiaTheme="minorHAnsi"/>
          <w:lang w:eastAsia="en-US"/>
        </w:rPr>
        <w:t xml:space="preserve"> </w:t>
      </w:r>
      <w:proofErr w:type="spellStart"/>
      <w:r w:rsidRPr="00214D5F">
        <w:rPr>
          <w:rFonts w:eastAsiaTheme="minorHAnsi"/>
          <w:lang w:eastAsia="en-US"/>
        </w:rPr>
        <w:t>azaltılmasına</w:t>
      </w:r>
      <w:proofErr w:type="spellEnd"/>
      <w:r w:rsidRPr="00214D5F">
        <w:rPr>
          <w:rFonts w:eastAsiaTheme="minorHAnsi"/>
          <w:lang w:eastAsia="en-US"/>
        </w:rPr>
        <w:t xml:space="preserve"> </w:t>
      </w:r>
      <w:proofErr w:type="spellStart"/>
      <w:r w:rsidRPr="00214D5F">
        <w:rPr>
          <w:rFonts w:eastAsiaTheme="minorHAnsi"/>
          <w:lang w:eastAsia="en-US"/>
        </w:rPr>
        <w:t>yardımcı</w:t>
      </w:r>
      <w:proofErr w:type="spellEnd"/>
      <w:r w:rsidRPr="00214D5F">
        <w:rPr>
          <w:rFonts w:eastAsiaTheme="minorHAnsi"/>
          <w:lang w:eastAsia="en-US"/>
        </w:rPr>
        <w:t xml:space="preserve"> </w:t>
      </w:r>
      <w:proofErr w:type="spellStart"/>
      <w:r w:rsidRPr="00214D5F">
        <w:rPr>
          <w:rFonts w:eastAsiaTheme="minorHAnsi"/>
          <w:lang w:eastAsia="en-US"/>
        </w:rPr>
        <w:t>olmuştur</w:t>
      </w:r>
      <w:proofErr w:type="spellEnd"/>
      <w:r w:rsidRPr="00214D5F">
        <w:rPr>
          <w:rFonts w:eastAsiaTheme="minorHAnsi"/>
          <w:lang w:eastAsia="en-US"/>
        </w:rPr>
        <w:t>.</w:t>
      </w:r>
      <w:sdt>
        <w:sdtPr>
          <w:rPr>
            <w:rFonts w:eastAsiaTheme="minorHAnsi"/>
            <w:lang w:eastAsia="en-US"/>
          </w:rPr>
          <w:id w:val="-243883204"/>
          <w:citation/>
        </w:sdtPr>
        <w:sdtContent>
          <w:r w:rsidRPr="00214D5F">
            <w:rPr>
              <w:rFonts w:eastAsiaTheme="minorHAnsi"/>
              <w:lang w:eastAsia="en-US"/>
            </w:rPr>
            <w:fldChar w:fldCharType="begin"/>
          </w:r>
          <w:r w:rsidRPr="00214D5F">
            <w:rPr>
              <w:rFonts w:eastAsiaTheme="minorHAnsi"/>
              <w:lang w:eastAsia="en-US"/>
            </w:rPr>
            <w:instrText xml:space="preserve"> CITATION Eur241 \l 1055 </w:instrText>
          </w:r>
          <w:r w:rsidRPr="00214D5F">
            <w:rPr>
              <w:rFonts w:eastAsiaTheme="minorHAnsi"/>
              <w:lang w:eastAsia="en-US"/>
            </w:rPr>
            <w:fldChar w:fldCharType="separate"/>
          </w:r>
          <w:r>
            <w:rPr>
              <w:rFonts w:eastAsiaTheme="minorHAnsi"/>
              <w:noProof/>
              <w:lang w:eastAsia="en-US"/>
            </w:rPr>
            <w:t xml:space="preserve"> </w:t>
          </w:r>
          <w:r w:rsidRPr="00AB0519">
            <w:rPr>
              <w:rFonts w:eastAsiaTheme="minorHAnsi"/>
              <w:noProof/>
              <w:lang w:eastAsia="en-US"/>
            </w:rPr>
            <w:t>(European Commission, 2024)</w:t>
          </w:r>
          <w:r w:rsidRPr="00214D5F">
            <w:rPr>
              <w:rFonts w:eastAsiaTheme="minorHAnsi"/>
              <w:lang w:eastAsia="en-US"/>
            </w:rPr>
            <w:fldChar w:fldCharType="end"/>
          </w:r>
        </w:sdtContent>
      </w:sdt>
    </w:p>
    <w:p w14:paraId="0364B9CF" w14:textId="77777777" w:rsidR="003B45CB" w:rsidRPr="00214D5F" w:rsidRDefault="003B45CB" w:rsidP="0017453B">
      <w:pPr>
        <w:pStyle w:val="NormalWeb"/>
        <w:spacing w:before="0" w:beforeAutospacing="0" w:after="0" w:afterAutospacing="0"/>
        <w:jc w:val="both"/>
        <w:rPr>
          <w:rFonts w:eastAsiaTheme="minorHAnsi"/>
          <w:lang w:eastAsia="en-US"/>
        </w:rPr>
      </w:pPr>
    </w:p>
    <w:p w14:paraId="5BFA32E0" w14:textId="77777777" w:rsidR="00914DCC" w:rsidRDefault="00914DCC" w:rsidP="0017453B">
      <w:pPr>
        <w:pStyle w:val="NormalWeb"/>
        <w:spacing w:before="0" w:beforeAutospacing="0" w:after="0" w:afterAutospacing="0"/>
        <w:jc w:val="both"/>
      </w:pPr>
      <w:proofErr w:type="spellStart"/>
      <w:r w:rsidRPr="00214D5F">
        <w:t>Sistemde</w:t>
      </w:r>
      <w:proofErr w:type="spellEnd"/>
      <w:r w:rsidRPr="00214D5F">
        <w:t xml:space="preserve"> </w:t>
      </w:r>
      <w:proofErr w:type="spellStart"/>
      <w:r w:rsidRPr="00214D5F">
        <w:t>tahsis</w:t>
      </w:r>
      <w:proofErr w:type="spellEnd"/>
      <w:r w:rsidRPr="00214D5F">
        <w:t xml:space="preserve"> </w:t>
      </w:r>
      <w:proofErr w:type="spellStart"/>
      <w:r w:rsidRPr="00214D5F">
        <w:t>edilen</w:t>
      </w:r>
      <w:proofErr w:type="spellEnd"/>
      <w:r w:rsidRPr="00214D5F">
        <w:t xml:space="preserve"> </w:t>
      </w:r>
      <w:proofErr w:type="spellStart"/>
      <w:r w:rsidRPr="00214D5F">
        <w:t>limitlerin</w:t>
      </w:r>
      <w:proofErr w:type="spellEnd"/>
      <w:r w:rsidRPr="00214D5F">
        <w:t xml:space="preserve"> </w:t>
      </w:r>
      <w:proofErr w:type="spellStart"/>
      <w:r w:rsidRPr="00214D5F">
        <w:t>aşılması</w:t>
      </w:r>
      <w:proofErr w:type="spellEnd"/>
      <w:r w:rsidRPr="00214D5F">
        <w:t xml:space="preserve"> </w:t>
      </w:r>
      <w:proofErr w:type="spellStart"/>
      <w:r w:rsidRPr="00214D5F">
        <w:t>halinde</w:t>
      </w:r>
      <w:proofErr w:type="spellEnd"/>
      <w:r w:rsidRPr="00214D5F">
        <w:t xml:space="preserve">, </w:t>
      </w:r>
      <w:proofErr w:type="spellStart"/>
      <w:r w:rsidRPr="00214D5F">
        <w:t>fazla</w:t>
      </w:r>
      <w:proofErr w:type="spellEnd"/>
      <w:r w:rsidRPr="00214D5F">
        <w:t xml:space="preserve"> </w:t>
      </w:r>
      <w:proofErr w:type="spellStart"/>
      <w:r w:rsidRPr="00214D5F">
        <w:t>sertifikaya</w:t>
      </w:r>
      <w:proofErr w:type="spellEnd"/>
      <w:r w:rsidRPr="00214D5F">
        <w:t xml:space="preserve"> </w:t>
      </w:r>
      <w:proofErr w:type="spellStart"/>
      <w:r w:rsidRPr="00214D5F">
        <w:t>sahip</w:t>
      </w:r>
      <w:proofErr w:type="spellEnd"/>
      <w:r w:rsidRPr="00214D5F">
        <w:t xml:space="preserve"> </w:t>
      </w:r>
      <w:proofErr w:type="spellStart"/>
      <w:r w:rsidRPr="00214D5F">
        <w:t>olan</w:t>
      </w:r>
      <w:proofErr w:type="spellEnd"/>
      <w:r w:rsidRPr="00214D5F">
        <w:t xml:space="preserve"> </w:t>
      </w:r>
      <w:proofErr w:type="spellStart"/>
      <w:r w:rsidRPr="00214D5F">
        <w:t>üreticilerden</w:t>
      </w:r>
      <w:proofErr w:type="spellEnd"/>
      <w:r>
        <w:t xml:space="preserve"> </w:t>
      </w:r>
      <w:proofErr w:type="spellStart"/>
      <w:r w:rsidRPr="00214D5F">
        <w:t>ya</w:t>
      </w:r>
      <w:proofErr w:type="spellEnd"/>
      <w:r>
        <w:t xml:space="preserve"> da </w:t>
      </w:r>
      <w:proofErr w:type="spellStart"/>
      <w:r>
        <w:t>açık</w:t>
      </w:r>
      <w:proofErr w:type="spellEnd"/>
      <w:r>
        <w:t xml:space="preserve"> </w:t>
      </w:r>
      <w:proofErr w:type="spellStart"/>
      <w:proofErr w:type="gramStart"/>
      <w:r>
        <w:t>artırmadan</w:t>
      </w:r>
      <w:proofErr w:type="spellEnd"/>
      <w:r>
        <w:t xml:space="preserve"> </w:t>
      </w:r>
      <w:r w:rsidRPr="00214D5F">
        <w:t xml:space="preserve"> </w:t>
      </w:r>
      <w:proofErr w:type="spellStart"/>
      <w:r w:rsidRPr="00214D5F">
        <w:t>emisyon</w:t>
      </w:r>
      <w:proofErr w:type="spellEnd"/>
      <w:proofErr w:type="gramEnd"/>
      <w:r w:rsidRPr="00214D5F">
        <w:t xml:space="preserve"> </w:t>
      </w:r>
      <w:proofErr w:type="spellStart"/>
      <w:r w:rsidRPr="00214D5F">
        <w:t>sertifikası</w:t>
      </w:r>
      <w:proofErr w:type="spellEnd"/>
      <w:r w:rsidRPr="00214D5F">
        <w:t xml:space="preserve"> </w:t>
      </w:r>
      <w:proofErr w:type="spellStart"/>
      <w:r w:rsidRPr="00214D5F">
        <w:t>satın</w:t>
      </w:r>
      <w:proofErr w:type="spellEnd"/>
      <w:r w:rsidRPr="00214D5F">
        <w:t xml:space="preserve"> </w:t>
      </w:r>
      <w:proofErr w:type="spellStart"/>
      <w:r w:rsidRPr="00214D5F">
        <w:t>alınarak</w:t>
      </w:r>
      <w:proofErr w:type="spellEnd"/>
      <w:r w:rsidRPr="00214D5F">
        <w:t xml:space="preserve"> </w:t>
      </w:r>
      <w:proofErr w:type="spellStart"/>
      <w:r w:rsidRPr="00214D5F">
        <w:t>yükümlülük</w:t>
      </w:r>
      <w:r>
        <w:t>ler</w:t>
      </w:r>
      <w:proofErr w:type="spellEnd"/>
      <w:r>
        <w:t xml:space="preserve"> </w:t>
      </w:r>
      <w:proofErr w:type="spellStart"/>
      <w:r>
        <w:t>yerine</w:t>
      </w:r>
      <w:proofErr w:type="spellEnd"/>
      <w:r>
        <w:t xml:space="preserve"> </w:t>
      </w:r>
      <w:proofErr w:type="spellStart"/>
      <w:r>
        <w:t>getirilmeye</w:t>
      </w:r>
      <w:proofErr w:type="spellEnd"/>
      <w:r>
        <w:t xml:space="preserve"> </w:t>
      </w:r>
      <w:proofErr w:type="spellStart"/>
      <w:r>
        <w:t>çalışılacaktır</w:t>
      </w:r>
      <w:proofErr w:type="spellEnd"/>
      <w:r w:rsidRPr="00214D5F">
        <w:t>.</w:t>
      </w:r>
      <w:sdt>
        <w:sdtPr>
          <w:id w:val="1055663638"/>
          <w:citation/>
        </w:sdtPr>
        <w:sdtContent>
          <w:r w:rsidRPr="00214D5F">
            <w:fldChar w:fldCharType="begin"/>
          </w:r>
          <w:r w:rsidRPr="00214D5F">
            <w:instrText xml:space="preserve"> CITATION Eur15 \l 1055 </w:instrText>
          </w:r>
          <w:r w:rsidRPr="00214D5F">
            <w:fldChar w:fldCharType="separate"/>
          </w:r>
          <w:r>
            <w:rPr>
              <w:noProof/>
            </w:rPr>
            <w:t xml:space="preserve"> (European Commission, 2015)</w:t>
          </w:r>
          <w:r w:rsidRPr="00214D5F">
            <w:fldChar w:fldCharType="end"/>
          </w:r>
        </w:sdtContent>
      </w:sdt>
    </w:p>
    <w:p w14:paraId="034B0B4F" w14:textId="77777777" w:rsidR="003B45CB" w:rsidRPr="00214D5F" w:rsidRDefault="003B45CB" w:rsidP="0017453B">
      <w:pPr>
        <w:pStyle w:val="NormalWeb"/>
        <w:spacing w:before="0" w:beforeAutospacing="0" w:after="0" w:afterAutospacing="0"/>
        <w:jc w:val="both"/>
      </w:pPr>
    </w:p>
    <w:p w14:paraId="287E8FD2" w14:textId="77777777" w:rsidR="00914DCC" w:rsidRDefault="00914DCC" w:rsidP="0017453B">
      <w:pPr>
        <w:pStyle w:val="NormalWeb"/>
        <w:spacing w:before="0" w:beforeAutospacing="0" w:after="0" w:afterAutospacing="0"/>
        <w:jc w:val="both"/>
      </w:pPr>
      <w:proofErr w:type="spellStart"/>
      <w:r w:rsidRPr="00214D5F">
        <w:t>Emisyon</w:t>
      </w:r>
      <w:proofErr w:type="spellEnd"/>
      <w:r w:rsidRPr="00214D5F">
        <w:t xml:space="preserve"> </w:t>
      </w:r>
      <w:proofErr w:type="spellStart"/>
      <w:r w:rsidRPr="00214D5F">
        <w:t>ticaret</w:t>
      </w:r>
      <w:proofErr w:type="spellEnd"/>
      <w:r w:rsidRPr="00214D5F">
        <w:t xml:space="preserve"> </w:t>
      </w:r>
      <w:proofErr w:type="spellStart"/>
      <w:r w:rsidRPr="00214D5F">
        <w:t>sistemi</w:t>
      </w:r>
      <w:proofErr w:type="spellEnd"/>
      <w:r w:rsidRPr="00214D5F">
        <w:t xml:space="preserve"> her ne </w:t>
      </w:r>
      <w:proofErr w:type="spellStart"/>
      <w:r w:rsidRPr="00214D5F">
        <w:t>kadar</w:t>
      </w:r>
      <w:proofErr w:type="spellEnd"/>
      <w:r w:rsidRPr="00214D5F">
        <w:t xml:space="preserve"> Kyoto </w:t>
      </w:r>
      <w:proofErr w:type="spellStart"/>
      <w:r w:rsidRPr="00214D5F">
        <w:t>Protokolü</w:t>
      </w:r>
      <w:proofErr w:type="spellEnd"/>
      <w:r w:rsidRPr="00214D5F">
        <w:t xml:space="preserve"> </w:t>
      </w:r>
      <w:proofErr w:type="spellStart"/>
      <w:r w:rsidRPr="00214D5F">
        <w:t>çerçevesinde</w:t>
      </w:r>
      <w:proofErr w:type="spellEnd"/>
      <w:r w:rsidRPr="00214D5F">
        <w:t xml:space="preserve"> </w:t>
      </w:r>
      <w:proofErr w:type="spellStart"/>
      <w:r w:rsidRPr="00214D5F">
        <w:t>büyük</w:t>
      </w:r>
      <w:proofErr w:type="spellEnd"/>
      <w:r w:rsidRPr="00214D5F">
        <w:t xml:space="preserve"> </w:t>
      </w:r>
      <w:proofErr w:type="spellStart"/>
      <w:r w:rsidRPr="00214D5F">
        <w:t>bir</w:t>
      </w:r>
      <w:proofErr w:type="spellEnd"/>
      <w:r w:rsidRPr="00214D5F">
        <w:t xml:space="preserve"> </w:t>
      </w:r>
      <w:proofErr w:type="spellStart"/>
      <w:r w:rsidRPr="00214D5F">
        <w:t>çabanın</w:t>
      </w:r>
      <w:proofErr w:type="spellEnd"/>
      <w:r w:rsidRPr="00214D5F">
        <w:t xml:space="preserve"> </w:t>
      </w:r>
      <w:proofErr w:type="spellStart"/>
      <w:r w:rsidRPr="00214D5F">
        <w:t>ürünü</w:t>
      </w:r>
      <w:proofErr w:type="spellEnd"/>
      <w:r w:rsidRPr="00214D5F">
        <w:t xml:space="preserve"> </w:t>
      </w:r>
      <w:proofErr w:type="spellStart"/>
      <w:r w:rsidRPr="00214D5F">
        <w:t>olarak</w:t>
      </w:r>
      <w:proofErr w:type="spellEnd"/>
      <w:r w:rsidRPr="00214D5F">
        <w:t xml:space="preserve"> </w:t>
      </w:r>
      <w:proofErr w:type="spellStart"/>
      <w:r w:rsidRPr="00214D5F">
        <w:t>uygulanmaya</w:t>
      </w:r>
      <w:proofErr w:type="spellEnd"/>
      <w:r w:rsidRPr="00214D5F">
        <w:t xml:space="preserve"> </w:t>
      </w:r>
      <w:proofErr w:type="spellStart"/>
      <w:r w:rsidRPr="00214D5F">
        <w:t>başlanmış</w:t>
      </w:r>
      <w:proofErr w:type="spellEnd"/>
      <w:r w:rsidRPr="00214D5F">
        <w:t xml:space="preserve"> </w:t>
      </w:r>
      <w:proofErr w:type="spellStart"/>
      <w:r w:rsidRPr="00214D5F">
        <w:t>olsa</w:t>
      </w:r>
      <w:proofErr w:type="spellEnd"/>
      <w:r w:rsidRPr="00214D5F">
        <w:t xml:space="preserve"> da ilk </w:t>
      </w:r>
      <w:proofErr w:type="spellStart"/>
      <w:r w:rsidRPr="00214D5F">
        <w:t>ortaya</w:t>
      </w:r>
      <w:proofErr w:type="spellEnd"/>
      <w:r w:rsidRPr="00214D5F">
        <w:t xml:space="preserve"> </w:t>
      </w:r>
      <w:proofErr w:type="spellStart"/>
      <w:r w:rsidRPr="00214D5F">
        <w:t>koyulduğu</w:t>
      </w:r>
      <w:proofErr w:type="spellEnd"/>
      <w:r w:rsidRPr="00214D5F">
        <w:t xml:space="preserve"> pilot </w:t>
      </w:r>
      <w:proofErr w:type="spellStart"/>
      <w:r w:rsidRPr="00214D5F">
        <w:t>dönemden</w:t>
      </w:r>
      <w:proofErr w:type="spellEnd"/>
      <w:r w:rsidRPr="00214D5F">
        <w:t xml:space="preserve"> </w:t>
      </w:r>
      <w:proofErr w:type="spellStart"/>
      <w:r w:rsidRPr="00214D5F">
        <w:t>itibaren</w:t>
      </w:r>
      <w:proofErr w:type="spellEnd"/>
      <w:r w:rsidRPr="00214D5F">
        <w:t xml:space="preserve"> </w:t>
      </w:r>
      <w:proofErr w:type="spellStart"/>
      <w:r w:rsidRPr="00214D5F">
        <w:t>çeşitli</w:t>
      </w:r>
      <w:proofErr w:type="spellEnd"/>
      <w:r w:rsidRPr="00214D5F">
        <w:t xml:space="preserve"> </w:t>
      </w:r>
      <w:proofErr w:type="spellStart"/>
      <w:r w:rsidRPr="00214D5F">
        <w:t>yapısal</w:t>
      </w:r>
      <w:proofErr w:type="spellEnd"/>
      <w:r w:rsidRPr="00214D5F">
        <w:t xml:space="preserve"> </w:t>
      </w:r>
      <w:proofErr w:type="spellStart"/>
      <w:r w:rsidRPr="00214D5F">
        <w:t>sorunlar</w:t>
      </w:r>
      <w:proofErr w:type="spellEnd"/>
      <w:r w:rsidRPr="00214D5F">
        <w:t xml:space="preserve"> </w:t>
      </w:r>
      <w:proofErr w:type="spellStart"/>
      <w:r w:rsidRPr="00214D5F">
        <w:t>ortaya</w:t>
      </w:r>
      <w:proofErr w:type="spellEnd"/>
      <w:r w:rsidRPr="00214D5F">
        <w:t xml:space="preserve"> </w:t>
      </w:r>
      <w:proofErr w:type="spellStart"/>
      <w:r w:rsidRPr="00214D5F">
        <w:t>çıkmıştır</w:t>
      </w:r>
      <w:proofErr w:type="spellEnd"/>
      <w:r w:rsidRPr="00214D5F">
        <w:t xml:space="preserve">. </w:t>
      </w:r>
      <w:proofErr w:type="spellStart"/>
      <w:r w:rsidRPr="00214D5F">
        <w:t>Özellikle</w:t>
      </w:r>
      <w:proofErr w:type="spellEnd"/>
      <w:r w:rsidRPr="00214D5F">
        <w:t xml:space="preserve"> </w:t>
      </w:r>
      <w:proofErr w:type="spellStart"/>
      <w:r w:rsidRPr="00214D5F">
        <w:t>emisyon</w:t>
      </w:r>
      <w:proofErr w:type="spellEnd"/>
      <w:r w:rsidRPr="00214D5F">
        <w:t xml:space="preserve"> </w:t>
      </w:r>
      <w:proofErr w:type="spellStart"/>
      <w:r w:rsidRPr="00214D5F">
        <w:t>izinlerinin</w:t>
      </w:r>
      <w:proofErr w:type="spellEnd"/>
      <w:r w:rsidRPr="00214D5F">
        <w:t xml:space="preserve"> </w:t>
      </w:r>
      <w:proofErr w:type="spellStart"/>
      <w:r w:rsidRPr="00214D5F">
        <w:t>alınıp</w:t>
      </w:r>
      <w:proofErr w:type="spellEnd"/>
      <w:r w:rsidRPr="00214D5F">
        <w:t xml:space="preserve"> </w:t>
      </w:r>
      <w:proofErr w:type="spellStart"/>
      <w:r w:rsidRPr="00214D5F">
        <w:t>satılabilmesi</w:t>
      </w:r>
      <w:proofErr w:type="spellEnd"/>
      <w:r w:rsidRPr="00214D5F">
        <w:t xml:space="preserve"> </w:t>
      </w:r>
      <w:proofErr w:type="spellStart"/>
      <w:r w:rsidRPr="00214D5F">
        <w:t>sonucu</w:t>
      </w:r>
      <w:proofErr w:type="spellEnd"/>
      <w:r w:rsidRPr="00214D5F">
        <w:t xml:space="preserve"> </w:t>
      </w:r>
      <w:proofErr w:type="spellStart"/>
      <w:r w:rsidRPr="00214D5F">
        <w:t>piyasada</w:t>
      </w:r>
      <w:proofErr w:type="spellEnd"/>
      <w:r w:rsidRPr="00214D5F">
        <w:t xml:space="preserve"> </w:t>
      </w:r>
      <w:proofErr w:type="spellStart"/>
      <w:r w:rsidRPr="00214D5F">
        <w:t>arz</w:t>
      </w:r>
      <w:proofErr w:type="spellEnd"/>
      <w:r w:rsidRPr="00214D5F">
        <w:t xml:space="preserve"> </w:t>
      </w:r>
      <w:proofErr w:type="spellStart"/>
      <w:r w:rsidRPr="00214D5F">
        <w:t>fazlası</w:t>
      </w:r>
      <w:proofErr w:type="spellEnd"/>
      <w:r w:rsidRPr="00214D5F">
        <w:t xml:space="preserve"> </w:t>
      </w:r>
      <w:proofErr w:type="spellStart"/>
      <w:r w:rsidRPr="00214D5F">
        <w:t>oluşmuş</w:t>
      </w:r>
      <w:proofErr w:type="spellEnd"/>
      <w:r w:rsidRPr="00214D5F">
        <w:t xml:space="preserve"> </w:t>
      </w:r>
      <w:proofErr w:type="spellStart"/>
      <w:r w:rsidRPr="00214D5F">
        <w:t>dolayısıyla</w:t>
      </w:r>
      <w:proofErr w:type="spellEnd"/>
      <w:r w:rsidRPr="00214D5F">
        <w:t xml:space="preserve"> </w:t>
      </w:r>
      <w:proofErr w:type="spellStart"/>
      <w:r w:rsidRPr="00214D5F">
        <w:t>fiyatlar</w:t>
      </w:r>
      <w:proofErr w:type="spellEnd"/>
      <w:r w:rsidRPr="00214D5F">
        <w:t xml:space="preserve"> </w:t>
      </w:r>
      <w:proofErr w:type="spellStart"/>
      <w:r w:rsidRPr="00214D5F">
        <w:t>düşük</w:t>
      </w:r>
      <w:proofErr w:type="spellEnd"/>
      <w:r w:rsidRPr="00214D5F">
        <w:t xml:space="preserve"> </w:t>
      </w:r>
      <w:proofErr w:type="spellStart"/>
      <w:r w:rsidRPr="00214D5F">
        <w:t>kalmıştır</w:t>
      </w:r>
      <w:proofErr w:type="spellEnd"/>
      <w:r w:rsidRPr="00214D5F">
        <w:t xml:space="preserve">. Bu </w:t>
      </w:r>
      <w:proofErr w:type="spellStart"/>
      <w:r w:rsidRPr="00214D5F">
        <w:t>durumun</w:t>
      </w:r>
      <w:proofErr w:type="spellEnd"/>
      <w:r w:rsidRPr="00214D5F">
        <w:t xml:space="preserve"> </w:t>
      </w:r>
      <w:proofErr w:type="spellStart"/>
      <w:r w:rsidRPr="00214D5F">
        <w:t>sonucu</w:t>
      </w:r>
      <w:proofErr w:type="spellEnd"/>
      <w:r w:rsidRPr="00214D5F">
        <w:t xml:space="preserve"> </w:t>
      </w:r>
      <w:proofErr w:type="spellStart"/>
      <w:r w:rsidRPr="00214D5F">
        <w:t>olarak</w:t>
      </w:r>
      <w:proofErr w:type="spellEnd"/>
      <w:r w:rsidRPr="00214D5F">
        <w:t xml:space="preserve"> </w:t>
      </w:r>
      <w:proofErr w:type="spellStart"/>
      <w:r w:rsidRPr="00214D5F">
        <w:t>hedeflenen</w:t>
      </w:r>
      <w:proofErr w:type="spellEnd"/>
      <w:r w:rsidRPr="00214D5F">
        <w:t xml:space="preserve"> </w:t>
      </w:r>
      <w:proofErr w:type="spellStart"/>
      <w:r w:rsidRPr="00214D5F">
        <w:t>emisyon</w:t>
      </w:r>
      <w:proofErr w:type="spellEnd"/>
      <w:r w:rsidRPr="00214D5F">
        <w:t xml:space="preserve"> </w:t>
      </w:r>
      <w:proofErr w:type="spellStart"/>
      <w:r w:rsidRPr="00214D5F">
        <w:t>azaltımını</w:t>
      </w:r>
      <w:proofErr w:type="spellEnd"/>
      <w:r w:rsidRPr="00214D5F">
        <w:t xml:space="preserve"> </w:t>
      </w:r>
      <w:proofErr w:type="spellStart"/>
      <w:r w:rsidRPr="00214D5F">
        <w:t>sağlamada</w:t>
      </w:r>
      <w:proofErr w:type="spellEnd"/>
      <w:r w:rsidRPr="00214D5F">
        <w:t xml:space="preserve"> </w:t>
      </w:r>
      <w:proofErr w:type="spellStart"/>
      <w:r w:rsidRPr="00214D5F">
        <w:t>yetersiz</w:t>
      </w:r>
      <w:proofErr w:type="spellEnd"/>
      <w:r w:rsidRPr="00214D5F">
        <w:t xml:space="preserve"> </w:t>
      </w:r>
      <w:proofErr w:type="spellStart"/>
      <w:r w:rsidRPr="00214D5F">
        <w:t>bir</w:t>
      </w:r>
      <w:proofErr w:type="spellEnd"/>
      <w:r w:rsidRPr="00214D5F">
        <w:t xml:space="preserve"> </w:t>
      </w:r>
      <w:proofErr w:type="spellStart"/>
      <w:r w:rsidRPr="00214D5F">
        <w:t>seviyede</w:t>
      </w:r>
      <w:proofErr w:type="spellEnd"/>
      <w:r w:rsidRPr="00214D5F">
        <w:t xml:space="preserve"> </w:t>
      </w:r>
      <w:proofErr w:type="spellStart"/>
      <w:r w:rsidRPr="00214D5F">
        <w:t>kalınmıştır</w:t>
      </w:r>
      <w:proofErr w:type="spellEnd"/>
      <w:r w:rsidRPr="00214D5F">
        <w:t xml:space="preserve">. AB </w:t>
      </w:r>
      <w:proofErr w:type="spellStart"/>
      <w:r w:rsidRPr="00214D5F">
        <w:t>bu</w:t>
      </w:r>
      <w:proofErr w:type="spellEnd"/>
      <w:r w:rsidRPr="00214D5F">
        <w:t xml:space="preserve"> </w:t>
      </w:r>
      <w:proofErr w:type="spellStart"/>
      <w:r w:rsidRPr="00214D5F">
        <w:t>sorunla</w:t>
      </w:r>
      <w:proofErr w:type="spellEnd"/>
      <w:r w:rsidRPr="00214D5F">
        <w:t xml:space="preserve"> </w:t>
      </w:r>
      <w:proofErr w:type="spellStart"/>
      <w:r w:rsidRPr="00214D5F">
        <w:t>mücadele</w:t>
      </w:r>
      <w:proofErr w:type="spellEnd"/>
      <w:r w:rsidRPr="00214D5F">
        <w:t xml:space="preserve"> </w:t>
      </w:r>
      <w:proofErr w:type="spellStart"/>
      <w:r w:rsidRPr="00214D5F">
        <w:t>edebilmek</w:t>
      </w:r>
      <w:proofErr w:type="spellEnd"/>
      <w:r w:rsidRPr="00214D5F">
        <w:t xml:space="preserve"> </w:t>
      </w:r>
      <w:proofErr w:type="spellStart"/>
      <w:r w:rsidRPr="00214D5F">
        <w:t>için</w:t>
      </w:r>
      <w:proofErr w:type="spellEnd"/>
      <w:r w:rsidRPr="00214D5F">
        <w:t xml:space="preserve"> </w:t>
      </w:r>
      <w:proofErr w:type="spellStart"/>
      <w:r w:rsidRPr="00214D5F">
        <w:t>çeşitli</w:t>
      </w:r>
      <w:proofErr w:type="spellEnd"/>
      <w:r w:rsidRPr="00214D5F">
        <w:t xml:space="preserve"> </w:t>
      </w:r>
      <w:proofErr w:type="spellStart"/>
      <w:r w:rsidRPr="00214D5F">
        <w:t>reformlara</w:t>
      </w:r>
      <w:proofErr w:type="spellEnd"/>
      <w:r w:rsidRPr="00214D5F">
        <w:t xml:space="preserve"> </w:t>
      </w:r>
      <w:proofErr w:type="spellStart"/>
      <w:r w:rsidRPr="00214D5F">
        <w:t>başvurmuştur</w:t>
      </w:r>
      <w:proofErr w:type="spellEnd"/>
      <w:r w:rsidRPr="00214D5F">
        <w:t xml:space="preserve">. </w:t>
      </w:r>
      <w:proofErr w:type="spellStart"/>
      <w:r w:rsidRPr="00214D5F">
        <w:t>Emisyon</w:t>
      </w:r>
      <w:proofErr w:type="spellEnd"/>
      <w:r w:rsidRPr="00214D5F">
        <w:t xml:space="preserve"> </w:t>
      </w:r>
      <w:proofErr w:type="spellStart"/>
      <w:r w:rsidRPr="00214D5F">
        <w:t>izinlerinin</w:t>
      </w:r>
      <w:proofErr w:type="spellEnd"/>
      <w:r w:rsidRPr="00214D5F">
        <w:t xml:space="preserve"> </w:t>
      </w:r>
      <w:proofErr w:type="spellStart"/>
      <w:r w:rsidRPr="00214D5F">
        <w:t>sınırlandırılması</w:t>
      </w:r>
      <w:proofErr w:type="spellEnd"/>
      <w:r w:rsidRPr="00214D5F">
        <w:t xml:space="preserve">, </w:t>
      </w:r>
      <w:proofErr w:type="spellStart"/>
      <w:r w:rsidRPr="00214D5F">
        <w:t>izin</w:t>
      </w:r>
      <w:proofErr w:type="spellEnd"/>
      <w:r w:rsidRPr="00214D5F">
        <w:t xml:space="preserve"> </w:t>
      </w:r>
      <w:proofErr w:type="spellStart"/>
      <w:r w:rsidRPr="00214D5F">
        <w:t>arzında</w:t>
      </w:r>
      <w:proofErr w:type="spellEnd"/>
      <w:r w:rsidRPr="00214D5F">
        <w:t xml:space="preserve"> </w:t>
      </w:r>
      <w:proofErr w:type="spellStart"/>
      <w:r w:rsidRPr="00214D5F">
        <w:t>azaltımlar</w:t>
      </w:r>
      <w:proofErr w:type="spellEnd"/>
      <w:r w:rsidRPr="00214D5F">
        <w:t xml:space="preserve"> </w:t>
      </w:r>
      <w:proofErr w:type="spellStart"/>
      <w:r w:rsidRPr="00214D5F">
        <w:t>ve</w:t>
      </w:r>
      <w:proofErr w:type="spellEnd"/>
      <w:r w:rsidRPr="00214D5F">
        <w:t xml:space="preserve"> </w:t>
      </w:r>
      <w:proofErr w:type="spellStart"/>
      <w:r w:rsidRPr="00214D5F">
        <w:t>daha</w:t>
      </w:r>
      <w:proofErr w:type="spellEnd"/>
      <w:r w:rsidRPr="00214D5F">
        <w:t xml:space="preserve"> </w:t>
      </w:r>
      <w:proofErr w:type="spellStart"/>
      <w:r w:rsidRPr="00214D5F">
        <w:t>sıkı</w:t>
      </w:r>
      <w:proofErr w:type="spellEnd"/>
      <w:r w:rsidRPr="00214D5F">
        <w:t xml:space="preserve"> </w:t>
      </w:r>
      <w:proofErr w:type="spellStart"/>
      <w:r w:rsidRPr="00214D5F">
        <w:t>emisyon</w:t>
      </w:r>
      <w:proofErr w:type="spellEnd"/>
      <w:r w:rsidRPr="00214D5F">
        <w:t xml:space="preserve"> </w:t>
      </w:r>
      <w:proofErr w:type="spellStart"/>
      <w:r w:rsidRPr="00214D5F">
        <w:t>azaltım</w:t>
      </w:r>
      <w:proofErr w:type="spellEnd"/>
      <w:r w:rsidRPr="00214D5F">
        <w:t xml:space="preserve"> </w:t>
      </w:r>
      <w:proofErr w:type="spellStart"/>
      <w:r w:rsidRPr="00214D5F">
        <w:t>hedefleri</w:t>
      </w:r>
      <w:proofErr w:type="spellEnd"/>
      <w:r w:rsidRPr="00214D5F">
        <w:t xml:space="preserve">, </w:t>
      </w:r>
      <w:proofErr w:type="spellStart"/>
      <w:r w:rsidRPr="00214D5F">
        <w:t>sistemin</w:t>
      </w:r>
      <w:proofErr w:type="spellEnd"/>
      <w:r w:rsidRPr="00214D5F">
        <w:t xml:space="preserve"> </w:t>
      </w:r>
      <w:proofErr w:type="spellStart"/>
      <w:r w:rsidRPr="00214D5F">
        <w:t>işleyişinde</w:t>
      </w:r>
      <w:proofErr w:type="spellEnd"/>
      <w:r w:rsidRPr="00214D5F">
        <w:t xml:space="preserve"> </w:t>
      </w:r>
      <w:proofErr w:type="spellStart"/>
      <w:r w:rsidRPr="00214D5F">
        <w:t>önemli</w:t>
      </w:r>
      <w:proofErr w:type="spellEnd"/>
      <w:r w:rsidRPr="00214D5F">
        <w:t xml:space="preserve"> </w:t>
      </w:r>
      <w:proofErr w:type="spellStart"/>
      <w:r w:rsidRPr="00214D5F">
        <w:t>iyileşmeler</w:t>
      </w:r>
      <w:proofErr w:type="spellEnd"/>
      <w:r w:rsidRPr="00214D5F">
        <w:t xml:space="preserve"> </w:t>
      </w:r>
      <w:proofErr w:type="spellStart"/>
      <w:r w:rsidRPr="00214D5F">
        <w:t>sağlamıştır</w:t>
      </w:r>
      <w:proofErr w:type="spellEnd"/>
      <w:r w:rsidRPr="00214D5F">
        <w:t xml:space="preserve">. </w:t>
      </w:r>
      <w:proofErr w:type="spellStart"/>
      <w:r w:rsidRPr="00214D5F">
        <w:t>Atılan</w:t>
      </w:r>
      <w:proofErr w:type="spellEnd"/>
      <w:r w:rsidRPr="00214D5F">
        <w:t xml:space="preserve"> </w:t>
      </w:r>
      <w:proofErr w:type="spellStart"/>
      <w:r w:rsidRPr="00214D5F">
        <w:t>adımlar</w:t>
      </w:r>
      <w:proofErr w:type="spellEnd"/>
      <w:r w:rsidRPr="00214D5F">
        <w:t xml:space="preserve"> 2019 </w:t>
      </w:r>
      <w:proofErr w:type="spellStart"/>
      <w:r w:rsidRPr="00214D5F">
        <w:t>sonrasında</w:t>
      </w:r>
      <w:proofErr w:type="spellEnd"/>
      <w:r w:rsidRPr="00214D5F">
        <w:t xml:space="preserve"> ilk </w:t>
      </w:r>
      <w:proofErr w:type="spellStart"/>
      <w:r w:rsidRPr="00214D5F">
        <w:t>meyvelerini</w:t>
      </w:r>
      <w:proofErr w:type="spellEnd"/>
      <w:r w:rsidRPr="00214D5F">
        <w:t xml:space="preserve"> </w:t>
      </w:r>
      <w:proofErr w:type="spellStart"/>
      <w:r w:rsidRPr="00214D5F">
        <w:t>vermiş</w:t>
      </w:r>
      <w:proofErr w:type="spellEnd"/>
      <w:r w:rsidRPr="00214D5F">
        <w:t xml:space="preserve"> </w:t>
      </w:r>
      <w:proofErr w:type="spellStart"/>
      <w:r w:rsidRPr="00214D5F">
        <w:t>ve</w:t>
      </w:r>
      <w:proofErr w:type="spellEnd"/>
      <w:r w:rsidRPr="00214D5F">
        <w:t xml:space="preserve"> </w:t>
      </w:r>
      <w:proofErr w:type="spellStart"/>
      <w:r w:rsidRPr="00214D5F">
        <w:t>karbon</w:t>
      </w:r>
      <w:proofErr w:type="spellEnd"/>
      <w:r w:rsidRPr="00214D5F">
        <w:t xml:space="preserve"> </w:t>
      </w:r>
      <w:proofErr w:type="spellStart"/>
      <w:r w:rsidRPr="00214D5F">
        <w:t>fiyatları</w:t>
      </w:r>
      <w:proofErr w:type="spellEnd"/>
      <w:r w:rsidRPr="00214D5F">
        <w:t xml:space="preserve"> </w:t>
      </w:r>
      <w:proofErr w:type="spellStart"/>
      <w:r w:rsidRPr="00214D5F">
        <w:t>ciddi</w:t>
      </w:r>
      <w:proofErr w:type="spellEnd"/>
      <w:r w:rsidRPr="00214D5F">
        <w:t xml:space="preserve"> </w:t>
      </w:r>
      <w:proofErr w:type="spellStart"/>
      <w:r w:rsidRPr="00214D5F">
        <w:t>artış</w:t>
      </w:r>
      <w:proofErr w:type="spellEnd"/>
      <w:r w:rsidRPr="00214D5F">
        <w:t xml:space="preserve"> </w:t>
      </w:r>
      <w:proofErr w:type="spellStart"/>
      <w:r w:rsidRPr="00214D5F">
        <w:t>göstermiştir</w:t>
      </w:r>
      <w:proofErr w:type="spellEnd"/>
      <w:r w:rsidRPr="00214D5F">
        <w:t xml:space="preserve">. 2023 </w:t>
      </w:r>
      <w:proofErr w:type="spellStart"/>
      <w:r w:rsidRPr="00214D5F">
        <w:t>şubat</w:t>
      </w:r>
      <w:proofErr w:type="spellEnd"/>
      <w:r w:rsidRPr="00214D5F">
        <w:t xml:space="preserve"> </w:t>
      </w:r>
      <w:proofErr w:type="spellStart"/>
      <w:r w:rsidRPr="00214D5F">
        <w:t>itibarıyla</w:t>
      </w:r>
      <w:proofErr w:type="spellEnd"/>
      <w:r w:rsidRPr="00214D5F">
        <w:t xml:space="preserve"> </w:t>
      </w:r>
      <w:proofErr w:type="spellStart"/>
      <w:r w:rsidRPr="00214D5F">
        <w:t>fiyatlar</w:t>
      </w:r>
      <w:proofErr w:type="spellEnd"/>
      <w:r w:rsidRPr="00214D5F">
        <w:t xml:space="preserve"> </w:t>
      </w:r>
      <w:proofErr w:type="gramStart"/>
      <w:r w:rsidRPr="00214D5F">
        <w:t>100 euro</w:t>
      </w:r>
      <w:proofErr w:type="gramEnd"/>
      <w:r w:rsidRPr="00214D5F">
        <w:t xml:space="preserve"> </w:t>
      </w:r>
      <w:proofErr w:type="spellStart"/>
      <w:r w:rsidRPr="00214D5F">
        <w:t>civarında</w:t>
      </w:r>
      <w:proofErr w:type="spellEnd"/>
      <w:r w:rsidRPr="00214D5F">
        <w:t xml:space="preserve"> </w:t>
      </w:r>
      <w:proofErr w:type="spellStart"/>
      <w:r w:rsidRPr="00214D5F">
        <w:t>işlem</w:t>
      </w:r>
      <w:proofErr w:type="spellEnd"/>
      <w:r w:rsidRPr="00214D5F">
        <w:t xml:space="preserve"> </w:t>
      </w:r>
      <w:proofErr w:type="spellStart"/>
      <w:r w:rsidRPr="00214D5F">
        <w:t>görmektedir</w:t>
      </w:r>
      <w:proofErr w:type="spellEnd"/>
      <w:r w:rsidRPr="00214D5F">
        <w:t xml:space="preserve">. </w:t>
      </w:r>
      <w:proofErr w:type="spellStart"/>
      <w:r w:rsidRPr="00214D5F">
        <w:t>Varılan</w:t>
      </w:r>
      <w:proofErr w:type="spellEnd"/>
      <w:r w:rsidRPr="00214D5F">
        <w:t xml:space="preserve"> </w:t>
      </w:r>
      <w:proofErr w:type="spellStart"/>
      <w:r w:rsidRPr="00214D5F">
        <w:t>noktada</w:t>
      </w:r>
      <w:proofErr w:type="spellEnd"/>
      <w:r w:rsidRPr="00214D5F">
        <w:t xml:space="preserve"> </w:t>
      </w:r>
      <w:proofErr w:type="gramStart"/>
      <w:r w:rsidRPr="00214D5F">
        <w:t xml:space="preserve">AB,  </w:t>
      </w:r>
      <w:proofErr w:type="spellStart"/>
      <w:r w:rsidRPr="00214D5F">
        <w:t>sanayinin</w:t>
      </w:r>
      <w:proofErr w:type="spellEnd"/>
      <w:proofErr w:type="gramEnd"/>
      <w:r w:rsidRPr="00214D5F">
        <w:t xml:space="preserve"> </w:t>
      </w:r>
      <w:proofErr w:type="spellStart"/>
      <w:r w:rsidRPr="00214D5F">
        <w:t>daha</w:t>
      </w:r>
      <w:proofErr w:type="spellEnd"/>
      <w:r w:rsidRPr="00214D5F">
        <w:t xml:space="preserve"> </w:t>
      </w:r>
      <w:proofErr w:type="spellStart"/>
      <w:r w:rsidRPr="00214D5F">
        <w:t>yeşil</w:t>
      </w:r>
      <w:proofErr w:type="spellEnd"/>
      <w:r w:rsidRPr="00214D5F">
        <w:t xml:space="preserve"> </w:t>
      </w:r>
      <w:proofErr w:type="spellStart"/>
      <w:r w:rsidRPr="00214D5F">
        <w:t>üretim</w:t>
      </w:r>
      <w:proofErr w:type="spellEnd"/>
      <w:r w:rsidRPr="00214D5F">
        <w:t xml:space="preserve"> </w:t>
      </w:r>
      <w:proofErr w:type="spellStart"/>
      <w:r w:rsidRPr="00214D5F">
        <w:t>yapmasını</w:t>
      </w:r>
      <w:proofErr w:type="spellEnd"/>
      <w:r w:rsidRPr="00214D5F">
        <w:t xml:space="preserve"> </w:t>
      </w:r>
      <w:proofErr w:type="spellStart"/>
      <w:r w:rsidRPr="00214D5F">
        <w:t>piyasayı</w:t>
      </w:r>
      <w:proofErr w:type="spellEnd"/>
      <w:r w:rsidRPr="00214D5F">
        <w:t xml:space="preserve"> </w:t>
      </w:r>
      <w:proofErr w:type="spellStart"/>
      <w:r w:rsidRPr="00214D5F">
        <w:t>bu</w:t>
      </w:r>
      <w:proofErr w:type="spellEnd"/>
      <w:r w:rsidRPr="00214D5F">
        <w:t xml:space="preserve"> </w:t>
      </w:r>
      <w:proofErr w:type="spellStart"/>
      <w:r w:rsidRPr="00214D5F">
        <w:t>şekilde</w:t>
      </w:r>
      <w:proofErr w:type="spellEnd"/>
      <w:r w:rsidRPr="00214D5F">
        <w:t xml:space="preserve"> </w:t>
      </w:r>
      <w:proofErr w:type="spellStart"/>
      <w:r w:rsidRPr="00214D5F">
        <w:t>yönlendirerek</w:t>
      </w:r>
      <w:proofErr w:type="spellEnd"/>
      <w:r w:rsidRPr="00214D5F">
        <w:t xml:space="preserve"> </w:t>
      </w:r>
      <w:proofErr w:type="spellStart"/>
      <w:r w:rsidRPr="00214D5F">
        <w:t>sağlamaktadır</w:t>
      </w:r>
      <w:proofErr w:type="spellEnd"/>
      <w:r w:rsidRPr="00214D5F">
        <w:t>.</w:t>
      </w:r>
      <w:sdt>
        <w:sdtPr>
          <w:id w:val="-1127466866"/>
          <w:citation/>
        </w:sdtPr>
        <w:sdtContent>
          <w:r w:rsidRPr="00214D5F">
            <w:fldChar w:fldCharType="begin"/>
          </w:r>
          <w:r w:rsidRPr="00214D5F">
            <w:instrText xml:space="preserve"> CITATION Wor23 \l 1055 </w:instrText>
          </w:r>
          <w:r w:rsidRPr="00214D5F">
            <w:fldChar w:fldCharType="separate"/>
          </w:r>
          <w:r>
            <w:rPr>
              <w:noProof/>
            </w:rPr>
            <w:t xml:space="preserve"> (World Bank, 2023)</w:t>
          </w:r>
          <w:r w:rsidRPr="00214D5F">
            <w:fldChar w:fldCharType="end"/>
          </w:r>
        </w:sdtContent>
      </w:sdt>
    </w:p>
    <w:p w14:paraId="4BF418F5" w14:textId="77777777" w:rsidR="003B45CB" w:rsidRPr="00214D5F" w:rsidRDefault="003B45CB" w:rsidP="0017453B">
      <w:pPr>
        <w:pStyle w:val="NormalWeb"/>
        <w:spacing w:before="0" w:beforeAutospacing="0" w:after="0" w:afterAutospacing="0"/>
        <w:jc w:val="both"/>
      </w:pPr>
    </w:p>
    <w:p w14:paraId="1A6039F7" w14:textId="77777777" w:rsidR="00914DCC" w:rsidRPr="00214D5F" w:rsidRDefault="00914DCC" w:rsidP="0017453B">
      <w:pPr>
        <w:pStyle w:val="NormalWeb"/>
        <w:spacing w:before="0" w:beforeAutospacing="0" w:after="0" w:afterAutospacing="0"/>
        <w:jc w:val="both"/>
      </w:pPr>
      <w:r w:rsidRPr="00214D5F">
        <w:t xml:space="preserve">AB, 2030 </w:t>
      </w:r>
      <w:proofErr w:type="spellStart"/>
      <w:r w:rsidRPr="00214D5F">
        <w:t>yılına</w:t>
      </w:r>
      <w:proofErr w:type="spellEnd"/>
      <w:r w:rsidRPr="00214D5F">
        <w:t xml:space="preserve"> </w:t>
      </w:r>
      <w:proofErr w:type="spellStart"/>
      <w:r w:rsidRPr="00214D5F">
        <w:t>kadar</w:t>
      </w:r>
      <w:proofErr w:type="spellEnd"/>
      <w:r w:rsidRPr="00214D5F">
        <w:t xml:space="preserve"> </w:t>
      </w:r>
      <w:proofErr w:type="spellStart"/>
      <w:r w:rsidRPr="00214D5F">
        <w:t>emisyonlarını</w:t>
      </w:r>
      <w:proofErr w:type="spellEnd"/>
      <w:r w:rsidRPr="00214D5F">
        <w:t xml:space="preserve"> </w:t>
      </w:r>
      <w:proofErr w:type="spellStart"/>
      <w:r w:rsidRPr="00214D5F">
        <w:t>en</w:t>
      </w:r>
      <w:proofErr w:type="spellEnd"/>
      <w:r w:rsidRPr="00214D5F">
        <w:t xml:space="preserve"> </w:t>
      </w:r>
      <w:proofErr w:type="spellStart"/>
      <w:r w:rsidRPr="00214D5F">
        <w:t>az</w:t>
      </w:r>
      <w:proofErr w:type="spellEnd"/>
      <w:r w:rsidRPr="00214D5F">
        <w:t xml:space="preserve"> </w:t>
      </w:r>
      <w:proofErr w:type="spellStart"/>
      <w:r w:rsidRPr="00214D5F">
        <w:t>yüzde</w:t>
      </w:r>
      <w:proofErr w:type="spellEnd"/>
      <w:r w:rsidRPr="00214D5F">
        <w:t xml:space="preserve"> 55 </w:t>
      </w:r>
      <w:proofErr w:type="spellStart"/>
      <w:r w:rsidRPr="00214D5F">
        <w:t>azaltmayı</w:t>
      </w:r>
      <w:proofErr w:type="spellEnd"/>
      <w:r w:rsidRPr="00214D5F">
        <w:t xml:space="preserve"> </w:t>
      </w:r>
      <w:proofErr w:type="spellStart"/>
      <w:r w:rsidRPr="00214D5F">
        <w:t>ve</w:t>
      </w:r>
      <w:proofErr w:type="spellEnd"/>
      <w:r w:rsidRPr="00214D5F">
        <w:t xml:space="preserve"> 2050 </w:t>
      </w:r>
      <w:proofErr w:type="spellStart"/>
      <w:r w:rsidRPr="00214D5F">
        <w:t>yılında</w:t>
      </w:r>
      <w:proofErr w:type="spellEnd"/>
      <w:r w:rsidRPr="00214D5F">
        <w:t xml:space="preserve"> </w:t>
      </w:r>
      <w:proofErr w:type="spellStart"/>
      <w:r w:rsidRPr="00214D5F">
        <w:t>emisyonlarını</w:t>
      </w:r>
      <w:proofErr w:type="spellEnd"/>
      <w:r w:rsidRPr="00214D5F">
        <w:t xml:space="preserve"> </w:t>
      </w:r>
      <w:proofErr w:type="spellStart"/>
      <w:r w:rsidRPr="00214D5F">
        <w:t>sıfırlayarak</w:t>
      </w:r>
      <w:proofErr w:type="spellEnd"/>
      <w:r w:rsidRPr="00214D5F">
        <w:t xml:space="preserve"> ilk </w:t>
      </w:r>
      <w:proofErr w:type="spellStart"/>
      <w:r w:rsidRPr="00214D5F">
        <w:t>iklim</w:t>
      </w:r>
      <w:proofErr w:type="spellEnd"/>
      <w:r w:rsidRPr="00214D5F">
        <w:t xml:space="preserve"> </w:t>
      </w:r>
      <w:proofErr w:type="spellStart"/>
      <w:r w:rsidRPr="00214D5F">
        <w:t>nötr</w:t>
      </w:r>
      <w:proofErr w:type="spellEnd"/>
      <w:r w:rsidRPr="00214D5F">
        <w:t xml:space="preserve"> </w:t>
      </w:r>
      <w:proofErr w:type="spellStart"/>
      <w:r w:rsidRPr="00214D5F">
        <w:t>kıta</w:t>
      </w:r>
      <w:proofErr w:type="spellEnd"/>
      <w:r w:rsidRPr="00214D5F">
        <w:t xml:space="preserve"> </w:t>
      </w:r>
      <w:proofErr w:type="spellStart"/>
      <w:r w:rsidRPr="00214D5F">
        <w:t>olma</w:t>
      </w:r>
      <w:proofErr w:type="spellEnd"/>
      <w:r w:rsidRPr="00214D5F">
        <w:t xml:space="preserve"> </w:t>
      </w:r>
      <w:proofErr w:type="spellStart"/>
      <w:r w:rsidRPr="00214D5F">
        <w:t>hedefini</w:t>
      </w:r>
      <w:proofErr w:type="spellEnd"/>
      <w:r w:rsidRPr="00214D5F">
        <w:t xml:space="preserve"> 2019 </w:t>
      </w:r>
      <w:proofErr w:type="spellStart"/>
      <w:r w:rsidRPr="00214D5F">
        <w:t>yılındaki</w:t>
      </w:r>
      <w:proofErr w:type="spellEnd"/>
      <w:r w:rsidRPr="00214D5F">
        <w:t xml:space="preserve"> </w:t>
      </w:r>
      <w:proofErr w:type="spellStart"/>
      <w:r w:rsidRPr="00214D5F">
        <w:t>Avrupa</w:t>
      </w:r>
      <w:proofErr w:type="spellEnd"/>
      <w:r w:rsidRPr="00214D5F">
        <w:t xml:space="preserve"> Yeşil </w:t>
      </w:r>
      <w:proofErr w:type="spellStart"/>
      <w:r w:rsidRPr="00214D5F">
        <w:t>Mutabakatı</w:t>
      </w:r>
      <w:proofErr w:type="spellEnd"/>
      <w:r w:rsidRPr="00214D5F">
        <w:t xml:space="preserve"> </w:t>
      </w:r>
      <w:proofErr w:type="spellStart"/>
      <w:r w:rsidRPr="00214D5F">
        <w:t>ile</w:t>
      </w:r>
      <w:proofErr w:type="spellEnd"/>
      <w:r w:rsidRPr="00214D5F">
        <w:t xml:space="preserve"> </w:t>
      </w:r>
      <w:proofErr w:type="spellStart"/>
      <w:r w:rsidRPr="00214D5F">
        <w:t>ortaya</w:t>
      </w:r>
      <w:proofErr w:type="spellEnd"/>
      <w:r w:rsidRPr="00214D5F">
        <w:t xml:space="preserve"> </w:t>
      </w:r>
      <w:proofErr w:type="spellStart"/>
      <w:r w:rsidRPr="00214D5F">
        <w:t>koymuştur</w:t>
      </w:r>
      <w:proofErr w:type="spellEnd"/>
      <w:r w:rsidRPr="00214D5F">
        <w:t xml:space="preserve">. </w:t>
      </w:r>
      <w:proofErr w:type="spellStart"/>
      <w:r w:rsidRPr="00214D5F">
        <w:t>Ancak</w:t>
      </w:r>
      <w:proofErr w:type="spellEnd"/>
      <w:r w:rsidRPr="00214D5F">
        <w:t xml:space="preserve"> </w:t>
      </w:r>
      <w:proofErr w:type="spellStart"/>
      <w:r w:rsidRPr="00214D5F">
        <w:t>bu</w:t>
      </w:r>
      <w:proofErr w:type="spellEnd"/>
      <w:r w:rsidRPr="00214D5F">
        <w:t xml:space="preserve"> </w:t>
      </w:r>
      <w:proofErr w:type="spellStart"/>
      <w:r w:rsidRPr="00214D5F">
        <w:t>çabayı</w:t>
      </w:r>
      <w:proofErr w:type="spellEnd"/>
      <w:r w:rsidRPr="00214D5F">
        <w:t xml:space="preserve"> </w:t>
      </w:r>
      <w:proofErr w:type="spellStart"/>
      <w:r w:rsidRPr="00214D5F">
        <w:t>sadece</w:t>
      </w:r>
      <w:proofErr w:type="spellEnd"/>
      <w:r w:rsidRPr="00214D5F">
        <w:t xml:space="preserve"> </w:t>
      </w:r>
      <w:proofErr w:type="spellStart"/>
      <w:r w:rsidRPr="00214D5F">
        <w:t>Avrupa</w:t>
      </w:r>
      <w:proofErr w:type="spellEnd"/>
      <w:r w:rsidRPr="00214D5F">
        <w:t xml:space="preserve"> </w:t>
      </w:r>
      <w:proofErr w:type="spellStart"/>
      <w:r w:rsidRPr="00214D5F">
        <w:t>Birliği</w:t>
      </w:r>
      <w:proofErr w:type="spellEnd"/>
      <w:r w:rsidRPr="00214D5F">
        <w:t xml:space="preserve"> </w:t>
      </w:r>
      <w:proofErr w:type="spellStart"/>
      <w:r w:rsidRPr="00214D5F">
        <w:t>ülkeleri</w:t>
      </w:r>
      <w:proofErr w:type="spellEnd"/>
      <w:r w:rsidRPr="00214D5F">
        <w:t xml:space="preserve"> </w:t>
      </w:r>
      <w:proofErr w:type="spellStart"/>
      <w:r w:rsidRPr="00214D5F">
        <w:t>ile</w:t>
      </w:r>
      <w:proofErr w:type="spellEnd"/>
      <w:r w:rsidRPr="00214D5F">
        <w:t xml:space="preserve"> </w:t>
      </w:r>
      <w:proofErr w:type="spellStart"/>
      <w:r w:rsidRPr="00214D5F">
        <w:t>sınırlı</w:t>
      </w:r>
      <w:proofErr w:type="spellEnd"/>
      <w:r w:rsidRPr="00214D5F">
        <w:t xml:space="preserve"> </w:t>
      </w:r>
      <w:proofErr w:type="spellStart"/>
      <w:r w:rsidRPr="00214D5F">
        <w:t>tutmak</w:t>
      </w:r>
      <w:proofErr w:type="spellEnd"/>
      <w:r w:rsidRPr="00214D5F">
        <w:t xml:space="preserve"> AB </w:t>
      </w:r>
      <w:proofErr w:type="spellStart"/>
      <w:r w:rsidRPr="00214D5F">
        <w:t>üreticilerini</w:t>
      </w:r>
      <w:proofErr w:type="spellEnd"/>
      <w:r w:rsidRPr="00214D5F">
        <w:t xml:space="preserve"> </w:t>
      </w:r>
      <w:proofErr w:type="spellStart"/>
      <w:r w:rsidRPr="00214D5F">
        <w:t>diğer</w:t>
      </w:r>
      <w:proofErr w:type="spellEnd"/>
      <w:r w:rsidRPr="00214D5F">
        <w:t xml:space="preserve"> </w:t>
      </w:r>
      <w:proofErr w:type="spellStart"/>
      <w:r w:rsidRPr="00214D5F">
        <w:t>ülkelerdeki</w:t>
      </w:r>
      <w:proofErr w:type="spellEnd"/>
      <w:r w:rsidRPr="00214D5F">
        <w:t xml:space="preserve"> </w:t>
      </w:r>
      <w:proofErr w:type="spellStart"/>
      <w:r w:rsidRPr="00214D5F">
        <w:t>üreticilere</w:t>
      </w:r>
      <w:proofErr w:type="spellEnd"/>
      <w:r w:rsidRPr="00214D5F">
        <w:t xml:space="preserve"> </w:t>
      </w:r>
      <w:proofErr w:type="spellStart"/>
      <w:r w:rsidRPr="00214D5F">
        <w:t>karşı</w:t>
      </w:r>
      <w:proofErr w:type="spellEnd"/>
      <w:r w:rsidRPr="00214D5F">
        <w:t xml:space="preserve"> </w:t>
      </w:r>
      <w:proofErr w:type="spellStart"/>
      <w:r w:rsidRPr="00214D5F">
        <w:t>dezavantajlı</w:t>
      </w:r>
      <w:proofErr w:type="spellEnd"/>
      <w:r w:rsidRPr="00214D5F">
        <w:t xml:space="preserve"> </w:t>
      </w:r>
      <w:proofErr w:type="spellStart"/>
      <w:r w:rsidRPr="00214D5F">
        <w:t>konuma</w:t>
      </w:r>
      <w:proofErr w:type="spellEnd"/>
      <w:r w:rsidRPr="00214D5F">
        <w:t xml:space="preserve"> </w:t>
      </w:r>
      <w:proofErr w:type="spellStart"/>
      <w:r w:rsidRPr="00214D5F">
        <w:t>düşürecek</w:t>
      </w:r>
      <w:proofErr w:type="spellEnd"/>
      <w:r w:rsidRPr="00214D5F">
        <w:t xml:space="preserve"> </w:t>
      </w:r>
      <w:proofErr w:type="spellStart"/>
      <w:r w:rsidRPr="00214D5F">
        <w:t>ve</w:t>
      </w:r>
      <w:proofErr w:type="spellEnd"/>
      <w:r w:rsidRPr="00214D5F">
        <w:t xml:space="preserve"> </w:t>
      </w:r>
      <w:proofErr w:type="spellStart"/>
      <w:r w:rsidRPr="00214D5F">
        <w:t>üretim</w:t>
      </w:r>
      <w:proofErr w:type="spellEnd"/>
      <w:r w:rsidRPr="00214D5F">
        <w:t xml:space="preserve"> </w:t>
      </w:r>
      <w:proofErr w:type="spellStart"/>
      <w:r w:rsidRPr="00214D5F">
        <w:t>hatlarının</w:t>
      </w:r>
      <w:proofErr w:type="spellEnd"/>
      <w:r w:rsidRPr="00214D5F">
        <w:t xml:space="preserve"> AB </w:t>
      </w:r>
      <w:proofErr w:type="spellStart"/>
      <w:r w:rsidRPr="00214D5F">
        <w:t>dışına</w:t>
      </w:r>
      <w:proofErr w:type="spellEnd"/>
      <w:r w:rsidRPr="00214D5F">
        <w:t xml:space="preserve"> </w:t>
      </w:r>
      <w:proofErr w:type="spellStart"/>
      <w:r w:rsidRPr="00214D5F">
        <w:t>kaymasına</w:t>
      </w:r>
      <w:proofErr w:type="spellEnd"/>
      <w:r w:rsidRPr="00214D5F">
        <w:t xml:space="preserve"> </w:t>
      </w:r>
      <w:proofErr w:type="spellStart"/>
      <w:r w:rsidRPr="00214D5F">
        <w:t>neden</w:t>
      </w:r>
      <w:proofErr w:type="spellEnd"/>
      <w:r w:rsidRPr="00214D5F">
        <w:t xml:space="preserve"> </w:t>
      </w:r>
      <w:proofErr w:type="spellStart"/>
      <w:r w:rsidRPr="00214D5F">
        <w:t>olacaktır</w:t>
      </w:r>
      <w:proofErr w:type="spellEnd"/>
      <w:r w:rsidRPr="00214D5F">
        <w:t xml:space="preserve">.  AYM </w:t>
      </w:r>
      <w:proofErr w:type="spellStart"/>
      <w:r w:rsidRPr="00214D5F">
        <w:t>kapsamındaki</w:t>
      </w:r>
      <w:proofErr w:type="spellEnd"/>
      <w:r w:rsidRPr="00214D5F">
        <w:t xml:space="preserve"> “Fit For 55 </w:t>
      </w:r>
      <w:proofErr w:type="spellStart"/>
      <w:r w:rsidRPr="00214D5F">
        <w:t>Paketi</w:t>
      </w:r>
      <w:proofErr w:type="spellEnd"/>
      <w:r w:rsidRPr="00214D5F">
        <w:t xml:space="preserve">” </w:t>
      </w:r>
      <w:proofErr w:type="spellStart"/>
      <w:r w:rsidRPr="00214D5F">
        <w:t>bu</w:t>
      </w:r>
      <w:proofErr w:type="spellEnd"/>
      <w:r w:rsidRPr="00214D5F">
        <w:t xml:space="preserve"> </w:t>
      </w:r>
      <w:proofErr w:type="spellStart"/>
      <w:r w:rsidRPr="00214D5F">
        <w:t>endişeleri</w:t>
      </w:r>
      <w:proofErr w:type="spellEnd"/>
      <w:r w:rsidRPr="00214D5F">
        <w:t xml:space="preserve"> </w:t>
      </w:r>
      <w:proofErr w:type="spellStart"/>
      <w:r w:rsidRPr="00214D5F">
        <w:t>gidermek</w:t>
      </w:r>
      <w:proofErr w:type="spellEnd"/>
      <w:r w:rsidRPr="00214D5F">
        <w:t xml:space="preserve"> </w:t>
      </w:r>
      <w:proofErr w:type="spellStart"/>
      <w:r w:rsidRPr="00214D5F">
        <w:t>için</w:t>
      </w:r>
      <w:proofErr w:type="spellEnd"/>
      <w:r w:rsidRPr="00214D5F">
        <w:t xml:space="preserve"> </w:t>
      </w:r>
      <w:proofErr w:type="spellStart"/>
      <w:r w:rsidRPr="00214D5F">
        <w:t>tasarlanmış</w:t>
      </w:r>
      <w:proofErr w:type="spellEnd"/>
      <w:r w:rsidRPr="00214D5F">
        <w:t xml:space="preserve"> </w:t>
      </w:r>
      <w:proofErr w:type="spellStart"/>
      <w:r w:rsidRPr="00214D5F">
        <w:t>olup</w:t>
      </w:r>
      <w:proofErr w:type="spellEnd"/>
      <w:r w:rsidRPr="00214D5F">
        <w:t xml:space="preserve">, </w:t>
      </w:r>
      <w:proofErr w:type="spellStart"/>
      <w:r w:rsidRPr="00214D5F">
        <w:t>pakette</w:t>
      </w:r>
      <w:proofErr w:type="spellEnd"/>
      <w:r w:rsidRPr="00214D5F">
        <w:t xml:space="preserve"> </w:t>
      </w:r>
      <w:proofErr w:type="spellStart"/>
      <w:r w:rsidRPr="00214D5F">
        <w:t>emisyon</w:t>
      </w:r>
      <w:proofErr w:type="spellEnd"/>
      <w:r w:rsidRPr="00214D5F">
        <w:t xml:space="preserve"> </w:t>
      </w:r>
      <w:proofErr w:type="spellStart"/>
      <w:r w:rsidRPr="00214D5F">
        <w:t>ticaret</w:t>
      </w:r>
      <w:proofErr w:type="spellEnd"/>
      <w:r w:rsidRPr="00214D5F">
        <w:t xml:space="preserve"> </w:t>
      </w:r>
      <w:proofErr w:type="spellStart"/>
      <w:r w:rsidRPr="00214D5F">
        <w:t>sistemi</w:t>
      </w:r>
      <w:proofErr w:type="spellEnd"/>
      <w:r w:rsidRPr="00214D5F">
        <w:t xml:space="preserve"> </w:t>
      </w:r>
      <w:proofErr w:type="spellStart"/>
      <w:r w:rsidRPr="00214D5F">
        <w:t>ile</w:t>
      </w:r>
      <w:proofErr w:type="spellEnd"/>
      <w:r w:rsidRPr="00214D5F">
        <w:t xml:space="preserve"> </w:t>
      </w:r>
      <w:proofErr w:type="spellStart"/>
      <w:r w:rsidRPr="00214D5F">
        <w:t>birlikte</w:t>
      </w:r>
      <w:proofErr w:type="spellEnd"/>
      <w:r w:rsidRPr="00214D5F">
        <w:t xml:space="preserve"> </w:t>
      </w:r>
      <w:proofErr w:type="spellStart"/>
      <w:r w:rsidRPr="00214D5F">
        <w:t>uygulanması</w:t>
      </w:r>
      <w:proofErr w:type="spellEnd"/>
      <w:r w:rsidRPr="00214D5F">
        <w:t xml:space="preserve"> </w:t>
      </w:r>
      <w:proofErr w:type="spellStart"/>
      <w:r w:rsidRPr="00214D5F">
        <w:t>planlanan</w:t>
      </w:r>
      <w:proofErr w:type="spellEnd"/>
      <w:r w:rsidRPr="00214D5F">
        <w:t xml:space="preserve"> </w:t>
      </w:r>
      <w:proofErr w:type="spellStart"/>
      <w:r w:rsidRPr="00214D5F">
        <w:t>Sınırda</w:t>
      </w:r>
      <w:proofErr w:type="spellEnd"/>
      <w:r w:rsidRPr="00214D5F">
        <w:t xml:space="preserve"> Karbon </w:t>
      </w:r>
      <w:proofErr w:type="spellStart"/>
      <w:r w:rsidRPr="00214D5F">
        <w:t>Düzenleme</w:t>
      </w:r>
      <w:proofErr w:type="spellEnd"/>
      <w:r w:rsidRPr="00214D5F">
        <w:t xml:space="preserve"> </w:t>
      </w:r>
      <w:proofErr w:type="spellStart"/>
      <w:r w:rsidRPr="00214D5F">
        <w:t>Mekanizması</w:t>
      </w:r>
      <w:proofErr w:type="spellEnd"/>
      <w:r w:rsidRPr="00214D5F">
        <w:t xml:space="preserve"> </w:t>
      </w:r>
      <w:proofErr w:type="spellStart"/>
      <w:r w:rsidRPr="00214D5F">
        <w:t>ise</w:t>
      </w:r>
      <w:proofErr w:type="spellEnd"/>
      <w:r w:rsidRPr="00214D5F">
        <w:t xml:space="preserve"> </w:t>
      </w:r>
      <w:proofErr w:type="spellStart"/>
      <w:r w:rsidRPr="00214D5F">
        <w:t>uluslararası</w:t>
      </w:r>
      <w:proofErr w:type="spellEnd"/>
      <w:r w:rsidRPr="00214D5F">
        <w:t xml:space="preserve"> </w:t>
      </w:r>
      <w:proofErr w:type="spellStart"/>
      <w:r w:rsidRPr="00214D5F">
        <w:t>ticareti</w:t>
      </w:r>
      <w:proofErr w:type="spellEnd"/>
      <w:r w:rsidRPr="00214D5F">
        <w:t xml:space="preserve"> </w:t>
      </w:r>
      <w:proofErr w:type="spellStart"/>
      <w:r w:rsidRPr="00214D5F">
        <w:t>birçok</w:t>
      </w:r>
      <w:proofErr w:type="spellEnd"/>
      <w:r w:rsidRPr="00214D5F">
        <w:t xml:space="preserve"> </w:t>
      </w:r>
      <w:proofErr w:type="spellStart"/>
      <w:r w:rsidRPr="00214D5F">
        <w:t>yönden</w:t>
      </w:r>
      <w:proofErr w:type="spellEnd"/>
      <w:r w:rsidRPr="00214D5F">
        <w:t xml:space="preserve"> </w:t>
      </w:r>
      <w:proofErr w:type="spellStart"/>
      <w:r w:rsidRPr="00214D5F">
        <w:t>etkileyecek</w:t>
      </w:r>
      <w:proofErr w:type="spellEnd"/>
      <w:r w:rsidRPr="00214D5F">
        <w:t xml:space="preserve"> </w:t>
      </w:r>
      <w:proofErr w:type="spellStart"/>
      <w:r w:rsidRPr="00214D5F">
        <w:t>olması</w:t>
      </w:r>
      <w:proofErr w:type="spellEnd"/>
      <w:r w:rsidRPr="00214D5F">
        <w:t xml:space="preserve"> </w:t>
      </w:r>
      <w:proofErr w:type="spellStart"/>
      <w:r w:rsidRPr="00214D5F">
        <w:t>nedeniyle</w:t>
      </w:r>
      <w:proofErr w:type="spellEnd"/>
      <w:r w:rsidRPr="00214D5F">
        <w:t xml:space="preserve"> </w:t>
      </w:r>
      <w:proofErr w:type="spellStart"/>
      <w:r w:rsidRPr="00214D5F">
        <w:t>önem</w:t>
      </w:r>
      <w:proofErr w:type="spellEnd"/>
      <w:r w:rsidRPr="00214D5F">
        <w:t xml:space="preserve"> </w:t>
      </w:r>
      <w:proofErr w:type="spellStart"/>
      <w:r w:rsidRPr="00214D5F">
        <w:t>arz</w:t>
      </w:r>
      <w:proofErr w:type="spellEnd"/>
      <w:r w:rsidRPr="00214D5F">
        <w:t xml:space="preserve"> </w:t>
      </w:r>
      <w:proofErr w:type="spellStart"/>
      <w:r w:rsidRPr="00214D5F">
        <w:t>etmektedir</w:t>
      </w:r>
      <w:proofErr w:type="spellEnd"/>
      <w:sdt>
        <w:sdtPr>
          <w:id w:val="-152828102"/>
          <w:citation/>
        </w:sdtPr>
        <w:sdtContent>
          <w:r w:rsidRPr="00214D5F">
            <w:fldChar w:fldCharType="begin"/>
          </w:r>
          <w:r w:rsidRPr="00214D5F">
            <w:instrText xml:space="preserve"> CITATION Eur21 \l 1055 </w:instrText>
          </w:r>
          <w:r w:rsidRPr="00214D5F">
            <w:fldChar w:fldCharType="separate"/>
          </w:r>
          <w:r>
            <w:rPr>
              <w:noProof/>
            </w:rPr>
            <w:t xml:space="preserve"> (European Commission, 2021)</w:t>
          </w:r>
          <w:r w:rsidRPr="00214D5F">
            <w:fldChar w:fldCharType="end"/>
          </w:r>
        </w:sdtContent>
      </w:sdt>
      <w:r w:rsidRPr="00214D5F">
        <w:t>.</w:t>
      </w:r>
    </w:p>
    <w:p w14:paraId="789C87ED" w14:textId="77777777" w:rsidR="00914DCC" w:rsidRPr="00164C0C" w:rsidRDefault="00914DCC" w:rsidP="0017453B">
      <w:pPr>
        <w:pStyle w:val="Balk2"/>
        <w:spacing w:before="0" w:after="0"/>
        <w:rPr>
          <w:rFonts w:ascii="Times New Roman" w:eastAsia="Times New Roman" w:hAnsi="Times New Roman" w:cs="Times New Roman"/>
          <w:b/>
          <w:color w:val="auto"/>
          <w:sz w:val="24"/>
          <w:szCs w:val="24"/>
        </w:rPr>
      </w:pPr>
      <w:r w:rsidRPr="00164C0C">
        <w:rPr>
          <w:rFonts w:ascii="Times New Roman" w:eastAsia="Times New Roman" w:hAnsi="Times New Roman" w:cs="Times New Roman"/>
          <w:b/>
          <w:color w:val="auto"/>
          <w:sz w:val="24"/>
          <w:szCs w:val="24"/>
        </w:rPr>
        <w:lastRenderedPageBreak/>
        <w:t>3.Sınırda Karbon Düzenleme Mekanizması (SKDM)</w:t>
      </w:r>
    </w:p>
    <w:p w14:paraId="28178F14" w14:textId="65D5215C" w:rsidR="00914DCC" w:rsidRDefault="00914DCC" w:rsidP="0017453B">
      <w:pPr>
        <w:jc w:val="both"/>
      </w:pPr>
      <w:r w:rsidRPr="00214D5F">
        <w:t>İklim politikalarının getirdiği mali yükler nedeniyle bazı sanayi sektörleri veya alt sektörlerdeki işletmelerin üretimlerini daha düşük iklim hedeflerine sahip ülkelere taşıması ya da bu ülkelerden daha yüksek karbon yoğunluğuna sahip ürünlerin ithalatının artması durumu, “karbon kaçağı” olarak tanımlanmaktadır. AB, uluslararası ortaklarının yeterli iklim hedefleri benimsemediği sürece bu riskin devam edeceğini vurgulamaktadır. Bu durum, küresel emisyonların artmasına neden olarak, sıcaklık artışını 2°C’nin altında ve ideal olarak 1,5°C ile sınırlama çabalarını tehlikeye sokabilir ve AB’nin emisyon azaltım politikalarının etkisini zayıflatabilir</w:t>
      </w:r>
      <w:sdt>
        <w:sdtPr>
          <w:id w:val="164760187"/>
          <w:citation/>
        </w:sdtPr>
        <w:sdtContent>
          <w:r w:rsidRPr="00214D5F">
            <w:fldChar w:fldCharType="begin"/>
          </w:r>
          <w:r w:rsidRPr="00214D5F">
            <w:instrText xml:space="preserve"> CITATION Eur232 \l 1055 </w:instrText>
          </w:r>
          <w:r w:rsidRPr="00214D5F">
            <w:fldChar w:fldCharType="separate"/>
          </w:r>
          <w:r>
            <w:rPr>
              <w:noProof/>
            </w:rPr>
            <w:t xml:space="preserve"> </w:t>
          </w:r>
          <w:r w:rsidRPr="00AB0519">
            <w:rPr>
              <w:noProof/>
            </w:rPr>
            <w:t>(European Commission, 2023)</w:t>
          </w:r>
          <w:r w:rsidRPr="00214D5F">
            <w:fldChar w:fldCharType="end"/>
          </w:r>
        </w:sdtContent>
      </w:sdt>
      <w:r w:rsidRPr="00214D5F">
        <w:t xml:space="preserve">. Bu bağlamda, Avrupa Birliği (AB), karbon emisyonlarını azaltarak Avrupa İklim Kanunu ile uyumlu bir yapıya ulaşmayı hedefleyen bir dizi sektörel politika ve düzenlemeyi gündemine almıştır. Özellikle "Fit </w:t>
      </w:r>
      <w:proofErr w:type="spellStart"/>
      <w:r w:rsidRPr="00214D5F">
        <w:t>For</w:t>
      </w:r>
      <w:proofErr w:type="spellEnd"/>
      <w:r w:rsidRPr="00214D5F">
        <w:t xml:space="preserve"> 55" girişimi, AB’nin iklim hedeflerini gerçekleştirmesi için gerekli adımları içermektedir. Avrupa Yeşil Mutabakatı çerçevesinde şekillenen bu eylem planı; iklim, enerji, ulaşım ve vergilendirme gibi temel alanlarda köklü değişimler öngörmekte, 2030 yılına kadar karbon emisyonlarının 1990 seviyelerine göre %55 oranında azaltılmasını ve 2050’ye gelindiğinde ise iklim nötr bir kıta olma hedefine ulaşılmasını amaçlamaktadır. Bu hedeflere ulaşmanın önemli araçlarından biri olarak Sınırda Karbon Düzenleme Mekanizması öne çıkmıştır. Avrupa Komisyonu’nun gerçekleştirdiği kapsamlı analizler, bu mekanizmanın uygulanabilirliğini ve sağlayacağı faydaları ortaya koyarak, hedeflerin gerçekçi ve etkili olduğunu desteklemektedir</w:t>
      </w:r>
      <w:sdt>
        <w:sdtPr>
          <w:id w:val="-72587167"/>
          <w:citation/>
        </w:sdtPr>
        <w:sdtContent>
          <w:r w:rsidRPr="00214D5F">
            <w:fldChar w:fldCharType="begin"/>
          </w:r>
          <w:r w:rsidRPr="00214D5F">
            <w:instrText xml:space="preserve"> CITATION Eur21 \l 1055 </w:instrText>
          </w:r>
          <w:r w:rsidRPr="00214D5F">
            <w:fldChar w:fldCharType="separate"/>
          </w:r>
          <w:r>
            <w:rPr>
              <w:noProof/>
            </w:rPr>
            <w:t xml:space="preserve"> </w:t>
          </w:r>
          <w:r w:rsidRPr="00AB0519">
            <w:rPr>
              <w:noProof/>
            </w:rPr>
            <w:t>(European Commission, 2021)</w:t>
          </w:r>
          <w:r w:rsidRPr="00214D5F">
            <w:fldChar w:fldCharType="end"/>
          </w:r>
        </w:sdtContent>
      </w:sdt>
      <w:r w:rsidRPr="00214D5F">
        <w:t>.</w:t>
      </w:r>
    </w:p>
    <w:p w14:paraId="198585C7" w14:textId="77777777" w:rsidR="003B45CB" w:rsidRPr="00214D5F" w:rsidRDefault="003B45CB" w:rsidP="0017453B">
      <w:pPr>
        <w:jc w:val="both"/>
      </w:pPr>
    </w:p>
    <w:p w14:paraId="2AD8AF09" w14:textId="77777777" w:rsidR="00914DCC" w:rsidRDefault="00914DCC" w:rsidP="0017453B">
      <w:pPr>
        <w:jc w:val="both"/>
      </w:pPr>
      <w:r w:rsidRPr="00214D5F">
        <w:t>SKDM ile yerli üretimi dezavantajlı duruma düşüren ve karbon sızıntısına yol açabilecek eşitsizlikleri önlemesi amaçlamıştır. Bu mekanizma, karbon emisyonları açısından ithal ve yerli ürünler arasında eşitlik sağlamayı ve diğer ülkeleri de karbon azaltım politikalarına teşvik etmeyi hedeflemektedir</w:t>
      </w:r>
      <w:r w:rsidRPr="00214D5F">
        <w:rPr>
          <w:noProof/>
        </w:rPr>
        <w:t xml:space="preserve"> (Leonard, vd. 2021)</w:t>
      </w:r>
      <w:r w:rsidRPr="00214D5F">
        <w:t xml:space="preserve">.  SKDM ile, AB’ye ithal edilen malların üretimi aşamasında salınan karbon miktarı üzerinden henüz sınırdan geçmeden adil bir şekilde vergilendirilmesi ve bu sayede AB dışı ülkelerde daha temiz sanayi üretiminin teşvik edilmesi amaçlanmaktadır. Sonuç olarak, hedeflerden biri olan Emisyon Ticaret Sistemi şartları altında faaliyet gösteren AB ülkelerindeki üreticilerle herhangi bir </w:t>
      </w:r>
      <w:proofErr w:type="spellStart"/>
      <w:r w:rsidRPr="00214D5F">
        <w:t>ETS’ye</w:t>
      </w:r>
      <w:proofErr w:type="spellEnd"/>
      <w:r w:rsidRPr="00214D5F">
        <w:t xml:space="preserve"> dahil olmayan ülkelerde üretim yapan firmaların rekabet koşullarının dengelenmesi beklenmektedir. </w:t>
      </w:r>
      <w:sdt>
        <w:sdtPr>
          <w:id w:val="-1675108755"/>
          <w:citation/>
        </w:sdtPr>
        <w:sdtContent>
          <w:r w:rsidRPr="00214D5F">
            <w:fldChar w:fldCharType="begin"/>
          </w:r>
          <w:r w:rsidRPr="00214D5F">
            <w:instrText xml:space="preserve"> CITATION Eur24 \l 1055 </w:instrText>
          </w:r>
          <w:r w:rsidRPr="00214D5F">
            <w:fldChar w:fldCharType="separate"/>
          </w:r>
          <w:r w:rsidRPr="00AB0519">
            <w:rPr>
              <w:noProof/>
            </w:rPr>
            <w:t>(European Commision, 2024)</w:t>
          </w:r>
          <w:r w:rsidRPr="00214D5F">
            <w:fldChar w:fldCharType="end"/>
          </w:r>
        </w:sdtContent>
      </w:sdt>
    </w:p>
    <w:p w14:paraId="2599E49D" w14:textId="77777777" w:rsidR="003B45CB" w:rsidRPr="00214D5F" w:rsidRDefault="003B45CB" w:rsidP="0017453B">
      <w:pPr>
        <w:jc w:val="both"/>
      </w:pPr>
    </w:p>
    <w:p w14:paraId="55BFABA8" w14:textId="77777777" w:rsidR="00914DCC" w:rsidRDefault="00914DCC" w:rsidP="0017453B">
      <w:pPr>
        <w:pStyle w:val="NormalWeb"/>
        <w:spacing w:before="0" w:beforeAutospacing="0" w:after="0" w:afterAutospacing="0"/>
        <w:jc w:val="both"/>
        <w:rPr>
          <w:rFonts w:eastAsiaTheme="minorHAnsi"/>
          <w:lang w:eastAsia="en-US"/>
        </w:rPr>
      </w:pPr>
      <w:proofErr w:type="spellStart"/>
      <w:r w:rsidRPr="00214D5F">
        <w:rPr>
          <w:rFonts w:eastAsiaTheme="minorHAnsi"/>
          <w:lang w:eastAsia="en-US"/>
        </w:rPr>
        <w:t>Geçiş</w:t>
      </w:r>
      <w:proofErr w:type="spellEnd"/>
      <w:r w:rsidRPr="00214D5F">
        <w:rPr>
          <w:rFonts w:eastAsiaTheme="minorHAnsi"/>
          <w:lang w:eastAsia="en-US"/>
        </w:rPr>
        <w:t xml:space="preserve"> </w:t>
      </w:r>
      <w:proofErr w:type="spellStart"/>
      <w:r w:rsidRPr="00214D5F">
        <w:rPr>
          <w:rFonts w:eastAsiaTheme="minorHAnsi"/>
          <w:lang w:eastAsia="en-US"/>
        </w:rPr>
        <w:t>dönemi</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w:t>
      </w:r>
      <w:proofErr w:type="spellStart"/>
      <w:r w:rsidRPr="00214D5F">
        <w:rPr>
          <w:rFonts w:eastAsiaTheme="minorHAnsi"/>
          <w:lang w:eastAsia="en-US"/>
        </w:rPr>
        <w:t>belirlenen</w:t>
      </w:r>
      <w:proofErr w:type="spellEnd"/>
      <w:r w:rsidRPr="00214D5F">
        <w:rPr>
          <w:rFonts w:eastAsiaTheme="minorHAnsi"/>
          <w:lang w:eastAsia="en-US"/>
        </w:rPr>
        <w:t xml:space="preserve"> 2026 </w:t>
      </w:r>
      <w:proofErr w:type="spellStart"/>
      <w:r w:rsidRPr="00214D5F">
        <w:rPr>
          <w:rFonts w:eastAsiaTheme="minorHAnsi"/>
          <w:lang w:eastAsia="en-US"/>
        </w:rPr>
        <w:t>yılının</w:t>
      </w:r>
      <w:proofErr w:type="spellEnd"/>
      <w:r w:rsidRPr="00214D5F">
        <w:rPr>
          <w:rFonts w:eastAsiaTheme="minorHAnsi"/>
          <w:lang w:eastAsia="en-US"/>
        </w:rPr>
        <w:t xml:space="preserve"> </w:t>
      </w:r>
      <w:proofErr w:type="spellStart"/>
      <w:r w:rsidRPr="00214D5F">
        <w:rPr>
          <w:rFonts w:eastAsiaTheme="minorHAnsi"/>
          <w:lang w:eastAsia="en-US"/>
        </w:rPr>
        <w:t>sonuna</w:t>
      </w:r>
      <w:proofErr w:type="spellEnd"/>
      <w:r w:rsidRPr="00214D5F">
        <w:rPr>
          <w:rFonts w:eastAsiaTheme="minorHAnsi"/>
          <w:lang w:eastAsia="en-US"/>
        </w:rPr>
        <w:t xml:space="preserve"> </w:t>
      </w:r>
      <w:proofErr w:type="spellStart"/>
      <w:r w:rsidRPr="00214D5F">
        <w:rPr>
          <w:rFonts w:eastAsiaTheme="minorHAnsi"/>
          <w:lang w:eastAsia="en-US"/>
        </w:rPr>
        <w:t>kadar</w:t>
      </w:r>
      <w:proofErr w:type="spellEnd"/>
      <w:r w:rsidRPr="00214D5F">
        <w:rPr>
          <w:rFonts w:eastAsiaTheme="minorHAnsi"/>
          <w:lang w:eastAsia="en-US"/>
        </w:rPr>
        <w:t xml:space="preserve">, </w:t>
      </w:r>
      <w:proofErr w:type="spellStart"/>
      <w:r w:rsidRPr="00214D5F">
        <w:rPr>
          <w:rFonts w:eastAsiaTheme="minorHAnsi"/>
          <w:lang w:eastAsia="en-US"/>
        </w:rPr>
        <w:t>yalnızca</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emisyonlarının</w:t>
      </w:r>
      <w:proofErr w:type="spellEnd"/>
      <w:r w:rsidRPr="00214D5F">
        <w:rPr>
          <w:rFonts w:eastAsiaTheme="minorHAnsi"/>
          <w:lang w:eastAsia="en-US"/>
        </w:rPr>
        <w:t xml:space="preserve"> </w:t>
      </w:r>
      <w:proofErr w:type="spellStart"/>
      <w:r w:rsidRPr="00214D5F">
        <w:rPr>
          <w:rFonts w:eastAsiaTheme="minorHAnsi"/>
          <w:lang w:eastAsia="en-US"/>
        </w:rPr>
        <w:t>raporlanması</w:t>
      </w:r>
      <w:proofErr w:type="spellEnd"/>
      <w:r w:rsidRPr="00214D5F">
        <w:rPr>
          <w:rFonts w:eastAsiaTheme="minorHAnsi"/>
          <w:lang w:eastAsia="en-US"/>
        </w:rPr>
        <w:t xml:space="preserve"> </w:t>
      </w:r>
      <w:proofErr w:type="spellStart"/>
      <w:r w:rsidRPr="00214D5F">
        <w:rPr>
          <w:rFonts w:eastAsiaTheme="minorHAnsi"/>
          <w:lang w:eastAsia="en-US"/>
        </w:rPr>
        <w:t>gerekecektir</w:t>
      </w:r>
      <w:proofErr w:type="spellEnd"/>
      <w:r w:rsidRPr="00214D5F">
        <w:rPr>
          <w:rFonts w:eastAsiaTheme="minorHAnsi"/>
          <w:lang w:eastAsia="en-US"/>
        </w:rPr>
        <w:t xml:space="preserve">. </w:t>
      </w:r>
      <w:proofErr w:type="spellStart"/>
      <w:r w:rsidRPr="00214D5F">
        <w:rPr>
          <w:rFonts w:eastAsiaTheme="minorHAnsi"/>
          <w:lang w:eastAsia="en-US"/>
        </w:rPr>
        <w:t>Ancak</w:t>
      </w:r>
      <w:proofErr w:type="spellEnd"/>
      <w:r w:rsidRPr="00214D5F">
        <w:rPr>
          <w:rFonts w:eastAsiaTheme="minorHAnsi"/>
          <w:lang w:eastAsia="en-US"/>
        </w:rPr>
        <w:t xml:space="preserve">, </w:t>
      </w:r>
      <w:proofErr w:type="spellStart"/>
      <w:r w:rsidRPr="00214D5F">
        <w:rPr>
          <w:rFonts w:eastAsiaTheme="minorHAnsi"/>
          <w:lang w:eastAsia="en-US"/>
        </w:rPr>
        <w:t>uygulamanın</w:t>
      </w:r>
      <w:proofErr w:type="spellEnd"/>
      <w:r w:rsidRPr="00214D5F">
        <w:rPr>
          <w:rFonts w:eastAsiaTheme="minorHAnsi"/>
          <w:lang w:eastAsia="en-US"/>
        </w:rPr>
        <w:t xml:space="preserve"> tam </w:t>
      </w:r>
      <w:proofErr w:type="spellStart"/>
      <w:r w:rsidRPr="00214D5F">
        <w:rPr>
          <w:rFonts w:eastAsiaTheme="minorHAnsi"/>
          <w:lang w:eastAsia="en-US"/>
        </w:rPr>
        <w:t>anlamıyla</w:t>
      </w:r>
      <w:proofErr w:type="spellEnd"/>
      <w:r w:rsidRPr="00214D5F">
        <w:rPr>
          <w:rFonts w:eastAsiaTheme="minorHAnsi"/>
          <w:lang w:eastAsia="en-US"/>
        </w:rPr>
        <w:t xml:space="preserve"> </w:t>
      </w:r>
      <w:proofErr w:type="spellStart"/>
      <w:r w:rsidRPr="00214D5F">
        <w:rPr>
          <w:rFonts w:eastAsiaTheme="minorHAnsi"/>
          <w:lang w:eastAsia="en-US"/>
        </w:rPr>
        <w:t>devreye</w:t>
      </w:r>
      <w:proofErr w:type="spellEnd"/>
      <w:r w:rsidRPr="00214D5F">
        <w:rPr>
          <w:rFonts w:eastAsiaTheme="minorHAnsi"/>
          <w:lang w:eastAsia="en-US"/>
        </w:rPr>
        <w:t xml:space="preserve"> </w:t>
      </w:r>
      <w:proofErr w:type="spellStart"/>
      <w:r w:rsidRPr="00214D5F">
        <w:rPr>
          <w:rFonts w:eastAsiaTheme="minorHAnsi"/>
          <w:lang w:eastAsia="en-US"/>
        </w:rPr>
        <w:t>gireceği</w:t>
      </w:r>
      <w:proofErr w:type="spellEnd"/>
      <w:r w:rsidRPr="00214D5F">
        <w:rPr>
          <w:rFonts w:eastAsiaTheme="minorHAnsi"/>
          <w:lang w:eastAsia="en-US"/>
        </w:rPr>
        <w:t xml:space="preserve"> 2030 </w:t>
      </w:r>
      <w:proofErr w:type="spellStart"/>
      <w:r w:rsidRPr="00214D5F">
        <w:rPr>
          <w:rFonts w:eastAsiaTheme="minorHAnsi"/>
          <w:lang w:eastAsia="en-US"/>
        </w:rPr>
        <w:t>yılı</w:t>
      </w:r>
      <w:proofErr w:type="spellEnd"/>
      <w:r w:rsidRPr="00214D5F">
        <w:rPr>
          <w:rFonts w:eastAsiaTheme="minorHAnsi"/>
          <w:lang w:eastAsia="en-US"/>
        </w:rPr>
        <w:t xml:space="preserve"> </w:t>
      </w:r>
      <w:proofErr w:type="spellStart"/>
      <w:r w:rsidRPr="00214D5F">
        <w:rPr>
          <w:rFonts w:eastAsiaTheme="minorHAnsi"/>
          <w:lang w:eastAsia="en-US"/>
        </w:rPr>
        <w:t>itibarıyla</w:t>
      </w:r>
      <w:proofErr w:type="spellEnd"/>
      <w:r w:rsidRPr="00214D5F">
        <w:rPr>
          <w:rFonts w:eastAsiaTheme="minorHAnsi"/>
          <w:lang w:eastAsia="en-US"/>
        </w:rPr>
        <w:t xml:space="preserve">, </w:t>
      </w:r>
      <w:proofErr w:type="spellStart"/>
      <w:r w:rsidRPr="00214D5F">
        <w:rPr>
          <w:rFonts w:eastAsiaTheme="minorHAnsi"/>
          <w:lang w:eastAsia="en-US"/>
        </w:rPr>
        <w:t>Avrupa</w:t>
      </w:r>
      <w:proofErr w:type="spellEnd"/>
      <w:r w:rsidRPr="00214D5F">
        <w:rPr>
          <w:rFonts w:eastAsiaTheme="minorHAnsi"/>
          <w:lang w:eastAsia="en-US"/>
        </w:rPr>
        <w:t xml:space="preserve"> </w:t>
      </w:r>
      <w:proofErr w:type="spellStart"/>
      <w:r w:rsidRPr="00214D5F">
        <w:rPr>
          <w:rFonts w:eastAsiaTheme="minorHAnsi"/>
          <w:lang w:eastAsia="en-US"/>
        </w:rPr>
        <w:t>Birliği’ne</w:t>
      </w:r>
      <w:proofErr w:type="spellEnd"/>
      <w:r w:rsidRPr="00214D5F">
        <w:rPr>
          <w:rFonts w:eastAsiaTheme="minorHAnsi"/>
          <w:lang w:eastAsia="en-US"/>
        </w:rPr>
        <w:t xml:space="preserve"> </w:t>
      </w:r>
      <w:proofErr w:type="spellStart"/>
      <w:r w:rsidRPr="00214D5F">
        <w:rPr>
          <w:rFonts w:eastAsiaTheme="minorHAnsi"/>
          <w:lang w:eastAsia="en-US"/>
        </w:rPr>
        <w:t>ithalat</w:t>
      </w:r>
      <w:proofErr w:type="spellEnd"/>
      <w:r w:rsidRPr="00214D5F">
        <w:rPr>
          <w:rFonts w:eastAsiaTheme="minorHAnsi"/>
          <w:lang w:eastAsia="en-US"/>
        </w:rPr>
        <w:t xml:space="preserve"> </w:t>
      </w:r>
      <w:proofErr w:type="spellStart"/>
      <w:r w:rsidRPr="00214D5F">
        <w:rPr>
          <w:rFonts w:eastAsiaTheme="minorHAnsi"/>
          <w:lang w:eastAsia="en-US"/>
        </w:rPr>
        <w:t>yapan</w:t>
      </w:r>
      <w:proofErr w:type="spellEnd"/>
      <w:r w:rsidRPr="00214D5F">
        <w:rPr>
          <w:rFonts w:eastAsiaTheme="minorHAnsi"/>
          <w:lang w:eastAsia="en-US"/>
        </w:rPr>
        <w:t xml:space="preserve"> </w:t>
      </w:r>
      <w:proofErr w:type="spellStart"/>
      <w:r w:rsidRPr="00214D5F">
        <w:rPr>
          <w:rFonts w:eastAsiaTheme="minorHAnsi"/>
          <w:lang w:eastAsia="en-US"/>
        </w:rPr>
        <w:t>firmaların</w:t>
      </w:r>
      <w:proofErr w:type="spellEnd"/>
      <w:r w:rsidRPr="00214D5F">
        <w:rPr>
          <w:rFonts w:eastAsiaTheme="minorHAnsi"/>
          <w:lang w:eastAsia="en-US"/>
        </w:rPr>
        <w:t xml:space="preserve">, AB </w:t>
      </w:r>
      <w:proofErr w:type="spellStart"/>
      <w:r w:rsidRPr="00214D5F">
        <w:rPr>
          <w:rFonts w:eastAsiaTheme="minorHAnsi"/>
          <w:lang w:eastAsia="en-US"/>
        </w:rPr>
        <w:t>dışında</w:t>
      </w:r>
      <w:proofErr w:type="spellEnd"/>
      <w:r w:rsidRPr="00214D5F">
        <w:rPr>
          <w:rFonts w:eastAsiaTheme="minorHAnsi"/>
          <w:lang w:eastAsia="en-US"/>
        </w:rPr>
        <w:t xml:space="preserve"> </w:t>
      </w:r>
      <w:proofErr w:type="spellStart"/>
      <w:r w:rsidRPr="00214D5F">
        <w:rPr>
          <w:rFonts w:eastAsiaTheme="minorHAnsi"/>
          <w:lang w:eastAsia="en-US"/>
        </w:rPr>
        <w:t>üretilen</w:t>
      </w:r>
      <w:proofErr w:type="spellEnd"/>
      <w:r w:rsidRPr="00214D5F">
        <w:rPr>
          <w:rFonts w:eastAsiaTheme="minorHAnsi"/>
          <w:lang w:eastAsia="en-US"/>
        </w:rPr>
        <w:t xml:space="preserve"> </w:t>
      </w:r>
      <w:proofErr w:type="spellStart"/>
      <w:r w:rsidRPr="00214D5F">
        <w:rPr>
          <w:rFonts w:eastAsiaTheme="minorHAnsi"/>
          <w:lang w:eastAsia="en-US"/>
        </w:rPr>
        <w:t>malların</w:t>
      </w:r>
      <w:proofErr w:type="spellEnd"/>
      <w:r w:rsidRPr="00214D5F">
        <w:rPr>
          <w:rFonts w:eastAsiaTheme="minorHAnsi"/>
          <w:lang w:eastAsia="en-US"/>
        </w:rPr>
        <w:t xml:space="preserve"> </w:t>
      </w:r>
      <w:proofErr w:type="spellStart"/>
      <w:r w:rsidRPr="00214D5F">
        <w:rPr>
          <w:rFonts w:eastAsiaTheme="minorHAnsi"/>
          <w:lang w:eastAsia="en-US"/>
        </w:rPr>
        <w:t>üretim</w:t>
      </w:r>
      <w:proofErr w:type="spellEnd"/>
      <w:r w:rsidRPr="00214D5F">
        <w:rPr>
          <w:rFonts w:eastAsiaTheme="minorHAnsi"/>
          <w:lang w:eastAsia="en-US"/>
        </w:rPr>
        <w:t xml:space="preserve"> </w:t>
      </w:r>
      <w:proofErr w:type="spellStart"/>
      <w:r w:rsidRPr="00214D5F">
        <w:rPr>
          <w:rFonts w:eastAsiaTheme="minorHAnsi"/>
          <w:lang w:eastAsia="en-US"/>
        </w:rPr>
        <w:t>süreçlerinden</w:t>
      </w:r>
      <w:proofErr w:type="spellEnd"/>
      <w:r w:rsidRPr="00214D5F">
        <w:rPr>
          <w:rFonts w:eastAsiaTheme="minorHAnsi"/>
          <w:lang w:eastAsia="en-US"/>
        </w:rPr>
        <w:t xml:space="preserve"> </w:t>
      </w:r>
      <w:proofErr w:type="spellStart"/>
      <w:r w:rsidRPr="00214D5F">
        <w:rPr>
          <w:rFonts w:eastAsiaTheme="minorHAnsi"/>
          <w:lang w:eastAsia="en-US"/>
        </w:rPr>
        <w:t>kaynaklanan</w:t>
      </w:r>
      <w:proofErr w:type="spellEnd"/>
      <w:r w:rsidRPr="00214D5F">
        <w:rPr>
          <w:rFonts w:eastAsiaTheme="minorHAnsi"/>
          <w:lang w:eastAsia="en-US"/>
        </w:rPr>
        <w:t xml:space="preserve"> </w:t>
      </w:r>
      <w:proofErr w:type="spellStart"/>
      <w:r w:rsidRPr="00214D5F">
        <w:rPr>
          <w:rFonts w:eastAsiaTheme="minorHAnsi"/>
          <w:lang w:eastAsia="en-US"/>
        </w:rPr>
        <w:t>emisyon</w:t>
      </w:r>
      <w:proofErr w:type="spellEnd"/>
      <w:r w:rsidRPr="00214D5F">
        <w:rPr>
          <w:rFonts w:eastAsiaTheme="minorHAnsi"/>
          <w:lang w:eastAsia="en-US"/>
        </w:rPr>
        <w:t xml:space="preserve"> </w:t>
      </w:r>
      <w:proofErr w:type="spellStart"/>
      <w:r w:rsidRPr="00214D5F">
        <w:rPr>
          <w:rFonts w:eastAsiaTheme="minorHAnsi"/>
          <w:lang w:eastAsia="en-US"/>
        </w:rPr>
        <w:t>miktarını</w:t>
      </w:r>
      <w:proofErr w:type="spellEnd"/>
      <w:r w:rsidRPr="00214D5F">
        <w:rPr>
          <w:rFonts w:eastAsiaTheme="minorHAnsi"/>
          <w:lang w:eastAsia="en-US"/>
        </w:rPr>
        <w:t xml:space="preserve"> </w:t>
      </w:r>
      <w:proofErr w:type="spellStart"/>
      <w:r w:rsidRPr="00214D5F">
        <w:rPr>
          <w:rFonts w:eastAsiaTheme="minorHAnsi"/>
          <w:lang w:eastAsia="en-US"/>
        </w:rPr>
        <w:t>karşılamak</w:t>
      </w:r>
      <w:proofErr w:type="spellEnd"/>
      <w:r w:rsidRPr="00214D5F">
        <w:rPr>
          <w:rFonts w:eastAsiaTheme="minorHAnsi"/>
          <w:lang w:eastAsia="en-US"/>
        </w:rPr>
        <w:t xml:space="preserve"> </w:t>
      </w:r>
      <w:proofErr w:type="spellStart"/>
      <w:r w:rsidRPr="00214D5F">
        <w:rPr>
          <w:rFonts w:eastAsiaTheme="minorHAnsi"/>
          <w:lang w:eastAsia="en-US"/>
        </w:rPr>
        <w:t>üzere</w:t>
      </w:r>
      <w:proofErr w:type="spellEnd"/>
      <w:r w:rsidRPr="00214D5F">
        <w:rPr>
          <w:rFonts w:eastAsiaTheme="minorHAnsi"/>
          <w:lang w:eastAsia="en-US"/>
        </w:rPr>
        <w:t xml:space="preserve"> SKDM </w:t>
      </w:r>
      <w:proofErr w:type="spellStart"/>
      <w:r w:rsidRPr="00214D5F">
        <w:rPr>
          <w:rFonts w:eastAsiaTheme="minorHAnsi"/>
          <w:lang w:eastAsia="en-US"/>
        </w:rPr>
        <w:t>sertifikası</w:t>
      </w:r>
      <w:proofErr w:type="spellEnd"/>
      <w:r w:rsidRPr="00214D5F">
        <w:rPr>
          <w:rFonts w:eastAsiaTheme="minorHAnsi"/>
          <w:lang w:eastAsia="en-US"/>
        </w:rPr>
        <w:t xml:space="preserve"> </w:t>
      </w:r>
      <w:proofErr w:type="spellStart"/>
      <w:r w:rsidRPr="00214D5F">
        <w:rPr>
          <w:rFonts w:eastAsiaTheme="minorHAnsi"/>
          <w:lang w:eastAsia="en-US"/>
        </w:rPr>
        <w:t>satın</w:t>
      </w:r>
      <w:proofErr w:type="spellEnd"/>
      <w:r w:rsidRPr="00214D5F">
        <w:rPr>
          <w:rFonts w:eastAsiaTheme="minorHAnsi"/>
          <w:lang w:eastAsia="en-US"/>
        </w:rPr>
        <w:t xml:space="preserve"> </w:t>
      </w:r>
      <w:proofErr w:type="spellStart"/>
      <w:r w:rsidRPr="00214D5F">
        <w:rPr>
          <w:rFonts w:eastAsiaTheme="minorHAnsi"/>
          <w:lang w:eastAsia="en-US"/>
        </w:rPr>
        <w:t>alması</w:t>
      </w:r>
      <w:proofErr w:type="spellEnd"/>
      <w:r w:rsidRPr="00214D5F">
        <w:rPr>
          <w:rFonts w:eastAsiaTheme="minorHAnsi"/>
          <w:lang w:eastAsia="en-US"/>
        </w:rPr>
        <w:t xml:space="preserve"> </w:t>
      </w:r>
      <w:proofErr w:type="spellStart"/>
      <w:r w:rsidRPr="00214D5F">
        <w:rPr>
          <w:rFonts w:eastAsiaTheme="minorHAnsi"/>
          <w:lang w:eastAsia="en-US"/>
        </w:rPr>
        <w:t>zorunlu</w:t>
      </w:r>
      <w:proofErr w:type="spellEnd"/>
      <w:r w:rsidRPr="00214D5F">
        <w:rPr>
          <w:rFonts w:eastAsiaTheme="minorHAnsi"/>
          <w:lang w:eastAsia="en-US"/>
        </w:rPr>
        <w:t xml:space="preserve"> hale </w:t>
      </w:r>
      <w:proofErr w:type="spellStart"/>
      <w:r w:rsidRPr="00214D5F">
        <w:rPr>
          <w:rFonts w:eastAsiaTheme="minorHAnsi"/>
          <w:lang w:eastAsia="en-US"/>
        </w:rPr>
        <w:t>gelecektir</w:t>
      </w:r>
      <w:proofErr w:type="spellEnd"/>
      <w:r w:rsidRPr="00214D5F">
        <w:rPr>
          <w:rFonts w:eastAsiaTheme="minorHAnsi"/>
          <w:lang w:eastAsia="en-US"/>
        </w:rPr>
        <w:t xml:space="preserve">. </w:t>
      </w:r>
      <w:proofErr w:type="spellStart"/>
      <w:r w:rsidRPr="00214D5F">
        <w:rPr>
          <w:rFonts w:eastAsiaTheme="minorHAnsi"/>
          <w:lang w:eastAsia="en-US"/>
        </w:rPr>
        <w:t>Söz</w:t>
      </w:r>
      <w:proofErr w:type="spellEnd"/>
      <w:r w:rsidRPr="00214D5F">
        <w:rPr>
          <w:rFonts w:eastAsiaTheme="minorHAnsi"/>
          <w:lang w:eastAsia="en-US"/>
        </w:rPr>
        <w:t xml:space="preserve"> </w:t>
      </w:r>
      <w:proofErr w:type="spellStart"/>
      <w:r w:rsidRPr="00214D5F">
        <w:rPr>
          <w:rFonts w:eastAsiaTheme="minorHAnsi"/>
          <w:lang w:eastAsia="en-US"/>
        </w:rPr>
        <w:t>konusu</w:t>
      </w:r>
      <w:proofErr w:type="spellEnd"/>
      <w:r w:rsidRPr="00214D5F">
        <w:rPr>
          <w:rFonts w:eastAsiaTheme="minorHAnsi"/>
          <w:lang w:eastAsia="en-US"/>
        </w:rPr>
        <w:t xml:space="preserve"> </w:t>
      </w:r>
      <w:proofErr w:type="spellStart"/>
      <w:r w:rsidRPr="00214D5F">
        <w:rPr>
          <w:rFonts w:eastAsiaTheme="minorHAnsi"/>
          <w:lang w:eastAsia="en-US"/>
        </w:rPr>
        <w:t>sertifikaların</w:t>
      </w:r>
      <w:proofErr w:type="spellEnd"/>
      <w:r w:rsidRPr="00214D5F">
        <w:rPr>
          <w:rFonts w:eastAsiaTheme="minorHAnsi"/>
          <w:lang w:eastAsia="en-US"/>
        </w:rPr>
        <w:t xml:space="preserve"> </w:t>
      </w:r>
      <w:proofErr w:type="spellStart"/>
      <w:r w:rsidRPr="00214D5F">
        <w:rPr>
          <w:rFonts w:eastAsiaTheme="minorHAnsi"/>
          <w:lang w:eastAsia="en-US"/>
        </w:rPr>
        <w:t>maliyetleri</w:t>
      </w:r>
      <w:proofErr w:type="spellEnd"/>
      <w:r w:rsidRPr="00214D5F">
        <w:rPr>
          <w:rFonts w:eastAsiaTheme="minorHAnsi"/>
          <w:lang w:eastAsia="en-US"/>
        </w:rPr>
        <w:t xml:space="preserve">, AB </w:t>
      </w:r>
      <w:proofErr w:type="spellStart"/>
      <w:r w:rsidRPr="00214D5F">
        <w:rPr>
          <w:rFonts w:eastAsiaTheme="minorHAnsi"/>
          <w:lang w:eastAsia="en-US"/>
        </w:rPr>
        <w:t>Emisyon</w:t>
      </w:r>
      <w:proofErr w:type="spellEnd"/>
      <w:r w:rsidRPr="00214D5F">
        <w:rPr>
          <w:rFonts w:eastAsiaTheme="minorHAnsi"/>
          <w:lang w:eastAsia="en-US"/>
        </w:rPr>
        <w:t xml:space="preserve"> Ticaret </w:t>
      </w:r>
      <w:proofErr w:type="spellStart"/>
      <w:r w:rsidRPr="00214D5F">
        <w:rPr>
          <w:rFonts w:eastAsiaTheme="minorHAnsi"/>
          <w:lang w:eastAsia="en-US"/>
        </w:rPr>
        <w:t>Sistemi’nde</w:t>
      </w:r>
      <w:proofErr w:type="spellEnd"/>
      <w:r w:rsidRPr="00214D5F">
        <w:rPr>
          <w:rFonts w:eastAsiaTheme="minorHAnsi"/>
          <w:lang w:eastAsia="en-US"/>
        </w:rPr>
        <w:t xml:space="preserve"> </w:t>
      </w:r>
      <w:proofErr w:type="spellStart"/>
      <w:r w:rsidRPr="00214D5F">
        <w:rPr>
          <w:rFonts w:eastAsiaTheme="minorHAnsi"/>
          <w:lang w:eastAsia="en-US"/>
        </w:rPr>
        <w:t>belirlenen</w:t>
      </w:r>
      <w:proofErr w:type="spellEnd"/>
      <w:r w:rsidRPr="00214D5F">
        <w:rPr>
          <w:rFonts w:eastAsiaTheme="minorHAnsi"/>
          <w:lang w:eastAsia="en-US"/>
        </w:rPr>
        <w:t xml:space="preserve"> </w:t>
      </w:r>
      <w:proofErr w:type="spellStart"/>
      <w:r w:rsidRPr="00214D5F">
        <w:rPr>
          <w:rFonts w:eastAsiaTheme="minorHAnsi"/>
          <w:lang w:eastAsia="en-US"/>
        </w:rPr>
        <w:t>haftalık</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fiyatları</w:t>
      </w:r>
      <w:proofErr w:type="spellEnd"/>
      <w:r w:rsidRPr="00214D5F">
        <w:rPr>
          <w:rFonts w:eastAsiaTheme="minorHAnsi"/>
          <w:lang w:eastAsia="en-US"/>
        </w:rPr>
        <w:t xml:space="preserve"> </w:t>
      </w:r>
      <w:proofErr w:type="spellStart"/>
      <w:r w:rsidRPr="00214D5F">
        <w:rPr>
          <w:rFonts w:eastAsiaTheme="minorHAnsi"/>
          <w:lang w:eastAsia="en-US"/>
        </w:rPr>
        <w:t>temel</w:t>
      </w:r>
      <w:proofErr w:type="spellEnd"/>
      <w:r w:rsidRPr="00214D5F">
        <w:rPr>
          <w:rFonts w:eastAsiaTheme="minorHAnsi"/>
          <w:lang w:eastAsia="en-US"/>
        </w:rPr>
        <w:t xml:space="preserve"> </w:t>
      </w:r>
      <w:proofErr w:type="spellStart"/>
      <w:r w:rsidRPr="00214D5F">
        <w:rPr>
          <w:rFonts w:eastAsiaTheme="minorHAnsi"/>
          <w:lang w:eastAsia="en-US"/>
        </w:rPr>
        <w:t>alınarak</w:t>
      </w:r>
      <w:proofErr w:type="spellEnd"/>
      <w:r w:rsidRPr="00214D5F">
        <w:rPr>
          <w:rFonts w:eastAsiaTheme="minorHAnsi"/>
          <w:lang w:eastAsia="en-US"/>
        </w:rPr>
        <w:t xml:space="preserve"> </w:t>
      </w:r>
      <w:proofErr w:type="spellStart"/>
      <w:r w:rsidRPr="00214D5F">
        <w:rPr>
          <w:rFonts w:eastAsiaTheme="minorHAnsi"/>
          <w:lang w:eastAsia="en-US"/>
        </w:rPr>
        <w:t>hesaplanacaktır</w:t>
      </w:r>
      <w:proofErr w:type="spellEnd"/>
      <w:r w:rsidRPr="00214D5F">
        <w:rPr>
          <w:rFonts w:eastAsiaTheme="minorHAnsi"/>
          <w:lang w:eastAsia="en-US"/>
        </w:rPr>
        <w:t>.</w:t>
      </w:r>
      <w:r w:rsidRPr="00214D5F">
        <w:rPr>
          <w:i/>
        </w:rPr>
        <w:t xml:space="preserve"> </w:t>
      </w:r>
      <w:r w:rsidRPr="00214D5F">
        <w:rPr>
          <w:rFonts w:eastAsiaTheme="minorHAnsi"/>
          <w:lang w:eastAsia="en-US"/>
        </w:rPr>
        <w:t xml:space="preserve">AB </w:t>
      </w:r>
      <w:proofErr w:type="spellStart"/>
      <w:r w:rsidRPr="00214D5F">
        <w:rPr>
          <w:rFonts w:eastAsiaTheme="minorHAnsi"/>
          <w:lang w:eastAsia="en-US"/>
        </w:rPr>
        <w:t>ithalatçıları</w:t>
      </w:r>
      <w:proofErr w:type="spellEnd"/>
      <w:r w:rsidRPr="00214D5F">
        <w:rPr>
          <w:rFonts w:eastAsiaTheme="minorHAnsi"/>
          <w:lang w:eastAsia="en-US"/>
        </w:rPr>
        <w:t xml:space="preserve">, </w:t>
      </w:r>
      <w:proofErr w:type="spellStart"/>
      <w:r w:rsidRPr="00214D5F">
        <w:rPr>
          <w:rFonts w:eastAsiaTheme="minorHAnsi"/>
          <w:lang w:eastAsia="en-US"/>
        </w:rPr>
        <w:t>ithal</w:t>
      </w:r>
      <w:proofErr w:type="spellEnd"/>
      <w:r w:rsidRPr="00214D5F">
        <w:rPr>
          <w:rFonts w:eastAsiaTheme="minorHAnsi"/>
          <w:lang w:eastAsia="en-US"/>
        </w:rPr>
        <w:t xml:space="preserve"> </w:t>
      </w:r>
      <w:proofErr w:type="spellStart"/>
      <w:r w:rsidRPr="00214D5F">
        <w:rPr>
          <w:rFonts w:eastAsiaTheme="minorHAnsi"/>
          <w:lang w:eastAsia="en-US"/>
        </w:rPr>
        <w:t>ürünlerin</w:t>
      </w:r>
      <w:proofErr w:type="spellEnd"/>
      <w:r w:rsidRPr="00214D5F">
        <w:rPr>
          <w:rFonts w:eastAsiaTheme="minorHAnsi"/>
          <w:lang w:eastAsia="en-US"/>
        </w:rPr>
        <w:t xml:space="preserve"> AB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fiyatlandırma</w:t>
      </w:r>
      <w:proofErr w:type="spellEnd"/>
      <w:r w:rsidRPr="00214D5F">
        <w:rPr>
          <w:rFonts w:eastAsiaTheme="minorHAnsi"/>
          <w:lang w:eastAsia="en-US"/>
        </w:rPr>
        <w:t xml:space="preserve"> </w:t>
      </w:r>
      <w:proofErr w:type="spellStart"/>
      <w:r w:rsidRPr="00214D5F">
        <w:rPr>
          <w:rFonts w:eastAsiaTheme="minorHAnsi"/>
          <w:lang w:eastAsia="en-US"/>
        </w:rPr>
        <w:t>kuralları</w:t>
      </w:r>
      <w:proofErr w:type="spellEnd"/>
      <w:r w:rsidRPr="00214D5F">
        <w:rPr>
          <w:rFonts w:eastAsiaTheme="minorHAnsi"/>
          <w:lang w:eastAsia="en-US"/>
        </w:rPr>
        <w:t xml:space="preserve"> </w:t>
      </w:r>
      <w:proofErr w:type="spellStart"/>
      <w:r w:rsidRPr="00214D5F">
        <w:rPr>
          <w:rFonts w:eastAsiaTheme="minorHAnsi"/>
          <w:lang w:eastAsia="en-US"/>
        </w:rPr>
        <w:t>altında</w:t>
      </w:r>
      <w:proofErr w:type="spellEnd"/>
      <w:r w:rsidRPr="00214D5F">
        <w:rPr>
          <w:rFonts w:eastAsiaTheme="minorHAnsi"/>
          <w:lang w:eastAsia="en-US"/>
        </w:rPr>
        <w:t xml:space="preserve"> </w:t>
      </w:r>
      <w:proofErr w:type="spellStart"/>
      <w:r w:rsidRPr="00214D5F">
        <w:rPr>
          <w:rFonts w:eastAsiaTheme="minorHAnsi"/>
          <w:lang w:eastAsia="en-US"/>
        </w:rPr>
        <w:t>üretildiği</w:t>
      </w:r>
      <w:proofErr w:type="spellEnd"/>
      <w:r w:rsidRPr="00214D5F">
        <w:rPr>
          <w:rFonts w:eastAsiaTheme="minorHAnsi"/>
          <w:lang w:eastAsia="en-US"/>
        </w:rPr>
        <w:t xml:space="preserve"> </w:t>
      </w:r>
      <w:proofErr w:type="spellStart"/>
      <w:r w:rsidRPr="00214D5F">
        <w:rPr>
          <w:rFonts w:eastAsiaTheme="minorHAnsi"/>
          <w:lang w:eastAsia="en-US"/>
        </w:rPr>
        <w:t>varsayıldığında</w:t>
      </w:r>
      <w:proofErr w:type="spellEnd"/>
      <w:r w:rsidRPr="00214D5F">
        <w:rPr>
          <w:rFonts w:eastAsiaTheme="minorHAnsi"/>
          <w:lang w:eastAsia="en-US"/>
        </w:rPr>
        <w:t xml:space="preserve"> </w:t>
      </w:r>
      <w:proofErr w:type="spellStart"/>
      <w:r w:rsidRPr="00214D5F">
        <w:rPr>
          <w:rFonts w:eastAsiaTheme="minorHAnsi"/>
          <w:lang w:eastAsia="en-US"/>
        </w:rPr>
        <w:t>ödenecek</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fiyatına</w:t>
      </w:r>
      <w:proofErr w:type="spellEnd"/>
      <w:r w:rsidRPr="00214D5F">
        <w:rPr>
          <w:rFonts w:eastAsiaTheme="minorHAnsi"/>
          <w:lang w:eastAsia="en-US"/>
        </w:rPr>
        <w:t xml:space="preserve"> </w:t>
      </w:r>
      <w:proofErr w:type="spellStart"/>
      <w:r w:rsidRPr="00214D5F">
        <w:rPr>
          <w:rFonts w:eastAsiaTheme="minorHAnsi"/>
          <w:lang w:eastAsia="en-US"/>
        </w:rPr>
        <w:t>eşdeğer</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sertifikalarını</w:t>
      </w:r>
      <w:proofErr w:type="spellEnd"/>
      <w:r w:rsidRPr="00214D5F">
        <w:rPr>
          <w:rFonts w:eastAsiaTheme="minorHAnsi"/>
          <w:lang w:eastAsia="en-US"/>
        </w:rPr>
        <w:t xml:space="preserve"> </w:t>
      </w:r>
      <w:proofErr w:type="spellStart"/>
      <w:r w:rsidRPr="00214D5F">
        <w:rPr>
          <w:rFonts w:eastAsiaTheme="minorHAnsi"/>
          <w:lang w:eastAsia="en-US"/>
        </w:rPr>
        <w:t>satın</w:t>
      </w:r>
      <w:proofErr w:type="spellEnd"/>
      <w:r w:rsidRPr="00214D5F">
        <w:rPr>
          <w:rFonts w:eastAsiaTheme="minorHAnsi"/>
          <w:lang w:eastAsia="en-US"/>
        </w:rPr>
        <w:t xml:space="preserve"> </w:t>
      </w:r>
      <w:proofErr w:type="spellStart"/>
      <w:r w:rsidRPr="00214D5F">
        <w:rPr>
          <w:rFonts w:eastAsiaTheme="minorHAnsi"/>
          <w:lang w:eastAsia="en-US"/>
        </w:rPr>
        <w:t>almak</w:t>
      </w:r>
      <w:proofErr w:type="spellEnd"/>
      <w:r w:rsidRPr="00214D5F">
        <w:rPr>
          <w:rFonts w:eastAsiaTheme="minorHAnsi"/>
          <w:lang w:eastAsia="en-US"/>
        </w:rPr>
        <w:t xml:space="preserve"> </w:t>
      </w:r>
      <w:proofErr w:type="spellStart"/>
      <w:r w:rsidRPr="00214D5F">
        <w:rPr>
          <w:rFonts w:eastAsiaTheme="minorHAnsi"/>
          <w:lang w:eastAsia="en-US"/>
        </w:rPr>
        <w:t>zorunda</w:t>
      </w:r>
      <w:proofErr w:type="spellEnd"/>
      <w:r w:rsidRPr="00214D5F">
        <w:rPr>
          <w:rFonts w:eastAsiaTheme="minorHAnsi"/>
          <w:lang w:eastAsia="en-US"/>
        </w:rPr>
        <w:t xml:space="preserve"> </w:t>
      </w:r>
      <w:proofErr w:type="spellStart"/>
      <w:r w:rsidRPr="00214D5F">
        <w:rPr>
          <w:rFonts w:eastAsiaTheme="minorHAnsi"/>
          <w:lang w:eastAsia="en-US"/>
        </w:rPr>
        <w:t>olacaktır</w:t>
      </w:r>
      <w:proofErr w:type="spellEnd"/>
      <w:r w:rsidRPr="00214D5F">
        <w:rPr>
          <w:rFonts w:eastAsiaTheme="minorHAnsi"/>
          <w:lang w:eastAsia="en-US"/>
        </w:rPr>
        <w:t xml:space="preserve">. </w:t>
      </w:r>
      <w:proofErr w:type="spellStart"/>
      <w:r w:rsidRPr="00214D5F">
        <w:rPr>
          <w:rFonts w:eastAsiaTheme="minorHAnsi"/>
          <w:lang w:eastAsia="en-US"/>
        </w:rPr>
        <w:t>Ancak</w:t>
      </w:r>
      <w:proofErr w:type="spellEnd"/>
      <w:r w:rsidRPr="00214D5F">
        <w:rPr>
          <w:rFonts w:eastAsiaTheme="minorHAnsi"/>
          <w:lang w:eastAsia="en-US"/>
        </w:rPr>
        <w:t xml:space="preserve"> </w:t>
      </w:r>
      <w:proofErr w:type="spellStart"/>
      <w:r w:rsidRPr="00214D5F">
        <w:rPr>
          <w:rFonts w:eastAsiaTheme="minorHAnsi"/>
          <w:lang w:eastAsia="en-US"/>
        </w:rPr>
        <w:t>malı</w:t>
      </w:r>
      <w:proofErr w:type="spellEnd"/>
      <w:r w:rsidRPr="00214D5F">
        <w:rPr>
          <w:rFonts w:eastAsiaTheme="minorHAnsi"/>
          <w:lang w:eastAsia="en-US"/>
        </w:rPr>
        <w:t xml:space="preserve"> </w:t>
      </w:r>
      <w:proofErr w:type="spellStart"/>
      <w:r w:rsidRPr="00214D5F">
        <w:rPr>
          <w:rFonts w:eastAsiaTheme="minorHAnsi"/>
          <w:lang w:eastAsia="en-US"/>
        </w:rPr>
        <w:t>ihraç</w:t>
      </w:r>
      <w:proofErr w:type="spellEnd"/>
      <w:r w:rsidRPr="00214D5F">
        <w:rPr>
          <w:rFonts w:eastAsiaTheme="minorHAnsi"/>
          <w:lang w:eastAsia="en-US"/>
        </w:rPr>
        <w:t xml:space="preserve"> </w:t>
      </w:r>
      <w:proofErr w:type="spellStart"/>
      <w:r w:rsidRPr="00214D5F">
        <w:rPr>
          <w:rFonts w:eastAsiaTheme="minorHAnsi"/>
          <w:lang w:eastAsia="en-US"/>
        </w:rPr>
        <w:t>eden</w:t>
      </w:r>
      <w:proofErr w:type="spellEnd"/>
      <w:r w:rsidRPr="00214D5F">
        <w:rPr>
          <w:rFonts w:eastAsiaTheme="minorHAnsi"/>
          <w:lang w:eastAsia="en-US"/>
        </w:rPr>
        <w:t xml:space="preserve"> </w:t>
      </w:r>
      <w:proofErr w:type="spellStart"/>
      <w:r w:rsidRPr="00214D5F">
        <w:rPr>
          <w:rFonts w:eastAsiaTheme="minorHAnsi"/>
          <w:lang w:eastAsia="en-US"/>
        </w:rPr>
        <w:t>firma</w:t>
      </w:r>
      <w:proofErr w:type="spellEnd"/>
      <w:r w:rsidRPr="00214D5F">
        <w:rPr>
          <w:rFonts w:eastAsiaTheme="minorHAnsi"/>
          <w:lang w:eastAsia="en-US"/>
        </w:rPr>
        <w:t xml:space="preserve">, </w:t>
      </w:r>
      <w:proofErr w:type="spellStart"/>
      <w:r w:rsidRPr="00214D5F">
        <w:rPr>
          <w:rFonts w:eastAsiaTheme="minorHAnsi"/>
          <w:lang w:eastAsia="en-US"/>
        </w:rPr>
        <w:t>söz</w:t>
      </w:r>
      <w:proofErr w:type="spellEnd"/>
      <w:r w:rsidRPr="00214D5F">
        <w:rPr>
          <w:rFonts w:eastAsiaTheme="minorHAnsi"/>
          <w:lang w:eastAsia="en-US"/>
        </w:rPr>
        <w:t xml:space="preserve"> </w:t>
      </w:r>
      <w:proofErr w:type="spellStart"/>
      <w:r w:rsidRPr="00214D5F">
        <w:rPr>
          <w:rFonts w:eastAsiaTheme="minorHAnsi"/>
          <w:lang w:eastAsia="en-US"/>
        </w:rPr>
        <w:t>konusu</w:t>
      </w:r>
      <w:proofErr w:type="spellEnd"/>
      <w:r w:rsidRPr="00214D5F">
        <w:rPr>
          <w:rFonts w:eastAsiaTheme="minorHAnsi"/>
          <w:lang w:eastAsia="en-US"/>
        </w:rPr>
        <w:t xml:space="preserve"> </w:t>
      </w:r>
      <w:proofErr w:type="spellStart"/>
      <w:r w:rsidRPr="00214D5F">
        <w:rPr>
          <w:rFonts w:eastAsiaTheme="minorHAnsi"/>
          <w:lang w:eastAsia="en-US"/>
        </w:rPr>
        <w:t>ürünlerin</w:t>
      </w:r>
      <w:proofErr w:type="spellEnd"/>
      <w:r w:rsidRPr="00214D5F">
        <w:rPr>
          <w:rFonts w:eastAsiaTheme="minorHAnsi"/>
          <w:lang w:eastAsia="en-US"/>
        </w:rPr>
        <w:t xml:space="preserve"> </w:t>
      </w:r>
      <w:proofErr w:type="spellStart"/>
      <w:r w:rsidRPr="00214D5F">
        <w:rPr>
          <w:rFonts w:eastAsiaTheme="minorHAnsi"/>
          <w:lang w:eastAsia="en-US"/>
        </w:rPr>
        <w:t>üretiminde</w:t>
      </w:r>
      <w:proofErr w:type="spellEnd"/>
      <w:r w:rsidRPr="00214D5F">
        <w:rPr>
          <w:rFonts w:eastAsiaTheme="minorHAnsi"/>
          <w:lang w:eastAsia="en-US"/>
        </w:rPr>
        <w:t xml:space="preserve"> </w:t>
      </w:r>
      <w:proofErr w:type="spellStart"/>
      <w:r w:rsidRPr="00214D5F">
        <w:rPr>
          <w:rFonts w:eastAsiaTheme="minorHAnsi"/>
          <w:lang w:eastAsia="en-US"/>
        </w:rPr>
        <w:t>kullanılan</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için</w:t>
      </w:r>
      <w:proofErr w:type="spellEnd"/>
      <w:r w:rsidRPr="00214D5F">
        <w:rPr>
          <w:rFonts w:eastAsiaTheme="minorHAnsi"/>
          <w:lang w:eastAsia="en-US"/>
        </w:rPr>
        <w:t xml:space="preserve"> AB </w:t>
      </w:r>
      <w:proofErr w:type="spellStart"/>
      <w:r w:rsidRPr="00214D5F">
        <w:rPr>
          <w:rFonts w:eastAsiaTheme="minorHAnsi"/>
          <w:lang w:eastAsia="en-US"/>
        </w:rPr>
        <w:t>harici</w:t>
      </w:r>
      <w:proofErr w:type="spellEnd"/>
      <w:r w:rsidRPr="00214D5F">
        <w:rPr>
          <w:rFonts w:eastAsiaTheme="minorHAnsi"/>
          <w:lang w:eastAsia="en-US"/>
        </w:rPr>
        <w:t xml:space="preserve"> </w:t>
      </w:r>
      <w:proofErr w:type="spellStart"/>
      <w:r w:rsidRPr="00214D5F">
        <w:rPr>
          <w:rFonts w:eastAsiaTheme="minorHAnsi"/>
          <w:lang w:eastAsia="en-US"/>
        </w:rPr>
        <w:t>bir</w:t>
      </w:r>
      <w:proofErr w:type="spellEnd"/>
      <w:r w:rsidRPr="00214D5F">
        <w:rPr>
          <w:rFonts w:eastAsiaTheme="minorHAnsi"/>
          <w:lang w:eastAsia="en-US"/>
        </w:rPr>
        <w:t xml:space="preserve"> </w:t>
      </w:r>
      <w:proofErr w:type="spellStart"/>
      <w:r w:rsidRPr="00214D5F">
        <w:rPr>
          <w:rFonts w:eastAsiaTheme="minorHAnsi"/>
          <w:lang w:eastAsia="en-US"/>
        </w:rPr>
        <w:t>ülkede</w:t>
      </w:r>
      <w:proofErr w:type="spellEnd"/>
      <w:r w:rsidRPr="00214D5F">
        <w:rPr>
          <w:rFonts w:eastAsiaTheme="minorHAnsi"/>
          <w:lang w:eastAsia="en-US"/>
        </w:rPr>
        <w:t xml:space="preserve"> </w:t>
      </w:r>
      <w:proofErr w:type="spellStart"/>
      <w:r w:rsidRPr="00214D5F">
        <w:rPr>
          <w:rFonts w:eastAsiaTheme="minorHAnsi"/>
          <w:lang w:eastAsia="en-US"/>
        </w:rPr>
        <w:t>halihazırda</w:t>
      </w:r>
      <w:proofErr w:type="spellEnd"/>
      <w:r w:rsidRPr="00214D5F">
        <w:rPr>
          <w:rFonts w:eastAsiaTheme="minorHAnsi"/>
          <w:lang w:eastAsia="en-US"/>
        </w:rPr>
        <w:t xml:space="preserve"> </w:t>
      </w:r>
      <w:proofErr w:type="spellStart"/>
      <w:r w:rsidRPr="00214D5F">
        <w:rPr>
          <w:rFonts w:eastAsiaTheme="minorHAnsi"/>
          <w:lang w:eastAsia="en-US"/>
        </w:rPr>
        <w:t>bir</w:t>
      </w:r>
      <w:proofErr w:type="spellEnd"/>
      <w:r w:rsidRPr="00214D5F">
        <w:rPr>
          <w:rFonts w:eastAsiaTheme="minorHAnsi"/>
          <w:lang w:eastAsia="en-US"/>
        </w:rPr>
        <w:t xml:space="preserve"> bedel </w:t>
      </w:r>
      <w:proofErr w:type="spellStart"/>
      <w:r w:rsidRPr="00214D5F">
        <w:rPr>
          <w:rFonts w:eastAsiaTheme="minorHAnsi"/>
          <w:lang w:eastAsia="en-US"/>
        </w:rPr>
        <w:t>ödendiğini</w:t>
      </w:r>
      <w:proofErr w:type="spellEnd"/>
      <w:r w:rsidRPr="00214D5F">
        <w:rPr>
          <w:rFonts w:eastAsiaTheme="minorHAnsi"/>
          <w:lang w:eastAsia="en-US"/>
        </w:rPr>
        <w:t xml:space="preserve"> </w:t>
      </w:r>
      <w:proofErr w:type="spellStart"/>
      <w:r w:rsidRPr="00214D5F">
        <w:rPr>
          <w:rFonts w:eastAsiaTheme="minorHAnsi"/>
          <w:lang w:eastAsia="en-US"/>
        </w:rPr>
        <w:t>beyan</w:t>
      </w:r>
      <w:proofErr w:type="spellEnd"/>
      <w:r w:rsidRPr="00214D5F">
        <w:rPr>
          <w:rFonts w:eastAsiaTheme="minorHAnsi"/>
          <w:lang w:eastAsia="en-US"/>
        </w:rPr>
        <w:t xml:space="preserve"> </w:t>
      </w:r>
      <w:proofErr w:type="spellStart"/>
      <w:r w:rsidRPr="00214D5F">
        <w:rPr>
          <w:rFonts w:eastAsiaTheme="minorHAnsi"/>
          <w:lang w:eastAsia="en-US"/>
        </w:rPr>
        <w:t>edebilirse</w:t>
      </w:r>
      <w:proofErr w:type="spellEnd"/>
      <w:r w:rsidRPr="00214D5F">
        <w:rPr>
          <w:rFonts w:eastAsiaTheme="minorHAnsi"/>
          <w:lang w:eastAsia="en-US"/>
        </w:rPr>
        <w:t xml:space="preserve">, </w:t>
      </w:r>
      <w:proofErr w:type="spellStart"/>
      <w:r w:rsidRPr="00214D5F">
        <w:rPr>
          <w:rFonts w:eastAsiaTheme="minorHAnsi"/>
          <w:lang w:eastAsia="en-US"/>
        </w:rPr>
        <w:t>bu</w:t>
      </w:r>
      <w:proofErr w:type="spellEnd"/>
      <w:r w:rsidRPr="00214D5F">
        <w:rPr>
          <w:rFonts w:eastAsiaTheme="minorHAnsi"/>
          <w:lang w:eastAsia="en-US"/>
        </w:rPr>
        <w:t xml:space="preserve"> </w:t>
      </w:r>
      <w:proofErr w:type="spellStart"/>
      <w:r w:rsidRPr="00214D5F">
        <w:rPr>
          <w:rFonts w:eastAsiaTheme="minorHAnsi"/>
          <w:lang w:eastAsia="en-US"/>
        </w:rPr>
        <w:t>maliyetler</w:t>
      </w:r>
      <w:proofErr w:type="spellEnd"/>
      <w:r w:rsidRPr="00214D5F">
        <w:rPr>
          <w:rFonts w:eastAsiaTheme="minorHAnsi"/>
          <w:lang w:eastAsia="en-US"/>
        </w:rPr>
        <w:t xml:space="preserve"> </w:t>
      </w:r>
      <w:proofErr w:type="spellStart"/>
      <w:r w:rsidRPr="00214D5F">
        <w:rPr>
          <w:rFonts w:eastAsiaTheme="minorHAnsi"/>
          <w:lang w:eastAsia="en-US"/>
        </w:rPr>
        <w:t>ithalatçı</w:t>
      </w:r>
      <w:proofErr w:type="spellEnd"/>
      <w:r w:rsidRPr="00214D5F">
        <w:rPr>
          <w:rFonts w:eastAsiaTheme="minorHAnsi"/>
          <w:lang w:eastAsia="en-US"/>
        </w:rPr>
        <w:t xml:space="preserve"> </w:t>
      </w:r>
      <w:proofErr w:type="spellStart"/>
      <w:r w:rsidRPr="00214D5F">
        <w:rPr>
          <w:rFonts w:eastAsiaTheme="minorHAnsi"/>
          <w:lang w:eastAsia="en-US"/>
        </w:rPr>
        <w:t>firmaya</w:t>
      </w:r>
      <w:proofErr w:type="spellEnd"/>
      <w:r w:rsidRPr="00214D5F">
        <w:rPr>
          <w:rFonts w:eastAsiaTheme="minorHAnsi"/>
          <w:lang w:eastAsia="en-US"/>
        </w:rPr>
        <w:t xml:space="preserve"> </w:t>
      </w:r>
      <w:proofErr w:type="spellStart"/>
      <w:r w:rsidRPr="00214D5F">
        <w:rPr>
          <w:rFonts w:eastAsiaTheme="minorHAnsi"/>
          <w:lang w:eastAsia="en-US"/>
        </w:rPr>
        <w:t>SKDM’nin</w:t>
      </w:r>
      <w:proofErr w:type="spellEnd"/>
      <w:r w:rsidRPr="00214D5F">
        <w:rPr>
          <w:rFonts w:eastAsiaTheme="minorHAnsi"/>
          <w:lang w:eastAsia="en-US"/>
        </w:rPr>
        <w:t xml:space="preserve"> </w:t>
      </w:r>
      <w:proofErr w:type="spellStart"/>
      <w:r w:rsidRPr="00214D5F">
        <w:rPr>
          <w:rFonts w:eastAsiaTheme="minorHAnsi"/>
          <w:lang w:eastAsia="en-US"/>
        </w:rPr>
        <w:t>getirdiği</w:t>
      </w:r>
      <w:proofErr w:type="spellEnd"/>
      <w:r w:rsidRPr="00214D5F">
        <w:rPr>
          <w:rFonts w:eastAsiaTheme="minorHAnsi"/>
          <w:lang w:eastAsia="en-US"/>
        </w:rPr>
        <w:t xml:space="preserve"> </w:t>
      </w:r>
      <w:proofErr w:type="spellStart"/>
      <w:r w:rsidRPr="00214D5F">
        <w:rPr>
          <w:rFonts w:eastAsiaTheme="minorHAnsi"/>
          <w:lang w:eastAsia="en-US"/>
        </w:rPr>
        <w:t>maliyetlerden</w:t>
      </w:r>
      <w:proofErr w:type="spellEnd"/>
      <w:r w:rsidRPr="00214D5F">
        <w:rPr>
          <w:rFonts w:eastAsiaTheme="minorHAnsi"/>
          <w:lang w:eastAsia="en-US"/>
        </w:rPr>
        <w:t xml:space="preserve"> </w:t>
      </w:r>
      <w:proofErr w:type="spellStart"/>
      <w:r w:rsidRPr="00214D5F">
        <w:rPr>
          <w:rFonts w:eastAsiaTheme="minorHAnsi"/>
          <w:lang w:eastAsia="en-US"/>
        </w:rPr>
        <w:t>düşürülebilecektir</w:t>
      </w:r>
      <w:proofErr w:type="spellEnd"/>
      <w:sdt>
        <w:sdtPr>
          <w:rPr>
            <w:rFonts w:eastAsiaTheme="minorHAnsi"/>
            <w:lang w:eastAsia="en-US"/>
          </w:rPr>
          <w:id w:val="1585653524"/>
          <w:citation/>
        </w:sdtPr>
        <w:sdtContent>
          <w:r w:rsidRPr="00214D5F">
            <w:rPr>
              <w:rFonts w:eastAsiaTheme="minorHAnsi"/>
              <w:lang w:eastAsia="en-US"/>
            </w:rPr>
            <w:fldChar w:fldCharType="begin"/>
          </w:r>
          <w:r w:rsidRPr="00214D5F">
            <w:rPr>
              <w:rFonts w:eastAsiaTheme="minorHAnsi"/>
              <w:lang w:eastAsia="en-US"/>
            </w:rPr>
            <w:instrText xml:space="preserve"> CITATION Eke24 \l 1055 </w:instrText>
          </w:r>
          <w:r w:rsidRPr="00214D5F">
            <w:rPr>
              <w:rFonts w:eastAsiaTheme="minorHAnsi"/>
              <w:lang w:eastAsia="en-US"/>
            </w:rPr>
            <w:fldChar w:fldCharType="separate"/>
          </w:r>
          <w:r>
            <w:rPr>
              <w:rFonts w:eastAsiaTheme="minorHAnsi"/>
              <w:noProof/>
              <w:lang w:eastAsia="en-US"/>
            </w:rPr>
            <w:t xml:space="preserve"> </w:t>
          </w:r>
          <w:r w:rsidRPr="00AB0519">
            <w:rPr>
              <w:rFonts w:eastAsiaTheme="minorHAnsi"/>
              <w:noProof/>
              <w:lang w:eastAsia="en-US"/>
            </w:rPr>
            <w:t>(Eken &amp; Yazıcı, 2024)</w:t>
          </w:r>
          <w:r w:rsidRPr="00214D5F">
            <w:rPr>
              <w:rFonts w:eastAsiaTheme="minorHAnsi"/>
              <w:lang w:eastAsia="en-US"/>
            </w:rPr>
            <w:fldChar w:fldCharType="end"/>
          </w:r>
        </w:sdtContent>
      </w:sdt>
      <w:r w:rsidRPr="00214D5F">
        <w:rPr>
          <w:rFonts w:eastAsiaTheme="minorHAnsi"/>
          <w:lang w:eastAsia="en-US"/>
        </w:rPr>
        <w:t xml:space="preserve">. </w:t>
      </w:r>
      <w:proofErr w:type="spellStart"/>
      <w:r w:rsidRPr="00214D5F">
        <w:rPr>
          <w:rFonts w:eastAsiaTheme="minorHAnsi"/>
          <w:lang w:eastAsia="en-US"/>
        </w:rPr>
        <w:t>Firmaların</w:t>
      </w:r>
      <w:proofErr w:type="spellEnd"/>
      <w:r w:rsidRPr="00214D5F">
        <w:rPr>
          <w:rFonts w:eastAsiaTheme="minorHAnsi"/>
          <w:lang w:eastAsia="en-US"/>
        </w:rPr>
        <w:t xml:space="preserve">, </w:t>
      </w:r>
      <w:proofErr w:type="spellStart"/>
      <w:r w:rsidRPr="00214D5F">
        <w:rPr>
          <w:rFonts w:eastAsiaTheme="minorHAnsi"/>
          <w:lang w:eastAsia="en-US"/>
        </w:rPr>
        <w:t>gerekli</w:t>
      </w:r>
      <w:proofErr w:type="spellEnd"/>
      <w:r w:rsidRPr="00214D5F">
        <w:rPr>
          <w:rFonts w:eastAsiaTheme="minorHAnsi"/>
          <w:lang w:eastAsia="en-US"/>
        </w:rPr>
        <w:t xml:space="preserve"> </w:t>
      </w:r>
      <w:proofErr w:type="spellStart"/>
      <w:r w:rsidRPr="00214D5F">
        <w:rPr>
          <w:rFonts w:eastAsiaTheme="minorHAnsi"/>
          <w:lang w:eastAsia="en-US"/>
        </w:rPr>
        <w:t>miktarda</w:t>
      </w:r>
      <w:proofErr w:type="spellEnd"/>
      <w:r w:rsidRPr="00214D5F">
        <w:rPr>
          <w:rFonts w:eastAsiaTheme="minorHAnsi"/>
          <w:lang w:eastAsia="en-US"/>
        </w:rPr>
        <w:t xml:space="preserve"> </w:t>
      </w:r>
      <w:proofErr w:type="spellStart"/>
      <w:r w:rsidRPr="00214D5F">
        <w:rPr>
          <w:rFonts w:eastAsiaTheme="minorHAnsi"/>
          <w:lang w:eastAsia="en-US"/>
        </w:rPr>
        <w:t>sertifikaya</w:t>
      </w:r>
      <w:proofErr w:type="spellEnd"/>
      <w:r w:rsidRPr="00214D5F">
        <w:rPr>
          <w:rFonts w:eastAsiaTheme="minorHAnsi"/>
          <w:lang w:eastAsia="en-US"/>
        </w:rPr>
        <w:t xml:space="preserve"> </w:t>
      </w:r>
      <w:proofErr w:type="spellStart"/>
      <w:r w:rsidRPr="00214D5F">
        <w:rPr>
          <w:rFonts w:eastAsiaTheme="minorHAnsi"/>
          <w:lang w:eastAsia="en-US"/>
        </w:rPr>
        <w:t>sahip</w:t>
      </w:r>
      <w:proofErr w:type="spellEnd"/>
      <w:r w:rsidRPr="00214D5F">
        <w:rPr>
          <w:rFonts w:eastAsiaTheme="minorHAnsi"/>
          <w:lang w:eastAsia="en-US"/>
        </w:rPr>
        <w:t xml:space="preserve"> </w:t>
      </w:r>
      <w:proofErr w:type="spellStart"/>
      <w:r w:rsidRPr="00214D5F">
        <w:rPr>
          <w:rFonts w:eastAsiaTheme="minorHAnsi"/>
          <w:lang w:eastAsia="en-US"/>
        </w:rPr>
        <w:t>olmaması</w:t>
      </w:r>
      <w:proofErr w:type="spellEnd"/>
      <w:r w:rsidRPr="00214D5F">
        <w:rPr>
          <w:rFonts w:eastAsiaTheme="minorHAnsi"/>
          <w:lang w:eastAsia="en-US"/>
        </w:rPr>
        <w:t xml:space="preserve">, </w:t>
      </w:r>
      <w:proofErr w:type="spellStart"/>
      <w:r w:rsidRPr="00214D5F">
        <w:rPr>
          <w:rFonts w:eastAsiaTheme="minorHAnsi"/>
          <w:lang w:eastAsia="en-US"/>
        </w:rPr>
        <w:t>hatalı</w:t>
      </w:r>
      <w:proofErr w:type="spellEnd"/>
      <w:r w:rsidRPr="00214D5F">
        <w:rPr>
          <w:rFonts w:eastAsiaTheme="minorHAnsi"/>
          <w:lang w:eastAsia="en-US"/>
        </w:rPr>
        <w:t xml:space="preserve"> </w:t>
      </w:r>
      <w:proofErr w:type="spellStart"/>
      <w:r w:rsidRPr="00214D5F">
        <w:rPr>
          <w:rFonts w:eastAsiaTheme="minorHAnsi"/>
          <w:lang w:eastAsia="en-US"/>
        </w:rPr>
        <w:t>veya</w:t>
      </w:r>
      <w:proofErr w:type="spellEnd"/>
      <w:r w:rsidRPr="00214D5F">
        <w:rPr>
          <w:rFonts w:eastAsiaTheme="minorHAnsi"/>
          <w:lang w:eastAsia="en-US"/>
        </w:rPr>
        <w:t xml:space="preserve"> </w:t>
      </w:r>
      <w:proofErr w:type="spellStart"/>
      <w:r w:rsidRPr="00214D5F">
        <w:rPr>
          <w:rFonts w:eastAsiaTheme="minorHAnsi"/>
          <w:lang w:eastAsia="en-US"/>
        </w:rPr>
        <w:t>yanıltıcı</w:t>
      </w:r>
      <w:proofErr w:type="spellEnd"/>
      <w:r w:rsidRPr="00214D5F">
        <w:rPr>
          <w:rFonts w:eastAsiaTheme="minorHAnsi"/>
          <w:lang w:eastAsia="en-US"/>
        </w:rPr>
        <w:t xml:space="preserve"> </w:t>
      </w:r>
      <w:proofErr w:type="spellStart"/>
      <w:r w:rsidRPr="00214D5F">
        <w:rPr>
          <w:rFonts w:eastAsiaTheme="minorHAnsi"/>
          <w:lang w:eastAsia="en-US"/>
        </w:rPr>
        <w:t>bildirimlerde</w:t>
      </w:r>
      <w:proofErr w:type="spellEnd"/>
      <w:r w:rsidRPr="00214D5F">
        <w:rPr>
          <w:rFonts w:eastAsiaTheme="minorHAnsi"/>
          <w:lang w:eastAsia="en-US"/>
        </w:rPr>
        <w:t xml:space="preserve"> </w:t>
      </w:r>
      <w:proofErr w:type="spellStart"/>
      <w:r w:rsidRPr="00214D5F">
        <w:rPr>
          <w:rFonts w:eastAsiaTheme="minorHAnsi"/>
          <w:lang w:eastAsia="en-US"/>
        </w:rPr>
        <w:t>bulunması</w:t>
      </w:r>
      <w:proofErr w:type="spellEnd"/>
      <w:r w:rsidRPr="00214D5F">
        <w:rPr>
          <w:rFonts w:eastAsiaTheme="minorHAnsi"/>
          <w:lang w:eastAsia="en-US"/>
        </w:rPr>
        <w:t xml:space="preserve"> </w:t>
      </w:r>
      <w:proofErr w:type="spellStart"/>
      <w:r w:rsidRPr="00214D5F">
        <w:rPr>
          <w:rFonts w:eastAsiaTheme="minorHAnsi"/>
          <w:lang w:eastAsia="en-US"/>
        </w:rPr>
        <w:t>durumunda</w:t>
      </w:r>
      <w:proofErr w:type="spellEnd"/>
      <w:r w:rsidRPr="00214D5F">
        <w:rPr>
          <w:rFonts w:eastAsiaTheme="minorHAnsi"/>
          <w:lang w:eastAsia="en-US"/>
        </w:rPr>
        <w:t xml:space="preserve"> </w:t>
      </w:r>
      <w:proofErr w:type="spellStart"/>
      <w:r w:rsidRPr="00214D5F">
        <w:rPr>
          <w:rFonts w:eastAsiaTheme="minorHAnsi"/>
          <w:lang w:eastAsia="en-US"/>
        </w:rPr>
        <w:t>ise</w:t>
      </w:r>
      <w:proofErr w:type="spellEnd"/>
      <w:r w:rsidRPr="00214D5F">
        <w:rPr>
          <w:rFonts w:eastAsiaTheme="minorHAnsi"/>
          <w:lang w:eastAsia="en-US"/>
        </w:rPr>
        <w:t xml:space="preserve"> </w:t>
      </w:r>
      <w:proofErr w:type="spellStart"/>
      <w:r w:rsidRPr="00214D5F">
        <w:rPr>
          <w:rFonts w:eastAsiaTheme="minorHAnsi"/>
          <w:lang w:eastAsia="en-US"/>
        </w:rPr>
        <w:t>ciddi</w:t>
      </w:r>
      <w:proofErr w:type="spellEnd"/>
      <w:r w:rsidRPr="00214D5F">
        <w:rPr>
          <w:rFonts w:eastAsiaTheme="minorHAnsi"/>
          <w:lang w:eastAsia="en-US"/>
        </w:rPr>
        <w:t xml:space="preserve"> </w:t>
      </w:r>
      <w:proofErr w:type="spellStart"/>
      <w:r w:rsidRPr="00214D5F">
        <w:rPr>
          <w:rFonts w:eastAsiaTheme="minorHAnsi"/>
          <w:lang w:eastAsia="en-US"/>
        </w:rPr>
        <w:t>mali</w:t>
      </w:r>
      <w:proofErr w:type="spellEnd"/>
      <w:r w:rsidRPr="00214D5F">
        <w:rPr>
          <w:rFonts w:eastAsiaTheme="minorHAnsi"/>
          <w:lang w:eastAsia="en-US"/>
        </w:rPr>
        <w:t xml:space="preserve"> </w:t>
      </w:r>
      <w:proofErr w:type="spellStart"/>
      <w:r w:rsidRPr="00214D5F">
        <w:rPr>
          <w:rFonts w:eastAsiaTheme="minorHAnsi"/>
          <w:lang w:eastAsia="en-US"/>
        </w:rPr>
        <w:t>yaptırımlar</w:t>
      </w:r>
      <w:proofErr w:type="spellEnd"/>
      <w:r w:rsidRPr="00214D5F">
        <w:rPr>
          <w:rFonts w:eastAsiaTheme="minorHAnsi"/>
          <w:lang w:eastAsia="en-US"/>
        </w:rPr>
        <w:t xml:space="preserve"> </w:t>
      </w:r>
      <w:proofErr w:type="spellStart"/>
      <w:r w:rsidRPr="00214D5F">
        <w:rPr>
          <w:rFonts w:eastAsiaTheme="minorHAnsi"/>
          <w:lang w:eastAsia="en-US"/>
        </w:rPr>
        <w:t>uygulanacaktır</w:t>
      </w:r>
      <w:proofErr w:type="spellEnd"/>
      <w:r w:rsidRPr="00214D5F">
        <w:rPr>
          <w:rFonts w:eastAsiaTheme="minorHAnsi"/>
          <w:lang w:eastAsia="en-US"/>
        </w:rPr>
        <w:t xml:space="preserve">. </w:t>
      </w:r>
      <w:proofErr w:type="spellStart"/>
      <w:r w:rsidRPr="00214D5F">
        <w:rPr>
          <w:rFonts w:eastAsiaTheme="minorHAnsi"/>
          <w:lang w:eastAsia="en-US"/>
        </w:rPr>
        <w:t>Tedarik</w:t>
      </w:r>
      <w:proofErr w:type="spellEnd"/>
      <w:r w:rsidRPr="00214D5F">
        <w:rPr>
          <w:rFonts w:eastAsiaTheme="minorHAnsi"/>
          <w:lang w:eastAsia="en-US"/>
        </w:rPr>
        <w:t xml:space="preserve"> </w:t>
      </w:r>
      <w:proofErr w:type="spellStart"/>
      <w:r w:rsidRPr="00214D5F">
        <w:rPr>
          <w:rFonts w:eastAsiaTheme="minorHAnsi"/>
          <w:lang w:eastAsia="en-US"/>
        </w:rPr>
        <w:t>zincirinde</w:t>
      </w:r>
      <w:proofErr w:type="spellEnd"/>
      <w:r w:rsidRPr="00214D5F">
        <w:rPr>
          <w:rFonts w:eastAsiaTheme="minorHAnsi"/>
          <w:lang w:eastAsia="en-US"/>
        </w:rPr>
        <w:t xml:space="preserve"> </w:t>
      </w:r>
      <w:proofErr w:type="spellStart"/>
      <w:r w:rsidRPr="00214D5F">
        <w:rPr>
          <w:rFonts w:eastAsiaTheme="minorHAnsi"/>
          <w:lang w:eastAsia="en-US"/>
        </w:rPr>
        <w:t>aksamalara</w:t>
      </w:r>
      <w:proofErr w:type="spellEnd"/>
      <w:r w:rsidRPr="00214D5F">
        <w:rPr>
          <w:rFonts w:eastAsiaTheme="minorHAnsi"/>
          <w:lang w:eastAsia="en-US"/>
        </w:rPr>
        <w:t xml:space="preserve"> </w:t>
      </w:r>
      <w:proofErr w:type="spellStart"/>
      <w:r w:rsidRPr="00214D5F">
        <w:rPr>
          <w:rFonts w:eastAsiaTheme="minorHAnsi"/>
          <w:lang w:eastAsia="en-US"/>
        </w:rPr>
        <w:t>neden</w:t>
      </w:r>
      <w:proofErr w:type="spellEnd"/>
      <w:r w:rsidRPr="00214D5F">
        <w:rPr>
          <w:rFonts w:eastAsiaTheme="minorHAnsi"/>
          <w:lang w:eastAsia="en-US"/>
        </w:rPr>
        <w:t xml:space="preserve"> </w:t>
      </w:r>
      <w:proofErr w:type="spellStart"/>
      <w:r w:rsidRPr="00214D5F">
        <w:rPr>
          <w:rFonts w:eastAsiaTheme="minorHAnsi"/>
          <w:lang w:eastAsia="en-US"/>
        </w:rPr>
        <w:t>olmamak</w:t>
      </w:r>
      <w:proofErr w:type="spellEnd"/>
      <w:r w:rsidRPr="00214D5F">
        <w:rPr>
          <w:rFonts w:eastAsiaTheme="minorHAnsi"/>
          <w:lang w:eastAsia="en-US"/>
        </w:rPr>
        <w:t xml:space="preserve"> </w:t>
      </w:r>
      <w:proofErr w:type="spellStart"/>
      <w:r w:rsidRPr="00214D5F">
        <w:rPr>
          <w:rFonts w:eastAsiaTheme="minorHAnsi"/>
          <w:lang w:eastAsia="en-US"/>
        </w:rPr>
        <w:t>amacıyla</w:t>
      </w:r>
      <w:proofErr w:type="spellEnd"/>
      <w:r w:rsidRPr="00214D5F">
        <w:rPr>
          <w:rFonts w:eastAsiaTheme="minorHAnsi"/>
          <w:lang w:eastAsia="en-US"/>
        </w:rPr>
        <w:t xml:space="preserve">, </w:t>
      </w:r>
      <w:proofErr w:type="spellStart"/>
      <w:r w:rsidRPr="00214D5F">
        <w:rPr>
          <w:rFonts w:eastAsiaTheme="minorHAnsi"/>
          <w:lang w:eastAsia="en-US"/>
        </w:rPr>
        <w:t>sertifika</w:t>
      </w:r>
      <w:proofErr w:type="spellEnd"/>
      <w:r w:rsidRPr="00214D5F">
        <w:rPr>
          <w:rFonts w:eastAsiaTheme="minorHAnsi"/>
          <w:lang w:eastAsia="en-US"/>
        </w:rPr>
        <w:t xml:space="preserve"> </w:t>
      </w:r>
      <w:proofErr w:type="spellStart"/>
      <w:r w:rsidRPr="00214D5F">
        <w:rPr>
          <w:rFonts w:eastAsiaTheme="minorHAnsi"/>
          <w:lang w:eastAsia="en-US"/>
        </w:rPr>
        <w:t>satın</w:t>
      </w:r>
      <w:proofErr w:type="spellEnd"/>
      <w:r w:rsidRPr="00214D5F">
        <w:rPr>
          <w:rFonts w:eastAsiaTheme="minorHAnsi"/>
          <w:lang w:eastAsia="en-US"/>
        </w:rPr>
        <w:t xml:space="preserve"> </w:t>
      </w:r>
      <w:proofErr w:type="spellStart"/>
      <w:r w:rsidRPr="00214D5F">
        <w:rPr>
          <w:rFonts w:eastAsiaTheme="minorHAnsi"/>
          <w:lang w:eastAsia="en-US"/>
        </w:rPr>
        <w:t>alımı</w:t>
      </w:r>
      <w:proofErr w:type="spellEnd"/>
      <w:r w:rsidRPr="00214D5F">
        <w:rPr>
          <w:rFonts w:eastAsiaTheme="minorHAnsi"/>
          <w:lang w:eastAsia="en-US"/>
        </w:rPr>
        <w:t xml:space="preserve"> </w:t>
      </w:r>
      <w:proofErr w:type="spellStart"/>
      <w:r w:rsidRPr="00214D5F">
        <w:rPr>
          <w:rFonts w:eastAsiaTheme="minorHAnsi"/>
          <w:lang w:eastAsia="en-US"/>
        </w:rPr>
        <w:t>için</w:t>
      </w:r>
      <w:proofErr w:type="spellEnd"/>
      <w:r w:rsidRPr="00214D5F">
        <w:rPr>
          <w:rFonts w:eastAsiaTheme="minorHAnsi"/>
          <w:lang w:eastAsia="en-US"/>
        </w:rPr>
        <w:t xml:space="preserve"> </w:t>
      </w:r>
      <w:proofErr w:type="spellStart"/>
      <w:r w:rsidRPr="00214D5F">
        <w:rPr>
          <w:rFonts w:eastAsiaTheme="minorHAnsi"/>
          <w:lang w:eastAsia="en-US"/>
        </w:rPr>
        <w:t>herhangi</w:t>
      </w:r>
      <w:proofErr w:type="spellEnd"/>
      <w:r w:rsidRPr="00214D5F">
        <w:rPr>
          <w:rFonts w:eastAsiaTheme="minorHAnsi"/>
          <w:lang w:eastAsia="en-US"/>
        </w:rPr>
        <w:t xml:space="preserve"> </w:t>
      </w:r>
      <w:proofErr w:type="spellStart"/>
      <w:r w:rsidRPr="00214D5F">
        <w:rPr>
          <w:rFonts w:eastAsiaTheme="minorHAnsi"/>
          <w:lang w:eastAsia="en-US"/>
        </w:rPr>
        <w:t>bir</w:t>
      </w:r>
      <w:proofErr w:type="spellEnd"/>
      <w:r w:rsidRPr="00214D5F">
        <w:rPr>
          <w:rFonts w:eastAsiaTheme="minorHAnsi"/>
          <w:lang w:eastAsia="en-US"/>
        </w:rPr>
        <w:t xml:space="preserve"> </w:t>
      </w:r>
      <w:proofErr w:type="spellStart"/>
      <w:r w:rsidRPr="00214D5F">
        <w:rPr>
          <w:rFonts w:eastAsiaTheme="minorHAnsi"/>
          <w:lang w:eastAsia="en-US"/>
        </w:rPr>
        <w:t>üst</w:t>
      </w:r>
      <w:proofErr w:type="spellEnd"/>
      <w:r w:rsidRPr="00214D5F">
        <w:rPr>
          <w:rFonts w:eastAsiaTheme="minorHAnsi"/>
          <w:lang w:eastAsia="en-US"/>
        </w:rPr>
        <w:t xml:space="preserve"> </w:t>
      </w:r>
      <w:proofErr w:type="spellStart"/>
      <w:r w:rsidRPr="00214D5F">
        <w:rPr>
          <w:rFonts w:eastAsiaTheme="minorHAnsi"/>
          <w:lang w:eastAsia="en-US"/>
        </w:rPr>
        <w:t>sınır</w:t>
      </w:r>
      <w:proofErr w:type="spellEnd"/>
      <w:r w:rsidRPr="00214D5F">
        <w:rPr>
          <w:rFonts w:eastAsiaTheme="minorHAnsi"/>
          <w:lang w:eastAsia="en-US"/>
        </w:rPr>
        <w:t xml:space="preserve"> </w:t>
      </w:r>
      <w:proofErr w:type="spellStart"/>
      <w:r w:rsidRPr="00214D5F">
        <w:rPr>
          <w:rFonts w:eastAsiaTheme="minorHAnsi"/>
          <w:lang w:eastAsia="en-US"/>
        </w:rPr>
        <w:t>belirlenmemiştir</w:t>
      </w:r>
      <w:proofErr w:type="spellEnd"/>
      <w:r w:rsidRPr="00214D5F">
        <w:rPr>
          <w:rFonts w:eastAsiaTheme="minorHAnsi"/>
          <w:lang w:eastAsia="en-US"/>
        </w:rPr>
        <w:t xml:space="preserve">. </w:t>
      </w:r>
      <w:proofErr w:type="spellStart"/>
      <w:r w:rsidRPr="00214D5F">
        <w:rPr>
          <w:rFonts w:eastAsiaTheme="minorHAnsi"/>
          <w:lang w:eastAsia="en-US"/>
        </w:rPr>
        <w:t>Bununla</w:t>
      </w:r>
      <w:proofErr w:type="spellEnd"/>
      <w:r w:rsidRPr="00214D5F">
        <w:rPr>
          <w:rFonts w:eastAsiaTheme="minorHAnsi"/>
          <w:lang w:eastAsia="en-US"/>
        </w:rPr>
        <w:t xml:space="preserve"> </w:t>
      </w:r>
      <w:proofErr w:type="spellStart"/>
      <w:r w:rsidRPr="00214D5F">
        <w:rPr>
          <w:rFonts w:eastAsiaTheme="minorHAnsi"/>
          <w:lang w:eastAsia="en-US"/>
        </w:rPr>
        <w:t>birlikte</w:t>
      </w:r>
      <w:proofErr w:type="spellEnd"/>
      <w:r w:rsidRPr="00214D5F">
        <w:rPr>
          <w:rFonts w:eastAsiaTheme="minorHAnsi"/>
          <w:lang w:eastAsia="en-US"/>
        </w:rPr>
        <w:t xml:space="preserve">, her </w:t>
      </w:r>
      <w:proofErr w:type="spellStart"/>
      <w:r w:rsidRPr="00214D5F">
        <w:rPr>
          <w:rFonts w:eastAsiaTheme="minorHAnsi"/>
          <w:lang w:eastAsia="en-US"/>
        </w:rPr>
        <w:t>bir</w:t>
      </w:r>
      <w:proofErr w:type="spellEnd"/>
      <w:r w:rsidRPr="00214D5F">
        <w:rPr>
          <w:rFonts w:eastAsiaTheme="minorHAnsi"/>
          <w:lang w:eastAsia="en-US"/>
        </w:rPr>
        <w:t xml:space="preserve"> </w:t>
      </w:r>
      <w:proofErr w:type="spellStart"/>
      <w:r w:rsidRPr="00214D5F">
        <w:rPr>
          <w:rFonts w:eastAsiaTheme="minorHAnsi"/>
          <w:lang w:eastAsia="en-US"/>
        </w:rPr>
        <w:lastRenderedPageBreak/>
        <w:t>sertifikanın</w:t>
      </w:r>
      <w:proofErr w:type="spellEnd"/>
      <w:r w:rsidRPr="00214D5F">
        <w:rPr>
          <w:rFonts w:eastAsiaTheme="minorHAnsi"/>
          <w:lang w:eastAsia="en-US"/>
        </w:rPr>
        <w:t xml:space="preserve"> </w:t>
      </w:r>
      <w:proofErr w:type="spellStart"/>
      <w:r w:rsidRPr="00214D5F">
        <w:rPr>
          <w:rFonts w:eastAsiaTheme="minorHAnsi"/>
          <w:lang w:eastAsia="en-US"/>
        </w:rPr>
        <w:t>geçerlilik</w:t>
      </w:r>
      <w:proofErr w:type="spellEnd"/>
      <w:r w:rsidRPr="00214D5F">
        <w:rPr>
          <w:rFonts w:eastAsiaTheme="minorHAnsi"/>
          <w:lang w:eastAsia="en-US"/>
        </w:rPr>
        <w:t xml:space="preserve"> </w:t>
      </w:r>
      <w:proofErr w:type="spellStart"/>
      <w:r w:rsidRPr="00214D5F">
        <w:rPr>
          <w:rFonts w:eastAsiaTheme="minorHAnsi"/>
          <w:lang w:eastAsia="en-US"/>
        </w:rPr>
        <w:t>süresi</w:t>
      </w:r>
      <w:proofErr w:type="spellEnd"/>
      <w:r w:rsidRPr="00214D5F">
        <w:rPr>
          <w:rFonts w:eastAsiaTheme="minorHAnsi"/>
          <w:lang w:eastAsia="en-US"/>
        </w:rPr>
        <w:t xml:space="preserve"> </w:t>
      </w:r>
      <w:proofErr w:type="spellStart"/>
      <w:r w:rsidRPr="00214D5F">
        <w:rPr>
          <w:rFonts w:eastAsiaTheme="minorHAnsi"/>
          <w:lang w:eastAsia="en-US"/>
        </w:rPr>
        <w:t>iki</w:t>
      </w:r>
      <w:proofErr w:type="spellEnd"/>
      <w:r w:rsidRPr="00214D5F">
        <w:rPr>
          <w:rFonts w:eastAsiaTheme="minorHAnsi"/>
          <w:lang w:eastAsia="en-US"/>
        </w:rPr>
        <w:t xml:space="preserve"> </w:t>
      </w:r>
      <w:proofErr w:type="spellStart"/>
      <w:r w:rsidRPr="00214D5F">
        <w:rPr>
          <w:rFonts w:eastAsiaTheme="minorHAnsi"/>
          <w:lang w:eastAsia="en-US"/>
        </w:rPr>
        <w:t>yıl</w:t>
      </w:r>
      <w:proofErr w:type="spellEnd"/>
      <w:r w:rsidRPr="00214D5F">
        <w:rPr>
          <w:rFonts w:eastAsiaTheme="minorHAnsi"/>
          <w:lang w:eastAsia="en-US"/>
        </w:rPr>
        <w:t xml:space="preserve"> </w:t>
      </w:r>
      <w:proofErr w:type="spellStart"/>
      <w:r w:rsidRPr="00214D5F">
        <w:rPr>
          <w:rFonts w:eastAsiaTheme="minorHAnsi"/>
          <w:lang w:eastAsia="en-US"/>
        </w:rPr>
        <w:t>ile</w:t>
      </w:r>
      <w:proofErr w:type="spellEnd"/>
      <w:r w:rsidRPr="00214D5F">
        <w:rPr>
          <w:rFonts w:eastAsiaTheme="minorHAnsi"/>
          <w:lang w:eastAsia="en-US"/>
        </w:rPr>
        <w:t xml:space="preserve"> </w:t>
      </w:r>
      <w:proofErr w:type="spellStart"/>
      <w:r w:rsidRPr="00214D5F">
        <w:rPr>
          <w:rFonts w:eastAsiaTheme="minorHAnsi"/>
          <w:lang w:eastAsia="en-US"/>
        </w:rPr>
        <w:t>sınırlıdır</w:t>
      </w:r>
      <w:proofErr w:type="spellEnd"/>
      <w:r w:rsidRPr="00214D5F">
        <w:rPr>
          <w:rFonts w:eastAsiaTheme="minorHAnsi"/>
          <w:lang w:eastAsia="en-US"/>
        </w:rPr>
        <w:t>. SKDM, AB-</w:t>
      </w:r>
      <w:proofErr w:type="spellStart"/>
      <w:r w:rsidRPr="00214D5F">
        <w:rPr>
          <w:rFonts w:eastAsiaTheme="minorHAnsi"/>
          <w:lang w:eastAsia="en-US"/>
        </w:rPr>
        <w:t>ETS’den</w:t>
      </w:r>
      <w:proofErr w:type="spellEnd"/>
      <w:r w:rsidRPr="00214D5F">
        <w:rPr>
          <w:rFonts w:eastAsiaTheme="minorHAnsi"/>
          <w:lang w:eastAsia="en-US"/>
        </w:rPr>
        <w:t xml:space="preserve"> </w:t>
      </w:r>
      <w:proofErr w:type="spellStart"/>
      <w:r w:rsidRPr="00214D5F">
        <w:rPr>
          <w:rFonts w:eastAsiaTheme="minorHAnsi"/>
          <w:lang w:eastAsia="en-US"/>
        </w:rPr>
        <w:t>farklı</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w:t>
      </w:r>
      <w:proofErr w:type="spellStart"/>
      <w:r w:rsidRPr="00214D5F">
        <w:rPr>
          <w:rFonts w:eastAsiaTheme="minorHAnsi"/>
          <w:lang w:eastAsia="en-US"/>
        </w:rPr>
        <w:t>bu</w:t>
      </w:r>
      <w:proofErr w:type="spellEnd"/>
      <w:r w:rsidRPr="00214D5F">
        <w:rPr>
          <w:rFonts w:eastAsiaTheme="minorHAnsi"/>
          <w:lang w:eastAsia="en-US"/>
        </w:rPr>
        <w:t xml:space="preserve"> </w:t>
      </w:r>
      <w:proofErr w:type="spellStart"/>
      <w:r w:rsidRPr="00214D5F">
        <w:rPr>
          <w:rFonts w:eastAsiaTheme="minorHAnsi"/>
          <w:lang w:eastAsia="en-US"/>
        </w:rPr>
        <w:t>sertifikaların</w:t>
      </w:r>
      <w:proofErr w:type="spellEnd"/>
      <w:r w:rsidRPr="00214D5F">
        <w:rPr>
          <w:rFonts w:eastAsiaTheme="minorHAnsi"/>
          <w:lang w:eastAsia="en-US"/>
        </w:rPr>
        <w:t xml:space="preserve"> </w:t>
      </w:r>
      <w:proofErr w:type="spellStart"/>
      <w:r w:rsidRPr="00214D5F">
        <w:rPr>
          <w:rFonts w:eastAsiaTheme="minorHAnsi"/>
          <w:lang w:eastAsia="en-US"/>
        </w:rPr>
        <w:t>alınıp</w:t>
      </w:r>
      <w:proofErr w:type="spellEnd"/>
      <w:r w:rsidRPr="00214D5F">
        <w:rPr>
          <w:rFonts w:eastAsiaTheme="minorHAnsi"/>
          <w:lang w:eastAsia="en-US"/>
        </w:rPr>
        <w:t xml:space="preserve"> </w:t>
      </w:r>
      <w:proofErr w:type="spellStart"/>
      <w:r w:rsidRPr="00214D5F">
        <w:rPr>
          <w:rFonts w:eastAsiaTheme="minorHAnsi"/>
          <w:lang w:eastAsia="en-US"/>
        </w:rPr>
        <w:t>satılmasına</w:t>
      </w:r>
      <w:proofErr w:type="spellEnd"/>
      <w:r w:rsidRPr="00214D5F">
        <w:rPr>
          <w:rFonts w:eastAsiaTheme="minorHAnsi"/>
          <w:lang w:eastAsia="en-US"/>
        </w:rPr>
        <w:t xml:space="preserve"> </w:t>
      </w:r>
      <w:proofErr w:type="spellStart"/>
      <w:r w:rsidRPr="00214D5F">
        <w:rPr>
          <w:rFonts w:eastAsiaTheme="minorHAnsi"/>
          <w:lang w:eastAsia="en-US"/>
        </w:rPr>
        <w:t>izin</w:t>
      </w:r>
      <w:proofErr w:type="spellEnd"/>
      <w:r w:rsidRPr="00214D5F">
        <w:rPr>
          <w:rFonts w:eastAsiaTheme="minorHAnsi"/>
          <w:lang w:eastAsia="en-US"/>
        </w:rPr>
        <w:t xml:space="preserve"> </w:t>
      </w:r>
      <w:proofErr w:type="spellStart"/>
      <w:r w:rsidRPr="00214D5F">
        <w:rPr>
          <w:rFonts w:eastAsiaTheme="minorHAnsi"/>
          <w:lang w:eastAsia="en-US"/>
        </w:rPr>
        <w:t>vermemektedir</w:t>
      </w:r>
      <w:proofErr w:type="spellEnd"/>
      <w:r w:rsidRPr="00214D5F">
        <w:rPr>
          <w:rFonts w:eastAsiaTheme="minorHAnsi"/>
          <w:lang w:eastAsia="en-US"/>
        </w:rPr>
        <w:t>.</w:t>
      </w:r>
      <w:sdt>
        <w:sdtPr>
          <w:rPr>
            <w:rFonts w:eastAsiaTheme="minorHAnsi"/>
            <w:lang w:eastAsia="en-US"/>
          </w:rPr>
          <w:id w:val="1097595808"/>
          <w:citation/>
        </w:sdtPr>
        <w:sdtContent>
          <w:r w:rsidRPr="00214D5F">
            <w:rPr>
              <w:rFonts w:eastAsiaTheme="minorHAnsi"/>
              <w:lang w:eastAsia="en-US"/>
            </w:rPr>
            <w:fldChar w:fldCharType="begin"/>
          </w:r>
          <w:r w:rsidRPr="00214D5F">
            <w:rPr>
              <w:rFonts w:eastAsiaTheme="minorHAnsi"/>
              <w:lang w:eastAsia="en-US"/>
            </w:rPr>
            <w:instrText xml:space="preserve"> CITATION Eur21 \l 1055 </w:instrText>
          </w:r>
          <w:r w:rsidRPr="00214D5F">
            <w:rPr>
              <w:rFonts w:eastAsiaTheme="minorHAnsi"/>
              <w:lang w:eastAsia="en-US"/>
            </w:rPr>
            <w:fldChar w:fldCharType="separate"/>
          </w:r>
          <w:r>
            <w:rPr>
              <w:rFonts w:eastAsiaTheme="minorHAnsi"/>
              <w:noProof/>
              <w:lang w:eastAsia="en-US"/>
            </w:rPr>
            <w:t xml:space="preserve"> </w:t>
          </w:r>
          <w:r w:rsidRPr="00AB0519">
            <w:rPr>
              <w:rFonts w:eastAsiaTheme="minorHAnsi"/>
              <w:noProof/>
              <w:lang w:eastAsia="en-US"/>
            </w:rPr>
            <w:t>(European Commission, 2021)</w:t>
          </w:r>
          <w:r w:rsidRPr="00214D5F">
            <w:rPr>
              <w:rFonts w:eastAsiaTheme="minorHAnsi"/>
              <w:lang w:eastAsia="en-US"/>
            </w:rPr>
            <w:fldChar w:fldCharType="end"/>
          </w:r>
        </w:sdtContent>
      </w:sdt>
    </w:p>
    <w:p w14:paraId="1A7D21B1" w14:textId="77777777" w:rsidR="003B45CB" w:rsidRPr="00214D5F" w:rsidRDefault="003B45CB" w:rsidP="0017453B">
      <w:pPr>
        <w:pStyle w:val="NormalWeb"/>
        <w:spacing w:before="0" w:beforeAutospacing="0" w:after="0" w:afterAutospacing="0"/>
        <w:jc w:val="both"/>
        <w:rPr>
          <w:rFonts w:eastAsiaTheme="minorHAnsi"/>
          <w:lang w:eastAsia="en-US"/>
        </w:rPr>
      </w:pPr>
    </w:p>
    <w:p w14:paraId="35293F7F" w14:textId="77777777" w:rsidR="00914DCC" w:rsidRDefault="00914DCC" w:rsidP="0017453B">
      <w:pPr>
        <w:pStyle w:val="NormalWeb"/>
        <w:spacing w:before="0" w:beforeAutospacing="0" w:after="0" w:afterAutospacing="0"/>
        <w:jc w:val="both"/>
        <w:rPr>
          <w:rFonts w:eastAsiaTheme="minorHAnsi"/>
          <w:lang w:eastAsia="en-US"/>
        </w:rPr>
      </w:pPr>
      <w:r w:rsidRPr="00214D5F">
        <w:rPr>
          <w:rFonts w:eastAsiaTheme="minorHAnsi"/>
          <w:lang w:eastAsia="en-US"/>
        </w:rPr>
        <w:t xml:space="preserve">2023 </w:t>
      </w:r>
      <w:proofErr w:type="spellStart"/>
      <w:r w:rsidRPr="00214D5F">
        <w:rPr>
          <w:rFonts w:eastAsiaTheme="minorHAnsi"/>
          <w:lang w:eastAsia="en-US"/>
        </w:rPr>
        <w:t>yılı</w:t>
      </w:r>
      <w:proofErr w:type="spellEnd"/>
      <w:r w:rsidRPr="00214D5F">
        <w:rPr>
          <w:rFonts w:eastAsiaTheme="minorHAnsi"/>
          <w:lang w:eastAsia="en-US"/>
        </w:rPr>
        <w:t xml:space="preserve"> </w:t>
      </w:r>
      <w:proofErr w:type="spellStart"/>
      <w:r w:rsidRPr="00214D5F">
        <w:rPr>
          <w:rFonts w:eastAsiaTheme="minorHAnsi"/>
          <w:lang w:eastAsia="en-US"/>
        </w:rPr>
        <w:t>itibarıyla</w:t>
      </w:r>
      <w:proofErr w:type="spellEnd"/>
      <w:r w:rsidRPr="00214D5F">
        <w:rPr>
          <w:rFonts w:eastAsiaTheme="minorHAnsi"/>
          <w:lang w:eastAsia="en-US"/>
        </w:rPr>
        <w:t xml:space="preserve"> SKDM </w:t>
      </w:r>
      <w:proofErr w:type="spellStart"/>
      <w:r w:rsidRPr="00214D5F">
        <w:rPr>
          <w:rFonts w:eastAsiaTheme="minorHAnsi"/>
          <w:lang w:eastAsia="en-US"/>
        </w:rPr>
        <w:t>teknik</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w:t>
      </w:r>
      <w:proofErr w:type="spellStart"/>
      <w:r w:rsidRPr="00214D5F">
        <w:rPr>
          <w:rFonts w:eastAsiaTheme="minorHAnsi"/>
          <w:lang w:eastAsia="en-US"/>
        </w:rPr>
        <w:t>sadece</w:t>
      </w:r>
      <w:proofErr w:type="spellEnd"/>
      <w:r w:rsidRPr="00214D5F">
        <w:rPr>
          <w:rFonts w:eastAsiaTheme="minorHAnsi"/>
          <w:lang w:eastAsia="en-US"/>
        </w:rPr>
        <w:t xml:space="preserve"> </w:t>
      </w:r>
      <w:proofErr w:type="spellStart"/>
      <w:r w:rsidRPr="00214D5F">
        <w:rPr>
          <w:rFonts w:eastAsiaTheme="minorHAnsi"/>
          <w:lang w:eastAsia="en-US"/>
        </w:rPr>
        <w:t>raporlama</w:t>
      </w:r>
      <w:proofErr w:type="spellEnd"/>
      <w:r w:rsidRPr="00214D5F">
        <w:rPr>
          <w:rFonts w:eastAsiaTheme="minorHAnsi"/>
          <w:lang w:eastAsia="en-US"/>
        </w:rPr>
        <w:t xml:space="preserve"> </w:t>
      </w:r>
      <w:proofErr w:type="spellStart"/>
      <w:r w:rsidRPr="00214D5F">
        <w:rPr>
          <w:rFonts w:eastAsiaTheme="minorHAnsi"/>
          <w:lang w:eastAsia="en-US"/>
        </w:rPr>
        <w:t>yükümlülüğü</w:t>
      </w:r>
      <w:proofErr w:type="spellEnd"/>
      <w:r w:rsidRPr="00214D5F">
        <w:rPr>
          <w:rFonts w:eastAsiaTheme="minorHAnsi"/>
          <w:lang w:eastAsia="en-US"/>
        </w:rPr>
        <w:t xml:space="preserve"> </w:t>
      </w:r>
      <w:proofErr w:type="spellStart"/>
      <w:r w:rsidRPr="00214D5F">
        <w:rPr>
          <w:rFonts w:eastAsiaTheme="minorHAnsi"/>
          <w:lang w:eastAsia="en-US"/>
        </w:rPr>
        <w:t>ile</w:t>
      </w:r>
      <w:proofErr w:type="spellEnd"/>
      <w:r w:rsidRPr="00214D5F">
        <w:rPr>
          <w:rFonts w:eastAsiaTheme="minorHAnsi"/>
          <w:lang w:eastAsia="en-US"/>
        </w:rPr>
        <w:t xml:space="preserve"> </w:t>
      </w:r>
      <w:proofErr w:type="spellStart"/>
      <w:r w:rsidRPr="00214D5F">
        <w:rPr>
          <w:rFonts w:eastAsiaTheme="minorHAnsi"/>
          <w:lang w:eastAsia="en-US"/>
        </w:rPr>
        <w:t>faaliyete</w:t>
      </w:r>
      <w:proofErr w:type="spellEnd"/>
      <w:r w:rsidRPr="00214D5F">
        <w:rPr>
          <w:rFonts w:eastAsiaTheme="minorHAnsi"/>
          <w:lang w:eastAsia="en-US"/>
        </w:rPr>
        <w:t xml:space="preserve"> </w:t>
      </w:r>
      <w:proofErr w:type="spellStart"/>
      <w:r w:rsidRPr="00214D5F">
        <w:rPr>
          <w:rFonts w:eastAsiaTheme="minorHAnsi"/>
          <w:lang w:eastAsia="en-US"/>
        </w:rPr>
        <w:t>geçmiştir</w:t>
      </w:r>
      <w:proofErr w:type="spellEnd"/>
      <w:r w:rsidRPr="00214D5F">
        <w:rPr>
          <w:rFonts w:eastAsiaTheme="minorHAnsi"/>
          <w:lang w:eastAsia="en-US"/>
        </w:rPr>
        <w:t xml:space="preserve">. </w:t>
      </w:r>
      <w:proofErr w:type="spellStart"/>
      <w:r w:rsidRPr="00214D5F">
        <w:rPr>
          <w:rFonts w:eastAsiaTheme="minorHAnsi"/>
          <w:lang w:eastAsia="en-US"/>
        </w:rPr>
        <w:t>Uygulama</w:t>
      </w:r>
      <w:proofErr w:type="spellEnd"/>
      <w:r w:rsidRPr="00214D5F">
        <w:rPr>
          <w:rFonts w:eastAsiaTheme="minorHAnsi"/>
          <w:lang w:eastAsia="en-US"/>
        </w:rPr>
        <w:t xml:space="preserve"> ilk </w:t>
      </w:r>
      <w:proofErr w:type="spellStart"/>
      <w:r w:rsidRPr="00214D5F">
        <w:rPr>
          <w:rFonts w:eastAsiaTheme="minorHAnsi"/>
          <w:lang w:eastAsia="en-US"/>
        </w:rPr>
        <w:t>aşamada</w:t>
      </w:r>
      <w:proofErr w:type="spellEnd"/>
      <w:r w:rsidRPr="00214D5F">
        <w:rPr>
          <w:rFonts w:eastAsiaTheme="minorHAnsi"/>
          <w:lang w:eastAsia="en-US"/>
        </w:rPr>
        <w:t xml:space="preserve"> </w:t>
      </w:r>
      <w:proofErr w:type="spellStart"/>
      <w:r w:rsidRPr="00214D5F">
        <w:rPr>
          <w:rFonts w:eastAsiaTheme="minorHAnsi"/>
          <w:lang w:eastAsia="en-US"/>
        </w:rPr>
        <w:t>kapsadığı</w:t>
      </w:r>
      <w:proofErr w:type="spellEnd"/>
      <w:r w:rsidRPr="00214D5F">
        <w:rPr>
          <w:rFonts w:eastAsiaTheme="minorHAnsi"/>
          <w:lang w:eastAsia="en-US"/>
        </w:rPr>
        <w:t xml:space="preserve"> </w:t>
      </w:r>
      <w:proofErr w:type="spellStart"/>
      <w:r w:rsidRPr="00214D5F">
        <w:rPr>
          <w:rFonts w:eastAsiaTheme="minorHAnsi"/>
          <w:lang w:eastAsia="en-US"/>
        </w:rPr>
        <w:t>sektörler</w:t>
      </w:r>
      <w:proofErr w:type="spellEnd"/>
      <w:r w:rsidRPr="00214D5F">
        <w:rPr>
          <w:rFonts w:eastAsiaTheme="minorHAnsi"/>
          <w:lang w:eastAsia="en-US"/>
        </w:rPr>
        <w:t xml:space="preserve"> </w:t>
      </w:r>
      <w:proofErr w:type="spellStart"/>
      <w:r w:rsidRPr="00214D5F">
        <w:rPr>
          <w:rFonts w:eastAsiaTheme="minorHAnsi"/>
          <w:lang w:eastAsia="en-US"/>
        </w:rPr>
        <w:t>sadece</w:t>
      </w:r>
      <w:proofErr w:type="spellEnd"/>
      <w:r w:rsidRPr="00214D5F">
        <w:rPr>
          <w:rFonts w:eastAsiaTheme="minorHAnsi"/>
          <w:lang w:eastAsia="en-US"/>
        </w:rPr>
        <w:t xml:space="preserve"> </w:t>
      </w:r>
      <w:proofErr w:type="spellStart"/>
      <w:r w:rsidRPr="00214D5F">
        <w:rPr>
          <w:rFonts w:eastAsiaTheme="minorHAnsi"/>
          <w:lang w:eastAsia="en-US"/>
        </w:rPr>
        <w:t>çimento</w:t>
      </w:r>
      <w:proofErr w:type="spellEnd"/>
      <w:r w:rsidRPr="00214D5F">
        <w:rPr>
          <w:rFonts w:eastAsiaTheme="minorHAnsi"/>
          <w:lang w:eastAsia="en-US"/>
        </w:rPr>
        <w:t xml:space="preserve">, </w:t>
      </w:r>
      <w:proofErr w:type="spellStart"/>
      <w:r w:rsidRPr="00214D5F">
        <w:rPr>
          <w:rFonts w:eastAsiaTheme="minorHAnsi"/>
          <w:lang w:eastAsia="en-US"/>
        </w:rPr>
        <w:t>alüminyum</w:t>
      </w:r>
      <w:proofErr w:type="spellEnd"/>
      <w:r w:rsidRPr="00214D5F">
        <w:rPr>
          <w:rFonts w:eastAsiaTheme="minorHAnsi"/>
          <w:lang w:eastAsia="en-US"/>
        </w:rPr>
        <w:t xml:space="preserve">, </w:t>
      </w:r>
      <w:proofErr w:type="spellStart"/>
      <w:r w:rsidRPr="00214D5F">
        <w:rPr>
          <w:rFonts w:eastAsiaTheme="minorHAnsi"/>
          <w:lang w:eastAsia="en-US"/>
        </w:rPr>
        <w:t>gübre</w:t>
      </w:r>
      <w:proofErr w:type="spellEnd"/>
      <w:r w:rsidRPr="00214D5F">
        <w:rPr>
          <w:rFonts w:eastAsiaTheme="minorHAnsi"/>
          <w:lang w:eastAsia="en-US"/>
        </w:rPr>
        <w:t xml:space="preserve">, </w:t>
      </w:r>
      <w:proofErr w:type="spellStart"/>
      <w:r w:rsidRPr="00214D5F">
        <w:rPr>
          <w:rFonts w:eastAsiaTheme="minorHAnsi"/>
          <w:lang w:eastAsia="en-US"/>
        </w:rPr>
        <w:t>elektrik</w:t>
      </w:r>
      <w:proofErr w:type="spellEnd"/>
      <w:r w:rsidRPr="00214D5F">
        <w:rPr>
          <w:rFonts w:eastAsiaTheme="minorHAnsi"/>
          <w:lang w:eastAsia="en-US"/>
        </w:rPr>
        <w:t xml:space="preserve">, </w:t>
      </w:r>
      <w:proofErr w:type="spellStart"/>
      <w:r w:rsidRPr="00214D5F">
        <w:rPr>
          <w:rFonts w:eastAsiaTheme="minorHAnsi"/>
          <w:lang w:eastAsia="en-US"/>
        </w:rPr>
        <w:t>hidrojen</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demir-çelik</w:t>
      </w:r>
      <w:proofErr w:type="spellEnd"/>
      <w:r w:rsidRPr="00214D5F">
        <w:rPr>
          <w:rFonts w:eastAsiaTheme="minorHAnsi"/>
          <w:lang w:eastAsia="en-US"/>
        </w:rPr>
        <w:t xml:space="preserve"> </w:t>
      </w:r>
      <w:proofErr w:type="spellStart"/>
      <w:r w:rsidRPr="00214D5F">
        <w:rPr>
          <w:rFonts w:eastAsiaTheme="minorHAnsi"/>
          <w:lang w:eastAsia="en-US"/>
        </w:rPr>
        <w:t>olarak</w:t>
      </w:r>
      <w:proofErr w:type="spellEnd"/>
      <w:r w:rsidRPr="00214D5F">
        <w:rPr>
          <w:rFonts w:eastAsiaTheme="minorHAnsi"/>
          <w:lang w:eastAsia="en-US"/>
        </w:rPr>
        <w:t xml:space="preserve"> </w:t>
      </w:r>
      <w:proofErr w:type="spellStart"/>
      <w:r w:rsidRPr="00214D5F">
        <w:rPr>
          <w:rFonts w:eastAsiaTheme="minorHAnsi"/>
          <w:lang w:eastAsia="en-US"/>
        </w:rPr>
        <w:t>belirlemiştir</w:t>
      </w:r>
      <w:proofErr w:type="spellEnd"/>
      <w:r w:rsidRPr="00214D5F">
        <w:rPr>
          <w:rFonts w:eastAsiaTheme="minorHAnsi"/>
          <w:lang w:eastAsia="en-US"/>
        </w:rPr>
        <w:t xml:space="preserve">. 2026 </w:t>
      </w:r>
      <w:proofErr w:type="spellStart"/>
      <w:r w:rsidRPr="00214D5F">
        <w:rPr>
          <w:rFonts w:eastAsiaTheme="minorHAnsi"/>
          <w:lang w:eastAsia="en-US"/>
        </w:rPr>
        <w:t>yılına</w:t>
      </w:r>
      <w:proofErr w:type="spellEnd"/>
      <w:r w:rsidRPr="00214D5F">
        <w:rPr>
          <w:rFonts w:eastAsiaTheme="minorHAnsi"/>
          <w:lang w:eastAsia="en-US"/>
        </w:rPr>
        <w:t xml:space="preserve"> </w:t>
      </w:r>
      <w:proofErr w:type="spellStart"/>
      <w:r w:rsidRPr="00214D5F">
        <w:rPr>
          <w:rFonts w:eastAsiaTheme="minorHAnsi"/>
          <w:lang w:eastAsia="en-US"/>
        </w:rPr>
        <w:t>kadar</w:t>
      </w:r>
      <w:proofErr w:type="spellEnd"/>
      <w:r w:rsidRPr="00214D5F">
        <w:rPr>
          <w:rFonts w:eastAsiaTheme="minorHAnsi"/>
          <w:lang w:eastAsia="en-US"/>
        </w:rPr>
        <w:t xml:space="preserve"> </w:t>
      </w:r>
      <w:proofErr w:type="spellStart"/>
      <w:r w:rsidRPr="00214D5F">
        <w:rPr>
          <w:rFonts w:eastAsiaTheme="minorHAnsi"/>
          <w:lang w:eastAsia="en-US"/>
        </w:rPr>
        <w:t>bu</w:t>
      </w:r>
      <w:proofErr w:type="spellEnd"/>
      <w:r w:rsidRPr="00214D5F">
        <w:rPr>
          <w:rFonts w:eastAsiaTheme="minorHAnsi"/>
          <w:lang w:eastAsia="en-US"/>
        </w:rPr>
        <w:t xml:space="preserve"> </w:t>
      </w:r>
      <w:proofErr w:type="spellStart"/>
      <w:r w:rsidRPr="00214D5F">
        <w:rPr>
          <w:rFonts w:eastAsiaTheme="minorHAnsi"/>
          <w:lang w:eastAsia="en-US"/>
        </w:rPr>
        <w:t>sektörlerde</w:t>
      </w:r>
      <w:proofErr w:type="spellEnd"/>
      <w:r w:rsidRPr="00214D5F">
        <w:rPr>
          <w:rFonts w:eastAsiaTheme="minorHAnsi"/>
          <w:lang w:eastAsia="en-US"/>
        </w:rPr>
        <w:t xml:space="preserve"> </w:t>
      </w:r>
      <w:proofErr w:type="spellStart"/>
      <w:r w:rsidRPr="00214D5F">
        <w:rPr>
          <w:rFonts w:eastAsiaTheme="minorHAnsi"/>
          <w:lang w:eastAsia="en-US"/>
        </w:rPr>
        <w:t>faaliyet</w:t>
      </w:r>
      <w:proofErr w:type="spellEnd"/>
      <w:r w:rsidRPr="00214D5F">
        <w:rPr>
          <w:rFonts w:eastAsiaTheme="minorHAnsi"/>
          <w:lang w:eastAsia="en-US"/>
        </w:rPr>
        <w:t xml:space="preserve"> </w:t>
      </w:r>
      <w:proofErr w:type="spellStart"/>
      <w:r w:rsidRPr="00214D5F">
        <w:rPr>
          <w:rFonts w:eastAsiaTheme="minorHAnsi"/>
          <w:lang w:eastAsia="en-US"/>
        </w:rPr>
        <w:t>gösteren</w:t>
      </w:r>
      <w:proofErr w:type="spellEnd"/>
      <w:r w:rsidRPr="00214D5F">
        <w:rPr>
          <w:rFonts w:eastAsiaTheme="minorHAnsi"/>
          <w:lang w:eastAsia="en-US"/>
        </w:rPr>
        <w:t xml:space="preserve"> </w:t>
      </w:r>
      <w:proofErr w:type="spellStart"/>
      <w:r w:rsidRPr="00214D5F">
        <w:rPr>
          <w:rFonts w:eastAsiaTheme="minorHAnsi"/>
          <w:lang w:eastAsia="en-US"/>
        </w:rPr>
        <w:t>firmalar</w:t>
      </w:r>
      <w:proofErr w:type="spellEnd"/>
      <w:r w:rsidRPr="00214D5F">
        <w:rPr>
          <w:rFonts w:eastAsiaTheme="minorHAnsi"/>
          <w:lang w:eastAsia="en-US"/>
        </w:rPr>
        <w:t xml:space="preserve"> </w:t>
      </w:r>
      <w:proofErr w:type="spellStart"/>
      <w:r w:rsidRPr="00214D5F">
        <w:rPr>
          <w:rFonts w:eastAsiaTheme="minorHAnsi"/>
          <w:lang w:eastAsia="en-US"/>
        </w:rPr>
        <w:t>hakkında</w:t>
      </w:r>
      <w:proofErr w:type="spellEnd"/>
      <w:r w:rsidRPr="00214D5F">
        <w:rPr>
          <w:rFonts w:eastAsiaTheme="minorHAnsi"/>
          <w:lang w:eastAsia="en-US"/>
        </w:rPr>
        <w:t xml:space="preserve"> </w:t>
      </w:r>
      <w:proofErr w:type="spellStart"/>
      <w:r w:rsidRPr="00214D5F">
        <w:rPr>
          <w:rFonts w:eastAsiaTheme="minorHAnsi"/>
          <w:lang w:eastAsia="en-US"/>
        </w:rPr>
        <w:t>veri</w:t>
      </w:r>
      <w:proofErr w:type="spellEnd"/>
      <w:r w:rsidRPr="00214D5F">
        <w:rPr>
          <w:rFonts w:eastAsiaTheme="minorHAnsi"/>
          <w:lang w:eastAsia="en-US"/>
        </w:rPr>
        <w:t xml:space="preserve"> </w:t>
      </w:r>
      <w:proofErr w:type="spellStart"/>
      <w:r w:rsidRPr="00214D5F">
        <w:rPr>
          <w:rFonts w:eastAsiaTheme="minorHAnsi"/>
          <w:lang w:eastAsia="en-US"/>
        </w:rPr>
        <w:t>toplanmış</w:t>
      </w:r>
      <w:proofErr w:type="spellEnd"/>
      <w:r w:rsidRPr="00214D5F">
        <w:rPr>
          <w:rFonts w:eastAsiaTheme="minorHAnsi"/>
          <w:lang w:eastAsia="en-US"/>
        </w:rPr>
        <w:t xml:space="preserve"> </w:t>
      </w:r>
      <w:proofErr w:type="spellStart"/>
      <w:r w:rsidRPr="00214D5F">
        <w:rPr>
          <w:rFonts w:eastAsiaTheme="minorHAnsi"/>
          <w:lang w:eastAsia="en-US"/>
        </w:rPr>
        <w:t>olacaktır</w:t>
      </w:r>
      <w:proofErr w:type="spellEnd"/>
      <w:r w:rsidRPr="00214D5F">
        <w:rPr>
          <w:rFonts w:eastAsiaTheme="minorHAnsi"/>
          <w:lang w:eastAsia="en-US"/>
        </w:rPr>
        <w:t xml:space="preserve">. Daha </w:t>
      </w:r>
      <w:proofErr w:type="spellStart"/>
      <w:r w:rsidRPr="00214D5F">
        <w:rPr>
          <w:rFonts w:eastAsiaTheme="minorHAnsi"/>
          <w:lang w:eastAsia="en-US"/>
        </w:rPr>
        <w:t>sonra</w:t>
      </w:r>
      <w:proofErr w:type="spellEnd"/>
      <w:r w:rsidRPr="00214D5F">
        <w:rPr>
          <w:rFonts w:eastAsiaTheme="minorHAnsi"/>
          <w:lang w:eastAsia="en-US"/>
        </w:rPr>
        <w:t xml:space="preserve"> </w:t>
      </w:r>
      <w:proofErr w:type="spellStart"/>
      <w:r w:rsidRPr="00214D5F">
        <w:rPr>
          <w:rFonts w:eastAsiaTheme="minorHAnsi"/>
          <w:lang w:eastAsia="en-US"/>
        </w:rPr>
        <w:t>ise</w:t>
      </w:r>
      <w:proofErr w:type="spellEnd"/>
      <w:r w:rsidRPr="00214D5F">
        <w:rPr>
          <w:rFonts w:eastAsiaTheme="minorHAnsi"/>
          <w:lang w:eastAsia="en-US"/>
        </w:rPr>
        <w:t xml:space="preserve"> SKDM </w:t>
      </w:r>
      <w:proofErr w:type="spellStart"/>
      <w:r w:rsidRPr="00214D5F">
        <w:rPr>
          <w:rFonts w:eastAsiaTheme="minorHAnsi"/>
          <w:lang w:eastAsia="en-US"/>
        </w:rPr>
        <w:t>yükümlülükleri</w:t>
      </w:r>
      <w:proofErr w:type="spellEnd"/>
      <w:r w:rsidRPr="00214D5F">
        <w:rPr>
          <w:rFonts w:eastAsiaTheme="minorHAnsi"/>
          <w:lang w:eastAsia="en-US"/>
        </w:rPr>
        <w:t xml:space="preserve"> tam </w:t>
      </w:r>
      <w:proofErr w:type="spellStart"/>
      <w:r w:rsidRPr="00214D5F">
        <w:rPr>
          <w:rFonts w:eastAsiaTheme="minorHAnsi"/>
          <w:lang w:eastAsia="en-US"/>
        </w:rPr>
        <w:t>olarak</w:t>
      </w:r>
      <w:proofErr w:type="spellEnd"/>
      <w:r w:rsidRPr="00214D5F">
        <w:rPr>
          <w:rFonts w:eastAsiaTheme="minorHAnsi"/>
          <w:lang w:eastAsia="en-US"/>
        </w:rPr>
        <w:t xml:space="preserve"> </w:t>
      </w:r>
      <w:proofErr w:type="spellStart"/>
      <w:r w:rsidRPr="00214D5F">
        <w:rPr>
          <w:rFonts w:eastAsiaTheme="minorHAnsi"/>
          <w:lang w:eastAsia="en-US"/>
        </w:rPr>
        <w:t>uygulanacaktır</w:t>
      </w:r>
      <w:proofErr w:type="spellEnd"/>
      <w:r w:rsidRPr="00214D5F">
        <w:rPr>
          <w:rFonts w:eastAsiaTheme="minorHAnsi"/>
          <w:lang w:eastAsia="en-US"/>
        </w:rPr>
        <w:t>.</w:t>
      </w:r>
    </w:p>
    <w:p w14:paraId="1828BA35" w14:textId="77777777" w:rsidR="003B45CB" w:rsidRPr="00214D5F" w:rsidRDefault="003B45CB" w:rsidP="0017453B">
      <w:pPr>
        <w:pStyle w:val="NormalWeb"/>
        <w:spacing w:before="0" w:beforeAutospacing="0" w:after="0" w:afterAutospacing="0"/>
        <w:jc w:val="both"/>
        <w:rPr>
          <w:rFonts w:eastAsiaTheme="minorHAnsi"/>
          <w:lang w:eastAsia="en-US"/>
        </w:rPr>
      </w:pPr>
    </w:p>
    <w:p w14:paraId="0A75C175" w14:textId="77777777" w:rsidR="00914DCC" w:rsidRDefault="00914DCC" w:rsidP="0017453B">
      <w:pPr>
        <w:pStyle w:val="NormalWeb"/>
        <w:spacing w:before="0" w:beforeAutospacing="0" w:after="0" w:afterAutospacing="0"/>
        <w:jc w:val="both"/>
        <w:rPr>
          <w:rFonts w:eastAsiaTheme="minorHAnsi"/>
          <w:lang w:eastAsia="en-US"/>
        </w:rPr>
      </w:pPr>
      <w:proofErr w:type="spellStart"/>
      <w:r w:rsidRPr="00214D5F">
        <w:rPr>
          <w:rFonts w:eastAsiaTheme="minorHAnsi"/>
          <w:lang w:eastAsia="en-US"/>
        </w:rPr>
        <w:t>Birleşmiş</w:t>
      </w:r>
      <w:proofErr w:type="spellEnd"/>
      <w:r w:rsidRPr="00214D5F">
        <w:rPr>
          <w:rFonts w:eastAsiaTheme="minorHAnsi"/>
          <w:lang w:eastAsia="en-US"/>
        </w:rPr>
        <w:t xml:space="preserve"> </w:t>
      </w:r>
      <w:proofErr w:type="spellStart"/>
      <w:r w:rsidRPr="00214D5F">
        <w:rPr>
          <w:rFonts w:eastAsiaTheme="minorHAnsi"/>
          <w:lang w:eastAsia="en-US"/>
        </w:rPr>
        <w:t>Milletler</w:t>
      </w:r>
      <w:proofErr w:type="spellEnd"/>
      <w:r w:rsidRPr="00214D5F">
        <w:rPr>
          <w:rFonts w:eastAsiaTheme="minorHAnsi"/>
          <w:lang w:eastAsia="en-US"/>
        </w:rPr>
        <w:t xml:space="preserve"> Ticaret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Kalkınma</w:t>
      </w:r>
      <w:proofErr w:type="spellEnd"/>
      <w:r w:rsidRPr="00214D5F">
        <w:rPr>
          <w:rFonts w:eastAsiaTheme="minorHAnsi"/>
          <w:lang w:eastAsia="en-US"/>
        </w:rPr>
        <w:t xml:space="preserve"> </w:t>
      </w:r>
      <w:proofErr w:type="spellStart"/>
      <w:r w:rsidRPr="00214D5F">
        <w:rPr>
          <w:rFonts w:eastAsiaTheme="minorHAnsi"/>
          <w:lang w:eastAsia="en-US"/>
        </w:rPr>
        <w:t>Konferansı</w:t>
      </w:r>
      <w:proofErr w:type="spellEnd"/>
      <w:r w:rsidRPr="00214D5F">
        <w:rPr>
          <w:rFonts w:eastAsiaTheme="minorHAnsi"/>
          <w:lang w:eastAsia="en-US"/>
        </w:rPr>
        <w:t xml:space="preserve"> (UNCTAD) </w:t>
      </w:r>
      <w:proofErr w:type="spellStart"/>
      <w:r w:rsidRPr="00214D5F">
        <w:rPr>
          <w:rFonts w:eastAsiaTheme="minorHAnsi"/>
          <w:lang w:eastAsia="en-US"/>
        </w:rPr>
        <w:t>tarafından</w:t>
      </w:r>
      <w:proofErr w:type="spellEnd"/>
      <w:r w:rsidRPr="00214D5F">
        <w:rPr>
          <w:rFonts w:eastAsiaTheme="minorHAnsi"/>
          <w:lang w:eastAsia="en-US"/>
        </w:rPr>
        <w:t xml:space="preserve"> 2021 </w:t>
      </w:r>
      <w:proofErr w:type="spellStart"/>
      <w:r w:rsidRPr="00214D5F">
        <w:rPr>
          <w:rFonts w:eastAsiaTheme="minorHAnsi"/>
          <w:lang w:eastAsia="en-US"/>
        </w:rPr>
        <w:t>yılında</w:t>
      </w:r>
      <w:proofErr w:type="spellEnd"/>
      <w:r w:rsidRPr="00214D5F">
        <w:rPr>
          <w:rFonts w:eastAsiaTheme="minorHAnsi"/>
          <w:lang w:eastAsia="en-US"/>
        </w:rPr>
        <w:t xml:space="preserve"> </w:t>
      </w:r>
      <w:proofErr w:type="spellStart"/>
      <w:r w:rsidRPr="00214D5F">
        <w:rPr>
          <w:rFonts w:eastAsiaTheme="minorHAnsi"/>
          <w:lang w:eastAsia="en-US"/>
        </w:rPr>
        <w:t>hazırlanan</w:t>
      </w:r>
      <w:proofErr w:type="spellEnd"/>
      <w:r w:rsidRPr="00214D5F">
        <w:rPr>
          <w:rFonts w:eastAsiaTheme="minorHAnsi"/>
          <w:lang w:eastAsia="en-US"/>
        </w:rPr>
        <w:t xml:space="preserve"> “A European Union Carbon Border Adjustment Mechanism: </w:t>
      </w:r>
      <w:proofErr w:type="gramStart"/>
      <w:r w:rsidRPr="00214D5F">
        <w:rPr>
          <w:rFonts w:eastAsiaTheme="minorHAnsi"/>
          <w:lang w:eastAsia="en-US"/>
        </w:rPr>
        <w:t>Implications  for</w:t>
      </w:r>
      <w:proofErr w:type="gramEnd"/>
      <w:r w:rsidRPr="00214D5F">
        <w:rPr>
          <w:rFonts w:eastAsiaTheme="minorHAnsi"/>
          <w:lang w:eastAsia="en-US"/>
        </w:rPr>
        <w:t xml:space="preserve"> developing countries” </w:t>
      </w:r>
      <w:proofErr w:type="spellStart"/>
      <w:r w:rsidRPr="00214D5F">
        <w:rPr>
          <w:rFonts w:eastAsiaTheme="minorHAnsi"/>
          <w:lang w:eastAsia="en-US"/>
        </w:rPr>
        <w:t>adlı</w:t>
      </w:r>
      <w:proofErr w:type="spellEnd"/>
      <w:r w:rsidRPr="00214D5F">
        <w:rPr>
          <w:rFonts w:eastAsiaTheme="minorHAnsi"/>
          <w:lang w:eastAsia="en-US"/>
        </w:rPr>
        <w:t xml:space="preserve"> </w:t>
      </w:r>
      <w:proofErr w:type="spellStart"/>
      <w:r w:rsidRPr="00214D5F">
        <w:rPr>
          <w:rFonts w:eastAsiaTheme="minorHAnsi"/>
          <w:lang w:eastAsia="en-US"/>
        </w:rPr>
        <w:t>raporda</w:t>
      </w:r>
      <w:proofErr w:type="spellEnd"/>
      <w:r w:rsidRPr="00214D5F">
        <w:rPr>
          <w:rFonts w:eastAsiaTheme="minorHAnsi"/>
          <w:lang w:eastAsia="en-US"/>
        </w:rPr>
        <w:t xml:space="preserve"> da </w:t>
      </w:r>
      <w:proofErr w:type="spellStart"/>
      <w:r w:rsidRPr="00214D5F">
        <w:rPr>
          <w:rFonts w:eastAsiaTheme="minorHAnsi"/>
          <w:lang w:eastAsia="en-US"/>
        </w:rPr>
        <w:t>belirtildiği</w:t>
      </w:r>
      <w:proofErr w:type="spellEnd"/>
      <w:r w:rsidRPr="00214D5F">
        <w:rPr>
          <w:rFonts w:eastAsiaTheme="minorHAnsi"/>
          <w:lang w:eastAsia="en-US"/>
        </w:rPr>
        <w:t xml:space="preserve"> </w:t>
      </w:r>
      <w:proofErr w:type="spellStart"/>
      <w:r w:rsidRPr="00214D5F">
        <w:rPr>
          <w:rFonts w:eastAsiaTheme="minorHAnsi"/>
          <w:lang w:eastAsia="en-US"/>
        </w:rPr>
        <w:t>üzere</w:t>
      </w:r>
      <w:proofErr w:type="spellEnd"/>
      <w:r w:rsidRPr="00214D5F">
        <w:rPr>
          <w:rFonts w:eastAsiaTheme="minorHAnsi"/>
          <w:lang w:eastAsia="en-US"/>
        </w:rPr>
        <w:t xml:space="preserve"> </w:t>
      </w:r>
      <w:proofErr w:type="spellStart"/>
      <w:r w:rsidRPr="00214D5F">
        <w:rPr>
          <w:rFonts w:eastAsiaTheme="minorHAnsi"/>
          <w:lang w:eastAsia="en-US"/>
        </w:rPr>
        <w:t>SKDM’den</w:t>
      </w:r>
      <w:proofErr w:type="spellEnd"/>
      <w:r w:rsidRPr="00214D5F">
        <w:rPr>
          <w:rFonts w:eastAsiaTheme="minorHAnsi"/>
          <w:lang w:eastAsia="en-US"/>
        </w:rPr>
        <w:t xml:space="preserve"> </w:t>
      </w:r>
      <w:proofErr w:type="spellStart"/>
      <w:r w:rsidRPr="00214D5F">
        <w:rPr>
          <w:rFonts w:eastAsiaTheme="minorHAnsi"/>
          <w:lang w:eastAsia="en-US"/>
        </w:rPr>
        <w:t>en</w:t>
      </w:r>
      <w:proofErr w:type="spellEnd"/>
      <w:r w:rsidRPr="00214D5F">
        <w:rPr>
          <w:rFonts w:eastAsiaTheme="minorHAnsi"/>
          <w:lang w:eastAsia="en-US"/>
        </w:rPr>
        <w:t xml:space="preserve"> </w:t>
      </w:r>
      <w:proofErr w:type="spellStart"/>
      <w:r w:rsidRPr="00214D5F">
        <w:rPr>
          <w:rFonts w:eastAsiaTheme="minorHAnsi"/>
          <w:lang w:eastAsia="en-US"/>
        </w:rPr>
        <w:t>çok</w:t>
      </w:r>
      <w:proofErr w:type="spellEnd"/>
      <w:r w:rsidRPr="00214D5F">
        <w:rPr>
          <w:rFonts w:eastAsiaTheme="minorHAnsi"/>
          <w:lang w:eastAsia="en-US"/>
        </w:rPr>
        <w:t xml:space="preserve"> </w:t>
      </w:r>
      <w:proofErr w:type="spellStart"/>
      <w:r w:rsidRPr="00214D5F">
        <w:rPr>
          <w:rFonts w:eastAsiaTheme="minorHAnsi"/>
          <w:lang w:eastAsia="en-US"/>
        </w:rPr>
        <w:t>etkilenecek</w:t>
      </w:r>
      <w:proofErr w:type="spellEnd"/>
      <w:r w:rsidRPr="00214D5F">
        <w:rPr>
          <w:rFonts w:eastAsiaTheme="minorHAnsi"/>
          <w:lang w:eastAsia="en-US"/>
        </w:rPr>
        <w:t xml:space="preserve"> </w:t>
      </w:r>
      <w:proofErr w:type="spellStart"/>
      <w:r w:rsidRPr="00214D5F">
        <w:rPr>
          <w:rFonts w:eastAsiaTheme="minorHAnsi"/>
          <w:lang w:eastAsia="en-US"/>
        </w:rPr>
        <w:t>ülkelerin</w:t>
      </w:r>
      <w:proofErr w:type="spellEnd"/>
      <w:r w:rsidRPr="00214D5F">
        <w:rPr>
          <w:rFonts w:eastAsiaTheme="minorHAnsi"/>
          <w:lang w:eastAsia="en-US"/>
        </w:rPr>
        <w:t xml:space="preserve"> </w:t>
      </w:r>
      <w:proofErr w:type="spellStart"/>
      <w:r w:rsidRPr="00214D5F">
        <w:rPr>
          <w:rFonts w:eastAsiaTheme="minorHAnsi"/>
          <w:lang w:eastAsia="en-US"/>
        </w:rPr>
        <w:t>ticaret</w:t>
      </w:r>
      <w:proofErr w:type="spellEnd"/>
      <w:r w:rsidRPr="00214D5F">
        <w:rPr>
          <w:rFonts w:eastAsiaTheme="minorHAnsi"/>
          <w:lang w:eastAsia="en-US"/>
        </w:rPr>
        <w:t xml:space="preserve"> </w:t>
      </w:r>
      <w:proofErr w:type="spellStart"/>
      <w:r w:rsidRPr="00214D5F">
        <w:rPr>
          <w:rFonts w:eastAsiaTheme="minorHAnsi"/>
          <w:lang w:eastAsia="en-US"/>
        </w:rPr>
        <w:t>verileri</w:t>
      </w:r>
      <w:proofErr w:type="spellEnd"/>
      <w:r w:rsidRPr="00214D5F">
        <w:rPr>
          <w:rFonts w:eastAsiaTheme="minorHAnsi"/>
          <w:lang w:eastAsia="en-US"/>
        </w:rPr>
        <w:t xml:space="preserve"> </w:t>
      </w:r>
      <w:proofErr w:type="spellStart"/>
      <w:r w:rsidRPr="00214D5F">
        <w:rPr>
          <w:rFonts w:eastAsiaTheme="minorHAnsi"/>
          <w:lang w:eastAsia="en-US"/>
        </w:rPr>
        <w:t>baz</w:t>
      </w:r>
      <w:proofErr w:type="spellEnd"/>
      <w:r w:rsidRPr="00214D5F">
        <w:rPr>
          <w:rFonts w:eastAsiaTheme="minorHAnsi"/>
          <w:lang w:eastAsia="en-US"/>
        </w:rPr>
        <w:t xml:space="preserve"> </w:t>
      </w:r>
      <w:proofErr w:type="spellStart"/>
      <w:r w:rsidRPr="00214D5F">
        <w:rPr>
          <w:rFonts w:eastAsiaTheme="minorHAnsi"/>
          <w:lang w:eastAsia="en-US"/>
        </w:rPr>
        <w:t>alındığında</w:t>
      </w:r>
      <w:proofErr w:type="spellEnd"/>
      <w:r w:rsidRPr="00214D5F">
        <w:rPr>
          <w:rFonts w:eastAsiaTheme="minorHAnsi"/>
          <w:lang w:eastAsia="en-US"/>
        </w:rPr>
        <w:t xml:space="preserve"> </w:t>
      </w:r>
      <w:proofErr w:type="spellStart"/>
      <w:r w:rsidRPr="00214D5F">
        <w:rPr>
          <w:rFonts w:eastAsiaTheme="minorHAnsi"/>
          <w:lang w:eastAsia="en-US"/>
        </w:rPr>
        <w:t>Çin</w:t>
      </w:r>
      <w:proofErr w:type="spellEnd"/>
      <w:r w:rsidRPr="00214D5F">
        <w:rPr>
          <w:rFonts w:eastAsiaTheme="minorHAnsi"/>
          <w:lang w:eastAsia="en-US"/>
        </w:rPr>
        <w:t xml:space="preserve">, </w:t>
      </w:r>
      <w:proofErr w:type="spellStart"/>
      <w:r w:rsidRPr="00214D5F">
        <w:rPr>
          <w:rFonts w:eastAsiaTheme="minorHAnsi"/>
          <w:lang w:eastAsia="en-US"/>
        </w:rPr>
        <w:t>Rusya</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Türkiye </w:t>
      </w:r>
      <w:proofErr w:type="spellStart"/>
      <w:r w:rsidRPr="00214D5F">
        <w:rPr>
          <w:rFonts w:eastAsiaTheme="minorHAnsi"/>
          <w:lang w:eastAsia="en-US"/>
        </w:rPr>
        <w:t>olacağı</w:t>
      </w:r>
      <w:proofErr w:type="spellEnd"/>
      <w:r w:rsidRPr="00214D5F">
        <w:rPr>
          <w:rFonts w:eastAsiaTheme="minorHAnsi"/>
          <w:lang w:eastAsia="en-US"/>
        </w:rPr>
        <w:t xml:space="preserve"> </w:t>
      </w:r>
      <w:proofErr w:type="spellStart"/>
      <w:r w:rsidRPr="00214D5F">
        <w:rPr>
          <w:rFonts w:eastAsiaTheme="minorHAnsi"/>
          <w:lang w:eastAsia="en-US"/>
        </w:rPr>
        <w:t>görülmektedir</w:t>
      </w:r>
      <w:proofErr w:type="spellEnd"/>
      <w:r w:rsidRPr="00214D5F">
        <w:rPr>
          <w:rFonts w:eastAsiaTheme="minorHAnsi"/>
          <w:lang w:eastAsia="en-US"/>
        </w:rPr>
        <w:t xml:space="preserve">. Bu </w:t>
      </w:r>
      <w:proofErr w:type="spellStart"/>
      <w:r w:rsidRPr="00214D5F">
        <w:rPr>
          <w:rFonts w:eastAsiaTheme="minorHAnsi"/>
          <w:lang w:eastAsia="en-US"/>
        </w:rPr>
        <w:t>doğrultuda</w:t>
      </w:r>
      <w:proofErr w:type="spellEnd"/>
      <w:r w:rsidRPr="00214D5F">
        <w:rPr>
          <w:rFonts w:eastAsiaTheme="minorHAnsi"/>
          <w:lang w:eastAsia="en-US"/>
        </w:rPr>
        <w:t xml:space="preserve"> </w:t>
      </w:r>
      <w:proofErr w:type="spellStart"/>
      <w:r w:rsidRPr="00214D5F">
        <w:rPr>
          <w:rFonts w:eastAsiaTheme="minorHAnsi"/>
          <w:lang w:eastAsia="en-US"/>
        </w:rPr>
        <w:t>çalışmanın</w:t>
      </w:r>
      <w:proofErr w:type="spellEnd"/>
      <w:r w:rsidRPr="00214D5F">
        <w:rPr>
          <w:rFonts w:eastAsiaTheme="minorHAnsi"/>
          <w:lang w:eastAsia="en-US"/>
        </w:rPr>
        <w:t xml:space="preserve"> </w:t>
      </w:r>
      <w:proofErr w:type="spellStart"/>
      <w:r w:rsidRPr="00214D5F">
        <w:rPr>
          <w:rFonts w:eastAsiaTheme="minorHAnsi"/>
          <w:lang w:eastAsia="en-US"/>
        </w:rPr>
        <w:t>devamında</w:t>
      </w:r>
      <w:proofErr w:type="spellEnd"/>
      <w:r w:rsidRPr="00214D5F">
        <w:rPr>
          <w:rFonts w:eastAsiaTheme="minorHAnsi"/>
          <w:lang w:eastAsia="en-US"/>
        </w:rPr>
        <w:t xml:space="preserve"> SKDM </w:t>
      </w:r>
      <w:proofErr w:type="spellStart"/>
      <w:r w:rsidRPr="00214D5F">
        <w:rPr>
          <w:rFonts w:eastAsiaTheme="minorHAnsi"/>
          <w:lang w:eastAsia="en-US"/>
        </w:rPr>
        <w:t>ile</w:t>
      </w:r>
      <w:proofErr w:type="spellEnd"/>
      <w:r w:rsidRPr="00214D5F">
        <w:rPr>
          <w:rFonts w:eastAsiaTheme="minorHAnsi"/>
          <w:lang w:eastAsia="en-US"/>
        </w:rPr>
        <w:t xml:space="preserve"> </w:t>
      </w:r>
      <w:proofErr w:type="spellStart"/>
      <w:r w:rsidRPr="00214D5F">
        <w:rPr>
          <w:rFonts w:eastAsiaTheme="minorHAnsi"/>
          <w:lang w:eastAsia="en-US"/>
        </w:rPr>
        <w:t>bu</w:t>
      </w:r>
      <w:proofErr w:type="spellEnd"/>
      <w:r w:rsidRPr="00214D5F">
        <w:rPr>
          <w:rFonts w:eastAsiaTheme="minorHAnsi"/>
          <w:lang w:eastAsia="en-US"/>
        </w:rPr>
        <w:t xml:space="preserve"> </w:t>
      </w:r>
      <w:proofErr w:type="spellStart"/>
      <w:r w:rsidRPr="00214D5F">
        <w:rPr>
          <w:rFonts w:eastAsiaTheme="minorHAnsi"/>
          <w:lang w:eastAsia="en-US"/>
        </w:rPr>
        <w:t>ülkelerin</w:t>
      </w:r>
      <w:proofErr w:type="spellEnd"/>
      <w:r w:rsidRPr="00214D5F">
        <w:rPr>
          <w:rFonts w:eastAsiaTheme="minorHAnsi"/>
          <w:lang w:eastAsia="en-US"/>
        </w:rPr>
        <w:t xml:space="preserve"> </w:t>
      </w:r>
      <w:proofErr w:type="spellStart"/>
      <w:r w:rsidRPr="00214D5F">
        <w:rPr>
          <w:rFonts w:eastAsiaTheme="minorHAnsi"/>
          <w:lang w:eastAsia="en-US"/>
        </w:rPr>
        <w:t>ilişkişi</w:t>
      </w:r>
      <w:proofErr w:type="spellEnd"/>
      <w:r w:rsidRPr="00214D5F">
        <w:rPr>
          <w:rFonts w:eastAsiaTheme="minorHAnsi"/>
          <w:lang w:eastAsia="en-US"/>
        </w:rPr>
        <w:t xml:space="preserve"> </w:t>
      </w:r>
      <w:proofErr w:type="spellStart"/>
      <w:r w:rsidRPr="00214D5F">
        <w:rPr>
          <w:rFonts w:eastAsiaTheme="minorHAnsi"/>
          <w:lang w:eastAsia="en-US"/>
        </w:rPr>
        <w:t>literatür</w:t>
      </w:r>
      <w:proofErr w:type="spellEnd"/>
      <w:r w:rsidRPr="00214D5F">
        <w:rPr>
          <w:rFonts w:eastAsiaTheme="minorHAnsi"/>
          <w:lang w:eastAsia="en-US"/>
        </w:rPr>
        <w:t xml:space="preserve"> </w:t>
      </w:r>
      <w:proofErr w:type="spellStart"/>
      <w:r w:rsidRPr="00214D5F">
        <w:rPr>
          <w:rFonts w:eastAsiaTheme="minorHAnsi"/>
          <w:lang w:eastAsia="en-US"/>
        </w:rPr>
        <w:t>araştırmasıyla</w:t>
      </w:r>
      <w:proofErr w:type="spellEnd"/>
      <w:r w:rsidRPr="00214D5F">
        <w:rPr>
          <w:rFonts w:eastAsiaTheme="minorHAnsi"/>
          <w:lang w:eastAsia="en-US"/>
        </w:rPr>
        <w:t xml:space="preserve"> </w:t>
      </w:r>
      <w:proofErr w:type="spellStart"/>
      <w:r w:rsidRPr="00214D5F">
        <w:rPr>
          <w:rFonts w:eastAsiaTheme="minorHAnsi"/>
          <w:lang w:eastAsia="en-US"/>
        </w:rPr>
        <w:t>incelenmiştir</w:t>
      </w:r>
      <w:proofErr w:type="spellEnd"/>
      <w:r w:rsidRPr="00214D5F">
        <w:rPr>
          <w:rFonts w:eastAsiaTheme="minorHAnsi"/>
          <w:lang w:eastAsia="en-US"/>
        </w:rPr>
        <w:t xml:space="preserve">. </w:t>
      </w:r>
      <w:proofErr w:type="spellStart"/>
      <w:r w:rsidRPr="00214D5F">
        <w:rPr>
          <w:rFonts w:eastAsiaTheme="minorHAnsi"/>
          <w:lang w:eastAsia="en-US"/>
        </w:rPr>
        <w:t>Ardından</w:t>
      </w:r>
      <w:proofErr w:type="spellEnd"/>
      <w:r w:rsidRPr="00214D5F">
        <w:rPr>
          <w:rFonts w:eastAsiaTheme="minorHAnsi"/>
          <w:lang w:eastAsia="en-US"/>
        </w:rPr>
        <w:t xml:space="preserve"> </w:t>
      </w:r>
      <w:proofErr w:type="spellStart"/>
      <w:r w:rsidRPr="00214D5F">
        <w:rPr>
          <w:rFonts w:eastAsiaTheme="minorHAnsi"/>
          <w:lang w:eastAsia="en-US"/>
        </w:rPr>
        <w:t>değerlendirme</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sonuç</w:t>
      </w:r>
      <w:proofErr w:type="spellEnd"/>
      <w:r w:rsidRPr="00214D5F">
        <w:rPr>
          <w:rFonts w:eastAsiaTheme="minorHAnsi"/>
          <w:lang w:eastAsia="en-US"/>
        </w:rPr>
        <w:t xml:space="preserve"> </w:t>
      </w:r>
      <w:proofErr w:type="spellStart"/>
      <w:r w:rsidRPr="00214D5F">
        <w:rPr>
          <w:rFonts w:eastAsiaTheme="minorHAnsi"/>
          <w:lang w:eastAsia="en-US"/>
        </w:rPr>
        <w:t>kısmına</w:t>
      </w:r>
      <w:proofErr w:type="spellEnd"/>
      <w:r w:rsidRPr="00214D5F">
        <w:rPr>
          <w:rFonts w:eastAsiaTheme="minorHAnsi"/>
          <w:lang w:eastAsia="en-US"/>
        </w:rPr>
        <w:t xml:space="preserve"> </w:t>
      </w:r>
      <w:proofErr w:type="spellStart"/>
      <w:r w:rsidRPr="00214D5F">
        <w:rPr>
          <w:rFonts w:eastAsiaTheme="minorHAnsi"/>
          <w:lang w:eastAsia="en-US"/>
        </w:rPr>
        <w:t>yer</w:t>
      </w:r>
      <w:proofErr w:type="spellEnd"/>
      <w:r w:rsidRPr="00214D5F">
        <w:rPr>
          <w:rFonts w:eastAsiaTheme="minorHAnsi"/>
          <w:lang w:eastAsia="en-US"/>
        </w:rPr>
        <w:t xml:space="preserve"> </w:t>
      </w:r>
      <w:proofErr w:type="spellStart"/>
      <w:r w:rsidRPr="00214D5F">
        <w:rPr>
          <w:rFonts w:eastAsiaTheme="minorHAnsi"/>
          <w:lang w:eastAsia="en-US"/>
        </w:rPr>
        <w:t>verilmiştir</w:t>
      </w:r>
      <w:proofErr w:type="spellEnd"/>
      <w:r w:rsidRPr="00214D5F">
        <w:rPr>
          <w:rFonts w:eastAsiaTheme="minorHAnsi"/>
          <w:lang w:eastAsia="en-US"/>
        </w:rPr>
        <w:t>.</w:t>
      </w:r>
    </w:p>
    <w:p w14:paraId="628B6292" w14:textId="77777777" w:rsidR="00914DCC" w:rsidRPr="006871AB" w:rsidRDefault="00914DCC" w:rsidP="0017453B">
      <w:pPr>
        <w:pStyle w:val="NormalWeb"/>
        <w:spacing w:before="0" w:beforeAutospacing="0" w:after="0" w:afterAutospacing="0"/>
        <w:jc w:val="both"/>
        <w:rPr>
          <w:rFonts w:eastAsiaTheme="minorHAnsi"/>
          <w:lang w:eastAsia="en-US"/>
        </w:rPr>
      </w:pPr>
    </w:p>
    <w:p w14:paraId="1851564E" w14:textId="77777777" w:rsidR="00914DCC" w:rsidRPr="00164C0C" w:rsidRDefault="00914DCC" w:rsidP="0017453B">
      <w:pPr>
        <w:pStyle w:val="Balk2"/>
        <w:spacing w:before="0" w:after="0"/>
        <w:rPr>
          <w:rFonts w:ascii="Times New Roman" w:eastAsia="Times New Roman" w:hAnsi="Times New Roman" w:cs="Times New Roman"/>
          <w:b/>
          <w:color w:val="auto"/>
          <w:sz w:val="24"/>
          <w:szCs w:val="24"/>
        </w:rPr>
      </w:pPr>
      <w:r w:rsidRPr="00164C0C">
        <w:rPr>
          <w:rFonts w:ascii="Times New Roman" w:eastAsia="Times New Roman" w:hAnsi="Times New Roman" w:cs="Times New Roman"/>
          <w:b/>
          <w:color w:val="auto"/>
          <w:sz w:val="24"/>
          <w:szCs w:val="24"/>
        </w:rPr>
        <w:t>LİTERATÜR İNCELEMESİ</w:t>
      </w:r>
    </w:p>
    <w:p w14:paraId="0368AAF5" w14:textId="77777777" w:rsidR="00914DCC" w:rsidRDefault="00914DCC" w:rsidP="0017453B">
      <w:pPr>
        <w:pStyle w:val="NormalWeb"/>
        <w:spacing w:before="0" w:beforeAutospacing="0" w:after="0" w:afterAutospacing="0"/>
        <w:jc w:val="both"/>
        <w:rPr>
          <w:rFonts w:eastAsiaTheme="minorHAnsi"/>
          <w:lang w:eastAsia="en-US"/>
        </w:rPr>
      </w:pPr>
      <w:proofErr w:type="spellStart"/>
      <w:r w:rsidRPr="00214D5F">
        <w:rPr>
          <w:rFonts w:eastAsiaTheme="minorHAnsi"/>
          <w:lang w:eastAsia="en-US"/>
        </w:rPr>
        <w:t>Yazarlar</w:t>
      </w:r>
      <w:proofErr w:type="spellEnd"/>
      <w:sdt>
        <w:sdtPr>
          <w:rPr>
            <w:rFonts w:eastAsiaTheme="minorHAnsi"/>
            <w:lang w:eastAsia="en-US"/>
          </w:rPr>
          <w:id w:val="789399268"/>
          <w:citation/>
        </w:sdtPr>
        <w:sdtContent>
          <w:r w:rsidRPr="00214D5F">
            <w:rPr>
              <w:rFonts w:eastAsiaTheme="minorHAnsi"/>
              <w:lang w:eastAsia="en-US"/>
            </w:rPr>
            <w:fldChar w:fldCharType="begin"/>
          </w:r>
          <w:r w:rsidRPr="00214D5F">
            <w:rPr>
              <w:rFonts w:eastAsiaTheme="minorHAnsi"/>
              <w:lang w:eastAsia="en-US"/>
            </w:rPr>
            <w:instrText xml:space="preserve">CITATION Sha \l 1055 </w:instrText>
          </w:r>
          <w:r w:rsidRPr="00214D5F">
            <w:rPr>
              <w:rFonts w:eastAsiaTheme="minorHAnsi"/>
              <w:lang w:eastAsia="en-US"/>
            </w:rPr>
            <w:fldChar w:fldCharType="separate"/>
          </w:r>
          <w:r>
            <w:rPr>
              <w:rFonts w:eastAsiaTheme="minorHAnsi"/>
              <w:noProof/>
              <w:lang w:eastAsia="en-US"/>
            </w:rPr>
            <w:t xml:space="preserve"> </w:t>
          </w:r>
          <w:r w:rsidRPr="00AB0519">
            <w:rPr>
              <w:rFonts w:eastAsiaTheme="minorHAnsi"/>
              <w:noProof/>
              <w:lang w:eastAsia="en-US"/>
            </w:rPr>
            <w:t>(Shaozhou , Zhenzhen, &amp; Zhixuan, 2022)</w:t>
          </w:r>
          <w:r w:rsidRPr="00214D5F">
            <w:rPr>
              <w:rFonts w:eastAsiaTheme="minorHAnsi"/>
              <w:lang w:eastAsia="en-US"/>
            </w:rPr>
            <w:fldChar w:fldCharType="end"/>
          </w:r>
        </w:sdtContent>
      </w:sdt>
      <w:r w:rsidRPr="00214D5F">
        <w:rPr>
          <w:rFonts w:eastAsiaTheme="minorHAnsi"/>
          <w:lang w:eastAsia="en-US"/>
        </w:rPr>
        <w:t xml:space="preserve"> </w:t>
      </w:r>
      <w:proofErr w:type="spellStart"/>
      <w:r w:rsidRPr="00214D5F">
        <w:rPr>
          <w:rFonts w:eastAsiaTheme="minorHAnsi"/>
          <w:lang w:eastAsia="en-US"/>
        </w:rPr>
        <w:t>çalışmalarında</w:t>
      </w:r>
      <w:proofErr w:type="spellEnd"/>
      <w:r w:rsidRPr="00214D5F">
        <w:rPr>
          <w:rFonts w:eastAsiaTheme="minorHAnsi"/>
          <w:lang w:eastAsia="en-US"/>
        </w:rPr>
        <w:t xml:space="preserve"> SKDM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Çin</w:t>
      </w:r>
      <w:proofErr w:type="spellEnd"/>
      <w:r w:rsidRPr="00214D5F">
        <w:rPr>
          <w:rFonts w:eastAsiaTheme="minorHAnsi"/>
          <w:lang w:eastAsia="en-US"/>
        </w:rPr>
        <w:t xml:space="preserve"> </w:t>
      </w:r>
      <w:proofErr w:type="spellStart"/>
      <w:r w:rsidRPr="00214D5F">
        <w:rPr>
          <w:rFonts w:eastAsiaTheme="minorHAnsi"/>
          <w:lang w:eastAsia="en-US"/>
        </w:rPr>
        <w:t>ilişkisini</w:t>
      </w:r>
      <w:proofErr w:type="spellEnd"/>
      <w:r w:rsidRPr="00214D5F">
        <w:rPr>
          <w:rFonts w:eastAsiaTheme="minorHAnsi"/>
          <w:lang w:eastAsia="en-US"/>
        </w:rPr>
        <w:t xml:space="preserve"> </w:t>
      </w:r>
      <w:proofErr w:type="spellStart"/>
      <w:r w:rsidRPr="00214D5F">
        <w:rPr>
          <w:rFonts w:eastAsiaTheme="minorHAnsi"/>
          <w:lang w:eastAsia="en-US"/>
        </w:rPr>
        <w:t>incelenmiş</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Çin’in</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tahsis</w:t>
      </w:r>
      <w:proofErr w:type="spellEnd"/>
      <w:r w:rsidRPr="00214D5F">
        <w:rPr>
          <w:rFonts w:eastAsiaTheme="minorHAnsi"/>
          <w:lang w:eastAsia="en-US"/>
        </w:rPr>
        <w:t xml:space="preserve"> </w:t>
      </w:r>
      <w:proofErr w:type="spellStart"/>
      <w:r w:rsidRPr="00214D5F">
        <w:rPr>
          <w:rFonts w:eastAsiaTheme="minorHAnsi"/>
          <w:lang w:eastAsia="en-US"/>
        </w:rPr>
        <w:t>politikası</w:t>
      </w:r>
      <w:proofErr w:type="spellEnd"/>
      <w:r w:rsidRPr="00214D5F">
        <w:rPr>
          <w:rFonts w:eastAsiaTheme="minorHAnsi"/>
          <w:lang w:eastAsia="en-US"/>
        </w:rPr>
        <w:t xml:space="preserve"> İki </w:t>
      </w:r>
      <w:proofErr w:type="spellStart"/>
      <w:r w:rsidRPr="00214D5F">
        <w:rPr>
          <w:rFonts w:eastAsiaTheme="minorHAnsi"/>
          <w:lang w:eastAsia="en-US"/>
        </w:rPr>
        <w:t>fiyat-değişkenli</w:t>
      </w:r>
      <w:proofErr w:type="spellEnd"/>
      <w:r w:rsidRPr="00214D5F">
        <w:rPr>
          <w:rFonts w:eastAsiaTheme="minorHAnsi"/>
          <w:lang w:eastAsia="en-US"/>
        </w:rPr>
        <w:t xml:space="preserve"> </w:t>
      </w:r>
      <w:proofErr w:type="spellStart"/>
      <w:r w:rsidRPr="00214D5F">
        <w:rPr>
          <w:rFonts w:eastAsiaTheme="minorHAnsi"/>
          <w:lang w:eastAsia="en-US"/>
        </w:rPr>
        <w:t>kaynak</w:t>
      </w:r>
      <w:proofErr w:type="spellEnd"/>
      <w:r w:rsidRPr="00214D5F">
        <w:rPr>
          <w:rFonts w:eastAsiaTheme="minorHAnsi"/>
          <w:lang w:eastAsia="en-US"/>
        </w:rPr>
        <w:t xml:space="preserve"> </w:t>
      </w:r>
      <w:proofErr w:type="spellStart"/>
      <w:r w:rsidRPr="00214D5F">
        <w:rPr>
          <w:rFonts w:eastAsiaTheme="minorHAnsi"/>
          <w:lang w:eastAsia="en-US"/>
        </w:rPr>
        <w:t>tahsisi</w:t>
      </w:r>
      <w:proofErr w:type="spellEnd"/>
      <w:r w:rsidRPr="00214D5F">
        <w:rPr>
          <w:rFonts w:eastAsiaTheme="minorHAnsi"/>
          <w:lang w:eastAsia="en-US"/>
        </w:rPr>
        <w:t xml:space="preserve"> (VPRA) </w:t>
      </w:r>
      <w:proofErr w:type="spellStart"/>
      <w:r w:rsidRPr="00214D5F">
        <w:rPr>
          <w:rFonts w:eastAsiaTheme="minorHAnsi"/>
          <w:lang w:eastAsia="en-US"/>
        </w:rPr>
        <w:t>mode</w:t>
      </w:r>
      <w:r>
        <w:rPr>
          <w:rFonts w:eastAsiaTheme="minorHAnsi"/>
          <w:lang w:eastAsia="en-US"/>
        </w:rPr>
        <w:t>li</w:t>
      </w:r>
      <w:proofErr w:type="spellEnd"/>
      <w:r>
        <w:rPr>
          <w:rFonts w:eastAsiaTheme="minorHAnsi"/>
          <w:lang w:eastAsia="en-US"/>
        </w:rPr>
        <w:t xml:space="preserve"> </w:t>
      </w:r>
      <w:proofErr w:type="spellStart"/>
      <w:r>
        <w:rPr>
          <w:rFonts w:eastAsiaTheme="minorHAnsi"/>
          <w:lang w:eastAsia="en-US"/>
        </w:rPr>
        <w:t>ile</w:t>
      </w:r>
      <w:proofErr w:type="spellEnd"/>
      <w:r>
        <w:rPr>
          <w:rFonts w:eastAsiaTheme="minorHAnsi"/>
          <w:lang w:eastAsia="en-US"/>
        </w:rPr>
        <w:t xml:space="preserve"> </w:t>
      </w:r>
      <w:proofErr w:type="spellStart"/>
      <w:r>
        <w:rPr>
          <w:rFonts w:eastAsiaTheme="minorHAnsi"/>
          <w:lang w:eastAsia="en-US"/>
        </w:rPr>
        <w:t>açıklanmaya</w:t>
      </w:r>
      <w:proofErr w:type="spellEnd"/>
      <w:r>
        <w:rPr>
          <w:rFonts w:eastAsiaTheme="minorHAnsi"/>
          <w:lang w:eastAsia="en-US"/>
        </w:rPr>
        <w:t xml:space="preserve"> </w:t>
      </w:r>
      <w:proofErr w:type="spellStart"/>
      <w:r>
        <w:rPr>
          <w:rFonts w:eastAsiaTheme="minorHAnsi"/>
          <w:lang w:eastAsia="en-US"/>
        </w:rPr>
        <w:t>çalışılmışlardır</w:t>
      </w:r>
      <w:proofErr w:type="spellEnd"/>
      <w:r w:rsidRPr="00214D5F">
        <w:rPr>
          <w:rFonts w:eastAsiaTheme="minorHAnsi"/>
          <w:lang w:eastAsia="en-US"/>
        </w:rPr>
        <w:t xml:space="preserve">. </w:t>
      </w:r>
      <w:proofErr w:type="spellStart"/>
      <w:r w:rsidRPr="00214D5F">
        <w:rPr>
          <w:rFonts w:eastAsiaTheme="minorHAnsi"/>
          <w:lang w:eastAsia="en-US"/>
        </w:rPr>
        <w:t>Çin’de</w:t>
      </w:r>
      <w:proofErr w:type="spellEnd"/>
      <w:r w:rsidRPr="00214D5F">
        <w:rPr>
          <w:rFonts w:eastAsiaTheme="minorHAnsi"/>
          <w:lang w:eastAsia="en-US"/>
        </w:rPr>
        <w:t xml:space="preserve"> </w:t>
      </w:r>
      <w:proofErr w:type="spellStart"/>
      <w:r w:rsidRPr="00214D5F">
        <w:rPr>
          <w:rFonts w:eastAsiaTheme="minorHAnsi"/>
          <w:lang w:eastAsia="en-US"/>
        </w:rPr>
        <w:t>eyaletler</w:t>
      </w:r>
      <w:proofErr w:type="spellEnd"/>
      <w:r w:rsidRPr="00214D5F">
        <w:rPr>
          <w:rFonts w:eastAsiaTheme="minorHAnsi"/>
          <w:lang w:eastAsia="en-US"/>
        </w:rPr>
        <w:t xml:space="preserve"> </w:t>
      </w:r>
      <w:proofErr w:type="spellStart"/>
      <w:r w:rsidRPr="00214D5F">
        <w:rPr>
          <w:rFonts w:eastAsiaTheme="minorHAnsi"/>
          <w:lang w:eastAsia="en-US"/>
        </w:rPr>
        <w:t>bazında</w:t>
      </w:r>
      <w:proofErr w:type="spellEnd"/>
      <w:r w:rsidRPr="00214D5F">
        <w:rPr>
          <w:rFonts w:eastAsiaTheme="minorHAnsi"/>
          <w:lang w:eastAsia="en-US"/>
        </w:rPr>
        <w:t xml:space="preserve"> </w:t>
      </w:r>
      <w:proofErr w:type="spellStart"/>
      <w:r w:rsidRPr="00214D5F">
        <w:rPr>
          <w:rFonts w:eastAsiaTheme="minorHAnsi"/>
          <w:lang w:eastAsia="en-US"/>
        </w:rPr>
        <w:t>yapılan</w:t>
      </w:r>
      <w:proofErr w:type="spellEnd"/>
      <w:r w:rsidRPr="00214D5F">
        <w:rPr>
          <w:rFonts w:eastAsiaTheme="minorHAnsi"/>
          <w:lang w:eastAsia="en-US"/>
        </w:rPr>
        <w:t xml:space="preserve"> </w:t>
      </w:r>
      <w:proofErr w:type="spellStart"/>
      <w:r w:rsidRPr="00214D5F">
        <w:rPr>
          <w:rFonts w:eastAsiaTheme="minorHAnsi"/>
          <w:lang w:eastAsia="en-US"/>
        </w:rPr>
        <w:t>araştırmaya</w:t>
      </w:r>
      <w:proofErr w:type="spellEnd"/>
      <w:r w:rsidRPr="00214D5F">
        <w:rPr>
          <w:rFonts w:eastAsiaTheme="minorHAnsi"/>
          <w:lang w:eastAsia="en-US"/>
        </w:rPr>
        <w:t xml:space="preserve"> </w:t>
      </w:r>
      <w:proofErr w:type="spellStart"/>
      <w:r w:rsidRPr="00214D5F">
        <w:rPr>
          <w:rFonts w:eastAsiaTheme="minorHAnsi"/>
          <w:lang w:eastAsia="en-US"/>
        </w:rPr>
        <w:t>göre</w:t>
      </w:r>
      <w:proofErr w:type="spellEnd"/>
      <w:r w:rsidRPr="00214D5F">
        <w:rPr>
          <w:rFonts w:eastAsiaTheme="minorHAnsi"/>
          <w:lang w:eastAsia="en-US"/>
        </w:rPr>
        <w:t xml:space="preserve">, SKDM </w:t>
      </w:r>
      <w:proofErr w:type="spellStart"/>
      <w:r w:rsidRPr="00214D5F">
        <w:rPr>
          <w:rFonts w:eastAsiaTheme="minorHAnsi"/>
          <w:lang w:eastAsia="en-US"/>
        </w:rPr>
        <w:t>çelik</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çimento</w:t>
      </w:r>
      <w:proofErr w:type="spellEnd"/>
      <w:r w:rsidRPr="00214D5F">
        <w:rPr>
          <w:rFonts w:eastAsiaTheme="minorHAnsi"/>
          <w:lang w:eastAsia="en-US"/>
        </w:rPr>
        <w:t xml:space="preserve"> </w:t>
      </w:r>
      <w:proofErr w:type="spellStart"/>
      <w:r w:rsidRPr="00214D5F">
        <w:rPr>
          <w:rFonts w:eastAsiaTheme="minorHAnsi"/>
          <w:lang w:eastAsia="en-US"/>
        </w:rPr>
        <w:t>endüstrilerinin</w:t>
      </w:r>
      <w:proofErr w:type="spellEnd"/>
      <w:r w:rsidRPr="00214D5F">
        <w:rPr>
          <w:rFonts w:eastAsiaTheme="minorHAnsi"/>
          <w:lang w:eastAsia="en-US"/>
        </w:rPr>
        <w:t xml:space="preserve"> </w:t>
      </w:r>
      <w:proofErr w:type="spellStart"/>
      <w:r w:rsidRPr="00214D5F">
        <w:rPr>
          <w:rFonts w:eastAsiaTheme="minorHAnsi"/>
          <w:lang w:eastAsia="en-US"/>
        </w:rPr>
        <w:t>maliyet</w:t>
      </w:r>
      <w:proofErr w:type="spellEnd"/>
      <w:r w:rsidRPr="00214D5F">
        <w:rPr>
          <w:rFonts w:eastAsiaTheme="minorHAnsi"/>
          <w:lang w:eastAsia="en-US"/>
        </w:rPr>
        <w:t xml:space="preserve"> </w:t>
      </w:r>
      <w:proofErr w:type="spellStart"/>
      <w:r w:rsidRPr="00214D5F">
        <w:rPr>
          <w:rFonts w:eastAsiaTheme="minorHAnsi"/>
          <w:lang w:eastAsia="en-US"/>
        </w:rPr>
        <w:t>verimliliğini</w:t>
      </w:r>
      <w:proofErr w:type="spellEnd"/>
      <w:r w:rsidRPr="00214D5F">
        <w:rPr>
          <w:rFonts w:eastAsiaTheme="minorHAnsi"/>
          <w:lang w:eastAsia="en-US"/>
        </w:rPr>
        <w:t xml:space="preserve"> </w:t>
      </w:r>
      <w:proofErr w:type="spellStart"/>
      <w:r w:rsidRPr="00214D5F">
        <w:rPr>
          <w:rFonts w:eastAsiaTheme="minorHAnsi"/>
          <w:lang w:eastAsia="en-US"/>
        </w:rPr>
        <w:t>olumsuz</w:t>
      </w:r>
      <w:proofErr w:type="spellEnd"/>
      <w:r w:rsidRPr="00214D5F">
        <w:rPr>
          <w:rFonts w:eastAsiaTheme="minorHAnsi"/>
          <w:lang w:eastAsia="en-US"/>
        </w:rPr>
        <w:t xml:space="preserve"> </w:t>
      </w:r>
      <w:proofErr w:type="spellStart"/>
      <w:r w:rsidRPr="00214D5F">
        <w:rPr>
          <w:rFonts w:eastAsiaTheme="minorHAnsi"/>
          <w:lang w:eastAsia="en-US"/>
        </w:rPr>
        <w:t>etkilemekte</w:t>
      </w:r>
      <w:proofErr w:type="spellEnd"/>
      <w:r w:rsidRPr="00214D5F">
        <w:rPr>
          <w:rFonts w:eastAsiaTheme="minorHAnsi"/>
          <w:lang w:eastAsia="en-US"/>
        </w:rPr>
        <w:t xml:space="preserve">, </w:t>
      </w:r>
      <w:proofErr w:type="spellStart"/>
      <w:r w:rsidRPr="00214D5F">
        <w:rPr>
          <w:rFonts w:eastAsiaTheme="minorHAnsi"/>
          <w:lang w:eastAsia="en-US"/>
        </w:rPr>
        <w:t>özellikle</w:t>
      </w:r>
      <w:proofErr w:type="spellEnd"/>
      <w:r w:rsidRPr="00214D5F">
        <w:rPr>
          <w:rFonts w:eastAsiaTheme="minorHAnsi"/>
          <w:lang w:eastAsia="en-US"/>
        </w:rPr>
        <w:t xml:space="preserve"> </w:t>
      </w:r>
      <w:proofErr w:type="spellStart"/>
      <w:r w:rsidRPr="00214D5F">
        <w:rPr>
          <w:rFonts w:eastAsiaTheme="minorHAnsi"/>
          <w:lang w:eastAsia="en-US"/>
        </w:rPr>
        <w:t>çelik</w:t>
      </w:r>
      <w:proofErr w:type="spellEnd"/>
      <w:r w:rsidRPr="00214D5F">
        <w:rPr>
          <w:rFonts w:eastAsiaTheme="minorHAnsi"/>
          <w:lang w:eastAsia="en-US"/>
        </w:rPr>
        <w:t xml:space="preserve"> </w:t>
      </w:r>
      <w:proofErr w:type="spellStart"/>
      <w:r w:rsidRPr="00214D5F">
        <w:rPr>
          <w:rFonts w:eastAsiaTheme="minorHAnsi"/>
          <w:lang w:eastAsia="en-US"/>
        </w:rPr>
        <w:t>sektörü</w:t>
      </w:r>
      <w:proofErr w:type="spellEnd"/>
      <w:r w:rsidRPr="00214D5F">
        <w:rPr>
          <w:rFonts w:eastAsiaTheme="minorHAnsi"/>
          <w:lang w:eastAsia="en-US"/>
        </w:rPr>
        <w:t xml:space="preserve"> </w:t>
      </w:r>
      <w:proofErr w:type="spellStart"/>
      <w:r w:rsidRPr="00214D5F">
        <w:rPr>
          <w:rFonts w:eastAsiaTheme="minorHAnsi"/>
          <w:lang w:eastAsia="en-US"/>
        </w:rPr>
        <w:t>daha</w:t>
      </w:r>
      <w:proofErr w:type="spellEnd"/>
      <w:r w:rsidRPr="00214D5F">
        <w:rPr>
          <w:rFonts w:eastAsiaTheme="minorHAnsi"/>
          <w:lang w:eastAsia="en-US"/>
        </w:rPr>
        <w:t xml:space="preserve"> </w:t>
      </w:r>
      <w:proofErr w:type="spellStart"/>
      <w:r w:rsidRPr="00214D5F">
        <w:rPr>
          <w:rFonts w:eastAsiaTheme="minorHAnsi"/>
          <w:lang w:eastAsia="en-US"/>
        </w:rPr>
        <w:t>büyük</w:t>
      </w:r>
      <w:proofErr w:type="spellEnd"/>
      <w:r w:rsidRPr="00214D5F">
        <w:rPr>
          <w:rFonts w:eastAsiaTheme="minorHAnsi"/>
          <w:lang w:eastAsia="en-US"/>
        </w:rPr>
        <w:t xml:space="preserve"> </w:t>
      </w:r>
      <w:proofErr w:type="spellStart"/>
      <w:r w:rsidRPr="00214D5F">
        <w:rPr>
          <w:rFonts w:eastAsiaTheme="minorHAnsi"/>
          <w:lang w:eastAsia="en-US"/>
        </w:rPr>
        <w:t>zarar</w:t>
      </w:r>
      <w:proofErr w:type="spellEnd"/>
      <w:r w:rsidRPr="00214D5F">
        <w:rPr>
          <w:rFonts w:eastAsiaTheme="minorHAnsi"/>
          <w:lang w:eastAsia="en-US"/>
        </w:rPr>
        <w:t xml:space="preserve"> </w:t>
      </w:r>
      <w:proofErr w:type="spellStart"/>
      <w:r w:rsidRPr="00214D5F">
        <w:rPr>
          <w:rFonts w:eastAsiaTheme="minorHAnsi"/>
          <w:lang w:eastAsia="en-US"/>
        </w:rPr>
        <w:t>görmektedir</w:t>
      </w:r>
      <w:proofErr w:type="spellEnd"/>
      <w:r w:rsidRPr="00214D5F">
        <w:rPr>
          <w:rFonts w:eastAsiaTheme="minorHAnsi"/>
          <w:lang w:eastAsia="en-US"/>
        </w:rPr>
        <w:t xml:space="preserve">. Bu </w:t>
      </w:r>
      <w:proofErr w:type="spellStart"/>
      <w:r w:rsidRPr="00214D5F">
        <w:rPr>
          <w:rFonts w:eastAsiaTheme="minorHAnsi"/>
          <w:lang w:eastAsia="en-US"/>
        </w:rPr>
        <w:t>etkinin</w:t>
      </w:r>
      <w:proofErr w:type="spellEnd"/>
      <w:r w:rsidRPr="00214D5F">
        <w:rPr>
          <w:rFonts w:eastAsiaTheme="minorHAnsi"/>
          <w:lang w:eastAsia="en-US"/>
        </w:rPr>
        <w:t xml:space="preserve"> </w:t>
      </w:r>
      <w:proofErr w:type="spellStart"/>
      <w:r w:rsidRPr="00214D5F">
        <w:rPr>
          <w:rFonts w:eastAsiaTheme="minorHAnsi"/>
          <w:lang w:eastAsia="en-US"/>
        </w:rPr>
        <w:t>azaltılması</w:t>
      </w:r>
      <w:proofErr w:type="spellEnd"/>
      <w:r w:rsidRPr="00214D5F">
        <w:rPr>
          <w:rFonts w:eastAsiaTheme="minorHAnsi"/>
          <w:lang w:eastAsia="en-US"/>
        </w:rPr>
        <w:t xml:space="preserve"> </w:t>
      </w:r>
      <w:proofErr w:type="spellStart"/>
      <w:r w:rsidRPr="00214D5F">
        <w:rPr>
          <w:rFonts w:eastAsiaTheme="minorHAnsi"/>
          <w:lang w:eastAsia="en-US"/>
        </w:rPr>
        <w:t>için</w:t>
      </w:r>
      <w:proofErr w:type="spellEnd"/>
      <w:r w:rsidRPr="00214D5F">
        <w:rPr>
          <w:rFonts w:eastAsiaTheme="minorHAnsi"/>
          <w:lang w:eastAsia="en-US"/>
        </w:rPr>
        <w:t xml:space="preserve"> </w:t>
      </w:r>
      <w:proofErr w:type="spellStart"/>
      <w:r w:rsidRPr="00214D5F">
        <w:rPr>
          <w:rFonts w:eastAsiaTheme="minorHAnsi"/>
          <w:lang w:eastAsia="en-US"/>
        </w:rPr>
        <w:t>Çin’in</w:t>
      </w:r>
      <w:proofErr w:type="spellEnd"/>
      <w:r w:rsidRPr="00214D5F">
        <w:rPr>
          <w:rFonts w:eastAsiaTheme="minorHAnsi"/>
          <w:lang w:eastAsia="en-US"/>
        </w:rPr>
        <w:t xml:space="preserve"> </w:t>
      </w:r>
      <w:proofErr w:type="spellStart"/>
      <w:r w:rsidRPr="00214D5F">
        <w:rPr>
          <w:rFonts w:eastAsiaTheme="minorHAnsi"/>
          <w:lang w:eastAsia="en-US"/>
        </w:rPr>
        <w:t>daha</w:t>
      </w:r>
      <w:proofErr w:type="spellEnd"/>
      <w:r w:rsidRPr="00214D5F">
        <w:rPr>
          <w:rFonts w:eastAsiaTheme="minorHAnsi"/>
          <w:lang w:eastAsia="en-US"/>
        </w:rPr>
        <w:t xml:space="preserve"> </w:t>
      </w:r>
      <w:proofErr w:type="spellStart"/>
      <w:r w:rsidRPr="00214D5F">
        <w:rPr>
          <w:rFonts w:eastAsiaTheme="minorHAnsi"/>
          <w:lang w:eastAsia="en-US"/>
        </w:rPr>
        <w:t>yüksek</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istikrarlı</w:t>
      </w:r>
      <w:proofErr w:type="spellEnd"/>
      <w:r w:rsidRPr="00214D5F">
        <w:rPr>
          <w:rFonts w:eastAsiaTheme="minorHAnsi"/>
          <w:lang w:eastAsia="en-US"/>
        </w:rPr>
        <w:t xml:space="preserve"> </w:t>
      </w:r>
      <w:proofErr w:type="spellStart"/>
      <w:r w:rsidRPr="00214D5F">
        <w:rPr>
          <w:rFonts w:eastAsiaTheme="minorHAnsi"/>
          <w:lang w:eastAsia="en-US"/>
        </w:rPr>
        <w:t>bir</w:t>
      </w:r>
      <w:proofErr w:type="spellEnd"/>
      <w:r w:rsidRPr="00214D5F">
        <w:rPr>
          <w:rFonts w:eastAsiaTheme="minorHAnsi"/>
          <w:lang w:eastAsia="en-US"/>
        </w:rPr>
        <w:t xml:space="preserve"> </w:t>
      </w:r>
      <w:proofErr w:type="spellStart"/>
      <w:r w:rsidRPr="00214D5F">
        <w:rPr>
          <w:rFonts w:eastAsiaTheme="minorHAnsi"/>
          <w:lang w:eastAsia="en-US"/>
        </w:rPr>
        <w:t>karbon</w:t>
      </w:r>
      <w:proofErr w:type="spellEnd"/>
      <w:r w:rsidRPr="00214D5F">
        <w:rPr>
          <w:rFonts w:eastAsiaTheme="minorHAnsi"/>
          <w:lang w:eastAsia="en-US"/>
        </w:rPr>
        <w:t xml:space="preserve"> </w:t>
      </w:r>
      <w:proofErr w:type="spellStart"/>
      <w:r w:rsidRPr="00214D5F">
        <w:rPr>
          <w:rFonts w:eastAsiaTheme="minorHAnsi"/>
          <w:lang w:eastAsia="en-US"/>
        </w:rPr>
        <w:t>fiyatlandırması</w:t>
      </w:r>
      <w:proofErr w:type="spellEnd"/>
      <w:r w:rsidRPr="00214D5F">
        <w:rPr>
          <w:rFonts w:eastAsiaTheme="minorHAnsi"/>
          <w:lang w:eastAsia="en-US"/>
        </w:rPr>
        <w:t xml:space="preserve"> </w:t>
      </w:r>
      <w:proofErr w:type="spellStart"/>
      <w:r w:rsidRPr="00214D5F">
        <w:rPr>
          <w:rFonts w:eastAsiaTheme="minorHAnsi"/>
          <w:lang w:eastAsia="en-US"/>
        </w:rPr>
        <w:t>benimsemesi</w:t>
      </w:r>
      <w:proofErr w:type="spellEnd"/>
      <w:r w:rsidRPr="00214D5F">
        <w:rPr>
          <w:rFonts w:eastAsiaTheme="minorHAnsi"/>
          <w:lang w:eastAsia="en-US"/>
        </w:rPr>
        <w:t xml:space="preserve">, </w:t>
      </w:r>
      <w:proofErr w:type="spellStart"/>
      <w:r w:rsidRPr="00214D5F">
        <w:rPr>
          <w:rFonts w:eastAsiaTheme="minorHAnsi"/>
          <w:lang w:eastAsia="en-US"/>
        </w:rPr>
        <w:t>çevreci</w:t>
      </w:r>
      <w:proofErr w:type="spellEnd"/>
      <w:r w:rsidRPr="00214D5F">
        <w:rPr>
          <w:rFonts w:eastAsiaTheme="minorHAnsi"/>
          <w:lang w:eastAsia="en-US"/>
        </w:rPr>
        <w:t xml:space="preserve"> </w:t>
      </w:r>
      <w:proofErr w:type="spellStart"/>
      <w:r w:rsidRPr="00214D5F">
        <w:rPr>
          <w:rFonts w:eastAsiaTheme="minorHAnsi"/>
          <w:lang w:eastAsia="en-US"/>
        </w:rPr>
        <w:t>üretim</w:t>
      </w:r>
      <w:proofErr w:type="spellEnd"/>
      <w:r w:rsidRPr="00214D5F">
        <w:rPr>
          <w:rFonts w:eastAsiaTheme="minorHAnsi"/>
          <w:lang w:eastAsia="en-US"/>
        </w:rPr>
        <w:t xml:space="preserve"> </w:t>
      </w:r>
      <w:proofErr w:type="spellStart"/>
      <w:r w:rsidRPr="00214D5F">
        <w:rPr>
          <w:rFonts w:eastAsiaTheme="minorHAnsi"/>
          <w:lang w:eastAsia="en-US"/>
        </w:rPr>
        <w:t>teknolojilerini</w:t>
      </w:r>
      <w:proofErr w:type="spellEnd"/>
      <w:r w:rsidRPr="00214D5F">
        <w:rPr>
          <w:rFonts w:eastAsiaTheme="minorHAnsi"/>
          <w:lang w:eastAsia="en-US"/>
        </w:rPr>
        <w:t xml:space="preserve"> </w:t>
      </w:r>
      <w:proofErr w:type="spellStart"/>
      <w:r w:rsidRPr="00214D5F">
        <w:rPr>
          <w:rFonts w:eastAsiaTheme="minorHAnsi"/>
          <w:lang w:eastAsia="en-US"/>
        </w:rPr>
        <w:t>teşvik</w:t>
      </w:r>
      <w:proofErr w:type="spellEnd"/>
      <w:r w:rsidRPr="00214D5F">
        <w:rPr>
          <w:rFonts w:eastAsiaTheme="minorHAnsi"/>
          <w:lang w:eastAsia="en-US"/>
        </w:rPr>
        <w:t xml:space="preserve"> </w:t>
      </w:r>
      <w:proofErr w:type="spellStart"/>
      <w:r w:rsidRPr="00214D5F">
        <w:rPr>
          <w:rFonts w:eastAsiaTheme="minorHAnsi"/>
          <w:lang w:eastAsia="en-US"/>
        </w:rPr>
        <w:t>etmesi</w:t>
      </w:r>
      <w:proofErr w:type="spellEnd"/>
      <w:r w:rsidRPr="00214D5F">
        <w:rPr>
          <w:rFonts w:eastAsiaTheme="minorHAnsi"/>
          <w:lang w:eastAsia="en-US"/>
        </w:rPr>
        <w:t xml:space="preserve"> </w:t>
      </w:r>
      <w:proofErr w:type="spellStart"/>
      <w:r w:rsidRPr="00214D5F">
        <w:rPr>
          <w:rFonts w:eastAsiaTheme="minorHAnsi"/>
          <w:lang w:eastAsia="en-US"/>
        </w:rPr>
        <w:t>ve</w:t>
      </w:r>
      <w:proofErr w:type="spellEnd"/>
      <w:r w:rsidRPr="00214D5F">
        <w:rPr>
          <w:rFonts w:eastAsiaTheme="minorHAnsi"/>
          <w:lang w:eastAsia="en-US"/>
        </w:rPr>
        <w:t xml:space="preserve"> </w:t>
      </w:r>
      <w:proofErr w:type="spellStart"/>
      <w:r w:rsidRPr="00214D5F">
        <w:rPr>
          <w:rFonts w:eastAsiaTheme="minorHAnsi"/>
          <w:lang w:eastAsia="en-US"/>
        </w:rPr>
        <w:t>uluslararası</w:t>
      </w:r>
      <w:proofErr w:type="spellEnd"/>
      <w:r w:rsidRPr="00214D5F">
        <w:rPr>
          <w:rFonts w:eastAsiaTheme="minorHAnsi"/>
          <w:lang w:eastAsia="en-US"/>
        </w:rPr>
        <w:t xml:space="preserve"> </w:t>
      </w:r>
      <w:proofErr w:type="spellStart"/>
      <w:r w:rsidRPr="00214D5F">
        <w:rPr>
          <w:rFonts w:eastAsiaTheme="minorHAnsi"/>
          <w:lang w:eastAsia="en-US"/>
        </w:rPr>
        <w:t>işbirliğine</w:t>
      </w:r>
      <w:proofErr w:type="spellEnd"/>
      <w:r w:rsidRPr="00214D5F">
        <w:rPr>
          <w:rFonts w:eastAsiaTheme="minorHAnsi"/>
          <w:lang w:eastAsia="en-US"/>
        </w:rPr>
        <w:t xml:space="preserve"> </w:t>
      </w:r>
      <w:proofErr w:type="spellStart"/>
      <w:r w:rsidRPr="00214D5F">
        <w:rPr>
          <w:rFonts w:eastAsiaTheme="minorHAnsi"/>
          <w:lang w:eastAsia="en-US"/>
        </w:rPr>
        <w:t>açık</w:t>
      </w:r>
      <w:proofErr w:type="spellEnd"/>
      <w:r w:rsidRPr="00214D5F">
        <w:rPr>
          <w:rFonts w:eastAsiaTheme="minorHAnsi"/>
          <w:lang w:eastAsia="en-US"/>
        </w:rPr>
        <w:t xml:space="preserve"> </w:t>
      </w:r>
      <w:proofErr w:type="spellStart"/>
      <w:r w:rsidRPr="00214D5F">
        <w:rPr>
          <w:rFonts w:eastAsiaTheme="minorHAnsi"/>
          <w:lang w:eastAsia="en-US"/>
        </w:rPr>
        <w:t>olması</w:t>
      </w:r>
      <w:proofErr w:type="spellEnd"/>
      <w:r w:rsidRPr="00214D5F">
        <w:rPr>
          <w:rFonts w:eastAsiaTheme="minorHAnsi"/>
          <w:lang w:eastAsia="en-US"/>
        </w:rPr>
        <w:t xml:space="preserve"> </w:t>
      </w:r>
      <w:proofErr w:type="spellStart"/>
      <w:r w:rsidRPr="00214D5F">
        <w:rPr>
          <w:rFonts w:eastAsiaTheme="minorHAnsi"/>
          <w:lang w:eastAsia="en-US"/>
        </w:rPr>
        <w:t>gerekmektedir</w:t>
      </w:r>
      <w:proofErr w:type="spellEnd"/>
      <w:r w:rsidRPr="00214D5F">
        <w:rPr>
          <w:rFonts w:eastAsiaTheme="minorHAnsi"/>
          <w:lang w:eastAsia="en-US"/>
        </w:rPr>
        <w:t>.</w:t>
      </w:r>
    </w:p>
    <w:p w14:paraId="546B91A7" w14:textId="77777777" w:rsidR="003B45CB" w:rsidRPr="00214D5F" w:rsidRDefault="003B45CB" w:rsidP="0017453B">
      <w:pPr>
        <w:pStyle w:val="NormalWeb"/>
        <w:spacing w:before="0" w:beforeAutospacing="0" w:after="0" w:afterAutospacing="0"/>
        <w:jc w:val="both"/>
        <w:rPr>
          <w:rFonts w:eastAsiaTheme="minorHAnsi"/>
          <w:lang w:eastAsia="en-US"/>
        </w:rPr>
      </w:pPr>
    </w:p>
    <w:p w14:paraId="61732A74" w14:textId="77777777" w:rsidR="00914DCC" w:rsidRPr="00214D5F" w:rsidRDefault="00000000" w:rsidP="0017453B">
      <w:pPr>
        <w:jc w:val="both"/>
      </w:pPr>
      <w:sdt>
        <w:sdtPr>
          <w:id w:val="941265107"/>
          <w:citation/>
        </w:sdtPr>
        <w:sdtContent>
          <w:r w:rsidR="00914DCC" w:rsidRPr="00214D5F">
            <w:fldChar w:fldCharType="begin"/>
          </w:r>
          <w:r w:rsidR="00914DCC" w:rsidRPr="00214D5F">
            <w:instrText xml:space="preserve"> CITATION Jia22 \l 1055 </w:instrText>
          </w:r>
          <w:r w:rsidR="00914DCC" w:rsidRPr="00214D5F">
            <w:fldChar w:fldCharType="separate"/>
          </w:r>
          <w:r w:rsidR="00914DCC" w:rsidRPr="00AB0519">
            <w:rPr>
              <w:noProof/>
            </w:rPr>
            <w:t>(Jiansuo &amp; Jiarui, 2022)</w:t>
          </w:r>
          <w:r w:rsidR="00914DCC" w:rsidRPr="00214D5F">
            <w:fldChar w:fldCharType="end"/>
          </w:r>
        </w:sdtContent>
      </w:sdt>
      <w:r w:rsidR="00914DCC" w:rsidRPr="00214D5F">
        <w:t xml:space="preserve"> </w:t>
      </w:r>
      <w:proofErr w:type="gramStart"/>
      <w:r w:rsidR="00914DCC" w:rsidRPr="00214D5F">
        <w:t>çalışmalarında</w:t>
      </w:r>
      <w:proofErr w:type="gramEnd"/>
      <w:r w:rsidR="00914DCC" w:rsidRPr="00214D5F">
        <w:t xml:space="preserve"> Girdi-Çıktı Analizi kullanılmıştır. </w:t>
      </w:r>
      <w:proofErr w:type="spellStart"/>
      <w:r w:rsidR="00914DCC" w:rsidRPr="00214D5F">
        <w:t>SKDM’nin</w:t>
      </w:r>
      <w:proofErr w:type="spellEnd"/>
      <w:r w:rsidR="00914DCC" w:rsidRPr="00214D5F">
        <w:t xml:space="preserve"> AB’nin rekabet gücünü artırıp karbon kaçağını azaltabileceğini ancak küresel karbon azaltımı üzerinde sınırlı etkisi olacağını ortaya koymaktadır. Ayrıca, </w:t>
      </w:r>
      <w:proofErr w:type="spellStart"/>
      <w:r w:rsidR="00914DCC" w:rsidRPr="00214D5F">
        <w:t>SKDM’nin</w:t>
      </w:r>
      <w:proofErr w:type="spellEnd"/>
      <w:r w:rsidR="00914DCC" w:rsidRPr="00214D5F">
        <w:t xml:space="preserve"> etkileri ülkeler ve bölgeler arasında adil olmayan yükler yaratabileceğinden, Çin’de bölgesel endüstri düzeyinde bir ölçüt benimsenmesi ve temiz teknoloji yatırımlarının desteklenmesi gerektiği vurgulanmaktadır.</w:t>
      </w:r>
    </w:p>
    <w:p w14:paraId="1A309FDA" w14:textId="77777777" w:rsidR="00914DCC" w:rsidRDefault="00000000" w:rsidP="0017453B">
      <w:pPr>
        <w:jc w:val="both"/>
      </w:pPr>
      <w:sdt>
        <w:sdtPr>
          <w:id w:val="1841041318"/>
          <w:citation/>
        </w:sdtPr>
        <w:sdtContent>
          <w:r w:rsidR="00914DCC" w:rsidRPr="00214D5F">
            <w:fldChar w:fldCharType="begin"/>
          </w:r>
          <w:r w:rsidR="00914DCC" w:rsidRPr="00214D5F">
            <w:instrText xml:space="preserve"> CITATION Boq23 \l 1055 </w:instrText>
          </w:r>
          <w:r w:rsidR="00914DCC" w:rsidRPr="00214D5F">
            <w:fldChar w:fldCharType="separate"/>
          </w:r>
          <w:r w:rsidR="00914DCC" w:rsidRPr="00AB0519">
            <w:rPr>
              <w:noProof/>
            </w:rPr>
            <w:t>(Boqiang &amp; Hengsong, 2023)</w:t>
          </w:r>
          <w:r w:rsidR="00914DCC" w:rsidRPr="00214D5F">
            <w:fldChar w:fldCharType="end"/>
          </w:r>
        </w:sdtContent>
      </w:sdt>
      <w:r w:rsidR="00914DCC" w:rsidRPr="00214D5F">
        <w:t xml:space="preserve"> </w:t>
      </w:r>
      <w:proofErr w:type="gramStart"/>
      <w:r w:rsidR="00914DCC" w:rsidRPr="00214D5F">
        <w:t>ise</w:t>
      </w:r>
      <w:proofErr w:type="gramEnd"/>
      <w:r w:rsidR="00914DCC" w:rsidRPr="00214D5F">
        <w:t xml:space="preserve"> çalışmalarında </w:t>
      </w:r>
      <w:proofErr w:type="spellStart"/>
      <w:r w:rsidR="00914DCC" w:rsidRPr="00214D5F">
        <w:t>SKDM’nin</w:t>
      </w:r>
      <w:proofErr w:type="spellEnd"/>
      <w:r w:rsidR="00914DCC" w:rsidRPr="00214D5F">
        <w:t xml:space="preserve"> duyurulmasının Çin’deki çelik ve özellikle ihracata daha bağımlı olan alüminyum vadeli işlemler piyasasında olumsuz etkiler yarattığını ve alüminyum üretimini artırarak karbon salınımını yükselttiğini belirtmişlerdir. Yeşil paradoks etkisini önlemek için </w:t>
      </w:r>
      <w:proofErr w:type="spellStart"/>
      <w:r w:rsidR="00914DCC" w:rsidRPr="00214D5F">
        <w:t>SKDM’nin</w:t>
      </w:r>
      <w:proofErr w:type="spellEnd"/>
      <w:r w:rsidR="00914DCC" w:rsidRPr="00214D5F">
        <w:t xml:space="preserve"> uygulama süresinin iyi planlanması ve enerji yoğun endüstrilerde üretim artışlarını sınırlayan politikaların geliştirilmesi gerektiği vurgulanmaktadır.</w:t>
      </w:r>
    </w:p>
    <w:p w14:paraId="795C7D9E" w14:textId="77777777" w:rsidR="003B45CB" w:rsidRPr="00214D5F" w:rsidRDefault="003B45CB" w:rsidP="0017453B">
      <w:pPr>
        <w:jc w:val="both"/>
      </w:pPr>
    </w:p>
    <w:p w14:paraId="56711D66" w14:textId="17C49A3E" w:rsidR="00914DCC" w:rsidRDefault="00000000" w:rsidP="0017453B">
      <w:pPr>
        <w:jc w:val="both"/>
      </w:pPr>
      <w:sdt>
        <w:sdtPr>
          <w:id w:val="1323855415"/>
          <w:citation/>
        </w:sdtPr>
        <w:sdtContent>
          <w:r w:rsidR="00914DCC" w:rsidRPr="00214D5F">
            <w:fldChar w:fldCharType="begin"/>
          </w:r>
          <w:r w:rsidR="00914DCC" w:rsidRPr="00214D5F">
            <w:instrText xml:space="preserve"> CITATION Guo23 \l 1055 </w:instrText>
          </w:r>
          <w:r w:rsidR="00914DCC" w:rsidRPr="00214D5F">
            <w:fldChar w:fldCharType="separate"/>
          </w:r>
          <w:r w:rsidR="00914DCC" w:rsidRPr="00AB0519">
            <w:rPr>
              <w:noProof/>
            </w:rPr>
            <w:t>(Guo, 2023)</w:t>
          </w:r>
          <w:r w:rsidR="00914DCC" w:rsidRPr="00214D5F">
            <w:fldChar w:fldCharType="end"/>
          </w:r>
        </w:sdtContent>
      </w:sdt>
      <w:r w:rsidR="00914DCC" w:rsidRPr="00214D5F">
        <w:t xml:space="preserve"> </w:t>
      </w:r>
      <w:proofErr w:type="gramStart"/>
      <w:r w:rsidR="00914DCC" w:rsidRPr="00214D5F">
        <w:t>ise</w:t>
      </w:r>
      <w:proofErr w:type="gramEnd"/>
      <w:r w:rsidR="00914DCC" w:rsidRPr="00214D5F">
        <w:t xml:space="preserve"> </w:t>
      </w:r>
      <w:r w:rsidR="00914DCC">
        <w:t xml:space="preserve">çalışmasında </w:t>
      </w:r>
      <w:proofErr w:type="spellStart"/>
      <w:r w:rsidR="00914DCC" w:rsidRPr="00214D5F">
        <w:t>SKDM’nin</w:t>
      </w:r>
      <w:proofErr w:type="spellEnd"/>
      <w:r w:rsidR="00914DCC" w:rsidRPr="00214D5F">
        <w:t xml:space="preserve"> Çin ürün fiyatlarını ve ihracatını düşürerek AB içindeki rekabeti artırırken, Çin’in reel GSYH’si ve karbon emisyon yoğunluğunu yalnızca küçük bir ölçüde azaltacağını göstermektedir. Ayrıca, karbon tarifelerinin tek başına etkisiz olduğu, Çin’in rekabet gücünü koruması için daha sıkı karbon vergisi ve ihracat sübvansiyonları uygulaması gerektiği, ancak her iki bölgede de tüketici refah kaybı yaşanabileceği vurgulanmıştır.</w:t>
      </w:r>
    </w:p>
    <w:p w14:paraId="3EB29C31" w14:textId="77777777" w:rsidR="003B45CB" w:rsidRPr="00214D5F" w:rsidRDefault="003B45CB" w:rsidP="0017453B">
      <w:pPr>
        <w:jc w:val="both"/>
      </w:pPr>
    </w:p>
    <w:p w14:paraId="4C81BC87" w14:textId="77777777" w:rsidR="00914DCC" w:rsidRDefault="00000000" w:rsidP="0017453B">
      <w:pPr>
        <w:jc w:val="both"/>
      </w:pPr>
      <w:sdt>
        <w:sdtPr>
          <w:id w:val="-1491317893"/>
          <w:citation/>
        </w:sdtPr>
        <w:sdtContent>
          <w:r w:rsidR="00914DCC" w:rsidRPr="00214D5F">
            <w:fldChar w:fldCharType="begin"/>
          </w:r>
          <w:r w:rsidR="00914DCC" w:rsidRPr="00214D5F">
            <w:instrText xml:space="preserve"> CITATION Ton24 \l 1055 </w:instrText>
          </w:r>
          <w:r w:rsidR="00914DCC" w:rsidRPr="00214D5F">
            <w:fldChar w:fldCharType="separate"/>
          </w:r>
          <w:r w:rsidR="00914DCC" w:rsidRPr="00AB0519">
            <w:rPr>
              <w:noProof/>
            </w:rPr>
            <w:t>(Tong, Jian, Yuanbo, &amp; Liujin, 2024)</w:t>
          </w:r>
          <w:r w:rsidR="00914DCC" w:rsidRPr="00214D5F">
            <w:fldChar w:fldCharType="end"/>
          </w:r>
        </w:sdtContent>
      </w:sdt>
      <w:r w:rsidR="00914DCC" w:rsidRPr="00214D5F">
        <w:t xml:space="preserve"> </w:t>
      </w:r>
      <w:proofErr w:type="gramStart"/>
      <w:r w:rsidR="00914DCC" w:rsidRPr="00214D5F">
        <w:t>çalışmalarında</w:t>
      </w:r>
      <w:proofErr w:type="gramEnd"/>
      <w:r w:rsidR="00914DCC" w:rsidRPr="00214D5F">
        <w:t xml:space="preserve"> </w:t>
      </w:r>
      <w:proofErr w:type="spellStart"/>
      <w:r w:rsidR="00914DCC" w:rsidRPr="00214D5F">
        <w:t>SKDM’nin</w:t>
      </w:r>
      <w:proofErr w:type="spellEnd"/>
      <w:r w:rsidR="00914DCC" w:rsidRPr="00214D5F">
        <w:t xml:space="preserve"> Çin’in GSYH’si ve karbon emisyonları üzerinde oldukça sınırlı bir etkisi olduğunu, ancak tedarik zinciri boyunca farklı sektörlerde farklılaşan etkiler yarattığını belirtmişlerdir. </w:t>
      </w:r>
      <w:proofErr w:type="spellStart"/>
      <w:r w:rsidR="00914DCC" w:rsidRPr="00214D5F">
        <w:t>SKDM’nin</w:t>
      </w:r>
      <w:proofErr w:type="spellEnd"/>
      <w:r w:rsidR="00914DCC" w:rsidRPr="00214D5F">
        <w:t xml:space="preserve"> etkilerini en aza indirmek </w:t>
      </w:r>
      <w:r w:rsidR="00914DCC" w:rsidRPr="00214D5F">
        <w:lastRenderedPageBreak/>
        <w:t>için karbon fiyatlarının kalibrasyonu ve ticaret politikalarının farklılaştırılması önerilirken, sadece SKDM yaptırımlarından kaçınmaya odaklanmanın uzun vadeli ekonomik ve çevresel hedeflere zarar verebileceği vurgulanmıştır.</w:t>
      </w:r>
    </w:p>
    <w:p w14:paraId="6BD37221" w14:textId="77777777" w:rsidR="003B45CB" w:rsidRPr="00214D5F" w:rsidRDefault="003B45CB" w:rsidP="0017453B">
      <w:pPr>
        <w:jc w:val="both"/>
      </w:pPr>
    </w:p>
    <w:p w14:paraId="282A6528" w14:textId="77777777" w:rsidR="00914DCC" w:rsidRDefault="00000000" w:rsidP="0017453B">
      <w:pPr>
        <w:jc w:val="both"/>
      </w:pPr>
      <w:sdt>
        <w:sdtPr>
          <w:id w:val="417064376"/>
          <w:citation/>
        </w:sdtPr>
        <w:sdtContent>
          <w:r w:rsidR="00914DCC" w:rsidRPr="00214D5F">
            <w:fldChar w:fldCharType="begin"/>
          </w:r>
          <w:r w:rsidR="00914DCC" w:rsidRPr="00214D5F">
            <w:instrText xml:space="preserve"> CITATION Sud23 \l 1055 </w:instrText>
          </w:r>
          <w:r w:rsidR="00914DCC" w:rsidRPr="00214D5F">
            <w:fldChar w:fldCharType="separate"/>
          </w:r>
          <w:r w:rsidR="00914DCC" w:rsidRPr="00AB0519">
            <w:rPr>
              <w:noProof/>
            </w:rPr>
            <w:t>(Sudakov, 2023)</w:t>
          </w:r>
          <w:r w:rsidR="00914DCC" w:rsidRPr="00214D5F">
            <w:fldChar w:fldCharType="end"/>
          </w:r>
        </w:sdtContent>
      </w:sdt>
      <w:r w:rsidR="00914DCC" w:rsidRPr="00214D5F">
        <w:t xml:space="preserve"> </w:t>
      </w:r>
      <w:proofErr w:type="gramStart"/>
      <w:r w:rsidR="00914DCC" w:rsidRPr="00214D5F">
        <w:t>ise</w:t>
      </w:r>
      <w:proofErr w:type="gramEnd"/>
      <w:r w:rsidR="00914DCC" w:rsidRPr="00214D5F">
        <w:t xml:space="preserve"> çalışmasında </w:t>
      </w:r>
      <w:proofErr w:type="spellStart"/>
      <w:r w:rsidR="00914DCC" w:rsidRPr="00214D5F">
        <w:t>SKDM’nin</w:t>
      </w:r>
      <w:proofErr w:type="spellEnd"/>
      <w:r w:rsidR="00914DCC" w:rsidRPr="00214D5F">
        <w:t xml:space="preserve"> uzun vadede Rusya’ya büyük maliyetler getirebileceğini ve rekabet avantajını azaltabileceğini, özellikle demir-çelik, doğalgaz ve petrol sektörlerinde yüksek karbon yoğunluklu üretimin bu durumu daha da kötüleştireceğini ortaya koymaktadır. Rusya’nın rekabet gücünü koruyabilmesi için yeni pazar arayışına girmesi ve üretim hatlarını yeşil dönüşüme uyarlaması gerektiği vurgulanırken, üretim verilerinin yetersizliğinin politika belirlemeyi zorlaştırdığı belirtilmiştir.</w:t>
      </w:r>
    </w:p>
    <w:p w14:paraId="682A49CB" w14:textId="77777777" w:rsidR="003B45CB" w:rsidRPr="00214D5F" w:rsidRDefault="003B45CB" w:rsidP="0017453B">
      <w:pPr>
        <w:jc w:val="both"/>
      </w:pPr>
    </w:p>
    <w:p w14:paraId="7D776866" w14:textId="665D0463" w:rsidR="00914DCC" w:rsidRDefault="00000000" w:rsidP="0017453B">
      <w:pPr>
        <w:jc w:val="both"/>
      </w:pPr>
      <w:sdt>
        <w:sdtPr>
          <w:id w:val="-367065249"/>
          <w:citation/>
        </w:sdtPr>
        <w:sdtContent>
          <w:r w:rsidR="00914DCC" w:rsidRPr="00214D5F">
            <w:fldChar w:fldCharType="begin"/>
          </w:r>
          <w:r w:rsidR="00914DCC" w:rsidRPr="00214D5F">
            <w:instrText xml:space="preserve"> CITATION Ura21 \l 1055 </w:instrText>
          </w:r>
          <w:r w:rsidR="00914DCC" w:rsidRPr="00214D5F">
            <w:fldChar w:fldCharType="separate"/>
          </w:r>
          <w:r w:rsidR="00914DCC" w:rsidRPr="00AB0519">
            <w:rPr>
              <w:noProof/>
            </w:rPr>
            <w:t>(Urazgaliev, Novikov, &amp; Menshikova , 2021)</w:t>
          </w:r>
          <w:r w:rsidR="00914DCC" w:rsidRPr="00214D5F">
            <w:fldChar w:fldCharType="end"/>
          </w:r>
        </w:sdtContent>
      </w:sdt>
      <w:r w:rsidR="00914DCC" w:rsidRPr="00214D5F">
        <w:t xml:space="preserve"> </w:t>
      </w:r>
      <w:proofErr w:type="gramStart"/>
      <w:r w:rsidR="00914DCC" w:rsidRPr="00214D5F">
        <w:t>yapmış</w:t>
      </w:r>
      <w:proofErr w:type="gramEnd"/>
      <w:r w:rsidR="00914DCC" w:rsidRPr="00214D5F">
        <w:t xml:space="preserve"> oldukları çalışmalarında </w:t>
      </w:r>
      <w:proofErr w:type="spellStart"/>
      <w:r w:rsidR="00914DCC" w:rsidRPr="00214D5F">
        <w:t>SKDM’nin</w:t>
      </w:r>
      <w:proofErr w:type="spellEnd"/>
      <w:r w:rsidR="00914DCC" w:rsidRPr="00214D5F">
        <w:t xml:space="preserve"> Rusya’nın ihracat maliyetlerini artırarak özellikle demir-çelik, enerji ve gübre sektörlerinde rekabet gücünü olumsuz etkileyeceğini ve ihracatçılar ile yerel üreticiler üzerinde ekonomik kayıplara yol açacağını ortaya koymaktadır. Rusya’nın </w:t>
      </w:r>
      <w:proofErr w:type="spellStart"/>
      <w:r w:rsidR="00914DCC" w:rsidRPr="00214D5F">
        <w:t>SKDM’yi</w:t>
      </w:r>
      <w:proofErr w:type="spellEnd"/>
      <w:r w:rsidR="00914DCC" w:rsidRPr="00214D5F">
        <w:t xml:space="preserve"> bir fırsata çevirerek yeşil enerjiye geçiş yapması ve yeni pazar arayışına girmesi gerektiği, aksi takdirde küresel ticarette gerileme riskiyle karşılaşacağı vurgulanmıştır.</w:t>
      </w:r>
    </w:p>
    <w:p w14:paraId="61762887" w14:textId="77777777" w:rsidR="003B45CB" w:rsidRPr="00214D5F" w:rsidRDefault="003B45CB" w:rsidP="0017453B">
      <w:pPr>
        <w:jc w:val="both"/>
      </w:pPr>
    </w:p>
    <w:p w14:paraId="68ED0C16" w14:textId="2A7E6146" w:rsidR="00914DCC" w:rsidRDefault="00000000" w:rsidP="0017453B">
      <w:pPr>
        <w:jc w:val="both"/>
      </w:pPr>
      <w:sdt>
        <w:sdtPr>
          <w:id w:val="18437240"/>
          <w:citation/>
        </w:sdtPr>
        <w:sdtContent>
          <w:r w:rsidR="00914DCC" w:rsidRPr="00214D5F">
            <w:fldChar w:fldCharType="begin"/>
          </w:r>
          <w:r w:rsidR="00914DCC" w:rsidRPr="00214D5F">
            <w:instrText xml:space="preserve"> CITATION Nik22 \l 1055 </w:instrText>
          </w:r>
          <w:r w:rsidR="00914DCC" w:rsidRPr="00214D5F">
            <w:fldChar w:fldCharType="separate"/>
          </w:r>
          <w:r w:rsidR="00914DCC" w:rsidRPr="00AB0519">
            <w:rPr>
              <w:noProof/>
            </w:rPr>
            <w:t>(Nikiforov &amp; Tikhomirov, 2022)</w:t>
          </w:r>
          <w:r w:rsidR="00914DCC" w:rsidRPr="00214D5F">
            <w:fldChar w:fldCharType="end"/>
          </w:r>
        </w:sdtContent>
      </w:sdt>
      <w:r w:rsidR="00914DCC" w:rsidRPr="00214D5F">
        <w:t xml:space="preserve"> </w:t>
      </w:r>
      <w:proofErr w:type="gramStart"/>
      <w:r w:rsidR="00914DCC" w:rsidRPr="00214D5F">
        <w:t>ise</w:t>
      </w:r>
      <w:proofErr w:type="gramEnd"/>
      <w:r w:rsidR="00914DCC" w:rsidRPr="00214D5F">
        <w:t xml:space="preserve"> çalışmalarında, </w:t>
      </w:r>
      <w:proofErr w:type="spellStart"/>
      <w:r w:rsidR="00914DCC" w:rsidRPr="00214D5F">
        <w:t>SKDM’nin</w:t>
      </w:r>
      <w:proofErr w:type="spellEnd"/>
      <w:r w:rsidR="00914DCC" w:rsidRPr="00214D5F">
        <w:t xml:space="preserve"> Rusya’nın ihracat sektörleri üzerindeki maliyet yükünü artırarak özellikle demir-çelik, plastik ve alüminyum gibi sektörlerde rekabet gücünü zayıflatacağını ve AB yerel üreticileri için avantaj</w:t>
      </w:r>
      <w:r w:rsidR="00914DCC">
        <w:t xml:space="preserve"> yaratacağını ortaya koymuşlardır</w:t>
      </w:r>
      <w:r w:rsidR="00914DCC" w:rsidRPr="00214D5F">
        <w:t xml:space="preserve">. Rusya’nın </w:t>
      </w:r>
      <w:proofErr w:type="spellStart"/>
      <w:r w:rsidR="00914DCC" w:rsidRPr="00214D5F">
        <w:t>SKDM’nin</w:t>
      </w:r>
      <w:proofErr w:type="spellEnd"/>
      <w:r w:rsidR="00914DCC" w:rsidRPr="00214D5F">
        <w:t xml:space="preserve"> olumsuz etkilerini azaltmak için sanayide yeşil dönüşüm sağlaması, ulusal emisyon sistemini kurarak vergi kaybını önlemesi ve alternatif pazar arayışlarını artırması gerektiği vurgulanmıştır.</w:t>
      </w:r>
    </w:p>
    <w:p w14:paraId="7CA88B88" w14:textId="77777777" w:rsidR="003B45CB" w:rsidRPr="00214D5F" w:rsidRDefault="003B45CB" w:rsidP="0017453B">
      <w:pPr>
        <w:jc w:val="both"/>
      </w:pPr>
    </w:p>
    <w:p w14:paraId="68F58B92" w14:textId="77777777" w:rsidR="00914DCC" w:rsidRDefault="00000000" w:rsidP="0017453B">
      <w:pPr>
        <w:jc w:val="both"/>
      </w:pPr>
      <w:sdt>
        <w:sdtPr>
          <w:id w:val="-269854088"/>
          <w:citation/>
        </w:sdtPr>
        <w:sdtContent>
          <w:r w:rsidR="00914DCC" w:rsidRPr="00214D5F">
            <w:fldChar w:fldCharType="begin"/>
          </w:r>
          <w:r w:rsidR="00914DCC" w:rsidRPr="00214D5F">
            <w:instrText xml:space="preserve"> CITATION İme22 \l 1055 </w:instrText>
          </w:r>
          <w:r w:rsidR="00914DCC" w:rsidRPr="00214D5F">
            <w:fldChar w:fldCharType="separate"/>
          </w:r>
          <w:r w:rsidR="00914DCC" w:rsidRPr="00AB0519">
            <w:rPr>
              <w:noProof/>
            </w:rPr>
            <w:t>(İmer-Ertunga &amp; Seyhun, 2022)</w:t>
          </w:r>
          <w:r w:rsidR="00914DCC" w:rsidRPr="00214D5F">
            <w:fldChar w:fldCharType="end"/>
          </w:r>
        </w:sdtContent>
      </w:sdt>
      <w:r w:rsidR="00914DCC">
        <w:t xml:space="preserve">, </w:t>
      </w:r>
      <w:r w:rsidR="00914DCC" w:rsidRPr="00214D5F">
        <w:t xml:space="preserve">çalışmalarında Türkiye’nin ihracat sektörleri içinde </w:t>
      </w:r>
      <w:proofErr w:type="spellStart"/>
      <w:r w:rsidR="00914DCC" w:rsidRPr="00214D5F">
        <w:t>SKDM’den</w:t>
      </w:r>
      <w:proofErr w:type="spellEnd"/>
      <w:r w:rsidR="00914DCC" w:rsidRPr="00214D5F">
        <w:t xml:space="preserve"> en çok etkilenecek sektörler analiz edilmiş ve demir-çelik ile alüminyum öne çıkmıştır. </w:t>
      </w:r>
      <w:proofErr w:type="spellStart"/>
      <w:r w:rsidR="00914DCC" w:rsidRPr="00214D5F">
        <w:t>SKDM’ye</w:t>
      </w:r>
      <w:proofErr w:type="spellEnd"/>
      <w:r w:rsidR="00914DCC" w:rsidRPr="00214D5F">
        <w:t xml:space="preserve"> uyum için AR-GE yatırımlarının artırılması, öncelikli sektörlerin belirlenerek dönüşüm süreçlerinin desteklenmesi gerektiği vurgulanmıştır.</w:t>
      </w:r>
    </w:p>
    <w:p w14:paraId="1393EC3B" w14:textId="77777777" w:rsidR="003B45CB" w:rsidRPr="00214D5F" w:rsidRDefault="003B45CB" w:rsidP="0017453B">
      <w:pPr>
        <w:jc w:val="both"/>
      </w:pPr>
    </w:p>
    <w:p w14:paraId="2EF8493D" w14:textId="77777777" w:rsidR="00914DCC" w:rsidRDefault="00000000" w:rsidP="0017453B">
      <w:pPr>
        <w:jc w:val="both"/>
      </w:pPr>
      <w:sdt>
        <w:sdtPr>
          <w:id w:val="1108002328"/>
          <w:citation/>
        </w:sdtPr>
        <w:sdtContent>
          <w:r w:rsidR="00914DCC" w:rsidRPr="00214D5F">
            <w:fldChar w:fldCharType="begin"/>
          </w:r>
          <w:r w:rsidR="00914DCC" w:rsidRPr="00214D5F">
            <w:instrText xml:space="preserve"> CITATION Koç23 \l 1055 </w:instrText>
          </w:r>
          <w:r w:rsidR="00914DCC" w:rsidRPr="00214D5F">
            <w:fldChar w:fldCharType="separate"/>
          </w:r>
          <w:r w:rsidR="00914DCC" w:rsidRPr="00AB0519">
            <w:rPr>
              <w:noProof/>
            </w:rPr>
            <w:t>(Koç &amp; Kaynak, 2023)</w:t>
          </w:r>
          <w:r w:rsidR="00914DCC" w:rsidRPr="00214D5F">
            <w:fldChar w:fldCharType="end"/>
          </w:r>
        </w:sdtContent>
      </w:sdt>
      <w:r w:rsidR="00914DCC" w:rsidRPr="00214D5F">
        <w:t xml:space="preserve">, çalışmalarında </w:t>
      </w:r>
      <w:proofErr w:type="spellStart"/>
      <w:r w:rsidR="00914DCC" w:rsidRPr="00214D5F">
        <w:t>SKDM’nin</w:t>
      </w:r>
      <w:proofErr w:type="spellEnd"/>
      <w:r w:rsidR="00914DCC" w:rsidRPr="00214D5F">
        <w:t xml:space="preserve"> Türkiye ve AB-27 arasındaki ticarete etkisi analiz edilmiş ve Türkiye’nin olası karbon maliyetinin 2022 fiyatlarıyla 3,3 milyar Euro olduğu hesaplanmıştır. Türkiye’nin ETS ve </w:t>
      </w:r>
      <w:proofErr w:type="spellStart"/>
      <w:r w:rsidR="00914DCC" w:rsidRPr="00214D5F">
        <w:t>SKDM’ye</w:t>
      </w:r>
      <w:proofErr w:type="spellEnd"/>
      <w:r w:rsidR="00914DCC" w:rsidRPr="00214D5F">
        <w:t xml:space="preserve"> entegrasyonunun gerekliliği vurgulanarak, kendi emisyon ticaret sistemini kurarak yeşil dönüşüm için finansman sağlama önerisi sunulmuştur.</w:t>
      </w:r>
    </w:p>
    <w:p w14:paraId="4C3E318F" w14:textId="77777777" w:rsidR="003B45CB" w:rsidRPr="00214D5F" w:rsidRDefault="003B45CB" w:rsidP="0017453B">
      <w:pPr>
        <w:jc w:val="both"/>
      </w:pPr>
    </w:p>
    <w:p w14:paraId="061E83E7" w14:textId="7B702BF6" w:rsidR="00914DCC" w:rsidRDefault="00000000" w:rsidP="0017453B">
      <w:pPr>
        <w:jc w:val="both"/>
      </w:pPr>
      <w:sdt>
        <w:sdtPr>
          <w:id w:val="603005412"/>
          <w:citation/>
        </w:sdtPr>
        <w:sdtContent>
          <w:r w:rsidR="00914DCC" w:rsidRPr="00214D5F">
            <w:fldChar w:fldCharType="begin"/>
          </w:r>
          <w:r w:rsidR="00914DCC" w:rsidRPr="00214D5F">
            <w:instrText xml:space="preserve"> CITATION Eur233 \l 1055 </w:instrText>
          </w:r>
          <w:r w:rsidR="00914DCC" w:rsidRPr="00214D5F">
            <w:fldChar w:fldCharType="separate"/>
          </w:r>
          <w:r w:rsidR="00914DCC" w:rsidRPr="00AB0519">
            <w:rPr>
              <w:noProof/>
            </w:rPr>
            <w:t>(EuropeanBank, T.C. Çevre,Şehircilik ve İklim Değişikliği Bakanlığı, 2023)</w:t>
          </w:r>
          <w:r w:rsidR="00914DCC" w:rsidRPr="00214D5F">
            <w:fldChar w:fldCharType="end"/>
          </w:r>
        </w:sdtContent>
      </w:sdt>
      <w:r w:rsidR="00914DCC" w:rsidRPr="00214D5F">
        <w:t xml:space="preserve"> </w:t>
      </w:r>
      <w:proofErr w:type="gramStart"/>
      <w:r w:rsidR="00914DCC" w:rsidRPr="00214D5F">
        <w:t>tarafından</w:t>
      </w:r>
      <w:proofErr w:type="gramEnd"/>
      <w:r w:rsidR="00914DCC" w:rsidRPr="00214D5F">
        <w:t xml:space="preserve"> hazırlanan raporda SKDM ve Türkiye ilişkisi ayrıntılı şekilde ele alınmış ve </w:t>
      </w:r>
      <w:proofErr w:type="spellStart"/>
      <w:r w:rsidR="00914DCC" w:rsidRPr="006F753B">
        <w:t>SKDM’nin</w:t>
      </w:r>
      <w:proofErr w:type="spellEnd"/>
      <w:r w:rsidR="00914DCC" w:rsidRPr="006F753B">
        <w:t xml:space="preserve"> </w:t>
      </w:r>
      <w:r w:rsidR="00914DCC" w:rsidRPr="00214D5F">
        <w:t xml:space="preserve">Türkiye ekonomisi üzerindeki olası etkilerini analiz edilmiştir. Girdi-Çıktı Analizi kullanılarak yapılan hesaplamalara göre, Türkiye’nin 2022 yılı karbon fiyatları temel alındığında SKDM nedeniyle karşılaşacağı yıllık maliyetin 3,3 milyar Euro olacağı öngörülmektedir. En fazla etkilenecek sektörler arasında çimento, elektrik, mineralli ürünler, tarım ve demir-çelik öne çıkarken, Türkiye’nin AB ETS ve </w:t>
      </w:r>
      <w:proofErr w:type="spellStart"/>
      <w:r w:rsidR="00914DCC" w:rsidRPr="00214D5F">
        <w:t>SKDM’ye</w:t>
      </w:r>
      <w:proofErr w:type="spellEnd"/>
      <w:r w:rsidR="00914DCC" w:rsidRPr="00214D5F">
        <w:t xml:space="preserve"> entegrasyonu kritik bir gereklilik olarak vurgulanmaktadır. Farklı karbon fiyatı senaryoları değerlendirilerek, Türkiye’nin kendi emisyon ticaret sistemini kurması halinde SKDM maliyetlerini azaltabileceği ve yeşil dönüşümü finanse edebileceği belirtilmiştir. Sonuç olarak, </w:t>
      </w:r>
      <w:proofErr w:type="spellStart"/>
      <w:r w:rsidR="00914DCC" w:rsidRPr="00214D5F">
        <w:t>SKDM’nin</w:t>
      </w:r>
      <w:proofErr w:type="spellEnd"/>
      <w:r w:rsidR="00914DCC" w:rsidRPr="00214D5F">
        <w:t xml:space="preserve"> Türkiye’nin ticaret yapısını ve ekonomik politikalarını önemli ölçüde etkileyeceği, ancak etkin politikalarla bu </w:t>
      </w:r>
      <w:r w:rsidR="00914DCC" w:rsidRPr="00214D5F">
        <w:lastRenderedPageBreak/>
        <w:t>sürecin yönetilebileceği ifade edilmektedir​.</w:t>
      </w:r>
    </w:p>
    <w:p w14:paraId="63301ACB" w14:textId="77777777" w:rsidR="003B45CB" w:rsidRPr="00214D5F" w:rsidRDefault="003B45CB" w:rsidP="0017453B">
      <w:pPr>
        <w:jc w:val="both"/>
      </w:pPr>
    </w:p>
    <w:p w14:paraId="5BB6E71E" w14:textId="77777777" w:rsidR="00914DCC" w:rsidRDefault="00000000" w:rsidP="0017453B">
      <w:pPr>
        <w:jc w:val="both"/>
      </w:pPr>
      <w:sdt>
        <w:sdtPr>
          <w:id w:val="-455711774"/>
          <w:citation/>
        </w:sdtPr>
        <w:sdtContent>
          <w:r w:rsidR="00914DCC" w:rsidRPr="00214D5F">
            <w:fldChar w:fldCharType="begin"/>
          </w:r>
          <w:r w:rsidR="00914DCC" w:rsidRPr="00214D5F">
            <w:instrText xml:space="preserve"> CITATION Der23 \l 1055 </w:instrText>
          </w:r>
          <w:r w:rsidR="00914DCC" w:rsidRPr="00214D5F">
            <w:fldChar w:fldCharType="separate"/>
          </w:r>
          <w:r w:rsidR="00914DCC" w:rsidRPr="00AB0519">
            <w:rPr>
              <w:noProof/>
            </w:rPr>
            <w:t>(Derindağ &amp; Özsalman, 2023)</w:t>
          </w:r>
          <w:r w:rsidR="00914DCC" w:rsidRPr="00214D5F">
            <w:fldChar w:fldCharType="end"/>
          </w:r>
        </w:sdtContent>
      </w:sdt>
      <w:r w:rsidR="00914DCC" w:rsidRPr="00214D5F">
        <w:t xml:space="preserve">, çalışmalarında ilave vergi yükümlülüğü olan </w:t>
      </w:r>
      <w:proofErr w:type="spellStart"/>
      <w:r w:rsidR="00914DCC" w:rsidRPr="00214D5F">
        <w:t>SKDM’nin</w:t>
      </w:r>
      <w:proofErr w:type="spellEnd"/>
      <w:r w:rsidR="00914DCC" w:rsidRPr="00214D5F">
        <w:t xml:space="preserve"> bir ticari koşul olarak modern bir tarife dışı engele dönüşebilme potansiyelinin ortaya konulması ve Türkiye-AB ticaretine olası etkisinin incelenmiştir. SKDM modern tarife dışı engel haline gelebileceği üzerinde durulmuştur.</w:t>
      </w:r>
    </w:p>
    <w:p w14:paraId="348213F4" w14:textId="77777777" w:rsidR="003B45CB" w:rsidRPr="00214D5F" w:rsidRDefault="003B45CB" w:rsidP="0017453B">
      <w:pPr>
        <w:jc w:val="both"/>
      </w:pPr>
    </w:p>
    <w:p w14:paraId="12CD5E91" w14:textId="77777777" w:rsidR="00914DCC" w:rsidRDefault="00000000" w:rsidP="0017453B">
      <w:pPr>
        <w:jc w:val="both"/>
      </w:pPr>
      <w:sdt>
        <w:sdtPr>
          <w:id w:val="-7601377"/>
          <w:citation/>
        </w:sdtPr>
        <w:sdtContent>
          <w:r w:rsidR="00914DCC" w:rsidRPr="00214D5F">
            <w:fldChar w:fldCharType="begin"/>
          </w:r>
          <w:r w:rsidR="00914DCC" w:rsidRPr="00214D5F">
            <w:instrText xml:space="preserve"> CITATION Uni21 \l 1055 </w:instrText>
          </w:r>
          <w:r w:rsidR="00914DCC" w:rsidRPr="00214D5F">
            <w:fldChar w:fldCharType="separate"/>
          </w:r>
          <w:r w:rsidR="00914DCC" w:rsidRPr="00AB0519">
            <w:rPr>
              <w:noProof/>
            </w:rPr>
            <w:t>(United Nations Conference on Trade and Development – UNCTAD, 2021)</w:t>
          </w:r>
          <w:r w:rsidR="00914DCC" w:rsidRPr="00214D5F">
            <w:fldChar w:fldCharType="end"/>
          </w:r>
        </w:sdtContent>
      </w:sdt>
      <w:r w:rsidR="00914DCC" w:rsidRPr="00214D5F">
        <w:t xml:space="preserve"> </w:t>
      </w:r>
      <w:proofErr w:type="gramStart"/>
      <w:r w:rsidR="00914DCC" w:rsidRPr="00214D5F">
        <w:t>tarafından</w:t>
      </w:r>
      <w:proofErr w:type="gramEnd"/>
      <w:r w:rsidR="00914DCC" w:rsidRPr="00214D5F">
        <w:t xml:space="preserve"> yapılan çalışmada SKDM, AB’nin karbon emisyonlarını azaltırken karbon kaçağını %13,3’ten %5,2’ye düşürer</w:t>
      </w:r>
      <w:r w:rsidR="00914DCC">
        <w:t>ek ticaret akışlarını değiştireceği</w:t>
      </w:r>
      <w:r w:rsidR="00914DCC" w:rsidRPr="00214D5F">
        <w:t xml:space="preserve"> ve karbon yoğun üretim yapan ülkeleri olumsuz etkileyeceği belirtilm</w:t>
      </w:r>
      <w:r w:rsidR="00914DCC">
        <w:t>i</w:t>
      </w:r>
      <w:r w:rsidR="00914DCC" w:rsidRPr="00214D5F">
        <w:t>ştir. Gelişmekte olan ülkeler ihracat ve gelir kaybı yaşarken, gelişmiş ülkeler daha az et</w:t>
      </w:r>
      <w:r w:rsidR="00914DCC">
        <w:t>kilenir veya avantaj sağlayabi</w:t>
      </w:r>
      <w:r w:rsidR="00914DCC" w:rsidRPr="00214D5F">
        <w:t xml:space="preserve">leceği tespit edilmiştir. </w:t>
      </w:r>
      <w:proofErr w:type="spellStart"/>
      <w:r w:rsidR="00914DCC" w:rsidRPr="00214D5F">
        <w:t>SKDM’nin</w:t>
      </w:r>
      <w:proofErr w:type="spellEnd"/>
      <w:r w:rsidR="00914DCC" w:rsidRPr="00214D5F">
        <w:t xml:space="preserve"> küresel emisyon azaltımına katkısı sınırlı olup, AB'nin bu mekanizmayı gelişmekte olan ülkelerde temiz üretim teknolojilerini yaygınlaştırmak için destekleyici politikalarla tamamlaması önerilmiştir.</w:t>
      </w:r>
    </w:p>
    <w:p w14:paraId="3DCC11D3" w14:textId="77777777" w:rsidR="003B45CB" w:rsidRPr="00214D5F" w:rsidRDefault="003B45CB" w:rsidP="0017453B">
      <w:pPr>
        <w:jc w:val="both"/>
      </w:pPr>
    </w:p>
    <w:p w14:paraId="6BB18D08" w14:textId="77777777" w:rsidR="00914DCC" w:rsidRDefault="00000000" w:rsidP="0017453B">
      <w:pPr>
        <w:jc w:val="both"/>
      </w:pPr>
      <w:sdt>
        <w:sdtPr>
          <w:id w:val="-1334989307"/>
          <w:citation/>
        </w:sdtPr>
        <w:sdtContent>
          <w:r w:rsidR="00914DCC" w:rsidRPr="00214D5F">
            <w:fldChar w:fldCharType="begin"/>
          </w:r>
          <w:r w:rsidR="00914DCC" w:rsidRPr="00214D5F">
            <w:instrText xml:space="preserve"> CITATION Bek24 \l 1055 </w:instrText>
          </w:r>
          <w:r w:rsidR="00914DCC" w:rsidRPr="00214D5F">
            <w:fldChar w:fldCharType="separate"/>
          </w:r>
          <w:r w:rsidR="00914DCC" w:rsidRPr="00AB0519">
            <w:rPr>
              <w:noProof/>
            </w:rPr>
            <w:t>(Bektaş, Moralı, &amp; Aktaş, 2024)</w:t>
          </w:r>
          <w:r w:rsidR="00914DCC" w:rsidRPr="00214D5F">
            <w:fldChar w:fldCharType="end"/>
          </w:r>
        </w:sdtContent>
      </w:sdt>
      <w:r w:rsidR="00914DCC" w:rsidRPr="00214D5F">
        <w:t xml:space="preserve">, tarafından hazırlanan çalışmada Türkiye’de sektör bazında karbon kaçağı riski, emisyon yoğunluğu ve ticaret yoğunluğu faktörleriyle değerlendirilmiş, çimento sektörü en yüksek, </w:t>
      </w:r>
      <w:proofErr w:type="gramStart"/>
      <w:r w:rsidR="00914DCC" w:rsidRPr="00214D5F">
        <w:t>kağıt</w:t>
      </w:r>
      <w:proofErr w:type="gramEnd"/>
      <w:r w:rsidR="00914DCC" w:rsidRPr="00214D5F">
        <w:t xml:space="preserve"> sektörü ise en düşük riskli sektör olarak belirlenmiştir. Karbon fiyatlandırması ve Yeşil Mutabakat politikaları, üretim maliyetlerini artırarak kar</w:t>
      </w:r>
      <w:r w:rsidR="00914DCC">
        <w:t>bon kaçağı riskini yükseltebileceği</w:t>
      </w:r>
      <w:r w:rsidR="00914DCC" w:rsidRPr="00214D5F">
        <w:t>, ancak bu risk, ticaret ortaklarının benzer politikal</w:t>
      </w:r>
      <w:r w:rsidR="00914DCC">
        <w:t>arı benimsemesiyle azaltılabileceği belirtilmiştir</w:t>
      </w:r>
      <w:r w:rsidR="00914DCC" w:rsidRPr="00214D5F">
        <w:t>. Türkiye’nin düşük karbonlu kalkınma stratejisini hızlandırması için karbon kaçağı riskini minimize edecek teşvik mekanizmaları ve yeşil teknoloji yatırımları önceliklendirilmesinin gerekliliği vurgulanmıştır.​</w:t>
      </w:r>
    </w:p>
    <w:p w14:paraId="727B91D2" w14:textId="77777777" w:rsidR="003B45CB" w:rsidRPr="00214D5F" w:rsidRDefault="003B45CB" w:rsidP="0017453B">
      <w:pPr>
        <w:jc w:val="both"/>
      </w:pPr>
    </w:p>
    <w:p w14:paraId="157C5A21" w14:textId="77777777" w:rsidR="00914DCC" w:rsidRDefault="00000000" w:rsidP="0017453B">
      <w:pPr>
        <w:jc w:val="both"/>
      </w:pPr>
      <w:sdt>
        <w:sdtPr>
          <w:id w:val="406496986"/>
          <w:citation/>
        </w:sdtPr>
        <w:sdtContent>
          <w:r w:rsidR="00914DCC" w:rsidRPr="00214D5F">
            <w:fldChar w:fldCharType="begin"/>
          </w:r>
          <w:r w:rsidR="00914DCC" w:rsidRPr="00214D5F">
            <w:instrText xml:space="preserve"> CITATION Gün23 \l 1055 </w:instrText>
          </w:r>
          <w:r w:rsidR="00914DCC" w:rsidRPr="00214D5F">
            <w:fldChar w:fldCharType="separate"/>
          </w:r>
          <w:r w:rsidR="00914DCC" w:rsidRPr="00AB0519">
            <w:rPr>
              <w:noProof/>
            </w:rPr>
            <w:t>(Güner, 2023)</w:t>
          </w:r>
          <w:r w:rsidR="00914DCC" w:rsidRPr="00214D5F">
            <w:fldChar w:fldCharType="end"/>
          </w:r>
        </w:sdtContent>
      </w:sdt>
      <w:r w:rsidR="00914DCC">
        <w:t xml:space="preserve"> </w:t>
      </w:r>
      <w:proofErr w:type="gramStart"/>
      <w:r w:rsidR="00914DCC">
        <w:t>tarafından</w:t>
      </w:r>
      <w:proofErr w:type="gramEnd"/>
      <w:r w:rsidR="00914DCC">
        <w:t xml:space="preserve"> yapılan çalışmaya</w:t>
      </w:r>
      <w:r w:rsidR="00914DCC" w:rsidRPr="00214D5F">
        <w:t xml:space="preserve"> göre </w:t>
      </w:r>
      <w:proofErr w:type="spellStart"/>
      <w:r w:rsidR="00914DCC" w:rsidRPr="00214D5F">
        <w:t>SKDM'ye</w:t>
      </w:r>
      <w:proofErr w:type="spellEnd"/>
      <w:r w:rsidR="00914DCC" w:rsidRPr="00214D5F">
        <w:t xml:space="preserve"> tabi ürünler Türkiye'nin AB'ye yaptığı toplam ihracatının yaklaşık %10,5'ini oluşturmaktadır. SKDM özellikle elektrik, gübre ve çimento sektörlerinde Türkiye'nin ihracat maliyetlerini önemli ölçüde artıracağı tespitinde bulunulmuştur.</w:t>
      </w:r>
    </w:p>
    <w:p w14:paraId="5D660455" w14:textId="77777777" w:rsidR="003B45CB" w:rsidRPr="00214D5F" w:rsidRDefault="003B45CB" w:rsidP="0017453B">
      <w:pPr>
        <w:jc w:val="both"/>
      </w:pPr>
    </w:p>
    <w:p w14:paraId="5E9A5EF5" w14:textId="77777777" w:rsidR="00914DCC" w:rsidRDefault="00000000" w:rsidP="0017453B">
      <w:pPr>
        <w:jc w:val="both"/>
      </w:pPr>
      <w:sdt>
        <w:sdtPr>
          <w:id w:val="556905633"/>
          <w:citation/>
        </w:sdtPr>
        <w:sdtContent>
          <w:r w:rsidR="00914DCC" w:rsidRPr="00214D5F">
            <w:fldChar w:fldCharType="begin"/>
          </w:r>
          <w:r w:rsidR="00914DCC" w:rsidRPr="00214D5F">
            <w:instrText xml:space="preserve"> CITATION Eke241 \l 1055 </w:instrText>
          </w:r>
          <w:r w:rsidR="00914DCC" w:rsidRPr="00214D5F">
            <w:fldChar w:fldCharType="separate"/>
          </w:r>
          <w:r w:rsidR="00914DCC" w:rsidRPr="00AB0519">
            <w:rPr>
              <w:noProof/>
            </w:rPr>
            <w:t>(Eker &amp; Yazıcı, 2024)</w:t>
          </w:r>
          <w:r w:rsidR="00914DCC" w:rsidRPr="00214D5F">
            <w:fldChar w:fldCharType="end"/>
          </w:r>
        </w:sdtContent>
      </w:sdt>
      <w:r w:rsidR="00914DCC" w:rsidRPr="00214D5F">
        <w:t xml:space="preserve"> </w:t>
      </w:r>
      <w:proofErr w:type="gramStart"/>
      <w:r w:rsidR="00914DCC" w:rsidRPr="00214D5F">
        <w:t>tarafından</w:t>
      </w:r>
      <w:proofErr w:type="gramEnd"/>
      <w:r w:rsidR="00914DCC" w:rsidRPr="00214D5F">
        <w:t xml:space="preserve"> hazırlanan makalede </w:t>
      </w:r>
      <w:proofErr w:type="spellStart"/>
      <w:r w:rsidR="00914DCC" w:rsidRPr="00214D5F">
        <w:t>SKDM’nin</w:t>
      </w:r>
      <w:proofErr w:type="spellEnd"/>
      <w:r w:rsidR="00914DCC" w:rsidRPr="00214D5F">
        <w:t xml:space="preserve"> Türkiye’nin AB’ye ihracatı üzerinde hem riskler hem de fırsatlar barındırdığını demir-çelik, alüminyum ve gübre üretimi gibi düşük karbon salınımına sahip sektörlerin SKDM uygulamasından daha az etkilenmesi veya avantaj sağlaması beklenirken, uzun vadede mekanizmanın genişletilmesi durumunda Türkiye’nin AB’ye ihracatının %65’inin olumsuz etkilenebileceği belirtilmektedir.</w:t>
      </w:r>
    </w:p>
    <w:p w14:paraId="6531BF12" w14:textId="77777777" w:rsidR="003B45CB" w:rsidRPr="00214D5F" w:rsidRDefault="003B45CB" w:rsidP="0017453B">
      <w:pPr>
        <w:jc w:val="both"/>
      </w:pPr>
    </w:p>
    <w:p w14:paraId="6339B4F8" w14:textId="1B58A131" w:rsidR="00914DCC" w:rsidRDefault="00000000" w:rsidP="0017453B">
      <w:pPr>
        <w:jc w:val="both"/>
      </w:pPr>
      <w:sdt>
        <w:sdtPr>
          <w:id w:val="-407305090"/>
          <w:citation/>
        </w:sdtPr>
        <w:sdtContent>
          <w:r w:rsidR="00914DCC" w:rsidRPr="00214D5F">
            <w:fldChar w:fldCharType="begin"/>
          </w:r>
          <w:r w:rsidR="00914DCC" w:rsidRPr="00214D5F">
            <w:instrText xml:space="preserve"> CITATION Wor18 \l 1055 </w:instrText>
          </w:r>
          <w:r w:rsidR="00914DCC" w:rsidRPr="00214D5F">
            <w:fldChar w:fldCharType="separate"/>
          </w:r>
          <w:r w:rsidR="00914DCC" w:rsidRPr="00AB0519">
            <w:rPr>
              <w:noProof/>
            </w:rPr>
            <w:t>(WorldBank, T.C. Çevre,Şehircilik ve İklim Değişikliği Bakanlığı, 2018)</w:t>
          </w:r>
          <w:r w:rsidR="00914DCC" w:rsidRPr="00214D5F">
            <w:fldChar w:fldCharType="end"/>
          </w:r>
        </w:sdtContent>
      </w:sdt>
      <w:r w:rsidR="00914DCC" w:rsidRPr="00214D5F">
        <w:t xml:space="preserve"> </w:t>
      </w:r>
      <w:proofErr w:type="gramStart"/>
      <w:r w:rsidR="00914DCC">
        <w:t>tarafından</w:t>
      </w:r>
      <w:proofErr w:type="gramEnd"/>
      <w:r w:rsidR="00914DCC">
        <w:t xml:space="preserve"> hazırlanan </w:t>
      </w:r>
      <w:r w:rsidR="00914DCC" w:rsidRPr="00214D5F">
        <w:t xml:space="preserve">raporda Türkiye’de karbon fiyatlandırma politikalarının karbon kaçağı riskine etkisini değerlendirilmekte ve bu riskin azaltılması için politika önerileri sunulmaktadır. Türkiye’nin emisyon yoğun sektörlerinde karbon fiyatlandırmasının rekabetçilik üzerindeki olası etkileri analiz edilmiş ve karbon kaçağına en duyarlı sektörler belirlenmiştir. Çalışmada, çimento, seramik, kimya, cam, kireç, metal ve rafineri sektörlerinin yüksek karbon kaçağı riski taşıdığı vurgulanmış, bu sektörlerin karbon fiyatlandırmasına uyum sağlaması için çeşitli mekanizmalar önerilmiştir. Türkiye’nin karbon kaçağını önlemek için uluslararası ticaret ortaklarıyla koordineli hareket etmesi ve ulusal emisyon ticaret sistemini geliştirmesi gerektiği belirtilmiştir. Sonuç olarak, etkin bir karbon fiyatlandırma mekanizması ile hem Türkiye’nin emisyon azaltım hedeflerine ulaşabileceği hem de sanayisinin uluslararası rekabetçiliğini </w:t>
      </w:r>
      <w:r w:rsidR="00914DCC" w:rsidRPr="00214D5F">
        <w:lastRenderedPageBreak/>
        <w:t>koruyabileceği ifade edilmiştir.</w:t>
      </w:r>
    </w:p>
    <w:p w14:paraId="6EE5BF09" w14:textId="77777777" w:rsidR="003B45CB" w:rsidRPr="00214D5F" w:rsidRDefault="003B45CB" w:rsidP="0017453B">
      <w:pPr>
        <w:jc w:val="both"/>
      </w:pPr>
    </w:p>
    <w:p w14:paraId="37E07160" w14:textId="77777777" w:rsidR="00914DCC" w:rsidRDefault="00000000" w:rsidP="0017453B">
      <w:pPr>
        <w:jc w:val="both"/>
      </w:pPr>
      <w:sdt>
        <w:sdtPr>
          <w:id w:val="364179987"/>
          <w:citation/>
        </w:sdtPr>
        <w:sdtContent>
          <w:r w:rsidR="00914DCC" w:rsidRPr="00214D5F">
            <w:fldChar w:fldCharType="begin"/>
          </w:r>
          <w:r w:rsidR="00914DCC" w:rsidRPr="00214D5F">
            <w:instrText xml:space="preserve"> CITATION Leo211 \l 1055 </w:instrText>
          </w:r>
          <w:r w:rsidR="00914DCC" w:rsidRPr="00214D5F">
            <w:fldChar w:fldCharType="separate"/>
          </w:r>
          <w:r w:rsidR="00914DCC" w:rsidRPr="00AB0519">
            <w:rPr>
              <w:noProof/>
            </w:rPr>
            <w:t>(Leonard, Pisani-Ferry, Shapiro, Tagliapietra, &amp; Wolf, 2021)</w:t>
          </w:r>
          <w:r w:rsidR="00914DCC" w:rsidRPr="00214D5F">
            <w:fldChar w:fldCharType="end"/>
          </w:r>
        </w:sdtContent>
      </w:sdt>
      <w:r w:rsidR="00914DCC" w:rsidRPr="00214D5F">
        <w:t xml:space="preserve"> </w:t>
      </w:r>
      <w:proofErr w:type="gramStart"/>
      <w:r w:rsidR="00914DCC" w:rsidRPr="00214D5F">
        <w:t>hazırlamış</w:t>
      </w:r>
      <w:proofErr w:type="gramEnd"/>
      <w:r w:rsidR="00914DCC" w:rsidRPr="00214D5F">
        <w:t xml:space="preserve"> oldukları </w:t>
      </w:r>
      <w:r w:rsidR="00914DCC">
        <w:t>çalışmalarında</w:t>
      </w:r>
      <w:r w:rsidR="00914DCC" w:rsidRPr="00214D5F">
        <w:t xml:space="preserve"> Avrupa Yeşil </w:t>
      </w:r>
      <w:proofErr w:type="spellStart"/>
      <w:r w:rsidR="00914DCC" w:rsidRPr="00214D5F">
        <w:t>Mutabakatı’nın</w:t>
      </w:r>
      <w:proofErr w:type="spellEnd"/>
      <w:r w:rsidR="00914DCC" w:rsidRPr="00214D5F">
        <w:t xml:space="preserve"> AB’nin enerji güvenliği, ticaret politikaları ve küresel jeopolitik dengeler üzerinde önemli etkiler yaratacağı, AB’nin iklim liderliğini güçlendirmek için enerji tedarikçileriyle yeni iş birlikleri geliştirmesi, kritik hammaddelerde Çin’e bağımlılığı azaltması ve küresel düzeyde bir karbon fiyatlandırma mekanizmasını teşvik etmesi gerektiği sonucuna varılmıştır.</w:t>
      </w:r>
    </w:p>
    <w:p w14:paraId="3FD7B7D0" w14:textId="77777777" w:rsidR="003B45CB" w:rsidRPr="00214D5F" w:rsidRDefault="003B45CB" w:rsidP="0017453B">
      <w:pPr>
        <w:jc w:val="both"/>
      </w:pPr>
    </w:p>
    <w:p w14:paraId="386A3D34" w14:textId="16435C42" w:rsidR="00914DCC" w:rsidRPr="00214D5F" w:rsidRDefault="00000000" w:rsidP="0017453B">
      <w:pPr>
        <w:jc w:val="both"/>
      </w:pPr>
      <w:sdt>
        <w:sdtPr>
          <w:id w:val="-1896728915"/>
          <w:citation/>
        </w:sdtPr>
        <w:sdtContent>
          <w:r w:rsidR="00914DCC" w:rsidRPr="00214D5F">
            <w:fldChar w:fldCharType="begin"/>
          </w:r>
          <w:r w:rsidR="00914DCC" w:rsidRPr="00214D5F">
            <w:instrText xml:space="preserve"> CITATION Huf22 \l 1055 </w:instrText>
          </w:r>
          <w:r w:rsidR="00914DCC" w:rsidRPr="00214D5F">
            <w:fldChar w:fldCharType="separate"/>
          </w:r>
          <w:r w:rsidR="00914DCC" w:rsidRPr="00AB0519">
            <w:rPr>
              <w:noProof/>
            </w:rPr>
            <w:t>(Hufbauer, Schott, Hogan, &amp; Kim, 2022)</w:t>
          </w:r>
          <w:r w:rsidR="00914DCC" w:rsidRPr="00214D5F">
            <w:fldChar w:fldCharType="end"/>
          </w:r>
        </w:sdtContent>
      </w:sdt>
      <w:r w:rsidR="00914DCC" w:rsidRPr="00214D5F">
        <w:t xml:space="preserve"> </w:t>
      </w:r>
      <w:proofErr w:type="gramStart"/>
      <w:r w:rsidR="00914DCC" w:rsidRPr="00214D5F">
        <w:t>tarafından</w:t>
      </w:r>
      <w:proofErr w:type="gramEnd"/>
      <w:r w:rsidR="00914DCC" w:rsidRPr="00214D5F">
        <w:t xml:space="preserve"> hazırlanan çalışmada</w:t>
      </w:r>
      <w:r w:rsidR="00914DCC">
        <w:t xml:space="preserve"> ise</w:t>
      </w:r>
      <w:r w:rsidR="00914DCC" w:rsidRPr="00214D5F">
        <w:t xml:space="preserve"> </w:t>
      </w:r>
      <w:proofErr w:type="spellStart"/>
      <w:r w:rsidR="00914DCC" w:rsidRPr="00214D5F">
        <w:t>SKDM’nin</w:t>
      </w:r>
      <w:proofErr w:type="spellEnd"/>
      <w:r w:rsidR="00914DCC" w:rsidRPr="00214D5F">
        <w:t xml:space="preserve"> AB sanayisini karbon kaçağına karşı koruyarak iç piyasada daha katı iklim politikalarının uygulanmasını destekleyebileceğini, ancak bu mekanizmanın </w:t>
      </w:r>
      <w:r w:rsidR="00914DCC">
        <w:t>Dünya Ticaret Örgütü (DTÖ)</w:t>
      </w:r>
      <w:r w:rsidR="00914DCC" w:rsidRPr="00214D5F">
        <w:t xml:space="preserve"> kurallarına aykırılık iddiaları ve ticaret ortaklarının misilleme tehditleri nedeniyle küresel ticaret gerilimlerini artırabileceğini ortaya koymaktadır. Özellikle Türkiye, Çin ve Rusya gibi ülkelerin ihracat maliyetlerini artırarak bu ülkeleri kendi karbon fiyatlandırma sistemlerini oluşturmaya teşvik edebileceği sonucuna varılmıştır.</w:t>
      </w:r>
    </w:p>
    <w:p w14:paraId="5EBAB8C0" w14:textId="77777777" w:rsidR="00914DCC" w:rsidRPr="00214D5F" w:rsidRDefault="00914DCC" w:rsidP="0017453B">
      <w:pPr>
        <w:jc w:val="both"/>
      </w:pPr>
    </w:p>
    <w:p w14:paraId="3C4E74D1" w14:textId="77777777" w:rsidR="00914DCC" w:rsidRPr="00164C0C" w:rsidRDefault="00914DCC" w:rsidP="0017453B">
      <w:pPr>
        <w:pStyle w:val="Balk2"/>
        <w:spacing w:before="0" w:after="0"/>
        <w:rPr>
          <w:rFonts w:ascii="Times New Roman" w:eastAsia="Times New Roman" w:hAnsi="Times New Roman" w:cs="Times New Roman"/>
          <w:b/>
          <w:color w:val="auto"/>
          <w:sz w:val="24"/>
          <w:szCs w:val="24"/>
        </w:rPr>
      </w:pPr>
      <w:r w:rsidRPr="00164C0C">
        <w:rPr>
          <w:rFonts w:ascii="Times New Roman" w:eastAsia="Times New Roman" w:hAnsi="Times New Roman" w:cs="Times New Roman"/>
          <w:b/>
          <w:color w:val="auto"/>
          <w:sz w:val="24"/>
          <w:szCs w:val="24"/>
        </w:rPr>
        <w:t>DEĞERLENDİRME VE SONUÇ</w:t>
      </w:r>
    </w:p>
    <w:p w14:paraId="28E45250" w14:textId="77777777" w:rsidR="00914DCC" w:rsidRDefault="00914DCC" w:rsidP="0017453B">
      <w:pPr>
        <w:jc w:val="both"/>
      </w:pPr>
      <w:r w:rsidRPr="00214D5F">
        <w:t xml:space="preserve">AB 2019 yılında açıklanan Avrupa Yeşil Mutabakatı ile iklim hedeflerine ulaşabilmek için yeni bir strateji belirlemiştir. Bu kapsamda 2050 yılına kadar karbon-nötr ilk kıta olabilmek için Sınırda Karbon Düzenleme Mekanizması gibi uluslararası ticarete doğrudan etki edebilecek sistem tasarlanmıştır. </w:t>
      </w:r>
      <w:proofErr w:type="spellStart"/>
      <w:r w:rsidRPr="00214D5F">
        <w:t>SKDM’nin</w:t>
      </w:r>
      <w:proofErr w:type="spellEnd"/>
      <w:r w:rsidRPr="00214D5F">
        <w:t xml:space="preserve"> amacı Avrupa dışında üretilip AB’ye ihraç edilecek ürünlerin karbon denetimine tabi olmasını sağlamak ve böylelikle yeşil dönüşümü teşvik etmek olduğu söylenebilir. Ancak bu mekanizmanın özellikle AB’ye yoğun ihracat gerçekleştiren Çin, Rusya ve Türkiye gibi ülkeleri birçok açıdan etkileyeceği açıktır. Çalışmanın devamında </w:t>
      </w:r>
      <w:proofErr w:type="spellStart"/>
      <w:r w:rsidRPr="00214D5F">
        <w:t>SKDM’nin</w:t>
      </w:r>
      <w:proofErr w:type="spellEnd"/>
      <w:r w:rsidRPr="00214D5F">
        <w:t xml:space="preserve"> bu ülkelere etkisine değerlendirilmiş ve Türkiye-SKDM ilişkisine değinilmiştir.</w:t>
      </w:r>
    </w:p>
    <w:p w14:paraId="6EC4BBEA" w14:textId="77777777" w:rsidR="003B45CB" w:rsidRPr="00214D5F" w:rsidRDefault="003B45CB" w:rsidP="0017453B">
      <w:pPr>
        <w:jc w:val="both"/>
      </w:pPr>
    </w:p>
    <w:p w14:paraId="5A369F7A" w14:textId="77777777" w:rsidR="00914DCC" w:rsidRPr="00214D5F" w:rsidRDefault="00914DCC" w:rsidP="0017453B">
      <w:pPr>
        <w:jc w:val="both"/>
        <w:rPr>
          <w:b/>
        </w:rPr>
      </w:pPr>
      <w:r w:rsidRPr="00214D5F">
        <w:rPr>
          <w:b/>
        </w:rPr>
        <w:t>SKDM ve Çin</w:t>
      </w:r>
    </w:p>
    <w:p w14:paraId="7C90F20B" w14:textId="31370301" w:rsidR="00914DCC" w:rsidRDefault="00914DCC" w:rsidP="0017453B">
      <w:pPr>
        <w:jc w:val="both"/>
      </w:pPr>
      <w:r w:rsidRPr="00214D5F">
        <w:t xml:space="preserve">Çin dünyanın en büyük karbon salınımı gerçekleştiren ülkesi olarak </w:t>
      </w:r>
      <w:proofErr w:type="spellStart"/>
      <w:r w:rsidRPr="00214D5F">
        <w:t>SKDM’den</w:t>
      </w:r>
      <w:proofErr w:type="spellEnd"/>
      <w:r w:rsidRPr="00214D5F">
        <w:t xml:space="preserve"> önemli ölçüde etkilenecektir. Özellikle çelik, alüminyum be çimento gibi karbon yoğun sektörlerde üretiminin yoğunlaşması Çin açısından negatif olarak değerlendirilebilir. Çin’de yakın zamanda pilot emisyon ticaret sisteminden ulusal emisyon ticaret sistemine geçiş sağlanmasına rağmen AB ETS ile uyum derecesi henüz yeterli seviyede değildir.</w:t>
      </w:r>
    </w:p>
    <w:p w14:paraId="57D0BDCC" w14:textId="77777777" w:rsidR="003B45CB" w:rsidRPr="00214D5F" w:rsidRDefault="003B45CB" w:rsidP="0017453B">
      <w:pPr>
        <w:jc w:val="both"/>
      </w:pPr>
    </w:p>
    <w:p w14:paraId="5FA29152" w14:textId="77777777" w:rsidR="00914DCC" w:rsidRDefault="00914DCC" w:rsidP="0017453B">
      <w:pPr>
        <w:jc w:val="both"/>
      </w:pPr>
      <w:r w:rsidRPr="00324E92">
        <w:t xml:space="preserve">Literatürde yapılan çalışmalar, </w:t>
      </w:r>
      <w:proofErr w:type="spellStart"/>
      <w:r w:rsidRPr="00324E92">
        <w:t>SKDM'nin</w:t>
      </w:r>
      <w:proofErr w:type="spellEnd"/>
      <w:r w:rsidRPr="00324E92">
        <w:t xml:space="preserve"> Çin'in çelik ve alüminyum sektörlerinde maliyet verimliliğini olumsuz etkileyeceğini ve bu sektörlerdeki üretim maliyetlerini artıracağını göstermektedir. Özellikle alüminyum sektörü, ihracata bağımlılığı nedeniyle daha fazla risk altındadır. Çin'in bu durumla başa çıkabilmek için daha yüksek ve istikrarlı bir karbon fiyatlandırma politikası benimsemesi, temiz üretim teknolojilerine yatırım yapması ve uluslararası iş birliğine açık olması gerekmektedir.</w:t>
      </w:r>
    </w:p>
    <w:p w14:paraId="7E185681" w14:textId="77777777" w:rsidR="003B45CB" w:rsidRPr="00214D5F" w:rsidRDefault="003B45CB" w:rsidP="0017453B">
      <w:pPr>
        <w:jc w:val="both"/>
      </w:pPr>
    </w:p>
    <w:p w14:paraId="7AADE442" w14:textId="77777777" w:rsidR="00914DCC" w:rsidRPr="00214D5F" w:rsidRDefault="00914DCC" w:rsidP="0017453B">
      <w:pPr>
        <w:jc w:val="both"/>
        <w:rPr>
          <w:b/>
        </w:rPr>
      </w:pPr>
      <w:r w:rsidRPr="00214D5F">
        <w:rPr>
          <w:b/>
        </w:rPr>
        <w:t>SKDM ve Rusya</w:t>
      </w:r>
    </w:p>
    <w:p w14:paraId="7C1AA046" w14:textId="267B0B97" w:rsidR="00914DCC" w:rsidRDefault="00914DCC" w:rsidP="0017453B">
      <w:pPr>
        <w:jc w:val="both"/>
      </w:pPr>
      <w:r w:rsidRPr="00214D5F">
        <w:t xml:space="preserve">Rusya hammadde kaynaklarının zenginliği ve jeopolitik konumu nedeniyle bu zamana kadar AB’nin en makul tedarikçileri arasında olmuştur. Ancak ülkedeki üretim teknolojisinin görece eski olması ve daha çok konvansiyonel enerji odaklı üretimin tercih edilmesi </w:t>
      </w:r>
      <w:proofErr w:type="spellStart"/>
      <w:r w:rsidRPr="00214D5F">
        <w:t>SKDM’den</w:t>
      </w:r>
      <w:proofErr w:type="spellEnd"/>
      <w:r w:rsidRPr="00214D5F">
        <w:t xml:space="preserve"> doğrudan etkilenmesine neden olacaktır. Her ne kadar Rusya’da pilot emisyon ticaret sistemi uygulanıyor olsa</w:t>
      </w:r>
      <w:r>
        <w:t xml:space="preserve"> </w:t>
      </w:r>
      <w:r w:rsidRPr="00214D5F">
        <w:t xml:space="preserve">da içinde bulunulan savaş durumu fosil enerji kaynaklarına bağlılığın </w:t>
      </w:r>
      <w:r w:rsidRPr="00214D5F">
        <w:lastRenderedPageBreak/>
        <w:t>sürmesinin başlıca nedenleri arasındadır.</w:t>
      </w:r>
    </w:p>
    <w:p w14:paraId="65E03B17" w14:textId="77777777" w:rsidR="003B45CB" w:rsidRPr="00324E92" w:rsidRDefault="003B45CB" w:rsidP="0017453B">
      <w:pPr>
        <w:jc w:val="both"/>
      </w:pPr>
    </w:p>
    <w:p w14:paraId="248397A4" w14:textId="77777777" w:rsidR="00914DCC" w:rsidRDefault="00914DCC" w:rsidP="0017453B">
      <w:pPr>
        <w:jc w:val="both"/>
      </w:pPr>
      <w:r w:rsidRPr="00324E92">
        <w:t xml:space="preserve">Rusya'nın </w:t>
      </w:r>
      <w:proofErr w:type="spellStart"/>
      <w:r w:rsidRPr="00324E92">
        <w:t>SKDM'ye</w:t>
      </w:r>
      <w:proofErr w:type="spellEnd"/>
      <w:r w:rsidRPr="00324E92">
        <w:t xml:space="preserve"> uyum sağlamak için yeşil enerjiye geçiş yapması ve üretim süreçlerini daha sürdürülebilir hale getirmesi gerekmektedir. Ayrıca, Rusya'nın alternatif pazarlar arayarak AB'ye olan bağımlılığını azaltması da önemli bir strateji olabilir. Ancak, bu süreçte Rusya'nın üretim verilerinin yetersizliği ve politik belirsizlikler, </w:t>
      </w:r>
      <w:proofErr w:type="spellStart"/>
      <w:r w:rsidRPr="00324E92">
        <w:t>SKDM'ye</w:t>
      </w:r>
      <w:proofErr w:type="spellEnd"/>
      <w:r w:rsidRPr="00324E92">
        <w:t xml:space="preserve"> uyum sürecini zorlaştırabilir.</w:t>
      </w:r>
    </w:p>
    <w:p w14:paraId="6EAD9C3B" w14:textId="77777777" w:rsidR="003B45CB" w:rsidRPr="00214D5F" w:rsidRDefault="003B45CB" w:rsidP="0017453B">
      <w:pPr>
        <w:jc w:val="both"/>
      </w:pPr>
    </w:p>
    <w:p w14:paraId="675D2BF1" w14:textId="77777777" w:rsidR="00914DCC" w:rsidRPr="00214D5F" w:rsidRDefault="00914DCC" w:rsidP="0017453B">
      <w:pPr>
        <w:jc w:val="both"/>
        <w:rPr>
          <w:b/>
        </w:rPr>
      </w:pPr>
      <w:r w:rsidRPr="00214D5F">
        <w:rPr>
          <w:b/>
        </w:rPr>
        <w:t>SKDM ve Türkiye</w:t>
      </w:r>
    </w:p>
    <w:p w14:paraId="7C6BB3AF" w14:textId="77777777" w:rsidR="00914DCC" w:rsidRDefault="00914DCC" w:rsidP="0017453B">
      <w:pPr>
        <w:jc w:val="both"/>
      </w:pPr>
      <w:r w:rsidRPr="00214D5F">
        <w:t xml:space="preserve">AB özellikle son 50 yılda Türkiye’nin en büyük ticaret ortaklarından biri haline gelmiştir. 1996 yılında Gümrük Birliği’nin tamamlanması sonrasında ticaret hacmi hızla artmıştır. Ancak günümüzde SKDM etkileri diğer ülkeler gibi Türkiye içinde bazı kritik adımların atılmasını elzem kılmaktadır. Demir-çelik, alüminyum ve çimento sektörleri </w:t>
      </w:r>
      <w:proofErr w:type="spellStart"/>
      <w:r w:rsidRPr="00214D5F">
        <w:t>SKDM’nin</w:t>
      </w:r>
      <w:proofErr w:type="spellEnd"/>
      <w:r w:rsidRPr="00214D5F">
        <w:t xml:space="preserve"> getireceği ek maliyetlere ciddi şekilde maruz kalacak ilk sekt</w:t>
      </w:r>
      <w:r>
        <w:t>örler olarak göze çarpmaktadır</w:t>
      </w:r>
      <w:r w:rsidRPr="00214D5F">
        <w:t xml:space="preserve">. </w:t>
      </w:r>
      <w:r w:rsidRPr="00324E92">
        <w:t xml:space="preserve">Türkiye'nin </w:t>
      </w:r>
      <w:proofErr w:type="spellStart"/>
      <w:r w:rsidRPr="00324E92">
        <w:t>SKDM'ye</w:t>
      </w:r>
      <w:proofErr w:type="spellEnd"/>
      <w:r w:rsidRPr="00324E92">
        <w:t xml:space="preserve"> uyum sağlamak için öncelikle kendi emisyon ticaret sistemini geliştirmesi ve yeşil dönüşüm sürecini hızlandırması gerekmektedir. AR-GE yatırımlarının artırılması ve temiz üretim teknolojilerine yönelik teşviklerin sağlanması, Türkiye'nin </w:t>
      </w:r>
      <w:proofErr w:type="spellStart"/>
      <w:r w:rsidRPr="00324E92">
        <w:t>SKDM'nin</w:t>
      </w:r>
      <w:proofErr w:type="spellEnd"/>
      <w:r w:rsidRPr="00324E92">
        <w:t xml:space="preserve"> olumsuz etkilerini azaltmasına yardımcı olabilir. Türkiye'nin AB ile olan ticaretinde rekabet gücünü koruyabilmesi için, karbon fiyatlandırma politikalarını etkin bir şekilde uygulaması ve uluslararası iş birliğine açık olması büyük önem taşımaktadır.</w:t>
      </w:r>
      <w:r w:rsidRPr="00214D5F">
        <w:t xml:space="preserve"> Avrupa Yeşil Mutabakatı sonrası Türkiye yeşil dönüşüme yönelik bazı önemli adımlar atmıştır.2021 yılında Paris İklim Anlaşması onaylanarak yürürlüğe girmiştir. Bu kapsamda 2053 yılında net sıfır emisyon hedefi ortaya konulmuştur.2023-2024 yıllarında ihracatçıların SKDM ile ilgili bilgilendirilmesini sağlamak adına </w:t>
      </w:r>
      <w:proofErr w:type="gramStart"/>
      <w:r w:rsidRPr="00214D5F">
        <w:t>bir takım</w:t>
      </w:r>
      <w:proofErr w:type="gramEnd"/>
      <w:r w:rsidRPr="00214D5F">
        <w:t xml:space="preserve"> düzenlemeler yapılmıştır.2025 yılı itibarıyla SKDM portalı ihracatçıların hizmetine sunulmuştur.</w:t>
      </w:r>
    </w:p>
    <w:p w14:paraId="248E4C01" w14:textId="77777777" w:rsidR="003B45CB" w:rsidRPr="00214D5F" w:rsidRDefault="003B45CB" w:rsidP="0017453B">
      <w:pPr>
        <w:jc w:val="both"/>
      </w:pPr>
    </w:p>
    <w:p w14:paraId="4AD9396F" w14:textId="77777777" w:rsidR="00914DCC" w:rsidRPr="00214D5F" w:rsidRDefault="00914DCC" w:rsidP="0017453B">
      <w:pPr>
        <w:jc w:val="both"/>
      </w:pPr>
      <w:r w:rsidRPr="00214D5F">
        <w:t xml:space="preserve">Uzun zamandır devam eden ulusal emisyon ticaret sistemi çalışmalarında sona gelinmiştir.2025 yılının ilk yarısında açıklanması beklenmektedir.  Bu doğrultuda oluşturulacak emisyon ticaret sisteminin ülkenin ihracat maliyetlerini artıracağı söylenebilir. Ancak toplanacak maddi kaynak tekrar yeşil dönüşüme yönelik harcamalara aktarılırsa uzun vadede hedeflere ulaşılabilmesini sağlayabilir. Dolayısıyla </w:t>
      </w:r>
      <w:proofErr w:type="spellStart"/>
      <w:r w:rsidRPr="00214D5F">
        <w:t>SKDM’nin</w:t>
      </w:r>
      <w:proofErr w:type="spellEnd"/>
      <w:r w:rsidRPr="00214D5F">
        <w:t xml:space="preserve"> olumsuz etkilerinin en aza indirmek için Türkiye’nin hem karbon fiyatlandırma mekanizmalarını oluşturması hem de sürdürülebilir </w:t>
      </w:r>
      <w:r>
        <w:t xml:space="preserve">enerji ve </w:t>
      </w:r>
      <w:r w:rsidRPr="00214D5F">
        <w:t>sanayi politikaları geliştirmesi gerekmektedir.</w:t>
      </w:r>
    </w:p>
    <w:p w14:paraId="0A7D30B8" w14:textId="77777777" w:rsidR="00914DCC" w:rsidRPr="00214D5F" w:rsidRDefault="00914DCC" w:rsidP="0017453B">
      <w:pPr>
        <w:rPr>
          <w:rFonts w:ascii="Segoe UI" w:hAnsi="Segoe UI" w:cs="Segoe UI"/>
          <w:color w:val="404040"/>
        </w:rPr>
      </w:pPr>
    </w:p>
    <w:sdt>
      <w:sdtPr>
        <w:rPr>
          <w:rFonts w:eastAsiaTheme="minorHAnsi" w:cstheme="minorBidi"/>
          <w:sz w:val="22"/>
          <w:szCs w:val="22"/>
        </w:rPr>
        <w:id w:val="-1419322503"/>
        <w:docPartObj>
          <w:docPartGallery w:val="Bibliographies"/>
          <w:docPartUnique/>
        </w:docPartObj>
      </w:sdtPr>
      <w:sdtEndPr>
        <w:rPr>
          <w:rFonts w:eastAsia="Times New Roman" w:cs="Times New Roman"/>
          <w:sz w:val="24"/>
          <w:szCs w:val="24"/>
        </w:rPr>
      </w:sdtEndPr>
      <w:sdtContent>
        <w:p w14:paraId="7FC2AAB4" w14:textId="670D42F6" w:rsidR="00914DCC" w:rsidRPr="003B45CB" w:rsidRDefault="003B45CB" w:rsidP="003B45CB">
          <w:pPr>
            <w:rPr>
              <w:b/>
              <w:bCs/>
            </w:rPr>
          </w:pPr>
          <w:r w:rsidRPr="003B45CB">
            <w:rPr>
              <w:b/>
              <w:bCs/>
            </w:rPr>
            <w:t>Kaynakça</w:t>
          </w:r>
        </w:p>
        <w:p w14:paraId="6A1BAD81" w14:textId="57664194" w:rsidR="00914DCC" w:rsidRDefault="00914DCC">
          <w:pPr>
            <w:pStyle w:val="ListeParagraf"/>
            <w:numPr>
              <w:ilvl w:val="0"/>
              <w:numId w:val="69"/>
            </w:numPr>
            <w:rPr>
              <w:noProof/>
            </w:rPr>
          </w:pPr>
          <w:r>
            <w:rPr>
              <w:noProof/>
            </w:rPr>
            <w:t xml:space="preserve">Zhang, X., Löschel, A., Lewis, J., Zhang, D., &amp; Yan, J. (2020, Aralık 1). Emissions trading systems for global low carbon energy and economic transformation. </w:t>
          </w:r>
          <w:r w:rsidRPr="009F0AE3">
            <w:rPr>
              <w:i/>
              <w:iCs/>
              <w:noProof/>
            </w:rPr>
            <w:t>Applied Energy</w:t>
          </w:r>
          <w:r>
            <w:rPr>
              <w:noProof/>
            </w:rPr>
            <w:t>(279). doi:2020.115858</w:t>
          </w:r>
        </w:p>
        <w:p w14:paraId="42DC2047" w14:textId="77777777" w:rsidR="00914DCC" w:rsidRDefault="00914DCC">
          <w:pPr>
            <w:pStyle w:val="ListeParagraf"/>
            <w:numPr>
              <w:ilvl w:val="0"/>
              <w:numId w:val="69"/>
            </w:numPr>
            <w:rPr>
              <w:noProof/>
            </w:rPr>
          </w:pPr>
          <w:r>
            <w:rPr>
              <w:noProof/>
            </w:rPr>
            <w:t xml:space="preserve">Aliusta, H., Yılmaz , B., &amp; Kırlıoğlu, H. (2016). Küresel Isınmayı Önleme Sürecinde Uygulanan Piyasa Temelli İktisadi Araçlar: Karbon Ticareti ve Karbon Vergisi. </w:t>
          </w:r>
          <w:r w:rsidRPr="009F0AE3">
            <w:rPr>
              <w:i/>
              <w:iCs/>
              <w:noProof/>
            </w:rPr>
            <w:t>Uluslararası Yönetim İktisat ve İşletme Dergisi</w:t>
          </w:r>
          <w:r>
            <w:rPr>
              <w:noProof/>
            </w:rPr>
            <w:t>(ICAFR 16 Özel sayı), 382-401.</w:t>
          </w:r>
        </w:p>
        <w:p w14:paraId="11CF2BA6" w14:textId="77777777" w:rsidR="00914DCC" w:rsidRDefault="00914DCC">
          <w:pPr>
            <w:pStyle w:val="ListeParagraf"/>
            <w:numPr>
              <w:ilvl w:val="0"/>
              <w:numId w:val="69"/>
            </w:numPr>
            <w:rPr>
              <w:noProof/>
            </w:rPr>
          </w:pPr>
          <w:r>
            <w:rPr>
              <w:noProof/>
            </w:rPr>
            <w:t xml:space="preserve">Bektaş, A., Moralı, E. K., &amp; Aktaş, A. (2024). Carbon Leakage Concept after Carbon Pricing &amp; Green Deal Policies. </w:t>
          </w:r>
          <w:r w:rsidRPr="009F0AE3">
            <w:rPr>
              <w:i/>
              <w:iCs/>
              <w:noProof/>
            </w:rPr>
            <w:t>Ekonomi,İşletme ve Maliye Araştırmaları Dergisi</w:t>
          </w:r>
          <w:r>
            <w:rPr>
              <w:noProof/>
            </w:rPr>
            <w:t>.</w:t>
          </w:r>
        </w:p>
        <w:p w14:paraId="53CA2957" w14:textId="77777777" w:rsidR="00914DCC" w:rsidRDefault="00914DCC">
          <w:pPr>
            <w:pStyle w:val="ListeParagraf"/>
            <w:numPr>
              <w:ilvl w:val="0"/>
              <w:numId w:val="69"/>
            </w:numPr>
            <w:rPr>
              <w:noProof/>
            </w:rPr>
          </w:pPr>
          <w:r>
            <w:rPr>
              <w:noProof/>
            </w:rPr>
            <w:t>Birleşmiş Milletler;Kyoto Protokolü. (1997). 15.</w:t>
          </w:r>
        </w:p>
        <w:p w14:paraId="0DA0C4A0" w14:textId="77777777" w:rsidR="00914DCC" w:rsidRDefault="00914DCC">
          <w:pPr>
            <w:pStyle w:val="ListeParagraf"/>
            <w:numPr>
              <w:ilvl w:val="0"/>
              <w:numId w:val="69"/>
            </w:numPr>
            <w:rPr>
              <w:noProof/>
            </w:rPr>
          </w:pPr>
          <w:r>
            <w:rPr>
              <w:noProof/>
            </w:rPr>
            <w:t xml:space="preserve">Boqiang, L., &amp; Hengsong, Z. (2023). Evaluating current effects of upcoming EU Carbon Border Adjustment Mechanism: Evidence from China’s futures market. </w:t>
          </w:r>
          <w:r w:rsidRPr="009F0AE3">
            <w:rPr>
              <w:i/>
              <w:iCs/>
              <w:noProof/>
            </w:rPr>
            <w:t xml:space="preserve">Energy Policy </w:t>
          </w:r>
          <w:r>
            <w:rPr>
              <w:noProof/>
            </w:rPr>
            <w:t>.</w:t>
          </w:r>
        </w:p>
        <w:p w14:paraId="6BA3F5AE" w14:textId="77777777" w:rsidR="00914DCC" w:rsidRDefault="00914DCC">
          <w:pPr>
            <w:pStyle w:val="ListeParagraf"/>
            <w:numPr>
              <w:ilvl w:val="0"/>
              <w:numId w:val="69"/>
            </w:numPr>
            <w:rPr>
              <w:noProof/>
            </w:rPr>
          </w:pPr>
          <w:r>
            <w:rPr>
              <w:noProof/>
            </w:rPr>
            <w:t xml:space="preserve">Coase, R. (1960). The Problem of Social Costs. </w:t>
          </w:r>
          <w:r w:rsidRPr="009F0AE3">
            <w:rPr>
              <w:i/>
              <w:iCs/>
              <w:noProof/>
            </w:rPr>
            <w:t>Journal of Law and Economics, 3</w:t>
          </w:r>
          <w:r>
            <w:rPr>
              <w:noProof/>
            </w:rPr>
            <w:t>, 3-</w:t>
          </w:r>
          <w:r>
            <w:rPr>
              <w:noProof/>
            </w:rPr>
            <w:lastRenderedPageBreak/>
            <w:t>44.</w:t>
          </w:r>
        </w:p>
        <w:p w14:paraId="0C14FFF6" w14:textId="77777777" w:rsidR="00914DCC" w:rsidRDefault="00914DCC">
          <w:pPr>
            <w:pStyle w:val="ListeParagraf"/>
            <w:numPr>
              <w:ilvl w:val="0"/>
              <w:numId w:val="69"/>
            </w:numPr>
            <w:rPr>
              <w:noProof/>
            </w:rPr>
          </w:pPr>
          <w:r>
            <w:rPr>
              <w:noProof/>
            </w:rPr>
            <w:t xml:space="preserve">Convery, F., &amp; Perthuis, C. (2008, Haziran). The European Carbon Market In Action: Lessons From The First Trading Period.Interim Report. </w:t>
          </w:r>
          <w:r w:rsidRPr="009F0AE3">
            <w:rPr>
              <w:i/>
              <w:iCs/>
              <w:noProof/>
            </w:rPr>
            <w:t xml:space="preserve">MIT Joint Program on the Science and Policy of Global Change </w:t>
          </w:r>
          <w:r>
            <w:rPr>
              <w:noProof/>
            </w:rPr>
            <w:t>(162). Ekim 15, 2024 tarihinde https://www.researchgate.net/publication/5170384_The_European_Carbon_Market_In_Action_Lessons_From_The_First_Trading_Period_Interim_Report adresinden alındı</w:t>
          </w:r>
        </w:p>
        <w:p w14:paraId="1CAC3B7D" w14:textId="77777777" w:rsidR="00914DCC" w:rsidRDefault="00914DCC">
          <w:pPr>
            <w:pStyle w:val="ListeParagraf"/>
            <w:numPr>
              <w:ilvl w:val="0"/>
              <w:numId w:val="69"/>
            </w:numPr>
            <w:rPr>
              <w:noProof/>
            </w:rPr>
          </w:pPr>
          <w:r>
            <w:rPr>
              <w:noProof/>
            </w:rPr>
            <w:t xml:space="preserve">Çelikkol , H., &amp; Özkan , N. (2011, Aralık). Karbon Piyasaları ve Türkiye Perspektifi. </w:t>
          </w:r>
          <w:r w:rsidRPr="009F0AE3">
            <w:rPr>
              <w:i/>
              <w:iCs/>
              <w:noProof/>
            </w:rPr>
            <w:t>Dumlupınar Üniversitesi Sosyal Bilimler Dergisi</w:t>
          </w:r>
          <w:r>
            <w:rPr>
              <w:noProof/>
            </w:rPr>
            <w:t>(31). Ekim 10, 2024 tarihinde https://dergipark.org.tr/tr/pub/dpusbe/issue/4773/65710 adresinden alındı</w:t>
          </w:r>
        </w:p>
        <w:p w14:paraId="1672E9F4" w14:textId="77777777" w:rsidR="00914DCC" w:rsidRDefault="00914DCC">
          <w:pPr>
            <w:pStyle w:val="ListeParagraf"/>
            <w:numPr>
              <w:ilvl w:val="0"/>
              <w:numId w:val="69"/>
            </w:numPr>
            <w:rPr>
              <w:noProof/>
            </w:rPr>
          </w:pPr>
          <w:r>
            <w:rPr>
              <w:noProof/>
            </w:rPr>
            <w:t xml:space="preserve">Derindağ, Ö., &amp; Özsalman, E. (2023). Modern Tarife Dışı Engel Olarak Sınırda Karbon Düzenleme Mekanizması. </w:t>
          </w:r>
          <w:r w:rsidRPr="009F0AE3">
            <w:rPr>
              <w:i/>
              <w:iCs/>
              <w:noProof/>
            </w:rPr>
            <w:t>Gümrük Ticaret Dergisi</w:t>
          </w:r>
          <w:r>
            <w:rPr>
              <w:noProof/>
            </w:rPr>
            <w:t>.</w:t>
          </w:r>
        </w:p>
        <w:p w14:paraId="5185EA51" w14:textId="77777777" w:rsidR="00914DCC" w:rsidRDefault="00914DCC">
          <w:pPr>
            <w:pStyle w:val="ListeParagraf"/>
            <w:numPr>
              <w:ilvl w:val="0"/>
              <w:numId w:val="69"/>
            </w:numPr>
            <w:rPr>
              <w:noProof/>
            </w:rPr>
          </w:pPr>
          <w:r>
            <w:rPr>
              <w:noProof/>
            </w:rPr>
            <w:t xml:space="preserve">Eken, A., &amp; Yazıcı, D. (2024). Sınırda Karbon Düzenlemesi Mekanizmasının Türkiye’nin AB İhracatına Olası Etkileri. </w:t>
          </w:r>
          <w:r w:rsidRPr="009F0AE3">
            <w:rPr>
              <w:i/>
              <w:iCs/>
              <w:noProof/>
            </w:rPr>
            <w:t>Başkent Üniversitesi Ticari Bilimler Fakültesi Dergisi, 8</w:t>
          </w:r>
          <w:r>
            <w:rPr>
              <w:noProof/>
            </w:rPr>
            <w:t>, 1-15. Ekim 22, 2024 tarihinde https://dergipark.org.tr/tr/pub/jcsci adresinden alındı</w:t>
          </w:r>
        </w:p>
        <w:p w14:paraId="197AF381" w14:textId="77777777" w:rsidR="00914DCC" w:rsidRDefault="00914DCC">
          <w:pPr>
            <w:pStyle w:val="ListeParagraf"/>
            <w:numPr>
              <w:ilvl w:val="0"/>
              <w:numId w:val="69"/>
            </w:numPr>
            <w:rPr>
              <w:noProof/>
            </w:rPr>
          </w:pPr>
          <w:r>
            <w:rPr>
              <w:noProof/>
            </w:rPr>
            <w:t xml:space="preserve">Eker, A. A., &amp; Yazıcı, D. (2024). Sınırda Karbon Düzenlemesi Mekanizmasının Türkiye’nin AB İhracatına Olası Etkiler. </w:t>
          </w:r>
          <w:r w:rsidRPr="009F0AE3">
            <w:rPr>
              <w:i/>
              <w:iCs/>
              <w:noProof/>
            </w:rPr>
            <w:t>Başkent Üniversitesi Ticari Bilimler Fakültesi Dergisi, 8</w:t>
          </w:r>
          <w:r>
            <w:rPr>
              <w:noProof/>
            </w:rPr>
            <w:t>(1), 1-15.</w:t>
          </w:r>
        </w:p>
        <w:p w14:paraId="1CDC59AE" w14:textId="77777777" w:rsidR="00914DCC" w:rsidRDefault="00914DCC">
          <w:pPr>
            <w:pStyle w:val="ListeParagraf"/>
            <w:numPr>
              <w:ilvl w:val="0"/>
              <w:numId w:val="69"/>
            </w:numPr>
            <w:rPr>
              <w:noProof/>
            </w:rPr>
          </w:pPr>
          <w:r>
            <w:rPr>
              <w:noProof/>
            </w:rPr>
            <w:t xml:space="preserve">European Commision. (2024, Kasım 4). </w:t>
          </w:r>
          <w:r w:rsidRPr="009F0AE3">
            <w:rPr>
              <w:i/>
              <w:iCs/>
              <w:noProof/>
            </w:rPr>
            <w:t>Carbon Border Adjustment Mechanism</w:t>
          </w:r>
          <w:r>
            <w:rPr>
              <w:noProof/>
            </w:rPr>
            <w:t>. Kasım 6, 2024 tarihinde An official website of the European Union: https://taxation-customs.ec.europa.eu/carbon-border-adjustment-mechanism_en adresinden alındı</w:t>
          </w:r>
        </w:p>
        <w:p w14:paraId="4C693C6E" w14:textId="77777777" w:rsidR="00914DCC" w:rsidRDefault="00914DCC">
          <w:pPr>
            <w:pStyle w:val="ListeParagraf"/>
            <w:numPr>
              <w:ilvl w:val="0"/>
              <w:numId w:val="69"/>
            </w:numPr>
            <w:rPr>
              <w:noProof/>
            </w:rPr>
          </w:pPr>
          <w:r>
            <w:rPr>
              <w:noProof/>
            </w:rPr>
            <w:t xml:space="preserve">European Commission. (2015). </w:t>
          </w:r>
          <w:r w:rsidRPr="009F0AE3">
            <w:rPr>
              <w:i/>
              <w:iCs/>
              <w:noProof/>
            </w:rPr>
            <w:t>EU ETS Handbook.</w:t>
          </w:r>
          <w:r>
            <w:rPr>
              <w:noProof/>
            </w:rPr>
            <w:t xml:space="preserve"> Ekim 17, 2024 tarihinde https://climate.ec.europa.eu/eu-action/eu-emissions-trading-system-eu-ets/what-eu-ets_en#documentation adresinden alındı</w:t>
          </w:r>
        </w:p>
        <w:p w14:paraId="7C402817" w14:textId="77777777" w:rsidR="00914DCC" w:rsidRDefault="00914DCC">
          <w:pPr>
            <w:pStyle w:val="ListeParagraf"/>
            <w:numPr>
              <w:ilvl w:val="0"/>
              <w:numId w:val="69"/>
            </w:numPr>
            <w:rPr>
              <w:noProof/>
            </w:rPr>
          </w:pPr>
          <w:r>
            <w:rPr>
              <w:noProof/>
            </w:rPr>
            <w:t xml:space="preserve">European Commission. (2021). </w:t>
          </w:r>
          <w:r w:rsidRPr="009F0AE3">
            <w:rPr>
              <w:i/>
              <w:iCs/>
              <w:noProof/>
            </w:rPr>
            <w:t>Carbon Border Adjustment Mechanism.</w:t>
          </w:r>
          <w:r>
            <w:rPr>
              <w:noProof/>
            </w:rPr>
            <w:t xml:space="preserve"> Ekim 16, 2024 tarihinde https://taxation-customs.ec.europa.eu/index_en?prefLang=tr adresinden alındı</w:t>
          </w:r>
        </w:p>
        <w:p w14:paraId="444EFC48" w14:textId="77777777" w:rsidR="00914DCC" w:rsidRDefault="00914DCC">
          <w:pPr>
            <w:pStyle w:val="ListeParagraf"/>
            <w:numPr>
              <w:ilvl w:val="0"/>
              <w:numId w:val="69"/>
            </w:numPr>
            <w:rPr>
              <w:noProof/>
            </w:rPr>
          </w:pPr>
          <w:r>
            <w:rPr>
              <w:noProof/>
            </w:rPr>
            <w:t xml:space="preserve">European Commission. (2023, Mayıs 10). </w:t>
          </w:r>
          <w:r w:rsidRPr="009F0AE3">
            <w:rPr>
              <w:i/>
              <w:iCs/>
              <w:noProof/>
            </w:rPr>
            <w:t>REGULATION (EU) 2023/956 OF THE EUROPEAN PARLIAMENT AND OF THE COUNCIL.</w:t>
          </w:r>
          <w:r>
            <w:rPr>
              <w:noProof/>
            </w:rPr>
            <w:t xml:space="preserve"> Ekim 22, 2024 tarihinde European Union: https://eur-lex.europa.eu/legal-content/EN/TXT/?uri=CELEX:32023R0956 adresinden alındı</w:t>
          </w:r>
        </w:p>
        <w:p w14:paraId="25312EA6" w14:textId="77777777" w:rsidR="00914DCC" w:rsidRDefault="00914DCC">
          <w:pPr>
            <w:pStyle w:val="ListeParagraf"/>
            <w:numPr>
              <w:ilvl w:val="0"/>
              <w:numId w:val="69"/>
            </w:numPr>
            <w:rPr>
              <w:noProof/>
            </w:rPr>
          </w:pPr>
          <w:r>
            <w:rPr>
              <w:noProof/>
            </w:rPr>
            <w:t xml:space="preserve">European Commission. (2024). </w:t>
          </w:r>
          <w:r w:rsidRPr="009F0AE3">
            <w:rPr>
              <w:i/>
              <w:iCs/>
              <w:noProof/>
            </w:rPr>
            <w:t>What is the EU ETS?</w:t>
          </w:r>
          <w:r>
            <w:rPr>
              <w:noProof/>
            </w:rPr>
            <w:t xml:space="preserve"> Ekim 26, 2024 tarihinde https://climate.ec.europa.eu/eu-action/eu-emissions-trading-system-eu-ets/what-eu-ets_en adresinden alındı</w:t>
          </w:r>
        </w:p>
        <w:p w14:paraId="6AD75DA2" w14:textId="77777777" w:rsidR="00914DCC" w:rsidRDefault="00914DCC">
          <w:pPr>
            <w:pStyle w:val="ListeParagraf"/>
            <w:numPr>
              <w:ilvl w:val="0"/>
              <w:numId w:val="69"/>
            </w:numPr>
            <w:rPr>
              <w:noProof/>
            </w:rPr>
          </w:pPr>
          <w:r>
            <w:rPr>
              <w:noProof/>
            </w:rPr>
            <w:t xml:space="preserve">European Council. (2022, 11 13). </w:t>
          </w:r>
          <w:r w:rsidRPr="009F0AE3">
            <w:rPr>
              <w:i/>
              <w:iCs/>
              <w:noProof/>
            </w:rPr>
            <w:t>EU climate action: provisional agreement reached on Carbon Border Adjustment Mechanism (CBAM)</w:t>
          </w:r>
          <w:r>
            <w:rPr>
              <w:noProof/>
            </w:rPr>
            <w:t>. ekim 8, 2024 tarihinde Council of the EU: https://www.consilium.europa.eu/en/press/press-releases/2022/12/13/eu-climate-action-provisional-agreement-reached-on-carbon-border-adjustment-mechanism-cbam/ adresinden alındı</w:t>
          </w:r>
        </w:p>
        <w:p w14:paraId="63300D0E" w14:textId="05CAFD86" w:rsidR="00914DCC" w:rsidRDefault="00914DCC">
          <w:pPr>
            <w:pStyle w:val="ListeParagraf"/>
            <w:numPr>
              <w:ilvl w:val="0"/>
              <w:numId w:val="69"/>
            </w:numPr>
            <w:rPr>
              <w:noProof/>
            </w:rPr>
          </w:pPr>
          <w:r>
            <w:rPr>
              <w:noProof/>
            </w:rPr>
            <w:t xml:space="preserve">EuropeanBank, T.C. Çevre,Şehircilik ve İklim Değişikliği Bakanlığı. (2023). </w:t>
          </w:r>
          <w:r w:rsidRPr="009F0AE3">
            <w:rPr>
              <w:i/>
              <w:iCs/>
              <w:noProof/>
            </w:rPr>
            <w:t>Potential Impact of the Carbon Border Adjustment Mechanism on the Turkish Economy.</w:t>
          </w:r>
        </w:p>
        <w:p w14:paraId="4571C001" w14:textId="77777777" w:rsidR="00914DCC" w:rsidRDefault="00914DCC">
          <w:pPr>
            <w:pStyle w:val="ListeParagraf"/>
            <w:numPr>
              <w:ilvl w:val="0"/>
              <w:numId w:val="69"/>
            </w:numPr>
            <w:rPr>
              <w:noProof/>
            </w:rPr>
          </w:pPr>
          <w:r>
            <w:rPr>
              <w:noProof/>
            </w:rPr>
            <w:t xml:space="preserve">Guo, C. (2023). Impact of carbon border adjustment mechanism on China’s manufacturing sector: A dynamic recursive CGE model based on an evolutionary game. </w:t>
          </w:r>
          <w:r w:rsidRPr="009F0AE3">
            <w:rPr>
              <w:i/>
              <w:iCs/>
              <w:noProof/>
            </w:rPr>
            <w:t>Journal of Environmental Management</w:t>
          </w:r>
          <w:r>
            <w:rPr>
              <w:noProof/>
            </w:rPr>
            <w:t>.</w:t>
          </w:r>
        </w:p>
        <w:p w14:paraId="37DFD21C" w14:textId="77777777" w:rsidR="00914DCC" w:rsidRDefault="00914DCC">
          <w:pPr>
            <w:pStyle w:val="ListeParagraf"/>
            <w:numPr>
              <w:ilvl w:val="0"/>
              <w:numId w:val="69"/>
            </w:numPr>
            <w:rPr>
              <w:noProof/>
            </w:rPr>
          </w:pPr>
          <w:r>
            <w:rPr>
              <w:noProof/>
            </w:rPr>
            <w:t>Güner, Ü. (2023). Eu's Carbon Border Adjustment Mechanism And Its Impact On Türkiye's Exports To The Eu.</w:t>
          </w:r>
        </w:p>
        <w:p w14:paraId="208C5DA8" w14:textId="77777777" w:rsidR="00914DCC" w:rsidRDefault="00914DCC">
          <w:pPr>
            <w:pStyle w:val="ListeParagraf"/>
            <w:numPr>
              <w:ilvl w:val="0"/>
              <w:numId w:val="69"/>
            </w:numPr>
            <w:rPr>
              <w:noProof/>
            </w:rPr>
          </w:pPr>
          <w:r>
            <w:rPr>
              <w:noProof/>
            </w:rPr>
            <w:t xml:space="preserve">Hufbauer, G. C., Schott, J., Hogan, M., &amp; Kim, J. (2022). EU Carbon Border </w:t>
          </w:r>
          <w:r>
            <w:rPr>
              <w:noProof/>
            </w:rPr>
            <w:lastRenderedPageBreak/>
            <w:t xml:space="preserve">Adjustment Mechanism Faces Many Challenges. </w:t>
          </w:r>
          <w:r w:rsidRPr="009F0AE3">
            <w:rPr>
              <w:i/>
              <w:iCs/>
              <w:noProof/>
            </w:rPr>
            <w:t xml:space="preserve">Peterson Institute for International Economics Policy Brief </w:t>
          </w:r>
          <w:r>
            <w:rPr>
              <w:noProof/>
            </w:rPr>
            <w:t>.</w:t>
          </w:r>
        </w:p>
        <w:p w14:paraId="43F1B592" w14:textId="77777777" w:rsidR="00914DCC" w:rsidRDefault="00914DCC">
          <w:pPr>
            <w:pStyle w:val="ListeParagraf"/>
            <w:numPr>
              <w:ilvl w:val="0"/>
              <w:numId w:val="69"/>
            </w:numPr>
            <w:rPr>
              <w:noProof/>
            </w:rPr>
          </w:pPr>
          <w:r>
            <w:rPr>
              <w:noProof/>
            </w:rPr>
            <w:t xml:space="preserve">İmer-Ertunga, E., &amp; Seyhun, Ö. (2022). Sınırda Karbon Düzenleme Mekanizması ve Türkiye’nin İhracatına Olası Etkileri. </w:t>
          </w:r>
          <w:r w:rsidRPr="009F0AE3">
            <w:rPr>
              <w:i/>
              <w:iCs/>
              <w:noProof/>
            </w:rPr>
            <w:t>Ege Stratejik Araştırmalar Dergisi</w:t>
          </w:r>
          <w:r>
            <w:rPr>
              <w:noProof/>
            </w:rPr>
            <w:t>.</w:t>
          </w:r>
        </w:p>
        <w:p w14:paraId="2ACF7D14" w14:textId="77777777" w:rsidR="00914DCC" w:rsidRDefault="00914DCC">
          <w:pPr>
            <w:pStyle w:val="ListeParagraf"/>
            <w:numPr>
              <w:ilvl w:val="0"/>
              <w:numId w:val="69"/>
            </w:numPr>
            <w:rPr>
              <w:noProof/>
            </w:rPr>
          </w:pPr>
          <w:r>
            <w:rPr>
              <w:noProof/>
            </w:rPr>
            <w:t xml:space="preserve">International Carbon Action Partnership (ICAP). (2015). </w:t>
          </w:r>
          <w:r w:rsidRPr="009F0AE3">
            <w:rPr>
              <w:i/>
              <w:iCs/>
              <w:noProof/>
            </w:rPr>
            <w:t>Emissions Trading Worldwide.</w:t>
          </w:r>
          <w:r>
            <w:rPr>
              <w:noProof/>
            </w:rPr>
            <w:t xml:space="preserve"> Ekim 5, 2024 tarihinde https://icapcarbonaction.com/system/files/document/icap_report_2015_02_10_online_version.pdf adresinden alındı</w:t>
          </w:r>
        </w:p>
        <w:p w14:paraId="74FE3657" w14:textId="77777777" w:rsidR="00914DCC" w:rsidRDefault="00914DCC">
          <w:pPr>
            <w:pStyle w:val="ListeParagraf"/>
            <w:numPr>
              <w:ilvl w:val="0"/>
              <w:numId w:val="69"/>
            </w:numPr>
            <w:rPr>
              <w:noProof/>
            </w:rPr>
          </w:pPr>
          <w:r>
            <w:rPr>
              <w:noProof/>
            </w:rPr>
            <w:t xml:space="preserve">International Energy Agency. (2020). </w:t>
          </w:r>
          <w:r w:rsidRPr="009F0AE3">
            <w:rPr>
              <w:i/>
              <w:iCs/>
              <w:noProof/>
            </w:rPr>
            <w:t>Implementing Effective Emissions Trading Systems: Lessons from international experiences.</w:t>
          </w:r>
          <w:r>
            <w:rPr>
              <w:noProof/>
            </w:rPr>
            <w:t xml:space="preserve"> Paris: OECD. Ekim 26, 2024 tarihinde https://www.oecd.org/en/publications/implementing-effective-emissions-trading-systems_b7d0842b-en.html adresinden alındı</w:t>
          </w:r>
        </w:p>
        <w:p w14:paraId="57778BC9" w14:textId="77777777" w:rsidR="00914DCC" w:rsidRDefault="00914DCC">
          <w:pPr>
            <w:pStyle w:val="ListeParagraf"/>
            <w:numPr>
              <w:ilvl w:val="0"/>
              <w:numId w:val="69"/>
            </w:numPr>
            <w:rPr>
              <w:noProof/>
            </w:rPr>
          </w:pPr>
          <w:r>
            <w:rPr>
              <w:noProof/>
            </w:rPr>
            <w:t xml:space="preserve">Jiansuo, P., &amp; Jiarui, Z. (2022). Beggar thy neighbor? On the competitiveness and welfare impacts of the EU’s proposed carbon border adjustment mechanism. </w:t>
          </w:r>
          <w:r w:rsidRPr="009F0AE3">
            <w:rPr>
              <w:i/>
              <w:iCs/>
              <w:noProof/>
            </w:rPr>
            <w:t xml:space="preserve">Energy Policy </w:t>
          </w:r>
          <w:r>
            <w:rPr>
              <w:noProof/>
            </w:rPr>
            <w:t>.</w:t>
          </w:r>
        </w:p>
        <w:p w14:paraId="203A7251" w14:textId="77777777" w:rsidR="00914DCC" w:rsidRDefault="00914DCC">
          <w:pPr>
            <w:pStyle w:val="ListeParagraf"/>
            <w:numPr>
              <w:ilvl w:val="0"/>
              <w:numId w:val="69"/>
            </w:numPr>
            <w:rPr>
              <w:noProof/>
            </w:rPr>
          </w:pPr>
          <w:r>
            <w:rPr>
              <w:noProof/>
            </w:rPr>
            <w:t xml:space="preserve">Koç, B. E., &amp; Kaynak, S. (2023). Sınırda Karbon Düzenleme Mekanizmasının Türkiye - AB-27 Dış Ticaret İlişkisi Üzerine Olası Etkisi. </w:t>
          </w:r>
          <w:r w:rsidRPr="009F0AE3">
            <w:rPr>
              <w:i/>
              <w:iCs/>
              <w:noProof/>
            </w:rPr>
            <w:t>Verimlilik Dergisi</w:t>
          </w:r>
          <w:r>
            <w:rPr>
              <w:noProof/>
            </w:rPr>
            <w:t>.</w:t>
          </w:r>
        </w:p>
        <w:p w14:paraId="7D404E29" w14:textId="77777777" w:rsidR="00914DCC" w:rsidRDefault="00914DCC">
          <w:pPr>
            <w:pStyle w:val="ListeParagraf"/>
            <w:numPr>
              <w:ilvl w:val="0"/>
              <w:numId w:val="69"/>
            </w:numPr>
            <w:rPr>
              <w:noProof/>
            </w:rPr>
          </w:pPr>
          <w:r>
            <w:rPr>
              <w:noProof/>
            </w:rPr>
            <w:t xml:space="preserve">Leonard, M., Ferry, J. P., Shapiro, J., Tagliapietra, S., &amp; Wolf, G. (2021). </w:t>
          </w:r>
          <w:r w:rsidRPr="009F0AE3">
            <w:rPr>
              <w:i/>
              <w:iCs/>
              <w:noProof/>
            </w:rPr>
            <w:t>The geopolitics of the European Green Deal.</w:t>
          </w:r>
          <w:r>
            <w:rPr>
              <w:noProof/>
            </w:rPr>
            <w:t xml:space="preserve"> Bruegel. Ekim 17, 2024 tarihinde https://www.bruegel.org/ adresinden alındı</w:t>
          </w:r>
        </w:p>
        <w:p w14:paraId="270378B3" w14:textId="77777777" w:rsidR="00914DCC" w:rsidRDefault="00914DCC">
          <w:pPr>
            <w:pStyle w:val="ListeParagraf"/>
            <w:numPr>
              <w:ilvl w:val="0"/>
              <w:numId w:val="69"/>
            </w:numPr>
            <w:rPr>
              <w:noProof/>
            </w:rPr>
          </w:pPr>
          <w:r>
            <w:rPr>
              <w:noProof/>
            </w:rPr>
            <w:t xml:space="preserve">Leonard, M., Pisani-Ferry, J., Shapiro, J., Tagliapietra, S., &amp; Wolf, G. (2021). The geopolitics of the European Green Deal. </w:t>
          </w:r>
          <w:r w:rsidRPr="009F0AE3">
            <w:rPr>
              <w:i/>
              <w:iCs/>
              <w:noProof/>
            </w:rPr>
            <w:t>Bruegel</w:t>
          </w:r>
          <w:r>
            <w:rPr>
              <w:noProof/>
            </w:rPr>
            <w:t>.</w:t>
          </w:r>
        </w:p>
        <w:p w14:paraId="4B3A43F8" w14:textId="77777777" w:rsidR="00914DCC" w:rsidRDefault="00914DCC">
          <w:pPr>
            <w:pStyle w:val="ListeParagraf"/>
            <w:numPr>
              <w:ilvl w:val="0"/>
              <w:numId w:val="69"/>
            </w:numPr>
            <w:rPr>
              <w:noProof/>
            </w:rPr>
          </w:pPr>
          <w:r>
            <w:rPr>
              <w:noProof/>
            </w:rPr>
            <w:t xml:space="preserve">Nikiforov, V., &amp; Tikhomirov, D. (2022). The Impact of the EU Carbon Border Adjustment Mechanism on Russian Exporters. </w:t>
          </w:r>
          <w:r w:rsidRPr="009F0AE3">
            <w:rPr>
              <w:i/>
              <w:iCs/>
              <w:noProof/>
            </w:rPr>
            <w:t>Journal of Corporate Finance Research</w:t>
          </w:r>
          <w:r>
            <w:rPr>
              <w:noProof/>
            </w:rPr>
            <w:t>.</w:t>
          </w:r>
        </w:p>
        <w:p w14:paraId="154E4BE0" w14:textId="77777777" w:rsidR="00914DCC" w:rsidRDefault="00914DCC">
          <w:pPr>
            <w:pStyle w:val="ListeParagraf"/>
            <w:numPr>
              <w:ilvl w:val="0"/>
              <w:numId w:val="69"/>
            </w:numPr>
            <w:rPr>
              <w:noProof/>
            </w:rPr>
          </w:pPr>
          <w:r>
            <w:rPr>
              <w:noProof/>
            </w:rPr>
            <w:t xml:space="preserve">Shaozhou , Q., Zhenzhen, X., &amp; Zhixuan, Y. (2022). China's carbon allowance allocation strategy under the EU carbon border adjustment mechanism: An integrated non-parametric cost frontier approach. </w:t>
          </w:r>
          <w:r w:rsidRPr="009F0AE3">
            <w:rPr>
              <w:i/>
              <w:iCs/>
              <w:noProof/>
            </w:rPr>
            <w:t>Science of the Total Environment</w:t>
          </w:r>
          <w:r>
            <w:rPr>
              <w:noProof/>
            </w:rPr>
            <w:t>.</w:t>
          </w:r>
        </w:p>
        <w:p w14:paraId="77C18E7D" w14:textId="77777777" w:rsidR="00914DCC" w:rsidRDefault="00914DCC">
          <w:pPr>
            <w:pStyle w:val="ListeParagraf"/>
            <w:numPr>
              <w:ilvl w:val="0"/>
              <w:numId w:val="69"/>
            </w:numPr>
            <w:rPr>
              <w:noProof/>
            </w:rPr>
          </w:pPr>
          <w:r>
            <w:rPr>
              <w:noProof/>
            </w:rPr>
            <w:t xml:space="preserve">Sudakov, S. (2023). Effects of the EU’s SKDM on Eurasian Countries. </w:t>
          </w:r>
          <w:r w:rsidRPr="009F0AE3">
            <w:rPr>
              <w:i/>
              <w:iCs/>
              <w:noProof/>
            </w:rPr>
            <w:t>İstanbul İktisat Dergisi</w:t>
          </w:r>
          <w:r>
            <w:rPr>
              <w:noProof/>
            </w:rPr>
            <w:t>.</w:t>
          </w:r>
        </w:p>
        <w:p w14:paraId="57844180" w14:textId="77777777" w:rsidR="00914DCC" w:rsidRDefault="00914DCC">
          <w:pPr>
            <w:pStyle w:val="ListeParagraf"/>
            <w:numPr>
              <w:ilvl w:val="0"/>
              <w:numId w:val="69"/>
            </w:numPr>
            <w:rPr>
              <w:noProof/>
            </w:rPr>
          </w:pPr>
          <w:r>
            <w:rPr>
              <w:noProof/>
            </w:rPr>
            <w:t xml:space="preserve">T.C. Ticaret Bakanlığı. (2023, Mart 13). </w:t>
          </w:r>
          <w:r w:rsidRPr="009F0AE3">
            <w:rPr>
              <w:i/>
              <w:iCs/>
              <w:noProof/>
            </w:rPr>
            <w:t>Yeşil Mutabakat</w:t>
          </w:r>
          <w:r>
            <w:rPr>
              <w:noProof/>
            </w:rPr>
            <w:t>. Ekim 5, 2024 tarihinde T.C Ticaret Bakanlığı Web Sitesi: https://ticaret.gov.tr/dis-iliskiler/yesil-mutabakat adresinden alındı</w:t>
          </w:r>
        </w:p>
        <w:p w14:paraId="07D1C184" w14:textId="77777777" w:rsidR="00914DCC" w:rsidRDefault="00914DCC">
          <w:pPr>
            <w:pStyle w:val="ListeParagraf"/>
            <w:numPr>
              <w:ilvl w:val="0"/>
              <w:numId w:val="69"/>
            </w:numPr>
            <w:rPr>
              <w:noProof/>
            </w:rPr>
          </w:pPr>
          <w:r>
            <w:rPr>
              <w:noProof/>
            </w:rPr>
            <w:t xml:space="preserve">Tong, Y., Jian, T., Yuanbo, Q., &amp; Liujin, C. (2024). Carbon governance or trade gaming: China’s approach to addressing the EU’s carbon border adjustment mechanism. </w:t>
          </w:r>
          <w:r w:rsidRPr="009F0AE3">
            <w:rPr>
              <w:i/>
              <w:iCs/>
              <w:noProof/>
            </w:rPr>
            <w:t>Journal of Cleaner Production</w:t>
          </w:r>
          <w:r>
            <w:rPr>
              <w:noProof/>
            </w:rPr>
            <w:t>.</w:t>
          </w:r>
        </w:p>
        <w:p w14:paraId="14F99BA7" w14:textId="77777777" w:rsidR="00914DCC" w:rsidRDefault="00914DCC">
          <w:pPr>
            <w:pStyle w:val="ListeParagraf"/>
            <w:numPr>
              <w:ilvl w:val="0"/>
              <w:numId w:val="69"/>
            </w:numPr>
            <w:rPr>
              <w:noProof/>
            </w:rPr>
          </w:pPr>
          <w:r>
            <w:rPr>
              <w:noProof/>
            </w:rPr>
            <w:t xml:space="preserve">Türkiye Çevre, Şehircilik ve İklim Değişikliği Bakanlığı. (2022). </w:t>
          </w:r>
          <w:r w:rsidRPr="009F0AE3">
            <w:rPr>
              <w:i/>
              <w:iCs/>
              <w:noProof/>
            </w:rPr>
            <w:t>Birleşmiş Milletler İklim Değişikliği Çerçeve Sözleşmesi</w:t>
          </w:r>
          <w:r>
            <w:rPr>
              <w:noProof/>
            </w:rPr>
            <w:t>. Ekim 14, 2024 tarihinde https://iklim.gov.tr/bm-iklim-degisikligi-cerceve-sozlesmesi-i-33 adresinden alındı</w:t>
          </w:r>
        </w:p>
        <w:p w14:paraId="46D52012" w14:textId="77777777" w:rsidR="00914DCC" w:rsidRDefault="00914DCC">
          <w:pPr>
            <w:pStyle w:val="ListeParagraf"/>
            <w:numPr>
              <w:ilvl w:val="0"/>
              <w:numId w:val="69"/>
            </w:numPr>
            <w:rPr>
              <w:noProof/>
            </w:rPr>
          </w:pPr>
          <w:r>
            <w:rPr>
              <w:noProof/>
            </w:rPr>
            <w:t xml:space="preserve">United Nations Conference on Trade and Development – UNCTAD. (2021). </w:t>
          </w:r>
          <w:r w:rsidRPr="009F0AE3">
            <w:rPr>
              <w:i/>
              <w:iCs/>
              <w:noProof/>
            </w:rPr>
            <w:t>A European Union Carbon Border Adjustment Mechanism: Implications for developing countries.</w:t>
          </w:r>
          <w:r>
            <w:rPr>
              <w:noProof/>
            </w:rPr>
            <w:t xml:space="preserve"> United Nations (UNCTAD).</w:t>
          </w:r>
        </w:p>
        <w:p w14:paraId="793C3A89" w14:textId="576C9E46" w:rsidR="00914DCC" w:rsidRDefault="00914DCC">
          <w:pPr>
            <w:pStyle w:val="ListeParagraf"/>
            <w:numPr>
              <w:ilvl w:val="0"/>
              <w:numId w:val="69"/>
            </w:numPr>
            <w:rPr>
              <w:noProof/>
            </w:rPr>
          </w:pPr>
          <w:r>
            <w:rPr>
              <w:noProof/>
            </w:rPr>
            <w:t xml:space="preserve">Urazgaliev, V., Novikov, A., &amp; Menshikova , G. (2021). The global trend towards decarbonization of the economy, the introduction of the Carbon Border Adjustment Mechanism in the EU and the possible consequences for Russia. </w:t>
          </w:r>
          <w:r w:rsidRPr="009F0AE3">
            <w:rPr>
              <w:i/>
              <w:iCs/>
              <w:noProof/>
            </w:rPr>
            <w:t>lobalization and its Socio-Economic Consequences 2021.</w:t>
          </w:r>
        </w:p>
        <w:p w14:paraId="169E9E78" w14:textId="77777777" w:rsidR="00914DCC" w:rsidRDefault="00914DCC">
          <w:pPr>
            <w:pStyle w:val="ListeParagraf"/>
            <w:numPr>
              <w:ilvl w:val="0"/>
              <w:numId w:val="69"/>
            </w:numPr>
            <w:rPr>
              <w:noProof/>
            </w:rPr>
          </w:pPr>
          <w:r>
            <w:rPr>
              <w:noProof/>
            </w:rPr>
            <w:t xml:space="preserve">Uyduranoğlu , A., Gevrek, Z. E., &amp; Acar, S. (2023). Avrupa Yeşil Mutabakatı’na </w:t>
          </w:r>
          <w:r>
            <w:rPr>
              <w:noProof/>
            </w:rPr>
            <w:lastRenderedPageBreak/>
            <w:t xml:space="preserve">Uyum Çerçevesinde Türkiye’deki İşletmelerin Emisyon Ticaretine Verdikleri Desteği Etkileyen Faktörler. </w:t>
          </w:r>
          <w:r w:rsidRPr="009F0AE3">
            <w:rPr>
              <w:i/>
              <w:iCs/>
              <w:noProof/>
            </w:rPr>
            <w:t>Ankara Avrupa Çalışmaları Dergisi, 22</w:t>
          </w:r>
          <w:r>
            <w:rPr>
              <w:noProof/>
            </w:rPr>
            <w:t>(1), 257-289. Ekim 15, 2024 tarihinde https://dergipark.org.tr/tr/pub/aacd/issue/78953/1327099 adresinden alındı</w:t>
          </w:r>
        </w:p>
        <w:p w14:paraId="5E322F71" w14:textId="77777777" w:rsidR="00914DCC" w:rsidRDefault="00914DCC">
          <w:pPr>
            <w:pStyle w:val="ListeParagraf"/>
            <w:numPr>
              <w:ilvl w:val="0"/>
              <w:numId w:val="69"/>
            </w:numPr>
            <w:rPr>
              <w:noProof/>
            </w:rPr>
          </w:pPr>
          <w:r>
            <w:rPr>
              <w:noProof/>
            </w:rPr>
            <w:t xml:space="preserve">Uyduranoğlu-Öktem, A. (2008). Avrupa Birliği İklim Değişikliği Politikasında Yeni Bir Politika Aracı: Emisyon Ticareti. </w:t>
          </w:r>
          <w:r w:rsidRPr="009F0AE3">
            <w:rPr>
              <w:i/>
              <w:iCs/>
              <w:noProof/>
            </w:rPr>
            <w:t>Akademik İncelemeler, 3</w:t>
          </w:r>
          <w:r>
            <w:rPr>
              <w:noProof/>
            </w:rPr>
            <w:t>(1), 19-29.</w:t>
          </w:r>
        </w:p>
        <w:p w14:paraId="4652F7B0" w14:textId="77777777" w:rsidR="00914DCC" w:rsidRDefault="00914DCC">
          <w:pPr>
            <w:pStyle w:val="ListeParagraf"/>
            <w:numPr>
              <w:ilvl w:val="0"/>
              <w:numId w:val="69"/>
            </w:numPr>
            <w:rPr>
              <w:noProof/>
            </w:rPr>
          </w:pPr>
          <w:r>
            <w:rPr>
              <w:noProof/>
            </w:rPr>
            <w:t xml:space="preserve">World Bank. (2023). </w:t>
          </w:r>
          <w:r w:rsidRPr="009F0AE3">
            <w:rPr>
              <w:i/>
              <w:iCs/>
              <w:noProof/>
            </w:rPr>
            <w:t>State and Trends of Carbon Pricing 2023.</w:t>
          </w:r>
          <w:r>
            <w:rPr>
              <w:noProof/>
            </w:rPr>
            <w:t xml:space="preserve"> 2. Washington: World Bank. doi:10.1596/978-1-4648-2006-9</w:t>
          </w:r>
        </w:p>
        <w:p w14:paraId="77F4FB84" w14:textId="7D00BDCA" w:rsidR="00914DCC" w:rsidRDefault="00914DCC">
          <w:pPr>
            <w:pStyle w:val="ListeParagraf"/>
            <w:numPr>
              <w:ilvl w:val="0"/>
              <w:numId w:val="69"/>
            </w:numPr>
            <w:rPr>
              <w:noProof/>
            </w:rPr>
          </w:pPr>
          <w:r>
            <w:rPr>
              <w:noProof/>
            </w:rPr>
            <w:t xml:space="preserve">WorldBank, T.C. Çevre,Şehircilik ve İklim Değişikliği Bakanlığı. (2018). </w:t>
          </w:r>
          <w:r w:rsidRPr="009F0AE3">
            <w:rPr>
              <w:i/>
              <w:iCs/>
              <w:noProof/>
            </w:rPr>
            <w:t>Türkiye'de Karbon Fiyatlandırma Politikaları Kapsamında Karbon Kaçağı Riskinin Değerlendirilmesi .</w:t>
          </w:r>
        </w:p>
        <w:p w14:paraId="0C61FC54" w14:textId="1CA3EA75" w:rsidR="00914DCC" w:rsidRPr="000B709F" w:rsidRDefault="00000000" w:rsidP="0017453B"/>
      </w:sdtContent>
    </w:sdt>
    <w:p w14:paraId="53BD06C6" w14:textId="77777777" w:rsidR="00B4361D" w:rsidRPr="00D42316" w:rsidRDefault="00B4361D" w:rsidP="006871AB">
      <w:pPr>
        <w:rPr>
          <w:b/>
        </w:rPr>
      </w:pPr>
    </w:p>
    <w:p w14:paraId="1D2DFC3C" w14:textId="0AD383F4" w:rsidR="00963624" w:rsidRPr="00587C60" w:rsidRDefault="00587C60" w:rsidP="00587C60">
      <w:pPr>
        <w:autoSpaceDE/>
        <w:autoSpaceDN/>
        <w:rPr>
          <w:b/>
        </w:rPr>
      </w:pPr>
      <w:r>
        <w:rPr>
          <w:b/>
        </w:rPr>
        <w:br w:type="page"/>
      </w:r>
    </w:p>
    <w:p w14:paraId="66B9E604" w14:textId="77777777" w:rsidR="00F84AD5" w:rsidRPr="00D42316" w:rsidRDefault="00AC051C" w:rsidP="004C7694">
      <w:pPr>
        <w:pStyle w:val="Tark"/>
      </w:pPr>
      <w:bookmarkStart w:id="59" w:name="_Toc192855170"/>
      <w:r w:rsidRPr="00D42316">
        <w:lastRenderedPageBreak/>
        <w:t xml:space="preserve">Problemli İnternet Kullanımının </w:t>
      </w:r>
      <w:proofErr w:type="spellStart"/>
      <w:r w:rsidRPr="00D42316">
        <w:t>Yordayıcısı</w:t>
      </w:r>
      <w:proofErr w:type="spellEnd"/>
      <w:r w:rsidRPr="00D42316">
        <w:t xml:space="preserve"> Olarak Belirsizliğe Tahammülsüzlük ve </w:t>
      </w:r>
      <w:proofErr w:type="spellStart"/>
      <w:r w:rsidRPr="00D42316">
        <w:t>Siberkondria</w:t>
      </w:r>
      <w:proofErr w:type="spellEnd"/>
      <w:r w:rsidRPr="00D42316">
        <w:rPr>
          <w:vertAlign w:val="superscript"/>
        </w:rPr>
        <w:footnoteReference w:id="15"/>
      </w:r>
      <w:bookmarkEnd w:id="59"/>
    </w:p>
    <w:p w14:paraId="04BA0ABD" w14:textId="77777777" w:rsidR="00F84AD5" w:rsidRPr="00D42316" w:rsidRDefault="00F84AD5" w:rsidP="003B45CB">
      <w:pPr>
        <w:jc w:val="center"/>
      </w:pPr>
    </w:p>
    <w:p w14:paraId="703A9B9F" w14:textId="77777777" w:rsidR="00F84AD5" w:rsidRPr="00D42316" w:rsidRDefault="00AC051C" w:rsidP="003B45CB">
      <w:pPr>
        <w:jc w:val="center"/>
      </w:pPr>
      <w:r w:rsidRPr="00D42316">
        <w:t>Hilal Turan</w:t>
      </w:r>
      <w:r w:rsidRPr="00D42316">
        <w:br/>
        <w:t xml:space="preserve">Lisans Öğrencisi, Kırşehir Ahi Evran </w:t>
      </w:r>
      <w:proofErr w:type="gramStart"/>
      <w:r w:rsidRPr="00D42316">
        <w:t>Üniversitesi,  Rehberlik</w:t>
      </w:r>
      <w:proofErr w:type="gramEnd"/>
      <w:r w:rsidRPr="00D42316">
        <w:t xml:space="preserve"> ve Psikolojik Danışmanlık</w:t>
      </w:r>
      <w:r w:rsidRPr="00D42316">
        <w:br/>
        <w:t>hilallturann@outlook.com</w:t>
      </w:r>
      <w:r w:rsidRPr="00D42316">
        <w:br/>
      </w:r>
      <w:proofErr w:type="spellStart"/>
      <w:r w:rsidRPr="00D42316">
        <w:t>Orcid</w:t>
      </w:r>
      <w:proofErr w:type="spellEnd"/>
      <w:r w:rsidRPr="00D42316">
        <w:t xml:space="preserve"> ID: 0009-0007-6198-7928</w:t>
      </w:r>
    </w:p>
    <w:p w14:paraId="13710DFD" w14:textId="77777777" w:rsidR="00F84AD5" w:rsidRPr="00D42316" w:rsidRDefault="00F84AD5" w:rsidP="003B45CB">
      <w:pPr>
        <w:jc w:val="both"/>
      </w:pPr>
    </w:p>
    <w:p w14:paraId="733253B0" w14:textId="77777777" w:rsidR="00F84AD5" w:rsidRPr="00D42316" w:rsidRDefault="00AC051C" w:rsidP="003B45CB">
      <w:pPr>
        <w:jc w:val="center"/>
      </w:pPr>
      <w:r w:rsidRPr="00D42316">
        <w:t>Umay Bilge Baltacı</w:t>
      </w:r>
      <w:r w:rsidRPr="00D42316">
        <w:br/>
        <w:t xml:space="preserve">Dr. Öğr. Üyesi, Kırşehir Ahi Evran Üniversitesi, Rehberlik ve Psikolojik Danışmanlık </w:t>
      </w:r>
      <w:r w:rsidRPr="00D42316">
        <w:br/>
        <w:t>umaybilgee@gmail.com</w:t>
      </w:r>
      <w:r w:rsidRPr="00D42316">
        <w:br/>
      </w:r>
      <w:proofErr w:type="spellStart"/>
      <w:r w:rsidRPr="00D42316">
        <w:t>Orcid</w:t>
      </w:r>
      <w:proofErr w:type="spellEnd"/>
      <w:r w:rsidRPr="00D42316">
        <w:t xml:space="preserve"> ID: 0000-0001-7754-3415</w:t>
      </w:r>
    </w:p>
    <w:p w14:paraId="6CC16A4A" w14:textId="77777777" w:rsidR="00F84AD5" w:rsidRPr="00D42316" w:rsidRDefault="00F84AD5" w:rsidP="003B45CB">
      <w:pPr>
        <w:jc w:val="both"/>
      </w:pPr>
    </w:p>
    <w:p w14:paraId="531793B0" w14:textId="77777777" w:rsidR="00F84AD5" w:rsidRPr="00D42316" w:rsidRDefault="00AC051C" w:rsidP="003B45CB">
      <w:pPr>
        <w:jc w:val="center"/>
        <w:rPr>
          <w:b/>
        </w:rPr>
      </w:pPr>
      <w:r w:rsidRPr="00D42316">
        <w:rPr>
          <w:b/>
        </w:rPr>
        <w:t>Özet</w:t>
      </w:r>
    </w:p>
    <w:p w14:paraId="4A89BC0D" w14:textId="0C206ADA" w:rsidR="00F84AD5" w:rsidRPr="00D42316" w:rsidRDefault="00AC051C" w:rsidP="003B45CB">
      <w:pPr>
        <w:jc w:val="both"/>
      </w:pPr>
      <w:r w:rsidRPr="00D42316">
        <w:t xml:space="preserve">Bu araştırmada belirsizliğe tahammülsüzlüğün ve </w:t>
      </w:r>
      <w:proofErr w:type="spellStart"/>
      <w:r w:rsidRPr="00D42316">
        <w:t>siberkondrianın</w:t>
      </w:r>
      <w:proofErr w:type="spellEnd"/>
      <w:r w:rsidRPr="00D42316">
        <w:t xml:space="preserve"> problemli internet kullanımı üzerindeki </w:t>
      </w:r>
      <w:proofErr w:type="spellStart"/>
      <w:r w:rsidRPr="00D42316">
        <w:t>yordayıcı</w:t>
      </w:r>
      <w:proofErr w:type="spellEnd"/>
      <w:r w:rsidRPr="00D42316">
        <w:t xml:space="preserve"> gücünün incelenmesi amaçlanmıştır. Bu kapsamda iki araştırma sorusu oluşturulmuştur: 1. Problemli internet kullanımı ile belirsizliğe tahammülsüzlük ve </w:t>
      </w:r>
      <w:proofErr w:type="spellStart"/>
      <w:r w:rsidRPr="00D42316">
        <w:t>siberkodria</w:t>
      </w:r>
      <w:proofErr w:type="spellEnd"/>
      <w:r w:rsidRPr="00D42316">
        <w:t xml:space="preserve"> arasında anlamlı bir ilişki var mıdır? 2. Belirsizliğe tahammülsüzlük ve </w:t>
      </w:r>
      <w:proofErr w:type="spellStart"/>
      <w:r w:rsidRPr="00D42316">
        <w:t>siberkodria</w:t>
      </w:r>
      <w:proofErr w:type="spellEnd"/>
      <w:r w:rsidRPr="00D42316">
        <w:t xml:space="preserve"> problemli internet kullanımını anlamlı olarak </w:t>
      </w:r>
      <w:proofErr w:type="spellStart"/>
      <w:r w:rsidRPr="00D42316">
        <w:t>yordamakta</w:t>
      </w:r>
      <w:proofErr w:type="spellEnd"/>
      <w:r w:rsidRPr="00D42316">
        <w:t xml:space="preserve"> mıdır? Araştırmada değişkenler arası ilişki incelendiği için ilişkisel araştırma deseni kullanılmıştır. Çalışma grubunu 357 (%78.8) </w:t>
      </w:r>
      <w:proofErr w:type="gramStart"/>
      <w:r w:rsidRPr="00D42316">
        <w:t>kadın  ve</w:t>
      </w:r>
      <w:proofErr w:type="gramEnd"/>
      <w:r w:rsidRPr="00D42316">
        <w:t xml:space="preserve"> (%21.2) 96 erkek olmak üzere 453 üniversite öğrencisi oluşturmaktadır. Katılımcıların yaşları 18 ile 44 (ort:20.9, ss:1.86) arasında değişmektedir. Veri Toplama aracı olarak Problemli İnternet Kullanımı Ölçeği, Belirsizliğe Tahammülsüzlük </w:t>
      </w:r>
      <w:proofErr w:type="gramStart"/>
      <w:r w:rsidRPr="00D42316">
        <w:t xml:space="preserve">Ölçeği,  </w:t>
      </w:r>
      <w:proofErr w:type="spellStart"/>
      <w:r w:rsidRPr="00D42316">
        <w:t>Siberkondria</w:t>
      </w:r>
      <w:proofErr w:type="spellEnd"/>
      <w:proofErr w:type="gramEnd"/>
      <w:r w:rsidRPr="00D42316">
        <w:t xml:space="preserve"> Şiddeti Ölçeği-Kısa Formu ve Kişisel Bilgi Formu kullanılmıştır. Verilerin analizi </w:t>
      </w:r>
      <w:proofErr w:type="spellStart"/>
      <w:r w:rsidRPr="00D42316">
        <w:t>Jamovi</w:t>
      </w:r>
      <w:proofErr w:type="spellEnd"/>
      <w:r w:rsidRPr="00D42316">
        <w:t xml:space="preserve"> programıyla yapılmıştır. Araştırmada çalışma grubu ile </w:t>
      </w:r>
      <w:proofErr w:type="gramStart"/>
      <w:r w:rsidRPr="00D42316">
        <w:t>ilgili  demografik</w:t>
      </w:r>
      <w:proofErr w:type="gramEnd"/>
      <w:r w:rsidRPr="00D42316">
        <w:t xml:space="preserve"> bilgileri açıklamak için betimsel istatistikler, değişkenler arasındaki ilişkiyi açıklamak için </w:t>
      </w:r>
      <w:proofErr w:type="spellStart"/>
      <w:r w:rsidRPr="00D42316">
        <w:t>Pearson</w:t>
      </w:r>
      <w:proofErr w:type="spellEnd"/>
      <w:r w:rsidRPr="00D42316">
        <w:t xml:space="preserve"> korelasyon analizi, bağımsız değişkenlerin bağımlı değişken üzerindeki gücünü belirlemek için çoklu doğrusal regresyon analizi kullanılmıştır. Araştırma bulgularına bakıldığında problemli internet kullanımı ile belirsizliğe tahammülsüzlük ve </w:t>
      </w:r>
      <w:proofErr w:type="spellStart"/>
      <w:r w:rsidRPr="00D42316">
        <w:t>siberkodria</w:t>
      </w:r>
      <w:proofErr w:type="spellEnd"/>
      <w:r w:rsidRPr="00D42316">
        <w:t xml:space="preserve"> arasında anlamlı pozitif bir ilişki saptanmıştır. Belirsizliğe tahammülsüzlük ve </w:t>
      </w:r>
      <w:proofErr w:type="spellStart"/>
      <w:r w:rsidRPr="00D42316">
        <w:t>siberkodria</w:t>
      </w:r>
      <w:proofErr w:type="spellEnd"/>
      <w:r w:rsidRPr="00D42316">
        <w:t xml:space="preserve"> problemli internet kullanımını anlamlı düzeyde </w:t>
      </w:r>
      <w:proofErr w:type="spellStart"/>
      <w:r w:rsidRPr="00D42316">
        <w:t>yordamaktadır</w:t>
      </w:r>
      <w:proofErr w:type="spellEnd"/>
      <w:r w:rsidRPr="00D42316">
        <w:t xml:space="preserve">. Ayrıca ilgili beta katsayılarına bakıldığında en güçlü </w:t>
      </w:r>
      <w:proofErr w:type="spellStart"/>
      <w:r w:rsidRPr="00D42316">
        <w:t>yordayıcı</w:t>
      </w:r>
      <w:proofErr w:type="spellEnd"/>
      <w:r w:rsidRPr="00D42316">
        <w:t xml:space="preserve"> değişkenin belirsizliğe tahammülsüzlük olduğu ardından ise bunu </w:t>
      </w:r>
      <w:proofErr w:type="spellStart"/>
      <w:r w:rsidRPr="00D42316">
        <w:t>siberkondrianın</w:t>
      </w:r>
      <w:proofErr w:type="spellEnd"/>
      <w:r w:rsidRPr="00D42316">
        <w:t xml:space="preserve"> takip ettiği görülmektedir.  Araştırma bulguları ilgili </w:t>
      </w:r>
      <w:proofErr w:type="spellStart"/>
      <w:r w:rsidRPr="00D42316">
        <w:t>alanyazın</w:t>
      </w:r>
      <w:proofErr w:type="spellEnd"/>
      <w:r w:rsidRPr="00D42316">
        <w:t xml:space="preserve"> ışığında tartışılmış ve bulgulara dayalı olarak hem araştırmacılara hem de saha çalışmacılarına yönelik önerilere yer verilmiştir.</w:t>
      </w:r>
    </w:p>
    <w:p w14:paraId="210014E4" w14:textId="77777777" w:rsidR="00F84AD5" w:rsidRPr="00D42316" w:rsidRDefault="00F84AD5" w:rsidP="003B45CB">
      <w:pPr>
        <w:jc w:val="both"/>
      </w:pPr>
    </w:p>
    <w:p w14:paraId="0AFEC0C6" w14:textId="37B31CE4" w:rsidR="00587C60" w:rsidRDefault="00AC051C" w:rsidP="003B45CB">
      <w:pPr>
        <w:jc w:val="both"/>
      </w:pPr>
      <w:r w:rsidRPr="00D42316">
        <w:rPr>
          <w:b/>
        </w:rPr>
        <w:t xml:space="preserve">Anahtar </w:t>
      </w:r>
      <w:r w:rsidR="00963624" w:rsidRPr="00D42316">
        <w:rPr>
          <w:b/>
        </w:rPr>
        <w:t>Kelime</w:t>
      </w:r>
      <w:r w:rsidRPr="00D42316">
        <w:rPr>
          <w:b/>
        </w:rPr>
        <w:t xml:space="preserve">ler: </w:t>
      </w:r>
      <w:r w:rsidRPr="00D42316">
        <w:t xml:space="preserve">Problemli İnternet Kullanımı, Belirsizliğe Tahammülsüzlük, </w:t>
      </w:r>
      <w:proofErr w:type="spellStart"/>
      <w:r w:rsidRPr="00D42316">
        <w:t>Siberkondria</w:t>
      </w:r>
      <w:proofErr w:type="spellEnd"/>
    </w:p>
    <w:p w14:paraId="3081132E" w14:textId="531E03F4" w:rsidR="00F84AD5" w:rsidRPr="00D42316" w:rsidRDefault="00587C60" w:rsidP="00587C60">
      <w:pPr>
        <w:autoSpaceDE/>
        <w:autoSpaceDN/>
      </w:pPr>
      <w:r>
        <w:br w:type="page"/>
      </w:r>
    </w:p>
    <w:p w14:paraId="62C9A40D" w14:textId="52AFEC36" w:rsidR="00F84AD5" w:rsidRPr="00D42316" w:rsidRDefault="00AC051C" w:rsidP="004C7694">
      <w:pPr>
        <w:pStyle w:val="Tark"/>
      </w:pPr>
      <w:bookmarkStart w:id="60" w:name="_Toc192855171"/>
      <w:r w:rsidRPr="00D42316">
        <w:lastRenderedPageBreak/>
        <w:t>Dijital Oyun Bağımlılığının Öfke Düzeyini Yordama Gücünün İncelenmesi</w:t>
      </w:r>
      <w:bookmarkEnd w:id="60"/>
    </w:p>
    <w:p w14:paraId="6CA7667B" w14:textId="77777777" w:rsidR="00F84AD5" w:rsidRPr="00D42316" w:rsidRDefault="00F84AD5" w:rsidP="003B45CB">
      <w:pPr>
        <w:jc w:val="center"/>
      </w:pPr>
    </w:p>
    <w:p w14:paraId="6D135BC4" w14:textId="77777777" w:rsidR="00F84AD5" w:rsidRPr="00D42316" w:rsidRDefault="00AC051C" w:rsidP="003B45CB">
      <w:pPr>
        <w:jc w:val="center"/>
      </w:pPr>
      <w:r w:rsidRPr="00D42316">
        <w:t>Ceren Taşkıran</w:t>
      </w:r>
      <w:r w:rsidRPr="00D42316">
        <w:br/>
        <w:t>Lisans öğrencisi, Kırşehir Ahi Evran Üniversitesi, Eğitim Fakültesi, Eğitim Bilimleri Bölümü, cerenn.taskiran@icloud.com</w:t>
      </w:r>
      <w:r w:rsidRPr="00D42316">
        <w:br/>
        <w:t>ORCID ID: 0009-0009-7972-2842</w:t>
      </w:r>
    </w:p>
    <w:p w14:paraId="1AB45B60" w14:textId="77777777" w:rsidR="00F84AD5" w:rsidRPr="00D42316" w:rsidRDefault="00F84AD5" w:rsidP="003B45CB">
      <w:pPr>
        <w:jc w:val="both"/>
      </w:pPr>
    </w:p>
    <w:p w14:paraId="14223E61" w14:textId="77777777" w:rsidR="00F84AD5" w:rsidRPr="00D42316" w:rsidRDefault="00AC051C" w:rsidP="003B45CB">
      <w:pPr>
        <w:jc w:val="center"/>
      </w:pPr>
      <w:r w:rsidRPr="00D42316">
        <w:t>Gül Özüdoğru</w:t>
      </w:r>
      <w:r w:rsidRPr="00D42316">
        <w:br/>
        <w:t>Doç. Dr., Kırşehir Ahi Evran Üniversitesi, Eğitim Fakültesi, Eğitim Bilimleri Bölümü, gerturk@ahievran.edu.tr</w:t>
      </w:r>
      <w:r w:rsidRPr="00D42316">
        <w:br/>
        <w:t>ORCID ID: 0000-0002-5128-1258.</w:t>
      </w:r>
    </w:p>
    <w:p w14:paraId="00BFD42D" w14:textId="77777777" w:rsidR="00F84AD5" w:rsidRPr="00D42316" w:rsidRDefault="00F84AD5" w:rsidP="003B45CB">
      <w:pPr>
        <w:jc w:val="both"/>
      </w:pPr>
    </w:p>
    <w:p w14:paraId="5A3B7A05" w14:textId="77777777" w:rsidR="00F84AD5" w:rsidRPr="00D42316" w:rsidRDefault="00AC051C" w:rsidP="003B45CB">
      <w:pPr>
        <w:jc w:val="center"/>
        <w:rPr>
          <w:b/>
        </w:rPr>
      </w:pPr>
      <w:r w:rsidRPr="00D42316">
        <w:rPr>
          <w:b/>
        </w:rPr>
        <w:t>Özet</w:t>
      </w:r>
    </w:p>
    <w:p w14:paraId="36C4EA16" w14:textId="77777777" w:rsidR="00F84AD5" w:rsidRPr="00D42316" w:rsidRDefault="00AC051C" w:rsidP="003B45CB">
      <w:pPr>
        <w:jc w:val="both"/>
      </w:pPr>
      <w:r w:rsidRPr="00D42316">
        <w:t xml:space="preserve">Bu araştırmanın amacı öğretmen adaylarının dijital oyun bağımlılığının sürekli öfke düzeyini yordama gücünün araştırılmasıdır. Araştırmada nicel yöntemlerden ilişkisel tarama modeli kullanılmıştır. Araştırmanın katılımcıları bir devlet üniversitesinde öğrenim gören 629 öğretmen adayıdır. Veri toplama araçları kişisel bilgi formu, üniversite öğrencilerinde dijital oyun bağımlılığı ölçeği ve sürekli öfke ölçeğidir. Veriler etik ve kurum izni alındıktan sonra gönüllülük esaslı toplanmıştır. Verilerin analizinde betimsel istatistikler yanında ilişkisiz örneklemler t-testi, ANOVA, korelasyon analizi ve regresyon analizi kullanılmıştır. Araştırma sonucunda, öğretmen adaylarının dijital oyun bağımlılığı kapsamında değerlendirildiklerinde az riskli grupta oldukları görülmektedir. Dijital oyun bağımlılığı cinsiyet, öğrenim görülen program, günlük dijital oyun oynama sıklığı, en sık oynadığı dijital oyun türü, tercih ettiği dijital oyun oynama şekli ve tercih ettiği dijital oyun şekline göre anlamlı olarak farklılık göstermektedir. Dijital oyun bağımlılıkları sınıf düzeyine göre ise anlamlı farklılık göstermemektedir. Öğretmen adaylarının sürekli öfke düzeyleri X̅=21,32’dir. Sürekli öfke düzeyleri en sık oynadığı dijital oyun türü, tercih ettiği dijital oyun oynama şekli ve tercih ettiği dijital oyun şekline göre anlamlı farklılık göstermektedir. Sürekli öfke düzeyleri cinsiyet, sınıf düzeyi, öğrenim görülen bölüm, günlük dijital oyun oynama sıklığına göre ise anlamlı farklılık göstermemektedir. Dijital oyun bağımlılıkları ile sürekli öfke düzeyleri arasında pozitif yönde, düşük düzeyde, anlamlı ilişki olduğu görülmüştür. Dijital oyun bağımlılığının sürekli öfke düzeyi üzerinde anlamlı bir </w:t>
      </w:r>
      <w:proofErr w:type="spellStart"/>
      <w:r w:rsidRPr="00D42316">
        <w:t>yordayıcı</w:t>
      </w:r>
      <w:proofErr w:type="spellEnd"/>
      <w:r w:rsidRPr="00D42316">
        <w:t xml:space="preserve"> olduğu bulgusu elde edilmiştir.</w:t>
      </w:r>
    </w:p>
    <w:p w14:paraId="3B550BE2" w14:textId="77777777" w:rsidR="00F84AD5" w:rsidRPr="00D42316" w:rsidRDefault="00F84AD5" w:rsidP="003B45CB">
      <w:pPr>
        <w:jc w:val="both"/>
      </w:pPr>
    </w:p>
    <w:p w14:paraId="48B5B84A" w14:textId="168C6954" w:rsidR="00F84AD5" w:rsidRPr="00D42316" w:rsidRDefault="00AC051C" w:rsidP="003B45CB">
      <w:pPr>
        <w:jc w:val="both"/>
      </w:pPr>
      <w:r w:rsidRPr="00D42316">
        <w:rPr>
          <w:b/>
        </w:rPr>
        <w:t xml:space="preserve">Anahtar </w:t>
      </w:r>
      <w:r w:rsidR="00D42316">
        <w:rPr>
          <w:b/>
        </w:rPr>
        <w:t>Kelimeler</w:t>
      </w:r>
      <w:r w:rsidRPr="00D42316">
        <w:rPr>
          <w:b/>
        </w:rPr>
        <w:t>:</w:t>
      </w:r>
      <w:r w:rsidRPr="00D42316">
        <w:t xml:space="preserve"> Dijital oyun </w:t>
      </w:r>
      <w:proofErr w:type="spellStart"/>
      <w:r w:rsidRPr="00D42316">
        <w:t>bağımlılılığı</w:t>
      </w:r>
      <w:proofErr w:type="spellEnd"/>
      <w:r w:rsidRPr="00D42316">
        <w:t xml:space="preserve">; Sürekli öfke </w:t>
      </w:r>
      <w:proofErr w:type="gramStart"/>
      <w:r w:rsidRPr="00D42316">
        <w:t>düzeyi;</w:t>
      </w:r>
      <w:proofErr w:type="gramEnd"/>
      <w:r w:rsidRPr="00D42316">
        <w:t xml:space="preserve"> Öğretmen adayı</w:t>
      </w:r>
    </w:p>
    <w:p w14:paraId="7E6BCAE4" w14:textId="77777777" w:rsidR="00F84AD5" w:rsidRPr="00D42316" w:rsidRDefault="00F84AD5" w:rsidP="003B45CB">
      <w:pPr>
        <w:jc w:val="both"/>
      </w:pPr>
    </w:p>
    <w:p w14:paraId="2C2C88D7" w14:textId="26402AA5" w:rsidR="00587C60" w:rsidRDefault="00AC051C" w:rsidP="003B45CB">
      <w:pPr>
        <w:jc w:val="both"/>
      </w:pPr>
      <w:r w:rsidRPr="00D42316">
        <w:rPr>
          <w:b/>
        </w:rPr>
        <w:t>Not:</w:t>
      </w:r>
      <w:r w:rsidRPr="00D42316">
        <w:t xml:space="preserve"> Bu araştırma 2209-A Üniversite Öğrencileri Araştırma Projeleri Destekleme Programı kapsamında desteklenmiştir.</w:t>
      </w:r>
    </w:p>
    <w:p w14:paraId="438A6E08" w14:textId="26F1A144" w:rsidR="00F84AD5" w:rsidRPr="00D42316" w:rsidRDefault="00587C60" w:rsidP="00587C60">
      <w:pPr>
        <w:autoSpaceDE/>
        <w:autoSpaceDN/>
      </w:pPr>
      <w:r>
        <w:br w:type="page"/>
      </w:r>
    </w:p>
    <w:p w14:paraId="30ABFF26" w14:textId="77777777" w:rsidR="00F84AD5" w:rsidRPr="00D42316" w:rsidRDefault="00AC051C" w:rsidP="004C7694">
      <w:pPr>
        <w:pStyle w:val="Tark"/>
      </w:pPr>
      <w:bookmarkStart w:id="61" w:name="_Toc192855172"/>
      <w:r w:rsidRPr="00D42316">
        <w:lastRenderedPageBreak/>
        <w:t>Mantıksal / Matematiksel Zekâ ve Başarı Arasındaki İlişki: Bir Meta – Analiz Çalışması</w:t>
      </w:r>
      <w:bookmarkEnd w:id="61"/>
    </w:p>
    <w:p w14:paraId="51683144" w14:textId="77777777" w:rsidR="00F84AD5" w:rsidRPr="00D42316" w:rsidRDefault="00F84AD5" w:rsidP="003B45CB">
      <w:pPr>
        <w:jc w:val="center"/>
      </w:pPr>
    </w:p>
    <w:p w14:paraId="44CC7799" w14:textId="2F5EF5F0" w:rsidR="00F84AD5" w:rsidRPr="00D42316" w:rsidRDefault="00AC051C" w:rsidP="003B45CB">
      <w:pPr>
        <w:jc w:val="center"/>
      </w:pPr>
      <w:r w:rsidRPr="00D42316">
        <w:t>Fatma Öztürk Güler</w:t>
      </w:r>
      <w:r w:rsidRPr="00D42316">
        <w:rPr>
          <w:vertAlign w:val="superscript"/>
        </w:rPr>
        <w:t>1</w:t>
      </w:r>
      <w:r w:rsidRPr="00D42316">
        <w:br/>
        <w:t>Bağımsız Araştırmacı, Uzman İngilizce Öğretmeni. Doktora Terk, Gazi Üniversitesi, Eğitim Bilimleri Enstitüsü, Eğitimde Ölçme ve Değerlendirme Anabilim Dalı</w:t>
      </w:r>
      <w:r w:rsidRPr="00D42316">
        <w:rPr>
          <w:vertAlign w:val="superscript"/>
        </w:rPr>
        <w:footnoteReference w:id="16"/>
      </w:r>
      <w:r w:rsidRPr="00D42316">
        <w:br/>
        <w:t>ftm__oztrk@hotmail.com</w:t>
      </w:r>
      <w:r w:rsidRPr="00D42316">
        <w:br/>
        <w:t>0000 0001 5576 4372</w:t>
      </w:r>
    </w:p>
    <w:p w14:paraId="731503EB" w14:textId="77777777" w:rsidR="00F84AD5" w:rsidRPr="00D42316" w:rsidRDefault="00F84AD5" w:rsidP="003B45CB">
      <w:pPr>
        <w:jc w:val="both"/>
      </w:pPr>
    </w:p>
    <w:p w14:paraId="08443853" w14:textId="77777777" w:rsidR="00F84AD5" w:rsidRPr="00D42316" w:rsidRDefault="00AC051C" w:rsidP="003B45CB">
      <w:pPr>
        <w:jc w:val="center"/>
        <w:rPr>
          <w:b/>
        </w:rPr>
      </w:pPr>
      <w:r w:rsidRPr="00D42316">
        <w:rPr>
          <w:b/>
        </w:rPr>
        <w:t>Özet</w:t>
      </w:r>
    </w:p>
    <w:p w14:paraId="507AAB81" w14:textId="4FF32356" w:rsidR="00F84AD5" w:rsidRPr="00D42316" w:rsidRDefault="00AC051C" w:rsidP="003B45CB">
      <w:pPr>
        <w:jc w:val="both"/>
      </w:pPr>
      <w:r w:rsidRPr="00D42316">
        <w:t xml:space="preserve">Bu araştırmanın amacı, </w:t>
      </w:r>
      <w:proofErr w:type="spellStart"/>
      <w:r w:rsidRPr="00D42316">
        <w:t>Gardner’ın</w:t>
      </w:r>
      <w:proofErr w:type="spellEnd"/>
      <w:r w:rsidRPr="00D42316">
        <w:t xml:space="preserve"> çoklu zekâ türlerinden mantıksal / matematiksel zekâ türü ve başarı arasındaki ilişkinin ortalama etki büyüklüğünün belirlenmesidir. Bu amaç doğrultusunda, 2020-2024 yılları arasında, belirtilen ilişkiyi belirlemeye dönük çalışmaların meta- analizi yapılmıştır. Meta-analiz çalışmasına mantıksal / matematiksel zekâ ve başarı arasındaki ilişki açısından 24 (</w:t>
      </w:r>
      <w:proofErr w:type="spellStart"/>
      <w:r w:rsidRPr="00D42316">
        <w:t>N</w:t>
      </w:r>
      <w:r w:rsidRPr="00D42316">
        <w:rPr>
          <w:vertAlign w:val="subscript"/>
        </w:rPr>
        <w:t>toplam</w:t>
      </w:r>
      <w:proofErr w:type="spellEnd"/>
      <w:r w:rsidRPr="00D42316">
        <w:t xml:space="preserve">=7355) araştırma dâhil edilmiştir. Meta-analize dâhil edilen çalışmalar, Ankara, Antalya, Bayburt, Bursa, Çanakkale, Denizli, Diyarbakır, Erzurum, Eskişehir, İstanbul, Kahramanmaraş, Konya, Muğla, Sivas, Trabzon illerinde gerçekleştirilen araştırmalardan oluşmaktadır. Yayım yanlılığı için incelenen huni saçılım grafikleri, </w:t>
      </w:r>
      <w:proofErr w:type="spellStart"/>
      <w:r w:rsidRPr="00D42316">
        <w:t>Duval</w:t>
      </w:r>
      <w:proofErr w:type="spellEnd"/>
      <w:r w:rsidRPr="00D42316">
        <w:t xml:space="preserve"> ve </w:t>
      </w:r>
      <w:proofErr w:type="spellStart"/>
      <w:r w:rsidRPr="00D42316">
        <w:t>Tweedie</w:t>
      </w:r>
      <w:proofErr w:type="spellEnd"/>
      <w:r w:rsidRPr="00D42316">
        <w:t xml:space="preserve"> kırp ve doldur yöntemi, </w:t>
      </w:r>
      <w:proofErr w:type="spellStart"/>
      <w:r w:rsidRPr="00D42316">
        <w:t>Begg</w:t>
      </w:r>
      <w:proofErr w:type="spellEnd"/>
      <w:r w:rsidRPr="00D42316">
        <w:t xml:space="preserve"> ve </w:t>
      </w:r>
      <w:proofErr w:type="spellStart"/>
      <w:r w:rsidRPr="00D42316">
        <w:t>Mazumdar</w:t>
      </w:r>
      <w:proofErr w:type="spellEnd"/>
      <w:r w:rsidRPr="00D42316">
        <w:t xml:space="preserve"> sıra korelasyonlarına ait Kendall’ın </w:t>
      </w:r>
      <w:proofErr w:type="spellStart"/>
      <w:r w:rsidRPr="00D42316">
        <w:t>Tau</w:t>
      </w:r>
      <w:proofErr w:type="spellEnd"/>
      <w:r w:rsidRPr="00D42316">
        <w:t xml:space="preserve"> b katsayı değerleri, Klasik Güvenli N analizi ve </w:t>
      </w:r>
      <w:proofErr w:type="spellStart"/>
      <w:r w:rsidRPr="00D42316">
        <w:t>Egger</w:t>
      </w:r>
      <w:proofErr w:type="spellEnd"/>
      <w:r w:rsidRPr="00D42316">
        <w:t xml:space="preserve"> regresyon testi, meta-analizde yayım yanlılığının olmadığına işaret etmektedir. Rastgele etkiler modeline göre gerçekleştirilen etki büyüklüğü analizlerinde, Fisher ɀ katsayısı kullanılmıştır. Araştırma sonucunda, mantıksal / matematiksel zekâ ve başarı arasındaki ilişkinin (r= ,462) orta düzeyde olduğu belirlenmiştir.</w:t>
      </w:r>
    </w:p>
    <w:p w14:paraId="28C50059" w14:textId="77777777" w:rsidR="00963624" w:rsidRPr="00D42316" w:rsidRDefault="00963624" w:rsidP="003B45CB">
      <w:pPr>
        <w:jc w:val="both"/>
      </w:pPr>
    </w:p>
    <w:p w14:paraId="0D126409" w14:textId="2B0F41EB" w:rsidR="00587C60" w:rsidRDefault="00AC051C" w:rsidP="003B45CB">
      <w:pPr>
        <w:jc w:val="both"/>
      </w:pPr>
      <w:r w:rsidRPr="00D42316">
        <w:rPr>
          <w:b/>
        </w:rPr>
        <w:t xml:space="preserve">Anahtar </w:t>
      </w:r>
      <w:r w:rsidR="00B4361D" w:rsidRPr="00D42316">
        <w:rPr>
          <w:b/>
        </w:rPr>
        <w:t>Kelime</w:t>
      </w:r>
      <w:r w:rsidRPr="00D42316">
        <w:rPr>
          <w:b/>
        </w:rPr>
        <w:t>ler:</w:t>
      </w:r>
      <w:r w:rsidRPr="00D42316">
        <w:t xml:space="preserve"> mantıksal, matematiksel, zekâ, mantıksal zekâ, matematiksel zekâ, başarı</w:t>
      </w:r>
    </w:p>
    <w:p w14:paraId="1BD19CD7" w14:textId="65AABA70" w:rsidR="00B4361D" w:rsidRPr="00D42316" w:rsidRDefault="00587C60" w:rsidP="003B45CB">
      <w:pPr>
        <w:autoSpaceDE/>
        <w:autoSpaceDN/>
      </w:pPr>
      <w:r>
        <w:br w:type="page"/>
      </w:r>
    </w:p>
    <w:p w14:paraId="33C5B682" w14:textId="2DBA709C" w:rsidR="00F84AD5" w:rsidRDefault="00AC051C" w:rsidP="004C7694">
      <w:pPr>
        <w:pStyle w:val="Tark"/>
      </w:pPr>
      <w:bookmarkStart w:id="62" w:name="_Toc192855173"/>
      <w:r w:rsidRPr="00D42316">
        <w:lastRenderedPageBreak/>
        <w:t>Türkiye’nin Akıllı Şehirler Politikasına AB Destekleri ve Yeterliliği</w:t>
      </w:r>
      <w:bookmarkEnd w:id="62"/>
    </w:p>
    <w:p w14:paraId="2674E11D" w14:textId="77777777" w:rsidR="003B45CB" w:rsidRPr="003B45CB" w:rsidRDefault="003B45CB" w:rsidP="003B45CB">
      <w:pPr>
        <w:pStyle w:val="Metin"/>
      </w:pPr>
    </w:p>
    <w:p w14:paraId="42F760A2" w14:textId="0960ACB7" w:rsidR="00F84AD5" w:rsidRPr="00D42316" w:rsidRDefault="00AC051C" w:rsidP="003B45CB">
      <w:pPr>
        <w:jc w:val="center"/>
      </w:pPr>
      <w:r w:rsidRPr="00D42316">
        <w:t>Fatih Yüksel</w:t>
      </w:r>
      <w:r w:rsidRPr="00D42316">
        <w:br/>
        <w:t xml:space="preserve">Kastamonu Üniversitesi, Sosyal Bilimler Enstitüsü, Uluslararası İlişkiler Anabilim </w:t>
      </w:r>
      <w:proofErr w:type="spellStart"/>
      <w:proofErr w:type="gramStart"/>
      <w:r w:rsidRPr="00D42316">
        <w:t>Dalı,Yüksek</w:t>
      </w:r>
      <w:proofErr w:type="spellEnd"/>
      <w:proofErr w:type="gramEnd"/>
      <w:r w:rsidRPr="00D42316">
        <w:t xml:space="preserve"> Lisans Öğrencisi</w:t>
      </w:r>
      <w:r w:rsidRPr="00D42316">
        <w:br/>
      </w:r>
      <w:hyperlink r:id="rId115" w:history="1">
        <w:r w:rsidR="00963624" w:rsidRPr="00D42316">
          <w:rPr>
            <w:rStyle w:val="Kpr"/>
          </w:rPr>
          <w:t>yuksel.fatihh.37@gmail.com</w:t>
        </w:r>
      </w:hyperlink>
    </w:p>
    <w:p w14:paraId="3543561F" w14:textId="77777777" w:rsidR="00963624" w:rsidRPr="00D42316" w:rsidRDefault="00963624" w:rsidP="003B45CB">
      <w:pPr>
        <w:jc w:val="center"/>
      </w:pPr>
    </w:p>
    <w:p w14:paraId="274304AA" w14:textId="77777777" w:rsidR="00F84AD5" w:rsidRPr="00D42316" w:rsidRDefault="00AC051C" w:rsidP="003B45CB">
      <w:pPr>
        <w:jc w:val="center"/>
        <w:rPr>
          <w:b/>
        </w:rPr>
      </w:pPr>
      <w:r w:rsidRPr="00D42316">
        <w:rPr>
          <w:b/>
        </w:rPr>
        <w:t>Özet</w:t>
      </w:r>
    </w:p>
    <w:p w14:paraId="5116B11E" w14:textId="77777777" w:rsidR="00F84AD5" w:rsidRPr="00D42316" w:rsidRDefault="00AC051C" w:rsidP="003B45CB">
      <w:pPr>
        <w:jc w:val="both"/>
      </w:pPr>
      <w:r w:rsidRPr="00D42316">
        <w:t xml:space="preserve">Şehir nüfuslarının artması </w:t>
      </w:r>
      <w:proofErr w:type="gramStart"/>
      <w:r w:rsidRPr="00D42316">
        <w:t>ile birlikte</w:t>
      </w:r>
      <w:proofErr w:type="gramEnd"/>
      <w:r w:rsidRPr="00D42316">
        <w:t xml:space="preserve"> şehirlerde karşılaşılan sorun ve ihtiyaçlar artmakta ve artan nüfusa karşılık hizmet beklenmektedir. Nüfus artışları </w:t>
      </w:r>
      <w:proofErr w:type="gramStart"/>
      <w:r w:rsidRPr="00D42316">
        <w:t>ile birlikte</w:t>
      </w:r>
      <w:proofErr w:type="gramEnd"/>
      <w:r w:rsidRPr="00D42316">
        <w:t xml:space="preserve"> hem şehir ihtiyaçları (altyapı, üstyapı) hem de birey ihtiyaçları baş göstermektedir. Bütün bu ihtiyaçlara cevap verebilecek sistemlerin geliştirilmesi, uygulanması ve sürdürülebilir hale gelmesi için belirli bir zaman gerekmektedir. İşte bu noktada teknoloji ön plana çıkmaktadır. Özellikle bireylerin ihtiyaçlarının karşılanması ve şehirlerin bireylere sunacağı hizmetlere yönelik çözümler üretmekte son derece önemli olmaktadır. Kullanılan teknoloji, veri analitiğini kullanarak yaşam kalitesini artırıcı yönde altyapı, ulaşım sistemleri, enerji kullanımı, atık yönetimi gibi birçok alandaki hizmeti, sensor ve cihazlar ile izleyerek daha yaşanabilir akıllı şehirlerin ortaya çıkmasında önemli bir rol oynamaktadır. Aynı zamanda bireylerin de bu süreçte çözüme ortak olması sağlanmaktadır. Kısaca akıllı şehirler, trafik yoğunluğunda azalma, enerji tasarrufu, çevre dostu uygulamalar geliştirme, akıllı sağlık hizmetleri, eğitim sistemleri ve güvenlik gibi birçok alanda yaşam kalitesini artırmayı hedefler. Ülkemizde akıllı şehirler politikasına yönelik 2020 yılında Ulusal Akıllı Şehirler Stratejisi ve Eylem Planı’nın ilki hazırlanmış olup, bu plan çerçevesinde Avrupa Birliği’ne (AB) uyum sürecinde toplumsal farkındalığın artırılması hedeflenmektedir. Bu çalışmada, AB’ye tam üyelik sürecindeki Türkiye’nin akıllı şehirler politikasına AB’nin ne derece destek verdiği ve bu desteklerin ne kadar yeterli olduğu değerlendirilmeye çalışılacaktır. Şehirlerin, akıllı şehir statüsüne gelebilmesi için hizmet alanlarındaki sistemlerin teknoloji ile entegrasyonu sağlanması elzemdir. Bu entegrasyon sürecine bireylerin dahil edilmesi (anket, öneri vb.), sürdürülebilir bir yaşamın kapılarını açacaktır.</w:t>
      </w:r>
    </w:p>
    <w:p w14:paraId="6E95B10D" w14:textId="77777777" w:rsidR="00F84AD5" w:rsidRPr="00D42316" w:rsidRDefault="00F84AD5" w:rsidP="003B45CB">
      <w:pPr>
        <w:pBdr>
          <w:top w:val="nil"/>
          <w:left w:val="nil"/>
          <w:bottom w:val="nil"/>
          <w:right w:val="nil"/>
          <w:between w:val="nil"/>
        </w:pBdr>
        <w:ind w:left="23" w:right="38"/>
        <w:jc w:val="both"/>
        <w:rPr>
          <w:color w:val="000000"/>
        </w:rPr>
      </w:pPr>
    </w:p>
    <w:p w14:paraId="7FB621CD" w14:textId="1A9AED9C" w:rsidR="00587C60" w:rsidRDefault="00AC051C" w:rsidP="003B45CB">
      <w:pPr>
        <w:pBdr>
          <w:top w:val="nil"/>
          <w:left w:val="nil"/>
          <w:bottom w:val="nil"/>
          <w:right w:val="nil"/>
          <w:between w:val="nil"/>
        </w:pBdr>
        <w:ind w:left="23" w:right="41"/>
        <w:jc w:val="both"/>
        <w:rPr>
          <w:color w:val="000000"/>
        </w:rPr>
      </w:pPr>
      <w:r w:rsidRPr="00D42316">
        <w:rPr>
          <w:b/>
          <w:color w:val="000000"/>
        </w:rPr>
        <w:t xml:space="preserve">Anahtar </w:t>
      </w:r>
      <w:r w:rsidR="00D42316">
        <w:rPr>
          <w:b/>
          <w:color w:val="000000"/>
        </w:rPr>
        <w:t>Kelimeler</w:t>
      </w:r>
      <w:r w:rsidRPr="00D42316">
        <w:rPr>
          <w:b/>
          <w:color w:val="000000"/>
        </w:rPr>
        <w:t xml:space="preserve">: </w:t>
      </w:r>
      <w:r w:rsidRPr="00D42316">
        <w:rPr>
          <w:color w:val="000000"/>
        </w:rPr>
        <w:t>Avrupa Birliği, Türkiye, Akıllı Şehirler, Akıllı Şehirler Politikası, Kaliteli Yaşam.</w:t>
      </w:r>
    </w:p>
    <w:p w14:paraId="7FAFEC54" w14:textId="11B1932D" w:rsidR="006871AB" w:rsidRPr="00587C60" w:rsidRDefault="00587C60" w:rsidP="003B45CB">
      <w:pPr>
        <w:autoSpaceDE/>
        <w:autoSpaceDN/>
        <w:rPr>
          <w:color w:val="000000"/>
        </w:rPr>
      </w:pPr>
      <w:r>
        <w:rPr>
          <w:color w:val="000000"/>
        </w:rPr>
        <w:br w:type="page"/>
      </w:r>
    </w:p>
    <w:p w14:paraId="4D1D3AFE" w14:textId="77777777" w:rsidR="00F84AD5" w:rsidRPr="00D42316" w:rsidRDefault="00AC051C" w:rsidP="004C7694">
      <w:pPr>
        <w:pStyle w:val="Tark"/>
      </w:pPr>
      <w:bookmarkStart w:id="63" w:name="_Toc192855174"/>
      <w:r w:rsidRPr="00D42316">
        <w:lastRenderedPageBreak/>
        <w:t xml:space="preserve">EU </w:t>
      </w:r>
      <w:proofErr w:type="spellStart"/>
      <w:r w:rsidRPr="00D42316">
        <w:t>Support</w:t>
      </w:r>
      <w:proofErr w:type="spellEnd"/>
      <w:r w:rsidRPr="00D42316">
        <w:t xml:space="preserve"> </w:t>
      </w:r>
      <w:proofErr w:type="spellStart"/>
      <w:r w:rsidRPr="00D42316">
        <w:t>to</w:t>
      </w:r>
      <w:proofErr w:type="spellEnd"/>
      <w:r w:rsidRPr="00D42316">
        <w:t xml:space="preserve"> </w:t>
      </w:r>
      <w:proofErr w:type="spellStart"/>
      <w:r w:rsidRPr="00D42316">
        <w:t>Turkey's</w:t>
      </w:r>
      <w:proofErr w:type="spellEnd"/>
      <w:r w:rsidRPr="00D42316">
        <w:t xml:space="preserve"> Smart </w:t>
      </w:r>
      <w:proofErr w:type="spellStart"/>
      <w:r w:rsidRPr="00D42316">
        <w:t>Cities</w:t>
      </w:r>
      <w:proofErr w:type="spellEnd"/>
      <w:r w:rsidRPr="00D42316">
        <w:t xml:space="preserve"> </w:t>
      </w:r>
      <w:proofErr w:type="spellStart"/>
      <w:r w:rsidRPr="00D42316">
        <w:t>Policy</w:t>
      </w:r>
      <w:proofErr w:type="spellEnd"/>
      <w:r w:rsidRPr="00D42316">
        <w:t xml:space="preserve"> </w:t>
      </w:r>
      <w:proofErr w:type="spellStart"/>
      <w:r w:rsidRPr="00D42316">
        <w:t>and</w:t>
      </w:r>
      <w:proofErr w:type="spellEnd"/>
      <w:r w:rsidRPr="00D42316">
        <w:t xml:space="preserve"> </w:t>
      </w:r>
      <w:proofErr w:type="spellStart"/>
      <w:r w:rsidRPr="00D42316">
        <w:t>its</w:t>
      </w:r>
      <w:proofErr w:type="spellEnd"/>
      <w:r w:rsidRPr="00D42316">
        <w:t xml:space="preserve"> </w:t>
      </w:r>
      <w:proofErr w:type="spellStart"/>
      <w:r w:rsidRPr="00D42316">
        <w:t>Adequacy</w:t>
      </w:r>
      <w:bookmarkEnd w:id="63"/>
      <w:proofErr w:type="spellEnd"/>
    </w:p>
    <w:p w14:paraId="756CF883" w14:textId="77777777" w:rsidR="00F84AD5" w:rsidRPr="00D42316" w:rsidRDefault="00F84AD5" w:rsidP="003B45CB">
      <w:pPr>
        <w:jc w:val="center"/>
      </w:pPr>
    </w:p>
    <w:p w14:paraId="7086BC69" w14:textId="4205A43D" w:rsidR="00F84AD5" w:rsidRPr="00D42316" w:rsidRDefault="00AC051C" w:rsidP="003B45CB">
      <w:pPr>
        <w:jc w:val="center"/>
      </w:pPr>
      <w:r w:rsidRPr="00D42316">
        <w:t>Fatih Yüksel</w:t>
      </w:r>
    </w:p>
    <w:p w14:paraId="7BF70E0A" w14:textId="77777777" w:rsidR="00F84AD5" w:rsidRPr="00D42316" w:rsidRDefault="00AC051C" w:rsidP="003B45CB">
      <w:pPr>
        <w:jc w:val="center"/>
      </w:pPr>
      <w:r w:rsidRPr="00D42316">
        <w:t xml:space="preserve">Kastamonu </w:t>
      </w:r>
      <w:proofErr w:type="spellStart"/>
      <w:r w:rsidRPr="00D42316">
        <w:t>University</w:t>
      </w:r>
      <w:proofErr w:type="spellEnd"/>
      <w:r w:rsidRPr="00D42316">
        <w:t xml:space="preserve">, </w:t>
      </w:r>
      <w:proofErr w:type="spellStart"/>
      <w:r w:rsidRPr="00D42316">
        <w:t>Institute</w:t>
      </w:r>
      <w:proofErr w:type="spellEnd"/>
      <w:r w:rsidRPr="00D42316">
        <w:t xml:space="preserve"> of </w:t>
      </w:r>
      <w:proofErr w:type="spellStart"/>
      <w:r w:rsidRPr="00D42316">
        <w:t>Social</w:t>
      </w:r>
      <w:proofErr w:type="spellEnd"/>
      <w:r w:rsidRPr="00D42316">
        <w:t xml:space="preserve"> </w:t>
      </w:r>
      <w:proofErr w:type="spellStart"/>
      <w:r w:rsidRPr="00D42316">
        <w:t>Sciences</w:t>
      </w:r>
      <w:proofErr w:type="spellEnd"/>
      <w:r w:rsidRPr="00D42316">
        <w:t xml:space="preserve">, </w:t>
      </w:r>
      <w:proofErr w:type="spellStart"/>
      <w:r w:rsidRPr="00D42316">
        <w:t>Department</w:t>
      </w:r>
      <w:proofErr w:type="spellEnd"/>
      <w:r w:rsidRPr="00D42316">
        <w:t xml:space="preserve"> of International </w:t>
      </w:r>
      <w:proofErr w:type="spellStart"/>
      <w:r w:rsidRPr="00D42316">
        <w:t>Relations</w:t>
      </w:r>
      <w:proofErr w:type="spellEnd"/>
      <w:r w:rsidRPr="00D42316">
        <w:t xml:space="preserve">, </w:t>
      </w:r>
      <w:proofErr w:type="spellStart"/>
      <w:r w:rsidRPr="00D42316">
        <w:t>Master's</w:t>
      </w:r>
      <w:proofErr w:type="spellEnd"/>
      <w:r w:rsidRPr="00D42316">
        <w:t xml:space="preserve"> </w:t>
      </w:r>
      <w:proofErr w:type="spellStart"/>
      <w:r w:rsidRPr="00D42316">
        <w:t>Degree</w:t>
      </w:r>
      <w:proofErr w:type="spellEnd"/>
      <w:r w:rsidRPr="00D42316">
        <w:t xml:space="preserve"> </w:t>
      </w:r>
      <w:proofErr w:type="spellStart"/>
      <w:r w:rsidRPr="00D42316">
        <w:t>Student</w:t>
      </w:r>
      <w:proofErr w:type="spellEnd"/>
    </w:p>
    <w:p w14:paraId="4FE28640" w14:textId="77777777" w:rsidR="00F84AD5" w:rsidRPr="00D42316" w:rsidRDefault="00AC051C" w:rsidP="003B45CB">
      <w:pPr>
        <w:jc w:val="center"/>
      </w:pPr>
      <w:r w:rsidRPr="00D42316">
        <w:t>yuksel.fatihh.37@gmail.com</w:t>
      </w:r>
    </w:p>
    <w:p w14:paraId="40451F64" w14:textId="77777777" w:rsidR="00F84AD5" w:rsidRPr="00D42316" w:rsidRDefault="00F84AD5" w:rsidP="003B45CB">
      <w:pPr>
        <w:jc w:val="both"/>
      </w:pPr>
    </w:p>
    <w:p w14:paraId="36D20683" w14:textId="77777777" w:rsidR="00F84AD5" w:rsidRPr="00D42316" w:rsidRDefault="00AC051C" w:rsidP="003B45CB">
      <w:pPr>
        <w:jc w:val="center"/>
        <w:rPr>
          <w:b/>
        </w:rPr>
      </w:pPr>
      <w:proofErr w:type="spellStart"/>
      <w:r w:rsidRPr="00D42316">
        <w:rPr>
          <w:b/>
        </w:rPr>
        <w:t>Abstract</w:t>
      </w:r>
      <w:proofErr w:type="spellEnd"/>
    </w:p>
    <w:p w14:paraId="3250987F" w14:textId="6D7AA315" w:rsidR="00F84AD5" w:rsidRPr="00D42316" w:rsidRDefault="00AC051C" w:rsidP="003B45CB">
      <w:pPr>
        <w:jc w:val="both"/>
      </w:pP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increase</w:t>
      </w:r>
      <w:proofErr w:type="spellEnd"/>
      <w:r w:rsidRPr="00D42316">
        <w:t xml:space="preserve"> in </w:t>
      </w:r>
      <w:proofErr w:type="spellStart"/>
      <w:r w:rsidRPr="00D42316">
        <w:t>city</w:t>
      </w:r>
      <w:proofErr w:type="spellEnd"/>
      <w:r w:rsidRPr="00D42316">
        <w:t xml:space="preserve"> </w:t>
      </w:r>
      <w:proofErr w:type="spellStart"/>
      <w:r w:rsidRPr="00D42316">
        <w:t>populations</w:t>
      </w:r>
      <w:proofErr w:type="spellEnd"/>
      <w:r w:rsidRPr="00D42316">
        <w:t xml:space="preserve">, </w:t>
      </w:r>
      <w:proofErr w:type="spellStart"/>
      <w:r w:rsidRPr="00D42316">
        <w:t>the</w:t>
      </w:r>
      <w:proofErr w:type="spellEnd"/>
      <w:r w:rsidRPr="00D42316">
        <w:t xml:space="preserve"> </w:t>
      </w:r>
      <w:proofErr w:type="spellStart"/>
      <w:r w:rsidRPr="00D42316">
        <w:t>problems</w:t>
      </w:r>
      <w:proofErr w:type="spellEnd"/>
      <w:r w:rsidRPr="00D42316">
        <w:t xml:space="preserve"> </w:t>
      </w:r>
      <w:proofErr w:type="spellStart"/>
      <w:r w:rsidRPr="00D42316">
        <w:t>and</w:t>
      </w:r>
      <w:proofErr w:type="spellEnd"/>
      <w:r w:rsidRPr="00D42316">
        <w:t xml:space="preserve"> </w:t>
      </w:r>
      <w:proofErr w:type="spellStart"/>
      <w:r w:rsidRPr="00D42316">
        <w:t>needs</w:t>
      </w:r>
      <w:proofErr w:type="spellEnd"/>
      <w:r w:rsidRPr="00D42316">
        <w:t xml:space="preserve"> </w:t>
      </w:r>
      <w:proofErr w:type="spellStart"/>
      <w:r w:rsidRPr="00D42316">
        <w:t>encountered</w:t>
      </w:r>
      <w:proofErr w:type="spellEnd"/>
      <w:r w:rsidRPr="00D42316">
        <w:t xml:space="preserve"> in </w:t>
      </w:r>
      <w:proofErr w:type="spellStart"/>
      <w:r w:rsidRPr="00D42316">
        <w:t>cities</w:t>
      </w:r>
      <w:proofErr w:type="spellEnd"/>
      <w:r w:rsidRPr="00D42316">
        <w:t xml:space="preserve"> </w:t>
      </w:r>
      <w:proofErr w:type="spellStart"/>
      <w:r w:rsidRPr="00D42316">
        <w:t>increase</w:t>
      </w:r>
      <w:proofErr w:type="spellEnd"/>
      <w:r w:rsidRPr="00D42316">
        <w:t xml:space="preserve"> </w:t>
      </w:r>
      <w:proofErr w:type="spellStart"/>
      <w:r w:rsidRPr="00D42316">
        <w:t>and</w:t>
      </w:r>
      <w:proofErr w:type="spellEnd"/>
      <w:r w:rsidRPr="00D42316">
        <w:t xml:space="preserve"> </w:t>
      </w:r>
      <w:proofErr w:type="spellStart"/>
      <w:r w:rsidRPr="00D42316">
        <w:t>services</w:t>
      </w:r>
      <w:proofErr w:type="spellEnd"/>
      <w:r w:rsidRPr="00D42316">
        <w:t xml:space="preserve"> </w:t>
      </w:r>
      <w:proofErr w:type="spellStart"/>
      <w:r w:rsidRPr="00D42316">
        <w:t>are</w:t>
      </w:r>
      <w:proofErr w:type="spellEnd"/>
      <w:r w:rsidRPr="00D42316">
        <w:t xml:space="preserve"> </w:t>
      </w:r>
      <w:proofErr w:type="spellStart"/>
      <w:r w:rsidRPr="00D42316">
        <w:t>expected</w:t>
      </w:r>
      <w:proofErr w:type="spellEnd"/>
      <w:r w:rsidRPr="00D42316">
        <w:t xml:space="preserve"> in </w:t>
      </w:r>
      <w:proofErr w:type="spellStart"/>
      <w:r w:rsidRPr="00D42316">
        <w:t>response</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increasing</w:t>
      </w:r>
      <w:proofErr w:type="spellEnd"/>
      <w:r w:rsidRPr="00D42316">
        <w:t xml:space="preserve"> </w:t>
      </w:r>
      <w:proofErr w:type="spellStart"/>
      <w:r w:rsidRPr="00D42316">
        <w:t>population</w:t>
      </w:r>
      <w:proofErr w:type="spellEnd"/>
      <w:r w:rsidRPr="00D42316">
        <w:t xml:space="preserve">. </w:t>
      </w:r>
      <w:proofErr w:type="spellStart"/>
      <w:r w:rsidRPr="00D42316">
        <w:t>With</w:t>
      </w:r>
      <w:proofErr w:type="spellEnd"/>
      <w:r w:rsidRPr="00D42316">
        <w:t xml:space="preserve"> </w:t>
      </w:r>
      <w:proofErr w:type="spellStart"/>
      <w:r w:rsidRPr="00D42316">
        <w:t>population</w:t>
      </w:r>
      <w:proofErr w:type="spellEnd"/>
      <w:r w:rsidRPr="00D42316">
        <w:t xml:space="preserve"> </w:t>
      </w:r>
      <w:proofErr w:type="spellStart"/>
      <w:r w:rsidRPr="00D42316">
        <w:t>increases</w:t>
      </w:r>
      <w:proofErr w:type="spellEnd"/>
      <w:r w:rsidRPr="00D42316">
        <w:t xml:space="preserve">, </w:t>
      </w:r>
      <w:proofErr w:type="spellStart"/>
      <w:r w:rsidRPr="00D42316">
        <w:t>both</w:t>
      </w:r>
      <w:proofErr w:type="spellEnd"/>
      <w:r w:rsidRPr="00D42316">
        <w:t xml:space="preserve"> </w:t>
      </w:r>
      <w:proofErr w:type="spellStart"/>
      <w:r w:rsidRPr="00D42316">
        <w:t>city</w:t>
      </w:r>
      <w:proofErr w:type="spellEnd"/>
      <w:r w:rsidRPr="00D42316">
        <w:t xml:space="preserve"> </w:t>
      </w:r>
      <w:proofErr w:type="spellStart"/>
      <w:r w:rsidRPr="00D42316">
        <w:t>needs</w:t>
      </w:r>
      <w:proofErr w:type="spellEnd"/>
      <w:r w:rsidRPr="00D42316">
        <w:t xml:space="preserve"> (</w:t>
      </w:r>
      <w:proofErr w:type="spellStart"/>
      <w:r w:rsidRPr="00D42316">
        <w:t>infrastructure</w:t>
      </w:r>
      <w:proofErr w:type="spellEnd"/>
      <w:r w:rsidRPr="00D42316">
        <w:t xml:space="preserve">, </w:t>
      </w:r>
      <w:proofErr w:type="spellStart"/>
      <w:r w:rsidRPr="00D42316">
        <w:t>superstructure</w:t>
      </w:r>
      <w:proofErr w:type="spellEnd"/>
      <w:r w:rsidRPr="00D42316">
        <w:t xml:space="preserve">) </w:t>
      </w:r>
      <w:proofErr w:type="spellStart"/>
      <w:r w:rsidRPr="00D42316">
        <w:t>and</w:t>
      </w:r>
      <w:proofErr w:type="spellEnd"/>
      <w:r w:rsidRPr="00D42316">
        <w:t xml:space="preserve"> </w:t>
      </w:r>
      <w:proofErr w:type="spellStart"/>
      <w:r w:rsidRPr="00D42316">
        <w:t>individual</w:t>
      </w:r>
      <w:proofErr w:type="spellEnd"/>
      <w:r w:rsidRPr="00D42316">
        <w:t xml:space="preserve"> </w:t>
      </w:r>
      <w:proofErr w:type="spellStart"/>
      <w:r w:rsidRPr="00D42316">
        <w:t>needs</w:t>
      </w:r>
      <w:proofErr w:type="spellEnd"/>
      <w:r w:rsidRPr="00D42316">
        <w:t xml:space="preserve"> </w:t>
      </w:r>
      <w:proofErr w:type="spellStart"/>
      <w:r w:rsidRPr="00D42316">
        <w:t>arise</w:t>
      </w:r>
      <w:proofErr w:type="spellEnd"/>
      <w:r w:rsidRPr="00D42316">
        <w:t xml:space="preserve">. A </w:t>
      </w:r>
      <w:proofErr w:type="spellStart"/>
      <w:r w:rsidRPr="00D42316">
        <w:t>certain</w:t>
      </w:r>
      <w:proofErr w:type="spellEnd"/>
      <w:r w:rsidRPr="00D42316">
        <w:t xml:space="preserve"> time is </w:t>
      </w:r>
      <w:proofErr w:type="spellStart"/>
      <w:r w:rsidRPr="00D42316">
        <w:t>required</w:t>
      </w:r>
      <w:proofErr w:type="spellEnd"/>
      <w:r w:rsidRPr="00D42316">
        <w:t xml:space="preserve"> </w:t>
      </w:r>
      <w:proofErr w:type="spellStart"/>
      <w:r w:rsidRPr="00D42316">
        <w:t>for</w:t>
      </w:r>
      <w:proofErr w:type="spellEnd"/>
      <w:r w:rsidRPr="00D42316">
        <w:t xml:space="preserve"> </w:t>
      </w:r>
      <w:proofErr w:type="spellStart"/>
      <w:r w:rsidRPr="00D42316">
        <w:t>the</w:t>
      </w:r>
      <w:proofErr w:type="spellEnd"/>
      <w:r w:rsidRPr="00D42316">
        <w:t xml:space="preserve"> </w:t>
      </w:r>
      <w:proofErr w:type="spellStart"/>
      <w:r w:rsidRPr="00D42316">
        <w:t>development</w:t>
      </w:r>
      <w:proofErr w:type="spellEnd"/>
      <w:r w:rsidRPr="00D42316">
        <w:t xml:space="preserve">, </w:t>
      </w:r>
      <w:proofErr w:type="spellStart"/>
      <w:r w:rsidRPr="00D42316">
        <w:t>implementation</w:t>
      </w:r>
      <w:proofErr w:type="spellEnd"/>
      <w:r w:rsidRPr="00D42316">
        <w:t xml:space="preserve"> </w:t>
      </w:r>
      <w:proofErr w:type="spellStart"/>
      <w:r w:rsidRPr="00D42316">
        <w:t>and</w:t>
      </w:r>
      <w:proofErr w:type="spellEnd"/>
      <w:r w:rsidRPr="00D42316">
        <w:t xml:space="preserve"> </w:t>
      </w:r>
      <w:proofErr w:type="spellStart"/>
      <w:r w:rsidRPr="00D42316">
        <w:t>sustainability</w:t>
      </w:r>
      <w:proofErr w:type="spellEnd"/>
      <w:r w:rsidRPr="00D42316">
        <w:t xml:space="preserve"> of </w:t>
      </w:r>
      <w:proofErr w:type="spellStart"/>
      <w:r w:rsidRPr="00D42316">
        <w:t>systems</w:t>
      </w:r>
      <w:proofErr w:type="spellEnd"/>
      <w:r w:rsidRPr="00D42316">
        <w:t xml:space="preserve"> </w:t>
      </w:r>
      <w:proofErr w:type="spellStart"/>
      <w:r w:rsidRPr="00D42316">
        <w:t>that</w:t>
      </w:r>
      <w:proofErr w:type="spellEnd"/>
      <w:r w:rsidRPr="00D42316">
        <w:t xml:space="preserve"> can </w:t>
      </w:r>
      <w:proofErr w:type="spellStart"/>
      <w:r w:rsidRPr="00D42316">
        <w:t>meet</w:t>
      </w:r>
      <w:proofErr w:type="spellEnd"/>
      <w:r w:rsidRPr="00D42316">
        <w:t xml:space="preserve"> </w:t>
      </w:r>
      <w:proofErr w:type="spellStart"/>
      <w:r w:rsidRPr="00D42316">
        <w:t>all</w:t>
      </w:r>
      <w:proofErr w:type="spellEnd"/>
      <w:r w:rsidRPr="00D42316">
        <w:t xml:space="preserve"> </w:t>
      </w:r>
      <w:proofErr w:type="spellStart"/>
      <w:r w:rsidRPr="00D42316">
        <w:t>these</w:t>
      </w:r>
      <w:proofErr w:type="spellEnd"/>
      <w:r w:rsidRPr="00D42316">
        <w:t xml:space="preserve"> </w:t>
      </w:r>
      <w:proofErr w:type="spellStart"/>
      <w:r w:rsidRPr="00D42316">
        <w:t>needs</w:t>
      </w:r>
      <w:proofErr w:type="spellEnd"/>
      <w:r w:rsidRPr="00D42316">
        <w:t xml:space="preserve">. At </w:t>
      </w:r>
      <w:proofErr w:type="spellStart"/>
      <w:r w:rsidRPr="00D42316">
        <w:t>this</w:t>
      </w:r>
      <w:proofErr w:type="spellEnd"/>
      <w:r w:rsidRPr="00D42316">
        <w:t xml:space="preserve"> </w:t>
      </w:r>
      <w:proofErr w:type="spellStart"/>
      <w:r w:rsidRPr="00D42316">
        <w:t>point</w:t>
      </w:r>
      <w:proofErr w:type="spellEnd"/>
      <w:r w:rsidRPr="00D42316">
        <w:t xml:space="preserve">, </w:t>
      </w:r>
      <w:proofErr w:type="spellStart"/>
      <w:r w:rsidRPr="00D42316">
        <w:t>technology</w:t>
      </w:r>
      <w:proofErr w:type="spellEnd"/>
      <w:r w:rsidRPr="00D42316">
        <w:t xml:space="preserve"> </w:t>
      </w:r>
      <w:proofErr w:type="spellStart"/>
      <w:r w:rsidRPr="00D42316">
        <w:t>comes</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fore</w:t>
      </w:r>
      <w:proofErr w:type="spellEnd"/>
      <w:r w:rsidRPr="00D42316">
        <w:t xml:space="preserve">. </w:t>
      </w:r>
      <w:proofErr w:type="spellStart"/>
      <w:r w:rsidRPr="00D42316">
        <w:t>In</w:t>
      </w:r>
      <w:proofErr w:type="spellEnd"/>
      <w:r w:rsidRPr="00D42316">
        <w:t xml:space="preserve"> </w:t>
      </w:r>
      <w:proofErr w:type="spellStart"/>
      <w:r w:rsidRPr="00D42316">
        <w:t>particular</w:t>
      </w:r>
      <w:proofErr w:type="spellEnd"/>
      <w:r w:rsidRPr="00D42316">
        <w:t xml:space="preserve">, it is </w:t>
      </w:r>
      <w:proofErr w:type="spellStart"/>
      <w:r w:rsidRPr="00D42316">
        <w:t>extremely</w:t>
      </w:r>
      <w:proofErr w:type="spellEnd"/>
      <w:r w:rsidRPr="00D42316">
        <w:t xml:space="preserve"> </w:t>
      </w:r>
      <w:proofErr w:type="spellStart"/>
      <w:r w:rsidRPr="00D42316">
        <w:t>important</w:t>
      </w:r>
      <w:proofErr w:type="spellEnd"/>
      <w:r w:rsidRPr="00D42316">
        <w:t xml:space="preserve"> </w:t>
      </w:r>
      <w:proofErr w:type="spellStart"/>
      <w:r w:rsidRPr="00D42316">
        <w:t>to</w:t>
      </w:r>
      <w:proofErr w:type="spellEnd"/>
      <w:r w:rsidRPr="00D42316">
        <w:t xml:space="preserve"> </w:t>
      </w:r>
      <w:proofErr w:type="spellStart"/>
      <w:r w:rsidRPr="00D42316">
        <w:t>meet</w:t>
      </w:r>
      <w:proofErr w:type="spellEnd"/>
      <w:r w:rsidRPr="00D42316">
        <w:t xml:space="preserve"> </w:t>
      </w:r>
      <w:proofErr w:type="spellStart"/>
      <w:r w:rsidRPr="00D42316">
        <w:t>the</w:t>
      </w:r>
      <w:proofErr w:type="spellEnd"/>
      <w:r w:rsidRPr="00D42316">
        <w:t xml:space="preserve"> </w:t>
      </w:r>
      <w:proofErr w:type="spellStart"/>
      <w:r w:rsidRPr="00D42316">
        <w:t>needs</w:t>
      </w:r>
      <w:proofErr w:type="spellEnd"/>
      <w:r w:rsidRPr="00D42316">
        <w:t xml:space="preserve"> of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to</w:t>
      </w:r>
      <w:proofErr w:type="spellEnd"/>
      <w:r w:rsidRPr="00D42316">
        <w:t xml:space="preserve"> </w:t>
      </w:r>
      <w:proofErr w:type="spellStart"/>
      <w:r w:rsidRPr="00D42316">
        <w:t>produce</w:t>
      </w:r>
      <w:proofErr w:type="spellEnd"/>
      <w:r w:rsidRPr="00D42316">
        <w:t xml:space="preserve"> </w:t>
      </w:r>
      <w:proofErr w:type="spellStart"/>
      <w:r w:rsidRPr="00D42316">
        <w:t>solutions</w:t>
      </w:r>
      <w:proofErr w:type="spellEnd"/>
      <w:r w:rsidRPr="00D42316">
        <w:t xml:space="preserve"> </w:t>
      </w:r>
      <w:proofErr w:type="spellStart"/>
      <w:r w:rsidRPr="00D42316">
        <w:t>for</w:t>
      </w:r>
      <w:proofErr w:type="spellEnd"/>
      <w:r w:rsidRPr="00D42316">
        <w:t xml:space="preserve"> </w:t>
      </w:r>
      <w:proofErr w:type="spellStart"/>
      <w:r w:rsidRPr="00D42316">
        <w:t>the</w:t>
      </w:r>
      <w:proofErr w:type="spellEnd"/>
      <w:r w:rsidRPr="00D42316">
        <w:t xml:space="preserve"> </w:t>
      </w:r>
      <w:proofErr w:type="spellStart"/>
      <w:r w:rsidRPr="00D42316">
        <w:t>services</w:t>
      </w:r>
      <w:proofErr w:type="spellEnd"/>
      <w:r w:rsidRPr="00D42316">
        <w:t xml:space="preserve"> </w:t>
      </w:r>
      <w:proofErr w:type="spellStart"/>
      <w:r w:rsidRPr="00D42316">
        <w:t>that</w:t>
      </w:r>
      <w:proofErr w:type="spellEnd"/>
      <w:r w:rsidRPr="00D42316">
        <w:t xml:space="preserve"> </w:t>
      </w:r>
      <w:proofErr w:type="spellStart"/>
      <w:r w:rsidRPr="00D42316">
        <w:t>cities</w:t>
      </w:r>
      <w:proofErr w:type="spellEnd"/>
      <w:r w:rsidRPr="00D42316">
        <w:t xml:space="preserve"> </w:t>
      </w:r>
      <w:proofErr w:type="spellStart"/>
      <w:r w:rsidRPr="00D42316">
        <w:t>will</w:t>
      </w:r>
      <w:proofErr w:type="spellEnd"/>
      <w:r w:rsidRPr="00D42316">
        <w:t xml:space="preserve"> </w:t>
      </w:r>
      <w:proofErr w:type="spellStart"/>
      <w:r w:rsidRPr="00D42316">
        <w:t>provide</w:t>
      </w:r>
      <w:proofErr w:type="spellEnd"/>
      <w:r w:rsidRPr="00D42316">
        <w:t xml:space="preserve"> </w:t>
      </w:r>
      <w:proofErr w:type="spellStart"/>
      <w:r w:rsidRPr="00D42316">
        <w:t>to</w:t>
      </w:r>
      <w:proofErr w:type="spellEnd"/>
      <w:r w:rsidRPr="00D42316">
        <w:t xml:space="preserve"> </w:t>
      </w:r>
      <w:proofErr w:type="spellStart"/>
      <w:r w:rsidRPr="00D42316">
        <w:t>individuals</w:t>
      </w:r>
      <w:proofErr w:type="spellEnd"/>
      <w:r w:rsidRPr="00D42316">
        <w:t xml:space="preserve">. </w:t>
      </w:r>
      <w:proofErr w:type="spellStart"/>
      <w:r w:rsidRPr="00D42316">
        <w:t>The</w:t>
      </w:r>
      <w:proofErr w:type="spellEnd"/>
      <w:r w:rsidRPr="00D42316">
        <w:t xml:space="preserve"> </w:t>
      </w:r>
      <w:proofErr w:type="spellStart"/>
      <w:r w:rsidRPr="00D42316">
        <w:t>technology</w:t>
      </w:r>
      <w:proofErr w:type="spellEnd"/>
      <w:r w:rsidRPr="00D42316">
        <w:t xml:space="preserve"> </w:t>
      </w:r>
      <w:proofErr w:type="spellStart"/>
      <w:r w:rsidRPr="00D42316">
        <w:t>used</w:t>
      </w:r>
      <w:proofErr w:type="spellEnd"/>
      <w:r w:rsidRPr="00D42316">
        <w:t xml:space="preserve"> </w:t>
      </w:r>
      <w:proofErr w:type="spellStart"/>
      <w:r w:rsidRPr="00D42316">
        <w:t>plays</w:t>
      </w:r>
      <w:proofErr w:type="spellEnd"/>
      <w:r w:rsidRPr="00D42316">
        <w:t xml:space="preserve"> an </w:t>
      </w:r>
      <w:proofErr w:type="spellStart"/>
      <w:r w:rsidRPr="00D42316">
        <w:t>important</w:t>
      </w:r>
      <w:proofErr w:type="spellEnd"/>
      <w:r w:rsidRPr="00D42316">
        <w:t xml:space="preserve"> role in </w:t>
      </w:r>
      <w:proofErr w:type="spellStart"/>
      <w:r w:rsidRPr="00D42316">
        <w:t>the</w:t>
      </w:r>
      <w:proofErr w:type="spellEnd"/>
      <w:r w:rsidRPr="00D42316">
        <w:t xml:space="preserve"> </w:t>
      </w:r>
      <w:proofErr w:type="spellStart"/>
      <w:r w:rsidRPr="00D42316">
        <w:t>emergence</w:t>
      </w:r>
      <w:proofErr w:type="spellEnd"/>
      <w:r w:rsidRPr="00D42316">
        <w:t xml:space="preserve"> of </w:t>
      </w:r>
      <w:proofErr w:type="spellStart"/>
      <w:r w:rsidRPr="00D42316">
        <w:t>more</w:t>
      </w:r>
      <w:proofErr w:type="spellEnd"/>
      <w:r w:rsidRPr="00D42316">
        <w:t xml:space="preserve"> </w:t>
      </w:r>
      <w:proofErr w:type="spellStart"/>
      <w:r w:rsidRPr="00D42316">
        <w:t>livable</w:t>
      </w:r>
      <w:proofErr w:type="spellEnd"/>
      <w:r w:rsidRPr="00D42316">
        <w:t xml:space="preserve"> </w:t>
      </w:r>
      <w:proofErr w:type="spellStart"/>
      <w:r w:rsidRPr="00D42316">
        <w:t>smart</w:t>
      </w:r>
      <w:proofErr w:type="spellEnd"/>
      <w:r w:rsidRPr="00D42316">
        <w:t xml:space="preserve"> </w:t>
      </w:r>
      <w:proofErr w:type="spellStart"/>
      <w:r w:rsidRPr="00D42316">
        <w:t>cities</w:t>
      </w:r>
      <w:proofErr w:type="spellEnd"/>
      <w:r w:rsidRPr="00D42316">
        <w:t xml:space="preserve"> </w:t>
      </w:r>
      <w:proofErr w:type="spellStart"/>
      <w:r w:rsidRPr="00D42316">
        <w:t>by</w:t>
      </w:r>
      <w:proofErr w:type="spellEnd"/>
      <w:r w:rsidRPr="00D42316">
        <w:t xml:space="preserve"> </w:t>
      </w:r>
      <w:proofErr w:type="spellStart"/>
      <w:r w:rsidRPr="00D42316">
        <w:t>monitoring</w:t>
      </w:r>
      <w:proofErr w:type="spellEnd"/>
      <w:r w:rsidRPr="00D42316">
        <w:t xml:space="preserve"> </w:t>
      </w:r>
      <w:proofErr w:type="spellStart"/>
      <w:r w:rsidRPr="00D42316">
        <w:t>the</w:t>
      </w:r>
      <w:proofErr w:type="spellEnd"/>
      <w:r w:rsidRPr="00D42316">
        <w:t xml:space="preserve"> </w:t>
      </w:r>
      <w:proofErr w:type="spellStart"/>
      <w:r w:rsidRPr="00D42316">
        <w:t>services</w:t>
      </w:r>
      <w:proofErr w:type="spellEnd"/>
      <w:r w:rsidRPr="00D42316">
        <w:t xml:space="preserve"> in </w:t>
      </w:r>
      <w:proofErr w:type="spellStart"/>
      <w:r w:rsidRPr="00D42316">
        <w:t>many</w:t>
      </w:r>
      <w:proofErr w:type="spellEnd"/>
      <w:r w:rsidRPr="00D42316">
        <w:t xml:space="preserve"> </w:t>
      </w:r>
      <w:proofErr w:type="spellStart"/>
      <w:r w:rsidRPr="00D42316">
        <w:t>areas</w:t>
      </w:r>
      <w:proofErr w:type="spellEnd"/>
      <w:r w:rsidRPr="00D42316">
        <w:t xml:space="preserve"> </w:t>
      </w:r>
      <w:proofErr w:type="spellStart"/>
      <w:r w:rsidRPr="00D42316">
        <w:t>such</w:t>
      </w:r>
      <w:proofErr w:type="spellEnd"/>
      <w:r w:rsidRPr="00D42316">
        <w:t xml:space="preserve"> as </w:t>
      </w:r>
      <w:proofErr w:type="spellStart"/>
      <w:r w:rsidRPr="00D42316">
        <w:t>infrastructure</w:t>
      </w:r>
      <w:proofErr w:type="spellEnd"/>
      <w:r w:rsidRPr="00D42316">
        <w:t xml:space="preserve">, transport </w:t>
      </w:r>
      <w:proofErr w:type="spellStart"/>
      <w:r w:rsidRPr="00D42316">
        <w:t>systems</w:t>
      </w:r>
      <w:proofErr w:type="spellEnd"/>
      <w:r w:rsidRPr="00D42316">
        <w:t xml:space="preserve">, </w:t>
      </w:r>
      <w:proofErr w:type="spellStart"/>
      <w:r w:rsidRPr="00D42316">
        <w:t>energy</w:t>
      </w:r>
      <w:proofErr w:type="spellEnd"/>
      <w:r w:rsidRPr="00D42316">
        <w:t xml:space="preserve"> </w:t>
      </w:r>
      <w:proofErr w:type="spellStart"/>
      <w:r w:rsidRPr="00D42316">
        <w:t>use</w:t>
      </w:r>
      <w:proofErr w:type="spellEnd"/>
      <w:r w:rsidRPr="00D42316">
        <w:t xml:space="preserve">, </w:t>
      </w:r>
      <w:proofErr w:type="spellStart"/>
      <w:r w:rsidRPr="00D42316">
        <w:t>waste</w:t>
      </w:r>
      <w:proofErr w:type="spellEnd"/>
      <w:r w:rsidRPr="00D42316">
        <w:t xml:space="preserve"> </w:t>
      </w:r>
      <w:proofErr w:type="spellStart"/>
      <w:r w:rsidRPr="00D42316">
        <w:t>management</w:t>
      </w:r>
      <w:proofErr w:type="spellEnd"/>
      <w:r w:rsidRPr="00D42316">
        <w:t xml:space="preserve"> </w:t>
      </w:r>
      <w:proofErr w:type="spellStart"/>
      <w:r w:rsidRPr="00D42316">
        <w:t>with</w:t>
      </w:r>
      <w:proofErr w:type="spellEnd"/>
      <w:r w:rsidRPr="00D42316">
        <w:t xml:space="preserve"> </w:t>
      </w:r>
      <w:proofErr w:type="spellStart"/>
      <w:r w:rsidRPr="00D42316">
        <w:t>sensors</w:t>
      </w:r>
      <w:proofErr w:type="spellEnd"/>
      <w:r w:rsidRPr="00D42316">
        <w:t xml:space="preserve"> </w:t>
      </w:r>
      <w:proofErr w:type="spellStart"/>
      <w:r w:rsidRPr="00D42316">
        <w:t>and</w:t>
      </w:r>
      <w:proofErr w:type="spellEnd"/>
      <w:r w:rsidRPr="00D42316">
        <w:t xml:space="preserve"> </w:t>
      </w:r>
      <w:proofErr w:type="spellStart"/>
      <w:r w:rsidRPr="00D42316">
        <w:t>devices</w:t>
      </w:r>
      <w:proofErr w:type="spellEnd"/>
      <w:r w:rsidRPr="00D42316">
        <w:t xml:space="preserve"> </w:t>
      </w:r>
      <w:proofErr w:type="spellStart"/>
      <w:r w:rsidRPr="00D42316">
        <w:t>to</w:t>
      </w:r>
      <w:proofErr w:type="spellEnd"/>
      <w:r w:rsidRPr="00D42316">
        <w:t xml:space="preserve"> </w:t>
      </w:r>
      <w:proofErr w:type="spellStart"/>
      <w:r w:rsidRPr="00D42316">
        <w:t>improve</w:t>
      </w:r>
      <w:proofErr w:type="spellEnd"/>
      <w:r w:rsidRPr="00D42316">
        <w:t xml:space="preserve"> </w:t>
      </w:r>
      <w:proofErr w:type="spellStart"/>
      <w:r w:rsidRPr="00D42316">
        <w:t>the</w:t>
      </w:r>
      <w:proofErr w:type="spellEnd"/>
      <w:r w:rsidRPr="00D42316">
        <w:t xml:space="preserve"> </w:t>
      </w:r>
      <w:proofErr w:type="spellStart"/>
      <w:r w:rsidRPr="00D42316">
        <w:t>quality</w:t>
      </w:r>
      <w:proofErr w:type="spellEnd"/>
      <w:r w:rsidRPr="00D42316">
        <w:t xml:space="preserve"> of life </w:t>
      </w:r>
      <w:proofErr w:type="spellStart"/>
      <w:r w:rsidRPr="00D42316">
        <w:t>by</w:t>
      </w:r>
      <w:proofErr w:type="spellEnd"/>
      <w:r w:rsidRPr="00D42316">
        <w:t xml:space="preserve"> </w:t>
      </w:r>
      <w:proofErr w:type="spellStart"/>
      <w:r w:rsidRPr="00D42316">
        <w:t>using</w:t>
      </w:r>
      <w:proofErr w:type="spellEnd"/>
      <w:r w:rsidRPr="00D42316">
        <w:t xml:space="preserve"> </w:t>
      </w:r>
      <w:proofErr w:type="gramStart"/>
      <w:r w:rsidRPr="00D42316">
        <w:t>data</w:t>
      </w:r>
      <w:proofErr w:type="gramEnd"/>
      <w:r w:rsidRPr="00D42316">
        <w:t xml:space="preserve"> </w:t>
      </w:r>
      <w:proofErr w:type="spellStart"/>
      <w:r w:rsidRPr="00D42316">
        <w:t>analytics</w:t>
      </w:r>
      <w:proofErr w:type="spellEnd"/>
      <w:r w:rsidRPr="00D42316">
        <w:t xml:space="preserve">. At </w:t>
      </w:r>
      <w:proofErr w:type="spellStart"/>
      <w:r w:rsidRPr="00D42316">
        <w:t>the</w:t>
      </w:r>
      <w:proofErr w:type="spellEnd"/>
      <w:r w:rsidRPr="00D42316">
        <w:t xml:space="preserve"> </w:t>
      </w:r>
      <w:proofErr w:type="spellStart"/>
      <w:r w:rsidRPr="00D42316">
        <w:t>same</w:t>
      </w:r>
      <w:proofErr w:type="spellEnd"/>
      <w:r w:rsidRPr="00D42316">
        <w:t xml:space="preserve"> time, it is </w:t>
      </w:r>
      <w:proofErr w:type="spellStart"/>
      <w:r w:rsidRPr="00D42316">
        <w:t>ensured</w:t>
      </w:r>
      <w:proofErr w:type="spellEnd"/>
      <w:r w:rsidRPr="00D42316">
        <w:t xml:space="preserve"> </w:t>
      </w:r>
      <w:proofErr w:type="spellStart"/>
      <w:r w:rsidRPr="00D42316">
        <w:t>that</w:t>
      </w:r>
      <w:proofErr w:type="spellEnd"/>
      <w:r w:rsidRPr="00D42316">
        <w:t xml:space="preserve"> </w:t>
      </w:r>
      <w:proofErr w:type="spellStart"/>
      <w:r w:rsidRPr="00D42316">
        <w:t>individuals</w:t>
      </w:r>
      <w:proofErr w:type="spellEnd"/>
      <w:r w:rsidRPr="00D42316">
        <w:t xml:space="preserve"> </w:t>
      </w:r>
      <w:proofErr w:type="spellStart"/>
      <w:r w:rsidRPr="00D42316">
        <w:t>become</w:t>
      </w:r>
      <w:proofErr w:type="spellEnd"/>
      <w:r w:rsidRPr="00D42316">
        <w:t xml:space="preserve"> a partner in </w:t>
      </w:r>
      <w:proofErr w:type="spellStart"/>
      <w:r w:rsidRPr="00D42316">
        <w:t>the</w:t>
      </w:r>
      <w:proofErr w:type="spellEnd"/>
      <w:r w:rsidRPr="00D42316">
        <w:t xml:space="preserve"> </w:t>
      </w:r>
      <w:proofErr w:type="spellStart"/>
      <w:r w:rsidRPr="00D42316">
        <w:t>solution</w:t>
      </w:r>
      <w:proofErr w:type="spellEnd"/>
      <w:r w:rsidRPr="00D42316">
        <w:t xml:space="preserve"> in </w:t>
      </w:r>
      <w:proofErr w:type="spellStart"/>
      <w:r w:rsidRPr="00D42316">
        <w:t>this</w:t>
      </w:r>
      <w:proofErr w:type="spellEnd"/>
      <w:r w:rsidRPr="00D42316">
        <w:t xml:space="preserve"> </w:t>
      </w:r>
      <w:proofErr w:type="spellStart"/>
      <w:r w:rsidRPr="00D42316">
        <w:t>process</w:t>
      </w:r>
      <w:proofErr w:type="spellEnd"/>
      <w:r w:rsidRPr="00D42316">
        <w:t xml:space="preserve">. </w:t>
      </w:r>
      <w:proofErr w:type="spellStart"/>
      <w:r w:rsidRPr="00D42316">
        <w:t>In</w:t>
      </w:r>
      <w:proofErr w:type="spellEnd"/>
      <w:r w:rsidRPr="00D42316">
        <w:t xml:space="preserve"> </w:t>
      </w:r>
      <w:proofErr w:type="spellStart"/>
      <w:r w:rsidRPr="00D42316">
        <w:t>short</w:t>
      </w:r>
      <w:proofErr w:type="spellEnd"/>
      <w:r w:rsidRPr="00D42316">
        <w:t xml:space="preserve">, </w:t>
      </w:r>
      <w:proofErr w:type="spellStart"/>
      <w:r w:rsidRPr="00D42316">
        <w:t>smart</w:t>
      </w:r>
      <w:proofErr w:type="spellEnd"/>
      <w:r w:rsidRPr="00D42316">
        <w:t xml:space="preserve"> </w:t>
      </w:r>
      <w:proofErr w:type="spellStart"/>
      <w:r w:rsidRPr="00D42316">
        <w:t>cities</w:t>
      </w:r>
      <w:proofErr w:type="spellEnd"/>
      <w:r w:rsidRPr="00D42316">
        <w:t xml:space="preserve"> </w:t>
      </w:r>
      <w:proofErr w:type="spellStart"/>
      <w:r w:rsidRPr="00D42316">
        <w:t>aim</w:t>
      </w:r>
      <w:proofErr w:type="spellEnd"/>
      <w:r w:rsidRPr="00D42316">
        <w:t xml:space="preserve"> </w:t>
      </w:r>
      <w:proofErr w:type="spellStart"/>
      <w:r w:rsidRPr="00D42316">
        <w:t>to</w:t>
      </w:r>
      <w:proofErr w:type="spellEnd"/>
      <w:r w:rsidRPr="00D42316">
        <w:t xml:space="preserve"> </w:t>
      </w:r>
      <w:proofErr w:type="spellStart"/>
      <w:r w:rsidRPr="00D42316">
        <w:t>improve</w:t>
      </w:r>
      <w:proofErr w:type="spellEnd"/>
      <w:r w:rsidRPr="00D42316">
        <w:t xml:space="preserve"> </w:t>
      </w:r>
      <w:proofErr w:type="spellStart"/>
      <w:r w:rsidRPr="00D42316">
        <w:t>the</w:t>
      </w:r>
      <w:proofErr w:type="spellEnd"/>
      <w:r w:rsidRPr="00D42316">
        <w:t xml:space="preserve"> </w:t>
      </w:r>
      <w:proofErr w:type="spellStart"/>
      <w:r w:rsidRPr="00D42316">
        <w:t>quality</w:t>
      </w:r>
      <w:proofErr w:type="spellEnd"/>
      <w:r w:rsidRPr="00D42316">
        <w:t xml:space="preserve"> of life in </w:t>
      </w:r>
      <w:proofErr w:type="spellStart"/>
      <w:r w:rsidRPr="00D42316">
        <w:t>many</w:t>
      </w:r>
      <w:proofErr w:type="spellEnd"/>
      <w:r w:rsidRPr="00D42316">
        <w:t xml:space="preserve"> </w:t>
      </w:r>
      <w:proofErr w:type="spellStart"/>
      <w:r w:rsidRPr="00D42316">
        <w:t>areas</w:t>
      </w:r>
      <w:proofErr w:type="spellEnd"/>
      <w:r w:rsidRPr="00D42316">
        <w:t xml:space="preserve"> </w:t>
      </w:r>
      <w:proofErr w:type="spellStart"/>
      <w:r w:rsidRPr="00D42316">
        <w:t>such</w:t>
      </w:r>
      <w:proofErr w:type="spellEnd"/>
      <w:r w:rsidRPr="00D42316">
        <w:t xml:space="preserve"> as </w:t>
      </w:r>
      <w:proofErr w:type="spellStart"/>
      <w:r w:rsidRPr="00D42316">
        <w:t>reduction</w:t>
      </w:r>
      <w:proofErr w:type="spellEnd"/>
      <w:r w:rsidRPr="00D42316">
        <w:t xml:space="preserve"> in </w:t>
      </w:r>
      <w:proofErr w:type="spellStart"/>
      <w:r w:rsidRPr="00D42316">
        <w:t>traffic</w:t>
      </w:r>
      <w:proofErr w:type="spellEnd"/>
      <w:r w:rsidRPr="00D42316">
        <w:t xml:space="preserve"> </w:t>
      </w:r>
      <w:proofErr w:type="spellStart"/>
      <w:r w:rsidRPr="00D42316">
        <w:t>density</w:t>
      </w:r>
      <w:proofErr w:type="spellEnd"/>
      <w:r w:rsidRPr="00D42316">
        <w:t xml:space="preserve">, </w:t>
      </w:r>
      <w:proofErr w:type="spellStart"/>
      <w:r w:rsidRPr="00D42316">
        <w:t>energy</w:t>
      </w:r>
      <w:proofErr w:type="spellEnd"/>
      <w:r w:rsidRPr="00D42316">
        <w:t xml:space="preserve"> </w:t>
      </w:r>
      <w:proofErr w:type="spellStart"/>
      <w:r w:rsidRPr="00D42316">
        <w:t>saving</w:t>
      </w:r>
      <w:proofErr w:type="spellEnd"/>
      <w:r w:rsidRPr="00D42316">
        <w:t xml:space="preserve">, </w:t>
      </w:r>
      <w:proofErr w:type="spellStart"/>
      <w:r w:rsidRPr="00D42316">
        <w:t>development</w:t>
      </w:r>
      <w:proofErr w:type="spellEnd"/>
      <w:r w:rsidRPr="00D42316">
        <w:t xml:space="preserve"> of </w:t>
      </w:r>
      <w:proofErr w:type="spellStart"/>
      <w:r w:rsidRPr="00D42316">
        <w:t>environmentally</w:t>
      </w:r>
      <w:proofErr w:type="spellEnd"/>
      <w:r w:rsidRPr="00D42316">
        <w:t xml:space="preserve"> </w:t>
      </w:r>
      <w:proofErr w:type="spellStart"/>
      <w:r w:rsidRPr="00D42316">
        <w:t>friendly</w:t>
      </w:r>
      <w:proofErr w:type="spellEnd"/>
      <w:r w:rsidRPr="00D42316">
        <w:t xml:space="preserve"> </w:t>
      </w:r>
      <w:proofErr w:type="spellStart"/>
      <w:r w:rsidRPr="00D42316">
        <w:t>applications</w:t>
      </w:r>
      <w:proofErr w:type="spellEnd"/>
      <w:r w:rsidRPr="00D42316">
        <w:t xml:space="preserve">, </w:t>
      </w:r>
      <w:proofErr w:type="spellStart"/>
      <w:r w:rsidRPr="00D42316">
        <w:t>smart</w:t>
      </w:r>
      <w:proofErr w:type="spellEnd"/>
      <w:r w:rsidRPr="00D42316">
        <w:t xml:space="preserve"> </w:t>
      </w:r>
      <w:proofErr w:type="spellStart"/>
      <w:r w:rsidRPr="00D42316">
        <w:t>health</w:t>
      </w:r>
      <w:proofErr w:type="spellEnd"/>
      <w:r w:rsidRPr="00D42316">
        <w:t xml:space="preserve"> </w:t>
      </w:r>
      <w:proofErr w:type="spellStart"/>
      <w:r w:rsidRPr="00D42316">
        <w:t>services</w:t>
      </w:r>
      <w:proofErr w:type="spellEnd"/>
      <w:r w:rsidRPr="00D42316">
        <w:t xml:space="preserve">, </w:t>
      </w:r>
      <w:proofErr w:type="spellStart"/>
      <w:r w:rsidRPr="00D42316">
        <w:t>education</w:t>
      </w:r>
      <w:proofErr w:type="spellEnd"/>
      <w:r w:rsidRPr="00D42316">
        <w:t xml:space="preserve"> </w:t>
      </w:r>
      <w:proofErr w:type="spellStart"/>
      <w:r w:rsidRPr="00D42316">
        <w:t>systems</w:t>
      </w:r>
      <w:proofErr w:type="spellEnd"/>
      <w:r w:rsidRPr="00D42316">
        <w:t xml:space="preserve"> </w:t>
      </w:r>
      <w:proofErr w:type="spellStart"/>
      <w:r w:rsidRPr="00D42316">
        <w:t>and</w:t>
      </w:r>
      <w:proofErr w:type="spellEnd"/>
      <w:r w:rsidRPr="00D42316">
        <w:t xml:space="preserve"> </w:t>
      </w:r>
      <w:proofErr w:type="spellStart"/>
      <w:r w:rsidRPr="00D42316">
        <w:t>security</w:t>
      </w:r>
      <w:proofErr w:type="spellEnd"/>
      <w:r w:rsidRPr="00D42316">
        <w:t xml:space="preserve">. </w:t>
      </w:r>
      <w:proofErr w:type="spellStart"/>
      <w:r w:rsidRPr="00D42316">
        <w:t>In</w:t>
      </w:r>
      <w:proofErr w:type="spellEnd"/>
      <w:r w:rsidRPr="00D42316">
        <w:t xml:space="preserve"> </w:t>
      </w:r>
      <w:proofErr w:type="spellStart"/>
      <w:r w:rsidRPr="00D42316">
        <w:t>our</w:t>
      </w:r>
      <w:proofErr w:type="spellEnd"/>
      <w:r w:rsidRPr="00D42316">
        <w:t xml:space="preserve"> </w:t>
      </w:r>
      <w:proofErr w:type="spellStart"/>
      <w:r w:rsidRPr="00D42316">
        <w:t>country</w:t>
      </w:r>
      <w:proofErr w:type="spellEnd"/>
      <w:r w:rsidRPr="00D42316">
        <w:t xml:space="preserve">, </w:t>
      </w:r>
      <w:proofErr w:type="spellStart"/>
      <w:r w:rsidRPr="00D42316">
        <w:t>the</w:t>
      </w:r>
      <w:proofErr w:type="spellEnd"/>
      <w:r w:rsidRPr="00D42316">
        <w:t xml:space="preserve"> </w:t>
      </w:r>
      <w:proofErr w:type="spellStart"/>
      <w:r w:rsidRPr="00D42316">
        <w:t>first</w:t>
      </w:r>
      <w:proofErr w:type="spellEnd"/>
      <w:r w:rsidRPr="00D42316">
        <w:t xml:space="preserve"> </w:t>
      </w:r>
      <w:proofErr w:type="spellStart"/>
      <w:r w:rsidRPr="00D42316">
        <w:t>National</w:t>
      </w:r>
      <w:proofErr w:type="spellEnd"/>
      <w:r w:rsidRPr="00D42316">
        <w:t xml:space="preserve"> Smart </w:t>
      </w:r>
      <w:proofErr w:type="spellStart"/>
      <w:r w:rsidRPr="00D42316">
        <w:t>Cities</w:t>
      </w:r>
      <w:proofErr w:type="spellEnd"/>
      <w:r w:rsidRPr="00D42316">
        <w:t xml:space="preserve"> </w:t>
      </w:r>
      <w:proofErr w:type="spellStart"/>
      <w:r w:rsidRPr="00D42316">
        <w:t>Strategy</w:t>
      </w:r>
      <w:proofErr w:type="spellEnd"/>
      <w:r w:rsidRPr="00D42316">
        <w:t xml:space="preserve"> </w:t>
      </w:r>
      <w:proofErr w:type="spellStart"/>
      <w:r w:rsidRPr="00D42316">
        <w:t>and</w:t>
      </w:r>
      <w:proofErr w:type="spellEnd"/>
      <w:r w:rsidRPr="00D42316">
        <w:t xml:space="preserve"> Action Plan </w:t>
      </w:r>
      <w:proofErr w:type="spellStart"/>
      <w:r w:rsidRPr="00D42316">
        <w:t>was</w:t>
      </w:r>
      <w:proofErr w:type="spellEnd"/>
      <w:r w:rsidRPr="00D42316">
        <w:t xml:space="preserve"> </w:t>
      </w:r>
      <w:proofErr w:type="spellStart"/>
      <w:r w:rsidRPr="00D42316">
        <w:t>prepared</w:t>
      </w:r>
      <w:proofErr w:type="spellEnd"/>
      <w:r w:rsidRPr="00D42316">
        <w:t xml:space="preserve"> in 2020 </w:t>
      </w:r>
      <w:proofErr w:type="spellStart"/>
      <w:r w:rsidRPr="00D42316">
        <w:t>for</w:t>
      </w:r>
      <w:proofErr w:type="spellEnd"/>
      <w:r w:rsidRPr="00D42316">
        <w:t xml:space="preserve"> </w:t>
      </w:r>
      <w:proofErr w:type="spellStart"/>
      <w:r w:rsidRPr="00D42316">
        <w:t>smart</w:t>
      </w:r>
      <w:proofErr w:type="spellEnd"/>
      <w:r w:rsidRPr="00D42316">
        <w:t xml:space="preserve"> </w:t>
      </w:r>
      <w:proofErr w:type="spellStart"/>
      <w:r w:rsidRPr="00D42316">
        <w:t>cities</w:t>
      </w:r>
      <w:proofErr w:type="spellEnd"/>
      <w:r w:rsidRPr="00D42316">
        <w:t xml:space="preserve"> </w:t>
      </w:r>
      <w:proofErr w:type="spellStart"/>
      <w:r w:rsidRPr="00D42316">
        <w:t>policy</w:t>
      </w:r>
      <w:proofErr w:type="spellEnd"/>
      <w:r w:rsidRPr="00D42316">
        <w:t xml:space="preserve">, </w:t>
      </w:r>
      <w:proofErr w:type="spellStart"/>
      <w:r w:rsidRPr="00D42316">
        <w:t>and</w:t>
      </w:r>
      <w:proofErr w:type="spellEnd"/>
      <w:r w:rsidRPr="00D42316">
        <w:t xml:space="preserve"> </w:t>
      </w:r>
      <w:proofErr w:type="spellStart"/>
      <w:r w:rsidRPr="00D42316">
        <w:t>within</w:t>
      </w:r>
      <w:proofErr w:type="spellEnd"/>
      <w:r w:rsidRPr="00D42316">
        <w:t xml:space="preserve"> </w:t>
      </w:r>
      <w:proofErr w:type="spellStart"/>
      <w:r w:rsidRPr="00D42316">
        <w:t>the</w:t>
      </w:r>
      <w:proofErr w:type="spellEnd"/>
      <w:r w:rsidRPr="00D42316">
        <w:t xml:space="preserve"> </w:t>
      </w:r>
      <w:proofErr w:type="spellStart"/>
      <w:r w:rsidRPr="00D42316">
        <w:t>framework</w:t>
      </w:r>
      <w:proofErr w:type="spellEnd"/>
      <w:r w:rsidRPr="00D42316">
        <w:t xml:space="preserve"> of </w:t>
      </w:r>
      <w:proofErr w:type="spellStart"/>
      <w:r w:rsidRPr="00D42316">
        <w:t>this</w:t>
      </w:r>
      <w:proofErr w:type="spellEnd"/>
      <w:r w:rsidRPr="00D42316">
        <w:t xml:space="preserve"> plan, it is </w:t>
      </w:r>
      <w:proofErr w:type="spellStart"/>
      <w:r w:rsidRPr="00D42316">
        <w:t>aimed</w:t>
      </w:r>
      <w:proofErr w:type="spellEnd"/>
      <w:r w:rsidRPr="00D42316">
        <w:t xml:space="preserve"> </w:t>
      </w:r>
      <w:proofErr w:type="spellStart"/>
      <w:r w:rsidRPr="00D42316">
        <w:t>to</w:t>
      </w:r>
      <w:proofErr w:type="spellEnd"/>
      <w:r w:rsidRPr="00D42316">
        <w:t xml:space="preserve"> </w:t>
      </w:r>
      <w:proofErr w:type="spellStart"/>
      <w:r w:rsidRPr="00D42316">
        <w:t>increase</w:t>
      </w:r>
      <w:proofErr w:type="spellEnd"/>
      <w:r w:rsidRPr="00D42316">
        <w:t xml:space="preserve"> </w:t>
      </w:r>
      <w:proofErr w:type="spellStart"/>
      <w:r w:rsidRPr="00D42316">
        <w:t>social</w:t>
      </w:r>
      <w:proofErr w:type="spellEnd"/>
      <w:r w:rsidRPr="00D42316">
        <w:t xml:space="preserve"> </w:t>
      </w:r>
      <w:proofErr w:type="spellStart"/>
      <w:r w:rsidRPr="00D42316">
        <w:t>awareness</w:t>
      </w:r>
      <w:proofErr w:type="spellEnd"/>
      <w:r w:rsidRPr="00D42316">
        <w:t xml:space="preserve"> in </w:t>
      </w:r>
      <w:proofErr w:type="spellStart"/>
      <w:r w:rsidRPr="00D42316">
        <w:t>the</w:t>
      </w:r>
      <w:proofErr w:type="spellEnd"/>
      <w:r w:rsidRPr="00D42316">
        <w:t xml:space="preserve"> </w:t>
      </w:r>
      <w:proofErr w:type="spellStart"/>
      <w:r w:rsidRPr="00D42316">
        <w:t>process</w:t>
      </w:r>
      <w:proofErr w:type="spellEnd"/>
      <w:r w:rsidRPr="00D42316">
        <w:t xml:space="preserve"> of </w:t>
      </w:r>
      <w:proofErr w:type="spellStart"/>
      <w:r w:rsidRPr="00D42316">
        <w:t>harmonisation</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European</w:t>
      </w:r>
      <w:proofErr w:type="spellEnd"/>
      <w:r w:rsidRPr="00D42316">
        <w:t xml:space="preserve"> </w:t>
      </w:r>
      <w:proofErr w:type="spellStart"/>
      <w:r w:rsidRPr="00D42316">
        <w:t>Union</w:t>
      </w:r>
      <w:proofErr w:type="spellEnd"/>
      <w:r w:rsidRPr="00D42316">
        <w:t xml:space="preserve"> (EU).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the</w:t>
      </w:r>
      <w:proofErr w:type="spellEnd"/>
      <w:r w:rsidRPr="00D42316">
        <w:t xml:space="preserve"> </w:t>
      </w:r>
      <w:proofErr w:type="spellStart"/>
      <w:r w:rsidRPr="00D42316">
        <w:t>extent</w:t>
      </w:r>
      <w:proofErr w:type="spellEnd"/>
      <w:r w:rsidRPr="00D42316">
        <w:t xml:space="preserve"> </w:t>
      </w:r>
      <w:proofErr w:type="spellStart"/>
      <w:r w:rsidRPr="00D42316">
        <w:t>to</w:t>
      </w:r>
      <w:proofErr w:type="spellEnd"/>
      <w:r w:rsidRPr="00D42316">
        <w:t xml:space="preserve"> </w:t>
      </w:r>
      <w:proofErr w:type="spellStart"/>
      <w:r w:rsidRPr="00D42316">
        <w:t>which</w:t>
      </w:r>
      <w:proofErr w:type="spellEnd"/>
      <w:r w:rsidRPr="00D42316">
        <w:t xml:space="preserve"> </w:t>
      </w:r>
      <w:proofErr w:type="spellStart"/>
      <w:r w:rsidRPr="00D42316">
        <w:t>the</w:t>
      </w:r>
      <w:proofErr w:type="spellEnd"/>
      <w:r w:rsidRPr="00D42316">
        <w:t xml:space="preserve"> EU </w:t>
      </w:r>
      <w:proofErr w:type="spellStart"/>
      <w:r w:rsidRPr="00D42316">
        <w:t>supports</w:t>
      </w:r>
      <w:proofErr w:type="spellEnd"/>
      <w:r w:rsidRPr="00D42316">
        <w:t xml:space="preserve"> </w:t>
      </w:r>
      <w:proofErr w:type="spellStart"/>
      <w:r w:rsidRPr="00D42316">
        <w:t>the</w:t>
      </w:r>
      <w:proofErr w:type="spellEnd"/>
      <w:r w:rsidRPr="00D42316">
        <w:t xml:space="preserve"> </w:t>
      </w:r>
      <w:proofErr w:type="spellStart"/>
      <w:r w:rsidRPr="00D42316">
        <w:t>smart</w:t>
      </w:r>
      <w:proofErr w:type="spellEnd"/>
      <w:r w:rsidRPr="00D42316">
        <w:t xml:space="preserve"> </w:t>
      </w:r>
      <w:proofErr w:type="spellStart"/>
      <w:r w:rsidRPr="00D42316">
        <w:t>cities</w:t>
      </w:r>
      <w:proofErr w:type="spellEnd"/>
      <w:r w:rsidRPr="00D42316">
        <w:t xml:space="preserve"> </w:t>
      </w:r>
      <w:proofErr w:type="spellStart"/>
      <w:r w:rsidRPr="00D42316">
        <w:t>policy</w:t>
      </w:r>
      <w:proofErr w:type="spellEnd"/>
      <w:r w:rsidRPr="00D42316">
        <w:t xml:space="preserve"> of </w:t>
      </w:r>
      <w:proofErr w:type="spellStart"/>
      <w:r w:rsidRPr="00D42316">
        <w:t>Turkey</w:t>
      </w:r>
      <w:proofErr w:type="spellEnd"/>
      <w:r w:rsidRPr="00D42316">
        <w:t xml:space="preserve">, </w:t>
      </w:r>
      <w:proofErr w:type="spellStart"/>
      <w:r w:rsidRPr="00D42316">
        <w:t>which</w:t>
      </w:r>
      <w:proofErr w:type="spellEnd"/>
      <w:r w:rsidRPr="00D42316">
        <w:t xml:space="preserve"> is in </w:t>
      </w:r>
      <w:proofErr w:type="spellStart"/>
      <w:r w:rsidRPr="00D42316">
        <w:t>the</w:t>
      </w:r>
      <w:proofErr w:type="spellEnd"/>
      <w:r w:rsidRPr="00D42316">
        <w:t xml:space="preserve"> </w:t>
      </w:r>
      <w:proofErr w:type="spellStart"/>
      <w:r w:rsidRPr="00D42316">
        <w:t>process</w:t>
      </w:r>
      <w:proofErr w:type="spellEnd"/>
      <w:r w:rsidRPr="00D42316">
        <w:t xml:space="preserve"> of </w:t>
      </w:r>
      <w:proofErr w:type="spellStart"/>
      <w:r w:rsidRPr="00D42316">
        <w:t>full</w:t>
      </w:r>
      <w:proofErr w:type="spellEnd"/>
      <w:r w:rsidRPr="00D42316">
        <w:t xml:space="preserve"> </w:t>
      </w:r>
      <w:proofErr w:type="spellStart"/>
      <w:r w:rsidRPr="00D42316">
        <w:t>membership</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EU, </w:t>
      </w:r>
      <w:proofErr w:type="spellStart"/>
      <w:r w:rsidRPr="00D42316">
        <w:t>and</w:t>
      </w:r>
      <w:proofErr w:type="spellEnd"/>
      <w:r w:rsidRPr="00D42316">
        <w:t xml:space="preserve"> how </w:t>
      </w:r>
      <w:proofErr w:type="spellStart"/>
      <w:r w:rsidRPr="00D42316">
        <w:t>adequate</w:t>
      </w:r>
      <w:proofErr w:type="spellEnd"/>
      <w:r w:rsidRPr="00D42316">
        <w:t xml:space="preserve"> </w:t>
      </w:r>
      <w:proofErr w:type="spellStart"/>
      <w:r w:rsidRPr="00D42316">
        <w:t>this</w:t>
      </w:r>
      <w:proofErr w:type="spellEnd"/>
      <w:r w:rsidRPr="00D42316">
        <w:t xml:space="preserve"> </w:t>
      </w:r>
      <w:proofErr w:type="spellStart"/>
      <w:r w:rsidRPr="00D42316">
        <w:t>support</w:t>
      </w:r>
      <w:proofErr w:type="spellEnd"/>
      <w:r w:rsidRPr="00D42316">
        <w:t xml:space="preserve"> is </w:t>
      </w:r>
      <w:proofErr w:type="spellStart"/>
      <w:r w:rsidRPr="00D42316">
        <w:t>will</w:t>
      </w:r>
      <w:proofErr w:type="spellEnd"/>
      <w:r w:rsidRPr="00D42316">
        <w:t xml:space="preserve"> be </w:t>
      </w:r>
      <w:proofErr w:type="spellStart"/>
      <w:r w:rsidRPr="00D42316">
        <w:t>evaluated</w:t>
      </w:r>
      <w:proofErr w:type="spellEnd"/>
      <w:r w:rsidRPr="00D42316">
        <w:t xml:space="preserve">. </w:t>
      </w:r>
      <w:proofErr w:type="spellStart"/>
      <w:r w:rsidRPr="00D42316">
        <w:t>In</w:t>
      </w:r>
      <w:proofErr w:type="spellEnd"/>
      <w:r w:rsidRPr="00D42316">
        <w:t xml:space="preserve"> </w:t>
      </w:r>
      <w:proofErr w:type="spellStart"/>
      <w:r w:rsidRPr="00D42316">
        <w:t>order</w:t>
      </w:r>
      <w:proofErr w:type="spellEnd"/>
      <w:r w:rsidRPr="00D42316">
        <w:t xml:space="preserve"> </w:t>
      </w:r>
      <w:proofErr w:type="spellStart"/>
      <w:r w:rsidRPr="00D42316">
        <w:t>for</w:t>
      </w:r>
      <w:proofErr w:type="spellEnd"/>
      <w:r w:rsidRPr="00D42316">
        <w:t xml:space="preserve"> </w:t>
      </w:r>
      <w:proofErr w:type="spellStart"/>
      <w:r w:rsidRPr="00D42316">
        <w:t>cities</w:t>
      </w:r>
      <w:proofErr w:type="spellEnd"/>
      <w:r w:rsidRPr="00D42316">
        <w:t xml:space="preserve"> </w:t>
      </w:r>
      <w:proofErr w:type="spellStart"/>
      <w:r w:rsidRPr="00D42316">
        <w:t>to</w:t>
      </w:r>
      <w:proofErr w:type="spellEnd"/>
      <w:r w:rsidRPr="00D42316">
        <w:t xml:space="preserve"> </w:t>
      </w:r>
      <w:proofErr w:type="spellStart"/>
      <w:r w:rsidRPr="00D42316">
        <w:t>become</w:t>
      </w:r>
      <w:proofErr w:type="spellEnd"/>
      <w:r w:rsidRPr="00D42316">
        <w:t xml:space="preserve"> </w:t>
      </w:r>
      <w:proofErr w:type="spellStart"/>
      <w:r w:rsidRPr="00D42316">
        <w:t>smart</w:t>
      </w:r>
      <w:proofErr w:type="spellEnd"/>
      <w:r w:rsidRPr="00D42316">
        <w:t xml:space="preserve"> </w:t>
      </w:r>
      <w:proofErr w:type="spellStart"/>
      <w:r w:rsidRPr="00D42316">
        <w:t>cities</w:t>
      </w:r>
      <w:proofErr w:type="spellEnd"/>
      <w:r w:rsidRPr="00D42316">
        <w:t xml:space="preserve">, it is </w:t>
      </w:r>
      <w:proofErr w:type="spellStart"/>
      <w:r w:rsidRPr="00D42316">
        <w:t>essential</w:t>
      </w:r>
      <w:proofErr w:type="spellEnd"/>
      <w:r w:rsidRPr="00D42316">
        <w:t xml:space="preserve"> </w:t>
      </w:r>
      <w:proofErr w:type="spellStart"/>
      <w:r w:rsidRPr="00D42316">
        <w:t>to</w:t>
      </w:r>
      <w:proofErr w:type="spellEnd"/>
      <w:r w:rsidRPr="00D42316">
        <w:t xml:space="preserve"> </w:t>
      </w:r>
      <w:proofErr w:type="spellStart"/>
      <w:r w:rsidRPr="00D42316">
        <w:t>integrate</w:t>
      </w:r>
      <w:proofErr w:type="spellEnd"/>
      <w:r w:rsidRPr="00D42316">
        <w:t xml:space="preserve"> </w:t>
      </w:r>
      <w:proofErr w:type="spellStart"/>
      <w:r w:rsidRPr="00D42316">
        <w:t>the</w:t>
      </w:r>
      <w:proofErr w:type="spellEnd"/>
      <w:r w:rsidRPr="00D42316">
        <w:t xml:space="preserve"> </w:t>
      </w:r>
      <w:proofErr w:type="spellStart"/>
      <w:r w:rsidRPr="00D42316">
        <w:t>systems</w:t>
      </w:r>
      <w:proofErr w:type="spellEnd"/>
      <w:r w:rsidRPr="00D42316">
        <w:t xml:space="preserve"> in service </w:t>
      </w:r>
      <w:proofErr w:type="spellStart"/>
      <w:r w:rsidRPr="00D42316">
        <w:t>areas</w:t>
      </w:r>
      <w:proofErr w:type="spellEnd"/>
      <w:r w:rsidRPr="00D42316">
        <w:t xml:space="preserve"> </w:t>
      </w:r>
      <w:proofErr w:type="spellStart"/>
      <w:r w:rsidRPr="00D42316">
        <w:t>with</w:t>
      </w:r>
      <w:proofErr w:type="spellEnd"/>
      <w:r w:rsidRPr="00D42316">
        <w:t xml:space="preserve"> </w:t>
      </w:r>
      <w:proofErr w:type="spellStart"/>
      <w:r w:rsidRPr="00D42316">
        <w:t>technology</w:t>
      </w:r>
      <w:proofErr w:type="spellEnd"/>
      <w:r w:rsidRPr="00D42316">
        <w:t xml:space="preserve">. </w:t>
      </w:r>
      <w:proofErr w:type="spellStart"/>
      <w:r w:rsidRPr="00D42316">
        <w:t>Involving</w:t>
      </w:r>
      <w:proofErr w:type="spellEnd"/>
      <w:r w:rsidRPr="00D42316">
        <w:t xml:space="preserve"> </w:t>
      </w:r>
      <w:proofErr w:type="spellStart"/>
      <w:r w:rsidRPr="00D42316">
        <w:t>individuals</w:t>
      </w:r>
      <w:proofErr w:type="spellEnd"/>
      <w:r w:rsidRPr="00D42316">
        <w:t xml:space="preserve"> in </w:t>
      </w:r>
      <w:proofErr w:type="spellStart"/>
      <w:r w:rsidRPr="00D42316">
        <w:t>this</w:t>
      </w:r>
      <w:proofErr w:type="spellEnd"/>
      <w:r w:rsidRPr="00D42316">
        <w:t xml:space="preserve"> </w:t>
      </w:r>
      <w:proofErr w:type="spellStart"/>
      <w:r w:rsidRPr="00D42316">
        <w:t>integration</w:t>
      </w:r>
      <w:proofErr w:type="spellEnd"/>
      <w:r w:rsidRPr="00D42316">
        <w:t xml:space="preserve"> </w:t>
      </w:r>
      <w:proofErr w:type="spellStart"/>
      <w:r w:rsidRPr="00D42316">
        <w:t>process</w:t>
      </w:r>
      <w:proofErr w:type="spellEnd"/>
      <w:r w:rsidRPr="00D42316">
        <w:t xml:space="preserve"> (</w:t>
      </w:r>
      <w:proofErr w:type="spellStart"/>
      <w:r w:rsidRPr="00D42316">
        <w:t>survey</w:t>
      </w:r>
      <w:proofErr w:type="spellEnd"/>
      <w:r w:rsidRPr="00D42316">
        <w:t xml:space="preserve">, </w:t>
      </w:r>
      <w:proofErr w:type="spellStart"/>
      <w:r w:rsidRPr="00D42316">
        <w:t>suggestion</w:t>
      </w:r>
      <w:proofErr w:type="spellEnd"/>
      <w:r w:rsidRPr="00D42316">
        <w:t xml:space="preserve">, </w:t>
      </w:r>
      <w:proofErr w:type="spellStart"/>
      <w:r w:rsidRPr="00D42316">
        <w:t>etc</w:t>
      </w:r>
      <w:proofErr w:type="spellEnd"/>
      <w:r w:rsidRPr="00D42316">
        <w:t xml:space="preserve">.) </w:t>
      </w:r>
      <w:proofErr w:type="spellStart"/>
      <w:r w:rsidRPr="00D42316">
        <w:t>will</w:t>
      </w:r>
      <w:proofErr w:type="spellEnd"/>
      <w:r w:rsidRPr="00D42316">
        <w:t xml:space="preserve"> </w:t>
      </w:r>
      <w:proofErr w:type="spellStart"/>
      <w:r w:rsidRPr="00D42316">
        <w:t>open</w:t>
      </w:r>
      <w:proofErr w:type="spellEnd"/>
      <w:r w:rsidRPr="00D42316">
        <w:t xml:space="preserve"> </w:t>
      </w:r>
      <w:proofErr w:type="spellStart"/>
      <w:r w:rsidRPr="00D42316">
        <w:t>the</w:t>
      </w:r>
      <w:proofErr w:type="spellEnd"/>
      <w:r w:rsidRPr="00D42316">
        <w:t xml:space="preserve"> </w:t>
      </w:r>
      <w:proofErr w:type="spellStart"/>
      <w:r w:rsidRPr="00D42316">
        <w:t>doors</w:t>
      </w:r>
      <w:proofErr w:type="spellEnd"/>
      <w:r w:rsidRPr="00D42316">
        <w:t xml:space="preserve"> </w:t>
      </w:r>
      <w:proofErr w:type="spellStart"/>
      <w:r w:rsidRPr="00D42316">
        <w:t>to</w:t>
      </w:r>
      <w:proofErr w:type="spellEnd"/>
      <w:r w:rsidRPr="00D42316">
        <w:t xml:space="preserve"> a </w:t>
      </w:r>
      <w:proofErr w:type="spellStart"/>
      <w:r w:rsidRPr="00D42316">
        <w:t>sustainable</w:t>
      </w:r>
      <w:proofErr w:type="spellEnd"/>
      <w:r w:rsidRPr="00D42316">
        <w:t xml:space="preserve"> life.</w:t>
      </w:r>
    </w:p>
    <w:p w14:paraId="58F70FDC" w14:textId="77777777" w:rsidR="00F84AD5" w:rsidRPr="00D42316" w:rsidRDefault="00F84AD5" w:rsidP="003B45CB">
      <w:pPr>
        <w:jc w:val="center"/>
        <w:rPr>
          <w:b/>
        </w:rPr>
      </w:pPr>
    </w:p>
    <w:p w14:paraId="2B288FFA" w14:textId="2924FB6F" w:rsidR="00587C60" w:rsidRDefault="00AC051C" w:rsidP="003B45CB">
      <w:pPr>
        <w:widowControl/>
        <w:pBdr>
          <w:top w:val="nil"/>
          <w:left w:val="nil"/>
          <w:bottom w:val="nil"/>
          <w:right w:val="nil"/>
          <w:between w:val="nil"/>
        </w:pBdr>
        <w:jc w:val="both"/>
        <w:rPr>
          <w:color w:val="000000"/>
        </w:rPr>
      </w:pPr>
      <w:proofErr w:type="spellStart"/>
      <w:r w:rsidRPr="00D42316">
        <w:rPr>
          <w:b/>
          <w:color w:val="000000"/>
        </w:rPr>
        <w:t>Keywords</w:t>
      </w:r>
      <w:proofErr w:type="spellEnd"/>
      <w:r w:rsidRPr="00D42316">
        <w:rPr>
          <w:b/>
          <w:color w:val="000000"/>
        </w:rPr>
        <w:t>:</w:t>
      </w:r>
      <w:r w:rsidRPr="00D42316">
        <w:rPr>
          <w:color w:val="000000"/>
        </w:rPr>
        <w:t xml:space="preserve"> </w:t>
      </w:r>
      <w:proofErr w:type="spellStart"/>
      <w:r w:rsidRPr="00D42316">
        <w:rPr>
          <w:color w:val="000000"/>
        </w:rPr>
        <w:t>European</w:t>
      </w:r>
      <w:proofErr w:type="spellEnd"/>
      <w:r w:rsidRPr="00D42316">
        <w:rPr>
          <w:color w:val="000000"/>
        </w:rPr>
        <w:t xml:space="preserve"> </w:t>
      </w:r>
      <w:proofErr w:type="spellStart"/>
      <w:r w:rsidRPr="00D42316">
        <w:rPr>
          <w:color w:val="000000"/>
        </w:rPr>
        <w:t>Union</w:t>
      </w:r>
      <w:proofErr w:type="spellEnd"/>
      <w:r w:rsidRPr="00D42316">
        <w:rPr>
          <w:color w:val="000000"/>
        </w:rPr>
        <w:t xml:space="preserve">, </w:t>
      </w:r>
      <w:proofErr w:type="spellStart"/>
      <w:r w:rsidRPr="00D42316">
        <w:rPr>
          <w:color w:val="000000"/>
        </w:rPr>
        <w:t>Turkey</w:t>
      </w:r>
      <w:proofErr w:type="spellEnd"/>
      <w:r w:rsidRPr="00D42316">
        <w:rPr>
          <w:color w:val="000000"/>
        </w:rPr>
        <w:t xml:space="preserve">, Smart </w:t>
      </w:r>
      <w:proofErr w:type="spellStart"/>
      <w:r w:rsidRPr="00D42316">
        <w:rPr>
          <w:color w:val="000000"/>
        </w:rPr>
        <w:t>Cities</w:t>
      </w:r>
      <w:proofErr w:type="spellEnd"/>
      <w:r w:rsidRPr="00D42316">
        <w:rPr>
          <w:color w:val="000000"/>
        </w:rPr>
        <w:t xml:space="preserve">, Smart </w:t>
      </w:r>
      <w:proofErr w:type="spellStart"/>
      <w:r w:rsidRPr="00D42316">
        <w:rPr>
          <w:color w:val="000000"/>
        </w:rPr>
        <w:t>Cities</w:t>
      </w:r>
      <w:proofErr w:type="spellEnd"/>
      <w:r w:rsidRPr="00D42316">
        <w:rPr>
          <w:color w:val="000000"/>
        </w:rPr>
        <w:t xml:space="preserve"> </w:t>
      </w:r>
      <w:proofErr w:type="spellStart"/>
      <w:r w:rsidRPr="00D42316">
        <w:rPr>
          <w:color w:val="000000"/>
        </w:rPr>
        <w:t>Policy</w:t>
      </w:r>
      <w:proofErr w:type="spellEnd"/>
      <w:r w:rsidRPr="00D42316">
        <w:rPr>
          <w:color w:val="000000"/>
        </w:rPr>
        <w:t xml:space="preserve">, </w:t>
      </w:r>
      <w:proofErr w:type="spellStart"/>
      <w:r w:rsidRPr="00D42316">
        <w:rPr>
          <w:color w:val="000000"/>
        </w:rPr>
        <w:t>Quality</w:t>
      </w:r>
      <w:proofErr w:type="spellEnd"/>
      <w:r w:rsidRPr="00D42316">
        <w:rPr>
          <w:color w:val="000000"/>
        </w:rPr>
        <w:t xml:space="preserve"> of Life</w:t>
      </w:r>
    </w:p>
    <w:p w14:paraId="189B7067" w14:textId="5786DB62" w:rsidR="008F7191" w:rsidRPr="00587C60" w:rsidRDefault="00587C60" w:rsidP="00587C60">
      <w:pPr>
        <w:autoSpaceDE/>
        <w:autoSpaceDN/>
        <w:rPr>
          <w:color w:val="000000"/>
        </w:rPr>
      </w:pPr>
      <w:r>
        <w:rPr>
          <w:color w:val="000000"/>
        </w:rPr>
        <w:br w:type="page"/>
      </w:r>
    </w:p>
    <w:p w14:paraId="5AF286FC" w14:textId="77777777" w:rsidR="00F84AD5" w:rsidRDefault="00AC051C" w:rsidP="004C7694">
      <w:pPr>
        <w:pStyle w:val="Tark"/>
      </w:pPr>
      <w:bookmarkStart w:id="64" w:name="_Toc192855175"/>
      <w:r w:rsidRPr="00D42316">
        <w:lastRenderedPageBreak/>
        <w:t>Çevrimiçi Radikalleşme: Dijital Ortamların Bireysel Radikalleşmedeki Rolü</w:t>
      </w:r>
      <w:bookmarkEnd w:id="64"/>
    </w:p>
    <w:p w14:paraId="029AE451" w14:textId="77777777" w:rsidR="003B45CB" w:rsidRPr="003B45CB" w:rsidRDefault="003B45CB" w:rsidP="003B45CB">
      <w:pPr>
        <w:pStyle w:val="Metin"/>
      </w:pPr>
    </w:p>
    <w:p w14:paraId="25315116" w14:textId="77777777" w:rsidR="00F84AD5" w:rsidRDefault="00AC051C" w:rsidP="003B45CB">
      <w:pPr>
        <w:jc w:val="center"/>
      </w:pPr>
      <w:r w:rsidRPr="00D42316">
        <w:t xml:space="preserve">Mustafa </w:t>
      </w:r>
      <w:proofErr w:type="spellStart"/>
      <w:r w:rsidRPr="00D42316">
        <w:t>Eyigün</w:t>
      </w:r>
      <w:proofErr w:type="spellEnd"/>
      <w:r w:rsidRPr="00D42316">
        <w:t> </w:t>
      </w:r>
      <w:r w:rsidRPr="00D42316">
        <w:br/>
        <w:t>Yüksek Lisans Öğrencisi, Hitit Üniversitesi, Uluslararası İlişkiler ve Güvenlik </w:t>
      </w:r>
      <w:r w:rsidRPr="00D42316">
        <w:br/>
        <w:t>240427012@ogrenci.hitit.edu.tr</w:t>
      </w:r>
      <w:r w:rsidRPr="00D42316">
        <w:br/>
        <w:t>0009-0000-0390-6084</w:t>
      </w:r>
    </w:p>
    <w:p w14:paraId="24418D9C" w14:textId="77777777" w:rsidR="003B45CB" w:rsidRPr="00D42316" w:rsidRDefault="003B45CB" w:rsidP="003B45CB">
      <w:pPr>
        <w:jc w:val="center"/>
      </w:pPr>
    </w:p>
    <w:p w14:paraId="6557EDAC" w14:textId="6C37B9C6" w:rsidR="00963624" w:rsidRPr="00D42316" w:rsidRDefault="00963624" w:rsidP="003B45CB">
      <w:pPr>
        <w:jc w:val="center"/>
        <w:rPr>
          <w:b/>
          <w:bCs/>
        </w:rPr>
      </w:pPr>
      <w:r w:rsidRPr="00D42316">
        <w:rPr>
          <w:b/>
          <w:bCs/>
        </w:rPr>
        <w:t>Ö</w:t>
      </w:r>
      <w:r w:rsidR="00B4361D" w:rsidRPr="00D42316">
        <w:rPr>
          <w:b/>
          <w:bCs/>
        </w:rPr>
        <w:t>zet</w:t>
      </w:r>
    </w:p>
    <w:p w14:paraId="700073CF" w14:textId="77777777" w:rsidR="00F84AD5" w:rsidRPr="00D42316" w:rsidRDefault="00AC051C" w:rsidP="003B45CB">
      <w:pPr>
        <w:jc w:val="both"/>
      </w:pPr>
      <w:r w:rsidRPr="00D42316">
        <w:t xml:space="preserve">Bu çalışma, çevrimiçi radikalleşmenin dinamiklerini ve dijital ortamların bireyleri radikalleştirmedeki rolünü incelemektedir. Çevrimiçi alan ve çeşitliliğin artışı ile bireylerin radikal ideolojilere maruz kalması hızlanmıştır. Bunun için ise çevrimiçi platform ve anlık mesajlaşma grupları gibi alanlar radikalleşme sürecinde önemli araçlar haline gelmiştir. Sosyal medyanın sağladığı anonimlik, denetim eksikliği ve dezenformasyonun yayılabilmesi, bireyleri şiddeti meşru gören bir düşünce yapısına yönlendirebilmektedir. Araştırma şu sorulara yanıt aramaktadır: Çevrimiçi platformlar bireylerin radikalleşmesini nasıl kolaylaştırmaktadır? Sosyal medyanın sunduğu anonimlik ve denetimsizlik, radikalleşme süreçlerini nasıl hızlandırmaktadır? Çevrimiçi radikalleşmeye karşı hangi stratejiler etkili olabilir? Araştırmada, nitel analiz yöntemi kullanılarak sosyal medya platformlarının radikalleşme üzerindeki etkileri, çevrimiçi içeriklerin ve etkileşimlerin detaylı bir şekilde incelenmesiyle değerlendirilmiştir. Bu çalışmada, radikalleşmenin aşamaları, bireylerin çevrimiçi topluluklarla etkileşimleri ve sosyal medya platformlarının radikal ideolojilerin yayılımına nasıl hizmet ettiği analiz edilmiştir. Özellikle yalnız aktörlerin çevrimiçi ortamda nasıl radikalleştiği, sosyal medyanın bu süreçteki rolü ve terör örgütlerinin dijital stratejileri ele alınmıştır. Elde edilen bulgular, sosyal medyanın bireysel radikalleşmeyi hızlandıran bir zemin sunduğunu göstermektedir. Anonimlik ve denetimsizlik özelliklerinin, şiddet içerikli mesajların yayılmasına ve radikal ideolojilerin güçlenmesine yol açtığı gözlemlenmiştir. Sonuç olarak, çevrimiçi radikalleşmeyle mücadelede yapay zekâ destekli içerik kontrol sistemlerinin geliştirilmesi, medya okuryazarlığı eğitimlerinin dijital riskleri içerecek şekilde genişletilmesi ve dijital radikalleşmeye karşı </w:t>
      </w:r>
      <w:proofErr w:type="spellStart"/>
      <w:r w:rsidRPr="00D42316">
        <w:t>disiplinlerarası</w:t>
      </w:r>
      <w:proofErr w:type="spellEnd"/>
      <w:r w:rsidRPr="00D42316">
        <w:t xml:space="preserve"> iş birliğinin artırılması önerilmektedir.</w:t>
      </w:r>
    </w:p>
    <w:p w14:paraId="5C67BC97" w14:textId="14CF3E30" w:rsidR="00F84AD5" w:rsidRPr="00D42316" w:rsidRDefault="00F84AD5" w:rsidP="003B45CB">
      <w:pPr>
        <w:jc w:val="both"/>
      </w:pPr>
    </w:p>
    <w:p w14:paraId="12BAD861" w14:textId="1BAF1E03" w:rsidR="00587C60" w:rsidRDefault="00AC051C" w:rsidP="003B45CB">
      <w:pPr>
        <w:jc w:val="both"/>
      </w:pPr>
      <w:r w:rsidRPr="00D42316">
        <w:rPr>
          <w:b/>
        </w:rPr>
        <w:t xml:space="preserve">Anahtar Kelimeler: </w:t>
      </w:r>
      <w:r w:rsidRPr="00D42316">
        <w:t>Çevrimiçi Radikalleşme, Sosyal Medya, Dijital Güvenlik</w:t>
      </w:r>
    </w:p>
    <w:p w14:paraId="63A66682" w14:textId="3ED2789C" w:rsidR="008F7191" w:rsidRPr="00D42316" w:rsidRDefault="00587C60" w:rsidP="00587C60">
      <w:pPr>
        <w:autoSpaceDE/>
        <w:autoSpaceDN/>
      </w:pPr>
      <w:r>
        <w:br w:type="page"/>
      </w:r>
    </w:p>
    <w:p w14:paraId="461E1CEE" w14:textId="77777777" w:rsidR="00F84AD5" w:rsidRPr="00D42316" w:rsidRDefault="00AC051C" w:rsidP="004C7694">
      <w:pPr>
        <w:pStyle w:val="Tark"/>
      </w:pPr>
      <w:bookmarkStart w:id="65" w:name="_Toc192855176"/>
      <w:r w:rsidRPr="00D42316">
        <w:lastRenderedPageBreak/>
        <w:t>Türk Ceza Hukukunda Bilişim Suçları ve Veri Hırsızlığı</w:t>
      </w:r>
      <w:bookmarkEnd w:id="65"/>
    </w:p>
    <w:p w14:paraId="0C48AF1B" w14:textId="77777777" w:rsidR="00F84AD5" w:rsidRPr="00D42316" w:rsidRDefault="00F84AD5" w:rsidP="003B45CB">
      <w:pPr>
        <w:jc w:val="center"/>
        <w:rPr>
          <w:b/>
        </w:rPr>
      </w:pPr>
    </w:p>
    <w:p w14:paraId="5B724DB6" w14:textId="77777777" w:rsidR="00F84AD5" w:rsidRPr="00D42316" w:rsidRDefault="00AC051C" w:rsidP="003B45CB">
      <w:pPr>
        <w:jc w:val="center"/>
      </w:pPr>
      <w:r w:rsidRPr="00D42316">
        <w:t>İrem KARIKSIZ</w:t>
      </w:r>
    </w:p>
    <w:p w14:paraId="4B1C3414" w14:textId="6D917E18" w:rsidR="00F84AD5" w:rsidRPr="00D42316" w:rsidRDefault="00AC051C" w:rsidP="003B45CB">
      <w:pPr>
        <w:jc w:val="center"/>
      </w:pPr>
      <w:r w:rsidRPr="00D42316">
        <w:t>Yüksek Lisans Öğrencisi</w:t>
      </w:r>
    </w:p>
    <w:p w14:paraId="1406D1DD" w14:textId="77777777" w:rsidR="00F84AD5" w:rsidRPr="00D42316" w:rsidRDefault="00AC051C" w:rsidP="003B45CB">
      <w:pPr>
        <w:jc w:val="center"/>
      </w:pPr>
      <w:r w:rsidRPr="00D42316">
        <w:t>Kastamonu Üniversitesi Sosyal Bilimler Enstitüsü</w:t>
      </w:r>
    </w:p>
    <w:p w14:paraId="64ADC2A8" w14:textId="77777777" w:rsidR="00F84AD5" w:rsidRPr="00D42316" w:rsidRDefault="00AC051C" w:rsidP="003B45CB">
      <w:pPr>
        <w:jc w:val="center"/>
      </w:pPr>
      <w:r w:rsidRPr="00D42316">
        <w:t>Uluslararası İlişkiler Anabilim Dalı</w:t>
      </w:r>
      <w:r w:rsidRPr="00D42316">
        <w:br/>
      </w:r>
      <w:hyperlink r:id="rId116">
        <w:r w:rsidRPr="00D42316">
          <w:rPr>
            <w:color w:val="000000"/>
            <w:u w:val="single"/>
          </w:rPr>
          <w:t>iremkariksiz00@gmail.com</w:t>
        </w:r>
      </w:hyperlink>
    </w:p>
    <w:p w14:paraId="791189C9" w14:textId="77777777" w:rsidR="00F84AD5" w:rsidRPr="00D42316" w:rsidRDefault="00AC051C" w:rsidP="003B45CB">
      <w:pPr>
        <w:jc w:val="center"/>
      </w:pPr>
      <w:r w:rsidRPr="00D42316">
        <w:t>0009-0008-4551-2399</w:t>
      </w:r>
      <w:r w:rsidRPr="00D42316">
        <w:br/>
      </w:r>
    </w:p>
    <w:p w14:paraId="30DFCD4C" w14:textId="77777777" w:rsidR="00F84AD5" w:rsidRPr="00D42316" w:rsidRDefault="00AC051C" w:rsidP="003B45CB">
      <w:pPr>
        <w:jc w:val="center"/>
      </w:pPr>
      <w:r w:rsidRPr="00D42316">
        <w:t>Dr. Öğr. Üyesi Şenel SARSIKOĞLU</w:t>
      </w:r>
    </w:p>
    <w:p w14:paraId="14D39808" w14:textId="019F4394" w:rsidR="00F84AD5" w:rsidRPr="00D42316" w:rsidRDefault="00AC051C" w:rsidP="003B45CB">
      <w:pPr>
        <w:jc w:val="center"/>
      </w:pPr>
      <w:r w:rsidRPr="00D42316">
        <w:t>Kastamonu Üniversitesi İktisadi ve İdari Bilimler Fakültesi</w:t>
      </w:r>
    </w:p>
    <w:p w14:paraId="147C1FF5" w14:textId="77777777" w:rsidR="00F84AD5" w:rsidRPr="00D42316" w:rsidRDefault="00AC051C" w:rsidP="003B45CB">
      <w:pPr>
        <w:jc w:val="center"/>
      </w:pPr>
      <w:r w:rsidRPr="00D42316">
        <w:t>Uluslararası İlişkiler Bölümü</w:t>
      </w:r>
      <w:r w:rsidRPr="00D42316">
        <w:br/>
        <w:t>senels@kastamonu.edu.tr</w:t>
      </w:r>
      <w:r w:rsidRPr="00D42316">
        <w:br/>
        <w:t>0000-0002-2204-8422</w:t>
      </w:r>
    </w:p>
    <w:p w14:paraId="152E3E80" w14:textId="77777777" w:rsidR="00963624" w:rsidRPr="00D42316" w:rsidRDefault="00963624" w:rsidP="003B45CB">
      <w:pPr>
        <w:jc w:val="center"/>
      </w:pPr>
    </w:p>
    <w:p w14:paraId="78E2C48E" w14:textId="77777777" w:rsidR="00F84AD5" w:rsidRPr="00D42316" w:rsidRDefault="00F84AD5" w:rsidP="003B45CB">
      <w:pPr>
        <w:jc w:val="center"/>
        <w:rPr>
          <w:b/>
        </w:rPr>
      </w:pPr>
    </w:p>
    <w:p w14:paraId="2E9B7186" w14:textId="77777777" w:rsidR="00F84AD5" w:rsidRPr="00D42316" w:rsidRDefault="00AC051C" w:rsidP="003B45CB">
      <w:pPr>
        <w:jc w:val="center"/>
        <w:rPr>
          <w:b/>
        </w:rPr>
      </w:pPr>
      <w:r w:rsidRPr="00D42316">
        <w:rPr>
          <w:b/>
        </w:rPr>
        <w:t>Özet</w:t>
      </w:r>
    </w:p>
    <w:p w14:paraId="1C5EF7ED" w14:textId="77777777" w:rsidR="00F84AD5" w:rsidRPr="00D42316" w:rsidRDefault="00AC051C" w:rsidP="003B45CB">
      <w:pPr>
        <w:jc w:val="both"/>
      </w:pPr>
      <w:r w:rsidRPr="00D42316">
        <w:t>Türk Ceza Kanunu (TCK) 244. maddesi, kişisel verilerin kaydedilmesiyle ilgilidir. Veri güvenliğini sağlamak ve bireylerin haklarını korumak amacıyla oluşturulmuştur. Kişisel verilerin izinsiz olarak kaydedilmesi, bu verilerin kötüye kullanılması ya da bir başkasının kişisel verilerine izinsiz ulaşılması gibi durumlar cezai yaptırıma tabi tutulur. Bu madde kapsamında, kişisel verilerin kaydedilmesi, yalnızca ilgili kişinin rızası ile ya da kanunla belirlenen diğer durumlarda mümkün olup, aksi halde suç teşkil eder. Cezai yaptırımlar, kaydedilen verilerin niteliğine göre değişiklik gösterebilir. Bilgi hırsızlığı olarak da bilinen veri hırsızlığı, bir kişinin veya kuruluşun izinsiz olarak başkalarına ait verileri ele geçirerek kullanması veya yaymasıdır. Çalınan veriler banka hesabı bilgileri, çevrimiçi parolalar, pasaport numaraları, ehliyet numaraları, sosyal güvenlik numaraları, tıbbi kayıtlar, abonelikler ve benzeri her türlü bilgi olabilir. Veri hırsızlığı, kişisel bilgileri, finansal verileri, ticari sırları veya diğer hassas bilgileri ele almaktadır. Bu tür bir suç hem bireyler hem de şirketler için ciddi sonuçlar doğurabilir; çünkü ele geçirilen veriler kötüye kullanılabilir, kimlik hırsızlığına yol açabilir veya maddi kayıplara neden olabilir. Bilgi güvenliğini tehdit eden veri hırsızlığı, şirketler ve devlet kurumları gibi kurumsal operasyonlar için ciddi bir suçtur ve bu nedenle önlenmesi ve cezalandırılması gerekmektedir. Bu saldırılar bir kuruluşun veya şirketlerin bilgi sistemlerinden kaynaklanabilse de saldırganın ya da içeriden birinin elinde sonunda bilgi içeriğinin bulunduğu sistemle bağlantı kurması ve bilgiyi alması gerekir. Özellikle, içerden kötü niyet barındıran kişiler veya kuruluşlar, bir belgeyi basitçe açarak ve bir dijital kamera ile bilgisayar ekranında görüntülenen belgelerin resimlerini çekerek sızdırabilir. Bu çalışmada, TCK 244. maddesinde düzenlenen sistemi “engelleme”, “bozma”, verileri “yok etme” veya “değiştirme” suçunun unsurları incelenecektir. Çalışmanın amacı, veri hırsızlığının hangi koşullarda nasıl ortaya çıkacağının ve bu duruma karşı ceza sorumluluğunun ne olduğu tartışılacaktır.</w:t>
      </w:r>
    </w:p>
    <w:p w14:paraId="2F47B716" w14:textId="77777777" w:rsidR="00B4361D" w:rsidRPr="00D42316" w:rsidRDefault="00B4361D" w:rsidP="003B45CB">
      <w:pPr>
        <w:jc w:val="both"/>
      </w:pPr>
    </w:p>
    <w:p w14:paraId="0259F533" w14:textId="4CFC2C34" w:rsidR="00587C60" w:rsidRDefault="00AC051C" w:rsidP="003B45CB">
      <w:pPr>
        <w:jc w:val="both"/>
      </w:pPr>
      <w:r w:rsidRPr="00D42316">
        <w:rPr>
          <w:b/>
        </w:rPr>
        <w:t xml:space="preserve">Anahtar Kelimeler: </w:t>
      </w:r>
      <w:r w:rsidRPr="00D42316">
        <w:t>Ceza hukuku, Bilişim suçu, Bilişim sistemi, Veri hırsızlığı, Kişisel veri.</w:t>
      </w:r>
    </w:p>
    <w:p w14:paraId="7FC54239" w14:textId="090C9077" w:rsidR="00B4361D" w:rsidRPr="00587C60" w:rsidRDefault="00587C60" w:rsidP="003B45CB">
      <w:pPr>
        <w:autoSpaceDE/>
        <w:autoSpaceDN/>
      </w:pPr>
      <w:r>
        <w:br w:type="page"/>
      </w:r>
    </w:p>
    <w:p w14:paraId="0BAC67ED" w14:textId="77777777" w:rsidR="00F84AD5" w:rsidRPr="00D42316" w:rsidRDefault="00AC051C" w:rsidP="004C7694">
      <w:pPr>
        <w:pStyle w:val="Tark"/>
      </w:pPr>
      <w:bookmarkStart w:id="66" w:name="_Toc192855177"/>
      <w:proofErr w:type="spellStart"/>
      <w:r w:rsidRPr="00D42316">
        <w:lastRenderedPageBreak/>
        <w:t>Cybercrimes</w:t>
      </w:r>
      <w:proofErr w:type="spellEnd"/>
      <w:r w:rsidRPr="00D42316">
        <w:t xml:space="preserve"> </w:t>
      </w:r>
      <w:proofErr w:type="spellStart"/>
      <w:r w:rsidRPr="00D42316">
        <w:t>and</w:t>
      </w:r>
      <w:proofErr w:type="spellEnd"/>
      <w:r w:rsidRPr="00D42316">
        <w:t xml:space="preserve"> Data </w:t>
      </w:r>
      <w:proofErr w:type="spellStart"/>
      <w:r w:rsidRPr="00D42316">
        <w:t>Theft</w:t>
      </w:r>
      <w:proofErr w:type="spellEnd"/>
      <w:r w:rsidRPr="00D42316">
        <w:t xml:space="preserve"> in </w:t>
      </w:r>
      <w:proofErr w:type="spellStart"/>
      <w:r w:rsidRPr="00D42316">
        <w:t>Turkish</w:t>
      </w:r>
      <w:proofErr w:type="spellEnd"/>
      <w:r w:rsidRPr="00D42316">
        <w:t xml:space="preserve"> </w:t>
      </w:r>
      <w:proofErr w:type="spellStart"/>
      <w:r w:rsidRPr="00D42316">
        <w:t>Criminal</w:t>
      </w:r>
      <w:proofErr w:type="spellEnd"/>
      <w:r w:rsidRPr="00D42316">
        <w:t> </w:t>
      </w:r>
      <w:proofErr w:type="spellStart"/>
      <w:r w:rsidRPr="00D42316">
        <w:t>Law</w:t>
      </w:r>
      <w:bookmarkEnd w:id="66"/>
      <w:proofErr w:type="spellEnd"/>
    </w:p>
    <w:p w14:paraId="701B9D53" w14:textId="77777777" w:rsidR="00F84AD5" w:rsidRPr="00D42316" w:rsidRDefault="00F84AD5" w:rsidP="003B45CB">
      <w:pPr>
        <w:jc w:val="center"/>
        <w:rPr>
          <w:b/>
        </w:rPr>
      </w:pPr>
    </w:p>
    <w:p w14:paraId="6E6F7C20" w14:textId="77777777" w:rsidR="00F84AD5" w:rsidRDefault="00AC051C" w:rsidP="003B45CB">
      <w:pPr>
        <w:jc w:val="center"/>
      </w:pPr>
      <w:r w:rsidRPr="00D42316">
        <w:t>İrem KARIKSIZ</w:t>
      </w:r>
      <w:r w:rsidRPr="00D42316">
        <w:br/>
      </w:r>
      <w:proofErr w:type="spellStart"/>
      <w:r w:rsidRPr="00D42316">
        <w:t>Master’s</w:t>
      </w:r>
      <w:proofErr w:type="spellEnd"/>
      <w:r w:rsidRPr="00D42316">
        <w:t xml:space="preserve"> </w:t>
      </w:r>
      <w:proofErr w:type="spellStart"/>
      <w:r w:rsidRPr="00D42316">
        <w:t>Student</w:t>
      </w:r>
      <w:proofErr w:type="spellEnd"/>
      <w:r w:rsidRPr="00D42316">
        <w:br/>
        <w:t xml:space="preserve">Kastamonu </w:t>
      </w:r>
      <w:proofErr w:type="spellStart"/>
      <w:r w:rsidRPr="00D42316">
        <w:t>University</w:t>
      </w:r>
      <w:proofErr w:type="spellEnd"/>
      <w:r w:rsidRPr="00D42316">
        <w:t xml:space="preserve">, </w:t>
      </w:r>
      <w:proofErr w:type="spellStart"/>
      <w:r w:rsidRPr="00D42316">
        <w:t>Institute</w:t>
      </w:r>
      <w:proofErr w:type="spellEnd"/>
      <w:r w:rsidRPr="00D42316">
        <w:t xml:space="preserve"> of </w:t>
      </w:r>
      <w:proofErr w:type="spellStart"/>
      <w:r w:rsidRPr="00D42316">
        <w:t>Social</w:t>
      </w:r>
      <w:proofErr w:type="spellEnd"/>
      <w:r w:rsidRPr="00D42316">
        <w:t xml:space="preserve"> </w:t>
      </w:r>
      <w:proofErr w:type="spellStart"/>
      <w:r w:rsidRPr="00D42316">
        <w:t>Sciences</w:t>
      </w:r>
      <w:proofErr w:type="spellEnd"/>
      <w:r w:rsidRPr="00D42316">
        <w:br/>
      </w:r>
      <w:proofErr w:type="spellStart"/>
      <w:r w:rsidRPr="00D42316">
        <w:t>Department</w:t>
      </w:r>
      <w:proofErr w:type="spellEnd"/>
      <w:r w:rsidRPr="00D42316">
        <w:t xml:space="preserve"> of International </w:t>
      </w:r>
      <w:proofErr w:type="spellStart"/>
      <w:r w:rsidRPr="00D42316">
        <w:t>Relations</w:t>
      </w:r>
      <w:proofErr w:type="spellEnd"/>
      <w:r w:rsidRPr="00D42316">
        <w:br/>
        <w:t>iremkariksiz00@gmail.com</w:t>
      </w:r>
      <w:r w:rsidRPr="00D42316">
        <w:br/>
        <w:t>0009-0008-4551-2399</w:t>
      </w:r>
    </w:p>
    <w:p w14:paraId="07920ACD" w14:textId="77777777" w:rsidR="003B45CB" w:rsidRPr="00D42316" w:rsidRDefault="003B45CB" w:rsidP="003B45CB">
      <w:pPr>
        <w:jc w:val="center"/>
      </w:pPr>
    </w:p>
    <w:p w14:paraId="45F9C4F2" w14:textId="77777777" w:rsidR="00F84AD5" w:rsidRPr="00D42316" w:rsidRDefault="00AC051C" w:rsidP="003B45CB">
      <w:pPr>
        <w:jc w:val="center"/>
      </w:pPr>
      <w:r w:rsidRPr="00D42316">
        <w:t>Dr. Şenel SARSIKOĞLU</w:t>
      </w:r>
      <w:r w:rsidRPr="00D42316">
        <w:br/>
      </w:r>
      <w:proofErr w:type="spellStart"/>
      <w:r w:rsidRPr="00D42316">
        <w:t>Faculty</w:t>
      </w:r>
      <w:proofErr w:type="spellEnd"/>
      <w:r w:rsidRPr="00D42316">
        <w:t xml:space="preserve"> </w:t>
      </w:r>
      <w:proofErr w:type="spellStart"/>
      <w:r w:rsidRPr="00D42316">
        <w:t>Member</w:t>
      </w:r>
      <w:proofErr w:type="spellEnd"/>
      <w:r w:rsidRPr="00D42316">
        <w:t xml:space="preserve">, </w:t>
      </w:r>
      <w:proofErr w:type="spellStart"/>
      <w:r w:rsidRPr="00D42316">
        <w:t>Department</w:t>
      </w:r>
      <w:proofErr w:type="spellEnd"/>
      <w:r w:rsidRPr="00D42316">
        <w:t xml:space="preserve"> of International </w:t>
      </w:r>
      <w:proofErr w:type="spellStart"/>
      <w:r w:rsidRPr="00D42316">
        <w:t>Relations</w:t>
      </w:r>
      <w:proofErr w:type="spellEnd"/>
      <w:r w:rsidRPr="00D42316">
        <w:br/>
        <w:t xml:space="preserve">Kastamonu </w:t>
      </w:r>
      <w:proofErr w:type="spellStart"/>
      <w:r w:rsidRPr="00D42316">
        <w:t>University</w:t>
      </w:r>
      <w:proofErr w:type="spellEnd"/>
      <w:r w:rsidRPr="00D42316">
        <w:t xml:space="preserve">, </w:t>
      </w:r>
      <w:proofErr w:type="spellStart"/>
      <w:r w:rsidRPr="00D42316">
        <w:t>Faculty</w:t>
      </w:r>
      <w:proofErr w:type="spellEnd"/>
      <w:r w:rsidRPr="00D42316">
        <w:t xml:space="preserve"> of </w:t>
      </w:r>
      <w:proofErr w:type="spellStart"/>
      <w:r w:rsidRPr="00D42316">
        <w:t>Economics</w:t>
      </w:r>
      <w:proofErr w:type="spellEnd"/>
      <w:r w:rsidRPr="00D42316">
        <w:t xml:space="preserve"> </w:t>
      </w:r>
      <w:proofErr w:type="spellStart"/>
      <w:r w:rsidRPr="00D42316">
        <w:t>and</w:t>
      </w:r>
      <w:proofErr w:type="spellEnd"/>
      <w:r w:rsidRPr="00D42316">
        <w:t xml:space="preserve"> </w:t>
      </w:r>
      <w:proofErr w:type="spellStart"/>
      <w:r w:rsidRPr="00D42316">
        <w:t>Administrative</w:t>
      </w:r>
      <w:proofErr w:type="spellEnd"/>
      <w:r w:rsidRPr="00D42316">
        <w:t xml:space="preserve"> </w:t>
      </w:r>
      <w:proofErr w:type="spellStart"/>
      <w:r w:rsidRPr="00D42316">
        <w:t>Sciences</w:t>
      </w:r>
      <w:proofErr w:type="spellEnd"/>
      <w:r w:rsidRPr="00D42316">
        <w:br/>
        <w:t>senels@kastamonu.edu.tr</w:t>
      </w:r>
      <w:r w:rsidRPr="00D42316">
        <w:br/>
        <w:t>0000-0002-2204-8422</w:t>
      </w:r>
    </w:p>
    <w:p w14:paraId="1A05525B" w14:textId="77777777" w:rsidR="00F84AD5" w:rsidRPr="00D42316" w:rsidRDefault="00F84AD5" w:rsidP="003B45CB">
      <w:pPr>
        <w:jc w:val="center"/>
        <w:rPr>
          <w:b/>
        </w:rPr>
      </w:pPr>
    </w:p>
    <w:p w14:paraId="593529C0" w14:textId="77777777" w:rsidR="00F84AD5" w:rsidRPr="00D42316" w:rsidRDefault="00AC051C" w:rsidP="003B45CB">
      <w:pPr>
        <w:jc w:val="center"/>
        <w:rPr>
          <w:b/>
        </w:rPr>
      </w:pPr>
      <w:proofErr w:type="spellStart"/>
      <w:r w:rsidRPr="00D42316">
        <w:rPr>
          <w:b/>
        </w:rPr>
        <w:t>Abstract</w:t>
      </w:r>
      <w:proofErr w:type="spellEnd"/>
    </w:p>
    <w:p w14:paraId="678F8988" w14:textId="77777777" w:rsidR="00F84AD5" w:rsidRPr="00D42316" w:rsidRDefault="00AC051C" w:rsidP="003B45CB">
      <w:pPr>
        <w:jc w:val="both"/>
      </w:pPr>
      <w:proofErr w:type="spellStart"/>
      <w:r w:rsidRPr="00D42316">
        <w:t>Article</w:t>
      </w:r>
      <w:proofErr w:type="spellEnd"/>
      <w:r w:rsidRPr="00D42316">
        <w:t xml:space="preserve"> 244 of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Penal</w:t>
      </w:r>
      <w:proofErr w:type="spellEnd"/>
      <w:r w:rsidRPr="00D42316">
        <w:t xml:space="preserve"> </w:t>
      </w:r>
      <w:proofErr w:type="spellStart"/>
      <w:r w:rsidRPr="00D42316">
        <w:t>Code</w:t>
      </w:r>
      <w:proofErr w:type="spellEnd"/>
      <w:r w:rsidRPr="00D42316">
        <w:t xml:space="preserve"> (TPC) </w:t>
      </w:r>
      <w:proofErr w:type="spellStart"/>
      <w:r w:rsidRPr="00D42316">
        <w:t>focuses</w:t>
      </w:r>
      <w:proofErr w:type="spellEnd"/>
      <w:r w:rsidRPr="00D42316">
        <w:t xml:space="preserve"> on </w:t>
      </w:r>
      <w:proofErr w:type="spellStart"/>
      <w:r w:rsidRPr="00D42316">
        <w:t>the</w:t>
      </w:r>
      <w:proofErr w:type="spellEnd"/>
      <w:r w:rsidRPr="00D42316">
        <w:t xml:space="preserve"> </w:t>
      </w:r>
      <w:proofErr w:type="spellStart"/>
      <w:r w:rsidRPr="00D42316">
        <w:t>recording</w:t>
      </w:r>
      <w:proofErr w:type="spellEnd"/>
      <w:r w:rsidRPr="00D42316">
        <w:t xml:space="preserve"> of </w:t>
      </w:r>
      <w:proofErr w:type="spellStart"/>
      <w:r w:rsidRPr="00D42316">
        <w:t>personal</w:t>
      </w:r>
      <w:proofErr w:type="spellEnd"/>
      <w:r w:rsidRPr="00D42316">
        <w:t xml:space="preserve"> </w:t>
      </w:r>
      <w:proofErr w:type="gramStart"/>
      <w:r w:rsidRPr="00D42316">
        <w:t>data</w:t>
      </w:r>
      <w:proofErr w:type="gramEnd"/>
      <w:r w:rsidRPr="00D42316">
        <w:t xml:space="preserve"> </w:t>
      </w:r>
      <w:proofErr w:type="spellStart"/>
      <w:r w:rsidRPr="00D42316">
        <w:t>and</w:t>
      </w:r>
      <w:proofErr w:type="spellEnd"/>
      <w:r w:rsidRPr="00D42316">
        <w:t xml:space="preserve"> </w:t>
      </w:r>
      <w:proofErr w:type="spellStart"/>
      <w:r w:rsidRPr="00D42316">
        <w:t>addresses</w:t>
      </w:r>
      <w:proofErr w:type="spellEnd"/>
      <w:r w:rsidRPr="00D42316">
        <w:t xml:space="preserve"> </w:t>
      </w:r>
      <w:proofErr w:type="spellStart"/>
      <w:r w:rsidRPr="00D42316">
        <w:t>the</w:t>
      </w:r>
      <w:proofErr w:type="spellEnd"/>
      <w:r w:rsidRPr="00D42316">
        <w:t xml:space="preserve"> </w:t>
      </w:r>
      <w:proofErr w:type="spellStart"/>
      <w:r w:rsidRPr="00D42316">
        <w:t>penalties</w:t>
      </w:r>
      <w:proofErr w:type="spellEnd"/>
      <w:r w:rsidRPr="00D42316">
        <w:t xml:space="preserve"> </w:t>
      </w:r>
      <w:proofErr w:type="spellStart"/>
      <w:r w:rsidRPr="00D42316">
        <w:t>applicable</w:t>
      </w:r>
      <w:proofErr w:type="spellEnd"/>
      <w:r w:rsidRPr="00D42316">
        <w:t xml:space="preserve"> </w:t>
      </w:r>
      <w:proofErr w:type="spellStart"/>
      <w:r w:rsidRPr="00D42316">
        <w:t>to</w:t>
      </w:r>
      <w:proofErr w:type="spellEnd"/>
      <w:r w:rsidRPr="00D42316">
        <w:t xml:space="preserve"> </w:t>
      </w:r>
      <w:proofErr w:type="spellStart"/>
      <w:r w:rsidRPr="00D42316">
        <w:t>cases</w:t>
      </w:r>
      <w:proofErr w:type="spellEnd"/>
      <w:r w:rsidRPr="00D42316">
        <w:t xml:space="preserve"> of </w:t>
      </w:r>
      <w:proofErr w:type="spellStart"/>
      <w:r w:rsidRPr="00D42316">
        <w:t>unlawful</w:t>
      </w:r>
      <w:proofErr w:type="spellEnd"/>
      <w:r w:rsidRPr="00D42316">
        <w:t xml:space="preserve"> data </w:t>
      </w:r>
      <w:proofErr w:type="spellStart"/>
      <w:r w:rsidRPr="00D42316">
        <w:t>recording</w:t>
      </w:r>
      <w:proofErr w:type="spellEnd"/>
      <w:r w:rsidRPr="00D42316">
        <w:t xml:space="preserve">. </w:t>
      </w:r>
      <w:proofErr w:type="spellStart"/>
      <w:r w:rsidRPr="00D42316">
        <w:t>This</w:t>
      </w:r>
      <w:proofErr w:type="spellEnd"/>
      <w:r w:rsidRPr="00D42316">
        <w:t xml:space="preserve"> </w:t>
      </w:r>
      <w:proofErr w:type="spellStart"/>
      <w:r w:rsidRPr="00D42316">
        <w:t>article</w:t>
      </w:r>
      <w:proofErr w:type="spellEnd"/>
      <w:r w:rsidRPr="00D42316">
        <w:t xml:space="preserve"> </w:t>
      </w:r>
      <w:proofErr w:type="spellStart"/>
      <w:r w:rsidRPr="00D42316">
        <w:t>plays</w:t>
      </w:r>
      <w:proofErr w:type="spellEnd"/>
      <w:r w:rsidRPr="00D42316">
        <w:t xml:space="preserve"> a </w:t>
      </w:r>
      <w:proofErr w:type="spellStart"/>
      <w:r w:rsidRPr="00D42316">
        <w:t>crucial</w:t>
      </w:r>
      <w:proofErr w:type="spellEnd"/>
      <w:r w:rsidRPr="00D42316">
        <w:t xml:space="preserve"> role in </w:t>
      </w:r>
      <w:proofErr w:type="spellStart"/>
      <w:r w:rsidRPr="00D42316">
        <w:t>ensuring</w:t>
      </w:r>
      <w:proofErr w:type="spellEnd"/>
      <w:r w:rsidRPr="00D42316">
        <w:t xml:space="preserve"> </w:t>
      </w:r>
      <w:proofErr w:type="gramStart"/>
      <w:r w:rsidRPr="00D42316">
        <w:t>data</w:t>
      </w:r>
      <w:proofErr w:type="gramEnd"/>
      <w:r w:rsidRPr="00D42316">
        <w:t xml:space="preserve"> </w:t>
      </w:r>
      <w:proofErr w:type="spellStart"/>
      <w:r w:rsidRPr="00D42316">
        <w:t>security</w:t>
      </w:r>
      <w:proofErr w:type="spellEnd"/>
      <w:r w:rsidRPr="00D42316">
        <w:t xml:space="preserve"> </w:t>
      </w:r>
      <w:proofErr w:type="spellStart"/>
      <w:r w:rsidRPr="00D42316">
        <w:t>and</w:t>
      </w:r>
      <w:proofErr w:type="spellEnd"/>
      <w:r w:rsidRPr="00D42316">
        <w:t xml:space="preserve"> </w:t>
      </w:r>
      <w:proofErr w:type="spellStart"/>
      <w:r w:rsidRPr="00D42316">
        <w:t>safeguarding</w:t>
      </w:r>
      <w:proofErr w:type="spellEnd"/>
      <w:r w:rsidRPr="00D42316">
        <w:t xml:space="preserve"> </w:t>
      </w:r>
      <w:proofErr w:type="spellStart"/>
      <w:r w:rsidRPr="00D42316">
        <w:t>individuals</w:t>
      </w:r>
      <w:proofErr w:type="spellEnd"/>
      <w:r w:rsidRPr="00D42316">
        <w:t xml:space="preserve">' </w:t>
      </w:r>
      <w:proofErr w:type="spellStart"/>
      <w:r w:rsidRPr="00D42316">
        <w:t>rights</w:t>
      </w:r>
      <w:proofErr w:type="spellEnd"/>
      <w:r w:rsidRPr="00D42316">
        <w:t xml:space="preserve">. </w:t>
      </w:r>
      <w:proofErr w:type="spellStart"/>
      <w:r w:rsidRPr="00D42316">
        <w:t>Situations</w:t>
      </w:r>
      <w:proofErr w:type="spellEnd"/>
      <w:r w:rsidRPr="00D42316">
        <w:t xml:space="preserve"> </w:t>
      </w:r>
      <w:proofErr w:type="spellStart"/>
      <w:r w:rsidRPr="00D42316">
        <w:t>such</w:t>
      </w:r>
      <w:proofErr w:type="spellEnd"/>
      <w:r w:rsidRPr="00D42316">
        <w:t xml:space="preserve"> as </w:t>
      </w:r>
      <w:proofErr w:type="spellStart"/>
      <w:r w:rsidRPr="00D42316">
        <w:t>the</w:t>
      </w:r>
      <w:proofErr w:type="spellEnd"/>
      <w:r w:rsidRPr="00D42316">
        <w:t xml:space="preserve"> </w:t>
      </w:r>
      <w:proofErr w:type="spellStart"/>
      <w:r w:rsidRPr="00D42316">
        <w:t>unauthorized</w:t>
      </w:r>
      <w:proofErr w:type="spellEnd"/>
      <w:r w:rsidRPr="00D42316">
        <w:t xml:space="preserve"> </w:t>
      </w:r>
      <w:proofErr w:type="spellStart"/>
      <w:r w:rsidRPr="00D42316">
        <w:t>recording</w:t>
      </w:r>
      <w:proofErr w:type="spellEnd"/>
      <w:r w:rsidRPr="00D42316">
        <w:t xml:space="preserve"> of </w:t>
      </w:r>
      <w:proofErr w:type="spellStart"/>
      <w:r w:rsidRPr="00D42316">
        <w:t>personal</w:t>
      </w:r>
      <w:proofErr w:type="spellEnd"/>
      <w:r w:rsidRPr="00D42316">
        <w:t xml:space="preserve"> </w:t>
      </w:r>
      <w:proofErr w:type="gramStart"/>
      <w:r w:rsidRPr="00D42316">
        <w:t>data</w:t>
      </w:r>
      <w:proofErr w:type="gramEnd"/>
      <w:r w:rsidRPr="00D42316">
        <w:t xml:space="preserve">, </w:t>
      </w:r>
      <w:proofErr w:type="spellStart"/>
      <w:r w:rsidRPr="00D42316">
        <w:t>the</w:t>
      </w:r>
      <w:proofErr w:type="spellEnd"/>
      <w:r w:rsidRPr="00D42316">
        <w:t xml:space="preserve"> </w:t>
      </w:r>
      <w:proofErr w:type="spellStart"/>
      <w:r w:rsidRPr="00D42316">
        <w:t>misuse</w:t>
      </w:r>
      <w:proofErr w:type="spellEnd"/>
      <w:r w:rsidRPr="00D42316">
        <w:t xml:space="preserve"> of </w:t>
      </w:r>
      <w:proofErr w:type="spellStart"/>
      <w:r w:rsidRPr="00D42316">
        <w:t>such</w:t>
      </w:r>
      <w:proofErr w:type="spellEnd"/>
      <w:r w:rsidRPr="00D42316">
        <w:t xml:space="preserve"> data, </w:t>
      </w:r>
      <w:proofErr w:type="spellStart"/>
      <w:r w:rsidRPr="00D42316">
        <w:t>or</w:t>
      </w:r>
      <w:proofErr w:type="spellEnd"/>
      <w:r w:rsidRPr="00D42316">
        <w:t xml:space="preserve"> </w:t>
      </w:r>
      <w:proofErr w:type="spellStart"/>
      <w:r w:rsidRPr="00D42316">
        <w:t>unauthorized</w:t>
      </w:r>
      <w:proofErr w:type="spellEnd"/>
      <w:r w:rsidRPr="00D42316">
        <w:t xml:space="preserve"> </w:t>
      </w:r>
      <w:proofErr w:type="spellStart"/>
      <w:r w:rsidRPr="00D42316">
        <w:t>access</w:t>
      </w:r>
      <w:proofErr w:type="spellEnd"/>
      <w:r w:rsidRPr="00D42316">
        <w:t xml:space="preserve"> </w:t>
      </w:r>
      <w:proofErr w:type="spellStart"/>
      <w:r w:rsidRPr="00D42316">
        <w:t>to</w:t>
      </w:r>
      <w:proofErr w:type="spellEnd"/>
      <w:r w:rsidRPr="00D42316">
        <w:t xml:space="preserve"> </w:t>
      </w:r>
      <w:proofErr w:type="spellStart"/>
      <w:r w:rsidRPr="00D42316">
        <w:t>another</w:t>
      </w:r>
      <w:proofErr w:type="spellEnd"/>
      <w:r w:rsidRPr="00D42316">
        <w:t xml:space="preserve"> </w:t>
      </w:r>
      <w:proofErr w:type="spellStart"/>
      <w:r w:rsidRPr="00D42316">
        <w:t>person's</w:t>
      </w:r>
      <w:proofErr w:type="spellEnd"/>
      <w:r w:rsidRPr="00D42316">
        <w:t xml:space="preserve"> </w:t>
      </w:r>
      <w:proofErr w:type="spellStart"/>
      <w:r w:rsidRPr="00D42316">
        <w:t>personal</w:t>
      </w:r>
      <w:proofErr w:type="spellEnd"/>
      <w:r w:rsidRPr="00D42316">
        <w:t xml:space="preserve"> </w:t>
      </w:r>
      <w:proofErr w:type="spellStart"/>
      <w:r w:rsidRPr="00D42316">
        <w:t>information</w:t>
      </w:r>
      <w:proofErr w:type="spellEnd"/>
      <w:r w:rsidRPr="00D42316">
        <w:t xml:space="preserve"> </w:t>
      </w:r>
      <w:proofErr w:type="spellStart"/>
      <w:r w:rsidRPr="00D42316">
        <w:t>are</w:t>
      </w:r>
      <w:proofErr w:type="spellEnd"/>
      <w:r w:rsidRPr="00D42316">
        <w:t xml:space="preserve"> </w:t>
      </w:r>
      <w:proofErr w:type="spellStart"/>
      <w:r w:rsidRPr="00D42316">
        <w:t>subject</w:t>
      </w:r>
      <w:proofErr w:type="spellEnd"/>
      <w:r w:rsidRPr="00D42316">
        <w:t xml:space="preserve"> </w:t>
      </w:r>
      <w:proofErr w:type="spellStart"/>
      <w:r w:rsidRPr="00D42316">
        <w:t>to</w:t>
      </w:r>
      <w:proofErr w:type="spellEnd"/>
      <w:r w:rsidRPr="00D42316">
        <w:t xml:space="preserve"> </w:t>
      </w:r>
      <w:proofErr w:type="spellStart"/>
      <w:r w:rsidRPr="00D42316">
        <w:t>criminal</w:t>
      </w:r>
      <w:proofErr w:type="spellEnd"/>
      <w:r w:rsidRPr="00D42316">
        <w:t xml:space="preserve"> </w:t>
      </w:r>
      <w:proofErr w:type="spellStart"/>
      <w:r w:rsidRPr="00D42316">
        <w:t>sanctions</w:t>
      </w:r>
      <w:proofErr w:type="spellEnd"/>
      <w:r w:rsidRPr="00D42316">
        <w:t xml:space="preserve"> </w:t>
      </w:r>
      <w:proofErr w:type="spellStart"/>
      <w:r w:rsidRPr="00D42316">
        <w:t>under</w:t>
      </w:r>
      <w:proofErr w:type="spellEnd"/>
      <w:r w:rsidRPr="00D42316">
        <w:t xml:space="preserve"> </w:t>
      </w:r>
      <w:proofErr w:type="spellStart"/>
      <w:r w:rsidRPr="00D42316">
        <w:t>this</w:t>
      </w:r>
      <w:proofErr w:type="spellEnd"/>
      <w:r w:rsidRPr="00D42316">
        <w:t xml:space="preserve"> </w:t>
      </w:r>
      <w:proofErr w:type="spellStart"/>
      <w:r w:rsidRPr="00D42316">
        <w:t>provision</w:t>
      </w:r>
      <w:proofErr w:type="spellEnd"/>
      <w:r w:rsidRPr="00D42316">
        <w:t xml:space="preserve">. </w:t>
      </w:r>
      <w:proofErr w:type="spellStart"/>
      <w:r w:rsidRPr="00D42316">
        <w:t>Specifically</w:t>
      </w:r>
      <w:proofErr w:type="spellEnd"/>
      <w:r w:rsidRPr="00D42316">
        <w:t xml:space="preserve">, </w:t>
      </w:r>
      <w:proofErr w:type="spellStart"/>
      <w:r w:rsidRPr="00D42316">
        <w:t>the</w:t>
      </w:r>
      <w:proofErr w:type="spellEnd"/>
      <w:r w:rsidRPr="00D42316">
        <w:t xml:space="preserve"> </w:t>
      </w:r>
      <w:proofErr w:type="spellStart"/>
      <w:r w:rsidRPr="00D42316">
        <w:t>recording</w:t>
      </w:r>
      <w:proofErr w:type="spellEnd"/>
      <w:r w:rsidRPr="00D42316">
        <w:t xml:space="preserve"> of </w:t>
      </w:r>
      <w:proofErr w:type="spellStart"/>
      <w:r w:rsidRPr="00D42316">
        <w:t>personal</w:t>
      </w:r>
      <w:proofErr w:type="spellEnd"/>
      <w:r w:rsidRPr="00D42316">
        <w:t xml:space="preserve"> </w:t>
      </w:r>
      <w:proofErr w:type="gramStart"/>
      <w:r w:rsidRPr="00D42316">
        <w:t>data</w:t>
      </w:r>
      <w:proofErr w:type="gramEnd"/>
      <w:r w:rsidRPr="00D42316">
        <w:t xml:space="preserve"> is </w:t>
      </w:r>
      <w:proofErr w:type="spellStart"/>
      <w:r w:rsidRPr="00D42316">
        <w:t>only</w:t>
      </w:r>
      <w:proofErr w:type="spellEnd"/>
      <w:r w:rsidRPr="00D42316">
        <w:t xml:space="preserve"> </w:t>
      </w:r>
      <w:proofErr w:type="spellStart"/>
      <w:r w:rsidRPr="00D42316">
        <w:t>deemed</w:t>
      </w:r>
      <w:proofErr w:type="spellEnd"/>
      <w:r w:rsidRPr="00D42316">
        <w:t xml:space="preserve"> </w:t>
      </w:r>
      <w:proofErr w:type="spellStart"/>
      <w:r w:rsidRPr="00D42316">
        <w:t>lawful</w:t>
      </w:r>
      <w:proofErr w:type="spellEnd"/>
      <w:r w:rsidRPr="00D42316">
        <w:t xml:space="preserve"> </w:t>
      </w:r>
      <w:proofErr w:type="spellStart"/>
      <w:r w:rsidRPr="00D42316">
        <w:t>when</w:t>
      </w:r>
      <w:proofErr w:type="spellEnd"/>
      <w:r w:rsidRPr="00D42316">
        <w:t xml:space="preserve"> </w:t>
      </w:r>
      <w:proofErr w:type="spellStart"/>
      <w:r w:rsidRPr="00D42316">
        <w:t>conducted</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explicit</w:t>
      </w:r>
      <w:proofErr w:type="spellEnd"/>
      <w:r w:rsidRPr="00D42316">
        <w:t xml:space="preserve"> </w:t>
      </w:r>
      <w:proofErr w:type="spellStart"/>
      <w:r w:rsidRPr="00D42316">
        <w:t>consent</w:t>
      </w:r>
      <w:proofErr w:type="spellEnd"/>
      <w:r w:rsidRPr="00D42316">
        <w:t xml:space="preserve"> of </w:t>
      </w:r>
      <w:proofErr w:type="spellStart"/>
      <w:r w:rsidRPr="00D42316">
        <w:t>the</w:t>
      </w:r>
      <w:proofErr w:type="spellEnd"/>
      <w:r w:rsidRPr="00D42316">
        <w:t xml:space="preserve"> </w:t>
      </w:r>
      <w:proofErr w:type="spellStart"/>
      <w:r w:rsidRPr="00D42316">
        <w:t>individual</w:t>
      </w:r>
      <w:proofErr w:type="spellEnd"/>
      <w:r w:rsidRPr="00D42316">
        <w:t xml:space="preserve"> </w:t>
      </w:r>
      <w:proofErr w:type="spellStart"/>
      <w:r w:rsidRPr="00D42316">
        <w:t>concerned</w:t>
      </w:r>
      <w:proofErr w:type="spellEnd"/>
      <w:r w:rsidRPr="00D42316">
        <w:t xml:space="preserve"> </w:t>
      </w:r>
      <w:proofErr w:type="spellStart"/>
      <w:r w:rsidRPr="00D42316">
        <w:t>or</w:t>
      </w:r>
      <w:proofErr w:type="spellEnd"/>
      <w:r w:rsidRPr="00D42316">
        <w:t xml:space="preserve"> in </w:t>
      </w:r>
      <w:proofErr w:type="spellStart"/>
      <w:r w:rsidRPr="00D42316">
        <w:t>circumstances</w:t>
      </w:r>
      <w:proofErr w:type="spellEnd"/>
      <w:r w:rsidRPr="00D42316">
        <w:t xml:space="preserve"> </w:t>
      </w:r>
      <w:proofErr w:type="spellStart"/>
      <w:r w:rsidRPr="00D42316">
        <w:t>explicitly</w:t>
      </w:r>
      <w:proofErr w:type="spellEnd"/>
      <w:r w:rsidRPr="00D42316">
        <w:t xml:space="preserve"> </w:t>
      </w:r>
      <w:proofErr w:type="spellStart"/>
      <w:r w:rsidRPr="00D42316">
        <w:t>authorized</w:t>
      </w:r>
      <w:proofErr w:type="spellEnd"/>
      <w:r w:rsidRPr="00D42316">
        <w:t xml:space="preserve"> </w:t>
      </w:r>
      <w:proofErr w:type="spellStart"/>
      <w:r w:rsidRPr="00D42316">
        <w:t>by</w:t>
      </w:r>
      <w:proofErr w:type="spellEnd"/>
      <w:r w:rsidRPr="00D42316">
        <w:t xml:space="preserve"> </w:t>
      </w:r>
      <w:proofErr w:type="spellStart"/>
      <w:r w:rsidRPr="00D42316">
        <w:t>law</w:t>
      </w:r>
      <w:proofErr w:type="spellEnd"/>
      <w:r w:rsidRPr="00D42316">
        <w:t xml:space="preserve">. </w:t>
      </w:r>
      <w:proofErr w:type="spellStart"/>
      <w:r w:rsidRPr="00D42316">
        <w:t>Otherwise</w:t>
      </w:r>
      <w:proofErr w:type="spellEnd"/>
      <w:r w:rsidRPr="00D42316">
        <w:t xml:space="preserve">, </w:t>
      </w:r>
      <w:proofErr w:type="spellStart"/>
      <w:r w:rsidRPr="00D42316">
        <w:t>such</w:t>
      </w:r>
      <w:proofErr w:type="spellEnd"/>
      <w:r w:rsidRPr="00D42316">
        <w:t xml:space="preserve"> </w:t>
      </w:r>
      <w:proofErr w:type="spellStart"/>
      <w:r w:rsidRPr="00D42316">
        <w:t>actions</w:t>
      </w:r>
      <w:proofErr w:type="spellEnd"/>
      <w:r w:rsidRPr="00D42316">
        <w:t xml:space="preserve"> </w:t>
      </w:r>
      <w:proofErr w:type="spellStart"/>
      <w:r w:rsidRPr="00D42316">
        <w:t>are</w:t>
      </w:r>
      <w:proofErr w:type="spellEnd"/>
      <w:r w:rsidRPr="00D42316">
        <w:t xml:space="preserve"> </w:t>
      </w:r>
      <w:proofErr w:type="spellStart"/>
      <w:r w:rsidRPr="00D42316">
        <w:t>classified</w:t>
      </w:r>
      <w:proofErr w:type="spellEnd"/>
      <w:r w:rsidRPr="00D42316">
        <w:t xml:space="preserve"> as </w:t>
      </w:r>
      <w:proofErr w:type="spellStart"/>
      <w:r w:rsidRPr="00D42316">
        <w:t>criminal</w:t>
      </w:r>
      <w:proofErr w:type="spellEnd"/>
      <w:r w:rsidRPr="00D42316">
        <w:t xml:space="preserve"> </w:t>
      </w:r>
      <w:proofErr w:type="spellStart"/>
      <w:r w:rsidRPr="00D42316">
        <w:t>offenses</w:t>
      </w:r>
      <w:proofErr w:type="spellEnd"/>
      <w:r w:rsidRPr="00D42316">
        <w:t xml:space="preserve">, </w:t>
      </w:r>
      <w:proofErr w:type="spellStart"/>
      <w:r w:rsidRPr="00D42316">
        <w:t>with</w:t>
      </w:r>
      <w:proofErr w:type="spellEnd"/>
      <w:r w:rsidRPr="00D42316">
        <w:t xml:space="preserve"> </w:t>
      </w:r>
      <w:proofErr w:type="spellStart"/>
      <w:r w:rsidRPr="00D42316">
        <w:t>sanctions</w:t>
      </w:r>
      <w:proofErr w:type="spellEnd"/>
      <w:r w:rsidRPr="00D42316">
        <w:t xml:space="preserve"> </w:t>
      </w:r>
      <w:proofErr w:type="spellStart"/>
      <w:r w:rsidRPr="00D42316">
        <w:t>varying</w:t>
      </w:r>
      <w:proofErr w:type="spellEnd"/>
      <w:r w:rsidRPr="00D42316">
        <w:t xml:space="preserve">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nature</w:t>
      </w:r>
      <w:proofErr w:type="spellEnd"/>
      <w:r w:rsidRPr="00D42316">
        <w:t xml:space="preserve"> </w:t>
      </w:r>
      <w:proofErr w:type="spellStart"/>
      <w:r w:rsidRPr="00D42316">
        <w:t>and</w:t>
      </w:r>
      <w:proofErr w:type="spellEnd"/>
      <w:r w:rsidRPr="00D42316">
        <w:t xml:space="preserve"> </w:t>
      </w:r>
      <w:proofErr w:type="spellStart"/>
      <w:r w:rsidRPr="00D42316">
        <w:t>scope</w:t>
      </w:r>
      <w:proofErr w:type="spellEnd"/>
      <w:r w:rsidRPr="00D42316">
        <w:t xml:space="preserve"> of </w:t>
      </w:r>
      <w:proofErr w:type="spellStart"/>
      <w:r w:rsidRPr="00D42316">
        <w:t>the</w:t>
      </w:r>
      <w:proofErr w:type="spellEnd"/>
      <w:r w:rsidRPr="00D42316">
        <w:t xml:space="preserve"> </w:t>
      </w:r>
      <w:proofErr w:type="spellStart"/>
      <w:r w:rsidRPr="00D42316">
        <w:t>recorded</w:t>
      </w:r>
      <w:proofErr w:type="spellEnd"/>
      <w:r w:rsidRPr="00D42316">
        <w:t xml:space="preserve"> </w:t>
      </w:r>
      <w:proofErr w:type="gramStart"/>
      <w:r w:rsidRPr="00D42316">
        <w:t>data</w:t>
      </w:r>
      <w:proofErr w:type="gramEnd"/>
      <w:r w:rsidRPr="00D42316">
        <w:t xml:space="preserve">. </w:t>
      </w:r>
      <w:proofErr w:type="gramStart"/>
      <w:r w:rsidRPr="00D42316">
        <w:t>Data</w:t>
      </w:r>
      <w:proofErr w:type="gramEnd"/>
      <w:r w:rsidRPr="00D42316">
        <w:t xml:space="preserve"> </w:t>
      </w:r>
      <w:proofErr w:type="spellStart"/>
      <w:r w:rsidRPr="00D42316">
        <w:t>theft</w:t>
      </w:r>
      <w:proofErr w:type="spellEnd"/>
      <w:r w:rsidRPr="00D42316">
        <w:t xml:space="preserve">, </w:t>
      </w:r>
      <w:proofErr w:type="spellStart"/>
      <w:r w:rsidRPr="00D42316">
        <w:t>also</w:t>
      </w:r>
      <w:proofErr w:type="spellEnd"/>
      <w:r w:rsidRPr="00D42316">
        <w:t xml:space="preserve"> </w:t>
      </w:r>
      <w:proofErr w:type="spellStart"/>
      <w:r w:rsidRPr="00D42316">
        <w:t>referred</w:t>
      </w:r>
      <w:proofErr w:type="spellEnd"/>
      <w:r w:rsidRPr="00D42316">
        <w:t xml:space="preserve"> </w:t>
      </w:r>
      <w:proofErr w:type="spellStart"/>
      <w:r w:rsidRPr="00D42316">
        <w:t>to</w:t>
      </w:r>
      <w:proofErr w:type="spellEnd"/>
      <w:r w:rsidRPr="00D42316">
        <w:t xml:space="preserve"> as </w:t>
      </w:r>
      <w:proofErr w:type="spellStart"/>
      <w:r w:rsidRPr="00D42316">
        <w:t>information</w:t>
      </w:r>
      <w:proofErr w:type="spellEnd"/>
      <w:r w:rsidRPr="00D42316">
        <w:t xml:space="preserve"> </w:t>
      </w:r>
      <w:proofErr w:type="spellStart"/>
      <w:r w:rsidRPr="00D42316">
        <w:t>theft</w:t>
      </w:r>
      <w:proofErr w:type="spellEnd"/>
      <w:r w:rsidRPr="00D42316">
        <w:t xml:space="preserve">, </w:t>
      </w:r>
      <w:proofErr w:type="spellStart"/>
      <w:r w:rsidRPr="00D42316">
        <w:t>involves</w:t>
      </w:r>
      <w:proofErr w:type="spellEnd"/>
      <w:r w:rsidRPr="00D42316">
        <w:t xml:space="preserve"> </w:t>
      </w:r>
      <w:proofErr w:type="spellStart"/>
      <w:r w:rsidRPr="00D42316">
        <w:t>the</w:t>
      </w:r>
      <w:proofErr w:type="spellEnd"/>
      <w:r w:rsidRPr="00D42316">
        <w:t xml:space="preserve"> </w:t>
      </w:r>
      <w:proofErr w:type="spellStart"/>
      <w:r w:rsidRPr="00D42316">
        <w:t>unauthorized</w:t>
      </w:r>
      <w:proofErr w:type="spellEnd"/>
      <w:r w:rsidRPr="00D42316">
        <w:t xml:space="preserve"> </w:t>
      </w:r>
      <w:proofErr w:type="spellStart"/>
      <w:r w:rsidRPr="00D42316">
        <w:t>acquisition</w:t>
      </w:r>
      <w:proofErr w:type="spellEnd"/>
      <w:r w:rsidRPr="00D42316">
        <w:t xml:space="preserve">, </w:t>
      </w:r>
      <w:proofErr w:type="spellStart"/>
      <w:r w:rsidRPr="00D42316">
        <w:t>use</w:t>
      </w:r>
      <w:proofErr w:type="spellEnd"/>
      <w:r w:rsidRPr="00D42316">
        <w:t xml:space="preserve">, </w:t>
      </w:r>
      <w:proofErr w:type="spellStart"/>
      <w:r w:rsidRPr="00D42316">
        <w:t>or</w:t>
      </w:r>
      <w:proofErr w:type="spellEnd"/>
      <w:r w:rsidRPr="00D42316">
        <w:t xml:space="preserve"> </w:t>
      </w:r>
      <w:proofErr w:type="spellStart"/>
      <w:r w:rsidRPr="00D42316">
        <w:t>dissemination</w:t>
      </w:r>
      <w:proofErr w:type="spellEnd"/>
      <w:r w:rsidRPr="00D42316">
        <w:t xml:space="preserve"> of </w:t>
      </w:r>
      <w:proofErr w:type="spellStart"/>
      <w:r w:rsidRPr="00D42316">
        <w:t>someone</w:t>
      </w:r>
      <w:proofErr w:type="spellEnd"/>
      <w:r w:rsidRPr="00D42316">
        <w:t xml:space="preserve"> </w:t>
      </w:r>
      <w:proofErr w:type="spellStart"/>
      <w:r w:rsidRPr="00D42316">
        <w:t>else’s</w:t>
      </w:r>
      <w:proofErr w:type="spellEnd"/>
      <w:r w:rsidRPr="00D42316">
        <w:t xml:space="preserve"> data </w:t>
      </w:r>
      <w:proofErr w:type="spellStart"/>
      <w:r w:rsidRPr="00D42316">
        <w:t>by</w:t>
      </w:r>
      <w:proofErr w:type="spellEnd"/>
      <w:r w:rsidRPr="00D42316">
        <w:t xml:space="preserve"> </w:t>
      </w:r>
      <w:proofErr w:type="spellStart"/>
      <w:r w:rsidRPr="00D42316">
        <w:t>individuals</w:t>
      </w:r>
      <w:proofErr w:type="spellEnd"/>
      <w:r w:rsidRPr="00D42316">
        <w:t xml:space="preserve"> </w:t>
      </w:r>
      <w:proofErr w:type="spellStart"/>
      <w:r w:rsidRPr="00D42316">
        <w:t>or</w:t>
      </w:r>
      <w:proofErr w:type="spellEnd"/>
      <w:r w:rsidRPr="00D42316">
        <w:t xml:space="preserve"> </w:t>
      </w:r>
      <w:proofErr w:type="spellStart"/>
      <w:r w:rsidRPr="00D42316">
        <w:t>entities</w:t>
      </w:r>
      <w:proofErr w:type="spellEnd"/>
      <w:r w:rsidRPr="00D42316">
        <w:t xml:space="preserve">. </w:t>
      </w:r>
      <w:proofErr w:type="spellStart"/>
      <w:r w:rsidRPr="00D42316">
        <w:t>Stolen</w:t>
      </w:r>
      <w:proofErr w:type="spellEnd"/>
      <w:r w:rsidRPr="00D42316">
        <w:t xml:space="preserve"> </w:t>
      </w:r>
      <w:proofErr w:type="gramStart"/>
      <w:r w:rsidRPr="00D42316">
        <w:t>data</w:t>
      </w:r>
      <w:proofErr w:type="gramEnd"/>
      <w:r w:rsidRPr="00D42316">
        <w:t xml:space="preserve"> </w:t>
      </w:r>
      <w:proofErr w:type="spellStart"/>
      <w:r w:rsidRPr="00D42316">
        <w:t>may</w:t>
      </w:r>
      <w:proofErr w:type="spellEnd"/>
      <w:r w:rsidRPr="00D42316">
        <w:t xml:space="preserve"> </w:t>
      </w:r>
      <w:proofErr w:type="spellStart"/>
      <w:r w:rsidRPr="00D42316">
        <w:t>include</w:t>
      </w:r>
      <w:proofErr w:type="spellEnd"/>
      <w:r w:rsidRPr="00D42316">
        <w:t xml:space="preserve"> </w:t>
      </w:r>
      <w:proofErr w:type="spellStart"/>
      <w:r w:rsidRPr="00D42316">
        <w:t>sensitive</w:t>
      </w:r>
      <w:proofErr w:type="spellEnd"/>
      <w:r w:rsidRPr="00D42316">
        <w:t xml:space="preserve"> </w:t>
      </w:r>
      <w:proofErr w:type="spellStart"/>
      <w:r w:rsidRPr="00D42316">
        <w:t>personal</w:t>
      </w:r>
      <w:proofErr w:type="spellEnd"/>
      <w:r w:rsidRPr="00D42316">
        <w:t xml:space="preserve"> </w:t>
      </w:r>
      <w:proofErr w:type="spellStart"/>
      <w:r w:rsidRPr="00D42316">
        <w:t>and</w:t>
      </w:r>
      <w:proofErr w:type="spellEnd"/>
      <w:r w:rsidRPr="00D42316">
        <w:t xml:space="preserve"> </w:t>
      </w:r>
      <w:proofErr w:type="spellStart"/>
      <w:r w:rsidRPr="00D42316">
        <w:t>financial</w:t>
      </w:r>
      <w:proofErr w:type="spellEnd"/>
      <w:r w:rsidRPr="00D42316">
        <w:t xml:space="preserve"> </w:t>
      </w:r>
      <w:proofErr w:type="spellStart"/>
      <w:r w:rsidRPr="00D42316">
        <w:t>information</w:t>
      </w:r>
      <w:proofErr w:type="spellEnd"/>
      <w:r w:rsidRPr="00D42316">
        <w:t xml:space="preserve"> </w:t>
      </w:r>
      <w:proofErr w:type="spellStart"/>
      <w:r w:rsidRPr="00D42316">
        <w:t>such</w:t>
      </w:r>
      <w:proofErr w:type="spellEnd"/>
      <w:r w:rsidRPr="00D42316">
        <w:t xml:space="preserve"> as bank </w:t>
      </w:r>
      <w:proofErr w:type="spellStart"/>
      <w:r w:rsidRPr="00D42316">
        <w:t>account</w:t>
      </w:r>
      <w:proofErr w:type="spellEnd"/>
      <w:r w:rsidRPr="00D42316">
        <w:t xml:space="preserve"> </w:t>
      </w:r>
      <w:proofErr w:type="spellStart"/>
      <w:r w:rsidRPr="00D42316">
        <w:t>details</w:t>
      </w:r>
      <w:proofErr w:type="spellEnd"/>
      <w:r w:rsidRPr="00D42316">
        <w:t xml:space="preserve">, online </w:t>
      </w:r>
      <w:proofErr w:type="spellStart"/>
      <w:r w:rsidRPr="00D42316">
        <w:t>passwords</w:t>
      </w:r>
      <w:proofErr w:type="spellEnd"/>
      <w:r w:rsidRPr="00D42316">
        <w:t xml:space="preserve">, </w:t>
      </w:r>
      <w:proofErr w:type="spellStart"/>
      <w:r w:rsidRPr="00D42316">
        <w:t>passport</w:t>
      </w:r>
      <w:proofErr w:type="spellEnd"/>
      <w:r w:rsidRPr="00D42316">
        <w:t xml:space="preserve"> </w:t>
      </w:r>
      <w:proofErr w:type="spellStart"/>
      <w:r w:rsidRPr="00D42316">
        <w:t>numbers</w:t>
      </w:r>
      <w:proofErr w:type="spellEnd"/>
      <w:r w:rsidRPr="00D42316">
        <w:t xml:space="preserve">, </w:t>
      </w:r>
      <w:proofErr w:type="spellStart"/>
      <w:r w:rsidRPr="00D42316">
        <w:t>driver’s</w:t>
      </w:r>
      <w:proofErr w:type="spellEnd"/>
      <w:r w:rsidRPr="00D42316">
        <w:t xml:space="preserve"> </w:t>
      </w:r>
      <w:proofErr w:type="spellStart"/>
      <w:r w:rsidRPr="00D42316">
        <w:t>license</w:t>
      </w:r>
      <w:proofErr w:type="spellEnd"/>
      <w:r w:rsidRPr="00D42316">
        <w:t xml:space="preserve"> </w:t>
      </w:r>
      <w:proofErr w:type="spellStart"/>
      <w:r w:rsidRPr="00D42316">
        <w:t>numbers</w:t>
      </w:r>
      <w:proofErr w:type="spellEnd"/>
      <w:r w:rsidRPr="00D42316">
        <w:t xml:space="preserve">, </w:t>
      </w:r>
      <w:proofErr w:type="spellStart"/>
      <w:r w:rsidRPr="00D42316">
        <w:t>social</w:t>
      </w:r>
      <w:proofErr w:type="spellEnd"/>
      <w:r w:rsidRPr="00D42316">
        <w:t xml:space="preserve"> </w:t>
      </w:r>
      <w:proofErr w:type="spellStart"/>
      <w:r w:rsidRPr="00D42316">
        <w:t>security</w:t>
      </w:r>
      <w:proofErr w:type="spellEnd"/>
      <w:r w:rsidRPr="00D42316">
        <w:t xml:space="preserve"> </w:t>
      </w:r>
      <w:proofErr w:type="spellStart"/>
      <w:r w:rsidRPr="00D42316">
        <w:t>numbers</w:t>
      </w:r>
      <w:proofErr w:type="spellEnd"/>
      <w:r w:rsidRPr="00D42316">
        <w:t xml:space="preserve">, </w:t>
      </w:r>
      <w:proofErr w:type="spellStart"/>
      <w:r w:rsidRPr="00D42316">
        <w:t>medical</w:t>
      </w:r>
      <w:proofErr w:type="spellEnd"/>
      <w:r w:rsidRPr="00D42316">
        <w:t xml:space="preserve"> </w:t>
      </w:r>
      <w:proofErr w:type="spellStart"/>
      <w:r w:rsidRPr="00D42316">
        <w:t>records</w:t>
      </w:r>
      <w:proofErr w:type="spellEnd"/>
      <w:r w:rsidRPr="00D42316">
        <w:t xml:space="preserve">, </w:t>
      </w:r>
      <w:proofErr w:type="spellStart"/>
      <w:r w:rsidRPr="00D42316">
        <w:t>or</w:t>
      </w:r>
      <w:proofErr w:type="spellEnd"/>
      <w:r w:rsidRPr="00D42316">
        <w:t xml:space="preserve"> </w:t>
      </w:r>
      <w:proofErr w:type="spellStart"/>
      <w:r w:rsidRPr="00D42316">
        <w:t>subscription</w:t>
      </w:r>
      <w:proofErr w:type="spellEnd"/>
      <w:r w:rsidRPr="00D42316">
        <w:t xml:space="preserve"> </w:t>
      </w:r>
      <w:proofErr w:type="spellStart"/>
      <w:r w:rsidRPr="00D42316">
        <w:t>details</w:t>
      </w:r>
      <w:proofErr w:type="spellEnd"/>
      <w:r w:rsidRPr="00D42316">
        <w:t xml:space="preserve">. Beyond </w:t>
      </w:r>
      <w:proofErr w:type="spellStart"/>
      <w:r w:rsidRPr="00D42316">
        <w:t>personal</w:t>
      </w:r>
      <w:proofErr w:type="spellEnd"/>
      <w:r w:rsidRPr="00D42316">
        <w:t xml:space="preserve"> </w:t>
      </w:r>
      <w:proofErr w:type="gramStart"/>
      <w:r w:rsidRPr="00D42316">
        <w:t>data</w:t>
      </w:r>
      <w:proofErr w:type="gramEnd"/>
      <w:r w:rsidRPr="00D42316">
        <w:t xml:space="preserve">, data </w:t>
      </w:r>
      <w:proofErr w:type="spellStart"/>
      <w:r w:rsidRPr="00D42316">
        <w:t>theft</w:t>
      </w:r>
      <w:proofErr w:type="spellEnd"/>
      <w:r w:rsidRPr="00D42316">
        <w:t xml:space="preserve"> </w:t>
      </w:r>
      <w:proofErr w:type="spellStart"/>
      <w:r w:rsidRPr="00D42316">
        <w:t>often</w:t>
      </w:r>
      <w:proofErr w:type="spellEnd"/>
      <w:r w:rsidRPr="00D42316">
        <w:t xml:space="preserve"> </w:t>
      </w:r>
      <w:proofErr w:type="spellStart"/>
      <w:r w:rsidRPr="00D42316">
        <w:t>involves</w:t>
      </w:r>
      <w:proofErr w:type="spellEnd"/>
      <w:r w:rsidRPr="00D42316">
        <w:t xml:space="preserve"> </w:t>
      </w:r>
      <w:proofErr w:type="spellStart"/>
      <w:r w:rsidRPr="00D42316">
        <w:t>financial</w:t>
      </w:r>
      <w:proofErr w:type="spellEnd"/>
      <w:r w:rsidRPr="00D42316">
        <w:t xml:space="preserve"> </w:t>
      </w:r>
      <w:proofErr w:type="spellStart"/>
      <w:r w:rsidRPr="00D42316">
        <w:t>records</w:t>
      </w:r>
      <w:proofErr w:type="spellEnd"/>
      <w:r w:rsidRPr="00D42316">
        <w:t xml:space="preserve">, </w:t>
      </w:r>
      <w:proofErr w:type="spellStart"/>
      <w:r w:rsidRPr="00D42316">
        <w:t>trade</w:t>
      </w:r>
      <w:proofErr w:type="spellEnd"/>
      <w:r w:rsidRPr="00D42316">
        <w:t xml:space="preserve"> </w:t>
      </w:r>
      <w:proofErr w:type="spellStart"/>
      <w:r w:rsidRPr="00D42316">
        <w:t>secrets</w:t>
      </w:r>
      <w:proofErr w:type="spellEnd"/>
      <w:r w:rsidRPr="00D42316">
        <w:t xml:space="preserve">, </w:t>
      </w:r>
      <w:proofErr w:type="spellStart"/>
      <w:r w:rsidRPr="00D42316">
        <w:t>or</w:t>
      </w:r>
      <w:proofErr w:type="spellEnd"/>
      <w:r w:rsidRPr="00D42316">
        <w:t xml:space="preserve"> </w:t>
      </w:r>
      <w:proofErr w:type="spellStart"/>
      <w:r w:rsidRPr="00D42316">
        <w:t>other</w:t>
      </w:r>
      <w:proofErr w:type="spellEnd"/>
      <w:r w:rsidRPr="00D42316">
        <w:t xml:space="preserve"> </w:t>
      </w:r>
      <w:proofErr w:type="spellStart"/>
      <w:r w:rsidRPr="00D42316">
        <w:t>highly</w:t>
      </w:r>
      <w:proofErr w:type="spellEnd"/>
      <w:r w:rsidRPr="00D42316">
        <w:t xml:space="preserve"> </w:t>
      </w:r>
      <w:proofErr w:type="spellStart"/>
      <w:r w:rsidRPr="00D42316">
        <w:t>sensitive</w:t>
      </w:r>
      <w:proofErr w:type="spellEnd"/>
      <w:r w:rsidRPr="00D42316">
        <w:t xml:space="preserve"> </w:t>
      </w:r>
      <w:proofErr w:type="spellStart"/>
      <w:r w:rsidRPr="00D42316">
        <w:t>information</w:t>
      </w:r>
      <w:proofErr w:type="spellEnd"/>
      <w:r w:rsidRPr="00D42316">
        <w:t xml:space="preserve">. </w:t>
      </w:r>
      <w:proofErr w:type="spellStart"/>
      <w:r w:rsidRPr="00D42316">
        <w:t>These</w:t>
      </w:r>
      <w:proofErr w:type="spellEnd"/>
      <w:r w:rsidRPr="00D42316">
        <w:t xml:space="preserve"> </w:t>
      </w:r>
      <w:proofErr w:type="spellStart"/>
      <w:r w:rsidRPr="00D42316">
        <w:t>crimes</w:t>
      </w:r>
      <w:proofErr w:type="spellEnd"/>
      <w:r w:rsidRPr="00D42316">
        <w:t xml:space="preserve"> can </w:t>
      </w:r>
      <w:proofErr w:type="spellStart"/>
      <w:r w:rsidRPr="00D42316">
        <w:t>have</w:t>
      </w:r>
      <w:proofErr w:type="spellEnd"/>
      <w:r w:rsidRPr="00D42316">
        <w:t xml:space="preserve"> severe </w:t>
      </w:r>
      <w:proofErr w:type="spellStart"/>
      <w:r w:rsidRPr="00D42316">
        <w:t>consequences</w:t>
      </w:r>
      <w:proofErr w:type="spellEnd"/>
      <w:r w:rsidRPr="00D42316">
        <w:t xml:space="preserve"> </w:t>
      </w:r>
      <w:proofErr w:type="spellStart"/>
      <w:r w:rsidRPr="00D42316">
        <w:t>for</w:t>
      </w:r>
      <w:proofErr w:type="spellEnd"/>
      <w:r w:rsidRPr="00D42316">
        <w:t xml:space="preserve">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organizations</w:t>
      </w:r>
      <w:proofErr w:type="spellEnd"/>
      <w:r w:rsidRPr="00D42316">
        <w:t xml:space="preserve"> </w:t>
      </w:r>
      <w:proofErr w:type="spellStart"/>
      <w:r w:rsidRPr="00D42316">
        <w:t>alike</w:t>
      </w:r>
      <w:proofErr w:type="spellEnd"/>
      <w:r w:rsidRPr="00D42316">
        <w:t xml:space="preserve">, as </w:t>
      </w:r>
      <w:proofErr w:type="spellStart"/>
      <w:r w:rsidRPr="00D42316">
        <w:t>the</w:t>
      </w:r>
      <w:proofErr w:type="spellEnd"/>
      <w:r w:rsidRPr="00D42316">
        <w:t xml:space="preserve"> </w:t>
      </w:r>
      <w:proofErr w:type="spellStart"/>
      <w:r w:rsidRPr="00D42316">
        <w:t>stolen</w:t>
      </w:r>
      <w:proofErr w:type="spellEnd"/>
      <w:r w:rsidRPr="00D42316">
        <w:t xml:space="preserve"> </w:t>
      </w:r>
      <w:proofErr w:type="gramStart"/>
      <w:r w:rsidRPr="00D42316">
        <w:t>data</w:t>
      </w:r>
      <w:proofErr w:type="gramEnd"/>
      <w:r w:rsidRPr="00D42316">
        <w:t xml:space="preserve"> </w:t>
      </w:r>
      <w:proofErr w:type="spellStart"/>
      <w:r w:rsidRPr="00D42316">
        <w:t>may</w:t>
      </w:r>
      <w:proofErr w:type="spellEnd"/>
      <w:r w:rsidRPr="00D42316">
        <w:t xml:space="preserve"> be </w:t>
      </w:r>
      <w:proofErr w:type="spellStart"/>
      <w:r w:rsidRPr="00D42316">
        <w:t>exploited</w:t>
      </w:r>
      <w:proofErr w:type="spellEnd"/>
      <w:r w:rsidRPr="00D42316">
        <w:t xml:space="preserve">, </w:t>
      </w:r>
      <w:proofErr w:type="spellStart"/>
      <w:r w:rsidRPr="00D42316">
        <w:t>leading</w:t>
      </w:r>
      <w:proofErr w:type="spellEnd"/>
      <w:r w:rsidRPr="00D42316">
        <w:t xml:space="preserve"> </w:t>
      </w:r>
      <w:proofErr w:type="spellStart"/>
      <w:r w:rsidRPr="00D42316">
        <w:t>to</w:t>
      </w:r>
      <w:proofErr w:type="spellEnd"/>
      <w:r w:rsidRPr="00D42316">
        <w:t xml:space="preserve"> </w:t>
      </w:r>
      <w:proofErr w:type="spellStart"/>
      <w:r w:rsidRPr="00D42316">
        <w:t>identity</w:t>
      </w:r>
      <w:proofErr w:type="spellEnd"/>
      <w:r w:rsidRPr="00D42316">
        <w:t xml:space="preserve"> </w:t>
      </w:r>
      <w:proofErr w:type="spellStart"/>
      <w:r w:rsidRPr="00D42316">
        <w:t>theft</w:t>
      </w:r>
      <w:proofErr w:type="spellEnd"/>
      <w:r w:rsidRPr="00D42316">
        <w:t xml:space="preserve">, </w:t>
      </w:r>
      <w:proofErr w:type="spellStart"/>
      <w:r w:rsidRPr="00D42316">
        <w:t>financial</w:t>
      </w:r>
      <w:proofErr w:type="spellEnd"/>
      <w:r w:rsidRPr="00D42316">
        <w:t xml:space="preserve"> </w:t>
      </w:r>
      <w:proofErr w:type="spellStart"/>
      <w:r w:rsidRPr="00D42316">
        <w:t>losses</w:t>
      </w:r>
      <w:proofErr w:type="spellEnd"/>
      <w:r w:rsidRPr="00D42316">
        <w:t xml:space="preserve">, </w:t>
      </w:r>
      <w:proofErr w:type="spellStart"/>
      <w:r w:rsidRPr="00D42316">
        <w:t>or</w:t>
      </w:r>
      <w:proofErr w:type="spellEnd"/>
      <w:r w:rsidRPr="00D42316">
        <w:t xml:space="preserve"> </w:t>
      </w:r>
      <w:proofErr w:type="spellStart"/>
      <w:r w:rsidRPr="00D42316">
        <w:t>reputational</w:t>
      </w:r>
      <w:proofErr w:type="spellEnd"/>
      <w:r w:rsidRPr="00D42316">
        <w:t xml:space="preserve"> </w:t>
      </w:r>
      <w:proofErr w:type="spellStart"/>
      <w:r w:rsidRPr="00D42316">
        <w:t>damage</w:t>
      </w:r>
      <w:proofErr w:type="spellEnd"/>
      <w:r w:rsidRPr="00D42316">
        <w:t xml:space="preserve">. </w:t>
      </w:r>
      <w:proofErr w:type="gramStart"/>
      <w:r w:rsidRPr="00D42316">
        <w:t>Data</w:t>
      </w:r>
      <w:proofErr w:type="gramEnd"/>
      <w:r w:rsidRPr="00D42316">
        <w:t xml:space="preserve"> </w:t>
      </w:r>
      <w:proofErr w:type="spellStart"/>
      <w:r w:rsidRPr="00D42316">
        <w:t>theft</w:t>
      </w:r>
      <w:proofErr w:type="spellEnd"/>
      <w:r w:rsidRPr="00D42316">
        <w:t xml:space="preserve">, a </w:t>
      </w:r>
      <w:proofErr w:type="spellStart"/>
      <w:r w:rsidRPr="00D42316">
        <w:t>significant</w:t>
      </w:r>
      <w:proofErr w:type="spellEnd"/>
      <w:r w:rsidRPr="00D42316">
        <w:t xml:space="preserve"> </w:t>
      </w:r>
      <w:proofErr w:type="spellStart"/>
      <w:r w:rsidRPr="00D42316">
        <w:t>threat</w:t>
      </w:r>
      <w:proofErr w:type="spellEnd"/>
      <w:r w:rsidRPr="00D42316">
        <w:t xml:space="preserve"> </w:t>
      </w:r>
      <w:proofErr w:type="spellStart"/>
      <w:r w:rsidRPr="00D42316">
        <w:t>to</w:t>
      </w:r>
      <w:proofErr w:type="spellEnd"/>
      <w:r w:rsidRPr="00D42316">
        <w:t xml:space="preserve"> </w:t>
      </w:r>
      <w:proofErr w:type="spellStart"/>
      <w:r w:rsidRPr="00D42316">
        <w:t>information</w:t>
      </w:r>
      <w:proofErr w:type="spellEnd"/>
      <w:r w:rsidRPr="00D42316">
        <w:t xml:space="preserve"> </w:t>
      </w:r>
      <w:proofErr w:type="spellStart"/>
      <w:r w:rsidRPr="00D42316">
        <w:t>security</w:t>
      </w:r>
      <w:proofErr w:type="spellEnd"/>
      <w:r w:rsidRPr="00D42316">
        <w:t xml:space="preserve">, </w:t>
      </w:r>
      <w:proofErr w:type="spellStart"/>
      <w:r w:rsidRPr="00D42316">
        <w:t>poses</w:t>
      </w:r>
      <w:proofErr w:type="spellEnd"/>
      <w:r w:rsidRPr="00D42316">
        <w:t xml:space="preserve"> a </w:t>
      </w:r>
      <w:proofErr w:type="spellStart"/>
      <w:r w:rsidRPr="00D42316">
        <w:t>particularly</w:t>
      </w:r>
      <w:proofErr w:type="spellEnd"/>
      <w:r w:rsidRPr="00D42316">
        <w:t xml:space="preserve"> </w:t>
      </w:r>
      <w:proofErr w:type="spellStart"/>
      <w:r w:rsidRPr="00D42316">
        <w:t>grave</w:t>
      </w:r>
      <w:proofErr w:type="spellEnd"/>
      <w:r w:rsidRPr="00D42316">
        <w:t xml:space="preserve"> risk </w:t>
      </w:r>
      <w:proofErr w:type="spellStart"/>
      <w:r w:rsidRPr="00D42316">
        <w:t>to</w:t>
      </w:r>
      <w:proofErr w:type="spellEnd"/>
      <w:r w:rsidRPr="00D42316">
        <w:t xml:space="preserve"> </w:t>
      </w:r>
      <w:proofErr w:type="spellStart"/>
      <w:r w:rsidRPr="00D42316">
        <w:t>businesses</w:t>
      </w:r>
      <w:proofErr w:type="spellEnd"/>
      <w:r w:rsidRPr="00D42316">
        <w:t xml:space="preserve"> </w:t>
      </w:r>
      <w:proofErr w:type="spellStart"/>
      <w:r w:rsidRPr="00D42316">
        <w:t>and</w:t>
      </w:r>
      <w:proofErr w:type="spellEnd"/>
      <w:r w:rsidRPr="00D42316">
        <w:t xml:space="preserve"> </w:t>
      </w:r>
      <w:proofErr w:type="spellStart"/>
      <w:r w:rsidRPr="00D42316">
        <w:t>government</w:t>
      </w:r>
      <w:proofErr w:type="spellEnd"/>
      <w:r w:rsidRPr="00D42316">
        <w:t xml:space="preserve"> </w:t>
      </w:r>
      <w:proofErr w:type="spellStart"/>
      <w:r w:rsidRPr="00D42316">
        <w:t>institutions</w:t>
      </w:r>
      <w:proofErr w:type="spellEnd"/>
      <w:r w:rsidRPr="00D42316">
        <w:t xml:space="preserve">, </w:t>
      </w:r>
      <w:proofErr w:type="spellStart"/>
      <w:r w:rsidRPr="00D42316">
        <w:t>making</w:t>
      </w:r>
      <w:proofErr w:type="spellEnd"/>
      <w:r w:rsidRPr="00D42316">
        <w:t xml:space="preserve"> </w:t>
      </w:r>
      <w:proofErr w:type="spellStart"/>
      <w:r w:rsidRPr="00D42316">
        <w:t>its</w:t>
      </w:r>
      <w:proofErr w:type="spellEnd"/>
      <w:r w:rsidRPr="00D42316">
        <w:t xml:space="preserve"> </w:t>
      </w:r>
      <w:proofErr w:type="spellStart"/>
      <w:r w:rsidRPr="00D42316">
        <w:t>prevention</w:t>
      </w:r>
      <w:proofErr w:type="spellEnd"/>
      <w:r w:rsidRPr="00D42316">
        <w:t xml:space="preserve"> </w:t>
      </w:r>
      <w:proofErr w:type="spellStart"/>
      <w:r w:rsidRPr="00D42316">
        <w:t>and</w:t>
      </w:r>
      <w:proofErr w:type="spellEnd"/>
      <w:r w:rsidRPr="00D42316">
        <w:t xml:space="preserve"> </w:t>
      </w:r>
      <w:proofErr w:type="spellStart"/>
      <w:r w:rsidRPr="00D42316">
        <w:t>punishment</w:t>
      </w:r>
      <w:proofErr w:type="spellEnd"/>
      <w:r w:rsidRPr="00D42316">
        <w:t xml:space="preserve"> </w:t>
      </w:r>
      <w:proofErr w:type="spellStart"/>
      <w:r w:rsidRPr="00D42316">
        <w:t>critical</w:t>
      </w:r>
      <w:proofErr w:type="spellEnd"/>
      <w:r w:rsidRPr="00D42316">
        <w:t xml:space="preserve">. </w:t>
      </w:r>
      <w:proofErr w:type="spellStart"/>
      <w:r w:rsidRPr="00D42316">
        <w:t>Although</w:t>
      </w:r>
      <w:proofErr w:type="spellEnd"/>
      <w:r w:rsidRPr="00D42316">
        <w:t xml:space="preserve"> </w:t>
      </w:r>
      <w:proofErr w:type="spellStart"/>
      <w:r w:rsidRPr="00D42316">
        <w:t>attacks</w:t>
      </w:r>
      <w:proofErr w:type="spellEnd"/>
      <w:r w:rsidRPr="00D42316">
        <w:t xml:space="preserve"> </w:t>
      </w:r>
      <w:proofErr w:type="spellStart"/>
      <w:r w:rsidRPr="00D42316">
        <w:t>may</w:t>
      </w:r>
      <w:proofErr w:type="spellEnd"/>
      <w:r w:rsidRPr="00D42316">
        <w:t xml:space="preserve"> </w:t>
      </w:r>
      <w:proofErr w:type="spellStart"/>
      <w:r w:rsidRPr="00D42316">
        <w:t>originate</w:t>
      </w:r>
      <w:proofErr w:type="spellEnd"/>
      <w:r w:rsidRPr="00D42316">
        <w:t xml:space="preserve"> </w:t>
      </w:r>
      <w:proofErr w:type="spellStart"/>
      <w:r w:rsidRPr="00D42316">
        <w:t>from</w:t>
      </w:r>
      <w:proofErr w:type="spellEnd"/>
      <w:r w:rsidRPr="00D42316">
        <w:t xml:space="preserve"> </w:t>
      </w:r>
      <w:proofErr w:type="spellStart"/>
      <w:r w:rsidRPr="00D42316">
        <w:t>the</w:t>
      </w:r>
      <w:proofErr w:type="spellEnd"/>
      <w:r w:rsidRPr="00D42316">
        <w:t xml:space="preserve"> </w:t>
      </w:r>
      <w:proofErr w:type="spellStart"/>
      <w:r w:rsidRPr="00D42316">
        <w:t>systems</w:t>
      </w:r>
      <w:proofErr w:type="spellEnd"/>
      <w:r w:rsidRPr="00D42316">
        <w:t xml:space="preserve"> of </w:t>
      </w:r>
      <w:proofErr w:type="spellStart"/>
      <w:r w:rsidRPr="00D42316">
        <w:t>organizations</w:t>
      </w:r>
      <w:proofErr w:type="spellEnd"/>
      <w:r w:rsidRPr="00D42316">
        <w:t xml:space="preserve">, they </w:t>
      </w:r>
      <w:proofErr w:type="spellStart"/>
      <w:r w:rsidRPr="00D42316">
        <w:t>often</w:t>
      </w:r>
      <w:proofErr w:type="spellEnd"/>
      <w:r w:rsidRPr="00D42316">
        <w:t xml:space="preserve"> </w:t>
      </w:r>
      <w:proofErr w:type="spellStart"/>
      <w:r w:rsidRPr="00D42316">
        <w:t>involve</w:t>
      </w:r>
      <w:proofErr w:type="spellEnd"/>
      <w:r w:rsidRPr="00D42316">
        <w:t xml:space="preserve"> </w:t>
      </w:r>
      <w:proofErr w:type="spellStart"/>
      <w:r w:rsidRPr="00D42316">
        <w:t>direct</w:t>
      </w:r>
      <w:proofErr w:type="spellEnd"/>
      <w:r w:rsidRPr="00D42316">
        <w:t xml:space="preserve"> </w:t>
      </w:r>
      <w:proofErr w:type="spellStart"/>
      <w:r w:rsidRPr="00D42316">
        <w:t>access</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information</w:t>
      </w:r>
      <w:proofErr w:type="spellEnd"/>
      <w:r w:rsidRPr="00D42316">
        <w:t xml:space="preserve"> </w:t>
      </w:r>
      <w:proofErr w:type="spellStart"/>
      <w:r w:rsidRPr="00D42316">
        <w:t>by</w:t>
      </w:r>
      <w:proofErr w:type="spellEnd"/>
      <w:r w:rsidRPr="00D42316">
        <w:t xml:space="preserve"> an </w:t>
      </w:r>
      <w:proofErr w:type="spellStart"/>
      <w:r w:rsidRPr="00D42316">
        <w:t>outsider</w:t>
      </w:r>
      <w:proofErr w:type="spellEnd"/>
      <w:r w:rsidRPr="00D42316">
        <w:t xml:space="preserve"> </w:t>
      </w:r>
      <w:proofErr w:type="spellStart"/>
      <w:r w:rsidRPr="00D42316">
        <w:t>or</w:t>
      </w:r>
      <w:proofErr w:type="spellEnd"/>
      <w:r w:rsidRPr="00D42316">
        <w:t xml:space="preserve"> </w:t>
      </w:r>
      <w:proofErr w:type="spellStart"/>
      <w:r w:rsidRPr="00D42316">
        <w:t>insider</w:t>
      </w:r>
      <w:proofErr w:type="spellEnd"/>
      <w:r w:rsidRPr="00D42316">
        <w:t xml:space="preserve">. </w:t>
      </w:r>
      <w:proofErr w:type="spellStart"/>
      <w:r w:rsidRPr="00D42316">
        <w:t>Malicious</w:t>
      </w:r>
      <w:proofErr w:type="spellEnd"/>
      <w:r w:rsidRPr="00D42316">
        <w:t xml:space="preserve"> </w:t>
      </w:r>
      <w:proofErr w:type="spellStart"/>
      <w:r w:rsidRPr="00D42316">
        <w:t>insiders</w:t>
      </w:r>
      <w:proofErr w:type="spellEnd"/>
      <w:r w:rsidRPr="00D42316">
        <w:t xml:space="preserve">, </w:t>
      </w:r>
      <w:proofErr w:type="spellStart"/>
      <w:r w:rsidRPr="00D42316">
        <w:t>for</w:t>
      </w:r>
      <w:proofErr w:type="spellEnd"/>
      <w:r w:rsidRPr="00D42316">
        <w:t xml:space="preserve"> </w:t>
      </w:r>
      <w:proofErr w:type="spellStart"/>
      <w:r w:rsidRPr="00D42316">
        <w:t>instance</w:t>
      </w:r>
      <w:proofErr w:type="spellEnd"/>
      <w:r w:rsidRPr="00D42316">
        <w:t xml:space="preserve">, can </w:t>
      </w:r>
      <w:proofErr w:type="spellStart"/>
      <w:r w:rsidRPr="00D42316">
        <w:t>simply</w:t>
      </w:r>
      <w:proofErr w:type="spellEnd"/>
      <w:r w:rsidRPr="00D42316">
        <w:t xml:space="preserve"> </w:t>
      </w:r>
      <w:proofErr w:type="spellStart"/>
      <w:r w:rsidRPr="00D42316">
        <w:t>open</w:t>
      </w:r>
      <w:proofErr w:type="spellEnd"/>
      <w:r w:rsidRPr="00D42316">
        <w:t xml:space="preserve"> a </w:t>
      </w:r>
      <w:proofErr w:type="spellStart"/>
      <w:r w:rsidRPr="00D42316">
        <w:t>document</w:t>
      </w:r>
      <w:proofErr w:type="spellEnd"/>
      <w:r w:rsidRPr="00D42316">
        <w:t xml:space="preserve"> </w:t>
      </w:r>
      <w:proofErr w:type="spellStart"/>
      <w:r w:rsidRPr="00D42316">
        <w:t>and</w:t>
      </w:r>
      <w:proofErr w:type="spellEnd"/>
      <w:r w:rsidRPr="00D42316">
        <w:t xml:space="preserve"> </w:t>
      </w:r>
      <w:proofErr w:type="spellStart"/>
      <w:r w:rsidRPr="00D42316">
        <w:t>use</w:t>
      </w:r>
      <w:proofErr w:type="spellEnd"/>
      <w:r w:rsidRPr="00D42316">
        <w:t xml:space="preserve"> a </w:t>
      </w:r>
      <w:proofErr w:type="spellStart"/>
      <w:r w:rsidRPr="00D42316">
        <w:t>digital</w:t>
      </w:r>
      <w:proofErr w:type="spellEnd"/>
      <w:r w:rsidRPr="00D42316">
        <w:t xml:space="preserve"> </w:t>
      </w:r>
      <w:proofErr w:type="spellStart"/>
      <w:r w:rsidRPr="00D42316">
        <w:t>camera</w:t>
      </w:r>
      <w:proofErr w:type="spellEnd"/>
      <w:r w:rsidRPr="00D42316">
        <w:t xml:space="preserve"> </w:t>
      </w:r>
      <w:proofErr w:type="spellStart"/>
      <w:r w:rsidRPr="00D42316">
        <w:t>to</w:t>
      </w:r>
      <w:proofErr w:type="spellEnd"/>
      <w:r w:rsidRPr="00D42316">
        <w:t xml:space="preserve"> </w:t>
      </w:r>
      <w:proofErr w:type="spellStart"/>
      <w:r w:rsidRPr="00D42316">
        <w:t>capture</w:t>
      </w:r>
      <w:proofErr w:type="spellEnd"/>
      <w:r w:rsidRPr="00D42316">
        <w:t xml:space="preserve"> </w:t>
      </w:r>
      <w:proofErr w:type="spellStart"/>
      <w:r w:rsidRPr="00D42316">
        <w:t>images</w:t>
      </w:r>
      <w:proofErr w:type="spellEnd"/>
      <w:r w:rsidRPr="00D42316">
        <w:t xml:space="preserve"> of </w:t>
      </w:r>
      <w:proofErr w:type="spellStart"/>
      <w:r w:rsidRPr="00D42316">
        <w:t>information</w:t>
      </w:r>
      <w:proofErr w:type="spellEnd"/>
      <w:r w:rsidRPr="00D42316">
        <w:t xml:space="preserve"> </w:t>
      </w:r>
      <w:proofErr w:type="spellStart"/>
      <w:r w:rsidRPr="00D42316">
        <w:t>displayed</w:t>
      </w:r>
      <w:proofErr w:type="spellEnd"/>
      <w:r w:rsidRPr="00D42316">
        <w:t xml:space="preserve"> on a </w:t>
      </w:r>
      <w:proofErr w:type="spellStart"/>
      <w:r w:rsidRPr="00D42316">
        <w:t>computer</w:t>
      </w:r>
      <w:proofErr w:type="spellEnd"/>
      <w:r w:rsidRPr="00D42316">
        <w:t xml:space="preserve"> </w:t>
      </w:r>
      <w:proofErr w:type="spellStart"/>
      <w:r w:rsidRPr="00D42316">
        <w:t>screen</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examines</w:t>
      </w:r>
      <w:proofErr w:type="spellEnd"/>
      <w:r w:rsidRPr="00D42316">
        <w:t xml:space="preserve"> </w:t>
      </w:r>
      <w:proofErr w:type="spellStart"/>
      <w:r w:rsidRPr="00D42316">
        <w:t>the</w:t>
      </w:r>
      <w:proofErr w:type="spellEnd"/>
      <w:r w:rsidRPr="00D42316">
        <w:t xml:space="preserve"> </w:t>
      </w:r>
      <w:proofErr w:type="spellStart"/>
      <w:r w:rsidRPr="00D42316">
        <w:t>offense</w:t>
      </w:r>
      <w:proofErr w:type="spellEnd"/>
      <w:r w:rsidRPr="00D42316">
        <w:t xml:space="preserve"> </w:t>
      </w:r>
      <w:proofErr w:type="spellStart"/>
      <w:r w:rsidRPr="00D42316">
        <w:t>under</w:t>
      </w:r>
      <w:proofErr w:type="spellEnd"/>
      <w:r w:rsidRPr="00D42316">
        <w:t xml:space="preserve"> </w:t>
      </w:r>
      <w:proofErr w:type="spellStart"/>
      <w:r w:rsidRPr="00D42316">
        <w:t>Article</w:t>
      </w:r>
      <w:proofErr w:type="spellEnd"/>
      <w:r w:rsidRPr="00D42316">
        <w:t xml:space="preserve"> 244, </w:t>
      </w:r>
      <w:proofErr w:type="spellStart"/>
      <w:r w:rsidRPr="00D42316">
        <w:t>focusing</w:t>
      </w:r>
      <w:proofErr w:type="spellEnd"/>
      <w:r w:rsidRPr="00D42316">
        <w:t xml:space="preserve"> on </w:t>
      </w:r>
      <w:proofErr w:type="gramStart"/>
      <w:r w:rsidRPr="00D42316">
        <w:t>data</w:t>
      </w:r>
      <w:proofErr w:type="gramEnd"/>
      <w:r w:rsidRPr="00D42316">
        <w:t xml:space="preserve"> </w:t>
      </w:r>
      <w:proofErr w:type="spellStart"/>
      <w:r w:rsidRPr="00D42316">
        <w:t>theft</w:t>
      </w:r>
      <w:proofErr w:type="spellEnd"/>
      <w:r w:rsidRPr="00D42316">
        <w:t xml:space="preserve"> </w:t>
      </w:r>
      <w:proofErr w:type="spellStart"/>
      <w:r w:rsidRPr="00D42316">
        <w:t>and</w:t>
      </w:r>
      <w:proofErr w:type="spellEnd"/>
      <w:r w:rsidRPr="00D42316">
        <w:t xml:space="preserve"> </w:t>
      </w:r>
      <w:proofErr w:type="spellStart"/>
      <w:r w:rsidRPr="00D42316">
        <w:t>associated</w:t>
      </w:r>
      <w:proofErr w:type="spellEnd"/>
      <w:r w:rsidRPr="00D42316">
        <w:t xml:space="preserve"> </w:t>
      </w:r>
      <w:proofErr w:type="spellStart"/>
      <w:r w:rsidRPr="00D42316">
        <w:t>liabilities</w:t>
      </w:r>
      <w:proofErr w:type="spellEnd"/>
      <w:r w:rsidRPr="00D42316">
        <w:t>.</w:t>
      </w:r>
    </w:p>
    <w:p w14:paraId="53C98B08" w14:textId="77777777" w:rsidR="00B4361D" w:rsidRPr="00D42316" w:rsidRDefault="00B4361D" w:rsidP="003B45CB">
      <w:pPr>
        <w:jc w:val="both"/>
      </w:pPr>
    </w:p>
    <w:p w14:paraId="6C6FCEFC" w14:textId="2FC90278" w:rsidR="00587C60" w:rsidRDefault="00AC051C" w:rsidP="003B45CB">
      <w:pPr>
        <w:jc w:val="both"/>
      </w:pPr>
      <w:proofErr w:type="spellStart"/>
      <w:r w:rsidRPr="00D42316">
        <w:rPr>
          <w:b/>
        </w:rPr>
        <w:t>Keywords</w:t>
      </w:r>
      <w:proofErr w:type="spellEnd"/>
      <w:r w:rsidRPr="00D42316">
        <w:rPr>
          <w:b/>
        </w:rPr>
        <w:t xml:space="preserve">: </w:t>
      </w:r>
      <w:proofErr w:type="spellStart"/>
      <w:r w:rsidRPr="00D42316">
        <w:t>Criminal</w:t>
      </w:r>
      <w:proofErr w:type="spellEnd"/>
      <w:r w:rsidRPr="00D42316">
        <w:t xml:space="preserve"> </w:t>
      </w:r>
      <w:proofErr w:type="spellStart"/>
      <w:r w:rsidRPr="00D42316">
        <w:t>law</w:t>
      </w:r>
      <w:proofErr w:type="spellEnd"/>
      <w:r w:rsidRPr="00D42316">
        <w:t xml:space="preserve">, </w:t>
      </w:r>
      <w:proofErr w:type="spellStart"/>
      <w:r w:rsidRPr="00D42316">
        <w:t>Cybercrime</w:t>
      </w:r>
      <w:proofErr w:type="spellEnd"/>
      <w:r w:rsidRPr="00D42316">
        <w:t xml:space="preserve">, Information </w:t>
      </w:r>
      <w:proofErr w:type="spellStart"/>
      <w:r w:rsidRPr="00D42316">
        <w:t>system</w:t>
      </w:r>
      <w:proofErr w:type="spellEnd"/>
      <w:r w:rsidRPr="00D42316">
        <w:t xml:space="preserve">, Data </w:t>
      </w:r>
      <w:proofErr w:type="spellStart"/>
      <w:r w:rsidRPr="00D42316">
        <w:t>theft</w:t>
      </w:r>
      <w:proofErr w:type="spellEnd"/>
      <w:r w:rsidRPr="00D42316">
        <w:t>, </w:t>
      </w:r>
      <w:proofErr w:type="spellStart"/>
      <w:r w:rsidRPr="00D42316">
        <w:t>Personal</w:t>
      </w:r>
      <w:proofErr w:type="spellEnd"/>
      <w:r w:rsidRPr="00D42316">
        <w:t> </w:t>
      </w:r>
      <w:proofErr w:type="gramStart"/>
      <w:r w:rsidRPr="00D42316">
        <w:t>data</w:t>
      </w:r>
      <w:proofErr w:type="gramEnd"/>
      <w:r w:rsidRPr="00D42316">
        <w:t>.</w:t>
      </w:r>
    </w:p>
    <w:p w14:paraId="4297D89F" w14:textId="730DDBBB" w:rsidR="00F84AD5" w:rsidRPr="00D42316" w:rsidRDefault="00587C60" w:rsidP="00587C60">
      <w:pPr>
        <w:autoSpaceDE/>
        <w:autoSpaceDN/>
      </w:pPr>
      <w:r>
        <w:br w:type="page"/>
      </w:r>
    </w:p>
    <w:p w14:paraId="565E352F" w14:textId="55F024C2" w:rsidR="00F84AD5" w:rsidRPr="00D42316" w:rsidRDefault="00AC051C" w:rsidP="004C7694">
      <w:pPr>
        <w:pStyle w:val="Tark"/>
      </w:pPr>
      <w:bookmarkStart w:id="67" w:name="_Toc192855178"/>
      <w:r w:rsidRPr="00D42316">
        <w:lastRenderedPageBreak/>
        <w:t>Banka veya Kredi Kartlarının Kullanılması Suretiyle</w:t>
      </w:r>
      <w:bookmarkEnd w:id="67"/>
    </w:p>
    <w:p w14:paraId="772B3BB7" w14:textId="77777777" w:rsidR="00F84AD5" w:rsidRPr="00D42316" w:rsidRDefault="00AC051C" w:rsidP="004C7694">
      <w:pPr>
        <w:pStyle w:val="Tark"/>
      </w:pPr>
      <w:bookmarkStart w:id="68" w:name="_Toc192855179"/>
      <w:r w:rsidRPr="00D42316">
        <w:t>Yarar Sağlama Suçu Hakkında Değerlendirmeler</w:t>
      </w:r>
      <w:bookmarkEnd w:id="68"/>
    </w:p>
    <w:p w14:paraId="509ECE0C" w14:textId="77777777" w:rsidR="00F84AD5" w:rsidRPr="00D42316" w:rsidRDefault="00F84AD5" w:rsidP="003B45CB">
      <w:pPr>
        <w:jc w:val="center"/>
        <w:rPr>
          <w:b/>
        </w:rPr>
      </w:pPr>
    </w:p>
    <w:p w14:paraId="775371DB" w14:textId="77777777" w:rsidR="00F84AD5" w:rsidRPr="00D42316" w:rsidRDefault="00AC051C" w:rsidP="003B45CB">
      <w:pPr>
        <w:jc w:val="center"/>
      </w:pPr>
      <w:r w:rsidRPr="00D42316">
        <w:t>Hatice Nur GENÇ</w:t>
      </w:r>
    </w:p>
    <w:p w14:paraId="5743D40C" w14:textId="78BF15D1" w:rsidR="00F84AD5" w:rsidRPr="00D42316" w:rsidRDefault="00AC051C" w:rsidP="003B45CB">
      <w:pPr>
        <w:jc w:val="center"/>
      </w:pPr>
      <w:r w:rsidRPr="00D42316">
        <w:t>Yüksek Lisans Öğrencisi</w:t>
      </w:r>
    </w:p>
    <w:p w14:paraId="602AA301" w14:textId="77777777" w:rsidR="00F84AD5" w:rsidRPr="00D42316" w:rsidRDefault="00AC051C" w:rsidP="003B45CB">
      <w:pPr>
        <w:jc w:val="center"/>
      </w:pPr>
      <w:r w:rsidRPr="00D42316">
        <w:t>Kastamonu Üniversitesi Sosyal Bilimler Enstitüsü</w:t>
      </w:r>
    </w:p>
    <w:p w14:paraId="5EBC449D" w14:textId="55B4FB72" w:rsidR="00F84AD5" w:rsidRPr="00D42316" w:rsidRDefault="00AC051C" w:rsidP="003B45CB">
      <w:pPr>
        <w:jc w:val="center"/>
      </w:pPr>
      <w:r w:rsidRPr="00D42316">
        <w:t>Uluslararası İlişkiler Anabilim Dalı</w:t>
      </w:r>
      <w:r w:rsidRPr="00D42316">
        <w:br/>
        <w:t>haticenurgnc@icloud.com</w:t>
      </w:r>
    </w:p>
    <w:p w14:paraId="77A12069" w14:textId="77777777" w:rsidR="00F84AD5" w:rsidRPr="00D42316" w:rsidRDefault="00AC051C" w:rsidP="003B45CB">
      <w:pPr>
        <w:jc w:val="center"/>
      </w:pPr>
      <w:r w:rsidRPr="00D42316">
        <w:t>0009-0004-9307-5016</w:t>
      </w:r>
      <w:r w:rsidRPr="00D42316">
        <w:br/>
      </w:r>
    </w:p>
    <w:p w14:paraId="7B655321" w14:textId="77777777" w:rsidR="00F84AD5" w:rsidRPr="00D42316" w:rsidRDefault="00AC051C" w:rsidP="003B45CB">
      <w:pPr>
        <w:jc w:val="center"/>
      </w:pPr>
      <w:r w:rsidRPr="00D42316">
        <w:t>Dr. Öğr. Üyesi Şenel SARSIKOĞLU</w:t>
      </w:r>
    </w:p>
    <w:p w14:paraId="793303E8" w14:textId="1B1F1C75" w:rsidR="00F84AD5" w:rsidRPr="00D42316" w:rsidRDefault="00AC051C" w:rsidP="003B45CB">
      <w:pPr>
        <w:jc w:val="center"/>
      </w:pPr>
      <w:r w:rsidRPr="00D42316">
        <w:t>Kastamonu Üniversitesi İktisadi ve İdari Bilimler Fakültesi</w:t>
      </w:r>
    </w:p>
    <w:p w14:paraId="3529E347" w14:textId="77777777" w:rsidR="00F84AD5" w:rsidRPr="00D42316" w:rsidRDefault="00AC051C" w:rsidP="003B45CB">
      <w:pPr>
        <w:jc w:val="center"/>
      </w:pPr>
      <w:r w:rsidRPr="00D42316">
        <w:t>Uluslararası İlişkiler Bölümü</w:t>
      </w:r>
      <w:r w:rsidRPr="00D42316">
        <w:br/>
        <w:t>senels@kastamonu.edu.tr</w:t>
      </w:r>
      <w:r w:rsidRPr="00D42316">
        <w:br/>
        <w:t>0000-0002-2204-8422</w:t>
      </w:r>
    </w:p>
    <w:p w14:paraId="2300E859" w14:textId="77777777" w:rsidR="00F84AD5" w:rsidRPr="00D42316" w:rsidRDefault="00F84AD5" w:rsidP="003B45CB">
      <w:pPr>
        <w:jc w:val="center"/>
        <w:rPr>
          <w:b/>
        </w:rPr>
      </w:pPr>
    </w:p>
    <w:p w14:paraId="0FF26401" w14:textId="07D28426" w:rsidR="00F84AD5" w:rsidRPr="00D42316" w:rsidRDefault="00AC051C" w:rsidP="003B45CB">
      <w:pPr>
        <w:jc w:val="center"/>
      </w:pPr>
      <w:r w:rsidRPr="00D42316">
        <w:rPr>
          <w:b/>
        </w:rPr>
        <w:t>Özet</w:t>
      </w:r>
    </w:p>
    <w:p w14:paraId="60F33195" w14:textId="77777777" w:rsidR="00F84AD5" w:rsidRPr="00D42316" w:rsidRDefault="00AC051C" w:rsidP="003B45CB">
      <w:pPr>
        <w:jc w:val="both"/>
        <w:rPr>
          <w:color w:val="000000"/>
        </w:rPr>
      </w:pPr>
      <w:r w:rsidRPr="00D42316">
        <w:rPr>
          <w:color w:val="000000"/>
        </w:rPr>
        <w:t>5237 sayılı Türk Ceza Kanunu (TCK) 245. maddesi, bilişim alanında işlenen suçlardan banka veya kredi kartlarının kötüye kullanılması suçunu düzenlemektedir. Bu düzenlemeyle “her ne şekilde elde edilmiş olursa olsun” “başkasına ait” “gerçek” bir “banka veya kredi kartını elinde bulunduran” kimsenin, “kart sahibinin veya kartın kendisine verilmesi gereken kişinin rızası bulunmadan” o kartı “kullanarak ya da kullandırtarak” “kendisine veya başkasına yarar sağlaması” fiili cezalandırmak istenmiştir. Teknolojinin hızla gelişmesi, banka ve kredi kartları gibi finansal araçların kullanım alanları kadar bunlarla yapılan parasal işlemlerin miktarını da artırmıştır. Bu araçların kullanımı, modern finansal sistemlerin temel taşlarını oluşturur ve hem tüketiciler hem de işletmeler için kolaylıklar sağlar. Ancak, bu finansal araçların suiistimalleri de günümüzde artan bir endişe kaynağı olmuştur. Nitekim hayatımızda bu kartların artan kullanımı ve dolayısıyla ekonomik hayatta işlem hacminin büyümesi, siber suç faillerinin bu kartlar yoluyla da haksız menfaatler elde etme isteğini artırmıştır. Bu kartların hukuka aykırı olarak kullanılması neticesinde kişi ve kurumların zarara uğratılarak bu şekilde menfaat sağlanmasının engellenmesi amacıyla ayrı bir suç olarak ihdası gerekmiştir. TCK 245. maddesinde düzenlenen suç, bir yönüyle bilişim sistemi üzerinde işlenebilen bir suç olması ve bilişim sistemi olmaksızın suçun fiil unsurunun gerçekleşememesi nedeniyle “bilişim suçu” olarak kabul edilir. Diğer yönüyle de günümüzde giderek daha yaygın hale gelen “ekonomik suç” kategorisinde de önemli bir yer edinmiştir. Bu suç, ceza sorumluluğu açısından ciddi yaptırımlar gerektiren bir suçtur. Bu bakımdan suçun niteliği ve failin kastı, cezanın belirlenmesinde önemli rol oynar. Ayrıca bu tür suçların önlenmesi ve faillerin cezalandırılması için sadece ceza hukuku değil, aynı zamanda siber güvenlik ve dijital denetim alanlarında da ciddi önlemler alınması gerekliliği ortadadır. Çalışmamızda hukuki düzenlemenin yanı sıra bilimsel ve yargısal içtihatlar bağlamında bir teorik çerçeve çizilmesi ile bireylerin kişisel verilerini koruma ve finansal güvenlik bilincini artırma yönünde değerlendirmelerde bulunulacaktır.</w:t>
      </w:r>
    </w:p>
    <w:p w14:paraId="6CC21C4F" w14:textId="77777777" w:rsidR="00F84AD5" w:rsidRPr="00D42316" w:rsidRDefault="00F84AD5" w:rsidP="003B45CB">
      <w:pPr>
        <w:jc w:val="both"/>
        <w:rPr>
          <w:color w:val="000000"/>
        </w:rPr>
      </w:pPr>
    </w:p>
    <w:p w14:paraId="6DC4F437" w14:textId="4376ED58" w:rsidR="00587C60" w:rsidRDefault="00AC051C" w:rsidP="003B45CB">
      <w:pPr>
        <w:jc w:val="both"/>
      </w:pPr>
      <w:r w:rsidRPr="00D42316">
        <w:rPr>
          <w:b/>
          <w:highlight w:val="white"/>
        </w:rPr>
        <w:t xml:space="preserve">Anahtar Kelimeler: </w:t>
      </w:r>
      <w:r w:rsidRPr="00D42316">
        <w:t>Ceza hukuku, Bilişim suçu, Ekonomik suç, Banka ve kredi kartı, Yarar sağlama.</w:t>
      </w:r>
    </w:p>
    <w:p w14:paraId="37D9C303" w14:textId="32245798" w:rsidR="00F84AD5" w:rsidRPr="00D42316" w:rsidRDefault="00587C60" w:rsidP="00587C60">
      <w:pPr>
        <w:autoSpaceDE/>
        <w:autoSpaceDN/>
      </w:pPr>
      <w:r>
        <w:br w:type="page"/>
      </w:r>
    </w:p>
    <w:p w14:paraId="381B2C9F" w14:textId="1B7E5D89" w:rsidR="00F84AD5" w:rsidRPr="00D42316" w:rsidRDefault="00AC051C" w:rsidP="004C7694">
      <w:pPr>
        <w:pStyle w:val="Tark"/>
      </w:pPr>
      <w:bookmarkStart w:id="69" w:name="_Toc192855180"/>
      <w:proofErr w:type="spellStart"/>
      <w:r w:rsidRPr="00D42316">
        <w:lastRenderedPageBreak/>
        <w:t>Evaluations</w:t>
      </w:r>
      <w:proofErr w:type="spellEnd"/>
      <w:r w:rsidRPr="00D42316">
        <w:t xml:space="preserve"> on </w:t>
      </w:r>
      <w:proofErr w:type="spellStart"/>
      <w:r w:rsidRPr="00D42316">
        <w:t>The</w:t>
      </w:r>
      <w:proofErr w:type="spellEnd"/>
      <w:r w:rsidRPr="00D42316">
        <w:t xml:space="preserve"> </w:t>
      </w:r>
      <w:proofErr w:type="spellStart"/>
      <w:r w:rsidRPr="00D42316">
        <w:t>Crime</w:t>
      </w:r>
      <w:proofErr w:type="spellEnd"/>
      <w:r w:rsidRPr="00D42316">
        <w:t xml:space="preserve"> of </w:t>
      </w:r>
      <w:proofErr w:type="spellStart"/>
      <w:r w:rsidRPr="00D42316">
        <w:t>Obtainıng</w:t>
      </w:r>
      <w:proofErr w:type="spellEnd"/>
      <w:r w:rsidRPr="00D42316">
        <w:t xml:space="preserve"> </w:t>
      </w:r>
      <w:proofErr w:type="spellStart"/>
      <w:r w:rsidRPr="00D42316">
        <w:t>Benefits</w:t>
      </w:r>
      <w:bookmarkEnd w:id="69"/>
      <w:proofErr w:type="spellEnd"/>
    </w:p>
    <w:p w14:paraId="058BA423" w14:textId="34BE4680" w:rsidR="00F84AD5" w:rsidRPr="00D42316" w:rsidRDefault="003B45CB" w:rsidP="004C7694">
      <w:pPr>
        <w:pStyle w:val="Tark"/>
      </w:pPr>
      <w:bookmarkStart w:id="70" w:name="_Toc192855181"/>
      <w:r>
        <w:t>T</w:t>
      </w:r>
      <w:r w:rsidR="00AC051C" w:rsidRPr="00D42316">
        <w:t xml:space="preserve">hrough </w:t>
      </w:r>
      <w:proofErr w:type="spellStart"/>
      <w:r w:rsidR="00AC051C" w:rsidRPr="00D42316">
        <w:t>The</w:t>
      </w:r>
      <w:proofErr w:type="spellEnd"/>
      <w:r w:rsidR="00AC051C" w:rsidRPr="00D42316">
        <w:t xml:space="preserve"> </w:t>
      </w:r>
      <w:proofErr w:type="spellStart"/>
      <w:r w:rsidR="00AC051C" w:rsidRPr="00D42316">
        <w:t>Use</w:t>
      </w:r>
      <w:proofErr w:type="spellEnd"/>
      <w:r w:rsidR="00AC051C" w:rsidRPr="00D42316">
        <w:t xml:space="preserve"> of Bank </w:t>
      </w:r>
      <w:proofErr w:type="spellStart"/>
      <w:r w:rsidR="00AC051C" w:rsidRPr="00D42316">
        <w:t>or</w:t>
      </w:r>
      <w:proofErr w:type="spellEnd"/>
      <w:r w:rsidR="00AC051C" w:rsidRPr="00D42316">
        <w:t xml:space="preserve"> </w:t>
      </w:r>
      <w:proofErr w:type="spellStart"/>
      <w:r w:rsidR="00AC051C" w:rsidRPr="00D42316">
        <w:t>Credit</w:t>
      </w:r>
      <w:proofErr w:type="spellEnd"/>
      <w:r w:rsidR="00AC051C" w:rsidRPr="00D42316">
        <w:t xml:space="preserve"> </w:t>
      </w:r>
      <w:proofErr w:type="spellStart"/>
      <w:r w:rsidR="00AC051C" w:rsidRPr="00D42316">
        <w:t>Cards</w:t>
      </w:r>
      <w:bookmarkEnd w:id="70"/>
      <w:proofErr w:type="spellEnd"/>
    </w:p>
    <w:p w14:paraId="5924740F" w14:textId="77777777" w:rsidR="00F84AD5" w:rsidRPr="00D42316" w:rsidRDefault="00F84AD5" w:rsidP="003B45CB">
      <w:pPr>
        <w:jc w:val="center"/>
        <w:rPr>
          <w:b/>
        </w:rPr>
      </w:pPr>
    </w:p>
    <w:p w14:paraId="668536C4" w14:textId="77777777" w:rsidR="00F84AD5" w:rsidRPr="00D42316" w:rsidRDefault="00AC051C" w:rsidP="003B45CB">
      <w:pPr>
        <w:jc w:val="center"/>
      </w:pPr>
      <w:r w:rsidRPr="00D42316">
        <w:t>Hatice Nur GENÇ</w:t>
      </w:r>
    </w:p>
    <w:p w14:paraId="1F92FCCF" w14:textId="59D71601" w:rsidR="00F84AD5" w:rsidRPr="00D42316" w:rsidRDefault="00AC051C" w:rsidP="003B45CB">
      <w:pPr>
        <w:jc w:val="center"/>
      </w:pPr>
      <w:proofErr w:type="spellStart"/>
      <w:r w:rsidRPr="00D42316">
        <w:t>Master’s</w:t>
      </w:r>
      <w:proofErr w:type="spellEnd"/>
      <w:r w:rsidRPr="00D42316">
        <w:t xml:space="preserve"> </w:t>
      </w:r>
      <w:proofErr w:type="spellStart"/>
      <w:r w:rsidRPr="00D42316">
        <w:t>Student</w:t>
      </w:r>
      <w:proofErr w:type="spellEnd"/>
      <w:r w:rsidRPr="00D42316">
        <w:br/>
        <w:t xml:space="preserve">Kastamonu </w:t>
      </w:r>
      <w:proofErr w:type="spellStart"/>
      <w:r w:rsidRPr="00D42316">
        <w:t>University</w:t>
      </w:r>
      <w:proofErr w:type="spellEnd"/>
      <w:r w:rsidRPr="00D42316">
        <w:t xml:space="preserve">, </w:t>
      </w:r>
      <w:proofErr w:type="spellStart"/>
      <w:r w:rsidRPr="00D42316">
        <w:t>Institute</w:t>
      </w:r>
      <w:proofErr w:type="spellEnd"/>
      <w:r w:rsidRPr="00D42316">
        <w:t xml:space="preserve"> of </w:t>
      </w:r>
      <w:proofErr w:type="spellStart"/>
      <w:r w:rsidRPr="00D42316">
        <w:t>Social</w:t>
      </w:r>
      <w:proofErr w:type="spellEnd"/>
      <w:r w:rsidRPr="00D42316">
        <w:t xml:space="preserve"> </w:t>
      </w:r>
      <w:proofErr w:type="spellStart"/>
      <w:r w:rsidRPr="00D42316">
        <w:t>Sciences</w:t>
      </w:r>
      <w:proofErr w:type="spellEnd"/>
      <w:r w:rsidRPr="00D42316">
        <w:br/>
      </w:r>
      <w:proofErr w:type="spellStart"/>
      <w:r w:rsidRPr="00D42316">
        <w:t>Department</w:t>
      </w:r>
      <w:proofErr w:type="spellEnd"/>
      <w:r w:rsidRPr="00D42316">
        <w:t xml:space="preserve"> of International </w:t>
      </w:r>
      <w:proofErr w:type="spellStart"/>
      <w:r w:rsidRPr="00D42316">
        <w:t>Relations</w:t>
      </w:r>
      <w:proofErr w:type="spellEnd"/>
      <w:r w:rsidRPr="00D42316">
        <w:br/>
        <w:t>haticenurgnc@icloud.com</w:t>
      </w:r>
    </w:p>
    <w:p w14:paraId="64F9517C" w14:textId="77777777" w:rsidR="00F84AD5" w:rsidRPr="00D42316" w:rsidRDefault="00AC051C" w:rsidP="003B45CB">
      <w:pPr>
        <w:jc w:val="center"/>
      </w:pPr>
      <w:r w:rsidRPr="00D42316">
        <w:t>0009-0004-9307-5016</w:t>
      </w:r>
    </w:p>
    <w:p w14:paraId="4BB7FC68" w14:textId="77777777" w:rsidR="00F84AD5" w:rsidRPr="00D42316" w:rsidRDefault="00F84AD5" w:rsidP="003B45CB">
      <w:pPr>
        <w:jc w:val="center"/>
      </w:pPr>
    </w:p>
    <w:p w14:paraId="6C5AED02" w14:textId="77777777" w:rsidR="00F84AD5" w:rsidRPr="00D42316" w:rsidRDefault="00AC051C" w:rsidP="003B45CB">
      <w:pPr>
        <w:jc w:val="center"/>
      </w:pPr>
      <w:r w:rsidRPr="00D42316">
        <w:t>Dr. Şenel SARSIKOĞLU</w:t>
      </w:r>
      <w:r w:rsidRPr="00D42316">
        <w:br/>
      </w:r>
      <w:proofErr w:type="spellStart"/>
      <w:r w:rsidRPr="00D42316">
        <w:t>Faculty</w:t>
      </w:r>
      <w:proofErr w:type="spellEnd"/>
      <w:r w:rsidRPr="00D42316">
        <w:t xml:space="preserve"> </w:t>
      </w:r>
      <w:proofErr w:type="spellStart"/>
      <w:r w:rsidRPr="00D42316">
        <w:t>Member</w:t>
      </w:r>
      <w:proofErr w:type="spellEnd"/>
      <w:r w:rsidRPr="00D42316">
        <w:t xml:space="preserve">, </w:t>
      </w:r>
      <w:proofErr w:type="spellStart"/>
      <w:r w:rsidRPr="00D42316">
        <w:t>Department</w:t>
      </w:r>
      <w:proofErr w:type="spellEnd"/>
      <w:r w:rsidRPr="00D42316">
        <w:t xml:space="preserve"> of International </w:t>
      </w:r>
      <w:proofErr w:type="spellStart"/>
      <w:r w:rsidRPr="00D42316">
        <w:t>Relations</w:t>
      </w:r>
      <w:proofErr w:type="spellEnd"/>
      <w:r w:rsidRPr="00D42316">
        <w:br/>
        <w:t xml:space="preserve">Kastamonu </w:t>
      </w:r>
      <w:proofErr w:type="spellStart"/>
      <w:r w:rsidRPr="00D42316">
        <w:t>University</w:t>
      </w:r>
      <w:proofErr w:type="spellEnd"/>
      <w:r w:rsidRPr="00D42316">
        <w:t xml:space="preserve">, </w:t>
      </w:r>
      <w:proofErr w:type="spellStart"/>
      <w:r w:rsidRPr="00D42316">
        <w:t>Faculty</w:t>
      </w:r>
      <w:proofErr w:type="spellEnd"/>
      <w:r w:rsidRPr="00D42316">
        <w:t xml:space="preserve"> of </w:t>
      </w:r>
      <w:proofErr w:type="spellStart"/>
      <w:r w:rsidRPr="00D42316">
        <w:t>Economics</w:t>
      </w:r>
      <w:proofErr w:type="spellEnd"/>
      <w:r w:rsidRPr="00D42316">
        <w:t xml:space="preserve"> </w:t>
      </w:r>
      <w:proofErr w:type="spellStart"/>
      <w:r w:rsidRPr="00D42316">
        <w:t>and</w:t>
      </w:r>
      <w:proofErr w:type="spellEnd"/>
      <w:r w:rsidRPr="00D42316">
        <w:t xml:space="preserve"> </w:t>
      </w:r>
      <w:proofErr w:type="spellStart"/>
      <w:r w:rsidRPr="00D42316">
        <w:t>Administrative</w:t>
      </w:r>
      <w:proofErr w:type="spellEnd"/>
      <w:r w:rsidRPr="00D42316">
        <w:t xml:space="preserve"> </w:t>
      </w:r>
      <w:proofErr w:type="spellStart"/>
      <w:r w:rsidRPr="00D42316">
        <w:t>Sciences</w:t>
      </w:r>
      <w:proofErr w:type="spellEnd"/>
      <w:r w:rsidRPr="00D42316">
        <w:br/>
        <w:t>senels@kastamonu.edu.tr</w:t>
      </w:r>
      <w:r w:rsidRPr="00D42316">
        <w:br/>
        <w:t>0000-0002-2204-8422</w:t>
      </w:r>
    </w:p>
    <w:p w14:paraId="6C06D71B" w14:textId="77777777" w:rsidR="00F84AD5" w:rsidRPr="00D42316" w:rsidRDefault="00F84AD5" w:rsidP="003B45CB">
      <w:pPr>
        <w:jc w:val="both"/>
        <w:rPr>
          <w:b/>
        </w:rPr>
      </w:pPr>
    </w:p>
    <w:p w14:paraId="5D77261C" w14:textId="77777777" w:rsidR="00F84AD5" w:rsidRPr="00D42316" w:rsidRDefault="00AC051C" w:rsidP="003B45CB">
      <w:pPr>
        <w:jc w:val="center"/>
        <w:rPr>
          <w:b/>
        </w:rPr>
      </w:pPr>
      <w:proofErr w:type="spellStart"/>
      <w:r w:rsidRPr="00D42316">
        <w:rPr>
          <w:b/>
        </w:rPr>
        <w:t>Abstract</w:t>
      </w:r>
      <w:proofErr w:type="spellEnd"/>
    </w:p>
    <w:p w14:paraId="3EFDF164" w14:textId="77777777" w:rsidR="00F84AD5" w:rsidRPr="00D42316" w:rsidRDefault="00AC051C" w:rsidP="003B45CB">
      <w:pPr>
        <w:jc w:val="both"/>
      </w:pPr>
      <w:proofErr w:type="spellStart"/>
      <w:r w:rsidRPr="00D42316">
        <w:t>Article</w:t>
      </w:r>
      <w:proofErr w:type="spellEnd"/>
      <w:r w:rsidRPr="00D42316">
        <w:t xml:space="preserve"> 245 of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Penal</w:t>
      </w:r>
      <w:proofErr w:type="spellEnd"/>
      <w:r w:rsidRPr="00D42316">
        <w:t xml:space="preserve"> </w:t>
      </w:r>
      <w:proofErr w:type="spellStart"/>
      <w:r w:rsidRPr="00D42316">
        <w:t>Code</w:t>
      </w:r>
      <w:proofErr w:type="spellEnd"/>
      <w:r w:rsidRPr="00D42316">
        <w:t xml:space="preserve"> (TPC) No. 5237 </w:t>
      </w:r>
      <w:proofErr w:type="spellStart"/>
      <w:r w:rsidRPr="00D42316">
        <w:t>regulates</w:t>
      </w:r>
      <w:proofErr w:type="spellEnd"/>
      <w:r w:rsidRPr="00D42316">
        <w:t xml:space="preserve"> </w:t>
      </w:r>
      <w:proofErr w:type="spellStart"/>
      <w:r w:rsidRPr="00D42316">
        <w:t>the</w:t>
      </w:r>
      <w:proofErr w:type="spellEnd"/>
      <w:r w:rsidRPr="00D42316">
        <w:t xml:space="preserve"> </w:t>
      </w:r>
      <w:proofErr w:type="spellStart"/>
      <w:r w:rsidRPr="00D42316">
        <w:t>crime</w:t>
      </w:r>
      <w:proofErr w:type="spellEnd"/>
      <w:r w:rsidRPr="00D42316">
        <w:t xml:space="preserve"> of </w:t>
      </w:r>
      <w:proofErr w:type="spellStart"/>
      <w:r w:rsidRPr="00D42316">
        <w:t>misuse</w:t>
      </w:r>
      <w:proofErr w:type="spellEnd"/>
      <w:r w:rsidRPr="00D42316">
        <w:t xml:space="preserve"> of bank </w:t>
      </w:r>
      <w:proofErr w:type="spellStart"/>
      <w:r w:rsidRPr="00D42316">
        <w:t>or</w:t>
      </w:r>
      <w:proofErr w:type="spellEnd"/>
      <w:r w:rsidRPr="00D42316">
        <w:t xml:space="preserve"> </w:t>
      </w:r>
      <w:proofErr w:type="spellStart"/>
      <w:r w:rsidRPr="00D42316">
        <w:t>credit</w:t>
      </w:r>
      <w:proofErr w:type="spellEnd"/>
      <w:r w:rsidRPr="00D42316">
        <w:t xml:space="preserve"> </w:t>
      </w:r>
      <w:proofErr w:type="spellStart"/>
      <w:r w:rsidRPr="00D42316">
        <w:t>cards</w:t>
      </w:r>
      <w:proofErr w:type="spellEnd"/>
      <w:r w:rsidRPr="00D42316">
        <w:t xml:space="preserve"> as </w:t>
      </w:r>
      <w:proofErr w:type="spellStart"/>
      <w:r w:rsidRPr="00D42316">
        <w:t>part</w:t>
      </w:r>
      <w:proofErr w:type="spellEnd"/>
      <w:r w:rsidRPr="00D42316">
        <w:t xml:space="preserve"> of </w:t>
      </w:r>
      <w:proofErr w:type="spellStart"/>
      <w:r w:rsidRPr="00D42316">
        <w:t>offenses</w:t>
      </w:r>
      <w:proofErr w:type="spellEnd"/>
      <w:r w:rsidRPr="00D42316">
        <w:t xml:space="preserve"> </w:t>
      </w:r>
      <w:proofErr w:type="spellStart"/>
      <w:r w:rsidRPr="00D42316">
        <w:t>committed</w:t>
      </w:r>
      <w:proofErr w:type="spellEnd"/>
      <w:r w:rsidRPr="00D42316">
        <w:t xml:space="preserve"> in </w:t>
      </w:r>
      <w:proofErr w:type="spellStart"/>
      <w:r w:rsidRPr="00D42316">
        <w:t>the</w:t>
      </w:r>
      <w:proofErr w:type="spellEnd"/>
      <w:r w:rsidRPr="00D42316">
        <w:t xml:space="preserve"> </w:t>
      </w:r>
      <w:proofErr w:type="spellStart"/>
      <w:r w:rsidRPr="00D42316">
        <w:t>field</w:t>
      </w:r>
      <w:proofErr w:type="spellEnd"/>
      <w:r w:rsidRPr="00D42316">
        <w:t xml:space="preserve"> of </w:t>
      </w:r>
      <w:proofErr w:type="spellStart"/>
      <w:r w:rsidRPr="00D42316">
        <w:t>informatics</w:t>
      </w:r>
      <w:proofErr w:type="spellEnd"/>
      <w:r w:rsidRPr="00D42316">
        <w:t xml:space="preserve">. </w:t>
      </w:r>
      <w:proofErr w:type="spellStart"/>
      <w:r w:rsidRPr="00D42316">
        <w:t>This</w:t>
      </w:r>
      <w:proofErr w:type="spellEnd"/>
      <w:r w:rsidRPr="00D42316">
        <w:t xml:space="preserve"> </w:t>
      </w:r>
      <w:proofErr w:type="spellStart"/>
      <w:r w:rsidRPr="00D42316">
        <w:t>provision</w:t>
      </w:r>
      <w:proofErr w:type="spellEnd"/>
      <w:r w:rsidRPr="00D42316">
        <w:t xml:space="preserve"> </w:t>
      </w:r>
      <w:proofErr w:type="spellStart"/>
      <w:r w:rsidRPr="00D42316">
        <w:t>criminalizes</w:t>
      </w:r>
      <w:proofErr w:type="spellEnd"/>
      <w:r w:rsidRPr="00D42316">
        <w:t xml:space="preserve"> </w:t>
      </w:r>
      <w:proofErr w:type="spellStart"/>
      <w:r w:rsidRPr="00D42316">
        <w:t>acts</w:t>
      </w:r>
      <w:proofErr w:type="spellEnd"/>
      <w:r w:rsidRPr="00D42316">
        <w:t xml:space="preserve"> </w:t>
      </w:r>
      <w:proofErr w:type="spellStart"/>
      <w:r w:rsidRPr="00D42316">
        <w:t>involving</w:t>
      </w:r>
      <w:proofErr w:type="spellEnd"/>
      <w:r w:rsidRPr="00D42316">
        <w:t xml:space="preserve"> </w:t>
      </w:r>
      <w:proofErr w:type="spellStart"/>
      <w:r w:rsidRPr="00D42316">
        <w:t>the</w:t>
      </w:r>
      <w:proofErr w:type="spellEnd"/>
      <w:r w:rsidRPr="00D42316">
        <w:t xml:space="preserve"> </w:t>
      </w:r>
      <w:proofErr w:type="spellStart"/>
      <w:r w:rsidRPr="00D42316">
        <w:t>possession</w:t>
      </w:r>
      <w:proofErr w:type="spellEnd"/>
      <w:r w:rsidRPr="00D42316">
        <w:t xml:space="preserve"> of a </w:t>
      </w:r>
      <w:proofErr w:type="spellStart"/>
      <w:r w:rsidRPr="00D42316">
        <w:t>genuine</w:t>
      </w:r>
      <w:proofErr w:type="spellEnd"/>
      <w:r w:rsidRPr="00D42316">
        <w:t xml:space="preserve"> bank </w:t>
      </w:r>
      <w:proofErr w:type="spellStart"/>
      <w:r w:rsidRPr="00D42316">
        <w:t>or</w:t>
      </w:r>
      <w:proofErr w:type="spellEnd"/>
      <w:r w:rsidRPr="00D42316">
        <w:t xml:space="preserve"> </w:t>
      </w:r>
      <w:proofErr w:type="spellStart"/>
      <w:r w:rsidRPr="00D42316">
        <w:t>credit</w:t>
      </w:r>
      <w:proofErr w:type="spellEnd"/>
      <w:r w:rsidRPr="00D42316">
        <w:t xml:space="preserve"> </w:t>
      </w:r>
      <w:proofErr w:type="spellStart"/>
      <w:r w:rsidRPr="00D42316">
        <w:t>card</w:t>
      </w:r>
      <w:proofErr w:type="spellEnd"/>
      <w:r w:rsidRPr="00D42316">
        <w:t xml:space="preserve"> </w:t>
      </w:r>
      <w:proofErr w:type="spellStart"/>
      <w:r w:rsidRPr="00D42316">
        <w:t>that</w:t>
      </w:r>
      <w:proofErr w:type="spellEnd"/>
      <w:r w:rsidRPr="00D42316">
        <w:t xml:space="preserve"> </w:t>
      </w:r>
      <w:proofErr w:type="spellStart"/>
      <w:r w:rsidRPr="00D42316">
        <w:t>belongs</w:t>
      </w:r>
      <w:proofErr w:type="spellEnd"/>
      <w:r w:rsidRPr="00D42316">
        <w:t xml:space="preserve"> </w:t>
      </w:r>
      <w:proofErr w:type="spellStart"/>
      <w:r w:rsidRPr="00D42316">
        <w:t>to</w:t>
      </w:r>
      <w:proofErr w:type="spellEnd"/>
      <w:r w:rsidRPr="00D42316">
        <w:t xml:space="preserve"> </w:t>
      </w:r>
      <w:proofErr w:type="spellStart"/>
      <w:r w:rsidRPr="00D42316">
        <w:t>another</w:t>
      </w:r>
      <w:proofErr w:type="spellEnd"/>
      <w:r w:rsidRPr="00D42316">
        <w:t xml:space="preserve">, </w:t>
      </w:r>
      <w:proofErr w:type="spellStart"/>
      <w:r w:rsidRPr="00D42316">
        <w:t>regardless</w:t>
      </w:r>
      <w:proofErr w:type="spellEnd"/>
      <w:r w:rsidRPr="00D42316">
        <w:t xml:space="preserve"> of how it </w:t>
      </w:r>
      <w:proofErr w:type="spellStart"/>
      <w:r w:rsidRPr="00D42316">
        <w:t>was</w:t>
      </w:r>
      <w:proofErr w:type="spellEnd"/>
      <w:r w:rsidRPr="00D42316">
        <w:t xml:space="preserve"> </w:t>
      </w:r>
      <w:proofErr w:type="spellStart"/>
      <w:r w:rsidRPr="00D42316">
        <w:t>obtained</w:t>
      </w:r>
      <w:proofErr w:type="spellEnd"/>
      <w:r w:rsidRPr="00D42316">
        <w:t xml:space="preserve">, </w:t>
      </w:r>
      <w:proofErr w:type="spellStart"/>
      <w:r w:rsidRPr="00D42316">
        <w:t>and</w:t>
      </w:r>
      <w:proofErr w:type="spellEnd"/>
      <w:r w:rsidRPr="00D42316">
        <w:t xml:space="preserve"> </w:t>
      </w:r>
      <w:proofErr w:type="spellStart"/>
      <w:r w:rsidRPr="00D42316">
        <w:t>its</w:t>
      </w:r>
      <w:proofErr w:type="spellEnd"/>
      <w:r w:rsidRPr="00D42316">
        <w:t xml:space="preserve"> </w:t>
      </w:r>
      <w:proofErr w:type="spellStart"/>
      <w:r w:rsidRPr="00D42316">
        <w:t>use</w:t>
      </w:r>
      <w:proofErr w:type="spellEnd"/>
      <w:r w:rsidRPr="00D42316">
        <w:t xml:space="preserve"> </w:t>
      </w:r>
      <w:proofErr w:type="spellStart"/>
      <w:r w:rsidRPr="00D42316">
        <w:t>or</w:t>
      </w:r>
      <w:proofErr w:type="spellEnd"/>
      <w:r w:rsidRPr="00D42316">
        <w:t xml:space="preserve"> </w:t>
      </w:r>
      <w:proofErr w:type="spellStart"/>
      <w:r w:rsidRPr="00D42316">
        <w:t>enabling</w:t>
      </w:r>
      <w:proofErr w:type="spellEnd"/>
      <w:r w:rsidRPr="00D42316">
        <w:t xml:space="preserve"> </w:t>
      </w:r>
      <w:proofErr w:type="spellStart"/>
      <w:r w:rsidRPr="00D42316">
        <w:t>its</w:t>
      </w:r>
      <w:proofErr w:type="spellEnd"/>
      <w:r w:rsidRPr="00D42316">
        <w:t xml:space="preserve"> </w:t>
      </w:r>
      <w:proofErr w:type="spellStart"/>
      <w:r w:rsidRPr="00D42316">
        <w:t>use</w:t>
      </w:r>
      <w:proofErr w:type="spellEnd"/>
      <w:r w:rsidRPr="00D42316">
        <w:t xml:space="preserve"> </w:t>
      </w:r>
      <w:proofErr w:type="spellStart"/>
      <w:r w:rsidRPr="00D42316">
        <w:t>without</w:t>
      </w:r>
      <w:proofErr w:type="spellEnd"/>
      <w:r w:rsidRPr="00D42316">
        <w:t xml:space="preserve"> </w:t>
      </w:r>
      <w:proofErr w:type="spellStart"/>
      <w:r w:rsidRPr="00D42316">
        <w:t>the</w:t>
      </w:r>
      <w:proofErr w:type="spellEnd"/>
      <w:r w:rsidRPr="00D42316">
        <w:t xml:space="preserve"> </w:t>
      </w:r>
      <w:proofErr w:type="spellStart"/>
      <w:r w:rsidRPr="00D42316">
        <w:t>consent</w:t>
      </w:r>
      <w:proofErr w:type="spellEnd"/>
      <w:r w:rsidRPr="00D42316">
        <w:t xml:space="preserve"> of </w:t>
      </w:r>
      <w:proofErr w:type="spellStart"/>
      <w:r w:rsidRPr="00D42316">
        <w:t>the</w:t>
      </w:r>
      <w:proofErr w:type="spellEnd"/>
      <w:r w:rsidRPr="00D42316">
        <w:t xml:space="preserve"> </w:t>
      </w:r>
      <w:proofErr w:type="spellStart"/>
      <w:r w:rsidRPr="00D42316">
        <w:t>cardholder</w:t>
      </w:r>
      <w:proofErr w:type="spellEnd"/>
      <w:r w:rsidRPr="00D42316">
        <w:t xml:space="preserve"> </w:t>
      </w:r>
      <w:proofErr w:type="spellStart"/>
      <w:r w:rsidRPr="00D42316">
        <w:t>to</w:t>
      </w:r>
      <w:proofErr w:type="spellEnd"/>
      <w:r w:rsidRPr="00D42316">
        <w:t xml:space="preserve"> </w:t>
      </w:r>
      <w:proofErr w:type="spellStart"/>
      <w:r w:rsidRPr="00D42316">
        <w:t>obtain</w:t>
      </w:r>
      <w:proofErr w:type="spellEnd"/>
      <w:r w:rsidRPr="00D42316">
        <w:t xml:space="preserve"> </w:t>
      </w:r>
      <w:proofErr w:type="spellStart"/>
      <w:r w:rsidRPr="00D42316">
        <w:t>benefits</w:t>
      </w:r>
      <w:proofErr w:type="spellEnd"/>
      <w:r w:rsidRPr="00D42316">
        <w:t xml:space="preserve"> </w:t>
      </w:r>
      <w:proofErr w:type="spellStart"/>
      <w:r w:rsidRPr="00D42316">
        <w:t>for</w:t>
      </w:r>
      <w:proofErr w:type="spellEnd"/>
      <w:r w:rsidRPr="00D42316">
        <w:t xml:space="preserve"> </w:t>
      </w:r>
      <w:proofErr w:type="spellStart"/>
      <w:r w:rsidRPr="00D42316">
        <w:t>oneself</w:t>
      </w:r>
      <w:proofErr w:type="spellEnd"/>
      <w:r w:rsidRPr="00D42316">
        <w:t xml:space="preserve"> </w:t>
      </w:r>
      <w:proofErr w:type="spellStart"/>
      <w:r w:rsidRPr="00D42316">
        <w:t>or</w:t>
      </w:r>
      <w:proofErr w:type="spellEnd"/>
      <w:r w:rsidRPr="00D42316">
        <w:t xml:space="preserve"> </w:t>
      </w:r>
      <w:proofErr w:type="spellStart"/>
      <w:r w:rsidRPr="00D42316">
        <w:t>others</w:t>
      </w:r>
      <w:proofErr w:type="spellEnd"/>
      <w:r w:rsidRPr="00D42316">
        <w:t xml:space="preserve">. </w:t>
      </w:r>
      <w:proofErr w:type="spellStart"/>
      <w:r w:rsidRPr="00D42316">
        <w:t>The</w:t>
      </w:r>
      <w:proofErr w:type="spellEnd"/>
      <w:r w:rsidRPr="00D42316">
        <w:t xml:space="preserve"> </w:t>
      </w:r>
      <w:proofErr w:type="spellStart"/>
      <w:r w:rsidRPr="00D42316">
        <w:t>rapid</w:t>
      </w:r>
      <w:proofErr w:type="spellEnd"/>
      <w:r w:rsidRPr="00D42316">
        <w:t xml:space="preserve"> </w:t>
      </w:r>
      <w:proofErr w:type="spellStart"/>
      <w:r w:rsidRPr="00D42316">
        <w:t>advancement</w:t>
      </w:r>
      <w:proofErr w:type="spellEnd"/>
      <w:r w:rsidRPr="00D42316">
        <w:t xml:space="preserve"> of </w:t>
      </w:r>
      <w:proofErr w:type="spellStart"/>
      <w:r w:rsidRPr="00D42316">
        <w:t>technology</w:t>
      </w:r>
      <w:proofErr w:type="spellEnd"/>
      <w:r w:rsidRPr="00D42316">
        <w:t xml:space="preserve"> has </w:t>
      </w:r>
      <w:proofErr w:type="spellStart"/>
      <w:r w:rsidRPr="00D42316">
        <w:t>expanded</w:t>
      </w:r>
      <w:proofErr w:type="spellEnd"/>
      <w:r w:rsidRPr="00D42316">
        <w:t xml:space="preserve"> </w:t>
      </w:r>
      <w:proofErr w:type="spellStart"/>
      <w:r w:rsidRPr="00D42316">
        <w:t>both</w:t>
      </w:r>
      <w:proofErr w:type="spellEnd"/>
      <w:r w:rsidRPr="00D42316">
        <w:t xml:space="preserve"> </w:t>
      </w:r>
      <w:proofErr w:type="spellStart"/>
      <w:r w:rsidRPr="00D42316">
        <w:t>the</w:t>
      </w:r>
      <w:proofErr w:type="spellEnd"/>
      <w:r w:rsidRPr="00D42316">
        <w:t xml:space="preserve"> </w:t>
      </w:r>
      <w:proofErr w:type="spellStart"/>
      <w:r w:rsidRPr="00D42316">
        <w:t>areas</w:t>
      </w:r>
      <w:proofErr w:type="spellEnd"/>
      <w:r w:rsidRPr="00D42316">
        <w:t xml:space="preserve"> of </w:t>
      </w:r>
      <w:proofErr w:type="spellStart"/>
      <w:r w:rsidRPr="00D42316">
        <w:t>use</w:t>
      </w:r>
      <w:proofErr w:type="spellEnd"/>
      <w:r w:rsidRPr="00D42316">
        <w:t xml:space="preserve"> of </w:t>
      </w:r>
      <w:proofErr w:type="spellStart"/>
      <w:r w:rsidRPr="00D42316">
        <w:t>financial</w:t>
      </w:r>
      <w:proofErr w:type="spellEnd"/>
      <w:r w:rsidRPr="00D42316">
        <w:t xml:space="preserve"> </w:t>
      </w:r>
      <w:proofErr w:type="spellStart"/>
      <w:r w:rsidRPr="00D42316">
        <w:t>instruments</w:t>
      </w:r>
      <w:proofErr w:type="spellEnd"/>
      <w:r w:rsidRPr="00D42316">
        <w:t xml:space="preserve"> </w:t>
      </w:r>
      <w:proofErr w:type="spellStart"/>
      <w:r w:rsidRPr="00D42316">
        <w:t>such</w:t>
      </w:r>
      <w:proofErr w:type="spellEnd"/>
      <w:r w:rsidRPr="00D42316">
        <w:t xml:space="preserve"> as bank </w:t>
      </w:r>
      <w:proofErr w:type="spellStart"/>
      <w:r w:rsidRPr="00D42316">
        <w:t>and</w:t>
      </w:r>
      <w:proofErr w:type="spellEnd"/>
      <w:r w:rsidRPr="00D42316">
        <w:t xml:space="preserve"> </w:t>
      </w:r>
      <w:proofErr w:type="spellStart"/>
      <w:r w:rsidRPr="00D42316">
        <w:t>credit</w:t>
      </w:r>
      <w:proofErr w:type="spellEnd"/>
      <w:r w:rsidRPr="00D42316">
        <w:t xml:space="preserve"> </w:t>
      </w:r>
      <w:proofErr w:type="spellStart"/>
      <w:r w:rsidRPr="00D42316">
        <w:t>cards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volume</w:t>
      </w:r>
      <w:proofErr w:type="spellEnd"/>
      <w:r w:rsidRPr="00D42316">
        <w:t xml:space="preserve"> of </w:t>
      </w:r>
      <w:proofErr w:type="spellStart"/>
      <w:r w:rsidRPr="00D42316">
        <w:t>transactions</w:t>
      </w:r>
      <w:proofErr w:type="spellEnd"/>
      <w:r w:rsidRPr="00D42316">
        <w:t xml:space="preserve"> </w:t>
      </w:r>
      <w:proofErr w:type="spellStart"/>
      <w:r w:rsidRPr="00D42316">
        <w:t>conducted</w:t>
      </w:r>
      <w:proofErr w:type="spellEnd"/>
      <w:r w:rsidRPr="00D42316">
        <w:t xml:space="preserve"> </w:t>
      </w:r>
      <w:proofErr w:type="spellStart"/>
      <w:r w:rsidRPr="00D42316">
        <w:t>with</w:t>
      </w:r>
      <w:proofErr w:type="spellEnd"/>
      <w:r w:rsidRPr="00D42316">
        <w:t xml:space="preserve"> </w:t>
      </w:r>
      <w:proofErr w:type="spellStart"/>
      <w:r w:rsidRPr="00D42316">
        <w:t>them</w:t>
      </w:r>
      <w:proofErr w:type="spellEnd"/>
      <w:r w:rsidRPr="00D42316">
        <w:t xml:space="preserve">. </w:t>
      </w:r>
      <w:proofErr w:type="spellStart"/>
      <w:r w:rsidRPr="00D42316">
        <w:t>These</w:t>
      </w:r>
      <w:proofErr w:type="spellEnd"/>
      <w:r w:rsidRPr="00D42316">
        <w:t xml:space="preserve"> </w:t>
      </w:r>
      <w:proofErr w:type="spellStart"/>
      <w:r w:rsidRPr="00D42316">
        <w:t>instruments</w:t>
      </w:r>
      <w:proofErr w:type="spellEnd"/>
      <w:r w:rsidRPr="00D42316">
        <w:t xml:space="preserve"> </w:t>
      </w:r>
      <w:proofErr w:type="spellStart"/>
      <w:r w:rsidRPr="00D42316">
        <w:t>are</w:t>
      </w:r>
      <w:proofErr w:type="spellEnd"/>
      <w:r w:rsidRPr="00D42316">
        <w:t xml:space="preserve"> integral </w:t>
      </w:r>
      <w:proofErr w:type="spellStart"/>
      <w:r w:rsidRPr="00D42316">
        <w:t>to</w:t>
      </w:r>
      <w:proofErr w:type="spellEnd"/>
      <w:r w:rsidRPr="00D42316">
        <w:t xml:space="preserve"> modern </w:t>
      </w:r>
      <w:proofErr w:type="spellStart"/>
      <w:r w:rsidRPr="00D42316">
        <w:t>financial</w:t>
      </w:r>
      <w:proofErr w:type="spellEnd"/>
      <w:r w:rsidRPr="00D42316">
        <w:t xml:space="preserve"> </w:t>
      </w:r>
      <w:proofErr w:type="spellStart"/>
      <w:r w:rsidRPr="00D42316">
        <w:t>systems</w:t>
      </w:r>
      <w:proofErr w:type="spellEnd"/>
      <w:r w:rsidRPr="00D42316">
        <w:t xml:space="preserve">, </w:t>
      </w:r>
      <w:proofErr w:type="spellStart"/>
      <w:r w:rsidRPr="00D42316">
        <w:t>providing</w:t>
      </w:r>
      <w:proofErr w:type="spellEnd"/>
      <w:r w:rsidRPr="00D42316">
        <w:t xml:space="preserve"> </w:t>
      </w:r>
      <w:proofErr w:type="spellStart"/>
      <w:r w:rsidRPr="00D42316">
        <w:t>convenience</w:t>
      </w:r>
      <w:proofErr w:type="spellEnd"/>
      <w:r w:rsidRPr="00D42316">
        <w:t xml:space="preserve"> </w:t>
      </w:r>
      <w:proofErr w:type="spellStart"/>
      <w:r w:rsidRPr="00D42316">
        <w:t>for</w:t>
      </w:r>
      <w:proofErr w:type="spellEnd"/>
      <w:r w:rsidRPr="00D42316">
        <w:t xml:space="preserve"> </w:t>
      </w:r>
      <w:proofErr w:type="spellStart"/>
      <w:r w:rsidRPr="00D42316">
        <w:t>consumers</w:t>
      </w:r>
      <w:proofErr w:type="spellEnd"/>
      <w:r w:rsidRPr="00D42316">
        <w:t xml:space="preserve"> </w:t>
      </w:r>
      <w:proofErr w:type="spellStart"/>
      <w:r w:rsidRPr="00D42316">
        <w:t>and</w:t>
      </w:r>
      <w:proofErr w:type="spellEnd"/>
      <w:r w:rsidRPr="00D42316">
        <w:t xml:space="preserve"> </w:t>
      </w:r>
      <w:proofErr w:type="spellStart"/>
      <w:r w:rsidRPr="00D42316">
        <w:t>businesses</w:t>
      </w:r>
      <w:proofErr w:type="spellEnd"/>
      <w:r w:rsidRPr="00D42316">
        <w:t xml:space="preserve">. </w:t>
      </w:r>
      <w:proofErr w:type="spellStart"/>
      <w:r w:rsidRPr="00D42316">
        <w:t>However</w:t>
      </w:r>
      <w:proofErr w:type="spellEnd"/>
      <w:r w:rsidRPr="00D42316">
        <w:t xml:space="preserve">, </w:t>
      </w:r>
      <w:proofErr w:type="spellStart"/>
      <w:r w:rsidRPr="00D42316">
        <w:t>their</w:t>
      </w:r>
      <w:proofErr w:type="spellEnd"/>
      <w:r w:rsidRPr="00D42316">
        <w:t xml:space="preserve"> </w:t>
      </w:r>
      <w:proofErr w:type="spellStart"/>
      <w:r w:rsidRPr="00D42316">
        <w:t>abuse</w:t>
      </w:r>
      <w:proofErr w:type="spellEnd"/>
      <w:r w:rsidRPr="00D42316">
        <w:t xml:space="preserve"> has </w:t>
      </w:r>
      <w:proofErr w:type="spellStart"/>
      <w:r w:rsidRPr="00D42316">
        <w:t>become</w:t>
      </w:r>
      <w:proofErr w:type="spellEnd"/>
      <w:r w:rsidRPr="00D42316">
        <w:t xml:space="preserve"> a </w:t>
      </w:r>
      <w:proofErr w:type="spellStart"/>
      <w:r w:rsidRPr="00D42316">
        <w:t>growing</w:t>
      </w:r>
      <w:proofErr w:type="spellEnd"/>
      <w:r w:rsidRPr="00D42316">
        <w:t xml:space="preserve"> </w:t>
      </w:r>
      <w:proofErr w:type="spellStart"/>
      <w:r w:rsidRPr="00D42316">
        <w:t>concern</w:t>
      </w:r>
      <w:proofErr w:type="spellEnd"/>
      <w:r w:rsidRPr="00D42316">
        <w:t xml:space="preserve">. </w:t>
      </w:r>
      <w:proofErr w:type="spellStart"/>
      <w:r w:rsidRPr="00D42316">
        <w:t>The</w:t>
      </w:r>
      <w:proofErr w:type="spellEnd"/>
      <w:r w:rsidRPr="00D42316">
        <w:t xml:space="preserve"> </w:t>
      </w:r>
      <w:proofErr w:type="spellStart"/>
      <w:r w:rsidRPr="00D42316">
        <w:t>widespread</w:t>
      </w:r>
      <w:proofErr w:type="spellEnd"/>
      <w:r w:rsidRPr="00D42316">
        <w:t xml:space="preserve"> </w:t>
      </w:r>
      <w:proofErr w:type="spellStart"/>
      <w:r w:rsidRPr="00D42316">
        <w:t>use</w:t>
      </w:r>
      <w:proofErr w:type="spellEnd"/>
      <w:r w:rsidRPr="00D42316">
        <w:t xml:space="preserve"> of </w:t>
      </w:r>
      <w:proofErr w:type="spellStart"/>
      <w:r w:rsidRPr="00D42316">
        <w:t>these</w:t>
      </w:r>
      <w:proofErr w:type="spellEnd"/>
      <w:r w:rsidRPr="00D42316">
        <w:t xml:space="preserve"> </w:t>
      </w:r>
      <w:proofErr w:type="spellStart"/>
      <w:r w:rsidRPr="00D42316">
        <w:t>cards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resulting</w:t>
      </w:r>
      <w:proofErr w:type="spellEnd"/>
      <w:r w:rsidRPr="00D42316">
        <w:t xml:space="preserve"> </w:t>
      </w:r>
      <w:proofErr w:type="spellStart"/>
      <w:r w:rsidRPr="00D42316">
        <w:t>increase</w:t>
      </w:r>
      <w:proofErr w:type="spellEnd"/>
      <w:r w:rsidRPr="00D42316">
        <w:t xml:space="preserve"> in </w:t>
      </w:r>
      <w:proofErr w:type="spellStart"/>
      <w:r w:rsidRPr="00D42316">
        <w:t>transaction</w:t>
      </w:r>
      <w:proofErr w:type="spellEnd"/>
      <w:r w:rsidRPr="00D42316">
        <w:t xml:space="preserve"> </w:t>
      </w:r>
      <w:proofErr w:type="spellStart"/>
      <w:r w:rsidRPr="00D42316">
        <w:t>volume</w:t>
      </w:r>
      <w:proofErr w:type="spellEnd"/>
      <w:r w:rsidRPr="00D42316">
        <w:t xml:space="preserve"> </w:t>
      </w:r>
      <w:proofErr w:type="spellStart"/>
      <w:r w:rsidRPr="00D42316">
        <w:t>have</w:t>
      </w:r>
      <w:proofErr w:type="spellEnd"/>
      <w:r w:rsidRPr="00D42316">
        <w:t xml:space="preserve"> </w:t>
      </w:r>
      <w:proofErr w:type="spellStart"/>
      <w:r w:rsidRPr="00D42316">
        <w:t>intensified</w:t>
      </w:r>
      <w:proofErr w:type="spellEnd"/>
      <w:r w:rsidRPr="00D42316">
        <w:t xml:space="preserve"> </w:t>
      </w:r>
      <w:proofErr w:type="spellStart"/>
      <w:r w:rsidRPr="00D42316">
        <w:t>cybercriminals</w:t>
      </w:r>
      <w:proofErr w:type="spellEnd"/>
      <w:r w:rsidRPr="00D42316">
        <w:t xml:space="preserve">' </w:t>
      </w:r>
      <w:proofErr w:type="spellStart"/>
      <w:r w:rsidRPr="00D42316">
        <w:t>efforts</w:t>
      </w:r>
      <w:proofErr w:type="spellEnd"/>
      <w:r w:rsidRPr="00D42316">
        <w:t xml:space="preserve"> </w:t>
      </w:r>
      <w:proofErr w:type="spellStart"/>
      <w:r w:rsidRPr="00D42316">
        <w:t>to</w:t>
      </w:r>
      <w:proofErr w:type="spellEnd"/>
      <w:r w:rsidRPr="00D42316">
        <w:t xml:space="preserve"> </w:t>
      </w:r>
      <w:proofErr w:type="spellStart"/>
      <w:r w:rsidRPr="00D42316">
        <w:t>derive</w:t>
      </w:r>
      <w:proofErr w:type="spellEnd"/>
      <w:r w:rsidRPr="00D42316">
        <w:t xml:space="preserve"> </w:t>
      </w:r>
      <w:proofErr w:type="spellStart"/>
      <w:r w:rsidRPr="00D42316">
        <w:t>unlawful</w:t>
      </w:r>
      <w:proofErr w:type="spellEnd"/>
      <w:r w:rsidRPr="00D42316">
        <w:t xml:space="preserve"> </w:t>
      </w:r>
      <w:proofErr w:type="spellStart"/>
      <w:r w:rsidRPr="00D42316">
        <w:t>benefits</w:t>
      </w:r>
      <w:proofErr w:type="spellEnd"/>
      <w:r w:rsidRPr="00D42316">
        <w:t xml:space="preserve">. </w:t>
      </w:r>
      <w:proofErr w:type="spellStart"/>
      <w:r w:rsidRPr="00D42316">
        <w:t>To</w:t>
      </w:r>
      <w:proofErr w:type="spellEnd"/>
      <w:r w:rsidRPr="00D42316">
        <w:t xml:space="preserve"> </w:t>
      </w:r>
      <w:proofErr w:type="spellStart"/>
      <w:r w:rsidRPr="00D42316">
        <w:t>prevent</w:t>
      </w:r>
      <w:proofErr w:type="spellEnd"/>
      <w:r w:rsidRPr="00D42316">
        <w:t xml:space="preserve"> </w:t>
      </w:r>
      <w:proofErr w:type="spellStart"/>
      <w:r w:rsidRPr="00D42316">
        <w:t>harm</w:t>
      </w:r>
      <w:proofErr w:type="spellEnd"/>
      <w:r w:rsidRPr="00D42316">
        <w:t xml:space="preserve"> </w:t>
      </w:r>
      <w:proofErr w:type="spellStart"/>
      <w:r w:rsidRPr="00D42316">
        <w:t>to</w:t>
      </w:r>
      <w:proofErr w:type="spellEnd"/>
      <w:r w:rsidRPr="00D42316">
        <w:t xml:space="preserve">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institutions</w:t>
      </w:r>
      <w:proofErr w:type="spellEnd"/>
      <w:r w:rsidRPr="00D42316">
        <w:t xml:space="preserve"> </w:t>
      </w:r>
      <w:proofErr w:type="spellStart"/>
      <w:r w:rsidRPr="00D42316">
        <w:t>caused</w:t>
      </w:r>
      <w:proofErr w:type="spellEnd"/>
      <w:r w:rsidRPr="00D42316">
        <w:t xml:space="preserve"> </w:t>
      </w:r>
      <w:proofErr w:type="spellStart"/>
      <w:r w:rsidRPr="00D42316">
        <w:t>by</w:t>
      </w:r>
      <w:proofErr w:type="spellEnd"/>
      <w:r w:rsidRPr="00D42316">
        <w:t xml:space="preserve"> </w:t>
      </w:r>
      <w:proofErr w:type="spellStart"/>
      <w:r w:rsidRPr="00D42316">
        <w:t>the</w:t>
      </w:r>
      <w:proofErr w:type="spellEnd"/>
      <w:r w:rsidRPr="00D42316">
        <w:t xml:space="preserve"> </w:t>
      </w:r>
      <w:proofErr w:type="spellStart"/>
      <w:r w:rsidRPr="00D42316">
        <w:t>unlawful</w:t>
      </w:r>
      <w:proofErr w:type="spellEnd"/>
      <w:r w:rsidRPr="00D42316">
        <w:t xml:space="preserve"> </w:t>
      </w:r>
      <w:proofErr w:type="spellStart"/>
      <w:r w:rsidRPr="00D42316">
        <w:t>use</w:t>
      </w:r>
      <w:proofErr w:type="spellEnd"/>
      <w:r w:rsidRPr="00D42316">
        <w:t xml:space="preserve"> of </w:t>
      </w:r>
      <w:proofErr w:type="spellStart"/>
      <w:r w:rsidRPr="00D42316">
        <w:t>these</w:t>
      </w:r>
      <w:proofErr w:type="spellEnd"/>
      <w:r w:rsidRPr="00D42316">
        <w:t xml:space="preserve"> </w:t>
      </w:r>
      <w:proofErr w:type="spellStart"/>
      <w:r w:rsidRPr="00D42316">
        <w:t>cards</w:t>
      </w:r>
      <w:proofErr w:type="spellEnd"/>
      <w:r w:rsidRPr="00D42316">
        <w:t xml:space="preserve">, </w:t>
      </w:r>
      <w:proofErr w:type="spellStart"/>
      <w:r w:rsidRPr="00D42316">
        <w:t>this</w:t>
      </w:r>
      <w:proofErr w:type="spellEnd"/>
      <w:r w:rsidRPr="00D42316">
        <w:t xml:space="preserve"> </w:t>
      </w:r>
      <w:proofErr w:type="spellStart"/>
      <w:r w:rsidRPr="00D42316">
        <w:t>crime</w:t>
      </w:r>
      <w:proofErr w:type="spellEnd"/>
      <w:r w:rsidRPr="00D42316">
        <w:t xml:space="preserve"> </w:t>
      </w:r>
      <w:proofErr w:type="spellStart"/>
      <w:r w:rsidRPr="00D42316">
        <w:t>was</w:t>
      </w:r>
      <w:proofErr w:type="spellEnd"/>
      <w:r w:rsidRPr="00D42316">
        <w:t xml:space="preserve"> </w:t>
      </w:r>
      <w:proofErr w:type="spellStart"/>
      <w:r w:rsidRPr="00D42316">
        <w:t>established</w:t>
      </w:r>
      <w:proofErr w:type="spellEnd"/>
      <w:r w:rsidRPr="00D42316">
        <w:t xml:space="preserve"> as a </w:t>
      </w:r>
      <w:proofErr w:type="spellStart"/>
      <w:r w:rsidRPr="00D42316">
        <w:t>separate</w:t>
      </w:r>
      <w:proofErr w:type="spellEnd"/>
      <w:r w:rsidRPr="00D42316">
        <w:t xml:space="preserve"> </w:t>
      </w:r>
      <w:proofErr w:type="spellStart"/>
      <w:r w:rsidRPr="00D42316">
        <w:t>offense</w:t>
      </w:r>
      <w:proofErr w:type="spellEnd"/>
      <w:r w:rsidRPr="00D42316">
        <w:t xml:space="preserve">. </w:t>
      </w:r>
      <w:proofErr w:type="spellStart"/>
      <w:r w:rsidRPr="00D42316">
        <w:t>The</w:t>
      </w:r>
      <w:proofErr w:type="spellEnd"/>
      <w:r w:rsidRPr="00D42316">
        <w:t xml:space="preserve"> </w:t>
      </w:r>
      <w:proofErr w:type="spellStart"/>
      <w:r w:rsidRPr="00D42316">
        <w:t>offense</w:t>
      </w:r>
      <w:proofErr w:type="spellEnd"/>
      <w:r w:rsidRPr="00D42316">
        <w:t xml:space="preserve"> </w:t>
      </w:r>
      <w:proofErr w:type="spellStart"/>
      <w:r w:rsidRPr="00D42316">
        <w:t>under</w:t>
      </w:r>
      <w:proofErr w:type="spellEnd"/>
      <w:r w:rsidRPr="00D42316">
        <w:t xml:space="preserve"> </w:t>
      </w:r>
      <w:proofErr w:type="spellStart"/>
      <w:r w:rsidRPr="00D42316">
        <w:t>Article</w:t>
      </w:r>
      <w:proofErr w:type="spellEnd"/>
      <w:r w:rsidRPr="00D42316">
        <w:t xml:space="preserve"> 245 is </w:t>
      </w:r>
      <w:proofErr w:type="spellStart"/>
      <w:r w:rsidRPr="00D42316">
        <w:t>considered</w:t>
      </w:r>
      <w:proofErr w:type="spellEnd"/>
      <w:r w:rsidRPr="00D42316">
        <w:t xml:space="preserve"> a “</w:t>
      </w:r>
      <w:proofErr w:type="spellStart"/>
      <w:r w:rsidRPr="00D42316">
        <w:t>cybercrime</w:t>
      </w:r>
      <w:proofErr w:type="spellEnd"/>
      <w:r w:rsidRPr="00D42316">
        <w:t xml:space="preserve">” as it </w:t>
      </w:r>
      <w:proofErr w:type="spellStart"/>
      <w:r w:rsidRPr="00D42316">
        <w:t>relies</w:t>
      </w:r>
      <w:proofErr w:type="spellEnd"/>
      <w:r w:rsidRPr="00D42316">
        <w:t xml:space="preserve"> on </w:t>
      </w:r>
      <w:proofErr w:type="spellStart"/>
      <w:r w:rsidRPr="00D42316">
        <w:t>informatics</w:t>
      </w:r>
      <w:proofErr w:type="spellEnd"/>
      <w:r w:rsidRPr="00D42316">
        <w:t xml:space="preserve"> </w:t>
      </w:r>
      <w:proofErr w:type="spellStart"/>
      <w:r w:rsidRPr="00D42316">
        <w:t>systems</w:t>
      </w:r>
      <w:proofErr w:type="spellEnd"/>
      <w:r w:rsidRPr="00D42316">
        <w:t xml:space="preserve"> </w:t>
      </w:r>
      <w:proofErr w:type="spellStart"/>
      <w:r w:rsidRPr="00D42316">
        <w:t>for</w:t>
      </w:r>
      <w:proofErr w:type="spellEnd"/>
      <w:r w:rsidRPr="00D42316">
        <w:t xml:space="preserve"> </w:t>
      </w:r>
      <w:proofErr w:type="spellStart"/>
      <w:r w:rsidRPr="00D42316">
        <w:t>its</w:t>
      </w:r>
      <w:proofErr w:type="spellEnd"/>
      <w:r w:rsidRPr="00D42316">
        <w:t xml:space="preserve"> </w:t>
      </w:r>
      <w:proofErr w:type="spellStart"/>
      <w:r w:rsidRPr="00D42316">
        <w:t>commission</w:t>
      </w:r>
      <w:proofErr w:type="spellEnd"/>
      <w:r w:rsidRPr="00D42316">
        <w:t xml:space="preserve">. </w:t>
      </w:r>
      <w:proofErr w:type="spellStart"/>
      <w:r w:rsidRPr="00D42316">
        <w:t>Simultaneously</w:t>
      </w:r>
      <w:proofErr w:type="spellEnd"/>
      <w:r w:rsidRPr="00D42316">
        <w:t xml:space="preserve">, it </w:t>
      </w:r>
      <w:proofErr w:type="spellStart"/>
      <w:r w:rsidRPr="00D42316">
        <w:t>holds</w:t>
      </w:r>
      <w:proofErr w:type="spellEnd"/>
      <w:r w:rsidRPr="00D42316">
        <w:t xml:space="preserve"> a </w:t>
      </w:r>
      <w:proofErr w:type="spellStart"/>
      <w:r w:rsidRPr="00D42316">
        <w:t>key</w:t>
      </w:r>
      <w:proofErr w:type="spellEnd"/>
      <w:r w:rsidRPr="00D42316">
        <w:t xml:space="preserve"> </w:t>
      </w:r>
      <w:proofErr w:type="spellStart"/>
      <w:r w:rsidRPr="00D42316">
        <w:t>position</w:t>
      </w:r>
      <w:proofErr w:type="spellEnd"/>
      <w:r w:rsidRPr="00D42316">
        <w:t xml:space="preserve"> in </w:t>
      </w:r>
      <w:proofErr w:type="spellStart"/>
      <w:r w:rsidRPr="00D42316">
        <w:t>the</w:t>
      </w:r>
      <w:proofErr w:type="spellEnd"/>
      <w:r w:rsidRPr="00D42316">
        <w:t xml:space="preserve"> </w:t>
      </w:r>
      <w:proofErr w:type="spellStart"/>
      <w:r w:rsidRPr="00D42316">
        <w:t>category</w:t>
      </w:r>
      <w:proofErr w:type="spellEnd"/>
      <w:r w:rsidRPr="00D42316">
        <w:t xml:space="preserve"> of “</w:t>
      </w:r>
      <w:proofErr w:type="spellStart"/>
      <w:r w:rsidRPr="00D42316">
        <w:t>economic</w:t>
      </w:r>
      <w:proofErr w:type="spellEnd"/>
      <w:r w:rsidRPr="00D42316">
        <w:t xml:space="preserve"> </w:t>
      </w:r>
      <w:proofErr w:type="spellStart"/>
      <w:r w:rsidRPr="00D42316">
        <w:t>crimes</w:t>
      </w:r>
      <w:proofErr w:type="spellEnd"/>
      <w:r w:rsidRPr="00D42316">
        <w:t xml:space="preserve">.” </w:t>
      </w:r>
      <w:proofErr w:type="spellStart"/>
      <w:r w:rsidRPr="00D42316">
        <w:t>This</w:t>
      </w:r>
      <w:proofErr w:type="spellEnd"/>
      <w:r w:rsidRPr="00D42316">
        <w:t xml:space="preserve"> </w:t>
      </w:r>
      <w:proofErr w:type="spellStart"/>
      <w:r w:rsidRPr="00D42316">
        <w:t>crime</w:t>
      </w:r>
      <w:proofErr w:type="spellEnd"/>
      <w:r w:rsidRPr="00D42316">
        <w:t xml:space="preserve"> </w:t>
      </w:r>
      <w:proofErr w:type="spellStart"/>
      <w:r w:rsidRPr="00D42316">
        <w:t>requires</w:t>
      </w:r>
      <w:proofErr w:type="spellEnd"/>
      <w:r w:rsidRPr="00D42316">
        <w:t xml:space="preserve"> </w:t>
      </w:r>
      <w:proofErr w:type="spellStart"/>
      <w:r w:rsidRPr="00D42316">
        <w:t>serious</w:t>
      </w:r>
      <w:proofErr w:type="spellEnd"/>
      <w:r w:rsidRPr="00D42316">
        <w:t xml:space="preserve"> </w:t>
      </w:r>
      <w:proofErr w:type="spellStart"/>
      <w:r w:rsidRPr="00D42316">
        <w:t>sanctions</w:t>
      </w:r>
      <w:proofErr w:type="spellEnd"/>
      <w:r w:rsidRPr="00D42316">
        <w:t xml:space="preserve"> </w:t>
      </w:r>
      <w:proofErr w:type="spellStart"/>
      <w:r w:rsidRPr="00D42316">
        <w:t>from</w:t>
      </w:r>
      <w:proofErr w:type="spellEnd"/>
      <w:r w:rsidRPr="00D42316">
        <w:t xml:space="preserve"> a </w:t>
      </w:r>
      <w:proofErr w:type="spellStart"/>
      <w:r w:rsidRPr="00D42316">
        <w:t>criminal</w:t>
      </w:r>
      <w:proofErr w:type="spellEnd"/>
      <w:r w:rsidRPr="00D42316">
        <w:t xml:space="preserve"> </w:t>
      </w:r>
      <w:proofErr w:type="spellStart"/>
      <w:r w:rsidRPr="00D42316">
        <w:t>liability</w:t>
      </w:r>
      <w:proofErr w:type="spellEnd"/>
      <w:r w:rsidRPr="00D42316">
        <w:t xml:space="preserve"> </w:t>
      </w:r>
      <w:proofErr w:type="spellStart"/>
      <w:r w:rsidRPr="00D42316">
        <w:t>perspective</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nature</w:t>
      </w:r>
      <w:proofErr w:type="spellEnd"/>
      <w:r w:rsidRPr="00D42316">
        <w:t xml:space="preserve"> of </w:t>
      </w:r>
      <w:proofErr w:type="spellStart"/>
      <w:r w:rsidRPr="00D42316">
        <w:t>the</w:t>
      </w:r>
      <w:proofErr w:type="spellEnd"/>
      <w:r w:rsidRPr="00D42316">
        <w:t xml:space="preserve"> </w:t>
      </w:r>
      <w:proofErr w:type="spellStart"/>
      <w:r w:rsidRPr="00D42316">
        <w:t>crime</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offender’s</w:t>
      </w:r>
      <w:proofErr w:type="spellEnd"/>
      <w:r w:rsidRPr="00D42316">
        <w:t xml:space="preserve"> </w:t>
      </w:r>
      <w:proofErr w:type="spellStart"/>
      <w:r w:rsidRPr="00D42316">
        <w:t>intent</w:t>
      </w:r>
      <w:proofErr w:type="spellEnd"/>
      <w:r w:rsidRPr="00D42316">
        <w:t xml:space="preserve"> </w:t>
      </w:r>
      <w:proofErr w:type="spellStart"/>
      <w:r w:rsidRPr="00D42316">
        <w:t>playing</w:t>
      </w:r>
      <w:proofErr w:type="spellEnd"/>
      <w:r w:rsidRPr="00D42316">
        <w:t xml:space="preserve"> </w:t>
      </w:r>
      <w:proofErr w:type="spellStart"/>
      <w:r w:rsidRPr="00D42316">
        <w:t>critical</w:t>
      </w:r>
      <w:proofErr w:type="spellEnd"/>
      <w:r w:rsidRPr="00D42316">
        <w:t xml:space="preserve"> </w:t>
      </w:r>
      <w:proofErr w:type="spellStart"/>
      <w:r w:rsidRPr="00D42316">
        <w:t>roles</w:t>
      </w:r>
      <w:proofErr w:type="spellEnd"/>
      <w:r w:rsidRPr="00D42316">
        <w:t xml:space="preserve"> in </w:t>
      </w:r>
      <w:proofErr w:type="spellStart"/>
      <w:r w:rsidRPr="00D42316">
        <w:t>determining</w:t>
      </w:r>
      <w:proofErr w:type="spellEnd"/>
      <w:r w:rsidRPr="00D42316">
        <w:t xml:space="preserve"> </w:t>
      </w:r>
      <w:proofErr w:type="spellStart"/>
      <w:r w:rsidRPr="00D42316">
        <w:t>penalties</w:t>
      </w:r>
      <w:proofErr w:type="spellEnd"/>
      <w:r w:rsidRPr="00D42316">
        <w:t xml:space="preserve">. </w:t>
      </w:r>
      <w:proofErr w:type="spellStart"/>
      <w:r w:rsidRPr="00D42316">
        <w:t>Preventing</w:t>
      </w:r>
      <w:proofErr w:type="spellEnd"/>
      <w:r w:rsidRPr="00D42316">
        <w:t xml:space="preserve"> </w:t>
      </w:r>
      <w:proofErr w:type="spellStart"/>
      <w:r w:rsidRPr="00D42316">
        <w:t>such</w:t>
      </w:r>
      <w:proofErr w:type="spellEnd"/>
      <w:r w:rsidRPr="00D42316">
        <w:t xml:space="preserve"> </w:t>
      </w:r>
      <w:proofErr w:type="spellStart"/>
      <w:r w:rsidRPr="00D42316">
        <w:t>crimes</w:t>
      </w:r>
      <w:proofErr w:type="spellEnd"/>
      <w:r w:rsidRPr="00D42316">
        <w:t xml:space="preserve"> </w:t>
      </w:r>
      <w:proofErr w:type="spellStart"/>
      <w:r w:rsidRPr="00D42316">
        <w:t>and</w:t>
      </w:r>
      <w:proofErr w:type="spellEnd"/>
      <w:r w:rsidRPr="00D42316">
        <w:t xml:space="preserve"> </w:t>
      </w:r>
      <w:proofErr w:type="spellStart"/>
      <w:r w:rsidRPr="00D42316">
        <w:t>punishing</w:t>
      </w:r>
      <w:proofErr w:type="spellEnd"/>
      <w:r w:rsidRPr="00D42316">
        <w:t xml:space="preserve"> </w:t>
      </w:r>
      <w:proofErr w:type="spellStart"/>
      <w:r w:rsidRPr="00D42316">
        <w:t>offenders</w:t>
      </w:r>
      <w:proofErr w:type="spellEnd"/>
      <w:r w:rsidRPr="00D42316">
        <w:t xml:space="preserve"> </w:t>
      </w:r>
      <w:proofErr w:type="spellStart"/>
      <w:r w:rsidRPr="00D42316">
        <w:t>necessitates</w:t>
      </w:r>
      <w:proofErr w:type="spellEnd"/>
      <w:r w:rsidRPr="00D42316">
        <w:t xml:space="preserve"> </w:t>
      </w:r>
      <w:proofErr w:type="spellStart"/>
      <w:r w:rsidRPr="00D42316">
        <w:t>criminal</w:t>
      </w:r>
      <w:proofErr w:type="spellEnd"/>
      <w:r w:rsidRPr="00D42316">
        <w:t xml:space="preserve"> </w:t>
      </w:r>
      <w:proofErr w:type="spellStart"/>
      <w:r w:rsidRPr="00D42316">
        <w:t>law</w:t>
      </w:r>
      <w:proofErr w:type="spellEnd"/>
      <w:r w:rsidRPr="00D42316">
        <w:t xml:space="preserve"> </w:t>
      </w:r>
      <w:proofErr w:type="spellStart"/>
      <w:r w:rsidRPr="00D42316">
        <w:t>measures</w:t>
      </w:r>
      <w:proofErr w:type="spellEnd"/>
      <w:r w:rsidRPr="00D42316">
        <w:t xml:space="preserve"> </w:t>
      </w:r>
      <w:proofErr w:type="spellStart"/>
      <w:r w:rsidRPr="00D42316">
        <w:t>alongside</w:t>
      </w:r>
      <w:proofErr w:type="spellEnd"/>
      <w:r w:rsidRPr="00D42316">
        <w:t xml:space="preserve"> </w:t>
      </w:r>
      <w:proofErr w:type="spellStart"/>
      <w:r w:rsidRPr="00D42316">
        <w:t>advancements</w:t>
      </w:r>
      <w:proofErr w:type="spellEnd"/>
      <w:r w:rsidRPr="00D42316">
        <w:t xml:space="preserve"> in </w:t>
      </w:r>
      <w:proofErr w:type="spellStart"/>
      <w:r w:rsidRPr="00D42316">
        <w:t>cybersecurity</w:t>
      </w:r>
      <w:proofErr w:type="spellEnd"/>
      <w:r w:rsidRPr="00D42316">
        <w:t xml:space="preserve"> </w:t>
      </w:r>
      <w:proofErr w:type="spellStart"/>
      <w:r w:rsidRPr="00D42316">
        <w:t>and</w:t>
      </w:r>
      <w:proofErr w:type="spellEnd"/>
      <w:r w:rsidRPr="00D42316">
        <w:t xml:space="preserve"> </w:t>
      </w:r>
      <w:proofErr w:type="spellStart"/>
      <w:r w:rsidRPr="00D42316">
        <w:t>digital</w:t>
      </w:r>
      <w:proofErr w:type="spellEnd"/>
      <w:r w:rsidRPr="00D42316">
        <w:t xml:space="preserve"> </w:t>
      </w:r>
      <w:proofErr w:type="spellStart"/>
      <w:r w:rsidRPr="00D42316">
        <w:t>auditing</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provides</w:t>
      </w:r>
      <w:proofErr w:type="spellEnd"/>
      <w:r w:rsidRPr="00D42316">
        <w:t xml:space="preserve"> a </w:t>
      </w:r>
      <w:proofErr w:type="spellStart"/>
      <w:r w:rsidRPr="00D42316">
        <w:t>theoretical</w:t>
      </w:r>
      <w:proofErr w:type="spellEnd"/>
      <w:r w:rsidRPr="00D42316">
        <w:t xml:space="preserve"> </w:t>
      </w:r>
      <w:proofErr w:type="spellStart"/>
      <w:r w:rsidRPr="00D42316">
        <w:t>framework</w:t>
      </w:r>
      <w:proofErr w:type="spellEnd"/>
      <w:r w:rsidRPr="00D42316">
        <w:t xml:space="preserve"> </w:t>
      </w:r>
      <w:proofErr w:type="spellStart"/>
      <w:r w:rsidRPr="00D42316">
        <w:t>based</w:t>
      </w:r>
      <w:proofErr w:type="spellEnd"/>
      <w:r w:rsidRPr="00D42316">
        <w:t xml:space="preserve"> on legal </w:t>
      </w:r>
      <w:proofErr w:type="spellStart"/>
      <w:r w:rsidRPr="00D42316">
        <w:t>regulations</w:t>
      </w:r>
      <w:proofErr w:type="spellEnd"/>
      <w:r w:rsidRPr="00D42316">
        <w:t xml:space="preserve"> </w:t>
      </w:r>
      <w:proofErr w:type="spellStart"/>
      <w:r w:rsidRPr="00D42316">
        <w:t>and</w:t>
      </w:r>
      <w:proofErr w:type="spellEnd"/>
      <w:r w:rsidRPr="00D42316">
        <w:t xml:space="preserve"> </w:t>
      </w:r>
      <w:proofErr w:type="spellStart"/>
      <w:r w:rsidRPr="00D42316">
        <w:t>judicial</w:t>
      </w:r>
      <w:proofErr w:type="spellEnd"/>
      <w:r w:rsidRPr="00D42316">
        <w:t xml:space="preserve"> </w:t>
      </w:r>
      <w:proofErr w:type="spellStart"/>
      <w:r w:rsidRPr="00D42316">
        <w:t>precedents</w:t>
      </w:r>
      <w:proofErr w:type="spellEnd"/>
      <w:r w:rsidRPr="00D42316">
        <w:t xml:space="preserve"> </w:t>
      </w:r>
      <w:proofErr w:type="spellStart"/>
      <w:r w:rsidRPr="00D42316">
        <w:t>while</w:t>
      </w:r>
      <w:proofErr w:type="spellEnd"/>
      <w:r w:rsidRPr="00D42316">
        <w:t xml:space="preserve"> </w:t>
      </w:r>
      <w:proofErr w:type="spellStart"/>
      <w:r w:rsidRPr="00D42316">
        <w:t>evaluating</w:t>
      </w:r>
      <w:proofErr w:type="spellEnd"/>
      <w:r w:rsidRPr="00D42316">
        <w:t xml:space="preserve"> </w:t>
      </w:r>
      <w:proofErr w:type="spellStart"/>
      <w:r w:rsidRPr="00D42316">
        <w:t>strategies</w:t>
      </w:r>
      <w:proofErr w:type="spellEnd"/>
      <w:r w:rsidRPr="00D42316">
        <w:t xml:space="preserve"> </w:t>
      </w:r>
      <w:proofErr w:type="spellStart"/>
      <w:r w:rsidRPr="00D42316">
        <w:t>to</w:t>
      </w:r>
      <w:proofErr w:type="spellEnd"/>
      <w:r w:rsidRPr="00D42316">
        <w:t xml:space="preserve"> </w:t>
      </w:r>
      <w:proofErr w:type="spellStart"/>
      <w:r w:rsidRPr="00D42316">
        <w:t>enhance</w:t>
      </w:r>
      <w:proofErr w:type="spellEnd"/>
      <w:r w:rsidRPr="00D42316">
        <w:t xml:space="preserve"> </w:t>
      </w:r>
      <w:proofErr w:type="spellStart"/>
      <w:r w:rsidRPr="00D42316">
        <w:t>individuals</w:t>
      </w:r>
      <w:proofErr w:type="spellEnd"/>
      <w:r w:rsidRPr="00D42316">
        <w:t xml:space="preserve">’ </w:t>
      </w:r>
      <w:proofErr w:type="spellStart"/>
      <w:r w:rsidRPr="00D42316">
        <w:t>awareness</w:t>
      </w:r>
      <w:proofErr w:type="spellEnd"/>
      <w:r w:rsidRPr="00D42316">
        <w:t xml:space="preserve"> of </w:t>
      </w:r>
      <w:proofErr w:type="spellStart"/>
      <w:r w:rsidRPr="00D42316">
        <w:t>personal</w:t>
      </w:r>
      <w:proofErr w:type="spellEnd"/>
      <w:r w:rsidRPr="00D42316">
        <w:t xml:space="preserve"> </w:t>
      </w:r>
      <w:proofErr w:type="gramStart"/>
      <w:r w:rsidRPr="00D42316">
        <w:t>data</w:t>
      </w:r>
      <w:proofErr w:type="gramEnd"/>
      <w:r w:rsidRPr="00D42316">
        <w:t xml:space="preserve"> </w:t>
      </w:r>
      <w:proofErr w:type="spellStart"/>
      <w:r w:rsidRPr="00D42316">
        <w:t>protection</w:t>
      </w:r>
      <w:proofErr w:type="spellEnd"/>
      <w:r w:rsidRPr="00D42316">
        <w:t xml:space="preserve"> </w:t>
      </w:r>
      <w:proofErr w:type="spellStart"/>
      <w:r w:rsidRPr="00D42316">
        <w:t>and</w:t>
      </w:r>
      <w:proofErr w:type="spellEnd"/>
      <w:r w:rsidRPr="00D42316">
        <w:t xml:space="preserve"> </w:t>
      </w:r>
      <w:proofErr w:type="spellStart"/>
      <w:r w:rsidRPr="00D42316">
        <w:t>financial</w:t>
      </w:r>
      <w:proofErr w:type="spellEnd"/>
      <w:r w:rsidRPr="00D42316">
        <w:t xml:space="preserve"> </w:t>
      </w:r>
      <w:proofErr w:type="spellStart"/>
      <w:r w:rsidRPr="00D42316">
        <w:t>security</w:t>
      </w:r>
      <w:proofErr w:type="spellEnd"/>
      <w:r w:rsidRPr="00D42316">
        <w:t>.</w:t>
      </w:r>
    </w:p>
    <w:p w14:paraId="2F224E6A" w14:textId="77777777" w:rsidR="00F84AD5" w:rsidRPr="00D42316" w:rsidRDefault="00F84AD5" w:rsidP="003B45CB">
      <w:pPr>
        <w:jc w:val="both"/>
      </w:pPr>
    </w:p>
    <w:p w14:paraId="09B671C2" w14:textId="721DA243" w:rsidR="00587C60" w:rsidRDefault="00AC051C" w:rsidP="003B45CB">
      <w:pPr>
        <w:jc w:val="both"/>
      </w:pPr>
      <w:proofErr w:type="spellStart"/>
      <w:r w:rsidRPr="00D42316">
        <w:rPr>
          <w:b/>
        </w:rPr>
        <w:t>Keywords</w:t>
      </w:r>
      <w:proofErr w:type="spellEnd"/>
      <w:r w:rsidRPr="00D42316">
        <w:rPr>
          <w:b/>
        </w:rPr>
        <w:t xml:space="preserve">: </w:t>
      </w:r>
      <w:proofErr w:type="spellStart"/>
      <w:r w:rsidRPr="00D42316">
        <w:t>Criminal</w:t>
      </w:r>
      <w:proofErr w:type="spellEnd"/>
      <w:r w:rsidRPr="00D42316">
        <w:t xml:space="preserve"> </w:t>
      </w:r>
      <w:proofErr w:type="spellStart"/>
      <w:r w:rsidRPr="00D42316">
        <w:t>law</w:t>
      </w:r>
      <w:proofErr w:type="spellEnd"/>
      <w:r w:rsidRPr="00D42316">
        <w:t xml:space="preserve">, </w:t>
      </w:r>
      <w:proofErr w:type="spellStart"/>
      <w:r w:rsidRPr="00D42316">
        <w:t>Cybercrime</w:t>
      </w:r>
      <w:proofErr w:type="spellEnd"/>
      <w:r w:rsidRPr="00D42316">
        <w:t xml:space="preserve">, </w:t>
      </w:r>
      <w:proofErr w:type="spellStart"/>
      <w:r w:rsidRPr="00D42316">
        <w:t>Economic</w:t>
      </w:r>
      <w:proofErr w:type="spellEnd"/>
      <w:r w:rsidRPr="00D42316">
        <w:t xml:space="preserve"> </w:t>
      </w:r>
      <w:proofErr w:type="spellStart"/>
      <w:r w:rsidRPr="00D42316">
        <w:t>crime</w:t>
      </w:r>
      <w:proofErr w:type="spellEnd"/>
      <w:r w:rsidRPr="00D42316">
        <w:t xml:space="preserve">, Bank </w:t>
      </w:r>
      <w:proofErr w:type="spellStart"/>
      <w:r w:rsidRPr="00D42316">
        <w:t>and</w:t>
      </w:r>
      <w:proofErr w:type="spellEnd"/>
      <w:r w:rsidRPr="00D42316">
        <w:t xml:space="preserve"> </w:t>
      </w:r>
      <w:proofErr w:type="spellStart"/>
      <w:r w:rsidRPr="00D42316">
        <w:t>credit</w:t>
      </w:r>
      <w:proofErr w:type="spellEnd"/>
      <w:r w:rsidRPr="00D42316">
        <w:t xml:space="preserve"> </w:t>
      </w:r>
      <w:proofErr w:type="spellStart"/>
      <w:r w:rsidRPr="00D42316">
        <w:t>cards</w:t>
      </w:r>
      <w:proofErr w:type="spellEnd"/>
      <w:r w:rsidRPr="00D42316">
        <w:t xml:space="preserve">, </w:t>
      </w:r>
      <w:proofErr w:type="spellStart"/>
      <w:r w:rsidRPr="00D42316">
        <w:t>Obtaining</w:t>
      </w:r>
      <w:proofErr w:type="spellEnd"/>
      <w:r w:rsidRPr="00D42316">
        <w:t xml:space="preserve"> </w:t>
      </w:r>
      <w:proofErr w:type="spellStart"/>
      <w:r w:rsidRPr="00D42316">
        <w:t>benefits</w:t>
      </w:r>
      <w:proofErr w:type="spellEnd"/>
      <w:r w:rsidRPr="00D42316">
        <w:t>.</w:t>
      </w:r>
    </w:p>
    <w:p w14:paraId="5E49BA17" w14:textId="5FC5CE21" w:rsidR="00B4361D" w:rsidRPr="00D42316" w:rsidRDefault="00587C60" w:rsidP="00587C60">
      <w:pPr>
        <w:autoSpaceDE/>
        <w:autoSpaceDN/>
      </w:pPr>
      <w:r>
        <w:br w:type="page"/>
      </w:r>
    </w:p>
    <w:p w14:paraId="14E6793D" w14:textId="74769888" w:rsidR="00F84AD5" w:rsidRPr="00DE3ECB" w:rsidRDefault="00AC051C" w:rsidP="004C7694">
      <w:pPr>
        <w:pStyle w:val="Tark"/>
      </w:pPr>
      <w:bookmarkStart w:id="71" w:name="_Toc192855182"/>
      <w:r w:rsidRPr="00DE3ECB">
        <w:lastRenderedPageBreak/>
        <w:t>Bilişim Ceza Hukukunda Ajan Cihaz veya Programlar Suçu</w:t>
      </w:r>
      <w:r w:rsidR="00DE3ECB" w:rsidRPr="00DE3ECB">
        <w:t xml:space="preserve"> </w:t>
      </w:r>
      <w:r w:rsidRPr="00DE3ECB">
        <w:t>(TCK m. 245/A)</w:t>
      </w:r>
      <w:bookmarkEnd w:id="71"/>
    </w:p>
    <w:p w14:paraId="68C5C477" w14:textId="77777777" w:rsidR="00F84AD5" w:rsidRPr="00D42316" w:rsidRDefault="00F84AD5" w:rsidP="003B45CB">
      <w:pPr>
        <w:jc w:val="center"/>
        <w:rPr>
          <w:b/>
        </w:rPr>
      </w:pPr>
    </w:p>
    <w:p w14:paraId="060F08FD" w14:textId="1444C8E4" w:rsidR="00F84AD5" w:rsidRPr="00D42316" w:rsidRDefault="00AC051C" w:rsidP="003B45CB">
      <w:pPr>
        <w:jc w:val="center"/>
      </w:pPr>
      <w:r w:rsidRPr="00D42316">
        <w:t>Birol SARIYERLİOĞLU</w:t>
      </w:r>
    </w:p>
    <w:p w14:paraId="09D879C7" w14:textId="2DDB8196" w:rsidR="00F84AD5" w:rsidRPr="00D42316" w:rsidRDefault="00AC051C" w:rsidP="003B45CB">
      <w:pPr>
        <w:jc w:val="center"/>
      </w:pPr>
      <w:r w:rsidRPr="00D42316">
        <w:t>Yüksek Lisans Öğrencisi</w:t>
      </w:r>
    </w:p>
    <w:p w14:paraId="50C46CAE" w14:textId="77777777" w:rsidR="00F84AD5" w:rsidRPr="00D42316" w:rsidRDefault="00AC051C" w:rsidP="003B45CB">
      <w:pPr>
        <w:jc w:val="center"/>
      </w:pPr>
      <w:r w:rsidRPr="00D42316">
        <w:t>Kastamonu Üniversitesi Sosyal Bilimler Enstitüsü</w:t>
      </w:r>
    </w:p>
    <w:p w14:paraId="1A8A418E" w14:textId="77777777" w:rsidR="00F84AD5" w:rsidRPr="00D42316" w:rsidRDefault="00AC051C" w:rsidP="003B45CB">
      <w:pPr>
        <w:jc w:val="center"/>
      </w:pPr>
      <w:r w:rsidRPr="00D42316">
        <w:t>Uluslararası İlişkiler Anabilim Dalı</w:t>
      </w:r>
      <w:r w:rsidRPr="00D42316">
        <w:br/>
        <w:t>birolsrgrlgl@gmail.com</w:t>
      </w:r>
    </w:p>
    <w:p w14:paraId="45019F1B" w14:textId="77777777" w:rsidR="00F84AD5" w:rsidRPr="00D42316" w:rsidRDefault="00AC051C" w:rsidP="003B45CB">
      <w:pPr>
        <w:jc w:val="center"/>
        <w:rPr>
          <w:b/>
        </w:rPr>
      </w:pPr>
      <w:r w:rsidRPr="00D42316">
        <w:t>0009-0005-0023-4506</w:t>
      </w:r>
      <w:r w:rsidRPr="00D42316">
        <w:br/>
      </w:r>
    </w:p>
    <w:p w14:paraId="6A41A353" w14:textId="77777777" w:rsidR="00F84AD5" w:rsidRPr="00D42316" w:rsidRDefault="00AC051C" w:rsidP="003B45CB">
      <w:pPr>
        <w:jc w:val="center"/>
      </w:pPr>
      <w:r w:rsidRPr="00D42316">
        <w:rPr>
          <w:b/>
        </w:rPr>
        <w:t>Özet</w:t>
      </w:r>
    </w:p>
    <w:p w14:paraId="7323A328" w14:textId="77777777" w:rsidR="00F84AD5" w:rsidRPr="00D42316" w:rsidRDefault="00F84AD5" w:rsidP="003B45CB">
      <w:pPr>
        <w:jc w:val="both"/>
      </w:pPr>
    </w:p>
    <w:p w14:paraId="393726F9" w14:textId="77777777" w:rsidR="00F84AD5" w:rsidRPr="00D42316" w:rsidRDefault="00AC051C" w:rsidP="003B45CB">
      <w:pPr>
        <w:jc w:val="both"/>
      </w:pPr>
      <w:r w:rsidRPr="00D42316">
        <w:t>Bilişim suçları, teknolojinin hızla gelişmesiyle birlikte hem bireylerin hem de kurumların karşı karşıya kaldığı ciddi bir tehdit haline gelmiştir. Kapsamı geniş olan bilişim suçları, kişisel verilerin çalınmasından, dolandırıcılığa; sistemlere yetkisiz erişimden, devletin kritik altyapılarına yapılan siber saldırılara kadar uzanır. Avrupa Konseyi Siber Suç Sözleşmesinin 2010 yılında Türkiye tarafından imzalamasıyla Türk Ceza Kanunu’nun (TCK) 245/A maddesinde yasak cihaz veya programlar suçu düzenlenmiştir. Bu madde ile bilişim sistemlerine yönelik hukuka aykırı müdahaleler önlemek amaçlanmış, toplumun dijital güvenliğini korumak hedeflenmiştir. Maddede, bilişim sistemlerine zarar verme, verileri hukuka aykırı olarak değiştirme, erişimi engelleme veya kişisel verilere izinsiz erişim gibi eylemleri gerçekleştirmek üzere tasarlanmış cihaz, program ya da araçların üretimi, ithalatı, satışı, temini veya bulundurulması suç sayılmıştır. Bu suç, yalnızca yasak cihaz veya programların kullanımını değil, aynı zamanda bu araçların üretim veya dağıtım süreçlerini de kapsar. Kanun koyucu, bu düzenleme ile sadece fiili eylemleri değil, potansiyel suç teşkil edebilecek hazırlıkları da cezalandırmayı amaçlamıştır. Örneğin, bir hacker programı geliştirmek ya da bu programı satmak, suçun oluşması için yeterlidir. TCK 245/A, dijital dünyadaki kötü niyetli faaliyetlerin yaygınlaşmasını engellemek için caydırıcı bir rol üstlenir. Maddede öngörülen cezalar, suçun niteliğine göre değişmekle birlikte genellikle süreli hapis cezalarını   içerir. Bu düzenleme, bireylerin özel hayatının ve bilişim sistemlerinin güvenliğinin korunması açısından önem taşır. Aynı zamanda, bilişim alanında faaliyet gösteren profesyonellerin etik ve hukuka uygun çalışmaları teşvik edilir. Sonuç olarak, TCK 245/A, bilişim suçlarıyla mücadelede etkili bir yasal çerçeve sunar. Ancak, yasanın uygulanmasında teknik bilgi eksikliği, delil toplama süreçleri ve dijital kanıtların mahkemelerde değerlendirilmesi gibi zorluklarla karşılaşılabilinir. Bu nedenle, bilişim hukuku alanında uzmanlaşmış yargı mensuplarına ve kolluk kuvvetlerine ihtiyaç olduğu açıktır.</w:t>
      </w:r>
    </w:p>
    <w:p w14:paraId="13DEF899" w14:textId="77777777" w:rsidR="00F84AD5" w:rsidRPr="00D42316" w:rsidRDefault="00F84AD5" w:rsidP="003B45CB">
      <w:pPr>
        <w:jc w:val="both"/>
      </w:pPr>
    </w:p>
    <w:p w14:paraId="0D3046E1" w14:textId="325A23BB" w:rsidR="00587C60" w:rsidRDefault="00AC051C" w:rsidP="003B45CB">
      <w:pPr>
        <w:jc w:val="both"/>
        <w:rPr>
          <w:highlight w:val="white"/>
        </w:rPr>
      </w:pPr>
      <w:r w:rsidRPr="00D42316">
        <w:rPr>
          <w:b/>
          <w:highlight w:val="white"/>
        </w:rPr>
        <w:t xml:space="preserve">Anahtar Kelimeler: </w:t>
      </w:r>
      <w:r w:rsidRPr="00D42316">
        <w:t xml:space="preserve">Ceza hukuku, </w:t>
      </w:r>
      <w:r w:rsidRPr="00D42316">
        <w:rPr>
          <w:highlight w:val="white"/>
        </w:rPr>
        <w:t>Bilişim suçu, Bilişim sistemleri, Avrupa Konseyi Siber Suç Sözleşmesi, Yasak cihaz veya programlar.</w:t>
      </w:r>
    </w:p>
    <w:p w14:paraId="3FD277ED" w14:textId="6018A1F5" w:rsidR="00B4361D" w:rsidRPr="00587C60" w:rsidRDefault="00587C60" w:rsidP="00587C60">
      <w:pPr>
        <w:autoSpaceDE/>
        <w:autoSpaceDN/>
        <w:rPr>
          <w:highlight w:val="white"/>
        </w:rPr>
      </w:pPr>
      <w:r>
        <w:rPr>
          <w:highlight w:val="white"/>
        </w:rPr>
        <w:br w:type="page"/>
      </w:r>
    </w:p>
    <w:p w14:paraId="19AD8A88" w14:textId="77777777" w:rsidR="00F84AD5" w:rsidRPr="00D42316" w:rsidRDefault="00AC051C" w:rsidP="004C7694">
      <w:pPr>
        <w:pStyle w:val="Tark"/>
      </w:pPr>
      <w:bookmarkStart w:id="72" w:name="_Toc192855183"/>
      <w:proofErr w:type="spellStart"/>
      <w:r w:rsidRPr="00D42316">
        <w:lastRenderedPageBreak/>
        <w:t>Offense</w:t>
      </w:r>
      <w:proofErr w:type="spellEnd"/>
      <w:r w:rsidRPr="00D42316">
        <w:t xml:space="preserve"> of Agent </w:t>
      </w:r>
      <w:proofErr w:type="spellStart"/>
      <w:r w:rsidRPr="00D42316">
        <w:t>Devices</w:t>
      </w:r>
      <w:proofErr w:type="spellEnd"/>
      <w:r w:rsidRPr="00D42316">
        <w:t xml:space="preserve"> </w:t>
      </w:r>
      <w:proofErr w:type="spellStart"/>
      <w:r w:rsidRPr="00D42316">
        <w:t>or</w:t>
      </w:r>
      <w:proofErr w:type="spellEnd"/>
      <w:r w:rsidRPr="00D42316">
        <w:t xml:space="preserve"> Programs in </w:t>
      </w:r>
      <w:proofErr w:type="spellStart"/>
      <w:r w:rsidRPr="00D42316">
        <w:t>Cyber</w:t>
      </w:r>
      <w:proofErr w:type="spellEnd"/>
      <w:r w:rsidRPr="00D42316">
        <w:t xml:space="preserve"> </w:t>
      </w:r>
      <w:proofErr w:type="spellStart"/>
      <w:r w:rsidRPr="00D42316">
        <w:t>Criminal</w:t>
      </w:r>
      <w:proofErr w:type="spellEnd"/>
      <w:r w:rsidRPr="00D42316">
        <w:t xml:space="preserve"> </w:t>
      </w:r>
      <w:proofErr w:type="spellStart"/>
      <w:r w:rsidRPr="00D42316">
        <w:t>Law</w:t>
      </w:r>
      <w:proofErr w:type="spellEnd"/>
      <w:r w:rsidRPr="00D42316">
        <w:br/>
        <w:t xml:space="preserve">(TPC </w:t>
      </w:r>
      <w:proofErr w:type="spellStart"/>
      <w:r w:rsidRPr="00D42316">
        <w:t>Article</w:t>
      </w:r>
      <w:proofErr w:type="spellEnd"/>
      <w:r w:rsidRPr="00D42316">
        <w:t xml:space="preserve"> 245/A)</w:t>
      </w:r>
      <w:bookmarkEnd w:id="72"/>
    </w:p>
    <w:p w14:paraId="31A841F9" w14:textId="77777777" w:rsidR="00F84AD5" w:rsidRPr="00D42316" w:rsidRDefault="00F84AD5" w:rsidP="003B45CB">
      <w:pPr>
        <w:jc w:val="center"/>
        <w:rPr>
          <w:b/>
        </w:rPr>
      </w:pPr>
    </w:p>
    <w:p w14:paraId="1EF7BAA3" w14:textId="77777777" w:rsidR="00F84AD5" w:rsidRPr="00D42316" w:rsidRDefault="00AC051C" w:rsidP="003B45CB">
      <w:pPr>
        <w:jc w:val="center"/>
      </w:pPr>
      <w:r w:rsidRPr="00D42316">
        <w:t>Birol SARIYERLİOĞLU</w:t>
      </w:r>
      <w:r w:rsidRPr="00D42316">
        <w:br/>
      </w:r>
      <w:proofErr w:type="spellStart"/>
      <w:r w:rsidRPr="00D42316">
        <w:t>Master’s</w:t>
      </w:r>
      <w:proofErr w:type="spellEnd"/>
      <w:r w:rsidRPr="00D42316">
        <w:t xml:space="preserve"> </w:t>
      </w:r>
      <w:proofErr w:type="spellStart"/>
      <w:r w:rsidRPr="00D42316">
        <w:t>Student</w:t>
      </w:r>
      <w:proofErr w:type="spellEnd"/>
      <w:r w:rsidRPr="00D42316">
        <w:br/>
        <w:t xml:space="preserve">Kastamonu </w:t>
      </w:r>
      <w:proofErr w:type="spellStart"/>
      <w:r w:rsidRPr="00D42316">
        <w:t>University</w:t>
      </w:r>
      <w:proofErr w:type="spellEnd"/>
      <w:r w:rsidRPr="00D42316">
        <w:t xml:space="preserve">, </w:t>
      </w:r>
      <w:proofErr w:type="spellStart"/>
      <w:r w:rsidRPr="00D42316">
        <w:t>Institute</w:t>
      </w:r>
      <w:proofErr w:type="spellEnd"/>
      <w:r w:rsidRPr="00D42316">
        <w:t xml:space="preserve"> of </w:t>
      </w:r>
      <w:proofErr w:type="spellStart"/>
      <w:r w:rsidRPr="00D42316">
        <w:t>Social</w:t>
      </w:r>
      <w:proofErr w:type="spellEnd"/>
      <w:r w:rsidRPr="00D42316">
        <w:t xml:space="preserve"> </w:t>
      </w:r>
      <w:proofErr w:type="spellStart"/>
      <w:r w:rsidRPr="00D42316">
        <w:t>Sciences</w:t>
      </w:r>
      <w:proofErr w:type="spellEnd"/>
      <w:r w:rsidRPr="00D42316">
        <w:br/>
      </w:r>
      <w:proofErr w:type="spellStart"/>
      <w:r w:rsidRPr="00D42316">
        <w:t>Department</w:t>
      </w:r>
      <w:proofErr w:type="spellEnd"/>
      <w:r w:rsidRPr="00D42316">
        <w:t xml:space="preserve"> of International </w:t>
      </w:r>
      <w:proofErr w:type="spellStart"/>
      <w:r w:rsidRPr="00D42316">
        <w:t>Relations</w:t>
      </w:r>
      <w:proofErr w:type="spellEnd"/>
      <w:r w:rsidRPr="00D42316">
        <w:br/>
        <w:t>birolsrgrlgl@gmail.com</w:t>
      </w:r>
      <w:r w:rsidRPr="00D42316">
        <w:br/>
        <w:t>0009-0005-0023-4506</w:t>
      </w:r>
    </w:p>
    <w:p w14:paraId="20BFB624" w14:textId="77777777" w:rsidR="00F84AD5" w:rsidRPr="00D42316" w:rsidRDefault="00F84AD5" w:rsidP="003B45CB">
      <w:pPr>
        <w:jc w:val="center"/>
        <w:rPr>
          <w:b/>
        </w:rPr>
      </w:pPr>
    </w:p>
    <w:p w14:paraId="2AFA8DD2" w14:textId="684B6CD6" w:rsidR="00F84AD5" w:rsidRPr="003B45CB" w:rsidRDefault="00AC051C" w:rsidP="003B45CB">
      <w:pPr>
        <w:jc w:val="center"/>
        <w:rPr>
          <w:b/>
        </w:rPr>
      </w:pPr>
      <w:proofErr w:type="spellStart"/>
      <w:r w:rsidRPr="00D42316">
        <w:rPr>
          <w:b/>
        </w:rPr>
        <w:t>Abstract</w:t>
      </w:r>
      <w:proofErr w:type="spellEnd"/>
    </w:p>
    <w:p w14:paraId="691F6A75" w14:textId="77777777" w:rsidR="00F84AD5" w:rsidRPr="00D42316" w:rsidRDefault="00AC051C" w:rsidP="003B45CB">
      <w:pPr>
        <w:jc w:val="both"/>
      </w:pP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rapid</w:t>
      </w:r>
      <w:proofErr w:type="spellEnd"/>
      <w:r w:rsidRPr="00D42316">
        <w:t xml:space="preserve"> </w:t>
      </w:r>
      <w:proofErr w:type="spellStart"/>
      <w:r w:rsidRPr="00D42316">
        <w:t>development</w:t>
      </w:r>
      <w:proofErr w:type="spellEnd"/>
      <w:r w:rsidRPr="00D42316">
        <w:t xml:space="preserve"> of </w:t>
      </w:r>
      <w:proofErr w:type="spellStart"/>
      <w:r w:rsidRPr="00D42316">
        <w:t>technology</w:t>
      </w:r>
      <w:proofErr w:type="spellEnd"/>
      <w:r w:rsidRPr="00D42316">
        <w:t xml:space="preserve">, </w:t>
      </w:r>
      <w:proofErr w:type="spellStart"/>
      <w:r w:rsidRPr="00D42316">
        <w:t>cybercrimes</w:t>
      </w:r>
      <w:proofErr w:type="spellEnd"/>
      <w:r w:rsidRPr="00D42316">
        <w:t xml:space="preserve"> </w:t>
      </w:r>
      <w:proofErr w:type="spellStart"/>
      <w:r w:rsidRPr="00D42316">
        <w:t>have</w:t>
      </w:r>
      <w:proofErr w:type="spellEnd"/>
      <w:r w:rsidRPr="00D42316">
        <w:t xml:space="preserve"> </w:t>
      </w:r>
      <w:proofErr w:type="spellStart"/>
      <w:r w:rsidRPr="00D42316">
        <w:t>become</w:t>
      </w:r>
      <w:proofErr w:type="spellEnd"/>
      <w:r w:rsidRPr="00D42316">
        <w:t xml:space="preserve"> a </w:t>
      </w:r>
      <w:proofErr w:type="spellStart"/>
      <w:r w:rsidRPr="00D42316">
        <w:t>serious</w:t>
      </w:r>
      <w:proofErr w:type="spellEnd"/>
      <w:r w:rsidRPr="00D42316">
        <w:t xml:space="preserve"> </w:t>
      </w:r>
      <w:proofErr w:type="spellStart"/>
      <w:r w:rsidRPr="00D42316">
        <w:t>threat</w:t>
      </w:r>
      <w:proofErr w:type="spellEnd"/>
      <w:r w:rsidRPr="00D42316">
        <w:t xml:space="preserve"> </w:t>
      </w:r>
      <w:proofErr w:type="spellStart"/>
      <w:r w:rsidRPr="00D42316">
        <w:t>to</w:t>
      </w:r>
      <w:proofErr w:type="spellEnd"/>
      <w:r w:rsidRPr="00D42316">
        <w:t xml:space="preserve"> </w:t>
      </w:r>
      <w:proofErr w:type="spellStart"/>
      <w:r w:rsidRPr="00D42316">
        <w:t>both</w:t>
      </w:r>
      <w:proofErr w:type="spellEnd"/>
      <w:r w:rsidRPr="00D42316">
        <w:t xml:space="preserve">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institutions</w:t>
      </w:r>
      <w:proofErr w:type="spellEnd"/>
      <w:r w:rsidRPr="00D42316">
        <w:t xml:space="preserve">. </w:t>
      </w:r>
      <w:proofErr w:type="spellStart"/>
      <w:r w:rsidRPr="00D42316">
        <w:t>Cybercrimes</w:t>
      </w:r>
      <w:proofErr w:type="spellEnd"/>
      <w:r w:rsidRPr="00D42316">
        <w:t xml:space="preserve">, </w:t>
      </w:r>
      <w:proofErr w:type="spellStart"/>
      <w:r w:rsidRPr="00D42316">
        <w:t>which</w:t>
      </w:r>
      <w:proofErr w:type="spellEnd"/>
      <w:r w:rsidRPr="00D42316">
        <w:t xml:space="preserve"> </w:t>
      </w:r>
      <w:proofErr w:type="spellStart"/>
      <w:r w:rsidRPr="00D42316">
        <w:t>are</w:t>
      </w:r>
      <w:proofErr w:type="spellEnd"/>
      <w:r w:rsidRPr="00D42316">
        <w:t xml:space="preserve"> </w:t>
      </w:r>
      <w:proofErr w:type="spellStart"/>
      <w:r w:rsidRPr="00D42316">
        <w:t>broad</w:t>
      </w:r>
      <w:proofErr w:type="spellEnd"/>
      <w:r w:rsidRPr="00D42316">
        <w:t xml:space="preserve"> in </w:t>
      </w:r>
      <w:proofErr w:type="spellStart"/>
      <w:r w:rsidRPr="00D42316">
        <w:t>scope</w:t>
      </w:r>
      <w:proofErr w:type="spellEnd"/>
      <w:r w:rsidRPr="00D42316">
        <w:t xml:space="preserve">, </w:t>
      </w:r>
      <w:proofErr w:type="spellStart"/>
      <w:r w:rsidRPr="00D42316">
        <w:t>range</w:t>
      </w:r>
      <w:proofErr w:type="spellEnd"/>
      <w:r w:rsidRPr="00D42316">
        <w:t xml:space="preserve"> </w:t>
      </w:r>
      <w:proofErr w:type="spellStart"/>
      <w:r w:rsidRPr="00D42316">
        <w:t>from</w:t>
      </w:r>
      <w:proofErr w:type="spellEnd"/>
      <w:r w:rsidRPr="00D42316">
        <w:t xml:space="preserve"> </w:t>
      </w:r>
      <w:proofErr w:type="spellStart"/>
      <w:r w:rsidRPr="00D42316">
        <w:t>theft</w:t>
      </w:r>
      <w:proofErr w:type="spellEnd"/>
      <w:r w:rsidRPr="00D42316">
        <w:t xml:space="preserve"> of </w:t>
      </w:r>
      <w:proofErr w:type="spellStart"/>
      <w:r w:rsidRPr="00D42316">
        <w:t>personal</w:t>
      </w:r>
      <w:proofErr w:type="spellEnd"/>
      <w:r w:rsidRPr="00D42316">
        <w:t xml:space="preserve"> </w:t>
      </w:r>
      <w:proofErr w:type="gramStart"/>
      <w:r w:rsidRPr="00D42316">
        <w:t>data</w:t>
      </w:r>
      <w:proofErr w:type="gramEnd"/>
      <w:r w:rsidRPr="00D42316">
        <w:t xml:space="preserve"> </w:t>
      </w:r>
      <w:proofErr w:type="spellStart"/>
      <w:r w:rsidRPr="00D42316">
        <w:t>to</w:t>
      </w:r>
      <w:proofErr w:type="spellEnd"/>
      <w:r w:rsidRPr="00D42316">
        <w:t xml:space="preserve"> </w:t>
      </w:r>
      <w:proofErr w:type="spellStart"/>
      <w:r w:rsidRPr="00D42316">
        <w:t>fraud</w:t>
      </w:r>
      <w:proofErr w:type="spellEnd"/>
      <w:r w:rsidRPr="00D42316">
        <w:t xml:space="preserve">; </w:t>
      </w:r>
      <w:proofErr w:type="spellStart"/>
      <w:r w:rsidRPr="00D42316">
        <w:t>from</w:t>
      </w:r>
      <w:proofErr w:type="spellEnd"/>
      <w:r w:rsidRPr="00D42316">
        <w:t xml:space="preserve"> </w:t>
      </w:r>
      <w:proofErr w:type="spellStart"/>
      <w:r w:rsidRPr="00D42316">
        <w:t>unauthorized</w:t>
      </w:r>
      <w:proofErr w:type="spellEnd"/>
      <w:r w:rsidRPr="00D42316">
        <w:t xml:space="preserve"> </w:t>
      </w:r>
      <w:proofErr w:type="spellStart"/>
      <w:r w:rsidRPr="00D42316">
        <w:t>access</w:t>
      </w:r>
      <w:proofErr w:type="spellEnd"/>
      <w:r w:rsidRPr="00D42316">
        <w:t xml:space="preserve"> </w:t>
      </w:r>
      <w:proofErr w:type="spellStart"/>
      <w:r w:rsidRPr="00D42316">
        <w:t>to</w:t>
      </w:r>
      <w:proofErr w:type="spellEnd"/>
      <w:r w:rsidRPr="00D42316">
        <w:t xml:space="preserve"> </w:t>
      </w:r>
      <w:proofErr w:type="spellStart"/>
      <w:r w:rsidRPr="00D42316">
        <w:t>systems</w:t>
      </w:r>
      <w:proofErr w:type="spellEnd"/>
      <w:r w:rsidRPr="00D42316">
        <w:t xml:space="preserve"> </w:t>
      </w:r>
      <w:proofErr w:type="spellStart"/>
      <w:r w:rsidRPr="00D42316">
        <w:t>to</w:t>
      </w:r>
      <w:proofErr w:type="spellEnd"/>
      <w:r w:rsidRPr="00D42316">
        <w:t xml:space="preserve"> </w:t>
      </w:r>
      <w:proofErr w:type="spellStart"/>
      <w:r w:rsidRPr="00D42316">
        <w:t>cyber</w:t>
      </w:r>
      <w:proofErr w:type="spellEnd"/>
      <w:r w:rsidRPr="00D42316">
        <w:t xml:space="preserve"> </w:t>
      </w:r>
      <w:proofErr w:type="spellStart"/>
      <w:r w:rsidRPr="00D42316">
        <w:t>attacks</w:t>
      </w:r>
      <w:proofErr w:type="spellEnd"/>
      <w:r w:rsidRPr="00D42316">
        <w:t xml:space="preserve"> on </w:t>
      </w:r>
      <w:proofErr w:type="spellStart"/>
      <w:r w:rsidRPr="00D42316">
        <w:t>critical</w:t>
      </w:r>
      <w:proofErr w:type="spellEnd"/>
      <w:r w:rsidRPr="00D42316">
        <w:t xml:space="preserve"> </w:t>
      </w:r>
      <w:proofErr w:type="spellStart"/>
      <w:r w:rsidRPr="00D42316">
        <w:t>state</w:t>
      </w:r>
      <w:proofErr w:type="spellEnd"/>
      <w:r w:rsidRPr="00D42316">
        <w:t xml:space="preserve"> </w:t>
      </w:r>
      <w:proofErr w:type="spellStart"/>
      <w:r w:rsidRPr="00D42316">
        <w:t>infrastructures</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signing</w:t>
      </w:r>
      <w:proofErr w:type="spellEnd"/>
      <w:r w:rsidRPr="00D42316">
        <w:t xml:space="preserve"> of </w:t>
      </w:r>
      <w:proofErr w:type="spellStart"/>
      <w:r w:rsidRPr="00D42316">
        <w:t>the</w:t>
      </w:r>
      <w:proofErr w:type="spellEnd"/>
      <w:r w:rsidRPr="00D42316">
        <w:t xml:space="preserve"> </w:t>
      </w:r>
      <w:proofErr w:type="spellStart"/>
      <w:r w:rsidRPr="00D42316">
        <w:t>Council</w:t>
      </w:r>
      <w:proofErr w:type="spellEnd"/>
      <w:r w:rsidRPr="00D42316">
        <w:t xml:space="preserve"> of Europe </w:t>
      </w:r>
      <w:proofErr w:type="spellStart"/>
      <w:r w:rsidRPr="00D42316">
        <w:t>Convention</w:t>
      </w:r>
      <w:proofErr w:type="spellEnd"/>
      <w:r w:rsidRPr="00D42316">
        <w:t xml:space="preserve"> on </w:t>
      </w:r>
      <w:proofErr w:type="spellStart"/>
      <w:r w:rsidRPr="00D42316">
        <w:t>Cybercrime</w:t>
      </w:r>
      <w:proofErr w:type="spellEnd"/>
      <w:r w:rsidRPr="00D42316">
        <w:t xml:space="preserve"> </w:t>
      </w:r>
      <w:proofErr w:type="spellStart"/>
      <w:r w:rsidRPr="00D42316">
        <w:t>by</w:t>
      </w:r>
      <w:proofErr w:type="spellEnd"/>
      <w:r w:rsidRPr="00D42316">
        <w:t xml:space="preserve"> </w:t>
      </w:r>
      <w:proofErr w:type="spellStart"/>
      <w:r w:rsidRPr="00D42316">
        <w:t>Turkey</w:t>
      </w:r>
      <w:proofErr w:type="spellEnd"/>
      <w:r w:rsidRPr="00D42316">
        <w:t xml:space="preserve"> in 2010, </w:t>
      </w:r>
      <w:proofErr w:type="spellStart"/>
      <w:r w:rsidRPr="00D42316">
        <w:t>the</w:t>
      </w:r>
      <w:proofErr w:type="spellEnd"/>
      <w:r w:rsidRPr="00D42316">
        <w:t xml:space="preserve"> </w:t>
      </w:r>
      <w:proofErr w:type="spellStart"/>
      <w:r w:rsidRPr="00D42316">
        <w:t>crime</w:t>
      </w:r>
      <w:proofErr w:type="spellEnd"/>
      <w:r w:rsidRPr="00D42316">
        <w:t xml:space="preserve"> of </w:t>
      </w:r>
      <w:proofErr w:type="spellStart"/>
      <w:r w:rsidRPr="00D42316">
        <w:t>prohibited</w:t>
      </w:r>
      <w:proofErr w:type="spellEnd"/>
      <w:r w:rsidRPr="00D42316">
        <w:t xml:space="preserve"> </w:t>
      </w:r>
      <w:proofErr w:type="spellStart"/>
      <w:r w:rsidRPr="00D42316">
        <w:t>devices</w:t>
      </w:r>
      <w:proofErr w:type="spellEnd"/>
      <w:r w:rsidRPr="00D42316">
        <w:t xml:space="preserve"> </w:t>
      </w:r>
      <w:proofErr w:type="spellStart"/>
      <w:r w:rsidRPr="00D42316">
        <w:t>or</w:t>
      </w:r>
      <w:proofErr w:type="spellEnd"/>
      <w:r w:rsidRPr="00D42316">
        <w:t xml:space="preserve"> </w:t>
      </w:r>
      <w:proofErr w:type="spellStart"/>
      <w:r w:rsidRPr="00D42316">
        <w:t>programs</w:t>
      </w:r>
      <w:proofErr w:type="spellEnd"/>
      <w:r w:rsidRPr="00D42316">
        <w:t xml:space="preserve"> </w:t>
      </w:r>
      <w:proofErr w:type="spellStart"/>
      <w:r w:rsidRPr="00D42316">
        <w:t>was</w:t>
      </w:r>
      <w:proofErr w:type="spellEnd"/>
      <w:r w:rsidRPr="00D42316">
        <w:t xml:space="preserve"> </w:t>
      </w:r>
      <w:proofErr w:type="spellStart"/>
      <w:r w:rsidRPr="00D42316">
        <w:t>regulated</w:t>
      </w:r>
      <w:proofErr w:type="spellEnd"/>
      <w:r w:rsidRPr="00D42316">
        <w:t xml:space="preserve"> in </w:t>
      </w:r>
      <w:proofErr w:type="spellStart"/>
      <w:r w:rsidRPr="00D42316">
        <w:t>Article</w:t>
      </w:r>
      <w:proofErr w:type="spellEnd"/>
      <w:r w:rsidRPr="00D42316">
        <w:t xml:space="preserve"> 245/A of </w:t>
      </w:r>
      <w:proofErr w:type="spellStart"/>
      <w:r w:rsidRPr="00D42316">
        <w:t>the</w:t>
      </w:r>
      <w:proofErr w:type="spellEnd"/>
      <w:r w:rsidRPr="00D42316">
        <w:t xml:space="preserve"> </w:t>
      </w:r>
      <w:proofErr w:type="spellStart"/>
      <w:r w:rsidRPr="00D42316">
        <w:t>Turkish</w:t>
      </w:r>
      <w:proofErr w:type="spellEnd"/>
      <w:r w:rsidRPr="00D42316">
        <w:t xml:space="preserve"> </w:t>
      </w:r>
      <w:proofErr w:type="spellStart"/>
      <w:r w:rsidRPr="00D42316">
        <w:t>Penal</w:t>
      </w:r>
      <w:proofErr w:type="spellEnd"/>
      <w:r w:rsidRPr="00D42316">
        <w:t xml:space="preserve"> </w:t>
      </w:r>
      <w:proofErr w:type="spellStart"/>
      <w:r w:rsidRPr="00D42316">
        <w:t>Code</w:t>
      </w:r>
      <w:proofErr w:type="spellEnd"/>
      <w:r w:rsidRPr="00D42316">
        <w:t xml:space="preserve"> (TCK). </w:t>
      </w:r>
      <w:proofErr w:type="spellStart"/>
      <w:r w:rsidRPr="00D42316">
        <w:t>This</w:t>
      </w:r>
      <w:proofErr w:type="spellEnd"/>
      <w:r w:rsidRPr="00D42316">
        <w:t xml:space="preserve"> </w:t>
      </w:r>
      <w:proofErr w:type="spellStart"/>
      <w:r w:rsidRPr="00D42316">
        <w:t>article</w:t>
      </w:r>
      <w:proofErr w:type="spellEnd"/>
      <w:r w:rsidRPr="00D42316">
        <w:t xml:space="preserve"> </w:t>
      </w:r>
      <w:proofErr w:type="spellStart"/>
      <w:r w:rsidRPr="00D42316">
        <w:t>aims</w:t>
      </w:r>
      <w:proofErr w:type="spellEnd"/>
      <w:r w:rsidRPr="00D42316">
        <w:t xml:space="preserve"> </w:t>
      </w:r>
      <w:proofErr w:type="spellStart"/>
      <w:r w:rsidRPr="00D42316">
        <w:t>to</w:t>
      </w:r>
      <w:proofErr w:type="spellEnd"/>
      <w:r w:rsidRPr="00D42316">
        <w:t xml:space="preserve"> </w:t>
      </w:r>
      <w:proofErr w:type="spellStart"/>
      <w:r w:rsidRPr="00D42316">
        <w:t>prevent</w:t>
      </w:r>
      <w:proofErr w:type="spellEnd"/>
      <w:r w:rsidRPr="00D42316">
        <w:t xml:space="preserve"> </w:t>
      </w:r>
      <w:proofErr w:type="spellStart"/>
      <w:r w:rsidRPr="00D42316">
        <w:t>unlawful</w:t>
      </w:r>
      <w:proofErr w:type="spellEnd"/>
      <w:r w:rsidRPr="00D42316">
        <w:t xml:space="preserve"> </w:t>
      </w:r>
      <w:proofErr w:type="spellStart"/>
      <w:r w:rsidRPr="00D42316">
        <w:t>interventions</w:t>
      </w:r>
      <w:proofErr w:type="spellEnd"/>
      <w:r w:rsidRPr="00D42316">
        <w:t xml:space="preserve"> in </w:t>
      </w:r>
      <w:proofErr w:type="spellStart"/>
      <w:r w:rsidRPr="00D42316">
        <w:t>information</w:t>
      </w:r>
      <w:proofErr w:type="spellEnd"/>
      <w:r w:rsidRPr="00D42316">
        <w:t xml:space="preserve"> </w:t>
      </w:r>
      <w:proofErr w:type="spellStart"/>
      <w:r w:rsidRPr="00D42316">
        <w:t>systems</w:t>
      </w:r>
      <w:proofErr w:type="spellEnd"/>
      <w:r w:rsidRPr="00D42316">
        <w:t xml:space="preserve"> </w:t>
      </w:r>
      <w:proofErr w:type="spellStart"/>
      <w:r w:rsidRPr="00D42316">
        <w:t>and</w:t>
      </w:r>
      <w:proofErr w:type="spellEnd"/>
      <w:r w:rsidRPr="00D42316">
        <w:t xml:space="preserve"> </w:t>
      </w:r>
      <w:proofErr w:type="spellStart"/>
      <w:r w:rsidRPr="00D42316">
        <w:t>to</w:t>
      </w:r>
      <w:proofErr w:type="spellEnd"/>
      <w:r w:rsidRPr="00D42316">
        <w:t xml:space="preserve"> </w:t>
      </w:r>
      <w:proofErr w:type="spellStart"/>
      <w:r w:rsidRPr="00D42316">
        <w:t>protect</w:t>
      </w:r>
      <w:proofErr w:type="spellEnd"/>
      <w:r w:rsidRPr="00D42316">
        <w:t xml:space="preserve"> </w:t>
      </w:r>
      <w:proofErr w:type="spellStart"/>
      <w:r w:rsidRPr="00D42316">
        <w:t>the</w:t>
      </w:r>
      <w:proofErr w:type="spellEnd"/>
      <w:r w:rsidRPr="00D42316">
        <w:t xml:space="preserve"> </w:t>
      </w:r>
      <w:proofErr w:type="spellStart"/>
      <w:r w:rsidRPr="00D42316">
        <w:t>digital</w:t>
      </w:r>
      <w:proofErr w:type="spellEnd"/>
      <w:r w:rsidRPr="00D42316">
        <w:t xml:space="preserve"> </w:t>
      </w:r>
      <w:proofErr w:type="spellStart"/>
      <w:r w:rsidRPr="00D42316">
        <w:t>security</w:t>
      </w:r>
      <w:proofErr w:type="spellEnd"/>
      <w:r w:rsidRPr="00D42316">
        <w:t xml:space="preserve"> of </w:t>
      </w:r>
      <w:proofErr w:type="spellStart"/>
      <w:r w:rsidRPr="00D42316">
        <w:t>society</w:t>
      </w:r>
      <w:proofErr w:type="spellEnd"/>
      <w:r w:rsidRPr="00D42316">
        <w:t xml:space="preserve">. </w:t>
      </w:r>
      <w:proofErr w:type="spellStart"/>
      <w:r w:rsidRPr="00D42316">
        <w:t>The</w:t>
      </w:r>
      <w:proofErr w:type="spellEnd"/>
      <w:r w:rsidRPr="00D42316">
        <w:t xml:space="preserve"> </w:t>
      </w:r>
      <w:proofErr w:type="spellStart"/>
      <w:r w:rsidRPr="00D42316">
        <w:t>article</w:t>
      </w:r>
      <w:proofErr w:type="spellEnd"/>
      <w:r w:rsidRPr="00D42316">
        <w:t xml:space="preserve"> </w:t>
      </w:r>
      <w:proofErr w:type="spellStart"/>
      <w:r w:rsidRPr="00D42316">
        <w:t>criminalizes</w:t>
      </w:r>
      <w:proofErr w:type="spellEnd"/>
      <w:r w:rsidRPr="00D42316">
        <w:t xml:space="preserve"> </w:t>
      </w:r>
      <w:proofErr w:type="spellStart"/>
      <w:r w:rsidRPr="00D42316">
        <w:t>the</w:t>
      </w:r>
      <w:proofErr w:type="spellEnd"/>
      <w:r w:rsidRPr="00D42316">
        <w:t xml:space="preserve"> </w:t>
      </w:r>
      <w:proofErr w:type="spellStart"/>
      <w:r w:rsidRPr="00D42316">
        <w:t>production</w:t>
      </w:r>
      <w:proofErr w:type="spellEnd"/>
      <w:r w:rsidRPr="00D42316">
        <w:t xml:space="preserve">, </w:t>
      </w:r>
      <w:proofErr w:type="spellStart"/>
      <w:r w:rsidRPr="00D42316">
        <w:t>import</w:t>
      </w:r>
      <w:proofErr w:type="spellEnd"/>
      <w:r w:rsidRPr="00D42316">
        <w:t xml:space="preserve">, </w:t>
      </w:r>
      <w:proofErr w:type="spellStart"/>
      <w:r w:rsidRPr="00D42316">
        <w:t>sale</w:t>
      </w:r>
      <w:proofErr w:type="spellEnd"/>
      <w:r w:rsidRPr="00D42316">
        <w:t xml:space="preserve">, </w:t>
      </w:r>
      <w:proofErr w:type="spellStart"/>
      <w:r w:rsidRPr="00D42316">
        <w:t>supply</w:t>
      </w:r>
      <w:proofErr w:type="spellEnd"/>
      <w:r w:rsidRPr="00D42316">
        <w:t xml:space="preserve"> </w:t>
      </w:r>
      <w:proofErr w:type="spellStart"/>
      <w:r w:rsidRPr="00D42316">
        <w:t>or</w:t>
      </w:r>
      <w:proofErr w:type="spellEnd"/>
      <w:r w:rsidRPr="00D42316">
        <w:t xml:space="preserve"> </w:t>
      </w:r>
      <w:proofErr w:type="spellStart"/>
      <w:r w:rsidRPr="00D42316">
        <w:t>possession</w:t>
      </w:r>
      <w:proofErr w:type="spellEnd"/>
      <w:r w:rsidRPr="00D42316">
        <w:t xml:space="preserve"> of </w:t>
      </w:r>
      <w:proofErr w:type="spellStart"/>
      <w:r w:rsidRPr="00D42316">
        <w:t>devices</w:t>
      </w:r>
      <w:proofErr w:type="spellEnd"/>
      <w:r w:rsidRPr="00D42316">
        <w:t xml:space="preserve">, </w:t>
      </w:r>
      <w:proofErr w:type="spellStart"/>
      <w:r w:rsidRPr="00D42316">
        <w:t>programs</w:t>
      </w:r>
      <w:proofErr w:type="spellEnd"/>
      <w:r w:rsidRPr="00D42316">
        <w:t xml:space="preserve"> </w:t>
      </w:r>
      <w:proofErr w:type="spellStart"/>
      <w:r w:rsidRPr="00D42316">
        <w:t>or</w:t>
      </w:r>
      <w:proofErr w:type="spellEnd"/>
      <w:r w:rsidRPr="00D42316">
        <w:t xml:space="preserve"> </w:t>
      </w:r>
      <w:proofErr w:type="spellStart"/>
      <w:r w:rsidRPr="00D42316">
        <w:t>tools</w:t>
      </w:r>
      <w:proofErr w:type="spellEnd"/>
      <w:r w:rsidRPr="00D42316">
        <w:t xml:space="preserve"> </w:t>
      </w:r>
      <w:proofErr w:type="spellStart"/>
      <w:r w:rsidRPr="00D42316">
        <w:t>designed</w:t>
      </w:r>
      <w:proofErr w:type="spellEnd"/>
      <w:r w:rsidRPr="00D42316">
        <w:t xml:space="preserve"> </w:t>
      </w:r>
      <w:proofErr w:type="spellStart"/>
      <w:r w:rsidRPr="00D42316">
        <w:t>to</w:t>
      </w:r>
      <w:proofErr w:type="spellEnd"/>
      <w:r w:rsidRPr="00D42316">
        <w:t xml:space="preserve"> </w:t>
      </w:r>
      <w:proofErr w:type="spellStart"/>
      <w:r w:rsidRPr="00D42316">
        <w:t>damage</w:t>
      </w:r>
      <w:proofErr w:type="spellEnd"/>
      <w:r w:rsidRPr="00D42316">
        <w:t xml:space="preserve"> </w:t>
      </w:r>
      <w:proofErr w:type="spellStart"/>
      <w:r w:rsidRPr="00D42316">
        <w:t>information</w:t>
      </w:r>
      <w:proofErr w:type="spellEnd"/>
      <w:r w:rsidRPr="00D42316">
        <w:t xml:space="preserve"> </w:t>
      </w:r>
      <w:proofErr w:type="spellStart"/>
      <w:r w:rsidRPr="00D42316">
        <w:t>systems</w:t>
      </w:r>
      <w:proofErr w:type="spellEnd"/>
      <w:r w:rsidRPr="00D42316">
        <w:t xml:space="preserve">, </w:t>
      </w:r>
      <w:proofErr w:type="spellStart"/>
      <w:r w:rsidRPr="00D42316">
        <w:t>illegally</w:t>
      </w:r>
      <w:proofErr w:type="spellEnd"/>
      <w:r w:rsidRPr="00D42316">
        <w:t xml:space="preserve"> </w:t>
      </w:r>
      <w:proofErr w:type="spellStart"/>
      <w:r w:rsidRPr="00D42316">
        <w:t>change</w:t>
      </w:r>
      <w:proofErr w:type="spellEnd"/>
      <w:r w:rsidRPr="00D42316">
        <w:t xml:space="preserve"> </w:t>
      </w:r>
      <w:proofErr w:type="gramStart"/>
      <w:r w:rsidRPr="00D42316">
        <w:t>data</w:t>
      </w:r>
      <w:proofErr w:type="gramEnd"/>
      <w:r w:rsidRPr="00D42316">
        <w:t xml:space="preserve">, </w:t>
      </w:r>
      <w:proofErr w:type="spellStart"/>
      <w:r w:rsidRPr="00D42316">
        <w:t>block</w:t>
      </w:r>
      <w:proofErr w:type="spellEnd"/>
      <w:r w:rsidRPr="00D42316">
        <w:t xml:space="preserve"> </w:t>
      </w:r>
      <w:proofErr w:type="spellStart"/>
      <w:r w:rsidRPr="00D42316">
        <w:t>access</w:t>
      </w:r>
      <w:proofErr w:type="spellEnd"/>
      <w:r w:rsidRPr="00D42316">
        <w:t xml:space="preserve"> </w:t>
      </w:r>
      <w:proofErr w:type="spellStart"/>
      <w:r w:rsidRPr="00D42316">
        <w:t>or</w:t>
      </w:r>
      <w:proofErr w:type="spellEnd"/>
      <w:r w:rsidRPr="00D42316">
        <w:t xml:space="preserve"> </w:t>
      </w:r>
      <w:proofErr w:type="spellStart"/>
      <w:r w:rsidRPr="00D42316">
        <w:t>unauthorized</w:t>
      </w:r>
      <w:proofErr w:type="spellEnd"/>
      <w:r w:rsidRPr="00D42316">
        <w:t xml:space="preserve"> </w:t>
      </w:r>
      <w:proofErr w:type="spellStart"/>
      <w:r w:rsidRPr="00D42316">
        <w:t>access</w:t>
      </w:r>
      <w:proofErr w:type="spellEnd"/>
      <w:r w:rsidRPr="00D42316">
        <w:t xml:space="preserve"> </w:t>
      </w:r>
      <w:proofErr w:type="spellStart"/>
      <w:r w:rsidRPr="00D42316">
        <w:t>to</w:t>
      </w:r>
      <w:proofErr w:type="spellEnd"/>
      <w:r w:rsidRPr="00D42316">
        <w:t xml:space="preserve"> </w:t>
      </w:r>
      <w:proofErr w:type="spellStart"/>
      <w:r w:rsidRPr="00D42316">
        <w:t>personal</w:t>
      </w:r>
      <w:proofErr w:type="spellEnd"/>
      <w:r w:rsidRPr="00D42316">
        <w:t xml:space="preserve"> data. </w:t>
      </w:r>
      <w:proofErr w:type="spellStart"/>
      <w:r w:rsidRPr="00D42316">
        <w:t>This</w:t>
      </w:r>
      <w:proofErr w:type="spellEnd"/>
      <w:r w:rsidRPr="00D42316">
        <w:t xml:space="preserve"> </w:t>
      </w:r>
      <w:proofErr w:type="spellStart"/>
      <w:r w:rsidRPr="00D42316">
        <w:t>crime</w:t>
      </w:r>
      <w:proofErr w:type="spellEnd"/>
      <w:r w:rsidRPr="00D42316">
        <w:t xml:space="preserve"> </w:t>
      </w:r>
      <w:proofErr w:type="spellStart"/>
      <w:r w:rsidRPr="00D42316">
        <w:t>covers</w:t>
      </w:r>
      <w:proofErr w:type="spellEnd"/>
      <w:r w:rsidRPr="00D42316">
        <w:t xml:space="preserve"> not </w:t>
      </w:r>
      <w:proofErr w:type="spellStart"/>
      <w:r w:rsidRPr="00D42316">
        <w:t>only</w:t>
      </w:r>
      <w:proofErr w:type="spellEnd"/>
      <w:r w:rsidRPr="00D42316">
        <w:t xml:space="preserve"> </w:t>
      </w:r>
      <w:proofErr w:type="spellStart"/>
      <w:r w:rsidRPr="00D42316">
        <w:t>the</w:t>
      </w:r>
      <w:proofErr w:type="spellEnd"/>
      <w:r w:rsidRPr="00D42316">
        <w:t xml:space="preserve"> </w:t>
      </w:r>
      <w:proofErr w:type="spellStart"/>
      <w:r w:rsidRPr="00D42316">
        <w:t>use</w:t>
      </w:r>
      <w:proofErr w:type="spellEnd"/>
      <w:r w:rsidRPr="00D42316">
        <w:t xml:space="preserve"> of </w:t>
      </w:r>
      <w:proofErr w:type="spellStart"/>
      <w:r w:rsidRPr="00D42316">
        <w:t>prohibited</w:t>
      </w:r>
      <w:proofErr w:type="spellEnd"/>
      <w:r w:rsidRPr="00D42316">
        <w:t xml:space="preserve"> </w:t>
      </w:r>
      <w:proofErr w:type="spellStart"/>
      <w:r w:rsidRPr="00D42316">
        <w:t>devices</w:t>
      </w:r>
      <w:proofErr w:type="spellEnd"/>
      <w:r w:rsidRPr="00D42316">
        <w:t xml:space="preserve"> </w:t>
      </w:r>
      <w:proofErr w:type="spellStart"/>
      <w:r w:rsidRPr="00D42316">
        <w:t>or</w:t>
      </w:r>
      <w:proofErr w:type="spellEnd"/>
      <w:r w:rsidRPr="00D42316">
        <w:t xml:space="preserve"> </w:t>
      </w:r>
      <w:proofErr w:type="spellStart"/>
      <w:r w:rsidRPr="00D42316">
        <w:t>programs</w:t>
      </w:r>
      <w:proofErr w:type="spellEnd"/>
      <w:r w:rsidRPr="00D42316">
        <w:t xml:space="preserve">, but </w:t>
      </w:r>
      <w:proofErr w:type="spellStart"/>
      <w:r w:rsidRPr="00D42316">
        <w:t>also</w:t>
      </w:r>
      <w:proofErr w:type="spellEnd"/>
      <w:r w:rsidRPr="00D42316">
        <w:t xml:space="preserve"> </w:t>
      </w:r>
      <w:proofErr w:type="spellStart"/>
      <w:r w:rsidRPr="00D42316">
        <w:t>the</w:t>
      </w:r>
      <w:proofErr w:type="spellEnd"/>
      <w:r w:rsidRPr="00D42316">
        <w:t xml:space="preserve"> </w:t>
      </w:r>
      <w:proofErr w:type="spellStart"/>
      <w:r w:rsidRPr="00D42316">
        <w:t>production</w:t>
      </w:r>
      <w:proofErr w:type="spellEnd"/>
      <w:r w:rsidRPr="00D42316">
        <w:t xml:space="preserve"> </w:t>
      </w:r>
      <w:proofErr w:type="spellStart"/>
      <w:r w:rsidRPr="00D42316">
        <w:t>or</w:t>
      </w:r>
      <w:proofErr w:type="spellEnd"/>
      <w:r w:rsidRPr="00D42316">
        <w:t xml:space="preserve"> </w:t>
      </w:r>
      <w:proofErr w:type="spellStart"/>
      <w:r w:rsidRPr="00D42316">
        <w:t>distribution</w:t>
      </w:r>
      <w:proofErr w:type="spellEnd"/>
      <w:r w:rsidRPr="00D42316">
        <w:t xml:space="preserve"> </w:t>
      </w:r>
      <w:proofErr w:type="spellStart"/>
      <w:r w:rsidRPr="00D42316">
        <w:t>processes</w:t>
      </w:r>
      <w:proofErr w:type="spellEnd"/>
      <w:r w:rsidRPr="00D42316">
        <w:t xml:space="preserve"> of </w:t>
      </w:r>
      <w:proofErr w:type="spellStart"/>
      <w:r w:rsidRPr="00D42316">
        <w:t>these</w:t>
      </w:r>
      <w:proofErr w:type="spellEnd"/>
      <w:r w:rsidRPr="00D42316">
        <w:t xml:space="preserve"> </w:t>
      </w:r>
      <w:proofErr w:type="spellStart"/>
      <w:r w:rsidRPr="00D42316">
        <w:t>tools</w:t>
      </w:r>
      <w:proofErr w:type="spellEnd"/>
      <w:r w:rsidRPr="00D42316">
        <w:t xml:space="preserve">. </w:t>
      </w:r>
      <w:proofErr w:type="spellStart"/>
      <w:r w:rsidRPr="00D42316">
        <w:t>With</w:t>
      </w:r>
      <w:proofErr w:type="spellEnd"/>
      <w:r w:rsidRPr="00D42316">
        <w:t xml:space="preserve"> </w:t>
      </w:r>
      <w:proofErr w:type="spellStart"/>
      <w:r w:rsidRPr="00D42316">
        <w:t>this</w:t>
      </w:r>
      <w:proofErr w:type="spellEnd"/>
      <w:r w:rsidRPr="00D42316">
        <w:t xml:space="preserve"> </w:t>
      </w:r>
      <w:proofErr w:type="spellStart"/>
      <w:r w:rsidRPr="00D42316">
        <w:t>regulation</w:t>
      </w:r>
      <w:proofErr w:type="spellEnd"/>
      <w:r w:rsidRPr="00D42316">
        <w:t xml:space="preserve">, </w:t>
      </w:r>
      <w:proofErr w:type="spellStart"/>
      <w:r w:rsidRPr="00D42316">
        <w:t>the</w:t>
      </w:r>
      <w:proofErr w:type="spellEnd"/>
      <w:r w:rsidRPr="00D42316">
        <w:t xml:space="preserve"> </w:t>
      </w:r>
      <w:proofErr w:type="spellStart"/>
      <w:r w:rsidRPr="00D42316">
        <w:t>legislator</w:t>
      </w:r>
      <w:proofErr w:type="spellEnd"/>
      <w:r w:rsidRPr="00D42316">
        <w:t xml:space="preserve"> </w:t>
      </w:r>
      <w:proofErr w:type="spellStart"/>
      <w:r w:rsidRPr="00D42316">
        <w:t>aimed</w:t>
      </w:r>
      <w:proofErr w:type="spellEnd"/>
      <w:r w:rsidRPr="00D42316">
        <w:t xml:space="preserve"> </w:t>
      </w:r>
      <w:proofErr w:type="spellStart"/>
      <w:r w:rsidRPr="00D42316">
        <w:t>to</w:t>
      </w:r>
      <w:proofErr w:type="spellEnd"/>
      <w:r w:rsidRPr="00D42316">
        <w:t xml:space="preserve"> </w:t>
      </w:r>
      <w:proofErr w:type="spellStart"/>
      <w:r w:rsidRPr="00D42316">
        <w:t>punish</w:t>
      </w:r>
      <w:proofErr w:type="spellEnd"/>
      <w:r w:rsidRPr="00D42316">
        <w:t xml:space="preserve"> not </w:t>
      </w:r>
      <w:proofErr w:type="spellStart"/>
      <w:r w:rsidRPr="00D42316">
        <w:t>only</w:t>
      </w:r>
      <w:proofErr w:type="spellEnd"/>
      <w:r w:rsidRPr="00D42316">
        <w:t xml:space="preserve"> </w:t>
      </w:r>
      <w:proofErr w:type="spellStart"/>
      <w:r w:rsidRPr="00D42316">
        <w:t>actual</w:t>
      </w:r>
      <w:proofErr w:type="spellEnd"/>
      <w:r w:rsidRPr="00D42316">
        <w:t xml:space="preserve"> </w:t>
      </w:r>
      <w:proofErr w:type="spellStart"/>
      <w:r w:rsidRPr="00D42316">
        <w:t>actions</w:t>
      </w:r>
      <w:proofErr w:type="spellEnd"/>
      <w:r w:rsidRPr="00D42316">
        <w:t xml:space="preserve"> but </w:t>
      </w:r>
      <w:proofErr w:type="spellStart"/>
      <w:r w:rsidRPr="00D42316">
        <w:t>also</w:t>
      </w:r>
      <w:proofErr w:type="spellEnd"/>
      <w:r w:rsidRPr="00D42316">
        <w:t xml:space="preserve"> </w:t>
      </w:r>
      <w:proofErr w:type="spellStart"/>
      <w:r w:rsidRPr="00D42316">
        <w:t>preparations</w:t>
      </w:r>
      <w:proofErr w:type="spellEnd"/>
      <w:r w:rsidRPr="00D42316">
        <w:t xml:space="preserve"> </w:t>
      </w:r>
      <w:proofErr w:type="spellStart"/>
      <w:r w:rsidRPr="00D42316">
        <w:t>that</w:t>
      </w:r>
      <w:proofErr w:type="spellEnd"/>
      <w:r w:rsidRPr="00D42316">
        <w:t xml:space="preserve"> </w:t>
      </w:r>
      <w:proofErr w:type="spellStart"/>
      <w:r w:rsidRPr="00D42316">
        <w:t>could</w:t>
      </w:r>
      <w:proofErr w:type="spellEnd"/>
      <w:r w:rsidRPr="00D42316">
        <w:t xml:space="preserve"> </w:t>
      </w:r>
      <w:proofErr w:type="spellStart"/>
      <w:r w:rsidRPr="00D42316">
        <w:t>potentially</w:t>
      </w:r>
      <w:proofErr w:type="spellEnd"/>
      <w:r w:rsidRPr="00D42316">
        <w:t xml:space="preserve"> </w:t>
      </w:r>
      <w:proofErr w:type="spellStart"/>
      <w:r w:rsidRPr="00D42316">
        <w:t>constitute</w:t>
      </w:r>
      <w:proofErr w:type="spellEnd"/>
      <w:r w:rsidRPr="00D42316">
        <w:t xml:space="preserve"> a </w:t>
      </w:r>
      <w:proofErr w:type="spellStart"/>
      <w:r w:rsidRPr="00D42316">
        <w:t>crime</w:t>
      </w:r>
      <w:proofErr w:type="spellEnd"/>
      <w:r w:rsidRPr="00D42316">
        <w:t xml:space="preserve">. </w:t>
      </w:r>
      <w:proofErr w:type="spellStart"/>
      <w:r w:rsidRPr="00D42316">
        <w:t>For</w:t>
      </w:r>
      <w:proofErr w:type="spellEnd"/>
      <w:r w:rsidRPr="00D42316">
        <w:t xml:space="preserve"> </w:t>
      </w:r>
      <w:proofErr w:type="spellStart"/>
      <w:r w:rsidRPr="00D42316">
        <w:t>example</w:t>
      </w:r>
      <w:proofErr w:type="spellEnd"/>
      <w:r w:rsidRPr="00D42316">
        <w:t xml:space="preserve">, </w:t>
      </w:r>
      <w:proofErr w:type="spellStart"/>
      <w:r w:rsidRPr="00D42316">
        <w:t>developing</w:t>
      </w:r>
      <w:proofErr w:type="spellEnd"/>
      <w:r w:rsidRPr="00D42316">
        <w:t xml:space="preserve"> a hacker program </w:t>
      </w:r>
      <w:proofErr w:type="spellStart"/>
      <w:r w:rsidRPr="00D42316">
        <w:t>or</w:t>
      </w:r>
      <w:proofErr w:type="spellEnd"/>
      <w:r w:rsidRPr="00D42316">
        <w:t xml:space="preserve"> </w:t>
      </w:r>
      <w:proofErr w:type="spellStart"/>
      <w:r w:rsidRPr="00D42316">
        <w:t>selling</w:t>
      </w:r>
      <w:proofErr w:type="spellEnd"/>
      <w:r w:rsidRPr="00D42316">
        <w:t xml:space="preserve"> </w:t>
      </w:r>
      <w:proofErr w:type="spellStart"/>
      <w:r w:rsidRPr="00D42316">
        <w:t>this</w:t>
      </w:r>
      <w:proofErr w:type="spellEnd"/>
      <w:r w:rsidRPr="00D42316">
        <w:t xml:space="preserve"> program is </w:t>
      </w:r>
      <w:proofErr w:type="spellStart"/>
      <w:r w:rsidRPr="00D42316">
        <w:t>sufficient</w:t>
      </w:r>
      <w:proofErr w:type="spellEnd"/>
      <w:r w:rsidRPr="00D42316">
        <w:t xml:space="preserve"> </w:t>
      </w:r>
      <w:proofErr w:type="spellStart"/>
      <w:r w:rsidRPr="00D42316">
        <w:t>for</w:t>
      </w:r>
      <w:proofErr w:type="spellEnd"/>
      <w:r w:rsidRPr="00D42316">
        <w:t xml:space="preserve"> a </w:t>
      </w:r>
      <w:proofErr w:type="spellStart"/>
      <w:r w:rsidRPr="00D42316">
        <w:t>crime</w:t>
      </w:r>
      <w:proofErr w:type="spellEnd"/>
      <w:r w:rsidRPr="00D42316">
        <w:t xml:space="preserve"> </w:t>
      </w:r>
      <w:proofErr w:type="spellStart"/>
      <w:r w:rsidRPr="00D42316">
        <w:t>to</w:t>
      </w:r>
      <w:proofErr w:type="spellEnd"/>
      <w:r w:rsidRPr="00D42316">
        <w:t xml:space="preserve"> </w:t>
      </w:r>
      <w:proofErr w:type="spellStart"/>
      <w:r w:rsidRPr="00D42316">
        <w:t>occur</w:t>
      </w:r>
      <w:proofErr w:type="spellEnd"/>
      <w:r w:rsidRPr="00D42316">
        <w:t xml:space="preserve">. TCK 245/A </w:t>
      </w:r>
      <w:proofErr w:type="spellStart"/>
      <w:r w:rsidRPr="00D42316">
        <w:t>acts</w:t>
      </w:r>
      <w:proofErr w:type="spellEnd"/>
      <w:r w:rsidRPr="00D42316">
        <w:t xml:space="preserve"> as a </w:t>
      </w:r>
      <w:proofErr w:type="spellStart"/>
      <w:r w:rsidRPr="00D42316">
        <w:t>deterrent</w:t>
      </w:r>
      <w:proofErr w:type="spellEnd"/>
      <w:r w:rsidRPr="00D42316">
        <w:t xml:space="preserve"> </w:t>
      </w:r>
      <w:proofErr w:type="spellStart"/>
      <w:r w:rsidRPr="00D42316">
        <w:t>to</w:t>
      </w:r>
      <w:proofErr w:type="spellEnd"/>
      <w:r w:rsidRPr="00D42316">
        <w:t xml:space="preserve"> </w:t>
      </w:r>
      <w:proofErr w:type="spellStart"/>
      <w:r w:rsidRPr="00D42316">
        <w:t>prevent</w:t>
      </w:r>
      <w:proofErr w:type="spellEnd"/>
      <w:r w:rsidRPr="00D42316">
        <w:t xml:space="preserve"> </w:t>
      </w:r>
      <w:proofErr w:type="spellStart"/>
      <w:r w:rsidRPr="00D42316">
        <w:t>the</w:t>
      </w:r>
      <w:proofErr w:type="spellEnd"/>
      <w:r w:rsidRPr="00D42316">
        <w:t xml:space="preserve"> spread of </w:t>
      </w:r>
      <w:proofErr w:type="spellStart"/>
      <w:r w:rsidRPr="00D42316">
        <w:t>malicious</w:t>
      </w:r>
      <w:proofErr w:type="spellEnd"/>
      <w:r w:rsidRPr="00D42316">
        <w:t xml:space="preserve"> </w:t>
      </w:r>
      <w:proofErr w:type="spellStart"/>
      <w:r w:rsidRPr="00D42316">
        <w:t>activities</w:t>
      </w:r>
      <w:proofErr w:type="spellEnd"/>
      <w:r w:rsidRPr="00D42316">
        <w:t xml:space="preserve"> in </w:t>
      </w:r>
      <w:proofErr w:type="spellStart"/>
      <w:r w:rsidRPr="00D42316">
        <w:t>the</w:t>
      </w:r>
      <w:proofErr w:type="spellEnd"/>
      <w:r w:rsidRPr="00D42316">
        <w:t xml:space="preserve"> </w:t>
      </w:r>
      <w:proofErr w:type="spellStart"/>
      <w:r w:rsidRPr="00D42316">
        <w:t>digital</w:t>
      </w:r>
      <w:proofErr w:type="spellEnd"/>
      <w:r w:rsidRPr="00D42316">
        <w:t xml:space="preserve"> </w:t>
      </w:r>
      <w:proofErr w:type="spellStart"/>
      <w:r w:rsidRPr="00D42316">
        <w:t>world</w:t>
      </w:r>
      <w:proofErr w:type="spellEnd"/>
      <w:r w:rsidRPr="00D42316">
        <w:t xml:space="preserve">. </w:t>
      </w:r>
      <w:proofErr w:type="spellStart"/>
      <w:r w:rsidRPr="00D42316">
        <w:t>The</w:t>
      </w:r>
      <w:proofErr w:type="spellEnd"/>
      <w:r w:rsidRPr="00D42316">
        <w:t xml:space="preserve"> </w:t>
      </w:r>
      <w:proofErr w:type="spellStart"/>
      <w:r w:rsidRPr="00D42316">
        <w:t>penalties</w:t>
      </w:r>
      <w:proofErr w:type="spellEnd"/>
      <w:r w:rsidRPr="00D42316">
        <w:t xml:space="preserve"> </w:t>
      </w:r>
      <w:proofErr w:type="spellStart"/>
      <w:r w:rsidRPr="00D42316">
        <w:t>stipulated</w:t>
      </w:r>
      <w:proofErr w:type="spellEnd"/>
      <w:r w:rsidRPr="00D42316">
        <w:t xml:space="preserve"> in </w:t>
      </w:r>
      <w:proofErr w:type="spellStart"/>
      <w:r w:rsidRPr="00D42316">
        <w:t>the</w:t>
      </w:r>
      <w:proofErr w:type="spellEnd"/>
      <w:r w:rsidRPr="00D42316">
        <w:t xml:space="preserve"> </w:t>
      </w:r>
      <w:proofErr w:type="spellStart"/>
      <w:r w:rsidRPr="00D42316">
        <w:t>article</w:t>
      </w:r>
      <w:proofErr w:type="spellEnd"/>
      <w:r w:rsidRPr="00D42316">
        <w:t xml:space="preserve"> </w:t>
      </w:r>
      <w:proofErr w:type="spellStart"/>
      <w:r w:rsidRPr="00D42316">
        <w:t>vary</w:t>
      </w:r>
      <w:proofErr w:type="spellEnd"/>
      <w:r w:rsidRPr="00D42316">
        <w:t xml:space="preserve"> </w:t>
      </w:r>
      <w:proofErr w:type="spellStart"/>
      <w:r w:rsidRPr="00D42316">
        <w:t>depending</w:t>
      </w:r>
      <w:proofErr w:type="spellEnd"/>
      <w:r w:rsidRPr="00D42316">
        <w:t xml:space="preserve"> on </w:t>
      </w:r>
      <w:proofErr w:type="spellStart"/>
      <w:r w:rsidRPr="00D42316">
        <w:t>the</w:t>
      </w:r>
      <w:proofErr w:type="spellEnd"/>
      <w:r w:rsidRPr="00D42316">
        <w:t xml:space="preserve"> </w:t>
      </w:r>
      <w:proofErr w:type="spellStart"/>
      <w:r w:rsidRPr="00D42316">
        <w:t>nature</w:t>
      </w:r>
      <w:proofErr w:type="spellEnd"/>
      <w:r w:rsidRPr="00D42316">
        <w:t xml:space="preserve"> of </w:t>
      </w:r>
      <w:proofErr w:type="spellStart"/>
      <w:r w:rsidRPr="00D42316">
        <w:t>the</w:t>
      </w:r>
      <w:proofErr w:type="spellEnd"/>
      <w:r w:rsidRPr="00D42316">
        <w:t xml:space="preserve"> </w:t>
      </w:r>
      <w:proofErr w:type="spellStart"/>
      <w:r w:rsidRPr="00D42316">
        <w:t>crime</w:t>
      </w:r>
      <w:proofErr w:type="spellEnd"/>
      <w:r w:rsidRPr="00D42316">
        <w:t xml:space="preserve">, but </w:t>
      </w:r>
      <w:proofErr w:type="spellStart"/>
      <w:r w:rsidRPr="00D42316">
        <w:t>generally</w:t>
      </w:r>
      <w:proofErr w:type="spellEnd"/>
      <w:r w:rsidRPr="00D42316">
        <w:t xml:space="preserve"> </w:t>
      </w:r>
      <w:proofErr w:type="spellStart"/>
      <w:r w:rsidRPr="00D42316">
        <w:t>include</w:t>
      </w:r>
      <w:proofErr w:type="spellEnd"/>
      <w:r w:rsidRPr="00D42316">
        <w:t xml:space="preserve"> a </w:t>
      </w:r>
      <w:proofErr w:type="spellStart"/>
      <w:r w:rsidRPr="00D42316">
        <w:t>period</w:t>
      </w:r>
      <w:proofErr w:type="spellEnd"/>
      <w:r w:rsidRPr="00D42316">
        <w:t xml:space="preserve"> of </w:t>
      </w:r>
      <w:proofErr w:type="spellStart"/>
      <w:r w:rsidRPr="00D42316">
        <w:t>imprisonment</w:t>
      </w:r>
      <w:proofErr w:type="spellEnd"/>
      <w:r w:rsidRPr="00D42316">
        <w:t xml:space="preserve">. </w:t>
      </w:r>
      <w:proofErr w:type="spellStart"/>
      <w:r w:rsidRPr="00D42316">
        <w:t>This</w:t>
      </w:r>
      <w:proofErr w:type="spellEnd"/>
      <w:r w:rsidRPr="00D42316">
        <w:t xml:space="preserve"> </w:t>
      </w:r>
      <w:proofErr w:type="spellStart"/>
      <w:r w:rsidRPr="00D42316">
        <w:t>regulation</w:t>
      </w:r>
      <w:proofErr w:type="spellEnd"/>
      <w:r w:rsidRPr="00D42316">
        <w:t xml:space="preserve"> is </w:t>
      </w:r>
      <w:proofErr w:type="spellStart"/>
      <w:r w:rsidRPr="00D42316">
        <w:t>important</w:t>
      </w:r>
      <w:proofErr w:type="spellEnd"/>
      <w:r w:rsidRPr="00D42316">
        <w:t xml:space="preserve"> in </w:t>
      </w:r>
      <w:proofErr w:type="spellStart"/>
      <w:r w:rsidRPr="00D42316">
        <w:t>terms</w:t>
      </w:r>
      <w:proofErr w:type="spellEnd"/>
      <w:r w:rsidRPr="00D42316">
        <w:t xml:space="preserve"> of </w:t>
      </w:r>
      <w:proofErr w:type="spellStart"/>
      <w:r w:rsidRPr="00D42316">
        <w:t>protecting</w:t>
      </w:r>
      <w:proofErr w:type="spellEnd"/>
      <w:r w:rsidRPr="00D42316">
        <w:t xml:space="preserve"> </w:t>
      </w:r>
      <w:proofErr w:type="spellStart"/>
      <w:r w:rsidRPr="00D42316">
        <w:t>the</w:t>
      </w:r>
      <w:proofErr w:type="spellEnd"/>
      <w:r w:rsidRPr="00D42316">
        <w:t xml:space="preserve"> </w:t>
      </w:r>
      <w:proofErr w:type="spellStart"/>
      <w:r w:rsidRPr="00D42316">
        <w:t>privacy</w:t>
      </w:r>
      <w:proofErr w:type="spellEnd"/>
      <w:r w:rsidRPr="00D42316">
        <w:t xml:space="preserve"> of </w:t>
      </w:r>
      <w:proofErr w:type="spellStart"/>
      <w:r w:rsidRPr="00D42316">
        <w:t>individuals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security</w:t>
      </w:r>
      <w:proofErr w:type="spellEnd"/>
      <w:r w:rsidRPr="00D42316">
        <w:t xml:space="preserve"> of </w:t>
      </w:r>
      <w:proofErr w:type="spellStart"/>
      <w:r w:rsidRPr="00D42316">
        <w:t>information</w:t>
      </w:r>
      <w:proofErr w:type="spellEnd"/>
      <w:r w:rsidRPr="00D42316">
        <w:t xml:space="preserve"> </w:t>
      </w:r>
      <w:proofErr w:type="spellStart"/>
      <w:r w:rsidRPr="00D42316">
        <w:t>systems</w:t>
      </w:r>
      <w:proofErr w:type="spellEnd"/>
      <w:r w:rsidRPr="00D42316">
        <w:t xml:space="preserve">. At </w:t>
      </w:r>
      <w:proofErr w:type="spellStart"/>
      <w:r w:rsidRPr="00D42316">
        <w:t>the</w:t>
      </w:r>
      <w:proofErr w:type="spellEnd"/>
      <w:r w:rsidRPr="00D42316">
        <w:t xml:space="preserve"> </w:t>
      </w:r>
      <w:proofErr w:type="spellStart"/>
      <w:r w:rsidRPr="00D42316">
        <w:t>same</w:t>
      </w:r>
      <w:proofErr w:type="spellEnd"/>
      <w:r w:rsidRPr="00D42316">
        <w:t xml:space="preserve"> time, </w:t>
      </w:r>
      <w:proofErr w:type="spellStart"/>
      <w:r w:rsidRPr="00D42316">
        <w:t>professionals</w:t>
      </w:r>
      <w:proofErr w:type="spellEnd"/>
      <w:r w:rsidRPr="00D42316">
        <w:t xml:space="preserve"> </w:t>
      </w:r>
      <w:proofErr w:type="spellStart"/>
      <w:r w:rsidRPr="00D42316">
        <w:t>operating</w:t>
      </w:r>
      <w:proofErr w:type="spellEnd"/>
      <w:r w:rsidRPr="00D42316">
        <w:t xml:space="preserve"> in </w:t>
      </w:r>
      <w:proofErr w:type="spellStart"/>
      <w:r w:rsidRPr="00D42316">
        <w:t>the</w:t>
      </w:r>
      <w:proofErr w:type="spellEnd"/>
      <w:r w:rsidRPr="00D42316">
        <w:t xml:space="preserve"> </w:t>
      </w:r>
      <w:proofErr w:type="spellStart"/>
      <w:r w:rsidRPr="00D42316">
        <w:t>field</w:t>
      </w:r>
      <w:proofErr w:type="spellEnd"/>
      <w:r w:rsidRPr="00D42316">
        <w:t xml:space="preserve"> of </w:t>
      </w:r>
      <w:proofErr w:type="spellStart"/>
      <w:r w:rsidRPr="00D42316">
        <w:t>information</w:t>
      </w:r>
      <w:proofErr w:type="spellEnd"/>
      <w:r w:rsidRPr="00D42316">
        <w:t xml:space="preserve"> </w:t>
      </w:r>
      <w:proofErr w:type="spellStart"/>
      <w:r w:rsidRPr="00D42316">
        <w:t>technology</w:t>
      </w:r>
      <w:proofErr w:type="spellEnd"/>
      <w:r w:rsidRPr="00D42316">
        <w:t xml:space="preserve"> </w:t>
      </w:r>
      <w:proofErr w:type="spellStart"/>
      <w:r w:rsidRPr="00D42316">
        <w:t>are</w:t>
      </w:r>
      <w:proofErr w:type="spellEnd"/>
      <w:r w:rsidRPr="00D42316">
        <w:t xml:space="preserve"> </w:t>
      </w:r>
      <w:proofErr w:type="spellStart"/>
      <w:r w:rsidRPr="00D42316">
        <w:t>encouraged</w:t>
      </w:r>
      <w:proofErr w:type="spellEnd"/>
      <w:r w:rsidRPr="00D42316">
        <w:t xml:space="preserve"> </w:t>
      </w:r>
      <w:proofErr w:type="spellStart"/>
      <w:r w:rsidRPr="00D42316">
        <w:t>to</w:t>
      </w:r>
      <w:proofErr w:type="spellEnd"/>
      <w:r w:rsidRPr="00D42316">
        <w:t xml:space="preserve"> </w:t>
      </w:r>
      <w:proofErr w:type="spellStart"/>
      <w:r w:rsidRPr="00D42316">
        <w:t>work</w:t>
      </w:r>
      <w:proofErr w:type="spellEnd"/>
      <w:r w:rsidRPr="00D42316">
        <w:t xml:space="preserve"> in </w:t>
      </w:r>
      <w:proofErr w:type="spellStart"/>
      <w:r w:rsidRPr="00D42316">
        <w:t>accordance</w:t>
      </w:r>
      <w:proofErr w:type="spellEnd"/>
      <w:r w:rsidRPr="00D42316">
        <w:t xml:space="preserve"> </w:t>
      </w:r>
      <w:proofErr w:type="spellStart"/>
      <w:r w:rsidRPr="00D42316">
        <w:t>with</w:t>
      </w:r>
      <w:proofErr w:type="spellEnd"/>
      <w:r w:rsidRPr="00D42316">
        <w:t xml:space="preserve"> </w:t>
      </w:r>
      <w:proofErr w:type="spellStart"/>
      <w:r w:rsidRPr="00D42316">
        <w:t>ethics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law</w:t>
      </w:r>
      <w:proofErr w:type="spellEnd"/>
      <w:r w:rsidRPr="00D42316">
        <w:t xml:space="preserve">. As a </w:t>
      </w:r>
      <w:proofErr w:type="spellStart"/>
      <w:r w:rsidRPr="00D42316">
        <w:t>result</w:t>
      </w:r>
      <w:proofErr w:type="spellEnd"/>
      <w:r w:rsidRPr="00D42316">
        <w:t xml:space="preserve">, TCK 245/A </w:t>
      </w:r>
      <w:proofErr w:type="spellStart"/>
      <w:r w:rsidRPr="00D42316">
        <w:t>provides</w:t>
      </w:r>
      <w:proofErr w:type="spellEnd"/>
      <w:r w:rsidRPr="00D42316">
        <w:t xml:space="preserve"> an </w:t>
      </w:r>
      <w:proofErr w:type="spellStart"/>
      <w:r w:rsidRPr="00D42316">
        <w:t>effective</w:t>
      </w:r>
      <w:proofErr w:type="spellEnd"/>
      <w:r w:rsidRPr="00D42316">
        <w:t xml:space="preserve"> legal </w:t>
      </w:r>
      <w:proofErr w:type="spellStart"/>
      <w:r w:rsidRPr="00D42316">
        <w:t>framework</w:t>
      </w:r>
      <w:proofErr w:type="spellEnd"/>
      <w:r w:rsidRPr="00D42316">
        <w:t xml:space="preserve"> in </w:t>
      </w:r>
      <w:proofErr w:type="spellStart"/>
      <w:r w:rsidRPr="00D42316">
        <w:t>the</w:t>
      </w:r>
      <w:proofErr w:type="spellEnd"/>
      <w:r w:rsidRPr="00D42316">
        <w:t xml:space="preserve"> </w:t>
      </w:r>
      <w:proofErr w:type="spellStart"/>
      <w:r w:rsidRPr="00D42316">
        <w:t>fight</w:t>
      </w:r>
      <w:proofErr w:type="spellEnd"/>
      <w:r w:rsidRPr="00D42316">
        <w:t xml:space="preserve"> </w:t>
      </w:r>
      <w:proofErr w:type="spellStart"/>
      <w:r w:rsidRPr="00D42316">
        <w:t>against</w:t>
      </w:r>
      <w:proofErr w:type="spellEnd"/>
      <w:r w:rsidRPr="00D42316">
        <w:t xml:space="preserve"> </w:t>
      </w:r>
      <w:proofErr w:type="spellStart"/>
      <w:r w:rsidRPr="00D42316">
        <w:t>cybercrimes</w:t>
      </w:r>
      <w:proofErr w:type="spellEnd"/>
      <w:r w:rsidRPr="00D42316">
        <w:t xml:space="preserve">. </w:t>
      </w:r>
      <w:proofErr w:type="spellStart"/>
      <w:r w:rsidRPr="00D42316">
        <w:t>However</w:t>
      </w:r>
      <w:proofErr w:type="spellEnd"/>
      <w:r w:rsidRPr="00D42316">
        <w:t xml:space="preserve">, </w:t>
      </w:r>
      <w:proofErr w:type="spellStart"/>
      <w:r w:rsidRPr="00D42316">
        <w:t>difficulties</w:t>
      </w:r>
      <w:proofErr w:type="spellEnd"/>
      <w:r w:rsidRPr="00D42316">
        <w:t xml:space="preserve"> </w:t>
      </w:r>
      <w:proofErr w:type="spellStart"/>
      <w:r w:rsidRPr="00D42316">
        <w:t>such</w:t>
      </w:r>
      <w:proofErr w:type="spellEnd"/>
      <w:r w:rsidRPr="00D42316">
        <w:t xml:space="preserve"> as </w:t>
      </w:r>
      <w:proofErr w:type="spellStart"/>
      <w:r w:rsidRPr="00D42316">
        <w:t>lack</w:t>
      </w:r>
      <w:proofErr w:type="spellEnd"/>
      <w:r w:rsidRPr="00D42316">
        <w:t xml:space="preserve"> of </w:t>
      </w:r>
      <w:proofErr w:type="spellStart"/>
      <w:r w:rsidRPr="00D42316">
        <w:t>technical</w:t>
      </w:r>
      <w:proofErr w:type="spellEnd"/>
      <w:r w:rsidRPr="00D42316">
        <w:t xml:space="preserve"> </w:t>
      </w:r>
      <w:proofErr w:type="spellStart"/>
      <w:r w:rsidRPr="00D42316">
        <w:t>knowledge</w:t>
      </w:r>
      <w:proofErr w:type="spellEnd"/>
      <w:r w:rsidRPr="00D42316">
        <w:t xml:space="preserve">, </w:t>
      </w:r>
      <w:proofErr w:type="spellStart"/>
      <w:r w:rsidRPr="00D42316">
        <w:t>evidence</w:t>
      </w:r>
      <w:proofErr w:type="spellEnd"/>
      <w:r w:rsidRPr="00D42316">
        <w:t xml:space="preserve"> </w:t>
      </w:r>
      <w:proofErr w:type="spellStart"/>
      <w:r w:rsidRPr="00D42316">
        <w:t>collection</w:t>
      </w:r>
      <w:proofErr w:type="spellEnd"/>
      <w:r w:rsidRPr="00D42316">
        <w:t xml:space="preserve"> </w:t>
      </w:r>
      <w:proofErr w:type="spellStart"/>
      <w:r w:rsidRPr="00D42316">
        <w:t>processes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evaluation</w:t>
      </w:r>
      <w:proofErr w:type="spellEnd"/>
      <w:r w:rsidRPr="00D42316">
        <w:t xml:space="preserve"> of </w:t>
      </w:r>
      <w:proofErr w:type="spellStart"/>
      <w:r w:rsidRPr="00D42316">
        <w:t>digital</w:t>
      </w:r>
      <w:proofErr w:type="spellEnd"/>
      <w:r w:rsidRPr="00D42316">
        <w:t xml:space="preserve"> </w:t>
      </w:r>
      <w:proofErr w:type="spellStart"/>
      <w:r w:rsidRPr="00D42316">
        <w:t>evidence</w:t>
      </w:r>
      <w:proofErr w:type="spellEnd"/>
      <w:r w:rsidRPr="00D42316">
        <w:t xml:space="preserve"> in </w:t>
      </w:r>
      <w:proofErr w:type="spellStart"/>
      <w:r w:rsidRPr="00D42316">
        <w:t>courts</w:t>
      </w:r>
      <w:proofErr w:type="spellEnd"/>
      <w:r w:rsidRPr="00D42316">
        <w:t xml:space="preserve"> </w:t>
      </w:r>
      <w:proofErr w:type="spellStart"/>
      <w:r w:rsidRPr="00D42316">
        <w:t>may</w:t>
      </w:r>
      <w:proofErr w:type="spellEnd"/>
      <w:r w:rsidRPr="00D42316">
        <w:t xml:space="preserve"> be </w:t>
      </w:r>
      <w:proofErr w:type="spellStart"/>
      <w:r w:rsidRPr="00D42316">
        <w:t>encountered</w:t>
      </w:r>
      <w:proofErr w:type="spellEnd"/>
      <w:r w:rsidRPr="00D42316">
        <w:t xml:space="preserve"> in </w:t>
      </w:r>
      <w:proofErr w:type="spellStart"/>
      <w:r w:rsidRPr="00D42316">
        <w:t>the</w:t>
      </w:r>
      <w:proofErr w:type="spellEnd"/>
      <w:r w:rsidRPr="00D42316">
        <w:t xml:space="preserve"> </w:t>
      </w:r>
      <w:proofErr w:type="spellStart"/>
      <w:r w:rsidRPr="00D42316">
        <w:t>implementation</w:t>
      </w:r>
      <w:proofErr w:type="spellEnd"/>
      <w:r w:rsidRPr="00D42316">
        <w:t xml:space="preserve"> of </w:t>
      </w:r>
      <w:proofErr w:type="spellStart"/>
      <w:r w:rsidRPr="00D42316">
        <w:t>the</w:t>
      </w:r>
      <w:proofErr w:type="spellEnd"/>
      <w:r w:rsidRPr="00D42316">
        <w:t xml:space="preserve"> </w:t>
      </w:r>
      <w:proofErr w:type="spellStart"/>
      <w:r w:rsidRPr="00D42316">
        <w:t>law</w:t>
      </w:r>
      <w:proofErr w:type="spellEnd"/>
      <w:r w:rsidRPr="00D42316">
        <w:t xml:space="preserve">. </w:t>
      </w:r>
      <w:proofErr w:type="spellStart"/>
      <w:r w:rsidRPr="00D42316">
        <w:t>Therefore</w:t>
      </w:r>
      <w:proofErr w:type="spellEnd"/>
      <w:r w:rsidRPr="00D42316">
        <w:t xml:space="preserve">, it is </w:t>
      </w:r>
      <w:proofErr w:type="spellStart"/>
      <w:r w:rsidRPr="00D42316">
        <w:t>clear</w:t>
      </w:r>
      <w:proofErr w:type="spellEnd"/>
      <w:r w:rsidRPr="00D42316">
        <w:t xml:space="preserve"> </w:t>
      </w:r>
      <w:proofErr w:type="spellStart"/>
      <w:r w:rsidRPr="00D42316">
        <w:t>that</w:t>
      </w:r>
      <w:proofErr w:type="spellEnd"/>
      <w:r w:rsidRPr="00D42316">
        <w:t xml:space="preserve"> </w:t>
      </w:r>
      <w:proofErr w:type="spellStart"/>
      <w:r w:rsidRPr="00D42316">
        <w:t>there</w:t>
      </w:r>
      <w:proofErr w:type="spellEnd"/>
      <w:r w:rsidRPr="00D42316">
        <w:t xml:space="preserve"> is a </w:t>
      </w:r>
      <w:proofErr w:type="spellStart"/>
      <w:r w:rsidRPr="00D42316">
        <w:t>need</w:t>
      </w:r>
      <w:proofErr w:type="spellEnd"/>
      <w:r w:rsidRPr="00D42316">
        <w:t xml:space="preserve"> </w:t>
      </w:r>
      <w:proofErr w:type="spellStart"/>
      <w:r w:rsidRPr="00D42316">
        <w:t>for</w:t>
      </w:r>
      <w:proofErr w:type="spellEnd"/>
      <w:r w:rsidRPr="00D42316">
        <w:t xml:space="preserve"> </w:t>
      </w:r>
      <w:proofErr w:type="spellStart"/>
      <w:r w:rsidRPr="00D42316">
        <w:t>members</w:t>
      </w:r>
      <w:proofErr w:type="spellEnd"/>
      <w:r w:rsidRPr="00D42316">
        <w:t xml:space="preserve"> of </w:t>
      </w:r>
      <w:proofErr w:type="spellStart"/>
      <w:r w:rsidRPr="00D42316">
        <w:t>the</w:t>
      </w:r>
      <w:proofErr w:type="spellEnd"/>
      <w:r w:rsidRPr="00D42316">
        <w:t xml:space="preserve"> </w:t>
      </w:r>
      <w:proofErr w:type="spellStart"/>
      <w:r w:rsidRPr="00D42316">
        <w:t>judiciary</w:t>
      </w:r>
      <w:proofErr w:type="spellEnd"/>
      <w:r w:rsidRPr="00D42316">
        <w:t xml:space="preserve"> </w:t>
      </w:r>
      <w:proofErr w:type="spellStart"/>
      <w:r w:rsidRPr="00D42316">
        <w:t>and</w:t>
      </w:r>
      <w:proofErr w:type="spellEnd"/>
      <w:r w:rsidRPr="00D42316">
        <w:t xml:space="preserve"> </w:t>
      </w:r>
      <w:proofErr w:type="spellStart"/>
      <w:r w:rsidRPr="00D42316">
        <w:t>law</w:t>
      </w:r>
      <w:proofErr w:type="spellEnd"/>
      <w:r w:rsidRPr="00D42316">
        <w:t xml:space="preserve"> </w:t>
      </w:r>
      <w:proofErr w:type="spellStart"/>
      <w:r w:rsidRPr="00D42316">
        <w:t>enforcement</w:t>
      </w:r>
      <w:proofErr w:type="spellEnd"/>
      <w:r w:rsidRPr="00D42316">
        <w:t xml:space="preserve"> </w:t>
      </w:r>
      <w:proofErr w:type="spellStart"/>
      <w:r w:rsidRPr="00D42316">
        <w:t>who</w:t>
      </w:r>
      <w:proofErr w:type="spellEnd"/>
      <w:r w:rsidRPr="00D42316">
        <w:t xml:space="preserve"> </w:t>
      </w:r>
      <w:proofErr w:type="spellStart"/>
      <w:r w:rsidRPr="00D42316">
        <w:t>are</w:t>
      </w:r>
      <w:proofErr w:type="spellEnd"/>
      <w:r w:rsidRPr="00D42316">
        <w:t xml:space="preserve"> </w:t>
      </w:r>
      <w:proofErr w:type="spellStart"/>
      <w:r w:rsidRPr="00D42316">
        <w:t>specialized</w:t>
      </w:r>
      <w:proofErr w:type="spellEnd"/>
      <w:r w:rsidRPr="00D42316">
        <w:t xml:space="preserve"> in </w:t>
      </w:r>
      <w:proofErr w:type="spellStart"/>
      <w:r w:rsidRPr="00D42316">
        <w:t>the</w:t>
      </w:r>
      <w:proofErr w:type="spellEnd"/>
      <w:r w:rsidRPr="00D42316">
        <w:t xml:space="preserve"> </w:t>
      </w:r>
      <w:proofErr w:type="spellStart"/>
      <w:r w:rsidRPr="00D42316">
        <w:t>field</w:t>
      </w:r>
      <w:proofErr w:type="spellEnd"/>
      <w:r w:rsidRPr="00D42316">
        <w:t xml:space="preserve"> of </w:t>
      </w:r>
      <w:proofErr w:type="spellStart"/>
      <w:r w:rsidRPr="00D42316">
        <w:t>information</w:t>
      </w:r>
      <w:proofErr w:type="spellEnd"/>
      <w:r w:rsidRPr="00D42316">
        <w:t xml:space="preserve"> </w:t>
      </w:r>
      <w:proofErr w:type="spellStart"/>
      <w:r w:rsidRPr="00D42316">
        <w:t>technology</w:t>
      </w:r>
      <w:proofErr w:type="spellEnd"/>
      <w:r w:rsidRPr="00D42316">
        <w:t xml:space="preserve"> </w:t>
      </w:r>
      <w:proofErr w:type="spellStart"/>
      <w:r w:rsidRPr="00D42316">
        <w:t>law</w:t>
      </w:r>
      <w:proofErr w:type="spellEnd"/>
      <w:r w:rsidRPr="00D42316">
        <w:t>.</w:t>
      </w:r>
    </w:p>
    <w:p w14:paraId="7543FB0B" w14:textId="77777777" w:rsidR="00F84AD5" w:rsidRPr="00D42316" w:rsidRDefault="00F84AD5" w:rsidP="003B45CB">
      <w:pPr>
        <w:jc w:val="both"/>
      </w:pPr>
    </w:p>
    <w:p w14:paraId="4C02CE74" w14:textId="1CA5E0FA" w:rsidR="00C70E93" w:rsidRDefault="00AC051C" w:rsidP="003B45CB">
      <w:pPr>
        <w:jc w:val="both"/>
      </w:pPr>
      <w:proofErr w:type="spellStart"/>
      <w:r w:rsidRPr="00D42316">
        <w:rPr>
          <w:b/>
        </w:rPr>
        <w:t>Keywords</w:t>
      </w:r>
      <w:proofErr w:type="spellEnd"/>
      <w:r w:rsidRPr="00D42316">
        <w:rPr>
          <w:b/>
        </w:rPr>
        <w:t>:</w:t>
      </w:r>
      <w:r w:rsidRPr="00D42316">
        <w:t xml:space="preserve"> </w:t>
      </w:r>
      <w:proofErr w:type="spellStart"/>
      <w:r w:rsidRPr="00D42316">
        <w:t>Criminal</w:t>
      </w:r>
      <w:proofErr w:type="spellEnd"/>
      <w:r w:rsidRPr="00D42316">
        <w:t xml:space="preserve"> </w:t>
      </w:r>
      <w:proofErr w:type="spellStart"/>
      <w:r w:rsidRPr="00D42316">
        <w:t>Law</w:t>
      </w:r>
      <w:proofErr w:type="spellEnd"/>
      <w:r w:rsidRPr="00D42316">
        <w:t xml:space="preserve">, </w:t>
      </w:r>
      <w:proofErr w:type="spellStart"/>
      <w:r w:rsidRPr="00D42316">
        <w:t>Cybercrime</w:t>
      </w:r>
      <w:proofErr w:type="spellEnd"/>
      <w:r w:rsidRPr="00D42316">
        <w:t xml:space="preserve">, IT </w:t>
      </w:r>
      <w:proofErr w:type="spellStart"/>
      <w:r w:rsidRPr="00D42316">
        <w:t>Systems</w:t>
      </w:r>
      <w:proofErr w:type="spellEnd"/>
      <w:r w:rsidRPr="00D42316">
        <w:t xml:space="preserve">, </w:t>
      </w:r>
      <w:proofErr w:type="spellStart"/>
      <w:r w:rsidRPr="00D42316">
        <w:t>Council</w:t>
      </w:r>
      <w:proofErr w:type="spellEnd"/>
      <w:r w:rsidRPr="00D42316">
        <w:t xml:space="preserve"> of Europe </w:t>
      </w:r>
      <w:proofErr w:type="spellStart"/>
      <w:r w:rsidRPr="00D42316">
        <w:t>Convention</w:t>
      </w:r>
      <w:proofErr w:type="spellEnd"/>
      <w:r w:rsidRPr="00D42316">
        <w:t xml:space="preserve"> on </w:t>
      </w:r>
      <w:proofErr w:type="spellStart"/>
      <w:r w:rsidRPr="00D42316">
        <w:t>Cybercrime</w:t>
      </w:r>
      <w:proofErr w:type="spellEnd"/>
      <w:r w:rsidRPr="00D42316">
        <w:t xml:space="preserve">, </w:t>
      </w:r>
      <w:proofErr w:type="spellStart"/>
      <w:r w:rsidRPr="00D42316">
        <w:t>Prohibited</w:t>
      </w:r>
      <w:proofErr w:type="spellEnd"/>
      <w:r w:rsidRPr="00D42316">
        <w:t xml:space="preserve"> </w:t>
      </w:r>
      <w:proofErr w:type="spellStart"/>
      <w:r w:rsidRPr="00D42316">
        <w:t>Devices</w:t>
      </w:r>
      <w:proofErr w:type="spellEnd"/>
      <w:r w:rsidRPr="00D42316">
        <w:t xml:space="preserve"> </w:t>
      </w:r>
      <w:proofErr w:type="spellStart"/>
      <w:r w:rsidRPr="00D42316">
        <w:t>or</w:t>
      </w:r>
      <w:proofErr w:type="spellEnd"/>
      <w:r w:rsidRPr="00D42316">
        <w:t xml:space="preserve"> Programs.</w:t>
      </w:r>
    </w:p>
    <w:p w14:paraId="78681C7B" w14:textId="3C0A6B7F" w:rsidR="008F7191" w:rsidRPr="00D42316" w:rsidRDefault="00C70E93" w:rsidP="00C70E93">
      <w:pPr>
        <w:autoSpaceDE/>
        <w:autoSpaceDN/>
      </w:pPr>
      <w:r>
        <w:br w:type="page"/>
      </w:r>
    </w:p>
    <w:p w14:paraId="3EE41B29" w14:textId="76CABCDA" w:rsidR="00F84AD5" w:rsidRPr="00D42316" w:rsidRDefault="00AC051C" w:rsidP="004C7694">
      <w:pPr>
        <w:pStyle w:val="Tark"/>
      </w:pPr>
      <w:bookmarkStart w:id="73" w:name="_Toc192855184"/>
      <w:proofErr w:type="spellStart"/>
      <w:r w:rsidRPr="00D42316">
        <w:lastRenderedPageBreak/>
        <w:t>Montenegro's</w:t>
      </w:r>
      <w:proofErr w:type="spellEnd"/>
      <w:r w:rsidRPr="00D42316">
        <w:t xml:space="preserve"> </w:t>
      </w:r>
      <w:proofErr w:type="spellStart"/>
      <w:r w:rsidRPr="00D42316">
        <w:t>Statehood</w:t>
      </w:r>
      <w:proofErr w:type="spellEnd"/>
      <w:r w:rsidRPr="00D42316">
        <w:t xml:space="preserve"> </w:t>
      </w:r>
      <w:proofErr w:type="spellStart"/>
      <w:r w:rsidRPr="00D42316">
        <w:t>Process</w:t>
      </w:r>
      <w:proofErr w:type="spellEnd"/>
      <w:r w:rsidRPr="00D42316">
        <w:t xml:space="preserve"> 1830-1851</w:t>
      </w:r>
      <w:bookmarkEnd w:id="73"/>
    </w:p>
    <w:p w14:paraId="4FF2BEF9" w14:textId="59071827" w:rsidR="00F84AD5" w:rsidRPr="00D42316" w:rsidRDefault="00AC051C" w:rsidP="003B45CB">
      <w:pPr>
        <w:jc w:val="right"/>
      </w:pPr>
      <w:r w:rsidRPr="00D42316">
        <w:t>,</w:t>
      </w:r>
    </w:p>
    <w:p w14:paraId="2E953073" w14:textId="3D789565" w:rsidR="00F84AD5" w:rsidRPr="00D42316" w:rsidRDefault="00AC051C" w:rsidP="003B45CB">
      <w:pPr>
        <w:jc w:val="center"/>
      </w:pPr>
      <w:r w:rsidRPr="00D42316">
        <w:t xml:space="preserve">Ali </w:t>
      </w:r>
      <w:r w:rsidR="00C70E93" w:rsidRPr="00D42316">
        <w:t>Gökçen</w:t>
      </w:r>
      <w:r w:rsidRPr="00D42316">
        <w:t xml:space="preserve"> </w:t>
      </w:r>
      <w:r w:rsidR="00C70E93" w:rsidRPr="00D42316">
        <w:t>Özdem</w:t>
      </w:r>
    </w:p>
    <w:p w14:paraId="2C706506" w14:textId="6571B7D6" w:rsidR="00F84AD5" w:rsidRPr="00D42316" w:rsidRDefault="00AC051C" w:rsidP="003B45CB">
      <w:pPr>
        <w:jc w:val="center"/>
      </w:pPr>
      <w:proofErr w:type="spellStart"/>
      <w:r w:rsidRPr="00D42316">
        <w:t>Assistant</w:t>
      </w:r>
      <w:proofErr w:type="spellEnd"/>
      <w:r w:rsidRPr="00D42316">
        <w:t xml:space="preserve"> </w:t>
      </w:r>
      <w:proofErr w:type="spellStart"/>
      <w:r w:rsidRPr="00D42316">
        <w:t>Professor</w:t>
      </w:r>
      <w:proofErr w:type="spellEnd"/>
      <w:r w:rsidRPr="00D42316">
        <w:t xml:space="preserve">, </w:t>
      </w:r>
      <w:r w:rsidR="00C70E93" w:rsidRPr="00D42316">
        <w:t>Doğuş</w:t>
      </w:r>
      <w:r w:rsidRPr="00D42316">
        <w:t xml:space="preserve"> </w:t>
      </w:r>
      <w:proofErr w:type="spellStart"/>
      <w:r w:rsidRPr="00D42316">
        <w:t>University</w:t>
      </w:r>
      <w:proofErr w:type="spellEnd"/>
      <w:r w:rsidRPr="00D42316">
        <w:t xml:space="preserve">, </w:t>
      </w:r>
      <w:proofErr w:type="spellStart"/>
      <w:r w:rsidRPr="00D42316">
        <w:t>Turkish</w:t>
      </w:r>
      <w:proofErr w:type="spellEnd"/>
      <w:r w:rsidRPr="00D42316">
        <w:t xml:space="preserve"> Language </w:t>
      </w:r>
      <w:proofErr w:type="spellStart"/>
      <w:r w:rsidRPr="00D42316">
        <w:t>and</w:t>
      </w:r>
      <w:proofErr w:type="spellEnd"/>
      <w:r w:rsidRPr="00D42316">
        <w:t xml:space="preserve"> </w:t>
      </w:r>
      <w:proofErr w:type="spellStart"/>
      <w:r w:rsidRPr="00D42316">
        <w:t>Revolution</w:t>
      </w:r>
      <w:proofErr w:type="spellEnd"/>
      <w:r w:rsidRPr="00D42316">
        <w:t xml:space="preserve"> </w:t>
      </w:r>
      <w:proofErr w:type="spellStart"/>
      <w:r w:rsidRPr="00D42316">
        <w:t>History</w:t>
      </w:r>
      <w:proofErr w:type="spellEnd"/>
      <w:r w:rsidRPr="00D42316">
        <w:t xml:space="preserve"> aozdem@dogus.edu.tr</w:t>
      </w:r>
      <w:r w:rsidRPr="00D42316">
        <w:br/>
      </w:r>
      <w:proofErr w:type="spellStart"/>
      <w:r w:rsidRPr="00D42316">
        <w:t>Orcıd</w:t>
      </w:r>
      <w:proofErr w:type="spellEnd"/>
      <w:r w:rsidRPr="00D42316">
        <w:t xml:space="preserve"> ID: </w:t>
      </w:r>
      <w:r w:rsidR="00C70E93" w:rsidRPr="00C70E93">
        <w:t>0000-0002-7659-7128</w:t>
      </w:r>
    </w:p>
    <w:p w14:paraId="6EE06853" w14:textId="77777777" w:rsidR="00F84AD5" w:rsidRPr="00D42316" w:rsidRDefault="00F84AD5" w:rsidP="003B45CB">
      <w:pPr>
        <w:jc w:val="both"/>
      </w:pPr>
    </w:p>
    <w:p w14:paraId="320F2D7E" w14:textId="77777777" w:rsidR="00F84AD5" w:rsidRPr="00D42316" w:rsidRDefault="00AC051C" w:rsidP="003B45CB">
      <w:pPr>
        <w:jc w:val="center"/>
      </w:pPr>
      <w:r w:rsidRPr="00D42316">
        <w:t>Hakan Kaya</w:t>
      </w:r>
      <w:r w:rsidRPr="00D42316">
        <w:br/>
      </w:r>
      <w:proofErr w:type="spellStart"/>
      <w:r w:rsidRPr="00D42316">
        <w:t>Assistant</w:t>
      </w:r>
      <w:proofErr w:type="spellEnd"/>
      <w:r w:rsidRPr="00D42316">
        <w:t xml:space="preserve"> </w:t>
      </w:r>
      <w:proofErr w:type="spellStart"/>
      <w:r w:rsidRPr="00D42316">
        <w:t>Professor</w:t>
      </w:r>
      <w:proofErr w:type="spellEnd"/>
      <w:r w:rsidRPr="00D42316">
        <w:t xml:space="preserve">, </w:t>
      </w:r>
      <w:proofErr w:type="spellStart"/>
      <w:r w:rsidRPr="00D42316">
        <w:t>Dogus</w:t>
      </w:r>
      <w:proofErr w:type="spellEnd"/>
      <w:r w:rsidRPr="00D42316">
        <w:t xml:space="preserve"> </w:t>
      </w:r>
      <w:proofErr w:type="spellStart"/>
      <w:r w:rsidRPr="00D42316">
        <w:t>University</w:t>
      </w:r>
      <w:proofErr w:type="spellEnd"/>
      <w:r w:rsidRPr="00D42316">
        <w:t xml:space="preserve">, </w:t>
      </w:r>
      <w:proofErr w:type="spellStart"/>
      <w:r w:rsidRPr="00D42316">
        <w:t>Turkish</w:t>
      </w:r>
      <w:proofErr w:type="spellEnd"/>
      <w:r w:rsidRPr="00D42316">
        <w:t xml:space="preserve"> Language </w:t>
      </w:r>
      <w:proofErr w:type="spellStart"/>
      <w:r w:rsidRPr="00D42316">
        <w:t>and</w:t>
      </w:r>
      <w:proofErr w:type="spellEnd"/>
      <w:r w:rsidRPr="00D42316">
        <w:t xml:space="preserve"> </w:t>
      </w:r>
      <w:proofErr w:type="spellStart"/>
      <w:r w:rsidRPr="00D42316">
        <w:t>Revolution</w:t>
      </w:r>
      <w:proofErr w:type="spellEnd"/>
      <w:r w:rsidRPr="00D42316">
        <w:t xml:space="preserve"> </w:t>
      </w:r>
      <w:proofErr w:type="spellStart"/>
      <w:r w:rsidRPr="00D42316">
        <w:t>History</w:t>
      </w:r>
      <w:proofErr w:type="spellEnd"/>
      <w:r w:rsidRPr="00D42316">
        <w:br/>
        <w:t>hkaya@dogus.edu.tr</w:t>
      </w:r>
      <w:r w:rsidRPr="00D42316">
        <w:br/>
      </w:r>
      <w:proofErr w:type="spellStart"/>
      <w:r w:rsidRPr="00D42316">
        <w:t>Orcid</w:t>
      </w:r>
      <w:proofErr w:type="spellEnd"/>
      <w:r w:rsidRPr="00D42316">
        <w:t xml:space="preserve"> ID:0000-0002-2348-578X</w:t>
      </w:r>
    </w:p>
    <w:p w14:paraId="0B50FFA3" w14:textId="77777777" w:rsidR="00F84AD5" w:rsidRPr="00D42316" w:rsidRDefault="00F84AD5" w:rsidP="003B45CB">
      <w:pPr>
        <w:jc w:val="both"/>
      </w:pPr>
    </w:p>
    <w:p w14:paraId="69D4D3C1" w14:textId="18B1387F" w:rsidR="00F84AD5" w:rsidRPr="00D42316" w:rsidRDefault="00AC051C" w:rsidP="003B45CB">
      <w:pPr>
        <w:jc w:val="center"/>
        <w:rPr>
          <w:b/>
        </w:rPr>
      </w:pPr>
      <w:proofErr w:type="spellStart"/>
      <w:r w:rsidRPr="00D42316">
        <w:rPr>
          <w:b/>
        </w:rPr>
        <w:t>Abstract</w:t>
      </w:r>
      <w:proofErr w:type="spellEnd"/>
    </w:p>
    <w:p w14:paraId="5A5C7054" w14:textId="04BE2356" w:rsidR="00F84AD5" w:rsidRPr="00D42316" w:rsidRDefault="00AC051C" w:rsidP="003B45CB">
      <w:pPr>
        <w:jc w:val="both"/>
      </w:pPr>
      <w:r w:rsidRPr="00D42316">
        <w:t xml:space="preserve">Montenegro had </w:t>
      </w:r>
      <w:proofErr w:type="spellStart"/>
      <w:r w:rsidRPr="00D42316">
        <w:t>continuously</w:t>
      </w:r>
      <w:proofErr w:type="spellEnd"/>
      <w:r w:rsidRPr="00D42316">
        <w:t xml:space="preserve"> </w:t>
      </w:r>
      <w:proofErr w:type="spellStart"/>
      <w:r w:rsidRPr="00D42316">
        <w:t>struggled</w:t>
      </w:r>
      <w:proofErr w:type="spellEnd"/>
      <w:r w:rsidRPr="00D42316">
        <w:t xml:space="preserve"> </w:t>
      </w:r>
      <w:proofErr w:type="spellStart"/>
      <w:r w:rsidRPr="00D42316">
        <w:t>against</w:t>
      </w:r>
      <w:proofErr w:type="spellEnd"/>
      <w:r w:rsidRPr="00D42316">
        <w:t xml:space="preserve"> </w:t>
      </w:r>
      <w:proofErr w:type="spellStart"/>
      <w:r w:rsidRPr="00D42316">
        <w:t>Ottoman</w:t>
      </w:r>
      <w:proofErr w:type="spellEnd"/>
      <w:r w:rsidRPr="00D42316">
        <w:t xml:space="preserve"> </w:t>
      </w:r>
      <w:proofErr w:type="spellStart"/>
      <w:r w:rsidRPr="00D42316">
        <w:t>sovereignty</w:t>
      </w:r>
      <w:proofErr w:type="spellEnd"/>
      <w:r w:rsidRPr="00D42316">
        <w:t xml:space="preserve">, </w:t>
      </w:r>
      <w:proofErr w:type="spellStart"/>
      <w:r w:rsidRPr="00D42316">
        <w:t>from</w:t>
      </w:r>
      <w:proofErr w:type="spellEnd"/>
      <w:r w:rsidRPr="00D42316">
        <w:t xml:space="preserve"> </w:t>
      </w:r>
      <w:proofErr w:type="spellStart"/>
      <w:r w:rsidRPr="00D42316">
        <w:t>the</w:t>
      </w:r>
      <w:proofErr w:type="spellEnd"/>
      <w:r w:rsidRPr="00D42316">
        <w:t xml:space="preserve"> time it </w:t>
      </w:r>
      <w:proofErr w:type="spellStart"/>
      <w:r w:rsidRPr="00D42316">
        <w:t>came</w:t>
      </w:r>
      <w:proofErr w:type="spellEnd"/>
      <w:r w:rsidRPr="00D42316">
        <w:t xml:space="preserve"> </w:t>
      </w:r>
      <w:proofErr w:type="spellStart"/>
      <w:r w:rsidRPr="00D42316">
        <w:t>under</w:t>
      </w:r>
      <w:proofErr w:type="spellEnd"/>
      <w:r w:rsidRPr="00D42316">
        <w:t xml:space="preserve"> </w:t>
      </w:r>
      <w:proofErr w:type="spellStart"/>
      <w:r w:rsidRPr="00D42316">
        <w:t>Ottoman</w:t>
      </w:r>
      <w:proofErr w:type="spellEnd"/>
      <w:r w:rsidRPr="00D42316">
        <w:t xml:space="preserve"> </w:t>
      </w:r>
      <w:proofErr w:type="spellStart"/>
      <w:r w:rsidRPr="00D42316">
        <w:t>rule</w:t>
      </w:r>
      <w:proofErr w:type="spellEnd"/>
      <w:r w:rsidRPr="00D42316">
        <w:t xml:space="preserve"> in 1496 </w:t>
      </w:r>
      <w:proofErr w:type="spellStart"/>
      <w:r w:rsidRPr="00D42316">
        <w:t>until</w:t>
      </w:r>
      <w:proofErr w:type="spellEnd"/>
      <w:r w:rsidRPr="00D42316">
        <w:t xml:space="preserve"> it </w:t>
      </w:r>
      <w:proofErr w:type="spellStart"/>
      <w:r w:rsidRPr="00D42316">
        <w:t>officially</w:t>
      </w:r>
      <w:proofErr w:type="spellEnd"/>
      <w:r w:rsidRPr="00D42316">
        <w:t xml:space="preserve"> </w:t>
      </w:r>
      <w:proofErr w:type="spellStart"/>
      <w:r w:rsidRPr="00D42316">
        <w:t>gained</w:t>
      </w:r>
      <w:proofErr w:type="spellEnd"/>
      <w:r w:rsidRPr="00D42316">
        <w:t xml:space="preserve"> </w:t>
      </w:r>
      <w:proofErr w:type="spellStart"/>
      <w:r w:rsidRPr="00D42316">
        <w:t>independence</w:t>
      </w:r>
      <w:proofErr w:type="spellEnd"/>
      <w:r w:rsidRPr="00D42316">
        <w:t xml:space="preserve"> in 1878, </w:t>
      </w:r>
      <w:proofErr w:type="spellStart"/>
      <w:r w:rsidRPr="00D42316">
        <w:t>due</w:t>
      </w:r>
      <w:proofErr w:type="spellEnd"/>
      <w:r w:rsidRPr="00D42316">
        <w:t xml:space="preserve"> </w:t>
      </w:r>
      <w:proofErr w:type="spellStart"/>
      <w:r w:rsidRPr="00D42316">
        <w:t>to</w:t>
      </w:r>
      <w:proofErr w:type="spellEnd"/>
      <w:r w:rsidRPr="00D42316">
        <w:t xml:space="preserve"> </w:t>
      </w:r>
      <w:proofErr w:type="spellStart"/>
      <w:r w:rsidRPr="00D42316">
        <w:t>its</w:t>
      </w:r>
      <w:proofErr w:type="spellEnd"/>
      <w:r w:rsidRPr="00D42316">
        <w:t xml:space="preserve"> </w:t>
      </w:r>
      <w:proofErr w:type="spellStart"/>
      <w:r w:rsidRPr="00D42316">
        <w:t>primitive</w:t>
      </w:r>
      <w:proofErr w:type="spellEnd"/>
      <w:r w:rsidRPr="00D42316">
        <w:t xml:space="preserve"> </w:t>
      </w:r>
      <w:proofErr w:type="spellStart"/>
      <w:r w:rsidRPr="00D42316">
        <w:t>social</w:t>
      </w:r>
      <w:proofErr w:type="spellEnd"/>
      <w:r w:rsidRPr="00D42316">
        <w:t xml:space="preserve"> </w:t>
      </w:r>
      <w:proofErr w:type="spellStart"/>
      <w:r w:rsidRPr="00D42316">
        <w:t>structure</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w:t>
      </w:r>
      <w:proofErr w:type="spellStart"/>
      <w:r w:rsidRPr="00D42316">
        <w:t>harsh</w:t>
      </w:r>
      <w:proofErr w:type="spellEnd"/>
      <w:r w:rsidRPr="00D42316">
        <w:t xml:space="preserve"> </w:t>
      </w:r>
      <w:proofErr w:type="spellStart"/>
      <w:r w:rsidRPr="00D42316">
        <w:t>and</w:t>
      </w:r>
      <w:proofErr w:type="spellEnd"/>
      <w:r w:rsidRPr="00D42316">
        <w:t xml:space="preserve"> infertile </w:t>
      </w:r>
      <w:proofErr w:type="spellStart"/>
      <w:r w:rsidRPr="00D42316">
        <w:t>nature</w:t>
      </w:r>
      <w:proofErr w:type="spellEnd"/>
      <w:r w:rsidRPr="00D42316">
        <w:t xml:space="preserve"> of </w:t>
      </w:r>
      <w:proofErr w:type="spellStart"/>
      <w:r w:rsidRPr="00D42316">
        <w:t>its</w:t>
      </w:r>
      <w:proofErr w:type="spellEnd"/>
      <w:r w:rsidRPr="00D42316">
        <w:t xml:space="preserve"> </w:t>
      </w:r>
      <w:proofErr w:type="spellStart"/>
      <w:r w:rsidRPr="00D42316">
        <w:t>geography</w:t>
      </w:r>
      <w:proofErr w:type="spellEnd"/>
      <w:r w:rsidRPr="00D42316">
        <w:t xml:space="preserve">. </w:t>
      </w:r>
      <w:proofErr w:type="spellStart"/>
      <w:r w:rsidRPr="00D42316">
        <w:t>However</w:t>
      </w:r>
      <w:proofErr w:type="spellEnd"/>
      <w:r w:rsidRPr="00D42316">
        <w:t xml:space="preserve">, </w:t>
      </w:r>
      <w:proofErr w:type="spellStart"/>
      <w:r w:rsidRPr="00D42316">
        <w:t>the</w:t>
      </w:r>
      <w:proofErr w:type="spellEnd"/>
      <w:r w:rsidRPr="00D42316">
        <w:t xml:space="preserve"> </w:t>
      </w:r>
      <w:proofErr w:type="spellStart"/>
      <w:r w:rsidRPr="00D42316">
        <w:t>Ottoman</w:t>
      </w:r>
      <w:proofErr w:type="spellEnd"/>
      <w:r w:rsidRPr="00D42316">
        <w:t xml:space="preserve"> </w:t>
      </w:r>
      <w:proofErr w:type="spellStart"/>
      <w:r w:rsidRPr="00D42316">
        <w:t>administration</w:t>
      </w:r>
      <w:proofErr w:type="spellEnd"/>
      <w:r w:rsidRPr="00D42316">
        <w:t xml:space="preserve"> </w:t>
      </w:r>
      <w:proofErr w:type="spellStart"/>
      <w:r w:rsidRPr="00D42316">
        <w:t>did</w:t>
      </w:r>
      <w:proofErr w:type="spellEnd"/>
      <w:r w:rsidRPr="00D42316">
        <w:t xml:space="preserve"> not </w:t>
      </w:r>
      <w:proofErr w:type="spellStart"/>
      <w:r w:rsidRPr="00D42316">
        <w:t>intervene</w:t>
      </w:r>
      <w:proofErr w:type="spellEnd"/>
      <w:r w:rsidRPr="00D42316">
        <w:t xml:space="preserve"> in </w:t>
      </w:r>
      <w:proofErr w:type="spellStart"/>
      <w:r w:rsidRPr="00D42316">
        <w:t>the</w:t>
      </w:r>
      <w:proofErr w:type="spellEnd"/>
      <w:r w:rsidRPr="00D42316">
        <w:t xml:space="preserve"> </w:t>
      </w:r>
      <w:proofErr w:type="spellStart"/>
      <w:r w:rsidRPr="00D42316">
        <w:t>region</w:t>
      </w:r>
      <w:proofErr w:type="spellEnd"/>
      <w:r w:rsidRPr="00D42316">
        <w:t xml:space="preserve"> as </w:t>
      </w:r>
      <w:proofErr w:type="spellStart"/>
      <w:r w:rsidRPr="00D42316">
        <w:t>long</w:t>
      </w:r>
      <w:proofErr w:type="spellEnd"/>
      <w:r w:rsidRPr="00D42316">
        <w:t xml:space="preserve"> as it </w:t>
      </w:r>
      <w:proofErr w:type="spellStart"/>
      <w:r w:rsidRPr="00D42316">
        <w:t>paid</w:t>
      </w:r>
      <w:proofErr w:type="spellEnd"/>
      <w:r w:rsidRPr="00D42316">
        <w:t xml:space="preserve"> </w:t>
      </w:r>
      <w:proofErr w:type="spellStart"/>
      <w:r w:rsidRPr="00D42316">
        <w:t>its</w:t>
      </w:r>
      <w:proofErr w:type="spellEnd"/>
      <w:r w:rsidRPr="00D42316">
        <w:t xml:space="preserve"> </w:t>
      </w:r>
      <w:proofErr w:type="spellStart"/>
      <w:r w:rsidRPr="00D42316">
        <w:t>taxes</w:t>
      </w:r>
      <w:proofErr w:type="spellEnd"/>
      <w:r w:rsidRPr="00D42316">
        <w:t>.</w:t>
      </w:r>
      <w:r w:rsidR="003B45CB">
        <w:t xml:space="preserve"> A</w:t>
      </w:r>
      <w:r w:rsidRPr="00D42316">
        <w:t xml:space="preserve">s </w:t>
      </w:r>
      <w:proofErr w:type="spellStart"/>
      <w:r w:rsidRPr="00D42316">
        <w:t>the</w:t>
      </w:r>
      <w:proofErr w:type="spellEnd"/>
      <w:r w:rsidRPr="00D42316">
        <w:t xml:space="preserve"> </w:t>
      </w:r>
      <w:proofErr w:type="spellStart"/>
      <w:r w:rsidRPr="00D42316">
        <w:t>Ottoman</w:t>
      </w:r>
      <w:proofErr w:type="spellEnd"/>
      <w:r w:rsidRPr="00D42316">
        <w:t xml:space="preserve"> </w:t>
      </w:r>
      <w:proofErr w:type="spellStart"/>
      <w:r w:rsidRPr="00D42316">
        <w:t>Empire</w:t>
      </w:r>
      <w:proofErr w:type="spellEnd"/>
      <w:r w:rsidRPr="00D42316">
        <w:t xml:space="preserve"> </w:t>
      </w:r>
      <w:proofErr w:type="spellStart"/>
      <w:r w:rsidRPr="00D42316">
        <w:t>weakened</w:t>
      </w:r>
      <w:proofErr w:type="spellEnd"/>
      <w:r w:rsidRPr="00D42316">
        <w:t xml:space="preserve">, </w:t>
      </w:r>
      <w:proofErr w:type="spellStart"/>
      <w:r w:rsidRPr="00D42316">
        <w:t>the</w:t>
      </w:r>
      <w:proofErr w:type="spellEnd"/>
      <w:r w:rsidRPr="00D42316">
        <w:t xml:space="preserve"> </w:t>
      </w:r>
      <w:proofErr w:type="spellStart"/>
      <w:r w:rsidRPr="00D42316">
        <w:t>tribes</w:t>
      </w:r>
      <w:proofErr w:type="spellEnd"/>
      <w:r w:rsidRPr="00D42316">
        <w:t xml:space="preserve"> in </w:t>
      </w:r>
      <w:proofErr w:type="spellStart"/>
      <w:r w:rsidRPr="00D42316">
        <w:t>the</w:t>
      </w:r>
      <w:proofErr w:type="spellEnd"/>
      <w:r w:rsidRPr="00D42316">
        <w:t xml:space="preserve"> </w:t>
      </w:r>
      <w:proofErr w:type="spellStart"/>
      <w:r w:rsidRPr="00D42316">
        <w:t>region</w:t>
      </w:r>
      <w:proofErr w:type="spellEnd"/>
      <w:r w:rsidRPr="00D42316">
        <w:t xml:space="preserve"> </w:t>
      </w:r>
      <w:proofErr w:type="spellStart"/>
      <w:r w:rsidRPr="00D42316">
        <w:t>rebelled</w:t>
      </w:r>
      <w:proofErr w:type="spellEnd"/>
      <w:r w:rsidRPr="00D42316">
        <w:t xml:space="preserve"> </w:t>
      </w:r>
      <w:proofErr w:type="spellStart"/>
      <w:r w:rsidRPr="00D42316">
        <w:t>against</w:t>
      </w:r>
      <w:proofErr w:type="spellEnd"/>
      <w:r w:rsidRPr="00D42316">
        <w:t xml:space="preserve"> </w:t>
      </w:r>
      <w:proofErr w:type="spellStart"/>
      <w:r w:rsidRPr="00D42316">
        <w:t>the</w:t>
      </w:r>
      <w:proofErr w:type="spellEnd"/>
      <w:r w:rsidRPr="00D42316">
        <w:t xml:space="preserve"> </w:t>
      </w:r>
      <w:proofErr w:type="spellStart"/>
      <w:r w:rsidRPr="00D42316">
        <w:t>government</w:t>
      </w:r>
      <w:proofErr w:type="spellEnd"/>
      <w:r w:rsidRPr="00D42316">
        <w:t xml:space="preserve">, </w:t>
      </w:r>
      <w:proofErr w:type="spellStart"/>
      <w:r w:rsidRPr="00D42316">
        <w:t>and</w:t>
      </w:r>
      <w:proofErr w:type="spellEnd"/>
      <w:r w:rsidRPr="00D42316">
        <w:t xml:space="preserve"> on </w:t>
      </w:r>
      <w:proofErr w:type="spellStart"/>
      <w:r w:rsidRPr="00D42316">
        <w:t>the</w:t>
      </w:r>
      <w:proofErr w:type="spellEnd"/>
      <w:r w:rsidRPr="00D42316">
        <w:t xml:space="preserve"> </w:t>
      </w:r>
      <w:proofErr w:type="spellStart"/>
      <w:r w:rsidRPr="00D42316">
        <w:t>other</w:t>
      </w:r>
      <w:proofErr w:type="spellEnd"/>
      <w:r w:rsidRPr="00D42316">
        <w:t xml:space="preserve"> </w:t>
      </w:r>
      <w:proofErr w:type="spellStart"/>
      <w:r w:rsidRPr="00D42316">
        <w:t>hand</w:t>
      </w:r>
      <w:proofErr w:type="spellEnd"/>
      <w:r w:rsidRPr="00D42316">
        <w:t xml:space="preserve">, they </w:t>
      </w:r>
      <w:proofErr w:type="spellStart"/>
      <w:r w:rsidRPr="00D42316">
        <w:t>built</w:t>
      </w:r>
      <w:proofErr w:type="spellEnd"/>
      <w:r w:rsidRPr="00D42316">
        <w:t xml:space="preserve"> a </w:t>
      </w:r>
      <w:proofErr w:type="spellStart"/>
      <w:r w:rsidRPr="00D42316">
        <w:t>nation</w:t>
      </w:r>
      <w:proofErr w:type="spellEnd"/>
      <w:r w:rsidRPr="00D42316">
        <w:t xml:space="preserve"> </w:t>
      </w:r>
      <w:proofErr w:type="spellStart"/>
      <w:r w:rsidRPr="00D42316">
        <w:t>state</w:t>
      </w:r>
      <w:proofErr w:type="spellEnd"/>
      <w:r w:rsidRPr="00D42316">
        <w:t xml:space="preserve"> </w:t>
      </w:r>
      <w:proofErr w:type="spellStart"/>
      <w:r w:rsidRPr="00D42316">
        <w:t>with</w:t>
      </w:r>
      <w:proofErr w:type="spellEnd"/>
      <w:r w:rsidRPr="00D42316">
        <w:t xml:space="preserve"> a </w:t>
      </w:r>
      <w:proofErr w:type="spellStart"/>
      <w:r w:rsidRPr="00D42316">
        <w:t>national</w:t>
      </w:r>
      <w:proofErr w:type="spellEnd"/>
      <w:r w:rsidRPr="00D42316">
        <w:t xml:space="preserve"> </w:t>
      </w:r>
      <w:proofErr w:type="spellStart"/>
      <w:r w:rsidRPr="00D42316">
        <w:t>identity</w:t>
      </w:r>
      <w:proofErr w:type="spellEnd"/>
      <w:r w:rsidRPr="00D42316">
        <w:t xml:space="preserve"> </w:t>
      </w:r>
      <w:proofErr w:type="spellStart"/>
      <w:r w:rsidRPr="00D42316">
        <w:t>from</w:t>
      </w:r>
      <w:proofErr w:type="spellEnd"/>
      <w:r w:rsidRPr="00D42316">
        <w:t xml:space="preserve"> </w:t>
      </w:r>
      <w:proofErr w:type="spellStart"/>
      <w:r w:rsidRPr="00D42316">
        <w:t>the</w:t>
      </w:r>
      <w:proofErr w:type="spellEnd"/>
      <w:r w:rsidRPr="00D42316">
        <w:t xml:space="preserve"> </w:t>
      </w:r>
      <w:proofErr w:type="spellStart"/>
      <w:r w:rsidRPr="00D42316">
        <w:t>tribal</w:t>
      </w:r>
      <w:proofErr w:type="spellEnd"/>
      <w:r w:rsidRPr="00D42316">
        <w:t xml:space="preserve"> </w:t>
      </w:r>
      <w:proofErr w:type="spellStart"/>
      <w:r w:rsidRPr="00D42316">
        <w:t>society</w:t>
      </w:r>
      <w:proofErr w:type="spellEnd"/>
      <w:r w:rsidRPr="00D42316">
        <w:t xml:space="preserve"> </w:t>
      </w:r>
      <w:proofErr w:type="spellStart"/>
      <w:r w:rsidRPr="00D42316">
        <w:t>structure</w:t>
      </w:r>
      <w:proofErr w:type="spellEnd"/>
      <w:r w:rsidRPr="00D42316">
        <w:t xml:space="preserve">. </w:t>
      </w:r>
      <w:proofErr w:type="spellStart"/>
      <w:r w:rsidRPr="00D42316">
        <w:t>One</w:t>
      </w:r>
      <w:proofErr w:type="spellEnd"/>
      <w:r w:rsidRPr="00D42316">
        <w:t xml:space="preserve"> of </w:t>
      </w:r>
      <w:proofErr w:type="spellStart"/>
      <w:r w:rsidRPr="00D42316">
        <w:t>the</w:t>
      </w:r>
      <w:proofErr w:type="spellEnd"/>
      <w:r w:rsidRPr="00D42316">
        <w:t xml:space="preserve"> </w:t>
      </w:r>
      <w:proofErr w:type="spellStart"/>
      <w:r w:rsidRPr="00D42316">
        <w:t>most</w:t>
      </w:r>
      <w:proofErr w:type="spellEnd"/>
      <w:r w:rsidRPr="00D42316">
        <w:t xml:space="preserve"> </w:t>
      </w:r>
      <w:proofErr w:type="spellStart"/>
      <w:r w:rsidRPr="00D42316">
        <w:t>important</w:t>
      </w:r>
      <w:proofErr w:type="spellEnd"/>
      <w:r w:rsidRPr="00D42316">
        <w:t xml:space="preserve"> </w:t>
      </w:r>
      <w:proofErr w:type="spellStart"/>
      <w:r w:rsidRPr="00D42316">
        <w:t>characteristics</w:t>
      </w:r>
      <w:proofErr w:type="spellEnd"/>
      <w:r w:rsidRPr="00D42316">
        <w:t xml:space="preserve"> of </w:t>
      </w:r>
      <w:proofErr w:type="spellStart"/>
      <w:r w:rsidRPr="00D42316">
        <w:t>this</w:t>
      </w:r>
      <w:proofErr w:type="spellEnd"/>
      <w:r w:rsidRPr="00D42316">
        <w:t xml:space="preserve"> </w:t>
      </w:r>
      <w:proofErr w:type="spellStart"/>
      <w:r w:rsidRPr="00D42316">
        <w:t>period</w:t>
      </w:r>
      <w:proofErr w:type="spellEnd"/>
      <w:r w:rsidRPr="00D42316">
        <w:t xml:space="preserve"> is </w:t>
      </w:r>
      <w:proofErr w:type="spellStart"/>
      <w:r w:rsidRPr="00D42316">
        <w:t>that</w:t>
      </w:r>
      <w:proofErr w:type="spellEnd"/>
      <w:r w:rsidRPr="00D42316">
        <w:t xml:space="preserve"> </w:t>
      </w:r>
      <w:proofErr w:type="spellStart"/>
      <w:r w:rsidRPr="00D42316">
        <w:t>the</w:t>
      </w:r>
      <w:proofErr w:type="spellEnd"/>
      <w:r w:rsidRPr="00D42316">
        <w:t xml:space="preserve"> </w:t>
      </w:r>
      <w:proofErr w:type="spellStart"/>
      <w:r w:rsidRPr="00D42316">
        <w:t>Ottoman</w:t>
      </w:r>
      <w:proofErr w:type="spellEnd"/>
      <w:r w:rsidRPr="00D42316">
        <w:t xml:space="preserve"> </w:t>
      </w:r>
      <w:proofErr w:type="spellStart"/>
      <w:r w:rsidRPr="00D42316">
        <w:t>Empire</w:t>
      </w:r>
      <w:proofErr w:type="spellEnd"/>
      <w:r w:rsidRPr="00D42316">
        <w:t xml:space="preserve"> </w:t>
      </w:r>
      <w:proofErr w:type="spellStart"/>
      <w:r w:rsidRPr="00D42316">
        <w:t>could</w:t>
      </w:r>
      <w:proofErr w:type="spellEnd"/>
      <w:r w:rsidRPr="00D42316">
        <w:t xml:space="preserve"> not </w:t>
      </w:r>
      <w:proofErr w:type="spellStart"/>
      <w:r w:rsidRPr="00D42316">
        <w:t>find</w:t>
      </w:r>
      <w:proofErr w:type="spellEnd"/>
      <w:r w:rsidRPr="00D42316">
        <w:t xml:space="preserve"> Montenegro on </w:t>
      </w:r>
      <w:proofErr w:type="spellStart"/>
      <w:r w:rsidRPr="00D42316">
        <w:t>its</w:t>
      </w:r>
      <w:proofErr w:type="spellEnd"/>
      <w:r w:rsidRPr="00D42316">
        <w:t xml:space="preserve"> </w:t>
      </w:r>
      <w:proofErr w:type="spellStart"/>
      <w:r w:rsidRPr="00D42316">
        <w:t>own</w:t>
      </w:r>
      <w:proofErr w:type="spellEnd"/>
      <w:r w:rsidRPr="00D42316">
        <w:t xml:space="preserve">. </w:t>
      </w:r>
      <w:proofErr w:type="spellStart"/>
      <w:r w:rsidRPr="00D42316">
        <w:t>In</w:t>
      </w:r>
      <w:proofErr w:type="spellEnd"/>
      <w:r w:rsidRPr="00D42316">
        <w:t xml:space="preserve"> </w:t>
      </w:r>
      <w:proofErr w:type="spellStart"/>
      <w:r w:rsidRPr="00D42316">
        <w:t>addition</w:t>
      </w:r>
      <w:proofErr w:type="spellEnd"/>
      <w:r w:rsidRPr="00D42316">
        <w:t xml:space="preserve"> </w:t>
      </w:r>
      <w:proofErr w:type="spellStart"/>
      <w:r w:rsidRPr="00D42316">
        <w:t>to</w:t>
      </w:r>
      <w:proofErr w:type="spellEnd"/>
      <w:r w:rsidRPr="00D42316">
        <w:t xml:space="preserve"> </w:t>
      </w:r>
      <w:proofErr w:type="spellStart"/>
      <w:r w:rsidRPr="00D42316">
        <w:t>Russia</w:t>
      </w:r>
      <w:proofErr w:type="spellEnd"/>
      <w:r w:rsidRPr="00D42316">
        <w:t xml:space="preserve">, </w:t>
      </w:r>
      <w:proofErr w:type="spellStart"/>
      <w:r w:rsidRPr="00D42316">
        <w:t>which</w:t>
      </w:r>
      <w:proofErr w:type="spellEnd"/>
      <w:r w:rsidRPr="00D42316">
        <w:t xml:space="preserve"> </w:t>
      </w:r>
      <w:proofErr w:type="spellStart"/>
      <w:r w:rsidRPr="00D42316">
        <w:t>frequently</w:t>
      </w:r>
      <w:proofErr w:type="spellEnd"/>
      <w:r w:rsidRPr="00D42316">
        <w:t xml:space="preserve"> </w:t>
      </w:r>
      <w:proofErr w:type="spellStart"/>
      <w:r w:rsidRPr="00D42316">
        <w:t>used</w:t>
      </w:r>
      <w:proofErr w:type="spellEnd"/>
      <w:r w:rsidRPr="00D42316">
        <w:t xml:space="preserve"> Montenegro </w:t>
      </w:r>
      <w:proofErr w:type="spellStart"/>
      <w:r w:rsidRPr="00D42316">
        <w:t>for</w:t>
      </w:r>
      <w:proofErr w:type="spellEnd"/>
      <w:r w:rsidRPr="00D42316">
        <w:t xml:space="preserve"> </w:t>
      </w:r>
      <w:proofErr w:type="spellStart"/>
      <w:r w:rsidRPr="00D42316">
        <w:t>its</w:t>
      </w:r>
      <w:proofErr w:type="spellEnd"/>
      <w:r w:rsidRPr="00D42316">
        <w:t xml:space="preserve"> </w:t>
      </w:r>
      <w:proofErr w:type="spellStart"/>
      <w:r w:rsidRPr="00D42316">
        <w:t>own</w:t>
      </w:r>
      <w:proofErr w:type="spellEnd"/>
      <w:r w:rsidRPr="00D42316">
        <w:t xml:space="preserve"> </w:t>
      </w:r>
      <w:proofErr w:type="spellStart"/>
      <w:r w:rsidRPr="00D42316">
        <w:t>interests</w:t>
      </w:r>
      <w:proofErr w:type="spellEnd"/>
      <w:r w:rsidRPr="00D42316">
        <w:t xml:space="preserve">, </w:t>
      </w:r>
      <w:proofErr w:type="spellStart"/>
      <w:r w:rsidRPr="00D42316">
        <w:t>England</w:t>
      </w:r>
      <w:proofErr w:type="spellEnd"/>
      <w:r w:rsidRPr="00D42316">
        <w:t xml:space="preserve">, France </w:t>
      </w:r>
      <w:proofErr w:type="spellStart"/>
      <w:r w:rsidRPr="00D42316">
        <w:t>and</w:t>
      </w:r>
      <w:proofErr w:type="spellEnd"/>
      <w:r w:rsidRPr="00D42316">
        <w:t xml:space="preserve"> </w:t>
      </w:r>
      <w:proofErr w:type="spellStart"/>
      <w:r w:rsidRPr="00D42316">
        <w:t>Austria-Hungary</w:t>
      </w:r>
      <w:proofErr w:type="spellEnd"/>
      <w:r w:rsidRPr="00D42316">
        <w:t xml:space="preserve"> </w:t>
      </w:r>
      <w:proofErr w:type="spellStart"/>
      <w:r w:rsidRPr="00D42316">
        <w:t>exploited</w:t>
      </w:r>
      <w:proofErr w:type="spellEnd"/>
      <w:r w:rsidRPr="00D42316">
        <w:t xml:space="preserve"> Montenegro </w:t>
      </w:r>
      <w:proofErr w:type="spellStart"/>
      <w:r w:rsidRPr="00D42316">
        <w:t>for</w:t>
      </w:r>
      <w:proofErr w:type="spellEnd"/>
      <w:r w:rsidRPr="00D42316">
        <w:t xml:space="preserve"> </w:t>
      </w:r>
      <w:proofErr w:type="spellStart"/>
      <w:r w:rsidRPr="00D42316">
        <w:t>their</w:t>
      </w:r>
      <w:proofErr w:type="spellEnd"/>
      <w:r w:rsidRPr="00D42316">
        <w:t xml:space="preserve"> </w:t>
      </w:r>
      <w:proofErr w:type="spellStart"/>
      <w:r w:rsidRPr="00D42316">
        <w:t>interests</w:t>
      </w:r>
      <w:proofErr w:type="spellEnd"/>
      <w:r w:rsidRPr="00D42316">
        <w:t xml:space="preserve"> in </w:t>
      </w:r>
      <w:proofErr w:type="spellStart"/>
      <w:r w:rsidRPr="00D42316">
        <w:t>the</w:t>
      </w:r>
      <w:proofErr w:type="spellEnd"/>
      <w:r w:rsidRPr="00D42316">
        <w:t xml:space="preserve"> </w:t>
      </w:r>
      <w:proofErr w:type="spellStart"/>
      <w:r w:rsidRPr="00D42316">
        <w:t>region</w:t>
      </w:r>
      <w:proofErr w:type="spellEnd"/>
      <w:r w:rsidRPr="00D42316">
        <w:t xml:space="preserve"> </w:t>
      </w:r>
      <w:proofErr w:type="spellStart"/>
      <w:r w:rsidRPr="00D42316">
        <w:t>and</w:t>
      </w:r>
      <w:proofErr w:type="spellEnd"/>
      <w:r w:rsidRPr="00D42316">
        <w:t xml:space="preserve"> </w:t>
      </w:r>
      <w:proofErr w:type="spellStart"/>
      <w:r w:rsidRPr="00D42316">
        <w:t>intervened</w:t>
      </w:r>
      <w:proofErr w:type="spellEnd"/>
      <w:r w:rsidRPr="00D42316">
        <w:t xml:space="preserve"> in </w:t>
      </w:r>
      <w:proofErr w:type="spellStart"/>
      <w:r w:rsidRPr="00D42316">
        <w:t>issues</w:t>
      </w:r>
      <w:proofErr w:type="spellEnd"/>
      <w:r w:rsidRPr="00D42316">
        <w:t xml:space="preserve"> </w:t>
      </w:r>
      <w:proofErr w:type="spellStart"/>
      <w:r w:rsidRPr="00D42316">
        <w:t>related</w:t>
      </w:r>
      <w:proofErr w:type="spellEnd"/>
      <w:r w:rsidRPr="00D42316">
        <w:t xml:space="preserve"> </w:t>
      </w:r>
      <w:proofErr w:type="spellStart"/>
      <w:r w:rsidRPr="00D42316">
        <w:t>to</w:t>
      </w:r>
      <w:proofErr w:type="spellEnd"/>
      <w:r w:rsidRPr="00D42316">
        <w:t xml:space="preserve"> Montenegro. </w:t>
      </w:r>
      <w:proofErr w:type="spellStart"/>
      <w:r w:rsidRPr="00D42316">
        <w:t>Therefore</w:t>
      </w:r>
      <w:proofErr w:type="spellEnd"/>
      <w:r w:rsidRPr="00D42316">
        <w:t xml:space="preserve">, </w:t>
      </w:r>
      <w:proofErr w:type="spellStart"/>
      <w:r w:rsidRPr="00D42316">
        <w:t>the</w:t>
      </w:r>
      <w:proofErr w:type="spellEnd"/>
      <w:r w:rsidRPr="00D42316">
        <w:t xml:space="preserve"> </w:t>
      </w:r>
      <w:proofErr w:type="spellStart"/>
      <w:r w:rsidRPr="00D42316">
        <w:t>smallest</w:t>
      </w:r>
      <w:proofErr w:type="spellEnd"/>
      <w:r w:rsidRPr="00D42316">
        <w:t xml:space="preserve"> problem </w:t>
      </w:r>
      <w:proofErr w:type="spellStart"/>
      <w:r w:rsidRPr="00D42316">
        <w:t>that</w:t>
      </w:r>
      <w:proofErr w:type="spellEnd"/>
      <w:r w:rsidRPr="00D42316">
        <w:t xml:space="preserve"> </w:t>
      </w:r>
      <w:proofErr w:type="spellStart"/>
      <w:r w:rsidRPr="00D42316">
        <w:t>arose</w:t>
      </w:r>
      <w:proofErr w:type="spellEnd"/>
      <w:r w:rsidRPr="00D42316">
        <w:t xml:space="preserve"> </w:t>
      </w:r>
      <w:proofErr w:type="spellStart"/>
      <w:r w:rsidRPr="00D42316">
        <w:t>became</w:t>
      </w:r>
      <w:proofErr w:type="spellEnd"/>
      <w:r w:rsidRPr="00D42316">
        <w:t xml:space="preserve"> an </w:t>
      </w:r>
      <w:proofErr w:type="spellStart"/>
      <w:r w:rsidRPr="00D42316">
        <w:t>issue</w:t>
      </w:r>
      <w:proofErr w:type="spellEnd"/>
      <w:r w:rsidRPr="00D42316">
        <w:t xml:space="preserve"> </w:t>
      </w:r>
      <w:proofErr w:type="spellStart"/>
      <w:r w:rsidRPr="00D42316">
        <w:t>affecting</w:t>
      </w:r>
      <w:proofErr w:type="spellEnd"/>
      <w:r w:rsidRPr="00D42316">
        <w:t xml:space="preserve"> </w:t>
      </w:r>
      <w:proofErr w:type="spellStart"/>
      <w:r w:rsidRPr="00D42316">
        <w:t>European</w:t>
      </w:r>
      <w:proofErr w:type="spellEnd"/>
      <w:r w:rsidRPr="00D42316">
        <w:t xml:space="preserve"> </w:t>
      </w:r>
      <w:proofErr w:type="spellStart"/>
      <w:r w:rsidRPr="00D42316">
        <w:t>peace</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intervention</w:t>
      </w:r>
      <w:proofErr w:type="spellEnd"/>
      <w:r w:rsidRPr="00D42316">
        <w:t xml:space="preserve"> of </w:t>
      </w:r>
      <w:proofErr w:type="spellStart"/>
      <w:r w:rsidRPr="00D42316">
        <w:t>other</w:t>
      </w:r>
      <w:proofErr w:type="spellEnd"/>
      <w:r w:rsidRPr="00D42316">
        <w:t xml:space="preserve"> </w:t>
      </w:r>
      <w:proofErr w:type="spellStart"/>
      <w:r w:rsidRPr="00D42316">
        <w:t>states</w:t>
      </w:r>
      <w:proofErr w:type="spellEnd"/>
      <w:r w:rsidR="003B45CB">
        <w:t xml:space="preserve">. </w:t>
      </w:r>
      <w:proofErr w:type="spellStart"/>
      <w:r w:rsidRPr="00D42316">
        <w:t>Montenegro's</w:t>
      </w:r>
      <w:proofErr w:type="spellEnd"/>
      <w:r w:rsidRPr="00D42316">
        <w:t xml:space="preserve"> </w:t>
      </w:r>
      <w:proofErr w:type="spellStart"/>
      <w:r w:rsidRPr="00D42316">
        <w:t>Statehood</w:t>
      </w:r>
      <w:proofErr w:type="spellEnd"/>
      <w:r w:rsidRPr="00D42316">
        <w:t xml:space="preserve"> </w:t>
      </w:r>
      <w:proofErr w:type="spellStart"/>
      <w:r w:rsidRPr="00D42316">
        <w:t>Process</w:t>
      </w:r>
      <w:proofErr w:type="spellEnd"/>
      <w:r w:rsidRPr="00D42316">
        <w:t xml:space="preserve"> </w:t>
      </w:r>
      <w:proofErr w:type="spellStart"/>
      <w:r w:rsidRPr="00D42316">
        <w:t>period</w:t>
      </w:r>
      <w:proofErr w:type="spellEnd"/>
      <w:r w:rsidRPr="00D42316">
        <w:t xml:space="preserve"> </w:t>
      </w:r>
      <w:proofErr w:type="spellStart"/>
      <w:r w:rsidRPr="00D42316">
        <w:t>between</w:t>
      </w:r>
      <w:proofErr w:type="spellEnd"/>
      <w:r w:rsidRPr="00D42316">
        <w:t xml:space="preserve"> 1830-1851 </w:t>
      </w:r>
      <w:proofErr w:type="spellStart"/>
      <w:r w:rsidRPr="00D42316">
        <w:t>covers</w:t>
      </w:r>
      <w:proofErr w:type="spellEnd"/>
      <w:r w:rsidRPr="00D42316">
        <w:t xml:space="preserve"> </w:t>
      </w:r>
      <w:proofErr w:type="spellStart"/>
      <w:r w:rsidRPr="00D42316">
        <w:t>the</w:t>
      </w:r>
      <w:proofErr w:type="spellEnd"/>
      <w:r w:rsidRPr="00D42316">
        <w:t xml:space="preserve"> </w:t>
      </w:r>
      <w:proofErr w:type="spellStart"/>
      <w:r w:rsidRPr="00D42316">
        <w:t>Vladika</w:t>
      </w:r>
      <w:proofErr w:type="spellEnd"/>
      <w:r w:rsidRPr="00D42316">
        <w:t xml:space="preserve"> Peter II </w:t>
      </w:r>
      <w:proofErr w:type="spellStart"/>
      <w:r w:rsidRPr="00D42316">
        <w:t>Njegos</w:t>
      </w:r>
      <w:proofErr w:type="spellEnd"/>
      <w:r w:rsidRPr="00D42316">
        <w:t xml:space="preserve"> (1830-1851) </w:t>
      </w:r>
      <w:proofErr w:type="spellStart"/>
      <w:r w:rsidRPr="00D42316">
        <w:t>reign</w:t>
      </w:r>
      <w:proofErr w:type="spellEnd"/>
      <w:r w:rsidRPr="00D42316">
        <w:t xml:space="preserve">. </w:t>
      </w:r>
      <w:proofErr w:type="spellStart"/>
      <w:r w:rsidRPr="00D42316">
        <w:t>The</w:t>
      </w:r>
      <w:proofErr w:type="spellEnd"/>
      <w:r w:rsidRPr="00D42316">
        <w:t xml:space="preserve"> </w:t>
      </w:r>
      <w:proofErr w:type="spellStart"/>
      <w:r w:rsidRPr="00D42316">
        <w:t>period</w:t>
      </w:r>
      <w:proofErr w:type="spellEnd"/>
      <w:r w:rsidRPr="00D42316">
        <w:t xml:space="preserve"> of </w:t>
      </w:r>
      <w:proofErr w:type="spellStart"/>
      <w:r w:rsidRPr="00D42316">
        <w:t>Vladika</w:t>
      </w:r>
      <w:proofErr w:type="spellEnd"/>
      <w:r w:rsidRPr="00D42316">
        <w:t xml:space="preserve"> Peter II </w:t>
      </w:r>
      <w:proofErr w:type="spellStart"/>
      <w:r w:rsidRPr="00D42316">
        <w:t>Njegos</w:t>
      </w:r>
      <w:proofErr w:type="spellEnd"/>
      <w:r w:rsidRPr="00D42316">
        <w:t xml:space="preserve"> (1830-1851) </w:t>
      </w:r>
      <w:proofErr w:type="spellStart"/>
      <w:r w:rsidRPr="00D42316">
        <w:t>was</w:t>
      </w:r>
      <w:proofErr w:type="spellEnd"/>
      <w:r w:rsidRPr="00D42316">
        <w:t xml:space="preserve"> </w:t>
      </w:r>
      <w:proofErr w:type="spellStart"/>
      <w:r w:rsidRPr="00D42316">
        <w:t>the</w:t>
      </w:r>
      <w:proofErr w:type="spellEnd"/>
      <w:r w:rsidRPr="00D42316">
        <w:t xml:space="preserve"> </w:t>
      </w:r>
      <w:proofErr w:type="spellStart"/>
      <w:r w:rsidRPr="00D42316">
        <w:t>most</w:t>
      </w:r>
      <w:proofErr w:type="spellEnd"/>
      <w:r w:rsidRPr="00D42316">
        <w:t xml:space="preserve"> </w:t>
      </w:r>
      <w:proofErr w:type="spellStart"/>
      <w:r w:rsidRPr="00D42316">
        <w:t>intense</w:t>
      </w:r>
      <w:proofErr w:type="spellEnd"/>
      <w:r w:rsidRPr="00D42316">
        <w:t xml:space="preserve"> </w:t>
      </w:r>
      <w:proofErr w:type="spellStart"/>
      <w:r w:rsidRPr="00D42316">
        <w:t>period</w:t>
      </w:r>
      <w:proofErr w:type="spellEnd"/>
      <w:r w:rsidRPr="00D42316">
        <w:t xml:space="preserve"> of </w:t>
      </w:r>
      <w:proofErr w:type="spellStart"/>
      <w:r w:rsidRPr="00D42316">
        <w:t>creating</w:t>
      </w:r>
      <w:proofErr w:type="spellEnd"/>
      <w:r w:rsidRPr="00D42316">
        <w:t xml:space="preserve"> a </w:t>
      </w:r>
      <w:proofErr w:type="spellStart"/>
      <w:r w:rsidRPr="00D42316">
        <w:t>nation</w:t>
      </w:r>
      <w:proofErr w:type="spellEnd"/>
      <w:r w:rsidRPr="00D42316">
        <w:t xml:space="preserve"> </w:t>
      </w:r>
      <w:proofErr w:type="spellStart"/>
      <w:r w:rsidRPr="00D42316">
        <w:t>state</w:t>
      </w:r>
      <w:proofErr w:type="spellEnd"/>
      <w:r w:rsidRPr="00D42316">
        <w:t xml:space="preserve"> </w:t>
      </w:r>
      <w:proofErr w:type="spellStart"/>
      <w:r w:rsidRPr="00D42316">
        <w:t>with</w:t>
      </w:r>
      <w:proofErr w:type="spellEnd"/>
      <w:r w:rsidRPr="00D42316">
        <w:t xml:space="preserve"> a </w:t>
      </w:r>
      <w:proofErr w:type="spellStart"/>
      <w:r w:rsidRPr="00D42316">
        <w:t>national</w:t>
      </w:r>
      <w:proofErr w:type="spellEnd"/>
      <w:r w:rsidRPr="00D42316">
        <w:t xml:space="preserve"> </w:t>
      </w:r>
      <w:proofErr w:type="spellStart"/>
      <w:r w:rsidRPr="00D42316">
        <w:t>identity</w:t>
      </w:r>
      <w:proofErr w:type="spellEnd"/>
      <w:r w:rsidRPr="00D42316">
        <w:t xml:space="preserve"> </w:t>
      </w:r>
      <w:proofErr w:type="spellStart"/>
      <w:r w:rsidRPr="00D42316">
        <w:t>from</w:t>
      </w:r>
      <w:proofErr w:type="spellEnd"/>
      <w:r w:rsidRPr="00D42316">
        <w:t xml:space="preserve"> a </w:t>
      </w:r>
      <w:proofErr w:type="spellStart"/>
      <w:r w:rsidRPr="00D42316">
        <w:t>tribal</w:t>
      </w:r>
      <w:proofErr w:type="spellEnd"/>
      <w:r w:rsidRPr="00D42316">
        <w:t xml:space="preserve"> </w:t>
      </w:r>
      <w:proofErr w:type="spellStart"/>
      <w:r w:rsidRPr="00D42316">
        <w:t>society</w:t>
      </w:r>
      <w:proofErr w:type="spellEnd"/>
      <w:r w:rsidRPr="00D42316">
        <w:t xml:space="preserve">. </w:t>
      </w:r>
      <w:proofErr w:type="spellStart"/>
      <w:r w:rsidRPr="00D42316">
        <w:t>This</w:t>
      </w:r>
      <w:proofErr w:type="spellEnd"/>
      <w:r w:rsidRPr="00D42316">
        <w:t xml:space="preserve"> </w:t>
      </w:r>
      <w:proofErr w:type="spellStart"/>
      <w:r w:rsidRPr="00D42316">
        <w:t>era</w:t>
      </w:r>
      <w:proofErr w:type="spellEnd"/>
      <w:r w:rsidRPr="00D42316">
        <w:t xml:space="preserve"> </w:t>
      </w:r>
      <w:proofErr w:type="spellStart"/>
      <w:r w:rsidRPr="00D42316">
        <w:t>was</w:t>
      </w:r>
      <w:proofErr w:type="spellEnd"/>
      <w:r w:rsidRPr="00D42316">
        <w:t xml:space="preserve"> a </w:t>
      </w:r>
      <w:proofErr w:type="spellStart"/>
      <w:r w:rsidRPr="00D42316">
        <w:t>period</w:t>
      </w:r>
      <w:proofErr w:type="spellEnd"/>
      <w:r w:rsidRPr="00D42316">
        <w:t xml:space="preserve"> of </w:t>
      </w:r>
      <w:proofErr w:type="spellStart"/>
      <w:r w:rsidRPr="00D42316">
        <w:t>intense</w:t>
      </w:r>
      <w:proofErr w:type="spellEnd"/>
      <w:r w:rsidRPr="00D42316">
        <w:t xml:space="preserve"> </w:t>
      </w:r>
      <w:proofErr w:type="spellStart"/>
      <w:r w:rsidRPr="00D42316">
        <w:t>diplomatic</w:t>
      </w:r>
      <w:proofErr w:type="spellEnd"/>
      <w:r w:rsidRPr="00D42316">
        <w:t xml:space="preserve"> </w:t>
      </w:r>
      <w:proofErr w:type="spellStart"/>
      <w:r w:rsidRPr="00D42316">
        <w:t>and</w:t>
      </w:r>
      <w:proofErr w:type="spellEnd"/>
      <w:r w:rsidRPr="00D42316">
        <w:t xml:space="preserve"> </w:t>
      </w:r>
      <w:proofErr w:type="spellStart"/>
      <w:r w:rsidRPr="00D42316">
        <w:t>military</w:t>
      </w:r>
      <w:proofErr w:type="spellEnd"/>
      <w:r w:rsidRPr="00D42316">
        <w:t xml:space="preserve"> </w:t>
      </w:r>
      <w:proofErr w:type="spellStart"/>
      <w:r w:rsidRPr="00D42316">
        <w:t>activities</w:t>
      </w:r>
      <w:proofErr w:type="spellEnd"/>
      <w:r w:rsidRPr="00D42316">
        <w:t xml:space="preserve">, </w:t>
      </w:r>
      <w:proofErr w:type="spellStart"/>
      <w:r w:rsidRPr="00D42316">
        <w:t>when</w:t>
      </w:r>
      <w:proofErr w:type="spellEnd"/>
      <w:r w:rsidRPr="00D42316">
        <w:t xml:space="preserve"> </w:t>
      </w:r>
      <w:proofErr w:type="spellStart"/>
      <w:r w:rsidRPr="00D42316">
        <w:t>the</w:t>
      </w:r>
      <w:proofErr w:type="spellEnd"/>
      <w:r w:rsidRPr="00D42316">
        <w:t xml:space="preserve"> </w:t>
      </w:r>
      <w:proofErr w:type="spellStart"/>
      <w:r w:rsidRPr="00D42316">
        <w:t>Ottoman</w:t>
      </w:r>
      <w:proofErr w:type="spellEnd"/>
      <w:r w:rsidRPr="00D42316">
        <w:t xml:space="preserve"> </w:t>
      </w:r>
      <w:proofErr w:type="spellStart"/>
      <w:r w:rsidRPr="00D42316">
        <w:t>Empire</w:t>
      </w:r>
      <w:proofErr w:type="spellEnd"/>
      <w:r w:rsidRPr="00D42316">
        <w:t xml:space="preserve"> </w:t>
      </w:r>
      <w:proofErr w:type="spellStart"/>
      <w:r w:rsidRPr="00D42316">
        <w:t>was</w:t>
      </w:r>
      <w:proofErr w:type="spellEnd"/>
      <w:r w:rsidRPr="00D42316">
        <w:t xml:space="preserve"> </w:t>
      </w:r>
      <w:proofErr w:type="spellStart"/>
      <w:r w:rsidRPr="00D42316">
        <w:t>dealing</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consequences</w:t>
      </w:r>
      <w:proofErr w:type="spellEnd"/>
      <w:r w:rsidRPr="00D42316">
        <w:t xml:space="preserve"> of </w:t>
      </w:r>
      <w:proofErr w:type="spellStart"/>
      <w:r w:rsidRPr="00D42316">
        <w:t>the</w:t>
      </w:r>
      <w:proofErr w:type="spellEnd"/>
      <w:r w:rsidRPr="00D42316">
        <w:t xml:space="preserve"> French </w:t>
      </w:r>
      <w:proofErr w:type="spellStart"/>
      <w:r w:rsidRPr="00D42316">
        <w:t>Revolution</w:t>
      </w:r>
      <w:proofErr w:type="spellEnd"/>
      <w:r w:rsidRPr="00D42316">
        <w:t xml:space="preserve"> of 1789 </w:t>
      </w:r>
      <w:proofErr w:type="spellStart"/>
      <w:r w:rsidRPr="00D42316">
        <w:t>and</w:t>
      </w:r>
      <w:proofErr w:type="spellEnd"/>
      <w:r w:rsidRPr="00D42316">
        <w:t xml:space="preserve"> </w:t>
      </w:r>
      <w:proofErr w:type="spellStart"/>
      <w:r w:rsidRPr="00D42316">
        <w:t>comprehensive</w:t>
      </w:r>
      <w:proofErr w:type="spellEnd"/>
      <w:r w:rsidRPr="00D42316">
        <w:t xml:space="preserve"> </w:t>
      </w:r>
      <w:proofErr w:type="spellStart"/>
      <w:r w:rsidRPr="00D42316">
        <w:t>reforms</w:t>
      </w:r>
      <w:proofErr w:type="spellEnd"/>
      <w:r w:rsidRPr="00D42316">
        <w:t xml:space="preserve"> </w:t>
      </w:r>
      <w:proofErr w:type="spellStart"/>
      <w:r w:rsidRPr="00D42316">
        <w:t>were</w:t>
      </w:r>
      <w:proofErr w:type="spellEnd"/>
      <w:r w:rsidRPr="00D42316">
        <w:t xml:space="preserve"> </w:t>
      </w:r>
      <w:proofErr w:type="spellStart"/>
      <w:r w:rsidRPr="00D42316">
        <w:t>made</w:t>
      </w:r>
      <w:proofErr w:type="spellEnd"/>
      <w:r w:rsidRPr="00D42316">
        <w:t xml:space="preserve"> </w:t>
      </w:r>
      <w:proofErr w:type="spellStart"/>
      <w:r w:rsidRPr="00D42316">
        <w:t>by</w:t>
      </w:r>
      <w:proofErr w:type="spellEnd"/>
      <w:r w:rsidRPr="00D42316">
        <w:t xml:space="preserve"> Sultan Selim III (1789-1807), Sultan Mahmud II (1808-1839) </w:t>
      </w:r>
      <w:proofErr w:type="spellStart"/>
      <w:r w:rsidRPr="00D42316">
        <w:t>and</w:t>
      </w:r>
      <w:proofErr w:type="spellEnd"/>
      <w:r w:rsidRPr="00D42316">
        <w:t xml:space="preserve"> Sultan Abdülmecid I (1839-1861). </w:t>
      </w:r>
      <w:proofErr w:type="spellStart"/>
      <w:r w:rsidRPr="00D42316">
        <w:t>Therefore</w:t>
      </w:r>
      <w:proofErr w:type="spellEnd"/>
      <w:r w:rsidRPr="00D42316">
        <w:t xml:space="preserve">, Montenegro </w:t>
      </w:r>
      <w:proofErr w:type="spellStart"/>
      <w:r w:rsidRPr="00D42316">
        <w:t>which</w:t>
      </w:r>
      <w:proofErr w:type="spellEnd"/>
      <w:r w:rsidRPr="00D42316">
        <w:t xml:space="preserve"> </w:t>
      </w:r>
      <w:proofErr w:type="spellStart"/>
      <w:r w:rsidRPr="00D42316">
        <w:t>was</w:t>
      </w:r>
      <w:proofErr w:type="spellEnd"/>
      <w:r w:rsidRPr="00D42316">
        <w:t xml:space="preserve"> </w:t>
      </w:r>
      <w:proofErr w:type="spellStart"/>
      <w:r w:rsidRPr="00D42316">
        <w:t>officially</w:t>
      </w:r>
      <w:proofErr w:type="spellEnd"/>
      <w:r w:rsidRPr="00D42316">
        <w:t xml:space="preserve"> </w:t>
      </w:r>
      <w:proofErr w:type="spellStart"/>
      <w:r w:rsidRPr="00D42316">
        <w:t>under</w:t>
      </w:r>
      <w:proofErr w:type="spellEnd"/>
      <w:r w:rsidRPr="00D42316">
        <w:t xml:space="preserve"> </w:t>
      </w:r>
      <w:proofErr w:type="spellStart"/>
      <w:r w:rsidRPr="00D42316">
        <w:t>Ottoman</w:t>
      </w:r>
      <w:proofErr w:type="spellEnd"/>
      <w:r w:rsidRPr="00D42316">
        <w:t xml:space="preserve"> </w:t>
      </w:r>
      <w:proofErr w:type="spellStart"/>
      <w:r w:rsidRPr="00D42316">
        <w:t>rule</w:t>
      </w:r>
      <w:proofErr w:type="spellEnd"/>
      <w:r w:rsidRPr="00D42316">
        <w:t xml:space="preserve">, </w:t>
      </w:r>
      <w:proofErr w:type="spellStart"/>
      <w:r w:rsidRPr="00D42316">
        <w:t>albeit</w:t>
      </w:r>
      <w:proofErr w:type="spellEnd"/>
      <w:r w:rsidRPr="00D42316">
        <w:t xml:space="preserve"> </w:t>
      </w:r>
      <w:proofErr w:type="spellStart"/>
      <w:r w:rsidRPr="00D42316">
        <w:t>relatively</w:t>
      </w:r>
      <w:proofErr w:type="spellEnd"/>
      <w:r w:rsidRPr="00D42316">
        <w:t xml:space="preserve">, </w:t>
      </w:r>
      <w:proofErr w:type="spellStart"/>
      <w:r w:rsidRPr="00D42316">
        <w:t>was</w:t>
      </w:r>
      <w:proofErr w:type="spellEnd"/>
      <w:r w:rsidRPr="00D42316">
        <w:t xml:space="preserve"> </w:t>
      </w:r>
      <w:proofErr w:type="spellStart"/>
      <w:r w:rsidRPr="00D42316">
        <w:t>directly</w:t>
      </w:r>
      <w:proofErr w:type="spellEnd"/>
      <w:r w:rsidRPr="00D42316">
        <w:t xml:space="preserve"> </w:t>
      </w:r>
      <w:proofErr w:type="spellStart"/>
      <w:r w:rsidRPr="00D42316">
        <w:t>affected</w:t>
      </w:r>
      <w:proofErr w:type="spellEnd"/>
      <w:r w:rsidRPr="00D42316">
        <w:t xml:space="preserve"> </w:t>
      </w:r>
      <w:proofErr w:type="spellStart"/>
      <w:r w:rsidRPr="00D42316">
        <w:t>by</w:t>
      </w:r>
      <w:proofErr w:type="spellEnd"/>
      <w:r w:rsidRPr="00D42316">
        <w:t xml:space="preserve"> </w:t>
      </w:r>
      <w:proofErr w:type="spellStart"/>
      <w:r w:rsidRPr="00D42316">
        <w:t>these</w:t>
      </w:r>
      <w:proofErr w:type="spellEnd"/>
      <w:r w:rsidRPr="00D42316">
        <w:t xml:space="preserve"> </w:t>
      </w:r>
      <w:proofErr w:type="spellStart"/>
      <w:r w:rsidRPr="00D42316">
        <w:t>changes</w:t>
      </w:r>
      <w:proofErr w:type="spellEnd"/>
      <w:r w:rsidRPr="00D42316">
        <w:t xml:space="preserve"> </w:t>
      </w:r>
      <w:proofErr w:type="spellStart"/>
      <w:r w:rsidRPr="00D42316">
        <w:t>and</w:t>
      </w:r>
      <w:proofErr w:type="spellEnd"/>
      <w:r w:rsidRPr="00D42316">
        <w:t xml:space="preserve"> </w:t>
      </w:r>
      <w:proofErr w:type="spellStart"/>
      <w:r w:rsidRPr="00D42316">
        <w:t>developments</w:t>
      </w:r>
      <w:proofErr w:type="spellEnd"/>
      <w:r w:rsidRPr="00D42316">
        <w:t>.</w:t>
      </w:r>
      <w:r w:rsidR="003B45CB">
        <w:t xml:space="preserve"> </w:t>
      </w:r>
      <w:proofErr w:type="spellStart"/>
      <w:r w:rsidRPr="00D42316">
        <w:t>There</w:t>
      </w:r>
      <w:proofErr w:type="spellEnd"/>
      <w:r w:rsidRPr="00D42316">
        <w:t xml:space="preserve"> is </w:t>
      </w:r>
      <w:proofErr w:type="spellStart"/>
      <w:r w:rsidRPr="00D42316">
        <w:t>no</w:t>
      </w:r>
      <w:proofErr w:type="spellEnd"/>
      <w:r w:rsidRPr="00D42316">
        <w:t xml:space="preserve"> English </w:t>
      </w:r>
      <w:proofErr w:type="spellStart"/>
      <w:r w:rsidRPr="00D42316">
        <w:t>publication</w:t>
      </w:r>
      <w:proofErr w:type="spellEnd"/>
      <w:r w:rsidRPr="00D42316">
        <w:t xml:space="preserve"> </w:t>
      </w:r>
      <w:proofErr w:type="spellStart"/>
      <w:r w:rsidRPr="00D42316">
        <w:t>based</w:t>
      </w:r>
      <w:proofErr w:type="spellEnd"/>
      <w:r w:rsidRPr="00D42316">
        <w:t xml:space="preserve"> on </w:t>
      </w:r>
      <w:proofErr w:type="spellStart"/>
      <w:r w:rsidRPr="00D42316">
        <w:t>the</w:t>
      </w:r>
      <w:proofErr w:type="spellEnd"/>
      <w:r w:rsidRPr="00D42316">
        <w:t xml:space="preserve"> </w:t>
      </w:r>
      <w:proofErr w:type="spellStart"/>
      <w:r w:rsidRPr="00D42316">
        <w:t>Ottoman</w:t>
      </w:r>
      <w:proofErr w:type="spellEnd"/>
      <w:r w:rsidRPr="00D42316">
        <w:t xml:space="preserve"> </w:t>
      </w:r>
      <w:proofErr w:type="spellStart"/>
      <w:r w:rsidRPr="00D42316">
        <w:t>archives</w:t>
      </w:r>
      <w:proofErr w:type="spellEnd"/>
      <w:r w:rsidRPr="00D42316">
        <w:t xml:space="preserve"> </w:t>
      </w:r>
      <w:proofErr w:type="spellStart"/>
      <w:r w:rsidRPr="00D42316">
        <w:t>regarding</w:t>
      </w:r>
      <w:proofErr w:type="spellEnd"/>
      <w:r w:rsidRPr="00D42316">
        <w:t xml:space="preserve"> </w:t>
      </w:r>
      <w:proofErr w:type="spellStart"/>
      <w:r w:rsidRPr="00D42316">
        <w:t>this</w:t>
      </w:r>
      <w:proofErr w:type="spellEnd"/>
      <w:r w:rsidRPr="00D42316">
        <w:t xml:space="preserve"> </w:t>
      </w:r>
      <w:proofErr w:type="spellStart"/>
      <w:r w:rsidRPr="00D42316">
        <w:t>period</w:t>
      </w:r>
      <w:proofErr w:type="spellEnd"/>
      <w:r w:rsidRPr="00D42316">
        <w:t xml:space="preserve">. </w:t>
      </w:r>
      <w:proofErr w:type="spellStart"/>
      <w:r w:rsidRPr="00D42316">
        <w:t>Therefore</w:t>
      </w:r>
      <w:proofErr w:type="spellEnd"/>
      <w:r w:rsidRPr="00D42316">
        <w:t xml:space="preserve">, it is </w:t>
      </w:r>
      <w:proofErr w:type="spellStart"/>
      <w:r w:rsidRPr="00D42316">
        <w:t>anticipated</w:t>
      </w:r>
      <w:proofErr w:type="spellEnd"/>
      <w:r w:rsidRPr="00D42316">
        <w:t xml:space="preserve"> </w:t>
      </w:r>
      <w:proofErr w:type="spellStart"/>
      <w:r w:rsidRPr="00D42316">
        <w:t>that</w:t>
      </w:r>
      <w:proofErr w:type="spellEnd"/>
      <w:r w:rsidRPr="00D42316">
        <w:t xml:space="preserve"> </w:t>
      </w:r>
      <w:proofErr w:type="spellStart"/>
      <w:r w:rsidRPr="00D42316">
        <w:t>this</w:t>
      </w:r>
      <w:proofErr w:type="spellEnd"/>
      <w:r w:rsidRPr="00D42316">
        <w:t xml:space="preserve"> </w:t>
      </w:r>
      <w:proofErr w:type="spellStart"/>
      <w:r w:rsidRPr="00D42316">
        <w:t>study</w:t>
      </w:r>
      <w:proofErr w:type="spellEnd"/>
      <w:r w:rsidRPr="00D42316">
        <w:t xml:space="preserve"> </w:t>
      </w:r>
      <w:proofErr w:type="spellStart"/>
      <w:r w:rsidRPr="00D42316">
        <w:t>will</w:t>
      </w:r>
      <w:proofErr w:type="spellEnd"/>
      <w:r w:rsidRPr="00D42316">
        <w:t xml:space="preserve"> </w:t>
      </w:r>
      <w:proofErr w:type="spellStart"/>
      <w:r w:rsidRPr="00D42316">
        <w:t>bridge</w:t>
      </w:r>
      <w:proofErr w:type="spellEnd"/>
      <w:r w:rsidRPr="00D42316">
        <w:t xml:space="preserve"> </w:t>
      </w:r>
      <w:proofErr w:type="spellStart"/>
      <w:r w:rsidRPr="00D42316">
        <w:t>this</w:t>
      </w:r>
      <w:proofErr w:type="spellEnd"/>
      <w:r w:rsidRPr="00D42316">
        <w:t xml:space="preserve"> </w:t>
      </w:r>
      <w:proofErr w:type="spellStart"/>
      <w:r w:rsidRPr="00D42316">
        <w:t>significant</w:t>
      </w:r>
      <w:proofErr w:type="spellEnd"/>
      <w:r w:rsidRPr="00D42316">
        <w:t xml:space="preserve"> </w:t>
      </w:r>
      <w:proofErr w:type="spellStart"/>
      <w:r w:rsidRPr="00D42316">
        <w:t>gap</w:t>
      </w:r>
      <w:proofErr w:type="spellEnd"/>
      <w:r w:rsidRPr="00D42316">
        <w:t>.</w:t>
      </w:r>
    </w:p>
    <w:p w14:paraId="7D66DBC4" w14:textId="77777777" w:rsidR="00F84AD5" w:rsidRPr="00D42316" w:rsidRDefault="00F84AD5" w:rsidP="003B45CB">
      <w:pPr>
        <w:rPr>
          <w:b/>
        </w:rPr>
      </w:pPr>
    </w:p>
    <w:p w14:paraId="6E09F838" w14:textId="62D04E57" w:rsidR="00C70E93" w:rsidRDefault="000C6508" w:rsidP="003B45CB">
      <w:proofErr w:type="spellStart"/>
      <w:r>
        <w:rPr>
          <w:b/>
        </w:rPr>
        <w:t>Keywords</w:t>
      </w:r>
      <w:proofErr w:type="spellEnd"/>
      <w:r w:rsidR="00AC051C" w:rsidRPr="00D42316">
        <w:rPr>
          <w:b/>
        </w:rPr>
        <w:t xml:space="preserve">: </w:t>
      </w:r>
      <w:r w:rsidR="00AC051C" w:rsidRPr="00D42316">
        <w:t xml:space="preserve">Montenegro, </w:t>
      </w:r>
      <w:proofErr w:type="spellStart"/>
      <w:r w:rsidR="00AC051C" w:rsidRPr="00D42316">
        <w:t>Vladika</w:t>
      </w:r>
      <w:proofErr w:type="spellEnd"/>
      <w:r w:rsidR="00AC051C" w:rsidRPr="00D42316">
        <w:t xml:space="preserve"> Peter II </w:t>
      </w:r>
      <w:proofErr w:type="spellStart"/>
      <w:r w:rsidR="00AC051C" w:rsidRPr="00D42316">
        <w:t>Njegos</w:t>
      </w:r>
      <w:proofErr w:type="spellEnd"/>
      <w:r w:rsidR="00AC051C" w:rsidRPr="00D42316">
        <w:t xml:space="preserve">, </w:t>
      </w:r>
      <w:proofErr w:type="spellStart"/>
      <w:r w:rsidR="00AC051C" w:rsidRPr="00D42316">
        <w:t>Russia</w:t>
      </w:r>
      <w:proofErr w:type="spellEnd"/>
      <w:r w:rsidR="00AC051C" w:rsidRPr="00D42316">
        <w:t xml:space="preserve">, </w:t>
      </w:r>
      <w:proofErr w:type="spellStart"/>
      <w:r w:rsidR="00AC051C" w:rsidRPr="00D42316">
        <w:t>Austria-Hungary</w:t>
      </w:r>
      <w:proofErr w:type="spellEnd"/>
      <w:r w:rsidR="00AC051C" w:rsidRPr="00D42316">
        <w:t xml:space="preserve">, </w:t>
      </w:r>
      <w:proofErr w:type="spellStart"/>
      <w:r w:rsidR="00AC051C" w:rsidRPr="00D42316">
        <w:t>Sanjak</w:t>
      </w:r>
      <w:proofErr w:type="spellEnd"/>
      <w:r w:rsidR="00AC051C" w:rsidRPr="00D42316">
        <w:t xml:space="preserve"> of </w:t>
      </w:r>
      <w:proofErr w:type="spellStart"/>
      <w:r w:rsidR="00AC051C" w:rsidRPr="00D42316">
        <w:t>Bosnia</w:t>
      </w:r>
      <w:proofErr w:type="spellEnd"/>
      <w:r w:rsidR="00AC051C" w:rsidRPr="00D42316">
        <w:t xml:space="preserve"> </w:t>
      </w:r>
      <w:proofErr w:type="spellStart"/>
      <w:r w:rsidR="00AC051C" w:rsidRPr="00D42316">
        <w:t>and</w:t>
      </w:r>
      <w:proofErr w:type="spellEnd"/>
      <w:r w:rsidR="00AC051C" w:rsidRPr="00D42316">
        <w:t xml:space="preserve"> </w:t>
      </w:r>
      <w:proofErr w:type="spellStart"/>
      <w:r w:rsidR="00AC051C" w:rsidRPr="00D42316">
        <w:t>Herzegovina</w:t>
      </w:r>
      <w:proofErr w:type="spellEnd"/>
    </w:p>
    <w:p w14:paraId="049746EE" w14:textId="615F8247" w:rsidR="00C70E93" w:rsidRPr="00C70E93" w:rsidRDefault="00C70E93" w:rsidP="003B45CB">
      <w:pPr>
        <w:autoSpaceDE/>
        <w:autoSpaceDN/>
      </w:pPr>
      <w:r>
        <w:br w:type="page"/>
      </w:r>
    </w:p>
    <w:p w14:paraId="4120B5EB" w14:textId="1C02AE7B" w:rsidR="00F84AD5" w:rsidRPr="00C70E93" w:rsidRDefault="00AC051C" w:rsidP="003B45CB">
      <w:pPr>
        <w:jc w:val="center"/>
        <w:rPr>
          <w:b/>
        </w:rPr>
      </w:pPr>
      <w:r w:rsidRPr="00D42316">
        <w:rPr>
          <w:b/>
        </w:rPr>
        <w:lastRenderedPageBreak/>
        <w:t>Özet</w:t>
      </w:r>
    </w:p>
    <w:p w14:paraId="5D64D343" w14:textId="4CC0A83B" w:rsidR="00F84AD5" w:rsidRPr="00D42316" w:rsidRDefault="00AC051C" w:rsidP="003B45CB">
      <w:pPr>
        <w:jc w:val="both"/>
      </w:pPr>
      <w:r w:rsidRPr="00D42316">
        <w:t>Karadağ, Osmanlı hakimiyetine girdiği 1496’dan resmi olarak bağımsızlığını kazandığı 1878 yılına kadar gerek ilkel karakterli toplumsal yapısı gerekse coğrafyasının verimsiz ve sert karakterli olması nedeniyle sürekli olarak Osmanlı egemenliğine karşı mücadele içinde olmuş buna karşın Osmanlı yönetimi ise vergisini verdiği müddetçe bölgeye müdahalede</w:t>
      </w:r>
      <w:r w:rsidR="003B45CB">
        <w:t xml:space="preserve"> </w:t>
      </w:r>
      <w:r w:rsidRPr="00D42316">
        <w:t>bulunmamıştır.</w:t>
      </w:r>
      <w:r w:rsidR="003B45CB">
        <w:t xml:space="preserve"> </w:t>
      </w:r>
      <w:r w:rsidRPr="00D42316">
        <w:t>Osmanlı Devleti’nin zayıflamasına bağlı olarak bölgedeki aşiretler bir taraftan yönetime karşı ayaklanmış diğer taraftan aşiret toplum yapısından milli kimlikli ulus devlet inşasını gerçekleştirmişlerdir.</w:t>
      </w:r>
      <w:r w:rsidR="003B45CB">
        <w:t xml:space="preserve"> </w:t>
      </w:r>
      <w:r w:rsidRPr="00D42316">
        <w:t>Bu dönemin en önemli özelliklerinden biri Osmanlı İmparatorluğu'nun Karadağ'ı tek başına bulamamasıdır. Karadağ'ı sık sık kendi çıkarları için kullanan Rusya'nın yanı sıra İngiltere, Fransa ve Avusturya Macaristan bölgedeki çıkarları doğrultusunda Karadağ'ı kullanmış ve Karadağ ile ilgili konulara müdahil olmuşlardır. Dolayısıyla ortaya çıkan en küçük sorun, diğer devletlerin müdahalesiyle Avrupa barışını etkileyen bir konu olarak ortaya çıkmıştır.</w:t>
      </w:r>
      <w:r w:rsidR="003B45CB">
        <w:t xml:space="preserve"> </w:t>
      </w:r>
      <w:r w:rsidRPr="00D42316">
        <w:t xml:space="preserve">Aşiret yapılı toplumdan milli kimlikli ulus devleti oluşturma sürecinin en yoğun yaşandığı dönem </w:t>
      </w:r>
      <w:proofErr w:type="spellStart"/>
      <w:r w:rsidRPr="00D42316">
        <w:t>Vladika</w:t>
      </w:r>
      <w:proofErr w:type="spellEnd"/>
      <w:r w:rsidRPr="00D42316">
        <w:t xml:space="preserve"> Peter II </w:t>
      </w:r>
      <w:proofErr w:type="spellStart"/>
      <w:r w:rsidRPr="00D42316">
        <w:t>Njegos</w:t>
      </w:r>
      <w:proofErr w:type="spellEnd"/>
      <w:r w:rsidRPr="00D42316">
        <w:t xml:space="preserve"> (1830-1851)’un başta olduğu dönem olmuştur. Bu dönem, Osmanlı İmparatorluğu'nun 1789 Fransız Devrimi'nin sonuçlarıyla uğraştığı ve Sultan III. Selim (1789-1807), Sultan II. Mahmud (1808-1839) ile Sultan I. Abdülmecid (1839-1861) tarafından kapsamlı reformların yapıldığı yoğun diplomatik ve askeri faaliyetlerin yaşandığı bir dönemdi. Göreceli de olsa Osmanlı yönetimi altında olan Karadağ bu değişim ve gelişmelerden doğrudan etkilenmiş ve istifade etmiştir.</w:t>
      </w:r>
      <w:r w:rsidR="003B45CB">
        <w:t xml:space="preserve"> </w:t>
      </w:r>
      <w:r w:rsidRPr="00D42316">
        <w:t>Bahse konu dönemle ilgili Osmanlı arşivlerine dayandırılarak hazırlanmış İngilizce yayın bulunmamaktadır. Dolasıyla bu çalışmayla önemli eksikliğin giderileceği düşünülmektedir.</w:t>
      </w:r>
    </w:p>
    <w:p w14:paraId="00098EDB" w14:textId="77777777" w:rsidR="00F84AD5" w:rsidRPr="00D42316" w:rsidRDefault="00F84AD5" w:rsidP="003B45CB">
      <w:pPr>
        <w:jc w:val="both"/>
        <w:rPr>
          <w:b/>
        </w:rPr>
      </w:pPr>
    </w:p>
    <w:p w14:paraId="09BA0F0D" w14:textId="7B788A99" w:rsidR="00C70E93" w:rsidRDefault="00AC051C" w:rsidP="003B45CB">
      <w:pPr>
        <w:jc w:val="both"/>
      </w:pPr>
      <w:r w:rsidRPr="00D42316">
        <w:rPr>
          <w:b/>
        </w:rPr>
        <w:t xml:space="preserve">Anahtar </w:t>
      </w:r>
      <w:r w:rsidR="00B4361D" w:rsidRPr="00D42316">
        <w:rPr>
          <w:b/>
        </w:rPr>
        <w:t>Kelime</w:t>
      </w:r>
      <w:r w:rsidRPr="00D42316">
        <w:rPr>
          <w:b/>
        </w:rPr>
        <w:t>ler:</w:t>
      </w:r>
      <w:r w:rsidRPr="00D42316">
        <w:t xml:space="preserve"> Karadağ, </w:t>
      </w:r>
      <w:proofErr w:type="spellStart"/>
      <w:r w:rsidRPr="00D42316">
        <w:t>Vladika</w:t>
      </w:r>
      <w:proofErr w:type="spellEnd"/>
      <w:r w:rsidRPr="00D42316">
        <w:t xml:space="preserve"> Peter II </w:t>
      </w:r>
      <w:proofErr w:type="spellStart"/>
      <w:r w:rsidRPr="00D42316">
        <w:t>Njegos</w:t>
      </w:r>
      <w:proofErr w:type="spellEnd"/>
      <w:r w:rsidRPr="00D42316">
        <w:t>, Rusya, Avusturya Macaristan, Bosna Hersek Sancağı</w:t>
      </w:r>
    </w:p>
    <w:p w14:paraId="1E6A91EE" w14:textId="11C7FB0F" w:rsidR="00376EA2" w:rsidRPr="00C70E93" w:rsidRDefault="00C70E93" w:rsidP="00C70E93">
      <w:pPr>
        <w:autoSpaceDE/>
        <w:autoSpaceDN/>
      </w:pPr>
      <w:r>
        <w:br w:type="page"/>
      </w:r>
    </w:p>
    <w:p w14:paraId="64E0AA81" w14:textId="77777777" w:rsidR="001E7189" w:rsidRPr="009F455E" w:rsidRDefault="001E7189" w:rsidP="004C7694">
      <w:pPr>
        <w:pStyle w:val="Tark"/>
      </w:pPr>
      <w:bookmarkStart w:id="74" w:name="_Toc192855185"/>
      <w:r w:rsidRPr="009F455E">
        <w:lastRenderedPageBreak/>
        <w:t>Soğuk Savaş Sonrası Türkiye-İngiltere İlişkilerinde Yeniden Yapılanma (1990-2002)</w:t>
      </w:r>
      <w:bookmarkEnd w:id="74"/>
    </w:p>
    <w:p w14:paraId="19F9F640" w14:textId="77777777" w:rsidR="001E7189" w:rsidRPr="009F455E" w:rsidRDefault="001E7189" w:rsidP="003B45CB">
      <w:pPr>
        <w:jc w:val="center"/>
      </w:pPr>
    </w:p>
    <w:p w14:paraId="2568B17F" w14:textId="77777777" w:rsidR="001E7189" w:rsidRPr="009F455E" w:rsidRDefault="001E7189" w:rsidP="003B45CB">
      <w:pPr>
        <w:jc w:val="center"/>
      </w:pPr>
      <w:r w:rsidRPr="009F455E">
        <w:t>Zeynep Çakır</w:t>
      </w:r>
    </w:p>
    <w:p w14:paraId="3C6E0A1D" w14:textId="77777777" w:rsidR="001E7189" w:rsidRPr="009F455E" w:rsidRDefault="001E7189" w:rsidP="003B45CB">
      <w:pPr>
        <w:jc w:val="center"/>
      </w:pPr>
      <w:r w:rsidRPr="009F455E">
        <w:t>Yüksek Lisans Öğrencisi, T.C. Ankara Yıldırım Beyazıt Üniversitesi, Sosyal Bilimler Enstitüsü, Tarih</w:t>
      </w:r>
    </w:p>
    <w:p w14:paraId="6486BE1E" w14:textId="77777777" w:rsidR="001E7189" w:rsidRPr="009F455E" w:rsidRDefault="001E7189" w:rsidP="003B45CB">
      <w:pPr>
        <w:jc w:val="center"/>
      </w:pPr>
      <w:hyperlink r:id="rId117" w:history="1">
        <w:r w:rsidRPr="009F455E">
          <w:rPr>
            <w:rStyle w:val="Kpr"/>
          </w:rPr>
          <w:t>Zeynbkocak@gmail.coom</w:t>
        </w:r>
      </w:hyperlink>
    </w:p>
    <w:p w14:paraId="20387EF5" w14:textId="77777777" w:rsidR="001E7189" w:rsidRPr="009F455E" w:rsidRDefault="001E7189" w:rsidP="003B45CB">
      <w:pPr>
        <w:jc w:val="center"/>
      </w:pPr>
      <w:r w:rsidRPr="009F455E">
        <w:t>0009-0003-6711-1020</w:t>
      </w:r>
    </w:p>
    <w:p w14:paraId="102DFFD1" w14:textId="77777777" w:rsidR="001E7189" w:rsidRDefault="001E7189" w:rsidP="003B45CB">
      <w:pPr>
        <w:jc w:val="both"/>
      </w:pPr>
    </w:p>
    <w:p w14:paraId="4FBBBF8E" w14:textId="77777777" w:rsidR="001E7189" w:rsidRDefault="001E7189" w:rsidP="003B45CB">
      <w:pPr>
        <w:jc w:val="center"/>
        <w:rPr>
          <w:b/>
          <w:bCs/>
        </w:rPr>
      </w:pPr>
      <w:r w:rsidRPr="002955A9">
        <w:rPr>
          <w:b/>
          <w:bCs/>
        </w:rPr>
        <w:t>Özet</w:t>
      </w:r>
    </w:p>
    <w:p w14:paraId="70B08120" w14:textId="77777777" w:rsidR="001E7189" w:rsidRPr="00082B70" w:rsidRDefault="001E7189" w:rsidP="003B45CB">
      <w:pPr>
        <w:jc w:val="both"/>
      </w:pPr>
      <w:r w:rsidRPr="002955A9">
        <w:t>Soğuk Savaş</w:t>
      </w:r>
      <w:r>
        <w:t xml:space="preserve"> sonrasındaki süreçte uluslararası düzenin dönüşümü, Türkiye ve İngiltere arasındaki diplomatik ilişkilerde süreklilik ve değişim dinamiklerini beraberinde getirmiştir. Bu makalede, İngiltere ve Türkiye arasında gerçekleşen 1990 ve 2002 yılları arasındaki diplomasi sürecini beş temel oluşum altında incelenmiştir. Soğuk Savaşın sona ermesi ve SSCB’nin dağılmasıyla birlikte değişen küresel dengelerin iki devlet arasında gelişen siyasi, ekonomik ve askeri ilişkilere etkisi gözlemlenmiştir. Siyasi ve diplomatik ilişkilerde Türkiye’nin NATO’ya katılması, Avrupa Birliği’ne üyelik süreci ve bölgesel krizlerde sergilenen ortak tutumlar iki devlet arasındaki iş birliği sürecine hız vermiştir. Yapılan askeri alandaki yapılan ortaklık ve savunma politikaları özellikle bölgesel güvenlik ve istikrar bağlamında kritik önem taşımıştır. Ekonomik boyutta bakıldığında ise, iki hükümet arasındaki ticaret hacmi, yatırımlar, mali anlaşmalar ve turizm faaliyetleri gibi faktörler artış göstermiştir. Türkiye ve İngiltere ilişkilerinde, Soğuk Savaş sonrası dönem ve 2002 yılı arasındaki süreçte rol oynayan diğer önemli etken ise kültürel ve sosyal alandaki gelişmeler olmuştur. Faaliyete geçirilen eğitim alanındaki yenilikler ile öğrenci değişim programları gündeme getirilmiştir. Makalede, Türkiye ve İngiltere’nin ikili ilişkilerindeki süreklilik ve değişimi kavramak adına tarihsel bağlam kurarak, uluslararası sistemin ve yeni dünya düzeninin etkisiyle gelişen diplomasi adımları incelenmiştir. Bu çerçevede, belirli bir dönem ele alınarak iki devlet arasındaki ilişkiler çok boyutlu bir şekilde incelenmektedir. </w:t>
      </w:r>
      <w:r w:rsidRPr="00082B70">
        <w:t>Bu kapsamlı ve çok yönlü değerlendirmeler sonucunda, Türkiye ve İngiltere arasında 1990 ve 2002 yılları arası dönemi şekillendiren temel dinamikler tek bir çalışma içerisinde incelenmiş ve detaylandırılmış olacaktır. Konunun çok yönlü değerlendirilmesi için yapılacak olan literatür taramasında gazeteler, devletlerin resmi internet sayfaları, makaleler, tezler ve alana ilişkin önemli eserler incelenecektir.</w:t>
      </w:r>
    </w:p>
    <w:p w14:paraId="3E56A0F6" w14:textId="77777777" w:rsidR="001E7189" w:rsidRDefault="001E7189" w:rsidP="003B45CB">
      <w:pPr>
        <w:jc w:val="both"/>
      </w:pPr>
    </w:p>
    <w:p w14:paraId="1C69CC45" w14:textId="77777777" w:rsidR="001E7189" w:rsidRDefault="001E7189" w:rsidP="003B45CB">
      <w:pPr>
        <w:jc w:val="both"/>
      </w:pPr>
      <w:r w:rsidRPr="00766BB4">
        <w:rPr>
          <w:b/>
          <w:bCs/>
        </w:rPr>
        <w:t>Anahtar Kelimeler:</w:t>
      </w:r>
      <w:r>
        <w:t xml:space="preserve"> Türkiye, İngiltere, Soğuk Savaş, Diplomasi, Güvenlik.</w:t>
      </w:r>
    </w:p>
    <w:p w14:paraId="16645E02" w14:textId="77777777" w:rsidR="00376EA2" w:rsidRDefault="00376EA2" w:rsidP="003B45CB">
      <w:pPr>
        <w:jc w:val="both"/>
      </w:pPr>
    </w:p>
    <w:p w14:paraId="0F8DCB35" w14:textId="6F41B162" w:rsidR="00376EA2" w:rsidRDefault="00C70E93" w:rsidP="003B45CB">
      <w:pPr>
        <w:autoSpaceDE/>
        <w:autoSpaceDN/>
        <w:jc w:val="both"/>
      </w:pPr>
      <w:r>
        <w:br w:type="page"/>
      </w:r>
    </w:p>
    <w:p w14:paraId="21CE30CF" w14:textId="77777777" w:rsidR="001E7189" w:rsidRPr="00766BB4" w:rsidRDefault="001E7189" w:rsidP="003B45CB">
      <w:pPr>
        <w:ind w:firstLine="709"/>
        <w:jc w:val="center"/>
        <w:rPr>
          <w:b/>
          <w:bCs/>
        </w:rPr>
      </w:pPr>
      <w:proofErr w:type="spellStart"/>
      <w:r w:rsidRPr="00766BB4">
        <w:rPr>
          <w:b/>
          <w:bCs/>
        </w:rPr>
        <w:lastRenderedPageBreak/>
        <w:t>Abst</w:t>
      </w:r>
      <w:r>
        <w:rPr>
          <w:b/>
          <w:bCs/>
        </w:rPr>
        <w:t>r</w:t>
      </w:r>
      <w:r w:rsidRPr="00766BB4">
        <w:rPr>
          <w:b/>
          <w:bCs/>
        </w:rPr>
        <w:t>act</w:t>
      </w:r>
      <w:proofErr w:type="spellEnd"/>
    </w:p>
    <w:p w14:paraId="7E334272" w14:textId="77777777" w:rsidR="001E7189" w:rsidRDefault="001E7189" w:rsidP="003B45CB">
      <w:pPr>
        <w:jc w:val="both"/>
      </w:pPr>
      <w:proofErr w:type="spellStart"/>
      <w:r w:rsidRPr="00766BB4">
        <w:t>The</w:t>
      </w:r>
      <w:proofErr w:type="spellEnd"/>
      <w:r w:rsidRPr="00766BB4">
        <w:t xml:space="preserve"> </w:t>
      </w:r>
      <w:proofErr w:type="spellStart"/>
      <w:r w:rsidRPr="00766BB4">
        <w:t>transformation</w:t>
      </w:r>
      <w:proofErr w:type="spellEnd"/>
      <w:r w:rsidRPr="00766BB4">
        <w:t xml:space="preserve"> of </w:t>
      </w:r>
      <w:proofErr w:type="spellStart"/>
      <w:r w:rsidRPr="00766BB4">
        <w:t>the</w:t>
      </w:r>
      <w:proofErr w:type="spellEnd"/>
      <w:r w:rsidRPr="00766BB4">
        <w:t xml:space="preserve"> </w:t>
      </w:r>
      <w:proofErr w:type="spellStart"/>
      <w:r w:rsidRPr="00766BB4">
        <w:t>international</w:t>
      </w:r>
      <w:proofErr w:type="spellEnd"/>
      <w:r w:rsidRPr="00766BB4">
        <w:t xml:space="preserve"> </w:t>
      </w:r>
      <w:proofErr w:type="spellStart"/>
      <w:r w:rsidRPr="00766BB4">
        <w:t>order</w:t>
      </w:r>
      <w:proofErr w:type="spellEnd"/>
      <w:r w:rsidRPr="00766BB4">
        <w:t xml:space="preserve"> in </w:t>
      </w:r>
      <w:proofErr w:type="spellStart"/>
      <w:r w:rsidRPr="00766BB4">
        <w:t>the</w:t>
      </w:r>
      <w:proofErr w:type="spellEnd"/>
      <w:r w:rsidRPr="00766BB4">
        <w:t xml:space="preserve"> post-</w:t>
      </w:r>
      <w:proofErr w:type="spellStart"/>
      <w:r w:rsidRPr="00766BB4">
        <w:t>Cold</w:t>
      </w:r>
      <w:proofErr w:type="spellEnd"/>
      <w:r w:rsidRPr="00766BB4">
        <w:t xml:space="preserve"> </w:t>
      </w:r>
      <w:proofErr w:type="spellStart"/>
      <w:r w:rsidRPr="00766BB4">
        <w:t>War</w:t>
      </w:r>
      <w:proofErr w:type="spellEnd"/>
      <w:r w:rsidRPr="00766BB4">
        <w:t xml:space="preserve"> </w:t>
      </w:r>
      <w:proofErr w:type="spellStart"/>
      <w:r w:rsidRPr="00766BB4">
        <w:t>period</w:t>
      </w:r>
      <w:proofErr w:type="spellEnd"/>
      <w:r w:rsidRPr="00766BB4">
        <w:t xml:space="preserve"> </w:t>
      </w:r>
      <w:proofErr w:type="spellStart"/>
      <w:r w:rsidRPr="00766BB4">
        <w:t>brought</w:t>
      </w:r>
      <w:proofErr w:type="spellEnd"/>
      <w:r w:rsidRPr="00766BB4">
        <w:t xml:space="preserve"> </w:t>
      </w:r>
      <w:proofErr w:type="spellStart"/>
      <w:r w:rsidRPr="00766BB4">
        <w:t>about</w:t>
      </w:r>
      <w:proofErr w:type="spellEnd"/>
      <w:r w:rsidRPr="00766BB4">
        <w:t xml:space="preserve"> </w:t>
      </w:r>
      <w:proofErr w:type="spellStart"/>
      <w:r w:rsidRPr="00766BB4">
        <w:t>dynamics</w:t>
      </w:r>
      <w:proofErr w:type="spellEnd"/>
      <w:r w:rsidRPr="00766BB4">
        <w:t xml:space="preserve"> of </w:t>
      </w:r>
      <w:proofErr w:type="spellStart"/>
      <w:r w:rsidRPr="00766BB4">
        <w:t>continuity</w:t>
      </w:r>
      <w:proofErr w:type="spellEnd"/>
      <w:r w:rsidRPr="00766BB4">
        <w:t xml:space="preserve"> </w:t>
      </w:r>
      <w:proofErr w:type="spellStart"/>
      <w:r w:rsidRPr="00766BB4">
        <w:t>and</w:t>
      </w:r>
      <w:proofErr w:type="spellEnd"/>
      <w:r w:rsidRPr="00766BB4">
        <w:t xml:space="preserve"> </w:t>
      </w:r>
      <w:proofErr w:type="spellStart"/>
      <w:r w:rsidRPr="00766BB4">
        <w:t>change</w:t>
      </w:r>
      <w:proofErr w:type="spellEnd"/>
      <w:r w:rsidRPr="00766BB4">
        <w:t xml:space="preserve"> in </w:t>
      </w:r>
      <w:proofErr w:type="spellStart"/>
      <w:r w:rsidRPr="00766BB4">
        <w:t>diplomatic</w:t>
      </w:r>
      <w:proofErr w:type="spellEnd"/>
      <w:r w:rsidRPr="00766BB4">
        <w:t xml:space="preserve"> </w:t>
      </w:r>
      <w:proofErr w:type="spellStart"/>
      <w:r w:rsidRPr="00766BB4">
        <w:t>relations</w:t>
      </w:r>
      <w:proofErr w:type="spellEnd"/>
      <w:r w:rsidRPr="00766BB4">
        <w:t xml:space="preserve"> </w:t>
      </w:r>
      <w:proofErr w:type="spellStart"/>
      <w:r w:rsidRPr="00766BB4">
        <w:t>between</w:t>
      </w:r>
      <w:proofErr w:type="spellEnd"/>
      <w:r w:rsidRPr="00766BB4">
        <w:t xml:space="preserve"> </w:t>
      </w:r>
      <w:proofErr w:type="spellStart"/>
      <w:r w:rsidRPr="00766BB4">
        <w:t>Turkey</w:t>
      </w:r>
      <w:proofErr w:type="spellEnd"/>
      <w:r w:rsidRPr="00766BB4">
        <w:t xml:space="preserve"> </w:t>
      </w:r>
      <w:proofErr w:type="spellStart"/>
      <w:r w:rsidRPr="00766BB4">
        <w:t>and</w:t>
      </w:r>
      <w:proofErr w:type="spellEnd"/>
      <w:r w:rsidRPr="00766BB4">
        <w:t xml:space="preserve"> </w:t>
      </w:r>
      <w:proofErr w:type="spellStart"/>
      <w:r w:rsidRPr="00766BB4">
        <w:t>the</w:t>
      </w:r>
      <w:proofErr w:type="spellEnd"/>
      <w:r w:rsidRPr="00766BB4">
        <w:t xml:space="preserve"> UK. </w:t>
      </w:r>
      <w:proofErr w:type="spellStart"/>
      <w:r w:rsidRPr="00766BB4">
        <w:t>This</w:t>
      </w:r>
      <w:proofErr w:type="spellEnd"/>
      <w:r w:rsidRPr="00766BB4">
        <w:t xml:space="preserve"> </w:t>
      </w:r>
      <w:proofErr w:type="spellStart"/>
      <w:r w:rsidRPr="00766BB4">
        <w:t>article</w:t>
      </w:r>
      <w:proofErr w:type="spellEnd"/>
      <w:r w:rsidRPr="00766BB4">
        <w:t xml:space="preserve"> </w:t>
      </w:r>
      <w:proofErr w:type="spellStart"/>
      <w:r w:rsidRPr="00766BB4">
        <w:t>examines</w:t>
      </w:r>
      <w:proofErr w:type="spellEnd"/>
      <w:r w:rsidRPr="00766BB4">
        <w:t xml:space="preserve"> </w:t>
      </w:r>
      <w:proofErr w:type="spellStart"/>
      <w:r w:rsidRPr="00766BB4">
        <w:t>the</w:t>
      </w:r>
      <w:proofErr w:type="spellEnd"/>
      <w:r w:rsidRPr="00766BB4">
        <w:t xml:space="preserve"> </w:t>
      </w:r>
      <w:proofErr w:type="spellStart"/>
      <w:r w:rsidRPr="00766BB4">
        <w:t>diplomatic</w:t>
      </w:r>
      <w:proofErr w:type="spellEnd"/>
      <w:r w:rsidRPr="00766BB4">
        <w:t xml:space="preserve"> </w:t>
      </w:r>
      <w:proofErr w:type="spellStart"/>
      <w:r w:rsidRPr="00766BB4">
        <w:t>process</w:t>
      </w:r>
      <w:proofErr w:type="spellEnd"/>
      <w:r w:rsidRPr="00766BB4">
        <w:t xml:space="preserve"> </w:t>
      </w:r>
      <w:proofErr w:type="spellStart"/>
      <w:r w:rsidRPr="00766BB4">
        <w:t>between</w:t>
      </w:r>
      <w:proofErr w:type="spellEnd"/>
      <w:r w:rsidRPr="00766BB4">
        <w:t xml:space="preserve"> </w:t>
      </w:r>
      <w:proofErr w:type="spellStart"/>
      <w:r w:rsidRPr="00766BB4">
        <w:t>the</w:t>
      </w:r>
      <w:proofErr w:type="spellEnd"/>
      <w:r w:rsidRPr="00766BB4">
        <w:t xml:space="preserve"> UK </w:t>
      </w:r>
      <w:proofErr w:type="spellStart"/>
      <w:r w:rsidRPr="00766BB4">
        <w:t>and</w:t>
      </w:r>
      <w:proofErr w:type="spellEnd"/>
      <w:r w:rsidRPr="00766BB4">
        <w:t xml:space="preserve"> </w:t>
      </w:r>
      <w:proofErr w:type="spellStart"/>
      <w:r w:rsidRPr="00766BB4">
        <w:t>Turkey</w:t>
      </w:r>
      <w:proofErr w:type="spellEnd"/>
      <w:r w:rsidRPr="00766BB4">
        <w:t xml:space="preserve"> </w:t>
      </w:r>
      <w:proofErr w:type="spellStart"/>
      <w:r w:rsidRPr="00766BB4">
        <w:t>between</w:t>
      </w:r>
      <w:proofErr w:type="spellEnd"/>
      <w:r w:rsidRPr="00766BB4">
        <w:t xml:space="preserve"> 1990 </w:t>
      </w:r>
      <w:proofErr w:type="spellStart"/>
      <w:r w:rsidRPr="00766BB4">
        <w:t>and</w:t>
      </w:r>
      <w:proofErr w:type="spellEnd"/>
      <w:r w:rsidRPr="00766BB4">
        <w:t xml:space="preserve"> 2002 </w:t>
      </w:r>
      <w:proofErr w:type="spellStart"/>
      <w:r w:rsidRPr="00766BB4">
        <w:t>under</w:t>
      </w:r>
      <w:proofErr w:type="spellEnd"/>
      <w:r w:rsidRPr="00766BB4">
        <w:t xml:space="preserve"> </w:t>
      </w:r>
      <w:proofErr w:type="spellStart"/>
      <w:r w:rsidRPr="00766BB4">
        <w:t>five</w:t>
      </w:r>
      <w:proofErr w:type="spellEnd"/>
      <w:r w:rsidRPr="00766BB4">
        <w:t xml:space="preserve"> </w:t>
      </w:r>
      <w:proofErr w:type="spellStart"/>
      <w:r w:rsidRPr="00766BB4">
        <w:t>basic</w:t>
      </w:r>
      <w:proofErr w:type="spellEnd"/>
      <w:r w:rsidRPr="00766BB4">
        <w:t xml:space="preserve"> </w:t>
      </w:r>
      <w:proofErr w:type="spellStart"/>
      <w:r w:rsidRPr="00766BB4">
        <w:t>formations</w:t>
      </w:r>
      <w:proofErr w:type="spellEnd"/>
      <w:r w:rsidRPr="00766BB4">
        <w:t xml:space="preserve">. </w:t>
      </w:r>
      <w:proofErr w:type="spellStart"/>
      <w:r w:rsidRPr="00766BB4">
        <w:t>The</w:t>
      </w:r>
      <w:proofErr w:type="spellEnd"/>
      <w:r w:rsidRPr="00766BB4">
        <w:t xml:space="preserve"> </w:t>
      </w:r>
      <w:proofErr w:type="spellStart"/>
      <w:r w:rsidRPr="00766BB4">
        <w:t>impact</w:t>
      </w:r>
      <w:proofErr w:type="spellEnd"/>
      <w:r w:rsidRPr="00766BB4">
        <w:t xml:space="preserve"> of </w:t>
      </w:r>
      <w:proofErr w:type="spellStart"/>
      <w:r w:rsidRPr="00766BB4">
        <w:t>the</w:t>
      </w:r>
      <w:proofErr w:type="spellEnd"/>
      <w:r w:rsidRPr="00766BB4">
        <w:t xml:space="preserve"> </w:t>
      </w:r>
      <w:proofErr w:type="spellStart"/>
      <w:r w:rsidRPr="00766BB4">
        <w:t>changing</w:t>
      </w:r>
      <w:proofErr w:type="spellEnd"/>
      <w:r w:rsidRPr="00766BB4">
        <w:t xml:space="preserve"> global </w:t>
      </w:r>
      <w:proofErr w:type="spellStart"/>
      <w:r w:rsidRPr="00766BB4">
        <w:t>balances</w:t>
      </w:r>
      <w:proofErr w:type="spellEnd"/>
      <w:r w:rsidRPr="00766BB4">
        <w:t xml:space="preserve"> </w:t>
      </w:r>
      <w:proofErr w:type="spellStart"/>
      <w:r w:rsidRPr="00766BB4">
        <w:t>following</w:t>
      </w:r>
      <w:proofErr w:type="spellEnd"/>
      <w:r w:rsidRPr="00766BB4">
        <w:t xml:space="preserve"> </w:t>
      </w:r>
      <w:proofErr w:type="spellStart"/>
      <w:r w:rsidRPr="00766BB4">
        <w:t>the</w:t>
      </w:r>
      <w:proofErr w:type="spellEnd"/>
      <w:r w:rsidRPr="00766BB4">
        <w:t xml:space="preserve"> </w:t>
      </w:r>
      <w:proofErr w:type="spellStart"/>
      <w:r w:rsidRPr="00766BB4">
        <w:t>end</w:t>
      </w:r>
      <w:proofErr w:type="spellEnd"/>
      <w:r w:rsidRPr="00766BB4">
        <w:t xml:space="preserve"> of </w:t>
      </w:r>
      <w:proofErr w:type="spellStart"/>
      <w:r w:rsidRPr="00766BB4">
        <w:t>the</w:t>
      </w:r>
      <w:proofErr w:type="spellEnd"/>
      <w:r w:rsidRPr="00766BB4">
        <w:t xml:space="preserve"> </w:t>
      </w:r>
      <w:proofErr w:type="spellStart"/>
      <w:r w:rsidRPr="00766BB4">
        <w:t>Cold</w:t>
      </w:r>
      <w:proofErr w:type="spellEnd"/>
      <w:r w:rsidRPr="00766BB4">
        <w:t xml:space="preserve"> </w:t>
      </w:r>
      <w:proofErr w:type="spellStart"/>
      <w:r w:rsidRPr="00766BB4">
        <w:t>War</w:t>
      </w:r>
      <w:proofErr w:type="spellEnd"/>
      <w:r w:rsidRPr="00766BB4">
        <w:t xml:space="preserve"> </w:t>
      </w:r>
      <w:proofErr w:type="spellStart"/>
      <w:r w:rsidRPr="00766BB4">
        <w:t>and</w:t>
      </w:r>
      <w:proofErr w:type="spellEnd"/>
      <w:r w:rsidRPr="00766BB4">
        <w:t xml:space="preserve"> </w:t>
      </w:r>
      <w:proofErr w:type="spellStart"/>
      <w:r w:rsidRPr="00766BB4">
        <w:t>the</w:t>
      </w:r>
      <w:proofErr w:type="spellEnd"/>
      <w:r w:rsidRPr="00766BB4">
        <w:t xml:space="preserve"> </w:t>
      </w:r>
      <w:proofErr w:type="spellStart"/>
      <w:r w:rsidRPr="00766BB4">
        <w:t>dissolution</w:t>
      </w:r>
      <w:proofErr w:type="spellEnd"/>
      <w:r w:rsidRPr="00766BB4">
        <w:t xml:space="preserve"> of </w:t>
      </w:r>
      <w:proofErr w:type="spellStart"/>
      <w:r w:rsidRPr="00766BB4">
        <w:t>the</w:t>
      </w:r>
      <w:proofErr w:type="spellEnd"/>
      <w:r w:rsidRPr="00766BB4">
        <w:t xml:space="preserve"> USSR on </w:t>
      </w:r>
      <w:proofErr w:type="spellStart"/>
      <w:r w:rsidRPr="00766BB4">
        <w:t>the</w:t>
      </w:r>
      <w:proofErr w:type="spellEnd"/>
      <w:r w:rsidRPr="00766BB4">
        <w:t xml:space="preserve"> </w:t>
      </w:r>
      <w:proofErr w:type="spellStart"/>
      <w:r w:rsidRPr="00766BB4">
        <w:t>political</w:t>
      </w:r>
      <w:proofErr w:type="spellEnd"/>
      <w:r w:rsidRPr="00766BB4">
        <w:t xml:space="preserve">, </w:t>
      </w:r>
      <w:proofErr w:type="spellStart"/>
      <w:r w:rsidRPr="00766BB4">
        <w:t>economic</w:t>
      </w:r>
      <w:proofErr w:type="spellEnd"/>
      <w:r w:rsidRPr="00766BB4">
        <w:t xml:space="preserve"> </w:t>
      </w:r>
      <w:proofErr w:type="spellStart"/>
      <w:r w:rsidRPr="00766BB4">
        <w:t>and</w:t>
      </w:r>
      <w:proofErr w:type="spellEnd"/>
      <w:r w:rsidRPr="00766BB4">
        <w:t xml:space="preserve"> </w:t>
      </w:r>
      <w:proofErr w:type="spellStart"/>
      <w:r w:rsidRPr="00766BB4">
        <w:t>military</w:t>
      </w:r>
      <w:proofErr w:type="spellEnd"/>
      <w:r w:rsidRPr="00766BB4">
        <w:t xml:space="preserve"> </w:t>
      </w:r>
      <w:proofErr w:type="spellStart"/>
      <w:r w:rsidRPr="00766BB4">
        <w:t>relations</w:t>
      </w:r>
      <w:proofErr w:type="spellEnd"/>
      <w:r w:rsidRPr="00766BB4">
        <w:t xml:space="preserve"> </w:t>
      </w:r>
      <w:proofErr w:type="spellStart"/>
      <w:r w:rsidRPr="00766BB4">
        <w:t>between</w:t>
      </w:r>
      <w:proofErr w:type="spellEnd"/>
      <w:r w:rsidRPr="00766BB4">
        <w:t xml:space="preserve"> </w:t>
      </w:r>
      <w:proofErr w:type="spellStart"/>
      <w:r w:rsidRPr="00766BB4">
        <w:t>the</w:t>
      </w:r>
      <w:proofErr w:type="spellEnd"/>
      <w:r w:rsidRPr="00766BB4">
        <w:t xml:space="preserve"> two </w:t>
      </w:r>
      <w:proofErr w:type="spellStart"/>
      <w:r w:rsidRPr="00766BB4">
        <w:t>states</w:t>
      </w:r>
      <w:proofErr w:type="spellEnd"/>
      <w:r w:rsidRPr="00766BB4">
        <w:t xml:space="preserve"> has </w:t>
      </w:r>
      <w:proofErr w:type="spellStart"/>
      <w:r w:rsidRPr="00766BB4">
        <w:t>been</w:t>
      </w:r>
      <w:proofErr w:type="spellEnd"/>
      <w:r w:rsidRPr="00766BB4">
        <w:t xml:space="preserve"> </w:t>
      </w:r>
      <w:proofErr w:type="spellStart"/>
      <w:r w:rsidRPr="00766BB4">
        <w:t>observed</w:t>
      </w:r>
      <w:proofErr w:type="spellEnd"/>
      <w:r w:rsidRPr="00766BB4">
        <w:t>.</w:t>
      </w:r>
      <w:r>
        <w:t xml:space="preserve"> </w:t>
      </w:r>
      <w:proofErr w:type="spellStart"/>
      <w:r w:rsidRPr="00766BB4">
        <w:t>In</w:t>
      </w:r>
      <w:proofErr w:type="spellEnd"/>
      <w:r w:rsidRPr="00766BB4">
        <w:t xml:space="preserve"> </w:t>
      </w:r>
      <w:proofErr w:type="spellStart"/>
      <w:r w:rsidRPr="00766BB4">
        <w:t>political</w:t>
      </w:r>
      <w:proofErr w:type="spellEnd"/>
      <w:r w:rsidRPr="00766BB4">
        <w:t xml:space="preserve"> </w:t>
      </w:r>
      <w:proofErr w:type="spellStart"/>
      <w:r w:rsidRPr="00766BB4">
        <w:t>and</w:t>
      </w:r>
      <w:proofErr w:type="spellEnd"/>
      <w:r w:rsidRPr="00766BB4">
        <w:t xml:space="preserve"> </w:t>
      </w:r>
      <w:proofErr w:type="spellStart"/>
      <w:r w:rsidRPr="00766BB4">
        <w:t>diplomatic</w:t>
      </w:r>
      <w:proofErr w:type="spellEnd"/>
      <w:r w:rsidRPr="00766BB4">
        <w:t xml:space="preserve"> </w:t>
      </w:r>
      <w:proofErr w:type="spellStart"/>
      <w:r w:rsidRPr="00766BB4">
        <w:t>relations</w:t>
      </w:r>
      <w:proofErr w:type="spellEnd"/>
      <w:r w:rsidRPr="00766BB4">
        <w:t xml:space="preserve">, </w:t>
      </w:r>
      <w:proofErr w:type="spellStart"/>
      <w:r w:rsidRPr="00766BB4">
        <w:t>Turkey's</w:t>
      </w:r>
      <w:proofErr w:type="spellEnd"/>
      <w:r w:rsidRPr="00766BB4">
        <w:t xml:space="preserve"> </w:t>
      </w:r>
      <w:proofErr w:type="spellStart"/>
      <w:r w:rsidRPr="00766BB4">
        <w:t>accession</w:t>
      </w:r>
      <w:proofErr w:type="spellEnd"/>
      <w:r w:rsidRPr="00766BB4">
        <w:t xml:space="preserve"> </w:t>
      </w:r>
      <w:proofErr w:type="spellStart"/>
      <w:r w:rsidRPr="00766BB4">
        <w:t>to</w:t>
      </w:r>
      <w:proofErr w:type="spellEnd"/>
      <w:r w:rsidRPr="00766BB4">
        <w:t xml:space="preserve"> NATO, </w:t>
      </w:r>
      <w:proofErr w:type="spellStart"/>
      <w:r w:rsidRPr="00766BB4">
        <w:t>the</w:t>
      </w:r>
      <w:proofErr w:type="spellEnd"/>
      <w:r w:rsidRPr="00766BB4">
        <w:t xml:space="preserve"> </w:t>
      </w:r>
      <w:proofErr w:type="spellStart"/>
      <w:r w:rsidRPr="00766BB4">
        <w:t>European</w:t>
      </w:r>
      <w:proofErr w:type="spellEnd"/>
      <w:r w:rsidRPr="00766BB4">
        <w:t xml:space="preserve"> </w:t>
      </w:r>
      <w:proofErr w:type="spellStart"/>
      <w:r w:rsidRPr="00766BB4">
        <w:t>Union</w:t>
      </w:r>
      <w:proofErr w:type="spellEnd"/>
      <w:r w:rsidRPr="00766BB4">
        <w:t xml:space="preserve"> </w:t>
      </w:r>
      <w:proofErr w:type="spellStart"/>
      <w:r w:rsidRPr="00766BB4">
        <w:t>membership</w:t>
      </w:r>
      <w:proofErr w:type="spellEnd"/>
      <w:r w:rsidRPr="00766BB4">
        <w:t xml:space="preserve"> </w:t>
      </w:r>
      <w:proofErr w:type="spellStart"/>
      <w:r w:rsidRPr="00766BB4">
        <w:t>process</w:t>
      </w:r>
      <w:proofErr w:type="spellEnd"/>
      <w:r w:rsidRPr="00766BB4">
        <w:t xml:space="preserve"> </w:t>
      </w:r>
      <w:proofErr w:type="spellStart"/>
      <w:r w:rsidRPr="00766BB4">
        <w:t>and</w:t>
      </w:r>
      <w:proofErr w:type="spellEnd"/>
      <w:r w:rsidRPr="00766BB4">
        <w:t xml:space="preserve"> </w:t>
      </w:r>
      <w:proofErr w:type="spellStart"/>
      <w:r w:rsidRPr="00766BB4">
        <w:t>the</w:t>
      </w:r>
      <w:proofErr w:type="spellEnd"/>
      <w:r w:rsidRPr="00766BB4">
        <w:t xml:space="preserve"> </w:t>
      </w:r>
      <w:proofErr w:type="spellStart"/>
      <w:r w:rsidRPr="00766BB4">
        <w:t>common</w:t>
      </w:r>
      <w:proofErr w:type="spellEnd"/>
      <w:r w:rsidRPr="00766BB4">
        <w:t xml:space="preserve"> </w:t>
      </w:r>
      <w:proofErr w:type="spellStart"/>
      <w:r w:rsidRPr="00766BB4">
        <w:t>attitudes</w:t>
      </w:r>
      <w:proofErr w:type="spellEnd"/>
      <w:r w:rsidRPr="00766BB4">
        <w:t xml:space="preserve"> </w:t>
      </w:r>
      <w:proofErr w:type="spellStart"/>
      <w:r w:rsidRPr="00766BB4">
        <w:t>displayed</w:t>
      </w:r>
      <w:proofErr w:type="spellEnd"/>
      <w:r w:rsidRPr="00766BB4">
        <w:t xml:space="preserve"> in </w:t>
      </w:r>
      <w:proofErr w:type="spellStart"/>
      <w:r w:rsidRPr="00766BB4">
        <w:t>regional</w:t>
      </w:r>
      <w:proofErr w:type="spellEnd"/>
      <w:r w:rsidRPr="00766BB4">
        <w:t xml:space="preserve"> </w:t>
      </w:r>
      <w:proofErr w:type="spellStart"/>
      <w:r w:rsidRPr="00766BB4">
        <w:t>crises</w:t>
      </w:r>
      <w:proofErr w:type="spellEnd"/>
      <w:r w:rsidRPr="00766BB4">
        <w:t xml:space="preserve"> </w:t>
      </w:r>
      <w:proofErr w:type="spellStart"/>
      <w:r w:rsidRPr="00766BB4">
        <w:t>have</w:t>
      </w:r>
      <w:proofErr w:type="spellEnd"/>
      <w:r w:rsidRPr="00766BB4">
        <w:t xml:space="preserve"> </w:t>
      </w:r>
      <w:proofErr w:type="spellStart"/>
      <w:r w:rsidRPr="00766BB4">
        <w:t>accelerated</w:t>
      </w:r>
      <w:proofErr w:type="spellEnd"/>
      <w:r w:rsidRPr="00766BB4">
        <w:t xml:space="preserve"> </w:t>
      </w:r>
      <w:proofErr w:type="spellStart"/>
      <w:r w:rsidRPr="00766BB4">
        <w:t>the</w:t>
      </w:r>
      <w:proofErr w:type="spellEnd"/>
      <w:r w:rsidRPr="00766BB4">
        <w:t xml:space="preserve"> </w:t>
      </w:r>
      <w:proofErr w:type="spellStart"/>
      <w:r w:rsidRPr="00766BB4">
        <w:t>cooperation</w:t>
      </w:r>
      <w:proofErr w:type="spellEnd"/>
      <w:r w:rsidRPr="00766BB4">
        <w:t xml:space="preserve"> </w:t>
      </w:r>
      <w:proofErr w:type="spellStart"/>
      <w:r w:rsidRPr="00766BB4">
        <w:t>process</w:t>
      </w:r>
      <w:proofErr w:type="spellEnd"/>
      <w:r w:rsidRPr="00766BB4">
        <w:t xml:space="preserve"> </w:t>
      </w:r>
      <w:proofErr w:type="spellStart"/>
      <w:r w:rsidRPr="00766BB4">
        <w:t>between</w:t>
      </w:r>
      <w:proofErr w:type="spellEnd"/>
      <w:r w:rsidRPr="00766BB4">
        <w:t xml:space="preserve"> </w:t>
      </w:r>
      <w:proofErr w:type="spellStart"/>
      <w:r w:rsidRPr="00766BB4">
        <w:t>the</w:t>
      </w:r>
      <w:proofErr w:type="spellEnd"/>
      <w:r w:rsidRPr="00766BB4">
        <w:t xml:space="preserve"> two </w:t>
      </w:r>
      <w:proofErr w:type="spellStart"/>
      <w:r w:rsidRPr="00766BB4">
        <w:t>states</w:t>
      </w:r>
      <w:proofErr w:type="spellEnd"/>
      <w:r w:rsidRPr="00766BB4">
        <w:t xml:space="preserve">. </w:t>
      </w:r>
      <w:proofErr w:type="spellStart"/>
      <w:r w:rsidRPr="00766BB4">
        <w:t>The</w:t>
      </w:r>
      <w:proofErr w:type="spellEnd"/>
      <w:r w:rsidRPr="00766BB4">
        <w:t xml:space="preserve"> </w:t>
      </w:r>
      <w:proofErr w:type="spellStart"/>
      <w:r w:rsidRPr="00766BB4">
        <w:t>partnership</w:t>
      </w:r>
      <w:proofErr w:type="spellEnd"/>
      <w:r w:rsidRPr="00766BB4">
        <w:t xml:space="preserve"> </w:t>
      </w:r>
      <w:proofErr w:type="spellStart"/>
      <w:r w:rsidRPr="00766BB4">
        <w:t>and</w:t>
      </w:r>
      <w:proofErr w:type="spellEnd"/>
      <w:r w:rsidRPr="00766BB4">
        <w:t xml:space="preserve"> </w:t>
      </w:r>
      <w:proofErr w:type="spellStart"/>
      <w:r w:rsidRPr="00766BB4">
        <w:t>defense</w:t>
      </w:r>
      <w:proofErr w:type="spellEnd"/>
      <w:r w:rsidRPr="00766BB4">
        <w:t xml:space="preserve"> </w:t>
      </w:r>
      <w:proofErr w:type="spellStart"/>
      <w:r w:rsidRPr="00766BB4">
        <w:t>policies</w:t>
      </w:r>
      <w:proofErr w:type="spellEnd"/>
      <w:r w:rsidRPr="00766BB4">
        <w:t xml:space="preserve"> in </w:t>
      </w:r>
      <w:proofErr w:type="spellStart"/>
      <w:r w:rsidRPr="00766BB4">
        <w:t>the</w:t>
      </w:r>
      <w:proofErr w:type="spellEnd"/>
      <w:r w:rsidRPr="00766BB4">
        <w:t xml:space="preserve"> </w:t>
      </w:r>
      <w:proofErr w:type="spellStart"/>
      <w:r w:rsidRPr="00766BB4">
        <w:t>military</w:t>
      </w:r>
      <w:proofErr w:type="spellEnd"/>
      <w:r w:rsidRPr="00766BB4">
        <w:t xml:space="preserve"> </w:t>
      </w:r>
      <w:proofErr w:type="spellStart"/>
      <w:r w:rsidRPr="00766BB4">
        <w:t>field</w:t>
      </w:r>
      <w:proofErr w:type="spellEnd"/>
      <w:r w:rsidRPr="00766BB4">
        <w:t xml:space="preserve"> </w:t>
      </w:r>
      <w:proofErr w:type="spellStart"/>
      <w:r w:rsidRPr="00766BB4">
        <w:t>have</w:t>
      </w:r>
      <w:proofErr w:type="spellEnd"/>
      <w:r w:rsidRPr="00766BB4">
        <w:t xml:space="preserve"> </w:t>
      </w:r>
      <w:proofErr w:type="spellStart"/>
      <w:r w:rsidRPr="00766BB4">
        <w:t>been</w:t>
      </w:r>
      <w:proofErr w:type="spellEnd"/>
      <w:r w:rsidRPr="00766BB4">
        <w:t xml:space="preserve"> of </w:t>
      </w:r>
      <w:proofErr w:type="spellStart"/>
      <w:r w:rsidRPr="00766BB4">
        <w:t>critical</w:t>
      </w:r>
      <w:proofErr w:type="spellEnd"/>
      <w:r w:rsidRPr="00766BB4">
        <w:t xml:space="preserve"> </w:t>
      </w:r>
      <w:proofErr w:type="spellStart"/>
      <w:r w:rsidRPr="00766BB4">
        <w:t>importance</w:t>
      </w:r>
      <w:proofErr w:type="spellEnd"/>
      <w:r w:rsidRPr="00766BB4">
        <w:t xml:space="preserve">, </w:t>
      </w:r>
      <w:proofErr w:type="spellStart"/>
      <w:r w:rsidRPr="00766BB4">
        <w:t>especially</w:t>
      </w:r>
      <w:proofErr w:type="spellEnd"/>
      <w:r w:rsidRPr="00766BB4">
        <w:t xml:space="preserve"> in </w:t>
      </w:r>
      <w:proofErr w:type="spellStart"/>
      <w:r w:rsidRPr="00766BB4">
        <w:t>the</w:t>
      </w:r>
      <w:proofErr w:type="spellEnd"/>
      <w:r w:rsidRPr="00766BB4">
        <w:t xml:space="preserve"> </w:t>
      </w:r>
      <w:proofErr w:type="spellStart"/>
      <w:r w:rsidRPr="00766BB4">
        <w:t>context</w:t>
      </w:r>
      <w:proofErr w:type="spellEnd"/>
      <w:r w:rsidRPr="00766BB4">
        <w:t xml:space="preserve"> of </w:t>
      </w:r>
      <w:proofErr w:type="spellStart"/>
      <w:r w:rsidRPr="00766BB4">
        <w:t>regional</w:t>
      </w:r>
      <w:proofErr w:type="spellEnd"/>
      <w:r w:rsidRPr="00766BB4">
        <w:t xml:space="preserve"> </w:t>
      </w:r>
      <w:proofErr w:type="spellStart"/>
      <w:r w:rsidRPr="00766BB4">
        <w:t>security</w:t>
      </w:r>
      <w:proofErr w:type="spellEnd"/>
      <w:r w:rsidRPr="00766BB4">
        <w:t xml:space="preserve"> </w:t>
      </w:r>
      <w:proofErr w:type="spellStart"/>
      <w:r w:rsidRPr="00766BB4">
        <w:t>and</w:t>
      </w:r>
      <w:proofErr w:type="spellEnd"/>
      <w:r w:rsidRPr="00766BB4">
        <w:t xml:space="preserve"> </w:t>
      </w:r>
      <w:proofErr w:type="spellStart"/>
      <w:r w:rsidRPr="00766BB4">
        <w:t>stability</w:t>
      </w:r>
      <w:proofErr w:type="spellEnd"/>
      <w:r w:rsidRPr="00766BB4">
        <w:t xml:space="preserve">. </w:t>
      </w:r>
      <w:proofErr w:type="spellStart"/>
      <w:r w:rsidRPr="00766BB4">
        <w:t>When</w:t>
      </w:r>
      <w:proofErr w:type="spellEnd"/>
      <w:r w:rsidRPr="00766BB4">
        <w:t xml:space="preserve"> </w:t>
      </w:r>
      <w:proofErr w:type="spellStart"/>
      <w:r w:rsidRPr="00766BB4">
        <w:t>looked</w:t>
      </w:r>
      <w:proofErr w:type="spellEnd"/>
      <w:r w:rsidRPr="00766BB4">
        <w:t xml:space="preserve"> at </w:t>
      </w:r>
      <w:proofErr w:type="spellStart"/>
      <w:r w:rsidRPr="00766BB4">
        <w:t>from</w:t>
      </w:r>
      <w:proofErr w:type="spellEnd"/>
      <w:r w:rsidRPr="00766BB4">
        <w:t xml:space="preserve"> an </w:t>
      </w:r>
      <w:proofErr w:type="spellStart"/>
      <w:r w:rsidRPr="00766BB4">
        <w:t>economic</w:t>
      </w:r>
      <w:proofErr w:type="spellEnd"/>
      <w:r w:rsidRPr="00766BB4">
        <w:t xml:space="preserve"> </w:t>
      </w:r>
      <w:proofErr w:type="spellStart"/>
      <w:r w:rsidRPr="00766BB4">
        <w:t>perspective</w:t>
      </w:r>
      <w:proofErr w:type="spellEnd"/>
      <w:r w:rsidRPr="00766BB4">
        <w:t xml:space="preserve">, </w:t>
      </w:r>
      <w:proofErr w:type="spellStart"/>
      <w:r w:rsidRPr="00766BB4">
        <w:t>factors</w:t>
      </w:r>
      <w:proofErr w:type="spellEnd"/>
      <w:r w:rsidRPr="00766BB4">
        <w:t xml:space="preserve"> </w:t>
      </w:r>
      <w:proofErr w:type="spellStart"/>
      <w:r w:rsidRPr="00766BB4">
        <w:t>such</w:t>
      </w:r>
      <w:proofErr w:type="spellEnd"/>
      <w:r w:rsidRPr="00766BB4">
        <w:t xml:space="preserve"> as </w:t>
      </w:r>
      <w:proofErr w:type="spellStart"/>
      <w:r w:rsidRPr="00766BB4">
        <w:t>the</w:t>
      </w:r>
      <w:proofErr w:type="spellEnd"/>
      <w:r w:rsidRPr="00766BB4">
        <w:t xml:space="preserve"> </w:t>
      </w:r>
      <w:proofErr w:type="spellStart"/>
      <w:r w:rsidRPr="00766BB4">
        <w:t>trade</w:t>
      </w:r>
      <w:proofErr w:type="spellEnd"/>
      <w:r w:rsidRPr="00766BB4">
        <w:t xml:space="preserve"> </w:t>
      </w:r>
      <w:proofErr w:type="spellStart"/>
      <w:r w:rsidRPr="00766BB4">
        <w:t>volume</w:t>
      </w:r>
      <w:proofErr w:type="spellEnd"/>
      <w:r w:rsidRPr="00766BB4">
        <w:t xml:space="preserve">, </w:t>
      </w:r>
      <w:proofErr w:type="spellStart"/>
      <w:r w:rsidRPr="00766BB4">
        <w:t>investments</w:t>
      </w:r>
      <w:proofErr w:type="spellEnd"/>
      <w:r w:rsidRPr="00766BB4">
        <w:t xml:space="preserve">, </w:t>
      </w:r>
      <w:proofErr w:type="spellStart"/>
      <w:r w:rsidRPr="00766BB4">
        <w:t>financial</w:t>
      </w:r>
      <w:proofErr w:type="spellEnd"/>
      <w:r w:rsidRPr="00766BB4">
        <w:t xml:space="preserve"> </w:t>
      </w:r>
      <w:proofErr w:type="spellStart"/>
      <w:r w:rsidRPr="00766BB4">
        <w:t>agreements</w:t>
      </w:r>
      <w:proofErr w:type="spellEnd"/>
      <w:r w:rsidRPr="00766BB4">
        <w:t xml:space="preserve"> </w:t>
      </w:r>
      <w:proofErr w:type="spellStart"/>
      <w:r w:rsidRPr="00766BB4">
        <w:t>and</w:t>
      </w:r>
      <w:proofErr w:type="spellEnd"/>
      <w:r w:rsidRPr="00766BB4">
        <w:t xml:space="preserve"> </w:t>
      </w:r>
      <w:proofErr w:type="spellStart"/>
      <w:r w:rsidRPr="00766BB4">
        <w:t>tourism</w:t>
      </w:r>
      <w:proofErr w:type="spellEnd"/>
      <w:r w:rsidRPr="00766BB4">
        <w:t xml:space="preserve"> </w:t>
      </w:r>
      <w:proofErr w:type="spellStart"/>
      <w:r w:rsidRPr="00766BB4">
        <w:t>activities</w:t>
      </w:r>
      <w:proofErr w:type="spellEnd"/>
      <w:r w:rsidRPr="00766BB4">
        <w:t xml:space="preserve"> </w:t>
      </w:r>
      <w:proofErr w:type="spellStart"/>
      <w:r w:rsidRPr="00766BB4">
        <w:t>between</w:t>
      </w:r>
      <w:proofErr w:type="spellEnd"/>
      <w:r w:rsidRPr="00766BB4">
        <w:t xml:space="preserve"> </w:t>
      </w:r>
      <w:proofErr w:type="spellStart"/>
      <w:r w:rsidRPr="00766BB4">
        <w:t>the</w:t>
      </w:r>
      <w:proofErr w:type="spellEnd"/>
      <w:r w:rsidRPr="00766BB4">
        <w:t xml:space="preserve"> two </w:t>
      </w:r>
      <w:proofErr w:type="spellStart"/>
      <w:r w:rsidRPr="00766BB4">
        <w:t>governments</w:t>
      </w:r>
      <w:proofErr w:type="spellEnd"/>
      <w:r w:rsidRPr="00766BB4">
        <w:t xml:space="preserve"> </w:t>
      </w:r>
      <w:proofErr w:type="spellStart"/>
      <w:r w:rsidRPr="00766BB4">
        <w:t>have</w:t>
      </w:r>
      <w:proofErr w:type="spellEnd"/>
      <w:r w:rsidRPr="00766BB4">
        <w:t xml:space="preserve"> </w:t>
      </w:r>
      <w:proofErr w:type="spellStart"/>
      <w:r w:rsidRPr="00766BB4">
        <w:t>increased</w:t>
      </w:r>
      <w:proofErr w:type="spellEnd"/>
      <w:r w:rsidRPr="00766BB4">
        <w:t>.</w:t>
      </w:r>
      <w:r>
        <w:t xml:space="preserve"> </w:t>
      </w:r>
      <w:proofErr w:type="spellStart"/>
      <w:r w:rsidRPr="00766BB4">
        <w:t>Another</w:t>
      </w:r>
      <w:proofErr w:type="spellEnd"/>
      <w:r w:rsidRPr="00766BB4">
        <w:t xml:space="preserve"> </w:t>
      </w:r>
      <w:proofErr w:type="spellStart"/>
      <w:r w:rsidRPr="00766BB4">
        <w:t>important</w:t>
      </w:r>
      <w:proofErr w:type="spellEnd"/>
      <w:r w:rsidRPr="00766BB4">
        <w:t xml:space="preserve"> </w:t>
      </w:r>
      <w:proofErr w:type="spellStart"/>
      <w:r w:rsidRPr="00766BB4">
        <w:t>factor</w:t>
      </w:r>
      <w:proofErr w:type="spellEnd"/>
      <w:r w:rsidRPr="00766BB4">
        <w:t xml:space="preserve"> </w:t>
      </w:r>
      <w:proofErr w:type="spellStart"/>
      <w:r w:rsidRPr="00766BB4">
        <w:t>that</w:t>
      </w:r>
      <w:proofErr w:type="spellEnd"/>
      <w:r w:rsidRPr="00766BB4">
        <w:t xml:space="preserve"> </w:t>
      </w:r>
      <w:proofErr w:type="spellStart"/>
      <w:r w:rsidRPr="00766BB4">
        <w:t>played</w:t>
      </w:r>
      <w:proofErr w:type="spellEnd"/>
      <w:r w:rsidRPr="00766BB4">
        <w:t xml:space="preserve"> a role in </w:t>
      </w:r>
      <w:proofErr w:type="spellStart"/>
      <w:r w:rsidRPr="00766BB4">
        <w:t>the</w:t>
      </w:r>
      <w:proofErr w:type="spellEnd"/>
      <w:r w:rsidRPr="00766BB4">
        <w:t xml:space="preserve"> post-</w:t>
      </w:r>
      <w:proofErr w:type="spellStart"/>
      <w:r w:rsidRPr="00766BB4">
        <w:t>Cold</w:t>
      </w:r>
      <w:proofErr w:type="spellEnd"/>
      <w:r w:rsidRPr="00766BB4">
        <w:t xml:space="preserve"> </w:t>
      </w:r>
      <w:proofErr w:type="spellStart"/>
      <w:r w:rsidRPr="00766BB4">
        <w:t>War</w:t>
      </w:r>
      <w:proofErr w:type="spellEnd"/>
      <w:r w:rsidRPr="00766BB4">
        <w:t xml:space="preserve"> </w:t>
      </w:r>
      <w:proofErr w:type="spellStart"/>
      <w:r w:rsidRPr="00766BB4">
        <w:t>period</w:t>
      </w:r>
      <w:proofErr w:type="spellEnd"/>
      <w:r w:rsidRPr="00766BB4">
        <w:t xml:space="preserve"> </w:t>
      </w:r>
      <w:proofErr w:type="spellStart"/>
      <w:r w:rsidRPr="00766BB4">
        <w:t>and</w:t>
      </w:r>
      <w:proofErr w:type="spellEnd"/>
      <w:r w:rsidRPr="00766BB4">
        <w:t xml:space="preserve"> 2002 in </w:t>
      </w:r>
      <w:proofErr w:type="spellStart"/>
      <w:r w:rsidRPr="00766BB4">
        <w:t>Turkey</w:t>
      </w:r>
      <w:proofErr w:type="spellEnd"/>
      <w:r w:rsidRPr="00766BB4">
        <w:t xml:space="preserve">-UK </w:t>
      </w:r>
      <w:proofErr w:type="spellStart"/>
      <w:r w:rsidRPr="00766BB4">
        <w:t>relations</w:t>
      </w:r>
      <w:proofErr w:type="spellEnd"/>
      <w:r w:rsidRPr="00766BB4">
        <w:t xml:space="preserve"> has </w:t>
      </w:r>
      <w:proofErr w:type="spellStart"/>
      <w:r w:rsidRPr="00766BB4">
        <w:t>been</w:t>
      </w:r>
      <w:proofErr w:type="spellEnd"/>
      <w:r w:rsidRPr="00766BB4">
        <w:t xml:space="preserve"> </w:t>
      </w:r>
      <w:proofErr w:type="spellStart"/>
      <w:r w:rsidRPr="00766BB4">
        <w:t>the</w:t>
      </w:r>
      <w:proofErr w:type="spellEnd"/>
      <w:r w:rsidRPr="00766BB4">
        <w:t xml:space="preserve"> </w:t>
      </w:r>
      <w:proofErr w:type="spellStart"/>
      <w:r w:rsidRPr="00766BB4">
        <w:t>developments</w:t>
      </w:r>
      <w:proofErr w:type="spellEnd"/>
      <w:r w:rsidRPr="00766BB4">
        <w:t xml:space="preserve"> in </w:t>
      </w:r>
      <w:proofErr w:type="spellStart"/>
      <w:r w:rsidRPr="00766BB4">
        <w:t>the</w:t>
      </w:r>
      <w:proofErr w:type="spellEnd"/>
      <w:r w:rsidRPr="00766BB4">
        <w:t xml:space="preserve"> </w:t>
      </w:r>
      <w:proofErr w:type="spellStart"/>
      <w:r w:rsidRPr="00766BB4">
        <w:t>cultural</w:t>
      </w:r>
      <w:proofErr w:type="spellEnd"/>
      <w:r w:rsidRPr="00766BB4">
        <w:t xml:space="preserve"> </w:t>
      </w:r>
      <w:proofErr w:type="spellStart"/>
      <w:r w:rsidRPr="00766BB4">
        <w:t>and</w:t>
      </w:r>
      <w:proofErr w:type="spellEnd"/>
      <w:r w:rsidRPr="00766BB4">
        <w:t xml:space="preserve"> </w:t>
      </w:r>
      <w:proofErr w:type="spellStart"/>
      <w:r w:rsidRPr="00766BB4">
        <w:t>social</w:t>
      </w:r>
      <w:proofErr w:type="spellEnd"/>
      <w:r w:rsidRPr="00766BB4">
        <w:t xml:space="preserve"> </w:t>
      </w:r>
      <w:proofErr w:type="spellStart"/>
      <w:r w:rsidRPr="00766BB4">
        <w:t>fields</w:t>
      </w:r>
      <w:proofErr w:type="spellEnd"/>
      <w:r w:rsidRPr="00766BB4">
        <w:t xml:space="preserve">. </w:t>
      </w:r>
      <w:proofErr w:type="spellStart"/>
      <w:r w:rsidRPr="00766BB4">
        <w:t>Innovations</w:t>
      </w:r>
      <w:proofErr w:type="spellEnd"/>
      <w:r w:rsidRPr="00766BB4">
        <w:t xml:space="preserve"> in </w:t>
      </w:r>
      <w:proofErr w:type="spellStart"/>
      <w:r w:rsidRPr="00766BB4">
        <w:t>the</w:t>
      </w:r>
      <w:proofErr w:type="spellEnd"/>
      <w:r w:rsidRPr="00766BB4">
        <w:t xml:space="preserve"> </w:t>
      </w:r>
      <w:proofErr w:type="spellStart"/>
      <w:r w:rsidRPr="00766BB4">
        <w:t>field</w:t>
      </w:r>
      <w:proofErr w:type="spellEnd"/>
      <w:r w:rsidRPr="00766BB4">
        <w:t xml:space="preserve"> of </w:t>
      </w:r>
      <w:proofErr w:type="spellStart"/>
      <w:r w:rsidRPr="00766BB4">
        <w:t>education</w:t>
      </w:r>
      <w:proofErr w:type="spellEnd"/>
      <w:r w:rsidRPr="00766BB4">
        <w:t xml:space="preserve"> </w:t>
      </w:r>
      <w:proofErr w:type="spellStart"/>
      <w:r w:rsidRPr="00766BB4">
        <w:t>that</w:t>
      </w:r>
      <w:proofErr w:type="spellEnd"/>
      <w:r w:rsidRPr="00766BB4">
        <w:t xml:space="preserve"> </w:t>
      </w:r>
      <w:proofErr w:type="spellStart"/>
      <w:r w:rsidRPr="00766BB4">
        <w:t>have</w:t>
      </w:r>
      <w:proofErr w:type="spellEnd"/>
      <w:r w:rsidRPr="00766BB4">
        <w:t xml:space="preserve"> </w:t>
      </w:r>
      <w:proofErr w:type="spellStart"/>
      <w:r w:rsidRPr="00766BB4">
        <w:t>been</w:t>
      </w:r>
      <w:proofErr w:type="spellEnd"/>
      <w:r w:rsidRPr="00766BB4">
        <w:t xml:space="preserve"> put </w:t>
      </w:r>
      <w:proofErr w:type="spellStart"/>
      <w:r w:rsidRPr="00766BB4">
        <w:t>into</w:t>
      </w:r>
      <w:proofErr w:type="spellEnd"/>
      <w:r w:rsidRPr="00766BB4">
        <w:t xml:space="preserve"> </w:t>
      </w:r>
      <w:proofErr w:type="spellStart"/>
      <w:r w:rsidRPr="00766BB4">
        <w:t>operation</w:t>
      </w:r>
      <w:proofErr w:type="spellEnd"/>
      <w:r w:rsidRPr="00766BB4">
        <w:t xml:space="preserve"> </w:t>
      </w:r>
      <w:proofErr w:type="spellStart"/>
      <w:r w:rsidRPr="00766BB4">
        <w:t>and</w:t>
      </w:r>
      <w:proofErr w:type="spellEnd"/>
      <w:r w:rsidRPr="00766BB4">
        <w:t xml:space="preserve"> </w:t>
      </w:r>
      <w:proofErr w:type="spellStart"/>
      <w:r w:rsidRPr="00766BB4">
        <w:t>student</w:t>
      </w:r>
      <w:proofErr w:type="spellEnd"/>
      <w:r w:rsidRPr="00766BB4">
        <w:t xml:space="preserve"> </w:t>
      </w:r>
      <w:proofErr w:type="spellStart"/>
      <w:r w:rsidRPr="00766BB4">
        <w:t>exchange</w:t>
      </w:r>
      <w:proofErr w:type="spellEnd"/>
      <w:r w:rsidRPr="00766BB4">
        <w:t xml:space="preserve"> </w:t>
      </w:r>
      <w:proofErr w:type="spellStart"/>
      <w:r w:rsidRPr="00766BB4">
        <w:t>programs</w:t>
      </w:r>
      <w:proofErr w:type="spellEnd"/>
      <w:r w:rsidRPr="00766BB4">
        <w:t xml:space="preserve"> </w:t>
      </w:r>
      <w:proofErr w:type="spellStart"/>
      <w:r w:rsidRPr="00766BB4">
        <w:t>have</w:t>
      </w:r>
      <w:proofErr w:type="spellEnd"/>
      <w:r w:rsidRPr="00766BB4">
        <w:t xml:space="preserve"> </w:t>
      </w:r>
      <w:proofErr w:type="spellStart"/>
      <w:r w:rsidRPr="00766BB4">
        <w:t>been</w:t>
      </w:r>
      <w:proofErr w:type="spellEnd"/>
      <w:r w:rsidRPr="00766BB4">
        <w:t xml:space="preserve"> </w:t>
      </w:r>
      <w:proofErr w:type="spellStart"/>
      <w:r w:rsidRPr="00766BB4">
        <w:t>brought</w:t>
      </w:r>
      <w:proofErr w:type="spellEnd"/>
      <w:r w:rsidRPr="00766BB4">
        <w:t xml:space="preserve"> </w:t>
      </w:r>
      <w:proofErr w:type="spellStart"/>
      <w:r w:rsidRPr="00766BB4">
        <w:t>to</w:t>
      </w:r>
      <w:proofErr w:type="spellEnd"/>
      <w:r w:rsidRPr="00766BB4">
        <w:t xml:space="preserve"> </w:t>
      </w:r>
      <w:proofErr w:type="spellStart"/>
      <w:r w:rsidRPr="00766BB4">
        <w:t>the</w:t>
      </w:r>
      <w:proofErr w:type="spellEnd"/>
      <w:r w:rsidRPr="00766BB4">
        <w:t xml:space="preserve"> </w:t>
      </w:r>
      <w:proofErr w:type="spellStart"/>
      <w:r w:rsidRPr="00766BB4">
        <w:t>agenda</w:t>
      </w:r>
      <w:proofErr w:type="spellEnd"/>
      <w:r w:rsidRPr="00766BB4">
        <w:t xml:space="preserve">. </w:t>
      </w:r>
      <w:proofErr w:type="spellStart"/>
      <w:r w:rsidRPr="00766BB4">
        <w:t>In</w:t>
      </w:r>
      <w:proofErr w:type="spellEnd"/>
      <w:r w:rsidRPr="00766BB4">
        <w:t xml:space="preserve"> </w:t>
      </w:r>
      <w:proofErr w:type="spellStart"/>
      <w:r w:rsidRPr="00766BB4">
        <w:t>this</w:t>
      </w:r>
      <w:proofErr w:type="spellEnd"/>
      <w:r w:rsidRPr="00766BB4">
        <w:t xml:space="preserve"> </w:t>
      </w:r>
      <w:proofErr w:type="spellStart"/>
      <w:r w:rsidRPr="00766BB4">
        <w:t>article</w:t>
      </w:r>
      <w:proofErr w:type="spellEnd"/>
      <w:r w:rsidRPr="00766BB4">
        <w:t xml:space="preserve">, in </w:t>
      </w:r>
      <w:proofErr w:type="spellStart"/>
      <w:r w:rsidRPr="00766BB4">
        <w:t>order</w:t>
      </w:r>
      <w:proofErr w:type="spellEnd"/>
      <w:r w:rsidRPr="00766BB4">
        <w:t xml:space="preserve"> </w:t>
      </w:r>
      <w:proofErr w:type="spellStart"/>
      <w:r w:rsidRPr="00766BB4">
        <w:t>to</w:t>
      </w:r>
      <w:proofErr w:type="spellEnd"/>
      <w:r w:rsidRPr="00766BB4">
        <w:t xml:space="preserve"> </w:t>
      </w:r>
      <w:proofErr w:type="spellStart"/>
      <w:r w:rsidRPr="00766BB4">
        <w:t>understand</w:t>
      </w:r>
      <w:proofErr w:type="spellEnd"/>
      <w:r w:rsidRPr="00766BB4">
        <w:t xml:space="preserve"> </w:t>
      </w:r>
      <w:proofErr w:type="spellStart"/>
      <w:r w:rsidRPr="00766BB4">
        <w:t>the</w:t>
      </w:r>
      <w:proofErr w:type="spellEnd"/>
      <w:r w:rsidRPr="00766BB4">
        <w:t xml:space="preserve"> </w:t>
      </w:r>
      <w:proofErr w:type="spellStart"/>
      <w:r w:rsidRPr="00766BB4">
        <w:t>continuity</w:t>
      </w:r>
      <w:proofErr w:type="spellEnd"/>
      <w:r w:rsidRPr="00766BB4">
        <w:t xml:space="preserve"> </w:t>
      </w:r>
      <w:proofErr w:type="spellStart"/>
      <w:r w:rsidRPr="00766BB4">
        <w:t>and</w:t>
      </w:r>
      <w:proofErr w:type="spellEnd"/>
      <w:r w:rsidRPr="00766BB4">
        <w:t xml:space="preserve"> </w:t>
      </w:r>
      <w:proofErr w:type="spellStart"/>
      <w:r w:rsidRPr="00766BB4">
        <w:t>change</w:t>
      </w:r>
      <w:proofErr w:type="spellEnd"/>
      <w:r w:rsidRPr="00766BB4">
        <w:t xml:space="preserve"> in </w:t>
      </w:r>
      <w:proofErr w:type="spellStart"/>
      <w:r w:rsidRPr="00766BB4">
        <w:t>the</w:t>
      </w:r>
      <w:proofErr w:type="spellEnd"/>
      <w:r w:rsidRPr="00766BB4">
        <w:t xml:space="preserve"> bilateral </w:t>
      </w:r>
      <w:proofErr w:type="spellStart"/>
      <w:r w:rsidRPr="00766BB4">
        <w:t>relations</w:t>
      </w:r>
      <w:proofErr w:type="spellEnd"/>
      <w:r w:rsidRPr="00766BB4">
        <w:t xml:space="preserve"> </w:t>
      </w:r>
      <w:proofErr w:type="spellStart"/>
      <w:r w:rsidRPr="00766BB4">
        <w:t>between</w:t>
      </w:r>
      <w:proofErr w:type="spellEnd"/>
      <w:r w:rsidRPr="00766BB4">
        <w:t xml:space="preserve"> </w:t>
      </w:r>
      <w:proofErr w:type="spellStart"/>
      <w:r w:rsidRPr="00766BB4">
        <w:t>Turkey</w:t>
      </w:r>
      <w:proofErr w:type="spellEnd"/>
      <w:r w:rsidRPr="00766BB4">
        <w:t xml:space="preserve"> </w:t>
      </w:r>
      <w:proofErr w:type="spellStart"/>
      <w:r w:rsidRPr="00766BB4">
        <w:t>and</w:t>
      </w:r>
      <w:proofErr w:type="spellEnd"/>
      <w:r w:rsidRPr="00766BB4">
        <w:t xml:space="preserve"> </w:t>
      </w:r>
      <w:proofErr w:type="spellStart"/>
      <w:r w:rsidRPr="00766BB4">
        <w:t>England</w:t>
      </w:r>
      <w:proofErr w:type="spellEnd"/>
      <w:r w:rsidRPr="00766BB4">
        <w:t xml:space="preserve">, </w:t>
      </w:r>
      <w:proofErr w:type="spellStart"/>
      <w:r w:rsidRPr="00766BB4">
        <w:t>the</w:t>
      </w:r>
      <w:proofErr w:type="spellEnd"/>
      <w:r w:rsidRPr="00766BB4">
        <w:t xml:space="preserve"> </w:t>
      </w:r>
      <w:proofErr w:type="spellStart"/>
      <w:r w:rsidRPr="00766BB4">
        <w:t>historical</w:t>
      </w:r>
      <w:proofErr w:type="spellEnd"/>
      <w:r w:rsidRPr="00766BB4">
        <w:t xml:space="preserve"> </w:t>
      </w:r>
      <w:proofErr w:type="spellStart"/>
      <w:r w:rsidRPr="00766BB4">
        <w:t>context</w:t>
      </w:r>
      <w:proofErr w:type="spellEnd"/>
      <w:r w:rsidRPr="00766BB4">
        <w:t xml:space="preserve"> is </w:t>
      </w:r>
      <w:proofErr w:type="spellStart"/>
      <w:r w:rsidRPr="00766BB4">
        <w:t>established</w:t>
      </w:r>
      <w:proofErr w:type="spellEnd"/>
      <w:r w:rsidRPr="00766BB4">
        <w:t xml:space="preserve"> </w:t>
      </w:r>
      <w:proofErr w:type="spellStart"/>
      <w:r w:rsidRPr="00766BB4">
        <w:t>and</w:t>
      </w:r>
      <w:proofErr w:type="spellEnd"/>
      <w:r w:rsidRPr="00766BB4">
        <w:t xml:space="preserve"> </w:t>
      </w:r>
      <w:proofErr w:type="spellStart"/>
      <w:r w:rsidRPr="00766BB4">
        <w:t>the</w:t>
      </w:r>
      <w:proofErr w:type="spellEnd"/>
      <w:r w:rsidRPr="00766BB4">
        <w:t xml:space="preserve"> </w:t>
      </w:r>
      <w:proofErr w:type="spellStart"/>
      <w:r w:rsidRPr="00766BB4">
        <w:t>diplomatic</w:t>
      </w:r>
      <w:proofErr w:type="spellEnd"/>
      <w:r w:rsidRPr="00766BB4">
        <w:t xml:space="preserve"> </w:t>
      </w:r>
      <w:proofErr w:type="spellStart"/>
      <w:r w:rsidRPr="00766BB4">
        <w:t>steps</w:t>
      </w:r>
      <w:proofErr w:type="spellEnd"/>
      <w:r w:rsidRPr="00766BB4">
        <w:t xml:space="preserve"> </w:t>
      </w:r>
      <w:proofErr w:type="spellStart"/>
      <w:r w:rsidRPr="00766BB4">
        <w:t>that</w:t>
      </w:r>
      <w:proofErr w:type="spellEnd"/>
      <w:r w:rsidRPr="00766BB4">
        <w:t xml:space="preserve"> </w:t>
      </w:r>
      <w:proofErr w:type="spellStart"/>
      <w:r w:rsidRPr="00766BB4">
        <w:t>developed</w:t>
      </w:r>
      <w:proofErr w:type="spellEnd"/>
      <w:r w:rsidRPr="00766BB4">
        <w:t xml:space="preserve"> </w:t>
      </w:r>
      <w:proofErr w:type="spellStart"/>
      <w:r w:rsidRPr="00766BB4">
        <w:t>under</w:t>
      </w:r>
      <w:proofErr w:type="spellEnd"/>
      <w:r w:rsidRPr="00766BB4">
        <w:t xml:space="preserve"> </w:t>
      </w:r>
      <w:proofErr w:type="spellStart"/>
      <w:r w:rsidRPr="00766BB4">
        <w:t>the</w:t>
      </w:r>
      <w:proofErr w:type="spellEnd"/>
      <w:r w:rsidRPr="00766BB4">
        <w:t xml:space="preserve"> </w:t>
      </w:r>
      <w:proofErr w:type="spellStart"/>
      <w:r w:rsidRPr="00766BB4">
        <w:t>influence</w:t>
      </w:r>
      <w:proofErr w:type="spellEnd"/>
      <w:r w:rsidRPr="00766BB4">
        <w:t xml:space="preserve"> of </w:t>
      </w:r>
      <w:proofErr w:type="spellStart"/>
      <w:r w:rsidRPr="00766BB4">
        <w:t>the</w:t>
      </w:r>
      <w:proofErr w:type="spellEnd"/>
      <w:r w:rsidRPr="00766BB4">
        <w:t xml:space="preserve"> </w:t>
      </w:r>
      <w:proofErr w:type="spellStart"/>
      <w:r w:rsidRPr="00766BB4">
        <w:t>international</w:t>
      </w:r>
      <w:proofErr w:type="spellEnd"/>
      <w:r w:rsidRPr="00766BB4">
        <w:t xml:space="preserve"> </w:t>
      </w:r>
      <w:proofErr w:type="spellStart"/>
      <w:r w:rsidRPr="00766BB4">
        <w:t>system</w:t>
      </w:r>
      <w:proofErr w:type="spellEnd"/>
      <w:r w:rsidRPr="00766BB4">
        <w:t xml:space="preserve"> </w:t>
      </w:r>
      <w:proofErr w:type="spellStart"/>
      <w:r w:rsidRPr="00766BB4">
        <w:t>and</w:t>
      </w:r>
      <w:proofErr w:type="spellEnd"/>
      <w:r w:rsidRPr="00766BB4">
        <w:t xml:space="preserve"> </w:t>
      </w:r>
      <w:proofErr w:type="spellStart"/>
      <w:r w:rsidRPr="00766BB4">
        <w:t>the</w:t>
      </w:r>
      <w:proofErr w:type="spellEnd"/>
      <w:r w:rsidRPr="00766BB4">
        <w:t xml:space="preserve"> </w:t>
      </w:r>
      <w:proofErr w:type="spellStart"/>
      <w:r w:rsidRPr="00766BB4">
        <w:t>new</w:t>
      </w:r>
      <w:proofErr w:type="spellEnd"/>
      <w:r w:rsidRPr="00766BB4">
        <w:t xml:space="preserve"> </w:t>
      </w:r>
      <w:proofErr w:type="spellStart"/>
      <w:r w:rsidRPr="00766BB4">
        <w:t>world</w:t>
      </w:r>
      <w:proofErr w:type="spellEnd"/>
      <w:r w:rsidRPr="00766BB4">
        <w:t xml:space="preserve"> </w:t>
      </w:r>
      <w:proofErr w:type="spellStart"/>
      <w:r w:rsidRPr="00766BB4">
        <w:t>order</w:t>
      </w:r>
      <w:proofErr w:type="spellEnd"/>
      <w:r w:rsidRPr="00766BB4">
        <w:t xml:space="preserve"> </w:t>
      </w:r>
      <w:proofErr w:type="spellStart"/>
      <w:r w:rsidRPr="00766BB4">
        <w:t>are</w:t>
      </w:r>
      <w:proofErr w:type="spellEnd"/>
      <w:r w:rsidRPr="00766BB4">
        <w:t xml:space="preserve"> </w:t>
      </w:r>
      <w:proofErr w:type="spellStart"/>
      <w:r w:rsidRPr="00766BB4">
        <w:t>examined</w:t>
      </w:r>
      <w:proofErr w:type="spellEnd"/>
      <w:r w:rsidRPr="00766BB4">
        <w:t xml:space="preserve">. </w:t>
      </w:r>
      <w:proofErr w:type="spellStart"/>
      <w:r w:rsidRPr="00766BB4">
        <w:t>In</w:t>
      </w:r>
      <w:proofErr w:type="spellEnd"/>
      <w:r w:rsidRPr="00766BB4">
        <w:t xml:space="preserve"> </w:t>
      </w:r>
      <w:proofErr w:type="spellStart"/>
      <w:r w:rsidRPr="00766BB4">
        <w:t>this</w:t>
      </w:r>
      <w:proofErr w:type="spellEnd"/>
      <w:r w:rsidRPr="00766BB4">
        <w:t xml:space="preserve"> </w:t>
      </w:r>
      <w:proofErr w:type="spellStart"/>
      <w:r w:rsidRPr="00766BB4">
        <w:t>context</w:t>
      </w:r>
      <w:proofErr w:type="spellEnd"/>
      <w:r w:rsidRPr="00766BB4">
        <w:t xml:space="preserve">, </w:t>
      </w:r>
      <w:proofErr w:type="spellStart"/>
      <w:r w:rsidRPr="00766BB4">
        <w:t>the</w:t>
      </w:r>
      <w:proofErr w:type="spellEnd"/>
      <w:r w:rsidRPr="00766BB4">
        <w:t xml:space="preserve"> </w:t>
      </w:r>
      <w:proofErr w:type="spellStart"/>
      <w:r w:rsidRPr="00766BB4">
        <w:t>relations</w:t>
      </w:r>
      <w:proofErr w:type="spellEnd"/>
      <w:r w:rsidRPr="00766BB4">
        <w:t xml:space="preserve"> </w:t>
      </w:r>
      <w:proofErr w:type="spellStart"/>
      <w:r w:rsidRPr="00766BB4">
        <w:t>between</w:t>
      </w:r>
      <w:proofErr w:type="spellEnd"/>
      <w:r w:rsidRPr="00766BB4">
        <w:t xml:space="preserve"> </w:t>
      </w:r>
      <w:proofErr w:type="spellStart"/>
      <w:r w:rsidRPr="00766BB4">
        <w:t>the</w:t>
      </w:r>
      <w:proofErr w:type="spellEnd"/>
      <w:r w:rsidRPr="00766BB4">
        <w:t xml:space="preserve"> two </w:t>
      </w:r>
      <w:proofErr w:type="spellStart"/>
      <w:r w:rsidRPr="00766BB4">
        <w:t>states</w:t>
      </w:r>
      <w:proofErr w:type="spellEnd"/>
      <w:r w:rsidRPr="00766BB4">
        <w:t xml:space="preserve"> </w:t>
      </w:r>
      <w:proofErr w:type="spellStart"/>
      <w:r w:rsidRPr="00766BB4">
        <w:t>are</w:t>
      </w:r>
      <w:proofErr w:type="spellEnd"/>
      <w:r w:rsidRPr="00766BB4">
        <w:t xml:space="preserve"> </w:t>
      </w:r>
      <w:proofErr w:type="spellStart"/>
      <w:r w:rsidRPr="00766BB4">
        <w:t>examined</w:t>
      </w:r>
      <w:proofErr w:type="spellEnd"/>
      <w:r w:rsidRPr="00766BB4">
        <w:t xml:space="preserve"> in a </w:t>
      </w:r>
      <w:proofErr w:type="spellStart"/>
      <w:r w:rsidRPr="00766BB4">
        <w:t>multidimensional</w:t>
      </w:r>
      <w:proofErr w:type="spellEnd"/>
      <w:r w:rsidRPr="00766BB4">
        <w:t xml:space="preserve"> </w:t>
      </w:r>
      <w:proofErr w:type="spellStart"/>
      <w:r w:rsidRPr="00766BB4">
        <w:t>manner</w:t>
      </w:r>
      <w:proofErr w:type="spellEnd"/>
      <w:r w:rsidRPr="00766BB4">
        <w:t xml:space="preserve"> </w:t>
      </w:r>
      <w:proofErr w:type="spellStart"/>
      <w:r w:rsidRPr="00766BB4">
        <w:t>by</w:t>
      </w:r>
      <w:proofErr w:type="spellEnd"/>
      <w:r w:rsidRPr="00766BB4">
        <w:t xml:space="preserve"> </w:t>
      </w:r>
      <w:proofErr w:type="spellStart"/>
      <w:r w:rsidRPr="00766BB4">
        <w:t>considering</w:t>
      </w:r>
      <w:proofErr w:type="spellEnd"/>
      <w:r w:rsidRPr="00766BB4">
        <w:t xml:space="preserve"> a </w:t>
      </w:r>
      <w:proofErr w:type="spellStart"/>
      <w:r w:rsidRPr="00766BB4">
        <w:t>certain</w:t>
      </w:r>
      <w:proofErr w:type="spellEnd"/>
      <w:r w:rsidRPr="00766BB4">
        <w:t xml:space="preserve"> </w:t>
      </w:r>
      <w:proofErr w:type="spellStart"/>
      <w:r w:rsidRPr="00766BB4">
        <w:t>period</w:t>
      </w:r>
      <w:proofErr w:type="spellEnd"/>
      <w:r w:rsidRPr="00766BB4">
        <w:t>.</w:t>
      </w:r>
      <w:r>
        <w:t xml:space="preserve"> </w:t>
      </w:r>
      <w:r w:rsidRPr="00082B70">
        <w:t xml:space="preserve">As a </w:t>
      </w:r>
      <w:proofErr w:type="spellStart"/>
      <w:r w:rsidRPr="00082B70">
        <w:t>result</w:t>
      </w:r>
      <w:proofErr w:type="spellEnd"/>
      <w:r w:rsidRPr="00082B70">
        <w:t xml:space="preserve"> of </w:t>
      </w:r>
      <w:proofErr w:type="spellStart"/>
      <w:r w:rsidRPr="00082B70">
        <w:t>these</w:t>
      </w:r>
      <w:proofErr w:type="spellEnd"/>
      <w:r w:rsidRPr="00082B70">
        <w:t xml:space="preserve"> </w:t>
      </w:r>
      <w:proofErr w:type="spellStart"/>
      <w:r w:rsidRPr="00082B70">
        <w:t>comprehensive</w:t>
      </w:r>
      <w:proofErr w:type="spellEnd"/>
      <w:r w:rsidRPr="00082B70">
        <w:t xml:space="preserve"> </w:t>
      </w:r>
      <w:proofErr w:type="spellStart"/>
      <w:r w:rsidRPr="00082B70">
        <w:t>and</w:t>
      </w:r>
      <w:proofErr w:type="spellEnd"/>
      <w:r w:rsidRPr="00082B70">
        <w:t xml:space="preserve"> </w:t>
      </w:r>
      <w:proofErr w:type="spellStart"/>
      <w:r w:rsidRPr="00082B70">
        <w:t>multifaceted</w:t>
      </w:r>
      <w:proofErr w:type="spellEnd"/>
      <w:r w:rsidRPr="00082B70">
        <w:t xml:space="preserve"> </w:t>
      </w:r>
      <w:proofErr w:type="spellStart"/>
      <w:r w:rsidRPr="00082B70">
        <w:t>evaluations</w:t>
      </w:r>
      <w:proofErr w:type="spellEnd"/>
      <w:r w:rsidRPr="00082B70">
        <w:t xml:space="preserve">, </w:t>
      </w:r>
      <w:proofErr w:type="spellStart"/>
      <w:r w:rsidRPr="00082B70">
        <w:t>the</w:t>
      </w:r>
      <w:proofErr w:type="spellEnd"/>
      <w:r w:rsidRPr="00082B70">
        <w:t xml:space="preserve"> </w:t>
      </w:r>
      <w:proofErr w:type="spellStart"/>
      <w:r w:rsidRPr="00082B70">
        <w:t>fundamental</w:t>
      </w:r>
      <w:proofErr w:type="spellEnd"/>
      <w:r w:rsidRPr="00082B70">
        <w:t xml:space="preserve"> </w:t>
      </w:r>
      <w:proofErr w:type="spellStart"/>
      <w:r w:rsidRPr="00082B70">
        <w:t>dynamics</w:t>
      </w:r>
      <w:proofErr w:type="spellEnd"/>
      <w:r w:rsidRPr="00082B70">
        <w:t xml:space="preserve"> </w:t>
      </w:r>
      <w:proofErr w:type="spellStart"/>
      <w:r w:rsidRPr="00082B70">
        <w:t>that</w:t>
      </w:r>
      <w:proofErr w:type="spellEnd"/>
      <w:r w:rsidRPr="00082B70">
        <w:t xml:space="preserve"> </w:t>
      </w:r>
      <w:proofErr w:type="spellStart"/>
      <w:r w:rsidRPr="00082B70">
        <w:t>shaped</w:t>
      </w:r>
      <w:proofErr w:type="spellEnd"/>
      <w:r w:rsidRPr="00082B70">
        <w:t xml:space="preserve"> </w:t>
      </w:r>
      <w:proofErr w:type="spellStart"/>
      <w:r w:rsidRPr="00082B70">
        <w:t>the</w:t>
      </w:r>
      <w:proofErr w:type="spellEnd"/>
      <w:r w:rsidRPr="00082B70">
        <w:t xml:space="preserve"> </w:t>
      </w:r>
      <w:proofErr w:type="spellStart"/>
      <w:r w:rsidRPr="00082B70">
        <w:t>period</w:t>
      </w:r>
      <w:proofErr w:type="spellEnd"/>
      <w:r w:rsidRPr="00082B70">
        <w:t xml:space="preserve"> </w:t>
      </w:r>
      <w:proofErr w:type="spellStart"/>
      <w:r w:rsidRPr="00082B70">
        <w:t>between</w:t>
      </w:r>
      <w:proofErr w:type="spellEnd"/>
      <w:r w:rsidRPr="00082B70">
        <w:t xml:space="preserve"> </w:t>
      </w:r>
      <w:proofErr w:type="spellStart"/>
      <w:r w:rsidRPr="00082B70">
        <w:t>Turkey</w:t>
      </w:r>
      <w:proofErr w:type="spellEnd"/>
      <w:r w:rsidRPr="00082B70">
        <w:t xml:space="preserve"> </w:t>
      </w:r>
      <w:proofErr w:type="spellStart"/>
      <w:r w:rsidRPr="00082B70">
        <w:t>and</w:t>
      </w:r>
      <w:proofErr w:type="spellEnd"/>
      <w:r w:rsidRPr="00082B70">
        <w:t xml:space="preserve"> </w:t>
      </w:r>
      <w:proofErr w:type="spellStart"/>
      <w:r w:rsidRPr="00082B70">
        <w:t>England</w:t>
      </w:r>
      <w:proofErr w:type="spellEnd"/>
      <w:r w:rsidRPr="00082B70">
        <w:t xml:space="preserve"> </w:t>
      </w:r>
      <w:proofErr w:type="spellStart"/>
      <w:r w:rsidRPr="00082B70">
        <w:t>between</w:t>
      </w:r>
      <w:proofErr w:type="spellEnd"/>
      <w:r w:rsidRPr="00082B70">
        <w:t xml:space="preserve"> 1990 </w:t>
      </w:r>
      <w:proofErr w:type="spellStart"/>
      <w:r w:rsidRPr="00082B70">
        <w:t>and</w:t>
      </w:r>
      <w:proofErr w:type="spellEnd"/>
      <w:r w:rsidRPr="00082B70">
        <w:t xml:space="preserve"> 2002 </w:t>
      </w:r>
      <w:proofErr w:type="spellStart"/>
      <w:r w:rsidRPr="00082B70">
        <w:t>will</w:t>
      </w:r>
      <w:proofErr w:type="spellEnd"/>
      <w:r w:rsidRPr="00082B70">
        <w:t xml:space="preserve"> be </w:t>
      </w:r>
      <w:proofErr w:type="spellStart"/>
      <w:r w:rsidRPr="00082B70">
        <w:t>examined</w:t>
      </w:r>
      <w:proofErr w:type="spellEnd"/>
      <w:r w:rsidRPr="00082B70">
        <w:t xml:space="preserve"> </w:t>
      </w:r>
      <w:proofErr w:type="spellStart"/>
      <w:r w:rsidRPr="00082B70">
        <w:t>and</w:t>
      </w:r>
      <w:proofErr w:type="spellEnd"/>
      <w:r w:rsidRPr="00082B70">
        <w:t xml:space="preserve"> </w:t>
      </w:r>
      <w:proofErr w:type="spellStart"/>
      <w:r w:rsidRPr="00082B70">
        <w:t>detailed</w:t>
      </w:r>
      <w:proofErr w:type="spellEnd"/>
      <w:r w:rsidRPr="00082B70">
        <w:t xml:space="preserve"> in a </w:t>
      </w:r>
      <w:proofErr w:type="spellStart"/>
      <w:r w:rsidRPr="00082B70">
        <w:t>single</w:t>
      </w:r>
      <w:proofErr w:type="spellEnd"/>
      <w:r w:rsidRPr="00082B70">
        <w:t xml:space="preserve"> </w:t>
      </w:r>
      <w:proofErr w:type="spellStart"/>
      <w:r w:rsidRPr="00082B70">
        <w:t>study</w:t>
      </w:r>
      <w:proofErr w:type="spellEnd"/>
      <w:r w:rsidRPr="00082B70">
        <w:t xml:space="preserve">. </w:t>
      </w:r>
      <w:proofErr w:type="spellStart"/>
      <w:r w:rsidRPr="00082B70">
        <w:t>In</w:t>
      </w:r>
      <w:proofErr w:type="spellEnd"/>
      <w:r w:rsidRPr="00082B70">
        <w:t xml:space="preserve"> </w:t>
      </w:r>
      <w:proofErr w:type="spellStart"/>
      <w:r w:rsidRPr="00082B70">
        <w:t>the</w:t>
      </w:r>
      <w:proofErr w:type="spellEnd"/>
      <w:r w:rsidRPr="00082B70">
        <w:t xml:space="preserve"> </w:t>
      </w:r>
      <w:proofErr w:type="spellStart"/>
      <w:r w:rsidRPr="00082B70">
        <w:t>literature</w:t>
      </w:r>
      <w:proofErr w:type="spellEnd"/>
      <w:r w:rsidRPr="00082B70">
        <w:t xml:space="preserve"> </w:t>
      </w:r>
      <w:proofErr w:type="spellStart"/>
      <w:r w:rsidRPr="00082B70">
        <w:t>review</w:t>
      </w:r>
      <w:proofErr w:type="spellEnd"/>
      <w:r w:rsidRPr="00082B70">
        <w:t xml:space="preserve"> </w:t>
      </w:r>
      <w:proofErr w:type="spellStart"/>
      <w:r w:rsidRPr="00082B70">
        <w:t>to</w:t>
      </w:r>
      <w:proofErr w:type="spellEnd"/>
      <w:r w:rsidRPr="00082B70">
        <w:t xml:space="preserve"> be </w:t>
      </w:r>
      <w:proofErr w:type="spellStart"/>
      <w:r w:rsidRPr="00082B70">
        <w:t>conducted</w:t>
      </w:r>
      <w:proofErr w:type="spellEnd"/>
      <w:r w:rsidRPr="00082B70">
        <w:t xml:space="preserve"> </w:t>
      </w:r>
      <w:proofErr w:type="spellStart"/>
      <w:r w:rsidRPr="00082B70">
        <w:t>for</w:t>
      </w:r>
      <w:proofErr w:type="spellEnd"/>
      <w:r w:rsidRPr="00082B70">
        <w:t xml:space="preserve"> a </w:t>
      </w:r>
      <w:proofErr w:type="spellStart"/>
      <w:r w:rsidRPr="00082B70">
        <w:t>multifaceted</w:t>
      </w:r>
      <w:proofErr w:type="spellEnd"/>
      <w:r w:rsidRPr="00082B70">
        <w:t xml:space="preserve"> </w:t>
      </w:r>
      <w:proofErr w:type="spellStart"/>
      <w:r w:rsidRPr="00082B70">
        <w:t>evaluation</w:t>
      </w:r>
      <w:proofErr w:type="spellEnd"/>
      <w:r w:rsidRPr="00082B70">
        <w:t xml:space="preserve"> of </w:t>
      </w:r>
      <w:proofErr w:type="spellStart"/>
      <w:r w:rsidRPr="00082B70">
        <w:t>the</w:t>
      </w:r>
      <w:proofErr w:type="spellEnd"/>
      <w:r w:rsidRPr="00082B70">
        <w:t xml:space="preserve"> </w:t>
      </w:r>
      <w:proofErr w:type="spellStart"/>
      <w:r w:rsidRPr="00082B70">
        <w:t>subject</w:t>
      </w:r>
      <w:proofErr w:type="spellEnd"/>
      <w:r w:rsidRPr="00082B70">
        <w:t xml:space="preserve">, </w:t>
      </w:r>
      <w:proofErr w:type="spellStart"/>
      <w:r w:rsidRPr="00082B70">
        <w:t>newspapers</w:t>
      </w:r>
      <w:proofErr w:type="spellEnd"/>
      <w:r w:rsidRPr="00082B70">
        <w:t xml:space="preserve">, </w:t>
      </w:r>
      <w:proofErr w:type="spellStart"/>
      <w:r w:rsidRPr="00082B70">
        <w:t>official</w:t>
      </w:r>
      <w:proofErr w:type="spellEnd"/>
      <w:r w:rsidRPr="00082B70">
        <w:t xml:space="preserve"> </w:t>
      </w:r>
      <w:proofErr w:type="spellStart"/>
      <w:r w:rsidRPr="00082B70">
        <w:t>government</w:t>
      </w:r>
      <w:proofErr w:type="spellEnd"/>
      <w:r w:rsidRPr="00082B70">
        <w:t xml:space="preserve"> </w:t>
      </w:r>
      <w:proofErr w:type="spellStart"/>
      <w:r w:rsidRPr="00082B70">
        <w:t>websites</w:t>
      </w:r>
      <w:proofErr w:type="spellEnd"/>
      <w:r w:rsidRPr="00082B70">
        <w:t xml:space="preserve">, </w:t>
      </w:r>
      <w:proofErr w:type="spellStart"/>
      <w:r w:rsidRPr="00082B70">
        <w:t>articles</w:t>
      </w:r>
      <w:proofErr w:type="spellEnd"/>
      <w:r w:rsidRPr="00082B70">
        <w:t xml:space="preserve">, </w:t>
      </w:r>
      <w:proofErr w:type="spellStart"/>
      <w:r w:rsidRPr="00082B70">
        <w:t>theses</w:t>
      </w:r>
      <w:proofErr w:type="spellEnd"/>
      <w:r w:rsidRPr="00082B70">
        <w:t xml:space="preserve"> </w:t>
      </w:r>
      <w:proofErr w:type="spellStart"/>
      <w:r w:rsidRPr="00082B70">
        <w:t>and</w:t>
      </w:r>
      <w:proofErr w:type="spellEnd"/>
      <w:r w:rsidRPr="00082B70">
        <w:t xml:space="preserve"> </w:t>
      </w:r>
      <w:proofErr w:type="spellStart"/>
      <w:r w:rsidRPr="00082B70">
        <w:t>important</w:t>
      </w:r>
      <w:proofErr w:type="spellEnd"/>
      <w:r w:rsidRPr="00082B70">
        <w:t xml:space="preserve"> </w:t>
      </w:r>
      <w:proofErr w:type="spellStart"/>
      <w:r w:rsidRPr="00082B70">
        <w:t>works</w:t>
      </w:r>
      <w:proofErr w:type="spellEnd"/>
      <w:r w:rsidRPr="00082B70">
        <w:t xml:space="preserve"> </w:t>
      </w:r>
      <w:proofErr w:type="spellStart"/>
      <w:r w:rsidRPr="00082B70">
        <w:t>related</w:t>
      </w:r>
      <w:proofErr w:type="spellEnd"/>
      <w:r w:rsidRPr="00082B70">
        <w:t xml:space="preserve"> </w:t>
      </w:r>
      <w:proofErr w:type="spellStart"/>
      <w:r w:rsidRPr="00082B70">
        <w:t>to</w:t>
      </w:r>
      <w:proofErr w:type="spellEnd"/>
      <w:r w:rsidRPr="00082B70">
        <w:t xml:space="preserve"> </w:t>
      </w:r>
      <w:proofErr w:type="spellStart"/>
      <w:r w:rsidRPr="00082B70">
        <w:t>the</w:t>
      </w:r>
      <w:proofErr w:type="spellEnd"/>
      <w:r w:rsidRPr="00082B70">
        <w:t xml:space="preserve"> </w:t>
      </w:r>
      <w:proofErr w:type="spellStart"/>
      <w:r w:rsidRPr="00082B70">
        <w:t>field</w:t>
      </w:r>
      <w:proofErr w:type="spellEnd"/>
      <w:r w:rsidRPr="00082B70">
        <w:t xml:space="preserve"> </w:t>
      </w:r>
      <w:proofErr w:type="spellStart"/>
      <w:r w:rsidRPr="00082B70">
        <w:t>will</w:t>
      </w:r>
      <w:proofErr w:type="spellEnd"/>
      <w:r w:rsidRPr="00082B70">
        <w:t xml:space="preserve"> be </w:t>
      </w:r>
      <w:proofErr w:type="spellStart"/>
      <w:r w:rsidRPr="00082B70">
        <w:t>examined</w:t>
      </w:r>
      <w:proofErr w:type="spellEnd"/>
      <w:r w:rsidRPr="00082B70">
        <w:t>.</w:t>
      </w:r>
    </w:p>
    <w:p w14:paraId="3932D03F" w14:textId="77777777" w:rsidR="005878EB" w:rsidRDefault="005878EB" w:rsidP="003B45CB">
      <w:pPr>
        <w:ind w:firstLine="709"/>
        <w:jc w:val="both"/>
      </w:pPr>
    </w:p>
    <w:p w14:paraId="0F891A09" w14:textId="77777777" w:rsidR="001E7189" w:rsidRDefault="001E7189" w:rsidP="003B45CB">
      <w:pPr>
        <w:jc w:val="both"/>
      </w:pPr>
      <w:proofErr w:type="spellStart"/>
      <w:r w:rsidRPr="00766BB4">
        <w:rPr>
          <w:b/>
          <w:bCs/>
        </w:rPr>
        <w:t>Keywords</w:t>
      </w:r>
      <w:proofErr w:type="spellEnd"/>
      <w:r w:rsidRPr="00766BB4">
        <w:rPr>
          <w:b/>
          <w:bCs/>
        </w:rPr>
        <w:t>:</w:t>
      </w:r>
      <w:r w:rsidRPr="00766BB4">
        <w:t xml:space="preserve"> </w:t>
      </w:r>
      <w:proofErr w:type="spellStart"/>
      <w:r w:rsidRPr="00766BB4">
        <w:t>T</w:t>
      </w:r>
      <w:r>
        <w:t>urkey</w:t>
      </w:r>
      <w:proofErr w:type="spellEnd"/>
      <w:r w:rsidRPr="00766BB4">
        <w:t xml:space="preserve">, </w:t>
      </w:r>
      <w:proofErr w:type="spellStart"/>
      <w:r w:rsidRPr="00766BB4">
        <w:t>England</w:t>
      </w:r>
      <w:proofErr w:type="spellEnd"/>
      <w:r w:rsidRPr="00766BB4">
        <w:t xml:space="preserve">, </w:t>
      </w:r>
      <w:proofErr w:type="spellStart"/>
      <w:r w:rsidRPr="00766BB4">
        <w:t>Cold</w:t>
      </w:r>
      <w:proofErr w:type="spellEnd"/>
      <w:r w:rsidRPr="00766BB4">
        <w:t xml:space="preserve"> </w:t>
      </w:r>
      <w:proofErr w:type="spellStart"/>
      <w:r w:rsidRPr="00766BB4">
        <w:t>War</w:t>
      </w:r>
      <w:proofErr w:type="spellEnd"/>
      <w:r w:rsidRPr="00766BB4">
        <w:t xml:space="preserve">, </w:t>
      </w:r>
      <w:proofErr w:type="spellStart"/>
      <w:r w:rsidRPr="00766BB4">
        <w:t>Diplomacy</w:t>
      </w:r>
      <w:proofErr w:type="spellEnd"/>
      <w:r w:rsidRPr="00766BB4">
        <w:t>, Security.</w:t>
      </w:r>
    </w:p>
    <w:p w14:paraId="48027B8E" w14:textId="77777777" w:rsidR="006871AB" w:rsidRDefault="006871AB" w:rsidP="003B45CB">
      <w:pPr>
        <w:jc w:val="both"/>
      </w:pPr>
    </w:p>
    <w:p w14:paraId="7796B76B" w14:textId="77777777" w:rsidR="001E7189" w:rsidRPr="00C34367" w:rsidRDefault="001E7189" w:rsidP="003B45CB">
      <w:pPr>
        <w:jc w:val="both"/>
        <w:rPr>
          <w:b/>
          <w:bCs/>
        </w:rPr>
      </w:pPr>
      <w:r>
        <w:rPr>
          <w:b/>
          <w:bCs/>
        </w:rPr>
        <w:t xml:space="preserve">I. </w:t>
      </w:r>
      <w:r w:rsidRPr="00C34367">
        <w:rPr>
          <w:b/>
          <w:bCs/>
        </w:rPr>
        <w:t>Giriş</w:t>
      </w:r>
    </w:p>
    <w:p w14:paraId="6C076CEB" w14:textId="3C5837A9" w:rsidR="001E7189" w:rsidRDefault="001E7189" w:rsidP="003B45CB">
      <w:pPr>
        <w:jc w:val="both"/>
      </w:pPr>
      <w:r>
        <w:t xml:space="preserve">Soğuk Savaş’ın sona ermesiyle birlikte uluslararası düzende köklü değişimler yaşanmıştır. Bu değişimlerin getirisi olarak ülkeler arasındaki ikili ilişkilerde yeni dinamikler oluşmuştur. Türkiye ve İngiltere arasında gelişen ilişkiler de süreklilik ve değişim unsurları içeren çok boyutlu bir yapıya bürünmüştür. Türkiye’nin sahip olduğu jeostratejik konumu, İngiltere ile kuracağı iş birlikleri açısından önemli bir zemin oluşturmuştur. Diğer yandan, Türkiye’nin NATO’daki rolü ve bölgesel politikaları </w:t>
      </w:r>
      <w:proofErr w:type="gramStart"/>
      <w:r>
        <w:t>ile birlikte</w:t>
      </w:r>
      <w:proofErr w:type="gramEnd"/>
      <w:r>
        <w:t xml:space="preserve"> İngiltere açısından değişen küresel koşullarda ekonomik, siyasi, askeri ve kültürel boyutlarda sürdürebileceği bir dış güç haline gelmiştir.</w:t>
      </w:r>
    </w:p>
    <w:p w14:paraId="05C0B047" w14:textId="77777777" w:rsidR="003B45CB" w:rsidRDefault="003B45CB" w:rsidP="003B45CB">
      <w:pPr>
        <w:jc w:val="both"/>
      </w:pPr>
    </w:p>
    <w:p w14:paraId="73EA6688" w14:textId="77777777" w:rsidR="001E7189" w:rsidRDefault="001E7189" w:rsidP="003B45CB">
      <w:pPr>
        <w:jc w:val="both"/>
      </w:pPr>
      <w:r>
        <w:t>Makale, Soğuk Savaş sonrası dönemden 2002 yılına kadar olan süreç içerisinde iki devlet arasındaki ilişkileri belirleyen ana dinamikleri ve bunların geçirdiği evreleri ele almaktadır. İlk olarak, Soğuk Savaş’ın sona ermesiyle oluşan yeni dünya düzeninin iki devlet arasındaki ilişkilere etkisine değinilecektir. Ardından, ekonomik iş birliği boyutunda sürdürülen ticaret ve yatırım ortaklıklarının gelişimi analiz edilecektir.</w:t>
      </w:r>
    </w:p>
    <w:p w14:paraId="7DCD49B8" w14:textId="77777777" w:rsidR="003B45CB" w:rsidRDefault="003B45CB" w:rsidP="003B45CB">
      <w:pPr>
        <w:jc w:val="both"/>
      </w:pPr>
    </w:p>
    <w:p w14:paraId="026C76A8" w14:textId="1F5C1D72" w:rsidR="001E7189" w:rsidRDefault="001E7189" w:rsidP="003B45CB">
      <w:pPr>
        <w:jc w:val="both"/>
      </w:pPr>
      <w:r>
        <w:t xml:space="preserve">Siyasi ve diplomatik ilişkiler bağlamında iki devlet arasındaki ilişkiler incelendiğinde, Türkiye’nin NATO içerisindeki rolü, Avrupa Birliği’ne üyelik süreci ve uluslararası platformlarda yapılan diplomatik ortaklıklar incelenecektir. Askeri, güvenlik, savunma ve </w:t>
      </w:r>
      <w:r>
        <w:lastRenderedPageBreak/>
        <w:t>bölgesel istikrar gündemlerinin iki ülke arasındaki ilişkilere nasıl yön verdikleri incelenecektir.  Son olarak kültürel ve sosyal ortaklıklar bağlamında yapılan eğitim, dil, turizm ve kültürel faaliyetlere değinilecektir.</w:t>
      </w:r>
    </w:p>
    <w:p w14:paraId="78334B10" w14:textId="77777777" w:rsidR="00C70E93" w:rsidRDefault="00C70E93" w:rsidP="003B45CB">
      <w:pPr>
        <w:jc w:val="both"/>
      </w:pPr>
    </w:p>
    <w:p w14:paraId="1610B944" w14:textId="77777777" w:rsidR="001E7189" w:rsidRDefault="001E7189" w:rsidP="003B45CB">
      <w:pPr>
        <w:jc w:val="both"/>
        <w:rPr>
          <w:b/>
          <w:bCs/>
        </w:rPr>
      </w:pPr>
      <w:r w:rsidRPr="002955A9">
        <w:rPr>
          <w:b/>
          <w:bCs/>
        </w:rPr>
        <w:t>II. Soğ</w:t>
      </w:r>
      <w:r>
        <w:rPr>
          <w:b/>
          <w:bCs/>
        </w:rPr>
        <w:t>u</w:t>
      </w:r>
      <w:r w:rsidRPr="002955A9">
        <w:rPr>
          <w:b/>
          <w:bCs/>
        </w:rPr>
        <w:t>k</w:t>
      </w:r>
      <w:r w:rsidRPr="006011F2">
        <w:rPr>
          <w:b/>
          <w:bCs/>
        </w:rPr>
        <w:t xml:space="preserve"> Savaş'ın Bitişi ve Türkiye-İngiltere İlişkilerine Etkisi</w:t>
      </w:r>
    </w:p>
    <w:p w14:paraId="1AA01BF5" w14:textId="77777777" w:rsidR="001E7189" w:rsidRDefault="001E7189" w:rsidP="003B45CB">
      <w:pPr>
        <w:tabs>
          <w:tab w:val="left" w:pos="3261"/>
        </w:tabs>
        <w:jc w:val="both"/>
        <w:rPr>
          <w:noProof/>
        </w:rPr>
      </w:pPr>
      <w:r>
        <w:rPr>
          <w:noProof/>
        </w:rPr>
        <w:t xml:space="preserve">1939-1945 yılları arasında II. Dünya Savaşının etkilerini derinden hisseden dünya, bu yılların ardından 1990’lı yılların başına kadar Soğuk Savaşın tecrübesini yaşamıştı. Soğuk Savaş döneminde karşılıklı fiziki bir savaş olmaksızın  Batı bloğunu oluşturan ABD ve Doğu bloğunda yer alan Sovyetler Birliği olmak üzere iki kutuplu güç tarafları oluşmuştu. Uluslararası siyasi düzen bu iki kutup etrafında şekillenmiş, diplomatik adımlar devletlerin kendi çıkarları doğrultusunda atılmıştı. Ekonomik, siyasi, sosyal ve askeri alanlarda meydana gelen gelişmeler de bu doğrultuda ilerlemiştir. Sovyetler Birliği’nin dağılmasıyla Soğuk Savaşın sonuna gelirken, 1990 ve 1991 yıllarında dünya genelinde yeniden yapılanma sürecine girilmişti. Bunun sebebi, iki kutuplu bir düzenden, ABD hegemonyasındaki tek kutuplu bir dünya düzenine geçilmesidir </w:t>
      </w:r>
      <w:r w:rsidRPr="00700FA0">
        <w:rPr>
          <w:noProof/>
        </w:rPr>
        <w:t xml:space="preserve">(Özuğurlu, 2005, </w:t>
      </w:r>
      <w:r>
        <w:rPr>
          <w:noProof/>
        </w:rPr>
        <w:t>s</w:t>
      </w:r>
      <w:r w:rsidRPr="00700FA0">
        <w:rPr>
          <w:noProof/>
        </w:rPr>
        <w:t>.7)</w:t>
      </w:r>
      <w:r>
        <w:rPr>
          <w:noProof/>
        </w:rPr>
        <w:t>.</w:t>
      </w:r>
    </w:p>
    <w:p w14:paraId="4C21458D" w14:textId="77777777" w:rsidR="003B45CB" w:rsidRDefault="003B45CB" w:rsidP="003B45CB">
      <w:pPr>
        <w:tabs>
          <w:tab w:val="left" w:pos="3261"/>
        </w:tabs>
        <w:jc w:val="both"/>
        <w:rPr>
          <w:noProof/>
        </w:rPr>
      </w:pPr>
    </w:p>
    <w:p w14:paraId="0B5D3D9B" w14:textId="2BE26A18" w:rsidR="001E7189" w:rsidRDefault="001E7189" w:rsidP="003B45CB">
      <w:pPr>
        <w:tabs>
          <w:tab w:val="left" w:pos="3261"/>
        </w:tabs>
        <w:jc w:val="both"/>
        <w:rPr>
          <w:noProof/>
        </w:rPr>
      </w:pPr>
      <w:r>
        <w:rPr>
          <w:noProof/>
        </w:rPr>
        <w:t xml:space="preserve">Soğuk Savaş döneminin siyasi yapısının anlaşılması, ilerleyen süreçlerde devletler arası atılan diplomatik adımların anlaşılmasında önemli bir faktördür. Bunun öncesinde meydana gelen I. Dünya Savaşı ve II. Dünya Savaşları ile birlikte değerlendirildiğinde devletlerin asıl amaçlarının dünya gücü haline gelerek devlerler üzerinde söz sahibi olarak egemenlik kurmak olduğu anlaşılır </w:t>
      </w:r>
      <w:r w:rsidRPr="00700FA0">
        <w:rPr>
          <w:noProof/>
        </w:rPr>
        <w:t>(Ali, 2003, s. 235–236)</w:t>
      </w:r>
      <w:r>
        <w:rPr>
          <w:noProof/>
        </w:rPr>
        <w:t>.</w:t>
      </w:r>
    </w:p>
    <w:p w14:paraId="552397AE" w14:textId="77777777" w:rsidR="003B45CB" w:rsidRDefault="003B45CB" w:rsidP="003B45CB">
      <w:pPr>
        <w:tabs>
          <w:tab w:val="left" w:pos="3261"/>
        </w:tabs>
        <w:jc w:val="both"/>
        <w:rPr>
          <w:noProof/>
        </w:rPr>
      </w:pPr>
    </w:p>
    <w:p w14:paraId="13110E3F" w14:textId="280CDFBB" w:rsidR="001E7189" w:rsidRDefault="001E7189" w:rsidP="003B45CB">
      <w:pPr>
        <w:tabs>
          <w:tab w:val="left" w:pos="3261"/>
        </w:tabs>
        <w:jc w:val="both"/>
        <w:rPr>
          <w:noProof/>
        </w:rPr>
      </w:pPr>
      <w:r>
        <w:rPr>
          <w:noProof/>
        </w:rPr>
        <w:t xml:space="preserve">Nitekim, ABD ve Sovyetler Birliği arasında uzun yıllardır devam eden rekabet durumu, 1989 yılında sonlanmıştır. SSCB, karşılıklı çatışma ortamı veya herhangi bir müdahale olmaksızın Doğu ve Orta Avrupa’daki üslerini terk etmiştir </w:t>
      </w:r>
      <w:r w:rsidRPr="00700FA0">
        <w:rPr>
          <w:noProof/>
        </w:rPr>
        <w:t>(Tucker &amp; Hendrickson, 1995, s. 9)</w:t>
      </w:r>
      <w:r>
        <w:rPr>
          <w:noProof/>
        </w:rPr>
        <w:t>. Bu süreçten sonra SSCB’nin dağılma süreci başlamış ve oluşacak yeni bir dünya düzeninin belirtileri meydana gelmişti.</w:t>
      </w:r>
    </w:p>
    <w:p w14:paraId="072F5383" w14:textId="77777777" w:rsidR="003B45CB" w:rsidRDefault="003B45CB" w:rsidP="003B45CB">
      <w:pPr>
        <w:tabs>
          <w:tab w:val="left" w:pos="3261"/>
        </w:tabs>
        <w:jc w:val="both"/>
        <w:rPr>
          <w:noProof/>
        </w:rPr>
      </w:pPr>
    </w:p>
    <w:p w14:paraId="105C3D70" w14:textId="77777777" w:rsidR="001E7189" w:rsidRDefault="001E7189" w:rsidP="003B45CB">
      <w:pPr>
        <w:tabs>
          <w:tab w:val="left" w:pos="3261"/>
        </w:tabs>
        <w:jc w:val="both"/>
        <w:rPr>
          <w:noProof/>
        </w:rPr>
      </w:pPr>
      <w:r>
        <w:rPr>
          <w:noProof/>
        </w:rPr>
        <w:t xml:space="preserve">Sovyetler Birliği’nin dağılmasıyla birlikte Doğu bloğu kapanmış ve ABD kalan tek güç durumuna gelmişti. Dönemin ABD Başkanı yaptığı açıklamasında artık “yeni dünya düzenini” kavramının gündemde olacağını, bu düzen ile birlikte savaşsız bir uluşlararası sisremde barışın egemen olacağını vurgulamıştır. İlaveten, insan haklarının önemine değinerek bu doğrultuda adımlar atılacağını iletmiştir </w:t>
      </w:r>
      <w:r w:rsidRPr="00C544C6">
        <w:rPr>
          <w:noProof/>
        </w:rPr>
        <w:t xml:space="preserve">(Kohen, 1992, </w:t>
      </w:r>
      <w:r>
        <w:rPr>
          <w:noProof/>
        </w:rPr>
        <w:t>s</w:t>
      </w:r>
      <w:r w:rsidRPr="00C544C6">
        <w:rPr>
          <w:noProof/>
        </w:rPr>
        <w:t>. 122)</w:t>
      </w:r>
      <w:r>
        <w:rPr>
          <w:noProof/>
        </w:rPr>
        <w:t>. Soğuk Savaşın akabinde, gelişmekte olan ülkeler kendi savunma, askeri ve ekonomi gibi çıkarları doğrultusunda adımlar atmaya başlamışlardı. İngiltere ve Türkiye örneğine bakıldığında ise iki devlet arasındaki ilişkiler farklı alanlarda süreklilik ve değişim çerçevesinde devam etmiştir. Meydana gelen gelişmeler sonucunda iki devlet arasındaki politikayı çok yönlü bir oluşuma dönüştürmüştür.</w:t>
      </w:r>
    </w:p>
    <w:p w14:paraId="6D966ECD" w14:textId="77777777" w:rsidR="00C70E93" w:rsidRDefault="00C70E93" w:rsidP="003B45CB">
      <w:pPr>
        <w:tabs>
          <w:tab w:val="left" w:pos="3261"/>
        </w:tabs>
        <w:jc w:val="both"/>
        <w:rPr>
          <w:noProof/>
        </w:rPr>
      </w:pPr>
    </w:p>
    <w:p w14:paraId="3DADAE28" w14:textId="77777777" w:rsidR="001E7189" w:rsidRDefault="001E7189" w:rsidP="003B45CB">
      <w:pPr>
        <w:tabs>
          <w:tab w:val="left" w:pos="3261"/>
        </w:tabs>
        <w:jc w:val="both"/>
        <w:rPr>
          <w:b/>
          <w:bCs/>
          <w:noProof/>
        </w:rPr>
      </w:pPr>
      <w:r w:rsidRPr="006006B0">
        <w:rPr>
          <w:b/>
          <w:bCs/>
          <w:noProof/>
        </w:rPr>
        <w:t>III.</w:t>
      </w:r>
      <w:r>
        <w:rPr>
          <w:noProof/>
        </w:rPr>
        <w:t xml:space="preserve"> </w:t>
      </w:r>
      <w:r w:rsidRPr="006006B0">
        <w:rPr>
          <w:b/>
          <w:bCs/>
          <w:noProof/>
        </w:rPr>
        <w:t>Türkiye-İngiltere İlişkilerinde Ekonomik Boyut</w:t>
      </w:r>
    </w:p>
    <w:p w14:paraId="4AFEFE69" w14:textId="77777777" w:rsidR="001E7189" w:rsidRDefault="001E7189" w:rsidP="003B45CB">
      <w:pPr>
        <w:jc w:val="both"/>
        <w:rPr>
          <w:noProof/>
        </w:rPr>
      </w:pPr>
      <w:r>
        <w:rPr>
          <w:noProof/>
        </w:rPr>
        <w:t>Türkiye Cumhuriyeti kuruluşundan itibaren uluslararası düzende birçok alanda olduğu gibi kendisine ekonomik anlamda da yer edinebilme çabası göstermiştir. Bu doğrultuda dönemin güçlü devletleri ile çeşitli anlaşmalar ve kurulan olumlu diplomatik ilişkilerle bu amacına yönelik adımlar atmıştır. Türkiye’nin bu süreçteki dönüm noktası II. Dünya Savaşı ve sonrasında yaşanan Soğuk Savaş dönemiyle birlikte gelişmiştir. Türkiye bu dönemlerde fiziki olarak savaş dışında kalmayı tercih etmesine rağmen ekonomik olarak zor bir dönemden geçtiği için diğer güçlü devletler ile bu yöndeki ilişkilerin aksamamasına dikkat etmiştir. İngiltere, ticari ve ekonomik anlamda diplomatik ilişkilerin yoğun yaşandığı devletler arasında gelmiştir.</w:t>
      </w:r>
    </w:p>
    <w:p w14:paraId="3372DFBB" w14:textId="77777777" w:rsidR="001E7189" w:rsidRDefault="001E7189" w:rsidP="003B45CB">
      <w:pPr>
        <w:jc w:val="both"/>
        <w:rPr>
          <w:noProof/>
        </w:rPr>
      </w:pPr>
      <w:r>
        <w:rPr>
          <w:noProof/>
        </w:rPr>
        <w:lastRenderedPageBreak/>
        <w:t>İngiltere ve Türkiye’nin 1990 yılı ve sonrasında günümüze kadar gelen ekonomik ilişkilerini anlamak için II. Dünya Savaşı ve Soğuk Savaş döneminde kurulan kritik ilişkilerin incelenmesi gerekmektedir. 1940’lı yılların başında yani II. Dünya Savaşı sürecinde Amerika, Ortadoğu üzerindeki çıkar amaçları doğrultusunda Türkiye ile ilişkilerini sağlamlaştırmak ve doğrudan bağlantı sağlamak istemişti. Bunun için İngiltere’yi saf dışı bırakarak savaş bittikten sonraki konumunu da güvence altına almak istiyordu. Bu durum Türkiye ve İngiltere arasındaki ekonomik ilişkilerin seyrelmesine sebep oldu. Ayrıca bu süreçte Türkiye Hükümetinde değişiklikler yaşanmış, yeni hükümeti kuran Şükrü Saraçoğlu iktisadi anlamda bazı yeniliklere giderek savaş sonrası durumdan istifade etmek isteyenlerin önüne geçmek için Varlık Vergisi’ni yürürlüğe getirmişti (Oran, 2001, s.393)</w:t>
      </w:r>
    </w:p>
    <w:p w14:paraId="434310B4" w14:textId="77777777" w:rsidR="003B45CB" w:rsidRDefault="003B45CB" w:rsidP="003B45CB">
      <w:pPr>
        <w:jc w:val="both"/>
        <w:rPr>
          <w:noProof/>
        </w:rPr>
      </w:pPr>
    </w:p>
    <w:p w14:paraId="58FDDDC0" w14:textId="77777777" w:rsidR="001E7189" w:rsidRDefault="001E7189" w:rsidP="003B45CB">
      <w:pPr>
        <w:jc w:val="both"/>
        <w:rPr>
          <w:noProof/>
        </w:rPr>
      </w:pPr>
      <w:r>
        <w:rPr>
          <w:noProof/>
        </w:rPr>
        <w:t xml:space="preserve">Türkiye ve İngiltere arasında iktisadi alanda yaşanan diğer önemli gelişmelerden biri ise demir-çelik ve tren malzemelerini oluşturan lokomotif ve vagon gibi ürünlerin ithalatıydı. Türkiye’nin bu konudaki hassasiyetinin sebebi özellikle savaş dönemlerinde ve sonraki süreçlerde ulaşım konusunda herhangi bir aksaklık yaşanmaması içindi. Bu doğrultuda, İskenderun’a yapılacak liman ithalat ve ihracat anlamında büyük kolaylık taşıyacağı için ticaret anlamında oldukça önemli bir rol oynayacaktır </w:t>
      </w:r>
      <w:r w:rsidRPr="00C544C6">
        <w:rPr>
          <w:noProof/>
        </w:rPr>
        <w:t xml:space="preserve">(Akşam, 1942, </w:t>
      </w:r>
      <w:r>
        <w:rPr>
          <w:noProof/>
        </w:rPr>
        <w:t>s</w:t>
      </w:r>
      <w:r w:rsidRPr="00C544C6">
        <w:rPr>
          <w:noProof/>
        </w:rPr>
        <w:t>. 1)</w:t>
      </w:r>
      <w:r>
        <w:rPr>
          <w:noProof/>
        </w:rPr>
        <w:t xml:space="preserve">. Bu limanın diğer bir önemi de İngiltere ve Türkiye arasında yapılacak olan nakliyelerin taşınmasında kullanılacak olmasıydı </w:t>
      </w:r>
      <w:r w:rsidRPr="00C544C6">
        <w:rPr>
          <w:noProof/>
        </w:rPr>
        <w:t xml:space="preserve">(Korhan, 2016, </w:t>
      </w:r>
      <w:r>
        <w:rPr>
          <w:noProof/>
        </w:rPr>
        <w:t>s</w:t>
      </w:r>
      <w:r w:rsidRPr="00C544C6">
        <w:rPr>
          <w:noProof/>
        </w:rPr>
        <w:t>. 710–714)</w:t>
      </w:r>
      <w:r>
        <w:rPr>
          <w:noProof/>
        </w:rPr>
        <w:t>.</w:t>
      </w:r>
    </w:p>
    <w:p w14:paraId="22825530" w14:textId="77777777" w:rsidR="003B45CB" w:rsidRDefault="003B45CB" w:rsidP="003B45CB">
      <w:pPr>
        <w:jc w:val="both"/>
        <w:rPr>
          <w:noProof/>
        </w:rPr>
      </w:pPr>
    </w:p>
    <w:p w14:paraId="1E310045" w14:textId="77777777" w:rsidR="001E7189" w:rsidRDefault="001E7189" w:rsidP="003B45CB">
      <w:pPr>
        <w:jc w:val="both"/>
        <w:rPr>
          <w:noProof/>
        </w:rPr>
      </w:pPr>
      <w:r>
        <w:rPr>
          <w:noProof/>
        </w:rPr>
        <w:t xml:space="preserve">Türkiye ve İngiltere arasındaki ticaret çerçevesinde gerçekleşen bu ilişki dönemsel olarak çeşitli gıda malzemelerinin de içinde bulunduğu ithalat-ihracat ürünleriyle devam etmiştir. Ayrıca her iki devletinde kendi çıkarları doğrultusunda yaptıkları ticari anlaşmalarda bu sürece eşlik etmiştir çünkü, Soğuk Savaş döneminden sonraki süreçte devletler için güvenlik politikaları her ne kadar önemli ise mali anlamdaki politikalar da bir o kadar önem kazanmıştır. Birçok devlet ekonomi alanında atılacak olan adımlarını ilk sıraya alarak önceliklerini bu alanda yoğunlaştırmışlardır </w:t>
      </w:r>
      <w:r w:rsidRPr="00C544C6">
        <w:rPr>
          <w:noProof/>
        </w:rPr>
        <w:t xml:space="preserve">(Polat, 2021, </w:t>
      </w:r>
      <w:r>
        <w:rPr>
          <w:noProof/>
        </w:rPr>
        <w:t>s</w:t>
      </w:r>
      <w:r w:rsidRPr="00C544C6">
        <w:rPr>
          <w:noProof/>
        </w:rPr>
        <w:t>. 352)</w:t>
      </w:r>
      <w:r>
        <w:rPr>
          <w:noProof/>
        </w:rPr>
        <w:t xml:space="preserve">.  Özellikle devletlerin mali alanlara yönelmeleri ve bu konu üzerine yoğunlaşmalarının belirli sebepleri bulunmaktadır. 1990 yılıyla birlikte ortaya çıkan teknokojik gelişmeler, Orta Asya bölgesinde bağımsızlıklarını ilan eden zayıf devletler, doğalgaz ve petrol rezervlerinin keşfedilmesi Avrupa devletleri için oldukça önemli hususlardır. Özellikle ABD ve İngiltere’nin Orta Asya Bölgesine olan ilgileri artmıştı. Türkiye’nin ise bu bölgeye olan ilgisinin sebepleri enerji ve Hazar Havzası rezervlerininden kaynaklanmaktaydı. Nitekim bu konuda Türkiye ve İngiltere ortak amaca sahipti. İngiltere, bölgede bulunan şirketleri aracılığıyla petrol hakimiyeti kurarak dünya pazarında yer edinmeyi istiyordu. Petrolü bölgeden çıkararak bu şirkitler aracılığıla güvenli bir şekilde pazarlamayı amaçlıyordu. Bu hedefin gerçekleşmesi için petrolü taşıyabileceği hatların çok sayıda olması gerekiyordu. Türkiye de bu hatlar aracılığıyla kendi çıkarlarını gerçekleştirebilecekti. Ancak, Rusya’nın petrol hatları üzerinde egemen olmasına her iki ülke de karşı çıkmıştır. Bu durumda, enerji malzemelerinin taşınması ve kullanımında herhangi bir kesinti olmadan Avrupaya iletilebilmesi için Rusya’nın hakim gücü istenmemiş, İngiltere ile Türkiye bu konuda ortak bir tutum sergilemiştir </w:t>
      </w:r>
      <w:r w:rsidRPr="00E34C77">
        <w:rPr>
          <w:noProof/>
        </w:rPr>
        <w:t xml:space="preserve">(Steinberg, 2003, </w:t>
      </w:r>
      <w:r>
        <w:rPr>
          <w:noProof/>
        </w:rPr>
        <w:t>s</w:t>
      </w:r>
      <w:r w:rsidRPr="00E34C77">
        <w:rPr>
          <w:noProof/>
        </w:rPr>
        <w:t>. 115–117)</w:t>
      </w:r>
      <w:r>
        <w:rPr>
          <w:noProof/>
        </w:rPr>
        <w:t>. Türkiye’nin Orta Asya’ya yönelik bu tutumu ABD merkezli bir dış politika uyguladığını göstermektedir.</w:t>
      </w:r>
    </w:p>
    <w:p w14:paraId="24375293" w14:textId="77777777" w:rsidR="003B45CB" w:rsidRDefault="003B45CB" w:rsidP="003B45CB">
      <w:pPr>
        <w:jc w:val="both"/>
        <w:rPr>
          <w:noProof/>
        </w:rPr>
      </w:pPr>
    </w:p>
    <w:p w14:paraId="58E411A9" w14:textId="77777777" w:rsidR="001E7189" w:rsidRDefault="001E7189" w:rsidP="003B45CB">
      <w:pPr>
        <w:jc w:val="both"/>
        <w:rPr>
          <w:noProof/>
        </w:rPr>
      </w:pPr>
      <w:r>
        <w:rPr>
          <w:noProof/>
        </w:rPr>
        <w:t xml:space="preserve">Türkiye’nin 1990’lardan sonraki sürecinde Avrupa Birliği ile olan ilşkilerinde bazı aksaklıklar meydana gelmiştir. Türkiye, Avrupa Birliği’nin 1997 yılında gerçekleştirdiği Luxembourg Zirvesi’nde görüşlerini ve isteklerini belli etmişti. 1999 yılında ise aradan geçen iki yıla rağmen bir dönüş olamayan Türkiye’den tepki gelmişti. Bunun üzerine Helsinki Zirvesi düzenlenmişti. </w:t>
      </w:r>
      <w:r>
        <w:rPr>
          <w:noProof/>
        </w:rPr>
        <w:lastRenderedPageBreak/>
        <w:t xml:space="preserve">Ancak Türkiye’ye gerçekleştirilmeyecek vaatler verilmişti. Türkiye ise 1996 yılında Gümrük Birliği’ne katılarak ekonomik anlamda önemli tavizler vermişti ve böylece ülke ekonomisinin giderek dışa bağımlılığı artmıştı </w:t>
      </w:r>
      <w:r w:rsidRPr="00E34C77">
        <w:rPr>
          <w:noProof/>
        </w:rPr>
        <w:t xml:space="preserve">(Hatipler, 2011, </w:t>
      </w:r>
      <w:r>
        <w:rPr>
          <w:noProof/>
        </w:rPr>
        <w:t>s</w:t>
      </w:r>
      <w:r w:rsidRPr="00E34C77">
        <w:rPr>
          <w:noProof/>
        </w:rPr>
        <w:t>. 14–32)</w:t>
      </w:r>
      <w:r>
        <w:rPr>
          <w:noProof/>
        </w:rPr>
        <w:t>.</w:t>
      </w:r>
    </w:p>
    <w:p w14:paraId="16301D15" w14:textId="77777777" w:rsidR="003B45CB" w:rsidRDefault="003B45CB" w:rsidP="003B45CB">
      <w:pPr>
        <w:jc w:val="both"/>
        <w:rPr>
          <w:noProof/>
        </w:rPr>
      </w:pPr>
    </w:p>
    <w:p w14:paraId="40865BE2" w14:textId="77777777" w:rsidR="001E7189" w:rsidRDefault="001E7189" w:rsidP="003B45CB">
      <w:pPr>
        <w:jc w:val="both"/>
        <w:rPr>
          <w:noProof/>
        </w:rPr>
      </w:pPr>
      <w:r>
        <w:rPr>
          <w:noProof/>
        </w:rPr>
        <w:t xml:space="preserve">Türkiye’nin Avrupa Birliği ile olan bu sürecine destek veren taraf ABD olmuştur. Türkiye ve Avrupa birliği arasında yaşanan gelişmelere doğrudan müdahale etmiştir. ABD ile bu dönemde müttefik devlet olarak İngiltere’nin yanına Türkiye’de eklenmişti. Bu sebeple ABD, Türkiye ile müttefik olduğu için Avrupa Birliği üyesi olmasına destek vermişti. Bu sayade Birlik içerisinde kesndisine daha fazla güç sağlayacaktı </w:t>
      </w:r>
      <w:r w:rsidRPr="00E34C77">
        <w:rPr>
          <w:noProof/>
        </w:rPr>
        <w:t xml:space="preserve">(Polat, 2021, </w:t>
      </w:r>
      <w:r>
        <w:rPr>
          <w:noProof/>
        </w:rPr>
        <w:t>s</w:t>
      </w:r>
      <w:r w:rsidRPr="00E34C77">
        <w:rPr>
          <w:noProof/>
        </w:rPr>
        <w:t>. 352)</w:t>
      </w:r>
      <w:r>
        <w:rPr>
          <w:noProof/>
        </w:rPr>
        <w:t>.</w:t>
      </w:r>
    </w:p>
    <w:p w14:paraId="5EFBEEAF" w14:textId="77777777" w:rsidR="003B45CB" w:rsidRDefault="003B45CB" w:rsidP="003B45CB">
      <w:pPr>
        <w:jc w:val="both"/>
        <w:rPr>
          <w:noProof/>
        </w:rPr>
      </w:pPr>
    </w:p>
    <w:p w14:paraId="7D7FBE9F" w14:textId="77777777" w:rsidR="001E7189" w:rsidRDefault="001E7189" w:rsidP="003B45CB">
      <w:pPr>
        <w:jc w:val="both"/>
        <w:rPr>
          <w:noProof/>
        </w:rPr>
      </w:pPr>
      <w:r>
        <w:rPr>
          <w:noProof/>
        </w:rPr>
        <w:t xml:space="preserve">Bu süreç içerisinde İngiltere de ABD ile aynı tutumu sergilemiştir. Türkiye’nin Avrupa Birliği üyesi olmasını desteklediğini açıkça ifade ederek her platform da bunu dile getirmiştir. İngiltere ile Türkiye arasında hem Avrupa Birliği hem de NATO çerçevesinde iş birlikleri sağlanmıştır </w:t>
      </w:r>
      <w:r w:rsidRPr="00E34C77">
        <w:rPr>
          <w:noProof/>
        </w:rPr>
        <w:t xml:space="preserve">(Yavuz, 1999, </w:t>
      </w:r>
      <w:r>
        <w:rPr>
          <w:noProof/>
        </w:rPr>
        <w:t>s</w:t>
      </w:r>
      <w:r w:rsidRPr="00E34C77">
        <w:rPr>
          <w:noProof/>
        </w:rPr>
        <w:t>. 46–49)</w:t>
      </w:r>
      <w:r>
        <w:rPr>
          <w:noProof/>
        </w:rPr>
        <w:t>.</w:t>
      </w:r>
    </w:p>
    <w:p w14:paraId="6D928BEA" w14:textId="77777777" w:rsidR="003B45CB" w:rsidRDefault="003B45CB" w:rsidP="003B45CB">
      <w:pPr>
        <w:jc w:val="both"/>
        <w:rPr>
          <w:noProof/>
        </w:rPr>
      </w:pPr>
    </w:p>
    <w:p w14:paraId="28C0CB94" w14:textId="77777777" w:rsidR="001E7189" w:rsidRDefault="001E7189" w:rsidP="003B45CB">
      <w:pPr>
        <w:jc w:val="both"/>
        <w:rPr>
          <w:noProof/>
        </w:rPr>
      </w:pPr>
      <w:r>
        <w:rPr>
          <w:noProof/>
        </w:rPr>
        <w:t xml:space="preserve">1990’lı yılların bitimiyle İngiltere, Avrupa Birliğinin daha çok yayılmasını destekler duruma gelmişti. Birliğe aday gösterilen devletlerin bir an önce değerlendirilmesi ve olumlu sonuçlar verilmesi gerektiğini belirtmiştir. Kosova Müdahalesi’nden sonra meydana gelen 11 Eylül girişimleri ile birlikte Avrupa Birliği’nin Avrupa kıtasında daha geniş alanlara yayılması gerektiğinin önemi anlaşılmıştır. Balkan bölgesinin de Birliğe dahil edilmesi gerektiği görülmüştür </w:t>
      </w:r>
      <w:r w:rsidRPr="00E34C77">
        <w:rPr>
          <w:noProof/>
        </w:rPr>
        <w:t xml:space="preserve">(Schimmelfenning, 2001, </w:t>
      </w:r>
      <w:r>
        <w:rPr>
          <w:noProof/>
        </w:rPr>
        <w:t>s</w:t>
      </w:r>
      <w:r w:rsidRPr="00E34C77">
        <w:rPr>
          <w:noProof/>
        </w:rPr>
        <w:t>. 50–55)</w:t>
      </w:r>
      <w:r>
        <w:rPr>
          <w:noProof/>
        </w:rPr>
        <w:t>.</w:t>
      </w:r>
    </w:p>
    <w:p w14:paraId="083E78A5" w14:textId="77777777" w:rsidR="003B45CB" w:rsidRDefault="003B45CB" w:rsidP="003B45CB">
      <w:pPr>
        <w:jc w:val="both"/>
        <w:rPr>
          <w:noProof/>
        </w:rPr>
      </w:pPr>
    </w:p>
    <w:p w14:paraId="074EC350" w14:textId="233AD991" w:rsidR="001E7189" w:rsidRDefault="001E7189" w:rsidP="003B45CB">
      <w:pPr>
        <w:jc w:val="both"/>
        <w:rPr>
          <w:noProof/>
        </w:rPr>
      </w:pPr>
      <w:r>
        <w:rPr>
          <w:noProof/>
        </w:rPr>
        <w:t xml:space="preserve">Diplomatik ilişkiler boyuntunda devam eden ekonomik işbirliklerinin artık </w:t>
      </w:r>
      <w:r w:rsidRPr="0019209D">
        <w:rPr>
          <w:noProof/>
        </w:rPr>
        <w:t xml:space="preserve">2000’li yıllara gelindiğinde İngiltere, Türkiye için </w:t>
      </w:r>
      <w:r>
        <w:rPr>
          <w:noProof/>
        </w:rPr>
        <w:t>kritik</w:t>
      </w:r>
      <w:r w:rsidRPr="0019209D">
        <w:rPr>
          <w:noProof/>
        </w:rPr>
        <w:t xml:space="preserve"> bir dış ticar</w:t>
      </w:r>
      <w:r>
        <w:rPr>
          <w:noProof/>
        </w:rPr>
        <w:t>et ortağı haline gelmiştir. Türkiye bu yıllarda İngiltere’ye 3 milyar dolarlık ihracatta bulunmuştur. Bu rakam ilerleyen yıllarda katlanarak devam etmiştir. Bu ihracat ürünlerinin içerisinde örme giyim, aksesuar, yedek parça ve ekipman bulunmaktadır (KUTO, s,9).</w:t>
      </w:r>
    </w:p>
    <w:p w14:paraId="16579513" w14:textId="77777777" w:rsidR="00C70E93" w:rsidRDefault="00C70E93" w:rsidP="003B45CB">
      <w:pPr>
        <w:jc w:val="both"/>
        <w:rPr>
          <w:noProof/>
        </w:rPr>
      </w:pPr>
    </w:p>
    <w:p w14:paraId="73A77FAB" w14:textId="77777777" w:rsidR="001E7189" w:rsidRDefault="001E7189" w:rsidP="003B45CB">
      <w:pPr>
        <w:jc w:val="both"/>
        <w:rPr>
          <w:noProof/>
        </w:rPr>
      </w:pPr>
      <w:r w:rsidRPr="00457696">
        <w:rPr>
          <w:b/>
          <w:bCs/>
          <w:noProof/>
        </w:rPr>
        <w:t>VI. Türkiye-İngiltere Siyasi ve Diplomatik İlişkileri</w:t>
      </w:r>
    </w:p>
    <w:p w14:paraId="7BD9B861" w14:textId="77777777" w:rsidR="001E7189" w:rsidRDefault="001E7189" w:rsidP="003B45CB">
      <w:pPr>
        <w:jc w:val="both"/>
        <w:rPr>
          <w:noProof/>
        </w:rPr>
      </w:pPr>
      <w:r>
        <w:rPr>
          <w:noProof/>
        </w:rPr>
        <w:t>Türkiye ve İngiltere’nin arasındaki geçmişten günümüze devam eden siyasi ilişkilerini tarihi ve kültürel birikimleri, stratejik ortaklıkları ve ortak çıkarları şekillendirmiştir. İngiltere’nin uluslararası yapıdaki konumuna bakıldığında ABD’nin güçlü bir müttefiki, NATO’da söz sahibi olan üye devletlerden birisi ve ekonomik anlamda güçlü bir devlet durumundaydı. Siyasette gerçekleşen kritik durumları kendi lehine sonuçlandırmayı başarabilen ve kendi çıkarları doğrultusunda siyasi olaylara yön verebilen bir devletti. Türkiye tarafına bakıldığında ise, NATO’ya üyeliğini tamamlamış ve Batı yönlü bir siyasi politika sürdüren bir devlet görülmekteydi. Aynı zamanda İngiltere gibi Türkiye de ABD’nin müttefik devletleri arasında yer almaktaydı. Türkiye, Avrupa Birliğine dahil olma yolunda ilerleyen ve jeopolitik konumu sebebiyle kritik önem taşıyan bir devlet konumundaydı (Polat, 2021, s.338).</w:t>
      </w:r>
    </w:p>
    <w:p w14:paraId="271179D4" w14:textId="77777777" w:rsidR="003B45CB" w:rsidRDefault="003B45CB" w:rsidP="003B45CB">
      <w:pPr>
        <w:jc w:val="both"/>
        <w:rPr>
          <w:noProof/>
        </w:rPr>
      </w:pPr>
    </w:p>
    <w:p w14:paraId="6FB3DA77" w14:textId="61D1099B" w:rsidR="003B45CB" w:rsidRDefault="001E7189" w:rsidP="003B45CB">
      <w:pPr>
        <w:jc w:val="both"/>
        <w:rPr>
          <w:noProof/>
        </w:rPr>
      </w:pPr>
      <w:r>
        <w:rPr>
          <w:noProof/>
        </w:rPr>
        <w:t>İngiltere’nin Türkiye ile diplomatik ilişkilerini sürdürmesinin en önemli sebeplerinden birisi Türkiye’nin sahip olduğu stratejik konumundan kaynaklanmaktadır. Türkiye, Doğu ve Batı arasında bir köprü oluşturuyordu. Bu yüzden, İngiltere’nin hakim olmak istediği ticaret yolları Türkiye üzerinden geçiyordu. Özellikle Türkiye’nin Doğu Akdeniz ve Orta Doğu’ya olan sınırları ticaret için kilit noktalardı. Türkiye’nin İngiltere için önem arz eden diğer bir özelliği ise Kıbrıs’taki iki askeri üsse komşu olmasıdır. Diplomatik ilişkilerinin bir diğer nedeni de her iki devletin de Kıbrıs’ın garantör devleti olmalarından kaynaklanmaktadır.</w:t>
      </w:r>
    </w:p>
    <w:p w14:paraId="4ECAABF3" w14:textId="77777777" w:rsidR="001E7189" w:rsidRDefault="001E7189" w:rsidP="003B45CB">
      <w:pPr>
        <w:jc w:val="both"/>
        <w:rPr>
          <w:noProof/>
        </w:rPr>
      </w:pPr>
      <w:r>
        <w:rPr>
          <w:noProof/>
        </w:rPr>
        <w:lastRenderedPageBreak/>
        <w:t xml:space="preserve">Türkiye ve İngiltere’nin siyasi ilşkilerinin yoğunluk kazandığı belirli dönemler olmuştur. Bunlar Soğuk Savaş öncesinde ve sonrasında olmak üzere farklı çıkarlar ve anlaşmalar çerçevesinde şekillenmiştir. Bu çalışmanın konusu olan 1990 ve 2000 yılları arasındaki diplomatik ilişkilere bakılırsa, Türkiye hükümetinde 16 Mayıs 1993 yılından 16 Mayıs 2000 tarihine kadar görevde bulunmuş ve TBMM tarafından Türkiye Cumhuriyeti’nin 9. Cumhurbaşkanı olarak seçilen Süleyman Demirel vardı </w:t>
      </w:r>
      <w:r w:rsidRPr="00E34C77">
        <w:rPr>
          <w:noProof/>
        </w:rPr>
        <w:t xml:space="preserve">(Dünden </w:t>
      </w:r>
      <w:r>
        <w:rPr>
          <w:noProof/>
        </w:rPr>
        <w:t>B</w:t>
      </w:r>
      <w:r w:rsidRPr="00E34C77">
        <w:rPr>
          <w:noProof/>
        </w:rPr>
        <w:t xml:space="preserve">ugüne </w:t>
      </w:r>
      <w:r>
        <w:rPr>
          <w:noProof/>
        </w:rPr>
        <w:t>B</w:t>
      </w:r>
      <w:r w:rsidRPr="00E34C77">
        <w:rPr>
          <w:noProof/>
        </w:rPr>
        <w:t>aşbakanlık, 2014, p. 79)</w:t>
      </w:r>
      <w:r>
        <w:rPr>
          <w:noProof/>
        </w:rPr>
        <w:t xml:space="preserve">. İngiltere tarafında ise Johm Major’un başbaşanlık dönemi devam etmekteydi </w:t>
      </w:r>
      <w:r w:rsidRPr="00E34C77">
        <w:rPr>
          <w:noProof/>
        </w:rPr>
        <w:t>(Britannica, 2024)</w:t>
      </w:r>
      <w:r>
        <w:rPr>
          <w:noProof/>
        </w:rPr>
        <w:t>. Türkiye ve İngiltere’nin 1990’lı yıllarındaki siyasi ilişkilerini şekillendiren başlıca olaylar arasında Soğuk Savaş sonrası kurulan yeni uluslararası düzende iki devletin kendi çıkarları doğrultusunda yer edinmeleri, Balkan bölgesindeki bazı hareketlilikler ve buna karşı yapılan müdahaleler yer almaktadır.</w:t>
      </w:r>
    </w:p>
    <w:p w14:paraId="2A3B54DB" w14:textId="77777777" w:rsidR="003B45CB" w:rsidRDefault="003B45CB" w:rsidP="003B45CB">
      <w:pPr>
        <w:jc w:val="both"/>
        <w:rPr>
          <w:noProof/>
        </w:rPr>
      </w:pPr>
    </w:p>
    <w:p w14:paraId="50337061" w14:textId="77777777" w:rsidR="001E7189" w:rsidRDefault="001E7189" w:rsidP="003B45CB">
      <w:pPr>
        <w:jc w:val="both"/>
        <w:rPr>
          <w:noProof/>
        </w:rPr>
      </w:pPr>
      <w:r>
        <w:rPr>
          <w:noProof/>
        </w:rPr>
        <w:t>İngiltere 16-17 Ocak 1991 yılında Körfez Savaşı’yla yüz yüze gelmiştir. Bunun sebebi İngiltere, müttefik devletleri arasında en kalabalık asker sayına sahipti. İngiltere’nin müdahale etme sebebi kendi çıkarları doğrultusunda savaşın önemli bir coğrafi bölgede olmasından kaynaklanmıştır ve müttefik devletlerle ortak hareket edilmesini gerektirmiştir. Böylece ABD ile iş birliği sağlanmıştır. Türkiye ise NATO müttefiki olan İngilter ve ABD’ye savaş uçaklarını kullanabilmeleri için üslerini açmıştır. Bu üsleri askerlerini yerleştirmek amacıyla İngiltere, ABD ve Fransa kullanmıştır. Körfez Savaşı’nın akabinde Kuzey Irak bölgesinde güvenli bir ortam sağlamak adına “Huzur Harekatları” başlamıştır. Nitekim, Huzur Harekatı olarak adlandırılan bu operasyonlar Türkiye için güncel sorunlar yaratmıştır (Yaycı, 2019, s.337)</w:t>
      </w:r>
    </w:p>
    <w:p w14:paraId="63916F05" w14:textId="77777777" w:rsidR="003B45CB" w:rsidRDefault="003B45CB" w:rsidP="003B45CB">
      <w:pPr>
        <w:jc w:val="both"/>
        <w:rPr>
          <w:noProof/>
        </w:rPr>
      </w:pPr>
    </w:p>
    <w:p w14:paraId="606B10AE" w14:textId="77777777" w:rsidR="001E7189" w:rsidRDefault="001E7189" w:rsidP="003B45CB">
      <w:pPr>
        <w:jc w:val="both"/>
        <w:rPr>
          <w:noProof/>
        </w:rPr>
      </w:pPr>
      <w:r>
        <w:rPr>
          <w:noProof/>
        </w:rPr>
        <w:t xml:space="preserve">Huzur Harekatı, Türkiye’deki Kuzey Iraklı mültecilerin yurtlarına geri dönebilmeleri için ortaya çıkarılmış çok uluslu bir yapıdır. Ancak Türkiye için her yönden olumlu sonuçlar getiren bir oluşum olmamıştır. Çünkü Kuzey Irak’ta oluşabilecek otonom bir bölge, Türkiye’nın sınır güvenliği açısından bir tehdit unsuru olabilirdi </w:t>
      </w:r>
      <w:r w:rsidRPr="00CA6464">
        <w:rPr>
          <w:noProof/>
        </w:rPr>
        <w:t xml:space="preserve">(Cevizoğlu, 1991, </w:t>
      </w:r>
      <w:r>
        <w:rPr>
          <w:noProof/>
        </w:rPr>
        <w:t>s</w:t>
      </w:r>
      <w:r w:rsidRPr="00CA6464">
        <w:rPr>
          <w:noProof/>
        </w:rPr>
        <w:t>. 43)</w:t>
      </w:r>
      <w:r>
        <w:rPr>
          <w:noProof/>
        </w:rPr>
        <w:t>.</w:t>
      </w:r>
    </w:p>
    <w:p w14:paraId="514BB690" w14:textId="77777777" w:rsidR="003B45CB" w:rsidRDefault="003B45CB" w:rsidP="003B45CB">
      <w:pPr>
        <w:jc w:val="both"/>
        <w:rPr>
          <w:noProof/>
        </w:rPr>
      </w:pPr>
    </w:p>
    <w:p w14:paraId="066BBC14" w14:textId="77777777" w:rsidR="001E7189" w:rsidRDefault="001E7189" w:rsidP="003B45CB">
      <w:pPr>
        <w:jc w:val="both"/>
        <w:rPr>
          <w:noProof/>
        </w:rPr>
      </w:pPr>
      <w:r>
        <w:rPr>
          <w:noProof/>
        </w:rPr>
        <w:t xml:space="preserve">Körfez Krizinin sonuna gelindiğindei özellikle Harekat sonrası petrol fiyatları yükselmiştir. Kara taşımacılığı ve ihracat sektörleri sekteye uğramıştır. Bu sebeple Türkiye’de Güneydoğu Anadolu Bölgesi ve Kuzey Irak arasındaki ekonomik faaliyetler olumsuz etkilenmiştir. Kazancını sınır ticaretinden ve petrol taşımacılığı ile sağlayan esnaflar olumsuz etkilenmiştir. Ayrıca Kuzey Irak bölgesinde oluşan otorite boşluğu sebebiyle Türkiye’nin sınır güvenliği risk altına girmiştir ve bölgeye sağlanan askeri harcamalar mali sorunları da beraberinde getirmiştir </w:t>
      </w:r>
      <w:r w:rsidRPr="00CA6464">
        <w:rPr>
          <w:noProof/>
        </w:rPr>
        <w:t xml:space="preserve">(Öztürk, 2010, </w:t>
      </w:r>
      <w:r>
        <w:rPr>
          <w:noProof/>
        </w:rPr>
        <w:t>s</w:t>
      </w:r>
      <w:r w:rsidRPr="00CA6464">
        <w:rPr>
          <w:noProof/>
        </w:rPr>
        <w:t>. 19)</w:t>
      </w:r>
      <w:r>
        <w:rPr>
          <w:noProof/>
        </w:rPr>
        <w:t xml:space="preserve">. Zamanla Türkiye’nin Kuzey Irak bölgesinde sahip olduğu bir koz haline gelen Huzur Harekatı’nda İngiltere ve ABD birlikte müttefik olarak hareket etmiş ve ortak ekonomik çıkarları doğrultusunda iş birlikleri gerçekleştirmişlerdir </w:t>
      </w:r>
      <w:r w:rsidRPr="00CA6464">
        <w:rPr>
          <w:noProof/>
        </w:rPr>
        <w:t>(Brands, 2004, p. 117)</w:t>
      </w:r>
      <w:r>
        <w:rPr>
          <w:noProof/>
        </w:rPr>
        <w:t>.</w:t>
      </w:r>
    </w:p>
    <w:p w14:paraId="19E3215F" w14:textId="77777777" w:rsidR="003B45CB" w:rsidRDefault="003B45CB" w:rsidP="003B45CB">
      <w:pPr>
        <w:jc w:val="both"/>
        <w:rPr>
          <w:noProof/>
        </w:rPr>
      </w:pPr>
    </w:p>
    <w:p w14:paraId="6E1B0F13" w14:textId="10EFC794" w:rsidR="001E7189" w:rsidRDefault="001E7189" w:rsidP="003B45CB">
      <w:pPr>
        <w:jc w:val="both"/>
        <w:rPr>
          <w:noProof/>
        </w:rPr>
      </w:pPr>
      <w:r>
        <w:rPr>
          <w:noProof/>
        </w:rPr>
        <w:t xml:space="preserve">SSCB’nin dağılması ve Doğu Bloğu’nun sona ermesi ile birlikte Soğuk Savaş dönemi sona ermişti. Uluslararası düzende güç dengeleri değişmiş ve haritada değişiklikler meydana gelmiştir. Yugoslavya iç çatışmalar yaşarken bağımsızlık hareketlerine başlamıştı. Bu durum bazı Avrupa Birliği devletleri tarafından desteklenmiştir. Diğer yandan Fransa ve İngiltere Sırbistan’a destek vererek Almanya’nın bölgedeki hakimiyet alanına sınır getirmek istemişlerdir. Özellikle Balkan Bölgesinde yaşanan bu gelişmeler Bosna Krizi’ni tetiklemiştir. İngiltere, patlak veren bu ayaklanma ve bağımsızlık mücadeleleri karşısında bu kez ABD ile müttefik olarak hareket etmemiştir. Körfez Savaşı’ndan sonra ilk kez fikir ve politika ayrılığı göstermiştir. Yugoslavya’nın dağılması NATO’nun gerekliliğini ve önemini göstermek için kullanılan bir uygulama bölgesi halini almıştır. Ortaya insan haklarını yok sayan müdahaleler </w:t>
      </w:r>
      <w:r>
        <w:rPr>
          <w:noProof/>
        </w:rPr>
        <w:lastRenderedPageBreak/>
        <w:t>çıkmıştır ve bu durum ABD’nin egemenliğine güç katmıştır.(Valentino, 2006, s.723).</w:t>
      </w:r>
    </w:p>
    <w:p w14:paraId="1926C98B" w14:textId="77777777" w:rsidR="003B45CB" w:rsidRDefault="003B45CB" w:rsidP="003B45CB">
      <w:pPr>
        <w:jc w:val="both"/>
        <w:rPr>
          <w:noProof/>
        </w:rPr>
      </w:pPr>
    </w:p>
    <w:p w14:paraId="1F1E3481" w14:textId="77777777" w:rsidR="001E7189" w:rsidRDefault="001E7189" w:rsidP="003B45CB">
      <w:pPr>
        <w:jc w:val="both"/>
        <w:rPr>
          <w:noProof/>
        </w:rPr>
      </w:pPr>
      <w:r>
        <w:rPr>
          <w:noProof/>
        </w:rPr>
        <w:t>Bu dönemde Türkiye, Avrupa Birliği’nin kendi çıkarları doğrultusunda NATO’yu ön planda tutarak oluşturmak istediği güvenlik örtüne karşı çıkmıştır. Bu yüzden kendi politikasını Atlantik bölgesindeki bağlantılarını güçlendirmek ve devam ettirmek olarak belirlemiştir hem de ABD ve İngiltere ile birlikte müttefikliğine devam etmiştir. Türkiye, Soğuk Savaş sonrasında oluşan ve Batı ekseninde kurulan yeni dünya düzeninde bu iki devlet ile olan diplomatik ilşkilerini kesintiye uğratmamıştır.</w:t>
      </w:r>
    </w:p>
    <w:p w14:paraId="4D8D0CBA" w14:textId="77777777" w:rsidR="003B45CB" w:rsidRDefault="003B45CB" w:rsidP="003B45CB">
      <w:pPr>
        <w:jc w:val="both"/>
        <w:rPr>
          <w:noProof/>
        </w:rPr>
      </w:pPr>
    </w:p>
    <w:p w14:paraId="64D10237" w14:textId="77777777" w:rsidR="001E7189" w:rsidRDefault="001E7189" w:rsidP="003B45CB">
      <w:pPr>
        <w:jc w:val="both"/>
        <w:rPr>
          <w:noProof/>
        </w:rPr>
      </w:pPr>
      <w:r>
        <w:rPr>
          <w:noProof/>
        </w:rPr>
        <w:t>Öyle ki, Bosna ve Kosova bölgesine askeri yardımda bulunmuş ve Yugoslavya müdahalelerine destek vermiştir. Ayrıca bu dönemde de ABD, Türkiye’nin askeri üslerini kullanmıştır. Balkanlar’ın ABD ve İngiltere açısından önemi boğazlar, Doğu Akdeniz ve Orta Doğu bölgelerine olan stratejik öneminden kaynaklanıyordu. Bosna adına barışı korumak amaçlı bazı örgütler oluşturulmuş ve İngiltere bu  gruplar arasında yer almıştır. Uygulama Gücü (IFOR) ve İstikrar Gücü (SFOR) bu örgütler arasındadır. Aynı şekilde Kosova için Kosova Gücü (KFOR) ve Makedonya için de Birleşmiş Milletler Önleyici Konuşlanma Gücü (UNPREDEP) adında benzer örgütler kurulmuştur ve İngiltere bu örgütlere de dahil olmuştur (Bozkurt, 2024, s.153).</w:t>
      </w:r>
    </w:p>
    <w:p w14:paraId="414EF184" w14:textId="77777777" w:rsidR="001E7189" w:rsidRDefault="001E7189" w:rsidP="003B45CB">
      <w:pPr>
        <w:jc w:val="both"/>
        <w:rPr>
          <w:noProof/>
        </w:rPr>
      </w:pPr>
      <w:r>
        <w:rPr>
          <w:noProof/>
        </w:rPr>
        <w:t>Bu süreç içerisinde</w:t>
      </w:r>
      <w:r w:rsidRPr="00834F12">
        <w:rPr>
          <w:noProof/>
        </w:rPr>
        <w:t xml:space="preserve"> Türkiye ve ABD arasında</w:t>
      </w:r>
      <w:r>
        <w:rPr>
          <w:noProof/>
        </w:rPr>
        <w:t>ki mütteffiklik devam etmiş ve iş birliği sürdürülmüştür. NATO bünyesinde toplanan askeri güçler içerisine Türk askerleri de dahil edilmiştir. İngiltere olan diplomatik ilişkiler ise yine NATO içerisinde gerçekleştirilmiştir. Diğer yandan, Avrupa Ortak Güvenlik ve Savunma Politikası (Common Defense and Security Policy- CDSP) kurulmuştur. Bu oluşum içerisindeki karar mekanizmaları belirlenirken Avrupa Birliği’nin rolü ve NATO faktörünin yanısıra Avrupa Birliği’nin üye devletlerinin de bu grup içerisinde yer alabileceği gündeme gelmiştir. Ancak Türkiye, bu gelişmeleri kendi açısından tehdit unsuru oluşturabilecek adımlar olarak gördüğü için tepkisini açıkça göstermiştir. BAB (Batı Avrupa Birliği) ise dönemin güncel meselelerden biri olan Kıbrıs ve Adalar tartışmalarına müdahale edebilmek amacıyla oluşturulan örgütün karar mercilerinden olmak istemiştir. BAB’ın örgüt içerisindeki karar vericilerden olmak isteme sebeplerinden birisi Avrupa Birliği’nin Türkiye’yi ilgilendiren meseleler hakkında Türkiye’nin katılmadığı bir örgütte çözüme ulaştırılmasına karşı çıkma amacıydı. Bu süreçte İngiltere Avrupa güvenliği örgütleri içerisinde yer alıyorken Türkiye ise NATO bağlamında hareket ederek Avrupa ile iş birlikleri içerisindeydi.(Keskin, 2006-2007, s.50-53).</w:t>
      </w:r>
    </w:p>
    <w:p w14:paraId="1E8785D1" w14:textId="77777777" w:rsidR="00C70E93" w:rsidRDefault="00C70E93" w:rsidP="003B45CB">
      <w:pPr>
        <w:jc w:val="both"/>
        <w:rPr>
          <w:noProof/>
        </w:rPr>
      </w:pPr>
    </w:p>
    <w:p w14:paraId="0C942042" w14:textId="77777777" w:rsidR="001E7189" w:rsidRDefault="001E7189" w:rsidP="003B45CB">
      <w:pPr>
        <w:jc w:val="both"/>
        <w:rPr>
          <w:b/>
          <w:bCs/>
          <w:noProof/>
        </w:rPr>
      </w:pPr>
      <w:r w:rsidRPr="00E97AFB">
        <w:rPr>
          <w:b/>
          <w:bCs/>
          <w:noProof/>
        </w:rPr>
        <w:t>V. Kültürel ve Sosyal İlişkiler</w:t>
      </w:r>
    </w:p>
    <w:p w14:paraId="29A64C82" w14:textId="77777777" w:rsidR="001E7189" w:rsidRDefault="001E7189" w:rsidP="003B45CB">
      <w:pPr>
        <w:jc w:val="both"/>
        <w:rPr>
          <w:noProof/>
        </w:rPr>
      </w:pPr>
      <w:r w:rsidRPr="00C64794">
        <w:rPr>
          <w:noProof/>
        </w:rPr>
        <w:t>U</w:t>
      </w:r>
      <w:r>
        <w:rPr>
          <w:noProof/>
        </w:rPr>
        <w:t>luslararası sistemde diplomatik, askeri veya ekonomik ilişkilerin yanı sıra kültürel ilişkilerin payı da büyüktür. Devlet ve milletlerin birbirleriyle kültürel bağ kurmaları tarih boyunca önemini göstermiştir. Kültürel etkileşimler sayesinde toplumların ortak değerler oluşturması sağlanmıştır. Bu amaç doğrultusunda sanat, edebiyat ve eğitim gibi konular köprü görevi görmüşlerdir. Devletlerin birbirleri arasında kurdukları kültürel diplomasi sayesinde barış ve iş birliği sağlanmış, toplumların manevi değerleri de paylaşılmıştır. 1990 ve 2000 yılları arasında İngiltere ve Türkiye arasında kültürel diplomasi adına birden fazla adım atılmıştır.</w:t>
      </w:r>
    </w:p>
    <w:p w14:paraId="7DB33F8E" w14:textId="77777777" w:rsidR="003B45CB" w:rsidRDefault="003B45CB" w:rsidP="003B45CB">
      <w:pPr>
        <w:jc w:val="both"/>
        <w:rPr>
          <w:noProof/>
        </w:rPr>
      </w:pPr>
    </w:p>
    <w:p w14:paraId="6BD1EA78" w14:textId="77777777" w:rsidR="001E7189" w:rsidRDefault="001E7189" w:rsidP="003B45CB">
      <w:pPr>
        <w:jc w:val="both"/>
        <w:rPr>
          <w:noProof/>
        </w:rPr>
      </w:pPr>
      <w:r>
        <w:rPr>
          <w:noProof/>
        </w:rPr>
        <w:t xml:space="preserve">Soğuk Savaş’ın sona ermesiyle birlikte British Council aktif çalışma sürecine girmiştir. Türkiye içerinde de daha aktif bir yapıya bürünmeye başlayan bu yapı kültürel ilişkiler alanında çalışmalarını sürdürerek eğitim fırsatları oluşturan bir kurumdu. Özellikle genç nüfus üzerinde faaliyetlerini devam ettirerek onlara öğrenci hareketliliği, bilgiye kolay erişim ve yabancı dil öğrenme gibi imkanlar sağlıyordu </w:t>
      </w:r>
      <w:r w:rsidRPr="00D94E35">
        <w:rPr>
          <w:noProof/>
        </w:rPr>
        <w:t xml:space="preserve">(Aydemir, 2018, </w:t>
      </w:r>
      <w:r>
        <w:rPr>
          <w:noProof/>
        </w:rPr>
        <w:t>s</w:t>
      </w:r>
      <w:r w:rsidRPr="00D94E35">
        <w:rPr>
          <w:noProof/>
        </w:rPr>
        <w:t>. 10–13)</w:t>
      </w:r>
      <w:r>
        <w:rPr>
          <w:noProof/>
        </w:rPr>
        <w:t xml:space="preserve">. British Council, sağladığı </w:t>
      </w:r>
      <w:r>
        <w:rPr>
          <w:noProof/>
        </w:rPr>
        <w:lastRenderedPageBreak/>
        <w:t>kültürel çalışmalar ve projeler ile uluslararası  iletişimin gelişimini desteklediğini savunmuştur.</w:t>
      </w:r>
    </w:p>
    <w:p w14:paraId="6F1CF63A" w14:textId="77777777" w:rsidR="001E7189" w:rsidRDefault="001E7189" w:rsidP="003B45CB">
      <w:pPr>
        <w:jc w:val="both"/>
        <w:rPr>
          <w:noProof/>
        </w:rPr>
      </w:pPr>
      <w:r>
        <w:rPr>
          <w:noProof/>
        </w:rPr>
        <w:t xml:space="preserve">İngiltere ve Türkiye arasında kurulan kültür ilişkilerinin diğer bir kaynağı da turizm olmuştur. 1990’lı yıllara gelindiğinde Türkiye’ye İngiltere gibi yabancı ülkelerden gelen turist sayısında hızlı bir artış meydana gelmiştir. Artışın sebebi olarak devletlerin teşvikleri ve özel girişim uygulamaları etkili olmuştur. Sadece 1990 </w:t>
      </w:r>
      <w:bookmarkStart w:id="75" w:name="_Hlk187793407"/>
      <w:r>
        <w:rPr>
          <w:noProof/>
        </w:rPr>
        <w:t xml:space="preserve">yılında İngiltere’den </w:t>
      </w:r>
      <w:bookmarkEnd w:id="75"/>
      <w:r>
        <w:rPr>
          <w:noProof/>
        </w:rPr>
        <w:t xml:space="preserve">Türkiye’ye gelen turist sayısı 351 bin 458 kişi olarak açıklanmıştır </w:t>
      </w:r>
      <w:r w:rsidRPr="00D94E35">
        <w:rPr>
          <w:noProof/>
        </w:rPr>
        <w:t xml:space="preserve">(Okuyucu &amp; Somuncu, 2018, </w:t>
      </w:r>
      <w:r>
        <w:rPr>
          <w:noProof/>
        </w:rPr>
        <w:t>s</w:t>
      </w:r>
      <w:r w:rsidRPr="00D94E35">
        <w:rPr>
          <w:noProof/>
        </w:rPr>
        <w:t>. 9)</w:t>
      </w:r>
    </w:p>
    <w:p w14:paraId="134071F7" w14:textId="77777777" w:rsidR="003B45CB" w:rsidRDefault="003B45CB" w:rsidP="003B45CB">
      <w:pPr>
        <w:jc w:val="both"/>
        <w:rPr>
          <w:noProof/>
        </w:rPr>
      </w:pPr>
    </w:p>
    <w:p w14:paraId="451EF9D8" w14:textId="77777777" w:rsidR="001E7189" w:rsidRDefault="001E7189" w:rsidP="003B45CB">
      <w:pPr>
        <w:jc w:val="both"/>
        <w:rPr>
          <w:noProof/>
        </w:rPr>
      </w:pPr>
      <w:r w:rsidRPr="002A34DC">
        <w:rPr>
          <w:noProof/>
        </w:rPr>
        <w:t>İngiltere</w:t>
      </w:r>
      <w:r>
        <w:rPr>
          <w:noProof/>
        </w:rPr>
        <w:t xml:space="preserve"> ve Türkiye arasında kültürel ilişkilerin diğer bir gelişmesi ise eğitim alanında gerçekleşmiştir. İngiltere’de 1990’lı yıllara gelinmeden önce Türkçe, Türk Edebiyatı ve Osmanlı Tarihi gibi dersler mevcuttu. 1986 ve 1990 yılları arasında Profesör Dodd tarafından kendi bütçesiyle açtığı Türkiye Çalışmaları adlı yüksek lisans programı açılmıştır. Bu programda Türkiye hakkında çeşitli çalışmalar yürüten araştırmacılar yer almıştır. İngiltere’de açılan Türkiye konulu bölümlerde Türkçe dil şartı aranmamıştır. Ayrıca 2000’li yıllarla birlikte Türk Hükümeti desteği ile bu bölümler teşvik edilmiştir </w:t>
      </w:r>
      <w:r w:rsidRPr="00D94E35">
        <w:rPr>
          <w:noProof/>
        </w:rPr>
        <w:t xml:space="preserve">(Tatar Kırılmış, 2014, </w:t>
      </w:r>
      <w:r>
        <w:rPr>
          <w:noProof/>
        </w:rPr>
        <w:t>s</w:t>
      </w:r>
      <w:r w:rsidRPr="00D94E35">
        <w:rPr>
          <w:noProof/>
        </w:rPr>
        <w:t>. 61–62)</w:t>
      </w:r>
      <w:r>
        <w:rPr>
          <w:noProof/>
        </w:rPr>
        <w:t>.</w:t>
      </w:r>
    </w:p>
    <w:p w14:paraId="450B8C99" w14:textId="77777777" w:rsidR="00C70E93" w:rsidRDefault="00C70E93" w:rsidP="003B45CB">
      <w:pPr>
        <w:jc w:val="both"/>
        <w:rPr>
          <w:noProof/>
        </w:rPr>
      </w:pPr>
    </w:p>
    <w:p w14:paraId="5063A72A" w14:textId="77777777" w:rsidR="001E7189" w:rsidRPr="00D12F03" w:rsidRDefault="001E7189" w:rsidP="003B45CB">
      <w:pPr>
        <w:jc w:val="both"/>
        <w:rPr>
          <w:b/>
          <w:bCs/>
          <w:noProof/>
        </w:rPr>
      </w:pPr>
      <w:r w:rsidRPr="00D12F03">
        <w:rPr>
          <w:b/>
          <w:bCs/>
          <w:noProof/>
        </w:rPr>
        <w:t>Sonuç</w:t>
      </w:r>
    </w:p>
    <w:p w14:paraId="1A10CBFA" w14:textId="77777777" w:rsidR="001E7189" w:rsidRDefault="001E7189" w:rsidP="003B45CB">
      <w:pPr>
        <w:jc w:val="both"/>
        <w:rPr>
          <w:noProof/>
        </w:rPr>
      </w:pPr>
      <w:r>
        <w:rPr>
          <w:noProof/>
        </w:rPr>
        <w:t>Soğuk Savaş sonrasındaki süreç, uluslararası diplomatik ilişkilerde dönüm noktalarından olmuş ve derin dönüşümlere zemin hazırlamıştır. Devletler arasında gelişen bu dönüşüm süreci İngiltere ve Türkiye üzerinden incelenmiştir. Soğuk Savaş’ın sona ermesinden Ak Parti iktidarına kadar olan süreçte iki devlet arasında hem yenilikçi adımlar atılmış hem de çeşitli alanlar da iş birlikleri sağlanmıştır. Ekonomik, askeri, siyasi, sosyal ve kültürel çerçevede ele alınan gelişmeler iki devlet arasındaki çok yönlü bir dış politika örmeğini yansıtmıştır.</w:t>
      </w:r>
    </w:p>
    <w:p w14:paraId="5C262481" w14:textId="77777777" w:rsidR="003B45CB" w:rsidRDefault="003B45CB" w:rsidP="003B45CB">
      <w:pPr>
        <w:jc w:val="both"/>
        <w:rPr>
          <w:noProof/>
        </w:rPr>
      </w:pPr>
    </w:p>
    <w:p w14:paraId="116E07DF" w14:textId="77777777" w:rsidR="001E7189" w:rsidRDefault="001E7189" w:rsidP="003B45CB">
      <w:pPr>
        <w:jc w:val="both"/>
        <w:rPr>
          <w:noProof/>
        </w:rPr>
      </w:pPr>
      <w:r>
        <w:rPr>
          <w:noProof/>
        </w:rPr>
        <w:t>Savaşın sona ermesi ile birlikte devletler kendi çıkarları doğrultusunda yeni dünya düzenine ayak uydurmaya çalışmışlardır. Özellikle İngiltere ve Türkiye için benzer çıkar amaçları taşıyan Orta Doğu ve Balkan bölgelerinde yaşanan gelişmeler iş birliklerine yol açmıştır. Ayrıca Türkiye’nin sahip olduğu stratejik coğrafi konumu enerji hatları üzerindeki rolünü arttırmıştır. Bulunduğu konum itibariyle bölgesel güvenliğe katkısı da diğer önemli bir husustur. Bu durumlar sonucunda Türkiye, İngiltere için iş birliği halinde olması gereken bir devlet konumundadır. Türkiye tarafından bakıldığında ise İngiltere, Avrupa Birliği ile olan bağlantısı ve uluslararası sistemde söz sahibi olması açısından önemli bir güçtü.</w:t>
      </w:r>
    </w:p>
    <w:p w14:paraId="1CBC9359" w14:textId="77777777" w:rsidR="003B45CB" w:rsidRDefault="003B45CB" w:rsidP="003B45CB">
      <w:pPr>
        <w:jc w:val="both"/>
        <w:rPr>
          <w:noProof/>
        </w:rPr>
      </w:pPr>
    </w:p>
    <w:p w14:paraId="4530A584" w14:textId="77777777" w:rsidR="001E7189" w:rsidRDefault="001E7189" w:rsidP="003B45CB">
      <w:pPr>
        <w:jc w:val="both"/>
        <w:rPr>
          <w:noProof/>
        </w:rPr>
      </w:pPr>
      <w:r>
        <w:rPr>
          <w:noProof/>
        </w:rPr>
        <w:t>Makalenin diğer bir bölümü oluşturan ekonomik ilişkilerde ise, iki ülke arasındaki ticaret hacmi incelenmiş ve ithalat ihracat oranları gözlemlenmiştir. Özellikle Soğuk Savaş sonrası yaşanan iki devlet arasındaki serbest ticaret antlaşmalar ve sektörel iş birlikleri ekonomik gelişmeleri etkilemiştir. Enerji kaynaklarının taşınması ve kullanılması konusunda yapılan anlaşmalar da olumlu sonuçları beraberinde getirmiştir. Bu dönemde kurulan ekonomik bağlantılar ve bunlardan doğan gelirler günümüze kadar katlanarak devam etmiştir.</w:t>
      </w:r>
    </w:p>
    <w:p w14:paraId="481D14E5" w14:textId="77777777" w:rsidR="003B45CB" w:rsidRDefault="003B45CB" w:rsidP="003B45CB">
      <w:pPr>
        <w:jc w:val="both"/>
        <w:rPr>
          <w:noProof/>
        </w:rPr>
      </w:pPr>
    </w:p>
    <w:p w14:paraId="764A98EF" w14:textId="77777777" w:rsidR="001E7189" w:rsidRDefault="001E7189" w:rsidP="003B45CB">
      <w:pPr>
        <w:jc w:val="both"/>
        <w:rPr>
          <w:noProof/>
        </w:rPr>
      </w:pPr>
      <w:r>
        <w:rPr>
          <w:noProof/>
        </w:rPr>
        <w:t>Dönemin en önemli gelişmelerini içerisinde barındıran siyasi ve diplomatik ilişkileirn anlatıldığı bölümde ise Soğuk Savaş sonrası oluşturulan çok taraflı diplomasinin örnekleri açıkça gözlemlenmiştir. Doğal olarak iki devlet arasındaki diplomasi trafiği artmış ve yaşanan uluslararası krizlerde ortak hareket edilmeye çalışılmıştır. Diplomatik temasların içeriklerine NATO, ABD ve Avrupa Birliği gibi etkenler tesir etmiştir. Özellikle terörle mücadele, mülteci sorunu, güvenlik ve bölgesel istikrar gibi konular gündem maddeleri arasında yer almıştır. Nitekim, İngiltere ve Türkiye arasında yaşanan diplomatik ve siyasi ilişkiler bazı dönemlerde Avrupa devletleri ile olan fikir ayrılıkları sebebiyle olumsuz etkilenmiştir.</w:t>
      </w:r>
    </w:p>
    <w:p w14:paraId="26D9FCD1" w14:textId="59C8268C" w:rsidR="001E7189" w:rsidRDefault="001E7189" w:rsidP="003B45CB">
      <w:pPr>
        <w:jc w:val="both"/>
        <w:rPr>
          <w:noProof/>
        </w:rPr>
      </w:pPr>
      <w:r>
        <w:rPr>
          <w:noProof/>
        </w:rPr>
        <w:lastRenderedPageBreak/>
        <w:t>Askeri iş birlikleri ve güvenlik politikaları da iki devlet arasındaki kritik meseleler arasında yer almıştır. Türkiye’nin de NATO’nun üye devleri arasında yer alması, İngiltere için yapılacak olan askeri iş birliklerini kolaylaştırmıştır. İngiltere’nin uluslararası anlamda etkin bir askeri gücünün olması, Türkiye’nin stratejik konumu ile birlikte kullanıldığında ortak operasyonlar ve harekatların gerçekleştirilmesine olanak sağlamıştır.</w:t>
      </w:r>
    </w:p>
    <w:p w14:paraId="7E7EB3D3" w14:textId="77777777" w:rsidR="003B45CB" w:rsidRDefault="003B45CB" w:rsidP="003B45CB">
      <w:pPr>
        <w:jc w:val="both"/>
        <w:rPr>
          <w:noProof/>
        </w:rPr>
      </w:pPr>
    </w:p>
    <w:p w14:paraId="13C4984C" w14:textId="6E7BA206" w:rsidR="001E7189" w:rsidRDefault="001E7189" w:rsidP="003B45CB">
      <w:pPr>
        <w:jc w:val="both"/>
        <w:rPr>
          <w:noProof/>
        </w:rPr>
      </w:pPr>
      <w:r>
        <w:rPr>
          <w:noProof/>
        </w:rPr>
        <w:t xml:space="preserve">Kültürel ve sosyal ilişkilere bakıldığında ise Türkiye-İngiltere arasında gerçekleşen öğrenci değişim programları ve açılan Türkçe-İngilizce bölümler eğitim alanını etkilemiştir. Ayrıca Türkiye’de </w:t>
      </w:r>
      <w:r w:rsidRPr="00812F1F">
        <w:rPr>
          <w:noProof/>
        </w:rPr>
        <w:t>British Council</w:t>
      </w:r>
      <w:r>
        <w:rPr>
          <w:noProof/>
        </w:rPr>
        <w:t xml:space="preserve"> eğitim faaliyetlerine devam etmiştir. Ticaret ve turizm ile sağlanan iş birlikleri ve devlet teşvikleri ile birlikte iki devlet arasındaki kültürel diyaloğun önünü açarak gelişimine hız kazandırmıştır.</w:t>
      </w:r>
    </w:p>
    <w:p w14:paraId="01BDBCA4" w14:textId="77777777" w:rsidR="003B45CB" w:rsidRDefault="003B45CB" w:rsidP="003B45CB">
      <w:pPr>
        <w:jc w:val="both"/>
        <w:rPr>
          <w:noProof/>
        </w:rPr>
      </w:pPr>
    </w:p>
    <w:p w14:paraId="727E21CE" w14:textId="224AD00D" w:rsidR="001E7189" w:rsidRPr="006871AB" w:rsidRDefault="001E7189" w:rsidP="003B45CB">
      <w:pPr>
        <w:jc w:val="both"/>
        <w:rPr>
          <w:noProof/>
        </w:rPr>
      </w:pPr>
      <w:bookmarkStart w:id="76" w:name="_Hlk191726818"/>
      <w:r>
        <w:rPr>
          <w:noProof/>
        </w:rPr>
        <w:t xml:space="preserve">Sonuç olarak, Soğuk Savaş sonrası ve 2002 yılları arası dönemde Türkiye ve İngiltere arasındaki ilişkiler birçok alanda hem süreklilik hem de değişim göstermiştir. Bu gelişmeler iki devlet arasındaki politikayı </w:t>
      </w:r>
      <w:r w:rsidRPr="00812F1F">
        <w:rPr>
          <w:noProof/>
        </w:rPr>
        <w:t>çok boyutlu</w:t>
      </w:r>
      <w:r>
        <w:rPr>
          <w:noProof/>
        </w:rPr>
        <w:t xml:space="preserve"> bir oluşuma dönüştürmüştür. Makalede ekonomik, siyasi, askeri ve kültürel çerçevelerde ele alınan süreklilik ve değişim gösteren bu politikalar detaylı bir şekilde incelenmiştir.</w:t>
      </w:r>
      <w:bookmarkEnd w:id="76"/>
    </w:p>
    <w:p w14:paraId="1EBF85EB" w14:textId="77777777" w:rsidR="001E7189" w:rsidRDefault="001E7189" w:rsidP="003B45CB">
      <w:pPr>
        <w:jc w:val="both"/>
        <w:rPr>
          <w:b/>
          <w:bCs/>
          <w:noProof/>
        </w:rPr>
      </w:pPr>
    </w:p>
    <w:p w14:paraId="348145E3" w14:textId="77777777" w:rsidR="001E7189" w:rsidRPr="006F7FE8" w:rsidRDefault="001E7189" w:rsidP="003B45CB">
      <w:pPr>
        <w:jc w:val="both"/>
        <w:rPr>
          <w:b/>
          <w:bCs/>
          <w:noProof/>
        </w:rPr>
      </w:pPr>
      <w:r w:rsidRPr="006F7FE8">
        <w:rPr>
          <w:b/>
          <w:bCs/>
          <w:noProof/>
        </w:rPr>
        <w:t>Kaynakça</w:t>
      </w:r>
    </w:p>
    <w:p w14:paraId="5E62F42C" w14:textId="77777777" w:rsidR="001E7189" w:rsidRPr="00FF656E" w:rsidRDefault="001E7189">
      <w:pPr>
        <w:pStyle w:val="ListeParagraf"/>
        <w:numPr>
          <w:ilvl w:val="0"/>
          <w:numId w:val="42"/>
        </w:numPr>
        <w:jc w:val="both"/>
        <w:rPr>
          <w:noProof/>
        </w:rPr>
      </w:pPr>
      <w:r w:rsidRPr="00FF656E">
        <w:rPr>
          <w:noProof/>
        </w:rPr>
        <w:t xml:space="preserve">Akşam. (1942, 19 Ocak). </w:t>
      </w:r>
      <w:r w:rsidRPr="00021193">
        <w:rPr>
          <w:i/>
          <w:iCs/>
          <w:noProof/>
        </w:rPr>
        <w:t>Akşam</w:t>
      </w:r>
      <w:r w:rsidRPr="00FF656E">
        <w:rPr>
          <w:noProof/>
        </w:rPr>
        <w:t xml:space="preserve"> (Sayı 8348), </w:t>
      </w:r>
      <w:r>
        <w:rPr>
          <w:noProof/>
        </w:rPr>
        <w:t>s</w:t>
      </w:r>
      <w:r w:rsidRPr="00FF656E">
        <w:rPr>
          <w:noProof/>
        </w:rPr>
        <w:t>. 1.</w:t>
      </w:r>
    </w:p>
    <w:p w14:paraId="153E2C9B" w14:textId="77777777" w:rsidR="001E7189" w:rsidRPr="00FF656E" w:rsidRDefault="001E7189">
      <w:pPr>
        <w:pStyle w:val="ListeParagraf"/>
        <w:numPr>
          <w:ilvl w:val="0"/>
          <w:numId w:val="42"/>
        </w:numPr>
        <w:jc w:val="both"/>
        <w:rPr>
          <w:noProof/>
        </w:rPr>
      </w:pPr>
      <w:r w:rsidRPr="00FF656E">
        <w:rPr>
          <w:noProof/>
        </w:rPr>
        <w:t xml:space="preserve">Ali, T. (2003). </w:t>
      </w:r>
      <w:r w:rsidRPr="00021193">
        <w:rPr>
          <w:i/>
          <w:iCs/>
          <w:noProof/>
        </w:rPr>
        <w:t>Bush Bağdat’ta</w:t>
      </w:r>
      <w:r w:rsidRPr="00FF656E">
        <w:rPr>
          <w:noProof/>
        </w:rPr>
        <w:t xml:space="preserve"> (O. Akınhay, Trans.). İstanbul: Agora Kitaplığı. (s. 235–236)</w:t>
      </w:r>
    </w:p>
    <w:p w14:paraId="0D41EA03" w14:textId="77777777" w:rsidR="001E7189" w:rsidRPr="00FF656E" w:rsidRDefault="001E7189">
      <w:pPr>
        <w:pStyle w:val="ListeParagraf"/>
        <w:numPr>
          <w:ilvl w:val="0"/>
          <w:numId w:val="42"/>
        </w:numPr>
        <w:jc w:val="both"/>
        <w:rPr>
          <w:noProof/>
        </w:rPr>
      </w:pPr>
      <w:r w:rsidRPr="00FF656E">
        <w:rPr>
          <w:noProof/>
        </w:rPr>
        <w:t xml:space="preserve">Aydemir, E. (2018). Cultural </w:t>
      </w:r>
      <w:r>
        <w:rPr>
          <w:noProof/>
        </w:rPr>
        <w:t>D</w:t>
      </w:r>
      <w:r w:rsidRPr="00FF656E">
        <w:rPr>
          <w:noProof/>
        </w:rPr>
        <w:t xml:space="preserve">iplomacy and British Council. In </w:t>
      </w:r>
      <w:r w:rsidRPr="00021193">
        <w:rPr>
          <w:i/>
          <w:iCs/>
          <w:noProof/>
        </w:rPr>
        <w:t>The International Symposium of Economy, Politics and Administration</w:t>
      </w:r>
      <w:r w:rsidRPr="00FF656E">
        <w:rPr>
          <w:noProof/>
        </w:rPr>
        <w:t xml:space="preserve"> (</w:t>
      </w:r>
      <w:r>
        <w:rPr>
          <w:noProof/>
        </w:rPr>
        <w:t>s</w:t>
      </w:r>
      <w:r w:rsidRPr="00FF656E">
        <w:rPr>
          <w:noProof/>
        </w:rPr>
        <w:t>. 10–13).</w:t>
      </w:r>
    </w:p>
    <w:p w14:paraId="34BB354E" w14:textId="77777777" w:rsidR="001E7189" w:rsidRPr="00FF656E" w:rsidRDefault="001E7189">
      <w:pPr>
        <w:pStyle w:val="ListeParagraf"/>
        <w:numPr>
          <w:ilvl w:val="0"/>
          <w:numId w:val="42"/>
        </w:numPr>
        <w:jc w:val="both"/>
        <w:rPr>
          <w:noProof/>
        </w:rPr>
      </w:pPr>
      <w:r w:rsidRPr="00FF656E">
        <w:rPr>
          <w:noProof/>
        </w:rPr>
        <w:t xml:space="preserve">Bozkurt, İ. (2024). Barış </w:t>
      </w:r>
      <w:r>
        <w:rPr>
          <w:noProof/>
        </w:rPr>
        <w:t>O</w:t>
      </w:r>
      <w:r w:rsidRPr="00FF656E">
        <w:rPr>
          <w:noProof/>
        </w:rPr>
        <w:t xml:space="preserve">perasyonlarının </w:t>
      </w:r>
      <w:r>
        <w:rPr>
          <w:noProof/>
        </w:rPr>
        <w:t>D</w:t>
      </w:r>
      <w:r w:rsidRPr="00FF656E">
        <w:rPr>
          <w:noProof/>
        </w:rPr>
        <w:t xml:space="preserve">önüşümü: Kısa </w:t>
      </w:r>
      <w:r>
        <w:rPr>
          <w:noProof/>
        </w:rPr>
        <w:t>B</w:t>
      </w:r>
      <w:r w:rsidRPr="00FF656E">
        <w:rPr>
          <w:noProof/>
        </w:rPr>
        <w:t xml:space="preserve">ir </w:t>
      </w:r>
      <w:r>
        <w:rPr>
          <w:noProof/>
        </w:rPr>
        <w:t>G</w:t>
      </w:r>
      <w:r w:rsidRPr="00FF656E">
        <w:rPr>
          <w:noProof/>
        </w:rPr>
        <w:t xml:space="preserve">özden </w:t>
      </w:r>
      <w:r>
        <w:rPr>
          <w:noProof/>
        </w:rPr>
        <w:t>G</w:t>
      </w:r>
      <w:r w:rsidRPr="00FF656E">
        <w:rPr>
          <w:noProof/>
        </w:rPr>
        <w:t xml:space="preserve">eçirme. </w:t>
      </w:r>
      <w:r w:rsidRPr="00021193">
        <w:rPr>
          <w:i/>
          <w:iCs/>
          <w:noProof/>
        </w:rPr>
        <w:t>Savunma ve Güvenlik Araştırmaları Dergisi, 1</w:t>
      </w:r>
      <w:r w:rsidRPr="00FF656E">
        <w:rPr>
          <w:noProof/>
        </w:rPr>
        <w:t>(2), 153.</w:t>
      </w:r>
    </w:p>
    <w:p w14:paraId="0CF8BE5E" w14:textId="77777777" w:rsidR="001E7189" w:rsidRPr="00FF656E" w:rsidRDefault="001E7189">
      <w:pPr>
        <w:pStyle w:val="ListeParagraf"/>
        <w:numPr>
          <w:ilvl w:val="0"/>
          <w:numId w:val="42"/>
        </w:numPr>
        <w:jc w:val="both"/>
        <w:rPr>
          <w:noProof/>
        </w:rPr>
      </w:pPr>
      <w:r w:rsidRPr="00FF656E">
        <w:rPr>
          <w:noProof/>
        </w:rPr>
        <w:t xml:space="preserve">Brands, H. W. (2004). George Bush and the Gulf War of 1991. </w:t>
      </w:r>
      <w:r w:rsidRPr="00021193">
        <w:rPr>
          <w:i/>
          <w:iCs/>
          <w:noProof/>
        </w:rPr>
        <w:t>Presidential Studies Quarterly, 34</w:t>
      </w:r>
      <w:r w:rsidRPr="00FF656E">
        <w:rPr>
          <w:noProof/>
        </w:rPr>
        <w:t>(1), 117.</w:t>
      </w:r>
    </w:p>
    <w:p w14:paraId="3DABC522" w14:textId="77777777" w:rsidR="001E7189" w:rsidRPr="00FF656E" w:rsidRDefault="001E7189">
      <w:pPr>
        <w:pStyle w:val="ListeParagraf"/>
        <w:numPr>
          <w:ilvl w:val="0"/>
          <w:numId w:val="42"/>
        </w:numPr>
        <w:jc w:val="both"/>
        <w:rPr>
          <w:noProof/>
        </w:rPr>
      </w:pPr>
      <w:r w:rsidRPr="00FF656E">
        <w:rPr>
          <w:noProof/>
        </w:rPr>
        <w:t xml:space="preserve">Brzezinski, Z. (1998). </w:t>
      </w:r>
      <w:r w:rsidRPr="00021193">
        <w:rPr>
          <w:i/>
          <w:iCs/>
          <w:noProof/>
        </w:rPr>
        <w:t>Büyük Satranç Tahtası</w:t>
      </w:r>
      <w:r w:rsidRPr="00FF656E">
        <w:rPr>
          <w:noProof/>
        </w:rPr>
        <w:t>. İstanbul: Sabah.</w:t>
      </w:r>
    </w:p>
    <w:p w14:paraId="01B690E8" w14:textId="77777777" w:rsidR="001E7189" w:rsidRPr="00FF656E" w:rsidRDefault="001E7189">
      <w:pPr>
        <w:pStyle w:val="ListeParagraf"/>
        <w:numPr>
          <w:ilvl w:val="0"/>
          <w:numId w:val="42"/>
        </w:numPr>
        <w:jc w:val="both"/>
        <w:rPr>
          <w:noProof/>
        </w:rPr>
      </w:pPr>
      <w:r w:rsidRPr="00FF656E">
        <w:rPr>
          <w:noProof/>
        </w:rPr>
        <w:t xml:space="preserve">Britannica. (2024, December 18). John Major. In </w:t>
      </w:r>
      <w:r w:rsidRPr="00021193">
        <w:rPr>
          <w:i/>
          <w:iCs/>
          <w:noProof/>
        </w:rPr>
        <w:t>Encyclopaedia Britannica</w:t>
      </w:r>
      <w:r w:rsidRPr="00FF656E">
        <w:rPr>
          <w:noProof/>
        </w:rPr>
        <w:t xml:space="preserve">. </w:t>
      </w:r>
      <w:hyperlink r:id="rId118" w:tgtFrame="_new" w:history="1">
        <w:r w:rsidRPr="00FF656E">
          <w:rPr>
            <w:rStyle w:val="Kpr"/>
            <w:noProof/>
          </w:rPr>
          <w:t>https://www.britannica.com/biography/John-Major</w:t>
        </w:r>
      </w:hyperlink>
    </w:p>
    <w:p w14:paraId="53E1C8CE" w14:textId="77777777" w:rsidR="001E7189" w:rsidRPr="00FF656E" w:rsidRDefault="001E7189">
      <w:pPr>
        <w:pStyle w:val="ListeParagraf"/>
        <w:numPr>
          <w:ilvl w:val="0"/>
          <w:numId w:val="42"/>
        </w:numPr>
        <w:jc w:val="both"/>
        <w:rPr>
          <w:noProof/>
        </w:rPr>
      </w:pPr>
      <w:r w:rsidRPr="00FF656E">
        <w:rPr>
          <w:noProof/>
        </w:rPr>
        <w:t xml:space="preserve">Cevizoğlu, H. (1991). </w:t>
      </w:r>
      <w:r w:rsidRPr="00021193">
        <w:rPr>
          <w:i/>
          <w:iCs/>
          <w:noProof/>
        </w:rPr>
        <w:t>Körfez Savaşı ve Özal Diplomasisi: Belgeler</w:t>
      </w:r>
      <w:r w:rsidRPr="00FF656E">
        <w:rPr>
          <w:noProof/>
        </w:rPr>
        <w:t>. İstanbul: Form Yayınları. (s. 43)</w:t>
      </w:r>
    </w:p>
    <w:p w14:paraId="17E16D58" w14:textId="77777777" w:rsidR="001E7189" w:rsidRPr="00FF656E" w:rsidRDefault="001E7189">
      <w:pPr>
        <w:pStyle w:val="ListeParagraf"/>
        <w:numPr>
          <w:ilvl w:val="0"/>
          <w:numId w:val="42"/>
        </w:numPr>
        <w:jc w:val="both"/>
        <w:rPr>
          <w:noProof/>
        </w:rPr>
      </w:pPr>
      <w:r w:rsidRPr="00FF656E">
        <w:rPr>
          <w:noProof/>
        </w:rPr>
        <w:t xml:space="preserve">Donaldson, F. L. (1984). </w:t>
      </w:r>
      <w:r w:rsidRPr="00021193">
        <w:rPr>
          <w:i/>
          <w:iCs/>
          <w:noProof/>
        </w:rPr>
        <w:t>The British Council: The First Fifty Years</w:t>
      </w:r>
      <w:r w:rsidRPr="00FF656E">
        <w:rPr>
          <w:noProof/>
        </w:rPr>
        <w:t>. London: J. Cape.</w:t>
      </w:r>
    </w:p>
    <w:p w14:paraId="3E2C7FAB" w14:textId="77777777" w:rsidR="001E7189" w:rsidRPr="00FF656E" w:rsidRDefault="001E7189">
      <w:pPr>
        <w:pStyle w:val="ListeParagraf"/>
        <w:numPr>
          <w:ilvl w:val="0"/>
          <w:numId w:val="42"/>
        </w:numPr>
        <w:jc w:val="both"/>
        <w:rPr>
          <w:noProof/>
        </w:rPr>
      </w:pPr>
      <w:r w:rsidRPr="00FF656E">
        <w:rPr>
          <w:noProof/>
        </w:rPr>
        <w:t xml:space="preserve">Dünden </w:t>
      </w:r>
      <w:r>
        <w:rPr>
          <w:noProof/>
        </w:rPr>
        <w:t>B</w:t>
      </w:r>
      <w:r w:rsidRPr="00FF656E">
        <w:rPr>
          <w:noProof/>
        </w:rPr>
        <w:t xml:space="preserve">ugüne </w:t>
      </w:r>
      <w:r>
        <w:rPr>
          <w:noProof/>
        </w:rPr>
        <w:t>B</w:t>
      </w:r>
      <w:r w:rsidRPr="00FF656E">
        <w:rPr>
          <w:noProof/>
        </w:rPr>
        <w:t>aşbakanlık (1920–2014). (2014). T.C. Başbakanlık Devlet Arşivleri Genel Müdürlüğü(No.25,</w:t>
      </w:r>
      <w:r>
        <w:rPr>
          <w:noProof/>
        </w:rPr>
        <w:t>s</w:t>
      </w:r>
      <w:r w:rsidRPr="00FF656E">
        <w:rPr>
          <w:noProof/>
        </w:rPr>
        <w:t xml:space="preserve">. 79). </w:t>
      </w:r>
      <w:r>
        <w:rPr>
          <w:noProof/>
        </w:rPr>
        <w:t xml:space="preserve">  </w:t>
      </w:r>
      <w:hyperlink r:id="rId119" w:history="1">
        <w:r w:rsidRPr="00FF656E">
          <w:rPr>
            <w:rStyle w:val="Kpr"/>
            <w:noProof/>
          </w:rPr>
          <w:t>https://www.devletarsivleri.gov.tr/varliklar/dosyalar/eskisiteden/yayinlar/genel_mudurluk-yayinlar/basbakanlik__tarihi.pdf</w:t>
        </w:r>
      </w:hyperlink>
    </w:p>
    <w:p w14:paraId="4C2A8D86" w14:textId="77777777" w:rsidR="001E7189" w:rsidRPr="00FF656E" w:rsidRDefault="001E7189">
      <w:pPr>
        <w:pStyle w:val="ListeParagraf"/>
        <w:numPr>
          <w:ilvl w:val="0"/>
          <w:numId w:val="42"/>
        </w:numPr>
        <w:jc w:val="both"/>
        <w:rPr>
          <w:noProof/>
        </w:rPr>
      </w:pPr>
      <w:r w:rsidRPr="00FF656E">
        <w:rPr>
          <w:noProof/>
        </w:rPr>
        <w:t xml:space="preserve">Hatipler, M. (2011). Türkiye-AB </w:t>
      </w:r>
      <w:r>
        <w:rPr>
          <w:noProof/>
        </w:rPr>
        <w:t>G</w:t>
      </w:r>
      <w:r w:rsidRPr="00FF656E">
        <w:rPr>
          <w:noProof/>
        </w:rPr>
        <w:t xml:space="preserve">ümrük </w:t>
      </w:r>
      <w:r>
        <w:rPr>
          <w:noProof/>
        </w:rPr>
        <w:t>B</w:t>
      </w:r>
      <w:r w:rsidRPr="00FF656E">
        <w:rPr>
          <w:noProof/>
        </w:rPr>
        <w:t xml:space="preserve">irliği </w:t>
      </w:r>
      <w:r>
        <w:rPr>
          <w:noProof/>
        </w:rPr>
        <w:t>A</w:t>
      </w:r>
      <w:r w:rsidRPr="00FF656E">
        <w:rPr>
          <w:noProof/>
        </w:rPr>
        <w:t xml:space="preserve">ntlaşması ve </w:t>
      </w:r>
      <w:r>
        <w:rPr>
          <w:noProof/>
        </w:rPr>
        <w:t>A</w:t>
      </w:r>
      <w:r w:rsidRPr="00FF656E">
        <w:rPr>
          <w:noProof/>
        </w:rPr>
        <w:t xml:space="preserve">ntlaşmanın Türkiye </w:t>
      </w:r>
      <w:r>
        <w:rPr>
          <w:noProof/>
        </w:rPr>
        <w:t>E</w:t>
      </w:r>
      <w:r w:rsidRPr="00FF656E">
        <w:rPr>
          <w:noProof/>
        </w:rPr>
        <w:t xml:space="preserve">konomisine </w:t>
      </w:r>
      <w:r>
        <w:rPr>
          <w:noProof/>
        </w:rPr>
        <w:t>E</w:t>
      </w:r>
      <w:r w:rsidRPr="00FF656E">
        <w:rPr>
          <w:noProof/>
        </w:rPr>
        <w:t xml:space="preserve">tkileri. </w:t>
      </w:r>
      <w:r w:rsidRPr="00021193">
        <w:rPr>
          <w:i/>
          <w:iCs/>
          <w:noProof/>
        </w:rPr>
        <w:t>Trakya Üniversitesi Sosyal Bilimler Dergisi, 13</w:t>
      </w:r>
      <w:r w:rsidRPr="00FF656E">
        <w:rPr>
          <w:noProof/>
        </w:rPr>
        <w:t>, 14–32.</w:t>
      </w:r>
    </w:p>
    <w:p w14:paraId="178435AF" w14:textId="77777777" w:rsidR="001E7189" w:rsidRPr="00FF656E" w:rsidRDefault="001E7189">
      <w:pPr>
        <w:pStyle w:val="ListeParagraf"/>
        <w:numPr>
          <w:ilvl w:val="0"/>
          <w:numId w:val="42"/>
        </w:numPr>
        <w:jc w:val="both"/>
        <w:rPr>
          <w:noProof/>
        </w:rPr>
      </w:pPr>
      <w:r w:rsidRPr="00FF656E">
        <w:rPr>
          <w:noProof/>
        </w:rPr>
        <w:t xml:space="preserve">Keskin, F. (2006–2007). İnsancıl </w:t>
      </w:r>
      <w:r>
        <w:rPr>
          <w:noProof/>
        </w:rPr>
        <w:t>M</w:t>
      </w:r>
      <w:r w:rsidRPr="00FF656E">
        <w:rPr>
          <w:noProof/>
        </w:rPr>
        <w:t xml:space="preserve">üdahale: 1999 Kosova ve 2003 Irak </w:t>
      </w:r>
      <w:r>
        <w:rPr>
          <w:noProof/>
        </w:rPr>
        <w:t>S</w:t>
      </w:r>
      <w:r w:rsidRPr="00FF656E">
        <w:rPr>
          <w:noProof/>
        </w:rPr>
        <w:t xml:space="preserve">onrası </w:t>
      </w:r>
      <w:r>
        <w:rPr>
          <w:noProof/>
        </w:rPr>
        <w:t>D</w:t>
      </w:r>
      <w:r w:rsidRPr="00FF656E">
        <w:rPr>
          <w:noProof/>
        </w:rPr>
        <w:t xml:space="preserve">urum. </w:t>
      </w:r>
      <w:r w:rsidRPr="00021193">
        <w:rPr>
          <w:i/>
          <w:iCs/>
          <w:noProof/>
        </w:rPr>
        <w:t>Uluslararası İlişkiler, 3</w:t>
      </w:r>
      <w:r w:rsidRPr="00FF656E">
        <w:rPr>
          <w:noProof/>
        </w:rPr>
        <w:t>(2), 50–53.</w:t>
      </w:r>
    </w:p>
    <w:p w14:paraId="460C328C" w14:textId="77777777" w:rsidR="001E7189" w:rsidRPr="00FF656E" w:rsidRDefault="001E7189">
      <w:pPr>
        <w:pStyle w:val="ListeParagraf"/>
        <w:numPr>
          <w:ilvl w:val="0"/>
          <w:numId w:val="42"/>
        </w:numPr>
        <w:jc w:val="both"/>
        <w:rPr>
          <w:noProof/>
        </w:rPr>
      </w:pPr>
      <w:r w:rsidRPr="00FF656E">
        <w:rPr>
          <w:noProof/>
        </w:rPr>
        <w:t xml:space="preserve">Kohen, S. (1992). Yeni </w:t>
      </w:r>
      <w:r>
        <w:rPr>
          <w:noProof/>
        </w:rPr>
        <w:t>D</w:t>
      </w:r>
      <w:r w:rsidRPr="00FF656E">
        <w:rPr>
          <w:noProof/>
        </w:rPr>
        <w:t xml:space="preserve">ünya </w:t>
      </w:r>
      <w:r>
        <w:rPr>
          <w:noProof/>
        </w:rPr>
        <w:t>D</w:t>
      </w:r>
      <w:r w:rsidRPr="00FF656E">
        <w:rPr>
          <w:noProof/>
        </w:rPr>
        <w:t xml:space="preserve">üzeninde NATO’nun </w:t>
      </w:r>
      <w:r>
        <w:rPr>
          <w:noProof/>
        </w:rPr>
        <w:t>D</w:t>
      </w:r>
      <w:r w:rsidRPr="00FF656E">
        <w:rPr>
          <w:noProof/>
        </w:rPr>
        <w:t xml:space="preserve">eğişen </w:t>
      </w:r>
      <w:r>
        <w:rPr>
          <w:noProof/>
        </w:rPr>
        <w:t>S</w:t>
      </w:r>
      <w:r w:rsidRPr="00FF656E">
        <w:rPr>
          <w:noProof/>
        </w:rPr>
        <w:t xml:space="preserve">tratejisi ve Türkiye. S. Şen (Ed.), </w:t>
      </w:r>
      <w:r w:rsidRPr="00021193">
        <w:rPr>
          <w:i/>
          <w:iCs/>
          <w:noProof/>
        </w:rPr>
        <w:t>Yeni Dünya Düzeni ve Türkiye</w:t>
      </w:r>
      <w:r w:rsidRPr="00FF656E">
        <w:rPr>
          <w:noProof/>
        </w:rPr>
        <w:t xml:space="preserve"> (</w:t>
      </w:r>
      <w:r>
        <w:rPr>
          <w:noProof/>
        </w:rPr>
        <w:t>s</w:t>
      </w:r>
      <w:r w:rsidRPr="00FF656E">
        <w:rPr>
          <w:noProof/>
        </w:rPr>
        <w:t>. 122). İstanbul: Bağlam Yayınları.</w:t>
      </w:r>
    </w:p>
    <w:p w14:paraId="5CFBF2A2" w14:textId="77777777" w:rsidR="001E7189" w:rsidRPr="00FF656E" w:rsidRDefault="001E7189">
      <w:pPr>
        <w:pStyle w:val="ListeParagraf"/>
        <w:numPr>
          <w:ilvl w:val="0"/>
          <w:numId w:val="42"/>
        </w:numPr>
        <w:jc w:val="both"/>
        <w:rPr>
          <w:noProof/>
        </w:rPr>
      </w:pPr>
      <w:r w:rsidRPr="00FF656E">
        <w:rPr>
          <w:noProof/>
        </w:rPr>
        <w:t xml:space="preserve">Korhan, T. (2016). İkinci </w:t>
      </w:r>
      <w:r>
        <w:rPr>
          <w:noProof/>
        </w:rPr>
        <w:t>D</w:t>
      </w:r>
      <w:r w:rsidRPr="00FF656E">
        <w:rPr>
          <w:noProof/>
        </w:rPr>
        <w:t xml:space="preserve">ünya </w:t>
      </w:r>
      <w:r>
        <w:rPr>
          <w:noProof/>
        </w:rPr>
        <w:t>S</w:t>
      </w:r>
      <w:r w:rsidRPr="00FF656E">
        <w:rPr>
          <w:noProof/>
        </w:rPr>
        <w:t xml:space="preserve">avaşında Mersin ve İskenderun </w:t>
      </w:r>
      <w:r>
        <w:rPr>
          <w:noProof/>
        </w:rPr>
        <w:t>L</w:t>
      </w:r>
      <w:r w:rsidRPr="00FF656E">
        <w:rPr>
          <w:noProof/>
        </w:rPr>
        <w:t xml:space="preserve">imanları. </w:t>
      </w:r>
      <w:r w:rsidRPr="00021193">
        <w:rPr>
          <w:i/>
          <w:iCs/>
          <w:noProof/>
        </w:rPr>
        <w:t>Uluslararası Sosyal Araştırmalar Dergisi, 9</w:t>
      </w:r>
      <w:r w:rsidRPr="00FF656E">
        <w:rPr>
          <w:noProof/>
        </w:rPr>
        <w:t>(42), 710–714.</w:t>
      </w:r>
    </w:p>
    <w:p w14:paraId="48981F85" w14:textId="77777777" w:rsidR="001E7189" w:rsidRPr="00FF656E" w:rsidRDefault="001E7189">
      <w:pPr>
        <w:pStyle w:val="ListeParagraf"/>
        <w:numPr>
          <w:ilvl w:val="0"/>
          <w:numId w:val="42"/>
        </w:numPr>
        <w:jc w:val="both"/>
        <w:rPr>
          <w:noProof/>
        </w:rPr>
      </w:pPr>
      <w:r w:rsidRPr="00FF656E">
        <w:rPr>
          <w:noProof/>
        </w:rPr>
        <w:t xml:space="preserve">KUTO. </w:t>
      </w:r>
      <w:r w:rsidRPr="00021193">
        <w:rPr>
          <w:i/>
          <w:iCs/>
          <w:noProof/>
        </w:rPr>
        <w:t>Türkiye-İngiltere Ekonomik ve Ticari İlişkiler</w:t>
      </w:r>
      <w:r w:rsidRPr="00FF656E">
        <w:rPr>
          <w:noProof/>
        </w:rPr>
        <w:t xml:space="preserve">. Aydın: Kuşadası Ticaret Odası </w:t>
      </w:r>
      <w:r w:rsidRPr="00FF656E">
        <w:rPr>
          <w:noProof/>
        </w:rPr>
        <w:lastRenderedPageBreak/>
        <w:t>(KUTO) Yayınları. (s. 9)</w:t>
      </w:r>
    </w:p>
    <w:p w14:paraId="0EFE1606" w14:textId="77777777" w:rsidR="001E7189" w:rsidRPr="00FF656E" w:rsidRDefault="001E7189">
      <w:pPr>
        <w:pStyle w:val="ListeParagraf"/>
        <w:numPr>
          <w:ilvl w:val="0"/>
          <w:numId w:val="42"/>
        </w:numPr>
        <w:jc w:val="both"/>
        <w:rPr>
          <w:noProof/>
        </w:rPr>
      </w:pPr>
      <w:r w:rsidRPr="00FF656E">
        <w:rPr>
          <w:noProof/>
        </w:rPr>
        <w:t>Oran, B.</w:t>
      </w:r>
      <w:r>
        <w:rPr>
          <w:noProof/>
        </w:rPr>
        <w:t xml:space="preserve"> (2001)</w:t>
      </w:r>
      <w:r w:rsidRPr="00FF656E">
        <w:rPr>
          <w:noProof/>
        </w:rPr>
        <w:t xml:space="preserve">. </w:t>
      </w:r>
      <w:r w:rsidRPr="00021193">
        <w:rPr>
          <w:i/>
          <w:iCs/>
          <w:noProof/>
        </w:rPr>
        <w:t>Türk Dış Politikası (1919–1980): Kurtuluş Savaşından Bugüne. Olgular, Belgeler, Yorumlar</w:t>
      </w:r>
      <w:r w:rsidRPr="00FF656E">
        <w:rPr>
          <w:noProof/>
        </w:rPr>
        <w:t xml:space="preserve"> (C</w:t>
      </w:r>
      <w:r>
        <w:rPr>
          <w:noProof/>
        </w:rPr>
        <w:t>.</w:t>
      </w:r>
      <w:r w:rsidRPr="00FF656E">
        <w:rPr>
          <w:noProof/>
        </w:rPr>
        <w:t>1). İstanbul: İletişim Yayınları. (s. 393)</w:t>
      </w:r>
    </w:p>
    <w:p w14:paraId="449F9C73" w14:textId="77777777" w:rsidR="001E7189" w:rsidRPr="00FF656E" w:rsidRDefault="001E7189">
      <w:pPr>
        <w:pStyle w:val="ListeParagraf"/>
        <w:numPr>
          <w:ilvl w:val="0"/>
          <w:numId w:val="42"/>
        </w:numPr>
        <w:jc w:val="both"/>
        <w:rPr>
          <w:noProof/>
        </w:rPr>
      </w:pPr>
      <w:r w:rsidRPr="00FF656E">
        <w:rPr>
          <w:noProof/>
        </w:rPr>
        <w:t xml:space="preserve">Okuyucu, A., &amp; Somuncu, M. (2018). 1990–2015 </w:t>
      </w:r>
      <w:r>
        <w:rPr>
          <w:noProof/>
        </w:rPr>
        <w:t>Y</w:t>
      </w:r>
      <w:r w:rsidRPr="00FF656E">
        <w:rPr>
          <w:noProof/>
        </w:rPr>
        <w:t xml:space="preserve">ılları </w:t>
      </w:r>
      <w:r>
        <w:rPr>
          <w:noProof/>
        </w:rPr>
        <w:t>A</w:t>
      </w:r>
      <w:r w:rsidRPr="00FF656E">
        <w:rPr>
          <w:noProof/>
        </w:rPr>
        <w:t xml:space="preserve">rasında Türkiye’ye </w:t>
      </w:r>
      <w:r>
        <w:rPr>
          <w:noProof/>
        </w:rPr>
        <w:t>Y</w:t>
      </w:r>
      <w:r w:rsidRPr="00FF656E">
        <w:rPr>
          <w:noProof/>
        </w:rPr>
        <w:t xml:space="preserve">önelik </w:t>
      </w:r>
      <w:r>
        <w:rPr>
          <w:noProof/>
        </w:rPr>
        <w:t>U</w:t>
      </w:r>
      <w:r w:rsidRPr="00FF656E">
        <w:rPr>
          <w:noProof/>
        </w:rPr>
        <w:t xml:space="preserve">luslararası </w:t>
      </w:r>
      <w:r>
        <w:rPr>
          <w:noProof/>
        </w:rPr>
        <w:t>T</w:t>
      </w:r>
      <w:r w:rsidRPr="00FF656E">
        <w:rPr>
          <w:noProof/>
        </w:rPr>
        <w:t xml:space="preserve">urizm </w:t>
      </w:r>
      <w:r>
        <w:rPr>
          <w:noProof/>
        </w:rPr>
        <w:t>H</w:t>
      </w:r>
      <w:r w:rsidRPr="00FF656E">
        <w:rPr>
          <w:noProof/>
        </w:rPr>
        <w:t xml:space="preserve">areketlerindeki </w:t>
      </w:r>
      <w:r>
        <w:rPr>
          <w:noProof/>
        </w:rPr>
        <w:t>D</w:t>
      </w:r>
      <w:r w:rsidRPr="00FF656E">
        <w:rPr>
          <w:noProof/>
        </w:rPr>
        <w:t xml:space="preserve">eğişim. </w:t>
      </w:r>
      <w:r w:rsidRPr="00021193">
        <w:rPr>
          <w:i/>
          <w:iCs/>
          <w:noProof/>
        </w:rPr>
        <w:t>Türkiye Coğrafya Dergisi, 71</w:t>
      </w:r>
      <w:r w:rsidRPr="00FF656E">
        <w:rPr>
          <w:noProof/>
        </w:rPr>
        <w:t>, 9.</w:t>
      </w:r>
    </w:p>
    <w:p w14:paraId="3A41D16D" w14:textId="77777777" w:rsidR="001E7189" w:rsidRPr="00FF656E" w:rsidRDefault="001E7189">
      <w:pPr>
        <w:pStyle w:val="ListeParagraf"/>
        <w:numPr>
          <w:ilvl w:val="0"/>
          <w:numId w:val="42"/>
        </w:numPr>
        <w:jc w:val="both"/>
        <w:rPr>
          <w:noProof/>
        </w:rPr>
      </w:pPr>
      <w:r w:rsidRPr="00FF656E">
        <w:rPr>
          <w:noProof/>
        </w:rPr>
        <w:t xml:space="preserve">Öztürk, M. (2010). Birinci Körfez Savaşı’ndan (1990–1991) 11 Eylül </w:t>
      </w:r>
      <w:r>
        <w:rPr>
          <w:noProof/>
        </w:rPr>
        <w:t>S</w:t>
      </w:r>
      <w:r w:rsidRPr="00FF656E">
        <w:rPr>
          <w:noProof/>
        </w:rPr>
        <w:t xml:space="preserve">ürecine ABD’nin Irak </w:t>
      </w:r>
      <w:r>
        <w:rPr>
          <w:noProof/>
        </w:rPr>
        <w:t>P</w:t>
      </w:r>
      <w:r w:rsidRPr="00FF656E">
        <w:rPr>
          <w:noProof/>
        </w:rPr>
        <w:t xml:space="preserve">olitikası ve </w:t>
      </w:r>
      <w:r>
        <w:rPr>
          <w:noProof/>
        </w:rPr>
        <w:t>B</w:t>
      </w:r>
      <w:r w:rsidRPr="00FF656E">
        <w:rPr>
          <w:noProof/>
        </w:rPr>
        <w:t xml:space="preserve">unun Türk Amerikan </w:t>
      </w:r>
      <w:r>
        <w:rPr>
          <w:noProof/>
        </w:rPr>
        <w:t>İ</w:t>
      </w:r>
      <w:r w:rsidRPr="00FF656E">
        <w:rPr>
          <w:noProof/>
        </w:rPr>
        <w:t xml:space="preserve">lişkilerine </w:t>
      </w:r>
      <w:r>
        <w:rPr>
          <w:noProof/>
        </w:rPr>
        <w:t>E</w:t>
      </w:r>
      <w:r w:rsidRPr="00FF656E">
        <w:rPr>
          <w:noProof/>
        </w:rPr>
        <w:t xml:space="preserve">tkileri. </w:t>
      </w:r>
      <w:r w:rsidRPr="00021193">
        <w:rPr>
          <w:i/>
          <w:iCs/>
          <w:noProof/>
        </w:rPr>
        <w:t>Akademik Bakış Dergisi, 19</w:t>
      </w:r>
      <w:r w:rsidRPr="00FF656E">
        <w:rPr>
          <w:noProof/>
        </w:rPr>
        <w:t>, 19.</w:t>
      </w:r>
    </w:p>
    <w:p w14:paraId="0A0C20C9" w14:textId="77777777" w:rsidR="001E7189" w:rsidRPr="00FF656E" w:rsidRDefault="001E7189">
      <w:pPr>
        <w:pStyle w:val="ListeParagraf"/>
        <w:numPr>
          <w:ilvl w:val="0"/>
          <w:numId w:val="42"/>
        </w:numPr>
        <w:jc w:val="both"/>
        <w:rPr>
          <w:noProof/>
        </w:rPr>
      </w:pPr>
      <w:r w:rsidRPr="00FF656E">
        <w:rPr>
          <w:noProof/>
        </w:rPr>
        <w:t xml:space="preserve">Özuğurlu, M. B. (2005). </w:t>
      </w:r>
      <w:r w:rsidRPr="00021193">
        <w:rPr>
          <w:i/>
          <w:iCs/>
          <w:noProof/>
        </w:rPr>
        <w:t>Soğuk Savaş Sonrası Değişen Dünya Koşulları ve Yeni Uluslararası Konjonktürde ABD’nin Yeri</w:t>
      </w:r>
      <w:r>
        <w:rPr>
          <w:noProof/>
        </w:rPr>
        <w:t xml:space="preserve">. </w:t>
      </w:r>
      <w:r w:rsidRPr="00FF656E">
        <w:rPr>
          <w:noProof/>
        </w:rPr>
        <w:t>İstanbul. (s. 7)</w:t>
      </w:r>
    </w:p>
    <w:p w14:paraId="0E527EDD" w14:textId="77777777" w:rsidR="001E7189" w:rsidRPr="00FF656E" w:rsidRDefault="001E7189">
      <w:pPr>
        <w:pStyle w:val="ListeParagraf"/>
        <w:numPr>
          <w:ilvl w:val="0"/>
          <w:numId w:val="42"/>
        </w:numPr>
        <w:jc w:val="both"/>
        <w:rPr>
          <w:noProof/>
        </w:rPr>
      </w:pPr>
      <w:r w:rsidRPr="00FF656E">
        <w:rPr>
          <w:noProof/>
        </w:rPr>
        <w:t xml:space="preserve">Polat, E. Ç. (2021). İngiltere–Türkiye </w:t>
      </w:r>
      <w:r>
        <w:rPr>
          <w:noProof/>
        </w:rPr>
        <w:t>İ</w:t>
      </w:r>
      <w:r w:rsidRPr="00FF656E">
        <w:rPr>
          <w:noProof/>
        </w:rPr>
        <w:t xml:space="preserve">lişkileri. F. Ç. Oran (Ed.), </w:t>
      </w:r>
      <w:r w:rsidRPr="00021193">
        <w:rPr>
          <w:i/>
          <w:iCs/>
          <w:noProof/>
        </w:rPr>
        <w:t>İngiltere Dış Politikası (Britanya Dış Politikası)</w:t>
      </w:r>
      <w:r w:rsidRPr="00FF656E">
        <w:rPr>
          <w:noProof/>
        </w:rPr>
        <w:t xml:space="preserve"> (</w:t>
      </w:r>
      <w:r>
        <w:rPr>
          <w:noProof/>
        </w:rPr>
        <w:t>s</w:t>
      </w:r>
      <w:r w:rsidRPr="00FF656E">
        <w:rPr>
          <w:noProof/>
        </w:rPr>
        <w:t>. 352). İstanbul: Nobel.</w:t>
      </w:r>
    </w:p>
    <w:p w14:paraId="0DD98E79" w14:textId="77777777" w:rsidR="001E7189" w:rsidRPr="00FF656E" w:rsidRDefault="001E7189">
      <w:pPr>
        <w:pStyle w:val="ListeParagraf"/>
        <w:numPr>
          <w:ilvl w:val="0"/>
          <w:numId w:val="42"/>
        </w:numPr>
        <w:jc w:val="both"/>
        <w:rPr>
          <w:noProof/>
        </w:rPr>
      </w:pPr>
      <w:r w:rsidRPr="00FF656E">
        <w:rPr>
          <w:noProof/>
        </w:rPr>
        <w:t xml:space="preserve">Schimmelfenning, F. (2001). The </w:t>
      </w:r>
      <w:r>
        <w:rPr>
          <w:noProof/>
        </w:rPr>
        <w:t>C</w:t>
      </w:r>
      <w:r w:rsidRPr="00FF656E">
        <w:rPr>
          <w:noProof/>
        </w:rPr>
        <w:t xml:space="preserve">ommunity </w:t>
      </w:r>
      <w:r>
        <w:rPr>
          <w:noProof/>
        </w:rPr>
        <w:t>T</w:t>
      </w:r>
      <w:r w:rsidRPr="00FF656E">
        <w:rPr>
          <w:noProof/>
        </w:rPr>
        <w:t xml:space="preserve">rap: Liberal </w:t>
      </w:r>
      <w:r>
        <w:rPr>
          <w:noProof/>
        </w:rPr>
        <w:t>N</w:t>
      </w:r>
      <w:r w:rsidRPr="00FF656E">
        <w:rPr>
          <w:noProof/>
        </w:rPr>
        <w:t xml:space="preserve">orms, </w:t>
      </w:r>
      <w:r>
        <w:rPr>
          <w:noProof/>
        </w:rPr>
        <w:t>R</w:t>
      </w:r>
      <w:r w:rsidRPr="00FF656E">
        <w:rPr>
          <w:noProof/>
        </w:rPr>
        <w:t xml:space="preserve">hetorical </w:t>
      </w:r>
      <w:r>
        <w:rPr>
          <w:noProof/>
        </w:rPr>
        <w:t>A</w:t>
      </w:r>
      <w:r w:rsidRPr="00FF656E">
        <w:rPr>
          <w:noProof/>
        </w:rPr>
        <w:t xml:space="preserve">ction and </w:t>
      </w:r>
      <w:r>
        <w:rPr>
          <w:noProof/>
        </w:rPr>
        <w:t>T</w:t>
      </w:r>
      <w:r w:rsidRPr="00FF656E">
        <w:rPr>
          <w:noProof/>
        </w:rPr>
        <w:t xml:space="preserve">he </w:t>
      </w:r>
      <w:r>
        <w:rPr>
          <w:noProof/>
        </w:rPr>
        <w:t>E</w:t>
      </w:r>
      <w:r w:rsidRPr="00FF656E">
        <w:rPr>
          <w:noProof/>
        </w:rPr>
        <w:t xml:space="preserve">astern </w:t>
      </w:r>
      <w:r>
        <w:rPr>
          <w:noProof/>
        </w:rPr>
        <w:t>E</w:t>
      </w:r>
      <w:r w:rsidRPr="00FF656E">
        <w:rPr>
          <w:noProof/>
        </w:rPr>
        <w:t xml:space="preserve">nlargement of the European Union. </w:t>
      </w:r>
      <w:r w:rsidRPr="00021193">
        <w:rPr>
          <w:i/>
          <w:iCs/>
          <w:noProof/>
        </w:rPr>
        <w:t xml:space="preserve">International Organization, 55 </w:t>
      </w:r>
      <w:r w:rsidRPr="00FF656E">
        <w:rPr>
          <w:noProof/>
        </w:rPr>
        <w:t>(</w:t>
      </w:r>
      <w:r>
        <w:rPr>
          <w:noProof/>
        </w:rPr>
        <w:t>Kış</w:t>
      </w:r>
      <w:r w:rsidRPr="00FF656E">
        <w:rPr>
          <w:noProof/>
        </w:rPr>
        <w:t>), 50–55.</w:t>
      </w:r>
    </w:p>
    <w:p w14:paraId="6E3B758C" w14:textId="77777777" w:rsidR="001E7189" w:rsidRPr="00FF656E" w:rsidRDefault="001E7189">
      <w:pPr>
        <w:pStyle w:val="ListeParagraf"/>
        <w:numPr>
          <w:ilvl w:val="0"/>
          <w:numId w:val="42"/>
        </w:numPr>
        <w:jc w:val="both"/>
        <w:rPr>
          <w:noProof/>
        </w:rPr>
      </w:pPr>
      <w:r w:rsidRPr="00FF656E">
        <w:rPr>
          <w:noProof/>
        </w:rPr>
        <w:t xml:space="preserve">Steinberg, J. B. (2003). An </w:t>
      </w:r>
      <w:r>
        <w:rPr>
          <w:noProof/>
        </w:rPr>
        <w:t>E</w:t>
      </w:r>
      <w:r w:rsidRPr="00FF656E">
        <w:rPr>
          <w:noProof/>
        </w:rPr>
        <w:t xml:space="preserve">lective </w:t>
      </w:r>
      <w:r>
        <w:rPr>
          <w:noProof/>
        </w:rPr>
        <w:t>P</w:t>
      </w:r>
      <w:r w:rsidRPr="00FF656E">
        <w:rPr>
          <w:noProof/>
        </w:rPr>
        <w:t xml:space="preserve">artnership: Salvaging </w:t>
      </w:r>
      <w:r>
        <w:rPr>
          <w:noProof/>
        </w:rPr>
        <w:t>T</w:t>
      </w:r>
      <w:r w:rsidRPr="00FF656E">
        <w:rPr>
          <w:noProof/>
        </w:rPr>
        <w:t xml:space="preserve">ransatlantic </w:t>
      </w:r>
      <w:r>
        <w:rPr>
          <w:noProof/>
        </w:rPr>
        <w:t>R</w:t>
      </w:r>
      <w:r w:rsidRPr="00FF656E">
        <w:rPr>
          <w:noProof/>
        </w:rPr>
        <w:t xml:space="preserve">elations. </w:t>
      </w:r>
      <w:r w:rsidRPr="00021193">
        <w:rPr>
          <w:i/>
          <w:iCs/>
          <w:noProof/>
        </w:rPr>
        <w:t>Survival</w:t>
      </w:r>
      <w:r w:rsidRPr="00FF656E">
        <w:rPr>
          <w:noProof/>
        </w:rPr>
        <w:t xml:space="preserve"> (</w:t>
      </w:r>
      <w:r>
        <w:rPr>
          <w:noProof/>
        </w:rPr>
        <w:t>Yaş</w:t>
      </w:r>
      <w:r w:rsidRPr="00FF656E">
        <w:rPr>
          <w:noProof/>
        </w:rPr>
        <w:t>), 115–117.</w:t>
      </w:r>
    </w:p>
    <w:p w14:paraId="7A196189" w14:textId="77777777" w:rsidR="001E7189" w:rsidRPr="00FF656E" w:rsidRDefault="001E7189">
      <w:pPr>
        <w:pStyle w:val="ListeParagraf"/>
        <w:numPr>
          <w:ilvl w:val="0"/>
          <w:numId w:val="42"/>
        </w:numPr>
        <w:jc w:val="both"/>
        <w:rPr>
          <w:noProof/>
        </w:rPr>
      </w:pPr>
      <w:r w:rsidRPr="00FF656E">
        <w:rPr>
          <w:noProof/>
        </w:rPr>
        <w:t xml:space="preserve">Tatar Kırılmış, İ. (2014). Birleşik Krallık’ta Türkiye ve Türkçe </w:t>
      </w:r>
      <w:r>
        <w:rPr>
          <w:noProof/>
        </w:rPr>
        <w:t>Ç</w:t>
      </w:r>
      <w:r w:rsidRPr="00FF656E">
        <w:rPr>
          <w:noProof/>
        </w:rPr>
        <w:t xml:space="preserve">alışmalarına </w:t>
      </w:r>
      <w:r>
        <w:rPr>
          <w:noProof/>
        </w:rPr>
        <w:t>D</w:t>
      </w:r>
      <w:r w:rsidRPr="00FF656E">
        <w:rPr>
          <w:noProof/>
        </w:rPr>
        <w:t xml:space="preserve">air </w:t>
      </w:r>
      <w:r>
        <w:rPr>
          <w:noProof/>
        </w:rPr>
        <w:t>B</w:t>
      </w:r>
      <w:r w:rsidRPr="00FF656E">
        <w:rPr>
          <w:noProof/>
        </w:rPr>
        <w:t xml:space="preserve">ir </w:t>
      </w:r>
      <w:r>
        <w:rPr>
          <w:noProof/>
        </w:rPr>
        <w:t>D</w:t>
      </w:r>
      <w:r w:rsidRPr="00FF656E">
        <w:rPr>
          <w:noProof/>
        </w:rPr>
        <w:t xml:space="preserve">eneme. </w:t>
      </w:r>
      <w:r w:rsidRPr="00021193">
        <w:rPr>
          <w:i/>
          <w:iCs/>
          <w:noProof/>
        </w:rPr>
        <w:t>Studies of the Ottoman Domain, 4</w:t>
      </w:r>
      <w:r w:rsidRPr="00FF656E">
        <w:rPr>
          <w:noProof/>
        </w:rPr>
        <w:t>(7), 61–62.</w:t>
      </w:r>
    </w:p>
    <w:p w14:paraId="3ABFB157" w14:textId="77777777" w:rsidR="001E7189" w:rsidRPr="00FF656E" w:rsidRDefault="001E7189">
      <w:pPr>
        <w:pStyle w:val="ListeParagraf"/>
        <w:numPr>
          <w:ilvl w:val="0"/>
          <w:numId w:val="42"/>
        </w:numPr>
        <w:jc w:val="both"/>
        <w:rPr>
          <w:noProof/>
        </w:rPr>
      </w:pPr>
      <w:r w:rsidRPr="00FF656E">
        <w:rPr>
          <w:noProof/>
        </w:rPr>
        <w:t xml:space="preserve">Tucker, R. W., &amp; Hendrickson, D. C. (1995). </w:t>
      </w:r>
      <w:r w:rsidRPr="00021193">
        <w:rPr>
          <w:i/>
          <w:iCs/>
          <w:noProof/>
        </w:rPr>
        <w:t>İmparatorluk özlemi</w:t>
      </w:r>
      <w:r w:rsidRPr="00FF656E">
        <w:rPr>
          <w:noProof/>
        </w:rPr>
        <w:t xml:space="preserve"> (A. Asrar, Trans.). İstanbul: Pınar Yayınları. (s. 9)</w:t>
      </w:r>
    </w:p>
    <w:p w14:paraId="67033816" w14:textId="77777777" w:rsidR="001E7189" w:rsidRPr="00FF656E" w:rsidRDefault="001E7189">
      <w:pPr>
        <w:pStyle w:val="ListeParagraf"/>
        <w:numPr>
          <w:ilvl w:val="0"/>
          <w:numId w:val="42"/>
        </w:numPr>
        <w:jc w:val="both"/>
        <w:rPr>
          <w:noProof/>
        </w:rPr>
      </w:pPr>
      <w:r w:rsidRPr="00FF656E">
        <w:rPr>
          <w:noProof/>
        </w:rPr>
        <w:t xml:space="preserve">Valentino, B. (2006). The </w:t>
      </w:r>
      <w:r>
        <w:rPr>
          <w:noProof/>
        </w:rPr>
        <w:t>P</w:t>
      </w:r>
      <w:r w:rsidRPr="00FF656E">
        <w:rPr>
          <w:noProof/>
        </w:rPr>
        <w:t xml:space="preserve">erils of </w:t>
      </w:r>
      <w:r>
        <w:rPr>
          <w:noProof/>
        </w:rPr>
        <w:t>L</w:t>
      </w:r>
      <w:r w:rsidRPr="00FF656E">
        <w:rPr>
          <w:noProof/>
        </w:rPr>
        <w:t xml:space="preserve">imited </w:t>
      </w:r>
      <w:r>
        <w:rPr>
          <w:noProof/>
        </w:rPr>
        <w:t>H</w:t>
      </w:r>
      <w:r w:rsidRPr="00FF656E">
        <w:rPr>
          <w:noProof/>
        </w:rPr>
        <w:t xml:space="preserve">umanitarian </w:t>
      </w:r>
      <w:r>
        <w:rPr>
          <w:noProof/>
        </w:rPr>
        <w:t>I</w:t>
      </w:r>
      <w:r w:rsidRPr="00FF656E">
        <w:rPr>
          <w:noProof/>
        </w:rPr>
        <w:t xml:space="preserve">ntervention: Lessons from the 1990s. </w:t>
      </w:r>
      <w:r w:rsidRPr="00021193">
        <w:rPr>
          <w:i/>
          <w:iCs/>
          <w:noProof/>
        </w:rPr>
        <w:t>Wisconsin International Law Journal, 24</w:t>
      </w:r>
      <w:r w:rsidRPr="00FF656E">
        <w:rPr>
          <w:noProof/>
        </w:rPr>
        <w:t>(3), 723.</w:t>
      </w:r>
    </w:p>
    <w:p w14:paraId="018B89E6" w14:textId="77777777" w:rsidR="001E7189" w:rsidRPr="00FF656E" w:rsidRDefault="001E7189">
      <w:pPr>
        <w:pStyle w:val="ListeParagraf"/>
        <w:numPr>
          <w:ilvl w:val="0"/>
          <w:numId w:val="42"/>
        </w:numPr>
        <w:jc w:val="both"/>
        <w:rPr>
          <w:noProof/>
        </w:rPr>
      </w:pPr>
      <w:r w:rsidRPr="00FF656E">
        <w:rPr>
          <w:noProof/>
        </w:rPr>
        <w:t>Yaycı, C. (</w:t>
      </w:r>
      <w:r>
        <w:rPr>
          <w:noProof/>
        </w:rPr>
        <w:t>2019</w:t>
      </w:r>
      <w:r w:rsidRPr="00FF656E">
        <w:rPr>
          <w:noProof/>
        </w:rPr>
        <w:t xml:space="preserve">). Irak’ta </w:t>
      </w:r>
      <w:r>
        <w:rPr>
          <w:noProof/>
        </w:rPr>
        <w:t>Y</w:t>
      </w:r>
      <w:r w:rsidRPr="00FF656E">
        <w:rPr>
          <w:noProof/>
        </w:rPr>
        <w:t xml:space="preserve">aşanan </w:t>
      </w:r>
      <w:r>
        <w:rPr>
          <w:noProof/>
        </w:rPr>
        <w:t>S</w:t>
      </w:r>
      <w:r w:rsidRPr="00FF656E">
        <w:rPr>
          <w:noProof/>
        </w:rPr>
        <w:t xml:space="preserve">avaşlar ve Türkiye’ye </w:t>
      </w:r>
      <w:r>
        <w:rPr>
          <w:noProof/>
        </w:rPr>
        <w:t>E</w:t>
      </w:r>
      <w:r w:rsidRPr="00FF656E">
        <w:rPr>
          <w:noProof/>
        </w:rPr>
        <w:t xml:space="preserve">tkileri. </w:t>
      </w:r>
      <w:r w:rsidRPr="00021193">
        <w:rPr>
          <w:i/>
          <w:iCs/>
          <w:noProof/>
        </w:rPr>
        <w:t>Güvenlik Stratejileri, 15</w:t>
      </w:r>
      <w:r w:rsidRPr="00FF656E">
        <w:rPr>
          <w:noProof/>
        </w:rPr>
        <w:t>, 337.</w:t>
      </w:r>
    </w:p>
    <w:p w14:paraId="6135F13A" w14:textId="70CB978D" w:rsidR="00C70E93" w:rsidRDefault="001E7189">
      <w:pPr>
        <w:pStyle w:val="ListeParagraf"/>
        <w:numPr>
          <w:ilvl w:val="0"/>
          <w:numId w:val="42"/>
        </w:numPr>
        <w:jc w:val="both"/>
        <w:rPr>
          <w:noProof/>
        </w:rPr>
      </w:pPr>
      <w:r w:rsidRPr="00FF656E">
        <w:rPr>
          <w:noProof/>
        </w:rPr>
        <w:t xml:space="preserve">Yavuz, K. (1999). NATO </w:t>
      </w:r>
      <w:r>
        <w:rPr>
          <w:noProof/>
        </w:rPr>
        <w:t>S</w:t>
      </w:r>
      <w:r w:rsidRPr="00FF656E">
        <w:rPr>
          <w:noProof/>
        </w:rPr>
        <w:t xml:space="preserve">tratejisi, Avrupa </w:t>
      </w:r>
      <w:r>
        <w:rPr>
          <w:noProof/>
        </w:rPr>
        <w:t>G</w:t>
      </w:r>
      <w:r w:rsidRPr="00FF656E">
        <w:rPr>
          <w:noProof/>
        </w:rPr>
        <w:t xml:space="preserve">üvenliğinin </w:t>
      </w:r>
      <w:r>
        <w:rPr>
          <w:noProof/>
        </w:rPr>
        <w:t>D</w:t>
      </w:r>
      <w:r w:rsidRPr="00FF656E">
        <w:rPr>
          <w:noProof/>
        </w:rPr>
        <w:t xml:space="preserve">ünü, </w:t>
      </w:r>
      <w:r>
        <w:rPr>
          <w:noProof/>
        </w:rPr>
        <w:t>B</w:t>
      </w:r>
      <w:r w:rsidRPr="00FF656E">
        <w:rPr>
          <w:noProof/>
        </w:rPr>
        <w:t xml:space="preserve">ugünü, </w:t>
      </w:r>
      <w:r>
        <w:rPr>
          <w:noProof/>
        </w:rPr>
        <w:t>Y</w:t>
      </w:r>
      <w:r w:rsidRPr="00FF656E">
        <w:rPr>
          <w:noProof/>
        </w:rPr>
        <w:t xml:space="preserve">arını. </w:t>
      </w:r>
      <w:r w:rsidRPr="00021193">
        <w:rPr>
          <w:i/>
          <w:iCs/>
          <w:noProof/>
        </w:rPr>
        <w:t>New Perspectives Quarterly</w:t>
      </w:r>
      <w:r w:rsidRPr="00FF656E">
        <w:rPr>
          <w:noProof/>
        </w:rPr>
        <w:t>, 46–49.</w:t>
      </w:r>
    </w:p>
    <w:p w14:paraId="183326F0" w14:textId="67C4A03C" w:rsidR="00F84AD5" w:rsidRPr="00D42316" w:rsidRDefault="00C70E93" w:rsidP="00C70E93">
      <w:pPr>
        <w:autoSpaceDE/>
        <w:autoSpaceDN/>
        <w:rPr>
          <w:noProof/>
        </w:rPr>
      </w:pPr>
      <w:r>
        <w:rPr>
          <w:noProof/>
        </w:rPr>
        <w:br w:type="page"/>
      </w:r>
    </w:p>
    <w:p w14:paraId="7D69815A" w14:textId="77777777" w:rsidR="00F84AD5" w:rsidRPr="00D42316" w:rsidRDefault="00AC051C" w:rsidP="004C7694">
      <w:pPr>
        <w:pStyle w:val="Tark"/>
      </w:pPr>
      <w:bookmarkStart w:id="77" w:name="_Toc192855186"/>
      <w:r w:rsidRPr="00D42316">
        <w:lastRenderedPageBreak/>
        <w:t>Beşar Esad’ın Düşüşü: Suriye’nin Geç Gelen Arap Baharı (mı?)</w:t>
      </w:r>
      <w:bookmarkEnd w:id="77"/>
    </w:p>
    <w:p w14:paraId="5394546D" w14:textId="77777777" w:rsidR="00F84AD5" w:rsidRPr="00D42316" w:rsidRDefault="00F84AD5" w:rsidP="003B45CB">
      <w:pPr>
        <w:jc w:val="center"/>
      </w:pPr>
    </w:p>
    <w:p w14:paraId="7C77C7D0" w14:textId="77777777" w:rsidR="00F84AD5" w:rsidRPr="00D42316" w:rsidRDefault="00AC051C" w:rsidP="003B45CB">
      <w:pPr>
        <w:jc w:val="center"/>
      </w:pPr>
      <w:r w:rsidRPr="00D42316">
        <w:t xml:space="preserve">Hikmet </w:t>
      </w:r>
      <w:proofErr w:type="spellStart"/>
      <w:r w:rsidRPr="00D42316">
        <w:t>Mengüaslan</w:t>
      </w:r>
      <w:proofErr w:type="spellEnd"/>
      <w:r w:rsidRPr="00D42316">
        <w:br/>
        <w:t>Dr. Öğretim Üyesi, Aydın Adnan Menderes Üniversitesi, Uluslararası İlişkiler</w:t>
      </w:r>
      <w:r w:rsidRPr="00D42316">
        <w:br/>
      </w:r>
      <w:hyperlink r:id="rId120">
        <w:r w:rsidRPr="00D42316">
          <w:rPr>
            <w:color w:val="467886"/>
            <w:u w:val="single"/>
          </w:rPr>
          <w:t>hikmet.menguaslan@adu.edu.tr</w:t>
        </w:r>
      </w:hyperlink>
      <w:r w:rsidRPr="00D42316">
        <w:t xml:space="preserve"> </w:t>
      </w:r>
      <w:r w:rsidRPr="00D42316">
        <w:br/>
      </w:r>
      <w:hyperlink r:id="rId121">
        <w:r w:rsidRPr="00D42316">
          <w:rPr>
            <w:color w:val="467886"/>
            <w:u w:val="single"/>
          </w:rPr>
          <w:t>0000-0003-4836-5108</w:t>
        </w:r>
      </w:hyperlink>
    </w:p>
    <w:p w14:paraId="1A397E2F" w14:textId="77777777" w:rsidR="00F84AD5" w:rsidRPr="00D42316" w:rsidRDefault="00F84AD5" w:rsidP="003B45CB">
      <w:pPr>
        <w:jc w:val="center"/>
      </w:pPr>
    </w:p>
    <w:p w14:paraId="2AAAA239" w14:textId="77777777" w:rsidR="00F84AD5" w:rsidRPr="00D42316" w:rsidRDefault="00AC051C" w:rsidP="003B45CB">
      <w:pPr>
        <w:jc w:val="center"/>
        <w:rPr>
          <w:b/>
        </w:rPr>
      </w:pPr>
      <w:r w:rsidRPr="00D42316">
        <w:rPr>
          <w:b/>
        </w:rPr>
        <w:t>Özet</w:t>
      </w:r>
    </w:p>
    <w:p w14:paraId="6F1E33AE" w14:textId="77777777" w:rsidR="00F84AD5" w:rsidRPr="00D42316" w:rsidRDefault="00AC051C" w:rsidP="003B45CB">
      <w:pPr>
        <w:jc w:val="both"/>
      </w:pPr>
      <w:r w:rsidRPr="00D42316">
        <w:t xml:space="preserve">Bu bildiri Beşar Esad sonrası Suriye’nin siyasal görünümünü değerlendirmektedir. Ortadoğu’yu derinden sarsan Arap Baharı sürecinde bölgesel (İran) ve bölge dışı aktörlerin (Rusya Federasyonu) yoğun askeri ve finansal desteği sayesinde ayakta kalmayı başarabilen Beşar Esad rejimi literatürde otoriter rejimlerin dayanıklılığı perspektifini doğrulayan en dikkat çekici vakalardan birisi olmuştur. Ancak 2024’ün son aylarında çeşitli silahlı gruplardan meydana gelen koalisyon tarafından yürütülen askeri operasyon karşısında rejim askerleri çok kısa bir sürede (11 gün gibi) geri çekilmiş ya da karşılık vermemiştir. 8 Aralık 2024’te Esad’ın ülkesini terk etmesiyle 54 yıllık Esad ailesi iktidarı son bulmuştur. Suriye için açılan Esad sonrası sayfada yoğun bir gündem bulunmaktadır. Uygulanmakta olan yaptırımların kaldırılması ve ülkenin yeniden inşası, yeni kurulacak hükümet sisteminin kararlaştırılması ve yabancı güçlerin askerlerini geri çekmesi gibi konular bahse konu gündemin en önemli maddelerini oluşturmaktadır. Öte yandan, Suriye’nin mevcut merkezi otoritesi zayıf ve parçalı bir yapıdadır. Askeri kapasiteleri kısıtlı olan Suriye’nin çeşitli bölgelerinde silahlı gruplar güvenlik ve yönetim işlevlerini üstlenmiş durumdadır. Bununla birlikte, başta Türkiye ve İsrail olmak üzere birçok aktör Suriye’nin yeni siyasal döneminde etki sahibi olmaya önem vermektedir. Dolayısıyla, Suriye’nin siyasal görünümünde zaman zaman çatışmalı sonuçlar doğuran belirleyici adımlar atmaktadırlar. Bu bakımdan Suriye’de rejim değişikliği ve güç mücadelesi gibi dinamiklerin demokratikleşmeye yansımaları ilgi çekici bir araştırma konusudur. Çalışma, Suriye’nin Esat sonrası gidişatını </w:t>
      </w:r>
      <w:proofErr w:type="spellStart"/>
      <w:r w:rsidRPr="00D42316">
        <w:t>otoriteryanizm</w:t>
      </w:r>
      <w:proofErr w:type="spellEnd"/>
      <w:r w:rsidRPr="00D42316">
        <w:t xml:space="preserve"> sonrası demokratikleşme ve bölgesel güç mücadelesi dinamikleri temelinde ele almayı planlamaktadır.</w:t>
      </w:r>
    </w:p>
    <w:p w14:paraId="74B18548" w14:textId="77777777" w:rsidR="00F84AD5" w:rsidRPr="00D42316" w:rsidRDefault="00F84AD5" w:rsidP="003B45CB">
      <w:pPr>
        <w:jc w:val="both"/>
      </w:pPr>
    </w:p>
    <w:p w14:paraId="59530AB9" w14:textId="4D1FDD55" w:rsidR="00C70E93" w:rsidRDefault="00AC051C" w:rsidP="003B45CB">
      <w:pPr>
        <w:jc w:val="both"/>
      </w:pPr>
      <w:r w:rsidRPr="00D42316">
        <w:rPr>
          <w:b/>
          <w:bCs/>
        </w:rPr>
        <w:t xml:space="preserve">Anahtar </w:t>
      </w:r>
      <w:r w:rsidR="00B4361D" w:rsidRPr="00D42316">
        <w:rPr>
          <w:b/>
          <w:bCs/>
        </w:rPr>
        <w:t>Kelime</w:t>
      </w:r>
      <w:r w:rsidRPr="00D42316">
        <w:rPr>
          <w:b/>
          <w:bCs/>
        </w:rPr>
        <w:t>ler:</w:t>
      </w:r>
      <w:r w:rsidRPr="00D42316">
        <w:t xml:space="preserve"> Suriye, Beşar Esad Sonrası, Demokratikleşme, Arap Baharı, Güç Mücadelesi</w:t>
      </w:r>
    </w:p>
    <w:p w14:paraId="31AB2149" w14:textId="28AFF644" w:rsidR="00963624" w:rsidRPr="00D42316" w:rsidRDefault="00C70E93" w:rsidP="003B45CB">
      <w:pPr>
        <w:autoSpaceDE/>
        <w:autoSpaceDN/>
        <w:jc w:val="both"/>
      </w:pPr>
      <w:r>
        <w:br w:type="page"/>
      </w:r>
    </w:p>
    <w:p w14:paraId="704CA7E7" w14:textId="401D3461" w:rsidR="00963624" w:rsidRPr="003B45CB" w:rsidRDefault="00B4361D" w:rsidP="004C7694">
      <w:pPr>
        <w:pStyle w:val="Tark"/>
      </w:pPr>
      <w:bookmarkStart w:id="78" w:name="_Toc192855187"/>
      <w:r w:rsidRPr="003B45CB">
        <w:lastRenderedPageBreak/>
        <w:t>Ekonomik İşleyişe Bireysel Bir Direniş: Boykotun Toplumsal Yönü</w:t>
      </w:r>
      <w:r w:rsidR="00714BC1" w:rsidRPr="003B45CB">
        <w:t xml:space="preserve"> v</w:t>
      </w:r>
      <w:r w:rsidRPr="003B45CB">
        <w:t>e Etik</w:t>
      </w:r>
      <w:bookmarkEnd w:id="78"/>
    </w:p>
    <w:p w14:paraId="7E64D4A9" w14:textId="75904F24" w:rsidR="00F84AD5" w:rsidRPr="003B45CB" w:rsidRDefault="00AC051C" w:rsidP="003B45CB">
      <w:pPr>
        <w:jc w:val="center"/>
      </w:pPr>
      <w:r w:rsidRPr="003B45CB">
        <w:t>Ayda Nur KORKMAZDAĞ</w:t>
      </w:r>
    </w:p>
    <w:p w14:paraId="4A56C46E" w14:textId="77777777" w:rsidR="00B4361D" w:rsidRPr="003B45CB" w:rsidRDefault="00B4361D" w:rsidP="003B45CB">
      <w:pPr>
        <w:jc w:val="center"/>
      </w:pPr>
      <w:hyperlink r:id="rId122">
        <w:r w:rsidRPr="003B45CB">
          <w:t>aydakorkmazdag@gmail.com</w:t>
        </w:r>
      </w:hyperlink>
    </w:p>
    <w:p w14:paraId="10CAEC59" w14:textId="77777777" w:rsidR="00B4361D" w:rsidRPr="003B45CB" w:rsidRDefault="00B4361D" w:rsidP="003B45CB">
      <w:pPr>
        <w:jc w:val="center"/>
      </w:pPr>
    </w:p>
    <w:p w14:paraId="7D3F4ED4" w14:textId="77777777" w:rsidR="00F84AD5" w:rsidRPr="003B45CB" w:rsidRDefault="00AC051C" w:rsidP="003B45CB">
      <w:pPr>
        <w:jc w:val="center"/>
      </w:pPr>
      <w:r w:rsidRPr="003B45CB">
        <w:t>Kader UYAR</w:t>
      </w:r>
    </w:p>
    <w:p w14:paraId="7B8409C4" w14:textId="77777777" w:rsidR="00B4361D" w:rsidRPr="003B45CB" w:rsidRDefault="00B4361D" w:rsidP="003B45CB">
      <w:pPr>
        <w:jc w:val="center"/>
      </w:pPr>
      <w:hyperlink r:id="rId123">
        <w:r w:rsidRPr="003B45CB">
          <w:t>kaderuyar4242@gmail.com</w:t>
        </w:r>
      </w:hyperlink>
    </w:p>
    <w:p w14:paraId="648C279C" w14:textId="77777777" w:rsidR="00B4361D" w:rsidRPr="003B45CB" w:rsidRDefault="00B4361D" w:rsidP="003B45CB">
      <w:pPr>
        <w:jc w:val="center"/>
      </w:pPr>
    </w:p>
    <w:p w14:paraId="00C0098A" w14:textId="77777777" w:rsidR="00F84AD5" w:rsidRPr="003B45CB" w:rsidRDefault="00AC051C" w:rsidP="003B45CB">
      <w:pPr>
        <w:jc w:val="center"/>
      </w:pPr>
      <w:r w:rsidRPr="003B45CB">
        <w:t xml:space="preserve">Doç. Dr. Ali </w:t>
      </w:r>
      <w:proofErr w:type="spellStart"/>
      <w:r w:rsidRPr="003B45CB">
        <w:t>Erkam</w:t>
      </w:r>
      <w:proofErr w:type="spellEnd"/>
      <w:r w:rsidRPr="003B45CB">
        <w:t xml:space="preserve"> YARAR</w:t>
      </w:r>
    </w:p>
    <w:p w14:paraId="623AA39C" w14:textId="71AAFED6" w:rsidR="00F84AD5" w:rsidRPr="003B45CB" w:rsidRDefault="00AC051C" w:rsidP="003B45CB">
      <w:pPr>
        <w:jc w:val="center"/>
      </w:pPr>
      <w:r w:rsidRPr="003B45CB">
        <w:t>Necmettin Erbakan Üniversitesi, Sosyal Bilimler Enstitüsü, Halkla İlişkiler ve Reklamcılık</w:t>
      </w:r>
    </w:p>
    <w:p w14:paraId="7EA38584" w14:textId="47FF5193" w:rsidR="00F84AD5" w:rsidRPr="003B45CB" w:rsidRDefault="00AC051C" w:rsidP="003B45CB">
      <w:pPr>
        <w:jc w:val="center"/>
      </w:pPr>
      <w:r w:rsidRPr="003B45CB">
        <w:t>Yüksek Lisans – Konya</w:t>
      </w:r>
    </w:p>
    <w:p w14:paraId="0BB87A50" w14:textId="1397CFC7" w:rsidR="00F84AD5" w:rsidRPr="003B45CB" w:rsidRDefault="00963624" w:rsidP="003B45CB">
      <w:pPr>
        <w:jc w:val="center"/>
      </w:pPr>
      <w:hyperlink r:id="rId124" w:history="1">
        <w:r w:rsidRPr="003B45CB">
          <w:rPr>
            <w:rStyle w:val="Kpr"/>
          </w:rPr>
          <w:t>aeyarar@erbakan.edu.tr</w:t>
        </w:r>
      </w:hyperlink>
    </w:p>
    <w:p w14:paraId="53BAD660" w14:textId="04202DE0" w:rsidR="00963624" w:rsidRPr="003B45CB" w:rsidRDefault="006779B4" w:rsidP="003B45CB">
      <w:pPr>
        <w:jc w:val="center"/>
      </w:pPr>
      <w:r w:rsidRPr="003B45CB">
        <w:t>0000-0002-0919-314X</w:t>
      </w:r>
    </w:p>
    <w:p w14:paraId="6BB2D8CE" w14:textId="77777777" w:rsidR="006779B4" w:rsidRPr="003B45CB" w:rsidRDefault="006779B4" w:rsidP="003B45CB">
      <w:pPr>
        <w:jc w:val="center"/>
      </w:pPr>
    </w:p>
    <w:p w14:paraId="3F3911F9" w14:textId="77777777" w:rsidR="00F84AD5" w:rsidRPr="003B45CB" w:rsidRDefault="00AC051C" w:rsidP="003B45CB">
      <w:pPr>
        <w:jc w:val="center"/>
        <w:rPr>
          <w:b/>
          <w:bCs/>
        </w:rPr>
      </w:pPr>
      <w:r w:rsidRPr="003B45CB">
        <w:rPr>
          <w:b/>
          <w:bCs/>
        </w:rPr>
        <w:t>Özet</w:t>
      </w:r>
    </w:p>
    <w:p w14:paraId="0B735F2B" w14:textId="1B70DAEB" w:rsidR="00F84AD5" w:rsidRDefault="00AC051C" w:rsidP="003B45CB">
      <w:pPr>
        <w:jc w:val="both"/>
      </w:pPr>
      <w:r w:rsidRPr="003B45CB">
        <w:t>Boykot, bireylerin, grupların veya toplumların bir kişi, kuruluş, ülke, ürün ya da hizmetle ekonomik, sosyal ya da politik ilişki kurmayı gönüllü olarak reddetmesi anlamına gelmektedir. Genellikle tüketiciler bir ürünü kullanmayı ya da satın almayı bırakarak boykot yapmaktadırlar. Boykotun pek çok yönü olduğu gibi, toplumsal ve etik yönü de bulunmaktadır. Etik, bireylerin ve toplumların iyi – kötü, doğru – yanlış kavramları arasındaki farkı anlamak ve bu farkları davranışlarına yansıttıkları düşünce biçimidir. Boykotun etik yönü ise bireylerin ahlak değerleri ve toplumsal sorumluluk çerçevesinde hem vicdani kararlarını hem de toplum üzerindeki etkilerini içermektedir. Bireylerin bu tutumları boykotun toplumda görünür hale gelmesine katkı sağlar. Boykot görünür hale geldikçe markalar kendilerini etik davranışlarda bulunmaya zorlar. Boykotun toplumsal yönünde bireyler, sorunlara yönelik farkındalık oluşturmak ve problemi daha görünür kılmak için boykotu kullanmaktadır. Bu sayede insanlar ortak bir hedef çerçevesinde birleşerek kendilerine has bir duruş sergilerler. Bu duruş sayesinde boykot edilen ürün, hizmet ya da markalar üzerinde bir baskı unsuru haline gelebilmektedir. Bu çalışma, tüketici boykotunun toplumsal ve etik yönünü keşfetmeyi amaçlayarak bireylerin boykot hakkındaki düşüncelerini ve bireylerin boykot konusunda oluşan toplumsal normlara yönelik görüşlerini incelemektedir. Araştırmada veri toplama yöntemi olarak nitel araştırma kullanılmıştır. Yarı yapılandırılmış görüşme formu ile katılımcıların boykot hakkındaki düşünceleri incelenmiştir. Çıkan bulgular, boykotun bireyler üzerindeki etkisinin toplumsal yön temelinde oluşabileceği gerçeğini ortaya çıkarmıştır. Boykot literatürü incelendiğinde planlı davranış teorisi kapsamında toplumsal ve etik yönlerin davranışa etkisi alanını inceleyen çalışmalar azınlıktadır.  Bu araştırma, bireylerin boykot tutumundaki farklılıkların toplumsal yönünü ve etik açısını çok yönlülüğüyle ele alan bir çalışma olarak literatüre katkı sağlamayı amaçlamaktadır.</w:t>
      </w:r>
    </w:p>
    <w:p w14:paraId="31B347CB" w14:textId="77777777" w:rsidR="003B45CB" w:rsidRPr="003B45CB" w:rsidRDefault="003B45CB" w:rsidP="003B45CB">
      <w:pPr>
        <w:jc w:val="both"/>
      </w:pPr>
    </w:p>
    <w:p w14:paraId="417D9CC8" w14:textId="72A4C2A7" w:rsidR="00F84AD5" w:rsidRPr="005878EB" w:rsidRDefault="00AC051C" w:rsidP="003B45CB">
      <w:pPr>
        <w:jc w:val="both"/>
        <w:rPr>
          <w:sz w:val="23"/>
          <w:szCs w:val="23"/>
        </w:rPr>
      </w:pPr>
      <w:r w:rsidRPr="003B45CB">
        <w:rPr>
          <w:b/>
          <w:bCs/>
        </w:rPr>
        <w:t>Anahtar Kelimeler</w:t>
      </w:r>
      <w:r w:rsidRPr="003B45CB">
        <w:t>: Boykot, etik, baskı, toplumsal yön.</w:t>
      </w:r>
      <w:r w:rsidR="00C70E93" w:rsidRPr="003B45CB">
        <w:br w:type="page"/>
      </w:r>
    </w:p>
    <w:p w14:paraId="7ED90789" w14:textId="780C2408" w:rsidR="00F84AD5" w:rsidRPr="00D42316" w:rsidRDefault="00071A18" w:rsidP="004C7694">
      <w:pPr>
        <w:pStyle w:val="Tark"/>
      </w:pPr>
      <w:bookmarkStart w:id="79" w:name="_Toc192855188"/>
      <w:r w:rsidRPr="00D42316">
        <w:lastRenderedPageBreak/>
        <w:t>Türkiye’deki 5 Büyük Bankanın Sürdürülebilir Kalkınma Hedeflerine Katkısının Entegre Raporlar Üzerinden İncelenmesi</w:t>
      </w:r>
      <w:bookmarkEnd w:id="79"/>
    </w:p>
    <w:p w14:paraId="20747D13" w14:textId="77777777" w:rsidR="00071A18" w:rsidRPr="00D42316" w:rsidRDefault="00071A18" w:rsidP="003B45CB">
      <w:pPr>
        <w:jc w:val="center"/>
        <w:rPr>
          <w:b/>
        </w:rPr>
      </w:pPr>
    </w:p>
    <w:p w14:paraId="5EF3F7C9" w14:textId="035370D6" w:rsidR="00071A18" w:rsidRPr="003B45CB" w:rsidRDefault="00AC051C" w:rsidP="003B45CB">
      <w:pPr>
        <w:jc w:val="center"/>
        <w:rPr>
          <w:b/>
          <w:vertAlign w:val="superscript"/>
        </w:rPr>
      </w:pPr>
      <w:r w:rsidRPr="00D42316">
        <w:rPr>
          <w:b/>
        </w:rPr>
        <w:t>Selin COŞKUN</w:t>
      </w:r>
    </w:p>
    <w:p w14:paraId="6CDEF6EE" w14:textId="40B3FCFA" w:rsidR="00071A18" w:rsidRPr="00D42316" w:rsidRDefault="00071A18" w:rsidP="003B45CB">
      <w:pPr>
        <w:jc w:val="center"/>
      </w:pPr>
      <w:r w:rsidRPr="00D42316">
        <w:t>Dr. Öğretim Üyesi</w:t>
      </w:r>
    </w:p>
    <w:p w14:paraId="2566535E" w14:textId="3F7AE307" w:rsidR="00963624" w:rsidRPr="00D42316" w:rsidRDefault="00071A18" w:rsidP="003B45CB">
      <w:pPr>
        <w:jc w:val="center"/>
      </w:pPr>
      <w:r w:rsidRPr="00D42316">
        <w:t>Manisa Celal Bayar Üniversitesi, Ahmetli MYO, Muhasebe ve Vergi Uygulamaları</w:t>
      </w:r>
    </w:p>
    <w:p w14:paraId="60E1D456" w14:textId="529BDDB4" w:rsidR="00071A18" w:rsidRPr="00D42316" w:rsidRDefault="00071A18" w:rsidP="003B45CB">
      <w:pPr>
        <w:jc w:val="center"/>
      </w:pPr>
      <w:r w:rsidRPr="00D42316">
        <w:t>selin.coskun@cbu.edu.tr</w:t>
      </w:r>
    </w:p>
    <w:p w14:paraId="6EED8615" w14:textId="2E3F1678" w:rsidR="00071A18" w:rsidRPr="00D42316" w:rsidRDefault="00071A18" w:rsidP="003B45CB">
      <w:pPr>
        <w:jc w:val="center"/>
      </w:pPr>
      <w:r w:rsidRPr="00D42316">
        <w:t>0000-0001-8114-5137</w:t>
      </w:r>
    </w:p>
    <w:p w14:paraId="5247A524" w14:textId="77777777" w:rsidR="00071A18" w:rsidRPr="00D42316" w:rsidRDefault="00071A18" w:rsidP="003B45CB">
      <w:pPr>
        <w:jc w:val="center"/>
      </w:pPr>
    </w:p>
    <w:p w14:paraId="7DC4B7B6" w14:textId="335E9F86" w:rsidR="00F84AD5" w:rsidRPr="00714BC1" w:rsidRDefault="00AC051C" w:rsidP="003B45CB">
      <w:pPr>
        <w:jc w:val="center"/>
        <w:rPr>
          <w:b/>
          <w:bCs/>
        </w:rPr>
      </w:pPr>
      <w:r w:rsidRPr="00714BC1">
        <w:rPr>
          <w:b/>
          <w:bCs/>
        </w:rPr>
        <w:t>Ö</w:t>
      </w:r>
      <w:r w:rsidR="006779B4" w:rsidRPr="00714BC1">
        <w:rPr>
          <w:b/>
          <w:bCs/>
        </w:rPr>
        <w:t>zet</w:t>
      </w:r>
    </w:p>
    <w:p w14:paraId="7EC8CBBB" w14:textId="77777777" w:rsidR="00F84AD5" w:rsidRPr="00D42316" w:rsidRDefault="00AC051C" w:rsidP="003B45CB">
      <w:pPr>
        <w:jc w:val="both"/>
      </w:pPr>
      <w:r w:rsidRPr="00D42316">
        <w:t xml:space="preserve">Birleşmiş Milletler tarafından gelecek nesillere daha yaşanabilir bir dünya bırakabilme, doğal kaynakların daha bilinçli tüketilmesi, yoksulluğun azaltılması, cinsiyet eşitsizliğinin ortadan kaldırılması, herkese daha adil bir eğitim fırsatının sağlanması gibi pek çok amacı gerçekleştirmek üzere 17 temel hedef belirlenmiştir. Bu hedefler Sürdürülebilir Kalkınma Hedefleri (SKH) olarak ifade edilmektedir. </w:t>
      </w:r>
      <w:proofErr w:type="spellStart"/>
      <w:r w:rsidRPr="00D42316">
        <w:t>SKH’lerin</w:t>
      </w:r>
      <w:proofErr w:type="spellEnd"/>
      <w:r w:rsidRPr="00D42316">
        <w:t xml:space="preserve"> gerçekleşmesinde ulus devletler kadar işletmelerin de önemli bir rolü olduğu kabul edilmektedir. Bankacılık sektörü sürdürülebilir finansman sağlaması, uygulamış olduğu kredi politikaları ile yoksulluğun ve eşitsizliklerin azaltılması, yeni iş modellerinin ortaya çıkmasında girişimcilik ve inovasyonu desteklemesi noktasında önemli fonksiyonlar üstlenmesi nedeniyle sürdürülebilir kalkınmaya katkı sunmaktadır. Bu çerçevede, bu çalışmadaki temel amaç Türkiye’deki beş büyük bankanın sürdürülebilir kalkınma hedeflerine katkısının tespit edilmesidir. Çalışmanın amacı doğrultusunda 2024 yılı BDDK verilerine göre 5 büyük olarak kabul edilen bankaların 2021, 2022 ve 2023 yıllarına ait </w:t>
      </w:r>
      <w:proofErr w:type="gramStart"/>
      <w:r w:rsidRPr="00D42316">
        <w:t>entegre</w:t>
      </w:r>
      <w:proofErr w:type="gramEnd"/>
      <w:r w:rsidRPr="00D42316">
        <w:t xml:space="preserve"> raporları üzerine bir araştırma gerçekleştirilmiştir. Bankaların raporları web sitelerinden temin edilmiştir. Bankaların </w:t>
      </w:r>
      <w:proofErr w:type="spellStart"/>
      <w:r w:rsidRPr="00D42316">
        <w:t>SKH’lere</w:t>
      </w:r>
      <w:proofErr w:type="spellEnd"/>
      <w:r w:rsidRPr="00D42316">
        <w:t xml:space="preserve"> yönelik katkısının belirlenebilmesi için nitel araştırma yöntemlerinden </w:t>
      </w:r>
      <w:proofErr w:type="gramStart"/>
      <w:r w:rsidRPr="00D42316">
        <w:t>doküman</w:t>
      </w:r>
      <w:proofErr w:type="gramEnd"/>
      <w:r w:rsidRPr="00D42316">
        <w:t xml:space="preserve"> analizi ile birlikte içerik analizi birlikte kullanılarak analiz gerçekleştirilmiştir. Çalışmada verileri incelenen bankalar Ziraat Bankası, Vakıfbank, Halk Bankası, Garanti BBVA, Yapı Kredi Bankası’dır. Araştırma sonucunda her üç yılda da </w:t>
      </w:r>
      <w:proofErr w:type="gramStart"/>
      <w:r w:rsidRPr="00D42316">
        <w:t>entegre</w:t>
      </w:r>
      <w:proofErr w:type="gramEnd"/>
      <w:r w:rsidRPr="00D42316">
        <w:t xml:space="preserve"> raporlarında en çok SKH katkısı açıklayan Garanti BBVA iken en az SKH açıklaması yapan banka Vakıfbank bulunmuştur.  İncelenen periyotta Ziraat Bankası’nın katkı sağladığı SKH sayısı 2021 ve 2022 yıllarında 14 iken, 2023 yılında 9 olarak tespit edilmiştir. Vakıfbank ve Garanti </w:t>
      </w:r>
      <w:proofErr w:type="spellStart"/>
      <w:r w:rsidRPr="00D42316">
        <w:t>BBVA’nın</w:t>
      </w:r>
      <w:proofErr w:type="spellEnd"/>
      <w:r w:rsidRPr="00D42316">
        <w:t xml:space="preserve"> 2021 yılında katkı sağladıkları SKH sayısı sırasıyla 5 ve 16 iken 2022 ve 2023 yıllarında artarak 7 ve 17 olmuştur. Bankaların en çok katkı sağladığı </w:t>
      </w:r>
      <w:proofErr w:type="spellStart"/>
      <w:r w:rsidRPr="00D42316">
        <w:t>SKH’ler</w:t>
      </w:r>
      <w:proofErr w:type="spellEnd"/>
      <w:r w:rsidRPr="00D42316">
        <w:t xml:space="preserve">, 2021 yılında SKH 4, SKH 5, SKH 9; 2022 yılında SKH 4, SKH 7, SKH 8, SKH 9, SKH 13; 2023 yılında ise SKH 4, SKH7, SKH8, SKH 9, SKH 10 ve SKH 13 olarak belirlenmiştir. Tüm yıllar ortalaması alındığında bankaların en çok katkı sağladığı </w:t>
      </w:r>
      <w:proofErr w:type="spellStart"/>
      <w:r w:rsidRPr="00D42316">
        <w:t>SKH’ler</w:t>
      </w:r>
      <w:proofErr w:type="spellEnd"/>
      <w:r w:rsidRPr="00D42316">
        <w:t xml:space="preserve"> </w:t>
      </w:r>
      <w:proofErr w:type="gramStart"/>
      <w:r w:rsidRPr="00D42316">
        <w:t>% 9</w:t>
      </w:r>
      <w:proofErr w:type="gramEnd"/>
      <w:r w:rsidRPr="00D42316">
        <w:t xml:space="preserve"> ile SKH 4 Nitelikli Eğitim, SKH 8 İnsana Yakışır İş ve Ekonomik Büyüme ve SKH 9 Sanayi, Yenilikçilik ve Altyapı olarak bulunmuştur. Bankaların %2 ile en az katkıda bulunduğu hedef SKH 14 Sudaki Yaşam olduğu gözlemlenmiştir.</w:t>
      </w:r>
    </w:p>
    <w:p w14:paraId="29168424" w14:textId="77777777" w:rsidR="006779B4" w:rsidRPr="00D42316" w:rsidRDefault="006779B4" w:rsidP="003B45CB">
      <w:pPr>
        <w:jc w:val="both"/>
      </w:pPr>
    </w:p>
    <w:p w14:paraId="454BD2FD" w14:textId="305F4633" w:rsidR="00C70E93" w:rsidRDefault="00AC051C" w:rsidP="003B45CB">
      <w:pPr>
        <w:jc w:val="both"/>
      </w:pPr>
      <w:r w:rsidRPr="00D42316">
        <w:rPr>
          <w:b/>
        </w:rPr>
        <w:t>Anahtar Kelimeler:</w:t>
      </w:r>
      <w:r w:rsidRPr="00D42316">
        <w:t xml:space="preserve"> Bankalar, Sürdürülebilir Kalkınma Hedefleri, Entegre Raporlama</w:t>
      </w:r>
    </w:p>
    <w:p w14:paraId="1EBE01AD" w14:textId="045B6AC0" w:rsidR="005878EB" w:rsidRPr="006871AB" w:rsidRDefault="00C70E93" w:rsidP="003B45CB">
      <w:pPr>
        <w:autoSpaceDE/>
        <w:autoSpaceDN/>
      </w:pPr>
      <w:r>
        <w:br w:type="page"/>
      </w:r>
    </w:p>
    <w:p w14:paraId="4E9D1EE0" w14:textId="61C82379" w:rsidR="00F84AD5" w:rsidRPr="00D42316" w:rsidRDefault="00071A18" w:rsidP="004C7694">
      <w:pPr>
        <w:pStyle w:val="Tark"/>
      </w:pPr>
      <w:bookmarkStart w:id="80" w:name="_Toc192855189"/>
      <w:proofErr w:type="spellStart"/>
      <w:r w:rsidRPr="00D42316">
        <w:lastRenderedPageBreak/>
        <w:t>Analys</w:t>
      </w:r>
      <w:r w:rsidR="00C70E93">
        <w:t>i</w:t>
      </w:r>
      <w:r w:rsidRPr="00D42316">
        <w:t>ng</w:t>
      </w:r>
      <w:proofErr w:type="spellEnd"/>
      <w:r w:rsidRPr="00D42316">
        <w:t xml:space="preserve"> </w:t>
      </w:r>
      <w:proofErr w:type="spellStart"/>
      <w:r w:rsidRPr="00D42316">
        <w:t>The</w:t>
      </w:r>
      <w:proofErr w:type="spellEnd"/>
      <w:r w:rsidRPr="00D42316">
        <w:t xml:space="preserve"> </w:t>
      </w:r>
      <w:proofErr w:type="spellStart"/>
      <w:r w:rsidRPr="00D42316">
        <w:t>Contr</w:t>
      </w:r>
      <w:r w:rsidR="00C70E93">
        <w:t>i</w:t>
      </w:r>
      <w:r w:rsidRPr="00D42316">
        <w:t>but</w:t>
      </w:r>
      <w:r w:rsidR="00C70E93">
        <w:t>i</w:t>
      </w:r>
      <w:r w:rsidRPr="00D42316">
        <w:t>on</w:t>
      </w:r>
      <w:proofErr w:type="spellEnd"/>
      <w:r w:rsidRPr="00D42316">
        <w:t xml:space="preserve"> Of 5 </w:t>
      </w:r>
      <w:proofErr w:type="spellStart"/>
      <w:r w:rsidRPr="00D42316">
        <w:t>Major</w:t>
      </w:r>
      <w:proofErr w:type="spellEnd"/>
      <w:r w:rsidRPr="00D42316">
        <w:t xml:space="preserve"> </w:t>
      </w:r>
      <w:proofErr w:type="spellStart"/>
      <w:r w:rsidRPr="00D42316">
        <w:t>Banks</w:t>
      </w:r>
      <w:proofErr w:type="spellEnd"/>
      <w:r w:rsidRPr="00D42316">
        <w:t xml:space="preserve"> </w:t>
      </w:r>
      <w:proofErr w:type="spellStart"/>
      <w:r w:rsidRPr="00D42316">
        <w:t>In</w:t>
      </w:r>
      <w:proofErr w:type="spellEnd"/>
      <w:r w:rsidRPr="00D42316">
        <w:t xml:space="preserve"> </w:t>
      </w:r>
      <w:proofErr w:type="spellStart"/>
      <w:r w:rsidRPr="00D42316">
        <w:t>Turkey</w:t>
      </w:r>
      <w:proofErr w:type="spellEnd"/>
      <w:r w:rsidRPr="00D42316">
        <w:t xml:space="preserve"> </w:t>
      </w:r>
      <w:proofErr w:type="spellStart"/>
      <w:r w:rsidRPr="00D42316">
        <w:t>To</w:t>
      </w:r>
      <w:proofErr w:type="spellEnd"/>
      <w:r w:rsidRPr="00D42316">
        <w:t xml:space="preserve"> </w:t>
      </w:r>
      <w:proofErr w:type="spellStart"/>
      <w:r w:rsidRPr="00D42316">
        <w:t>Susta</w:t>
      </w:r>
      <w:r w:rsidR="00C70E93">
        <w:t>i</w:t>
      </w:r>
      <w:r w:rsidRPr="00D42316">
        <w:t>nable</w:t>
      </w:r>
      <w:proofErr w:type="spellEnd"/>
      <w:r w:rsidRPr="00D42316">
        <w:t xml:space="preserve"> Development </w:t>
      </w:r>
      <w:proofErr w:type="spellStart"/>
      <w:r w:rsidRPr="00D42316">
        <w:t>Goals</w:t>
      </w:r>
      <w:proofErr w:type="spellEnd"/>
      <w:r w:rsidRPr="00D42316">
        <w:t xml:space="preserve"> Through </w:t>
      </w:r>
      <w:proofErr w:type="spellStart"/>
      <w:r w:rsidRPr="00D42316">
        <w:t>Integrated</w:t>
      </w:r>
      <w:proofErr w:type="spellEnd"/>
      <w:r w:rsidRPr="00D42316">
        <w:t xml:space="preserve"> </w:t>
      </w:r>
      <w:proofErr w:type="spellStart"/>
      <w:r w:rsidRPr="00D42316">
        <w:t>Reports</w:t>
      </w:r>
      <w:bookmarkEnd w:id="80"/>
      <w:proofErr w:type="spellEnd"/>
    </w:p>
    <w:p w14:paraId="0EBB26B5" w14:textId="77777777" w:rsidR="00071A18" w:rsidRPr="00D42316" w:rsidRDefault="00071A18" w:rsidP="003B45CB">
      <w:pPr>
        <w:jc w:val="center"/>
        <w:rPr>
          <w:b/>
        </w:rPr>
      </w:pPr>
    </w:p>
    <w:p w14:paraId="7CB6521C" w14:textId="7E4784A1" w:rsidR="00F84AD5" w:rsidRPr="00714BC1" w:rsidRDefault="00AC051C" w:rsidP="003B45CB">
      <w:pPr>
        <w:jc w:val="center"/>
        <w:rPr>
          <w:b/>
          <w:bCs/>
        </w:rPr>
      </w:pPr>
      <w:proofErr w:type="spellStart"/>
      <w:r w:rsidRPr="00714BC1">
        <w:rPr>
          <w:b/>
          <w:bCs/>
        </w:rPr>
        <w:t>A</w:t>
      </w:r>
      <w:r w:rsidR="006779B4" w:rsidRPr="00714BC1">
        <w:rPr>
          <w:b/>
          <w:bCs/>
        </w:rPr>
        <w:t>bstract</w:t>
      </w:r>
      <w:proofErr w:type="spellEnd"/>
    </w:p>
    <w:p w14:paraId="13C86B53" w14:textId="77777777" w:rsidR="00071A18" w:rsidRPr="00D42316" w:rsidRDefault="00071A18" w:rsidP="003B45CB">
      <w:pPr>
        <w:jc w:val="center"/>
        <w:rPr>
          <w:b/>
        </w:rPr>
      </w:pPr>
    </w:p>
    <w:p w14:paraId="7978FB19" w14:textId="77777777" w:rsidR="00F84AD5" w:rsidRPr="00D42316" w:rsidRDefault="00AC051C" w:rsidP="003B45CB">
      <w:pPr>
        <w:jc w:val="both"/>
      </w:pPr>
      <w:proofErr w:type="spellStart"/>
      <w:r w:rsidRPr="00D42316">
        <w:t>The</w:t>
      </w:r>
      <w:proofErr w:type="spellEnd"/>
      <w:r w:rsidRPr="00D42316">
        <w:t xml:space="preserve"> United Nations has set 17 main </w:t>
      </w:r>
      <w:proofErr w:type="spellStart"/>
      <w:r w:rsidRPr="00D42316">
        <w:t>goals</w:t>
      </w:r>
      <w:proofErr w:type="spellEnd"/>
      <w:r w:rsidRPr="00D42316">
        <w:t xml:space="preserve"> </w:t>
      </w:r>
      <w:proofErr w:type="spellStart"/>
      <w:r w:rsidRPr="00D42316">
        <w:t>to</w:t>
      </w:r>
      <w:proofErr w:type="spellEnd"/>
      <w:r w:rsidRPr="00D42316">
        <w:t xml:space="preserve"> </w:t>
      </w:r>
      <w:proofErr w:type="spellStart"/>
      <w:r w:rsidRPr="00D42316">
        <w:t>realise</w:t>
      </w:r>
      <w:proofErr w:type="spellEnd"/>
      <w:r w:rsidRPr="00D42316">
        <w:t xml:space="preserve"> </w:t>
      </w:r>
      <w:proofErr w:type="spellStart"/>
      <w:r w:rsidRPr="00D42316">
        <w:t>many</w:t>
      </w:r>
      <w:proofErr w:type="spellEnd"/>
      <w:r w:rsidRPr="00D42316">
        <w:t xml:space="preserve"> </w:t>
      </w:r>
      <w:proofErr w:type="spellStart"/>
      <w:r w:rsidRPr="00D42316">
        <w:t>objectives</w:t>
      </w:r>
      <w:proofErr w:type="spellEnd"/>
      <w:r w:rsidRPr="00D42316">
        <w:t xml:space="preserve"> </w:t>
      </w:r>
      <w:proofErr w:type="spellStart"/>
      <w:r w:rsidRPr="00D42316">
        <w:t>such</w:t>
      </w:r>
      <w:proofErr w:type="spellEnd"/>
      <w:r w:rsidRPr="00D42316">
        <w:t xml:space="preserve"> as </w:t>
      </w:r>
      <w:proofErr w:type="spellStart"/>
      <w:r w:rsidRPr="00D42316">
        <w:t>leaving</w:t>
      </w:r>
      <w:proofErr w:type="spellEnd"/>
      <w:r w:rsidRPr="00D42316">
        <w:t xml:space="preserve"> a </w:t>
      </w:r>
      <w:proofErr w:type="spellStart"/>
      <w:r w:rsidRPr="00D42316">
        <w:t>more</w:t>
      </w:r>
      <w:proofErr w:type="spellEnd"/>
      <w:r w:rsidRPr="00D42316">
        <w:t xml:space="preserve"> </w:t>
      </w:r>
      <w:proofErr w:type="spellStart"/>
      <w:r w:rsidRPr="00D42316">
        <w:t>livable</w:t>
      </w:r>
      <w:proofErr w:type="spellEnd"/>
      <w:r w:rsidRPr="00D42316">
        <w:t xml:space="preserve"> </w:t>
      </w:r>
      <w:proofErr w:type="spellStart"/>
      <w:r w:rsidRPr="00D42316">
        <w:t>world</w:t>
      </w:r>
      <w:proofErr w:type="spellEnd"/>
      <w:r w:rsidRPr="00D42316">
        <w:t xml:space="preserve"> </w:t>
      </w:r>
      <w:proofErr w:type="spellStart"/>
      <w:r w:rsidRPr="00D42316">
        <w:t>to</w:t>
      </w:r>
      <w:proofErr w:type="spellEnd"/>
      <w:r w:rsidRPr="00D42316">
        <w:t xml:space="preserve"> </w:t>
      </w:r>
      <w:proofErr w:type="spellStart"/>
      <w:r w:rsidRPr="00D42316">
        <w:t>future</w:t>
      </w:r>
      <w:proofErr w:type="spellEnd"/>
      <w:r w:rsidRPr="00D42316">
        <w:t xml:space="preserve"> </w:t>
      </w:r>
      <w:proofErr w:type="spellStart"/>
      <w:r w:rsidRPr="00D42316">
        <w:t>generations</w:t>
      </w:r>
      <w:proofErr w:type="spellEnd"/>
      <w:r w:rsidRPr="00D42316">
        <w:t xml:space="preserve">, </w:t>
      </w:r>
      <w:proofErr w:type="spellStart"/>
      <w:r w:rsidRPr="00D42316">
        <w:t>consuming</w:t>
      </w:r>
      <w:proofErr w:type="spellEnd"/>
      <w:r w:rsidRPr="00D42316">
        <w:t xml:space="preserve"> </w:t>
      </w:r>
      <w:proofErr w:type="spellStart"/>
      <w:r w:rsidRPr="00D42316">
        <w:t>natural</w:t>
      </w:r>
      <w:proofErr w:type="spellEnd"/>
      <w:r w:rsidRPr="00D42316">
        <w:t xml:space="preserve"> </w:t>
      </w:r>
      <w:proofErr w:type="spellStart"/>
      <w:r w:rsidRPr="00D42316">
        <w:t>resources</w:t>
      </w:r>
      <w:proofErr w:type="spellEnd"/>
      <w:r w:rsidRPr="00D42316">
        <w:t xml:space="preserve"> </w:t>
      </w:r>
      <w:proofErr w:type="spellStart"/>
      <w:r w:rsidRPr="00D42316">
        <w:t>more</w:t>
      </w:r>
      <w:proofErr w:type="spellEnd"/>
      <w:r w:rsidRPr="00D42316">
        <w:t xml:space="preserve"> </w:t>
      </w:r>
      <w:proofErr w:type="spellStart"/>
      <w:r w:rsidRPr="00D42316">
        <w:t>consciously</w:t>
      </w:r>
      <w:proofErr w:type="spellEnd"/>
      <w:r w:rsidRPr="00D42316">
        <w:t xml:space="preserve">, </w:t>
      </w:r>
      <w:proofErr w:type="spellStart"/>
      <w:r w:rsidRPr="00D42316">
        <w:t>reducing</w:t>
      </w:r>
      <w:proofErr w:type="spellEnd"/>
      <w:r w:rsidRPr="00D42316">
        <w:t xml:space="preserve"> </w:t>
      </w:r>
      <w:proofErr w:type="spellStart"/>
      <w:r w:rsidRPr="00D42316">
        <w:t>poverty</w:t>
      </w:r>
      <w:proofErr w:type="spellEnd"/>
      <w:r w:rsidRPr="00D42316">
        <w:t xml:space="preserve">, </w:t>
      </w:r>
      <w:proofErr w:type="spellStart"/>
      <w:r w:rsidRPr="00D42316">
        <w:t>eliminating</w:t>
      </w:r>
      <w:proofErr w:type="spellEnd"/>
      <w:r w:rsidRPr="00D42316">
        <w:t xml:space="preserve"> </w:t>
      </w:r>
      <w:proofErr w:type="spellStart"/>
      <w:r w:rsidRPr="00D42316">
        <w:t>gender</w:t>
      </w:r>
      <w:proofErr w:type="spellEnd"/>
      <w:r w:rsidRPr="00D42316">
        <w:t xml:space="preserve"> </w:t>
      </w:r>
      <w:proofErr w:type="spellStart"/>
      <w:r w:rsidRPr="00D42316">
        <w:t>inequality</w:t>
      </w:r>
      <w:proofErr w:type="spellEnd"/>
      <w:r w:rsidRPr="00D42316">
        <w:t xml:space="preserve">, </w:t>
      </w:r>
      <w:proofErr w:type="spellStart"/>
      <w:r w:rsidRPr="00D42316">
        <w:t>and</w:t>
      </w:r>
      <w:proofErr w:type="spellEnd"/>
      <w:r w:rsidRPr="00D42316">
        <w:t xml:space="preserve"> </w:t>
      </w:r>
      <w:proofErr w:type="spellStart"/>
      <w:r w:rsidRPr="00D42316">
        <w:t>providing</w:t>
      </w:r>
      <w:proofErr w:type="spellEnd"/>
      <w:r w:rsidRPr="00D42316">
        <w:t xml:space="preserve"> a </w:t>
      </w:r>
      <w:proofErr w:type="spellStart"/>
      <w:r w:rsidRPr="00D42316">
        <w:t>fairer</w:t>
      </w:r>
      <w:proofErr w:type="spellEnd"/>
      <w:r w:rsidRPr="00D42316">
        <w:t xml:space="preserve"> </w:t>
      </w:r>
      <w:proofErr w:type="spellStart"/>
      <w:r w:rsidRPr="00D42316">
        <w:t>education</w:t>
      </w:r>
      <w:proofErr w:type="spellEnd"/>
      <w:r w:rsidRPr="00D42316">
        <w:t xml:space="preserve"> </w:t>
      </w:r>
      <w:proofErr w:type="spellStart"/>
      <w:r w:rsidRPr="00D42316">
        <w:t>opportunity</w:t>
      </w:r>
      <w:proofErr w:type="spellEnd"/>
      <w:r w:rsidRPr="00D42316">
        <w:t xml:space="preserve"> </w:t>
      </w:r>
      <w:proofErr w:type="spellStart"/>
      <w:r w:rsidRPr="00D42316">
        <w:t>for</w:t>
      </w:r>
      <w:proofErr w:type="spellEnd"/>
      <w:r w:rsidRPr="00D42316">
        <w:t xml:space="preserve"> </w:t>
      </w:r>
      <w:proofErr w:type="spellStart"/>
      <w:r w:rsidRPr="00D42316">
        <w:t>all</w:t>
      </w:r>
      <w:proofErr w:type="spellEnd"/>
      <w:r w:rsidRPr="00D42316">
        <w:t xml:space="preserve"> </w:t>
      </w:r>
      <w:proofErr w:type="spellStart"/>
      <w:r w:rsidRPr="00D42316">
        <w:t>humanity</w:t>
      </w:r>
      <w:proofErr w:type="spellEnd"/>
      <w:r w:rsidRPr="00D42316">
        <w:t xml:space="preserve">. </w:t>
      </w:r>
      <w:proofErr w:type="spellStart"/>
      <w:r w:rsidRPr="00D42316">
        <w:t>These</w:t>
      </w:r>
      <w:proofErr w:type="spellEnd"/>
      <w:r w:rsidRPr="00D42316">
        <w:t xml:space="preserve"> </w:t>
      </w:r>
      <w:proofErr w:type="spellStart"/>
      <w:r w:rsidRPr="00D42316">
        <w:t>goals</w:t>
      </w:r>
      <w:proofErr w:type="spellEnd"/>
      <w:r w:rsidRPr="00D42316">
        <w:t xml:space="preserve"> </w:t>
      </w:r>
      <w:proofErr w:type="spellStart"/>
      <w:r w:rsidRPr="00D42316">
        <w:t>are</w:t>
      </w:r>
      <w:proofErr w:type="spellEnd"/>
      <w:r w:rsidRPr="00D42316">
        <w:t xml:space="preserve"> </w:t>
      </w:r>
      <w:proofErr w:type="spellStart"/>
      <w:r w:rsidRPr="00D42316">
        <w:t>referred</w:t>
      </w:r>
      <w:proofErr w:type="spellEnd"/>
      <w:r w:rsidRPr="00D42316">
        <w:t xml:space="preserve"> </w:t>
      </w:r>
      <w:proofErr w:type="spellStart"/>
      <w:r w:rsidRPr="00D42316">
        <w:t>to</w:t>
      </w:r>
      <w:proofErr w:type="spellEnd"/>
      <w:r w:rsidRPr="00D42316">
        <w:t xml:space="preserve"> as </w:t>
      </w:r>
      <w:proofErr w:type="spellStart"/>
      <w:r w:rsidRPr="00D42316">
        <w:t>Sustainable</w:t>
      </w:r>
      <w:proofErr w:type="spellEnd"/>
      <w:r w:rsidRPr="00D42316">
        <w:t xml:space="preserve"> Development </w:t>
      </w:r>
      <w:proofErr w:type="spellStart"/>
      <w:r w:rsidRPr="00D42316">
        <w:t>Goals</w:t>
      </w:r>
      <w:proofErr w:type="spellEnd"/>
      <w:r w:rsidRPr="00D42316">
        <w:t xml:space="preserve"> (</w:t>
      </w:r>
      <w:proofErr w:type="spellStart"/>
      <w:r w:rsidRPr="00D42316">
        <w:t>SDGs</w:t>
      </w:r>
      <w:proofErr w:type="spellEnd"/>
      <w:r w:rsidRPr="00D42316">
        <w:t xml:space="preserve">). </w:t>
      </w:r>
      <w:proofErr w:type="spellStart"/>
      <w:r w:rsidRPr="00D42316">
        <w:t>It</w:t>
      </w:r>
      <w:proofErr w:type="spellEnd"/>
      <w:r w:rsidRPr="00D42316">
        <w:t xml:space="preserve"> is </w:t>
      </w:r>
      <w:proofErr w:type="spellStart"/>
      <w:r w:rsidRPr="00D42316">
        <w:t>recognised</w:t>
      </w:r>
      <w:proofErr w:type="spellEnd"/>
      <w:r w:rsidRPr="00D42316">
        <w:t xml:space="preserve"> </w:t>
      </w:r>
      <w:proofErr w:type="spellStart"/>
      <w:r w:rsidRPr="00D42316">
        <w:t>that</w:t>
      </w:r>
      <w:proofErr w:type="spellEnd"/>
      <w:r w:rsidRPr="00D42316">
        <w:t xml:space="preserve"> </w:t>
      </w:r>
      <w:proofErr w:type="spellStart"/>
      <w:r w:rsidRPr="00D42316">
        <w:t>businesses</w:t>
      </w:r>
      <w:proofErr w:type="spellEnd"/>
      <w:r w:rsidRPr="00D42316">
        <w:t xml:space="preserve"> as </w:t>
      </w:r>
      <w:proofErr w:type="spellStart"/>
      <w:r w:rsidRPr="00D42316">
        <w:t>well</w:t>
      </w:r>
      <w:proofErr w:type="spellEnd"/>
      <w:r w:rsidRPr="00D42316">
        <w:t xml:space="preserve"> as </w:t>
      </w:r>
      <w:proofErr w:type="spellStart"/>
      <w:r w:rsidRPr="00D42316">
        <w:t>nation</w:t>
      </w:r>
      <w:proofErr w:type="spellEnd"/>
      <w:r w:rsidRPr="00D42316">
        <w:t xml:space="preserve"> </w:t>
      </w:r>
      <w:proofErr w:type="spellStart"/>
      <w:r w:rsidRPr="00D42316">
        <w:t>states</w:t>
      </w:r>
      <w:proofErr w:type="spellEnd"/>
      <w:r w:rsidRPr="00D42316">
        <w:t xml:space="preserve"> </w:t>
      </w:r>
      <w:proofErr w:type="spellStart"/>
      <w:r w:rsidRPr="00D42316">
        <w:t>have</w:t>
      </w:r>
      <w:proofErr w:type="spellEnd"/>
      <w:r w:rsidRPr="00D42316">
        <w:t xml:space="preserve"> an </w:t>
      </w:r>
      <w:proofErr w:type="spellStart"/>
      <w:r w:rsidRPr="00D42316">
        <w:t>important</w:t>
      </w:r>
      <w:proofErr w:type="spellEnd"/>
      <w:r w:rsidRPr="00D42316">
        <w:t xml:space="preserve"> role in </w:t>
      </w:r>
      <w:proofErr w:type="spellStart"/>
      <w:r w:rsidRPr="00D42316">
        <w:t>the</w:t>
      </w:r>
      <w:proofErr w:type="spellEnd"/>
      <w:r w:rsidRPr="00D42316">
        <w:t xml:space="preserve"> </w:t>
      </w:r>
      <w:proofErr w:type="spellStart"/>
      <w:r w:rsidRPr="00D42316">
        <w:t>success</w:t>
      </w:r>
      <w:proofErr w:type="spellEnd"/>
      <w:r w:rsidRPr="00D42316">
        <w:t xml:space="preserve"> of </w:t>
      </w:r>
      <w:proofErr w:type="spellStart"/>
      <w:r w:rsidRPr="00D42316">
        <w:t>SDGs</w:t>
      </w:r>
      <w:proofErr w:type="spellEnd"/>
      <w:r w:rsidRPr="00D42316">
        <w:t xml:space="preserve">. </w:t>
      </w:r>
      <w:proofErr w:type="spellStart"/>
      <w:r w:rsidRPr="00D42316">
        <w:t>The</w:t>
      </w:r>
      <w:proofErr w:type="spellEnd"/>
      <w:r w:rsidRPr="00D42316">
        <w:t xml:space="preserve"> </w:t>
      </w:r>
      <w:proofErr w:type="spellStart"/>
      <w:r w:rsidRPr="00D42316">
        <w:t>banking</w:t>
      </w:r>
      <w:proofErr w:type="spellEnd"/>
      <w:r w:rsidRPr="00D42316">
        <w:t xml:space="preserve"> </w:t>
      </w:r>
      <w:proofErr w:type="spellStart"/>
      <w:r w:rsidRPr="00D42316">
        <w:t>sector</w:t>
      </w:r>
      <w:proofErr w:type="spellEnd"/>
      <w:r w:rsidRPr="00D42316">
        <w:t xml:space="preserve"> </w:t>
      </w:r>
      <w:proofErr w:type="spellStart"/>
      <w:r w:rsidRPr="00D42316">
        <w:t>contributes</w:t>
      </w:r>
      <w:proofErr w:type="spellEnd"/>
      <w:r w:rsidRPr="00D42316">
        <w:t xml:space="preserve"> </w:t>
      </w:r>
      <w:proofErr w:type="spellStart"/>
      <w:r w:rsidRPr="00D42316">
        <w:t>to</w:t>
      </w:r>
      <w:proofErr w:type="spellEnd"/>
      <w:r w:rsidRPr="00D42316">
        <w:t xml:space="preserve"> </w:t>
      </w:r>
      <w:proofErr w:type="spellStart"/>
      <w:r w:rsidRPr="00D42316">
        <w:t>sustainable</w:t>
      </w:r>
      <w:proofErr w:type="spellEnd"/>
      <w:r w:rsidRPr="00D42316">
        <w:t xml:space="preserve"> </w:t>
      </w:r>
      <w:proofErr w:type="spellStart"/>
      <w:r w:rsidRPr="00D42316">
        <w:t>development</w:t>
      </w:r>
      <w:proofErr w:type="spellEnd"/>
      <w:r w:rsidRPr="00D42316">
        <w:t xml:space="preserve"> </w:t>
      </w:r>
      <w:proofErr w:type="spellStart"/>
      <w:r w:rsidRPr="00D42316">
        <w:t>by</w:t>
      </w:r>
      <w:proofErr w:type="spellEnd"/>
      <w:r w:rsidRPr="00D42316">
        <w:t xml:space="preserve"> </w:t>
      </w:r>
      <w:proofErr w:type="spellStart"/>
      <w:r w:rsidRPr="00D42316">
        <w:t>providing</w:t>
      </w:r>
      <w:proofErr w:type="spellEnd"/>
      <w:r w:rsidRPr="00D42316">
        <w:t xml:space="preserve"> </w:t>
      </w:r>
      <w:proofErr w:type="spellStart"/>
      <w:r w:rsidRPr="00D42316">
        <w:t>sustainable</w:t>
      </w:r>
      <w:proofErr w:type="spellEnd"/>
      <w:r w:rsidRPr="00D42316">
        <w:t xml:space="preserve"> </w:t>
      </w:r>
      <w:proofErr w:type="spellStart"/>
      <w:r w:rsidRPr="00D42316">
        <w:t>financing</w:t>
      </w:r>
      <w:proofErr w:type="spellEnd"/>
      <w:r w:rsidRPr="00D42316">
        <w:t xml:space="preserve">, </w:t>
      </w:r>
      <w:proofErr w:type="spellStart"/>
      <w:r w:rsidRPr="00D42316">
        <w:t>reducing</w:t>
      </w:r>
      <w:proofErr w:type="spellEnd"/>
      <w:r w:rsidRPr="00D42316">
        <w:t xml:space="preserve"> </w:t>
      </w:r>
      <w:proofErr w:type="spellStart"/>
      <w:r w:rsidRPr="00D42316">
        <w:t>poverty</w:t>
      </w:r>
      <w:proofErr w:type="spellEnd"/>
      <w:r w:rsidRPr="00D42316">
        <w:t xml:space="preserve"> </w:t>
      </w:r>
      <w:proofErr w:type="spellStart"/>
      <w:r w:rsidRPr="00D42316">
        <w:t>and</w:t>
      </w:r>
      <w:proofErr w:type="spellEnd"/>
      <w:r w:rsidRPr="00D42316">
        <w:t xml:space="preserve"> </w:t>
      </w:r>
      <w:proofErr w:type="spellStart"/>
      <w:r w:rsidRPr="00D42316">
        <w:t>inequalities</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credit</w:t>
      </w:r>
      <w:proofErr w:type="spellEnd"/>
      <w:r w:rsidRPr="00D42316">
        <w:t xml:space="preserve"> </w:t>
      </w:r>
      <w:proofErr w:type="spellStart"/>
      <w:r w:rsidRPr="00D42316">
        <w:t>policies</w:t>
      </w:r>
      <w:proofErr w:type="spellEnd"/>
      <w:r w:rsidRPr="00D42316">
        <w:t xml:space="preserve"> it </w:t>
      </w:r>
      <w:proofErr w:type="spellStart"/>
      <w:r w:rsidRPr="00D42316">
        <w:t>implements</w:t>
      </w:r>
      <w:proofErr w:type="spellEnd"/>
      <w:r w:rsidRPr="00D42316">
        <w:t xml:space="preserve">, </w:t>
      </w:r>
      <w:proofErr w:type="spellStart"/>
      <w:r w:rsidRPr="00D42316">
        <w:t>and</w:t>
      </w:r>
      <w:proofErr w:type="spellEnd"/>
      <w:r w:rsidRPr="00D42316">
        <w:t xml:space="preserve"> </w:t>
      </w:r>
      <w:proofErr w:type="spellStart"/>
      <w:r w:rsidRPr="00D42316">
        <w:t>undertaking</w:t>
      </w:r>
      <w:proofErr w:type="spellEnd"/>
      <w:r w:rsidRPr="00D42316">
        <w:t xml:space="preserve"> </w:t>
      </w:r>
      <w:proofErr w:type="spellStart"/>
      <w:r w:rsidRPr="00D42316">
        <w:t>important</w:t>
      </w:r>
      <w:proofErr w:type="spellEnd"/>
      <w:r w:rsidRPr="00D42316">
        <w:t xml:space="preserve"> </w:t>
      </w:r>
      <w:proofErr w:type="spellStart"/>
      <w:r w:rsidRPr="00D42316">
        <w:t>functions</w:t>
      </w:r>
      <w:proofErr w:type="spellEnd"/>
      <w:r w:rsidRPr="00D42316">
        <w:t xml:space="preserve"> in </w:t>
      </w:r>
      <w:proofErr w:type="spellStart"/>
      <w:r w:rsidRPr="00D42316">
        <w:t>supporting</w:t>
      </w:r>
      <w:proofErr w:type="spellEnd"/>
      <w:r w:rsidRPr="00D42316">
        <w:t xml:space="preserve"> </w:t>
      </w:r>
      <w:proofErr w:type="spellStart"/>
      <w:r w:rsidRPr="00D42316">
        <w:t>entrepreneurship</w:t>
      </w:r>
      <w:proofErr w:type="spellEnd"/>
      <w:r w:rsidRPr="00D42316">
        <w:t xml:space="preserve"> </w:t>
      </w:r>
      <w:proofErr w:type="spellStart"/>
      <w:r w:rsidRPr="00D42316">
        <w:t>and</w:t>
      </w:r>
      <w:proofErr w:type="spellEnd"/>
      <w:r w:rsidRPr="00D42316">
        <w:t xml:space="preserve"> </w:t>
      </w:r>
      <w:proofErr w:type="spellStart"/>
      <w:r w:rsidRPr="00D42316">
        <w:t>innovation</w:t>
      </w:r>
      <w:proofErr w:type="spellEnd"/>
      <w:r w:rsidRPr="00D42316">
        <w:t xml:space="preserve"> in </w:t>
      </w:r>
      <w:proofErr w:type="spellStart"/>
      <w:r w:rsidRPr="00D42316">
        <w:t>the</w:t>
      </w:r>
      <w:proofErr w:type="spellEnd"/>
      <w:r w:rsidRPr="00D42316">
        <w:t xml:space="preserve"> </w:t>
      </w:r>
      <w:proofErr w:type="spellStart"/>
      <w:r w:rsidRPr="00D42316">
        <w:t>emergence</w:t>
      </w:r>
      <w:proofErr w:type="spellEnd"/>
      <w:r w:rsidRPr="00D42316">
        <w:t xml:space="preserve"> of </w:t>
      </w:r>
      <w:proofErr w:type="spellStart"/>
      <w:r w:rsidRPr="00D42316">
        <w:t>new</w:t>
      </w:r>
      <w:proofErr w:type="spellEnd"/>
      <w:r w:rsidRPr="00D42316">
        <w:t xml:space="preserve"> </w:t>
      </w:r>
      <w:proofErr w:type="spellStart"/>
      <w:r w:rsidRPr="00D42316">
        <w:t>business</w:t>
      </w:r>
      <w:proofErr w:type="spellEnd"/>
      <w:r w:rsidRPr="00D42316">
        <w:t xml:space="preserve"> </w:t>
      </w:r>
      <w:proofErr w:type="spellStart"/>
      <w:r w:rsidRPr="00D42316">
        <w:t>models</w:t>
      </w:r>
      <w:proofErr w:type="spellEnd"/>
      <w:r w:rsidRPr="00D42316">
        <w:t xml:space="preserve">. </w:t>
      </w:r>
      <w:proofErr w:type="spellStart"/>
      <w:r w:rsidRPr="00D42316">
        <w:t>In</w:t>
      </w:r>
      <w:proofErr w:type="spellEnd"/>
      <w:r w:rsidRPr="00D42316">
        <w:t xml:space="preserve"> </w:t>
      </w:r>
      <w:proofErr w:type="spellStart"/>
      <w:r w:rsidRPr="00D42316">
        <w:t>this</w:t>
      </w:r>
      <w:proofErr w:type="spellEnd"/>
      <w:r w:rsidRPr="00D42316">
        <w:t xml:space="preserve"> </w:t>
      </w:r>
      <w:proofErr w:type="spellStart"/>
      <w:r w:rsidRPr="00D42316">
        <w:t>framework</w:t>
      </w:r>
      <w:proofErr w:type="spellEnd"/>
      <w:r w:rsidRPr="00D42316">
        <w:t xml:space="preserve">, </w:t>
      </w:r>
      <w:proofErr w:type="spellStart"/>
      <w:r w:rsidRPr="00D42316">
        <w:t>the</w:t>
      </w:r>
      <w:proofErr w:type="spellEnd"/>
      <w:r w:rsidRPr="00D42316">
        <w:t xml:space="preserve"> main </w:t>
      </w:r>
      <w:proofErr w:type="spellStart"/>
      <w:r w:rsidRPr="00D42316">
        <w:t>objective</w:t>
      </w:r>
      <w:proofErr w:type="spellEnd"/>
      <w:r w:rsidRPr="00D42316">
        <w:t xml:space="preserve"> of </w:t>
      </w:r>
      <w:proofErr w:type="spellStart"/>
      <w:r w:rsidRPr="00D42316">
        <w:t>this</w:t>
      </w:r>
      <w:proofErr w:type="spellEnd"/>
      <w:r w:rsidRPr="00D42316">
        <w:t xml:space="preserve"> </w:t>
      </w:r>
      <w:proofErr w:type="spellStart"/>
      <w:r w:rsidRPr="00D42316">
        <w:t>study</w:t>
      </w:r>
      <w:proofErr w:type="spellEnd"/>
      <w:r w:rsidRPr="00D42316">
        <w:t xml:space="preserve"> is </w:t>
      </w:r>
      <w:proofErr w:type="spellStart"/>
      <w:r w:rsidRPr="00D42316">
        <w:t>to</w:t>
      </w:r>
      <w:proofErr w:type="spellEnd"/>
      <w:r w:rsidRPr="00D42316">
        <w:t xml:space="preserve"> </w:t>
      </w:r>
      <w:proofErr w:type="spellStart"/>
      <w:r w:rsidRPr="00D42316">
        <w:t>determine</w:t>
      </w:r>
      <w:proofErr w:type="spellEnd"/>
      <w:r w:rsidRPr="00D42316">
        <w:t xml:space="preserve"> </w:t>
      </w:r>
      <w:proofErr w:type="spellStart"/>
      <w:r w:rsidRPr="00D42316">
        <w:t>the</w:t>
      </w:r>
      <w:proofErr w:type="spellEnd"/>
      <w:r w:rsidRPr="00D42316">
        <w:t xml:space="preserve"> </w:t>
      </w:r>
      <w:proofErr w:type="spellStart"/>
      <w:r w:rsidRPr="00D42316">
        <w:t>contribution</w:t>
      </w:r>
      <w:proofErr w:type="spellEnd"/>
      <w:r w:rsidRPr="00D42316">
        <w:t xml:space="preserve"> of </w:t>
      </w:r>
      <w:proofErr w:type="spellStart"/>
      <w:r w:rsidRPr="00D42316">
        <w:t>five</w:t>
      </w:r>
      <w:proofErr w:type="spellEnd"/>
      <w:r w:rsidRPr="00D42316">
        <w:t xml:space="preserve"> </w:t>
      </w:r>
      <w:proofErr w:type="spellStart"/>
      <w:r w:rsidRPr="00D42316">
        <w:t>major</w:t>
      </w:r>
      <w:proofErr w:type="spellEnd"/>
      <w:r w:rsidRPr="00D42316">
        <w:t xml:space="preserve"> </w:t>
      </w:r>
      <w:proofErr w:type="spellStart"/>
      <w:r w:rsidRPr="00D42316">
        <w:t>banks</w:t>
      </w:r>
      <w:proofErr w:type="spellEnd"/>
      <w:r w:rsidRPr="00D42316">
        <w:t xml:space="preserve"> in </w:t>
      </w:r>
      <w:proofErr w:type="spellStart"/>
      <w:r w:rsidRPr="00D42316">
        <w:t>Turkey</w:t>
      </w:r>
      <w:proofErr w:type="spellEnd"/>
      <w:r w:rsidRPr="00D42316">
        <w:t xml:space="preserve"> </w:t>
      </w:r>
      <w:proofErr w:type="spellStart"/>
      <w:r w:rsidRPr="00D42316">
        <w:t>to</w:t>
      </w:r>
      <w:proofErr w:type="spellEnd"/>
      <w:r w:rsidRPr="00D42316">
        <w:t xml:space="preserve"> </w:t>
      </w:r>
      <w:proofErr w:type="spellStart"/>
      <w:r w:rsidRPr="00D42316">
        <w:t>SDGs</w:t>
      </w:r>
      <w:proofErr w:type="spellEnd"/>
      <w:r w:rsidRPr="00D42316">
        <w:t xml:space="preserve">. </w:t>
      </w:r>
      <w:proofErr w:type="spellStart"/>
      <w:r w:rsidRPr="00D42316">
        <w:t>In</w:t>
      </w:r>
      <w:proofErr w:type="spellEnd"/>
      <w:r w:rsidRPr="00D42316">
        <w:t xml:space="preserve"> </w:t>
      </w:r>
      <w:proofErr w:type="spellStart"/>
      <w:r w:rsidRPr="00D42316">
        <w:t>line</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w:t>
      </w:r>
      <w:proofErr w:type="spellStart"/>
      <w:r w:rsidRPr="00D42316">
        <w:t>aim</w:t>
      </w:r>
      <w:proofErr w:type="spellEnd"/>
      <w:r w:rsidRPr="00D42316">
        <w:t xml:space="preserve"> of </w:t>
      </w:r>
      <w:proofErr w:type="spellStart"/>
      <w:r w:rsidRPr="00D42316">
        <w:t>the</w:t>
      </w:r>
      <w:proofErr w:type="spellEnd"/>
      <w:r w:rsidRPr="00D42316">
        <w:t xml:space="preserve"> </w:t>
      </w:r>
      <w:proofErr w:type="spellStart"/>
      <w:r w:rsidRPr="00D42316">
        <w:t>study</w:t>
      </w:r>
      <w:proofErr w:type="spellEnd"/>
      <w:r w:rsidRPr="00D42316">
        <w:t xml:space="preserve">, a </w:t>
      </w:r>
      <w:proofErr w:type="spellStart"/>
      <w:r w:rsidRPr="00D42316">
        <w:t>research</w:t>
      </w:r>
      <w:proofErr w:type="spellEnd"/>
      <w:r w:rsidRPr="00D42316">
        <w:t xml:space="preserve"> </w:t>
      </w:r>
      <w:proofErr w:type="spellStart"/>
      <w:r w:rsidRPr="00D42316">
        <w:t>was</w:t>
      </w:r>
      <w:proofErr w:type="spellEnd"/>
      <w:r w:rsidRPr="00D42316">
        <w:t xml:space="preserve"> </w:t>
      </w:r>
      <w:proofErr w:type="spellStart"/>
      <w:r w:rsidRPr="00D42316">
        <w:t>conducted</w:t>
      </w:r>
      <w:proofErr w:type="spellEnd"/>
      <w:r w:rsidRPr="00D42316">
        <w:t xml:space="preserve"> on </w:t>
      </w:r>
      <w:proofErr w:type="spellStart"/>
      <w:r w:rsidRPr="00D42316">
        <w:t>the</w:t>
      </w:r>
      <w:proofErr w:type="spellEnd"/>
      <w:r w:rsidRPr="00D42316">
        <w:t xml:space="preserve"> </w:t>
      </w:r>
      <w:proofErr w:type="spellStart"/>
      <w:r w:rsidRPr="00D42316">
        <w:t>integrated</w:t>
      </w:r>
      <w:proofErr w:type="spellEnd"/>
      <w:r w:rsidRPr="00D42316">
        <w:t xml:space="preserve"> </w:t>
      </w:r>
      <w:proofErr w:type="spellStart"/>
      <w:r w:rsidRPr="00D42316">
        <w:t>reports</w:t>
      </w:r>
      <w:proofErr w:type="spellEnd"/>
      <w:r w:rsidRPr="00D42316">
        <w:t xml:space="preserve"> </w:t>
      </w:r>
      <w:proofErr w:type="spellStart"/>
      <w:r w:rsidRPr="00D42316">
        <w:t>for</w:t>
      </w:r>
      <w:proofErr w:type="spellEnd"/>
      <w:r w:rsidRPr="00D42316">
        <w:t xml:space="preserve"> </w:t>
      </w:r>
      <w:proofErr w:type="spellStart"/>
      <w:r w:rsidRPr="00D42316">
        <w:t>the</w:t>
      </w:r>
      <w:proofErr w:type="spellEnd"/>
      <w:r w:rsidRPr="00D42316">
        <w:t xml:space="preserve"> </w:t>
      </w:r>
      <w:proofErr w:type="spellStart"/>
      <w:r w:rsidRPr="00D42316">
        <w:t>years</w:t>
      </w:r>
      <w:proofErr w:type="spellEnd"/>
      <w:r w:rsidRPr="00D42316">
        <w:t xml:space="preserve"> 2021, 2022 </w:t>
      </w:r>
      <w:proofErr w:type="spellStart"/>
      <w:r w:rsidRPr="00D42316">
        <w:t>and</w:t>
      </w:r>
      <w:proofErr w:type="spellEnd"/>
      <w:r w:rsidRPr="00D42316">
        <w:t xml:space="preserve"> 2023 of </w:t>
      </w:r>
      <w:proofErr w:type="spellStart"/>
      <w:r w:rsidRPr="00D42316">
        <w:t>the</w:t>
      </w:r>
      <w:proofErr w:type="spellEnd"/>
      <w:r w:rsidRPr="00D42316">
        <w:t xml:space="preserve"> </w:t>
      </w:r>
      <w:proofErr w:type="spellStart"/>
      <w:r w:rsidRPr="00D42316">
        <w:t>banks</w:t>
      </w:r>
      <w:proofErr w:type="spellEnd"/>
      <w:r w:rsidRPr="00D42316">
        <w:t xml:space="preserve">, </w:t>
      </w:r>
      <w:proofErr w:type="spellStart"/>
      <w:r w:rsidRPr="00D42316">
        <w:t>which</w:t>
      </w:r>
      <w:proofErr w:type="spellEnd"/>
      <w:r w:rsidRPr="00D42316">
        <w:t xml:space="preserve"> </w:t>
      </w:r>
      <w:proofErr w:type="spellStart"/>
      <w:r w:rsidRPr="00D42316">
        <w:t>are</w:t>
      </w:r>
      <w:proofErr w:type="spellEnd"/>
      <w:r w:rsidRPr="00D42316">
        <w:t xml:space="preserve"> </w:t>
      </w:r>
      <w:proofErr w:type="spellStart"/>
      <w:r w:rsidRPr="00D42316">
        <w:t>considered</w:t>
      </w:r>
      <w:proofErr w:type="spellEnd"/>
      <w:r w:rsidRPr="00D42316">
        <w:t xml:space="preserve"> as </w:t>
      </w:r>
      <w:proofErr w:type="spellStart"/>
      <w:r w:rsidRPr="00D42316">
        <w:t>the</w:t>
      </w:r>
      <w:proofErr w:type="spellEnd"/>
      <w:r w:rsidRPr="00D42316">
        <w:t xml:space="preserve"> </w:t>
      </w:r>
      <w:proofErr w:type="spellStart"/>
      <w:r w:rsidRPr="00D42316">
        <w:t>Big</w:t>
      </w:r>
      <w:proofErr w:type="spellEnd"/>
      <w:r w:rsidRPr="00D42316">
        <w:t xml:space="preserve"> 5 </w:t>
      </w:r>
      <w:proofErr w:type="spellStart"/>
      <w:r w:rsidRPr="00D42316">
        <w:t>for</w:t>
      </w:r>
      <w:proofErr w:type="spellEnd"/>
      <w:r w:rsidRPr="00D42316">
        <w:t xml:space="preserve"> 2024 </w:t>
      </w:r>
      <w:proofErr w:type="spellStart"/>
      <w:r w:rsidRPr="00D42316">
        <w:t>according</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BDDK </w:t>
      </w:r>
      <w:proofErr w:type="gramStart"/>
      <w:r w:rsidRPr="00D42316">
        <w:t>data</w:t>
      </w:r>
      <w:proofErr w:type="gramEnd"/>
      <w:r w:rsidRPr="00D42316">
        <w:t xml:space="preserve">. </w:t>
      </w:r>
      <w:proofErr w:type="spellStart"/>
      <w:r w:rsidRPr="00D42316">
        <w:t>The</w:t>
      </w:r>
      <w:proofErr w:type="spellEnd"/>
      <w:r w:rsidRPr="00D42316">
        <w:t xml:space="preserve"> </w:t>
      </w:r>
      <w:proofErr w:type="spellStart"/>
      <w:r w:rsidRPr="00D42316">
        <w:t>reports</w:t>
      </w:r>
      <w:proofErr w:type="spellEnd"/>
      <w:r w:rsidRPr="00D42316">
        <w:t xml:space="preserve"> of </w:t>
      </w:r>
      <w:proofErr w:type="spellStart"/>
      <w:r w:rsidRPr="00D42316">
        <w:t>the</w:t>
      </w:r>
      <w:proofErr w:type="spellEnd"/>
      <w:r w:rsidRPr="00D42316">
        <w:t xml:space="preserve"> </w:t>
      </w:r>
      <w:proofErr w:type="spellStart"/>
      <w:r w:rsidRPr="00D42316">
        <w:t>banks</w:t>
      </w:r>
      <w:proofErr w:type="spellEnd"/>
      <w:r w:rsidRPr="00D42316">
        <w:t xml:space="preserve"> </w:t>
      </w:r>
      <w:proofErr w:type="spellStart"/>
      <w:r w:rsidRPr="00D42316">
        <w:t>were</w:t>
      </w:r>
      <w:proofErr w:type="spellEnd"/>
      <w:r w:rsidRPr="00D42316">
        <w:t xml:space="preserve"> </w:t>
      </w:r>
      <w:proofErr w:type="spellStart"/>
      <w:r w:rsidRPr="00D42316">
        <w:t>obtained</w:t>
      </w:r>
      <w:proofErr w:type="spellEnd"/>
      <w:r w:rsidRPr="00D42316">
        <w:t xml:space="preserve"> </w:t>
      </w:r>
      <w:proofErr w:type="spellStart"/>
      <w:r w:rsidRPr="00D42316">
        <w:t>from</w:t>
      </w:r>
      <w:proofErr w:type="spellEnd"/>
      <w:r w:rsidRPr="00D42316">
        <w:t xml:space="preserve"> </w:t>
      </w:r>
      <w:proofErr w:type="spellStart"/>
      <w:r w:rsidRPr="00D42316">
        <w:t>their</w:t>
      </w:r>
      <w:proofErr w:type="spellEnd"/>
      <w:r w:rsidRPr="00D42316">
        <w:t xml:space="preserve"> </w:t>
      </w:r>
      <w:proofErr w:type="spellStart"/>
      <w:r w:rsidRPr="00D42316">
        <w:t>websites</w:t>
      </w:r>
      <w:proofErr w:type="spellEnd"/>
      <w:r w:rsidRPr="00D42316">
        <w:t xml:space="preserve">. </w:t>
      </w:r>
      <w:proofErr w:type="spellStart"/>
      <w:r w:rsidRPr="00D42316">
        <w:t>In</w:t>
      </w:r>
      <w:proofErr w:type="spellEnd"/>
      <w:r w:rsidRPr="00D42316">
        <w:t xml:space="preserve"> </w:t>
      </w:r>
      <w:proofErr w:type="spellStart"/>
      <w:r w:rsidRPr="00D42316">
        <w:t>order</w:t>
      </w:r>
      <w:proofErr w:type="spellEnd"/>
      <w:r w:rsidRPr="00D42316">
        <w:t xml:space="preserve"> </w:t>
      </w:r>
      <w:proofErr w:type="spellStart"/>
      <w:r w:rsidRPr="00D42316">
        <w:t>to</w:t>
      </w:r>
      <w:proofErr w:type="spellEnd"/>
      <w:r w:rsidRPr="00D42316">
        <w:t xml:space="preserve"> </w:t>
      </w:r>
      <w:proofErr w:type="spellStart"/>
      <w:r w:rsidRPr="00D42316">
        <w:t>determine</w:t>
      </w:r>
      <w:proofErr w:type="spellEnd"/>
      <w:r w:rsidRPr="00D42316">
        <w:t xml:space="preserve"> </w:t>
      </w:r>
      <w:proofErr w:type="spellStart"/>
      <w:r w:rsidRPr="00D42316">
        <w:t>the</w:t>
      </w:r>
      <w:proofErr w:type="spellEnd"/>
      <w:r w:rsidRPr="00D42316">
        <w:t xml:space="preserve"> </w:t>
      </w:r>
      <w:proofErr w:type="spellStart"/>
      <w:r w:rsidRPr="00D42316">
        <w:t>contribution</w:t>
      </w:r>
      <w:proofErr w:type="spellEnd"/>
      <w:r w:rsidRPr="00D42316">
        <w:t xml:space="preserve"> of </w:t>
      </w:r>
      <w:proofErr w:type="spellStart"/>
      <w:r w:rsidRPr="00D42316">
        <w:t>banks</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SDGs</w:t>
      </w:r>
      <w:proofErr w:type="spellEnd"/>
      <w:r w:rsidRPr="00D42316">
        <w:t xml:space="preserve">, </w:t>
      </w:r>
      <w:proofErr w:type="spellStart"/>
      <w:r w:rsidRPr="00D42316">
        <w:t>content</w:t>
      </w:r>
      <w:proofErr w:type="spellEnd"/>
      <w:r w:rsidRPr="00D42316">
        <w:t xml:space="preserve"> </w:t>
      </w:r>
      <w:proofErr w:type="spellStart"/>
      <w:r w:rsidRPr="00D42316">
        <w:t>analysis</w:t>
      </w:r>
      <w:proofErr w:type="spellEnd"/>
      <w:r w:rsidRPr="00D42316">
        <w:t xml:space="preserve"> </w:t>
      </w:r>
      <w:proofErr w:type="spellStart"/>
      <w:r w:rsidRPr="00D42316">
        <w:t>was</w:t>
      </w:r>
      <w:proofErr w:type="spellEnd"/>
      <w:r w:rsidRPr="00D42316">
        <w:t xml:space="preserve"> </w:t>
      </w:r>
      <w:proofErr w:type="spellStart"/>
      <w:r w:rsidRPr="00D42316">
        <w:t>used</w:t>
      </w:r>
      <w:proofErr w:type="spellEnd"/>
      <w:r w:rsidRPr="00D42316">
        <w:t xml:space="preserve"> </w:t>
      </w:r>
      <w:proofErr w:type="spellStart"/>
      <w:r w:rsidRPr="00D42316">
        <w:t>together</w:t>
      </w:r>
      <w:proofErr w:type="spellEnd"/>
      <w:r w:rsidRPr="00D42316">
        <w:t xml:space="preserve"> </w:t>
      </w:r>
      <w:proofErr w:type="spellStart"/>
      <w:r w:rsidRPr="00D42316">
        <w:t>with</w:t>
      </w:r>
      <w:proofErr w:type="spellEnd"/>
      <w:r w:rsidRPr="00D42316">
        <w:t xml:space="preserve"> </w:t>
      </w:r>
      <w:proofErr w:type="spellStart"/>
      <w:r w:rsidRPr="00D42316">
        <w:t>document</w:t>
      </w:r>
      <w:proofErr w:type="spellEnd"/>
      <w:r w:rsidRPr="00D42316">
        <w:t xml:space="preserve"> </w:t>
      </w:r>
      <w:proofErr w:type="spellStart"/>
      <w:r w:rsidRPr="00D42316">
        <w:t>analysis</w:t>
      </w:r>
      <w:proofErr w:type="spellEnd"/>
      <w:r w:rsidRPr="00D42316">
        <w:t xml:space="preserve">, </w:t>
      </w:r>
      <w:proofErr w:type="spellStart"/>
      <w:r w:rsidRPr="00D42316">
        <w:t>one</w:t>
      </w:r>
      <w:proofErr w:type="spellEnd"/>
      <w:r w:rsidRPr="00D42316">
        <w:t xml:space="preserve"> of </w:t>
      </w:r>
      <w:proofErr w:type="spellStart"/>
      <w:r w:rsidRPr="00D42316">
        <w:t>the</w:t>
      </w:r>
      <w:proofErr w:type="spellEnd"/>
      <w:r w:rsidRPr="00D42316">
        <w:t xml:space="preserve"> </w:t>
      </w:r>
      <w:proofErr w:type="spellStart"/>
      <w:r w:rsidRPr="00D42316">
        <w:t>qualitative</w:t>
      </w:r>
      <w:proofErr w:type="spellEnd"/>
      <w:r w:rsidRPr="00D42316">
        <w:t xml:space="preserve"> </w:t>
      </w:r>
      <w:proofErr w:type="spellStart"/>
      <w:r w:rsidRPr="00D42316">
        <w:t>research</w:t>
      </w:r>
      <w:proofErr w:type="spellEnd"/>
      <w:r w:rsidRPr="00D42316">
        <w:t xml:space="preserve"> </w:t>
      </w:r>
      <w:proofErr w:type="spellStart"/>
      <w:r w:rsidRPr="00D42316">
        <w:t>methods</w:t>
      </w:r>
      <w:proofErr w:type="spellEnd"/>
      <w:r w:rsidRPr="00D42316">
        <w:t xml:space="preserve">. </w:t>
      </w:r>
      <w:proofErr w:type="spellStart"/>
      <w:r w:rsidRPr="00D42316">
        <w:t>The</w:t>
      </w:r>
      <w:proofErr w:type="spellEnd"/>
      <w:r w:rsidRPr="00D42316">
        <w:t xml:space="preserve"> </w:t>
      </w:r>
      <w:proofErr w:type="spellStart"/>
      <w:r w:rsidRPr="00D42316">
        <w:t>banks</w:t>
      </w:r>
      <w:proofErr w:type="spellEnd"/>
      <w:r w:rsidRPr="00D42316">
        <w:t xml:space="preserve"> </w:t>
      </w:r>
      <w:proofErr w:type="spellStart"/>
      <w:r w:rsidRPr="00D42316">
        <w:t>whose</w:t>
      </w:r>
      <w:proofErr w:type="spellEnd"/>
      <w:r w:rsidRPr="00D42316">
        <w:t xml:space="preserve"> </w:t>
      </w:r>
      <w:proofErr w:type="gramStart"/>
      <w:r w:rsidRPr="00D42316">
        <w:t>data</w:t>
      </w:r>
      <w:proofErr w:type="gramEnd"/>
      <w:r w:rsidRPr="00D42316">
        <w:t xml:space="preserve"> </w:t>
      </w:r>
      <w:proofErr w:type="spellStart"/>
      <w:r w:rsidRPr="00D42316">
        <w:t>were</w:t>
      </w:r>
      <w:proofErr w:type="spellEnd"/>
      <w:r w:rsidRPr="00D42316">
        <w:t xml:space="preserve"> </w:t>
      </w:r>
      <w:proofErr w:type="spellStart"/>
      <w:r w:rsidRPr="00D42316">
        <w:t>analysed</w:t>
      </w:r>
      <w:proofErr w:type="spellEnd"/>
      <w:r w:rsidRPr="00D42316">
        <w:t xml:space="preserve"> in </w:t>
      </w:r>
      <w:proofErr w:type="spellStart"/>
      <w:r w:rsidRPr="00D42316">
        <w:t>the</w:t>
      </w:r>
      <w:proofErr w:type="spellEnd"/>
      <w:r w:rsidRPr="00D42316">
        <w:t xml:space="preserve"> </w:t>
      </w:r>
      <w:proofErr w:type="spellStart"/>
      <w:r w:rsidRPr="00D42316">
        <w:t>study</w:t>
      </w:r>
      <w:proofErr w:type="spellEnd"/>
      <w:r w:rsidRPr="00D42316">
        <w:t xml:space="preserve"> </w:t>
      </w:r>
      <w:proofErr w:type="spellStart"/>
      <w:r w:rsidRPr="00D42316">
        <w:t>are</w:t>
      </w:r>
      <w:proofErr w:type="spellEnd"/>
      <w:r w:rsidRPr="00D42316">
        <w:t xml:space="preserve"> Ziraat Bank, Vakıfbank, Halk Bank, Garanti BBVA, Yapı Kredi Bank. As a </w:t>
      </w:r>
      <w:proofErr w:type="spellStart"/>
      <w:r w:rsidRPr="00D42316">
        <w:t>result</w:t>
      </w:r>
      <w:proofErr w:type="spellEnd"/>
      <w:r w:rsidRPr="00D42316">
        <w:t xml:space="preserve"> of </w:t>
      </w:r>
      <w:proofErr w:type="spellStart"/>
      <w:r w:rsidRPr="00D42316">
        <w:t>the</w:t>
      </w:r>
      <w:proofErr w:type="spellEnd"/>
      <w:r w:rsidRPr="00D42316">
        <w:t xml:space="preserve"> </w:t>
      </w:r>
      <w:proofErr w:type="spellStart"/>
      <w:r w:rsidRPr="00D42316">
        <w:t>research</w:t>
      </w:r>
      <w:proofErr w:type="spellEnd"/>
      <w:r w:rsidRPr="00D42316">
        <w:t xml:space="preserve">, Garanti BBVA </w:t>
      </w:r>
      <w:proofErr w:type="spellStart"/>
      <w:r w:rsidRPr="00D42316">
        <w:t>made</w:t>
      </w:r>
      <w:proofErr w:type="spellEnd"/>
      <w:r w:rsidRPr="00D42316">
        <w:t xml:space="preserve"> </w:t>
      </w:r>
      <w:proofErr w:type="spellStart"/>
      <w:r w:rsidRPr="00D42316">
        <w:t>the</w:t>
      </w:r>
      <w:proofErr w:type="spellEnd"/>
      <w:r w:rsidRPr="00D42316">
        <w:t xml:space="preserve"> </w:t>
      </w:r>
      <w:proofErr w:type="spellStart"/>
      <w:r w:rsidRPr="00D42316">
        <w:t>most</w:t>
      </w:r>
      <w:proofErr w:type="spellEnd"/>
      <w:r w:rsidRPr="00D42316">
        <w:t xml:space="preserve"> SDG </w:t>
      </w:r>
      <w:proofErr w:type="spellStart"/>
      <w:r w:rsidRPr="00D42316">
        <w:t>contributions</w:t>
      </w:r>
      <w:proofErr w:type="spellEnd"/>
      <w:r w:rsidRPr="00D42316">
        <w:t xml:space="preserve"> in </w:t>
      </w:r>
      <w:proofErr w:type="spellStart"/>
      <w:r w:rsidRPr="00D42316">
        <w:t>its</w:t>
      </w:r>
      <w:proofErr w:type="spellEnd"/>
      <w:r w:rsidRPr="00D42316">
        <w:t xml:space="preserve"> </w:t>
      </w:r>
      <w:proofErr w:type="spellStart"/>
      <w:r w:rsidRPr="00D42316">
        <w:t>integrated</w:t>
      </w:r>
      <w:proofErr w:type="spellEnd"/>
      <w:r w:rsidRPr="00D42316">
        <w:t xml:space="preserve"> </w:t>
      </w:r>
      <w:proofErr w:type="spellStart"/>
      <w:r w:rsidRPr="00D42316">
        <w:t>reports</w:t>
      </w:r>
      <w:proofErr w:type="spellEnd"/>
      <w:r w:rsidRPr="00D42316">
        <w:t xml:space="preserve"> in </w:t>
      </w:r>
      <w:proofErr w:type="spellStart"/>
      <w:r w:rsidRPr="00D42316">
        <w:t>all</w:t>
      </w:r>
      <w:proofErr w:type="spellEnd"/>
      <w:r w:rsidRPr="00D42316">
        <w:t xml:space="preserve"> </w:t>
      </w:r>
      <w:proofErr w:type="spellStart"/>
      <w:r w:rsidRPr="00D42316">
        <w:t>three</w:t>
      </w:r>
      <w:proofErr w:type="spellEnd"/>
      <w:r w:rsidRPr="00D42316">
        <w:t xml:space="preserve"> </w:t>
      </w:r>
      <w:proofErr w:type="spellStart"/>
      <w:r w:rsidRPr="00D42316">
        <w:t>years</w:t>
      </w:r>
      <w:proofErr w:type="spellEnd"/>
      <w:r w:rsidRPr="00D42316">
        <w:t xml:space="preserve">, </w:t>
      </w:r>
      <w:proofErr w:type="spellStart"/>
      <w:r w:rsidRPr="00D42316">
        <w:t>while</w:t>
      </w:r>
      <w:proofErr w:type="spellEnd"/>
      <w:r w:rsidRPr="00D42316">
        <w:t xml:space="preserve"> Vakıfbank </w:t>
      </w:r>
      <w:proofErr w:type="spellStart"/>
      <w:r w:rsidRPr="00D42316">
        <w:t>made</w:t>
      </w:r>
      <w:proofErr w:type="spellEnd"/>
      <w:r w:rsidRPr="00D42316">
        <w:t xml:space="preserve"> </w:t>
      </w:r>
      <w:proofErr w:type="spellStart"/>
      <w:r w:rsidRPr="00D42316">
        <w:t>the</w:t>
      </w:r>
      <w:proofErr w:type="spellEnd"/>
      <w:r w:rsidRPr="00D42316">
        <w:t xml:space="preserve"> </w:t>
      </w:r>
      <w:proofErr w:type="spellStart"/>
      <w:r w:rsidRPr="00D42316">
        <w:t>least</w:t>
      </w:r>
      <w:proofErr w:type="spellEnd"/>
      <w:r w:rsidRPr="00D42316">
        <w:t xml:space="preserve"> SDG </w:t>
      </w:r>
      <w:proofErr w:type="spellStart"/>
      <w:r w:rsidRPr="00D42316">
        <w:t>disclosures</w:t>
      </w:r>
      <w:proofErr w:type="spellEnd"/>
      <w:r w:rsidRPr="00D42316">
        <w:t xml:space="preserve">. </w:t>
      </w:r>
      <w:proofErr w:type="spellStart"/>
      <w:r w:rsidRPr="00D42316">
        <w:t>In</w:t>
      </w:r>
      <w:proofErr w:type="spellEnd"/>
      <w:r w:rsidRPr="00D42316">
        <w:t xml:space="preserve"> </w:t>
      </w:r>
      <w:proofErr w:type="spellStart"/>
      <w:r w:rsidRPr="00D42316">
        <w:t>the</w:t>
      </w:r>
      <w:proofErr w:type="spellEnd"/>
      <w:r w:rsidRPr="00D42316">
        <w:t xml:space="preserve"> </w:t>
      </w:r>
      <w:proofErr w:type="spellStart"/>
      <w:r w:rsidRPr="00D42316">
        <w:t>period</w:t>
      </w:r>
      <w:proofErr w:type="spellEnd"/>
      <w:r w:rsidRPr="00D42316">
        <w:t xml:space="preserve"> </w:t>
      </w:r>
      <w:proofErr w:type="spellStart"/>
      <w:r w:rsidRPr="00D42316">
        <w:t>analysed</w:t>
      </w:r>
      <w:proofErr w:type="spellEnd"/>
      <w:r w:rsidRPr="00D42316">
        <w:t xml:space="preserve">, </w:t>
      </w:r>
      <w:proofErr w:type="spellStart"/>
      <w:r w:rsidRPr="00D42316">
        <w:t>the</w:t>
      </w:r>
      <w:proofErr w:type="spellEnd"/>
      <w:r w:rsidRPr="00D42316">
        <w:t xml:space="preserve"> </w:t>
      </w:r>
      <w:proofErr w:type="spellStart"/>
      <w:r w:rsidRPr="00D42316">
        <w:t>number</w:t>
      </w:r>
      <w:proofErr w:type="spellEnd"/>
      <w:r w:rsidRPr="00D42316">
        <w:t xml:space="preserve"> of </w:t>
      </w:r>
      <w:proofErr w:type="spellStart"/>
      <w:r w:rsidRPr="00D42316">
        <w:t>SDGs</w:t>
      </w:r>
      <w:proofErr w:type="spellEnd"/>
      <w:r w:rsidRPr="00D42316">
        <w:t xml:space="preserve"> </w:t>
      </w:r>
      <w:proofErr w:type="spellStart"/>
      <w:r w:rsidRPr="00D42316">
        <w:t>contributed</w:t>
      </w:r>
      <w:proofErr w:type="spellEnd"/>
      <w:r w:rsidRPr="00D42316">
        <w:t xml:space="preserve"> </w:t>
      </w:r>
      <w:proofErr w:type="spellStart"/>
      <w:r w:rsidRPr="00D42316">
        <w:t>by</w:t>
      </w:r>
      <w:proofErr w:type="spellEnd"/>
      <w:r w:rsidRPr="00D42316">
        <w:t xml:space="preserve"> Ziraat Bank </w:t>
      </w:r>
      <w:proofErr w:type="spellStart"/>
      <w:r w:rsidRPr="00D42316">
        <w:t>was</w:t>
      </w:r>
      <w:proofErr w:type="spellEnd"/>
      <w:r w:rsidRPr="00D42316">
        <w:t xml:space="preserve"> 14 in 2021 </w:t>
      </w:r>
      <w:proofErr w:type="spellStart"/>
      <w:r w:rsidRPr="00D42316">
        <w:t>and</w:t>
      </w:r>
      <w:proofErr w:type="spellEnd"/>
      <w:r w:rsidRPr="00D42316">
        <w:t xml:space="preserve"> 2022, </w:t>
      </w:r>
      <w:proofErr w:type="spellStart"/>
      <w:r w:rsidRPr="00D42316">
        <w:t>and</w:t>
      </w:r>
      <w:proofErr w:type="spellEnd"/>
      <w:r w:rsidRPr="00D42316">
        <w:t xml:space="preserve"> 9 in 2023. </w:t>
      </w:r>
      <w:proofErr w:type="spellStart"/>
      <w:r w:rsidRPr="00D42316">
        <w:t>While</w:t>
      </w:r>
      <w:proofErr w:type="spellEnd"/>
      <w:r w:rsidRPr="00D42316">
        <w:t xml:space="preserve"> </w:t>
      </w:r>
      <w:proofErr w:type="spellStart"/>
      <w:r w:rsidRPr="00D42316">
        <w:t>the</w:t>
      </w:r>
      <w:proofErr w:type="spellEnd"/>
      <w:r w:rsidRPr="00D42316">
        <w:t xml:space="preserve"> </w:t>
      </w:r>
      <w:proofErr w:type="spellStart"/>
      <w:r w:rsidRPr="00D42316">
        <w:t>number</w:t>
      </w:r>
      <w:proofErr w:type="spellEnd"/>
      <w:r w:rsidRPr="00D42316">
        <w:t xml:space="preserve"> of </w:t>
      </w:r>
      <w:proofErr w:type="spellStart"/>
      <w:r w:rsidRPr="00D42316">
        <w:t>SDGs</w:t>
      </w:r>
      <w:proofErr w:type="spellEnd"/>
      <w:r w:rsidRPr="00D42316">
        <w:t xml:space="preserve"> </w:t>
      </w:r>
      <w:proofErr w:type="spellStart"/>
      <w:r w:rsidRPr="00D42316">
        <w:t>contributed</w:t>
      </w:r>
      <w:proofErr w:type="spellEnd"/>
      <w:r w:rsidRPr="00D42316">
        <w:t xml:space="preserve"> </w:t>
      </w:r>
      <w:proofErr w:type="spellStart"/>
      <w:r w:rsidRPr="00D42316">
        <w:t>by</w:t>
      </w:r>
      <w:proofErr w:type="spellEnd"/>
      <w:r w:rsidRPr="00D42316">
        <w:t xml:space="preserve"> Vakıfbank </w:t>
      </w:r>
      <w:proofErr w:type="spellStart"/>
      <w:r w:rsidRPr="00D42316">
        <w:t>and</w:t>
      </w:r>
      <w:proofErr w:type="spellEnd"/>
      <w:r w:rsidRPr="00D42316">
        <w:t xml:space="preserve"> Garanti BBVA </w:t>
      </w:r>
      <w:proofErr w:type="spellStart"/>
      <w:r w:rsidRPr="00D42316">
        <w:t>was</w:t>
      </w:r>
      <w:proofErr w:type="spellEnd"/>
      <w:r w:rsidRPr="00D42316">
        <w:t xml:space="preserve"> 5 </w:t>
      </w:r>
      <w:proofErr w:type="spellStart"/>
      <w:r w:rsidRPr="00D42316">
        <w:t>and</w:t>
      </w:r>
      <w:proofErr w:type="spellEnd"/>
      <w:r w:rsidRPr="00D42316">
        <w:t xml:space="preserve"> 16 in 2021, </w:t>
      </w:r>
      <w:proofErr w:type="spellStart"/>
      <w:r w:rsidRPr="00D42316">
        <w:t>respectively</w:t>
      </w:r>
      <w:proofErr w:type="spellEnd"/>
      <w:r w:rsidRPr="00D42316">
        <w:t xml:space="preserve">, it </w:t>
      </w:r>
      <w:proofErr w:type="spellStart"/>
      <w:r w:rsidRPr="00D42316">
        <w:t>increased</w:t>
      </w:r>
      <w:proofErr w:type="spellEnd"/>
      <w:r w:rsidRPr="00D42316">
        <w:t xml:space="preserve"> </w:t>
      </w:r>
      <w:proofErr w:type="spellStart"/>
      <w:r w:rsidRPr="00D42316">
        <w:t>to</w:t>
      </w:r>
      <w:proofErr w:type="spellEnd"/>
      <w:r w:rsidRPr="00D42316">
        <w:t xml:space="preserve"> 7 </w:t>
      </w:r>
      <w:proofErr w:type="spellStart"/>
      <w:r w:rsidRPr="00D42316">
        <w:t>and</w:t>
      </w:r>
      <w:proofErr w:type="spellEnd"/>
      <w:r w:rsidRPr="00D42316">
        <w:t xml:space="preserve"> 17 in 2022 </w:t>
      </w:r>
      <w:proofErr w:type="spellStart"/>
      <w:r w:rsidRPr="00D42316">
        <w:t>and</w:t>
      </w:r>
      <w:proofErr w:type="spellEnd"/>
      <w:r w:rsidRPr="00D42316">
        <w:t xml:space="preserve"> 2023. </w:t>
      </w:r>
      <w:proofErr w:type="spellStart"/>
      <w:r w:rsidRPr="00D42316">
        <w:t>The</w:t>
      </w:r>
      <w:proofErr w:type="spellEnd"/>
      <w:r w:rsidRPr="00D42316">
        <w:t xml:space="preserve"> </w:t>
      </w:r>
      <w:proofErr w:type="spellStart"/>
      <w:r w:rsidRPr="00D42316">
        <w:t>SDGs</w:t>
      </w:r>
      <w:proofErr w:type="spellEnd"/>
      <w:r w:rsidRPr="00D42316">
        <w:t xml:space="preserve"> </w:t>
      </w:r>
      <w:proofErr w:type="spellStart"/>
      <w:r w:rsidRPr="00D42316">
        <w:t>to</w:t>
      </w:r>
      <w:proofErr w:type="spellEnd"/>
      <w:r w:rsidRPr="00D42316">
        <w:t xml:space="preserve"> </w:t>
      </w:r>
      <w:proofErr w:type="spellStart"/>
      <w:r w:rsidRPr="00D42316">
        <w:t>which</w:t>
      </w:r>
      <w:proofErr w:type="spellEnd"/>
      <w:r w:rsidRPr="00D42316">
        <w:t xml:space="preserve"> </w:t>
      </w:r>
      <w:proofErr w:type="spellStart"/>
      <w:r w:rsidRPr="00D42316">
        <w:t>banks</w:t>
      </w:r>
      <w:proofErr w:type="spellEnd"/>
      <w:r w:rsidRPr="00D42316">
        <w:t xml:space="preserve"> </w:t>
      </w:r>
      <w:proofErr w:type="spellStart"/>
      <w:r w:rsidRPr="00D42316">
        <w:t>contributed</w:t>
      </w:r>
      <w:proofErr w:type="spellEnd"/>
      <w:r w:rsidRPr="00D42316">
        <w:t xml:space="preserve"> </w:t>
      </w:r>
      <w:proofErr w:type="spellStart"/>
      <w:r w:rsidRPr="00D42316">
        <w:t>the</w:t>
      </w:r>
      <w:proofErr w:type="spellEnd"/>
      <w:r w:rsidRPr="00D42316">
        <w:t xml:space="preserve"> </w:t>
      </w:r>
      <w:proofErr w:type="spellStart"/>
      <w:r w:rsidRPr="00D42316">
        <w:t>most</w:t>
      </w:r>
      <w:proofErr w:type="spellEnd"/>
      <w:r w:rsidRPr="00D42316">
        <w:t xml:space="preserve"> </w:t>
      </w:r>
      <w:proofErr w:type="spellStart"/>
      <w:r w:rsidRPr="00D42316">
        <w:t>were</w:t>
      </w:r>
      <w:proofErr w:type="spellEnd"/>
      <w:r w:rsidRPr="00D42316">
        <w:t xml:space="preserve"> SDG 4, SDG 5, SDG 9 in 2021; SDG 4, SDG 7, SDG 8, SDG 9, SDG 13 in 2022; </w:t>
      </w:r>
      <w:proofErr w:type="spellStart"/>
      <w:r w:rsidRPr="00D42316">
        <w:t>and</w:t>
      </w:r>
      <w:proofErr w:type="spellEnd"/>
      <w:r w:rsidRPr="00D42316">
        <w:t xml:space="preserve"> SDG 4, SDG7, SDG8, SDG 9, SDG 10 </w:t>
      </w:r>
      <w:proofErr w:type="spellStart"/>
      <w:r w:rsidRPr="00D42316">
        <w:t>and</w:t>
      </w:r>
      <w:proofErr w:type="spellEnd"/>
      <w:r w:rsidRPr="00D42316">
        <w:t xml:space="preserve"> SDG 13 in 2023. </w:t>
      </w:r>
      <w:proofErr w:type="spellStart"/>
      <w:r w:rsidRPr="00D42316">
        <w:t>When</w:t>
      </w:r>
      <w:proofErr w:type="spellEnd"/>
      <w:r w:rsidRPr="00D42316">
        <w:t xml:space="preserve"> </w:t>
      </w:r>
      <w:proofErr w:type="spellStart"/>
      <w:r w:rsidRPr="00D42316">
        <w:t>averaged</w:t>
      </w:r>
      <w:proofErr w:type="spellEnd"/>
      <w:r w:rsidRPr="00D42316">
        <w:t xml:space="preserve"> </w:t>
      </w:r>
      <w:proofErr w:type="spellStart"/>
      <w:r w:rsidRPr="00D42316">
        <w:t>over</w:t>
      </w:r>
      <w:proofErr w:type="spellEnd"/>
      <w:r w:rsidRPr="00D42316">
        <w:t xml:space="preserve"> </w:t>
      </w:r>
      <w:proofErr w:type="spellStart"/>
      <w:r w:rsidRPr="00D42316">
        <w:t>all</w:t>
      </w:r>
      <w:proofErr w:type="spellEnd"/>
      <w:r w:rsidRPr="00D42316">
        <w:t xml:space="preserve"> </w:t>
      </w:r>
      <w:proofErr w:type="spellStart"/>
      <w:r w:rsidRPr="00D42316">
        <w:t>years</w:t>
      </w:r>
      <w:proofErr w:type="spellEnd"/>
      <w:r w:rsidRPr="00D42316">
        <w:t xml:space="preserve">, </w:t>
      </w:r>
      <w:proofErr w:type="spellStart"/>
      <w:r w:rsidRPr="00D42316">
        <w:t>the</w:t>
      </w:r>
      <w:proofErr w:type="spellEnd"/>
      <w:r w:rsidRPr="00D42316">
        <w:t xml:space="preserve"> </w:t>
      </w:r>
      <w:proofErr w:type="spellStart"/>
      <w:r w:rsidRPr="00D42316">
        <w:t>SDGs</w:t>
      </w:r>
      <w:proofErr w:type="spellEnd"/>
      <w:r w:rsidRPr="00D42316">
        <w:t xml:space="preserve"> </w:t>
      </w:r>
      <w:proofErr w:type="spellStart"/>
      <w:r w:rsidRPr="00D42316">
        <w:t>to</w:t>
      </w:r>
      <w:proofErr w:type="spellEnd"/>
      <w:r w:rsidRPr="00D42316">
        <w:t xml:space="preserve"> </w:t>
      </w:r>
      <w:proofErr w:type="spellStart"/>
      <w:r w:rsidRPr="00D42316">
        <w:t>which</w:t>
      </w:r>
      <w:proofErr w:type="spellEnd"/>
      <w:r w:rsidRPr="00D42316">
        <w:t xml:space="preserve"> </w:t>
      </w:r>
      <w:proofErr w:type="spellStart"/>
      <w:r w:rsidRPr="00D42316">
        <w:t>banks</w:t>
      </w:r>
      <w:proofErr w:type="spellEnd"/>
      <w:r w:rsidRPr="00D42316">
        <w:t xml:space="preserve"> </w:t>
      </w:r>
      <w:proofErr w:type="spellStart"/>
      <w:r w:rsidRPr="00D42316">
        <w:t>contributed</w:t>
      </w:r>
      <w:proofErr w:type="spellEnd"/>
      <w:r w:rsidRPr="00D42316">
        <w:t xml:space="preserve"> </w:t>
      </w:r>
      <w:proofErr w:type="spellStart"/>
      <w:r w:rsidRPr="00D42316">
        <w:t>the</w:t>
      </w:r>
      <w:proofErr w:type="spellEnd"/>
      <w:r w:rsidRPr="00D42316">
        <w:t xml:space="preserve"> </w:t>
      </w:r>
      <w:proofErr w:type="spellStart"/>
      <w:r w:rsidRPr="00D42316">
        <w:t>most</w:t>
      </w:r>
      <w:proofErr w:type="spellEnd"/>
      <w:r w:rsidRPr="00D42316">
        <w:t xml:space="preserve"> </w:t>
      </w:r>
      <w:proofErr w:type="spellStart"/>
      <w:r w:rsidRPr="00D42316">
        <w:t>were</w:t>
      </w:r>
      <w:proofErr w:type="spellEnd"/>
      <w:r w:rsidRPr="00D42316">
        <w:t xml:space="preserve"> SDG 4 </w:t>
      </w:r>
      <w:proofErr w:type="spellStart"/>
      <w:r w:rsidRPr="00D42316">
        <w:t>Quality</w:t>
      </w:r>
      <w:proofErr w:type="spellEnd"/>
      <w:r w:rsidRPr="00D42316">
        <w:t xml:space="preserve"> </w:t>
      </w:r>
      <w:proofErr w:type="spellStart"/>
      <w:r w:rsidRPr="00D42316">
        <w:t>Education</w:t>
      </w:r>
      <w:proofErr w:type="spellEnd"/>
      <w:r w:rsidRPr="00D42316">
        <w:t xml:space="preserve"> </w:t>
      </w:r>
      <w:proofErr w:type="spellStart"/>
      <w:r w:rsidRPr="00D42316">
        <w:t>with</w:t>
      </w:r>
      <w:proofErr w:type="spellEnd"/>
      <w:r w:rsidRPr="00D42316">
        <w:t xml:space="preserve"> 9%, SDG 8 </w:t>
      </w:r>
      <w:proofErr w:type="spellStart"/>
      <w:r w:rsidRPr="00D42316">
        <w:t>Decent</w:t>
      </w:r>
      <w:proofErr w:type="spellEnd"/>
      <w:r w:rsidRPr="00D42316">
        <w:t xml:space="preserve"> </w:t>
      </w:r>
      <w:proofErr w:type="spellStart"/>
      <w:r w:rsidRPr="00D42316">
        <w:t>Work</w:t>
      </w:r>
      <w:proofErr w:type="spellEnd"/>
      <w:r w:rsidRPr="00D42316">
        <w:t xml:space="preserve"> </w:t>
      </w:r>
      <w:proofErr w:type="spellStart"/>
      <w:r w:rsidRPr="00D42316">
        <w:t>and</w:t>
      </w:r>
      <w:proofErr w:type="spellEnd"/>
      <w:r w:rsidRPr="00D42316">
        <w:t xml:space="preserve"> </w:t>
      </w:r>
      <w:proofErr w:type="spellStart"/>
      <w:r w:rsidRPr="00D42316">
        <w:t>Economic</w:t>
      </w:r>
      <w:proofErr w:type="spellEnd"/>
      <w:r w:rsidRPr="00D42316">
        <w:t xml:space="preserve"> </w:t>
      </w:r>
      <w:proofErr w:type="spellStart"/>
      <w:r w:rsidRPr="00D42316">
        <w:t>Growth</w:t>
      </w:r>
      <w:proofErr w:type="spellEnd"/>
      <w:r w:rsidRPr="00D42316">
        <w:t xml:space="preserve"> </w:t>
      </w:r>
      <w:proofErr w:type="spellStart"/>
      <w:r w:rsidRPr="00D42316">
        <w:t>and</w:t>
      </w:r>
      <w:proofErr w:type="spellEnd"/>
      <w:r w:rsidRPr="00D42316">
        <w:t xml:space="preserve"> SDG 9 </w:t>
      </w:r>
      <w:proofErr w:type="spellStart"/>
      <w:r w:rsidRPr="00D42316">
        <w:t>Industry</w:t>
      </w:r>
      <w:proofErr w:type="spellEnd"/>
      <w:r w:rsidRPr="00D42316">
        <w:t xml:space="preserve">, </w:t>
      </w:r>
      <w:proofErr w:type="spellStart"/>
      <w:r w:rsidRPr="00D42316">
        <w:t>Innovation</w:t>
      </w:r>
      <w:proofErr w:type="spellEnd"/>
      <w:r w:rsidRPr="00D42316">
        <w:t xml:space="preserve"> </w:t>
      </w:r>
      <w:proofErr w:type="spellStart"/>
      <w:r w:rsidRPr="00D42316">
        <w:t>and</w:t>
      </w:r>
      <w:proofErr w:type="spellEnd"/>
      <w:r w:rsidRPr="00D42316">
        <w:t xml:space="preserve"> </w:t>
      </w:r>
      <w:proofErr w:type="spellStart"/>
      <w:r w:rsidRPr="00D42316">
        <w:t>Infrastructure</w:t>
      </w:r>
      <w:proofErr w:type="spellEnd"/>
      <w:r w:rsidRPr="00D42316">
        <w:t xml:space="preserve">. </w:t>
      </w:r>
      <w:proofErr w:type="spellStart"/>
      <w:r w:rsidRPr="00D42316">
        <w:t>It</w:t>
      </w:r>
      <w:proofErr w:type="spellEnd"/>
      <w:r w:rsidRPr="00D42316">
        <w:t xml:space="preserve"> </w:t>
      </w:r>
      <w:proofErr w:type="spellStart"/>
      <w:r w:rsidRPr="00D42316">
        <w:t>was</w:t>
      </w:r>
      <w:proofErr w:type="spellEnd"/>
      <w:r w:rsidRPr="00D42316">
        <w:t xml:space="preserve"> </w:t>
      </w:r>
      <w:proofErr w:type="spellStart"/>
      <w:r w:rsidRPr="00D42316">
        <w:t>observed</w:t>
      </w:r>
      <w:proofErr w:type="spellEnd"/>
      <w:r w:rsidRPr="00D42316">
        <w:t xml:space="preserve"> </w:t>
      </w:r>
      <w:proofErr w:type="spellStart"/>
      <w:r w:rsidRPr="00D42316">
        <w:t>that</w:t>
      </w:r>
      <w:proofErr w:type="spellEnd"/>
      <w:r w:rsidRPr="00D42316">
        <w:t xml:space="preserve"> </w:t>
      </w:r>
      <w:proofErr w:type="spellStart"/>
      <w:r w:rsidRPr="00D42316">
        <w:t>the</w:t>
      </w:r>
      <w:proofErr w:type="spellEnd"/>
      <w:r w:rsidRPr="00D42316">
        <w:t xml:space="preserve"> </w:t>
      </w:r>
      <w:proofErr w:type="spellStart"/>
      <w:r w:rsidRPr="00D42316">
        <w:t>target</w:t>
      </w:r>
      <w:proofErr w:type="spellEnd"/>
      <w:r w:rsidRPr="00D42316">
        <w:t xml:space="preserve"> </w:t>
      </w:r>
      <w:proofErr w:type="spellStart"/>
      <w:r w:rsidRPr="00D42316">
        <w:t>to</w:t>
      </w:r>
      <w:proofErr w:type="spellEnd"/>
      <w:r w:rsidRPr="00D42316">
        <w:t xml:space="preserve"> </w:t>
      </w:r>
      <w:proofErr w:type="spellStart"/>
      <w:r w:rsidRPr="00D42316">
        <w:t>which</w:t>
      </w:r>
      <w:proofErr w:type="spellEnd"/>
      <w:r w:rsidRPr="00D42316">
        <w:t xml:space="preserve"> </w:t>
      </w:r>
      <w:proofErr w:type="spellStart"/>
      <w:r w:rsidRPr="00D42316">
        <w:t>banks</w:t>
      </w:r>
      <w:proofErr w:type="spellEnd"/>
      <w:r w:rsidRPr="00D42316">
        <w:t xml:space="preserve"> </w:t>
      </w:r>
      <w:proofErr w:type="spellStart"/>
      <w:r w:rsidRPr="00D42316">
        <w:t>contributed</w:t>
      </w:r>
      <w:proofErr w:type="spellEnd"/>
      <w:r w:rsidRPr="00D42316">
        <w:t xml:space="preserve"> </w:t>
      </w:r>
      <w:proofErr w:type="spellStart"/>
      <w:r w:rsidRPr="00D42316">
        <w:t>the</w:t>
      </w:r>
      <w:proofErr w:type="spellEnd"/>
      <w:r w:rsidRPr="00D42316">
        <w:t xml:space="preserve"> </w:t>
      </w:r>
      <w:proofErr w:type="spellStart"/>
      <w:r w:rsidRPr="00D42316">
        <w:t>least</w:t>
      </w:r>
      <w:proofErr w:type="spellEnd"/>
      <w:r w:rsidRPr="00D42316">
        <w:t xml:space="preserve"> </w:t>
      </w:r>
      <w:proofErr w:type="spellStart"/>
      <w:r w:rsidRPr="00D42316">
        <w:t>with</w:t>
      </w:r>
      <w:proofErr w:type="spellEnd"/>
      <w:r w:rsidRPr="00D42316">
        <w:t xml:space="preserve"> 2% is SDG 14 Life </w:t>
      </w:r>
      <w:proofErr w:type="spellStart"/>
      <w:r w:rsidRPr="00D42316">
        <w:t>Aquatic</w:t>
      </w:r>
      <w:proofErr w:type="spellEnd"/>
      <w:r w:rsidRPr="00D42316">
        <w:t xml:space="preserve"> Life.</w:t>
      </w:r>
    </w:p>
    <w:p w14:paraId="3A2AEA44" w14:textId="77777777" w:rsidR="006779B4" w:rsidRPr="00D42316" w:rsidRDefault="006779B4" w:rsidP="003B45CB">
      <w:pPr>
        <w:jc w:val="both"/>
      </w:pPr>
    </w:p>
    <w:p w14:paraId="3145E2E5" w14:textId="7AB4C1A3" w:rsidR="00C70E93" w:rsidRDefault="00AC051C" w:rsidP="003B45CB">
      <w:pPr>
        <w:jc w:val="both"/>
      </w:pPr>
      <w:proofErr w:type="spellStart"/>
      <w:r w:rsidRPr="00D42316">
        <w:rPr>
          <w:b/>
        </w:rPr>
        <w:t>Keywords</w:t>
      </w:r>
      <w:proofErr w:type="spellEnd"/>
      <w:r w:rsidRPr="00D42316">
        <w:rPr>
          <w:b/>
        </w:rPr>
        <w:t>:</w:t>
      </w:r>
      <w:r w:rsidRPr="00D42316">
        <w:t xml:space="preserve"> </w:t>
      </w:r>
      <w:proofErr w:type="spellStart"/>
      <w:r w:rsidRPr="00D42316">
        <w:t>Banks</w:t>
      </w:r>
      <w:proofErr w:type="spellEnd"/>
      <w:r w:rsidRPr="00D42316">
        <w:t xml:space="preserve">, </w:t>
      </w:r>
      <w:proofErr w:type="spellStart"/>
      <w:r w:rsidRPr="00D42316">
        <w:t>Sustainable</w:t>
      </w:r>
      <w:proofErr w:type="spellEnd"/>
      <w:r w:rsidRPr="00D42316">
        <w:t xml:space="preserve"> Development </w:t>
      </w:r>
      <w:proofErr w:type="spellStart"/>
      <w:r w:rsidRPr="00D42316">
        <w:t>Goals</w:t>
      </w:r>
      <w:proofErr w:type="spellEnd"/>
      <w:r w:rsidRPr="00D42316">
        <w:t xml:space="preserve">, </w:t>
      </w:r>
      <w:proofErr w:type="spellStart"/>
      <w:r w:rsidRPr="00D42316">
        <w:t>Integrated</w:t>
      </w:r>
      <w:proofErr w:type="spellEnd"/>
      <w:r w:rsidRPr="00D42316">
        <w:t xml:space="preserve"> </w:t>
      </w:r>
      <w:proofErr w:type="spellStart"/>
      <w:r w:rsidRPr="00D42316">
        <w:t>Reporting</w:t>
      </w:r>
      <w:proofErr w:type="spellEnd"/>
    </w:p>
    <w:p w14:paraId="12E1CBB6" w14:textId="4CD958CF" w:rsidR="005878EB" w:rsidRPr="00C70E93" w:rsidRDefault="00C70E93" w:rsidP="003B45CB">
      <w:pPr>
        <w:autoSpaceDE/>
        <w:autoSpaceDN/>
      </w:pPr>
      <w:r>
        <w:br w:type="page"/>
      </w:r>
    </w:p>
    <w:p w14:paraId="635F30C1" w14:textId="77777777" w:rsidR="001E7189" w:rsidRDefault="001E7189" w:rsidP="004C7694">
      <w:pPr>
        <w:pStyle w:val="Tark"/>
      </w:pPr>
      <w:bookmarkStart w:id="81" w:name="_Toc192855190"/>
      <w:r>
        <w:lastRenderedPageBreak/>
        <w:t>Türkiye’de Finansal Başarısızlık Üzerine Hazırlanmış Lisansüstü Tez Çalışmalarına Yönelik Sistematik Bir İnceleme</w:t>
      </w:r>
      <w:bookmarkEnd w:id="81"/>
    </w:p>
    <w:p w14:paraId="55DE5AF7" w14:textId="77777777" w:rsidR="001E7189" w:rsidRDefault="001E7189" w:rsidP="003B45CB">
      <w:pPr>
        <w:jc w:val="center"/>
        <w:rPr>
          <w:rFonts w:eastAsia="Calibri"/>
          <w:b/>
          <w:bCs/>
        </w:rPr>
      </w:pPr>
    </w:p>
    <w:p w14:paraId="4E54A36D" w14:textId="77777777" w:rsidR="001E7189" w:rsidRDefault="001E7189" w:rsidP="003B45CB">
      <w:pPr>
        <w:jc w:val="center"/>
        <w:rPr>
          <w:rFonts w:eastAsia="Calibri"/>
        </w:rPr>
      </w:pPr>
      <w:proofErr w:type="spellStart"/>
      <w:r>
        <w:rPr>
          <w:rFonts w:eastAsia="Calibri"/>
        </w:rPr>
        <w:t>Yl</w:t>
      </w:r>
      <w:proofErr w:type="spellEnd"/>
      <w:r>
        <w:rPr>
          <w:rFonts w:eastAsia="Calibri"/>
        </w:rPr>
        <w:t xml:space="preserve">. Öğr. Raziye </w:t>
      </w:r>
      <w:proofErr w:type="spellStart"/>
      <w:r>
        <w:rPr>
          <w:rFonts w:eastAsia="Calibri"/>
        </w:rPr>
        <w:t>Alpayar</w:t>
      </w:r>
      <w:proofErr w:type="spellEnd"/>
    </w:p>
    <w:p w14:paraId="200E6371" w14:textId="77777777" w:rsidR="001E7189" w:rsidRDefault="001E7189" w:rsidP="003B45CB">
      <w:pPr>
        <w:jc w:val="center"/>
        <w:rPr>
          <w:rFonts w:eastAsia="Calibri"/>
        </w:rPr>
      </w:pPr>
      <w:r>
        <w:rPr>
          <w:rFonts w:eastAsia="Calibri"/>
        </w:rPr>
        <w:t xml:space="preserve">Sivas Cumhuriyet Üniversitesi, Sosyal Bilimler Enstitüsü, Muhasebe, Finans ve Bankacılık Anabilim Dalı,  </w:t>
      </w:r>
      <w:hyperlink r:id="rId125" w:history="1">
        <w:r>
          <w:rPr>
            <w:rStyle w:val="Kpr"/>
            <w:rFonts w:eastAsia="Calibri"/>
            <w:color w:val="0563C1"/>
          </w:rPr>
          <w:t>raziyerdogan@hotmail.com</w:t>
        </w:r>
      </w:hyperlink>
      <w:r>
        <w:rPr>
          <w:rFonts w:eastAsia="Calibri"/>
        </w:rPr>
        <w:t>, 0009-0003-0632-2465.</w:t>
      </w:r>
    </w:p>
    <w:p w14:paraId="6309AD88" w14:textId="77777777" w:rsidR="001E7189" w:rsidRDefault="001E7189" w:rsidP="003B45CB">
      <w:pPr>
        <w:jc w:val="center"/>
        <w:rPr>
          <w:rFonts w:eastAsia="Calibri"/>
        </w:rPr>
      </w:pPr>
    </w:p>
    <w:p w14:paraId="05531F30" w14:textId="77777777" w:rsidR="001E7189" w:rsidRDefault="001E7189" w:rsidP="003B45CB">
      <w:pPr>
        <w:jc w:val="center"/>
        <w:rPr>
          <w:rFonts w:eastAsia="Calibri"/>
        </w:rPr>
      </w:pPr>
      <w:r>
        <w:rPr>
          <w:rFonts w:eastAsia="Calibri"/>
        </w:rPr>
        <w:t>Doç. Dr. Merve Tuncay</w:t>
      </w:r>
    </w:p>
    <w:p w14:paraId="60E033AD" w14:textId="77777777" w:rsidR="001E7189" w:rsidRDefault="001E7189" w:rsidP="003B45CB">
      <w:pPr>
        <w:jc w:val="center"/>
        <w:rPr>
          <w:rFonts w:eastAsia="Calibri"/>
        </w:rPr>
      </w:pPr>
      <w:r>
        <w:rPr>
          <w:rFonts w:eastAsia="Calibri"/>
        </w:rPr>
        <w:t xml:space="preserve">Sivas Cumhuriyet Üniversitesi, İktisadi ve İdari Bilimler Fakültesi, Finans ve Bankacılık Bölümü, </w:t>
      </w:r>
      <w:hyperlink r:id="rId126" w:history="1">
        <w:r>
          <w:rPr>
            <w:rStyle w:val="Kpr"/>
            <w:rFonts w:eastAsia="Calibri"/>
            <w:color w:val="0563C1"/>
          </w:rPr>
          <w:t>mtuncay@cumhuriyet.edu.tr</w:t>
        </w:r>
      </w:hyperlink>
      <w:r>
        <w:rPr>
          <w:rFonts w:eastAsia="Calibri"/>
        </w:rPr>
        <w:t>,  0000-0002-2379-1314.</w:t>
      </w:r>
    </w:p>
    <w:p w14:paraId="142B5961" w14:textId="77777777" w:rsidR="001E7189" w:rsidRDefault="001E7189" w:rsidP="003B45CB">
      <w:pPr>
        <w:jc w:val="both"/>
        <w:rPr>
          <w:rFonts w:eastAsia="Calibri"/>
          <w:b/>
          <w:bCs/>
        </w:rPr>
      </w:pPr>
    </w:p>
    <w:p w14:paraId="5E10966F" w14:textId="77777777" w:rsidR="001E7189" w:rsidRPr="00714BC1" w:rsidRDefault="001E7189" w:rsidP="003B45CB">
      <w:pPr>
        <w:jc w:val="center"/>
        <w:rPr>
          <w:rFonts w:eastAsia="Calibri"/>
          <w:b/>
          <w:bCs/>
        </w:rPr>
      </w:pPr>
      <w:r w:rsidRPr="00714BC1">
        <w:rPr>
          <w:rFonts w:eastAsia="Calibri"/>
          <w:b/>
          <w:bCs/>
        </w:rPr>
        <w:t>Özet</w:t>
      </w:r>
    </w:p>
    <w:p w14:paraId="24043CED" w14:textId="2B160A7A" w:rsidR="001E7189" w:rsidRDefault="001E7189" w:rsidP="003B45CB">
      <w:pPr>
        <w:jc w:val="both"/>
        <w:rPr>
          <w:rFonts w:eastAsia="Calibri"/>
        </w:rPr>
      </w:pPr>
      <w:r>
        <w:rPr>
          <w:rFonts w:eastAsia="Calibri"/>
        </w:rPr>
        <w:t xml:space="preserve">İşletmenin sürekliliği kavramı gereğince sonsuz olduğu öngörülen ömrü; yanlış kararlar, uygulanan yanlış politikalar yahut işletmenin faaliyette bulunduğu ülkenin yaşadığı krizler dolayısıyla olumsuz etkilenmekte ve daha ileri düzeyde de tamamen sonlanabilmektedir.  Dolayısıyla geniş bir kapsamda değerlendirilebilecek finansal başarısızlık olgusu, tahminlemesi ve önleyici faktörlerin ortaya koyulabilmesine yönelik araştırmalar finans literatüründe her zaman güncelliğini </w:t>
      </w:r>
      <w:proofErr w:type="spellStart"/>
      <w:proofErr w:type="gramStart"/>
      <w:r>
        <w:rPr>
          <w:rFonts w:eastAsia="Calibri"/>
        </w:rPr>
        <w:t>korumaktadır.Bu</w:t>
      </w:r>
      <w:proofErr w:type="spellEnd"/>
      <w:proofErr w:type="gramEnd"/>
      <w:r>
        <w:rPr>
          <w:rFonts w:eastAsia="Calibri"/>
        </w:rPr>
        <w:t xml:space="preserve"> çalışmada, Türkiye’de 1990 yılından sonra finansal başarısızlık üzerine hazırlanan lisansüstü tez çalışmaları içerik analizi yöntemi ile sistematik olarak irdelenerek mevcut literatürde konuyla ilgili gelecek araştırmalara ışık tutulması amaçlanmıştır. Araştırma, YÖK Ulusal Tez Merkezi üzerinden yürütülmüş ve tez adında “finansal başarı”, “finansal başarısız” ile “finansal başarısızlık” terimleri geçen lisansüstü tezlerle sınırlı tutulmuştur. Böylece araştırma kapsamını 1992- 2004 döneminde kabul edilmiş toplam 104 teze oluşturmuştur. Elde edilen bilgiler, üniversite adı, tez düzeyi, tez dili, öğrenci uyruğu, danışman unvanı, enstitü türü, anabilim ve bilim dalı, tez amacı, araştırma yaklaşımı, yıl, sayfa aralığı ve anahtar kelime olmak üzere birçok açıdan kategoriye ayrılarak </w:t>
      </w:r>
      <w:proofErr w:type="spellStart"/>
      <w:r>
        <w:rPr>
          <w:rFonts w:eastAsia="Calibri"/>
        </w:rPr>
        <w:t>incelenmiştir.Bulgulara</w:t>
      </w:r>
      <w:proofErr w:type="spellEnd"/>
      <w:r>
        <w:rPr>
          <w:rFonts w:eastAsia="Calibri"/>
        </w:rPr>
        <w:t xml:space="preserve"> göre; finansal başarısızlığı konu alan tez çalışmaları en fazla yerli araştırmacılar tarafından ve sosyal bilimler enstitülerinde ele alınmakta, konu başta işletme ile ilgili ana bilim dalları ve daha sonra ekonometri ana bilim dalında ele alınmakta ve en fazla yüksek lisans tezi düzeyinde araştırılmaktadır. Bu çalışmaların %60’ından daha büyük bir kısmında finansal başarısızlığın tahminlemesi amaçlanırken finansal başarısızlık ile ilgili unsurların tespiti de ikinci öncelikli araştırma amacını oluşturmaktadır. Ayrıca, yaklaşık %98 gibi yüksek bir düzeyde konunun ampirik yaklaşımla ele alındığı tespit edilmiştir. Son olarak her ne kadar 1992 yılı itibarıyla bu konuda tezler söz konusu olsa </w:t>
      </w:r>
      <w:proofErr w:type="gramStart"/>
      <w:r>
        <w:rPr>
          <w:rFonts w:eastAsia="Calibri"/>
        </w:rPr>
        <w:t>da,</w:t>
      </w:r>
      <w:proofErr w:type="gramEnd"/>
      <w:r>
        <w:rPr>
          <w:rFonts w:eastAsia="Calibri"/>
        </w:rPr>
        <w:t xml:space="preserve"> konuya ilişkin araştırmaların özellikle 2018 yılı itibarıyla yoğunlaştığı görülmüştür. Son olarak, çalışmalarda en çok kullanılan anahtar kelimeler ise “finansal başarısızlık</w:t>
      </w:r>
      <w:proofErr w:type="gramStart"/>
      <w:r>
        <w:rPr>
          <w:rFonts w:eastAsia="Calibri"/>
        </w:rPr>
        <w:t>” ,</w:t>
      </w:r>
      <w:proofErr w:type="gramEnd"/>
      <w:r>
        <w:rPr>
          <w:rFonts w:eastAsia="Calibri"/>
        </w:rPr>
        <w:t xml:space="preserve"> “Borsa İstanbul” ve “lojistik regresyon analizi” terimleri olmuştur. Bu araştırmada elde edilen tüm istatistiksel bulguların sentezlenerek, araştırmacılara konuya ilişkin gelecek çalışmalarda yönlerini tayin etmeleri açısından anlamlı bir katkı sağlaması beklenmektedir.</w:t>
      </w:r>
    </w:p>
    <w:p w14:paraId="04AF8F6F" w14:textId="77777777" w:rsidR="003B45CB" w:rsidRDefault="003B45CB" w:rsidP="003B45CB">
      <w:pPr>
        <w:jc w:val="both"/>
        <w:rPr>
          <w:rFonts w:eastAsia="Calibri"/>
        </w:rPr>
      </w:pPr>
    </w:p>
    <w:p w14:paraId="51A20885" w14:textId="40E1328B" w:rsidR="00C70E93" w:rsidRDefault="001E7189" w:rsidP="003B45CB">
      <w:pPr>
        <w:jc w:val="both"/>
        <w:rPr>
          <w:rFonts w:eastAsia="Calibri"/>
        </w:rPr>
      </w:pPr>
      <w:r>
        <w:rPr>
          <w:rFonts w:eastAsia="Calibri"/>
          <w:b/>
        </w:rPr>
        <w:t>Anahtar Kelimeler:</w:t>
      </w:r>
      <w:r>
        <w:rPr>
          <w:rFonts w:eastAsia="Calibri"/>
        </w:rPr>
        <w:t xml:space="preserve"> Finansal Başarısızlık, Finansal Oranlar, İçerik Analizi, Lisansüstü Tez Çalışmaları.</w:t>
      </w:r>
    </w:p>
    <w:p w14:paraId="30F7D2DB" w14:textId="6801E361" w:rsidR="001E7189" w:rsidRPr="00C70E93" w:rsidRDefault="00C70E93" w:rsidP="003B45CB">
      <w:pPr>
        <w:autoSpaceDE/>
        <w:autoSpaceDN/>
        <w:rPr>
          <w:rFonts w:eastAsia="Calibri"/>
        </w:rPr>
      </w:pPr>
      <w:r>
        <w:rPr>
          <w:rFonts w:eastAsia="Calibri"/>
        </w:rPr>
        <w:br w:type="page"/>
      </w:r>
    </w:p>
    <w:p w14:paraId="2E60E511" w14:textId="77777777" w:rsidR="001E7189" w:rsidRDefault="001E7189" w:rsidP="004C7694">
      <w:pPr>
        <w:pStyle w:val="Tark"/>
      </w:pPr>
      <w:bookmarkStart w:id="82" w:name="_Toc192855191"/>
      <w:r>
        <w:lastRenderedPageBreak/>
        <w:t xml:space="preserve">A </w:t>
      </w:r>
      <w:proofErr w:type="spellStart"/>
      <w:r>
        <w:t>Systematic</w:t>
      </w:r>
      <w:proofErr w:type="spellEnd"/>
      <w:r>
        <w:t xml:space="preserve"> </w:t>
      </w:r>
      <w:proofErr w:type="spellStart"/>
      <w:r>
        <w:t>Review</w:t>
      </w:r>
      <w:proofErr w:type="spellEnd"/>
      <w:r>
        <w:t xml:space="preserve"> of </w:t>
      </w:r>
      <w:proofErr w:type="spellStart"/>
      <w:r>
        <w:t>Graduate</w:t>
      </w:r>
      <w:proofErr w:type="spellEnd"/>
      <w:r>
        <w:t xml:space="preserve"> </w:t>
      </w:r>
      <w:proofErr w:type="spellStart"/>
      <w:r>
        <w:t>Thesis</w:t>
      </w:r>
      <w:proofErr w:type="spellEnd"/>
      <w:r>
        <w:t xml:space="preserve"> </w:t>
      </w:r>
      <w:proofErr w:type="spellStart"/>
      <w:r>
        <w:t>Studies</w:t>
      </w:r>
      <w:proofErr w:type="spellEnd"/>
      <w:r>
        <w:t xml:space="preserve"> </w:t>
      </w:r>
      <w:proofErr w:type="spellStart"/>
      <w:r>
        <w:t>Regarding</w:t>
      </w:r>
      <w:proofErr w:type="spellEnd"/>
      <w:r>
        <w:t xml:space="preserve"> Financial </w:t>
      </w:r>
      <w:proofErr w:type="spellStart"/>
      <w:r>
        <w:t>Failure</w:t>
      </w:r>
      <w:proofErr w:type="spellEnd"/>
      <w:r>
        <w:t xml:space="preserve"> in Türkiye</w:t>
      </w:r>
      <w:bookmarkEnd w:id="82"/>
    </w:p>
    <w:p w14:paraId="56408EEC" w14:textId="77777777" w:rsidR="001E7189" w:rsidRDefault="001E7189" w:rsidP="003B45CB">
      <w:pPr>
        <w:jc w:val="both"/>
        <w:rPr>
          <w:rFonts w:eastAsia="Calibri"/>
          <w:b/>
          <w:bCs/>
        </w:rPr>
      </w:pPr>
    </w:p>
    <w:p w14:paraId="05B7D419" w14:textId="77777777" w:rsidR="001E7189" w:rsidRPr="00714BC1" w:rsidRDefault="001E7189" w:rsidP="003B45CB">
      <w:pPr>
        <w:jc w:val="center"/>
        <w:rPr>
          <w:rFonts w:eastAsia="Calibri"/>
          <w:b/>
          <w:bCs/>
        </w:rPr>
      </w:pPr>
      <w:proofErr w:type="spellStart"/>
      <w:r w:rsidRPr="00714BC1">
        <w:rPr>
          <w:rFonts w:eastAsia="Calibri"/>
          <w:b/>
          <w:bCs/>
        </w:rPr>
        <w:t>Abstract</w:t>
      </w:r>
      <w:proofErr w:type="spellEnd"/>
    </w:p>
    <w:p w14:paraId="5739D90A" w14:textId="079CC536" w:rsidR="001E7189" w:rsidRDefault="001E7189" w:rsidP="003B45CB">
      <w:pPr>
        <w:jc w:val="both"/>
        <w:rPr>
          <w:rFonts w:eastAsia="Calibri"/>
        </w:rPr>
      </w:pPr>
      <w:proofErr w:type="spellStart"/>
      <w:r>
        <w:rPr>
          <w:rFonts w:eastAsia="Calibri"/>
        </w:rPr>
        <w:t>The</w:t>
      </w:r>
      <w:proofErr w:type="spellEnd"/>
      <w:r>
        <w:rPr>
          <w:rFonts w:eastAsia="Calibri"/>
        </w:rPr>
        <w:t xml:space="preserve"> </w:t>
      </w:r>
      <w:proofErr w:type="spellStart"/>
      <w:r>
        <w:rPr>
          <w:rFonts w:eastAsia="Calibri"/>
        </w:rPr>
        <w:t>lifespan</w:t>
      </w:r>
      <w:proofErr w:type="spellEnd"/>
      <w:r>
        <w:rPr>
          <w:rFonts w:eastAsia="Calibri"/>
        </w:rPr>
        <w:t xml:space="preserve"> of a </w:t>
      </w:r>
      <w:proofErr w:type="spellStart"/>
      <w:r>
        <w:rPr>
          <w:rFonts w:eastAsia="Calibri"/>
        </w:rPr>
        <w:t>firm</w:t>
      </w:r>
      <w:proofErr w:type="spellEnd"/>
      <w:r>
        <w:rPr>
          <w:rFonts w:eastAsia="Calibri"/>
        </w:rPr>
        <w:t xml:space="preserve">, </w:t>
      </w:r>
      <w:proofErr w:type="spellStart"/>
      <w:r>
        <w:rPr>
          <w:rFonts w:eastAsia="Calibri"/>
        </w:rPr>
        <w:t>which</w:t>
      </w:r>
      <w:proofErr w:type="spellEnd"/>
      <w:r>
        <w:rPr>
          <w:rFonts w:eastAsia="Calibri"/>
        </w:rPr>
        <w:t xml:space="preserve"> is </w:t>
      </w:r>
      <w:proofErr w:type="spellStart"/>
      <w:r>
        <w:rPr>
          <w:rFonts w:eastAsia="Calibri"/>
        </w:rPr>
        <w:t>assumed</w:t>
      </w:r>
      <w:proofErr w:type="spellEnd"/>
      <w:r>
        <w:rPr>
          <w:rFonts w:eastAsia="Calibri"/>
        </w:rPr>
        <w:t xml:space="preserve"> </w:t>
      </w:r>
      <w:proofErr w:type="spellStart"/>
      <w:r>
        <w:rPr>
          <w:rFonts w:eastAsia="Calibri"/>
        </w:rPr>
        <w:t>to</w:t>
      </w:r>
      <w:proofErr w:type="spellEnd"/>
      <w:r>
        <w:rPr>
          <w:rFonts w:eastAsia="Calibri"/>
        </w:rPr>
        <w:t xml:space="preserve"> be </w:t>
      </w:r>
      <w:proofErr w:type="spellStart"/>
      <w:r>
        <w:rPr>
          <w:rFonts w:eastAsia="Calibri"/>
        </w:rPr>
        <w:t>infinite</w:t>
      </w:r>
      <w:proofErr w:type="spellEnd"/>
      <w:r>
        <w:rPr>
          <w:rFonts w:eastAsia="Calibri"/>
        </w:rPr>
        <w:t xml:space="preserve"> in </w:t>
      </w:r>
      <w:proofErr w:type="spellStart"/>
      <w:r>
        <w:rPr>
          <w:rFonts w:eastAsia="Calibri"/>
        </w:rPr>
        <w:t>accordance</w:t>
      </w:r>
      <w:proofErr w:type="spellEnd"/>
      <w:r>
        <w:rPr>
          <w:rFonts w:eastAsia="Calibri"/>
        </w:rPr>
        <w:t xml:space="preserve"> </w:t>
      </w:r>
      <w:proofErr w:type="spellStart"/>
      <w:r>
        <w:rPr>
          <w:rFonts w:eastAsia="Calibri"/>
        </w:rPr>
        <w:t>with</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concept</w:t>
      </w:r>
      <w:proofErr w:type="spellEnd"/>
      <w:r>
        <w:rPr>
          <w:rFonts w:eastAsia="Calibri"/>
        </w:rPr>
        <w:t xml:space="preserve"> of </w:t>
      </w:r>
      <w:proofErr w:type="spellStart"/>
      <w:r>
        <w:rPr>
          <w:rFonts w:eastAsia="Calibri"/>
        </w:rPr>
        <w:t>going</w:t>
      </w:r>
      <w:proofErr w:type="spellEnd"/>
      <w:r>
        <w:rPr>
          <w:rFonts w:eastAsia="Calibri"/>
        </w:rPr>
        <w:t xml:space="preserve"> </w:t>
      </w:r>
      <w:proofErr w:type="spellStart"/>
      <w:r>
        <w:rPr>
          <w:rFonts w:eastAsia="Calibri"/>
        </w:rPr>
        <w:t>concern</w:t>
      </w:r>
      <w:proofErr w:type="spellEnd"/>
      <w:r>
        <w:rPr>
          <w:rFonts w:eastAsia="Calibri"/>
        </w:rPr>
        <w:t xml:space="preserve">, </w:t>
      </w:r>
      <w:proofErr w:type="spellStart"/>
      <w:r>
        <w:rPr>
          <w:rFonts w:eastAsia="Calibri"/>
        </w:rPr>
        <w:t>may</w:t>
      </w:r>
      <w:proofErr w:type="spellEnd"/>
      <w:r>
        <w:rPr>
          <w:rFonts w:eastAsia="Calibri"/>
        </w:rPr>
        <w:t xml:space="preserve"> be </w:t>
      </w:r>
      <w:proofErr w:type="spellStart"/>
      <w:r>
        <w:rPr>
          <w:rFonts w:eastAsia="Calibri"/>
        </w:rPr>
        <w:t>adversely</w:t>
      </w:r>
      <w:proofErr w:type="spellEnd"/>
      <w:r>
        <w:rPr>
          <w:rFonts w:eastAsia="Calibri"/>
        </w:rPr>
        <w:t xml:space="preserve"> </w:t>
      </w:r>
      <w:proofErr w:type="spellStart"/>
      <w:r>
        <w:rPr>
          <w:rFonts w:eastAsia="Calibri"/>
        </w:rPr>
        <w:t>affected</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furthermore</w:t>
      </w:r>
      <w:proofErr w:type="spellEnd"/>
      <w:r>
        <w:rPr>
          <w:rFonts w:eastAsia="Calibri"/>
        </w:rPr>
        <w:t xml:space="preserve">, it </w:t>
      </w:r>
      <w:proofErr w:type="spellStart"/>
      <w:r>
        <w:rPr>
          <w:rFonts w:eastAsia="Calibri"/>
        </w:rPr>
        <w:t>may</w:t>
      </w:r>
      <w:proofErr w:type="spellEnd"/>
      <w:r>
        <w:rPr>
          <w:rFonts w:eastAsia="Calibri"/>
        </w:rPr>
        <w:t xml:space="preserve"> be </w:t>
      </w:r>
      <w:proofErr w:type="spellStart"/>
      <w:r>
        <w:rPr>
          <w:rFonts w:eastAsia="Calibri"/>
        </w:rPr>
        <w:t>terminated</w:t>
      </w:r>
      <w:proofErr w:type="spellEnd"/>
      <w:r>
        <w:rPr>
          <w:rFonts w:eastAsia="Calibri"/>
        </w:rPr>
        <w:t xml:space="preserve"> </w:t>
      </w:r>
      <w:proofErr w:type="spellStart"/>
      <w:r>
        <w:rPr>
          <w:rFonts w:eastAsia="Calibri"/>
        </w:rPr>
        <w:t>completely</w:t>
      </w:r>
      <w:proofErr w:type="spellEnd"/>
      <w:r>
        <w:rPr>
          <w:rFonts w:eastAsia="Calibri"/>
        </w:rPr>
        <w:t xml:space="preserve"> </w:t>
      </w:r>
      <w:proofErr w:type="spellStart"/>
      <w:r>
        <w:rPr>
          <w:rFonts w:eastAsia="Calibri"/>
        </w:rPr>
        <w:t>by</w:t>
      </w:r>
      <w:proofErr w:type="spellEnd"/>
      <w:r>
        <w:rPr>
          <w:rFonts w:eastAsia="Calibri"/>
        </w:rPr>
        <w:t xml:space="preserve"> </w:t>
      </w:r>
      <w:proofErr w:type="spellStart"/>
      <w:r>
        <w:rPr>
          <w:rFonts w:eastAsia="Calibri"/>
        </w:rPr>
        <w:t>wrong</w:t>
      </w:r>
      <w:proofErr w:type="spellEnd"/>
      <w:r>
        <w:rPr>
          <w:rFonts w:eastAsia="Calibri"/>
        </w:rPr>
        <w:t xml:space="preserve"> </w:t>
      </w:r>
      <w:proofErr w:type="spellStart"/>
      <w:r>
        <w:rPr>
          <w:rFonts w:eastAsia="Calibri"/>
        </w:rPr>
        <w:t>decisions</w:t>
      </w:r>
      <w:proofErr w:type="spellEnd"/>
      <w:r>
        <w:rPr>
          <w:rFonts w:eastAsia="Calibri"/>
        </w:rPr>
        <w:t xml:space="preserve">, </w:t>
      </w:r>
      <w:proofErr w:type="spellStart"/>
      <w:r>
        <w:rPr>
          <w:rFonts w:eastAsia="Calibri"/>
        </w:rPr>
        <w:t>wrong</w:t>
      </w:r>
      <w:proofErr w:type="spellEnd"/>
      <w:r>
        <w:rPr>
          <w:rFonts w:eastAsia="Calibri"/>
        </w:rPr>
        <w:t xml:space="preserve"> </w:t>
      </w:r>
      <w:proofErr w:type="spellStart"/>
      <w:r>
        <w:rPr>
          <w:rFonts w:eastAsia="Calibri"/>
        </w:rPr>
        <w:t>policies</w:t>
      </w:r>
      <w:proofErr w:type="spellEnd"/>
      <w:r>
        <w:rPr>
          <w:rFonts w:eastAsia="Calibri"/>
        </w:rPr>
        <w:t xml:space="preserve"> </w:t>
      </w:r>
      <w:proofErr w:type="spellStart"/>
      <w:r>
        <w:rPr>
          <w:rFonts w:eastAsia="Calibri"/>
        </w:rPr>
        <w:t>or</w:t>
      </w:r>
      <w:proofErr w:type="spellEnd"/>
      <w:r>
        <w:rPr>
          <w:rFonts w:eastAsia="Calibri"/>
        </w:rPr>
        <w:t xml:space="preserve"> </w:t>
      </w:r>
      <w:proofErr w:type="spellStart"/>
      <w:r>
        <w:rPr>
          <w:rFonts w:eastAsia="Calibri"/>
        </w:rPr>
        <w:t>also</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crises</w:t>
      </w:r>
      <w:proofErr w:type="spellEnd"/>
      <w:r>
        <w:rPr>
          <w:rFonts w:eastAsia="Calibri"/>
        </w:rPr>
        <w:t xml:space="preserve"> </w:t>
      </w:r>
      <w:proofErr w:type="spellStart"/>
      <w:r>
        <w:rPr>
          <w:rFonts w:eastAsia="Calibri"/>
        </w:rPr>
        <w:t>experienced</w:t>
      </w:r>
      <w:proofErr w:type="spellEnd"/>
      <w:r>
        <w:rPr>
          <w:rFonts w:eastAsia="Calibri"/>
        </w:rPr>
        <w:t xml:space="preserve"> </w:t>
      </w:r>
      <w:proofErr w:type="spellStart"/>
      <w:r>
        <w:rPr>
          <w:rFonts w:eastAsia="Calibri"/>
        </w:rPr>
        <w:t>by</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country</w:t>
      </w:r>
      <w:proofErr w:type="spellEnd"/>
      <w:r>
        <w:rPr>
          <w:rFonts w:eastAsia="Calibri"/>
        </w:rPr>
        <w:t xml:space="preserve"> in </w:t>
      </w:r>
      <w:proofErr w:type="spellStart"/>
      <w:r>
        <w:rPr>
          <w:rFonts w:eastAsia="Calibri"/>
        </w:rPr>
        <w:t>which</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business</w:t>
      </w:r>
      <w:proofErr w:type="spellEnd"/>
      <w:r>
        <w:rPr>
          <w:rFonts w:eastAsia="Calibri"/>
        </w:rPr>
        <w:t xml:space="preserve"> </w:t>
      </w:r>
      <w:proofErr w:type="spellStart"/>
      <w:r>
        <w:rPr>
          <w:rFonts w:eastAsia="Calibri"/>
        </w:rPr>
        <w:t>operates</w:t>
      </w:r>
      <w:proofErr w:type="spellEnd"/>
      <w:r>
        <w:rPr>
          <w:rFonts w:eastAsia="Calibri"/>
        </w:rPr>
        <w:t xml:space="preserve">. </w:t>
      </w:r>
      <w:proofErr w:type="spellStart"/>
      <w:r>
        <w:rPr>
          <w:rFonts w:eastAsia="Calibri"/>
        </w:rPr>
        <w:t>Hence</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phenomenon</w:t>
      </w:r>
      <w:proofErr w:type="spellEnd"/>
      <w:r>
        <w:rPr>
          <w:rFonts w:eastAsia="Calibri"/>
        </w:rPr>
        <w:t xml:space="preserve"> of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w:t>
      </w:r>
      <w:proofErr w:type="spellStart"/>
      <w:r>
        <w:rPr>
          <w:rFonts w:eastAsia="Calibri"/>
        </w:rPr>
        <w:t>which</w:t>
      </w:r>
      <w:proofErr w:type="spellEnd"/>
      <w:r>
        <w:rPr>
          <w:rFonts w:eastAsia="Calibri"/>
        </w:rPr>
        <w:t xml:space="preserve"> can be </w:t>
      </w:r>
      <w:proofErr w:type="spellStart"/>
      <w:r>
        <w:rPr>
          <w:rFonts w:eastAsia="Calibri"/>
        </w:rPr>
        <w:t>evaluated</w:t>
      </w:r>
      <w:proofErr w:type="spellEnd"/>
      <w:r>
        <w:rPr>
          <w:rFonts w:eastAsia="Calibri"/>
        </w:rPr>
        <w:t xml:space="preserve"> in a </w:t>
      </w:r>
      <w:proofErr w:type="spellStart"/>
      <w:r>
        <w:rPr>
          <w:rFonts w:eastAsia="Calibri"/>
        </w:rPr>
        <w:t>wide</w:t>
      </w:r>
      <w:proofErr w:type="spellEnd"/>
      <w:r>
        <w:rPr>
          <w:rFonts w:eastAsia="Calibri"/>
        </w:rPr>
        <w:t xml:space="preserve"> </w:t>
      </w:r>
      <w:proofErr w:type="spellStart"/>
      <w:r>
        <w:rPr>
          <w:rFonts w:eastAsia="Calibri"/>
        </w:rPr>
        <w:t>scope</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research</w:t>
      </w:r>
      <w:proofErr w:type="spellEnd"/>
      <w:r>
        <w:rPr>
          <w:rFonts w:eastAsia="Calibri"/>
        </w:rPr>
        <w:t xml:space="preserve"> on </w:t>
      </w:r>
      <w:proofErr w:type="spellStart"/>
      <w:r>
        <w:rPr>
          <w:rFonts w:eastAsia="Calibri"/>
        </w:rPr>
        <w:t>its</w:t>
      </w:r>
      <w:proofErr w:type="spellEnd"/>
      <w:r>
        <w:rPr>
          <w:rFonts w:eastAsia="Calibri"/>
        </w:rPr>
        <w:t xml:space="preserve"> </w:t>
      </w:r>
      <w:proofErr w:type="spellStart"/>
      <w:r>
        <w:rPr>
          <w:rFonts w:eastAsia="Calibri"/>
        </w:rPr>
        <w:t>prediction</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preventive</w:t>
      </w:r>
      <w:proofErr w:type="spellEnd"/>
      <w:r>
        <w:rPr>
          <w:rFonts w:eastAsia="Calibri"/>
        </w:rPr>
        <w:t xml:space="preserve"> </w:t>
      </w:r>
      <w:proofErr w:type="spellStart"/>
      <w:r>
        <w:rPr>
          <w:rFonts w:eastAsia="Calibri"/>
        </w:rPr>
        <w:t>factors</w:t>
      </w:r>
      <w:proofErr w:type="spellEnd"/>
      <w:r>
        <w:rPr>
          <w:rFonts w:eastAsia="Calibri"/>
        </w:rPr>
        <w:t xml:space="preserve"> </w:t>
      </w:r>
      <w:proofErr w:type="spellStart"/>
      <w:r>
        <w:rPr>
          <w:rFonts w:eastAsia="Calibri"/>
        </w:rPr>
        <w:t>are</w:t>
      </w:r>
      <w:proofErr w:type="spellEnd"/>
      <w:r>
        <w:rPr>
          <w:rFonts w:eastAsia="Calibri"/>
        </w:rPr>
        <w:t xml:space="preserve"> </w:t>
      </w:r>
      <w:proofErr w:type="spellStart"/>
      <w:r>
        <w:rPr>
          <w:rFonts w:eastAsia="Calibri"/>
        </w:rPr>
        <w:t>always</w:t>
      </w:r>
      <w:proofErr w:type="spellEnd"/>
      <w:r>
        <w:rPr>
          <w:rFonts w:eastAsia="Calibri"/>
        </w:rPr>
        <w:t xml:space="preserve"> </w:t>
      </w:r>
      <w:proofErr w:type="spellStart"/>
      <w:r>
        <w:rPr>
          <w:rFonts w:eastAsia="Calibri"/>
        </w:rPr>
        <w:t>up-to-date</w:t>
      </w:r>
      <w:proofErr w:type="spellEnd"/>
      <w:r>
        <w:rPr>
          <w:rFonts w:eastAsia="Calibri"/>
        </w:rPr>
        <w:t xml:space="preserve"> in </w:t>
      </w:r>
      <w:proofErr w:type="spellStart"/>
      <w:r>
        <w:rPr>
          <w:rFonts w:eastAsia="Calibri"/>
        </w:rPr>
        <w:t>the</w:t>
      </w:r>
      <w:proofErr w:type="spellEnd"/>
      <w:r>
        <w:rPr>
          <w:rFonts w:eastAsia="Calibri"/>
        </w:rPr>
        <w:t xml:space="preserve"> </w:t>
      </w:r>
      <w:proofErr w:type="spellStart"/>
      <w:r>
        <w:rPr>
          <w:rFonts w:eastAsia="Calibri"/>
        </w:rPr>
        <w:t>finance</w:t>
      </w:r>
      <w:proofErr w:type="spellEnd"/>
      <w:r>
        <w:rPr>
          <w:rFonts w:eastAsia="Calibri"/>
        </w:rPr>
        <w:t xml:space="preserve"> </w:t>
      </w:r>
      <w:proofErr w:type="spellStart"/>
      <w:proofErr w:type="gramStart"/>
      <w:r>
        <w:rPr>
          <w:rFonts w:eastAsia="Calibri"/>
        </w:rPr>
        <w:t>literature.This</w:t>
      </w:r>
      <w:proofErr w:type="spellEnd"/>
      <w:proofErr w:type="gramEnd"/>
      <w:r>
        <w:rPr>
          <w:rFonts w:eastAsia="Calibri"/>
        </w:rPr>
        <w:t xml:space="preserve"> </w:t>
      </w:r>
      <w:proofErr w:type="spellStart"/>
      <w:r>
        <w:rPr>
          <w:rFonts w:eastAsia="Calibri"/>
        </w:rPr>
        <w:t>study</w:t>
      </w:r>
      <w:proofErr w:type="spellEnd"/>
      <w:r>
        <w:rPr>
          <w:rFonts w:eastAsia="Calibri"/>
        </w:rPr>
        <w:t xml:space="preserve"> </w:t>
      </w:r>
      <w:proofErr w:type="spellStart"/>
      <w:r>
        <w:rPr>
          <w:rFonts w:eastAsia="Calibri"/>
        </w:rPr>
        <w:t>aims</w:t>
      </w:r>
      <w:proofErr w:type="spell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shed</w:t>
      </w:r>
      <w:proofErr w:type="spellEnd"/>
      <w:r>
        <w:rPr>
          <w:rFonts w:eastAsia="Calibri"/>
        </w:rPr>
        <w:t xml:space="preserve"> </w:t>
      </w:r>
      <w:proofErr w:type="spellStart"/>
      <w:r>
        <w:rPr>
          <w:rFonts w:eastAsia="Calibri"/>
        </w:rPr>
        <w:t>light</w:t>
      </w:r>
      <w:proofErr w:type="spellEnd"/>
      <w:r>
        <w:rPr>
          <w:rFonts w:eastAsia="Calibri"/>
        </w:rPr>
        <w:t xml:space="preserve"> on </w:t>
      </w:r>
      <w:proofErr w:type="spellStart"/>
      <w:r>
        <w:rPr>
          <w:rFonts w:eastAsia="Calibri"/>
        </w:rPr>
        <w:t>future</w:t>
      </w:r>
      <w:proofErr w:type="spellEnd"/>
      <w:r>
        <w:rPr>
          <w:rFonts w:eastAsia="Calibri"/>
        </w:rPr>
        <w:t xml:space="preserve"> </w:t>
      </w:r>
      <w:proofErr w:type="spellStart"/>
      <w:r>
        <w:rPr>
          <w:rFonts w:eastAsia="Calibri"/>
        </w:rPr>
        <w:t>research</w:t>
      </w:r>
      <w:proofErr w:type="spellEnd"/>
      <w:r>
        <w:rPr>
          <w:rFonts w:eastAsia="Calibri"/>
        </w:rPr>
        <w:t xml:space="preserve"> on </w:t>
      </w:r>
      <w:proofErr w:type="spellStart"/>
      <w:r>
        <w:rPr>
          <w:rFonts w:eastAsia="Calibri"/>
        </w:rPr>
        <w:t>the</w:t>
      </w:r>
      <w:proofErr w:type="spellEnd"/>
      <w:r>
        <w:rPr>
          <w:rFonts w:eastAsia="Calibri"/>
        </w:rPr>
        <w:t xml:space="preserve"> </w:t>
      </w:r>
      <w:proofErr w:type="spellStart"/>
      <w:r>
        <w:rPr>
          <w:rFonts w:eastAsia="Calibri"/>
        </w:rPr>
        <w:t>topic</w:t>
      </w:r>
      <w:proofErr w:type="spellEnd"/>
      <w:r>
        <w:rPr>
          <w:rFonts w:eastAsia="Calibri"/>
        </w:rPr>
        <w:t xml:space="preserve"> </w:t>
      </w:r>
      <w:proofErr w:type="spellStart"/>
      <w:r>
        <w:rPr>
          <w:rFonts w:eastAsia="Calibri"/>
        </w:rPr>
        <w:t>by</w:t>
      </w:r>
      <w:proofErr w:type="spellEnd"/>
      <w:r>
        <w:rPr>
          <w:rFonts w:eastAsia="Calibri"/>
        </w:rPr>
        <w:t xml:space="preserve"> </w:t>
      </w:r>
      <w:proofErr w:type="spellStart"/>
      <w:r>
        <w:rPr>
          <w:rFonts w:eastAsia="Calibri"/>
        </w:rPr>
        <w:t>systematically</w:t>
      </w:r>
      <w:proofErr w:type="spellEnd"/>
      <w:r>
        <w:rPr>
          <w:rFonts w:eastAsia="Calibri"/>
        </w:rPr>
        <w:t xml:space="preserve"> </w:t>
      </w:r>
      <w:proofErr w:type="spellStart"/>
      <w:r>
        <w:rPr>
          <w:rFonts w:eastAsia="Calibri"/>
        </w:rPr>
        <w:t>examining</w:t>
      </w:r>
      <w:proofErr w:type="spellEnd"/>
      <w:r>
        <w:rPr>
          <w:rFonts w:eastAsia="Calibri"/>
        </w:rPr>
        <w:t xml:space="preserve"> </w:t>
      </w:r>
      <w:proofErr w:type="spellStart"/>
      <w:r>
        <w:rPr>
          <w:rFonts w:eastAsia="Calibri"/>
        </w:rPr>
        <w:t>postgraduate</w:t>
      </w:r>
      <w:proofErr w:type="spellEnd"/>
      <w:r>
        <w:rPr>
          <w:rFonts w:eastAsia="Calibri"/>
        </w:rPr>
        <w:t xml:space="preserve"> </w:t>
      </w:r>
      <w:proofErr w:type="spellStart"/>
      <w:r>
        <w:rPr>
          <w:rFonts w:eastAsia="Calibri"/>
        </w:rPr>
        <w:t>theses</w:t>
      </w:r>
      <w:proofErr w:type="spellEnd"/>
      <w:r>
        <w:rPr>
          <w:rFonts w:eastAsia="Calibri"/>
        </w:rPr>
        <w:t xml:space="preserve"> on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in Türkiye since 1990 </w:t>
      </w:r>
      <w:proofErr w:type="spellStart"/>
      <w:r>
        <w:rPr>
          <w:rFonts w:eastAsia="Calibri"/>
        </w:rPr>
        <w:t>using</w:t>
      </w:r>
      <w:proofErr w:type="spellEnd"/>
      <w:r>
        <w:rPr>
          <w:rFonts w:eastAsia="Calibri"/>
        </w:rPr>
        <w:t xml:space="preserve"> </w:t>
      </w:r>
      <w:proofErr w:type="spellStart"/>
      <w:r>
        <w:rPr>
          <w:rFonts w:eastAsia="Calibri"/>
        </w:rPr>
        <w:t>content</w:t>
      </w:r>
      <w:proofErr w:type="spellEnd"/>
      <w:r>
        <w:rPr>
          <w:rFonts w:eastAsia="Calibri"/>
        </w:rPr>
        <w:t xml:space="preserve"> </w:t>
      </w:r>
      <w:proofErr w:type="spellStart"/>
      <w:r>
        <w:rPr>
          <w:rFonts w:eastAsia="Calibri"/>
        </w:rPr>
        <w:t>analysis</w:t>
      </w:r>
      <w:proofErr w:type="spellEnd"/>
      <w:r>
        <w:rPr>
          <w:rFonts w:eastAsia="Calibri"/>
        </w:rPr>
        <w:t xml:space="preserve"> </w:t>
      </w:r>
      <w:proofErr w:type="spellStart"/>
      <w:r>
        <w:rPr>
          <w:rFonts w:eastAsia="Calibri"/>
        </w:rPr>
        <w:t>methodology</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research</w:t>
      </w:r>
      <w:proofErr w:type="spellEnd"/>
      <w:r>
        <w:rPr>
          <w:rFonts w:eastAsia="Calibri"/>
        </w:rPr>
        <w:t xml:space="preserve"> </w:t>
      </w:r>
      <w:proofErr w:type="spellStart"/>
      <w:r>
        <w:rPr>
          <w:rFonts w:eastAsia="Calibri"/>
        </w:rPr>
        <w:t>was</w:t>
      </w:r>
      <w:proofErr w:type="spellEnd"/>
      <w:r>
        <w:rPr>
          <w:rFonts w:eastAsia="Calibri"/>
        </w:rPr>
        <w:t xml:space="preserve"> </w:t>
      </w:r>
      <w:proofErr w:type="spellStart"/>
      <w:r>
        <w:rPr>
          <w:rFonts w:eastAsia="Calibri"/>
        </w:rPr>
        <w:t>conducted</w:t>
      </w:r>
      <w:proofErr w:type="spellEnd"/>
      <w:r>
        <w:rPr>
          <w:rFonts w:eastAsia="Calibri"/>
        </w:rPr>
        <w:t xml:space="preserve"> </w:t>
      </w:r>
      <w:proofErr w:type="spellStart"/>
      <w:r>
        <w:rPr>
          <w:rFonts w:eastAsia="Calibri"/>
        </w:rPr>
        <w:t>through</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National</w:t>
      </w:r>
      <w:proofErr w:type="spellEnd"/>
      <w:r>
        <w:rPr>
          <w:rFonts w:eastAsia="Calibri"/>
        </w:rPr>
        <w:t xml:space="preserve"> </w:t>
      </w:r>
      <w:proofErr w:type="spellStart"/>
      <w:r>
        <w:rPr>
          <w:rFonts w:eastAsia="Calibri"/>
        </w:rPr>
        <w:t>Thesis</w:t>
      </w:r>
      <w:proofErr w:type="spellEnd"/>
      <w:r>
        <w:rPr>
          <w:rFonts w:eastAsia="Calibri"/>
        </w:rPr>
        <w:t xml:space="preserve"> Center of </w:t>
      </w:r>
      <w:proofErr w:type="spellStart"/>
      <w:r>
        <w:rPr>
          <w:rFonts w:eastAsia="Calibri"/>
        </w:rPr>
        <w:t>the</w:t>
      </w:r>
      <w:proofErr w:type="spellEnd"/>
      <w:r>
        <w:rPr>
          <w:rFonts w:eastAsia="Calibri"/>
        </w:rPr>
        <w:t xml:space="preserve"> </w:t>
      </w:r>
      <w:proofErr w:type="spellStart"/>
      <w:r>
        <w:rPr>
          <w:rFonts w:eastAsia="Calibri"/>
        </w:rPr>
        <w:t>Council</w:t>
      </w:r>
      <w:proofErr w:type="spellEnd"/>
      <w:r>
        <w:rPr>
          <w:rFonts w:eastAsia="Calibri"/>
        </w:rPr>
        <w:t xml:space="preserve"> of </w:t>
      </w:r>
      <w:proofErr w:type="spellStart"/>
      <w:r>
        <w:rPr>
          <w:rFonts w:eastAsia="Calibri"/>
        </w:rPr>
        <w:t>Higher</w:t>
      </w:r>
      <w:proofErr w:type="spellEnd"/>
      <w:r>
        <w:rPr>
          <w:rFonts w:eastAsia="Calibri"/>
        </w:rPr>
        <w:t xml:space="preserve"> </w:t>
      </w:r>
      <w:proofErr w:type="spellStart"/>
      <w:r>
        <w:rPr>
          <w:rFonts w:eastAsia="Calibri"/>
        </w:rPr>
        <w:t>Education</w:t>
      </w:r>
      <w:proofErr w:type="spellEnd"/>
      <w:r>
        <w:rPr>
          <w:rFonts w:eastAsia="Calibri"/>
        </w:rPr>
        <w:t xml:space="preserve"> (YÖK), </w:t>
      </w:r>
      <w:proofErr w:type="spellStart"/>
      <w:r>
        <w:rPr>
          <w:rFonts w:eastAsia="Calibri"/>
        </w:rPr>
        <w:t>and</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research</w:t>
      </w:r>
      <w:proofErr w:type="spellEnd"/>
      <w:r>
        <w:rPr>
          <w:rFonts w:eastAsia="Calibri"/>
        </w:rPr>
        <w:t xml:space="preserve"> </w:t>
      </w:r>
      <w:proofErr w:type="spellStart"/>
      <w:r>
        <w:rPr>
          <w:rFonts w:eastAsia="Calibri"/>
        </w:rPr>
        <w:t>was</w:t>
      </w:r>
      <w:proofErr w:type="spellEnd"/>
      <w:r>
        <w:rPr>
          <w:rFonts w:eastAsia="Calibri"/>
        </w:rPr>
        <w:t xml:space="preserve"> </w:t>
      </w:r>
      <w:proofErr w:type="spellStart"/>
      <w:r>
        <w:rPr>
          <w:rFonts w:eastAsia="Calibri"/>
        </w:rPr>
        <w:t>limited</w:t>
      </w:r>
      <w:proofErr w:type="spell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theses</w:t>
      </w:r>
      <w:proofErr w:type="spellEnd"/>
      <w:r>
        <w:rPr>
          <w:rFonts w:eastAsia="Calibri"/>
        </w:rPr>
        <w:t xml:space="preserve"> </w:t>
      </w:r>
      <w:proofErr w:type="spellStart"/>
      <w:r>
        <w:rPr>
          <w:rFonts w:eastAsia="Calibri"/>
        </w:rPr>
        <w:t>containing</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terms</w:t>
      </w:r>
      <w:proofErr w:type="spellEnd"/>
      <w:r>
        <w:rPr>
          <w:rFonts w:eastAsia="Calibri"/>
        </w:rPr>
        <w:t xml:space="preserve"> "</w:t>
      </w:r>
      <w:proofErr w:type="spellStart"/>
      <w:r>
        <w:rPr>
          <w:rFonts w:eastAsia="Calibri"/>
        </w:rPr>
        <w:t>financial</w:t>
      </w:r>
      <w:proofErr w:type="spellEnd"/>
      <w:r>
        <w:rPr>
          <w:rFonts w:eastAsia="Calibri"/>
        </w:rPr>
        <w:t xml:space="preserve"> </w:t>
      </w:r>
      <w:proofErr w:type="spellStart"/>
      <w:r>
        <w:rPr>
          <w:rFonts w:eastAsia="Calibri"/>
        </w:rPr>
        <w:t>success</w:t>
      </w:r>
      <w:proofErr w:type="spellEnd"/>
      <w:r>
        <w:rPr>
          <w:rFonts w:eastAsia="Calibri"/>
        </w:rPr>
        <w:t>,"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in </w:t>
      </w:r>
      <w:proofErr w:type="spellStart"/>
      <w:r>
        <w:rPr>
          <w:rFonts w:eastAsia="Calibri"/>
        </w:rPr>
        <w:t>their</w:t>
      </w:r>
      <w:proofErr w:type="spellEnd"/>
      <w:r>
        <w:rPr>
          <w:rFonts w:eastAsia="Calibri"/>
        </w:rPr>
        <w:t xml:space="preserve"> </w:t>
      </w:r>
      <w:proofErr w:type="spellStart"/>
      <w:r>
        <w:rPr>
          <w:rFonts w:eastAsia="Calibri"/>
        </w:rPr>
        <w:t>titles</w:t>
      </w:r>
      <w:proofErr w:type="spellEnd"/>
      <w:r>
        <w:rPr>
          <w:rFonts w:eastAsia="Calibri"/>
        </w:rPr>
        <w:t xml:space="preserve">. </w:t>
      </w:r>
      <w:proofErr w:type="spellStart"/>
      <w:r>
        <w:rPr>
          <w:rFonts w:eastAsia="Calibri"/>
        </w:rPr>
        <w:t>Therefore</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study</w:t>
      </w:r>
      <w:proofErr w:type="spellEnd"/>
      <w:r>
        <w:rPr>
          <w:rFonts w:eastAsia="Calibri"/>
        </w:rPr>
        <w:t xml:space="preserve"> </w:t>
      </w:r>
      <w:proofErr w:type="spellStart"/>
      <w:r>
        <w:rPr>
          <w:rFonts w:eastAsia="Calibri"/>
        </w:rPr>
        <w:t>includes</w:t>
      </w:r>
      <w:proofErr w:type="spellEnd"/>
      <w:r>
        <w:rPr>
          <w:rFonts w:eastAsia="Calibri"/>
        </w:rPr>
        <w:t xml:space="preserve"> a Toplam of 104 </w:t>
      </w:r>
      <w:proofErr w:type="spellStart"/>
      <w:r>
        <w:rPr>
          <w:rFonts w:eastAsia="Calibri"/>
        </w:rPr>
        <w:t>theses</w:t>
      </w:r>
      <w:proofErr w:type="spellEnd"/>
      <w:r>
        <w:rPr>
          <w:rFonts w:eastAsia="Calibri"/>
        </w:rPr>
        <w:t xml:space="preserve"> </w:t>
      </w:r>
      <w:proofErr w:type="spellStart"/>
      <w:r>
        <w:rPr>
          <w:rFonts w:eastAsia="Calibri"/>
        </w:rPr>
        <w:t>accepted</w:t>
      </w:r>
      <w:proofErr w:type="spellEnd"/>
      <w:r>
        <w:rPr>
          <w:rFonts w:eastAsia="Calibri"/>
        </w:rPr>
        <w:t xml:space="preserve"> </w:t>
      </w:r>
      <w:proofErr w:type="spellStart"/>
      <w:r>
        <w:rPr>
          <w:rFonts w:eastAsia="Calibri"/>
        </w:rPr>
        <w:t>between</w:t>
      </w:r>
      <w:proofErr w:type="spellEnd"/>
      <w:r>
        <w:rPr>
          <w:rFonts w:eastAsia="Calibri"/>
        </w:rPr>
        <w:t xml:space="preserve"> 1992 </w:t>
      </w:r>
      <w:proofErr w:type="spellStart"/>
      <w:r>
        <w:rPr>
          <w:rFonts w:eastAsia="Calibri"/>
        </w:rPr>
        <w:t>and</w:t>
      </w:r>
      <w:proofErr w:type="spellEnd"/>
      <w:r>
        <w:rPr>
          <w:rFonts w:eastAsia="Calibri"/>
        </w:rPr>
        <w:t xml:space="preserve"> 2004. </w:t>
      </w:r>
      <w:proofErr w:type="spellStart"/>
      <w:r>
        <w:rPr>
          <w:rFonts w:eastAsia="Calibri"/>
        </w:rPr>
        <w:t>The</w:t>
      </w:r>
      <w:proofErr w:type="spellEnd"/>
      <w:r>
        <w:rPr>
          <w:rFonts w:eastAsia="Calibri"/>
        </w:rPr>
        <w:t xml:space="preserve"> </w:t>
      </w:r>
      <w:proofErr w:type="spellStart"/>
      <w:r>
        <w:rPr>
          <w:rFonts w:eastAsia="Calibri"/>
        </w:rPr>
        <w:t>accumulated</w:t>
      </w:r>
      <w:proofErr w:type="spellEnd"/>
      <w:r>
        <w:rPr>
          <w:rFonts w:eastAsia="Calibri"/>
        </w:rPr>
        <w:t xml:space="preserve"> </w:t>
      </w:r>
      <w:proofErr w:type="spellStart"/>
      <w:r>
        <w:rPr>
          <w:rFonts w:eastAsia="Calibri"/>
        </w:rPr>
        <w:t>information</w:t>
      </w:r>
      <w:proofErr w:type="spellEnd"/>
      <w:r>
        <w:rPr>
          <w:rFonts w:eastAsia="Calibri"/>
        </w:rPr>
        <w:t xml:space="preserve"> </w:t>
      </w:r>
      <w:proofErr w:type="spellStart"/>
      <w:r>
        <w:rPr>
          <w:rFonts w:eastAsia="Calibri"/>
        </w:rPr>
        <w:t>was</w:t>
      </w:r>
      <w:proofErr w:type="spellEnd"/>
      <w:r>
        <w:rPr>
          <w:rFonts w:eastAsia="Calibri"/>
        </w:rPr>
        <w:t xml:space="preserve"> </w:t>
      </w:r>
      <w:proofErr w:type="spellStart"/>
      <w:r>
        <w:rPr>
          <w:rFonts w:eastAsia="Calibri"/>
        </w:rPr>
        <w:t>categorized</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analyzed</w:t>
      </w:r>
      <w:proofErr w:type="spellEnd"/>
      <w:r>
        <w:rPr>
          <w:rFonts w:eastAsia="Calibri"/>
        </w:rPr>
        <w:t xml:space="preserve"> </w:t>
      </w:r>
      <w:proofErr w:type="spellStart"/>
      <w:r>
        <w:rPr>
          <w:rFonts w:eastAsia="Calibri"/>
        </w:rPr>
        <w:t>from</w:t>
      </w:r>
      <w:proofErr w:type="spellEnd"/>
      <w:r>
        <w:rPr>
          <w:rFonts w:eastAsia="Calibri"/>
        </w:rPr>
        <w:t xml:space="preserve"> </w:t>
      </w:r>
      <w:proofErr w:type="spellStart"/>
      <w:r>
        <w:rPr>
          <w:rFonts w:eastAsia="Calibri"/>
        </w:rPr>
        <w:t>various</w:t>
      </w:r>
      <w:proofErr w:type="spellEnd"/>
      <w:r>
        <w:rPr>
          <w:rFonts w:eastAsia="Calibri"/>
        </w:rPr>
        <w:t xml:space="preserve"> </w:t>
      </w:r>
      <w:proofErr w:type="spellStart"/>
      <w:r>
        <w:rPr>
          <w:rFonts w:eastAsia="Calibri"/>
        </w:rPr>
        <w:t>aspects</w:t>
      </w:r>
      <w:proofErr w:type="spellEnd"/>
      <w:r>
        <w:rPr>
          <w:rFonts w:eastAsia="Calibri"/>
        </w:rPr>
        <w:t xml:space="preserve">, </w:t>
      </w:r>
      <w:proofErr w:type="spellStart"/>
      <w:r>
        <w:rPr>
          <w:rFonts w:eastAsia="Calibri"/>
        </w:rPr>
        <w:t>such</w:t>
      </w:r>
      <w:proofErr w:type="spellEnd"/>
      <w:r>
        <w:rPr>
          <w:rFonts w:eastAsia="Calibri"/>
        </w:rPr>
        <w:t xml:space="preserve"> as </w:t>
      </w:r>
      <w:proofErr w:type="spellStart"/>
      <w:r>
        <w:rPr>
          <w:rFonts w:eastAsia="Calibri"/>
        </w:rPr>
        <w:t>university</w:t>
      </w:r>
      <w:proofErr w:type="spellEnd"/>
      <w:r>
        <w:rPr>
          <w:rFonts w:eastAsia="Calibri"/>
        </w:rPr>
        <w:t xml:space="preserve"> name, </w:t>
      </w:r>
      <w:proofErr w:type="spellStart"/>
      <w:r>
        <w:rPr>
          <w:rFonts w:eastAsia="Calibri"/>
        </w:rPr>
        <w:t>thesis</w:t>
      </w:r>
      <w:proofErr w:type="spellEnd"/>
      <w:r>
        <w:rPr>
          <w:rFonts w:eastAsia="Calibri"/>
        </w:rPr>
        <w:t xml:space="preserve"> </w:t>
      </w:r>
      <w:proofErr w:type="spellStart"/>
      <w:r>
        <w:rPr>
          <w:rFonts w:eastAsia="Calibri"/>
        </w:rPr>
        <w:t>level</w:t>
      </w:r>
      <w:proofErr w:type="spellEnd"/>
      <w:r>
        <w:rPr>
          <w:rFonts w:eastAsia="Calibri"/>
        </w:rPr>
        <w:t xml:space="preserve">, </w:t>
      </w:r>
      <w:proofErr w:type="spellStart"/>
      <w:r>
        <w:rPr>
          <w:rFonts w:eastAsia="Calibri"/>
        </w:rPr>
        <w:t>thesis</w:t>
      </w:r>
      <w:proofErr w:type="spellEnd"/>
      <w:r>
        <w:rPr>
          <w:rFonts w:eastAsia="Calibri"/>
        </w:rPr>
        <w:t xml:space="preserve"> </w:t>
      </w:r>
      <w:proofErr w:type="spellStart"/>
      <w:r>
        <w:rPr>
          <w:rFonts w:eastAsia="Calibri"/>
        </w:rPr>
        <w:t>language</w:t>
      </w:r>
      <w:proofErr w:type="spellEnd"/>
      <w:r>
        <w:rPr>
          <w:rFonts w:eastAsia="Calibri"/>
        </w:rPr>
        <w:t xml:space="preserve">, </w:t>
      </w:r>
      <w:proofErr w:type="spellStart"/>
      <w:r>
        <w:rPr>
          <w:rFonts w:eastAsia="Calibri"/>
        </w:rPr>
        <w:t>student</w:t>
      </w:r>
      <w:proofErr w:type="spellEnd"/>
      <w:r>
        <w:rPr>
          <w:rFonts w:eastAsia="Calibri"/>
        </w:rPr>
        <w:t xml:space="preserve"> </w:t>
      </w:r>
      <w:proofErr w:type="spellStart"/>
      <w:r>
        <w:rPr>
          <w:rFonts w:eastAsia="Calibri"/>
        </w:rPr>
        <w:t>nationality</w:t>
      </w:r>
      <w:proofErr w:type="spellEnd"/>
      <w:r>
        <w:rPr>
          <w:rFonts w:eastAsia="Calibri"/>
        </w:rPr>
        <w:t xml:space="preserve">, </w:t>
      </w:r>
      <w:proofErr w:type="spellStart"/>
      <w:r>
        <w:rPr>
          <w:rFonts w:eastAsia="Calibri"/>
        </w:rPr>
        <w:t>advisor</w:t>
      </w:r>
      <w:proofErr w:type="spellEnd"/>
      <w:r>
        <w:rPr>
          <w:rFonts w:eastAsia="Calibri"/>
        </w:rPr>
        <w:t xml:space="preserve"> </w:t>
      </w:r>
      <w:proofErr w:type="spellStart"/>
      <w:r>
        <w:rPr>
          <w:rFonts w:eastAsia="Calibri"/>
        </w:rPr>
        <w:t>title</w:t>
      </w:r>
      <w:proofErr w:type="spellEnd"/>
      <w:r>
        <w:rPr>
          <w:rFonts w:eastAsia="Calibri"/>
        </w:rPr>
        <w:t xml:space="preserve">, </w:t>
      </w:r>
      <w:proofErr w:type="spellStart"/>
      <w:r>
        <w:rPr>
          <w:rFonts w:eastAsia="Calibri"/>
        </w:rPr>
        <w:t>type</w:t>
      </w:r>
      <w:proofErr w:type="spellEnd"/>
      <w:r>
        <w:rPr>
          <w:rFonts w:eastAsia="Calibri"/>
        </w:rPr>
        <w:t xml:space="preserve"> of </w:t>
      </w:r>
      <w:proofErr w:type="spellStart"/>
      <w:r>
        <w:rPr>
          <w:rFonts w:eastAsia="Calibri"/>
        </w:rPr>
        <w:t>institution</w:t>
      </w:r>
      <w:proofErr w:type="spellEnd"/>
      <w:r>
        <w:rPr>
          <w:rFonts w:eastAsia="Calibri"/>
        </w:rPr>
        <w:t xml:space="preserve">, main </w:t>
      </w:r>
      <w:proofErr w:type="spellStart"/>
      <w:r>
        <w:rPr>
          <w:rFonts w:eastAsia="Calibri"/>
        </w:rPr>
        <w:t>scientific</w:t>
      </w:r>
      <w:proofErr w:type="spellEnd"/>
      <w:r>
        <w:rPr>
          <w:rFonts w:eastAsia="Calibri"/>
        </w:rPr>
        <w:t xml:space="preserve"> </w:t>
      </w:r>
      <w:proofErr w:type="spellStart"/>
      <w:r>
        <w:rPr>
          <w:rFonts w:eastAsia="Calibri"/>
        </w:rPr>
        <w:t>field</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discipline</w:t>
      </w:r>
      <w:proofErr w:type="spellEnd"/>
      <w:r>
        <w:rPr>
          <w:rFonts w:eastAsia="Calibri"/>
        </w:rPr>
        <w:t xml:space="preserve">, </w:t>
      </w:r>
      <w:proofErr w:type="spellStart"/>
      <w:r>
        <w:rPr>
          <w:rFonts w:eastAsia="Calibri"/>
        </w:rPr>
        <w:t>thesis</w:t>
      </w:r>
      <w:proofErr w:type="spellEnd"/>
      <w:r>
        <w:rPr>
          <w:rFonts w:eastAsia="Calibri"/>
        </w:rPr>
        <w:t xml:space="preserve"> </w:t>
      </w:r>
      <w:proofErr w:type="spellStart"/>
      <w:r>
        <w:rPr>
          <w:rFonts w:eastAsia="Calibri"/>
        </w:rPr>
        <w:t>purpose</w:t>
      </w:r>
      <w:proofErr w:type="spellEnd"/>
      <w:r>
        <w:rPr>
          <w:rFonts w:eastAsia="Calibri"/>
        </w:rPr>
        <w:t xml:space="preserve">, </w:t>
      </w:r>
      <w:proofErr w:type="spellStart"/>
      <w:r>
        <w:rPr>
          <w:rFonts w:eastAsia="Calibri"/>
        </w:rPr>
        <w:t>research</w:t>
      </w:r>
      <w:proofErr w:type="spellEnd"/>
      <w:r>
        <w:rPr>
          <w:rFonts w:eastAsia="Calibri"/>
        </w:rPr>
        <w:t xml:space="preserve"> </w:t>
      </w:r>
      <w:proofErr w:type="spellStart"/>
      <w:r>
        <w:rPr>
          <w:rFonts w:eastAsia="Calibri"/>
        </w:rPr>
        <w:t>approach</w:t>
      </w:r>
      <w:proofErr w:type="spellEnd"/>
      <w:r>
        <w:rPr>
          <w:rFonts w:eastAsia="Calibri"/>
        </w:rPr>
        <w:t xml:space="preserve">, </w:t>
      </w:r>
      <w:proofErr w:type="spellStart"/>
      <w:r>
        <w:rPr>
          <w:rFonts w:eastAsia="Calibri"/>
        </w:rPr>
        <w:t>year</w:t>
      </w:r>
      <w:proofErr w:type="spellEnd"/>
      <w:r>
        <w:rPr>
          <w:rFonts w:eastAsia="Calibri"/>
        </w:rPr>
        <w:t xml:space="preserve">, </w:t>
      </w:r>
      <w:proofErr w:type="spellStart"/>
      <w:r>
        <w:rPr>
          <w:rFonts w:eastAsia="Calibri"/>
        </w:rPr>
        <w:t>page</w:t>
      </w:r>
      <w:proofErr w:type="spellEnd"/>
      <w:r>
        <w:rPr>
          <w:rFonts w:eastAsia="Calibri"/>
        </w:rPr>
        <w:t xml:space="preserve"> </w:t>
      </w:r>
      <w:proofErr w:type="spellStart"/>
      <w:r>
        <w:rPr>
          <w:rFonts w:eastAsia="Calibri"/>
        </w:rPr>
        <w:t>range</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proofErr w:type="gramStart"/>
      <w:r>
        <w:rPr>
          <w:rFonts w:eastAsia="Calibri"/>
        </w:rPr>
        <w:t>keywords.According</w:t>
      </w:r>
      <w:proofErr w:type="spellEnd"/>
      <w:proofErr w:type="gram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findings</w:t>
      </w:r>
      <w:proofErr w:type="spellEnd"/>
      <w:r>
        <w:rPr>
          <w:rFonts w:eastAsia="Calibri"/>
        </w:rPr>
        <w:t xml:space="preserve">, </w:t>
      </w:r>
      <w:proofErr w:type="spellStart"/>
      <w:r>
        <w:rPr>
          <w:rFonts w:eastAsia="Calibri"/>
        </w:rPr>
        <w:t>theses</w:t>
      </w:r>
      <w:proofErr w:type="spellEnd"/>
      <w:r>
        <w:rPr>
          <w:rFonts w:eastAsia="Calibri"/>
        </w:rPr>
        <w:t xml:space="preserve"> on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w:t>
      </w:r>
      <w:proofErr w:type="spellStart"/>
      <w:r>
        <w:rPr>
          <w:rFonts w:eastAsia="Calibri"/>
        </w:rPr>
        <w:t>are</w:t>
      </w:r>
      <w:proofErr w:type="spellEnd"/>
      <w:r>
        <w:rPr>
          <w:rFonts w:eastAsia="Calibri"/>
        </w:rPr>
        <w:t xml:space="preserve"> </w:t>
      </w:r>
      <w:proofErr w:type="spellStart"/>
      <w:r>
        <w:rPr>
          <w:rFonts w:eastAsia="Calibri"/>
        </w:rPr>
        <w:t>predominantly</w:t>
      </w:r>
      <w:proofErr w:type="spellEnd"/>
      <w:r>
        <w:rPr>
          <w:rFonts w:eastAsia="Calibri"/>
        </w:rPr>
        <w:t xml:space="preserve"> </w:t>
      </w:r>
      <w:proofErr w:type="spellStart"/>
      <w:r>
        <w:rPr>
          <w:rFonts w:eastAsia="Calibri"/>
        </w:rPr>
        <w:t>authored</w:t>
      </w:r>
      <w:proofErr w:type="spellEnd"/>
      <w:r>
        <w:rPr>
          <w:rFonts w:eastAsia="Calibri"/>
        </w:rPr>
        <w:t xml:space="preserve"> </w:t>
      </w:r>
      <w:proofErr w:type="spellStart"/>
      <w:r>
        <w:rPr>
          <w:rFonts w:eastAsia="Calibri"/>
        </w:rPr>
        <w:t>by</w:t>
      </w:r>
      <w:proofErr w:type="spellEnd"/>
      <w:r>
        <w:rPr>
          <w:rFonts w:eastAsia="Calibri"/>
        </w:rPr>
        <w:t xml:space="preserve"> </w:t>
      </w:r>
      <w:proofErr w:type="spellStart"/>
      <w:r>
        <w:rPr>
          <w:rFonts w:eastAsia="Calibri"/>
        </w:rPr>
        <w:t>local</w:t>
      </w:r>
      <w:proofErr w:type="spellEnd"/>
      <w:r>
        <w:rPr>
          <w:rFonts w:eastAsia="Calibri"/>
        </w:rPr>
        <w:t xml:space="preserve"> </w:t>
      </w:r>
      <w:proofErr w:type="spellStart"/>
      <w:r>
        <w:rPr>
          <w:rFonts w:eastAsia="Calibri"/>
        </w:rPr>
        <w:t>researchers</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are</w:t>
      </w:r>
      <w:proofErr w:type="spellEnd"/>
      <w:r>
        <w:rPr>
          <w:rFonts w:eastAsia="Calibri"/>
        </w:rPr>
        <w:t xml:space="preserve"> </w:t>
      </w:r>
      <w:proofErr w:type="spellStart"/>
      <w:r>
        <w:rPr>
          <w:rFonts w:eastAsia="Calibri"/>
        </w:rPr>
        <w:t>most</w:t>
      </w:r>
      <w:proofErr w:type="spellEnd"/>
      <w:r>
        <w:rPr>
          <w:rFonts w:eastAsia="Calibri"/>
        </w:rPr>
        <w:t xml:space="preserve"> </w:t>
      </w:r>
      <w:proofErr w:type="spellStart"/>
      <w:r>
        <w:rPr>
          <w:rFonts w:eastAsia="Calibri"/>
        </w:rPr>
        <w:t>commonly</w:t>
      </w:r>
      <w:proofErr w:type="spellEnd"/>
      <w:r>
        <w:rPr>
          <w:rFonts w:eastAsia="Calibri"/>
        </w:rPr>
        <w:t xml:space="preserve"> </w:t>
      </w:r>
      <w:proofErr w:type="spellStart"/>
      <w:r>
        <w:rPr>
          <w:rFonts w:eastAsia="Calibri"/>
        </w:rPr>
        <w:t>prepared</w:t>
      </w:r>
      <w:proofErr w:type="spellEnd"/>
      <w:r>
        <w:rPr>
          <w:rFonts w:eastAsia="Calibri"/>
        </w:rPr>
        <w:t xml:space="preserve"> </w:t>
      </w:r>
      <w:proofErr w:type="spellStart"/>
      <w:r>
        <w:rPr>
          <w:rFonts w:eastAsia="Calibri"/>
        </w:rPr>
        <w:t>within</w:t>
      </w:r>
      <w:proofErr w:type="spellEnd"/>
      <w:r>
        <w:rPr>
          <w:rFonts w:eastAsia="Calibri"/>
        </w:rPr>
        <w:t xml:space="preserve"> </w:t>
      </w:r>
      <w:proofErr w:type="spellStart"/>
      <w:r>
        <w:rPr>
          <w:rFonts w:eastAsia="Calibri"/>
        </w:rPr>
        <w:t>social</w:t>
      </w:r>
      <w:proofErr w:type="spellEnd"/>
      <w:r>
        <w:rPr>
          <w:rFonts w:eastAsia="Calibri"/>
        </w:rPr>
        <w:t xml:space="preserve"> </w:t>
      </w:r>
      <w:proofErr w:type="spellStart"/>
      <w:r>
        <w:rPr>
          <w:rFonts w:eastAsia="Calibri"/>
        </w:rPr>
        <w:t>science</w:t>
      </w:r>
      <w:proofErr w:type="spellEnd"/>
      <w:r>
        <w:rPr>
          <w:rFonts w:eastAsia="Calibri"/>
        </w:rPr>
        <w:t xml:space="preserve"> </w:t>
      </w:r>
      <w:proofErr w:type="spellStart"/>
      <w:r>
        <w:rPr>
          <w:rFonts w:eastAsia="Calibri"/>
        </w:rPr>
        <w:t>institutes</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subject</w:t>
      </w:r>
      <w:proofErr w:type="spellEnd"/>
      <w:r>
        <w:rPr>
          <w:rFonts w:eastAsia="Calibri"/>
        </w:rPr>
        <w:t xml:space="preserve"> is </w:t>
      </w:r>
      <w:proofErr w:type="spellStart"/>
      <w:r>
        <w:rPr>
          <w:rFonts w:eastAsia="Calibri"/>
        </w:rPr>
        <w:t>primarily</w:t>
      </w:r>
      <w:proofErr w:type="spellEnd"/>
      <w:r>
        <w:rPr>
          <w:rFonts w:eastAsia="Calibri"/>
        </w:rPr>
        <w:t xml:space="preserve"> </w:t>
      </w:r>
      <w:proofErr w:type="spellStart"/>
      <w:r>
        <w:rPr>
          <w:rFonts w:eastAsia="Calibri"/>
        </w:rPr>
        <w:t>addressed</w:t>
      </w:r>
      <w:proofErr w:type="spellEnd"/>
      <w:r>
        <w:rPr>
          <w:rFonts w:eastAsia="Calibri"/>
        </w:rPr>
        <w:t xml:space="preserve"> </w:t>
      </w:r>
      <w:proofErr w:type="spellStart"/>
      <w:r>
        <w:rPr>
          <w:rFonts w:eastAsia="Calibri"/>
        </w:rPr>
        <w:t>within</w:t>
      </w:r>
      <w:proofErr w:type="spellEnd"/>
      <w:r>
        <w:rPr>
          <w:rFonts w:eastAsia="Calibri"/>
        </w:rPr>
        <w:t xml:space="preserve"> </w:t>
      </w:r>
      <w:proofErr w:type="spellStart"/>
      <w:r>
        <w:rPr>
          <w:rFonts w:eastAsia="Calibri"/>
        </w:rPr>
        <w:t>departments</w:t>
      </w:r>
      <w:proofErr w:type="spellEnd"/>
      <w:r>
        <w:rPr>
          <w:rFonts w:eastAsia="Calibri"/>
        </w:rPr>
        <w:t xml:space="preserve"> </w:t>
      </w:r>
      <w:proofErr w:type="spellStart"/>
      <w:r>
        <w:rPr>
          <w:rFonts w:eastAsia="Calibri"/>
        </w:rPr>
        <w:t>related</w:t>
      </w:r>
      <w:proofErr w:type="spell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business</w:t>
      </w:r>
      <w:proofErr w:type="spellEnd"/>
      <w:r>
        <w:rPr>
          <w:rFonts w:eastAsia="Calibri"/>
        </w:rPr>
        <w:t xml:space="preserve"> </w:t>
      </w:r>
      <w:proofErr w:type="spellStart"/>
      <w:r>
        <w:rPr>
          <w:rFonts w:eastAsia="Calibri"/>
        </w:rPr>
        <w:t>administration</w:t>
      </w:r>
      <w:proofErr w:type="spellEnd"/>
      <w:r>
        <w:rPr>
          <w:rFonts w:eastAsia="Calibri"/>
        </w:rPr>
        <w:t xml:space="preserve">, </w:t>
      </w:r>
      <w:proofErr w:type="spellStart"/>
      <w:r>
        <w:rPr>
          <w:rFonts w:eastAsia="Calibri"/>
        </w:rPr>
        <w:t>followed</w:t>
      </w:r>
      <w:proofErr w:type="spellEnd"/>
      <w:r>
        <w:rPr>
          <w:rFonts w:eastAsia="Calibri"/>
        </w:rPr>
        <w:t xml:space="preserve"> </w:t>
      </w:r>
      <w:proofErr w:type="spellStart"/>
      <w:r>
        <w:rPr>
          <w:rFonts w:eastAsia="Calibri"/>
        </w:rPr>
        <w:t>by</w:t>
      </w:r>
      <w:proofErr w:type="spellEnd"/>
      <w:r>
        <w:rPr>
          <w:rFonts w:eastAsia="Calibri"/>
        </w:rPr>
        <w:t xml:space="preserve"> </w:t>
      </w:r>
      <w:proofErr w:type="spellStart"/>
      <w:r>
        <w:rPr>
          <w:rFonts w:eastAsia="Calibri"/>
        </w:rPr>
        <w:t>econometrics</w:t>
      </w:r>
      <w:proofErr w:type="spellEnd"/>
      <w:r>
        <w:rPr>
          <w:rFonts w:eastAsia="Calibri"/>
        </w:rPr>
        <w:t xml:space="preserve">. </w:t>
      </w:r>
      <w:proofErr w:type="spellStart"/>
      <w:r>
        <w:rPr>
          <w:rFonts w:eastAsia="Calibri"/>
        </w:rPr>
        <w:t>Moreover</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majority</w:t>
      </w:r>
      <w:proofErr w:type="spellEnd"/>
      <w:r>
        <w:rPr>
          <w:rFonts w:eastAsia="Calibri"/>
        </w:rPr>
        <w:t xml:space="preserve"> of </w:t>
      </w:r>
      <w:proofErr w:type="spellStart"/>
      <w:r>
        <w:rPr>
          <w:rFonts w:eastAsia="Calibri"/>
        </w:rPr>
        <w:t>these</w:t>
      </w:r>
      <w:proofErr w:type="spellEnd"/>
      <w:r>
        <w:rPr>
          <w:rFonts w:eastAsia="Calibri"/>
        </w:rPr>
        <w:t xml:space="preserve"> </w:t>
      </w:r>
      <w:proofErr w:type="spellStart"/>
      <w:r>
        <w:rPr>
          <w:rFonts w:eastAsia="Calibri"/>
        </w:rPr>
        <w:t>theses</w:t>
      </w:r>
      <w:proofErr w:type="spellEnd"/>
      <w:r>
        <w:rPr>
          <w:rFonts w:eastAsia="Calibri"/>
        </w:rPr>
        <w:t xml:space="preserve"> </w:t>
      </w:r>
      <w:proofErr w:type="spellStart"/>
      <w:r>
        <w:rPr>
          <w:rFonts w:eastAsia="Calibri"/>
        </w:rPr>
        <w:t>are</w:t>
      </w:r>
      <w:proofErr w:type="spellEnd"/>
      <w:r>
        <w:rPr>
          <w:rFonts w:eastAsia="Calibri"/>
        </w:rPr>
        <w:t xml:space="preserve"> </w:t>
      </w:r>
      <w:proofErr w:type="spellStart"/>
      <w:r>
        <w:rPr>
          <w:rFonts w:eastAsia="Calibri"/>
        </w:rPr>
        <w:t>master's</w:t>
      </w:r>
      <w:proofErr w:type="spellEnd"/>
      <w:r>
        <w:rPr>
          <w:rFonts w:eastAsia="Calibri"/>
        </w:rPr>
        <w:t xml:space="preserve"> </w:t>
      </w:r>
      <w:proofErr w:type="spellStart"/>
      <w:r>
        <w:rPr>
          <w:rFonts w:eastAsia="Calibri"/>
        </w:rPr>
        <w:t>theses</w:t>
      </w:r>
      <w:proofErr w:type="spellEnd"/>
      <w:r>
        <w:rPr>
          <w:rFonts w:eastAsia="Calibri"/>
        </w:rPr>
        <w:t xml:space="preserve">. </w:t>
      </w:r>
      <w:proofErr w:type="spellStart"/>
      <w:r>
        <w:rPr>
          <w:rFonts w:eastAsia="Calibri"/>
        </w:rPr>
        <w:t>In</w:t>
      </w:r>
      <w:proofErr w:type="spellEnd"/>
      <w:r>
        <w:rPr>
          <w:rFonts w:eastAsia="Calibri"/>
        </w:rPr>
        <w:t xml:space="preserve"> </w:t>
      </w:r>
      <w:proofErr w:type="spellStart"/>
      <w:r>
        <w:rPr>
          <w:rFonts w:eastAsia="Calibri"/>
        </w:rPr>
        <w:t>more</w:t>
      </w:r>
      <w:proofErr w:type="spellEnd"/>
      <w:r>
        <w:rPr>
          <w:rFonts w:eastAsia="Calibri"/>
        </w:rPr>
        <w:t xml:space="preserve"> </w:t>
      </w:r>
      <w:proofErr w:type="spellStart"/>
      <w:r>
        <w:rPr>
          <w:rFonts w:eastAsia="Calibri"/>
        </w:rPr>
        <w:t>than</w:t>
      </w:r>
      <w:proofErr w:type="spellEnd"/>
      <w:r>
        <w:rPr>
          <w:rFonts w:eastAsia="Calibri"/>
        </w:rPr>
        <w:t xml:space="preserve"> 60% of </w:t>
      </w:r>
      <w:proofErr w:type="spellStart"/>
      <w:r>
        <w:rPr>
          <w:rFonts w:eastAsia="Calibri"/>
        </w:rPr>
        <w:t>these</w:t>
      </w:r>
      <w:proofErr w:type="spellEnd"/>
      <w:r>
        <w:rPr>
          <w:rFonts w:eastAsia="Calibri"/>
        </w:rPr>
        <w:t xml:space="preserve"> </w:t>
      </w:r>
      <w:proofErr w:type="spellStart"/>
      <w:r>
        <w:rPr>
          <w:rFonts w:eastAsia="Calibri"/>
        </w:rPr>
        <w:t>studies</w:t>
      </w:r>
      <w:proofErr w:type="spellEnd"/>
      <w:r>
        <w:rPr>
          <w:rFonts w:eastAsia="Calibri"/>
        </w:rPr>
        <w:t xml:space="preserve">, </w:t>
      </w:r>
      <w:proofErr w:type="spellStart"/>
      <w:r>
        <w:rPr>
          <w:rFonts w:eastAsia="Calibri"/>
        </w:rPr>
        <w:t>the</w:t>
      </w:r>
      <w:proofErr w:type="spellEnd"/>
      <w:r>
        <w:rPr>
          <w:rFonts w:eastAsia="Calibri"/>
        </w:rPr>
        <w:t xml:space="preserve"> main </w:t>
      </w:r>
      <w:proofErr w:type="spellStart"/>
      <w:r>
        <w:rPr>
          <w:rFonts w:eastAsia="Calibri"/>
        </w:rPr>
        <w:t>aim</w:t>
      </w:r>
      <w:proofErr w:type="spellEnd"/>
      <w:r>
        <w:rPr>
          <w:rFonts w:eastAsia="Calibri"/>
        </w:rPr>
        <w:t xml:space="preserve"> is </w:t>
      </w:r>
      <w:proofErr w:type="spellStart"/>
      <w:r>
        <w:rPr>
          <w:rFonts w:eastAsia="Calibri"/>
        </w:rPr>
        <w:t>to</w:t>
      </w:r>
      <w:proofErr w:type="spellEnd"/>
      <w:r>
        <w:rPr>
          <w:rFonts w:eastAsia="Calibri"/>
        </w:rPr>
        <w:t xml:space="preserve"> </w:t>
      </w:r>
      <w:proofErr w:type="spellStart"/>
      <w:r>
        <w:rPr>
          <w:rFonts w:eastAsia="Calibri"/>
        </w:rPr>
        <w:t>predict</w:t>
      </w:r>
      <w:proofErr w:type="spellEnd"/>
      <w:r>
        <w:rPr>
          <w:rFonts w:eastAsia="Calibri"/>
        </w:rPr>
        <w:t xml:space="preserve">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w:t>
      </w:r>
      <w:proofErr w:type="spellStart"/>
      <w:r>
        <w:rPr>
          <w:rFonts w:eastAsia="Calibri"/>
        </w:rPr>
        <w:t>while</w:t>
      </w:r>
      <w:proofErr w:type="spellEnd"/>
      <w:r>
        <w:rPr>
          <w:rFonts w:eastAsia="Calibri"/>
        </w:rPr>
        <w:t xml:space="preserve"> </w:t>
      </w:r>
      <w:proofErr w:type="spellStart"/>
      <w:r>
        <w:rPr>
          <w:rFonts w:eastAsia="Calibri"/>
        </w:rPr>
        <w:t>identifying</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factors</w:t>
      </w:r>
      <w:proofErr w:type="spellEnd"/>
      <w:r>
        <w:rPr>
          <w:rFonts w:eastAsia="Calibri"/>
        </w:rPr>
        <w:t xml:space="preserve"> </w:t>
      </w:r>
      <w:proofErr w:type="spellStart"/>
      <w:r>
        <w:rPr>
          <w:rFonts w:eastAsia="Calibri"/>
        </w:rPr>
        <w:t>associated</w:t>
      </w:r>
      <w:proofErr w:type="spellEnd"/>
      <w:r>
        <w:rPr>
          <w:rFonts w:eastAsia="Calibri"/>
        </w:rPr>
        <w:t xml:space="preserve"> </w:t>
      </w:r>
      <w:proofErr w:type="spellStart"/>
      <w:r>
        <w:rPr>
          <w:rFonts w:eastAsia="Calibri"/>
        </w:rPr>
        <w:t>with</w:t>
      </w:r>
      <w:proofErr w:type="spellEnd"/>
      <w:r>
        <w:rPr>
          <w:rFonts w:eastAsia="Calibri"/>
        </w:rPr>
        <w:t xml:space="preserve">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is </w:t>
      </w:r>
      <w:proofErr w:type="spellStart"/>
      <w:r>
        <w:rPr>
          <w:rFonts w:eastAsia="Calibri"/>
        </w:rPr>
        <w:t>the</w:t>
      </w:r>
      <w:proofErr w:type="spellEnd"/>
      <w:r>
        <w:rPr>
          <w:rFonts w:eastAsia="Calibri"/>
        </w:rPr>
        <w:t xml:space="preserve"> </w:t>
      </w:r>
      <w:proofErr w:type="spellStart"/>
      <w:r>
        <w:rPr>
          <w:rFonts w:eastAsia="Calibri"/>
        </w:rPr>
        <w:t>second</w:t>
      </w:r>
      <w:proofErr w:type="spellEnd"/>
      <w:r>
        <w:rPr>
          <w:rFonts w:eastAsia="Calibri"/>
        </w:rPr>
        <w:t xml:space="preserve"> </w:t>
      </w:r>
      <w:proofErr w:type="spellStart"/>
      <w:r>
        <w:rPr>
          <w:rFonts w:eastAsia="Calibri"/>
        </w:rPr>
        <w:t>most</w:t>
      </w:r>
      <w:proofErr w:type="spellEnd"/>
      <w:r>
        <w:rPr>
          <w:rFonts w:eastAsia="Calibri"/>
        </w:rPr>
        <w:t xml:space="preserve"> </w:t>
      </w:r>
      <w:proofErr w:type="spellStart"/>
      <w:r>
        <w:rPr>
          <w:rFonts w:eastAsia="Calibri"/>
        </w:rPr>
        <w:t>frequent</w:t>
      </w:r>
      <w:proofErr w:type="spellEnd"/>
      <w:r>
        <w:rPr>
          <w:rFonts w:eastAsia="Calibri"/>
        </w:rPr>
        <w:t xml:space="preserve"> </w:t>
      </w:r>
      <w:proofErr w:type="spellStart"/>
      <w:r>
        <w:rPr>
          <w:rFonts w:eastAsia="Calibri"/>
        </w:rPr>
        <w:t>research</w:t>
      </w:r>
      <w:proofErr w:type="spellEnd"/>
      <w:r>
        <w:rPr>
          <w:rFonts w:eastAsia="Calibri"/>
        </w:rPr>
        <w:t xml:space="preserve"> </w:t>
      </w:r>
      <w:proofErr w:type="spellStart"/>
      <w:r>
        <w:rPr>
          <w:rFonts w:eastAsia="Calibri"/>
        </w:rPr>
        <w:t>objective</w:t>
      </w:r>
      <w:proofErr w:type="spellEnd"/>
      <w:r>
        <w:rPr>
          <w:rFonts w:eastAsia="Calibri"/>
        </w:rPr>
        <w:t xml:space="preserve">. </w:t>
      </w:r>
      <w:proofErr w:type="spellStart"/>
      <w:r>
        <w:rPr>
          <w:rFonts w:eastAsia="Calibri"/>
        </w:rPr>
        <w:t>Additionally</w:t>
      </w:r>
      <w:proofErr w:type="spellEnd"/>
      <w:r>
        <w:rPr>
          <w:rFonts w:eastAsia="Calibri"/>
        </w:rPr>
        <w:t xml:space="preserve">, it </w:t>
      </w:r>
      <w:proofErr w:type="spellStart"/>
      <w:r>
        <w:rPr>
          <w:rFonts w:eastAsia="Calibri"/>
        </w:rPr>
        <w:t>was</w:t>
      </w:r>
      <w:proofErr w:type="spellEnd"/>
      <w:r>
        <w:rPr>
          <w:rFonts w:eastAsia="Calibri"/>
        </w:rPr>
        <w:t xml:space="preserve"> </w:t>
      </w:r>
      <w:proofErr w:type="spellStart"/>
      <w:r>
        <w:rPr>
          <w:rFonts w:eastAsia="Calibri"/>
        </w:rPr>
        <w:t>found</w:t>
      </w:r>
      <w:proofErr w:type="spellEnd"/>
      <w:r>
        <w:rPr>
          <w:rFonts w:eastAsia="Calibri"/>
        </w:rPr>
        <w:t xml:space="preserve"> </w:t>
      </w:r>
      <w:proofErr w:type="spellStart"/>
      <w:r>
        <w:rPr>
          <w:rFonts w:eastAsia="Calibri"/>
        </w:rPr>
        <w:t>that</w:t>
      </w:r>
      <w:proofErr w:type="spellEnd"/>
      <w:r>
        <w:rPr>
          <w:rFonts w:eastAsia="Calibri"/>
        </w:rPr>
        <w:t xml:space="preserve"> </w:t>
      </w:r>
      <w:proofErr w:type="spellStart"/>
      <w:r>
        <w:rPr>
          <w:rFonts w:eastAsia="Calibri"/>
        </w:rPr>
        <w:t>approximately</w:t>
      </w:r>
      <w:proofErr w:type="spellEnd"/>
      <w:r>
        <w:rPr>
          <w:rFonts w:eastAsia="Calibri"/>
        </w:rPr>
        <w:t xml:space="preserve"> 98% of </w:t>
      </w:r>
      <w:proofErr w:type="spellStart"/>
      <w:r>
        <w:rPr>
          <w:rFonts w:eastAsia="Calibri"/>
        </w:rPr>
        <w:t>these</w:t>
      </w:r>
      <w:proofErr w:type="spellEnd"/>
      <w:r>
        <w:rPr>
          <w:rFonts w:eastAsia="Calibri"/>
        </w:rPr>
        <w:t xml:space="preserve"> </w:t>
      </w:r>
      <w:proofErr w:type="spellStart"/>
      <w:r>
        <w:rPr>
          <w:rFonts w:eastAsia="Calibri"/>
        </w:rPr>
        <w:t>studies</w:t>
      </w:r>
      <w:proofErr w:type="spellEnd"/>
      <w:r>
        <w:rPr>
          <w:rFonts w:eastAsia="Calibri"/>
        </w:rPr>
        <w:t xml:space="preserve"> </w:t>
      </w:r>
      <w:proofErr w:type="spellStart"/>
      <w:r>
        <w:rPr>
          <w:rFonts w:eastAsia="Calibri"/>
        </w:rPr>
        <w:t>adopt</w:t>
      </w:r>
      <w:proofErr w:type="spellEnd"/>
      <w:r>
        <w:rPr>
          <w:rFonts w:eastAsia="Calibri"/>
        </w:rPr>
        <w:t xml:space="preserve"> an </w:t>
      </w:r>
      <w:proofErr w:type="spellStart"/>
      <w:r>
        <w:rPr>
          <w:rFonts w:eastAsia="Calibri"/>
        </w:rPr>
        <w:t>empirical</w:t>
      </w:r>
      <w:proofErr w:type="spellEnd"/>
      <w:r>
        <w:rPr>
          <w:rFonts w:eastAsia="Calibri"/>
        </w:rPr>
        <w:t xml:space="preserve"> </w:t>
      </w:r>
      <w:proofErr w:type="spellStart"/>
      <w:r>
        <w:rPr>
          <w:rFonts w:eastAsia="Calibri"/>
        </w:rPr>
        <w:t>approach</w:t>
      </w:r>
      <w:proofErr w:type="spellEnd"/>
      <w:r>
        <w:rPr>
          <w:rFonts w:eastAsia="Calibri"/>
        </w:rPr>
        <w:t xml:space="preserve">. </w:t>
      </w:r>
      <w:proofErr w:type="spellStart"/>
      <w:r>
        <w:rPr>
          <w:rFonts w:eastAsia="Calibri"/>
        </w:rPr>
        <w:t>Although</w:t>
      </w:r>
      <w:proofErr w:type="spellEnd"/>
      <w:r>
        <w:rPr>
          <w:rFonts w:eastAsia="Calibri"/>
        </w:rPr>
        <w:t xml:space="preserve"> </w:t>
      </w:r>
      <w:proofErr w:type="spellStart"/>
      <w:r>
        <w:rPr>
          <w:rFonts w:eastAsia="Calibri"/>
        </w:rPr>
        <w:t>theses</w:t>
      </w:r>
      <w:proofErr w:type="spellEnd"/>
      <w:r>
        <w:rPr>
          <w:rFonts w:eastAsia="Calibri"/>
        </w:rPr>
        <w:t xml:space="preserve"> on </w:t>
      </w:r>
      <w:proofErr w:type="spellStart"/>
      <w:r>
        <w:rPr>
          <w:rFonts w:eastAsia="Calibri"/>
        </w:rPr>
        <w:t>the</w:t>
      </w:r>
      <w:proofErr w:type="spellEnd"/>
      <w:r>
        <w:rPr>
          <w:rFonts w:eastAsia="Calibri"/>
        </w:rPr>
        <w:t xml:space="preserve"> </w:t>
      </w:r>
      <w:proofErr w:type="spellStart"/>
      <w:r>
        <w:rPr>
          <w:rFonts w:eastAsia="Calibri"/>
        </w:rPr>
        <w:t>topic</w:t>
      </w:r>
      <w:proofErr w:type="spellEnd"/>
      <w:r>
        <w:rPr>
          <w:rFonts w:eastAsia="Calibri"/>
        </w:rPr>
        <w:t xml:space="preserve"> </w:t>
      </w:r>
      <w:proofErr w:type="spellStart"/>
      <w:r>
        <w:rPr>
          <w:rFonts w:eastAsia="Calibri"/>
        </w:rPr>
        <w:t>have</w:t>
      </w:r>
      <w:proofErr w:type="spellEnd"/>
      <w:r>
        <w:rPr>
          <w:rFonts w:eastAsia="Calibri"/>
        </w:rPr>
        <w:t xml:space="preserve"> </w:t>
      </w:r>
      <w:proofErr w:type="spellStart"/>
      <w:r>
        <w:rPr>
          <w:rFonts w:eastAsia="Calibri"/>
        </w:rPr>
        <w:t>existed</w:t>
      </w:r>
      <w:proofErr w:type="spellEnd"/>
      <w:r>
        <w:rPr>
          <w:rFonts w:eastAsia="Calibri"/>
        </w:rPr>
        <w:t xml:space="preserve"> since 1992, </w:t>
      </w:r>
      <w:proofErr w:type="spellStart"/>
      <w:r>
        <w:rPr>
          <w:rFonts w:eastAsia="Calibri"/>
        </w:rPr>
        <w:t>research</w:t>
      </w:r>
      <w:proofErr w:type="spellEnd"/>
      <w:r>
        <w:rPr>
          <w:rFonts w:eastAsia="Calibri"/>
        </w:rPr>
        <w:t xml:space="preserve"> on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has </w:t>
      </w:r>
      <w:proofErr w:type="spellStart"/>
      <w:r>
        <w:rPr>
          <w:rFonts w:eastAsia="Calibri"/>
        </w:rPr>
        <w:t>notably</w:t>
      </w:r>
      <w:proofErr w:type="spellEnd"/>
      <w:r>
        <w:rPr>
          <w:rFonts w:eastAsia="Calibri"/>
        </w:rPr>
        <w:t xml:space="preserve"> </w:t>
      </w:r>
      <w:proofErr w:type="spellStart"/>
      <w:r>
        <w:rPr>
          <w:rFonts w:eastAsia="Calibri"/>
        </w:rPr>
        <w:t>increased</w:t>
      </w:r>
      <w:proofErr w:type="spellEnd"/>
      <w:r>
        <w:rPr>
          <w:rFonts w:eastAsia="Calibri"/>
        </w:rPr>
        <w:t xml:space="preserve"> since 2018. </w:t>
      </w:r>
      <w:proofErr w:type="spellStart"/>
      <w:r>
        <w:rPr>
          <w:rFonts w:eastAsia="Calibri"/>
        </w:rPr>
        <w:t>Finally</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most</w:t>
      </w:r>
      <w:proofErr w:type="spellEnd"/>
      <w:r>
        <w:rPr>
          <w:rFonts w:eastAsia="Calibri"/>
        </w:rPr>
        <w:t xml:space="preserve"> </w:t>
      </w:r>
      <w:proofErr w:type="spellStart"/>
      <w:r>
        <w:rPr>
          <w:rFonts w:eastAsia="Calibri"/>
        </w:rPr>
        <w:t>commonly</w:t>
      </w:r>
      <w:proofErr w:type="spellEnd"/>
      <w:r>
        <w:rPr>
          <w:rFonts w:eastAsia="Calibri"/>
        </w:rPr>
        <w:t xml:space="preserve"> </w:t>
      </w:r>
      <w:proofErr w:type="spellStart"/>
      <w:r>
        <w:rPr>
          <w:rFonts w:eastAsia="Calibri"/>
        </w:rPr>
        <w:t>used</w:t>
      </w:r>
      <w:proofErr w:type="spellEnd"/>
      <w:r>
        <w:rPr>
          <w:rFonts w:eastAsia="Calibri"/>
        </w:rPr>
        <w:t xml:space="preserve"> </w:t>
      </w:r>
      <w:proofErr w:type="spellStart"/>
      <w:r>
        <w:rPr>
          <w:rFonts w:eastAsia="Calibri"/>
        </w:rPr>
        <w:t>keywords</w:t>
      </w:r>
      <w:proofErr w:type="spellEnd"/>
      <w:r>
        <w:rPr>
          <w:rFonts w:eastAsia="Calibri"/>
        </w:rPr>
        <w:t xml:space="preserve"> in </w:t>
      </w:r>
      <w:proofErr w:type="spellStart"/>
      <w:r>
        <w:rPr>
          <w:rFonts w:eastAsia="Calibri"/>
        </w:rPr>
        <w:t>these</w:t>
      </w:r>
      <w:proofErr w:type="spellEnd"/>
      <w:r>
        <w:rPr>
          <w:rFonts w:eastAsia="Calibri"/>
        </w:rPr>
        <w:t xml:space="preserve"> </w:t>
      </w:r>
      <w:proofErr w:type="spellStart"/>
      <w:r>
        <w:rPr>
          <w:rFonts w:eastAsia="Calibri"/>
        </w:rPr>
        <w:t>studies</w:t>
      </w:r>
      <w:proofErr w:type="spellEnd"/>
      <w:r>
        <w:rPr>
          <w:rFonts w:eastAsia="Calibri"/>
        </w:rPr>
        <w:t xml:space="preserve"> </w:t>
      </w:r>
      <w:proofErr w:type="spellStart"/>
      <w:r>
        <w:rPr>
          <w:rFonts w:eastAsia="Calibri"/>
        </w:rPr>
        <w:t>were</w:t>
      </w:r>
      <w:proofErr w:type="spellEnd"/>
      <w:r>
        <w:rPr>
          <w:rFonts w:eastAsia="Calibri"/>
        </w:rPr>
        <w:t xml:space="preserve"> "</w:t>
      </w:r>
      <w:proofErr w:type="spellStart"/>
      <w:r>
        <w:rPr>
          <w:rFonts w:eastAsia="Calibri"/>
        </w:rPr>
        <w:t>financial</w:t>
      </w:r>
      <w:proofErr w:type="spellEnd"/>
      <w:r>
        <w:rPr>
          <w:rFonts w:eastAsia="Calibri"/>
        </w:rPr>
        <w:t xml:space="preserve"> </w:t>
      </w:r>
      <w:proofErr w:type="spellStart"/>
      <w:r>
        <w:rPr>
          <w:rFonts w:eastAsia="Calibri"/>
        </w:rPr>
        <w:t>failure</w:t>
      </w:r>
      <w:proofErr w:type="spellEnd"/>
      <w:r>
        <w:rPr>
          <w:rFonts w:eastAsia="Calibri"/>
        </w:rPr>
        <w:t xml:space="preserve">", "Borsa </w:t>
      </w:r>
      <w:proofErr w:type="spellStart"/>
      <w:r>
        <w:rPr>
          <w:rFonts w:eastAsia="Calibri"/>
        </w:rPr>
        <w:t>Istanbul</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logistic</w:t>
      </w:r>
      <w:proofErr w:type="spellEnd"/>
      <w:r>
        <w:rPr>
          <w:rFonts w:eastAsia="Calibri"/>
        </w:rPr>
        <w:t xml:space="preserve"> </w:t>
      </w:r>
      <w:proofErr w:type="spellStart"/>
      <w:r>
        <w:rPr>
          <w:rFonts w:eastAsia="Calibri"/>
        </w:rPr>
        <w:t>regression</w:t>
      </w:r>
      <w:proofErr w:type="spellEnd"/>
      <w:r>
        <w:rPr>
          <w:rFonts w:eastAsia="Calibri"/>
        </w:rPr>
        <w:t xml:space="preserve"> </w:t>
      </w:r>
      <w:proofErr w:type="spellStart"/>
      <w:r>
        <w:rPr>
          <w:rFonts w:eastAsia="Calibri"/>
        </w:rPr>
        <w:t>analysis</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synthesis</w:t>
      </w:r>
      <w:proofErr w:type="spellEnd"/>
      <w:r>
        <w:rPr>
          <w:rFonts w:eastAsia="Calibri"/>
        </w:rPr>
        <w:t xml:space="preserve"> of </w:t>
      </w:r>
      <w:proofErr w:type="spellStart"/>
      <w:r>
        <w:rPr>
          <w:rFonts w:eastAsia="Calibri"/>
        </w:rPr>
        <w:t>all</w:t>
      </w:r>
      <w:proofErr w:type="spellEnd"/>
      <w:r>
        <w:rPr>
          <w:rFonts w:eastAsia="Calibri"/>
        </w:rPr>
        <w:t xml:space="preserve"> </w:t>
      </w:r>
      <w:proofErr w:type="spellStart"/>
      <w:r>
        <w:rPr>
          <w:rFonts w:eastAsia="Calibri"/>
        </w:rPr>
        <w:t>the</w:t>
      </w:r>
      <w:proofErr w:type="spellEnd"/>
      <w:r>
        <w:rPr>
          <w:rFonts w:eastAsia="Calibri"/>
        </w:rPr>
        <w:t xml:space="preserve"> </w:t>
      </w:r>
      <w:proofErr w:type="spellStart"/>
      <w:r>
        <w:rPr>
          <w:rFonts w:eastAsia="Calibri"/>
        </w:rPr>
        <w:t>statistical</w:t>
      </w:r>
      <w:proofErr w:type="spellEnd"/>
      <w:r>
        <w:rPr>
          <w:rFonts w:eastAsia="Calibri"/>
        </w:rPr>
        <w:t xml:space="preserve"> </w:t>
      </w:r>
      <w:proofErr w:type="spellStart"/>
      <w:r>
        <w:rPr>
          <w:rFonts w:eastAsia="Calibri"/>
        </w:rPr>
        <w:t>findings</w:t>
      </w:r>
      <w:proofErr w:type="spellEnd"/>
      <w:r>
        <w:rPr>
          <w:rFonts w:eastAsia="Calibri"/>
        </w:rPr>
        <w:t xml:space="preserve"> in </w:t>
      </w:r>
      <w:proofErr w:type="spellStart"/>
      <w:r>
        <w:rPr>
          <w:rFonts w:eastAsia="Calibri"/>
        </w:rPr>
        <w:t>this</w:t>
      </w:r>
      <w:proofErr w:type="spellEnd"/>
      <w:r>
        <w:rPr>
          <w:rFonts w:eastAsia="Calibri"/>
        </w:rPr>
        <w:t xml:space="preserve"> </w:t>
      </w:r>
      <w:proofErr w:type="spellStart"/>
      <w:r>
        <w:rPr>
          <w:rFonts w:eastAsia="Calibri"/>
        </w:rPr>
        <w:t>research</w:t>
      </w:r>
      <w:proofErr w:type="spellEnd"/>
      <w:r>
        <w:rPr>
          <w:rFonts w:eastAsia="Calibri"/>
        </w:rPr>
        <w:t xml:space="preserve"> is </w:t>
      </w:r>
      <w:proofErr w:type="spellStart"/>
      <w:r>
        <w:rPr>
          <w:rFonts w:eastAsia="Calibri"/>
        </w:rPr>
        <w:t>expected</w:t>
      </w:r>
      <w:proofErr w:type="spell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make</w:t>
      </w:r>
      <w:proofErr w:type="spellEnd"/>
      <w:r>
        <w:rPr>
          <w:rFonts w:eastAsia="Calibri"/>
        </w:rPr>
        <w:t xml:space="preserve"> a </w:t>
      </w:r>
      <w:proofErr w:type="spellStart"/>
      <w:r>
        <w:rPr>
          <w:rFonts w:eastAsia="Calibri"/>
        </w:rPr>
        <w:t>meaningful</w:t>
      </w:r>
      <w:proofErr w:type="spellEnd"/>
      <w:r>
        <w:rPr>
          <w:rFonts w:eastAsia="Calibri"/>
        </w:rPr>
        <w:t xml:space="preserve"> </w:t>
      </w:r>
      <w:proofErr w:type="spellStart"/>
      <w:r>
        <w:rPr>
          <w:rFonts w:eastAsia="Calibri"/>
        </w:rPr>
        <w:t>contribution</w:t>
      </w:r>
      <w:proofErr w:type="spellEnd"/>
      <w:r>
        <w:rPr>
          <w:rFonts w:eastAsia="Calibri"/>
        </w:rPr>
        <w:t xml:space="preserve"> </w:t>
      </w:r>
      <w:proofErr w:type="spellStart"/>
      <w:r>
        <w:rPr>
          <w:rFonts w:eastAsia="Calibri"/>
        </w:rPr>
        <w:t>to</w:t>
      </w:r>
      <w:proofErr w:type="spellEnd"/>
      <w:r>
        <w:rPr>
          <w:rFonts w:eastAsia="Calibri"/>
        </w:rPr>
        <w:t xml:space="preserve"> </w:t>
      </w:r>
      <w:proofErr w:type="spellStart"/>
      <w:r>
        <w:rPr>
          <w:rFonts w:eastAsia="Calibri"/>
        </w:rPr>
        <w:t>guiding</w:t>
      </w:r>
      <w:proofErr w:type="spellEnd"/>
      <w:r>
        <w:rPr>
          <w:rFonts w:eastAsia="Calibri"/>
        </w:rPr>
        <w:t xml:space="preserve"> </w:t>
      </w:r>
      <w:proofErr w:type="spellStart"/>
      <w:r>
        <w:rPr>
          <w:rFonts w:eastAsia="Calibri"/>
        </w:rPr>
        <w:t>future</w:t>
      </w:r>
      <w:proofErr w:type="spellEnd"/>
      <w:r>
        <w:rPr>
          <w:rFonts w:eastAsia="Calibri"/>
        </w:rPr>
        <w:t xml:space="preserve"> </w:t>
      </w:r>
      <w:proofErr w:type="spellStart"/>
      <w:r>
        <w:rPr>
          <w:rFonts w:eastAsia="Calibri"/>
        </w:rPr>
        <w:t>studies</w:t>
      </w:r>
      <w:proofErr w:type="spellEnd"/>
      <w:r>
        <w:rPr>
          <w:rFonts w:eastAsia="Calibri"/>
        </w:rPr>
        <w:t xml:space="preserve"> on </w:t>
      </w:r>
      <w:proofErr w:type="spellStart"/>
      <w:r>
        <w:rPr>
          <w:rFonts w:eastAsia="Calibri"/>
        </w:rPr>
        <w:t>the</w:t>
      </w:r>
      <w:proofErr w:type="spellEnd"/>
      <w:r>
        <w:rPr>
          <w:rFonts w:eastAsia="Calibri"/>
        </w:rPr>
        <w:t xml:space="preserve"> </w:t>
      </w:r>
      <w:proofErr w:type="spellStart"/>
      <w:r>
        <w:rPr>
          <w:rFonts w:eastAsia="Calibri"/>
        </w:rPr>
        <w:t>subject</w:t>
      </w:r>
      <w:proofErr w:type="spellEnd"/>
      <w:r>
        <w:rPr>
          <w:rFonts w:eastAsia="Calibri"/>
        </w:rPr>
        <w:t xml:space="preserve"> </w:t>
      </w:r>
      <w:proofErr w:type="spellStart"/>
      <w:r>
        <w:rPr>
          <w:rFonts w:eastAsia="Calibri"/>
        </w:rPr>
        <w:t>and</w:t>
      </w:r>
      <w:proofErr w:type="spellEnd"/>
      <w:r>
        <w:rPr>
          <w:rFonts w:eastAsia="Calibri"/>
        </w:rPr>
        <w:t xml:space="preserve"> </w:t>
      </w:r>
      <w:proofErr w:type="spellStart"/>
      <w:r>
        <w:rPr>
          <w:rFonts w:eastAsia="Calibri"/>
        </w:rPr>
        <w:t>helping</w:t>
      </w:r>
      <w:proofErr w:type="spellEnd"/>
      <w:r>
        <w:rPr>
          <w:rFonts w:eastAsia="Calibri"/>
        </w:rPr>
        <w:t xml:space="preserve"> </w:t>
      </w:r>
      <w:proofErr w:type="spellStart"/>
      <w:r>
        <w:rPr>
          <w:rFonts w:eastAsia="Calibri"/>
        </w:rPr>
        <w:t>researchers</w:t>
      </w:r>
      <w:proofErr w:type="spellEnd"/>
      <w:r>
        <w:rPr>
          <w:rFonts w:eastAsia="Calibri"/>
        </w:rPr>
        <w:t xml:space="preserve"> </w:t>
      </w:r>
      <w:proofErr w:type="spellStart"/>
      <w:r>
        <w:rPr>
          <w:rFonts w:eastAsia="Calibri"/>
        </w:rPr>
        <w:t>determine</w:t>
      </w:r>
      <w:proofErr w:type="spellEnd"/>
      <w:r>
        <w:rPr>
          <w:rFonts w:eastAsia="Calibri"/>
        </w:rPr>
        <w:t xml:space="preserve"> </w:t>
      </w:r>
      <w:proofErr w:type="spellStart"/>
      <w:r>
        <w:rPr>
          <w:rFonts w:eastAsia="Calibri"/>
        </w:rPr>
        <w:t>their</w:t>
      </w:r>
      <w:proofErr w:type="spellEnd"/>
      <w:r>
        <w:rPr>
          <w:rFonts w:eastAsia="Calibri"/>
        </w:rPr>
        <w:t xml:space="preserve"> </w:t>
      </w:r>
      <w:proofErr w:type="spellStart"/>
      <w:r>
        <w:rPr>
          <w:rFonts w:eastAsia="Calibri"/>
        </w:rPr>
        <w:t>directions</w:t>
      </w:r>
      <w:proofErr w:type="spellEnd"/>
      <w:r>
        <w:rPr>
          <w:rFonts w:eastAsia="Calibri"/>
        </w:rPr>
        <w:t xml:space="preserve"> in </w:t>
      </w:r>
      <w:proofErr w:type="spellStart"/>
      <w:r>
        <w:rPr>
          <w:rFonts w:eastAsia="Calibri"/>
        </w:rPr>
        <w:t>forthcoming</w:t>
      </w:r>
      <w:proofErr w:type="spellEnd"/>
      <w:r>
        <w:rPr>
          <w:rFonts w:eastAsia="Calibri"/>
        </w:rPr>
        <w:t xml:space="preserve"> </w:t>
      </w:r>
      <w:proofErr w:type="spellStart"/>
      <w:r>
        <w:rPr>
          <w:rFonts w:eastAsia="Calibri"/>
        </w:rPr>
        <w:t>research</w:t>
      </w:r>
      <w:proofErr w:type="spellEnd"/>
      <w:r>
        <w:rPr>
          <w:rFonts w:eastAsia="Calibri"/>
        </w:rPr>
        <w:t>.</w:t>
      </w:r>
    </w:p>
    <w:p w14:paraId="4CB8DCAD" w14:textId="77777777" w:rsidR="003B45CB" w:rsidRDefault="003B45CB" w:rsidP="003B45CB">
      <w:pPr>
        <w:jc w:val="both"/>
        <w:rPr>
          <w:rFonts w:eastAsia="Calibri"/>
        </w:rPr>
      </w:pPr>
    </w:p>
    <w:p w14:paraId="61482BC6" w14:textId="77777777" w:rsidR="001E7189" w:rsidRDefault="001E7189" w:rsidP="003B45CB">
      <w:pPr>
        <w:jc w:val="both"/>
        <w:rPr>
          <w:rFonts w:eastAsia="Calibri"/>
        </w:rPr>
      </w:pPr>
      <w:proofErr w:type="spellStart"/>
      <w:r>
        <w:rPr>
          <w:rFonts w:eastAsia="Calibri"/>
          <w:b/>
        </w:rPr>
        <w:t>Keywords</w:t>
      </w:r>
      <w:proofErr w:type="spellEnd"/>
      <w:r>
        <w:rPr>
          <w:rFonts w:eastAsia="Calibri"/>
          <w:b/>
        </w:rPr>
        <w:t xml:space="preserve">: </w:t>
      </w:r>
      <w:r>
        <w:rPr>
          <w:rFonts w:eastAsia="Calibri"/>
        </w:rPr>
        <w:t xml:space="preserve">Financial </w:t>
      </w:r>
      <w:proofErr w:type="spellStart"/>
      <w:r>
        <w:rPr>
          <w:rFonts w:eastAsia="Calibri"/>
        </w:rPr>
        <w:t>Failure</w:t>
      </w:r>
      <w:proofErr w:type="spellEnd"/>
      <w:r>
        <w:rPr>
          <w:rFonts w:eastAsia="Calibri"/>
        </w:rPr>
        <w:t xml:space="preserve">, Financial </w:t>
      </w:r>
      <w:proofErr w:type="spellStart"/>
      <w:r>
        <w:rPr>
          <w:rFonts w:eastAsia="Calibri"/>
        </w:rPr>
        <w:t>Ratios</w:t>
      </w:r>
      <w:proofErr w:type="spellEnd"/>
      <w:r>
        <w:rPr>
          <w:rFonts w:eastAsia="Calibri"/>
        </w:rPr>
        <w:t xml:space="preserve">, Content Analysis, </w:t>
      </w:r>
      <w:proofErr w:type="spellStart"/>
      <w:r>
        <w:rPr>
          <w:rFonts w:eastAsia="Calibri"/>
        </w:rPr>
        <w:t>Graduate</w:t>
      </w:r>
      <w:proofErr w:type="spellEnd"/>
      <w:r>
        <w:rPr>
          <w:rFonts w:eastAsia="Calibri"/>
        </w:rPr>
        <w:t xml:space="preserve"> </w:t>
      </w:r>
      <w:proofErr w:type="spellStart"/>
      <w:r>
        <w:rPr>
          <w:rFonts w:eastAsia="Calibri"/>
        </w:rPr>
        <w:t>Thesis</w:t>
      </w:r>
      <w:proofErr w:type="spellEnd"/>
      <w:r>
        <w:rPr>
          <w:rFonts w:eastAsia="Calibri"/>
        </w:rPr>
        <w:t xml:space="preserve"> </w:t>
      </w:r>
      <w:proofErr w:type="spellStart"/>
      <w:r>
        <w:rPr>
          <w:rFonts w:eastAsia="Calibri"/>
        </w:rPr>
        <w:t>Studies</w:t>
      </w:r>
      <w:proofErr w:type="spellEnd"/>
      <w:r>
        <w:rPr>
          <w:rFonts w:eastAsia="Calibri"/>
        </w:rPr>
        <w:t>.</w:t>
      </w:r>
    </w:p>
    <w:p w14:paraId="09307AD1" w14:textId="77777777" w:rsidR="001E7189" w:rsidRDefault="001E7189" w:rsidP="003B45CB">
      <w:pPr>
        <w:jc w:val="both"/>
        <w:rPr>
          <w:rFonts w:eastAsia="Calibri"/>
        </w:rPr>
      </w:pPr>
    </w:p>
    <w:p w14:paraId="23E464AA" w14:textId="77777777" w:rsidR="001E7189" w:rsidRPr="00714BC1" w:rsidRDefault="001E7189" w:rsidP="003B45CB">
      <w:pPr>
        <w:rPr>
          <w:rFonts w:eastAsiaTheme="minorHAnsi"/>
          <w:b/>
          <w:bCs/>
        </w:rPr>
      </w:pPr>
      <w:r w:rsidRPr="00714BC1">
        <w:rPr>
          <w:b/>
          <w:bCs/>
        </w:rPr>
        <w:t>GİRİŞ</w:t>
      </w:r>
    </w:p>
    <w:p w14:paraId="0BF6A534" w14:textId="66D9F78F" w:rsidR="001E7189" w:rsidRDefault="001E7189" w:rsidP="003B45CB">
      <w:pPr>
        <w:jc w:val="both"/>
      </w:pPr>
      <w:r>
        <w:t>İşletmenin sürekliliği kavramı gereğince sonsuz olduğu öngörülen ömrünün; alınan yanlış kararlar, uygulanan yanlış politikalar ya da işletmenin faaliyette bulunduğu ülkenin yaşadığı finansal ya da çevresel krizlerden etkilenmesi ve daha birçok çevresel veya işletmenin yapısal sorunları nedeniyle kısalmasına hatta sonlanmasına neden olabilmektedir. Dolayısıyla son yıllarda “finansal başarısızlık” kavramının önemi ve ne kadar öngörülebildiği birçok araştırmaya konu olmaya devam etmektedir. Bu anlamda 1930 yılından bu zamana kadar finansal başarısızlık üzerine pek çok çalışma yapılmış ve 1960’lı yıllardan günümüze kadar pek çok yöntem (</w:t>
      </w:r>
      <w:proofErr w:type="spellStart"/>
      <w:r>
        <w:t>Altman</w:t>
      </w:r>
      <w:proofErr w:type="spellEnd"/>
      <w:r>
        <w:t xml:space="preserve"> Z-skor, </w:t>
      </w:r>
      <w:proofErr w:type="spellStart"/>
      <w:r>
        <w:t>Springate</w:t>
      </w:r>
      <w:proofErr w:type="spellEnd"/>
      <w:r>
        <w:t xml:space="preserve"> S-Skor modeli, yapay sinir ağları vb.) geliştirilmiştir. Çalışmaların çokluğu ve yöntemlerin çeşitliliği hem araştırmacılar hem de uygulayıcılar açısından zorluklar yaşanmasına neden olabilmektedir. Amaca uygun bir yaklaşımla değerlendirme yapabilmek için bu çalışmaların ve yöntemlerin sentezlenmesi bir gerekliliktir.</w:t>
      </w:r>
    </w:p>
    <w:p w14:paraId="102C6E65" w14:textId="52FB281A" w:rsidR="001E7189" w:rsidRDefault="001E7189" w:rsidP="003B45CB">
      <w:pPr>
        <w:jc w:val="both"/>
      </w:pPr>
      <w:r>
        <w:t xml:space="preserve">Bu nedenle, bu çalışmada Türkiye’de 1990’lı yıllardan itibaren “finansal başarısızlık” üzerine </w:t>
      </w:r>
      <w:r>
        <w:lastRenderedPageBreak/>
        <w:t>yayımlanmış bulunan lisansüstü tezlerin çeşitli parametrelere göre sistematik olarak incelenmesi amaçlanmıştır. Tez çalışmalarını belirli kategorilere göre değerlendirmek suretiyle, gelecek araştırmalar için literatürde doldurulabilecek boşluklara ilişkin anlamlı bir katkı sağlanması beklenmektedir.</w:t>
      </w:r>
    </w:p>
    <w:p w14:paraId="1617D144" w14:textId="77777777" w:rsidR="003B45CB" w:rsidRDefault="003B45CB" w:rsidP="003B45CB">
      <w:pPr>
        <w:jc w:val="both"/>
      </w:pPr>
    </w:p>
    <w:p w14:paraId="1393DC81" w14:textId="77777777" w:rsidR="001E7189" w:rsidRDefault="001E7189" w:rsidP="003B45CB">
      <w:pPr>
        <w:jc w:val="both"/>
      </w:pPr>
      <w:r>
        <w:t xml:space="preserve">Çalışma amaçları doğrultusunda takip eden bölümlerde finansal başarısızlık olgusu ele alınarak literatürde finansal başarısızlık konusunun nasıl incelendiği değerlendirilmiştir. Daha sonra analiz için çalışmanın kapsamı, kısıtları ve yöntemi hakkında bilgi verilerek elde edilen bulgular açıklanmıştır. Son olarak, sonuç bölümünde ise bulgular ışığında çıkarımlar </w:t>
      </w:r>
      <w:proofErr w:type="gramStart"/>
      <w:r>
        <w:t>yapılarak  değerlendirme</w:t>
      </w:r>
      <w:proofErr w:type="gramEnd"/>
      <w:r>
        <w:t xml:space="preserve"> ve öneriler sunulmuştur.</w:t>
      </w:r>
    </w:p>
    <w:p w14:paraId="2A7F031A" w14:textId="77777777" w:rsidR="001E7189" w:rsidRPr="00714BC1" w:rsidRDefault="001E7189" w:rsidP="003B45CB">
      <w:pPr>
        <w:rPr>
          <w:b/>
        </w:rPr>
      </w:pPr>
    </w:p>
    <w:p w14:paraId="65A6C5CC" w14:textId="77777777" w:rsidR="001E7189" w:rsidRPr="00714BC1" w:rsidRDefault="001E7189" w:rsidP="003B45CB">
      <w:pPr>
        <w:rPr>
          <w:b/>
        </w:rPr>
      </w:pPr>
      <w:r w:rsidRPr="00714BC1">
        <w:rPr>
          <w:b/>
        </w:rPr>
        <w:t>1.İŞLETMELERDE FİNANSAL BAŞARISIZLIK KAVRAMI</w:t>
      </w:r>
    </w:p>
    <w:p w14:paraId="49FF1CA5" w14:textId="77777777" w:rsidR="001E7189" w:rsidRDefault="001E7189" w:rsidP="003B45CB">
      <w:pPr>
        <w:jc w:val="both"/>
      </w:pPr>
      <w:r>
        <w:t>Başarısızlık kavramı, sosyal bir kavram olduğundan farklı bakış açılarıyla farklı yorumlanarak tanımlanmaya çalışılabilmektedir. Her ne kadar farklı yorumlansa da kelime anlamı olarak herkes için olumsuz durumlar içerdiği ya da ifade ettiği söylenebilir. İşletmeler için de finansal başarısızlık farklı boyutlarda algılanabilir; kimisi finansal hedeflere ulaşamamayı finansal başarısızlık olarak yorumlayabilir, kimisi kar elde edememeyi, kimisi borçlarını ödeyememeyi ve kimisi de iflas durumunu finansal başarısızlık olarak yorumlayabilir.</w:t>
      </w:r>
    </w:p>
    <w:p w14:paraId="37814943" w14:textId="77777777" w:rsidR="003B45CB" w:rsidRDefault="003B45CB" w:rsidP="003B45CB">
      <w:pPr>
        <w:jc w:val="both"/>
      </w:pPr>
    </w:p>
    <w:p w14:paraId="5AFAB13E" w14:textId="77777777" w:rsidR="001E7189" w:rsidRDefault="001E7189" w:rsidP="003B45CB">
      <w:pPr>
        <w:jc w:val="both"/>
      </w:pPr>
      <w:r>
        <w:t>Ertan ve Ersen (2018) başarısızlığı ekonomik başarısızlık, teknik başarısızlık, işletme başarısızlığı gibi farklı açılardan ele almanın gerekliliğine vurgu yapmaktadır. Buna göre; ekonomik başarısızlık, bir firma için yönetimin etkinliğiyle alakalı ortaya çıkmakta ve firmanın borcunu ödeyebilecek durumda olmasıyla beraber mevcut karlılığının öz kaynak maliyetinin altında olması yahut maliyetlerinin sektör ortalamasının üzerinde gerçekleşmesinden kaynaklanmaktadır. Teknik başarısızlık ise firmanın vadesinde yükümlülüklerini yerine getirememesini ifade etmektedir. Bu durumda temel sorun, likit kaynakların kullanımında vade uyumunun sağlanamaması olmaktadır. İşletme başarısızlığı ile ise bir iflas sürecinde olunmamakla beraber mali yükümlülüklerin ödenememesi ifade edilmektedir (Ertan ve Ersen, 2018: 182-183).</w:t>
      </w:r>
    </w:p>
    <w:p w14:paraId="528D8A75" w14:textId="77777777" w:rsidR="003B45CB" w:rsidRDefault="003B45CB" w:rsidP="003B45CB">
      <w:pPr>
        <w:jc w:val="both"/>
      </w:pPr>
    </w:p>
    <w:p w14:paraId="5E6E866A" w14:textId="77777777" w:rsidR="001E7189" w:rsidRDefault="001E7189" w:rsidP="003B45CB">
      <w:pPr>
        <w:jc w:val="both"/>
      </w:pPr>
      <w:r>
        <w:t>Firmaların maruz kalabileceği başarısızlık kavramı en basit haliyle yükümlülüklerin yerine getirilememesi olarak tanımlanabilir. Özellikle finansal yükümlülüklerin yerine getirilememesi dolayısıyla da işletmeleri finansal başarısızlığa sürüklediği görülmektedir (Salur, 2021:18).</w:t>
      </w:r>
    </w:p>
    <w:p w14:paraId="51278A1E" w14:textId="77777777" w:rsidR="001E7189" w:rsidRDefault="001E7189" w:rsidP="003B45CB">
      <w:pPr>
        <w:jc w:val="both"/>
      </w:pPr>
      <w:proofErr w:type="spellStart"/>
      <w:r>
        <w:t>Akgüç</w:t>
      </w:r>
      <w:proofErr w:type="spellEnd"/>
      <w:r>
        <w:t xml:space="preserve"> (1998: 947-948), firmaların başarısızlığa uğrama nedenlerini aşağıdaki gibi sıralamaktadır:</w:t>
      </w:r>
    </w:p>
    <w:p w14:paraId="3E372FB1" w14:textId="77777777" w:rsidR="003B45CB" w:rsidRDefault="003B45CB" w:rsidP="003B45CB">
      <w:pPr>
        <w:jc w:val="both"/>
      </w:pPr>
    </w:p>
    <w:p w14:paraId="74EA732B" w14:textId="77777777" w:rsidR="001E7189" w:rsidRDefault="001E7189">
      <w:pPr>
        <w:pStyle w:val="ListeParagraf"/>
        <w:widowControl/>
        <w:numPr>
          <w:ilvl w:val="0"/>
          <w:numId w:val="14"/>
        </w:numPr>
        <w:autoSpaceDE/>
        <w:autoSpaceDN/>
        <w:jc w:val="both"/>
      </w:pPr>
      <w:r>
        <w:t>Firmanın satış hacminin yeterli düzeylerde olmaması,</w:t>
      </w:r>
    </w:p>
    <w:p w14:paraId="61512364" w14:textId="083E50A7" w:rsidR="001E7189" w:rsidRDefault="001E7189">
      <w:pPr>
        <w:pStyle w:val="ListeParagraf"/>
        <w:widowControl/>
        <w:numPr>
          <w:ilvl w:val="0"/>
          <w:numId w:val="14"/>
        </w:numPr>
        <w:autoSpaceDE/>
        <w:autoSpaceDN/>
        <w:jc w:val="both"/>
      </w:pPr>
      <w:r>
        <w:t>Faaliyet giderlerinin çok yüksek olması,</w:t>
      </w:r>
    </w:p>
    <w:p w14:paraId="00C7AD64" w14:textId="77777777" w:rsidR="001E7189" w:rsidRDefault="001E7189">
      <w:pPr>
        <w:pStyle w:val="ListeParagraf"/>
        <w:widowControl/>
        <w:numPr>
          <w:ilvl w:val="0"/>
          <w:numId w:val="14"/>
        </w:numPr>
        <w:autoSpaceDE/>
        <w:autoSpaceDN/>
        <w:jc w:val="both"/>
      </w:pPr>
      <w:r>
        <w:t>Firmanın alacaklarını zamanında tahsil edememesi,</w:t>
      </w:r>
    </w:p>
    <w:p w14:paraId="075384B0" w14:textId="77777777" w:rsidR="001E7189" w:rsidRDefault="001E7189">
      <w:pPr>
        <w:pStyle w:val="ListeParagraf"/>
        <w:widowControl/>
        <w:numPr>
          <w:ilvl w:val="0"/>
          <w:numId w:val="14"/>
        </w:numPr>
        <w:autoSpaceDE/>
        <w:autoSpaceDN/>
        <w:jc w:val="both"/>
      </w:pPr>
      <w:r>
        <w:t>Firma stoklarının sürüm kabiliyetini kaybetmesi,</w:t>
      </w:r>
    </w:p>
    <w:p w14:paraId="2A15FFA0" w14:textId="77777777" w:rsidR="001E7189" w:rsidRDefault="001E7189">
      <w:pPr>
        <w:pStyle w:val="ListeParagraf"/>
        <w:widowControl/>
        <w:numPr>
          <w:ilvl w:val="0"/>
          <w:numId w:val="14"/>
        </w:numPr>
        <w:autoSpaceDE/>
        <w:autoSpaceDN/>
        <w:jc w:val="both"/>
      </w:pPr>
      <w:r>
        <w:t xml:space="preserve">Firmada maddi duran varlıklara aşırı yatırım yapılması yüzünden </w:t>
      </w:r>
      <w:proofErr w:type="gramStart"/>
      <w:r>
        <w:t>atıl</w:t>
      </w:r>
      <w:proofErr w:type="gramEnd"/>
      <w:r>
        <w:t xml:space="preserve"> üretim kapasitesinin ortaya çıkması,</w:t>
      </w:r>
    </w:p>
    <w:p w14:paraId="28FC5822" w14:textId="77777777" w:rsidR="001E7189" w:rsidRDefault="001E7189">
      <w:pPr>
        <w:pStyle w:val="ListeParagraf"/>
        <w:widowControl/>
        <w:numPr>
          <w:ilvl w:val="0"/>
          <w:numId w:val="14"/>
        </w:numPr>
        <w:autoSpaceDE/>
        <w:autoSpaceDN/>
        <w:jc w:val="both"/>
      </w:pPr>
      <w:r>
        <w:t>Firmanın aşırı düzeyde borçlanması,</w:t>
      </w:r>
    </w:p>
    <w:p w14:paraId="73CDD89E" w14:textId="77777777" w:rsidR="001E7189" w:rsidRDefault="001E7189">
      <w:pPr>
        <w:pStyle w:val="ListeParagraf"/>
        <w:widowControl/>
        <w:numPr>
          <w:ilvl w:val="0"/>
          <w:numId w:val="14"/>
        </w:numPr>
        <w:autoSpaceDE/>
        <w:autoSpaceDN/>
        <w:jc w:val="both"/>
      </w:pPr>
      <w:r>
        <w:t>Kuruluş yerinin yanlış seçilmesi,</w:t>
      </w:r>
    </w:p>
    <w:p w14:paraId="3AFC19CD" w14:textId="77777777" w:rsidR="001E7189" w:rsidRDefault="001E7189">
      <w:pPr>
        <w:pStyle w:val="ListeParagraf"/>
        <w:widowControl/>
        <w:numPr>
          <w:ilvl w:val="0"/>
          <w:numId w:val="14"/>
        </w:numPr>
        <w:autoSpaceDE/>
        <w:autoSpaceDN/>
        <w:jc w:val="both"/>
      </w:pPr>
      <w:r>
        <w:t>Firmanın benzer firmalarla rekabet olanaklarının zayıf olması,</w:t>
      </w:r>
    </w:p>
    <w:p w14:paraId="74769B05" w14:textId="77777777" w:rsidR="001E7189" w:rsidRDefault="001E7189">
      <w:pPr>
        <w:pStyle w:val="ListeParagraf"/>
        <w:widowControl/>
        <w:numPr>
          <w:ilvl w:val="0"/>
          <w:numId w:val="14"/>
        </w:numPr>
        <w:autoSpaceDE/>
        <w:autoSpaceDN/>
        <w:jc w:val="both"/>
      </w:pPr>
      <w:r>
        <w:t>Hatalı şirket satın alımları,</w:t>
      </w:r>
    </w:p>
    <w:p w14:paraId="05260EF3" w14:textId="77777777" w:rsidR="001E7189" w:rsidRDefault="001E7189">
      <w:pPr>
        <w:pStyle w:val="ListeParagraf"/>
        <w:widowControl/>
        <w:numPr>
          <w:ilvl w:val="0"/>
          <w:numId w:val="14"/>
        </w:numPr>
        <w:autoSpaceDE/>
        <w:autoSpaceDN/>
        <w:jc w:val="both"/>
      </w:pPr>
      <w:r>
        <w:lastRenderedPageBreak/>
        <w:t>Likidite yetersizliğine bağlı olarak yükümlülüklerin zamanında karşılanamaması,</w:t>
      </w:r>
    </w:p>
    <w:p w14:paraId="2018249F" w14:textId="77777777" w:rsidR="001E7189" w:rsidRDefault="001E7189">
      <w:pPr>
        <w:pStyle w:val="ListeParagraf"/>
        <w:widowControl/>
        <w:numPr>
          <w:ilvl w:val="0"/>
          <w:numId w:val="14"/>
        </w:numPr>
        <w:autoSpaceDE/>
        <w:autoSpaceDN/>
        <w:jc w:val="both"/>
      </w:pPr>
      <w:r>
        <w:t>Yangın ve su baskını gibi afetler,</w:t>
      </w:r>
    </w:p>
    <w:p w14:paraId="59419EE8" w14:textId="77777777" w:rsidR="001E7189" w:rsidRDefault="001E7189">
      <w:pPr>
        <w:pStyle w:val="ListeParagraf"/>
        <w:widowControl/>
        <w:numPr>
          <w:ilvl w:val="0"/>
          <w:numId w:val="14"/>
        </w:numPr>
        <w:autoSpaceDE/>
        <w:autoSpaceDN/>
        <w:jc w:val="both"/>
      </w:pPr>
      <w:r>
        <w:t>Grev ve endüstriyel uyuşmazlık gibi durumlara uzun süreli maruz kalınması.</w:t>
      </w:r>
    </w:p>
    <w:p w14:paraId="78EBFAA5" w14:textId="77777777" w:rsidR="003B45CB" w:rsidRDefault="003B45CB" w:rsidP="003B45CB">
      <w:pPr>
        <w:widowControl/>
        <w:autoSpaceDE/>
        <w:autoSpaceDN/>
        <w:jc w:val="both"/>
      </w:pPr>
    </w:p>
    <w:p w14:paraId="457A1E7F" w14:textId="77777777" w:rsidR="001E7189" w:rsidRDefault="001E7189" w:rsidP="003B45CB">
      <w:pPr>
        <w:jc w:val="both"/>
      </w:pPr>
      <w:r>
        <w:t>Civan ve Dayı (2014), küreselleşme süreciyle beraber gelen krizlerin, artan müteşebbis sayısının ve pazar sınırlarının genişlemesinin mali yapıları bu sürece uyumlu olmayan işletmelerde yol açtığı sıkıntılar sebebiyle de finansal başarısızlık üzerinde olumsuz yönde etkili olduğunu belirtmektedir. Finansal başarısızlık, işletmenin hedeflerine ulaşamaması ve sergilediği performansın işletmenin hayati fonksiyonlarını felç edecek kadar olumsuz gerçekleşmesi gibi durumlardır. Bu durum sadece firma için değil bir ülke ekonomisi için de tehdit kaynağı olduğundan gerçekleşmeden önce tespit edilebilmesi önem taşımakta olup erken önlem alındığında önüne geçilmesi mümkün olabilecektir. Dolayısıyla finansal başarısızlığın önceden tespit edilebilmesine dair birçok istatistiksel olan ve olmayan yöntem geliştirilmektedir (Civan ve Dayı, 2014: 2-3).</w:t>
      </w:r>
    </w:p>
    <w:p w14:paraId="37E8D8D2" w14:textId="77777777" w:rsidR="003B45CB" w:rsidRDefault="003B45CB" w:rsidP="003B45CB">
      <w:pPr>
        <w:jc w:val="both"/>
      </w:pPr>
    </w:p>
    <w:p w14:paraId="78F0BD68" w14:textId="59A8DD06" w:rsidR="001E7189" w:rsidRDefault="001E7189" w:rsidP="003B45CB">
      <w:pPr>
        <w:pStyle w:val="Default"/>
        <w:ind w:firstLine="708"/>
        <w:jc w:val="both"/>
      </w:pPr>
      <w:r>
        <w:t xml:space="preserve">Türk literatüründe, finansal başarısızlık olgusunun çoğunlukla ampirik olarak ele alındığı ve bu çalışmalarda finansal başarısızlığın tahmin edilmeye çalışıldığı veya finansal başarısızlığı en iyi açıklayan yöntem veya göstergenin tespit edilmeye çalışıldığı görülmektedir. Ayrıca çalışmalarda finansal başarısızlık tahmin göstergelerinden olan </w:t>
      </w:r>
      <w:proofErr w:type="spellStart"/>
      <w:r>
        <w:t>Altman</w:t>
      </w:r>
      <w:proofErr w:type="spellEnd"/>
      <w:r>
        <w:t xml:space="preserve"> Z-skorunun da sıklıkla tercih edildiği görülmektedir. Bu çalışmalar aşağıdaki gibi özetlenebilir.</w:t>
      </w:r>
    </w:p>
    <w:p w14:paraId="009348D7" w14:textId="77777777" w:rsidR="003B45CB" w:rsidRDefault="003B45CB" w:rsidP="003B45CB">
      <w:pPr>
        <w:pStyle w:val="Default"/>
        <w:ind w:firstLine="708"/>
        <w:jc w:val="both"/>
      </w:pPr>
    </w:p>
    <w:p w14:paraId="469F45BA" w14:textId="3E341E86" w:rsidR="001E7189" w:rsidRDefault="001E7189" w:rsidP="003B45CB">
      <w:pPr>
        <w:ind w:firstLine="708"/>
        <w:jc w:val="both"/>
      </w:pPr>
      <w:r>
        <w:t xml:space="preserve">Ünsal (2001) çalışmasında, Sermaye Piyasası Kurumuna bağlı 16 başarısız ve 55 başarılı firmaya ait verileri kullanarak finansal başarısızlık tahmininde kullanılabilecek 17 finansal oranı incelemiş ve </w:t>
      </w:r>
      <w:proofErr w:type="spellStart"/>
      <w:r>
        <w:t>diskriminant</w:t>
      </w:r>
      <w:proofErr w:type="spellEnd"/>
      <w:r>
        <w:t xml:space="preserve"> analizi uygulamıştır. Çalışma sonucunda, 16 başarısız şirketten 13’ünün doğru, 3’ünün yanlış sınıflandırıldığını, 55 başarılı şirketin doğru sınıflandırıldığını ve neticesinde </w:t>
      </w:r>
      <w:proofErr w:type="spellStart"/>
      <w:r>
        <w:t>diskriminant</w:t>
      </w:r>
      <w:proofErr w:type="spellEnd"/>
      <w:r>
        <w:t xml:space="preserve"> analizinin başarılı ve başarısız şirketlerin sınıflandırma olasılığının %95,77 olduğunu belirlemiştir. </w:t>
      </w:r>
      <w:proofErr w:type="spellStart"/>
      <w:r>
        <w:t>İçerli</w:t>
      </w:r>
      <w:proofErr w:type="spellEnd"/>
      <w:r>
        <w:t xml:space="preserve"> ve Akkaya (2006) ise, üç yıl üst üste zarar etmek veya iflas etmiş olmak durumunu finansal başarısızlık olarak değerlendirmek suretiyle 1990-2003 yılları arasındaki dönemlerde İstanbul Menkul Kıymetler Borsası’nda (İMKB) işlem gören 40 başarısız, 40 başarılı endüstri işletmesi Z testi yardımıyla analiz etmiştir. Sonuçta başarılı ve başarısız işletmelerin, ilgili dönem ve sektörlerde, arasındaki farklılıkların çok az ve sınırlı olduğu başarılı işletmelerin iyi bir yönetime sahip olmaması durumunda başarısızlığa çok çabuk düşebilecekleri, başarısız işletmelerin ise, yasal olarak iflasa düşmemişlerse, daha etkin bir yönetimle mali başarıya ulaşabileceklerini belirtmişlerdir. Benzer şekilde, Ertan ve </w:t>
      </w:r>
      <w:proofErr w:type="gramStart"/>
      <w:r>
        <w:t>Ersan(</w:t>
      </w:r>
      <w:proofErr w:type="gramEnd"/>
      <w:r>
        <w:t xml:space="preserve">2018) da 2000–2014 yılları arasında Borsa İstanbul’da işlem gören ve imalat sektöründe faaliyetlerini sürdüren 208 işletmeyi analiz etmiştir. Bu çalışmada Ulusal Pazardan Yakın İzleme Pazarı kapsamına geçiş ‘finansal başarısızlık’ olarak değerlendirilmiş ve firmaların 175’i ‘başarılı’ ve 33’ü ‘başarısız’ olarak sınıflandırılmıştır. Analiz için sağ kalım analizi yöntemi uygulanmış ve sonuçta sağ kalım analizi yöntemlerinin finansal başarısızlık tespitinde etkin olduğunu ortaya koymuşlardır. Salur (2021) ise, finansal başarısızlık kriteri olarak; işletmenin en az iki yıl üst üste zarar etmiş olması, Borsa İstanbul’daki işlem sırasının kapanması, Borsa İstanbul’da kottan çıkarılma veya gözaltı pazarına alınması,  işletmenin aktif büyüklüğünün bir önceki yıla göre en az %10 azalması, işletmenin öz kaynaklarının bir önceki yıla göre en az %10 azalması, sermayesinin yarısının veya 2/3’ünün kaybolması, net işletme sermayesinin negatif olması durumlarından herhangi birine uyan işletmeleri başarısız kabul etmiştir. 2008-2013 yılları arasında faaliyet gösteren ve </w:t>
      </w:r>
      <w:proofErr w:type="spellStart"/>
      <w:r>
        <w:t>BİST’te</w:t>
      </w:r>
      <w:proofErr w:type="spellEnd"/>
      <w:r>
        <w:t xml:space="preserve"> işlem gören işletmelerden bu kriterlere göre 72’si finansal başarısız, 72’si başarılı </w:t>
      </w:r>
      <w:r>
        <w:lastRenderedPageBreak/>
        <w:t xml:space="preserve">olmak üzere toplam 144 işletmeden oluşan bir örneklem yapay sinir ağları yöntemleriyle analiz edilmiştir. Sonuçta yapay sinir ağı modelinin doğru sınıflandırma oranının %95,83 olarak gerçekleştiğini belirtmişlerdir. Özdemir ve </w:t>
      </w:r>
      <w:proofErr w:type="spellStart"/>
      <w:proofErr w:type="gramStart"/>
      <w:r>
        <w:t>diğ</w:t>
      </w:r>
      <w:proofErr w:type="spellEnd"/>
      <w:r>
        <w:t>.(</w:t>
      </w:r>
      <w:proofErr w:type="gramEnd"/>
      <w:r>
        <w:t xml:space="preserve">2011), 2006-2009 yıllarında İMKB sınai endeksinde devamlı işlem gören 80 şirket üzerinde </w:t>
      </w:r>
      <w:proofErr w:type="spellStart"/>
      <w:r>
        <w:t>Altman</w:t>
      </w:r>
      <w:proofErr w:type="spellEnd"/>
      <w:r>
        <w:t xml:space="preserve"> Z-skor modeli ve lojistik regresyon analizi yöntemini uygulamıştır. Sonuçta defter değeri (DD) esaslı finansal başarısızlık tahmin modellerinin tutarlı açıklama kabiliyetinin piyasa </w:t>
      </w:r>
      <w:proofErr w:type="gramStart"/>
      <w:r>
        <w:t>değeri(</w:t>
      </w:r>
      <w:proofErr w:type="gramEnd"/>
      <w:r>
        <w:t xml:space="preserve">PD) esaslı finansal başarısızlık tahmin modellerine göre daha yüksek olduğunu tespit etmişlerdir. Civan ve </w:t>
      </w:r>
      <w:proofErr w:type="gramStart"/>
      <w:r>
        <w:t>Dayı(</w:t>
      </w:r>
      <w:proofErr w:type="gramEnd"/>
      <w:r>
        <w:t xml:space="preserve">2014), Zonguldak Kamu Hastaneleri Birliğine bağlı sağlık işletmelerinin 2008-2012 dönemlerindeki mali başarısızlık seviyelerini </w:t>
      </w:r>
      <w:proofErr w:type="spellStart"/>
      <w:r>
        <w:t>Altman</w:t>
      </w:r>
      <w:proofErr w:type="spellEnd"/>
      <w:r>
        <w:t xml:space="preserve"> Z-skor ve yapay sinir ağları modeliyle incelemiştir. Analiz sonucunda yapay sinir ağları modelinin daha etkin sonuçlar verdiğini ortaya koymuşlardır. Buna benzer şekilde, Aker ve </w:t>
      </w:r>
      <w:proofErr w:type="spellStart"/>
      <w:r>
        <w:t>Karavardar</w:t>
      </w:r>
      <w:proofErr w:type="spellEnd"/>
      <w:r>
        <w:t xml:space="preserve"> (2021), Türkiye’de faaliyet gösteren 150 başarılı ve 178 başarısız olmak üzere 328 KOBİ’yi incelemiştir. Firmaların 2015-2018 dönemi mali tablolarını kullanarak </w:t>
      </w:r>
      <w:proofErr w:type="spellStart"/>
      <w:r>
        <w:t>Altman</w:t>
      </w:r>
      <w:proofErr w:type="spellEnd"/>
      <w:r>
        <w:t xml:space="preserve"> Z-skor, </w:t>
      </w:r>
      <w:proofErr w:type="spellStart"/>
      <w:r>
        <w:t>Springate</w:t>
      </w:r>
      <w:proofErr w:type="spellEnd"/>
      <w:r>
        <w:t xml:space="preserve"> S Skor ve yapay sinir ağları modellerinden hangisinin finansal başarısızlığı 1,2 ve 3 yıl öncesinde daha başarılı olarak tespit ettiğini araştırmışlardır. Bulgulara göre, yapay sinir ağları modeli doğruya en yakın sınıflandırmayı yaparak diğer modellerden daha yüksek doğru tahmin oranına sahiptir. Çavuş ve </w:t>
      </w:r>
      <w:proofErr w:type="gramStart"/>
      <w:r>
        <w:t>Başar(</w:t>
      </w:r>
      <w:proofErr w:type="gramEnd"/>
      <w:r>
        <w:t xml:space="preserve">2020) ise, BİST İmalat sektöründe yer alan 178 işletmenin finansal başarısızlığını ikili lojistik regresyon analizi yönteminden faydalanarak 2015, 2016 ve 2017 yılları nakit akış oranlarını </w:t>
      </w:r>
      <w:proofErr w:type="spellStart"/>
      <w:r>
        <w:t>Altman</w:t>
      </w:r>
      <w:proofErr w:type="spellEnd"/>
      <w:r>
        <w:t xml:space="preserve"> Z-skor modeliyle incelemiştir. İşletmelerin finansal başarısızlığını tahmin etmede nakit akış oranlarının etkili olduğu sonucuna varmışlardır. Büyük ve Yıldırım (2022), Borsa İstanbul (BİST) imalat sektöründe faaliyet gösteren 40 işletmenin 2015-2019 yılları arasındaki bilanço ve kâr zarar tablolarından elde edilen bilgiler çeyreklik olarak düzenlenmiş, başarısızlık kriteri olarak </w:t>
      </w:r>
      <w:proofErr w:type="spellStart"/>
      <w:r>
        <w:t>Springate’in</w:t>
      </w:r>
      <w:proofErr w:type="spellEnd"/>
      <w:r>
        <w:t xml:space="preserve"> S-skor modeli tercih ederek 6 adet finansal oran, bağımsız değişkenler olarak uygulamada yer almıştır. Çalışma sonucunda kısa vadeli yabancı kaynakların pasif toplama oranı ve toplam maliyetin net satışlara oranı, finansal başarısızlığı en fazla etkileyen iki değişken olduğu ve negatif katsayılı olan bu iki değişkendeki artışların S skor değerini azaltacağını tespit etmişlerdir. Aslan (2024), çalışmasında elektrik üretim alanında faaliyet gösteren ve Borsa İstanbul’a kayıtlı olup hisseleri halka arz edilen firmaların finansal risk durumunu tahmin etmeye çalışmıştır. Firmaların 2018-2022 yılları arasındaki finansal verileri dikkate alınarak, firmaların finansal başarısızlıklarının tahmini için gerekli oranlar hesaplanmış, </w:t>
      </w:r>
      <w:proofErr w:type="spellStart"/>
      <w:r>
        <w:t>Altman</w:t>
      </w:r>
      <w:proofErr w:type="spellEnd"/>
      <w:r>
        <w:t xml:space="preserve"> Z-skor yöntemiyle firmaların iflas riskine maruz kalıp kalmadıkları konusunda öngörüde bulunulmuş ve çalışma sonucunda firmaların borçlarını ödemekte güçlük yaşadıkları ve iflas riski ile karşı karşıya kaldıkları ve iflas riskinin göstergesi olan kırmızı alanda yer aldıklarını tespit etmiştir. Finansal risklerin değerlendirilmesinde kullanılan </w:t>
      </w:r>
      <w:proofErr w:type="spellStart"/>
      <w:r>
        <w:t>Altman</w:t>
      </w:r>
      <w:proofErr w:type="spellEnd"/>
      <w:r>
        <w:t xml:space="preserve"> Z-skor yöntemine göre genel olarak elektrik üretim firmalarının borçlarını ödemekte sıkıntı çektiği ve iflas riski taşıdığı sonucuna ulaşmıştır.</w:t>
      </w:r>
    </w:p>
    <w:p w14:paraId="6742CFA7" w14:textId="77777777" w:rsidR="001E7189" w:rsidRDefault="001E7189" w:rsidP="003B45CB">
      <w:pPr>
        <w:jc w:val="both"/>
        <w:rPr>
          <w:b/>
        </w:rPr>
      </w:pPr>
    </w:p>
    <w:p w14:paraId="092526C4" w14:textId="77777777" w:rsidR="001E7189" w:rsidRPr="00714BC1" w:rsidRDefault="001E7189" w:rsidP="003B45CB">
      <w:pPr>
        <w:rPr>
          <w:b/>
          <w:bCs/>
        </w:rPr>
      </w:pPr>
      <w:r w:rsidRPr="00714BC1">
        <w:rPr>
          <w:b/>
          <w:bCs/>
        </w:rPr>
        <w:t>3.VERİ SETİ VE YÖNTEM</w:t>
      </w:r>
    </w:p>
    <w:p w14:paraId="714CF2A9" w14:textId="77777777" w:rsidR="001E7189" w:rsidRDefault="001E7189" w:rsidP="003B45CB">
      <w:pPr>
        <w:jc w:val="both"/>
      </w:pPr>
      <w:r>
        <w:t xml:space="preserve">Bu çalışmada 1990-2024 döneminde Türkiye’de kabul edilmiş olan, finansal başarısızlık konusunu ele alan yüksek lisans ve doktora tezlerinin sistematik olarak incelenmesi amaçlanmıştır. Böylece konuya ilişkin eğilimleri, benzerlikleri ve geliştirilmeye açık olan noktaları tespit edebilmek hedeflenmektedir. Araştırma, Yüksek Öğretim Kurulu (YÖK) Başkanlığı’nın Ulusal Tez Merkezi veri tabanında yürütülerek kapsam, tez adında “finansal başarı”, “finansal başarısız” ve “finansal başarısızlık” terimleri geçen lisansüstü çalışmalarla sınırlı tutulmuştur. Toplamda 104 adet yüksek lisans ve doktora tezine ulaşılmıştır. Tezlerin incelenmesi ise içerik analizi yöntemi ile gerçekleştirilmiştir. Elde edilen veriler 12 kategori açısından incelenerek tablo ve/veya grafik olarak sunulmuştur. Bu kategoriler; danışman </w:t>
      </w:r>
      <w:r>
        <w:lastRenderedPageBreak/>
        <w:t>unvanı, öğrenci uyruğu, tez düzeyi, sayfa aralığı, yayın dili, üniversite adı, enstitü türü, ana bilim/bilim dalı, amaç, araştırma yaklaşımı, yıl, anahtar kelime olarak sınırlandırılmıştır.</w:t>
      </w:r>
    </w:p>
    <w:p w14:paraId="300625D9" w14:textId="77777777" w:rsidR="001E7189" w:rsidRDefault="001E7189" w:rsidP="003B45CB">
      <w:pPr>
        <w:jc w:val="both"/>
      </w:pPr>
      <w:r>
        <w:t xml:space="preserve">İçerik analizi, özellikle sosyal bilimler alanında kullanılan ve bir konudaki metnin bazı kelimelerinin daha küçük içerik kategorileri ile özetlenmesini sağlayan sistematik ve yinelenebilir bir araştırma yöntemi (Büyüköztürk ve </w:t>
      </w:r>
      <w:proofErr w:type="spellStart"/>
      <w:r>
        <w:t>diğ</w:t>
      </w:r>
      <w:proofErr w:type="spellEnd"/>
      <w:r>
        <w:t>., 2014</w:t>
      </w:r>
      <w:proofErr w:type="gramStart"/>
      <w:r>
        <w:t>, :</w:t>
      </w:r>
      <w:proofErr w:type="gramEnd"/>
      <w:r>
        <w:t xml:space="preserve"> 240) olduğu için konu hakkında ortak ve farklı yönleri veya genişletilmeye açık olan noktaları kolayca ortaya koyabilmeyi sağlamaktadır. Belirli bir konuya ilişkin daha önce yapılmış çalışmaların sistematik olarak belirli sınıflara göre irdelenip değerlendirilmesi, mevcut görünümün bir tür haritasını ortaya koyarak gelecek çalışmalara ilham olabilecektir. Sarıgül (2020), içerik analizinin araştırma yapılan konudaki eğilimler hakkında kapsamlı bilgiler sağlayabildiğini ve bu yöntemin en belirgin yönünün de verileri sayısallaştırarak nicel bulgular türetmeye veya sonuçları nitel betimlemeler olarak da ortaya koymaya imkân sağlaması olduğunu aktarmaktadır (Sarıgül, 2020: 154).</w:t>
      </w:r>
    </w:p>
    <w:p w14:paraId="76E6B13F" w14:textId="77777777" w:rsidR="001E7189" w:rsidRDefault="001E7189" w:rsidP="003B45CB">
      <w:pPr>
        <w:jc w:val="both"/>
        <w:rPr>
          <w:b/>
        </w:rPr>
      </w:pPr>
    </w:p>
    <w:p w14:paraId="0B2ABFAB" w14:textId="77777777" w:rsidR="001E7189" w:rsidRPr="00714BC1" w:rsidRDefault="001E7189" w:rsidP="003B45CB">
      <w:pPr>
        <w:rPr>
          <w:b/>
          <w:bCs/>
        </w:rPr>
      </w:pPr>
      <w:r w:rsidRPr="00714BC1">
        <w:rPr>
          <w:b/>
          <w:bCs/>
        </w:rPr>
        <w:t>4. BULGULAR</w:t>
      </w:r>
    </w:p>
    <w:p w14:paraId="0207A751" w14:textId="7083D15E" w:rsidR="001E7189" w:rsidRDefault="001E7189" w:rsidP="003B45CB">
      <w:pPr>
        <w:jc w:val="both"/>
      </w:pPr>
      <w:r>
        <w:t>Araştırma kapsamında 104 lisansüstü tez çalışmasına ulaşılmış olup bunların 34’ü doktora, 70’i yüksek lisans düzeyindedir. Belirlenen kategoriler için elde edilen bulgular tez düzeyine göre aşağıdaki gibi sunulmuştur.</w:t>
      </w:r>
    </w:p>
    <w:p w14:paraId="0E52BF19" w14:textId="77777777" w:rsidR="003B45CB" w:rsidRDefault="003B45CB" w:rsidP="003B45CB">
      <w:pPr>
        <w:jc w:val="both"/>
      </w:pPr>
    </w:p>
    <w:p w14:paraId="7AAA77A2" w14:textId="77777777" w:rsidR="001E7189" w:rsidRDefault="001E7189" w:rsidP="003B45CB">
      <w:pPr>
        <w:jc w:val="both"/>
      </w:pPr>
      <w:r>
        <w:rPr>
          <w:b/>
        </w:rPr>
        <w:t>Tablo 1.</w:t>
      </w:r>
      <w:r>
        <w:t xml:space="preserve"> Kullanılan Yazım Dili ve Öğrenci Uyruğu</w:t>
      </w:r>
    </w:p>
    <w:tbl>
      <w:tblPr>
        <w:tblW w:w="6390"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35"/>
        <w:gridCol w:w="344"/>
        <w:gridCol w:w="1092"/>
        <w:gridCol w:w="1571"/>
        <w:gridCol w:w="1616"/>
        <w:gridCol w:w="1032"/>
      </w:tblGrid>
      <w:tr w:rsidR="001E7189" w14:paraId="3AB185B0" w14:textId="77777777" w:rsidTr="001E7189">
        <w:trPr>
          <w:cantSplit/>
        </w:trPr>
        <w:tc>
          <w:tcPr>
            <w:tcW w:w="2171"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78BC7E4F" w14:textId="77777777" w:rsidR="001E7189" w:rsidRDefault="001E7189" w:rsidP="003B45CB">
            <w:pPr>
              <w:contextualSpacing/>
              <w:jc w:val="both"/>
            </w:pPr>
          </w:p>
        </w:tc>
        <w:tc>
          <w:tcPr>
            <w:tcW w:w="157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468239" w14:textId="77777777" w:rsidR="001E7189" w:rsidRDefault="001E7189" w:rsidP="003B45CB">
            <w:pPr>
              <w:contextualSpacing/>
              <w:jc w:val="both"/>
              <w:rPr>
                <w:b/>
              </w:rPr>
            </w:pPr>
            <w:r>
              <w:rPr>
                <w:b/>
              </w:rPr>
              <w:t>Doktora</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FEC9B5" w14:textId="77777777" w:rsidR="001E7189" w:rsidRDefault="001E7189" w:rsidP="003B45CB">
            <w:pPr>
              <w:contextualSpacing/>
              <w:jc w:val="both"/>
              <w:rPr>
                <w:b/>
              </w:rPr>
            </w:pPr>
            <w:r>
              <w:rPr>
                <w:b/>
              </w:rPr>
              <w:t>Yüksek Lisans</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A8CE81D" w14:textId="77777777" w:rsidR="001E7189" w:rsidRDefault="001E7189" w:rsidP="003B45CB">
            <w:pPr>
              <w:contextualSpacing/>
              <w:jc w:val="both"/>
              <w:rPr>
                <w:b/>
              </w:rPr>
            </w:pPr>
            <w:r>
              <w:rPr>
                <w:b/>
              </w:rPr>
              <w:t>Toplam</w:t>
            </w:r>
          </w:p>
        </w:tc>
      </w:tr>
      <w:tr w:rsidR="001E7189" w14:paraId="47B352F2" w14:textId="77777777" w:rsidTr="001E7189">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7629305" w14:textId="77777777" w:rsidR="001E7189" w:rsidRDefault="001E7189" w:rsidP="003B45CB">
            <w:pPr>
              <w:contextualSpacing/>
              <w:jc w:val="both"/>
              <w:rPr>
                <w:b/>
              </w:rPr>
            </w:pPr>
            <w:r>
              <w:rPr>
                <w:b/>
              </w:rPr>
              <w:t>Dil</w:t>
            </w:r>
          </w:p>
        </w:tc>
        <w:tc>
          <w:tcPr>
            <w:tcW w:w="1434"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BAEF7BE" w14:textId="77777777" w:rsidR="001E7189" w:rsidRDefault="001E7189" w:rsidP="003B45CB">
            <w:pPr>
              <w:contextualSpacing/>
              <w:jc w:val="both"/>
              <w:rPr>
                <w:b/>
              </w:rPr>
            </w:pPr>
            <w:r>
              <w:rPr>
                <w:b/>
              </w:rPr>
              <w:t>İngilizce</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62EE17" w14:textId="77777777" w:rsidR="001E7189" w:rsidRDefault="001E7189" w:rsidP="003B45CB">
            <w:pPr>
              <w:contextualSpacing/>
              <w:jc w:val="center"/>
            </w:pPr>
            <w:r>
              <w:t>0</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54DFCA" w14:textId="77777777" w:rsidR="001E7189" w:rsidRDefault="001E7189" w:rsidP="003B45CB">
            <w:pPr>
              <w:contextualSpacing/>
              <w:jc w:val="center"/>
            </w:pPr>
            <w:r>
              <w:t>5</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1A36C0" w14:textId="77777777" w:rsidR="001E7189" w:rsidRDefault="001E7189" w:rsidP="003B45CB">
            <w:pPr>
              <w:contextualSpacing/>
              <w:jc w:val="center"/>
            </w:pPr>
            <w:r>
              <w:t>5</w:t>
            </w:r>
          </w:p>
        </w:tc>
      </w:tr>
      <w:tr w:rsidR="001E7189" w14:paraId="27EBA804" w14:textId="77777777" w:rsidTr="001E7189">
        <w:trPr>
          <w:cantSplit/>
        </w:trPr>
        <w:tc>
          <w:tcPr>
            <w:tcW w:w="2171" w:type="dxa"/>
            <w:vMerge/>
            <w:tcBorders>
              <w:top w:val="single" w:sz="4" w:space="0" w:color="auto"/>
              <w:left w:val="single" w:sz="4" w:space="0" w:color="auto"/>
              <w:bottom w:val="single" w:sz="4" w:space="0" w:color="auto"/>
              <w:right w:val="single" w:sz="4" w:space="0" w:color="auto"/>
            </w:tcBorders>
            <w:vAlign w:val="center"/>
            <w:hideMark/>
          </w:tcPr>
          <w:p w14:paraId="4581D6AB" w14:textId="77777777" w:rsidR="001E7189" w:rsidRDefault="001E7189" w:rsidP="003B45CB">
            <w:pPr>
              <w:rPr>
                <w:b/>
                <w:lang w:eastAsia="en-US"/>
              </w:rPr>
            </w:pPr>
          </w:p>
        </w:tc>
        <w:tc>
          <w:tcPr>
            <w:tcW w:w="1434"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1154646" w14:textId="77777777" w:rsidR="001E7189" w:rsidRDefault="001E7189" w:rsidP="003B45CB">
            <w:pPr>
              <w:contextualSpacing/>
              <w:jc w:val="both"/>
              <w:rPr>
                <w:b/>
              </w:rPr>
            </w:pPr>
            <w:r>
              <w:rPr>
                <w:b/>
              </w:rPr>
              <w:t>Türkçe</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35B156" w14:textId="77777777" w:rsidR="001E7189" w:rsidRDefault="001E7189" w:rsidP="003B45CB">
            <w:pPr>
              <w:contextualSpacing/>
              <w:jc w:val="center"/>
            </w:pPr>
            <w:r>
              <w:t>34</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E11C23" w14:textId="77777777" w:rsidR="001E7189" w:rsidRDefault="001E7189" w:rsidP="003B45CB">
            <w:pPr>
              <w:contextualSpacing/>
              <w:jc w:val="center"/>
            </w:pPr>
            <w:r>
              <w:t>65</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015A22" w14:textId="77777777" w:rsidR="001E7189" w:rsidRDefault="001E7189" w:rsidP="003B45CB">
            <w:pPr>
              <w:contextualSpacing/>
              <w:jc w:val="center"/>
            </w:pPr>
            <w:r>
              <w:t>99</w:t>
            </w:r>
          </w:p>
        </w:tc>
      </w:tr>
      <w:tr w:rsidR="001E7189" w14:paraId="55C44698" w14:textId="77777777" w:rsidTr="001E7189">
        <w:trPr>
          <w:cantSplit/>
        </w:trPr>
        <w:tc>
          <w:tcPr>
            <w:tcW w:w="2171"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169956E1" w14:textId="77777777" w:rsidR="001E7189" w:rsidRDefault="001E7189" w:rsidP="003B45CB">
            <w:pPr>
              <w:contextualSpacing/>
              <w:jc w:val="both"/>
              <w:rPr>
                <w:b/>
              </w:rPr>
            </w:pPr>
            <w:r>
              <w:rPr>
                <w:b/>
              </w:rPr>
              <w:t>Toplam</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A6BCC6" w14:textId="77777777" w:rsidR="001E7189" w:rsidRDefault="001E7189" w:rsidP="003B45CB">
            <w:pPr>
              <w:contextualSpacing/>
              <w:jc w:val="center"/>
            </w:pPr>
            <w:r>
              <w:t>34</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A4B2E5" w14:textId="77777777" w:rsidR="001E7189" w:rsidRDefault="001E7189" w:rsidP="003B45CB">
            <w:pPr>
              <w:contextualSpacing/>
              <w:jc w:val="center"/>
            </w:pPr>
            <w:r>
              <w:t>70</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6FF986" w14:textId="77777777" w:rsidR="001E7189" w:rsidRDefault="001E7189" w:rsidP="003B45CB">
            <w:pPr>
              <w:contextualSpacing/>
              <w:jc w:val="center"/>
            </w:pPr>
            <w:r>
              <w:t>104</w:t>
            </w:r>
          </w:p>
        </w:tc>
      </w:tr>
      <w:tr w:rsidR="001E7189" w14:paraId="3C76E13F" w14:textId="77777777" w:rsidTr="001E7189">
        <w:trPr>
          <w:cantSplit/>
        </w:trPr>
        <w:tc>
          <w:tcPr>
            <w:tcW w:w="2171" w:type="dxa"/>
            <w:gridSpan w:val="3"/>
            <w:tcBorders>
              <w:top w:val="single" w:sz="4" w:space="0" w:color="auto"/>
              <w:left w:val="single" w:sz="4" w:space="0" w:color="auto"/>
              <w:bottom w:val="single" w:sz="4" w:space="0" w:color="auto"/>
              <w:right w:val="single" w:sz="4" w:space="0" w:color="auto"/>
            </w:tcBorders>
            <w:shd w:val="clear" w:color="auto" w:fill="FFFFFF"/>
          </w:tcPr>
          <w:p w14:paraId="65D528E8" w14:textId="77777777" w:rsidR="001E7189" w:rsidRDefault="001E7189" w:rsidP="003B45CB">
            <w:pPr>
              <w:contextualSpacing/>
              <w:jc w:val="both"/>
              <w:rPr>
                <w:b/>
              </w:rPr>
            </w:pP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tcPr>
          <w:p w14:paraId="3D8F3781" w14:textId="77777777" w:rsidR="001E7189" w:rsidRDefault="001E7189" w:rsidP="003B45CB">
            <w:pPr>
              <w:contextualSpacing/>
              <w:jc w:val="center"/>
            </w:pP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tcPr>
          <w:p w14:paraId="3A5126EE" w14:textId="77777777" w:rsidR="001E7189" w:rsidRDefault="001E7189" w:rsidP="003B45CB">
            <w:pPr>
              <w:contextualSpacing/>
              <w:jc w:val="center"/>
            </w:pP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564F54D9" w14:textId="77777777" w:rsidR="001E7189" w:rsidRDefault="001E7189" w:rsidP="003B45CB">
            <w:pPr>
              <w:contextualSpacing/>
              <w:jc w:val="center"/>
            </w:pPr>
          </w:p>
        </w:tc>
      </w:tr>
      <w:tr w:rsidR="001E7189" w14:paraId="4F7A03FA" w14:textId="77777777" w:rsidTr="001E7189">
        <w:trPr>
          <w:cantSplit/>
        </w:trPr>
        <w:tc>
          <w:tcPr>
            <w:tcW w:w="1077" w:type="dxa"/>
            <w:gridSpan w:val="2"/>
            <w:vMerge w:val="restart"/>
            <w:tcBorders>
              <w:top w:val="single" w:sz="4" w:space="0" w:color="auto"/>
              <w:left w:val="single" w:sz="4" w:space="0" w:color="auto"/>
              <w:bottom w:val="single" w:sz="4" w:space="0" w:color="auto"/>
              <w:right w:val="single" w:sz="4" w:space="0" w:color="auto"/>
            </w:tcBorders>
            <w:shd w:val="clear" w:color="auto" w:fill="FFFFFF"/>
            <w:hideMark/>
          </w:tcPr>
          <w:p w14:paraId="37AC149D" w14:textId="77777777" w:rsidR="001E7189" w:rsidRDefault="001E7189" w:rsidP="003B45CB">
            <w:pPr>
              <w:adjustRightInd w:val="0"/>
              <w:ind w:right="60"/>
              <w:contextualSpacing/>
              <w:jc w:val="both"/>
              <w:rPr>
                <w:b/>
                <w:color w:val="000000"/>
              </w:rPr>
            </w:pPr>
            <w:proofErr w:type="spellStart"/>
            <w:r>
              <w:rPr>
                <w:b/>
                <w:color w:val="000000"/>
              </w:rPr>
              <w:t>Ogrenci</w:t>
            </w:r>
            <w:proofErr w:type="spellEnd"/>
          </w:p>
          <w:p w14:paraId="5F9FA5FF" w14:textId="77777777" w:rsidR="001E7189" w:rsidRDefault="001E7189" w:rsidP="003B45CB">
            <w:pPr>
              <w:contextualSpacing/>
              <w:jc w:val="both"/>
              <w:rPr>
                <w:b/>
              </w:rPr>
            </w:pPr>
            <w:r>
              <w:rPr>
                <w:b/>
                <w:color w:val="000000"/>
              </w:rPr>
              <w:t>Uyruk</w:t>
            </w:r>
          </w:p>
        </w:tc>
        <w:tc>
          <w:tcPr>
            <w:tcW w:w="1094" w:type="dxa"/>
            <w:tcBorders>
              <w:top w:val="single" w:sz="4" w:space="0" w:color="auto"/>
              <w:left w:val="single" w:sz="4" w:space="0" w:color="auto"/>
              <w:bottom w:val="single" w:sz="4" w:space="0" w:color="auto"/>
              <w:right w:val="single" w:sz="4" w:space="0" w:color="auto"/>
            </w:tcBorders>
            <w:shd w:val="clear" w:color="auto" w:fill="FFFFFF"/>
            <w:hideMark/>
          </w:tcPr>
          <w:p w14:paraId="0AB0151C" w14:textId="77777777" w:rsidR="001E7189" w:rsidRDefault="001E7189" w:rsidP="003B45CB">
            <w:pPr>
              <w:adjustRightInd w:val="0"/>
              <w:ind w:left="60" w:right="60"/>
              <w:contextualSpacing/>
              <w:jc w:val="both"/>
              <w:rPr>
                <w:b/>
                <w:color w:val="000000"/>
              </w:rPr>
            </w:pPr>
            <w:r>
              <w:rPr>
                <w:b/>
                <w:color w:val="000000"/>
              </w:rPr>
              <w:t>Yabancı</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26951C" w14:textId="77777777" w:rsidR="001E7189" w:rsidRDefault="001E7189" w:rsidP="003B45CB">
            <w:pPr>
              <w:adjustRightInd w:val="0"/>
              <w:ind w:left="60" w:right="60"/>
              <w:contextualSpacing/>
              <w:jc w:val="center"/>
              <w:rPr>
                <w:color w:val="000000"/>
              </w:rPr>
            </w:pPr>
            <w:r>
              <w:rPr>
                <w:color w:val="000000"/>
              </w:rPr>
              <w:t>0</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332705" w14:textId="77777777" w:rsidR="001E7189" w:rsidRDefault="001E7189" w:rsidP="003B45CB">
            <w:pPr>
              <w:adjustRightInd w:val="0"/>
              <w:ind w:left="60" w:right="60"/>
              <w:contextualSpacing/>
              <w:jc w:val="center"/>
              <w:rPr>
                <w:color w:val="000000"/>
              </w:rPr>
            </w:pPr>
            <w:r>
              <w:rPr>
                <w:color w:val="000000"/>
              </w:rPr>
              <w:t>8</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6CA81B" w14:textId="77777777" w:rsidR="001E7189" w:rsidRDefault="001E7189" w:rsidP="003B45CB">
            <w:pPr>
              <w:adjustRightInd w:val="0"/>
              <w:ind w:left="60" w:right="60"/>
              <w:contextualSpacing/>
              <w:jc w:val="center"/>
              <w:rPr>
                <w:color w:val="000000"/>
              </w:rPr>
            </w:pPr>
            <w:r>
              <w:rPr>
                <w:color w:val="000000"/>
              </w:rPr>
              <w:t>8</w:t>
            </w:r>
          </w:p>
        </w:tc>
      </w:tr>
      <w:tr w:rsidR="001E7189" w14:paraId="57DA07C3" w14:textId="77777777" w:rsidTr="001E7189">
        <w:trPr>
          <w:cantSplit/>
        </w:trPr>
        <w:tc>
          <w:tcPr>
            <w:tcW w:w="3605" w:type="dxa"/>
            <w:gridSpan w:val="2"/>
            <w:vMerge/>
            <w:tcBorders>
              <w:top w:val="single" w:sz="4" w:space="0" w:color="auto"/>
              <w:left w:val="single" w:sz="4" w:space="0" w:color="auto"/>
              <w:bottom w:val="single" w:sz="4" w:space="0" w:color="auto"/>
              <w:right w:val="single" w:sz="4" w:space="0" w:color="auto"/>
            </w:tcBorders>
            <w:vAlign w:val="center"/>
            <w:hideMark/>
          </w:tcPr>
          <w:p w14:paraId="16F77B71" w14:textId="77777777" w:rsidR="001E7189" w:rsidRDefault="001E7189" w:rsidP="003B45CB">
            <w:pPr>
              <w:rPr>
                <w:b/>
                <w:lang w:eastAsia="en-US"/>
              </w:rPr>
            </w:pPr>
          </w:p>
        </w:tc>
        <w:tc>
          <w:tcPr>
            <w:tcW w:w="1094" w:type="dxa"/>
            <w:tcBorders>
              <w:top w:val="single" w:sz="4" w:space="0" w:color="auto"/>
              <w:left w:val="single" w:sz="4" w:space="0" w:color="auto"/>
              <w:bottom w:val="single" w:sz="4" w:space="0" w:color="auto"/>
              <w:right w:val="single" w:sz="4" w:space="0" w:color="auto"/>
            </w:tcBorders>
            <w:shd w:val="clear" w:color="auto" w:fill="FFFFFF"/>
            <w:hideMark/>
          </w:tcPr>
          <w:p w14:paraId="2F476DED" w14:textId="77777777" w:rsidR="001E7189" w:rsidRDefault="001E7189" w:rsidP="003B45CB">
            <w:pPr>
              <w:adjustRightInd w:val="0"/>
              <w:ind w:left="60" w:right="60"/>
              <w:contextualSpacing/>
              <w:jc w:val="both"/>
              <w:rPr>
                <w:b/>
                <w:color w:val="000000"/>
              </w:rPr>
            </w:pPr>
            <w:r>
              <w:rPr>
                <w:b/>
                <w:color w:val="000000"/>
              </w:rPr>
              <w:t>Yerli</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50E8B3" w14:textId="77777777" w:rsidR="001E7189" w:rsidRDefault="001E7189" w:rsidP="003B45CB">
            <w:pPr>
              <w:adjustRightInd w:val="0"/>
              <w:ind w:left="60" w:right="60"/>
              <w:contextualSpacing/>
              <w:jc w:val="center"/>
              <w:rPr>
                <w:color w:val="000000"/>
              </w:rPr>
            </w:pPr>
            <w:r>
              <w:rPr>
                <w:color w:val="000000"/>
              </w:rPr>
              <w:t>34</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FBFF6E" w14:textId="77777777" w:rsidR="001E7189" w:rsidRDefault="001E7189" w:rsidP="003B45CB">
            <w:pPr>
              <w:adjustRightInd w:val="0"/>
              <w:ind w:left="60" w:right="60"/>
              <w:contextualSpacing/>
              <w:jc w:val="center"/>
              <w:rPr>
                <w:color w:val="000000"/>
              </w:rPr>
            </w:pPr>
            <w:r>
              <w:rPr>
                <w:color w:val="000000"/>
              </w:rPr>
              <w:t>62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830815" w14:textId="77777777" w:rsidR="001E7189" w:rsidRDefault="001E7189" w:rsidP="003B45CB">
            <w:pPr>
              <w:adjustRightInd w:val="0"/>
              <w:ind w:left="60" w:right="60"/>
              <w:contextualSpacing/>
              <w:jc w:val="center"/>
              <w:rPr>
                <w:color w:val="000000"/>
              </w:rPr>
            </w:pPr>
            <w:r>
              <w:rPr>
                <w:color w:val="000000"/>
              </w:rPr>
              <w:t>96</w:t>
            </w:r>
          </w:p>
        </w:tc>
      </w:tr>
      <w:tr w:rsidR="001E7189" w14:paraId="67CE03C6" w14:textId="77777777" w:rsidTr="001E7189">
        <w:trPr>
          <w:cantSplit/>
        </w:trPr>
        <w:tc>
          <w:tcPr>
            <w:tcW w:w="2171"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6268A086" w14:textId="77777777" w:rsidR="001E7189" w:rsidRDefault="001E7189" w:rsidP="003B45CB">
            <w:pPr>
              <w:contextualSpacing/>
              <w:jc w:val="both"/>
              <w:rPr>
                <w:b/>
              </w:rPr>
            </w:pPr>
            <w:r>
              <w:rPr>
                <w:b/>
              </w:rPr>
              <w:t>Toplam</w:t>
            </w:r>
          </w:p>
        </w:tc>
        <w:tc>
          <w:tcPr>
            <w:tcW w:w="15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E328F7" w14:textId="77777777" w:rsidR="001E7189" w:rsidRDefault="001E7189" w:rsidP="003B45CB">
            <w:pPr>
              <w:adjustRightInd w:val="0"/>
              <w:ind w:left="60" w:right="60"/>
              <w:contextualSpacing/>
              <w:jc w:val="center"/>
              <w:rPr>
                <w:color w:val="000000"/>
              </w:rPr>
            </w:pPr>
            <w:r>
              <w:rPr>
                <w:color w:val="000000"/>
              </w:rPr>
              <w:t>34</w:t>
            </w:r>
          </w:p>
        </w:tc>
        <w:tc>
          <w:tcPr>
            <w:tcW w:w="16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A78856" w14:textId="77777777" w:rsidR="001E7189" w:rsidRDefault="001E7189" w:rsidP="003B45CB">
            <w:pPr>
              <w:adjustRightInd w:val="0"/>
              <w:ind w:left="60" w:right="60"/>
              <w:contextualSpacing/>
              <w:jc w:val="center"/>
              <w:rPr>
                <w:color w:val="000000"/>
              </w:rPr>
            </w:pPr>
            <w:r>
              <w:rPr>
                <w:color w:val="000000"/>
              </w:rPr>
              <w:t>70</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2627B5" w14:textId="77777777" w:rsidR="001E7189" w:rsidRDefault="001E7189" w:rsidP="003B45CB">
            <w:pPr>
              <w:adjustRightInd w:val="0"/>
              <w:ind w:left="60" w:right="60"/>
              <w:contextualSpacing/>
              <w:jc w:val="center"/>
              <w:rPr>
                <w:color w:val="000000"/>
              </w:rPr>
            </w:pPr>
            <w:r>
              <w:rPr>
                <w:color w:val="000000"/>
              </w:rPr>
              <w:t>104</w:t>
            </w:r>
          </w:p>
        </w:tc>
      </w:tr>
      <w:tr w:rsidR="001E7189" w14:paraId="325239A2" w14:textId="77777777" w:rsidTr="001E7189">
        <w:tc>
          <w:tcPr>
            <w:tcW w:w="735" w:type="dxa"/>
            <w:tcBorders>
              <w:top w:val="nil"/>
              <w:left w:val="nil"/>
              <w:bottom w:val="nil"/>
              <w:right w:val="nil"/>
            </w:tcBorders>
            <w:vAlign w:val="center"/>
            <w:hideMark/>
          </w:tcPr>
          <w:p w14:paraId="6573A589" w14:textId="77777777" w:rsidR="001E7189" w:rsidRDefault="001E7189" w:rsidP="003B45CB">
            <w:pPr>
              <w:rPr>
                <w:color w:val="000000"/>
              </w:rPr>
            </w:pPr>
          </w:p>
        </w:tc>
        <w:tc>
          <w:tcPr>
            <w:tcW w:w="345" w:type="dxa"/>
            <w:tcBorders>
              <w:top w:val="nil"/>
              <w:left w:val="nil"/>
              <w:bottom w:val="nil"/>
              <w:right w:val="nil"/>
            </w:tcBorders>
            <w:vAlign w:val="center"/>
            <w:hideMark/>
          </w:tcPr>
          <w:p w14:paraId="20A2541C" w14:textId="77777777" w:rsidR="001E7189" w:rsidRDefault="001E7189" w:rsidP="003B45CB">
            <w:pPr>
              <w:rPr>
                <w:sz w:val="20"/>
                <w:szCs w:val="20"/>
              </w:rPr>
            </w:pPr>
          </w:p>
        </w:tc>
        <w:tc>
          <w:tcPr>
            <w:tcW w:w="1095" w:type="dxa"/>
            <w:tcBorders>
              <w:top w:val="nil"/>
              <w:left w:val="nil"/>
              <w:bottom w:val="nil"/>
              <w:right w:val="nil"/>
            </w:tcBorders>
            <w:vAlign w:val="center"/>
            <w:hideMark/>
          </w:tcPr>
          <w:p w14:paraId="0E8179C3" w14:textId="77777777" w:rsidR="001E7189" w:rsidRDefault="001E7189" w:rsidP="003B45CB">
            <w:pPr>
              <w:rPr>
                <w:sz w:val="20"/>
                <w:szCs w:val="20"/>
              </w:rPr>
            </w:pPr>
          </w:p>
        </w:tc>
        <w:tc>
          <w:tcPr>
            <w:tcW w:w="1575" w:type="dxa"/>
            <w:tcBorders>
              <w:top w:val="nil"/>
              <w:left w:val="nil"/>
              <w:bottom w:val="nil"/>
              <w:right w:val="nil"/>
            </w:tcBorders>
            <w:vAlign w:val="center"/>
            <w:hideMark/>
          </w:tcPr>
          <w:p w14:paraId="1828DB2D" w14:textId="77777777" w:rsidR="001E7189" w:rsidRDefault="001E7189" w:rsidP="003B45CB">
            <w:pPr>
              <w:rPr>
                <w:sz w:val="20"/>
                <w:szCs w:val="20"/>
              </w:rPr>
            </w:pPr>
          </w:p>
        </w:tc>
        <w:tc>
          <w:tcPr>
            <w:tcW w:w="1620" w:type="dxa"/>
            <w:tcBorders>
              <w:top w:val="nil"/>
              <w:left w:val="nil"/>
              <w:bottom w:val="nil"/>
              <w:right w:val="nil"/>
            </w:tcBorders>
            <w:vAlign w:val="center"/>
            <w:hideMark/>
          </w:tcPr>
          <w:p w14:paraId="726CFCB3" w14:textId="77777777" w:rsidR="001E7189" w:rsidRDefault="001E7189" w:rsidP="003B45CB">
            <w:pPr>
              <w:rPr>
                <w:sz w:val="20"/>
                <w:szCs w:val="20"/>
              </w:rPr>
            </w:pPr>
          </w:p>
        </w:tc>
        <w:tc>
          <w:tcPr>
            <w:tcW w:w="1035" w:type="dxa"/>
            <w:tcBorders>
              <w:top w:val="nil"/>
              <w:left w:val="nil"/>
              <w:bottom w:val="nil"/>
              <w:right w:val="nil"/>
            </w:tcBorders>
            <w:vAlign w:val="center"/>
            <w:hideMark/>
          </w:tcPr>
          <w:p w14:paraId="5A275770" w14:textId="77777777" w:rsidR="001E7189" w:rsidRDefault="001E7189" w:rsidP="003B45CB">
            <w:pPr>
              <w:rPr>
                <w:sz w:val="20"/>
                <w:szCs w:val="20"/>
              </w:rPr>
            </w:pPr>
          </w:p>
        </w:tc>
      </w:tr>
    </w:tbl>
    <w:p w14:paraId="1779BC71" w14:textId="0C04096C" w:rsidR="001E7189" w:rsidRDefault="001E7189" w:rsidP="003B45CB">
      <w:pPr>
        <w:jc w:val="both"/>
      </w:pPr>
      <w:r>
        <w:t>Çalışmaların tamamına yakını Türkçe olarak hazırlanırken sadece 5 yüksek lisans tezi İngilizce olarak hazırlanmıştır. Diğer yandan bu çalışmalardan sadece 8 yüksek lisans öğrencisinin yabancı uyruklu olduğu görülmektedir (Tablo 1).</w:t>
      </w:r>
    </w:p>
    <w:p w14:paraId="37717727" w14:textId="77777777" w:rsidR="003B45CB" w:rsidRDefault="003B45CB" w:rsidP="003B45CB">
      <w:pPr>
        <w:jc w:val="both"/>
        <w:rPr>
          <w:lang w:eastAsia="en-US"/>
        </w:rPr>
      </w:pPr>
    </w:p>
    <w:p w14:paraId="343F048E" w14:textId="77777777" w:rsidR="001E7189" w:rsidRDefault="001E7189" w:rsidP="003B45CB">
      <w:pPr>
        <w:jc w:val="both"/>
      </w:pPr>
      <w:r>
        <w:t>Çalışmalara danışmanlık yapan öğretim üyeleri unvanları bakımından değerlendirildiğinde de en çok profesör doktorlar tarafından (43) yönlendirildiği ve bunların da 25’inin doktora düzeyinde hazırlandığı görülmektedir. Yüksek lisans düzeyinde hazırlanan çalışmalar ise en fazla doçent doktor unvanlı öğretim üyeleri danışmanlığında (30) yürütülmüştür (Tablo 2).</w:t>
      </w:r>
    </w:p>
    <w:tbl>
      <w:tblPr>
        <w:tblW w:w="7845"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917"/>
        <w:gridCol w:w="1694"/>
        <w:gridCol w:w="1146"/>
        <w:gridCol w:w="1938"/>
        <w:gridCol w:w="1150"/>
      </w:tblGrid>
      <w:tr w:rsidR="001E7189" w14:paraId="3CAA77ED" w14:textId="77777777" w:rsidTr="001E7189">
        <w:trPr>
          <w:cantSplit/>
        </w:trPr>
        <w:tc>
          <w:tcPr>
            <w:tcW w:w="7844" w:type="dxa"/>
            <w:gridSpan w:val="5"/>
            <w:tcBorders>
              <w:top w:val="nil"/>
              <w:left w:val="nil"/>
              <w:bottom w:val="single" w:sz="4" w:space="0" w:color="auto"/>
              <w:right w:val="nil"/>
            </w:tcBorders>
            <w:shd w:val="clear" w:color="auto" w:fill="FFFFFF"/>
            <w:vAlign w:val="bottom"/>
          </w:tcPr>
          <w:p w14:paraId="709E9CB1" w14:textId="77777777" w:rsidR="001E7189" w:rsidRDefault="001E7189" w:rsidP="003B45CB">
            <w:pPr>
              <w:adjustRightInd w:val="0"/>
              <w:contextualSpacing/>
              <w:jc w:val="both"/>
              <w:rPr>
                <w:color w:val="000000"/>
                <w:shd w:val="clear" w:color="auto" w:fill="FFFFFF"/>
              </w:rPr>
            </w:pPr>
          </w:p>
          <w:p w14:paraId="0FEE1BBA" w14:textId="77777777" w:rsidR="001E7189" w:rsidRDefault="001E7189" w:rsidP="003B45CB">
            <w:pPr>
              <w:adjustRightInd w:val="0"/>
              <w:contextualSpacing/>
              <w:jc w:val="both"/>
            </w:pPr>
            <w:r>
              <w:rPr>
                <w:b/>
              </w:rPr>
              <w:t>Tablo 2.</w:t>
            </w:r>
            <w:r>
              <w:t xml:space="preserve"> Danışman Unvanı</w:t>
            </w:r>
          </w:p>
        </w:tc>
      </w:tr>
      <w:tr w:rsidR="001E7189" w14:paraId="5A2F248E" w14:textId="77777777" w:rsidTr="001E7189">
        <w:trPr>
          <w:cantSplit/>
        </w:trPr>
        <w:tc>
          <w:tcPr>
            <w:tcW w:w="3610"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2C79244" w14:textId="77777777" w:rsidR="001E7189" w:rsidRDefault="001E7189" w:rsidP="003B45CB">
            <w:pPr>
              <w:adjustRightInd w:val="0"/>
              <w:contextualSpacing/>
              <w:jc w:val="both"/>
              <w:rPr>
                <w:b/>
                <w:color w:val="000000"/>
              </w:rPr>
            </w:pPr>
          </w:p>
        </w:tc>
        <w:tc>
          <w:tcPr>
            <w:tcW w:w="1146"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D432C5E" w14:textId="77777777" w:rsidR="001E7189" w:rsidRDefault="001E7189" w:rsidP="003B45CB">
            <w:pPr>
              <w:adjustRightInd w:val="0"/>
              <w:ind w:left="60" w:right="60"/>
              <w:contextualSpacing/>
              <w:jc w:val="both"/>
              <w:rPr>
                <w:b/>
                <w:color w:val="000000"/>
              </w:rPr>
            </w:pPr>
            <w:r>
              <w:rPr>
                <w:b/>
                <w:color w:val="000000"/>
              </w:rPr>
              <w:t>Doktora</w:t>
            </w:r>
          </w:p>
        </w:tc>
        <w:tc>
          <w:tcPr>
            <w:tcW w:w="1938"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50A011E" w14:textId="77777777" w:rsidR="001E7189" w:rsidRDefault="001E7189" w:rsidP="003B45CB">
            <w:pPr>
              <w:adjustRightInd w:val="0"/>
              <w:ind w:left="60" w:right="60"/>
              <w:contextualSpacing/>
              <w:jc w:val="both"/>
              <w:rPr>
                <w:b/>
                <w:color w:val="000000"/>
              </w:rPr>
            </w:pPr>
            <w:r>
              <w:rPr>
                <w:b/>
                <w:color w:val="000000"/>
              </w:rPr>
              <w:t>Yüksek Lisans</w:t>
            </w:r>
          </w:p>
        </w:tc>
        <w:tc>
          <w:tcPr>
            <w:tcW w:w="115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BD9B630" w14:textId="77777777" w:rsidR="001E7189" w:rsidRDefault="001E7189" w:rsidP="003B45CB">
            <w:pPr>
              <w:adjustRightInd w:val="0"/>
              <w:contextualSpacing/>
              <w:jc w:val="both"/>
              <w:rPr>
                <w:b/>
                <w:color w:val="000000"/>
              </w:rPr>
            </w:pPr>
            <w:r>
              <w:rPr>
                <w:b/>
                <w:color w:val="000000"/>
              </w:rPr>
              <w:t>Toplam</w:t>
            </w:r>
          </w:p>
        </w:tc>
      </w:tr>
      <w:tr w:rsidR="001E7189" w14:paraId="275A7D9F" w14:textId="77777777" w:rsidTr="001E7189">
        <w:trPr>
          <w:cantSplit/>
        </w:trPr>
        <w:tc>
          <w:tcPr>
            <w:tcW w:w="1916"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D9A429C" w14:textId="77777777" w:rsidR="001E7189" w:rsidRDefault="001E7189" w:rsidP="003B45CB">
            <w:pPr>
              <w:adjustRightInd w:val="0"/>
              <w:ind w:left="60" w:right="60"/>
              <w:contextualSpacing/>
              <w:jc w:val="both"/>
              <w:rPr>
                <w:b/>
                <w:color w:val="000000"/>
              </w:rPr>
            </w:pPr>
            <w:r>
              <w:rPr>
                <w:b/>
                <w:color w:val="000000"/>
              </w:rPr>
              <w:t>Danışman</w:t>
            </w:r>
          </w:p>
          <w:p w14:paraId="01FA5183" w14:textId="77777777" w:rsidR="001E7189" w:rsidRDefault="001E7189" w:rsidP="003B45CB">
            <w:pPr>
              <w:adjustRightInd w:val="0"/>
              <w:ind w:left="60" w:right="60"/>
              <w:contextualSpacing/>
              <w:jc w:val="both"/>
              <w:rPr>
                <w:b/>
                <w:color w:val="000000"/>
              </w:rPr>
            </w:pPr>
            <w:r>
              <w:rPr>
                <w:b/>
                <w:color w:val="000000"/>
              </w:rPr>
              <w:t>Unvan</w:t>
            </w:r>
          </w:p>
        </w:tc>
        <w:tc>
          <w:tcPr>
            <w:tcW w:w="1694" w:type="dxa"/>
            <w:tcBorders>
              <w:top w:val="single" w:sz="4" w:space="0" w:color="auto"/>
              <w:left w:val="single" w:sz="4" w:space="0" w:color="auto"/>
              <w:bottom w:val="single" w:sz="4" w:space="0" w:color="auto"/>
              <w:right w:val="single" w:sz="4" w:space="0" w:color="auto"/>
            </w:tcBorders>
            <w:shd w:val="clear" w:color="auto" w:fill="FFFFFF"/>
            <w:hideMark/>
          </w:tcPr>
          <w:p w14:paraId="7B15C536" w14:textId="77777777" w:rsidR="001E7189" w:rsidRDefault="001E7189" w:rsidP="003B45CB">
            <w:pPr>
              <w:adjustRightInd w:val="0"/>
              <w:ind w:left="60" w:right="60"/>
              <w:contextualSpacing/>
              <w:jc w:val="both"/>
              <w:rPr>
                <w:b/>
                <w:color w:val="000000"/>
              </w:rPr>
            </w:pPr>
            <w:proofErr w:type="spellStart"/>
            <w:proofErr w:type="gramStart"/>
            <w:r>
              <w:rPr>
                <w:b/>
                <w:color w:val="000000"/>
              </w:rPr>
              <w:t>Dr.Ogr.Uyesi</w:t>
            </w:r>
            <w:proofErr w:type="spellEnd"/>
            <w:proofErr w:type="gramEnd"/>
          </w:p>
        </w:tc>
        <w:tc>
          <w:tcPr>
            <w:tcW w:w="11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3B926C" w14:textId="77777777" w:rsidR="001E7189" w:rsidRDefault="001E7189" w:rsidP="003B45CB">
            <w:pPr>
              <w:adjustRightInd w:val="0"/>
              <w:ind w:left="60" w:right="60"/>
              <w:contextualSpacing/>
              <w:jc w:val="center"/>
              <w:rPr>
                <w:color w:val="000000"/>
              </w:rPr>
            </w:pPr>
            <w:r>
              <w:rPr>
                <w:color w:val="000000"/>
              </w:rPr>
              <w:t>2</w:t>
            </w:r>
          </w:p>
        </w:tc>
        <w:tc>
          <w:tcPr>
            <w:tcW w:w="1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6CEF8F" w14:textId="77777777" w:rsidR="001E7189" w:rsidRDefault="001E7189" w:rsidP="003B45CB">
            <w:pPr>
              <w:adjustRightInd w:val="0"/>
              <w:ind w:left="60" w:right="60"/>
              <w:contextualSpacing/>
              <w:jc w:val="center"/>
              <w:rPr>
                <w:color w:val="000000"/>
              </w:rPr>
            </w:pPr>
            <w:r>
              <w:rPr>
                <w:color w:val="000000"/>
              </w:rPr>
              <w:t>22</w:t>
            </w:r>
          </w:p>
        </w:tc>
        <w:tc>
          <w:tcPr>
            <w:tcW w:w="11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2F0EE1" w14:textId="77777777" w:rsidR="001E7189" w:rsidRDefault="001E7189" w:rsidP="003B45CB">
            <w:pPr>
              <w:adjustRightInd w:val="0"/>
              <w:ind w:left="60" w:right="60"/>
              <w:contextualSpacing/>
              <w:jc w:val="center"/>
              <w:rPr>
                <w:color w:val="000000"/>
              </w:rPr>
            </w:pPr>
            <w:r>
              <w:rPr>
                <w:color w:val="000000"/>
              </w:rPr>
              <w:t>24</w:t>
            </w:r>
          </w:p>
        </w:tc>
      </w:tr>
      <w:tr w:rsidR="001E7189" w14:paraId="6E554F33" w14:textId="77777777" w:rsidTr="001E7189">
        <w:trPr>
          <w:cantSplit/>
        </w:trPr>
        <w:tc>
          <w:tcPr>
            <w:tcW w:w="7844" w:type="dxa"/>
            <w:vMerge/>
            <w:tcBorders>
              <w:top w:val="single" w:sz="4" w:space="0" w:color="auto"/>
              <w:left w:val="single" w:sz="4" w:space="0" w:color="auto"/>
              <w:bottom w:val="single" w:sz="4" w:space="0" w:color="auto"/>
              <w:right w:val="single" w:sz="4" w:space="0" w:color="auto"/>
            </w:tcBorders>
            <w:vAlign w:val="center"/>
            <w:hideMark/>
          </w:tcPr>
          <w:p w14:paraId="5591F2DC" w14:textId="77777777" w:rsidR="001E7189" w:rsidRDefault="001E7189" w:rsidP="003B45CB">
            <w:pPr>
              <w:rPr>
                <w:b/>
                <w:color w:val="000000"/>
                <w:lang w:eastAsia="en-US"/>
              </w:rPr>
            </w:pPr>
          </w:p>
        </w:tc>
        <w:tc>
          <w:tcPr>
            <w:tcW w:w="1694" w:type="dxa"/>
            <w:tcBorders>
              <w:top w:val="single" w:sz="4" w:space="0" w:color="auto"/>
              <w:left w:val="single" w:sz="4" w:space="0" w:color="auto"/>
              <w:bottom w:val="single" w:sz="4" w:space="0" w:color="auto"/>
              <w:right w:val="single" w:sz="4" w:space="0" w:color="auto"/>
            </w:tcBorders>
            <w:shd w:val="clear" w:color="auto" w:fill="FFFFFF"/>
            <w:hideMark/>
          </w:tcPr>
          <w:p w14:paraId="5B1EC14E" w14:textId="77777777" w:rsidR="001E7189" w:rsidRDefault="001E7189" w:rsidP="003B45CB">
            <w:pPr>
              <w:adjustRightInd w:val="0"/>
              <w:ind w:left="60" w:right="60"/>
              <w:contextualSpacing/>
              <w:jc w:val="both"/>
              <w:rPr>
                <w:b/>
                <w:color w:val="000000"/>
              </w:rPr>
            </w:pPr>
            <w:proofErr w:type="spellStart"/>
            <w:r>
              <w:rPr>
                <w:b/>
                <w:color w:val="000000"/>
              </w:rPr>
              <w:t>Doç.Dr</w:t>
            </w:r>
            <w:proofErr w:type="spellEnd"/>
            <w:r>
              <w:rPr>
                <w:b/>
                <w:color w:val="000000"/>
              </w:rPr>
              <w:t>.</w:t>
            </w:r>
          </w:p>
        </w:tc>
        <w:tc>
          <w:tcPr>
            <w:tcW w:w="11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EAAFF1" w14:textId="77777777" w:rsidR="001E7189" w:rsidRDefault="001E7189" w:rsidP="003B45CB">
            <w:pPr>
              <w:adjustRightInd w:val="0"/>
              <w:ind w:left="60" w:right="60"/>
              <w:contextualSpacing/>
              <w:jc w:val="center"/>
              <w:rPr>
                <w:color w:val="000000"/>
              </w:rPr>
            </w:pPr>
            <w:r>
              <w:rPr>
                <w:color w:val="000000"/>
              </w:rPr>
              <w:t>7</w:t>
            </w:r>
          </w:p>
        </w:tc>
        <w:tc>
          <w:tcPr>
            <w:tcW w:w="1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6C8BE3" w14:textId="77777777" w:rsidR="001E7189" w:rsidRDefault="001E7189" w:rsidP="003B45CB">
            <w:pPr>
              <w:adjustRightInd w:val="0"/>
              <w:ind w:left="60" w:right="60"/>
              <w:contextualSpacing/>
              <w:jc w:val="center"/>
              <w:rPr>
                <w:color w:val="000000"/>
              </w:rPr>
            </w:pPr>
            <w:r>
              <w:rPr>
                <w:color w:val="000000"/>
              </w:rPr>
              <w:t>30</w:t>
            </w:r>
          </w:p>
        </w:tc>
        <w:tc>
          <w:tcPr>
            <w:tcW w:w="11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3F6D69" w14:textId="77777777" w:rsidR="001E7189" w:rsidRDefault="001E7189" w:rsidP="003B45CB">
            <w:pPr>
              <w:adjustRightInd w:val="0"/>
              <w:ind w:left="60" w:right="60"/>
              <w:contextualSpacing/>
              <w:jc w:val="center"/>
              <w:rPr>
                <w:color w:val="000000"/>
              </w:rPr>
            </w:pPr>
            <w:r>
              <w:rPr>
                <w:color w:val="000000"/>
              </w:rPr>
              <w:t>37</w:t>
            </w:r>
          </w:p>
        </w:tc>
      </w:tr>
      <w:tr w:rsidR="001E7189" w14:paraId="6D1F3B8B" w14:textId="77777777" w:rsidTr="001E7189">
        <w:trPr>
          <w:cantSplit/>
        </w:trPr>
        <w:tc>
          <w:tcPr>
            <w:tcW w:w="7844" w:type="dxa"/>
            <w:vMerge/>
            <w:tcBorders>
              <w:top w:val="single" w:sz="4" w:space="0" w:color="auto"/>
              <w:left w:val="single" w:sz="4" w:space="0" w:color="auto"/>
              <w:bottom w:val="single" w:sz="4" w:space="0" w:color="auto"/>
              <w:right w:val="single" w:sz="4" w:space="0" w:color="auto"/>
            </w:tcBorders>
            <w:vAlign w:val="center"/>
            <w:hideMark/>
          </w:tcPr>
          <w:p w14:paraId="59CC53AF" w14:textId="77777777" w:rsidR="001E7189" w:rsidRDefault="001E7189" w:rsidP="003B45CB">
            <w:pPr>
              <w:rPr>
                <w:b/>
                <w:color w:val="000000"/>
                <w:lang w:eastAsia="en-US"/>
              </w:rPr>
            </w:pPr>
          </w:p>
        </w:tc>
        <w:tc>
          <w:tcPr>
            <w:tcW w:w="1694" w:type="dxa"/>
            <w:tcBorders>
              <w:top w:val="single" w:sz="4" w:space="0" w:color="auto"/>
              <w:left w:val="single" w:sz="4" w:space="0" w:color="auto"/>
              <w:bottom w:val="single" w:sz="4" w:space="0" w:color="auto"/>
              <w:right w:val="single" w:sz="4" w:space="0" w:color="auto"/>
            </w:tcBorders>
            <w:shd w:val="clear" w:color="auto" w:fill="FFFFFF"/>
            <w:hideMark/>
          </w:tcPr>
          <w:p w14:paraId="0EB339AB" w14:textId="77777777" w:rsidR="001E7189" w:rsidRDefault="001E7189" w:rsidP="003B45CB">
            <w:pPr>
              <w:adjustRightInd w:val="0"/>
              <w:ind w:left="60" w:right="60"/>
              <w:contextualSpacing/>
              <w:jc w:val="both"/>
              <w:rPr>
                <w:b/>
                <w:color w:val="000000"/>
              </w:rPr>
            </w:pPr>
            <w:proofErr w:type="spellStart"/>
            <w:r>
              <w:rPr>
                <w:b/>
                <w:color w:val="000000"/>
              </w:rPr>
              <w:t>Prof.Dr</w:t>
            </w:r>
            <w:proofErr w:type="spellEnd"/>
            <w:r>
              <w:rPr>
                <w:b/>
                <w:color w:val="000000"/>
              </w:rPr>
              <w:t>.</w:t>
            </w:r>
          </w:p>
        </w:tc>
        <w:tc>
          <w:tcPr>
            <w:tcW w:w="11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B8077A" w14:textId="77777777" w:rsidR="001E7189" w:rsidRDefault="001E7189" w:rsidP="003B45CB">
            <w:pPr>
              <w:adjustRightInd w:val="0"/>
              <w:ind w:left="60" w:right="60"/>
              <w:contextualSpacing/>
              <w:jc w:val="center"/>
              <w:rPr>
                <w:color w:val="000000"/>
              </w:rPr>
            </w:pPr>
            <w:r>
              <w:rPr>
                <w:color w:val="000000"/>
              </w:rPr>
              <w:t>25</w:t>
            </w:r>
          </w:p>
        </w:tc>
        <w:tc>
          <w:tcPr>
            <w:tcW w:w="1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038933" w14:textId="77777777" w:rsidR="001E7189" w:rsidRDefault="001E7189" w:rsidP="003B45CB">
            <w:pPr>
              <w:adjustRightInd w:val="0"/>
              <w:ind w:left="60" w:right="60"/>
              <w:contextualSpacing/>
              <w:jc w:val="center"/>
              <w:rPr>
                <w:color w:val="000000"/>
              </w:rPr>
            </w:pPr>
            <w:r>
              <w:rPr>
                <w:color w:val="000000"/>
              </w:rPr>
              <w:t>18</w:t>
            </w:r>
          </w:p>
        </w:tc>
        <w:tc>
          <w:tcPr>
            <w:tcW w:w="11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B30DA5" w14:textId="77777777" w:rsidR="001E7189" w:rsidRDefault="001E7189" w:rsidP="003B45CB">
            <w:pPr>
              <w:adjustRightInd w:val="0"/>
              <w:ind w:left="60" w:right="60"/>
              <w:contextualSpacing/>
              <w:jc w:val="center"/>
              <w:rPr>
                <w:color w:val="000000"/>
              </w:rPr>
            </w:pPr>
            <w:r>
              <w:rPr>
                <w:color w:val="000000"/>
              </w:rPr>
              <w:t>43</w:t>
            </w:r>
          </w:p>
        </w:tc>
      </w:tr>
      <w:tr w:rsidR="001E7189" w14:paraId="4BC8CDAE" w14:textId="77777777" w:rsidTr="001E7189">
        <w:trPr>
          <w:cantSplit/>
        </w:trPr>
        <w:tc>
          <w:tcPr>
            <w:tcW w:w="3610"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23C4412" w14:textId="77777777" w:rsidR="001E7189" w:rsidRDefault="001E7189" w:rsidP="003B45CB">
            <w:pPr>
              <w:adjustRightInd w:val="0"/>
              <w:ind w:left="60" w:right="60"/>
              <w:contextualSpacing/>
              <w:jc w:val="both"/>
              <w:rPr>
                <w:b/>
                <w:color w:val="000000"/>
              </w:rPr>
            </w:pPr>
            <w:r>
              <w:rPr>
                <w:b/>
                <w:color w:val="000000"/>
              </w:rPr>
              <w:t>Toplam</w:t>
            </w:r>
          </w:p>
        </w:tc>
        <w:tc>
          <w:tcPr>
            <w:tcW w:w="11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0C5B0E" w14:textId="77777777" w:rsidR="001E7189" w:rsidRDefault="001E7189" w:rsidP="003B45CB">
            <w:pPr>
              <w:adjustRightInd w:val="0"/>
              <w:ind w:left="60" w:right="60"/>
              <w:contextualSpacing/>
              <w:jc w:val="center"/>
              <w:rPr>
                <w:color w:val="000000"/>
              </w:rPr>
            </w:pPr>
            <w:r>
              <w:rPr>
                <w:color w:val="000000"/>
              </w:rPr>
              <w:t>34</w:t>
            </w:r>
          </w:p>
        </w:tc>
        <w:tc>
          <w:tcPr>
            <w:tcW w:w="1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0DECDF" w14:textId="77777777" w:rsidR="001E7189" w:rsidRDefault="001E7189" w:rsidP="003B45CB">
            <w:pPr>
              <w:adjustRightInd w:val="0"/>
              <w:ind w:left="60" w:right="60"/>
              <w:contextualSpacing/>
              <w:jc w:val="center"/>
              <w:rPr>
                <w:color w:val="000000"/>
              </w:rPr>
            </w:pPr>
            <w:r>
              <w:rPr>
                <w:color w:val="000000"/>
              </w:rPr>
              <w:t>70</w:t>
            </w:r>
          </w:p>
        </w:tc>
        <w:tc>
          <w:tcPr>
            <w:tcW w:w="11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44F71D" w14:textId="77777777" w:rsidR="001E7189" w:rsidRDefault="001E7189" w:rsidP="003B45CB">
            <w:pPr>
              <w:adjustRightInd w:val="0"/>
              <w:ind w:left="60" w:right="60"/>
              <w:contextualSpacing/>
              <w:jc w:val="center"/>
              <w:rPr>
                <w:color w:val="000000"/>
              </w:rPr>
            </w:pPr>
            <w:r>
              <w:rPr>
                <w:color w:val="000000"/>
              </w:rPr>
              <w:t>104</w:t>
            </w:r>
          </w:p>
        </w:tc>
      </w:tr>
    </w:tbl>
    <w:p w14:paraId="71876440" w14:textId="11EA3AE5" w:rsidR="001E7189" w:rsidRDefault="001E7189" w:rsidP="003B45CB">
      <w:pPr>
        <w:jc w:val="both"/>
        <w:rPr>
          <w:lang w:eastAsia="en-US"/>
        </w:rPr>
      </w:pPr>
      <w:r>
        <w:t xml:space="preserve">Konuların araştırılma kapsam ve yoğunluğu olarak sayfa aralığı da incelenmiştir. Buna göre 100 ve altı sayfa aralığında olan çalışmaların sadece 22 adet ve yüksek lisans düzeyinde olduğu görülmektedir. Orta ve ileri kapsamda ele alındığı görülmektedir. Doktora tezlerinin tamamı </w:t>
      </w:r>
      <w:r>
        <w:lastRenderedPageBreak/>
        <w:t>ise bu şekilde hazırlanmıştır (Tablo 3).</w:t>
      </w:r>
    </w:p>
    <w:p w14:paraId="721DD57F" w14:textId="77777777" w:rsidR="001E7189" w:rsidRDefault="001E7189" w:rsidP="003B45CB">
      <w:pPr>
        <w:adjustRightInd w:val="0"/>
        <w:jc w:val="both"/>
      </w:pPr>
      <w:r>
        <w:rPr>
          <w:b/>
        </w:rPr>
        <w:t>Tablo 3.</w:t>
      </w:r>
      <w:r>
        <w:t xml:space="preserve"> Sayfa Aralığı</w:t>
      </w:r>
    </w:p>
    <w:tbl>
      <w:tblPr>
        <w:tblW w:w="6240"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1"/>
        <w:gridCol w:w="1477"/>
        <w:gridCol w:w="1030"/>
        <w:gridCol w:w="1742"/>
        <w:gridCol w:w="1030"/>
      </w:tblGrid>
      <w:tr w:rsidR="001E7189" w14:paraId="0D5845E8" w14:textId="77777777" w:rsidTr="001E7189">
        <w:trPr>
          <w:cantSplit/>
        </w:trPr>
        <w:tc>
          <w:tcPr>
            <w:tcW w:w="243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D9458B4" w14:textId="77777777" w:rsidR="001E7189" w:rsidRDefault="001E7189" w:rsidP="003B45CB">
            <w:pPr>
              <w:adjustRightInd w:val="0"/>
              <w:contextualSpacing/>
              <w:jc w:val="both"/>
              <w:rPr>
                <w:b/>
                <w:color w:val="000000"/>
              </w:rPr>
            </w:pP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F1BDD10" w14:textId="77777777" w:rsidR="001E7189" w:rsidRDefault="001E7189" w:rsidP="003B45CB">
            <w:pPr>
              <w:adjustRightInd w:val="0"/>
              <w:ind w:left="60" w:right="60"/>
              <w:contextualSpacing/>
              <w:jc w:val="both"/>
              <w:rPr>
                <w:b/>
                <w:color w:val="000000"/>
              </w:rPr>
            </w:pPr>
            <w:r>
              <w:rPr>
                <w:b/>
                <w:color w:val="000000"/>
              </w:rPr>
              <w:t>Doktora</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AFC8967" w14:textId="77777777" w:rsidR="001E7189" w:rsidRDefault="001E7189" w:rsidP="003B45CB">
            <w:pPr>
              <w:adjustRightInd w:val="0"/>
              <w:ind w:left="60" w:right="60"/>
              <w:contextualSpacing/>
              <w:jc w:val="both"/>
              <w:rPr>
                <w:b/>
                <w:color w:val="000000"/>
              </w:rPr>
            </w:pPr>
            <w:r>
              <w:rPr>
                <w:b/>
                <w:color w:val="000000"/>
              </w:rPr>
              <w:t>Yüksek Lisans</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52FFF0C" w14:textId="77777777" w:rsidR="001E7189" w:rsidRDefault="001E7189" w:rsidP="003B45CB">
            <w:pPr>
              <w:adjustRightInd w:val="0"/>
              <w:contextualSpacing/>
              <w:jc w:val="both"/>
              <w:rPr>
                <w:b/>
                <w:color w:val="000000"/>
              </w:rPr>
            </w:pPr>
            <w:r>
              <w:rPr>
                <w:b/>
                <w:color w:val="000000"/>
              </w:rPr>
              <w:t>Toplam</w:t>
            </w:r>
          </w:p>
        </w:tc>
      </w:tr>
      <w:tr w:rsidR="001E7189" w14:paraId="0E9332FA" w14:textId="77777777" w:rsidTr="001E7189">
        <w:trPr>
          <w:cantSplit/>
        </w:trPr>
        <w:tc>
          <w:tcPr>
            <w:tcW w:w="96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E7E80E5" w14:textId="77777777" w:rsidR="001E7189" w:rsidRDefault="001E7189" w:rsidP="003B45CB">
            <w:pPr>
              <w:adjustRightInd w:val="0"/>
              <w:ind w:left="60" w:right="60"/>
              <w:contextualSpacing/>
              <w:jc w:val="both"/>
              <w:rPr>
                <w:b/>
                <w:color w:val="000000"/>
              </w:rPr>
            </w:pPr>
            <w:r>
              <w:rPr>
                <w:b/>
                <w:color w:val="000000"/>
              </w:rPr>
              <w:t>Sayfa</w:t>
            </w:r>
          </w:p>
          <w:p w14:paraId="262379BB" w14:textId="77777777" w:rsidR="001E7189" w:rsidRDefault="001E7189" w:rsidP="003B45CB">
            <w:pPr>
              <w:adjustRightInd w:val="0"/>
              <w:ind w:left="60" w:right="60"/>
              <w:contextualSpacing/>
              <w:jc w:val="both"/>
              <w:rPr>
                <w:color w:val="000000"/>
              </w:rPr>
            </w:pPr>
            <w:r>
              <w:rPr>
                <w:b/>
                <w:color w:val="000000"/>
              </w:rPr>
              <w:t>Aralığı</w:t>
            </w:r>
          </w:p>
        </w:tc>
        <w:tc>
          <w:tcPr>
            <w:tcW w:w="1476" w:type="dxa"/>
            <w:tcBorders>
              <w:top w:val="single" w:sz="4" w:space="0" w:color="auto"/>
              <w:left w:val="single" w:sz="4" w:space="0" w:color="auto"/>
              <w:bottom w:val="single" w:sz="4" w:space="0" w:color="auto"/>
              <w:right w:val="single" w:sz="4" w:space="0" w:color="auto"/>
            </w:tcBorders>
            <w:shd w:val="clear" w:color="auto" w:fill="FFFFFF"/>
            <w:hideMark/>
          </w:tcPr>
          <w:p w14:paraId="3A01B8AD" w14:textId="77777777" w:rsidR="001E7189" w:rsidRDefault="001E7189" w:rsidP="003B45CB">
            <w:pPr>
              <w:adjustRightInd w:val="0"/>
              <w:ind w:left="60" w:right="60"/>
              <w:contextualSpacing/>
              <w:jc w:val="both"/>
              <w:rPr>
                <w:b/>
                <w:color w:val="000000"/>
              </w:rPr>
            </w:pPr>
            <w:r>
              <w:rPr>
                <w:b/>
                <w:color w:val="000000"/>
              </w:rPr>
              <w:t>100 ve altı</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169219"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EFAD56" w14:textId="77777777" w:rsidR="001E7189" w:rsidRDefault="001E7189" w:rsidP="003B45CB">
            <w:pPr>
              <w:adjustRightInd w:val="0"/>
              <w:ind w:left="60" w:right="60"/>
              <w:contextualSpacing/>
              <w:jc w:val="center"/>
              <w:rPr>
                <w:color w:val="000000"/>
              </w:rPr>
            </w:pPr>
            <w:r>
              <w:rPr>
                <w:color w:val="000000"/>
              </w:rPr>
              <w:t>22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D9976E" w14:textId="77777777" w:rsidR="001E7189" w:rsidRDefault="001E7189" w:rsidP="003B45CB">
            <w:pPr>
              <w:adjustRightInd w:val="0"/>
              <w:ind w:left="60" w:right="60"/>
              <w:contextualSpacing/>
              <w:jc w:val="center"/>
              <w:rPr>
                <w:color w:val="000000"/>
              </w:rPr>
            </w:pPr>
            <w:r>
              <w:rPr>
                <w:color w:val="000000"/>
              </w:rPr>
              <w:t>22</w:t>
            </w:r>
          </w:p>
        </w:tc>
      </w:tr>
      <w:tr w:rsidR="001E7189" w14:paraId="57B420BE" w14:textId="77777777" w:rsidTr="001E7189">
        <w:trPr>
          <w:cantSplit/>
        </w:trPr>
        <w:tc>
          <w:tcPr>
            <w:tcW w:w="2437" w:type="dxa"/>
            <w:vMerge/>
            <w:tcBorders>
              <w:top w:val="single" w:sz="4" w:space="0" w:color="auto"/>
              <w:left w:val="single" w:sz="4" w:space="0" w:color="auto"/>
              <w:bottom w:val="single" w:sz="4" w:space="0" w:color="auto"/>
              <w:right w:val="single" w:sz="4" w:space="0" w:color="auto"/>
            </w:tcBorders>
            <w:vAlign w:val="center"/>
            <w:hideMark/>
          </w:tcPr>
          <w:p w14:paraId="40175665" w14:textId="77777777" w:rsidR="001E7189" w:rsidRDefault="001E7189" w:rsidP="003B45CB">
            <w:pPr>
              <w:rPr>
                <w:color w:val="000000"/>
                <w:lang w:eastAsia="en-US"/>
              </w:rPr>
            </w:pPr>
          </w:p>
        </w:tc>
        <w:tc>
          <w:tcPr>
            <w:tcW w:w="1476" w:type="dxa"/>
            <w:tcBorders>
              <w:top w:val="single" w:sz="4" w:space="0" w:color="auto"/>
              <w:left w:val="single" w:sz="4" w:space="0" w:color="auto"/>
              <w:bottom w:val="single" w:sz="4" w:space="0" w:color="auto"/>
              <w:right w:val="single" w:sz="4" w:space="0" w:color="auto"/>
            </w:tcBorders>
            <w:shd w:val="clear" w:color="auto" w:fill="FFFFFF"/>
            <w:hideMark/>
          </w:tcPr>
          <w:p w14:paraId="5A5A35A9" w14:textId="77777777" w:rsidR="001E7189" w:rsidRDefault="001E7189" w:rsidP="003B45CB">
            <w:pPr>
              <w:adjustRightInd w:val="0"/>
              <w:ind w:left="60" w:right="60"/>
              <w:contextualSpacing/>
              <w:jc w:val="both"/>
              <w:rPr>
                <w:b/>
                <w:color w:val="000000"/>
              </w:rPr>
            </w:pPr>
            <w:r>
              <w:rPr>
                <w:b/>
                <w:color w:val="000000"/>
              </w:rPr>
              <w:t>101-249 arası</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C96D7C" w14:textId="77777777" w:rsidR="001E7189" w:rsidRDefault="001E7189" w:rsidP="003B45CB">
            <w:pPr>
              <w:adjustRightInd w:val="0"/>
              <w:ind w:left="60" w:right="60"/>
              <w:contextualSpacing/>
              <w:jc w:val="center"/>
              <w:rPr>
                <w:color w:val="000000"/>
              </w:rPr>
            </w:pPr>
            <w:r>
              <w:rPr>
                <w:color w:val="000000"/>
              </w:rPr>
              <w:t>28</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7A06C3" w14:textId="77777777" w:rsidR="001E7189" w:rsidRDefault="001E7189" w:rsidP="003B45CB">
            <w:pPr>
              <w:adjustRightInd w:val="0"/>
              <w:ind w:left="60" w:right="60"/>
              <w:contextualSpacing/>
              <w:jc w:val="center"/>
              <w:rPr>
                <w:color w:val="000000"/>
              </w:rPr>
            </w:pPr>
            <w:r>
              <w:rPr>
                <w:color w:val="000000"/>
              </w:rPr>
              <w:t>44</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624313" w14:textId="77777777" w:rsidR="001E7189" w:rsidRDefault="001E7189" w:rsidP="003B45CB">
            <w:pPr>
              <w:adjustRightInd w:val="0"/>
              <w:ind w:left="60" w:right="60"/>
              <w:contextualSpacing/>
              <w:jc w:val="center"/>
              <w:rPr>
                <w:color w:val="000000"/>
              </w:rPr>
            </w:pPr>
            <w:r>
              <w:rPr>
                <w:color w:val="000000"/>
              </w:rPr>
              <w:t>72</w:t>
            </w:r>
          </w:p>
        </w:tc>
      </w:tr>
      <w:tr w:rsidR="001E7189" w14:paraId="15EACB39" w14:textId="77777777" w:rsidTr="001E7189">
        <w:trPr>
          <w:cantSplit/>
        </w:trPr>
        <w:tc>
          <w:tcPr>
            <w:tcW w:w="2437" w:type="dxa"/>
            <w:vMerge/>
            <w:tcBorders>
              <w:top w:val="single" w:sz="4" w:space="0" w:color="auto"/>
              <w:left w:val="single" w:sz="4" w:space="0" w:color="auto"/>
              <w:bottom w:val="single" w:sz="4" w:space="0" w:color="auto"/>
              <w:right w:val="single" w:sz="4" w:space="0" w:color="auto"/>
            </w:tcBorders>
            <w:vAlign w:val="center"/>
            <w:hideMark/>
          </w:tcPr>
          <w:p w14:paraId="345907FE" w14:textId="77777777" w:rsidR="001E7189" w:rsidRDefault="001E7189" w:rsidP="003B45CB">
            <w:pPr>
              <w:rPr>
                <w:color w:val="000000"/>
                <w:lang w:eastAsia="en-US"/>
              </w:rPr>
            </w:pPr>
          </w:p>
        </w:tc>
        <w:tc>
          <w:tcPr>
            <w:tcW w:w="1476" w:type="dxa"/>
            <w:tcBorders>
              <w:top w:val="single" w:sz="4" w:space="0" w:color="auto"/>
              <w:left w:val="single" w:sz="4" w:space="0" w:color="auto"/>
              <w:bottom w:val="single" w:sz="4" w:space="0" w:color="auto"/>
              <w:right w:val="single" w:sz="4" w:space="0" w:color="auto"/>
            </w:tcBorders>
            <w:shd w:val="clear" w:color="auto" w:fill="FFFFFF"/>
            <w:hideMark/>
          </w:tcPr>
          <w:p w14:paraId="5694757C" w14:textId="77777777" w:rsidR="001E7189" w:rsidRDefault="001E7189" w:rsidP="003B45CB">
            <w:pPr>
              <w:adjustRightInd w:val="0"/>
              <w:ind w:left="60" w:right="60"/>
              <w:contextualSpacing/>
              <w:jc w:val="both"/>
              <w:rPr>
                <w:b/>
                <w:color w:val="000000"/>
              </w:rPr>
            </w:pPr>
            <w:r>
              <w:rPr>
                <w:b/>
                <w:color w:val="000000"/>
              </w:rPr>
              <w:t>251 ve üstü</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6C0A90" w14:textId="77777777" w:rsidR="001E7189" w:rsidRDefault="001E7189" w:rsidP="003B45CB">
            <w:pPr>
              <w:adjustRightInd w:val="0"/>
              <w:ind w:left="60" w:right="60"/>
              <w:contextualSpacing/>
              <w:jc w:val="center"/>
              <w:rPr>
                <w:color w:val="000000"/>
              </w:rPr>
            </w:pPr>
            <w:r>
              <w:rPr>
                <w:color w:val="000000"/>
              </w:rPr>
              <w:t>6</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DDFB1A" w14:textId="77777777" w:rsidR="001E7189" w:rsidRDefault="001E7189" w:rsidP="003B45CB">
            <w:pPr>
              <w:adjustRightInd w:val="0"/>
              <w:ind w:left="60" w:right="60"/>
              <w:contextualSpacing/>
              <w:jc w:val="center"/>
              <w:rPr>
                <w:color w:val="000000"/>
              </w:rPr>
            </w:pPr>
            <w:r>
              <w:rPr>
                <w:color w:val="000000"/>
              </w:rPr>
              <w:t>4</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F6BE2D" w14:textId="77777777" w:rsidR="001E7189" w:rsidRDefault="001E7189" w:rsidP="003B45CB">
            <w:pPr>
              <w:adjustRightInd w:val="0"/>
              <w:ind w:left="60" w:right="60"/>
              <w:contextualSpacing/>
              <w:jc w:val="center"/>
              <w:rPr>
                <w:color w:val="000000"/>
              </w:rPr>
            </w:pPr>
            <w:r>
              <w:rPr>
                <w:color w:val="000000"/>
              </w:rPr>
              <w:t>10</w:t>
            </w:r>
          </w:p>
        </w:tc>
      </w:tr>
      <w:tr w:rsidR="001E7189" w14:paraId="206EBA37" w14:textId="77777777" w:rsidTr="001E7189">
        <w:trPr>
          <w:cantSplit/>
        </w:trPr>
        <w:tc>
          <w:tcPr>
            <w:tcW w:w="2437"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B82FB62" w14:textId="77777777" w:rsidR="001E7189" w:rsidRDefault="001E7189" w:rsidP="003B45CB">
            <w:pPr>
              <w:adjustRightInd w:val="0"/>
              <w:ind w:left="60" w:right="60"/>
              <w:contextualSpacing/>
              <w:jc w:val="both"/>
              <w:rPr>
                <w:b/>
                <w:color w:val="000000"/>
              </w:rPr>
            </w:pPr>
            <w:r>
              <w:rPr>
                <w:b/>
                <w:color w:val="000000"/>
              </w:rPr>
              <w:t>Toplam</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F2C8DA" w14:textId="77777777" w:rsidR="001E7189" w:rsidRDefault="001E7189" w:rsidP="003B45CB">
            <w:pPr>
              <w:adjustRightInd w:val="0"/>
              <w:ind w:left="60" w:right="60"/>
              <w:contextualSpacing/>
              <w:jc w:val="center"/>
              <w:rPr>
                <w:color w:val="000000"/>
              </w:rPr>
            </w:pPr>
            <w:r>
              <w:rPr>
                <w:color w:val="000000"/>
              </w:rPr>
              <w:t>34</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101C66" w14:textId="77777777" w:rsidR="001E7189" w:rsidRDefault="001E7189" w:rsidP="003B45CB">
            <w:pPr>
              <w:adjustRightInd w:val="0"/>
              <w:ind w:left="60" w:right="60"/>
              <w:contextualSpacing/>
              <w:jc w:val="center"/>
              <w:rPr>
                <w:color w:val="000000"/>
              </w:rPr>
            </w:pPr>
            <w:r>
              <w:rPr>
                <w:color w:val="000000"/>
              </w:rPr>
              <w:t>70</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1E60A7" w14:textId="77777777" w:rsidR="001E7189" w:rsidRDefault="001E7189" w:rsidP="003B45CB">
            <w:pPr>
              <w:adjustRightInd w:val="0"/>
              <w:ind w:left="60" w:right="60"/>
              <w:contextualSpacing/>
              <w:jc w:val="center"/>
              <w:rPr>
                <w:color w:val="000000"/>
              </w:rPr>
            </w:pPr>
            <w:r>
              <w:rPr>
                <w:color w:val="000000"/>
              </w:rPr>
              <w:t>104</w:t>
            </w:r>
          </w:p>
        </w:tc>
      </w:tr>
    </w:tbl>
    <w:p w14:paraId="52EA97C3" w14:textId="77777777" w:rsidR="001E7189" w:rsidRDefault="001E7189" w:rsidP="003B45CB">
      <w:pPr>
        <w:adjustRightInd w:val="0"/>
        <w:jc w:val="both"/>
      </w:pPr>
      <w:r>
        <w:t>Yayın yılı açısından çalışmalar değerlendirildiğinde, konuya ilişkin ilk çalışmanın 1992 yılında hazırlandığı görülmektedir. 1997 yılına kadar başka çalışma bulunmazken, 2007 yılından itibaren bu konunun daha fazla araştırılma eğilimine girdiği görülmektedir. Finansal başarısızlık üzerine bu dönem itibarıyla neredeyse her yıl çalışma yapılmakla beraber özellikle 2018 yılı itibarıyla daha fazla artan şekilde konu irdelenmektedir. Bu da konunun önem ve güncelliğinin arttığını göstermektedir. Finansal başarısızlık üzerine en fazla yapılan çalışmaların 2022 (15) ve 2019 (14) yıllında gerçekleştiği dönemler ise sırasıyla dünyada Covid-19 pandemisinin yayıldığı ve ülkemizde de kur krizinin başladığı dönemlerin hemen sonrasıdır (Şekil 1).</w:t>
      </w:r>
    </w:p>
    <w:p w14:paraId="4CB54D31" w14:textId="77777777" w:rsidR="003B45CB" w:rsidRDefault="003B45CB" w:rsidP="003B45CB">
      <w:pPr>
        <w:adjustRightInd w:val="0"/>
        <w:jc w:val="both"/>
        <w:rPr>
          <w:lang w:eastAsia="en-US"/>
        </w:rPr>
      </w:pPr>
    </w:p>
    <w:p w14:paraId="0CCCEE22" w14:textId="77777777" w:rsidR="001E7189" w:rsidRDefault="001E7189" w:rsidP="003B45CB">
      <w:pPr>
        <w:adjustRightInd w:val="0"/>
        <w:jc w:val="both"/>
      </w:pPr>
      <w:r>
        <w:rPr>
          <w:b/>
        </w:rPr>
        <w:t>Şekil 1.</w:t>
      </w:r>
      <w:r>
        <w:t xml:space="preserve"> Yayın Yılı</w:t>
      </w:r>
    </w:p>
    <w:p w14:paraId="2CD83D1C" w14:textId="6871AA72" w:rsidR="001E7189" w:rsidRDefault="001E7189" w:rsidP="003B45CB">
      <w:pPr>
        <w:adjustRightInd w:val="0"/>
        <w:jc w:val="both"/>
      </w:pPr>
      <w:r>
        <w:rPr>
          <w:noProof/>
        </w:rPr>
        <w:drawing>
          <wp:inline distT="0" distB="0" distL="0" distR="0" wp14:anchorId="15D68219" wp14:editId="70437F25">
            <wp:extent cx="5728970" cy="2844800"/>
            <wp:effectExtent l="0" t="0" r="11430" b="12700"/>
            <wp:docPr id="1" name="Grafik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2495888" w14:textId="2B7CED56" w:rsidR="001E7189" w:rsidRDefault="001E7189" w:rsidP="003B45CB">
      <w:pPr>
        <w:adjustRightInd w:val="0"/>
        <w:jc w:val="both"/>
      </w:pPr>
      <w:r>
        <w:t>Tez çalışmaları üniversitelere göre incelendiğinde, en fazla Marmara Üniversitesi (7) ve Dokuz Eylül Üniversitesi’nde (5) araştırmaların yapıldığı görülmektedir. Bunun dışında bu konuya ilişkin araştırmalarda Anadolu Üniversitesi (4), Ankara Üniversitesi (4), Dumlupınar Üniversitesi (4), İstanbul Üniversitesi (4), Mersin Üniversitesi (4) ve Süleyman Demirel Üniversitesi (4) de öne çıkmaktadır (Tablo 4).</w:t>
      </w:r>
    </w:p>
    <w:p w14:paraId="7724B08F" w14:textId="77777777" w:rsidR="003B45CB" w:rsidRDefault="003B45CB" w:rsidP="003B45CB">
      <w:pPr>
        <w:adjustRightInd w:val="0"/>
        <w:jc w:val="both"/>
      </w:pPr>
    </w:p>
    <w:p w14:paraId="72D61F29" w14:textId="77777777" w:rsidR="001E7189" w:rsidRDefault="001E7189" w:rsidP="003B45CB">
      <w:pPr>
        <w:adjustRightInd w:val="0"/>
        <w:jc w:val="both"/>
      </w:pPr>
      <w:r>
        <w:rPr>
          <w:b/>
        </w:rPr>
        <w:t>Tablo 4.</w:t>
      </w:r>
      <w:r>
        <w:t xml:space="preserve"> Üniversite</w:t>
      </w:r>
    </w:p>
    <w:tbl>
      <w:tblPr>
        <w:tblStyle w:val="TabloKlavuzu"/>
        <w:tblW w:w="0" w:type="auto"/>
        <w:tblLook w:val="04A0" w:firstRow="1" w:lastRow="0" w:firstColumn="1" w:lastColumn="0" w:noHBand="0" w:noVBand="1"/>
      </w:tblPr>
      <w:tblGrid>
        <w:gridCol w:w="3229"/>
        <w:gridCol w:w="730"/>
        <w:gridCol w:w="3575"/>
        <w:gridCol w:w="730"/>
      </w:tblGrid>
      <w:tr w:rsidR="001E7189" w14:paraId="040F9F68"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1B766C38" w14:textId="77777777" w:rsidR="001E7189" w:rsidRDefault="001E7189" w:rsidP="003B45CB">
            <w:pPr>
              <w:adjustRightInd w:val="0"/>
              <w:jc w:val="center"/>
              <w:rPr>
                <w:rFonts w:ascii="Times New Roman" w:hAnsi="Times New Roman" w:cs="Times New Roman"/>
                <w:b/>
                <w:sz w:val="22"/>
              </w:rPr>
            </w:pPr>
            <w:r>
              <w:rPr>
                <w:rFonts w:ascii="Times New Roman" w:hAnsi="Times New Roman" w:cs="Times New Roman"/>
                <w:b/>
              </w:rPr>
              <w:t>Üniversite Adı</w:t>
            </w:r>
          </w:p>
        </w:tc>
        <w:tc>
          <w:tcPr>
            <w:tcW w:w="730" w:type="dxa"/>
            <w:tcBorders>
              <w:top w:val="single" w:sz="4" w:space="0" w:color="auto"/>
              <w:left w:val="single" w:sz="4" w:space="0" w:color="auto"/>
              <w:bottom w:val="single" w:sz="4" w:space="0" w:color="auto"/>
              <w:right w:val="single" w:sz="4" w:space="0" w:color="auto"/>
            </w:tcBorders>
            <w:noWrap/>
            <w:hideMark/>
          </w:tcPr>
          <w:p w14:paraId="292271A5" w14:textId="77777777" w:rsidR="001E7189" w:rsidRDefault="001E7189" w:rsidP="003B45CB">
            <w:pPr>
              <w:adjustRightInd w:val="0"/>
              <w:jc w:val="center"/>
              <w:rPr>
                <w:rFonts w:ascii="Times New Roman" w:hAnsi="Times New Roman" w:cs="Times New Roman"/>
                <w:b/>
              </w:rPr>
            </w:pPr>
            <w:r>
              <w:rPr>
                <w:rFonts w:ascii="Times New Roman" w:hAnsi="Times New Roman" w:cs="Times New Roman"/>
                <w:b/>
              </w:rPr>
              <w:t>Sayı</w:t>
            </w:r>
          </w:p>
        </w:tc>
        <w:tc>
          <w:tcPr>
            <w:tcW w:w="3575" w:type="dxa"/>
            <w:tcBorders>
              <w:top w:val="single" w:sz="4" w:space="0" w:color="auto"/>
              <w:left w:val="single" w:sz="4" w:space="0" w:color="auto"/>
              <w:bottom w:val="single" w:sz="4" w:space="0" w:color="auto"/>
              <w:right w:val="single" w:sz="4" w:space="0" w:color="auto"/>
            </w:tcBorders>
            <w:noWrap/>
            <w:hideMark/>
          </w:tcPr>
          <w:p w14:paraId="296E7D7E" w14:textId="77777777" w:rsidR="001E7189" w:rsidRDefault="001E7189" w:rsidP="003B45CB">
            <w:pPr>
              <w:adjustRightInd w:val="0"/>
              <w:jc w:val="center"/>
              <w:rPr>
                <w:rFonts w:ascii="Times New Roman" w:hAnsi="Times New Roman" w:cs="Times New Roman"/>
                <w:b/>
              </w:rPr>
            </w:pPr>
            <w:r>
              <w:rPr>
                <w:rFonts w:ascii="Times New Roman" w:hAnsi="Times New Roman" w:cs="Times New Roman"/>
                <w:b/>
              </w:rPr>
              <w:t>Üniversite Adı</w:t>
            </w:r>
          </w:p>
        </w:tc>
        <w:tc>
          <w:tcPr>
            <w:tcW w:w="730" w:type="dxa"/>
            <w:tcBorders>
              <w:top w:val="single" w:sz="4" w:space="0" w:color="auto"/>
              <w:left w:val="single" w:sz="4" w:space="0" w:color="auto"/>
              <w:bottom w:val="single" w:sz="4" w:space="0" w:color="auto"/>
              <w:right w:val="single" w:sz="4" w:space="0" w:color="auto"/>
            </w:tcBorders>
            <w:noWrap/>
            <w:hideMark/>
          </w:tcPr>
          <w:p w14:paraId="0ED1073E" w14:textId="77777777" w:rsidR="001E7189" w:rsidRDefault="001E7189" w:rsidP="003B45CB">
            <w:pPr>
              <w:adjustRightInd w:val="0"/>
              <w:jc w:val="center"/>
              <w:rPr>
                <w:rFonts w:ascii="Times New Roman" w:hAnsi="Times New Roman" w:cs="Times New Roman"/>
                <w:b/>
              </w:rPr>
            </w:pPr>
            <w:r>
              <w:rPr>
                <w:rFonts w:ascii="Times New Roman" w:hAnsi="Times New Roman" w:cs="Times New Roman"/>
                <w:b/>
              </w:rPr>
              <w:t>Sayı</w:t>
            </w:r>
          </w:p>
        </w:tc>
      </w:tr>
      <w:tr w:rsidR="001E7189" w14:paraId="35C9FA7F"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66631000"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Marmara Üniversitesi</w:t>
            </w:r>
          </w:p>
        </w:tc>
        <w:tc>
          <w:tcPr>
            <w:tcW w:w="730" w:type="dxa"/>
            <w:tcBorders>
              <w:top w:val="single" w:sz="4" w:space="0" w:color="auto"/>
              <w:left w:val="single" w:sz="4" w:space="0" w:color="auto"/>
              <w:bottom w:val="single" w:sz="4" w:space="0" w:color="auto"/>
              <w:right w:val="single" w:sz="4" w:space="0" w:color="auto"/>
            </w:tcBorders>
            <w:hideMark/>
          </w:tcPr>
          <w:p w14:paraId="0169CB30"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7</w:t>
            </w:r>
          </w:p>
        </w:tc>
        <w:tc>
          <w:tcPr>
            <w:tcW w:w="3575" w:type="dxa"/>
            <w:tcBorders>
              <w:top w:val="single" w:sz="4" w:space="0" w:color="auto"/>
              <w:left w:val="single" w:sz="4" w:space="0" w:color="auto"/>
              <w:bottom w:val="single" w:sz="4" w:space="0" w:color="auto"/>
              <w:right w:val="single" w:sz="4" w:space="0" w:color="auto"/>
            </w:tcBorders>
            <w:noWrap/>
            <w:hideMark/>
          </w:tcPr>
          <w:p w14:paraId="52A4953A"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Altınbaş Üniversitesi</w:t>
            </w:r>
          </w:p>
        </w:tc>
        <w:tc>
          <w:tcPr>
            <w:tcW w:w="730" w:type="dxa"/>
            <w:tcBorders>
              <w:top w:val="single" w:sz="4" w:space="0" w:color="auto"/>
              <w:left w:val="single" w:sz="4" w:space="0" w:color="auto"/>
              <w:bottom w:val="single" w:sz="4" w:space="0" w:color="auto"/>
              <w:right w:val="single" w:sz="4" w:space="0" w:color="auto"/>
            </w:tcBorders>
            <w:hideMark/>
          </w:tcPr>
          <w:p w14:paraId="0EFDB308"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C246D5C"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209BA3A5"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Dokuz Eylül Üniversitesi</w:t>
            </w:r>
          </w:p>
        </w:tc>
        <w:tc>
          <w:tcPr>
            <w:tcW w:w="730" w:type="dxa"/>
            <w:tcBorders>
              <w:top w:val="single" w:sz="4" w:space="0" w:color="auto"/>
              <w:left w:val="single" w:sz="4" w:space="0" w:color="auto"/>
              <w:bottom w:val="single" w:sz="4" w:space="0" w:color="auto"/>
              <w:right w:val="single" w:sz="4" w:space="0" w:color="auto"/>
            </w:tcBorders>
            <w:hideMark/>
          </w:tcPr>
          <w:p w14:paraId="0DE1ABB0"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5</w:t>
            </w:r>
          </w:p>
        </w:tc>
        <w:tc>
          <w:tcPr>
            <w:tcW w:w="3575" w:type="dxa"/>
            <w:tcBorders>
              <w:top w:val="single" w:sz="4" w:space="0" w:color="auto"/>
              <w:left w:val="single" w:sz="4" w:space="0" w:color="auto"/>
              <w:bottom w:val="single" w:sz="4" w:space="0" w:color="auto"/>
              <w:right w:val="single" w:sz="4" w:space="0" w:color="auto"/>
            </w:tcBorders>
            <w:noWrap/>
            <w:hideMark/>
          </w:tcPr>
          <w:p w14:paraId="25844200"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Atatürk Üniversitesi</w:t>
            </w:r>
          </w:p>
        </w:tc>
        <w:tc>
          <w:tcPr>
            <w:tcW w:w="730" w:type="dxa"/>
            <w:tcBorders>
              <w:top w:val="single" w:sz="4" w:space="0" w:color="auto"/>
              <w:left w:val="single" w:sz="4" w:space="0" w:color="auto"/>
              <w:bottom w:val="single" w:sz="4" w:space="0" w:color="auto"/>
              <w:right w:val="single" w:sz="4" w:space="0" w:color="auto"/>
            </w:tcBorders>
            <w:hideMark/>
          </w:tcPr>
          <w:p w14:paraId="5DE4C347"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6513861B"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0C8431D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Anadolu Üniversitesi</w:t>
            </w:r>
          </w:p>
        </w:tc>
        <w:tc>
          <w:tcPr>
            <w:tcW w:w="730" w:type="dxa"/>
            <w:tcBorders>
              <w:top w:val="single" w:sz="4" w:space="0" w:color="auto"/>
              <w:left w:val="single" w:sz="4" w:space="0" w:color="auto"/>
              <w:bottom w:val="single" w:sz="4" w:space="0" w:color="auto"/>
              <w:right w:val="single" w:sz="4" w:space="0" w:color="auto"/>
            </w:tcBorders>
            <w:hideMark/>
          </w:tcPr>
          <w:p w14:paraId="467919FD"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2EE6D5AE"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Bahçeşehir Üniversitesi</w:t>
            </w:r>
          </w:p>
        </w:tc>
        <w:tc>
          <w:tcPr>
            <w:tcW w:w="730" w:type="dxa"/>
            <w:tcBorders>
              <w:top w:val="single" w:sz="4" w:space="0" w:color="auto"/>
              <w:left w:val="single" w:sz="4" w:space="0" w:color="auto"/>
              <w:bottom w:val="single" w:sz="4" w:space="0" w:color="auto"/>
              <w:right w:val="single" w:sz="4" w:space="0" w:color="auto"/>
            </w:tcBorders>
            <w:hideMark/>
          </w:tcPr>
          <w:p w14:paraId="68A034B9"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0A408350"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90C9F0A"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lastRenderedPageBreak/>
              <w:t>Ankara Üniversitesi</w:t>
            </w:r>
          </w:p>
        </w:tc>
        <w:tc>
          <w:tcPr>
            <w:tcW w:w="730" w:type="dxa"/>
            <w:tcBorders>
              <w:top w:val="single" w:sz="4" w:space="0" w:color="auto"/>
              <w:left w:val="single" w:sz="4" w:space="0" w:color="auto"/>
              <w:bottom w:val="single" w:sz="4" w:space="0" w:color="auto"/>
              <w:right w:val="single" w:sz="4" w:space="0" w:color="auto"/>
            </w:tcBorders>
            <w:hideMark/>
          </w:tcPr>
          <w:p w14:paraId="343E055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4A5EE79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Bandırma </w:t>
            </w:r>
            <w:proofErr w:type="spellStart"/>
            <w:r>
              <w:rPr>
                <w:rFonts w:ascii="Times New Roman" w:hAnsi="Times New Roman" w:cs="Times New Roman"/>
              </w:rPr>
              <w:t>Onyedi</w:t>
            </w:r>
            <w:proofErr w:type="spellEnd"/>
            <w:r>
              <w:rPr>
                <w:rFonts w:ascii="Times New Roman" w:hAnsi="Times New Roman" w:cs="Times New Roman"/>
              </w:rPr>
              <w:t xml:space="preserve"> Eylül </w:t>
            </w:r>
            <w:proofErr w:type="spellStart"/>
            <w:r>
              <w:rPr>
                <w:rFonts w:ascii="Times New Roman" w:hAnsi="Times New Roman" w:cs="Times New Roman"/>
              </w:rPr>
              <w:t>Ünive</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35E76CAA"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561064FE"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67FA4776"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Dumlupınar Üniversitesi</w:t>
            </w:r>
          </w:p>
        </w:tc>
        <w:tc>
          <w:tcPr>
            <w:tcW w:w="730" w:type="dxa"/>
            <w:tcBorders>
              <w:top w:val="single" w:sz="4" w:space="0" w:color="auto"/>
              <w:left w:val="single" w:sz="4" w:space="0" w:color="auto"/>
              <w:bottom w:val="single" w:sz="4" w:space="0" w:color="auto"/>
              <w:right w:val="single" w:sz="4" w:space="0" w:color="auto"/>
            </w:tcBorders>
            <w:hideMark/>
          </w:tcPr>
          <w:p w14:paraId="07946AF0"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63D73055"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Bartın Üniversitesi</w:t>
            </w:r>
          </w:p>
        </w:tc>
        <w:tc>
          <w:tcPr>
            <w:tcW w:w="730" w:type="dxa"/>
            <w:tcBorders>
              <w:top w:val="single" w:sz="4" w:space="0" w:color="auto"/>
              <w:left w:val="single" w:sz="4" w:space="0" w:color="auto"/>
              <w:bottom w:val="single" w:sz="4" w:space="0" w:color="auto"/>
              <w:right w:val="single" w:sz="4" w:space="0" w:color="auto"/>
            </w:tcBorders>
            <w:hideMark/>
          </w:tcPr>
          <w:p w14:paraId="51662118"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5E5F6695"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4DFF44DB"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İstanbul Üniversitesi</w:t>
            </w:r>
          </w:p>
        </w:tc>
        <w:tc>
          <w:tcPr>
            <w:tcW w:w="730" w:type="dxa"/>
            <w:tcBorders>
              <w:top w:val="single" w:sz="4" w:space="0" w:color="auto"/>
              <w:left w:val="single" w:sz="4" w:space="0" w:color="auto"/>
              <w:bottom w:val="single" w:sz="4" w:space="0" w:color="auto"/>
              <w:right w:val="single" w:sz="4" w:space="0" w:color="auto"/>
            </w:tcBorders>
            <w:hideMark/>
          </w:tcPr>
          <w:p w14:paraId="55016491"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317BF4CE"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Başkent Üniversitesi</w:t>
            </w:r>
          </w:p>
        </w:tc>
        <w:tc>
          <w:tcPr>
            <w:tcW w:w="730" w:type="dxa"/>
            <w:tcBorders>
              <w:top w:val="single" w:sz="4" w:space="0" w:color="auto"/>
              <w:left w:val="single" w:sz="4" w:space="0" w:color="auto"/>
              <w:bottom w:val="single" w:sz="4" w:space="0" w:color="auto"/>
              <w:right w:val="single" w:sz="4" w:space="0" w:color="auto"/>
            </w:tcBorders>
            <w:hideMark/>
          </w:tcPr>
          <w:p w14:paraId="7B6B4C6A"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8869AFE"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0CEF4783"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Mersin Üniversitesi</w:t>
            </w:r>
          </w:p>
        </w:tc>
        <w:tc>
          <w:tcPr>
            <w:tcW w:w="730" w:type="dxa"/>
            <w:tcBorders>
              <w:top w:val="single" w:sz="4" w:space="0" w:color="auto"/>
              <w:left w:val="single" w:sz="4" w:space="0" w:color="auto"/>
              <w:bottom w:val="single" w:sz="4" w:space="0" w:color="auto"/>
              <w:right w:val="single" w:sz="4" w:space="0" w:color="auto"/>
            </w:tcBorders>
            <w:hideMark/>
          </w:tcPr>
          <w:p w14:paraId="529716D9"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09546DC2"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Burdur Mehmet Akif Ersoy </w:t>
            </w:r>
            <w:proofErr w:type="spellStart"/>
            <w:r>
              <w:rPr>
                <w:rFonts w:ascii="Times New Roman" w:hAnsi="Times New Roman" w:cs="Times New Roman"/>
              </w:rPr>
              <w:t>Üniv</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070366AC"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626ADDFB"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4EF4D931"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Süleyman Demirel Üniversitesi</w:t>
            </w:r>
          </w:p>
        </w:tc>
        <w:tc>
          <w:tcPr>
            <w:tcW w:w="730" w:type="dxa"/>
            <w:tcBorders>
              <w:top w:val="single" w:sz="4" w:space="0" w:color="auto"/>
              <w:left w:val="single" w:sz="4" w:space="0" w:color="auto"/>
              <w:bottom w:val="single" w:sz="4" w:space="0" w:color="auto"/>
              <w:right w:val="single" w:sz="4" w:space="0" w:color="auto"/>
            </w:tcBorders>
            <w:hideMark/>
          </w:tcPr>
          <w:p w14:paraId="223CFB41"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4</w:t>
            </w:r>
          </w:p>
        </w:tc>
        <w:tc>
          <w:tcPr>
            <w:tcW w:w="3575" w:type="dxa"/>
            <w:tcBorders>
              <w:top w:val="single" w:sz="4" w:space="0" w:color="auto"/>
              <w:left w:val="single" w:sz="4" w:space="0" w:color="auto"/>
              <w:bottom w:val="single" w:sz="4" w:space="0" w:color="auto"/>
              <w:right w:val="single" w:sz="4" w:space="0" w:color="auto"/>
            </w:tcBorders>
            <w:noWrap/>
            <w:hideMark/>
          </w:tcPr>
          <w:p w14:paraId="187FA6E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Çağ Üniversitesi</w:t>
            </w:r>
          </w:p>
        </w:tc>
        <w:tc>
          <w:tcPr>
            <w:tcW w:w="730" w:type="dxa"/>
            <w:tcBorders>
              <w:top w:val="single" w:sz="4" w:space="0" w:color="auto"/>
              <w:left w:val="single" w:sz="4" w:space="0" w:color="auto"/>
              <w:bottom w:val="single" w:sz="4" w:space="0" w:color="auto"/>
              <w:right w:val="single" w:sz="4" w:space="0" w:color="auto"/>
            </w:tcBorders>
            <w:hideMark/>
          </w:tcPr>
          <w:p w14:paraId="7432F841"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7E1E04C"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8D2D680"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Bursa Uludağ Üniversitesi</w:t>
            </w:r>
          </w:p>
        </w:tc>
        <w:tc>
          <w:tcPr>
            <w:tcW w:w="730" w:type="dxa"/>
            <w:tcBorders>
              <w:top w:val="single" w:sz="4" w:space="0" w:color="auto"/>
              <w:left w:val="single" w:sz="4" w:space="0" w:color="auto"/>
              <w:bottom w:val="single" w:sz="4" w:space="0" w:color="auto"/>
              <w:right w:val="single" w:sz="4" w:space="0" w:color="auto"/>
            </w:tcBorders>
            <w:hideMark/>
          </w:tcPr>
          <w:p w14:paraId="0B7BD10F"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3</w:t>
            </w:r>
          </w:p>
        </w:tc>
        <w:tc>
          <w:tcPr>
            <w:tcW w:w="3575" w:type="dxa"/>
            <w:tcBorders>
              <w:top w:val="single" w:sz="4" w:space="0" w:color="auto"/>
              <w:left w:val="single" w:sz="4" w:space="0" w:color="auto"/>
              <w:bottom w:val="single" w:sz="4" w:space="0" w:color="auto"/>
              <w:right w:val="single" w:sz="4" w:space="0" w:color="auto"/>
            </w:tcBorders>
            <w:noWrap/>
            <w:hideMark/>
          </w:tcPr>
          <w:p w14:paraId="280FD6C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Çankırı Karatekin </w:t>
            </w:r>
            <w:proofErr w:type="spellStart"/>
            <w:r>
              <w:rPr>
                <w:rFonts w:ascii="Times New Roman" w:hAnsi="Times New Roman" w:cs="Times New Roman"/>
              </w:rPr>
              <w:t>Üniversi</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02AFA88D"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3E3747B"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1F668A7F"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Kocaeli Üniversitesi</w:t>
            </w:r>
          </w:p>
        </w:tc>
        <w:tc>
          <w:tcPr>
            <w:tcW w:w="730" w:type="dxa"/>
            <w:tcBorders>
              <w:top w:val="single" w:sz="4" w:space="0" w:color="auto"/>
              <w:left w:val="single" w:sz="4" w:space="0" w:color="auto"/>
              <w:bottom w:val="single" w:sz="4" w:space="0" w:color="auto"/>
              <w:right w:val="single" w:sz="4" w:space="0" w:color="auto"/>
            </w:tcBorders>
            <w:hideMark/>
          </w:tcPr>
          <w:p w14:paraId="3BDBEE2C"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3</w:t>
            </w:r>
          </w:p>
        </w:tc>
        <w:tc>
          <w:tcPr>
            <w:tcW w:w="3575" w:type="dxa"/>
            <w:tcBorders>
              <w:top w:val="single" w:sz="4" w:space="0" w:color="auto"/>
              <w:left w:val="single" w:sz="4" w:space="0" w:color="auto"/>
              <w:bottom w:val="single" w:sz="4" w:space="0" w:color="auto"/>
              <w:right w:val="single" w:sz="4" w:space="0" w:color="auto"/>
            </w:tcBorders>
            <w:noWrap/>
            <w:hideMark/>
          </w:tcPr>
          <w:p w14:paraId="7F4CE51F"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Erzincan Binali Yıldırım Ü</w:t>
            </w:r>
          </w:p>
        </w:tc>
        <w:tc>
          <w:tcPr>
            <w:tcW w:w="730" w:type="dxa"/>
            <w:tcBorders>
              <w:top w:val="single" w:sz="4" w:space="0" w:color="auto"/>
              <w:left w:val="single" w:sz="4" w:space="0" w:color="auto"/>
              <w:bottom w:val="single" w:sz="4" w:space="0" w:color="auto"/>
              <w:right w:val="single" w:sz="4" w:space="0" w:color="auto"/>
            </w:tcBorders>
            <w:hideMark/>
          </w:tcPr>
          <w:p w14:paraId="43FEDFFB"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D14FD7C"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67F8536B"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Akdeniz Üniversitesi</w:t>
            </w:r>
          </w:p>
        </w:tc>
        <w:tc>
          <w:tcPr>
            <w:tcW w:w="730" w:type="dxa"/>
            <w:tcBorders>
              <w:top w:val="single" w:sz="4" w:space="0" w:color="auto"/>
              <w:left w:val="single" w:sz="4" w:space="0" w:color="auto"/>
              <w:bottom w:val="single" w:sz="4" w:space="0" w:color="auto"/>
              <w:right w:val="single" w:sz="4" w:space="0" w:color="auto"/>
            </w:tcBorders>
            <w:hideMark/>
          </w:tcPr>
          <w:p w14:paraId="3CA52DAD"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27D61EB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Fatih Üniversitesi</w:t>
            </w:r>
          </w:p>
        </w:tc>
        <w:tc>
          <w:tcPr>
            <w:tcW w:w="730" w:type="dxa"/>
            <w:tcBorders>
              <w:top w:val="single" w:sz="4" w:space="0" w:color="auto"/>
              <w:left w:val="single" w:sz="4" w:space="0" w:color="auto"/>
              <w:bottom w:val="single" w:sz="4" w:space="0" w:color="auto"/>
              <w:right w:val="single" w:sz="4" w:space="0" w:color="auto"/>
            </w:tcBorders>
            <w:hideMark/>
          </w:tcPr>
          <w:p w14:paraId="5C65164A"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6A7C4ED7"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194D4768"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Ankara Hacı Bayram Veli </w:t>
            </w:r>
            <w:proofErr w:type="spellStart"/>
            <w:r>
              <w:rPr>
                <w:rFonts w:ascii="Times New Roman" w:hAnsi="Times New Roman" w:cs="Times New Roman"/>
              </w:rPr>
              <w:t>Üniv</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44B90D97"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0A4B252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Gaziosmanpaşa Üniversitesi</w:t>
            </w:r>
          </w:p>
        </w:tc>
        <w:tc>
          <w:tcPr>
            <w:tcW w:w="730" w:type="dxa"/>
            <w:tcBorders>
              <w:top w:val="single" w:sz="4" w:space="0" w:color="auto"/>
              <w:left w:val="single" w:sz="4" w:space="0" w:color="auto"/>
              <w:bottom w:val="single" w:sz="4" w:space="0" w:color="auto"/>
              <w:right w:val="single" w:sz="4" w:space="0" w:color="auto"/>
            </w:tcBorders>
            <w:hideMark/>
          </w:tcPr>
          <w:p w14:paraId="7FDD5E6C"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66CF254B"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DE986D1"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Aydın Adnan Menderes </w:t>
            </w:r>
            <w:proofErr w:type="spellStart"/>
            <w:r>
              <w:rPr>
                <w:rFonts w:ascii="Times New Roman" w:hAnsi="Times New Roman" w:cs="Times New Roman"/>
              </w:rPr>
              <w:t>Ünivers</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42E5CB4E"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04B53ED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Giresun Üniversitesi</w:t>
            </w:r>
          </w:p>
        </w:tc>
        <w:tc>
          <w:tcPr>
            <w:tcW w:w="730" w:type="dxa"/>
            <w:tcBorders>
              <w:top w:val="single" w:sz="4" w:space="0" w:color="auto"/>
              <w:left w:val="single" w:sz="4" w:space="0" w:color="auto"/>
              <w:bottom w:val="single" w:sz="4" w:space="0" w:color="auto"/>
              <w:right w:val="single" w:sz="4" w:space="0" w:color="auto"/>
            </w:tcBorders>
            <w:hideMark/>
          </w:tcPr>
          <w:p w14:paraId="383866DE"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0370D9CA"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3D69580"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Balıkesir Üniversitesi</w:t>
            </w:r>
          </w:p>
        </w:tc>
        <w:tc>
          <w:tcPr>
            <w:tcW w:w="730" w:type="dxa"/>
            <w:tcBorders>
              <w:top w:val="single" w:sz="4" w:space="0" w:color="auto"/>
              <w:left w:val="single" w:sz="4" w:space="0" w:color="auto"/>
              <w:bottom w:val="single" w:sz="4" w:space="0" w:color="auto"/>
              <w:right w:val="single" w:sz="4" w:space="0" w:color="auto"/>
            </w:tcBorders>
            <w:hideMark/>
          </w:tcPr>
          <w:p w14:paraId="4A320E84"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7D63AE93"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Gümüşhane Üniversitesi</w:t>
            </w:r>
          </w:p>
        </w:tc>
        <w:tc>
          <w:tcPr>
            <w:tcW w:w="730" w:type="dxa"/>
            <w:tcBorders>
              <w:top w:val="single" w:sz="4" w:space="0" w:color="auto"/>
              <w:left w:val="single" w:sz="4" w:space="0" w:color="auto"/>
              <w:bottom w:val="single" w:sz="4" w:space="0" w:color="auto"/>
              <w:right w:val="single" w:sz="4" w:space="0" w:color="auto"/>
            </w:tcBorders>
            <w:hideMark/>
          </w:tcPr>
          <w:p w14:paraId="742D285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0FD4EACC"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1B5FC193"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Erciyes Üniversitesi</w:t>
            </w:r>
          </w:p>
        </w:tc>
        <w:tc>
          <w:tcPr>
            <w:tcW w:w="730" w:type="dxa"/>
            <w:tcBorders>
              <w:top w:val="single" w:sz="4" w:space="0" w:color="auto"/>
              <w:left w:val="single" w:sz="4" w:space="0" w:color="auto"/>
              <w:bottom w:val="single" w:sz="4" w:space="0" w:color="auto"/>
              <w:right w:val="single" w:sz="4" w:space="0" w:color="auto"/>
            </w:tcBorders>
            <w:hideMark/>
          </w:tcPr>
          <w:p w14:paraId="4391D7CE"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4D10C48A"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İnönü Üniversitesi</w:t>
            </w:r>
          </w:p>
        </w:tc>
        <w:tc>
          <w:tcPr>
            <w:tcW w:w="730" w:type="dxa"/>
            <w:tcBorders>
              <w:top w:val="single" w:sz="4" w:space="0" w:color="auto"/>
              <w:left w:val="single" w:sz="4" w:space="0" w:color="auto"/>
              <w:bottom w:val="single" w:sz="4" w:space="0" w:color="auto"/>
              <w:right w:val="single" w:sz="4" w:space="0" w:color="auto"/>
            </w:tcBorders>
            <w:hideMark/>
          </w:tcPr>
          <w:p w14:paraId="1750BFA5"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1D0BE506"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76403D0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Eskişehir Osmangazi </w:t>
            </w:r>
            <w:proofErr w:type="spellStart"/>
            <w:r>
              <w:rPr>
                <w:rFonts w:ascii="Times New Roman" w:hAnsi="Times New Roman" w:cs="Times New Roman"/>
              </w:rPr>
              <w:t>Üniversi</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1971C967"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3D482D2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İskenderun Teknik Üniversite</w:t>
            </w:r>
          </w:p>
        </w:tc>
        <w:tc>
          <w:tcPr>
            <w:tcW w:w="730" w:type="dxa"/>
            <w:tcBorders>
              <w:top w:val="single" w:sz="4" w:space="0" w:color="auto"/>
              <w:left w:val="single" w:sz="4" w:space="0" w:color="auto"/>
              <w:bottom w:val="single" w:sz="4" w:space="0" w:color="auto"/>
              <w:right w:val="single" w:sz="4" w:space="0" w:color="auto"/>
            </w:tcBorders>
            <w:hideMark/>
          </w:tcPr>
          <w:p w14:paraId="14F884D0"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393AD0B3"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6C5DD94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Gazi Üniversitesi</w:t>
            </w:r>
          </w:p>
        </w:tc>
        <w:tc>
          <w:tcPr>
            <w:tcW w:w="730" w:type="dxa"/>
            <w:tcBorders>
              <w:top w:val="single" w:sz="4" w:space="0" w:color="auto"/>
              <w:left w:val="single" w:sz="4" w:space="0" w:color="auto"/>
              <w:bottom w:val="single" w:sz="4" w:space="0" w:color="auto"/>
              <w:right w:val="single" w:sz="4" w:space="0" w:color="auto"/>
            </w:tcBorders>
            <w:hideMark/>
          </w:tcPr>
          <w:p w14:paraId="6764E77C"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25115B8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İstanbul Medeniyet </w:t>
            </w:r>
            <w:proofErr w:type="spellStart"/>
            <w:r>
              <w:rPr>
                <w:rFonts w:ascii="Times New Roman" w:hAnsi="Times New Roman" w:cs="Times New Roman"/>
              </w:rPr>
              <w:t>Üniversit</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25F1684B"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7EF27655"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2065397F"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Gaziantep Üniversitesi</w:t>
            </w:r>
          </w:p>
        </w:tc>
        <w:tc>
          <w:tcPr>
            <w:tcW w:w="730" w:type="dxa"/>
            <w:tcBorders>
              <w:top w:val="single" w:sz="4" w:space="0" w:color="auto"/>
              <w:left w:val="single" w:sz="4" w:space="0" w:color="auto"/>
              <w:bottom w:val="single" w:sz="4" w:space="0" w:color="auto"/>
              <w:right w:val="single" w:sz="4" w:space="0" w:color="auto"/>
            </w:tcBorders>
            <w:hideMark/>
          </w:tcPr>
          <w:p w14:paraId="665B8823"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6082A01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İstanbul Teknik Üniversitesi</w:t>
            </w:r>
          </w:p>
        </w:tc>
        <w:tc>
          <w:tcPr>
            <w:tcW w:w="730" w:type="dxa"/>
            <w:tcBorders>
              <w:top w:val="single" w:sz="4" w:space="0" w:color="auto"/>
              <w:left w:val="single" w:sz="4" w:space="0" w:color="auto"/>
              <w:bottom w:val="single" w:sz="4" w:space="0" w:color="auto"/>
              <w:right w:val="single" w:sz="4" w:space="0" w:color="auto"/>
            </w:tcBorders>
            <w:hideMark/>
          </w:tcPr>
          <w:p w14:paraId="0E44C2D1"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03643BE3"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6B293BD"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Gediz Üniversitesi</w:t>
            </w:r>
          </w:p>
        </w:tc>
        <w:tc>
          <w:tcPr>
            <w:tcW w:w="730" w:type="dxa"/>
            <w:tcBorders>
              <w:top w:val="single" w:sz="4" w:space="0" w:color="auto"/>
              <w:left w:val="single" w:sz="4" w:space="0" w:color="auto"/>
              <w:bottom w:val="single" w:sz="4" w:space="0" w:color="auto"/>
              <w:right w:val="single" w:sz="4" w:space="0" w:color="auto"/>
            </w:tcBorders>
            <w:hideMark/>
          </w:tcPr>
          <w:p w14:paraId="7BDA930C"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0B4827F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İstanbul Üniversitesi-Cerrah</w:t>
            </w:r>
          </w:p>
        </w:tc>
        <w:tc>
          <w:tcPr>
            <w:tcW w:w="730" w:type="dxa"/>
            <w:tcBorders>
              <w:top w:val="single" w:sz="4" w:space="0" w:color="auto"/>
              <w:left w:val="single" w:sz="4" w:space="0" w:color="auto"/>
              <w:bottom w:val="single" w:sz="4" w:space="0" w:color="auto"/>
              <w:right w:val="single" w:sz="4" w:space="0" w:color="auto"/>
            </w:tcBorders>
            <w:hideMark/>
          </w:tcPr>
          <w:p w14:paraId="6A316107"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74482522"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75A2DFC"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Hitit Üniversitesi</w:t>
            </w:r>
          </w:p>
        </w:tc>
        <w:tc>
          <w:tcPr>
            <w:tcW w:w="730" w:type="dxa"/>
            <w:tcBorders>
              <w:top w:val="single" w:sz="4" w:space="0" w:color="auto"/>
              <w:left w:val="single" w:sz="4" w:space="0" w:color="auto"/>
              <w:bottom w:val="single" w:sz="4" w:space="0" w:color="auto"/>
              <w:right w:val="single" w:sz="4" w:space="0" w:color="auto"/>
            </w:tcBorders>
            <w:hideMark/>
          </w:tcPr>
          <w:p w14:paraId="19A2F11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1B06EED2"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Karamanoğlu </w:t>
            </w:r>
            <w:proofErr w:type="spellStart"/>
            <w:r>
              <w:rPr>
                <w:rFonts w:ascii="Times New Roman" w:hAnsi="Times New Roman" w:cs="Times New Roman"/>
              </w:rPr>
              <w:t>Mehmetbey</w:t>
            </w:r>
            <w:proofErr w:type="spellEnd"/>
            <w:r>
              <w:rPr>
                <w:rFonts w:ascii="Times New Roman" w:hAnsi="Times New Roman" w:cs="Times New Roman"/>
              </w:rPr>
              <w:t xml:space="preserve"> </w:t>
            </w:r>
            <w:proofErr w:type="spellStart"/>
            <w:r>
              <w:rPr>
                <w:rFonts w:ascii="Times New Roman" w:hAnsi="Times New Roman" w:cs="Times New Roman"/>
              </w:rPr>
              <w:t>Üniver</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7404B95D"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7AFFAC9C"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0EC58F6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İstanbul Aydın Üniversitesi</w:t>
            </w:r>
          </w:p>
        </w:tc>
        <w:tc>
          <w:tcPr>
            <w:tcW w:w="730" w:type="dxa"/>
            <w:tcBorders>
              <w:top w:val="single" w:sz="4" w:space="0" w:color="auto"/>
              <w:left w:val="single" w:sz="4" w:space="0" w:color="auto"/>
              <w:bottom w:val="single" w:sz="4" w:space="0" w:color="auto"/>
              <w:right w:val="single" w:sz="4" w:space="0" w:color="auto"/>
            </w:tcBorders>
            <w:hideMark/>
          </w:tcPr>
          <w:p w14:paraId="4C1B143F"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45E486B5"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Maltepe Üniversitesi</w:t>
            </w:r>
          </w:p>
        </w:tc>
        <w:tc>
          <w:tcPr>
            <w:tcW w:w="730" w:type="dxa"/>
            <w:tcBorders>
              <w:top w:val="single" w:sz="4" w:space="0" w:color="auto"/>
              <w:left w:val="single" w:sz="4" w:space="0" w:color="auto"/>
              <w:bottom w:val="single" w:sz="4" w:space="0" w:color="auto"/>
              <w:right w:val="single" w:sz="4" w:space="0" w:color="auto"/>
            </w:tcBorders>
            <w:hideMark/>
          </w:tcPr>
          <w:p w14:paraId="6B10B514"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687A5218"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D8DCF8A"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İstanbul Bilgi Üniversitesi</w:t>
            </w:r>
          </w:p>
        </w:tc>
        <w:tc>
          <w:tcPr>
            <w:tcW w:w="730" w:type="dxa"/>
            <w:tcBorders>
              <w:top w:val="single" w:sz="4" w:space="0" w:color="auto"/>
              <w:left w:val="single" w:sz="4" w:space="0" w:color="auto"/>
              <w:bottom w:val="single" w:sz="4" w:space="0" w:color="auto"/>
              <w:right w:val="single" w:sz="4" w:space="0" w:color="auto"/>
            </w:tcBorders>
            <w:hideMark/>
          </w:tcPr>
          <w:p w14:paraId="045FA625"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6475981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Necmettin Erbakan </w:t>
            </w:r>
            <w:proofErr w:type="spellStart"/>
            <w:r>
              <w:rPr>
                <w:rFonts w:ascii="Times New Roman" w:hAnsi="Times New Roman" w:cs="Times New Roman"/>
              </w:rPr>
              <w:t>Üniversites</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0E5831C7"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6B0E73A"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37AC426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Karabük Üniversitesi</w:t>
            </w:r>
          </w:p>
        </w:tc>
        <w:tc>
          <w:tcPr>
            <w:tcW w:w="730" w:type="dxa"/>
            <w:tcBorders>
              <w:top w:val="single" w:sz="4" w:space="0" w:color="auto"/>
              <w:left w:val="single" w:sz="4" w:space="0" w:color="auto"/>
              <w:bottom w:val="single" w:sz="4" w:space="0" w:color="auto"/>
              <w:right w:val="single" w:sz="4" w:space="0" w:color="auto"/>
            </w:tcBorders>
            <w:hideMark/>
          </w:tcPr>
          <w:p w14:paraId="667C4188"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47EAEF9F"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Nişantaşı Üniversitesi</w:t>
            </w:r>
          </w:p>
        </w:tc>
        <w:tc>
          <w:tcPr>
            <w:tcW w:w="730" w:type="dxa"/>
            <w:tcBorders>
              <w:top w:val="single" w:sz="4" w:space="0" w:color="auto"/>
              <w:left w:val="single" w:sz="4" w:space="0" w:color="auto"/>
              <w:bottom w:val="single" w:sz="4" w:space="0" w:color="auto"/>
              <w:right w:val="single" w:sz="4" w:space="0" w:color="auto"/>
            </w:tcBorders>
            <w:hideMark/>
          </w:tcPr>
          <w:p w14:paraId="1AF79236"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58D36558"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6BA36C1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Karadeniz Teknik Üniversitesi</w:t>
            </w:r>
          </w:p>
        </w:tc>
        <w:tc>
          <w:tcPr>
            <w:tcW w:w="730" w:type="dxa"/>
            <w:tcBorders>
              <w:top w:val="single" w:sz="4" w:space="0" w:color="auto"/>
              <w:left w:val="single" w:sz="4" w:space="0" w:color="auto"/>
              <w:bottom w:val="single" w:sz="4" w:space="0" w:color="auto"/>
              <w:right w:val="single" w:sz="4" w:space="0" w:color="auto"/>
            </w:tcBorders>
            <w:hideMark/>
          </w:tcPr>
          <w:p w14:paraId="7776AE41"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1F07F637"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Selçuk Üniversitesi</w:t>
            </w:r>
          </w:p>
        </w:tc>
        <w:tc>
          <w:tcPr>
            <w:tcW w:w="730" w:type="dxa"/>
            <w:tcBorders>
              <w:top w:val="single" w:sz="4" w:space="0" w:color="auto"/>
              <w:left w:val="single" w:sz="4" w:space="0" w:color="auto"/>
              <w:bottom w:val="single" w:sz="4" w:space="0" w:color="auto"/>
              <w:right w:val="single" w:sz="4" w:space="0" w:color="auto"/>
            </w:tcBorders>
            <w:hideMark/>
          </w:tcPr>
          <w:p w14:paraId="0F7D668A"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1861EA1E"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40E3B710"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Muğla Sıtkı Koçman </w:t>
            </w:r>
            <w:proofErr w:type="spellStart"/>
            <w:r>
              <w:rPr>
                <w:rFonts w:ascii="Times New Roman" w:hAnsi="Times New Roman" w:cs="Times New Roman"/>
              </w:rPr>
              <w:t>Üniver</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7AF2AF56"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4B3D5DDE"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Şırnak Üniversitesi</w:t>
            </w:r>
          </w:p>
        </w:tc>
        <w:tc>
          <w:tcPr>
            <w:tcW w:w="730" w:type="dxa"/>
            <w:tcBorders>
              <w:top w:val="single" w:sz="4" w:space="0" w:color="auto"/>
              <w:left w:val="single" w:sz="4" w:space="0" w:color="auto"/>
              <w:bottom w:val="single" w:sz="4" w:space="0" w:color="auto"/>
              <w:right w:val="single" w:sz="4" w:space="0" w:color="auto"/>
            </w:tcBorders>
            <w:hideMark/>
          </w:tcPr>
          <w:p w14:paraId="0C46EF95"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47874422"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7F5F4335"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Niğde Ömer Halisdemir </w:t>
            </w:r>
            <w:proofErr w:type="spellStart"/>
            <w:r>
              <w:rPr>
                <w:rFonts w:ascii="Times New Roman" w:hAnsi="Times New Roman" w:cs="Times New Roman"/>
              </w:rPr>
              <w:t>Ünive</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04A23EF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5F557299"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Van Yüzüncü Yıl </w:t>
            </w:r>
            <w:proofErr w:type="spellStart"/>
            <w:r>
              <w:rPr>
                <w:rFonts w:ascii="Times New Roman" w:hAnsi="Times New Roman" w:cs="Times New Roman"/>
              </w:rPr>
              <w:t>Üniversit</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6C1A499F"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1174E50E"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2B4DB16E" w14:textId="77777777" w:rsidR="001E7189" w:rsidRDefault="001E7189" w:rsidP="003B45CB">
            <w:pPr>
              <w:adjustRightInd w:val="0"/>
              <w:jc w:val="both"/>
              <w:rPr>
                <w:rFonts w:ascii="Times New Roman" w:hAnsi="Times New Roman" w:cs="Times New Roman"/>
              </w:rPr>
            </w:pPr>
            <w:proofErr w:type="spellStart"/>
            <w:r>
              <w:rPr>
                <w:rFonts w:ascii="Times New Roman" w:hAnsi="Times New Roman" w:cs="Times New Roman"/>
              </w:rPr>
              <w:t>Ondokuz</w:t>
            </w:r>
            <w:proofErr w:type="spellEnd"/>
            <w:r>
              <w:rPr>
                <w:rFonts w:ascii="Times New Roman" w:hAnsi="Times New Roman" w:cs="Times New Roman"/>
              </w:rPr>
              <w:t xml:space="preserve"> Mayıs Üniversitesi</w:t>
            </w:r>
          </w:p>
        </w:tc>
        <w:tc>
          <w:tcPr>
            <w:tcW w:w="730" w:type="dxa"/>
            <w:tcBorders>
              <w:top w:val="single" w:sz="4" w:space="0" w:color="auto"/>
              <w:left w:val="single" w:sz="4" w:space="0" w:color="auto"/>
              <w:bottom w:val="single" w:sz="4" w:space="0" w:color="auto"/>
              <w:right w:val="single" w:sz="4" w:space="0" w:color="auto"/>
            </w:tcBorders>
            <w:hideMark/>
          </w:tcPr>
          <w:p w14:paraId="5E9CA41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2</w:t>
            </w:r>
          </w:p>
        </w:tc>
        <w:tc>
          <w:tcPr>
            <w:tcW w:w="3575" w:type="dxa"/>
            <w:tcBorders>
              <w:top w:val="single" w:sz="4" w:space="0" w:color="auto"/>
              <w:left w:val="single" w:sz="4" w:space="0" w:color="auto"/>
              <w:bottom w:val="single" w:sz="4" w:space="0" w:color="auto"/>
              <w:right w:val="single" w:sz="4" w:space="0" w:color="auto"/>
            </w:tcBorders>
            <w:noWrap/>
            <w:hideMark/>
          </w:tcPr>
          <w:p w14:paraId="3A4F41F2"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Yıldız Teknik Üniversitesi</w:t>
            </w:r>
          </w:p>
        </w:tc>
        <w:tc>
          <w:tcPr>
            <w:tcW w:w="730" w:type="dxa"/>
            <w:tcBorders>
              <w:top w:val="single" w:sz="4" w:space="0" w:color="auto"/>
              <w:left w:val="single" w:sz="4" w:space="0" w:color="auto"/>
              <w:bottom w:val="single" w:sz="4" w:space="0" w:color="auto"/>
              <w:right w:val="single" w:sz="4" w:space="0" w:color="auto"/>
            </w:tcBorders>
            <w:hideMark/>
          </w:tcPr>
          <w:p w14:paraId="0DA1C0FA"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r>
      <w:tr w:rsidR="001E7189" w14:paraId="225A61EA" w14:textId="77777777" w:rsidTr="001E7189">
        <w:trPr>
          <w:trHeight w:val="288"/>
        </w:trPr>
        <w:tc>
          <w:tcPr>
            <w:tcW w:w="3229" w:type="dxa"/>
            <w:tcBorders>
              <w:top w:val="single" w:sz="4" w:space="0" w:color="auto"/>
              <w:left w:val="single" w:sz="4" w:space="0" w:color="auto"/>
              <w:bottom w:val="single" w:sz="4" w:space="0" w:color="auto"/>
              <w:right w:val="single" w:sz="4" w:space="0" w:color="auto"/>
            </w:tcBorders>
            <w:noWrap/>
            <w:hideMark/>
          </w:tcPr>
          <w:p w14:paraId="4C840055"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 xml:space="preserve">Alanya Alaaddin Keykubat </w:t>
            </w:r>
            <w:proofErr w:type="spellStart"/>
            <w:r>
              <w:rPr>
                <w:rFonts w:ascii="Times New Roman" w:hAnsi="Times New Roman" w:cs="Times New Roman"/>
              </w:rPr>
              <w:t>Üniv</w:t>
            </w:r>
            <w:proofErr w:type="spellEnd"/>
          </w:p>
        </w:tc>
        <w:tc>
          <w:tcPr>
            <w:tcW w:w="730" w:type="dxa"/>
            <w:tcBorders>
              <w:top w:val="single" w:sz="4" w:space="0" w:color="auto"/>
              <w:left w:val="single" w:sz="4" w:space="0" w:color="auto"/>
              <w:bottom w:val="single" w:sz="4" w:space="0" w:color="auto"/>
              <w:right w:val="single" w:sz="4" w:space="0" w:color="auto"/>
            </w:tcBorders>
            <w:hideMark/>
          </w:tcPr>
          <w:p w14:paraId="7F0DAA32"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w:t>
            </w:r>
          </w:p>
        </w:tc>
        <w:tc>
          <w:tcPr>
            <w:tcW w:w="3575" w:type="dxa"/>
            <w:tcBorders>
              <w:top w:val="single" w:sz="4" w:space="0" w:color="auto"/>
              <w:left w:val="single" w:sz="4" w:space="0" w:color="auto"/>
              <w:bottom w:val="single" w:sz="4" w:space="0" w:color="auto"/>
              <w:right w:val="single" w:sz="4" w:space="0" w:color="auto"/>
            </w:tcBorders>
            <w:noWrap/>
            <w:hideMark/>
          </w:tcPr>
          <w:p w14:paraId="4A4740E4" w14:textId="77777777" w:rsidR="001E7189" w:rsidRDefault="001E7189" w:rsidP="003B45CB">
            <w:pPr>
              <w:adjustRightInd w:val="0"/>
              <w:jc w:val="both"/>
              <w:rPr>
                <w:rFonts w:ascii="Times New Roman" w:hAnsi="Times New Roman" w:cs="Times New Roman"/>
              </w:rPr>
            </w:pPr>
            <w:r>
              <w:rPr>
                <w:rFonts w:ascii="Times New Roman" w:hAnsi="Times New Roman" w:cs="Times New Roman"/>
              </w:rPr>
              <w:t>Toplam</w:t>
            </w:r>
          </w:p>
        </w:tc>
        <w:tc>
          <w:tcPr>
            <w:tcW w:w="730" w:type="dxa"/>
            <w:tcBorders>
              <w:top w:val="single" w:sz="4" w:space="0" w:color="auto"/>
              <w:left w:val="single" w:sz="4" w:space="0" w:color="auto"/>
              <w:bottom w:val="single" w:sz="4" w:space="0" w:color="auto"/>
              <w:right w:val="single" w:sz="4" w:space="0" w:color="auto"/>
            </w:tcBorders>
            <w:hideMark/>
          </w:tcPr>
          <w:p w14:paraId="2A9146EB" w14:textId="77777777" w:rsidR="001E7189" w:rsidRDefault="001E7189" w:rsidP="003B45CB">
            <w:pPr>
              <w:adjustRightInd w:val="0"/>
              <w:jc w:val="center"/>
              <w:rPr>
                <w:rFonts w:ascii="Times New Roman" w:hAnsi="Times New Roman" w:cs="Times New Roman"/>
              </w:rPr>
            </w:pPr>
            <w:r>
              <w:rPr>
                <w:rFonts w:ascii="Times New Roman" w:hAnsi="Times New Roman" w:cs="Times New Roman"/>
              </w:rPr>
              <w:t>104</w:t>
            </w:r>
          </w:p>
        </w:tc>
      </w:tr>
    </w:tbl>
    <w:p w14:paraId="006B1EDC" w14:textId="77777777" w:rsidR="001E7189" w:rsidRDefault="001E7189" w:rsidP="003B45CB">
      <w:pPr>
        <w:adjustRightInd w:val="0"/>
        <w:jc w:val="both"/>
      </w:pPr>
      <w:r>
        <w:t>Araştırmaların büyük bir çoğunluğu (82) sosyal bilimler enstitüsünde hazırlanırken, en az fen bilimleri enstitüsünde çalışma yapılmış olup tamamı (3) yüksek lisans düzeyindedir (Tablo 5).</w:t>
      </w:r>
    </w:p>
    <w:p w14:paraId="030EA248" w14:textId="77777777" w:rsidR="003B45CB" w:rsidRDefault="003B45CB" w:rsidP="003B45CB">
      <w:pPr>
        <w:adjustRightInd w:val="0"/>
        <w:jc w:val="both"/>
        <w:rPr>
          <w:lang w:eastAsia="en-US"/>
        </w:rPr>
      </w:pPr>
    </w:p>
    <w:p w14:paraId="288B9106" w14:textId="77777777" w:rsidR="001E7189" w:rsidRDefault="001E7189" w:rsidP="003B45CB">
      <w:pPr>
        <w:adjustRightInd w:val="0"/>
        <w:jc w:val="both"/>
      </w:pPr>
      <w:r>
        <w:rPr>
          <w:b/>
        </w:rPr>
        <w:t>Tablo 5.</w:t>
      </w:r>
      <w:r>
        <w:t xml:space="preserve"> Enstitü</w:t>
      </w:r>
    </w:p>
    <w:tbl>
      <w:tblPr>
        <w:tblW w:w="7140"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77"/>
        <w:gridCol w:w="2461"/>
        <w:gridCol w:w="1030"/>
        <w:gridCol w:w="1742"/>
        <w:gridCol w:w="1030"/>
      </w:tblGrid>
      <w:tr w:rsidR="001E7189" w14:paraId="6EEF4110" w14:textId="77777777" w:rsidTr="001E7189">
        <w:trPr>
          <w:cantSplit/>
        </w:trPr>
        <w:tc>
          <w:tcPr>
            <w:tcW w:w="333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D476861" w14:textId="77777777" w:rsidR="001E7189" w:rsidRDefault="001E7189" w:rsidP="003B45CB">
            <w:pPr>
              <w:adjustRightInd w:val="0"/>
              <w:contextualSpacing/>
              <w:jc w:val="both"/>
              <w:rPr>
                <w:b/>
                <w:color w:val="000000"/>
              </w:rPr>
            </w:pP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77BFE03" w14:textId="77777777" w:rsidR="001E7189" w:rsidRDefault="001E7189" w:rsidP="003B45CB">
            <w:pPr>
              <w:adjustRightInd w:val="0"/>
              <w:ind w:left="60" w:right="60"/>
              <w:contextualSpacing/>
              <w:jc w:val="both"/>
              <w:rPr>
                <w:b/>
                <w:color w:val="000000"/>
              </w:rPr>
            </w:pPr>
            <w:r>
              <w:rPr>
                <w:b/>
                <w:color w:val="000000"/>
              </w:rPr>
              <w:t>Doktora</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ACC6DBA" w14:textId="77777777" w:rsidR="001E7189" w:rsidRDefault="001E7189" w:rsidP="003B45CB">
            <w:pPr>
              <w:adjustRightInd w:val="0"/>
              <w:ind w:left="60" w:right="60"/>
              <w:contextualSpacing/>
              <w:jc w:val="both"/>
              <w:rPr>
                <w:b/>
                <w:color w:val="000000"/>
              </w:rPr>
            </w:pPr>
            <w:r>
              <w:rPr>
                <w:b/>
                <w:color w:val="000000"/>
              </w:rPr>
              <w:t>Yüksek Lisans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F9A5658" w14:textId="77777777" w:rsidR="001E7189" w:rsidRDefault="001E7189" w:rsidP="003B45CB">
            <w:pPr>
              <w:adjustRightInd w:val="0"/>
              <w:contextualSpacing/>
              <w:jc w:val="both"/>
              <w:rPr>
                <w:b/>
              </w:rPr>
            </w:pPr>
            <w:r>
              <w:rPr>
                <w:b/>
              </w:rPr>
              <w:t>Toplam</w:t>
            </w:r>
          </w:p>
        </w:tc>
      </w:tr>
      <w:tr w:rsidR="001E7189" w14:paraId="5A5B67A7" w14:textId="77777777" w:rsidTr="001E7189">
        <w:trPr>
          <w:cantSplit/>
        </w:trPr>
        <w:tc>
          <w:tcPr>
            <w:tcW w:w="87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B9FED82" w14:textId="77777777" w:rsidR="001E7189" w:rsidRDefault="001E7189" w:rsidP="003B45CB">
            <w:pPr>
              <w:adjustRightInd w:val="0"/>
              <w:ind w:left="60" w:right="60"/>
              <w:contextualSpacing/>
              <w:jc w:val="both"/>
              <w:rPr>
                <w:b/>
                <w:color w:val="000000"/>
              </w:rPr>
            </w:pPr>
            <w:r>
              <w:rPr>
                <w:b/>
                <w:color w:val="000000"/>
              </w:rPr>
              <w:t>Enstitü</w:t>
            </w:r>
          </w:p>
        </w:tc>
        <w:tc>
          <w:tcPr>
            <w:tcW w:w="2460" w:type="dxa"/>
            <w:tcBorders>
              <w:top w:val="single" w:sz="4" w:space="0" w:color="auto"/>
              <w:left w:val="single" w:sz="4" w:space="0" w:color="auto"/>
              <w:bottom w:val="single" w:sz="4" w:space="0" w:color="auto"/>
              <w:right w:val="single" w:sz="4" w:space="0" w:color="auto"/>
            </w:tcBorders>
            <w:shd w:val="clear" w:color="auto" w:fill="FFFFFF"/>
            <w:hideMark/>
          </w:tcPr>
          <w:p w14:paraId="7167873D" w14:textId="77777777" w:rsidR="001E7189" w:rsidRDefault="001E7189" w:rsidP="003B45CB">
            <w:pPr>
              <w:adjustRightInd w:val="0"/>
              <w:ind w:left="60" w:right="60"/>
              <w:contextualSpacing/>
              <w:jc w:val="both"/>
              <w:rPr>
                <w:b/>
                <w:color w:val="000000"/>
              </w:rPr>
            </w:pPr>
            <w:r>
              <w:rPr>
                <w:b/>
                <w:color w:val="000000"/>
              </w:rPr>
              <w:t>Fen Bilimleri Enstitüsü</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BC2878"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69606D" w14:textId="77777777" w:rsidR="001E7189" w:rsidRDefault="001E7189" w:rsidP="003B45CB">
            <w:pPr>
              <w:adjustRightInd w:val="0"/>
              <w:ind w:left="60" w:right="60"/>
              <w:contextualSpacing/>
              <w:jc w:val="center"/>
              <w:rPr>
                <w:color w:val="000000"/>
              </w:rPr>
            </w:pPr>
            <w:r>
              <w:rPr>
                <w:color w:val="000000"/>
              </w:rPr>
              <w:t>3</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A537D3" w14:textId="77777777" w:rsidR="001E7189" w:rsidRDefault="001E7189" w:rsidP="003B45CB">
            <w:pPr>
              <w:adjustRightInd w:val="0"/>
              <w:ind w:left="60" w:right="60"/>
              <w:contextualSpacing/>
              <w:jc w:val="center"/>
              <w:rPr>
                <w:color w:val="000000"/>
              </w:rPr>
            </w:pPr>
            <w:r>
              <w:rPr>
                <w:color w:val="000000"/>
              </w:rPr>
              <w:t>3</w:t>
            </w:r>
          </w:p>
        </w:tc>
      </w:tr>
      <w:tr w:rsidR="001E7189" w14:paraId="418B6759" w14:textId="77777777" w:rsidTr="001E7189">
        <w:trPr>
          <w:cantSplit/>
        </w:trPr>
        <w:tc>
          <w:tcPr>
            <w:tcW w:w="3337" w:type="dxa"/>
            <w:vMerge/>
            <w:tcBorders>
              <w:top w:val="single" w:sz="4" w:space="0" w:color="auto"/>
              <w:left w:val="single" w:sz="4" w:space="0" w:color="auto"/>
              <w:bottom w:val="single" w:sz="4" w:space="0" w:color="auto"/>
              <w:right w:val="single" w:sz="4" w:space="0" w:color="auto"/>
            </w:tcBorders>
            <w:vAlign w:val="center"/>
            <w:hideMark/>
          </w:tcPr>
          <w:p w14:paraId="7FA44EE0" w14:textId="77777777" w:rsidR="001E7189" w:rsidRDefault="001E7189" w:rsidP="003B45CB">
            <w:pPr>
              <w:rPr>
                <w:b/>
                <w:color w:val="000000"/>
                <w:lang w:eastAsia="en-US"/>
              </w:rPr>
            </w:pPr>
          </w:p>
        </w:tc>
        <w:tc>
          <w:tcPr>
            <w:tcW w:w="2460" w:type="dxa"/>
            <w:tcBorders>
              <w:top w:val="single" w:sz="4" w:space="0" w:color="auto"/>
              <w:left w:val="single" w:sz="4" w:space="0" w:color="auto"/>
              <w:bottom w:val="single" w:sz="4" w:space="0" w:color="auto"/>
              <w:right w:val="single" w:sz="4" w:space="0" w:color="auto"/>
            </w:tcBorders>
            <w:shd w:val="clear" w:color="auto" w:fill="FFFFFF"/>
            <w:hideMark/>
          </w:tcPr>
          <w:p w14:paraId="5D72E614" w14:textId="77777777" w:rsidR="001E7189" w:rsidRDefault="001E7189" w:rsidP="003B45CB">
            <w:pPr>
              <w:adjustRightInd w:val="0"/>
              <w:ind w:left="60" w:right="60"/>
              <w:contextualSpacing/>
              <w:jc w:val="both"/>
              <w:rPr>
                <w:b/>
                <w:color w:val="000000"/>
              </w:rPr>
            </w:pPr>
            <w:r>
              <w:rPr>
                <w:b/>
                <w:color w:val="000000"/>
              </w:rPr>
              <w:t>Lisansüstü Eğitim Enstitüsü</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F16D1A" w14:textId="77777777" w:rsidR="001E7189" w:rsidRDefault="001E7189" w:rsidP="003B45CB">
            <w:pPr>
              <w:adjustRightInd w:val="0"/>
              <w:ind w:left="60" w:right="60"/>
              <w:contextualSpacing/>
              <w:jc w:val="center"/>
              <w:rPr>
                <w:color w:val="000000"/>
              </w:rPr>
            </w:pPr>
            <w:r>
              <w:rPr>
                <w:color w:val="000000"/>
              </w:rPr>
              <w:t>4</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F33E23" w14:textId="77777777" w:rsidR="001E7189" w:rsidRDefault="001E7189" w:rsidP="003B45CB">
            <w:pPr>
              <w:adjustRightInd w:val="0"/>
              <w:ind w:left="60" w:right="60"/>
              <w:contextualSpacing/>
              <w:jc w:val="center"/>
              <w:rPr>
                <w:color w:val="000000"/>
              </w:rPr>
            </w:pPr>
            <w:r>
              <w:rPr>
                <w:color w:val="000000"/>
              </w:rPr>
              <w:t>15</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A38753" w14:textId="77777777" w:rsidR="001E7189" w:rsidRDefault="001E7189" w:rsidP="003B45CB">
            <w:pPr>
              <w:adjustRightInd w:val="0"/>
              <w:ind w:left="60" w:right="60"/>
              <w:contextualSpacing/>
              <w:jc w:val="center"/>
              <w:rPr>
                <w:color w:val="000000"/>
              </w:rPr>
            </w:pPr>
            <w:r>
              <w:rPr>
                <w:color w:val="000000"/>
              </w:rPr>
              <w:t>19</w:t>
            </w:r>
          </w:p>
        </w:tc>
      </w:tr>
      <w:tr w:rsidR="001E7189" w14:paraId="224E9AF8" w14:textId="77777777" w:rsidTr="001E7189">
        <w:trPr>
          <w:cantSplit/>
        </w:trPr>
        <w:tc>
          <w:tcPr>
            <w:tcW w:w="3337" w:type="dxa"/>
            <w:vMerge/>
            <w:tcBorders>
              <w:top w:val="single" w:sz="4" w:space="0" w:color="auto"/>
              <w:left w:val="single" w:sz="4" w:space="0" w:color="auto"/>
              <w:bottom w:val="single" w:sz="4" w:space="0" w:color="auto"/>
              <w:right w:val="single" w:sz="4" w:space="0" w:color="auto"/>
            </w:tcBorders>
            <w:vAlign w:val="center"/>
            <w:hideMark/>
          </w:tcPr>
          <w:p w14:paraId="1C08A643" w14:textId="77777777" w:rsidR="001E7189" w:rsidRDefault="001E7189" w:rsidP="003B45CB">
            <w:pPr>
              <w:rPr>
                <w:b/>
                <w:color w:val="000000"/>
                <w:lang w:eastAsia="en-US"/>
              </w:rPr>
            </w:pPr>
          </w:p>
        </w:tc>
        <w:tc>
          <w:tcPr>
            <w:tcW w:w="2460" w:type="dxa"/>
            <w:tcBorders>
              <w:top w:val="single" w:sz="4" w:space="0" w:color="auto"/>
              <w:left w:val="single" w:sz="4" w:space="0" w:color="auto"/>
              <w:bottom w:val="single" w:sz="4" w:space="0" w:color="auto"/>
              <w:right w:val="single" w:sz="4" w:space="0" w:color="auto"/>
            </w:tcBorders>
            <w:shd w:val="clear" w:color="auto" w:fill="FFFFFF"/>
            <w:hideMark/>
          </w:tcPr>
          <w:p w14:paraId="12DF2585" w14:textId="77777777" w:rsidR="001E7189" w:rsidRDefault="001E7189" w:rsidP="003B45CB">
            <w:pPr>
              <w:adjustRightInd w:val="0"/>
              <w:ind w:left="60" w:right="60"/>
              <w:contextualSpacing/>
              <w:jc w:val="both"/>
              <w:rPr>
                <w:b/>
                <w:color w:val="000000"/>
              </w:rPr>
            </w:pPr>
            <w:r>
              <w:rPr>
                <w:b/>
                <w:color w:val="000000"/>
              </w:rPr>
              <w:t>Sosyal Bilimler Enstitüsü</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AF163E" w14:textId="77777777" w:rsidR="001E7189" w:rsidRDefault="001E7189" w:rsidP="003B45CB">
            <w:pPr>
              <w:adjustRightInd w:val="0"/>
              <w:ind w:left="60" w:right="60"/>
              <w:contextualSpacing/>
              <w:jc w:val="center"/>
              <w:rPr>
                <w:color w:val="000000"/>
              </w:rPr>
            </w:pPr>
            <w:r>
              <w:rPr>
                <w:color w:val="000000"/>
              </w:rPr>
              <w:t>30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F50177" w14:textId="77777777" w:rsidR="001E7189" w:rsidRDefault="001E7189" w:rsidP="003B45CB">
            <w:pPr>
              <w:adjustRightInd w:val="0"/>
              <w:ind w:left="60" w:right="60"/>
              <w:contextualSpacing/>
              <w:jc w:val="center"/>
              <w:rPr>
                <w:color w:val="000000"/>
              </w:rPr>
            </w:pPr>
            <w:r>
              <w:rPr>
                <w:color w:val="000000"/>
              </w:rPr>
              <w:t>52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46343B" w14:textId="77777777" w:rsidR="001E7189" w:rsidRDefault="001E7189" w:rsidP="003B45CB">
            <w:pPr>
              <w:adjustRightInd w:val="0"/>
              <w:ind w:left="60" w:right="60"/>
              <w:contextualSpacing/>
              <w:jc w:val="center"/>
              <w:rPr>
                <w:color w:val="000000"/>
              </w:rPr>
            </w:pPr>
            <w:r>
              <w:rPr>
                <w:color w:val="000000"/>
              </w:rPr>
              <w:t>82</w:t>
            </w:r>
          </w:p>
        </w:tc>
      </w:tr>
      <w:tr w:rsidR="001E7189" w14:paraId="0FAB6BB4" w14:textId="77777777" w:rsidTr="001E7189">
        <w:trPr>
          <w:cantSplit/>
        </w:trPr>
        <w:tc>
          <w:tcPr>
            <w:tcW w:w="3337"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C9BE646" w14:textId="77777777" w:rsidR="001E7189" w:rsidRDefault="001E7189" w:rsidP="003B45CB">
            <w:pPr>
              <w:adjustRightInd w:val="0"/>
              <w:ind w:left="60" w:right="60"/>
              <w:contextualSpacing/>
              <w:jc w:val="both"/>
              <w:rPr>
                <w:b/>
                <w:color w:val="000000"/>
              </w:rPr>
            </w:pPr>
            <w:r>
              <w:rPr>
                <w:b/>
                <w:color w:val="000000"/>
              </w:rPr>
              <w:t>Toplam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DDDE86" w14:textId="77777777" w:rsidR="001E7189" w:rsidRDefault="001E7189" w:rsidP="003B45CB">
            <w:pPr>
              <w:adjustRightInd w:val="0"/>
              <w:ind w:left="60" w:right="60"/>
              <w:contextualSpacing/>
              <w:jc w:val="center"/>
              <w:rPr>
                <w:color w:val="000000"/>
              </w:rPr>
            </w:pPr>
            <w:r>
              <w:rPr>
                <w:color w:val="000000"/>
              </w:rPr>
              <w:t>34</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AEA561" w14:textId="77777777" w:rsidR="001E7189" w:rsidRDefault="001E7189" w:rsidP="003B45CB">
            <w:pPr>
              <w:adjustRightInd w:val="0"/>
              <w:ind w:left="60" w:right="60"/>
              <w:contextualSpacing/>
              <w:jc w:val="center"/>
              <w:rPr>
                <w:color w:val="000000"/>
              </w:rPr>
            </w:pPr>
            <w:r>
              <w:rPr>
                <w:color w:val="000000"/>
              </w:rPr>
              <w:t>70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0B46E5" w14:textId="77777777" w:rsidR="001E7189" w:rsidRDefault="001E7189" w:rsidP="003B45CB">
            <w:pPr>
              <w:adjustRightInd w:val="0"/>
              <w:ind w:left="60" w:right="60"/>
              <w:contextualSpacing/>
              <w:jc w:val="center"/>
              <w:rPr>
                <w:color w:val="000000"/>
              </w:rPr>
            </w:pPr>
            <w:r>
              <w:rPr>
                <w:color w:val="000000"/>
              </w:rPr>
              <w:t>104</w:t>
            </w:r>
          </w:p>
        </w:tc>
      </w:tr>
    </w:tbl>
    <w:p w14:paraId="03C27777" w14:textId="566DCE58" w:rsidR="003B45CB" w:rsidRDefault="001E7189" w:rsidP="003B45CB">
      <w:pPr>
        <w:adjustRightInd w:val="0"/>
        <w:jc w:val="both"/>
      </w:pPr>
      <w:r>
        <w:t>Çalışmalar ana bilim dalı ve bilim dalı kapsamında değerlendirildiğinde ise, en çok işletme ana bilim dalında (65</w:t>
      </w:r>
      <w:proofErr w:type="gramStart"/>
      <w:r>
        <w:t>)  tez</w:t>
      </w:r>
      <w:proofErr w:type="gramEnd"/>
      <w:r>
        <w:t xml:space="preserve"> hazırlandığı ve bunların 38’inin yüksek lisans 27’sinin doktora düzeyinde olduğu görülmektedir. Çalışmaların çoğunlukla iktisadi ve idari bilimler alanlarıyla ilgili bilim dallarında ele alındığı görülmekle beraber, veri bilimi, inşaat mühendisliği ve endüstri mühendisliği gibi fen bilimlerine yönelik anabilim dalları bünyesinde de yüksek lisans düzeyinde birer çalışma hazırlanmıştır (Tablo 5).</w:t>
      </w:r>
    </w:p>
    <w:p w14:paraId="0C1A5C4F" w14:textId="77777777" w:rsidR="001E7189" w:rsidRDefault="001E7189" w:rsidP="003B45CB">
      <w:pPr>
        <w:adjustRightInd w:val="0"/>
        <w:jc w:val="both"/>
      </w:pPr>
      <w:r>
        <w:rPr>
          <w:b/>
        </w:rPr>
        <w:lastRenderedPageBreak/>
        <w:t>Tablo 6.</w:t>
      </w:r>
      <w:r>
        <w:t xml:space="preserve"> Ana Bilim/Bilim Dalı</w:t>
      </w:r>
    </w:p>
    <w:tbl>
      <w:tblPr>
        <w:tblW w:w="853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0"/>
        <w:gridCol w:w="3363"/>
        <w:gridCol w:w="1030"/>
        <w:gridCol w:w="1742"/>
        <w:gridCol w:w="1030"/>
      </w:tblGrid>
      <w:tr w:rsidR="001E7189" w14:paraId="7F318895" w14:textId="77777777" w:rsidTr="001E7189">
        <w:trPr>
          <w:cantSplit/>
        </w:trPr>
        <w:tc>
          <w:tcPr>
            <w:tcW w:w="472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A53EE15" w14:textId="77777777" w:rsidR="001E7189" w:rsidRDefault="001E7189" w:rsidP="003B45CB">
            <w:pPr>
              <w:adjustRightInd w:val="0"/>
              <w:contextualSpacing/>
              <w:jc w:val="both"/>
              <w:rPr>
                <w:b/>
                <w:color w:val="000000"/>
              </w:rPr>
            </w:pP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0E17BFD" w14:textId="77777777" w:rsidR="001E7189" w:rsidRDefault="001E7189" w:rsidP="003B45CB">
            <w:pPr>
              <w:adjustRightInd w:val="0"/>
              <w:ind w:left="60" w:right="60"/>
              <w:contextualSpacing/>
              <w:jc w:val="both"/>
              <w:rPr>
                <w:b/>
                <w:color w:val="000000"/>
              </w:rPr>
            </w:pPr>
            <w:r>
              <w:rPr>
                <w:b/>
                <w:color w:val="000000"/>
              </w:rPr>
              <w:t>Doktora</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55E6303" w14:textId="77777777" w:rsidR="001E7189" w:rsidRDefault="001E7189" w:rsidP="003B45CB">
            <w:pPr>
              <w:adjustRightInd w:val="0"/>
              <w:ind w:left="60" w:right="60"/>
              <w:contextualSpacing/>
              <w:jc w:val="both"/>
              <w:rPr>
                <w:b/>
                <w:color w:val="000000"/>
              </w:rPr>
            </w:pPr>
            <w:r>
              <w:rPr>
                <w:b/>
                <w:color w:val="000000"/>
              </w:rPr>
              <w:t>Yüksek Lisans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1095C95" w14:textId="77777777" w:rsidR="001E7189" w:rsidRDefault="001E7189" w:rsidP="003B45CB">
            <w:pPr>
              <w:adjustRightInd w:val="0"/>
              <w:contextualSpacing/>
              <w:jc w:val="both"/>
              <w:rPr>
                <w:color w:val="000000"/>
              </w:rPr>
            </w:pPr>
            <w:r>
              <w:rPr>
                <w:b/>
              </w:rPr>
              <w:t>Toplam</w:t>
            </w:r>
          </w:p>
        </w:tc>
      </w:tr>
      <w:tr w:rsidR="001E7189" w14:paraId="4550A097" w14:textId="77777777" w:rsidTr="001E7189">
        <w:trPr>
          <w:cantSplit/>
        </w:trPr>
        <w:tc>
          <w:tcPr>
            <w:tcW w:w="136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A51AEC5" w14:textId="77777777" w:rsidR="001E7189" w:rsidRDefault="001E7189" w:rsidP="003B45CB">
            <w:pPr>
              <w:adjustRightInd w:val="0"/>
              <w:ind w:left="60" w:right="60"/>
              <w:contextualSpacing/>
              <w:jc w:val="both"/>
              <w:rPr>
                <w:b/>
                <w:color w:val="000000"/>
              </w:rPr>
            </w:pPr>
            <w:r>
              <w:rPr>
                <w:b/>
                <w:color w:val="000000"/>
              </w:rPr>
              <w:t>Ana Bilim</w:t>
            </w:r>
          </w:p>
          <w:p w14:paraId="1AAA91F6" w14:textId="77777777" w:rsidR="001E7189" w:rsidRDefault="001E7189" w:rsidP="003B45CB">
            <w:pPr>
              <w:adjustRightInd w:val="0"/>
              <w:ind w:left="60" w:right="60"/>
              <w:contextualSpacing/>
              <w:jc w:val="both"/>
              <w:rPr>
                <w:b/>
                <w:color w:val="000000"/>
              </w:rPr>
            </w:pPr>
            <w:r>
              <w:rPr>
                <w:b/>
                <w:color w:val="000000"/>
              </w:rPr>
              <w:t>Dalı</w:t>
            </w: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1CAE4E68" w14:textId="77777777" w:rsidR="001E7189" w:rsidRDefault="001E7189" w:rsidP="003B45CB">
            <w:pPr>
              <w:adjustRightInd w:val="0"/>
              <w:ind w:left="60" w:right="60"/>
              <w:contextualSpacing/>
              <w:jc w:val="both"/>
              <w:rPr>
                <w:b/>
                <w:color w:val="000000"/>
              </w:rPr>
            </w:pPr>
            <w:r>
              <w:rPr>
                <w:b/>
                <w:color w:val="000000"/>
              </w:rPr>
              <w:t>Belirtilmemiş</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029C8F"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3CFD4F" w14:textId="77777777" w:rsidR="001E7189" w:rsidRDefault="001E7189" w:rsidP="003B45CB">
            <w:pPr>
              <w:adjustRightInd w:val="0"/>
              <w:ind w:left="60" w:right="60"/>
              <w:contextualSpacing/>
              <w:jc w:val="center"/>
              <w:rPr>
                <w:color w:val="000000"/>
              </w:rPr>
            </w:pPr>
            <w:r>
              <w:rPr>
                <w:color w:val="000000"/>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CE6DA1" w14:textId="77777777" w:rsidR="001E7189" w:rsidRDefault="001E7189" w:rsidP="003B45CB">
            <w:pPr>
              <w:adjustRightInd w:val="0"/>
              <w:ind w:left="60" w:right="60"/>
              <w:contextualSpacing/>
              <w:jc w:val="center"/>
              <w:rPr>
                <w:color w:val="000000"/>
              </w:rPr>
            </w:pPr>
            <w:r>
              <w:rPr>
                <w:color w:val="000000"/>
              </w:rPr>
              <w:t>2</w:t>
            </w:r>
          </w:p>
        </w:tc>
      </w:tr>
      <w:tr w:rsidR="001E7189" w14:paraId="7C6286C9"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412D984C"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D38747A" w14:textId="77777777" w:rsidR="001E7189" w:rsidRDefault="001E7189" w:rsidP="003B45CB">
            <w:pPr>
              <w:adjustRightInd w:val="0"/>
              <w:ind w:left="60" w:right="60"/>
              <w:contextualSpacing/>
              <w:jc w:val="both"/>
              <w:rPr>
                <w:b/>
                <w:color w:val="000000"/>
              </w:rPr>
            </w:pPr>
            <w:r>
              <w:rPr>
                <w:b/>
                <w:color w:val="000000"/>
              </w:rPr>
              <w:t>Bankacılık ve Finans Ana Bil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D93021" w14:textId="77777777" w:rsidR="001E7189" w:rsidRDefault="001E7189" w:rsidP="003B45CB">
            <w:pPr>
              <w:adjustRightInd w:val="0"/>
              <w:ind w:left="60" w:right="60"/>
              <w:contextualSpacing/>
              <w:jc w:val="center"/>
              <w:rPr>
                <w:color w:val="000000"/>
              </w:rPr>
            </w:pPr>
            <w:r>
              <w:rPr>
                <w:color w:val="000000"/>
              </w:rPr>
              <w:t>1</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184A97" w14:textId="77777777" w:rsidR="001E7189" w:rsidRDefault="001E7189" w:rsidP="003B45CB">
            <w:pPr>
              <w:adjustRightInd w:val="0"/>
              <w:ind w:left="60" w:right="60"/>
              <w:contextualSpacing/>
              <w:jc w:val="center"/>
              <w:rPr>
                <w:color w:val="000000"/>
              </w:rPr>
            </w:pPr>
            <w:r>
              <w:rPr>
                <w:color w:val="000000"/>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F24C36" w14:textId="77777777" w:rsidR="001E7189" w:rsidRDefault="001E7189" w:rsidP="003B45CB">
            <w:pPr>
              <w:adjustRightInd w:val="0"/>
              <w:ind w:left="60" w:right="60"/>
              <w:contextualSpacing/>
              <w:jc w:val="center"/>
              <w:rPr>
                <w:color w:val="000000"/>
              </w:rPr>
            </w:pPr>
            <w:r>
              <w:rPr>
                <w:color w:val="000000"/>
              </w:rPr>
              <w:t>3</w:t>
            </w:r>
          </w:p>
        </w:tc>
      </w:tr>
      <w:tr w:rsidR="001E7189" w14:paraId="5DE1427F"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6AD9BEAF"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3E752E8B" w14:textId="77777777" w:rsidR="001E7189" w:rsidRDefault="001E7189" w:rsidP="003B45CB">
            <w:pPr>
              <w:adjustRightInd w:val="0"/>
              <w:ind w:left="60" w:right="60"/>
              <w:contextualSpacing/>
              <w:jc w:val="both"/>
              <w:rPr>
                <w:b/>
                <w:color w:val="000000"/>
              </w:rPr>
            </w:pPr>
            <w:r>
              <w:rPr>
                <w:b/>
                <w:color w:val="000000"/>
              </w:rPr>
              <w:t>Ekonometri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8764C9" w14:textId="77777777" w:rsidR="001E7189" w:rsidRDefault="001E7189" w:rsidP="003B45CB">
            <w:pPr>
              <w:adjustRightInd w:val="0"/>
              <w:ind w:left="60" w:right="60"/>
              <w:contextualSpacing/>
              <w:jc w:val="center"/>
              <w:rPr>
                <w:color w:val="000000"/>
              </w:rPr>
            </w:pPr>
            <w:r>
              <w:rPr>
                <w:color w:val="000000"/>
              </w:rPr>
              <w:t>1</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324823" w14:textId="77777777" w:rsidR="001E7189" w:rsidRDefault="001E7189" w:rsidP="003B45CB">
            <w:pPr>
              <w:adjustRightInd w:val="0"/>
              <w:ind w:left="60" w:right="60"/>
              <w:contextualSpacing/>
              <w:jc w:val="center"/>
              <w:rPr>
                <w:color w:val="000000"/>
              </w:rPr>
            </w:pPr>
            <w:r>
              <w:rPr>
                <w:color w:val="000000"/>
              </w:rPr>
              <w:t>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064DBF" w14:textId="77777777" w:rsidR="001E7189" w:rsidRDefault="001E7189" w:rsidP="003B45CB">
            <w:pPr>
              <w:adjustRightInd w:val="0"/>
              <w:ind w:left="60" w:right="60"/>
              <w:contextualSpacing/>
              <w:jc w:val="center"/>
              <w:rPr>
                <w:color w:val="000000"/>
              </w:rPr>
            </w:pPr>
            <w:r>
              <w:rPr>
                <w:color w:val="000000"/>
              </w:rPr>
              <w:t>7</w:t>
            </w:r>
          </w:p>
        </w:tc>
      </w:tr>
      <w:tr w:rsidR="001E7189" w14:paraId="3F6F7748"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25C0DF20"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733C920F" w14:textId="77777777" w:rsidR="001E7189" w:rsidRDefault="001E7189" w:rsidP="003B45CB">
            <w:pPr>
              <w:adjustRightInd w:val="0"/>
              <w:ind w:left="60" w:right="60"/>
              <w:contextualSpacing/>
              <w:jc w:val="both"/>
              <w:rPr>
                <w:b/>
                <w:color w:val="000000"/>
              </w:rPr>
            </w:pPr>
            <w:r>
              <w:rPr>
                <w:b/>
                <w:color w:val="000000"/>
              </w:rPr>
              <w:t>Ekonomi Finans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BC3591"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600013"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EFB13F" w14:textId="77777777" w:rsidR="001E7189" w:rsidRDefault="001E7189" w:rsidP="003B45CB">
            <w:pPr>
              <w:adjustRightInd w:val="0"/>
              <w:ind w:left="60" w:right="60"/>
              <w:contextualSpacing/>
              <w:jc w:val="center"/>
              <w:rPr>
                <w:color w:val="000000"/>
              </w:rPr>
            </w:pPr>
            <w:r>
              <w:rPr>
                <w:color w:val="000000"/>
              </w:rPr>
              <w:t>1</w:t>
            </w:r>
          </w:p>
        </w:tc>
      </w:tr>
      <w:tr w:rsidR="001E7189" w14:paraId="6688F687"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323FE43E"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5823E541" w14:textId="77777777" w:rsidR="001E7189" w:rsidRDefault="001E7189" w:rsidP="003B45CB">
            <w:pPr>
              <w:adjustRightInd w:val="0"/>
              <w:ind w:left="60" w:right="60"/>
              <w:contextualSpacing/>
              <w:jc w:val="both"/>
              <w:rPr>
                <w:b/>
                <w:color w:val="000000"/>
              </w:rPr>
            </w:pPr>
            <w:r>
              <w:rPr>
                <w:b/>
                <w:color w:val="000000"/>
              </w:rPr>
              <w:t>Endüstri Mühendisliği Ana B</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1EDA6F"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AEBCC6"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8CD9B5" w14:textId="77777777" w:rsidR="001E7189" w:rsidRDefault="001E7189" w:rsidP="003B45CB">
            <w:pPr>
              <w:adjustRightInd w:val="0"/>
              <w:ind w:left="60" w:right="60"/>
              <w:contextualSpacing/>
              <w:jc w:val="center"/>
              <w:rPr>
                <w:color w:val="000000"/>
              </w:rPr>
            </w:pPr>
            <w:r>
              <w:rPr>
                <w:color w:val="000000"/>
              </w:rPr>
              <w:t>1</w:t>
            </w:r>
          </w:p>
        </w:tc>
      </w:tr>
      <w:tr w:rsidR="001E7189" w14:paraId="0E36C76B"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2F6689F6"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BC771F2" w14:textId="77777777" w:rsidR="001E7189" w:rsidRDefault="001E7189" w:rsidP="003B45CB">
            <w:pPr>
              <w:adjustRightInd w:val="0"/>
              <w:ind w:left="60" w:right="60"/>
              <w:contextualSpacing/>
              <w:jc w:val="both"/>
              <w:rPr>
                <w:b/>
                <w:color w:val="000000"/>
              </w:rPr>
            </w:pPr>
            <w:r>
              <w:rPr>
                <w:b/>
                <w:color w:val="000000"/>
              </w:rPr>
              <w:t>Finans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6B00A4"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048878"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F424DC" w14:textId="77777777" w:rsidR="001E7189" w:rsidRDefault="001E7189" w:rsidP="003B45CB">
            <w:pPr>
              <w:adjustRightInd w:val="0"/>
              <w:ind w:left="60" w:right="60"/>
              <w:contextualSpacing/>
              <w:jc w:val="center"/>
              <w:rPr>
                <w:color w:val="000000"/>
              </w:rPr>
            </w:pPr>
            <w:r>
              <w:rPr>
                <w:color w:val="000000"/>
              </w:rPr>
              <w:t>1</w:t>
            </w:r>
          </w:p>
        </w:tc>
      </w:tr>
      <w:tr w:rsidR="001E7189" w14:paraId="273B3004"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668D0FE4"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4CA77B43" w14:textId="77777777" w:rsidR="001E7189" w:rsidRDefault="001E7189" w:rsidP="003B45CB">
            <w:pPr>
              <w:adjustRightInd w:val="0"/>
              <w:ind w:left="60" w:right="60"/>
              <w:contextualSpacing/>
              <w:jc w:val="both"/>
              <w:rPr>
                <w:b/>
                <w:color w:val="000000"/>
              </w:rPr>
            </w:pPr>
            <w:r>
              <w:rPr>
                <w:b/>
                <w:color w:val="000000"/>
              </w:rPr>
              <w:t>İktisat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30A696"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739BE2"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3033AC" w14:textId="77777777" w:rsidR="001E7189" w:rsidRDefault="001E7189" w:rsidP="003B45CB">
            <w:pPr>
              <w:adjustRightInd w:val="0"/>
              <w:ind w:left="60" w:right="60"/>
              <w:contextualSpacing/>
              <w:jc w:val="center"/>
              <w:rPr>
                <w:color w:val="000000"/>
              </w:rPr>
            </w:pPr>
            <w:r>
              <w:rPr>
                <w:color w:val="000000"/>
              </w:rPr>
              <w:t>1</w:t>
            </w:r>
          </w:p>
        </w:tc>
      </w:tr>
      <w:tr w:rsidR="001E7189" w14:paraId="3079A42D"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24ADDDE6"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3D268F3B" w14:textId="77777777" w:rsidR="001E7189" w:rsidRDefault="001E7189" w:rsidP="003B45CB">
            <w:pPr>
              <w:adjustRightInd w:val="0"/>
              <w:ind w:left="60" w:right="60"/>
              <w:contextualSpacing/>
              <w:jc w:val="both"/>
              <w:rPr>
                <w:b/>
                <w:color w:val="000000"/>
              </w:rPr>
            </w:pPr>
            <w:r>
              <w:rPr>
                <w:b/>
                <w:color w:val="000000"/>
              </w:rPr>
              <w:t xml:space="preserve">İnşaat Mühendisliği Ana </w:t>
            </w:r>
            <w:proofErr w:type="spellStart"/>
            <w:r>
              <w:rPr>
                <w:b/>
                <w:color w:val="000000"/>
              </w:rPr>
              <w:t>Bi</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5199A3"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7FB577"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61795C" w14:textId="77777777" w:rsidR="001E7189" w:rsidRDefault="001E7189" w:rsidP="003B45CB">
            <w:pPr>
              <w:adjustRightInd w:val="0"/>
              <w:ind w:left="60" w:right="60"/>
              <w:contextualSpacing/>
              <w:jc w:val="center"/>
              <w:rPr>
                <w:color w:val="000000"/>
              </w:rPr>
            </w:pPr>
            <w:r>
              <w:rPr>
                <w:color w:val="000000"/>
              </w:rPr>
              <w:t>1</w:t>
            </w:r>
          </w:p>
        </w:tc>
      </w:tr>
      <w:tr w:rsidR="001E7189" w14:paraId="241BAF59"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459C1F73"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116F5519" w14:textId="77777777" w:rsidR="001E7189" w:rsidRDefault="001E7189" w:rsidP="003B45CB">
            <w:pPr>
              <w:adjustRightInd w:val="0"/>
              <w:ind w:left="60" w:right="60"/>
              <w:contextualSpacing/>
              <w:jc w:val="both"/>
              <w:rPr>
                <w:b/>
                <w:color w:val="000000"/>
              </w:rPr>
            </w:pPr>
            <w:r>
              <w:rPr>
                <w:b/>
                <w:color w:val="000000"/>
              </w:rPr>
              <w:t>İstatistik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205D25"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A25612" w14:textId="77777777" w:rsidR="001E7189" w:rsidRDefault="001E7189" w:rsidP="003B45CB">
            <w:pPr>
              <w:adjustRightInd w:val="0"/>
              <w:ind w:left="60" w:right="60"/>
              <w:contextualSpacing/>
              <w:jc w:val="center"/>
              <w:rPr>
                <w:color w:val="000000"/>
              </w:rPr>
            </w:pPr>
            <w:r>
              <w:rPr>
                <w:color w:val="000000"/>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CCAD29" w14:textId="77777777" w:rsidR="001E7189" w:rsidRDefault="001E7189" w:rsidP="003B45CB">
            <w:pPr>
              <w:adjustRightInd w:val="0"/>
              <w:ind w:left="60" w:right="60"/>
              <w:contextualSpacing/>
              <w:jc w:val="center"/>
              <w:rPr>
                <w:color w:val="000000"/>
              </w:rPr>
            </w:pPr>
            <w:r>
              <w:rPr>
                <w:color w:val="000000"/>
              </w:rPr>
              <w:t>2</w:t>
            </w:r>
          </w:p>
        </w:tc>
      </w:tr>
      <w:tr w:rsidR="001E7189" w14:paraId="04B46C82"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5522BEAD"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30F9DF6C" w14:textId="77777777" w:rsidR="001E7189" w:rsidRDefault="001E7189" w:rsidP="003B45CB">
            <w:pPr>
              <w:adjustRightInd w:val="0"/>
              <w:ind w:left="60" w:right="60"/>
              <w:contextualSpacing/>
              <w:jc w:val="both"/>
              <w:rPr>
                <w:b/>
                <w:color w:val="000000"/>
              </w:rPr>
            </w:pPr>
            <w:r>
              <w:rPr>
                <w:b/>
                <w:color w:val="000000"/>
              </w:rPr>
              <w:t>İşletme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FCED46" w14:textId="77777777" w:rsidR="001E7189" w:rsidRDefault="001E7189" w:rsidP="003B45CB">
            <w:pPr>
              <w:adjustRightInd w:val="0"/>
              <w:ind w:left="60" w:right="60"/>
              <w:contextualSpacing/>
              <w:jc w:val="center"/>
              <w:rPr>
                <w:color w:val="000000"/>
              </w:rPr>
            </w:pPr>
            <w:r>
              <w:rPr>
                <w:color w:val="000000"/>
              </w:rPr>
              <w:t>27</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279BBB" w14:textId="77777777" w:rsidR="001E7189" w:rsidRDefault="001E7189" w:rsidP="003B45CB">
            <w:pPr>
              <w:adjustRightInd w:val="0"/>
              <w:ind w:left="60" w:right="60"/>
              <w:contextualSpacing/>
              <w:jc w:val="center"/>
              <w:rPr>
                <w:color w:val="000000"/>
              </w:rPr>
            </w:pPr>
            <w:r>
              <w:rPr>
                <w:color w:val="000000"/>
              </w:rPr>
              <w:t>38</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8E0DCE" w14:textId="77777777" w:rsidR="001E7189" w:rsidRDefault="001E7189" w:rsidP="003B45CB">
            <w:pPr>
              <w:adjustRightInd w:val="0"/>
              <w:ind w:left="60" w:right="60"/>
              <w:contextualSpacing/>
              <w:jc w:val="center"/>
              <w:rPr>
                <w:color w:val="000000"/>
              </w:rPr>
            </w:pPr>
            <w:r>
              <w:rPr>
                <w:color w:val="000000"/>
              </w:rPr>
              <w:t>65</w:t>
            </w:r>
          </w:p>
        </w:tc>
      </w:tr>
      <w:tr w:rsidR="001E7189" w14:paraId="7C17E77B"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18B37472"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3786FC40" w14:textId="77777777" w:rsidR="001E7189" w:rsidRDefault="001E7189" w:rsidP="003B45CB">
            <w:pPr>
              <w:adjustRightInd w:val="0"/>
              <w:ind w:left="60" w:right="60"/>
              <w:contextualSpacing/>
              <w:jc w:val="both"/>
              <w:rPr>
                <w:b/>
                <w:color w:val="000000"/>
              </w:rPr>
            </w:pPr>
            <w:r>
              <w:rPr>
                <w:b/>
                <w:color w:val="000000"/>
              </w:rPr>
              <w:t>İşletme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87FDFD"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27AB7B"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EA359E" w14:textId="77777777" w:rsidR="001E7189" w:rsidRDefault="001E7189" w:rsidP="003B45CB">
            <w:pPr>
              <w:adjustRightInd w:val="0"/>
              <w:ind w:left="60" w:right="60"/>
              <w:contextualSpacing/>
              <w:jc w:val="center"/>
              <w:rPr>
                <w:color w:val="000000"/>
              </w:rPr>
            </w:pPr>
            <w:r>
              <w:rPr>
                <w:color w:val="000000"/>
              </w:rPr>
              <w:t>1</w:t>
            </w:r>
          </w:p>
        </w:tc>
      </w:tr>
      <w:tr w:rsidR="001E7189" w14:paraId="43F5FDFB"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3C1847E7"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A8B4A41" w14:textId="77777777" w:rsidR="001E7189" w:rsidRDefault="001E7189" w:rsidP="003B45CB">
            <w:pPr>
              <w:adjustRightInd w:val="0"/>
              <w:ind w:left="60" w:right="60"/>
              <w:contextualSpacing/>
              <w:jc w:val="both"/>
              <w:rPr>
                <w:b/>
                <w:color w:val="000000"/>
              </w:rPr>
            </w:pPr>
            <w:r>
              <w:rPr>
                <w:b/>
                <w:color w:val="000000"/>
              </w:rPr>
              <w:t>İşletme Bölümü</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AC5138" w14:textId="77777777" w:rsidR="001E7189" w:rsidRDefault="001E7189" w:rsidP="003B45CB">
            <w:pPr>
              <w:adjustRightInd w:val="0"/>
              <w:ind w:left="60" w:right="60"/>
              <w:contextualSpacing/>
              <w:jc w:val="center"/>
              <w:rPr>
                <w:color w:val="000000"/>
              </w:rPr>
            </w:pPr>
            <w:r>
              <w:rPr>
                <w:color w:val="000000"/>
              </w:rPr>
              <w:t>4</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B48E43" w14:textId="77777777" w:rsidR="001E7189" w:rsidRDefault="001E7189" w:rsidP="003B45CB">
            <w:pPr>
              <w:adjustRightInd w:val="0"/>
              <w:ind w:left="60" w:right="60"/>
              <w:contextualSpacing/>
              <w:jc w:val="center"/>
              <w:rPr>
                <w:color w:val="000000"/>
              </w:rPr>
            </w:pPr>
            <w:r>
              <w:rPr>
                <w:color w:val="000000"/>
              </w:rPr>
              <w:t>3</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C26DAB" w14:textId="77777777" w:rsidR="001E7189" w:rsidRDefault="001E7189" w:rsidP="003B45CB">
            <w:pPr>
              <w:adjustRightInd w:val="0"/>
              <w:ind w:left="60" w:right="60"/>
              <w:contextualSpacing/>
              <w:jc w:val="center"/>
              <w:rPr>
                <w:color w:val="000000"/>
              </w:rPr>
            </w:pPr>
            <w:r>
              <w:rPr>
                <w:color w:val="000000"/>
              </w:rPr>
              <w:t>7</w:t>
            </w:r>
          </w:p>
        </w:tc>
      </w:tr>
      <w:tr w:rsidR="001E7189" w14:paraId="016176E5"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4F1D5D40"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348F3CA3" w14:textId="77777777" w:rsidR="001E7189" w:rsidRDefault="001E7189" w:rsidP="003B45CB">
            <w:pPr>
              <w:adjustRightInd w:val="0"/>
              <w:ind w:left="60" w:right="60"/>
              <w:contextualSpacing/>
              <w:jc w:val="both"/>
              <w:rPr>
                <w:b/>
                <w:color w:val="000000"/>
              </w:rPr>
            </w:pPr>
            <w:r>
              <w:rPr>
                <w:b/>
                <w:color w:val="000000"/>
              </w:rPr>
              <w:t>İşletme Yönetimi Ana Bilim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1611A1"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AF3437" w14:textId="77777777" w:rsidR="001E7189" w:rsidRDefault="001E7189" w:rsidP="003B45CB">
            <w:pPr>
              <w:adjustRightInd w:val="0"/>
              <w:ind w:left="60" w:right="60"/>
              <w:contextualSpacing/>
              <w:jc w:val="center"/>
              <w:rPr>
                <w:color w:val="000000"/>
              </w:rPr>
            </w:pPr>
            <w:r>
              <w:rPr>
                <w:color w:val="000000"/>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72FD05" w14:textId="77777777" w:rsidR="001E7189" w:rsidRDefault="001E7189" w:rsidP="003B45CB">
            <w:pPr>
              <w:adjustRightInd w:val="0"/>
              <w:ind w:left="60" w:right="60"/>
              <w:contextualSpacing/>
              <w:jc w:val="center"/>
              <w:rPr>
                <w:color w:val="000000"/>
              </w:rPr>
            </w:pPr>
            <w:r>
              <w:rPr>
                <w:color w:val="000000"/>
              </w:rPr>
              <w:t>2</w:t>
            </w:r>
          </w:p>
        </w:tc>
      </w:tr>
      <w:tr w:rsidR="001E7189" w14:paraId="08518991"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131AED03"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B0339F3" w14:textId="77777777" w:rsidR="001E7189" w:rsidRDefault="001E7189" w:rsidP="003B45CB">
            <w:pPr>
              <w:adjustRightInd w:val="0"/>
              <w:ind w:left="60" w:right="60"/>
              <w:contextualSpacing/>
              <w:jc w:val="both"/>
              <w:rPr>
                <w:b/>
                <w:color w:val="000000"/>
              </w:rPr>
            </w:pPr>
            <w:r>
              <w:rPr>
                <w:b/>
                <w:color w:val="000000"/>
              </w:rPr>
              <w:t>Muhasebe ve Finansal Yönetim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D2E48D"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96B912" w14:textId="77777777" w:rsidR="001E7189" w:rsidRDefault="001E7189" w:rsidP="003B45CB">
            <w:pPr>
              <w:adjustRightInd w:val="0"/>
              <w:ind w:left="60" w:right="60"/>
              <w:contextualSpacing/>
              <w:jc w:val="center"/>
              <w:rPr>
                <w:color w:val="000000"/>
              </w:rPr>
            </w:pPr>
            <w:r>
              <w:rPr>
                <w:color w:val="000000"/>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46C070" w14:textId="77777777" w:rsidR="001E7189" w:rsidRDefault="001E7189" w:rsidP="003B45CB">
            <w:pPr>
              <w:adjustRightInd w:val="0"/>
              <w:ind w:left="60" w:right="60"/>
              <w:contextualSpacing/>
              <w:jc w:val="center"/>
              <w:rPr>
                <w:color w:val="000000"/>
              </w:rPr>
            </w:pPr>
            <w:r>
              <w:rPr>
                <w:color w:val="000000"/>
              </w:rPr>
              <w:t>2</w:t>
            </w:r>
          </w:p>
        </w:tc>
      </w:tr>
      <w:tr w:rsidR="001E7189" w14:paraId="5D3167E6"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3B174356"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67F14E9" w14:textId="77777777" w:rsidR="001E7189" w:rsidRDefault="001E7189" w:rsidP="003B45CB">
            <w:pPr>
              <w:adjustRightInd w:val="0"/>
              <w:ind w:left="60" w:right="60"/>
              <w:contextualSpacing/>
              <w:jc w:val="both"/>
              <w:rPr>
                <w:b/>
                <w:color w:val="000000"/>
              </w:rPr>
            </w:pPr>
            <w:r>
              <w:rPr>
                <w:b/>
                <w:color w:val="000000"/>
              </w:rPr>
              <w:t>Sigortacılık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51D9E1"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205F28"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EF7A3D" w14:textId="77777777" w:rsidR="001E7189" w:rsidRDefault="001E7189" w:rsidP="003B45CB">
            <w:pPr>
              <w:adjustRightInd w:val="0"/>
              <w:ind w:left="60" w:right="60"/>
              <w:contextualSpacing/>
              <w:jc w:val="center"/>
              <w:rPr>
                <w:color w:val="000000"/>
              </w:rPr>
            </w:pPr>
            <w:r>
              <w:rPr>
                <w:color w:val="000000"/>
              </w:rPr>
              <w:t>1</w:t>
            </w:r>
          </w:p>
        </w:tc>
      </w:tr>
      <w:tr w:rsidR="001E7189" w14:paraId="457F4984"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4B6BD86B"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035A5000" w14:textId="77777777" w:rsidR="001E7189" w:rsidRDefault="001E7189" w:rsidP="003B45CB">
            <w:pPr>
              <w:adjustRightInd w:val="0"/>
              <w:ind w:left="60" w:right="60"/>
              <w:contextualSpacing/>
              <w:jc w:val="both"/>
              <w:rPr>
                <w:b/>
                <w:color w:val="000000"/>
              </w:rPr>
            </w:pPr>
            <w:r>
              <w:rPr>
                <w:b/>
                <w:color w:val="000000"/>
              </w:rPr>
              <w:t xml:space="preserve">Turizm İşletmeciliği Ana </w:t>
            </w:r>
            <w:proofErr w:type="spellStart"/>
            <w:r>
              <w:rPr>
                <w:b/>
                <w:color w:val="000000"/>
              </w:rPr>
              <w:t>Bi</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BBBC49" w14:textId="77777777" w:rsidR="001E7189" w:rsidRDefault="001E7189" w:rsidP="003B45CB">
            <w:pPr>
              <w:adjustRightInd w:val="0"/>
              <w:ind w:left="60" w:right="60"/>
              <w:contextualSpacing/>
              <w:jc w:val="center"/>
              <w:rPr>
                <w:color w:val="000000"/>
              </w:rPr>
            </w:pPr>
            <w:r>
              <w:rPr>
                <w:color w:val="000000"/>
              </w:rPr>
              <w:t>1</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32FD68" w14:textId="77777777" w:rsidR="001E7189" w:rsidRDefault="001E7189" w:rsidP="003B45CB">
            <w:pPr>
              <w:adjustRightInd w:val="0"/>
              <w:ind w:left="60" w:right="60"/>
              <w:contextualSpacing/>
              <w:jc w:val="center"/>
              <w:rPr>
                <w:color w:val="000000"/>
              </w:rPr>
            </w:pPr>
            <w:r>
              <w:rPr>
                <w:color w:val="000000"/>
              </w:rPr>
              <w:t>3</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306428" w14:textId="77777777" w:rsidR="001E7189" w:rsidRDefault="001E7189" w:rsidP="003B45CB">
            <w:pPr>
              <w:adjustRightInd w:val="0"/>
              <w:ind w:left="60" w:right="60"/>
              <w:contextualSpacing/>
              <w:jc w:val="center"/>
              <w:rPr>
                <w:color w:val="000000"/>
              </w:rPr>
            </w:pPr>
            <w:r>
              <w:rPr>
                <w:color w:val="000000"/>
              </w:rPr>
              <w:t>4</w:t>
            </w:r>
          </w:p>
        </w:tc>
      </w:tr>
      <w:tr w:rsidR="001E7189" w14:paraId="112E899C"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3F3437E0"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51506DEE" w14:textId="77777777" w:rsidR="001E7189" w:rsidRDefault="001E7189" w:rsidP="003B45CB">
            <w:pPr>
              <w:adjustRightInd w:val="0"/>
              <w:ind w:left="60" w:right="60"/>
              <w:contextualSpacing/>
              <w:jc w:val="both"/>
              <w:rPr>
                <w:b/>
                <w:color w:val="000000"/>
              </w:rPr>
            </w:pPr>
            <w:r>
              <w:rPr>
                <w:b/>
                <w:color w:val="000000"/>
              </w:rPr>
              <w:t>Uluslararası Finans Ana Bilim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963056"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C903CC"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A3778F" w14:textId="77777777" w:rsidR="001E7189" w:rsidRDefault="001E7189" w:rsidP="003B45CB">
            <w:pPr>
              <w:adjustRightInd w:val="0"/>
              <w:ind w:left="60" w:right="60"/>
              <w:contextualSpacing/>
              <w:jc w:val="center"/>
              <w:rPr>
                <w:color w:val="000000"/>
              </w:rPr>
            </w:pPr>
            <w:r>
              <w:rPr>
                <w:color w:val="000000"/>
              </w:rPr>
              <w:t>1</w:t>
            </w:r>
          </w:p>
        </w:tc>
      </w:tr>
      <w:tr w:rsidR="001E7189" w14:paraId="4EF43C07"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4161E549"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63A60386" w14:textId="77777777" w:rsidR="001E7189" w:rsidRDefault="001E7189" w:rsidP="003B45CB">
            <w:pPr>
              <w:adjustRightInd w:val="0"/>
              <w:ind w:left="60" w:right="60"/>
              <w:contextualSpacing/>
              <w:jc w:val="both"/>
              <w:rPr>
                <w:b/>
                <w:color w:val="000000"/>
              </w:rPr>
            </w:pPr>
            <w:r>
              <w:rPr>
                <w:b/>
                <w:color w:val="000000"/>
              </w:rPr>
              <w:t>Uluslararası Ticaret ve Finans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E21BFF"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58EA30"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1D2A7F" w14:textId="77777777" w:rsidR="001E7189" w:rsidRDefault="001E7189" w:rsidP="003B45CB">
            <w:pPr>
              <w:adjustRightInd w:val="0"/>
              <w:ind w:left="60" w:right="60"/>
              <w:contextualSpacing/>
              <w:jc w:val="center"/>
              <w:rPr>
                <w:color w:val="000000"/>
              </w:rPr>
            </w:pPr>
            <w:r>
              <w:rPr>
                <w:color w:val="000000"/>
              </w:rPr>
              <w:t>1</w:t>
            </w:r>
          </w:p>
        </w:tc>
      </w:tr>
      <w:tr w:rsidR="001E7189" w14:paraId="7CCC9D3D" w14:textId="77777777" w:rsidTr="001E7189">
        <w:trPr>
          <w:cantSplit/>
        </w:trPr>
        <w:tc>
          <w:tcPr>
            <w:tcW w:w="4729" w:type="dxa"/>
            <w:vMerge/>
            <w:tcBorders>
              <w:top w:val="single" w:sz="4" w:space="0" w:color="auto"/>
              <w:left w:val="single" w:sz="4" w:space="0" w:color="auto"/>
              <w:bottom w:val="single" w:sz="4" w:space="0" w:color="auto"/>
              <w:right w:val="single" w:sz="4" w:space="0" w:color="auto"/>
            </w:tcBorders>
            <w:vAlign w:val="center"/>
            <w:hideMark/>
          </w:tcPr>
          <w:p w14:paraId="0AAFB5FB" w14:textId="77777777" w:rsidR="001E7189" w:rsidRDefault="001E7189" w:rsidP="003B45CB">
            <w:pPr>
              <w:rPr>
                <w:b/>
                <w:color w:val="000000"/>
                <w:lang w:eastAsia="en-US"/>
              </w:rPr>
            </w:pPr>
          </w:p>
        </w:tc>
        <w:tc>
          <w:tcPr>
            <w:tcW w:w="3360" w:type="dxa"/>
            <w:tcBorders>
              <w:top w:val="single" w:sz="4" w:space="0" w:color="auto"/>
              <w:left w:val="single" w:sz="4" w:space="0" w:color="auto"/>
              <w:bottom w:val="single" w:sz="4" w:space="0" w:color="auto"/>
              <w:right w:val="single" w:sz="4" w:space="0" w:color="auto"/>
            </w:tcBorders>
            <w:shd w:val="clear" w:color="auto" w:fill="FFFFFF"/>
            <w:hideMark/>
          </w:tcPr>
          <w:p w14:paraId="11E52512" w14:textId="77777777" w:rsidR="001E7189" w:rsidRDefault="001E7189" w:rsidP="003B45CB">
            <w:pPr>
              <w:adjustRightInd w:val="0"/>
              <w:ind w:left="60" w:right="60"/>
              <w:contextualSpacing/>
              <w:jc w:val="both"/>
              <w:rPr>
                <w:b/>
                <w:color w:val="000000"/>
              </w:rPr>
            </w:pPr>
            <w:r>
              <w:rPr>
                <w:b/>
                <w:color w:val="000000"/>
              </w:rPr>
              <w:t>Veri Bilimi Ana Bilim Dalı</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CBD093" w14:textId="77777777" w:rsidR="001E7189" w:rsidRDefault="001E7189" w:rsidP="003B45CB">
            <w:pPr>
              <w:adjustRightInd w:val="0"/>
              <w:ind w:left="60" w:right="60"/>
              <w:contextualSpacing/>
              <w:jc w:val="center"/>
              <w:rPr>
                <w:color w:val="000000"/>
              </w:rPr>
            </w:pPr>
            <w:r>
              <w:rPr>
                <w:color w:val="000000"/>
              </w:rPr>
              <w:t>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0D5140" w14:textId="77777777" w:rsidR="001E7189" w:rsidRDefault="001E7189" w:rsidP="003B45CB">
            <w:pPr>
              <w:adjustRightInd w:val="0"/>
              <w:ind w:left="60" w:right="60"/>
              <w:contextualSpacing/>
              <w:jc w:val="center"/>
              <w:rPr>
                <w:color w:val="000000"/>
              </w:rPr>
            </w:pPr>
            <w:r>
              <w:rPr>
                <w:color w:val="000000"/>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F2C06A" w14:textId="77777777" w:rsidR="001E7189" w:rsidRDefault="001E7189" w:rsidP="003B45CB">
            <w:pPr>
              <w:adjustRightInd w:val="0"/>
              <w:ind w:left="60" w:right="60"/>
              <w:contextualSpacing/>
              <w:jc w:val="center"/>
              <w:rPr>
                <w:color w:val="000000"/>
              </w:rPr>
            </w:pPr>
            <w:r>
              <w:rPr>
                <w:color w:val="000000"/>
              </w:rPr>
              <w:t>1</w:t>
            </w:r>
          </w:p>
        </w:tc>
      </w:tr>
      <w:tr w:rsidR="001E7189" w14:paraId="5A237B87" w14:textId="77777777" w:rsidTr="001E7189">
        <w:trPr>
          <w:cantSplit/>
        </w:trPr>
        <w:tc>
          <w:tcPr>
            <w:tcW w:w="472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0B91B3B" w14:textId="77777777" w:rsidR="001E7189" w:rsidRDefault="001E7189" w:rsidP="003B45CB">
            <w:pPr>
              <w:adjustRightInd w:val="0"/>
              <w:ind w:left="60" w:right="60"/>
              <w:contextualSpacing/>
              <w:jc w:val="both"/>
              <w:rPr>
                <w:b/>
                <w:color w:val="000000"/>
              </w:rPr>
            </w:pPr>
            <w:r>
              <w:rPr>
                <w:b/>
                <w:color w:val="000000"/>
              </w:rPr>
              <w:t>Toplam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5679D4" w14:textId="77777777" w:rsidR="001E7189" w:rsidRDefault="001E7189" w:rsidP="003B45CB">
            <w:pPr>
              <w:adjustRightInd w:val="0"/>
              <w:ind w:left="60" w:right="60"/>
              <w:contextualSpacing/>
              <w:jc w:val="center"/>
              <w:rPr>
                <w:color w:val="000000"/>
              </w:rPr>
            </w:pPr>
            <w:r>
              <w:rPr>
                <w:color w:val="000000"/>
              </w:rPr>
              <w:t>34</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8C9A39" w14:textId="77777777" w:rsidR="001E7189" w:rsidRDefault="001E7189" w:rsidP="003B45CB">
            <w:pPr>
              <w:adjustRightInd w:val="0"/>
              <w:ind w:left="60" w:right="60"/>
              <w:contextualSpacing/>
              <w:jc w:val="center"/>
              <w:rPr>
                <w:color w:val="000000"/>
              </w:rPr>
            </w:pPr>
            <w:r>
              <w:rPr>
                <w:color w:val="000000"/>
              </w:rPr>
              <w:t>70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055F3D" w14:textId="77777777" w:rsidR="001E7189" w:rsidRDefault="001E7189" w:rsidP="003B45CB">
            <w:pPr>
              <w:adjustRightInd w:val="0"/>
              <w:ind w:left="60" w:right="60"/>
              <w:contextualSpacing/>
              <w:jc w:val="center"/>
              <w:rPr>
                <w:color w:val="000000"/>
              </w:rPr>
            </w:pPr>
            <w:r>
              <w:rPr>
                <w:color w:val="000000"/>
              </w:rPr>
              <w:t>104</w:t>
            </w:r>
          </w:p>
        </w:tc>
      </w:tr>
    </w:tbl>
    <w:p w14:paraId="1E46D81D" w14:textId="77777777" w:rsidR="001E7189" w:rsidRDefault="001E7189" w:rsidP="003B45CB">
      <w:pPr>
        <w:adjustRightInd w:val="0"/>
        <w:jc w:val="both"/>
      </w:pPr>
      <w:r>
        <w:t>Finansal başarısızlık konulu çalışmalar içerik olarak araştırma yöntemi açısından ve araştırma amacı açısından da sınıflandırılmıştır. Bu çalışmalarda araştırma amacı 4 temel başlıkla gruplandırılmıştır. Buna göre incelenen çalışmaların tamamına yakını ampirik olarak ele alınmış (102) sadece 2 tanesi yüksek lisans düzeyinde ve kavramsal olarak incelenmiştir. Bu çalışmalar içerisinde ise daha çok finansal başarısızlığın tahmin edilmeye (71) çalışıldığı görülmektedir (Tablo 6).</w:t>
      </w:r>
    </w:p>
    <w:p w14:paraId="73999375" w14:textId="77777777" w:rsidR="003B45CB" w:rsidRDefault="003B45CB" w:rsidP="003B45CB">
      <w:pPr>
        <w:adjustRightInd w:val="0"/>
        <w:jc w:val="both"/>
        <w:rPr>
          <w:lang w:eastAsia="en-US"/>
        </w:rPr>
      </w:pPr>
    </w:p>
    <w:p w14:paraId="1EDDA3DC" w14:textId="3B32FCC8" w:rsidR="001E7189" w:rsidRDefault="001E7189" w:rsidP="003B45CB">
      <w:pPr>
        <w:adjustRightInd w:val="0"/>
        <w:jc w:val="both"/>
      </w:pPr>
      <w:r>
        <w:rPr>
          <w:b/>
        </w:rPr>
        <w:t>Tablo 7.</w:t>
      </w:r>
      <w:r>
        <w:t xml:space="preserve"> Tez Yaklaşımı ve Amacı</w:t>
      </w:r>
    </w:p>
    <w:tbl>
      <w:tblPr>
        <w:tblW w:w="784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13"/>
        <w:gridCol w:w="2827"/>
        <w:gridCol w:w="1029"/>
        <w:gridCol w:w="1744"/>
        <w:gridCol w:w="1032"/>
      </w:tblGrid>
      <w:tr w:rsidR="001E7189" w14:paraId="4C307305" w14:textId="77777777" w:rsidTr="001E7189">
        <w:trPr>
          <w:cantSplit/>
        </w:trPr>
        <w:tc>
          <w:tcPr>
            <w:tcW w:w="403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7E3E1CD" w14:textId="77777777" w:rsidR="001E7189" w:rsidRDefault="001E7189" w:rsidP="003B45CB">
            <w:pPr>
              <w:adjustRightInd w:val="0"/>
              <w:contextualSpacing/>
              <w:jc w:val="both"/>
              <w:rPr>
                <w:b/>
                <w:color w:val="000000"/>
              </w:rPr>
            </w:pP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C5A35C3" w14:textId="77777777" w:rsidR="001E7189" w:rsidRDefault="001E7189" w:rsidP="003B45CB">
            <w:pPr>
              <w:adjustRightInd w:val="0"/>
              <w:ind w:left="60" w:right="60"/>
              <w:contextualSpacing/>
              <w:jc w:val="both"/>
              <w:rPr>
                <w:b/>
                <w:color w:val="000000"/>
              </w:rPr>
            </w:pPr>
            <w:r>
              <w:rPr>
                <w:b/>
                <w:color w:val="000000"/>
              </w:rPr>
              <w:t>Doktora</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BCD4DD5" w14:textId="77777777" w:rsidR="001E7189" w:rsidRDefault="001E7189" w:rsidP="003B45CB">
            <w:pPr>
              <w:adjustRightInd w:val="0"/>
              <w:ind w:left="60" w:right="60"/>
              <w:contextualSpacing/>
              <w:jc w:val="both"/>
              <w:rPr>
                <w:b/>
                <w:color w:val="000000"/>
              </w:rPr>
            </w:pPr>
            <w:r>
              <w:rPr>
                <w:b/>
                <w:color w:val="000000"/>
              </w:rPr>
              <w:t>Yüksek Lisans</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E2FD5F8" w14:textId="77777777" w:rsidR="001E7189" w:rsidRDefault="001E7189" w:rsidP="003B45CB">
            <w:pPr>
              <w:adjustRightInd w:val="0"/>
              <w:contextualSpacing/>
              <w:jc w:val="both"/>
              <w:rPr>
                <w:b/>
                <w:color w:val="000000"/>
              </w:rPr>
            </w:pPr>
            <w:r>
              <w:rPr>
                <w:b/>
                <w:color w:val="000000"/>
              </w:rPr>
              <w:t>Toplam</w:t>
            </w:r>
          </w:p>
        </w:tc>
      </w:tr>
      <w:tr w:rsidR="001E7189" w14:paraId="394380D4" w14:textId="77777777" w:rsidTr="001E7189">
        <w:trPr>
          <w:cantSplit/>
        </w:trPr>
        <w:tc>
          <w:tcPr>
            <w:tcW w:w="1212" w:type="dxa"/>
            <w:tcBorders>
              <w:top w:val="single" w:sz="4" w:space="0" w:color="auto"/>
              <w:left w:val="single" w:sz="4" w:space="0" w:color="auto"/>
              <w:bottom w:val="single" w:sz="4" w:space="0" w:color="auto"/>
              <w:right w:val="single" w:sz="4" w:space="0" w:color="auto"/>
            </w:tcBorders>
            <w:shd w:val="clear" w:color="auto" w:fill="FFFFFF"/>
            <w:hideMark/>
          </w:tcPr>
          <w:p w14:paraId="79B95E2E" w14:textId="77777777" w:rsidR="001E7189" w:rsidRDefault="001E7189" w:rsidP="003B45CB">
            <w:pPr>
              <w:adjustRightInd w:val="0"/>
              <w:ind w:left="60" w:right="60"/>
              <w:contextualSpacing/>
              <w:jc w:val="both"/>
              <w:rPr>
                <w:b/>
                <w:color w:val="000000"/>
              </w:rPr>
            </w:pPr>
            <w:r>
              <w:rPr>
                <w:b/>
                <w:color w:val="000000"/>
              </w:rPr>
              <w:t>Yaklaşım</w:t>
            </w: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575F02F8" w14:textId="77777777" w:rsidR="001E7189" w:rsidRDefault="001E7189" w:rsidP="003B45CB">
            <w:pPr>
              <w:adjustRightInd w:val="0"/>
              <w:ind w:left="60" w:right="60"/>
              <w:contextualSpacing/>
              <w:jc w:val="both"/>
              <w:rPr>
                <w:b/>
                <w:color w:val="000000"/>
              </w:rPr>
            </w:pPr>
            <w:r>
              <w:rPr>
                <w:b/>
                <w:color w:val="000000"/>
              </w:rPr>
              <w:t>Ampirik</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01D276" w14:textId="77777777" w:rsidR="001E7189" w:rsidRDefault="001E7189" w:rsidP="003B45CB">
            <w:pPr>
              <w:adjustRightInd w:val="0"/>
              <w:ind w:left="60" w:right="60"/>
              <w:contextualSpacing/>
              <w:jc w:val="center"/>
              <w:rPr>
                <w:color w:val="000000"/>
              </w:rPr>
            </w:pPr>
            <w:r>
              <w:rPr>
                <w:color w:val="000000"/>
              </w:rPr>
              <w:t>34</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F3E810" w14:textId="77777777" w:rsidR="001E7189" w:rsidRDefault="001E7189" w:rsidP="003B45CB">
            <w:pPr>
              <w:adjustRightInd w:val="0"/>
              <w:ind w:left="60" w:right="60"/>
              <w:contextualSpacing/>
              <w:jc w:val="center"/>
              <w:rPr>
                <w:color w:val="000000"/>
              </w:rPr>
            </w:pPr>
            <w:r>
              <w:rPr>
                <w:color w:val="000000"/>
              </w:rPr>
              <w:t>68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1A7691" w14:textId="77777777" w:rsidR="001E7189" w:rsidRDefault="001E7189" w:rsidP="003B45CB">
            <w:pPr>
              <w:adjustRightInd w:val="0"/>
              <w:ind w:left="60" w:right="60"/>
              <w:contextualSpacing/>
              <w:jc w:val="center"/>
              <w:rPr>
                <w:color w:val="000000"/>
              </w:rPr>
            </w:pPr>
            <w:r>
              <w:rPr>
                <w:color w:val="000000"/>
              </w:rPr>
              <w:t>102</w:t>
            </w:r>
          </w:p>
        </w:tc>
      </w:tr>
      <w:tr w:rsidR="001E7189" w14:paraId="1383D4A4" w14:textId="77777777" w:rsidTr="001E7189">
        <w:trPr>
          <w:cantSplit/>
        </w:trPr>
        <w:tc>
          <w:tcPr>
            <w:tcW w:w="1212" w:type="dxa"/>
            <w:tcBorders>
              <w:top w:val="single" w:sz="4" w:space="0" w:color="auto"/>
              <w:left w:val="single" w:sz="4" w:space="0" w:color="auto"/>
              <w:bottom w:val="single" w:sz="4" w:space="0" w:color="auto"/>
              <w:right w:val="single" w:sz="4" w:space="0" w:color="auto"/>
            </w:tcBorders>
            <w:shd w:val="clear" w:color="auto" w:fill="FFFFFF"/>
          </w:tcPr>
          <w:p w14:paraId="6DB20AEC" w14:textId="77777777" w:rsidR="001E7189" w:rsidRDefault="001E7189" w:rsidP="003B45CB">
            <w:pPr>
              <w:adjustRightInd w:val="0"/>
              <w:ind w:left="60" w:right="60"/>
              <w:contextualSpacing/>
              <w:jc w:val="both"/>
              <w:rPr>
                <w:b/>
                <w:color w:val="000000"/>
              </w:rPr>
            </w:pP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6259EBA1" w14:textId="77777777" w:rsidR="001E7189" w:rsidRDefault="001E7189" w:rsidP="003B45CB">
            <w:pPr>
              <w:adjustRightInd w:val="0"/>
              <w:ind w:left="60" w:right="60"/>
              <w:contextualSpacing/>
              <w:jc w:val="both"/>
              <w:rPr>
                <w:b/>
                <w:color w:val="000000"/>
              </w:rPr>
            </w:pPr>
            <w:r>
              <w:rPr>
                <w:b/>
                <w:color w:val="000000"/>
              </w:rPr>
              <w:t>Kavramsal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B16EE8" w14:textId="77777777" w:rsidR="001E7189" w:rsidRDefault="001E7189" w:rsidP="003B45CB">
            <w:pPr>
              <w:adjustRightInd w:val="0"/>
              <w:ind w:left="60" w:right="60"/>
              <w:contextualSpacing/>
              <w:jc w:val="center"/>
              <w:rPr>
                <w:color w:val="000000"/>
              </w:rPr>
            </w:pPr>
            <w:r>
              <w:rPr>
                <w:color w:val="000000"/>
              </w:rPr>
              <w:t>0</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F897F1" w14:textId="77777777" w:rsidR="001E7189" w:rsidRDefault="001E7189" w:rsidP="003B45CB">
            <w:pPr>
              <w:adjustRightInd w:val="0"/>
              <w:ind w:left="60" w:right="60"/>
              <w:contextualSpacing/>
              <w:jc w:val="center"/>
              <w:rPr>
                <w:color w:val="000000"/>
              </w:rPr>
            </w:pPr>
            <w:r>
              <w:rPr>
                <w:color w:val="000000"/>
              </w:rPr>
              <w:t>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E9D456" w14:textId="77777777" w:rsidR="001E7189" w:rsidRDefault="001E7189" w:rsidP="003B45CB">
            <w:pPr>
              <w:adjustRightInd w:val="0"/>
              <w:ind w:left="60" w:right="60"/>
              <w:contextualSpacing/>
              <w:jc w:val="center"/>
              <w:rPr>
                <w:color w:val="000000"/>
              </w:rPr>
            </w:pPr>
            <w:r>
              <w:rPr>
                <w:color w:val="000000"/>
              </w:rPr>
              <w:t>2</w:t>
            </w:r>
          </w:p>
        </w:tc>
      </w:tr>
      <w:tr w:rsidR="001E7189" w14:paraId="11A95808" w14:textId="77777777" w:rsidTr="001E7189">
        <w:trPr>
          <w:cantSplit/>
        </w:trPr>
        <w:tc>
          <w:tcPr>
            <w:tcW w:w="403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4381528C" w14:textId="77777777" w:rsidR="001E7189" w:rsidRDefault="001E7189" w:rsidP="003B45CB">
            <w:pPr>
              <w:adjustRightInd w:val="0"/>
              <w:ind w:left="60" w:right="60"/>
              <w:contextualSpacing/>
              <w:jc w:val="both"/>
              <w:rPr>
                <w:b/>
                <w:color w:val="000000"/>
              </w:rPr>
            </w:pPr>
            <w:r>
              <w:rPr>
                <w:b/>
                <w:color w:val="000000"/>
              </w:rPr>
              <w:t>Toplam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489CD3" w14:textId="77777777" w:rsidR="001E7189" w:rsidRDefault="001E7189" w:rsidP="003B45CB">
            <w:pPr>
              <w:adjustRightInd w:val="0"/>
              <w:ind w:left="60" w:right="60"/>
              <w:contextualSpacing/>
              <w:jc w:val="center"/>
              <w:rPr>
                <w:color w:val="000000"/>
              </w:rPr>
            </w:pPr>
            <w:r>
              <w:rPr>
                <w:color w:val="000000"/>
              </w:rPr>
              <w:t>34</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B52DEF" w14:textId="77777777" w:rsidR="001E7189" w:rsidRDefault="001E7189" w:rsidP="003B45CB">
            <w:pPr>
              <w:adjustRightInd w:val="0"/>
              <w:ind w:left="60" w:right="60"/>
              <w:contextualSpacing/>
              <w:jc w:val="center"/>
              <w:rPr>
                <w:color w:val="000000"/>
              </w:rPr>
            </w:pPr>
            <w:r>
              <w:rPr>
                <w:color w:val="000000"/>
              </w:rPr>
              <w:t>70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AFF726" w14:textId="77777777" w:rsidR="001E7189" w:rsidRDefault="001E7189" w:rsidP="003B45CB">
            <w:pPr>
              <w:adjustRightInd w:val="0"/>
              <w:ind w:left="60" w:right="60"/>
              <w:contextualSpacing/>
              <w:jc w:val="center"/>
              <w:rPr>
                <w:color w:val="000000"/>
              </w:rPr>
            </w:pPr>
            <w:r>
              <w:rPr>
                <w:color w:val="000000"/>
              </w:rPr>
              <w:t>104</w:t>
            </w:r>
          </w:p>
        </w:tc>
      </w:tr>
      <w:tr w:rsidR="001E7189" w14:paraId="71AE6519" w14:textId="77777777" w:rsidTr="001E7189">
        <w:trPr>
          <w:cantSplit/>
        </w:trPr>
        <w:tc>
          <w:tcPr>
            <w:tcW w:w="1212"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8A2DBB0" w14:textId="77777777" w:rsidR="001E7189" w:rsidRDefault="001E7189" w:rsidP="003B45CB">
            <w:pPr>
              <w:adjustRightInd w:val="0"/>
              <w:ind w:left="60" w:right="60"/>
              <w:contextualSpacing/>
              <w:jc w:val="both"/>
              <w:rPr>
                <w:b/>
                <w:color w:val="000000"/>
              </w:rPr>
            </w:pPr>
            <w:r>
              <w:rPr>
                <w:b/>
                <w:color w:val="000000"/>
              </w:rPr>
              <w:t>Amaç</w:t>
            </w: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0AD2ABEF" w14:textId="77777777" w:rsidR="001E7189" w:rsidRDefault="001E7189" w:rsidP="003B45CB">
            <w:pPr>
              <w:adjustRightInd w:val="0"/>
              <w:ind w:left="60" w:right="60"/>
              <w:contextualSpacing/>
              <w:jc w:val="both"/>
              <w:rPr>
                <w:b/>
                <w:color w:val="000000"/>
              </w:rPr>
            </w:pPr>
            <w:r>
              <w:rPr>
                <w:b/>
                <w:color w:val="000000"/>
              </w:rPr>
              <w:t>FB ile ilişkili olan unsurlar</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1A9DC1" w14:textId="77777777" w:rsidR="001E7189" w:rsidRDefault="001E7189" w:rsidP="003B45CB">
            <w:pPr>
              <w:adjustRightInd w:val="0"/>
              <w:ind w:left="60" w:right="60"/>
              <w:contextualSpacing/>
              <w:jc w:val="center"/>
              <w:rPr>
                <w:color w:val="000000"/>
              </w:rPr>
            </w:pPr>
            <w:r>
              <w:rPr>
                <w:color w:val="000000"/>
              </w:rPr>
              <w:t>7</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22DC37" w14:textId="77777777" w:rsidR="001E7189" w:rsidRDefault="001E7189" w:rsidP="003B45CB">
            <w:pPr>
              <w:adjustRightInd w:val="0"/>
              <w:ind w:left="60" w:right="60"/>
              <w:contextualSpacing/>
              <w:jc w:val="center"/>
              <w:rPr>
                <w:color w:val="000000"/>
              </w:rPr>
            </w:pPr>
            <w:r>
              <w:rPr>
                <w:color w:val="000000"/>
              </w:rPr>
              <w:t>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7016D" w14:textId="77777777" w:rsidR="001E7189" w:rsidRDefault="001E7189" w:rsidP="003B45CB">
            <w:pPr>
              <w:adjustRightInd w:val="0"/>
              <w:ind w:left="60" w:right="60"/>
              <w:contextualSpacing/>
              <w:jc w:val="center"/>
              <w:rPr>
                <w:color w:val="000000"/>
              </w:rPr>
            </w:pPr>
            <w:r>
              <w:rPr>
                <w:color w:val="000000"/>
              </w:rPr>
              <w:t>16</w:t>
            </w:r>
          </w:p>
        </w:tc>
      </w:tr>
      <w:tr w:rsidR="001E7189" w14:paraId="6B3C8576" w14:textId="77777777" w:rsidTr="001E7189">
        <w:trPr>
          <w:cantSplit/>
        </w:trPr>
        <w:tc>
          <w:tcPr>
            <w:tcW w:w="4039" w:type="dxa"/>
            <w:vMerge/>
            <w:tcBorders>
              <w:top w:val="single" w:sz="4" w:space="0" w:color="auto"/>
              <w:left w:val="single" w:sz="4" w:space="0" w:color="auto"/>
              <w:bottom w:val="single" w:sz="4" w:space="0" w:color="auto"/>
              <w:right w:val="single" w:sz="4" w:space="0" w:color="auto"/>
            </w:tcBorders>
            <w:vAlign w:val="center"/>
            <w:hideMark/>
          </w:tcPr>
          <w:p w14:paraId="4A695A41" w14:textId="77777777" w:rsidR="001E7189" w:rsidRDefault="001E7189" w:rsidP="003B45CB">
            <w:pPr>
              <w:rPr>
                <w:b/>
                <w:color w:val="000000"/>
                <w:lang w:eastAsia="en-US"/>
              </w:rPr>
            </w:pP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46B8584A" w14:textId="77777777" w:rsidR="001E7189" w:rsidRDefault="001E7189" w:rsidP="003B45CB">
            <w:pPr>
              <w:adjustRightInd w:val="0"/>
              <w:ind w:left="60" w:right="60"/>
              <w:contextualSpacing/>
              <w:jc w:val="both"/>
              <w:rPr>
                <w:b/>
                <w:color w:val="000000"/>
              </w:rPr>
            </w:pPr>
            <w:r>
              <w:rPr>
                <w:b/>
                <w:color w:val="000000"/>
              </w:rPr>
              <w:t>FB Olgusu</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1FDF35" w14:textId="77777777" w:rsidR="001E7189" w:rsidRDefault="001E7189" w:rsidP="003B45CB">
            <w:pPr>
              <w:adjustRightInd w:val="0"/>
              <w:ind w:left="60" w:right="60"/>
              <w:contextualSpacing/>
              <w:jc w:val="center"/>
              <w:rPr>
                <w:color w:val="000000"/>
              </w:rPr>
            </w:pPr>
            <w:r>
              <w:rPr>
                <w:color w:val="000000"/>
              </w:rPr>
              <w:t>0</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C2C34E" w14:textId="77777777" w:rsidR="001E7189" w:rsidRDefault="001E7189" w:rsidP="003B45CB">
            <w:pPr>
              <w:adjustRightInd w:val="0"/>
              <w:ind w:left="60" w:right="60"/>
              <w:contextualSpacing/>
              <w:jc w:val="center"/>
              <w:rPr>
                <w:color w:val="000000"/>
              </w:rPr>
            </w:pPr>
            <w:r>
              <w:rPr>
                <w:color w:val="000000"/>
              </w:rPr>
              <w:t>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CB5304" w14:textId="77777777" w:rsidR="001E7189" w:rsidRDefault="001E7189" w:rsidP="003B45CB">
            <w:pPr>
              <w:adjustRightInd w:val="0"/>
              <w:ind w:left="60" w:right="60"/>
              <w:contextualSpacing/>
              <w:jc w:val="center"/>
              <w:rPr>
                <w:color w:val="000000"/>
              </w:rPr>
            </w:pPr>
            <w:r>
              <w:rPr>
                <w:color w:val="000000"/>
              </w:rPr>
              <w:t>2</w:t>
            </w:r>
          </w:p>
        </w:tc>
      </w:tr>
      <w:tr w:rsidR="001E7189" w14:paraId="26895EA2" w14:textId="77777777" w:rsidTr="001E7189">
        <w:trPr>
          <w:cantSplit/>
        </w:trPr>
        <w:tc>
          <w:tcPr>
            <w:tcW w:w="4039" w:type="dxa"/>
            <w:vMerge/>
            <w:tcBorders>
              <w:top w:val="single" w:sz="4" w:space="0" w:color="auto"/>
              <w:left w:val="single" w:sz="4" w:space="0" w:color="auto"/>
              <w:bottom w:val="single" w:sz="4" w:space="0" w:color="auto"/>
              <w:right w:val="single" w:sz="4" w:space="0" w:color="auto"/>
            </w:tcBorders>
            <w:vAlign w:val="center"/>
            <w:hideMark/>
          </w:tcPr>
          <w:p w14:paraId="0BD8E4E0" w14:textId="77777777" w:rsidR="001E7189" w:rsidRDefault="001E7189" w:rsidP="003B45CB">
            <w:pPr>
              <w:rPr>
                <w:b/>
                <w:color w:val="000000"/>
                <w:lang w:eastAsia="en-US"/>
              </w:rPr>
            </w:pP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1AD11329" w14:textId="77777777" w:rsidR="001E7189" w:rsidRDefault="001E7189" w:rsidP="003B45CB">
            <w:pPr>
              <w:adjustRightInd w:val="0"/>
              <w:ind w:left="60" w:right="60"/>
              <w:contextualSpacing/>
              <w:jc w:val="both"/>
              <w:rPr>
                <w:b/>
                <w:color w:val="000000"/>
              </w:rPr>
            </w:pPr>
            <w:r>
              <w:rPr>
                <w:b/>
                <w:color w:val="000000"/>
              </w:rPr>
              <w:t>FB Tahmini</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D8BEB2" w14:textId="77777777" w:rsidR="001E7189" w:rsidRDefault="001E7189" w:rsidP="003B45CB">
            <w:pPr>
              <w:adjustRightInd w:val="0"/>
              <w:ind w:left="60" w:right="60"/>
              <w:contextualSpacing/>
              <w:jc w:val="center"/>
              <w:rPr>
                <w:color w:val="000000"/>
              </w:rPr>
            </w:pPr>
            <w:r>
              <w:rPr>
                <w:color w:val="000000"/>
              </w:rPr>
              <w:t>22</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189259" w14:textId="77777777" w:rsidR="001E7189" w:rsidRDefault="001E7189" w:rsidP="003B45CB">
            <w:pPr>
              <w:adjustRightInd w:val="0"/>
              <w:ind w:left="60" w:right="60"/>
              <w:contextualSpacing/>
              <w:jc w:val="center"/>
              <w:rPr>
                <w:color w:val="000000"/>
              </w:rPr>
            </w:pPr>
            <w:r>
              <w:rPr>
                <w:color w:val="000000"/>
              </w:rPr>
              <w:t>49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B33872" w14:textId="77777777" w:rsidR="001E7189" w:rsidRDefault="001E7189" w:rsidP="003B45CB">
            <w:pPr>
              <w:adjustRightInd w:val="0"/>
              <w:ind w:left="60" w:right="60"/>
              <w:contextualSpacing/>
              <w:jc w:val="center"/>
              <w:rPr>
                <w:color w:val="000000"/>
              </w:rPr>
            </w:pPr>
            <w:r>
              <w:rPr>
                <w:color w:val="000000"/>
              </w:rPr>
              <w:t>71</w:t>
            </w:r>
          </w:p>
        </w:tc>
      </w:tr>
      <w:tr w:rsidR="001E7189" w14:paraId="139540B1" w14:textId="77777777" w:rsidTr="001E7189">
        <w:trPr>
          <w:cantSplit/>
        </w:trPr>
        <w:tc>
          <w:tcPr>
            <w:tcW w:w="4039" w:type="dxa"/>
            <w:vMerge/>
            <w:tcBorders>
              <w:top w:val="single" w:sz="4" w:space="0" w:color="auto"/>
              <w:left w:val="single" w:sz="4" w:space="0" w:color="auto"/>
              <w:bottom w:val="single" w:sz="4" w:space="0" w:color="auto"/>
              <w:right w:val="single" w:sz="4" w:space="0" w:color="auto"/>
            </w:tcBorders>
            <w:vAlign w:val="center"/>
            <w:hideMark/>
          </w:tcPr>
          <w:p w14:paraId="7F003202" w14:textId="77777777" w:rsidR="001E7189" w:rsidRDefault="001E7189" w:rsidP="003B45CB">
            <w:pPr>
              <w:rPr>
                <w:b/>
                <w:color w:val="000000"/>
                <w:lang w:eastAsia="en-US"/>
              </w:rPr>
            </w:pPr>
          </w:p>
        </w:tc>
        <w:tc>
          <w:tcPr>
            <w:tcW w:w="2827" w:type="dxa"/>
            <w:tcBorders>
              <w:top w:val="single" w:sz="4" w:space="0" w:color="auto"/>
              <w:left w:val="single" w:sz="4" w:space="0" w:color="auto"/>
              <w:bottom w:val="single" w:sz="4" w:space="0" w:color="auto"/>
              <w:right w:val="single" w:sz="4" w:space="0" w:color="auto"/>
            </w:tcBorders>
            <w:shd w:val="clear" w:color="auto" w:fill="FFFFFF"/>
            <w:hideMark/>
          </w:tcPr>
          <w:p w14:paraId="458B69AB" w14:textId="77777777" w:rsidR="001E7189" w:rsidRDefault="001E7189" w:rsidP="003B45CB">
            <w:pPr>
              <w:adjustRightInd w:val="0"/>
              <w:ind w:left="60" w:right="60"/>
              <w:contextualSpacing/>
              <w:jc w:val="both"/>
              <w:rPr>
                <w:b/>
                <w:color w:val="000000"/>
              </w:rPr>
            </w:pPr>
            <w:r>
              <w:rPr>
                <w:b/>
                <w:color w:val="000000"/>
              </w:rPr>
              <w:t>FB'yi etkileyen faktörler</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619107" w14:textId="77777777" w:rsidR="001E7189" w:rsidRDefault="001E7189" w:rsidP="003B45CB">
            <w:pPr>
              <w:adjustRightInd w:val="0"/>
              <w:ind w:left="60" w:right="60"/>
              <w:contextualSpacing/>
              <w:jc w:val="center"/>
              <w:rPr>
                <w:color w:val="000000"/>
              </w:rPr>
            </w:pPr>
            <w:r>
              <w:rPr>
                <w:color w:val="000000"/>
              </w:rPr>
              <w:t>5</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056D19" w14:textId="77777777" w:rsidR="001E7189" w:rsidRDefault="001E7189" w:rsidP="003B45CB">
            <w:pPr>
              <w:adjustRightInd w:val="0"/>
              <w:ind w:left="60" w:right="60"/>
              <w:contextualSpacing/>
              <w:jc w:val="center"/>
              <w:rPr>
                <w:color w:val="000000"/>
              </w:rPr>
            </w:pPr>
            <w:r>
              <w:rPr>
                <w:color w:val="000000"/>
              </w:rPr>
              <w:t>10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370A5D" w14:textId="77777777" w:rsidR="001E7189" w:rsidRDefault="001E7189" w:rsidP="003B45CB">
            <w:pPr>
              <w:adjustRightInd w:val="0"/>
              <w:ind w:left="60" w:right="60"/>
              <w:contextualSpacing/>
              <w:jc w:val="center"/>
              <w:rPr>
                <w:color w:val="000000"/>
              </w:rPr>
            </w:pPr>
            <w:r>
              <w:rPr>
                <w:color w:val="000000"/>
              </w:rPr>
              <w:t>15</w:t>
            </w:r>
          </w:p>
        </w:tc>
      </w:tr>
      <w:tr w:rsidR="001E7189" w14:paraId="739656BC" w14:textId="77777777" w:rsidTr="001E7189">
        <w:trPr>
          <w:cantSplit/>
        </w:trPr>
        <w:tc>
          <w:tcPr>
            <w:tcW w:w="403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FDF94E6" w14:textId="77777777" w:rsidR="001E7189" w:rsidRDefault="001E7189" w:rsidP="003B45CB">
            <w:pPr>
              <w:adjustRightInd w:val="0"/>
              <w:ind w:left="60" w:right="60"/>
              <w:contextualSpacing/>
              <w:jc w:val="both"/>
              <w:rPr>
                <w:b/>
                <w:color w:val="000000"/>
              </w:rPr>
            </w:pPr>
            <w:r>
              <w:rPr>
                <w:b/>
                <w:color w:val="000000"/>
              </w:rPr>
              <w:t>Toplam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02A27" w14:textId="77777777" w:rsidR="001E7189" w:rsidRDefault="001E7189" w:rsidP="003B45CB">
            <w:pPr>
              <w:adjustRightInd w:val="0"/>
              <w:ind w:left="60" w:right="60"/>
              <w:contextualSpacing/>
              <w:jc w:val="center"/>
              <w:rPr>
                <w:color w:val="000000"/>
              </w:rPr>
            </w:pPr>
            <w:r>
              <w:rPr>
                <w:color w:val="000000"/>
              </w:rPr>
              <w:t>34</w:t>
            </w:r>
          </w:p>
        </w:tc>
        <w:tc>
          <w:tcPr>
            <w:tcW w:w="17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3DD18A" w14:textId="77777777" w:rsidR="001E7189" w:rsidRDefault="001E7189" w:rsidP="003B45CB">
            <w:pPr>
              <w:adjustRightInd w:val="0"/>
              <w:ind w:left="60" w:right="60"/>
              <w:contextualSpacing/>
              <w:jc w:val="center"/>
              <w:rPr>
                <w:color w:val="000000"/>
              </w:rPr>
            </w:pPr>
            <w:r>
              <w:rPr>
                <w:color w:val="000000"/>
              </w:rPr>
              <w:t>70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9C7DE4" w14:textId="77777777" w:rsidR="001E7189" w:rsidRDefault="001E7189" w:rsidP="003B45CB">
            <w:pPr>
              <w:adjustRightInd w:val="0"/>
              <w:ind w:left="60" w:right="60"/>
              <w:contextualSpacing/>
              <w:jc w:val="center"/>
              <w:rPr>
                <w:color w:val="000000"/>
              </w:rPr>
            </w:pPr>
            <w:r>
              <w:rPr>
                <w:color w:val="000000"/>
              </w:rPr>
              <w:t>104</w:t>
            </w:r>
          </w:p>
        </w:tc>
      </w:tr>
    </w:tbl>
    <w:p w14:paraId="698A725D" w14:textId="77777777" w:rsidR="001E7189" w:rsidRDefault="001E7189" w:rsidP="003B45CB">
      <w:pPr>
        <w:jc w:val="both"/>
      </w:pPr>
      <w:r>
        <w:t xml:space="preserve">Son olarak, tez kapsam ve yöntemine ilişkin eğilimleri daha iyi yansıtabilmesi bakımından anahtar kelimeler de dikkate alınarak bunların kullanım sıklığı incelenmiştir. Tablo 8’de 104 tez içerisinde %1’den daha fazla sıklıkla başvurulan anahtar kelimeler sunulmuştur. Buna göre; en fazla kullanılan terim %18 düzeyinde finansal başarısızlık iken, bunu %6 ile </w:t>
      </w:r>
      <w:proofErr w:type="spellStart"/>
      <w:r>
        <w:t>Altman</w:t>
      </w:r>
      <w:proofErr w:type="spellEnd"/>
      <w:r>
        <w:t xml:space="preserve"> ve benzer anlamlı ifadeler, %5 ile BIST/Borsa İstanbul ve %2,6 ile de Lojistik regresyon analizi/modeli terimleri takip etmektedir.</w:t>
      </w:r>
    </w:p>
    <w:p w14:paraId="50065EDD" w14:textId="77777777" w:rsidR="003B45CB" w:rsidRDefault="003B45CB" w:rsidP="003B45CB">
      <w:pPr>
        <w:jc w:val="both"/>
        <w:rPr>
          <w:lang w:eastAsia="en-US"/>
        </w:rPr>
      </w:pPr>
    </w:p>
    <w:p w14:paraId="7F525497" w14:textId="77777777" w:rsidR="001E7189" w:rsidRDefault="001E7189" w:rsidP="003B45CB">
      <w:pPr>
        <w:jc w:val="both"/>
      </w:pPr>
      <w:r>
        <w:rPr>
          <w:b/>
        </w:rPr>
        <w:lastRenderedPageBreak/>
        <w:t>Tablo 8.</w:t>
      </w:r>
      <w:r>
        <w:t xml:space="preserve"> Anahtar Kelimelerin Kullanım Sıklığı</w:t>
      </w:r>
    </w:p>
    <w:tbl>
      <w:tblPr>
        <w:tblStyle w:val="TabloKlavuzu"/>
        <w:tblW w:w="0" w:type="auto"/>
        <w:tblLook w:val="04A0" w:firstRow="1" w:lastRow="0" w:firstColumn="1" w:lastColumn="0" w:noHBand="0" w:noVBand="1"/>
      </w:tblPr>
      <w:tblGrid>
        <w:gridCol w:w="4582"/>
        <w:gridCol w:w="960"/>
      </w:tblGrid>
      <w:tr w:rsidR="001E7189" w14:paraId="432716F1"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148419E5" w14:textId="77777777" w:rsidR="001E7189" w:rsidRDefault="001E7189" w:rsidP="003B45CB">
            <w:pPr>
              <w:jc w:val="both"/>
              <w:rPr>
                <w:rFonts w:ascii="Times New Roman" w:hAnsi="Times New Roman" w:cs="Times New Roman"/>
                <w:b/>
              </w:rPr>
            </w:pPr>
            <w:r>
              <w:rPr>
                <w:rFonts w:ascii="Times New Roman" w:hAnsi="Times New Roman" w:cs="Times New Roman"/>
                <w:b/>
              </w:rPr>
              <w:t>Anahtar Kelime</w:t>
            </w:r>
          </w:p>
        </w:tc>
        <w:tc>
          <w:tcPr>
            <w:tcW w:w="960" w:type="dxa"/>
            <w:tcBorders>
              <w:top w:val="single" w:sz="4" w:space="0" w:color="auto"/>
              <w:left w:val="single" w:sz="4" w:space="0" w:color="auto"/>
              <w:bottom w:val="single" w:sz="4" w:space="0" w:color="auto"/>
              <w:right w:val="single" w:sz="4" w:space="0" w:color="auto"/>
            </w:tcBorders>
            <w:noWrap/>
            <w:hideMark/>
          </w:tcPr>
          <w:p w14:paraId="2AE23564" w14:textId="77777777" w:rsidR="001E7189" w:rsidRDefault="001E7189" w:rsidP="003B45CB">
            <w:pPr>
              <w:jc w:val="both"/>
              <w:rPr>
                <w:rFonts w:ascii="Times New Roman" w:hAnsi="Times New Roman" w:cs="Times New Roman"/>
                <w:b/>
              </w:rPr>
            </w:pPr>
            <w:r>
              <w:rPr>
                <w:rFonts w:ascii="Times New Roman" w:hAnsi="Times New Roman" w:cs="Times New Roman"/>
                <w:b/>
              </w:rPr>
              <w:t>Yüzde</w:t>
            </w:r>
          </w:p>
        </w:tc>
      </w:tr>
      <w:tr w:rsidR="001E7189" w14:paraId="429656D5"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4DA7FEAE" w14:textId="2E186610" w:rsidR="001E7189" w:rsidRDefault="001E7189" w:rsidP="003B45CB">
            <w:pPr>
              <w:jc w:val="both"/>
              <w:rPr>
                <w:rFonts w:ascii="Times New Roman" w:hAnsi="Times New Roman" w:cs="Times New Roman"/>
              </w:rPr>
            </w:pPr>
            <w:r>
              <w:rPr>
                <w:rFonts w:ascii="Times New Roman" w:hAnsi="Times New Roman" w:cs="Times New Roman"/>
              </w:rPr>
              <w:t>Finansal başarısızlık</w:t>
            </w:r>
          </w:p>
        </w:tc>
        <w:tc>
          <w:tcPr>
            <w:tcW w:w="960" w:type="dxa"/>
            <w:tcBorders>
              <w:top w:val="single" w:sz="4" w:space="0" w:color="auto"/>
              <w:left w:val="single" w:sz="4" w:space="0" w:color="auto"/>
              <w:bottom w:val="single" w:sz="4" w:space="0" w:color="auto"/>
              <w:right w:val="single" w:sz="4" w:space="0" w:color="auto"/>
            </w:tcBorders>
            <w:noWrap/>
            <w:hideMark/>
          </w:tcPr>
          <w:p w14:paraId="40E23EF7" w14:textId="77777777" w:rsidR="001E7189" w:rsidRDefault="001E7189" w:rsidP="003B45CB">
            <w:pPr>
              <w:jc w:val="right"/>
              <w:rPr>
                <w:rFonts w:ascii="Times New Roman" w:hAnsi="Times New Roman" w:cs="Times New Roman"/>
              </w:rPr>
            </w:pPr>
            <w:r>
              <w:rPr>
                <w:rFonts w:ascii="Times New Roman" w:hAnsi="Times New Roman" w:cs="Times New Roman"/>
              </w:rPr>
              <w:t>18,00</w:t>
            </w:r>
          </w:p>
        </w:tc>
      </w:tr>
      <w:tr w:rsidR="001E7189" w14:paraId="598FFAFB"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1C8DFFB3" w14:textId="791052BE" w:rsidR="001E7189" w:rsidRDefault="001E7189" w:rsidP="003B45CB">
            <w:pPr>
              <w:jc w:val="both"/>
              <w:rPr>
                <w:rFonts w:ascii="Times New Roman" w:hAnsi="Times New Roman" w:cs="Times New Roman"/>
              </w:rPr>
            </w:pPr>
            <w:proofErr w:type="spellStart"/>
            <w:r>
              <w:rPr>
                <w:rFonts w:ascii="Times New Roman" w:hAnsi="Times New Roman" w:cs="Times New Roman"/>
              </w:rPr>
              <w:t>Altman</w:t>
            </w:r>
            <w:proofErr w:type="spellEnd"/>
            <w:r>
              <w:rPr>
                <w:rFonts w:ascii="Times New Roman" w:hAnsi="Times New Roman" w:cs="Times New Roman"/>
              </w:rPr>
              <w:t xml:space="preserve"> / </w:t>
            </w:r>
            <w:proofErr w:type="spellStart"/>
            <w:r>
              <w:rPr>
                <w:rFonts w:ascii="Times New Roman" w:hAnsi="Times New Roman" w:cs="Times New Roman"/>
              </w:rPr>
              <w:t>Altman</w:t>
            </w:r>
            <w:proofErr w:type="spellEnd"/>
            <w:r>
              <w:rPr>
                <w:rFonts w:ascii="Times New Roman" w:hAnsi="Times New Roman" w:cs="Times New Roman"/>
              </w:rPr>
              <w:t xml:space="preserve"> z skor(</w:t>
            </w:r>
            <w:proofErr w:type="spellStart"/>
            <w:r>
              <w:rPr>
                <w:rFonts w:ascii="Times New Roman" w:hAnsi="Times New Roman" w:cs="Times New Roman"/>
              </w:rPr>
              <w:t>ları</w:t>
            </w:r>
            <w:proofErr w:type="spellEnd"/>
            <w:r>
              <w:rPr>
                <w:rFonts w:ascii="Times New Roman" w:hAnsi="Times New Roman" w:cs="Times New Roman"/>
              </w:rPr>
              <w:t>)/modeli/analizi</w:t>
            </w:r>
          </w:p>
        </w:tc>
        <w:tc>
          <w:tcPr>
            <w:tcW w:w="960" w:type="dxa"/>
            <w:tcBorders>
              <w:top w:val="single" w:sz="4" w:space="0" w:color="auto"/>
              <w:left w:val="single" w:sz="4" w:space="0" w:color="auto"/>
              <w:bottom w:val="single" w:sz="4" w:space="0" w:color="auto"/>
              <w:right w:val="single" w:sz="4" w:space="0" w:color="auto"/>
            </w:tcBorders>
            <w:noWrap/>
            <w:hideMark/>
          </w:tcPr>
          <w:p w14:paraId="0E973319" w14:textId="77777777" w:rsidR="001E7189" w:rsidRDefault="001E7189" w:rsidP="003B45CB">
            <w:pPr>
              <w:jc w:val="right"/>
              <w:rPr>
                <w:rFonts w:ascii="Times New Roman" w:hAnsi="Times New Roman" w:cs="Times New Roman"/>
              </w:rPr>
            </w:pPr>
            <w:r>
              <w:rPr>
                <w:rFonts w:ascii="Times New Roman" w:hAnsi="Times New Roman" w:cs="Times New Roman"/>
              </w:rPr>
              <w:t>6,00</w:t>
            </w:r>
          </w:p>
        </w:tc>
      </w:tr>
      <w:tr w:rsidR="001E7189" w14:paraId="347BC73F"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039C522B" w14:textId="0243488D" w:rsidR="001E7189" w:rsidRDefault="001E7189" w:rsidP="003B45CB">
            <w:pPr>
              <w:jc w:val="both"/>
              <w:rPr>
                <w:rFonts w:ascii="Times New Roman" w:hAnsi="Times New Roman" w:cs="Times New Roman"/>
              </w:rPr>
            </w:pPr>
            <w:r>
              <w:rPr>
                <w:rFonts w:ascii="Times New Roman" w:hAnsi="Times New Roman" w:cs="Times New Roman"/>
              </w:rPr>
              <w:t>BIST / Borsa İstanbul</w:t>
            </w:r>
          </w:p>
        </w:tc>
        <w:tc>
          <w:tcPr>
            <w:tcW w:w="960" w:type="dxa"/>
            <w:tcBorders>
              <w:top w:val="single" w:sz="4" w:space="0" w:color="auto"/>
              <w:left w:val="single" w:sz="4" w:space="0" w:color="auto"/>
              <w:bottom w:val="single" w:sz="4" w:space="0" w:color="auto"/>
              <w:right w:val="single" w:sz="4" w:space="0" w:color="auto"/>
            </w:tcBorders>
            <w:noWrap/>
            <w:hideMark/>
          </w:tcPr>
          <w:p w14:paraId="1F08ED13" w14:textId="77777777" w:rsidR="001E7189" w:rsidRDefault="001E7189" w:rsidP="003B45CB">
            <w:pPr>
              <w:jc w:val="right"/>
              <w:rPr>
                <w:rFonts w:ascii="Times New Roman" w:hAnsi="Times New Roman" w:cs="Times New Roman"/>
              </w:rPr>
            </w:pPr>
            <w:r>
              <w:rPr>
                <w:rFonts w:ascii="Times New Roman" w:hAnsi="Times New Roman" w:cs="Times New Roman"/>
              </w:rPr>
              <w:t>5,20</w:t>
            </w:r>
          </w:p>
        </w:tc>
      </w:tr>
      <w:tr w:rsidR="001E7189" w14:paraId="237BDA26"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0B979175" w14:textId="6A42F0B5" w:rsidR="001E7189" w:rsidRDefault="001E7189" w:rsidP="003B45CB">
            <w:pPr>
              <w:jc w:val="both"/>
              <w:rPr>
                <w:rFonts w:ascii="Times New Roman" w:hAnsi="Times New Roman" w:cs="Times New Roman"/>
              </w:rPr>
            </w:pPr>
            <w:r>
              <w:rPr>
                <w:rFonts w:ascii="Times New Roman" w:hAnsi="Times New Roman" w:cs="Times New Roman"/>
              </w:rPr>
              <w:t>Lojistik regresyon analizi/modeli</w:t>
            </w:r>
          </w:p>
        </w:tc>
        <w:tc>
          <w:tcPr>
            <w:tcW w:w="960" w:type="dxa"/>
            <w:tcBorders>
              <w:top w:val="single" w:sz="4" w:space="0" w:color="auto"/>
              <w:left w:val="single" w:sz="4" w:space="0" w:color="auto"/>
              <w:bottom w:val="single" w:sz="4" w:space="0" w:color="auto"/>
              <w:right w:val="single" w:sz="4" w:space="0" w:color="auto"/>
            </w:tcBorders>
            <w:noWrap/>
            <w:hideMark/>
          </w:tcPr>
          <w:p w14:paraId="50B3F99D" w14:textId="77777777" w:rsidR="001E7189" w:rsidRDefault="001E7189" w:rsidP="003B45CB">
            <w:pPr>
              <w:jc w:val="right"/>
              <w:rPr>
                <w:rFonts w:ascii="Times New Roman" w:hAnsi="Times New Roman" w:cs="Times New Roman"/>
              </w:rPr>
            </w:pPr>
            <w:r>
              <w:rPr>
                <w:rFonts w:ascii="Times New Roman" w:hAnsi="Times New Roman" w:cs="Times New Roman"/>
              </w:rPr>
              <w:t>2,60</w:t>
            </w:r>
          </w:p>
        </w:tc>
      </w:tr>
      <w:tr w:rsidR="001E7189" w14:paraId="4A4D4488"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616C9CAC" w14:textId="25194565" w:rsidR="001E7189" w:rsidRDefault="001E7189" w:rsidP="003B45CB">
            <w:pPr>
              <w:jc w:val="both"/>
              <w:rPr>
                <w:rFonts w:ascii="Times New Roman" w:hAnsi="Times New Roman" w:cs="Times New Roman"/>
              </w:rPr>
            </w:pPr>
            <w:r>
              <w:rPr>
                <w:rFonts w:ascii="Times New Roman" w:hAnsi="Times New Roman" w:cs="Times New Roman"/>
              </w:rPr>
              <w:t>Başarısızlık</w:t>
            </w:r>
          </w:p>
        </w:tc>
        <w:tc>
          <w:tcPr>
            <w:tcW w:w="960" w:type="dxa"/>
            <w:tcBorders>
              <w:top w:val="single" w:sz="4" w:space="0" w:color="auto"/>
              <w:left w:val="single" w:sz="4" w:space="0" w:color="auto"/>
              <w:bottom w:val="single" w:sz="4" w:space="0" w:color="auto"/>
              <w:right w:val="single" w:sz="4" w:space="0" w:color="auto"/>
            </w:tcBorders>
            <w:noWrap/>
            <w:hideMark/>
          </w:tcPr>
          <w:p w14:paraId="1EC36D85" w14:textId="77777777" w:rsidR="001E7189" w:rsidRDefault="001E7189" w:rsidP="003B45CB">
            <w:pPr>
              <w:jc w:val="right"/>
              <w:rPr>
                <w:rFonts w:ascii="Times New Roman" w:hAnsi="Times New Roman" w:cs="Times New Roman"/>
              </w:rPr>
            </w:pPr>
            <w:r>
              <w:rPr>
                <w:rFonts w:ascii="Times New Roman" w:hAnsi="Times New Roman" w:cs="Times New Roman"/>
              </w:rPr>
              <w:t>2,20</w:t>
            </w:r>
          </w:p>
        </w:tc>
      </w:tr>
      <w:tr w:rsidR="001E7189" w14:paraId="45AFB3ED"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114AFE9C" w14:textId="558804EA" w:rsidR="001E7189" w:rsidRDefault="001E7189" w:rsidP="003B45CB">
            <w:pPr>
              <w:jc w:val="both"/>
              <w:rPr>
                <w:rFonts w:ascii="Times New Roman" w:hAnsi="Times New Roman" w:cs="Times New Roman"/>
              </w:rPr>
            </w:pPr>
            <w:r>
              <w:rPr>
                <w:rFonts w:ascii="Times New Roman" w:hAnsi="Times New Roman" w:cs="Times New Roman"/>
              </w:rPr>
              <w:t>Finansal oran/oranlar</w:t>
            </w:r>
          </w:p>
        </w:tc>
        <w:tc>
          <w:tcPr>
            <w:tcW w:w="960" w:type="dxa"/>
            <w:tcBorders>
              <w:top w:val="single" w:sz="4" w:space="0" w:color="auto"/>
              <w:left w:val="single" w:sz="4" w:space="0" w:color="auto"/>
              <w:bottom w:val="single" w:sz="4" w:space="0" w:color="auto"/>
              <w:right w:val="single" w:sz="4" w:space="0" w:color="auto"/>
            </w:tcBorders>
            <w:noWrap/>
            <w:hideMark/>
          </w:tcPr>
          <w:p w14:paraId="05165B0D" w14:textId="77777777" w:rsidR="001E7189" w:rsidRDefault="001E7189" w:rsidP="003B45CB">
            <w:pPr>
              <w:jc w:val="right"/>
              <w:rPr>
                <w:rFonts w:ascii="Times New Roman" w:hAnsi="Times New Roman" w:cs="Times New Roman"/>
              </w:rPr>
            </w:pPr>
            <w:r>
              <w:rPr>
                <w:rFonts w:ascii="Times New Roman" w:hAnsi="Times New Roman" w:cs="Times New Roman"/>
              </w:rPr>
              <w:t>2,20</w:t>
            </w:r>
          </w:p>
        </w:tc>
      </w:tr>
      <w:tr w:rsidR="001E7189" w14:paraId="7D234A26"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00965967" w14:textId="5E315AF3" w:rsidR="001E7189" w:rsidRDefault="001E7189" w:rsidP="003B45CB">
            <w:pPr>
              <w:jc w:val="both"/>
              <w:rPr>
                <w:rFonts w:ascii="Times New Roman" w:hAnsi="Times New Roman" w:cs="Times New Roman"/>
              </w:rPr>
            </w:pPr>
            <w:r>
              <w:rPr>
                <w:rFonts w:ascii="Times New Roman" w:hAnsi="Times New Roman" w:cs="Times New Roman"/>
              </w:rPr>
              <w:t>Finansal başarı</w:t>
            </w:r>
          </w:p>
        </w:tc>
        <w:tc>
          <w:tcPr>
            <w:tcW w:w="960" w:type="dxa"/>
            <w:tcBorders>
              <w:top w:val="single" w:sz="4" w:space="0" w:color="auto"/>
              <w:left w:val="single" w:sz="4" w:space="0" w:color="auto"/>
              <w:bottom w:val="single" w:sz="4" w:space="0" w:color="auto"/>
              <w:right w:val="single" w:sz="4" w:space="0" w:color="auto"/>
            </w:tcBorders>
            <w:noWrap/>
            <w:hideMark/>
          </w:tcPr>
          <w:p w14:paraId="22F070C7" w14:textId="77777777" w:rsidR="001E7189" w:rsidRDefault="001E7189" w:rsidP="003B45CB">
            <w:pPr>
              <w:jc w:val="right"/>
              <w:rPr>
                <w:rFonts w:ascii="Times New Roman" w:hAnsi="Times New Roman" w:cs="Times New Roman"/>
              </w:rPr>
            </w:pPr>
            <w:r>
              <w:rPr>
                <w:rFonts w:ascii="Times New Roman" w:hAnsi="Times New Roman" w:cs="Times New Roman"/>
              </w:rPr>
              <w:t>1,90</w:t>
            </w:r>
          </w:p>
        </w:tc>
      </w:tr>
      <w:tr w:rsidR="001E7189" w14:paraId="778D55C0"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4DE08090" w14:textId="267B033B" w:rsidR="001E7189" w:rsidRDefault="001E7189" w:rsidP="003B45CB">
            <w:pPr>
              <w:jc w:val="both"/>
              <w:rPr>
                <w:rFonts w:ascii="Times New Roman" w:hAnsi="Times New Roman" w:cs="Times New Roman"/>
              </w:rPr>
            </w:pPr>
            <w:r>
              <w:rPr>
                <w:rFonts w:ascii="Times New Roman" w:hAnsi="Times New Roman" w:cs="Times New Roman"/>
              </w:rPr>
              <w:t>Hisse senetleri</w:t>
            </w:r>
          </w:p>
        </w:tc>
        <w:tc>
          <w:tcPr>
            <w:tcW w:w="960" w:type="dxa"/>
            <w:tcBorders>
              <w:top w:val="single" w:sz="4" w:space="0" w:color="auto"/>
              <w:left w:val="single" w:sz="4" w:space="0" w:color="auto"/>
              <w:bottom w:val="single" w:sz="4" w:space="0" w:color="auto"/>
              <w:right w:val="single" w:sz="4" w:space="0" w:color="auto"/>
            </w:tcBorders>
            <w:noWrap/>
            <w:hideMark/>
          </w:tcPr>
          <w:p w14:paraId="38B0F3FF" w14:textId="77777777" w:rsidR="001E7189" w:rsidRDefault="001E7189" w:rsidP="003B45CB">
            <w:pPr>
              <w:jc w:val="right"/>
              <w:rPr>
                <w:rFonts w:ascii="Times New Roman" w:hAnsi="Times New Roman" w:cs="Times New Roman"/>
              </w:rPr>
            </w:pPr>
            <w:r>
              <w:rPr>
                <w:rFonts w:ascii="Times New Roman" w:hAnsi="Times New Roman" w:cs="Times New Roman"/>
              </w:rPr>
              <w:t>1,90</w:t>
            </w:r>
          </w:p>
        </w:tc>
      </w:tr>
      <w:tr w:rsidR="001E7189" w14:paraId="1DFCEC31"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041F97F8" w14:textId="5837B7F0" w:rsidR="001E7189" w:rsidRDefault="001E7189" w:rsidP="003B45CB">
            <w:pPr>
              <w:jc w:val="both"/>
              <w:rPr>
                <w:rFonts w:ascii="Times New Roman" w:hAnsi="Times New Roman" w:cs="Times New Roman"/>
              </w:rPr>
            </w:pPr>
            <w:r>
              <w:rPr>
                <w:rFonts w:ascii="Times New Roman" w:hAnsi="Times New Roman" w:cs="Times New Roman"/>
              </w:rPr>
              <w:t>Veri madenciliği</w:t>
            </w:r>
          </w:p>
        </w:tc>
        <w:tc>
          <w:tcPr>
            <w:tcW w:w="960" w:type="dxa"/>
            <w:tcBorders>
              <w:top w:val="single" w:sz="4" w:space="0" w:color="auto"/>
              <w:left w:val="single" w:sz="4" w:space="0" w:color="auto"/>
              <w:bottom w:val="single" w:sz="4" w:space="0" w:color="auto"/>
              <w:right w:val="single" w:sz="4" w:space="0" w:color="auto"/>
            </w:tcBorders>
            <w:noWrap/>
            <w:hideMark/>
          </w:tcPr>
          <w:p w14:paraId="4B15CA41" w14:textId="77777777" w:rsidR="001E7189" w:rsidRDefault="001E7189" w:rsidP="003B45CB">
            <w:pPr>
              <w:jc w:val="right"/>
              <w:rPr>
                <w:rFonts w:ascii="Times New Roman" w:hAnsi="Times New Roman" w:cs="Times New Roman"/>
              </w:rPr>
            </w:pPr>
            <w:r>
              <w:rPr>
                <w:rFonts w:ascii="Times New Roman" w:hAnsi="Times New Roman" w:cs="Times New Roman"/>
              </w:rPr>
              <w:t>1,50</w:t>
            </w:r>
          </w:p>
        </w:tc>
      </w:tr>
      <w:tr w:rsidR="001E7189" w14:paraId="51D946FA"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0AFDDFB5" w14:textId="6C98534B" w:rsidR="001E7189" w:rsidRDefault="001E7189" w:rsidP="003B45CB">
            <w:pPr>
              <w:jc w:val="both"/>
              <w:rPr>
                <w:rFonts w:ascii="Times New Roman" w:hAnsi="Times New Roman" w:cs="Times New Roman"/>
              </w:rPr>
            </w:pPr>
            <w:r>
              <w:rPr>
                <w:rFonts w:ascii="Times New Roman" w:hAnsi="Times New Roman" w:cs="Times New Roman"/>
              </w:rPr>
              <w:t>Yapay sinir ağları</w:t>
            </w:r>
          </w:p>
        </w:tc>
        <w:tc>
          <w:tcPr>
            <w:tcW w:w="960" w:type="dxa"/>
            <w:tcBorders>
              <w:top w:val="single" w:sz="4" w:space="0" w:color="auto"/>
              <w:left w:val="single" w:sz="4" w:space="0" w:color="auto"/>
              <w:bottom w:val="single" w:sz="4" w:space="0" w:color="auto"/>
              <w:right w:val="single" w:sz="4" w:space="0" w:color="auto"/>
            </w:tcBorders>
            <w:noWrap/>
            <w:hideMark/>
          </w:tcPr>
          <w:p w14:paraId="487BD64E" w14:textId="77777777" w:rsidR="001E7189" w:rsidRDefault="001E7189" w:rsidP="003B45CB">
            <w:pPr>
              <w:jc w:val="right"/>
              <w:rPr>
                <w:rFonts w:ascii="Times New Roman" w:hAnsi="Times New Roman" w:cs="Times New Roman"/>
              </w:rPr>
            </w:pPr>
            <w:r>
              <w:rPr>
                <w:rFonts w:ascii="Times New Roman" w:hAnsi="Times New Roman" w:cs="Times New Roman"/>
              </w:rPr>
              <w:t>1,50</w:t>
            </w:r>
          </w:p>
        </w:tc>
      </w:tr>
      <w:tr w:rsidR="001E7189" w14:paraId="1420C93D"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1784BA17" w14:textId="2AC04DAC" w:rsidR="001E7189" w:rsidRDefault="001E7189" w:rsidP="003B45CB">
            <w:pPr>
              <w:jc w:val="both"/>
              <w:rPr>
                <w:rFonts w:ascii="Times New Roman" w:hAnsi="Times New Roman" w:cs="Times New Roman"/>
              </w:rPr>
            </w:pPr>
            <w:r>
              <w:rPr>
                <w:rFonts w:ascii="Times New Roman" w:hAnsi="Times New Roman" w:cs="Times New Roman"/>
              </w:rPr>
              <w:t>Panel veri analizi/modelleri</w:t>
            </w:r>
          </w:p>
        </w:tc>
        <w:tc>
          <w:tcPr>
            <w:tcW w:w="960" w:type="dxa"/>
            <w:tcBorders>
              <w:top w:val="single" w:sz="4" w:space="0" w:color="auto"/>
              <w:left w:val="single" w:sz="4" w:space="0" w:color="auto"/>
              <w:bottom w:val="single" w:sz="4" w:space="0" w:color="auto"/>
              <w:right w:val="single" w:sz="4" w:space="0" w:color="auto"/>
            </w:tcBorders>
            <w:noWrap/>
            <w:hideMark/>
          </w:tcPr>
          <w:p w14:paraId="59E3D2F4" w14:textId="77777777" w:rsidR="001E7189" w:rsidRDefault="001E7189" w:rsidP="003B45CB">
            <w:pPr>
              <w:jc w:val="right"/>
              <w:rPr>
                <w:rFonts w:ascii="Times New Roman" w:hAnsi="Times New Roman" w:cs="Times New Roman"/>
              </w:rPr>
            </w:pPr>
            <w:r>
              <w:rPr>
                <w:rFonts w:ascii="Times New Roman" w:hAnsi="Times New Roman" w:cs="Times New Roman"/>
              </w:rPr>
              <w:t>1,50</w:t>
            </w:r>
          </w:p>
        </w:tc>
      </w:tr>
      <w:tr w:rsidR="001E7189" w14:paraId="5EC4A22B"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48D4E088" w14:textId="2E7088D7" w:rsidR="001E7189" w:rsidRDefault="001E7189" w:rsidP="003B45CB">
            <w:pPr>
              <w:jc w:val="both"/>
              <w:rPr>
                <w:rFonts w:ascii="Times New Roman" w:hAnsi="Times New Roman" w:cs="Times New Roman"/>
              </w:rPr>
            </w:pPr>
            <w:proofErr w:type="spellStart"/>
            <w:r>
              <w:rPr>
                <w:rFonts w:ascii="Times New Roman" w:hAnsi="Times New Roman" w:cs="Times New Roman"/>
              </w:rPr>
              <w:t>Diskriminant</w:t>
            </w:r>
            <w:proofErr w:type="spellEnd"/>
            <w:r>
              <w:rPr>
                <w:rFonts w:ascii="Times New Roman" w:hAnsi="Times New Roman" w:cs="Times New Roman"/>
              </w:rPr>
              <w:t xml:space="preserve"> analizi</w:t>
            </w:r>
          </w:p>
        </w:tc>
        <w:tc>
          <w:tcPr>
            <w:tcW w:w="960" w:type="dxa"/>
            <w:tcBorders>
              <w:top w:val="single" w:sz="4" w:space="0" w:color="auto"/>
              <w:left w:val="single" w:sz="4" w:space="0" w:color="auto"/>
              <w:bottom w:val="single" w:sz="4" w:space="0" w:color="auto"/>
              <w:right w:val="single" w:sz="4" w:space="0" w:color="auto"/>
            </w:tcBorders>
            <w:noWrap/>
            <w:hideMark/>
          </w:tcPr>
          <w:p w14:paraId="29B6A42A" w14:textId="77777777" w:rsidR="001E7189" w:rsidRDefault="001E7189" w:rsidP="003B45CB">
            <w:pPr>
              <w:jc w:val="right"/>
              <w:rPr>
                <w:rFonts w:ascii="Times New Roman" w:hAnsi="Times New Roman" w:cs="Times New Roman"/>
              </w:rPr>
            </w:pPr>
            <w:r>
              <w:rPr>
                <w:rFonts w:ascii="Times New Roman" w:hAnsi="Times New Roman" w:cs="Times New Roman"/>
              </w:rPr>
              <w:t>1,10</w:t>
            </w:r>
          </w:p>
        </w:tc>
      </w:tr>
      <w:tr w:rsidR="001E7189" w14:paraId="2B03830B"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388E2D54" w14:textId="2E3E7347" w:rsidR="001E7189" w:rsidRDefault="001E7189" w:rsidP="003B45CB">
            <w:pPr>
              <w:jc w:val="both"/>
              <w:rPr>
                <w:rFonts w:ascii="Times New Roman" w:hAnsi="Times New Roman" w:cs="Times New Roman"/>
              </w:rPr>
            </w:pPr>
            <w:r>
              <w:rPr>
                <w:rFonts w:ascii="Times New Roman" w:hAnsi="Times New Roman" w:cs="Times New Roman"/>
              </w:rPr>
              <w:t>Kobi</w:t>
            </w:r>
          </w:p>
        </w:tc>
        <w:tc>
          <w:tcPr>
            <w:tcW w:w="960" w:type="dxa"/>
            <w:tcBorders>
              <w:top w:val="single" w:sz="4" w:space="0" w:color="auto"/>
              <w:left w:val="single" w:sz="4" w:space="0" w:color="auto"/>
              <w:bottom w:val="single" w:sz="4" w:space="0" w:color="auto"/>
              <w:right w:val="single" w:sz="4" w:space="0" w:color="auto"/>
            </w:tcBorders>
            <w:noWrap/>
            <w:hideMark/>
          </w:tcPr>
          <w:p w14:paraId="416DC3F6" w14:textId="77777777" w:rsidR="001E7189" w:rsidRDefault="001E7189" w:rsidP="003B45CB">
            <w:pPr>
              <w:jc w:val="right"/>
              <w:rPr>
                <w:rFonts w:ascii="Times New Roman" w:hAnsi="Times New Roman" w:cs="Times New Roman"/>
              </w:rPr>
            </w:pPr>
            <w:r>
              <w:rPr>
                <w:rFonts w:ascii="Times New Roman" w:hAnsi="Times New Roman" w:cs="Times New Roman"/>
              </w:rPr>
              <w:t>1,10</w:t>
            </w:r>
          </w:p>
        </w:tc>
      </w:tr>
      <w:tr w:rsidR="001E7189" w14:paraId="3A9CBC6C"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40C70C32" w14:textId="2CD93619" w:rsidR="001E7189" w:rsidRDefault="001E7189" w:rsidP="003B45CB">
            <w:pPr>
              <w:jc w:val="both"/>
              <w:rPr>
                <w:rFonts w:ascii="Times New Roman" w:hAnsi="Times New Roman" w:cs="Times New Roman"/>
              </w:rPr>
            </w:pPr>
            <w:r>
              <w:rPr>
                <w:rFonts w:ascii="Times New Roman" w:hAnsi="Times New Roman" w:cs="Times New Roman"/>
              </w:rPr>
              <w:t>Konaklama işletmeleri</w:t>
            </w:r>
          </w:p>
        </w:tc>
        <w:tc>
          <w:tcPr>
            <w:tcW w:w="960" w:type="dxa"/>
            <w:tcBorders>
              <w:top w:val="single" w:sz="4" w:space="0" w:color="auto"/>
              <w:left w:val="single" w:sz="4" w:space="0" w:color="auto"/>
              <w:bottom w:val="single" w:sz="4" w:space="0" w:color="auto"/>
              <w:right w:val="single" w:sz="4" w:space="0" w:color="auto"/>
            </w:tcBorders>
            <w:noWrap/>
            <w:hideMark/>
          </w:tcPr>
          <w:p w14:paraId="2F2BB3C8" w14:textId="77777777" w:rsidR="001E7189" w:rsidRDefault="001E7189" w:rsidP="003B45CB">
            <w:pPr>
              <w:jc w:val="right"/>
              <w:rPr>
                <w:rFonts w:ascii="Times New Roman" w:hAnsi="Times New Roman" w:cs="Times New Roman"/>
              </w:rPr>
            </w:pPr>
            <w:r>
              <w:rPr>
                <w:rFonts w:ascii="Times New Roman" w:hAnsi="Times New Roman" w:cs="Times New Roman"/>
              </w:rPr>
              <w:t>1,10</w:t>
            </w:r>
          </w:p>
        </w:tc>
      </w:tr>
      <w:tr w:rsidR="001E7189" w14:paraId="3D2C2468"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29F560FD" w14:textId="23FD259D" w:rsidR="001E7189" w:rsidRDefault="001E7189" w:rsidP="003B45CB">
            <w:pPr>
              <w:jc w:val="both"/>
              <w:rPr>
                <w:rFonts w:ascii="Times New Roman" w:hAnsi="Times New Roman" w:cs="Times New Roman"/>
              </w:rPr>
            </w:pPr>
            <w:r>
              <w:rPr>
                <w:rFonts w:ascii="Times New Roman" w:hAnsi="Times New Roman" w:cs="Times New Roman"/>
              </w:rPr>
              <w:t>Karar ağacı/ağaçları</w:t>
            </w:r>
          </w:p>
        </w:tc>
        <w:tc>
          <w:tcPr>
            <w:tcW w:w="960" w:type="dxa"/>
            <w:tcBorders>
              <w:top w:val="single" w:sz="4" w:space="0" w:color="auto"/>
              <w:left w:val="single" w:sz="4" w:space="0" w:color="auto"/>
              <w:bottom w:val="single" w:sz="4" w:space="0" w:color="auto"/>
              <w:right w:val="single" w:sz="4" w:space="0" w:color="auto"/>
            </w:tcBorders>
            <w:noWrap/>
            <w:hideMark/>
          </w:tcPr>
          <w:p w14:paraId="45969703" w14:textId="77777777" w:rsidR="001E7189" w:rsidRDefault="001E7189" w:rsidP="003B45CB">
            <w:pPr>
              <w:jc w:val="right"/>
              <w:rPr>
                <w:rFonts w:ascii="Times New Roman" w:hAnsi="Times New Roman" w:cs="Times New Roman"/>
              </w:rPr>
            </w:pPr>
            <w:r>
              <w:rPr>
                <w:rFonts w:ascii="Times New Roman" w:hAnsi="Times New Roman" w:cs="Times New Roman"/>
              </w:rPr>
              <w:t>1,10</w:t>
            </w:r>
          </w:p>
        </w:tc>
      </w:tr>
      <w:tr w:rsidR="001E7189" w14:paraId="7D6339B7" w14:textId="77777777" w:rsidTr="001E7189">
        <w:trPr>
          <w:trHeight w:val="288"/>
        </w:trPr>
        <w:tc>
          <w:tcPr>
            <w:tcW w:w="4582" w:type="dxa"/>
            <w:tcBorders>
              <w:top w:val="single" w:sz="4" w:space="0" w:color="auto"/>
              <w:left w:val="single" w:sz="4" w:space="0" w:color="auto"/>
              <w:bottom w:val="single" w:sz="4" w:space="0" w:color="auto"/>
              <w:right w:val="single" w:sz="4" w:space="0" w:color="auto"/>
            </w:tcBorders>
            <w:noWrap/>
            <w:hideMark/>
          </w:tcPr>
          <w:p w14:paraId="617D8D36" w14:textId="4198CB48" w:rsidR="001E7189" w:rsidRDefault="001E7189" w:rsidP="003B45CB">
            <w:pPr>
              <w:jc w:val="both"/>
              <w:rPr>
                <w:rFonts w:ascii="Times New Roman" w:hAnsi="Times New Roman" w:cs="Times New Roman"/>
              </w:rPr>
            </w:pPr>
            <w:r>
              <w:rPr>
                <w:rFonts w:ascii="Times New Roman" w:hAnsi="Times New Roman" w:cs="Times New Roman"/>
              </w:rPr>
              <w:t>Finansal sıkıntı</w:t>
            </w:r>
          </w:p>
        </w:tc>
        <w:tc>
          <w:tcPr>
            <w:tcW w:w="960" w:type="dxa"/>
            <w:tcBorders>
              <w:top w:val="single" w:sz="4" w:space="0" w:color="auto"/>
              <w:left w:val="single" w:sz="4" w:space="0" w:color="auto"/>
              <w:bottom w:val="single" w:sz="4" w:space="0" w:color="auto"/>
              <w:right w:val="single" w:sz="4" w:space="0" w:color="auto"/>
            </w:tcBorders>
            <w:noWrap/>
            <w:hideMark/>
          </w:tcPr>
          <w:p w14:paraId="289F2BE2" w14:textId="77777777" w:rsidR="001E7189" w:rsidRDefault="001E7189" w:rsidP="003B45CB">
            <w:pPr>
              <w:jc w:val="right"/>
              <w:rPr>
                <w:rFonts w:ascii="Times New Roman" w:hAnsi="Times New Roman" w:cs="Times New Roman"/>
              </w:rPr>
            </w:pPr>
            <w:r>
              <w:rPr>
                <w:rFonts w:ascii="Times New Roman" w:hAnsi="Times New Roman" w:cs="Times New Roman"/>
              </w:rPr>
              <w:t>1,10</w:t>
            </w:r>
          </w:p>
        </w:tc>
      </w:tr>
    </w:tbl>
    <w:p w14:paraId="62AA1FA8" w14:textId="77777777" w:rsidR="001E7189" w:rsidRDefault="001E7189" w:rsidP="003B45CB">
      <w:pPr>
        <w:jc w:val="both"/>
        <w:rPr>
          <w:b/>
          <w:lang w:eastAsia="en-US"/>
        </w:rPr>
      </w:pPr>
    </w:p>
    <w:p w14:paraId="338D6BBD" w14:textId="77777777" w:rsidR="001E7189" w:rsidRPr="00714BC1" w:rsidRDefault="001E7189" w:rsidP="003B45CB">
      <w:pPr>
        <w:rPr>
          <w:b/>
          <w:bCs/>
        </w:rPr>
      </w:pPr>
      <w:r w:rsidRPr="00714BC1">
        <w:rPr>
          <w:b/>
          <w:bCs/>
        </w:rPr>
        <w:t>5. DEĞERLENDİRME VE SONUÇ</w:t>
      </w:r>
    </w:p>
    <w:p w14:paraId="536B073A" w14:textId="77777777" w:rsidR="001E7189" w:rsidRDefault="001E7189" w:rsidP="003B45CB">
      <w:pPr>
        <w:jc w:val="both"/>
      </w:pPr>
      <w:r>
        <w:t>Bu çalışmada, Türkiye’de 1990 yılından itibaren finansal başarısızlık üzerine kabul edilmiş olan lisansüstü tez çalışmalarının sistematik olarak incelenerek, literatürde konuyla ilgili mevcut görünümü ortaya koymak ve geliştirilmeye açık olan noktaları tespit etmek amaçlanmıştır. Böylece araştırmanın gelecek çalışmalara ışık tutması beklenmektedir.</w:t>
      </w:r>
    </w:p>
    <w:p w14:paraId="4C01268B" w14:textId="77777777" w:rsidR="001E7189" w:rsidRDefault="001E7189" w:rsidP="003B45CB">
      <w:pPr>
        <w:jc w:val="both"/>
      </w:pPr>
      <w:r>
        <w:t>Araştırma kapsamında belirlenen kısıtlara göre toplam 104 lisansüstü tez çalışmasına ulaşılmıştır. Elde edilen bulgular aşağıdaki gibi özetlenebilir:</w:t>
      </w:r>
    </w:p>
    <w:p w14:paraId="7A19CADA" w14:textId="77777777" w:rsidR="003B45CB" w:rsidRDefault="003B45CB" w:rsidP="003B45CB">
      <w:pPr>
        <w:jc w:val="both"/>
      </w:pPr>
    </w:p>
    <w:p w14:paraId="6330809B" w14:textId="77777777" w:rsidR="001E7189" w:rsidRDefault="001E7189">
      <w:pPr>
        <w:pStyle w:val="ListeParagraf"/>
        <w:widowControl/>
        <w:numPr>
          <w:ilvl w:val="0"/>
          <w:numId w:val="15"/>
        </w:numPr>
        <w:autoSpaceDE/>
        <w:autoSpaceDN/>
        <w:ind w:left="426"/>
        <w:jc w:val="both"/>
      </w:pPr>
      <w:r>
        <w:t>Tezlerin %92,3’ü yerli öğrenciler tarafından hazırlanmış olup bunların tamamına yakını Türkçe dilindedir. Ayrıca çalışmaların %69,2 düzeyinde 101-249 sayfa aralığında hazırlanmış olması konuların kapsamlı bir şekilde ele alındığını göstermektedir.</w:t>
      </w:r>
    </w:p>
    <w:p w14:paraId="56C2998B" w14:textId="1DBB5B6E" w:rsidR="001E7189" w:rsidRDefault="001E7189">
      <w:pPr>
        <w:pStyle w:val="ListeParagraf"/>
        <w:widowControl/>
        <w:numPr>
          <w:ilvl w:val="0"/>
          <w:numId w:val="15"/>
        </w:numPr>
        <w:autoSpaceDE/>
        <w:autoSpaceDN/>
        <w:ind w:left="426"/>
        <w:jc w:val="both"/>
      </w:pPr>
      <w:r>
        <w:t>Konuyla ilgili çalışmaların %78,8’i sosyal bilimler enstitüleri bünyesinde, %62,5’i işletme ana bilim dalında ve %12,5’i de muhasebe finansman bilim dalında hazırlanmıştır.</w:t>
      </w:r>
    </w:p>
    <w:p w14:paraId="02893E2B" w14:textId="77777777" w:rsidR="001E7189" w:rsidRDefault="001E7189">
      <w:pPr>
        <w:pStyle w:val="ListeParagraf"/>
        <w:widowControl/>
        <w:numPr>
          <w:ilvl w:val="0"/>
          <w:numId w:val="15"/>
        </w:numPr>
        <w:autoSpaceDE/>
        <w:autoSpaceDN/>
        <w:ind w:left="426"/>
        <w:jc w:val="both"/>
      </w:pPr>
      <w:r>
        <w:t>Bu konu daha ziyade yüksek lisans düzeyinde (%67,3) ele alınmış ve başta profesör doktor (%41,3) olmak üzere doçent doktor (%35,6) unvanlı öğretim üyeleri danışmanlığında yönetilmiştir.</w:t>
      </w:r>
    </w:p>
    <w:p w14:paraId="6622B4D6" w14:textId="37AF4F5F" w:rsidR="001E7189" w:rsidRDefault="001E7189">
      <w:pPr>
        <w:pStyle w:val="ListeParagraf"/>
        <w:widowControl/>
        <w:numPr>
          <w:ilvl w:val="0"/>
          <w:numId w:val="15"/>
        </w:numPr>
        <w:autoSpaceDE/>
        <w:autoSpaceDN/>
        <w:ind w:left="426"/>
        <w:jc w:val="both"/>
      </w:pPr>
      <w:r>
        <w:t>Finansal başarısızlık konulu tezlerde öne çıkan üniversiteler ise Marmara Üniversitesi (%6,7) ve Dokuz Eylül Üniversitesi (4,8)’</w:t>
      </w:r>
      <w:proofErr w:type="spellStart"/>
      <w:r>
        <w:t>dir</w:t>
      </w:r>
      <w:proofErr w:type="spellEnd"/>
      <w:r>
        <w:t>.</w:t>
      </w:r>
    </w:p>
    <w:p w14:paraId="5C805EF1" w14:textId="77777777" w:rsidR="001E7189" w:rsidRDefault="001E7189">
      <w:pPr>
        <w:pStyle w:val="ListeParagraf"/>
        <w:widowControl/>
        <w:numPr>
          <w:ilvl w:val="0"/>
          <w:numId w:val="15"/>
        </w:numPr>
        <w:autoSpaceDE/>
        <w:autoSpaceDN/>
        <w:ind w:left="426"/>
        <w:jc w:val="both"/>
      </w:pPr>
      <w:r>
        <w:t>Konuya ilişkin ilk çalışmalar 1992 yılında başlamış olup 2018 yılı itibarıyla hızla artmaya başlamış ve en fazla 2022 yılında bu konuda 15 adet tez hazırlanmıştır.</w:t>
      </w:r>
    </w:p>
    <w:p w14:paraId="43C7354B" w14:textId="77777777" w:rsidR="001E7189" w:rsidRDefault="001E7189">
      <w:pPr>
        <w:pStyle w:val="ListeParagraf"/>
        <w:widowControl/>
        <w:numPr>
          <w:ilvl w:val="0"/>
          <w:numId w:val="15"/>
        </w:numPr>
        <w:autoSpaceDE/>
        <w:autoSpaceDN/>
        <w:ind w:left="426"/>
        <w:jc w:val="both"/>
      </w:pPr>
      <w:r>
        <w:t>Finansal başarısızlık konu tez çalışmalarında temel olarak benimsenen yaklaşım ampirik iken en çok finansal başarısızlığı tahmin etmeye yönelik (68,3) araştırmaların amaçlandığı en az ise finansal başarısızlık olgusunu kavramsal olarak incelemeyi amaçlayan (%1,9) çalışmaların olduğu tespit edilmiştir.</w:t>
      </w:r>
    </w:p>
    <w:p w14:paraId="4C544DBF" w14:textId="77777777" w:rsidR="001E7189" w:rsidRDefault="001E7189">
      <w:pPr>
        <w:pStyle w:val="ListeParagraf"/>
        <w:widowControl/>
        <w:numPr>
          <w:ilvl w:val="0"/>
          <w:numId w:val="15"/>
        </w:numPr>
        <w:autoSpaceDE/>
        <w:autoSpaceDN/>
        <w:ind w:left="426"/>
        <w:jc w:val="both"/>
      </w:pPr>
      <w:r>
        <w:t xml:space="preserve">Anahtar kelimeler bağlamında çalışmalar incelendiğinde ise en çok kullanılan terimler; finansal başarısızlık (%18,0), </w:t>
      </w:r>
      <w:proofErr w:type="spellStart"/>
      <w:r>
        <w:t>Altman</w:t>
      </w:r>
      <w:proofErr w:type="spellEnd"/>
      <w:r>
        <w:t xml:space="preserve"> / </w:t>
      </w:r>
      <w:proofErr w:type="spellStart"/>
      <w:r>
        <w:t>Altman</w:t>
      </w:r>
      <w:proofErr w:type="spellEnd"/>
      <w:r>
        <w:t xml:space="preserve"> Z-skor(</w:t>
      </w:r>
      <w:proofErr w:type="spellStart"/>
      <w:r>
        <w:t>ları</w:t>
      </w:r>
      <w:proofErr w:type="spellEnd"/>
      <w:r>
        <w:t xml:space="preserve">) /modeli/analizi (%6,0), BIST / </w:t>
      </w:r>
      <w:r>
        <w:lastRenderedPageBreak/>
        <w:t xml:space="preserve">Borsa İstanbul (%5,2), başarısızlık (%2,2), lojistik regresyon analizi/modeli (%2,6), finansal başarı (%1,9), finansal oran/oranlar (%2,2), hisse senetleri (%1,9), veri madenciliği (%1,5), yapay sinir ağları (%1,5), panel veri analizi/modelleri (%1,5), </w:t>
      </w:r>
      <w:proofErr w:type="spellStart"/>
      <w:r>
        <w:t>diskriminant</w:t>
      </w:r>
      <w:proofErr w:type="spellEnd"/>
      <w:r>
        <w:t xml:space="preserve"> analizi (%1,1), KOBİ (%1,1), konaklama işletmeleri (%1,1), karar ağacı/ağaçları (%1,1) ile finansal sıkıntı (%1,1) gibi terimler olmuştur.</w:t>
      </w:r>
    </w:p>
    <w:p w14:paraId="5EA8088C" w14:textId="77777777" w:rsidR="003B45CB" w:rsidRDefault="003B45CB" w:rsidP="003B45CB">
      <w:pPr>
        <w:pStyle w:val="ListeParagraf"/>
        <w:widowControl/>
        <w:autoSpaceDE/>
        <w:autoSpaceDN/>
        <w:ind w:left="426"/>
        <w:jc w:val="both"/>
      </w:pPr>
    </w:p>
    <w:p w14:paraId="59376783" w14:textId="77777777" w:rsidR="001E7189" w:rsidRDefault="001E7189" w:rsidP="003B45CB">
      <w:pPr>
        <w:jc w:val="both"/>
      </w:pPr>
      <w:r>
        <w:t xml:space="preserve">Elde edilen bulgulardan hareketle, finansal başarısızlık konusunun akademik çalışmalarda güncelliğini koruduğu hatta son dönemde daha yaygın bir şekilde ele alındığı anlaşılmaktadır. Bunda şüphesiz son dönemde ulusal, bölgesel ve küresel düzeyde yaşanan salgın, savaş ve kriz gibi hem toplumsal hem ekonomik olayların etkisi büyüktür. Gelecek araştırmalarda da daha ziyade, finansal başarısızlıkla ilişkili olabilecek unsurları ortaya koymayı amaçlayan veya çözüm önerileri geliştirilebilecek doktora düzeyinde çalışmalara odaklanılması literatüre anlamlı katkılar sağlayabilir. Ayrıca yaygın olarak kullanıldığı görülen </w:t>
      </w:r>
      <w:proofErr w:type="spellStart"/>
      <w:r>
        <w:t>Altman</w:t>
      </w:r>
      <w:proofErr w:type="spellEnd"/>
      <w:r>
        <w:t xml:space="preserve"> Z-skoru yerine diğer tahmin oranları da dikkate alınabilir veya karşılaştırmalı çalışmalar söz konusu olabilir. Son olarak çalışmaların uluslararası literatürde de görünürlüğünü artırmak amacıyla tez çalışmalarının veya bunlardan türetilen yayınların yabancı dilde hazırlanmasına ağırlık verilebilir.</w:t>
      </w:r>
    </w:p>
    <w:p w14:paraId="3D8ADF3C" w14:textId="77777777" w:rsidR="001E7189" w:rsidRDefault="001E7189" w:rsidP="003B45CB">
      <w:pPr>
        <w:jc w:val="both"/>
      </w:pPr>
    </w:p>
    <w:p w14:paraId="13A2E80D" w14:textId="77777777" w:rsidR="001E7189" w:rsidRPr="00714BC1" w:rsidRDefault="001E7189" w:rsidP="003B45CB">
      <w:pPr>
        <w:rPr>
          <w:b/>
          <w:bCs/>
        </w:rPr>
      </w:pPr>
      <w:r w:rsidRPr="00714BC1">
        <w:rPr>
          <w:b/>
          <w:bCs/>
        </w:rPr>
        <w:t>KAYNAKÇA</w:t>
      </w:r>
    </w:p>
    <w:p w14:paraId="6BACF9BC" w14:textId="77777777" w:rsidR="001E7189" w:rsidRDefault="001E7189">
      <w:pPr>
        <w:pStyle w:val="Default"/>
        <w:numPr>
          <w:ilvl w:val="0"/>
          <w:numId w:val="43"/>
        </w:numPr>
        <w:jc w:val="both"/>
      </w:pPr>
      <w:r>
        <w:t xml:space="preserve">Aker, Y. ve </w:t>
      </w:r>
      <w:proofErr w:type="spellStart"/>
      <w:r>
        <w:t>Karavardar</w:t>
      </w:r>
      <w:proofErr w:type="spellEnd"/>
      <w:r>
        <w:t xml:space="preserve">, A. (2021). </w:t>
      </w:r>
      <w:r>
        <w:rPr>
          <w:bCs/>
        </w:rPr>
        <w:t xml:space="preserve">Türkiye’deki Kobilerin Finansal Başarılı ve Başarısız Olma Durumlarının </w:t>
      </w:r>
      <w:proofErr w:type="spellStart"/>
      <w:r>
        <w:rPr>
          <w:bCs/>
        </w:rPr>
        <w:t>Altman</w:t>
      </w:r>
      <w:proofErr w:type="spellEnd"/>
      <w:r>
        <w:rPr>
          <w:bCs/>
        </w:rPr>
        <w:t xml:space="preserve">, </w:t>
      </w:r>
      <w:proofErr w:type="spellStart"/>
      <w:r>
        <w:rPr>
          <w:bCs/>
        </w:rPr>
        <w:t>Springate</w:t>
      </w:r>
      <w:proofErr w:type="spellEnd"/>
      <w:r>
        <w:rPr>
          <w:bCs/>
        </w:rPr>
        <w:t xml:space="preserve"> ve Yapay Sinir Ağları Modeli ile Tahmin Edilebilirliği, </w:t>
      </w:r>
      <w:r>
        <w:rPr>
          <w:i/>
        </w:rPr>
        <w:t>Mali Çözüm Dergisi</w:t>
      </w:r>
      <w:r>
        <w:t>, 32(169):</w:t>
      </w:r>
      <w:r>
        <w:rPr>
          <w:bCs/>
        </w:rPr>
        <w:t>151-169.</w:t>
      </w:r>
    </w:p>
    <w:p w14:paraId="65F59848" w14:textId="77777777" w:rsidR="001E7189" w:rsidRDefault="001E7189">
      <w:pPr>
        <w:pStyle w:val="DipnotMetni"/>
        <w:numPr>
          <w:ilvl w:val="0"/>
          <w:numId w:val="43"/>
        </w:numPr>
        <w:jc w:val="both"/>
        <w:rPr>
          <w:rFonts w:ascii="Times New Roman" w:hAnsi="Times New Roman" w:cs="Times New Roman"/>
          <w:sz w:val="24"/>
          <w:szCs w:val="24"/>
        </w:rPr>
      </w:pPr>
      <w:proofErr w:type="spellStart"/>
      <w:r>
        <w:rPr>
          <w:rFonts w:ascii="Times New Roman" w:hAnsi="Times New Roman" w:cs="Times New Roman"/>
          <w:sz w:val="24"/>
          <w:szCs w:val="24"/>
        </w:rPr>
        <w:t>Akgüç</w:t>
      </w:r>
      <w:proofErr w:type="spellEnd"/>
      <w:r>
        <w:rPr>
          <w:rFonts w:ascii="Times New Roman" w:hAnsi="Times New Roman" w:cs="Times New Roman"/>
          <w:sz w:val="24"/>
          <w:szCs w:val="24"/>
        </w:rPr>
        <w:t xml:space="preserve">, Ö. (1998). Finansal Yönetim, Yenilenmiş 7.Baskı, İstanbul: </w:t>
      </w:r>
      <w:proofErr w:type="spellStart"/>
      <w:r>
        <w:rPr>
          <w:rFonts w:ascii="Times New Roman" w:hAnsi="Times New Roman" w:cs="Times New Roman"/>
          <w:sz w:val="24"/>
          <w:szCs w:val="24"/>
        </w:rPr>
        <w:t>Avcıol</w:t>
      </w:r>
      <w:proofErr w:type="spellEnd"/>
      <w:r>
        <w:rPr>
          <w:rFonts w:ascii="Times New Roman" w:hAnsi="Times New Roman" w:cs="Times New Roman"/>
          <w:sz w:val="24"/>
          <w:szCs w:val="24"/>
        </w:rPr>
        <w:t xml:space="preserve"> Basım Yayın.</w:t>
      </w:r>
    </w:p>
    <w:p w14:paraId="19DFED15" w14:textId="77777777" w:rsidR="001E7189" w:rsidRDefault="001E7189">
      <w:pPr>
        <w:pStyle w:val="Default"/>
        <w:numPr>
          <w:ilvl w:val="0"/>
          <w:numId w:val="43"/>
        </w:numPr>
        <w:jc w:val="both"/>
      </w:pPr>
      <w:r>
        <w:t xml:space="preserve">Aslan, T. (2024). </w:t>
      </w:r>
      <w:proofErr w:type="spellStart"/>
      <w:r>
        <w:t>Altman</w:t>
      </w:r>
      <w:proofErr w:type="spellEnd"/>
      <w:r>
        <w:t xml:space="preserve"> Z-Skor Modeli </w:t>
      </w:r>
      <w:proofErr w:type="spellStart"/>
      <w:r>
        <w:t>Ile</w:t>
      </w:r>
      <w:proofErr w:type="spellEnd"/>
      <w:r>
        <w:t xml:space="preserve"> Finansal Başarısızlık Tahmini: Borsa </w:t>
      </w:r>
      <w:proofErr w:type="spellStart"/>
      <w:r>
        <w:t>Istanbul’da</w:t>
      </w:r>
      <w:proofErr w:type="spellEnd"/>
      <w:r>
        <w:t xml:space="preserve"> İşlem Gören Elektrik Üretim Şirketleri Üzerine Bir Uygulama, </w:t>
      </w:r>
      <w:r>
        <w:rPr>
          <w:i/>
        </w:rPr>
        <w:t>Üçüncü Sektör Sosyal Ekonomi Dergisi</w:t>
      </w:r>
      <w:r>
        <w:t>, 59(2): 876-</w:t>
      </w:r>
      <w:proofErr w:type="gramStart"/>
      <w:r>
        <w:t>889 .</w:t>
      </w:r>
      <w:proofErr w:type="gramEnd"/>
    </w:p>
    <w:p w14:paraId="3E96F9D3"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Büyüköztürk, Ş., Kılıç Çakmak, E., Akgün, Ö.E., Karadeniz, Ş. ve Demirel, F. (2014). Bilimsel Araştırma Yöntemleri, 18. Baskı, Ankara: </w:t>
      </w:r>
      <w:proofErr w:type="spellStart"/>
      <w:r>
        <w:rPr>
          <w:rFonts w:ascii="Times New Roman" w:hAnsi="Times New Roman" w:cs="Times New Roman"/>
          <w:sz w:val="24"/>
          <w:szCs w:val="24"/>
        </w:rPr>
        <w:t>Pegem</w:t>
      </w:r>
      <w:proofErr w:type="spellEnd"/>
      <w:r>
        <w:rPr>
          <w:rFonts w:ascii="Times New Roman" w:hAnsi="Times New Roman" w:cs="Times New Roman"/>
          <w:sz w:val="24"/>
          <w:szCs w:val="24"/>
        </w:rPr>
        <w:t xml:space="preserve"> Akademi.</w:t>
      </w:r>
    </w:p>
    <w:p w14:paraId="40FADA29"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Civan, M., ve Dayı, F. (2014). </w:t>
      </w:r>
      <w:proofErr w:type="spellStart"/>
      <w:r>
        <w:rPr>
          <w:rFonts w:ascii="Times New Roman" w:hAnsi="Times New Roman" w:cs="Times New Roman"/>
          <w:sz w:val="24"/>
          <w:szCs w:val="24"/>
        </w:rPr>
        <w:t>Altman</w:t>
      </w:r>
      <w:proofErr w:type="spellEnd"/>
      <w:r>
        <w:rPr>
          <w:rFonts w:ascii="Times New Roman" w:hAnsi="Times New Roman" w:cs="Times New Roman"/>
          <w:sz w:val="24"/>
          <w:szCs w:val="24"/>
        </w:rPr>
        <w:t xml:space="preserve"> z skoru ve yapay sinir ağı modeli ile sağlık işletmelerinde finansal başarısızlık tahmini. </w:t>
      </w:r>
      <w:r>
        <w:rPr>
          <w:rFonts w:ascii="Times New Roman" w:hAnsi="Times New Roman" w:cs="Times New Roman"/>
          <w:i/>
          <w:iCs/>
          <w:sz w:val="24"/>
          <w:szCs w:val="24"/>
        </w:rPr>
        <w:t xml:space="preserve">Akademik Bakış Uluslararası Hakemli Sosyal Bilimler </w:t>
      </w:r>
      <w:proofErr w:type="gramStart"/>
      <w:r>
        <w:rPr>
          <w:rFonts w:ascii="Times New Roman" w:hAnsi="Times New Roman" w:cs="Times New Roman"/>
          <w:i/>
          <w:iCs/>
          <w:sz w:val="24"/>
          <w:szCs w:val="24"/>
        </w:rPr>
        <w:t>Dergisi</w:t>
      </w:r>
      <w:r>
        <w:rPr>
          <w:rFonts w:ascii="Times New Roman" w:hAnsi="Times New Roman" w:cs="Times New Roman"/>
          <w:sz w:val="24"/>
          <w:szCs w:val="24"/>
        </w:rPr>
        <w:t>(</w:t>
      </w:r>
      <w:proofErr w:type="gramEnd"/>
      <w:r>
        <w:rPr>
          <w:rFonts w:ascii="Times New Roman" w:hAnsi="Times New Roman" w:cs="Times New Roman"/>
          <w:i/>
          <w:iCs/>
          <w:sz w:val="24"/>
          <w:szCs w:val="24"/>
        </w:rPr>
        <w:t>41</w:t>
      </w:r>
      <w:r>
        <w:rPr>
          <w:rFonts w:ascii="Times New Roman" w:hAnsi="Times New Roman" w:cs="Times New Roman"/>
          <w:sz w:val="24"/>
          <w:szCs w:val="24"/>
        </w:rPr>
        <w:t>): 1-14.</w:t>
      </w:r>
    </w:p>
    <w:p w14:paraId="72902DCF" w14:textId="5B84C321"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Çavuş, G. ve Başar, A.B. (2020). Finansal Başarısızlık Durumunun Öngörülmesinde Nakit Akış Bilgilerinin Rolü, </w:t>
      </w:r>
      <w:r>
        <w:rPr>
          <w:rFonts w:ascii="Times New Roman" w:hAnsi="Times New Roman" w:cs="Times New Roman"/>
          <w:i/>
          <w:sz w:val="24"/>
          <w:szCs w:val="24"/>
        </w:rPr>
        <w:t>Muhasebe Bilim Dünyası Dergisi</w:t>
      </w:r>
      <w:r>
        <w:rPr>
          <w:rFonts w:ascii="Times New Roman" w:hAnsi="Times New Roman" w:cs="Times New Roman"/>
          <w:sz w:val="24"/>
          <w:szCs w:val="24"/>
        </w:rPr>
        <w:t>, 22: 292-318.</w:t>
      </w:r>
    </w:p>
    <w:p w14:paraId="203A5304" w14:textId="0F3EBE1B"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Ertan, A. S., ve Ersan, Ö. (2019). Finansal Başarısızlığı Belirleyen Etkenler: Türkiye İmalat Sektörü Örneği. </w:t>
      </w:r>
      <w:r>
        <w:rPr>
          <w:rFonts w:ascii="Times New Roman" w:hAnsi="Times New Roman" w:cs="Times New Roman"/>
          <w:i/>
          <w:sz w:val="24"/>
          <w:szCs w:val="24"/>
        </w:rPr>
        <w:t>Marmara Üniversitesi İktisadi ve İdari Bilimler Dergisi</w:t>
      </w:r>
      <w:r>
        <w:rPr>
          <w:rFonts w:ascii="Times New Roman" w:hAnsi="Times New Roman" w:cs="Times New Roman"/>
          <w:sz w:val="24"/>
          <w:szCs w:val="24"/>
        </w:rPr>
        <w:t>, 40(2): 181-207.</w:t>
      </w:r>
    </w:p>
    <w:p w14:paraId="788F7AD2" w14:textId="77777777" w:rsidR="001E7189" w:rsidRDefault="001E7189">
      <w:pPr>
        <w:pStyle w:val="DipnotMetni"/>
        <w:numPr>
          <w:ilvl w:val="0"/>
          <w:numId w:val="43"/>
        </w:numPr>
        <w:jc w:val="both"/>
        <w:rPr>
          <w:rFonts w:ascii="Times New Roman" w:hAnsi="Times New Roman" w:cs="Times New Roman"/>
          <w:i/>
          <w:sz w:val="24"/>
          <w:szCs w:val="24"/>
        </w:rPr>
      </w:pPr>
      <w:proofErr w:type="spellStart"/>
      <w:r>
        <w:rPr>
          <w:rFonts w:ascii="Times New Roman" w:hAnsi="Times New Roman" w:cs="Times New Roman"/>
          <w:sz w:val="24"/>
          <w:szCs w:val="24"/>
        </w:rPr>
        <w:t>İçerli</w:t>
      </w:r>
      <w:proofErr w:type="spellEnd"/>
      <w:r>
        <w:rPr>
          <w:rFonts w:ascii="Times New Roman" w:hAnsi="Times New Roman" w:cs="Times New Roman"/>
          <w:sz w:val="24"/>
          <w:szCs w:val="24"/>
        </w:rPr>
        <w:t xml:space="preserve">, M.Y. ve Akkaya, G.C. (2006). Finansal Açıdan Başarılı Olan İşletmelerle Başarısız Olan İşletmeler Arasında Finansal Oranlar Yardımıyla Farklılıkların Tespiti, </w:t>
      </w:r>
      <w:r>
        <w:rPr>
          <w:rFonts w:ascii="Times New Roman" w:hAnsi="Times New Roman" w:cs="Times New Roman"/>
          <w:i/>
          <w:sz w:val="24"/>
          <w:szCs w:val="24"/>
        </w:rPr>
        <w:t>Atatürk Üniversitesi İktisadi ve İdari Bilimler Dergisi</w:t>
      </w:r>
      <w:r>
        <w:rPr>
          <w:rFonts w:ascii="Times New Roman" w:hAnsi="Times New Roman" w:cs="Times New Roman"/>
          <w:sz w:val="24"/>
          <w:szCs w:val="24"/>
        </w:rPr>
        <w:t>, 20(1): 413-421.</w:t>
      </w:r>
    </w:p>
    <w:p w14:paraId="3367B73C"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color w:val="212529"/>
          <w:sz w:val="24"/>
          <w:szCs w:val="24"/>
        </w:rPr>
        <w:t xml:space="preserve">Özdemir, F.S., </w:t>
      </w:r>
      <w:proofErr w:type="spellStart"/>
      <w:r>
        <w:rPr>
          <w:rFonts w:ascii="Times New Roman" w:hAnsi="Times New Roman" w:cs="Times New Roman"/>
          <w:color w:val="212529"/>
          <w:sz w:val="24"/>
          <w:szCs w:val="24"/>
        </w:rPr>
        <w:t>Choi</w:t>
      </w:r>
      <w:proofErr w:type="spellEnd"/>
      <w:r>
        <w:rPr>
          <w:rFonts w:ascii="Times New Roman" w:hAnsi="Times New Roman" w:cs="Times New Roman"/>
          <w:color w:val="212529"/>
          <w:sz w:val="24"/>
          <w:szCs w:val="24"/>
        </w:rPr>
        <w:t xml:space="preserve">, F.D.S., </w:t>
      </w:r>
      <w:proofErr w:type="spellStart"/>
      <w:r>
        <w:rPr>
          <w:rFonts w:ascii="Times New Roman" w:hAnsi="Times New Roman" w:cs="Times New Roman"/>
          <w:color w:val="212529"/>
          <w:sz w:val="24"/>
          <w:szCs w:val="24"/>
        </w:rPr>
        <w:t>Bayazıtlı</w:t>
      </w:r>
      <w:proofErr w:type="spellEnd"/>
      <w:r>
        <w:rPr>
          <w:rFonts w:ascii="Times New Roman" w:hAnsi="Times New Roman" w:cs="Times New Roman"/>
          <w:color w:val="212529"/>
          <w:sz w:val="24"/>
          <w:szCs w:val="24"/>
        </w:rPr>
        <w:t>, E. (2012). Finansal Başarısızlık Tahminleri Yönüyle UFRS ve Bilginin İhtiyaca Uygunluğu. </w:t>
      </w:r>
      <w:r>
        <w:rPr>
          <w:rStyle w:val="Vurgu"/>
          <w:rFonts w:ascii="Times New Roman" w:hAnsi="Times New Roman" w:cs="Times New Roman"/>
          <w:color w:val="212529"/>
          <w:sz w:val="24"/>
          <w:szCs w:val="24"/>
        </w:rPr>
        <w:t>Mali Çözüm,</w:t>
      </w:r>
      <w:r>
        <w:rPr>
          <w:rFonts w:ascii="Times New Roman" w:hAnsi="Times New Roman" w:cs="Times New Roman"/>
          <w:color w:val="212529"/>
          <w:sz w:val="24"/>
          <w:szCs w:val="24"/>
        </w:rPr>
        <w:t xml:space="preserve"> 22(112): </w:t>
      </w:r>
      <w:proofErr w:type="gramStart"/>
      <w:r>
        <w:rPr>
          <w:rFonts w:ascii="Times New Roman" w:hAnsi="Times New Roman" w:cs="Times New Roman"/>
          <w:color w:val="212529"/>
          <w:sz w:val="24"/>
          <w:szCs w:val="24"/>
        </w:rPr>
        <w:t>17 -</w:t>
      </w:r>
      <w:proofErr w:type="gramEnd"/>
      <w:r>
        <w:rPr>
          <w:rFonts w:ascii="Times New Roman" w:hAnsi="Times New Roman" w:cs="Times New Roman"/>
          <w:color w:val="212529"/>
          <w:sz w:val="24"/>
          <w:szCs w:val="24"/>
        </w:rPr>
        <w:t xml:space="preserve"> 52.</w:t>
      </w:r>
    </w:p>
    <w:p w14:paraId="2CED56AF"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Salur, N. (2021). Finansal </w:t>
      </w:r>
      <w:proofErr w:type="spellStart"/>
      <w:r>
        <w:rPr>
          <w:rFonts w:ascii="Times New Roman" w:hAnsi="Times New Roman" w:cs="Times New Roman"/>
          <w:sz w:val="24"/>
          <w:szCs w:val="24"/>
        </w:rPr>
        <w:t>Başarısızlık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Tahmı̇nı̇nde</w:t>
      </w:r>
      <w:proofErr w:type="spellEnd"/>
      <w:r>
        <w:rPr>
          <w:rFonts w:ascii="Times New Roman" w:hAnsi="Times New Roman" w:cs="Times New Roman"/>
          <w:sz w:val="24"/>
          <w:szCs w:val="24"/>
        </w:rPr>
        <w:t xml:space="preserve"> Yapay </w:t>
      </w:r>
      <w:proofErr w:type="spellStart"/>
      <w:r>
        <w:rPr>
          <w:rFonts w:ascii="Times New Roman" w:hAnsi="Times New Roman" w:cs="Times New Roman"/>
          <w:sz w:val="24"/>
          <w:szCs w:val="24"/>
        </w:rPr>
        <w:t>Sı̇nı̇r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Ağları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Modelı̇nı̇n</w:t>
      </w:r>
      <w:proofErr w:type="spellEnd"/>
      <w:r>
        <w:rPr>
          <w:rFonts w:ascii="Times New Roman" w:hAnsi="Times New Roman" w:cs="Times New Roman"/>
          <w:sz w:val="24"/>
          <w:szCs w:val="24"/>
        </w:rPr>
        <w:t xml:space="preserve"> Kullanımı: Borsa İstanbul’da </w:t>
      </w:r>
      <w:proofErr w:type="spellStart"/>
      <w:r>
        <w:rPr>
          <w:rFonts w:ascii="Times New Roman" w:hAnsi="Times New Roman" w:cs="Times New Roman"/>
          <w:sz w:val="24"/>
          <w:szCs w:val="24"/>
        </w:rPr>
        <w:t>Bı̇r</w:t>
      </w:r>
      <w:proofErr w:type="spellEnd"/>
      <w:r>
        <w:rPr>
          <w:rFonts w:ascii="Times New Roman" w:hAnsi="Times New Roman" w:cs="Times New Roman"/>
          <w:sz w:val="24"/>
          <w:szCs w:val="24"/>
        </w:rPr>
        <w:t xml:space="preserve"> Uygulama. </w:t>
      </w:r>
      <w:proofErr w:type="spellStart"/>
      <w:r>
        <w:rPr>
          <w:rFonts w:ascii="Times New Roman" w:hAnsi="Times New Roman" w:cs="Times New Roman"/>
          <w:i/>
          <w:sz w:val="24"/>
          <w:szCs w:val="24"/>
        </w:rPr>
        <w:t>Journal</w:t>
      </w:r>
      <w:proofErr w:type="spellEnd"/>
      <w:r>
        <w:rPr>
          <w:rFonts w:ascii="Times New Roman" w:hAnsi="Times New Roman" w:cs="Times New Roman"/>
          <w:i/>
          <w:sz w:val="24"/>
          <w:szCs w:val="24"/>
        </w:rPr>
        <w:t xml:space="preserve"> of </w:t>
      </w:r>
      <w:proofErr w:type="spellStart"/>
      <w:r>
        <w:rPr>
          <w:rFonts w:ascii="Times New Roman" w:hAnsi="Times New Roman" w:cs="Times New Roman"/>
          <w:i/>
          <w:sz w:val="24"/>
          <w:szCs w:val="24"/>
        </w:rPr>
        <w:t>Economics</w:t>
      </w:r>
      <w:proofErr w:type="spellEnd"/>
      <w:r>
        <w:rPr>
          <w:rFonts w:ascii="Times New Roman" w:hAnsi="Times New Roman" w:cs="Times New Roman"/>
          <w:sz w:val="24"/>
          <w:szCs w:val="24"/>
        </w:rPr>
        <w:t xml:space="preserve">, Finance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Accounting – JEFA, 8(1): 17-30.</w:t>
      </w:r>
    </w:p>
    <w:p w14:paraId="282341E8"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Sarıgül, H. (2020). Türkiye’de Finansal Okuryazarlık Alanında Yazılan Lisansüstü Tezlerin İçerik Analizi, Yükseköğretim ve Bilim Dergisi, 10(1): 153-165.</w:t>
      </w:r>
    </w:p>
    <w:p w14:paraId="6BA41BF3" w14:textId="77777777" w:rsidR="001E7189"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Ünsal, </w:t>
      </w:r>
      <w:proofErr w:type="gramStart"/>
      <w:r>
        <w:rPr>
          <w:rFonts w:ascii="Times New Roman" w:hAnsi="Times New Roman" w:cs="Times New Roman"/>
          <w:sz w:val="24"/>
          <w:szCs w:val="24"/>
        </w:rPr>
        <w:t>D.D.A.(</w:t>
      </w:r>
      <w:proofErr w:type="gramEnd"/>
      <w:r>
        <w:rPr>
          <w:rFonts w:ascii="Times New Roman" w:hAnsi="Times New Roman" w:cs="Times New Roman"/>
          <w:sz w:val="24"/>
          <w:szCs w:val="24"/>
        </w:rPr>
        <w:t xml:space="preserve">2001). Mali Başarılı ve Mali Başarısız Şirketlerin Ayırımını Sağlayan </w:t>
      </w:r>
      <w:proofErr w:type="spellStart"/>
      <w:r>
        <w:rPr>
          <w:rFonts w:ascii="Times New Roman" w:hAnsi="Times New Roman" w:cs="Times New Roman"/>
          <w:sz w:val="24"/>
          <w:szCs w:val="24"/>
        </w:rPr>
        <w:t>Diskriminant</w:t>
      </w:r>
      <w:proofErr w:type="spellEnd"/>
      <w:r>
        <w:rPr>
          <w:rFonts w:ascii="Times New Roman" w:hAnsi="Times New Roman" w:cs="Times New Roman"/>
          <w:sz w:val="24"/>
          <w:szCs w:val="24"/>
        </w:rPr>
        <w:t xml:space="preserve"> Fonksiyonunun Bulunması. </w:t>
      </w:r>
      <w:r>
        <w:rPr>
          <w:rFonts w:ascii="Times New Roman" w:hAnsi="Times New Roman" w:cs="Times New Roman"/>
          <w:i/>
          <w:sz w:val="24"/>
          <w:szCs w:val="24"/>
        </w:rPr>
        <w:t>Çukurova Üniversitesi Sosyal Bilimler Enstitüsü Dergisi</w:t>
      </w:r>
      <w:r>
        <w:rPr>
          <w:rFonts w:ascii="Times New Roman" w:hAnsi="Times New Roman" w:cs="Times New Roman"/>
          <w:sz w:val="24"/>
          <w:szCs w:val="24"/>
        </w:rPr>
        <w:t>, 7(7): 214-234.</w:t>
      </w:r>
    </w:p>
    <w:p w14:paraId="11D11BBC" w14:textId="3815A21A" w:rsidR="00C70E93" w:rsidRDefault="001E7189">
      <w:pPr>
        <w:pStyle w:val="DipnotMetni"/>
        <w:numPr>
          <w:ilvl w:val="0"/>
          <w:numId w:val="43"/>
        </w:numPr>
        <w:jc w:val="both"/>
        <w:rPr>
          <w:rFonts w:ascii="Times New Roman" w:hAnsi="Times New Roman" w:cs="Times New Roman"/>
          <w:sz w:val="24"/>
          <w:szCs w:val="24"/>
        </w:rPr>
      </w:pPr>
      <w:r>
        <w:rPr>
          <w:rFonts w:ascii="Times New Roman" w:hAnsi="Times New Roman" w:cs="Times New Roman"/>
          <w:sz w:val="24"/>
          <w:szCs w:val="24"/>
        </w:rPr>
        <w:t xml:space="preserve">Yüksek Öğretim Kurulu Başkanlığı Tez Merkezi </w:t>
      </w:r>
      <w:hyperlink r:id="rId128" w:history="1">
        <w:r>
          <w:rPr>
            <w:rStyle w:val="Kpr"/>
            <w:rFonts w:ascii="Times New Roman" w:hAnsi="Times New Roman" w:cs="Times New Roman"/>
            <w:sz w:val="24"/>
            <w:szCs w:val="24"/>
          </w:rPr>
          <w:t>https://tez.yok.gov.tr/UlusalTezMerkezi/tezSorguSonucYeni.jsp</w:t>
        </w:r>
      </w:hyperlink>
      <w:r>
        <w:rPr>
          <w:rFonts w:ascii="Times New Roman" w:hAnsi="Times New Roman" w:cs="Times New Roman"/>
          <w:sz w:val="24"/>
          <w:szCs w:val="24"/>
        </w:rPr>
        <w:t>, Erişim Tarihi: 30.01.2025.</w:t>
      </w:r>
    </w:p>
    <w:p w14:paraId="3BAEB397" w14:textId="7CDC1AE9" w:rsidR="006779B4" w:rsidRPr="00C70E93" w:rsidRDefault="00C70E93" w:rsidP="00C70E93">
      <w:pPr>
        <w:autoSpaceDE/>
        <w:autoSpaceDN/>
      </w:pPr>
      <w:r>
        <w:br w:type="page"/>
      </w:r>
    </w:p>
    <w:p w14:paraId="06505C47" w14:textId="750FC19C" w:rsidR="006F6B4B" w:rsidRPr="00D42316" w:rsidRDefault="006F6B4B" w:rsidP="004C7694">
      <w:pPr>
        <w:pStyle w:val="Tark"/>
      </w:pPr>
      <w:bookmarkStart w:id="83" w:name="_Toc192855192"/>
      <w:r w:rsidRPr="00D42316">
        <w:lastRenderedPageBreak/>
        <w:t>Sürdürülebilir Kadın Girişimciliği ve Ekonomik Güçlenme için Bir Model: Türkiye'de Kadın Kooperatiflerine Yönelik Stratejiler</w:t>
      </w:r>
      <w:bookmarkEnd w:id="83"/>
    </w:p>
    <w:p w14:paraId="53F0D673" w14:textId="77777777" w:rsidR="006F6B4B" w:rsidRPr="00D42316" w:rsidRDefault="006F6B4B" w:rsidP="0006358D">
      <w:pPr>
        <w:jc w:val="center"/>
      </w:pPr>
    </w:p>
    <w:p w14:paraId="595FDEA1" w14:textId="78837986" w:rsidR="006F6B4B" w:rsidRPr="00D42316" w:rsidRDefault="006F6B4B" w:rsidP="0006358D">
      <w:pPr>
        <w:jc w:val="center"/>
      </w:pPr>
      <w:r w:rsidRPr="00D42316">
        <w:t>Özge KOCAKULA</w:t>
      </w:r>
      <w:r w:rsidRPr="00D42316">
        <w:br/>
        <w:t>Doç. Dr., Aydın Adnan Menderes Üniversitesi Sultanhisar M.Y.O.,</w:t>
      </w:r>
    </w:p>
    <w:p w14:paraId="4DECB30F" w14:textId="77777777" w:rsidR="006F6B4B" w:rsidRPr="00D42316" w:rsidRDefault="006F6B4B" w:rsidP="0006358D">
      <w:pPr>
        <w:jc w:val="center"/>
      </w:pPr>
      <w:r w:rsidRPr="00D42316">
        <w:t>Yönetim ve Organizasyon Bölümü</w:t>
      </w:r>
      <w:r w:rsidRPr="00D42316">
        <w:br/>
        <w:t>ozgekocakula@adu.edu.tr</w:t>
      </w:r>
      <w:r w:rsidRPr="00D42316">
        <w:br/>
        <w:t>0000-0001-9710-492X</w:t>
      </w:r>
    </w:p>
    <w:p w14:paraId="0C9E27DC" w14:textId="77777777" w:rsidR="006F6B4B" w:rsidRPr="00D42316" w:rsidRDefault="006F6B4B" w:rsidP="0006358D">
      <w:pPr>
        <w:jc w:val="both"/>
      </w:pPr>
    </w:p>
    <w:p w14:paraId="2A6BDB7F" w14:textId="66DA139F" w:rsidR="006F6B4B" w:rsidRPr="00D42316" w:rsidRDefault="006F6B4B" w:rsidP="0006358D">
      <w:pPr>
        <w:jc w:val="center"/>
      </w:pPr>
      <w:proofErr w:type="spellStart"/>
      <w:r w:rsidRPr="00D42316">
        <w:t>Nurdanur</w:t>
      </w:r>
      <w:proofErr w:type="spellEnd"/>
      <w:r w:rsidRPr="00D42316">
        <w:t xml:space="preserve"> TAVLAN SOYDAN</w:t>
      </w:r>
      <w:r w:rsidRPr="00D42316">
        <w:br/>
        <w:t xml:space="preserve">Dr. Öğretim Üyesi, Aydın Adnan Menderes Üniversitesi </w:t>
      </w:r>
      <w:proofErr w:type="spellStart"/>
      <w:r w:rsidRPr="00D42316">
        <w:t>Bozdağan</w:t>
      </w:r>
      <w:proofErr w:type="spellEnd"/>
      <w:r w:rsidRPr="00D42316">
        <w:t xml:space="preserve"> M.Y.O.,</w:t>
      </w:r>
    </w:p>
    <w:p w14:paraId="06D04FF0" w14:textId="77777777" w:rsidR="006F6B4B" w:rsidRPr="00D42316" w:rsidRDefault="006F6B4B" w:rsidP="0006358D">
      <w:pPr>
        <w:jc w:val="center"/>
      </w:pPr>
      <w:r w:rsidRPr="00D42316">
        <w:t>Yönetim ve Organizasyon Bölümü</w:t>
      </w:r>
      <w:r w:rsidRPr="00D42316">
        <w:br/>
        <w:t>nurdanur.tavlan@adu.edu.tr</w:t>
      </w:r>
      <w:r w:rsidRPr="00D42316">
        <w:br/>
        <w:t>0000-0002-4320-2257</w:t>
      </w:r>
    </w:p>
    <w:p w14:paraId="00975187" w14:textId="77777777" w:rsidR="006F6B4B" w:rsidRPr="00D42316" w:rsidRDefault="006F6B4B" w:rsidP="0006358D">
      <w:pPr>
        <w:jc w:val="center"/>
      </w:pPr>
    </w:p>
    <w:p w14:paraId="481F6961" w14:textId="572FA409" w:rsidR="006F6B4B" w:rsidRPr="00D42316" w:rsidRDefault="006F6B4B" w:rsidP="0006358D">
      <w:pPr>
        <w:jc w:val="center"/>
      </w:pPr>
      <w:r w:rsidRPr="00D42316">
        <w:t>Alper Turan DEVLİ</w:t>
      </w:r>
      <w:r w:rsidRPr="00D42316">
        <w:br/>
        <w:t>Öğr. Gör. Dr., Aydın Adnan Menderes Üniversitesi Sultanhisar M.Y.O,</w:t>
      </w:r>
    </w:p>
    <w:p w14:paraId="781A9710" w14:textId="77777777" w:rsidR="006F6B4B" w:rsidRPr="00D42316" w:rsidRDefault="006F6B4B" w:rsidP="0006358D">
      <w:pPr>
        <w:jc w:val="center"/>
      </w:pPr>
      <w:r w:rsidRPr="00D42316">
        <w:t>Yönetim ve Organizasyon Bölümü</w:t>
      </w:r>
      <w:r w:rsidRPr="00D42316">
        <w:br/>
        <w:t>alper.devli@adu.edu.tr</w:t>
      </w:r>
      <w:r w:rsidRPr="00D42316">
        <w:br/>
        <w:t>0000-0002-3210-327X</w:t>
      </w:r>
    </w:p>
    <w:p w14:paraId="2F222A8A" w14:textId="77777777" w:rsidR="006F6B4B" w:rsidRPr="00D42316" w:rsidRDefault="006F6B4B" w:rsidP="0006358D">
      <w:pPr>
        <w:jc w:val="both"/>
      </w:pPr>
    </w:p>
    <w:p w14:paraId="4CC6AEFF" w14:textId="59B4CEFA" w:rsidR="006F6B4B" w:rsidRPr="00D42316" w:rsidRDefault="006F6B4B" w:rsidP="0006358D">
      <w:pPr>
        <w:jc w:val="center"/>
      </w:pPr>
      <w:r w:rsidRPr="00D42316">
        <w:t>Yıldırım TOPRAK</w:t>
      </w:r>
      <w:r w:rsidRPr="00D42316">
        <w:br/>
        <w:t>Öğr. Gör., Aydın Adnan Menderes Üniversitesi Nazilli M.Y.O,</w:t>
      </w:r>
    </w:p>
    <w:p w14:paraId="7D3455AF" w14:textId="77777777" w:rsidR="006F6B4B" w:rsidRPr="00D42316" w:rsidRDefault="006F6B4B" w:rsidP="0006358D">
      <w:pPr>
        <w:jc w:val="center"/>
      </w:pPr>
      <w:r w:rsidRPr="00D42316">
        <w:t>Finans, Bankacılık ve Sigortacılık Bölümü</w:t>
      </w:r>
    </w:p>
    <w:p w14:paraId="5BC80DBD" w14:textId="77777777" w:rsidR="006F6B4B" w:rsidRPr="00D42316" w:rsidRDefault="006F6B4B" w:rsidP="0006358D">
      <w:pPr>
        <w:jc w:val="center"/>
      </w:pPr>
      <w:r w:rsidRPr="00D42316">
        <w:t>ytoprak@adu.edu.tr</w:t>
      </w:r>
      <w:r w:rsidRPr="00D42316">
        <w:br/>
        <w:t>0000-0003-4869-7727</w:t>
      </w:r>
    </w:p>
    <w:p w14:paraId="24C3EC8B" w14:textId="77777777" w:rsidR="006F6B4B" w:rsidRPr="00D42316" w:rsidRDefault="006F6B4B" w:rsidP="0006358D">
      <w:pPr>
        <w:jc w:val="both"/>
      </w:pPr>
    </w:p>
    <w:p w14:paraId="0C6E201A" w14:textId="62C1B0D1" w:rsidR="006F6B4B" w:rsidRPr="0006358D" w:rsidRDefault="006F6B4B" w:rsidP="0006358D">
      <w:pPr>
        <w:jc w:val="center"/>
        <w:rPr>
          <w:b/>
          <w:bCs/>
        </w:rPr>
      </w:pPr>
      <w:r w:rsidRPr="00714BC1">
        <w:rPr>
          <w:b/>
          <w:bCs/>
        </w:rPr>
        <w:t>Özet</w:t>
      </w:r>
    </w:p>
    <w:p w14:paraId="77D22A28" w14:textId="77777777" w:rsidR="006F6B4B" w:rsidRPr="00D42316" w:rsidRDefault="006F6B4B" w:rsidP="0006358D">
      <w:pPr>
        <w:jc w:val="both"/>
      </w:pPr>
      <w:r w:rsidRPr="00D42316">
        <w:t xml:space="preserve">Türkiye’de bir asrı aşkın süredir kooperatifçilik kurumsal varlığını sürdürüyor olmasına karşın kadın kooperatiflerinin tarih sahnesine çıkması bundan ancak elli yıl sonra olabilmiştir. Kooperatiflerin dünya genelindeki varlığını temellendiren ekonomik kalkınma motivasyonunun ötesinde kadın kooperatiflerinin, toplumsal ve demokratik yapıyı desteklemek, cinsiyet eşitsizliklerinin önüne geçmek, kadın emeğini girişime yönlendirerek kadının toplumsal varlığını güçlendirmek gibi sosyal amaçlara da hizmet ettiği bilinmektedir. Bu çalışma, kadın girişimciliğini ve ekonomik güçlenmeyi teşvik eden bir araç olarak Türkiye'deki kadın kooperatiflerinin rolünü incelemektedir. Bu konuya odaklanan önceki araştırmalarda karşılaşılan güçlüklerden başlıcaları, kadın kooperatiflerine ilişkin güncel ve sağlıklı verilerin bulunmuyor olması, kadın kooperatifi olarak değerlendirilen kooperatiflerin bir ya da daha fazla kadın çalıştıran kooperatifleri işaret etmesi ve bu kooperatiflerin yönetiminde kadınların bulunmuyor olması dolayısıyla gerçek anlamda kadın kooperatiflerinin durumunu analiz etmenin mümkün olmaması gibi güçlüklerdir. Bu araştırmada Kadın Emeğini Değerlendirme Vakfı (KEDV) ve Kadınların Kooperatifler Yolu ile Güçlendirilmesi Projesi kapsamında sunulan veriler ışığında mevcut durumda Türkiye’nin çeşitli bölgelerinde bulunan girişimci kadın kooperatiflerinin iç ve dış faktörleri bakımından karşı karşıya oldukları zorluklar analiz edilecektir. Araştırmamız, önceki araştırma sonuçlarına dayanan literatür analizi ve </w:t>
      </w:r>
      <w:proofErr w:type="gramStart"/>
      <w:r w:rsidRPr="00D42316">
        <w:t>doküman</w:t>
      </w:r>
      <w:proofErr w:type="gramEnd"/>
      <w:r w:rsidRPr="00D42316">
        <w:t xml:space="preserve"> analizine başvurarak nitel yöntem yaklaşımı kullanmaktadır. İlk bulgular, </w:t>
      </w:r>
      <w:r w:rsidRPr="00D42316">
        <w:lastRenderedPageBreak/>
        <w:t>kadın kooperatiflerinin, özellikle geleneksel el sanatları, gıda üretimi ve tarım sektörlerinde, kadınların kayıt dışı ekonomik katılımdan kayıtlı ekonomik katılıma geçişinde etkili platformlar olarak hizmet verdiğini göstermektedir. Bununla birlikte, pazara erişim, finansal okuryazarlık ve mevzuata uyum alanlarında zorluklar devam etmektedir. Araştırmamız, kooperatif yapılarının sermayeye erişim, pazar ağları ve iş becerilerinin geliştirilmesi gibi kadın girişimciliğinin önündeki yaygın engelleri nasıl ele alabileceğine dair bir tartışma zemini sunarak gelişmekte olan ekonomilerde cinsiyete dayalı girişimcilik modelleri üzerine büyüyen literatüre katkıda bulunmaktadır. Bulgular, Türkiye'de ve benzer gelişmekte olan piyasalarda kadınların ekonomik katılımını teşvik etmek için çalışan politika yapıcılar ve kalkınma uygulayıcıları için önemli çıkarımlara sahiptir.</w:t>
      </w:r>
    </w:p>
    <w:p w14:paraId="54A840E2" w14:textId="77777777" w:rsidR="006F6B4B" w:rsidRPr="00D42316" w:rsidRDefault="006F6B4B" w:rsidP="0006358D">
      <w:pPr>
        <w:jc w:val="both"/>
      </w:pPr>
    </w:p>
    <w:p w14:paraId="15CACB20" w14:textId="22704382" w:rsidR="006F6B4B" w:rsidRDefault="006F6B4B" w:rsidP="0006358D">
      <w:pPr>
        <w:jc w:val="both"/>
      </w:pPr>
      <w:r w:rsidRPr="00D42316">
        <w:rPr>
          <w:b/>
        </w:rPr>
        <w:t xml:space="preserve">Anahtar </w:t>
      </w:r>
      <w:r w:rsidR="006779B4" w:rsidRPr="00D42316">
        <w:rPr>
          <w:b/>
        </w:rPr>
        <w:t>Kelime</w:t>
      </w:r>
      <w:r w:rsidRPr="00D42316">
        <w:rPr>
          <w:b/>
        </w:rPr>
        <w:t>ler:</w:t>
      </w:r>
      <w:r w:rsidRPr="00D42316">
        <w:t xml:space="preserve"> kadın kooperatifleri, kadın girişimciliği, kadının güçlenmesi, ekonomik güçlenme, Türkiye, sosyal girişim</w:t>
      </w:r>
    </w:p>
    <w:p w14:paraId="12673D3F" w14:textId="77777777" w:rsidR="00714BC1" w:rsidRPr="00D42316" w:rsidRDefault="00714BC1" w:rsidP="0006358D">
      <w:pPr>
        <w:jc w:val="both"/>
      </w:pPr>
    </w:p>
    <w:p w14:paraId="5FAD9C1A" w14:textId="3BA932FE" w:rsidR="00714BC1" w:rsidRPr="00714BC1" w:rsidRDefault="006F6B4B" w:rsidP="0006358D">
      <w:pPr>
        <w:rPr>
          <w:b/>
          <w:bCs/>
        </w:rPr>
      </w:pPr>
      <w:r w:rsidRPr="00714BC1">
        <w:rPr>
          <w:b/>
          <w:bCs/>
        </w:rPr>
        <w:t>Giri</w:t>
      </w:r>
      <w:r w:rsidR="006779B4" w:rsidRPr="00714BC1">
        <w:rPr>
          <w:b/>
          <w:bCs/>
        </w:rPr>
        <w:t>ş</w:t>
      </w:r>
    </w:p>
    <w:p w14:paraId="42EB9AD4" w14:textId="08752145" w:rsidR="006F6B4B" w:rsidRPr="00D42316" w:rsidRDefault="006F6B4B" w:rsidP="0006358D">
      <w:pPr>
        <w:jc w:val="both"/>
      </w:pPr>
      <w:r w:rsidRPr="00D42316">
        <w:t xml:space="preserve">19 Haziran 2024 tarihinde Birleşmiş Milletler Genel Kurulu, kooperatiflerin sürdürülebilir kalkınmada oynadığı hayati rolün altını çizerek, "Kooperatifler Daha İyi Bir Dünya Kurar" teması ile 2025 yılını </w:t>
      </w:r>
      <w:r w:rsidRPr="00D42316">
        <w:rPr>
          <w:i/>
        </w:rPr>
        <w:t>Uluslararası Kooperatifler Yılı</w:t>
      </w:r>
      <w:r w:rsidRPr="00D42316">
        <w:t xml:space="preserve"> olarak ilan etti. Kurucu ilkeleri ve benimsediği değerler ile işletmelerin benzersiz bir türü olarak kabul edilen kooperatifleri, günümüzün küresel zorluklarına temel çözümler olarak konumlandırmakta ve bu oluşumların kalıcı küresel etkisinin altını çizmektedir. 2030 yılına kadar BM Sürdürülebilir Kalkınma Hedeflerine (SKH) ulaşılmasında kooperatiflerin sosyal, ekonomik ve çevresel boyutlarda sürdürülebilir kalkınmaya yaptığı katkılara yönelik vurgusu kooperatiflerin nasıl kilit bir rol oynadığını göstermektedir.</w:t>
      </w:r>
    </w:p>
    <w:p w14:paraId="639F932D" w14:textId="77777777" w:rsidR="006F6B4B" w:rsidRPr="00D42316" w:rsidRDefault="006F6B4B" w:rsidP="0006358D">
      <w:pPr>
        <w:jc w:val="both"/>
      </w:pPr>
    </w:p>
    <w:p w14:paraId="7BDE0F38" w14:textId="77777777" w:rsidR="006F6B4B" w:rsidRPr="00D42316" w:rsidRDefault="006F6B4B" w:rsidP="0006358D">
      <w:pPr>
        <w:jc w:val="both"/>
      </w:pPr>
      <w:r w:rsidRPr="00D42316">
        <w:t xml:space="preserve">Kooperatif hareketi, </w:t>
      </w:r>
      <w:proofErr w:type="spellStart"/>
      <w:r w:rsidRPr="00D42316">
        <w:t>sosyo</w:t>
      </w:r>
      <w:proofErr w:type="spellEnd"/>
      <w:r w:rsidRPr="00D42316">
        <w:t>-ekonomik değişimlere ve küresel zorluklara yanıt olarak gelişen, yüzyılı aşkın bir süreye yayılan zengin bir geçmişe sahiptir. Kooperatifler, özellikle çiftçilerin kaynaklarını bir araya getirmeleri, riskleri paylaşmaları ve piyasadaki pazarlık güçlerini artırmaları için bir araç sağladıkları tarımda, marjinal grupların ihtiyaçlarına bir yanıt olarak ortaya çıkmıştır. Kooperatiflerin tarihsel bağlamı, günümüzdeki önemlerini anlamak için oldukça önemlidir. Amerika Birleşik Devletleri'nde 20. yüzyılın başlarındaki işletme karşıtı hareketler, geleneksel işletme yapılarına alternatif olarak kooperatif formlarının yaygınlaşmasında önemli bir rol oynamış ve kooperatiflerin büyümesini kolaylaştıran siyasi koşulların altını çizmiştir (</w:t>
      </w:r>
      <w:proofErr w:type="spellStart"/>
      <w:r w:rsidRPr="00D42316">
        <w:t>Schneiberg</w:t>
      </w:r>
      <w:proofErr w:type="spellEnd"/>
      <w:r w:rsidRPr="00D42316">
        <w:t>, 2013). Benzer şekilde, Avrupa'da yirminci yüzyılın ilk yarısında pazarlama kooperatiflerinin kırsal kalkınmadaki rolü, ekonomik dayanıklılığı ve toplumsal dayanışmayı teşvik etmedeki önemlerinin altını çizmektedir (</w:t>
      </w:r>
      <w:proofErr w:type="spellStart"/>
      <w:r w:rsidRPr="00D42316">
        <w:t>Kotyza</w:t>
      </w:r>
      <w:proofErr w:type="spellEnd"/>
      <w:r w:rsidRPr="00D42316">
        <w:t xml:space="preserve"> vd., 2018).</w:t>
      </w:r>
    </w:p>
    <w:p w14:paraId="10FACA70" w14:textId="77777777" w:rsidR="006F6B4B" w:rsidRPr="00D42316" w:rsidRDefault="006F6B4B" w:rsidP="0006358D">
      <w:pPr>
        <w:jc w:val="both"/>
      </w:pPr>
    </w:p>
    <w:p w14:paraId="0034DE2B" w14:textId="77777777" w:rsidR="006F6B4B" w:rsidRPr="00D42316" w:rsidRDefault="006F6B4B" w:rsidP="0006358D">
      <w:pPr>
        <w:jc w:val="both"/>
      </w:pPr>
      <w:r w:rsidRPr="00D42316">
        <w:t>Kooperatiflerin günümüzdeki önemi azımsanamaz, zira kooperatifler küresel çapta sosyal ve ekonomik hedeflerin desteklenmesinde hayati bir rol oynamaya devam etmektedir. Kooperatifler, özellikle küçük çiftçilerin ürünleri için daha iyi fiyatlara ve girdiler için daha düşük maliyetlere erişim sağlayarak kusurlu piyasalarda yol almalarına yardımcı oldukları gelişmekte olan ülkelerde büyük önem taşımaktadır (</w:t>
      </w:r>
      <w:proofErr w:type="spellStart"/>
      <w:r w:rsidRPr="00D42316">
        <w:t>Balgah</w:t>
      </w:r>
      <w:proofErr w:type="spellEnd"/>
      <w:r w:rsidRPr="00D42316">
        <w:t>, 2018). Dahası, kooperatifler COVID-19 salgını gibi kriz dönemlerinde dayanıklılık göstermiş, yerel topluluklarla iç içe geçmiş olmaları etkili bir şekilde uyum sağlamalarına ve yenilik yapmalarına olanak tanımıştır (</w:t>
      </w:r>
      <w:proofErr w:type="spellStart"/>
      <w:r w:rsidRPr="00D42316">
        <w:t>Billiet</w:t>
      </w:r>
      <w:proofErr w:type="spellEnd"/>
      <w:r w:rsidRPr="00D42316">
        <w:t xml:space="preserve"> vd., 2021). Bu uyarlanabilirlik, üye kontrolüne ve kolektif karar alma sürecine öncelik veren, böylece faaliyetlerini yalnızca kâr maksimizasyonuna odaklanmak yerine üyelerinin ihtiyaçlarıyla uyumlu hale getiren benzersiz yönetişim yapılarından kaynaklanmaktadır (</w:t>
      </w:r>
      <w:proofErr w:type="spellStart"/>
      <w:r w:rsidRPr="00D42316">
        <w:t>Billiet</w:t>
      </w:r>
      <w:proofErr w:type="spellEnd"/>
      <w:r w:rsidRPr="00D42316">
        <w:t xml:space="preserve"> </w:t>
      </w:r>
      <w:r w:rsidRPr="00D42316">
        <w:lastRenderedPageBreak/>
        <w:t xml:space="preserve">vd., 2021; </w:t>
      </w:r>
      <w:proofErr w:type="spellStart"/>
      <w:r w:rsidRPr="00D42316">
        <w:t>Filippi</w:t>
      </w:r>
      <w:proofErr w:type="spellEnd"/>
      <w:r w:rsidRPr="00D42316">
        <w:t>, 2014).</w:t>
      </w:r>
    </w:p>
    <w:p w14:paraId="073BC2EF" w14:textId="77777777" w:rsidR="006F6B4B" w:rsidRPr="00D42316" w:rsidRDefault="006F6B4B" w:rsidP="0006358D">
      <w:pPr>
        <w:jc w:val="both"/>
      </w:pPr>
    </w:p>
    <w:p w14:paraId="1AB1FDDB" w14:textId="77777777" w:rsidR="006F6B4B" w:rsidRPr="00D42316" w:rsidRDefault="006F6B4B" w:rsidP="0006358D">
      <w:pPr>
        <w:jc w:val="both"/>
      </w:pPr>
      <w:r w:rsidRPr="00D42316">
        <w:t xml:space="preserve">Kooperatiflerin dünya </w:t>
      </w:r>
      <w:proofErr w:type="gramStart"/>
      <w:r w:rsidRPr="00D42316">
        <w:t>çapındaki mevcut</w:t>
      </w:r>
      <w:proofErr w:type="gramEnd"/>
      <w:r w:rsidRPr="00D42316">
        <w:t xml:space="preserve"> konumları, küreselleşme ve yerel bağlamlardan etkilenen kolektif bir manzarayı yansıtmaktadır. Tarım sektörlerinde kooperatifler, sürdürülebilir gıda sistemlerinde giderek daha önemli oyuncular olarak görülmekte ve çok paydaşlı kooperatifler, ekonomik zorlukların yanı sıra sosyal ve çevresel zorlukları da ele almak için ortaya çıkmaktadır (</w:t>
      </w:r>
      <w:proofErr w:type="spellStart"/>
      <w:r w:rsidRPr="00D42316">
        <w:t>Ajates</w:t>
      </w:r>
      <w:proofErr w:type="spellEnd"/>
      <w:r w:rsidRPr="00D42316">
        <w:t>, 2017). Şeffaflık ve kapsayıcılığı vurgulayan açık kooperatiflere geçiş, sürdürülebilirlik ve toplum katılımına öncelik veren kooperatif modellerine yönelik daha geniş bir eğilimin göstergesidir (</w:t>
      </w:r>
      <w:proofErr w:type="spellStart"/>
      <w:r w:rsidRPr="00D42316">
        <w:t>Ajates</w:t>
      </w:r>
      <w:proofErr w:type="spellEnd"/>
      <w:r w:rsidRPr="00D42316">
        <w:t>, 2017). Ayrıca, kooperatif modeli, tüketicilerin sahip olduğu kooperatiflerin siyasi bağımsızlığı ve toplum odağını koruduğunun görüldüğü su tedariki de dahil olmak üzere çeşitli sektörlerde özelleştirmeye karşı uygun bir alternatif olarak kabul edilmiştir (</w:t>
      </w:r>
      <w:proofErr w:type="spellStart"/>
      <w:r w:rsidRPr="00D42316">
        <w:t>Douvitsa</w:t>
      </w:r>
      <w:proofErr w:type="spellEnd"/>
      <w:r w:rsidRPr="00D42316">
        <w:t xml:space="preserve"> &amp; </w:t>
      </w:r>
      <w:proofErr w:type="spellStart"/>
      <w:r w:rsidRPr="00D42316">
        <w:t>Kassavetis</w:t>
      </w:r>
      <w:proofErr w:type="spellEnd"/>
      <w:r w:rsidRPr="00D42316">
        <w:t>, 2014).</w:t>
      </w:r>
    </w:p>
    <w:p w14:paraId="396470CC" w14:textId="77777777" w:rsidR="006F6B4B" w:rsidRPr="00D42316" w:rsidRDefault="006F6B4B" w:rsidP="0006358D">
      <w:pPr>
        <w:jc w:val="both"/>
      </w:pPr>
    </w:p>
    <w:p w14:paraId="5D48202E" w14:textId="77777777" w:rsidR="006F6B4B" w:rsidRPr="00D42316" w:rsidRDefault="006F6B4B" w:rsidP="0006358D">
      <w:pPr>
        <w:jc w:val="both"/>
      </w:pPr>
      <w:r w:rsidRPr="00D42316">
        <w:t xml:space="preserve">Avantajlarına rağmen kooperatifler, yerel ve küresel güçler arasındaki gerilimlerden kaynaklanan zorluklarla karşılaşmaktadır. Örneğin, kooperatifler bir yandan temel ilkeleri olan </w:t>
      </w:r>
      <w:proofErr w:type="gramStart"/>
      <w:r w:rsidRPr="00D42316">
        <w:t>işbirliği</w:t>
      </w:r>
      <w:proofErr w:type="gramEnd"/>
      <w:r w:rsidRPr="00D42316">
        <w:t xml:space="preserve"> ve karşılıklı yardımlaşmaya bağlı kalırken diğer yandan da piyasa baskılarını göğüslemek zorundadır (</w:t>
      </w:r>
      <w:proofErr w:type="spellStart"/>
      <w:r w:rsidRPr="00D42316">
        <w:t>Vo</w:t>
      </w:r>
      <w:proofErr w:type="spellEnd"/>
      <w:r w:rsidRPr="00D42316">
        <w:t>, 2017). Yerel geçerliliği korumak ve küreselleşmiş bir ekonomide rekabet etmek arasındaki denge, kooperatiflerin yaşayabilirliklerini sürdürmek için ele almaları gereken kritik bir konudur (</w:t>
      </w:r>
      <w:proofErr w:type="spellStart"/>
      <w:r w:rsidRPr="00D42316">
        <w:t>Filippi</w:t>
      </w:r>
      <w:proofErr w:type="spellEnd"/>
      <w:r w:rsidRPr="00D42316">
        <w:t xml:space="preserve">, 2014). Bunlara ek olarak, kooperatif hareketine yönelik eleştiriler de yok değildir; Brezilya </w:t>
      </w:r>
      <w:proofErr w:type="spellStart"/>
      <w:r w:rsidRPr="00D42316">
        <w:t>Amazonları'ndaki</w:t>
      </w:r>
      <w:proofErr w:type="spellEnd"/>
      <w:r w:rsidRPr="00D42316">
        <w:t xml:space="preserve"> kooperatifler örneğinde görüldüğü gibi, kapsayıcı bir şekilde yönetilmedikleri takdirde kooperatiflerin eşitsizlikleri sürdürebileceğini savunanlar da vardır; bu kooperatifler faydalı olmakla birlikte yerli halklar arasında bağımlılık yaratmıştır (Burke, 2010). Kooperatiflerin toplumsal eşitsizliği derinleştirmesi ve kapsayıcılığının olmaması yönündeki eleştirilere bir yanıt olarak okunabilecek kadın kooperatifleri bu bağlamda kadınların ekonomik hayata katılımı ve güçlenmesi yönündeki önemli adımlardan biri olarak sürdürülebilir kalkınmanın temel yapı taşlarından birini oluşturmaktadır. Birleşmiş </w:t>
      </w:r>
      <w:proofErr w:type="spellStart"/>
      <w:r w:rsidRPr="00D42316">
        <w:t>Milletler'in</w:t>
      </w:r>
      <w:proofErr w:type="spellEnd"/>
      <w:r w:rsidRPr="00D42316">
        <w:t xml:space="preserve"> Sürdürülebilir Kalkınma Hedefleri arasında yer alan toplumsal cinsiyet eşitliği ve kadınların güçlendirilmesi konuları giderek daha fazla önem kazanmaktadır. Bu bağlamda, kadın kooperatifleri, kadınların ekonomik ve sosyal açıdan güçlenmesinde önemli bir araç olarak karşımıza çıkmaktadır.</w:t>
      </w:r>
    </w:p>
    <w:p w14:paraId="330773AE" w14:textId="77777777" w:rsidR="006F6B4B" w:rsidRPr="00D42316" w:rsidRDefault="006F6B4B" w:rsidP="0006358D">
      <w:pPr>
        <w:jc w:val="both"/>
      </w:pPr>
    </w:p>
    <w:p w14:paraId="3FEDB46D" w14:textId="77777777" w:rsidR="006F6B4B" w:rsidRPr="00D42316" w:rsidRDefault="006F6B4B" w:rsidP="0006358D">
      <w:pPr>
        <w:jc w:val="both"/>
      </w:pPr>
      <w:r w:rsidRPr="00D42316">
        <w:t>Türkiye'de kadın kooperatifçiliği hareketi, özellikle 2000'li yılların başından itibaren ivme kazanmış ve kadınların ekonomik hayata katılımında alternatif bir model olarak gelişmeye başlamıştır. Bu kooperatifler, kadınların yerel kaynaklarını ve becerilerini kullanarak gelir elde etmelerini sağlamakta, aynı zamanda sosyal sermayenin güçlenmesine de katkıda bulunmaktadır. Kadın kooperatifleri, geleneksel girişimcilik modellerinden farklı olarak, dayanışma ekonomisi prensipleriyle hareket eden, demokratik yönetim anlayışını benimseyen ve kolektif güçlenmeyi hedefleyen yapılardır. Bu özellikleriyle, sürdürülebilir kalkınma hedeflerine ulaşmada önemli bir potansiyel taşımaktadırlar. Bu çalışma, Türkiye'deki kadın kooperatiflerinin sürdürülebilir kadın girişimciliği ve ekonomik güçlenme açısından rolünü incelemeyi amaçlamaktadır. Araştırma, kadın kooperatiflerinin karşılaştığı zorlukları, başarı faktörlerini ve sürdürülebilirlik koşullarını analiz ederek, bu alandaki politika yapıcılara ve uygulayıcılara yol gösterici olmayı hedeflemektedir. Literatürde, kadın kooperatiflerinin ekonomik ve sosyal etkileri üzerine yapılan çalışmalar sınırlı kalmıştır. Bu araştırma, söz konusu boşluğu doldurmayı ve kadın kooperatifçiliği modelinin sürdürülebilir kalkınmaya katkısını ortaya koymayı amaçlamaktadır. Çalışmanın, kadın girişimciliğinin desteklenmesi ve kadınların ekonomik güçlenmesi konularında yeni perspektifler sunması beklenmektedir.</w:t>
      </w:r>
    </w:p>
    <w:p w14:paraId="1D2F87C0" w14:textId="77777777" w:rsidR="006F6B4B" w:rsidRPr="00D42316" w:rsidRDefault="006F6B4B" w:rsidP="0006358D">
      <w:pPr>
        <w:jc w:val="both"/>
      </w:pPr>
    </w:p>
    <w:p w14:paraId="347A7F93" w14:textId="2FEF02A4" w:rsidR="006F6B4B" w:rsidRPr="00D42316" w:rsidRDefault="006F6B4B" w:rsidP="0006358D">
      <w:pPr>
        <w:jc w:val="both"/>
      </w:pPr>
      <w:r w:rsidRPr="00D42316">
        <w:t>Çalışmada, ilk olarak kadın kooperatifçiliğinin teorik çerçevesini ve tarihsel gelişimini ele alacak, ardından Türkiye’deki güncel durumu analiz edecektir. Araştırma metodolojisi bölümünde, veri toplama ve analiz yöntemleri detaylı olarak açıklanacak, bulgular bölümünde ise saha araştırmasından elde edilen veriler değerlendirilecektir. Son olarak, tartışma ve sonuç bölümünde, araştırma bulguları ışığında politika önerileri sunulacaktır.</w:t>
      </w:r>
    </w:p>
    <w:p w14:paraId="257619FF" w14:textId="77777777" w:rsidR="006779B4" w:rsidRPr="00D42316" w:rsidRDefault="006779B4" w:rsidP="0006358D">
      <w:pPr>
        <w:jc w:val="both"/>
      </w:pPr>
    </w:p>
    <w:p w14:paraId="05CE5617" w14:textId="651617C8" w:rsidR="006F6B4B" w:rsidRPr="0006358D" w:rsidRDefault="006F6B4B" w:rsidP="0006358D">
      <w:pPr>
        <w:rPr>
          <w:b/>
          <w:bCs/>
        </w:rPr>
      </w:pPr>
      <w:r w:rsidRPr="00714BC1">
        <w:rPr>
          <w:b/>
          <w:bCs/>
        </w:rPr>
        <w:t>Kadın Kooperatifçiliğinin Teorik Çerçevesi ve Tarihsel Gelişimi</w:t>
      </w:r>
    </w:p>
    <w:p w14:paraId="57C97597" w14:textId="77777777" w:rsidR="006F6B4B" w:rsidRPr="00D42316" w:rsidRDefault="006F6B4B" w:rsidP="0006358D">
      <w:pPr>
        <w:jc w:val="both"/>
      </w:pPr>
      <w:r w:rsidRPr="00D42316">
        <w:t xml:space="preserve">Kooperatifçilik hareketi, 19. yüzyılın ortalarında </w:t>
      </w:r>
      <w:proofErr w:type="spellStart"/>
      <w:r w:rsidRPr="00D42316">
        <w:t>Rochdale</w:t>
      </w:r>
      <w:proofErr w:type="spellEnd"/>
      <w:r w:rsidRPr="00D42316">
        <w:t xml:space="preserve"> öncüleri ile başlayan ve günümüze kadar gelişerek devam eden bir ekonomik örgütlenme modelidir (Müftüoğlu ve Aydos, 2016). Uluslararası Kooperatifler Birliği'nin (ICA) tanımına göre kooperatifler, "ortak ekonomik, sosyal ve kültürel ihtiyaçlar ve istekleri müşterek sahip olunan ve demokratik olarak kontrol edilen bir işletme yoluyla karşılamak üzere gönüllü olarak bir araya gelen insanların oluşturduğu özerk teşkilatlardır" (</w:t>
      </w:r>
      <w:proofErr w:type="spellStart"/>
      <w:r w:rsidRPr="00D42316">
        <w:t>Bijman</w:t>
      </w:r>
      <w:proofErr w:type="spellEnd"/>
      <w:r w:rsidRPr="00D42316">
        <w:t xml:space="preserve"> ve </w:t>
      </w:r>
      <w:proofErr w:type="spellStart"/>
      <w:r w:rsidRPr="00D42316">
        <w:t>Iliopoulos</w:t>
      </w:r>
      <w:proofErr w:type="spellEnd"/>
      <w:r w:rsidRPr="00D42316">
        <w:t>, 2014). Kadın kooperatifçiliği ise, toplumsal cinsiyet perspektifinden değerlendirildiğinde, feminist ekonomi teorisi ile yakından ilişkilidir. Feminist ekonomistler, geleneksel ekonomik modellerin kadın emeğini görünmez kıldığını ve ekonomik sistemin eril yapısını eleştirmektedir (</w:t>
      </w:r>
      <w:proofErr w:type="spellStart"/>
      <w:r w:rsidRPr="00D42316">
        <w:t>Beneria</w:t>
      </w:r>
      <w:proofErr w:type="spellEnd"/>
      <w:r w:rsidRPr="00D42316">
        <w:t xml:space="preserve"> vd., 2016). Bu bağlamda kadın kooperatifleri, kadınların ekonomik sistemdeki dezavantajlı konumlarını iyileştirmek için alternatif bir model sunmaktadır (</w:t>
      </w:r>
      <w:proofErr w:type="spellStart"/>
      <w:r w:rsidRPr="00D42316">
        <w:t>Duguid</w:t>
      </w:r>
      <w:proofErr w:type="spellEnd"/>
      <w:r w:rsidRPr="00D42316">
        <w:t xml:space="preserve"> vd., 2015).</w:t>
      </w:r>
    </w:p>
    <w:p w14:paraId="66B0F566" w14:textId="77777777" w:rsidR="006F6B4B" w:rsidRPr="00D42316" w:rsidRDefault="006F6B4B" w:rsidP="0006358D">
      <w:pPr>
        <w:jc w:val="both"/>
      </w:pPr>
    </w:p>
    <w:p w14:paraId="2DC33833" w14:textId="1089FC62" w:rsidR="006F6B4B" w:rsidRPr="00D42316" w:rsidRDefault="006F6B4B" w:rsidP="0006358D">
      <w:pPr>
        <w:jc w:val="both"/>
      </w:pPr>
      <w:r w:rsidRPr="00D42316">
        <w:t>Kadın kooperatiflerinin dünya genelindeki tarihsel gelişimi, özellikle İkinci Dünya Savaşı sonrası dönemde önemli bir dönüm noktası yaşamıştır. Bu dönemde yaşanan ekonomik ve toplumsal değişimler, kadın kooperatiflerinin gelişimini hızlandıran temel faktörler olmuştur. Savaş sırasında işgücü piyasasına giren kadınların, savaş sonrasında da ekonomik bağımsızlıklarını sürdürme istekleri, kooperatif hareketinin gelişiminde önemli bir itici güç olmuştur (</w:t>
      </w:r>
      <w:proofErr w:type="spellStart"/>
      <w:r w:rsidRPr="00D42316">
        <w:t>Mies</w:t>
      </w:r>
      <w:proofErr w:type="spellEnd"/>
      <w:r w:rsidRPr="00D42316">
        <w:t xml:space="preserve"> ve </w:t>
      </w:r>
      <w:proofErr w:type="spellStart"/>
      <w:r w:rsidRPr="00D42316">
        <w:t>Bennholdt</w:t>
      </w:r>
      <w:proofErr w:type="spellEnd"/>
      <w:r w:rsidRPr="00D42316">
        <w:t>-Thomsen, 1999). Savaş sonrası dönemde ekonomilerin yeniden yapılanma süreci, kadınların ekonomik hayatta daha aktif rol almalarını gerektirmiştir. Bu dönemde, uluslararası kalkınma örgütlerinin kadınların ekonomik girişimlerine verdikleri destek ve birçok ülkede kooperatif hareketini destekleyen hükümet politikalarının oluşturulması, kadın kooperatiflerinin yaygınlaşmasında etkili olmuştur (</w:t>
      </w:r>
      <w:proofErr w:type="spellStart"/>
      <w:r w:rsidRPr="00D42316">
        <w:t>Develtere</w:t>
      </w:r>
      <w:proofErr w:type="spellEnd"/>
      <w:r w:rsidRPr="00D42316">
        <w:t xml:space="preserve"> ve </w:t>
      </w:r>
      <w:proofErr w:type="spellStart"/>
      <w:r w:rsidRPr="00D42316">
        <w:t>Papoutsi</w:t>
      </w:r>
      <w:proofErr w:type="spellEnd"/>
      <w:r w:rsidRPr="00D42316">
        <w:t xml:space="preserve">, 2021). Özellikle Birleşmiş </w:t>
      </w:r>
      <w:proofErr w:type="spellStart"/>
      <w:r w:rsidRPr="00D42316">
        <w:t>Milletler'in</w:t>
      </w:r>
      <w:proofErr w:type="spellEnd"/>
      <w:r w:rsidRPr="00D42316">
        <w:t xml:space="preserve"> kadınların ekonomik güçlenmesine yönelik programları, kooperatif hareketinin gelişimine katkı sağlamıştır. Bu dönemde ortaya çıkan kadın hakları hareketleri ve toplumsal cinsiyet eşitliği konusundaki artan farkındalık, kadın kooperatiflerinin gelişimini destekleyen bir toplumsal zemin oluşturmuştur (</w:t>
      </w:r>
      <w:proofErr w:type="spellStart"/>
      <w:r w:rsidRPr="00D42316">
        <w:t>Bianchi</w:t>
      </w:r>
      <w:proofErr w:type="spellEnd"/>
      <w:r w:rsidRPr="00D42316">
        <w:t>, 2021).</w:t>
      </w:r>
    </w:p>
    <w:p w14:paraId="354FD6D1" w14:textId="77777777" w:rsidR="006F6B4B" w:rsidRPr="00D42316" w:rsidRDefault="006F6B4B" w:rsidP="0006358D">
      <w:pPr>
        <w:jc w:val="both"/>
      </w:pPr>
    </w:p>
    <w:p w14:paraId="52F0E50B" w14:textId="77777777" w:rsidR="006F6B4B" w:rsidRPr="00D42316" w:rsidRDefault="006F6B4B" w:rsidP="0006358D">
      <w:pPr>
        <w:jc w:val="both"/>
      </w:pPr>
      <w:r w:rsidRPr="00D42316">
        <w:t xml:space="preserve">Japonya Tokyo'da 1965 yılında kurulan </w:t>
      </w:r>
      <w:proofErr w:type="spellStart"/>
      <w:r w:rsidRPr="00D42316">
        <w:t>Seikatsu</w:t>
      </w:r>
      <w:proofErr w:type="spellEnd"/>
      <w:r w:rsidRPr="00D42316">
        <w:t xml:space="preserve"> Club (</w:t>
      </w:r>
      <w:proofErr w:type="spellStart"/>
      <w:r w:rsidRPr="00D42316">
        <w:rPr>
          <w:rFonts w:eastAsia="MS Mincho"/>
        </w:rPr>
        <w:t>生活クラブ生協</w:t>
      </w:r>
      <w:proofErr w:type="spellEnd"/>
      <w:r w:rsidRPr="00D42316">
        <w:t>), kadın tüketici kooperatiflerinin en etkili örneklerinden biri olarak kabul edilmektedir. Süt fiyatları ve kalitesi konusunda endişe duyan ev kadınlarının girişimiyle başlayan hareket, başlangıçta 200 haneyi kapsarken, günümüzde 340.000'den fazla üyeye ulaşmıştır (</w:t>
      </w:r>
      <w:proofErr w:type="spellStart"/>
      <w:r w:rsidRPr="00D42316">
        <w:t>Feuer</w:t>
      </w:r>
      <w:proofErr w:type="spellEnd"/>
      <w:r w:rsidRPr="00D42316">
        <w:t xml:space="preserve">, 2020). Kooperatifin başarısı, tüketici hakları ve gıda güvenliği konularındaki öncü yaklaşımından kaynaklanmaktadır. </w:t>
      </w:r>
      <w:proofErr w:type="spellStart"/>
      <w:r w:rsidRPr="00D42316">
        <w:t>Seikatsu</w:t>
      </w:r>
      <w:proofErr w:type="spellEnd"/>
      <w:r w:rsidRPr="00D42316">
        <w:t xml:space="preserve"> </w:t>
      </w:r>
      <w:proofErr w:type="spellStart"/>
      <w:r w:rsidRPr="00D42316">
        <w:t>Club'ın</w:t>
      </w:r>
      <w:proofErr w:type="spellEnd"/>
      <w:r w:rsidRPr="00D42316">
        <w:t xml:space="preserve"> temel çalışma prensipleri, güvenli gıda temini, doğrudan üretici-tüketici ilişkileri ve çevresel sürdürülebilirlik üzerine kurulmuştur. Kooperatif, "Han" adı verilen küçük mahalle grupları aracılığıyla organize olmakta ve demokratik karar alma süreçlerini uygulamaktadır (</w:t>
      </w:r>
      <w:proofErr w:type="spellStart"/>
      <w:r w:rsidRPr="00D42316">
        <w:t>Junko</w:t>
      </w:r>
      <w:proofErr w:type="spellEnd"/>
      <w:r w:rsidRPr="00D42316">
        <w:t>, 2015). Bu sistem, üyelerin aktif katılımını teşvik ederken, kolektif satın alma gücünün etkin kullanımını sağlamaktadır (</w:t>
      </w:r>
      <w:proofErr w:type="spellStart"/>
      <w:r w:rsidRPr="00D42316">
        <w:t>Kurimoto</w:t>
      </w:r>
      <w:proofErr w:type="spellEnd"/>
      <w:r w:rsidRPr="00D42316">
        <w:t xml:space="preserve">, 2022). Kooperatifin yenilikçi özellikleri arasında, ön sipariş temelli kolektif satın alma sistemi ve üreticilerle kurulan doğrudan ortaklıklar öne çıkmaktadır. </w:t>
      </w:r>
      <w:proofErr w:type="spellStart"/>
      <w:r w:rsidRPr="00D42316">
        <w:t>Seikatsu</w:t>
      </w:r>
      <w:proofErr w:type="spellEnd"/>
      <w:r w:rsidRPr="00D42316">
        <w:t xml:space="preserve"> Club, katı kalite standartları ve çevresel </w:t>
      </w:r>
      <w:r w:rsidRPr="00D42316">
        <w:lastRenderedPageBreak/>
        <w:t>inisiyatifleriyle Japonya'daki organik tarım uygulamalarını önemli ölçüde etkilemiştir (</w:t>
      </w:r>
      <w:proofErr w:type="spellStart"/>
      <w:r w:rsidRPr="00D42316">
        <w:t>Gelb</w:t>
      </w:r>
      <w:proofErr w:type="spellEnd"/>
      <w:r w:rsidRPr="00D42316">
        <w:t xml:space="preserve"> ve </w:t>
      </w:r>
      <w:proofErr w:type="spellStart"/>
      <w:r w:rsidRPr="00D42316">
        <w:t>Estebez-Ave</w:t>
      </w:r>
      <w:proofErr w:type="spellEnd"/>
      <w:r w:rsidRPr="00D42316">
        <w:t>, 1998). Yerel para sistemlerinin geliştirilmesi ve kadın liderliğindeki işçi kolektiflerinin oluşturulması, kooperatifin sosyal inovasyon alanındaki başarılarını göstermektedir.</w:t>
      </w:r>
    </w:p>
    <w:p w14:paraId="7E8FBE05" w14:textId="77777777" w:rsidR="006F6B4B" w:rsidRPr="00D42316" w:rsidRDefault="006F6B4B" w:rsidP="0006358D">
      <w:pPr>
        <w:jc w:val="both"/>
      </w:pPr>
    </w:p>
    <w:p w14:paraId="6B79BCA6" w14:textId="77777777" w:rsidR="006F6B4B" w:rsidRPr="00D42316" w:rsidRDefault="006F6B4B" w:rsidP="0006358D">
      <w:pPr>
        <w:jc w:val="both"/>
      </w:pPr>
      <w:proofErr w:type="spellStart"/>
      <w:r w:rsidRPr="00D42316">
        <w:t>Seikatsu</w:t>
      </w:r>
      <w:proofErr w:type="spellEnd"/>
      <w:r w:rsidRPr="00D42316">
        <w:t xml:space="preserve"> </w:t>
      </w:r>
      <w:proofErr w:type="spellStart"/>
      <w:r w:rsidRPr="00D42316">
        <w:t>Club'ın</w:t>
      </w:r>
      <w:proofErr w:type="spellEnd"/>
      <w:r w:rsidRPr="00D42316">
        <w:t xml:space="preserve"> ekonomik modeli, kolektif satın alma gücüne, adil fiyat müzakerelerine ve üreticilerle risk paylaşımına dayanmaktadır. Kalite temelli sözleşmeler ve üyelerin planlama süreçlerine katılımı, sürdürülebilir iş uygulamalarının geliştirilmesine katkıda bulunmuştur (</w:t>
      </w:r>
      <w:proofErr w:type="spellStart"/>
      <w:r w:rsidRPr="00D42316">
        <w:t>Kiyomi</w:t>
      </w:r>
      <w:proofErr w:type="spellEnd"/>
      <w:r w:rsidRPr="00D42316">
        <w:t xml:space="preserve">, 2001). Kooperatif, alternatif gıda dağıtım sistemlerinin oluşturulması ve yerel istihdam yaratılması konularında da önemli başarılar elde etmiştir. Kooperatifin sosyal etkisi, kadınların liderlik becerilerinin geliştirilmesi ve toplumsal cinsiyet rollerinin dönüşümü açısından da önemlidir. </w:t>
      </w:r>
      <w:proofErr w:type="spellStart"/>
      <w:r w:rsidRPr="00D42316">
        <w:t>Seikatsu</w:t>
      </w:r>
      <w:proofErr w:type="spellEnd"/>
      <w:r w:rsidRPr="00D42316">
        <w:t xml:space="preserve"> Club, ev kadınlarının tüketici aktivistlerine ve toplumsal liderlere dönüşümünde katalizör görevi görmüştür (</w:t>
      </w:r>
      <w:proofErr w:type="spellStart"/>
      <w:r w:rsidRPr="00D42316">
        <w:t>Kiyomi</w:t>
      </w:r>
      <w:proofErr w:type="spellEnd"/>
      <w:r w:rsidRPr="00D42316">
        <w:t>, 2001). Sürdürülebilir tüketim pratiklerinin yaygınlaştırılması ve çevre bilincinin artırılması konularında da öncü rol oynamıştır.</w:t>
      </w:r>
    </w:p>
    <w:p w14:paraId="38472FA8" w14:textId="77777777" w:rsidR="006F6B4B" w:rsidRPr="00D42316" w:rsidRDefault="006F6B4B" w:rsidP="0006358D">
      <w:pPr>
        <w:jc w:val="both"/>
      </w:pPr>
    </w:p>
    <w:p w14:paraId="1DFC038B" w14:textId="77777777" w:rsidR="006F6B4B" w:rsidRPr="00D42316" w:rsidRDefault="006F6B4B" w:rsidP="0006358D">
      <w:pPr>
        <w:jc w:val="both"/>
      </w:pPr>
      <w:r w:rsidRPr="00D42316">
        <w:t>1972 yılında Hindistan'da kurulan SEWA (</w:t>
      </w:r>
      <w:r w:rsidRPr="00D42316">
        <w:rPr>
          <w:i/>
        </w:rPr>
        <w:t xml:space="preserve">Self </w:t>
      </w:r>
      <w:proofErr w:type="spellStart"/>
      <w:r w:rsidRPr="00D42316">
        <w:rPr>
          <w:i/>
        </w:rPr>
        <w:t>Employed</w:t>
      </w:r>
      <w:proofErr w:type="spellEnd"/>
      <w:r w:rsidRPr="00D42316">
        <w:rPr>
          <w:i/>
        </w:rPr>
        <w:t xml:space="preserve"> </w:t>
      </w:r>
      <w:proofErr w:type="spellStart"/>
      <w:r w:rsidRPr="00D42316">
        <w:rPr>
          <w:i/>
        </w:rPr>
        <w:t>Women's</w:t>
      </w:r>
      <w:proofErr w:type="spellEnd"/>
      <w:r w:rsidRPr="00D42316">
        <w:rPr>
          <w:i/>
        </w:rPr>
        <w:t xml:space="preserve"> </w:t>
      </w:r>
      <w:proofErr w:type="spellStart"/>
      <w:r w:rsidRPr="00D42316">
        <w:rPr>
          <w:i/>
        </w:rPr>
        <w:t>Association</w:t>
      </w:r>
      <w:proofErr w:type="spellEnd"/>
      <w:r w:rsidRPr="00D42316">
        <w:t xml:space="preserve">), enformel sektörde çalışan kadınların örgütlenmesi açısından dünya çapında bir model oluşturmuştur. </w:t>
      </w:r>
      <w:proofErr w:type="spellStart"/>
      <w:r w:rsidRPr="00D42316">
        <w:t>SEWA'nın</w:t>
      </w:r>
      <w:proofErr w:type="spellEnd"/>
      <w:r w:rsidRPr="00D42316">
        <w:t xml:space="preserve"> başarısı, düşük gelirli kadınların ekonomik ve sosyal güçlenmesinde kooperatiflerin etkili bir araç olabileceğini göstermiştir (</w:t>
      </w:r>
      <w:proofErr w:type="spellStart"/>
      <w:r w:rsidRPr="00D42316">
        <w:t>Datta</w:t>
      </w:r>
      <w:proofErr w:type="spellEnd"/>
      <w:r w:rsidRPr="00D42316">
        <w:t xml:space="preserve"> ve </w:t>
      </w:r>
      <w:proofErr w:type="spellStart"/>
      <w:r w:rsidRPr="00D42316">
        <w:t>Gailey</w:t>
      </w:r>
      <w:proofErr w:type="spellEnd"/>
      <w:r w:rsidRPr="00D42316">
        <w:t xml:space="preserve">, 2012). </w:t>
      </w:r>
      <w:proofErr w:type="spellStart"/>
      <w:r w:rsidRPr="00D42316">
        <w:t>SEWA'nın</w:t>
      </w:r>
      <w:proofErr w:type="spellEnd"/>
      <w:r w:rsidRPr="00D42316">
        <w:t xml:space="preserve"> kurucusu Ela </w:t>
      </w:r>
      <w:proofErr w:type="spellStart"/>
      <w:r w:rsidRPr="00D42316">
        <w:t>Bhatt'ın</w:t>
      </w:r>
      <w:proofErr w:type="spellEnd"/>
      <w:r w:rsidRPr="00D42316">
        <w:t xml:space="preserve"> önderliğinde başlayan hareket, günümüzde Hindistan genelinde 2 milyondan fazla üyeye ulaşmıştır. </w:t>
      </w:r>
      <w:proofErr w:type="spellStart"/>
      <w:r w:rsidRPr="00D42316">
        <w:t>SEWA'nın</w:t>
      </w:r>
      <w:proofErr w:type="spellEnd"/>
      <w:r w:rsidRPr="00D42316">
        <w:t xml:space="preserve"> başarısının temelinde, sendika örgütlenmesi ve kooperatif oluşturma stratejilerini birleştiren ikili yaklaşımı yatmaktadır (</w:t>
      </w:r>
      <w:proofErr w:type="spellStart"/>
      <w:r w:rsidRPr="00D42316">
        <w:t>Bhatt</w:t>
      </w:r>
      <w:proofErr w:type="spellEnd"/>
      <w:r w:rsidRPr="00D42316">
        <w:t xml:space="preserve"> ve </w:t>
      </w:r>
      <w:proofErr w:type="spellStart"/>
      <w:r w:rsidRPr="00D42316">
        <w:t>Bhatt</w:t>
      </w:r>
      <w:proofErr w:type="spellEnd"/>
      <w:r w:rsidRPr="00D42316">
        <w:t>, 2016).</w:t>
      </w:r>
    </w:p>
    <w:p w14:paraId="6820B838" w14:textId="77777777" w:rsidR="006F6B4B" w:rsidRPr="00D42316" w:rsidRDefault="006F6B4B" w:rsidP="0006358D">
      <w:pPr>
        <w:jc w:val="both"/>
      </w:pPr>
    </w:p>
    <w:p w14:paraId="4A483C8C" w14:textId="77777777" w:rsidR="006F6B4B" w:rsidRPr="00D42316" w:rsidRDefault="006F6B4B" w:rsidP="0006358D">
      <w:pPr>
        <w:jc w:val="both"/>
      </w:pPr>
      <w:r w:rsidRPr="00D42316">
        <w:t>SEWA modeli, enformel sektörde çalışan kadınların karşılaştığı çoklu dezavantajları ele alan bütüncül bir yaklaşım benimsemiştir. Sokak satıcıları, ev eksenli çalışanlar, tarım işçileri ve küçük ölçekli üreticiler gibi farklı grupları kapsayan bu model, ekonomik güçlenmenin ötesinde sosyal güvenlik ve işçi hakları konularını da içermektedir (</w:t>
      </w:r>
      <w:proofErr w:type="spellStart"/>
      <w:r w:rsidRPr="00D42316">
        <w:t>Datta</w:t>
      </w:r>
      <w:proofErr w:type="spellEnd"/>
      <w:r w:rsidRPr="00D42316">
        <w:t xml:space="preserve"> ve </w:t>
      </w:r>
      <w:proofErr w:type="spellStart"/>
      <w:r w:rsidRPr="00D42316">
        <w:t>Gailey</w:t>
      </w:r>
      <w:proofErr w:type="spellEnd"/>
      <w:r w:rsidRPr="00D42316">
        <w:t xml:space="preserve">, 2012). SEWA Bank aracılığıyla sunulan </w:t>
      </w:r>
      <w:proofErr w:type="spellStart"/>
      <w:r w:rsidRPr="00D42316">
        <w:t>mikrofinans</w:t>
      </w:r>
      <w:proofErr w:type="spellEnd"/>
      <w:r w:rsidRPr="00D42316">
        <w:t xml:space="preserve"> hizmetleri, üyelerin finansal kaynaklara erişimini kolaylaştırırken, aynı zamanda finansal okuryazarlığın geliştirilmesine de katkıda bulunmaktadır (</w:t>
      </w:r>
      <w:proofErr w:type="spellStart"/>
      <w:r w:rsidRPr="00D42316">
        <w:t>Dash</w:t>
      </w:r>
      <w:proofErr w:type="spellEnd"/>
      <w:r w:rsidRPr="00D42316">
        <w:t>, 2019).</w:t>
      </w:r>
    </w:p>
    <w:p w14:paraId="50479888" w14:textId="77777777" w:rsidR="006F6B4B" w:rsidRPr="00D42316" w:rsidRDefault="006F6B4B" w:rsidP="0006358D">
      <w:pPr>
        <w:jc w:val="both"/>
      </w:pPr>
    </w:p>
    <w:p w14:paraId="65B372CB" w14:textId="18A3E471" w:rsidR="006F6B4B" w:rsidRPr="00D42316" w:rsidRDefault="006F6B4B" w:rsidP="0006358D">
      <w:pPr>
        <w:jc w:val="both"/>
      </w:pPr>
      <w:proofErr w:type="spellStart"/>
      <w:r w:rsidRPr="00D42316">
        <w:t>SEWA'nın</w:t>
      </w:r>
      <w:proofErr w:type="spellEnd"/>
      <w:r w:rsidRPr="00D42316">
        <w:t xml:space="preserve"> etkisi, yerel düzeyden ulusal ve uluslararası düzeye kadar yayılmıştır. Örgüt, enformel sektör çalışanlarının haklarının tanınması ve korunması konusunda önemli yasal değişikliklerin gerçekleşmesinde etkili olmuştur (</w:t>
      </w:r>
      <w:proofErr w:type="spellStart"/>
      <w:r w:rsidRPr="00D42316">
        <w:t>Kabeer</w:t>
      </w:r>
      <w:proofErr w:type="spellEnd"/>
      <w:r w:rsidRPr="00D42316">
        <w:t xml:space="preserve"> vd., 2013). </w:t>
      </w:r>
      <w:proofErr w:type="spellStart"/>
      <w:r w:rsidRPr="00D42316">
        <w:t>SEWA'nın</w:t>
      </w:r>
      <w:proofErr w:type="spellEnd"/>
      <w:r w:rsidRPr="00D42316">
        <w:t xml:space="preserve"> başarısı, sürdürülebilir gelir fırsatları yaratma, çalışma koşullarını iyileştirme ve sosyal güvenlik mekanizmaları geliştirme konularında kanıtlanmıştır. SEWA modelinin küresel bir örnek olarak kabul edilmesinin temel nedenleri arasında, enformel sektör örgütlenmesindeki başarısı, sosyal hareket ile ekonomik girişimi birleştirmesi ve ölçeklenebilir bir model sunması yer almaktadır. Özellikle kapasite geliştirme programları ve pazar bağlantıları oluşturma konusundaki başarılı uygulamaları, dünya genelinde benzer girişimlere ilham kaynağı olmuştur. </w:t>
      </w:r>
      <w:proofErr w:type="spellStart"/>
      <w:r w:rsidRPr="00D42316">
        <w:t>SEWA'nın</w:t>
      </w:r>
      <w:proofErr w:type="spellEnd"/>
      <w:r w:rsidRPr="00D42316">
        <w:t xml:space="preserve"> sağlık ve sigorta hizmetleri gibi sosyal güvenlik programları, üyelerin yaşam kalitesinin iyileştirilmesinde önemli rol oynamıştır. Bu programlar, ekonomik güçlenme ile sosyal koruma arasındaki bağlantıyı güçlendiren başarılı örnekler olarak değerlendirilmektedir (</w:t>
      </w:r>
      <w:proofErr w:type="spellStart"/>
      <w:r w:rsidRPr="00D42316">
        <w:t>Unni</w:t>
      </w:r>
      <w:proofErr w:type="spellEnd"/>
      <w:r w:rsidRPr="00D42316">
        <w:t xml:space="preserve"> ve </w:t>
      </w:r>
      <w:proofErr w:type="spellStart"/>
      <w:r w:rsidRPr="00D42316">
        <w:t>Rani</w:t>
      </w:r>
      <w:proofErr w:type="spellEnd"/>
      <w:r w:rsidRPr="00D42316">
        <w:t xml:space="preserve">, 2009). </w:t>
      </w:r>
      <w:proofErr w:type="spellStart"/>
      <w:r w:rsidRPr="00D42316">
        <w:t>SEWA'nın</w:t>
      </w:r>
      <w:proofErr w:type="spellEnd"/>
      <w:r w:rsidRPr="00D42316">
        <w:t xml:space="preserve"> deneyimi, düşük gelirli kadınların kolektif örgütlenme yoluyla nasıl güçlenebileceğini ve sürdürülebilir değişim yaratabileceğini göstermesi açısından önemlidir. Bu dönemde kurulan kadın kooperatifleri, tüketici </w:t>
      </w:r>
      <w:r w:rsidRPr="00D42316">
        <w:lastRenderedPageBreak/>
        <w:t>kooperatiflerinden tarımsal kooperatiflere, el sanatları kooperatiflerinden kredi ve tasarruf kooperatiflerine kadar geniş bir yelpazede faaliyet göstermiştir (</w:t>
      </w:r>
      <w:proofErr w:type="spellStart"/>
      <w:r w:rsidRPr="00D42316">
        <w:t>Majurin</w:t>
      </w:r>
      <w:proofErr w:type="spellEnd"/>
      <w:r w:rsidRPr="00D42316">
        <w:t>, 2012).</w:t>
      </w:r>
    </w:p>
    <w:p w14:paraId="3047CA56" w14:textId="77777777" w:rsidR="006F6B4B" w:rsidRPr="00D42316" w:rsidRDefault="006F6B4B" w:rsidP="0006358D">
      <w:pPr>
        <w:jc w:val="both"/>
      </w:pPr>
    </w:p>
    <w:p w14:paraId="4D2A10FF" w14:textId="77777777" w:rsidR="006F6B4B" w:rsidRPr="00D42316" w:rsidRDefault="006F6B4B" w:rsidP="0006358D">
      <w:pPr>
        <w:jc w:val="both"/>
      </w:pPr>
      <w:r w:rsidRPr="00D42316">
        <w:t>Kadınların eğitim seviyesinin yükselmesi ve ekonomik haklarına ilişkin farkındalıklarının artması da kooperatif hareketinin gelişimini desteklemiştir. Özellikle kırsal bölgelerde yaşayan kadınların ekonomik faaliyetlere katılımında, kooperatifler önemli bir araç olarak kullanılmıştır. Bu dönemde ortaya çıkan çocuk bakım kooperatifleri, kadınların işgücü piyasasına katılımını destekleyen önemli bir model olmuştur. Savaş sonrası dönemde kadın kooperatiflerinin gösterdiği gelişim, ekonomik örgütlenmenin ötesinde, toplumsal dönüşümün ve kadınların güçlenmesinin önemli bir aracı olarak değerlendirilmektedir. Bu örnekler, sosyal sermaye teorisi perspektifinden değerlendirildiğinde, kooperatiflerin kadınlar arasında güven ve dayanışma ağları oluşturarak toplumsal dönüşüme katkı sağladığı görülmektedir (</w:t>
      </w:r>
      <w:proofErr w:type="spellStart"/>
      <w:r w:rsidRPr="00D42316">
        <w:t>Putnam</w:t>
      </w:r>
      <w:proofErr w:type="spellEnd"/>
      <w:r w:rsidRPr="00D42316">
        <w:t>, 2000). Bu süreç, günümüzde de devam eden kadın kooperatifçiliği hareketinin temellerini oluşturmuştur (</w:t>
      </w:r>
      <w:proofErr w:type="spellStart"/>
      <w:r w:rsidRPr="00D42316">
        <w:t>Hillenkamp</w:t>
      </w:r>
      <w:proofErr w:type="spellEnd"/>
      <w:r w:rsidRPr="00D42316">
        <w:t xml:space="preserve"> ve </w:t>
      </w:r>
      <w:proofErr w:type="spellStart"/>
      <w:r w:rsidRPr="00D42316">
        <w:t>dos</w:t>
      </w:r>
      <w:proofErr w:type="spellEnd"/>
      <w:r w:rsidRPr="00D42316">
        <w:t xml:space="preserve"> Santos, 2019).</w:t>
      </w:r>
    </w:p>
    <w:p w14:paraId="61DAD29D" w14:textId="77777777" w:rsidR="006F6B4B" w:rsidRPr="00D42316" w:rsidRDefault="006F6B4B" w:rsidP="0006358D">
      <w:pPr>
        <w:jc w:val="both"/>
      </w:pPr>
    </w:p>
    <w:p w14:paraId="22CEB1EB" w14:textId="77777777" w:rsidR="006F6B4B" w:rsidRDefault="006F6B4B" w:rsidP="0006358D">
      <w:pPr>
        <w:jc w:val="both"/>
      </w:pPr>
      <w:r w:rsidRPr="00D42316">
        <w:t>Kadın kooperatifleri, özellikle yerel kalkınma teorileri çerçevesinde değerlendirildiğinde, yerelden kalkınma ve sürdürülebilir toplumsal dönüşüm için önemli araçlar olarak görülmektedir. Sürdürülebilir kalkınma yaklaşımı çerçevesinde kadın kooperatifleri, ekonomik, sosyal ve çevresel sürdürülebilirliğin sağlanmasında kritik bir role sahiptir. Bu bağlamda, kadın kooperatifleri sadece ekonomik bir örgütlenme modeli değil, aynı zamanda sosyal inovasyon ve toplumsal dönüşüm aracı olarak da değerlendirilmektedir (</w:t>
      </w:r>
      <w:proofErr w:type="spellStart"/>
      <w:r w:rsidRPr="00D42316">
        <w:t>Datta</w:t>
      </w:r>
      <w:proofErr w:type="spellEnd"/>
      <w:r w:rsidRPr="00D42316">
        <w:t xml:space="preserve"> ve </w:t>
      </w:r>
      <w:proofErr w:type="spellStart"/>
      <w:r w:rsidRPr="00D42316">
        <w:t>Gailey</w:t>
      </w:r>
      <w:proofErr w:type="spellEnd"/>
      <w:r w:rsidRPr="00D42316">
        <w:t>, 2012). Sosyal ekonomi teorisine göre, ekonomik faaliyetler sadece kâr maksimizasyonu hedefiyle değil, aynı zamanda sosyal fayda yaratma amacıyla da gerçekleştirilmelidir (</w:t>
      </w:r>
      <w:proofErr w:type="spellStart"/>
      <w:r w:rsidRPr="00D42316">
        <w:t>Defourny</w:t>
      </w:r>
      <w:proofErr w:type="spellEnd"/>
      <w:r w:rsidRPr="00D42316">
        <w:t xml:space="preserve"> ve </w:t>
      </w:r>
      <w:proofErr w:type="spellStart"/>
      <w:r w:rsidRPr="00D42316">
        <w:t>Nyssens</w:t>
      </w:r>
      <w:proofErr w:type="spellEnd"/>
      <w:r w:rsidRPr="00D42316">
        <w:t>, 2017). Bu bağlamda kadın kooperatifleri, dayanışma ekonomisi prensipleriyle hareket eden, kolektif girişimcilik modellerinin önemli örneklerinden biri olarak değerlendirilmektedir.</w:t>
      </w:r>
    </w:p>
    <w:p w14:paraId="4DC8D6EF" w14:textId="77777777" w:rsidR="00714BC1" w:rsidRPr="00D42316" w:rsidRDefault="00714BC1" w:rsidP="0006358D">
      <w:pPr>
        <w:jc w:val="both"/>
      </w:pPr>
    </w:p>
    <w:p w14:paraId="3B16ACE4" w14:textId="1B9B47DF" w:rsidR="00714BC1" w:rsidRPr="00714BC1" w:rsidRDefault="006F6B4B" w:rsidP="0006358D">
      <w:pPr>
        <w:rPr>
          <w:b/>
          <w:bCs/>
        </w:rPr>
      </w:pPr>
      <w:r w:rsidRPr="00714BC1">
        <w:rPr>
          <w:b/>
          <w:bCs/>
        </w:rPr>
        <w:t>Türkiye’de Kadın Kooperatifi Hareketi</w:t>
      </w:r>
    </w:p>
    <w:p w14:paraId="6CDFE420" w14:textId="77777777" w:rsidR="006F6B4B" w:rsidRPr="00D42316" w:rsidRDefault="006F6B4B" w:rsidP="0006358D">
      <w:pPr>
        <w:jc w:val="both"/>
      </w:pPr>
      <w:r w:rsidRPr="00D42316">
        <w:t>Türkiye'de kadın kooperatifçiliğinin gelişimi, 1990'ların sonlarına dayanmaktadır. KEDV (Kadın Emeğini Değerlendirme Vakfı) öncülüğünde başlayan hareket, 2000'li yıllarda hız kazanmıştır. 2001 yılında KEDV ve birlikte çalıştığı yerel kadın grupları, yoksul kadınların ihtiyaç odaklı örgütlenmesi için bir model arayışına girmesiyle; kooperatif bu ihtiyaçlara cevap verebilecek uygun bir örgütlenme biçimi olarak belirlenmiştir. Örnek kuruluş sözleşmesinin vakıf bünyesinde hazırlanmasıyla, ilk kadın kooperatifleri 2001 yılı itibariyle kurulmaya başlanmıştır. Yine vakıf bünyesinde, kooperatifleşme girişimlerini desteklemek üzere deneyimlerini yazılı hale getirildiği Kadınlar için Kooperatifleşme El Kitabı’nı hazırlanmıştır. 2004 yılında vakıf bünyesinde gerçekleştirilen toplantıda, 14 kadın kooperatifinin bir araya gelerek deneyimlerini paylaşması mümkün olmuştur. İzleyen yılda kadın kooperatifleri buluşmasının ilki, 35 kadın kooperatifinin katılımıyla resmi olarak gerçekleştirilmiştir. 2005-2007 yılları arasında kurulan kadın girişimci kooperatifleri arasında koordinasyon sağlamak amacıyla Kadın Kooperatifleri İletişim Ağı kurulmuştur. Takip eden süreçte iletişim ağının ilkeleri hazırlanarak web sitesi kurulmuş böylelikle “kadinkooperatifleri.org” bir tüzel kimlik kazanmıştır. Bakanlıkların sürece ilk defa müdahil olması 2013 yılında, Aile ve Sosyal Politikalar Bakanı Fatma Şahin ile Gümrük ve Ticaret Bakanı Hayata Yazıcı’nın tamamladıkları kadın kooperatifleri ile ilgili çalışmanın, yasa değişikliği ile hayata geçirileceğinin duyurulması yoluyla olmuş ancak yasa değişikliğine izleyen süreçte ilişkin herhangi bir gelişme kayda alınmamıştır. 2014 yılına gelindiğinde, kadın Kooperatifleri Birliği, “SİMURG” adı altında kurulmuş ve faaliyetlerine başlamıştır.</w:t>
      </w:r>
    </w:p>
    <w:p w14:paraId="782296EA" w14:textId="77777777" w:rsidR="006F6B4B" w:rsidRPr="00D42316" w:rsidRDefault="006F6B4B" w:rsidP="0006358D">
      <w:pPr>
        <w:jc w:val="both"/>
      </w:pPr>
    </w:p>
    <w:p w14:paraId="620487CA" w14:textId="77777777" w:rsidR="006F6B4B" w:rsidRPr="00D42316" w:rsidRDefault="006F6B4B" w:rsidP="0006358D">
      <w:pPr>
        <w:jc w:val="both"/>
      </w:pPr>
      <w:r w:rsidRPr="00D42316">
        <w:rPr>
          <w:noProof/>
        </w:rPr>
        <mc:AlternateContent>
          <mc:Choice Requires="wpg">
            <w:drawing>
              <wp:inline distT="0" distB="0" distL="0" distR="0" wp14:anchorId="4992D026" wp14:editId="20481CEB">
                <wp:extent cx="6230513" cy="7121431"/>
                <wp:effectExtent l="0" t="0" r="0" b="0"/>
                <wp:docPr id="1860148527" name="Grup 1860148527"/>
                <wp:cNvGraphicFramePr/>
                <a:graphic xmlns:a="http://schemas.openxmlformats.org/drawingml/2006/main">
                  <a:graphicData uri="http://schemas.microsoft.com/office/word/2010/wordprocessingGroup">
                    <wpg:wgp>
                      <wpg:cNvGrpSpPr/>
                      <wpg:grpSpPr>
                        <a:xfrm>
                          <a:off x="0" y="0"/>
                          <a:ext cx="6230513" cy="7121431"/>
                          <a:chOff x="0" y="0"/>
                          <a:chExt cx="6230500" cy="7125175"/>
                        </a:xfrm>
                      </wpg:grpSpPr>
                      <wpg:grpSp>
                        <wpg:cNvPr id="1803018112" name="Grup 1803018112"/>
                        <wpg:cNvGrpSpPr/>
                        <wpg:grpSpPr>
                          <a:xfrm>
                            <a:off x="0" y="0"/>
                            <a:ext cx="6230500" cy="7121425"/>
                            <a:chOff x="0" y="0"/>
                            <a:chExt cx="6230500" cy="7121425"/>
                          </a:xfrm>
                        </wpg:grpSpPr>
                        <wps:wsp>
                          <wps:cNvPr id="842019875" name="Dikdörtgen 842019875"/>
                          <wps:cNvSpPr/>
                          <wps:spPr>
                            <a:xfrm>
                              <a:off x="0" y="0"/>
                              <a:ext cx="6230500" cy="7121425"/>
                            </a:xfrm>
                            <a:prstGeom prst="rect">
                              <a:avLst/>
                            </a:prstGeom>
                            <a:noFill/>
                            <a:ln>
                              <a:noFill/>
                            </a:ln>
                          </wps:spPr>
                          <wps:txbx>
                            <w:txbxContent>
                              <w:p w14:paraId="6BD7A98B" w14:textId="77777777" w:rsidR="006F6B4B" w:rsidRDefault="006F6B4B" w:rsidP="006F6B4B">
                                <w:pPr>
                                  <w:textDirection w:val="btLr"/>
                                </w:pPr>
                              </w:p>
                            </w:txbxContent>
                          </wps:txbx>
                          <wps:bodyPr spcFirstLastPara="1" wrap="square" lIns="91425" tIns="91425" rIns="91425" bIns="91425" anchor="ctr" anchorCtr="0">
                            <a:noAutofit/>
                          </wps:bodyPr>
                        </wps:wsp>
                        <wps:wsp>
                          <wps:cNvPr id="509880794" name="Serbest Form: Şekil 509880794"/>
                          <wps:cNvSpPr/>
                          <wps:spPr>
                            <a:xfrm>
                              <a:off x="2848614" y="647788"/>
                              <a:ext cx="499084" cy="91440"/>
                            </a:xfrm>
                            <a:custGeom>
                              <a:avLst/>
                              <a:gdLst/>
                              <a:ahLst/>
                              <a:cxnLst/>
                              <a:rect l="l" t="t" r="r" b="b"/>
                              <a:pathLst>
                                <a:path w="120000" h="120000" extrusionOk="0">
                                  <a:moveTo>
                                    <a:pt x="0" y="60000"/>
                                  </a:moveTo>
                                  <a:lnTo>
                                    <a:pt x="120000" y="60000"/>
                                  </a:lnTo>
                                </a:path>
                              </a:pathLst>
                            </a:custGeom>
                            <a:noFill/>
                            <a:ln w="9525" cap="flat" cmpd="sng">
                              <a:solidFill>
                                <a:schemeClr val="dk1"/>
                              </a:solidFill>
                              <a:prstDash val="solid"/>
                              <a:miter lim="800000"/>
                              <a:headEnd type="none" w="sm" len="sm"/>
                              <a:tailEnd type="stealth" w="med" len="med"/>
                            </a:ln>
                          </wps:spPr>
                          <wps:txbx>
                            <w:txbxContent>
                              <w:p w14:paraId="4B901E33" w14:textId="77777777" w:rsidR="006F6B4B" w:rsidRDefault="006F6B4B" w:rsidP="006F6B4B">
                                <w:pPr>
                                  <w:textDirection w:val="btLr"/>
                                </w:pPr>
                              </w:p>
                            </w:txbxContent>
                          </wps:txbx>
                          <wps:bodyPr spcFirstLastPara="1" wrap="square" lIns="91425" tIns="91425" rIns="91425" bIns="91425" anchor="ctr" anchorCtr="0">
                            <a:noAutofit/>
                          </wps:bodyPr>
                        </wps:wsp>
                        <wps:wsp>
                          <wps:cNvPr id="1126644008" name="Metin Kutusu 1126644008"/>
                          <wps:cNvSpPr txBox="1"/>
                          <wps:spPr>
                            <a:xfrm>
                              <a:off x="3084914" y="690859"/>
                              <a:ext cx="26484" cy="5296"/>
                            </a:xfrm>
                            <a:prstGeom prst="rect">
                              <a:avLst/>
                            </a:prstGeom>
                            <a:noFill/>
                            <a:ln>
                              <a:noFill/>
                            </a:ln>
                          </wps:spPr>
                          <wps:txbx>
                            <w:txbxContent>
                              <w:p w14:paraId="72E36929"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211618152" name="Dikdörtgen 211618152"/>
                          <wps:cNvSpPr/>
                          <wps:spPr>
                            <a:xfrm>
                              <a:off x="547436" y="2614"/>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946338C" w14:textId="77777777" w:rsidR="006F6B4B" w:rsidRDefault="006F6B4B" w:rsidP="006F6B4B">
                                <w:pPr>
                                  <w:textDirection w:val="btLr"/>
                                </w:pPr>
                              </w:p>
                            </w:txbxContent>
                          </wps:txbx>
                          <wps:bodyPr spcFirstLastPara="1" wrap="square" lIns="91425" tIns="91425" rIns="91425" bIns="91425" anchor="ctr" anchorCtr="0">
                            <a:noAutofit/>
                          </wps:bodyPr>
                        </wps:wsp>
                        <wps:wsp>
                          <wps:cNvPr id="155738837" name="Metin Kutusu 155738837"/>
                          <wps:cNvSpPr txBox="1"/>
                          <wps:spPr>
                            <a:xfrm>
                              <a:off x="547436" y="2614"/>
                              <a:ext cx="2302977" cy="1381786"/>
                            </a:xfrm>
                            <a:prstGeom prst="rect">
                              <a:avLst/>
                            </a:prstGeom>
                            <a:noFill/>
                            <a:ln>
                              <a:noFill/>
                            </a:ln>
                          </wps:spPr>
                          <wps:txbx>
                            <w:txbxContent>
                              <w:p w14:paraId="353439AF" w14:textId="77777777" w:rsidR="006F6B4B" w:rsidRDefault="006F6B4B" w:rsidP="006F6B4B">
                                <w:pPr>
                                  <w:spacing w:line="215" w:lineRule="auto"/>
                                  <w:textDirection w:val="btLr"/>
                                </w:pPr>
                                <w:r>
                                  <w:rPr>
                                    <w:rFonts w:ascii="Arial" w:eastAsia="Arial" w:hAnsi="Arial" w:cs="Arial"/>
                                    <w:color w:val="000000"/>
                                    <w:sz w:val="14"/>
                                  </w:rPr>
                                  <w:t>2001-2004</w:t>
                                </w:r>
                              </w:p>
                              <w:p w14:paraId="2F95AE6A" w14:textId="77777777" w:rsidR="006F6B4B" w:rsidRDefault="006F6B4B" w:rsidP="006F6B4B">
                                <w:pPr>
                                  <w:spacing w:before="49" w:line="215" w:lineRule="auto"/>
                                  <w:ind w:left="90" w:firstLine="50"/>
                                  <w:textDirection w:val="btLr"/>
                                </w:pPr>
                                <w:r>
                                  <w:rPr>
                                    <w:rFonts w:ascii="Arial" w:eastAsia="Arial" w:hAnsi="Arial" w:cs="Arial"/>
                                    <w:color w:val="000000"/>
                                    <w:sz w:val="10"/>
                                  </w:rPr>
                                  <w:t xml:space="preserve">2001 yılında KEDV ve birlikte çalıştığı yerel kadın grupları, yoksul kadınların ihtiyaç odaklı örgütlenmesi için model geliştirmek üzere çalışma başlattı. Bu kapsamda kooperatif, uygun bir örgütlenme biçimi olarak belirlendi. İhtiyaca uygun bir ana sözleşme örneği hazırlandı ve ilk kadın kooperatifleri kurulmaya başlandı. Kadın Emeğini Değerlendirme Vakfı, kooperatifleşme girişimlerini desteklemek üzere deneyimlerini yazılı hale getirdi ve Kadınlar için Kooperatifleşme El Kitabı’nı hazırladı. </w:t>
                                </w:r>
                              </w:p>
                            </w:txbxContent>
                          </wps:txbx>
                          <wps:bodyPr spcFirstLastPara="1" wrap="square" lIns="35550" tIns="35550" rIns="35550" bIns="35550" anchor="t" anchorCtr="0">
                            <a:noAutofit/>
                          </wps:bodyPr>
                        </wps:wsp>
                        <wps:wsp>
                          <wps:cNvPr id="1113594298" name="Serbest Form: Şekil 1113594298"/>
                          <wps:cNvSpPr/>
                          <wps:spPr>
                            <a:xfrm>
                              <a:off x="1698925" y="1382601"/>
                              <a:ext cx="2832662" cy="499084"/>
                            </a:xfrm>
                            <a:custGeom>
                              <a:avLst/>
                              <a:gdLst/>
                              <a:ahLst/>
                              <a:cxnLst/>
                              <a:rect l="l" t="t" r="r" b="b"/>
                              <a:pathLst>
                                <a:path w="120000" h="120000" extrusionOk="0">
                                  <a:moveTo>
                                    <a:pt x="120000" y="0"/>
                                  </a:moveTo>
                                  <a:lnTo>
                                    <a:pt x="120000" y="64112"/>
                                  </a:lnTo>
                                  <a:lnTo>
                                    <a:pt x="0" y="64112"/>
                                  </a:lnTo>
                                  <a:lnTo>
                                    <a:pt x="0" y="120000"/>
                                  </a:lnTo>
                                </a:path>
                              </a:pathLst>
                            </a:custGeom>
                            <a:noFill/>
                            <a:ln w="9525" cap="flat" cmpd="sng">
                              <a:solidFill>
                                <a:schemeClr val="dk1"/>
                              </a:solidFill>
                              <a:prstDash val="solid"/>
                              <a:miter lim="800000"/>
                              <a:headEnd type="none" w="sm" len="sm"/>
                              <a:tailEnd type="stealth" w="med" len="med"/>
                            </a:ln>
                          </wps:spPr>
                          <wps:txbx>
                            <w:txbxContent>
                              <w:p w14:paraId="1C50E90F" w14:textId="77777777" w:rsidR="006F6B4B" w:rsidRDefault="006F6B4B" w:rsidP="006F6B4B">
                                <w:pPr>
                                  <w:textDirection w:val="btLr"/>
                                </w:pPr>
                              </w:p>
                            </w:txbxContent>
                          </wps:txbx>
                          <wps:bodyPr spcFirstLastPara="1" wrap="square" lIns="91425" tIns="91425" rIns="91425" bIns="91425" anchor="ctr" anchorCtr="0">
                            <a:noAutofit/>
                          </wps:bodyPr>
                        </wps:wsp>
                        <wps:wsp>
                          <wps:cNvPr id="720402651" name="Metin Kutusu 720402651"/>
                          <wps:cNvSpPr txBox="1"/>
                          <wps:spPr>
                            <a:xfrm>
                              <a:off x="3043212" y="1629495"/>
                              <a:ext cx="144088" cy="5296"/>
                            </a:xfrm>
                            <a:prstGeom prst="rect">
                              <a:avLst/>
                            </a:prstGeom>
                            <a:noFill/>
                            <a:ln>
                              <a:noFill/>
                            </a:ln>
                          </wps:spPr>
                          <wps:txbx>
                            <w:txbxContent>
                              <w:p w14:paraId="6709A20A"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1754415446" name="Dikdörtgen 1754415446"/>
                          <wps:cNvSpPr/>
                          <wps:spPr>
                            <a:xfrm>
                              <a:off x="3380098" y="2614"/>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79A3F4F" w14:textId="77777777" w:rsidR="006F6B4B" w:rsidRDefault="006F6B4B" w:rsidP="006F6B4B">
                                <w:pPr>
                                  <w:textDirection w:val="btLr"/>
                                </w:pPr>
                              </w:p>
                            </w:txbxContent>
                          </wps:txbx>
                          <wps:bodyPr spcFirstLastPara="1" wrap="square" lIns="91425" tIns="91425" rIns="91425" bIns="91425" anchor="ctr" anchorCtr="0">
                            <a:noAutofit/>
                          </wps:bodyPr>
                        </wps:wsp>
                        <wps:wsp>
                          <wps:cNvPr id="1037331421" name="Metin Kutusu 1037331421"/>
                          <wps:cNvSpPr txBox="1"/>
                          <wps:spPr>
                            <a:xfrm>
                              <a:off x="3380098" y="2614"/>
                              <a:ext cx="2302977" cy="1381786"/>
                            </a:xfrm>
                            <a:prstGeom prst="rect">
                              <a:avLst/>
                            </a:prstGeom>
                            <a:noFill/>
                            <a:ln>
                              <a:noFill/>
                            </a:ln>
                          </wps:spPr>
                          <wps:txbx>
                            <w:txbxContent>
                              <w:p w14:paraId="737BA631" w14:textId="77777777" w:rsidR="006F6B4B" w:rsidRDefault="006F6B4B" w:rsidP="006F6B4B">
                                <w:pPr>
                                  <w:spacing w:line="215" w:lineRule="auto"/>
                                  <w:textDirection w:val="btLr"/>
                                </w:pPr>
                                <w:r>
                                  <w:rPr>
                                    <w:rFonts w:ascii="Arial" w:eastAsia="Arial" w:hAnsi="Arial" w:cs="Arial"/>
                                    <w:color w:val="000000"/>
                                    <w:sz w:val="18"/>
                                  </w:rPr>
                                  <w:t>2004</w:t>
                                </w:r>
                              </w:p>
                              <w:p w14:paraId="69A3A69A" w14:textId="77777777" w:rsidR="006F6B4B" w:rsidRDefault="006F6B4B" w:rsidP="006F6B4B">
                                <w:pPr>
                                  <w:spacing w:before="62" w:line="215" w:lineRule="auto"/>
                                  <w:ind w:left="90" w:firstLine="70"/>
                                  <w:textDirection w:val="btLr"/>
                                </w:pPr>
                              </w:p>
                              <w:p w14:paraId="463B4513" w14:textId="77777777" w:rsidR="006F6B4B" w:rsidRDefault="006F6B4B" w:rsidP="006F6B4B">
                                <w:pPr>
                                  <w:spacing w:before="21" w:line="215" w:lineRule="auto"/>
                                  <w:ind w:left="90" w:firstLine="70"/>
                                  <w:textDirection w:val="btLr"/>
                                </w:pPr>
                                <w:r>
                                  <w:rPr>
                                    <w:rFonts w:ascii="Arial" w:eastAsia="Arial" w:hAnsi="Arial" w:cs="Arial"/>
                                    <w:color w:val="000000"/>
                                    <w:sz w:val="14"/>
                                  </w:rPr>
                                  <w:t>KEDV'in desteği ile Düzce’de ilk kez 14Kooperatif bir araya geldi.</w:t>
                                </w:r>
                              </w:p>
                            </w:txbxContent>
                          </wps:txbx>
                          <wps:bodyPr spcFirstLastPara="1" wrap="square" lIns="64000" tIns="64000" rIns="64000" bIns="64000" anchor="t" anchorCtr="0">
                            <a:noAutofit/>
                          </wps:bodyPr>
                        </wps:wsp>
                        <wps:wsp>
                          <wps:cNvPr id="868990941" name="Serbest Form: Şekil 868990941"/>
                          <wps:cNvSpPr/>
                          <wps:spPr>
                            <a:xfrm>
                              <a:off x="2848614" y="2559259"/>
                              <a:ext cx="499084" cy="91440"/>
                            </a:xfrm>
                            <a:custGeom>
                              <a:avLst/>
                              <a:gdLst/>
                              <a:ahLst/>
                              <a:cxnLst/>
                              <a:rect l="l" t="t" r="r" b="b"/>
                              <a:pathLst>
                                <a:path w="120000" h="120000" extrusionOk="0">
                                  <a:moveTo>
                                    <a:pt x="0" y="60000"/>
                                  </a:moveTo>
                                  <a:lnTo>
                                    <a:pt x="120000" y="60000"/>
                                  </a:lnTo>
                                </a:path>
                              </a:pathLst>
                            </a:custGeom>
                            <a:noFill/>
                            <a:ln w="9525" cap="flat" cmpd="sng">
                              <a:solidFill>
                                <a:schemeClr val="dk1"/>
                              </a:solidFill>
                              <a:prstDash val="solid"/>
                              <a:miter lim="800000"/>
                              <a:headEnd type="none" w="sm" len="sm"/>
                              <a:tailEnd type="stealth" w="med" len="med"/>
                            </a:ln>
                          </wps:spPr>
                          <wps:txbx>
                            <w:txbxContent>
                              <w:p w14:paraId="6AD5CFA7" w14:textId="77777777" w:rsidR="006F6B4B" w:rsidRDefault="006F6B4B" w:rsidP="006F6B4B">
                                <w:pPr>
                                  <w:textDirection w:val="btLr"/>
                                </w:pPr>
                              </w:p>
                            </w:txbxContent>
                          </wps:txbx>
                          <wps:bodyPr spcFirstLastPara="1" wrap="square" lIns="91425" tIns="91425" rIns="91425" bIns="91425" anchor="ctr" anchorCtr="0">
                            <a:noAutofit/>
                          </wps:bodyPr>
                        </wps:wsp>
                        <wps:wsp>
                          <wps:cNvPr id="2101541565" name="Metin Kutusu 2101541565"/>
                          <wps:cNvSpPr txBox="1"/>
                          <wps:spPr>
                            <a:xfrm>
                              <a:off x="3084914" y="2602331"/>
                              <a:ext cx="26484" cy="5296"/>
                            </a:xfrm>
                            <a:prstGeom prst="rect">
                              <a:avLst/>
                            </a:prstGeom>
                            <a:noFill/>
                            <a:ln>
                              <a:noFill/>
                            </a:ln>
                          </wps:spPr>
                          <wps:txbx>
                            <w:txbxContent>
                              <w:p w14:paraId="278C2D22"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1113524312" name="Dikdörtgen 1113524312"/>
                          <wps:cNvSpPr/>
                          <wps:spPr>
                            <a:xfrm>
                              <a:off x="547436" y="1914086"/>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47AC47BE" w14:textId="77777777" w:rsidR="006F6B4B" w:rsidRDefault="006F6B4B" w:rsidP="006F6B4B">
                                <w:pPr>
                                  <w:textDirection w:val="btLr"/>
                                </w:pPr>
                              </w:p>
                            </w:txbxContent>
                          </wps:txbx>
                          <wps:bodyPr spcFirstLastPara="1" wrap="square" lIns="91425" tIns="91425" rIns="91425" bIns="91425" anchor="ctr" anchorCtr="0">
                            <a:noAutofit/>
                          </wps:bodyPr>
                        </wps:wsp>
                        <wps:wsp>
                          <wps:cNvPr id="1393576254" name="Metin Kutusu 1393576254"/>
                          <wps:cNvSpPr txBox="1"/>
                          <wps:spPr>
                            <a:xfrm>
                              <a:off x="547436" y="1914086"/>
                              <a:ext cx="2302977" cy="1381786"/>
                            </a:xfrm>
                            <a:prstGeom prst="rect">
                              <a:avLst/>
                            </a:prstGeom>
                            <a:noFill/>
                            <a:ln>
                              <a:noFill/>
                            </a:ln>
                          </wps:spPr>
                          <wps:txbx>
                            <w:txbxContent>
                              <w:p w14:paraId="37492E6C" w14:textId="77777777" w:rsidR="006F6B4B" w:rsidRDefault="006F6B4B" w:rsidP="006F6B4B">
                                <w:pPr>
                                  <w:spacing w:line="215" w:lineRule="auto"/>
                                  <w:textDirection w:val="btLr"/>
                                </w:pPr>
                                <w:r>
                                  <w:rPr>
                                    <w:rFonts w:ascii="Arial" w:eastAsia="Arial" w:hAnsi="Arial" w:cs="Arial"/>
                                    <w:color w:val="000000"/>
                                    <w:sz w:val="18"/>
                                  </w:rPr>
                                  <w:t>2005</w:t>
                                </w:r>
                              </w:p>
                              <w:p w14:paraId="0D86BC61" w14:textId="77777777" w:rsidR="006F6B4B" w:rsidRDefault="006F6B4B" w:rsidP="006F6B4B">
                                <w:pPr>
                                  <w:spacing w:before="62" w:line="215" w:lineRule="auto"/>
                                  <w:ind w:left="90" w:firstLine="70"/>
                                  <w:textDirection w:val="btLr"/>
                                </w:pPr>
                                <w:r>
                                  <w:rPr>
                                    <w:rFonts w:ascii="Arial" w:eastAsia="Arial" w:hAnsi="Arial" w:cs="Arial"/>
                                    <w:color w:val="000000"/>
                                    <w:sz w:val="14"/>
                                  </w:rPr>
                                  <w:t>I.Kadın Kooperatifleri Buluşması’nda 35 kadın kooperatifi bir araya gelerek aralarındaki iletişimi güçlendirmek ve birlikte çalışmanın yollarını geliştirmek üzere ilk adımları attılar.</w:t>
                                </w:r>
                              </w:p>
                            </w:txbxContent>
                          </wps:txbx>
                          <wps:bodyPr spcFirstLastPara="1" wrap="square" lIns="64000" tIns="64000" rIns="64000" bIns="64000" anchor="t" anchorCtr="0">
                            <a:noAutofit/>
                          </wps:bodyPr>
                        </wps:wsp>
                        <wps:wsp>
                          <wps:cNvPr id="89831200" name="Serbest Form: Şekil 89831200"/>
                          <wps:cNvSpPr/>
                          <wps:spPr>
                            <a:xfrm>
                              <a:off x="1698925" y="3294073"/>
                              <a:ext cx="2832662" cy="499084"/>
                            </a:xfrm>
                            <a:custGeom>
                              <a:avLst/>
                              <a:gdLst/>
                              <a:ahLst/>
                              <a:cxnLst/>
                              <a:rect l="l" t="t" r="r" b="b"/>
                              <a:pathLst>
                                <a:path w="120000" h="120000" extrusionOk="0">
                                  <a:moveTo>
                                    <a:pt x="120000" y="0"/>
                                  </a:moveTo>
                                  <a:lnTo>
                                    <a:pt x="120000" y="64112"/>
                                  </a:lnTo>
                                  <a:lnTo>
                                    <a:pt x="0" y="64112"/>
                                  </a:lnTo>
                                  <a:lnTo>
                                    <a:pt x="0" y="120000"/>
                                  </a:lnTo>
                                </a:path>
                              </a:pathLst>
                            </a:custGeom>
                            <a:noFill/>
                            <a:ln w="9525" cap="flat" cmpd="sng">
                              <a:solidFill>
                                <a:schemeClr val="dk1"/>
                              </a:solidFill>
                              <a:prstDash val="solid"/>
                              <a:miter lim="800000"/>
                              <a:headEnd type="none" w="sm" len="sm"/>
                              <a:tailEnd type="stealth" w="med" len="med"/>
                            </a:ln>
                          </wps:spPr>
                          <wps:txbx>
                            <w:txbxContent>
                              <w:p w14:paraId="04F5923C" w14:textId="77777777" w:rsidR="006F6B4B" w:rsidRDefault="006F6B4B" w:rsidP="006F6B4B">
                                <w:pPr>
                                  <w:textDirection w:val="btLr"/>
                                </w:pPr>
                              </w:p>
                            </w:txbxContent>
                          </wps:txbx>
                          <wps:bodyPr spcFirstLastPara="1" wrap="square" lIns="91425" tIns="91425" rIns="91425" bIns="91425" anchor="ctr" anchorCtr="0">
                            <a:noAutofit/>
                          </wps:bodyPr>
                        </wps:wsp>
                        <wps:wsp>
                          <wps:cNvPr id="1219648001" name="Metin Kutusu 1219648001"/>
                          <wps:cNvSpPr txBox="1"/>
                          <wps:spPr>
                            <a:xfrm>
                              <a:off x="3043212" y="3540967"/>
                              <a:ext cx="144088" cy="5296"/>
                            </a:xfrm>
                            <a:prstGeom prst="rect">
                              <a:avLst/>
                            </a:prstGeom>
                            <a:noFill/>
                            <a:ln>
                              <a:noFill/>
                            </a:ln>
                          </wps:spPr>
                          <wps:txbx>
                            <w:txbxContent>
                              <w:p w14:paraId="5BF7B5BA"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1199012540" name="Dikdörtgen 1199012540"/>
                          <wps:cNvSpPr/>
                          <wps:spPr>
                            <a:xfrm>
                              <a:off x="3380098" y="1914086"/>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490387AC" w14:textId="77777777" w:rsidR="006F6B4B" w:rsidRDefault="006F6B4B" w:rsidP="006F6B4B">
                                <w:pPr>
                                  <w:textDirection w:val="btLr"/>
                                </w:pPr>
                              </w:p>
                            </w:txbxContent>
                          </wps:txbx>
                          <wps:bodyPr spcFirstLastPara="1" wrap="square" lIns="91425" tIns="91425" rIns="91425" bIns="91425" anchor="ctr" anchorCtr="0">
                            <a:noAutofit/>
                          </wps:bodyPr>
                        </wps:wsp>
                        <wps:wsp>
                          <wps:cNvPr id="1536938368" name="Metin Kutusu 1536938368"/>
                          <wps:cNvSpPr txBox="1"/>
                          <wps:spPr>
                            <a:xfrm>
                              <a:off x="3380098" y="1914086"/>
                              <a:ext cx="2302977" cy="1381786"/>
                            </a:xfrm>
                            <a:prstGeom prst="rect">
                              <a:avLst/>
                            </a:prstGeom>
                            <a:noFill/>
                            <a:ln>
                              <a:noFill/>
                            </a:ln>
                          </wps:spPr>
                          <wps:txbx>
                            <w:txbxContent>
                              <w:p w14:paraId="2778A8ED" w14:textId="77777777" w:rsidR="006F6B4B" w:rsidRDefault="006F6B4B" w:rsidP="006F6B4B">
                                <w:pPr>
                                  <w:spacing w:line="215" w:lineRule="auto"/>
                                  <w:textDirection w:val="btLr"/>
                                </w:pPr>
                                <w:r>
                                  <w:rPr>
                                    <w:rFonts w:ascii="Arial" w:eastAsia="Arial" w:hAnsi="Arial" w:cs="Arial"/>
                                    <w:color w:val="000000"/>
                                    <w:sz w:val="18"/>
                                  </w:rPr>
                                  <w:t>2005-2007</w:t>
                                </w:r>
                              </w:p>
                              <w:p w14:paraId="5AF564F6" w14:textId="77777777" w:rsidR="006F6B4B" w:rsidRDefault="006F6B4B" w:rsidP="006F6B4B">
                                <w:pPr>
                                  <w:spacing w:before="62" w:line="215" w:lineRule="auto"/>
                                  <w:ind w:left="90" w:firstLine="70"/>
                                  <w:textDirection w:val="btLr"/>
                                </w:pPr>
                                <w:r>
                                  <w:rPr>
                                    <w:rFonts w:ascii="Arial" w:eastAsia="Arial" w:hAnsi="Arial" w:cs="Arial"/>
                                    <w:color w:val="000000"/>
                                    <w:sz w:val="14"/>
                                  </w:rPr>
                                  <w:t>KEDV ile Umut Işığı, İlk Adım, Biga ve Simge Kadın Kooperatifleri, Kadın Kooperatifleri İletişim Ağı’nı oluşturmak üzere AB’den kaynak sağladılar.</w:t>
                                </w:r>
                              </w:p>
                            </w:txbxContent>
                          </wps:txbx>
                          <wps:bodyPr spcFirstLastPara="1" wrap="square" lIns="64000" tIns="64000" rIns="64000" bIns="64000" anchor="t" anchorCtr="0">
                            <a:noAutofit/>
                          </wps:bodyPr>
                        </wps:wsp>
                        <wps:wsp>
                          <wps:cNvPr id="1102659391" name="Serbest Form: Şekil 1102659391"/>
                          <wps:cNvSpPr/>
                          <wps:spPr>
                            <a:xfrm>
                              <a:off x="2848614" y="4470731"/>
                              <a:ext cx="499084" cy="91440"/>
                            </a:xfrm>
                            <a:custGeom>
                              <a:avLst/>
                              <a:gdLst/>
                              <a:ahLst/>
                              <a:cxnLst/>
                              <a:rect l="l" t="t" r="r" b="b"/>
                              <a:pathLst>
                                <a:path w="120000" h="120000" extrusionOk="0">
                                  <a:moveTo>
                                    <a:pt x="0" y="60000"/>
                                  </a:moveTo>
                                  <a:lnTo>
                                    <a:pt x="120000" y="60000"/>
                                  </a:lnTo>
                                </a:path>
                              </a:pathLst>
                            </a:custGeom>
                            <a:noFill/>
                            <a:ln w="9525" cap="flat" cmpd="sng">
                              <a:solidFill>
                                <a:schemeClr val="dk1"/>
                              </a:solidFill>
                              <a:prstDash val="solid"/>
                              <a:miter lim="800000"/>
                              <a:headEnd type="none" w="sm" len="sm"/>
                              <a:tailEnd type="stealth" w="med" len="med"/>
                            </a:ln>
                          </wps:spPr>
                          <wps:txbx>
                            <w:txbxContent>
                              <w:p w14:paraId="132F1B8B" w14:textId="77777777" w:rsidR="006F6B4B" w:rsidRDefault="006F6B4B" w:rsidP="006F6B4B">
                                <w:pPr>
                                  <w:textDirection w:val="btLr"/>
                                </w:pPr>
                              </w:p>
                            </w:txbxContent>
                          </wps:txbx>
                          <wps:bodyPr spcFirstLastPara="1" wrap="square" lIns="91425" tIns="91425" rIns="91425" bIns="91425" anchor="ctr" anchorCtr="0">
                            <a:noAutofit/>
                          </wps:bodyPr>
                        </wps:wsp>
                        <wps:wsp>
                          <wps:cNvPr id="2005195466" name="Metin Kutusu 2005195466"/>
                          <wps:cNvSpPr txBox="1"/>
                          <wps:spPr>
                            <a:xfrm>
                              <a:off x="3084914" y="4513802"/>
                              <a:ext cx="26484" cy="5296"/>
                            </a:xfrm>
                            <a:prstGeom prst="rect">
                              <a:avLst/>
                            </a:prstGeom>
                            <a:noFill/>
                            <a:ln>
                              <a:noFill/>
                            </a:ln>
                          </wps:spPr>
                          <wps:txbx>
                            <w:txbxContent>
                              <w:p w14:paraId="114065BC"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623385889" name="Dikdörtgen 623385889"/>
                          <wps:cNvSpPr/>
                          <wps:spPr>
                            <a:xfrm>
                              <a:off x="547436" y="3825557"/>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E8BA6A6" w14:textId="77777777" w:rsidR="006F6B4B" w:rsidRDefault="006F6B4B" w:rsidP="006F6B4B">
                                <w:pPr>
                                  <w:textDirection w:val="btLr"/>
                                </w:pPr>
                              </w:p>
                            </w:txbxContent>
                          </wps:txbx>
                          <wps:bodyPr spcFirstLastPara="1" wrap="square" lIns="91425" tIns="91425" rIns="91425" bIns="91425" anchor="ctr" anchorCtr="0">
                            <a:noAutofit/>
                          </wps:bodyPr>
                        </wps:wsp>
                        <wps:wsp>
                          <wps:cNvPr id="1905181261" name="Metin Kutusu 1905181261"/>
                          <wps:cNvSpPr txBox="1"/>
                          <wps:spPr>
                            <a:xfrm>
                              <a:off x="547436" y="3825557"/>
                              <a:ext cx="2302977" cy="1381786"/>
                            </a:xfrm>
                            <a:prstGeom prst="rect">
                              <a:avLst/>
                            </a:prstGeom>
                            <a:noFill/>
                            <a:ln>
                              <a:noFill/>
                            </a:ln>
                          </wps:spPr>
                          <wps:txbx>
                            <w:txbxContent>
                              <w:p w14:paraId="7E8527D6" w14:textId="77777777" w:rsidR="006F6B4B" w:rsidRDefault="006F6B4B" w:rsidP="006F6B4B">
                                <w:pPr>
                                  <w:spacing w:line="215" w:lineRule="auto"/>
                                  <w:textDirection w:val="btLr"/>
                                </w:pPr>
                                <w:r>
                                  <w:rPr>
                                    <w:rFonts w:ascii="Arial" w:eastAsia="Arial" w:hAnsi="Arial" w:cs="Arial"/>
                                    <w:color w:val="000000"/>
                                    <w:sz w:val="18"/>
                                  </w:rPr>
                                  <w:t>2008</w:t>
                                </w:r>
                              </w:p>
                              <w:p w14:paraId="55562E68" w14:textId="77777777" w:rsidR="006F6B4B" w:rsidRDefault="006F6B4B" w:rsidP="006F6B4B">
                                <w:pPr>
                                  <w:spacing w:before="62" w:line="215" w:lineRule="auto"/>
                                  <w:ind w:left="90" w:firstLine="70"/>
                                  <w:textDirection w:val="btLr"/>
                                </w:pPr>
                                <w:r>
                                  <w:rPr>
                                    <w:rFonts w:ascii="Arial" w:eastAsia="Arial" w:hAnsi="Arial" w:cs="Arial"/>
                                    <w:color w:val="000000"/>
                                    <w:sz w:val="14"/>
                                  </w:rPr>
                                  <w:t>Kadın Kooperatifleri İletişim Ağı’nın amacı, yapısı ve İlkeleri oluşturuldu, Yürütme Kurulu seçilerek KİA çalışmaları başlatıldı. Kooperatiflerin, kendi aralarındaki iletişim/deneyim paylaşımı ve dış dünyaya tanıtım amacıyla interaktif web portal hazırlandı (</w:t>
                                </w:r>
                                <w:proofErr w:type="gramStart"/>
                                <w:r>
                                  <w:rPr>
                                    <w:rFonts w:ascii="Arial" w:eastAsia="Arial" w:hAnsi="Arial" w:cs="Arial"/>
                                    <w:color w:val="000000"/>
                                    <w:sz w:val="14"/>
                                  </w:rPr>
                                  <w:t>www.kadinkooperatifleri.org )</w:t>
                                </w:r>
                                <w:proofErr w:type="gramEnd"/>
                                <w:r>
                                  <w:rPr>
                                    <w:rFonts w:ascii="Arial" w:eastAsia="Arial" w:hAnsi="Arial" w:cs="Arial"/>
                                    <w:color w:val="000000"/>
                                    <w:sz w:val="14"/>
                                  </w:rPr>
                                  <w:t xml:space="preserve"> Kadın Kooperatifleri İletişim Ağı’nın kendi tüzel kimliğini oluşturmak üzere Birlik kurmak üzere girişim başlatıldı</w:t>
                                </w:r>
                              </w:p>
                            </w:txbxContent>
                          </wps:txbx>
                          <wps:bodyPr spcFirstLastPara="1" wrap="square" lIns="64000" tIns="64000" rIns="64000" bIns="64000" anchor="t" anchorCtr="0">
                            <a:noAutofit/>
                          </wps:bodyPr>
                        </wps:wsp>
                        <wps:wsp>
                          <wps:cNvPr id="2058249273" name="Serbest Form: Şekil 2058249273"/>
                          <wps:cNvSpPr/>
                          <wps:spPr>
                            <a:xfrm>
                              <a:off x="1698925" y="5205544"/>
                              <a:ext cx="2832662" cy="499084"/>
                            </a:xfrm>
                            <a:custGeom>
                              <a:avLst/>
                              <a:gdLst/>
                              <a:ahLst/>
                              <a:cxnLst/>
                              <a:rect l="l" t="t" r="r" b="b"/>
                              <a:pathLst>
                                <a:path w="120000" h="120000" extrusionOk="0">
                                  <a:moveTo>
                                    <a:pt x="120000" y="0"/>
                                  </a:moveTo>
                                  <a:lnTo>
                                    <a:pt x="120000" y="64112"/>
                                  </a:lnTo>
                                  <a:lnTo>
                                    <a:pt x="0" y="64112"/>
                                  </a:lnTo>
                                  <a:lnTo>
                                    <a:pt x="0" y="120000"/>
                                  </a:lnTo>
                                </a:path>
                              </a:pathLst>
                            </a:custGeom>
                            <a:noFill/>
                            <a:ln w="9525" cap="flat" cmpd="sng">
                              <a:solidFill>
                                <a:schemeClr val="dk1"/>
                              </a:solidFill>
                              <a:prstDash val="solid"/>
                              <a:miter lim="800000"/>
                              <a:headEnd type="none" w="sm" len="sm"/>
                              <a:tailEnd type="stealth" w="med" len="med"/>
                            </a:ln>
                          </wps:spPr>
                          <wps:txbx>
                            <w:txbxContent>
                              <w:p w14:paraId="663F3ABF" w14:textId="77777777" w:rsidR="006F6B4B" w:rsidRDefault="006F6B4B" w:rsidP="006F6B4B">
                                <w:pPr>
                                  <w:textDirection w:val="btLr"/>
                                </w:pPr>
                              </w:p>
                            </w:txbxContent>
                          </wps:txbx>
                          <wps:bodyPr spcFirstLastPara="1" wrap="square" lIns="91425" tIns="91425" rIns="91425" bIns="91425" anchor="ctr" anchorCtr="0">
                            <a:noAutofit/>
                          </wps:bodyPr>
                        </wps:wsp>
                        <wps:wsp>
                          <wps:cNvPr id="590496560" name="Metin Kutusu 590496560"/>
                          <wps:cNvSpPr txBox="1"/>
                          <wps:spPr>
                            <a:xfrm>
                              <a:off x="3043212" y="5452438"/>
                              <a:ext cx="144088" cy="5296"/>
                            </a:xfrm>
                            <a:prstGeom prst="rect">
                              <a:avLst/>
                            </a:prstGeom>
                            <a:noFill/>
                            <a:ln>
                              <a:noFill/>
                            </a:ln>
                          </wps:spPr>
                          <wps:txbx>
                            <w:txbxContent>
                              <w:p w14:paraId="22BDB1F7"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276355019" name="Dikdörtgen 276355019"/>
                          <wps:cNvSpPr/>
                          <wps:spPr>
                            <a:xfrm>
                              <a:off x="3380098" y="3825557"/>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2611EE1" w14:textId="77777777" w:rsidR="006F6B4B" w:rsidRDefault="006F6B4B" w:rsidP="006F6B4B">
                                <w:pPr>
                                  <w:textDirection w:val="btLr"/>
                                </w:pPr>
                              </w:p>
                            </w:txbxContent>
                          </wps:txbx>
                          <wps:bodyPr spcFirstLastPara="1" wrap="square" lIns="91425" tIns="91425" rIns="91425" bIns="91425" anchor="ctr" anchorCtr="0">
                            <a:noAutofit/>
                          </wps:bodyPr>
                        </wps:wsp>
                        <wps:wsp>
                          <wps:cNvPr id="1751842516" name="Metin Kutusu 1751842516"/>
                          <wps:cNvSpPr txBox="1"/>
                          <wps:spPr>
                            <a:xfrm>
                              <a:off x="3380098" y="3825557"/>
                              <a:ext cx="2302977" cy="1381786"/>
                            </a:xfrm>
                            <a:prstGeom prst="rect">
                              <a:avLst/>
                            </a:prstGeom>
                            <a:noFill/>
                            <a:ln>
                              <a:noFill/>
                            </a:ln>
                          </wps:spPr>
                          <wps:txbx>
                            <w:txbxContent>
                              <w:p w14:paraId="42EA88E3" w14:textId="77777777" w:rsidR="006F6B4B" w:rsidRDefault="006F6B4B" w:rsidP="006F6B4B">
                                <w:pPr>
                                  <w:spacing w:line="215" w:lineRule="auto"/>
                                  <w:textDirection w:val="btLr"/>
                                </w:pPr>
                                <w:r>
                                  <w:rPr>
                                    <w:rFonts w:ascii="Arial" w:eastAsia="Arial" w:hAnsi="Arial" w:cs="Arial"/>
                                    <w:color w:val="000000"/>
                                    <w:sz w:val="18"/>
                                  </w:rPr>
                                  <w:t>2011-2015</w:t>
                                </w:r>
                              </w:p>
                              <w:p w14:paraId="3A923C90" w14:textId="77777777" w:rsidR="006F6B4B" w:rsidRDefault="006F6B4B" w:rsidP="006F6B4B">
                                <w:pPr>
                                  <w:spacing w:before="62" w:line="215" w:lineRule="auto"/>
                                  <w:ind w:left="90" w:firstLine="70"/>
                                  <w:textDirection w:val="btLr"/>
                                </w:pPr>
                                <w:r>
                                  <w:rPr>
                                    <w:rFonts w:ascii="Arial" w:eastAsia="Arial" w:hAnsi="Arial" w:cs="Arial"/>
                                    <w:color w:val="000000"/>
                                    <w:sz w:val="14"/>
                                  </w:rPr>
                                  <w:t xml:space="preserve">Aile ve Sosyal Politikalar Bakanı Fatma Şahin ile Gümrük ve Ticaret Bakanı Hayata Yazıcı’nın tamamladıkları kadın kooperatifleri ile ilgili çalışmanın, yasa değişikliği ile hayata geçirileceği duyuruldu. (12.01.2013) </w:t>
                                </w:r>
                              </w:p>
                              <w:p w14:paraId="172A40D3" w14:textId="77777777" w:rsidR="006F6B4B" w:rsidRDefault="006F6B4B" w:rsidP="006F6B4B">
                                <w:pPr>
                                  <w:spacing w:before="21" w:line="215" w:lineRule="auto"/>
                                  <w:ind w:left="90" w:firstLine="70"/>
                                  <w:textDirection w:val="btLr"/>
                                </w:pPr>
                                <w:r>
                                  <w:rPr>
                                    <w:rFonts w:ascii="Arial" w:eastAsia="Arial" w:hAnsi="Arial" w:cs="Arial"/>
                                    <w:color w:val="000000"/>
                                    <w:sz w:val="14"/>
                                  </w:rPr>
                                  <w:t>Simurg Kadın Kooperatifleri Birliği kuruldu (Şubat 2014)</w:t>
                                </w:r>
                              </w:p>
                              <w:p w14:paraId="4B059054" w14:textId="77777777" w:rsidR="006F6B4B" w:rsidRDefault="006F6B4B" w:rsidP="006F6B4B">
                                <w:pPr>
                                  <w:spacing w:before="21" w:line="215" w:lineRule="auto"/>
                                  <w:ind w:left="90" w:firstLine="70"/>
                                  <w:textDirection w:val="btLr"/>
                                </w:pPr>
                              </w:p>
                            </w:txbxContent>
                          </wps:txbx>
                          <wps:bodyPr spcFirstLastPara="1" wrap="square" lIns="64000" tIns="64000" rIns="64000" bIns="64000" anchor="t" anchorCtr="0">
                            <a:noAutofit/>
                          </wps:bodyPr>
                        </wps:wsp>
                        <wps:wsp>
                          <wps:cNvPr id="137336134" name="Serbest Form: Şekil 137336134"/>
                          <wps:cNvSpPr/>
                          <wps:spPr>
                            <a:xfrm>
                              <a:off x="2848614" y="6382202"/>
                              <a:ext cx="499084" cy="91440"/>
                            </a:xfrm>
                            <a:custGeom>
                              <a:avLst/>
                              <a:gdLst/>
                              <a:ahLst/>
                              <a:cxnLst/>
                              <a:rect l="l" t="t" r="r" b="b"/>
                              <a:pathLst>
                                <a:path w="120000" h="120000" extrusionOk="0">
                                  <a:moveTo>
                                    <a:pt x="0" y="60000"/>
                                  </a:moveTo>
                                  <a:lnTo>
                                    <a:pt x="120000" y="60000"/>
                                  </a:lnTo>
                                </a:path>
                              </a:pathLst>
                            </a:custGeom>
                            <a:noFill/>
                            <a:ln w="9525" cap="flat" cmpd="sng">
                              <a:solidFill>
                                <a:schemeClr val="dk1"/>
                              </a:solidFill>
                              <a:prstDash val="solid"/>
                              <a:miter lim="800000"/>
                              <a:headEnd type="none" w="sm" len="sm"/>
                              <a:tailEnd type="stealth" w="med" len="med"/>
                            </a:ln>
                          </wps:spPr>
                          <wps:txbx>
                            <w:txbxContent>
                              <w:p w14:paraId="2F7ED0C4" w14:textId="77777777" w:rsidR="006F6B4B" w:rsidRDefault="006F6B4B" w:rsidP="006F6B4B">
                                <w:pPr>
                                  <w:textDirection w:val="btLr"/>
                                </w:pPr>
                              </w:p>
                            </w:txbxContent>
                          </wps:txbx>
                          <wps:bodyPr spcFirstLastPara="1" wrap="square" lIns="91425" tIns="91425" rIns="91425" bIns="91425" anchor="ctr" anchorCtr="0">
                            <a:noAutofit/>
                          </wps:bodyPr>
                        </wps:wsp>
                        <wps:wsp>
                          <wps:cNvPr id="2025683835" name="Metin Kutusu 2025683835"/>
                          <wps:cNvSpPr txBox="1"/>
                          <wps:spPr>
                            <a:xfrm>
                              <a:off x="3084914" y="6425274"/>
                              <a:ext cx="26484" cy="5296"/>
                            </a:xfrm>
                            <a:prstGeom prst="rect">
                              <a:avLst/>
                            </a:prstGeom>
                            <a:noFill/>
                            <a:ln>
                              <a:noFill/>
                            </a:ln>
                          </wps:spPr>
                          <wps:txbx>
                            <w:txbxContent>
                              <w:p w14:paraId="2F1BB869" w14:textId="77777777" w:rsidR="006F6B4B" w:rsidRDefault="006F6B4B" w:rsidP="006F6B4B">
                                <w:pPr>
                                  <w:spacing w:line="215" w:lineRule="auto"/>
                                  <w:jc w:val="center"/>
                                  <w:textDirection w:val="btLr"/>
                                </w:pPr>
                              </w:p>
                            </w:txbxContent>
                          </wps:txbx>
                          <wps:bodyPr spcFirstLastPara="1" wrap="square" lIns="12700" tIns="0" rIns="12700" bIns="0" anchor="ctr" anchorCtr="0">
                            <a:noAutofit/>
                          </wps:bodyPr>
                        </wps:wsp>
                        <wps:wsp>
                          <wps:cNvPr id="680595000" name="Dikdörtgen 680595000"/>
                          <wps:cNvSpPr/>
                          <wps:spPr>
                            <a:xfrm>
                              <a:off x="547436" y="5737029"/>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57E5961" w14:textId="77777777" w:rsidR="006F6B4B" w:rsidRDefault="006F6B4B" w:rsidP="006F6B4B">
                                <w:pPr>
                                  <w:textDirection w:val="btLr"/>
                                </w:pPr>
                              </w:p>
                            </w:txbxContent>
                          </wps:txbx>
                          <wps:bodyPr spcFirstLastPara="1" wrap="square" lIns="91425" tIns="91425" rIns="91425" bIns="91425" anchor="ctr" anchorCtr="0">
                            <a:noAutofit/>
                          </wps:bodyPr>
                        </wps:wsp>
                        <wps:wsp>
                          <wps:cNvPr id="693940696" name="Metin Kutusu 693940696"/>
                          <wps:cNvSpPr txBox="1"/>
                          <wps:spPr>
                            <a:xfrm>
                              <a:off x="547436" y="5737029"/>
                              <a:ext cx="2302977" cy="1381786"/>
                            </a:xfrm>
                            <a:prstGeom prst="rect">
                              <a:avLst/>
                            </a:prstGeom>
                            <a:noFill/>
                            <a:ln>
                              <a:noFill/>
                            </a:ln>
                          </wps:spPr>
                          <wps:txbx>
                            <w:txbxContent>
                              <w:p w14:paraId="6B37B1C8" w14:textId="77777777" w:rsidR="006F6B4B" w:rsidRDefault="006F6B4B" w:rsidP="006F6B4B">
                                <w:pPr>
                                  <w:spacing w:line="215" w:lineRule="auto"/>
                                  <w:textDirection w:val="btLr"/>
                                </w:pPr>
                                <w:r>
                                  <w:rPr>
                                    <w:rFonts w:ascii="Arial" w:eastAsia="Arial" w:hAnsi="Arial" w:cs="Arial"/>
                                    <w:color w:val="000000"/>
                                    <w:sz w:val="18"/>
                                  </w:rPr>
                                  <w:t>2012-2016</w:t>
                                </w:r>
                              </w:p>
                              <w:p w14:paraId="52AC33CD" w14:textId="77777777" w:rsidR="006F6B4B" w:rsidRDefault="006F6B4B" w:rsidP="006F6B4B">
                                <w:pPr>
                                  <w:spacing w:before="62" w:line="215" w:lineRule="auto"/>
                                  <w:ind w:left="90" w:firstLine="70"/>
                                  <w:textDirection w:val="btLr"/>
                                </w:pPr>
                                <w:r>
                                  <w:rPr>
                                    <w:rFonts w:ascii="Arial" w:eastAsia="Arial" w:hAnsi="Arial" w:cs="Arial"/>
                                    <w:color w:val="000000"/>
                                    <w:sz w:val="14"/>
                                  </w:rPr>
                                  <w:t>BM'nin 2012 yılını Dünya Kooperatifler Yılı İlan Etmesi</w:t>
                                </w:r>
                              </w:p>
                              <w:p w14:paraId="334C19C3" w14:textId="77777777" w:rsidR="006F6B4B" w:rsidRDefault="006F6B4B" w:rsidP="006F6B4B">
                                <w:pPr>
                                  <w:spacing w:before="21" w:line="215" w:lineRule="auto"/>
                                  <w:ind w:left="90" w:firstLine="70"/>
                                  <w:textDirection w:val="btLr"/>
                                </w:pPr>
                                <w:r>
                                  <w:rPr>
                                    <w:rFonts w:ascii="Arial" w:eastAsia="Arial" w:hAnsi="Arial" w:cs="Arial"/>
                                    <w:color w:val="000000"/>
                                    <w:sz w:val="14"/>
                                  </w:rPr>
                                  <w:t>Stretejik eylem planının oluşturulması</w:t>
                                </w:r>
                              </w:p>
                            </w:txbxContent>
                          </wps:txbx>
                          <wps:bodyPr spcFirstLastPara="1" wrap="square" lIns="64000" tIns="64000" rIns="64000" bIns="64000" anchor="t" anchorCtr="0">
                            <a:noAutofit/>
                          </wps:bodyPr>
                        </wps:wsp>
                        <wps:wsp>
                          <wps:cNvPr id="495604483" name="Dikdörtgen 495604483"/>
                          <wps:cNvSpPr/>
                          <wps:spPr>
                            <a:xfrm>
                              <a:off x="3380098" y="5737029"/>
                              <a:ext cx="2302977" cy="1381786"/>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98522F6" w14:textId="77777777" w:rsidR="006F6B4B" w:rsidRDefault="006F6B4B" w:rsidP="006F6B4B">
                                <w:pPr>
                                  <w:textDirection w:val="btLr"/>
                                </w:pPr>
                              </w:p>
                            </w:txbxContent>
                          </wps:txbx>
                          <wps:bodyPr spcFirstLastPara="1" wrap="square" lIns="91425" tIns="91425" rIns="91425" bIns="91425" anchor="ctr" anchorCtr="0">
                            <a:noAutofit/>
                          </wps:bodyPr>
                        </wps:wsp>
                        <wps:wsp>
                          <wps:cNvPr id="173668133" name="Metin Kutusu 173668133"/>
                          <wps:cNvSpPr txBox="1"/>
                          <wps:spPr>
                            <a:xfrm>
                              <a:off x="3380098" y="5737029"/>
                              <a:ext cx="2302977" cy="1381786"/>
                            </a:xfrm>
                            <a:prstGeom prst="rect">
                              <a:avLst/>
                            </a:prstGeom>
                            <a:noFill/>
                            <a:ln>
                              <a:noFill/>
                            </a:ln>
                          </wps:spPr>
                          <wps:txbx>
                            <w:txbxContent>
                              <w:p w14:paraId="539AF808" w14:textId="77777777" w:rsidR="006F6B4B" w:rsidRDefault="006F6B4B" w:rsidP="006F6B4B">
                                <w:pPr>
                                  <w:spacing w:line="215" w:lineRule="auto"/>
                                  <w:textDirection w:val="btLr"/>
                                </w:pPr>
                                <w:r>
                                  <w:rPr>
                                    <w:rFonts w:ascii="Arial" w:eastAsia="Arial" w:hAnsi="Arial" w:cs="Arial"/>
                                    <w:color w:val="000000"/>
                                    <w:sz w:val="18"/>
                                  </w:rPr>
                                  <w:t>2025</w:t>
                                </w:r>
                              </w:p>
                              <w:p w14:paraId="7B2A1B60" w14:textId="77777777" w:rsidR="006F6B4B" w:rsidRDefault="006F6B4B" w:rsidP="006F6B4B">
                                <w:pPr>
                                  <w:spacing w:before="62" w:line="215" w:lineRule="auto"/>
                                  <w:ind w:left="90" w:firstLine="70"/>
                                  <w:textDirection w:val="btLr"/>
                                </w:pPr>
                                <w:r>
                                  <w:rPr>
                                    <w:rFonts w:ascii="Arial" w:eastAsia="Arial" w:hAnsi="Arial" w:cs="Arial"/>
                                    <w:color w:val="000000"/>
                                    <w:sz w:val="14"/>
                                  </w:rPr>
                                  <w:t>BM’nin 2025 yılını Dünya Kooperatifler yılı ilan etmesi</w:t>
                                </w:r>
                              </w:p>
                              <w:p w14:paraId="1969353A" w14:textId="77777777" w:rsidR="006F6B4B" w:rsidRDefault="006F6B4B" w:rsidP="006F6B4B">
                                <w:pPr>
                                  <w:spacing w:before="21" w:line="215" w:lineRule="auto"/>
                                  <w:ind w:left="90" w:firstLine="70"/>
                                  <w:textDirection w:val="btLr"/>
                                </w:pPr>
                                <w:r>
                                  <w:rPr>
                                    <w:rFonts w:ascii="Arial" w:eastAsia="Arial" w:hAnsi="Arial" w:cs="Arial"/>
                                    <w:color w:val="000000"/>
                                    <w:sz w:val="14"/>
                                  </w:rPr>
                                  <w:t>2025-2028 stratejik eylem planı hazırlıkları için toplantı yapılması</w:t>
                                </w:r>
                              </w:p>
                            </w:txbxContent>
                          </wps:txbx>
                          <wps:bodyPr spcFirstLastPara="1" wrap="square" lIns="64000" tIns="64000" rIns="64000" bIns="64000" anchor="t" anchorCtr="0">
                            <a:noAutofit/>
                          </wps:bodyPr>
                        </wps:wsp>
                      </wpg:grpSp>
                    </wpg:wgp>
                  </a:graphicData>
                </a:graphic>
              </wp:inline>
            </w:drawing>
          </mc:Choice>
          <mc:Fallback>
            <w:pict>
              <v:group w14:anchorId="4992D026" id="Grup 1860148527" o:spid="_x0000_s1029" style="width:490.6pt;height:560.75pt;mso-position-horizontal-relative:char;mso-position-vertical-relative:line" coordsize="62305,7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">
                <v:group id="Grup 1803018112" o:spid="_x0000_s1030" style="position:absolute;width:62305;height:71214" coordsize="62305,7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">
                  <v:rect id="Dikdörtgen 842019875" o:spid="_x0000_s1031" style="position:absolute;width:62305;height:71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" filled="f" stroked="f">
                    <v:textbox inset="2.53958mm,2.53958mm,2.53958mm,2.53958mm">
                      <w:txbxContent>
                        <w:p w14:paraId="6BD7A98B" w14:textId="77777777" w:rsidR="006F6B4B" w:rsidRDefault="006F6B4B" w:rsidP="006F6B4B">
                          <w:pPr>
                            <w:textDirection w:val="btLr"/>
                          </w:pPr>
                        </w:p>
                      </w:txbxContent>
                    </v:textbox>
                  </v:rect>
                  <v:shape id="Serbest Form: Şekil 509880794" o:spid="_x0000_s1032" style="position:absolute;left:28486;top:6477;width:4990;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" adj="-11796480,,5400" path="m,60000r120000,e" filled="f" strokecolor="black [3200]">
                    <v:stroke startarrowwidth="narrow" startarrowlength="short" endarrow="classic" joinstyle="miter"/>
                    <v:formulas/>
                    <v:path arrowok="t" o:extrusionok="f" o:connecttype="custom" textboxrect="0,0,120000,120000"/>
                    <v:textbox inset="2.53958mm,2.53958mm,2.53958mm,2.53958mm">
                      <w:txbxContent>
                        <w:p w14:paraId="4B901E33" w14:textId="77777777" w:rsidR="006F6B4B" w:rsidRDefault="006F6B4B" w:rsidP="006F6B4B">
                          <w:pPr>
                            <w:textDirection w:val="btLr"/>
                          </w:pPr>
                        </w:p>
                      </w:txbxContent>
                    </v:textbox>
                  </v:shape>
                  <v:shape id="Metin Kutusu 1126644008" o:spid="_x0000_s1033" type="#_x0000_t202" style="position:absolute;left:30849;top:6908;width:264;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" filled="f" stroked="f">
                    <v:textbox inset="1pt,0,1pt,0">
                      <w:txbxContent>
                        <w:p w14:paraId="72E36929" w14:textId="77777777" w:rsidR="006F6B4B" w:rsidRDefault="006F6B4B" w:rsidP="006F6B4B">
                          <w:pPr>
                            <w:spacing w:line="215" w:lineRule="auto"/>
                            <w:jc w:val="center"/>
                            <w:textDirection w:val="btLr"/>
                          </w:pPr>
                        </w:p>
                      </w:txbxContent>
                    </v:textbox>
                  </v:shape>
                  <v:rect id="Dikdörtgen 211618152" o:spid="_x0000_s1034" style="position:absolute;left:5474;top:26;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" fillcolor="white [3201]" strokecolor="black [3200]" strokeweight="1pt">
                    <v:stroke startarrowwidth="narrow" startarrowlength="short" endarrowwidth="narrow" endarrowlength="short"/>
                    <v:textbox inset="2.53958mm,2.53958mm,2.53958mm,2.53958mm">
                      <w:txbxContent>
                        <w:p w14:paraId="1946338C" w14:textId="77777777" w:rsidR="006F6B4B" w:rsidRDefault="006F6B4B" w:rsidP="006F6B4B">
                          <w:pPr>
                            <w:textDirection w:val="btLr"/>
                          </w:pPr>
                        </w:p>
                      </w:txbxContent>
                    </v:textbox>
                  </v:rect>
                  <v:shape id="Metin Kutusu 155738837" o:spid="_x0000_s1035" type="#_x0000_t202" style="position:absolute;left:5474;top:26;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" filled="f" stroked="f">
                    <v:textbox inset=".9875mm,.9875mm,.9875mm,.9875mm">
                      <w:txbxContent>
                        <w:p w14:paraId="353439AF" w14:textId="77777777" w:rsidR="006F6B4B" w:rsidRDefault="006F6B4B" w:rsidP="006F6B4B">
                          <w:pPr>
                            <w:spacing w:line="215" w:lineRule="auto"/>
                            <w:textDirection w:val="btLr"/>
                          </w:pPr>
                          <w:r>
                            <w:rPr>
                              <w:rFonts w:ascii="Arial" w:eastAsia="Arial" w:hAnsi="Arial" w:cs="Arial"/>
                              <w:color w:val="000000"/>
                              <w:sz w:val="14"/>
                            </w:rPr>
                            <w:t>2001-2004</w:t>
                          </w:r>
                        </w:p>
                        <w:p w14:paraId="2F95AE6A" w14:textId="77777777" w:rsidR="006F6B4B" w:rsidRDefault="006F6B4B" w:rsidP="006F6B4B">
                          <w:pPr>
                            <w:spacing w:before="49" w:line="215" w:lineRule="auto"/>
                            <w:ind w:left="90" w:firstLine="50"/>
                            <w:textDirection w:val="btLr"/>
                          </w:pPr>
                          <w:r>
                            <w:rPr>
                              <w:rFonts w:ascii="Arial" w:eastAsia="Arial" w:hAnsi="Arial" w:cs="Arial"/>
                              <w:color w:val="000000"/>
                              <w:sz w:val="10"/>
                            </w:rPr>
                            <w:t xml:space="preserve">2001 yılında KEDV ve birlikte çalıştığı yerel kadın grupları, yoksul kadınların ihtiyaç odaklı örgütlenmesi için model geliştirmek üzere çalışma başlattı. Bu kapsamda kooperatif, uygun bir örgütlenme biçimi olarak belirlendi. İhtiyaca uygun bir ana sözleşme örneği hazırlandı ve ilk kadın kooperatifleri kurulmaya başlandı. Kadın Emeğini Değerlendirme Vakfı, kooperatifleşme girişimlerini desteklemek üzere deneyimlerini yazılı hale getirdi ve Kadınlar için Kooperatifleşme El Kitabı’nı hazırladı. </w:t>
                          </w:r>
                        </w:p>
                      </w:txbxContent>
                    </v:textbox>
                  </v:shape>
                  <v:shape id="Serbest Form: Şekil 1113594298" o:spid="_x0000_s1036" style="position:absolute;left:16989;top:13826;width:28326;height:49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" adj="-11796480,,5400" path="m120000,r,64112l,64112r,55888e" filled="f" strokecolor="black [3200]">
                    <v:stroke startarrowwidth="narrow" startarrowlength="short" endarrow="classic" joinstyle="miter"/>
                    <v:formulas/>
                    <v:path arrowok="t" o:extrusionok="f" o:connecttype="custom" textboxrect="0,0,120000,120000"/>
                    <v:textbox inset="2.53958mm,2.53958mm,2.53958mm,2.53958mm">
                      <w:txbxContent>
                        <w:p w14:paraId="1C50E90F" w14:textId="77777777" w:rsidR="006F6B4B" w:rsidRDefault="006F6B4B" w:rsidP="006F6B4B">
                          <w:pPr>
                            <w:textDirection w:val="btLr"/>
                          </w:pPr>
                        </w:p>
                      </w:txbxContent>
                    </v:textbox>
                  </v:shape>
                  <v:shape id="Metin Kutusu 720402651" o:spid="_x0000_s1037" type="#_x0000_t202" style="position:absolute;left:30432;top:16294;width:1441;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" filled="f" stroked="f">
                    <v:textbox inset="1pt,0,1pt,0">
                      <w:txbxContent>
                        <w:p w14:paraId="6709A20A" w14:textId="77777777" w:rsidR="006F6B4B" w:rsidRDefault="006F6B4B" w:rsidP="006F6B4B">
                          <w:pPr>
                            <w:spacing w:line="215" w:lineRule="auto"/>
                            <w:jc w:val="center"/>
                            <w:textDirection w:val="btLr"/>
                          </w:pPr>
                        </w:p>
                      </w:txbxContent>
                    </v:textbox>
                  </v:shape>
                  <v:rect id="Dikdörtgen 1754415446" o:spid="_x0000_s1038" style="position:absolute;left:33800;top:26;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" fillcolor="white [3201]" strokecolor="black [3200]" strokeweight="1pt">
                    <v:stroke startarrowwidth="narrow" startarrowlength="short" endarrowwidth="narrow" endarrowlength="short"/>
                    <v:textbox inset="2.53958mm,2.53958mm,2.53958mm,2.53958mm">
                      <w:txbxContent>
                        <w:p w14:paraId="779A3F4F" w14:textId="77777777" w:rsidR="006F6B4B" w:rsidRDefault="006F6B4B" w:rsidP="006F6B4B">
                          <w:pPr>
                            <w:textDirection w:val="btLr"/>
                          </w:pPr>
                        </w:p>
                      </w:txbxContent>
                    </v:textbox>
                  </v:rect>
                  <v:shape id="Metin Kutusu 1037331421" o:spid="_x0000_s1039" type="#_x0000_t202" style="position:absolute;left:33800;top:26;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" filled="f" stroked="f">
                    <v:textbox inset="1.77778mm,1.77778mm,1.77778mm,1.77778mm">
                      <w:txbxContent>
                        <w:p w14:paraId="737BA631" w14:textId="77777777" w:rsidR="006F6B4B" w:rsidRDefault="006F6B4B" w:rsidP="006F6B4B">
                          <w:pPr>
                            <w:spacing w:line="215" w:lineRule="auto"/>
                            <w:textDirection w:val="btLr"/>
                          </w:pPr>
                          <w:r>
                            <w:rPr>
                              <w:rFonts w:ascii="Arial" w:eastAsia="Arial" w:hAnsi="Arial" w:cs="Arial"/>
                              <w:color w:val="000000"/>
                              <w:sz w:val="18"/>
                            </w:rPr>
                            <w:t>2004</w:t>
                          </w:r>
                        </w:p>
                        <w:p w14:paraId="69A3A69A" w14:textId="77777777" w:rsidR="006F6B4B" w:rsidRDefault="006F6B4B" w:rsidP="006F6B4B">
                          <w:pPr>
                            <w:spacing w:before="62" w:line="215" w:lineRule="auto"/>
                            <w:ind w:left="90" w:firstLine="70"/>
                            <w:textDirection w:val="btLr"/>
                          </w:pPr>
                        </w:p>
                        <w:p w14:paraId="463B4513" w14:textId="77777777" w:rsidR="006F6B4B" w:rsidRDefault="006F6B4B" w:rsidP="006F6B4B">
                          <w:pPr>
                            <w:spacing w:before="21" w:line="215" w:lineRule="auto"/>
                            <w:ind w:left="90" w:firstLine="70"/>
                            <w:textDirection w:val="btLr"/>
                          </w:pPr>
                          <w:r>
                            <w:rPr>
                              <w:rFonts w:ascii="Arial" w:eastAsia="Arial" w:hAnsi="Arial" w:cs="Arial"/>
                              <w:color w:val="000000"/>
                              <w:sz w:val="14"/>
                            </w:rPr>
                            <w:t>KEDV'in desteği ile Düzce’de ilk kez 14Kooperatif bir araya geldi.</w:t>
                          </w:r>
                        </w:p>
                      </w:txbxContent>
                    </v:textbox>
                  </v:shape>
                  <v:shape id="Serbest Form: Şekil 868990941" o:spid="_x0000_s1040" style="position:absolute;left:28486;top:25592;width:4990;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" adj="-11796480,,5400" path="m,60000r120000,e" filled="f" strokecolor="black [3200]">
                    <v:stroke startarrowwidth="narrow" startarrowlength="short" endarrow="classic" joinstyle="miter"/>
                    <v:formulas/>
                    <v:path arrowok="t" o:extrusionok="f" o:connecttype="custom" textboxrect="0,0,120000,120000"/>
                    <v:textbox inset="2.53958mm,2.53958mm,2.53958mm,2.53958mm">
                      <w:txbxContent>
                        <w:p w14:paraId="6AD5CFA7" w14:textId="77777777" w:rsidR="006F6B4B" w:rsidRDefault="006F6B4B" w:rsidP="006F6B4B">
                          <w:pPr>
                            <w:textDirection w:val="btLr"/>
                          </w:pPr>
                        </w:p>
                      </w:txbxContent>
                    </v:textbox>
                  </v:shape>
                  <v:shape id="Metin Kutusu 2101541565" o:spid="_x0000_s1041" type="#_x0000_t202" style="position:absolute;left:30849;top:26023;width:264;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" filled="f" stroked="f">
                    <v:textbox inset="1pt,0,1pt,0">
                      <w:txbxContent>
                        <w:p w14:paraId="278C2D22" w14:textId="77777777" w:rsidR="006F6B4B" w:rsidRDefault="006F6B4B" w:rsidP="006F6B4B">
                          <w:pPr>
                            <w:spacing w:line="215" w:lineRule="auto"/>
                            <w:jc w:val="center"/>
                            <w:textDirection w:val="btLr"/>
                          </w:pPr>
                        </w:p>
                      </w:txbxContent>
                    </v:textbox>
                  </v:shape>
                  <v:rect id="Dikdörtgen 1113524312" o:spid="_x0000_s1042" style="position:absolute;left:5474;top:19140;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" fillcolor="white [3201]" strokecolor="black [3200]" strokeweight="1pt">
                    <v:stroke startarrowwidth="narrow" startarrowlength="short" endarrowwidth="narrow" endarrowlength="short"/>
                    <v:textbox inset="2.53958mm,2.53958mm,2.53958mm,2.53958mm">
                      <w:txbxContent>
                        <w:p w14:paraId="47AC47BE" w14:textId="77777777" w:rsidR="006F6B4B" w:rsidRDefault="006F6B4B" w:rsidP="006F6B4B">
                          <w:pPr>
                            <w:textDirection w:val="btLr"/>
                          </w:pPr>
                        </w:p>
                      </w:txbxContent>
                    </v:textbox>
                  </v:rect>
                  <v:shape id="Metin Kutusu 1393576254" o:spid="_x0000_s1043" type="#_x0000_t202" style="position:absolute;left:5474;top:19140;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" filled="f" stroked="f">
                    <v:textbox inset="1.77778mm,1.77778mm,1.77778mm,1.77778mm">
                      <w:txbxContent>
                        <w:p w14:paraId="37492E6C" w14:textId="77777777" w:rsidR="006F6B4B" w:rsidRDefault="006F6B4B" w:rsidP="006F6B4B">
                          <w:pPr>
                            <w:spacing w:line="215" w:lineRule="auto"/>
                            <w:textDirection w:val="btLr"/>
                          </w:pPr>
                          <w:r>
                            <w:rPr>
                              <w:rFonts w:ascii="Arial" w:eastAsia="Arial" w:hAnsi="Arial" w:cs="Arial"/>
                              <w:color w:val="000000"/>
                              <w:sz w:val="18"/>
                            </w:rPr>
                            <w:t>2005</w:t>
                          </w:r>
                        </w:p>
                        <w:p w14:paraId="0D86BC61" w14:textId="77777777" w:rsidR="006F6B4B" w:rsidRDefault="006F6B4B" w:rsidP="006F6B4B">
                          <w:pPr>
                            <w:spacing w:before="62" w:line="215" w:lineRule="auto"/>
                            <w:ind w:left="90" w:firstLine="70"/>
                            <w:textDirection w:val="btLr"/>
                          </w:pPr>
                          <w:r>
                            <w:rPr>
                              <w:rFonts w:ascii="Arial" w:eastAsia="Arial" w:hAnsi="Arial" w:cs="Arial"/>
                              <w:color w:val="000000"/>
                              <w:sz w:val="14"/>
                            </w:rPr>
                            <w:t>I.Kadın Kooperatifleri Buluşması’nda 35 kadın kooperatifi bir araya gelerek aralarındaki iletişimi güçlendirmek ve birlikte çalışmanın yollarını geliştirmek üzere ilk adımları attılar.</w:t>
                          </w:r>
                        </w:p>
                      </w:txbxContent>
                    </v:textbox>
                  </v:shape>
                  <v:shape id="Serbest Form: Şekil 89831200" o:spid="_x0000_s1044" style="position:absolute;left:16989;top:32940;width:28326;height:499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" adj="-11796480,,5400" path="m120000,r,64112l,64112r,55888e" filled="f" strokecolor="black [3200]">
                    <v:stroke startarrowwidth="narrow" startarrowlength="short" endarrow="classic" joinstyle="miter"/>
                    <v:formulas/>
                    <v:path arrowok="t" o:extrusionok="f" o:connecttype="custom" textboxrect="0,0,120000,120000"/>
                    <v:textbox inset="2.53958mm,2.53958mm,2.53958mm,2.53958mm">
                      <w:txbxContent>
                        <w:p w14:paraId="04F5923C" w14:textId="77777777" w:rsidR="006F6B4B" w:rsidRDefault="006F6B4B" w:rsidP="006F6B4B">
                          <w:pPr>
                            <w:textDirection w:val="btLr"/>
                          </w:pPr>
                        </w:p>
                      </w:txbxContent>
                    </v:textbox>
                  </v:shape>
                  <v:shape id="Metin Kutusu 1219648001" o:spid="_x0000_s1045" type="#_x0000_t202" style="position:absolute;left:30432;top:35409;width:1441;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" filled="f" stroked="f">
                    <v:textbox inset="1pt,0,1pt,0">
                      <w:txbxContent>
                        <w:p w14:paraId="5BF7B5BA" w14:textId="77777777" w:rsidR="006F6B4B" w:rsidRDefault="006F6B4B" w:rsidP="006F6B4B">
                          <w:pPr>
                            <w:spacing w:line="215" w:lineRule="auto"/>
                            <w:jc w:val="center"/>
                            <w:textDirection w:val="btLr"/>
                          </w:pPr>
                        </w:p>
                      </w:txbxContent>
                    </v:textbox>
                  </v:shape>
                  <v:rect id="Dikdörtgen 1199012540" o:spid="_x0000_s1046" style="position:absolute;left:33800;top:19140;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" fillcolor="white [3201]" strokecolor="black [3200]" strokeweight="1pt">
                    <v:stroke startarrowwidth="narrow" startarrowlength="short" endarrowwidth="narrow" endarrowlength="short"/>
                    <v:textbox inset="2.53958mm,2.53958mm,2.53958mm,2.53958mm">
                      <w:txbxContent>
                        <w:p w14:paraId="490387AC" w14:textId="77777777" w:rsidR="006F6B4B" w:rsidRDefault="006F6B4B" w:rsidP="006F6B4B">
                          <w:pPr>
                            <w:textDirection w:val="btLr"/>
                          </w:pPr>
                        </w:p>
                      </w:txbxContent>
                    </v:textbox>
                  </v:rect>
                  <v:shape id="Metin Kutusu 1536938368" o:spid="_x0000_s1047" type="#_x0000_t202" style="position:absolute;left:33800;top:19140;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" filled="f" stroked="f">
                    <v:textbox inset="1.77778mm,1.77778mm,1.77778mm,1.77778mm">
                      <w:txbxContent>
                        <w:p w14:paraId="2778A8ED" w14:textId="77777777" w:rsidR="006F6B4B" w:rsidRDefault="006F6B4B" w:rsidP="006F6B4B">
                          <w:pPr>
                            <w:spacing w:line="215" w:lineRule="auto"/>
                            <w:textDirection w:val="btLr"/>
                          </w:pPr>
                          <w:r>
                            <w:rPr>
                              <w:rFonts w:ascii="Arial" w:eastAsia="Arial" w:hAnsi="Arial" w:cs="Arial"/>
                              <w:color w:val="000000"/>
                              <w:sz w:val="18"/>
                            </w:rPr>
                            <w:t>2005-2007</w:t>
                          </w:r>
                        </w:p>
                        <w:p w14:paraId="5AF564F6" w14:textId="77777777" w:rsidR="006F6B4B" w:rsidRDefault="006F6B4B" w:rsidP="006F6B4B">
                          <w:pPr>
                            <w:spacing w:before="62" w:line="215" w:lineRule="auto"/>
                            <w:ind w:left="90" w:firstLine="70"/>
                            <w:textDirection w:val="btLr"/>
                          </w:pPr>
                          <w:r>
                            <w:rPr>
                              <w:rFonts w:ascii="Arial" w:eastAsia="Arial" w:hAnsi="Arial" w:cs="Arial"/>
                              <w:color w:val="000000"/>
                              <w:sz w:val="14"/>
                            </w:rPr>
                            <w:t xml:space="preserve">KEDV ile Umut Işığı, İlk Adım, Biga ve Simge Kadın Kooperatifleri, Kadın Kooperatifleri İletişim </w:t>
                          </w:r>
                          <w:r>
                            <w:rPr>
                              <w:rFonts w:ascii="Arial" w:eastAsia="Arial" w:hAnsi="Arial" w:cs="Arial"/>
                              <w:color w:val="000000"/>
                              <w:sz w:val="14"/>
                            </w:rPr>
                            <w:t>Ağı’nı oluşturmak üzere AB’den kaynak sağladılar.</w:t>
                          </w:r>
                        </w:p>
                      </w:txbxContent>
                    </v:textbox>
                  </v:shape>
                  <v:shape id="Serbest Form: Şekil 1102659391" o:spid="_x0000_s1048" style="position:absolute;left:28486;top:44707;width:4990;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" adj="-11796480,,5400" path="m,60000r120000,e" filled="f" strokecolor="black [3200]">
                    <v:stroke startarrowwidth="narrow" startarrowlength="short" endarrow="classic" joinstyle="miter"/>
                    <v:formulas/>
                    <v:path arrowok="t" o:extrusionok="f" o:connecttype="custom" textboxrect="0,0,120000,120000"/>
                    <v:textbox inset="2.53958mm,2.53958mm,2.53958mm,2.53958mm">
                      <w:txbxContent>
                        <w:p w14:paraId="132F1B8B" w14:textId="77777777" w:rsidR="006F6B4B" w:rsidRDefault="006F6B4B" w:rsidP="006F6B4B">
                          <w:pPr>
                            <w:textDirection w:val="btLr"/>
                          </w:pPr>
                        </w:p>
                      </w:txbxContent>
                    </v:textbox>
                  </v:shape>
                  <v:shape id="Metin Kutusu 2005195466" o:spid="_x0000_s1049" type="#_x0000_t202" style="position:absolute;left:30849;top:45138;width:264;height: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" filled="f" stroked="f">
                    <v:textbox inset="1pt,0,1pt,0">
                      <w:txbxContent>
                        <w:p w14:paraId="114065BC" w14:textId="77777777" w:rsidR="006F6B4B" w:rsidRDefault="006F6B4B" w:rsidP="006F6B4B">
                          <w:pPr>
                            <w:spacing w:line="215" w:lineRule="auto"/>
                            <w:jc w:val="center"/>
                            <w:textDirection w:val="btLr"/>
                          </w:pPr>
                        </w:p>
                      </w:txbxContent>
                    </v:textbox>
                  </v:shape>
                  <v:rect id="Dikdörtgen 623385889" o:spid="_x0000_s1050" style="position:absolute;left:5474;top:38255;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" fillcolor="white [3201]" strokecolor="black [3200]" strokeweight="1pt">
                    <v:stroke startarrowwidth="narrow" startarrowlength="short" endarrowwidth="narrow" endarrowlength="short"/>
                    <v:textbox inset="2.53958mm,2.53958mm,2.53958mm,2.53958mm">
                      <w:txbxContent>
                        <w:p w14:paraId="6E8BA6A6" w14:textId="77777777" w:rsidR="006F6B4B" w:rsidRDefault="006F6B4B" w:rsidP="006F6B4B">
                          <w:pPr>
                            <w:textDirection w:val="btLr"/>
                          </w:pPr>
                        </w:p>
                      </w:txbxContent>
                    </v:textbox>
                  </v:rect>
                  <v:shape id="Metin Kutusu 1905181261" o:spid="_x0000_s1051" type="#_x0000_t202" style="position:absolute;left:5474;top:38255;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" filled="f" stroked="f">
                    <v:textbox inset="1.77778mm,1.77778mm,1.77778mm,1.77778mm">
                      <w:txbxContent>
                        <w:p w14:paraId="7E8527D6" w14:textId="77777777" w:rsidR="006F6B4B" w:rsidRDefault="006F6B4B" w:rsidP="006F6B4B">
                          <w:pPr>
                            <w:spacing w:line="215" w:lineRule="auto"/>
                            <w:textDirection w:val="btLr"/>
                          </w:pPr>
                          <w:r>
                            <w:rPr>
                              <w:rFonts w:ascii="Arial" w:eastAsia="Arial" w:hAnsi="Arial" w:cs="Arial"/>
                              <w:color w:val="000000"/>
                              <w:sz w:val="18"/>
                            </w:rPr>
                            <w:t>2008</w:t>
                          </w:r>
                        </w:p>
                        <w:p w14:paraId="55562E68" w14:textId="77777777" w:rsidR="006F6B4B" w:rsidRDefault="006F6B4B" w:rsidP="006F6B4B">
                          <w:pPr>
                            <w:spacing w:before="62" w:line="215" w:lineRule="auto"/>
                            <w:ind w:left="90" w:firstLine="70"/>
                            <w:textDirection w:val="btLr"/>
                          </w:pPr>
                          <w:r>
                            <w:rPr>
                              <w:rFonts w:ascii="Arial" w:eastAsia="Arial" w:hAnsi="Arial" w:cs="Arial"/>
                              <w:color w:val="000000"/>
                              <w:sz w:val="14"/>
                            </w:rPr>
                            <w:t xml:space="preserve">Kadın Kooperatifleri İletişim </w:t>
                          </w:r>
                          <w:r>
                            <w:rPr>
                              <w:rFonts w:ascii="Arial" w:eastAsia="Arial" w:hAnsi="Arial" w:cs="Arial"/>
                              <w:color w:val="000000"/>
                              <w:sz w:val="14"/>
                            </w:rPr>
                            <w:t>Ağı’nın amacı, yapısı ve İlkeleri oluşturuldu, Yürütme Kurulu seçilerek KİA çalışmaları başlatıldı. Kooperatiflerin, kendi aralarındaki iletişim/deneyim paylaşımı ve dış dünyaya tanıtım amacıyla interaktif web portal hazırlandı (</w:t>
                          </w:r>
                          <w:r>
                            <w:rPr>
                              <w:rFonts w:ascii="Arial" w:eastAsia="Arial" w:hAnsi="Arial" w:cs="Arial"/>
                              <w:color w:val="000000"/>
                              <w:sz w:val="14"/>
                            </w:rPr>
                            <w:t>www.kadinkooperatifleri.org ) Kadın Kooperatifleri İletişim Ağı’nın kendi tüzel kimliğini oluşturmak üzere Birlik kurmak üzere girişim başlatıldı</w:t>
                          </w:r>
                        </w:p>
                      </w:txbxContent>
                    </v:textbox>
                  </v:shape>
                  <v:shape id="Serbest Form: Şekil 2058249273" o:spid="_x0000_s1052" style="position:absolute;left:16989;top:52055;width:28326;height:499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" adj="-11796480,,5400" path="m120000,r,64112l,64112r,55888e" filled="f" strokecolor="black [3200]">
                    <v:stroke startarrowwidth="narrow" startarrowlength="short" endarrow="classic" joinstyle="miter"/>
                    <v:formulas/>
                    <v:path arrowok="t" o:extrusionok="f" o:connecttype="custom" textboxrect="0,0,120000,120000"/>
                    <v:textbox inset="2.53958mm,2.53958mm,2.53958mm,2.53958mm">
                      <w:txbxContent>
                        <w:p w14:paraId="663F3ABF" w14:textId="77777777" w:rsidR="006F6B4B" w:rsidRDefault="006F6B4B" w:rsidP="006F6B4B">
                          <w:pPr>
                            <w:textDirection w:val="btLr"/>
                          </w:pPr>
                        </w:p>
                      </w:txbxContent>
                    </v:textbox>
                  </v:shape>
                  <v:shape id="Metin Kutusu 590496560" o:spid="_x0000_s1053" type="#_x0000_t202" style="position:absolute;left:30432;top:54524;width:1441;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" filled="f" stroked="f">
                    <v:textbox inset="1pt,0,1pt,0">
                      <w:txbxContent>
                        <w:p w14:paraId="22BDB1F7" w14:textId="77777777" w:rsidR="006F6B4B" w:rsidRDefault="006F6B4B" w:rsidP="006F6B4B">
                          <w:pPr>
                            <w:spacing w:line="215" w:lineRule="auto"/>
                            <w:jc w:val="center"/>
                            <w:textDirection w:val="btLr"/>
                          </w:pPr>
                        </w:p>
                      </w:txbxContent>
                    </v:textbox>
                  </v:shape>
                  <v:rect id="Dikdörtgen 276355019" o:spid="_x0000_s1054" style="position:absolute;left:33800;top:38255;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" fillcolor="white [3201]" strokecolor="black [3200]" strokeweight="1pt">
                    <v:stroke startarrowwidth="narrow" startarrowlength="short" endarrowwidth="narrow" endarrowlength="short"/>
                    <v:textbox inset="2.53958mm,2.53958mm,2.53958mm,2.53958mm">
                      <w:txbxContent>
                        <w:p w14:paraId="62611EE1" w14:textId="77777777" w:rsidR="006F6B4B" w:rsidRDefault="006F6B4B" w:rsidP="006F6B4B">
                          <w:pPr>
                            <w:textDirection w:val="btLr"/>
                          </w:pPr>
                        </w:p>
                      </w:txbxContent>
                    </v:textbox>
                  </v:rect>
                  <v:shape id="Metin Kutusu 1751842516" o:spid="_x0000_s1055" type="#_x0000_t202" style="position:absolute;left:33800;top:38255;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" filled="f" stroked="f">
                    <v:textbox inset="1.77778mm,1.77778mm,1.77778mm,1.77778mm">
                      <w:txbxContent>
                        <w:p w14:paraId="42EA88E3" w14:textId="77777777" w:rsidR="006F6B4B" w:rsidRDefault="006F6B4B" w:rsidP="006F6B4B">
                          <w:pPr>
                            <w:spacing w:line="215" w:lineRule="auto"/>
                            <w:textDirection w:val="btLr"/>
                          </w:pPr>
                          <w:r>
                            <w:rPr>
                              <w:rFonts w:ascii="Arial" w:eastAsia="Arial" w:hAnsi="Arial" w:cs="Arial"/>
                              <w:color w:val="000000"/>
                              <w:sz w:val="18"/>
                            </w:rPr>
                            <w:t>2011-2015</w:t>
                          </w:r>
                        </w:p>
                        <w:p w14:paraId="3A923C90" w14:textId="77777777" w:rsidR="006F6B4B" w:rsidRDefault="006F6B4B" w:rsidP="006F6B4B">
                          <w:pPr>
                            <w:spacing w:before="62" w:line="215" w:lineRule="auto"/>
                            <w:ind w:left="90" w:firstLine="70"/>
                            <w:textDirection w:val="btLr"/>
                          </w:pPr>
                          <w:r>
                            <w:rPr>
                              <w:rFonts w:ascii="Arial" w:eastAsia="Arial" w:hAnsi="Arial" w:cs="Arial"/>
                              <w:color w:val="000000"/>
                              <w:sz w:val="14"/>
                            </w:rPr>
                            <w:t xml:space="preserve">Aile ve Sosyal Politikalar Bakanı Fatma Şahin ile Gümrük ve Ticaret Bakanı Hayata Yazıcı’nın tamamladıkları kadın kooperatifleri ile ilgili çalışmanın, yasa değişikliği ile hayata geçirileceği duyuruldu. (12.01.2013) </w:t>
                          </w:r>
                        </w:p>
                        <w:p w14:paraId="172A40D3" w14:textId="77777777" w:rsidR="006F6B4B" w:rsidRDefault="006F6B4B" w:rsidP="006F6B4B">
                          <w:pPr>
                            <w:spacing w:before="21" w:line="215" w:lineRule="auto"/>
                            <w:ind w:left="90" w:firstLine="70"/>
                            <w:textDirection w:val="btLr"/>
                          </w:pPr>
                          <w:r>
                            <w:rPr>
                              <w:rFonts w:ascii="Arial" w:eastAsia="Arial" w:hAnsi="Arial" w:cs="Arial"/>
                              <w:color w:val="000000"/>
                              <w:sz w:val="14"/>
                            </w:rPr>
                            <w:t>Simurg Kadın Kooperatifleri Birliği kuruldu (Şubat 2014)</w:t>
                          </w:r>
                        </w:p>
                        <w:p w14:paraId="4B059054" w14:textId="77777777" w:rsidR="006F6B4B" w:rsidRDefault="006F6B4B" w:rsidP="006F6B4B">
                          <w:pPr>
                            <w:spacing w:before="21" w:line="215" w:lineRule="auto"/>
                            <w:ind w:left="90" w:firstLine="70"/>
                            <w:textDirection w:val="btLr"/>
                          </w:pPr>
                        </w:p>
                      </w:txbxContent>
                    </v:textbox>
                  </v:shape>
                  <v:shape id="Serbest Form: Şekil 137336134" o:spid="_x0000_s1056" style="position:absolute;left:28486;top:63822;width:4990;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" adj="-11796480,,5400" path="m,60000r120000,e" filled="f" strokecolor="black [3200]">
                    <v:stroke startarrowwidth="narrow" startarrowlength="short" endarrow="classic" joinstyle="miter"/>
                    <v:formulas/>
                    <v:path arrowok="t" o:extrusionok="f" o:connecttype="custom" textboxrect="0,0,120000,120000"/>
                    <v:textbox inset="2.53958mm,2.53958mm,2.53958mm,2.53958mm">
                      <w:txbxContent>
                        <w:p w14:paraId="2F7ED0C4" w14:textId="77777777" w:rsidR="006F6B4B" w:rsidRDefault="006F6B4B" w:rsidP="006F6B4B">
                          <w:pPr>
                            <w:textDirection w:val="btLr"/>
                          </w:pPr>
                        </w:p>
                      </w:txbxContent>
                    </v:textbox>
                  </v:shape>
                  <v:shape id="Metin Kutusu 2025683835" o:spid="_x0000_s1057" type="#_x0000_t202" style="position:absolute;left:30849;top:64252;width:264;height: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" filled="f" stroked="f">
                    <v:textbox inset="1pt,0,1pt,0">
                      <w:txbxContent>
                        <w:p w14:paraId="2F1BB869" w14:textId="77777777" w:rsidR="006F6B4B" w:rsidRDefault="006F6B4B" w:rsidP="006F6B4B">
                          <w:pPr>
                            <w:spacing w:line="215" w:lineRule="auto"/>
                            <w:jc w:val="center"/>
                            <w:textDirection w:val="btLr"/>
                          </w:pPr>
                        </w:p>
                      </w:txbxContent>
                    </v:textbox>
                  </v:shape>
                  <v:rect id="Dikdörtgen 680595000" o:spid="_x0000_s1058" style="position:absolute;left:5474;top:57370;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" fillcolor="white [3201]" strokecolor="black [3200]" strokeweight="1pt">
                    <v:stroke startarrowwidth="narrow" startarrowlength="short" endarrowwidth="narrow" endarrowlength="short"/>
                    <v:textbox inset="2.53958mm,2.53958mm,2.53958mm,2.53958mm">
                      <w:txbxContent>
                        <w:p w14:paraId="557E5961" w14:textId="77777777" w:rsidR="006F6B4B" w:rsidRDefault="006F6B4B" w:rsidP="006F6B4B">
                          <w:pPr>
                            <w:textDirection w:val="btLr"/>
                          </w:pPr>
                        </w:p>
                      </w:txbxContent>
                    </v:textbox>
                  </v:rect>
                  <v:shape id="Metin Kutusu 693940696" o:spid="_x0000_s1059" type="#_x0000_t202" style="position:absolute;left:5474;top:57370;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" filled="f" stroked="f">
                    <v:textbox inset="1.77778mm,1.77778mm,1.77778mm,1.77778mm">
                      <w:txbxContent>
                        <w:p w14:paraId="6B37B1C8" w14:textId="77777777" w:rsidR="006F6B4B" w:rsidRDefault="006F6B4B" w:rsidP="006F6B4B">
                          <w:pPr>
                            <w:spacing w:line="215" w:lineRule="auto"/>
                            <w:textDirection w:val="btLr"/>
                          </w:pPr>
                          <w:r>
                            <w:rPr>
                              <w:rFonts w:ascii="Arial" w:eastAsia="Arial" w:hAnsi="Arial" w:cs="Arial"/>
                              <w:color w:val="000000"/>
                              <w:sz w:val="18"/>
                            </w:rPr>
                            <w:t>2012-2016</w:t>
                          </w:r>
                        </w:p>
                        <w:p w14:paraId="52AC33CD" w14:textId="77777777" w:rsidR="006F6B4B" w:rsidRDefault="006F6B4B" w:rsidP="006F6B4B">
                          <w:pPr>
                            <w:spacing w:before="62" w:line="215" w:lineRule="auto"/>
                            <w:ind w:left="90" w:firstLine="70"/>
                            <w:textDirection w:val="btLr"/>
                          </w:pPr>
                          <w:r>
                            <w:rPr>
                              <w:rFonts w:ascii="Arial" w:eastAsia="Arial" w:hAnsi="Arial" w:cs="Arial"/>
                              <w:color w:val="000000"/>
                              <w:sz w:val="14"/>
                            </w:rPr>
                            <w:t>BM'nin 2012 yılını Dünya Kooperatifler Yılı İlan Etmesi</w:t>
                          </w:r>
                        </w:p>
                        <w:p w14:paraId="334C19C3" w14:textId="77777777" w:rsidR="006F6B4B" w:rsidRDefault="006F6B4B" w:rsidP="006F6B4B">
                          <w:pPr>
                            <w:spacing w:before="21" w:line="215" w:lineRule="auto"/>
                            <w:ind w:left="90" w:firstLine="70"/>
                            <w:textDirection w:val="btLr"/>
                          </w:pPr>
                          <w:r>
                            <w:rPr>
                              <w:rFonts w:ascii="Arial" w:eastAsia="Arial" w:hAnsi="Arial" w:cs="Arial"/>
                              <w:color w:val="000000"/>
                              <w:sz w:val="14"/>
                            </w:rPr>
                            <w:t>Stretejik eylem planının oluşturulması</w:t>
                          </w:r>
                        </w:p>
                      </w:txbxContent>
                    </v:textbox>
                  </v:shape>
                  <v:rect id="Dikdörtgen 495604483" o:spid="_x0000_s1060" style="position:absolute;left:33800;top:57370;width:2303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" fillcolor="white [3201]" strokecolor="black [3200]" strokeweight="1pt">
                    <v:stroke startarrowwidth="narrow" startarrowlength="short" endarrowwidth="narrow" endarrowlength="short"/>
                    <v:textbox inset="2.53958mm,2.53958mm,2.53958mm,2.53958mm">
                      <w:txbxContent>
                        <w:p w14:paraId="098522F6" w14:textId="77777777" w:rsidR="006F6B4B" w:rsidRDefault="006F6B4B" w:rsidP="006F6B4B">
                          <w:pPr>
                            <w:textDirection w:val="btLr"/>
                          </w:pPr>
                        </w:p>
                      </w:txbxContent>
                    </v:textbox>
                  </v:rect>
                  <v:shape id="Metin Kutusu 173668133" o:spid="_x0000_s1061" type="#_x0000_t202" style="position:absolute;left:33800;top:57370;width:23030;height:1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" filled="f" stroked="f">
                    <v:textbox inset="1.77778mm,1.77778mm,1.77778mm,1.77778mm">
                      <w:txbxContent>
                        <w:p w14:paraId="539AF808" w14:textId="77777777" w:rsidR="006F6B4B" w:rsidRDefault="006F6B4B" w:rsidP="006F6B4B">
                          <w:pPr>
                            <w:spacing w:line="215" w:lineRule="auto"/>
                            <w:textDirection w:val="btLr"/>
                          </w:pPr>
                          <w:r>
                            <w:rPr>
                              <w:rFonts w:ascii="Arial" w:eastAsia="Arial" w:hAnsi="Arial" w:cs="Arial"/>
                              <w:color w:val="000000"/>
                              <w:sz w:val="18"/>
                            </w:rPr>
                            <w:t>2025</w:t>
                          </w:r>
                        </w:p>
                        <w:p w14:paraId="7B2A1B60" w14:textId="77777777" w:rsidR="006F6B4B" w:rsidRDefault="006F6B4B" w:rsidP="006F6B4B">
                          <w:pPr>
                            <w:spacing w:before="62" w:line="215" w:lineRule="auto"/>
                            <w:ind w:left="90" w:firstLine="70"/>
                            <w:textDirection w:val="btLr"/>
                          </w:pPr>
                          <w:r>
                            <w:rPr>
                              <w:rFonts w:ascii="Arial" w:eastAsia="Arial" w:hAnsi="Arial" w:cs="Arial"/>
                              <w:color w:val="000000"/>
                              <w:sz w:val="14"/>
                            </w:rPr>
                            <w:t>BM’nin 2025 yılını Dünya Kooperatifler yılı ilan etmesi</w:t>
                          </w:r>
                        </w:p>
                        <w:p w14:paraId="1969353A" w14:textId="77777777" w:rsidR="006F6B4B" w:rsidRDefault="006F6B4B" w:rsidP="006F6B4B">
                          <w:pPr>
                            <w:spacing w:before="21" w:line="215" w:lineRule="auto"/>
                            <w:ind w:left="90" w:firstLine="70"/>
                            <w:textDirection w:val="btLr"/>
                          </w:pPr>
                          <w:r>
                            <w:rPr>
                              <w:rFonts w:ascii="Arial" w:eastAsia="Arial" w:hAnsi="Arial" w:cs="Arial"/>
                              <w:color w:val="000000"/>
                              <w:sz w:val="14"/>
                            </w:rPr>
                            <w:t>2025-2028 stratejik eylem planı hazırlıkları için toplantı yapılması</w:t>
                          </w:r>
                        </w:p>
                      </w:txbxContent>
                    </v:textbox>
                  </v:shape>
                </v:group>
                <w10:anchorlock/>
              </v:group>
            </w:pict>
          </mc:Fallback>
        </mc:AlternateContent>
      </w:r>
    </w:p>
    <w:p w14:paraId="62DA4917" w14:textId="77777777" w:rsidR="006F6B4B" w:rsidRPr="00D42316" w:rsidRDefault="006F6B4B" w:rsidP="0006358D">
      <w:pPr>
        <w:jc w:val="both"/>
      </w:pPr>
    </w:p>
    <w:p w14:paraId="6B32E918" w14:textId="77777777" w:rsidR="006F6B4B" w:rsidRPr="00D42316" w:rsidRDefault="006F6B4B" w:rsidP="0006358D">
      <w:pPr>
        <w:pStyle w:val="Balk2"/>
        <w:spacing w:before="0" w:after="0"/>
        <w:ind w:left="720"/>
        <w:rPr>
          <w:rFonts w:ascii="Times New Roman" w:hAnsi="Times New Roman" w:cs="Times New Roman"/>
          <w:b/>
          <w:color w:val="000000"/>
          <w:sz w:val="24"/>
          <w:szCs w:val="24"/>
        </w:rPr>
      </w:pPr>
      <w:r w:rsidRPr="00D42316">
        <w:rPr>
          <w:rFonts w:ascii="Times New Roman" w:hAnsi="Times New Roman" w:cs="Times New Roman"/>
          <w:color w:val="000000"/>
          <w:sz w:val="24"/>
          <w:szCs w:val="24"/>
        </w:rPr>
        <w:t>Şekil 1. Türkiye’de Kadın Kooperatifçilik Hareketi Tarihsel Akış Şeması</w:t>
      </w:r>
    </w:p>
    <w:p w14:paraId="1B253395" w14:textId="77777777" w:rsidR="006F6B4B" w:rsidRPr="00D42316" w:rsidRDefault="006F6B4B" w:rsidP="0006358D"/>
    <w:p w14:paraId="36EEFF1F" w14:textId="2EB00FF6" w:rsidR="006F6B4B" w:rsidRDefault="006F6B4B" w:rsidP="0006358D">
      <w:pPr>
        <w:jc w:val="both"/>
      </w:pPr>
      <w:r w:rsidRPr="00D42316">
        <w:t xml:space="preserve">BM tarafından 2012 yılının dünya kooperatifler yılı ilan edilmesinin ardından o günkü adıyla T.C. gümrük ve Ticaret Bakanlığı Kooperatifçilik genel Müdürlüğü tarafından Kooperatifçilik </w:t>
      </w:r>
      <w:r w:rsidRPr="00D42316">
        <w:lastRenderedPageBreak/>
        <w:t>Stratejik Eylem planı (2012-2016) ilk defa oluşturulmuş ve ilgili planın stratejik hedeflerinde 20 kadın kooperatifi kurulması şeklinde kadın kooperatiflerine ilişkin bir hedef cümlesine yer verilmiştir. 2016 sonunda stratejik eylem planının izleme ve değerlendirme süreçleri ilgili kuruluşlar tarafından yapılmadığından, kooperatifçilik hareketi içinde kadın girişimci kooperatiflerinin stratejik eylem planını kapsayan süreç boyunca ilerlemesi kamu kuruluşlarınca takip edilmemiştir.</w:t>
      </w:r>
    </w:p>
    <w:p w14:paraId="0ADEE7E5" w14:textId="77777777" w:rsidR="00714BC1" w:rsidRPr="00D42316" w:rsidRDefault="00714BC1" w:rsidP="0006358D">
      <w:pPr>
        <w:jc w:val="both"/>
      </w:pPr>
    </w:p>
    <w:p w14:paraId="5AE928C5" w14:textId="2472F8CF" w:rsidR="00714BC1" w:rsidRPr="00714BC1" w:rsidRDefault="006F6B4B" w:rsidP="0006358D">
      <w:pPr>
        <w:rPr>
          <w:b/>
          <w:bCs/>
        </w:rPr>
      </w:pPr>
      <w:r w:rsidRPr="00714BC1">
        <w:rPr>
          <w:b/>
          <w:bCs/>
        </w:rPr>
        <w:t>Türkiye’de Kadın Kooperatiflerine İlişkin Yasal Çerçeve</w:t>
      </w:r>
    </w:p>
    <w:p w14:paraId="430AFA2E" w14:textId="77777777" w:rsidR="006F6B4B" w:rsidRPr="00D42316" w:rsidRDefault="006F6B4B" w:rsidP="0006358D">
      <w:pPr>
        <w:jc w:val="both"/>
      </w:pPr>
      <w:r w:rsidRPr="00D42316">
        <w:t>Kooperatifler, 6102 sayılı Türk Ticaret Kanunu uyarınca bir ticaret şirketi olarak ele alınmakta olup faaliyetleri ve yasal kişilikleri 1163 sayılı Kooperatifler Kanunu’na göre düzenlenmektedir. Yasada kadın kooperatiflerine ilişkin özel bir tanım yahut düzenleme bulunmamaktadır. Buna karşın kooperatiflerin genel bir tanımı yasal düzenleme çerçevesinde yapılmış olup; “ortaklarının ekonomik menfaatlerini, meslek veya geçimlerine ait ihtiyaçlarını işgücü ve parasal katkılarıyla karşılıklı yardımlaşma ve dayanışma suretiyle sağlayıp korumak amacıyla kurulan bir işletme modeli” şeklinde tarif edilmektedir. Ancak Kadın Kooperatifleri Birliği (</w:t>
      </w:r>
      <w:proofErr w:type="spellStart"/>
      <w:r w:rsidRPr="00D42316">
        <w:t>Simurg</w:t>
      </w:r>
      <w:proofErr w:type="spellEnd"/>
      <w:r w:rsidRPr="00D42316">
        <w:t>) kadın kooperatiflerini “ihtiyaçları ve öncelikleri temelinde hizmet geliştirmek üzere yerel kadın grupları tarafından oluşturulan yapılardır” şeklinde tanımlamaktadır. Son 15 yılda hükümetten ve kooperatif sektöründen bağımsız ortaya çıkan bir kooperatif türü olan kadın kooperatifleri, 2011 yılında uygulamaya geçen “Kadın, Çevre, Kültür ve İşletme Kooperatifi” ana sözleşmesi kurucuları kadın olan ve kadın istihdamı sağlayan kooperatiflerin kurulmasına yönelik bir amaçla resmi olarak atılan ilk adım olmuştur. Ticaret Bakanlığı olmadan önce Gümrük ve Ticaret Bakanlığı olarak faaliyet gösteren bakanlığa bağlı olan Kooperatifçilik Genel Müdürlüğü, kadın kooperatiflerinin çalışma alanları olarak yedi farklı çalışma alanı sıralamıştır. Buna göre kadın kooperatiflerinin faaliyet alanları Tablo 1’deki gibidir:</w:t>
      </w:r>
    </w:p>
    <w:p w14:paraId="172C9AF8" w14:textId="77777777" w:rsidR="006F6B4B" w:rsidRPr="00D42316" w:rsidRDefault="006F6B4B" w:rsidP="0006358D">
      <w:pPr>
        <w:jc w:val="both"/>
      </w:pPr>
    </w:p>
    <w:p w14:paraId="2541D0EC" w14:textId="77777777" w:rsidR="006F6B4B" w:rsidRPr="00D42316" w:rsidRDefault="006F6B4B" w:rsidP="0006358D">
      <w:pPr>
        <w:jc w:val="both"/>
      </w:pPr>
      <w:r w:rsidRPr="00D42316">
        <w:rPr>
          <w:b/>
        </w:rPr>
        <w:t>Tablo 1.</w:t>
      </w:r>
      <w:r w:rsidRPr="00D42316">
        <w:t xml:space="preserve"> Kadın Kooperatiflerinin Faaliyet Alanları</w:t>
      </w:r>
    </w:p>
    <w:p w14:paraId="68F8A362" w14:textId="77777777" w:rsidR="006F6B4B" w:rsidRPr="00D42316" w:rsidRDefault="006F6B4B" w:rsidP="0006358D">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8103"/>
      </w:tblGrid>
      <w:tr w:rsidR="006F6B4B" w:rsidRPr="00D42316" w14:paraId="6821A788" w14:textId="77777777" w:rsidTr="00B21006">
        <w:tc>
          <w:tcPr>
            <w:tcW w:w="959" w:type="dxa"/>
          </w:tcPr>
          <w:p w14:paraId="25A0C28A" w14:textId="77777777" w:rsidR="006F6B4B" w:rsidRPr="00D42316" w:rsidRDefault="006F6B4B" w:rsidP="0006358D">
            <w:pPr>
              <w:jc w:val="both"/>
            </w:pPr>
          </w:p>
        </w:tc>
        <w:tc>
          <w:tcPr>
            <w:tcW w:w="8103" w:type="dxa"/>
          </w:tcPr>
          <w:p w14:paraId="2353FD1B" w14:textId="77777777" w:rsidR="006F6B4B" w:rsidRPr="00D42316" w:rsidRDefault="006F6B4B" w:rsidP="0006358D">
            <w:pPr>
              <w:jc w:val="both"/>
              <w:rPr>
                <w:b/>
              </w:rPr>
            </w:pPr>
            <w:r w:rsidRPr="00D42316">
              <w:rPr>
                <w:b/>
              </w:rPr>
              <w:t>Faaliyet Türü</w:t>
            </w:r>
          </w:p>
        </w:tc>
      </w:tr>
      <w:tr w:rsidR="006F6B4B" w:rsidRPr="00D42316" w14:paraId="297E6B13" w14:textId="77777777" w:rsidTr="00B21006">
        <w:tc>
          <w:tcPr>
            <w:tcW w:w="959" w:type="dxa"/>
          </w:tcPr>
          <w:p w14:paraId="6E250B7B" w14:textId="77777777" w:rsidR="006F6B4B" w:rsidRPr="00D42316" w:rsidRDefault="006F6B4B" w:rsidP="0006358D">
            <w:pPr>
              <w:jc w:val="both"/>
              <w:rPr>
                <w:b/>
              </w:rPr>
            </w:pPr>
            <w:r w:rsidRPr="00D42316">
              <w:rPr>
                <w:b/>
              </w:rPr>
              <w:t>1</w:t>
            </w:r>
          </w:p>
        </w:tc>
        <w:tc>
          <w:tcPr>
            <w:tcW w:w="8103" w:type="dxa"/>
          </w:tcPr>
          <w:p w14:paraId="1E367049"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El becerileri için eğitici kurslar düzenlenmesi</w:t>
            </w:r>
          </w:p>
        </w:tc>
      </w:tr>
      <w:tr w:rsidR="006F6B4B" w:rsidRPr="00D42316" w14:paraId="7E41961B" w14:textId="77777777" w:rsidTr="00B21006">
        <w:tc>
          <w:tcPr>
            <w:tcW w:w="959" w:type="dxa"/>
          </w:tcPr>
          <w:p w14:paraId="71DE8779" w14:textId="77777777" w:rsidR="006F6B4B" w:rsidRPr="00D42316" w:rsidRDefault="006F6B4B" w:rsidP="0006358D">
            <w:pPr>
              <w:jc w:val="both"/>
              <w:rPr>
                <w:b/>
              </w:rPr>
            </w:pPr>
            <w:r w:rsidRPr="00D42316">
              <w:rPr>
                <w:b/>
              </w:rPr>
              <w:t>2</w:t>
            </w:r>
          </w:p>
        </w:tc>
        <w:tc>
          <w:tcPr>
            <w:tcW w:w="8103" w:type="dxa"/>
          </w:tcPr>
          <w:p w14:paraId="0100296B"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Geleneksel gıda, giyim, hediyelik eşya vb. ürünlerin üretimi ve pazarlanması</w:t>
            </w:r>
          </w:p>
        </w:tc>
      </w:tr>
      <w:tr w:rsidR="006F6B4B" w:rsidRPr="00D42316" w14:paraId="4EE19802" w14:textId="77777777" w:rsidTr="00B21006">
        <w:tc>
          <w:tcPr>
            <w:tcW w:w="959" w:type="dxa"/>
          </w:tcPr>
          <w:p w14:paraId="35287868" w14:textId="77777777" w:rsidR="006F6B4B" w:rsidRPr="00D42316" w:rsidRDefault="006F6B4B" w:rsidP="0006358D">
            <w:pPr>
              <w:jc w:val="both"/>
              <w:rPr>
                <w:b/>
              </w:rPr>
            </w:pPr>
            <w:r w:rsidRPr="00D42316">
              <w:rPr>
                <w:b/>
              </w:rPr>
              <w:t>3</w:t>
            </w:r>
          </w:p>
        </w:tc>
        <w:tc>
          <w:tcPr>
            <w:tcW w:w="8103" w:type="dxa"/>
          </w:tcPr>
          <w:p w14:paraId="6C9FF0B1"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Lokantacılık</w:t>
            </w:r>
          </w:p>
        </w:tc>
      </w:tr>
      <w:tr w:rsidR="006F6B4B" w:rsidRPr="00D42316" w14:paraId="712A1197" w14:textId="77777777" w:rsidTr="00B21006">
        <w:tc>
          <w:tcPr>
            <w:tcW w:w="959" w:type="dxa"/>
          </w:tcPr>
          <w:p w14:paraId="3F91592C" w14:textId="77777777" w:rsidR="006F6B4B" w:rsidRPr="00D42316" w:rsidRDefault="006F6B4B" w:rsidP="0006358D">
            <w:pPr>
              <w:jc w:val="both"/>
              <w:rPr>
                <w:b/>
              </w:rPr>
            </w:pPr>
            <w:r w:rsidRPr="00D42316">
              <w:rPr>
                <w:b/>
              </w:rPr>
              <w:t>4</w:t>
            </w:r>
          </w:p>
        </w:tc>
        <w:tc>
          <w:tcPr>
            <w:tcW w:w="8103" w:type="dxa"/>
          </w:tcPr>
          <w:p w14:paraId="4616BBA9"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Engelli eğitimi ve bakımı</w:t>
            </w:r>
          </w:p>
        </w:tc>
      </w:tr>
      <w:tr w:rsidR="006F6B4B" w:rsidRPr="00D42316" w14:paraId="332E2C0E" w14:textId="77777777" w:rsidTr="00B21006">
        <w:tc>
          <w:tcPr>
            <w:tcW w:w="959" w:type="dxa"/>
          </w:tcPr>
          <w:p w14:paraId="75F1CDD4" w14:textId="77777777" w:rsidR="006F6B4B" w:rsidRPr="00D42316" w:rsidRDefault="006F6B4B" w:rsidP="0006358D">
            <w:pPr>
              <w:jc w:val="both"/>
              <w:rPr>
                <w:b/>
              </w:rPr>
            </w:pPr>
            <w:r w:rsidRPr="00D42316">
              <w:rPr>
                <w:b/>
              </w:rPr>
              <w:t>5</w:t>
            </w:r>
          </w:p>
        </w:tc>
        <w:tc>
          <w:tcPr>
            <w:tcW w:w="8103" w:type="dxa"/>
          </w:tcPr>
          <w:p w14:paraId="58724782" w14:textId="77777777" w:rsidR="006F6B4B" w:rsidRPr="00D42316" w:rsidRDefault="006F6B4B" w:rsidP="0006358D">
            <w:pPr>
              <w:jc w:val="both"/>
            </w:pPr>
            <w:r w:rsidRPr="00D42316">
              <w:t>Okul öncesi eğitim</w:t>
            </w:r>
          </w:p>
        </w:tc>
      </w:tr>
      <w:tr w:rsidR="006F6B4B" w:rsidRPr="00D42316" w14:paraId="28D64460" w14:textId="77777777" w:rsidTr="00B21006">
        <w:tc>
          <w:tcPr>
            <w:tcW w:w="959" w:type="dxa"/>
          </w:tcPr>
          <w:p w14:paraId="0D5CE929" w14:textId="77777777" w:rsidR="006F6B4B" w:rsidRPr="00D42316" w:rsidRDefault="006F6B4B" w:rsidP="0006358D">
            <w:pPr>
              <w:jc w:val="both"/>
              <w:rPr>
                <w:b/>
              </w:rPr>
            </w:pPr>
            <w:r w:rsidRPr="00D42316">
              <w:rPr>
                <w:b/>
              </w:rPr>
              <w:t>6</w:t>
            </w:r>
          </w:p>
        </w:tc>
        <w:tc>
          <w:tcPr>
            <w:tcW w:w="8103" w:type="dxa"/>
          </w:tcPr>
          <w:p w14:paraId="406975BA"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Yurt içi ve yurt dışında fuar, şenlik, sergi, kermes vb. etkinlikler düzenlenmesi, bu şekildeki etkinliklere katılınması veya ortaklarının katılmasına aracılık edilmesi</w:t>
            </w:r>
          </w:p>
        </w:tc>
      </w:tr>
      <w:tr w:rsidR="006F6B4B" w:rsidRPr="00D42316" w14:paraId="472F129E" w14:textId="77777777" w:rsidTr="00B21006">
        <w:tc>
          <w:tcPr>
            <w:tcW w:w="959" w:type="dxa"/>
          </w:tcPr>
          <w:p w14:paraId="3F09EE9E" w14:textId="77777777" w:rsidR="006F6B4B" w:rsidRPr="00D42316" w:rsidRDefault="006F6B4B" w:rsidP="0006358D">
            <w:pPr>
              <w:jc w:val="both"/>
              <w:rPr>
                <w:b/>
              </w:rPr>
            </w:pPr>
            <w:r w:rsidRPr="00D42316">
              <w:rPr>
                <w:b/>
              </w:rPr>
              <w:t>7</w:t>
            </w:r>
          </w:p>
        </w:tc>
        <w:tc>
          <w:tcPr>
            <w:tcW w:w="8103" w:type="dxa"/>
          </w:tcPr>
          <w:p w14:paraId="7B13F1C5"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D42316">
              <w:t xml:space="preserve">Ortaklarına yönelik sosyal etkinlikler düzenlemesi, </w:t>
            </w:r>
            <w:proofErr w:type="spellStart"/>
            <w:r w:rsidRPr="00D42316">
              <w:t>vb</w:t>
            </w:r>
            <w:proofErr w:type="spellEnd"/>
          </w:p>
        </w:tc>
      </w:tr>
    </w:tbl>
    <w:p w14:paraId="73EA2192" w14:textId="77777777" w:rsidR="006F6B4B" w:rsidRPr="00D42316" w:rsidRDefault="006F6B4B" w:rsidP="0006358D">
      <w:pPr>
        <w:jc w:val="both"/>
      </w:pPr>
    </w:p>
    <w:p w14:paraId="7816C6A3" w14:textId="77777777" w:rsidR="006F6B4B" w:rsidRPr="00D42316" w:rsidRDefault="006F6B4B" w:rsidP="0006358D">
      <w:r w:rsidRPr="00D42316">
        <w:t>Kaynak: Gümrük ve Ticaret Bakanlığı Kooperatifçilik Genel Müdürlüğü</w:t>
      </w:r>
    </w:p>
    <w:p w14:paraId="1CCF4AEF" w14:textId="77777777" w:rsidR="006F6B4B" w:rsidRPr="00D42316" w:rsidRDefault="006F6B4B" w:rsidP="0006358D"/>
    <w:p w14:paraId="577A8612" w14:textId="77777777" w:rsidR="006F6B4B" w:rsidRPr="00D42316" w:rsidRDefault="006F6B4B" w:rsidP="0006358D">
      <w:pPr>
        <w:jc w:val="both"/>
      </w:pPr>
      <w:r w:rsidRPr="00D42316">
        <w:t>Kadın kooperatiflerinin kuruluş sürecinde izlemesi gereken adımlar, Ticaret Bakanlığı Kooperatifçilik Genel Müdürlüğü’nce 1163 sayılı Kooperatifler Kanunu’nun 88. Maddesi uyarınca düzenlenmiş ve “Kadın Girişimi Üretim ve İşletme Kooperatifi Örnek Ana sözleşmesi” oluşturulmuştur. Bu sözleşme uyarınca kadın kooperatiflerinin kuruluş süreçlerine ilişkin bilgiler Tablo 2’de yer almaktadır.</w:t>
      </w:r>
    </w:p>
    <w:p w14:paraId="127632D0" w14:textId="77777777" w:rsidR="006F6B4B" w:rsidRPr="00D42316" w:rsidRDefault="006F6B4B" w:rsidP="0006358D">
      <w:pPr>
        <w:jc w:val="both"/>
      </w:pPr>
    </w:p>
    <w:p w14:paraId="5B8819F8" w14:textId="77777777" w:rsidR="006F6B4B" w:rsidRPr="00D42316" w:rsidRDefault="006F6B4B" w:rsidP="0006358D">
      <w:pPr>
        <w:jc w:val="both"/>
      </w:pPr>
      <w:r w:rsidRPr="00D42316">
        <w:rPr>
          <w:b/>
        </w:rPr>
        <w:lastRenderedPageBreak/>
        <w:t>Tablo 2.</w:t>
      </w:r>
      <w:r w:rsidRPr="00D42316">
        <w:t xml:space="preserve"> Kadın Kooperatifleri Kuruluş Basamakları</w:t>
      </w:r>
    </w:p>
    <w:p w14:paraId="0F593915" w14:textId="77777777" w:rsidR="006F6B4B" w:rsidRPr="00D42316" w:rsidRDefault="006F6B4B" w:rsidP="0006358D">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7"/>
        <w:gridCol w:w="7805"/>
      </w:tblGrid>
      <w:tr w:rsidR="006F6B4B" w:rsidRPr="00D42316" w14:paraId="0644D742" w14:textId="77777777" w:rsidTr="00B21006">
        <w:tc>
          <w:tcPr>
            <w:tcW w:w="1257" w:type="dxa"/>
          </w:tcPr>
          <w:p w14:paraId="6CEF8303" w14:textId="77777777" w:rsidR="006F6B4B" w:rsidRPr="00D42316" w:rsidRDefault="006F6B4B" w:rsidP="0006358D">
            <w:pPr>
              <w:jc w:val="both"/>
            </w:pPr>
          </w:p>
        </w:tc>
        <w:tc>
          <w:tcPr>
            <w:tcW w:w="7805" w:type="dxa"/>
          </w:tcPr>
          <w:p w14:paraId="3B82069F" w14:textId="77777777" w:rsidR="006F6B4B" w:rsidRPr="00D42316" w:rsidRDefault="006F6B4B" w:rsidP="0006358D">
            <w:pPr>
              <w:jc w:val="both"/>
              <w:rPr>
                <w:b/>
              </w:rPr>
            </w:pPr>
            <w:r w:rsidRPr="00D42316">
              <w:rPr>
                <w:b/>
              </w:rPr>
              <w:t>Faaliyet</w:t>
            </w:r>
          </w:p>
        </w:tc>
      </w:tr>
      <w:tr w:rsidR="006F6B4B" w:rsidRPr="00D42316" w14:paraId="39B9A9D9" w14:textId="77777777" w:rsidTr="00B21006">
        <w:tc>
          <w:tcPr>
            <w:tcW w:w="1257" w:type="dxa"/>
          </w:tcPr>
          <w:p w14:paraId="1A02BC1F" w14:textId="627F764D" w:rsidR="006F6B4B" w:rsidRPr="00D42316" w:rsidRDefault="006F6B4B" w:rsidP="0006358D">
            <w:pPr>
              <w:jc w:val="both"/>
              <w:rPr>
                <w:b/>
              </w:rPr>
            </w:pPr>
            <w:r w:rsidRPr="00D42316">
              <w:rPr>
                <w:b/>
              </w:rPr>
              <w:t>1.Aşama</w:t>
            </w:r>
          </w:p>
        </w:tc>
        <w:tc>
          <w:tcPr>
            <w:tcW w:w="7805" w:type="dxa"/>
          </w:tcPr>
          <w:p w14:paraId="75F7AD20" w14:textId="77777777" w:rsidR="006F6B4B" w:rsidRPr="00D42316" w:rsidRDefault="006F6B4B" w:rsidP="0006358D">
            <w:r w:rsidRPr="00D42316">
              <w:t>Pazarlanabilir bir hizmet ya da üretim alanı seçilmesi</w:t>
            </w:r>
          </w:p>
        </w:tc>
      </w:tr>
      <w:tr w:rsidR="006F6B4B" w:rsidRPr="00D42316" w14:paraId="27481154" w14:textId="77777777" w:rsidTr="00B21006">
        <w:tc>
          <w:tcPr>
            <w:tcW w:w="1257" w:type="dxa"/>
          </w:tcPr>
          <w:p w14:paraId="22B5C206" w14:textId="77777777" w:rsidR="006F6B4B" w:rsidRPr="00D42316" w:rsidRDefault="006F6B4B" w:rsidP="0006358D">
            <w:pPr>
              <w:jc w:val="both"/>
              <w:rPr>
                <w:b/>
              </w:rPr>
            </w:pPr>
            <w:r w:rsidRPr="00D42316">
              <w:rPr>
                <w:b/>
              </w:rPr>
              <w:t>2.Aşama</w:t>
            </w:r>
          </w:p>
        </w:tc>
        <w:tc>
          <w:tcPr>
            <w:tcW w:w="7805" w:type="dxa"/>
          </w:tcPr>
          <w:p w14:paraId="31E13201" w14:textId="77777777" w:rsidR="006F6B4B" w:rsidRPr="00D42316" w:rsidRDefault="006F6B4B" w:rsidP="0006358D">
            <w:r w:rsidRPr="00D42316">
              <w:t>Kooperatifin kurulacağı yerde faaliyet konusu mal veya hizmeti üretebilecek nitelikte kadınlarla temasa geçilmesi,</w:t>
            </w:r>
          </w:p>
        </w:tc>
      </w:tr>
      <w:tr w:rsidR="006F6B4B" w:rsidRPr="00D42316" w14:paraId="6D72AB4B" w14:textId="77777777" w:rsidTr="00B21006">
        <w:tc>
          <w:tcPr>
            <w:tcW w:w="1257" w:type="dxa"/>
          </w:tcPr>
          <w:p w14:paraId="12CD8980" w14:textId="77777777" w:rsidR="006F6B4B" w:rsidRPr="00D42316" w:rsidRDefault="006F6B4B" w:rsidP="0006358D">
            <w:pPr>
              <w:jc w:val="both"/>
              <w:rPr>
                <w:b/>
              </w:rPr>
            </w:pPr>
            <w:r w:rsidRPr="00D42316">
              <w:rPr>
                <w:b/>
              </w:rPr>
              <w:t>3. Aşama</w:t>
            </w:r>
          </w:p>
        </w:tc>
        <w:tc>
          <w:tcPr>
            <w:tcW w:w="7805" w:type="dxa"/>
          </w:tcPr>
          <w:p w14:paraId="7220C000" w14:textId="77777777" w:rsidR="006F6B4B" w:rsidRPr="00D42316" w:rsidRDefault="006F6B4B" w:rsidP="0006358D">
            <w:pPr>
              <w:jc w:val="both"/>
            </w:pPr>
            <w:r w:rsidRPr="00D42316">
              <w:t xml:space="preserve">Kadın Girişimi Üretim ve İşletme Kooperatifi Örnek Ana Sözleşmesi’nin </w:t>
            </w:r>
            <w:r w:rsidRPr="00D42316">
              <w:rPr>
                <w:b/>
              </w:rPr>
              <w:t>en az 7 ortak</w:t>
            </w:r>
            <w:r w:rsidRPr="00D42316">
              <w:t xml:space="preserve"> ile imzalanması</w:t>
            </w:r>
          </w:p>
        </w:tc>
      </w:tr>
      <w:tr w:rsidR="006F6B4B" w:rsidRPr="00D42316" w14:paraId="624713EA" w14:textId="77777777" w:rsidTr="00B21006">
        <w:tc>
          <w:tcPr>
            <w:tcW w:w="1257" w:type="dxa"/>
          </w:tcPr>
          <w:p w14:paraId="632260A4" w14:textId="77777777" w:rsidR="006F6B4B" w:rsidRPr="00714BC1" w:rsidRDefault="006F6B4B" w:rsidP="0006358D">
            <w:pPr>
              <w:rPr>
                <w:b/>
                <w:bCs/>
              </w:rPr>
            </w:pPr>
            <w:r w:rsidRPr="00714BC1">
              <w:rPr>
                <w:b/>
                <w:bCs/>
              </w:rPr>
              <w:t>4.Aşama</w:t>
            </w:r>
          </w:p>
        </w:tc>
        <w:tc>
          <w:tcPr>
            <w:tcW w:w="7805" w:type="dxa"/>
          </w:tcPr>
          <w:p w14:paraId="38E27248" w14:textId="77777777" w:rsidR="006F6B4B" w:rsidRPr="00D42316" w:rsidRDefault="006F6B4B" w:rsidP="0006358D">
            <w:r w:rsidRPr="00D42316">
              <w:t>Kooperatif kuruluş izni için Ticaret İl Müdürlüğüne başvurulması</w:t>
            </w:r>
          </w:p>
        </w:tc>
      </w:tr>
      <w:tr w:rsidR="006F6B4B" w:rsidRPr="00D42316" w14:paraId="46397999" w14:textId="77777777" w:rsidTr="00B21006">
        <w:tc>
          <w:tcPr>
            <w:tcW w:w="1257" w:type="dxa"/>
          </w:tcPr>
          <w:p w14:paraId="5BD3D717" w14:textId="77777777" w:rsidR="006F6B4B" w:rsidRPr="00714BC1" w:rsidRDefault="006F6B4B" w:rsidP="0006358D">
            <w:pPr>
              <w:rPr>
                <w:b/>
                <w:bCs/>
              </w:rPr>
            </w:pPr>
            <w:r w:rsidRPr="00714BC1">
              <w:rPr>
                <w:b/>
                <w:bCs/>
              </w:rPr>
              <w:t>5.Aşama</w:t>
            </w:r>
          </w:p>
        </w:tc>
        <w:tc>
          <w:tcPr>
            <w:tcW w:w="7805" w:type="dxa"/>
          </w:tcPr>
          <w:p w14:paraId="68EF7A73" w14:textId="77777777" w:rsidR="006F6B4B" w:rsidRPr="00D42316" w:rsidRDefault="006F6B4B" w:rsidP="0006358D">
            <w:r w:rsidRPr="00D42316">
              <w:t>Kooperatif ticaret siciline tescil</w:t>
            </w:r>
          </w:p>
        </w:tc>
      </w:tr>
    </w:tbl>
    <w:p w14:paraId="25FACB09" w14:textId="77777777" w:rsidR="006F6B4B" w:rsidRPr="00D42316" w:rsidRDefault="006F6B4B" w:rsidP="0006358D">
      <w:pPr>
        <w:jc w:val="both"/>
      </w:pPr>
      <w:r w:rsidRPr="00D42316">
        <w:t>Kaynak: Ticaret Bakanlığı Kooperatifçilik Genel Müdürlüğü</w:t>
      </w:r>
    </w:p>
    <w:p w14:paraId="214BD3B1" w14:textId="77777777" w:rsidR="006F6B4B" w:rsidRPr="00D42316" w:rsidRDefault="006F6B4B" w:rsidP="0006358D"/>
    <w:p w14:paraId="7504E259" w14:textId="77777777" w:rsidR="006F6B4B" w:rsidRPr="00D42316" w:rsidRDefault="006F6B4B" w:rsidP="0006358D">
      <w:pPr>
        <w:jc w:val="both"/>
      </w:pPr>
      <w:r w:rsidRPr="00D42316">
        <w:t xml:space="preserve">Yasa uyarınca en az 7 kişinin ortaklığı ile kurulması mümkün olan kooperatiflerden, 1163 sayılı kanuna göre “kadın” ibaresinin geçtiği tek yer m.93/5 (Ek: 21/10/2021-7339/13 </w:t>
      </w:r>
      <w:proofErr w:type="spellStart"/>
      <w:r w:rsidRPr="00D42316">
        <w:t>md.</w:t>
      </w:r>
      <w:proofErr w:type="spellEnd"/>
      <w:r w:rsidRPr="00D42316">
        <w:t>) “</w:t>
      </w:r>
      <w:r w:rsidRPr="00D42316">
        <w:rPr>
          <w:i/>
        </w:rPr>
        <w:t>Ortaklarının çoğunluğu kadınlardan oluşan ve kadın emeğinin değerlendirilmesi amacıyla kurulan kooperatifler ile ortaklarının çoğunluğu engellilerden oluşan kooperatiflerin, bu Kanun ve 13/1/2011 tarihli ve 6102 sayılı Türk Ticaret Kanunu gereğince tescil ve ilana tabi işlemlerinden ücret alınmaz ve ilana tabi olanlar Türkiye Ticaret Sicili Gazetesinde ücretsiz olarak yayımlanır</w:t>
      </w:r>
      <w:r w:rsidRPr="00D42316">
        <w:t xml:space="preserve">” şeklindedir. Bu ifade temelinde, ortaklarının çoğunluğunun kadınlardan oluşması, kadın kooperatiflerine işaret ediyor görünmekle birlikte, “kadın kooperatifleri” ya da “girişimci kadın kooperatifleri” gibi herhangi bir tanımlayıcı ifade bulunmamaktadır. Bununla birlikte, ortaklığın kurulmasına ilişkin </w:t>
      </w:r>
      <w:proofErr w:type="gramStart"/>
      <w:r w:rsidRPr="00D42316">
        <w:t>bir takım</w:t>
      </w:r>
      <w:proofErr w:type="gramEnd"/>
      <w:r w:rsidRPr="00D42316">
        <w:t xml:space="preserve"> esaslara yer verilmektedir. Buna göre kooperatiflere ortak olabilmek için aranan şartlar şu şekilde sıralanmaktadır (1163 S.K. m.10):</w:t>
      </w:r>
    </w:p>
    <w:p w14:paraId="576C613F" w14:textId="77777777" w:rsidR="006F6B4B" w:rsidRPr="00D42316" w:rsidRDefault="006F6B4B" w:rsidP="0006358D">
      <w:pPr>
        <w:jc w:val="both"/>
      </w:pPr>
    </w:p>
    <w:p w14:paraId="73DBA3E5" w14:textId="4EEA4B1A" w:rsidR="006F6B4B" w:rsidRPr="00D42316" w:rsidRDefault="006F6B4B">
      <w:pPr>
        <w:widowControl/>
        <w:numPr>
          <w:ilvl w:val="0"/>
          <w:numId w:val="1"/>
        </w:numPr>
        <w:pBdr>
          <w:top w:val="nil"/>
          <w:left w:val="nil"/>
          <w:bottom w:val="nil"/>
          <w:right w:val="nil"/>
          <w:between w:val="nil"/>
        </w:pBdr>
        <w:jc w:val="both"/>
        <w:rPr>
          <w:color w:val="000000"/>
        </w:rPr>
      </w:pPr>
      <w:r w:rsidRPr="00D42316">
        <w:rPr>
          <w:color w:val="000000"/>
        </w:rPr>
        <w:t>Türkiye Cumhuriyeti vatandaşı olmak</w:t>
      </w:r>
    </w:p>
    <w:p w14:paraId="4C2B8B9D" w14:textId="77777777" w:rsidR="006F6B4B" w:rsidRPr="00D42316" w:rsidRDefault="006F6B4B">
      <w:pPr>
        <w:widowControl/>
        <w:numPr>
          <w:ilvl w:val="0"/>
          <w:numId w:val="1"/>
        </w:numPr>
        <w:pBdr>
          <w:top w:val="nil"/>
          <w:left w:val="nil"/>
          <w:bottom w:val="nil"/>
          <w:right w:val="nil"/>
          <w:between w:val="nil"/>
        </w:pBdr>
        <w:jc w:val="both"/>
        <w:rPr>
          <w:color w:val="000000"/>
        </w:rPr>
      </w:pPr>
      <w:r w:rsidRPr="00D42316">
        <w:rPr>
          <w:color w:val="000000"/>
        </w:rPr>
        <w:t>Medeni hakları kullanma ehliyetine sahip gerçek kişi kadın olmak,</w:t>
      </w:r>
    </w:p>
    <w:p w14:paraId="3D97F6CD" w14:textId="0D500A34" w:rsidR="006F6B4B" w:rsidRPr="00D42316" w:rsidRDefault="006F6B4B">
      <w:pPr>
        <w:widowControl/>
        <w:numPr>
          <w:ilvl w:val="0"/>
          <w:numId w:val="1"/>
        </w:numPr>
        <w:pBdr>
          <w:top w:val="nil"/>
          <w:left w:val="nil"/>
          <w:bottom w:val="nil"/>
          <w:right w:val="nil"/>
          <w:between w:val="nil"/>
        </w:pBdr>
        <w:jc w:val="both"/>
        <w:rPr>
          <w:color w:val="000000"/>
        </w:rPr>
      </w:pPr>
      <w:r w:rsidRPr="00D42316">
        <w:rPr>
          <w:color w:val="000000"/>
        </w:rPr>
        <w:t>Kooperatifin amacına uygun faaliyet konusu bulunan kamu veya özel hukuk tüzel kişilerinden olmak</w:t>
      </w:r>
    </w:p>
    <w:p w14:paraId="09E3FE7A" w14:textId="77777777" w:rsidR="006F6B4B" w:rsidRPr="00D42316" w:rsidRDefault="006F6B4B" w:rsidP="0006358D">
      <w:pPr>
        <w:jc w:val="both"/>
      </w:pPr>
    </w:p>
    <w:p w14:paraId="0AA6464C" w14:textId="52A413A1" w:rsidR="006F6B4B" w:rsidRPr="00D42316" w:rsidRDefault="006F6B4B" w:rsidP="0006358D">
      <w:pPr>
        <w:jc w:val="both"/>
      </w:pPr>
      <w:r w:rsidRPr="00D42316">
        <w:t>Sıralanan şartları taşımak suretiyle kooperatife ortak olmak isteyen adayların, yazılı olarak yönetim kuruluna başvurmaları ve yönetim kurulunun sözleşme ve koşullar kapsamında uygunluğuna kanaat getirmesi halinde ortaklığa kabul gerçekleşmekte ve bu karar ortaklık başvurusu sahibine 15 gün içinde yazılı olarak bildirilmektedir.</w:t>
      </w:r>
    </w:p>
    <w:p w14:paraId="27E37906" w14:textId="77777777" w:rsidR="006F6B4B" w:rsidRPr="00D42316" w:rsidRDefault="006F6B4B" w:rsidP="0006358D">
      <w:pPr>
        <w:jc w:val="both"/>
      </w:pPr>
    </w:p>
    <w:p w14:paraId="5CA6A37C" w14:textId="77777777" w:rsidR="006F6B4B" w:rsidRPr="00D42316" w:rsidRDefault="006F6B4B" w:rsidP="0006358D">
      <w:pPr>
        <w:jc w:val="both"/>
      </w:pPr>
      <w:r w:rsidRPr="00D42316">
        <w:t>Belirtilen hususlar dışında kadın kooperatiflerine ilişkin başka bir yasal düzenlemenin bulunmadığı görülmüştür.</w:t>
      </w:r>
    </w:p>
    <w:p w14:paraId="7FDAB0BF" w14:textId="77777777" w:rsidR="006F6B4B" w:rsidRPr="00D42316" w:rsidRDefault="006F6B4B" w:rsidP="0006358D">
      <w:pPr>
        <w:jc w:val="both"/>
      </w:pPr>
    </w:p>
    <w:p w14:paraId="4E385D53" w14:textId="1014588F" w:rsidR="006F6B4B" w:rsidRPr="00714BC1" w:rsidRDefault="006F6B4B" w:rsidP="0006358D">
      <w:pPr>
        <w:rPr>
          <w:b/>
          <w:bCs/>
        </w:rPr>
      </w:pPr>
      <w:r w:rsidRPr="00714BC1">
        <w:rPr>
          <w:b/>
          <w:bCs/>
        </w:rPr>
        <w:t>Kooperatifçilik Stratejik Eylem Planı</w:t>
      </w:r>
    </w:p>
    <w:p w14:paraId="63611E4E" w14:textId="7B91DDCD" w:rsidR="006F6B4B" w:rsidRPr="00D42316" w:rsidRDefault="006F6B4B" w:rsidP="0006358D">
      <w:pPr>
        <w:jc w:val="both"/>
      </w:pPr>
      <w:r w:rsidRPr="00D42316">
        <w:t xml:space="preserve">Türkiye’de 2012-2016 yıllarını kapsayan dönemde kooperatifçilik stratejik eylem planının ilk defa yapıldığı görülmektedir. Önceki dönemde BM’nin 2012 yılını Kooperatifçilik yılı ilan etmesinin ve kooperatiflerin ekonomik ve sosyal etki yaratma potansiyellerine dikkat çekmesinin bu eylem planının oluşumunda etkili olduğu düşünülebilir. Ticaret Bakanlığı Esnaf, Sanatkârlar ve Kooperatifçilik Genel Müdürlüğü’nün resmî web sitesinde, ilk stratejik planın uygulamaya alındığı söylenmekte ancak uygulamanın detayları, sonuçları ve kooperatifler üzerindeki yaygın etkinlerine ilişkin herhangi bir bilgiye yer verilmemektedir. Dönemin bakanlığı olan Gümrük ve Ticaret bakanlığı bünyesinde hazırlanan 2012-2016 dönemine ilişkin stratejik plan, kadın girişimciliği, kadın kooperatifçiliği ve kadın temaları kapsamında analiz </w:t>
      </w:r>
      <w:r w:rsidRPr="00D42316">
        <w:lastRenderedPageBreak/>
        <w:t>edilmiş ve stratejik planın yalnızca bir maddesinde “kadın” terimine rastlanılmıştır. Kadın teriminin kullanıldığı tek madde ve içinde kullanıldığı bağlam Tablo 3’teki gibidir.</w:t>
      </w:r>
    </w:p>
    <w:p w14:paraId="1FD4786B" w14:textId="77777777" w:rsidR="006F6B4B" w:rsidRPr="00D42316" w:rsidRDefault="006F6B4B" w:rsidP="0006358D">
      <w:pPr>
        <w:jc w:val="both"/>
      </w:pPr>
    </w:p>
    <w:p w14:paraId="351C71CB" w14:textId="77777777" w:rsidR="006F6B4B" w:rsidRPr="00D42316" w:rsidRDefault="006F6B4B" w:rsidP="0006358D">
      <w:pPr>
        <w:jc w:val="both"/>
      </w:pPr>
      <w:r w:rsidRPr="00D42316">
        <w:rPr>
          <w:b/>
        </w:rPr>
        <w:t>Tablo 3.</w:t>
      </w:r>
      <w:r w:rsidRPr="00D42316">
        <w:t xml:space="preserve"> (2012-2016) Kooperatifçilik Stratejik Eylem Planında Kadın Unsuru</w:t>
      </w:r>
    </w:p>
    <w:p w14:paraId="1F46592E" w14:textId="77777777" w:rsidR="006F6B4B" w:rsidRPr="00D42316" w:rsidRDefault="006F6B4B" w:rsidP="0006358D">
      <w:pPr>
        <w:jc w:val="both"/>
      </w:pPr>
    </w:p>
    <w:tbl>
      <w:tblPr>
        <w:tblW w:w="906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957"/>
        <w:gridCol w:w="4007"/>
        <w:gridCol w:w="2200"/>
        <w:gridCol w:w="1898"/>
      </w:tblGrid>
      <w:tr w:rsidR="006F6B4B" w:rsidRPr="00D42316" w14:paraId="113791A4" w14:textId="77777777" w:rsidTr="00B21006">
        <w:trPr>
          <w:trHeight w:val="571"/>
        </w:trPr>
        <w:tc>
          <w:tcPr>
            <w:tcW w:w="957" w:type="dxa"/>
          </w:tcPr>
          <w:p w14:paraId="68D80AC8" w14:textId="77777777" w:rsidR="006F6B4B" w:rsidRPr="00D42316" w:rsidRDefault="006F6B4B" w:rsidP="0006358D">
            <w:pPr>
              <w:jc w:val="both"/>
            </w:pPr>
            <w:r w:rsidRPr="00D42316">
              <w:t xml:space="preserve">Sayfa </w:t>
            </w:r>
            <w:proofErr w:type="spellStart"/>
            <w:r w:rsidRPr="00D42316">
              <w:t>no</w:t>
            </w:r>
            <w:proofErr w:type="spellEnd"/>
            <w:r w:rsidRPr="00D42316">
              <w:t>:</w:t>
            </w:r>
          </w:p>
        </w:tc>
        <w:tc>
          <w:tcPr>
            <w:tcW w:w="4007" w:type="dxa"/>
          </w:tcPr>
          <w:p w14:paraId="43228907" w14:textId="77777777" w:rsidR="006F6B4B" w:rsidRPr="00D42316" w:rsidRDefault="006F6B4B" w:rsidP="0006358D">
            <w:pPr>
              <w:jc w:val="both"/>
            </w:pPr>
            <w:r w:rsidRPr="00D42316">
              <w:t>Stratejik hedef ve faaliyetler 3.7.</w:t>
            </w:r>
          </w:p>
        </w:tc>
        <w:tc>
          <w:tcPr>
            <w:tcW w:w="2200" w:type="dxa"/>
          </w:tcPr>
          <w:p w14:paraId="1EEF9A60" w14:textId="77777777" w:rsidR="006F6B4B" w:rsidRPr="00D42316" w:rsidRDefault="006F6B4B" w:rsidP="0006358D">
            <w:pPr>
              <w:jc w:val="both"/>
            </w:pPr>
            <w:r w:rsidRPr="00D42316">
              <w:t>İlgili Kuruluşlar</w:t>
            </w:r>
          </w:p>
        </w:tc>
        <w:tc>
          <w:tcPr>
            <w:tcW w:w="1898" w:type="dxa"/>
          </w:tcPr>
          <w:p w14:paraId="69021DA1" w14:textId="77777777" w:rsidR="006F6B4B" w:rsidRPr="00D42316" w:rsidRDefault="006F6B4B" w:rsidP="0006358D">
            <w:pPr>
              <w:jc w:val="both"/>
            </w:pPr>
            <w:r w:rsidRPr="00D42316">
              <w:t>Başarı Göstergesi</w:t>
            </w:r>
          </w:p>
        </w:tc>
      </w:tr>
      <w:tr w:rsidR="006F6B4B" w:rsidRPr="00D42316" w14:paraId="03B9C37C" w14:textId="77777777" w:rsidTr="00B21006">
        <w:trPr>
          <w:trHeight w:val="1841"/>
        </w:trPr>
        <w:tc>
          <w:tcPr>
            <w:tcW w:w="957" w:type="dxa"/>
          </w:tcPr>
          <w:p w14:paraId="1BDB067D" w14:textId="77777777" w:rsidR="006F6B4B" w:rsidRPr="00D42316" w:rsidRDefault="006F6B4B" w:rsidP="0006358D">
            <w:pPr>
              <w:jc w:val="both"/>
            </w:pPr>
            <w:r w:rsidRPr="00D42316">
              <w:t>43</w:t>
            </w:r>
          </w:p>
          <w:p w14:paraId="3C94AEF2" w14:textId="77777777" w:rsidR="006F6B4B" w:rsidRPr="00D42316" w:rsidRDefault="006F6B4B" w:rsidP="0006358D">
            <w:pPr>
              <w:jc w:val="both"/>
            </w:pPr>
          </w:p>
          <w:p w14:paraId="2F0842F8" w14:textId="77777777" w:rsidR="006F6B4B" w:rsidRPr="00D42316" w:rsidRDefault="006F6B4B" w:rsidP="0006358D">
            <w:pPr>
              <w:jc w:val="both"/>
            </w:pPr>
          </w:p>
        </w:tc>
        <w:tc>
          <w:tcPr>
            <w:tcW w:w="4007" w:type="dxa"/>
          </w:tcPr>
          <w:p w14:paraId="6AFE01C0" w14:textId="77777777" w:rsidR="006F6B4B" w:rsidRPr="00D42316" w:rsidRDefault="006F6B4B" w:rsidP="0006358D">
            <w:r w:rsidRPr="00D42316">
              <w:t>Kadınlarımızın girişimcilik kabiliyetlerinin arttırılması ve ekonomide bir aktör olarak yer almalarının sağlanması için kooperatifler çatısı altında örgütlenmeleri yönünde çalışmalarda bulunulacaktır.</w:t>
            </w:r>
          </w:p>
        </w:tc>
        <w:tc>
          <w:tcPr>
            <w:tcW w:w="2200" w:type="dxa"/>
          </w:tcPr>
          <w:p w14:paraId="2D9624E7" w14:textId="77777777" w:rsidR="006F6B4B" w:rsidRPr="00D42316" w:rsidRDefault="006F6B4B" w:rsidP="0006358D">
            <w:r w:rsidRPr="00D42316">
              <w:t>GTB (S) GTHB, OSGB, Aile ve Sosyal Politikalar Bakanlığı, MEB, Kalkınma Bakanlığı, AB Bakanlığı, KOSGEB, İSKUR, ilgili STK’lar</w:t>
            </w:r>
          </w:p>
        </w:tc>
        <w:tc>
          <w:tcPr>
            <w:tcW w:w="1898" w:type="dxa"/>
          </w:tcPr>
          <w:p w14:paraId="74127906" w14:textId="77777777" w:rsidR="006F6B4B" w:rsidRPr="00D42316" w:rsidRDefault="006F6B4B" w:rsidP="0006358D">
            <w:pPr>
              <w:jc w:val="both"/>
            </w:pPr>
            <w:r w:rsidRPr="00D42316">
              <w:t>Kadın girişimciler tarafından en az 20 kooperatif kurulması</w:t>
            </w:r>
          </w:p>
        </w:tc>
      </w:tr>
    </w:tbl>
    <w:p w14:paraId="088D1988" w14:textId="77777777" w:rsidR="006F6B4B" w:rsidRPr="00D42316" w:rsidRDefault="006F6B4B" w:rsidP="0006358D">
      <w:pPr>
        <w:jc w:val="both"/>
      </w:pPr>
      <w:r w:rsidRPr="00D42316">
        <w:t>Tablo 2012-2016 Kooperatifçilik Stratejik Eylem Planı doğrultusunda yazarlar tarafından oluşturulmuştur.</w:t>
      </w:r>
    </w:p>
    <w:p w14:paraId="69E123D4" w14:textId="77777777" w:rsidR="006F6B4B" w:rsidRPr="00D42316" w:rsidRDefault="006F6B4B" w:rsidP="0006358D">
      <w:pPr>
        <w:jc w:val="both"/>
      </w:pPr>
    </w:p>
    <w:p w14:paraId="14B6A794" w14:textId="2F21054A" w:rsidR="006F6B4B" w:rsidRDefault="006F6B4B" w:rsidP="0006358D">
      <w:pPr>
        <w:jc w:val="both"/>
      </w:pPr>
      <w:r w:rsidRPr="00D42316">
        <w:t>Stratejik hedef 3.7.’de görüldüğü üzere; kooperatifçilik çatısı altında kadınların,</w:t>
      </w:r>
    </w:p>
    <w:p w14:paraId="185B9E75" w14:textId="77777777" w:rsidR="0006358D" w:rsidRPr="00D42316" w:rsidRDefault="0006358D" w:rsidP="0006358D">
      <w:pPr>
        <w:jc w:val="both"/>
      </w:pPr>
    </w:p>
    <w:p w14:paraId="3E47A39F" w14:textId="25F70B45" w:rsidR="006F6B4B" w:rsidRPr="00D42316" w:rsidRDefault="006F6B4B">
      <w:pPr>
        <w:widowControl/>
        <w:numPr>
          <w:ilvl w:val="0"/>
          <w:numId w:val="2"/>
        </w:numPr>
        <w:pBdr>
          <w:top w:val="nil"/>
          <w:left w:val="nil"/>
          <w:bottom w:val="nil"/>
          <w:right w:val="nil"/>
          <w:between w:val="nil"/>
        </w:pBdr>
        <w:jc w:val="both"/>
      </w:pPr>
      <w:r w:rsidRPr="00D42316">
        <w:rPr>
          <w:color w:val="000000"/>
        </w:rPr>
        <w:t>Girişimcilik yeteneklerinin arttırılması</w:t>
      </w:r>
    </w:p>
    <w:p w14:paraId="5D5CCFD8" w14:textId="11780B0B" w:rsidR="006F6B4B" w:rsidRPr="00D42316" w:rsidRDefault="006F6B4B">
      <w:pPr>
        <w:widowControl/>
        <w:numPr>
          <w:ilvl w:val="0"/>
          <w:numId w:val="2"/>
        </w:numPr>
        <w:pBdr>
          <w:top w:val="nil"/>
          <w:left w:val="nil"/>
          <w:bottom w:val="nil"/>
          <w:right w:val="nil"/>
          <w:between w:val="nil"/>
        </w:pBdr>
        <w:jc w:val="both"/>
      </w:pPr>
      <w:r w:rsidRPr="00D42316">
        <w:rPr>
          <w:color w:val="000000"/>
        </w:rPr>
        <w:t>Ekonomide bir aktör olarak yer almalarının sağlanması olmak üzere iki amaç sıralanmaktadır.</w:t>
      </w:r>
    </w:p>
    <w:p w14:paraId="4C9E7D71" w14:textId="77777777" w:rsidR="006F6B4B" w:rsidRPr="00D42316" w:rsidRDefault="006F6B4B" w:rsidP="0006358D">
      <w:pPr>
        <w:jc w:val="both"/>
      </w:pPr>
    </w:p>
    <w:p w14:paraId="773F2812" w14:textId="77777777" w:rsidR="006F6B4B" w:rsidRPr="00D42316" w:rsidRDefault="006F6B4B" w:rsidP="0006358D">
      <w:pPr>
        <w:jc w:val="both"/>
      </w:pPr>
      <w:r w:rsidRPr="00D42316">
        <w:t xml:space="preserve">Buradan yola çıkarak kooperatifçiliğin, kadın girişimciliği için bir model olarak sunulduğu görülmektedir. Stratejik eylem planının 2012-2016 sonrasını izleyen dönemde tekrarlanmadığı ve tek seferlik olduğu anlaşılmaktadır. Ancak BM’nin 2025 yılının Uluslararası Kooperatifler Yılı olarak ilan edilmesi çağrısı uyarınca Ticaret Bakanlığı Kooperatifçilik Genel Müdürlüğü tarafından 2025-2029 yıllarını kapsayacak Kooperatifçilik Stratejisi hazırlanmasına karar verilmiş, buna yönelik ilk toplantı Ticaret Bakanlığı, Tarım ve Orman Bakanlığı ve Çevre, Şehircilik ve İklim Değişikliği Bakanlığı temsilcilerinin katılımıyla 21 Aralık 2023 tarihinde gerçekleşmiştir.  Ayrıca 2024-2028 dönemini kapsayan 12. Kalkınma Planında kooperatifçiliğin geliştirilmesine yönelik </w:t>
      </w:r>
      <w:proofErr w:type="gramStart"/>
      <w:r w:rsidRPr="00D42316">
        <w:t>bir takım</w:t>
      </w:r>
      <w:proofErr w:type="gramEnd"/>
      <w:r w:rsidRPr="00D42316">
        <w:t xml:space="preserve"> hedeflere yer verildiği de görülmektedir. Bu hedefler Tablo 4’te gösterilmektedir.</w:t>
      </w:r>
    </w:p>
    <w:p w14:paraId="4CF13A71" w14:textId="77777777" w:rsidR="006F6B4B" w:rsidRPr="00D42316" w:rsidRDefault="006F6B4B" w:rsidP="0006358D">
      <w:pPr>
        <w:jc w:val="both"/>
      </w:pPr>
    </w:p>
    <w:p w14:paraId="5D5BDD49" w14:textId="77777777" w:rsidR="006F6B4B" w:rsidRPr="00D42316" w:rsidRDefault="006F6B4B" w:rsidP="0006358D">
      <w:pPr>
        <w:jc w:val="both"/>
      </w:pPr>
      <w:r w:rsidRPr="00D42316">
        <w:rPr>
          <w:b/>
        </w:rPr>
        <w:t>Tablo 4.</w:t>
      </w:r>
      <w:r w:rsidRPr="00D42316">
        <w:t xml:space="preserve"> On ikinci Kalkınma Planında Kooperatifçiliğe Yönelik Hedefler</w:t>
      </w:r>
    </w:p>
    <w:p w14:paraId="28452A5D" w14:textId="77777777" w:rsidR="006F6B4B" w:rsidRPr="00D42316" w:rsidRDefault="006F6B4B" w:rsidP="0006358D">
      <w:pPr>
        <w:jc w:val="both"/>
      </w:pPr>
    </w:p>
    <w:tbl>
      <w:tblPr>
        <w:tblW w:w="9072" w:type="dxa"/>
        <w:tblBorders>
          <w:top w:val="single" w:sz="4" w:space="0" w:color="7F7F7F"/>
          <w:bottom w:val="single" w:sz="4" w:space="0" w:color="7F7F7F"/>
        </w:tblBorders>
        <w:tblLayout w:type="fixed"/>
        <w:tblLook w:val="04A0" w:firstRow="1" w:lastRow="0" w:firstColumn="1" w:lastColumn="0" w:noHBand="0" w:noVBand="1"/>
      </w:tblPr>
      <w:tblGrid>
        <w:gridCol w:w="1252"/>
        <w:gridCol w:w="6835"/>
        <w:gridCol w:w="985"/>
      </w:tblGrid>
      <w:tr w:rsidR="006F6B4B" w:rsidRPr="00D42316" w14:paraId="77E5728D" w14:textId="77777777" w:rsidTr="00B21006">
        <w:trPr>
          <w:trHeight w:val="289"/>
        </w:trPr>
        <w:tc>
          <w:tcPr>
            <w:tcW w:w="1252" w:type="dxa"/>
          </w:tcPr>
          <w:p w14:paraId="0076FA65" w14:textId="77777777" w:rsidR="006F6B4B" w:rsidRPr="00D42316" w:rsidRDefault="006F6B4B" w:rsidP="0006358D">
            <w:pPr>
              <w:jc w:val="both"/>
            </w:pPr>
            <w:r w:rsidRPr="00D42316">
              <w:t xml:space="preserve">Stratejik Hedef </w:t>
            </w:r>
            <w:proofErr w:type="spellStart"/>
            <w:r w:rsidRPr="00D42316">
              <w:t>no</w:t>
            </w:r>
            <w:proofErr w:type="spellEnd"/>
          </w:p>
        </w:tc>
        <w:tc>
          <w:tcPr>
            <w:tcW w:w="6835" w:type="dxa"/>
          </w:tcPr>
          <w:p w14:paraId="6F70A88A" w14:textId="77777777" w:rsidR="006F6B4B" w:rsidRPr="00D42316" w:rsidRDefault="006F6B4B" w:rsidP="0006358D">
            <w:pPr>
              <w:jc w:val="both"/>
            </w:pPr>
            <w:r w:rsidRPr="00D42316">
              <w:t>Stratejik Hedef İfadesi</w:t>
            </w:r>
          </w:p>
        </w:tc>
        <w:tc>
          <w:tcPr>
            <w:tcW w:w="985" w:type="dxa"/>
          </w:tcPr>
          <w:p w14:paraId="4FFEAAA6" w14:textId="77777777" w:rsidR="006F6B4B" w:rsidRPr="00D42316" w:rsidRDefault="006F6B4B" w:rsidP="0006358D">
            <w:pPr>
              <w:jc w:val="both"/>
            </w:pPr>
            <w:r w:rsidRPr="00D42316">
              <w:t xml:space="preserve">Sayfa </w:t>
            </w:r>
            <w:proofErr w:type="spellStart"/>
            <w:r w:rsidRPr="00D42316">
              <w:t>no</w:t>
            </w:r>
            <w:proofErr w:type="spellEnd"/>
          </w:p>
        </w:tc>
      </w:tr>
      <w:tr w:rsidR="006F6B4B" w:rsidRPr="00D42316" w14:paraId="1655DCAD" w14:textId="77777777" w:rsidTr="00B21006">
        <w:trPr>
          <w:trHeight w:val="289"/>
        </w:trPr>
        <w:tc>
          <w:tcPr>
            <w:tcW w:w="1252" w:type="dxa"/>
          </w:tcPr>
          <w:p w14:paraId="386879AB" w14:textId="77777777" w:rsidR="006F6B4B" w:rsidRPr="00D42316" w:rsidRDefault="006F6B4B" w:rsidP="0006358D">
            <w:pPr>
              <w:jc w:val="both"/>
            </w:pPr>
            <w:r w:rsidRPr="00D42316">
              <w:t>496.3.</w:t>
            </w:r>
          </w:p>
        </w:tc>
        <w:tc>
          <w:tcPr>
            <w:tcW w:w="6835" w:type="dxa"/>
          </w:tcPr>
          <w:p w14:paraId="1B1064EC" w14:textId="77777777" w:rsidR="006F6B4B" w:rsidRPr="00D42316" w:rsidRDefault="006F6B4B" w:rsidP="0006358D">
            <w:pPr>
              <w:jc w:val="both"/>
            </w:pPr>
            <w:r w:rsidRPr="00D42316">
              <w:t>Tarımsal amaçlı kooperatif ve üretici birliklerinin fiziki altyapılarının iyileştirilmesi desteklenecektir.</w:t>
            </w:r>
          </w:p>
        </w:tc>
        <w:tc>
          <w:tcPr>
            <w:tcW w:w="985" w:type="dxa"/>
          </w:tcPr>
          <w:p w14:paraId="5EFC765E" w14:textId="77777777" w:rsidR="006F6B4B" w:rsidRPr="00D42316" w:rsidRDefault="006F6B4B" w:rsidP="0006358D">
            <w:pPr>
              <w:jc w:val="both"/>
            </w:pPr>
          </w:p>
        </w:tc>
      </w:tr>
      <w:tr w:rsidR="006F6B4B" w:rsidRPr="00D42316" w14:paraId="6B8A0971" w14:textId="77777777" w:rsidTr="00B21006">
        <w:trPr>
          <w:trHeight w:val="289"/>
        </w:trPr>
        <w:tc>
          <w:tcPr>
            <w:tcW w:w="1252" w:type="dxa"/>
          </w:tcPr>
          <w:p w14:paraId="76FF9B3B" w14:textId="77777777" w:rsidR="006F6B4B" w:rsidRPr="00D42316" w:rsidRDefault="006F6B4B" w:rsidP="0006358D">
            <w:pPr>
              <w:jc w:val="both"/>
            </w:pPr>
            <w:r w:rsidRPr="00D42316">
              <w:t>563.</w:t>
            </w:r>
          </w:p>
        </w:tc>
        <w:tc>
          <w:tcPr>
            <w:tcW w:w="6835" w:type="dxa"/>
          </w:tcPr>
          <w:p w14:paraId="46F32417" w14:textId="77777777" w:rsidR="006F6B4B" w:rsidRPr="00D42316" w:rsidRDefault="006F6B4B" w:rsidP="0006358D">
            <w:pPr>
              <w:jc w:val="both"/>
            </w:pPr>
            <w:r w:rsidRPr="00D42316">
              <w:t xml:space="preserve">Esnaf, sanatkâr ve kooperatiflerin değişen ekonomik ve sosyal şartlara uyum sağlayacak şekilde rekabetçilikleri ve kapasiteleri geliştirilecek, denetim sistemleriyle şeffaflık ve güvenilirlikleri artırılacak, </w:t>
            </w:r>
            <w:proofErr w:type="gramStart"/>
            <w:r w:rsidRPr="00D42316">
              <w:t>işbirliği</w:t>
            </w:r>
            <w:proofErr w:type="gramEnd"/>
            <w:r w:rsidRPr="00D42316">
              <w:t xml:space="preserve"> ve ortak çalışma kültürünün yaygınlaşması sağlanacaktır.</w:t>
            </w:r>
          </w:p>
        </w:tc>
        <w:tc>
          <w:tcPr>
            <w:tcW w:w="985" w:type="dxa"/>
          </w:tcPr>
          <w:p w14:paraId="78BC515B" w14:textId="77777777" w:rsidR="006F6B4B" w:rsidRPr="00D42316" w:rsidRDefault="006F6B4B" w:rsidP="0006358D">
            <w:pPr>
              <w:jc w:val="both"/>
            </w:pPr>
            <w:r w:rsidRPr="00D42316">
              <w:t>(s.124)</w:t>
            </w:r>
          </w:p>
        </w:tc>
      </w:tr>
      <w:tr w:rsidR="006F6B4B" w:rsidRPr="00D42316" w14:paraId="7D9065B5" w14:textId="77777777" w:rsidTr="00B21006">
        <w:trPr>
          <w:trHeight w:val="289"/>
        </w:trPr>
        <w:tc>
          <w:tcPr>
            <w:tcW w:w="1252" w:type="dxa"/>
          </w:tcPr>
          <w:p w14:paraId="299917C8" w14:textId="77777777" w:rsidR="006F6B4B" w:rsidRPr="00D42316" w:rsidRDefault="006F6B4B" w:rsidP="0006358D">
            <w:pPr>
              <w:jc w:val="both"/>
            </w:pPr>
            <w:r w:rsidRPr="00D42316">
              <w:lastRenderedPageBreak/>
              <w:t>563.4.</w:t>
            </w:r>
          </w:p>
        </w:tc>
        <w:tc>
          <w:tcPr>
            <w:tcW w:w="6835" w:type="dxa"/>
          </w:tcPr>
          <w:p w14:paraId="71322480" w14:textId="77777777" w:rsidR="006F6B4B" w:rsidRPr="00D42316" w:rsidRDefault="006F6B4B" w:rsidP="0006358D">
            <w:pPr>
              <w:jc w:val="both"/>
            </w:pPr>
            <w:r w:rsidRPr="00D42316">
              <w:t>Kooperatiflere yönelik finansal destek araçları geliştirilecek, kooperatiflerin makine ve ekipman alımı, nitelikli personel istihdamı ve demirbaş alımları desteklenecektir.</w:t>
            </w:r>
          </w:p>
        </w:tc>
        <w:tc>
          <w:tcPr>
            <w:tcW w:w="985" w:type="dxa"/>
          </w:tcPr>
          <w:p w14:paraId="2BAF4254" w14:textId="77777777" w:rsidR="006F6B4B" w:rsidRPr="00D42316" w:rsidRDefault="006F6B4B" w:rsidP="0006358D">
            <w:pPr>
              <w:jc w:val="both"/>
            </w:pPr>
            <w:r w:rsidRPr="00D42316">
              <w:t>(s.124)</w:t>
            </w:r>
          </w:p>
        </w:tc>
      </w:tr>
      <w:tr w:rsidR="006F6B4B" w:rsidRPr="00D42316" w14:paraId="23F1971D" w14:textId="77777777" w:rsidTr="00B21006">
        <w:trPr>
          <w:trHeight w:val="289"/>
        </w:trPr>
        <w:tc>
          <w:tcPr>
            <w:tcW w:w="1252" w:type="dxa"/>
          </w:tcPr>
          <w:p w14:paraId="279ABEC0" w14:textId="77777777" w:rsidR="006F6B4B" w:rsidRPr="00D42316" w:rsidRDefault="006F6B4B" w:rsidP="0006358D">
            <w:pPr>
              <w:jc w:val="both"/>
            </w:pPr>
            <w:r w:rsidRPr="00D42316">
              <w:t>563.5.</w:t>
            </w:r>
          </w:p>
        </w:tc>
        <w:tc>
          <w:tcPr>
            <w:tcW w:w="6835" w:type="dxa"/>
          </w:tcPr>
          <w:p w14:paraId="76949819" w14:textId="77777777" w:rsidR="006F6B4B" w:rsidRPr="00D42316" w:rsidRDefault="006F6B4B" w:rsidP="0006358D">
            <w:pPr>
              <w:jc w:val="both"/>
            </w:pPr>
            <w:r w:rsidRPr="00D42316">
              <w:rPr>
                <w:b/>
              </w:rPr>
              <w:t>Başta tarım satış kooperatifleri, kadın kooperatifleri ile sosyal nitelikli kooperatifler olmak üzere</w:t>
            </w:r>
            <w:r w:rsidRPr="00D42316">
              <w:t xml:space="preserve"> öncelikli sektörlerde faaliyette bulunan kooperatiflere destek sağlanacaktır.</w:t>
            </w:r>
          </w:p>
        </w:tc>
        <w:tc>
          <w:tcPr>
            <w:tcW w:w="985" w:type="dxa"/>
          </w:tcPr>
          <w:p w14:paraId="3D9BFACE" w14:textId="77777777" w:rsidR="006F6B4B" w:rsidRPr="00D42316" w:rsidRDefault="006F6B4B" w:rsidP="0006358D">
            <w:pPr>
              <w:jc w:val="both"/>
            </w:pPr>
            <w:r w:rsidRPr="00D42316">
              <w:t>(s.124)</w:t>
            </w:r>
          </w:p>
        </w:tc>
      </w:tr>
      <w:tr w:rsidR="006F6B4B" w:rsidRPr="00D42316" w14:paraId="57BDC830" w14:textId="77777777" w:rsidTr="00B21006">
        <w:trPr>
          <w:trHeight w:val="289"/>
        </w:trPr>
        <w:tc>
          <w:tcPr>
            <w:tcW w:w="1252" w:type="dxa"/>
          </w:tcPr>
          <w:p w14:paraId="063F0B0E" w14:textId="77777777" w:rsidR="006F6B4B" w:rsidRPr="00D42316" w:rsidRDefault="006F6B4B" w:rsidP="0006358D">
            <w:pPr>
              <w:jc w:val="both"/>
            </w:pPr>
            <w:r w:rsidRPr="00D42316">
              <w:t>563.6.</w:t>
            </w:r>
          </w:p>
        </w:tc>
        <w:tc>
          <w:tcPr>
            <w:tcW w:w="6835" w:type="dxa"/>
          </w:tcPr>
          <w:p w14:paraId="3B97D18E" w14:textId="77777777" w:rsidR="006F6B4B" w:rsidRPr="00D42316" w:rsidRDefault="006F6B4B" w:rsidP="0006358D">
            <w:pPr>
              <w:jc w:val="both"/>
            </w:pPr>
            <w:r w:rsidRPr="00D42316">
              <w:t>Esnaf, sanatkâr ve kooperatiflere yönelik ortak makine kullanım alanlarının kurulması teşvik edilerek daha az maliyetli üretim yapılabilmesi sağlanacaktır.</w:t>
            </w:r>
          </w:p>
        </w:tc>
        <w:tc>
          <w:tcPr>
            <w:tcW w:w="985" w:type="dxa"/>
          </w:tcPr>
          <w:p w14:paraId="4A4F1AA3" w14:textId="77777777" w:rsidR="006F6B4B" w:rsidRPr="00D42316" w:rsidRDefault="006F6B4B" w:rsidP="0006358D">
            <w:pPr>
              <w:jc w:val="both"/>
            </w:pPr>
            <w:r w:rsidRPr="00D42316">
              <w:t>(s.124)</w:t>
            </w:r>
          </w:p>
        </w:tc>
      </w:tr>
      <w:tr w:rsidR="006F6B4B" w:rsidRPr="00D42316" w14:paraId="4B56F5AA" w14:textId="77777777" w:rsidTr="00B21006">
        <w:trPr>
          <w:trHeight w:val="289"/>
        </w:trPr>
        <w:tc>
          <w:tcPr>
            <w:tcW w:w="1252" w:type="dxa"/>
          </w:tcPr>
          <w:p w14:paraId="26B5C5A3" w14:textId="77777777" w:rsidR="006F6B4B" w:rsidRPr="00D42316" w:rsidRDefault="006F6B4B" w:rsidP="0006358D">
            <w:pPr>
              <w:jc w:val="both"/>
            </w:pPr>
            <w:r w:rsidRPr="00D42316">
              <w:t>563.7.</w:t>
            </w:r>
          </w:p>
        </w:tc>
        <w:tc>
          <w:tcPr>
            <w:tcW w:w="6835" w:type="dxa"/>
          </w:tcPr>
          <w:p w14:paraId="266BBCC8" w14:textId="77777777" w:rsidR="006F6B4B" w:rsidRPr="00D42316" w:rsidRDefault="006F6B4B" w:rsidP="0006358D">
            <w:pPr>
              <w:jc w:val="both"/>
            </w:pPr>
            <w:r w:rsidRPr="00D42316">
              <w:t>Kooperatifçilikle ilgili kamuoyunda ve üniversitelerde farkındalık sağlanacak ve kooperatifçiliğin daha etkin uygulanması yönünde çalışmalar yapılacaktır.</w:t>
            </w:r>
          </w:p>
        </w:tc>
        <w:tc>
          <w:tcPr>
            <w:tcW w:w="985" w:type="dxa"/>
          </w:tcPr>
          <w:p w14:paraId="0E3611D6" w14:textId="77777777" w:rsidR="006F6B4B" w:rsidRPr="00D42316" w:rsidRDefault="006F6B4B" w:rsidP="0006358D">
            <w:pPr>
              <w:jc w:val="both"/>
            </w:pPr>
            <w:r w:rsidRPr="00D42316">
              <w:t>(s.124)</w:t>
            </w:r>
          </w:p>
        </w:tc>
      </w:tr>
      <w:tr w:rsidR="006F6B4B" w:rsidRPr="00D42316" w14:paraId="71AB4963" w14:textId="77777777" w:rsidTr="00B21006">
        <w:trPr>
          <w:trHeight w:val="289"/>
        </w:trPr>
        <w:tc>
          <w:tcPr>
            <w:tcW w:w="1252" w:type="dxa"/>
          </w:tcPr>
          <w:p w14:paraId="621B5A11" w14:textId="77777777" w:rsidR="006F6B4B" w:rsidRPr="00D42316" w:rsidRDefault="006F6B4B" w:rsidP="0006358D">
            <w:pPr>
              <w:jc w:val="both"/>
            </w:pPr>
            <w:r w:rsidRPr="00D42316">
              <w:t>728.2.</w:t>
            </w:r>
          </w:p>
        </w:tc>
        <w:tc>
          <w:tcPr>
            <w:tcW w:w="6835" w:type="dxa"/>
          </w:tcPr>
          <w:p w14:paraId="4E5B19D0" w14:textId="454C6895" w:rsidR="006F6B4B" w:rsidRPr="00D42316" w:rsidRDefault="006F6B4B" w:rsidP="0006358D">
            <w:pPr>
              <w:jc w:val="both"/>
              <w:rPr>
                <w:b/>
              </w:rPr>
            </w:pPr>
            <w:r w:rsidRPr="00D42316">
              <w:rPr>
                <w:b/>
              </w:rPr>
              <w:t>Kadınların işgücüne katılımlarını artıracak girişimcilik, finansal ve dijital okuryazarlık, kooperatifçilik gibi alanlardaki programlar kapsamları genişletilerek yaygınlaştırılacaktır.</w:t>
            </w:r>
          </w:p>
        </w:tc>
        <w:tc>
          <w:tcPr>
            <w:tcW w:w="985" w:type="dxa"/>
          </w:tcPr>
          <w:p w14:paraId="17FA2006" w14:textId="77777777" w:rsidR="006F6B4B" w:rsidRPr="00D42316" w:rsidRDefault="006F6B4B" w:rsidP="0006358D">
            <w:pPr>
              <w:jc w:val="both"/>
            </w:pPr>
            <w:r w:rsidRPr="00D42316">
              <w:t>(s.172)</w:t>
            </w:r>
          </w:p>
        </w:tc>
      </w:tr>
      <w:tr w:rsidR="006F6B4B" w:rsidRPr="00D42316" w14:paraId="0A41A459" w14:textId="77777777" w:rsidTr="00B21006">
        <w:trPr>
          <w:trHeight w:val="289"/>
        </w:trPr>
        <w:tc>
          <w:tcPr>
            <w:tcW w:w="1252" w:type="dxa"/>
          </w:tcPr>
          <w:p w14:paraId="532B588B" w14:textId="77777777" w:rsidR="006F6B4B" w:rsidRPr="00D42316" w:rsidRDefault="006F6B4B" w:rsidP="0006358D">
            <w:pPr>
              <w:jc w:val="both"/>
            </w:pPr>
            <w:r w:rsidRPr="00D42316">
              <w:t>897.4.</w:t>
            </w:r>
          </w:p>
        </w:tc>
        <w:tc>
          <w:tcPr>
            <w:tcW w:w="6835" w:type="dxa"/>
          </w:tcPr>
          <w:p w14:paraId="40F0B6D2" w14:textId="77777777" w:rsidR="006F6B4B" w:rsidRPr="00D42316" w:rsidRDefault="006F6B4B" w:rsidP="0006358D">
            <w:pPr>
              <w:jc w:val="both"/>
            </w:pPr>
            <w:r w:rsidRPr="00D42316">
              <w:t>Kırsalda üretici örgütlerinin güçlendirilmesi ve kooperatifçiliğin etkinleştirilmesi amacıyla ilgili mevzuatta iyileştirmeler gerçekleştirilecektir.</w:t>
            </w:r>
          </w:p>
        </w:tc>
        <w:tc>
          <w:tcPr>
            <w:tcW w:w="985" w:type="dxa"/>
          </w:tcPr>
          <w:p w14:paraId="6DA26676" w14:textId="77777777" w:rsidR="006F6B4B" w:rsidRPr="00D42316" w:rsidRDefault="006F6B4B" w:rsidP="0006358D">
            <w:pPr>
              <w:jc w:val="both"/>
            </w:pPr>
            <w:r w:rsidRPr="00D42316">
              <w:t>(s.219)</w:t>
            </w:r>
          </w:p>
        </w:tc>
      </w:tr>
    </w:tbl>
    <w:p w14:paraId="134A97F7" w14:textId="77777777" w:rsidR="006F6B4B" w:rsidRPr="00D42316" w:rsidRDefault="006F6B4B" w:rsidP="0006358D">
      <w:pPr>
        <w:jc w:val="both"/>
      </w:pPr>
      <w:r w:rsidRPr="00D42316">
        <w:t>Tablo On İkinci Kalkınma Planı doğrultusunda yazarlar tarafından oluşturulmuştur.</w:t>
      </w:r>
    </w:p>
    <w:p w14:paraId="2FB4A9F6" w14:textId="77777777" w:rsidR="006F6B4B" w:rsidRPr="00D42316" w:rsidRDefault="006F6B4B" w:rsidP="0006358D">
      <w:pPr>
        <w:jc w:val="both"/>
      </w:pPr>
    </w:p>
    <w:p w14:paraId="464898D4" w14:textId="653232DE" w:rsidR="006F6B4B" w:rsidRDefault="006F6B4B" w:rsidP="0006358D">
      <w:pPr>
        <w:jc w:val="both"/>
      </w:pPr>
      <w:r w:rsidRPr="00D42316">
        <w:t>12. kalkınma planında toplam 983 ana hedef ve buna bağlı alt hedefler bulunmaktadır. Bu ana hedeflerden yalnızca bir tanesinin (h. 563) kooperatifçilikle ilişkili olduğu görülmektedir. Bu ana hedef altında yer alan alt hedeflerde toplam 7 maddenin kooperatifçilikle ilişkili olduğu; bunlardan ise iki maddenin kadın girişimciliği (h. 782.2.) ve kadın kooperatifçiliği (h. 563.5, h.782.2) ile ilişkili olduğu görülmektedir. Buna göre, kadın kooperatiflerinin tarım satış ve sosyal etkiye sahip kooperatiflerle birlikte kalkınma planları doğrultusunda önceliklendirildiği anlaşılmaktadır. Yine diğer alt hedefte (782.2), girişimcilik ve kooperatifçilik faaliyetlerinin kadın istihdamını arttırmaya yönelik çözümler olarak ele alındığı görülmektedir.</w:t>
      </w:r>
    </w:p>
    <w:p w14:paraId="7B5D210B" w14:textId="77777777" w:rsidR="00714BC1" w:rsidRPr="00D42316" w:rsidRDefault="00714BC1" w:rsidP="0006358D">
      <w:pPr>
        <w:jc w:val="both"/>
      </w:pPr>
    </w:p>
    <w:p w14:paraId="6A1BCEE9" w14:textId="77777777" w:rsidR="006F6B4B" w:rsidRPr="00714BC1" w:rsidRDefault="006F6B4B" w:rsidP="0006358D">
      <w:pPr>
        <w:rPr>
          <w:b/>
          <w:bCs/>
        </w:rPr>
      </w:pPr>
      <w:r w:rsidRPr="00714BC1">
        <w:rPr>
          <w:b/>
          <w:bCs/>
        </w:rPr>
        <w:t>Yöntem</w:t>
      </w:r>
    </w:p>
    <w:p w14:paraId="40F1A88D" w14:textId="0DDAAE45" w:rsidR="00714BC1" w:rsidRPr="00714BC1" w:rsidRDefault="006F6B4B" w:rsidP="0006358D">
      <w:pPr>
        <w:rPr>
          <w:b/>
          <w:bCs/>
        </w:rPr>
      </w:pPr>
      <w:r w:rsidRPr="00714BC1">
        <w:rPr>
          <w:b/>
          <w:bCs/>
        </w:rPr>
        <w:t>Araştırmanın Amacı, Kapsamı ve Önemi</w:t>
      </w:r>
    </w:p>
    <w:p w14:paraId="06C7A762" w14:textId="1F54EFD3" w:rsidR="006F6B4B" w:rsidRDefault="006F6B4B" w:rsidP="0006358D">
      <w:pPr>
        <w:jc w:val="both"/>
      </w:pPr>
      <w:r w:rsidRPr="00D42316">
        <w:t xml:space="preserve">Bu çalışma, kadın girişimciliğini ve ekonomik güçlenmeyi teşvik eden bir araç ve dayanışma ekonomisinin en önemli kaldıraçlarından biri olabilecek Türkiye'deki kadın kooperatiflerinin karşılaştıkları temel zorluklar ışığında alternatif iş modellerinin ortaya çıkarılması ve değerlendirilmesini amaçlamaktadır. Literatürde bu konu üzerine yapılmış herhangi bir araştırmanın bulunmuyor olması, her yıl kapanan kadın kooperatif sayılarının açılanlardan daha yüksek olduğu gerçeği göz önünde bulundurulduğunda konunun öneminin altını çizmektedir. Literatürde var olan araştırmalardan çok azı yalnızca kadın kooperatiflerine odaklanmakta; bunlardan yalnızca bir tanesi doğrudan kadın girişim ve üretim kooperatiflerine odaklanmaktadır. Bu konuda araştırma yapan önceki araştırmalarda karşılaşılan güçlüklerden başlıcaları, kadın kooperatiflerine ilişkin güncel ve sağlıklı verilerin bulunmuyor olması, kadın kooperatifi olarak değerlendirilen kooperatiflerin bir ya da daha fazla kadın çalıştıran kooperatifleri işaret etmesi ve bu kooperatiflerin yönetiminde kadınların bulunmuyor olması dolayısıyla gerçek anlamda kadın kooperatiflerinin durumunu analiz etmenin mümkün olmaması gibi güçlüklerdir. Bu araştırmada, Türkiye’de kadın kooperatifleri ile dirsek temasında olan sivil toplum kuruluşlarının izleme ve değerlendirme raporları, toplantı notları ile ILO, </w:t>
      </w:r>
      <w:proofErr w:type="spellStart"/>
      <w:r w:rsidRPr="00D42316">
        <w:t>The</w:t>
      </w:r>
      <w:proofErr w:type="spellEnd"/>
      <w:r w:rsidRPr="00D42316">
        <w:t xml:space="preserve"> World Bank gibi uluslararası kuruluşlar tarafından paylaşılan raporlar üzerinden </w:t>
      </w:r>
      <w:r w:rsidRPr="00D42316">
        <w:lastRenderedPageBreak/>
        <w:t>kadın kooperatiflerinin mevcut durumu, ihtiyaç ve talepleri ile alternatif iş modellerinin ortaya konulması amaçlanmıştır.</w:t>
      </w:r>
    </w:p>
    <w:p w14:paraId="0674E005" w14:textId="77777777" w:rsidR="0006358D" w:rsidRPr="00D42316" w:rsidRDefault="0006358D" w:rsidP="0006358D">
      <w:pPr>
        <w:jc w:val="both"/>
      </w:pPr>
    </w:p>
    <w:p w14:paraId="544C6342" w14:textId="3FE79252" w:rsidR="006F6B4B" w:rsidRPr="00714BC1" w:rsidRDefault="006F6B4B" w:rsidP="0006358D">
      <w:pPr>
        <w:rPr>
          <w:b/>
          <w:bCs/>
        </w:rPr>
      </w:pPr>
      <w:r w:rsidRPr="00714BC1">
        <w:rPr>
          <w:b/>
          <w:bCs/>
        </w:rPr>
        <w:t>Veri Toplama</w:t>
      </w:r>
    </w:p>
    <w:p w14:paraId="47818596" w14:textId="1881475F" w:rsidR="006F6B4B" w:rsidRDefault="006F6B4B" w:rsidP="0006358D">
      <w:pPr>
        <w:jc w:val="both"/>
      </w:pPr>
      <w:r w:rsidRPr="00D42316">
        <w:t xml:space="preserve">Araştırmada, zaman kısıtı ve ulaşılabilirlik ölçütleri doğrultusunda ikincil veriden yararlanılmıştır. KOOP-BİS: </w:t>
      </w:r>
      <w:proofErr w:type="spellStart"/>
      <w:r w:rsidRPr="00D42316">
        <w:t>GTB’nin</w:t>
      </w:r>
      <w:proofErr w:type="spellEnd"/>
      <w:r w:rsidRPr="00D42316">
        <w:t xml:space="preserve"> görev, yetki ve sorumluluğundaki kooperatif ve üst kuruluşlarına ait işlemlerin; - Elektronik ortama aktarılması, online olarak sürdürülebilir hale getirilmesi, kağıt ve zaman tasarrufu ile şeffaflık sağlanması, - Diğer kamu kurum ve kuruluşları ile karşılıklı bilgi paylaşımının sağlanması, - Kooperatiflerin faaliyetleri ile sosyal ve ekonomik hayata katkılarına ilişkin istatistiki veri elde edilmesi, - Kooperatiflerle ilgili politikalar üretilmesinde kullanılacak detaylı raporların oluşturulması, amacıyla yürütülen bir projedir. Kadın Kooperatiflerinin bağlı olduğu Ticaret Bakanlığı resmî web sayfası olan KOOP-BİS ana sayfasında, 23.05.2024 tarihli ve 7511 sayılı Kanun ile 1163 sayılı Kanunun Geçici 8 inci maddesi uyarınca kooperatiflerin bilgi sistemine veri aktarımını henüz tamamlayamamış olmasından dolayı, geçişin 26.04.2025 tarihine kadar uzatıldığını duyurmuştur. Bu nedenle ikincil verilerin toplanması sürecinde Türkiye’de kadın kooperatiflerinin bağlı bulunduğu diğer üst kuruluşların, kadına yönelik sivil toplum kuruluşlarının ve Birleşmiş Milletler alt komisyonları tarafından hazırlanmış izleme ve değerlendirme raporlarından güncel olanları kullanılmıştır. Bununla birlikte, literatürde oldukça sınırlı sayıda bulunan Türkiye’deki kadın kooperatifleri üzerine akademik çalışmaların bulguları ikincil veri olarak değerlendirilmeye alınmıştır.</w:t>
      </w:r>
    </w:p>
    <w:p w14:paraId="74249416" w14:textId="77777777" w:rsidR="00714BC1" w:rsidRPr="00D42316" w:rsidRDefault="00714BC1" w:rsidP="0006358D">
      <w:pPr>
        <w:jc w:val="both"/>
      </w:pPr>
    </w:p>
    <w:p w14:paraId="32C57103" w14:textId="329BD98F" w:rsidR="006F6B4B" w:rsidRPr="00714BC1" w:rsidRDefault="006F6B4B" w:rsidP="0006358D">
      <w:pPr>
        <w:rPr>
          <w:b/>
          <w:bCs/>
        </w:rPr>
      </w:pPr>
      <w:r w:rsidRPr="00714BC1">
        <w:rPr>
          <w:b/>
          <w:bCs/>
        </w:rPr>
        <w:t>Verilerin Analizi</w:t>
      </w:r>
    </w:p>
    <w:p w14:paraId="5B8D465F" w14:textId="1FF618D2" w:rsidR="006F6B4B" w:rsidRDefault="006F6B4B" w:rsidP="0006358D">
      <w:pPr>
        <w:jc w:val="both"/>
      </w:pPr>
      <w:r w:rsidRPr="00D42316">
        <w:t xml:space="preserve">Çalışmada nitel araştırma yöntemlerinden, Türkiye’de kadın kooperatifleri ile dirsek temasında olan sivil toplum kuruluşlarının izleme ve değerlendirme raporları, toplantı notları ile ILO, </w:t>
      </w:r>
      <w:proofErr w:type="spellStart"/>
      <w:r w:rsidRPr="00D42316">
        <w:t>the</w:t>
      </w:r>
      <w:proofErr w:type="spellEnd"/>
      <w:r w:rsidRPr="00D42316">
        <w:t xml:space="preserve"> World Bank gibi uluslararası kuruluşlar tarafından paylaşılan raporlar üzerinden içerik analizi, kooperatifçilik stratejik eylem planı, 1163 Sayılı kooperatifçilik kanunu üzerinden mevzuat analizi, KEDV kadın kooperatifleri buluşması toplantı raporları üzerinden doküman analizi ile önceki araştırmaların bulguları üzerinden literatür analizlerine başvurulmuştur.</w:t>
      </w:r>
    </w:p>
    <w:p w14:paraId="7A1A9C7D" w14:textId="77777777" w:rsidR="00714BC1" w:rsidRPr="00D42316" w:rsidRDefault="00714BC1" w:rsidP="0006358D">
      <w:pPr>
        <w:jc w:val="both"/>
      </w:pPr>
    </w:p>
    <w:p w14:paraId="788E2853" w14:textId="789E2D98" w:rsidR="006F6B4B" w:rsidRPr="00714BC1" w:rsidRDefault="006F6B4B" w:rsidP="0006358D">
      <w:pPr>
        <w:rPr>
          <w:b/>
          <w:bCs/>
        </w:rPr>
      </w:pPr>
      <w:r w:rsidRPr="00714BC1">
        <w:rPr>
          <w:b/>
          <w:bCs/>
        </w:rPr>
        <w:t>Araştırmanın Sınırlılıkları</w:t>
      </w:r>
    </w:p>
    <w:p w14:paraId="2D6503F5" w14:textId="3F22E9E9" w:rsidR="006F6B4B" w:rsidRDefault="006F6B4B" w:rsidP="0006358D">
      <w:pPr>
        <w:jc w:val="both"/>
      </w:pPr>
      <w:r w:rsidRPr="00D42316">
        <w:t>Araştırmanın yapıldığı süreçte kadın kooperatiflerinin bağlı bulunduğu ana kuruluş olan T.C. Ticaret Bakanlığı Koop-</w:t>
      </w:r>
      <w:proofErr w:type="spellStart"/>
      <w:r w:rsidRPr="00D42316">
        <w:t>Bis</w:t>
      </w:r>
      <w:proofErr w:type="spellEnd"/>
      <w:r w:rsidRPr="00D42316">
        <w:t xml:space="preserve"> sistemindeki verilere erişilemiyor olması araştırmanın yapıldığı tarih itibarıyla güncel kadın kooperatifi sayılarının bilinmiyor olması ile sonuçlanmıştır. Kadın kooperatifleri üst kuruluşu olan </w:t>
      </w:r>
      <w:proofErr w:type="spellStart"/>
      <w:r w:rsidRPr="00D42316">
        <w:t>Simurg’un</w:t>
      </w:r>
      <w:proofErr w:type="spellEnd"/>
      <w:r w:rsidRPr="00D42316">
        <w:t xml:space="preserve"> daha önceki çalışmalarda erişilebilir olan web sitesinde paylaşılan verilere erişilmeye çalışılmış ancak çalışmanın yapıldığı tarih itibarıyla simurg.org web sitesinin alan adının artık geçerli olmadığı görülmüştür. Bu nedenle, literatürde yapılan daha önceki çalışmalarda da görüldüğü gibi, mevcut durumda kaç adet kadın girişimci kooperatifi olduğuna yönelik sağlıklı verilere erişilememiş olması araştırmanın en önemli kısıtları arasındadır. Bu kısıtı aşmak üzere Ticaret Bakanlığı Kooperatifçilik Genel müdürlüğü ve KEDV yetkililerine </w:t>
      </w:r>
      <w:proofErr w:type="gramStart"/>
      <w:r w:rsidRPr="00D42316">
        <w:t>mail</w:t>
      </w:r>
      <w:proofErr w:type="gramEnd"/>
      <w:r w:rsidRPr="00D42316">
        <w:t xml:space="preserve"> ve telefon üzerinden ulaşılarak veri talebinde bulunulmuş ancak geri dönüş alınamamıştır. Araştırmanın bir diğer sınırlılığı ikincil verilere dayanıyor olmasıdır. Araştırma tasarımı yapılırken yüz-yüze ve derinlemesine görüşmeler yoluyla kadın girişimci kooperatiflerinin sorunlarına yönelik veri toplanması amaçlanmış ancak görüşmeler için randevuların oluşturulması zaman sınırlılığı dolayısıyla sağlanamamıştır. Bu nedenle araştırmada ikincil verilerden yararlanılmıştır. Araştırma, amaç ve kapsamı bakımından genellenebilir sonuçlar elde etmekten ziyade, “ihtiyaçları ve öncelikleri temelinde hizmet </w:t>
      </w:r>
      <w:r w:rsidRPr="00D42316">
        <w:lastRenderedPageBreak/>
        <w:t>geliştirmek üzere yerel kadın grupları tarafından oluşturulan yapılar” olan kadın girişimci kooperatiflerinin karşı karşıya oldukları güçlükler ve alternatif iş modellerinin neler olabileceğine ilişkin derinlemesine kavrayışa ulaşmaya odaklanmaktadır.</w:t>
      </w:r>
    </w:p>
    <w:p w14:paraId="765354A8" w14:textId="77777777" w:rsidR="00714BC1" w:rsidRPr="00D42316" w:rsidRDefault="00714BC1" w:rsidP="0006358D">
      <w:pPr>
        <w:jc w:val="both"/>
      </w:pPr>
    </w:p>
    <w:p w14:paraId="4BA4C02F" w14:textId="316D970A" w:rsidR="006F6B4B" w:rsidRPr="00714BC1" w:rsidRDefault="006F6B4B" w:rsidP="0006358D">
      <w:pPr>
        <w:rPr>
          <w:b/>
          <w:bCs/>
        </w:rPr>
      </w:pPr>
      <w:r w:rsidRPr="00714BC1">
        <w:rPr>
          <w:b/>
          <w:bCs/>
        </w:rPr>
        <w:t>Araştırma Bulguları</w:t>
      </w:r>
    </w:p>
    <w:p w14:paraId="3919334E" w14:textId="16D2142D" w:rsidR="00714BC1" w:rsidRPr="00714BC1" w:rsidRDefault="006F6B4B" w:rsidP="0006358D">
      <w:pPr>
        <w:rPr>
          <w:b/>
          <w:bCs/>
        </w:rPr>
      </w:pPr>
      <w:r w:rsidRPr="00714BC1">
        <w:rPr>
          <w:b/>
          <w:bCs/>
        </w:rPr>
        <w:t>Kadın Girişimi Üretim ve İşletme Kooperatiflerinin Mevcut Profili</w:t>
      </w:r>
    </w:p>
    <w:p w14:paraId="48496EA7" w14:textId="39745D45"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Ticaret Bakanlığının 14.05.2021 tarihli Türkiye Geneli Kooperatif ve Birlik Raporu’nda, 2021 yılı itibari ile Kadın Girişimi Üretim ve İşletme Kooperatiflerinin sayısı 594 olarak belirtilmiştir. T.C. Aile ve Sosyal Hizmetler Bakanı Derya Yanık 2022 yılı mart ayında katıldığı Birleşmiş Milletler 66’ncı Kadının Statüsü Komisyonu Türkiye Yan Etkinliği: “Kadınların Kooperatifler Yoluyla Güçlendirilmesi” toplantısında bu sayının 702 olduğunu ve var olan kadın kooperatiflerinin 12 bin üyesi olduğunu ifade etmiştir (ILO, 2024). Ticaret Bakanlığı’nın Koop-</w:t>
      </w:r>
      <w:proofErr w:type="spellStart"/>
      <w:r w:rsidRPr="00D42316">
        <w:t>Bis</w:t>
      </w:r>
      <w:proofErr w:type="spellEnd"/>
      <w:r w:rsidRPr="00D42316">
        <w:t xml:space="preserve"> sisteminde kayıtlı toplam 944 kadın kooperatifi bulunduğu (Adar, Dedeoğlu ve Kurtuluş, 2023) ve bu kooperatiflerin %58’i 2018 yılı sonrasında kurulduğu (</w:t>
      </w:r>
      <w:proofErr w:type="spellStart"/>
      <w:r w:rsidRPr="00D42316">
        <w:t>Şahankaya</w:t>
      </w:r>
      <w:proofErr w:type="spellEnd"/>
      <w:r w:rsidRPr="00D42316">
        <w:t xml:space="preserve"> Adar vd., 2023) yine karşımıza çıkan başka bir veridir. Adar ve Dedeoğlu (2023), 2018 yılından önce kurulan ve faaliyetlerine günümüzde devam edebilen toplam 57 Kadın Girişimi Üretim ve İşletme Kooperatifi olduğunu belirtmiştir. KOOP-BİS sisteminin çalışmanın yapıldığı dönem itibariyle erişilebilir olmaması ve dahası, kooperatiflere ilişkin verilerin tutulduğu </w:t>
      </w:r>
      <w:proofErr w:type="spellStart"/>
      <w:r w:rsidRPr="00D42316">
        <w:t>KEDV’e</w:t>
      </w:r>
      <w:proofErr w:type="spellEnd"/>
      <w:r w:rsidRPr="00D42316">
        <w:t xml:space="preserve"> bağlı simurg.org sitesinin kullanıcı adının geçerli bir alan adı olarak aktif olmaması gibi güçlükler bu verilerin doğrulanması yönünde engel teşkil etmektedir.  Kadınlar ve kooperatifler arasındaki ilişki, kadın kooperatif sayılarının ötesinde, karma kooperatiflerdeki kadınların durumları ve henüz kooperatifleşmenin yaygın olmadığı farklı sektörlerde kadınların kooperatifleşme potansiyelleri bakımından da yeterince aydınlatılmamıştır.</w:t>
      </w:r>
    </w:p>
    <w:p w14:paraId="4426C69F"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1E9EA651"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475F4220"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sidRPr="00D42316">
        <w:rPr>
          <w:noProof/>
        </w:rPr>
        <w:drawing>
          <wp:inline distT="0" distB="0" distL="0" distR="0" wp14:anchorId="098A386B" wp14:editId="16A31A92">
            <wp:extent cx="6154867" cy="3248257"/>
            <wp:effectExtent l="0" t="0" r="0" b="0"/>
            <wp:docPr id="1860148534" name="image3.png" descr="harita, metin, atlas içeren bir resim&#10;&#10;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3.png" descr="harita, metin, atlas içeren bir resim&#10;&#10;Yapay zeka tarafından oluşturulan içerik yanlış olabilir."/>
                    <pic:cNvPicPr preferRelativeResize="0"/>
                  </pic:nvPicPr>
                  <pic:blipFill>
                    <a:blip r:embed="rId129"/>
                    <a:srcRect/>
                    <a:stretch>
                      <a:fillRect/>
                    </a:stretch>
                  </pic:blipFill>
                  <pic:spPr>
                    <a:xfrm>
                      <a:off x="0" y="0"/>
                      <a:ext cx="6154867" cy="3248257"/>
                    </a:xfrm>
                    <a:prstGeom prst="rect">
                      <a:avLst/>
                    </a:prstGeom>
                    <a:ln/>
                  </pic:spPr>
                </pic:pic>
              </a:graphicData>
            </a:graphic>
          </wp:inline>
        </w:drawing>
      </w:r>
    </w:p>
    <w:p w14:paraId="2C789127"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Şekil 2. Türkiye’de Kadın Kooperatiflerinin Dağılımı</w:t>
      </w:r>
    </w:p>
    <w:p w14:paraId="2865629B"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54849B31"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 xml:space="preserve">Kaynak: </w:t>
      </w:r>
      <w:proofErr w:type="spellStart"/>
      <w:r w:rsidRPr="00D42316">
        <w:t>Duguid</w:t>
      </w:r>
      <w:proofErr w:type="spellEnd"/>
      <w:r w:rsidRPr="00D42316">
        <w:t xml:space="preserve"> vd., (2015). Türkiye’de Kadın Kooperatiflerinin Güncel Durumu Raporu</w:t>
      </w:r>
    </w:p>
    <w:p w14:paraId="33B90F0B"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5D82ED5D"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Bu nedenle;</w:t>
      </w:r>
    </w:p>
    <w:p w14:paraId="02D8F6DC"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588302E1" w14:textId="77777777" w:rsidR="006F6B4B" w:rsidRPr="00D42316" w:rsidRDefault="006F6B4B">
      <w:pPr>
        <w:widowControl/>
        <w:numPr>
          <w:ilvl w:val="0"/>
          <w:numId w:val="3"/>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color w:val="000000"/>
        </w:rPr>
      </w:pPr>
      <w:r w:rsidRPr="00D42316">
        <w:rPr>
          <w:color w:val="000000"/>
        </w:rPr>
        <w:t>Kadın kooperatiflerinin (aktif-pasif-yarı pasif) resmî sayısına ilişkin bir bulanıklık mevcuttur,</w:t>
      </w:r>
    </w:p>
    <w:p w14:paraId="35124AFB" w14:textId="77777777" w:rsidR="006F6B4B" w:rsidRPr="00D42316" w:rsidRDefault="006F6B4B">
      <w:pPr>
        <w:widowControl/>
        <w:numPr>
          <w:ilvl w:val="0"/>
          <w:numId w:val="3"/>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color w:val="000000"/>
        </w:rPr>
      </w:pPr>
      <w:r w:rsidRPr="00D42316">
        <w:rPr>
          <w:color w:val="000000"/>
        </w:rPr>
        <w:t>Karma kooperatiflerin içinde üye olarak yer alan kadın sayılarına ilişkin veri mevcut değildir,</w:t>
      </w:r>
    </w:p>
    <w:p w14:paraId="19D3567A" w14:textId="77777777" w:rsidR="006F6B4B" w:rsidRPr="00D42316" w:rsidRDefault="006F6B4B">
      <w:pPr>
        <w:widowControl/>
        <w:numPr>
          <w:ilvl w:val="0"/>
          <w:numId w:val="3"/>
        </w:num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color w:val="000000"/>
        </w:rPr>
      </w:pPr>
      <w:r w:rsidRPr="00D42316">
        <w:rPr>
          <w:color w:val="000000"/>
        </w:rPr>
        <w:t>Henüz kooperatif girişimciliğinde bulunmayan potansiyel kadın kooperatifçiliğine ilişkin verilere erişilememektedir.</w:t>
      </w:r>
    </w:p>
    <w:p w14:paraId="5BA9513F"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099ED04E" w14:textId="77777777" w:rsidR="006F6B4B" w:rsidRPr="00D42316" w:rsidRDefault="006F6B4B" w:rsidP="0006358D">
      <w:pPr>
        <w:jc w:val="both"/>
      </w:pPr>
      <w:r w:rsidRPr="00D42316">
        <w:t>Bu bulgulardan yola çıkarak araştırmanın bu kısmında TUİK işgücü istatistikleri, KEDV, biz-</w:t>
      </w:r>
      <w:proofErr w:type="spellStart"/>
      <w:r w:rsidRPr="00D42316">
        <w:t>koop</w:t>
      </w:r>
      <w:proofErr w:type="spellEnd"/>
      <w:r w:rsidRPr="00D42316">
        <w:t>, ILO ve BM raporları ve toplantı tutanaklarından faydalanılarak kadın kooperatiflerinin Türkiye’deki güncel profili çıkarılmaya çalışılmıştır.</w:t>
      </w:r>
    </w:p>
    <w:p w14:paraId="1114CC0E" w14:textId="77777777" w:rsidR="006F6B4B" w:rsidRPr="00D42316" w:rsidRDefault="006F6B4B" w:rsidP="0006358D">
      <w:pPr>
        <w:jc w:val="both"/>
      </w:pPr>
    </w:p>
    <w:p w14:paraId="19281495" w14:textId="6D33AD6C" w:rsidR="006F6B4B" w:rsidRPr="00714BC1" w:rsidRDefault="006F6B4B" w:rsidP="0006358D">
      <w:pPr>
        <w:rPr>
          <w:b/>
          <w:bCs/>
        </w:rPr>
      </w:pPr>
      <w:r w:rsidRPr="00714BC1">
        <w:rPr>
          <w:b/>
          <w:bCs/>
        </w:rPr>
        <w:t>Kadın Girişimi Üretim ve İşletme Kooperatiflerine İlişkin Saha Bulguları</w:t>
      </w:r>
    </w:p>
    <w:p w14:paraId="31AA5D84" w14:textId="402B00CD" w:rsidR="006F6B4B" w:rsidRPr="00D42316" w:rsidRDefault="006F6B4B" w:rsidP="0006358D">
      <w:pPr>
        <w:jc w:val="both"/>
      </w:pPr>
      <w:r w:rsidRPr="00D42316">
        <w:t>Dünya genelinde kadın kooperatifleri oldukça yeni bir araştırma sahası olduğundan; üzerinde yapılmış araştırma sayısı oldukça kısıtlı olup uluslararası düzeyde iyi örneklerle ilgili bulgular da sınırlıdır. Genelde kadınların kooperatif kurma amaçları, daha düşük fiyatlı ürünlere ulaşmak, ücretli istihdama erişmek ve iyileştirmek, daha güvenilir, güvenli ve iyi çalışma koşullarına ulaşmak, finansal hizmetlere erişmek, toplumsal katılım ve içerme, özneliklerini oluşturmak ve toplumsal cinsiyete dayalı şiddete çözüm üretmektir (</w:t>
      </w:r>
      <w:proofErr w:type="spellStart"/>
      <w:r w:rsidRPr="00D42316">
        <w:t>Majurin</w:t>
      </w:r>
      <w:proofErr w:type="spellEnd"/>
      <w:r w:rsidRPr="00D42316">
        <w:t xml:space="preserve">, 2012; </w:t>
      </w:r>
      <w:proofErr w:type="spellStart"/>
      <w:r w:rsidRPr="00D42316">
        <w:t>Nippierd</w:t>
      </w:r>
      <w:proofErr w:type="spellEnd"/>
      <w:r w:rsidRPr="00D42316">
        <w:t xml:space="preserve">, 2012). ICA Asya ofisinin kısa zaman önce yayınladığı “Kadınların Girişimciliğin Geliştirilmesi ve Toplumsal Cinsiyet Eşitliği için İleri Kooperatifçilik Eğitimi Rehberi” (Resource Guide </w:t>
      </w:r>
      <w:proofErr w:type="spellStart"/>
      <w:r w:rsidRPr="00D42316">
        <w:t>for</w:t>
      </w:r>
      <w:proofErr w:type="spellEnd"/>
      <w:r w:rsidRPr="00D42316">
        <w:t xml:space="preserve"> Advanced Training of </w:t>
      </w:r>
      <w:proofErr w:type="spellStart"/>
      <w:r w:rsidRPr="00D42316">
        <w:t>Co-operatives</w:t>
      </w:r>
      <w:proofErr w:type="spellEnd"/>
      <w:r w:rsidRPr="00D42316">
        <w:t xml:space="preserve"> on </w:t>
      </w:r>
      <w:proofErr w:type="spellStart"/>
      <w:r w:rsidRPr="00D42316">
        <w:t>Entrepreneurship</w:t>
      </w:r>
      <w:proofErr w:type="spellEnd"/>
      <w:r w:rsidRPr="00D42316">
        <w:t xml:space="preserve"> Development of </w:t>
      </w:r>
      <w:proofErr w:type="spellStart"/>
      <w:r w:rsidRPr="00D42316">
        <w:t>Women</w:t>
      </w:r>
      <w:proofErr w:type="spellEnd"/>
      <w:r w:rsidRPr="00D42316">
        <w:t xml:space="preserve"> </w:t>
      </w:r>
      <w:proofErr w:type="spellStart"/>
      <w:r w:rsidRPr="00D42316">
        <w:t>and</w:t>
      </w:r>
      <w:proofErr w:type="spellEnd"/>
      <w:r w:rsidRPr="00D42316">
        <w:t xml:space="preserve"> </w:t>
      </w:r>
      <w:proofErr w:type="spellStart"/>
      <w:r w:rsidRPr="00D42316">
        <w:t>Gender</w:t>
      </w:r>
      <w:proofErr w:type="spellEnd"/>
      <w:r w:rsidRPr="00D42316">
        <w:t xml:space="preserve"> </w:t>
      </w:r>
      <w:proofErr w:type="spellStart"/>
      <w:r w:rsidRPr="00D42316">
        <w:t>Equality</w:t>
      </w:r>
      <w:proofErr w:type="spellEnd"/>
      <w:r w:rsidRPr="00D42316">
        <w:t xml:space="preserve">), kooperatiflerde kadınların liderliğini artırmaya yönelik yararlı eğitici eğitimi programları sağlamaktadır (2015). Eğitim rehberindeki başlıca konular, kooperatiflerdeki kadınlar için mali yönetim ve iş geliştirme hizmetleridir. Kadın kooperatifleri, Türkiye’de hem kadınlar tarafından gelir, </w:t>
      </w:r>
      <w:proofErr w:type="spellStart"/>
      <w:r w:rsidRPr="00D42316">
        <w:t>sosyo</w:t>
      </w:r>
      <w:proofErr w:type="spellEnd"/>
      <w:r w:rsidRPr="00D42316">
        <w:t>-ekonomik hayata katılım, istihdam ve örgütlenmeye yönelik bir model olarak, hem de devlet, kalkınma örgütleri ve sosyal hareketlerin, toplumsal cinsiyet konusundaki hedeflerini somut olarak yansıtabilecekleri bir formül olarak görülmektedir (KEİG, 2015).</w:t>
      </w:r>
    </w:p>
    <w:p w14:paraId="6FD24C12" w14:textId="77777777" w:rsidR="006F6B4B" w:rsidRPr="00D42316" w:rsidRDefault="006F6B4B" w:rsidP="0006358D">
      <w:pPr>
        <w:jc w:val="both"/>
      </w:pPr>
    </w:p>
    <w:p w14:paraId="71BD3470" w14:textId="4CCA7F0E" w:rsidR="006F6B4B" w:rsidRPr="00D42316" w:rsidRDefault="006F6B4B" w:rsidP="0006358D">
      <w:pPr>
        <w:jc w:val="both"/>
      </w:pPr>
      <w:r w:rsidRPr="00D42316">
        <w:t>Araştırmanın bu kısmında, KEDV koordinatörlüğünde gerçekleştirilmiş olan kadın kooperatifleri buluşma toplantılarından beşincisi 2015, altıncı ve sonuncusu 2018 yıllarında yapılmış olan çok paydaşlı toplantı raporlarından faydalanılmıştır. Bu bulgular, kadın kooperatiflerinin iç ve dış çevre faktörlerine yönelik sorun ve ihtiyaçların analizini kapsamaktadır.</w:t>
      </w:r>
    </w:p>
    <w:p w14:paraId="0291AE18" w14:textId="77777777" w:rsidR="006F6B4B" w:rsidRPr="00D42316" w:rsidRDefault="006F6B4B" w:rsidP="0006358D">
      <w:pPr>
        <w:jc w:val="both"/>
      </w:pPr>
    </w:p>
    <w:p w14:paraId="21A575B9" w14:textId="72910B0E" w:rsidR="00071A18" w:rsidRPr="00714BC1" w:rsidRDefault="006F6B4B" w:rsidP="0006358D">
      <w:pPr>
        <w:rPr>
          <w:b/>
          <w:bCs/>
        </w:rPr>
      </w:pPr>
      <w:r w:rsidRPr="00714BC1">
        <w:rPr>
          <w:b/>
          <w:bCs/>
        </w:rPr>
        <w:t>Kadın Kooperatiflerindeki Girişimcilerin Profili</w:t>
      </w:r>
    </w:p>
    <w:p w14:paraId="351E6F3E" w14:textId="41621DD5" w:rsidR="006F6B4B" w:rsidRPr="00D42316" w:rsidRDefault="006F6B4B" w:rsidP="0006358D">
      <w:pPr>
        <w:jc w:val="both"/>
      </w:pPr>
      <w:r w:rsidRPr="00D42316">
        <w:t xml:space="preserve">Türkiye’deki kadın kooperatiflerinin güncel profiline ilişkin en kapsamlı araştırma </w:t>
      </w:r>
      <w:proofErr w:type="spellStart"/>
      <w:r w:rsidRPr="00D42316">
        <w:t>Duguid</w:t>
      </w:r>
      <w:proofErr w:type="spellEnd"/>
      <w:r w:rsidRPr="00D42316">
        <w:t xml:space="preserve"> vd. (2015) tarafından </w:t>
      </w:r>
      <w:proofErr w:type="spellStart"/>
      <w:r w:rsidRPr="00D42316">
        <w:t>The</w:t>
      </w:r>
      <w:proofErr w:type="spellEnd"/>
      <w:r w:rsidRPr="00D42316">
        <w:t xml:space="preserve"> Word Bank paydaşlığında gerçekleştirilmiştir. Bu raporda kadın girişim kooperatifi ortakları ve paydaşlarına ilişkin yer alan demografik faktörlerde ortakların farklı eğitim düzeylerinde (%27 ilkokul, %23 lise, %20 üniversite) olduğunu; yararlanıcıların ise yarısından fazlasının (%54) ilkokul düzeyinde olduğu görülmektedir. Bununla birlikte ortakların genelde orta yaşlı, evli, bir ila üç çocuk sahibi kadınlardan oluştuğu; her yaştan ortak bulunmakla birlikte, %87’sinin 31-60 yaş aralığında olduğu yararlanıcıların çoğunun ise 41-50 yaş aralığında olduğu görülmüştür (</w:t>
      </w:r>
      <w:proofErr w:type="spellStart"/>
      <w:r w:rsidRPr="00D42316">
        <w:t>Duguid</w:t>
      </w:r>
      <w:proofErr w:type="spellEnd"/>
      <w:r w:rsidRPr="00D42316">
        <w:t xml:space="preserve"> vd., 2015).</w:t>
      </w:r>
    </w:p>
    <w:p w14:paraId="6B9E7663" w14:textId="77777777" w:rsidR="006F6B4B" w:rsidRPr="00D42316" w:rsidRDefault="006F6B4B" w:rsidP="0006358D"/>
    <w:p w14:paraId="39309E24" w14:textId="77777777" w:rsidR="006F6B4B" w:rsidRPr="00D42316" w:rsidRDefault="006F6B4B" w:rsidP="0006358D">
      <w:r w:rsidRPr="00D42316">
        <w:rPr>
          <w:noProof/>
        </w:rPr>
        <w:drawing>
          <wp:inline distT="0" distB="0" distL="0" distR="0" wp14:anchorId="0A3F0146" wp14:editId="2E2090AE">
            <wp:extent cx="5971540" cy="3299460"/>
            <wp:effectExtent l="0" t="0" r="0" b="0"/>
            <wp:docPr id="1860148533" name="image2.png" descr="metin, ekran görüntüsü, diyagram, yazı tipi içeren bir resim&#10;&#10;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2.png" descr="metin, ekran görüntüsü, diyagram, yazı tipi içeren bir resim&#10;&#10;Yapay zeka tarafından oluşturulan içerik yanlış olabilir."/>
                    <pic:cNvPicPr preferRelativeResize="0"/>
                  </pic:nvPicPr>
                  <pic:blipFill>
                    <a:blip r:embed="rId130"/>
                    <a:srcRect/>
                    <a:stretch>
                      <a:fillRect/>
                    </a:stretch>
                  </pic:blipFill>
                  <pic:spPr>
                    <a:xfrm>
                      <a:off x="0" y="0"/>
                      <a:ext cx="5971540" cy="3299460"/>
                    </a:xfrm>
                    <a:prstGeom prst="rect">
                      <a:avLst/>
                    </a:prstGeom>
                    <a:ln/>
                  </pic:spPr>
                </pic:pic>
              </a:graphicData>
            </a:graphic>
          </wp:inline>
        </w:drawing>
      </w:r>
    </w:p>
    <w:p w14:paraId="192F8D64"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Şekil 3. Kadın girişimci Kooperatifleri Ortak ve Yararlanıcılarının Eğitim Düzeyi.</w:t>
      </w:r>
    </w:p>
    <w:p w14:paraId="505005A7"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28F5A6B8"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sidRPr="00D42316">
        <w:t xml:space="preserve">Kaynak: </w:t>
      </w:r>
      <w:proofErr w:type="spellStart"/>
      <w:r w:rsidRPr="00D42316">
        <w:t>Duguid</w:t>
      </w:r>
      <w:proofErr w:type="spellEnd"/>
      <w:r w:rsidRPr="00D42316">
        <w:t xml:space="preserve"> vd., (2015). Türkiye’de Kadın Kooperatiflerinin Güncel Durumu Raporu</w:t>
      </w:r>
    </w:p>
    <w:p w14:paraId="7309AC85" w14:textId="77777777" w:rsidR="006F6B4B" w:rsidRPr="00D42316" w:rsidRDefault="006F6B4B" w:rsidP="000635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14:paraId="552C55B0" w14:textId="77777777" w:rsidR="006F6B4B" w:rsidRPr="00D42316" w:rsidRDefault="006F6B4B" w:rsidP="0006358D">
      <w:pPr>
        <w:jc w:val="center"/>
      </w:pPr>
    </w:p>
    <w:p w14:paraId="521F4291" w14:textId="13BE71CF" w:rsidR="006F6B4B" w:rsidRPr="00714BC1" w:rsidRDefault="006F6B4B" w:rsidP="0006358D">
      <w:pPr>
        <w:rPr>
          <w:b/>
          <w:bCs/>
        </w:rPr>
      </w:pPr>
      <w:r w:rsidRPr="00714BC1">
        <w:rPr>
          <w:b/>
          <w:bCs/>
        </w:rPr>
        <w:t>Kadın Kooperatiflerinin İç Yapılarına İlişkin Faktörler</w:t>
      </w:r>
    </w:p>
    <w:p w14:paraId="643537E6" w14:textId="76790122" w:rsidR="006F6B4B" w:rsidRPr="00D42316" w:rsidRDefault="006F6B4B" w:rsidP="0006358D">
      <w:pPr>
        <w:jc w:val="both"/>
      </w:pPr>
      <w:r w:rsidRPr="00D42316">
        <w:t xml:space="preserve">Kadın kooperatiflerinde girişimci kadınların karşı karşıya oldukları güçlükleri analiz etmek için 2025 yılına kadar dört defa gerçekleştirilmiş ve/veya raporlanmış, KEDV bünyesinde her yıl çoğalan sayıda katılımcı kadın kooperatifleri ile gerçekleştirilmiş ve 2018 yılında raporlaştırılmış olan toplantı tutanaklarından faydalanılmıştır. Toplantı tutanaklarının </w:t>
      </w:r>
      <w:proofErr w:type="gramStart"/>
      <w:r w:rsidRPr="00D42316">
        <w:t>doküman</w:t>
      </w:r>
      <w:proofErr w:type="gramEnd"/>
      <w:r w:rsidRPr="00D42316">
        <w:t xml:space="preserve"> analizinde kullanılmasının başlıca nedenlerinden biri, toplantıya çok sayıda iç ve dış paydaşın iştirak ederek, karşılaşılan zorluklar, ihtiyaç ve talepleri dile getirebildikleri en kapsamlı platformun KEDV olmasıdır. Toplantı tutanakları üzerinden gerçekleştirilen </w:t>
      </w:r>
      <w:proofErr w:type="gramStart"/>
      <w:r w:rsidRPr="00D42316">
        <w:t>doküman</w:t>
      </w:r>
      <w:proofErr w:type="gramEnd"/>
      <w:r w:rsidRPr="00D42316">
        <w:t xml:space="preserve"> analizlerinde, kadın girişimci kooperatiflerinin karşılaştıkları zorluklar iç ve dış faktörlere ilişkin zorluklar olmak üzere iki kümede değerlendirilmiştir. İç faktörlere ilişkin sorunların başında finansal güçlükler gelmektedir. Yasal sorunlar, kurumsallaşma sorunları ve yönetişim zorlukları, </w:t>
      </w:r>
      <w:proofErr w:type="gramStart"/>
      <w:r w:rsidRPr="00D42316">
        <w:t>doküman</w:t>
      </w:r>
      <w:proofErr w:type="gramEnd"/>
      <w:r w:rsidRPr="00D42316">
        <w:t xml:space="preserve"> analizinde ortaya çıkan diğer sorun kümeleri olmuştur. Tablo 5’te sorun kümeleri, alt kümeler ve bunlara ilişkin açıklamalara detaylı olarak yer verilmiştir.</w:t>
      </w:r>
    </w:p>
    <w:p w14:paraId="68AE6D83" w14:textId="77777777" w:rsidR="006F6B4B" w:rsidRPr="00D42316" w:rsidRDefault="006F6B4B" w:rsidP="0006358D"/>
    <w:p w14:paraId="06AC1734" w14:textId="77777777" w:rsidR="006F6B4B" w:rsidRPr="00D42316" w:rsidRDefault="006F6B4B" w:rsidP="0006358D">
      <w:r w:rsidRPr="00D42316">
        <w:t>Tablo 5. Kadın Kooperatiflerinin İç Faktörlerine İlişkin Sorun ve ihtiyaçlar</w:t>
      </w:r>
    </w:p>
    <w:p w14:paraId="1302ECDA" w14:textId="77777777" w:rsidR="006F6B4B" w:rsidRPr="00D42316" w:rsidRDefault="006F6B4B" w:rsidP="0006358D"/>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1"/>
        <w:gridCol w:w="2546"/>
        <w:gridCol w:w="4765"/>
      </w:tblGrid>
      <w:tr w:rsidR="006F6B4B" w:rsidRPr="00D42316" w14:paraId="59085F3B" w14:textId="77777777" w:rsidTr="00B21006">
        <w:tc>
          <w:tcPr>
            <w:tcW w:w="4297" w:type="dxa"/>
            <w:gridSpan w:val="2"/>
          </w:tcPr>
          <w:p w14:paraId="72451B31" w14:textId="77777777" w:rsidR="006F6B4B" w:rsidRPr="00D42316" w:rsidRDefault="006F6B4B" w:rsidP="0006358D">
            <w:pPr>
              <w:rPr>
                <w:b/>
              </w:rPr>
            </w:pPr>
            <w:r w:rsidRPr="00D42316">
              <w:rPr>
                <w:b/>
              </w:rPr>
              <w:t>Sorun Kümeleri</w:t>
            </w:r>
          </w:p>
        </w:tc>
        <w:tc>
          <w:tcPr>
            <w:tcW w:w="4765" w:type="dxa"/>
          </w:tcPr>
          <w:p w14:paraId="60312940" w14:textId="77777777" w:rsidR="006F6B4B" w:rsidRPr="00D42316" w:rsidRDefault="006F6B4B" w:rsidP="0006358D">
            <w:pPr>
              <w:rPr>
                <w:b/>
              </w:rPr>
            </w:pPr>
            <w:r w:rsidRPr="00D42316">
              <w:rPr>
                <w:b/>
              </w:rPr>
              <w:t>Açıklama</w:t>
            </w:r>
          </w:p>
        </w:tc>
      </w:tr>
      <w:tr w:rsidR="006F6B4B" w:rsidRPr="00D42316" w14:paraId="49CC7B7E" w14:textId="77777777" w:rsidTr="00B21006">
        <w:trPr>
          <w:trHeight w:val="171"/>
        </w:trPr>
        <w:tc>
          <w:tcPr>
            <w:tcW w:w="1751" w:type="dxa"/>
            <w:vMerge w:val="restart"/>
          </w:tcPr>
          <w:p w14:paraId="313A3240" w14:textId="77777777" w:rsidR="006F6B4B" w:rsidRPr="00D42316" w:rsidRDefault="006F6B4B" w:rsidP="0006358D">
            <w:r w:rsidRPr="00D42316">
              <w:t>Finansal sorunlar</w:t>
            </w:r>
          </w:p>
        </w:tc>
        <w:tc>
          <w:tcPr>
            <w:tcW w:w="2546" w:type="dxa"/>
          </w:tcPr>
          <w:p w14:paraId="20A69698" w14:textId="77777777" w:rsidR="006F6B4B" w:rsidRPr="00D42316" w:rsidRDefault="006F6B4B" w:rsidP="0006358D">
            <w:r w:rsidRPr="00D42316">
              <w:t>Bütçe yapma</w:t>
            </w:r>
          </w:p>
        </w:tc>
        <w:tc>
          <w:tcPr>
            <w:tcW w:w="4765" w:type="dxa"/>
            <w:vMerge w:val="restart"/>
          </w:tcPr>
          <w:p w14:paraId="31EC1ACA" w14:textId="77777777" w:rsidR="006F6B4B" w:rsidRPr="00D42316" w:rsidRDefault="006F6B4B" w:rsidP="0006358D">
            <w:r w:rsidRPr="00D42316">
              <w:t xml:space="preserve">Üretim, para kazanma gibi konular işin içine girince, yeni üyeler alarak kooperatifi büyütme gibi konularda eski ortakların isteksizliği, gelirin paylaşımında anlaşmazlıklar çıkması ve diyalogla çözüm üretilememesi, kadınlar </w:t>
            </w:r>
            <w:r w:rsidRPr="00D42316">
              <w:lastRenderedPageBreak/>
              <w:t>genellikle ilk defa istihdama katılan, geleneksel becerilere sahip, teknoloji kullanımı çok olmayan, stok kayıt, fiyat hesaplama, planlama, iş bölümü, gelir gider ve karlılık hesaplama, pazarlama, markalaşma, tanıtım materyalleri geliştirme gibi işletme becerileri kısıtlı olan kadınlar, ekonomi ve pazarın işleyişi ile ilgili kısıtlı bilgi.</w:t>
            </w:r>
          </w:p>
        </w:tc>
      </w:tr>
      <w:tr w:rsidR="006F6B4B" w:rsidRPr="00D42316" w14:paraId="4830D439" w14:textId="77777777" w:rsidTr="00B21006">
        <w:trPr>
          <w:trHeight w:val="129"/>
        </w:trPr>
        <w:tc>
          <w:tcPr>
            <w:tcW w:w="1751" w:type="dxa"/>
            <w:vMerge/>
          </w:tcPr>
          <w:p w14:paraId="44AA6EE2" w14:textId="77777777" w:rsidR="006F6B4B" w:rsidRPr="00D42316" w:rsidRDefault="006F6B4B" w:rsidP="0006358D">
            <w:pPr>
              <w:pBdr>
                <w:top w:val="nil"/>
                <w:left w:val="nil"/>
                <w:bottom w:val="nil"/>
                <w:right w:val="nil"/>
                <w:between w:val="nil"/>
              </w:pBdr>
            </w:pPr>
          </w:p>
        </w:tc>
        <w:tc>
          <w:tcPr>
            <w:tcW w:w="2546" w:type="dxa"/>
          </w:tcPr>
          <w:p w14:paraId="596CB356" w14:textId="77777777" w:rsidR="006F6B4B" w:rsidRPr="00D42316" w:rsidRDefault="006F6B4B" w:rsidP="0006358D">
            <w:r w:rsidRPr="00D42316">
              <w:t>Gelir-gider takibi</w:t>
            </w:r>
          </w:p>
        </w:tc>
        <w:tc>
          <w:tcPr>
            <w:tcW w:w="4765" w:type="dxa"/>
            <w:vMerge/>
          </w:tcPr>
          <w:p w14:paraId="3A28BEE9" w14:textId="77777777" w:rsidR="006F6B4B" w:rsidRPr="00D42316" w:rsidRDefault="006F6B4B" w:rsidP="0006358D">
            <w:pPr>
              <w:pBdr>
                <w:top w:val="nil"/>
                <w:left w:val="nil"/>
                <w:bottom w:val="nil"/>
                <w:right w:val="nil"/>
                <w:between w:val="nil"/>
              </w:pBdr>
            </w:pPr>
          </w:p>
        </w:tc>
      </w:tr>
      <w:tr w:rsidR="006F6B4B" w:rsidRPr="00D42316" w14:paraId="3CCEDFE7" w14:textId="77777777" w:rsidTr="00B21006">
        <w:trPr>
          <w:trHeight w:val="119"/>
        </w:trPr>
        <w:tc>
          <w:tcPr>
            <w:tcW w:w="1751" w:type="dxa"/>
            <w:vMerge/>
          </w:tcPr>
          <w:p w14:paraId="144A77E9" w14:textId="77777777" w:rsidR="006F6B4B" w:rsidRPr="00D42316" w:rsidRDefault="006F6B4B" w:rsidP="0006358D">
            <w:pPr>
              <w:pBdr>
                <w:top w:val="nil"/>
                <w:left w:val="nil"/>
                <w:bottom w:val="nil"/>
                <w:right w:val="nil"/>
                <w:between w:val="nil"/>
              </w:pBdr>
            </w:pPr>
          </w:p>
        </w:tc>
        <w:tc>
          <w:tcPr>
            <w:tcW w:w="2546" w:type="dxa"/>
          </w:tcPr>
          <w:p w14:paraId="07E6DA06" w14:textId="77777777" w:rsidR="006F6B4B" w:rsidRPr="00D42316" w:rsidRDefault="006F6B4B" w:rsidP="0006358D">
            <w:r w:rsidRPr="00D42316">
              <w:t>Gelirin paylaşımı</w:t>
            </w:r>
          </w:p>
        </w:tc>
        <w:tc>
          <w:tcPr>
            <w:tcW w:w="4765" w:type="dxa"/>
            <w:vMerge/>
          </w:tcPr>
          <w:p w14:paraId="3E46CA62" w14:textId="77777777" w:rsidR="006F6B4B" w:rsidRPr="00D42316" w:rsidRDefault="006F6B4B" w:rsidP="0006358D">
            <w:pPr>
              <w:pBdr>
                <w:top w:val="nil"/>
                <w:left w:val="nil"/>
                <w:bottom w:val="nil"/>
                <w:right w:val="nil"/>
                <w:between w:val="nil"/>
              </w:pBdr>
            </w:pPr>
          </w:p>
        </w:tc>
      </w:tr>
      <w:tr w:rsidR="006F6B4B" w:rsidRPr="00D42316" w14:paraId="47DB6E20" w14:textId="77777777" w:rsidTr="00B21006">
        <w:trPr>
          <w:trHeight w:val="129"/>
        </w:trPr>
        <w:tc>
          <w:tcPr>
            <w:tcW w:w="1751" w:type="dxa"/>
            <w:vMerge/>
          </w:tcPr>
          <w:p w14:paraId="677073A3" w14:textId="77777777" w:rsidR="006F6B4B" w:rsidRPr="00D42316" w:rsidRDefault="006F6B4B" w:rsidP="0006358D">
            <w:pPr>
              <w:pBdr>
                <w:top w:val="nil"/>
                <w:left w:val="nil"/>
                <w:bottom w:val="nil"/>
                <w:right w:val="nil"/>
                <w:between w:val="nil"/>
              </w:pBdr>
            </w:pPr>
          </w:p>
        </w:tc>
        <w:tc>
          <w:tcPr>
            <w:tcW w:w="2546" w:type="dxa"/>
          </w:tcPr>
          <w:p w14:paraId="6011226F" w14:textId="77777777" w:rsidR="006F6B4B" w:rsidRPr="00D42316" w:rsidRDefault="006F6B4B" w:rsidP="0006358D">
            <w:r w:rsidRPr="00D42316">
              <w:t>Bilgi ve deneyim eksikliği</w:t>
            </w:r>
          </w:p>
        </w:tc>
        <w:tc>
          <w:tcPr>
            <w:tcW w:w="4765" w:type="dxa"/>
            <w:vMerge/>
          </w:tcPr>
          <w:p w14:paraId="0C62DD96" w14:textId="77777777" w:rsidR="006F6B4B" w:rsidRPr="00D42316" w:rsidRDefault="006F6B4B" w:rsidP="0006358D">
            <w:pPr>
              <w:pBdr>
                <w:top w:val="nil"/>
                <w:left w:val="nil"/>
                <w:bottom w:val="nil"/>
                <w:right w:val="nil"/>
                <w:between w:val="nil"/>
              </w:pBdr>
            </w:pPr>
          </w:p>
        </w:tc>
      </w:tr>
      <w:tr w:rsidR="006F6B4B" w:rsidRPr="00D42316" w14:paraId="243AF1A1" w14:textId="77777777" w:rsidTr="00B21006">
        <w:trPr>
          <w:trHeight w:val="133"/>
        </w:trPr>
        <w:tc>
          <w:tcPr>
            <w:tcW w:w="1751" w:type="dxa"/>
            <w:vMerge/>
          </w:tcPr>
          <w:p w14:paraId="481CA907" w14:textId="77777777" w:rsidR="006F6B4B" w:rsidRPr="00D42316" w:rsidRDefault="006F6B4B" w:rsidP="0006358D">
            <w:pPr>
              <w:pBdr>
                <w:top w:val="nil"/>
                <w:left w:val="nil"/>
                <w:bottom w:val="nil"/>
                <w:right w:val="nil"/>
                <w:between w:val="nil"/>
              </w:pBdr>
            </w:pPr>
          </w:p>
        </w:tc>
        <w:tc>
          <w:tcPr>
            <w:tcW w:w="2546" w:type="dxa"/>
          </w:tcPr>
          <w:p w14:paraId="0E8D3E7F" w14:textId="77777777" w:rsidR="006F6B4B" w:rsidRPr="00D42316" w:rsidRDefault="006F6B4B" w:rsidP="0006358D"/>
        </w:tc>
        <w:tc>
          <w:tcPr>
            <w:tcW w:w="4765" w:type="dxa"/>
            <w:vMerge/>
          </w:tcPr>
          <w:p w14:paraId="5BA35684" w14:textId="77777777" w:rsidR="006F6B4B" w:rsidRPr="00D42316" w:rsidRDefault="006F6B4B" w:rsidP="0006358D">
            <w:pPr>
              <w:pBdr>
                <w:top w:val="nil"/>
                <w:left w:val="nil"/>
                <w:bottom w:val="nil"/>
                <w:right w:val="nil"/>
                <w:between w:val="nil"/>
              </w:pBdr>
            </w:pPr>
          </w:p>
        </w:tc>
      </w:tr>
      <w:tr w:rsidR="006F6B4B" w:rsidRPr="00D42316" w14:paraId="74D7EA3F" w14:textId="77777777" w:rsidTr="00B21006">
        <w:trPr>
          <w:trHeight w:val="157"/>
        </w:trPr>
        <w:tc>
          <w:tcPr>
            <w:tcW w:w="1751" w:type="dxa"/>
            <w:vMerge w:val="restart"/>
          </w:tcPr>
          <w:p w14:paraId="045461A4" w14:textId="77777777" w:rsidR="006F6B4B" w:rsidRPr="00D42316" w:rsidRDefault="006F6B4B" w:rsidP="0006358D">
            <w:r w:rsidRPr="00D42316">
              <w:t>Yasal Sorunlar</w:t>
            </w:r>
          </w:p>
        </w:tc>
        <w:tc>
          <w:tcPr>
            <w:tcW w:w="2546" w:type="dxa"/>
          </w:tcPr>
          <w:p w14:paraId="3432943D" w14:textId="77777777" w:rsidR="006F6B4B" w:rsidRPr="00D42316" w:rsidRDefault="006F6B4B" w:rsidP="0006358D">
            <w:r w:rsidRPr="00D42316">
              <w:t>Vergiler</w:t>
            </w:r>
          </w:p>
        </w:tc>
        <w:tc>
          <w:tcPr>
            <w:tcW w:w="4765" w:type="dxa"/>
            <w:vMerge w:val="restart"/>
          </w:tcPr>
          <w:p w14:paraId="136DC2D4" w14:textId="77777777" w:rsidR="006F6B4B" w:rsidRPr="00D42316" w:rsidRDefault="006F6B4B" w:rsidP="0006358D">
            <w:r w:rsidRPr="00D42316">
              <w:t xml:space="preserve">Fiyatlandırma hesaplaması, stok takip </w:t>
            </w:r>
            <w:proofErr w:type="spellStart"/>
            <w:r w:rsidRPr="00D42316">
              <w:t>vb</w:t>
            </w:r>
            <w:proofErr w:type="spellEnd"/>
            <w:r w:rsidRPr="00D42316">
              <w:t xml:space="preserve"> hesapları ve kayıtların nasıl yapıldığının bilinmemesi</w:t>
            </w:r>
          </w:p>
        </w:tc>
      </w:tr>
      <w:tr w:rsidR="006F6B4B" w:rsidRPr="00D42316" w14:paraId="6CD56EF9" w14:textId="77777777" w:rsidTr="00B21006">
        <w:trPr>
          <w:trHeight w:val="143"/>
        </w:trPr>
        <w:tc>
          <w:tcPr>
            <w:tcW w:w="1751" w:type="dxa"/>
            <w:vMerge/>
          </w:tcPr>
          <w:p w14:paraId="1A426BAC" w14:textId="77777777" w:rsidR="006F6B4B" w:rsidRPr="00D42316" w:rsidRDefault="006F6B4B" w:rsidP="0006358D">
            <w:pPr>
              <w:pBdr>
                <w:top w:val="nil"/>
                <w:left w:val="nil"/>
                <w:bottom w:val="nil"/>
                <w:right w:val="nil"/>
                <w:between w:val="nil"/>
              </w:pBdr>
            </w:pPr>
          </w:p>
        </w:tc>
        <w:tc>
          <w:tcPr>
            <w:tcW w:w="2546" w:type="dxa"/>
          </w:tcPr>
          <w:p w14:paraId="012977D6" w14:textId="77777777" w:rsidR="006F6B4B" w:rsidRPr="00D42316" w:rsidRDefault="006F6B4B" w:rsidP="0006358D">
            <w:r w:rsidRPr="00D42316">
              <w:t>Sigorta</w:t>
            </w:r>
          </w:p>
        </w:tc>
        <w:tc>
          <w:tcPr>
            <w:tcW w:w="4765" w:type="dxa"/>
            <w:vMerge/>
          </w:tcPr>
          <w:p w14:paraId="2EE6F1C2" w14:textId="77777777" w:rsidR="006F6B4B" w:rsidRPr="00D42316" w:rsidRDefault="006F6B4B" w:rsidP="0006358D">
            <w:pPr>
              <w:pBdr>
                <w:top w:val="nil"/>
                <w:left w:val="nil"/>
                <w:bottom w:val="nil"/>
                <w:right w:val="nil"/>
                <w:between w:val="nil"/>
              </w:pBdr>
            </w:pPr>
          </w:p>
        </w:tc>
      </w:tr>
      <w:tr w:rsidR="006F6B4B" w:rsidRPr="00D42316" w14:paraId="27BD23FA" w14:textId="77777777" w:rsidTr="00B21006">
        <w:trPr>
          <w:trHeight w:val="171"/>
        </w:trPr>
        <w:tc>
          <w:tcPr>
            <w:tcW w:w="1751" w:type="dxa"/>
            <w:vMerge/>
          </w:tcPr>
          <w:p w14:paraId="530F4772" w14:textId="77777777" w:rsidR="006F6B4B" w:rsidRPr="00D42316" w:rsidRDefault="006F6B4B" w:rsidP="0006358D">
            <w:pPr>
              <w:pBdr>
                <w:top w:val="nil"/>
                <w:left w:val="nil"/>
                <w:bottom w:val="nil"/>
                <w:right w:val="nil"/>
                <w:between w:val="nil"/>
              </w:pBdr>
            </w:pPr>
          </w:p>
        </w:tc>
        <w:tc>
          <w:tcPr>
            <w:tcW w:w="2546" w:type="dxa"/>
          </w:tcPr>
          <w:p w14:paraId="0C34C1C0" w14:textId="77777777" w:rsidR="006F6B4B" w:rsidRPr="00D42316" w:rsidRDefault="006F6B4B" w:rsidP="0006358D">
            <w:r w:rsidRPr="00D42316">
              <w:t>Muhasebe</w:t>
            </w:r>
          </w:p>
        </w:tc>
        <w:tc>
          <w:tcPr>
            <w:tcW w:w="4765" w:type="dxa"/>
            <w:vMerge/>
          </w:tcPr>
          <w:p w14:paraId="5EF9945A" w14:textId="77777777" w:rsidR="006F6B4B" w:rsidRPr="00D42316" w:rsidRDefault="006F6B4B" w:rsidP="0006358D">
            <w:pPr>
              <w:pBdr>
                <w:top w:val="nil"/>
                <w:left w:val="nil"/>
                <w:bottom w:val="nil"/>
                <w:right w:val="nil"/>
                <w:between w:val="nil"/>
              </w:pBdr>
            </w:pPr>
          </w:p>
        </w:tc>
      </w:tr>
      <w:tr w:rsidR="006F6B4B" w:rsidRPr="00D42316" w14:paraId="582E180A" w14:textId="77777777" w:rsidTr="00B21006">
        <w:trPr>
          <w:trHeight w:val="100"/>
        </w:trPr>
        <w:tc>
          <w:tcPr>
            <w:tcW w:w="1751" w:type="dxa"/>
            <w:vMerge/>
          </w:tcPr>
          <w:p w14:paraId="1E19FB26" w14:textId="77777777" w:rsidR="006F6B4B" w:rsidRPr="00D42316" w:rsidRDefault="006F6B4B" w:rsidP="0006358D">
            <w:pPr>
              <w:pBdr>
                <w:top w:val="nil"/>
                <w:left w:val="nil"/>
                <w:bottom w:val="nil"/>
                <w:right w:val="nil"/>
                <w:between w:val="nil"/>
              </w:pBdr>
            </w:pPr>
          </w:p>
        </w:tc>
        <w:tc>
          <w:tcPr>
            <w:tcW w:w="2546" w:type="dxa"/>
          </w:tcPr>
          <w:p w14:paraId="65C4A5A9" w14:textId="77777777" w:rsidR="006F6B4B" w:rsidRPr="00D42316" w:rsidRDefault="006F6B4B" w:rsidP="0006358D">
            <w:r w:rsidRPr="00D42316">
              <w:t>Fatura/fiş kesme</w:t>
            </w:r>
          </w:p>
        </w:tc>
        <w:tc>
          <w:tcPr>
            <w:tcW w:w="4765" w:type="dxa"/>
            <w:vMerge/>
          </w:tcPr>
          <w:p w14:paraId="441441D3" w14:textId="77777777" w:rsidR="006F6B4B" w:rsidRPr="00D42316" w:rsidRDefault="006F6B4B" w:rsidP="0006358D">
            <w:pPr>
              <w:pBdr>
                <w:top w:val="nil"/>
                <w:left w:val="nil"/>
                <w:bottom w:val="nil"/>
                <w:right w:val="nil"/>
                <w:between w:val="nil"/>
              </w:pBdr>
            </w:pPr>
          </w:p>
        </w:tc>
      </w:tr>
      <w:tr w:rsidR="006F6B4B" w:rsidRPr="00D42316" w14:paraId="48B906FB" w14:textId="77777777" w:rsidTr="00B21006">
        <w:trPr>
          <w:trHeight w:val="128"/>
        </w:trPr>
        <w:tc>
          <w:tcPr>
            <w:tcW w:w="1751" w:type="dxa"/>
            <w:vMerge w:val="restart"/>
          </w:tcPr>
          <w:p w14:paraId="7B5D100B" w14:textId="77777777" w:rsidR="006F6B4B" w:rsidRPr="00D42316" w:rsidRDefault="006F6B4B" w:rsidP="0006358D">
            <w:r w:rsidRPr="00D42316">
              <w:t>Kurumsallaşma Sorunları</w:t>
            </w:r>
          </w:p>
        </w:tc>
        <w:tc>
          <w:tcPr>
            <w:tcW w:w="2546" w:type="dxa"/>
          </w:tcPr>
          <w:p w14:paraId="3C3D8316" w14:textId="77777777" w:rsidR="006F6B4B" w:rsidRPr="00D42316" w:rsidRDefault="006F6B4B" w:rsidP="0006358D">
            <w:r w:rsidRPr="00D42316">
              <w:t>Stratejik planlama</w:t>
            </w:r>
          </w:p>
        </w:tc>
        <w:tc>
          <w:tcPr>
            <w:tcW w:w="4765" w:type="dxa"/>
            <w:vMerge w:val="restart"/>
          </w:tcPr>
          <w:p w14:paraId="1EDABE08" w14:textId="77777777" w:rsidR="006F6B4B" w:rsidRPr="00D42316" w:rsidRDefault="006F6B4B" w:rsidP="0006358D">
            <w:r w:rsidRPr="00D42316">
              <w:t>Kooperatif bilincinin yerleşmemiş olması, Kadınlar arası diyalog eksikliği, ortak çıkar yerine bireysel çıkarın öne çıkması (üyelerin bireysel satışa yönelmesi, vb.), kadınların ihtiyaçlarının farkında olunmaması ya da yeterince dikkate alınmaması ve bunlara uygun hizmetler/programlar geliştirilmemesi, dayanışma ve güven ortamı oluşturulmaması, herkes için aynı oranda öğrenme imkanları yaratılmaması, üretim/iş planlaması yapılmaması, pazarlama, iletişim, marka oluşturma, tanıtım gibi konularda uzmanlığın olmaması, sosyal medya kullanımının aktif olmaması, ürün kataloglarının ya da ürün görsellerinin olmaması</w:t>
            </w:r>
          </w:p>
        </w:tc>
      </w:tr>
      <w:tr w:rsidR="006F6B4B" w:rsidRPr="00D42316" w14:paraId="04B360B4" w14:textId="77777777" w:rsidTr="00B21006">
        <w:trPr>
          <w:trHeight w:val="171"/>
        </w:trPr>
        <w:tc>
          <w:tcPr>
            <w:tcW w:w="1751" w:type="dxa"/>
            <w:vMerge/>
          </w:tcPr>
          <w:p w14:paraId="7D4DAF5C" w14:textId="77777777" w:rsidR="006F6B4B" w:rsidRPr="00D42316" w:rsidRDefault="006F6B4B" w:rsidP="0006358D">
            <w:pPr>
              <w:pBdr>
                <w:top w:val="nil"/>
                <w:left w:val="nil"/>
                <w:bottom w:val="nil"/>
                <w:right w:val="nil"/>
                <w:between w:val="nil"/>
              </w:pBdr>
            </w:pPr>
          </w:p>
        </w:tc>
        <w:tc>
          <w:tcPr>
            <w:tcW w:w="2546" w:type="dxa"/>
          </w:tcPr>
          <w:p w14:paraId="284D5702" w14:textId="77777777" w:rsidR="006F6B4B" w:rsidRPr="00D42316" w:rsidRDefault="006F6B4B" w:rsidP="0006358D">
            <w:r w:rsidRPr="00D42316">
              <w:t>Vizyon, misyon, değerler oluşturma</w:t>
            </w:r>
          </w:p>
        </w:tc>
        <w:tc>
          <w:tcPr>
            <w:tcW w:w="4765" w:type="dxa"/>
            <w:vMerge/>
          </w:tcPr>
          <w:p w14:paraId="3A0FA17F" w14:textId="77777777" w:rsidR="006F6B4B" w:rsidRPr="00D42316" w:rsidRDefault="006F6B4B" w:rsidP="0006358D">
            <w:pPr>
              <w:pBdr>
                <w:top w:val="nil"/>
                <w:left w:val="nil"/>
                <w:bottom w:val="nil"/>
                <w:right w:val="nil"/>
                <w:between w:val="nil"/>
              </w:pBdr>
            </w:pPr>
          </w:p>
        </w:tc>
      </w:tr>
      <w:tr w:rsidR="006F6B4B" w:rsidRPr="00D42316" w14:paraId="06AEC84A" w14:textId="77777777" w:rsidTr="00B21006">
        <w:trPr>
          <w:trHeight w:val="119"/>
        </w:trPr>
        <w:tc>
          <w:tcPr>
            <w:tcW w:w="1751" w:type="dxa"/>
            <w:vMerge/>
          </w:tcPr>
          <w:p w14:paraId="70918B84" w14:textId="77777777" w:rsidR="006F6B4B" w:rsidRPr="00D42316" w:rsidRDefault="006F6B4B" w:rsidP="0006358D">
            <w:pPr>
              <w:pBdr>
                <w:top w:val="nil"/>
                <w:left w:val="nil"/>
                <w:bottom w:val="nil"/>
                <w:right w:val="nil"/>
                <w:between w:val="nil"/>
              </w:pBdr>
            </w:pPr>
          </w:p>
        </w:tc>
        <w:tc>
          <w:tcPr>
            <w:tcW w:w="2546" w:type="dxa"/>
          </w:tcPr>
          <w:p w14:paraId="1AA234A7" w14:textId="77777777" w:rsidR="006F6B4B" w:rsidRPr="00D42316" w:rsidRDefault="006F6B4B" w:rsidP="0006358D">
            <w:r w:rsidRPr="00D42316">
              <w:t>Program geliştirme</w:t>
            </w:r>
          </w:p>
        </w:tc>
        <w:tc>
          <w:tcPr>
            <w:tcW w:w="4765" w:type="dxa"/>
            <w:vMerge/>
          </w:tcPr>
          <w:p w14:paraId="5BCA9B25" w14:textId="77777777" w:rsidR="006F6B4B" w:rsidRPr="00D42316" w:rsidRDefault="006F6B4B" w:rsidP="0006358D">
            <w:pPr>
              <w:pBdr>
                <w:top w:val="nil"/>
                <w:left w:val="nil"/>
                <w:bottom w:val="nil"/>
                <w:right w:val="nil"/>
                <w:between w:val="nil"/>
              </w:pBdr>
            </w:pPr>
          </w:p>
        </w:tc>
      </w:tr>
      <w:tr w:rsidR="006F6B4B" w:rsidRPr="00D42316" w14:paraId="363F1514" w14:textId="77777777" w:rsidTr="00B21006">
        <w:trPr>
          <w:trHeight w:val="143"/>
        </w:trPr>
        <w:tc>
          <w:tcPr>
            <w:tcW w:w="1751" w:type="dxa"/>
            <w:vMerge/>
          </w:tcPr>
          <w:p w14:paraId="7A467D4B" w14:textId="77777777" w:rsidR="006F6B4B" w:rsidRPr="00D42316" w:rsidRDefault="006F6B4B" w:rsidP="0006358D">
            <w:pPr>
              <w:pBdr>
                <w:top w:val="nil"/>
                <w:left w:val="nil"/>
                <w:bottom w:val="nil"/>
                <w:right w:val="nil"/>
                <w:between w:val="nil"/>
              </w:pBdr>
            </w:pPr>
          </w:p>
        </w:tc>
        <w:tc>
          <w:tcPr>
            <w:tcW w:w="2546" w:type="dxa"/>
          </w:tcPr>
          <w:p w14:paraId="7D41B235" w14:textId="77777777" w:rsidR="006F6B4B" w:rsidRPr="00D42316" w:rsidRDefault="006F6B4B" w:rsidP="0006358D">
            <w:r w:rsidRPr="00D42316">
              <w:t>İletişim</w:t>
            </w:r>
          </w:p>
        </w:tc>
        <w:tc>
          <w:tcPr>
            <w:tcW w:w="4765" w:type="dxa"/>
            <w:vMerge/>
          </w:tcPr>
          <w:p w14:paraId="5C5EA725" w14:textId="77777777" w:rsidR="006F6B4B" w:rsidRPr="00D42316" w:rsidRDefault="006F6B4B" w:rsidP="0006358D">
            <w:pPr>
              <w:pBdr>
                <w:top w:val="nil"/>
                <w:left w:val="nil"/>
                <w:bottom w:val="nil"/>
                <w:right w:val="nil"/>
                <w:between w:val="nil"/>
              </w:pBdr>
            </w:pPr>
          </w:p>
        </w:tc>
      </w:tr>
      <w:tr w:rsidR="006F6B4B" w:rsidRPr="00D42316" w14:paraId="5E936918" w14:textId="77777777" w:rsidTr="00B21006">
        <w:trPr>
          <w:trHeight w:val="171"/>
        </w:trPr>
        <w:tc>
          <w:tcPr>
            <w:tcW w:w="1751" w:type="dxa"/>
            <w:vMerge/>
          </w:tcPr>
          <w:p w14:paraId="2D18638D" w14:textId="77777777" w:rsidR="006F6B4B" w:rsidRPr="00D42316" w:rsidRDefault="006F6B4B" w:rsidP="0006358D">
            <w:pPr>
              <w:pBdr>
                <w:top w:val="nil"/>
                <w:left w:val="nil"/>
                <w:bottom w:val="nil"/>
                <w:right w:val="nil"/>
                <w:between w:val="nil"/>
              </w:pBdr>
            </w:pPr>
          </w:p>
        </w:tc>
        <w:tc>
          <w:tcPr>
            <w:tcW w:w="2546" w:type="dxa"/>
          </w:tcPr>
          <w:p w14:paraId="1BAFF669" w14:textId="77777777" w:rsidR="006F6B4B" w:rsidRPr="00D42316" w:rsidRDefault="006F6B4B" w:rsidP="0006358D">
            <w:r w:rsidRPr="00D42316">
              <w:t>Birey ve örgüt çıkarları arasında çatışma</w:t>
            </w:r>
          </w:p>
        </w:tc>
        <w:tc>
          <w:tcPr>
            <w:tcW w:w="4765" w:type="dxa"/>
            <w:vMerge/>
          </w:tcPr>
          <w:p w14:paraId="488CD9FC" w14:textId="77777777" w:rsidR="006F6B4B" w:rsidRPr="00D42316" w:rsidRDefault="006F6B4B" w:rsidP="0006358D">
            <w:pPr>
              <w:pBdr>
                <w:top w:val="nil"/>
                <w:left w:val="nil"/>
                <w:bottom w:val="nil"/>
                <w:right w:val="nil"/>
                <w:between w:val="nil"/>
              </w:pBdr>
            </w:pPr>
          </w:p>
        </w:tc>
      </w:tr>
      <w:tr w:rsidR="006F6B4B" w:rsidRPr="00D42316" w14:paraId="39B234C4" w14:textId="77777777" w:rsidTr="00B21006">
        <w:trPr>
          <w:trHeight w:val="699"/>
        </w:trPr>
        <w:tc>
          <w:tcPr>
            <w:tcW w:w="1751" w:type="dxa"/>
            <w:vMerge/>
          </w:tcPr>
          <w:p w14:paraId="5833A1AC" w14:textId="77777777" w:rsidR="006F6B4B" w:rsidRPr="00D42316" w:rsidRDefault="006F6B4B" w:rsidP="0006358D">
            <w:pPr>
              <w:pBdr>
                <w:top w:val="nil"/>
                <w:left w:val="nil"/>
                <w:bottom w:val="nil"/>
                <w:right w:val="nil"/>
                <w:between w:val="nil"/>
              </w:pBdr>
            </w:pPr>
          </w:p>
        </w:tc>
        <w:tc>
          <w:tcPr>
            <w:tcW w:w="2546" w:type="dxa"/>
          </w:tcPr>
          <w:p w14:paraId="4FCE2929" w14:textId="77777777" w:rsidR="006F6B4B" w:rsidRPr="00D42316" w:rsidRDefault="006F6B4B" w:rsidP="0006358D">
            <w:r w:rsidRPr="00D42316">
              <w:t>Faaliyet etkinliği izleme ve değerlendirme</w:t>
            </w:r>
          </w:p>
        </w:tc>
        <w:tc>
          <w:tcPr>
            <w:tcW w:w="4765" w:type="dxa"/>
            <w:vMerge/>
          </w:tcPr>
          <w:p w14:paraId="330DF664" w14:textId="77777777" w:rsidR="006F6B4B" w:rsidRPr="00D42316" w:rsidRDefault="006F6B4B" w:rsidP="0006358D">
            <w:pPr>
              <w:pBdr>
                <w:top w:val="nil"/>
                <w:left w:val="nil"/>
                <w:bottom w:val="nil"/>
                <w:right w:val="nil"/>
                <w:between w:val="nil"/>
              </w:pBdr>
            </w:pPr>
          </w:p>
        </w:tc>
      </w:tr>
      <w:tr w:rsidR="006F6B4B" w:rsidRPr="00D42316" w14:paraId="45B4EDC1" w14:textId="77777777" w:rsidTr="00B21006">
        <w:trPr>
          <w:trHeight w:val="898"/>
        </w:trPr>
        <w:tc>
          <w:tcPr>
            <w:tcW w:w="1751" w:type="dxa"/>
            <w:vMerge/>
          </w:tcPr>
          <w:p w14:paraId="049F2643" w14:textId="77777777" w:rsidR="006F6B4B" w:rsidRPr="00D42316" w:rsidRDefault="006F6B4B" w:rsidP="0006358D">
            <w:pPr>
              <w:pBdr>
                <w:top w:val="nil"/>
                <w:left w:val="nil"/>
                <w:bottom w:val="nil"/>
                <w:right w:val="nil"/>
                <w:between w:val="nil"/>
              </w:pBdr>
            </w:pPr>
          </w:p>
        </w:tc>
        <w:tc>
          <w:tcPr>
            <w:tcW w:w="2546" w:type="dxa"/>
          </w:tcPr>
          <w:p w14:paraId="688B90C2" w14:textId="77777777" w:rsidR="006F6B4B" w:rsidRPr="00D42316" w:rsidRDefault="006F6B4B" w:rsidP="0006358D">
            <w:r w:rsidRPr="00D42316">
              <w:t>Tanınırlık ve markalaşma</w:t>
            </w:r>
          </w:p>
        </w:tc>
        <w:tc>
          <w:tcPr>
            <w:tcW w:w="4765" w:type="dxa"/>
            <w:vMerge/>
          </w:tcPr>
          <w:p w14:paraId="4D3D5A10" w14:textId="77777777" w:rsidR="006F6B4B" w:rsidRPr="00D42316" w:rsidRDefault="006F6B4B" w:rsidP="0006358D">
            <w:pPr>
              <w:pBdr>
                <w:top w:val="nil"/>
                <w:left w:val="nil"/>
                <w:bottom w:val="nil"/>
                <w:right w:val="nil"/>
                <w:between w:val="nil"/>
              </w:pBdr>
            </w:pPr>
          </w:p>
        </w:tc>
      </w:tr>
      <w:tr w:rsidR="006F6B4B" w:rsidRPr="00D42316" w14:paraId="3912B97A" w14:textId="77777777" w:rsidTr="00B21006">
        <w:trPr>
          <w:trHeight w:val="200"/>
        </w:trPr>
        <w:tc>
          <w:tcPr>
            <w:tcW w:w="1751" w:type="dxa"/>
            <w:vMerge w:val="restart"/>
          </w:tcPr>
          <w:p w14:paraId="4911EC11" w14:textId="77777777" w:rsidR="006F6B4B" w:rsidRPr="00D42316" w:rsidRDefault="006F6B4B" w:rsidP="0006358D">
            <w:r w:rsidRPr="00D42316">
              <w:t>Yönetişim Sorunları</w:t>
            </w:r>
          </w:p>
        </w:tc>
        <w:tc>
          <w:tcPr>
            <w:tcW w:w="2546" w:type="dxa"/>
          </w:tcPr>
          <w:p w14:paraId="4F9A11AE" w14:textId="77777777" w:rsidR="006F6B4B" w:rsidRPr="00D42316" w:rsidRDefault="006F6B4B" w:rsidP="0006358D">
            <w:proofErr w:type="gramStart"/>
            <w:r w:rsidRPr="00D42316">
              <w:t>İşbölümü</w:t>
            </w:r>
            <w:proofErr w:type="gramEnd"/>
          </w:p>
        </w:tc>
        <w:tc>
          <w:tcPr>
            <w:tcW w:w="4765" w:type="dxa"/>
            <w:vMerge w:val="restart"/>
          </w:tcPr>
          <w:p w14:paraId="64A52151" w14:textId="77777777" w:rsidR="006F6B4B" w:rsidRPr="00D42316" w:rsidRDefault="006F6B4B" w:rsidP="0006358D">
            <w:r w:rsidRPr="00D42316">
              <w:t xml:space="preserve">1-2 kişiye dayanan, diğerlerini güçlendirmeyen liderlik anlayışı, demokratik olmayan bir yönetim, ortaklar arasında eşitliğe ve dayanışmaya dayanan bir ilişki kurulmaması (ortakları işçi ya da müşteri gibi görmek), karar süreçlerinde dışa bağımlılık, </w:t>
            </w:r>
            <w:proofErr w:type="gramStart"/>
            <w:r w:rsidRPr="00D42316">
              <w:t>İşbölümünde</w:t>
            </w:r>
            <w:proofErr w:type="gramEnd"/>
            <w:r w:rsidRPr="00D42316">
              <w:t xml:space="preserve"> sorumlulukların eşit dağıtılmaması, Kooperatiflerin işlerinin kapasitesinin düşüklüğü ve bir dayanışma ortamı yaratılmaması nedeniyle ortakların sık sık değişmesi</w:t>
            </w:r>
          </w:p>
          <w:p w14:paraId="2DFC09DA" w14:textId="77777777" w:rsidR="006F6B4B" w:rsidRPr="00D42316" w:rsidRDefault="006F6B4B" w:rsidP="0006358D"/>
        </w:tc>
      </w:tr>
      <w:tr w:rsidR="006F6B4B" w:rsidRPr="00D42316" w14:paraId="2CBAF280" w14:textId="77777777" w:rsidTr="00B21006">
        <w:trPr>
          <w:trHeight w:val="214"/>
        </w:trPr>
        <w:tc>
          <w:tcPr>
            <w:tcW w:w="1751" w:type="dxa"/>
            <w:vMerge/>
          </w:tcPr>
          <w:p w14:paraId="1E624986" w14:textId="77777777" w:rsidR="006F6B4B" w:rsidRPr="00D42316" w:rsidRDefault="006F6B4B" w:rsidP="0006358D">
            <w:pPr>
              <w:pBdr>
                <w:top w:val="nil"/>
                <w:left w:val="nil"/>
                <w:bottom w:val="nil"/>
                <w:right w:val="nil"/>
                <w:between w:val="nil"/>
              </w:pBdr>
            </w:pPr>
          </w:p>
        </w:tc>
        <w:tc>
          <w:tcPr>
            <w:tcW w:w="2546" w:type="dxa"/>
          </w:tcPr>
          <w:p w14:paraId="3BAB691B" w14:textId="77777777" w:rsidR="006F6B4B" w:rsidRPr="00D42316" w:rsidRDefault="006F6B4B" w:rsidP="0006358D">
            <w:r w:rsidRPr="00D42316">
              <w:t>Planlama</w:t>
            </w:r>
          </w:p>
        </w:tc>
        <w:tc>
          <w:tcPr>
            <w:tcW w:w="4765" w:type="dxa"/>
            <w:vMerge/>
          </w:tcPr>
          <w:p w14:paraId="39EBF8F7" w14:textId="77777777" w:rsidR="006F6B4B" w:rsidRPr="00D42316" w:rsidRDefault="006F6B4B" w:rsidP="0006358D">
            <w:pPr>
              <w:pBdr>
                <w:top w:val="nil"/>
                <w:left w:val="nil"/>
                <w:bottom w:val="nil"/>
                <w:right w:val="nil"/>
                <w:between w:val="nil"/>
              </w:pBdr>
            </w:pPr>
          </w:p>
        </w:tc>
      </w:tr>
      <w:tr w:rsidR="006F6B4B" w:rsidRPr="00D42316" w14:paraId="79420AC3" w14:textId="77777777" w:rsidTr="00B21006">
        <w:trPr>
          <w:trHeight w:val="157"/>
        </w:trPr>
        <w:tc>
          <w:tcPr>
            <w:tcW w:w="1751" w:type="dxa"/>
            <w:vMerge/>
          </w:tcPr>
          <w:p w14:paraId="1AF5D904" w14:textId="77777777" w:rsidR="006F6B4B" w:rsidRPr="00D42316" w:rsidRDefault="006F6B4B" w:rsidP="0006358D">
            <w:pPr>
              <w:pBdr>
                <w:top w:val="nil"/>
                <w:left w:val="nil"/>
                <w:bottom w:val="nil"/>
                <w:right w:val="nil"/>
                <w:between w:val="nil"/>
              </w:pBdr>
            </w:pPr>
          </w:p>
        </w:tc>
        <w:tc>
          <w:tcPr>
            <w:tcW w:w="2546" w:type="dxa"/>
          </w:tcPr>
          <w:p w14:paraId="649330FD" w14:textId="77777777" w:rsidR="006F6B4B" w:rsidRPr="00D42316" w:rsidRDefault="006F6B4B" w:rsidP="0006358D">
            <w:r w:rsidRPr="00D42316">
              <w:t>İş takibi</w:t>
            </w:r>
          </w:p>
        </w:tc>
        <w:tc>
          <w:tcPr>
            <w:tcW w:w="4765" w:type="dxa"/>
            <w:vMerge/>
          </w:tcPr>
          <w:p w14:paraId="7DCB3F23" w14:textId="77777777" w:rsidR="006F6B4B" w:rsidRPr="00D42316" w:rsidRDefault="006F6B4B" w:rsidP="0006358D">
            <w:pPr>
              <w:pBdr>
                <w:top w:val="nil"/>
                <w:left w:val="nil"/>
                <w:bottom w:val="nil"/>
                <w:right w:val="nil"/>
                <w:between w:val="nil"/>
              </w:pBdr>
            </w:pPr>
          </w:p>
        </w:tc>
      </w:tr>
      <w:tr w:rsidR="006F6B4B" w:rsidRPr="00D42316" w14:paraId="63FCE14B" w14:textId="77777777" w:rsidTr="00B21006">
        <w:trPr>
          <w:trHeight w:val="105"/>
        </w:trPr>
        <w:tc>
          <w:tcPr>
            <w:tcW w:w="1751" w:type="dxa"/>
            <w:vMerge/>
          </w:tcPr>
          <w:p w14:paraId="75A3CE00" w14:textId="77777777" w:rsidR="006F6B4B" w:rsidRPr="00D42316" w:rsidRDefault="006F6B4B" w:rsidP="0006358D">
            <w:pPr>
              <w:pBdr>
                <w:top w:val="nil"/>
                <w:left w:val="nil"/>
                <w:bottom w:val="nil"/>
                <w:right w:val="nil"/>
                <w:between w:val="nil"/>
              </w:pBdr>
            </w:pPr>
          </w:p>
        </w:tc>
        <w:tc>
          <w:tcPr>
            <w:tcW w:w="2546" w:type="dxa"/>
          </w:tcPr>
          <w:p w14:paraId="2822DD3F" w14:textId="77777777" w:rsidR="006F6B4B" w:rsidRPr="00D42316" w:rsidRDefault="006F6B4B" w:rsidP="0006358D">
            <w:r w:rsidRPr="00D42316">
              <w:t>Örgütleme</w:t>
            </w:r>
          </w:p>
        </w:tc>
        <w:tc>
          <w:tcPr>
            <w:tcW w:w="4765" w:type="dxa"/>
            <w:vMerge/>
          </w:tcPr>
          <w:p w14:paraId="5C8E8E7B" w14:textId="77777777" w:rsidR="006F6B4B" w:rsidRPr="00D42316" w:rsidRDefault="006F6B4B" w:rsidP="0006358D">
            <w:pPr>
              <w:pBdr>
                <w:top w:val="nil"/>
                <w:left w:val="nil"/>
                <w:bottom w:val="nil"/>
                <w:right w:val="nil"/>
                <w:between w:val="nil"/>
              </w:pBdr>
            </w:pPr>
          </w:p>
        </w:tc>
      </w:tr>
      <w:tr w:rsidR="006F6B4B" w:rsidRPr="00D42316" w14:paraId="184D04C0" w14:textId="77777777" w:rsidTr="00B21006">
        <w:trPr>
          <w:trHeight w:val="200"/>
        </w:trPr>
        <w:tc>
          <w:tcPr>
            <w:tcW w:w="1751" w:type="dxa"/>
            <w:vMerge/>
          </w:tcPr>
          <w:p w14:paraId="775BE790" w14:textId="77777777" w:rsidR="006F6B4B" w:rsidRPr="00D42316" w:rsidRDefault="006F6B4B" w:rsidP="0006358D">
            <w:pPr>
              <w:pBdr>
                <w:top w:val="nil"/>
                <w:left w:val="nil"/>
                <w:bottom w:val="nil"/>
                <w:right w:val="nil"/>
                <w:between w:val="nil"/>
              </w:pBdr>
            </w:pPr>
          </w:p>
        </w:tc>
        <w:tc>
          <w:tcPr>
            <w:tcW w:w="2546" w:type="dxa"/>
          </w:tcPr>
          <w:p w14:paraId="1BCF800B" w14:textId="77777777" w:rsidR="006F6B4B" w:rsidRPr="00D42316" w:rsidRDefault="006F6B4B" w:rsidP="0006358D">
            <w:r w:rsidRPr="00D42316">
              <w:t>Ortak karar alma</w:t>
            </w:r>
          </w:p>
        </w:tc>
        <w:tc>
          <w:tcPr>
            <w:tcW w:w="4765" w:type="dxa"/>
            <w:vMerge/>
          </w:tcPr>
          <w:p w14:paraId="026FDBB9" w14:textId="77777777" w:rsidR="006F6B4B" w:rsidRPr="00D42316" w:rsidRDefault="006F6B4B" w:rsidP="0006358D">
            <w:pPr>
              <w:pBdr>
                <w:top w:val="nil"/>
                <w:left w:val="nil"/>
                <w:bottom w:val="nil"/>
                <w:right w:val="nil"/>
                <w:between w:val="nil"/>
              </w:pBdr>
            </w:pPr>
          </w:p>
        </w:tc>
      </w:tr>
      <w:tr w:rsidR="006F6B4B" w:rsidRPr="00D42316" w14:paraId="0647F9A8" w14:textId="77777777" w:rsidTr="00B21006">
        <w:trPr>
          <w:trHeight w:val="62"/>
        </w:trPr>
        <w:tc>
          <w:tcPr>
            <w:tcW w:w="1751" w:type="dxa"/>
            <w:vMerge/>
          </w:tcPr>
          <w:p w14:paraId="5DBC0A99" w14:textId="77777777" w:rsidR="006F6B4B" w:rsidRPr="00D42316" w:rsidRDefault="006F6B4B" w:rsidP="0006358D">
            <w:pPr>
              <w:pBdr>
                <w:top w:val="nil"/>
                <w:left w:val="nil"/>
                <w:bottom w:val="nil"/>
                <w:right w:val="nil"/>
                <w:between w:val="nil"/>
              </w:pBdr>
            </w:pPr>
          </w:p>
        </w:tc>
        <w:tc>
          <w:tcPr>
            <w:tcW w:w="2546" w:type="dxa"/>
          </w:tcPr>
          <w:p w14:paraId="11EF800D" w14:textId="77777777" w:rsidR="006F6B4B" w:rsidRPr="00D42316" w:rsidRDefault="006F6B4B" w:rsidP="0006358D">
            <w:r w:rsidRPr="00D42316">
              <w:t>Yetki devri</w:t>
            </w:r>
          </w:p>
        </w:tc>
        <w:tc>
          <w:tcPr>
            <w:tcW w:w="4765" w:type="dxa"/>
            <w:vMerge/>
          </w:tcPr>
          <w:p w14:paraId="2C103EDA" w14:textId="77777777" w:rsidR="006F6B4B" w:rsidRPr="00D42316" w:rsidRDefault="006F6B4B" w:rsidP="0006358D">
            <w:pPr>
              <w:pBdr>
                <w:top w:val="nil"/>
                <w:left w:val="nil"/>
                <w:bottom w:val="nil"/>
                <w:right w:val="nil"/>
                <w:between w:val="nil"/>
              </w:pBdr>
            </w:pPr>
          </w:p>
        </w:tc>
      </w:tr>
      <w:tr w:rsidR="006F6B4B" w:rsidRPr="00D42316" w14:paraId="7972C26F" w14:textId="77777777" w:rsidTr="00B21006">
        <w:trPr>
          <w:trHeight w:val="157"/>
        </w:trPr>
        <w:tc>
          <w:tcPr>
            <w:tcW w:w="1751" w:type="dxa"/>
            <w:vMerge/>
          </w:tcPr>
          <w:p w14:paraId="124147F3" w14:textId="77777777" w:rsidR="006F6B4B" w:rsidRPr="00D42316" w:rsidRDefault="006F6B4B" w:rsidP="0006358D">
            <w:pPr>
              <w:pBdr>
                <w:top w:val="nil"/>
                <w:left w:val="nil"/>
                <w:bottom w:val="nil"/>
                <w:right w:val="nil"/>
                <w:between w:val="nil"/>
              </w:pBdr>
            </w:pPr>
          </w:p>
        </w:tc>
        <w:tc>
          <w:tcPr>
            <w:tcW w:w="2546" w:type="dxa"/>
          </w:tcPr>
          <w:p w14:paraId="6D71E54E" w14:textId="77777777" w:rsidR="006F6B4B" w:rsidRPr="00D42316" w:rsidRDefault="006F6B4B" w:rsidP="0006358D">
            <w:r w:rsidRPr="00D42316">
              <w:t>Koordinasyon</w:t>
            </w:r>
          </w:p>
        </w:tc>
        <w:tc>
          <w:tcPr>
            <w:tcW w:w="4765" w:type="dxa"/>
            <w:vMerge/>
          </w:tcPr>
          <w:p w14:paraId="4576CBBC" w14:textId="77777777" w:rsidR="006F6B4B" w:rsidRPr="00D42316" w:rsidRDefault="006F6B4B" w:rsidP="0006358D">
            <w:pPr>
              <w:pBdr>
                <w:top w:val="nil"/>
                <w:left w:val="nil"/>
                <w:bottom w:val="nil"/>
                <w:right w:val="nil"/>
                <w:between w:val="nil"/>
              </w:pBdr>
            </w:pPr>
          </w:p>
        </w:tc>
      </w:tr>
      <w:tr w:rsidR="006F6B4B" w:rsidRPr="00D42316" w14:paraId="039A0BFE" w14:textId="77777777" w:rsidTr="00B21006">
        <w:trPr>
          <w:trHeight w:val="105"/>
        </w:trPr>
        <w:tc>
          <w:tcPr>
            <w:tcW w:w="1751" w:type="dxa"/>
            <w:vMerge/>
          </w:tcPr>
          <w:p w14:paraId="429A260B" w14:textId="77777777" w:rsidR="006F6B4B" w:rsidRPr="00D42316" w:rsidRDefault="006F6B4B" w:rsidP="0006358D">
            <w:pPr>
              <w:pBdr>
                <w:top w:val="nil"/>
                <w:left w:val="nil"/>
                <w:bottom w:val="nil"/>
                <w:right w:val="nil"/>
                <w:between w:val="nil"/>
              </w:pBdr>
            </w:pPr>
          </w:p>
        </w:tc>
        <w:tc>
          <w:tcPr>
            <w:tcW w:w="2546" w:type="dxa"/>
          </w:tcPr>
          <w:p w14:paraId="2EB2484B" w14:textId="77777777" w:rsidR="006F6B4B" w:rsidRPr="00D42316" w:rsidRDefault="006F6B4B" w:rsidP="0006358D">
            <w:r w:rsidRPr="00D42316">
              <w:t>Liderlik anlayışı</w:t>
            </w:r>
          </w:p>
        </w:tc>
        <w:tc>
          <w:tcPr>
            <w:tcW w:w="4765" w:type="dxa"/>
            <w:vMerge/>
          </w:tcPr>
          <w:p w14:paraId="088C25FD" w14:textId="77777777" w:rsidR="006F6B4B" w:rsidRPr="00D42316" w:rsidRDefault="006F6B4B" w:rsidP="0006358D">
            <w:pPr>
              <w:pBdr>
                <w:top w:val="nil"/>
                <w:left w:val="nil"/>
                <w:bottom w:val="nil"/>
                <w:right w:val="nil"/>
                <w:between w:val="nil"/>
              </w:pBdr>
            </w:pPr>
          </w:p>
        </w:tc>
      </w:tr>
    </w:tbl>
    <w:p w14:paraId="47CAC1C6" w14:textId="77777777" w:rsidR="006F6B4B" w:rsidRPr="00D42316" w:rsidRDefault="006F6B4B" w:rsidP="0006358D">
      <w:pPr>
        <w:jc w:val="both"/>
      </w:pPr>
      <w:r w:rsidRPr="00D42316">
        <w:t>Kaynak: 2018 KEDV toplantı raporundan faydalanarak yazarlar tarafından oluşturulmuştur.</w:t>
      </w:r>
    </w:p>
    <w:p w14:paraId="4878B31A" w14:textId="77777777" w:rsidR="006F6B4B" w:rsidRPr="00D42316" w:rsidRDefault="006F6B4B" w:rsidP="0006358D"/>
    <w:p w14:paraId="597BD50B" w14:textId="77777777" w:rsidR="006F6B4B" w:rsidRPr="00D42316" w:rsidRDefault="006F6B4B" w:rsidP="0006358D"/>
    <w:p w14:paraId="75A8AAC5" w14:textId="397C8056" w:rsidR="00C87971" w:rsidRPr="00D42316" w:rsidRDefault="006F6B4B" w:rsidP="0006358D">
      <w:pPr>
        <w:jc w:val="both"/>
      </w:pPr>
      <w:r w:rsidRPr="00D42316">
        <w:t>Kadın girişimci kooperatiflerinin dış paydaşlarına ilişkin karşı karşıya kaldıkları zorluklar yine 2015 ve 2018 yılı KEDV toplantı raporları üzerinden analiz edilmiştir. Dış faktörlere ilişkin sorun ve ihtiyaçlar kümesinde yine finansal zorluklar, yasal sorunlar ve kurumsallaşma sorunları ana sorun kümeleri olarak belirlenmiştir. Alt sorun kümeleri ve bunlara ilişkin açıklamalar Tablo 6’da kapsamlı olarak paylaşılmıştır.</w:t>
      </w:r>
    </w:p>
    <w:p w14:paraId="52EEBDD8" w14:textId="77777777" w:rsidR="002C043E" w:rsidRPr="00D42316" w:rsidRDefault="002C043E" w:rsidP="0006358D">
      <w:pPr>
        <w:jc w:val="both"/>
      </w:pPr>
    </w:p>
    <w:p w14:paraId="5A8E4AFC" w14:textId="2BF5DF5C" w:rsidR="006F6B4B" w:rsidRPr="00714BC1" w:rsidRDefault="006F6B4B" w:rsidP="0006358D">
      <w:pPr>
        <w:rPr>
          <w:b/>
          <w:bCs/>
        </w:rPr>
      </w:pPr>
      <w:r w:rsidRPr="00714BC1">
        <w:rPr>
          <w:b/>
          <w:bCs/>
        </w:rPr>
        <w:t>Dış Faktörlere İlişkin Sorun ve İhtiyaçlar</w:t>
      </w:r>
    </w:p>
    <w:p w14:paraId="1FDF9F28" w14:textId="77777777" w:rsidR="006F6B4B" w:rsidRPr="00D42316" w:rsidRDefault="006F6B4B" w:rsidP="0006358D">
      <w:r w:rsidRPr="00D42316">
        <w:t>Tablo 6. Kadın Kooperatiflerinin Dış Faktörlerine İlişkin Sorun ve ihtiyaçlar</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0"/>
        <w:gridCol w:w="1815"/>
        <w:gridCol w:w="5287"/>
      </w:tblGrid>
      <w:tr w:rsidR="006F6B4B" w:rsidRPr="00D42316" w14:paraId="2A0DE682" w14:textId="77777777" w:rsidTr="00B21006">
        <w:tc>
          <w:tcPr>
            <w:tcW w:w="3775" w:type="dxa"/>
            <w:gridSpan w:val="2"/>
          </w:tcPr>
          <w:p w14:paraId="60E993CD" w14:textId="77777777" w:rsidR="006F6B4B" w:rsidRPr="00D42316" w:rsidRDefault="006F6B4B" w:rsidP="0006358D">
            <w:pPr>
              <w:rPr>
                <w:b/>
              </w:rPr>
            </w:pPr>
            <w:r w:rsidRPr="00D42316">
              <w:rPr>
                <w:b/>
              </w:rPr>
              <w:t>Sorun Kümeleri</w:t>
            </w:r>
          </w:p>
        </w:tc>
        <w:tc>
          <w:tcPr>
            <w:tcW w:w="5287" w:type="dxa"/>
          </w:tcPr>
          <w:p w14:paraId="7BD80A3E" w14:textId="77777777" w:rsidR="006F6B4B" w:rsidRPr="00D42316" w:rsidRDefault="006F6B4B" w:rsidP="0006358D">
            <w:pPr>
              <w:rPr>
                <w:b/>
              </w:rPr>
            </w:pPr>
            <w:r w:rsidRPr="00D42316">
              <w:rPr>
                <w:b/>
              </w:rPr>
              <w:t>Açıklama</w:t>
            </w:r>
          </w:p>
        </w:tc>
      </w:tr>
      <w:tr w:rsidR="006F6B4B" w:rsidRPr="00D42316" w14:paraId="4E0B94EC" w14:textId="77777777" w:rsidTr="00B21006">
        <w:trPr>
          <w:trHeight w:val="171"/>
        </w:trPr>
        <w:tc>
          <w:tcPr>
            <w:tcW w:w="1960" w:type="dxa"/>
            <w:vMerge w:val="restart"/>
          </w:tcPr>
          <w:p w14:paraId="7250D7F9" w14:textId="77777777" w:rsidR="006F6B4B" w:rsidRPr="00D42316" w:rsidRDefault="006F6B4B" w:rsidP="0006358D">
            <w:r w:rsidRPr="00D42316">
              <w:t>Finansal sorunlar</w:t>
            </w:r>
          </w:p>
        </w:tc>
        <w:tc>
          <w:tcPr>
            <w:tcW w:w="1815" w:type="dxa"/>
          </w:tcPr>
          <w:p w14:paraId="227A67FD" w14:textId="77777777" w:rsidR="006F6B4B" w:rsidRPr="00D42316" w:rsidRDefault="006F6B4B" w:rsidP="0006358D">
            <w:r w:rsidRPr="00D42316">
              <w:t>Destek programları</w:t>
            </w:r>
          </w:p>
        </w:tc>
        <w:tc>
          <w:tcPr>
            <w:tcW w:w="5287" w:type="dxa"/>
            <w:vMerge w:val="restart"/>
          </w:tcPr>
          <w:p w14:paraId="4CF42A67" w14:textId="77777777" w:rsidR="006F6B4B" w:rsidRPr="00D42316" w:rsidRDefault="006F6B4B" w:rsidP="0006358D">
            <w:r w:rsidRPr="00D42316">
              <w:t>Mali güçlükler, sermaye oluşturma, vergi ve harçların fazlalığı, her yıl Genel Kurul yapma zorunluluğu ve masraflar, Ruhsat, marka alımı ile ilgili işlemlerin zorluğu ve masrafların fazla olması, Kooperatif kuruluş giderlerinin fazlalığı, Finansmana ve pazarlara, mekân, kaynak ve proje kaynaklarına erişimdeki zorluklar, fon veren kuruluşların uygulamalarında bir standart bulunmaması, Gelir elde edilmediği aylarda vergi ödeme zorunluluğu, belirli bir ciroya kadar vergi muafiyetinin olmaması, sigorta primlerini ödemede zorluk</w:t>
            </w:r>
          </w:p>
        </w:tc>
      </w:tr>
      <w:tr w:rsidR="006F6B4B" w:rsidRPr="00D42316" w14:paraId="0D15142F" w14:textId="77777777" w:rsidTr="00B21006">
        <w:trPr>
          <w:trHeight w:val="129"/>
        </w:trPr>
        <w:tc>
          <w:tcPr>
            <w:tcW w:w="1960" w:type="dxa"/>
            <w:vMerge/>
          </w:tcPr>
          <w:p w14:paraId="2D5D03F8" w14:textId="77777777" w:rsidR="006F6B4B" w:rsidRPr="00D42316" w:rsidRDefault="006F6B4B" w:rsidP="0006358D">
            <w:pPr>
              <w:pBdr>
                <w:top w:val="nil"/>
                <w:left w:val="nil"/>
                <w:bottom w:val="nil"/>
                <w:right w:val="nil"/>
                <w:between w:val="nil"/>
              </w:pBdr>
            </w:pPr>
          </w:p>
        </w:tc>
        <w:tc>
          <w:tcPr>
            <w:tcW w:w="1815" w:type="dxa"/>
          </w:tcPr>
          <w:p w14:paraId="646DF996" w14:textId="77777777" w:rsidR="006F6B4B" w:rsidRPr="00D42316" w:rsidRDefault="006F6B4B" w:rsidP="0006358D">
            <w:r w:rsidRPr="00D42316">
              <w:t>Tanınırlık</w:t>
            </w:r>
          </w:p>
        </w:tc>
        <w:tc>
          <w:tcPr>
            <w:tcW w:w="5287" w:type="dxa"/>
            <w:vMerge/>
          </w:tcPr>
          <w:p w14:paraId="6A0CEE0B" w14:textId="77777777" w:rsidR="006F6B4B" w:rsidRPr="00D42316" w:rsidRDefault="006F6B4B" w:rsidP="0006358D">
            <w:pPr>
              <w:pBdr>
                <w:top w:val="nil"/>
                <w:left w:val="nil"/>
                <w:bottom w:val="nil"/>
                <w:right w:val="nil"/>
                <w:between w:val="nil"/>
              </w:pBdr>
            </w:pPr>
          </w:p>
        </w:tc>
      </w:tr>
      <w:tr w:rsidR="006F6B4B" w:rsidRPr="00D42316" w14:paraId="6F8ED4D9" w14:textId="77777777" w:rsidTr="00B21006">
        <w:trPr>
          <w:trHeight w:val="119"/>
        </w:trPr>
        <w:tc>
          <w:tcPr>
            <w:tcW w:w="1960" w:type="dxa"/>
            <w:vMerge/>
          </w:tcPr>
          <w:p w14:paraId="7CB41009" w14:textId="77777777" w:rsidR="006F6B4B" w:rsidRPr="00D42316" w:rsidRDefault="006F6B4B" w:rsidP="0006358D">
            <w:pPr>
              <w:pBdr>
                <w:top w:val="nil"/>
                <w:left w:val="nil"/>
                <w:bottom w:val="nil"/>
                <w:right w:val="nil"/>
                <w:between w:val="nil"/>
              </w:pBdr>
            </w:pPr>
          </w:p>
        </w:tc>
        <w:tc>
          <w:tcPr>
            <w:tcW w:w="1815" w:type="dxa"/>
          </w:tcPr>
          <w:p w14:paraId="22D8159E" w14:textId="77777777" w:rsidR="006F6B4B" w:rsidRPr="00D42316" w:rsidRDefault="006F6B4B" w:rsidP="0006358D">
            <w:r w:rsidRPr="00D42316">
              <w:t>Kuruluş giderleri</w:t>
            </w:r>
          </w:p>
        </w:tc>
        <w:tc>
          <w:tcPr>
            <w:tcW w:w="5287" w:type="dxa"/>
            <w:vMerge/>
          </w:tcPr>
          <w:p w14:paraId="56C21AE6" w14:textId="77777777" w:rsidR="006F6B4B" w:rsidRPr="00D42316" w:rsidRDefault="006F6B4B" w:rsidP="0006358D">
            <w:pPr>
              <w:pBdr>
                <w:top w:val="nil"/>
                <w:left w:val="nil"/>
                <w:bottom w:val="nil"/>
                <w:right w:val="nil"/>
                <w:between w:val="nil"/>
              </w:pBdr>
            </w:pPr>
          </w:p>
        </w:tc>
      </w:tr>
      <w:tr w:rsidR="006F6B4B" w:rsidRPr="00D42316" w14:paraId="3249E606" w14:textId="77777777" w:rsidTr="00B21006">
        <w:trPr>
          <w:trHeight w:val="129"/>
        </w:trPr>
        <w:tc>
          <w:tcPr>
            <w:tcW w:w="1960" w:type="dxa"/>
            <w:vMerge/>
          </w:tcPr>
          <w:p w14:paraId="55888D3B" w14:textId="77777777" w:rsidR="006F6B4B" w:rsidRPr="00D42316" w:rsidRDefault="006F6B4B" w:rsidP="0006358D">
            <w:pPr>
              <w:pBdr>
                <w:top w:val="nil"/>
                <w:left w:val="nil"/>
                <w:bottom w:val="nil"/>
                <w:right w:val="nil"/>
                <w:between w:val="nil"/>
              </w:pBdr>
            </w:pPr>
          </w:p>
        </w:tc>
        <w:tc>
          <w:tcPr>
            <w:tcW w:w="1815" w:type="dxa"/>
          </w:tcPr>
          <w:p w14:paraId="729EE8C5" w14:textId="77777777" w:rsidR="006F6B4B" w:rsidRPr="00D42316" w:rsidRDefault="006F6B4B" w:rsidP="0006358D">
            <w:r w:rsidRPr="00D42316">
              <w:t>Faaliyet giderleri</w:t>
            </w:r>
          </w:p>
        </w:tc>
        <w:tc>
          <w:tcPr>
            <w:tcW w:w="5287" w:type="dxa"/>
            <w:vMerge/>
          </w:tcPr>
          <w:p w14:paraId="5554D3B0" w14:textId="77777777" w:rsidR="006F6B4B" w:rsidRPr="00D42316" w:rsidRDefault="006F6B4B" w:rsidP="0006358D">
            <w:pPr>
              <w:pBdr>
                <w:top w:val="nil"/>
                <w:left w:val="nil"/>
                <w:bottom w:val="nil"/>
                <w:right w:val="nil"/>
                <w:between w:val="nil"/>
              </w:pBdr>
            </w:pPr>
          </w:p>
        </w:tc>
      </w:tr>
      <w:tr w:rsidR="006F6B4B" w:rsidRPr="00D42316" w14:paraId="5C6FC5FE" w14:textId="77777777" w:rsidTr="00B21006">
        <w:trPr>
          <w:trHeight w:val="314"/>
        </w:trPr>
        <w:tc>
          <w:tcPr>
            <w:tcW w:w="1960" w:type="dxa"/>
            <w:vMerge/>
          </w:tcPr>
          <w:p w14:paraId="580A3AE9" w14:textId="77777777" w:rsidR="006F6B4B" w:rsidRPr="00D42316" w:rsidRDefault="006F6B4B" w:rsidP="0006358D">
            <w:pPr>
              <w:pBdr>
                <w:top w:val="nil"/>
                <w:left w:val="nil"/>
                <w:bottom w:val="nil"/>
                <w:right w:val="nil"/>
                <w:between w:val="nil"/>
              </w:pBdr>
            </w:pPr>
          </w:p>
        </w:tc>
        <w:tc>
          <w:tcPr>
            <w:tcW w:w="1815" w:type="dxa"/>
          </w:tcPr>
          <w:p w14:paraId="1B82E878" w14:textId="77777777" w:rsidR="006F6B4B" w:rsidRPr="00D42316" w:rsidRDefault="006F6B4B" w:rsidP="0006358D">
            <w:r w:rsidRPr="00D42316">
              <w:t>Kaynak erişim engelleri</w:t>
            </w:r>
          </w:p>
        </w:tc>
        <w:tc>
          <w:tcPr>
            <w:tcW w:w="5287" w:type="dxa"/>
            <w:vMerge/>
          </w:tcPr>
          <w:p w14:paraId="081D05AF" w14:textId="77777777" w:rsidR="006F6B4B" w:rsidRPr="00D42316" w:rsidRDefault="006F6B4B" w:rsidP="0006358D">
            <w:pPr>
              <w:pBdr>
                <w:top w:val="nil"/>
                <w:left w:val="nil"/>
                <w:bottom w:val="nil"/>
                <w:right w:val="nil"/>
                <w:between w:val="nil"/>
              </w:pBdr>
            </w:pPr>
          </w:p>
        </w:tc>
      </w:tr>
      <w:tr w:rsidR="006F6B4B" w:rsidRPr="00D42316" w14:paraId="4BBEDF6D" w14:textId="77777777" w:rsidTr="00B21006">
        <w:trPr>
          <w:trHeight w:val="2408"/>
        </w:trPr>
        <w:tc>
          <w:tcPr>
            <w:tcW w:w="1960" w:type="dxa"/>
            <w:vMerge w:val="restart"/>
          </w:tcPr>
          <w:p w14:paraId="470B7CB0" w14:textId="62AC4CF0" w:rsidR="006F6B4B" w:rsidRPr="00D42316" w:rsidRDefault="006F6B4B" w:rsidP="0006358D">
            <w:r w:rsidRPr="00D42316">
              <w:t>Yasal orunlar</w:t>
            </w:r>
          </w:p>
        </w:tc>
        <w:tc>
          <w:tcPr>
            <w:tcW w:w="1815" w:type="dxa"/>
          </w:tcPr>
          <w:p w14:paraId="1EBB367E" w14:textId="77777777" w:rsidR="006F6B4B" w:rsidRPr="00D42316" w:rsidRDefault="006F6B4B" w:rsidP="0006358D">
            <w:r w:rsidRPr="00D42316">
              <w:t>Yasal statüdeki belirsizlik</w:t>
            </w:r>
          </w:p>
        </w:tc>
        <w:tc>
          <w:tcPr>
            <w:tcW w:w="5287" w:type="dxa"/>
            <w:vMerge w:val="restart"/>
          </w:tcPr>
          <w:p w14:paraId="0F264F5A" w14:textId="77777777" w:rsidR="006F6B4B" w:rsidRPr="00D42316" w:rsidRDefault="006F6B4B" w:rsidP="0006358D">
            <w:r w:rsidRPr="00D42316">
              <w:t xml:space="preserve">Mevcut fon ve diğer destek programlarının birçoğunun yasal statüsü nedeniyle kadın kooperatiflerini kapsamaması, ekonomik girişimleri başlatmak ve geliştirmek için faydalanabilecek hibe ve kredi programlarına; kadın kooperatiflerini kuruluş aşamasında koruyan yasal düzenlemelerin olmaması (vergi indirimleri, teşvikler, İşkur ve SGK destekleri </w:t>
            </w:r>
            <w:proofErr w:type="spellStart"/>
            <w:r w:rsidRPr="00D42316">
              <w:t>vb</w:t>
            </w:r>
            <w:proofErr w:type="spellEnd"/>
            <w:r w:rsidRPr="00D42316">
              <w:t xml:space="preserve">); mevcut düzenlemelerin kadın kooperatiflerinin sosyal içeriğini kapsamaması, sosyal hizmet faaliyetleri (oyun odası, yuva, Kadın ve Çocuk Merkezi) ile ilgili ruhsat sorunları, mevzuat ve yönetmeliklerin bu tür girişimleri kapsamaması, yasal statünün olmaması, MEB’e bağlı kuruluşlara sağlanan avantajların </w:t>
            </w:r>
            <w:proofErr w:type="spellStart"/>
            <w:r w:rsidRPr="00D42316">
              <w:t>ASP’ye</w:t>
            </w:r>
            <w:proofErr w:type="spellEnd"/>
            <w:r w:rsidRPr="00D42316">
              <w:t xml:space="preserve"> bağlı olanlara sağlanmaması; bunlar için yasal altyapı oluşturulmalı ve kadınlar için alternatif iş modeli olarak görülmemesi, Sosyal yardım politikalarının “mağdurluk” üzerinden geliştirilmesi, ürünlerin büyük kısmı rekabet gücü düşük ürünlerden oluşması ve destekleyici politika bulunmaması, yerel yönetimlerin kadın kooperatiflerine mekan tahsisi vb. işbirlikleri yapabilmesinin merkezi bir kararla yasal hale getirilmemiş olması, mevzuatın kamu kurumlarının kadın kooperatiflerine kaynak aktarmasına imkân vermemesi</w:t>
            </w:r>
          </w:p>
        </w:tc>
      </w:tr>
      <w:tr w:rsidR="006F6B4B" w:rsidRPr="00D42316" w14:paraId="14AB490B" w14:textId="77777777" w:rsidTr="00B21006">
        <w:trPr>
          <w:trHeight w:val="143"/>
        </w:trPr>
        <w:tc>
          <w:tcPr>
            <w:tcW w:w="1960" w:type="dxa"/>
            <w:vMerge/>
          </w:tcPr>
          <w:p w14:paraId="748E271F" w14:textId="77777777" w:rsidR="006F6B4B" w:rsidRPr="00D42316" w:rsidRDefault="006F6B4B" w:rsidP="0006358D">
            <w:pPr>
              <w:pBdr>
                <w:top w:val="nil"/>
                <w:left w:val="nil"/>
                <w:bottom w:val="nil"/>
                <w:right w:val="nil"/>
                <w:between w:val="nil"/>
              </w:pBdr>
            </w:pPr>
          </w:p>
        </w:tc>
        <w:tc>
          <w:tcPr>
            <w:tcW w:w="1815" w:type="dxa"/>
          </w:tcPr>
          <w:p w14:paraId="0C7FB7E4" w14:textId="77777777" w:rsidR="006F6B4B" w:rsidRPr="00D42316" w:rsidRDefault="006F6B4B" w:rsidP="0006358D">
            <w:r w:rsidRPr="00D42316">
              <w:t>Kapsayıcılık</w:t>
            </w:r>
          </w:p>
        </w:tc>
        <w:tc>
          <w:tcPr>
            <w:tcW w:w="5287" w:type="dxa"/>
            <w:vMerge/>
          </w:tcPr>
          <w:p w14:paraId="1ABE6166" w14:textId="77777777" w:rsidR="006F6B4B" w:rsidRPr="00D42316" w:rsidRDefault="006F6B4B" w:rsidP="0006358D">
            <w:pPr>
              <w:pBdr>
                <w:top w:val="nil"/>
                <w:left w:val="nil"/>
                <w:bottom w:val="nil"/>
                <w:right w:val="nil"/>
                <w:between w:val="nil"/>
              </w:pBdr>
            </w:pPr>
          </w:p>
        </w:tc>
      </w:tr>
      <w:tr w:rsidR="006F6B4B" w:rsidRPr="00D42316" w14:paraId="7552241C" w14:textId="77777777" w:rsidTr="00B21006">
        <w:trPr>
          <w:trHeight w:val="171"/>
        </w:trPr>
        <w:tc>
          <w:tcPr>
            <w:tcW w:w="1960" w:type="dxa"/>
            <w:vMerge/>
          </w:tcPr>
          <w:p w14:paraId="0A1DED50" w14:textId="77777777" w:rsidR="006F6B4B" w:rsidRPr="00D42316" w:rsidRDefault="006F6B4B" w:rsidP="0006358D">
            <w:pPr>
              <w:pBdr>
                <w:top w:val="nil"/>
                <w:left w:val="nil"/>
                <w:bottom w:val="nil"/>
                <w:right w:val="nil"/>
                <w:between w:val="nil"/>
              </w:pBdr>
            </w:pPr>
          </w:p>
        </w:tc>
        <w:tc>
          <w:tcPr>
            <w:tcW w:w="1815" w:type="dxa"/>
          </w:tcPr>
          <w:p w14:paraId="3925C006" w14:textId="77777777" w:rsidR="006F6B4B" w:rsidRPr="00D42316" w:rsidRDefault="006F6B4B" w:rsidP="0006358D">
            <w:r w:rsidRPr="00D42316">
              <w:t>Sosyal içerik</w:t>
            </w:r>
          </w:p>
        </w:tc>
        <w:tc>
          <w:tcPr>
            <w:tcW w:w="5287" w:type="dxa"/>
            <w:vMerge/>
          </w:tcPr>
          <w:p w14:paraId="7844753A" w14:textId="77777777" w:rsidR="006F6B4B" w:rsidRPr="00D42316" w:rsidRDefault="006F6B4B" w:rsidP="0006358D">
            <w:pPr>
              <w:pBdr>
                <w:top w:val="nil"/>
                <w:left w:val="nil"/>
                <w:bottom w:val="nil"/>
                <w:right w:val="nil"/>
                <w:between w:val="nil"/>
              </w:pBdr>
            </w:pPr>
          </w:p>
        </w:tc>
      </w:tr>
      <w:tr w:rsidR="006F6B4B" w:rsidRPr="00D42316" w14:paraId="7FF3CCDD" w14:textId="77777777" w:rsidTr="00B21006">
        <w:trPr>
          <w:trHeight w:val="328"/>
        </w:trPr>
        <w:tc>
          <w:tcPr>
            <w:tcW w:w="1960" w:type="dxa"/>
            <w:vMerge/>
          </w:tcPr>
          <w:p w14:paraId="6B40318B" w14:textId="77777777" w:rsidR="006F6B4B" w:rsidRPr="00D42316" w:rsidRDefault="006F6B4B" w:rsidP="0006358D">
            <w:pPr>
              <w:pBdr>
                <w:top w:val="nil"/>
                <w:left w:val="nil"/>
                <w:bottom w:val="nil"/>
                <w:right w:val="nil"/>
                <w:between w:val="nil"/>
              </w:pBdr>
            </w:pPr>
          </w:p>
        </w:tc>
        <w:tc>
          <w:tcPr>
            <w:tcW w:w="1815" w:type="dxa"/>
          </w:tcPr>
          <w:p w14:paraId="18B98694" w14:textId="77777777" w:rsidR="006F6B4B" w:rsidRPr="00D42316" w:rsidRDefault="006F6B4B" w:rsidP="0006358D">
            <w:r w:rsidRPr="00D42316">
              <w:t>Politika geliştirilmesi</w:t>
            </w:r>
          </w:p>
        </w:tc>
        <w:tc>
          <w:tcPr>
            <w:tcW w:w="5287" w:type="dxa"/>
            <w:vMerge/>
          </w:tcPr>
          <w:p w14:paraId="206C9098" w14:textId="77777777" w:rsidR="006F6B4B" w:rsidRPr="00D42316" w:rsidRDefault="006F6B4B" w:rsidP="0006358D">
            <w:pPr>
              <w:pBdr>
                <w:top w:val="nil"/>
                <w:left w:val="nil"/>
                <w:bottom w:val="nil"/>
                <w:right w:val="nil"/>
                <w:between w:val="nil"/>
              </w:pBdr>
            </w:pPr>
          </w:p>
        </w:tc>
      </w:tr>
      <w:tr w:rsidR="006F6B4B" w:rsidRPr="00D42316" w14:paraId="3AA9379C" w14:textId="77777777" w:rsidTr="00B21006">
        <w:trPr>
          <w:trHeight w:val="285"/>
        </w:trPr>
        <w:tc>
          <w:tcPr>
            <w:tcW w:w="1960" w:type="dxa"/>
            <w:vMerge/>
          </w:tcPr>
          <w:p w14:paraId="47073C96" w14:textId="77777777" w:rsidR="006F6B4B" w:rsidRPr="00D42316" w:rsidRDefault="006F6B4B" w:rsidP="0006358D">
            <w:pPr>
              <w:pBdr>
                <w:top w:val="nil"/>
                <w:left w:val="nil"/>
                <w:bottom w:val="nil"/>
                <w:right w:val="nil"/>
                <w:between w:val="nil"/>
              </w:pBdr>
            </w:pPr>
          </w:p>
        </w:tc>
        <w:tc>
          <w:tcPr>
            <w:tcW w:w="1815" w:type="dxa"/>
          </w:tcPr>
          <w:p w14:paraId="7BAC1B88" w14:textId="77777777" w:rsidR="006F6B4B" w:rsidRPr="00D42316" w:rsidRDefault="006F6B4B" w:rsidP="0006358D">
            <w:r w:rsidRPr="00D42316">
              <w:t>Rekabet</w:t>
            </w:r>
          </w:p>
        </w:tc>
        <w:tc>
          <w:tcPr>
            <w:tcW w:w="5287" w:type="dxa"/>
            <w:vMerge/>
          </w:tcPr>
          <w:p w14:paraId="14A936D5" w14:textId="77777777" w:rsidR="006F6B4B" w:rsidRPr="00D42316" w:rsidRDefault="006F6B4B" w:rsidP="0006358D">
            <w:pPr>
              <w:pBdr>
                <w:top w:val="nil"/>
                <w:left w:val="nil"/>
                <w:bottom w:val="nil"/>
                <w:right w:val="nil"/>
                <w:between w:val="nil"/>
              </w:pBdr>
            </w:pPr>
          </w:p>
        </w:tc>
      </w:tr>
      <w:tr w:rsidR="006F6B4B" w:rsidRPr="00D42316" w14:paraId="5CE036A9" w14:textId="77777777" w:rsidTr="002C043E">
        <w:trPr>
          <w:trHeight w:val="2025"/>
        </w:trPr>
        <w:tc>
          <w:tcPr>
            <w:tcW w:w="1960" w:type="dxa"/>
            <w:vMerge/>
          </w:tcPr>
          <w:p w14:paraId="08C73849" w14:textId="77777777" w:rsidR="006F6B4B" w:rsidRPr="00D42316" w:rsidRDefault="006F6B4B" w:rsidP="0006358D">
            <w:pPr>
              <w:pBdr>
                <w:top w:val="nil"/>
                <w:left w:val="nil"/>
                <w:bottom w:val="nil"/>
                <w:right w:val="nil"/>
                <w:between w:val="nil"/>
              </w:pBdr>
            </w:pPr>
          </w:p>
        </w:tc>
        <w:tc>
          <w:tcPr>
            <w:tcW w:w="1815" w:type="dxa"/>
          </w:tcPr>
          <w:p w14:paraId="5DC70F7A" w14:textId="77777777" w:rsidR="006F6B4B" w:rsidRPr="00D42316" w:rsidRDefault="006F6B4B" w:rsidP="0006358D"/>
        </w:tc>
        <w:tc>
          <w:tcPr>
            <w:tcW w:w="5287" w:type="dxa"/>
            <w:vMerge/>
          </w:tcPr>
          <w:p w14:paraId="38A995AF" w14:textId="77777777" w:rsidR="006F6B4B" w:rsidRPr="00D42316" w:rsidRDefault="006F6B4B" w:rsidP="0006358D">
            <w:pPr>
              <w:pBdr>
                <w:top w:val="nil"/>
                <w:left w:val="nil"/>
                <w:bottom w:val="nil"/>
                <w:right w:val="nil"/>
                <w:between w:val="nil"/>
              </w:pBdr>
            </w:pPr>
          </w:p>
        </w:tc>
      </w:tr>
      <w:tr w:rsidR="006F6B4B" w:rsidRPr="00D42316" w14:paraId="05722A56" w14:textId="77777777" w:rsidTr="00B21006">
        <w:trPr>
          <w:trHeight w:val="128"/>
        </w:trPr>
        <w:tc>
          <w:tcPr>
            <w:tcW w:w="1960" w:type="dxa"/>
            <w:vMerge w:val="restart"/>
          </w:tcPr>
          <w:p w14:paraId="209DD44D" w14:textId="77777777" w:rsidR="006F6B4B" w:rsidRPr="00D42316" w:rsidRDefault="006F6B4B" w:rsidP="0006358D">
            <w:r w:rsidRPr="00D42316">
              <w:t>Kurumsallaşma Sorunları</w:t>
            </w:r>
          </w:p>
        </w:tc>
        <w:tc>
          <w:tcPr>
            <w:tcW w:w="1815" w:type="dxa"/>
          </w:tcPr>
          <w:p w14:paraId="61E65ED2" w14:textId="77777777" w:rsidR="006F6B4B" w:rsidRPr="00D42316" w:rsidRDefault="006F6B4B" w:rsidP="0006358D"/>
        </w:tc>
        <w:tc>
          <w:tcPr>
            <w:tcW w:w="5287" w:type="dxa"/>
            <w:vMerge w:val="restart"/>
          </w:tcPr>
          <w:p w14:paraId="5DD077C0" w14:textId="77777777" w:rsidR="006F6B4B" w:rsidRPr="00D42316" w:rsidRDefault="006F6B4B" w:rsidP="0006358D">
            <w:r w:rsidRPr="00D42316">
              <w:t xml:space="preserve">Kadın kooperatiflerinin farklı yönlerinin ve faaliyetlerinin yeterince anlaşılmaması (merkezi hükümet, yerel yönetimler, donörler, yerel </w:t>
            </w:r>
            <w:r w:rsidRPr="00D42316">
              <w:lastRenderedPageBreak/>
              <w:t>paydaşlar, toplumun genelinde farkındalık eksikliği) ve yeterli, ihtiyaca uygun desteklerin olmaması, Gönüllü / uzman/ eğitici / danışman ihtiyacı, Kooperatiflerin ihtiyaçlarını tespit için ulus düzeyinde herhangi bir çalışmanın bulunmaması, eğitici eğitimlerinin (pazarlama, girişimcilik, muhasebe vb.) olmaması, ortaklara gün üzerinden sigorta ödemesi yapılması,</w:t>
            </w:r>
          </w:p>
          <w:p w14:paraId="218EFC4F" w14:textId="77777777" w:rsidR="006F6B4B" w:rsidRPr="00D42316" w:rsidRDefault="006F6B4B" w:rsidP="0006358D"/>
        </w:tc>
      </w:tr>
      <w:tr w:rsidR="006F6B4B" w:rsidRPr="00D42316" w14:paraId="0486D2B3" w14:textId="77777777" w:rsidTr="00B21006">
        <w:trPr>
          <w:trHeight w:val="171"/>
        </w:trPr>
        <w:tc>
          <w:tcPr>
            <w:tcW w:w="1960" w:type="dxa"/>
            <w:vMerge/>
          </w:tcPr>
          <w:p w14:paraId="07CECB3C" w14:textId="77777777" w:rsidR="006F6B4B" w:rsidRPr="00D42316" w:rsidRDefault="006F6B4B" w:rsidP="0006358D">
            <w:pPr>
              <w:pBdr>
                <w:top w:val="nil"/>
                <w:left w:val="nil"/>
                <w:bottom w:val="nil"/>
                <w:right w:val="nil"/>
                <w:between w:val="nil"/>
              </w:pBdr>
            </w:pPr>
          </w:p>
        </w:tc>
        <w:tc>
          <w:tcPr>
            <w:tcW w:w="1815" w:type="dxa"/>
          </w:tcPr>
          <w:p w14:paraId="235773CC" w14:textId="77777777" w:rsidR="006F6B4B" w:rsidRPr="00D42316" w:rsidRDefault="006F6B4B" w:rsidP="0006358D">
            <w:r w:rsidRPr="00D42316">
              <w:t>Tanınırlık ve markalaşma</w:t>
            </w:r>
          </w:p>
        </w:tc>
        <w:tc>
          <w:tcPr>
            <w:tcW w:w="5287" w:type="dxa"/>
            <w:vMerge/>
          </w:tcPr>
          <w:p w14:paraId="6D021905" w14:textId="77777777" w:rsidR="006F6B4B" w:rsidRPr="00D42316" w:rsidRDefault="006F6B4B" w:rsidP="0006358D">
            <w:pPr>
              <w:pBdr>
                <w:top w:val="nil"/>
                <w:left w:val="nil"/>
                <w:bottom w:val="nil"/>
                <w:right w:val="nil"/>
                <w:between w:val="nil"/>
              </w:pBdr>
            </w:pPr>
          </w:p>
        </w:tc>
      </w:tr>
      <w:tr w:rsidR="006F6B4B" w:rsidRPr="00D42316" w14:paraId="5FC32657" w14:textId="77777777" w:rsidTr="002C043E">
        <w:trPr>
          <w:trHeight w:val="1698"/>
        </w:trPr>
        <w:tc>
          <w:tcPr>
            <w:tcW w:w="1960" w:type="dxa"/>
            <w:vMerge/>
          </w:tcPr>
          <w:p w14:paraId="434DD67F" w14:textId="77777777" w:rsidR="006F6B4B" w:rsidRPr="00D42316" w:rsidRDefault="006F6B4B" w:rsidP="0006358D">
            <w:pPr>
              <w:pBdr>
                <w:top w:val="nil"/>
                <w:left w:val="nil"/>
                <w:bottom w:val="nil"/>
                <w:right w:val="nil"/>
                <w:between w:val="nil"/>
              </w:pBdr>
            </w:pPr>
          </w:p>
        </w:tc>
        <w:tc>
          <w:tcPr>
            <w:tcW w:w="1815" w:type="dxa"/>
          </w:tcPr>
          <w:p w14:paraId="1C2AAC31" w14:textId="77777777" w:rsidR="006F6B4B" w:rsidRPr="00D42316" w:rsidRDefault="006F6B4B" w:rsidP="0006358D">
            <w:r w:rsidRPr="00D42316">
              <w:t>Dış paydaşlar</w:t>
            </w:r>
          </w:p>
        </w:tc>
        <w:tc>
          <w:tcPr>
            <w:tcW w:w="5287" w:type="dxa"/>
            <w:vMerge/>
          </w:tcPr>
          <w:p w14:paraId="2C1C966A" w14:textId="77777777" w:rsidR="006F6B4B" w:rsidRPr="00D42316" w:rsidRDefault="006F6B4B" w:rsidP="0006358D">
            <w:pPr>
              <w:pBdr>
                <w:top w:val="nil"/>
                <w:left w:val="nil"/>
                <w:bottom w:val="nil"/>
                <w:right w:val="nil"/>
                <w:between w:val="nil"/>
              </w:pBdr>
            </w:pPr>
          </w:p>
        </w:tc>
      </w:tr>
    </w:tbl>
    <w:p w14:paraId="5CA2BC88" w14:textId="77777777" w:rsidR="006F6B4B" w:rsidRPr="00D42316" w:rsidRDefault="006F6B4B" w:rsidP="0006358D">
      <w:pPr>
        <w:jc w:val="both"/>
      </w:pPr>
      <w:r w:rsidRPr="00D42316">
        <w:t>Kaynak: 2015 KEDV toplantı raporundan faydalanarak yazarlar tarafından oluşturulmuştur.</w:t>
      </w:r>
    </w:p>
    <w:p w14:paraId="6A27A0F2" w14:textId="77777777" w:rsidR="006F6B4B" w:rsidRPr="00D42316" w:rsidRDefault="006F6B4B" w:rsidP="0006358D"/>
    <w:p w14:paraId="0D564134" w14:textId="77777777" w:rsidR="006F6B4B" w:rsidRPr="00D42316" w:rsidRDefault="006F6B4B" w:rsidP="0006358D"/>
    <w:p w14:paraId="02E4A1B3" w14:textId="097AFDD2" w:rsidR="006F6B4B" w:rsidRPr="00D42316" w:rsidRDefault="006F6B4B" w:rsidP="0006358D">
      <w:pPr>
        <w:jc w:val="both"/>
      </w:pPr>
      <w:r w:rsidRPr="00D42316">
        <w:t>2018 yılına gelindiğinde, kadın kooperatiflerine ilişkin ortakların ifade ettiği sorunlara ilişkin temaların yine 2015 yılındakilere benzerlik gösterdiği görülmektedir (KEDV, 2018). 7-9 Mayıs 2017 tarihleri arasında gerçekleştirilen toplantıda 29 ilden, 83 Kadın Kooperatifinden 154 temsilci yer almıştır. Özellikle kırsaldaki kadınların kalkınabilmeleri için kurulmuş olan kooperatiflerin ürün ve hizmetlerini yeterince duyuramıyor olması, ürün satışı yapabilecek alternatif platformlar hakkında bilgi sahibi olunmaması gibi faktörler kadın girişimci kooperatiflerinin bilinirliği yönünde önemli bir engel oluşturmakta bu da kooperatifler finansal durumunu, büyüme ve gelişme potansiyelini ve varlığını tehdit etmektedir. Ortakların piyasaya ilişkin bilgilerinin kısıtlı olması, sermaye erişimine ilişkin kaynaklar hakkında bilgi sahibi olunmaması gibi faktörlerin 2018 yılında da başlıca sorunlardan olduğu anlaşılmaktadır.</w:t>
      </w:r>
    </w:p>
    <w:p w14:paraId="07FD4B62" w14:textId="77777777" w:rsidR="00C87971" w:rsidRPr="00D42316" w:rsidRDefault="00C87971" w:rsidP="0006358D">
      <w:pPr>
        <w:jc w:val="both"/>
      </w:pPr>
    </w:p>
    <w:p w14:paraId="081AE262" w14:textId="7BBB6CE9" w:rsidR="006F6B4B" w:rsidRPr="00714BC1" w:rsidRDefault="006F6B4B" w:rsidP="0006358D">
      <w:pPr>
        <w:rPr>
          <w:b/>
          <w:bCs/>
        </w:rPr>
      </w:pPr>
      <w:r w:rsidRPr="00714BC1">
        <w:rPr>
          <w:b/>
          <w:bCs/>
        </w:rPr>
        <w:t>Kadın Girişim Kooperatiflerinin Temel Etki Alanları</w:t>
      </w:r>
    </w:p>
    <w:p w14:paraId="0A6B7E34" w14:textId="77777777" w:rsidR="006F6B4B" w:rsidRPr="00D42316" w:rsidRDefault="006F6B4B" w:rsidP="0006358D">
      <w:pPr>
        <w:jc w:val="both"/>
      </w:pPr>
      <w:r w:rsidRPr="00D42316">
        <w:t>KEDV organizatörlüğünde gerçekleştirilen toplantıdaki atölye çalışmalarından birinde katılımcılar kadın kooperatifleri olarak yaptıkları çalışmaları, bunların etki ve sonuçlarını öz değerlendirmeye dayalı belirlemiştir (KEDV, 2018). Bu atölye çalışmasındaki katılımcıların öz değerlendirmeleri doğrultusunda, kadın kooperatiflerinin etki alanlarının yoğunlukla ekonomik ve sosyal boyutlar üzerinde odaklandığı görülmektedir. Öz bildirime dayalı bu etkilerin neler olduğu Tablo 7’deki gibidir.</w:t>
      </w:r>
    </w:p>
    <w:p w14:paraId="58D557FF" w14:textId="77777777" w:rsidR="006F6B4B" w:rsidRPr="00D42316" w:rsidRDefault="006F6B4B" w:rsidP="0006358D">
      <w:pPr>
        <w:jc w:val="both"/>
      </w:pPr>
    </w:p>
    <w:p w14:paraId="0B9DB9F1" w14:textId="77777777" w:rsidR="006F6B4B" w:rsidRPr="00D42316" w:rsidRDefault="006F6B4B" w:rsidP="0006358D">
      <w:pPr>
        <w:jc w:val="both"/>
      </w:pPr>
    </w:p>
    <w:p w14:paraId="3CF30008" w14:textId="77777777" w:rsidR="006F6B4B" w:rsidRPr="00D42316" w:rsidRDefault="006F6B4B" w:rsidP="0006358D">
      <w:pPr>
        <w:jc w:val="both"/>
      </w:pPr>
      <w:r w:rsidRPr="00D42316">
        <w:t>Tablo 7. Kadın Kooperatiflerinin Etki Alanları</w:t>
      </w:r>
    </w:p>
    <w:p w14:paraId="5155168F" w14:textId="77777777" w:rsidR="006F6B4B" w:rsidRPr="00D42316" w:rsidRDefault="006F6B4B" w:rsidP="0006358D">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2"/>
        <w:gridCol w:w="4530"/>
      </w:tblGrid>
      <w:tr w:rsidR="006F6B4B" w:rsidRPr="00D42316" w14:paraId="0445BDE6" w14:textId="77777777" w:rsidTr="00B21006">
        <w:tc>
          <w:tcPr>
            <w:tcW w:w="4532" w:type="dxa"/>
          </w:tcPr>
          <w:p w14:paraId="484F5C1E" w14:textId="77777777" w:rsidR="006F6B4B" w:rsidRPr="00D42316" w:rsidRDefault="006F6B4B" w:rsidP="0006358D">
            <w:pPr>
              <w:jc w:val="both"/>
              <w:rPr>
                <w:b/>
              </w:rPr>
            </w:pPr>
            <w:r w:rsidRPr="00D42316">
              <w:rPr>
                <w:b/>
              </w:rPr>
              <w:t>Ekonomik Etki</w:t>
            </w:r>
          </w:p>
        </w:tc>
        <w:tc>
          <w:tcPr>
            <w:tcW w:w="4530" w:type="dxa"/>
          </w:tcPr>
          <w:p w14:paraId="278DC184" w14:textId="77777777" w:rsidR="006F6B4B" w:rsidRPr="00D42316" w:rsidRDefault="006F6B4B" w:rsidP="0006358D">
            <w:pPr>
              <w:jc w:val="both"/>
              <w:rPr>
                <w:b/>
              </w:rPr>
            </w:pPr>
            <w:r w:rsidRPr="00D42316">
              <w:rPr>
                <w:b/>
              </w:rPr>
              <w:t>Sosyal Etki</w:t>
            </w:r>
          </w:p>
        </w:tc>
      </w:tr>
      <w:tr w:rsidR="006F6B4B" w:rsidRPr="00D42316" w14:paraId="0C3D3580" w14:textId="77777777" w:rsidTr="00B21006">
        <w:tc>
          <w:tcPr>
            <w:tcW w:w="4532" w:type="dxa"/>
          </w:tcPr>
          <w:p w14:paraId="0292C4F9" w14:textId="77777777" w:rsidR="006F6B4B" w:rsidRPr="00D42316" w:rsidRDefault="006F6B4B">
            <w:pPr>
              <w:widowControl/>
              <w:numPr>
                <w:ilvl w:val="0"/>
                <w:numId w:val="4"/>
              </w:numPr>
              <w:pBdr>
                <w:top w:val="nil"/>
                <w:left w:val="nil"/>
                <w:bottom w:val="nil"/>
                <w:right w:val="nil"/>
                <w:between w:val="nil"/>
              </w:pBdr>
            </w:pPr>
            <w:r w:rsidRPr="00D42316">
              <w:t>Kadın yoksulluğuna karşı mücadele etme</w:t>
            </w:r>
          </w:p>
          <w:p w14:paraId="539B4292" w14:textId="77777777" w:rsidR="006F6B4B" w:rsidRPr="00D42316" w:rsidRDefault="006F6B4B">
            <w:pPr>
              <w:widowControl/>
              <w:numPr>
                <w:ilvl w:val="0"/>
                <w:numId w:val="4"/>
              </w:numPr>
              <w:pBdr>
                <w:top w:val="nil"/>
                <w:left w:val="nil"/>
                <w:bottom w:val="nil"/>
                <w:right w:val="nil"/>
                <w:between w:val="nil"/>
              </w:pBdr>
            </w:pPr>
            <w:r w:rsidRPr="00D42316">
              <w:t>Yerel ekonomiye katkı</w:t>
            </w:r>
          </w:p>
          <w:p w14:paraId="0655CB23" w14:textId="0F7919F9" w:rsidR="006F6B4B" w:rsidRPr="00D42316" w:rsidRDefault="006F6B4B">
            <w:pPr>
              <w:widowControl/>
              <w:numPr>
                <w:ilvl w:val="0"/>
                <w:numId w:val="4"/>
              </w:numPr>
              <w:pBdr>
                <w:top w:val="nil"/>
                <w:left w:val="nil"/>
                <w:bottom w:val="nil"/>
                <w:right w:val="nil"/>
                <w:between w:val="nil"/>
              </w:pBdr>
            </w:pPr>
            <w:r w:rsidRPr="00D42316">
              <w:t>Kadın üretimine duyulan güven</w:t>
            </w:r>
          </w:p>
          <w:p w14:paraId="245EBE01" w14:textId="33E62FC9" w:rsidR="006F6B4B" w:rsidRPr="00D42316" w:rsidRDefault="006F6B4B">
            <w:pPr>
              <w:widowControl/>
              <w:numPr>
                <w:ilvl w:val="0"/>
                <w:numId w:val="4"/>
              </w:numPr>
              <w:pBdr>
                <w:top w:val="nil"/>
                <w:left w:val="nil"/>
                <w:bottom w:val="nil"/>
                <w:right w:val="nil"/>
                <w:between w:val="nil"/>
              </w:pBdr>
            </w:pPr>
            <w:r w:rsidRPr="00D42316">
              <w:t>Doğal gıda gereksinimini karşılamak</w:t>
            </w:r>
          </w:p>
          <w:p w14:paraId="61AC005B" w14:textId="20C4130E" w:rsidR="006F6B4B" w:rsidRPr="00D42316" w:rsidRDefault="006F6B4B">
            <w:pPr>
              <w:widowControl/>
              <w:numPr>
                <w:ilvl w:val="0"/>
                <w:numId w:val="4"/>
              </w:numPr>
              <w:pBdr>
                <w:top w:val="nil"/>
                <w:left w:val="nil"/>
                <w:bottom w:val="nil"/>
                <w:right w:val="nil"/>
                <w:between w:val="nil"/>
              </w:pBdr>
            </w:pPr>
            <w:r w:rsidRPr="00D42316">
              <w:t>Geleneksel ürünleri yeniden canlandırma</w:t>
            </w:r>
          </w:p>
          <w:p w14:paraId="1E9694A7" w14:textId="1D1BBC2E" w:rsidR="006F6B4B" w:rsidRPr="00D42316" w:rsidRDefault="006F6B4B">
            <w:pPr>
              <w:widowControl/>
              <w:numPr>
                <w:ilvl w:val="0"/>
                <w:numId w:val="4"/>
              </w:numPr>
              <w:pBdr>
                <w:top w:val="nil"/>
                <w:left w:val="nil"/>
                <w:bottom w:val="nil"/>
                <w:right w:val="nil"/>
                <w:between w:val="nil"/>
              </w:pBdr>
            </w:pPr>
            <w:r w:rsidRPr="00D42316">
              <w:t>Yok olmaya yüz tutmuş ürünleri ortaya çıkarma</w:t>
            </w:r>
          </w:p>
          <w:p w14:paraId="11D18C3C" w14:textId="4C0EFE1D" w:rsidR="006F6B4B" w:rsidRPr="00D42316" w:rsidRDefault="006F6B4B">
            <w:pPr>
              <w:widowControl/>
              <w:numPr>
                <w:ilvl w:val="0"/>
                <w:numId w:val="4"/>
              </w:numPr>
              <w:pBdr>
                <w:top w:val="nil"/>
                <w:left w:val="nil"/>
                <w:bottom w:val="nil"/>
                <w:right w:val="nil"/>
                <w:between w:val="nil"/>
              </w:pBdr>
            </w:pPr>
            <w:r w:rsidRPr="00D42316">
              <w:t>Tarıma dayalı ekonomiyi canlandırma (Urla enginarı)</w:t>
            </w:r>
          </w:p>
          <w:p w14:paraId="2EFD8ACD" w14:textId="77777777" w:rsidR="006F6B4B" w:rsidRPr="00D42316" w:rsidRDefault="006F6B4B">
            <w:pPr>
              <w:widowControl/>
              <w:numPr>
                <w:ilvl w:val="0"/>
                <w:numId w:val="4"/>
              </w:numPr>
              <w:pBdr>
                <w:top w:val="nil"/>
                <w:left w:val="nil"/>
                <w:bottom w:val="nil"/>
                <w:right w:val="nil"/>
                <w:between w:val="nil"/>
              </w:pBdr>
            </w:pPr>
            <w:r w:rsidRPr="00D42316">
              <w:lastRenderedPageBreak/>
              <w:t>Bölgede turizm faaliyetlerini canlandırması</w:t>
            </w:r>
          </w:p>
          <w:p w14:paraId="4FC2AC5E" w14:textId="77777777" w:rsidR="006F6B4B" w:rsidRPr="00D42316" w:rsidRDefault="006F6B4B">
            <w:pPr>
              <w:widowControl/>
              <w:numPr>
                <w:ilvl w:val="0"/>
                <w:numId w:val="4"/>
              </w:numPr>
              <w:pBdr>
                <w:top w:val="nil"/>
                <w:left w:val="nil"/>
                <w:bottom w:val="nil"/>
                <w:right w:val="nil"/>
                <w:between w:val="nil"/>
              </w:pBdr>
            </w:pPr>
            <w:r w:rsidRPr="00D42316">
              <w:t>Üretim/pazarlama becerilerinin geliştirilmesi</w:t>
            </w:r>
          </w:p>
          <w:p w14:paraId="7A5B8071" w14:textId="77777777" w:rsidR="006F6B4B" w:rsidRPr="00D42316" w:rsidRDefault="006F6B4B">
            <w:pPr>
              <w:widowControl/>
              <w:numPr>
                <w:ilvl w:val="0"/>
                <w:numId w:val="4"/>
              </w:numPr>
              <w:pBdr>
                <w:top w:val="nil"/>
                <w:left w:val="nil"/>
                <w:bottom w:val="nil"/>
                <w:right w:val="nil"/>
                <w:between w:val="nil"/>
              </w:pBdr>
            </w:pPr>
            <w:r w:rsidRPr="00D42316">
              <w:t>Girişimcilik faaliyetleri ve becerisinin kazandırılması</w:t>
            </w:r>
          </w:p>
        </w:tc>
        <w:tc>
          <w:tcPr>
            <w:tcW w:w="4530" w:type="dxa"/>
          </w:tcPr>
          <w:p w14:paraId="235B5747" w14:textId="77777777" w:rsidR="006F6B4B" w:rsidRPr="00D42316" w:rsidRDefault="006F6B4B">
            <w:pPr>
              <w:widowControl/>
              <w:numPr>
                <w:ilvl w:val="0"/>
                <w:numId w:val="4"/>
              </w:numPr>
              <w:pBdr>
                <w:top w:val="nil"/>
                <w:left w:val="nil"/>
                <w:bottom w:val="nil"/>
                <w:right w:val="nil"/>
                <w:between w:val="nil"/>
              </w:pBdr>
            </w:pPr>
            <w:r w:rsidRPr="00D42316">
              <w:lastRenderedPageBreak/>
              <w:t>Kadına yönelik farkındalık oluşturma</w:t>
            </w:r>
          </w:p>
          <w:p w14:paraId="02300BC0" w14:textId="77777777" w:rsidR="006F6B4B" w:rsidRPr="00D42316" w:rsidRDefault="006F6B4B">
            <w:pPr>
              <w:widowControl/>
              <w:numPr>
                <w:ilvl w:val="0"/>
                <w:numId w:val="4"/>
              </w:numPr>
              <w:pBdr>
                <w:top w:val="nil"/>
                <w:left w:val="nil"/>
                <w:bottom w:val="nil"/>
                <w:right w:val="nil"/>
                <w:between w:val="nil"/>
              </w:pBdr>
            </w:pPr>
            <w:r w:rsidRPr="00D42316">
              <w:t>Yerel düzeydeki kadın sorunlarına farkındalık oluşturması,</w:t>
            </w:r>
          </w:p>
          <w:p w14:paraId="083F66C5" w14:textId="77777777" w:rsidR="006F6B4B" w:rsidRPr="00D42316" w:rsidRDefault="006F6B4B">
            <w:pPr>
              <w:widowControl/>
              <w:numPr>
                <w:ilvl w:val="0"/>
                <w:numId w:val="4"/>
              </w:numPr>
              <w:pBdr>
                <w:top w:val="nil"/>
                <w:left w:val="nil"/>
                <w:bottom w:val="nil"/>
                <w:right w:val="nil"/>
                <w:between w:val="nil"/>
              </w:pBdr>
            </w:pPr>
            <w:r w:rsidRPr="00D42316">
              <w:t>Çocuklarına harçlık verebilen ev kadınları modelini yaygınlaştırması</w:t>
            </w:r>
          </w:p>
          <w:p w14:paraId="035658E2" w14:textId="77777777" w:rsidR="006F6B4B" w:rsidRPr="00D42316" w:rsidRDefault="006F6B4B">
            <w:pPr>
              <w:widowControl/>
              <w:numPr>
                <w:ilvl w:val="0"/>
                <w:numId w:val="4"/>
              </w:numPr>
              <w:pBdr>
                <w:top w:val="nil"/>
                <w:left w:val="nil"/>
                <w:bottom w:val="nil"/>
                <w:right w:val="nil"/>
                <w:between w:val="nil"/>
              </w:pBdr>
            </w:pPr>
            <w:r w:rsidRPr="00D42316">
              <w:t>Toplumsal cinsiyete duyarlılık geliştirmesi</w:t>
            </w:r>
          </w:p>
          <w:p w14:paraId="229C7AE2" w14:textId="77777777" w:rsidR="006F6B4B" w:rsidRPr="00D42316" w:rsidRDefault="006F6B4B">
            <w:pPr>
              <w:widowControl/>
              <w:numPr>
                <w:ilvl w:val="0"/>
                <w:numId w:val="4"/>
              </w:numPr>
              <w:pBdr>
                <w:top w:val="nil"/>
                <w:left w:val="nil"/>
                <w:bottom w:val="nil"/>
                <w:right w:val="nil"/>
                <w:between w:val="nil"/>
              </w:pBdr>
            </w:pPr>
            <w:r w:rsidRPr="00D42316">
              <w:t>Kadınlara ekonomik özgürlük sağlaması</w:t>
            </w:r>
          </w:p>
          <w:p w14:paraId="682301CD" w14:textId="77777777" w:rsidR="006F6B4B" w:rsidRPr="00D42316" w:rsidRDefault="006F6B4B">
            <w:pPr>
              <w:widowControl/>
              <w:numPr>
                <w:ilvl w:val="0"/>
                <w:numId w:val="4"/>
              </w:numPr>
              <w:pBdr>
                <w:top w:val="nil"/>
                <w:left w:val="nil"/>
                <w:bottom w:val="nil"/>
                <w:right w:val="nil"/>
                <w:between w:val="nil"/>
              </w:pBdr>
            </w:pPr>
            <w:r w:rsidRPr="00D42316">
              <w:t>Aile içinde kadına saygının artması</w:t>
            </w:r>
          </w:p>
          <w:p w14:paraId="2208F648" w14:textId="77777777" w:rsidR="006F6B4B" w:rsidRPr="00D42316" w:rsidRDefault="006F6B4B">
            <w:pPr>
              <w:widowControl/>
              <w:numPr>
                <w:ilvl w:val="0"/>
                <w:numId w:val="4"/>
              </w:numPr>
              <w:pBdr>
                <w:top w:val="nil"/>
                <w:left w:val="nil"/>
                <w:bottom w:val="nil"/>
                <w:right w:val="nil"/>
                <w:between w:val="nil"/>
              </w:pBdr>
            </w:pPr>
            <w:r w:rsidRPr="00D42316">
              <w:lastRenderedPageBreak/>
              <w:t>Toplumda ve ailede kadının statüsünün yükseltilmesi</w:t>
            </w:r>
          </w:p>
          <w:p w14:paraId="4CDCF5B5" w14:textId="77777777" w:rsidR="006F6B4B" w:rsidRPr="00D42316" w:rsidRDefault="006F6B4B">
            <w:pPr>
              <w:widowControl/>
              <w:numPr>
                <w:ilvl w:val="0"/>
                <w:numId w:val="4"/>
              </w:numPr>
              <w:pBdr>
                <w:top w:val="nil"/>
                <w:left w:val="nil"/>
                <w:bottom w:val="nil"/>
                <w:right w:val="nil"/>
                <w:between w:val="nil"/>
              </w:pBdr>
            </w:pPr>
            <w:r w:rsidRPr="00D42316">
              <w:t>Kadının kişiliğinin ve sosyal yönünün güçlenmesi</w:t>
            </w:r>
          </w:p>
          <w:p w14:paraId="53CAFA84" w14:textId="77777777" w:rsidR="006F6B4B" w:rsidRPr="00D42316" w:rsidRDefault="006F6B4B">
            <w:pPr>
              <w:widowControl/>
              <w:numPr>
                <w:ilvl w:val="0"/>
                <w:numId w:val="4"/>
              </w:numPr>
              <w:pBdr>
                <w:top w:val="nil"/>
                <w:left w:val="nil"/>
                <w:bottom w:val="nil"/>
                <w:right w:val="nil"/>
                <w:between w:val="nil"/>
              </w:pBdr>
            </w:pPr>
            <w:r w:rsidRPr="00D42316">
              <w:t>Yeni yetişen neslin toplumsal cinsiyet rol ve kalıplarının dışında yetiştirilmesi</w:t>
            </w:r>
          </w:p>
          <w:p w14:paraId="2CF98B05" w14:textId="77777777" w:rsidR="006F6B4B" w:rsidRPr="00D42316" w:rsidRDefault="006F6B4B">
            <w:pPr>
              <w:widowControl/>
              <w:numPr>
                <w:ilvl w:val="0"/>
                <w:numId w:val="4"/>
              </w:numPr>
              <w:pBdr>
                <w:top w:val="nil"/>
                <w:left w:val="nil"/>
                <w:bottom w:val="nil"/>
                <w:right w:val="nil"/>
                <w:between w:val="nil"/>
              </w:pBdr>
            </w:pPr>
            <w:r w:rsidRPr="00D42316">
              <w:t>Dayanışma kültürünün oluşturulması</w:t>
            </w:r>
          </w:p>
          <w:p w14:paraId="7C571C53" w14:textId="77777777" w:rsidR="006F6B4B" w:rsidRPr="00D42316" w:rsidRDefault="006F6B4B">
            <w:pPr>
              <w:widowControl/>
              <w:numPr>
                <w:ilvl w:val="0"/>
                <w:numId w:val="4"/>
              </w:numPr>
              <w:pBdr>
                <w:top w:val="nil"/>
                <w:left w:val="nil"/>
                <w:bottom w:val="nil"/>
                <w:right w:val="nil"/>
                <w:between w:val="nil"/>
              </w:pBdr>
            </w:pPr>
            <w:r w:rsidRPr="00D42316">
              <w:t>Çevresel duyarlılığın yaygınlaştırılması</w:t>
            </w:r>
          </w:p>
          <w:p w14:paraId="34E6905E" w14:textId="77777777" w:rsidR="006F6B4B" w:rsidRPr="00D42316" w:rsidRDefault="006F6B4B">
            <w:pPr>
              <w:widowControl/>
              <w:numPr>
                <w:ilvl w:val="0"/>
                <w:numId w:val="4"/>
              </w:numPr>
              <w:pBdr>
                <w:top w:val="nil"/>
                <w:left w:val="nil"/>
                <w:bottom w:val="nil"/>
                <w:right w:val="nil"/>
                <w:between w:val="nil"/>
              </w:pBdr>
            </w:pPr>
            <w:r w:rsidRPr="00D42316">
              <w:t>Kadın haklarıyla ilgili farkındalık geliştirme</w:t>
            </w:r>
          </w:p>
        </w:tc>
      </w:tr>
    </w:tbl>
    <w:p w14:paraId="233A30B1" w14:textId="77777777" w:rsidR="006F6B4B" w:rsidRPr="00D42316" w:rsidRDefault="006F6B4B" w:rsidP="0006358D">
      <w:pPr>
        <w:jc w:val="both"/>
      </w:pPr>
      <w:r w:rsidRPr="00D42316">
        <w:lastRenderedPageBreak/>
        <w:t>Kaynak: 2018 KEDV toplantı raporundan faydalanarak yazarlar tarafından oluşturulmuştur.</w:t>
      </w:r>
    </w:p>
    <w:p w14:paraId="0A6AAAD4" w14:textId="77777777" w:rsidR="006F6B4B" w:rsidRPr="00D42316" w:rsidRDefault="006F6B4B" w:rsidP="0006358D">
      <w:pPr>
        <w:jc w:val="both"/>
      </w:pPr>
    </w:p>
    <w:p w14:paraId="39284728" w14:textId="77777777" w:rsidR="006F6B4B" w:rsidRPr="00D42316" w:rsidRDefault="006F6B4B" w:rsidP="0006358D">
      <w:pPr>
        <w:jc w:val="both"/>
      </w:pPr>
    </w:p>
    <w:p w14:paraId="593E8F97" w14:textId="77777777" w:rsidR="006F6B4B" w:rsidRPr="00D42316" w:rsidRDefault="006F6B4B" w:rsidP="0006358D">
      <w:pPr>
        <w:jc w:val="both"/>
      </w:pPr>
      <w:r w:rsidRPr="00D42316">
        <w:t>Kuruluş amaçları bakımından değerlendirildiğinde, kadın girişimci kooperatiflerin çoğunlukla kadınların ekonomik ve sosyal yaşama aktif bir biçimde dahil edilmesi motivasyonuna sahip olduğu görülmektedir. Kadınlara istihdam yaratmak, en önemli amaç olarak öne çıkmaktadır (n=%81). Buna bağlı olarak kadınların toplumsal alanda ve aile içinde güçlendirilmesi (n=%79), kadınların sorunlarına ortaklaşa çözüm üretebilmek (n=%56) kadın girişimci kooperatiflerinin temel misyonu ve girişimciler açısından ana motivasyon kaynağı olduğu anlaşılmaktadır. Tablo 8, kadın girişimci kooperatiflerinin diğer kuruluş amaçlarını ayrıntılı bir biçimde göstermektedir.</w:t>
      </w:r>
    </w:p>
    <w:p w14:paraId="2CE3C255" w14:textId="77777777" w:rsidR="006F6B4B" w:rsidRDefault="006F6B4B" w:rsidP="0006358D">
      <w:pPr>
        <w:jc w:val="both"/>
      </w:pPr>
    </w:p>
    <w:p w14:paraId="6AE88221" w14:textId="77777777" w:rsidR="0006358D" w:rsidRPr="00D42316" w:rsidRDefault="0006358D" w:rsidP="0006358D">
      <w:pPr>
        <w:jc w:val="both"/>
      </w:pPr>
    </w:p>
    <w:p w14:paraId="38A2EEED" w14:textId="77777777" w:rsidR="006F6B4B" w:rsidRPr="00D42316" w:rsidRDefault="006F6B4B" w:rsidP="0006358D">
      <w:pPr>
        <w:jc w:val="both"/>
      </w:pPr>
      <w:r w:rsidRPr="00D42316">
        <w:t>Tablo 8. Kadın Kooperatiflerinin Kuruluş Amaçları</w:t>
      </w:r>
    </w:p>
    <w:p w14:paraId="5DB4CED7" w14:textId="77777777" w:rsidR="006F6B4B" w:rsidRPr="00D42316" w:rsidRDefault="006F6B4B" w:rsidP="0006358D">
      <w:pPr>
        <w:jc w:val="both"/>
      </w:pPr>
    </w:p>
    <w:p w14:paraId="7C6FF8A6" w14:textId="77777777" w:rsidR="006F6B4B" w:rsidRPr="00D42316" w:rsidRDefault="006F6B4B" w:rsidP="0006358D">
      <w:pPr>
        <w:jc w:val="both"/>
      </w:pPr>
    </w:p>
    <w:p w14:paraId="6EA303BE" w14:textId="77777777" w:rsidR="006F6B4B" w:rsidRPr="00D42316" w:rsidRDefault="006F6B4B" w:rsidP="0006358D">
      <w:pPr>
        <w:jc w:val="center"/>
      </w:pPr>
      <w:r w:rsidRPr="00D42316">
        <w:rPr>
          <w:noProof/>
        </w:rPr>
        <w:lastRenderedPageBreak/>
        <w:drawing>
          <wp:inline distT="0" distB="0" distL="0" distR="0" wp14:anchorId="325B2A2B" wp14:editId="6E6D8DFB">
            <wp:extent cx="5571663" cy="4982742"/>
            <wp:effectExtent l="0" t="0" r="0" b="0"/>
            <wp:docPr id="1860148535" name="image1.png" descr="metin, ekran görüntüsü, sayı, numara, yazı tipi içeren bir resim&#10;&#10;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1.png" descr="metin, ekran görüntüsü, sayı, numara, yazı tipi içeren bir resim&#10;&#10;Yapay zeka tarafından oluşturulan içerik yanlış olabilir."/>
                    <pic:cNvPicPr preferRelativeResize="0"/>
                  </pic:nvPicPr>
                  <pic:blipFill>
                    <a:blip r:embed="rId131"/>
                    <a:srcRect/>
                    <a:stretch>
                      <a:fillRect/>
                    </a:stretch>
                  </pic:blipFill>
                  <pic:spPr>
                    <a:xfrm>
                      <a:off x="0" y="0"/>
                      <a:ext cx="5571663" cy="4982742"/>
                    </a:xfrm>
                    <a:prstGeom prst="rect">
                      <a:avLst/>
                    </a:prstGeom>
                    <a:ln/>
                  </pic:spPr>
                </pic:pic>
              </a:graphicData>
            </a:graphic>
          </wp:inline>
        </w:drawing>
      </w:r>
    </w:p>
    <w:p w14:paraId="7ED39192" w14:textId="77777777" w:rsidR="006F6B4B" w:rsidRPr="00D42316" w:rsidRDefault="006F6B4B" w:rsidP="0006358D">
      <w:pPr>
        <w:jc w:val="both"/>
      </w:pPr>
    </w:p>
    <w:p w14:paraId="1584907E" w14:textId="77777777" w:rsidR="006F6B4B" w:rsidRPr="00D42316" w:rsidRDefault="006F6B4B" w:rsidP="0006358D">
      <w:pPr>
        <w:jc w:val="both"/>
      </w:pPr>
      <w:r w:rsidRPr="00D42316">
        <w:t xml:space="preserve">Kaynak: </w:t>
      </w:r>
      <w:proofErr w:type="spellStart"/>
      <w:r w:rsidRPr="00D42316">
        <w:t>Duguid</w:t>
      </w:r>
      <w:proofErr w:type="spellEnd"/>
      <w:r w:rsidRPr="00D42316">
        <w:t xml:space="preserve"> vd. (2015). Türkiye’de Kadın Kooperatiflerinin Güncel Durumu</w:t>
      </w:r>
    </w:p>
    <w:p w14:paraId="19A7EE65" w14:textId="77777777" w:rsidR="006F6B4B" w:rsidRPr="00D42316" w:rsidRDefault="006F6B4B" w:rsidP="0006358D">
      <w:pPr>
        <w:jc w:val="both"/>
      </w:pPr>
    </w:p>
    <w:p w14:paraId="5A714A25" w14:textId="76376A5C" w:rsidR="006F6B4B" w:rsidRPr="00D42316" w:rsidRDefault="006F6B4B" w:rsidP="0006358D">
      <w:pPr>
        <w:jc w:val="both"/>
      </w:pPr>
      <w:r w:rsidRPr="00D42316">
        <w:t xml:space="preserve">Son olarak 2024 yılı Ocak-Aralık arasındaki dönemde </w:t>
      </w:r>
      <w:proofErr w:type="spellStart"/>
      <w:r w:rsidRPr="00D42316">
        <w:t>TUİK’in</w:t>
      </w:r>
      <w:proofErr w:type="spellEnd"/>
      <w:r w:rsidRPr="00D42316">
        <w:t xml:space="preserve"> kurulan-kapanan işletme istatistikleri verileri değerlendirildiğinde, bu dönemde farklı faaliyet dallarında toplam 2674 adet kooperatifin kurulduğu ancak bu kooperatifler arasında kadın girişimci kooperatiflerine rastlanmadığı görülmektedir.</w:t>
      </w:r>
    </w:p>
    <w:p w14:paraId="473642C9" w14:textId="77777777" w:rsidR="006F6B4B" w:rsidRPr="00D42316" w:rsidRDefault="006F6B4B" w:rsidP="0006358D">
      <w:pPr>
        <w:jc w:val="both"/>
      </w:pPr>
    </w:p>
    <w:p w14:paraId="07ACEE97" w14:textId="77777777" w:rsidR="006F6B4B" w:rsidRPr="00D42316" w:rsidRDefault="006F6B4B" w:rsidP="0006358D">
      <w:pPr>
        <w:jc w:val="both"/>
      </w:pPr>
      <w:r w:rsidRPr="00D42316">
        <w:rPr>
          <w:b/>
        </w:rPr>
        <w:t>Tablo 5.</w:t>
      </w:r>
      <w:r w:rsidRPr="00D42316">
        <w:t xml:space="preserve"> 2024 Ocak-Aralık Döneminde Kurulan Kooperatiflerin Profili</w:t>
      </w:r>
    </w:p>
    <w:p w14:paraId="1049DAF8" w14:textId="77777777" w:rsidR="006F6B4B" w:rsidRPr="00D42316" w:rsidRDefault="006F6B4B" w:rsidP="0006358D">
      <w:pPr>
        <w:jc w:val="both"/>
      </w:pP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5"/>
        <w:gridCol w:w="1907"/>
      </w:tblGrid>
      <w:tr w:rsidR="006F6B4B" w:rsidRPr="00D42316" w14:paraId="69ED2459" w14:textId="77777777" w:rsidTr="00B21006">
        <w:trPr>
          <w:trHeight w:val="328"/>
          <w:jc w:val="center"/>
        </w:trPr>
        <w:tc>
          <w:tcPr>
            <w:tcW w:w="7155" w:type="dxa"/>
          </w:tcPr>
          <w:p w14:paraId="7C6213D6" w14:textId="77777777" w:rsidR="006F6B4B" w:rsidRPr="00D42316" w:rsidRDefault="006F6B4B" w:rsidP="0006358D">
            <w:pPr>
              <w:jc w:val="both"/>
              <w:rPr>
                <w:b/>
              </w:rPr>
            </w:pPr>
            <w:r w:rsidRPr="00D42316">
              <w:rPr>
                <w:b/>
              </w:rPr>
              <w:t>Kooperatif Tipi</w:t>
            </w:r>
          </w:p>
        </w:tc>
        <w:tc>
          <w:tcPr>
            <w:tcW w:w="1907" w:type="dxa"/>
          </w:tcPr>
          <w:p w14:paraId="599FFE57" w14:textId="77777777" w:rsidR="006F6B4B" w:rsidRPr="00D42316" w:rsidRDefault="006F6B4B" w:rsidP="0006358D">
            <w:pPr>
              <w:jc w:val="both"/>
              <w:rPr>
                <w:b/>
              </w:rPr>
            </w:pPr>
            <w:r w:rsidRPr="00D42316">
              <w:rPr>
                <w:b/>
              </w:rPr>
              <w:t>Toplam</w:t>
            </w:r>
          </w:p>
        </w:tc>
      </w:tr>
      <w:tr w:rsidR="006F6B4B" w:rsidRPr="00D42316" w14:paraId="50E0CD0A" w14:textId="77777777" w:rsidTr="00B21006">
        <w:trPr>
          <w:trHeight w:val="266"/>
          <w:jc w:val="center"/>
        </w:trPr>
        <w:tc>
          <w:tcPr>
            <w:tcW w:w="7155" w:type="dxa"/>
          </w:tcPr>
          <w:p w14:paraId="499854E1" w14:textId="77777777" w:rsidR="006F6B4B" w:rsidRPr="00D42316" w:rsidRDefault="006F6B4B" w:rsidP="0006358D">
            <w:pPr>
              <w:jc w:val="both"/>
            </w:pPr>
            <w:r w:rsidRPr="00D42316">
              <w:t>Konut Yapı Kooperatifi</w:t>
            </w:r>
          </w:p>
        </w:tc>
        <w:tc>
          <w:tcPr>
            <w:tcW w:w="1907" w:type="dxa"/>
          </w:tcPr>
          <w:p w14:paraId="73FD20D0" w14:textId="77777777" w:rsidR="006F6B4B" w:rsidRPr="00D42316" w:rsidRDefault="006F6B4B" w:rsidP="0006358D">
            <w:pPr>
              <w:jc w:val="both"/>
            </w:pPr>
            <w:r w:rsidRPr="00D42316">
              <w:t>1817</w:t>
            </w:r>
          </w:p>
        </w:tc>
      </w:tr>
      <w:tr w:rsidR="006F6B4B" w:rsidRPr="00D42316" w14:paraId="645FA9E0" w14:textId="77777777" w:rsidTr="00B21006">
        <w:trPr>
          <w:trHeight w:val="266"/>
          <w:jc w:val="center"/>
        </w:trPr>
        <w:tc>
          <w:tcPr>
            <w:tcW w:w="7155" w:type="dxa"/>
          </w:tcPr>
          <w:p w14:paraId="5B26CDAD" w14:textId="77777777" w:rsidR="006F6B4B" w:rsidRPr="00D42316" w:rsidRDefault="006F6B4B" w:rsidP="0006358D">
            <w:pPr>
              <w:jc w:val="both"/>
            </w:pPr>
            <w:r w:rsidRPr="00D42316">
              <w:t>İşletme Kooperatifi</w:t>
            </w:r>
          </w:p>
        </w:tc>
        <w:tc>
          <w:tcPr>
            <w:tcW w:w="1907" w:type="dxa"/>
          </w:tcPr>
          <w:p w14:paraId="7AAD45E7" w14:textId="77777777" w:rsidR="006F6B4B" w:rsidRPr="00D42316" w:rsidRDefault="006F6B4B" w:rsidP="0006358D">
            <w:pPr>
              <w:jc w:val="both"/>
            </w:pPr>
            <w:r w:rsidRPr="00D42316">
              <w:t>463</w:t>
            </w:r>
          </w:p>
        </w:tc>
      </w:tr>
      <w:tr w:rsidR="006F6B4B" w:rsidRPr="00D42316" w14:paraId="5ED15AE7" w14:textId="77777777" w:rsidTr="00B21006">
        <w:trPr>
          <w:trHeight w:val="266"/>
          <w:jc w:val="center"/>
        </w:trPr>
        <w:tc>
          <w:tcPr>
            <w:tcW w:w="7155" w:type="dxa"/>
          </w:tcPr>
          <w:p w14:paraId="4504D310" w14:textId="77777777" w:rsidR="006F6B4B" w:rsidRPr="00D42316" w:rsidRDefault="006F6B4B" w:rsidP="0006358D">
            <w:pPr>
              <w:jc w:val="both"/>
            </w:pPr>
            <w:r w:rsidRPr="00D42316">
              <w:t>Turizm Geliştirme Kooperatifi</w:t>
            </w:r>
          </w:p>
        </w:tc>
        <w:tc>
          <w:tcPr>
            <w:tcW w:w="1907" w:type="dxa"/>
          </w:tcPr>
          <w:p w14:paraId="6521DABC" w14:textId="77777777" w:rsidR="006F6B4B" w:rsidRPr="00D42316" w:rsidRDefault="006F6B4B" w:rsidP="0006358D">
            <w:pPr>
              <w:jc w:val="both"/>
            </w:pPr>
            <w:r w:rsidRPr="00D42316">
              <w:t>112</w:t>
            </w:r>
          </w:p>
        </w:tc>
      </w:tr>
      <w:tr w:rsidR="006F6B4B" w:rsidRPr="00D42316" w14:paraId="07490A5F" w14:textId="77777777" w:rsidTr="00B21006">
        <w:trPr>
          <w:trHeight w:val="266"/>
          <w:jc w:val="center"/>
        </w:trPr>
        <w:tc>
          <w:tcPr>
            <w:tcW w:w="7155" w:type="dxa"/>
          </w:tcPr>
          <w:p w14:paraId="20992C62" w14:textId="77777777" w:rsidR="006F6B4B" w:rsidRPr="00D42316" w:rsidRDefault="006F6B4B" w:rsidP="0006358D">
            <w:pPr>
              <w:jc w:val="both"/>
            </w:pPr>
            <w:r w:rsidRPr="00D42316">
              <w:t>Tarımsal Kalkınma Kooperatifi</w:t>
            </w:r>
          </w:p>
        </w:tc>
        <w:tc>
          <w:tcPr>
            <w:tcW w:w="1907" w:type="dxa"/>
          </w:tcPr>
          <w:p w14:paraId="2F4864A0" w14:textId="77777777" w:rsidR="006F6B4B" w:rsidRPr="00D42316" w:rsidRDefault="006F6B4B" w:rsidP="0006358D">
            <w:pPr>
              <w:jc w:val="both"/>
            </w:pPr>
            <w:r w:rsidRPr="00D42316">
              <w:t>90</w:t>
            </w:r>
          </w:p>
        </w:tc>
      </w:tr>
      <w:tr w:rsidR="006F6B4B" w:rsidRPr="00D42316" w14:paraId="0FA93B56" w14:textId="77777777" w:rsidTr="00B21006">
        <w:trPr>
          <w:trHeight w:val="266"/>
          <w:jc w:val="center"/>
        </w:trPr>
        <w:tc>
          <w:tcPr>
            <w:tcW w:w="7155" w:type="dxa"/>
          </w:tcPr>
          <w:p w14:paraId="181F937D" w14:textId="77777777" w:rsidR="006F6B4B" w:rsidRPr="00D42316" w:rsidRDefault="006F6B4B" w:rsidP="0006358D">
            <w:pPr>
              <w:jc w:val="both"/>
            </w:pPr>
            <w:r w:rsidRPr="00D42316">
              <w:t>Motorlu Taşıyıcılar Kooperatifi</w:t>
            </w:r>
          </w:p>
        </w:tc>
        <w:tc>
          <w:tcPr>
            <w:tcW w:w="1907" w:type="dxa"/>
          </w:tcPr>
          <w:p w14:paraId="0E69E600" w14:textId="77777777" w:rsidR="006F6B4B" w:rsidRPr="00D42316" w:rsidRDefault="006F6B4B" w:rsidP="0006358D">
            <w:pPr>
              <w:jc w:val="both"/>
            </w:pPr>
            <w:r w:rsidRPr="00D42316">
              <w:t>83</w:t>
            </w:r>
          </w:p>
        </w:tc>
      </w:tr>
      <w:tr w:rsidR="006F6B4B" w:rsidRPr="00D42316" w14:paraId="00BF225C" w14:textId="77777777" w:rsidTr="00B21006">
        <w:trPr>
          <w:trHeight w:val="266"/>
          <w:jc w:val="center"/>
        </w:trPr>
        <w:tc>
          <w:tcPr>
            <w:tcW w:w="7155" w:type="dxa"/>
          </w:tcPr>
          <w:p w14:paraId="6A560198" w14:textId="77777777" w:rsidR="006F6B4B" w:rsidRPr="00D42316" w:rsidRDefault="006F6B4B" w:rsidP="0006358D">
            <w:pPr>
              <w:jc w:val="both"/>
            </w:pPr>
            <w:r w:rsidRPr="00D42316">
              <w:t>Üretim ve Pazarlama Kooperatifi</w:t>
            </w:r>
          </w:p>
        </w:tc>
        <w:tc>
          <w:tcPr>
            <w:tcW w:w="1907" w:type="dxa"/>
          </w:tcPr>
          <w:p w14:paraId="00881CA2" w14:textId="77777777" w:rsidR="006F6B4B" w:rsidRPr="00D42316" w:rsidRDefault="006F6B4B" w:rsidP="0006358D">
            <w:pPr>
              <w:jc w:val="both"/>
            </w:pPr>
            <w:r w:rsidRPr="00D42316">
              <w:t>29</w:t>
            </w:r>
          </w:p>
        </w:tc>
      </w:tr>
      <w:tr w:rsidR="006F6B4B" w:rsidRPr="00D42316" w14:paraId="0A0325AE" w14:textId="77777777" w:rsidTr="00B21006">
        <w:trPr>
          <w:trHeight w:val="266"/>
          <w:jc w:val="center"/>
        </w:trPr>
        <w:tc>
          <w:tcPr>
            <w:tcW w:w="7155" w:type="dxa"/>
          </w:tcPr>
          <w:p w14:paraId="3F95DD0B" w14:textId="77777777" w:rsidR="006F6B4B" w:rsidRPr="00D42316" w:rsidRDefault="006F6B4B" w:rsidP="0006358D">
            <w:pPr>
              <w:jc w:val="both"/>
            </w:pPr>
            <w:r w:rsidRPr="00D42316">
              <w:t>Tüketim Kooperatifi</w:t>
            </w:r>
          </w:p>
        </w:tc>
        <w:tc>
          <w:tcPr>
            <w:tcW w:w="1907" w:type="dxa"/>
          </w:tcPr>
          <w:p w14:paraId="734DC81E" w14:textId="77777777" w:rsidR="006F6B4B" w:rsidRPr="00D42316" w:rsidRDefault="006F6B4B" w:rsidP="0006358D">
            <w:pPr>
              <w:jc w:val="both"/>
            </w:pPr>
            <w:r w:rsidRPr="00D42316">
              <w:t>26</w:t>
            </w:r>
          </w:p>
        </w:tc>
      </w:tr>
      <w:tr w:rsidR="006F6B4B" w:rsidRPr="00D42316" w14:paraId="328D5B42" w14:textId="77777777" w:rsidTr="00B21006">
        <w:trPr>
          <w:trHeight w:val="266"/>
          <w:jc w:val="center"/>
        </w:trPr>
        <w:tc>
          <w:tcPr>
            <w:tcW w:w="7155" w:type="dxa"/>
          </w:tcPr>
          <w:p w14:paraId="35C94493" w14:textId="77777777" w:rsidR="006F6B4B" w:rsidRPr="00D42316" w:rsidRDefault="006F6B4B" w:rsidP="0006358D">
            <w:pPr>
              <w:jc w:val="both"/>
            </w:pPr>
            <w:r w:rsidRPr="00D42316">
              <w:lastRenderedPageBreak/>
              <w:t>Sulama Kooperatifi</w:t>
            </w:r>
          </w:p>
        </w:tc>
        <w:tc>
          <w:tcPr>
            <w:tcW w:w="1907" w:type="dxa"/>
          </w:tcPr>
          <w:p w14:paraId="0558965F" w14:textId="77777777" w:rsidR="006F6B4B" w:rsidRPr="00D42316" w:rsidRDefault="006F6B4B" w:rsidP="0006358D">
            <w:pPr>
              <w:jc w:val="both"/>
            </w:pPr>
            <w:r w:rsidRPr="00D42316">
              <w:t>13</w:t>
            </w:r>
          </w:p>
        </w:tc>
      </w:tr>
      <w:tr w:rsidR="006F6B4B" w:rsidRPr="00D42316" w14:paraId="1BDEB6ED" w14:textId="77777777" w:rsidTr="00B21006">
        <w:trPr>
          <w:trHeight w:val="266"/>
          <w:jc w:val="center"/>
        </w:trPr>
        <w:tc>
          <w:tcPr>
            <w:tcW w:w="7155" w:type="dxa"/>
          </w:tcPr>
          <w:p w14:paraId="73F2B4E9" w14:textId="77777777" w:rsidR="006F6B4B" w:rsidRPr="00D42316" w:rsidRDefault="006F6B4B" w:rsidP="0006358D">
            <w:pPr>
              <w:jc w:val="both"/>
            </w:pPr>
            <w:r w:rsidRPr="00D42316">
              <w:t>Hizmet Kooperatifi</w:t>
            </w:r>
          </w:p>
        </w:tc>
        <w:tc>
          <w:tcPr>
            <w:tcW w:w="1907" w:type="dxa"/>
          </w:tcPr>
          <w:p w14:paraId="411348DA" w14:textId="77777777" w:rsidR="006F6B4B" w:rsidRPr="00D42316" w:rsidRDefault="006F6B4B" w:rsidP="0006358D">
            <w:pPr>
              <w:jc w:val="both"/>
            </w:pPr>
            <w:r w:rsidRPr="00D42316">
              <w:t>12</w:t>
            </w:r>
          </w:p>
        </w:tc>
      </w:tr>
      <w:tr w:rsidR="006F6B4B" w:rsidRPr="00D42316" w14:paraId="1679FF8B" w14:textId="77777777" w:rsidTr="00B21006">
        <w:trPr>
          <w:trHeight w:val="266"/>
          <w:jc w:val="center"/>
        </w:trPr>
        <w:tc>
          <w:tcPr>
            <w:tcW w:w="7155" w:type="dxa"/>
          </w:tcPr>
          <w:p w14:paraId="4A1C72DF" w14:textId="77777777" w:rsidR="006F6B4B" w:rsidRPr="00D42316" w:rsidRDefault="006F6B4B" w:rsidP="0006358D">
            <w:pPr>
              <w:jc w:val="both"/>
            </w:pPr>
            <w:r w:rsidRPr="00D42316">
              <w:t>Su Ürünleri Kooperatifi</w:t>
            </w:r>
          </w:p>
        </w:tc>
        <w:tc>
          <w:tcPr>
            <w:tcW w:w="1907" w:type="dxa"/>
          </w:tcPr>
          <w:p w14:paraId="406FA782" w14:textId="77777777" w:rsidR="006F6B4B" w:rsidRPr="00D42316" w:rsidRDefault="006F6B4B" w:rsidP="0006358D">
            <w:pPr>
              <w:jc w:val="both"/>
            </w:pPr>
            <w:r w:rsidRPr="00D42316">
              <w:t>9</w:t>
            </w:r>
          </w:p>
        </w:tc>
      </w:tr>
      <w:tr w:rsidR="006F6B4B" w:rsidRPr="00D42316" w14:paraId="59895283" w14:textId="77777777" w:rsidTr="00B21006">
        <w:trPr>
          <w:trHeight w:val="266"/>
          <w:jc w:val="center"/>
        </w:trPr>
        <w:tc>
          <w:tcPr>
            <w:tcW w:w="7155" w:type="dxa"/>
          </w:tcPr>
          <w:p w14:paraId="614D3EC0" w14:textId="77777777" w:rsidR="006F6B4B" w:rsidRPr="00D42316" w:rsidRDefault="006F6B4B" w:rsidP="0006358D">
            <w:pPr>
              <w:jc w:val="both"/>
            </w:pPr>
            <w:r w:rsidRPr="00D42316">
              <w:t>Eğitim/Araştırma ve Geliştirme Kooperatifi</w:t>
            </w:r>
          </w:p>
        </w:tc>
        <w:tc>
          <w:tcPr>
            <w:tcW w:w="1907" w:type="dxa"/>
          </w:tcPr>
          <w:p w14:paraId="6B6D41FC" w14:textId="77777777" w:rsidR="006F6B4B" w:rsidRPr="00D42316" w:rsidRDefault="006F6B4B" w:rsidP="0006358D">
            <w:pPr>
              <w:jc w:val="both"/>
            </w:pPr>
            <w:r w:rsidRPr="00D42316">
              <w:t>6</w:t>
            </w:r>
          </w:p>
        </w:tc>
      </w:tr>
      <w:tr w:rsidR="006F6B4B" w:rsidRPr="00D42316" w14:paraId="235502B8" w14:textId="77777777" w:rsidTr="00B21006">
        <w:trPr>
          <w:trHeight w:val="266"/>
          <w:jc w:val="center"/>
        </w:trPr>
        <w:tc>
          <w:tcPr>
            <w:tcW w:w="7155" w:type="dxa"/>
          </w:tcPr>
          <w:p w14:paraId="042F5013" w14:textId="77777777" w:rsidR="006F6B4B" w:rsidRPr="00D42316" w:rsidRDefault="006F6B4B" w:rsidP="0006358D">
            <w:pPr>
              <w:jc w:val="both"/>
            </w:pPr>
            <w:r w:rsidRPr="00D42316">
              <w:t>Küçük Sanat Kooperatifi</w:t>
            </w:r>
          </w:p>
        </w:tc>
        <w:tc>
          <w:tcPr>
            <w:tcW w:w="1907" w:type="dxa"/>
          </w:tcPr>
          <w:p w14:paraId="261F8C45" w14:textId="77777777" w:rsidR="006F6B4B" w:rsidRPr="00D42316" w:rsidRDefault="006F6B4B" w:rsidP="0006358D">
            <w:pPr>
              <w:jc w:val="both"/>
            </w:pPr>
            <w:r w:rsidRPr="00D42316">
              <w:t>3</w:t>
            </w:r>
          </w:p>
        </w:tc>
      </w:tr>
      <w:tr w:rsidR="006F6B4B" w:rsidRPr="00D42316" w14:paraId="3B99208E" w14:textId="77777777" w:rsidTr="00B21006">
        <w:trPr>
          <w:trHeight w:val="266"/>
          <w:jc w:val="center"/>
        </w:trPr>
        <w:tc>
          <w:tcPr>
            <w:tcW w:w="7155" w:type="dxa"/>
          </w:tcPr>
          <w:p w14:paraId="0F56038B" w14:textId="77777777" w:rsidR="006F6B4B" w:rsidRPr="00D42316" w:rsidRDefault="006F6B4B" w:rsidP="0006358D">
            <w:pPr>
              <w:jc w:val="both"/>
            </w:pPr>
            <w:r w:rsidRPr="00D42316">
              <w:t>Birlikler</w:t>
            </w:r>
          </w:p>
        </w:tc>
        <w:tc>
          <w:tcPr>
            <w:tcW w:w="1907" w:type="dxa"/>
          </w:tcPr>
          <w:p w14:paraId="71D2B5E6" w14:textId="77777777" w:rsidR="006F6B4B" w:rsidRPr="00D42316" w:rsidRDefault="006F6B4B" w:rsidP="0006358D">
            <w:pPr>
              <w:jc w:val="both"/>
            </w:pPr>
            <w:r w:rsidRPr="00D42316">
              <w:t>3</w:t>
            </w:r>
          </w:p>
        </w:tc>
      </w:tr>
      <w:tr w:rsidR="006F6B4B" w:rsidRPr="00D42316" w14:paraId="6B1FB5E5" w14:textId="77777777" w:rsidTr="00B21006">
        <w:trPr>
          <w:trHeight w:val="266"/>
          <w:jc w:val="center"/>
        </w:trPr>
        <w:tc>
          <w:tcPr>
            <w:tcW w:w="7155" w:type="dxa"/>
          </w:tcPr>
          <w:p w14:paraId="7C82C5EB" w14:textId="77777777" w:rsidR="006F6B4B" w:rsidRPr="00D42316" w:rsidRDefault="006F6B4B" w:rsidP="0006358D">
            <w:pPr>
              <w:jc w:val="both"/>
            </w:pPr>
            <w:r w:rsidRPr="00D42316">
              <w:t>Temin Tevzi Kooperatifi</w:t>
            </w:r>
          </w:p>
        </w:tc>
        <w:tc>
          <w:tcPr>
            <w:tcW w:w="1907" w:type="dxa"/>
          </w:tcPr>
          <w:p w14:paraId="3FEFBC83" w14:textId="77777777" w:rsidR="006F6B4B" w:rsidRPr="00D42316" w:rsidRDefault="006F6B4B" w:rsidP="0006358D">
            <w:pPr>
              <w:jc w:val="both"/>
            </w:pPr>
            <w:r w:rsidRPr="00D42316">
              <w:t>2</w:t>
            </w:r>
          </w:p>
        </w:tc>
      </w:tr>
      <w:tr w:rsidR="006F6B4B" w:rsidRPr="00D42316" w14:paraId="4582C14D" w14:textId="77777777" w:rsidTr="00B21006">
        <w:trPr>
          <w:trHeight w:val="266"/>
          <w:jc w:val="center"/>
        </w:trPr>
        <w:tc>
          <w:tcPr>
            <w:tcW w:w="7155" w:type="dxa"/>
          </w:tcPr>
          <w:p w14:paraId="3A91F6E5" w14:textId="77777777" w:rsidR="006F6B4B" w:rsidRPr="00D42316" w:rsidRDefault="006F6B4B" w:rsidP="0006358D">
            <w:pPr>
              <w:jc w:val="both"/>
            </w:pPr>
            <w:r w:rsidRPr="00D42316">
              <w:t>Site İşletme Kooperatifi</w:t>
            </w:r>
          </w:p>
        </w:tc>
        <w:tc>
          <w:tcPr>
            <w:tcW w:w="1907" w:type="dxa"/>
          </w:tcPr>
          <w:p w14:paraId="0CB98DD4" w14:textId="77777777" w:rsidR="006F6B4B" w:rsidRPr="00D42316" w:rsidRDefault="006F6B4B" w:rsidP="0006358D">
            <w:pPr>
              <w:jc w:val="both"/>
            </w:pPr>
            <w:r w:rsidRPr="00D42316">
              <w:t>2</w:t>
            </w:r>
          </w:p>
        </w:tc>
      </w:tr>
      <w:tr w:rsidR="006F6B4B" w:rsidRPr="00D42316" w14:paraId="37253DD8" w14:textId="77777777" w:rsidTr="00B21006">
        <w:trPr>
          <w:trHeight w:val="266"/>
          <w:jc w:val="center"/>
        </w:trPr>
        <w:tc>
          <w:tcPr>
            <w:tcW w:w="7155" w:type="dxa"/>
          </w:tcPr>
          <w:p w14:paraId="443E8528" w14:textId="77777777" w:rsidR="006F6B4B" w:rsidRPr="00D42316" w:rsidRDefault="006F6B4B" w:rsidP="0006358D">
            <w:pPr>
              <w:jc w:val="both"/>
            </w:pPr>
            <w:r w:rsidRPr="00D42316">
              <w:t>Toplu İşyeri Yapı Kooperatifi</w:t>
            </w:r>
          </w:p>
        </w:tc>
        <w:tc>
          <w:tcPr>
            <w:tcW w:w="1907" w:type="dxa"/>
          </w:tcPr>
          <w:p w14:paraId="2D8735BC" w14:textId="77777777" w:rsidR="006F6B4B" w:rsidRPr="00D42316" w:rsidRDefault="006F6B4B" w:rsidP="0006358D">
            <w:pPr>
              <w:jc w:val="both"/>
            </w:pPr>
            <w:r w:rsidRPr="00D42316">
              <w:t>1</w:t>
            </w:r>
          </w:p>
        </w:tc>
      </w:tr>
      <w:tr w:rsidR="006F6B4B" w:rsidRPr="00D42316" w14:paraId="365D1E24" w14:textId="77777777" w:rsidTr="00B21006">
        <w:trPr>
          <w:trHeight w:val="266"/>
          <w:jc w:val="center"/>
        </w:trPr>
        <w:tc>
          <w:tcPr>
            <w:tcW w:w="7155" w:type="dxa"/>
          </w:tcPr>
          <w:p w14:paraId="2AC26B6D" w14:textId="77777777" w:rsidR="006F6B4B" w:rsidRPr="00D42316" w:rsidRDefault="006F6B4B" w:rsidP="0006358D">
            <w:pPr>
              <w:jc w:val="both"/>
            </w:pPr>
            <w:r w:rsidRPr="00D42316">
              <w:t>Esnaf ve Sanatkarları Kefalet Kooperatifi</w:t>
            </w:r>
          </w:p>
        </w:tc>
        <w:tc>
          <w:tcPr>
            <w:tcW w:w="1907" w:type="dxa"/>
          </w:tcPr>
          <w:p w14:paraId="7F9FF3E9" w14:textId="77777777" w:rsidR="006F6B4B" w:rsidRPr="00D42316" w:rsidRDefault="006F6B4B" w:rsidP="0006358D">
            <w:pPr>
              <w:jc w:val="both"/>
            </w:pPr>
            <w:r w:rsidRPr="00D42316">
              <w:t>1</w:t>
            </w:r>
          </w:p>
        </w:tc>
      </w:tr>
      <w:tr w:rsidR="006F6B4B" w:rsidRPr="00D42316" w14:paraId="13655784" w14:textId="77777777" w:rsidTr="00B21006">
        <w:trPr>
          <w:trHeight w:val="266"/>
          <w:jc w:val="center"/>
        </w:trPr>
        <w:tc>
          <w:tcPr>
            <w:tcW w:w="7155" w:type="dxa"/>
          </w:tcPr>
          <w:p w14:paraId="2D5A2585" w14:textId="77777777" w:rsidR="006F6B4B" w:rsidRPr="00D42316" w:rsidRDefault="006F6B4B" w:rsidP="0006358D">
            <w:pPr>
              <w:jc w:val="both"/>
            </w:pPr>
            <w:r w:rsidRPr="00D42316">
              <w:t>Deniz Motorlu Taşıyıcılar Kooperatifi</w:t>
            </w:r>
          </w:p>
        </w:tc>
        <w:tc>
          <w:tcPr>
            <w:tcW w:w="1907" w:type="dxa"/>
          </w:tcPr>
          <w:p w14:paraId="765E1C01" w14:textId="77777777" w:rsidR="006F6B4B" w:rsidRPr="00D42316" w:rsidRDefault="006F6B4B" w:rsidP="0006358D">
            <w:pPr>
              <w:jc w:val="both"/>
            </w:pPr>
            <w:r w:rsidRPr="00D42316">
              <w:t>1</w:t>
            </w:r>
          </w:p>
        </w:tc>
      </w:tr>
      <w:tr w:rsidR="006F6B4B" w:rsidRPr="00D42316" w14:paraId="011F37B6" w14:textId="77777777" w:rsidTr="00B21006">
        <w:trPr>
          <w:trHeight w:val="281"/>
          <w:jc w:val="center"/>
        </w:trPr>
        <w:tc>
          <w:tcPr>
            <w:tcW w:w="7155" w:type="dxa"/>
          </w:tcPr>
          <w:p w14:paraId="31DB0DE3" w14:textId="77777777" w:rsidR="006F6B4B" w:rsidRPr="00D42316" w:rsidRDefault="006F6B4B" w:rsidP="0006358D">
            <w:pPr>
              <w:jc w:val="both"/>
            </w:pPr>
            <w:r w:rsidRPr="00D42316">
              <w:t>Sağlık Hizmetleri Kooperatifi</w:t>
            </w:r>
          </w:p>
        </w:tc>
        <w:tc>
          <w:tcPr>
            <w:tcW w:w="1907" w:type="dxa"/>
          </w:tcPr>
          <w:p w14:paraId="3BB09A60" w14:textId="77777777" w:rsidR="006F6B4B" w:rsidRPr="00D42316" w:rsidRDefault="006F6B4B" w:rsidP="0006358D">
            <w:pPr>
              <w:jc w:val="both"/>
            </w:pPr>
            <w:r w:rsidRPr="00D42316">
              <w:t>1</w:t>
            </w:r>
          </w:p>
        </w:tc>
      </w:tr>
      <w:tr w:rsidR="006F6B4B" w:rsidRPr="00D42316" w14:paraId="58E2C102" w14:textId="77777777" w:rsidTr="00B21006">
        <w:trPr>
          <w:trHeight w:val="281"/>
          <w:jc w:val="center"/>
        </w:trPr>
        <w:tc>
          <w:tcPr>
            <w:tcW w:w="7155" w:type="dxa"/>
          </w:tcPr>
          <w:p w14:paraId="25A8E4A3" w14:textId="77777777" w:rsidR="006F6B4B" w:rsidRPr="00D42316" w:rsidRDefault="006F6B4B" w:rsidP="0006358D">
            <w:pPr>
              <w:jc w:val="both"/>
              <w:rPr>
                <w:b/>
              </w:rPr>
            </w:pPr>
            <w:r w:rsidRPr="00D42316">
              <w:rPr>
                <w:b/>
              </w:rPr>
              <w:t>Toplam</w:t>
            </w:r>
          </w:p>
        </w:tc>
        <w:tc>
          <w:tcPr>
            <w:tcW w:w="1907" w:type="dxa"/>
          </w:tcPr>
          <w:p w14:paraId="5B57F870" w14:textId="77777777" w:rsidR="006F6B4B" w:rsidRPr="00D42316" w:rsidRDefault="006F6B4B" w:rsidP="0006358D">
            <w:pPr>
              <w:jc w:val="both"/>
              <w:rPr>
                <w:b/>
              </w:rPr>
            </w:pPr>
            <w:r w:rsidRPr="00D42316">
              <w:rPr>
                <w:b/>
              </w:rPr>
              <w:t>2.674</w:t>
            </w:r>
          </w:p>
        </w:tc>
      </w:tr>
    </w:tbl>
    <w:p w14:paraId="0E134392" w14:textId="77777777" w:rsidR="006F6B4B" w:rsidRPr="00D42316" w:rsidRDefault="006F6B4B" w:rsidP="0006358D">
      <w:pPr>
        <w:jc w:val="both"/>
      </w:pPr>
      <w:r w:rsidRPr="00D42316">
        <w:t>Kaynak: TUİK Kurulan-Kapanan İşletme İstatistiklerinden Yararlanılarak Oluşturulmuştur.</w:t>
      </w:r>
    </w:p>
    <w:p w14:paraId="5A05A6B8" w14:textId="77777777" w:rsidR="006F6B4B" w:rsidRPr="00D42316" w:rsidRDefault="006F6B4B" w:rsidP="0006358D">
      <w:pPr>
        <w:jc w:val="both"/>
      </w:pPr>
    </w:p>
    <w:p w14:paraId="30DDCF14" w14:textId="604E1EC1" w:rsidR="006F6B4B" w:rsidRPr="00714BC1" w:rsidRDefault="006F6B4B" w:rsidP="0006358D">
      <w:pPr>
        <w:rPr>
          <w:b/>
          <w:bCs/>
        </w:rPr>
      </w:pPr>
      <w:r w:rsidRPr="00714BC1">
        <w:rPr>
          <w:b/>
          <w:bCs/>
        </w:rPr>
        <w:t>Tartışma ve Sonuç</w:t>
      </w:r>
    </w:p>
    <w:p w14:paraId="485DFE3E" w14:textId="46F844BB" w:rsidR="006F6B4B" w:rsidRPr="00D42316" w:rsidRDefault="006F6B4B" w:rsidP="0006358D">
      <w:pPr>
        <w:jc w:val="both"/>
      </w:pPr>
      <w:r w:rsidRPr="00D42316">
        <w:t>Kadın girişimci kooperatiflerinin ekonomik ve sosyal boyutta tartışılmaz etkilerine ve Türkiye’de kooperatifçilik tarihinin köklü geçmişine karşın Türkiye’de kadın kooperatifçiliğinin, sivil toplum kuruluşlarının çabaları ile sınırlı bir varlığa sahip olduğu görülmüştür. 6311 Sayılı kooperatifçilik Kanunu’nda kadın kooperatifçilerinin karşılaştıkları yasal -özellikle tanınırlık- sorunlara karşın yeni düzenlemelerin yapılması, kadın girişimci kooperatiflerinin sürdürülebilirliği açısından önemli görünmektedir. 2025-2029 kooperatifçilik stratejisinde kadın girişim kooperatiflerinin yasal varlıklarına, finansal güçlüklerine, eğitim, bilgi ve deneyim konusundaki açıklarına ilişkin stratejik hedeflerin belirlenerek bunlara ilişkin somut adımların atılması, sürdürülebilir kadın girişimciliği açısından elzemdir. Kooperatif yoluyla örgütlenme, pek çok kadın açısından hayatlarında ilk defa bir gelire ve sosyal güvenceye sahip olmak anlamını taşımaktadır. Kadın kooperatiflerinin, özellikle geleneksel el sanatları, gıda üretimi ve tarım sektörlerinde, kadınların kayıt dışı ekonomik katılımdan kayıtlı ekonomik katılıma geçişinde etkili platformlar olarak hizmet verdiği görülmektedir. Bununla birlikte, pazara erişim, finansal okuryazarlık ve mevzuata uyum alanlarında zorluklar devam etmektedir. Araştırmamız, kooperatif yapılarının sermayeye erişim, pazar ağları ve iş becerilerinin geliştirilmesi gibi kadın girişimciliğinin önündeki yaygın engellerin henüz aşılamadığını ve aşılması üzerine ilgili kuruluşlar tarafından henüz somut adımlar atılmadığını göstermektedir.</w:t>
      </w:r>
    </w:p>
    <w:p w14:paraId="58EF7168" w14:textId="77777777" w:rsidR="006F6B4B" w:rsidRPr="00D42316" w:rsidRDefault="006F6B4B" w:rsidP="0006358D">
      <w:pPr>
        <w:jc w:val="both"/>
      </w:pPr>
    </w:p>
    <w:p w14:paraId="74DE774C" w14:textId="77777777" w:rsidR="006F6B4B" w:rsidRPr="00D42316" w:rsidRDefault="006F6B4B" w:rsidP="0006358D">
      <w:pPr>
        <w:jc w:val="both"/>
      </w:pPr>
      <w:r w:rsidRPr="00D42316">
        <w:t xml:space="preserve">Gelişmekte olan ekonomilerde cinsiyete dayalı girişimcilik modellerinin yaygın etkileri uluslararası literatürde etraflıca tartışılmıştır. Bununla birlikte BM ve Avrupa Komisyonu raporlarının sıklıkla üzerinde durduğu şekilde, kadınların ekonomik ve toplumsal yaşamda görünür olmaları, istihdamdaki paylarının artması ulusun demokratikleşme göstergelerinden en önemlisi olarak işaret edilmektedir. Kadın girişimci kooperatiflerinin gerek girişimci ortakları gerekse yararlanıcı olan kadınları düşündüğümüzde, demokratikleşme düzeyi açısından oynadıkları rol yaşamsaldır. Bu nedenle kadın kooperatiflerinin güçlendirilmesi için ortaya çıkan bir dizi politika belgesi, kurumlar arası protokol, program ve proje bazlı çalışmalar mevzuatın kadın kooperatiflerini güçlendirmeye elverişli hale getirilmesi gereği konusunda ortaklaşmaktadır. Bunun için kadın kooperatifleri ve kooperatifçilikte kadınların durumunu takip etmeye olanak sağlayacak cinsiyet temelinde ayrışmış istatistik veri üretilmesi gerekliliği </w:t>
      </w:r>
      <w:r w:rsidRPr="00D42316">
        <w:lastRenderedPageBreak/>
        <w:t>öncelik talep etmektedir. Diğer taraftan 2025-2029 kooperatifçilik stratejik eylem planı kapsamında oluşturulan stratejik hedeflerin izlenmesi ve mümkünse 2012-2016 stratejik planını da içine alacak şekilde ulaşılması istenen hedefler, hedeflere ulaşılma derecesi ve ulaşılamama nedenlerini analiz eden bir değerlendirme sürecinin başlatılması, kadın kooperatifçiliği noktasında gelinen noktayı analiz edebilmek ve eksikliklere yönelik gerekli yasal/ekonomik/sosyal tedbirlerin alınabilmesi açısından oldukça mühimdir.</w:t>
      </w:r>
    </w:p>
    <w:p w14:paraId="15939A9E" w14:textId="77777777" w:rsidR="006F6B4B" w:rsidRPr="00D42316" w:rsidRDefault="006F6B4B" w:rsidP="0006358D">
      <w:pPr>
        <w:jc w:val="both"/>
      </w:pPr>
    </w:p>
    <w:p w14:paraId="1482A104" w14:textId="3E2C1333" w:rsidR="006F6B4B" w:rsidRPr="00D42316" w:rsidRDefault="006F6B4B" w:rsidP="0006358D">
      <w:pPr>
        <w:jc w:val="both"/>
      </w:pPr>
      <w:r w:rsidRPr="00D42316">
        <w:t>Araştırma kapsamında öne çıkan bir diğer husus, kadın girişimci kooperatiflerinin yürüttükleri faaliyetlerinin çoğunlukla ‘ev eksenli faaliyetler’ olarak değerlendirilen ve ekonomik açıdan yüksek kaldıraç etkisi yaratmayan faaliyetlerden oluştuğu; bundan dolayı kadın girişimci kooperatiflerinin faaliyet bazında kendilerini çeşitlendirmekte güçlükler yaşadığıdır. Daha da önemlisi, kadın girişimci kooperatiflerinin bir taraftan toplumda cinsiyet eşitliği yaratma amacı taşıyorken diğer tarafta yürüttükleri faaliyetlerin çoğunlukla cinsiyetlendirilmiş (geleneksel el sanatları, gıda üretimi, çocuk-hasta-yaşlı bakımı vb.) alanlarda yoğunlaşması, bunun ise toplumda var olan cinsiyet uçurumunu gelecekte daha fazla derinleştirmesi gibi bir riski barındırıyor olmasıdır. Bunun önüne geçilebilmesi için, ülkedeki tüm kooperatiflere cinsiyet dengesi kriterine dayalı olarak bir teşvik sistemi geliştirilmesi; karma ve ana-akım kooperatiflerde kadınların temsilini ve etkinliğini güçlendirebilmek adına politikaların oluşturularak hayata geçirilmesi önerilmektedir. Bu yolla, kadınların sadece ‘kadınlaşmış’, düşük ücretli iş kollarında ve yalnızca kadın kooperatiflerinde bulunması nedeni ile kooperatifçilik hareketi içerisinde toplumsal cinsiyet temelli bir ayrışma yaşanmasının önüne geçilebilecektir. Mevcut durumda bunun önündeki en büyük eksiklikler kadınlara sürdürülebilir enerji, çevre, teknoloji, yazılım, yapay zekâ gibi öne çıkan alanlarda gerekli eğitim alt yapısının oluşturulması, gelecek potansiyeli yüksek olan bu gibi alanlarda mevzuat ve kurumsal destek çalışmalarının geliştirilmesi ve kadın kooperatiflerinin olası sektörel gelişme alanlarının bu yolla analiz edilmesi gerekliliğidir. Son olarak, 2024 yılı boyunca kurulan herhangi bir kadın girişimci kooperatifinin bulunmuyor olmasının nedenleri detaylı olarak analiz edilmeye ihtiyaç duymaktadır. Gelecekte bu odakta yapılacak çalışmaların nedenlere dayalı olarak gerçekleştireceği analizlerin, kadın girişimci kooperatiflerinin sürdürülebilir bir model olarak ulusal ekonomiye ve toplumsal dönüşüme katkı sağlamaya devam edebilmesi ve toplumsal cinsiyet eşitliği temelinde insana yakışır iş ve kadınların güçlendirilmesi projelerinin başarılı olabilmesi yolunda önemli açıklamalar sunacağı düşünülmektedir.</w:t>
      </w:r>
    </w:p>
    <w:p w14:paraId="14D9C8B1" w14:textId="77777777" w:rsidR="006F6B4B" w:rsidRPr="00D42316" w:rsidRDefault="006F6B4B" w:rsidP="0006358D">
      <w:pPr>
        <w:jc w:val="both"/>
      </w:pPr>
    </w:p>
    <w:p w14:paraId="01F4FC28" w14:textId="77777777" w:rsidR="006F6B4B" w:rsidRPr="00D42316" w:rsidRDefault="006F6B4B" w:rsidP="0006358D">
      <w:pPr>
        <w:jc w:val="both"/>
      </w:pPr>
    </w:p>
    <w:p w14:paraId="2E7A3372" w14:textId="69B33649" w:rsidR="006F6B4B" w:rsidRPr="00714BC1" w:rsidRDefault="006F6B4B" w:rsidP="0006358D">
      <w:pPr>
        <w:rPr>
          <w:b/>
          <w:bCs/>
        </w:rPr>
      </w:pPr>
      <w:r w:rsidRPr="00714BC1">
        <w:rPr>
          <w:b/>
          <w:bCs/>
        </w:rPr>
        <w:t>K</w:t>
      </w:r>
      <w:r w:rsidR="002C043E" w:rsidRPr="00714BC1">
        <w:rPr>
          <w:b/>
          <w:bCs/>
        </w:rPr>
        <w:t>aynakça</w:t>
      </w:r>
    </w:p>
    <w:p w14:paraId="211456A3" w14:textId="77777777" w:rsidR="006F6B4B" w:rsidRPr="00D42316" w:rsidRDefault="006F6B4B" w:rsidP="0006358D">
      <w:pPr>
        <w:ind w:left="851" w:hanging="851"/>
        <w:jc w:val="both"/>
      </w:pPr>
    </w:p>
    <w:p w14:paraId="244C7ADE" w14:textId="77777777" w:rsidR="006F6B4B" w:rsidRPr="00D42316" w:rsidRDefault="006F6B4B">
      <w:pPr>
        <w:pStyle w:val="ListeParagraf"/>
        <w:numPr>
          <w:ilvl w:val="0"/>
          <w:numId w:val="7"/>
        </w:numPr>
        <w:jc w:val="both"/>
      </w:pPr>
      <w:proofErr w:type="spellStart"/>
      <w:r w:rsidRPr="00D42316">
        <w:t>Ajates</w:t>
      </w:r>
      <w:proofErr w:type="spellEnd"/>
      <w:r w:rsidRPr="00D42316">
        <w:t xml:space="preserve">, R. (2017). </w:t>
      </w:r>
      <w:proofErr w:type="spellStart"/>
      <w:r w:rsidRPr="00D42316">
        <w:t>Going</w:t>
      </w:r>
      <w:proofErr w:type="spellEnd"/>
      <w:r w:rsidRPr="00D42316">
        <w:t xml:space="preserve"> </w:t>
      </w:r>
      <w:proofErr w:type="spellStart"/>
      <w:r w:rsidRPr="00D42316">
        <w:t>back</w:t>
      </w:r>
      <w:proofErr w:type="spellEnd"/>
      <w:r w:rsidRPr="00D42316">
        <w:t xml:space="preserve"> </w:t>
      </w:r>
      <w:proofErr w:type="spellStart"/>
      <w:r w:rsidRPr="00D42316">
        <w:t>to</w:t>
      </w:r>
      <w:proofErr w:type="spellEnd"/>
      <w:r w:rsidRPr="00D42316">
        <w:t xml:space="preserve"> </w:t>
      </w:r>
      <w:proofErr w:type="spellStart"/>
      <w:r w:rsidRPr="00D42316">
        <w:t>go</w:t>
      </w:r>
      <w:proofErr w:type="spellEnd"/>
      <w:r w:rsidRPr="00D42316">
        <w:t xml:space="preserve"> </w:t>
      </w:r>
      <w:proofErr w:type="spellStart"/>
      <w:r w:rsidRPr="00D42316">
        <w:t>forwards</w:t>
      </w:r>
      <w:proofErr w:type="spellEnd"/>
      <w:r w:rsidRPr="00D42316">
        <w:t xml:space="preserve">? </w:t>
      </w:r>
      <w:proofErr w:type="spellStart"/>
      <w:r w:rsidRPr="00D42316">
        <w:t>From</w:t>
      </w:r>
      <w:proofErr w:type="spellEnd"/>
      <w:r w:rsidRPr="00D42316">
        <w:t xml:space="preserve"> </w:t>
      </w:r>
      <w:proofErr w:type="spellStart"/>
      <w:r w:rsidRPr="00D42316">
        <w:t>multi-stakeholder</w:t>
      </w:r>
      <w:proofErr w:type="spellEnd"/>
      <w:r w:rsidRPr="00D42316">
        <w:t xml:space="preserve"> </w:t>
      </w:r>
      <w:proofErr w:type="spellStart"/>
      <w:r w:rsidRPr="00D42316">
        <w:t>cooperatives</w:t>
      </w:r>
      <w:proofErr w:type="spellEnd"/>
      <w:r w:rsidRPr="00D42316">
        <w:t xml:space="preserve"> </w:t>
      </w:r>
      <w:proofErr w:type="spellStart"/>
      <w:r w:rsidRPr="00D42316">
        <w:t>to</w:t>
      </w:r>
      <w:proofErr w:type="spellEnd"/>
      <w:r w:rsidRPr="00D42316">
        <w:t xml:space="preserve"> </w:t>
      </w:r>
      <w:proofErr w:type="spellStart"/>
      <w:r w:rsidRPr="00D42316">
        <w:t>open</w:t>
      </w:r>
      <w:proofErr w:type="spellEnd"/>
      <w:r w:rsidRPr="00D42316">
        <w:t xml:space="preserve"> </w:t>
      </w:r>
      <w:proofErr w:type="spellStart"/>
      <w:r w:rsidRPr="00D42316">
        <w:t>cooperatives</w:t>
      </w:r>
      <w:proofErr w:type="spellEnd"/>
      <w:r w:rsidRPr="00D42316">
        <w:t xml:space="preserve"> in </w:t>
      </w:r>
      <w:proofErr w:type="spellStart"/>
      <w:r w:rsidRPr="00D42316">
        <w:t>food</w:t>
      </w:r>
      <w:proofErr w:type="spellEnd"/>
      <w:r w:rsidRPr="00D42316">
        <w:t xml:space="preserve"> </w:t>
      </w:r>
      <w:proofErr w:type="spellStart"/>
      <w:r w:rsidRPr="00D42316">
        <w:t>and</w:t>
      </w:r>
      <w:proofErr w:type="spellEnd"/>
      <w:r w:rsidRPr="00D42316">
        <w:t xml:space="preserve"> </w:t>
      </w:r>
      <w:proofErr w:type="spellStart"/>
      <w:r w:rsidRPr="00D42316">
        <w:t>farming</w:t>
      </w:r>
      <w:proofErr w:type="spellEnd"/>
      <w:r w:rsidRPr="00D42316">
        <w:t xml:space="preserve">. </w:t>
      </w:r>
      <w:proofErr w:type="spellStart"/>
      <w:r w:rsidRPr="00D42316">
        <w:t>Journal</w:t>
      </w:r>
      <w:proofErr w:type="spellEnd"/>
      <w:r w:rsidRPr="00D42316">
        <w:t xml:space="preserve"> of </w:t>
      </w:r>
      <w:proofErr w:type="spellStart"/>
      <w:r w:rsidRPr="00D42316">
        <w:t>Rural</w:t>
      </w:r>
      <w:proofErr w:type="spellEnd"/>
      <w:r w:rsidRPr="00D42316">
        <w:t xml:space="preserve"> </w:t>
      </w:r>
      <w:proofErr w:type="spellStart"/>
      <w:r w:rsidRPr="00D42316">
        <w:t>Studies</w:t>
      </w:r>
      <w:proofErr w:type="spellEnd"/>
      <w:r w:rsidRPr="00D42316">
        <w:t>, 53, 278-290. Https://doi.org/10.1016/j.jrurstud.2017.02.018</w:t>
      </w:r>
    </w:p>
    <w:p w14:paraId="25124D59" w14:textId="77777777" w:rsidR="006F6B4B" w:rsidRPr="00D42316" w:rsidRDefault="006F6B4B">
      <w:pPr>
        <w:pStyle w:val="ListeParagraf"/>
        <w:numPr>
          <w:ilvl w:val="0"/>
          <w:numId w:val="7"/>
        </w:numPr>
        <w:jc w:val="both"/>
      </w:pPr>
      <w:proofErr w:type="spellStart"/>
      <w:r w:rsidRPr="00D42316">
        <w:t>Balgah</w:t>
      </w:r>
      <w:proofErr w:type="spellEnd"/>
      <w:r w:rsidRPr="00D42316">
        <w:t xml:space="preserve">, R. (2018). </w:t>
      </w:r>
      <w:proofErr w:type="spellStart"/>
      <w:r w:rsidRPr="00D42316">
        <w:t>Factors</w:t>
      </w:r>
      <w:proofErr w:type="spellEnd"/>
      <w:r w:rsidRPr="00D42316">
        <w:t xml:space="preserve"> </w:t>
      </w:r>
      <w:proofErr w:type="spellStart"/>
      <w:r w:rsidRPr="00D42316">
        <w:t>influencing</w:t>
      </w:r>
      <w:proofErr w:type="spellEnd"/>
      <w:r w:rsidRPr="00D42316">
        <w:t xml:space="preserve"> </w:t>
      </w:r>
      <w:proofErr w:type="spellStart"/>
      <w:r w:rsidRPr="00D42316">
        <w:t>coffee</w:t>
      </w:r>
      <w:proofErr w:type="spellEnd"/>
      <w:r w:rsidRPr="00D42316">
        <w:t xml:space="preserve"> </w:t>
      </w:r>
      <w:proofErr w:type="spellStart"/>
      <w:r w:rsidRPr="00D42316">
        <w:t>farmers</w:t>
      </w:r>
      <w:proofErr w:type="spellEnd"/>
      <w:r w:rsidRPr="00D42316">
        <w:t xml:space="preserve">’ </w:t>
      </w:r>
      <w:proofErr w:type="spellStart"/>
      <w:r w:rsidRPr="00D42316">
        <w:t>decisions</w:t>
      </w:r>
      <w:proofErr w:type="spellEnd"/>
      <w:r w:rsidRPr="00D42316">
        <w:t xml:space="preserve"> </w:t>
      </w:r>
      <w:proofErr w:type="spellStart"/>
      <w:r w:rsidRPr="00D42316">
        <w:t>to</w:t>
      </w:r>
      <w:proofErr w:type="spellEnd"/>
      <w:r w:rsidRPr="00D42316">
        <w:t xml:space="preserve"> </w:t>
      </w:r>
      <w:proofErr w:type="spellStart"/>
      <w:r w:rsidRPr="00D42316">
        <w:t>join</w:t>
      </w:r>
      <w:proofErr w:type="spellEnd"/>
      <w:r w:rsidRPr="00D42316">
        <w:t xml:space="preserve"> </w:t>
      </w:r>
      <w:proofErr w:type="spellStart"/>
      <w:r w:rsidRPr="00D42316">
        <w:t>cooperatives</w:t>
      </w:r>
      <w:proofErr w:type="spellEnd"/>
      <w:r w:rsidRPr="00D42316">
        <w:t xml:space="preserve">. </w:t>
      </w:r>
      <w:proofErr w:type="spellStart"/>
      <w:r w:rsidRPr="00D42316">
        <w:t>Sustainable</w:t>
      </w:r>
      <w:proofErr w:type="spellEnd"/>
      <w:r w:rsidRPr="00D42316">
        <w:t xml:space="preserve"> </w:t>
      </w:r>
      <w:proofErr w:type="spellStart"/>
      <w:r w:rsidRPr="00D42316">
        <w:t>Agriculture</w:t>
      </w:r>
      <w:proofErr w:type="spellEnd"/>
      <w:r w:rsidRPr="00D42316">
        <w:t xml:space="preserve"> </w:t>
      </w:r>
      <w:proofErr w:type="spellStart"/>
      <w:r w:rsidRPr="00D42316">
        <w:t>Research</w:t>
      </w:r>
      <w:proofErr w:type="spellEnd"/>
      <w:r w:rsidRPr="00D42316">
        <w:t xml:space="preserve">, 8(1), 42. </w:t>
      </w:r>
      <w:hyperlink r:id="rId132">
        <w:r w:rsidRPr="00D42316">
          <w:rPr>
            <w:color w:val="467886"/>
            <w:u w:val="single"/>
          </w:rPr>
          <w:t>Https://doi.org/10.5539/sar.v8n1p42</w:t>
        </w:r>
      </w:hyperlink>
    </w:p>
    <w:p w14:paraId="4A2E19BC" w14:textId="77777777" w:rsidR="006F6B4B" w:rsidRPr="00D42316" w:rsidRDefault="006F6B4B">
      <w:pPr>
        <w:pStyle w:val="ListeParagraf"/>
        <w:numPr>
          <w:ilvl w:val="0"/>
          <w:numId w:val="7"/>
        </w:numPr>
        <w:jc w:val="both"/>
      </w:pPr>
      <w:proofErr w:type="spellStart"/>
      <w:r w:rsidRPr="00D42316">
        <w:t>Benería</w:t>
      </w:r>
      <w:proofErr w:type="spellEnd"/>
      <w:r w:rsidRPr="00D42316">
        <w:t xml:space="preserve">, L., </w:t>
      </w:r>
      <w:proofErr w:type="spellStart"/>
      <w:r w:rsidRPr="00D42316">
        <w:t>Berik</w:t>
      </w:r>
      <w:proofErr w:type="spellEnd"/>
      <w:r w:rsidRPr="00D42316">
        <w:t xml:space="preserve">, G., &amp; </w:t>
      </w:r>
      <w:proofErr w:type="spellStart"/>
      <w:r w:rsidRPr="00D42316">
        <w:t>Floro</w:t>
      </w:r>
      <w:proofErr w:type="spellEnd"/>
      <w:r w:rsidRPr="00D42316">
        <w:t xml:space="preserve">, M. S. (2016). </w:t>
      </w:r>
      <w:proofErr w:type="spellStart"/>
      <w:r w:rsidRPr="00D42316">
        <w:t>Paid</w:t>
      </w:r>
      <w:proofErr w:type="spellEnd"/>
      <w:r w:rsidRPr="00D42316">
        <w:t xml:space="preserve"> </w:t>
      </w:r>
      <w:proofErr w:type="spellStart"/>
      <w:r w:rsidRPr="00D42316">
        <w:t>and</w:t>
      </w:r>
      <w:proofErr w:type="spellEnd"/>
      <w:r w:rsidRPr="00D42316">
        <w:t xml:space="preserve"> </w:t>
      </w:r>
      <w:proofErr w:type="spellStart"/>
      <w:r w:rsidRPr="00D42316">
        <w:t>unpaid</w:t>
      </w:r>
      <w:proofErr w:type="spellEnd"/>
      <w:r w:rsidRPr="00D42316">
        <w:t xml:space="preserve"> </w:t>
      </w:r>
      <w:proofErr w:type="spellStart"/>
      <w:r w:rsidRPr="00D42316">
        <w:t>work</w:t>
      </w:r>
      <w:proofErr w:type="spellEnd"/>
      <w:r w:rsidRPr="00D42316">
        <w:t xml:space="preserve">: </w:t>
      </w:r>
      <w:proofErr w:type="spellStart"/>
      <w:r w:rsidRPr="00D42316">
        <w:t>meanings</w:t>
      </w:r>
      <w:proofErr w:type="spellEnd"/>
      <w:r w:rsidRPr="00D42316">
        <w:t xml:space="preserve"> </w:t>
      </w:r>
      <w:proofErr w:type="spellStart"/>
      <w:r w:rsidRPr="00D42316">
        <w:t>and</w:t>
      </w:r>
      <w:proofErr w:type="spellEnd"/>
      <w:r w:rsidRPr="00D42316">
        <w:t xml:space="preserve"> </w:t>
      </w:r>
      <w:proofErr w:type="spellStart"/>
      <w:r w:rsidRPr="00D42316">
        <w:t>debates</w:t>
      </w:r>
      <w:proofErr w:type="spellEnd"/>
      <w:r w:rsidRPr="00D42316">
        <w:t>. </w:t>
      </w:r>
      <w:proofErr w:type="spellStart"/>
      <w:r w:rsidRPr="00D42316">
        <w:rPr>
          <w:i/>
        </w:rPr>
        <w:t>Gender</w:t>
      </w:r>
      <w:proofErr w:type="spellEnd"/>
      <w:r w:rsidRPr="00D42316">
        <w:rPr>
          <w:i/>
        </w:rPr>
        <w:t xml:space="preserve">, Development </w:t>
      </w:r>
      <w:proofErr w:type="spellStart"/>
      <w:r w:rsidRPr="00D42316">
        <w:rPr>
          <w:i/>
        </w:rPr>
        <w:t>and</w:t>
      </w:r>
      <w:proofErr w:type="spellEnd"/>
      <w:r w:rsidRPr="00D42316">
        <w:rPr>
          <w:i/>
        </w:rPr>
        <w:t xml:space="preserve"> </w:t>
      </w:r>
      <w:proofErr w:type="spellStart"/>
      <w:r w:rsidRPr="00D42316">
        <w:rPr>
          <w:i/>
        </w:rPr>
        <w:t>Globalization</w:t>
      </w:r>
      <w:proofErr w:type="spellEnd"/>
      <w:r w:rsidRPr="00D42316">
        <w:rPr>
          <w:i/>
        </w:rPr>
        <w:t xml:space="preserve">: </w:t>
      </w:r>
      <w:proofErr w:type="spellStart"/>
      <w:r w:rsidRPr="00D42316">
        <w:rPr>
          <w:i/>
        </w:rPr>
        <w:t>Economics</w:t>
      </w:r>
      <w:proofErr w:type="spellEnd"/>
      <w:r w:rsidRPr="00D42316">
        <w:rPr>
          <w:i/>
        </w:rPr>
        <w:t xml:space="preserve"> as </w:t>
      </w:r>
      <w:proofErr w:type="spellStart"/>
      <w:r w:rsidRPr="00D42316">
        <w:rPr>
          <w:i/>
        </w:rPr>
        <w:t>if</w:t>
      </w:r>
      <w:proofErr w:type="spellEnd"/>
      <w:r w:rsidRPr="00D42316">
        <w:rPr>
          <w:i/>
        </w:rPr>
        <w:t xml:space="preserve"> </w:t>
      </w:r>
      <w:proofErr w:type="spellStart"/>
      <w:r w:rsidRPr="00D42316">
        <w:rPr>
          <w:i/>
        </w:rPr>
        <w:t>All</w:t>
      </w:r>
      <w:proofErr w:type="spellEnd"/>
      <w:r w:rsidRPr="00D42316">
        <w:rPr>
          <w:i/>
        </w:rPr>
        <w:t xml:space="preserve"> People </w:t>
      </w:r>
      <w:proofErr w:type="spellStart"/>
      <w:r w:rsidRPr="00D42316">
        <w:rPr>
          <w:i/>
        </w:rPr>
        <w:t>Mattered</w:t>
      </w:r>
      <w:proofErr w:type="spellEnd"/>
      <w:r w:rsidRPr="00D42316">
        <w:rPr>
          <w:i/>
        </w:rPr>
        <w:t xml:space="preserve">, New York: </w:t>
      </w:r>
      <w:proofErr w:type="spellStart"/>
      <w:r w:rsidRPr="00D42316">
        <w:rPr>
          <w:i/>
        </w:rPr>
        <w:t>Routledge</w:t>
      </w:r>
      <w:proofErr w:type="spellEnd"/>
      <w:r w:rsidRPr="00D42316">
        <w:t>, 179-226.</w:t>
      </w:r>
    </w:p>
    <w:p w14:paraId="659E294C" w14:textId="77777777" w:rsidR="006F6B4B" w:rsidRPr="00D42316" w:rsidRDefault="006F6B4B">
      <w:pPr>
        <w:pStyle w:val="ListeParagraf"/>
        <w:numPr>
          <w:ilvl w:val="0"/>
          <w:numId w:val="7"/>
        </w:numPr>
        <w:jc w:val="both"/>
      </w:pPr>
      <w:proofErr w:type="spellStart"/>
      <w:r w:rsidRPr="00D42316">
        <w:t>Bhatt</w:t>
      </w:r>
      <w:proofErr w:type="spellEnd"/>
      <w:r w:rsidRPr="00D42316">
        <w:t xml:space="preserve">, A., &amp; </w:t>
      </w:r>
      <w:proofErr w:type="spellStart"/>
      <w:r w:rsidRPr="00D42316">
        <w:t>Bhatt</w:t>
      </w:r>
      <w:proofErr w:type="spellEnd"/>
      <w:r w:rsidRPr="00D42316">
        <w:t xml:space="preserve">, S. (2016). </w:t>
      </w:r>
      <w:proofErr w:type="spellStart"/>
      <w:r w:rsidRPr="00D42316">
        <w:t>Microfinancing</w:t>
      </w:r>
      <w:proofErr w:type="spellEnd"/>
      <w:r w:rsidRPr="00D42316">
        <w:t xml:space="preserve"> </w:t>
      </w:r>
      <w:proofErr w:type="spellStart"/>
      <w:r w:rsidRPr="00D42316">
        <w:t>with</w:t>
      </w:r>
      <w:proofErr w:type="spellEnd"/>
      <w:r w:rsidRPr="00D42316">
        <w:t xml:space="preserve"> SEWA Bank: </w:t>
      </w:r>
      <w:proofErr w:type="spellStart"/>
      <w:r w:rsidRPr="00D42316">
        <w:t>Bringing</w:t>
      </w:r>
      <w:proofErr w:type="spellEnd"/>
      <w:r w:rsidRPr="00D42316">
        <w:t xml:space="preserve"> </w:t>
      </w:r>
      <w:proofErr w:type="spellStart"/>
      <w:r w:rsidRPr="00D42316">
        <w:t>Women</w:t>
      </w:r>
      <w:proofErr w:type="spellEnd"/>
      <w:r w:rsidRPr="00D42316">
        <w:t xml:space="preserve"> </w:t>
      </w:r>
      <w:proofErr w:type="spellStart"/>
      <w:r w:rsidRPr="00D42316">
        <w:t>to</w:t>
      </w:r>
      <w:proofErr w:type="spellEnd"/>
      <w:r w:rsidRPr="00D42316">
        <w:t xml:space="preserve"> </w:t>
      </w:r>
      <w:proofErr w:type="spellStart"/>
      <w:r w:rsidRPr="00D42316">
        <w:t>the</w:t>
      </w:r>
      <w:proofErr w:type="spellEnd"/>
      <w:r w:rsidRPr="00D42316">
        <w:t xml:space="preserve"> </w:t>
      </w:r>
      <w:proofErr w:type="spellStart"/>
      <w:r w:rsidRPr="00D42316">
        <w:t>Mainstream</w:t>
      </w:r>
      <w:proofErr w:type="spellEnd"/>
      <w:r w:rsidRPr="00D42316">
        <w:t xml:space="preserve"> </w:t>
      </w:r>
      <w:proofErr w:type="spellStart"/>
      <w:r w:rsidRPr="00D42316">
        <w:t>Economy</w:t>
      </w:r>
      <w:proofErr w:type="spellEnd"/>
      <w:r w:rsidRPr="00D42316">
        <w:t>. </w:t>
      </w:r>
      <w:proofErr w:type="spellStart"/>
      <w:r w:rsidRPr="00D42316">
        <w:rPr>
          <w:i/>
        </w:rPr>
        <w:t>Amity</w:t>
      </w:r>
      <w:proofErr w:type="spellEnd"/>
      <w:r w:rsidRPr="00D42316">
        <w:rPr>
          <w:i/>
        </w:rPr>
        <w:t xml:space="preserve"> Business </w:t>
      </w:r>
      <w:proofErr w:type="spellStart"/>
      <w:r w:rsidRPr="00D42316">
        <w:rPr>
          <w:i/>
        </w:rPr>
        <w:t>Review</w:t>
      </w:r>
      <w:proofErr w:type="spellEnd"/>
      <w:r w:rsidRPr="00D42316">
        <w:t>, </w:t>
      </w:r>
      <w:r w:rsidRPr="00D42316">
        <w:rPr>
          <w:i/>
        </w:rPr>
        <w:t>17</w:t>
      </w:r>
      <w:r w:rsidRPr="00D42316">
        <w:t>(1).</w:t>
      </w:r>
    </w:p>
    <w:p w14:paraId="7FA326F1" w14:textId="77777777" w:rsidR="006F6B4B" w:rsidRPr="00D42316" w:rsidRDefault="006F6B4B">
      <w:pPr>
        <w:pStyle w:val="ListeParagraf"/>
        <w:numPr>
          <w:ilvl w:val="0"/>
          <w:numId w:val="7"/>
        </w:numPr>
        <w:jc w:val="both"/>
      </w:pPr>
      <w:proofErr w:type="spellStart"/>
      <w:r w:rsidRPr="00D42316">
        <w:t>Bianchi</w:t>
      </w:r>
      <w:proofErr w:type="spellEnd"/>
      <w:r w:rsidRPr="00D42316">
        <w:t xml:space="preserve">, M. (2021). </w:t>
      </w:r>
      <w:proofErr w:type="spellStart"/>
      <w:r w:rsidRPr="00D42316">
        <w:t>The</w:t>
      </w:r>
      <w:proofErr w:type="spellEnd"/>
      <w:r w:rsidRPr="00D42316">
        <w:t xml:space="preserve"> </w:t>
      </w:r>
      <w:proofErr w:type="spellStart"/>
      <w:r w:rsidRPr="00D42316">
        <w:t>social</w:t>
      </w:r>
      <w:proofErr w:type="spellEnd"/>
      <w:r w:rsidRPr="00D42316">
        <w:t xml:space="preserve"> </w:t>
      </w:r>
      <w:proofErr w:type="spellStart"/>
      <w:r w:rsidRPr="00D42316">
        <w:t>composition</w:t>
      </w:r>
      <w:proofErr w:type="spellEnd"/>
      <w:r w:rsidRPr="00D42316">
        <w:t xml:space="preserve"> of </w:t>
      </w:r>
      <w:proofErr w:type="spellStart"/>
      <w:r w:rsidRPr="00D42316">
        <w:t>italian</w:t>
      </w:r>
      <w:proofErr w:type="spellEnd"/>
      <w:r w:rsidRPr="00D42316">
        <w:t xml:space="preserve"> </w:t>
      </w:r>
      <w:proofErr w:type="spellStart"/>
      <w:r w:rsidRPr="00D42316">
        <w:t>co-operatives</w:t>
      </w:r>
      <w:proofErr w:type="spellEnd"/>
      <w:r w:rsidRPr="00D42316">
        <w:t xml:space="preserve">: </w:t>
      </w:r>
      <w:proofErr w:type="spellStart"/>
      <w:r w:rsidRPr="00D42316">
        <w:t>historical</w:t>
      </w:r>
      <w:proofErr w:type="spellEnd"/>
      <w:r w:rsidRPr="00D42316">
        <w:t xml:space="preserve"> </w:t>
      </w:r>
      <w:proofErr w:type="spellStart"/>
      <w:r w:rsidRPr="00D42316">
        <w:t>evolution</w:t>
      </w:r>
      <w:proofErr w:type="spellEnd"/>
      <w:r w:rsidRPr="00D42316">
        <w:t xml:space="preserve"> </w:t>
      </w:r>
      <w:proofErr w:type="spellStart"/>
      <w:r w:rsidRPr="00D42316">
        <w:lastRenderedPageBreak/>
        <w:t>and</w:t>
      </w:r>
      <w:proofErr w:type="spellEnd"/>
      <w:r w:rsidRPr="00D42316">
        <w:t xml:space="preserve"> </w:t>
      </w:r>
      <w:proofErr w:type="spellStart"/>
      <w:r w:rsidRPr="00D42316">
        <w:t>analysis</w:t>
      </w:r>
      <w:proofErr w:type="spellEnd"/>
      <w:r w:rsidRPr="00D42316">
        <w:t xml:space="preserve"> of </w:t>
      </w:r>
      <w:proofErr w:type="spellStart"/>
      <w:r w:rsidRPr="00D42316">
        <w:t>political</w:t>
      </w:r>
      <w:proofErr w:type="spellEnd"/>
      <w:r w:rsidRPr="00D42316">
        <w:t xml:space="preserve"> </w:t>
      </w:r>
      <w:proofErr w:type="spellStart"/>
      <w:r w:rsidRPr="00D42316">
        <w:t>and</w:t>
      </w:r>
      <w:proofErr w:type="spellEnd"/>
      <w:r w:rsidRPr="00D42316">
        <w:t xml:space="preserve"> </w:t>
      </w:r>
      <w:proofErr w:type="spellStart"/>
      <w:r w:rsidRPr="00D42316">
        <w:t>economic</w:t>
      </w:r>
      <w:proofErr w:type="spellEnd"/>
      <w:r w:rsidRPr="00D42316">
        <w:t xml:space="preserve"> </w:t>
      </w:r>
      <w:proofErr w:type="spellStart"/>
      <w:r w:rsidRPr="00D42316">
        <w:t>reasons</w:t>
      </w:r>
      <w:proofErr w:type="spellEnd"/>
      <w:r w:rsidRPr="00D42316">
        <w:t>. </w:t>
      </w:r>
      <w:proofErr w:type="spellStart"/>
      <w:r w:rsidRPr="00D42316">
        <w:rPr>
          <w:i/>
        </w:rPr>
        <w:t>The</w:t>
      </w:r>
      <w:proofErr w:type="spellEnd"/>
      <w:r w:rsidRPr="00D42316">
        <w:rPr>
          <w:i/>
        </w:rPr>
        <w:t xml:space="preserve"> </w:t>
      </w:r>
      <w:proofErr w:type="spellStart"/>
      <w:r w:rsidRPr="00D42316">
        <w:rPr>
          <w:i/>
        </w:rPr>
        <w:t>Journal</w:t>
      </w:r>
      <w:proofErr w:type="spellEnd"/>
      <w:r w:rsidRPr="00D42316">
        <w:rPr>
          <w:i/>
        </w:rPr>
        <w:t xml:space="preserve"> of </w:t>
      </w:r>
      <w:proofErr w:type="spellStart"/>
      <w:r w:rsidRPr="00D42316">
        <w:rPr>
          <w:i/>
        </w:rPr>
        <w:t>European</w:t>
      </w:r>
      <w:proofErr w:type="spellEnd"/>
      <w:r w:rsidRPr="00D42316">
        <w:rPr>
          <w:i/>
        </w:rPr>
        <w:t xml:space="preserve"> </w:t>
      </w:r>
      <w:proofErr w:type="spellStart"/>
      <w:r w:rsidRPr="00D42316">
        <w:rPr>
          <w:i/>
        </w:rPr>
        <w:t>Economic</w:t>
      </w:r>
      <w:proofErr w:type="spellEnd"/>
      <w:r w:rsidRPr="00D42316">
        <w:rPr>
          <w:i/>
        </w:rPr>
        <w:t xml:space="preserve"> </w:t>
      </w:r>
      <w:proofErr w:type="spellStart"/>
      <w:r w:rsidRPr="00D42316">
        <w:rPr>
          <w:i/>
        </w:rPr>
        <w:t>History</w:t>
      </w:r>
      <w:proofErr w:type="spellEnd"/>
      <w:r w:rsidRPr="00D42316">
        <w:t>, </w:t>
      </w:r>
      <w:r w:rsidRPr="00D42316">
        <w:rPr>
          <w:i/>
        </w:rPr>
        <w:t>50</w:t>
      </w:r>
      <w:r w:rsidRPr="00D42316">
        <w:t>(2), 121-149.</w:t>
      </w:r>
    </w:p>
    <w:p w14:paraId="3119DFB1" w14:textId="77777777" w:rsidR="006F6B4B" w:rsidRPr="00D42316" w:rsidRDefault="006F6B4B">
      <w:pPr>
        <w:pStyle w:val="ListeParagraf"/>
        <w:numPr>
          <w:ilvl w:val="0"/>
          <w:numId w:val="7"/>
        </w:numPr>
        <w:jc w:val="both"/>
      </w:pPr>
      <w:proofErr w:type="spellStart"/>
      <w:r w:rsidRPr="00D42316">
        <w:t>Bijman</w:t>
      </w:r>
      <w:proofErr w:type="spellEnd"/>
      <w:r w:rsidRPr="00D42316">
        <w:t xml:space="preserve">, J., &amp; </w:t>
      </w:r>
      <w:proofErr w:type="spellStart"/>
      <w:r w:rsidRPr="00D42316">
        <w:t>Iliopoulos</w:t>
      </w:r>
      <w:proofErr w:type="spellEnd"/>
      <w:r w:rsidRPr="00D42316">
        <w:t xml:space="preserve">, C. (2014). </w:t>
      </w:r>
      <w:proofErr w:type="spellStart"/>
      <w:r w:rsidRPr="00D42316">
        <w:t>Farmers’cooperatıves</w:t>
      </w:r>
      <w:proofErr w:type="spellEnd"/>
      <w:r w:rsidRPr="00D42316">
        <w:t xml:space="preserve"> in </w:t>
      </w:r>
      <w:proofErr w:type="spellStart"/>
      <w:r w:rsidRPr="00D42316">
        <w:t>The</w:t>
      </w:r>
      <w:proofErr w:type="spellEnd"/>
      <w:r w:rsidRPr="00D42316">
        <w:t xml:space="preserve"> EU: </w:t>
      </w:r>
      <w:proofErr w:type="spellStart"/>
      <w:r w:rsidRPr="00D42316">
        <w:t>Policies</w:t>
      </w:r>
      <w:proofErr w:type="spellEnd"/>
      <w:r w:rsidRPr="00D42316">
        <w:t xml:space="preserve">, </w:t>
      </w:r>
      <w:proofErr w:type="spellStart"/>
      <w:r w:rsidRPr="00D42316">
        <w:t>Strategies</w:t>
      </w:r>
      <w:proofErr w:type="spellEnd"/>
      <w:r w:rsidRPr="00D42316">
        <w:t xml:space="preserve">, </w:t>
      </w:r>
      <w:proofErr w:type="spellStart"/>
      <w:r w:rsidRPr="00D42316">
        <w:t>and</w:t>
      </w:r>
      <w:proofErr w:type="spellEnd"/>
      <w:r w:rsidRPr="00D42316">
        <w:t xml:space="preserve"> </w:t>
      </w:r>
      <w:proofErr w:type="spellStart"/>
      <w:r w:rsidRPr="00D42316">
        <w:t>Organization</w:t>
      </w:r>
      <w:proofErr w:type="spellEnd"/>
      <w:r w:rsidRPr="00D42316">
        <w:t>. </w:t>
      </w:r>
      <w:proofErr w:type="spellStart"/>
      <w:r w:rsidRPr="00D42316">
        <w:rPr>
          <w:i/>
        </w:rPr>
        <w:t>Annals</w:t>
      </w:r>
      <w:proofErr w:type="spellEnd"/>
      <w:r w:rsidRPr="00D42316">
        <w:rPr>
          <w:i/>
        </w:rPr>
        <w:t xml:space="preserve"> of </w:t>
      </w:r>
      <w:proofErr w:type="spellStart"/>
      <w:r w:rsidRPr="00D42316">
        <w:rPr>
          <w:i/>
        </w:rPr>
        <w:t>Public</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Cooperative</w:t>
      </w:r>
      <w:proofErr w:type="spellEnd"/>
      <w:r w:rsidRPr="00D42316">
        <w:rPr>
          <w:i/>
        </w:rPr>
        <w:t xml:space="preserve"> </w:t>
      </w:r>
      <w:proofErr w:type="spellStart"/>
      <w:r w:rsidRPr="00D42316">
        <w:rPr>
          <w:i/>
        </w:rPr>
        <w:t>Economics</w:t>
      </w:r>
      <w:proofErr w:type="spellEnd"/>
      <w:r w:rsidRPr="00D42316">
        <w:t>, </w:t>
      </w:r>
      <w:r w:rsidRPr="00D42316">
        <w:rPr>
          <w:i/>
        </w:rPr>
        <w:t>85</w:t>
      </w:r>
      <w:r w:rsidRPr="00D42316">
        <w:t>(4), 497-508.</w:t>
      </w:r>
    </w:p>
    <w:p w14:paraId="48A7519B" w14:textId="77777777" w:rsidR="006F6B4B" w:rsidRPr="00D42316" w:rsidRDefault="006F6B4B">
      <w:pPr>
        <w:pStyle w:val="ListeParagraf"/>
        <w:numPr>
          <w:ilvl w:val="0"/>
          <w:numId w:val="7"/>
        </w:numPr>
        <w:jc w:val="both"/>
      </w:pPr>
      <w:proofErr w:type="spellStart"/>
      <w:r w:rsidRPr="00D42316">
        <w:t>Billiet</w:t>
      </w:r>
      <w:proofErr w:type="spellEnd"/>
      <w:r w:rsidRPr="00D42316">
        <w:t xml:space="preserve">, A., </w:t>
      </w:r>
      <w:proofErr w:type="spellStart"/>
      <w:r w:rsidRPr="00D42316">
        <w:t>Dufays</w:t>
      </w:r>
      <w:proofErr w:type="spellEnd"/>
      <w:r w:rsidRPr="00D42316">
        <w:t xml:space="preserve">, F., </w:t>
      </w:r>
      <w:proofErr w:type="spellStart"/>
      <w:r w:rsidRPr="00D42316">
        <w:t>Friedel</w:t>
      </w:r>
      <w:proofErr w:type="spellEnd"/>
      <w:r w:rsidRPr="00D42316">
        <w:t xml:space="preserve">, S., &amp; </w:t>
      </w:r>
      <w:proofErr w:type="spellStart"/>
      <w:r w:rsidRPr="00D42316">
        <w:t>Staessens</w:t>
      </w:r>
      <w:proofErr w:type="spellEnd"/>
      <w:r w:rsidRPr="00D42316">
        <w:t xml:space="preserve">, M. (2021). </w:t>
      </w:r>
      <w:proofErr w:type="spellStart"/>
      <w:r w:rsidRPr="00D42316">
        <w:t>The</w:t>
      </w:r>
      <w:proofErr w:type="spellEnd"/>
      <w:r w:rsidRPr="00D42316">
        <w:t xml:space="preserve"> </w:t>
      </w:r>
      <w:proofErr w:type="spellStart"/>
      <w:r w:rsidRPr="00D42316">
        <w:t>resilience</w:t>
      </w:r>
      <w:proofErr w:type="spellEnd"/>
      <w:r w:rsidRPr="00D42316">
        <w:t xml:space="preserve"> of </w:t>
      </w:r>
      <w:proofErr w:type="spellStart"/>
      <w:r w:rsidRPr="00D42316">
        <w:t>the</w:t>
      </w:r>
      <w:proofErr w:type="spellEnd"/>
      <w:r w:rsidRPr="00D42316">
        <w:t xml:space="preserve"> </w:t>
      </w:r>
      <w:proofErr w:type="spellStart"/>
      <w:r w:rsidRPr="00D42316">
        <w:t>cooperative</w:t>
      </w:r>
      <w:proofErr w:type="spellEnd"/>
      <w:r w:rsidRPr="00D42316">
        <w:t xml:space="preserve"> model: how do </w:t>
      </w:r>
      <w:proofErr w:type="spellStart"/>
      <w:r w:rsidRPr="00D42316">
        <w:t>cooperatives</w:t>
      </w:r>
      <w:proofErr w:type="spellEnd"/>
      <w:r w:rsidRPr="00D42316">
        <w:t xml:space="preserve"> </w:t>
      </w:r>
      <w:proofErr w:type="spellStart"/>
      <w:r w:rsidRPr="00D42316">
        <w:t>deal</w:t>
      </w:r>
      <w:proofErr w:type="spellEnd"/>
      <w:r w:rsidRPr="00D42316">
        <w:t xml:space="preserve"> </w:t>
      </w:r>
      <w:proofErr w:type="spellStart"/>
      <w:r w:rsidRPr="00D42316">
        <w:t>with</w:t>
      </w:r>
      <w:proofErr w:type="spellEnd"/>
      <w:r w:rsidRPr="00D42316">
        <w:t xml:space="preserve"> </w:t>
      </w:r>
      <w:proofErr w:type="spellStart"/>
      <w:r w:rsidRPr="00D42316">
        <w:t>the</w:t>
      </w:r>
      <w:proofErr w:type="spellEnd"/>
      <w:r w:rsidRPr="00D42316">
        <w:t xml:space="preserve"> covid‐19 </w:t>
      </w:r>
      <w:proofErr w:type="spellStart"/>
      <w:proofErr w:type="gramStart"/>
      <w:r w:rsidRPr="00D42316">
        <w:t>crisis</w:t>
      </w:r>
      <w:proofErr w:type="spellEnd"/>
      <w:r w:rsidRPr="00D42316">
        <w:t>?.</w:t>
      </w:r>
      <w:proofErr w:type="gramEnd"/>
      <w:r w:rsidRPr="00D42316">
        <w:t xml:space="preserve"> Strategic </w:t>
      </w:r>
      <w:proofErr w:type="spellStart"/>
      <w:r w:rsidRPr="00D42316">
        <w:t>Change</w:t>
      </w:r>
      <w:proofErr w:type="spellEnd"/>
      <w:r w:rsidRPr="00D42316">
        <w:t>, 30(2), 99-108. Https://doi.org/10.1002/jsc.2393</w:t>
      </w:r>
    </w:p>
    <w:p w14:paraId="55F28C03" w14:textId="77777777" w:rsidR="006F6B4B" w:rsidRPr="00D42316" w:rsidRDefault="006F6B4B">
      <w:pPr>
        <w:pStyle w:val="ListeParagraf"/>
        <w:numPr>
          <w:ilvl w:val="0"/>
          <w:numId w:val="7"/>
        </w:numPr>
        <w:jc w:val="both"/>
      </w:pPr>
      <w:r w:rsidRPr="00D42316">
        <w:t xml:space="preserve">Burke, B. (2010). </w:t>
      </w:r>
      <w:proofErr w:type="spellStart"/>
      <w:r w:rsidRPr="00D42316">
        <w:t>Cooperatives</w:t>
      </w:r>
      <w:proofErr w:type="spellEnd"/>
      <w:r w:rsidRPr="00D42316">
        <w:t xml:space="preserve"> </w:t>
      </w:r>
      <w:proofErr w:type="spellStart"/>
      <w:r w:rsidRPr="00D42316">
        <w:t>for</w:t>
      </w:r>
      <w:proofErr w:type="spellEnd"/>
      <w:r w:rsidRPr="00D42316">
        <w:t xml:space="preserve"> “</w:t>
      </w:r>
      <w:proofErr w:type="spellStart"/>
      <w:r w:rsidRPr="00D42316">
        <w:t>fair</w:t>
      </w:r>
      <w:proofErr w:type="spellEnd"/>
      <w:r w:rsidRPr="00D42316">
        <w:t xml:space="preserve"> </w:t>
      </w:r>
      <w:proofErr w:type="spellStart"/>
      <w:r w:rsidRPr="00D42316">
        <w:t>globalization</w:t>
      </w:r>
      <w:proofErr w:type="spellEnd"/>
      <w:r w:rsidRPr="00D42316">
        <w:t xml:space="preserve">”? </w:t>
      </w:r>
      <w:proofErr w:type="spellStart"/>
      <w:r w:rsidRPr="00D42316">
        <w:t>İndigenous</w:t>
      </w:r>
      <w:proofErr w:type="spellEnd"/>
      <w:r w:rsidRPr="00D42316">
        <w:t xml:space="preserve"> </w:t>
      </w:r>
      <w:proofErr w:type="spellStart"/>
      <w:r w:rsidRPr="00D42316">
        <w:t>people</w:t>
      </w:r>
      <w:proofErr w:type="spellEnd"/>
      <w:r w:rsidRPr="00D42316">
        <w:t xml:space="preserve">, </w:t>
      </w:r>
      <w:proofErr w:type="spellStart"/>
      <w:r w:rsidRPr="00D42316">
        <w:t>cooperatives</w:t>
      </w:r>
      <w:proofErr w:type="spellEnd"/>
      <w:r w:rsidRPr="00D42316">
        <w:t xml:space="preserve">, </w:t>
      </w:r>
      <w:proofErr w:type="spellStart"/>
      <w:r w:rsidRPr="00D42316">
        <w:t>and</w:t>
      </w:r>
      <w:proofErr w:type="spellEnd"/>
      <w:r w:rsidRPr="00D42316">
        <w:t xml:space="preserve"> </w:t>
      </w:r>
      <w:proofErr w:type="spellStart"/>
      <w:r w:rsidRPr="00D42316">
        <w:t>corporate</w:t>
      </w:r>
      <w:proofErr w:type="spellEnd"/>
      <w:r w:rsidRPr="00D42316">
        <w:t xml:space="preserve"> </w:t>
      </w:r>
      <w:proofErr w:type="spellStart"/>
      <w:r w:rsidRPr="00D42316">
        <w:t>social</w:t>
      </w:r>
      <w:proofErr w:type="spellEnd"/>
      <w:r w:rsidRPr="00D42316">
        <w:t xml:space="preserve"> </w:t>
      </w:r>
      <w:proofErr w:type="spellStart"/>
      <w:r w:rsidRPr="00D42316">
        <w:t>responsibility</w:t>
      </w:r>
      <w:proofErr w:type="spellEnd"/>
      <w:r w:rsidRPr="00D42316">
        <w:t xml:space="preserve"> in </w:t>
      </w:r>
      <w:proofErr w:type="spellStart"/>
      <w:r w:rsidRPr="00D42316">
        <w:t>the</w:t>
      </w:r>
      <w:proofErr w:type="spellEnd"/>
      <w:r w:rsidRPr="00D42316">
        <w:t xml:space="preserve"> </w:t>
      </w:r>
      <w:proofErr w:type="spellStart"/>
      <w:r w:rsidRPr="00D42316">
        <w:t>brazilian</w:t>
      </w:r>
      <w:proofErr w:type="spellEnd"/>
      <w:r w:rsidRPr="00D42316">
        <w:t xml:space="preserve"> amazon. Latin </w:t>
      </w:r>
      <w:proofErr w:type="spellStart"/>
      <w:r w:rsidRPr="00D42316">
        <w:t>American</w:t>
      </w:r>
      <w:proofErr w:type="spellEnd"/>
      <w:r w:rsidRPr="00D42316">
        <w:t xml:space="preserve"> </w:t>
      </w:r>
      <w:proofErr w:type="spellStart"/>
      <w:r w:rsidRPr="00D42316">
        <w:t>Perspectives</w:t>
      </w:r>
      <w:proofErr w:type="spellEnd"/>
      <w:r w:rsidRPr="00D42316">
        <w:t xml:space="preserve">, 37(6), 30-52. </w:t>
      </w:r>
      <w:hyperlink r:id="rId133">
        <w:r w:rsidRPr="00D42316">
          <w:rPr>
            <w:color w:val="467886"/>
            <w:u w:val="single"/>
          </w:rPr>
          <w:t>Https://doi.org/10.1177/0094582x10382098</w:t>
        </w:r>
      </w:hyperlink>
    </w:p>
    <w:p w14:paraId="54F22DB9" w14:textId="77777777" w:rsidR="006F6B4B" w:rsidRPr="00D42316" w:rsidRDefault="006F6B4B">
      <w:pPr>
        <w:pStyle w:val="ListeParagraf"/>
        <w:numPr>
          <w:ilvl w:val="0"/>
          <w:numId w:val="7"/>
        </w:numPr>
        <w:jc w:val="both"/>
      </w:pPr>
      <w:proofErr w:type="spellStart"/>
      <w:r w:rsidRPr="00D42316">
        <w:t>Dash</w:t>
      </w:r>
      <w:proofErr w:type="spellEnd"/>
      <w:r w:rsidRPr="00D42316">
        <w:t xml:space="preserve">, S. (2019). </w:t>
      </w:r>
      <w:proofErr w:type="spellStart"/>
      <w:r w:rsidRPr="00D42316">
        <w:t>Women</w:t>
      </w:r>
      <w:proofErr w:type="spellEnd"/>
      <w:r w:rsidRPr="00D42316">
        <w:t xml:space="preserve"> </w:t>
      </w:r>
      <w:proofErr w:type="spellStart"/>
      <w:r w:rsidRPr="00D42316">
        <w:t>Trade</w:t>
      </w:r>
      <w:proofErr w:type="spellEnd"/>
      <w:r w:rsidRPr="00D42316">
        <w:t xml:space="preserve"> </w:t>
      </w:r>
      <w:proofErr w:type="spellStart"/>
      <w:r w:rsidRPr="00D42316">
        <w:t>Union</w:t>
      </w:r>
      <w:proofErr w:type="spellEnd"/>
      <w:r w:rsidRPr="00D42316">
        <w:t xml:space="preserve"> </w:t>
      </w:r>
      <w:proofErr w:type="spellStart"/>
      <w:r w:rsidRPr="00D42316">
        <w:t>Participation</w:t>
      </w:r>
      <w:proofErr w:type="spellEnd"/>
      <w:r w:rsidRPr="00D42316">
        <w:t xml:space="preserve"> in </w:t>
      </w:r>
      <w:proofErr w:type="spellStart"/>
      <w:r w:rsidRPr="00D42316">
        <w:t>India</w:t>
      </w:r>
      <w:proofErr w:type="spellEnd"/>
      <w:r w:rsidRPr="00D42316">
        <w:t xml:space="preserve">-A </w:t>
      </w:r>
      <w:proofErr w:type="spellStart"/>
      <w:r w:rsidRPr="00D42316">
        <w:t>Qualitative</w:t>
      </w:r>
      <w:proofErr w:type="spellEnd"/>
      <w:r w:rsidRPr="00D42316">
        <w:t xml:space="preserve"> </w:t>
      </w:r>
      <w:proofErr w:type="spellStart"/>
      <w:r w:rsidRPr="00D42316">
        <w:t>Inquiry</w:t>
      </w:r>
      <w:proofErr w:type="spellEnd"/>
      <w:r w:rsidRPr="00D42316">
        <w:t>. </w:t>
      </w:r>
      <w:proofErr w:type="spellStart"/>
      <w:r w:rsidRPr="00D42316">
        <w:rPr>
          <w:i/>
        </w:rPr>
        <w:t>Indian</w:t>
      </w:r>
      <w:proofErr w:type="spellEnd"/>
      <w:r w:rsidRPr="00D42316">
        <w:rPr>
          <w:i/>
        </w:rPr>
        <w:t xml:space="preserve"> </w:t>
      </w:r>
      <w:proofErr w:type="spellStart"/>
      <w:r w:rsidRPr="00D42316">
        <w:rPr>
          <w:i/>
        </w:rPr>
        <w:t>Journal</w:t>
      </w:r>
      <w:proofErr w:type="spellEnd"/>
      <w:r w:rsidRPr="00D42316">
        <w:rPr>
          <w:i/>
        </w:rPr>
        <w:t xml:space="preserve"> of </w:t>
      </w:r>
      <w:proofErr w:type="spellStart"/>
      <w:r w:rsidRPr="00D42316">
        <w:rPr>
          <w:i/>
        </w:rPr>
        <w:t>Industrial</w:t>
      </w:r>
      <w:proofErr w:type="spellEnd"/>
      <w:r w:rsidRPr="00D42316">
        <w:rPr>
          <w:i/>
        </w:rPr>
        <w:t xml:space="preserve"> </w:t>
      </w:r>
      <w:proofErr w:type="spellStart"/>
      <w:r w:rsidRPr="00D42316">
        <w:rPr>
          <w:i/>
        </w:rPr>
        <w:t>Relations</w:t>
      </w:r>
      <w:proofErr w:type="spellEnd"/>
      <w:r w:rsidRPr="00D42316">
        <w:t>, </w:t>
      </w:r>
      <w:r w:rsidRPr="00D42316">
        <w:rPr>
          <w:i/>
        </w:rPr>
        <w:t>55</w:t>
      </w:r>
      <w:r w:rsidRPr="00D42316">
        <w:t>(1), 27-38.</w:t>
      </w:r>
    </w:p>
    <w:p w14:paraId="69D0FBDB" w14:textId="77777777" w:rsidR="006F6B4B" w:rsidRPr="00D42316" w:rsidRDefault="006F6B4B">
      <w:pPr>
        <w:pStyle w:val="ListeParagraf"/>
        <w:numPr>
          <w:ilvl w:val="0"/>
          <w:numId w:val="7"/>
        </w:numPr>
        <w:jc w:val="both"/>
      </w:pPr>
      <w:proofErr w:type="spellStart"/>
      <w:r w:rsidRPr="00D42316">
        <w:t>Datta</w:t>
      </w:r>
      <w:proofErr w:type="spellEnd"/>
      <w:r w:rsidRPr="00D42316">
        <w:t xml:space="preserve">, P. B., &amp; </w:t>
      </w:r>
      <w:proofErr w:type="spellStart"/>
      <w:r w:rsidRPr="00D42316">
        <w:t>Gailey</w:t>
      </w:r>
      <w:proofErr w:type="spellEnd"/>
      <w:r w:rsidRPr="00D42316">
        <w:t xml:space="preserve">, R. (2012). </w:t>
      </w:r>
      <w:proofErr w:type="spellStart"/>
      <w:r w:rsidRPr="00D42316">
        <w:t>Empowering</w:t>
      </w:r>
      <w:proofErr w:type="spellEnd"/>
      <w:r w:rsidRPr="00D42316">
        <w:t xml:space="preserve"> </w:t>
      </w:r>
      <w:proofErr w:type="spellStart"/>
      <w:r w:rsidRPr="00D42316">
        <w:t>women</w:t>
      </w:r>
      <w:proofErr w:type="spellEnd"/>
      <w:r w:rsidRPr="00D42316">
        <w:t xml:space="preserve"> </w:t>
      </w:r>
      <w:proofErr w:type="spellStart"/>
      <w:r w:rsidRPr="00D42316">
        <w:t>through</w:t>
      </w:r>
      <w:proofErr w:type="spellEnd"/>
      <w:r w:rsidRPr="00D42316">
        <w:t xml:space="preserve"> </w:t>
      </w:r>
      <w:proofErr w:type="spellStart"/>
      <w:r w:rsidRPr="00D42316">
        <w:t>social</w:t>
      </w:r>
      <w:proofErr w:type="spellEnd"/>
      <w:r w:rsidRPr="00D42316">
        <w:t xml:space="preserve"> </w:t>
      </w:r>
      <w:proofErr w:type="spellStart"/>
      <w:r w:rsidRPr="00D42316">
        <w:t>entrepreneurship</w:t>
      </w:r>
      <w:proofErr w:type="spellEnd"/>
      <w:r w:rsidRPr="00D42316">
        <w:t xml:space="preserve">: Case </w:t>
      </w:r>
      <w:proofErr w:type="spellStart"/>
      <w:r w:rsidRPr="00D42316">
        <w:t>study</w:t>
      </w:r>
      <w:proofErr w:type="spellEnd"/>
      <w:r w:rsidRPr="00D42316">
        <w:t xml:space="preserve"> of a </w:t>
      </w:r>
      <w:proofErr w:type="spellStart"/>
      <w:r w:rsidRPr="00D42316">
        <w:t>women's</w:t>
      </w:r>
      <w:proofErr w:type="spellEnd"/>
      <w:r w:rsidRPr="00D42316">
        <w:t xml:space="preserve"> </w:t>
      </w:r>
      <w:proofErr w:type="spellStart"/>
      <w:r w:rsidRPr="00D42316">
        <w:t>cooperative</w:t>
      </w:r>
      <w:proofErr w:type="spellEnd"/>
      <w:r w:rsidRPr="00D42316">
        <w:t xml:space="preserve"> in </w:t>
      </w:r>
      <w:proofErr w:type="spellStart"/>
      <w:r w:rsidRPr="00D42316">
        <w:t>India</w:t>
      </w:r>
      <w:proofErr w:type="spellEnd"/>
      <w:r w:rsidRPr="00D42316">
        <w:t>. </w:t>
      </w:r>
      <w:proofErr w:type="spellStart"/>
      <w:r w:rsidRPr="00D42316">
        <w:rPr>
          <w:i/>
        </w:rPr>
        <w:t>Entrepreneurship</w:t>
      </w:r>
      <w:proofErr w:type="spellEnd"/>
      <w:r w:rsidRPr="00D42316">
        <w:rPr>
          <w:i/>
        </w:rPr>
        <w:t xml:space="preserve"> </w:t>
      </w:r>
      <w:proofErr w:type="spellStart"/>
      <w:r w:rsidRPr="00D42316">
        <w:rPr>
          <w:i/>
        </w:rPr>
        <w:t>theory</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Practice</w:t>
      </w:r>
      <w:proofErr w:type="spellEnd"/>
      <w:r w:rsidRPr="00D42316">
        <w:t>, </w:t>
      </w:r>
      <w:r w:rsidRPr="00D42316">
        <w:rPr>
          <w:i/>
        </w:rPr>
        <w:t>36</w:t>
      </w:r>
      <w:r w:rsidRPr="00D42316">
        <w:t>(3), 569-587.</w:t>
      </w:r>
    </w:p>
    <w:p w14:paraId="115ADEBF" w14:textId="77777777" w:rsidR="006F6B4B" w:rsidRPr="00D42316" w:rsidRDefault="006F6B4B">
      <w:pPr>
        <w:pStyle w:val="ListeParagraf"/>
        <w:numPr>
          <w:ilvl w:val="0"/>
          <w:numId w:val="7"/>
        </w:numPr>
        <w:jc w:val="both"/>
      </w:pPr>
      <w:proofErr w:type="spellStart"/>
      <w:r w:rsidRPr="00D42316">
        <w:t>Defourny</w:t>
      </w:r>
      <w:proofErr w:type="spellEnd"/>
      <w:r w:rsidRPr="00D42316">
        <w:t xml:space="preserve">, J., &amp; </w:t>
      </w:r>
      <w:proofErr w:type="spellStart"/>
      <w:r w:rsidRPr="00D42316">
        <w:t>Nyssens</w:t>
      </w:r>
      <w:proofErr w:type="spellEnd"/>
      <w:r w:rsidRPr="00D42316">
        <w:t xml:space="preserve">, M. (2017). Fundamentals </w:t>
      </w:r>
      <w:proofErr w:type="spellStart"/>
      <w:r w:rsidRPr="00D42316">
        <w:t>for</w:t>
      </w:r>
      <w:proofErr w:type="spellEnd"/>
      <w:r w:rsidRPr="00D42316">
        <w:t xml:space="preserve"> an </w:t>
      </w:r>
      <w:proofErr w:type="spellStart"/>
      <w:r w:rsidRPr="00D42316">
        <w:t>international</w:t>
      </w:r>
      <w:proofErr w:type="spellEnd"/>
      <w:r w:rsidRPr="00D42316">
        <w:t xml:space="preserve"> </w:t>
      </w:r>
      <w:proofErr w:type="spellStart"/>
      <w:r w:rsidRPr="00D42316">
        <w:t>typology</w:t>
      </w:r>
      <w:proofErr w:type="spellEnd"/>
      <w:r w:rsidRPr="00D42316">
        <w:t xml:space="preserve"> of </w:t>
      </w:r>
      <w:proofErr w:type="spellStart"/>
      <w:r w:rsidRPr="00D42316">
        <w:t>social</w:t>
      </w:r>
      <w:proofErr w:type="spellEnd"/>
      <w:r w:rsidRPr="00D42316">
        <w:t xml:space="preserve"> </w:t>
      </w:r>
      <w:proofErr w:type="spellStart"/>
      <w:r w:rsidRPr="00D42316">
        <w:t>enterprise</w:t>
      </w:r>
      <w:proofErr w:type="spellEnd"/>
      <w:r w:rsidRPr="00D42316">
        <w:t xml:space="preserve"> </w:t>
      </w:r>
      <w:proofErr w:type="spellStart"/>
      <w:r w:rsidRPr="00D42316">
        <w:t>models</w:t>
      </w:r>
      <w:proofErr w:type="spellEnd"/>
      <w:r w:rsidRPr="00D42316">
        <w:t>. </w:t>
      </w:r>
      <w:r w:rsidRPr="00D42316">
        <w:rPr>
          <w:i/>
        </w:rPr>
        <w:t xml:space="preserve">VOLUNTAS: International </w:t>
      </w:r>
      <w:proofErr w:type="spellStart"/>
      <w:r w:rsidRPr="00D42316">
        <w:rPr>
          <w:i/>
        </w:rPr>
        <w:t>Journal</w:t>
      </w:r>
      <w:proofErr w:type="spellEnd"/>
      <w:r w:rsidRPr="00D42316">
        <w:rPr>
          <w:i/>
        </w:rPr>
        <w:t xml:space="preserve"> of </w:t>
      </w:r>
      <w:proofErr w:type="spellStart"/>
      <w:r w:rsidRPr="00D42316">
        <w:rPr>
          <w:i/>
        </w:rPr>
        <w:t>Voluntary</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nonprofit</w:t>
      </w:r>
      <w:proofErr w:type="spellEnd"/>
      <w:r w:rsidRPr="00D42316">
        <w:rPr>
          <w:i/>
        </w:rPr>
        <w:t xml:space="preserve"> </w:t>
      </w:r>
      <w:proofErr w:type="spellStart"/>
      <w:r w:rsidRPr="00D42316">
        <w:rPr>
          <w:i/>
        </w:rPr>
        <w:t>organizations</w:t>
      </w:r>
      <w:proofErr w:type="spellEnd"/>
      <w:r w:rsidRPr="00D42316">
        <w:t>, </w:t>
      </w:r>
      <w:r w:rsidRPr="00D42316">
        <w:rPr>
          <w:i/>
        </w:rPr>
        <w:t>28</w:t>
      </w:r>
      <w:r w:rsidRPr="00D42316">
        <w:t>, 2469-2497.</w:t>
      </w:r>
    </w:p>
    <w:p w14:paraId="66200539" w14:textId="77777777" w:rsidR="006F6B4B" w:rsidRPr="00D42316" w:rsidRDefault="006F6B4B">
      <w:pPr>
        <w:pStyle w:val="ListeParagraf"/>
        <w:numPr>
          <w:ilvl w:val="0"/>
          <w:numId w:val="7"/>
        </w:numPr>
        <w:jc w:val="both"/>
      </w:pPr>
      <w:proofErr w:type="spellStart"/>
      <w:r w:rsidRPr="00D42316">
        <w:t>Develtere</w:t>
      </w:r>
      <w:proofErr w:type="spellEnd"/>
      <w:r w:rsidRPr="00D42316">
        <w:t xml:space="preserve">, P., &amp; </w:t>
      </w:r>
      <w:proofErr w:type="spellStart"/>
      <w:r w:rsidRPr="00D42316">
        <w:t>Papoutsi</w:t>
      </w:r>
      <w:proofErr w:type="spellEnd"/>
      <w:r w:rsidRPr="00D42316">
        <w:t xml:space="preserve">, G. (2021). </w:t>
      </w:r>
      <w:proofErr w:type="spellStart"/>
      <w:r w:rsidRPr="00D42316">
        <w:t>Rebuilding</w:t>
      </w:r>
      <w:proofErr w:type="spellEnd"/>
      <w:r w:rsidRPr="00D42316">
        <w:t xml:space="preserve"> </w:t>
      </w:r>
      <w:proofErr w:type="spellStart"/>
      <w:r w:rsidRPr="00D42316">
        <w:t>and</w:t>
      </w:r>
      <w:proofErr w:type="spellEnd"/>
      <w:r w:rsidRPr="00D42316">
        <w:t xml:space="preserve"> </w:t>
      </w:r>
      <w:proofErr w:type="spellStart"/>
      <w:r w:rsidRPr="00D42316">
        <w:t>realizing</w:t>
      </w:r>
      <w:proofErr w:type="spellEnd"/>
      <w:r w:rsidRPr="00D42316">
        <w:t xml:space="preserve"> a </w:t>
      </w:r>
      <w:proofErr w:type="spellStart"/>
      <w:r w:rsidRPr="00D42316">
        <w:t>resilient</w:t>
      </w:r>
      <w:proofErr w:type="spellEnd"/>
      <w:r w:rsidRPr="00D42316">
        <w:t xml:space="preserve"> global </w:t>
      </w:r>
      <w:proofErr w:type="spellStart"/>
      <w:r w:rsidRPr="00D42316">
        <w:t>society</w:t>
      </w:r>
      <w:proofErr w:type="spellEnd"/>
      <w:r w:rsidRPr="00D42316">
        <w:t xml:space="preserve"> </w:t>
      </w:r>
      <w:proofErr w:type="spellStart"/>
      <w:r w:rsidRPr="00D42316">
        <w:t>through</w:t>
      </w:r>
      <w:proofErr w:type="spellEnd"/>
      <w:r w:rsidRPr="00D42316">
        <w:t xml:space="preserve"> </w:t>
      </w:r>
      <w:proofErr w:type="spellStart"/>
      <w:r w:rsidRPr="00D42316">
        <w:t>cooperatives</w:t>
      </w:r>
      <w:proofErr w:type="spellEnd"/>
      <w:r w:rsidRPr="00D42316">
        <w:t xml:space="preserve">. </w:t>
      </w:r>
      <w:proofErr w:type="spellStart"/>
      <w:r w:rsidRPr="00D42316">
        <w:t>In</w:t>
      </w:r>
      <w:proofErr w:type="spellEnd"/>
      <w:r w:rsidRPr="00D42316">
        <w:t> </w:t>
      </w:r>
      <w:proofErr w:type="spellStart"/>
      <w:r w:rsidRPr="00D42316">
        <w:rPr>
          <w:i/>
        </w:rPr>
        <w:t>Paper</w:t>
      </w:r>
      <w:proofErr w:type="spellEnd"/>
      <w:r w:rsidRPr="00D42316">
        <w:rPr>
          <w:i/>
        </w:rPr>
        <w:t xml:space="preserve"> </w:t>
      </w:r>
      <w:proofErr w:type="spellStart"/>
      <w:r w:rsidRPr="00D42316">
        <w:rPr>
          <w:i/>
        </w:rPr>
        <w:t>for</w:t>
      </w:r>
      <w:proofErr w:type="spellEnd"/>
      <w:r w:rsidRPr="00D42316">
        <w:rPr>
          <w:i/>
        </w:rPr>
        <w:t xml:space="preserve"> </w:t>
      </w:r>
      <w:proofErr w:type="spellStart"/>
      <w:r w:rsidRPr="00D42316">
        <w:rPr>
          <w:i/>
        </w:rPr>
        <w:t>the</w:t>
      </w:r>
      <w:proofErr w:type="spellEnd"/>
      <w:r w:rsidRPr="00D42316">
        <w:rPr>
          <w:i/>
        </w:rPr>
        <w:t xml:space="preserve"> </w:t>
      </w:r>
      <w:proofErr w:type="spellStart"/>
      <w:r w:rsidRPr="00D42316">
        <w:rPr>
          <w:i/>
        </w:rPr>
        <w:t>Expert</w:t>
      </w:r>
      <w:proofErr w:type="spellEnd"/>
      <w:r w:rsidRPr="00D42316">
        <w:rPr>
          <w:i/>
        </w:rPr>
        <w:t xml:space="preserve"> </w:t>
      </w:r>
      <w:proofErr w:type="spellStart"/>
      <w:r w:rsidRPr="00D42316">
        <w:rPr>
          <w:i/>
        </w:rPr>
        <w:t>Group</w:t>
      </w:r>
      <w:proofErr w:type="spellEnd"/>
      <w:r w:rsidRPr="00D42316">
        <w:rPr>
          <w:i/>
        </w:rPr>
        <w:t xml:space="preserve"> Meeting on “</w:t>
      </w:r>
      <w:proofErr w:type="spellStart"/>
      <w:r w:rsidRPr="00D42316">
        <w:rPr>
          <w:i/>
        </w:rPr>
        <w:t>The</w:t>
      </w:r>
      <w:proofErr w:type="spellEnd"/>
      <w:r w:rsidRPr="00D42316">
        <w:rPr>
          <w:i/>
        </w:rPr>
        <w:t xml:space="preserve"> role of </w:t>
      </w:r>
      <w:proofErr w:type="spellStart"/>
      <w:r w:rsidRPr="00D42316">
        <w:rPr>
          <w:i/>
        </w:rPr>
        <w:t>cooperatives</w:t>
      </w:r>
      <w:proofErr w:type="spellEnd"/>
      <w:r w:rsidRPr="00D42316">
        <w:rPr>
          <w:i/>
        </w:rPr>
        <w:t xml:space="preserve"> in </w:t>
      </w:r>
      <w:proofErr w:type="spellStart"/>
      <w:r w:rsidRPr="00D42316">
        <w:rPr>
          <w:i/>
        </w:rPr>
        <w:t>economic</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social</w:t>
      </w:r>
      <w:proofErr w:type="spellEnd"/>
      <w:r w:rsidRPr="00D42316">
        <w:rPr>
          <w:i/>
        </w:rPr>
        <w:t xml:space="preserve"> </w:t>
      </w:r>
      <w:proofErr w:type="spellStart"/>
      <w:r w:rsidRPr="00D42316">
        <w:rPr>
          <w:i/>
        </w:rPr>
        <w:t>development</w:t>
      </w:r>
      <w:proofErr w:type="spellEnd"/>
      <w:r w:rsidRPr="00D42316">
        <w:rPr>
          <w:i/>
        </w:rPr>
        <w:t xml:space="preserve">: </w:t>
      </w:r>
      <w:proofErr w:type="spellStart"/>
      <w:r w:rsidRPr="00D42316">
        <w:rPr>
          <w:i/>
        </w:rPr>
        <w:t>Recover</w:t>
      </w:r>
      <w:proofErr w:type="spellEnd"/>
      <w:r w:rsidRPr="00D42316">
        <w:rPr>
          <w:i/>
        </w:rPr>
        <w:t xml:space="preserve"> </w:t>
      </w:r>
      <w:proofErr w:type="spellStart"/>
      <w:r w:rsidRPr="00D42316">
        <w:rPr>
          <w:i/>
        </w:rPr>
        <w:t>Better</w:t>
      </w:r>
      <w:proofErr w:type="spellEnd"/>
      <w:r w:rsidRPr="00D42316">
        <w:rPr>
          <w:i/>
        </w:rPr>
        <w:t xml:space="preserve"> </w:t>
      </w:r>
      <w:proofErr w:type="spellStart"/>
      <w:r w:rsidRPr="00D42316">
        <w:rPr>
          <w:i/>
        </w:rPr>
        <w:t>from</w:t>
      </w:r>
      <w:proofErr w:type="spellEnd"/>
      <w:r w:rsidRPr="00D42316">
        <w:rPr>
          <w:i/>
        </w:rPr>
        <w:t xml:space="preserve"> </w:t>
      </w:r>
      <w:proofErr w:type="spellStart"/>
      <w:r w:rsidRPr="00D42316">
        <w:rPr>
          <w:i/>
        </w:rPr>
        <w:t>the</w:t>
      </w:r>
      <w:proofErr w:type="spellEnd"/>
      <w:r w:rsidRPr="00D42316">
        <w:rPr>
          <w:i/>
        </w:rPr>
        <w:t xml:space="preserve"> Covid-19 </w:t>
      </w:r>
      <w:proofErr w:type="spellStart"/>
      <w:r w:rsidRPr="00D42316">
        <w:rPr>
          <w:i/>
        </w:rPr>
        <w:t>Pandemic</w:t>
      </w:r>
      <w:proofErr w:type="spellEnd"/>
      <w:r w:rsidRPr="00D42316">
        <w:t>.</w:t>
      </w:r>
    </w:p>
    <w:p w14:paraId="7575529E" w14:textId="77777777" w:rsidR="006F6B4B" w:rsidRPr="00D42316" w:rsidRDefault="006F6B4B">
      <w:pPr>
        <w:pStyle w:val="ListeParagraf"/>
        <w:numPr>
          <w:ilvl w:val="0"/>
          <w:numId w:val="7"/>
        </w:numPr>
        <w:jc w:val="both"/>
      </w:pPr>
      <w:proofErr w:type="spellStart"/>
      <w:r w:rsidRPr="00D42316">
        <w:t>Douvitsa</w:t>
      </w:r>
      <w:proofErr w:type="spellEnd"/>
      <w:r w:rsidRPr="00D42316">
        <w:t xml:space="preserve">, I., &amp; </w:t>
      </w:r>
      <w:proofErr w:type="spellStart"/>
      <w:r w:rsidRPr="00D42316">
        <w:t>Kassavetis</w:t>
      </w:r>
      <w:proofErr w:type="spellEnd"/>
      <w:r w:rsidRPr="00D42316">
        <w:t xml:space="preserve">, D. (2014). </w:t>
      </w:r>
      <w:proofErr w:type="spellStart"/>
      <w:r w:rsidRPr="00D42316">
        <w:t>Cooperatives</w:t>
      </w:r>
      <w:proofErr w:type="spellEnd"/>
      <w:r w:rsidRPr="00D42316">
        <w:t xml:space="preserve">: an </w:t>
      </w:r>
      <w:proofErr w:type="spellStart"/>
      <w:r w:rsidRPr="00D42316">
        <w:t>alternative</w:t>
      </w:r>
      <w:proofErr w:type="spellEnd"/>
      <w:r w:rsidRPr="00D42316">
        <w:t xml:space="preserve"> </w:t>
      </w:r>
      <w:proofErr w:type="spellStart"/>
      <w:r w:rsidRPr="00D42316">
        <w:t>to</w:t>
      </w:r>
      <w:proofErr w:type="spellEnd"/>
      <w:r w:rsidRPr="00D42316">
        <w:t xml:space="preserve"> </w:t>
      </w:r>
      <w:proofErr w:type="spellStart"/>
      <w:r w:rsidRPr="00D42316">
        <w:t>water</w:t>
      </w:r>
      <w:proofErr w:type="spellEnd"/>
      <w:r w:rsidRPr="00D42316">
        <w:t xml:space="preserve"> </w:t>
      </w:r>
      <w:proofErr w:type="spellStart"/>
      <w:r w:rsidRPr="00D42316">
        <w:t>privatization</w:t>
      </w:r>
      <w:proofErr w:type="spellEnd"/>
      <w:r w:rsidRPr="00D42316">
        <w:t xml:space="preserve"> in </w:t>
      </w:r>
      <w:proofErr w:type="spellStart"/>
      <w:r w:rsidRPr="00D42316">
        <w:t>Greece</w:t>
      </w:r>
      <w:proofErr w:type="spellEnd"/>
      <w:r w:rsidRPr="00D42316">
        <w:t>. </w:t>
      </w:r>
      <w:proofErr w:type="spellStart"/>
      <w:r w:rsidRPr="00D42316">
        <w:rPr>
          <w:i/>
        </w:rPr>
        <w:t>Social</w:t>
      </w:r>
      <w:proofErr w:type="spellEnd"/>
      <w:r w:rsidRPr="00D42316">
        <w:rPr>
          <w:i/>
        </w:rPr>
        <w:t xml:space="preserve"> Enterprise </w:t>
      </w:r>
      <w:proofErr w:type="spellStart"/>
      <w:r w:rsidRPr="00D42316">
        <w:rPr>
          <w:i/>
        </w:rPr>
        <w:t>Journal</w:t>
      </w:r>
      <w:proofErr w:type="spellEnd"/>
      <w:r w:rsidRPr="00D42316">
        <w:t>, </w:t>
      </w:r>
      <w:r w:rsidRPr="00D42316">
        <w:rPr>
          <w:i/>
        </w:rPr>
        <w:t>10</w:t>
      </w:r>
      <w:r w:rsidRPr="00D42316">
        <w:t xml:space="preserve">(2), 135-154. </w:t>
      </w:r>
      <w:hyperlink r:id="rId134">
        <w:r w:rsidRPr="00D42316">
          <w:rPr>
            <w:color w:val="000000"/>
            <w:u w:val="single"/>
          </w:rPr>
          <w:t>Https://doi.org/10.1108/sej-10-2013-0039</w:t>
        </w:r>
      </w:hyperlink>
    </w:p>
    <w:p w14:paraId="30EF5B5B" w14:textId="77777777" w:rsidR="006F6B4B" w:rsidRPr="00D42316" w:rsidRDefault="006F6B4B">
      <w:pPr>
        <w:pStyle w:val="ListeParagraf"/>
        <w:numPr>
          <w:ilvl w:val="0"/>
          <w:numId w:val="7"/>
        </w:numPr>
        <w:jc w:val="both"/>
      </w:pPr>
      <w:proofErr w:type="spellStart"/>
      <w:r w:rsidRPr="00D42316">
        <w:t>Duguid</w:t>
      </w:r>
      <w:proofErr w:type="spellEnd"/>
      <w:r w:rsidRPr="00D42316">
        <w:t xml:space="preserve">, F. </w:t>
      </w:r>
      <w:proofErr w:type="spellStart"/>
      <w:r w:rsidRPr="00D42316">
        <w:t>Durutaş</w:t>
      </w:r>
      <w:proofErr w:type="spellEnd"/>
      <w:r w:rsidRPr="00D42316">
        <w:t xml:space="preserve">, G., </w:t>
      </w:r>
      <w:proofErr w:type="spellStart"/>
      <w:r w:rsidRPr="00D42316">
        <w:t>Wodzicki</w:t>
      </w:r>
      <w:proofErr w:type="spellEnd"/>
      <w:r w:rsidRPr="00D42316">
        <w:t xml:space="preserve">, M. (2015). </w:t>
      </w:r>
      <w:proofErr w:type="spellStart"/>
      <w:r w:rsidRPr="00D42316">
        <w:t>Türkıye’de</w:t>
      </w:r>
      <w:proofErr w:type="spellEnd"/>
      <w:r w:rsidRPr="00D42316">
        <w:t xml:space="preserve"> Kadın </w:t>
      </w:r>
      <w:proofErr w:type="spellStart"/>
      <w:r w:rsidRPr="00D42316">
        <w:t>Kooperatıflerı’nın</w:t>
      </w:r>
      <w:proofErr w:type="spellEnd"/>
      <w:r w:rsidRPr="00D42316">
        <w:t xml:space="preserve"> Mevcut Durumu. </w:t>
      </w:r>
      <w:proofErr w:type="spellStart"/>
      <w:r w:rsidRPr="00D42316">
        <w:t>The</w:t>
      </w:r>
      <w:proofErr w:type="spellEnd"/>
      <w:r w:rsidRPr="00D42316">
        <w:t xml:space="preserve"> World Bank. </w:t>
      </w:r>
      <w:hyperlink r:id="rId135">
        <w:r w:rsidRPr="00D42316">
          <w:rPr>
            <w:color w:val="467886"/>
            <w:u w:val="single"/>
          </w:rPr>
          <w:t>https://www.kadinkoop.org/belgeler/mevcut%20durum%202015%20%281%29.pdf</w:t>
        </w:r>
      </w:hyperlink>
      <w:r w:rsidRPr="00D42316">
        <w:t>. Son Erişim Tarihi 27.02.2025</w:t>
      </w:r>
    </w:p>
    <w:p w14:paraId="6990715F" w14:textId="77777777" w:rsidR="006F6B4B" w:rsidRPr="00D42316" w:rsidRDefault="006F6B4B">
      <w:pPr>
        <w:pStyle w:val="ListeParagraf"/>
        <w:numPr>
          <w:ilvl w:val="0"/>
          <w:numId w:val="7"/>
        </w:numPr>
        <w:jc w:val="both"/>
      </w:pPr>
      <w:proofErr w:type="spellStart"/>
      <w:r w:rsidRPr="00D42316">
        <w:t>Feuer</w:t>
      </w:r>
      <w:proofErr w:type="spellEnd"/>
      <w:r w:rsidRPr="00D42316">
        <w:t xml:space="preserve">, H.N. (2020). </w:t>
      </w:r>
      <w:proofErr w:type="spellStart"/>
      <w:r w:rsidRPr="00D42316">
        <w:t>Geographical</w:t>
      </w:r>
      <w:proofErr w:type="spellEnd"/>
      <w:r w:rsidRPr="00D42316">
        <w:t xml:space="preserve"> </w:t>
      </w:r>
      <w:proofErr w:type="spellStart"/>
      <w:r w:rsidRPr="00D42316">
        <w:t>indication</w:t>
      </w:r>
      <w:proofErr w:type="spellEnd"/>
      <w:r w:rsidRPr="00D42316">
        <w:t xml:space="preserve"> </w:t>
      </w:r>
      <w:proofErr w:type="spellStart"/>
      <w:r w:rsidRPr="00D42316">
        <w:t>out</w:t>
      </w:r>
      <w:proofErr w:type="spellEnd"/>
      <w:r w:rsidRPr="00D42316">
        <w:t xml:space="preserve"> of </w:t>
      </w:r>
      <w:proofErr w:type="spellStart"/>
      <w:r w:rsidRPr="00D42316">
        <w:t>context</w:t>
      </w:r>
      <w:proofErr w:type="spellEnd"/>
      <w:r w:rsidRPr="00D42316">
        <w:t xml:space="preserve"> </w:t>
      </w:r>
      <w:proofErr w:type="spellStart"/>
      <w:r w:rsidRPr="00D42316">
        <w:t>and</w:t>
      </w:r>
      <w:proofErr w:type="spellEnd"/>
      <w:r w:rsidRPr="00D42316">
        <w:t xml:space="preserve"> in </w:t>
      </w:r>
      <w:proofErr w:type="spellStart"/>
      <w:r w:rsidRPr="00D42316">
        <w:t>vogue</w:t>
      </w:r>
      <w:proofErr w:type="spellEnd"/>
      <w:r w:rsidRPr="00D42316">
        <w:t xml:space="preserve">: </w:t>
      </w:r>
      <w:proofErr w:type="spellStart"/>
      <w:r w:rsidRPr="00D42316">
        <w:t>The</w:t>
      </w:r>
      <w:proofErr w:type="spellEnd"/>
      <w:r w:rsidRPr="00D42316">
        <w:t xml:space="preserve"> </w:t>
      </w:r>
      <w:proofErr w:type="spellStart"/>
      <w:r w:rsidRPr="00D42316">
        <w:t>awkward</w:t>
      </w:r>
      <w:proofErr w:type="spellEnd"/>
      <w:r w:rsidRPr="00D42316">
        <w:t xml:space="preserve"> </w:t>
      </w:r>
      <w:proofErr w:type="spellStart"/>
      <w:r w:rsidRPr="00D42316">
        <w:t>embrace</w:t>
      </w:r>
      <w:proofErr w:type="spellEnd"/>
      <w:r w:rsidRPr="00D42316">
        <w:t xml:space="preserve"> of </w:t>
      </w:r>
      <w:proofErr w:type="spellStart"/>
      <w:r w:rsidRPr="00D42316">
        <w:t>European</w:t>
      </w:r>
      <w:proofErr w:type="spellEnd"/>
      <w:r w:rsidRPr="00D42316">
        <w:t xml:space="preserve"> </w:t>
      </w:r>
      <w:proofErr w:type="spellStart"/>
      <w:r w:rsidRPr="00D42316">
        <w:t>heritage</w:t>
      </w:r>
      <w:proofErr w:type="spellEnd"/>
      <w:r w:rsidRPr="00D42316">
        <w:t xml:space="preserve"> </w:t>
      </w:r>
      <w:proofErr w:type="spellStart"/>
      <w:r w:rsidRPr="00D42316">
        <w:t>agricultural</w:t>
      </w:r>
      <w:proofErr w:type="spellEnd"/>
      <w:r w:rsidRPr="00D42316">
        <w:t xml:space="preserve"> </w:t>
      </w:r>
      <w:proofErr w:type="spellStart"/>
      <w:r w:rsidRPr="00D42316">
        <w:t>protections</w:t>
      </w:r>
      <w:proofErr w:type="spellEnd"/>
      <w:r w:rsidRPr="00D42316">
        <w:t xml:space="preserve"> in </w:t>
      </w:r>
      <w:proofErr w:type="spellStart"/>
      <w:r w:rsidRPr="00D42316">
        <w:t>Asia</w:t>
      </w:r>
      <w:proofErr w:type="spellEnd"/>
      <w:r w:rsidRPr="00D42316">
        <w:t xml:space="preserve">. </w:t>
      </w:r>
      <w:proofErr w:type="spellStart"/>
      <w:r w:rsidRPr="00D42316">
        <w:t>In</w:t>
      </w:r>
      <w:proofErr w:type="spellEnd"/>
      <w:r w:rsidRPr="00D42316">
        <w:t xml:space="preserve"> A. </w:t>
      </w:r>
      <w:proofErr w:type="spellStart"/>
      <w:r w:rsidRPr="00D42316">
        <w:t>Bonanno</w:t>
      </w:r>
      <w:proofErr w:type="spellEnd"/>
      <w:r w:rsidRPr="00D42316">
        <w:t xml:space="preserve">, K. Sekine, &amp; H.N. </w:t>
      </w:r>
      <w:proofErr w:type="spellStart"/>
      <w:r w:rsidRPr="00D42316">
        <w:t>Feuer</w:t>
      </w:r>
      <w:proofErr w:type="spellEnd"/>
      <w:r w:rsidRPr="00D42316">
        <w:t xml:space="preserve"> (</w:t>
      </w:r>
      <w:proofErr w:type="spellStart"/>
      <w:r w:rsidRPr="00D42316">
        <w:t>Eds</w:t>
      </w:r>
      <w:proofErr w:type="spellEnd"/>
      <w:r w:rsidRPr="00D42316">
        <w:t xml:space="preserve">.), </w:t>
      </w:r>
      <w:proofErr w:type="spellStart"/>
      <w:r w:rsidRPr="00D42316">
        <w:t>Geographical</w:t>
      </w:r>
      <w:proofErr w:type="spellEnd"/>
      <w:r w:rsidRPr="00D42316">
        <w:t xml:space="preserve"> </w:t>
      </w:r>
      <w:proofErr w:type="spellStart"/>
      <w:r w:rsidRPr="00D42316">
        <w:t>Indication</w:t>
      </w:r>
      <w:proofErr w:type="spellEnd"/>
      <w:r w:rsidRPr="00D42316">
        <w:t xml:space="preserve"> </w:t>
      </w:r>
      <w:proofErr w:type="spellStart"/>
      <w:r w:rsidRPr="00D42316">
        <w:t>and</w:t>
      </w:r>
      <w:proofErr w:type="spellEnd"/>
      <w:r w:rsidRPr="00D42316">
        <w:t xml:space="preserve"> Global </w:t>
      </w:r>
      <w:proofErr w:type="spellStart"/>
      <w:r w:rsidRPr="00D42316">
        <w:t>Agri-Food</w:t>
      </w:r>
      <w:proofErr w:type="spellEnd"/>
      <w:r w:rsidRPr="00D42316">
        <w:t xml:space="preserve">: Development </w:t>
      </w:r>
      <w:proofErr w:type="spellStart"/>
      <w:r w:rsidRPr="00D42316">
        <w:t>and</w:t>
      </w:r>
      <w:proofErr w:type="spellEnd"/>
      <w:r w:rsidRPr="00D42316">
        <w:t xml:space="preserve"> </w:t>
      </w:r>
      <w:proofErr w:type="spellStart"/>
      <w:r w:rsidRPr="00D42316">
        <w:t>Democratization</w:t>
      </w:r>
      <w:proofErr w:type="spellEnd"/>
      <w:r w:rsidRPr="00D42316">
        <w:t xml:space="preserve"> (</w:t>
      </w:r>
      <w:proofErr w:type="spellStart"/>
      <w:r w:rsidRPr="00D42316">
        <w:t>pp</w:t>
      </w:r>
      <w:proofErr w:type="spellEnd"/>
      <w:r w:rsidRPr="00D42316">
        <w:t xml:space="preserve">. 39–53). </w:t>
      </w:r>
      <w:proofErr w:type="spellStart"/>
      <w:r w:rsidRPr="00D42316">
        <w:t>Routledge</w:t>
      </w:r>
      <w:proofErr w:type="spellEnd"/>
      <w:r w:rsidRPr="00D42316">
        <w:t>.</w:t>
      </w:r>
    </w:p>
    <w:p w14:paraId="655A3602" w14:textId="77777777" w:rsidR="006F6B4B" w:rsidRPr="00D42316" w:rsidRDefault="006F6B4B">
      <w:pPr>
        <w:pStyle w:val="ListeParagraf"/>
        <w:numPr>
          <w:ilvl w:val="0"/>
          <w:numId w:val="7"/>
        </w:numPr>
        <w:jc w:val="both"/>
      </w:pPr>
      <w:proofErr w:type="spellStart"/>
      <w:r w:rsidRPr="00D42316">
        <w:t>Filippi</w:t>
      </w:r>
      <w:proofErr w:type="spellEnd"/>
      <w:r w:rsidRPr="00D42316">
        <w:t xml:space="preserve">, M. (2014). Using </w:t>
      </w:r>
      <w:proofErr w:type="spellStart"/>
      <w:r w:rsidRPr="00D42316">
        <w:t>the</w:t>
      </w:r>
      <w:proofErr w:type="spellEnd"/>
      <w:r w:rsidRPr="00D42316">
        <w:t xml:space="preserve"> </w:t>
      </w:r>
      <w:proofErr w:type="spellStart"/>
      <w:r w:rsidRPr="00D42316">
        <w:t>regional</w:t>
      </w:r>
      <w:proofErr w:type="spellEnd"/>
      <w:r w:rsidRPr="00D42316">
        <w:t xml:space="preserve"> </w:t>
      </w:r>
      <w:proofErr w:type="spellStart"/>
      <w:r w:rsidRPr="00D42316">
        <w:t>advantage</w:t>
      </w:r>
      <w:proofErr w:type="spellEnd"/>
      <w:r w:rsidRPr="00D42316">
        <w:t xml:space="preserve">: </w:t>
      </w:r>
      <w:proofErr w:type="spellStart"/>
      <w:r w:rsidRPr="00D42316">
        <w:t>french</w:t>
      </w:r>
      <w:proofErr w:type="spellEnd"/>
      <w:r w:rsidRPr="00D42316">
        <w:t xml:space="preserve"> </w:t>
      </w:r>
      <w:proofErr w:type="spellStart"/>
      <w:r w:rsidRPr="00D42316">
        <w:t>agricultural</w:t>
      </w:r>
      <w:proofErr w:type="spellEnd"/>
      <w:r w:rsidRPr="00D42316">
        <w:t xml:space="preserve"> </w:t>
      </w:r>
      <w:proofErr w:type="spellStart"/>
      <w:r w:rsidRPr="00D42316">
        <w:t>cooperatives</w:t>
      </w:r>
      <w:proofErr w:type="spellEnd"/>
      <w:r w:rsidRPr="00D42316">
        <w:t xml:space="preserve">’ </w:t>
      </w:r>
      <w:proofErr w:type="spellStart"/>
      <w:r w:rsidRPr="00D42316">
        <w:t>economic</w:t>
      </w:r>
      <w:proofErr w:type="spellEnd"/>
      <w:r w:rsidRPr="00D42316">
        <w:t xml:space="preserve"> </w:t>
      </w:r>
      <w:proofErr w:type="spellStart"/>
      <w:r w:rsidRPr="00D42316">
        <w:t>and</w:t>
      </w:r>
      <w:proofErr w:type="spellEnd"/>
      <w:r w:rsidRPr="00D42316">
        <w:t xml:space="preserve"> </w:t>
      </w:r>
      <w:proofErr w:type="spellStart"/>
      <w:r w:rsidRPr="00D42316">
        <w:t>governance</w:t>
      </w:r>
      <w:proofErr w:type="spellEnd"/>
      <w:r w:rsidRPr="00D42316">
        <w:t xml:space="preserve"> </w:t>
      </w:r>
      <w:proofErr w:type="spellStart"/>
      <w:r w:rsidRPr="00D42316">
        <w:t>tool</w:t>
      </w:r>
      <w:proofErr w:type="spellEnd"/>
      <w:r w:rsidRPr="00D42316">
        <w:t xml:space="preserve">. </w:t>
      </w:r>
      <w:proofErr w:type="spellStart"/>
      <w:r w:rsidRPr="00D42316">
        <w:t>Annals</w:t>
      </w:r>
      <w:proofErr w:type="spellEnd"/>
      <w:r w:rsidRPr="00D42316">
        <w:t xml:space="preserve"> of </w:t>
      </w:r>
      <w:proofErr w:type="spellStart"/>
      <w:r w:rsidRPr="00D42316">
        <w:t>Public</w:t>
      </w:r>
      <w:proofErr w:type="spellEnd"/>
      <w:r w:rsidRPr="00D42316">
        <w:t xml:space="preserve"> </w:t>
      </w:r>
      <w:proofErr w:type="spellStart"/>
      <w:r w:rsidRPr="00D42316">
        <w:t>and</w:t>
      </w:r>
      <w:proofErr w:type="spellEnd"/>
      <w:r w:rsidRPr="00D42316">
        <w:t xml:space="preserve"> </w:t>
      </w:r>
      <w:proofErr w:type="spellStart"/>
      <w:r w:rsidRPr="00D42316">
        <w:t>Cooperative</w:t>
      </w:r>
      <w:proofErr w:type="spellEnd"/>
      <w:r w:rsidRPr="00D42316">
        <w:t xml:space="preserve"> </w:t>
      </w:r>
      <w:proofErr w:type="spellStart"/>
      <w:r w:rsidRPr="00D42316">
        <w:t>Economics</w:t>
      </w:r>
      <w:proofErr w:type="spellEnd"/>
      <w:r w:rsidRPr="00D42316">
        <w:t xml:space="preserve">, 85(4), 597-615. </w:t>
      </w:r>
      <w:hyperlink r:id="rId136">
        <w:r w:rsidRPr="00D42316">
          <w:rPr>
            <w:color w:val="000000"/>
            <w:u w:val="single"/>
          </w:rPr>
          <w:t>Https://doi.org/10.1111/apce.12053</w:t>
        </w:r>
      </w:hyperlink>
    </w:p>
    <w:p w14:paraId="50D6C52A" w14:textId="77777777" w:rsidR="006F6B4B" w:rsidRPr="00D42316" w:rsidRDefault="006F6B4B">
      <w:pPr>
        <w:pStyle w:val="ListeParagraf"/>
        <w:numPr>
          <w:ilvl w:val="0"/>
          <w:numId w:val="7"/>
        </w:numPr>
        <w:jc w:val="both"/>
      </w:pPr>
      <w:proofErr w:type="spellStart"/>
      <w:r w:rsidRPr="00D42316">
        <w:t>Gelb</w:t>
      </w:r>
      <w:proofErr w:type="spellEnd"/>
      <w:r w:rsidRPr="00D42316">
        <w:t xml:space="preserve">, J., &amp; </w:t>
      </w:r>
      <w:proofErr w:type="spellStart"/>
      <w:r w:rsidRPr="00D42316">
        <w:t>Estevez-Abe</w:t>
      </w:r>
      <w:proofErr w:type="spellEnd"/>
      <w:r w:rsidRPr="00D42316">
        <w:t xml:space="preserve">, M. (1998). </w:t>
      </w:r>
      <w:proofErr w:type="spellStart"/>
      <w:r w:rsidRPr="00D42316">
        <w:t>Political</w:t>
      </w:r>
      <w:proofErr w:type="spellEnd"/>
      <w:r w:rsidRPr="00D42316">
        <w:t xml:space="preserve"> </w:t>
      </w:r>
      <w:proofErr w:type="spellStart"/>
      <w:r w:rsidRPr="00D42316">
        <w:t>women</w:t>
      </w:r>
      <w:proofErr w:type="spellEnd"/>
      <w:r w:rsidRPr="00D42316">
        <w:t xml:space="preserve"> in Japan: a </w:t>
      </w:r>
      <w:proofErr w:type="spellStart"/>
      <w:r w:rsidRPr="00D42316">
        <w:t>case</w:t>
      </w:r>
      <w:proofErr w:type="spellEnd"/>
      <w:r w:rsidRPr="00D42316">
        <w:t xml:space="preserve"> </w:t>
      </w:r>
      <w:proofErr w:type="spellStart"/>
      <w:r w:rsidRPr="00D42316">
        <w:t>study</w:t>
      </w:r>
      <w:proofErr w:type="spellEnd"/>
      <w:r w:rsidRPr="00D42316">
        <w:t xml:space="preserve"> of </w:t>
      </w:r>
      <w:proofErr w:type="spellStart"/>
      <w:r w:rsidRPr="00D42316">
        <w:t>the</w:t>
      </w:r>
      <w:proofErr w:type="spellEnd"/>
      <w:r w:rsidRPr="00D42316">
        <w:t xml:space="preserve"> </w:t>
      </w:r>
      <w:proofErr w:type="spellStart"/>
      <w:r w:rsidRPr="00D42316">
        <w:t>Seikatsusha</w:t>
      </w:r>
      <w:proofErr w:type="spellEnd"/>
      <w:r w:rsidRPr="00D42316">
        <w:t xml:space="preserve"> network </w:t>
      </w:r>
      <w:proofErr w:type="spellStart"/>
      <w:r w:rsidRPr="00D42316">
        <w:t>movement</w:t>
      </w:r>
      <w:proofErr w:type="spellEnd"/>
      <w:r w:rsidRPr="00D42316">
        <w:t>. </w:t>
      </w:r>
      <w:proofErr w:type="spellStart"/>
      <w:r w:rsidRPr="00D42316">
        <w:rPr>
          <w:i/>
        </w:rPr>
        <w:t>Social</w:t>
      </w:r>
      <w:proofErr w:type="spellEnd"/>
      <w:r w:rsidRPr="00D42316">
        <w:rPr>
          <w:i/>
        </w:rPr>
        <w:t xml:space="preserve"> </w:t>
      </w:r>
      <w:proofErr w:type="spellStart"/>
      <w:r w:rsidRPr="00D42316">
        <w:rPr>
          <w:i/>
        </w:rPr>
        <w:t>Science</w:t>
      </w:r>
      <w:proofErr w:type="spellEnd"/>
      <w:r w:rsidRPr="00D42316">
        <w:rPr>
          <w:i/>
        </w:rPr>
        <w:t xml:space="preserve"> Japan </w:t>
      </w:r>
      <w:proofErr w:type="spellStart"/>
      <w:r w:rsidRPr="00D42316">
        <w:rPr>
          <w:i/>
        </w:rPr>
        <w:t>Journal</w:t>
      </w:r>
      <w:proofErr w:type="spellEnd"/>
      <w:r w:rsidRPr="00D42316">
        <w:t>, </w:t>
      </w:r>
      <w:r w:rsidRPr="00D42316">
        <w:rPr>
          <w:i/>
        </w:rPr>
        <w:t>1</w:t>
      </w:r>
      <w:r w:rsidRPr="00D42316">
        <w:t>(2), 263-279.</w:t>
      </w:r>
    </w:p>
    <w:p w14:paraId="5A56BF50" w14:textId="77777777" w:rsidR="006F6B4B" w:rsidRPr="00D42316" w:rsidRDefault="006F6B4B">
      <w:pPr>
        <w:pStyle w:val="ListeParagraf"/>
        <w:numPr>
          <w:ilvl w:val="0"/>
          <w:numId w:val="7"/>
        </w:numPr>
        <w:jc w:val="both"/>
      </w:pPr>
      <w:proofErr w:type="spellStart"/>
      <w:r w:rsidRPr="00D42316">
        <w:t>Hillenkamp</w:t>
      </w:r>
      <w:proofErr w:type="spellEnd"/>
      <w:r w:rsidRPr="00D42316">
        <w:t xml:space="preserve">, I., &amp; </w:t>
      </w:r>
      <w:proofErr w:type="spellStart"/>
      <w:r w:rsidRPr="00D42316">
        <w:t>dos</w:t>
      </w:r>
      <w:proofErr w:type="spellEnd"/>
      <w:r w:rsidRPr="00D42316">
        <w:t xml:space="preserve"> Santos, L. L. (2019). </w:t>
      </w:r>
      <w:proofErr w:type="spellStart"/>
      <w:r w:rsidRPr="00D42316">
        <w:t>The</w:t>
      </w:r>
      <w:proofErr w:type="spellEnd"/>
      <w:r w:rsidRPr="00D42316">
        <w:t xml:space="preserve"> </w:t>
      </w:r>
      <w:proofErr w:type="spellStart"/>
      <w:r w:rsidRPr="00D42316">
        <w:t>domestic</w:t>
      </w:r>
      <w:proofErr w:type="spellEnd"/>
      <w:r w:rsidRPr="00D42316">
        <w:t xml:space="preserve"> domain </w:t>
      </w:r>
      <w:proofErr w:type="spellStart"/>
      <w:r w:rsidRPr="00D42316">
        <w:t>within</w:t>
      </w:r>
      <w:proofErr w:type="spellEnd"/>
      <w:r w:rsidRPr="00D42316">
        <w:t xml:space="preserve"> a post-</w:t>
      </w:r>
      <w:proofErr w:type="spellStart"/>
      <w:r w:rsidRPr="00D42316">
        <w:t>colonial</w:t>
      </w:r>
      <w:proofErr w:type="spellEnd"/>
      <w:r w:rsidRPr="00D42316">
        <w:t xml:space="preserve">, feminist </w:t>
      </w:r>
      <w:proofErr w:type="spellStart"/>
      <w:r w:rsidRPr="00D42316">
        <w:t>reading</w:t>
      </w:r>
      <w:proofErr w:type="spellEnd"/>
      <w:r w:rsidRPr="00D42316">
        <w:t xml:space="preserve"> of </w:t>
      </w:r>
      <w:proofErr w:type="spellStart"/>
      <w:r w:rsidRPr="00D42316">
        <w:t>social</w:t>
      </w:r>
      <w:proofErr w:type="spellEnd"/>
      <w:r w:rsidRPr="00D42316">
        <w:t xml:space="preserve"> </w:t>
      </w:r>
      <w:proofErr w:type="spellStart"/>
      <w:r w:rsidRPr="00D42316">
        <w:t>enterprise</w:t>
      </w:r>
      <w:proofErr w:type="spellEnd"/>
      <w:r w:rsidRPr="00D42316">
        <w:t xml:space="preserve">: </w:t>
      </w:r>
      <w:proofErr w:type="spellStart"/>
      <w:r w:rsidRPr="00D42316">
        <w:t>towards</w:t>
      </w:r>
      <w:proofErr w:type="spellEnd"/>
      <w:r w:rsidRPr="00D42316">
        <w:t xml:space="preserve"> a </w:t>
      </w:r>
      <w:proofErr w:type="spellStart"/>
      <w:r w:rsidRPr="00D42316">
        <w:t>substantive</w:t>
      </w:r>
      <w:proofErr w:type="spellEnd"/>
      <w:r w:rsidRPr="00D42316">
        <w:t xml:space="preserve">, </w:t>
      </w:r>
      <w:proofErr w:type="spellStart"/>
      <w:r w:rsidRPr="00D42316">
        <w:t>gender-based</w:t>
      </w:r>
      <w:proofErr w:type="spellEnd"/>
      <w:r w:rsidRPr="00D42316">
        <w:t xml:space="preserve"> </w:t>
      </w:r>
      <w:proofErr w:type="spellStart"/>
      <w:r w:rsidRPr="00D42316">
        <w:t>concept</w:t>
      </w:r>
      <w:proofErr w:type="spellEnd"/>
      <w:r w:rsidRPr="00D42316">
        <w:t xml:space="preserve"> of </w:t>
      </w:r>
      <w:proofErr w:type="spellStart"/>
      <w:r w:rsidRPr="00D42316">
        <w:t>solidarity</w:t>
      </w:r>
      <w:proofErr w:type="spellEnd"/>
      <w:r w:rsidRPr="00D42316">
        <w:t xml:space="preserve"> </w:t>
      </w:r>
      <w:proofErr w:type="spellStart"/>
      <w:r w:rsidRPr="00D42316">
        <w:t>enterprise</w:t>
      </w:r>
      <w:proofErr w:type="spellEnd"/>
      <w:r w:rsidRPr="00D42316">
        <w:t xml:space="preserve">. </w:t>
      </w:r>
      <w:proofErr w:type="spellStart"/>
      <w:r w:rsidRPr="00D42316">
        <w:t>In</w:t>
      </w:r>
      <w:proofErr w:type="spellEnd"/>
      <w:r w:rsidRPr="00D42316">
        <w:t> </w:t>
      </w:r>
      <w:proofErr w:type="spellStart"/>
      <w:r w:rsidRPr="00D42316">
        <w:rPr>
          <w:i/>
        </w:rPr>
        <w:t>Theory</w:t>
      </w:r>
      <w:proofErr w:type="spellEnd"/>
      <w:r w:rsidRPr="00D42316">
        <w:rPr>
          <w:i/>
        </w:rPr>
        <w:t xml:space="preserve"> of </w:t>
      </w:r>
      <w:proofErr w:type="spellStart"/>
      <w:r w:rsidRPr="00D42316">
        <w:rPr>
          <w:i/>
        </w:rPr>
        <w:t>social</w:t>
      </w:r>
      <w:proofErr w:type="spellEnd"/>
      <w:r w:rsidRPr="00D42316">
        <w:rPr>
          <w:i/>
        </w:rPr>
        <w:t xml:space="preserve"> </w:t>
      </w:r>
      <w:proofErr w:type="spellStart"/>
      <w:r w:rsidRPr="00D42316">
        <w:rPr>
          <w:i/>
        </w:rPr>
        <w:t>enterprise</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pluralism</w:t>
      </w:r>
      <w:proofErr w:type="spellEnd"/>
      <w:r w:rsidRPr="00D42316">
        <w:t> (</w:t>
      </w:r>
      <w:proofErr w:type="spellStart"/>
      <w:r w:rsidRPr="00D42316">
        <w:t>pp</w:t>
      </w:r>
      <w:proofErr w:type="spellEnd"/>
      <w:r w:rsidRPr="00D42316">
        <w:t xml:space="preserve">. 90-115). </w:t>
      </w:r>
      <w:proofErr w:type="spellStart"/>
      <w:r w:rsidRPr="00D42316">
        <w:t>Routledge</w:t>
      </w:r>
      <w:proofErr w:type="spellEnd"/>
      <w:r w:rsidRPr="00D42316">
        <w:t>.</w:t>
      </w:r>
    </w:p>
    <w:p w14:paraId="4CF63ED9" w14:textId="77777777" w:rsidR="006F6B4B" w:rsidRPr="00D42316" w:rsidRDefault="006F6B4B">
      <w:pPr>
        <w:pStyle w:val="ListeParagraf"/>
        <w:numPr>
          <w:ilvl w:val="0"/>
          <w:numId w:val="7"/>
        </w:numPr>
        <w:jc w:val="both"/>
      </w:pPr>
      <w:proofErr w:type="spellStart"/>
      <w:r w:rsidRPr="00D42316">
        <w:t>Junko</w:t>
      </w:r>
      <w:proofErr w:type="spellEnd"/>
      <w:r w:rsidRPr="00D42316">
        <w:t xml:space="preserve">, A. (2015). </w:t>
      </w:r>
      <w:proofErr w:type="spellStart"/>
      <w:r w:rsidRPr="00D42316">
        <w:t>Working</w:t>
      </w:r>
      <w:proofErr w:type="spellEnd"/>
      <w:r w:rsidRPr="00D42316">
        <w:t xml:space="preserve"> at a Consumer </w:t>
      </w:r>
      <w:proofErr w:type="spellStart"/>
      <w:r w:rsidRPr="00D42316">
        <w:t>Cooperative</w:t>
      </w:r>
      <w:proofErr w:type="spellEnd"/>
      <w:r w:rsidRPr="00D42316">
        <w:t xml:space="preserve">. </w:t>
      </w:r>
      <w:proofErr w:type="spellStart"/>
      <w:r w:rsidRPr="00D42316">
        <w:t>In</w:t>
      </w:r>
      <w:proofErr w:type="spellEnd"/>
      <w:r w:rsidRPr="00D42316">
        <w:t> </w:t>
      </w:r>
      <w:proofErr w:type="spellStart"/>
      <w:r w:rsidRPr="00D42316">
        <w:rPr>
          <w:i/>
        </w:rPr>
        <w:t>Voices</w:t>
      </w:r>
      <w:proofErr w:type="spellEnd"/>
      <w:r w:rsidRPr="00D42316">
        <w:rPr>
          <w:i/>
        </w:rPr>
        <w:t xml:space="preserve"> </w:t>
      </w:r>
      <w:proofErr w:type="spellStart"/>
      <w:r w:rsidRPr="00D42316">
        <w:rPr>
          <w:i/>
        </w:rPr>
        <w:t>from</w:t>
      </w:r>
      <w:proofErr w:type="spellEnd"/>
      <w:r w:rsidRPr="00D42316">
        <w:rPr>
          <w:i/>
        </w:rPr>
        <w:t xml:space="preserve"> </w:t>
      </w:r>
      <w:proofErr w:type="spellStart"/>
      <w:r w:rsidRPr="00D42316">
        <w:rPr>
          <w:i/>
        </w:rPr>
        <w:t>the</w:t>
      </w:r>
      <w:proofErr w:type="spellEnd"/>
      <w:r w:rsidRPr="00D42316">
        <w:rPr>
          <w:i/>
        </w:rPr>
        <w:t xml:space="preserve"> </w:t>
      </w:r>
      <w:proofErr w:type="spellStart"/>
      <w:r w:rsidRPr="00D42316">
        <w:rPr>
          <w:i/>
        </w:rPr>
        <w:t>Japanese</w:t>
      </w:r>
      <w:proofErr w:type="spellEnd"/>
      <w:r w:rsidRPr="00D42316">
        <w:rPr>
          <w:i/>
        </w:rPr>
        <w:t xml:space="preserve"> </w:t>
      </w:r>
      <w:proofErr w:type="spellStart"/>
      <w:r w:rsidRPr="00D42316">
        <w:rPr>
          <w:i/>
        </w:rPr>
        <w:t>Women's</w:t>
      </w:r>
      <w:proofErr w:type="spellEnd"/>
      <w:r w:rsidRPr="00D42316">
        <w:rPr>
          <w:i/>
        </w:rPr>
        <w:t xml:space="preserve"> </w:t>
      </w:r>
      <w:proofErr w:type="spellStart"/>
      <w:r w:rsidRPr="00D42316">
        <w:rPr>
          <w:i/>
        </w:rPr>
        <w:t>Movement</w:t>
      </w:r>
      <w:proofErr w:type="spellEnd"/>
      <w:r w:rsidRPr="00D42316">
        <w:t> (</w:t>
      </w:r>
      <w:proofErr w:type="spellStart"/>
      <w:r w:rsidRPr="00D42316">
        <w:t>pp</w:t>
      </w:r>
      <w:proofErr w:type="spellEnd"/>
      <w:r w:rsidRPr="00D42316">
        <w:t xml:space="preserve">. 190-193). </w:t>
      </w:r>
      <w:proofErr w:type="spellStart"/>
      <w:r w:rsidRPr="00D42316">
        <w:t>Routledge</w:t>
      </w:r>
      <w:proofErr w:type="spellEnd"/>
      <w:r w:rsidRPr="00D42316">
        <w:t>.</w:t>
      </w:r>
    </w:p>
    <w:p w14:paraId="1DD5DC0F" w14:textId="77777777" w:rsidR="006F6B4B" w:rsidRPr="00D42316" w:rsidRDefault="006F6B4B">
      <w:pPr>
        <w:pStyle w:val="ListeParagraf"/>
        <w:numPr>
          <w:ilvl w:val="0"/>
          <w:numId w:val="7"/>
        </w:numPr>
        <w:jc w:val="both"/>
      </w:pPr>
      <w:r w:rsidRPr="00D42316">
        <w:t xml:space="preserve">ILO (2024). Türkiye’de Kadınların Kooperatifler Yoluyla Güçlenmesi: Yasal </w:t>
      </w:r>
      <w:proofErr w:type="gramStart"/>
      <w:r w:rsidRPr="00D42316">
        <w:t>Ve</w:t>
      </w:r>
      <w:proofErr w:type="gramEnd"/>
      <w:r w:rsidRPr="00D42316">
        <w:t xml:space="preserve"> Yapısal Stratejiler” </w:t>
      </w:r>
      <w:proofErr w:type="spellStart"/>
      <w:r w:rsidRPr="00D42316">
        <w:t>Ilo</w:t>
      </w:r>
      <w:proofErr w:type="spellEnd"/>
      <w:r w:rsidRPr="00D42316">
        <w:t xml:space="preserve"> Türkiye Raporundan Öne Çıkanlar: Tespitler-Öneriler Basın </w:t>
      </w:r>
      <w:r w:rsidRPr="00D42316">
        <w:lastRenderedPageBreak/>
        <w:t xml:space="preserve">Bilgi Notu. </w:t>
      </w:r>
      <w:hyperlink r:id="rId137" w:anchor=":~:text=%E2%9E%A2%20Ticaret%20Bakanl%C4%B1%C4%9F%C4%B1n%C4%B1n%2014.05.2021,nin%20say%C4%B1s%C4%B1%20594%20olarak%20belirtilmi%C5%9">
        <w:r w:rsidRPr="00D42316">
          <w:rPr>
            <w:color w:val="467886"/>
            <w:u w:val="single"/>
          </w:rPr>
          <w:t>https://www.ilo.org/tr/media/93931/download#:~:text=%E2%9E%A2%20Ticaret%20Bakanl%C4%B1%C4%9F%C4%B1n%C4%B1n%2014.05.2021,nin%20say%C4%B1s%C4%B1%20594%20olarak%20belirtilmi%C5%9</w:t>
        </w:r>
      </w:hyperlink>
      <w:r w:rsidRPr="00D42316">
        <w:t>. Son Erişim Tarihi 27.02.2025.</w:t>
      </w:r>
    </w:p>
    <w:p w14:paraId="3067DB08" w14:textId="77777777" w:rsidR="006F6B4B" w:rsidRPr="00D42316" w:rsidRDefault="006F6B4B">
      <w:pPr>
        <w:pStyle w:val="ListeParagraf"/>
        <w:numPr>
          <w:ilvl w:val="0"/>
          <w:numId w:val="7"/>
        </w:numPr>
        <w:jc w:val="both"/>
      </w:pPr>
      <w:proofErr w:type="spellStart"/>
      <w:r w:rsidRPr="00D42316">
        <w:t>Kabeer</w:t>
      </w:r>
      <w:proofErr w:type="spellEnd"/>
      <w:r w:rsidRPr="00D42316">
        <w:t xml:space="preserve">, N., </w:t>
      </w:r>
      <w:proofErr w:type="spellStart"/>
      <w:r w:rsidRPr="00D42316">
        <w:t>Milward</w:t>
      </w:r>
      <w:proofErr w:type="spellEnd"/>
      <w:r w:rsidRPr="00D42316">
        <w:t xml:space="preserve">, K. </w:t>
      </w:r>
      <w:proofErr w:type="spellStart"/>
      <w:r w:rsidRPr="00D42316">
        <w:t>and</w:t>
      </w:r>
      <w:proofErr w:type="spellEnd"/>
      <w:r w:rsidRPr="00D42316">
        <w:t xml:space="preserve"> </w:t>
      </w:r>
      <w:proofErr w:type="spellStart"/>
      <w:r w:rsidRPr="00D42316">
        <w:t>Sudarshan</w:t>
      </w:r>
      <w:proofErr w:type="spellEnd"/>
      <w:r w:rsidRPr="00D42316">
        <w:t xml:space="preserve">, R. (2013). Beyond </w:t>
      </w:r>
      <w:proofErr w:type="spellStart"/>
      <w:r w:rsidRPr="00D42316">
        <w:t>the</w:t>
      </w:r>
      <w:proofErr w:type="spellEnd"/>
      <w:r w:rsidRPr="00D42316">
        <w:t xml:space="preserve"> </w:t>
      </w:r>
      <w:proofErr w:type="spellStart"/>
      <w:r w:rsidRPr="00D42316">
        <w:t>weapons</w:t>
      </w:r>
      <w:proofErr w:type="spellEnd"/>
      <w:r w:rsidRPr="00D42316">
        <w:t xml:space="preserve"> of </w:t>
      </w:r>
      <w:proofErr w:type="spellStart"/>
      <w:r w:rsidRPr="00D42316">
        <w:t>the</w:t>
      </w:r>
      <w:proofErr w:type="spellEnd"/>
      <w:r w:rsidRPr="00D42316">
        <w:t xml:space="preserve"> </w:t>
      </w:r>
      <w:proofErr w:type="spellStart"/>
      <w:r w:rsidRPr="00D42316">
        <w:t>weak</w:t>
      </w:r>
      <w:proofErr w:type="spellEnd"/>
      <w:r w:rsidRPr="00D42316">
        <w:t xml:space="preserve">: </w:t>
      </w:r>
      <w:proofErr w:type="spellStart"/>
      <w:r w:rsidRPr="00D42316">
        <w:t>Organizing</w:t>
      </w:r>
      <w:proofErr w:type="spellEnd"/>
      <w:r w:rsidRPr="00D42316">
        <w:t xml:space="preserve"> </w:t>
      </w:r>
      <w:proofErr w:type="spellStart"/>
      <w:r w:rsidRPr="00D42316">
        <w:t>women</w:t>
      </w:r>
      <w:proofErr w:type="spellEnd"/>
      <w:r w:rsidRPr="00D42316">
        <w:t xml:space="preserve"> </w:t>
      </w:r>
      <w:proofErr w:type="spellStart"/>
      <w:r w:rsidRPr="00D42316">
        <w:t>workers</w:t>
      </w:r>
      <w:proofErr w:type="spellEnd"/>
      <w:r w:rsidRPr="00D42316">
        <w:t xml:space="preserve"> in </w:t>
      </w:r>
      <w:proofErr w:type="spellStart"/>
      <w:r w:rsidRPr="00D42316">
        <w:t>the</w:t>
      </w:r>
      <w:proofErr w:type="spellEnd"/>
      <w:r w:rsidRPr="00D42316">
        <w:t xml:space="preserve"> </w:t>
      </w:r>
      <w:proofErr w:type="spellStart"/>
      <w:r w:rsidRPr="00D42316">
        <w:t>informal</w:t>
      </w:r>
      <w:proofErr w:type="spellEnd"/>
      <w:r w:rsidRPr="00D42316">
        <w:t xml:space="preserve"> </w:t>
      </w:r>
      <w:proofErr w:type="spellStart"/>
      <w:r w:rsidRPr="00D42316">
        <w:t>economy</w:t>
      </w:r>
      <w:proofErr w:type="spellEnd"/>
      <w:r w:rsidRPr="00D42316">
        <w:t xml:space="preserve">. </w:t>
      </w:r>
      <w:proofErr w:type="spellStart"/>
      <w:r w:rsidRPr="00D42316">
        <w:t>In</w:t>
      </w:r>
      <w:proofErr w:type="spellEnd"/>
      <w:r w:rsidRPr="00D42316">
        <w:t xml:space="preserve"> </w:t>
      </w:r>
      <w:proofErr w:type="spellStart"/>
      <w:r w:rsidRPr="00D42316">
        <w:t>Naila</w:t>
      </w:r>
      <w:proofErr w:type="spellEnd"/>
      <w:r w:rsidRPr="00D42316">
        <w:t xml:space="preserve"> </w:t>
      </w:r>
      <w:proofErr w:type="spellStart"/>
      <w:r w:rsidRPr="00D42316">
        <w:t>Kabeer</w:t>
      </w:r>
      <w:proofErr w:type="spellEnd"/>
      <w:r w:rsidRPr="00D42316">
        <w:t xml:space="preserve">, </w:t>
      </w:r>
      <w:proofErr w:type="spellStart"/>
      <w:r w:rsidRPr="00D42316">
        <w:t>Ratna</w:t>
      </w:r>
      <w:proofErr w:type="spellEnd"/>
      <w:r w:rsidRPr="00D42316">
        <w:t xml:space="preserve"> </w:t>
      </w:r>
      <w:proofErr w:type="spellStart"/>
      <w:r w:rsidRPr="00D42316">
        <w:t>Sudarshan</w:t>
      </w:r>
      <w:proofErr w:type="spellEnd"/>
      <w:r w:rsidRPr="00D42316">
        <w:t xml:space="preserve"> </w:t>
      </w:r>
      <w:proofErr w:type="spellStart"/>
      <w:r w:rsidRPr="00D42316">
        <w:t>and</w:t>
      </w:r>
      <w:proofErr w:type="spellEnd"/>
      <w:r w:rsidRPr="00D42316">
        <w:t xml:space="preserve"> </w:t>
      </w:r>
      <w:proofErr w:type="spellStart"/>
      <w:r w:rsidRPr="00D42316">
        <w:t>Kirsty</w:t>
      </w:r>
      <w:proofErr w:type="spellEnd"/>
      <w:r w:rsidRPr="00D42316">
        <w:t xml:space="preserve"> </w:t>
      </w:r>
      <w:proofErr w:type="spellStart"/>
      <w:r w:rsidRPr="00D42316">
        <w:t>Milward</w:t>
      </w:r>
      <w:proofErr w:type="spellEnd"/>
      <w:r w:rsidRPr="00D42316">
        <w:t xml:space="preserve"> (</w:t>
      </w:r>
      <w:proofErr w:type="spellStart"/>
      <w:r w:rsidRPr="00D42316">
        <w:t>eds</w:t>
      </w:r>
      <w:proofErr w:type="spellEnd"/>
      <w:r w:rsidRPr="00D42316">
        <w:t xml:space="preserve">.), </w:t>
      </w:r>
      <w:proofErr w:type="spellStart"/>
      <w:r w:rsidRPr="00D42316">
        <w:rPr>
          <w:i/>
        </w:rPr>
        <w:t>Organizing</w:t>
      </w:r>
      <w:proofErr w:type="spellEnd"/>
      <w:r w:rsidRPr="00D42316">
        <w:rPr>
          <w:i/>
        </w:rPr>
        <w:t xml:space="preserve"> </w:t>
      </w:r>
      <w:proofErr w:type="spellStart"/>
      <w:r w:rsidRPr="00D42316">
        <w:rPr>
          <w:i/>
        </w:rPr>
        <w:t>Women</w:t>
      </w:r>
      <w:proofErr w:type="spellEnd"/>
      <w:r w:rsidRPr="00D42316">
        <w:rPr>
          <w:i/>
        </w:rPr>
        <w:t xml:space="preserve"> </w:t>
      </w:r>
      <w:proofErr w:type="spellStart"/>
      <w:r w:rsidRPr="00D42316">
        <w:rPr>
          <w:i/>
        </w:rPr>
        <w:t>Workers</w:t>
      </w:r>
      <w:proofErr w:type="spellEnd"/>
      <w:r w:rsidRPr="00D42316">
        <w:rPr>
          <w:i/>
        </w:rPr>
        <w:t xml:space="preserve"> in </w:t>
      </w:r>
      <w:proofErr w:type="spellStart"/>
      <w:r w:rsidRPr="00D42316">
        <w:rPr>
          <w:i/>
        </w:rPr>
        <w:t>the</w:t>
      </w:r>
      <w:proofErr w:type="spellEnd"/>
      <w:r w:rsidRPr="00D42316">
        <w:rPr>
          <w:i/>
        </w:rPr>
        <w:t xml:space="preserve"> </w:t>
      </w:r>
      <w:proofErr w:type="spellStart"/>
      <w:r w:rsidRPr="00D42316">
        <w:rPr>
          <w:i/>
        </w:rPr>
        <w:t>Informal</w:t>
      </w:r>
      <w:proofErr w:type="spellEnd"/>
      <w:r w:rsidRPr="00D42316">
        <w:rPr>
          <w:i/>
        </w:rPr>
        <w:t xml:space="preserve"> </w:t>
      </w:r>
      <w:proofErr w:type="spellStart"/>
      <w:r w:rsidRPr="00D42316">
        <w:rPr>
          <w:i/>
        </w:rPr>
        <w:t>Economy</w:t>
      </w:r>
      <w:proofErr w:type="spellEnd"/>
      <w:r w:rsidRPr="00D42316">
        <w:t xml:space="preserve">. Beyond </w:t>
      </w:r>
      <w:proofErr w:type="spellStart"/>
      <w:r w:rsidRPr="00D42316">
        <w:t>the</w:t>
      </w:r>
      <w:proofErr w:type="spellEnd"/>
      <w:r w:rsidRPr="00D42316">
        <w:t xml:space="preserve"> </w:t>
      </w:r>
      <w:proofErr w:type="spellStart"/>
      <w:r w:rsidRPr="00D42316">
        <w:t>Weapons</w:t>
      </w:r>
      <w:proofErr w:type="spellEnd"/>
      <w:r w:rsidRPr="00D42316">
        <w:t xml:space="preserve"> of </w:t>
      </w:r>
      <w:proofErr w:type="spellStart"/>
      <w:r w:rsidRPr="00D42316">
        <w:t>the</w:t>
      </w:r>
      <w:proofErr w:type="spellEnd"/>
      <w:r w:rsidRPr="00D42316">
        <w:t xml:space="preserve"> </w:t>
      </w:r>
      <w:proofErr w:type="spellStart"/>
      <w:r w:rsidRPr="00D42316">
        <w:t>Weak</w:t>
      </w:r>
      <w:proofErr w:type="spellEnd"/>
      <w:r w:rsidRPr="00D42316">
        <w:t xml:space="preserve">. </w:t>
      </w:r>
      <w:proofErr w:type="spellStart"/>
      <w:r w:rsidRPr="00D42316">
        <w:t>Zed</w:t>
      </w:r>
      <w:proofErr w:type="spellEnd"/>
      <w:r w:rsidRPr="00D42316">
        <w:t xml:space="preserve"> </w:t>
      </w:r>
      <w:proofErr w:type="spellStart"/>
      <w:r w:rsidRPr="00D42316">
        <w:t>Press</w:t>
      </w:r>
      <w:proofErr w:type="spellEnd"/>
      <w:r w:rsidRPr="00D42316">
        <w:t xml:space="preserve">, </w:t>
      </w:r>
      <w:proofErr w:type="spellStart"/>
      <w:r w:rsidRPr="00D42316">
        <w:t>London</w:t>
      </w:r>
      <w:proofErr w:type="spellEnd"/>
      <w:r w:rsidRPr="00D42316">
        <w:t>.</w:t>
      </w:r>
    </w:p>
    <w:p w14:paraId="1B4A827F" w14:textId="77777777" w:rsidR="006F6B4B" w:rsidRPr="00D42316" w:rsidRDefault="006F6B4B">
      <w:pPr>
        <w:pStyle w:val="ListeParagraf"/>
        <w:numPr>
          <w:ilvl w:val="0"/>
          <w:numId w:val="7"/>
        </w:numPr>
        <w:jc w:val="both"/>
      </w:pPr>
      <w:r w:rsidRPr="00D42316">
        <w:t xml:space="preserve">KEDV (2015). 5. Kadın Kooperatifleri Buluşması Raporu, 23-24-25 Aralık 2015, İstanbul. </w:t>
      </w:r>
      <w:hyperlink r:id="rId138">
        <w:r w:rsidRPr="00D42316">
          <w:rPr>
            <w:color w:val="467886"/>
            <w:u w:val="single"/>
          </w:rPr>
          <w:t>https://www.kedv.org.tr/public/uploads/files/5_Kad%C4%B1n%20Kooperatifleri%20Bulus%CC%A7mas%C4%B1%20Raporu.pdf</w:t>
        </w:r>
      </w:hyperlink>
      <w:r w:rsidRPr="00D42316">
        <w:t>. Son Erişim Tarihi 27.02.2025.</w:t>
      </w:r>
    </w:p>
    <w:p w14:paraId="147D0BA5" w14:textId="77777777" w:rsidR="006F6B4B" w:rsidRPr="00D42316" w:rsidRDefault="006F6B4B">
      <w:pPr>
        <w:pStyle w:val="ListeParagraf"/>
        <w:numPr>
          <w:ilvl w:val="0"/>
          <w:numId w:val="7"/>
        </w:numPr>
        <w:jc w:val="both"/>
      </w:pPr>
      <w:r w:rsidRPr="00D42316">
        <w:t xml:space="preserve">KEDV (2018). 6. Kadın Kooperatifleri Buluşması Raporu, 7-8-9 Mayıs 2018, İstanbul. </w:t>
      </w:r>
      <w:hyperlink r:id="rId139">
        <w:r w:rsidRPr="00D42316">
          <w:rPr>
            <w:color w:val="467886"/>
            <w:u w:val="single"/>
          </w:rPr>
          <w:t>https://www.kedv.org.tr/public/uploads/files/6_Kad%C4%B1n%20Kooperatifleri%20Bulus%CC%A7mas%C4%B1%20Raporu.pdf</w:t>
        </w:r>
      </w:hyperlink>
      <w:r w:rsidRPr="00D42316">
        <w:t>. Son Erişim Tarihi 27.02.2025.</w:t>
      </w:r>
    </w:p>
    <w:p w14:paraId="1C3473B0" w14:textId="77777777" w:rsidR="006F6B4B" w:rsidRPr="00D42316" w:rsidRDefault="006F6B4B">
      <w:pPr>
        <w:pStyle w:val="ListeParagraf"/>
        <w:numPr>
          <w:ilvl w:val="0"/>
          <w:numId w:val="7"/>
        </w:numPr>
        <w:jc w:val="both"/>
      </w:pPr>
      <w:proofErr w:type="spellStart"/>
      <w:r w:rsidRPr="00D42316">
        <w:t>Kiyomi</w:t>
      </w:r>
      <w:proofErr w:type="spellEnd"/>
      <w:r w:rsidRPr="00D42316">
        <w:t xml:space="preserve">, K. (2001). </w:t>
      </w:r>
      <w:proofErr w:type="spellStart"/>
      <w:r w:rsidRPr="00D42316">
        <w:t>Institutionalization</w:t>
      </w:r>
      <w:proofErr w:type="spellEnd"/>
      <w:r w:rsidRPr="00D42316">
        <w:t xml:space="preserve">, </w:t>
      </w:r>
      <w:proofErr w:type="spellStart"/>
      <w:r w:rsidRPr="00D42316">
        <w:t>Gender</w:t>
      </w:r>
      <w:proofErr w:type="spellEnd"/>
      <w:r w:rsidRPr="00D42316">
        <w:t xml:space="preserve"> </w:t>
      </w:r>
      <w:proofErr w:type="spellStart"/>
      <w:r w:rsidRPr="00D42316">
        <w:t>Hierarchy</w:t>
      </w:r>
      <w:proofErr w:type="spellEnd"/>
      <w:r w:rsidRPr="00D42316">
        <w:t xml:space="preserve">, </w:t>
      </w:r>
      <w:proofErr w:type="spellStart"/>
      <w:r w:rsidRPr="00D42316">
        <w:t>and</w:t>
      </w:r>
      <w:proofErr w:type="spellEnd"/>
      <w:r w:rsidRPr="00D42316">
        <w:t xml:space="preserve"> </w:t>
      </w:r>
      <w:proofErr w:type="spellStart"/>
      <w:r w:rsidRPr="00D42316">
        <w:t>Paradox</w:t>
      </w:r>
      <w:proofErr w:type="spellEnd"/>
      <w:r w:rsidRPr="00D42316">
        <w:t xml:space="preserve"> in </w:t>
      </w:r>
      <w:proofErr w:type="spellStart"/>
      <w:r w:rsidRPr="00D42316">
        <w:t>Social</w:t>
      </w:r>
      <w:proofErr w:type="spellEnd"/>
      <w:r w:rsidRPr="00D42316">
        <w:t xml:space="preserve"> </w:t>
      </w:r>
      <w:proofErr w:type="spellStart"/>
      <w:r w:rsidRPr="00D42316">
        <w:t>Movements</w:t>
      </w:r>
      <w:proofErr w:type="spellEnd"/>
      <w:r w:rsidRPr="00D42316">
        <w:t xml:space="preserve">: Reading </w:t>
      </w:r>
      <w:proofErr w:type="spellStart"/>
      <w:r w:rsidRPr="00D42316">
        <w:t>from</w:t>
      </w:r>
      <w:proofErr w:type="spellEnd"/>
      <w:r w:rsidRPr="00D42316">
        <w:t xml:space="preserve">" </w:t>
      </w:r>
      <w:proofErr w:type="spellStart"/>
      <w:r w:rsidRPr="00D42316">
        <w:t>Living</w:t>
      </w:r>
      <w:proofErr w:type="spellEnd"/>
      <w:r w:rsidRPr="00D42316">
        <w:t xml:space="preserve"> </w:t>
      </w:r>
      <w:proofErr w:type="spellStart"/>
      <w:r w:rsidRPr="00D42316">
        <w:t>and</w:t>
      </w:r>
      <w:proofErr w:type="spellEnd"/>
      <w:r w:rsidRPr="00D42316">
        <w:t xml:space="preserve"> Self-Management", </w:t>
      </w:r>
      <w:proofErr w:type="spellStart"/>
      <w:r w:rsidRPr="00D42316">
        <w:t>the</w:t>
      </w:r>
      <w:proofErr w:type="spellEnd"/>
      <w:r w:rsidRPr="00D42316">
        <w:t xml:space="preserve"> </w:t>
      </w:r>
      <w:proofErr w:type="spellStart"/>
      <w:r w:rsidRPr="00D42316">
        <w:t>Seikatsu</w:t>
      </w:r>
      <w:proofErr w:type="spellEnd"/>
      <w:r w:rsidRPr="00D42316">
        <w:t xml:space="preserve"> Club </w:t>
      </w:r>
      <w:proofErr w:type="spellStart"/>
      <w:r w:rsidRPr="00D42316">
        <w:t>Consumers</w:t>
      </w:r>
      <w:proofErr w:type="spellEnd"/>
      <w:r w:rsidRPr="00D42316">
        <w:t xml:space="preserve">' </w:t>
      </w:r>
      <w:proofErr w:type="spellStart"/>
      <w:r w:rsidRPr="00D42316">
        <w:t>Cooperative</w:t>
      </w:r>
      <w:proofErr w:type="spellEnd"/>
      <w:r w:rsidRPr="00D42316">
        <w:t xml:space="preserve"> </w:t>
      </w:r>
      <w:proofErr w:type="spellStart"/>
      <w:r w:rsidRPr="00D42316">
        <w:t>Newsletter</w:t>
      </w:r>
      <w:proofErr w:type="spellEnd"/>
      <w:r w:rsidRPr="00D42316">
        <w:t>. </w:t>
      </w:r>
      <w:r w:rsidRPr="00D42316">
        <w:rPr>
          <w:i/>
        </w:rPr>
        <w:t xml:space="preserve">US-Japan </w:t>
      </w:r>
      <w:proofErr w:type="spellStart"/>
      <w:r w:rsidRPr="00D42316">
        <w:rPr>
          <w:i/>
        </w:rPr>
        <w:t>Women's</w:t>
      </w:r>
      <w:proofErr w:type="spellEnd"/>
      <w:r w:rsidRPr="00D42316">
        <w:rPr>
          <w:i/>
        </w:rPr>
        <w:t xml:space="preserve"> </w:t>
      </w:r>
      <w:proofErr w:type="spellStart"/>
      <w:r w:rsidRPr="00D42316">
        <w:rPr>
          <w:i/>
        </w:rPr>
        <w:t>Journal</w:t>
      </w:r>
      <w:proofErr w:type="spellEnd"/>
      <w:r w:rsidRPr="00D42316">
        <w:rPr>
          <w:i/>
        </w:rPr>
        <w:t xml:space="preserve">. English </w:t>
      </w:r>
      <w:proofErr w:type="spellStart"/>
      <w:r w:rsidRPr="00D42316">
        <w:rPr>
          <w:i/>
        </w:rPr>
        <w:t>Supplement</w:t>
      </w:r>
      <w:proofErr w:type="spellEnd"/>
      <w:r w:rsidRPr="00D42316">
        <w:t>, 125-150.</w:t>
      </w:r>
    </w:p>
    <w:p w14:paraId="2346EA00" w14:textId="77777777" w:rsidR="006F6B4B" w:rsidRPr="00D42316" w:rsidRDefault="006F6B4B">
      <w:pPr>
        <w:pStyle w:val="ListeParagraf"/>
        <w:numPr>
          <w:ilvl w:val="0"/>
          <w:numId w:val="7"/>
        </w:numPr>
        <w:jc w:val="both"/>
      </w:pPr>
      <w:r w:rsidRPr="00D42316">
        <w:t xml:space="preserve">KOOPBİS, T.C. Ticaret Bakanlığı, Esnaf, Sanatkârlar ve Kooperatifçilik genel Müdürlüğü. </w:t>
      </w:r>
      <w:hyperlink r:id="rId140">
        <w:r w:rsidRPr="00D42316">
          <w:rPr>
            <w:color w:val="467886"/>
            <w:u w:val="single"/>
          </w:rPr>
          <w:t>https://ticaret.gov.tr/kooperatifcilik/koop-bis</w:t>
        </w:r>
      </w:hyperlink>
      <w:r w:rsidRPr="00D42316">
        <w:t>. Son Erişim Tarihi 22.02.2025.</w:t>
      </w:r>
    </w:p>
    <w:p w14:paraId="728BCB47" w14:textId="77777777" w:rsidR="006F6B4B" w:rsidRPr="00D42316" w:rsidRDefault="006F6B4B">
      <w:pPr>
        <w:pStyle w:val="ListeParagraf"/>
        <w:numPr>
          <w:ilvl w:val="0"/>
          <w:numId w:val="7"/>
        </w:numPr>
        <w:jc w:val="both"/>
      </w:pPr>
      <w:proofErr w:type="spellStart"/>
      <w:r w:rsidRPr="00D42316">
        <w:t>Kotyza</w:t>
      </w:r>
      <w:proofErr w:type="spellEnd"/>
      <w:r w:rsidRPr="00D42316">
        <w:t xml:space="preserve">, P., </w:t>
      </w:r>
      <w:proofErr w:type="spellStart"/>
      <w:r w:rsidRPr="00D42316">
        <w:t>Hornowski</w:t>
      </w:r>
      <w:proofErr w:type="spellEnd"/>
      <w:r w:rsidRPr="00D42316">
        <w:t xml:space="preserve">, A., &amp; </w:t>
      </w:r>
      <w:proofErr w:type="spellStart"/>
      <w:r w:rsidRPr="00D42316">
        <w:t>Elisová</w:t>
      </w:r>
      <w:proofErr w:type="spellEnd"/>
      <w:r w:rsidRPr="00D42316">
        <w:t xml:space="preserve">, K. (2018). Producer </w:t>
      </w:r>
      <w:proofErr w:type="spellStart"/>
      <w:r w:rsidRPr="00D42316">
        <w:t>groups</w:t>
      </w:r>
      <w:proofErr w:type="spellEnd"/>
      <w:r w:rsidRPr="00D42316">
        <w:t xml:space="preserve"> in </w:t>
      </w:r>
      <w:proofErr w:type="spellStart"/>
      <w:r w:rsidRPr="00D42316">
        <w:t>the</w:t>
      </w:r>
      <w:proofErr w:type="spellEnd"/>
      <w:r w:rsidRPr="00D42316">
        <w:t xml:space="preserve"> </w:t>
      </w:r>
      <w:proofErr w:type="spellStart"/>
      <w:r w:rsidRPr="00D42316">
        <w:t>czech</w:t>
      </w:r>
      <w:proofErr w:type="spellEnd"/>
      <w:r w:rsidRPr="00D42316">
        <w:t xml:space="preserve"> </w:t>
      </w:r>
      <w:proofErr w:type="spellStart"/>
      <w:r w:rsidRPr="00D42316">
        <w:t>republic</w:t>
      </w:r>
      <w:proofErr w:type="spellEnd"/>
      <w:r w:rsidRPr="00D42316">
        <w:t xml:space="preserve">, </w:t>
      </w:r>
      <w:proofErr w:type="spellStart"/>
      <w:r w:rsidRPr="00D42316">
        <w:t>slovak</w:t>
      </w:r>
      <w:proofErr w:type="spellEnd"/>
      <w:r w:rsidRPr="00D42316">
        <w:t xml:space="preserve"> </w:t>
      </w:r>
      <w:proofErr w:type="spellStart"/>
      <w:r w:rsidRPr="00D42316">
        <w:t>republic</w:t>
      </w:r>
      <w:proofErr w:type="spellEnd"/>
      <w:r w:rsidRPr="00D42316">
        <w:t xml:space="preserve"> </w:t>
      </w:r>
      <w:proofErr w:type="spellStart"/>
      <w:r w:rsidRPr="00D42316">
        <w:t>and</w:t>
      </w:r>
      <w:proofErr w:type="spellEnd"/>
      <w:r w:rsidRPr="00D42316">
        <w:t xml:space="preserve"> </w:t>
      </w:r>
      <w:proofErr w:type="spellStart"/>
      <w:r w:rsidRPr="00D42316">
        <w:t>republic</w:t>
      </w:r>
      <w:proofErr w:type="spellEnd"/>
      <w:r w:rsidRPr="00D42316">
        <w:t xml:space="preserve"> of </w:t>
      </w:r>
      <w:proofErr w:type="spellStart"/>
      <w:r w:rsidRPr="00D42316">
        <w:t>poland</w:t>
      </w:r>
      <w:proofErr w:type="spellEnd"/>
      <w:r w:rsidRPr="00D42316">
        <w:t xml:space="preserve"> </w:t>
      </w:r>
      <w:proofErr w:type="spellStart"/>
      <w:r w:rsidRPr="00D42316">
        <w:t>and</w:t>
      </w:r>
      <w:proofErr w:type="spellEnd"/>
      <w:r w:rsidRPr="00D42316">
        <w:t xml:space="preserve"> </w:t>
      </w:r>
      <w:proofErr w:type="spellStart"/>
      <w:r w:rsidRPr="00D42316">
        <w:t>their</w:t>
      </w:r>
      <w:proofErr w:type="spellEnd"/>
      <w:r w:rsidRPr="00D42316">
        <w:t xml:space="preserve"> market </w:t>
      </w:r>
      <w:proofErr w:type="spellStart"/>
      <w:r w:rsidRPr="00D42316">
        <w:t>share</w:t>
      </w:r>
      <w:proofErr w:type="spellEnd"/>
      <w:r w:rsidRPr="00D42316">
        <w:t xml:space="preserve"> </w:t>
      </w:r>
      <w:proofErr w:type="spellStart"/>
      <w:r w:rsidRPr="00D42316">
        <w:t>potential</w:t>
      </w:r>
      <w:proofErr w:type="spellEnd"/>
      <w:r w:rsidRPr="00D42316">
        <w:t xml:space="preserve">. </w:t>
      </w:r>
      <w:hyperlink r:id="rId141">
        <w:r w:rsidRPr="00D42316">
          <w:rPr>
            <w:color w:val="000000"/>
            <w:u w:val="single"/>
          </w:rPr>
          <w:t>Https://doi.org/10.36689/uhk/hed/2018-01-044</w:t>
        </w:r>
      </w:hyperlink>
    </w:p>
    <w:p w14:paraId="7802555B" w14:textId="77777777" w:rsidR="006F6B4B" w:rsidRPr="00D42316" w:rsidRDefault="006F6B4B">
      <w:pPr>
        <w:pStyle w:val="ListeParagraf"/>
        <w:numPr>
          <w:ilvl w:val="0"/>
          <w:numId w:val="7"/>
        </w:numPr>
        <w:jc w:val="both"/>
      </w:pPr>
      <w:proofErr w:type="spellStart"/>
      <w:r w:rsidRPr="00D42316">
        <w:t>Kurimoto</w:t>
      </w:r>
      <w:proofErr w:type="spellEnd"/>
      <w:r w:rsidRPr="00D42316">
        <w:t xml:space="preserve">, A. (2022). </w:t>
      </w:r>
      <w:proofErr w:type="spellStart"/>
      <w:r w:rsidRPr="00D42316">
        <w:t>Japanese</w:t>
      </w:r>
      <w:proofErr w:type="spellEnd"/>
      <w:r w:rsidRPr="00D42316">
        <w:t xml:space="preserve"> </w:t>
      </w:r>
      <w:proofErr w:type="spellStart"/>
      <w:r w:rsidRPr="00D42316">
        <w:t>Cooperative</w:t>
      </w:r>
      <w:proofErr w:type="spellEnd"/>
      <w:r w:rsidRPr="00D42316">
        <w:t xml:space="preserve"> </w:t>
      </w:r>
      <w:proofErr w:type="spellStart"/>
      <w:r w:rsidRPr="00D42316">
        <w:t>Legislation</w:t>
      </w:r>
      <w:proofErr w:type="spellEnd"/>
      <w:r w:rsidRPr="00D42316">
        <w:t xml:space="preserve"> </w:t>
      </w:r>
      <w:proofErr w:type="spellStart"/>
      <w:r w:rsidRPr="00D42316">
        <w:t>Impacting</w:t>
      </w:r>
      <w:proofErr w:type="spellEnd"/>
      <w:r w:rsidRPr="00D42316">
        <w:t xml:space="preserve"> </w:t>
      </w:r>
      <w:proofErr w:type="spellStart"/>
      <w:r w:rsidRPr="00D42316">
        <w:t>the</w:t>
      </w:r>
      <w:proofErr w:type="spellEnd"/>
      <w:r w:rsidRPr="00D42316">
        <w:t xml:space="preserve"> </w:t>
      </w:r>
      <w:proofErr w:type="spellStart"/>
      <w:r w:rsidRPr="00D42316">
        <w:t>Cooperative</w:t>
      </w:r>
      <w:proofErr w:type="spellEnd"/>
      <w:r w:rsidRPr="00D42316">
        <w:t xml:space="preserve"> </w:t>
      </w:r>
      <w:proofErr w:type="spellStart"/>
      <w:r w:rsidRPr="00D42316">
        <w:t>Structure</w:t>
      </w:r>
      <w:proofErr w:type="spellEnd"/>
      <w:r w:rsidRPr="00D42316">
        <w:t xml:space="preserve"> </w:t>
      </w:r>
      <w:proofErr w:type="spellStart"/>
      <w:r w:rsidRPr="00D42316">
        <w:t>and</w:t>
      </w:r>
      <w:proofErr w:type="spellEnd"/>
      <w:r w:rsidRPr="00D42316">
        <w:t xml:space="preserve"> </w:t>
      </w:r>
      <w:proofErr w:type="spellStart"/>
      <w:r w:rsidRPr="00D42316">
        <w:t>Culture</w:t>
      </w:r>
      <w:proofErr w:type="spellEnd"/>
      <w:r w:rsidRPr="00D42316">
        <w:t xml:space="preserve">. </w:t>
      </w:r>
      <w:proofErr w:type="spellStart"/>
      <w:r w:rsidRPr="00D42316">
        <w:t>In</w:t>
      </w:r>
      <w:proofErr w:type="spellEnd"/>
      <w:r w:rsidRPr="00D42316">
        <w:t> </w:t>
      </w:r>
      <w:proofErr w:type="spellStart"/>
      <w:r w:rsidRPr="00D42316">
        <w:rPr>
          <w:i/>
        </w:rPr>
        <w:t>Perspectives</w:t>
      </w:r>
      <w:proofErr w:type="spellEnd"/>
      <w:r w:rsidRPr="00D42316">
        <w:rPr>
          <w:i/>
        </w:rPr>
        <w:t xml:space="preserve"> on </w:t>
      </w:r>
      <w:proofErr w:type="spellStart"/>
      <w:r w:rsidRPr="00D42316">
        <w:rPr>
          <w:i/>
        </w:rPr>
        <w:t>Cooperative</w:t>
      </w:r>
      <w:proofErr w:type="spellEnd"/>
      <w:r w:rsidRPr="00D42316">
        <w:rPr>
          <w:i/>
        </w:rPr>
        <w:t xml:space="preserve"> </w:t>
      </w:r>
      <w:proofErr w:type="spellStart"/>
      <w:r w:rsidRPr="00D42316">
        <w:rPr>
          <w:i/>
        </w:rPr>
        <w:t>Law</w:t>
      </w:r>
      <w:proofErr w:type="spellEnd"/>
      <w:r w:rsidRPr="00D42316">
        <w:rPr>
          <w:i/>
        </w:rPr>
        <w:t xml:space="preserve">: </w:t>
      </w:r>
      <w:proofErr w:type="spellStart"/>
      <w:r w:rsidRPr="00D42316">
        <w:rPr>
          <w:i/>
        </w:rPr>
        <w:t>Festschrift</w:t>
      </w:r>
      <w:proofErr w:type="spellEnd"/>
      <w:r w:rsidRPr="00D42316">
        <w:rPr>
          <w:i/>
        </w:rPr>
        <w:t xml:space="preserve"> </w:t>
      </w:r>
      <w:proofErr w:type="spellStart"/>
      <w:r w:rsidRPr="00D42316">
        <w:rPr>
          <w:i/>
        </w:rPr>
        <w:t>In</w:t>
      </w:r>
      <w:proofErr w:type="spellEnd"/>
      <w:r w:rsidRPr="00D42316">
        <w:rPr>
          <w:i/>
        </w:rPr>
        <w:t xml:space="preserve"> </w:t>
      </w:r>
      <w:proofErr w:type="spellStart"/>
      <w:r w:rsidRPr="00D42316">
        <w:rPr>
          <w:i/>
        </w:rPr>
        <w:t>Honour</w:t>
      </w:r>
      <w:proofErr w:type="spellEnd"/>
      <w:r w:rsidRPr="00D42316">
        <w:rPr>
          <w:i/>
        </w:rPr>
        <w:t xml:space="preserve"> of </w:t>
      </w:r>
      <w:proofErr w:type="spellStart"/>
      <w:r w:rsidRPr="00D42316">
        <w:rPr>
          <w:i/>
        </w:rPr>
        <w:t>Professor</w:t>
      </w:r>
      <w:proofErr w:type="spellEnd"/>
      <w:r w:rsidRPr="00D42316">
        <w:rPr>
          <w:i/>
        </w:rPr>
        <w:t xml:space="preserve"> </w:t>
      </w:r>
      <w:proofErr w:type="spellStart"/>
      <w:r w:rsidRPr="00D42316">
        <w:rPr>
          <w:i/>
        </w:rPr>
        <w:t>Hagen</w:t>
      </w:r>
      <w:proofErr w:type="spellEnd"/>
      <w:r w:rsidRPr="00D42316">
        <w:rPr>
          <w:i/>
        </w:rPr>
        <w:t xml:space="preserve"> </w:t>
      </w:r>
      <w:proofErr w:type="spellStart"/>
      <w:r w:rsidRPr="00D42316">
        <w:rPr>
          <w:i/>
        </w:rPr>
        <w:t>Henrÿ</w:t>
      </w:r>
      <w:proofErr w:type="spellEnd"/>
      <w:r w:rsidRPr="00D42316">
        <w:t> (</w:t>
      </w:r>
      <w:proofErr w:type="spellStart"/>
      <w:r w:rsidRPr="00D42316">
        <w:t>pp</w:t>
      </w:r>
      <w:proofErr w:type="spellEnd"/>
      <w:r w:rsidRPr="00D42316">
        <w:t xml:space="preserve">. 117-126). </w:t>
      </w:r>
      <w:proofErr w:type="spellStart"/>
      <w:r w:rsidRPr="00D42316">
        <w:t>Singapore</w:t>
      </w:r>
      <w:proofErr w:type="spellEnd"/>
      <w:r w:rsidRPr="00D42316">
        <w:t xml:space="preserve">: </w:t>
      </w:r>
      <w:proofErr w:type="spellStart"/>
      <w:r w:rsidRPr="00D42316">
        <w:t>Springer</w:t>
      </w:r>
      <w:proofErr w:type="spellEnd"/>
      <w:r w:rsidRPr="00D42316">
        <w:t xml:space="preserve"> Nature </w:t>
      </w:r>
      <w:proofErr w:type="spellStart"/>
      <w:r w:rsidRPr="00D42316">
        <w:t>Singapore</w:t>
      </w:r>
      <w:proofErr w:type="spellEnd"/>
      <w:r w:rsidRPr="00D42316">
        <w:t>.</w:t>
      </w:r>
    </w:p>
    <w:p w14:paraId="0C9179ED" w14:textId="77777777" w:rsidR="006F6B4B" w:rsidRPr="00D42316" w:rsidRDefault="006F6B4B">
      <w:pPr>
        <w:pStyle w:val="ListeParagraf"/>
        <w:numPr>
          <w:ilvl w:val="0"/>
          <w:numId w:val="7"/>
        </w:numPr>
        <w:jc w:val="both"/>
      </w:pPr>
      <w:proofErr w:type="spellStart"/>
      <w:r w:rsidRPr="00D42316">
        <w:t>Majurin</w:t>
      </w:r>
      <w:proofErr w:type="spellEnd"/>
      <w:r w:rsidRPr="00D42316">
        <w:t>, E. (2012). </w:t>
      </w:r>
      <w:r w:rsidRPr="00D42316">
        <w:rPr>
          <w:i/>
        </w:rPr>
        <w:t xml:space="preserve">How </w:t>
      </w:r>
      <w:proofErr w:type="spellStart"/>
      <w:r w:rsidRPr="00D42316">
        <w:rPr>
          <w:i/>
        </w:rPr>
        <w:t>women</w:t>
      </w:r>
      <w:proofErr w:type="spellEnd"/>
      <w:r w:rsidRPr="00D42316">
        <w:rPr>
          <w:i/>
        </w:rPr>
        <w:t xml:space="preserve"> fare in East </w:t>
      </w:r>
      <w:proofErr w:type="spellStart"/>
      <w:r w:rsidRPr="00D42316">
        <w:rPr>
          <w:i/>
        </w:rPr>
        <w:t>African</w:t>
      </w:r>
      <w:proofErr w:type="spellEnd"/>
      <w:r w:rsidRPr="00D42316">
        <w:rPr>
          <w:i/>
        </w:rPr>
        <w:t xml:space="preserve"> </w:t>
      </w:r>
      <w:proofErr w:type="spellStart"/>
      <w:r w:rsidRPr="00D42316">
        <w:rPr>
          <w:i/>
        </w:rPr>
        <w:t>cooperatives</w:t>
      </w:r>
      <w:proofErr w:type="spellEnd"/>
      <w:r w:rsidRPr="00D42316">
        <w:rPr>
          <w:i/>
        </w:rPr>
        <w:t xml:space="preserve">: </w:t>
      </w:r>
      <w:proofErr w:type="spellStart"/>
      <w:r w:rsidRPr="00D42316">
        <w:rPr>
          <w:i/>
        </w:rPr>
        <w:t>the</w:t>
      </w:r>
      <w:proofErr w:type="spellEnd"/>
      <w:r w:rsidRPr="00D42316">
        <w:rPr>
          <w:i/>
        </w:rPr>
        <w:t xml:space="preserve"> </w:t>
      </w:r>
      <w:proofErr w:type="spellStart"/>
      <w:r w:rsidRPr="00D42316">
        <w:rPr>
          <w:i/>
        </w:rPr>
        <w:t>case</w:t>
      </w:r>
      <w:proofErr w:type="spellEnd"/>
      <w:r w:rsidRPr="00D42316">
        <w:rPr>
          <w:i/>
        </w:rPr>
        <w:t xml:space="preserve"> of Kenya, </w:t>
      </w:r>
      <w:proofErr w:type="spellStart"/>
      <w:r w:rsidRPr="00D42316">
        <w:rPr>
          <w:i/>
        </w:rPr>
        <w:t>Tanzania</w:t>
      </w:r>
      <w:proofErr w:type="spellEnd"/>
      <w:r w:rsidRPr="00D42316">
        <w:rPr>
          <w:i/>
        </w:rPr>
        <w:t xml:space="preserve"> </w:t>
      </w:r>
      <w:proofErr w:type="spellStart"/>
      <w:r w:rsidRPr="00D42316">
        <w:rPr>
          <w:i/>
        </w:rPr>
        <w:t>and</w:t>
      </w:r>
      <w:proofErr w:type="spellEnd"/>
      <w:r w:rsidRPr="00D42316">
        <w:rPr>
          <w:i/>
        </w:rPr>
        <w:t xml:space="preserve"> Uganda</w:t>
      </w:r>
      <w:r w:rsidRPr="00D42316">
        <w:t>. ILO.</w:t>
      </w:r>
    </w:p>
    <w:p w14:paraId="43FF21EF" w14:textId="77777777" w:rsidR="006F6B4B" w:rsidRPr="00D42316" w:rsidRDefault="006F6B4B">
      <w:pPr>
        <w:pStyle w:val="ListeParagraf"/>
        <w:numPr>
          <w:ilvl w:val="0"/>
          <w:numId w:val="7"/>
        </w:numPr>
        <w:jc w:val="both"/>
      </w:pPr>
      <w:proofErr w:type="spellStart"/>
      <w:r w:rsidRPr="00D42316">
        <w:t>Mies</w:t>
      </w:r>
      <w:proofErr w:type="spellEnd"/>
      <w:r w:rsidRPr="00D42316">
        <w:t xml:space="preserve">, M., &amp; </w:t>
      </w:r>
      <w:proofErr w:type="spellStart"/>
      <w:r w:rsidRPr="00D42316">
        <w:t>Bennholdt</w:t>
      </w:r>
      <w:proofErr w:type="spellEnd"/>
      <w:r w:rsidRPr="00D42316">
        <w:t xml:space="preserve">-Thomsen, V. (1999). </w:t>
      </w:r>
      <w:proofErr w:type="spellStart"/>
      <w:r w:rsidRPr="00D42316">
        <w:rPr>
          <w:i/>
        </w:rPr>
        <w:t>The</w:t>
      </w:r>
      <w:proofErr w:type="spellEnd"/>
      <w:r w:rsidRPr="00D42316">
        <w:rPr>
          <w:i/>
        </w:rPr>
        <w:t xml:space="preserve"> </w:t>
      </w:r>
      <w:proofErr w:type="spellStart"/>
      <w:r w:rsidRPr="00D42316">
        <w:rPr>
          <w:i/>
        </w:rPr>
        <w:t>Subsistence</w:t>
      </w:r>
      <w:proofErr w:type="spellEnd"/>
      <w:r w:rsidRPr="00D42316">
        <w:rPr>
          <w:i/>
        </w:rPr>
        <w:t xml:space="preserve"> </w:t>
      </w:r>
      <w:proofErr w:type="spellStart"/>
      <w:r w:rsidRPr="00D42316">
        <w:rPr>
          <w:i/>
        </w:rPr>
        <w:t>Perspective</w:t>
      </w:r>
      <w:proofErr w:type="spellEnd"/>
      <w:r w:rsidRPr="00D42316">
        <w:rPr>
          <w:i/>
        </w:rPr>
        <w:t xml:space="preserve">. Beyond </w:t>
      </w:r>
      <w:proofErr w:type="spellStart"/>
      <w:r w:rsidRPr="00D42316">
        <w:rPr>
          <w:i/>
        </w:rPr>
        <w:t>the</w:t>
      </w:r>
      <w:proofErr w:type="spellEnd"/>
      <w:r w:rsidRPr="00D42316">
        <w:rPr>
          <w:i/>
        </w:rPr>
        <w:t xml:space="preserve"> </w:t>
      </w:r>
      <w:proofErr w:type="spellStart"/>
      <w:r w:rsidRPr="00D42316">
        <w:rPr>
          <w:i/>
        </w:rPr>
        <w:t>Globalised</w:t>
      </w:r>
      <w:proofErr w:type="spellEnd"/>
      <w:r w:rsidRPr="00D42316">
        <w:rPr>
          <w:i/>
        </w:rPr>
        <w:t xml:space="preserve"> </w:t>
      </w:r>
      <w:proofErr w:type="spellStart"/>
      <w:r w:rsidRPr="00D42316">
        <w:rPr>
          <w:i/>
        </w:rPr>
        <w:t>Economy</w:t>
      </w:r>
      <w:proofErr w:type="spellEnd"/>
      <w:r w:rsidRPr="00D42316">
        <w:t xml:space="preserve">. </w:t>
      </w:r>
      <w:proofErr w:type="spellStart"/>
      <w:r w:rsidRPr="00D42316">
        <w:t>London</w:t>
      </w:r>
      <w:proofErr w:type="spellEnd"/>
      <w:r w:rsidRPr="00D42316">
        <w:t xml:space="preserve">, NY: </w:t>
      </w:r>
      <w:proofErr w:type="spellStart"/>
      <w:r w:rsidRPr="00D42316">
        <w:t>Zed</w:t>
      </w:r>
      <w:proofErr w:type="spellEnd"/>
      <w:r w:rsidRPr="00D42316">
        <w:t xml:space="preserve"> </w:t>
      </w:r>
      <w:proofErr w:type="spellStart"/>
      <w:r w:rsidRPr="00D42316">
        <w:t>Books</w:t>
      </w:r>
      <w:proofErr w:type="spellEnd"/>
      <w:r w:rsidRPr="00D42316">
        <w:t>.</w:t>
      </w:r>
    </w:p>
    <w:p w14:paraId="2DC5A771" w14:textId="77777777" w:rsidR="006F6B4B" w:rsidRPr="00D42316" w:rsidRDefault="006F6B4B">
      <w:pPr>
        <w:pStyle w:val="ListeParagraf"/>
        <w:numPr>
          <w:ilvl w:val="0"/>
          <w:numId w:val="7"/>
        </w:numPr>
        <w:jc w:val="both"/>
      </w:pPr>
      <w:r w:rsidRPr="00D42316">
        <w:t>Müftüoğlu, H. ve Aydos, V. (2001). Türkiye’de Kooperatifçilik – Türk Konut Kooperatifçiliğine Alternatif Bir Model: Almanya. İstanbul Ticaret Odası, Yayın No:2001-46.</w:t>
      </w:r>
    </w:p>
    <w:p w14:paraId="12B556D2" w14:textId="77777777" w:rsidR="006F6B4B" w:rsidRPr="00D42316" w:rsidRDefault="006F6B4B">
      <w:pPr>
        <w:pStyle w:val="ListeParagraf"/>
        <w:numPr>
          <w:ilvl w:val="0"/>
          <w:numId w:val="7"/>
        </w:numPr>
        <w:jc w:val="both"/>
      </w:pPr>
      <w:proofErr w:type="spellStart"/>
      <w:r w:rsidRPr="00D42316">
        <w:t>Putnam</w:t>
      </w:r>
      <w:proofErr w:type="spellEnd"/>
      <w:r w:rsidRPr="00D42316">
        <w:t xml:space="preserve">, R. D. (2000). Bowling </w:t>
      </w:r>
      <w:proofErr w:type="spellStart"/>
      <w:r w:rsidRPr="00D42316">
        <w:t>alone</w:t>
      </w:r>
      <w:proofErr w:type="spellEnd"/>
      <w:r w:rsidRPr="00D42316">
        <w:t xml:space="preserve">: </w:t>
      </w:r>
      <w:proofErr w:type="spellStart"/>
      <w:r w:rsidRPr="00D42316">
        <w:t>America’s</w:t>
      </w:r>
      <w:proofErr w:type="spellEnd"/>
      <w:r w:rsidRPr="00D42316">
        <w:t xml:space="preserve"> </w:t>
      </w:r>
      <w:proofErr w:type="spellStart"/>
      <w:r w:rsidRPr="00D42316">
        <w:t>declining</w:t>
      </w:r>
      <w:proofErr w:type="spellEnd"/>
      <w:r w:rsidRPr="00D42316">
        <w:t xml:space="preserve"> </w:t>
      </w:r>
      <w:proofErr w:type="spellStart"/>
      <w:r w:rsidRPr="00D42316">
        <w:t>social</w:t>
      </w:r>
      <w:proofErr w:type="spellEnd"/>
      <w:r w:rsidRPr="00D42316">
        <w:t xml:space="preserve"> </w:t>
      </w:r>
      <w:proofErr w:type="spellStart"/>
      <w:r w:rsidRPr="00D42316">
        <w:t>capital</w:t>
      </w:r>
      <w:proofErr w:type="spellEnd"/>
      <w:r w:rsidRPr="00D42316">
        <w:t xml:space="preserve">: </w:t>
      </w:r>
      <w:proofErr w:type="spellStart"/>
      <w:r w:rsidRPr="00D42316">
        <w:t>Originally</w:t>
      </w:r>
      <w:proofErr w:type="spellEnd"/>
      <w:r w:rsidRPr="00D42316">
        <w:t xml:space="preserve"> </w:t>
      </w:r>
      <w:proofErr w:type="spellStart"/>
      <w:r w:rsidRPr="00D42316">
        <w:t>published</w:t>
      </w:r>
      <w:proofErr w:type="spellEnd"/>
      <w:r w:rsidRPr="00D42316">
        <w:t xml:space="preserve"> in </w:t>
      </w:r>
      <w:proofErr w:type="spellStart"/>
      <w:r w:rsidRPr="00D42316">
        <w:t>Journal</w:t>
      </w:r>
      <w:proofErr w:type="spellEnd"/>
      <w:r w:rsidRPr="00D42316">
        <w:t xml:space="preserve"> of </w:t>
      </w:r>
      <w:proofErr w:type="spellStart"/>
      <w:r w:rsidRPr="00D42316">
        <w:t>Democracy</w:t>
      </w:r>
      <w:proofErr w:type="spellEnd"/>
      <w:r w:rsidRPr="00D42316">
        <w:t xml:space="preserve"> 6 (1), 1995. </w:t>
      </w:r>
      <w:proofErr w:type="spellStart"/>
      <w:r w:rsidRPr="00D42316">
        <w:rPr>
          <w:i/>
        </w:rPr>
        <w:t>Culture</w:t>
      </w:r>
      <w:proofErr w:type="spellEnd"/>
      <w:r w:rsidRPr="00D42316">
        <w:rPr>
          <w:i/>
        </w:rPr>
        <w:t xml:space="preserve"> </w:t>
      </w:r>
      <w:proofErr w:type="spellStart"/>
      <w:r w:rsidRPr="00D42316">
        <w:rPr>
          <w:i/>
        </w:rPr>
        <w:t>and</w:t>
      </w:r>
      <w:proofErr w:type="spellEnd"/>
      <w:r w:rsidRPr="00D42316">
        <w:rPr>
          <w:i/>
        </w:rPr>
        <w:t xml:space="preserve"> </w:t>
      </w:r>
      <w:proofErr w:type="spellStart"/>
      <w:r w:rsidRPr="00D42316">
        <w:rPr>
          <w:i/>
        </w:rPr>
        <w:t>politics</w:t>
      </w:r>
      <w:proofErr w:type="spellEnd"/>
      <w:r w:rsidRPr="00D42316">
        <w:rPr>
          <w:i/>
        </w:rPr>
        <w:t xml:space="preserve">: A </w:t>
      </w:r>
      <w:proofErr w:type="spellStart"/>
      <w:r w:rsidRPr="00D42316">
        <w:rPr>
          <w:i/>
        </w:rPr>
        <w:t>reader</w:t>
      </w:r>
      <w:proofErr w:type="spellEnd"/>
      <w:r w:rsidRPr="00D42316">
        <w:t>, 223-234.</w:t>
      </w:r>
    </w:p>
    <w:p w14:paraId="51D075AD" w14:textId="77777777" w:rsidR="006F6B4B" w:rsidRPr="00D42316" w:rsidRDefault="006F6B4B">
      <w:pPr>
        <w:pStyle w:val="ListeParagraf"/>
        <w:numPr>
          <w:ilvl w:val="0"/>
          <w:numId w:val="7"/>
        </w:numPr>
        <w:jc w:val="both"/>
      </w:pPr>
      <w:proofErr w:type="spellStart"/>
      <w:r w:rsidRPr="00D42316">
        <w:t>Schneiberg</w:t>
      </w:r>
      <w:proofErr w:type="spellEnd"/>
      <w:r w:rsidRPr="00D42316">
        <w:t xml:space="preserve">, M. (2013). </w:t>
      </w:r>
      <w:proofErr w:type="spellStart"/>
      <w:r w:rsidRPr="00D42316">
        <w:t>Movements</w:t>
      </w:r>
      <w:proofErr w:type="spellEnd"/>
      <w:r w:rsidRPr="00D42316">
        <w:t xml:space="preserve"> as </w:t>
      </w:r>
      <w:proofErr w:type="spellStart"/>
      <w:r w:rsidRPr="00D42316">
        <w:t>political</w:t>
      </w:r>
      <w:proofErr w:type="spellEnd"/>
      <w:r w:rsidRPr="00D42316">
        <w:t xml:space="preserve"> </w:t>
      </w:r>
      <w:proofErr w:type="spellStart"/>
      <w:r w:rsidRPr="00D42316">
        <w:t>conditions</w:t>
      </w:r>
      <w:proofErr w:type="spellEnd"/>
      <w:r w:rsidRPr="00D42316">
        <w:t xml:space="preserve"> </w:t>
      </w:r>
      <w:proofErr w:type="spellStart"/>
      <w:r w:rsidRPr="00D42316">
        <w:t>for</w:t>
      </w:r>
      <w:proofErr w:type="spellEnd"/>
      <w:r w:rsidRPr="00D42316">
        <w:t xml:space="preserve"> </w:t>
      </w:r>
      <w:proofErr w:type="spellStart"/>
      <w:r w:rsidRPr="00D42316">
        <w:t>diffusion</w:t>
      </w:r>
      <w:proofErr w:type="spellEnd"/>
      <w:r w:rsidRPr="00D42316">
        <w:t>: anti-</w:t>
      </w:r>
      <w:proofErr w:type="spellStart"/>
      <w:r w:rsidRPr="00D42316">
        <w:t>corporate</w:t>
      </w:r>
      <w:proofErr w:type="spellEnd"/>
      <w:r w:rsidRPr="00D42316">
        <w:t xml:space="preserve"> </w:t>
      </w:r>
      <w:proofErr w:type="spellStart"/>
      <w:r w:rsidRPr="00D42316">
        <w:t>movements</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spread of </w:t>
      </w:r>
      <w:proofErr w:type="spellStart"/>
      <w:r w:rsidRPr="00D42316">
        <w:t>cooperative</w:t>
      </w:r>
      <w:proofErr w:type="spellEnd"/>
      <w:r w:rsidRPr="00D42316">
        <w:t xml:space="preserve"> </w:t>
      </w:r>
      <w:proofErr w:type="spellStart"/>
      <w:r w:rsidRPr="00D42316">
        <w:t>forms</w:t>
      </w:r>
      <w:proofErr w:type="spellEnd"/>
      <w:r w:rsidRPr="00D42316">
        <w:t xml:space="preserve"> in </w:t>
      </w:r>
      <w:proofErr w:type="spellStart"/>
      <w:r w:rsidRPr="00D42316">
        <w:t>american</w:t>
      </w:r>
      <w:proofErr w:type="spellEnd"/>
      <w:r w:rsidRPr="00D42316">
        <w:t xml:space="preserve"> </w:t>
      </w:r>
      <w:proofErr w:type="spellStart"/>
      <w:r w:rsidRPr="00D42316">
        <w:t>capitalism</w:t>
      </w:r>
      <w:proofErr w:type="spellEnd"/>
      <w:r w:rsidRPr="00D42316">
        <w:t xml:space="preserve">. </w:t>
      </w:r>
      <w:proofErr w:type="spellStart"/>
      <w:r w:rsidRPr="00D42316">
        <w:t>Organization</w:t>
      </w:r>
      <w:proofErr w:type="spellEnd"/>
      <w:r w:rsidRPr="00D42316">
        <w:t xml:space="preserve"> </w:t>
      </w:r>
      <w:proofErr w:type="spellStart"/>
      <w:r w:rsidRPr="00D42316">
        <w:t>Studies</w:t>
      </w:r>
      <w:proofErr w:type="spellEnd"/>
      <w:r w:rsidRPr="00D42316">
        <w:t xml:space="preserve">, 34(5-6), 653-682. </w:t>
      </w:r>
      <w:hyperlink r:id="rId142">
        <w:r w:rsidRPr="00D42316">
          <w:rPr>
            <w:color w:val="000000"/>
            <w:u w:val="single"/>
          </w:rPr>
          <w:t>Https://doi.org/10.1177/0170840613479226</w:t>
        </w:r>
      </w:hyperlink>
    </w:p>
    <w:p w14:paraId="453F6150" w14:textId="77777777" w:rsidR="006F6B4B" w:rsidRPr="00D42316" w:rsidRDefault="006F6B4B">
      <w:pPr>
        <w:pStyle w:val="ListeParagraf"/>
        <w:numPr>
          <w:ilvl w:val="0"/>
          <w:numId w:val="7"/>
        </w:numPr>
        <w:jc w:val="both"/>
      </w:pPr>
      <w:proofErr w:type="spellStart"/>
      <w:r w:rsidRPr="00D42316">
        <w:t>Şahankaya</w:t>
      </w:r>
      <w:proofErr w:type="spellEnd"/>
      <w:r w:rsidRPr="00D42316">
        <w:t xml:space="preserve"> A. A.; Dedeoğlu, S. (2023). Türkiye’de Kadın Kooperatiflerinin Kadınların Güçlenmesine Etkisi. </w:t>
      </w:r>
      <w:r w:rsidRPr="00D42316">
        <w:rPr>
          <w:i/>
        </w:rPr>
        <w:t xml:space="preserve">Fe Dergi, </w:t>
      </w:r>
      <w:r w:rsidRPr="00D42316">
        <w:t>15</w:t>
      </w:r>
      <w:r w:rsidRPr="00D42316">
        <w:rPr>
          <w:i/>
        </w:rPr>
        <w:t>(2</w:t>
      </w:r>
      <w:proofErr w:type="gramStart"/>
      <w:r w:rsidRPr="00D42316">
        <w:rPr>
          <w:i/>
        </w:rPr>
        <w:t>)</w:t>
      </w:r>
      <w:r w:rsidRPr="00D42316">
        <w:t>,  8</w:t>
      </w:r>
      <w:proofErr w:type="gramEnd"/>
      <w:r w:rsidRPr="00D42316">
        <w:t>-49.</w:t>
      </w:r>
    </w:p>
    <w:p w14:paraId="2B851062" w14:textId="77777777" w:rsidR="006F6B4B" w:rsidRPr="00D42316" w:rsidRDefault="006F6B4B">
      <w:pPr>
        <w:pStyle w:val="ListeParagraf"/>
        <w:numPr>
          <w:ilvl w:val="0"/>
          <w:numId w:val="7"/>
        </w:numPr>
        <w:jc w:val="both"/>
      </w:pPr>
      <w:proofErr w:type="spellStart"/>
      <w:r w:rsidRPr="00D42316">
        <w:t>Şahankaya</w:t>
      </w:r>
      <w:proofErr w:type="spellEnd"/>
      <w:r w:rsidRPr="00D42316">
        <w:t xml:space="preserve"> Adar, A., Dedeoğlu, S., Kurtuluş, G. (2023). Türkiye’de Kadın Kooperatifleri: Mevcut Durum Analizi, Kadın Güçlenmesi ve İstihdam Yaratma Potansiyeli, </w:t>
      </w:r>
      <w:r w:rsidRPr="00D42316">
        <w:rPr>
          <w:i/>
        </w:rPr>
        <w:t>Çalışma ve Toplum</w:t>
      </w:r>
      <w:r w:rsidRPr="00D42316">
        <w:t>, 2(77), 1171-1208.</w:t>
      </w:r>
    </w:p>
    <w:p w14:paraId="2AD23CAB" w14:textId="77777777" w:rsidR="006F6B4B" w:rsidRPr="00D42316" w:rsidRDefault="006F6B4B">
      <w:pPr>
        <w:pStyle w:val="ListeParagraf"/>
        <w:numPr>
          <w:ilvl w:val="0"/>
          <w:numId w:val="7"/>
        </w:numPr>
        <w:jc w:val="both"/>
      </w:pPr>
      <w:r w:rsidRPr="00D42316">
        <w:t xml:space="preserve">T.C. Strateji ve Bütçe Başkanlığı. 12. Kalkınma Planı (2024-2028). </w:t>
      </w:r>
      <w:hyperlink r:id="rId143">
        <w:r w:rsidRPr="00D42316">
          <w:rPr>
            <w:color w:val="467886"/>
            <w:u w:val="single"/>
          </w:rPr>
          <w:t>https://www.sbb.gov.tr/wp-content/uploads/2023/12/On-Ikinci-Kalkinma-Plani_2024-2028_11122023.pdf Son Erişim Tarihi 27.02.2025</w:t>
        </w:r>
      </w:hyperlink>
    </w:p>
    <w:p w14:paraId="5E6E4762" w14:textId="77777777" w:rsidR="006F6B4B" w:rsidRPr="00D42316" w:rsidRDefault="006F6B4B">
      <w:pPr>
        <w:pStyle w:val="ListeParagraf"/>
        <w:numPr>
          <w:ilvl w:val="0"/>
          <w:numId w:val="7"/>
        </w:numPr>
        <w:jc w:val="both"/>
      </w:pPr>
      <w:r w:rsidRPr="00D42316">
        <w:t xml:space="preserve">T.C. Ticaret Bakanlığı, Esnaf, Sanatkârlar ve Kooperatifçilik genel Müdürlüğü. </w:t>
      </w:r>
      <w:hyperlink r:id="rId144">
        <w:r w:rsidRPr="00D42316">
          <w:rPr>
            <w:color w:val="467886"/>
            <w:u w:val="single"/>
          </w:rPr>
          <w:t>https://esnafkoop.ticaret.gov.tr/haberler/turkiye-kooperatifcilik-stratejisi-taslagi-2025-2029-hazirlik-calismalari-toplantisi-yapildi</w:t>
        </w:r>
      </w:hyperlink>
      <w:r w:rsidRPr="00D42316">
        <w:t>. Son Erişim Tarihi 27.02.2025.</w:t>
      </w:r>
    </w:p>
    <w:p w14:paraId="47B55D95" w14:textId="77777777" w:rsidR="006F6B4B" w:rsidRPr="00D42316" w:rsidRDefault="006F6B4B">
      <w:pPr>
        <w:pStyle w:val="ListeParagraf"/>
        <w:numPr>
          <w:ilvl w:val="0"/>
          <w:numId w:val="7"/>
        </w:numPr>
        <w:jc w:val="both"/>
      </w:pPr>
      <w:r w:rsidRPr="00D42316">
        <w:t>TUİK (2025). 2024 Ocak-Aralık Kurulan-Kapanan İşletme İstatistikleri. Son Erişim Tarihi 27.02.2025.</w:t>
      </w:r>
    </w:p>
    <w:p w14:paraId="13D3F4F3" w14:textId="77777777" w:rsidR="006F6B4B" w:rsidRPr="00D42316" w:rsidRDefault="006F6B4B">
      <w:pPr>
        <w:pStyle w:val="ListeParagraf"/>
        <w:numPr>
          <w:ilvl w:val="0"/>
          <w:numId w:val="7"/>
        </w:numPr>
        <w:jc w:val="both"/>
      </w:pPr>
      <w:proofErr w:type="spellStart"/>
      <w:r w:rsidRPr="00D42316">
        <w:t>Unni</w:t>
      </w:r>
      <w:proofErr w:type="spellEnd"/>
      <w:r w:rsidRPr="00D42316">
        <w:t xml:space="preserve">, J. </w:t>
      </w:r>
      <w:proofErr w:type="spellStart"/>
      <w:r w:rsidRPr="00D42316">
        <w:t>and</w:t>
      </w:r>
      <w:proofErr w:type="spellEnd"/>
      <w:r w:rsidRPr="00D42316">
        <w:t xml:space="preserve"> Uma R. (2009). Do </w:t>
      </w:r>
      <w:proofErr w:type="spellStart"/>
      <w:r w:rsidRPr="00D42316">
        <w:t>Economic</w:t>
      </w:r>
      <w:proofErr w:type="spellEnd"/>
      <w:r w:rsidRPr="00D42316">
        <w:t xml:space="preserve"> </w:t>
      </w:r>
      <w:proofErr w:type="spellStart"/>
      <w:r w:rsidRPr="00D42316">
        <w:t>Reforms</w:t>
      </w:r>
      <w:proofErr w:type="spellEnd"/>
      <w:r w:rsidRPr="00D42316">
        <w:t xml:space="preserve"> </w:t>
      </w:r>
      <w:proofErr w:type="spellStart"/>
      <w:r w:rsidRPr="00D42316">
        <w:t>Influence</w:t>
      </w:r>
      <w:proofErr w:type="spellEnd"/>
      <w:r w:rsidRPr="00D42316">
        <w:t xml:space="preserve"> </w:t>
      </w:r>
      <w:proofErr w:type="spellStart"/>
      <w:r w:rsidRPr="00D42316">
        <w:t>Homebased</w:t>
      </w:r>
      <w:proofErr w:type="spellEnd"/>
      <w:r w:rsidRPr="00D42316">
        <w:t xml:space="preserve"> </w:t>
      </w:r>
      <w:proofErr w:type="spellStart"/>
      <w:r w:rsidRPr="00D42316">
        <w:t>Work</w:t>
      </w:r>
      <w:proofErr w:type="spellEnd"/>
      <w:r w:rsidRPr="00D42316">
        <w:t xml:space="preserve"> in </w:t>
      </w:r>
      <w:proofErr w:type="spellStart"/>
      <w:r w:rsidRPr="00D42316">
        <w:t>India</w:t>
      </w:r>
      <w:proofErr w:type="spellEnd"/>
      <w:r w:rsidRPr="00D42316">
        <w:t xml:space="preserve">? </w:t>
      </w:r>
      <w:proofErr w:type="spellStart"/>
      <w:r w:rsidRPr="00D42316">
        <w:t>Evidence</w:t>
      </w:r>
      <w:proofErr w:type="spellEnd"/>
      <w:r w:rsidRPr="00D42316">
        <w:t xml:space="preserve"> </w:t>
      </w:r>
      <w:proofErr w:type="spellStart"/>
      <w:r w:rsidRPr="00D42316">
        <w:t>from</w:t>
      </w:r>
      <w:proofErr w:type="spellEnd"/>
      <w:r w:rsidRPr="00D42316">
        <w:t xml:space="preserve"> </w:t>
      </w:r>
      <w:proofErr w:type="spellStart"/>
      <w:r w:rsidRPr="00D42316">
        <w:t>India</w:t>
      </w:r>
      <w:proofErr w:type="spellEnd"/>
      <w:r w:rsidRPr="00D42316">
        <w:t xml:space="preserve">, Special </w:t>
      </w:r>
      <w:proofErr w:type="spellStart"/>
      <w:r w:rsidRPr="00D42316">
        <w:t>Issue</w:t>
      </w:r>
      <w:proofErr w:type="spellEnd"/>
      <w:r w:rsidRPr="00D42316">
        <w:t xml:space="preserve"> on </w:t>
      </w:r>
      <w:proofErr w:type="spellStart"/>
      <w:r w:rsidRPr="00D42316">
        <w:t>Inequality</w:t>
      </w:r>
      <w:proofErr w:type="spellEnd"/>
      <w:r w:rsidRPr="00D42316">
        <w:t xml:space="preserve">, Development </w:t>
      </w:r>
      <w:proofErr w:type="spellStart"/>
      <w:r w:rsidRPr="00D42316">
        <w:t>and</w:t>
      </w:r>
      <w:proofErr w:type="spellEnd"/>
      <w:r w:rsidRPr="00D42316">
        <w:t xml:space="preserve"> </w:t>
      </w:r>
      <w:proofErr w:type="spellStart"/>
      <w:r w:rsidRPr="00D42316">
        <w:t>Growth</w:t>
      </w:r>
      <w:proofErr w:type="spellEnd"/>
      <w:r w:rsidRPr="00D42316">
        <w:t xml:space="preserve">, Feminist </w:t>
      </w:r>
      <w:proofErr w:type="spellStart"/>
      <w:r w:rsidRPr="00D42316">
        <w:t>Economics</w:t>
      </w:r>
      <w:proofErr w:type="spellEnd"/>
      <w:r w:rsidRPr="00D42316">
        <w:t>, 15(3), 191–225.</w:t>
      </w:r>
    </w:p>
    <w:p w14:paraId="4E0FE684" w14:textId="0BC4A4CC" w:rsidR="00C70E93" w:rsidRDefault="006F6B4B">
      <w:pPr>
        <w:pStyle w:val="ListeParagraf"/>
        <w:numPr>
          <w:ilvl w:val="0"/>
          <w:numId w:val="7"/>
        </w:numPr>
        <w:jc w:val="both"/>
      </w:pPr>
      <w:proofErr w:type="spellStart"/>
      <w:r w:rsidRPr="00D42316">
        <w:t>Vo</w:t>
      </w:r>
      <w:proofErr w:type="spellEnd"/>
      <w:r w:rsidRPr="00D42316">
        <w:t xml:space="preserve">, C. (2017). </w:t>
      </w:r>
      <w:proofErr w:type="spellStart"/>
      <w:r w:rsidRPr="00D42316">
        <w:t>Between</w:t>
      </w:r>
      <w:proofErr w:type="spellEnd"/>
      <w:r w:rsidRPr="00D42316">
        <w:t xml:space="preserve"> </w:t>
      </w:r>
      <w:proofErr w:type="spellStart"/>
      <w:r w:rsidRPr="00D42316">
        <w:t>the</w:t>
      </w:r>
      <w:proofErr w:type="spellEnd"/>
      <w:r w:rsidRPr="00D42316">
        <w:t xml:space="preserve"> </w:t>
      </w:r>
      <w:proofErr w:type="spellStart"/>
      <w:r w:rsidRPr="00D42316">
        <w:t>local</w:t>
      </w:r>
      <w:proofErr w:type="spellEnd"/>
      <w:r w:rsidRPr="00D42316">
        <w:t xml:space="preserve"> </w:t>
      </w:r>
      <w:proofErr w:type="spellStart"/>
      <w:r w:rsidRPr="00D42316">
        <w:t>and</w:t>
      </w:r>
      <w:proofErr w:type="spellEnd"/>
      <w:r w:rsidRPr="00D42316">
        <w:t xml:space="preserve"> </w:t>
      </w:r>
      <w:proofErr w:type="spellStart"/>
      <w:r w:rsidRPr="00D42316">
        <w:t>the</w:t>
      </w:r>
      <w:proofErr w:type="spellEnd"/>
      <w:r w:rsidRPr="00D42316">
        <w:t xml:space="preserve"> global: an </w:t>
      </w:r>
      <w:proofErr w:type="spellStart"/>
      <w:r w:rsidRPr="00D42316">
        <w:t>analysis</w:t>
      </w:r>
      <w:proofErr w:type="spellEnd"/>
      <w:r w:rsidRPr="00D42316">
        <w:t xml:space="preserve"> of </w:t>
      </w:r>
      <w:proofErr w:type="spellStart"/>
      <w:r w:rsidRPr="00D42316">
        <w:t>economic</w:t>
      </w:r>
      <w:proofErr w:type="spellEnd"/>
      <w:r w:rsidRPr="00D42316">
        <w:t xml:space="preserve"> </w:t>
      </w:r>
      <w:proofErr w:type="spellStart"/>
      <w:r w:rsidRPr="00D42316">
        <w:t>tensions</w:t>
      </w:r>
      <w:proofErr w:type="spellEnd"/>
      <w:r w:rsidRPr="00D42316">
        <w:t xml:space="preserve"> in </w:t>
      </w:r>
      <w:proofErr w:type="spellStart"/>
      <w:r w:rsidRPr="00D42316">
        <w:t>cooperatives</w:t>
      </w:r>
      <w:proofErr w:type="spellEnd"/>
      <w:r w:rsidRPr="00D42316">
        <w:t xml:space="preserve">’ </w:t>
      </w:r>
      <w:proofErr w:type="spellStart"/>
      <w:r w:rsidRPr="00D42316">
        <w:t>practices</w:t>
      </w:r>
      <w:proofErr w:type="spellEnd"/>
      <w:r w:rsidRPr="00D42316">
        <w:t xml:space="preserve">. International </w:t>
      </w:r>
      <w:proofErr w:type="spellStart"/>
      <w:r w:rsidRPr="00D42316">
        <w:t>Social</w:t>
      </w:r>
      <w:proofErr w:type="spellEnd"/>
      <w:r w:rsidRPr="00D42316">
        <w:t xml:space="preserve"> </w:t>
      </w:r>
      <w:proofErr w:type="spellStart"/>
      <w:r w:rsidRPr="00D42316">
        <w:t>Work</w:t>
      </w:r>
      <w:proofErr w:type="spellEnd"/>
      <w:r w:rsidRPr="00D42316">
        <w:t xml:space="preserve">, 62(1), 212-223. </w:t>
      </w:r>
      <w:hyperlink r:id="rId145">
        <w:r w:rsidRPr="00D42316">
          <w:rPr>
            <w:color w:val="000000"/>
            <w:u w:val="single"/>
          </w:rPr>
          <w:t>Https://doi.org/10.1177/0020872817717321</w:t>
        </w:r>
      </w:hyperlink>
    </w:p>
    <w:p w14:paraId="38EF3A2D" w14:textId="619BB99C" w:rsidR="00021193" w:rsidRPr="00D42316" w:rsidRDefault="00C70E93" w:rsidP="00C70E93">
      <w:pPr>
        <w:autoSpaceDE/>
        <w:autoSpaceDN/>
      </w:pPr>
      <w:r>
        <w:br w:type="page"/>
      </w:r>
    </w:p>
    <w:p w14:paraId="12DF560A" w14:textId="77777777" w:rsidR="006F6B4B" w:rsidRPr="00D42316" w:rsidRDefault="006F6B4B" w:rsidP="004C7694">
      <w:pPr>
        <w:pStyle w:val="Tark"/>
      </w:pPr>
      <w:bookmarkStart w:id="84" w:name="_Toc192855193"/>
      <w:r w:rsidRPr="00D42316">
        <w:lastRenderedPageBreak/>
        <w:t>Ekonomik ve Sosyal Dönüşümün Aracısı Olarak</w:t>
      </w:r>
      <w:bookmarkEnd w:id="84"/>
    </w:p>
    <w:p w14:paraId="1CF48917" w14:textId="77777777" w:rsidR="006F6B4B" w:rsidRPr="00D42316" w:rsidRDefault="006F6B4B" w:rsidP="004C7694">
      <w:pPr>
        <w:pStyle w:val="Tark"/>
      </w:pPr>
      <w:bookmarkStart w:id="85" w:name="_Toc192855194"/>
      <w:r w:rsidRPr="00D42316">
        <w:t>Erken Cumhuriyet Türkiye'sinde Kooperatif Hareketlerinin Evrimi: Devlet, Toplum ve Ekonomik Kalkınma (1923-1950)</w:t>
      </w:r>
      <w:bookmarkEnd w:id="85"/>
    </w:p>
    <w:p w14:paraId="6C3BE775" w14:textId="77777777" w:rsidR="006F6B4B" w:rsidRPr="00D42316" w:rsidRDefault="006F6B4B" w:rsidP="007513A1">
      <w:pPr>
        <w:jc w:val="center"/>
      </w:pPr>
    </w:p>
    <w:p w14:paraId="512B64DF" w14:textId="77777777" w:rsidR="006F6B4B" w:rsidRPr="00D42316" w:rsidRDefault="006F6B4B" w:rsidP="007513A1">
      <w:pPr>
        <w:jc w:val="center"/>
      </w:pPr>
      <w:r w:rsidRPr="00D42316">
        <w:t>Alper Turan DEVLİ</w:t>
      </w:r>
      <w:r w:rsidRPr="00D42316">
        <w:br/>
        <w:t>Öğr. Gör. Dr., Aydın Adnan Menderes Üniversitesi Sultanhisar M.Y.O, Yönetim ve Organizasyon Bölümü</w:t>
      </w:r>
      <w:r w:rsidRPr="00D42316">
        <w:br/>
        <w:t>alper.devli@adu.edu.tr</w:t>
      </w:r>
      <w:r w:rsidRPr="00D42316">
        <w:br/>
        <w:t>0000-0002-3210-327X</w:t>
      </w:r>
    </w:p>
    <w:p w14:paraId="08C9921C" w14:textId="77777777" w:rsidR="006F6B4B" w:rsidRPr="00D42316" w:rsidRDefault="006F6B4B" w:rsidP="007513A1">
      <w:pPr>
        <w:jc w:val="both"/>
      </w:pPr>
    </w:p>
    <w:p w14:paraId="37F70082" w14:textId="19AE89DE" w:rsidR="006F6B4B" w:rsidRPr="00D42316" w:rsidRDefault="006F6B4B" w:rsidP="007513A1">
      <w:pPr>
        <w:jc w:val="center"/>
      </w:pPr>
      <w:r w:rsidRPr="00D42316">
        <w:t>Yıldırım TOPRAK</w:t>
      </w:r>
      <w:r w:rsidRPr="00D42316">
        <w:br/>
        <w:t>Öğr. Gör., Aydın Adnan Menderes Üniversitesi Nazilli M.Y.O, Finans, Bankacılık ve Sigortacılık Bölümü</w:t>
      </w:r>
      <w:r w:rsidRPr="00D42316">
        <w:br/>
        <w:t>yildirim.toprak@adu.edu.tr</w:t>
      </w:r>
      <w:r w:rsidRPr="00D42316">
        <w:br/>
        <w:t>0000-0003-4869-7727</w:t>
      </w:r>
    </w:p>
    <w:p w14:paraId="0C61559D" w14:textId="77777777" w:rsidR="006F6B4B" w:rsidRPr="00D42316" w:rsidRDefault="006F6B4B" w:rsidP="007513A1">
      <w:pPr>
        <w:jc w:val="center"/>
      </w:pPr>
    </w:p>
    <w:p w14:paraId="0D1E1778" w14:textId="77777777" w:rsidR="006F6B4B" w:rsidRPr="00D42316" w:rsidRDefault="006F6B4B" w:rsidP="007513A1">
      <w:pPr>
        <w:jc w:val="center"/>
      </w:pPr>
      <w:proofErr w:type="spellStart"/>
      <w:r w:rsidRPr="00D42316">
        <w:t>Nurdanur</w:t>
      </w:r>
      <w:proofErr w:type="spellEnd"/>
      <w:r w:rsidRPr="00D42316">
        <w:t xml:space="preserve"> TAVLAN SOYDAN</w:t>
      </w:r>
      <w:r w:rsidRPr="00D42316">
        <w:br/>
        <w:t xml:space="preserve">Dr. Öğretim Üyesi, Aydın Adnan Menderes Üniversitesi </w:t>
      </w:r>
      <w:proofErr w:type="spellStart"/>
      <w:r w:rsidRPr="00D42316">
        <w:t>Bozdağan</w:t>
      </w:r>
      <w:proofErr w:type="spellEnd"/>
      <w:r w:rsidRPr="00D42316">
        <w:t xml:space="preserve"> M.Y.O., Bölüm Adı</w:t>
      </w:r>
      <w:r w:rsidRPr="00D42316">
        <w:br/>
        <w:t>nurdanur.tavlan@adu.edu.tr</w:t>
      </w:r>
      <w:r w:rsidRPr="00D42316">
        <w:br/>
        <w:t>0000-0002-4320-2257</w:t>
      </w:r>
    </w:p>
    <w:p w14:paraId="5677093F" w14:textId="77777777" w:rsidR="006F6B4B" w:rsidRPr="00D42316" w:rsidRDefault="006F6B4B" w:rsidP="007513A1">
      <w:pPr>
        <w:jc w:val="center"/>
      </w:pPr>
    </w:p>
    <w:p w14:paraId="2FAA87A3" w14:textId="77777777" w:rsidR="006F6B4B" w:rsidRPr="00D42316" w:rsidRDefault="006F6B4B" w:rsidP="007513A1">
      <w:pPr>
        <w:jc w:val="center"/>
      </w:pPr>
      <w:r w:rsidRPr="00D42316">
        <w:t>Özge KOCAKULA</w:t>
      </w:r>
    </w:p>
    <w:p w14:paraId="3C223236" w14:textId="77777777" w:rsidR="006F6B4B" w:rsidRPr="00D42316" w:rsidRDefault="006F6B4B" w:rsidP="007513A1">
      <w:pPr>
        <w:jc w:val="center"/>
      </w:pPr>
      <w:r w:rsidRPr="00D42316">
        <w:t>Doç. Dr., Aydın Adnan Menderes Üniversitesi Sultanhisar M.Y.O, Yönetim ve Organizasyon Bölümü</w:t>
      </w:r>
      <w:r w:rsidRPr="00D42316">
        <w:br/>
        <w:t>ozgekocakula@adu.edu.tr</w:t>
      </w:r>
      <w:r w:rsidRPr="00D42316">
        <w:br/>
        <w:t>0000-0001-9710-492X</w:t>
      </w:r>
    </w:p>
    <w:p w14:paraId="1F17624F" w14:textId="77777777" w:rsidR="006F6B4B" w:rsidRPr="00D42316" w:rsidRDefault="006F6B4B" w:rsidP="007513A1">
      <w:pPr>
        <w:jc w:val="center"/>
      </w:pPr>
    </w:p>
    <w:p w14:paraId="5F2320BA" w14:textId="77777777" w:rsidR="006F6B4B" w:rsidRPr="00D42316" w:rsidRDefault="006F6B4B" w:rsidP="007513A1">
      <w:pPr>
        <w:jc w:val="center"/>
        <w:rPr>
          <w:b/>
        </w:rPr>
      </w:pPr>
      <w:r w:rsidRPr="00D42316">
        <w:rPr>
          <w:b/>
        </w:rPr>
        <w:t>Özet</w:t>
      </w:r>
    </w:p>
    <w:p w14:paraId="0AFF8F14" w14:textId="0920A346" w:rsidR="00C87971" w:rsidRDefault="006F6B4B" w:rsidP="007513A1">
      <w:pPr>
        <w:jc w:val="both"/>
      </w:pPr>
      <w:r w:rsidRPr="00D42316">
        <w:t xml:space="preserve">Rekabet yerine dayanışma anlayışı ile dünyadaki işletmelerin benzersiz bir formu olarak ortaya çıkan kooperatifler, pek çok ülkede olduğu gibi Türkiye’de de ulusal kalkınmanın temelini oluşturmuştur. Ulusal dayanışma pratikleri bağlamında korporatizm, küreselleşmenin günümüzde ulaşmış olduğu düzeye rağmen dünya açısından stratejik işlevini korumaktadır. Türkiye’de kooperatifçilik, 1923-1950 yılları arasında, yeni kurulan Cumhuriyet’in ekonomik ve sosyal dönüşüm stratejileri çerçevesinde şekillenmiştir. Bu çalışma, 1923'te kuruluşundan 1950'de çok partili demokrasiye geçişine kadar Cumhuriyet'in kuruluş yıllarında Türkiye'de kooperatifçiliğin gelişimini incelemektedir. Devlet Arşivleri, Cumhuriyet Arşivleri ve güncel süreli yayınlardan elde edilen birincil kaynakların kullanıldığı kapsamlı arşiv araştırması yoluyla, kooperatifçilik hareketlerinin erken Cumhuriyet Türkiye'sinde ekonomik kalkınma ve toplumsal dönüşümün önemli araçları olarak nasıl ortaya çıktığı analiz edilmektedir. Çalışma, özellikle 1929 tarihli Tarım Kredi Kooperatifleri Kanunu ve Halk Bankaları girişimine odaklanarak, kooperatiflerin desteklenmesinde devlet politikalarının rolünü incelemektedir. Araştırmamız, devlet öncülüğündeki modernleşme çabaları ile yerel kooperatifçilik hareketleri arasındaki dinamik etkileşimi ortaya koyarak, kooperatifçiliğin hem bir ekonomik kalkınma aracı hem de Cumhuriyet ideallerinin kırsal nüfusa yayılmasının bir aracı olarak nasıl hizmet ettiğini göstermektedir. Daha önce yeterince incelenmemiş arşiv materyallerine dayanan bu araştırma, kooperatif kurumlarının devletin modernleşme politikaları ile yerel ekonomik </w:t>
      </w:r>
      <w:r w:rsidRPr="00D42316">
        <w:lastRenderedPageBreak/>
        <w:t>uygulamalar arasında nasıl aracı işlevi gördüğünü göstererek erken Cumhuriyet dönemi ekonomi tarihi anlayışımıza katkıda bulunacaktır. Bulgular, Avrupa modellerinin unsurlarını yerel ekonomik gelenekler ve Cumhuriyet ideolojisi ile birleştiren Türk kooperatifçiliğinin ayırt edici özelliklerini vurgulamaktadır.</w:t>
      </w:r>
    </w:p>
    <w:p w14:paraId="08654426" w14:textId="77777777" w:rsidR="007513A1" w:rsidRPr="00D42316" w:rsidRDefault="007513A1" w:rsidP="007513A1">
      <w:pPr>
        <w:jc w:val="both"/>
      </w:pPr>
    </w:p>
    <w:p w14:paraId="40AB790B" w14:textId="5B791FA1" w:rsidR="00C70E93" w:rsidRDefault="006F6B4B" w:rsidP="007513A1">
      <w:pPr>
        <w:jc w:val="both"/>
      </w:pPr>
      <w:r w:rsidRPr="00D42316">
        <w:rPr>
          <w:b/>
        </w:rPr>
        <w:t xml:space="preserve">Anahtar </w:t>
      </w:r>
      <w:r w:rsidR="00C87971" w:rsidRPr="00D42316">
        <w:rPr>
          <w:b/>
        </w:rPr>
        <w:t>Kelime</w:t>
      </w:r>
      <w:r w:rsidRPr="00D42316">
        <w:rPr>
          <w:b/>
        </w:rPr>
        <w:t>ler:</w:t>
      </w:r>
      <w:r w:rsidRPr="00D42316">
        <w:t xml:space="preserve"> cumhuriyet dönemi, ekonomik politikalar, hukuki düzenlemeler, kooperatifçilik, toplumsal kalkınma, 1923-1950</w:t>
      </w:r>
    </w:p>
    <w:p w14:paraId="2FF1053C" w14:textId="300ABB26" w:rsidR="00114C6B" w:rsidRPr="00D42316" w:rsidRDefault="00C70E93" w:rsidP="00C70E93">
      <w:pPr>
        <w:autoSpaceDE/>
        <w:autoSpaceDN/>
      </w:pPr>
      <w:r>
        <w:br w:type="page"/>
      </w:r>
    </w:p>
    <w:p w14:paraId="6EFAC99D" w14:textId="4C62AE1B" w:rsidR="001E7189" w:rsidRDefault="001E7189" w:rsidP="004C7694">
      <w:pPr>
        <w:pStyle w:val="Tark"/>
      </w:pPr>
      <w:bookmarkStart w:id="86" w:name="_Toc192855195"/>
      <w:bookmarkStart w:id="87" w:name="_Toc63167931"/>
      <w:bookmarkStart w:id="88" w:name="_Toc60233629"/>
      <w:proofErr w:type="spellStart"/>
      <w:r>
        <w:lastRenderedPageBreak/>
        <w:t>Prompt</w:t>
      </w:r>
      <w:proofErr w:type="spellEnd"/>
      <w:r>
        <w:t xml:space="preserve"> Mühendisliğinin Restoran İşletmeciliğinde Uygulama Alanları ve Gelecek Vizyonu</w:t>
      </w:r>
      <w:bookmarkEnd w:id="86"/>
    </w:p>
    <w:p w14:paraId="3889D57E" w14:textId="77777777" w:rsidR="007513A1" w:rsidRPr="007513A1" w:rsidRDefault="007513A1" w:rsidP="007513A1">
      <w:pPr>
        <w:pStyle w:val="Metin"/>
      </w:pPr>
    </w:p>
    <w:p w14:paraId="26158499" w14:textId="77777777" w:rsidR="001E7189" w:rsidRDefault="001E7189" w:rsidP="007513A1">
      <w:pPr>
        <w:jc w:val="center"/>
        <w:rPr>
          <w:rFonts w:eastAsia="Calibri"/>
          <w:kern w:val="2"/>
          <w14:ligatures w14:val="standardContextual"/>
        </w:rPr>
      </w:pPr>
      <w:r>
        <w:rPr>
          <w:rFonts w:eastAsia="Calibri"/>
          <w:kern w:val="2"/>
          <w14:ligatures w14:val="standardContextual"/>
        </w:rPr>
        <w:t>Emre Turan</w:t>
      </w:r>
      <w:r>
        <w:rPr>
          <w:rFonts w:eastAsia="Calibri"/>
          <w:kern w:val="2"/>
          <w14:ligatures w14:val="standardContextual"/>
        </w:rPr>
        <w:br/>
        <w:t>İstanbul Gelişim Üniversitesi, Gastronomi</w:t>
      </w:r>
      <w:r>
        <w:rPr>
          <w:rFonts w:eastAsia="Calibri"/>
          <w:kern w:val="2"/>
          <w14:ligatures w14:val="standardContextual"/>
        </w:rPr>
        <w:br/>
      </w:r>
      <w:hyperlink r:id="rId146" w:history="1">
        <w:r>
          <w:rPr>
            <w:rFonts w:eastAsia="Calibri"/>
            <w:color w:val="0563C1"/>
            <w:kern w:val="2"/>
            <w:u w:val="single"/>
            <w14:ligatures w14:val="standardContextual"/>
          </w:rPr>
          <w:t>emrefb509@gmail.com</w:t>
        </w:r>
      </w:hyperlink>
      <w:r>
        <w:rPr>
          <w:rFonts w:eastAsia="Calibri"/>
          <w:kern w:val="2"/>
          <w14:ligatures w14:val="standardContextual"/>
        </w:rPr>
        <w:t xml:space="preserve"> </w:t>
      </w:r>
      <w:r>
        <w:rPr>
          <w:rFonts w:eastAsia="Calibri"/>
          <w:kern w:val="2"/>
          <w14:ligatures w14:val="standardContextual"/>
        </w:rPr>
        <w:br/>
      </w:r>
      <w:proofErr w:type="spellStart"/>
      <w:r>
        <w:rPr>
          <w:rFonts w:eastAsia="Calibri"/>
          <w:kern w:val="2"/>
          <w14:ligatures w14:val="standardContextual"/>
        </w:rPr>
        <w:t>Orcid</w:t>
      </w:r>
      <w:proofErr w:type="spellEnd"/>
      <w:r>
        <w:rPr>
          <w:rFonts w:eastAsia="Calibri"/>
          <w:kern w:val="2"/>
          <w14:ligatures w14:val="standardContextual"/>
        </w:rPr>
        <w:t xml:space="preserve"> ID: 0009-0006-2386-9173</w:t>
      </w:r>
    </w:p>
    <w:p w14:paraId="228C9F1A" w14:textId="77777777" w:rsidR="001E7189" w:rsidRDefault="001E7189" w:rsidP="007513A1">
      <w:pPr>
        <w:jc w:val="center"/>
        <w:rPr>
          <w:rFonts w:eastAsia="Calibri"/>
          <w:kern w:val="2"/>
          <w14:ligatures w14:val="standardContextual"/>
        </w:rPr>
      </w:pPr>
    </w:p>
    <w:p w14:paraId="07C060CC" w14:textId="77777777" w:rsidR="001E7189" w:rsidRDefault="001E7189" w:rsidP="007513A1">
      <w:pPr>
        <w:jc w:val="center"/>
        <w:rPr>
          <w:rFonts w:eastAsia="Calibri"/>
          <w:kern w:val="2"/>
          <w14:ligatures w14:val="standardContextual"/>
        </w:rPr>
      </w:pPr>
      <w:r>
        <w:rPr>
          <w:rFonts w:eastAsia="Calibri"/>
          <w:kern w:val="2"/>
          <w14:ligatures w14:val="standardContextual"/>
        </w:rPr>
        <w:t>Murat DOĞAN</w:t>
      </w:r>
      <w:r>
        <w:rPr>
          <w:rFonts w:eastAsia="Calibri"/>
          <w:kern w:val="2"/>
          <w14:ligatures w14:val="standardContextual"/>
        </w:rPr>
        <w:br/>
        <w:t>Doç. Dr. İstanbul Gelişim Üniversitesi, Gastronomi ve Mutfak Sanatları</w:t>
      </w:r>
      <w:r>
        <w:rPr>
          <w:rFonts w:eastAsia="Calibri"/>
          <w:kern w:val="2"/>
          <w14:ligatures w14:val="standardContextual"/>
        </w:rPr>
        <w:br/>
      </w:r>
      <w:hyperlink r:id="rId147" w:history="1">
        <w:r>
          <w:rPr>
            <w:rFonts w:eastAsia="Calibri"/>
            <w:color w:val="0563C1"/>
            <w:kern w:val="2"/>
            <w:u w:val="single"/>
            <w14:ligatures w14:val="standardContextual"/>
          </w:rPr>
          <w:t>mdogan@gelisim.edu.tr</w:t>
        </w:r>
      </w:hyperlink>
      <w:r>
        <w:rPr>
          <w:rFonts w:eastAsia="Calibri"/>
          <w:kern w:val="2"/>
          <w14:ligatures w14:val="standardContextual"/>
        </w:rPr>
        <w:t xml:space="preserve"> </w:t>
      </w:r>
      <w:r>
        <w:rPr>
          <w:rFonts w:eastAsia="Calibri"/>
          <w:kern w:val="2"/>
          <w14:ligatures w14:val="standardContextual"/>
        </w:rPr>
        <w:br/>
      </w:r>
      <w:proofErr w:type="spellStart"/>
      <w:r>
        <w:rPr>
          <w:rFonts w:eastAsia="Calibri"/>
          <w:kern w:val="2"/>
          <w14:ligatures w14:val="standardContextual"/>
        </w:rPr>
        <w:t>Orcid</w:t>
      </w:r>
      <w:proofErr w:type="spellEnd"/>
      <w:r>
        <w:rPr>
          <w:rFonts w:eastAsia="Calibri"/>
          <w:kern w:val="2"/>
          <w14:ligatures w14:val="standardContextual"/>
        </w:rPr>
        <w:t xml:space="preserve"> ID: 000-0001-6391-4887</w:t>
      </w:r>
    </w:p>
    <w:p w14:paraId="7A4E15FF" w14:textId="77777777" w:rsidR="001E7189" w:rsidRDefault="001E7189" w:rsidP="007513A1">
      <w:pPr>
        <w:jc w:val="center"/>
        <w:rPr>
          <w:rFonts w:eastAsia="Calibri"/>
          <w:kern w:val="2"/>
          <w14:ligatures w14:val="standardContextual"/>
        </w:rPr>
      </w:pPr>
    </w:p>
    <w:p w14:paraId="20AED811" w14:textId="77777777" w:rsidR="001E7189" w:rsidRPr="00C53E69" w:rsidRDefault="001E7189" w:rsidP="007513A1">
      <w:pPr>
        <w:jc w:val="center"/>
        <w:rPr>
          <w:rFonts w:eastAsia="Calibri"/>
          <w:b/>
          <w:bCs/>
          <w:kern w:val="2"/>
          <w14:ligatures w14:val="standardContextual"/>
        </w:rPr>
      </w:pPr>
      <w:r>
        <w:rPr>
          <w:rFonts w:eastAsia="Calibri"/>
          <w:b/>
          <w:bCs/>
          <w:kern w:val="2"/>
          <w14:ligatures w14:val="standardContextual"/>
        </w:rPr>
        <w:t>Özet</w:t>
      </w:r>
    </w:p>
    <w:p w14:paraId="6EA3C463" w14:textId="77777777" w:rsidR="001E7189" w:rsidRDefault="001E7189" w:rsidP="007513A1">
      <w:pPr>
        <w:jc w:val="both"/>
        <w:rPr>
          <w:rFonts w:eastAsia="Calibri"/>
          <w:kern w:val="2"/>
          <w14:ligatures w14:val="standardContextual"/>
        </w:rPr>
      </w:pPr>
      <w:proofErr w:type="spellStart"/>
      <w:r>
        <w:rPr>
          <w:rFonts w:eastAsia="Calibri"/>
          <w:kern w:val="2"/>
          <w14:ligatures w14:val="standardContextual"/>
        </w:rPr>
        <w:t>Prompt</w:t>
      </w:r>
      <w:proofErr w:type="spellEnd"/>
      <w:r>
        <w:rPr>
          <w:rFonts w:eastAsia="Calibri"/>
          <w:kern w:val="2"/>
          <w14:ligatures w14:val="standardContextual"/>
        </w:rPr>
        <w:t xml:space="preserve"> mühendisliği, büyük dil modellerinin istenen sonuçları üretmesini sağlamak amacıyla tasarlanan özel girişler oluşturma pratiğidir. Büyük Dil Modelleri (</w:t>
      </w:r>
      <w:proofErr w:type="spellStart"/>
      <w:r>
        <w:rPr>
          <w:rFonts w:eastAsia="Calibri"/>
          <w:kern w:val="2"/>
          <w14:ligatures w14:val="standardContextual"/>
        </w:rPr>
        <w:t>Large</w:t>
      </w:r>
      <w:proofErr w:type="spellEnd"/>
      <w:r>
        <w:rPr>
          <w:rFonts w:eastAsia="Calibri"/>
          <w:kern w:val="2"/>
          <w14:ligatures w14:val="standardContextual"/>
        </w:rPr>
        <w:t xml:space="preserve"> Language </w:t>
      </w:r>
      <w:proofErr w:type="spellStart"/>
      <w:r>
        <w:rPr>
          <w:rFonts w:eastAsia="Calibri"/>
          <w:kern w:val="2"/>
          <w14:ligatures w14:val="standardContextual"/>
        </w:rPr>
        <w:t>Models</w:t>
      </w:r>
      <w:proofErr w:type="spellEnd"/>
      <w:r>
        <w:rPr>
          <w:rFonts w:eastAsia="Calibri"/>
          <w:kern w:val="2"/>
          <w14:ligatures w14:val="standardContextual"/>
        </w:rPr>
        <w:t xml:space="preserve">, </w:t>
      </w:r>
      <w:proofErr w:type="spellStart"/>
      <w:r>
        <w:rPr>
          <w:rFonts w:eastAsia="Calibri"/>
          <w:kern w:val="2"/>
          <w14:ligatures w14:val="standardContextual"/>
        </w:rPr>
        <w:t>LLMs</w:t>
      </w:r>
      <w:proofErr w:type="spellEnd"/>
      <w:r>
        <w:rPr>
          <w:rFonts w:eastAsia="Calibri"/>
          <w:kern w:val="2"/>
          <w14:ligatures w14:val="standardContextual"/>
        </w:rPr>
        <w:t>), büyük miktarda metin veri setleri üzerinde eğitilmiş, insan dilini anlama ve üretme yeteneği geliştiren yapay zekâ modelleri olarak özetlenmektedir. Büyük Dil Modelleri (</w:t>
      </w:r>
      <w:proofErr w:type="spellStart"/>
      <w:r>
        <w:rPr>
          <w:rFonts w:eastAsia="Calibri"/>
          <w:kern w:val="2"/>
          <w14:ligatures w14:val="standardContextual"/>
        </w:rPr>
        <w:t>LLM’ler</w:t>
      </w:r>
      <w:proofErr w:type="spellEnd"/>
      <w:r>
        <w:rPr>
          <w:rFonts w:eastAsia="Calibri"/>
          <w:kern w:val="2"/>
          <w14:ligatures w14:val="standardContextual"/>
        </w:rPr>
        <w:t xml:space="preserve">), </w:t>
      </w:r>
      <w:proofErr w:type="spellStart"/>
      <w:r>
        <w:rPr>
          <w:rFonts w:eastAsia="Calibri"/>
          <w:kern w:val="2"/>
          <w14:ligatures w14:val="standardContextual"/>
        </w:rPr>
        <w:t>ChatGPT'nin</w:t>
      </w:r>
      <w:proofErr w:type="spellEnd"/>
      <w:r>
        <w:rPr>
          <w:rFonts w:eastAsia="Calibri"/>
          <w:kern w:val="2"/>
          <w14:ligatures w14:val="standardContextual"/>
        </w:rPr>
        <w:t xml:space="preserve"> piyasaya sürülmesinden bu yana önemli başarılar elde etmiştir. Özetleme ve duygu analizi gibi geleneksel doğal dil görevlerinin yanı sıra, </w:t>
      </w:r>
      <w:proofErr w:type="spellStart"/>
      <w:r>
        <w:rPr>
          <w:rFonts w:eastAsia="Calibri"/>
          <w:kern w:val="2"/>
          <w14:ligatures w14:val="standardContextual"/>
        </w:rPr>
        <w:t>LLM’lerin</w:t>
      </w:r>
      <w:proofErr w:type="spellEnd"/>
      <w:r>
        <w:rPr>
          <w:rFonts w:eastAsia="Calibri"/>
          <w:kern w:val="2"/>
          <w14:ligatures w14:val="standardContextual"/>
        </w:rPr>
        <w:t xml:space="preserve"> kod oluşturma, insan-bilgisayar etkileşimi ve matematik problemlerini çözme gibi uygulamalara daha yakın olan pek çok alanda etkili olduğu kanıtlanmıştır. Restoran işletmeciliği bağlamında, müşteri memnuniyeti, operasyonel verimlilik ve sürdürülebilirlik hedeflerinin, yapay zekâ destekli teknolojiler aracılığıyla iyileştirilmesine yönelik bir boşluk bulunmaktadır. Bu çalışmanın amacı, </w:t>
      </w:r>
      <w:proofErr w:type="spellStart"/>
      <w:r>
        <w:rPr>
          <w:rFonts w:eastAsia="Calibri"/>
          <w:kern w:val="2"/>
          <w14:ligatures w14:val="standardContextual"/>
        </w:rPr>
        <w:t>prompt</w:t>
      </w:r>
      <w:proofErr w:type="spellEnd"/>
      <w:r>
        <w:rPr>
          <w:rFonts w:eastAsia="Calibri"/>
          <w:kern w:val="2"/>
          <w14:ligatures w14:val="standardContextual"/>
        </w:rPr>
        <w:t xml:space="preserve"> mühendisliğinin restoran işletmeciliğinde rezervasyon yönetimi, müşteri ilişkileri, menü tasarımı, personel eğitimi ve operasyonel verimlilik gibi alanlardaki uygulamalarını incelemek ve bu teknolojinin sektöre kazandırabileceği yenilikçi çözümleri ile gelecekteki potansiyel etkilerini ortaya koymaktır. Bu çalışmada literatür incelemesi ve sektör uygulamaları analiz edilmiş, </w:t>
      </w:r>
      <w:proofErr w:type="spellStart"/>
      <w:r>
        <w:rPr>
          <w:rFonts w:eastAsia="Calibri"/>
          <w:kern w:val="2"/>
          <w14:ligatures w14:val="standardContextual"/>
        </w:rPr>
        <w:t>ChatGPT’ye</w:t>
      </w:r>
      <w:proofErr w:type="spellEnd"/>
      <w:r>
        <w:rPr>
          <w:rFonts w:eastAsia="Calibri"/>
          <w:kern w:val="2"/>
          <w14:ligatures w14:val="standardContextual"/>
        </w:rPr>
        <w:t xml:space="preserve"> belirli </w:t>
      </w:r>
      <w:proofErr w:type="spellStart"/>
      <w:r>
        <w:rPr>
          <w:rFonts w:eastAsia="Calibri"/>
          <w:kern w:val="2"/>
          <w14:ligatures w14:val="standardContextual"/>
        </w:rPr>
        <w:t>promptlar</w:t>
      </w:r>
      <w:proofErr w:type="spellEnd"/>
      <w:r>
        <w:rPr>
          <w:rFonts w:eastAsia="Calibri"/>
          <w:kern w:val="2"/>
          <w14:ligatures w14:val="standardContextual"/>
        </w:rPr>
        <w:t xml:space="preserve"> verilerek çıktılar alınmış ve </w:t>
      </w:r>
      <w:proofErr w:type="spellStart"/>
      <w:r>
        <w:rPr>
          <w:rFonts w:eastAsia="Calibri"/>
          <w:kern w:val="2"/>
          <w14:ligatures w14:val="standardContextual"/>
        </w:rPr>
        <w:t>prompt</w:t>
      </w:r>
      <w:proofErr w:type="spellEnd"/>
      <w:r>
        <w:rPr>
          <w:rFonts w:eastAsia="Calibri"/>
          <w:kern w:val="2"/>
          <w14:ligatures w14:val="standardContextual"/>
        </w:rPr>
        <w:t xml:space="preserve"> mühendisliğinin restoran sektöründeki potansiyel kullanım alanları değerlendirilmiştir. Sonuç olarak </w:t>
      </w:r>
      <w:proofErr w:type="spellStart"/>
      <w:r>
        <w:rPr>
          <w:rFonts w:eastAsia="Calibri"/>
          <w:kern w:val="2"/>
          <w14:ligatures w14:val="standardContextual"/>
        </w:rPr>
        <w:t>prompt</w:t>
      </w:r>
      <w:proofErr w:type="spellEnd"/>
      <w:r>
        <w:rPr>
          <w:rFonts w:eastAsia="Calibri"/>
          <w:kern w:val="2"/>
          <w14:ligatures w14:val="standardContextual"/>
        </w:rPr>
        <w:t xml:space="preserve"> mühendisliği ile </w:t>
      </w:r>
      <w:proofErr w:type="spellStart"/>
      <w:r>
        <w:rPr>
          <w:rFonts w:eastAsia="Calibri"/>
          <w:kern w:val="2"/>
          <w14:ligatures w14:val="standardContextual"/>
        </w:rPr>
        <w:t>ChatGPT</w:t>
      </w:r>
      <w:proofErr w:type="spellEnd"/>
      <w:r>
        <w:rPr>
          <w:rFonts w:eastAsia="Calibri"/>
          <w:kern w:val="2"/>
          <w14:ligatures w14:val="standardContextual"/>
        </w:rPr>
        <w:t xml:space="preserve"> gibi </w:t>
      </w:r>
      <w:proofErr w:type="spellStart"/>
      <w:r>
        <w:rPr>
          <w:rFonts w:eastAsia="Calibri"/>
          <w:kern w:val="2"/>
          <w14:ligatures w14:val="standardContextual"/>
        </w:rPr>
        <w:t>chatbotlara</w:t>
      </w:r>
      <w:proofErr w:type="spellEnd"/>
      <w:r>
        <w:rPr>
          <w:rFonts w:eastAsia="Calibri"/>
          <w:kern w:val="2"/>
          <w14:ligatures w14:val="standardContextual"/>
        </w:rPr>
        <w:t xml:space="preserve"> belli başlı </w:t>
      </w:r>
      <w:proofErr w:type="spellStart"/>
      <w:r>
        <w:rPr>
          <w:rFonts w:eastAsia="Calibri"/>
          <w:kern w:val="2"/>
          <w14:ligatures w14:val="standardContextual"/>
        </w:rPr>
        <w:t>prompt</w:t>
      </w:r>
      <w:proofErr w:type="spellEnd"/>
      <w:r>
        <w:rPr>
          <w:rFonts w:eastAsia="Calibri"/>
          <w:kern w:val="2"/>
          <w14:ligatures w14:val="standardContextual"/>
        </w:rPr>
        <w:t xml:space="preserve"> kalıpları (istenilen alanda bilgi transferi sağlandığında) restoran sektöründe uygulanabileceği anlaşılmıştır. Bu sayede restoranlar, menülerini kişiselleştirebilir, talep tahmini gerçekleştirebilir, sürdürülebilir tedarik zinciri ve dijital müşteri etkileşimlerini optimize edebilirler.</w:t>
      </w:r>
    </w:p>
    <w:p w14:paraId="1BB1FD5B" w14:textId="77777777" w:rsidR="001E7189" w:rsidRDefault="001E7189" w:rsidP="007513A1">
      <w:pPr>
        <w:jc w:val="both"/>
        <w:rPr>
          <w:rFonts w:eastAsia="Calibri"/>
          <w:kern w:val="2"/>
          <w14:ligatures w14:val="standardContextual"/>
        </w:rPr>
      </w:pPr>
    </w:p>
    <w:p w14:paraId="402AC6C8" w14:textId="169C6388" w:rsidR="001E7189" w:rsidRDefault="000C6508" w:rsidP="007513A1">
      <w:pPr>
        <w:jc w:val="both"/>
        <w:rPr>
          <w:rFonts w:eastAsia="Calibri"/>
          <w:kern w:val="2"/>
          <w14:ligatures w14:val="standardContextual"/>
        </w:rPr>
      </w:pPr>
      <w:r>
        <w:rPr>
          <w:rFonts w:eastAsia="Calibri"/>
          <w:b/>
          <w:bCs/>
          <w:kern w:val="2"/>
          <w14:ligatures w14:val="standardContextual"/>
        </w:rPr>
        <w:t>Anahtar Kelimeler</w:t>
      </w:r>
      <w:r w:rsidR="001E7189">
        <w:rPr>
          <w:rFonts w:eastAsia="Calibri"/>
          <w:b/>
          <w:bCs/>
          <w:kern w:val="2"/>
          <w14:ligatures w14:val="standardContextual"/>
        </w:rPr>
        <w:t>:</w:t>
      </w:r>
      <w:r w:rsidR="001E7189">
        <w:rPr>
          <w:rFonts w:eastAsia="Calibri"/>
          <w:kern w:val="2"/>
          <w14:ligatures w14:val="standardContextual"/>
        </w:rPr>
        <w:t xml:space="preserve"> </w:t>
      </w:r>
      <w:proofErr w:type="spellStart"/>
      <w:r w:rsidR="001E7189">
        <w:rPr>
          <w:rFonts w:eastAsia="Calibri"/>
          <w:kern w:val="2"/>
          <w14:ligatures w14:val="standardContextual"/>
        </w:rPr>
        <w:t>Prompt</w:t>
      </w:r>
      <w:proofErr w:type="spellEnd"/>
      <w:r w:rsidR="001E7189">
        <w:rPr>
          <w:rFonts w:eastAsia="Calibri"/>
          <w:kern w:val="2"/>
          <w14:ligatures w14:val="standardContextual"/>
        </w:rPr>
        <w:t xml:space="preserve"> mühendisliği, restoran işletmeciliği, </w:t>
      </w:r>
      <w:proofErr w:type="spellStart"/>
      <w:r w:rsidR="001E7189">
        <w:rPr>
          <w:rFonts w:eastAsia="Calibri"/>
          <w:kern w:val="2"/>
          <w14:ligatures w14:val="standardContextual"/>
        </w:rPr>
        <w:t>ChatGPT</w:t>
      </w:r>
      <w:proofErr w:type="spellEnd"/>
      <w:r w:rsidR="001E7189">
        <w:rPr>
          <w:rFonts w:eastAsia="Calibri"/>
          <w:kern w:val="2"/>
          <w14:ligatures w14:val="standardContextual"/>
        </w:rPr>
        <w:t>, yapay zekâ</w:t>
      </w:r>
    </w:p>
    <w:p w14:paraId="3E08D7A5" w14:textId="77777777" w:rsidR="007513A1" w:rsidRDefault="007513A1" w:rsidP="007513A1">
      <w:pPr>
        <w:jc w:val="center"/>
        <w:rPr>
          <w:rFonts w:eastAsia="Calibri"/>
          <w:kern w:val="2"/>
          <w14:ligatures w14:val="standardContextual"/>
        </w:rPr>
      </w:pPr>
    </w:p>
    <w:p w14:paraId="311B1726" w14:textId="77777777" w:rsidR="007513A1" w:rsidRDefault="007513A1" w:rsidP="007513A1">
      <w:pPr>
        <w:jc w:val="center"/>
        <w:rPr>
          <w:rFonts w:eastAsia="Calibri"/>
          <w:kern w:val="2"/>
          <w14:ligatures w14:val="standardContextual"/>
        </w:rPr>
      </w:pPr>
    </w:p>
    <w:p w14:paraId="651B03C6" w14:textId="77777777" w:rsidR="007513A1" w:rsidRDefault="007513A1" w:rsidP="007513A1">
      <w:pPr>
        <w:jc w:val="center"/>
        <w:rPr>
          <w:rFonts w:eastAsia="Calibri"/>
          <w:kern w:val="2"/>
          <w14:ligatures w14:val="standardContextual"/>
        </w:rPr>
      </w:pPr>
    </w:p>
    <w:p w14:paraId="11B6EC02" w14:textId="77777777" w:rsidR="007513A1" w:rsidRDefault="007513A1" w:rsidP="007513A1">
      <w:pPr>
        <w:jc w:val="center"/>
        <w:rPr>
          <w:rFonts w:eastAsia="Calibri"/>
          <w:kern w:val="2"/>
          <w14:ligatures w14:val="standardContextual"/>
        </w:rPr>
      </w:pPr>
    </w:p>
    <w:p w14:paraId="14E20AC6" w14:textId="77777777" w:rsidR="007513A1" w:rsidRDefault="007513A1" w:rsidP="007513A1">
      <w:pPr>
        <w:jc w:val="center"/>
        <w:rPr>
          <w:rFonts w:eastAsia="Calibri"/>
          <w:kern w:val="2"/>
          <w14:ligatures w14:val="standardContextual"/>
        </w:rPr>
      </w:pPr>
    </w:p>
    <w:p w14:paraId="07617545" w14:textId="77777777" w:rsidR="007513A1" w:rsidRDefault="007513A1" w:rsidP="007513A1">
      <w:pPr>
        <w:jc w:val="center"/>
        <w:rPr>
          <w:rFonts w:eastAsia="Calibri"/>
          <w:kern w:val="2"/>
          <w14:ligatures w14:val="standardContextual"/>
        </w:rPr>
      </w:pPr>
    </w:p>
    <w:p w14:paraId="59EFA1D3" w14:textId="77777777" w:rsidR="007513A1" w:rsidRDefault="007513A1" w:rsidP="007513A1">
      <w:pPr>
        <w:jc w:val="center"/>
        <w:rPr>
          <w:rFonts w:eastAsia="Calibri"/>
          <w:kern w:val="2"/>
          <w14:ligatures w14:val="standardContextual"/>
        </w:rPr>
      </w:pPr>
    </w:p>
    <w:p w14:paraId="2837482C" w14:textId="77777777" w:rsidR="007513A1" w:rsidRDefault="007513A1" w:rsidP="007513A1">
      <w:pPr>
        <w:jc w:val="center"/>
        <w:rPr>
          <w:rFonts w:eastAsia="Calibri"/>
          <w:kern w:val="2"/>
          <w14:ligatures w14:val="standardContextual"/>
        </w:rPr>
      </w:pPr>
    </w:p>
    <w:p w14:paraId="330BD477" w14:textId="77777777" w:rsidR="007513A1" w:rsidRDefault="007513A1" w:rsidP="007513A1">
      <w:pPr>
        <w:jc w:val="center"/>
        <w:rPr>
          <w:rFonts w:eastAsia="Calibri"/>
          <w:b/>
          <w:bCs/>
          <w:kern w:val="2"/>
          <w:sz w:val="28"/>
          <w:szCs w:val="28"/>
          <w:lang w:val="en-US"/>
          <w14:ligatures w14:val="standardContextual"/>
        </w:rPr>
      </w:pPr>
    </w:p>
    <w:p w14:paraId="389241D0" w14:textId="4B8FEB21" w:rsidR="001E7189" w:rsidRDefault="001E7189" w:rsidP="004C7694">
      <w:pPr>
        <w:pStyle w:val="Tark"/>
        <w:rPr>
          <w:lang w:val="en-US"/>
        </w:rPr>
      </w:pPr>
      <w:bookmarkStart w:id="89" w:name="_Toc192855196"/>
      <w:r>
        <w:rPr>
          <w:lang w:val="en-US"/>
        </w:rPr>
        <w:lastRenderedPageBreak/>
        <w:t>Application Areas of Prompt Engineering in Restaurant Management and Future Vision</w:t>
      </w:r>
      <w:bookmarkEnd w:id="89"/>
    </w:p>
    <w:p w14:paraId="4916176B" w14:textId="77777777" w:rsidR="007513A1" w:rsidRPr="007513A1" w:rsidRDefault="007513A1" w:rsidP="007513A1">
      <w:pPr>
        <w:pStyle w:val="Metin"/>
        <w:rPr>
          <w:lang w:val="en-US"/>
        </w:rPr>
      </w:pPr>
    </w:p>
    <w:p w14:paraId="5DF39C08" w14:textId="77777777" w:rsidR="001E7189" w:rsidRPr="009025E0" w:rsidRDefault="001E7189" w:rsidP="007513A1">
      <w:pPr>
        <w:jc w:val="center"/>
        <w:rPr>
          <w:rFonts w:eastAsia="Calibri"/>
          <w:b/>
          <w:bCs/>
          <w:kern w:val="2"/>
          <w:lang w:val="en-US"/>
          <w14:ligatures w14:val="standardContextual"/>
        </w:rPr>
      </w:pPr>
      <w:r>
        <w:rPr>
          <w:rFonts w:eastAsia="Calibri"/>
          <w:b/>
          <w:bCs/>
          <w:kern w:val="2"/>
          <w:lang w:val="en-US"/>
          <w14:ligatures w14:val="standardContextual"/>
        </w:rPr>
        <w:t>Abstract</w:t>
      </w:r>
    </w:p>
    <w:p w14:paraId="65B5C615" w14:textId="77777777" w:rsidR="001E7189" w:rsidRDefault="001E7189" w:rsidP="007513A1">
      <w:pPr>
        <w:jc w:val="both"/>
        <w:rPr>
          <w:rFonts w:eastAsia="Calibri"/>
          <w:kern w:val="2"/>
          <w:lang w:val="en-US"/>
          <w14:ligatures w14:val="standardContextual"/>
        </w:rPr>
      </w:pPr>
      <w:r>
        <w:rPr>
          <w:rFonts w:eastAsia="Calibri"/>
          <w:kern w:val="2"/>
          <w:lang w:val="en-US"/>
          <w14:ligatures w14:val="standardContextual"/>
        </w:rPr>
        <w:t>Prompt engineering is the practice of creating custom inputs designed to ensure that large language models produce the desired results. Large language models (LLMs) are artificial intelligence models trained on extensive text datasets that develop the ability to understand and produce human language. LLMs have achieved significant success since the launch of ChatGPT. Beyond traditional natural language tasks such as summarization and sentiment analysis, LLMs have proven effective in various application areas, including code generation, human-computer interaction, and solving mathematical problems. In the context of restaurant management, there is an opportunity to enhance customer satisfaction, operational efficiency, and sustainability goals through AI-enabled technologies. This study aims to examine the applications of prompt engineering in areas such as reservation management, customer relations, menu design, staff training, and operational efficiency within restaurant management. The study also aims to reveal the innovative solutions that this technology can bring to the sector and its potential future impacts. Through literature reviews and analysis of industry applications, outputs were obtained by providing specific prompts to ChatGPT. The potential usage areas of prompt engineering in the restaurant sector were evaluated. Overall, it was found that certain prompt patterns, when correctly applied, can be effectively used in chatbots like ChatGPT within the restaurant industry. This approach allows restaurants to personalize menus, perform demand forecasts, optimize sustainable supply chains, and digitally interact with customers.</w:t>
      </w:r>
    </w:p>
    <w:p w14:paraId="097CF20B" w14:textId="77777777" w:rsidR="001E7189" w:rsidRDefault="001E7189" w:rsidP="007513A1">
      <w:pPr>
        <w:jc w:val="both"/>
        <w:rPr>
          <w:rFonts w:eastAsia="Calibri"/>
          <w:kern w:val="2"/>
          <w:lang w:val="en-US"/>
          <w14:ligatures w14:val="standardContextual"/>
        </w:rPr>
      </w:pPr>
    </w:p>
    <w:p w14:paraId="195E3E61" w14:textId="77777777" w:rsidR="001E7189" w:rsidRDefault="001E7189" w:rsidP="007513A1">
      <w:pPr>
        <w:jc w:val="both"/>
        <w:rPr>
          <w:rFonts w:eastAsia="Calibri"/>
          <w:kern w:val="2"/>
          <w:lang w:val="en-US"/>
          <w14:ligatures w14:val="standardContextual"/>
        </w:rPr>
      </w:pPr>
      <w:proofErr w:type="spellStart"/>
      <w:r>
        <w:rPr>
          <w:rFonts w:eastAsia="Calibri"/>
          <w:b/>
          <w:bCs/>
          <w:kern w:val="2"/>
          <w:lang w:val="en-US"/>
          <w14:ligatures w14:val="standardContextual"/>
        </w:rPr>
        <w:t>Anahtar</w:t>
      </w:r>
      <w:proofErr w:type="spellEnd"/>
      <w:r>
        <w:rPr>
          <w:rFonts w:eastAsia="Calibri"/>
          <w:b/>
          <w:bCs/>
          <w:kern w:val="2"/>
          <w:lang w:val="en-US"/>
          <w14:ligatures w14:val="standardContextual"/>
        </w:rPr>
        <w:t xml:space="preserve"> </w:t>
      </w:r>
      <w:proofErr w:type="spellStart"/>
      <w:r>
        <w:rPr>
          <w:rFonts w:eastAsia="Calibri"/>
          <w:b/>
          <w:bCs/>
          <w:kern w:val="2"/>
          <w:lang w:val="en-US"/>
          <w14:ligatures w14:val="standardContextual"/>
        </w:rPr>
        <w:t>Kelimeler</w:t>
      </w:r>
      <w:proofErr w:type="spellEnd"/>
      <w:r>
        <w:rPr>
          <w:rFonts w:eastAsia="Calibri"/>
          <w:b/>
          <w:bCs/>
          <w:kern w:val="2"/>
          <w:lang w:val="en-US"/>
          <w14:ligatures w14:val="standardContextual"/>
        </w:rPr>
        <w:t>:</w:t>
      </w:r>
      <w:r>
        <w:rPr>
          <w:rFonts w:eastAsia="Calibri"/>
          <w:kern w:val="2"/>
          <w:lang w:val="en-US"/>
          <w14:ligatures w14:val="standardContextual"/>
        </w:rPr>
        <w:t xml:space="preserve"> Prompt engineering, restaurant management, ChatGPT,</w:t>
      </w:r>
      <w:r>
        <w:rPr>
          <w:rFonts w:ascii="Calibri" w:eastAsia="Calibri" w:hAnsi="Calibri"/>
          <w:kern w:val="2"/>
          <w14:ligatures w14:val="standardContextual"/>
        </w:rPr>
        <w:t xml:space="preserve"> </w:t>
      </w:r>
      <w:r>
        <w:rPr>
          <w:rFonts w:eastAsia="Calibri"/>
          <w:kern w:val="2"/>
          <w:lang w:val="en-US"/>
          <w14:ligatures w14:val="standardContextual"/>
        </w:rPr>
        <w:t>artificial intelligence</w:t>
      </w:r>
    </w:p>
    <w:p w14:paraId="4F8BD36C" w14:textId="77777777" w:rsidR="001E7189" w:rsidRPr="009025E0" w:rsidRDefault="001E7189" w:rsidP="007513A1">
      <w:pPr>
        <w:jc w:val="both"/>
        <w:rPr>
          <w:rFonts w:eastAsia="Calibri"/>
          <w:kern w:val="2"/>
          <w:lang w:val="en-US"/>
          <w14:ligatures w14:val="standardContextual"/>
        </w:rPr>
      </w:pPr>
    </w:p>
    <w:p w14:paraId="423ABB50" w14:textId="77777777" w:rsidR="001E7189" w:rsidRPr="00714BC1" w:rsidRDefault="001E7189" w:rsidP="007513A1">
      <w:pPr>
        <w:rPr>
          <w:b/>
          <w:bCs/>
        </w:rPr>
      </w:pPr>
      <w:bookmarkStart w:id="90" w:name="_Toc60233637"/>
      <w:bookmarkStart w:id="91" w:name="_Toc63167939"/>
      <w:bookmarkEnd w:id="87"/>
      <w:bookmarkEnd w:id="88"/>
      <w:r w:rsidRPr="00714BC1">
        <w:rPr>
          <w:b/>
          <w:bCs/>
        </w:rPr>
        <w:t>GİRİŞ</w:t>
      </w:r>
      <w:bookmarkEnd w:id="90"/>
      <w:bookmarkEnd w:id="91"/>
    </w:p>
    <w:p w14:paraId="6230C72C" w14:textId="77777777" w:rsidR="001E7189" w:rsidRDefault="001E7189" w:rsidP="007513A1">
      <w:pPr>
        <w:pStyle w:val="IGUTezParagraf"/>
        <w:spacing w:before="0" w:after="0" w:line="240" w:lineRule="auto"/>
        <w:ind w:firstLine="0"/>
      </w:pPr>
      <w:r>
        <w:t>Restoran işletmeciliğinin asıl amacı müşteri memnuniyetini artırıp operasyonel verimliliği sağlarken bir yandan da sürdürülebilirlik hedeflerine ulaşmak amacıyla sürekli olarak yenilikçi yöntemler ve teknolojilerle dönüşüm geçirmektedir. Bu bağlamda düşünüldüğünde yapay zekâ ve büyük dil modellerinin (</w:t>
      </w:r>
      <w:proofErr w:type="spellStart"/>
      <w:r>
        <w:t>LLM’ler</w:t>
      </w:r>
      <w:proofErr w:type="spellEnd"/>
      <w:r>
        <w:t>) kullanımının hızla dünyada pek çok alanda artması, sektörler için çığır açıcı fırsatlar sunmakta olduğu söylenebilir (</w:t>
      </w:r>
      <w:proofErr w:type="spellStart"/>
      <w:r>
        <w:t>Bowen</w:t>
      </w:r>
      <w:proofErr w:type="spellEnd"/>
      <w:r>
        <w:t xml:space="preserve"> &amp; Morris, 1995). Bu çalışmada ele alınan “</w:t>
      </w:r>
      <w:proofErr w:type="spellStart"/>
      <w:r>
        <w:t>prompt</w:t>
      </w:r>
      <w:proofErr w:type="spellEnd"/>
      <w:r>
        <w:t xml:space="preserve"> mühendisliği”, </w:t>
      </w:r>
      <w:proofErr w:type="spellStart"/>
      <w:r>
        <w:t>LLM’lerin</w:t>
      </w:r>
      <w:proofErr w:type="spellEnd"/>
      <w:r>
        <w:t xml:space="preserve"> çıktılarının hedeflenen spesifik ihtiyaçlara uygun hale getirilmesini sağlayan yöntem olarak ön plana çıkmaktadır. Geleneksel doğal dil işleme görevlerinin ötesine geçen kod üretimi, insan-bilgisayar etkileşimi ve problem çözme gibi çok yönlü alanlarda etkili olduğu gösterilen </w:t>
      </w:r>
      <w:proofErr w:type="spellStart"/>
      <w:r>
        <w:t>LLM'ler</w:t>
      </w:r>
      <w:proofErr w:type="spellEnd"/>
      <w:r>
        <w:t>, restoran sektörünün kendine has gereksinimlerini karşılamada potansiyel taşımaktadır (</w:t>
      </w:r>
      <w:proofErr w:type="spellStart"/>
      <w:r>
        <w:t>Borges</w:t>
      </w:r>
      <w:proofErr w:type="spellEnd"/>
      <w:r>
        <w:t xml:space="preserve"> &amp; </w:t>
      </w:r>
      <w:proofErr w:type="spellStart"/>
      <w:r>
        <w:t>Ladele</w:t>
      </w:r>
      <w:proofErr w:type="spellEnd"/>
      <w:r>
        <w:t xml:space="preserve">, 2024). Restoran işletmeciliğinde </w:t>
      </w:r>
      <w:proofErr w:type="spellStart"/>
      <w:r>
        <w:t>prompt</w:t>
      </w:r>
      <w:proofErr w:type="spellEnd"/>
      <w:r>
        <w:t xml:space="preserve"> mühendisliğinin rolü, menü tasarımı, müşteri ilişkileri yönetimi, personel eğitimi, talep tahmini ve sürdürülebilirlik gibi birçok alanda kendini gösterebilir. Menü yönetimi ve kişiselleştirme alanında bu yaklaşım, müşteri tercihlerine uygun (ya da restoran işletmecisinin kafasındaki restoran konseptine uygun) içerik oluşturma (menü oluşturma), maliyet optimizasyonu ve etkili iletişim stratejilerinin geliştirilmesine olanak tanıyabilir. Bunların yanı sıra alerjen bilgisi yönetimi gibi kritik öneme sahip süreçlerde, müşteri güvenliğini sağlama ve personel eğitimini destekleme konularında da çözümler sunmaktadır. Bu çalışmada, </w:t>
      </w:r>
      <w:proofErr w:type="spellStart"/>
      <w:r>
        <w:t>prompt</w:t>
      </w:r>
      <w:proofErr w:type="spellEnd"/>
      <w:r>
        <w:t xml:space="preserve"> mühendisliği kavramının teorik çerçevesi, literatür </w:t>
      </w:r>
      <w:r>
        <w:lastRenderedPageBreak/>
        <w:t xml:space="preserve">incelemeleri ve sektörel uygulamalar temelinde ele alınarak; </w:t>
      </w:r>
      <w:proofErr w:type="spellStart"/>
      <w:r>
        <w:t>ChatGPT</w:t>
      </w:r>
      <w:proofErr w:type="spellEnd"/>
      <w:r>
        <w:t xml:space="preserve"> gibi büyük dil modelleri aracılığıyla elde edilen çıktılar değerlendirilmiştir. Çalışma ile müşteri tercihlerini analiz etmek için geliştirilen </w:t>
      </w:r>
      <w:proofErr w:type="spellStart"/>
      <w:proofErr w:type="gramStart"/>
      <w:r>
        <w:t>promptlar</w:t>
      </w:r>
      <w:proofErr w:type="spellEnd"/>
      <w:r>
        <w:t>,</w:t>
      </w:r>
      <w:proofErr w:type="gramEnd"/>
      <w:r>
        <w:t xml:space="preserve"> hem veri odaklı hem de yaratıcı restoran hizmetlerinin iyileştirilmesine katkıda bulunmuştur. Menü tasarımı ve fiyatlandırma stratejilerinde kullanılan psikolojik ilkeler, müşteri memnuniyetini artırırken, operasyonel süreçlerin verimliliğini de desteklemiştir. Bu makalenin temel amacı, </w:t>
      </w:r>
      <w:proofErr w:type="spellStart"/>
      <w:r>
        <w:t>prompt</w:t>
      </w:r>
      <w:proofErr w:type="spellEnd"/>
      <w:r>
        <w:t xml:space="preserve"> mühendisliğinin restoran işletmeciliğindeki uygulanabilirliğini ve bu teknolojinin sektörde yaratabileceği yenilikçi etkilerini incelemektir. Bu </w:t>
      </w:r>
      <w:proofErr w:type="gramStart"/>
      <w:r>
        <w:t>doğrultuda,</w:t>
      </w:r>
      <w:proofErr w:type="gramEnd"/>
      <w:r>
        <w:t xml:space="preserve"> hem akademik literatür hem de sektörel uygulamalardan yararlanılarak elde edilen bulgular üzerinden restoran işletmelerinin gelecekte nasıl dönüşüm geçirebileceği tartışılmaktadır. Çalışma, </w:t>
      </w:r>
      <w:proofErr w:type="spellStart"/>
      <w:r>
        <w:t>prompt</w:t>
      </w:r>
      <w:proofErr w:type="spellEnd"/>
      <w:r>
        <w:t xml:space="preserve"> mühendisliği ve yapay zekâ teknolojilerinin restoran işletmeciliği alanındaki rolünü anlama ve bu teknolojilerin benimsenmesine yönelik öneriler geliştirme açısından katkı sağlamayı hedeflemektedir.</w:t>
      </w:r>
    </w:p>
    <w:p w14:paraId="0455DE65" w14:textId="77777777" w:rsidR="001E7189" w:rsidRDefault="001E7189" w:rsidP="007513A1">
      <w:pPr>
        <w:pStyle w:val="IGUTezParagraf"/>
        <w:spacing w:before="0" w:after="0" w:line="240" w:lineRule="auto"/>
        <w:ind w:firstLine="0"/>
      </w:pPr>
    </w:p>
    <w:p w14:paraId="6D418262" w14:textId="77777777" w:rsidR="001E7189" w:rsidRPr="00714BC1" w:rsidRDefault="001E7189" w:rsidP="007513A1">
      <w:pPr>
        <w:rPr>
          <w:rFonts w:eastAsiaTheme="minorEastAsia"/>
          <w:b/>
          <w:bCs/>
          <w:lang w:val="en-US"/>
        </w:rPr>
      </w:pPr>
      <w:r w:rsidRPr="00714BC1">
        <w:rPr>
          <w:rFonts w:eastAsiaTheme="minorEastAsia"/>
          <w:b/>
          <w:bCs/>
          <w:lang w:val="en-US"/>
        </w:rPr>
        <w:t>2. YÖNTEM</w:t>
      </w:r>
    </w:p>
    <w:p w14:paraId="0533E490" w14:textId="77777777" w:rsidR="001E7189" w:rsidRDefault="001E7189" w:rsidP="007513A1">
      <w:pPr>
        <w:pStyle w:val="NormalWeb"/>
        <w:spacing w:before="0" w:beforeAutospacing="0" w:after="0" w:afterAutospacing="0"/>
        <w:jc w:val="both"/>
      </w:pPr>
      <w:proofErr w:type="spellStart"/>
      <w:r>
        <w:t>Çalışmada</w:t>
      </w:r>
      <w:proofErr w:type="spellEnd"/>
      <w:r>
        <w:t xml:space="preserve">, prompt </w:t>
      </w:r>
      <w:proofErr w:type="spellStart"/>
      <w:r>
        <w:t>mühendisliğinin</w:t>
      </w:r>
      <w:proofErr w:type="spellEnd"/>
      <w:r>
        <w:t xml:space="preserve"> </w:t>
      </w:r>
      <w:proofErr w:type="spellStart"/>
      <w:r>
        <w:t>restoran</w:t>
      </w:r>
      <w:proofErr w:type="spellEnd"/>
      <w:r>
        <w:t xml:space="preserve"> </w:t>
      </w:r>
      <w:proofErr w:type="spellStart"/>
      <w:r>
        <w:t>işletmeciliğinde</w:t>
      </w:r>
      <w:proofErr w:type="spellEnd"/>
      <w:r>
        <w:t xml:space="preserve"> </w:t>
      </w:r>
      <w:proofErr w:type="spellStart"/>
      <w:r>
        <w:t>nasıl</w:t>
      </w:r>
      <w:proofErr w:type="spellEnd"/>
      <w:r>
        <w:t xml:space="preserve"> </w:t>
      </w:r>
      <w:proofErr w:type="spellStart"/>
      <w:r>
        <w:t>kullanılabileceğini</w:t>
      </w:r>
      <w:proofErr w:type="spellEnd"/>
      <w:r>
        <w:t xml:space="preserve"> </w:t>
      </w:r>
      <w:proofErr w:type="spellStart"/>
      <w:r>
        <w:t>incelemek</w:t>
      </w:r>
      <w:proofErr w:type="spellEnd"/>
      <w:r>
        <w:t xml:space="preserve"> </w:t>
      </w:r>
      <w:proofErr w:type="spellStart"/>
      <w:r>
        <w:t>amacıyla</w:t>
      </w:r>
      <w:proofErr w:type="spellEnd"/>
      <w:r>
        <w:t xml:space="preserve"> </w:t>
      </w:r>
      <w:proofErr w:type="spellStart"/>
      <w:r>
        <w:rPr>
          <w:rStyle w:val="Gl"/>
        </w:rPr>
        <w:t>literatür</w:t>
      </w:r>
      <w:proofErr w:type="spellEnd"/>
      <w:r>
        <w:rPr>
          <w:rStyle w:val="Gl"/>
        </w:rPr>
        <w:t xml:space="preserve"> </w:t>
      </w:r>
      <w:proofErr w:type="spellStart"/>
      <w:r>
        <w:rPr>
          <w:rStyle w:val="Gl"/>
        </w:rPr>
        <w:t>incelemesi</w:t>
      </w:r>
      <w:proofErr w:type="spellEnd"/>
      <w:r>
        <w:rPr>
          <w:rStyle w:val="Gl"/>
        </w:rPr>
        <w:t xml:space="preserve"> </w:t>
      </w:r>
      <w:proofErr w:type="spellStart"/>
      <w:r>
        <w:rPr>
          <w:rStyle w:val="Gl"/>
        </w:rPr>
        <w:t>ve</w:t>
      </w:r>
      <w:proofErr w:type="spellEnd"/>
      <w:r>
        <w:rPr>
          <w:rStyle w:val="Gl"/>
        </w:rPr>
        <w:t xml:space="preserve"> </w:t>
      </w:r>
      <w:proofErr w:type="spellStart"/>
      <w:r>
        <w:rPr>
          <w:rStyle w:val="Gl"/>
        </w:rPr>
        <w:t>sektör</w:t>
      </w:r>
      <w:proofErr w:type="spellEnd"/>
      <w:r>
        <w:rPr>
          <w:rStyle w:val="Gl"/>
        </w:rPr>
        <w:t xml:space="preserve"> </w:t>
      </w:r>
      <w:proofErr w:type="spellStart"/>
      <w:r>
        <w:rPr>
          <w:rStyle w:val="Gl"/>
        </w:rPr>
        <w:t>uygulamalarının</w:t>
      </w:r>
      <w:proofErr w:type="spellEnd"/>
      <w:r>
        <w:rPr>
          <w:rStyle w:val="Gl"/>
        </w:rPr>
        <w:t xml:space="preserve"> </w:t>
      </w:r>
      <w:proofErr w:type="spellStart"/>
      <w:r>
        <w:rPr>
          <w:rStyle w:val="Gl"/>
        </w:rPr>
        <w:t>analizi</w:t>
      </w:r>
      <w:proofErr w:type="spellEnd"/>
      <w:r>
        <w:t xml:space="preserve"> </w:t>
      </w:r>
      <w:proofErr w:type="spellStart"/>
      <w:r>
        <w:t>yöntemleri</w:t>
      </w:r>
      <w:proofErr w:type="spellEnd"/>
      <w:r>
        <w:t xml:space="preserve"> </w:t>
      </w:r>
      <w:proofErr w:type="spellStart"/>
      <w:r>
        <w:t>kullanılmıştır</w:t>
      </w:r>
      <w:proofErr w:type="spellEnd"/>
      <w:r>
        <w:t xml:space="preserve">. </w:t>
      </w:r>
      <w:proofErr w:type="spellStart"/>
      <w:r>
        <w:t>Öncelikle</w:t>
      </w:r>
      <w:proofErr w:type="spellEnd"/>
      <w:r>
        <w:t xml:space="preserve">, </w:t>
      </w:r>
      <w:proofErr w:type="spellStart"/>
      <w:r>
        <w:t>yapay</w:t>
      </w:r>
      <w:proofErr w:type="spellEnd"/>
      <w:r>
        <w:t xml:space="preserve"> </w:t>
      </w:r>
      <w:proofErr w:type="spellStart"/>
      <w:r>
        <w:t>zeka</w:t>
      </w:r>
      <w:proofErr w:type="spellEnd"/>
      <w:r>
        <w:t xml:space="preserve">, </w:t>
      </w:r>
      <w:proofErr w:type="spellStart"/>
      <w:r>
        <w:t>büyük</w:t>
      </w:r>
      <w:proofErr w:type="spellEnd"/>
      <w:r>
        <w:t xml:space="preserve"> </w:t>
      </w:r>
      <w:proofErr w:type="spellStart"/>
      <w:r>
        <w:t>dil</w:t>
      </w:r>
      <w:proofErr w:type="spellEnd"/>
      <w:r>
        <w:t xml:space="preserve"> </w:t>
      </w:r>
      <w:proofErr w:type="spellStart"/>
      <w:r>
        <w:t>modelleri</w:t>
      </w:r>
      <w:proofErr w:type="spellEnd"/>
      <w:r>
        <w:t xml:space="preserve"> (</w:t>
      </w:r>
      <w:proofErr w:type="spellStart"/>
      <w:r>
        <w:t>LLM’ler</w:t>
      </w:r>
      <w:proofErr w:type="spellEnd"/>
      <w:r>
        <w:t xml:space="preserve">) </w:t>
      </w:r>
      <w:proofErr w:type="spellStart"/>
      <w:r>
        <w:t>ve</w:t>
      </w:r>
      <w:proofErr w:type="spellEnd"/>
      <w:r>
        <w:t xml:space="preserve"> </w:t>
      </w:r>
      <w:proofErr w:type="spellStart"/>
      <w:r>
        <w:t>restoran</w:t>
      </w:r>
      <w:proofErr w:type="spellEnd"/>
      <w:r>
        <w:t xml:space="preserve"> </w:t>
      </w:r>
      <w:proofErr w:type="spellStart"/>
      <w:r>
        <w:t>yönetimi</w:t>
      </w:r>
      <w:proofErr w:type="spellEnd"/>
      <w:r>
        <w:t xml:space="preserve"> </w:t>
      </w:r>
      <w:proofErr w:type="spellStart"/>
      <w:r>
        <w:t>konularında</w:t>
      </w:r>
      <w:proofErr w:type="spellEnd"/>
      <w:r>
        <w:t xml:space="preserve"> </w:t>
      </w:r>
      <w:proofErr w:type="spellStart"/>
      <w:r>
        <w:t>akademik</w:t>
      </w:r>
      <w:proofErr w:type="spellEnd"/>
      <w:r>
        <w:t xml:space="preserve"> </w:t>
      </w:r>
      <w:proofErr w:type="spellStart"/>
      <w:r>
        <w:t>kaynaklar</w:t>
      </w:r>
      <w:proofErr w:type="spellEnd"/>
      <w:r>
        <w:t xml:space="preserve"> </w:t>
      </w:r>
      <w:proofErr w:type="spellStart"/>
      <w:r>
        <w:t>taranarak</w:t>
      </w:r>
      <w:proofErr w:type="spellEnd"/>
      <w:r>
        <w:t xml:space="preserve"> </w:t>
      </w:r>
      <w:proofErr w:type="spellStart"/>
      <w:r>
        <w:t>teorik</w:t>
      </w:r>
      <w:proofErr w:type="spellEnd"/>
      <w:r>
        <w:t xml:space="preserve"> </w:t>
      </w:r>
      <w:proofErr w:type="spellStart"/>
      <w:r>
        <w:t>bir</w:t>
      </w:r>
      <w:proofErr w:type="spellEnd"/>
      <w:r>
        <w:t xml:space="preserve"> </w:t>
      </w:r>
      <w:proofErr w:type="spellStart"/>
      <w:r>
        <w:t>çerçeve</w:t>
      </w:r>
      <w:proofErr w:type="spellEnd"/>
      <w:r>
        <w:t xml:space="preserve"> </w:t>
      </w:r>
      <w:proofErr w:type="spellStart"/>
      <w:r>
        <w:t>oluşturulmuştur</w:t>
      </w:r>
      <w:proofErr w:type="spellEnd"/>
      <w:r>
        <w:t xml:space="preserve">. </w:t>
      </w:r>
      <w:proofErr w:type="spellStart"/>
      <w:r>
        <w:t>Ardından</w:t>
      </w:r>
      <w:proofErr w:type="spellEnd"/>
      <w:r>
        <w:t xml:space="preserve">, </w:t>
      </w:r>
      <w:proofErr w:type="spellStart"/>
      <w:r>
        <w:t>sektörde</w:t>
      </w:r>
      <w:proofErr w:type="spellEnd"/>
      <w:r>
        <w:t xml:space="preserve"> </w:t>
      </w:r>
      <w:proofErr w:type="spellStart"/>
      <w:r>
        <w:t>yapay</w:t>
      </w:r>
      <w:proofErr w:type="spellEnd"/>
      <w:r>
        <w:t xml:space="preserve"> </w:t>
      </w:r>
      <w:proofErr w:type="spellStart"/>
      <w:r>
        <w:t>zeka</w:t>
      </w:r>
      <w:proofErr w:type="spellEnd"/>
      <w:r>
        <w:t xml:space="preserve"> </w:t>
      </w:r>
      <w:proofErr w:type="spellStart"/>
      <w:r>
        <w:t>destekli</w:t>
      </w:r>
      <w:proofErr w:type="spellEnd"/>
      <w:r>
        <w:t xml:space="preserve"> </w:t>
      </w:r>
      <w:proofErr w:type="spellStart"/>
      <w:r>
        <w:t>teknolojilerin</w:t>
      </w:r>
      <w:proofErr w:type="spellEnd"/>
      <w:r>
        <w:t xml:space="preserve"> </w:t>
      </w:r>
      <w:proofErr w:type="spellStart"/>
      <w:r>
        <w:t>nasıl</w:t>
      </w:r>
      <w:proofErr w:type="spellEnd"/>
      <w:r>
        <w:t xml:space="preserve"> </w:t>
      </w:r>
      <w:proofErr w:type="spellStart"/>
      <w:r>
        <w:t>uygulandığı</w:t>
      </w:r>
      <w:proofErr w:type="spellEnd"/>
      <w:r>
        <w:t xml:space="preserve"> </w:t>
      </w:r>
      <w:proofErr w:type="spellStart"/>
      <w:r>
        <w:t>incelenmiş</w:t>
      </w:r>
      <w:proofErr w:type="spellEnd"/>
      <w:r>
        <w:t xml:space="preserve"> </w:t>
      </w:r>
      <w:proofErr w:type="spellStart"/>
      <w:r>
        <w:t>ve</w:t>
      </w:r>
      <w:proofErr w:type="spellEnd"/>
      <w:r>
        <w:t xml:space="preserve"> </w:t>
      </w:r>
      <w:proofErr w:type="spellStart"/>
      <w:r>
        <w:t>bu</w:t>
      </w:r>
      <w:proofErr w:type="spellEnd"/>
      <w:r>
        <w:t xml:space="preserve"> </w:t>
      </w:r>
      <w:proofErr w:type="spellStart"/>
      <w:r>
        <w:t>doğrultuda</w:t>
      </w:r>
      <w:proofErr w:type="spellEnd"/>
      <w:r>
        <w:t xml:space="preserve"> </w:t>
      </w:r>
      <w:proofErr w:type="spellStart"/>
      <w:r>
        <w:t>restoran</w:t>
      </w:r>
      <w:proofErr w:type="spellEnd"/>
      <w:r>
        <w:t xml:space="preserve"> </w:t>
      </w:r>
      <w:proofErr w:type="spellStart"/>
      <w:r>
        <w:t>işletmelerine</w:t>
      </w:r>
      <w:proofErr w:type="spellEnd"/>
      <w:r>
        <w:t xml:space="preserve"> </w:t>
      </w:r>
      <w:proofErr w:type="spellStart"/>
      <w:r>
        <w:t>yönelik</w:t>
      </w:r>
      <w:proofErr w:type="spellEnd"/>
      <w:r>
        <w:t xml:space="preserve"> </w:t>
      </w:r>
      <w:proofErr w:type="spellStart"/>
      <w:r>
        <w:t>yenilikçi</w:t>
      </w:r>
      <w:proofErr w:type="spellEnd"/>
      <w:r>
        <w:t xml:space="preserve"> </w:t>
      </w:r>
      <w:proofErr w:type="spellStart"/>
      <w:r>
        <w:t>çözümler</w:t>
      </w:r>
      <w:proofErr w:type="spellEnd"/>
      <w:r>
        <w:t xml:space="preserve"> </w:t>
      </w:r>
      <w:proofErr w:type="spellStart"/>
      <w:r>
        <w:t>değerlendirilmiştir</w:t>
      </w:r>
      <w:proofErr w:type="spellEnd"/>
      <w:r>
        <w:t>.</w:t>
      </w:r>
    </w:p>
    <w:p w14:paraId="168B578E" w14:textId="77777777" w:rsidR="007513A1" w:rsidRDefault="007513A1" w:rsidP="007513A1">
      <w:pPr>
        <w:pStyle w:val="NormalWeb"/>
        <w:spacing w:before="0" w:beforeAutospacing="0" w:after="0" w:afterAutospacing="0"/>
        <w:jc w:val="both"/>
      </w:pPr>
    </w:p>
    <w:p w14:paraId="32D41EA3" w14:textId="77777777" w:rsidR="001E7189" w:rsidRDefault="001E7189" w:rsidP="007513A1">
      <w:pPr>
        <w:pStyle w:val="NormalWeb"/>
        <w:spacing w:before="0" w:beforeAutospacing="0" w:after="0" w:afterAutospacing="0"/>
        <w:jc w:val="both"/>
      </w:pPr>
      <w:proofErr w:type="spellStart"/>
      <w:r>
        <w:t>Çalışmada</w:t>
      </w:r>
      <w:proofErr w:type="spellEnd"/>
      <w:r>
        <w:t xml:space="preserve"> </w:t>
      </w:r>
      <w:proofErr w:type="spellStart"/>
      <w:r>
        <w:t>ayrıca</w:t>
      </w:r>
      <w:proofErr w:type="spellEnd"/>
      <w:r>
        <w:t xml:space="preserve"> </w:t>
      </w:r>
      <w:r>
        <w:rPr>
          <w:rStyle w:val="Gl"/>
        </w:rPr>
        <w:t xml:space="preserve">ChatGPT </w:t>
      </w:r>
      <w:proofErr w:type="spellStart"/>
      <w:r>
        <w:rPr>
          <w:rStyle w:val="Gl"/>
        </w:rPr>
        <w:t>gibi</w:t>
      </w:r>
      <w:proofErr w:type="spellEnd"/>
      <w:r>
        <w:rPr>
          <w:rStyle w:val="Gl"/>
        </w:rPr>
        <w:t xml:space="preserve"> </w:t>
      </w:r>
      <w:proofErr w:type="spellStart"/>
      <w:r>
        <w:rPr>
          <w:rStyle w:val="Gl"/>
        </w:rPr>
        <w:t>büyük</w:t>
      </w:r>
      <w:proofErr w:type="spellEnd"/>
      <w:r>
        <w:rPr>
          <w:rStyle w:val="Gl"/>
        </w:rPr>
        <w:t xml:space="preserve"> </w:t>
      </w:r>
      <w:proofErr w:type="spellStart"/>
      <w:r>
        <w:rPr>
          <w:rStyle w:val="Gl"/>
        </w:rPr>
        <w:t>dil</w:t>
      </w:r>
      <w:proofErr w:type="spellEnd"/>
      <w:r>
        <w:rPr>
          <w:rStyle w:val="Gl"/>
        </w:rPr>
        <w:t xml:space="preserve"> </w:t>
      </w:r>
      <w:proofErr w:type="spellStart"/>
      <w:r>
        <w:rPr>
          <w:rStyle w:val="Gl"/>
        </w:rPr>
        <w:t>modellerine</w:t>
      </w:r>
      <w:proofErr w:type="spellEnd"/>
      <w:r>
        <w:rPr>
          <w:rStyle w:val="Gl"/>
        </w:rPr>
        <w:t xml:space="preserve"> </w:t>
      </w:r>
      <w:proofErr w:type="spellStart"/>
      <w:r>
        <w:rPr>
          <w:rStyle w:val="Gl"/>
        </w:rPr>
        <w:t>belirli</w:t>
      </w:r>
      <w:proofErr w:type="spellEnd"/>
      <w:r>
        <w:rPr>
          <w:rStyle w:val="Gl"/>
        </w:rPr>
        <w:t xml:space="preserve"> </w:t>
      </w:r>
      <w:proofErr w:type="spellStart"/>
      <w:r>
        <w:rPr>
          <w:rStyle w:val="Gl"/>
        </w:rPr>
        <w:t>promptlar</w:t>
      </w:r>
      <w:proofErr w:type="spellEnd"/>
      <w:r>
        <w:rPr>
          <w:rStyle w:val="Gl"/>
        </w:rPr>
        <w:t xml:space="preserve"> </w:t>
      </w:r>
      <w:proofErr w:type="spellStart"/>
      <w:r>
        <w:rPr>
          <w:rStyle w:val="Gl"/>
        </w:rPr>
        <w:t>verilerek</w:t>
      </w:r>
      <w:proofErr w:type="spellEnd"/>
      <w:r>
        <w:t xml:space="preserve"> </w:t>
      </w:r>
      <w:proofErr w:type="spellStart"/>
      <w:r>
        <w:t>alınan</w:t>
      </w:r>
      <w:proofErr w:type="spellEnd"/>
      <w:r>
        <w:t xml:space="preserve"> </w:t>
      </w:r>
      <w:proofErr w:type="spellStart"/>
      <w:r>
        <w:t>çıktılar</w:t>
      </w:r>
      <w:proofErr w:type="spellEnd"/>
      <w:r>
        <w:t xml:space="preserve"> </w:t>
      </w:r>
      <w:proofErr w:type="spellStart"/>
      <w:r>
        <w:t>analiz</w:t>
      </w:r>
      <w:proofErr w:type="spellEnd"/>
      <w:r>
        <w:t xml:space="preserve"> </w:t>
      </w:r>
      <w:proofErr w:type="spellStart"/>
      <w:r>
        <w:t>edilmiştir</w:t>
      </w:r>
      <w:proofErr w:type="spellEnd"/>
      <w:r>
        <w:t xml:space="preserve">. Bu </w:t>
      </w:r>
      <w:proofErr w:type="spellStart"/>
      <w:r>
        <w:t>süreçte</w:t>
      </w:r>
      <w:proofErr w:type="spellEnd"/>
      <w:r>
        <w:t xml:space="preserve">, </w:t>
      </w:r>
      <w:proofErr w:type="spellStart"/>
      <w:r>
        <w:t>rezervasyon</w:t>
      </w:r>
      <w:proofErr w:type="spellEnd"/>
      <w:r>
        <w:t xml:space="preserve"> </w:t>
      </w:r>
      <w:proofErr w:type="spellStart"/>
      <w:r>
        <w:t>yönetimi</w:t>
      </w:r>
      <w:proofErr w:type="spellEnd"/>
      <w:r>
        <w:t xml:space="preserve">, </w:t>
      </w:r>
      <w:proofErr w:type="spellStart"/>
      <w:r>
        <w:t>müşteri</w:t>
      </w:r>
      <w:proofErr w:type="spellEnd"/>
      <w:r>
        <w:t xml:space="preserve"> </w:t>
      </w:r>
      <w:proofErr w:type="spellStart"/>
      <w:r>
        <w:t>ilişkileri</w:t>
      </w:r>
      <w:proofErr w:type="spellEnd"/>
      <w:r>
        <w:t xml:space="preserve">, </w:t>
      </w:r>
      <w:proofErr w:type="spellStart"/>
      <w:r>
        <w:t>menü</w:t>
      </w:r>
      <w:proofErr w:type="spellEnd"/>
      <w:r>
        <w:t xml:space="preserve"> </w:t>
      </w:r>
      <w:proofErr w:type="spellStart"/>
      <w:r>
        <w:t>tasarımı</w:t>
      </w:r>
      <w:proofErr w:type="spellEnd"/>
      <w:r>
        <w:t xml:space="preserve">, </w:t>
      </w:r>
      <w:proofErr w:type="spellStart"/>
      <w:r>
        <w:t>personel</w:t>
      </w:r>
      <w:proofErr w:type="spellEnd"/>
      <w:r>
        <w:t xml:space="preserve"> </w:t>
      </w:r>
      <w:proofErr w:type="spellStart"/>
      <w:r>
        <w:t>eğitimi</w:t>
      </w:r>
      <w:proofErr w:type="spellEnd"/>
      <w:r>
        <w:t xml:space="preserve"> </w:t>
      </w:r>
      <w:proofErr w:type="spellStart"/>
      <w:r>
        <w:t>ve</w:t>
      </w:r>
      <w:proofErr w:type="spellEnd"/>
      <w:r>
        <w:t xml:space="preserve"> </w:t>
      </w:r>
      <w:proofErr w:type="spellStart"/>
      <w:r>
        <w:t>operasyonel</w:t>
      </w:r>
      <w:proofErr w:type="spellEnd"/>
      <w:r>
        <w:t xml:space="preserve"> </w:t>
      </w:r>
      <w:proofErr w:type="spellStart"/>
      <w:r>
        <w:t>verimlilik</w:t>
      </w:r>
      <w:proofErr w:type="spellEnd"/>
      <w:r>
        <w:t xml:space="preserve"> </w:t>
      </w:r>
      <w:proofErr w:type="spellStart"/>
      <w:r>
        <w:t>gibi</w:t>
      </w:r>
      <w:proofErr w:type="spellEnd"/>
      <w:r>
        <w:t xml:space="preserve"> </w:t>
      </w:r>
      <w:proofErr w:type="spellStart"/>
      <w:r>
        <w:t>alanlara</w:t>
      </w:r>
      <w:proofErr w:type="spellEnd"/>
      <w:r>
        <w:t xml:space="preserve"> </w:t>
      </w:r>
      <w:proofErr w:type="spellStart"/>
      <w:r>
        <w:t>yönelik</w:t>
      </w:r>
      <w:proofErr w:type="spellEnd"/>
      <w:r>
        <w:t xml:space="preserve"> </w:t>
      </w:r>
      <w:proofErr w:type="spellStart"/>
      <w:r>
        <w:t>özgün</w:t>
      </w:r>
      <w:proofErr w:type="spellEnd"/>
      <w:r>
        <w:t xml:space="preserve"> </w:t>
      </w:r>
      <w:proofErr w:type="spellStart"/>
      <w:r>
        <w:t>promptlar</w:t>
      </w:r>
      <w:proofErr w:type="spellEnd"/>
      <w:r>
        <w:t xml:space="preserve"> </w:t>
      </w:r>
      <w:proofErr w:type="spellStart"/>
      <w:r>
        <w:t>geliştirilmiş</w:t>
      </w:r>
      <w:proofErr w:type="spellEnd"/>
      <w:r>
        <w:t xml:space="preserve"> </w:t>
      </w:r>
      <w:proofErr w:type="spellStart"/>
      <w:r>
        <w:t>ve</w:t>
      </w:r>
      <w:proofErr w:type="spellEnd"/>
      <w:r>
        <w:t xml:space="preserve"> </w:t>
      </w:r>
      <w:proofErr w:type="spellStart"/>
      <w:r>
        <w:t>yapay</w:t>
      </w:r>
      <w:proofErr w:type="spellEnd"/>
      <w:r>
        <w:t xml:space="preserve"> </w:t>
      </w:r>
      <w:proofErr w:type="spellStart"/>
      <w:r>
        <w:t>zekanın</w:t>
      </w:r>
      <w:proofErr w:type="spellEnd"/>
      <w:r>
        <w:t xml:space="preserve"> </w:t>
      </w:r>
      <w:proofErr w:type="spellStart"/>
      <w:r>
        <w:t>sunduğu</w:t>
      </w:r>
      <w:proofErr w:type="spellEnd"/>
      <w:r>
        <w:t xml:space="preserve"> </w:t>
      </w:r>
      <w:proofErr w:type="spellStart"/>
      <w:r>
        <w:t>çözümler</w:t>
      </w:r>
      <w:proofErr w:type="spellEnd"/>
      <w:r>
        <w:t xml:space="preserve"> </w:t>
      </w:r>
      <w:proofErr w:type="spellStart"/>
      <w:r>
        <w:t>incelenmiştir</w:t>
      </w:r>
      <w:proofErr w:type="spellEnd"/>
      <w:r>
        <w:t xml:space="preserve">. Elde </w:t>
      </w:r>
      <w:proofErr w:type="spellStart"/>
      <w:r>
        <w:t>edilen</w:t>
      </w:r>
      <w:proofErr w:type="spellEnd"/>
      <w:r>
        <w:t xml:space="preserve"> </w:t>
      </w:r>
      <w:proofErr w:type="spellStart"/>
      <w:r>
        <w:t>bulgular</w:t>
      </w:r>
      <w:proofErr w:type="spellEnd"/>
      <w:r>
        <w:t xml:space="preserve"> </w:t>
      </w:r>
      <w:proofErr w:type="spellStart"/>
      <w:r>
        <w:t>doğrultusunda</w:t>
      </w:r>
      <w:proofErr w:type="spellEnd"/>
      <w:r>
        <w:t xml:space="preserve">, </w:t>
      </w:r>
      <w:proofErr w:type="spellStart"/>
      <w:r>
        <w:t>restoran</w:t>
      </w:r>
      <w:proofErr w:type="spellEnd"/>
      <w:r>
        <w:t xml:space="preserve"> </w:t>
      </w:r>
      <w:proofErr w:type="spellStart"/>
      <w:r>
        <w:t>işletmelerinin</w:t>
      </w:r>
      <w:proofErr w:type="spellEnd"/>
      <w:r>
        <w:t xml:space="preserve"> </w:t>
      </w:r>
      <w:proofErr w:type="spellStart"/>
      <w:r>
        <w:t>menülerini</w:t>
      </w:r>
      <w:proofErr w:type="spellEnd"/>
      <w:r>
        <w:t xml:space="preserve"> </w:t>
      </w:r>
      <w:proofErr w:type="spellStart"/>
      <w:r>
        <w:t>kişiselleştirme</w:t>
      </w:r>
      <w:proofErr w:type="spellEnd"/>
      <w:r>
        <w:t xml:space="preserve">, </w:t>
      </w:r>
      <w:proofErr w:type="spellStart"/>
      <w:r>
        <w:t>talep</w:t>
      </w:r>
      <w:proofErr w:type="spellEnd"/>
      <w:r>
        <w:t xml:space="preserve"> </w:t>
      </w:r>
      <w:proofErr w:type="spellStart"/>
      <w:r>
        <w:t>tahmini</w:t>
      </w:r>
      <w:proofErr w:type="spellEnd"/>
      <w:r>
        <w:t xml:space="preserve"> </w:t>
      </w:r>
      <w:proofErr w:type="spellStart"/>
      <w:r>
        <w:t>yapma</w:t>
      </w:r>
      <w:proofErr w:type="spellEnd"/>
      <w:r>
        <w:t xml:space="preserve">, </w:t>
      </w:r>
      <w:proofErr w:type="spellStart"/>
      <w:r>
        <w:t>sürdürülebilir</w:t>
      </w:r>
      <w:proofErr w:type="spellEnd"/>
      <w:r>
        <w:t xml:space="preserve"> </w:t>
      </w:r>
      <w:proofErr w:type="spellStart"/>
      <w:r>
        <w:t>tedarik</w:t>
      </w:r>
      <w:proofErr w:type="spellEnd"/>
      <w:r>
        <w:t xml:space="preserve"> </w:t>
      </w:r>
      <w:proofErr w:type="spellStart"/>
      <w:r>
        <w:t>zinciri</w:t>
      </w:r>
      <w:proofErr w:type="spellEnd"/>
      <w:r>
        <w:t xml:space="preserve"> </w:t>
      </w:r>
      <w:proofErr w:type="spellStart"/>
      <w:r>
        <w:t>oluşturma</w:t>
      </w:r>
      <w:proofErr w:type="spellEnd"/>
      <w:r>
        <w:t xml:space="preserve"> </w:t>
      </w:r>
      <w:proofErr w:type="spellStart"/>
      <w:r>
        <w:t>ve</w:t>
      </w:r>
      <w:proofErr w:type="spellEnd"/>
      <w:r>
        <w:t xml:space="preserve"> </w:t>
      </w:r>
      <w:proofErr w:type="spellStart"/>
      <w:r>
        <w:t>dijital</w:t>
      </w:r>
      <w:proofErr w:type="spellEnd"/>
      <w:r>
        <w:t xml:space="preserve"> </w:t>
      </w:r>
      <w:proofErr w:type="spellStart"/>
      <w:r>
        <w:t>müşteri</w:t>
      </w:r>
      <w:proofErr w:type="spellEnd"/>
      <w:r>
        <w:t xml:space="preserve"> </w:t>
      </w:r>
      <w:proofErr w:type="spellStart"/>
      <w:r>
        <w:t>etkileşimlerini</w:t>
      </w:r>
      <w:proofErr w:type="spellEnd"/>
      <w:r>
        <w:t xml:space="preserve"> optimize </w:t>
      </w:r>
      <w:proofErr w:type="spellStart"/>
      <w:r>
        <w:t>etme</w:t>
      </w:r>
      <w:proofErr w:type="spellEnd"/>
      <w:r>
        <w:t xml:space="preserve"> </w:t>
      </w:r>
      <w:proofErr w:type="spellStart"/>
      <w:r>
        <w:t>gibi</w:t>
      </w:r>
      <w:proofErr w:type="spellEnd"/>
      <w:r>
        <w:t xml:space="preserve"> </w:t>
      </w:r>
      <w:proofErr w:type="spellStart"/>
      <w:r>
        <w:t>konularda</w:t>
      </w:r>
      <w:proofErr w:type="spellEnd"/>
      <w:r>
        <w:t xml:space="preserve"> prompt </w:t>
      </w:r>
      <w:proofErr w:type="spellStart"/>
      <w:r>
        <w:t>mühendisliğiyle</w:t>
      </w:r>
      <w:proofErr w:type="spellEnd"/>
      <w:r>
        <w:t xml:space="preserve"> </w:t>
      </w:r>
      <w:proofErr w:type="spellStart"/>
      <w:r>
        <w:t>nasıl</w:t>
      </w:r>
      <w:proofErr w:type="spellEnd"/>
      <w:r>
        <w:t xml:space="preserve"> </w:t>
      </w:r>
      <w:proofErr w:type="spellStart"/>
      <w:r>
        <w:t>dönüşüm</w:t>
      </w:r>
      <w:proofErr w:type="spellEnd"/>
      <w:r>
        <w:t xml:space="preserve"> </w:t>
      </w:r>
      <w:proofErr w:type="spellStart"/>
      <w:r>
        <w:t>geçirebileceği</w:t>
      </w:r>
      <w:proofErr w:type="spellEnd"/>
      <w:r>
        <w:t xml:space="preserve"> </w:t>
      </w:r>
      <w:proofErr w:type="spellStart"/>
      <w:r>
        <w:t>ortaya</w:t>
      </w:r>
      <w:proofErr w:type="spellEnd"/>
      <w:r>
        <w:t xml:space="preserve"> </w:t>
      </w:r>
      <w:proofErr w:type="spellStart"/>
      <w:r>
        <w:t>konmuştur</w:t>
      </w:r>
      <w:proofErr w:type="spellEnd"/>
      <w:r>
        <w:t>.</w:t>
      </w:r>
    </w:p>
    <w:p w14:paraId="0EA82125" w14:textId="77777777" w:rsidR="001E7189" w:rsidRDefault="001E7189" w:rsidP="007513A1">
      <w:pPr>
        <w:pStyle w:val="NormalWeb"/>
        <w:spacing w:before="0" w:beforeAutospacing="0" w:after="0" w:afterAutospacing="0"/>
        <w:jc w:val="both"/>
      </w:pPr>
    </w:p>
    <w:p w14:paraId="630C3852" w14:textId="77777777" w:rsidR="001E7189" w:rsidRPr="00714BC1" w:rsidRDefault="001E7189" w:rsidP="007513A1">
      <w:pPr>
        <w:rPr>
          <w:b/>
          <w:bCs/>
        </w:rPr>
      </w:pPr>
      <w:r w:rsidRPr="00714BC1">
        <w:rPr>
          <w:b/>
          <w:bCs/>
        </w:rPr>
        <w:t>3. BULGULAR</w:t>
      </w:r>
    </w:p>
    <w:p w14:paraId="66D97E40" w14:textId="77777777" w:rsidR="001E7189" w:rsidRPr="00714BC1" w:rsidRDefault="001E7189" w:rsidP="007513A1">
      <w:pPr>
        <w:rPr>
          <w:b/>
          <w:bCs/>
        </w:rPr>
      </w:pPr>
      <w:r w:rsidRPr="00714BC1">
        <w:rPr>
          <w:b/>
          <w:bCs/>
        </w:rPr>
        <w:t xml:space="preserve">3.1. </w:t>
      </w:r>
      <w:proofErr w:type="spellStart"/>
      <w:r w:rsidRPr="00714BC1">
        <w:rPr>
          <w:b/>
          <w:bCs/>
        </w:rPr>
        <w:t>Prompt</w:t>
      </w:r>
      <w:proofErr w:type="spellEnd"/>
      <w:r w:rsidRPr="00714BC1">
        <w:rPr>
          <w:b/>
          <w:bCs/>
        </w:rPr>
        <w:t xml:space="preserve"> Mühendisliğinin Tanımı ve Temel Prensipleri</w:t>
      </w:r>
    </w:p>
    <w:p w14:paraId="40CD3CA2" w14:textId="77777777" w:rsidR="001E7189" w:rsidRDefault="001E7189" w:rsidP="007513A1">
      <w:pPr>
        <w:pStyle w:val="NormalWeb"/>
        <w:spacing w:before="0" w:beforeAutospacing="0" w:after="0" w:afterAutospacing="0"/>
        <w:jc w:val="both"/>
        <w:rPr>
          <w:color w:val="000000"/>
        </w:rPr>
      </w:pPr>
      <w:r>
        <w:rPr>
          <w:color w:val="000000"/>
        </w:rPr>
        <w:t xml:space="preserve">Büyük Dil </w:t>
      </w:r>
      <w:proofErr w:type="spellStart"/>
      <w:r>
        <w:rPr>
          <w:color w:val="000000"/>
        </w:rPr>
        <w:t>Modelleri</w:t>
      </w:r>
      <w:proofErr w:type="spellEnd"/>
      <w:r>
        <w:rPr>
          <w:color w:val="000000"/>
        </w:rPr>
        <w:t xml:space="preserve"> (</w:t>
      </w:r>
      <w:proofErr w:type="spellStart"/>
      <w:r>
        <w:rPr>
          <w:color w:val="000000"/>
        </w:rPr>
        <w:t>LLM’ler</w:t>
      </w:r>
      <w:proofErr w:type="spellEnd"/>
      <w:r>
        <w:rPr>
          <w:color w:val="000000"/>
        </w:rPr>
        <w:t xml:space="preserve">), </w:t>
      </w:r>
      <w:proofErr w:type="spellStart"/>
      <w:r>
        <w:rPr>
          <w:color w:val="000000"/>
        </w:rPr>
        <w:t>ChatGPT'nin</w:t>
      </w:r>
      <w:proofErr w:type="spellEnd"/>
      <w:r>
        <w:rPr>
          <w:color w:val="000000"/>
        </w:rPr>
        <w:t xml:space="preserve"> </w:t>
      </w:r>
      <w:proofErr w:type="spellStart"/>
      <w:r>
        <w:rPr>
          <w:color w:val="000000"/>
        </w:rPr>
        <w:t>piyasaya</w:t>
      </w:r>
      <w:proofErr w:type="spellEnd"/>
      <w:r>
        <w:rPr>
          <w:color w:val="000000"/>
        </w:rPr>
        <w:t xml:space="preserve"> </w:t>
      </w:r>
      <w:proofErr w:type="spellStart"/>
      <w:r>
        <w:rPr>
          <w:color w:val="000000"/>
        </w:rPr>
        <w:t>sürülmesinden</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yana</w:t>
      </w:r>
      <w:proofErr w:type="spellEnd"/>
      <w:r>
        <w:rPr>
          <w:color w:val="000000"/>
        </w:rPr>
        <w:t xml:space="preserve"> </w:t>
      </w:r>
      <w:proofErr w:type="spellStart"/>
      <w:r>
        <w:rPr>
          <w:color w:val="000000"/>
        </w:rPr>
        <w:t>önemli</w:t>
      </w:r>
      <w:proofErr w:type="spellEnd"/>
      <w:r>
        <w:rPr>
          <w:color w:val="000000"/>
        </w:rPr>
        <w:t xml:space="preserve"> </w:t>
      </w:r>
      <w:proofErr w:type="spellStart"/>
      <w:r>
        <w:rPr>
          <w:color w:val="000000"/>
        </w:rPr>
        <w:t>başarılar</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etmiştir</w:t>
      </w:r>
      <w:proofErr w:type="spellEnd"/>
      <w:r>
        <w:rPr>
          <w:color w:val="000000"/>
        </w:rPr>
        <w:t xml:space="preserve">. </w:t>
      </w:r>
      <w:proofErr w:type="spellStart"/>
      <w:r>
        <w:rPr>
          <w:color w:val="000000"/>
        </w:rPr>
        <w:t>Özetleme</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duygu</w:t>
      </w:r>
      <w:proofErr w:type="spellEnd"/>
      <w:r>
        <w:rPr>
          <w:color w:val="000000"/>
        </w:rPr>
        <w:t xml:space="preserve"> </w:t>
      </w:r>
      <w:proofErr w:type="spellStart"/>
      <w:r>
        <w:rPr>
          <w:color w:val="000000"/>
        </w:rPr>
        <w:t>analizi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geleneksel</w:t>
      </w:r>
      <w:proofErr w:type="spellEnd"/>
      <w:r>
        <w:rPr>
          <w:color w:val="000000"/>
        </w:rPr>
        <w:t xml:space="preserve"> </w:t>
      </w:r>
      <w:proofErr w:type="spellStart"/>
      <w:r>
        <w:rPr>
          <w:color w:val="000000"/>
        </w:rPr>
        <w:t>doğal</w:t>
      </w:r>
      <w:proofErr w:type="spellEnd"/>
      <w:r>
        <w:rPr>
          <w:color w:val="000000"/>
        </w:rPr>
        <w:t xml:space="preserve"> </w:t>
      </w:r>
      <w:proofErr w:type="spellStart"/>
      <w:r>
        <w:rPr>
          <w:color w:val="000000"/>
        </w:rPr>
        <w:t>dil</w:t>
      </w:r>
      <w:proofErr w:type="spellEnd"/>
      <w:r>
        <w:rPr>
          <w:color w:val="000000"/>
        </w:rPr>
        <w:t xml:space="preserve"> </w:t>
      </w:r>
      <w:proofErr w:type="spellStart"/>
      <w:r>
        <w:rPr>
          <w:color w:val="000000"/>
        </w:rPr>
        <w:t>görevlerinin</w:t>
      </w:r>
      <w:proofErr w:type="spellEnd"/>
      <w:r>
        <w:rPr>
          <w:color w:val="000000"/>
        </w:rPr>
        <w:t xml:space="preserve"> </w:t>
      </w:r>
      <w:proofErr w:type="spellStart"/>
      <w:r>
        <w:rPr>
          <w:color w:val="000000"/>
        </w:rPr>
        <w:t>yanı</w:t>
      </w:r>
      <w:proofErr w:type="spellEnd"/>
      <w:r>
        <w:rPr>
          <w:color w:val="000000"/>
        </w:rPr>
        <w:t xml:space="preserve"> </w:t>
      </w:r>
      <w:proofErr w:type="spellStart"/>
      <w:r>
        <w:rPr>
          <w:color w:val="000000"/>
        </w:rPr>
        <w:t>sıra</w:t>
      </w:r>
      <w:proofErr w:type="spellEnd"/>
      <w:r>
        <w:rPr>
          <w:color w:val="000000"/>
        </w:rPr>
        <w:t xml:space="preserve">, </w:t>
      </w:r>
      <w:proofErr w:type="spellStart"/>
      <w:r>
        <w:rPr>
          <w:color w:val="000000"/>
        </w:rPr>
        <w:t>LLM’lerin</w:t>
      </w:r>
      <w:proofErr w:type="spellEnd"/>
      <w:r>
        <w:rPr>
          <w:color w:val="000000"/>
        </w:rPr>
        <w:t xml:space="preserve"> </w:t>
      </w:r>
      <w:proofErr w:type="spellStart"/>
      <w:r>
        <w:rPr>
          <w:color w:val="000000"/>
        </w:rPr>
        <w:t>kod</w:t>
      </w:r>
      <w:proofErr w:type="spellEnd"/>
      <w:r>
        <w:rPr>
          <w:color w:val="000000"/>
        </w:rPr>
        <w:t xml:space="preserve"> </w:t>
      </w:r>
      <w:proofErr w:type="spellStart"/>
      <w:r>
        <w:rPr>
          <w:color w:val="000000"/>
        </w:rPr>
        <w:t>oluşturma</w:t>
      </w:r>
      <w:proofErr w:type="spellEnd"/>
      <w:r>
        <w:rPr>
          <w:color w:val="000000"/>
        </w:rPr>
        <w:t xml:space="preserve">, </w:t>
      </w:r>
      <w:proofErr w:type="spellStart"/>
      <w:r>
        <w:rPr>
          <w:color w:val="000000"/>
        </w:rPr>
        <w:t>insan-bilgisayar</w:t>
      </w:r>
      <w:proofErr w:type="spellEnd"/>
      <w:r>
        <w:rPr>
          <w:color w:val="000000"/>
        </w:rPr>
        <w:t xml:space="preserve"> </w:t>
      </w:r>
      <w:proofErr w:type="spellStart"/>
      <w:r>
        <w:rPr>
          <w:color w:val="000000"/>
        </w:rPr>
        <w:t>etkileşimi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matematik</w:t>
      </w:r>
      <w:proofErr w:type="spellEnd"/>
      <w:r>
        <w:rPr>
          <w:color w:val="000000"/>
        </w:rPr>
        <w:t xml:space="preserve"> </w:t>
      </w:r>
      <w:proofErr w:type="spellStart"/>
      <w:r>
        <w:rPr>
          <w:color w:val="000000"/>
        </w:rPr>
        <w:t>problemlerini</w:t>
      </w:r>
      <w:proofErr w:type="spellEnd"/>
      <w:r>
        <w:rPr>
          <w:color w:val="000000"/>
        </w:rPr>
        <w:t xml:space="preserve"> </w:t>
      </w:r>
      <w:proofErr w:type="spellStart"/>
      <w:r>
        <w:rPr>
          <w:color w:val="000000"/>
        </w:rPr>
        <w:t>çözme</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uygulamalara</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yakın</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birçok</w:t>
      </w:r>
      <w:proofErr w:type="spellEnd"/>
      <w:r>
        <w:rPr>
          <w:color w:val="000000"/>
        </w:rPr>
        <w:t xml:space="preserve"> </w:t>
      </w:r>
      <w:proofErr w:type="spellStart"/>
      <w:r>
        <w:rPr>
          <w:color w:val="000000"/>
        </w:rPr>
        <w:t>alanda</w:t>
      </w:r>
      <w:proofErr w:type="spellEnd"/>
      <w:r>
        <w:rPr>
          <w:color w:val="000000"/>
        </w:rPr>
        <w:t xml:space="preserve"> </w:t>
      </w:r>
      <w:proofErr w:type="spellStart"/>
      <w:r>
        <w:rPr>
          <w:color w:val="000000"/>
        </w:rPr>
        <w:t>etkili</w:t>
      </w:r>
      <w:proofErr w:type="spellEnd"/>
      <w:r>
        <w:rPr>
          <w:color w:val="000000"/>
        </w:rPr>
        <w:t xml:space="preserve"> </w:t>
      </w:r>
      <w:proofErr w:type="spellStart"/>
      <w:r>
        <w:rPr>
          <w:color w:val="000000"/>
        </w:rPr>
        <w:t>olduğu</w:t>
      </w:r>
      <w:proofErr w:type="spellEnd"/>
      <w:r>
        <w:rPr>
          <w:color w:val="000000"/>
        </w:rPr>
        <w:t xml:space="preserve"> </w:t>
      </w:r>
      <w:proofErr w:type="spellStart"/>
      <w:r>
        <w:rPr>
          <w:color w:val="000000"/>
        </w:rPr>
        <w:t>gösterilmiştir</w:t>
      </w:r>
      <w:proofErr w:type="spellEnd"/>
      <w:r>
        <w:rPr>
          <w:color w:val="000000"/>
        </w:rPr>
        <w:t xml:space="preserve">. Saf </w:t>
      </w:r>
      <w:proofErr w:type="spellStart"/>
      <w:r>
        <w:rPr>
          <w:color w:val="000000"/>
        </w:rPr>
        <w:t>LLM'ler</w:t>
      </w:r>
      <w:proofErr w:type="spellEnd"/>
      <w:r>
        <w:rPr>
          <w:color w:val="000000"/>
        </w:rPr>
        <w:t xml:space="preserve"> </w:t>
      </w:r>
      <w:proofErr w:type="spellStart"/>
      <w:r>
        <w:rPr>
          <w:color w:val="000000"/>
        </w:rPr>
        <w:t>sınırlı</w:t>
      </w:r>
      <w:proofErr w:type="spellEnd"/>
      <w:r>
        <w:rPr>
          <w:color w:val="000000"/>
        </w:rPr>
        <w:t xml:space="preserve"> </w:t>
      </w:r>
      <w:proofErr w:type="spellStart"/>
      <w:r>
        <w:rPr>
          <w:color w:val="000000"/>
        </w:rPr>
        <w:t>muhakeme</w:t>
      </w:r>
      <w:proofErr w:type="spellEnd"/>
      <w:r>
        <w:rPr>
          <w:color w:val="000000"/>
        </w:rPr>
        <w:t xml:space="preserve"> </w:t>
      </w:r>
      <w:proofErr w:type="spellStart"/>
      <w:r>
        <w:rPr>
          <w:color w:val="000000"/>
        </w:rPr>
        <w:t>yeteneğine</w:t>
      </w:r>
      <w:proofErr w:type="spellEnd"/>
      <w:r>
        <w:rPr>
          <w:color w:val="000000"/>
        </w:rPr>
        <w:t xml:space="preserve"> </w:t>
      </w:r>
      <w:proofErr w:type="spellStart"/>
      <w:r>
        <w:rPr>
          <w:color w:val="000000"/>
        </w:rPr>
        <w:t>sahipken</w:t>
      </w:r>
      <w:proofErr w:type="spellEnd"/>
      <w:r>
        <w:rPr>
          <w:color w:val="000000"/>
        </w:rPr>
        <w:t xml:space="preserve">, </w:t>
      </w:r>
      <w:proofErr w:type="spellStart"/>
      <w:r>
        <w:rPr>
          <w:color w:val="000000"/>
        </w:rPr>
        <w:t>araştırmacılar</w:t>
      </w:r>
      <w:proofErr w:type="spellEnd"/>
      <w:r>
        <w:rPr>
          <w:color w:val="000000"/>
        </w:rPr>
        <w:t xml:space="preserve"> </w:t>
      </w:r>
      <w:proofErr w:type="spellStart"/>
      <w:r>
        <w:rPr>
          <w:color w:val="000000"/>
        </w:rPr>
        <w:t>LLM’lere</w:t>
      </w:r>
      <w:proofErr w:type="spellEnd"/>
      <w:r>
        <w:rPr>
          <w:color w:val="000000"/>
        </w:rPr>
        <w:t xml:space="preserve"> </w:t>
      </w:r>
      <w:proofErr w:type="spellStart"/>
      <w:r>
        <w:rPr>
          <w:color w:val="000000"/>
        </w:rPr>
        <w:t>araç</w:t>
      </w:r>
      <w:proofErr w:type="spellEnd"/>
      <w:r>
        <w:rPr>
          <w:color w:val="000000"/>
        </w:rPr>
        <w:t xml:space="preserve"> </w:t>
      </w:r>
      <w:proofErr w:type="spellStart"/>
      <w:r>
        <w:rPr>
          <w:color w:val="000000"/>
        </w:rPr>
        <w:t>kullanımı</w:t>
      </w:r>
      <w:proofErr w:type="spellEnd"/>
      <w:r>
        <w:rPr>
          <w:color w:val="000000"/>
        </w:rPr>
        <w:t xml:space="preserve"> </w:t>
      </w:r>
      <w:proofErr w:type="spellStart"/>
      <w:r>
        <w:rPr>
          <w:color w:val="000000"/>
        </w:rPr>
        <w:t>ekleyerek</w:t>
      </w:r>
      <w:proofErr w:type="spellEnd"/>
      <w:r>
        <w:rPr>
          <w:color w:val="000000"/>
        </w:rPr>
        <w:t xml:space="preserve">, robot </w:t>
      </w:r>
      <w:proofErr w:type="spellStart"/>
      <w:r>
        <w:rPr>
          <w:color w:val="000000"/>
        </w:rPr>
        <w:t>kontrolü</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otonom</w:t>
      </w:r>
      <w:proofErr w:type="spellEnd"/>
      <w:r>
        <w:rPr>
          <w:color w:val="000000"/>
        </w:rPr>
        <w:t xml:space="preserve"> </w:t>
      </w:r>
      <w:proofErr w:type="spellStart"/>
      <w:r>
        <w:rPr>
          <w:color w:val="000000"/>
        </w:rPr>
        <w:t>sürüş</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genel</w:t>
      </w:r>
      <w:proofErr w:type="spellEnd"/>
      <w:r>
        <w:rPr>
          <w:color w:val="000000"/>
        </w:rPr>
        <w:t xml:space="preserve"> </w:t>
      </w:r>
      <w:proofErr w:type="spellStart"/>
      <w:r>
        <w:rPr>
          <w:color w:val="000000"/>
        </w:rPr>
        <w:t>alanlarda</w:t>
      </w:r>
      <w:proofErr w:type="spellEnd"/>
      <w:r>
        <w:rPr>
          <w:color w:val="000000"/>
        </w:rPr>
        <w:t xml:space="preserve"> </w:t>
      </w:r>
      <w:proofErr w:type="spellStart"/>
      <w:r>
        <w:rPr>
          <w:color w:val="000000"/>
        </w:rPr>
        <w:t>kullanımını</w:t>
      </w:r>
      <w:proofErr w:type="spellEnd"/>
      <w:r>
        <w:rPr>
          <w:color w:val="000000"/>
        </w:rPr>
        <w:t xml:space="preserve"> </w:t>
      </w:r>
      <w:proofErr w:type="spellStart"/>
      <w:r>
        <w:rPr>
          <w:color w:val="000000"/>
        </w:rPr>
        <w:t>mümkün</w:t>
      </w:r>
      <w:proofErr w:type="spellEnd"/>
      <w:r>
        <w:rPr>
          <w:color w:val="000000"/>
        </w:rPr>
        <w:t xml:space="preserve"> </w:t>
      </w:r>
      <w:proofErr w:type="spellStart"/>
      <w:r>
        <w:rPr>
          <w:color w:val="000000"/>
        </w:rPr>
        <w:t>kılan</w:t>
      </w:r>
      <w:proofErr w:type="spellEnd"/>
      <w:r>
        <w:rPr>
          <w:color w:val="000000"/>
        </w:rPr>
        <w:t xml:space="preserve"> </w:t>
      </w:r>
      <w:proofErr w:type="spellStart"/>
      <w:r>
        <w:rPr>
          <w:color w:val="000000"/>
        </w:rPr>
        <w:t>entegre</w:t>
      </w:r>
      <w:proofErr w:type="spellEnd"/>
      <w:r>
        <w:rPr>
          <w:color w:val="000000"/>
        </w:rPr>
        <w:t xml:space="preserve"> </w:t>
      </w:r>
      <w:proofErr w:type="spellStart"/>
      <w:r>
        <w:rPr>
          <w:color w:val="000000"/>
        </w:rPr>
        <w:t>sistemler</w:t>
      </w:r>
      <w:proofErr w:type="spellEnd"/>
      <w:r>
        <w:rPr>
          <w:color w:val="000000"/>
        </w:rPr>
        <w:t xml:space="preserve">, </w:t>
      </w:r>
      <w:proofErr w:type="spellStart"/>
      <w:r>
        <w:rPr>
          <w:color w:val="000000"/>
        </w:rPr>
        <w:t>yani</w:t>
      </w:r>
      <w:proofErr w:type="spellEnd"/>
      <w:r>
        <w:rPr>
          <w:color w:val="000000"/>
        </w:rPr>
        <w:t xml:space="preserve"> LLM </w:t>
      </w:r>
      <w:proofErr w:type="spellStart"/>
      <w:r>
        <w:rPr>
          <w:color w:val="000000"/>
        </w:rPr>
        <w:t>ajanları</w:t>
      </w:r>
      <w:proofErr w:type="spellEnd"/>
      <w:r>
        <w:rPr>
          <w:color w:val="000000"/>
        </w:rPr>
        <w:t xml:space="preserve"> </w:t>
      </w:r>
      <w:proofErr w:type="spellStart"/>
      <w:r>
        <w:rPr>
          <w:color w:val="000000"/>
        </w:rPr>
        <w:t>geliştirmiştir</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başarıların</w:t>
      </w:r>
      <w:proofErr w:type="spellEnd"/>
      <w:r>
        <w:rPr>
          <w:color w:val="000000"/>
        </w:rPr>
        <w:t xml:space="preserve"> </w:t>
      </w:r>
      <w:proofErr w:type="spellStart"/>
      <w:r>
        <w:rPr>
          <w:color w:val="000000"/>
        </w:rPr>
        <w:t>arkasında</w:t>
      </w:r>
      <w:proofErr w:type="spellEnd"/>
      <w:r>
        <w:rPr>
          <w:color w:val="000000"/>
        </w:rPr>
        <w:t xml:space="preserve"> </w:t>
      </w:r>
      <w:proofErr w:type="spellStart"/>
      <w:r>
        <w:rPr>
          <w:color w:val="000000"/>
        </w:rPr>
        <w:t>promptlar</w:t>
      </w:r>
      <w:proofErr w:type="spellEnd"/>
      <w:r>
        <w:rPr>
          <w:color w:val="000000"/>
        </w:rPr>
        <w:t xml:space="preserve"> </w:t>
      </w:r>
      <w:proofErr w:type="spellStart"/>
      <w:r>
        <w:rPr>
          <w:color w:val="000000"/>
        </w:rPr>
        <w:t>kendini</w:t>
      </w:r>
      <w:proofErr w:type="spellEnd"/>
      <w:r>
        <w:rPr>
          <w:color w:val="000000"/>
        </w:rPr>
        <w:t xml:space="preserve"> </w:t>
      </w:r>
      <w:proofErr w:type="spellStart"/>
      <w:r>
        <w:rPr>
          <w:color w:val="000000"/>
        </w:rPr>
        <w:t>göstermektedir</w:t>
      </w:r>
      <w:proofErr w:type="spellEnd"/>
      <w:r>
        <w:rPr>
          <w:color w:val="000000"/>
        </w:rPr>
        <w:t xml:space="preserve"> (Chen &amp; </w:t>
      </w:r>
      <w:proofErr w:type="spellStart"/>
      <w:r>
        <w:rPr>
          <w:color w:val="000000"/>
        </w:rPr>
        <w:t>Dilkina</w:t>
      </w:r>
      <w:proofErr w:type="spellEnd"/>
      <w:r>
        <w:rPr>
          <w:color w:val="000000"/>
        </w:rPr>
        <w:t xml:space="preserve">, 2024).  </w:t>
      </w:r>
      <w:proofErr w:type="spellStart"/>
      <w:r>
        <w:rPr>
          <w:color w:val="000000"/>
        </w:rPr>
        <w:t>Promptlar</w:t>
      </w:r>
      <w:proofErr w:type="spellEnd"/>
      <w:r>
        <w:rPr>
          <w:color w:val="000000"/>
        </w:rPr>
        <w:t xml:space="preserve"> </w:t>
      </w:r>
      <w:proofErr w:type="spellStart"/>
      <w:r>
        <w:rPr>
          <w:color w:val="000000"/>
        </w:rPr>
        <w:t>bu</w:t>
      </w:r>
      <w:proofErr w:type="spellEnd"/>
      <w:r>
        <w:rPr>
          <w:color w:val="000000"/>
        </w:rPr>
        <w:t xml:space="preserve"> </w:t>
      </w:r>
      <w:proofErr w:type="spellStart"/>
      <w:proofErr w:type="gramStart"/>
      <w:r>
        <w:rPr>
          <w:color w:val="000000"/>
        </w:rPr>
        <w:t>bağlamda</w:t>
      </w:r>
      <w:proofErr w:type="spellEnd"/>
      <w:r>
        <w:rPr>
          <w:color w:val="000000"/>
        </w:rPr>
        <w:t xml:space="preserve">  </w:t>
      </w:r>
      <w:proofErr w:type="spellStart"/>
      <w:r>
        <w:rPr>
          <w:color w:val="000000"/>
        </w:rPr>
        <w:t>LLM'lere</w:t>
      </w:r>
      <w:proofErr w:type="spellEnd"/>
      <w:proofErr w:type="gramEnd"/>
      <w:r>
        <w:rPr>
          <w:color w:val="000000"/>
        </w:rPr>
        <w:t xml:space="preserve"> </w:t>
      </w:r>
      <w:proofErr w:type="spellStart"/>
      <w:r>
        <w:rPr>
          <w:color w:val="000000"/>
        </w:rPr>
        <w:t>verilen</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kurallar</w:t>
      </w:r>
      <w:proofErr w:type="spellEnd"/>
      <w:r>
        <w:rPr>
          <w:color w:val="000000"/>
        </w:rPr>
        <w:t xml:space="preserve"> </w:t>
      </w:r>
      <w:proofErr w:type="spellStart"/>
      <w:r>
        <w:rPr>
          <w:color w:val="000000"/>
        </w:rPr>
        <w:t>dayatan</w:t>
      </w:r>
      <w:proofErr w:type="spellEnd"/>
      <w:r>
        <w:rPr>
          <w:color w:val="000000"/>
        </w:rPr>
        <w:t xml:space="preserve">, </w:t>
      </w:r>
      <w:proofErr w:type="spellStart"/>
      <w:r>
        <w:rPr>
          <w:color w:val="000000"/>
        </w:rPr>
        <w:t>süreçleri</w:t>
      </w:r>
      <w:proofErr w:type="spellEnd"/>
      <w:r>
        <w:rPr>
          <w:color w:val="000000"/>
        </w:rPr>
        <w:t xml:space="preserve"> </w:t>
      </w:r>
      <w:proofErr w:type="spellStart"/>
      <w:r>
        <w:rPr>
          <w:color w:val="000000"/>
        </w:rPr>
        <w:t>otomatikleştirip</w:t>
      </w:r>
      <w:proofErr w:type="spellEnd"/>
      <w:r>
        <w:rPr>
          <w:color w:val="000000"/>
        </w:rPr>
        <w:t xml:space="preserve"> </w:t>
      </w:r>
      <w:proofErr w:type="spellStart"/>
      <w:r>
        <w:rPr>
          <w:color w:val="000000"/>
        </w:rPr>
        <w:t>üretilen</w:t>
      </w:r>
      <w:proofErr w:type="spellEnd"/>
      <w:r>
        <w:rPr>
          <w:color w:val="000000"/>
        </w:rPr>
        <w:t xml:space="preserve"> </w:t>
      </w:r>
      <w:proofErr w:type="spellStart"/>
      <w:r>
        <w:rPr>
          <w:color w:val="000000"/>
        </w:rPr>
        <w:t>çıktının</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niteliklerini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bunlara</w:t>
      </w:r>
      <w:proofErr w:type="spellEnd"/>
      <w:r>
        <w:rPr>
          <w:color w:val="000000"/>
        </w:rPr>
        <w:t xml:space="preserve"> </w:t>
      </w:r>
      <w:proofErr w:type="spellStart"/>
      <w:r>
        <w:rPr>
          <w:color w:val="000000"/>
        </w:rPr>
        <w:t>bağlı</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niceliklerini</w:t>
      </w:r>
      <w:proofErr w:type="spellEnd"/>
      <w:r>
        <w:rPr>
          <w:color w:val="000000"/>
        </w:rPr>
        <w:t xml:space="preserve">) </w:t>
      </w:r>
      <w:proofErr w:type="spellStart"/>
      <w:r>
        <w:rPr>
          <w:color w:val="000000"/>
        </w:rPr>
        <w:t>sağlayan</w:t>
      </w:r>
      <w:proofErr w:type="spellEnd"/>
      <w:r>
        <w:rPr>
          <w:color w:val="000000"/>
        </w:rPr>
        <w:t xml:space="preserve"> </w:t>
      </w:r>
      <w:proofErr w:type="spellStart"/>
      <w:r>
        <w:rPr>
          <w:color w:val="000000"/>
        </w:rPr>
        <w:t>talimatları</w:t>
      </w:r>
      <w:proofErr w:type="spellEnd"/>
      <w:r>
        <w:rPr>
          <w:color w:val="000000"/>
        </w:rPr>
        <w:t xml:space="preserve"> </w:t>
      </w:r>
      <w:proofErr w:type="spellStart"/>
      <w:r>
        <w:rPr>
          <w:color w:val="000000"/>
        </w:rPr>
        <w:t>içermektedir</w:t>
      </w:r>
      <w:proofErr w:type="spellEnd"/>
      <w:r>
        <w:rPr>
          <w:color w:val="000000"/>
        </w:rPr>
        <w:t xml:space="preserve"> (White &amp; Schmidt, 2023) Bu </w:t>
      </w:r>
      <w:proofErr w:type="spellStart"/>
      <w:r>
        <w:rPr>
          <w:color w:val="000000"/>
        </w:rPr>
        <w:t>nedenle</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görev</w:t>
      </w:r>
      <w:proofErr w:type="spellEnd"/>
      <w:r>
        <w:rPr>
          <w:color w:val="000000"/>
        </w:rPr>
        <w:t xml:space="preserve"> </w:t>
      </w:r>
      <w:proofErr w:type="spellStart"/>
      <w:r>
        <w:rPr>
          <w:color w:val="000000"/>
        </w:rPr>
        <w:t>için</w:t>
      </w:r>
      <w:proofErr w:type="spellEnd"/>
      <w:r>
        <w:rPr>
          <w:color w:val="000000"/>
        </w:rPr>
        <w:t xml:space="preserve"> prompt </w:t>
      </w:r>
      <w:proofErr w:type="spellStart"/>
      <w:r>
        <w:rPr>
          <w:color w:val="000000"/>
        </w:rPr>
        <w:t>mühendisliği</w:t>
      </w:r>
      <w:proofErr w:type="spellEnd"/>
      <w:r>
        <w:rPr>
          <w:color w:val="000000"/>
        </w:rPr>
        <w:t xml:space="preserve"> git </w:t>
      </w:r>
      <w:proofErr w:type="spellStart"/>
      <w:r>
        <w:rPr>
          <w:color w:val="000000"/>
        </w:rPr>
        <w:t>gide</w:t>
      </w:r>
      <w:proofErr w:type="spellEnd"/>
      <w:r>
        <w:rPr>
          <w:color w:val="000000"/>
        </w:rPr>
        <w:t xml:space="preserve"> </w:t>
      </w:r>
      <w:proofErr w:type="spellStart"/>
      <w:r>
        <w:rPr>
          <w:color w:val="000000"/>
        </w:rPr>
        <w:t>kıymetli</w:t>
      </w:r>
      <w:proofErr w:type="spellEnd"/>
      <w:r>
        <w:rPr>
          <w:color w:val="000000"/>
        </w:rPr>
        <w:t xml:space="preserve"> hale </w:t>
      </w:r>
      <w:proofErr w:type="spellStart"/>
      <w:r>
        <w:rPr>
          <w:color w:val="000000"/>
        </w:rPr>
        <w:t>gelmektedir</w:t>
      </w:r>
      <w:proofErr w:type="spellEnd"/>
      <w:r>
        <w:rPr>
          <w:color w:val="000000"/>
        </w:rPr>
        <w:t xml:space="preserve">. </w:t>
      </w:r>
      <w:proofErr w:type="spellStart"/>
      <w:r>
        <w:rPr>
          <w:color w:val="000000"/>
        </w:rPr>
        <w:t>Nitekim</w:t>
      </w:r>
      <w:proofErr w:type="spellEnd"/>
      <w:r>
        <w:rPr>
          <w:color w:val="000000"/>
        </w:rPr>
        <w:t xml:space="preserve"> prompt </w:t>
      </w:r>
      <w:proofErr w:type="spellStart"/>
      <w:r>
        <w:rPr>
          <w:color w:val="000000"/>
        </w:rPr>
        <w:t>mühendisliği</w:t>
      </w:r>
      <w:proofErr w:type="spellEnd"/>
      <w:r>
        <w:rPr>
          <w:color w:val="000000"/>
        </w:rPr>
        <w:t xml:space="preserve"> </w:t>
      </w:r>
      <w:proofErr w:type="spellStart"/>
      <w:r>
        <w:rPr>
          <w:color w:val="000000"/>
        </w:rPr>
        <w:t>zor</w:t>
      </w:r>
      <w:proofErr w:type="spellEnd"/>
      <w:r>
        <w:rPr>
          <w:color w:val="000000"/>
        </w:rPr>
        <w:t xml:space="preserve"> </w:t>
      </w:r>
      <w:proofErr w:type="spellStart"/>
      <w:r>
        <w:rPr>
          <w:color w:val="000000"/>
        </w:rPr>
        <w:t>ve</w:t>
      </w:r>
      <w:proofErr w:type="spellEnd"/>
      <w:r>
        <w:rPr>
          <w:color w:val="000000"/>
        </w:rPr>
        <w:t xml:space="preserve"> zaman </w:t>
      </w:r>
      <w:proofErr w:type="spellStart"/>
      <w:r>
        <w:rPr>
          <w:color w:val="000000"/>
        </w:rPr>
        <w:t>alıcı</w:t>
      </w:r>
      <w:proofErr w:type="spellEnd"/>
      <w:r>
        <w:rPr>
          <w:color w:val="000000"/>
        </w:rPr>
        <w:t xml:space="preserve"> </w:t>
      </w:r>
      <w:proofErr w:type="spellStart"/>
      <w:r>
        <w:rPr>
          <w:color w:val="000000"/>
        </w:rPr>
        <w:t>olduğu</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otomatik</w:t>
      </w:r>
      <w:proofErr w:type="spellEnd"/>
      <w:r>
        <w:rPr>
          <w:color w:val="000000"/>
        </w:rPr>
        <w:t xml:space="preserve"> prompt </w:t>
      </w:r>
      <w:proofErr w:type="spellStart"/>
      <w:r>
        <w:rPr>
          <w:color w:val="000000"/>
        </w:rPr>
        <w:t>mühendisliği</w:t>
      </w:r>
      <w:proofErr w:type="spellEnd"/>
      <w:r>
        <w:rPr>
          <w:color w:val="000000"/>
        </w:rPr>
        <w:t xml:space="preserve"> (APE) </w:t>
      </w:r>
      <w:proofErr w:type="spellStart"/>
      <w:r>
        <w:rPr>
          <w:color w:val="000000"/>
        </w:rPr>
        <w:t>bir</w:t>
      </w:r>
      <w:proofErr w:type="spellEnd"/>
      <w:r>
        <w:rPr>
          <w:color w:val="000000"/>
        </w:rPr>
        <w:t xml:space="preserve"> </w:t>
      </w:r>
      <w:proofErr w:type="spellStart"/>
      <w:r>
        <w:rPr>
          <w:color w:val="000000"/>
        </w:rPr>
        <w:t>strateji</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ortaya</w:t>
      </w:r>
      <w:proofErr w:type="spellEnd"/>
      <w:r>
        <w:rPr>
          <w:color w:val="000000"/>
        </w:rPr>
        <w:t xml:space="preserve"> </w:t>
      </w:r>
      <w:proofErr w:type="spellStart"/>
      <w:r>
        <w:rPr>
          <w:color w:val="000000"/>
        </w:rPr>
        <w:t>çıkmıştır</w:t>
      </w:r>
      <w:proofErr w:type="spellEnd"/>
      <w:r>
        <w:rPr>
          <w:color w:val="000000"/>
        </w:rPr>
        <w:t xml:space="preserve">. Bu </w:t>
      </w:r>
      <w:proofErr w:type="spellStart"/>
      <w:r>
        <w:rPr>
          <w:color w:val="000000"/>
        </w:rPr>
        <w:t>noktada</w:t>
      </w:r>
      <w:proofErr w:type="spellEnd"/>
      <w:r>
        <w:rPr>
          <w:color w:val="000000"/>
        </w:rPr>
        <w:t xml:space="preserve">, </w:t>
      </w:r>
      <w:proofErr w:type="spellStart"/>
      <w:r>
        <w:rPr>
          <w:color w:val="000000"/>
        </w:rPr>
        <w:t>LLM'ler</w:t>
      </w:r>
      <w:proofErr w:type="spellEnd"/>
      <w:r>
        <w:rPr>
          <w:color w:val="000000"/>
        </w:rPr>
        <w:t xml:space="preserve"> </w:t>
      </w:r>
      <w:proofErr w:type="spellStart"/>
      <w:r>
        <w:rPr>
          <w:color w:val="000000"/>
        </w:rPr>
        <w:t>tercih</w:t>
      </w:r>
      <w:proofErr w:type="spellEnd"/>
      <w:r>
        <w:rPr>
          <w:color w:val="000000"/>
        </w:rPr>
        <w:t xml:space="preserve"> </w:t>
      </w:r>
      <w:proofErr w:type="spellStart"/>
      <w:r>
        <w:rPr>
          <w:color w:val="000000"/>
        </w:rPr>
        <w:t>ettikleri</w:t>
      </w:r>
      <w:proofErr w:type="spellEnd"/>
      <w:r>
        <w:rPr>
          <w:color w:val="000000"/>
        </w:rPr>
        <w:t xml:space="preserve"> </w:t>
      </w:r>
      <w:proofErr w:type="spellStart"/>
      <w:r>
        <w:rPr>
          <w:color w:val="000000"/>
        </w:rPr>
        <w:t>açık</w:t>
      </w:r>
      <w:proofErr w:type="spellEnd"/>
      <w:r>
        <w:rPr>
          <w:color w:val="000000"/>
        </w:rPr>
        <w:t xml:space="preserve"> </w:t>
      </w:r>
      <w:proofErr w:type="spellStart"/>
      <w:r>
        <w:rPr>
          <w:color w:val="000000"/>
        </w:rPr>
        <w:t>dili</w:t>
      </w:r>
      <w:proofErr w:type="spellEnd"/>
      <w:r>
        <w:rPr>
          <w:color w:val="000000"/>
        </w:rPr>
        <w:t xml:space="preserve"> </w:t>
      </w:r>
      <w:proofErr w:type="spellStart"/>
      <w:r>
        <w:rPr>
          <w:color w:val="000000"/>
        </w:rPr>
        <w:t>kullanarak</w:t>
      </w:r>
      <w:proofErr w:type="spellEnd"/>
      <w:r>
        <w:rPr>
          <w:color w:val="000000"/>
        </w:rPr>
        <w:t xml:space="preserve"> </w:t>
      </w:r>
      <w:proofErr w:type="spellStart"/>
      <w:r>
        <w:rPr>
          <w:color w:val="000000"/>
        </w:rPr>
        <w:t>kendi</w:t>
      </w:r>
      <w:proofErr w:type="spellEnd"/>
      <w:r>
        <w:rPr>
          <w:color w:val="000000"/>
        </w:rPr>
        <w:t xml:space="preserve"> </w:t>
      </w:r>
      <w:proofErr w:type="spellStart"/>
      <w:r>
        <w:rPr>
          <w:color w:val="000000"/>
        </w:rPr>
        <w:t>promptlarını</w:t>
      </w:r>
      <w:proofErr w:type="spellEnd"/>
      <w:r>
        <w:rPr>
          <w:color w:val="000000"/>
        </w:rPr>
        <w:t xml:space="preserve"> </w:t>
      </w:r>
      <w:proofErr w:type="spellStart"/>
      <w:r>
        <w:rPr>
          <w:color w:val="000000"/>
        </w:rPr>
        <w:t>yazmaktadır</w:t>
      </w:r>
      <w:proofErr w:type="spellEnd"/>
      <w:r>
        <w:rPr>
          <w:color w:val="000000"/>
        </w:rPr>
        <w:t xml:space="preserve">. </w:t>
      </w:r>
      <w:proofErr w:type="spellStart"/>
      <w:r>
        <w:rPr>
          <w:color w:val="000000"/>
        </w:rPr>
        <w:t>Sınırlı</w:t>
      </w:r>
      <w:proofErr w:type="spellEnd"/>
      <w:r>
        <w:rPr>
          <w:color w:val="000000"/>
        </w:rPr>
        <w:t xml:space="preserve"> </w:t>
      </w:r>
      <w:proofErr w:type="spellStart"/>
      <w:r>
        <w:rPr>
          <w:color w:val="000000"/>
        </w:rPr>
        <w:t>sayıda</w:t>
      </w:r>
      <w:proofErr w:type="spellEnd"/>
      <w:r>
        <w:rPr>
          <w:color w:val="000000"/>
        </w:rPr>
        <w:t xml:space="preserve"> </w:t>
      </w:r>
      <w:proofErr w:type="spellStart"/>
      <w:r>
        <w:rPr>
          <w:color w:val="000000"/>
        </w:rPr>
        <w:t>deneme</w:t>
      </w:r>
      <w:proofErr w:type="spellEnd"/>
      <w:r>
        <w:rPr>
          <w:color w:val="000000"/>
        </w:rPr>
        <w:t xml:space="preserve"> </w:t>
      </w:r>
      <w:proofErr w:type="spellStart"/>
      <w:r>
        <w:rPr>
          <w:color w:val="000000"/>
        </w:rPr>
        <w:t>ile</w:t>
      </w:r>
      <w:proofErr w:type="spellEnd"/>
      <w:r>
        <w:rPr>
          <w:color w:val="000000"/>
        </w:rPr>
        <w:t xml:space="preserve"> APE, </w:t>
      </w:r>
      <w:proofErr w:type="spellStart"/>
      <w:r>
        <w:rPr>
          <w:color w:val="000000"/>
        </w:rPr>
        <w:t>geleneksel</w:t>
      </w:r>
      <w:proofErr w:type="spellEnd"/>
      <w:r>
        <w:rPr>
          <w:color w:val="000000"/>
        </w:rPr>
        <w:t xml:space="preserve"> </w:t>
      </w:r>
      <w:proofErr w:type="spellStart"/>
      <w:r>
        <w:rPr>
          <w:color w:val="000000"/>
        </w:rPr>
        <w:t>doğal</w:t>
      </w:r>
      <w:proofErr w:type="spellEnd"/>
      <w:r>
        <w:rPr>
          <w:color w:val="000000"/>
        </w:rPr>
        <w:t xml:space="preserve"> </w:t>
      </w:r>
      <w:proofErr w:type="spellStart"/>
      <w:r>
        <w:rPr>
          <w:color w:val="000000"/>
        </w:rPr>
        <w:t>dil</w:t>
      </w:r>
      <w:proofErr w:type="spellEnd"/>
      <w:r>
        <w:rPr>
          <w:color w:val="000000"/>
        </w:rPr>
        <w:t xml:space="preserve"> </w:t>
      </w:r>
      <w:proofErr w:type="spellStart"/>
      <w:r>
        <w:rPr>
          <w:color w:val="000000"/>
        </w:rPr>
        <w:t>işleme</w:t>
      </w:r>
      <w:proofErr w:type="spellEnd"/>
      <w:r>
        <w:rPr>
          <w:color w:val="000000"/>
        </w:rPr>
        <w:t xml:space="preserve"> </w:t>
      </w:r>
      <w:proofErr w:type="spellStart"/>
      <w:r>
        <w:rPr>
          <w:color w:val="000000"/>
        </w:rPr>
        <w:t>görevlerinde</w:t>
      </w:r>
      <w:proofErr w:type="spellEnd"/>
      <w:r>
        <w:rPr>
          <w:color w:val="000000"/>
        </w:rPr>
        <w:t xml:space="preserve"> </w:t>
      </w:r>
      <w:proofErr w:type="spellStart"/>
      <w:r>
        <w:rPr>
          <w:color w:val="000000"/>
        </w:rPr>
        <w:t>basit</w:t>
      </w:r>
      <w:proofErr w:type="spellEnd"/>
      <w:r>
        <w:rPr>
          <w:color w:val="000000"/>
        </w:rPr>
        <w:t xml:space="preserve"> </w:t>
      </w:r>
      <w:proofErr w:type="spellStart"/>
      <w:r>
        <w:rPr>
          <w:color w:val="000000"/>
        </w:rPr>
        <w:t>promptlardan</w:t>
      </w:r>
      <w:proofErr w:type="spellEnd"/>
      <w:r>
        <w:rPr>
          <w:color w:val="000000"/>
        </w:rPr>
        <w:t xml:space="preserve"> </w:t>
      </w:r>
      <w:proofErr w:type="spellStart"/>
      <w:r>
        <w:rPr>
          <w:color w:val="000000"/>
        </w:rPr>
        <w:t>daha</w:t>
      </w:r>
      <w:proofErr w:type="spellEnd"/>
      <w:r>
        <w:rPr>
          <w:color w:val="000000"/>
        </w:rPr>
        <w:t xml:space="preserve"> iyi </w:t>
      </w:r>
      <w:proofErr w:type="spellStart"/>
      <w:r>
        <w:rPr>
          <w:color w:val="000000"/>
        </w:rPr>
        <w:t>performans</w:t>
      </w:r>
      <w:proofErr w:type="spellEnd"/>
      <w:r>
        <w:rPr>
          <w:color w:val="000000"/>
        </w:rPr>
        <w:t xml:space="preserve"> </w:t>
      </w:r>
      <w:proofErr w:type="spellStart"/>
      <w:r>
        <w:rPr>
          <w:color w:val="000000"/>
        </w:rPr>
        <w:t>gösteren</w:t>
      </w:r>
      <w:proofErr w:type="spellEnd"/>
      <w:r>
        <w:rPr>
          <w:color w:val="000000"/>
        </w:rPr>
        <w:t xml:space="preserve"> </w:t>
      </w:r>
      <w:proofErr w:type="spellStart"/>
      <w:r>
        <w:rPr>
          <w:color w:val="000000"/>
        </w:rPr>
        <w:t>sağlam</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prompta</w:t>
      </w:r>
      <w:proofErr w:type="spellEnd"/>
      <w:r>
        <w:rPr>
          <w:color w:val="000000"/>
        </w:rPr>
        <w:t xml:space="preserve"> (</w:t>
      </w:r>
      <w:proofErr w:type="spellStart"/>
      <w:r>
        <w:rPr>
          <w:color w:val="000000"/>
        </w:rPr>
        <w:t>ya</w:t>
      </w:r>
      <w:proofErr w:type="spellEnd"/>
      <w:r>
        <w:rPr>
          <w:color w:val="000000"/>
        </w:rPr>
        <w:t xml:space="preserve"> da </w:t>
      </w:r>
      <w:proofErr w:type="spellStart"/>
      <w:r>
        <w:rPr>
          <w:color w:val="000000"/>
        </w:rPr>
        <w:t>promptlara</w:t>
      </w:r>
      <w:proofErr w:type="spellEnd"/>
      <w:r>
        <w:rPr>
          <w:color w:val="000000"/>
        </w:rPr>
        <w:t xml:space="preserve">) </w:t>
      </w:r>
      <w:proofErr w:type="spellStart"/>
      <w:r>
        <w:rPr>
          <w:color w:val="000000"/>
        </w:rPr>
        <w:t>verimli</w:t>
      </w:r>
      <w:proofErr w:type="spellEnd"/>
      <w:r>
        <w:rPr>
          <w:color w:val="000000"/>
        </w:rPr>
        <w:t xml:space="preserve"> </w:t>
      </w:r>
      <w:proofErr w:type="spellStart"/>
      <w:r>
        <w:rPr>
          <w:color w:val="000000"/>
        </w:rPr>
        <w:t>şekilde</w:t>
      </w:r>
      <w:proofErr w:type="spellEnd"/>
      <w:r>
        <w:rPr>
          <w:color w:val="000000"/>
        </w:rPr>
        <w:t xml:space="preserve"> </w:t>
      </w:r>
      <w:proofErr w:type="spellStart"/>
      <w:r>
        <w:rPr>
          <w:color w:val="000000"/>
        </w:rPr>
        <w:t>ulaşabilmektedir</w:t>
      </w:r>
      <w:proofErr w:type="spellEnd"/>
      <w:r>
        <w:rPr>
          <w:color w:val="000000"/>
        </w:rPr>
        <w:t xml:space="preserve"> (Chen &amp; </w:t>
      </w:r>
      <w:proofErr w:type="spellStart"/>
      <w:r>
        <w:rPr>
          <w:color w:val="000000"/>
        </w:rPr>
        <w:t>Dilkina</w:t>
      </w:r>
      <w:proofErr w:type="spellEnd"/>
      <w:r>
        <w:rPr>
          <w:color w:val="000000"/>
        </w:rPr>
        <w:t xml:space="preserve">, 2024). Prompt </w:t>
      </w:r>
      <w:proofErr w:type="spellStart"/>
      <w:r>
        <w:rPr>
          <w:color w:val="000000"/>
        </w:rPr>
        <w:t>mühendisliği</w:t>
      </w:r>
      <w:proofErr w:type="spellEnd"/>
      <w:r>
        <w:rPr>
          <w:color w:val="000000"/>
        </w:rPr>
        <w:t xml:space="preserve"> </w:t>
      </w:r>
      <w:proofErr w:type="spellStart"/>
      <w:r>
        <w:rPr>
          <w:color w:val="000000"/>
        </w:rPr>
        <w:lastRenderedPageBreak/>
        <w:t>topluluğun</w:t>
      </w:r>
      <w:proofErr w:type="spellEnd"/>
      <w:r>
        <w:rPr>
          <w:color w:val="000000"/>
        </w:rPr>
        <w:t xml:space="preserve"> </w:t>
      </w:r>
      <w:proofErr w:type="spellStart"/>
      <w:r>
        <w:rPr>
          <w:color w:val="000000"/>
        </w:rPr>
        <w:t>bakıldığında</w:t>
      </w:r>
      <w:proofErr w:type="spellEnd"/>
      <w:r>
        <w:rPr>
          <w:color w:val="000000"/>
        </w:rPr>
        <w:t xml:space="preserve"> </w:t>
      </w:r>
      <w:proofErr w:type="spellStart"/>
      <w:r>
        <w:rPr>
          <w:color w:val="000000"/>
        </w:rPr>
        <w:t>sağlam</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kaliteli</w:t>
      </w:r>
      <w:proofErr w:type="spellEnd"/>
      <w:r>
        <w:rPr>
          <w:color w:val="000000"/>
        </w:rPr>
        <w:t xml:space="preserve"> </w:t>
      </w:r>
      <w:proofErr w:type="spellStart"/>
      <w:r>
        <w:rPr>
          <w:color w:val="000000"/>
        </w:rPr>
        <w:t>promptlar</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edebilmek</w:t>
      </w:r>
      <w:proofErr w:type="spellEnd"/>
      <w:r>
        <w:rPr>
          <w:color w:val="000000"/>
        </w:rPr>
        <w:t xml:space="preserve"> </w:t>
      </w:r>
      <w:proofErr w:type="spellStart"/>
      <w:r>
        <w:rPr>
          <w:color w:val="000000"/>
        </w:rPr>
        <w:t>adına</w:t>
      </w:r>
      <w:proofErr w:type="spellEnd"/>
      <w:r>
        <w:rPr>
          <w:color w:val="000000"/>
        </w:rPr>
        <w:t xml:space="preserve">, Büyük Dil </w:t>
      </w:r>
      <w:proofErr w:type="spellStart"/>
      <w:r>
        <w:rPr>
          <w:color w:val="000000"/>
        </w:rPr>
        <w:t>Modelleri'nden</w:t>
      </w:r>
      <w:proofErr w:type="spellEnd"/>
      <w:r>
        <w:rPr>
          <w:color w:val="000000"/>
        </w:rPr>
        <w:t xml:space="preserve"> (</w:t>
      </w:r>
      <w:proofErr w:type="spellStart"/>
      <w:r>
        <w:rPr>
          <w:color w:val="000000"/>
        </w:rPr>
        <w:t>LLM'ler</w:t>
      </w:r>
      <w:proofErr w:type="spellEnd"/>
      <w:r>
        <w:rPr>
          <w:color w:val="000000"/>
        </w:rPr>
        <w:t xml:space="preserve">) </w:t>
      </w:r>
      <w:proofErr w:type="spellStart"/>
      <w:r>
        <w:rPr>
          <w:color w:val="000000"/>
        </w:rPr>
        <w:t>istenilen</w:t>
      </w:r>
      <w:proofErr w:type="spellEnd"/>
      <w:r>
        <w:rPr>
          <w:color w:val="000000"/>
        </w:rPr>
        <w:t xml:space="preserve"> </w:t>
      </w:r>
      <w:proofErr w:type="spellStart"/>
      <w:r>
        <w:rPr>
          <w:color w:val="000000"/>
        </w:rPr>
        <w:t>davranışları</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etmek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yaygın</w:t>
      </w:r>
      <w:proofErr w:type="spellEnd"/>
      <w:r>
        <w:rPr>
          <w:color w:val="000000"/>
        </w:rPr>
        <w:t xml:space="preserve"> </w:t>
      </w:r>
      <w:proofErr w:type="spellStart"/>
      <w:r>
        <w:rPr>
          <w:color w:val="000000"/>
        </w:rPr>
        <w:t>sorunlardan</w:t>
      </w:r>
      <w:proofErr w:type="spellEnd"/>
      <w:r>
        <w:rPr>
          <w:color w:val="000000"/>
        </w:rPr>
        <w:t xml:space="preserve"> </w:t>
      </w:r>
      <w:proofErr w:type="spellStart"/>
      <w:r>
        <w:rPr>
          <w:color w:val="000000"/>
        </w:rPr>
        <w:t>kaçınmak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bazı</w:t>
      </w:r>
      <w:proofErr w:type="spellEnd"/>
      <w:r>
        <w:rPr>
          <w:color w:val="000000"/>
        </w:rPr>
        <w:t xml:space="preserve"> </w:t>
      </w:r>
      <w:proofErr w:type="spellStart"/>
      <w:r>
        <w:rPr>
          <w:color w:val="000000"/>
        </w:rPr>
        <w:t>püf</w:t>
      </w:r>
      <w:proofErr w:type="spellEnd"/>
      <w:r>
        <w:rPr>
          <w:color w:val="000000"/>
        </w:rPr>
        <w:t xml:space="preserve"> </w:t>
      </w:r>
      <w:proofErr w:type="spellStart"/>
      <w:r>
        <w:rPr>
          <w:color w:val="000000"/>
        </w:rPr>
        <w:t>noktalar</w:t>
      </w:r>
      <w:proofErr w:type="spellEnd"/>
      <w:r>
        <w:rPr>
          <w:color w:val="000000"/>
        </w:rPr>
        <w:t xml:space="preserve"> </w:t>
      </w:r>
      <w:proofErr w:type="spellStart"/>
      <w:r>
        <w:rPr>
          <w:color w:val="000000"/>
        </w:rPr>
        <w:t>geliştirmişlerdir</w:t>
      </w:r>
      <w:proofErr w:type="spellEnd"/>
      <w:r>
        <w:rPr>
          <w:color w:val="000000"/>
        </w:rPr>
        <w:t xml:space="preserve">. Bu </w:t>
      </w:r>
      <w:proofErr w:type="spellStart"/>
      <w:r>
        <w:rPr>
          <w:color w:val="000000"/>
        </w:rPr>
        <w:t>püf</w:t>
      </w:r>
      <w:proofErr w:type="spellEnd"/>
      <w:r>
        <w:rPr>
          <w:color w:val="000000"/>
        </w:rPr>
        <w:t xml:space="preserve"> </w:t>
      </w:r>
      <w:proofErr w:type="spellStart"/>
      <w:r>
        <w:rPr>
          <w:color w:val="000000"/>
        </w:rPr>
        <w:t>noktaları</w:t>
      </w:r>
      <w:proofErr w:type="spellEnd"/>
      <w:r>
        <w:rPr>
          <w:color w:val="000000"/>
        </w:rPr>
        <w:t xml:space="preserve">, prompt </w:t>
      </w:r>
      <w:proofErr w:type="spellStart"/>
      <w:r>
        <w:rPr>
          <w:color w:val="000000"/>
        </w:rPr>
        <w:t>yapısını</w:t>
      </w:r>
      <w:proofErr w:type="spellEnd"/>
      <w:r>
        <w:rPr>
          <w:color w:val="000000"/>
        </w:rPr>
        <w:t xml:space="preserve"> </w:t>
      </w:r>
      <w:proofErr w:type="spellStart"/>
      <w:r>
        <w:rPr>
          <w:color w:val="000000"/>
        </w:rPr>
        <w:t>oluşturan</w:t>
      </w:r>
      <w:proofErr w:type="spellEnd"/>
      <w:r>
        <w:rPr>
          <w:color w:val="000000"/>
        </w:rPr>
        <w:t xml:space="preserve"> </w:t>
      </w:r>
      <w:proofErr w:type="spellStart"/>
      <w:r>
        <w:rPr>
          <w:color w:val="000000"/>
        </w:rPr>
        <w:t>metinsel</w:t>
      </w:r>
      <w:proofErr w:type="spellEnd"/>
      <w:r>
        <w:rPr>
          <w:color w:val="000000"/>
        </w:rPr>
        <w:t xml:space="preserve"> </w:t>
      </w:r>
      <w:proofErr w:type="spellStart"/>
      <w:r>
        <w:rPr>
          <w:color w:val="000000"/>
        </w:rPr>
        <w:t>unsurlar</w:t>
      </w:r>
      <w:proofErr w:type="spellEnd"/>
      <w:r>
        <w:rPr>
          <w:color w:val="000000"/>
        </w:rPr>
        <w:t xml:space="preserve"> </w:t>
      </w:r>
      <w:proofErr w:type="spellStart"/>
      <w:r>
        <w:rPr>
          <w:color w:val="000000"/>
        </w:rPr>
        <w:t>eklemeyi</w:t>
      </w:r>
      <w:proofErr w:type="spellEnd"/>
      <w:r>
        <w:rPr>
          <w:color w:val="000000"/>
        </w:rPr>
        <w:t xml:space="preserve"> </w:t>
      </w:r>
      <w:proofErr w:type="spellStart"/>
      <w:r>
        <w:rPr>
          <w:color w:val="000000"/>
        </w:rPr>
        <w:t>içermektedir</w:t>
      </w:r>
      <w:proofErr w:type="spellEnd"/>
      <w:r>
        <w:rPr>
          <w:color w:val="000000"/>
        </w:rPr>
        <w:t xml:space="preserve"> (Borges &amp; </w:t>
      </w:r>
      <w:proofErr w:type="spellStart"/>
      <w:r>
        <w:rPr>
          <w:color w:val="000000"/>
        </w:rPr>
        <w:t>Ladele</w:t>
      </w:r>
      <w:proofErr w:type="spellEnd"/>
      <w:r>
        <w:rPr>
          <w:color w:val="000000"/>
        </w:rPr>
        <w:t>, 2024).</w:t>
      </w:r>
    </w:p>
    <w:p w14:paraId="1C9BF576" w14:textId="77777777" w:rsidR="001E7189" w:rsidRPr="00714BC1" w:rsidRDefault="001E7189" w:rsidP="007513A1">
      <w:pPr>
        <w:rPr>
          <w:b/>
          <w:bCs/>
        </w:rPr>
      </w:pPr>
    </w:p>
    <w:p w14:paraId="262464D8" w14:textId="77777777" w:rsidR="001E7189" w:rsidRPr="00714BC1" w:rsidRDefault="001E7189" w:rsidP="007513A1">
      <w:pPr>
        <w:rPr>
          <w:b/>
          <w:bCs/>
        </w:rPr>
      </w:pPr>
      <w:r w:rsidRPr="00714BC1">
        <w:rPr>
          <w:b/>
          <w:bCs/>
        </w:rPr>
        <w:t xml:space="preserve">3.2. Restoran İşletmeciliğinde </w:t>
      </w:r>
      <w:proofErr w:type="spellStart"/>
      <w:r w:rsidRPr="00714BC1">
        <w:rPr>
          <w:b/>
          <w:bCs/>
        </w:rPr>
        <w:t>Promptların</w:t>
      </w:r>
      <w:proofErr w:type="spellEnd"/>
      <w:r w:rsidRPr="00714BC1">
        <w:rPr>
          <w:b/>
          <w:bCs/>
        </w:rPr>
        <w:t xml:space="preserve"> Rolü ve Örnek </w:t>
      </w:r>
      <w:proofErr w:type="spellStart"/>
      <w:r w:rsidRPr="00714BC1">
        <w:rPr>
          <w:b/>
          <w:bCs/>
        </w:rPr>
        <w:t>Promptlar</w:t>
      </w:r>
      <w:proofErr w:type="spellEnd"/>
    </w:p>
    <w:p w14:paraId="5D3D760D" w14:textId="77777777" w:rsidR="001E7189" w:rsidRDefault="001E7189" w:rsidP="007513A1">
      <w:pPr>
        <w:pStyle w:val="NormalWeb"/>
        <w:spacing w:before="0" w:beforeAutospacing="0" w:after="0" w:afterAutospacing="0"/>
        <w:jc w:val="both"/>
        <w:rPr>
          <w:color w:val="000000"/>
        </w:rPr>
      </w:pPr>
      <w:r>
        <w:rPr>
          <w:color w:val="000000"/>
        </w:rPr>
        <w:t xml:space="preserve">Prompt </w:t>
      </w:r>
      <w:proofErr w:type="spellStart"/>
      <w:r>
        <w:rPr>
          <w:color w:val="000000"/>
        </w:rPr>
        <w:t>kalıpları</w:t>
      </w:r>
      <w:proofErr w:type="spellEnd"/>
      <w:r>
        <w:rPr>
          <w:color w:val="000000"/>
        </w:rPr>
        <w:t xml:space="preserve">, </w:t>
      </w:r>
      <w:proofErr w:type="spellStart"/>
      <w:r>
        <w:rPr>
          <w:color w:val="000000"/>
        </w:rPr>
        <w:t>yazılım</w:t>
      </w:r>
      <w:proofErr w:type="spellEnd"/>
      <w:r>
        <w:rPr>
          <w:color w:val="000000"/>
        </w:rPr>
        <w:t xml:space="preserve"> </w:t>
      </w:r>
      <w:proofErr w:type="spellStart"/>
      <w:r>
        <w:rPr>
          <w:color w:val="000000"/>
        </w:rPr>
        <w:t>kalıplarına</w:t>
      </w:r>
      <w:proofErr w:type="spellEnd"/>
      <w:r>
        <w:rPr>
          <w:color w:val="000000"/>
        </w:rPr>
        <w:t xml:space="preserve"> </w:t>
      </w:r>
      <w:proofErr w:type="spellStart"/>
      <w:r>
        <w:rPr>
          <w:color w:val="000000"/>
        </w:rPr>
        <w:t>benzer</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bilgi</w:t>
      </w:r>
      <w:proofErr w:type="spellEnd"/>
      <w:r>
        <w:rPr>
          <w:color w:val="000000"/>
        </w:rPr>
        <w:t xml:space="preserve"> </w:t>
      </w:r>
      <w:proofErr w:type="spellStart"/>
      <w:r>
        <w:rPr>
          <w:color w:val="000000"/>
        </w:rPr>
        <w:t>transferi</w:t>
      </w:r>
      <w:proofErr w:type="spellEnd"/>
      <w:r>
        <w:rPr>
          <w:color w:val="000000"/>
        </w:rPr>
        <w:t xml:space="preserve"> </w:t>
      </w:r>
      <w:proofErr w:type="spellStart"/>
      <w:r>
        <w:rPr>
          <w:color w:val="000000"/>
        </w:rPr>
        <w:t>sağlar</w:t>
      </w:r>
      <w:proofErr w:type="spellEnd"/>
      <w:r>
        <w:rPr>
          <w:color w:val="000000"/>
        </w:rPr>
        <w:t xml:space="preserve"> </w:t>
      </w:r>
      <w:proofErr w:type="spellStart"/>
      <w:r>
        <w:rPr>
          <w:color w:val="000000"/>
        </w:rPr>
        <w:t>çünkü</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bağlamda</w:t>
      </w:r>
      <w:proofErr w:type="spellEnd"/>
      <w:r>
        <w:rPr>
          <w:color w:val="000000"/>
        </w:rPr>
        <w:t xml:space="preserve"> </w:t>
      </w:r>
      <w:proofErr w:type="spellStart"/>
      <w:r>
        <w:rPr>
          <w:color w:val="000000"/>
        </w:rPr>
        <w:t>karşılaşılan</w:t>
      </w:r>
      <w:proofErr w:type="spellEnd"/>
      <w:r>
        <w:rPr>
          <w:color w:val="000000"/>
        </w:rPr>
        <w:t xml:space="preserve"> </w:t>
      </w:r>
      <w:proofErr w:type="spellStart"/>
      <w:r>
        <w:rPr>
          <w:color w:val="000000"/>
        </w:rPr>
        <w:t>yaygın</w:t>
      </w:r>
      <w:proofErr w:type="spellEnd"/>
      <w:r>
        <w:rPr>
          <w:color w:val="000000"/>
        </w:rPr>
        <w:t xml:space="preserve"> </w:t>
      </w:r>
      <w:proofErr w:type="spellStart"/>
      <w:r>
        <w:rPr>
          <w:color w:val="000000"/>
        </w:rPr>
        <w:t>sorunlara</w:t>
      </w:r>
      <w:proofErr w:type="spellEnd"/>
      <w:r>
        <w:rPr>
          <w:color w:val="000000"/>
        </w:rPr>
        <w:t xml:space="preserve"> </w:t>
      </w:r>
      <w:proofErr w:type="spellStart"/>
      <w:r>
        <w:rPr>
          <w:color w:val="000000"/>
        </w:rPr>
        <w:t>yeniden</w:t>
      </w:r>
      <w:proofErr w:type="spellEnd"/>
      <w:r>
        <w:rPr>
          <w:color w:val="000000"/>
        </w:rPr>
        <w:t xml:space="preserve"> </w:t>
      </w:r>
      <w:proofErr w:type="spellStart"/>
      <w:r>
        <w:rPr>
          <w:color w:val="000000"/>
        </w:rPr>
        <w:t>kullanılabilir</w:t>
      </w:r>
      <w:proofErr w:type="spellEnd"/>
      <w:r>
        <w:rPr>
          <w:color w:val="000000"/>
        </w:rPr>
        <w:t xml:space="preserve"> </w:t>
      </w:r>
      <w:proofErr w:type="spellStart"/>
      <w:r>
        <w:rPr>
          <w:color w:val="000000"/>
        </w:rPr>
        <w:t>çözümler</w:t>
      </w:r>
      <w:proofErr w:type="spellEnd"/>
      <w:r>
        <w:rPr>
          <w:color w:val="000000"/>
        </w:rPr>
        <w:t xml:space="preserve"> </w:t>
      </w:r>
      <w:proofErr w:type="spellStart"/>
      <w:r>
        <w:rPr>
          <w:color w:val="000000"/>
        </w:rPr>
        <w:t>sunmaktadır</w:t>
      </w:r>
      <w:proofErr w:type="spellEnd"/>
      <w:r>
        <w:rPr>
          <w:color w:val="000000"/>
        </w:rPr>
        <w:t xml:space="preserve"> (White &amp; Schmidt, 2023). </w:t>
      </w:r>
      <w:proofErr w:type="spellStart"/>
      <w:r>
        <w:rPr>
          <w:b/>
          <w:bCs/>
          <w:color w:val="000000"/>
        </w:rPr>
        <w:t>Talimat</w:t>
      </w:r>
      <w:proofErr w:type="spellEnd"/>
      <w:r>
        <w:rPr>
          <w:color w:val="000000"/>
        </w:rPr>
        <w:t xml:space="preserve"> (Instruction) </w:t>
      </w:r>
      <w:proofErr w:type="spellStart"/>
      <w:r>
        <w:rPr>
          <w:color w:val="000000"/>
        </w:rPr>
        <w:t>görevi</w:t>
      </w:r>
      <w:proofErr w:type="spellEnd"/>
      <w:r>
        <w:rPr>
          <w:color w:val="000000"/>
        </w:rPr>
        <w:t xml:space="preserve"> </w:t>
      </w:r>
      <w:proofErr w:type="spellStart"/>
      <w:r>
        <w:rPr>
          <w:color w:val="000000"/>
        </w:rPr>
        <w:t>tanımlayıp</w:t>
      </w:r>
      <w:proofErr w:type="spellEnd"/>
      <w:r>
        <w:rPr>
          <w:color w:val="000000"/>
        </w:rPr>
        <w:t xml:space="preserve"> </w:t>
      </w:r>
      <w:proofErr w:type="spellStart"/>
      <w:r>
        <w:rPr>
          <w:color w:val="000000"/>
        </w:rPr>
        <w:t>modelin</w:t>
      </w:r>
      <w:proofErr w:type="spellEnd"/>
      <w:r>
        <w:rPr>
          <w:color w:val="000000"/>
        </w:rPr>
        <w:t xml:space="preserve"> ne </w:t>
      </w:r>
      <w:proofErr w:type="spellStart"/>
      <w:r>
        <w:rPr>
          <w:color w:val="000000"/>
        </w:rPr>
        <w:t>yapması</w:t>
      </w:r>
      <w:proofErr w:type="spellEnd"/>
      <w:r>
        <w:rPr>
          <w:color w:val="000000"/>
        </w:rPr>
        <w:t xml:space="preserve"> </w:t>
      </w:r>
      <w:proofErr w:type="spellStart"/>
      <w:r>
        <w:rPr>
          <w:color w:val="000000"/>
        </w:rPr>
        <w:t>gerektiğini</w:t>
      </w:r>
      <w:proofErr w:type="spellEnd"/>
      <w:r>
        <w:rPr>
          <w:color w:val="000000"/>
        </w:rPr>
        <w:t xml:space="preserve"> </w:t>
      </w:r>
      <w:proofErr w:type="spellStart"/>
      <w:r>
        <w:rPr>
          <w:color w:val="000000"/>
        </w:rPr>
        <w:t>belirtmektedir</w:t>
      </w:r>
      <w:proofErr w:type="spellEnd"/>
      <w:r>
        <w:rPr>
          <w:color w:val="000000"/>
        </w:rPr>
        <w:t xml:space="preserve">. </w:t>
      </w:r>
      <w:proofErr w:type="spellStart"/>
      <w:r>
        <w:rPr>
          <w:b/>
          <w:bCs/>
          <w:color w:val="000000"/>
        </w:rPr>
        <w:t>Girdi</w:t>
      </w:r>
      <w:proofErr w:type="spellEnd"/>
      <w:r>
        <w:rPr>
          <w:color w:val="000000"/>
        </w:rPr>
        <w:t xml:space="preserve"> (Input), </w:t>
      </w:r>
      <w:proofErr w:type="spellStart"/>
      <w:r>
        <w:rPr>
          <w:color w:val="000000"/>
        </w:rPr>
        <w:t>uygun</w:t>
      </w:r>
      <w:proofErr w:type="spellEnd"/>
      <w:r>
        <w:rPr>
          <w:color w:val="000000"/>
        </w:rPr>
        <w:t xml:space="preserve"> </w:t>
      </w:r>
      <w:proofErr w:type="spellStart"/>
      <w:r>
        <w:rPr>
          <w:color w:val="000000"/>
        </w:rPr>
        <w:t>yanıt</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gerekli</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bağlamı</w:t>
      </w:r>
      <w:proofErr w:type="spellEnd"/>
      <w:r>
        <w:rPr>
          <w:color w:val="000000"/>
        </w:rPr>
        <w:t xml:space="preserve"> </w:t>
      </w:r>
      <w:proofErr w:type="spellStart"/>
      <w:r>
        <w:rPr>
          <w:color w:val="000000"/>
        </w:rPr>
        <w:t>sağlarkne</w:t>
      </w:r>
      <w:proofErr w:type="spellEnd"/>
      <w:r>
        <w:rPr>
          <w:color w:val="000000"/>
        </w:rPr>
        <w:t xml:space="preserve">; </w:t>
      </w:r>
      <w:r>
        <w:rPr>
          <w:b/>
          <w:bCs/>
          <w:color w:val="000000"/>
        </w:rPr>
        <w:t>Rol</w:t>
      </w:r>
      <w:r>
        <w:rPr>
          <w:color w:val="000000"/>
        </w:rPr>
        <w:t xml:space="preserve"> (Role), </w:t>
      </w:r>
      <w:proofErr w:type="spellStart"/>
      <w:r>
        <w:rPr>
          <w:color w:val="000000"/>
        </w:rPr>
        <w:t>modelin</w:t>
      </w:r>
      <w:proofErr w:type="spellEnd"/>
      <w:r>
        <w:rPr>
          <w:color w:val="000000"/>
        </w:rPr>
        <w:t xml:space="preserve"> </w:t>
      </w:r>
      <w:proofErr w:type="spellStart"/>
      <w:r>
        <w:rPr>
          <w:color w:val="000000"/>
        </w:rPr>
        <w:t>beklenen</w:t>
      </w:r>
      <w:proofErr w:type="spellEnd"/>
      <w:r>
        <w:rPr>
          <w:color w:val="000000"/>
        </w:rPr>
        <w:t xml:space="preserve"> </w:t>
      </w:r>
      <w:proofErr w:type="spellStart"/>
      <w:r>
        <w:rPr>
          <w:color w:val="000000"/>
        </w:rPr>
        <w:t>davranışını</w:t>
      </w:r>
      <w:proofErr w:type="spellEnd"/>
      <w:r>
        <w:rPr>
          <w:color w:val="000000"/>
        </w:rPr>
        <w:t xml:space="preserve"> </w:t>
      </w:r>
      <w:proofErr w:type="spellStart"/>
      <w:r>
        <w:rPr>
          <w:color w:val="000000"/>
        </w:rPr>
        <w:t>yapılandırıp</w:t>
      </w:r>
      <w:proofErr w:type="spellEnd"/>
      <w:r>
        <w:rPr>
          <w:color w:val="000000"/>
        </w:rPr>
        <w:t xml:space="preserve"> </w:t>
      </w:r>
      <w:proofErr w:type="spellStart"/>
      <w:r>
        <w:rPr>
          <w:color w:val="000000"/>
        </w:rPr>
        <w:t>onun</w:t>
      </w:r>
      <w:proofErr w:type="spellEnd"/>
      <w:r>
        <w:rPr>
          <w:color w:val="000000"/>
        </w:rPr>
        <w:t xml:space="preserve"> </w:t>
      </w:r>
      <w:proofErr w:type="spellStart"/>
      <w:r>
        <w:rPr>
          <w:color w:val="000000"/>
        </w:rPr>
        <w:t>bakış</w:t>
      </w:r>
      <w:proofErr w:type="spellEnd"/>
      <w:r>
        <w:rPr>
          <w:color w:val="000000"/>
        </w:rPr>
        <w:t xml:space="preserve"> </w:t>
      </w:r>
      <w:proofErr w:type="spellStart"/>
      <w:r>
        <w:rPr>
          <w:color w:val="000000"/>
        </w:rPr>
        <w:t>açısını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bilgisini</w:t>
      </w:r>
      <w:proofErr w:type="spellEnd"/>
      <w:r>
        <w:rPr>
          <w:color w:val="000000"/>
        </w:rPr>
        <w:t xml:space="preserve"> </w:t>
      </w:r>
      <w:proofErr w:type="spellStart"/>
      <w:r>
        <w:rPr>
          <w:color w:val="000000"/>
        </w:rPr>
        <w:t>şekillendirmektedir</w:t>
      </w:r>
      <w:proofErr w:type="spellEnd"/>
      <w:r>
        <w:rPr>
          <w:color w:val="000000"/>
        </w:rPr>
        <w:t xml:space="preserve">. </w:t>
      </w:r>
      <w:proofErr w:type="spellStart"/>
      <w:r>
        <w:rPr>
          <w:b/>
          <w:bCs/>
          <w:color w:val="000000"/>
        </w:rPr>
        <w:t>Çıktı</w:t>
      </w:r>
      <w:proofErr w:type="spellEnd"/>
      <w:r>
        <w:rPr>
          <w:b/>
          <w:bCs/>
          <w:color w:val="000000"/>
        </w:rPr>
        <w:t xml:space="preserve"> </w:t>
      </w:r>
      <w:proofErr w:type="spellStart"/>
      <w:r>
        <w:rPr>
          <w:b/>
          <w:bCs/>
          <w:color w:val="000000"/>
        </w:rPr>
        <w:t>formatı</w:t>
      </w:r>
      <w:proofErr w:type="spellEnd"/>
      <w:r>
        <w:rPr>
          <w:color w:val="000000"/>
        </w:rPr>
        <w:t xml:space="preserve"> (Output Format), </w:t>
      </w:r>
      <w:proofErr w:type="spellStart"/>
      <w:r>
        <w:rPr>
          <w:color w:val="000000"/>
        </w:rPr>
        <w:t>istenilen</w:t>
      </w:r>
      <w:proofErr w:type="spellEnd"/>
      <w:r>
        <w:rPr>
          <w:color w:val="000000"/>
        </w:rPr>
        <w:t xml:space="preserve"> </w:t>
      </w:r>
      <w:proofErr w:type="spellStart"/>
      <w:r>
        <w:rPr>
          <w:color w:val="000000"/>
        </w:rPr>
        <w:t>yanıtın</w:t>
      </w:r>
      <w:proofErr w:type="spellEnd"/>
      <w:r>
        <w:rPr>
          <w:color w:val="000000"/>
        </w:rPr>
        <w:t xml:space="preserve"> </w:t>
      </w:r>
      <w:proofErr w:type="spellStart"/>
      <w:r>
        <w:rPr>
          <w:color w:val="000000"/>
        </w:rPr>
        <w:t>yapısını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biçimini</w:t>
      </w:r>
      <w:proofErr w:type="spellEnd"/>
      <w:r>
        <w:rPr>
          <w:color w:val="000000"/>
        </w:rPr>
        <w:t xml:space="preserve"> </w:t>
      </w:r>
      <w:proofErr w:type="spellStart"/>
      <w:r>
        <w:rPr>
          <w:color w:val="000000"/>
        </w:rPr>
        <w:t>tanımlamaktadır</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sayede</w:t>
      </w:r>
      <w:proofErr w:type="spellEnd"/>
      <w:r>
        <w:rPr>
          <w:color w:val="000000"/>
        </w:rPr>
        <w:t xml:space="preserve"> de </w:t>
      </w:r>
      <w:proofErr w:type="spellStart"/>
      <w:r>
        <w:rPr>
          <w:color w:val="000000"/>
        </w:rPr>
        <w:t>elde</w:t>
      </w:r>
      <w:proofErr w:type="spellEnd"/>
      <w:r>
        <w:rPr>
          <w:color w:val="000000"/>
        </w:rPr>
        <w:t xml:space="preserve"> </w:t>
      </w:r>
      <w:proofErr w:type="spellStart"/>
      <w:r>
        <w:rPr>
          <w:color w:val="000000"/>
        </w:rPr>
        <w:t>edilen</w:t>
      </w:r>
      <w:proofErr w:type="spellEnd"/>
      <w:r>
        <w:rPr>
          <w:color w:val="000000"/>
        </w:rPr>
        <w:t xml:space="preserve"> </w:t>
      </w:r>
      <w:proofErr w:type="spellStart"/>
      <w:r>
        <w:rPr>
          <w:color w:val="000000"/>
        </w:rPr>
        <w:t>veri</w:t>
      </w:r>
      <w:proofErr w:type="spellEnd"/>
      <w:r>
        <w:rPr>
          <w:color w:val="000000"/>
        </w:rPr>
        <w:t xml:space="preserve"> </w:t>
      </w:r>
      <w:proofErr w:type="spellStart"/>
      <w:r>
        <w:rPr>
          <w:color w:val="000000"/>
        </w:rPr>
        <w:t>kullanışlı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anlaşılması</w:t>
      </w:r>
      <w:proofErr w:type="spellEnd"/>
      <w:r>
        <w:rPr>
          <w:color w:val="000000"/>
        </w:rPr>
        <w:t xml:space="preserve"> </w:t>
      </w:r>
      <w:proofErr w:type="spellStart"/>
      <w:r>
        <w:rPr>
          <w:color w:val="000000"/>
        </w:rPr>
        <w:t>kolay</w:t>
      </w:r>
      <w:proofErr w:type="spellEnd"/>
      <w:r>
        <w:rPr>
          <w:color w:val="000000"/>
        </w:rPr>
        <w:t xml:space="preserve"> </w:t>
      </w:r>
      <w:proofErr w:type="spellStart"/>
      <w:r>
        <w:rPr>
          <w:color w:val="000000"/>
        </w:rPr>
        <w:t>olmaktadır</w:t>
      </w:r>
      <w:proofErr w:type="spellEnd"/>
      <w:r>
        <w:rPr>
          <w:color w:val="000000"/>
        </w:rPr>
        <w:t xml:space="preserve">. </w:t>
      </w:r>
      <w:r>
        <w:rPr>
          <w:b/>
          <w:bCs/>
          <w:color w:val="000000"/>
        </w:rPr>
        <w:t>Tarz/Ton</w:t>
      </w:r>
      <w:r>
        <w:rPr>
          <w:color w:val="000000"/>
        </w:rPr>
        <w:t xml:space="preserve"> (Style/Tone), </w:t>
      </w:r>
      <w:proofErr w:type="spellStart"/>
      <w:r>
        <w:rPr>
          <w:color w:val="000000"/>
        </w:rPr>
        <w:t>etkileşimin</w:t>
      </w:r>
      <w:proofErr w:type="spellEnd"/>
      <w:r>
        <w:rPr>
          <w:color w:val="000000"/>
        </w:rPr>
        <w:t xml:space="preserve"> </w:t>
      </w:r>
      <w:proofErr w:type="spellStart"/>
      <w:r>
        <w:rPr>
          <w:color w:val="000000"/>
        </w:rPr>
        <w:t>tonunu</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resmiyet</w:t>
      </w:r>
      <w:proofErr w:type="spellEnd"/>
      <w:r>
        <w:rPr>
          <w:color w:val="000000"/>
        </w:rPr>
        <w:t xml:space="preserve"> </w:t>
      </w:r>
      <w:proofErr w:type="spellStart"/>
      <w:r>
        <w:rPr>
          <w:color w:val="000000"/>
        </w:rPr>
        <w:t>derecesini</w:t>
      </w:r>
      <w:proofErr w:type="spellEnd"/>
      <w:r>
        <w:rPr>
          <w:color w:val="000000"/>
        </w:rPr>
        <w:t xml:space="preserve"> </w:t>
      </w:r>
      <w:proofErr w:type="spellStart"/>
      <w:r>
        <w:rPr>
          <w:color w:val="000000"/>
        </w:rPr>
        <w:t>belirleyip</w:t>
      </w:r>
      <w:proofErr w:type="spellEnd"/>
      <w:r>
        <w:rPr>
          <w:color w:val="000000"/>
        </w:rPr>
        <w:t xml:space="preserve"> </w:t>
      </w:r>
      <w:proofErr w:type="spellStart"/>
      <w:r>
        <w:rPr>
          <w:color w:val="000000"/>
        </w:rPr>
        <w:t>iletişimi</w:t>
      </w:r>
      <w:proofErr w:type="spellEnd"/>
      <w:r>
        <w:rPr>
          <w:color w:val="000000"/>
        </w:rPr>
        <w:t xml:space="preserve"> </w:t>
      </w:r>
      <w:proofErr w:type="spellStart"/>
      <w:r>
        <w:rPr>
          <w:color w:val="000000"/>
        </w:rPr>
        <w:t>hedef</w:t>
      </w:r>
      <w:proofErr w:type="spellEnd"/>
      <w:r>
        <w:rPr>
          <w:color w:val="000000"/>
        </w:rPr>
        <w:t xml:space="preserve"> </w:t>
      </w:r>
      <w:proofErr w:type="spellStart"/>
      <w:r>
        <w:rPr>
          <w:color w:val="000000"/>
        </w:rPr>
        <w:t>kitleyle</w:t>
      </w:r>
      <w:proofErr w:type="spellEnd"/>
      <w:r>
        <w:rPr>
          <w:color w:val="000000"/>
        </w:rPr>
        <w:t xml:space="preserve"> </w:t>
      </w:r>
      <w:proofErr w:type="spellStart"/>
      <w:r>
        <w:rPr>
          <w:color w:val="000000"/>
        </w:rPr>
        <w:t>uyumlu</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ayarlamaktadır</w:t>
      </w:r>
      <w:proofErr w:type="spellEnd"/>
      <w:r>
        <w:rPr>
          <w:color w:val="000000"/>
        </w:rPr>
        <w:t xml:space="preserve">. Son </w:t>
      </w:r>
      <w:proofErr w:type="spellStart"/>
      <w:r>
        <w:rPr>
          <w:color w:val="000000"/>
        </w:rPr>
        <w:t>olarak</w:t>
      </w:r>
      <w:proofErr w:type="spellEnd"/>
      <w:r>
        <w:rPr>
          <w:color w:val="000000"/>
        </w:rPr>
        <w:t xml:space="preserve"> da, </w:t>
      </w:r>
      <w:proofErr w:type="spellStart"/>
      <w:r>
        <w:rPr>
          <w:b/>
          <w:bCs/>
          <w:color w:val="000000"/>
        </w:rPr>
        <w:t>kısıtlamalar</w:t>
      </w:r>
      <w:proofErr w:type="spellEnd"/>
      <w:r>
        <w:rPr>
          <w:color w:val="000000"/>
        </w:rPr>
        <w:t xml:space="preserve"> (Constraints), </w:t>
      </w:r>
      <w:proofErr w:type="spellStart"/>
      <w:r>
        <w:rPr>
          <w:color w:val="000000"/>
        </w:rPr>
        <w:t>olası</w:t>
      </w:r>
      <w:proofErr w:type="spellEnd"/>
      <w:r>
        <w:rPr>
          <w:color w:val="000000"/>
        </w:rPr>
        <w:t xml:space="preserve"> </w:t>
      </w:r>
      <w:proofErr w:type="spellStart"/>
      <w:r>
        <w:rPr>
          <w:color w:val="000000"/>
        </w:rPr>
        <w:t>yanıtlar</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sınırlar</w:t>
      </w:r>
      <w:proofErr w:type="spellEnd"/>
      <w:r>
        <w:rPr>
          <w:color w:val="000000"/>
        </w:rPr>
        <w:t xml:space="preserve"> </w:t>
      </w:r>
      <w:proofErr w:type="spellStart"/>
      <w:r>
        <w:rPr>
          <w:color w:val="000000"/>
        </w:rPr>
        <w:t>koyup</w:t>
      </w:r>
      <w:proofErr w:type="spellEnd"/>
      <w:r>
        <w:rPr>
          <w:color w:val="000000"/>
        </w:rPr>
        <w:t xml:space="preserve"> </w:t>
      </w:r>
      <w:proofErr w:type="spellStart"/>
      <w:r>
        <w:rPr>
          <w:color w:val="000000"/>
        </w:rPr>
        <w:t>oluşturulan</w:t>
      </w:r>
      <w:proofErr w:type="spellEnd"/>
      <w:r>
        <w:rPr>
          <w:color w:val="000000"/>
        </w:rPr>
        <w:t xml:space="preserve"> </w:t>
      </w:r>
      <w:proofErr w:type="spellStart"/>
      <w:r>
        <w:rPr>
          <w:color w:val="000000"/>
        </w:rPr>
        <w:t>içeriğin</w:t>
      </w:r>
      <w:proofErr w:type="spellEnd"/>
      <w:r>
        <w:rPr>
          <w:color w:val="000000"/>
        </w:rPr>
        <w:t xml:space="preserve"> </w:t>
      </w:r>
      <w:proofErr w:type="spellStart"/>
      <w:r>
        <w:rPr>
          <w:color w:val="000000"/>
        </w:rPr>
        <w:t>etik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teknik</w:t>
      </w:r>
      <w:proofErr w:type="spellEnd"/>
      <w:r>
        <w:rPr>
          <w:color w:val="000000"/>
        </w:rPr>
        <w:t xml:space="preserve"> </w:t>
      </w:r>
      <w:proofErr w:type="spellStart"/>
      <w:r>
        <w:rPr>
          <w:color w:val="000000"/>
        </w:rPr>
        <w:t>sınırlar</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parametrelere</w:t>
      </w:r>
      <w:proofErr w:type="spellEnd"/>
      <w:r>
        <w:rPr>
          <w:color w:val="000000"/>
        </w:rPr>
        <w:t xml:space="preserve"> </w:t>
      </w:r>
      <w:proofErr w:type="spellStart"/>
      <w:r>
        <w:rPr>
          <w:color w:val="000000"/>
        </w:rPr>
        <w:t>uygun</w:t>
      </w:r>
      <w:proofErr w:type="spellEnd"/>
      <w:r>
        <w:rPr>
          <w:color w:val="000000"/>
        </w:rPr>
        <w:t xml:space="preserve"> </w:t>
      </w:r>
      <w:proofErr w:type="spellStart"/>
      <w:r>
        <w:rPr>
          <w:color w:val="000000"/>
        </w:rPr>
        <w:t>olmasını</w:t>
      </w:r>
      <w:proofErr w:type="spellEnd"/>
      <w:r>
        <w:rPr>
          <w:color w:val="000000"/>
        </w:rPr>
        <w:t xml:space="preserve"> </w:t>
      </w:r>
      <w:proofErr w:type="spellStart"/>
      <w:r>
        <w:rPr>
          <w:color w:val="000000"/>
        </w:rPr>
        <w:t>sağlamaktadır</w:t>
      </w:r>
      <w:proofErr w:type="spellEnd"/>
      <w:r>
        <w:rPr>
          <w:color w:val="000000"/>
        </w:rPr>
        <w:t xml:space="preserve">. Elde </w:t>
      </w:r>
      <w:proofErr w:type="spellStart"/>
      <w:r>
        <w:rPr>
          <w:color w:val="000000"/>
        </w:rPr>
        <w:t>edilen</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veriler</w:t>
      </w:r>
      <w:proofErr w:type="spellEnd"/>
      <w:r>
        <w:rPr>
          <w:color w:val="000000"/>
        </w:rPr>
        <w:t xml:space="preserve">, </w:t>
      </w:r>
      <w:proofErr w:type="spellStart"/>
      <w:r>
        <w:rPr>
          <w:color w:val="000000"/>
        </w:rPr>
        <w:t>bir</w:t>
      </w:r>
      <w:proofErr w:type="spellEnd"/>
      <w:r>
        <w:rPr>
          <w:color w:val="000000"/>
        </w:rPr>
        <w:t xml:space="preserve"> dizi </w:t>
      </w:r>
      <w:proofErr w:type="spellStart"/>
      <w:r>
        <w:rPr>
          <w:color w:val="000000"/>
        </w:rPr>
        <w:t>bilgi</w:t>
      </w:r>
      <w:proofErr w:type="spellEnd"/>
      <w:r>
        <w:rPr>
          <w:color w:val="000000"/>
        </w:rPr>
        <w:t>/</w:t>
      </w:r>
      <w:proofErr w:type="spellStart"/>
      <w:r>
        <w:rPr>
          <w:color w:val="000000"/>
        </w:rPr>
        <w:t>soru</w:t>
      </w:r>
      <w:proofErr w:type="spellEnd"/>
      <w:r>
        <w:rPr>
          <w:color w:val="000000"/>
        </w:rPr>
        <w:t xml:space="preserve">/problem </w:t>
      </w:r>
      <w:proofErr w:type="spellStart"/>
      <w:r>
        <w:rPr>
          <w:color w:val="000000"/>
        </w:rPr>
        <w:t>ifadesi</w:t>
      </w:r>
      <w:proofErr w:type="spellEnd"/>
      <w:r>
        <w:rPr>
          <w:color w:val="000000"/>
        </w:rPr>
        <w:t xml:space="preserve">, </w:t>
      </w:r>
      <w:proofErr w:type="spellStart"/>
      <w:r>
        <w:rPr>
          <w:color w:val="000000"/>
        </w:rPr>
        <w:t>görsel</w:t>
      </w:r>
      <w:proofErr w:type="spellEnd"/>
      <w:r>
        <w:rPr>
          <w:color w:val="000000"/>
        </w:rPr>
        <w:t xml:space="preserve">, </w:t>
      </w:r>
      <w:proofErr w:type="spellStart"/>
      <w:r>
        <w:rPr>
          <w:color w:val="000000"/>
        </w:rPr>
        <w:t>ses</w:t>
      </w:r>
      <w:proofErr w:type="spellEnd"/>
      <w:r>
        <w:rPr>
          <w:color w:val="000000"/>
        </w:rPr>
        <w:t xml:space="preserve"> </w:t>
      </w:r>
      <w:proofErr w:type="spellStart"/>
      <w:r>
        <w:rPr>
          <w:color w:val="000000"/>
        </w:rPr>
        <w:t>dosyası</w:t>
      </w:r>
      <w:proofErr w:type="spellEnd"/>
      <w:r>
        <w:rPr>
          <w:color w:val="000000"/>
        </w:rPr>
        <w:t xml:space="preserve"> </w:t>
      </w:r>
      <w:proofErr w:type="spellStart"/>
      <w:r>
        <w:rPr>
          <w:color w:val="000000"/>
        </w:rPr>
        <w:t>veya</w:t>
      </w:r>
      <w:proofErr w:type="spellEnd"/>
      <w:r>
        <w:rPr>
          <w:color w:val="000000"/>
        </w:rPr>
        <w:t xml:space="preserve"> </w:t>
      </w:r>
      <w:proofErr w:type="spellStart"/>
      <w:r>
        <w:rPr>
          <w:color w:val="000000"/>
        </w:rPr>
        <w:t>ilgili</w:t>
      </w:r>
      <w:proofErr w:type="spellEnd"/>
      <w:r>
        <w:rPr>
          <w:color w:val="000000"/>
        </w:rPr>
        <w:t xml:space="preserve"> </w:t>
      </w:r>
      <w:proofErr w:type="spellStart"/>
      <w:r>
        <w:rPr>
          <w:color w:val="000000"/>
        </w:rPr>
        <w:t>herhangi</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veri</w:t>
      </w:r>
      <w:proofErr w:type="spellEnd"/>
      <w:r>
        <w:rPr>
          <w:color w:val="000000"/>
        </w:rPr>
        <w:t xml:space="preserve"> </w:t>
      </w:r>
      <w:proofErr w:type="spellStart"/>
      <w:r>
        <w:rPr>
          <w:color w:val="000000"/>
        </w:rPr>
        <w:t>noktası</w:t>
      </w:r>
      <w:proofErr w:type="spellEnd"/>
      <w:r>
        <w:rPr>
          <w:color w:val="000000"/>
        </w:rPr>
        <w:t xml:space="preserve"> </w:t>
      </w:r>
      <w:proofErr w:type="spellStart"/>
      <w:r>
        <w:rPr>
          <w:color w:val="000000"/>
        </w:rPr>
        <w:t>olabilir</w:t>
      </w:r>
      <w:proofErr w:type="spellEnd"/>
      <w:r>
        <w:rPr>
          <w:color w:val="000000"/>
        </w:rPr>
        <w:t xml:space="preserve"> (Borges &amp; </w:t>
      </w:r>
      <w:proofErr w:type="spellStart"/>
      <w:r>
        <w:rPr>
          <w:color w:val="000000"/>
        </w:rPr>
        <w:t>Ladele</w:t>
      </w:r>
      <w:proofErr w:type="spellEnd"/>
      <w:r>
        <w:rPr>
          <w:color w:val="000000"/>
        </w:rPr>
        <w:t xml:space="preserve">, 2024).  </w:t>
      </w:r>
      <w:r>
        <w:rPr>
          <w:i/>
          <w:iCs/>
          <w:color w:val="000000"/>
        </w:rPr>
        <w:t xml:space="preserve">A prompt pattern catalog to enhance prompt engineering with </w:t>
      </w:r>
      <w:proofErr w:type="spellStart"/>
      <w:r>
        <w:rPr>
          <w:i/>
          <w:iCs/>
          <w:color w:val="000000"/>
        </w:rPr>
        <w:t>chatgpt</w:t>
      </w:r>
      <w:proofErr w:type="spellEnd"/>
      <w:r>
        <w:rPr>
          <w:color w:val="000000"/>
        </w:rPr>
        <w:t xml:space="preserve"> </w:t>
      </w:r>
      <w:proofErr w:type="spellStart"/>
      <w:r>
        <w:rPr>
          <w:color w:val="000000"/>
        </w:rPr>
        <w:t>çalışmasında</w:t>
      </w:r>
      <w:proofErr w:type="spellEnd"/>
      <w:r>
        <w:rPr>
          <w:color w:val="000000"/>
        </w:rPr>
        <w:t xml:space="preserve"> White &amp; </w:t>
      </w:r>
      <w:proofErr w:type="gramStart"/>
      <w:r>
        <w:rPr>
          <w:color w:val="000000"/>
        </w:rPr>
        <w:t>Schmidt  &amp;</w:t>
      </w:r>
      <w:proofErr w:type="gramEnd"/>
      <w:r>
        <w:rPr>
          <w:color w:val="000000"/>
        </w:rPr>
        <w:t xml:space="preserve"> </w:t>
      </w:r>
      <w:proofErr w:type="spellStart"/>
      <w:r>
        <w:rPr>
          <w:color w:val="000000"/>
        </w:rPr>
        <w:t>diğerleri</w:t>
      </w:r>
      <w:proofErr w:type="spellEnd"/>
      <w:r>
        <w:rPr>
          <w:color w:val="000000"/>
        </w:rPr>
        <w:t xml:space="preserve"> </w:t>
      </w:r>
      <w:proofErr w:type="spellStart"/>
      <w:r>
        <w:rPr>
          <w:color w:val="000000"/>
        </w:rPr>
        <w:t>örnek</w:t>
      </w:r>
      <w:proofErr w:type="spellEnd"/>
      <w:r>
        <w:rPr>
          <w:color w:val="000000"/>
        </w:rPr>
        <w:t xml:space="preserve"> “Ana </w:t>
      </w:r>
      <w:proofErr w:type="spellStart"/>
      <w:r>
        <w:rPr>
          <w:color w:val="000000"/>
        </w:rPr>
        <w:t>Kategoriler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Kalıpları</w:t>
      </w:r>
      <w:proofErr w:type="spellEnd"/>
      <w:r>
        <w:rPr>
          <w:color w:val="000000"/>
        </w:rPr>
        <w:t xml:space="preserve">” </w:t>
      </w:r>
      <w:proofErr w:type="spellStart"/>
      <w:r>
        <w:rPr>
          <w:color w:val="000000"/>
        </w:rPr>
        <w:t>şu</w:t>
      </w:r>
      <w:proofErr w:type="spellEnd"/>
      <w:r>
        <w:rPr>
          <w:color w:val="000000"/>
        </w:rPr>
        <w:t xml:space="preserve"> </w:t>
      </w:r>
      <w:proofErr w:type="spellStart"/>
      <w:r>
        <w:rPr>
          <w:color w:val="000000"/>
        </w:rPr>
        <w:t>şekilde</w:t>
      </w:r>
      <w:proofErr w:type="spellEnd"/>
      <w:r>
        <w:rPr>
          <w:color w:val="000000"/>
        </w:rPr>
        <w:t xml:space="preserve"> </w:t>
      </w:r>
      <w:proofErr w:type="spellStart"/>
      <w:r>
        <w:rPr>
          <w:color w:val="000000"/>
        </w:rPr>
        <w:t>oluşturmaktadır</w:t>
      </w:r>
      <w:proofErr w:type="spellEnd"/>
      <w:r>
        <w:rPr>
          <w:color w:val="000000"/>
        </w:rPr>
        <w:t>:</w:t>
      </w:r>
    </w:p>
    <w:p w14:paraId="19E6CAC9" w14:textId="512FD304" w:rsidR="001E7189" w:rsidRDefault="001E7189" w:rsidP="007513A1">
      <w:pPr>
        <w:pStyle w:val="ResimYazs"/>
        <w:spacing w:after="0"/>
        <w:jc w:val="center"/>
        <w:rPr>
          <w:rFonts w:ascii="Times New Roman" w:hAnsi="Times New Roman" w:cs="Times New Roman"/>
          <w:i w:val="0"/>
          <w:iCs w:val="0"/>
          <w:color w:val="000000"/>
          <w:sz w:val="24"/>
          <w:szCs w:val="24"/>
          <w:lang w:eastAsia="tr-TR"/>
        </w:rPr>
      </w:pPr>
      <w:r>
        <w:rPr>
          <w:rFonts w:ascii="Times New Roman" w:hAnsi="Times New Roman" w:cs="Times New Roman"/>
          <w:b/>
          <w:bCs/>
          <w:color w:val="auto"/>
          <w:sz w:val="20"/>
          <w:szCs w:val="20"/>
        </w:rPr>
        <w:lastRenderedPageBreak/>
        <w:t xml:space="preserve">Şekil </w:t>
      </w:r>
      <w:r>
        <w:rPr>
          <w:rFonts w:ascii="Times New Roman" w:hAnsi="Times New Roman" w:cs="Times New Roman"/>
          <w:b/>
          <w:bCs/>
          <w:color w:val="auto"/>
          <w:sz w:val="20"/>
          <w:szCs w:val="20"/>
        </w:rPr>
        <w:fldChar w:fldCharType="begin"/>
      </w:r>
      <w:r>
        <w:rPr>
          <w:rFonts w:ascii="Times New Roman" w:hAnsi="Times New Roman" w:cs="Times New Roman"/>
          <w:b/>
          <w:bCs/>
          <w:color w:val="auto"/>
          <w:sz w:val="20"/>
          <w:szCs w:val="20"/>
        </w:rPr>
        <w:instrText xml:space="preserve"> SEQ Görsel \* ARABIC </w:instrText>
      </w:r>
      <w:r>
        <w:rPr>
          <w:rFonts w:ascii="Times New Roman" w:hAnsi="Times New Roman" w:cs="Times New Roman"/>
          <w:b/>
          <w:bCs/>
          <w:color w:val="auto"/>
          <w:sz w:val="20"/>
          <w:szCs w:val="20"/>
        </w:rPr>
        <w:fldChar w:fldCharType="separate"/>
      </w:r>
      <w:r w:rsidR="003B72F6">
        <w:rPr>
          <w:rFonts w:ascii="Times New Roman" w:hAnsi="Times New Roman" w:cs="Times New Roman"/>
          <w:b/>
          <w:bCs/>
          <w:noProof/>
          <w:color w:val="auto"/>
          <w:sz w:val="20"/>
          <w:szCs w:val="20"/>
        </w:rPr>
        <w:t>1</w:t>
      </w:r>
      <w:r>
        <w:rPr>
          <w:rFonts w:ascii="Times New Roman" w:hAnsi="Times New Roman" w:cs="Times New Roman"/>
          <w:b/>
          <w:bCs/>
          <w:color w:val="auto"/>
          <w:sz w:val="20"/>
          <w:szCs w:val="20"/>
        </w:rPr>
        <w:fldChar w:fldCharType="end"/>
      </w:r>
      <w:r>
        <w:rPr>
          <w:rFonts w:ascii="Times New Roman" w:hAnsi="Times New Roman" w:cs="Times New Roman"/>
          <w:i w:val="0"/>
          <w:iCs w:val="0"/>
          <w:color w:val="auto"/>
          <w:sz w:val="20"/>
          <w:szCs w:val="20"/>
        </w:rPr>
        <w:t xml:space="preserve">. </w:t>
      </w:r>
      <w:r>
        <w:rPr>
          <w:rFonts w:ascii="Times New Roman" w:eastAsia="Times New Roman" w:hAnsi="Times New Roman" w:cs="Times New Roman"/>
          <w:color w:val="auto"/>
          <w:sz w:val="20"/>
          <w:szCs w:val="20"/>
        </w:rPr>
        <w:t xml:space="preserve">Ana Kategoriler ve Yapay </w:t>
      </w:r>
      <w:proofErr w:type="gramStart"/>
      <w:r>
        <w:rPr>
          <w:rFonts w:ascii="Times New Roman" w:eastAsia="Times New Roman" w:hAnsi="Times New Roman" w:cs="Times New Roman"/>
          <w:color w:val="auto"/>
          <w:sz w:val="20"/>
          <w:szCs w:val="20"/>
        </w:rPr>
        <w:t>Zeka</w:t>
      </w:r>
      <w:proofErr w:type="gramEnd"/>
      <w:r>
        <w:rPr>
          <w:rFonts w:ascii="Times New Roman" w:eastAsia="Times New Roman" w:hAnsi="Times New Roman" w:cs="Times New Roman"/>
          <w:color w:val="auto"/>
          <w:sz w:val="20"/>
          <w:szCs w:val="20"/>
        </w:rPr>
        <w:t xml:space="preserve"> </w:t>
      </w:r>
      <w:proofErr w:type="spellStart"/>
      <w:r>
        <w:rPr>
          <w:rFonts w:ascii="Times New Roman" w:eastAsia="Times New Roman" w:hAnsi="Times New Roman" w:cs="Times New Roman"/>
          <w:color w:val="auto"/>
          <w:sz w:val="20"/>
          <w:szCs w:val="20"/>
        </w:rPr>
        <w:t>Prompt</w:t>
      </w:r>
      <w:proofErr w:type="spellEnd"/>
      <w:r>
        <w:rPr>
          <w:rFonts w:ascii="Times New Roman" w:eastAsia="Times New Roman" w:hAnsi="Times New Roman" w:cs="Times New Roman"/>
          <w:color w:val="auto"/>
          <w:sz w:val="20"/>
          <w:szCs w:val="20"/>
        </w:rPr>
        <w:t xml:space="preserve"> Kalıpları</w:t>
      </w:r>
      <w:r>
        <w:rPr>
          <w:rFonts w:ascii="Times New Roman" w:hAnsi="Times New Roman" w:cs="Times New Roman"/>
          <w:i w:val="0"/>
          <w:iCs w:val="0"/>
          <w:noProof/>
          <w:color w:val="auto"/>
          <w:sz w:val="20"/>
          <w:szCs w:val="20"/>
        </w:rPr>
        <w:drawing>
          <wp:anchor distT="0" distB="0" distL="114300" distR="114300" simplePos="0" relativeHeight="251658240" behindDoc="1" locked="0" layoutInCell="1" allowOverlap="1" wp14:anchorId="03C970E2" wp14:editId="61FC4625">
            <wp:simplePos x="0" y="0"/>
            <wp:positionH relativeFrom="column">
              <wp:posOffset>-730885</wp:posOffset>
            </wp:positionH>
            <wp:positionV relativeFrom="paragraph">
              <wp:posOffset>149860</wp:posOffset>
            </wp:positionV>
            <wp:extent cx="6674485" cy="4827905"/>
            <wp:effectExtent l="0" t="0" r="635" b="0"/>
            <wp:wrapTight wrapText="bothSides">
              <wp:wrapPolygon edited="0">
                <wp:start x="0" y="0"/>
                <wp:lineTo x="0" y="21546"/>
                <wp:lineTo x="21553" y="21546"/>
                <wp:lineTo x="21553" y="0"/>
                <wp:lineTo x="0" y="0"/>
              </wp:wrapPolygon>
            </wp:wrapTight>
            <wp:docPr id="5" name="Picture 5" descr="Purple Creative Concept Map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urple Creative Concept Map Chart"/>
                    <pic:cNvPicPr>
                      <a:picLocks noChangeAspect="1"/>
                    </pic:cNvPicPr>
                  </pic:nvPicPr>
                  <pic:blipFill>
                    <a:blip r:embed="rId148"/>
                    <a:stretch>
                      <a:fillRect/>
                    </a:stretch>
                  </pic:blipFill>
                  <pic:spPr>
                    <a:xfrm>
                      <a:off x="0" y="0"/>
                      <a:ext cx="6674485" cy="4827905"/>
                    </a:xfrm>
                    <a:prstGeom prst="rect">
                      <a:avLst/>
                    </a:prstGeom>
                  </pic:spPr>
                </pic:pic>
              </a:graphicData>
            </a:graphic>
          </wp:anchor>
        </w:drawing>
      </w:r>
    </w:p>
    <w:p w14:paraId="45FE3060" w14:textId="77777777" w:rsidR="001E7189" w:rsidRDefault="001E7189" w:rsidP="007513A1">
      <w:pPr>
        <w:pStyle w:val="NormalWeb"/>
        <w:spacing w:before="0" w:beforeAutospacing="0" w:after="0" w:afterAutospacing="0"/>
        <w:rPr>
          <w:color w:val="000000"/>
        </w:rPr>
      </w:pPr>
      <w:proofErr w:type="spellStart"/>
      <w:r>
        <w:rPr>
          <w:i/>
          <w:iCs/>
          <w:color w:val="000000"/>
        </w:rPr>
        <w:t>Şekil</w:t>
      </w:r>
      <w:proofErr w:type="spellEnd"/>
      <w:r>
        <w:rPr>
          <w:i/>
          <w:iCs/>
          <w:color w:val="000000"/>
        </w:rPr>
        <w:t xml:space="preserve"> 1</w:t>
      </w:r>
      <w:r>
        <w:rPr>
          <w:color w:val="000000"/>
        </w:rPr>
        <w:t xml:space="preserve">’den </w:t>
      </w:r>
      <w:proofErr w:type="spellStart"/>
      <w:r>
        <w:rPr>
          <w:color w:val="000000"/>
        </w:rPr>
        <w:t>yola</w:t>
      </w:r>
      <w:proofErr w:type="spellEnd"/>
      <w:r>
        <w:rPr>
          <w:color w:val="000000"/>
        </w:rPr>
        <w:t xml:space="preserve"> </w:t>
      </w:r>
      <w:proofErr w:type="spellStart"/>
      <w:r>
        <w:rPr>
          <w:color w:val="000000"/>
        </w:rPr>
        <w:t>çıkarak</w:t>
      </w:r>
      <w:proofErr w:type="spellEnd"/>
      <w:r>
        <w:rPr>
          <w:color w:val="000000"/>
        </w:rPr>
        <w:t xml:space="preserve"> </w:t>
      </w:r>
      <w:proofErr w:type="spellStart"/>
      <w:r>
        <w:rPr>
          <w:color w:val="000000"/>
        </w:rPr>
        <w:t>Chatgpt</w:t>
      </w:r>
      <w:proofErr w:type="spellEnd"/>
      <w:r>
        <w:rPr>
          <w:color w:val="000000"/>
        </w:rPr>
        <w:t xml:space="preserve"> </w:t>
      </w:r>
      <w:proofErr w:type="spellStart"/>
      <w:r>
        <w:rPr>
          <w:color w:val="000000"/>
        </w:rPr>
        <w:t>endeksli</w:t>
      </w:r>
      <w:proofErr w:type="spellEnd"/>
      <w:r>
        <w:rPr>
          <w:color w:val="000000"/>
        </w:rPr>
        <w:t xml:space="preserve"> </w:t>
      </w:r>
      <w:proofErr w:type="spellStart"/>
      <w:r>
        <w:rPr>
          <w:color w:val="000000"/>
        </w:rPr>
        <w:t>düşünüldüğünde</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işletmesi</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şöyle</w:t>
      </w:r>
      <w:proofErr w:type="spellEnd"/>
      <w:r>
        <w:rPr>
          <w:color w:val="000000"/>
        </w:rPr>
        <w:t xml:space="preserve"> </w:t>
      </w:r>
      <w:proofErr w:type="spellStart"/>
      <w:r>
        <w:rPr>
          <w:color w:val="000000"/>
        </w:rPr>
        <w:t>bir</w:t>
      </w:r>
      <w:proofErr w:type="spellEnd"/>
      <w:r>
        <w:rPr>
          <w:color w:val="000000"/>
        </w:rPr>
        <w:t xml:space="preserve"> ana </w:t>
      </w:r>
      <w:proofErr w:type="spellStart"/>
      <w:r>
        <w:rPr>
          <w:color w:val="000000"/>
        </w:rPr>
        <w:t>kategori</w:t>
      </w:r>
      <w:proofErr w:type="spellEnd"/>
      <w:r>
        <w:rPr>
          <w:color w:val="000000"/>
        </w:rPr>
        <w:t xml:space="preserve"> </w:t>
      </w:r>
      <w:proofErr w:type="spellStart"/>
      <w:r>
        <w:rPr>
          <w:color w:val="000000"/>
        </w:rPr>
        <w:t>ve</w:t>
      </w:r>
      <w:proofErr w:type="spellEnd"/>
      <w:r>
        <w:rPr>
          <w:color w:val="000000"/>
        </w:rPr>
        <w:t xml:space="preserve"> buna </w:t>
      </w:r>
      <w:proofErr w:type="spellStart"/>
      <w:r>
        <w:rPr>
          <w:color w:val="000000"/>
        </w:rPr>
        <w:t>bağlı</w:t>
      </w:r>
      <w:proofErr w:type="spellEnd"/>
      <w:r>
        <w:rPr>
          <w:color w:val="000000"/>
        </w:rPr>
        <w:t xml:space="preserve"> </w:t>
      </w:r>
      <w:proofErr w:type="spellStart"/>
      <w:r>
        <w:rPr>
          <w:color w:val="000000"/>
        </w:rPr>
        <w:t>kalıp</w:t>
      </w:r>
      <w:proofErr w:type="spellEnd"/>
      <w:r>
        <w:rPr>
          <w:color w:val="000000"/>
        </w:rPr>
        <w:t xml:space="preserve"> </w:t>
      </w:r>
      <w:proofErr w:type="spellStart"/>
      <w:r>
        <w:rPr>
          <w:color w:val="000000"/>
        </w:rPr>
        <w:t>promptları</w:t>
      </w:r>
      <w:proofErr w:type="spellEnd"/>
      <w:r>
        <w:rPr>
          <w:color w:val="000000"/>
        </w:rPr>
        <w:t xml:space="preserve"> </w:t>
      </w:r>
      <w:proofErr w:type="spellStart"/>
      <w:r>
        <w:rPr>
          <w:color w:val="000000"/>
        </w:rPr>
        <w:t>şu</w:t>
      </w:r>
      <w:proofErr w:type="spellEnd"/>
      <w:r>
        <w:rPr>
          <w:color w:val="000000"/>
        </w:rPr>
        <w:t xml:space="preserve"> </w:t>
      </w:r>
      <w:proofErr w:type="spellStart"/>
      <w:r>
        <w:rPr>
          <w:color w:val="000000"/>
        </w:rPr>
        <w:t>şekilde</w:t>
      </w:r>
      <w:proofErr w:type="spellEnd"/>
      <w:r>
        <w:rPr>
          <w:color w:val="000000"/>
        </w:rPr>
        <w:t xml:space="preserve"> </w:t>
      </w:r>
      <w:proofErr w:type="spellStart"/>
      <w:r>
        <w:rPr>
          <w:color w:val="000000"/>
        </w:rPr>
        <w:t>oluşturulabilir</w:t>
      </w:r>
      <w:proofErr w:type="spellEnd"/>
      <w:r>
        <w:rPr>
          <w:color w:val="000000"/>
        </w:rPr>
        <w:t>:</w:t>
      </w:r>
    </w:p>
    <w:p w14:paraId="4392A4EC" w14:textId="77777777" w:rsidR="001E7189" w:rsidRDefault="001E7189" w:rsidP="007513A1">
      <w:pPr>
        <w:pStyle w:val="NormalWeb"/>
        <w:spacing w:before="0" w:beforeAutospacing="0" w:after="0" w:afterAutospacing="0"/>
        <w:rPr>
          <w:color w:val="000000"/>
        </w:rPr>
      </w:pPr>
    </w:p>
    <w:p w14:paraId="6BCDC79A" w14:textId="77777777" w:rsidR="001E7189" w:rsidRPr="00714BC1" w:rsidRDefault="001E7189" w:rsidP="007513A1">
      <w:pPr>
        <w:rPr>
          <w:b/>
          <w:bCs/>
        </w:rPr>
      </w:pPr>
      <w:r w:rsidRPr="00714BC1">
        <w:rPr>
          <w:b/>
          <w:bCs/>
        </w:rPr>
        <w:t>3.2.1. Girdi Anlamları (</w:t>
      </w:r>
      <w:proofErr w:type="spellStart"/>
      <w:r w:rsidRPr="00714BC1">
        <w:rPr>
          <w:b/>
          <w:bCs/>
        </w:rPr>
        <w:t>Input</w:t>
      </w:r>
      <w:proofErr w:type="spellEnd"/>
      <w:r w:rsidRPr="00714BC1">
        <w:rPr>
          <w:b/>
          <w:bCs/>
        </w:rPr>
        <w:t xml:space="preserve"> </w:t>
      </w:r>
      <w:proofErr w:type="spellStart"/>
      <w:r w:rsidRPr="00714BC1">
        <w:rPr>
          <w:b/>
          <w:bCs/>
        </w:rPr>
        <w:t>Semantics</w:t>
      </w:r>
      <w:proofErr w:type="spellEnd"/>
      <w:r w:rsidRPr="00714BC1">
        <w:rPr>
          <w:b/>
          <w:bCs/>
        </w:rPr>
        <w:t>)</w:t>
      </w:r>
    </w:p>
    <w:p w14:paraId="506F3EEE" w14:textId="77777777" w:rsidR="001E7189" w:rsidRPr="00714BC1" w:rsidRDefault="001E7189" w:rsidP="007513A1">
      <w:pPr>
        <w:rPr>
          <w:b/>
          <w:bCs/>
        </w:rPr>
      </w:pPr>
      <w:r w:rsidRPr="00714BC1">
        <w:rPr>
          <w:b/>
          <w:bCs/>
        </w:rPr>
        <w:t xml:space="preserve">A. Meta Dil Oluşturma (Meta Language </w:t>
      </w:r>
      <w:proofErr w:type="spellStart"/>
      <w:r w:rsidRPr="00714BC1">
        <w:rPr>
          <w:b/>
          <w:bCs/>
        </w:rPr>
        <w:t>Creation</w:t>
      </w:r>
      <w:proofErr w:type="spellEnd"/>
      <w:r w:rsidRPr="00714BC1">
        <w:rPr>
          <w:b/>
          <w:bCs/>
        </w:rPr>
        <w:t>)</w:t>
      </w:r>
    </w:p>
    <w:p w14:paraId="56CDFE29" w14:textId="77777777" w:rsidR="001E7189" w:rsidRDefault="001E7189" w:rsidP="007513A1">
      <w:pPr>
        <w:pStyle w:val="NormalWeb"/>
        <w:spacing w:before="0" w:beforeAutospacing="0" w:after="0" w:afterAutospacing="0"/>
      </w:pPr>
      <w:r w:rsidRPr="00714BC1">
        <w:rPr>
          <w:b/>
          <w:bCs/>
        </w:rPr>
        <w:t>Amaç</w:t>
      </w:r>
      <w:r>
        <w:t xml:space="preserve">: </w:t>
      </w:r>
      <w:proofErr w:type="spellStart"/>
      <w:r>
        <w:t>Restoran</w:t>
      </w:r>
      <w:proofErr w:type="spellEnd"/>
      <w:r>
        <w:t xml:space="preserve"> </w:t>
      </w:r>
      <w:proofErr w:type="spellStart"/>
      <w:r>
        <w:t>yönetimiyle</w:t>
      </w:r>
      <w:proofErr w:type="spellEnd"/>
      <w:r>
        <w:t xml:space="preserve"> </w:t>
      </w:r>
      <w:proofErr w:type="spellStart"/>
      <w:r>
        <w:t>ilgili</w:t>
      </w:r>
      <w:proofErr w:type="spellEnd"/>
      <w:r>
        <w:t xml:space="preserve"> </w:t>
      </w:r>
      <w:proofErr w:type="spellStart"/>
      <w:r>
        <w:t>belirli</w:t>
      </w:r>
      <w:proofErr w:type="spellEnd"/>
      <w:r>
        <w:t xml:space="preserve"> </w:t>
      </w:r>
      <w:proofErr w:type="spellStart"/>
      <w:r>
        <w:t>terimler</w:t>
      </w:r>
      <w:proofErr w:type="spellEnd"/>
      <w:r>
        <w:t xml:space="preserve"> </w:t>
      </w:r>
      <w:proofErr w:type="spellStart"/>
      <w:r>
        <w:t>veya</w:t>
      </w:r>
      <w:proofErr w:type="spellEnd"/>
      <w:r>
        <w:t xml:space="preserve"> </w:t>
      </w:r>
      <w:proofErr w:type="spellStart"/>
      <w:r>
        <w:t>kısaltmalar</w:t>
      </w:r>
      <w:proofErr w:type="spellEnd"/>
      <w:r>
        <w:t xml:space="preserve"> </w:t>
      </w:r>
      <w:proofErr w:type="spellStart"/>
      <w:r>
        <w:t>kullanarak</w:t>
      </w:r>
      <w:proofErr w:type="spellEnd"/>
      <w:r>
        <w:t xml:space="preserve"> </w:t>
      </w:r>
      <w:proofErr w:type="spellStart"/>
      <w:r>
        <w:t>yapay</w:t>
      </w:r>
      <w:proofErr w:type="spellEnd"/>
      <w:r>
        <w:t xml:space="preserve"> </w:t>
      </w:r>
      <w:proofErr w:type="spellStart"/>
      <w:r>
        <w:t>zekayı</w:t>
      </w:r>
      <w:proofErr w:type="spellEnd"/>
      <w:r>
        <w:t xml:space="preserve"> </w:t>
      </w:r>
      <w:proofErr w:type="spellStart"/>
      <w:r>
        <w:t>eğitmek</w:t>
      </w:r>
      <w:proofErr w:type="spellEnd"/>
      <w:r>
        <w:t>.</w:t>
      </w:r>
    </w:p>
    <w:p w14:paraId="379C5299" w14:textId="77777777" w:rsidR="001E7189" w:rsidRDefault="001E7189" w:rsidP="007513A1">
      <w:pPr>
        <w:pStyle w:val="NormalWeb"/>
        <w:spacing w:before="0" w:beforeAutospacing="0" w:after="0" w:afterAutospacing="0"/>
        <w:rPr>
          <w:sz w:val="20"/>
          <w:szCs w:val="20"/>
        </w:rPr>
        <w:sectPr w:rsidR="001E7189" w:rsidSect="00DA5A57">
          <w:headerReference w:type="default" r:id="rId149"/>
          <w:footerReference w:type="default" r:id="rId150"/>
          <w:type w:val="continuous"/>
          <w:pgSz w:w="11906" w:h="16838"/>
          <w:pgMar w:top="1418" w:right="1418" w:bottom="1418" w:left="1418" w:header="1304" w:footer="1361" w:gutter="0"/>
          <w:pgNumType w:start="1"/>
          <w:cols w:space="708"/>
          <w:docGrid w:linePitch="360"/>
        </w:sectPr>
      </w:pPr>
      <w:r w:rsidRPr="00714BC1">
        <w:rPr>
          <w:b/>
          <w:bCs/>
        </w:rPr>
        <w:t>Örnek:</w:t>
      </w:r>
      <w:r>
        <w:t xml:space="preserve"> </w:t>
      </w:r>
      <w:r>
        <w:rPr>
          <w:i/>
          <w:iCs/>
        </w:rPr>
        <w:t>"</w:t>
      </w:r>
      <w:proofErr w:type="spellStart"/>
      <w:r>
        <w:rPr>
          <w:i/>
          <w:iCs/>
        </w:rPr>
        <w:t>Bundan</w:t>
      </w:r>
      <w:proofErr w:type="spellEnd"/>
      <w:r>
        <w:rPr>
          <w:i/>
          <w:iCs/>
        </w:rPr>
        <w:t xml:space="preserve"> </w:t>
      </w:r>
      <w:proofErr w:type="spellStart"/>
      <w:r>
        <w:rPr>
          <w:i/>
          <w:iCs/>
        </w:rPr>
        <w:t>sonra</w:t>
      </w:r>
      <w:proofErr w:type="spellEnd"/>
      <w:r>
        <w:rPr>
          <w:i/>
          <w:iCs/>
        </w:rPr>
        <w:t xml:space="preserve"> 'YO' </w:t>
      </w:r>
      <w:proofErr w:type="spellStart"/>
      <w:r>
        <w:rPr>
          <w:i/>
          <w:iCs/>
        </w:rPr>
        <w:t>dediğimde</w:t>
      </w:r>
      <w:proofErr w:type="spellEnd"/>
      <w:r>
        <w:rPr>
          <w:i/>
          <w:iCs/>
        </w:rPr>
        <w:t xml:space="preserve"> '</w:t>
      </w:r>
      <w:proofErr w:type="spellStart"/>
      <w:r>
        <w:rPr>
          <w:i/>
          <w:iCs/>
        </w:rPr>
        <w:t>Yemek</w:t>
      </w:r>
      <w:proofErr w:type="spellEnd"/>
      <w:r>
        <w:rPr>
          <w:i/>
          <w:iCs/>
        </w:rPr>
        <w:t xml:space="preserve"> </w:t>
      </w:r>
      <w:proofErr w:type="spellStart"/>
      <w:r>
        <w:rPr>
          <w:i/>
          <w:iCs/>
        </w:rPr>
        <w:t>Öncesi</w:t>
      </w:r>
      <w:proofErr w:type="spellEnd"/>
      <w:r>
        <w:rPr>
          <w:i/>
          <w:iCs/>
        </w:rPr>
        <w:t xml:space="preserve"> </w:t>
      </w:r>
      <w:proofErr w:type="spellStart"/>
      <w:r>
        <w:rPr>
          <w:i/>
          <w:iCs/>
        </w:rPr>
        <w:t>Hazırlık</w:t>
      </w:r>
      <w:proofErr w:type="spellEnd"/>
      <w:r>
        <w:rPr>
          <w:i/>
          <w:iCs/>
        </w:rPr>
        <w:t xml:space="preserve">' </w:t>
      </w:r>
      <w:proofErr w:type="spellStart"/>
      <w:r>
        <w:rPr>
          <w:i/>
          <w:iCs/>
        </w:rPr>
        <w:t>demek</w:t>
      </w:r>
      <w:proofErr w:type="spellEnd"/>
      <w:r>
        <w:rPr>
          <w:i/>
          <w:iCs/>
        </w:rPr>
        <w:t xml:space="preserve"> </w:t>
      </w:r>
      <w:proofErr w:type="spellStart"/>
      <w:r>
        <w:rPr>
          <w:i/>
          <w:iCs/>
        </w:rPr>
        <w:t>istediğimi</w:t>
      </w:r>
      <w:proofErr w:type="spellEnd"/>
      <w:r>
        <w:rPr>
          <w:i/>
          <w:iCs/>
        </w:rPr>
        <w:t xml:space="preserve"> </w:t>
      </w:r>
      <w:proofErr w:type="spellStart"/>
      <w:r>
        <w:rPr>
          <w:i/>
          <w:iCs/>
        </w:rPr>
        <w:t>anlayın</w:t>
      </w:r>
      <w:proofErr w:type="spellEnd"/>
      <w:r>
        <w:rPr>
          <w:i/>
          <w:iCs/>
        </w:rPr>
        <w:t xml:space="preserve">. 'MO' </w:t>
      </w:r>
      <w:proofErr w:type="spellStart"/>
      <w:r>
        <w:rPr>
          <w:i/>
          <w:iCs/>
        </w:rPr>
        <w:t>ise</w:t>
      </w:r>
      <w:proofErr w:type="spellEnd"/>
      <w:r>
        <w:rPr>
          <w:i/>
          <w:iCs/>
        </w:rPr>
        <w:t xml:space="preserve"> 'Masa </w:t>
      </w:r>
      <w:proofErr w:type="spellStart"/>
      <w:r>
        <w:rPr>
          <w:i/>
          <w:iCs/>
        </w:rPr>
        <w:t>Operasyonları</w:t>
      </w:r>
      <w:proofErr w:type="spellEnd"/>
      <w:r>
        <w:rPr>
          <w:i/>
          <w:iCs/>
        </w:rPr>
        <w:t xml:space="preserve">' </w:t>
      </w:r>
      <w:proofErr w:type="spellStart"/>
      <w:r>
        <w:rPr>
          <w:i/>
          <w:iCs/>
        </w:rPr>
        <w:t>anlamına</w:t>
      </w:r>
      <w:proofErr w:type="spellEnd"/>
      <w:r>
        <w:rPr>
          <w:i/>
          <w:iCs/>
        </w:rPr>
        <w:t xml:space="preserve"> </w:t>
      </w:r>
      <w:proofErr w:type="spellStart"/>
      <w:r>
        <w:rPr>
          <w:i/>
          <w:iCs/>
        </w:rPr>
        <w:t>gelir</w:t>
      </w:r>
      <w:proofErr w:type="spellEnd"/>
      <w:r>
        <w:rPr>
          <w:i/>
          <w:iCs/>
        </w:rPr>
        <w:t>.</w:t>
      </w:r>
      <w:r>
        <w:rPr>
          <w:sz w:val="20"/>
          <w:szCs w:val="20"/>
        </w:rPr>
        <w:t xml:space="preserve">” </w:t>
      </w:r>
    </w:p>
    <w:p w14:paraId="03197A0C" w14:textId="77777777" w:rsidR="001E7189" w:rsidRPr="00FC5BFA" w:rsidRDefault="001E7189" w:rsidP="007513A1">
      <w:pPr>
        <w:pStyle w:val="NormalWeb"/>
        <w:keepNext/>
        <w:widowControl w:val="0"/>
        <w:spacing w:before="0" w:beforeAutospacing="0" w:after="0" w:afterAutospacing="0"/>
        <w:jc w:val="both"/>
        <w:rPr>
          <w:i/>
          <w:iCs/>
        </w:rPr>
        <w:sectPr w:rsidR="001E7189" w:rsidRPr="00FC5BFA" w:rsidSect="007513A1">
          <w:type w:val="continuous"/>
          <w:pgSz w:w="11906" w:h="16838"/>
          <w:pgMar w:top="1418" w:right="1418" w:bottom="1418" w:left="1418" w:header="1304" w:footer="1361" w:gutter="0"/>
          <w:pgNumType w:start="1"/>
          <w:cols w:space="708"/>
          <w:docGrid w:linePitch="360"/>
        </w:sectPr>
      </w:pPr>
    </w:p>
    <w:p w14:paraId="036BD643" w14:textId="77777777" w:rsidR="001E7189" w:rsidRPr="00714BC1" w:rsidRDefault="001E7189" w:rsidP="007513A1">
      <w:pPr>
        <w:rPr>
          <w:b/>
          <w:bCs/>
        </w:rPr>
      </w:pPr>
      <w:bookmarkStart w:id="92" w:name="_Toc63167995"/>
      <w:r w:rsidRPr="00714BC1">
        <w:rPr>
          <w:b/>
          <w:bCs/>
        </w:rPr>
        <w:t>3.2.2. Çıktı Özelleştirme (</w:t>
      </w:r>
      <w:proofErr w:type="spellStart"/>
      <w:r w:rsidRPr="00714BC1">
        <w:rPr>
          <w:b/>
          <w:bCs/>
        </w:rPr>
        <w:t>Output</w:t>
      </w:r>
      <w:proofErr w:type="spellEnd"/>
      <w:r w:rsidRPr="00714BC1">
        <w:rPr>
          <w:b/>
          <w:bCs/>
        </w:rPr>
        <w:t xml:space="preserve"> </w:t>
      </w:r>
      <w:proofErr w:type="spellStart"/>
      <w:r w:rsidRPr="00714BC1">
        <w:rPr>
          <w:b/>
          <w:bCs/>
        </w:rPr>
        <w:t>Customization</w:t>
      </w:r>
      <w:proofErr w:type="spellEnd"/>
      <w:r w:rsidRPr="00714BC1">
        <w:rPr>
          <w:b/>
          <w:bCs/>
        </w:rPr>
        <w:t>)</w:t>
      </w:r>
    </w:p>
    <w:p w14:paraId="5B0768C9" w14:textId="77777777" w:rsidR="001E7189" w:rsidRPr="00714BC1" w:rsidRDefault="001E7189" w:rsidP="007513A1">
      <w:pPr>
        <w:rPr>
          <w:b/>
          <w:bCs/>
        </w:rPr>
      </w:pPr>
      <w:r w:rsidRPr="00714BC1">
        <w:rPr>
          <w:b/>
          <w:bCs/>
        </w:rPr>
        <w:t>A. Persona</w:t>
      </w:r>
    </w:p>
    <w:p w14:paraId="464BCA72" w14:textId="77777777" w:rsidR="001E7189" w:rsidRDefault="001E7189" w:rsidP="007513A1">
      <w:pPr>
        <w:pStyle w:val="NormalWeb"/>
        <w:spacing w:before="0" w:beforeAutospacing="0" w:after="0" w:afterAutospacing="0"/>
        <w:jc w:val="both"/>
      </w:pPr>
      <w:r w:rsidRPr="00714BC1">
        <w:rPr>
          <w:b/>
          <w:bCs/>
        </w:rPr>
        <w:t>Amaç:</w:t>
      </w:r>
      <w:r>
        <w:t xml:space="preserve"> </w:t>
      </w:r>
      <w:proofErr w:type="spellStart"/>
      <w:r>
        <w:t>Yapay</w:t>
      </w:r>
      <w:proofErr w:type="spellEnd"/>
      <w:r>
        <w:t xml:space="preserve"> </w:t>
      </w:r>
      <w:proofErr w:type="spellStart"/>
      <w:r>
        <w:t>zekanın</w:t>
      </w:r>
      <w:proofErr w:type="spellEnd"/>
      <w:r>
        <w:t xml:space="preserve"> </w:t>
      </w:r>
      <w:proofErr w:type="spellStart"/>
      <w:r>
        <w:t>belirli</w:t>
      </w:r>
      <w:proofErr w:type="spellEnd"/>
      <w:r>
        <w:t xml:space="preserve"> </w:t>
      </w:r>
      <w:proofErr w:type="spellStart"/>
      <w:r>
        <w:t>bir</w:t>
      </w:r>
      <w:proofErr w:type="spellEnd"/>
      <w:r>
        <w:t xml:space="preserve"> </w:t>
      </w:r>
      <w:proofErr w:type="spellStart"/>
      <w:r>
        <w:t>rol</w:t>
      </w:r>
      <w:proofErr w:type="spellEnd"/>
      <w:r>
        <w:t xml:space="preserve"> </w:t>
      </w:r>
      <w:proofErr w:type="spellStart"/>
      <w:r>
        <w:t>üstlenmesini</w:t>
      </w:r>
      <w:proofErr w:type="spellEnd"/>
      <w:r>
        <w:t xml:space="preserve"> </w:t>
      </w:r>
      <w:proofErr w:type="spellStart"/>
      <w:r>
        <w:t>sağlamak</w:t>
      </w:r>
      <w:proofErr w:type="spellEnd"/>
      <w:r>
        <w:t>.</w:t>
      </w:r>
    </w:p>
    <w:p w14:paraId="64A24B08" w14:textId="77777777" w:rsidR="001E7189" w:rsidRDefault="001E7189" w:rsidP="007513A1">
      <w:pPr>
        <w:pStyle w:val="NormalWeb"/>
        <w:spacing w:before="0" w:beforeAutospacing="0" w:after="0" w:afterAutospacing="0"/>
        <w:jc w:val="both"/>
        <w:rPr>
          <w:i/>
          <w:iCs/>
        </w:rPr>
      </w:pPr>
      <w:r w:rsidRPr="00714BC1">
        <w:rPr>
          <w:b/>
          <w:bCs/>
        </w:rPr>
        <w:t>Örnek:</w:t>
      </w:r>
      <w:r>
        <w:t xml:space="preserve"> </w:t>
      </w:r>
      <w:r>
        <w:rPr>
          <w:i/>
          <w:iCs/>
        </w:rPr>
        <w:t xml:space="preserve">"Bir </w:t>
      </w:r>
      <w:proofErr w:type="spellStart"/>
      <w:r>
        <w:rPr>
          <w:i/>
          <w:iCs/>
        </w:rPr>
        <w:t>restoran</w:t>
      </w:r>
      <w:proofErr w:type="spellEnd"/>
      <w:r>
        <w:rPr>
          <w:i/>
          <w:iCs/>
        </w:rPr>
        <w:t xml:space="preserve"> </w:t>
      </w:r>
      <w:proofErr w:type="spellStart"/>
      <w:r>
        <w:rPr>
          <w:i/>
          <w:iCs/>
        </w:rPr>
        <w:t>şefi</w:t>
      </w:r>
      <w:proofErr w:type="spellEnd"/>
      <w:r>
        <w:rPr>
          <w:i/>
          <w:iCs/>
        </w:rPr>
        <w:t xml:space="preserve"> </w:t>
      </w:r>
      <w:proofErr w:type="spellStart"/>
      <w:r>
        <w:rPr>
          <w:i/>
          <w:iCs/>
        </w:rPr>
        <w:t>gibi</w:t>
      </w:r>
      <w:proofErr w:type="spellEnd"/>
      <w:r>
        <w:rPr>
          <w:i/>
          <w:iCs/>
        </w:rPr>
        <w:t xml:space="preserve"> </w:t>
      </w:r>
      <w:proofErr w:type="spellStart"/>
      <w:r>
        <w:rPr>
          <w:i/>
          <w:iCs/>
        </w:rPr>
        <w:t>davranarak</w:t>
      </w:r>
      <w:proofErr w:type="spellEnd"/>
      <w:r>
        <w:rPr>
          <w:i/>
          <w:iCs/>
        </w:rPr>
        <w:t xml:space="preserve">, yeni </w:t>
      </w:r>
      <w:proofErr w:type="spellStart"/>
      <w:r>
        <w:rPr>
          <w:i/>
          <w:iCs/>
        </w:rPr>
        <w:t>bir</w:t>
      </w:r>
      <w:proofErr w:type="spellEnd"/>
      <w:r>
        <w:rPr>
          <w:i/>
          <w:iCs/>
        </w:rPr>
        <w:t xml:space="preserve"> </w:t>
      </w:r>
      <w:proofErr w:type="spellStart"/>
      <w:r>
        <w:rPr>
          <w:i/>
          <w:iCs/>
        </w:rPr>
        <w:t>menü</w:t>
      </w:r>
      <w:proofErr w:type="spellEnd"/>
      <w:r>
        <w:rPr>
          <w:i/>
          <w:iCs/>
        </w:rPr>
        <w:t xml:space="preserve"> </w:t>
      </w:r>
      <w:proofErr w:type="spellStart"/>
      <w:r>
        <w:rPr>
          <w:i/>
          <w:iCs/>
        </w:rPr>
        <w:t>öğesi</w:t>
      </w:r>
      <w:proofErr w:type="spellEnd"/>
      <w:r>
        <w:rPr>
          <w:i/>
          <w:iCs/>
        </w:rPr>
        <w:t xml:space="preserve"> </w:t>
      </w:r>
      <w:proofErr w:type="spellStart"/>
      <w:r>
        <w:rPr>
          <w:i/>
          <w:iCs/>
        </w:rPr>
        <w:t>öner</w:t>
      </w:r>
      <w:proofErr w:type="spellEnd"/>
      <w:r>
        <w:rPr>
          <w:i/>
          <w:iCs/>
        </w:rPr>
        <w:t xml:space="preserve"> </w:t>
      </w:r>
      <w:proofErr w:type="spellStart"/>
      <w:r>
        <w:rPr>
          <w:i/>
          <w:iCs/>
        </w:rPr>
        <w:t>ve</w:t>
      </w:r>
      <w:proofErr w:type="spellEnd"/>
      <w:r>
        <w:rPr>
          <w:i/>
          <w:iCs/>
        </w:rPr>
        <w:t xml:space="preserve"> </w:t>
      </w:r>
      <w:proofErr w:type="spellStart"/>
      <w:r>
        <w:rPr>
          <w:i/>
          <w:iCs/>
        </w:rPr>
        <w:t>tarifini</w:t>
      </w:r>
      <w:proofErr w:type="spellEnd"/>
      <w:r>
        <w:rPr>
          <w:i/>
          <w:iCs/>
        </w:rPr>
        <w:t xml:space="preserve"> </w:t>
      </w:r>
      <w:proofErr w:type="spellStart"/>
      <w:r>
        <w:rPr>
          <w:i/>
          <w:iCs/>
        </w:rPr>
        <w:t>detaylı</w:t>
      </w:r>
      <w:proofErr w:type="spellEnd"/>
      <w:r>
        <w:rPr>
          <w:i/>
          <w:iCs/>
        </w:rPr>
        <w:t xml:space="preserve"> </w:t>
      </w:r>
      <w:proofErr w:type="spellStart"/>
      <w:r>
        <w:rPr>
          <w:i/>
          <w:iCs/>
        </w:rPr>
        <w:t>anlat</w:t>
      </w:r>
      <w:proofErr w:type="spellEnd"/>
      <w:r>
        <w:rPr>
          <w:i/>
          <w:iCs/>
        </w:rPr>
        <w:t>."</w:t>
      </w:r>
    </w:p>
    <w:p w14:paraId="41256705" w14:textId="77777777" w:rsidR="001E7189" w:rsidRDefault="001E7189" w:rsidP="007513A1">
      <w:pPr>
        <w:pStyle w:val="NormalWeb"/>
        <w:spacing w:before="0" w:beforeAutospacing="0" w:after="0" w:afterAutospacing="0"/>
        <w:jc w:val="both"/>
      </w:pPr>
    </w:p>
    <w:p w14:paraId="52EE00FC" w14:textId="77777777" w:rsidR="001E7189" w:rsidRPr="00714BC1" w:rsidRDefault="001E7189" w:rsidP="007513A1">
      <w:pPr>
        <w:rPr>
          <w:b/>
          <w:bCs/>
        </w:rPr>
      </w:pPr>
      <w:r w:rsidRPr="00714BC1">
        <w:rPr>
          <w:b/>
          <w:bCs/>
        </w:rPr>
        <w:t>B. Şablon (</w:t>
      </w:r>
      <w:proofErr w:type="spellStart"/>
      <w:r w:rsidRPr="00714BC1">
        <w:rPr>
          <w:b/>
          <w:bCs/>
        </w:rPr>
        <w:t>Template</w:t>
      </w:r>
      <w:proofErr w:type="spellEnd"/>
      <w:r w:rsidRPr="00714BC1">
        <w:rPr>
          <w:b/>
          <w:bCs/>
        </w:rPr>
        <w:t>)</w:t>
      </w:r>
    </w:p>
    <w:p w14:paraId="6FAA9EF7" w14:textId="77777777" w:rsidR="00C70E93" w:rsidRDefault="001E7189" w:rsidP="007513A1">
      <w:pPr>
        <w:pStyle w:val="NormalWeb"/>
        <w:spacing w:before="0" w:beforeAutospacing="0" w:after="0" w:afterAutospacing="0"/>
        <w:jc w:val="both"/>
        <w:sectPr w:rsidR="00C70E93" w:rsidSect="007513A1">
          <w:footerReference w:type="default" r:id="rId151"/>
          <w:type w:val="continuous"/>
          <w:pgSz w:w="11906" w:h="16838"/>
          <w:pgMar w:top="1418" w:right="1418" w:bottom="1418" w:left="1418" w:header="1304" w:footer="1361" w:gutter="0"/>
          <w:pgNumType w:start="237"/>
          <w:cols w:space="708"/>
          <w:docGrid w:linePitch="360"/>
        </w:sectPr>
      </w:pPr>
      <w:r w:rsidRPr="00714BC1">
        <w:rPr>
          <w:b/>
          <w:bCs/>
        </w:rPr>
        <w:t>Amaç:</w:t>
      </w:r>
      <w:r>
        <w:t xml:space="preserve"> </w:t>
      </w:r>
      <w:proofErr w:type="spellStart"/>
      <w:r>
        <w:t>Yapay</w:t>
      </w:r>
      <w:proofErr w:type="spellEnd"/>
      <w:r>
        <w:t xml:space="preserve"> </w:t>
      </w:r>
      <w:proofErr w:type="spellStart"/>
      <w:r>
        <w:t>zekanın</w:t>
      </w:r>
      <w:proofErr w:type="spellEnd"/>
      <w:r>
        <w:t xml:space="preserve"> </w:t>
      </w:r>
      <w:proofErr w:type="spellStart"/>
      <w:r>
        <w:t>belirli</w:t>
      </w:r>
      <w:proofErr w:type="spellEnd"/>
      <w:r>
        <w:t xml:space="preserve"> </w:t>
      </w:r>
      <w:proofErr w:type="spellStart"/>
      <w:r>
        <w:t>bir</w:t>
      </w:r>
      <w:proofErr w:type="spellEnd"/>
      <w:r>
        <w:t xml:space="preserve"> </w:t>
      </w:r>
      <w:proofErr w:type="spellStart"/>
      <w:r>
        <w:t>formatta</w:t>
      </w:r>
      <w:proofErr w:type="spellEnd"/>
      <w:r>
        <w:t xml:space="preserve"> </w:t>
      </w:r>
      <w:proofErr w:type="spellStart"/>
      <w:r>
        <w:t>çıktı</w:t>
      </w:r>
      <w:proofErr w:type="spellEnd"/>
      <w:r>
        <w:t xml:space="preserve"> </w:t>
      </w:r>
      <w:proofErr w:type="spellStart"/>
      <w:r>
        <w:t>vermesini</w:t>
      </w:r>
      <w:proofErr w:type="spellEnd"/>
      <w:r>
        <w:t xml:space="preserve"> </w:t>
      </w:r>
      <w:proofErr w:type="spellStart"/>
      <w:r>
        <w:t>sağlamak</w:t>
      </w:r>
      <w:proofErr w:type="spellEnd"/>
    </w:p>
    <w:p w14:paraId="10AF3433" w14:textId="77777777" w:rsidR="000B48CF" w:rsidRDefault="000B48CF" w:rsidP="007513A1">
      <w:pPr>
        <w:pStyle w:val="NormalWeb"/>
        <w:spacing w:before="0" w:beforeAutospacing="0" w:after="0" w:afterAutospacing="0"/>
        <w:jc w:val="both"/>
        <w:sectPr w:rsidR="000B48CF" w:rsidSect="007513A1">
          <w:type w:val="continuous"/>
          <w:pgSz w:w="11906" w:h="16838"/>
          <w:pgMar w:top="1418" w:right="1418" w:bottom="1418" w:left="1418" w:header="1304" w:footer="1361" w:gutter="0"/>
          <w:pgNumType w:start="237"/>
          <w:cols w:space="708"/>
          <w:docGrid w:linePitch="360"/>
        </w:sectPr>
      </w:pPr>
    </w:p>
    <w:p w14:paraId="0FA8990B" w14:textId="340AF5B2" w:rsidR="001E7189" w:rsidRDefault="001E7189" w:rsidP="007513A1">
      <w:pPr>
        <w:pStyle w:val="NormalWeb"/>
        <w:spacing w:before="0" w:beforeAutospacing="0" w:after="0" w:afterAutospacing="0"/>
        <w:jc w:val="both"/>
      </w:pPr>
    </w:p>
    <w:p w14:paraId="5203F823" w14:textId="77777777" w:rsidR="001E7189" w:rsidRDefault="001E7189" w:rsidP="007513A1">
      <w:pPr>
        <w:pStyle w:val="NormalWeb"/>
        <w:spacing w:before="0" w:beforeAutospacing="0" w:after="0" w:afterAutospacing="0"/>
        <w:jc w:val="both"/>
        <w:rPr>
          <w:i/>
          <w:iCs/>
        </w:rPr>
      </w:pPr>
      <w:r w:rsidRPr="00714BC1">
        <w:rPr>
          <w:b/>
          <w:bCs/>
        </w:rPr>
        <w:t>Örnek:</w:t>
      </w:r>
      <w:r>
        <w:t xml:space="preserve"> </w:t>
      </w:r>
      <w:r>
        <w:rPr>
          <w:i/>
          <w:iCs/>
        </w:rPr>
        <w:t xml:space="preserve">"Yeni </w:t>
      </w:r>
      <w:proofErr w:type="spellStart"/>
      <w:r>
        <w:rPr>
          <w:i/>
          <w:iCs/>
        </w:rPr>
        <w:t>bir</w:t>
      </w:r>
      <w:proofErr w:type="spellEnd"/>
      <w:r>
        <w:rPr>
          <w:i/>
          <w:iCs/>
        </w:rPr>
        <w:t xml:space="preserve"> </w:t>
      </w:r>
      <w:proofErr w:type="spellStart"/>
      <w:r>
        <w:rPr>
          <w:i/>
          <w:iCs/>
        </w:rPr>
        <w:t>yemek</w:t>
      </w:r>
      <w:proofErr w:type="spellEnd"/>
      <w:r>
        <w:rPr>
          <w:i/>
          <w:iCs/>
        </w:rPr>
        <w:t xml:space="preserve"> </w:t>
      </w:r>
      <w:proofErr w:type="spellStart"/>
      <w:r>
        <w:rPr>
          <w:i/>
          <w:iCs/>
        </w:rPr>
        <w:t>tanıtımı</w:t>
      </w:r>
      <w:proofErr w:type="spellEnd"/>
      <w:r>
        <w:rPr>
          <w:i/>
          <w:iCs/>
        </w:rPr>
        <w:t xml:space="preserve"> </w:t>
      </w:r>
      <w:proofErr w:type="spellStart"/>
      <w:r>
        <w:rPr>
          <w:i/>
          <w:iCs/>
        </w:rPr>
        <w:t>için</w:t>
      </w:r>
      <w:proofErr w:type="spellEnd"/>
      <w:r>
        <w:rPr>
          <w:i/>
          <w:iCs/>
        </w:rPr>
        <w:t xml:space="preserve"> </w:t>
      </w:r>
      <w:proofErr w:type="spellStart"/>
      <w:r>
        <w:rPr>
          <w:i/>
          <w:iCs/>
        </w:rPr>
        <w:t>şu</w:t>
      </w:r>
      <w:proofErr w:type="spellEnd"/>
      <w:r>
        <w:rPr>
          <w:i/>
          <w:iCs/>
        </w:rPr>
        <w:t xml:space="preserve"> </w:t>
      </w:r>
      <w:proofErr w:type="spellStart"/>
      <w:r>
        <w:rPr>
          <w:i/>
          <w:iCs/>
        </w:rPr>
        <w:t>şablonu</w:t>
      </w:r>
      <w:proofErr w:type="spellEnd"/>
      <w:r>
        <w:rPr>
          <w:i/>
          <w:iCs/>
        </w:rPr>
        <w:t xml:space="preserve"> </w:t>
      </w:r>
      <w:proofErr w:type="spellStart"/>
      <w:r>
        <w:rPr>
          <w:i/>
          <w:iCs/>
        </w:rPr>
        <w:t>kullan</w:t>
      </w:r>
      <w:proofErr w:type="spellEnd"/>
      <w:r>
        <w:rPr>
          <w:i/>
          <w:iCs/>
        </w:rPr>
        <w:t xml:space="preserve">: </w:t>
      </w:r>
      <w:proofErr w:type="spellStart"/>
      <w:r>
        <w:rPr>
          <w:i/>
          <w:iCs/>
        </w:rPr>
        <w:t>Yemek</w:t>
      </w:r>
      <w:proofErr w:type="spellEnd"/>
      <w:r>
        <w:rPr>
          <w:i/>
          <w:iCs/>
        </w:rPr>
        <w:t xml:space="preserve"> </w:t>
      </w:r>
      <w:proofErr w:type="spellStart"/>
      <w:r>
        <w:rPr>
          <w:i/>
          <w:iCs/>
        </w:rPr>
        <w:t>Adı</w:t>
      </w:r>
      <w:proofErr w:type="spellEnd"/>
      <w:r>
        <w:rPr>
          <w:i/>
          <w:iCs/>
        </w:rPr>
        <w:t xml:space="preserve">: [AD], </w:t>
      </w:r>
      <w:proofErr w:type="spellStart"/>
      <w:r>
        <w:rPr>
          <w:i/>
          <w:iCs/>
        </w:rPr>
        <w:t>İçindekiler</w:t>
      </w:r>
      <w:proofErr w:type="spellEnd"/>
      <w:r>
        <w:rPr>
          <w:i/>
          <w:iCs/>
        </w:rPr>
        <w:t xml:space="preserve">: [MALZEMELER], </w:t>
      </w:r>
      <w:proofErr w:type="spellStart"/>
      <w:r>
        <w:rPr>
          <w:i/>
          <w:iCs/>
        </w:rPr>
        <w:t>Fiyat</w:t>
      </w:r>
      <w:proofErr w:type="spellEnd"/>
      <w:r>
        <w:rPr>
          <w:i/>
          <w:iCs/>
        </w:rPr>
        <w:t xml:space="preserve">: [FİYAT], </w:t>
      </w:r>
      <w:proofErr w:type="spellStart"/>
      <w:r>
        <w:rPr>
          <w:i/>
          <w:iCs/>
        </w:rPr>
        <w:t>Açıklama</w:t>
      </w:r>
      <w:proofErr w:type="spellEnd"/>
      <w:r>
        <w:rPr>
          <w:i/>
          <w:iCs/>
        </w:rPr>
        <w:t>: [AÇIKLAMA]."</w:t>
      </w:r>
    </w:p>
    <w:p w14:paraId="7D5338F1" w14:textId="77777777" w:rsidR="001E7189" w:rsidRDefault="001E7189" w:rsidP="007513A1"/>
    <w:p w14:paraId="7CBC7AC5" w14:textId="77777777" w:rsidR="001E7189" w:rsidRDefault="001E7189" w:rsidP="007513A1">
      <w:r>
        <w:rPr>
          <w:b/>
          <w:bCs/>
        </w:rPr>
        <w:t>C. Görselleştirme Üreticisi (</w:t>
      </w:r>
      <w:proofErr w:type="spellStart"/>
      <w:r>
        <w:rPr>
          <w:b/>
          <w:bCs/>
        </w:rPr>
        <w:t>Visualization</w:t>
      </w:r>
      <w:proofErr w:type="spellEnd"/>
      <w:r>
        <w:rPr>
          <w:b/>
          <w:bCs/>
        </w:rPr>
        <w:t xml:space="preserve"> </w:t>
      </w:r>
      <w:proofErr w:type="spellStart"/>
      <w:r>
        <w:rPr>
          <w:b/>
          <w:bCs/>
        </w:rPr>
        <w:t>Generator</w:t>
      </w:r>
      <w:proofErr w:type="spellEnd"/>
      <w:r>
        <w:rPr>
          <w:b/>
          <w:bCs/>
        </w:rPr>
        <w:t>)</w:t>
      </w:r>
    </w:p>
    <w:p w14:paraId="65BED61E" w14:textId="77777777" w:rsidR="001E7189" w:rsidRDefault="001E7189" w:rsidP="007513A1">
      <w:r>
        <w:rPr>
          <w:b/>
          <w:bCs/>
        </w:rPr>
        <w:t>Amaç</w:t>
      </w:r>
      <w:r>
        <w:t>: Menüler veya restoran düzeniyle ilgili görsel çıktılar oluşturmak.</w:t>
      </w:r>
    </w:p>
    <w:p w14:paraId="65293528" w14:textId="77777777" w:rsidR="001E7189" w:rsidRDefault="001E7189" w:rsidP="007513A1">
      <w:pPr>
        <w:rPr>
          <w:i/>
          <w:iCs/>
        </w:rPr>
      </w:pPr>
      <w:r>
        <w:rPr>
          <w:b/>
          <w:bCs/>
        </w:rPr>
        <w:t>Örnek</w:t>
      </w:r>
      <w:r>
        <w:t xml:space="preserve">: </w:t>
      </w:r>
      <w:r>
        <w:rPr>
          <w:i/>
          <w:iCs/>
        </w:rPr>
        <w:t xml:space="preserve">"Restoran masa düzenini açıklayan bir diyagram için </w:t>
      </w:r>
      <w:proofErr w:type="spellStart"/>
      <w:r>
        <w:rPr>
          <w:i/>
          <w:iCs/>
        </w:rPr>
        <w:t>Graphviz</w:t>
      </w:r>
      <w:proofErr w:type="spellEnd"/>
      <w:r>
        <w:rPr>
          <w:i/>
          <w:iCs/>
        </w:rPr>
        <w:t xml:space="preserve"> </w:t>
      </w:r>
      <w:proofErr w:type="spellStart"/>
      <w:r>
        <w:rPr>
          <w:i/>
          <w:iCs/>
        </w:rPr>
        <w:t>Dot</w:t>
      </w:r>
      <w:proofErr w:type="spellEnd"/>
      <w:r>
        <w:rPr>
          <w:i/>
          <w:iCs/>
        </w:rPr>
        <w:t xml:space="preserve"> kodu oluştur."</w:t>
      </w:r>
    </w:p>
    <w:p w14:paraId="78E92DD3" w14:textId="77777777" w:rsidR="001E7189" w:rsidRDefault="001E7189" w:rsidP="007513A1">
      <w:pPr>
        <w:pStyle w:val="NormalWeb"/>
        <w:spacing w:before="0" w:beforeAutospacing="0" w:after="0" w:afterAutospacing="0"/>
        <w:jc w:val="both"/>
      </w:pPr>
    </w:p>
    <w:p w14:paraId="248FDFE1" w14:textId="77777777" w:rsidR="001E7189" w:rsidRPr="00714BC1" w:rsidRDefault="001E7189" w:rsidP="007513A1">
      <w:pPr>
        <w:rPr>
          <w:b/>
          <w:bCs/>
        </w:rPr>
      </w:pPr>
      <w:r w:rsidRPr="00714BC1">
        <w:rPr>
          <w:b/>
          <w:bCs/>
        </w:rPr>
        <w:t>3.2.3. Hata Tespiti (</w:t>
      </w:r>
      <w:proofErr w:type="spellStart"/>
      <w:r w:rsidRPr="00714BC1">
        <w:rPr>
          <w:b/>
          <w:bCs/>
        </w:rPr>
        <w:t>Error</w:t>
      </w:r>
      <w:proofErr w:type="spellEnd"/>
      <w:r w:rsidRPr="00714BC1">
        <w:rPr>
          <w:b/>
          <w:bCs/>
        </w:rPr>
        <w:t xml:space="preserve"> </w:t>
      </w:r>
      <w:proofErr w:type="spellStart"/>
      <w:r w:rsidRPr="00714BC1">
        <w:rPr>
          <w:b/>
          <w:bCs/>
        </w:rPr>
        <w:t>Identification</w:t>
      </w:r>
      <w:proofErr w:type="spellEnd"/>
      <w:r w:rsidRPr="00714BC1">
        <w:rPr>
          <w:b/>
          <w:bCs/>
        </w:rPr>
        <w:t>)</w:t>
      </w:r>
    </w:p>
    <w:p w14:paraId="3E8C87B1" w14:textId="77777777" w:rsidR="001E7189" w:rsidRPr="00714BC1" w:rsidRDefault="001E7189" w:rsidP="007513A1">
      <w:pPr>
        <w:rPr>
          <w:b/>
          <w:bCs/>
        </w:rPr>
      </w:pPr>
      <w:r w:rsidRPr="00714BC1">
        <w:rPr>
          <w:b/>
          <w:bCs/>
        </w:rPr>
        <w:t>A. Gerçek Kontrol Listesi (</w:t>
      </w:r>
      <w:proofErr w:type="spellStart"/>
      <w:r w:rsidRPr="00714BC1">
        <w:rPr>
          <w:b/>
          <w:bCs/>
        </w:rPr>
        <w:t>Fact</w:t>
      </w:r>
      <w:proofErr w:type="spellEnd"/>
      <w:r w:rsidRPr="00714BC1">
        <w:rPr>
          <w:b/>
          <w:bCs/>
        </w:rPr>
        <w:t xml:space="preserve"> </w:t>
      </w:r>
      <w:proofErr w:type="spellStart"/>
      <w:r w:rsidRPr="00714BC1">
        <w:rPr>
          <w:b/>
          <w:bCs/>
        </w:rPr>
        <w:t>Check</w:t>
      </w:r>
      <w:proofErr w:type="spellEnd"/>
      <w:r w:rsidRPr="00714BC1">
        <w:rPr>
          <w:b/>
          <w:bCs/>
        </w:rPr>
        <w:t xml:space="preserve"> </w:t>
      </w:r>
      <w:proofErr w:type="spellStart"/>
      <w:r w:rsidRPr="00714BC1">
        <w:rPr>
          <w:b/>
          <w:bCs/>
        </w:rPr>
        <w:t>List</w:t>
      </w:r>
      <w:proofErr w:type="spellEnd"/>
      <w:r w:rsidRPr="00714BC1">
        <w:rPr>
          <w:b/>
          <w:bCs/>
        </w:rPr>
        <w:t>)</w:t>
      </w:r>
    </w:p>
    <w:p w14:paraId="303E59AF" w14:textId="77777777" w:rsidR="001E7189" w:rsidRDefault="001E7189" w:rsidP="007513A1">
      <w:r>
        <w:rPr>
          <w:b/>
          <w:bCs/>
        </w:rPr>
        <w:t>Amaç</w:t>
      </w:r>
      <w:r>
        <w:t>: Müşteri hizmetleri süreçlerinde doğruluğu sağlamak.</w:t>
      </w:r>
    </w:p>
    <w:p w14:paraId="630353E2" w14:textId="77777777" w:rsidR="001E7189" w:rsidRDefault="001E7189" w:rsidP="007513A1">
      <w:pPr>
        <w:rPr>
          <w:i/>
          <w:iCs/>
        </w:rPr>
      </w:pPr>
      <w:r>
        <w:rPr>
          <w:b/>
          <w:bCs/>
        </w:rPr>
        <w:t>Örnek</w:t>
      </w:r>
      <w:r>
        <w:t xml:space="preserve">: </w:t>
      </w:r>
      <w:r>
        <w:rPr>
          <w:i/>
          <w:iCs/>
        </w:rPr>
        <w:t>"Sipariş hazırlama prosedürünü açıklarken, en sonunda önemli kontrol noktalarını listele."</w:t>
      </w:r>
    </w:p>
    <w:p w14:paraId="11B5DF9E" w14:textId="77777777" w:rsidR="001E7189" w:rsidRDefault="001E7189" w:rsidP="007513A1">
      <w:pPr>
        <w:pStyle w:val="NormalWeb"/>
        <w:spacing w:before="0" w:beforeAutospacing="0" w:after="0" w:afterAutospacing="0"/>
        <w:jc w:val="both"/>
      </w:pPr>
    </w:p>
    <w:p w14:paraId="09507410" w14:textId="77777777" w:rsidR="001E7189" w:rsidRPr="00714BC1" w:rsidRDefault="001E7189" w:rsidP="007513A1">
      <w:pPr>
        <w:rPr>
          <w:b/>
          <w:bCs/>
        </w:rPr>
      </w:pPr>
      <w:r w:rsidRPr="00714BC1">
        <w:rPr>
          <w:b/>
          <w:bCs/>
        </w:rPr>
        <w:t xml:space="preserve">3.2.4. </w:t>
      </w:r>
      <w:proofErr w:type="spellStart"/>
      <w:r w:rsidRPr="00714BC1">
        <w:rPr>
          <w:b/>
          <w:bCs/>
        </w:rPr>
        <w:t>Prompt</w:t>
      </w:r>
      <w:proofErr w:type="spellEnd"/>
      <w:r w:rsidRPr="00714BC1">
        <w:rPr>
          <w:b/>
          <w:bCs/>
        </w:rPr>
        <w:t xml:space="preserve"> İyileştirme (</w:t>
      </w:r>
      <w:proofErr w:type="spellStart"/>
      <w:r w:rsidRPr="00714BC1">
        <w:rPr>
          <w:b/>
          <w:bCs/>
        </w:rPr>
        <w:t>Prompt</w:t>
      </w:r>
      <w:proofErr w:type="spellEnd"/>
      <w:r w:rsidRPr="00714BC1">
        <w:rPr>
          <w:b/>
          <w:bCs/>
        </w:rPr>
        <w:t xml:space="preserve"> </w:t>
      </w:r>
      <w:proofErr w:type="spellStart"/>
      <w:r w:rsidRPr="00714BC1">
        <w:rPr>
          <w:b/>
          <w:bCs/>
        </w:rPr>
        <w:t>Improvement</w:t>
      </w:r>
      <w:proofErr w:type="spellEnd"/>
      <w:r w:rsidRPr="00714BC1">
        <w:rPr>
          <w:b/>
          <w:bCs/>
        </w:rPr>
        <w:t>)</w:t>
      </w:r>
    </w:p>
    <w:p w14:paraId="6E813E1C" w14:textId="77777777" w:rsidR="001E7189" w:rsidRPr="00714BC1" w:rsidRDefault="001E7189" w:rsidP="007513A1">
      <w:pPr>
        <w:rPr>
          <w:b/>
          <w:bCs/>
        </w:rPr>
      </w:pPr>
      <w:r w:rsidRPr="00714BC1">
        <w:rPr>
          <w:b/>
          <w:bCs/>
        </w:rPr>
        <w:t>A. Soru İyileştirme (</w:t>
      </w:r>
      <w:proofErr w:type="spellStart"/>
      <w:r w:rsidRPr="00714BC1">
        <w:rPr>
          <w:b/>
          <w:bCs/>
        </w:rPr>
        <w:t>Question</w:t>
      </w:r>
      <w:proofErr w:type="spellEnd"/>
      <w:r w:rsidRPr="00714BC1">
        <w:rPr>
          <w:b/>
          <w:bCs/>
        </w:rPr>
        <w:t xml:space="preserve"> </w:t>
      </w:r>
      <w:proofErr w:type="spellStart"/>
      <w:r w:rsidRPr="00714BC1">
        <w:rPr>
          <w:b/>
          <w:bCs/>
        </w:rPr>
        <w:t>Refinement</w:t>
      </w:r>
      <w:proofErr w:type="spellEnd"/>
      <w:r w:rsidRPr="00714BC1">
        <w:rPr>
          <w:b/>
          <w:bCs/>
        </w:rPr>
        <w:t>)</w:t>
      </w:r>
    </w:p>
    <w:p w14:paraId="6F38B021" w14:textId="77777777" w:rsidR="001E7189" w:rsidRDefault="001E7189" w:rsidP="007513A1">
      <w:r>
        <w:rPr>
          <w:b/>
          <w:bCs/>
        </w:rPr>
        <w:t>Amaç</w:t>
      </w:r>
      <w:r>
        <w:t>: Müşteriden gelen soruları iyileştirmek.</w:t>
      </w:r>
    </w:p>
    <w:p w14:paraId="6CC9DAD8" w14:textId="77777777" w:rsidR="001E7189" w:rsidRDefault="001E7189" w:rsidP="007513A1">
      <w:pPr>
        <w:rPr>
          <w:i/>
          <w:iCs/>
        </w:rPr>
      </w:pPr>
      <w:r>
        <w:rPr>
          <w:b/>
          <w:bCs/>
        </w:rPr>
        <w:t>Örnek</w:t>
      </w:r>
      <w:r>
        <w:t xml:space="preserve">: </w:t>
      </w:r>
      <w:r>
        <w:rPr>
          <w:i/>
          <w:iCs/>
        </w:rPr>
        <w:t>"Müşterinin 'Ne önerirsiniz?' sorusunu, 'Bugünkü özel yemekleriniz neler?' gibi daha spesifik bir soruya dönüştür."</w:t>
      </w:r>
    </w:p>
    <w:p w14:paraId="16DD9039" w14:textId="77777777" w:rsidR="001E7189" w:rsidRDefault="001E7189" w:rsidP="007513A1">
      <w:pPr>
        <w:pStyle w:val="NormalWeb"/>
        <w:spacing w:before="0" w:beforeAutospacing="0" w:after="0" w:afterAutospacing="0"/>
        <w:jc w:val="both"/>
      </w:pPr>
    </w:p>
    <w:p w14:paraId="4CF2A902" w14:textId="77777777" w:rsidR="001E7189" w:rsidRPr="00714BC1" w:rsidRDefault="001E7189" w:rsidP="007513A1">
      <w:pPr>
        <w:rPr>
          <w:b/>
          <w:bCs/>
        </w:rPr>
      </w:pPr>
      <w:r w:rsidRPr="00714BC1">
        <w:rPr>
          <w:b/>
          <w:bCs/>
        </w:rPr>
        <w:t>B. Alternatif Yaklaşımlar (</w:t>
      </w:r>
      <w:proofErr w:type="spellStart"/>
      <w:r w:rsidRPr="00714BC1">
        <w:rPr>
          <w:b/>
          <w:bCs/>
        </w:rPr>
        <w:t>Alternative</w:t>
      </w:r>
      <w:proofErr w:type="spellEnd"/>
      <w:r w:rsidRPr="00714BC1">
        <w:rPr>
          <w:b/>
          <w:bCs/>
        </w:rPr>
        <w:t xml:space="preserve"> </w:t>
      </w:r>
      <w:proofErr w:type="spellStart"/>
      <w:r w:rsidRPr="00714BC1">
        <w:rPr>
          <w:b/>
          <w:bCs/>
        </w:rPr>
        <w:t>Approaches</w:t>
      </w:r>
      <w:proofErr w:type="spellEnd"/>
      <w:r w:rsidRPr="00714BC1">
        <w:rPr>
          <w:b/>
          <w:bCs/>
        </w:rPr>
        <w:t>)</w:t>
      </w:r>
    </w:p>
    <w:p w14:paraId="144A8473" w14:textId="77777777" w:rsidR="001E7189" w:rsidRDefault="001E7189" w:rsidP="007513A1">
      <w:r>
        <w:t>Amaç: Bir soruna farklı çözümler sunmak.</w:t>
      </w:r>
    </w:p>
    <w:p w14:paraId="09C7F7A3" w14:textId="77777777" w:rsidR="001E7189" w:rsidRDefault="001E7189" w:rsidP="007513A1">
      <w:pPr>
        <w:rPr>
          <w:i/>
          <w:iCs/>
        </w:rPr>
      </w:pPr>
      <w:r>
        <w:t xml:space="preserve">Örnek: </w:t>
      </w:r>
      <w:r>
        <w:rPr>
          <w:i/>
          <w:iCs/>
        </w:rPr>
        <w:t>"Bir yemeği vegan hale getirmek için alternatif malzemeler öner ve bunların avantajlarını açıkla."</w:t>
      </w:r>
    </w:p>
    <w:p w14:paraId="5773E31B" w14:textId="77777777" w:rsidR="001E7189" w:rsidRDefault="001E7189" w:rsidP="007513A1">
      <w:pPr>
        <w:pStyle w:val="NormalWeb"/>
        <w:spacing w:before="0" w:beforeAutospacing="0" w:after="0" w:afterAutospacing="0"/>
        <w:jc w:val="both"/>
      </w:pPr>
    </w:p>
    <w:p w14:paraId="13DC7A2C" w14:textId="77777777" w:rsidR="001E7189" w:rsidRPr="00714BC1" w:rsidRDefault="001E7189" w:rsidP="007513A1">
      <w:pPr>
        <w:rPr>
          <w:b/>
          <w:bCs/>
        </w:rPr>
      </w:pPr>
      <w:r w:rsidRPr="00714BC1">
        <w:rPr>
          <w:b/>
          <w:bCs/>
        </w:rPr>
        <w:t>3.2.5. Etkileşim (</w:t>
      </w:r>
      <w:proofErr w:type="spellStart"/>
      <w:r w:rsidRPr="00714BC1">
        <w:rPr>
          <w:b/>
          <w:bCs/>
        </w:rPr>
        <w:t>Interaction</w:t>
      </w:r>
      <w:proofErr w:type="spellEnd"/>
      <w:r w:rsidRPr="00714BC1">
        <w:rPr>
          <w:b/>
          <w:bCs/>
        </w:rPr>
        <w:t>)</w:t>
      </w:r>
    </w:p>
    <w:p w14:paraId="0C47AB07" w14:textId="77777777" w:rsidR="001E7189" w:rsidRPr="00714BC1" w:rsidRDefault="001E7189" w:rsidP="007513A1">
      <w:pPr>
        <w:rPr>
          <w:b/>
          <w:bCs/>
        </w:rPr>
      </w:pPr>
      <w:r w:rsidRPr="00714BC1">
        <w:rPr>
          <w:b/>
          <w:bCs/>
        </w:rPr>
        <w:t>A. Tersine Etkileşim (</w:t>
      </w:r>
      <w:proofErr w:type="spellStart"/>
      <w:r w:rsidRPr="00714BC1">
        <w:rPr>
          <w:b/>
          <w:bCs/>
        </w:rPr>
        <w:t>Flipped</w:t>
      </w:r>
      <w:proofErr w:type="spellEnd"/>
      <w:r w:rsidRPr="00714BC1">
        <w:rPr>
          <w:b/>
          <w:bCs/>
        </w:rPr>
        <w:t xml:space="preserve"> </w:t>
      </w:r>
      <w:proofErr w:type="spellStart"/>
      <w:r w:rsidRPr="00714BC1">
        <w:rPr>
          <w:b/>
          <w:bCs/>
        </w:rPr>
        <w:t>Interaction</w:t>
      </w:r>
      <w:proofErr w:type="spellEnd"/>
      <w:r w:rsidRPr="00714BC1">
        <w:rPr>
          <w:b/>
          <w:bCs/>
        </w:rPr>
        <w:t>)</w:t>
      </w:r>
    </w:p>
    <w:p w14:paraId="3478D222" w14:textId="77777777" w:rsidR="001E7189" w:rsidRDefault="001E7189" w:rsidP="007513A1">
      <w:r>
        <w:rPr>
          <w:b/>
          <w:bCs/>
        </w:rPr>
        <w:t>Amaç</w:t>
      </w:r>
      <w:r>
        <w:t>: Yapay zekanın müşteri veya çalışanlardan bilgi toplamasını sağlamak.</w:t>
      </w:r>
    </w:p>
    <w:p w14:paraId="1A222ABC" w14:textId="77777777" w:rsidR="001E7189" w:rsidRDefault="001E7189" w:rsidP="007513A1">
      <w:pPr>
        <w:rPr>
          <w:i/>
          <w:iCs/>
        </w:rPr>
      </w:pPr>
      <w:r>
        <w:rPr>
          <w:b/>
          <w:bCs/>
        </w:rPr>
        <w:t>Örnek</w:t>
      </w:r>
      <w:r>
        <w:t xml:space="preserve">: </w:t>
      </w:r>
      <w:r>
        <w:rPr>
          <w:i/>
          <w:iCs/>
        </w:rPr>
        <w:t>"Yeni bir menü oluşturmak için bana sorular sor ve gerekli bilgileri topla."</w:t>
      </w:r>
    </w:p>
    <w:p w14:paraId="2BCE339B" w14:textId="77777777" w:rsidR="001E7189" w:rsidRDefault="001E7189" w:rsidP="007513A1">
      <w:pPr>
        <w:pStyle w:val="NormalWeb"/>
        <w:spacing w:before="0" w:beforeAutospacing="0" w:after="0" w:afterAutospacing="0"/>
        <w:jc w:val="both"/>
      </w:pPr>
    </w:p>
    <w:p w14:paraId="209E9BD3" w14:textId="77777777" w:rsidR="001E7189" w:rsidRPr="00714BC1" w:rsidRDefault="001E7189" w:rsidP="007513A1">
      <w:pPr>
        <w:rPr>
          <w:b/>
          <w:bCs/>
        </w:rPr>
      </w:pPr>
      <w:r w:rsidRPr="00714BC1">
        <w:rPr>
          <w:b/>
          <w:bCs/>
        </w:rPr>
        <w:t>B. Oyunlaştırma (Game Play)</w:t>
      </w:r>
    </w:p>
    <w:p w14:paraId="7FCCB14F" w14:textId="77777777" w:rsidR="001E7189" w:rsidRDefault="001E7189" w:rsidP="007513A1">
      <w:r>
        <w:rPr>
          <w:b/>
          <w:bCs/>
        </w:rPr>
        <w:t>Amaç</w:t>
      </w:r>
      <w:r>
        <w:t>: Müşteri etkileşimlerini eğlenceli hale getirmek.</w:t>
      </w:r>
    </w:p>
    <w:p w14:paraId="6ABB24B9" w14:textId="77777777" w:rsidR="001E7189" w:rsidRDefault="001E7189" w:rsidP="007513A1">
      <w:pPr>
        <w:rPr>
          <w:i/>
          <w:iCs/>
        </w:rPr>
      </w:pPr>
      <w:proofErr w:type="spellStart"/>
      <w:r>
        <w:rPr>
          <w:b/>
          <w:bCs/>
        </w:rPr>
        <w:t>Örnek</w:t>
      </w:r>
      <w:r>
        <w:t>:</w:t>
      </w:r>
      <w:r>
        <w:rPr>
          <w:i/>
          <w:iCs/>
        </w:rPr>
        <w:t>"Müşterilere</w:t>
      </w:r>
      <w:proofErr w:type="spellEnd"/>
      <w:r>
        <w:rPr>
          <w:i/>
          <w:iCs/>
        </w:rPr>
        <w:t xml:space="preserve"> menüdeki malzemeleri tahmin ettiren bir oyun oluştur."</w:t>
      </w:r>
    </w:p>
    <w:p w14:paraId="287CC52B" w14:textId="77777777" w:rsidR="001E7189" w:rsidRDefault="001E7189" w:rsidP="007513A1">
      <w:pPr>
        <w:pStyle w:val="NormalWeb"/>
        <w:spacing w:before="0" w:beforeAutospacing="0" w:after="0" w:afterAutospacing="0"/>
        <w:jc w:val="both"/>
      </w:pPr>
    </w:p>
    <w:p w14:paraId="55A4D50B" w14:textId="77777777" w:rsidR="001E7189" w:rsidRPr="00714BC1" w:rsidRDefault="001E7189" w:rsidP="007513A1">
      <w:pPr>
        <w:rPr>
          <w:b/>
          <w:bCs/>
        </w:rPr>
      </w:pPr>
      <w:r w:rsidRPr="00714BC1">
        <w:rPr>
          <w:b/>
          <w:bCs/>
        </w:rPr>
        <w:t>3.2.6. Bağlam Kontrolü (</w:t>
      </w:r>
      <w:proofErr w:type="spellStart"/>
      <w:r w:rsidRPr="00714BC1">
        <w:rPr>
          <w:b/>
          <w:bCs/>
        </w:rPr>
        <w:t>Context</w:t>
      </w:r>
      <w:proofErr w:type="spellEnd"/>
      <w:r w:rsidRPr="00714BC1">
        <w:rPr>
          <w:b/>
          <w:bCs/>
        </w:rPr>
        <w:t xml:space="preserve"> Control)</w:t>
      </w:r>
    </w:p>
    <w:p w14:paraId="2F8DD958" w14:textId="77777777" w:rsidR="001E7189" w:rsidRPr="00714BC1" w:rsidRDefault="001E7189" w:rsidP="007513A1">
      <w:pPr>
        <w:rPr>
          <w:b/>
          <w:bCs/>
        </w:rPr>
      </w:pPr>
      <w:r w:rsidRPr="00714BC1">
        <w:rPr>
          <w:b/>
          <w:bCs/>
        </w:rPr>
        <w:t>A. Bağlam Yöneticisi (</w:t>
      </w:r>
      <w:proofErr w:type="spellStart"/>
      <w:r w:rsidRPr="00714BC1">
        <w:rPr>
          <w:b/>
          <w:bCs/>
        </w:rPr>
        <w:t>Context</w:t>
      </w:r>
      <w:proofErr w:type="spellEnd"/>
      <w:r w:rsidRPr="00714BC1">
        <w:rPr>
          <w:b/>
          <w:bCs/>
        </w:rPr>
        <w:t xml:space="preserve"> Manager)</w:t>
      </w:r>
    </w:p>
    <w:p w14:paraId="6FD7D058" w14:textId="77777777" w:rsidR="001E7189" w:rsidRDefault="001E7189" w:rsidP="007513A1">
      <w:r>
        <w:rPr>
          <w:b/>
          <w:bCs/>
        </w:rPr>
        <w:t>Amaç</w:t>
      </w:r>
      <w:r>
        <w:t>: Belirli bir bağlamda etkileşimi sürdürmek.</w:t>
      </w:r>
    </w:p>
    <w:p w14:paraId="4560B5D5" w14:textId="77777777" w:rsidR="001E7189" w:rsidRDefault="001E7189" w:rsidP="007513A1">
      <w:pPr>
        <w:rPr>
          <w:i/>
          <w:iCs/>
        </w:rPr>
      </w:pPr>
      <w:r>
        <w:rPr>
          <w:b/>
          <w:bCs/>
        </w:rPr>
        <w:t>Örnek</w:t>
      </w:r>
      <w:r>
        <w:t xml:space="preserve">: </w:t>
      </w:r>
      <w:r>
        <w:rPr>
          <w:i/>
          <w:iCs/>
        </w:rPr>
        <w:t>"Bu konuşmayı sadece restoran rezervasyonları hakkında sınırla."</w:t>
      </w:r>
    </w:p>
    <w:p w14:paraId="2A2C7B94" w14:textId="77777777" w:rsidR="001E7189" w:rsidRDefault="001E7189" w:rsidP="007513A1">
      <w:pPr>
        <w:pStyle w:val="NormalWeb"/>
        <w:spacing w:before="0" w:beforeAutospacing="0" w:after="0" w:afterAutospacing="0"/>
        <w:jc w:val="both"/>
      </w:pPr>
    </w:p>
    <w:p w14:paraId="078DB662" w14:textId="77777777" w:rsidR="001E7189" w:rsidRPr="00714BC1" w:rsidRDefault="001E7189" w:rsidP="007513A1">
      <w:pPr>
        <w:rPr>
          <w:b/>
          <w:bCs/>
        </w:rPr>
      </w:pPr>
      <w:r w:rsidRPr="00714BC1">
        <w:rPr>
          <w:b/>
          <w:bCs/>
        </w:rPr>
        <w:t xml:space="preserve">3.3. </w:t>
      </w:r>
      <w:proofErr w:type="spellStart"/>
      <w:r w:rsidRPr="00714BC1">
        <w:rPr>
          <w:b/>
          <w:bCs/>
        </w:rPr>
        <w:t>ChatBot</w:t>
      </w:r>
      <w:proofErr w:type="spellEnd"/>
      <w:r w:rsidRPr="00714BC1">
        <w:rPr>
          <w:b/>
          <w:bCs/>
        </w:rPr>
        <w:t xml:space="preserve"> ile Menü Yönetimi ve Kişiselleştirme</w:t>
      </w:r>
    </w:p>
    <w:p w14:paraId="629A8A5E" w14:textId="77777777" w:rsidR="001E7189" w:rsidRDefault="001E7189" w:rsidP="007513A1">
      <w:pPr>
        <w:pStyle w:val="NormalWeb"/>
        <w:spacing w:before="0" w:beforeAutospacing="0" w:after="0" w:afterAutospacing="0"/>
        <w:jc w:val="both"/>
        <w:rPr>
          <w:color w:val="000000"/>
        </w:rPr>
      </w:pPr>
      <w:proofErr w:type="spellStart"/>
      <w:r>
        <w:rPr>
          <w:color w:val="000000"/>
        </w:rPr>
        <w:t>Restoran</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yönetimiyle</w:t>
      </w:r>
      <w:proofErr w:type="spellEnd"/>
      <w:r>
        <w:rPr>
          <w:color w:val="000000"/>
        </w:rPr>
        <w:t xml:space="preserve"> </w:t>
      </w:r>
      <w:proofErr w:type="spellStart"/>
      <w:r>
        <w:rPr>
          <w:color w:val="000000"/>
        </w:rPr>
        <w:t>ilgili</w:t>
      </w:r>
      <w:proofErr w:type="spellEnd"/>
      <w:r>
        <w:rPr>
          <w:color w:val="000000"/>
        </w:rPr>
        <w:t xml:space="preserve"> </w:t>
      </w:r>
      <w:proofErr w:type="spellStart"/>
      <w:r>
        <w:rPr>
          <w:color w:val="000000"/>
        </w:rPr>
        <w:t>yapılan</w:t>
      </w:r>
      <w:proofErr w:type="spellEnd"/>
      <w:r>
        <w:rPr>
          <w:color w:val="000000"/>
        </w:rPr>
        <w:t xml:space="preserve"> </w:t>
      </w:r>
      <w:proofErr w:type="spellStart"/>
      <w:r>
        <w:rPr>
          <w:color w:val="000000"/>
        </w:rPr>
        <w:t>akademik</w:t>
      </w:r>
      <w:proofErr w:type="spellEnd"/>
      <w:r>
        <w:rPr>
          <w:color w:val="000000"/>
        </w:rPr>
        <w:t xml:space="preserve"> </w:t>
      </w:r>
      <w:proofErr w:type="spellStart"/>
      <w:r>
        <w:rPr>
          <w:color w:val="000000"/>
        </w:rPr>
        <w:t>araştırmalar</w:t>
      </w:r>
      <w:proofErr w:type="spellEnd"/>
      <w:r>
        <w:rPr>
          <w:color w:val="000000"/>
        </w:rPr>
        <w:t xml:space="preserve"> </w:t>
      </w:r>
      <w:proofErr w:type="spellStart"/>
      <w:r>
        <w:rPr>
          <w:color w:val="000000"/>
        </w:rPr>
        <w:t>göstermektedir</w:t>
      </w:r>
      <w:proofErr w:type="spellEnd"/>
      <w:r>
        <w:rPr>
          <w:color w:val="000000"/>
        </w:rPr>
        <w:t xml:space="preserve"> ki </w:t>
      </w:r>
      <w:proofErr w:type="spellStart"/>
      <w:r>
        <w:rPr>
          <w:color w:val="000000"/>
        </w:rPr>
        <w:t>menü</w:t>
      </w:r>
      <w:proofErr w:type="spellEnd"/>
      <w:r>
        <w:rPr>
          <w:color w:val="000000"/>
        </w:rPr>
        <w:t>; "</w:t>
      </w:r>
      <w:proofErr w:type="spellStart"/>
      <w:r>
        <w:rPr>
          <w:color w:val="000000"/>
        </w:rPr>
        <w:t>menü</w:t>
      </w:r>
      <w:proofErr w:type="spellEnd"/>
      <w:r>
        <w:rPr>
          <w:color w:val="000000"/>
        </w:rPr>
        <w:t xml:space="preserve"> </w:t>
      </w:r>
      <w:proofErr w:type="spellStart"/>
      <w:r>
        <w:rPr>
          <w:color w:val="000000"/>
        </w:rPr>
        <w:t>fiyatlandırma</w:t>
      </w:r>
      <w:proofErr w:type="spellEnd"/>
      <w:r>
        <w:rPr>
          <w:color w:val="000000"/>
        </w:rPr>
        <w:t>", "</w:t>
      </w:r>
      <w:proofErr w:type="spellStart"/>
      <w:r>
        <w:rPr>
          <w:color w:val="000000"/>
        </w:rPr>
        <w:t>menü</w:t>
      </w:r>
      <w:proofErr w:type="spellEnd"/>
      <w:r>
        <w:rPr>
          <w:color w:val="000000"/>
        </w:rPr>
        <w:t xml:space="preserve"> </w:t>
      </w:r>
      <w:proofErr w:type="spellStart"/>
      <w:r>
        <w:rPr>
          <w:color w:val="000000"/>
        </w:rPr>
        <w:t>tasarımı</w:t>
      </w:r>
      <w:proofErr w:type="spellEnd"/>
      <w:r>
        <w:rPr>
          <w:color w:val="000000"/>
        </w:rPr>
        <w:t>", "</w:t>
      </w:r>
      <w:proofErr w:type="spellStart"/>
      <w:r>
        <w:rPr>
          <w:color w:val="000000"/>
        </w:rPr>
        <w:t>menü</w:t>
      </w:r>
      <w:proofErr w:type="spellEnd"/>
      <w:r>
        <w:rPr>
          <w:color w:val="000000"/>
        </w:rPr>
        <w:t xml:space="preserve"> </w:t>
      </w:r>
      <w:proofErr w:type="spellStart"/>
      <w:r>
        <w:rPr>
          <w:color w:val="000000"/>
        </w:rPr>
        <w:t>operasyonları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analizi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temel</w:t>
      </w:r>
      <w:proofErr w:type="spellEnd"/>
      <w:r>
        <w:rPr>
          <w:color w:val="000000"/>
        </w:rPr>
        <w:t xml:space="preserve"> </w:t>
      </w:r>
      <w:proofErr w:type="spellStart"/>
      <w:r>
        <w:rPr>
          <w:color w:val="000000"/>
        </w:rPr>
        <w:t>başlıklarla</w:t>
      </w:r>
      <w:proofErr w:type="spellEnd"/>
      <w:r>
        <w:rPr>
          <w:color w:val="000000"/>
        </w:rPr>
        <w:t xml:space="preserve"> </w:t>
      </w:r>
      <w:proofErr w:type="spellStart"/>
      <w:r>
        <w:rPr>
          <w:color w:val="000000"/>
        </w:rPr>
        <w:t>ele</w:t>
      </w:r>
      <w:proofErr w:type="spellEnd"/>
      <w:r>
        <w:rPr>
          <w:color w:val="000000"/>
        </w:rPr>
        <w:t xml:space="preserve"> </w:t>
      </w:r>
      <w:proofErr w:type="spellStart"/>
      <w:r>
        <w:rPr>
          <w:color w:val="000000"/>
        </w:rPr>
        <w:t>alınmaktadır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fiyatlandırma</w:t>
      </w:r>
      <w:proofErr w:type="spellEnd"/>
      <w:r>
        <w:rPr>
          <w:color w:val="000000"/>
        </w:rPr>
        <w:t xml:space="preserve">, </w:t>
      </w:r>
      <w:proofErr w:type="spellStart"/>
      <w:r>
        <w:rPr>
          <w:color w:val="000000"/>
        </w:rPr>
        <w:t>müşterilerin</w:t>
      </w:r>
      <w:proofErr w:type="spellEnd"/>
      <w:r>
        <w:rPr>
          <w:color w:val="000000"/>
        </w:rPr>
        <w:t xml:space="preserve"> </w:t>
      </w:r>
      <w:proofErr w:type="spellStart"/>
      <w:r>
        <w:rPr>
          <w:color w:val="000000"/>
        </w:rPr>
        <w:t>fiyatları</w:t>
      </w:r>
      <w:proofErr w:type="spellEnd"/>
      <w:r>
        <w:rPr>
          <w:color w:val="000000"/>
        </w:rPr>
        <w:t xml:space="preserve"> </w:t>
      </w:r>
      <w:proofErr w:type="spellStart"/>
      <w:r>
        <w:rPr>
          <w:color w:val="000000"/>
        </w:rPr>
        <w:t>nasıl</w:t>
      </w:r>
      <w:proofErr w:type="spellEnd"/>
      <w:r>
        <w:rPr>
          <w:color w:val="000000"/>
        </w:rPr>
        <w:t xml:space="preserve"> </w:t>
      </w:r>
      <w:proofErr w:type="spellStart"/>
      <w:r>
        <w:rPr>
          <w:color w:val="000000"/>
        </w:rPr>
        <w:t>algıladıkları</w:t>
      </w:r>
      <w:proofErr w:type="spellEnd"/>
      <w:r>
        <w:rPr>
          <w:color w:val="000000"/>
        </w:rPr>
        <w:t xml:space="preserve">, </w:t>
      </w:r>
      <w:proofErr w:type="spellStart"/>
      <w:r>
        <w:rPr>
          <w:color w:val="000000"/>
        </w:rPr>
        <w:t>fiyat</w:t>
      </w:r>
      <w:proofErr w:type="spellEnd"/>
      <w:r>
        <w:rPr>
          <w:color w:val="000000"/>
        </w:rPr>
        <w:t xml:space="preserve"> </w:t>
      </w:r>
      <w:proofErr w:type="spellStart"/>
      <w:r>
        <w:rPr>
          <w:color w:val="000000"/>
        </w:rPr>
        <w:t>duyarlılıklarının</w:t>
      </w:r>
      <w:proofErr w:type="spellEnd"/>
      <w:r>
        <w:rPr>
          <w:color w:val="000000"/>
        </w:rPr>
        <w:t xml:space="preserve"> ne </w:t>
      </w:r>
      <w:proofErr w:type="spellStart"/>
      <w:r>
        <w:rPr>
          <w:color w:val="000000"/>
        </w:rPr>
        <w:t>bağlamda</w:t>
      </w:r>
      <w:proofErr w:type="spellEnd"/>
      <w:r>
        <w:rPr>
          <w:color w:val="000000"/>
        </w:rPr>
        <w:t xml:space="preserve"> </w:t>
      </w:r>
      <w:proofErr w:type="spellStart"/>
      <w:r>
        <w:rPr>
          <w:color w:val="000000"/>
        </w:rPr>
        <w:t>olduğunu</w:t>
      </w:r>
      <w:proofErr w:type="spellEnd"/>
      <w:r>
        <w:rPr>
          <w:color w:val="000000"/>
        </w:rPr>
        <w:t xml:space="preserve">, </w:t>
      </w:r>
      <w:proofErr w:type="spellStart"/>
      <w:r>
        <w:rPr>
          <w:color w:val="000000"/>
        </w:rPr>
        <w:t>fiyat</w:t>
      </w:r>
      <w:proofErr w:type="spellEnd"/>
      <w:r>
        <w:rPr>
          <w:color w:val="000000"/>
        </w:rPr>
        <w:t xml:space="preserve"> </w:t>
      </w:r>
      <w:proofErr w:type="spellStart"/>
      <w:r>
        <w:rPr>
          <w:color w:val="000000"/>
        </w:rPr>
        <w:t>esnekliği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psikolojik</w:t>
      </w:r>
      <w:proofErr w:type="spellEnd"/>
      <w:r>
        <w:rPr>
          <w:color w:val="000000"/>
        </w:rPr>
        <w:t xml:space="preserve"> </w:t>
      </w:r>
      <w:proofErr w:type="spellStart"/>
      <w:r>
        <w:rPr>
          <w:color w:val="000000"/>
        </w:rPr>
        <w:t>fiyatlandırma</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değişkenler</w:t>
      </w:r>
      <w:proofErr w:type="spellEnd"/>
      <w:r>
        <w:rPr>
          <w:color w:val="000000"/>
        </w:rPr>
        <w:t xml:space="preserve"> </w:t>
      </w:r>
      <w:proofErr w:type="spellStart"/>
      <w:r>
        <w:rPr>
          <w:color w:val="000000"/>
        </w:rPr>
        <w:t>üzerinden</w:t>
      </w:r>
      <w:proofErr w:type="spellEnd"/>
      <w:r>
        <w:rPr>
          <w:color w:val="000000"/>
        </w:rPr>
        <w:t xml:space="preserve"> </w:t>
      </w:r>
      <w:proofErr w:type="spellStart"/>
      <w:r>
        <w:rPr>
          <w:color w:val="000000"/>
        </w:rPr>
        <w:t>incelenmektedir</w:t>
      </w:r>
      <w:proofErr w:type="spellEnd"/>
      <w:r>
        <w:rPr>
          <w:color w:val="000000"/>
        </w:rPr>
        <w:t xml:space="preserve">. </w:t>
      </w:r>
      <w:proofErr w:type="spellStart"/>
      <w:r>
        <w:rPr>
          <w:color w:val="000000"/>
        </w:rPr>
        <w:t>Fiyatların</w:t>
      </w:r>
      <w:proofErr w:type="spellEnd"/>
      <w:r>
        <w:rPr>
          <w:color w:val="000000"/>
        </w:rPr>
        <w:t xml:space="preserve"> </w:t>
      </w:r>
      <w:proofErr w:type="spellStart"/>
      <w:r>
        <w:rPr>
          <w:color w:val="000000"/>
        </w:rPr>
        <w:t>algı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satış</w:t>
      </w:r>
      <w:proofErr w:type="spellEnd"/>
      <w:r>
        <w:rPr>
          <w:color w:val="000000"/>
        </w:rPr>
        <w:t xml:space="preserve"> </w:t>
      </w:r>
      <w:proofErr w:type="spellStart"/>
      <w:r>
        <w:rPr>
          <w:color w:val="000000"/>
        </w:rPr>
        <w:t>üzerindeki</w:t>
      </w:r>
      <w:proofErr w:type="spellEnd"/>
      <w:r>
        <w:rPr>
          <w:color w:val="000000"/>
        </w:rPr>
        <w:t xml:space="preserve"> </w:t>
      </w:r>
      <w:proofErr w:type="spellStart"/>
      <w:r>
        <w:rPr>
          <w:color w:val="000000"/>
        </w:rPr>
        <w:t>etkisi</w:t>
      </w:r>
      <w:proofErr w:type="spellEnd"/>
      <w:r>
        <w:rPr>
          <w:color w:val="000000"/>
        </w:rPr>
        <w:t xml:space="preserve"> her </w:t>
      </w:r>
      <w:proofErr w:type="spellStart"/>
      <w:r>
        <w:rPr>
          <w:color w:val="000000"/>
        </w:rPr>
        <w:t>anlamda</w:t>
      </w:r>
      <w:proofErr w:type="spellEnd"/>
      <w:r>
        <w:rPr>
          <w:color w:val="000000"/>
        </w:rPr>
        <w:t xml:space="preserve"> </w:t>
      </w:r>
      <w:proofErr w:type="spellStart"/>
      <w:r>
        <w:rPr>
          <w:color w:val="000000"/>
        </w:rPr>
        <w:t>kendini</w:t>
      </w:r>
      <w:proofErr w:type="spellEnd"/>
      <w:r>
        <w:rPr>
          <w:color w:val="000000"/>
        </w:rPr>
        <w:t xml:space="preserve"> </w:t>
      </w:r>
      <w:proofErr w:type="spellStart"/>
      <w:r>
        <w:rPr>
          <w:color w:val="000000"/>
        </w:rPr>
        <w:t>menüde</w:t>
      </w:r>
      <w:proofErr w:type="spellEnd"/>
      <w:r>
        <w:rPr>
          <w:color w:val="000000"/>
        </w:rPr>
        <w:t xml:space="preserve"> </w:t>
      </w:r>
      <w:proofErr w:type="spellStart"/>
      <w:r>
        <w:rPr>
          <w:color w:val="000000"/>
        </w:rPr>
        <w:t>göstermektedir</w:t>
      </w:r>
      <w:proofErr w:type="spellEnd"/>
      <w:r>
        <w:rPr>
          <w:color w:val="000000"/>
        </w:rPr>
        <w:t xml:space="preserve">. </w:t>
      </w:r>
      <w:proofErr w:type="spellStart"/>
      <w:r>
        <w:rPr>
          <w:color w:val="000000"/>
        </w:rPr>
        <w:t>Örneğin</w:t>
      </w:r>
      <w:proofErr w:type="spellEnd"/>
      <w:r>
        <w:rPr>
          <w:color w:val="000000"/>
        </w:rPr>
        <w:t xml:space="preserve">, </w:t>
      </w:r>
      <w:proofErr w:type="spellStart"/>
      <w:r>
        <w:rPr>
          <w:color w:val="000000"/>
        </w:rPr>
        <w:t>fiyat</w:t>
      </w:r>
      <w:proofErr w:type="spellEnd"/>
      <w:r>
        <w:rPr>
          <w:color w:val="000000"/>
        </w:rPr>
        <w:t xml:space="preserve"> </w:t>
      </w:r>
      <w:proofErr w:type="spellStart"/>
      <w:r>
        <w:rPr>
          <w:color w:val="000000"/>
        </w:rPr>
        <w:t>sonları</w:t>
      </w:r>
      <w:proofErr w:type="spellEnd"/>
      <w:r>
        <w:rPr>
          <w:color w:val="000000"/>
        </w:rPr>
        <w:t xml:space="preserve"> ("9" </w:t>
      </w:r>
      <w:proofErr w:type="spellStart"/>
      <w:r>
        <w:rPr>
          <w:color w:val="000000"/>
        </w:rPr>
        <w:t>ile</w:t>
      </w:r>
      <w:proofErr w:type="spellEnd"/>
      <w:r>
        <w:rPr>
          <w:color w:val="000000"/>
        </w:rPr>
        <w:t xml:space="preserve"> </w:t>
      </w:r>
      <w:proofErr w:type="spellStart"/>
      <w:r>
        <w:rPr>
          <w:color w:val="000000"/>
        </w:rPr>
        <w:t>biten</w:t>
      </w:r>
      <w:proofErr w:type="spellEnd"/>
      <w:r>
        <w:rPr>
          <w:color w:val="000000"/>
        </w:rPr>
        <w:t xml:space="preserve"> </w:t>
      </w:r>
      <w:proofErr w:type="spellStart"/>
      <w:r>
        <w:rPr>
          <w:color w:val="000000"/>
        </w:rPr>
        <w:t>fiyatlar</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kalite</w:t>
      </w:r>
      <w:proofErr w:type="spellEnd"/>
      <w:r>
        <w:rPr>
          <w:color w:val="000000"/>
        </w:rPr>
        <w:t xml:space="preserve"> </w:t>
      </w:r>
      <w:proofErr w:type="spellStart"/>
      <w:r>
        <w:rPr>
          <w:color w:val="000000"/>
        </w:rPr>
        <w:t>algısını</w:t>
      </w:r>
      <w:proofErr w:type="spellEnd"/>
      <w:r>
        <w:rPr>
          <w:color w:val="000000"/>
        </w:rPr>
        <w:t xml:space="preserve"> </w:t>
      </w:r>
      <w:proofErr w:type="spellStart"/>
      <w:r>
        <w:rPr>
          <w:color w:val="000000"/>
        </w:rPr>
        <w:t>etkilemektedir</w:t>
      </w:r>
      <w:proofErr w:type="spellEnd"/>
      <w:r>
        <w:rPr>
          <w:color w:val="000000"/>
        </w:rPr>
        <w:t xml:space="preserve">. </w:t>
      </w:r>
      <w:proofErr w:type="spellStart"/>
      <w:r>
        <w:rPr>
          <w:color w:val="000000"/>
        </w:rPr>
        <w:t>Müşteriler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fiyatını</w:t>
      </w:r>
      <w:proofErr w:type="spellEnd"/>
      <w:r>
        <w:rPr>
          <w:color w:val="000000"/>
        </w:rPr>
        <w:t xml:space="preserve"> </w:t>
      </w:r>
      <w:proofErr w:type="spellStart"/>
      <w:r>
        <w:rPr>
          <w:color w:val="000000"/>
        </w:rPr>
        <w:t>değerlendirirken</w:t>
      </w:r>
      <w:proofErr w:type="spellEnd"/>
      <w:r>
        <w:rPr>
          <w:color w:val="000000"/>
        </w:rPr>
        <w:t xml:space="preserve"> </w:t>
      </w:r>
      <w:proofErr w:type="spellStart"/>
      <w:r>
        <w:rPr>
          <w:color w:val="000000"/>
        </w:rPr>
        <w:t>alternatif</w:t>
      </w:r>
      <w:proofErr w:type="spellEnd"/>
      <w:r>
        <w:rPr>
          <w:color w:val="000000"/>
        </w:rPr>
        <w:t xml:space="preserve"> </w:t>
      </w:r>
      <w:proofErr w:type="spellStart"/>
      <w:r>
        <w:rPr>
          <w:color w:val="000000"/>
        </w:rPr>
        <w:t>fiyatlarla</w:t>
      </w:r>
      <w:proofErr w:type="spellEnd"/>
      <w:r>
        <w:rPr>
          <w:color w:val="000000"/>
        </w:rPr>
        <w:t xml:space="preserve"> </w:t>
      </w:r>
      <w:proofErr w:type="spellStart"/>
      <w:r>
        <w:rPr>
          <w:color w:val="000000"/>
        </w:rPr>
        <w:t>karşılaştırma</w:t>
      </w:r>
      <w:proofErr w:type="spellEnd"/>
      <w:r>
        <w:rPr>
          <w:color w:val="000000"/>
        </w:rPr>
        <w:t xml:space="preserve"> </w:t>
      </w:r>
      <w:proofErr w:type="spellStart"/>
      <w:r>
        <w:rPr>
          <w:color w:val="000000"/>
        </w:rPr>
        <w:lastRenderedPageBreak/>
        <w:t>yapmaktadır</w:t>
      </w:r>
      <w:proofErr w:type="spellEnd"/>
      <w:r>
        <w:rPr>
          <w:color w:val="000000"/>
        </w:rPr>
        <w:t>. Decoy (</w:t>
      </w:r>
      <w:proofErr w:type="spellStart"/>
      <w:r>
        <w:rPr>
          <w:color w:val="000000"/>
        </w:rPr>
        <w:t>yemleme</w:t>
      </w:r>
      <w:proofErr w:type="spellEnd"/>
      <w:r>
        <w:rPr>
          <w:color w:val="000000"/>
        </w:rPr>
        <w:t xml:space="preserve">) </w:t>
      </w:r>
      <w:proofErr w:type="spellStart"/>
      <w:r>
        <w:rPr>
          <w:color w:val="000000"/>
        </w:rPr>
        <w:t>ürünlerin</w:t>
      </w:r>
      <w:proofErr w:type="spellEnd"/>
      <w:r>
        <w:rPr>
          <w:color w:val="000000"/>
        </w:rPr>
        <w:t xml:space="preserve"> </w:t>
      </w:r>
      <w:proofErr w:type="spellStart"/>
      <w:r>
        <w:rPr>
          <w:color w:val="000000"/>
        </w:rPr>
        <w:t>fiyatları</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algıyı</w:t>
      </w:r>
      <w:proofErr w:type="spellEnd"/>
      <w:r>
        <w:rPr>
          <w:color w:val="000000"/>
        </w:rPr>
        <w:t xml:space="preserve"> </w:t>
      </w:r>
      <w:proofErr w:type="spellStart"/>
      <w:r>
        <w:rPr>
          <w:color w:val="000000"/>
        </w:rPr>
        <w:t>yönlendirebilir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fiyatlarının</w:t>
      </w:r>
      <w:proofErr w:type="spellEnd"/>
      <w:r>
        <w:rPr>
          <w:color w:val="000000"/>
        </w:rPr>
        <w:t xml:space="preserve"> </w:t>
      </w:r>
      <w:proofErr w:type="spellStart"/>
      <w:r>
        <w:rPr>
          <w:color w:val="000000"/>
        </w:rPr>
        <w:t>belirlenirken</w:t>
      </w:r>
      <w:proofErr w:type="spellEnd"/>
      <w:r>
        <w:rPr>
          <w:color w:val="000000"/>
        </w:rPr>
        <w:t xml:space="preserve"> </w:t>
      </w:r>
      <w:proofErr w:type="spellStart"/>
      <w:r>
        <w:rPr>
          <w:color w:val="000000"/>
        </w:rPr>
        <w:t>en</w:t>
      </w:r>
      <w:proofErr w:type="spellEnd"/>
      <w:r>
        <w:rPr>
          <w:color w:val="000000"/>
        </w:rPr>
        <w:t xml:space="preserve"> </w:t>
      </w:r>
      <w:proofErr w:type="spellStart"/>
      <w:r>
        <w:rPr>
          <w:color w:val="000000"/>
        </w:rPr>
        <w:t>çok</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kar</w:t>
      </w:r>
      <w:proofErr w:type="spellEnd"/>
      <w:r>
        <w:rPr>
          <w:color w:val="000000"/>
        </w:rPr>
        <w:t xml:space="preserve"> </w:t>
      </w:r>
      <w:proofErr w:type="spellStart"/>
      <w:r>
        <w:rPr>
          <w:color w:val="000000"/>
        </w:rPr>
        <w:t>hedefleri</w:t>
      </w:r>
      <w:proofErr w:type="spellEnd"/>
      <w:r>
        <w:rPr>
          <w:color w:val="000000"/>
        </w:rPr>
        <w:t xml:space="preserve"> </w:t>
      </w:r>
      <w:proofErr w:type="spellStart"/>
      <w:r>
        <w:rPr>
          <w:color w:val="000000"/>
        </w:rPr>
        <w:t>dikkati</w:t>
      </w:r>
      <w:proofErr w:type="spellEnd"/>
      <w:r>
        <w:rPr>
          <w:color w:val="000000"/>
        </w:rPr>
        <w:t xml:space="preserve"> </w:t>
      </w:r>
      <w:proofErr w:type="spellStart"/>
      <w:r>
        <w:rPr>
          <w:color w:val="000000"/>
        </w:rPr>
        <w:t>alını</w:t>
      </w:r>
      <w:proofErr w:type="spellEnd"/>
      <w:r>
        <w:rPr>
          <w:color w:val="000000"/>
        </w:rPr>
        <w:t xml:space="preserve"> </w:t>
      </w:r>
      <w:proofErr w:type="spellStart"/>
      <w:r>
        <w:rPr>
          <w:color w:val="000000"/>
        </w:rPr>
        <w:t>fakat</w:t>
      </w:r>
      <w:proofErr w:type="spellEnd"/>
      <w:r>
        <w:rPr>
          <w:color w:val="000000"/>
        </w:rPr>
        <w:t xml:space="preserve"> </w:t>
      </w:r>
      <w:proofErr w:type="spellStart"/>
      <w:r>
        <w:rPr>
          <w:color w:val="000000"/>
        </w:rPr>
        <w:t>bunların</w:t>
      </w:r>
      <w:proofErr w:type="spellEnd"/>
      <w:r>
        <w:rPr>
          <w:color w:val="000000"/>
        </w:rPr>
        <w:t xml:space="preserve"> </w:t>
      </w:r>
      <w:proofErr w:type="spellStart"/>
      <w:r>
        <w:rPr>
          <w:color w:val="000000"/>
        </w:rPr>
        <w:t>yanı</w:t>
      </w:r>
      <w:proofErr w:type="spellEnd"/>
      <w:r>
        <w:rPr>
          <w:color w:val="000000"/>
        </w:rPr>
        <w:t xml:space="preserve"> </w:t>
      </w:r>
      <w:proofErr w:type="spellStart"/>
      <w:r>
        <w:rPr>
          <w:color w:val="000000"/>
        </w:rPr>
        <w:t>sıra</w:t>
      </w:r>
      <w:proofErr w:type="spellEnd"/>
      <w:r>
        <w:rPr>
          <w:color w:val="000000"/>
        </w:rPr>
        <w:t xml:space="preserve"> </w:t>
      </w:r>
      <w:proofErr w:type="spellStart"/>
      <w:r>
        <w:rPr>
          <w:color w:val="000000"/>
        </w:rPr>
        <w:t>müşterilerin</w:t>
      </w:r>
      <w:proofErr w:type="spellEnd"/>
      <w:r>
        <w:rPr>
          <w:color w:val="000000"/>
        </w:rPr>
        <w:t xml:space="preserve"> </w:t>
      </w:r>
      <w:proofErr w:type="spellStart"/>
      <w:r>
        <w:rPr>
          <w:color w:val="000000"/>
        </w:rPr>
        <w:t>restorandan</w:t>
      </w:r>
      <w:proofErr w:type="spellEnd"/>
      <w:r>
        <w:rPr>
          <w:color w:val="000000"/>
        </w:rPr>
        <w:t xml:space="preserve"> tam </w:t>
      </w:r>
      <w:proofErr w:type="spellStart"/>
      <w:r>
        <w:rPr>
          <w:color w:val="000000"/>
        </w:rPr>
        <w:t>olarak</w:t>
      </w:r>
      <w:proofErr w:type="spellEnd"/>
      <w:r>
        <w:rPr>
          <w:color w:val="000000"/>
        </w:rPr>
        <w:t xml:space="preserve"> ne </w:t>
      </w:r>
      <w:proofErr w:type="spellStart"/>
      <w:r>
        <w:rPr>
          <w:color w:val="000000"/>
        </w:rPr>
        <w:t>beklediği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algıları</w:t>
      </w:r>
      <w:proofErr w:type="spellEnd"/>
      <w:r>
        <w:rPr>
          <w:color w:val="000000"/>
        </w:rPr>
        <w:t xml:space="preserve"> </w:t>
      </w:r>
      <w:proofErr w:type="spellStart"/>
      <w:r>
        <w:rPr>
          <w:color w:val="000000"/>
        </w:rPr>
        <w:t>hayal</w:t>
      </w:r>
      <w:proofErr w:type="spellEnd"/>
      <w:r>
        <w:rPr>
          <w:color w:val="000000"/>
        </w:rPr>
        <w:t xml:space="preserve"> </w:t>
      </w:r>
      <w:proofErr w:type="spellStart"/>
      <w:r>
        <w:rPr>
          <w:color w:val="000000"/>
        </w:rPr>
        <w:t>edilerek</w:t>
      </w:r>
      <w:proofErr w:type="spellEnd"/>
      <w:r>
        <w:rPr>
          <w:color w:val="000000"/>
        </w:rPr>
        <w:t xml:space="preserve"> de </w:t>
      </w:r>
      <w:proofErr w:type="spellStart"/>
      <w:r>
        <w:rPr>
          <w:color w:val="000000"/>
        </w:rPr>
        <w:t>fiyat</w:t>
      </w:r>
      <w:proofErr w:type="spellEnd"/>
      <w:r>
        <w:rPr>
          <w:color w:val="000000"/>
        </w:rPr>
        <w:t xml:space="preserve"> </w:t>
      </w:r>
      <w:proofErr w:type="spellStart"/>
      <w:r>
        <w:rPr>
          <w:color w:val="000000"/>
        </w:rPr>
        <w:t>belirleme</w:t>
      </w:r>
      <w:proofErr w:type="spellEnd"/>
      <w:r>
        <w:rPr>
          <w:color w:val="000000"/>
        </w:rPr>
        <w:t xml:space="preserve"> </w:t>
      </w:r>
      <w:proofErr w:type="spellStart"/>
      <w:r>
        <w:rPr>
          <w:color w:val="000000"/>
        </w:rPr>
        <w:t>yapılmaktadır</w:t>
      </w:r>
      <w:proofErr w:type="spellEnd"/>
      <w:r>
        <w:rPr>
          <w:color w:val="000000"/>
        </w:rPr>
        <w:t xml:space="preserve"> (Özdemir &amp; Caliskan, 2014).</w:t>
      </w:r>
    </w:p>
    <w:p w14:paraId="5DBB1DE6" w14:textId="77777777" w:rsidR="001E7189" w:rsidRDefault="001E7189" w:rsidP="007513A1">
      <w:pPr>
        <w:pStyle w:val="NormalWeb"/>
        <w:spacing w:before="0" w:beforeAutospacing="0" w:after="0" w:afterAutospacing="0"/>
        <w:jc w:val="both"/>
        <w:rPr>
          <w:color w:val="000000"/>
        </w:rPr>
      </w:pPr>
    </w:p>
    <w:p w14:paraId="6E76F404" w14:textId="77777777" w:rsidR="001E7189" w:rsidRDefault="001E7189" w:rsidP="007513A1">
      <w:pPr>
        <w:pStyle w:val="NormalWeb"/>
        <w:spacing w:before="0" w:beforeAutospacing="0" w:after="0" w:afterAutospacing="0"/>
        <w:jc w:val="both"/>
        <w:rPr>
          <w:color w:val="000000"/>
        </w:rPr>
      </w:pPr>
      <w:r>
        <w:rPr>
          <w:color w:val="000000"/>
        </w:rPr>
        <w:t xml:space="preserve">Yeni </w:t>
      </w:r>
      <w:proofErr w:type="spellStart"/>
      <w:r>
        <w:rPr>
          <w:color w:val="000000"/>
        </w:rPr>
        <w:t>menü</w:t>
      </w:r>
      <w:proofErr w:type="spellEnd"/>
      <w:r>
        <w:rPr>
          <w:color w:val="000000"/>
        </w:rPr>
        <w:t xml:space="preserve"> </w:t>
      </w:r>
      <w:proofErr w:type="spellStart"/>
      <w:r>
        <w:rPr>
          <w:color w:val="000000"/>
        </w:rPr>
        <w:t>oluştururken</w:t>
      </w:r>
      <w:proofErr w:type="spellEnd"/>
      <w:r>
        <w:rPr>
          <w:color w:val="000000"/>
        </w:rPr>
        <w:t xml:space="preserve"> </w:t>
      </w:r>
      <w:proofErr w:type="spellStart"/>
      <w:r>
        <w:rPr>
          <w:color w:val="000000"/>
        </w:rPr>
        <w:t>iletişim</w:t>
      </w:r>
      <w:proofErr w:type="spellEnd"/>
      <w:r>
        <w:rPr>
          <w:color w:val="000000"/>
        </w:rPr>
        <w:t xml:space="preserve">, </w:t>
      </w:r>
      <w:proofErr w:type="spellStart"/>
      <w:r>
        <w:rPr>
          <w:color w:val="000000"/>
        </w:rPr>
        <w:t>somut</w:t>
      </w:r>
      <w:proofErr w:type="spellEnd"/>
      <w:r>
        <w:rPr>
          <w:color w:val="000000"/>
        </w:rPr>
        <w:t xml:space="preserve"> </w:t>
      </w:r>
      <w:proofErr w:type="spellStart"/>
      <w:r>
        <w:rPr>
          <w:color w:val="000000"/>
        </w:rPr>
        <w:t>kanıt</w:t>
      </w:r>
      <w:proofErr w:type="spellEnd"/>
      <w:r>
        <w:rPr>
          <w:color w:val="000000"/>
        </w:rPr>
        <w:t xml:space="preserve"> </w:t>
      </w:r>
      <w:proofErr w:type="spellStart"/>
      <w:r>
        <w:rPr>
          <w:color w:val="000000"/>
        </w:rPr>
        <w:t>sağlama</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satış</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unsurların</w:t>
      </w:r>
      <w:proofErr w:type="spellEnd"/>
      <w:r>
        <w:rPr>
          <w:color w:val="000000"/>
        </w:rPr>
        <w:t xml:space="preserve"> </w:t>
      </w:r>
      <w:proofErr w:type="spellStart"/>
      <w:r>
        <w:rPr>
          <w:color w:val="000000"/>
        </w:rPr>
        <w:t>hepsini</w:t>
      </w:r>
      <w:proofErr w:type="spellEnd"/>
      <w:r>
        <w:rPr>
          <w:color w:val="000000"/>
        </w:rPr>
        <w:t xml:space="preserve"> </w:t>
      </w:r>
      <w:proofErr w:type="spellStart"/>
      <w:r>
        <w:rPr>
          <w:color w:val="000000"/>
        </w:rPr>
        <w:t>göz</w:t>
      </w:r>
      <w:proofErr w:type="spellEnd"/>
      <w:r>
        <w:rPr>
          <w:color w:val="000000"/>
        </w:rPr>
        <w:t xml:space="preserve"> </w:t>
      </w:r>
      <w:proofErr w:type="spellStart"/>
      <w:r>
        <w:rPr>
          <w:color w:val="000000"/>
        </w:rPr>
        <w:t>önünde</w:t>
      </w:r>
      <w:proofErr w:type="spellEnd"/>
      <w:r>
        <w:rPr>
          <w:color w:val="000000"/>
        </w:rPr>
        <w:t xml:space="preserve"> </w:t>
      </w:r>
      <w:proofErr w:type="spellStart"/>
      <w:r>
        <w:rPr>
          <w:color w:val="000000"/>
        </w:rPr>
        <w:t>bulundurmalıdır</w:t>
      </w:r>
      <w:proofErr w:type="spellEnd"/>
      <w:r>
        <w:rPr>
          <w:color w:val="000000"/>
        </w:rPr>
        <w:t xml:space="preserve">. </w:t>
      </w:r>
      <w:proofErr w:type="spellStart"/>
      <w:r>
        <w:rPr>
          <w:color w:val="000000"/>
        </w:rPr>
        <w:t>Şefler</w:t>
      </w:r>
      <w:proofErr w:type="spellEnd"/>
      <w:r>
        <w:rPr>
          <w:color w:val="000000"/>
        </w:rPr>
        <w:t xml:space="preserve">, </w:t>
      </w:r>
      <w:proofErr w:type="spellStart"/>
      <w:r>
        <w:rPr>
          <w:color w:val="000000"/>
        </w:rPr>
        <w:t>müşterilerini</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tasarım</w:t>
      </w:r>
      <w:proofErr w:type="spellEnd"/>
      <w:r>
        <w:rPr>
          <w:color w:val="000000"/>
        </w:rPr>
        <w:t xml:space="preserve"> </w:t>
      </w:r>
      <w:proofErr w:type="spellStart"/>
      <w:r>
        <w:rPr>
          <w:color w:val="000000"/>
        </w:rPr>
        <w:t>sürecine</w:t>
      </w:r>
      <w:proofErr w:type="spellEnd"/>
      <w:r>
        <w:rPr>
          <w:color w:val="000000"/>
        </w:rPr>
        <w:t xml:space="preserve"> </w:t>
      </w:r>
      <w:proofErr w:type="spellStart"/>
      <w:r>
        <w:rPr>
          <w:color w:val="000000"/>
        </w:rPr>
        <w:t>dahil</w:t>
      </w:r>
      <w:proofErr w:type="spellEnd"/>
      <w:r>
        <w:rPr>
          <w:color w:val="000000"/>
        </w:rPr>
        <w:t xml:space="preserve"> </w:t>
      </w:r>
      <w:proofErr w:type="spellStart"/>
      <w:r>
        <w:rPr>
          <w:color w:val="000000"/>
        </w:rPr>
        <w:t>ederek</w:t>
      </w:r>
      <w:proofErr w:type="spellEnd"/>
      <w:r>
        <w:rPr>
          <w:color w:val="000000"/>
        </w:rPr>
        <w:t xml:space="preserve">, </w:t>
      </w:r>
      <w:proofErr w:type="spellStart"/>
      <w:r>
        <w:rPr>
          <w:color w:val="000000"/>
        </w:rPr>
        <w:t>iletilmek</w:t>
      </w:r>
      <w:proofErr w:type="spellEnd"/>
      <w:r>
        <w:rPr>
          <w:color w:val="000000"/>
        </w:rPr>
        <w:t xml:space="preserve"> </w:t>
      </w:r>
      <w:proofErr w:type="spellStart"/>
      <w:r>
        <w:rPr>
          <w:color w:val="000000"/>
        </w:rPr>
        <w:t>istenen</w:t>
      </w:r>
      <w:proofErr w:type="spellEnd"/>
      <w:r>
        <w:rPr>
          <w:color w:val="000000"/>
        </w:rPr>
        <w:t xml:space="preserve"> </w:t>
      </w:r>
      <w:proofErr w:type="spellStart"/>
      <w:r>
        <w:rPr>
          <w:color w:val="000000"/>
        </w:rPr>
        <w:t>mesajın</w:t>
      </w:r>
      <w:proofErr w:type="spellEnd"/>
      <w:r>
        <w:rPr>
          <w:color w:val="000000"/>
        </w:rPr>
        <w:t xml:space="preserve"> </w:t>
      </w:r>
      <w:proofErr w:type="spellStart"/>
      <w:r>
        <w:rPr>
          <w:color w:val="000000"/>
        </w:rPr>
        <w:t>müşteriler</w:t>
      </w:r>
      <w:proofErr w:type="spellEnd"/>
      <w:r>
        <w:rPr>
          <w:color w:val="000000"/>
        </w:rPr>
        <w:t xml:space="preserve"> </w:t>
      </w:r>
      <w:proofErr w:type="spellStart"/>
      <w:r>
        <w:rPr>
          <w:color w:val="000000"/>
        </w:rPr>
        <w:t>tarafından</w:t>
      </w:r>
      <w:proofErr w:type="spellEnd"/>
      <w:r>
        <w:rPr>
          <w:color w:val="000000"/>
        </w:rPr>
        <w:t xml:space="preserve"> </w:t>
      </w:r>
      <w:proofErr w:type="spellStart"/>
      <w:r>
        <w:rPr>
          <w:color w:val="000000"/>
        </w:rPr>
        <w:t>doğru</w:t>
      </w:r>
      <w:proofErr w:type="spellEnd"/>
      <w:r>
        <w:rPr>
          <w:color w:val="000000"/>
        </w:rPr>
        <w:t xml:space="preserve"> </w:t>
      </w:r>
      <w:proofErr w:type="spellStart"/>
      <w:r>
        <w:rPr>
          <w:color w:val="000000"/>
        </w:rPr>
        <w:t>şekilde</w:t>
      </w:r>
      <w:proofErr w:type="spellEnd"/>
      <w:r>
        <w:rPr>
          <w:color w:val="000000"/>
        </w:rPr>
        <w:t xml:space="preserve"> </w:t>
      </w:r>
      <w:proofErr w:type="spellStart"/>
      <w:r>
        <w:rPr>
          <w:color w:val="000000"/>
        </w:rPr>
        <w:t>alınmasını</w:t>
      </w:r>
      <w:proofErr w:type="spellEnd"/>
      <w:r>
        <w:rPr>
          <w:color w:val="000000"/>
        </w:rPr>
        <w:t xml:space="preserve"> </w:t>
      </w:r>
      <w:proofErr w:type="spellStart"/>
      <w:r>
        <w:rPr>
          <w:color w:val="000000"/>
        </w:rPr>
        <w:t>sağlar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aynı</w:t>
      </w:r>
      <w:proofErr w:type="spellEnd"/>
      <w:r>
        <w:rPr>
          <w:color w:val="000000"/>
        </w:rPr>
        <w:t xml:space="preserve"> </w:t>
      </w:r>
      <w:proofErr w:type="spellStart"/>
      <w:r>
        <w:rPr>
          <w:color w:val="000000"/>
        </w:rPr>
        <w:t>zamanda</w:t>
      </w:r>
      <w:proofErr w:type="spellEnd"/>
      <w:r>
        <w:rPr>
          <w:color w:val="000000"/>
        </w:rPr>
        <w:t xml:space="preserve"> </w:t>
      </w:r>
      <w:proofErr w:type="spellStart"/>
      <w:r>
        <w:rPr>
          <w:color w:val="000000"/>
        </w:rPr>
        <w:t>somut</w:t>
      </w:r>
      <w:proofErr w:type="spellEnd"/>
      <w:r>
        <w:rPr>
          <w:color w:val="000000"/>
        </w:rPr>
        <w:t xml:space="preserve"> </w:t>
      </w:r>
      <w:proofErr w:type="spellStart"/>
      <w:r>
        <w:rPr>
          <w:color w:val="000000"/>
        </w:rPr>
        <w:t>kanıt</w:t>
      </w:r>
      <w:proofErr w:type="spellEnd"/>
      <w:r>
        <w:rPr>
          <w:color w:val="000000"/>
        </w:rPr>
        <w:t xml:space="preserve"> </w:t>
      </w:r>
      <w:proofErr w:type="spellStart"/>
      <w:r>
        <w:rPr>
          <w:color w:val="000000"/>
        </w:rPr>
        <w:t>sunar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restoranın</w:t>
      </w:r>
      <w:proofErr w:type="spellEnd"/>
      <w:r>
        <w:rPr>
          <w:color w:val="000000"/>
        </w:rPr>
        <w:t xml:space="preserve"> </w:t>
      </w:r>
      <w:proofErr w:type="spellStart"/>
      <w:r>
        <w:rPr>
          <w:color w:val="000000"/>
        </w:rPr>
        <w:t>imajının</w:t>
      </w:r>
      <w:proofErr w:type="spellEnd"/>
      <w:r>
        <w:rPr>
          <w:color w:val="000000"/>
        </w:rPr>
        <w:t xml:space="preserve"> </w:t>
      </w:r>
      <w:proofErr w:type="spellStart"/>
      <w:r>
        <w:rPr>
          <w:color w:val="000000"/>
        </w:rPr>
        <w:t>yansıması</w:t>
      </w:r>
      <w:proofErr w:type="spellEnd"/>
      <w:r>
        <w:rPr>
          <w:color w:val="000000"/>
        </w:rPr>
        <w:t xml:space="preserve"> </w:t>
      </w:r>
      <w:proofErr w:type="spellStart"/>
      <w:r>
        <w:rPr>
          <w:color w:val="000000"/>
        </w:rPr>
        <w:t>olmalıdır</w:t>
      </w:r>
      <w:proofErr w:type="spellEnd"/>
      <w:r>
        <w:rPr>
          <w:color w:val="000000"/>
        </w:rPr>
        <w:t xml:space="preserve">. </w:t>
      </w:r>
      <w:proofErr w:type="spellStart"/>
      <w:r>
        <w:rPr>
          <w:color w:val="000000"/>
        </w:rPr>
        <w:t>Tasarım</w:t>
      </w:r>
      <w:proofErr w:type="spellEnd"/>
      <w:r>
        <w:rPr>
          <w:color w:val="000000"/>
        </w:rPr>
        <w:t xml:space="preserve">, </w:t>
      </w:r>
      <w:proofErr w:type="spellStart"/>
      <w:r>
        <w:rPr>
          <w:color w:val="000000"/>
        </w:rPr>
        <w:t>renkler</w:t>
      </w:r>
      <w:proofErr w:type="spellEnd"/>
      <w:r>
        <w:rPr>
          <w:color w:val="000000"/>
        </w:rPr>
        <w:t xml:space="preserve">, </w:t>
      </w:r>
      <w:proofErr w:type="spellStart"/>
      <w:r>
        <w:rPr>
          <w:color w:val="000000"/>
        </w:rPr>
        <w:t>kağıt</w:t>
      </w:r>
      <w:proofErr w:type="spellEnd"/>
      <w:r>
        <w:rPr>
          <w:color w:val="000000"/>
        </w:rPr>
        <w:t xml:space="preserve">, </w:t>
      </w:r>
      <w:proofErr w:type="spellStart"/>
      <w:r>
        <w:rPr>
          <w:color w:val="000000"/>
        </w:rPr>
        <w:t>illüstrasyonlar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yazı</w:t>
      </w:r>
      <w:proofErr w:type="spellEnd"/>
      <w:r>
        <w:rPr>
          <w:color w:val="000000"/>
        </w:rPr>
        <w:t xml:space="preserve"> tipi, </w:t>
      </w:r>
      <w:proofErr w:type="spellStart"/>
      <w:r>
        <w:rPr>
          <w:color w:val="000000"/>
        </w:rPr>
        <w:t>restoranın</w:t>
      </w:r>
      <w:proofErr w:type="spellEnd"/>
      <w:r>
        <w:rPr>
          <w:color w:val="000000"/>
        </w:rPr>
        <w:t xml:space="preserve"> </w:t>
      </w:r>
      <w:proofErr w:type="spellStart"/>
      <w:r>
        <w:rPr>
          <w:color w:val="000000"/>
        </w:rPr>
        <w:t>imajını</w:t>
      </w:r>
      <w:proofErr w:type="spellEnd"/>
      <w:r>
        <w:rPr>
          <w:color w:val="000000"/>
        </w:rPr>
        <w:t xml:space="preserve"> </w:t>
      </w:r>
      <w:proofErr w:type="spellStart"/>
      <w:r>
        <w:rPr>
          <w:color w:val="000000"/>
        </w:rPr>
        <w:t>pekiştirilmelidir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restoranın</w:t>
      </w:r>
      <w:proofErr w:type="spellEnd"/>
      <w:r>
        <w:rPr>
          <w:color w:val="000000"/>
        </w:rPr>
        <w:t xml:space="preserve"> </w:t>
      </w:r>
      <w:proofErr w:type="spellStart"/>
      <w:r>
        <w:rPr>
          <w:color w:val="000000"/>
        </w:rPr>
        <w:t>kişiliğinin</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uzantısıdır</w:t>
      </w:r>
      <w:proofErr w:type="spellEnd"/>
      <w:r>
        <w:rPr>
          <w:color w:val="000000"/>
        </w:rPr>
        <w:t xml:space="preserve"> (Bowen &amp; Morris, 1995) </w:t>
      </w:r>
      <w:proofErr w:type="spellStart"/>
      <w:r>
        <w:rPr>
          <w:color w:val="000000"/>
        </w:rPr>
        <w:t>Menü</w:t>
      </w:r>
      <w:proofErr w:type="spellEnd"/>
      <w:r>
        <w:rPr>
          <w:color w:val="000000"/>
        </w:rPr>
        <w:t xml:space="preserve"> </w:t>
      </w:r>
      <w:proofErr w:type="spellStart"/>
      <w:r>
        <w:rPr>
          <w:color w:val="000000"/>
        </w:rPr>
        <w:t>tasarımı</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kartlarının</w:t>
      </w:r>
      <w:proofErr w:type="spellEnd"/>
      <w:r>
        <w:rPr>
          <w:color w:val="000000"/>
        </w:rPr>
        <w:t xml:space="preserve"> </w:t>
      </w:r>
      <w:proofErr w:type="spellStart"/>
      <w:r>
        <w:rPr>
          <w:color w:val="000000"/>
        </w:rPr>
        <w:t>görsel</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içeriksel</w:t>
      </w:r>
      <w:proofErr w:type="spellEnd"/>
      <w:r>
        <w:rPr>
          <w:color w:val="000000"/>
        </w:rPr>
        <w:t xml:space="preserve"> </w:t>
      </w:r>
      <w:proofErr w:type="spellStart"/>
      <w:r>
        <w:rPr>
          <w:color w:val="000000"/>
        </w:rPr>
        <w:t>düzenlenmesiyle</w:t>
      </w:r>
      <w:proofErr w:type="spellEnd"/>
      <w:r>
        <w:rPr>
          <w:color w:val="000000"/>
        </w:rPr>
        <w:t xml:space="preserve"> </w:t>
      </w:r>
      <w:proofErr w:type="spellStart"/>
      <w:r>
        <w:rPr>
          <w:color w:val="000000"/>
        </w:rPr>
        <w:t>ilgili</w:t>
      </w:r>
      <w:proofErr w:type="spellEnd"/>
      <w:r>
        <w:rPr>
          <w:color w:val="000000"/>
        </w:rPr>
        <w:t xml:space="preserve"> </w:t>
      </w:r>
      <w:proofErr w:type="spellStart"/>
      <w:r>
        <w:rPr>
          <w:color w:val="000000"/>
        </w:rPr>
        <w:t>kararları</w:t>
      </w:r>
      <w:proofErr w:type="spellEnd"/>
      <w:r>
        <w:rPr>
          <w:color w:val="000000"/>
        </w:rPr>
        <w:t xml:space="preserve"> </w:t>
      </w:r>
      <w:proofErr w:type="spellStart"/>
      <w:r>
        <w:rPr>
          <w:color w:val="000000"/>
        </w:rPr>
        <w:t>içermektedir</w:t>
      </w:r>
      <w:proofErr w:type="spellEnd"/>
      <w:r>
        <w:rPr>
          <w:color w:val="000000"/>
        </w:rPr>
        <w:t xml:space="preserve">. </w:t>
      </w:r>
      <w:proofErr w:type="spellStart"/>
      <w:r>
        <w:rPr>
          <w:color w:val="000000"/>
        </w:rPr>
        <w:t>Menüde</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alanlar</w:t>
      </w:r>
      <w:proofErr w:type="spellEnd"/>
      <w:r>
        <w:rPr>
          <w:color w:val="000000"/>
        </w:rPr>
        <w:t>, (</w:t>
      </w:r>
      <w:proofErr w:type="spellStart"/>
      <w:r>
        <w:rPr>
          <w:color w:val="000000"/>
        </w:rPr>
        <w:t>ör</w:t>
      </w:r>
      <w:proofErr w:type="spellEnd"/>
      <w:r>
        <w:rPr>
          <w:color w:val="000000"/>
        </w:rPr>
        <w:t xml:space="preserve">. </w:t>
      </w:r>
      <w:proofErr w:type="spellStart"/>
      <w:r>
        <w:rPr>
          <w:color w:val="000000"/>
        </w:rPr>
        <w:t>müşterilerin</w:t>
      </w:r>
      <w:proofErr w:type="spellEnd"/>
      <w:r>
        <w:rPr>
          <w:color w:val="000000"/>
        </w:rPr>
        <w:t xml:space="preserve"> ilk </w:t>
      </w:r>
      <w:proofErr w:type="spellStart"/>
      <w:r>
        <w:rPr>
          <w:color w:val="000000"/>
        </w:rPr>
        <w:t>baktığı</w:t>
      </w:r>
      <w:proofErr w:type="spellEnd"/>
      <w:r>
        <w:rPr>
          <w:color w:val="000000"/>
        </w:rPr>
        <w:t xml:space="preserve"> </w:t>
      </w:r>
      <w:proofErr w:type="spellStart"/>
      <w:r>
        <w:rPr>
          <w:color w:val="000000"/>
        </w:rPr>
        <w:t>yerler</w:t>
      </w:r>
      <w:proofErr w:type="spellEnd"/>
      <w:r>
        <w:rPr>
          <w:color w:val="000000"/>
        </w:rPr>
        <w:t xml:space="preserve">) (sweet spots </w:t>
      </w:r>
      <w:proofErr w:type="spellStart"/>
      <w:r>
        <w:rPr>
          <w:color w:val="000000"/>
        </w:rPr>
        <w:t>yani</w:t>
      </w:r>
      <w:proofErr w:type="spellEnd"/>
      <w:r>
        <w:rPr>
          <w:color w:val="000000"/>
        </w:rPr>
        <w:t xml:space="preserve"> </w:t>
      </w:r>
      <w:proofErr w:type="spellStart"/>
      <w:r>
        <w:rPr>
          <w:color w:val="000000"/>
        </w:rPr>
        <w:t>tatlı</w:t>
      </w:r>
      <w:proofErr w:type="spellEnd"/>
      <w:r>
        <w:rPr>
          <w:color w:val="000000"/>
        </w:rPr>
        <w:t xml:space="preserve"> </w:t>
      </w:r>
      <w:proofErr w:type="spellStart"/>
      <w:r>
        <w:rPr>
          <w:color w:val="000000"/>
        </w:rPr>
        <w:t>noktalar</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geçmektedir</w:t>
      </w:r>
      <w:proofErr w:type="spellEnd"/>
      <w:r>
        <w:rPr>
          <w:color w:val="000000"/>
        </w:rPr>
        <w:t xml:space="preserve">) </w:t>
      </w:r>
      <w:proofErr w:type="spellStart"/>
      <w:r>
        <w:rPr>
          <w:color w:val="000000"/>
        </w:rPr>
        <w:t>satışları</w:t>
      </w:r>
      <w:proofErr w:type="spellEnd"/>
      <w:r>
        <w:rPr>
          <w:color w:val="000000"/>
        </w:rPr>
        <w:t xml:space="preserve"> </w:t>
      </w:r>
      <w:proofErr w:type="spellStart"/>
      <w:r>
        <w:rPr>
          <w:color w:val="000000"/>
        </w:rPr>
        <w:t>artırabilmektedir</w:t>
      </w:r>
      <w:proofErr w:type="spellEnd"/>
      <w:r>
        <w:rPr>
          <w:color w:val="000000"/>
        </w:rPr>
        <w:t xml:space="preserve">. </w:t>
      </w:r>
      <w:proofErr w:type="spellStart"/>
      <w:r>
        <w:rPr>
          <w:color w:val="000000"/>
        </w:rPr>
        <w:t>Menüdeki</w:t>
      </w:r>
      <w:proofErr w:type="spellEnd"/>
      <w:r>
        <w:rPr>
          <w:color w:val="000000"/>
        </w:rPr>
        <w:t xml:space="preserve"> </w:t>
      </w:r>
      <w:proofErr w:type="spellStart"/>
      <w:r>
        <w:rPr>
          <w:color w:val="000000"/>
        </w:rPr>
        <w:t>öğelerin</w:t>
      </w:r>
      <w:proofErr w:type="spellEnd"/>
      <w:r>
        <w:rPr>
          <w:color w:val="000000"/>
        </w:rPr>
        <w:t xml:space="preserve"> </w:t>
      </w:r>
      <w:proofErr w:type="spellStart"/>
      <w:r>
        <w:rPr>
          <w:color w:val="000000"/>
        </w:rPr>
        <w:t>isimlendirilmesi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açıklamaları</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algısını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tercihlerini</w:t>
      </w:r>
      <w:proofErr w:type="spellEnd"/>
      <w:r>
        <w:rPr>
          <w:color w:val="000000"/>
        </w:rPr>
        <w:t xml:space="preserve"> </w:t>
      </w:r>
      <w:proofErr w:type="spellStart"/>
      <w:r>
        <w:rPr>
          <w:color w:val="000000"/>
        </w:rPr>
        <w:t>etkilemektedir</w:t>
      </w:r>
      <w:proofErr w:type="spellEnd"/>
      <w:r>
        <w:rPr>
          <w:color w:val="000000"/>
        </w:rPr>
        <w:t xml:space="preserve">. </w:t>
      </w:r>
      <w:proofErr w:type="spellStart"/>
      <w:r>
        <w:rPr>
          <w:color w:val="000000"/>
        </w:rPr>
        <w:t>Mesela</w:t>
      </w:r>
      <w:proofErr w:type="spellEnd"/>
      <w:r>
        <w:rPr>
          <w:color w:val="000000"/>
        </w:rPr>
        <w:t xml:space="preserve">, </w:t>
      </w:r>
      <w:proofErr w:type="spellStart"/>
      <w:r>
        <w:rPr>
          <w:color w:val="000000"/>
        </w:rPr>
        <w:t>arka</w:t>
      </w:r>
      <w:proofErr w:type="spellEnd"/>
      <w:r>
        <w:rPr>
          <w:color w:val="000000"/>
        </w:rPr>
        <w:t xml:space="preserve"> plan </w:t>
      </w:r>
      <w:proofErr w:type="spellStart"/>
      <w:r>
        <w:rPr>
          <w:color w:val="000000"/>
        </w:rPr>
        <w:t>renkleri</w:t>
      </w:r>
      <w:proofErr w:type="spellEnd"/>
      <w:r>
        <w:rPr>
          <w:color w:val="000000"/>
        </w:rPr>
        <w:t xml:space="preserve">, </w:t>
      </w:r>
      <w:proofErr w:type="spellStart"/>
      <w:r>
        <w:rPr>
          <w:color w:val="000000"/>
        </w:rPr>
        <w:t>yazı</w:t>
      </w:r>
      <w:proofErr w:type="spellEnd"/>
      <w:r>
        <w:rPr>
          <w:color w:val="000000"/>
        </w:rPr>
        <w:t xml:space="preserve"> </w:t>
      </w:r>
      <w:proofErr w:type="spellStart"/>
      <w:r>
        <w:rPr>
          <w:color w:val="000000"/>
        </w:rPr>
        <w:t>tipleri</w:t>
      </w:r>
      <w:proofErr w:type="spellEnd"/>
      <w:r>
        <w:rPr>
          <w:color w:val="000000"/>
        </w:rPr>
        <w:t xml:space="preserve">, </w:t>
      </w:r>
      <w:proofErr w:type="spellStart"/>
      <w:r>
        <w:rPr>
          <w:color w:val="000000"/>
        </w:rPr>
        <w:t>görseller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boyutu</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faktörler</w:t>
      </w:r>
      <w:proofErr w:type="spellEnd"/>
      <w:r>
        <w:rPr>
          <w:color w:val="000000"/>
        </w:rPr>
        <w:t xml:space="preserve">, </w:t>
      </w:r>
      <w:proofErr w:type="spellStart"/>
      <w:r>
        <w:rPr>
          <w:color w:val="000000"/>
        </w:rPr>
        <w:t>müşterilerin</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öğesi</w:t>
      </w:r>
      <w:proofErr w:type="spellEnd"/>
      <w:r>
        <w:rPr>
          <w:color w:val="000000"/>
        </w:rPr>
        <w:t xml:space="preserve"> </w:t>
      </w:r>
      <w:proofErr w:type="spellStart"/>
      <w:r>
        <w:rPr>
          <w:color w:val="000000"/>
        </w:rPr>
        <w:t>seçimleri</w:t>
      </w:r>
      <w:proofErr w:type="spellEnd"/>
      <w:r>
        <w:rPr>
          <w:color w:val="000000"/>
        </w:rPr>
        <w:t xml:space="preserve"> </w:t>
      </w:r>
      <w:proofErr w:type="spellStart"/>
      <w:r>
        <w:rPr>
          <w:color w:val="000000"/>
        </w:rPr>
        <w:t>değiştirmektedir</w:t>
      </w:r>
      <w:proofErr w:type="spellEnd"/>
      <w:r>
        <w:rPr>
          <w:color w:val="000000"/>
        </w:rPr>
        <w:t xml:space="preserve"> (Özdemir &amp; Caliskan, 2014).</w:t>
      </w:r>
    </w:p>
    <w:p w14:paraId="647C3A22" w14:textId="77777777" w:rsidR="001E7189" w:rsidRDefault="001E7189" w:rsidP="007513A1">
      <w:pPr>
        <w:pStyle w:val="NormalWeb"/>
        <w:spacing w:before="0" w:beforeAutospacing="0" w:after="0" w:afterAutospacing="0"/>
        <w:jc w:val="both"/>
        <w:rPr>
          <w:color w:val="000000"/>
        </w:rPr>
      </w:pPr>
    </w:p>
    <w:p w14:paraId="0CCF0DC9" w14:textId="77777777" w:rsidR="001E7189" w:rsidRDefault="001E7189" w:rsidP="007513A1">
      <w:pPr>
        <w:pStyle w:val="NormalWeb"/>
        <w:spacing w:before="0" w:beforeAutospacing="0" w:after="0" w:afterAutospacing="0"/>
        <w:jc w:val="both"/>
        <w:rPr>
          <w:color w:val="000000"/>
        </w:rPr>
      </w:pPr>
      <w:proofErr w:type="spellStart"/>
      <w:r>
        <w:rPr>
          <w:color w:val="000000"/>
        </w:rPr>
        <w:t>Gıda</w:t>
      </w:r>
      <w:proofErr w:type="spellEnd"/>
      <w:r>
        <w:rPr>
          <w:color w:val="000000"/>
        </w:rPr>
        <w:t xml:space="preserve"> </w:t>
      </w:r>
      <w:proofErr w:type="spellStart"/>
      <w:r>
        <w:rPr>
          <w:color w:val="000000"/>
        </w:rPr>
        <w:t>hizmeti</w:t>
      </w:r>
      <w:proofErr w:type="spellEnd"/>
      <w:r>
        <w:rPr>
          <w:color w:val="000000"/>
        </w:rPr>
        <w:t xml:space="preserve"> </w:t>
      </w:r>
      <w:proofErr w:type="spellStart"/>
      <w:r>
        <w:rPr>
          <w:color w:val="000000"/>
        </w:rPr>
        <w:t>sektöründe</w:t>
      </w:r>
      <w:proofErr w:type="spellEnd"/>
      <w:r>
        <w:rPr>
          <w:color w:val="000000"/>
        </w:rPr>
        <w:t xml:space="preserve"> (</w:t>
      </w:r>
      <w:proofErr w:type="spellStart"/>
      <w:r>
        <w:rPr>
          <w:color w:val="000000"/>
        </w:rPr>
        <w:t>restorancılık</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çoğu</w:t>
      </w:r>
      <w:proofErr w:type="spellEnd"/>
      <w:r>
        <w:rPr>
          <w:color w:val="000000"/>
        </w:rPr>
        <w:t xml:space="preserve"> zaman </w:t>
      </w:r>
      <w:proofErr w:type="spellStart"/>
      <w:r>
        <w:rPr>
          <w:color w:val="000000"/>
        </w:rPr>
        <w:t>küçük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bağımsız</w:t>
      </w:r>
      <w:proofErr w:type="spellEnd"/>
      <w:r>
        <w:rPr>
          <w:color w:val="000000"/>
        </w:rPr>
        <w:t xml:space="preserve"> </w:t>
      </w:r>
      <w:proofErr w:type="spellStart"/>
      <w:r>
        <w:rPr>
          <w:color w:val="000000"/>
        </w:rPr>
        <w:t>işletmeler</w:t>
      </w:r>
      <w:proofErr w:type="spellEnd"/>
      <w:r>
        <w:rPr>
          <w:color w:val="000000"/>
        </w:rPr>
        <w:t xml:space="preserve"> </w:t>
      </w:r>
      <w:proofErr w:type="spellStart"/>
      <w:r>
        <w:rPr>
          <w:color w:val="000000"/>
        </w:rPr>
        <w:t>yer</w:t>
      </w:r>
      <w:proofErr w:type="spellEnd"/>
      <w:r>
        <w:rPr>
          <w:color w:val="000000"/>
        </w:rPr>
        <w:t xml:space="preserve"> </w:t>
      </w:r>
      <w:proofErr w:type="spellStart"/>
      <w:r>
        <w:rPr>
          <w:color w:val="000000"/>
        </w:rPr>
        <w:t>almaktadır</w:t>
      </w:r>
      <w:proofErr w:type="spellEnd"/>
      <w:r>
        <w:rPr>
          <w:color w:val="000000"/>
        </w:rPr>
        <w:t xml:space="preserve">. Bu </w:t>
      </w:r>
      <w:proofErr w:type="spellStart"/>
      <w:r>
        <w:rPr>
          <w:color w:val="000000"/>
        </w:rPr>
        <w:t>işletmelerin</w:t>
      </w:r>
      <w:proofErr w:type="spellEnd"/>
      <w:r>
        <w:rPr>
          <w:color w:val="000000"/>
        </w:rPr>
        <w:t xml:space="preserve"> </w:t>
      </w:r>
      <w:proofErr w:type="spellStart"/>
      <w:r>
        <w:rPr>
          <w:color w:val="000000"/>
        </w:rPr>
        <w:t>sahipleri</w:t>
      </w:r>
      <w:proofErr w:type="spellEnd"/>
      <w:r>
        <w:rPr>
          <w:color w:val="000000"/>
        </w:rPr>
        <w:t xml:space="preserve"> de </w:t>
      </w:r>
      <w:proofErr w:type="spellStart"/>
      <w:r>
        <w:rPr>
          <w:color w:val="000000"/>
        </w:rPr>
        <w:t>gıda</w:t>
      </w:r>
      <w:proofErr w:type="spellEnd"/>
      <w:r>
        <w:rPr>
          <w:color w:val="000000"/>
        </w:rPr>
        <w:t xml:space="preserve"> </w:t>
      </w:r>
      <w:proofErr w:type="spellStart"/>
      <w:r>
        <w:rPr>
          <w:color w:val="000000"/>
        </w:rPr>
        <w:t>hijyeni</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yeterli</w:t>
      </w:r>
      <w:proofErr w:type="spellEnd"/>
      <w:r>
        <w:rPr>
          <w:color w:val="000000"/>
        </w:rPr>
        <w:t xml:space="preserve"> </w:t>
      </w:r>
      <w:proofErr w:type="spellStart"/>
      <w:r>
        <w:rPr>
          <w:color w:val="000000"/>
        </w:rPr>
        <w:t>bilgiye</w:t>
      </w:r>
      <w:proofErr w:type="spellEnd"/>
      <w:r>
        <w:rPr>
          <w:color w:val="000000"/>
        </w:rPr>
        <w:t xml:space="preserve"> </w:t>
      </w:r>
      <w:proofErr w:type="spellStart"/>
      <w:r>
        <w:rPr>
          <w:color w:val="000000"/>
        </w:rPr>
        <w:t>sahip</w:t>
      </w:r>
      <w:proofErr w:type="spellEnd"/>
      <w:r>
        <w:rPr>
          <w:color w:val="000000"/>
        </w:rPr>
        <w:t xml:space="preserve"> </w:t>
      </w:r>
      <w:proofErr w:type="spellStart"/>
      <w:r>
        <w:rPr>
          <w:color w:val="000000"/>
        </w:rPr>
        <w:t>değildir</w:t>
      </w:r>
      <w:proofErr w:type="spellEnd"/>
      <w:r>
        <w:rPr>
          <w:color w:val="000000"/>
        </w:rPr>
        <w:t xml:space="preserve">. Bu durum, </w:t>
      </w:r>
      <w:proofErr w:type="spellStart"/>
      <w:r>
        <w:rPr>
          <w:color w:val="000000"/>
        </w:rPr>
        <w:t>gıda</w:t>
      </w:r>
      <w:proofErr w:type="spellEnd"/>
      <w:r>
        <w:rPr>
          <w:color w:val="000000"/>
        </w:rPr>
        <w:t xml:space="preserve"> </w:t>
      </w:r>
      <w:proofErr w:type="spellStart"/>
      <w:r>
        <w:rPr>
          <w:color w:val="000000"/>
        </w:rPr>
        <w:t>kaynaklı</w:t>
      </w:r>
      <w:proofErr w:type="spellEnd"/>
      <w:r>
        <w:rPr>
          <w:color w:val="000000"/>
        </w:rPr>
        <w:t xml:space="preserve"> </w:t>
      </w:r>
      <w:proofErr w:type="spellStart"/>
      <w:r>
        <w:rPr>
          <w:color w:val="000000"/>
        </w:rPr>
        <w:t>hastalık</w:t>
      </w:r>
      <w:proofErr w:type="spellEnd"/>
      <w:r>
        <w:rPr>
          <w:color w:val="000000"/>
        </w:rPr>
        <w:t xml:space="preserve"> </w:t>
      </w:r>
      <w:proofErr w:type="spellStart"/>
      <w:r>
        <w:rPr>
          <w:color w:val="000000"/>
        </w:rPr>
        <w:t>salgınlarının</w:t>
      </w:r>
      <w:proofErr w:type="spellEnd"/>
      <w:r>
        <w:rPr>
          <w:color w:val="000000"/>
        </w:rPr>
        <w:t xml:space="preserve"> </w:t>
      </w:r>
      <w:proofErr w:type="spellStart"/>
      <w:r>
        <w:rPr>
          <w:color w:val="000000"/>
        </w:rPr>
        <w:t>yüksek</w:t>
      </w:r>
      <w:proofErr w:type="spellEnd"/>
      <w:r>
        <w:rPr>
          <w:color w:val="000000"/>
        </w:rPr>
        <w:t xml:space="preserve"> </w:t>
      </w:r>
      <w:proofErr w:type="spellStart"/>
      <w:r>
        <w:rPr>
          <w:color w:val="000000"/>
        </w:rPr>
        <w:t>olmasına</w:t>
      </w:r>
      <w:proofErr w:type="spellEnd"/>
      <w:r>
        <w:rPr>
          <w:color w:val="000000"/>
        </w:rPr>
        <w:t xml:space="preserve"> </w:t>
      </w:r>
      <w:proofErr w:type="spellStart"/>
      <w:r>
        <w:rPr>
          <w:color w:val="000000"/>
        </w:rPr>
        <w:t>neden</w:t>
      </w:r>
      <w:proofErr w:type="spellEnd"/>
      <w:r>
        <w:rPr>
          <w:color w:val="000000"/>
        </w:rPr>
        <w:t xml:space="preserve"> </w:t>
      </w:r>
      <w:proofErr w:type="spellStart"/>
      <w:r>
        <w:rPr>
          <w:color w:val="000000"/>
        </w:rPr>
        <w:t>olmaktadır</w:t>
      </w:r>
      <w:proofErr w:type="spellEnd"/>
      <w:r>
        <w:rPr>
          <w:color w:val="000000"/>
        </w:rPr>
        <w:t xml:space="preserve">. </w:t>
      </w:r>
      <w:proofErr w:type="spellStart"/>
      <w:r>
        <w:rPr>
          <w:color w:val="000000"/>
        </w:rPr>
        <w:t>Geleneksel</w:t>
      </w:r>
      <w:proofErr w:type="spellEnd"/>
      <w:r>
        <w:rPr>
          <w:color w:val="000000"/>
        </w:rPr>
        <w:t xml:space="preserve"> </w:t>
      </w:r>
      <w:proofErr w:type="spellStart"/>
      <w:r>
        <w:rPr>
          <w:color w:val="000000"/>
        </w:rPr>
        <w:t>yaklaşımlar</w:t>
      </w:r>
      <w:proofErr w:type="spellEnd"/>
      <w:r>
        <w:rPr>
          <w:color w:val="000000"/>
        </w:rPr>
        <w:t xml:space="preserve"> (</w:t>
      </w:r>
      <w:proofErr w:type="spellStart"/>
      <w:r>
        <w:rPr>
          <w:color w:val="000000"/>
        </w:rPr>
        <w:t>ürün</w:t>
      </w:r>
      <w:proofErr w:type="spellEnd"/>
      <w:r>
        <w:rPr>
          <w:color w:val="000000"/>
        </w:rPr>
        <w:t xml:space="preserve"> </w:t>
      </w:r>
      <w:proofErr w:type="spellStart"/>
      <w:r>
        <w:rPr>
          <w:color w:val="000000"/>
        </w:rPr>
        <w:t>testi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denetim</w:t>
      </w:r>
      <w:proofErr w:type="spellEnd"/>
      <w:r>
        <w:rPr>
          <w:color w:val="000000"/>
        </w:rPr>
        <w:t xml:space="preserve"> </w:t>
      </w:r>
      <w:proofErr w:type="spellStart"/>
      <w:r>
        <w:rPr>
          <w:color w:val="000000"/>
        </w:rPr>
        <w:t>gibi</w:t>
      </w:r>
      <w:proofErr w:type="spellEnd"/>
      <w:r>
        <w:rPr>
          <w:color w:val="000000"/>
        </w:rPr>
        <w:t xml:space="preserve">) modern </w:t>
      </w:r>
      <w:proofErr w:type="spellStart"/>
      <w:r>
        <w:rPr>
          <w:color w:val="000000"/>
        </w:rPr>
        <w:t>tehlikeleri</w:t>
      </w:r>
      <w:proofErr w:type="spellEnd"/>
      <w:r>
        <w:rPr>
          <w:color w:val="000000"/>
        </w:rPr>
        <w:t xml:space="preserve"> </w:t>
      </w:r>
      <w:proofErr w:type="spellStart"/>
      <w:r>
        <w:rPr>
          <w:color w:val="000000"/>
        </w:rPr>
        <w:t>kontrol</w:t>
      </w:r>
      <w:proofErr w:type="spellEnd"/>
      <w:r>
        <w:rPr>
          <w:color w:val="000000"/>
        </w:rPr>
        <w:t xml:space="preserve"> </w:t>
      </w:r>
      <w:proofErr w:type="spellStart"/>
      <w:r>
        <w:rPr>
          <w:color w:val="000000"/>
        </w:rPr>
        <w:t>etmekte</w:t>
      </w:r>
      <w:proofErr w:type="spellEnd"/>
      <w:r>
        <w:rPr>
          <w:color w:val="000000"/>
        </w:rPr>
        <w:t xml:space="preserve"> </w:t>
      </w:r>
      <w:proofErr w:type="spellStart"/>
      <w:r>
        <w:rPr>
          <w:color w:val="000000"/>
        </w:rPr>
        <w:t>yetersiz</w:t>
      </w:r>
      <w:proofErr w:type="spellEnd"/>
      <w:r>
        <w:rPr>
          <w:color w:val="000000"/>
        </w:rPr>
        <w:t xml:space="preserve"> </w:t>
      </w:r>
      <w:proofErr w:type="spellStart"/>
      <w:r>
        <w:rPr>
          <w:color w:val="000000"/>
        </w:rPr>
        <w:t>kaldığından</w:t>
      </w:r>
      <w:proofErr w:type="spellEnd"/>
      <w:r>
        <w:rPr>
          <w:color w:val="000000"/>
        </w:rPr>
        <w:t xml:space="preserve">, </w:t>
      </w:r>
      <w:proofErr w:type="spellStart"/>
      <w:r>
        <w:rPr>
          <w:color w:val="000000"/>
        </w:rPr>
        <w:t>endüstri</w:t>
      </w:r>
      <w:proofErr w:type="spellEnd"/>
      <w:r>
        <w:rPr>
          <w:color w:val="000000"/>
        </w:rPr>
        <w:t xml:space="preserve"> </w:t>
      </w:r>
      <w:proofErr w:type="spellStart"/>
      <w:r>
        <w:rPr>
          <w:color w:val="000000"/>
        </w:rPr>
        <w:t>yöneticileri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yasa</w:t>
      </w:r>
      <w:proofErr w:type="spellEnd"/>
      <w:r>
        <w:rPr>
          <w:color w:val="000000"/>
        </w:rPr>
        <w:t xml:space="preserve"> </w:t>
      </w:r>
      <w:proofErr w:type="spellStart"/>
      <w:r>
        <w:rPr>
          <w:color w:val="000000"/>
        </w:rPr>
        <w:t>koyucular</w:t>
      </w:r>
      <w:proofErr w:type="spellEnd"/>
      <w:r>
        <w:rPr>
          <w:color w:val="000000"/>
        </w:rPr>
        <w:t xml:space="preserve"> risk </w:t>
      </w:r>
      <w:proofErr w:type="spellStart"/>
      <w:r>
        <w:rPr>
          <w:color w:val="000000"/>
        </w:rPr>
        <w:t>bazlı</w:t>
      </w:r>
      <w:proofErr w:type="spellEnd"/>
      <w:r>
        <w:rPr>
          <w:color w:val="000000"/>
        </w:rPr>
        <w:t xml:space="preserve"> </w:t>
      </w:r>
      <w:proofErr w:type="spellStart"/>
      <w:r>
        <w:rPr>
          <w:color w:val="000000"/>
        </w:rPr>
        <w:t>hijyen</w:t>
      </w:r>
      <w:proofErr w:type="spellEnd"/>
      <w:r>
        <w:rPr>
          <w:color w:val="000000"/>
        </w:rPr>
        <w:t xml:space="preserve"> </w:t>
      </w:r>
      <w:proofErr w:type="spellStart"/>
      <w:r>
        <w:rPr>
          <w:color w:val="000000"/>
        </w:rPr>
        <w:t>sistemlerine</w:t>
      </w:r>
      <w:proofErr w:type="spellEnd"/>
      <w:r>
        <w:rPr>
          <w:color w:val="000000"/>
        </w:rPr>
        <w:t xml:space="preserve">, </w:t>
      </w:r>
      <w:proofErr w:type="spellStart"/>
      <w:r>
        <w:rPr>
          <w:color w:val="000000"/>
        </w:rPr>
        <w:t>özellikle</w:t>
      </w:r>
      <w:proofErr w:type="spellEnd"/>
      <w:r>
        <w:rPr>
          <w:color w:val="000000"/>
        </w:rPr>
        <w:t xml:space="preserve"> </w:t>
      </w:r>
      <w:proofErr w:type="spellStart"/>
      <w:r>
        <w:rPr>
          <w:color w:val="000000"/>
        </w:rPr>
        <w:t>HACCP'e</w:t>
      </w:r>
      <w:proofErr w:type="spellEnd"/>
      <w:r>
        <w:rPr>
          <w:color w:val="000000"/>
        </w:rPr>
        <w:t xml:space="preserve"> </w:t>
      </w:r>
      <w:proofErr w:type="spellStart"/>
      <w:r>
        <w:rPr>
          <w:color w:val="000000"/>
        </w:rPr>
        <w:t>yönelmiştir</w:t>
      </w:r>
      <w:proofErr w:type="spellEnd"/>
      <w:r>
        <w:rPr>
          <w:color w:val="000000"/>
        </w:rPr>
        <w:t xml:space="preserve">. HACCP, </w:t>
      </w:r>
      <w:proofErr w:type="spellStart"/>
      <w:r>
        <w:rPr>
          <w:color w:val="000000"/>
        </w:rPr>
        <w:t>gıda</w:t>
      </w:r>
      <w:proofErr w:type="spellEnd"/>
      <w:r>
        <w:rPr>
          <w:color w:val="000000"/>
        </w:rPr>
        <w:t xml:space="preserve"> </w:t>
      </w:r>
      <w:proofErr w:type="spellStart"/>
      <w:r>
        <w:rPr>
          <w:color w:val="000000"/>
        </w:rPr>
        <w:t>güvenliği</w:t>
      </w:r>
      <w:proofErr w:type="spellEnd"/>
      <w:r>
        <w:rPr>
          <w:color w:val="000000"/>
        </w:rPr>
        <w:t xml:space="preserve"> </w:t>
      </w:r>
      <w:proofErr w:type="spellStart"/>
      <w:r>
        <w:rPr>
          <w:color w:val="000000"/>
        </w:rPr>
        <w:t>tehlikelerini</w:t>
      </w:r>
      <w:proofErr w:type="spellEnd"/>
      <w:r>
        <w:rPr>
          <w:color w:val="000000"/>
        </w:rPr>
        <w:t xml:space="preserve"> </w:t>
      </w:r>
      <w:proofErr w:type="spellStart"/>
      <w:r>
        <w:rPr>
          <w:color w:val="000000"/>
        </w:rPr>
        <w:t>belirlemek</w:t>
      </w:r>
      <w:proofErr w:type="spellEnd"/>
      <w:r>
        <w:rPr>
          <w:color w:val="000000"/>
        </w:rPr>
        <w:t xml:space="preserve">, </w:t>
      </w:r>
      <w:proofErr w:type="spellStart"/>
      <w:r>
        <w:rPr>
          <w:color w:val="000000"/>
        </w:rPr>
        <w:t>nicel</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değerlendirmek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kontrol</w:t>
      </w:r>
      <w:proofErr w:type="spellEnd"/>
      <w:r>
        <w:rPr>
          <w:color w:val="000000"/>
        </w:rPr>
        <w:t xml:space="preserve"> </w:t>
      </w:r>
      <w:proofErr w:type="spellStart"/>
      <w:r>
        <w:rPr>
          <w:color w:val="000000"/>
        </w:rPr>
        <w:t>altına</w:t>
      </w:r>
      <w:proofErr w:type="spellEnd"/>
      <w:r>
        <w:rPr>
          <w:color w:val="000000"/>
        </w:rPr>
        <w:t xml:space="preserve"> </w:t>
      </w:r>
      <w:proofErr w:type="spellStart"/>
      <w:r>
        <w:rPr>
          <w:color w:val="000000"/>
        </w:rPr>
        <w:t>almak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işletmelere</w:t>
      </w:r>
      <w:proofErr w:type="spellEnd"/>
      <w:r>
        <w:rPr>
          <w:color w:val="000000"/>
        </w:rPr>
        <w:t xml:space="preserve"> </w:t>
      </w:r>
      <w:proofErr w:type="spellStart"/>
      <w:r>
        <w:rPr>
          <w:color w:val="000000"/>
        </w:rPr>
        <w:t>sağduyulu</w:t>
      </w:r>
      <w:proofErr w:type="spellEnd"/>
      <w:r>
        <w:rPr>
          <w:color w:val="000000"/>
        </w:rPr>
        <w:t xml:space="preserve"> </w:t>
      </w:r>
      <w:proofErr w:type="spellStart"/>
      <w:r>
        <w:rPr>
          <w:color w:val="000000"/>
        </w:rPr>
        <w:t>yaklaşım</w:t>
      </w:r>
      <w:proofErr w:type="spellEnd"/>
      <w:r>
        <w:rPr>
          <w:color w:val="000000"/>
        </w:rPr>
        <w:t xml:space="preserve"> </w:t>
      </w:r>
      <w:proofErr w:type="spellStart"/>
      <w:r>
        <w:rPr>
          <w:color w:val="000000"/>
        </w:rPr>
        <w:t>sunmaktadır</w:t>
      </w:r>
      <w:proofErr w:type="spellEnd"/>
      <w:r>
        <w:rPr>
          <w:color w:val="000000"/>
        </w:rPr>
        <w:t xml:space="preserve">. </w:t>
      </w:r>
      <w:proofErr w:type="spellStart"/>
      <w:r>
        <w:rPr>
          <w:color w:val="000000"/>
        </w:rPr>
        <w:t>Sürecin</w:t>
      </w:r>
      <w:proofErr w:type="spellEnd"/>
      <w:r>
        <w:rPr>
          <w:color w:val="000000"/>
        </w:rPr>
        <w:t xml:space="preserve"> </w:t>
      </w:r>
      <w:proofErr w:type="spellStart"/>
      <w:r>
        <w:rPr>
          <w:color w:val="000000"/>
        </w:rPr>
        <w:t>ayrıntılı</w:t>
      </w:r>
      <w:proofErr w:type="spellEnd"/>
      <w:r>
        <w:rPr>
          <w:color w:val="000000"/>
        </w:rPr>
        <w:t xml:space="preserve"> </w:t>
      </w:r>
      <w:proofErr w:type="spellStart"/>
      <w:r>
        <w:rPr>
          <w:color w:val="000000"/>
        </w:rPr>
        <w:t>incelenmesine</w:t>
      </w:r>
      <w:proofErr w:type="spellEnd"/>
      <w:r>
        <w:rPr>
          <w:color w:val="000000"/>
        </w:rPr>
        <w:t xml:space="preserve"> </w:t>
      </w:r>
      <w:proofErr w:type="spellStart"/>
      <w:r>
        <w:rPr>
          <w:color w:val="000000"/>
        </w:rPr>
        <w:t>olanak</w:t>
      </w:r>
      <w:proofErr w:type="spellEnd"/>
      <w:r>
        <w:rPr>
          <w:color w:val="000000"/>
        </w:rPr>
        <w:t xml:space="preserve"> </w:t>
      </w:r>
      <w:proofErr w:type="spellStart"/>
      <w:r>
        <w:rPr>
          <w:color w:val="000000"/>
        </w:rPr>
        <w:t>tanıyan</w:t>
      </w:r>
      <w:proofErr w:type="spellEnd"/>
      <w:r>
        <w:rPr>
          <w:color w:val="000000"/>
        </w:rPr>
        <w:t xml:space="preserve"> </w:t>
      </w:r>
      <w:proofErr w:type="spellStart"/>
      <w:r>
        <w:rPr>
          <w:color w:val="000000"/>
        </w:rPr>
        <w:t>çerçeve</w:t>
      </w:r>
      <w:proofErr w:type="spellEnd"/>
      <w:r>
        <w:rPr>
          <w:color w:val="000000"/>
        </w:rPr>
        <w:t xml:space="preserve"> </w:t>
      </w:r>
      <w:proofErr w:type="spellStart"/>
      <w:r>
        <w:rPr>
          <w:color w:val="000000"/>
        </w:rPr>
        <w:t>oluşturup</w:t>
      </w:r>
      <w:proofErr w:type="spellEnd"/>
      <w:r>
        <w:rPr>
          <w:color w:val="000000"/>
        </w:rPr>
        <w:t xml:space="preserve"> </w:t>
      </w:r>
      <w:proofErr w:type="spellStart"/>
      <w:r>
        <w:rPr>
          <w:color w:val="000000"/>
        </w:rPr>
        <w:t>tehlikelerin</w:t>
      </w:r>
      <w:proofErr w:type="spellEnd"/>
      <w:r>
        <w:rPr>
          <w:color w:val="000000"/>
        </w:rPr>
        <w:t xml:space="preserve"> </w:t>
      </w:r>
      <w:proofErr w:type="spellStart"/>
      <w:r>
        <w:rPr>
          <w:color w:val="000000"/>
        </w:rPr>
        <w:t>nerede</w:t>
      </w:r>
      <w:proofErr w:type="spellEnd"/>
      <w:r>
        <w:rPr>
          <w:color w:val="000000"/>
        </w:rPr>
        <w:t xml:space="preserve"> </w:t>
      </w:r>
      <w:proofErr w:type="spellStart"/>
      <w:r>
        <w:rPr>
          <w:color w:val="000000"/>
        </w:rPr>
        <w:t>kontrol</w:t>
      </w:r>
      <w:proofErr w:type="spellEnd"/>
      <w:r>
        <w:rPr>
          <w:color w:val="000000"/>
        </w:rPr>
        <w:t xml:space="preserve"> </w:t>
      </w:r>
      <w:proofErr w:type="spellStart"/>
      <w:r>
        <w:rPr>
          <w:color w:val="000000"/>
        </w:rPr>
        <w:t>edilebileceğini</w:t>
      </w:r>
      <w:proofErr w:type="spellEnd"/>
      <w:r>
        <w:rPr>
          <w:color w:val="000000"/>
        </w:rPr>
        <w:t xml:space="preserve"> </w:t>
      </w:r>
      <w:proofErr w:type="spellStart"/>
      <w:r>
        <w:rPr>
          <w:color w:val="000000"/>
        </w:rPr>
        <w:t>belirlemektedir</w:t>
      </w:r>
      <w:proofErr w:type="spellEnd"/>
      <w:r>
        <w:rPr>
          <w:color w:val="000000"/>
        </w:rPr>
        <w:t xml:space="preserve">. HACCP, </w:t>
      </w:r>
      <w:proofErr w:type="spellStart"/>
      <w:r>
        <w:rPr>
          <w:color w:val="000000"/>
        </w:rPr>
        <w:t>tehlikelerin</w:t>
      </w:r>
      <w:proofErr w:type="spellEnd"/>
      <w:r>
        <w:rPr>
          <w:color w:val="000000"/>
        </w:rPr>
        <w:t xml:space="preserve"> </w:t>
      </w:r>
      <w:proofErr w:type="spellStart"/>
      <w:r>
        <w:rPr>
          <w:color w:val="000000"/>
        </w:rPr>
        <w:t>önceden</w:t>
      </w:r>
      <w:proofErr w:type="spellEnd"/>
      <w:r>
        <w:rPr>
          <w:color w:val="000000"/>
        </w:rPr>
        <w:t xml:space="preserve"> </w:t>
      </w:r>
      <w:proofErr w:type="spellStart"/>
      <w:r>
        <w:rPr>
          <w:color w:val="000000"/>
        </w:rPr>
        <w:t>belirlenip</w:t>
      </w:r>
      <w:proofErr w:type="spellEnd"/>
      <w:r>
        <w:rPr>
          <w:color w:val="000000"/>
        </w:rPr>
        <w:t xml:space="preserve"> </w:t>
      </w:r>
      <w:proofErr w:type="spellStart"/>
      <w:r>
        <w:rPr>
          <w:color w:val="000000"/>
        </w:rPr>
        <w:t>kontrol</w:t>
      </w:r>
      <w:proofErr w:type="spellEnd"/>
      <w:r>
        <w:rPr>
          <w:color w:val="000000"/>
        </w:rPr>
        <w:t xml:space="preserve"> </w:t>
      </w:r>
      <w:proofErr w:type="spellStart"/>
      <w:r>
        <w:rPr>
          <w:color w:val="000000"/>
        </w:rPr>
        <w:t>edilmesini</w:t>
      </w:r>
      <w:proofErr w:type="spellEnd"/>
      <w:r>
        <w:rPr>
          <w:color w:val="000000"/>
        </w:rPr>
        <w:t xml:space="preserve"> </w:t>
      </w:r>
      <w:proofErr w:type="spellStart"/>
      <w:r>
        <w:rPr>
          <w:color w:val="000000"/>
        </w:rPr>
        <w:t>sağlayarak</w:t>
      </w:r>
      <w:proofErr w:type="spellEnd"/>
      <w:r>
        <w:rPr>
          <w:color w:val="000000"/>
        </w:rPr>
        <w:t xml:space="preserve"> </w:t>
      </w:r>
      <w:proofErr w:type="spellStart"/>
      <w:r>
        <w:rPr>
          <w:color w:val="000000"/>
        </w:rPr>
        <w:t>güvenli</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üretimini</w:t>
      </w:r>
      <w:proofErr w:type="spellEnd"/>
      <w:r>
        <w:rPr>
          <w:color w:val="000000"/>
        </w:rPr>
        <w:t xml:space="preserve"> </w:t>
      </w:r>
      <w:proofErr w:type="spellStart"/>
      <w:r>
        <w:rPr>
          <w:color w:val="000000"/>
        </w:rPr>
        <w:t>hedeflemektedir</w:t>
      </w:r>
      <w:proofErr w:type="spellEnd"/>
      <w:r>
        <w:rPr>
          <w:color w:val="000000"/>
        </w:rPr>
        <w:t xml:space="preserve">. </w:t>
      </w:r>
      <w:proofErr w:type="spellStart"/>
      <w:r>
        <w:rPr>
          <w:color w:val="000000"/>
        </w:rPr>
        <w:t>Ancak</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hizmeti</w:t>
      </w:r>
      <w:proofErr w:type="spellEnd"/>
      <w:r>
        <w:rPr>
          <w:color w:val="000000"/>
        </w:rPr>
        <w:t xml:space="preserve"> </w:t>
      </w:r>
      <w:proofErr w:type="spellStart"/>
      <w:r>
        <w:rPr>
          <w:color w:val="000000"/>
        </w:rPr>
        <w:t>sektöründe</w:t>
      </w:r>
      <w:proofErr w:type="spellEnd"/>
      <w:r>
        <w:rPr>
          <w:color w:val="000000"/>
        </w:rPr>
        <w:t xml:space="preserve"> </w:t>
      </w:r>
      <w:proofErr w:type="spellStart"/>
      <w:r>
        <w:rPr>
          <w:color w:val="000000"/>
        </w:rPr>
        <w:t>uygulanması</w:t>
      </w:r>
      <w:proofErr w:type="spellEnd"/>
      <w:r>
        <w:rPr>
          <w:color w:val="000000"/>
        </w:rPr>
        <w:t xml:space="preserve"> </w:t>
      </w:r>
      <w:proofErr w:type="spellStart"/>
      <w:r>
        <w:rPr>
          <w:color w:val="000000"/>
        </w:rPr>
        <w:t>zor</w:t>
      </w:r>
      <w:proofErr w:type="spellEnd"/>
      <w:r>
        <w:rPr>
          <w:color w:val="000000"/>
        </w:rPr>
        <w:t xml:space="preserve"> </w:t>
      </w:r>
      <w:proofErr w:type="spellStart"/>
      <w:r>
        <w:rPr>
          <w:color w:val="000000"/>
        </w:rPr>
        <w:t>olmuştur</w:t>
      </w:r>
      <w:proofErr w:type="spellEnd"/>
      <w:r>
        <w:rPr>
          <w:color w:val="000000"/>
        </w:rPr>
        <w:t xml:space="preserve">. Bu </w:t>
      </w:r>
      <w:proofErr w:type="spellStart"/>
      <w:r>
        <w:rPr>
          <w:color w:val="000000"/>
        </w:rPr>
        <w:t>zorluklar</w:t>
      </w:r>
      <w:proofErr w:type="spellEnd"/>
      <w:r>
        <w:rPr>
          <w:color w:val="000000"/>
        </w:rPr>
        <w:t xml:space="preserve"> </w:t>
      </w:r>
      <w:proofErr w:type="spellStart"/>
      <w:r>
        <w:rPr>
          <w:color w:val="000000"/>
        </w:rPr>
        <w:t>arasında</w:t>
      </w:r>
      <w:proofErr w:type="spellEnd"/>
      <w:r>
        <w:rPr>
          <w:color w:val="000000"/>
        </w:rPr>
        <w:t xml:space="preserve"> </w:t>
      </w:r>
      <w:proofErr w:type="spellStart"/>
      <w:r>
        <w:rPr>
          <w:color w:val="000000"/>
        </w:rPr>
        <w:t>bilgi</w:t>
      </w:r>
      <w:proofErr w:type="spellEnd"/>
      <w:r>
        <w:rPr>
          <w:color w:val="000000"/>
        </w:rPr>
        <w:t xml:space="preserve"> </w:t>
      </w:r>
      <w:proofErr w:type="spellStart"/>
      <w:r>
        <w:rPr>
          <w:color w:val="000000"/>
        </w:rPr>
        <w:t>eksikliği</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yetersizliği</w:t>
      </w:r>
      <w:proofErr w:type="spellEnd"/>
      <w:r>
        <w:rPr>
          <w:color w:val="000000"/>
        </w:rPr>
        <w:t xml:space="preserve">, </w:t>
      </w:r>
      <w:proofErr w:type="spellStart"/>
      <w:r>
        <w:rPr>
          <w:color w:val="000000"/>
        </w:rPr>
        <w:t>yüksek</w:t>
      </w:r>
      <w:proofErr w:type="spellEnd"/>
      <w:r>
        <w:rPr>
          <w:color w:val="000000"/>
        </w:rPr>
        <w:t xml:space="preserve"> </w:t>
      </w:r>
      <w:proofErr w:type="spellStart"/>
      <w:r>
        <w:rPr>
          <w:color w:val="000000"/>
        </w:rPr>
        <w:t>personel</w:t>
      </w:r>
      <w:proofErr w:type="spellEnd"/>
      <w:r>
        <w:rPr>
          <w:color w:val="000000"/>
        </w:rPr>
        <w:t xml:space="preserve"> </w:t>
      </w:r>
      <w:proofErr w:type="spellStart"/>
      <w:r>
        <w:rPr>
          <w:color w:val="000000"/>
        </w:rPr>
        <w:t>devri</w:t>
      </w:r>
      <w:proofErr w:type="spellEnd"/>
      <w:r>
        <w:rPr>
          <w:color w:val="000000"/>
        </w:rPr>
        <w:t xml:space="preserve">, </w:t>
      </w:r>
      <w:proofErr w:type="spellStart"/>
      <w:r>
        <w:rPr>
          <w:color w:val="000000"/>
        </w:rPr>
        <w:t>değişken</w:t>
      </w:r>
      <w:proofErr w:type="spellEnd"/>
      <w:r>
        <w:rPr>
          <w:color w:val="000000"/>
        </w:rPr>
        <w:t xml:space="preserve"> </w:t>
      </w:r>
      <w:proofErr w:type="spellStart"/>
      <w:r>
        <w:rPr>
          <w:color w:val="000000"/>
        </w:rPr>
        <w:t>iş</w:t>
      </w:r>
      <w:proofErr w:type="spellEnd"/>
      <w:r>
        <w:rPr>
          <w:color w:val="000000"/>
        </w:rPr>
        <w:t xml:space="preserve"> </w:t>
      </w:r>
      <w:proofErr w:type="spellStart"/>
      <w:r>
        <w:rPr>
          <w:color w:val="000000"/>
        </w:rPr>
        <w:t>yükleri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büyük</w:t>
      </w:r>
      <w:proofErr w:type="spellEnd"/>
      <w:r>
        <w:rPr>
          <w:color w:val="000000"/>
        </w:rPr>
        <w:t xml:space="preserve"> </w:t>
      </w:r>
      <w:proofErr w:type="spellStart"/>
      <w:r>
        <w:rPr>
          <w:color w:val="000000"/>
        </w:rPr>
        <w:t>ürün</w:t>
      </w:r>
      <w:proofErr w:type="spellEnd"/>
      <w:r>
        <w:rPr>
          <w:color w:val="000000"/>
        </w:rPr>
        <w:t xml:space="preserve"> </w:t>
      </w:r>
      <w:proofErr w:type="spellStart"/>
      <w:r>
        <w:rPr>
          <w:color w:val="000000"/>
        </w:rPr>
        <w:t>çeşitliliği</w:t>
      </w:r>
      <w:proofErr w:type="spellEnd"/>
      <w:r>
        <w:rPr>
          <w:color w:val="000000"/>
        </w:rPr>
        <w:t xml:space="preserve"> </w:t>
      </w:r>
      <w:proofErr w:type="spellStart"/>
      <w:r>
        <w:rPr>
          <w:color w:val="000000"/>
        </w:rPr>
        <w:t>yer</w:t>
      </w:r>
      <w:proofErr w:type="spellEnd"/>
      <w:r>
        <w:rPr>
          <w:color w:val="000000"/>
        </w:rPr>
        <w:t xml:space="preserve"> </w:t>
      </w:r>
      <w:proofErr w:type="spellStart"/>
      <w:r>
        <w:rPr>
          <w:color w:val="000000"/>
        </w:rPr>
        <w:t>almaktadır</w:t>
      </w:r>
      <w:proofErr w:type="spellEnd"/>
      <w:r>
        <w:rPr>
          <w:color w:val="000000"/>
        </w:rPr>
        <w:t xml:space="preserve">. </w:t>
      </w:r>
      <w:proofErr w:type="spellStart"/>
      <w:r>
        <w:rPr>
          <w:color w:val="000000"/>
        </w:rPr>
        <w:t>Ayrıca</w:t>
      </w:r>
      <w:proofErr w:type="spellEnd"/>
      <w:r>
        <w:rPr>
          <w:color w:val="000000"/>
        </w:rPr>
        <w:t xml:space="preserve">, </w:t>
      </w:r>
      <w:proofErr w:type="spellStart"/>
      <w:r>
        <w:rPr>
          <w:color w:val="000000"/>
        </w:rPr>
        <w:t>restoranlarda</w:t>
      </w:r>
      <w:proofErr w:type="spellEnd"/>
      <w:r>
        <w:rPr>
          <w:color w:val="000000"/>
        </w:rPr>
        <w:t xml:space="preserve"> </w:t>
      </w:r>
      <w:proofErr w:type="spellStart"/>
      <w:r>
        <w:rPr>
          <w:color w:val="000000"/>
        </w:rPr>
        <w:t>yemek</w:t>
      </w:r>
      <w:proofErr w:type="spellEnd"/>
      <w:r>
        <w:rPr>
          <w:color w:val="000000"/>
        </w:rPr>
        <w:t xml:space="preserve"> </w:t>
      </w:r>
      <w:proofErr w:type="spellStart"/>
      <w:r>
        <w:rPr>
          <w:color w:val="000000"/>
        </w:rPr>
        <w:t>piştikten</w:t>
      </w:r>
      <w:proofErr w:type="spellEnd"/>
      <w:r>
        <w:rPr>
          <w:color w:val="000000"/>
        </w:rPr>
        <w:t xml:space="preserve"> </w:t>
      </w:r>
      <w:proofErr w:type="spellStart"/>
      <w:r>
        <w:rPr>
          <w:color w:val="000000"/>
        </w:rPr>
        <w:t>sonra</w:t>
      </w:r>
      <w:proofErr w:type="spellEnd"/>
      <w:r>
        <w:rPr>
          <w:color w:val="000000"/>
        </w:rPr>
        <w:t xml:space="preserve"> </w:t>
      </w:r>
      <w:proofErr w:type="spellStart"/>
      <w:r>
        <w:rPr>
          <w:color w:val="000000"/>
        </w:rPr>
        <w:t>yapılan</w:t>
      </w:r>
      <w:proofErr w:type="spellEnd"/>
      <w:r>
        <w:rPr>
          <w:color w:val="000000"/>
        </w:rPr>
        <w:t xml:space="preserve"> </w:t>
      </w:r>
      <w:proofErr w:type="spellStart"/>
      <w:r>
        <w:rPr>
          <w:color w:val="000000"/>
        </w:rPr>
        <w:t>yoğun</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işleme</w:t>
      </w:r>
      <w:proofErr w:type="spellEnd"/>
      <w:r>
        <w:rPr>
          <w:color w:val="000000"/>
        </w:rPr>
        <w:t xml:space="preserve">, </w:t>
      </w:r>
      <w:proofErr w:type="spellStart"/>
      <w:r>
        <w:rPr>
          <w:color w:val="000000"/>
        </w:rPr>
        <w:t>kontaminasyon</w:t>
      </w:r>
      <w:proofErr w:type="spellEnd"/>
      <w:r>
        <w:rPr>
          <w:color w:val="000000"/>
        </w:rPr>
        <w:t xml:space="preserve"> </w:t>
      </w:r>
      <w:proofErr w:type="spellStart"/>
      <w:r>
        <w:rPr>
          <w:color w:val="000000"/>
        </w:rPr>
        <w:t>riskini</w:t>
      </w:r>
      <w:proofErr w:type="spellEnd"/>
      <w:r>
        <w:rPr>
          <w:color w:val="000000"/>
        </w:rPr>
        <w:t xml:space="preserve"> </w:t>
      </w:r>
      <w:proofErr w:type="spellStart"/>
      <w:r>
        <w:rPr>
          <w:color w:val="000000"/>
        </w:rPr>
        <w:t>artırmaktadır</w:t>
      </w:r>
      <w:proofErr w:type="spellEnd"/>
      <w:r>
        <w:rPr>
          <w:color w:val="000000"/>
        </w:rPr>
        <w:t xml:space="preserve"> (Eves &amp; </w:t>
      </w:r>
      <w:proofErr w:type="spellStart"/>
      <w:r>
        <w:rPr>
          <w:color w:val="000000"/>
        </w:rPr>
        <w:t>Dervisi</w:t>
      </w:r>
      <w:proofErr w:type="spellEnd"/>
      <w:r>
        <w:rPr>
          <w:color w:val="000000"/>
        </w:rPr>
        <w:t xml:space="preserve">, 2005). </w:t>
      </w:r>
      <w:proofErr w:type="spellStart"/>
      <w:r>
        <w:rPr>
          <w:color w:val="000000"/>
        </w:rPr>
        <w:t>Menü</w:t>
      </w:r>
      <w:proofErr w:type="spellEnd"/>
      <w:r>
        <w:rPr>
          <w:color w:val="000000"/>
        </w:rPr>
        <w:t xml:space="preserve"> </w:t>
      </w:r>
      <w:proofErr w:type="spellStart"/>
      <w:r>
        <w:rPr>
          <w:color w:val="000000"/>
        </w:rPr>
        <w:t>operasyonları</w:t>
      </w:r>
      <w:proofErr w:type="spellEnd"/>
      <w:r>
        <w:rPr>
          <w:color w:val="000000"/>
        </w:rPr>
        <w:t xml:space="preserve">, </w:t>
      </w:r>
      <w:proofErr w:type="spellStart"/>
      <w:r>
        <w:rPr>
          <w:color w:val="000000"/>
        </w:rPr>
        <w:t>menüdeki</w:t>
      </w:r>
      <w:proofErr w:type="spellEnd"/>
      <w:r>
        <w:rPr>
          <w:color w:val="000000"/>
        </w:rPr>
        <w:t xml:space="preserve"> </w:t>
      </w:r>
      <w:proofErr w:type="spellStart"/>
      <w:r>
        <w:rPr>
          <w:color w:val="000000"/>
        </w:rPr>
        <w:t>ürünlerin</w:t>
      </w:r>
      <w:proofErr w:type="spellEnd"/>
      <w:r>
        <w:rPr>
          <w:color w:val="000000"/>
        </w:rPr>
        <w:t xml:space="preserve"> </w:t>
      </w:r>
      <w:proofErr w:type="spellStart"/>
      <w:r>
        <w:rPr>
          <w:color w:val="000000"/>
        </w:rPr>
        <w:t>üretim</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servis</w:t>
      </w:r>
      <w:proofErr w:type="spellEnd"/>
      <w:r>
        <w:rPr>
          <w:color w:val="000000"/>
        </w:rPr>
        <w:t xml:space="preserve"> </w:t>
      </w:r>
      <w:proofErr w:type="spellStart"/>
      <w:r>
        <w:rPr>
          <w:color w:val="000000"/>
        </w:rPr>
        <w:t>süreçlerinin</w:t>
      </w:r>
      <w:proofErr w:type="spellEnd"/>
      <w:r>
        <w:rPr>
          <w:color w:val="000000"/>
        </w:rPr>
        <w:t xml:space="preserve"> </w:t>
      </w:r>
      <w:proofErr w:type="spellStart"/>
      <w:r>
        <w:rPr>
          <w:color w:val="000000"/>
        </w:rPr>
        <w:t>yönetimini</w:t>
      </w:r>
      <w:proofErr w:type="spellEnd"/>
      <w:r>
        <w:rPr>
          <w:color w:val="000000"/>
        </w:rPr>
        <w:t xml:space="preserve"> </w:t>
      </w:r>
      <w:proofErr w:type="spellStart"/>
      <w:r>
        <w:rPr>
          <w:color w:val="000000"/>
        </w:rPr>
        <w:t>kapsamaktadır</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yöneticileri</w:t>
      </w:r>
      <w:proofErr w:type="spellEnd"/>
      <w:r>
        <w:rPr>
          <w:color w:val="000000"/>
        </w:rPr>
        <w:t xml:space="preserve">, </w:t>
      </w:r>
      <w:proofErr w:type="spellStart"/>
      <w:r>
        <w:rPr>
          <w:color w:val="000000"/>
        </w:rPr>
        <w:t>kalite</w:t>
      </w:r>
      <w:proofErr w:type="spellEnd"/>
      <w:r>
        <w:rPr>
          <w:color w:val="000000"/>
        </w:rPr>
        <w:t xml:space="preserve">, </w:t>
      </w:r>
      <w:proofErr w:type="spellStart"/>
      <w:r>
        <w:rPr>
          <w:color w:val="000000"/>
        </w:rPr>
        <w:t>hijyen</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faktörleri</w:t>
      </w:r>
      <w:proofErr w:type="spellEnd"/>
      <w:r>
        <w:rPr>
          <w:color w:val="000000"/>
        </w:rPr>
        <w:t xml:space="preserve"> </w:t>
      </w:r>
      <w:proofErr w:type="spellStart"/>
      <w:r>
        <w:rPr>
          <w:color w:val="000000"/>
        </w:rPr>
        <w:t>göz</w:t>
      </w:r>
      <w:proofErr w:type="spellEnd"/>
      <w:r>
        <w:rPr>
          <w:color w:val="000000"/>
        </w:rPr>
        <w:t xml:space="preserve"> </w:t>
      </w:r>
      <w:proofErr w:type="spellStart"/>
      <w:r>
        <w:rPr>
          <w:color w:val="000000"/>
        </w:rPr>
        <w:t>önünde</w:t>
      </w:r>
      <w:proofErr w:type="spellEnd"/>
      <w:r>
        <w:rPr>
          <w:color w:val="000000"/>
        </w:rPr>
        <w:t xml:space="preserve"> </w:t>
      </w:r>
      <w:proofErr w:type="spellStart"/>
      <w:r>
        <w:rPr>
          <w:color w:val="000000"/>
        </w:rPr>
        <w:t>bulundurarak</w:t>
      </w:r>
      <w:proofErr w:type="spellEnd"/>
      <w:r>
        <w:rPr>
          <w:color w:val="000000"/>
        </w:rPr>
        <w:t xml:space="preserve"> </w:t>
      </w:r>
      <w:proofErr w:type="spellStart"/>
      <w:r>
        <w:rPr>
          <w:color w:val="000000"/>
        </w:rPr>
        <w:t>standart</w:t>
      </w:r>
      <w:proofErr w:type="spellEnd"/>
      <w:r>
        <w:rPr>
          <w:color w:val="000000"/>
        </w:rPr>
        <w:t xml:space="preserve"> </w:t>
      </w:r>
      <w:proofErr w:type="spellStart"/>
      <w:r>
        <w:rPr>
          <w:color w:val="000000"/>
        </w:rPr>
        <w:t>tarifler</w:t>
      </w:r>
      <w:proofErr w:type="spellEnd"/>
      <w:r>
        <w:rPr>
          <w:color w:val="000000"/>
        </w:rPr>
        <w:t xml:space="preserve">, </w:t>
      </w:r>
      <w:proofErr w:type="spellStart"/>
      <w:r>
        <w:rPr>
          <w:color w:val="000000"/>
        </w:rPr>
        <w:t>porsiyon</w:t>
      </w:r>
      <w:proofErr w:type="spellEnd"/>
      <w:r>
        <w:rPr>
          <w:color w:val="000000"/>
        </w:rPr>
        <w:t xml:space="preserve"> </w:t>
      </w:r>
      <w:proofErr w:type="spellStart"/>
      <w:r>
        <w:rPr>
          <w:color w:val="000000"/>
        </w:rPr>
        <w:t>kontrolü</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güvenliği</w:t>
      </w:r>
      <w:proofErr w:type="spellEnd"/>
      <w:r>
        <w:rPr>
          <w:color w:val="000000"/>
        </w:rPr>
        <w:t xml:space="preserve"> </w:t>
      </w:r>
      <w:proofErr w:type="spellStart"/>
      <w:r>
        <w:rPr>
          <w:color w:val="000000"/>
        </w:rPr>
        <w:t>uygulamalarını</w:t>
      </w:r>
      <w:proofErr w:type="spellEnd"/>
      <w:r>
        <w:rPr>
          <w:color w:val="000000"/>
        </w:rPr>
        <w:t xml:space="preserve"> </w:t>
      </w:r>
      <w:proofErr w:type="spellStart"/>
      <w:r>
        <w:rPr>
          <w:color w:val="000000"/>
        </w:rPr>
        <w:t>sürdürmelidir</w:t>
      </w:r>
      <w:proofErr w:type="spellEnd"/>
      <w:r>
        <w:rPr>
          <w:color w:val="000000"/>
        </w:rPr>
        <w:t xml:space="preserve">. HACCP </w:t>
      </w:r>
      <w:proofErr w:type="spellStart"/>
      <w:r>
        <w:rPr>
          <w:color w:val="000000"/>
        </w:rPr>
        <w:t>gibi</w:t>
      </w:r>
      <w:proofErr w:type="spellEnd"/>
      <w:r>
        <w:rPr>
          <w:color w:val="000000"/>
        </w:rPr>
        <w:t xml:space="preserve"> </w:t>
      </w:r>
      <w:proofErr w:type="spellStart"/>
      <w:r>
        <w:rPr>
          <w:color w:val="000000"/>
        </w:rPr>
        <w:t>sistemler</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güvenliği</w:t>
      </w:r>
      <w:proofErr w:type="spellEnd"/>
      <w:r>
        <w:rPr>
          <w:color w:val="000000"/>
        </w:rPr>
        <w:t xml:space="preserve"> </w:t>
      </w:r>
      <w:proofErr w:type="spellStart"/>
      <w:r>
        <w:rPr>
          <w:color w:val="000000"/>
        </w:rPr>
        <w:t>sağlamada</w:t>
      </w:r>
      <w:proofErr w:type="spellEnd"/>
      <w:r>
        <w:rPr>
          <w:color w:val="000000"/>
        </w:rPr>
        <w:t xml:space="preserve"> </w:t>
      </w:r>
      <w:proofErr w:type="spellStart"/>
      <w:r>
        <w:rPr>
          <w:color w:val="000000"/>
        </w:rPr>
        <w:t>önemlidir</w:t>
      </w:r>
      <w:proofErr w:type="spellEnd"/>
      <w:r>
        <w:rPr>
          <w:color w:val="000000"/>
        </w:rPr>
        <w:t xml:space="preserve">. Doğru </w:t>
      </w:r>
      <w:proofErr w:type="spellStart"/>
      <w:r>
        <w:rPr>
          <w:color w:val="000000"/>
        </w:rPr>
        <w:t>talep</w:t>
      </w:r>
      <w:proofErr w:type="spellEnd"/>
      <w:r>
        <w:rPr>
          <w:color w:val="000000"/>
        </w:rPr>
        <w:t xml:space="preserve"> </w:t>
      </w:r>
      <w:proofErr w:type="spellStart"/>
      <w:r>
        <w:rPr>
          <w:color w:val="000000"/>
        </w:rPr>
        <w:t>tahminleri</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memnuniyetini</w:t>
      </w:r>
      <w:proofErr w:type="spellEnd"/>
      <w:r>
        <w:rPr>
          <w:color w:val="000000"/>
        </w:rPr>
        <w:t xml:space="preserve"> </w:t>
      </w:r>
      <w:proofErr w:type="spellStart"/>
      <w:r>
        <w:rPr>
          <w:color w:val="000000"/>
        </w:rPr>
        <w:t>artırırken</w:t>
      </w:r>
      <w:proofErr w:type="spellEnd"/>
      <w:r>
        <w:rPr>
          <w:color w:val="000000"/>
        </w:rPr>
        <w:t xml:space="preserve"> </w:t>
      </w:r>
      <w:proofErr w:type="spellStart"/>
      <w:r>
        <w:rPr>
          <w:color w:val="000000"/>
        </w:rPr>
        <w:t>israfı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maliyetleri</w:t>
      </w:r>
      <w:proofErr w:type="spellEnd"/>
      <w:r>
        <w:rPr>
          <w:color w:val="000000"/>
        </w:rPr>
        <w:t xml:space="preserve"> </w:t>
      </w:r>
      <w:proofErr w:type="spellStart"/>
      <w:r>
        <w:rPr>
          <w:color w:val="000000"/>
        </w:rPr>
        <w:t>azaltmaktadır</w:t>
      </w:r>
      <w:proofErr w:type="spellEnd"/>
      <w:r>
        <w:rPr>
          <w:color w:val="000000"/>
        </w:rPr>
        <w:t xml:space="preserve">. Basit </w:t>
      </w:r>
      <w:proofErr w:type="spellStart"/>
      <w:r>
        <w:rPr>
          <w:color w:val="000000"/>
        </w:rPr>
        <w:t>ve</w:t>
      </w:r>
      <w:proofErr w:type="spellEnd"/>
      <w:r>
        <w:rPr>
          <w:color w:val="000000"/>
        </w:rPr>
        <w:t xml:space="preserve"> zaman </w:t>
      </w:r>
      <w:proofErr w:type="spellStart"/>
      <w:r>
        <w:rPr>
          <w:color w:val="000000"/>
        </w:rPr>
        <w:t>kazandıran</w:t>
      </w:r>
      <w:proofErr w:type="spellEnd"/>
      <w:r>
        <w:rPr>
          <w:color w:val="000000"/>
        </w:rPr>
        <w:t xml:space="preserve"> </w:t>
      </w:r>
      <w:proofErr w:type="spellStart"/>
      <w:r>
        <w:rPr>
          <w:color w:val="000000"/>
        </w:rPr>
        <w:t>yöntemlerin</w:t>
      </w:r>
      <w:proofErr w:type="spellEnd"/>
      <w:r>
        <w:rPr>
          <w:color w:val="000000"/>
        </w:rPr>
        <w:t xml:space="preserve"> </w:t>
      </w:r>
      <w:proofErr w:type="spellStart"/>
      <w:r>
        <w:rPr>
          <w:color w:val="000000"/>
        </w:rPr>
        <w:t>kullanılması</w:t>
      </w:r>
      <w:proofErr w:type="spellEnd"/>
      <w:r>
        <w:rPr>
          <w:color w:val="000000"/>
        </w:rPr>
        <w:t xml:space="preserve"> </w:t>
      </w:r>
      <w:proofErr w:type="spellStart"/>
      <w:r>
        <w:rPr>
          <w:color w:val="000000"/>
        </w:rPr>
        <w:t>önerilmektedir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depolama</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üretim</w:t>
      </w:r>
      <w:proofErr w:type="spellEnd"/>
      <w:r>
        <w:rPr>
          <w:color w:val="000000"/>
        </w:rPr>
        <w:t xml:space="preserve"> </w:t>
      </w:r>
      <w:proofErr w:type="spellStart"/>
      <w:r>
        <w:rPr>
          <w:color w:val="000000"/>
        </w:rPr>
        <w:t>maliyetlerini</w:t>
      </w:r>
      <w:proofErr w:type="spellEnd"/>
      <w:r>
        <w:rPr>
          <w:color w:val="000000"/>
        </w:rPr>
        <w:t xml:space="preserve"> </w:t>
      </w:r>
      <w:proofErr w:type="spellStart"/>
      <w:r>
        <w:rPr>
          <w:color w:val="000000"/>
        </w:rPr>
        <w:t>kontrol</w:t>
      </w:r>
      <w:proofErr w:type="spellEnd"/>
      <w:r>
        <w:rPr>
          <w:color w:val="000000"/>
        </w:rPr>
        <w:t xml:space="preserve"> </w:t>
      </w:r>
      <w:proofErr w:type="spellStart"/>
      <w:r>
        <w:rPr>
          <w:color w:val="000000"/>
        </w:rPr>
        <w:t>etmek</w:t>
      </w:r>
      <w:proofErr w:type="spellEnd"/>
      <w:r>
        <w:rPr>
          <w:color w:val="000000"/>
        </w:rPr>
        <w:t xml:space="preserve">, </w:t>
      </w:r>
      <w:proofErr w:type="spellStart"/>
      <w:r>
        <w:rPr>
          <w:color w:val="000000"/>
        </w:rPr>
        <w:t>karlılığı</w:t>
      </w:r>
      <w:proofErr w:type="spellEnd"/>
      <w:r>
        <w:rPr>
          <w:color w:val="000000"/>
        </w:rPr>
        <w:t xml:space="preserve"> </w:t>
      </w:r>
      <w:proofErr w:type="spellStart"/>
      <w:r>
        <w:rPr>
          <w:color w:val="000000"/>
        </w:rPr>
        <w:t>artırmaktadır</w:t>
      </w:r>
      <w:proofErr w:type="spellEnd"/>
      <w:r>
        <w:rPr>
          <w:color w:val="000000"/>
        </w:rPr>
        <w:t xml:space="preserve">. </w:t>
      </w:r>
      <w:proofErr w:type="spellStart"/>
      <w:r>
        <w:rPr>
          <w:color w:val="000000"/>
        </w:rPr>
        <w:t>Geleneksel</w:t>
      </w:r>
      <w:proofErr w:type="spellEnd"/>
      <w:r>
        <w:rPr>
          <w:color w:val="000000"/>
        </w:rPr>
        <w:t xml:space="preserve"> </w:t>
      </w:r>
      <w:proofErr w:type="spellStart"/>
      <w:r>
        <w:rPr>
          <w:color w:val="000000"/>
        </w:rPr>
        <w:t>yöntemlerin</w:t>
      </w:r>
      <w:proofErr w:type="spellEnd"/>
      <w:r>
        <w:rPr>
          <w:color w:val="000000"/>
        </w:rPr>
        <w:t xml:space="preserve"> </w:t>
      </w:r>
      <w:proofErr w:type="spellStart"/>
      <w:r>
        <w:rPr>
          <w:color w:val="000000"/>
        </w:rPr>
        <w:t>yerine</w:t>
      </w:r>
      <w:proofErr w:type="spellEnd"/>
      <w:r>
        <w:rPr>
          <w:color w:val="000000"/>
        </w:rPr>
        <w:t xml:space="preserve"> </w:t>
      </w:r>
      <w:proofErr w:type="spellStart"/>
      <w:r>
        <w:rPr>
          <w:color w:val="000000"/>
        </w:rPr>
        <w:t>etkin</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hesaplama</w:t>
      </w:r>
      <w:proofErr w:type="spellEnd"/>
      <w:r>
        <w:rPr>
          <w:color w:val="000000"/>
        </w:rPr>
        <w:t xml:space="preserve"> </w:t>
      </w:r>
      <w:proofErr w:type="spellStart"/>
      <w:r>
        <w:rPr>
          <w:color w:val="000000"/>
        </w:rPr>
        <w:t>teknikleri</w:t>
      </w:r>
      <w:proofErr w:type="spellEnd"/>
      <w:r>
        <w:rPr>
          <w:color w:val="000000"/>
        </w:rPr>
        <w:t xml:space="preserve"> </w:t>
      </w:r>
      <w:proofErr w:type="spellStart"/>
      <w:r>
        <w:rPr>
          <w:color w:val="000000"/>
        </w:rPr>
        <w:t>önerilmektedir</w:t>
      </w:r>
      <w:proofErr w:type="spellEnd"/>
      <w:r>
        <w:rPr>
          <w:color w:val="000000"/>
        </w:rPr>
        <w:t xml:space="preserve"> (Özdemir &amp; Caliskan, 2014).</w:t>
      </w:r>
    </w:p>
    <w:p w14:paraId="7E508CEA" w14:textId="77777777" w:rsidR="001E7189" w:rsidRDefault="001E7189" w:rsidP="007513A1">
      <w:pPr>
        <w:pStyle w:val="NormalWeb"/>
        <w:spacing w:before="0" w:beforeAutospacing="0" w:after="0" w:afterAutospacing="0"/>
        <w:jc w:val="both"/>
        <w:rPr>
          <w:color w:val="000000"/>
        </w:rPr>
      </w:pPr>
    </w:p>
    <w:p w14:paraId="733AF659" w14:textId="77777777" w:rsidR="001E7189" w:rsidRDefault="001E7189" w:rsidP="007513A1">
      <w:pPr>
        <w:pStyle w:val="NormalWeb"/>
        <w:spacing w:before="0" w:beforeAutospacing="0" w:after="0" w:afterAutospacing="0"/>
        <w:jc w:val="both"/>
        <w:rPr>
          <w:color w:val="000000"/>
        </w:rPr>
      </w:pPr>
      <w:proofErr w:type="spellStart"/>
      <w:r>
        <w:rPr>
          <w:color w:val="000000"/>
        </w:rPr>
        <w:t>Menü</w:t>
      </w:r>
      <w:proofErr w:type="spellEnd"/>
      <w:r>
        <w:rPr>
          <w:color w:val="000000"/>
        </w:rPr>
        <w:t xml:space="preserve"> </w:t>
      </w:r>
      <w:proofErr w:type="spellStart"/>
      <w:r>
        <w:rPr>
          <w:color w:val="000000"/>
        </w:rPr>
        <w:t>analizi</w:t>
      </w:r>
      <w:proofErr w:type="spellEnd"/>
      <w:r>
        <w:rPr>
          <w:color w:val="000000"/>
        </w:rPr>
        <w:t xml:space="preserve">, </w:t>
      </w:r>
      <w:proofErr w:type="spellStart"/>
      <w:r>
        <w:rPr>
          <w:color w:val="000000"/>
        </w:rPr>
        <w:t>menüdeki</w:t>
      </w:r>
      <w:proofErr w:type="spellEnd"/>
      <w:r>
        <w:rPr>
          <w:color w:val="000000"/>
        </w:rPr>
        <w:t xml:space="preserve"> </w:t>
      </w:r>
      <w:proofErr w:type="spellStart"/>
      <w:r>
        <w:rPr>
          <w:color w:val="000000"/>
        </w:rPr>
        <w:t>öğelerin</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popülerlik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karlılık</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performans</w:t>
      </w:r>
      <w:proofErr w:type="spellEnd"/>
      <w:r>
        <w:rPr>
          <w:color w:val="000000"/>
        </w:rPr>
        <w:t xml:space="preserve"> </w:t>
      </w:r>
      <w:proofErr w:type="spellStart"/>
      <w:r>
        <w:rPr>
          <w:color w:val="000000"/>
        </w:rPr>
        <w:t>göstergelerine</w:t>
      </w:r>
      <w:proofErr w:type="spellEnd"/>
      <w:r>
        <w:rPr>
          <w:color w:val="000000"/>
        </w:rPr>
        <w:t xml:space="preserve"> </w:t>
      </w:r>
      <w:proofErr w:type="spellStart"/>
      <w:r>
        <w:rPr>
          <w:color w:val="000000"/>
        </w:rPr>
        <w:t>dayalı</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değerlendirilmesi</w:t>
      </w:r>
      <w:proofErr w:type="spellEnd"/>
      <w:r>
        <w:rPr>
          <w:color w:val="000000"/>
        </w:rPr>
        <w:t xml:space="preserve"> </w:t>
      </w:r>
      <w:proofErr w:type="spellStart"/>
      <w:r>
        <w:rPr>
          <w:color w:val="000000"/>
        </w:rPr>
        <w:t>sürecidir</w:t>
      </w:r>
      <w:proofErr w:type="spellEnd"/>
      <w:r>
        <w:rPr>
          <w:color w:val="000000"/>
        </w:rPr>
        <w:t xml:space="preserve">. </w:t>
      </w:r>
      <w:proofErr w:type="spellStart"/>
      <w:r>
        <w:rPr>
          <w:color w:val="000000"/>
        </w:rPr>
        <w:t>Restoran</w:t>
      </w:r>
      <w:proofErr w:type="spellEnd"/>
      <w:r>
        <w:rPr>
          <w:color w:val="000000"/>
        </w:rPr>
        <w:t xml:space="preserve"> da her </w:t>
      </w:r>
      <w:proofErr w:type="spellStart"/>
      <w:r>
        <w:rPr>
          <w:color w:val="000000"/>
        </w:rPr>
        <w:t>işletme</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kâr</w:t>
      </w:r>
      <w:proofErr w:type="spellEnd"/>
      <w:r>
        <w:rPr>
          <w:color w:val="000000"/>
        </w:rPr>
        <w:t xml:space="preserve"> </w:t>
      </w:r>
      <w:proofErr w:type="spellStart"/>
      <w:r>
        <w:rPr>
          <w:color w:val="000000"/>
        </w:rPr>
        <w:t>amacı</w:t>
      </w:r>
      <w:proofErr w:type="spellEnd"/>
      <w:r>
        <w:rPr>
          <w:color w:val="000000"/>
        </w:rPr>
        <w:t xml:space="preserve"> </w:t>
      </w:r>
      <w:proofErr w:type="spellStart"/>
      <w:r>
        <w:rPr>
          <w:color w:val="000000"/>
        </w:rPr>
        <w:t>güder</w:t>
      </w:r>
      <w:proofErr w:type="spellEnd"/>
      <w:r>
        <w:rPr>
          <w:color w:val="000000"/>
        </w:rPr>
        <w:t xml:space="preserve">. </w:t>
      </w:r>
      <w:proofErr w:type="spellStart"/>
      <w:r>
        <w:rPr>
          <w:color w:val="000000"/>
        </w:rPr>
        <w:t>Kâr</w:t>
      </w:r>
      <w:proofErr w:type="spellEnd"/>
      <w:r>
        <w:rPr>
          <w:color w:val="000000"/>
        </w:rPr>
        <w:t xml:space="preserve">, </w:t>
      </w:r>
      <w:proofErr w:type="spellStart"/>
      <w:r>
        <w:rPr>
          <w:color w:val="000000"/>
        </w:rPr>
        <w:t>gelirlerin</w:t>
      </w:r>
      <w:proofErr w:type="spellEnd"/>
      <w:r>
        <w:rPr>
          <w:color w:val="000000"/>
        </w:rPr>
        <w:t xml:space="preserve"> </w:t>
      </w:r>
      <w:proofErr w:type="spellStart"/>
      <w:r>
        <w:rPr>
          <w:color w:val="000000"/>
        </w:rPr>
        <w:t>maliyetlerden</w:t>
      </w:r>
      <w:proofErr w:type="spellEnd"/>
      <w:r>
        <w:rPr>
          <w:color w:val="000000"/>
        </w:rPr>
        <w:t xml:space="preserve"> </w:t>
      </w:r>
      <w:proofErr w:type="spellStart"/>
      <w:r>
        <w:rPr>
          <w:color w:val="000000"/>
        </w:rPr>
        <w:t>çıkarılmasıyla</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edilir</w:t>
      </w:r>
      <w:proofErr w:type="spellEnd"/>
      <w:r>
        <w:rPr>
          <w:color w:val="000000"/>
        </w:rPr>
        <w:t xml:space="preserve">. </w:t>
      </w:r>
      <w:proofErr w:type="spellStart"/>
      <w:r>
        <w:rPr>
          <w:color w:val="000000"/>
        </w:rPr>
        <w:t>Gelirler</w:t>
      </w:r>
      <w:proofErr w:type="spellEnd"/>
      <w:r>
        <w:rPr>
          <w:color w:val="000000"/>
        </w:rPr>
        <w:t xml:space="preserve">, her </w:t>
      </w:r>
      <w:proofErr w:type="spellStart"/>
      <w:r>
        <w:rPr>
          <w:color w:val="000000"/>
        </w:rPr>
        <w:t>üründen</w:t>
      </w:r>
      <w:proofErr w:type="spellEnd"/>
      <w:r>
        <w:rPr>
          <w:color w:val="000000"/>
        </w:rPr>
        <w:t xml:space="preserve"> </w:t>
      </w:r>
      <w:proofErr w:type="spellStart"/>
      <w:r>
        <w:rPr>
          <w:color w:val="000000"/>
        </w:rPr>
        <w:t>satılan</w:t>
      </w:r>
      <w:proofErr w:type="spellEnd"/>
      <w:r>
        <w:rPr>
          <w:color w:val="000000"/>
        </w:rPr>
        <w:t xml:space="preserve"> </w:t>
      </w:r>
      <w:proofErr w:type="spellStart"/>
      <w:r>
        <w:rPr>
          <w:color w:val="000000"/>
        </w:rPr>
        <w:t>miktarın</w:t>
      </w:r>
      <w:proofErr w:type="spellEnd"/>
      <w:r>
        <w:rPr>
          <w:color w:val="000000"/>
        </w:rPr>
        <w:t xml:space="preserve"> </w:t>
      </w:r>
      <w:proofErr w:type="spellStart"/>
      <w:r>
        <w:rPr>
          <w:color w:val="000000"/>
        </w:rPr>
        <w:t>fiyatı</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çarpılması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ürünlerden</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edilen</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gelirlerin</w:t>
      </w:r>
      <w:proofErr w:type="spellEnd"/>
      <w:r>
        <w:rPr>
          <w:color w:val="000000"/>
        </w:rPr>
        <w:t xml:space="preserve"> </w:t>
      </w:r>
      <w:proofErr w:type="spellStart"/>
      <w:r>
        <w:rPr>
          <w:color w:val="000000"/>
        </w:rPr>
        <w:t>toplanmasıyla</w:t>
      </w:r>
      <w:proofErr w:type="spellEnd"/>
      <w:r>
        <w:rPr>
          <w:color w:val="000000"/>
        </w:rPr>
        <w:t xml:space="preserve"> </w:t>
      </w:r>
      <w:proofErr w:type="spellStart"/>
      <w:r>
        <w:rPr>
          <w:color w:val="000000"/>
        </w:rPr>
        <w:t>hesaplanmaktadır</w:t>
      </w:r>
      <w:proofErr w:type="spellEnd"/>
      <w:r>
        <w:rPr>
          <w:color w:val="000000"/>
        </w:rPr>
        <w:t xml:space="preserve">. </w:t>
      </w:r>
      <w:proofErr w:type="spellStart"/>
      <w:r>
        <w:rPr>
          <w:color w:val="000000"/>
        </w:rPr>
        <w:t>Maliyetler</w:t>
      </w:r>
      <w:proofErr w:type="spellEnd"/>
      <w:r>
        <w:rPr>
          <w:color w:val="000000"/>
        </w:rPr>
        <w:t xml:space="preserve"> de </w:t>
      </w:r>
      <w:proofErr w:type="spellStart"/>
      <w:r>
        <w:rPr>
          <w:color w:val="000000"/>
        </w:rPr>
        <w:t>aynı</w:t>
      </w:r>
      <w:proofErr w:type="spellEnd"/>
      <w:r>
        <w:rPr>
          <w:color w:val="000000"/>
        </w:rPr>
        <w:t xml:space="preserve"> </w:t>
      </w:r>
      <w:proofErr w:type="spellStart"/>
      <w:r>
        <w:rPr>
          <w:color w:val="000000"/>
        </w:rPr>
        <w:t>şekilde</w:t>
      </w:r>
      <w:proofErr w:type="spellEnd"/>
      <w:r>
        <w:rPr>
          <w:color w:val="000000"/>
        </w:rPr>
        <w:t xml:space="preserve"> </w:t>
      </w:r>
      <w:proofErr w:type="spellStart"/>
      <w:r>
        <w:rPr>
          <w:color w:val="000000"/>
        </w:rPr>
        <w:t>işlemektedir</w:t>
      </w:r>
      <w:proofErr w:type="spellEnd"/>
      <w:r>
        <w:rPr>
          <w:color w:val="000000"/>
        </w:rPr>
        <w:t xml:space="preserve">. </w:t>
      </w:r>
      <w:proofErr w:type="spellStart"/>
      <w:r>
        <w:rPr>
          <w:color w:val="000000"/>
        </w:rPr>
        <w:t>Doğrudan</w:t>
      </w:r>
      <w:proofErr w:type="spellEnd"/>
      <w:r>
        <w:rPr>
          <w:color w:val="000000"/>
        </w:rPr>
        <w:t xml:space="preserve"> </w:t>
      </w:r>
      <w:proofErr w:type="spellStart"/>
      <w:r>
        <w:rPr>
          <w:color w:val="000000"/>
        </w:rPr>
        <w:t>maliyetler</w:t>
      </w:r>
      <w:proofErr w:type="spellEnd"/>
      <w:r>
        <w:rPr>
          <w:color w:val="000000"/>
        </w:rPr>
        <w:t xml:space="preserve">, her </w:t>
      </w:r>
      <w:proofErr w:type="spellStart"/>
      <w:r>
        <w:rPr>
          <w:color w:val="000000"/>
        </w:rPr>
        <w:t>ürüne</w:t>
      </w:r>
      <w:proofErr w:type="spellEnd"/>
      <w:r>
        <w:rPr>
          <w:color w:val="000000"/>
        </w:rPr>
        <w:t xml:space="preserve"> </w:t>
      </w:r>
      <w:proofErr w:type="spellStart"/>
      <w:r>
        <w:rPr>
          <w:color w:val="000000"/>
        </w:rPr>
        <w:t>tahsis</w:t>
      </w:r>
      <w:proofErr w:type="spellEnd"/>
      <w:r>
        <w:rPr>
          <w:color w:val="000000"/>
        </w:rPr>
        <w:t xml:space="preserve"> </w:t>
      </w:r>
      <w:proofErr w:type="spellStart"/>
      <w:r>
        <w:rPr>
          <w:color w:val="000000"/>
        </w:rPr>
        <w:t>edilip</w:t>
      </w:r>
      <w:proofErr w:type="spellEnd"/>
      <w:r>
        <w:rPr>
          <w:color w:val="000000"/>
        </w:rPr>
        <w:t xml:space="preserve"> </w:t>
      </w:r>
      <w:proofErr w:type="spellStart"/>
      <w:r>
        <w:rPr>
          <w:color w:val="000000"/>
        </w:rPr>
        <w:t>satılan</w:t>
      </w:r>
      <w:proofErr w:type="spellEnd"/>
      <w:r>
        <w:rPr>
          <w:color w:val="000000"/>
        </w:rPr>
        <w:t xml:space="preserve"> </w:t>
      </w:r>
      <w:proofErr w:type="spellStart"/>
      <w:r>
        <w:rPr>
          <w:color w:val="000000"/>
        </w:rPr>
        <w:t>miktar</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çarpılırak</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ürünler</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toplanmaktadır</w:t>
      </w:r>
      <w:proofErr w:type="spellEnd"/>
      <w:r>
        <w:rPr>
          <w:color w:val="000000"/>
        </w:rPr>
        <w:t xml:space="preserve"> (Kelly &amp; Burdett, 2009). </w:t>
      </w:r>
      <w:proofErr w:type="spellStart"/>
      <w:r>
        <w:rPr>
          <w:color w:val="000000"/>
        </w:rPr>
        <w:t>Menü</w:t>
      </w:r>
      <w:proofErr w:type="spellEnd"/>
      <w:r>
        <w:rPr>
          <w:color w:val="000000"/>
        </w:rPr>
        <w:t xml:space="preserve"> </w:t>
      </w:r>
      <w:proofErr w:type="spellStart"/>
      <w:r>
        <w:rPr>
          <w:color w:val="000000"/>
        </w:rPr>
        <w:t>analizi</w:t>
      </w:r>
      <w:proofErr w:type="spellEnd"/>
      <w:r>
        <w:rPr>
          <w:color w:val="000000"/>
        </w:rPr>
        <w:t xml:space="preserve"> </w:t>
      </w:r>
      <w:proofErr w:type="spellStart"/>
      <w:r>
        <w:rPr>
          <w:color w:val="000000"/>
        </w:rPr>
        <w:t>genellikle</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satış</w:t>
      </w:r>
      <w:proofErr w:type="spellEnd"/>
      <w:r>
        <w:rPr>
          <w:color w:val="000000"/>
        </w:rPr>
        <w:t xml:space="preserve"> </w:t>
      </w:r>
      <w:proofErr w:type="spellStart"/>
      <w:r>
        <w:rPr>
          <w:color w:val="000000"/>
        </w:rPr>
        <w:t>verilerine</w:t>
      </w:r>
      <w:proofErr w:type="spellEnd"/>
      <w:r>
        <w:rPr>
          <w:color w:val="000000"/>
        </w:rPr>
        <w:t xml:space="preserve"> </w:t>
      </w:r>
      <w:proofErr w:type="spellStart"/>
      <w:r>
        <w:rPr>
          <w:color w:val="000000"/>
        </w:rPr>
        <w:t>dayanır</w:t>
      </w:r>
      <w:proofErr w:type="spellEnd"/>
      <w:r>
        <w:rPr>
          <w:color w:val="000000"/>
        </w:rPr>
        <w:t xml:space="preserve">. </w:t>
      </w:r>
      <w:proofErr w:type="spellStart"/>
      <w:r>
        <w:rPr>
          <w:color w:val="000000"/>
        </w:rPr>
        <w:t>Düşük</w:t>
      </w:r>
      <w:proofErr w:type="spellEnd"/>
      <w:r>
        <w:rPr>
          <w:color w:val="000000"/>
        </w:rPr>
        <w:t xml:space="preserve"> </w:t>
      </w:r>
      <w:proofErr w:type="spellStart"/>
      <w:r>
        <w:rPr>
          <w:color w:val="000000"/>
        </w:rPr>
        <w:t>performanslı</w:t>
      </w:r>
      <w:proofErr w:type="spellEnd"/>
      <w:r>
        <w:rPr>
          <w:color w:val="000000"/>
        </w:rPr>
        <w:t xml:space="preserve"> </w:t>
      </w:r>
      <w:proofErr w:type="spellStart"/>
      <w:r>
        <w:rPr>
          <w:color w:val="000000"/>
        </w:rPr>
        <w:t>ürünlerin</w:t>
      </w:r>
      <w:proofErr w:type="spellEnd"/>
      <w:r>
        <w:rPr>
          <w:color w:val="000000"/>
        </w:rPr>
        <w:t xml:space="preserve"> </w:t>
      </w:r>
      <w:proofErr w:type="spellStart"/>
      <w:r>
        <w:rPr>
          <w:color w:val="000000"/>
        </w:rPr>
        <w:t>iyileştirilmesi</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sunumun</w:t>
      </w:r>
      <w:proofErr w:type="spellEnd"/>
      <w:r>
        <w:rPr>
          <w:color w:val="000000"/>
        </w:rPr>
        <w:t xml:space="preserve">, </w:t>
      </w:r>
      <w:proofErr w:type="spellStart"/>
      <w:r>
        <w:rPr>
          <w:color w:val="000000"/>
        </w:rPr>
        <w:t>tariflerin</w:t>
      </w:r>
      <w:proofErr w:type="spellEnd"/>
      <w:r>
        <w:rPr>
          <w:color w:val="000000"/>
        </w:rPr>
        <w:t xml:space="preserve"> </w:t>
      </w:r>
      <w:proofErr w:type="spellStart"/>
      <w:r>
        <w:rPr>
          <w:color w:val="000000"/>
        </w:rPr>
        <w:t>veya</w:t>
      </w:r>
      <w:proofErr w:type="spellEnd"/>
      <w:r>
        <w:rPr>
          <w:color w:val="000000"/>
        </w:rPr>
        <w:t xml:space="preserve"> </w:t>
      </w:r>
      <w:proofErr w:type="spellStart"/>
      <w:r>
        <w:rPr>
          <w:color w:val="000000"/>
        </w:rPr>
        <w:t>fiyatların</w:t>
      </w:r>
      <w:proofErr w:type="spellEnd"/>
      <w:r>
        <w:rPr>
          <w:color w:val="000000"/>
        </w:rPr>
        <w:t xml:space="preserve"> </w:t>
      </w:r>
      <w:proofErr w:type="spellStart"/>
      <w:r>
        <w:rPr>
          <w:color w:val="000000"/>
        </w:rPr>
        <w:t>değiştirilmesi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stratejiler</w:t>
      </w:r>
      <w:proofErr w:type="spellEnd"/>
      <w:r>
        <w:rPr>
          <w:color w:val="000000"/>
        </w:rPr>
        <w:t xml:space="preserve"> </w:t>
      </w:r>
      <w:proofErr w:type="spellStart"/>
      <w:r>
        <w:rPr>
          <w:color w:val="000000"/>
        </w:rPr>
        <w:t>uygulanabilir</w:t>
      </w:r>
      <w:proofErr w:type="spellEnd"/>
      <w:r>
        <w:rPr>
          <w:color w:val="000000"/>
        </w:rPr>
        <w:t xml:space="preserve">. </w:t>
      </w:r>
      <w:proofErr w:type="spellStart"/>
      <w:r>
        <w:rPr>
          <w:color w:val="000000"/>
        </w:rPr>
        <w:t>Bazı</w:t>
      </w:r>
      <w:proofErr w:type="spellEnd"/>
      <w:r>
        <w:rPr>
          <w:color w:val="000000"/>
        </w:rPr>
        <w:t xml:space="preserve"> </w:t>
      </w:r>
      <w:proofErr w:type="spellStart"/>
      <w:r>
        <w:rPr>
          <w:color w:val="000000"/>
        </w:rPr>
        <w:t>ürünler</w:t>
      </w:r>
      <w:proofErr w:type="spellEnd"/>
      <w:r>
        <w:rPr>
          <w:color w:val="000000"/>
        </w:rPr>
        <w:t xml:space="preserve"> </w:t>
      </w:r>
      <w:proofErr w:type="spellStart"/>
      <w:r>
        <w:rPr>
          <w:color w:val="000000"/>
        </w:rPr>
        <w:lastRenderedPageBreak/>
        <w:t>menüden</w:t>
      </w:r>
      <w:proofErr w:type="spellEnd"/>
      <w:r>
        <w:rPr>
          <w:color w:val="000000"/>
        </w:rPr>
        <w:t xml:space="preserve"> </w:t>
      </w:r>
      <w:proofErr w:type="spellStart"/>
      <w:r>
        <w:rPr>
          <w:color w:val="000000"/>
        </w:rPr>
        <w:t>çıkarılabilir</w:t>
      </w:r>
      <w:proofErr w:type="spellEnd"/>
      <w:r>
        <w:rPr>
          <w:color w:val="000000"/>
        </w:rPr>
        <w:t xml:space="preserve">. </w:t>
      </w:r>
      <w:proofErr w:type="spellStart"/>
      <w:r>
        <w:rPr>
          <w:color w:val="000000"/>
        </w:rPr>
        <w:t>Geleneksel</w:t>
      </w:r>
      <w:proofErr w:type="spellEnd"/>
      <w:r>
        <w:rPr>
          <w:color w:val="000000"/>
        </w:rPr>
        <w:t xml:space="preserve"> </w:t>
      </w:r>
      <w:proofErr w:type="spellStart"/>
      <w:r>
        <w:rPr>
          <w:color w:val="000000"/>
        </w:rPr>
        <w:t>analizlerin</w:t>
      </w:r>
      <w:proofErr w:type="spellEnd"/>
      <w:r>
        <w:rPr>
          <w:color w:val="000000"/>
        </w:rPr>
        <w:t xml:space="preserve"> </w:t>
      </w:r>
      <w:proofErr w:type="spellStart"/>
      <w:r>
        <w:rPr>
          <w:color w:val="000000"/>
        </w:rPr>
        <w:t>eksikliklerini</w:t>
      </w:r>
      <w:proofErr w:type="spellEnd"/>
      <w:r>
        <w:rPr>
          <w:color w:val="000000"/>
        </w:rPr>
        <w:t xml:space="preserve"> </w:t>
      </w:r>
      <w:proofErr w:type="spellStart"/>
      <w:r>
        <w:rPr>
          <w:color w:val="000000"/>
        </w:rPr>
        <w:t>gidermek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çok</w:t>
      </w:r>
      <w:proofErr w:type="spellEnd"/>
      <w:r>
        <w:rPr>
          <w:color w:val="000000"/>
        </w:rPr>
        <w:t xml:space="preserve"> </w:t>
      </w:r>
      <w:proofErr w:type="spellStart"/>
      <w:r>
        <w:rPr>
          <w:color w:val="000000"/>
        </w:rPr>
        <w:t>boyutlu</w:t>
      </w:r>
      <w:proofErr w:type="spellEnd"/>
      <w:r>
        <w:rPr>
          <w:color w:val="000000"/>
        </w:rPr>
        <w:t xml:space="preserve"> </w:t>
      </w:r>
      <w:proofErr w:type="spellStart"/>
      <w:r>
        <w:rPr>
          <w:color w:val="000000"/>
        </w:rPr>
        <w:t>analiz</w:t>
      </w:r>
      <w:proofErr w:type="spellEnd"/>
      <w:r>
        <w:rPr>
          <w:color w:val="000000"/>
        </w:rPr>
        <w:t xml:space="preserve"> </w:t>
      </w:r>
      <w:proofErr w:type="spellStart"/>
      <w:r>
        <w:rPr>
          <w:color w:val="000000"/>
        </w:rPr>
        <w:t>yöntemleri</w:t>
      </w:r>
      <w:proofErr w:type="spellEnd"/>
      <w:r>
        <w:rPr>
          <w:color w:val="000000"/>
        </w:rPr>
        <w:t xml:space="preserve"> </w:t>
      </w:r>
      <w:proofErr w:type="spellStart"/>
      <w:r>
        <w:rPr>
          <w:color w:val="000000"/>
        </w:rPr>
        <w:t>geliştirilmiştir</w:t>
      </w:r>
      <w:proofErr w:type="spellEnd"/>
      <w:r>
        <w:rPr>
          <w:color w:val="000000"/>
        </w:rPr>
        <w:t xml:space="preserve"> (Ozdemir &amp; Caliskan, 2014). Bu </w:t>
      </w:r>
      <w:proofErr w:type="spellStart"/>
      <w:r>
        <w:rPr>
          <w:color w:val="000000"/>
        </w:rPr>
        <w:t>bilgiler</w:t>
      </w:r>
      <w:proofErr w:type="spellEnd"/>
      <w:r>
        <w:rPr>
          <w:color w:val="000000"/>
        </w:rPr>
        <w:t xml:space="preserve"> </w:t>
      </w:r>
      <w:proofErr w:type="spellStart"/>
      <w:r>
        <w:rPr>
          <w:color w:val="000000"/>
        </w:rPr>
        <w:t>ışığında</w:t>
      </w:r>
      <w:proofErr w:type="spellEnd"/>
      <w:r>
        <w:rPr>
          <w:color w:val="000000"/>
        </w:rPr>
        <w:t xml:space="preserve"> prompt </w:t>
      </w:r>
      <w:proofErr w:type="spellStart"/>
      <w:r>
        <w:rPr>
          <w:color w:val="000000"/>
        </w:rPr>
        <w:t>mühendisliği</w:t>
      </w:r>
      <w:proofErr w:type="spellEnd"/>
      <w:r>
        <w:rPr>
          <w:color w:val="000000"/>
        </w:rPr>
        <w:t xml:space="preserve"> </w:t>
      </w:r>
      <w:proofErr w:type="spellStart"/>
      <w:r>
        <w:rPr>
          <w:color w:val="000000"/>
        </w:rPr>
        <w:t>nezdinde</w:t>
      </w:r>
      <w:proofErr w:type="spellEnd"/>
      <w:r>
        <w:rPr>
          <w:color w:val="000000"/>
        </w:rPr>
        <w:t xml:space="preserve"> </w:t>
      </w:r>
      <w:proofErr w:type="spellStart"/>
      <w:r>
        <w:rPr>
          <w:color w:val="000000"/>
        </w:rPr>
        <w:t>restorancılıkta</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oluşturma</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kişileştirme</w:t>
      </w:r>
      <w:proofErr w:type="spellEnd"/>
      <w:r>
        <w:rPr>
          <w:color w:val="000000"/>
        </w:rPr>
        <w:t xml:space="preserve"> </w:t>
      </w:r>
      <w:proofErr w:type="spellStart"/>
      <w:r>
        <w:rPr>
          <w:color w:val="000000"/>
        </w:rPr>
        <w:t>spesifik</w:t>
      </w:r>
      <w:proofErr w:type="spellEnd"/>
      <w:r>
        <w:rPr>
          <w:color w:val="000000"/>
        </w:rPr>
        <w:t xml:space="preserve"> </w:t>
      </w:r>
      <w:proofErr w:type="spellStart"/>
      <w:r>
        <w:rPr>
          <w:color w:val="000000"/>
        </w:rPr>
        <w:t>bilgilere</w:t>
      </w:r>
      <w:proofErr w:type="spellEnd"/>
      <w:r>
        <w:rPr>
          <w:color w:val="000000"/>
        </w:rPr>
        <w:t xml:space="preserve"> </w:t>
      </w:r>
      <w:proofErr w:type="spellStart"/>
      <w:r>
        <w:rPr>
          <w:color w:val="000000"/>
        </w:rPr>
        <w:t>anlamlı</w:t>
      </w:r>
      <w:proofErr w:type="spellEnd"/>
      <w:r>
        <w:rPr>
          <w:color w:val="000000"/>
        </w:rPr>
        <w:t xml:space="preserve"> </w:t>
      </w:r>
      <w:proofErr w:type="spellStart"/>
      <w:r>
        <w:rPr>
          <w:color w:val="000000"/>
        </w:rPr>
        <w:t>kodlar</w:t>
      </w:r>
      <w:proofErr w:type="spellEnd"/>
      <w:r>
        <w:rPr>
          <w:color w:val="000000"/>
        </w:rPr>
        <w:t xml:space="preserve"> </w:t>
      </w:r>
      <w:proofErr w:type="spellStart"/>
      <w:r>
        <w:rPr>
          <w:color w:val="000000"/>
        </w:rPr>
        <w:t>yüklenerek</w:t>
      </w:r>
      <w:proofErr w:type="spellEnd"/>
      <w:r>
        <w:rPr>
          <w:color w:val="000000"/>
        </w:rPr>
        <w:t xml:space="preserve"> </w:t>
      </w:r>
      <w:proofErr w:type="spellStart"/>
      <w:r>
        <w:rPr>
          <w:color w:val="000000"/>
        </w:rPr>
        <w:t>sağlanabilir</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bunlar</w:t>
      </w:r>
      <w:proofErr w:type="spellEnd"/>
      <w:r>
        <w:rPr>
          <w:color w:val="000000"/>
        </w:rPr>
        <w:t xml:space="preserve"> </w:t>
      </w:r>
      <w:proofErr w:type="spellStart"/>
      <w:r>
        <w:rPr>
          <w:color w:val="000000"/>
        </w:rPr>
        <w:t>düşünülerek</w:t>
      </w:r>
      <w:proofErr w:type="spellEnd"/>
      <w:r>
        <w:rPr>
          <w:color w:val="000000"/>
        </w:rPr>
        <w:t xml:space="preserve"> </w:t>
      </w:r>
      <w:proofErr w:type="spellStart"/>
      <w:r>
        <w:rPr>
          <w:color w:val="000000"/>
        </w:rPr>
        <w:t>eğitilen</w:t>
      </w:r>
      <w:proofErr w:type="spellEnd"/>
      <w:r>
        <w:rPr>
          <w:color w:val="000000"/>
        </w:rPr>
        <w:t xml:space="preserve"> (</w:t>
      </w:r>
      <w:proofErr w:type="spellStart"/>
      <w:r>
        <w:rPr>
          <w:color w:val="000000"/>
        </w:rPr>
        <w:t>bilgiler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oluşturma</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alakalı</w:t>
      </w:r>
      <w:proofErr w:type="spellEnd"/>
      <w:r>
        <w:rPr>
          <w:color w:val="000000"/>
        </w:rPr>
        <w:t xml:space="preserve"> </w:t>
      </w:r>
      <w:proofErr w:type="spellStart"/>
      <w:r>
        <w:rPr>
          <w:color w:val="000000"/>
        </w:rPr>
        <w:t>makaleler</w:t>
      </w:r>
      <w:proofErr w:type="spellEnd"/>
      <w:r>
        <w:rPr>
          <w:color w:val="000000"/>
        </w:rPr>
        <w:t xml:space="preserve"> </w:t>
      </w:r>
      <w:proofErr w:type="spellStart"/>
      <w:r>
        <w:rPr>
          <w:color w:val="000000"/>
        </w:rPr>
        <w:t>verilmiştir</w:t>
      </w:r>
      <w:proofErr w:type="spellEnd"/>
      <w:r>
        <w:rPr>
          <w:color w:val="000000"/>
        </w:rPr>
        <w:t xml:space="preserve">) </w:t>
      </w:r>
      <w:proofErr w:type="spellStart"/>
      <w:r>
        <w:rPr>
          <w:color w:val="000000"/>
        </w:rPr>
        <w:t>chatgpt’den</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geliştirilmesi</w:t>
      </w:r>
      <w:proofErr w:type="spellEnd"/>
      <w:r>
        <w:rPr>
          <w:color w:val="000000"/>
        </w:rPr>
        <w:t xml:space="preserve"> </w:t>
      </w:r>
      <w:proofErr w:type="spellStart"/>
      <w:r>
        <w:rPr>
          <w:color w:val="000000"/>
        </w:rPr>
        <w:t>istenmiştir</w:t>
      </w:r>
      <w:proofErr w:type="spellEnd"/>
      <w:r>
        <w:rPr>
          <w:color w:val="000000"/>
        </w:rPr>
        <w:t xml:space="preserve">. </w:t>
      </w:r>
      <w:proofErr w:type="spellStart"/>
      <w:r>
        <w:rPr>
          <w:color w:val="000000"/>
        </w:rPr>
        <w:t>Ortaya</w:t>
      </w:r>
      <w:proofErr w:type="spellEnd"/>
      <w:r>
        <w:rPr>
          <w:color w:val="000000"/>
        </w:rPr>
        <w:t xml:space="preserve"> </w:t>
      </w:r>
      <w:proofErr w:type="spellStart"/>
      <w:r>
        <w:rPr>
          <w:color w:val="000000"/>
        </w:rPr>
        <w:t>şu</w:t>
      </w:r>
      <w:proofErr w:type="spellEnd"/>
      <w:r>
        <w:rPr>
          <w:color w:val="000000"/>
        </w:rPr>
        <w:t xml:space="preserve"> </w:t>
      </w:r>
      <w:proofErr w:type="spellStart"/>
      <w:r>
        <w:rPr>
          <w:color w:val="000000"/>
        </w:rPr>
        <w:t>örnek</w:t>
      </w:r>
      <w:proofErr w:type="spellEnd"/>
      <w:r>
        <w:rPr>
          <w:color w:val="000000"/>
        </w:rPr>
        <w:t xml:space="preserve"> </w:t>
      </w:r>
      <w:proofErr w:type="spellStart"/>
      <w:r>
        <w:rPr>
          <w:color w:val="000000"/>
        </w:rPr>
        <w:t>çıkmıştır</w:t>
      </w:r>
      <w:proofErr w:type="spellEnd"/>
      <w:r>
        <w:rPr>
          <w:color w:val="000000"/>
        </w:rPr>
        <w:t>:</w:t>
      </w:r>
    </w:p>
    <w:p w14:paraId="3809B296" w14:textId="77777777" w:rsidR="001E7189" w:rsidRPr="002D1363" w:rsidRDefault="001E7189" w:rsidP="007513A1">
      <w:pPr>
        <w:pStyle w:val="NormalWeb"/>
        <w:spacing w:before="0" w:beforeAutospacing="0" w:after="0" w:afterAutospacing="0"/>
        <w:jc w:val="both"/>
        <w:rPr>
          <w:color w:val="000000"/>
        </w:rPr>
      </w:pPr>
    </w:p>
    <w:p w14:paraId="671500E0" w14:textId="77777777" w:rsidR="001E7189" w:rsidRPr="00714BC1" w:rsidRDefault="001E7189" w:rsidP="007513A1">
      <w:pPr>
        <w:rPr>
          <w:b/>
          <w:bCs/>
        </w:rPr>
      </w:pPr>
      <w:r w:rsidRPr="00714BC1">
        <w:rPr>
          <w:b/>
          <w:bCs/>
        </w:rPr>
        <w:t>3.3.1. Menü İsmi: Akdeniz Rüyası Restoranı</w:t>
      </w:r>
    </w:p>
    <w:p w14:paraId="2BCF9028" w14:textId="77777777" w:rsidR="001E7189" w:rsidRPr="00714BC1" w:rsidRDefault="001E7189" w:rsidP="007513A1">
      <w:pPr>
        <w:rPr>
          <w:b/>
          <w:bCs/>
        </w:rPr>
      </w:pPr>
      <w:r w:rsidRPr="00714BC1">
        <w:rPr>
          <w:b/>
          <w:bCs/>
          <w:sz w:val="26"/>
          <w:szCs w:val="26"/>
        </w:rPr>
        <w:t xml:space="preserve">3.3.1.1. </w:t>
      </w:r>
      <w:r w:rsidRPr="00714BC1">
        <w:rPr>
          <w:b/>
          <w:bCs/>
        </w:rPr>
        <w:t>Başlangıçlar (</w:t>
      </w:r>
      <w:proofErr w:type="spellStart"/>
      <w:r w:rsidRPr="00714BC1">
        <w:rPr>
          <w:b/>
          <w:bCs/>
        </w:rPr>
        <w:t>Appetizers</w:t>
      </w:r>
      <w:proofErr w:type="spellEnd"/>
      <w:r w:rsidRPr="00714BC1">
        <w:rPr>
          <w:b/>
          <w:bCs/>
        </w:rPr>
        <w:t>)</w:t>
      </w:r>
    </w:p>
    <w:p w14:paraId="54DA0EE5" w14:textId="77777777" w:rsidR="001E7189" w:rsidRPr="00714BC1" w:rsidRDefault="001E7189" w:rsidP="007513A1">
      <w:pPr>
        <w:rPr>
          <w:b/>
          <w:bCs/>
        </w:rPr>
      </w:pPr>
      <w:r w:rsidRPr="00714BC1">
        <w:rPr>
          <w:b/>
          <w:bCs/>
        </w:rPr>
        <w:t>A. Fırında Keçi Peynirli Izgara Sebzeler</w:t>
      </w:r>
    </w:p>
    <w:p w14:paraId="4C7A4227" w14:textId="77777777" w:rsidR="001E7189" w:rsidRDefault="001E7189" w:rsidP="007513A1">
      <w:r>
        <w:rPr>
          <w:b/>
          <w:bCs/>
        </w:rPr>
        <w:t>Fiyat:</w:t>
      </w:r>
      <w:r>
        <w:t xml:space="preserve"> 425₺ (psikolojik fiyatlandırma, 0 ile biten fiyat yerine, değer algısını artırmak için 5 ile biten fiyat tercih edildi)</w:t>
      </w:r>
      <w:r>
        <w:br/>
      </w:r>
      <w:r>
        <w:rPr>
          <w:b/>
          <w:bCs/>
        </w:rPr>
        <w:t>Açıklama:</w:t>
      </w:r>
      <w:r>
        <w:t xml:space="preserve"> "Taze Akdeniz sebzeleri, hafif zeytinyağı sosu ve aromatik baharatlar eşliğinde fırında mükemmel uyum yakalayan keçi peyniriyle birleşmektedir. İlk ısırıkta Ege'nin o serin kokusunu hissedeceksiniz."</w:t>
      </w:r>
      <w:r>
        <w:br/>
      </w:r>
      <w:r>
        <w:rPr>
          <w:b/>
          <w:bCs/>
        </w:rPr>
        <w:t>Neden Bu Seçim?</w:t>
      </w:r>
      <w:r>
        <w:t xml:space="preserve"> Etkileyici bir açıklama müşterinin algısını artıracaktır (</w:t>
      </w:r>
      <w:proofErr w:type="spellStart"/>
      <w:r>
        <w:t>Wansink</w:t>
      </w:r>
      <w:proofErr w:type="spellEnd"/>
      <w:r>
        <w:t xml:space="preserve"> et al., 2005). Ayrıca sağlıklı başlangıç olması nedeniyle sağlık bilincine sahip müşterilere hitap edecektir (</w:t>
      </w:r>
      <w:proofErr w:type="spellStart"/>
      <w:r>
        <w:t>Hwang</w:t>
      </w:r>
      <w:proofErr w:type="spellEnd"/>
      <w:r>
        <w:t xml:space="preserve"> &amp; </w:t>
      </w:r>
      <w:proofErr w:type="spellStart"/>
      <w:r>
        <w:t>Lorenzon</w:t>
      </w:r>
      <w:proofErr w:type="spellEnd"/>
      <w:r>
        <w:t>, 2008).</w:t>
      </w:r>
    </w:p>
    <w:p w14:paraId="0948BFA4" w14:textId="77777777" w:rsidR="001E7189" w:rsidRDefault="001E7189" w:rsidP="007513A1">
      <w:pPr>
        <w:pStyle w:val="NormalWeb"/>
        <w:spacing w:before="0" w:beforeAutospacing="0" w:after="0" w:afterAutospacing="0"/>
        <w:ind w:right="600"/>
        <w:jc w:val="both"/>
      </w:pPr>
    </w:p>
    <w:p w14:paraId="46ECB884" w14:textId="77777777" w:rsidR="001E7189" w:rsidRPr="00714BC1" w:rsidRDefault="001E7189" w:rsidP="007513A1">
      <w:pPr>
        <w:rPr>
          <w:b/>
          <w:bCs/>
        </w:rPr>
      </w:pPr>
      <w:r w:rsidRPr="00714BC1">
        <w:rPr>
          <w:b/>
          <w:bCs/>
        </w:rPr>
        <w:t>B. Deniz Tuzu ve Kekikli Kalamar Tava</w:t>
      </w:r>
    </w:p>
    <w:p w14:paraId="026F73CD" w14:textId="77777777" w:rsidR="001E7189" w:rsidRDefault="001E7189" w:rsidP="007513A1">
      <w:r>
        <w:rPr>
          <w:b/>
          <w:bCs/>
        </w:rPr>
        <w:t>Fiyat:</w:t>
      </w:r>
      <w:r>
        <w:t xml:space="preserve"> 965₺</w:t>
      </w:r>
      <w:r>
        <w:br/>
      </w:r>
      <w:r>
        <w:rPr>
          <w:b/>
          <w:bCs/>
        </w:rPr>
        <w:t>Açıklama:</w:t>
      </w:r>
      <w:r>
        <w:t xml:space="preserve"> "Altın renginde kızarmış, çıtır çıtır kalamar halkaları, yanında ferahlatıcı limon dilimleri ve özel ev yapımı yoğurt sosuyla."</w:t>
      </w:r>
      <w:r>
        <w:br/>
      </w:r>
      <w:r>
        <w:rPr>
          <w:b/>
          <w:bCs/>
        </w:rPr>
        <w:t>Ekstra:</w:t>
      </w:r>
      <w:r>
        <w:t xml:space="preserve"> Bu yemek, menünün üst kısmında, müşterilerin "ilk bakış" (</w:t>
      </w:r>
      <w:proofErr w:type="spellStart"/>
      <w:r>
        <w:t>sweet</w:t>
      </w:r>
      <w:proofErr w:type="spellEnd"/>
      <w:r>
        <w:t xml:space="preserve"> spot) odak noktalarından birine yerleştirildi.</w:t>
      </w:r>
    </w:p>
    <w:p w14:paraId="08BA3CC5" w14:textId="77777777" w:rsidR="001E7189" w:rsidRDefault="001E7189" w:rsidP="007513A1">
      <w:pPr>
        <w:pStyle w:val="NormalWeb"/>
        <w:spacing w:before="0" w:beforeAutospacing="0" w:after="0" w:afterAutospacing="0"/>
        <w:ind w:right="600"/>
        <w:jc w:val="both"/>
      </w:pPr>
    </w:p>
    <w:p w14:paraId="6BB9F502" w14:textId="77777777" w:rsidR="001E7189" w:rsidRPr="00714BC1" w:rsidRDefault="001E7189" w:rsidP="007513A1">
      <w:pPr>
        <w:rPr>
          <w:b/>
          <w:bCs/>
        </w:rPr>
      </w:pPr>
      <w:r w:rsidRPr="00714BC1">
        <w:rPr>
          <w:b/>
          <w:bCs/>
          <w:color w:val="000000"/>
          <w:sz w:val="26"/>
          <w:szCs w:val="26"/>
        </w:rPr>
        <w:t xml:space="preserve">3.3.1.2. </w:t>
      </w:r>
      <w:r w:rsidRPr="00714BC1">
        <w:rPr>
          <w:b/>
          <w:bCs/>
        </w:rPr>
        <w:t>Ana Yemekler (Main Courses)</w:t>
      </w:r>
    </w:p>
    <w:p w14:paraId="57F93B56" w14:textId="77777777" w:rsidR="001E7189" w:rsidRPr="00714BC1" w:rsidRDefault="001E7189" w:rsidP="007513A1">
      <w:pPr>
        <w:rPr>
          <w:b/>
          <w:bCs/>
        </w:rPr>
      </w:pPr>
      <w:r w:rsidRPr="00714BC1">
        <w:rPr>
          <w:b/>
          <w:bCs/>
        </w:rPr>
        <w:t>A. Izgara Levrek Fileto</w:t>
      </w:r>
    </w:p>
    <w:p w14:paraId="0F663946" w14:textId="77777777" w:rsidR="001E7189" w:rsidRDefault="001E7189" w:rsidP="007513A1">
      <w:r>
        <w:rPr>
          <w:b/>
          <w:bCs/>
        </w:rPr>
        <w:t>Fiyat:</w:t>
      </w:r>
      <w:r>
        <w:t xml:space="preserve"> 865₺</w:t>
      </w:r>
      <w:r>
        <w:br/>
      </w:r>
      <w:r>
        <w:rPr>
          <w:b/>
          <w:bCs/>
        </w:rPr>
        <w:t>Açıklama:</w:t>
      </w:r>
      <w:r>
        <w:t xml:space="preserve"> "Kömür ızgarada hafifçe tütsülenmiş taze levrek, mevsim sebzeleri ve limonlu hardal sos ile sunulur. Deniz kenarında bir akşam yemeği tadını burada bulacaksınız."</w:t>
      </w:r>
      <w:r>
        <w:br/>
      </w:r>
      <w:r>
        <w:rPr>
          <w:b/>
          <w:bCs/>
        </w:rPr>
        <w:t>Psikolojik Fiyatlandırma:</w:t>
      </w:r>
      <w:r>
        <w:t xml:space="preserve"> Yüksek kaliteli algıyı desteklemek için yuvarlak olmayan fiyat kullanıldı.</w:t>
      </w:r>
    </w:p>
    <w:p w14:paraId="5FAFDC8A" w14:textId="77777777" w:rsidR="001E7189" w:rsidRDefault="001E7189" w:rsidP="007513A1">
      <w:pPr>
        <w:pStyle w:val="NormalWeb"/>
        <w:spacing w:before="0" w:beforeAutospacing="0" w:after="0" w:afterAutospacing="0"/>
        <w:ind w:right="600"/>
        <w:jc w:val="both"/>
      </w:pPr>
    </w:p>
    <w:p w14:paraId="78AC771E" w14:textId="77777777" w:rsidR="001E7189" w:rsidRPr="00714BC1" w:rsidRDefault="001E7189" w:rsidP="007513A1">
      <w:pPr>
        <w:rPr>
          <w:b/>
          <w:bCs/>
        </w:rPr>
      </w:pPr>
      <w:r w:rsidRPr="00714BC1">
        <w:rPr>
          <w:b/>
          <w:bCs/>
        </w:rPr>
        <w:t>B. Fırında Kaburga Kuzu (</w:t>
      </w:r>
      <w:proofErr w:type="spellStart"/>
      <w:r w:rsidRPr="00714BC1">
        <w:rPr>
          <w:b/>
          <w:bCs/>
        </w:rPr>
        <w:t>Specialty</w:t>
      </w:r>
      <w:proofErr w:type="spellEnd"/>
      <w:r w:rsidRPr="00714BC1">
        <w:rPr>
          <w:b/>
          <w:bCs/>
        </w:rPr>
        <w:t>)</w:t>
      </w:r>
    </w:p>
    <w:p w14:paraId="0B62A3B3" w14:textId="77777777" w:rsidR="001E7189" w:rsidRDefault="001E7189" w:rsidP="007513A1">
      <w:r>
        <w:rPr>
          <w:b/>
          <w:bCs/>
        </w:rPr>
        <w:t>Fiyat:</w:t>
      </w:r>
      <w:r>
        <w:t xml:space="preserve"> 955₺</w:t>
      </w:r>
      <w:r>
        <w:br/>
      </w:r>
      <w:r>
        <w:rPr>
          <w:b/>
          <w:bCs/>
        </w:rPr>
        <w:t>Açıklama:</w:t>
      </w:r>
      <w:r>
        <w:t xml:space="preserve"> "Yavaş pişirilmiş kuzu kaburga, taze kekik ve biberiye ile marine edilmiştir. Yanında patates püresi ve özel nar ekşisi sos ile sunulur."</w:t>
      </w:r>
      <w:r>
        <w:br/>
      </w:r>
      <w:r>
        <w:rPr>
          <w:b/>
          <w:bCs/>
        </w:rPr>
        <w:t>Stratejik Yerleştirme:</w:t>
      </w:r>
      <w:r>
        <w:t xml:space="preserve"> Menüde özel bir kutu içine alınarak görsel dikkat çekiyor. Kutulu tasarım, müşteriyi belirli ürünlere yönlendirmek için etkili bir yöntemdir (Reynolds ve diğerleri, 2005).</w:t>
      </w:r>
    </w:p>
    <w:p w14:paraId="622ECFC9" w14:textId="77777777" w:rsidR="001E7189" w:rsidRDefault="001E7189" w:rsidP="007513A1">
      <w:pPr>
        <w:pStyle w:val="NormalWeb"/>
        <w:spacing w:before="0" w:beforeAutospacing="0" w:after="0" w:afterAutospacing="0"/>
        <w:ind w:right="600"/>
        <w:jc w:val="both"/>
      </w:pPr>
    </w:p>
    <w:p w14:paraId="00D61B13" w14:textId="77777777" w:rsidR="00114C6B" w:rsidRDefault="00114C6B" w:rsidP="007513A1">
      <w:pPr>
        <w:pStyle w:val="NormalWeb"/>
        <w:spacing w:before="0" w:beforeAutospacing="0" w:after="0" w:afterAutospacing="0"/>
        <w:ind w:right="600"/>
        <w:jc w:val="both"/>
      </w:pPr>
    </w:p>
    <w:p w14:paraId="1FD2500C" w14:textId="77777777" w:rsidR="00114C6B" w:rsidRDefault="00114C6B" w:rsidP="007513A1">
      <w:pPr>
        <w:pStyle w:val="NormalWeb"/>
        <w:spacing w:before="0" w:beforeAutospacing="0" w:after="0" w:afterAutospacing="0"/>
        <w:ind w:right="600"/>
        <w:jc w:val="both"/>
      </w:pPr>
    </w:p>
    <w:p w14:paraId="3CC69627" w14:textId="77777777" w:rsidR="00114C6B" w:rsidRDefault="00114C6B" w:rsidP="007513A1">
      <w:pPr>
        <w:pStyle w:val="NormalWeb"/>
        <w:spacing w:before="0" w:beforeAutospacing="0" w:after="0" w:afterAutospacing="0"/>
        <w:ind w:right="600"/>
        <w:jc w:val="both"/>
      </w:pPr>
    </w:p>
    <w:p w14:paraId="38E62FFB" w14:textId="77777777" w:rsidR="001E7189" w:rsidRPr="00714BC1" w:rsidRDefault="001E7189" w:rsidP="007513A1">
      <w:pPr>
        <w:rPr>
          <w:b/>
          <w:bCs/>
        </w:rPr>
      </w:pPr>
      <w:r w:rsidRPr="00714BC1">
        <w:rPr>
          <w:b/>
          <w:bCs/>
          <w:color w:val="000000"/>
          <w:sz w:val="26"/>
          <w:szCs w:val="26"/>
        </w:rPr>
        <w:t xml:space="preserve">3.3.1.3. </w:t>
      </w:r>
      <w:r w:rsidRPr="00714BC1">
        <w:rPr>
          <w:b/>
          <w:bCs/>
        </w:rPr>
        <w:t>Tatlılar (</w:t>
      </w:r>
      <w:proofErr w:type="spellStart"/>
      <w:r w:rsidRPr="00714BC1">
        <w:rPr>
          <w:b/>
          <w:bCs/>
        </w:rPr>
        <w:t>Desserts</w:t>
      </w:r>
      <w:proofErr w:type="spellEnd"/>
      <w:r w:rsidRPr="00714BC1">
        <w:rPr>
          <w:b/>
          <w:bCs/>
        </w:rPr>
        <w:t>)</w:t>
      </w:r>
    </w:p>
    <w:p w14:paraId="71CB817A" w14:textId="77777777" w:rsidR="001E7189" w:rsidRPr="00714BC1" w:rsidRDefault="001E7189" w:rsidP="007513A1">
      <w:pPr>
        <w:rPr>
          <w:b/>
          <w:bCs/>
        </w:rPr>
      </w:pPr>
      <w:r w:rsidRPr="00714BC1">
        <w:rPr>
          <w:b/>
          <w:bCs/>
        </w:rPr>
        <w:t xml:space="preserve">A. Nar ve Güllaç </w:t>
      </w:r>
      <w:proofErr w:type="spellStart"/>
      <w:r w:rsidRPr="00714BC1">
        <w:rPr>
          <w:b/>
          <w:bCs/>
        </w:rPr>
        <w:t>Parfe</w:t>
      </w:r>
      <w:proofErr w:type="spellEnd"/>
    </w:p>
    <w:p w14:paraId="27332899" w14:textId="77777777" w:rsidR="001E7189" w:rsidRDefault="001E7189" w:rsidP="007513A1">
      <w:r>
        <w:rPr>
          <w:b/>
          <w:bCs/>
        </w:rPr>
        <w:lastRenderedPageBreak/>
        <w:t>Fiyat:</w:t>
      </w:r>
      <w:r>
        <w:t xml:space="preserve"> 455₺</w:t>
      </w:r>
      <w:r>
        <w:br/>
      </w:r>
      <w:r>
        <w:rPr>
          <w:b/>
          <w:bCs/>
        </w:rPr>
        <w:t>Açıklama:</w:t>
      </w:r>
      <w:r>
        <w:t xml:space="preserve"> İnce güllaç yaprakları, hafifçe tatlandırılmış süt ve taze nar taneleri ile kat kat hazırlanır. Üzerinde </w:t>
      </w:r>
      <w:proofErr w:type="spellStart"/>
      <w:r>
        <w:t>antep</w:t>
      </w:r>
      <w:proofErr w:type="spellEnd"/>
      <w:r>
        <w:t xml:space="preserve"> fıstığı serpilmiştir.</w:t>
      </w:r>
      <w:r>
        <w:br/>
      </w:r>
      <w:r>
        <w:rPr>
          <w:b/>
          <w:bCs/>
        </w:rPr>
        <w:t>Sağlıklı Seçim:</w:t>
      </w:r>
      <w:r>
        <w:t xml:space="preserve"> Geleneksel bir tatlı, ancak düşük kalorili alternatif olarak sunulur.</w:t>
      </w:r>
    </w:p>
    <w:p w14:paraId="70A9320C" w14:textId="77777777" w:rsidR="001E7189" w:rsidRDefault="001E7189" w:rsidP="007513A1"/>
    <w:p w14:paraId="25F1E69B" w14:textId="77777777" w:rsidR="001E7189" w:rsidRDefault="001E7189" w:rsidP="007513A1">
      <w:r>
        <w:rPr>
          <w:b/>
          <w:bCs/>
        </w:rPr>
        <w:t>B. Çikolatalı Fondan</w:t>
      </w:r>
    </w:p>
    <w:p w14:paraId="4C287F88" w14:textId="77777777" w:rsidR="001E7189" w:rsidRDefault="001E7189" w:rsidP="007513A1">
      <w:r>
        <w:rPr>
          <w:b/>
          <w:bCs/>
        </w:rPr>
        <w:t>Fiyat:</w:t>
      </w:r>
      <w:r>
        <w:t xml:space="preserve"> 455₺</w:t>
      </w:r>
      <w:r>
        <w:br/>
      </w:r>
      <w:r>
        <w:rPr>
          <w:b/>
          <w:bCs/>
        </w:rPr>
        <w:t>Açıklama:</w:t>
      </w:r>
      <w:r>
        <w:t xml:space="preserve"> Kremamsı bir iç dolguyla sunulan sıcacık çikolata keki, yanındaki dondurma topuyla mükemmel bir uyum içinde.</w:t>
      </w:r>
      <w:r>
        <w:br/>
      </w:r>
      <w:r>
        <w:rPr>
          <w:b/>
          <w:bCs/>
        </w:rPr>
        <w:t>Not:</w:t>
      </w:r>
      <w:r>
        <w:t xml:space="preserve"> Tatlılar bölümünde, daha düşük fiyatlı seçenek (Güllaç </w:t>
      </w:r>
      <w:proofErr w:type="spellStart"/>
      <w:r>
        <w:t>Parfe</w:t>
      </w:r>
      <w:proofErr w:type="spellEnd"/>
      <w:r>
        <w:t>), referans fiyat oluşturmak için eklenmiştir. Çikolatalı Fondan bu şekilde “premium” bir seçenek olarak algılanır (</w:t>
      </w:r>
      <w:proofErr w:type="spellStart"/>
      <w:r>
        <w:t>Shoemaker</w:t>
      </w:r>
      <w:proofErr w:type="spellEnd"/>
      <w:r>
        <w:t>, 1994).</w:t>
      </w:r>
    </w:p>
    <w:p w14:paraId="48B1593A" w14:textId="77777777" w:rsidR="001E7189" w:rsidRDefault="001E7189" w:rsidP="007513A1">
      <w:pPr>
        <w:pStyle w:val="NormalWeb"/>
        <w:spacing w:before="0" w:beforeAutospacing="0" w:after="0" w:afterAutospacing="0"/>
        <w:ind w:right="600"/>
        <w:jc w:val="both"/>
      </w:pPr>
    </w:p>
    <w:p w14:paraId="56B8D139" w14:textId="77777777" w:rsidR="001E7189" w:rsidRPr="00714BC1" w:rsidRDefault="001E7189" w:rsidP="007513A1">
      <w:pPr>
        <w:rPr>
          <w:b/>
          <w:bCs/>
        </w:rPr>
      </w:pPr>
      <w:r w:rsidRPr="00714BC1">
        <w:rPr>
          <w:b/>
          <w:bCs/>
          <w:color w:val="000000"/>
          <w:sz w:val="26"/>
          <w:szCs w:val="26"/>
        </w:rPr>
        <w:t xml:space="preserve">3.3.1.4. </w:t>
      </w:r>
      <w:r w:rsidRPr="00714BC1">
        <w:rPr>
          <w:b/>
          <w:bCs/>
        </w:rPr>
        <w:t>İçecekler (</w:t>
      </w:r>
      <w:proofErr w:type="spellStart"/>
      <w:r w:rsidRPr="00714BC1">
        <w:rPr>
          <w:b/>
          <w:bCs/>
        </w:rPr>
        <w:t>Drinks</w:t>
      </w:r>
      <w:proofErr w:type="spellEnd"/>
      <w:r w:rsidRPr="00714BC1">
        <w:rPr>
          <w:b/>
          <w:bCs/>
        </w:rPr>
        <w:t>)</w:t>
      </w:r>
    </w:p>
    <w:p w14:paraId="0B3F58AB" w14:textId="77777777" w:rsidR="001E7189" w:rsidRPr="00714BC1" w:rsidRDefault="001E7189" w:rsidP="007513A1">
      <w:pPr>
        <w:rPr>
          <w:b/>
          <w:bCs/>
        </w:rPr>
      </w:pPr>
      <w:r w:rsidRPr="00714BC1">
        <w:rPr>
          <w:b/>
          <w:bCs/>
        </w:rPr>
        <w:t>A. Ev Yapımı Limonata</w:t>
      </w:r>
    </w:p>
    <w:p w14:paraId="18394D3F" w14:textId="77777777" w:rsidR="001E7189" w:rsidRDefault="001E7189" w:rsidP="007513A1">
      <w:r>
        <w:rPr>
          <w:b/>
          <w:bCs/>
        </w:rPr>
        <w:t>Fiyat:</w:t>
      </w:r>
      <w:r>
        <w:t xml:space="preserve"> 235₺</w:t>
      </w:r>
      <w:r>
        <w:br/>
      </w:r>
      <w:r>
        <w:rPr>
          <w:b/>
          <w:bCs/>
        </w:rPr>
        <w:t>Açıklama:</w:t>
      </w:r>
      <w:r>
        <w:t xml:space="preserve"> Taze limon ve nane yapraklarıyla hazırlanmış, yaz esintisi kadar ferahlatıcı ev yapımı limonata.</w:t>
      </w:r>
      <w:r>
        <w:br/>
      </w:r>
      <w:r>
        <w:rPr>
          <w:b/>
          <w:bCs/>
        </w:rPr>
        <w:t>Stratejik Yerleştirme:</w:t>
      </w:r>
      <w:r>
        <w:t xml:space="preserve"> Menüdeki başlangıçların yanında önerilen içecek olarak vurgulanır.</w:t>
      </w:r>
    </w:p>
    <w:p w14:paraId="69553B68" w14:textId="77777777" w:rsidR="001E7189" w:rsidRDefault="001E7189" w:rsidP="007513A1">
      <w:pPr>
        <w:pStyle w:val="NormalWeb"/>
        <w:spacing w:before="0" w:beforeAutospacing="0" w:after="0" w:afterAutospacing="0"/>
        <w:ind w:right="600"/>
        <w:jc w:val="both"/>
      </w:pPr>
    </w:p>
    <w:p w14:paraId="05D4F69A" w14:textId="77777777" w:rsidR="001E7189" w:rsidRPr="00714BC1" w:rsidRDefault="001E7189" w:rsidP="007513A1">
      <w:pPr>
        <w:rPr>
          <w:b/>
          <w:bCs/>
        </w:rPr>
      </w:pPr>
      <w:r w:rsidRPr="00714BC1">
        <w:rPr>
          <w:b/>
          <w:bCs/>
        </w:rPr>
        <w:t>B. Akdeniz Şarap Seçkisi</w:t>
      </w:r>
    </w:p>
    <w:p w14:paraId="5605220C" w14:textId="77777777" w:rsidR="001E7189" w:rsidRDefault="001E7189" w:rsidP="007513A1">
      <w:pPr>
        <w:pStyle w:val="NormalWeb"/>
        <w:spacing w:before="0" w:beforeAutospacing="0" w:after="0" w:afterAutospacing="0"/>
        <w:ind w:right="600"/>
        <w:jc w:val="both"/>
      </w:pPr>
      <w:proofErr w:type="spellStart"/>
      <w:r w:rsidRPr="00714BC1">
        <w:rPr>
          <w:b/>
          <w:bCs/>
        </w:rPr>
        <w:t>Fiyat</w:t>
      </w:r>
      <w:proofErr w:type="spellEnd"/>
      <w:r w:rsidRPr="00714BC1">
        <w:rPr>
          <w:b/>
          <w:bCs/>
        </w:rPr>
        <w:t>:</w:t>
      </w:r>
      <w:r w:rsidRPr="00714BC1">
        <w:t xml:space="preserve"> Kadeh 645₺, </w:t>
      </w:r>
      <w:proofErr w:type="spellStart"/>
      <w:r w:rsidRPr="00714BC1">
        <w:t>Şişe</w:t>
      </w:r>
      <w:proofErr w:type="spellEnd"/>
      <w:r w:rsidRPr="00714BC1">
        <w:t xml:space="preserve"> 1755₺</w:t>
      </w:r>
      <w:r w:rsidRPr="00714BC1">
        <w:br/>
      </w:r>
      <w:proofErr w:type="spellStart"/>
      <w:r w:rsidRPr="00714BC1">
        <w:rPr>
          <w:b/>
          <w:bCs/>
        </w:rPr>
        <w:t>Açıklama</w:t>
      </w:r>
      <w:proofErr w:type="spellEnd"/>
      <w:r w:rsidRPr="00714BC1">
        <w:rPr>
          <w:b/>
          <w:bCs/>
        </w:rPr>
        <w:t>:</w:t>
      </w:r>
      <w:r w:rsidRPr="00714BC1">
        <w:t xml:space="preserve"> Akdeniz </w:t>
      </w:r>
      <w:proofErr w:type="spellStart"/>
      <w:r w:rsidRPr="00714BC1">
        <w:t>bölgesinden</w:t>
      </w:r>
      <w:proofErr w:type="spellEnd"/>
      <w:r w:rsidRPr="00714BC1">
        <w:t xml:space="preserve"> </w:t>
      </w:r>
      <w:proofErr w:type="spellStart"/>
      <w:r w:rsidRPr="00714BC1">
        <w:t>özenle</w:t>
      </w:r>
      <w:proofErr w:type="spellEnd"/>
      <w:r w:rsidRPr="00714BC1">
        <w:t xml:space="preserve"> </w:t>
      </w:r>
      <w:proofErr w:type="spellStart"/>
      <w:r w:rsidRPr="00714BC1">
        <w:t>seçilmiş</w:t>
      </w:r>
      <w:proofErr w:type="spellEnd"/>
      <w:r w:rsidRPr="00714BC1">
        <w:t xml:space="preserve"> </w:t>
      </w:r>
      <w:proofErr w:type="spellStart"/>
      <w:r w:rsidRPr="00714BC1">
        <w:t>beyaz</w:t>
      </w:r>
      <w:proofErr w:type="spellEnd"/>
      <w:r w:rsidRPr="00714BC1">
        <w:t xml:space="preserve">, </w:t>
      </w:r>
      <w:proofErr w:type="spellStart"/>
      <w:r w:rsidRPr="00714BC1">
        <w:t>kırmızı</w:t>
      </w:r>
      <w:proofErr w:type="spellEnd"/>
      <w:r w:rsidRPr="00714BC1">
        <w:t xml:space="preserve"> </w:t>
      </w:r>
      <w:proofErr w:type="spellStart"/>
      <w:r w:rsidRPr="00714BC1">
        <w:t>ve</w:t>
      </w:r>
      <w:proofErr w:type="spellEnd"/>
      <w:r w:rsidRPr="00714BC1">
        <w:t xml:space="preserve"> </w:t>
      </w:r>
      <w:proofErr w:type="spellStart"/>
      <w:r w:rsidRPr="00714BC1">
        <w:t>roze</w:t>
      </w:r>
      <w:proofErr w:type="spellEnd"/>
      <w:r w:rsidRPr="00714BC1">
        <w:t xml:space="preserve"> </w:t>
      </w:r>
      <w:proofErr w:type="spellStart"/>
      <w:r w:rsidRPr="00714BC1">
        <w:t>şaraplar</w:t>
      </w:r>
      <w:proofErr w:type="spellEnd"/>
      <w:r w:rsidRPr="00714BC1">
        <w:t xml:space="preserve">. </w:t>
      </w:r>
      <w:proofErr w:type="spellStart"/>
      <w:r w:rsidRPr="00714BC1">
        <w:t>Yemeğinizle</w:t>
      </w:r>
      <w:proofErr w:type="spellEnd"/>
      <w:r w:rsidRPr="00714BC1">
        <w:t xml:space="preserve"> </w:t>
      </w:r>
      <w:proofErr w:type="spellStart"/>
      <w:r w:rsidRPr="00714BC1">
        <w:t>mükemmel</w:t>
      </w:r>
      <w:proofErr w:type="spellEnd"/>
      <w:r w:rsidRPr="00714BC1">
        <w:t xml:space="preserve"> </w:t>
      </w:r>
      <w:proofErr w:type="spellStart"/>
      <w:r w:rsidRPr="00714BC1">
        <w:t>bir</w:t>
      </w:r>
      <w:proofErr w:type="spellEnd"/>
      <w:r w:rsidRPr="00714BC1">
        <w:t xml:space="preserve"> </w:t>
      </w:r>
      <w:proofErr w:type="spellStart"/>
      <w:r w:rsidRPr="00714BC1">
        <w:t>uyum</w:t>
      </w:r>
      <w:proofErr w:type="spellEnd"/>
      <w:r w:rsidRPr="00714BC1">
        <w:t xml:space="preserve"> </w:t>
      </w:r>
      <w:proofErr w:type="spellStart"/>
      <w:r w:rsidRPr="00714BC1">
        <w:t>yakalamak</w:t>
      </w:r>
      <w:proofErr w:type="spellEnd"/>
      <w:r w:rsidRPr="00714BC1">
        <w:t xml:space="preserve"> </w:t>
      </w:r>
      <w:proofErr w:type="spellStart"/>
      <w:r w:rsidRPr="00714BC1">
        <w:t>için</w:t>
      </w:r>
      <w:proofErr w:type="spellEnd"/>
      <w:r w:rsidRPr="00714BC1">
        <w:t xml:space="preserve"> </w:t>
      </w:r>
      <w:proofErr w:type="spellStart"/>
      <w:r w:rsidRPr="00714BC1">
        <w:t>özel</w:t>
      </w:r>
      <w:proofErr w:type="spellEnd"/>
      <w:r w:rsidRPr="00714BC1">
        <w:t xml:space="preserve"> sommelier </w:t>
      </w:r>
      <w:proofErr w:type="spellStart"/>
      <w:r w:rsidRPr="00714BC1">
        <w:t>önerileriyle</w:t>
      </w:r>
      <w:proofErr w:type="spellEnd"/>
      <w:r w:rsidRPr="00714BC1">
        <w:t xml:space="preserve"> </w:t>
      </w:r>
      <w:proofErr w:type="spellStart"/>
      <w:r w:rsidRPr="00714BC1">
        <w:t>sunulur</w:t>
      </w:r>
      <w:proofErr w:type="spellEnd"/>
      <w:r>
        <w:t>.</w:t>
      </w:r>
    </w:p>
    <w:p w14:paraId="1DF817BA" w14:textId="77777777" w:rsidR="001E7189" w:rsidRDefault="001E7189" w:rsidP="007513A1">
      <w:pPr>
        <w:pStyle w:val="NormalWeb"/>
        <w:spacing w:before="0" w:beforeAutospacing="0" w:after="0" w:afterAutospacing="0"/>
        <w:ind w:right="600"/>
        <w:jc w:val="both"/>
      </w:pPr>
    </w:p>
    <w:p w14:paraId="51B30D97" w14:textId="77777777" w:rsidR="001E7189" w:rsidRPr="00714BC1" w:rsidRDefault="001E7189" w:rsidP="007513A1">
      <w:pPr>
        <w:rPr>
          <w:b/>
          <w:bCs/>
        </w:rPr>
      </w:pPr>
      <w:r w:rsidRPr="00714BC1">
        <w:rPr>
          <w:b/>
          <w:bCs/>
        </w:rPr>
        <w:t>3.3.2. Menü Tasarım Özellikleri</w:t>
      </w:r>
    </w:p>
    <w:p w14:paraId="5D1D3D95" w14:textId="77777777" w:rsidR="001E7189" w:rsidRDefault="001E7189">
      <w:pPr>
        <w:pStyle w:val="NormalWeb"/>
        <w:numPr>
          <w:ilvl w:val="0"/>
          <w:numId w:val="16"/>
        </w:numPr>
        <w:spacing w:before="0" w:beforeAutospacing="0" w:after="0" w:afterAutospacing="0"/>
        <w:jc w:val="both"/>
        <w:rPr>
          <w:color w:val="000000"/>
        </w:rPr>
      </w:pPr>
      <w:proofErr w:type="spellStart"/>
      <w:r>
        <w:rPr>
          <w:b/>
          <w:bCs/>
          <w:color w:val="000000"/>
        </w:rPr>
        <w:t>Görsel</w:t>
      </w:r>
      <w:proofErr w:type="spellEnd"/>
      <w:r>
        <w:rPr>
          <w:b/>
          <w:bCs/>
          <w:color w:val="000000"/>
        </w:rPr>
        <w:t xml:space="preserve"> </w:t>
      </w:r>
      <w:proofErr w:type="spellStart"/>
      <w:r>
        <w:rPr>
          <w:b/>
          <w:bCs/>
          <w:color w:val="000000"/>
        </w:rPr>
        <w:t>Tasarım</w:t>
      </w:r>
      <w:proofErr w:type="spellEnd"/>
      <w:r>
        <w:rPr>
          <w:b/>
          <w:bCs/>
          <w:color w:val="000000"/>
        </w:rPr>
        <w:t>:</w:t>
      </w:r>
      <w:r>
        <w:rPr>
          <w:color w:val="000000"/>
        </w:rPr>
        <w:t xml:space="preserve"> </w:t>
      </w:r>
      <w:proofErr w:type="spellStart"/>
      <w:r>
        <w:rPr>
          <w:color w:val="000000"/>
        </w:rPr>
        <w:t>Menü</w:t>
      </w:r>
      <w:proofErr w:type="spellEnd"/>
      <w:r>
        <w:rPr>
          <w:color w:val="000000"/>
        </w:rPr>
        <w:t xml:space="preserve">, </w:t>
      </w:r>
      <w:proofErr w:type="spellStart"/>
      <w:r>
        <w:rPr>
          <w:color w:val="000000"/>
        </w:rPr>
        <w:t>sade</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renk</w:t>
      </w:r>
      <w:proofErr w:type="spellEnd"/>
      <w:r>
        <w:rPr>
          <w:color w:val="000000"/>
        </w:rPr>
        <w:t xml:space="preserve"> </w:t>
      </w:r>
      <w:proofErr w:type="spellStart"/>
      <w:r>
        <w:rPr>
          <w:color w:val="000000"/>
        </w:rPr>
        <w:t>paleti</w:t>
      </w:r>
      <w:proofErr w:type="spellEnd"/>
      <w:r>
        <w:rPr>
          <w:color w:val="000000"/>
        </w:rPr>
        <w:t xml:space="preserve"> (</w:t>
      </w:r>
      <w:proofErr w:type="spellStart"/>
      <w:r>
        <w:rPr>
          <w:color w:val="000000"/>
        </w:rPr>
        <w:t>beyaz</w:t>
      </w:r>
      <w:proofErr w:type="spellEnd"/>
      <w:r>
        <w:rPr>
          <w:color w:val="000000"/>
        </w:rPr>
        <w:t xml:space="preserve"> </w:t>
      </w:r>
      <w:proofErr w:type="spellStart"/>
      <w:r>
        <w:rPr>
          <w:color w:val="000000"/>
        </w:rPr>
        <w:t>zemin</w:t>
      </w:r>
      <w:proofErr w:type="spellEnd"/>
      <w:r>
        <w:rPr>
          <w:color w:val="000000"/>
        </w:rPr>
        <w:t xml:space="preserve">, </w:t>
      </w:r>
      <w:proofErr w:type="spellStart"/>
      <w:r>
        <w:rPr>
          <w:color w:val="000000"/>
        </w:rPr>
        <w:t>mavi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zeytin</w:t>
      </w:r>
      <w:proofErr w:type="spellEnd"/>
      <w:r>
        <w:rPr>
          <w:color w:val="000000"/>
        </w:rPr>
        <w:t xml:space="preserve"> </w:t>
      </w:r>
      <w:proofErr w:type="spellStart"/>
      <w:r>
        <w:rPr>
          <w:color w:val="000000"/>
        </w:rPr>
        <w:t>yeşili</w:t>
      </w:r>
      <w:proofErr w:type="spellEnd"/>
      <w:r>
        <w:rPr>
          <w:color w:val="000000"/>
        </w:rPr>
        <w:t xml:space="preserve"> </w:t>
      </w:r>
      <w:proofErr w:type="spellStart"/>
      <w:r>
        <w:rPr>
          <w:color w:val="000000"/>
        </w:rPr>
        <w:t>yazı</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hazırlanmıştır</w:t>
      </w:r>
      <w:proofErr w:type="spellEnd"/>
      <w:r>
        <w:rPr>
          <w:color w:val="000000"/>
        </w:rPr>
        <w:t xml:space="preserve">. Bu </w:t>
      </w:r>
      <w:proofErr w:type="spellStart"/>
      <w:r>
        <w:rPr>
          <w:color w:val="000000"/>
        </w:rPr>
        <w:t>renkler</w:t>
      </w:r>
      <w:proofErr w:type="spellEnd"/>
      <w:r>
        <w:rPr>
          <w:color w:val="000000"/>
        </w:rPr>
        <w:t xml:space="preserve">, </w:t>
      </w:r>
      <w:proofErr w:type="spellStart"/>
      <w:r>
        <w:rPr>
          <w:color w:val="000000"/>
        </w:rPr>
        <w:t>Akdeniz'in</w:t>
      </w:r>
      <w:proofErr w:type="spellEnd"/>
      <w:r>
        <w:rPr>
          <w:color w:val="000000"/>
        </w:rPr>
        <w:t xml:space="preserve"> taze </w:t>
      </w:r>
      <w:proofErr w:type="spellStart"/>
      <w:r>
        <w:rPr>
          <w:color w:val="000000"/>
        </w:rPr>
        <w:t>ve</w:t>
      </w:r>
      <w:proofErr w:type="spellEnd"/>
      <w:r>
        <w:rPr>
          <w:color w:val="000000"/>
        </w:rPr>
        <w:t xml:space="preserve"> </w:t>
      </w:r>
      <w:proofErr w:type="spellStart"/>
      <w:r>
        <w:rPr>
          <w:color w:val="000000"/>
        </w:rPr>
        <w:t>doğal</w:t>
      </w:r>
      <w:proofErr w:type="spellEnd"/>
      <w:r>
        <w:rPr>
          <w:color w:val="000000"/>
        </w:rPr>
        <w:t xml:space="preserve"> </w:t>
      </w:r>
      <w:proofErr w:type="spellStart"/>
      <w:r>
        <w:rPr>
          <w:color w:val="000000"/>
        </w:rPr>
        <w:t>temalarını</w:t>
      </w:r>
      <w:proofErr w:type="spellEnd"/>
      <w:r>
        <w:rPr>
          <w:color w:val="000000"/>
        </w:rPr>
        <w:t xml:space="preserve"> </w:t>
      </w:r>
      <w:proofErr w:type="spellStart"/>
      <w:r>
        <w:rPr>
          <w:color w:val="000000"/>
        </w:rPr>
        <w:t>vurgular</w:t>
      </w:r>
      <w:proofErr w:type="spellEnd"/>
      <w:r>
        <w:rPr>
          <w:color w:val="000000"/>
        </w:rPr>
        <w:t xml:space="preserve"> (Reynolds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2005).</w:t>
      </w:r>
    </w:p>
    <w:p w14:paraId="45D07444" w14:textId="77777777" w:rsidR="001E7189" w:rsidRDefault="001E7189">
      <w:pPr>
        <w:pStyle w:val="NormalWeb"/>
        <w:numPr>
          <w:ilvl w:val="0"/>
          <w:numId w:val="16"/>
        </w:numPr>
        <w:spacing w:before="0" w:beforeAutospacing="0" w:after="0" w:afterAutospacing="0"/>
        <w:jc w:val="both"/>
        <w:rPr>
          <w:color w:val="000000"/>
        </w:rPr>
      </w:pPr>
      <w:proofErr w:type="spellStart"/>
      <w:r>
        <w:rPr>
          <w:b/>
          <w:bCs/>
          <w:color w:val="000000"/>
        </w:rPr>
        <w:t>Psikolojik</w:t>
      </w:r>
      <w:proofErr w:type="spellEnd"/>
      <w:r>
        <w:rPr>
          <w:b/>
          <w:bCs/>
          <w:color w:val="000000"/>
        </w:rPr>
        <w:t xml:space="preserve"> </w:t>
      </w:r>
      <w:proofErr w:type="spellStart"/>
      <w:r>
        <w:rPr>
          <w:b/>
          <w:bCs/>
          <w:color w:val="000000"/>
        </w:rPr>
        <w:t>Fiyatlandırma</w:t>
      </w:r>
      <w:proofErr w:type="spellEnd"/>
      <w:r>
        <w:rPr>
          <w:b/>
          <w:bCs/>
          <w:color w:val="000000"/>
        </w:rPr>
        <w:t>:</w:t>
      </w:r>
      <w:r>
        <w:rPr>
          <w:color w:val="000000"/>
        </w:rPr>
        <w:t xml:space="preserve"> </w:t>
      </w:r>
      <w:proofErr w:type="spellStart"/>
      <w:r>
        <w:rPr>
          <w:color w:val="000000"/>
        </w:rPr>
        <w:t>Fiyatların</w:t>
      </w:r>
      <w:proofErr w:type="spellEnd"/>
      <w:r>
        <w:rPr>
          <w:color w:val="000000"/>
        </w:rPr>
        <w:t xml:space="preserve"> </w:t>
      </w:r>
      <w:proofErr w:type="spellStart"/>
      <w:r>
        <w:rPr>
          <w:color w:val="000000"/>
        </w:rPr>
        <w:t>çoğu</w:t>
      </w:r>
      <w:proofErr w:type="spellEnd"/>
      <w:r>
        <w:rPr>
          <w:color w:val="000000"/>
        </w:rPr>
        <w:t xml:space="preserve">, </w:t>
      </w:r>
      <w:proofErr w:type="spellStart"/>
      <w:r>
        <w:rPr>
          <w:color w:val="000000"/>
        </w:rPr>
        <w:t>algılanan</w:t>
      </w:r>
      <w:proofErr w:type="spellEnd"/>
      <w:r>
        <w:rPr>
          <w:color w:val="000000"/>
        </w:rPr>
        <w:t xml:space="preserve"> </w:t>
      </w:r>
      <w:proofErr w:type="spellStart"/>
      <w:r>
        <w:rPr>
          <w:color w:val="000000"/>
        </w:rPr>
        <w:t>değeri</w:t>
      </w:r>
      <w:proofErr w:type="spellEnd"/>
      <w:r>
        <w:rPr>
          <w:color w:val="000000"/>
        </w:rPr>
        <w:t xml:space="preserve"> </w:t>
      </w:r>
      <w:proofErr w:type="spellStart"/>
      <w:r>
        <w:rPr>
          <w:color w:val="000000"/>
        </w:rPr>
        <w:t>artırmak</w:t>
      </w:r>
      <w:proofErr w:type="spellEnd"/>
      <w:r>
        <w:rPr>
          <w:color w:val="000000"/>
        </w:rPr>
        <w:t xml:space="preserve"> </w:t>
      </w:r>
      <w:proofErr w:type="spellStart"/>
      <w:r>
        <w:rPr>
          <w:color w:val="000000"/>
        </w:rPr>
        <w:t>için</w:t>
      </w:r>
      <w:proofErr w:type="spellEnd"/>
      <w:r>
        <w:rPr>
          <w:color w:val="000000"/>
        </w:rPr>
        <w:t xml:space="preserve"> 0 </w:t>
      </w:r>
      <w:proofErr w:type="spellStart"/>
      <w:r>
        <w:rPr>
          <w:color w:val="000000"/>
        </w:rPr>
        <w:t>veya</w:t>
      </w:r>
      <w:proofErr w:type="spellEnd"/>
      <w:r>
        <w:rPr>
          <w:color w:val="000000"/>
        </w:rPr>
        <w:t xml:space="preserve"> 9 </w:t>
      </w:r>
      <w:proofErr w:type="spellStart"/>
      <w:r>
        <w:rPr>
          <w:color w:val="000000"/>
        </w:rPr>
        <w:t>yerine</w:t>
      </w:r>
      <w:proofErr w:type="spellEnd"/>
      <w:r>
        <w:rPr>
          <w:color w:val="000000"/>
        </w:rPr>
        <w:t xml:space="preserve">, 5 </w:t>
      </w:r>
      <w:proofErr w:type="spellStart"/>
      <w:r>
        <w:rPr>
          <w:color w:val="000000"/>
        </w:rPr>
        <w:t>ile</w:t>
      </w:r>
      <w:proofErr w:type="spellEnd"/>
      <w:r>
        <w:rPr>
          <w:color w:val="000000"/>
        </w:rPr>
        <w:t xml:space="preserve"> </w:t>
      </w:r>
      <w:proofErr w:type="spellStart"/>
      <w:r>
        <w:rPr>
          <w:color w:val="000000"/>
        </w:rPr>
        <w:t>bitirilmiştir</w:t>
      </w:r>
      <w:proofErr w:type="spellEnd"/>
      <w:r>
        <w:rPr>
          <w:color w:val="000000"/>
        </w:rPr>
        <w:t xml:space="preserve"> (Naipaul &amp; Parsa, 2001).</w:t>
      </w:r>
    </w:p>
    <w:p w14:paraId="69092732" w14:textId="77777777" w:rsidR="001E7189" w:rsidRDefault="001E7189">
      <w:pPr>
        <w:pStyle w:val="NormalWeb"/>
        <w:numPr>
          <w:ilvl w:val="0"/>
          <w:numId w:val="16"/>
        </w:numPr>
        <w:spacing w:before="0" w:beforeAutospacing="0" w:after="0" w:afterAutospacing="0"/>
        <w:jc w:val="both"/>
        <w:rPr>
          <w:color w:val="000000"/>
        </w:rPr>
      </w:pPr>
      <w:proofErr w:type="spellStart"/>
      <w:r>
        <w:rPr>
          <w:b/>
          <w:bCs/>
          <w:color w:val="000000"/>
        </w:rPr>
        <w:t>Sağlıklı</w:t>
      </w:r>
      <w:proofErr w:type="spellEnd"/>
      <w:r>
        <w:rPr>
          <w:b/>
          <w:bCs/>
          <w:color w:val="000000"/>
        </w:rPr>
        <w:t xml:space="preserve"> </w:t>
      </w:r>
      <w:proofErr w:type="spellStart"/>
      <w:r>
        <w:rPr>
          <w:b/>
          <w:bCs/>
          <w:color w:val="000000"/>
        </w:rPr>
        <w:t>Seçimler</w:t>
      </w:r>
      <w:proofErr w:type="spellEnd"/>
      <w:r>
        <w:rPr>
          <w:b/>
          <w:bCs/>
          <w:color w:val="000000"/>
        </w:rPr>
        <w:t>:</w:t>
      </w:r>
      <w:r>
        <w:rPr>
          <w:color w:val="000000"/>
        </w:rPr>
        <w:t xml:space="preserve"> </w:t>
      </w:r>
      <w:proofErr w:type="spellStart"/>
      <w:r>
        <w:rPr>
          <w:color w:val="000000"/>
        </w:rPr>
        <w:t>Menüde</w:t>
      </w:r>
      <w:proofErr w:type="spellEnd"/>
      <w:r>
        <w:rPr>
          <w:color w:val="000000"/>
        </w:rPr>
        <w:t xml:space="preserve"> "</w:t>
      </w:r>
      <w:proofErr w:type="spellStart"/>
      <w:r>
        <w:rPr>
          <w:color w:val="000000"/>
        </w:rPr>
        <w:t>sağlıklı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düşük</w:t>
      </w:r>
      <w:proofErr w:type="spellEnd"/>
      <w:r>
        <w:rPr>
          <w:color w:val="000000"/>
        </w:rPr>
        <w:t xml:space="preserve"> </w:t>
      </w:r>
      <w:proofErr w:type="spellStart"/>
      <w:r>
        <w:rPr>
          <w:color w:val="000000"/>
        </w:rPr>
        <w:t>kalorili</w:t>
      </w:r>
      <w:proofErr w:type="spellEnd"/>
      <w:r>
        <w:rPr>
          <w:color w:val="000000"/>
        </w:rPr>
        <w:t xml:space="preserve">" </w:t>
      </w:r>
      <w:proofErr w:type="spellStart"/>
      <w:r>
        <w:rPr>
          <w:color w:val="000000"/>
        </w:rPr>
        <w:t>alternatifler</w:t>
      </w:r>
      <w:proofErr w:type="spellEnd"/>
      <w:r>
        <w:rPr>
          <w:color w:val="000000"/>
        </w:rPr>
        <w:t xml:space="preserve"> </w:t>
      </w:r>
      <w:proofErr w:type="spellStart"/>
      <w:r>
        <w:rPr>
          <w:color w:val="000000"/>
        </w:rPr>
        <w:t>açıkça</w:t>
      </w:r>
      <w:proofErr w:type="spellEnd"/>
      <w:r>
        <w:rPr>
          <w:color w:val="000000"/>
        </w:rPr>
        <w:t xml:space="preserve"> </w:t>
      </w:r>
      <w:proofErr w:type="spellStart"/>
      <w:r>
        <w:rPr>
          <w:color w:val="000000"/>
        </w:rPr>
        <w:t>belirtilmiştir</w:t>
      </w:r>
      <w:proofErr w:type="spellEnd"/>
      <w:r>
        <w:rPr>
          <w:color w:val="000000"/>
        </w:rPr>
        <w:t xml:space="preserve"> (</w:t>
      </w:r>
      <w:proofErr w:type="spellStart"/>
      <w:r>
        <w:rPr>
          <w:color w:val="000000"/>
        </w:rPr>
        <w:t>örneğin</w:t>
      </w:r>
      <w:proofErr w:type="spellEnd"/>
      <w:r>
        <w:rPr>
          <w:color w:val="000000"/>
        </w:rPr>
        <w:t xml:space="preserve">, </w:t>
      </w:r>
      <w:proofErr w:type="spellStart"/>
      <w:r>
        <w:rPr>
          <w:color w:val="000000"/>
        </w:rPr>
        <w:t>Izgara</w:t>
      </w:r>
      <w:proofErr w:type="spellEnd"/>
      <w:r>
        <w:rPr>
          <w:color w:val="000000"/>
        </w:rPr>
        <w:t xml:space="preserve"> </w:t>
      </w:r>
      <w:proofErr w:type="spellStart"/>
      <w:r>
        <w:rPr>
          <w:color w:val="000000"/>
        </w:rPr>
        <w:t>Levrek</w:t>
      </w:r>
      <w:proofErr w:type="spellEnd"/>
      <w:r>
        <w:rPr>
          <w:color w:val="000000"/>
        </w:rPr>
        <w:t xml:space="preserve"> Fileto, Nar </w:t>
      </w:r>
      <w:proofErr w:type="spellStart"/>
      <w:r>
        <w:rPr>
          <w:color w:val="000000"/>
        </w:rPr>
        <w:t>ve</w:t>
      </w:r>
      <w:proofErr w:type="spellEnd"/>
      <w:r>
        <w:rPr>
          <w:color w:val="000000"/>
        </w:rPr>
        <w:t xml:space="preserve"> </w:t>
      </w:r>
      <w:proofErr w:type="spellStart"/>
      <w:r>
        <w:rPr>
          <w:color w:val="000000"/>
        </w:rPr>
        <w:t>Güllaç</w:t>
      </w:r>
      <w:proofErr w:type="spellEnd"/>
      <w:r>
        <w:rPr>
          <w:color w:val="000000"/>
        </w:rPr>
        <w:t xml:space="preserve"> </w:t>
      </w:r>
      <w:proofErr w:type="spellStart"/>
      <w:r>
        <w:rPr>
          <w:color w:val="000000"/>
        </w:rPr>
        <w:t>Parfe</w:t>
      </w:r>
      <w:proofErr w:type="spellEnd"/>
      <w:r>
        <w:rPr>
          <w:color w:val="000000"/>
        </w:rPr>
        <w:t>).</w:t>
      </w:r>
    </w:p>
    <w:p w14:paraId="1F31A8D8" w14:textId="77777777" w:rsidR="001E7189" w:rsidRDefault="001E7189">
      <w:pPr>
        <w:pStyle w:val="NormalWeb"/>
        <w:numPr>
          <w:ilvl w:val="0"/>
          <w:numId w:val="16"/>
        </w:numPr>
        <w:spacing w:before="0" w:beforeAutospacing="0" w:after="0" w:afterAutospacing="0"/>
        <w:jc w:val="both"/>
        <w:rPr>
          <w:color w:val="000000"/>
        </w:rPr>
      </w:pPr>
      <w:proofErr w:type="spellStart"/>
      <w:r>
        <w:rPr>
          <w:b/>
          <w:bCs/>
          <w:color w:val="000000"/>
        </w:rPr>
        <w:t>Fotoğraf</w:t>
      </w:r>
      <w:proofErr w:type="spellEnd"/>
      <w:r>
        <w:rPr>
          <w:b/>
          <w:bCs/>
          <w:color w:val="000000"/>
        </w:rPr>
        <w:t xml:space="preserve"> </w:t>
      </w:r>
      <w:proofErr w:type="spellStart"/>
      <w:r>
        <w:rPr>
          <w:b/>
          <w:bCs/>
          <w:color w:val="000000"/>
        </w:rPr>
        <w:t>Kullanımı</w:t>
      </w:r>
      <w:proofErr w:type="spellEnd"/>
      <w:r>
        <w:rPr>
          <w:b/>
          <w:bCs/>
          <w:color w:val="000000"/>
        </w:rPr>
        <w:t>:</w:t>
      </w:r>
      <w:r>
        <w:rPr>
          <w:color w:val="000000"/>
        </w:rPr>
        <w:t xml:space="preserve"> </w:t>
      </w:r>
      <w:proofErr w:type="spellStart"/>
      <w:r>
        <w:rPr>
          <w:color w:val="000000"/>
        </w:rPr>
        <w:t>Menünün</w:t>
      </w:r>
      <w:proofErr w:type="spellEnd"/>
      <w:r>
        <w:rPr>
          <w:color w:val="000000"/>
        </w:rPr>
        <w:t xml:space="preserve"> </w:t>
      </w:r>
      <w:proofErr w:type="spellStart"/>
      <w:r>
        <w:rPr>
          <w:color w:val="000000"/>
        </w:rPr>
        <w:t>sadece</w:t>
      </w:r>
      <w:proofErr w:type="spellEnd"/>
      <w:r>
        <w:rPr>
          <w:color w:val="000000"/>
        </w:rPr>
        <w:t xml:space="preserve"> </w:t>
      </w:r>
      <w:proofErr w:type="spellStart"/>
      <w:r>
        <w:rPr>
          <w:color w:val="000000"/>
        </w:rPr>
        <w:t>başlangıçlar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tatlılar</w:t>
      </w:r>
      <w:proofErr w:type="spellEnd"/>
      <w:r>
        <w:rPr>
          <w:color w:val="000000"/>
        </w:rPr>
        <w:t xml:space="preserve"> </w:t>
      </w:r>
      <w:proofErr w:type="spellStart"/>
      <w:r>
        <w:rPr>
          <w:color w:val="000000"/>
        </w:rPr>
        <w:t>bölümünde</w:t>
      </w:r>
      <w:proofErr w:type="spellEnd"/>
      <w:r>
        <w:rPr>
          <w:color w:val="000000"/>
        </w:rPr>
        <w:t xml:space="preserve"> </w:t>
      </w:r>
      <w:proofErr w:type="spellStart"/>
      <w:r>
        <w:rPr>
          <w:color w:val="000000"/>
        </w:rPr>
        <w:t>fotoğraflar</w:t>
      </w:r>
      <w:proofErr w:type="spellEnd"/>
      <w:r>
        <w:rPr>
          <w:color w:val="000000"/>
        </w:rPr>
        <w:t xml:space="preserve"> </w:t>
      </w:r>
      <w:proofErr w:type="spellStart"/>
      <w:r>
        <w:rPr>
          <w:color w:val="000000"/>
        </w:rPr>
        <w:t>yer</w:t>
      </w:r>
      <w:proofErr w:type="spellEnd"/>
      <w:r>
        <w:rPr>
          <w:color w:val="000000"/>
        </w:rPr>
        <w:t xml:space="preserve"> </w:t>
      </w:r>
      <w:proofErr w:type="spellStart"/>
      <w:r>
        <w:rPr>
          <w:color w:val="000000"/>
        </w:rPr>
        <w:t>alır</w:t>
      </w:r>
      <w:proofErr w:type="spellEnd"/>
      <w:r>
        <w:rPr>
          <w:color w:val="000000"/>
        </w:rPr>
        <w:t xml:space="preserve">. </w:t>
      </w:r>
      <w:proofErr w:type="spellStart"/>
      <w:r>
        <w:rPr>
          <w:color w:val="000000"/>
        </w:rPr>
        <w:t>Araştırmalara</w:t>
      </w:r>
      <w:proofErr w:type="spellEnd"/>
      <w:r>
        <w:rPr>
          <w:color w:val="000000"/>
        </w:rPr>
        <w:t xml:space="preserve"> </w:t>
      </w:r>
      <w:proofErr w:type="spellStart"/>
      <w:r>
        <w:rPr>
          <w:color w:val="000000"/>
        </w:rPr>
        <w:t>göre</w:t>
      </w:r>
      <w:proofErr w:type="spellEnd"/>
      <w:r>
        <w:rPr>
          <w:color w:val="000000"/>
        </w:rPr>
        <w:t xml:space="preserve">, </w:t>
      </w:r>
      <w:proofErr w:type="spellStart"/>
      <w:r>
        <w:rPr>
          <w:color w:val="000000"/>
        </w:rPr>
        <w:t>doğru</w:t>
      </w:r>
      <w:proofErr w:type="spellEnd"/>
      <w:r>
        <w:rPr>
          <w:color w:val="000000"/>
        </w:rPr>
        <w:t xml:space="preserve"> </w:t>
      </w:r>
      <w:proofErr w:type="spellStart"/>
      <w:r>
        <w:rPr>
          <w:color w:val="000000"/>
        </w:rPr>
        <w:t>seçilmiş</w:t>
      </w:r>
      <w:proofErr w:type="spellEnd"/>
      <w:r>
        <w:rPr>
          <w:color w:val="000000"/>
        </w:rPr>
        <w:t xml:space="preserve"> </w:t>
      </w:r>
      <w:proofErr w:type="spellStart"/>
      <w:r>
        <w:rPr>
          <w:color w:val="000000"/>
        </w:rPr>
        <w:t>görseller</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seçimlerini</w:t>
      </w:r>
      <w:proofErr w:type="spellEnd"/>
      <w:r>
        <w:rPr>
          <w:color w:val="000000"/>
        </w:rPr>
        <w:t xml:space="preserve"> </w:t>
      </w:r>
      <w:proofErr w:type="spellStart"/>
      <w:r>
        <w:rPr>
          <w:color w:val="000000"/>
        </w:rPr>
        <w:t>etkiler</w:t>
      </w:r>
      <w:proofErr w:type="spellEnd"/>
      <w:r>
        <w:rPr>
          <w:color w:val="000000"/>
        </w:rPr>
        <w:t xml:space="preserve"> (</w:t>
      </w:r>
      <w:proofErr w:type="spellStart"/>
      <w:r>
        <w:rPr>
          <w:color w:val="000000"/>
        </w:rPr>
        <w:t>Guéguen</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2012).</w:t>
      </w:r>
    </w:p>
    <w:p w14:paraId="4F272DBA" w14:textId="77777777" w:rsidR="001E7189" w:rsidRDefault="001E7189">
      <w:pPr>
        <w:pStyle w:val="NormalWeb"/>
        <w:numPr>
          <w:ilvl w:val="0"/>
          <w:numId w:val="16"/>
        </w:numPr>
        <w:spacing w:before="0" w:beforeAutospacing="0" w:after="0" w:afterAutospacing="0"/>
        <w:jc w:val="both"/>
        <w:rPr>
          <w:color w:val="000000"/>
        </w:rPr>
      </w:pPr>
      <w:r>
        <w:rPr>
          <w:b/>
          <w:bCs/>
          <w:color w:val="000000"/>
        </w:rPr>
        <w:t xml:space="preserve">Tat </w:t>
      </w:r>
      <w:proofErr w:type="spellStart"/>
      <w:r>
        <w:rPr>
          <w:b/>
          <w:bCs/>
          <w:color w:val="000000"/>
        </w:rPr>
        <w:t>ve</w:t>
      </w:r>
      <w:proofErr w:type="spellEnd"/>
      <w:r>
        <w:rPr>
          <w:b/>
          <w:bCs/>
          <w:color w:val="000000"/>
        </w:rPr>
        <w:t xml:space="preserve"> Kalite </w:t>
      </w:r>
      <w:proofErr w:type="spellStart"/>
      <w:r>
        <w:rPr>
          <w:b/>
          <w:bCs/>
          <w:color w:val="000000"/>
        </w:rPr>
        <w:t>Algısı</w:t>
      </w:r>
      <w:proofErr w:type="spellEnd"/>
      <w:r>
        <w:rPr>
          <w:b/>
          <w:bCs/>
          <w:color w:val="000000"/>
        </w:rPr>
        <w:t>:</w:t>
      </w:r>
      <w:r>
        <w:rPr>
          <w:color w:val="000000"/>
        </w:rPr>
        <w:t xml:space="preserve"> </w:t>
      </w:r>
      <w:proofErr w:type="spellStart"/>
      <w:r>
        <w:rPr>
          <w:color w:val="000000"/>
        </w:rPr>
        <w:t>Yaratıcı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duygusal</w:t>
      </w:r>
      <w:proofErr w:type="spellEnd"/>
      <w:r>
        <w:rPr>
          <w:color w:val="000000"/>
        </w:rPr>
        <w:t xml:space="preserve"> </w:t>
      </w:r>
      <w:proofErr w:type="spellStart"/>
      <w:r>
        <w:rPr>
          <w:color w:val="000000"/>
        </w:rPr>
        <w:t>açıklamalar</w:t>
      </w:r>
      <w:proofErr w:type="spellEnd"/>
      <w:r>
        <w:rPr>
          <w:color w:val="000000"/>
        </w:rPr>
        <w:t xml:space="preserve"> (</w:t>
      </w:r>
      <w:proofErr w:type="spellStart"/>
      <w:r>
        <w:rPr>
          <w:color w:val="000000"/>
        </w:rPr>
        <w:t>örneğin</w:t>
      </w:r>
      <w:proofErr w:type="spellEnd"/>
      <w:r>
        <w:rPr>
          <w:color w:val="000000"/>
        </w:rPr>
        <w:t>, "</w:t>
      </w:r>
      <w:proofErr w:type="spellStart"/>
      <w:r>
        <w:rPr>
          <w:color w:val="000000"/>
        </w:rPr>
        <w:t>Ege'nin</w:t>
      </w:r>
      <w:proofErr w:type="spellEnd"/>
      <w:r>
        <w:rPr>
          <w:color w:val="000000"/>
        </w:rPr>
        <w:t xml:space="preserve"> </w:t>
      </w:r>
      <w:proofErr w:type="spellStart"/>
      <w:r>
        <w:rPr>
          <w:color w:val="000000"/>
        </w:rPr>
        <w:t>kokusunu</w:t>
      </w:r>
      <w:proofErr w:type="spellEnd"/>
      <w:r>
        <w:rPr>
          <w:color w:val="000000"/>
        </w:rPr>
        <w:t xml:space="preserve"> </w:t>
      </w:r>
      <w:proofErr w:type="spellStart"/>
      <w:r>
        <w:rPr>
          <w:color w:val="000000"/>
        </w:rPr>
        <w:t>hissedeceksiniz</w:t>
      </w:r>
      <w:proofErr w:type="spellEnd"/>
      <w:r>
        <w:rPr>
          <w:color w:val="000000"/>
        </w:rPr>
        <w:t xml:space="preserve">") </w:t>
      </w:r>
      <w:proofErr w:type="spellStart"/>
      <w:r>
        <w:rPr>
          <w:color w:val="000000"/>
        </w:rPr>
        <w:t>müşterinin</w:t>
      </w:r>
      <w:proofErr w:type="spellEnd"/>
      <w:r>
        <w:rPr>
          <w:color w:val="000000"/>
        </w:rPr>
        <w:t xml:space="preserve"> </w:t>
      </w:r>
      <w:proofErr w:type="spellStart"/>
      <w:r>
        <w:rPr>
          <w:color w:val="000000"/>
        </w:rPr>
        <w:t>algısını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tat</w:t>
      </w:r>
      <w:proofErr w:type="spellEnd"/>
      <w:r>
        <w:rPr>
          <w:color w:val="000000"/>
        </w:rPr>
        <w:t xml:space="preserve"> </w:t>
      </w:r>
      <w:proofErr w:type="spellStart"/>
      <w:r>
        <w:rPr>
          <w:color w:val="000000"/>
        </w:rPr>
        <w:t>beklentisini</w:t>
      </w:r>
      <w:proofErr w:type="spellEnd"/>
      <w:r>
        <w:rPr>
          <w:color w:val="000000"/>
        </w:rPr>
        <w:t xml:space="preserve"> </w:t>
      </w:r>
      <w:proofErr w:type="spellStart"/>
      <w:r>
        <w:rPr>
          <w:color w:val="000000"/>
        </w:rPr>
        <w:t>olumlu</w:t>
      </w:r>
      <w:proofErr w:type="spellEnd"/>
      <w:r>
        <w:rPr>
          <w:color w:val="000000"/>
        </w:rPr>
        <w:t xml:space="preserve"> </w:t>
      </w:r>
      <w:proofErr w:type="spellStart"/>
      <w:r>
        <w:rPr>
          <w:color w:val="000000"/>
        </w:rPr>
        <w:t>yönde</w:t>
      </w:r>
      <w:proofErr w:type="spellEnd"/>
      <w:r>
        <w:rPr>
          <w:color w:val="000000"/>
        </w:rPr>
        <w:t xml:space="preserve"> </w:t>
      </w:r>
      <w:proofErr w:type="spellStart"/>
      <w:r>
        <w:rPr>
          <w:color w:val="000000"/>
        </w:rPr>
        <w:t>etkiler</w:t>
      </w:r>
      <w:proofErr w:type="spellEnd"/>
      <w:r>
        <w:rPr>
          <w:color w:val="000000"/>
        </w:rPr>
        <w:t xml:space="preserve"> (</w:t>
      </w:r>
      <w:proofErr w:type="spellStart"/>
      <w:r>
        <w:rPr>
          <w:color w:val="000000"/>
        </w:rPr>
        <w:t>Wansink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2005).</w:t>
      </w:r>
    </w:p>
    <w:p w14:paraId="2D120872" w14:textId="77777777" w:rsidR="001E7189" w:rsidRPr="00714BC1" w:rsidRDefault="001E7189" w:rsidP="007513A1">
      <w:pPr>
        <w:rPr>
          <w:b/>
          <w:bCs/>
        </w:rPr>
      </w:pPr>
      <w:r w:rsidRPr="00714BC1">
        <w:rPr>
          <w:b/>
          <w:bCs/>
        </w:rPr>
        <w:t>3.3.3. Satış Verilerine Dayalı Menü Optimizasyonu</w:t>
      </w:r>
    </w:p>
    <w:p w14:paraId="27DAC905" w14:textId="77777777" w:rsidR="001E7189" w:rsidRDefault="001E7189">
      <w:pPr>
        <w:pStyle w:val="NormalWeb"/>
        <w:numPr>
          <w:ilvl w:val="0"/>
          <w:numId w:val="17"/>
        </w:numPr>
        <w:spacing w:before="0" w:beforeAutospacing="0" w:after="0" w:afterAutospacing="0"/>
        <w:jc w:val="both"/>
        <w:rPr>
          <w:color w:val="000000"/>
        </w:rPr>
      </w:pPr>
      <w:proofErr w:type="spellStart"/>
      <w:r>
        <w:rPr>
          <w:b/>
          <w:bCs/>
          <w:color w:val="000000"/>
        </w:rPr>
        <w:t>Maliyet</w:t>
      </w:r>
      <w:proofErr w:type="spellEnd"/>
      <w:r>
        <w:rPr>
          <w:b/>
          <w:bCs/>
          <w:color w:val="000000"/>
        </w:rPr>
        <w:t xml:space="preserve"> </w:t>
      </w:r>
      <w:proofErr w:type="spellStart"/>
      <w:r>
        <w:rPr>
          <w:b/>
          <w:bCs/>
          <w:color w:val="000000"/>
        </w:rPr>
        <w:t>Hesaplaması</w:t>
      </w:r>
      <w:proofErr w:type="spellEnd"/>
      <w:r>
        <w:rPr>
          <w:b/>
          <w:bCs/>
          <w:color w:val="000000"/>
        </w:rPr>
        <w:t>:</w:t>
      </w:r>
      <w:r>
        <w:rPr>
          <w:color w:val="000000"/>
        </w:rPr>
        <w:t xml:space="preserve"> Her </w:t>
      </w:r>
      <w:proofErr w:type="spellStart"/>
      <w:r>
        <w:rPr>
          <w:color w:val="000000"/>
        </w:rPr>
        <w:t>yemek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maliyet</w:t>
      </w:r>
      <w:proofErr w:type="spellEnd"/>
      <w:r>
        <w:rPr>
          <w:color w:val="000000"/>
        </w:rPr>
        <w:t xml:space="preserve"> </w:t>
      </w:r>
      <w:proofErr w:type="spellStart"/>
      <w:r>
        <w:rPr>
          <w:color w:val="000000"/>
        </w:rPr>
        <w:t>oranı</w:t>
      </w:r>
      <w:proofErr w:type="spellEnd"/>
      <w:r>
        <w:rPr>
          <w:color w:val="000000"/>
        </w:rPr>
        <w:t xml:space="preserve"> %30-35 </w:t>
      </w:r>
      <w:proofErr w:type="spellStart"/>
      <w:r>
        <w:rPr>
          <w:color w:val="000000"/>
        </w:rPr>
        <w:t>arasında</w:t>
      </w:r>
      <w:proofErr w:type="spellEnd"/>
      <w:r>
        <w:rPr>
          <w:color w:val="000000"/>
        </w:rPr>
        <w:t xml:space="preserve"> </w:t>
      </w:r>
      <w:proofErr w:type="spellStart"/>
      <w:r>
        <w:rPr>
          <w:color w:val="000000"/>
        </w:rPr>
        <w:t>tutulmuş</w:t>
      </w:r>
      <w:proofErr w:type="spellEnd"/>
      <w:r>
        <w:rPr>
          <w:color w:val="000000"/>
        </w:rPr>
        <w:t xml:space="preserve">, </w:t>
      </w:r>
      <w:proofErr w:type="spellStart"/>
      <w:r>
        <w:rPr>
          <w:color w:val="000000"/>
        </w:rPr>
        <w:t>kar</w:t>
      </w:r>
      <w:proofErr w:type="spellEnd"/>
      <w:r>
        <w:rPr>
          <w:color w:val="000000"/>
        </w:rPr>
        <w:t xml:space="preserve"> </w:t>
      </w:r>
      <w:proofErr w:type="spellStart"/>
      <w:r>
        <w:rPr>
          <w:color w:val="000000"/>
        </w:rPr>
        <w:t>marjını</w:t>
      </w:r>
      <w:proofErr w:type="spellEnd"/>
      <w:r>
        <w:rPr>
          <w:color w:val="000000"/>
        </w:rPr>
        <w:t xml:space="preserve"> </w:t>
      </w:r>
      <w:proofErr w:type="spellStart"/>
      <w:r>
        <w:rPr>
          <w:color w:val="000000"/>
        </w:rPr>
        <w:t>maksimize</w:t>
      </w:r>
      <w:proofErr w:type="spellEnd"/>
      <w:r>
        <w:rPr>
          <w:color w:val="000000"/>
        </w:rPr>
        <w:t xml:space="preserve"> </w:t>
      </w:r>
      <w:proofErr w:type="spellStart"/>
      <w:r>
        <w:rPr>
          <w:color w:val="000000"/>
        </w:rPr>
        <w:t>etmek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dikkatle</w:t>
      </w:r>
      <w:proofErr w:type="spellEnd"/>
      <w:r>
        <w:rPr>
          <w:color w:val="000000"/>
        </w:rPr>
        <w:t xml:space="preserve"> </w:t>
      </w:r>
      <w:proofErr w:type="spellStart"/>
      <w:r>
        <w:rPr>
          <w:color w:val="000000"/>
        </w:rPr>
        <w:t>hesaplanmıştır</w:t>
      </w:r>
      <w:proofErr w:type="spellEnd"/>
      <w:r>
        <w:rPr>
          <w:color w:val="000000"/>
        </w:rPr>
        <w:t xml:space="preserve"> (</w:t>
      </w:r>
      <w:proofErr w:type="spellStart"/>
      <w:r>
        <w:rPr>
          <w:color w:val="000000"/>
        </w:rPr>
        <w:t>LeBruto</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1995).</w:t>
      </w:r>
    </w:p>
    <w:p w14:paraId="0F5E82DC" w14:textId="77777777" w:rsidR="001E7189" w:rsidRDefault="001E7189">
      <w:pPr>
        <w:pStyle w:val="NormalWeb"/>
        <w:numPr>
          <w:ilvl w:val="0"/>
          <w:numId w:val="17"/>
        </w:numPr>
        <w:spacing w:before="0" w:beforeAutospacing="0" w:after="0" w:afterAutospacing="0"/>
        <w:jc w:val="both"/>
        <w:rPr>
          <w:color w:val="000000"/>
        </w:rPr>
      </w:pPr>
      <w:proofErr w:type="spellStart"/>
      <w:r>
        <w:rPr>
          <w:b/>
          <w:bCs/>
          <w:color w:val="000000"/>
        </w:rPr>
        <w:t>Satış</w:t>
      </w:r>
      <w:proofErr w:type="spellEnd"/>
      <w:r>
        <w:rPr>
          <w:b/>
          <w:bCs/>
          <w:color w:val="000000"/>
        </w:rPr>
        <w:t xml:space="preserve"> </w:t>
      </w:r>
      <w:proofErr w:type="spellStart"/>
      <w:r>
        <w:rPr>
          <w:b/>
          <w:bCs/>
          <w:color w:val="000000"/>
        </w:rPr>
        <w:t>Tahmini</w:t>
      </w:r>
      <w:proofErr w:type="spellEnd"/>
      <w:r>
        <w:rPr>
          <w:b/>
          <w:bCs/>
          <w:color w:val="000000"/>
        </w:rPr>
        <w:t>:</w:t>
      </w:r>
      <w:r>
        <w:rPr>
          <w:color w:val="000000"/>
        </w:rPr>
        <w:t xml:space="preserve"> Yüksek </w:t>
      </w:r>
      <w:proofErr w:type="spellStart"/>
      <w:r>
        <w:rPr>
          <w:color w:val="000000"/>
        </w:rPr>
        <w:t>satış</w:t>
      </w:r>
      <w:proofErr w:type="spellEnd"/>
      <w:r>
        <w:rPr>
          <w:color w:val="000000"/>
        </w:rPr>
        <w:t xml:space="preserve"> </w:t>
      </w:r>
      <w:proofErr w:type="spellStart"/>
      <w:r>
        <w:rPr>
          <w:color w:val="000000"/>
        </w:rPr>
        <w:t>potansiyeline</w:t>
      </w:r>
      <w:proofErr w:type="spellEnd"/>
      <w:r>
        <w:rPr>
          <w:color w:val="000000"/>
        </w:rPr>
        <w:t xml:space="preserve"> </w:t>
      </w:r>
      <w:proofErr w:type="spellStart"/>
      <w:r>
        <w:rPr>
          <w:color w:val="000000"/>
        </w:rPr>
        <w:t>sahip</w:t>
      </w:r>
      <w:proofErr w:type="spellEnd"/>
      <w:r>
        <w:rPr>
          <w:color w:val="000000"/>
        </w:rPr>
        <w:t xml:space="preserve"> </w:t>
      </w:r>
      <w:proofErr w:type="spellStart"/>
      <w:r>
        <w:rPr>
          <w:color w:val="000000"/>
        </w:rPr>
        <w:t>ürünler</w:t>
      </w:r>
      <w:proofErr w:type="spellEnd"/>
      <w:r>
        <w:rPr>
          <w:color w:val="000000"/>
        </w:rPr>
        <w:t xml:space="preserve">, "sweet spot" </w:t>
      </w:r>
      <w:proofErr w:type="spellStart"/>
      <w:r>
        <w:rPr>
          <w:color w:val="000000"/>
        </w:rPr>
        <w:t>bölgelerine</w:t>
      </w:r>
      <w:proofErr w:type="spellEnd"/>
      <w:r>
        <w:rPr>
          <w:color w:val="000000"/>
        </w:rPr>
        <w:t xml:space="preserve"> </w:t>
      </w:r>
      <w:proofErr w:type="spellStart"/>
      <w:r>
        <w:rPr>
          <w:color w:val="000000"/>
        </w:rPr>
        <w:t>yerleştirilmiştir</w:t>
      </w:r>
      <w:proofErr w:type="spellEnd"/>
      <w:r>
        <w:rPr>
          <w:color w:val="000000"/>
        </w:rPr>
        <w:t xml:space="preserve"> (Choi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2010).</w:t>
      </w:r>
    </w:p>
    <w:p w14:paraId="37CEF4AF" w14:textId="77777777" w:rsidR="001E7189" w:rsidRDefault="001E7189">
      <w:pPr>
        <w:pStyle w:val="NormalWeb"/>
        <w:numPr>
          <w:ilvl w:val="0"/>
          <w:numId w:val="17"/>
        </w:numPr>
        <w:spacing w:before="0" w:beforeAutospacing="0" w:after="0" w:afterAutospacing="0"/>
        <w:jc w:val="both"/>
        <w:rPr>
          <w:color w:val="000000"/>
        </w:rPr>
      </w:pPr>
      <w:proofErr w:type="spellStart"/>
      <w:r>
        <w:rPr>
          <w:b/>
          <w:bCs/>
          <w:color w:val="000000"/>
        </w:rPr>
        <w:t>Popülerlik</w:t>
      </w:r>
      <w:proofErr w:type="spellEnd"/>
      <w:r>
        <w:rPr>
          <w:b/>
          <w:bCs/>
          <w:color w:val="000000"/>
        </w:rPr>
        <w:t xml:space="preserve"> </w:t>
      </w:r>
      <w:proofErr w:type="spellStart"/>
      <w:r>
        <w:rPr>
          <w:b/>
          <w:bCs/>
          <w:color w:val="000000"/>
        </w:rPr>
        <w:t>ve</w:t>
      </w:r>
      <w:proofErr w:type="spellEnd"/>
      <w:r>
        <w:rPr>
          <w:b/>
          <w:bCs/>
          <w:color w:val="000000"/>
        </w:rPr>
        <w:t xml:space="preserve"> </w:t>
      </w:r>
      <w:proofErr w:type="spellStart"/>
      <w:r>
        <w:rPr>
          <w:b/>
          <w:bCs/>
          <w:color w:val="000000"/>
        </w:rPr>
        <w:t>Karlılık</w:t>
      </w:r>
      <w:proofErr w:type="spellEnd"/>
      <w:r>
        <w:rPr>
          <w:b/>
          <w:bCs/>
          <w:color w:val="000000"/>
        </w:rPr>
        <w:t xml:space="preserve"> </w:t>
      </w:r>
      <w:proofErr w:type="spellStart"/>
      <w:r>
        <w:rPr>
          <w:b/>
          <w:bCs/>
          <w:color w:val="000000"/>
        </w:rPr>
        <w:t>Analizi</w:t>
      </w:r>
      <w:proofErr w:type="spellEnd"/>
      <w:r>
        <w:rPr>
          <w:b/>
          <w:bCs/>
          <w:color w:val="000000"/>
        </w:rPr>
        <w:t>:</w:t>
      </w:r>
      <w:r>
        <w:rPr>
          <w:color w:val="000000"/>
        </w:rPr>
        <w:t xml:space="preserve"> </w:t>
      </w:r>
      <w:proofErr w:type="spellStart"/>
      <w:r>
        <w:rPr>
          <w:color w:val="000000"/>
        </w:rPr>
        <w:t>Menü</w:t>
      </w:r>
      <w:proofErr w:type="spellEnd"/>
      <w:r>
        <w:rPr>
          <w:color w:val="000000"/>
        </w:rPr>
        <w:t xml:space="preserve">, </w:t>
      </w:r>
      <w:proofErr w:type="spellStart"/>
      <w:r>
        <w:rPr>
          <w:color w:val="000000"/>
        </w:rPr>
        <w:t>üç</w:t>
      </w:r>
      <w:proofErr w:type="spellEnd"/>
      <w:r>
        <w:rPr>
          <w:color w:val="000000"/>
        </w:rPr>
        <w:t xml:space="preserve"> </w:t>
      </w:r>
      <w:proofErr w:type="spellStart"/>
      <w:r>
        <w:rPr>
          <w:color w:val="000000"/>
        </w:rPr>
        <w:t>ayda</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gözden</w:t>
      </w:r>
      <w:proofErr w:type="spellEnd"/>
      <w:r>
        <w:rPr>
          <w:color w:val="000000"/>
        </w:rPr>
        <w:t xml:space="preserve"> </w:t>
      </w:r>
      <w:proofErr w:type="spellStart"/>
      <w:r>
        <w:rPr>
          <w:color w:val="000000"/>
        </w:rPr>
        <w:t>geçirilerek</w:t>
      </w:r>
      <w:proofErr w:type="spellEnd"/>
      <w:r>
        <w:rPr>
          <w:color w:val="000000"/>
        </w:rPr>
        <w:t xml:space="preserve"> </w:t>
      </w:r>
      <w:proofErr w:type="spellStart"/>
      <w:r>
        <w:rPr>
          <w:color w:val="000000"/>
        </w:rPr>
        <w:t>düşük</w:t>
      </w:r>
      <w:proofErr w:type="spellEnd"/>
      <w:r>
        <w:rPr>
          <w:color w:val="000000"/>
        </w:rPr>
        <w:t xml:space="preserve"> </w:t>
      </w:r>
      <w:proofErr w:type="spellStart"/>
      <w:r>
        <w:rPr>
          <w:color w:val="000000"/>
        </w:rPr>
        <w:t>performanslı</w:t>
      </w:r>
      <w:proofErr w:type="spellEnd"/>
      <w:r>
        <w:rPr>
          <w:color w:val="000000"/>
        </w:rPr>
        <w:t xml:space="preserve"> </w:t>
      </w:r>
      <w:proofErr w:type="spellStart"/>
      <w:r>
        <w:rPr>
          <w:color w:val="000000"/>
        </w:rPr>
        <w:t>ürünler</w:t>
      </w:r>
      <w:proofErr w:type="spellEnd"/>
      <w:r>
        <w:rPr>
          <w:color w:val="000000"/>
        </w:rPr>
        <w:t xml:space="preserve"> </w:t>
      </w:r>
      <w:proofErr w:type="spellStart"/>
      <w:r>
        <w:rPr>
          <w:color w:val="000000"/>
        </w:rPr>
        <w:t>yeniden</w:t>
      </w:r>
      <w:proofErr w:type="spellEnd"/>
      <w:r>
        <w:rPr>
          <w:color w:val="000000"/>
        </w:rPr>
        <w:t xml:space="preserve"> </w:t>
      </w:r>
      <w:proofErr w:type="spellStart"/>
      <w:r>
        <w:rPr>
          <w:color w:val="000000"/>
        </w:rPr>
        <w:t>konumlandırılacak</w:t>
      </w:r>
      <w:proofErr w:type="spellEnd"/>
      <w:r>
        <w:rPr>
          <w:color w:val="000000"/>
        </w:rPr>
        <w:t xml:space="preserve"> </w:t>
      </w:r>
      <w:proofErr w:type="spellStart"/>
      <w:r>
        <w:rPr>
          <w:color w:val="000000"/>
        </w:rPr>
        <w:t>ya</w:t>
      </w:r>
      <w:proofErr w:type="spellEnd"/>
      <w:r>
        <w:rPr>
          <w:color w:val="000000"/>
        </w:rPr>
        <w:t xml:space="preserve"> da </w:t>
      </w:r>
      <w:proofErr w:type="spellStart"/>
      <w:r>
        <w:rPr>
          <w:color w:val="000000"/>
        </w:rPr>
        <w:t>elimine</w:t>
      </w:r>
      <w:proofErr w:type="spellEnd"/>
      <w:r>
        <w:rPr>
          <w:color w:val="000000"/>
        </w:rPr>
        <w:t xml:space="preserve"> </w:t>
      </w:r>
      <w:proofErr w:type="spellStart"/>
      <w:r>
        <w:rPr>
          <w:color w:val="000000"/>
        </w:rPr>
        <w:t>edilecektir</w:t>
      </w:r>
      <w:proofErr w:type="spellEnd"/>
      <w:r>
        <w:rPr>
          <w:color w:val="000000"/>
        </w:rPr>
        <w:t xml:space="preserve"> (Taylor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w:t>
      </w:r>
    </w:p>
    <w:p w14:paraId="198DB159" w14:textId="77777777" w:rsidR="001E7189" w:rsidRDefault="001E7189" w:rsidP="007513A1">
      <w:pPr>
        <w:pStyle w:val="NormalWeb"/>
        <w:spacing w:before="0" w:beforeAutospacing="0" w:after="0" w:afterAutospacing="0"/>
        <w:jc w:val="both"/>
        <w:rPr>
          <w:color w:val="000000"/>
        </w:rPr>
      </w:pPr>
    </w:p>
    <w:p w14:paraId="6BD959A7" w14:textId="77777777" w:rsidR="001E7189" w:rsidRDefault="001E7189" w:rsidP="007513A1">
      <w:pPr>
        <w:pStyle w:val="ResimYazs"/>
        <w:spacing w:after="0"/>
        <w:jc w:val="center"/>
        <w:rPr>
          <w:rFonts w:ascii="Times New Roman" w:eastAsia="SimSun" w:hAnsi="Times New Roman" w:cs="Times New Roman"/>
          <w:color w:val="auto"/>
          <w:sz w:val="20"/>
          <w:szCs w:val="20"/>
        </w:rPr>
      </w:pPr>
      <w:r>
        <w:rPr>
          <w:rFonts w:ascii="Times New Roman" w:hAnsi="Times New Roman" w:cs="Times New Roman"/>
          <w:b/>
          <w:bCs/>
          <w:color w:val="auto"/>
          <w:sz w:val="20"/>
          <w:szCs w:val="20"/>
        </w:rPr>
        <w:lastRenderedPageBreak/>
        <w:t>Tablo 1:</w:t>
      </w:r>
      <w:r>
        <w:rPr>
          <w:rFonts w:ascii="Times New Roman" w:hAnsi="Times New Roman" w:cs="Times New Roman"/>
          <w:color w:val="auto"/>
          <w:sz w:val="20"/>
          <w:szCs w:val="20"/>
        </w:rPr>
        <w:t xml:space="preserve"> </w:t>
      </w:r>
      <w:r>
        <w:rPr>
          <w:rFonts w:ascii="Times New Roman" w:eastAsia="SimSun" w:hAnsi="Times New Roman" w:cs="Times New Roman"/>
          <w:color w:val="auto"/>
          <w:sz w:val="20"/>
          <w:szCs w:val="20"/>
        </w:rPr>
        <w:t xml:space="preserve">Akdeniz restoranı için menü konsepti ve detaylı strateji tablosu spesifik </w:t>
      </w:r>
      <w:proofErr w:type="spellStart"/>
      <w:r>
        <w:rPr>
          <w:rFonts w:ascii="Times New Roman" w:eastAsia="SimSun" w:hAnsi="Times New Roman" w:cs="Times New Roman"/>
          <w:color w:val="auto"/>
          <w:sz w:val="20"/>
          <w:szCs w:val="20"/>
        </w:rPr>
        <w:t>promptları</w:t>
      </w:r>
      <w:proofErr w:type="spellEnd"/>
      <w:r>
        <w:rPr>
          <w:rFonts w:ascii="Times New Roman" w:eastAsia="SimSun" w:hAnsi="Times New Roman" w:cs="Times New Roman"/>
          <w:color w:val="auto"/>
          <w:sz w:val="20"/>
          <w:szCs w:val="20"/>
        </w:rPr>
        <w:t xml:space="preserve"> (White &amp; Schmidt’in </w:t>
      </w:r>
      <w:proofErr w:type="spellStart"/>
      <w:r>
        <w:rPr>
          <w:rFonts w:ascii="Times New Roman" w:eastAsia="SimSun" w:hAnsi="Times New Roman" w:cs="Times New Roman"/>
          <w:color w:val="auto"/>
          <w:sz w:val="20"/>
          <w:szCs w:val="20"/>
        </w:rPr>
        <w:t>prompt</w:t>
      </w:r>
      <w:proofErr w:type="spellEnd"/>
      <w:r>
        <w:rPr>
          <w:rFonts w:ascii="Times New Roman" w:eastAsia="SimSun" w:hAnsi="Times New Roman" w:cs="Times New Roman"/>
          <w:color w:val="auto"/>
          <w:sz w:val="20"/>
          <w:szCs w:val="20"/>
        </w:rPr>
        <w:t xml:space="preserve"> kalıplarına göre oluşturulmuştur)</w:t>
      </w:r>
    </w:p>
    <w:p w14:paraId="0C514FF6" w14:textId="77777777" w:rsidR="001E7189" w:rsidRDefault="001E7189" w:rsidP="007513A1"/>
    <w:tbl>
      <w:tblPr>
        <w:tblStyle w:val="Style10"/>
        <w:tblW w:w="8018"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780"/>
        <w:gridCol w:w="1513"/>
        <w:gridCol w:w="1893"/>
        <w:gridCol w:w="2832"/>
      </w:tblGrid>
      <w:tr w:rsidR="001E7189" w14:paraId="1D371834" w14:textId="77777777" w:rsidTr="00D23BA5">
        <w:trPr>
          <w:trHeight w:val="462"/>
          <w:jc w:val="center"/>
        </w:trPr>
        <w:tc>
          <w:tcPr>
            <w:tcW w:w="1780" w:type="dxa"/>
            <w:shd w:val="clear" w:color="auto" w:fill="auto"/>
            <w:tcMar>
              <w:top w:w="100" w:type="dxa"/>
              <w:left w:w="100" w:type="dxa"/>
              <w:bottom w:w="100" w:type="dxa"/>
              <w:right w:w="100" w:type="dxa"/>
            </w:tcMar>
          </w:tcPr>
          <w:p w14:paraId="26754040" w14:textId="77777777" w:rsidR="001E7189" w:rsidRDefault="001E7189" w:rsidP="007513A1">
            <w:pPr>
              <w:widowControl w:val="0"/>
              <w:jc w:val="both"/>
              <w:rPr>
                <w:rFonts w:eastAsia="Times New Roman"/>
                <w:b/>
              </w:rPr>
            </w:pPr>
            <w:r>
              <w:rPr>
                <w:rFonts w:eastAsia="Times New Roman"/>
                <w:b/>
              </w:rPr>
              <w:t>Ana Kategori</w:t>
            </w:r>
          </w:p>
        </w:tc>
        <w:tc>
          <w:tcPr>
            <w:tcW w:w="1513" w:type="dxa"/>
            <w:shd w:val="clear" w:color="auto" w:fill="auto"/>
            <w:tcMar>
              <w:top w:w="100" w:type="dxa"/>
              <w:left w:w="100" w:type="dxa"/>
              <w:bottom w:w="100" w:type="dxa"/>
              <w:right w:w="100" w:type="dxa"/>
            </w:tcMar>
          </w:tcPr>
          <w:p w14:paraId="7B2E8D58" w14:textId="77777777" w:rsidR="001E7189" w:rsidRDefault="001E7189" w:rsidP="007513A1">
            <w:pPr>
              <w:widowControl w:val="0"/>
              <w:jc w:val="both"/>
              <w:rPr>
                <w:rFonts w:eastAsia="Times New Roman"/>
                <w:b/>
              </w:rPr>
            </w:pPr>
            <w:r>
              <w:rPr>
                <w:rFonts w:eastAsia="Times New Roman"/>
                <w:b/>
              </w:rPr>
              <w:t>Alt Kategori</w:t>
            </w:r>
          </w:p>
        </w:tc>
        <w:tc>
          <w:tcPr>
            <w:tcW w:w="1893" w:type="dxa"/>
            <w:shd w:val="clear" w:color="auto" w:fill="auto"/>
            <w:tcMar>
              <w:top w:w="100" w:type="dxa"/>
              <w:left w:w="100" w:type="dxa"/>
              <w:bottom w:w="100" w:type="dxa"/>
              <w:right w:w="100" w:type="dxa"/>
            </w:tcMar>
          </w:tcPr>
          <w:p w14:paraId="43F16EB7" w14:textId="77777777" w:rsidR="001E7189" w:rsidRDefault="001E7189" w:rsidP="007513A1">
            <w:pPr>
              <w:widowControl w:val="0"/>
              <w:jc w:val="both"/>
              <w:rPr>
                <w:rFonts w:eastAsia="Times New Roman"/>
                <w:b/>
              </w:rPr>
            </w:pPr>
            <w:r>
              <w:rPr>
                <w:rFonts w:eastAsia="Times New Roman"/>
                <w:b/>
              </w:rPr>
              <w:t>Amaç</w:t>
            </w:r>
          </w:p>
        </w:tc>
        <w:tc>
          <w:tcPr>
            <w:tcW w:w="2832" w:type="dxa"/>
            <w:shd w:val="clear" w:color="auto" w:fill="auto"/>
            <w:tcMar>
              <w:top w:w="100" w:type="dxa"/>
              <w:left w:w="100" w:type="dxa"/>
              <w:bottom w:w="100" w:type="dxa"/>
              <w:right w:w="100" w:type="dxa"/>
            </w:tcMar>
          </w:tcPr>
          <w:p w14:paraId="2031452A" w14:textId="77777777" w:rsidR="001E7189" w:rsidRDefault="001E7189" w:rsidP="007513A1">
            <w:pPr>
              <w:widowControl w:val="0"/>
              <w:jc w:val="both"/>
              <w:rPr>
                <w:rFonts w:eastAsia="Times New Roman"/>
                <w:b/>
              </w:rPr>
            </w:pPr>
            <w:r>
              <w:rPr>
                <w:rFonts w:eastAsia="Times New Roman"/>
                <w:b/>
              </w:rPr>
              <w:t>Örnek ve Kalıp</w:t>
            </w:r>
          </w:p>
        </w:tc>
      </w:tr>
      <w:tr w:rsidR="001E7189" w14:paraId="34D3E710" w14:textId="77777777" w:rsidTr="00D23BA5">
        <w:trPr>
          <w:trHeight w:val="3768"/>
          <w:jc w:val="center"/>
        </w:trPr>
        <w:tc>
          <w:tcPr>
            <w:tcW w:w="1780" w:type="dxa"/>
            <w:shd w:val="clear" w:color="auto" w:fill="auto"/>
            <w:tcMar>
              <w:top w:w="100" w:type="dxa"/>
              <w:left w:w="100" w:type="dxa"/>
              <w:bottom w:w="100" w:type="dxa"/>
              <w:right w:w="100" w:type="dxa"/>
            </w:tcMar>
          </w:tcPr>
          <w:p w14:paraId="65A8425A" w14:textId="77777777" w:rsidR="001E7189" w:rsidRDefault="001E7189" w:rsidP="007513A1">
            <w:pPr>
              <w:widowControl w:val="0"/>
              <w:jc w:val="both"/>
              <w:rPr>
                <w:rFonts w:eastAsia="Times New Roman"/>
                <w:b/>
              </w:rPr>
            </w:pPr>
            <w:r>
              <w:rPr>
                <w:rFonts w:eastAsia="Times New Roman"/>
                <w:b/>
              </w:rPr>
              <w:t>Girdi Anlamları (</w:t>
            </w:r>
            <w:proofErr w:type="spellStart"/>
            <w:r>
              <w:rPr>
                <w:rFonts w:eastAsia="Times New Roman"/>
                <w:b/>
              </w:rPr>
              <w:t>Input</w:t>
            </w:r>
            <w:proofErr w:type="spellEnd"/>
            <w:r>
              <w:rPr>
                <w:rFonts w:eastAsia="Times New Roman"/>
                <w:b/>
              </w:rPr>
              <w:t xml:space="preserve"> </w:t>
            </w:r>
            <w:proofErr w:type="spellStart"/>
            <w:r>
              <w:rPr>
                <w:rFonts w:eastAsia="Times New Roman"/>
                <w:b/>
              </w:rPr>
              <w:t>Semantics</w:t>
            </w:r>
            <w:proofErr w:type="spellEnd"/>
            <w:r>
              <w:rPr>
                <w:rFonts w:eastAsia="Times New Roman"/>
                <w:b/>
              </w:rPr>
              <w:t>)</w:t>
            </w:r>
          </w:p>
        </w:tc>
        <w:tc>
          <w:tcPr>
            <w:tcW w:w="1513" w:type="dxa"/>
            <w:shd w:val="clear" w:color="auto" w:fill="auto"/>
            <w:tcMar>
              <w:top w:w="100" w:type="dxa"/>
              <w:left w:w="100" w:type="dxa"/>
              <w:bottom w:w="100" w:type="dxa"/>
              <w:right w:w="100" w:type="dxa"/>
            </w:tcMar>
          </w:tcPr>
          <w:p w14:paraId="03067122" w14:textId="77777777" w:rsidR="001E7189" w:rsidRDefault="001E7189" w:rsidP="007513A1">
            <w:pPr>
              <w:widowControl w:val="0"/>
              <w:jc w:val="both"/>
              <w:rPr>
                <w:rFonts w:eastAsia="Times New Roman"/>
              </w:rPr>
            </w:pPr>
            <w:r>
              <w:rPr>
                <w:rFonts w:eastAsia="Times New Roman"/>
              </w:rPr>
              <w:t xml:space="preserve">Meta Dil Oluşturma (Meta Language </w:t>
            </w:r>
            <w:proofErr w:type="spellStart"/>
            <w:r>
              <w:rPr>
                <w:rFonts w:eastAsia="Times New Roman"/>
              </w:rPr>
              <w:t>Creation</w:t>
            </w:r>
            <w:proofErr w:type="spellEnd"/>
            <w:r>
              <w:rPr>
                <w:rFonts w:eastAsia="Times New Roman"/>
              </w:rPr>
              <w:t>)</w:t>
            </w:r>
          </w:p>
        </w:tc>
        <w:tc>
          <w:tcPr>
            <w:tcW w:w="1893" w:type="dxa"/>
            <w:shd w:val="clear" w:color="auto" w:fill="auto"/>
            <w:tcMar>
              <w:top w:w="100" w:type="dxa"/>
              <w:left w:w="100" w:type="dxa"/>
              <w:bottom w:w="100" w:type="dxa"/>
              <w:right w:w="100" w:type="dxa"/>
            </w:tcMar>
          </w:tcPr>
          <w:p w14:paraId="292ED130" w14:textId="77777777" w:rsidR="001E7189" w:rsidRDefault="001E7189" w:rsidP="007513A1">
            <w:pPr>
              <w:widowControl w:val="0"/>
              <w:jc w:val="both"/>
              <w:rPr>
                <w:rFonts w:eastAsia="Times New Roman"/>
              </w:rPr>
            </w:pPr>
            <w:r>
              <w:rPr>
                <w:rFonts w:eastAsia="Times New Roman"/>
              </w:rPr>
              <w:t>Akdeniz restoranı konseptine özgü terimlerin veya kısaltmaların tanımlanması.</w:t>
            </w:r>
          </w:p>
        </w:tc>
        <w:tc>
          <w:tcPr>
            <w:tcW w:w="2832" w:type="dxa"/>
            <w:shd w:val="clear" w:color="auto" w:fill="auto"/>
            <w:tcMar>
              <w:top w:w="100" w:type="dxa"/>
              <w:left w:w="100" w:type="dxa"/>
              <w:bottom w:w="100" w:type="dxa"/>
              <w:right w:w="100" w:type="dxa"/>
            </w:tcMar>
          </w:tcPr>
          <w:p w14:paraId="041BDBE3" w14:textId="77777777" w:rsidR="001E7189" w:rsidRDefault="001E7189" w:rsidP="007513A1">
            <w:pPr>
              <w:widowControl w:val="0"/>
              <w:jc w:val="both"/>
              <w:rPr>
                <w:rFonts w:eastAsia="Times New Roman"/>
                <w:b/>
              </w:rPr>
            </w:pPr>
            <w:r>
              <w:rPr>
                <w:rFonts w:eastAsia="Times New Roman"/>
                <w:b/>
              </w:rPr>
              <w:t>Örnek:</w:t>
            </w:r>
          </w:p>
          <w:p w14:paraId="3BCF357C" w14:textId="77777777" w:rsidR="001E7189" w:rsidRDefault="001E7189" w:rsidP="007513A1">
            <w:pPr>
              <w:widowControl w:val="0"/>
              <w:jc w:val="both"/>
              <w:rPr>
                <w:rFonts w:eastAsia="Times New Roman"/>
              </w:rPr>
            </w:pPr>
            <w:r>
              <w:rPr>
                <w:rFonts w:eastAsia="Times New Roman"/>
              </w:rPr>
              <w:t>"‘ZA’ dediğimde ‘Zeytinyağlılar’ demek istediğimi anlayın. ‘DT’ ise ‘Deniz Tabağı (deniz ürünlerinden oluşan karışık tabak)’ anlamına gelir."</w:t>
            </w:r>
          </w:p>
          <w:p w14:paraId="17439B5C" w14:textId="77777777" w:rsidR="001E7189" w:rsidRDefault="001E7189" w:rsidP="007513A1">
            <w:pPr>
              <w:widowControl w:val="0"/>
              <w:jc w:val="both"/>
              <w:rPr>
                <w:rFonts w:eastAsia="Times New Roman"/>
                <w:b/>
              </w:rPr>
            </w:pPr>
            <w:r>
              <w:rPr>
                <w:rFonts w:eastAsia="Times New Roman"/>
                <w:b/>
              </w:rPr>
              <w:t>Kalıp:</w:t>
            </w:r>
          </w:p>
          <w:p w14:paraId="17ABCC93" w14:textId="77777777" w:rsidR="001E7189" w:rsidRDefault="001E7189" w:rsidP="007513A1">
            <w:pPr>
              <w:widowControl w:val="0"/>
              <w:jc w:val="both"/>
              <w:rPr>
                <w:rFonts w:eastAsia="Times New Roman"/>
                <w:b/>
              </w:rPr>
            </w:pPr>
            <w:r>
              <w:rPr>
                <w:rFonts w:eastAsia="Times New Roman"/>
              </w:rPr>
              <w:t>"‘[KISALTMA]’ dediğimde bunun ‘[AÇIKLAMA]’ anlamına geldiğini varsay."</w:t>
            </w:r>
          </w:p>
        </w:tc>
      </w:tr>
      <w:tr w:rsidR="001E7189" w14:paraId="662DA442" w14:textId="77777777" w:rsidTr="00D23BA5">
        <w:trPr>
          <w:trHeight w:val="3768"/>
          <w:jc w:val="center"/>
        </w:trPr>
        <w:tc>
          <w:tcPr>
            <w:tcW w:w="1780" w:type="dxa"/>
            <w:shd w:val="clear" w:color="auto" w:fill="auto"/>
            <w:tcMar>
              <w:top w:w="100" w:type="dxa"/>
              <w:left w:w="100" w:type="dxa"/>
              <w:bottom w:w="100" w:type="dxa"/>
              <w:right w:w="100" w:type="dxa"/>
            </w:tcMar>
          </w:tcPr>
          <w:p w14:paraId="40542B7A" w14:textId="77777777" w:rsidR="001E7189" w:rsidRDefault="001E7189" w:rsidP="007513A1">
            <w:pPr>
              <w:widowControl w:val="0"/>
              <w:jc w:val="both"/>
              <w:rPr>
                <w:rFonts w:eastAsia="Times New Roman"/>
                <w:b/>
              </w:rPr>
            </w:pPr>
            <w:r>
              <w:rPr>
                <w:rFonts w:eastAsia="Times New Roman"/>
                <w:b/>
              </w:rPr>
              <w:t>Çıktı Özelleştirme (</w:t>
            </w:r>
            <w:proofErr w:type="spellStart"/>
            <w:r>
              <w:rPr>
                <w:rFonts w:eastAsia="Times New Roman"/>
                <w:b/>
              </w:rPr>
              <w:t>Output</w:t>
            </w:r>
            <w:proofErr w:type="spellEnd"/>
            <w:r>
              <w:rPr>
                <w:rFonts w:eastAsia="Times New Roman"/>
                <w:b/>
              </w:rPr>
              <w:t xml:space="preserve"> </w:t>
            </w:r>
            <w:proofErr w:type="spellStart"/>
            <w:r>
              <w:rPr>
                <w:rFonts w:eastAsia="Times New Roman"/>
                <w:b/>
              </w:rPr>
              <w:t>Customization</w:t>
            </w:r>
            <w:proofErr w:type="spellEnd"/>
            <w:r>
              <w:rPr>
                <w:rFonts w:eastAsia="Times New Roman"/>
                <w:b/>
              </w:rPr>
              <w:t>)</w:t>
            </w:r>
          </w:p>
        </w:tc>
        <w:tc>
          <w:tcPr>
            <w:tcW w:w="1513" w:type="dxa"/>
            <w:shd w:val="clear" w:color="auto" w:fill="auto"/>
            <w:tcMar>
              <w:top w:w="100" w:type="dxa"/>
              <w:left w:w="100" w:type="dxa"/>
              <w:bottom w:w="100" w:type="dxa"/>
              <w:right w:w="100" w:type="dxa"/>
            </w:tcMar>
          </w:tcPr>
          <w:p w14:paraId="7814B8EA" w14:textId="77777777" w:rsidR="001E7189" w:rsidRDefault="001E7189" w:rsidP="007513A1">
            <w:pPr>
              <w:widowControl w:val="0"/>
              <w:jc w:val="both"/>
              <w:rPr>
                <w:rFonts w:eastAsia="Times New Roman"/>
              </w:rPr>
            </w:pPr>
            <w:r>
              <w:rPr>
                <w:rFonts w:eastAsia="Times New Roman"/>
              </w:rPr>
              <w:t>Persona</w:t>
            </w:r>
          </w:p>
        </w:tc>
        <w:tc>
          <w:tcPr>
            <w:tcW w:w="1893" w:type="dxa"/>
            <w:shd w:val="clear" w:color="auto" w:fill="auto"/>
            <w:tcMar>
              <w:top w:w="100" w:type="dxa"/>
              <w:left w:w="100" w:type="dxa"/>
              <w:bottom w:w="100" w:type="dxa"/>
              <w:right w:w="100" w:type="dxa"/>
            </w:tcMar>
          </w:tcPr>
          <w:p w14:paraId="4E06E1CB" w14:textId="77777777" w:rsidR="001E7189" w:rsidRDefault="001E7189" w:rsidP="007513A1">
            <w:pPr>
              <w:widowControl w:val="0"/>
              <w:jc w:val="both"/>
              <w:rPr>
                <w:rFonts w:eastAsia="Times New Roman"/>
              </w:rPr>
            </w:pPr>
            <w:r>
              <w:rPr>
                <w:rFonts w:eastAsia="Times New Roman"/>
              </w:rPr>
              <w:t>Yapay zekanın bir Akdeniz restoran şefi gibi davranmasını sağlamak.</w:t>
            </w:r>
          </w:p>
        </w:tc>
        <w:tc>
          <w:tcPr>
            <w:tcW w:w="2832" w:type="dxa"/>
            <w:shd w:val="clear" w:color="auto" w:fill="auto"/>
            <w:tcMar>
              <w:top w:w="100" w:type="dxa"/>
              <w:left w:w="100" w:type="dxa"/>
              <w:bottom w:w="100" w:type="dxa"/>
              <w:right w:w="100" w:type="dxa"/>
            </w:tcMar>
          </w:tcPr>
          <w:p w14:paraId="7910FB17" w14:textId="77777777" w:rsidR="001E7189" w:rsidRDefault="001E7189" w:rsidP="007513A1">
            <w:pPr>
              <w:widowControl w:val="0"/>
              <w:jc w:val="both"/>
              <w:rPr>
                <w:rFonts w:eastAsia="Times New Roman"/>
                <w:b/>
              </w:rPr>
            </w:pPr>
            <w:r>
              <w:rPr>
                <w:rFonts w:eastAsia="Times New Roman"/>
                <w:b/>
              </w:rPr>
              <w:t>Örnek:</w:t>
            </w:r>
          </w:p>
          <w:p w14:paraId="1B7D9319" w14:textId="77777777" w:rsidR="001E7189" w:rsidRDefault="001E7189" w:rsidP="007513A1">
            <w:pPr>
              <w:widowControl w:val="0"/>
              <w:jc w:val="both"/>
              <w:rPr>
                <w:rFonts w:eastAsia="Times New Roman"/>
              </w:rPr>
            </w:pPr>
            <w:r>
              <w:rPr>
                <w:rFonts w:eastAsia="Times New Roman"/>
              </w:rPr>
              <w:t>"Bir Akdeniz restoran şefi gibi davranarak, menüye bir başlangıç ekle ve tarifini detaylı anlat."</w:t>
            </w:r>
          </w:p>
          <w:p w14:paraId="3B80F595" w14:textId="77777777" w:rsidR="001E7189" w:rsidRDefault="001E7189" w:rsidP="007513A1">
            <w:pPr>
              <w:widowControl w:val="0"/>
              <w:jc w:val="both"/>
              <w:rPr>
                <w:rFonts w:eastAsia="Times New Roman"/>
                <w:b/>
              </w:rPr>
            </w:pPr>
            <w:r>
              <w:rPr>
                <w:rFonts w:eastAsia="Times New Roman"/>
                <w:b/>
              </w:rPr>
              <w:t>Kalıp:</w:t>
            </w:r>
          </w:p>
          <w:p w14:paraId="5D5A2440" w14:textId="77777777" w:rsidR="001E7189" w:rsidRDefault="001E7189" w:rsidP="007513A1">
            <w:pPr>
              <w:widowControl w:val="0"/>
              <w:jc w:val="both"/>
              <w:rPr>
                <w:rFonts w:eastAsia="Times New Roman"/>
                <w:b/>
              </w:rPr>
            </w:pPr>
            <w:r>
              <w:rPr>
                <w:rFonts w:eastAsia="Times New Roman"/>
              </w:rPr>
              <w:t>"Şef rolüne bürün ve Akdeniz mutfağı konseptine uygun [KATEGORİ: başlangıç, ana yemek, tatlı] önerileri yap."</w:t>
            </w:r>
          </w:p>
        </w:tc>
      </w:tr>
      <w:tr w:rsidR="001E7189" w14:paraId="4DB34E6B" w14:textId="77777777" w:rsidTr="00D23BA5">
        <w:trPr>
          <w:trHeight w:val="3768"/>
          <w:jc w:val="center"/>
        </w:trPr>
        <w:tc>
          <w:tcPr>
            <w:tcW w:w="1780" w:type="dxa"/>
            <w:shd w:val="clear" w:color="auto" w:fill="auto"/>
            <w:tcMar>
              <w:top w:w="100" w:type="dxa"/>
              <w:left w:w="100" w:type="dxa"/>
              <w:bottom w:w="100" w:type="dxa"/>
              <w:right w:w="100" w:type="dxa"/>
            </w:tcMar>
          </w:tcPr>
          <w:p w14:paraId="00035F3B" w14:textId="77777777" w:rsidR="001E7189" w:rsidRDefault="001E7189" w:rsidP="007513A1">
            <w:pPr>
              <w:widowControl w:val="0"/>
              <w:jc w:val="both"/>
              <w:rPr>
                <w:rFonts w:eastAsia="Times New Roman"/>
              </w:rPr>
            </w:pPr>
          </w:p>
        </w:tc>
        <w:tc>
          <w:tcPr>
            <w:tcW w:w="1513" w:type="dxa"/>
            <w:shd w:val="clear" w:color="auto" w:fill="auto"/>
            <w:tcMar>
              <w:top w:w="100" w:type="dxa"/>
              <w:left w:w="100" w:type="dxa"/>
              <w:bottom w:w="100" w:type="dxa"/>
              <w:right w:w="100" w:type="dxa"/>
            </w:tcMar>
          </w:tcPr>
          <w:p w14:paraId="1C691973" w14:textId="77777777" w:rsidR="001E7189" w:rsidRDefault="001E7189" w:rsidP="007513A1">
            <w:pPr>
              <w:widowControl w:val="0"/>
              <w:jc w:val="both"/>
              <w:rPr>
                <w:rFonts w:eastAsia="Times New Roman"/>
              </w:rPr>
            </w:pPr>
            <w:r>
              <w:rPr>
                <w:rFonts w:eastAsia="Times New Roman"/>
              </w:rPr>
              <w:t>Şablon (</w:t>
            </w:r>
            <w:proofErr w:type="spellStart"/>
            <w:r>
              <w:rPr>
                <w:rFonts w:eastAsia="Times New Roman"/>
              </w:rPr>
              <w:t>Template</w:t>
            </w:r>
            <w:proofErr w:type="spellEnd"/>
            <w:r>
              <w:rPr>
                <w:rFonts w:eastAsia="Times New Roman"/>
              </w:rPr>
              <w:t>)</w:t>
            </w:r>
          </w:p>
        </w:tc>
        <w:tc>
          <w:tcPr>
            <w:tcW w:w="1893" w:type="dxa"/>
            <w:shd w:val="clear" w:color="auto" w:fill="auto"/>
            <w:tcMar>
              <w:top w:w="100" w:type="dxa"/>
              <w:left w:w="100" w:type="dxa"/>
              <w:bottom w:w="100" w:type="dxa"/>
              <w:right w:w="100" w:type="dxa"/>
            </w:tcMar>
          </w:tcPr>
          <w:p w14:paraId="07022168" w14:textId="77777777" w:rsidR="001E7189" w:rsidRDefault="001E7189" w:rsidP="007513A1">
            <w:pPr>
              <w:widowControl w:val="0"/>
              <w:jc w:val="both"/>
              <w:rPr>
                <w:rFonts w:eastAsia="Times New Roman"/>
              </w:rPr>
            </w:pPr>
            <w:r>
              <w:rPr>
                <w:rFonts w:eastAsia="Times New Roman"/>
              </w:rPr>
              <w:t>Menüyü belirli bir formatta sunarak tutarlılık sağlamak.</w:t>
            </w:r>
          </w:p>
        </w:tc>
        <w:tc>
          <w:tcPr>
            <w:tcW w:w="2832" w:type="dxa"/>
            <w:shd w:val="clear" w:color="auto" w:fill="auto"/>
            <w:tcMar>
              <w:top w:w="100" w:type="dxa"/>
              <w:left w:w="100" w:type="dxa"/>
              <w:bottom w:w="100" w:type="dxa"/>
              <w:right w:w="100" w:type="dxa"/>
            </w:tcMar>
          </w:tcPr>
          <w:p w14:paraId="77C83ECC" w14:textId="77777777" w:rsidR="001E7189" w:rsidRDefault="001E7189" w:rsidP="007513A1">
            <w:pPr>
              <w:widowControl w:val="0"/>
              <w:jc w:val="both"/>
              <w:rPr>
                <w:rFonts w:eastAsia="Times New Roman"/>
                <w:b/>
              </w:rPr>
            </w:pPr>
            <w:r>
              <w:rPr>
                <w:rFonts w:eastAsia="Times New Roman"/>
                <w:b/>
              </w:rPr>
              <w:t>Örnek:</w:t>
            </w:r>
          </w:p>
          <w:p w14:paraId="581E2084" w14:textId="77777777" w:rsidR="001E7189" w:rsidRDefault="001E7189" w:rsidP="007513A1">
            <w:pPr>
              <w:widowControl w:val="0"/>
              <w:jc w:val="both"/>
              <w:rPr>
                <w:rFonts w:eastAsia="Times New Roman"/>
              </w:rPr>
            </w:pPr>
            <w:r>
              <w:rPr>
                <w:rFonts w:eastAsia="Times New Roman"/>
              </w:rPr>
              <w:t>"Menü öğesi için şu şablonu kullan: Yemek Adı: [AD], İçindekiler: [MALZEMELER], Fiyat: [FİYAT], Açıklama: [AÇIKLAMA]."</w:t>
            </w:r>
          </w:p>
          <w:p w14:paraId="16D2488A" w14:textId="77777777" w:rsidR="001E7189" w:rsidRDefault="001E7189" w:rsidP="007513A1">
            <w:pPr>
              <w:widowControl w:val="0"/>
              <w:jc w:val="both"/>
              <w:rPr>
                <w:rFonts w:eastAsia="Times New Roman"/>
                <w:b/>
              </w:rPr>
            </w:pPr>
            <w:r>
              <w:rPr>
                <w:rFonts w:eastAsia="Times New Roman"/>
                <w:b/>
              </w:rPr>
              <w:t>Kalıp:</w:t>
            </w:r>
          </w:p>
          <w:p w14:paraId="1C358EC8" w14:textId="77777777" w:rsidR="001E7189" w:rsidRDefault="001E7189" w:rsidP="007513A1">
            <w:pPr>
              <w:widowControl w:val="0"/>
              <w:jc w:val="both"/>
              <w:rPr>
                <w:rFonts w:eastAsia="Times New Roman"/>
                <w:b/>
              </w:rPr>
            </w:pPr>
            <w:r>
              <w:rPr>
                <w:rFonts w:eastAsia="Times New Roman"/>
              </w:rPr>
              <w:t>"[YEMEK KATEGORİSİ: Başlangıç, Ana Yemek] için [ŞABLON] formatını uygula ve çıktı üret."</w:t>
            </w:r>
          </w:p>
        </w:tc>
      </w:tr>
      <w:tr w:rsidR="001E7189" w14:paraId="7995EF72" w14:textId="77777777" w:rsidTr="00D23BA5">
        <w:trPr>
          <w:trHeight w:val="1451"/>
          <w:jc w:val="center"/>
        </w:trPr>
        <w:tc>
          <w:tcPr>
            <w:tcW w:w="1780" w:type="dxa"/>
            <w:shd w:val="clear" w:color="auto" w:fill="auto"/>
            <w:tcMar>
              <w:top w:w="100" w:type="dxa"/>
              <w:left w:w="100" w:type="dxa"/>
              <w:bottom w:w="100" w:type="dxa"/>
              <w:right w:w="100" w:type="dxa"/>
            </w:tcMar>
          </w:tcPr>
          <w:p w14:paraId="72D44ED0" w14:textId="77777777" w:rsidR="001E7189" w:rsidRDefault="001E7189" w:rsidP="007513A1">
            <w:pPr>
              <w:widowControl w:val="0"/>
              <w:jc w:val="both"/>
              <w:rPr>
                <w:rFonts w:eastAsia="Times New Roman"/>
              </w:rPr>
            </w:pPr>
          </w:p>
        </w:tc>
        <w:tc>
          <w:tcPr>
            <w:tcW w:w="1513" w:type="dxa"/>
            <w:shd w:val="clear" w:color="auto" w:fill="auto"/>
            <w:tcMar>
              <w:top w:w="100" w:type="dxa"/>
              <w:left w:w="100" w:type="dxa"/>
              <w:bottom w:w="100" w:type="dxa"/>
              <w:right w:w="100" w:type="dxa"/>
            </w:tcMar>
          </w:tcPr>
          <w:p w14:paraId="55E069A3" w14:textId="77777777" w:rsidR="001E7189" w:rsidRDefault="001E7189" w:rsidP="007513A1">
            <w:pPr>
              <w:widowControl w:val="0"/>
              <w:jc w:val="both"/>
              <w:rPr>
                <w:rFonts w:eastAsia="Times New Roman"/>
              </w:rPr>
            </w:pPr>
            <w:r>
              <w:rPr>
                <w:rFonts w:eastAsia="Times New Roman"/>
              </w:rPr>
              <w:t>Görselleştirme Üreticisi (</w:t>
            </w:r>
            <w:proofErr w:type="spellStart"/>
            <w:r>
              <w:rPr>
                <w:rFonts w:eastAsia="Times New Roman"/>
              </w:rPr>
              <w:t>Visualization</w:t>
            </w:r>
            <w:proofErr w:type="spellEnd"/>
            <w:r>
              <w:rPr>
                <w:rFonts w:eastAsia="Times New Roman"/>
              </w:rPr>
              <w:t xml:space="preserve"> </w:t>
            </w:r>
            <w:proofErr w:type="spellStart"/>
            <w:r>
              <w:rPr>
                <w:rFonts w:eastAsia="Times New Roman"/>
              </w:rPr>
              <w:t>Generator</w:t>
            </w:r>
            <w:proofErr w:type="spellEnd"/>
            <w:r>
              <w:rPr>
                <w:rFonts w:eastAsia="Times New Roman"/>
              </w:rPr>
              <w:t>)</w:t>
            </w:r>
          </w:p>
        </w:tc>
        <w:tc>
          <w:tcPr>
            <w:tcW w:w="1893" w:type="dxa"/>
            <w:shd w:val="clear" w:color="auto" w:fill="auto"/>
            <w:tcMar>
              <w:top w:w="100" w:type="dxa"/>
              <w:left w:w="100" w:type="dxa"/>
              <w:bottom w:w="100" w:type="dxa"/>
              <w:right w:w="100" w:type="dxa"/>
            </w:tcMar>
          </w:tcPr>
          <w:p w14:paraId="1D417798" w14:textId="77777777" w:rsidR="001E7189" w:rsidRDefault="001E7189" w:rsidP="007513A1">
            <w:pPr>
              <w:widowControl w:val="0"/>
              <w:jc w:val="both"/>
              <w:rPr>
                <w:rFonts w:eastAsia="Times New Roman"/>
              </w:rPr>
            </w:pPr>
            <w:r>
              <w:rPr>
                <w:rFonts w:eastAsia="Times New Roman"/>
              </w:rPr>
              <w:t>Akdeniz restoranı menüsü ve masa düzeni için görsel içerikler oluşturmak.</w:t>
            </w:r>
          </w:p>
        </w:tc>
        <w:tc>
          <w:tcPr>
            <w:tcW w:w="2832" w:type="dxa"/>
            <w:shd w:val="clear" w:color="auto" w:fill="auto"/>
            <w:tcMar>
              <w:top w:w="100" w:type="dxa"/>
              <w:left w:w="100" w:type="dxa"/>
              <w:bottom w:w="100" w:type="dxa"/>
              <w:right w:w="100" w:type="dxa"/>
            </w:tcMar>
          </w:tcPr>
          <w:p w14:paraId="7395D2D7" w14:textId="77777777" w:rsidR="001E7189" w:rsidRDefault="001E7189" w:rsidP="007513A1">
            <w:pPr>
              <w:widowControl w:val="0"/>
              <w:jc w:val="both"/>
              <w:rPr>
                <w:rFonts w:eastAsia="Times New Roman"/>
                <w:b/>
              </w:rPr>
            </w:pPr>
            <w:r>
              <w:rPr>
                <w:rFonts w:eastAsia="Times New Roman"/>
                <w:b/>
              </w:rPr>
              <w:t>Örnek:</w:t>
            </w:r>
          </w:p>
          <w:p w14:paraId="55C66D07" w14:textId="77777777" w:rsidR="001E7189" w:rsidRDefault="001E7189" w:rsidP="007513A1">
            <w:pPr>
              <w:widowControl w:val="0"/>
              <w:jc w:val="both"/>
              <w:rPr>
                <w:rFonts w:eastAsia="Times New Roman"/>
              </w:rPr>
            </w:pPr>
            <w:r>
              <w:rPr>
                <w:rFonts w:eastAsia="Times New Roman"/>
              </w:rPr>
              <w:t xml:space="preserve">"Akdeniz restoranının masa düzenini açıklayan bir diyagram için </w:t>
            </w:r>
            <w:proofErr w:type="spellStart"/>
            <w:r>
              <w:rPr>
                <w:rFonts w:eastAsia="Times New Roman"/>
              </w:rPr>
              <w:t>Graphviz</w:t>
            </w:r>
            <w:proofErr w:type="spellEnd"/>
            <w:r>
              <w:rPr>
                <w:rFonts w:eastAsia="Times New Roman"/>
              </w:rPr>
              <w:t xml:space="preserve"> </w:t>
            </w:r>
            <w:proofErr w:type="spellStart"/>
            <w:r>
              <w:rPr>
                <w:rFonts w:eastAsia="Times New Roman"/>
              </w:rPr>
              <w:t>Dot</w:t>
            </w:r>
            <w:proofErr w:type="spellEnd"/>
            <w:r>
              <w:rPr>
                <w:rFonts w:eastAsia="Times New Roman"/>
              </w:rPr>
              <w:t xml:space="preserve"> kodu oluştur."</w:t>
            </w:r>
          </w:p>
          <w:p w14:paraId="3851872D" w14:textId="77777777" w:rsidR="001E7189" w:rsidRDefault="001E7189" w:rsidP="007513A1">
            <w:pPr>
              <w:widowControl w:val="0"/>
              <w:jc w:val="both"/>
              <w:rPr>
                <w:rFonts w:eastAsia="Times New Roman"/>
                <w:b/>
              </w:rPr>
            </w:pPr>
            <w:r>
              <w:rPr>
                <w:rFonts w:eastAsia="Times New Roman"/>
                <w:b/>
              </w:rPr>
              <w:t>Kalıp:</w:t>
            </w:r>
          </w:p>
          <w:p w14:paraId="2ABB96D3" w14:textId="77777777" w:rsidR="001E7189" w:rsidRDefault="001E7189" w:rsidP="007513A1">
            <w:pPr>
              <w:widowControl w:val="0"/>
              <w:jc w:val="both"/>
              <w:rPr>
                <w:rFonts w:eastAsia="Times New Roman"/>
                <w:b/>
              </w:rPr>
            </w:pPr>
            <w:r>
              <w:rPr>
                <w:rFonts w:eastAsia="Times New Roman"/>
              </w:rPr>
              <w:t>"Restoran tasarımına uygun görsel bir [MENÜ/PLAN] üret."</w:t>
            </w:r>
          </w:p>
        </w:tc>
      </w:tr>
      <w:tr w:rsidR="001E7189" w14:paraId="6F06C70E" w14:textId="77777777" w:rsidTr="00D23BA5">
        <w:trPr>
          <w:trHeight w:val="3274"/>
          <w:jc w:val="center"/>
        </w:trPr>
        <w:tc>
          <w:tcPr>
            <w:tcW w:w="1780" w:type="dxa"/>
            <w:shd w:val="clear" w:color="auto" w:fill="auto"/>
            <w:tcMar>
              <w:top w:w="100" w:type="dxa"/>
              <w:left w:w="100" w:type="dxa"/>
              <w:bottom w:w="100" w:type="dxa"/>
              <w:right w:w="100" w:type="dxa"/>
            </w:tcMar>
          </w:tcPr>
          <w:p w14:paraId="080FDD9B" w14:textId="77777777" w:rsidR="001E7189" w:rsidRDefault="001E7189" w:rsidP="007513A1">
            <w:pPr>
              <w:widowControl w:val="0"/>
              <w:jc w:val="both"/>
              <w:rPr>
                <w:rFonts w:eastAsia="Times New Roman"/>
                <w:b/>
              </w:rPr>
            </w:pPr>
            <w:r>
              <w:rPr>
                <w:rFonts w:eastAsia="Times New Roman"/>
                <w:b/>
              </w:rPr>
              <w:t>Hata Tespiti (</w:t>
            </w:r>
            <w:proofErr w:type="spellStart"/>
            <w:r>
              <w:rPr>
                <w:rFonts w:eastAsia="Times New Roman"/>
                <w:b/>
              </w:rPr>
              <w:t>Error</w:t>
            </w:r>
            <w:proofErr w:type="spellEnd"/>
            <w:r>
              <w:rPr>
                <w:rFonts w:eastAsia="Times New Roman"/>
                <w:b/>
              </w:rPr>
              <w:t xml:space="preserve"> </w:t>
            </w:r>
            <w:proofErr w:type="spellStart"/>
            <w:r>
              <w:rPr>
                <w:rFonts w:eastAsia="Times New Roman"/>
                <w:b/>
              </w:rPr>
              <w:t>Identification</w:t>
            </w:r>
            <w:proofErr w:type="spellEnd"/>
            <w:r>
              <w:rPr>
                <w:rFonts w:eastAsia="Times New Roman"/>
                <w:b/>
              </w:rPr>
              <w:t>)</w:t>
            </w:r>
          </w:p>
        </w:tc>
        <w:tc>
          <w:tcPr>
            <w:tcW w:w="1513" w:type="dxa"/>
            <w:shd w:val="clear" w:color="auto" w:fill="auto"/>
            <w:tcMar>
              <w:top w:w="100" w:type="dxa"/>
              <w:left w:w="100" w:type="dxa"/>
              <w:bottom w:w="100" w:type="dxa"/>
              <w:right w:w="100" w:type="dxa"/>
            </w:tcMar>
          </w:tcPr>
          <w:p w14:paraId="63B53A14" w14:textId="77777777" w:rsidR="001E7189" w:rsidRDefault="001E7189" w:rsidP="007513A1">
            <w:pPr>
              <w:widowControl w:val="0"/>
              <w:jc w:val="both"/>
              <w:rPr>
                <w:rFonts w:eastAsia="Times New Roman"/>
              </w:rPr>
            </w:pPr>
            <w:r>
              <w:rPr>
                <w:rFonts w:eastAsia="Times New Roman"/>
              </w:rPr>
              <w:t>Gerçek Kontrol Listesi (</w:t>
            </w:r>
            <w:proofErr w:type="spellStart"/>
            <w:r>
              <w:rPr>
                <w:rFonts w:eastAsia="Times New Roman"/>
              </w:rPr>
              <w:t>Fact</w:t>
            </w:r>
            <w:proofErr w:type="spellEnd"/>
            <w:r>
              <w:rPr>
                <w:rFonts w:eastAsia="Times New Roman"/>
              </w:rPr>
              <w:t xml:space="preserve"> </w:t>
            </w:r>
            <w:proofErr w:type="spellStart"/>
            <w:r>
              <w:rPr>
                <w:rFonts w:eastAsia="Times New Roman"/>
              </w:rPr>
              <w:t>Check</w:t>
            </w:r>
            <w:proofErr w:type="spellEnd"/>
            <w:r>
              <w:rPr>
                <w:rFonts w:eastAsia="Times New Roman"/>
              </w:rPr>
              <w:t xml:space="preserve"> </w:t>
            </w:r>
            <w:proofErr w:type="spellStart"/>
            <w:r>
              <w:rPr>
                <w:rFonts w:eastAsia="Times New Roman"/>
              </w:rPr>
              <w:t>List</w:t>
            </w:r>
            <w:proofErr w:type="spellEnd"/>
            <w:r>
              <w:rPr>
                <w:rFonts w:eastAsia="Times New Roman"/>
              </w:rPr>
              <w:t>)</w:t>
            </w:r>
          </w:p>
        </w:tc>
        <w:tc>
          <w:tcPr>
            <w:tcW w:w="1893" w:type="dxa"/>
            <w:shd w:val="clear" w:color="auto" w:fill="auto"/>
            <w:tcMar>
              <w:top w:w="100" w:type="dxa"/>
              <w:left w:w="100" w:type="dxa"/>
              <w:bottom w:w="100" w:type="dxa"/>
              <w:right w:w="100" w:type="dxa"/>
            </w:tcMar>
          </w:tcPr>
          <w:p w14:paraId="3A820900" w14:textId="77777777" w:rsidR="001E7189" w:rsidRDefault="001E7189" w:rsidP="007513A1">
            <w:pPr>
              <w:widowControl w:val="0"/>
              <w:jc w:val="both"/>
              <w:rPr>
                <w:rFonts w:eastAsia="Times New Roman"/>
              </w:rPr>
            </w:pPr>
            <w:r>
              <w:rPr>
                <w:rFonts w:eastAsia="Times New Roman"/>
              </w:rPr>
              <w:t>Restoran operasyonlarında doğruluğu sağlamak ve süreçleri kontrol etmek.</w:t>
            </w:r>
          </w:p>
        </w:tc>
        <w:tc>
          <w:tcPr>
            <w:tcW w:w="2832" w:type="dxa"/>
            <w:shd w:val="clear" w:color="auto" w:fill="auto"/>
            <w:tcMar>
              <w:top w:w="100" w:type="dxa"/>
              <w:left w:w="100" w:type="dxa"/>
              <w:bottom w:w="100" w:type="dxa"/>
              <w:right w:w="100" w:type="dxa"/>
            </w:tcMar>
          </w:tcPr>
          <w:p w14:paraId="29A028E2" w14:textId="77777777" w:rsidR="001E7189" w:rsidRDefault="001E7189" w:rsidP="007513A1">
            <w:pPr>
              <w:widowControl w:val="0"/>
              <w:jc w:val="both"/>
              <w:rPr>
                <w:rFonts w:eastAsia="Times New Roman"/>
                <w:b/>
              </w:rPr>
            </w:pPr>
            <w:r>
              <w:rPr>
                <w:rFonts w:eastAsia="Times New Roman"/>
                <w:b/>
              </w:rPr>
              <w:t>Örnek:</w:t>
            </w:r>
          </w:p>
          <w:p w14:paraId="004D1E74" w14:textId="77777777" w:rsidR="001E7189" w:rsidRDefault="001E7189" w:rsidP="007513A1">
            <w:pPr>
              <w:widowControl w:val="0"/>
              <w:jc w:val="both"/>
              <w:rPr>
                <w:rFonts w:eastAsia="Times New Roman"/>
              </w:rPr>
            </w:pPr>
            <w:r>
              <w:rPr>
                <w:rFonts w:eastAsia="Times New Roman"/>
              </w:rPr>
              <w:t>"Başlangıç kategorisindeki tüm yemeklerin Akdeniz mutfağına uygun olup olmadığını kontrol et ve bir liste oluştur."</w:t>
            </w:r>
          </w:p>
          <w:p w14:paraId="2995EC08" w14:textId="77777777" w:rsidR="001E7189" w:rsidRDefault="001E7189" w:rsidP="007513A1">
            <w:pPr>
              <w:widowControl w:val="0"/>
              <w:jc w:val="both"/>
              <w:rPr>
                <w:rFonts w:eastAsia="Times New Roman"/>
                <w:b/>
              </w:rPr>
            </w:pPr>
            <w:r>
              <w:rPr>
                <w:rFonts w:eastAsia="Times New Roman"/>
                <w:b/>
              </w:rPr>
              <w:t>Kalıp:</w:t>
            </w:r>
          </w:p>
          <w:p w14:paraId="778CC8F8" w14:textId="77777777" w:rsidR="001E7189" w:rsidRDefault="001E7189" w:rsidP="007513A1">
            <w:pPr>
              <w:widowControl w:val="0"/>
              <w:jc w:val="both"/>
              <w:rPr>
                <w:rFonts w:eastAsia="Times New Roman"/>
                <w:b/>
              </w:rPr>
            </w:pPr>
            <w:r>
              <w:rPr>
                <w:rFonts w:eastAsia="Times New Roman"/>
              </w:rPr>
              <w:t>"Menü öğelerini kontrol ederek eksik veya hatalı içerikleri tespit et."</w:t>
            </w:r>
          </w:p>
        </w:tc>
      </w:tr>
      <w:tr w:rsidR="001E7189" w14:paraId="1B4D3089" w14:textId="77777777" w:rsidTr="00D23BA5">
        <w:trPr>
          <w:trHeight w:val="3521"/>
          <w:jc w:val="center"/>
        </w:trPr>
        <w:tc>
          <w:tcPr>
            <w:tcW w:w="1780" w:type="dxa"/>
            <w:shd w:val="clear" w:color="auto" w:fill="auto"/>
            <w:tcMar>
              <w:top w:w="100" w:type="dxa"/>
              <w:left w:w="100" w:type="dxa"/>
              <w:bottom w:w="100" w:type="dxa"/>
              <w:right w:w="100" w:type="dxa"/>
            </w:tcMar>
          </w:tcPr>
          <w:p w14:paraId="720F52C1" w14:textId="77777777" w:rsidR="001E7189" w:rsidRDefault="001E7189" w:rsidP="007513A1">
            <w:pPr>
              <w:widowControl w:val="0"/>
              <w:jc w:val="both"/>
              <w:rPr>
                <w:rFonts w:eastAsia="Times New Roman"/>
                <w:b/>
              </w:rPr>
            </w:pPr>
            <w:proofErr w:type="spellStart"/>
            <w:r>
              <w:rPr>
                <w:rFonts w:eastAsia="Times New Roman"/>
                <w:b/>
              </w:rPr>
              <w:lastRenderedPageBreak/>
              <w:t>Prompt</w:t>
            </w:r>
            <w:proofErr w:type="spellEnd"/>
            <w:r>
              <w:rPr>
                <w:rFonts w:eastAsia="Times New Roman"/>
                <w:b/>
              </w:rPr>
              <w:t xml:space="preserve"> İyileştirme (</w:t>
            </w:r>
            <w:proofErr w:type="spellStart"/>
            <w:r>
              <w:rPr>
                <w:rFonts w:eastAsia="Times New Roman"/>
                <w:b/>
              </w:rPr>
              <w:t>Prompt</w:t>
            </w:r>
            <w:proofErr w:type="spellEnd"/>
            <w:r>
              <w:rPr>
                <w:rFonts w:eastAsia="Times New Roman"/>
                <w:b/>
              </w:rPr>
              <w:t xml:space="preserve"> </w:t>
            </w:r>
            <w:proofErr w:type="spellStart"/>
            <w:r>
              <w:rPr>
                <w:rFonts w:eastAsia="Times New Roman"/>
                <w:b/>
              </w:rPr>
              <w:t>Improvement</w:t>
            </w:r>
            <w:proofErr w:type="spellEnd"/>
            <w:r>
              <w:rPr>
                <w:rFonts w:eastAsia="Times New Roman"/>
                <w:b/>
              </w:rPr>
              <w:t>)</w:t>
            </w:r>
          </w:p>
        </w:tc>
        <w:tc>
          <w:tcPr>
            <w:tcW w:w="1513" w:type="dxa"/>
            <w:shd w:val="clear" w:color="auto" w:fill="auto"/>
            <w:tcMar>
              <w:top w:w="100" w:type="dxa"/>
              <w:left w:w="100" w:type="dxa"/>
              <w:bottom w:w="100" w:type="dxa"/>
              <w:right w:w="100" w:type="dxa"/>
            </w:tcMar>
          </w:tcPr>
          <w:p w14:paraId="50E69AE4" w14:textId="77777777" w:rsidR="001E7189" w:rsidRDefault="001E7189" w:rsidP="007513A1">
            <w:pPr>
              <w:widowControl w:val="0"/>
              <w:jc w:val="both"/>
              <w:rPr>
                <w:rFonts w:eastAsia="Times New Roman"/>
              </w:rPr>
            </w:pPr>
            <w:r>
              <w:rPr>
                <w:rFonts w:eastAsia="Times New Roman"/>
              </w:rPr>
              <w:t>Soru İyileştirme (</w:t>
            </w:r>
            <w:proofErr w:type="spellStart"/>
            <w:r>
              <w:rPr>
                <w:rFonts w:eastAsia="Times New Roman"/>
              </w:rPr>
              <w:t>Question</w:t>
            </w:r>
            <w:proofErr w:type="spellEnd"/>
            <w:r>
              <w:rPr>
                <w:rFonts w:eastAsia="Times New Roman"/>
              </w:rPr>
              <w:t xml:space="preserve"> </w:t>
            </w:r>
            <w:proofErr w:type="spellStart"/>
            <w:r>
              <w:rPr>
                <w:rFonts w:eastAsia="Times New Roman"/>
              </w:rPr>
              <w:t>Refinement</w:t>
            </w:r>
            <w:proofErr w:type="spellEnd"/>
            <w:r>
              <w:rPr>
                <w:rFonts w:eastAsia="Times New Roman"/>
              </w:rPr>
              <w:t>)</w:t>
            </w:r>
          </w:p>
        </w:tc>
        <w:tc>
          <w:tcPr>
            <w:tcW w:w="1893" w:type="dxa"/>
            <w:shd w:val="clear" w:color="auto" w:fill="auto"/>
            <w:tcMar>
              <w:top w:w="100" w:type="dxa"/>
              <w:left w:w="100" w:type="dxa"/>
              <w:bottom w:w="100" w:type="dxa"/>
              <w:right w:w="100" w:type="dxa"/>
            </w:tcMar>
          </w:tcPr>
          <w:p w14:paraId="39D10282" w14:textId="77777777" w:rsidR="001E7189" w:rsidRDefault="001E7189" w:rsidP="007513A1">
            <w:pPr>
              <w:widowControl w:val="0"/>
              <w:jc w:val="both"/>
              <w:rPr>
                <w:rFonts w:eastAsia="Times New Roman"/>
              </w:rPr>
            </w:pPr>
            <w:r>
              <w:rPr>
                <w:rFonts w:eastAsia="Times New Roman"/>
              </w:rPr>
              <w:t>Müşteri sorularını Akdeniz restoran konseptine uygun hale getirmek.</w:t>
            </w:r>
          </w:p>
        </w:tc>
        <w:tc>
          <w:tcPr>
            <w:tcW w:w="2832" w:type="dxa"/>
            <w:shd w:val="clear" w:color="auto" w:fill="auto"/>
            <w:tcMar>
              <w:top w:w="100" w:type="dxa"/>
              <w:left w:w="100" w:type="dxa"/>
              <w:bottom w:w="100" w:type="dxa"/>
              <w:right w:w="100" w:type="dxa"/>
            </w:tcMar>
          </w:tcPr>
          <w:p w14:paraId="2259FB5D" w14:textId="77777777" w:rsidR="001E7189" w:rsidRDefault="001E7189" w:rsidP="007513A1">
            <w:pPr>
              <w:widowControl w:val="0"/>
              <w:jc w:val="both"/>
              <w:rPr>
                <w:rFonts w:eastAsia="Times New Roman"/>
                <w:b/>
              </w:rPr>
            </w:pPr>
            <w:r>
              <w:rPr>
                <w:rFonts w:eastAsia="Times New Roman"/>
                <w:b/>
              </w:rPr>
              <w:t>Örnek:</w:t>
            </w:r>
          </w:p>
          <w:p w14:paraId="710CD2DC" w14:textId="77777777" w:rsidR="001E7189" w:rsidRDefault="001E7189" w:rsidP="007513A1">
            <w:pPr>
              <w:widowControl w:val="0"/>
              <w:jc w:val="both"/>
              <w:rPr>
                <w:rFonts w:eastAsia="Times New Roman"/>
              </w:rPr>
            </w:pPr>
            <w:r>
              <w:rPr>
                <w:rFonts w:eastAsia="Times New Roman"/>
              </w:rPr>
              <w:t>"Müşterinin ‘Ne önerirsiniz?’ sorusunu, ‘Bugünkü taze deniz ürünleriniz neler?’ gibi bir soruya dönüştür."</w:t>
            </w:r>
          </w:p>
          <w:p w14:paraId="140224FB" w14:textId="77777777" w:rsidR="001E7189" w:rsidRDefault="001E7189" w:rsidP="007513A1">
            <w:pPr>
              <w:widowControl w:val="0"/>
              <w:jc w:val="both"/>
              <w:rPr>
                <w:rFonts w:eastAsia="Times New Roman"/>
                <w:b/>
              </w:rPr>
            </w:pPr>
            <w:r>
              <w:rPr>
                <w:rFonts w:eastAsia="Times New Roman"/>
                <w:b/>
              </w:rPr>
              <w:t>Kalıp:</w:t>
            </w:r>
          </w:p>
          <w:p w14:paraId="3151699B" w14:textId="77777777" w:rsidR="001E7189" w:rsidRDefault="001E7189" w:rsidP="007513A1">
            <w:pPr>
              <w:widowControl w:val="0"/>
              <w:jc w:val="both"/>
              <w:rPr>
                <w:rFonts w:eastAsia="Times New Roman"/>
              </w:rPr>
            </w:pPr>
            <w:r>
              <w:rPr>
                <w:rFonts w:eastAsia="Times New Roman"/>
              </w:rPr>
              <w:t>"‘[SORU]’ ifadesini Akdeniz restoranına uygun spesifik bir soruya dönüştür."</w:t>
            </w:r>
          </w:p>
        </w:tc>
      </w:tr>
      <w:tr w:rsidR="001E7189" w14:paraId="484E8A92" w14:textId="77777777" w:rsidTr="00D23BA5">
        <w:trPr>
          <w:trHeight w:val="3521"/>
          <w:jc w:val="center"/>
        </w:trPr>
        <w:tc>
          <w:tcPr>
            <w:tcW w:w="1780" w:type="dxa"/>
            <w:shd w:val="clear" w:color="auto" w:fill="auto"/>
            <w:tcMar>
              <w:top w:w="100" w:type="dxa"/>
              <w:left w:w="100" w:type="dxa"/>
              <w:bottom w:w="100" w:type="dxa"/>
              <w:right w:w="100" w:type="dxa"/>
            </w:tcMar>
          </w:tcPr>
          <w:p w14:paraId="7B4BA759" w14:textId="77777777" w:rsidR="001E7189" w:rsidRDefault="001E7189" w:rsidP="007513A1">
            <w:pPr>
              <w:widowControl w:val="0"/>
              <w:jc w:val="both"/>
              <w:rPr>
                <w:rFonts w:eastAsia="Times New Roman"/>
              </w:rPr>
            </w:pPr>
          </w:p>
        </w:tc>
        <w:tc>
          <w:tcPr>
            <w:tcW w:w="1513" w:type="dxa"/>
            <w:shd w:val="clear" w:color="auto" w:fill="auto"/>
            <w:tcMar>
              <w:top w:w="100" w:type="dxa"/>
              <w:left w:w="100" w:type="dxa"/>
              <w:bottom w:w="100" w:type="dxa"/>
              <w:right w:w="100" w:type="dxa"/>
            </w:tcMar>
          </w:tcPr>
          <w:p w14:paraId="205FE849" w14:textId="77777777" w:rsidR="001E7189" w:rsidRDefault="001E7189" w:rsidP="007513A1">
            <w:pPr>
              <w:widowControl w:val="0"/>
              <w:jc w:val="both"/>
              <w:rPr>
                <w:rFonts w:eastAsia="Times New Roman"/>
              </w:rPr>
            </w:pPr>
            <w:r>
              <w:rPr>
                <w:rFonts w:eastAsia="Times New Roman"/>
              </w:rPr>
              <w:t>Alternatif Yaklaşımlar (</w:t>
            </w:r>
            <w:proofErr w:type="spellStart"/>
            <w:r>
              <w:rPr>
                <w:rFonts w:eastAsia="Times New Roman"/>
              </w:rPr>
              <w:t>Alternative</w:t>
            </w:r>
            <w:proofErr w:type="spellEnd"/>
            <w:r>
              <w:rPr>
                <w:rFonts w:eastAsia="Times New Roman"/>
              </w:rPr>
              <w:t xml:space="preserve"> </w:t>
            </w:r>
            <w:proofErr w:type="spellStart"/>
            <w:r>
              <w:rPr>
                <w:rFonts w:eastAsia="Times New Roman"/>
              </w:rPr>
              <w:t>Approaches</w:t>
            </w:r>
            <w:proofErr w:type="spellEnd"/>
            <w:r>
              <w:rPr>
                <w:rFonts w:eastAsia="Times New Roman"/>
              </w:rPr>
              <w:t>)</w:t>
            </w:r>
          </w:p>
        </w:tc>
        <w:tc>
          <w:tcPr>
            <w:tcW w:w="1893" w:type="dxa"/>
            <w:shd w:val="clear" w:color="auto" w:fill="auto"/>
            <w:tcMar>
              <w:top w:w="100" w:type="dxa"/>
              <w:left w:w="100" w:type="dxa"/>
              <w:bottom w:w="100" w:type="dxa"/>
              <w:right w:w="100" w:type="dxa"/>
            </w:tcMar>
          </w:tcPr>
          <w:p w14:paraId="1A5F0207" w14:textId="77777777" w:rsidR="001E7189" w:rsidRDefault="001E7189" w:rsidP="007513A1">
            <w:pPr>
              <w:widowControl w:val="0"/>
              <w:jc w:val="both"/>
              <w:rPr>
                <w:rFonts w:eastAsia="Times New Roman"/>
              </w:rPr>
            </w:pPr>
            <w:r>
              <w:rPr>
                <w:rFonts w:eastAsia="Times New Roman"/>
              </w:rPr>
              <w:t>Belirli bir Akdeniz yemeği için farklı pişirme veya sunum seçenekleri sunmak.</w:t>
            </w:r>
          </w:p>
        </w:tc>
        <w:tc>
          <w:tcPr>
            <w:tcW w:w="2832" w:type="dxa"/>
            <w:shd w:val="clear" w:color="auto" w:fill="auto"/>
            <w:tcMar>
              <w:top w:w="100" w:type="dxa"/>
              <w:left w:w="100" w:type="dxa"/>
              <w:bottom w:w="100" w:type="dxa"/>
              <w:right w:w="100" w:type="dxa"/>
            </w:tcMar>
          </w:tcPr>
          <w:p w14:paraId="49DD8149" w14:textId="77777777" w:rsidR="001E7189" w:rsidRDefault="001E7189" w:rsidP="007513A1">
            <w:pPr>
              <w:widowControl w:val="0"/>
              <w:jc w:val="both"/>
              <w:rPr>
                <w:rFonts w:eastAsia="Times New Roman"/>
                <w:b/>
              </w:rPr>
            </w:pPr>
            <w:r>
              <w:rPr>
                <w:rFonts w:eastAsia="Times New Roman"/>
                <w:b/>
              </w:rPr>
              <w:t>Örnek:</w:t>
            </w:r>
          </w:p>
          <w:p w14:paraId="51B5B6F1" w14:textId="77777777" w:rsidR="001E7189" w:rsidRDefault="001E7189" w:rsidP="007513A1">
            <w:pPr>
              <w:widowControl w:val="0"/>
              <w:jc w:val="both"/>
              <w:rPr>
                <w:rFonts w:eastAsia="Times New Roman"/>
              </w:rPr>
            </w:pPr>
            <w:r>
              <w:rPr>
                <w:rFonts w:eastAsia="Times New Roman"/>
              </w:rPr>
              <w:t>"Bir sebzeli mezeyi vegan hale getirmek için alternatif malzemeler öner ve bunların avantajlarını açıkla."</w:t>
            </w:r>
          </w:p>
          <w:p w14:paraId="43382B32" w14:textId="77777777" w:rsidR="001E7189" w:rsidRDefault="001E7189" w:rsidP="007513A1">
            <w:pPr>
              <w:widowControl w:val="0"/>
              <w:jc w:val="both"/>
              <w:rPr>
                <w:rFonts w:eastAsia="Times New Roman"/>
                <w:b/>
              </w:rPr>
            </w:pPr>
            <w:r>
              <w:rPr>
                <w:rFonts w:eastAsia="Times New Roman"/>
                <w:b/>
              </w:rPr>
              <w:t>Kalıp:</w:t>
            </w:r>
          </w:p>
          <w:p w14:paraId="5CDDE95D" w14:textId="77777777" w:rsidR="001E7189" w:rsidRDefault="001E7189" w:rsidP="007513A1">
            <w:pPr>
              <w:widowControl w:val="0"/>
              <w:jc w:val="both"/>
              <w:rPr>
                <w:rFonts w:eastAsia="Times New Roman"/>
              </w:rPr>
            </w:pPr>
            <w:r>
              <w:rPr>
                <w:rFonts w:eastAsia="Times New Roman"/>
              </w:rPr>
              <w:t>"[YEMEK/İÇERİK] için Akdeniz mutfağına uygun alternatif yöntemler ve malzemeler öner."</w:t>
            </w:r>
          </w:p>
        </w:tc>
      </w:tr>
      <w:tr w:rsidR="001E7189" w14:paraId="213C357B" w14:textId="77777777" w:rsidTr="00D23BA5">
        <w:trPr>
          <w:trHeight w:val="1152"/>
          <w:jc w:val="center"/>
        </w:trPr>
        <w:tc>
          <w:tcPr>
            <w:tcW w:w="1780" w:type="dxa"/>
            <w:shd w:val="clear" w:color="auto" w:fill="auto"/>
            <w:tcMar>
              <w:top w:w="100" w:type="dxa"/>
              <w:left w:w="100" w:type="dxa"/>
              <w:bottom w:w="100" w:type="dxa"/>
              <w:right w:w="100" w:type="dxa"/>
            </w:tcMar>
          </w:tcPr>
          <w:p w14:paraId="0826F190" w14:textId="77777777" w:rsidR="001E7189" w:rsidRDefault="001E7189" w:rsidP="007513A1">
            <w:pPr>
              <w:widowControl w:val="0"/>
              <w:jc w:val="both"/>
              <w:rPr>
                <w:rFonts w:eastAsia="Times New Roman"/>
                <w:b/>
              </w:rPr>
            </w:pPr>
            <w:r>
              <w:rPr>
                <w:rFonts w:eastAsia="Times New Roman"/>
                <w:b/>
              </w:rPr>
              <w:t>Etkileşim (</w:t>
            </w:r>
            <w:proofErr w:type="spellStart"/>
            <w:r>
              <w:rPr>
                <w:rFonts w:eastAsia="Times New Roman"/>
                <w:b/>
              </w:rPr>
              <w:t>Interaction</w:t>
            </w:r>
            <w:proofErr w:type="spellEnd"/>
            <w:r>
              <w:rPr>
                <w:rFonts w:eastAsia="Times New Roman"/>
                <w:b/>
              </w:rPr>
              <w:t>)</w:t>
            </w:r>
          </w:p>
        </w:tc>
        <w:tc>
          <w:tcPr>
            <w:tcW w:w="1513" w:type="dxa"/>
            <w:shd w:val="clear" w:color="auto" w:fill="auto"/>
            <w:tcMar>
              <w:top w:w="100" w:type="dxa"/>
              <w:left w:w="100" w:type="dxa"/>
              <w:bottom w:w="100" w:type="dxa"/>
              <w:right w:w="100" w:type="dxa"/>
            </w:tcMar>
          </w:tcPr>
          <w:p w14:paraId="590DD1B7" w14:textId="77777777" w:rsidR="001E7189" w:rsidRDefault="001E7189" w:rsidP="007513A1">
            <w:pPr>
              <w:widowControl w:val="0"/>
              <w:jc w:val="both"/>
              <w:rPr>
                <w:rFonts w:eastAsia="Times New Roman"/>
              </w:rPr>
            </w:pPr>
            <w:r>
              <w:rPr>
                <w:rFonts w:eastAsia="Times New Roman"/>
              </w:rPr>
              <w:t>Tersine Etkileşim (</w:t>
            </w:r>
            <w:proofErr w:type="spellStart"/>
            <w:r>
              <w:rPr>
                <w:rFonts w:eastAsia="Times New Roman"/>
              </w:rPr>
              <w:t>Flipped</w:t>
            </w:r>
            <w:proofErr w:type="spellEnd"/>
            <w:r>
              <w:rPr>
                <w:rFonts w:eastAsia="Times New Roman"/>
              </w:rPr>
              <w:t xml:space="preserve"> </w:t>
            </w:r>
            <w:proofErr w:type="spellStart"/>
            <w:r>
              <w:rPr>
                <w:rFonts w:eastAsia="Times New Roman"/>
              </w:rPr>
              <w:t>Interaction</w:t>
            </w:r>
            <w:proofErr w:type="spellEnd"/>
            <w:r>
              <w:rPr>
                <w:rFonts w:eastAsia="Times New Roman"/>
              </w:rPr>
              <w:t>)</w:t>
            </w:r>
          </w:p>
        </w:tc>
        <w:tc>
          <w:tcPr>
            <w:tcW w:w="1893" w:type="dxa"/>
            <w:shd w:val="clear" w:color="auto" w:fill="auto"/>
            <w:tcMar>
              <w:top w:w="100" w:type="dxa"/>
              <w:left w:w="100" w:type="dxa"/>
              <w:bottom w:w="100" w:type="dxa"/>
              <w:right w:w="100" w:type="dxa"/>
            </w:tcMar>
          </w:tcPr>
          <w:p w14:paraId="0233405C" w14:textId="77777777" w:rsidR="001E7189" w:rsidRDefault="001E7189" w:rsidP="007513A1">
            <w:pPr>
              <w:widowControl w:val="0"/>
              <w:jc w:val="both"/>
              <w:rPr>
                <w:rFonts w:eastAsia="Times New Roman"/>
              </w:rPr>
            </w:pPr>
            <w:r>
              <w:rPr>
                <w:rFonts w:eastAsia="Times New Roman"/>
              </w:rPr>
              <w:t>Akdeniz restoran menüsüne dair müşterilerden veya çalışanlardan bilgi toplamak.</w:t>
            </w:r>
          </w:p>
        </w:tc>
        <w:tc>
          <w:tcPr>
            <w:tcW w:w="2832" w:type="dxa"/>
            <w:shd w:val="clear" w:color="auto" w:fill="auto"/>
            <w:tcMar>
              <w:top w:w="100" w:type="dxa"/>
              <w:left w:w="100" w:type="dxa"/>
              <w:bottom w:w="100" w:type="dxa"/>
              <w:right w:w="100" w:type="dxa"/>
            </w:tcMar>
          </w:tcPr>
          <w:p w14:paraId="0338CBF6" w14:textId="77777777" w:rsidR="001E7189" w:rsidRDefault="001E7189" w:rsidP="007513A1">
            <w:pPr>
              <w:widowControl w:val="0"/>
              <w:jc w:val="both"/>
              <w:rPr>
                <w:rFonts w:eastAsia="Times New Roman"/>
                <w:b/>
              </w:rPr>
            </w:pPr>
            <w:r>
              <w:rPr>
                <w:rFonts w:eastAsia="Times New Roman"/>
                <w:b/>
              </w:rPr>
              <w:t>Örnek:</w:t>
            </w:r>
          </w:p>
          <w:p w14:paraId="34F55B3C" w14:textId="77777777" w:rsidR="001E7189" w:rsidRDefault="001E7189" w:rsidP="007513A1">
            <w:pPr>
              <w:widowControl w:val="0"/>
              <w:jc w:val="both"/>
              <w:rPr>
                <w:rFonts w:eastAsia="Times New Roman"/>
              </w:rPr>
            </w:pPr>
            <w:r>
              <w:rPr>
                <w:rFonts w:eastAsia="Times New Roman"/>
              </w:rPr>
              <w:t>"Akdeniz mutfağına özel yeni bir yemek oluşturmak için bana sorular sor ve gerekli bilgileri topla."</w:t>
            </w:r>
          </w:p>
          <w:p w14:paraId="43B9E67B" w14:textId="77777777" w:rsidR="001E7189" w:rsidRDefault="001E7189" w:rsidP="007513A1">
            <w:pPr>
              <w:widowControl w:val="0"/>
              <w:jc w:val="both"/>
              <w:rPr>
                <w:rFonts w:eastAsia="Times New Roman"/>
                <w:b/>
              </w:rPr>
            </w:pPr>
            <w:r>
              <w:rPr>
                <w:rFonts w:eastAsia="Times New Roman"/>
                <w:b/>
              </w:rPr>
              <w:t>Kalıp:</w:t>
            </w:r>
          </w:p>
          <w:p w14:paraId="4DCBDF24" w14:textId="77777777" w:rsidR="001E7189" w:rsidRDefault="001E7189" w:rsidP="007513A1">
            <w:pPr>
              <w:widowControl w:val="0"/>
              <w:jc w:val="both"/>
              <w:rPr>
                <w:rFonts w:eastAsia="Times New Roman"/>
              </w:rPr>
            </w:pPr>
            <w:r>
              <w:rPr>
                <w:rFonts w:eastAsia="Times New Roman"/>
              </w:rPr>
              <w:t>"Müşteri tercihlerini öğrenmek için sorular sorarak geri bildirim topla."</w:t>
            </w:r>
          </w:p>
        </w:tc>
      </w:tr>
      <w:tr w:rsidR="001E7189" w14:paraId="40047EC7" w14:textId="77777777" w:rsidTr="00D23BA5">
        <w:trPr>
          <w:trHeight w:val="3521"/>
          <w:jc w:val="center"/>
        </w:trPr>
        <w:tc>
          <w:tcPr>
            <w:tcW w:w="1780" w:type="dxa"/>
            <w:shd w:val="clear" w:color="auto" w:fill="auto"/>
            <w:tcMar>
              <w:top w:w="100" w:type="dxa"/>
              <w:left w:w="100" w:type="dxa"/>
              <w:bottom w:w="100" w:type="dxa"/>
              <w:right w:w="100" w:type="dxa"/>
            </w:tcMar>
          </w:tcPr>
          <w:p w14:paraId="1DDC7B83" w14:textId="77777777" w:rsidR="001E7189" w:rsidRDefault="001E7189" w:rsidP="007513A1">
            <w:pPr>
              <w:widowControl w:val="0"/>
              <w:jc w:val="both"/>
              <w:rPr>
                <w:rFonts w:eastAsia="Times New Roman"/>
              </w:rPr>
            </w:pPr>
          </w:p>
        </w:tc>
        <w:tc>
          <w:tcPr>
            <w:tcW w:w="1513" w:type="dxa"/>
            <w:shd w:val="clear" w:color="auto" w:fill="auto"/>
            <w:tcMar>
              <w:top w:w="100" w:type="dxa"/>
              <w:left w:w="100" w:type="dxa"/>
              <w:bottom w:w="100" w:type="dxa"/>
              <w:right w:w="100" w:type="dxa"/>
            </w:tcMar>
          </w:tcPr>
          <w:p w14:paraId="2E7B2389" w14:textId="77777777" w:rsidR="001E7189" w:rsidRDefault="001E7189" w:rsidP="007513A1">
            <w:pPr>
              <w:widowControl w:val="0"/>
              <w:jc w:val="both"/>
              <w:rPr>
                <w:rFonts w:eastAsia="Times New Roman"/>
              </w:rPr>
            </w:pPr>
            <w:r>
              <w:rPr>
                <w:rFonts w:eastAsia="Times New Roman"/>
              </w:rPr>
              <w:t>Oyunlaştırma (Game Play)</w:t>
            </w:r>
          </w:p>
        </w:tc>
        <w:tc>
          <w:tcPr>
            <w:tcW w:w="1893" w:type="dxa"/>
            <w:shd w:val="clear" w:color="auto" w:fill="auto"/>
            <w:tcMar>
              <w:top w:w="100" w:type="dxa"/>
              <w:left w:w="100" w:type="dxa"/>
              <w:bottom w:w="100" w:type="dxa"/>
              <w:right w:w="100" w:type="dxa"/>
            </w:tcMar>
          </w:tcPr>
          <w:p w14:paraId="450F1B88" w14:textId="77777777" w:rsidR="001E7189" w:rsidRDefault="001E7189" w:rsidP="007513A1">
            <w:pPr>
              <w:widowControl w:val="0"/>
              <w:jc w:val="both"/>
              <w:rPr>
                <w:rFonts w:eastAsia="Times New Roman"/>
              </w:rPr>
            </w:pPr>
            <w:r>
              <w:rPr>
                <w:rFonts w:eastAsia="Times New Roman"/>
              </w:rPr>
              <w:t>Menü veya yemek içeriklerini eğlenceli hale getirerek müşteri katılımını artırmak.</w:t>
            </w:r>
          </w:p>
        </w:tc>
        <w:tc>
          <w:tcPr>
            <w:tcW w:w="2832" w:type="dxa"/>
            <w:shd w:val="clear" w:color="auto" w:fill="auto"/>
            <w:tcMar>
              <w:top w:w="100" w:type="dxa"/>
              <w:left w:w="100" w:type="dxa"/>
              <w:bottom w:w="100" w:type="dxa"/>
              <w:right w:w="100" w:type="dxa"/>
            </w:tcMar>
          </w:tcPr>
          <w:p w14:paraId="6FA0054C" w14:textId="77777777" w:rsidR="001E7189" w:rsidRDefault="001E7189" w:rsidP="007513A1">
            <w:pPr>
              <w:widowControl w:val="0"/>
              <w:jc w:val="both"/>
              <w:rPr>
                <w:rFonts w:eastAsia="Times New Roman"/>
                <w:b/>
              </w:rPr>
            </w:pPr>
            <w:r>
              <w:rPr>
                <w:rFonts w:eastAsia="Times New Roman"/>
                <w:b/>
              </w:rPr>
              <w:t>Örnek:</w:t>
            </w:r>
          </w:p>
          <w:p w14:paraId="68F82D18" w14:textId="77777777" w:rsidR="001E7189" w:rsidRDefault="001E7189" w:rsidP="007513A1">
            <w:pPr>
              <w:widowControl w:val="0"/>
              <w:jc w:val="both"/>
              <w:rPr>
                <w:rFonts w:eastAsia="Times New Roman"/>
              </w:rPr>
            </w:pPr>
            <w:r>
              <w:rPr>
                <w:rFonts w:eastAsia="Times New Roman"/>
              </w:rPr>
              <w:t xml:space="preserve">"Menüdeki malzemeleri tahmin ettiren bir oyun tasarla. Örneğin, 'Zeytinyağlı Yaprak </w:t>
            </w:r>
            <w:proofErr w:type="spellStart"/>
            <w:r>
              <w:rPr>
                <w:rFonts w:eastAsia="Times New Roman"/>
              </w:rPr>
              <w:t>Sarma'nın</w:t>
            </w:r>
            <w:proofErr w:type="spellEnd"/>
            <w:r>
              <w:rPr>
                <w:rFonts w:eastAsia="Times New Roman"/>
              </w:rPr>
              <w:t xml:space="preserve"> içindeki üç ana malzemeyi soran bir oyun."</w:t>
            </w:r>
          </w:p>
          <w:p w14:paraId="13E6CE8F" w14:textId="77777777" w:rsidR="001E7189" w:rsidRDefault="001E7189" w:rsidP="007513A1">
            <w:pPr>
              <w:widowControl w:val="0"/>
              <w:jc w:val="both"/>
              <w:rPr>
                <w:rFonts w:eastAsia="Times New Roman"/>
                <w:b/>
              </w:rPr>
            </w:pPr>
            <w:r>
              <w:rPr>
                <w:rFonts w:eastAsia="Times New Roman"/>
                <w:b/>
              </w:rPr>
              <w:t>Kalıp:</w:t>
            </w:r>
          </w:p>
          <w:p w14:paraId="188EF973" w14:textId="77777777" w:rsidR="001E7189" w:rsidRDefault="001E7189" w:rsidP="007513A1">
            <w:pPr>
              <w:widowControl w:val="0"/>
              <w:jc w:val="both"/>
              <w:rPr>
                <w:rFonts w:eastAsia="Times New Roman"/>
              </w:rPr>
            </w:pPr>
            <w:r>
              <w:rPr>
                <w:rFonts w:eastAsia="Times New Roman"/>
              </w:rPr>
              <w:t>"Menü veya yemeklere dair eğlenceli bir [OYUN/AKTİVİTE] öner."</w:t>
            </w:r>
          </w:p>
        </w:tc>
      </w:tr>
      <w:tr w:rsidR="001E7189" w14:paraId="7C3330AB" w14:textId="77777777" w:rsidTr="00D23BA5">
        <w:trPr>
          <w:trHeight w:val="4127"/>
          <w:jc w:val="center"/>
        </w:trPr>
        <w:tc>
          <w:tcPr>
            <w:tcW w:w="1780" w:type="dxa"/>
            <w:shd w:val="clear" w:color="auto" w:fill="auto"/>
            <w:tcMar>
              <w:top w:w="100" w:type="dxa"/>
              <w:left w:w="100" w:type="dxa"/>
              <w:bottom w:w="100" w:type="dxa"/>
              <w:right w:w="100" w:type="dxa"/>
            </w:tcMar>
          </w:tcPr>
          <w:p w14:paraId="07807582" w14:textId="77777777" w:rsidR="001E7189" w:rsidRDefault="001E7189" w:rsidP="007513A1">
            <w:pPr>
              <w:widowControl w:val="0"/>
              <w:jc w:val="both"/>
              <w:rPr>
                <w:rFonts w:eastAsia="Times New Roman"/>
                <w:b/>
              </w:rPr>
            </w:pPr>
            <w:r>
              <w:rPr>
                <w:rFonts w:eastAsia="Times New Roman"/>
                <w:b/>
              </w:rPr>
              <w:t>Bağlam Kontrolü (</w:t>
            </w:r>
            <w:proofErr w:type="spellStart"/>
            <w:r>
              <w:rPr>
                <w:rFonts w:eastAsia="Times New Roman"/>
                <w:b/>
              </w:rPr>
              <w:t>Context</w:t>
            </w:r>
            <w:proofErr w:type="spellEnd"/>
            <w:r>
              <w:rPr>
                <w:rFonts w:eastAsia="Times New Roman"/>
                <w:b/>
              </w:rPr>
              <w:t xml:space="preserve"> Control)</w:t>
            </w:r>
          </w:p>
        </w:tc>
        <w:tc>
          <w:tcPr>
            <w:tcW w:w="1513" w:type="dxa"/>
            <w:shd w:val="clear" w:color="auto" w:fill="auto"/>
            <w:tcMar>
              <w:top w:w="100" w:type="dxa"/>
              <w:left w:w="100" w:type="dxa"/>
              <w:bottom w:w="100" w:type="dxa"/>
              <w:right w:w="100" w:type="dxa"/>
            </w:tcMar>
          </w:tcPr>
          <w:p w14:paraId="6628AE34" w14:textId="77777777" w:rsidR="001E7189" w:rsidRDefault="001E7189" w:rsidP="007513A1">
            <w:pPr>
              <w:widowControl w:val="0"/>
              <w:jc w:val="both"/>
              <w:rPr>
                <w:rFonts w:eastAsia="Times New Roman"/>
              </w:rPr>
            </w:pPr>
            <w:r>
              <w:rPr>
                <w:rFonts w:eastAsia="Times New Roman"/>
              </w:rPr>
              <w:t>Bağlam Yöneticisi (</w:t>
            </w:r>
            <w:proofErr w:type="spellStart"/>
            <w:r>
              <w:rPr>
                <w:rFonts w:eastAsia="Times New Roman"/>
              </w:rPr>
              <w:t>Context</w:t>
            </w:r>
            <w:proofErr w:type="spellEnd"/>
            <w:r>
              <w:rPr>
                <w:rFonts w:eastAsia="Times New Roman"/>
              </w:rPr>
              <w:t xml:space="preserve"> Manager)</w:t>
            </w:r>
          </w:p>
        </w:tc>
        <w:tc>
          <w:tcPr>
            <w:tcW w:w="1893" w:type="dxa"/>
            <w:shd w:val="clear" w:color="auto" w:fill="auto"/>
            <w:tcMar>
              <w:top w:w="100" w:type="dxa"/>
              <w:left w:w="100" w:type="dxa"/>
              <w:bottom w:w="100" w:type="dxa"/>
              <w:right w:w="100" w:type="dxa"/>
            </w:tcMar>
          </w:tcPr>
          <w:p w14:paraId="41AFE0A6" w14:textId="77777777" w:rsidR="001E7189" w:rsidRDefault="001E7189" w:rsidP="007513A1">
            <w:pPr>
              <w:widowControl w:val="0"/>
              <w:jc w:val="both"/>
              <w:rPr>
                <w:rFonts w:eastAsia="Times New Roman"/>
              </w:rPr>
            </w:pPr>
            <w:r>
              <w:rPr>
                <w:rFonts w:eastAsia="Times New Roman"/>
              </w:rPr>
              <w:t>Akdeniz restoranı konseptinde belirli bir bağlamda etkileşimi sürdürmek ve sınırlamak.</w:t>
            </w:r>
          </w:p>
        </w:tc>
        <w:tc>
          <w:tcPr>
            <w:tcW w:w="2832" w:type="dxa"/>
            <w:shd w:val="clear" w:color="auto" w:fill="auto"/>
            <w:tcMar>
              <w:top w:w="100" w:type="dxa"/>
              <w:left w:w="100" w:type="dxa"/>
              <w:bottom w:w="100" w:type="dxa"/>
              <w:right w:w="100" w:type="dxa"/>
            </w:tcMar>
          </w:tcPr>
          <w:p w14:paraId="134A1F64" w14:textId="77777777" w:rsidR="001E7189" w:rsidRDefault="001E7189" w:rsidP="007513A1">
            <w:pPr>
              <w:widowControl w:val="0"/>
              <w:jc w:val="both"/>
              <w:rPr>
                <w:rFonts w:eastAsia="Times New Roman"/>
                <w:b/>
              </w:rPr>
            </w:pPr>
            <w:r>
              <w:rPr>
                <w:rFonts w:eastAsia="Times New Roman"/>
                <w:b/>
              </w:rPr>
              <w:t>Örnek:</w:t>
            </w:r>
          </w:p>
          <w:p w14:paraId="1DA30610" w14:textId="77777777" w:rsidR="001E7189" w:rsidRDefault="001E7189" w:rsidP="007513A1">
            <w:pPr>
              <w:widowControl w:val="0"/>
              <w:jc w:val="both"/>
              <w:rPr>
                <w:rFonts w:eastAsia="Times New Roman"/>
              </w:rPr>
            </w:pPr>
            <w:r>
              <w:rPr>
                <w:rFonts w:eastAsia="Times New Roman"/>
              </w:rPr>
              <w:t>"Bu konuşmayı sadece Akdeniz mutfağına dair tarifler hakkında sınırla."</w:t>
            </w:r>
          </w:p>
          <w:p w14:paraId="122C5946" w14:textId="77777777" w:rsidR="001E7189" w:rsidRDefault="001E7189" w:rsidP="007513A1">
            <w:pPr>
              <w:widowControl w:val="0"/>
              <w:jc w:val="both"/>
              <w:rPr>
                <w:rFonts w:eastAsia="Times New Roman"/>
                <w:b/>
              </w:rPr>
            </w:pPr>
            <w:r>
              <w:rPr>
                <w:rFonts w:eastAsia="Times New Roman"/>
                <w:b/>
              </w:rPr>
              <w:t>Kalıp:</w:t>
            </w:r>
          </w:p>
          <w:p w14:paraId="4A699484" w14:textId="77777777" w:rsidR="001E7189" w:rsidRDefault="001E7189" w:rsidP="007513A1">
            <w:pPr>
              <w:widowControl w:val="0"/>
              <w:jc w:val="both"/>
              <w:rPr>
                <w:rFonts w:eastAsia="Times New Roman"/>
              </w:rPr>
            </w:pPr>
            <w:r>
              <w:rPr>
                <w:rFonts w:eastAsia="Times New Roman"/>
              </w:rPr>
              <w:t>"Bu konuşmayı yalnızca [KONU: Akdeniz mutfağı, deniz ürünleri] ile sınırlı tut ve bu sınırın dışına çıkma."</w:t>
            </w:r>
          </w:p>
          <w:p w14:paraId="4F736DBC" w14:textId="77777777" w:rsidR="001E7189" w:rsidRDefault="001E7189" w:rsidP="007513A1">
            <w:pPr>
              <w:widowControl w:val="0"/>
              <w:jc w:val="both"/>
              <w:rPr>
                <w:rFonts w:eastAsia="Times New Roman"/>
                <w:b/>
              </w:rPr>
            </w:pPr>
          </w:p>
          <w:p w14:paraId="1A45A0B6" w14:textId="77777777" w:rsidR="001E7189" w:rsidRDefault="001E7189" w:rsidP="007513A1">
            <w:pPr>
              <w:widowControl w:val="0"/>
              <w:jc w:val="both"/>
              <w:rPr>
                <w:rFonts w:eastAsia="Times New Roman"/>
                <w:b/>
              </w:rPr>
            </w:pPr>
          </w:p>
        </w:tc>
      </w:tr>
    </w:tbl>
    <w:p w14:paraId="52DF060F" w14:textId="77777777" w:rsidR="001E7189" w:rsidRDefault="001E7189" w:rsidP="007513A1">
      <w:pPr>
        <w:pStyle w:val="NormalWeb"/>
        <w:spacing w:before="0" w:beforeAutospacing="0" w:after="0" w:afterAutospacing="0"/>
        <w:jc w:val="both"/>
        <w:rPr>
          <w:color w:val="000000"/>
        </w:rPr>
      </w:pPr>
    </w:p>
    <w:p w14:paraId="50F8438B" w14:textId="77777777" w:rsidR="001E7189" w:rsidRDefault="001E7189" w:rsidP="007513A1">
      <w:pPr>
        <w:pStyle w:val="NormalWeb"/>
        <w:spacing w:before="0" w:beforeAutospacing="0" w:after="0" w:afterAutospacing="0"/>
        <w:jc w:val="both"/>
        <w:rPr>
          <w:rFonts w:eastAsia="SimSun"/>
        </w:rPr>
      </w:pPr>
      <w:r>
        <w:rPr>
          <w:i/>
          <w:iCs/>
          <w:color w:val="000000"/>
        </w:rPr>
        <w:t>Tablo 2</w:t>
      </w:r>
      <w:r>
        <w:rPr>
          <w:color w:val="000000"/>
        </w:rPr>
        <w:t xml:space="preserve">’de </w:t>
      </w:r>
      <w:proofErr w:type="spellStart"/>
      <w:r>
        <w:rPr>
          <w:color w:val="000000"/>
        </w:rPr>
        <w:t>gösterilen</w:t>
      </w:r>
      <w:proofErr w:type="spellEnd"/>
      <w:r>
        <w:rPr>
          <w:color w:val="000000"/>
        </w:rPr>
        <w:t xml:space="preserve"> </w:t>
      </w:r>
      <w:proofErr w:type="spellStart"/>
      <w:r>
        <w:rPr>
          <w:color w:val="000000"/>
        </w:rPr>
        <w:t>yönergeler</w:t>
      </w:r>
      <w:proofErr w:type="spellEnd"/>
      <w:r>
        <w:rPr>
          <w:color w:val="000000"/>
        </w:rPr>
        <w:t xml:space="preserve"> Akdeniz </w:t>
      </w:r>
      <w:proofErr w:type="spellStart"/>
      <w:r>
        <w:rPr>
          <w:color w:val="000000"/>
        </w:rPr>
        <w:t>usulü</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tasarımını</w:t>
      </w:r>
      <w:proofErr w:type="spellEnd"/>
      <w:r>
        <w:rPr>
          <w:color w:val="000000"/>
        </w:rPr>
        <w:t xml:space="preserve"> </w:t>
      </w:r>
      <w:proofErr w:type="spellStart"/>
      <w:r>
        <w:rPr>
          <w:color w:val="000000"/>
        </w:rPr>
        <w:t>restoranında</w:t>
      </w:r>
      <w:proofErr w:type="spellEnd"/>
      <w:r>
        <w:rPr>
          <w:color w:val="000000"/>
        </w:rPr>
        <w:t xml:space="preserve"> </w:t>
      </w:r>
      <w:proofErr w:type="spellStart"/>
      <w:r>
        <w:rPr>
          <w:color w:val="000000"/>
        </w:rPr>
        <w:t>yapay</w:t>
      </w:r>
      <w:proofErr w:type="spellEnd"/>
      <w:r>
        <w:rPr>
          <w:color w:val="000000"/>
        </w:rPr>
        <w:t xml:space="preserve"> </w:t>
      </w:r>
      <w:proofErr w:type="spellStart"/>
      <w:r>
        <w:rPr>
          <w:color w:val="000000"/>
        </w:rPr>
        <w:t>zeka</w:t>
      </w:r>
      <w:proofErr w:type="spellEnd"/>
      <w:r>
        <w:rPr>
          <w:color w:val="000000"/>
        </w:rPr>
        <w:t xml:space="preserve"> </w:t>
      </w:r>
      <w:proofErr w:type="spellStart"/>
      <w:r>
        <w:rPr>
          <w:color w:val="000000"/>
        </w:rPr>
        <w:t>yardımı</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gerçekleştirmek</w:t>
      </w:r>
      <w:proofErr w:type="spellEnd"/>
      <w:r>
        <w:rPr>
          <w:color w:val="000000"/>
        </w:rPr>
        <w:t xml:space="preserve"> </w:t>
      </w:r>
      <w:proofErr w:type="spellStart"/>
      <w:r>
        <w:rPr>
          <w:color w:val="000000"/>
        </w:rPr>
        <w:t>isteyen</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tasarımcılarının</w:t>
      </w:r>
      <w:proofErr w:type="spellEnd"/>
      <w:r>
        <w:rPr>
          <w:color w:val="000000"/>
        </w:rPr>
        <w:t xml:space="preserve"> </w:t>
      </w:r>
      <w:proofErr w:type="spellStart"/>
      <w:r>
        <w:rPr>
          <w:color w:val="000000"/>
        </w:rPr>
        <w:t>kullabileceği</w:t>
      </w:r>
      <w:proofErr w:type="spellEnd"/>
      <w:r>
        <w:rPr>
          <w:color w:val="000000"/>
        </w:rPr>
        <w:t xml:space="preserve"> </w:t>
      </w:r>
      <w:proofErr w:type="spellStart"/>
      <w:r>
        <w:rPr>
          <w:color w:val="000000"/>
        </w:rPr>
        <w:t>talimatları</w:t>
      </w:r>
      <w:proofErr w:type="spellEnd"/>
      <w:r>
        <w:rPr>
          <w:color w:val="000000"/>
        </w:rPr>
        <w:t xml:space="preserve"> </w:t>
      </w:r>
      <w:proofErr w:type="spellStart"/>
      <w:r>
        <w:rPr>
          <w:color w:val="000000"/>
        </w:rPr>
        <w:t>içermektedir</w:t>
      </w:r>
      <w:proofErr w:type="spellEnd"/>
      <w:r>
        <w:rPr>
          <w:color w:val="000000"/>
        </w:rPr>
        <w:t xml:space="preserve">. </w:t>
      </w:r>
      <w:proofErr w:type="spellStart"/>
      <w:r>
        <w:rPr>
          <w:color w:val="000000"/>
        </w:rPr>
        <w:t>Buradaki</w:t>
      </w:r>
      <w:proofErr w:type="spellEnd"/>
      <w:r>
        <w:rPr>
          <w:color w:val="000000"/>
        </w:rPr>
        <w:t xml:space="preserve"> </w:t>
      </w:r>
      <w:proofErr w:type="spellStart"/>
      <w:r>
        <w:rPr>
          <w:color w:val="000000"/>
        </w:rPr>
        <w:t>promplar</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istenilen</w:t>
      </w:r>
      <w:proofErr w:type="spellEnd"/>
      <w:r>
        <w:rPr>
          <w:color w:val="000000"/>
        </w:rPr>
        <w:t xml:space="preserve"> </w:t>
      </w:r>
      <w:proofErr w:type="spellStart"/>
      <w:r>
        <w:rPr>
          <w:color w:val="000000"/>
        </w:rPr>
        <w:t>seviyede</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oluşturulabilir</w:t>
      </w:r>
      <w:proofErr w:type="spellEnd"/>
      <w:r>
        <w:rPr>
          <w:color w:val="000000"/>
        </w:rPr>
        <w:t xml:space="preserve"> </w:t>
      </w:r>
      <w:r>
        <w:rPr>
          <w:rFonts w:eastAsia="SimSun"/>
          <w:sz w:val="20"/>
          <w:szCs w:val="20"/>
        </w:rPr>
        <w:t>(</w:t>
      </w:r>
      <w:r>
        <w:rPr>
          <w:rFonts w:eastAsia="SimSun"/>
        </w:rPr>
        <w:t xml:space="preserve">White &amp; Schmidt &amp; </w:t>
      </w:r>
      <w:proofErr w:type="spellStart"/>
      <w:r>
        <w:rPr>
          <w:rFonts w:eastAsia="SimSun"/>
        </w:rPr>
        <w:t>Diğerleri</w:t>
      </w:r>
      <w:proofErr w:type="spellEnd"/>
      <w:r>
        <w:rPr>
          <w:rFonts w:eastAsia="SimSun"/>
        </w:rPr>
        <w:t>).</w:t>
      </w:r>
    </w:p>
    <w:p w14:paraId="5F43FA05" w14:textId="77777777" w:rsidR="001E7189" w:rsidRDefault="001E7189" w:rsidP="007513A1"/>
    <w:p w14:paraId="4DDB7971" w14:textId="77777777" w:rsidR="001E7189" w:rsidRDefault="001E7189" w:rsidP="007513A1">
      <w:r>
        <w:rPr>
          <w:b/>
          <w:bCs/>
        </w:rPr>
        <w:t xml:space="preserve">3.4. </w:t>
      </w:r>
      <w:proofErr w:type="spellStart"/>
      <w:r>
        <w:rPr>
          <w:b/>
          <w:bCs/>
        </w:rPr>
        <w:t>ChatBot</w:t>
      </w:r>
      <w:proofErr w:type="spellEnd"/>
      <w:r>
        <w:rPr>
          <w:b/>
          <w:bCs/>
        </w:rPr>
        <w:t xml:space="preserve"> </w:t>
      </w:r>
      <w:proofErr w:type="gramStart"/>
      <w:r>
        <w:rPr>
          <w:b/>
          <w:bCs/>
        </w:rPr>
        <w:t>İle</w:t>
      </w:r>
      <w:proofErr w:type="gramEnd"/>
      <w:r>
        <w:rPr>
          <w:b/>
          <w:bCs/>
        </w:rPr>
        <w:t xml:space="preserve"> Alerji Tabanlı Menü Belirleme</w:t>
      </w:r>
    </w:p>
    <w:p w14:paraId="77CEC5E7" w14:textId="47D54CF6" w:rsidR="001E7189" w:rsidRDefault="001E7189" w:rsidP="007513A1">
      <w:pPr>
        <w:pStyle w:val="NormalWeb"/>
        <w:spacing w:before="0" w:beforeAutospacing="0" w:after="0" w:afterAutospacing="0"/>
        <w:jc w:val="both"/>
        <w:rPr>
          <w:color w:val="000000"/>
        </w:rPr>
      </w:pPr>
      <w:proofErr w:type="spellStart"/>
      <w:r>
        <w:rPr>
          <w:color w:val="000000"/>
        </w:rPr>
        <w:t>İnsanlarda</w:t>
      </w:r>
      <w:proofErr w:type="spellEnd"/>
      <w:r>
        <w:rPr>
          <w:color w:val="000000"/>
        </w:rPr>
        <w:t xml:space="preserve"> </w:t>
      </w:r>
      <w:proofErr w:type="spellStart"/>
      <w:r>
        <w:rPr>
          <w:color w:val="000000"/>
        </w:rPr>
        <w:t>ansızın</w:t>
      </w:r>
      <w:proofErr w:type="spellEnd"/>
      <w:r>
        <w:rPr>
          <w:color w:val="000000"/>
        </w:rPr>
        <w:t xml:space="preserve"> </w:t>
      </w:r>
      <w:proofErr w:type="spellStart"/>
      <w:r>
        <w:rPr>
          <w:color w:val="000000"/>
        </w:rPr>
        <w:t>ya</w:t>
      </w:r>
      <w:proofErr w:type="spellEnd"/>
      <w:r>
        <w:rPr>
          <w:color w:val="000000"/>
        </w:rPr>
        <w:t xml:space="preserve"> da </w:t>
      </w:r>
      <w:proofErr w:type="spellStart"/>
      <w:r>
        <w:rPr>
          <w:color w:val="000000"/>
        </w:rPr>
        <w:t>zamanla</w:t>
      </w:r>
      <w:proofErr w:type="spellEnd"/>
      <w:r>
        <w:rPr>
          <w:color w:val="000000"/>
        </w:rPr>
        <w:t xml:space="preserve"> </w:t>
      </w:r>
      <w:proofErr w:type="spellStart"/>
      <w:r>
        <w:rPr>
          <w:color w:val="000000"/>
        </w:rPr>
        <w:t>oluşabilecek</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reaksiyonları</w:t>
      </w:r>
      <w:proofErr w:type="spellEnd"/>
      <w:r>
        <w:rPr>
          <w:color w:val="000000"/>
        </w:rPr>
        <w:t xml:space="preserve"> </w:t>
      </w:r>
      <w:proofErr w:type="spellStart"/>
      <w:r>
        <w:rPr>
          <w:color w:val="000000"/>
        </w:rPr>
        <w:t>önlemek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bireylerin</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gıdalardan</w:t>
      </w:r>
      <w:proofErr w:type="spellEnd"/>
      <w:r>
        <w:rPr>
          <w:color w:val="000000"/>
        </w:rPr>
        <w:t xml:space="preserve"> </w:t>
      </w:r>
      <w:proofErr w:type="spellStart"/>
      <w:r>
        <w:rPr>
          <w:color w:val="000000"/>
        </w:rPr>
        <w:t>özenle</w:t>
      </w:r>
      <w:proofErr w:type="spellEnd"/>
      <w:r>
        <w:rPr>
          <w:color w:val="000000"/>
        </w:rPr>
        <w:t xml:space="preserve"> </w:t>
      </w:r>
      <w:proofErr w:type="spellStart"/>
      <w:r>
        <w:rPr>
          <w:color w:val="000000"/>
        </w:rPr>
        <w:t>kaçınmaları</w:t>
      </w:r>
      <w:proofErr w:type="spellEnd"/>
      <w:r>
        <w:rPr>
          <w:color w:val="000000"/>
        </w:rPr>
        <w:t xml:space="preserve"> </w:t>
      </w:r>
      <w:proofErr w:type="spellStart"/>
      <w:r>
        <w:rPr>
          <w:color w:val="000000"/>
        </w:rPr>
        <w:t>geremektedir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alerjenlerine</w:t>
      </w:r>
      <w:proofErr w:type="spellEnd"/>
      <w:r>
        <w:rPr>
          <w:color w:val="000000"/>
        </w:rPr>
        <w:t xml:space="preserve"> </w:t>
      </w:r>
      <w:proofErr w:type="spellStart"/>
      <w:r>
        <w:rPr>
          <w:color w:val="000000"/>
        </w:rPr>
        <w:t>yönelik</w:t>
      </w:r>
      <w:proofErr w:type="spellEnd"/>
      <w:r>
        <w:rPr>
          <w:color w:val="000000"/>
        </w:rPr>
        <w:t xml:space="preserve"> </w:t>
      </w:r>
      <w:proofErr w:type="spellStart"/>
      <w:r>
        <w:rPr>
          <w:color w:val="000000"/>
        </w:rPr>
        <w:t>güvenlik</w:t>
      </w:r>
      <w:proofErr w:type="spellEnd"/>
      <w:r>
        <w:rPr>
          <w:color w:val="000000"/>
        </w:rPr>
        <w:t xml:space="preserve">, </w:t>
      </w:r>
      <w:proofErr w:type="spellStart"/>
      <w:r>
        <w:rPr>
          <w:color w:val="000000"/>
        </w:rPr>
        <w:t>üreticiler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yetiştiricilerle</w:t>
      </w:r>
      <w:proofErr w:type="spellEnd"/>
      <w:r>
        <w:rPr>
          <w:color w:val="000000"/>
        </w:rPr>
        <w:t xml:space="preserve"> </w:t>
      </w:r>
      <w:proofErr w:type="spellStart"/>
      <w:r>
        <w:rPr>
          <w:color w:val="000000"/>
        </w:rPr>
        <w:t>başlamaktadır</w:t>
      </w:r>
      <w:proofErr w:type="spellEnd"/>
      <w:r>
        <w:rPr>
          <w:color w:val="000000"/>
        </w:rPr>
        <w:t xml:space="preserve">. Buna </w:t>
      </w:r>
      <w:proofErr w:type="spellStart"/>
      <w:r>
        <w:rPr>
          <w:color w:val="000000"/>
        </w:rPr>
        <w:t>bağlı</w:t>
      </w:r>
      <w:proofErr w:type="spellEnd"/>
      <w:r>
        <w:rPr>
          <w:color w:val="000000"/>
        </w:rPr>
        <w:t xml:space="preserve"> </w:t>
      </w:r>
      <w:proofErr w:type="spellStart"/>
      <w:r>
        <w:rPr>
          <w:color w:val="000000"/>
        </w:rPr>
        <w:t>olarak</w:t>
      </w:r>
      <w:proofErr w:type="spellEnd"/>
      <w:r>
        <w:rPr>
          <w:color w:val="000000"/>
        </w:rPr>
        <w:t xml:space="preserve"> da </w:t>
      </w:r>
      <w:proofErr w:type="spellStart"/>
      <w:r>
        <w:rPr>
          <w:color w:val="000000"/>
        </w:rPr>
        <w:t>üreticiler</w:t>
      </w:r>
      <w:proofErr w:type="spellEnd"/>
      <w:r>
        <w:rPr>
          <w:color w:val="000000"/>
        </w:rPr>
        <w:t xml:space="preserve">, </w:t>
      </w:r>
      <w:proofErr w:type="spellStart"/>
      <w:r>
        <w:rPr>
          <w:color w:val="000000"/>
        </w:rPr>
        <w:t>distribütörler</w:t>
      </w:r>
      <w:proofErr w:type="spellEnd"/>
      <w:r>
        <w:rPr>
          <w:color w:val="000000"/>
        </w:rPr>
        <w:t xml:space="preserve">, </w:t>
      </w:r>
      <w:proofErr w:type="spellStart"/>
      <w:r>
        <w:rPr>
          <w:color w:val="000000"/>
        </w:rPr>
        <w:t>taşıyıcılar</w:t>
      </w:r>
      <w:proofErr w:type="spellEnd"/>
      <w:r>
        <w:rPr>
          <w:color w:val="000000"/>
        </w:rPr>
        <w:t xml:space="preserve">, </w:t>
      </w:r>
      <w:proofErr w:type="spellStart"/>
      <w:r>
        <w:rPr>
          <w:color w:val="000000"/>
        </w:rPr>
        <w:t>perakendeciler</w:t>
      </w:r>
      <w:proofErr w:type="spellEnd"/>
      <w:r>
        <w:rPr>
          <w:color w:val="000000"/>
        </w:rPr>
        <w:t xml:space="preserve">, </w:t>
      </w:r>
      <w:proofErr w:type="spellStart"/>
      <w:r>
        <w:rPr>
          <w:color w:val="000000"/>
        </w:rPr>
        <w:t>restoranlar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tüketiciler</w:t>
      </w:r>
      <w:proofErr w:type="spellEnd"/>
      <w:r>
        <w:rPr>
          <w:color w:val="000000"/>
        </w:rPr>
        <w:t xml:space="preserve"> de </w:t>
      </w:r>
      <w:proofErr w:type="spellStart"/>
      <w:r>
        <w:rPr>
          <w:color w:val="000000"/>
        </w:rPr>
        <w:t>dahil</w:t>
      </w:r>
      <w:proofErr w:type="spellEnd"/>
      <w:r>
        <w:rPr>
          <w:color w:val="000000"/>
        </w:rPr>
        <w:t xml:space="preserve"> </w:t>
      </w:r>
      <w:proofErr w:type="spellStart"/>
      <w:r>
        <w:rPr>
          <w:color w:val="000000"/>
        </w:rPr>
        <w:t>olmak</w:t>
      </w:r>
      <w:proofErr w:type="spellEnd"/>
      <w:r>
        <w:rPr>
          <w:color w:val="000000"/>
        </w:rPr>
        <w:t xml:space="preserve"> </w:t>
      </w:r>
      <w:proofErr w:type="spellStart"/>
      <w:r>
        <w:rPr>
          <w:color w:val="000000"/>
        </w:rPr>
        <w:t>üzere</w:t>
      </w:r>
      <w:proofErr w:type="spellEnd"/>
      <w:r>
        <w:rPr>
          <w:color w:val="000000"/>
        </w:rPr>
        <w:t xml:space="preserve"> </w:t>
      </w:r>
      <w:proofErr w:type="spellStart"/>
      <w:r>
        <w:rPr>
          <w:color w:val="000000"/>
        </w:rPr>
        <w:t>devam</w:t>
      </w:r>
      <w:proofErr w:type="spellEnd"/>
      <w:r>
        <w:rPr>
          <w:color w:val="000000"/>
        </w:rPr>
        <w:t xml:space="preserve"> </w:t>
      </w:r>
      <w:proofErr w:type="spellStart"/>
      <w:r>
        <w:rPr>
          <w:color w:val="000000"/>
        </w:rPr>
        <w:t>etmektedir</w:t>
      </w:r>
      <w:proofErr w:type="spellEnd"/>
      <w:r>
        <w:rPr>
          <w:color w:val="000000"/>
        </w:rPr>
        <w:t xml:space="preserve">. En </w:t>
      </w:r>
      <w:proofErr w:type="spellStart"/>
      <w:r>
        <w:rPr>
          <w:color w:val="000000"/>
        </w:rPr>
        <w:t>yaygın</w:t>
      </w:r>
      <w:proofErr w:type="spellEnd"/>
      <w:r>
        <w:rPr>
          <w:color w:val="000000"/>
        </w:rPr>
        <w:t xml:space="preserve"> </w:t>
      </w:r>
      <w:proofErr w:type="spellStart"/>
      <w:r>
        <w:rPr>
          <w:color w:val="000000"/>
        </w:rPr>
        <w:t>sekiz</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şu</w:t>
      </w:r>
      <w:proofErr w:type="spellEnd"/>
      <w:r>
        <w:rPr>
          <w:color w:val="000000"/>
        </w:rPr>
        <w:t xml:space="preserve"> </w:t>
      </w:r>
      <w:proofErr w:type="spellStart"/>
      <w:r>
        <w:rPr>
          <w:color w:val="000000"/>
        </w:rPr>
        <w:t>şekildedir</w:t>
      </w:r>
      <w:proofErr w:type="spellEnd"/>
      <w:r>
        <w:rPr>
          <w:color w:val="000000"/>
        </w:rPr>
        <w:t xml:space="preserve">; </w:t>
      </w:r>
      <w:proofErr w:type="spellStart"/>
      <w:r>
        <w:rPr>
          <w:color w:val="000000"/>
        </w:rPr>
        <w:t>buğday</w:t>
      </w:r>
      <w:proofErr w:type="spellEnd"/>
      <w:r>
        <w:rPr>
          <w:color w:val="000000"/>
        </w:rPr>
        <w:t xml:space="preserve">, </w:t>
      </w:r>
      <w:proofErr w:type="spellStart"/>
      <w:r>
        <w:rPr>
          <w:color w:val="000000"/>
        </w:rPr>
        <w:t>kabuklu</w:t>
      </w:r>
      <w:proofErr w:type="spellEnd"/>
      <w:r>
        <w:rPr>
          <w:color w:val="000000"/>
        </w:rPr>
        <w:t xml:space="preserve"> </w:t>
      </w:r>
      <w:proofErr w:type="spellStart"/>
      <w:r>
        <w:rPr>
          <w:color w:val="000000"/>
        </w:rPr>
        <w:t>deniz</w:t>
      </w:r>
      <w:proofErr w:type="spellEnd"/>
      <w:r>
        <w:rPr>
          <w:color w:val="000000"/>
        </w:rPr>
        <w:t xml:space="preserve"> </w:t>
      </w:r>
      <w:proofErr w:type="spellStart"/>
      <w:r>
        <w:rPr>
          <w:color w:val="000000"/>
        </w:rPr>
        <w:t>ürünleri</w:t>
      </w:r>
      <w:proofErr w:type="spellEnd"/>
      <w:r>
        <w:rPr>
          <w:color w:val="000000"/>
        </w:rPr>
        <w:t xml:space="preserve">, </w:t>
      </w:r>
      <w:proofErr w:type="spellStart"/>
      <w:r>
        <w:rPr>
          <w:color w:val="000000"/>
        </w:rPr>
        <w:t>yumurta</w:t>
      </w:r>
      <w:proofErr w:type="spellEnd"/>
      <w:r>
        <w:rPr>
          <w:color w:val="000000"/>
        </w:rPr>
        <w:t xml:space="preserve">, </w:t>
      </w:r>
      <w:proofErr w:type="spellStart"/>
      <w:r>
        <w:rPr>
          <w:color w:val="000000"/>
        </w:rPr>
        <w:t>balık</w:t>
      </w:r>
      <w:proofErr w:type="spellEnd"/>
      <w:r>
        <w:rPr>
          <w:color w:val="000000"/>
        </w:rPr>
        <w:t xml:space="preserve">, </w:t>
      </w:r>
      <w:proofErr w:type="spellStart"/>
      <w:r>
        <w:rPr>
          <w:color w:val="000000"/>
        </w:rPr>
        <w:t>yer</w:t>
      </w:r>
      <w:proofErr w:type="spellEnd"/>
      <w:r>
        <w:rPr>
          <w:color w:val="000000"/>
        </w:rPr>
        <w:t xml:space="preserve"> </w:t>
      </w:r>
      <w:proofErr w:type="spellStart"/>
      <w:r>
        <w:rPr>
          <w:color w:val="000000"/>
        </w:rPr>
        <w:t>fıstığı</w:t>
      </w:r>
      <w:proofErr w:type="spellEnd"/>
      <w:r>
        <w:rPr>
          <w:color w:val="000000"/>
        </w:rPr>
        <w:t xml:space="preserve">, soya, </w:t>
      </w:r>
      <w:proofErr w:type="spellStart"/>
      <w:r>
        <w:rPr>
          <w:color w:val="000000"/>
        </w:rPr>
        <w:t>süt</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ağaç</w:t>
      </w:r>
      <w:proofErr w:type="spellEnd"/>
      <w:r>
        <w:rPr>
          <w:color w:val="000000"/>
        </w:rPr>
        <w:t xml:space="preserve"> </w:t>
      </w:r>
      <w:proofErr w:type="spellStart"/>
      <w:r>
        <w:rPr>
          <w:color w:val="000000"/>
        </w:rPr>
        <w:t>yemişleri</w:t>
      </w:r>
      <w:proofErr w:type="spellEnd"/>
      <w:r>
        <w:rPr>
          <w:color w:val="000000"/>
        </w:rPr>
        <w:t xml:space="preserve"> (Dupuis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xml:space="preserve">, 2016). Bu </w:t>
      </w:r>
      <w:proofErr w:type="spellStart"/>
      <w:r>
        <w:rPr>
          <w:color w:val="000000"/>
        </w:rPr>
        <w:t>bileşenler</w:t>
      </w:r>
      <w:proofErr w:type="spellEnd"/>
      <w:r>
        <w:rPr>
          <w:color w:val="000000"/>
        </w:rPr>
        <w:t xml:space="preserve"> </w:t>
      </w:r>
      <w:proofErr w:type="spellStart"/>
      <w:r>
        <w:rPr>
          <w:color w:val="000000"/>
        </w:rPr>
        <w:t>bilinmesine</w:t>
      </w:r>
      <w:proofErr w:type="spellEnd"/>
      <w:r>
        <w:rPr>
          <w:color w:val="000000"/>
        </w:rPr>
        <w:t xml:space="preserve"> </w:t>
      </w:r>
      <w:proofErr w:type="spellStart"/>
      <w:r>
        <w:rPr>
          <w:color w:val="000000"/>
        </w:rPr>
        <w:t>rağmen</w:t>
      </w:r>
      <w:proofErr w:type="spellEnd"/>
      <w:r>
        <w:rPr>
          <w:color w:val="000000"/>
        </w:rPr>
        <w:t xml:space="preserve"> </w:t>
      </w:r>
      <w:proofErr w:type="spellStart"/>
      <w:r>
        <w:rPr>
          <w:color w:val="000000"/>
        </w:rPr>
        <w:t>restoranlardan</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diğer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işletmelerinden</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güvenliğinde</w:t>
      </w:r>
      <w:proofErr w:type="spellEnd"/>
      <w:r>
        <w:rPr>
          <w:color w:val="000000"/>
        </w:rPr>
        <w:t xml:space="preserve"> </w:t>
      </w:r>
      <w:proofErr w:type="spellStart"/>
      <w:r>
        <w:rPr>
          <w:color w:val="000000"/>
        </w:rPr>
        <w:t>yemek</w:t>
      </w:r>
      <w:proofErr w:type="spellEnd"/>
      <w:r>
        <w:rPr>
          <w:color w:val="000000"/>
        </w:rPr>
        <w:t xml:space="preserve"> </w:t>
      </w:r>
      <w:proofErr w:type="spellStart"/>
      <w:r>
        <w:rPr>
          <w:color w:val="000000"/>
        </w:rPr>
        <w:t>temin</w:t>
      </w:r>
      <w:proofErr w:type="spellEnd"/>
      <w:r>
        <w:rPr>
          <w:color w:val="000000"/>
        </w:rPr>
        <w:t xml:space="preserve"> </w:t>
      </w:r>
      <w:proofErr w:type="spellStart"/>
      <w:r>
        <w:rPr>
          <w:color w:val="000000"/>
        </w:rPr>
        <w:t>etmek</w:t>
      </w:r>
      <w:proofErr w:type="spellEnd"/>
      <w:r>
        <w:rPr>
          <w:color w:val="000000"/>
        </w:rPr>
        <w:t xml:space="preserve"> zaman </w:t>
      </w:r>
      <w:proofErr w:type="spellStart"/>
      <w:r>
        <w:rPr>
          <w:color w:val="000000"/>
        </w:rPr>
        <w:t>alıcıdır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hatalara</w:t>
      </w:r>
      <w:proofErr w:type="spellEnd"/>
      <w:r>
        <w:rPr>
          <w:color w:val="000000"/>
        </w:rPr>
        <w:t xml:space="preserve"> </w:t>
      </w:r>
      <w:proofErr w:type="spellStart"/>
      <w:r>
        <w:rPr>
          <w:color w:val="000000"/>
        </w:rPr>
        <w:t>açıktır</w:t>
      </w:r>
      <w:proofErr w:type="spellEnd"/>
      <w:r>
        <w:rPr>
          <w:color w:val="000000"/>
        </w:rPr>
        <w:t xml:space="preserve">. Bu durum, </w:t>
      </w:r>
      <w:proofErr w:type="spellStart"/>
      <w:r>
        <w:rPr>
          <w:color w:val="000000"/>
        </w:rPr>
        <w:t>hastalar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ailelerinin</w:t>
      </w:r>
      <w:proofErr w:type="spellEnd"/>
      <w:r>
        <w:rPr>
          <w:color w:val="000000"/>
        </w:rPr>
        <w:t xml:space="preserve"> </w:t>
      </w:r>
      <w:proofErr w:type="spellStart"/>
      <w:r>
        <w:rPr>
          <w:color w:val="000000"/>
        </w:rPr>
        <w:t>yaşam</w:t>
      </w:r>
      <w:proofErr w:type="spellEnd"/>
      <w:r>
        <w:rPr>
          <w:color w:val="000000"/>
        </w:rPr>
        <w:t xml:space="preserve"> </w:t>
      </w:r>
      <w:proofErr w:type="spellStart"/>
      <w:r>
        <w:rPr>
          <w:color w:val="000000"/>
        </w:rPr>
        <w:t>kalitesi</w:t>
      </w:r>
      <w:proofErr w:type="spellEnd"/>
      <w:r>
        <w:rPr>
          <w:color w:val="000000"/>
        </w:rPr>
        <w:t xml:space="preserve"> </w:t>
      </w:r>
      <w:proofErr w:type="spellStart"/>
      <w:r>
        <w:rPr>
          <w:color w:val="000000"/>
        </w:rPr>
        <w:t>üzerinde</w:t>
      </w:r>
      <w:proofErr w:type="spellEnd"/>
      <w:r>
        <w:rPr>
          <w:color w:val="000000"/>
        </w:rPr>
        <w:t xml:space="preserve"> </w:t>
      </w:r>
      <w:proofErr w:type="spellStart"/>
      <w:r>
        <w:rPr>
          <w:color w:val="000000"/>
        </w:rPr>
        <w:t>negatif</w:t>
      </w:r>
      <w:proofErr w:type="spellEnd"/>
      <w:r>
        <w:rPr>
          <w:color w:val="000000"/>
        </w:rPr>
        <w:t xml:space="preserve"> </w:t>
      </w:r>
      <w:proofErr w:type="spellStart"/>
      <w:r>
        <w:rPr>
          <w:color w:val="000000"/>
        </w:rPr>
        <w:t>etki</w:t>
      </w:r>
      <w:proofErr w:type="spellEnd"/>
      <w:r>
        <w:rPr>
          <w:color w:val="000000"/>
        </w:rPr>
        <w:t xml:space="preserve"> </w:t>
      </w:r>
      <w:proofErr w:type="spellStart"/>
      <w:r>
        <w:rPr>
          <w:color w:val="000000"/>
        </w:rPr>
        <w:t>yaratmaktadır</w:t>
      </w:r>
      <w:proofErr w:type="spellEnd"/>
      <w:r>
        <w:rPr>
          <w:color w:val="000000"/>
        </w:rPr>
        <w:t xml:space="preserve"> (Ahuja &amp; Sicherer, 2007).</w:t>
      </w:r>
    </w:p>
    <w:p w14:paraId="528B37A9" w14:textId="77777777" w:rsidR="001E7189" w:rsidRDefault="001E7189" w:rsidP="007513A1">
      <w:pPr>
        <w:pStyle w:val="NormalWeb"/>
        <w:spacing w:before="0" w:beforeAutospacing="0" w:after="0" w:afterAutospacing="0"/>
        <w:jc w:val="both"/>
        <w:rPr>
          <w:color w:val="000000"/>
        </w:rPr>
      </w:pPr>
    </w:p>
    <w:p w14:paraId="41E33B44" w14:textId="77777777" w:rsidR="001E7189" w:rsidRDefault="001E7189" w:rsidP="007513A1">
      <w:pPr>
        <w:pStyle w:val="NormalWeb"/>
        <w:spacing w:before="0" w:beforeAutospacing="0" w:after="0" w:afterAutospacing="0"/>
        <w:jc w:val="both"/>
        <w:rPr>
          <w:color w:val="000000"/>
        </w:rPr>
      </w:pPr>
      <w:proofErr w:type="spellStart"/>
      <w:r>
        <w:rPr>
          <w:color w:val="000000"/>
        </w:rPr>
        <w:lastRenderedPageBreak/>
        <w:t>Restoranlar</w:t>
      </w:r>
      <w:proofErr w:type="spellEnd"/>
      <w:r>
        <w:rPr>
          <w:color w:val="000000"/>
        </w:rPr>
        <w:t xml:space="preserve"> </w:t>
      </w:r>
      <w:proofErr w:type="spellStart"/>
      <w:r>
        <w:rPr>
          <w:color w:val="000000"/>
        </w:rPr>
        <w:t>ürettikler</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maaliyetlerine</w:t>
      </w:r>
      <w:proofErr w:type="spellEnd"/>
      <w:r>
        <w:rPr>
          <w:color w:val="000000"/>
        </w:rPr>
        <w:t xml:space="preserve"> </w:t>
      </w:r>
      <w:proofErr w:type="spellStart"/>
      <w:r>
        <w:rPr>
          <w:color w:val="000000"/>
        </w:rPr>
        <w:t>bağlı</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sundukları</w:t>
      </w:r>
      <w:proofErr w:type="spellEnd"/>
      <w:r>
        <w:rPr>
          <w:color w:val="000000"/>
        </w:rPr>
        <w:t xml:space="preserve"> </w:t>
      </w:r>
      <w:proofErr w:type="spellStart"/>
      <w:r>
        <w:rPr>
          <w:color w:val="000000"/>
        </w:rPr>
        <w:t>tabaklar</w:t>
      </w:r>
      <w:proofErr w:type="spellEnd"/>
      <w:r>
        <w:rPr>
          <w:color w:val="000000"/>
        </w:rPr>
        <w:t xml:space="preserve"> </w:t>
      </w:r>
      <w:proofErr w:type="spellStart"/>
      <w:r>
        <w:rPr>
          <w:color w:val="000000"/>
        </w:rPr>
        <w:t>nezdinde</w:t>
      </w:r>
      <w:proofErr w:type="spellEnd"/>
      <w:r>
        <w:rPr>
          <w:color w:val="000000"/>
        </w:rPr>
        <w:t xml:space="preserve"> </w:t>
      </w:r>
      <w:proofErr w:type="spellStart"/>
      <w:r>
        <w:rPr>
          <w:color w:val="000000"/>
        </w:rPr>
        <w:t>incelendiğinde</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pahalı</w:t>
      </w:r>
      <w:proofErr w:type="spellEnd"/>
      <w:r>
        <w:rPr>
          <w:color w:val="000000"/>
        </w:rPr>
        <w:t xml:space="preserve"> </w:t>
      </w:r>
      <w:proofErr w:type="spellStart"/>
      <w:r>
        <w:rPr>
          <w:color w:val="000000"/>
        </w:rPr>
        <w:t>yemekler</w:t>
      </w:r>
      <w:proofErr w:type="spellEnd"/>
      <w:r>
        <w:rPr>
          <w:color w:val="000000"/>
        </w:rPr>
        <w:t xml:space="preserve"> </w:t>
      </w:r>
      <w:proofErr w:type="spellStart"/>
      <w:r>
        <w:rPr>
          <w:color w:val="000000"/>
        </w:rPr>
        <w:t>sunan</w:t>
      </w:r>
      <w:proofErr w:type="spellEnd"/>
      <w:r>
        <w:rPr>
          <w:color w:val="000000"/>
        </w:rPr>
        <w:t xml:space="preserve"> </w:t>
      </w:r>
      <w:proofErr w:type="spellStart"/>
      <w:r>
        <w:rPr>
          <w:color w:val="000000"/>
        </w:rPr>
        <w:t>restoranlardaki</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çalışanları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garsonlar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alerjileri</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bilgili</w:t>
      </w:r>
      <w:proofErr w:type="spellEnd"/>
      <w:r>
        <w:rPr>
          <w:color w:val="000000"/>
        </w:rPr>
        <w:t xml:space="preserve"> </w:t>
      </w:r>
      <w:proofErr w:type="spellStart"/>
      <w:r>
        <w:rPr>
          <w:color w:val="000000"/>
        </w:rPr>
        <w:t>oldukları</w:t>
      </w:r>
      <w:proofErr w:type="spellEnd"/>
      <w:r>
        <w:rPr>
          <w:color w:val="000000"/>
        </w:rPr>
        <w:t xml:space="preserve"> </w:t>
      </w:r>
      <w:proofErr w:type="spellStart"/>
      <w:r>
        <w:rPr>
          <w:color w:val="000000"/>
        </w:rPr>
        <w:t>görülmektedir</w:t>
      </w:r>
      <w:proofErr w:type="spellEnd"/>
      <w:r>
        <w:rPr>
          <w:color w:val="000000"/>
        </w:rPr>
        <w:t xml:space="preserve">. </w:t>
      </w:r>
      <w:proofErr w:type="spellStart"/>
      <w:r>
        <w:rPr>
          <w:color w:val="000000"/>
        </w:rPr>
        <w:t>Zincir</w:t>
      </w:r>
      <w:proofErr w:type="spellEnd"/>
      <w:r>
        <w:rPr>
          <w:color w:val="000000"/>
        </w:rPr>
        <w:t xml:space="preserve"> </w:t>
      </w:r>
      <w:proofErr w:type="spellStart"/>
      <w:r>
        <w:rPr>
          <w:color w:val="000000"/>
        </w:rPr>
        <w:t>restoranlardaki</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çalışanları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çalışan-müdür</w:t>
      </w:r>
      <w:proofErr w:type="spellEnd"/>
      <w:r>
        <w:rPr>
          <w:color w:val="000000"/>
        </w:rPr>
        <w:t xml:space="preserve"> </w:t>
      </w:r>
      <w:proofErr w:type="spellStart"/>
      <w:r>
        <w:rPr>
          <w:color w:val="000000"/>
        </w:rPr>
        <w:t>oranı</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düşük</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yerlerdeki</w:t>
      </w:r>
      <w:proofErr w:type="spellEnd"/>
      <w:r>
        <w:rPr>
          <w:color w:val="000000"/>
        </w:rPr>
        <w:t xml:space="preserve">; </w:t>
      </w:r>
      <w:proofErr w:type="spellStart"/>
      <w:r>
        <w:rPr>
          <w:color w:val="000000"/>
        </w:rPr>
        <w:t>personel</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alerjilerine</w:t>
      </w:r>
      <w:proofErr w:type="spellEnd"/>
      <w:r>
        <w:rPr>
          <w:color w:val="000000"/>
        </w:rPr>
        <w:t xml:space="preserve"> </w:t>
      </w:r>
      <w:proofErr w:type="spellStart"/>
      <w:r>
        <w:rPr>
          <w:color w:val="000000"/>
        </w:rPr>
        <w:t>karşı</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olumlu</w:t>
      </w:r>
      <w:proofErr w:type="spellEnd"/>
      <w:r>
        <w:rPr>
          <w:color w:val="000000"/>
        </w:rPr>
        <w:t xml:space="preserve"> </w:t>
      </w:r>
      <w:proofErr w:type="spellStart"/>
      <w:r>
        <w:rPr>
          <w:color w:val="000000"/>
        </w:rPr>
        <w:t>tutumlara</w:t>
      </w:r>
      <w:proofErr w:type="spellEnd"/>
      <w:r>
        <w:rPr>
          <w:color w:val="000000"/>
        </w:rPr>
        <w:t xml:space="preserve"> </w:t>
      </w:r>
      <w:proofErr w:type="spellStart"/>
      <w:r>
        <w:rPr>
          <w:color w:val="000000"/>
        </w:rPr>
        <w:t>sahiptir</w:t>
      </w:r>
      <w:proofErr w:type="spellEnd"/>
      <w:r>
        <w:rPr>
          <w:color w:val="000000"/>
        </w:rPr>
        <w:t xml:space="preserve">. </w:t>
      </w:r>
      <w:proofErr w:type="spellStart"/>
      <w:r>
        <w:rPr>
          <w:color w:val="000000"/>
        </w:rPr>
        <w:t>Restoranlarda</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personelin</w:t>
      </w:r>
      <w:proofErr w:type="spellEnd"/>
      <w:r>
        <w:rPr>
          <w:color w:val="000000"/>
        </w:rPr>
        <w:t xml:space="preserve"> </w:t>
      </w:r>
      <w:proofErr w:type="spellStart"/>
      <w:r>
        <w:rPr>
          <w:color w:val="000000"/>
        </w:rPr>
        <w:t>sorumluluğunda</w:t>
      </w:r>
      <w:proofErr w:type="spellEnd"/>
      <w:r>
        <w:rPr>
          <w:color w:val="000000"/>
        </w:rPr>
        <w:t xml:space="preserve"> </w:t>
      </w:r>
      <w:proofErr w:type="spellStart"/>
      <w:r>
        <w:rPr>
          <w:color w:val="000000"/>
        </w:rPr>
        <w:t>olsa</w:t>
      </w:r>
      <w:proofErr w:type="spellEnd"/>
      <w:r>
        <w:rPr>
          <w:color w:val="000000"/>
        </w:rPr>
        <w:t xml:space="preserve"> da </w:t>
      </w:r>
      <w:proofErr w:type="spellStart"/>
      <w:r>
        <w:rPr>
          <w:color w:val="000000"/>
        </w:rPr>
        <w:t>yöneticilere</w:t>
      </w:r>
      <w:proofErr w:type="spellEnd"/>
      <w:r>
        <w:rPr>
          <w:color w:val="000000"/>
        </w:rPr>
        <w:t xml:space="preserve"> </w:t>
      </w:r>
      <w:proofErr w:type="spellStart"/>
      <w:r>
        <w:rPr>
          <w:color w:val="000000"/>
        </w:rPr>
        <w:t>çok</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büyük</w:t>
      </w:r>
      <w:proofErr w:type="spellEnd"/>
      <w:r>
        <w:rPr>
          <w:color w:val="000000"/>
        </w:rPr>
        <w:t xml:space="preserve"> </w:t>
      </w:r>
      <w:proofErr w:type="spellStart"/>
      <w:r>
        <w:rPr>
          <w:color w:val="000000"/>
        </w:rPr>
        <w:t>görev</w:t>
      </w:r>
      <w:proofErr w:type="spellEnd"/>
      <w:r>
        <w:rPr>
          <w:color w:val="000000"/>
        </w:rPr>
        <w:t xml:space="preserve"> </w:t>
      </w:r>
      <w:proofErr w:type="spellStart"/>
      <w:r>
        <w:rPr>
          <w:color w:val="000000"/>
        </w:rPr>
        <w:t>düşmektedir</w:t>
      </w:r>
      <w:proofErr w:type="spellEnd"/>
      <w:r>
        <w:rPr>
          <w:color w:val="000000"/>
        </w:rPr>
        <w:t xml:space="preserve">. </w:t>
      </w:r>
      <w:proofErr w:type="spellStart"/>
      <w:r>
        <w:rPr>
          <w:color w:val="000000"/>
        </w:rPr>
        <w:t>Yöneticiler</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içermeyen</w:t>
      </w:r>
      <w:proofErr w:type="spellEnd"/>
      <w:r>
        <w:rPr>
          <w:color w:val="000000"/>
        </w:rPr>
        <w:t xml:space="preserve"> </w:t>
      </w:r>
      <w:proofErr w:type="spellStart"/>
      <w:r>
        <w:rPr>
          <w:color w:val="000000"/>
        </w:rPr>
        <w:t>yemekler</w:t>
      </w:r>
      <w:proofErr w:type="spellEnd"/>
      <w:r>
        <w:rPr>
          <w:color w:val="000000"/>
        </w:rPr>
        <w:t xml:space="preserve"> </w:t>
      </w:r>
      <w:proofErr w:type="spellStart"/>
      <w:r>
        <w:rPr>
          <w:color w:val="000000"/>
        </w:rPr>
        <w:t>sunulmasını</w:t>
      </w:r>
      <w:proofErr w:type="spellEnd"/>
      <w:r>
        <w:rPr>
          <w:color w:val="000000"/>
        </w:rPr>
        <w:t xml:space="preserve"> </w:t>
      </w:r>
      <w:proofErr w:type="spellStart"/>
      <w:r>
        <w:rPr>
          <w:color w:val="000000"/>
        </w:rPr>
        <w:t>sağlamak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alerjiyle</w:t>
      </w:r>
      <w:proofErr w:type="spellEnd"/>
      <w:r>
        <w:rPr>
          <w:color w:val="000000"/>
        </w:rPr>
        <w:t xml:space="preserve"> </w:t>
      </w:r>
      <w:proofErr w:type="spellStart"/>
      <w:r>
        <w:rPr>
          <w:color w:val="000000"/>
        </w:rPr>
        <w:t>ilgili</w:t>
      </w:r>
      <w:proofErr w:type="spellEnd"/>
      <w:r>
        <w:rPr>
          <w:color w:val="000000"/>
        </w:rPr>
        <w:t xml:space="preserve"> </w:t>
      </w:r>
      <w:proofErr w:type="spellStart"/>
      <w:r>
        <w:rPr>
          <w:color w:val="000000"/>
        </w:rPr>
        <w:t>soruları</w:t>
      </w:r>
      <w:proofErr w:type="spellEnd"/>
      <w:r>
        <w:rPr>
          <w:color w:val="000000"/>
        </w:rPr>
        <w:t xml:space="preserve"> </w:t>
      </w:r>
      <w:proofErr w:type="spellStart"/>
      <w:r>
        <w:rPr>
          <w:color w:val="000000"/>
        </w:rPr>
        <w:t>yanıtlamak</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özel</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kişi</w:t>
      </w:r>
      <w:proofErr w:type="spellEnd"/>
      <w:r>
        <w:rPr>
          <w:color w:val="000000"/>
        </w:rPr>
        <w:t xml:space="preserve"> </w:t>
      </w:r>
      <w:proofErr w:type="spellStart"/>
      <w:r>
        <w:rPr>
          <w:color w:val="000000"/>
        </w:rPr>
        <w:t>belirleyip</w:t>
      </w:r>
      <w:proofErr w:type="spellEnd"/>
      <w:r>
        <w:rPr>
          <w:color w:val="000000"/>
        </w:rPr>
        <w:t xml:space="preserve"> </w:t>
      </w:r>
      <w:proofErr w:type="spellStart"/>
      <w:r>
        <w:rPr>
          <w:color w:val="000000"/>
        </w:rPr>
        <w:t>süreci</w:t>
      </w:r>
      <w:proofErr w:type="spellEnd"/>
      <w:r>
        <w:rPr>
          <w:color w:val="000000"/>
        </w:rPr>
        <w:t xml:space="preserve"> </w:t>
      </w:r>
      <w:proofErr w:type="spellStart"/>
      <w:r>
        <w:rPr>
          <w:color w:val="000000"/>
        </w:rPr>
        <w:t>destekleyebilir</w:t>
      </w:r>
      <w:proofErr w:type="spellEnd"/>
      <w:r>
        <w:rPr>
          <w:color w:val="000000"/>
        </w:rPr>
        <w:t xml:space="preserve">, </w:t>
      </w:r>
      <w:proofErr w:type="spellStart"/>
      <w:r>
        <w:rPr>
          <w:color w:val="000000"/>
        </w:rPr>
        <w:t>ya</w:t>
      </w:r>
      <w:proofErr w:type="spellEnd"/>
      <w:r>
        <w:rPr>
          <w:color w:val="000000"/>
        </w:rPr>
        <w:t xml:space="preserve"> da </w:t>
      </w:r>
      <w:proofErr w:type="spellStart"/>
      <w:r>
        <w:rPr>
          <w:color w:val="000000"/>
        </w:rPr>
        <w:t>tüm</w:t>
      </w:r>
      <w:proofErr w:type="spellEnd"/>
      <w:r>
        <w:rPr>
          <w:color w:val="000000"/>
        </w:rPr>
        <w:t xml:space="preserve"> </w:t>
      </w:r>
      <w:proofErr w:type="spellStart"/>
      <w:r>
        <w:rPr>
          <w:color w:val="000000"/>
        </w:rPr>
        <w:t>ekibin</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almasını</w:t>
      </w:r>
      <w:proofErr w:type="spellEnd"/>
      <w:r>
        <w:rPr>
          <w:color w:val="000000"/>
        </w:rPr>
        <w:t xml:space="preserve"> </w:t>
      </w:r>
      <w:proofErr w:type="spellStart"/>
      <w:r>
        <w:rPr>
          <w:color w:val="000000"/>
        </w:rPr>
        <w:t>sağlayabilir</w:t>
      </w:r>
      <w:proofErr w:type="spellEnd"/>
      <w:r>
        <w:rPr>
          <w:color w:val="000000"/>
        </w:rPr>
        <w:t xml:space="preserve">. </w:t>
      </w:r>
      <w:proofErr w:type="spellStart"/>
      <w:r>
        <w:rPr>
          <w:color w:val="000000"/>
        </w:rPr>
        <w:t>Yine</w:t>
      </w:r>
      <w:proofErr w:type="spellEnd"/>
      <w:r>
        <w:rPr>
          <w:color w:val="000000"/>
        </w:rPr>
        <w:t xml:space="preserve"> de </w:t>
      </w:r>
      <w:proofErr w:type="spellStart"/>
      <w:r>
        <w:rPr>
          <w:color w:val="000000"/>
        </w:rPr>
        <w:t>bu</w:t>
      </w:r>
      <w:proofErr w:type="spellEnd"/>
      <w:r>
        <w:rPr>
          <w:color w:val="000000"/>
        </w:rPr>
        <w:t xml:space="preserve"> </w:t>
      </w:r>
      <w:proofErr w:type="spellStart"/>
      <w:r>
        <w:rPr>
          <w:color w:val="000000"/>
        </w:rPr>
        <w:t>uygulamalar</w:t>
      </w:r>
      <w:proofErr w:type="spellEnd"/>
      <w:r>
        <w:rPr>
          <w:color w:val="000000"/>
        </w:rPr>
        <w:t xml:space="preserve"> </w:t>
      </w:r>
      <w:proofErr w:type="spellStart"/>
      <w:r>
        <w:rPr>
          <w:color w:val="000000"/>
        </w:rPr>
        <w:t>arasından</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eğitimleri</w:t>
      </w:r>
      <w:proofErr w:type="spellEnd"/>
      <w:r>
        <w:rPr>
          <w:color w:val="000000"/>
        </w:rPr>
        <w:t xml:space="preserve">, </w:t>
      </w:r>
      <w:proofErr w:type="spellStart"/>
      <w:r>
        <w:rPr>
          <w:color w:val="000000"/>
        </w:rPr>
        <w:t>personelin</w:t>
      </w:r>
      <w:proofErr w:type="spellEnd"/>
      <w:r>
        <w:rPr>
          <w:color w:val="000000"/>
        </w:rPr>
        <w:t xml:space="preserve"> </w:t>
      </w:r>
      <w:proofErr w:type="spellStart"/>
      <w:r>
        <w:rPr>
          <w:color w:val="000000"/>
        </w:rPr>
        <w:t>tutumlarını</w:t>
      </w:r>
      <w:proofErr w:type="spellEnd"/>
      <w:r>
        <w:rPr>
          <w:color w:val="000000"/>
        </w:rPr>
        <w:t xml:space="preserve"> </w:t>
      </w:r>
      <w:proofErr w:type="spellStart"/>
      <w:r>
        <w:rPr>
          <w:color w:val="000000"/>
        </w:rPr>
        <w:t>iyileştirse</w:t>
      </w:r>
      <w:proofErr w:type="spellEnd"/>
      <w:r>
        <w:rPr>
          <w:color w:val="000000"/>
        </w:rPr>
        <w:t xml:space="preserve"> de </w:t>
      </w:r>
      <w:proofErr w:type="spellStart"/>
      <w:r>
        <w:rPr>
          <w:color w:val="000000"/>
        </w:rPr>
        <w:t>bilginin</w:t>
      </w:r>
      <w:proofErr w:type="spellEnd"/>
      <w:r>
        <w:rPr>
          <w:color w:val="000000"/>
        </w:rPr>
        <w:t xml:space="preserve"> </w:t>
      </w:r>
      <w:proofErr w:type="spellStart"/>
      <w:r>
        <w:rPr>
          <w:color w:val="000000"/>
        </w:rPr>
        <w:t>uzun</w:t>
      </w:r>
      <w:proofErr w:type="spellEnd"/>
      <w:r>
        <w:rPr>
          <w:color w:val="000000"/>
        </w:rPr>
        <w:t xml:space="preserve"> </w:t>
      </w:r>
      <w:proofErr w:type="spellStart"/>
      <w:r>
        <w:rPr>
          <w:color w:val="000000"/>
        </w:rPr>
        <w:t>vadeli</w:t>
      </w:r>
      <w:proofErr w:type="spellEnd"/>
      <w:r>
        <w:rPr>
          <w:color w:val="000000"/>
        </w:rPr>
        <w:t xml:space="preserve"> </w:t>
      </w:r>
      <w:proofErr w:type="spellStart"/>
      <w:r>
        <w:rPr>
          <w:color w:val="000000"/>
        </w:rPr>
        <w:t>korunmasını</w:t>
      </w:r>
      <w:proofErr w:type="spellEnd"/>
      <w:r>
        <w:rPr>
          <w:color w:val="000000"/>
        </w:rPr>
        <w:t xml:space="preserve"> </w:t>
      </w:r>
      <w:proofErr w:type="spellStart"/>
      <w:r>
        <w:rPr>
          <w:color w:val="000000"/>
        </w:rPr>
        <w:t>sağlama</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yeterli</w:t>
      </w:r>
      <w:proofErr w:type="spellEnd"/>
      <w:r>
        <w:rPr>
          <w:color w:val="000000"/>
        </w:rPr>
        <w:t xml:space="preserve"> </w:t>
      </w:r>
      <w:proofErr w:type="spellStart"/>
      <w:r>
        <w:rPr>
          <w:color w:val="000000"/>
        </w:rPr>
        <w:t>olmayabilir</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materyalleri</w:t>
      </w:r>
      <w:proofErr w:type="spellEnd"/>
      <w:r>
        <w:rPr>
          <w:color w:val="000000"/>
        </w:rPr>
        <w:t xml:space="preserve">; </w:t>
      </w:r>
      <w:proofErr w:type="spellStart"/>
      <w:r>
        <w:rPr>
          <w:color w:val="000000"/>
        </w:rPr>
        <w:t>temel</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bilgileri</w:t>
      </w:r>
      <w:proofErr w:type="spellEnd"/>
      <w:r>
        <w:rPr>
          <w:color w:val="000000"/>
        </w:rPr>
        <w:t xml:space="preserve">, </w:t>
      </w:r>
      <w:proofErr w:type="spellStart"/>
      <w:r>
        <w:rPr>
          <w:color w:val="000000"/>
        </w:rPr>
        <w:t>menüdeki</w:t>
      </w:r>
      <w:proofErr w:type="spellEnd"/>
      <w:r>
        <w:rPr>
          <w:color w:val="000000"/>
        </w:rPr>
        <w:t xml:space="preserve"> </w:t>
      </w:r>
      <w:proofErr w:type="spellStart"/>
      <w:r>
        <w:rPr>
          <w:color w:val="000000"/>
        </w:rPr>
        <w:t>alerjenler</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reaksiyon</w:t>
      </w:r>
      <w:proofErr w:type="spellEnd"/>
      <w:r>
        <w:rPr>
          <w:color w:val="000000"/>
        </w:rPr>
        <w:t xml:space="preserve"> </w:t>
      </w:r>
      <w:proofErr w:type="spellStart"/>
      <w:r>
        <w:rPr>
          <w:color w:val="000000"/>
        </w:rPr>
        <w:t>belirtileri</w:t>
      </w:r>
      <w:proofErr w:type="spellEnd"/>
      <w:r>
        <w:rPr>
          <w:color w:val="000000"/>
        </w:rPr>
        <w:t xml:space="preserve">, </w:t>
      </w:r>
      <w:proofErr w:type="spellStart"/>
      <w:r>
        <w:rPr>
          <w:color w:val="000000"/>
        </w:rPr>
        <w:t>çapraz</w:t>
      </w:r>
      <w:proofErr w:type="spellEnd"/>
      <w:r>
        <w:rPr>
          <w:color w:val="000000"/>
        </w:rPr>
        <w:t xml:space="preserve"> </w:t>
      </w:r>
      <w:proofErr w:type="spellStart"/>
      <w:r>
        <w:rPr>
          <w:color w:val="000000"/>
        </w:rPr>
        <w:t>temasın</w:t>
      </w:r>
      <w:proofErr w:type="spellEnd"/>
      <w:r>
        <w:rPr>
          <w:color w:val="000000"/>
        </w:rPr>
        <w:t xml:space="preserve"> </w:t>
      </w:r>
      <w:proofErr w:type="spellStart"/>
      <w:r>
        <w:rPr>
          <w:color w:val="000000"/>
        </w:rPr>
        <w:t>önlenmesi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konuları</w:t>
      </w:r>
      <w:proofErr w:type="spellEnd"/>
      <w:r>
        <w:rPr>
          <w:color w:val="000000"/>
        </w:rPr>
        <w:t xml:space="preserve"> </w:t>
      </w:r>
      <w:proofErr w:type="spellStart"/>
      <w:r>
        <w:rPr>
          <w:color w:val="000000"/>
        </w:rPr>
        <w:t>içerip</w:t>
      </w:r>
      <w:proofErr w:type="spellEnd"/>
      <w:r>
        <w:rPr>
          <w:color w:val="000000"/>
        </w:rPr>
        <w:t xml:space="preserve"> </w:t>
      </w:r>
      <w:proofErr w:type="spellStart"/>
      <w:r>
        <w:rPr>
          <w:color w:val="000000"/>
        </w:rPr>
        <w:t>periyodik</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tekrar</w:t>
      </w:r>
      <w:proofErr w:type="spellEnd"/>
      <w:r>
        <w:rPr>
          <w:color w:val="000000"/>
        </w:rPr>
        <w:t xml:space="preserve"> </w:t>
      </w:r>
      <w:proofErr w:type="spellStart"/>
      <w:r>
        <w:rPr>
          <w:color w:val="000000"/>
        </w:rPr>
        <w:t>edilmelidir</w:t>
      </w:r>
      <w:proofErr w:type="spellEnd"/>
      <w:r>
        <w:rPr>
          <w:color w:val="000000"/>
        </w:rPr>
        <w:t xml:space="preserve"> </w:t>
      </w:r>
      <w:proofErr w:type="spellStart"/>
      <w:r>
        <w:rPr>
          <w:color w:val="000000"/>
        </w:rPr>
        <w:t>çünkü</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tür</w:t>
      </w:r>
      <w:proofErr w:type="spellEnd"/>
      <w:r>
        <w:rPr>
          <w:color w:val="000000"/>
        </w:rPr>
        <w:t xml:space="preserve"> </w:t>
      </w:r>
      <w:proofErr w:type="spellStart"/>
      <w:r>
        <w:rPr>
          <w:color w:val="000000"/>
        </w:rPr>
        <w:t>bilgiler</w:t>
      </w:r>
      <w:proofErr w:type="spellEnd"/>
      <w:r>
        <w:rPr>
          <w:color w:val="000000"/>
        </w:rPr>
        <w:t xml:space="preserve"> </w:t>
      </w:r>
      <w:proofErr w:type="spellStart"/>
      <w:r>
        <w:rPr>
          <w:color w:val="000000"/>
        </w:rPr>
        <w:t>çok</w:t>
      </w:r>
      <w:proofErr w:type="spellEnd"/>
      <w:r>
        <w:rPr>
          <w:color w:val="000000"/>
        </w:rPr>
        <w:t xml:space="preserve"> </w:t>
      </w:r>
      <w:proofErr w:type="spellStart"/>
      <w:r>
        <w:rPr>
          <w:color w:val="000000"/>
        </w:rPr>
        <w:t>çabuk</w:t>
      </w:r>
      <w:proofErr w:type="spellEnd"/>
      <w:r>
        <w:rPr>
          <w:color w:val="000000"/>
        </w:rPr>
        <w:t xml:space="preserve"> </w:t>
      </w:r>
      <w:proofErr w:type="spellStart"/>
      <w:r>
        <w:rPr>
          <w:color w:val="000000"/>
        </w:rPr>
        <w:t>akıldan</w:t>
      </w:r>
      <w:proofErr w:type="spellEnd"/>
      <w:r>
        <w:rPr>
          <w:color w:val="000000"/>
        </w:rPr>
        <w:t xml:space="preserve"> </w:t>
      </w:r>
      <w:proofErr w:type="spellStart"/>
      <w:r>
        <w:rPr>
          <w:color w:val="000000"/>
        </w:rPr>
        <w:t>çıkmaktadır</w:t>
      </w:r>
      <w:proofErr w:type="spellEnd"/>
      <w:r>
        <w:rPr>
          <w:color w:val="000000"/>
        </w:rPr>
        <w:t xml:space="preserve">. Buna </w:t>
      </w:r>
      <w:proofErr w:type="spellStart"/>
      <w:r>
        <w:rPr>
          <w:color w:val="000000"/>
        </w:rPr>
        <w:t>karşın</w:t>
      </w:r>
      <w:proofErr w:type="spellEnd"/>
      <w:r>
        <w:rPr>
          <w:color w:val="000000"/>
        </w:rPr>
        <w:t xml:space="preserve">, </w:t>
      </w:r>
      <w:proofErr w:type="spellStart"/>
      <w:r>
        <w:rPr>
          <w:color w:val="000000"/>
        </w:rPr>
        <w:t>menüde</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bilgisi</w:t>
      </w:r>
      <w:proofErr w:type="spellEnd"/>
      <w:r>
        <w:rPr>
          <w:color w:val="000000"/>
        </w:rPr>
        <w:t xml:space="preserve"> </w:t>
      </w:r>
      <w:proofErr w:type="spellStart"/>
      <w:r>
        <w:rPr>
          <w:color w:val="000000"/>
        </w:rPr>
        <w:t>bulunması</w:t>
      </w:r>
      <w:proofErr w:type="spellEnd"/>
      <w:r>
        <w:rPr>
          <w:color w:val="000000"/>
        </w:rPr>
        <w:t xml:space="preserve">, </w:t>
      </w:r>
      <w:proofErr w:type="spellStart"/>
      <w:r>
        <w:rPr>
          <w:color w:val="000000"/>
        </w:rPr>
        <w:t>yöneticilerde</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az</w:t>
      </w:r>
      <w:proofErr w:type="spellEnd"/>
      <w:r>
        <w:rPr>
          <w:color w:val="000000"/>
        </w:rPr>
        <w:t xml:space="preserve"> </w:t>
      </w:r>
      <w:proofErr w:type="spellStart"/>
      <w:r>
        <w:rPr>
          <w:color w:val="000000"/>
        </w:rPr>
        <w:t>olumlu</w:t>
      </w:r>
      <w:proofErr w:type="spellEnd"/>
      <w:r>
        <w:rPr>
          <w:color w:val="000000"/>
        </w:rPr>
        <w:t xml:space="preserve"> </w:t>
      </w:r>
      <w:proofErr w:type="spellStart"/>
      <w:r>
        <w:rPr>
          <w:color w:val="000000"/>
        </w:rPr>
        <w:t>tutumlarla</w:t>
      </w:r>
      <w:proofErr w:type="spellEnd"/>
      <w:r>
        <w:rPr>
          <w:color w:val="000000"/>
        </w:rPr>
        <w:t xml:space="preserve"> </w:t>
      </w:r>
      <w:proofErr w:type="spellStart"/>
      <w:r>
        <w:rPr>
          <w:color w:val="000000"/>
        </w:rPr>
        <w:t>ilişkilendirilmiştir</w:t>
      </w:r>
      <w:proofErr w:type="spellEnd"/>
      <w:r>
        <w:rPr>
          <w:color w:val="000000"/>
        </w:rPr>
        <w:t xml:space="preserve"> (Radke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2016)</w:t>
      </w:r>
    </w:p>
    <w:p w14:paraId="7CB07C77" w14:textId="77777777" w:rsidR="007513A1" w:rsidRDefault="007513A1" w:rsidP="007513A1">
      <w:pPr>
        <w:pStyle w:val="NormalWeb"/>
        <w:spacing w:before="0" w:beforeAutospacing="0" w:after="0" w:afterAutospacing="0"/>
        <w:jc w:val="both"/>
      </w:pPr>
    </w:p>
    <w:p w14:paraId="4565769F" w14:textId="5CF65694" w:rsidR="001E7189" w:rsidRDefault="001E7189" w:rsidP="007513A1">
      <w:pPr>
        <w:pStyle w:val="NormalWeb"/>
        <w:spacing w:before="0" w:beforeAutospacing="0" w:after="0" w:afterAutospacing="0"/>
        <w:jc w:val="both"/>
        <w:rPr>
          <w:color w:val="000000"/>
        </w:rPr>
      </w:pPr>
      <w:proofErr w:type="spellStart"/>
      <w:r>
        <w:rPr>
          <w:color w:val="000000"/>
        </w:rPr>
        <w:t>Restoranlarda</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reaksiyonları</w:t>
      </w:r>
      <w:proofErr w:type="spellEnd"/>
      <w:r>
        <w:rPr>
          <w:color w:val="000000"/>
        </w:rPr>
        <w:t xml:space="preserve"> </w:t>
      </w:r>
      <w:proofErr w:type="spellStart"/>
      <w:r>
        <w:rPr>
          <w:color w:val="000000"/>
        </w:rPr>
        <w:t>önleyebilmek</w:t>
      </w:r>
      <w:proofErr w:type="spellEnd"/>
      <w:r>
        <w:rPr>
          <w:color w:val="000000"/>
        </w:rPr>
        <w:t xml:space="preserve"> </w:t>
      </w:r>
      <w:proofErr w:type="spellStart"/>
      <w:r>
        <w:rPr>
          <w:color w:val="000000"/>
        </w:rPr>
        <w:t>adına</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personelin</w:t>
      </w:r>
      <w:proofErr w:type="spellEnd"/>
      <w:r>
        <w:rPr>
          <w:color w:val="000000"/>
        </w:rPr>
        <w:t xml:space="preserve">, </w:t>
      </w:r>
      <w:proofErr w:type="spellStart"/>
      <w:r>
        <w:rPr>
          <w:color w:val="000000"/>
        </w:rPr>
        <w:t>yöneticiler</w:t>
      </w:r>
      <w:proofErr w:type="spellEnd"/>
      <w:r>
        <w:rPr>
          <w:color w:val="000000"/>
        </w:rPr>
        <w:t xml:space="preserve"> </w:t>
      </w:r>
      <w:proofErr w:type="spellStart"/>
      <w:r>
        <w:rPr>
          <w:color w:val="000000"/>
        </w:rPr>
        <w:t>kadar</w:t>
      </w:r>
      <w:proofErr w:type="spellEnd"/>
      <w:r>
        <w:rPr>
          <w:color w:val="000000"/>
        </w:rPr>
        <w:t xml:space="preserve"> </w:t>
      </w:r>
      <w:proofErr w:type="spellStart"/>
      <w:r>
        <w:rPr>
          <w:color w:val="000000"/>
        </w:rPr>
        <w:t>duyarlı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eğitimli</w:t>
      </w:r>
      <w:proofErr w:type="spellEnd"/>
      <w:r>
        <w:rPr>
          <w:color w:val="000000"/>
        </w:rPr>
        <w:t xml:space="preserve"> </w:t>
      </w:r>
      <w:proofErr w:type="spellStart"/>
      <w:r>
        <w:rPr>
          <w:color w:val="000000"/>
        </w:rPr>
        <w:t>olmasını</w:t>
      </w:r>
      <w:proofErr w:type="spellEnd"/>
      <w:r>
        <w:rPr>
          <w:color w:val="000000"/>
        </w:rPr>
        <w:t xml:space="preserve"> </w:t>
      </w:r>
      <w:proofErr w:type="spellStart"/>
      <w:r>
        <w:rPr>
          <w:color w:val="000000"/>
        </w:rPr>
        <w:t>gerekmektedir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reaksiyona</w:t>
      </w:r>
      <w:proofErr w:type="spellEnd"/>
      <w:r>
        <w:rPr>
          <w:color w:val="000000"/>
        </w:rPr>
        <w:t xml:space="preserve"> </w:t>
      </w:r>
      <w:proofErr w:type="spellStart"/>
      <w:r>
        <w:rPr>
          <w:color w:val="000000"/>
        </w:rPr>
        <w:t>neden</w:t>
      </w:r>
      <w:proofErr w:type="spellEnd"/>
      <w:r>
        <w:rPr>
          <w:color w:val="000000"/>
        </w:rPr>
        <w:t xml:space="preserve"> </w:t>
      </w:r>
      <w:proofErr w:type="spellStart"/>
      <w:r>
        <w:rPr>
          <w:color w:val="000000"/>
        </w:rPr>
        <w:t>olabilecek</w:t>
      </w:r>
      <w:proofErr w:type="spellEnd"/>
      <w:r>
        <w:rPr>
          <w:color w:val="000000"/>
        </w:rPr>
        <w:t xml:space="preserve"> </w:t>
      </w:r>
      <w:proofErr w:type="spellStart"/>
      <w:r>
        <w:rPr>
          <w:color w:val="000000"/>
        </w:rPr>
        <w:t>hatalar</w:t>
      </w:r>
      <w:proofErr w:type="spellEnd"/>
      <w:r>
        <w:rPr>
          <w:color w:val="000000"/>
        </w:rPr>
        <w:t xml:space="preserve">, </w:t>
      </w:r>
      <w:proofErr w:type="spellStart"/>
      <w:r>
        <w:rPr>
          <w:color w:val="000000"/>
        </w:rPr>
        <w:t>yemek</w:t>
      </w:r>
      <w:proofErr w:type="spellEnd"/>
      <w:r>
        <w:rPr>
          <w:color w:val="000000"/>
        </w:rPr>
        <w:t xml:space="preserve"> </w:t>
      </w:r>
      <w:proofErr w:type="spellStart"/>
      <w:r>
        <w:rPr>
          <w:color w:val="000000"/>
        </w:rPr>
        <w:t>hazırlama</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servis</w:t>
      </w:r>
      <w:proofErr w:type="spellEnd"/>
      <w:r>
        <w:rPr>
          <w:color w:val="000000"/>
        </w:rPr>
        <w:t xml:space="preserve"> </w:t>
      </w:r>
      <w:proofErr w:type="spellStart"/>
      <w:r>
        <w:rPr>
          <w:color w:val="000000"/>
        </w:rPr>
        <w:t>sürecinin</w:t>
      </w:r>
      <w:proofErr w:type="spellEnd"/>
      <w:r>
        <w:rPr>
          <w:color w:val="000000"/>
        </w:rPr>
        <w:t xml:space="preserve"> </w:t>
      </w:r>
      <w:proofErr w:type="spellStart"/>
      <w:r>
        <w:rPr>
          <w:color w:val="000000"/>
        </w:rPr>
        <w:t>herhangi</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aşamasında</w:t>
      </w:r>
      <w:proofErr w:type="spellEnd"/>
      <w:r>
        <w:rPr>
          <w:color w:val="000000"/>
        </w:rPr>
        <w:t xml:space="preserve"> </w:t>
      </w:r>
      <w:proofErr w:type="spellStart"/>
      <w:r>
        <w:rPr>
          <w:color w:val="000000"/>
        </w:rPr>
        <w:t>ortaya</w:t>
      </w:r>
      <w:proofErr w:type="spellEnd"/>
      <w:r>
        <w:rPr>
          <w:color w:val="000000"/>
        </w:rPr>
        <w:t xml:space="preserve"> </w:t>
      </w:r>
      <w:proofErr w:type="spellStart"/>
      <w:r>
        <w:rPr>
          <w:color w:val="000000"/>
        </w:rPr>
        <w:t>çıkabileceğinden</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tüm</w:t>
      </w:r>
      <w:proofErr w:type="spellEnd"/>
      <w:r>
        <w:rPr>
          <w:color w:val="000000"/>
        </w:rPr>
        <w:t xml:space="preserve"> </w:t>
      </w:r>
      <w:proofErr w:type="spellStart"/>
      <w:r>
        <w:rPr>
          <w:color w:val="000000"/>
        </w:rPr>
        <w:t>personele</w:t>
      </w:r>
      <w:proofErr w:type="spellEnd"/>
      <w:r>
        <w:rPr>
          <w:color w:val="000000"/>
        </w:rPr>
        <w:t xml:space="preserve"> </w:t>
      </w:r>
      <w:proofErr w:type="spellStart"/>
      <w:r>
        <w:rPr>
          <w:color w:val="000000"/>
        </w:rPr>
        <w:t>yayılmalıdır</w:t>
      </w:r>
      <w:proofErr w:type="spellEnd"/>
      <w:r>
        <w:rPr>
          <w:color w:val="000000"/>
        </w:rPr>
        <w:t xml:space="preserve">. </w:t>
      </w:r>
      <w:proofErr w:type="spellStart"/>
      <w:r>
        <w:rPr>
          <w:color w:val="000000"/>
        </w:rPr>
        <w:t>Çünkü</w:t>
      </w:r>
      <w:proofErr w:type="spellEnd"/>
      <w:r>
        <w:rPr>
          <w:color w:val="000000"/>
        </w:rPr>
        <w:t xml:space="preserve"> her </w:t>
      </w:r>
      <w:proofErr w:type="spellStart"/>
      <w:r>
        <w:rPr>
          <w:color w:val="000000"/>
        </w:rPr>
        <w:t>türlü</w:t>
      </w:r>
      <w:proofErr w:type="spellEnd"/>
      <w:r>
        <w:rPr>
          <w:color w:val="000000"/>
        </w:rPr>
        <w:t xml:space="preserve"> </w:t>
      </w:r>
      <w:proofErr w:type="spellStart"/>
      <w:r>
        <w:rPr>
          <w:color w:val="000000"/>
        </w:rPr>
        <w:t>yemek</w:t>
      </w:r>
      <w:proofErr w:type="spellEnd"/>
      <w:r>
        <w:rPr>
          <w:color w:val="000000"/>
        </w:rPr>
        <w:t xml:space="preserve"> </w:t>
      </w:r>
      <w:proofErr w:type="spellStart"/>
      <w:r>
        <w:rPr>
          <w:color w:val="000000"/>
        </w:rPr>
        <w:t>hazırlama</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konuşma</w:t>
      </w:r>
      <w:proofErr w:type="spellEnd"/>
      <w:r>
        <w:rPr>
          <w:color w:val="000000"/>
        </w:rPr>
        <w:t xml:space="preserve">, </w:t>
      </w:r>
      <w:proofErr w:type="spellStart"/>
      <w:r>
        <w:rPr>
          <w:color w:val="000000"/>
        </w:rPr>
        <w:t>servisi</w:t>
      </w:r>
      <w:proofErr w:type="spellEnd"/>
      <w:r>
        <w:rPr>
          <w:color w:val="000000"/>
        </w:rPr>
        <w:t xml:space="preserve"> </w:t>
      </w:r>
      <w:proofErr w:type="spellStart"/>
      <w:r>
        <w:rPr>
          <w:color w:val="000000"/>
        </w:rPr>
        <w:t>sunma</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süreçlerde</w:t>
      </w:r>
      <w:proofErr w:type="spellEnd"/>
      <w:r>
        <w:rPr>
          <w:color w:val="000000"/>
        </w:rPr>
        <w:t xml:space="preserve"> </w:t>
      </w:r>
      <w:proofErr w:type="spellStart"/>
      <w:r>
        <w:rPr>
          <w:color w:val="000000"/>
        </w:rPr>
        <w:t>yapılan</w:t>
      </w:r>
      <w:proofErr w:type="spellEnd"/>
      <w:r>
        <w:rPr>
          <w:color w:val="000000"/>
        </w:rPr>
        <w:t xml:space="preserve"> </w:t>
      </w:r>
      <w:proofErr w:type="spellStart"/>
      <w:r>
        <w:rPr>
          <w:color w:val="000000"/>
        </w:rPr>
        <w:t>düzenlemelerin</w:t>
      </w:r>
      <w:proofErr w:type="spellEnd"/>
      <w:r>
        <w:rPr>
          <w:color w:val="000000"/>
        </w:rPr>
        <w:t xml:space="preserve"> </w:t>
      </w:r>
      <w:proofErr w:type="spellStart"/>
      <w:r>
        <w:rPr>
          <w:color w:val="000000"/>
        </w:rPr>
        <w:t>günlük</w:t>
      </w:r>
      <w:proofErr w:type="spellEnd"/>
      <w:r>
        <w:rPr>
          <w:color w:val="000000"/>
        </w:rPr>
        <w:t xml:space="preserve"> </w:t>
      </w:r>
      <w:proofErr w:type="spellStart"/>
      <w:r>
        <w:rPr>
          <w:color w:val="000000"/>
        </w:rPr>
        <w:t>işleyişte</w:t>
      </w:r>
      <w:proofErr w:type="spellEnd"/>
      <w:r>
        <w:rPr>
          <w:color w:val="000000"/>
        </w:rPr>
        <w:t xml:space="preserve"> </w:t>
      </w:r>
      <w:proofErr w:type="spellStart"/>
      <w:r>
        <w:rPr>
          <w:color w:val="000000"/>
        </w:rPr>
        <w:t>standart</w:t>
      </w:r>
      <w:proofErr w:type="spellEnd"/>
      <w:r>
        <w:rPr>
          <w:color w:val="000000"/>
        </w:rPr>
        <w:t xml:space="preserve"> hale </w:t>
      </w:r>
      <w:proofErr w:type="spellStart"/>
      <w:r>
        <w:rPr>
          <w:color w:val="000000"/>
        </w:rPr>
        <w:t>getirilmesi</w:t>
      </w:r>
      <w:proofErr w:type="spellEnd"/>
      <w:r>
        <w:rPr>
          <w:color w:val="000000"/>
        </w:rPr>
        <w:t xml:space="preserve">, </w:t>
      </w:r>
      <w:proofErr w:type="spellStart"/>
      <w:r>
        <w:rPr>
          <w:color w:val="000000"/>
        </w:rPr>
        <w:t>hata</w:t>
      </w:r>
      <w:proofErr w:type="spellEnd"/>
      <w:r>
        <w:rPr>
          <w:color w:val="000000"/>
        </w:rPr>
        <w:t xml:space="preserve"> </w:t>
      </w:r>
      <w:proofErr w:type="spellStart"/>
      <w:r>
        <w:rPr>
          <w:color w:val="000000"/>
        </w:rPr>
        <w:t>riskini</w:t>
      </w:r>
      <w:proofErr w:type="spellEnd"/>
      <w:r>
        <w:rPr>
          <w:color w:val="000000"/>
        </w:rPr>
        <w:t xml:space="preserve"> </w:t>
      </w:r>
      <w:proofErr w:type="spellStart"/>
      <w:r>
        <w:rPr>
          <w:color w:val="000000"/>
        </w:rPr>
        <w:t>azalttığı</w:t>
      </w:r>
      <w:proofErr w:type="spellEnd"/>
      <w:r>
        <w:rPr>
          <w:color w:val="000000"/>
        </w:rPr>
        <w:t xml:space="preserve"> </w:t>
      </w:r>
      <w:proofErr w:type="spellStart"/>
      <w:r>
        <w:rPr>
          <w:color w:val="000000"/>
        </w:rPr>
        <w:t>bilinmektedir</w:t>
      </w:r>
      <w:proofErr w:type="spellEnd"/>
      <w:r>
        <w:rPr>
          <w:color w:val="000000"/>
        </w:rPr>
        <w:t xml:space="preserve">. </w:t>
      </w:r>
      <w:proofErr w:type="spellStart"/>
      <w:r>
        <w:rPr>
          <w:color w:val="000000"/>
        </w:rPr>
        <w:t>Eğitimlerin</w:t>
      </w:r>
      <w:proofErr w:type="spellEnd"/>
      <w:r>
        <w:rPr>
          <w:color w:val="000000"/>
        </w:rPr>
        <w:t xml:space="preserve"> </w:t>
      </w:r>
      <w:proofErr w:type="spellStart"/>
      <w:r>
        <w:rPr>
          <w:color w:val="000000"/>
        </w:rPr>
        <w:t>odaklanması</w:t>
      </w:r>
      <w:proofErr w:type="spellEnd"/>
      <w:r>
        <w:rPr>
          <w:color w:val="000000"/>
        </w:rPr>
        <w:t xml:space="preserve"> </w:t>
      </w:r>
      <w:proofErr w:type="spellStart"/>
      <w:r>
        <w:rPr>
          <w:color w:val="000000"/>
        </w:rPr>
        <w:t>gereken</w:t>
      </w:r>
      <w:proofErr w:type="spellEnd"/>
      <w:r>
        <w:rPr>
          <w:color w:val="000000"/>
        </w:rPr>
        <w:t xml:space="preserve"> </w:t>
      </w:r>
      <w:proofErr w:type="spellStart"/>
      <w:r>
        <w:rPr>
          <w:color w:val="000000"/>
        </w:rPr>
        <w:t>temel</w:t>
      </w:r>
      <w:proofErr w:type="spellEnd"/>
      <w:r>
        <w:rPr>
          <w:color w:val="000000"/>
        </w:rPr>
        <w:t xml:space="preserve"> </w:t>
      </w:r>
      <w:proofErr w:type="spellStart"/>
      <w:r>
        <w:rPr>
          <w:color w:val="000000"/>
        </w:rPr>
        <w:t>konular</w:t>
      </w:r>
      <w:proofErr w:type="spellEnd"/>
      <w:r>
        <w:rPr>
          <w:color w:val="000000"/>
        </w:rPr>
        <w:t xml:space="preserve"> </w:t>
      </w:r>
      <w:proofErr w:type="spellStart"/>
      <w:r>
        <w:rPr>
          <w:color w:val="000000"/>
        </w:rPr>
        <w:t>arasında</w:t>
      </w:r>
      <w:proofErr w:type="spellEnd"/>
      <w:r>
        <w:rPr>
          <w:color w:val="000000"/>
        </w:rPr>
        <w:t xml:space="preserve">, </w:t>
      </w:r>
      <w:proofErr w:type="spellStart"/>
      <w:r>
        <w:rPr>
          <w:color w:val="000000"/>
        </w:rPr>
        <w:t>alerjenlerin</w:t>
      </w:r>
      <w:proofErr w:type="spellEnd"/>
      <w:r>
        <w:rPr>
          <w:color w:val="000000"/>
        </w:rPr>
        <w:t xml:space="preserve"> </w:t>
      </w:r>
      <w:proofErr w:type="spellStart"/>
      <w:r>
        <w:rPr>
          <w:color w:val="000000"/>
        </w:rPr>
        <w:t>çapraz</w:t>
      </w:r>
      <w:proofErr w:type="spellEnd"/>
      <w:r>
        <w:rPr>
          <w:color w:val="000000"/>
        </w:rPr>
        <w:t xml:space="preserve"> </w:t>
      </w:r>
      <w:proofErr w:type="spellStart"/>
      <w:r>
        <w:rPr>
          <w:color w:val="000000"/>
        </w:rPr>
        <w:t>temas</w:t>
      </w:r>
      <w:proofErr w:type="spellEnd"/>
      <w:r>
        <w:rPr>
          <w:color w:val="000000"/>
        </w:rPr>
        <w:t xml:space="preserve"> </w:t>
      </w:r>
      <w:proofErr w:type="spellStart"/>
      <w:r>
        <w:rPr>
          <w:color w:val="000000"/>
        </w:rPr>
        <w:t>yoluyla</w:t>
      </w:r>
      <w:proofErr w:type="spellEnd"/>
      <w:r>
        <w:rPr>
          <w:color w:val="000000"/>
        </w:rPr>
        <w:t xml:space="preserve"> </w:t>
      </w:r>
      <w:proofErr w:type="spellStart"/>
      <w:r>
        <w:rPr>
          <w:color w:val="000000"/>
        </w:rPr>
        <w:t>bulaşma</w:t>
      </w:r>
      <w:proofErr w:type="spellEnd"/>
      <w:r>
        <w:rPr>
          <w:color w:val="000000"/>
        </w:rPr>
        <w:t xml:space="preserve"> </w:t>
      </w:r>
      <w:proofErr w:type="spellStart"/>
      <w:r>
        <w:rPr>
          <w:color w:val="000000"/>
        </w:rPr>
        <w:t>mekanizmalarının</w:t>
      </w:r>
      <w:proofErr w:type="spellEnd"/>
      <w:r>
        <w:rPr>
          <w:color w:val="000000"/>
        </w:rPr>
        <w:t xml:space="preserve"> </w:t>
      </w:r>
      <w:proofErr w:type="spellStart"/>
      <w:r>
        <w:rPr>
          <w:color w:val="000000"/>
        </w:rPr>
        <w:t>anlaşılması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teması</w:t>
      </w:r>
      <w:proofErr w:type="spellEnd"/>
      <w:r>
        <w:rPr>
          <w:color w:val="000000"/>
        </w:rPr>
        <w:t xml:space="preserve"> </w:t>
      </w:r>
      <w:proofErr w:type="spellStart"/>
      <w:r>
        <w:rPr>
          <w:color w:val="000000"/>
        </w:rPr>
        <w:t>önleme</w:t>
      </w:r>
      <w:proofErr w:type="spellEnd"/>
      <w:r>
        <w:rPr>
          <w:color w:val="000000"/>
        </w:rPr>
        <w:t xml:space="preserve"> </w:t>
      </w:r>
      <w:proofErr w:type="spellStart"/>
      <w:r>
        <w:rPr>
          <w:color w:val="000000"/>
        </w:rPr>
        <w:t>yöntemleri</w:t>
      </w:r>
      <w:proofErr w:type="spellEnd"/>
      <w:r>
        <w:rPr>
          <w:color w:val="000000"/>
        </w:rPr>
        <w:t xml:space="preserve"> </w:t>
      </w:r>
      <w:proofErr w:type="spellStart"/>
      <w:r>
        <w:rPr>
          <w:color w:val="000000"/>
        </w:rPr>
        <w:t>yer</w:t>
      </w:r>
      <w:proofErr w:type="spellEnd"/>
      <w:r>
        <w:rPr>
          <w:color w:val="000000"/>
        </w:rPr>
        <w:t xml:space="preserve"> </w:t>
      </w:r>
      <w:proofErr w:type="spellStart"/>
      <w:r>
        <w:rPr>
          <w:color w:val="000000"/>
        </w:rPr>
        <w:t>almaktadır</w:t>
      </w:r>
      <w:proofErr w:type="spellEnd"/>
      <w:r>
        <w:rPr>
          <w:color w:val="000000"/>
        </w:rPr>
        <w:t xml:space="preserve">. </w:t>
      </w:r>
      <w:proofErr w:type="spellStart"/>
      <w:r>
        <w:rPr>
          <w:color w:val="000000"/>
        </w:rPr>
        <w:t>Çapraz</w:t>
      </w:r>
      <w:proofErr w:type="spellEnd"/>
      <w:r>
        <w:rPr>
          <w:color w:val="000000"/>
        </w:rPr>
        <w:t xml:space="preserve"> </w:t>
      </w:r>
      <w:proofErr w:type="spellStart"/>
      <w:r>
        <w:rPr>
          <w:color w:val="000000"/>
        </w:rPr>
        <w:t>temas</w:t>
      </w:r>
      <w:proofErr w:type="spellEnd"/>
      <w:r>
        <w:rPr>
          <w:color w:val="000000"/>
        </w:rPr>
        <w:t xml:space="preserve">; </w:t>
      </w:r>
      <w:proofErr w:type="spellStart"/>
      <w:r>
        <w:rPr>
          <w:color w:val="000000"/>
        </w:rPr>
        <w:t>pişirme</w:t>
      </w:r>
      <w:proofErr w:type="spellEnd"/>
      <w:r>
        <w:rPr>
          <w:color w:val="000000"/>
        </w:rPr>
        <w:t xml:space="preserve"> </w:t>
      </w:r>
      <w:proofErr w:type="spellStart"/>
      <w:r>
        <w:rPr>
          <w:color w:val="000000"/>
        </w:rPr>
        <w:t>ekipmanlarının</w:t>
      </w:r>
      <w:proofErr w:type="spellEnd"/>
      <w:r>
        <w:rPr>
          <w:color w:val="000000"/>
        </w:rPr>
        <w:t xml:space="preserve"> </w:t>
      </w:r>
      <w:proofErr w:type="spellStart"/>
      <w:r>
        <w:rPr>
          <w:color w:val="000000"/>
        </w:rPr>
        <w:t>yeniden</w:t>
      </w:r>
      <w:proofErr w:type="spellEnd"/>
      <w:r>
        <w:rPr>
          <w:color w:val="000000"/>
        </w:rPr>
        <w:t xml:space="preserve"> </w:t>
      </w:r>
      <w:proofErr w:type="spellStart"/>
      <w:r>
        <w:rPr>
          <w:color w:val="000000"/>
        </w:rPr>
        <w:t>kullanımı</w:t>
      </w:r>
      <w:proofErr w:type="spellEnd"/>
      <w:r>
        <w:rPr>
          <w:color w:val="000000"/>
        </w:rPr>
        <w:t xml:space="preserve">, </w:t>
      </w:r>
      <w:proofErr w:type="spellStart"/>
      <w:r>
        <w:rPr>
          <w:color w:val="000000"/>
        </w:rPr>
        <w:t>garnitür</w:t>
      </w:r>
      <w:proofErr w:type="spellEnd"/>
      <w:r>
        <w:rPr>
          <w:color w:val="000000"/>
        </w:rPr>
        <w:t xml:space="preserve"> </w:t>
      </w:r>
      <w:proofErr w:type="spellStart"/>
      <w:r>
        <w:rPr>
          <w:color w:val="000000"/>
        </w:rPr>
        <w:t>barları</w:t>
      </w:r>
      <w:proofErr w:type="spellEnd"/>
      <w:r>
        <w:rPr>
          <w:color w:val="000000"/>
        </w:rPr>
        <w:t xml:space="preserve">, </w:t>
      </w:r>
      <w:proofErr w:type="spellStart"/>
      <w:r>
        <w:rPr>
          <w:color w:val="000000"/>
        </w:rPr>
        <w:t>eller</w:t>
      </w:r>
      <w:proofErr w:type="spellEnd"/>
      <w:r>
        <w:rPr>
          <w:color w:val="000000"/>
        </w:rPr>
        <w:t xml:space="preserve"> </w:t>
      </w:r>
      <w:proofErr w:type="spellStart"/>
      <w:r>
        <w:rPr>
          <w:color w:val="000000"/>
        </w:rPr>
        <w:t>veya</w:t>
      </w:r>
      <w:proofErr w:type="spellEnd"/>
      <w:r>
        <w:rPr>
          <w:color w:val="000000"/>
        </w:rPr>
        <w:t xml:space="preserve"> </w:t>
      </w:r>
      <w:proofErr w:type="spellStart"/>
      <w:r>
        <w:rPr>
          <w:color w:val="000000"/>
        </w:rPr>
        <w:t>eldivenler</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araçlarla</w:t>
      </w:r>
      <w:proofErr w:type="spellEnd"/>
      <w:r>
        <w:rPr>
          <w:color w:val="000000"/>
        </w:rPr>
        <w:t xml:space="preserve"> </w:t>
      </w:r>
      <w:proofErr w:type="spellStart"/>
      <w:r>
        <w:rPr>
          <w:color w:val="000000"/>
        </w:rPr>
        <w:t>kolayca</w:t>
      </w:r>
      <w:proofErr w:type="spellEnd"/>
      <w:r>
        <w:rPr>
          <w:color w:val="000000"/>
        </w:rPr>
        <w:t xml:space="preserve"> </w:t>
      </w:r>
      <w:proofErr w:type="spellStart"/>
      <w:r>
        <w:rPr>
          <w:color w:val="000000"/>
        </w:rPr>
        <w:t>gerçekleşmektedir</w:t>
      </w:r>
      <w:proofErr w:type="spellEnd"/>
      <w:r>
        <w:rPr>
          <w:color w:val="000000"/>
        </w:rPr>
        <w:t xml:space="preserve">. Bu </w:t>
      </w:r>
      <w:proofErr w:type="spellStart"/>
      <w:r>
        <w:rPr>
          <w:color w:val="000000"/>
        </w:rPr>
        <w:t>riskin</w:t>
      </w:r>
      <w:proofErr w:type="spellEnd"/>
      <w:r>
        <w:rPr>
          <w:color w:val="000000"/>
        </w:rPr>
        <w:t xml:space="preserve"> </w:t>
      </w:r>
      <w:proofErr w:type="spellStart"/>
      <w:r>
        <w:rPr>
          <w:color w:val="000000"/>
        </w:rPr>
        <w:t>önlenmesi</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mutfakta</w:t>
      </w:r>
      <w:proofErr w:type="spellEnd"/>
      <w:r>
        <w:rPr>
          <w:color w:val="000000"/>
        </w:rPr>
        <w:t xml:space="preserve"> </w:t>
      </w:r>
      <w:proofErr w:type="spellStart"/>
      <w:r>
        <w:rPr>
          <w:color w:val="000000"/>
        </w:rPr>
        <w:t>alerjensiz</w:t>
      </w:r>
      <w:proofErr w:type="spellEnd"/>
      <w:r>
        <w:rPr>
          <w:color w:val="000000"/>
        </w:rPr>
        <w:t xml:space="preserve"> </w:t>
      </w:r>
      <w:proofErr w:type="spellStart"/>
      <w:r>
        <w:rPr>
          <w:color w:val="000000"/>
        </w:rPr>
        <w:t>yemek</w:t>
      </w:r>
      <w:proofErr w:type="spellEnd"/>
      <w:r>
        <w:rPr>
          <w:color w:val="000000"/>
        </w:rPr>
        <w:t xml:space="preserve"> </w:t>
      </w:r>
      <w:proofErr w:type="spellStart"/>
      <w:r>
        <w:rPr>
          <w:color w:val="000000"/>
        </w:rPr>
        <w:t>hazırlığına</w:t>
      </w:r>
      <w:proofErr w:type="spellEnd"/>
      <w:r>
        <w:rPr>
          <w:color w:val="000000"/>
        </w:rPr>
        <w:t xml:space="preserve"> </w:t>
      </w:r>
      <w:proofErr w:type="spellStart"/>
      <w:r>
        <w:rPr>
          <w:color w:val="000000"/>
        </w:rPr>
        <w:t>yönelik</w:t>
      </w:r>
      <w:proofErr w:type="spellEnd"/>
      <w:r>
        <w:rPr>
          <w:color w:val="000000"/>
        </w:rPr>
        <w:t xml:space="preserve"> </w:t>
      </w:r>
      <w:proofErr w:type="spellStart"/>
      <w:r>
        <w:rPr>
          <w:color w:val="000000"/>
        </w:rPr>
        <w:t>özel</w:t>
      </w:r>
      <w:proofErr w:type="spellEnd"/>
      <w:r>
        <w:rPr>
          <w:color w:val="000000"/>
        </w:rPr>
        <w:t xml:space="preserve"> </w:t>
      </w:r>
      <w:proofErr w:type="spellStart"/>
      <w:r>
        <w:rPr>
          <w:color w:val="000000"/>
        </w:rPr>
        <w:t>alanlar</w:t>
      </w:r>
      <w:proofErr w:type="spellEnd"/>
      <w:r>
        <w:rPr>
          <w:color w:val="000000"/>
        </w:rPr>
        <w:t xml:space="preserve"> </w:t>
      </w:r>
      <w:proofErr w:type="spellStart"/>
      <w:r>
        <w:rPr>
          <w:color w:val="000000"/>
        </w:rPr>
        <w:t>tahsis</w:t>
      </w:r>
      <w:proofErr w:type="spellEnd"/>
      <w:r>
        <w:rPr>
          <w:color w:val="000000"/>
        </w:rPr>
        <w:t xml:space="preserve"> </w:t>
      </w:r>
      <w:proofErr w:type="spellStart"/>
      <w:r>
        <w:rPr>
          <w:color w:val="000000"/>
        </w:rPr>
        <w:t>edilmektedir</w:t>
      </w:r>
      <w:proofErr w:type="spellEnd"/>
      <w:r>
        <w:rPr>
          <w:color w:val="000000"/>
        </w:rPr>
        <w:t xml:space="preserve">. </w:t>
      </w:r>
      <w:proofErr w:type="spellStart"/>
      <w:r>
        <w:rPr>
          <w:color w:val="000000"/>
        </w:rPr>
        <w:t>Ayrıca</w:t>
      </w:r>
      <w:proofErr w:type="spellEnd"/>
      <w:r>
        <w:rPr>
          <w:color w:val="000000"/>
        </w:rPr>
        <w:t xml:space="preserve"> </w:t>
      </w:r>
      <w:proofErr w:type="spellStart"/>
      <w:r>
        <w:rPr>
          <w:color w:val="000000"/>
        </w:rPr>
        <w:t>alerjenik</w:t>
      </w:r>
      <w:proofErr w:type="spellEnd"/>
      <w:r>
        <w:rPr>
          <w:color w:val="000000"/>
        </w:rPr>
        <w:t xml:space="preserve"> </w:t>
      </w:r>
      <w:proofErr w:type="spellStart"/>
      <w:r>
        <w:rPr>
          <w:color w:val="000000"/>
        </w:rPr>
        <w:t>bileşenlerin</w:t>
      </w:r>
      <w:proofErr w:type="spellEnd"/>
      <w:r>
        <w:rPr>
          <w:color w:val="000000"/>
        </w:rPr>
        <w:t xml:space="preserve"> </w:t>
      </w:r>
      <w:proofErr w:type="spellStart"/>
      <w:r>
        <w:rPr>
          <w:color w:val="000000"/>
        </w:rPr>
        <w:t>depolanması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kullanımı</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renk</w:t>
      </w:r>
      <w:proofErr w:type="spellEnd"/>
      <w:r>
        <w:rPr>
          <w:color w:val="000000"/>
        </w:rPr>
        <w:t xml:space="preserve"> </w:t>
      </w:r>
      <w:proofErr w:type="spellStart"/>
      <w:r>
        <w:rPr>
          <w:color w:val="000000"/>
        </w:rPr>
        <w:t>kodlu</w:t>
      </w:r>
      <w:proofErr w:type="spellEnd"/>
      <w:r>
        <w:rPr>
          <w:color w:val="000000"/>
        </w:rPr>
        <w:t xml:space="preserve"> </w:t>
      </w:r>
      <w:proofErr w:type="spellStart"/>
      <w:r>
        <w:rPr>
          <w:color w:val="000000"/>
        </w:rPr>
        <w:t>ekipmanlar</w:t>
      </w:r>
      <w:proofErr w:type="spellEnd"/>
      <w:r>
        <w:rPr>
          <w:color w:val="000000"/>
        </w:rPr>
        <w:t xml:space="preserve">, </w:t>
      </w:r>
      <w:proofErr w:type="spellStart"/>
      <w:r>
        <w:rPr>
          <w:color w:val="000000"/>
        </w:rPr>
        <w:t>belirli</w:t>
      </w:r>
      <w:proofErr w:type="spellEnd"/>
      <w:r>
        <w:rPr>
          <w:color w:val="000000"/>
        </w:rPr>
        <w:t xml:space="preserve"> </w:t>
      </w:r>
      <w:proofErr w:type="spellStart"/>
      <w:r>
        <w:rPr>
          <w:color w:val="000000"/>
        </w:rPr>
        <w:t>yiyecekler</w:t>
      </w:r>
      <w:proofErr w:type="spellEnd"/>
      <w:r>
        <w:rPr>
          <w:color w:val="000000"/>
        </w:rPr>
        <w:t xml:space="preserve"> </w:t>
      </w:r>
      <w:proofErr w:type="spellStart"/>
      <w:r>
        <w:rPr>
          <w:color w:val="000000"/>
        </w:rPr>
        <w:t>için</w:t>
      </w:r>
      <w:proofErr w:type="spellEnd"/>
      <w:r>
        <w:rPr>
          <w:color w:val="000000"/>
        </w:rPr>
        <w:t xml:space="preserve"> </w:t>
      </w:r>
      <w:proofErr w:type="spellStart"/>
      <w:r>
        <w:rPr>
          <w:color w:val="000000"/>
        </w:rPr>
        <w:t>özel</w:t>
      </w:r>
      <w:proofErr w:type="spellEnd"/>
      <w:r>
        <w:rPr>
          <w:color w:val="000000"/>
        </w:rPr>
        <w:t xml:space="preserve"> </w:t>
      </w:r>
      <w:proofErr w:type="spellStart"/>
      <w:r>
        <w:rPr>
          <w:color w:val="000000"/>
        </w:rPr>
        <w:t>fritözler</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araçların</w:t>
      </w:r>
      <w:proofErr w:type="spellEnd"/>
      <w:r>
        <w:rPr>
          <w:color w:val="000000"/>
        </w:rPr>
        <w:t xml:space="preserve"> </w:t>
      </w:r>
      <w:proofErr w:type="spellStart"/>
      <w:r>
        <w:rPr>
          <w:color w:val="000000"/>
        </w:rPr>
        <w:t>kullanımı</w:t>
      </w:r>
      <w:proofErr w:type="spellEnd"/>
      <w:r>
        <w:rPr>
          <w:color w:val="000000"/>
        </w:rPr>
        <w:t xml:space="preserve">, </w:t>
      </w:r>
      <w:proofErr w:type="spellStart"/>
      <w:r>
        <w:rPr>
          <w:color w:val="000000"/>
        </w:rPr>
        <w:t>çapraz</w:t>
      </w:r>
      <w:proofErr w:type="spellEnd"/>
      <w:r>
        <w:rPr>
          <w:color w:val="000000"/>
        </w:rPr>
        <w:t xml:space="preserve"> </w:t>
      </w:r>
      <w:proofErr w:type="spellStart"/>
      <w:r>
        <w:rPr>
          <w:color w:val="000000"/>
        </w:rPr>
        <w:t>temas</w:t>
      </w:r>
      <w:proofErr w:type="spellEnd"/>
      <w:r>
        <w:rPr>
          <w:color w:val="000000"/>
        </w:rPr>
        <w:t xml:space="preserve"> </w:t>
      </w:r>
      <w:proofErr w:type="spellStart"/>
      <w:r>
        <w:rPr>
          <w:color w:val="000000"/>
        </w:rPr>
        <w:t>riskini</w:t>
      </w:r>
      <w:proofErr w:type="spellEnd"/>
      <w:r>
        <w:rPr>
          <w:color w:val="000000"/>
        </w:rPr>
        <w:t xml:space="preserve"> </w:t>
      </w:r>
      <w:proofErr w:type="spellStart"/>
      <w:r>
        <w:rPr>
          <w:color w:val="000000"/>
        </w:rPr>
        <w:t>en</w:t>
      </w:r>
      <w:proofErr w:type="spellEnd"/>
      <w:r>
        <w:rPr>
          <w:color w:val="000000"/>
        </w:rPr>
        <w:t xml:space="preserve"> </w:t>
      </w:r>
      <w:proofErr w:type="spellStart"/>
      <w:r>
        <w:rPr>
          <w:color w:val="000000"/>
        </w:rPr>
        <w:t>aza</w:t>
      </w:r>
      <w:proofErr w:type="spellEnd"/>
      <w:r>
        <w:rPr>
          <w:color w:val="000000"/>
        </w:rPr>
        <w:t xml:space="preserve"> </w:t>
      </w:r>
      <w:proofErr w:type="spellStart"/>
      <w:r>
        <w:rPr>
          <w:color w:val="000000"/>
        </w:rPr>
        <w:t>indirmede</w:t>
      </w:r>
      <w:proofErr w:type="spellEnd"/>
      <w:r>
        <w:rPr>
          <w:color w:val="000000"/>
        </w:rPr>
        <w:t xml:space="preserve"> </w:t>
      </w:r>
      <w:proofErr w:type="spellStart"/>
      <w:r>
        <w:rPr>
          <w:color w:val="000000"/>
        </w:rPr>
        <w:t>etkili</w:t>
      </w:r>
      <w:proofErr w:type="spellEnd"/>
      <w:r>
        <w:rPr>
          <w:color w:val="000000"/>
        </w:rPr>
        <w:t xml:space="preserve"> </w:t>
      </w:r>
      <w:proofErr w:type="spellStart"/>
      <w:r>
        <w:rPr>
          <w:color w:val="000000"/>
        </w:rPr>
        <w:t>olmaktadır</w:t>
      </w:r>
      <w:proofErr w:type="spellEnd"/>
      <w:r>
        <w:rPr>
          <w:color w:val="000000"/>
        </w:rPr>
        <w:t xml:space="preserve">. Bir </w:t>
      </w:r>
      <w:proofErr w:type="spellStart"/>
      <w:r>
        <w:rPr>
          <w:color w:val="000000"/>
        </w:rPr>
        <w:t>diğer</w:t>
      </w:r>
      <w:proofErr w:type="spellEnd"/>
      <w:r>
        <w:rPr>
          <w:color w:val="000000"/>
        </w:rPr>
        <w:t xml:space="preserve"> </w:t>
      </w:r>
      <w:proofErr w:type="spellStart"/>
      <w:r>
        <w:rPr>
          <w:color w:val="000000"/>
        </w:rPr>
        <w:t>önemli</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konusu</w:t>
      </w:r>
      <w:proofErr w:type="spellEnd"/>
      <w:r>
        <w:rPr>
          <w:color w:val="000000"/>
        </w:rPr>
        <w:t xml:space="preserve"> da </w:t>
      </w:r>
      <w:proofErr w:type="spellStart"/>
      <w:r>
        <w:rPr>
          <w:color w:val="000000"/>
        </w:rPr>
        <w:t>gıda</w:t>
      </w:r>
      <w:proofErr w:type="spellEnd"/>
      <w:r>
        <w:rPr>
          <w:color w:val="000000"/>
        </w:rPr>
        <w:t xml:space="preserve"> </w:t>
      </w:r>
      <w:proofErr w:type="spellStart"/>
      <w:r>
        <w:rPr>
          <w:color w:val="000000"/>
        </w:rPr>
        <w:t>güvenliği</w:t>
      </w:r>
      <w:proofErr w:type="spellEnd"/>
      <w:r>
        <w:rPr>
          <w:color w:val="000000"/>
        </w:rPr>
        <w:t xml:space="preserve"> </w:t>
      </w:r>
      <w:proofErr w:type="spellStart"/>
      <w:r>
        <w:rPr>
          <w:color w:val="000000"/>
        </w:rPr>
        <w:t>standartlarıyla</w:t>
      </w:r>
      <w:proofErr w:type="spellEnd"/>
      <w:r>
        <w:rPr>
          <w:color w:val="000000"/>
        </w:rPr>
        <w:t xml:space="preserve"> </w:t>
      </w:r>
      <w:proofErr w:type="spellStart"/>
      <w:r>
        <w:rPr>
          <w:color w:val="000000"/>
        </w:rPr>
        <w:t>uyumlu</w:t>
      </w:r>
      <w:proofErr w:type="spellEnd"/>
      <w:r>
        <w:rPr>
          <w:color w:val="000000"/>
        </w:rPr>
        <w:t xml:space="preserve"> </w:t>
      </w:r>
      <w:proofErr w:type="spellStart"/>
      <w:r>
        <w:rPr>
          <w:color w:val="000000"/>
        </w:rPr>
        <w:t>temizlik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dezenfeksiyon</w:t>
      </w:r>
      <w:proofErr w:type="spellEnd"/>
      <w:r>
        <w:rPr>
          <w:color w:val="000000"/>
        </w:rPr>
        <w:t xml:space="preserve"> </w:t>
      </w:r>
      <w:proofErr w:type="spellStart"/>
      <w:r>
        <w:rPr>
          <w:color w:val="000000"/>
        </w:rPr>
        <w:t>uygulamalarıdır</w:t>
      </w:r>
      <w:proofErr w:type="spellEnd"/>
      <w:r>
        <w:rPr>
          <w:color w:val="000000"/>
        </w:rPr>
        <w:t xml:space="preserve">. </w:t>
      </w:r>
      <w:proofErr w:type="spellStart"/>
      <w:r>
        <w:rPr>
          <w:color w:val="000000"/>
        </w:rPr>
        <w:t>Personel</w:t>
      </w:r>
      <w:proofErr w:type="spellEnd"/>
      <w:r>
        <w:rPr>
          <w:color w:val="000000"/>
        </w:rPr>
        <w:t xml:space="preserve">, </w:t>
      </w:r>
      <w:proofErr w:type="spellStart"/>
      <w:r>
        <w:rPr>
          <w:color w:val="000000"/>
        </w:rPr>
        <w:t>alerjenik</w:t>
      </w:r>
      <w:proofErr w:type="spellEnd"/>
      <w:r>
        <w:rPr>
          <w:color w:val="000000"/>
        </w:rPr>
        <w:t xml:space="preserve"> </w:t>
      </w:r>
      <w:proofErr w:type="spellStart"/>
      <w:r>
        <w:rPr>
          <w:color w:val="000000"/>
        </w:rPr>
        <w:t>maddelerle</w:t>
      </w:r>
      <w:proofErr w:type="spellEnd"/>
      <w:r>
        <w:rPr>
          <w:color w:val="000000"/>
        </w:rPr>
        <w:t xml:space="preserve"> </w:t>
      </w:r>
      <w:proofErr w:type="spellStart"/>
      <w:r>
        <w:rPr>
          <w:color w:val="000000"/>
        </w:rPr>
        <w:t>temastan</w:t>
      </w:r>
      <w:proofErr w:type="spellEnd"/>
      <w:r>
        <w:rPr>
          <w:color w:val="000000"/>
        </w:rPr>
        <w:t xml:space="preserve"> </w:t>
      </w:r>
      <w:proofErr w:type="spellStart"/>
      <w:r>
        <w:rPr>
          <w:color w:val="000000"/>
        </w:rPr>
        <w:t>sonra</w:t>
      </w:r>
      <w:proofErr w:type="spellEnd"/>
      <w:r>
        <w:rPr>
          <w:color w:val="000000"/>
        </w:rPr>
        <w:t xml:space="preserve"> </w:t>
      </w:r>
      <w:proofErr w:type="spellStart"/>
      <w:r>
        <w:rPr>
          <w:color w:val="000000"/>
        </w:rPr>
        <w:t>eldiven</w:t>
      </w:r>
      <w:proofErr w:type="spellEnd"/>
      <w:r>
        <w:rPr>
          <w:color w:val="000000"/>
        </w:rPr>
        <w:t xml:space="preserve"> </w:t>
      </w:r>
      <w:proofErr w:type="spellStart"/>
      <w:r>
        <w:rPr>
          <w:color w:val="000000"/>
        </w:rPr>
        <w:t>değiştirme</w:t>
      </w:r>
      <w:proofErr w:type="spellEnd"/>
      <w:r>
        <w:rPr>
          <w:color w:val="000000"/>
        </w:rPr>
        <w:t xml:space="preserve"> </w:t>
      </w:r>
      <w:proofErr w:type="spellStart"/>
      <w:r>
        <w:rPr>
          <w:color w:val="000000"/>
        </w:rPr>
        <w:t>veya</w:t>
      </w:r>
      <w:proofErr w:type="spellEnd"/>
      <w:r>
        <w:rPr>
          <w:color w:val="000000"/>
        </w:rPr>
        <w:t xml:space="preserve"> </w:t>
      </w:r>
      <w:proofErr w:type="spellStart"/>
      <w:r>
        <w:rPr>
          <w:color w:val="000000"/>
        </w:rPr>
        <w:t>sıvı</w:t>
      </w:r>
      <w:proofErr w:type="spellEnd"/>
      <w:r>
        <w:rPr>
          <w:color w:val="000000"/>
        </w:rPr>
        <w:t xml:space="preserve"> </w:t>
      </w:r>
      <w:proofErr w:type="spellStart"/>
      <w:r>
        <w:rPr>
          <w:color w:val="000000"/>
        </w:rPr>
        <w:t>sabun</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etkili</w:t>
      </w:r>
      <w:proofErr w:type="spellEnd"/>
      <w:r>
        <w:rPr>
          <w:color w:val="000000"/>
        </w:rPr>
        <w:t xml:space="preserve"> </w:t>
      </w:r>
      <w:proofErr w:type="spellStart"/>
      <w:r>
        <w:rPr>
          <w:color w:val="000000"/>
        </w:rPr>
        <w:t>yöntemlerle</w:t>
      </w:r>
      <w:proofErr w:type="spellEnd"/>
      <w:r>
        <w:rPr>
          <w:color w:val="000000"/>
        </w:rPr>
        <w:t xml:space="preserve"> </w:t>
      </w:r>
      <w:proofErr w:type="spellStart"/>
      <w:r>
        <w:rPr>
          <w:color w:val="000000"/>
        </w:rPr>
        <w:t>el</w:t>
      </w:r>
      <w:proofErr w:type="spellEnd"/>
      <w:r>
        <w:rPr>
          <w:color w:val="000000"/>
        </w:rPr>
        <w:t xml:space="preserve"> </w:t>
      </w:r>
      <w:proofErr w:type="spellStart"/>
      <w:r>
        <w:rPr>
          <w:color w:val="000000"/>
        </w:rPr>
        <w:t>temizliği</w:t>
      </w:r>
      <w:proofErr w:type="spellEnd"/>
      <w:r>
        <w:rPr>
          <w:color w:val="000000"/>
        </w:rPr>
        <w:t xml:space="preserve"> </w:t>
      </w:r>
      <w:proofErr w:type="spellStart"/>
      <w:r>
        <w:rPr>
          <w:color w:val="000000"/>
        </w:rPr>
        <w:t>yapma</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bilgilendirilmelidir</w:t>
      </w:r>
      <w:proofErr w:type="spellEnd"/>
      <w:r>
        <w:rPr>
          <w:color w:val="000000"/>
        </w:rPr>
        <w:t xml:space="preserve">. Yalnızca </w:t>
      </w:r>
      <w:proofErr w:type="spellStart"/>
      <w:r>
        <w:rPr>
          <w:color w:val="000000"/>
        </w:rPr>
        <w:t>su</w:t>
      </w:r>
      <w:proofErr w:type="spellEnd"/>
      <w:r>
        <w:rPr>
          <w:color w:val="000000"/>
        </w:rPr>
        <w:t xml:space="preserve"> </w:t>
      </w:r>
      <w:proofErr w:type="spellStart"/>
      <w:r>
        <w:rPr>
          <w:color w:val="000000"/>
        </w:rPr>
        <w:t>ya</w:t>
      </w:r>
      <w:proofErr w:type="spellEnd"/>
      <w:r>
        <w:rPr>
          <w:color w:val="000000"/>
        </w:rPr>
        <w:t xml:space="preserve"> da </w:t>
      </w:r>
      <w:proofErr w:type="spellStart"/>
      <w:r>
        <w:rPr>
          <w:color w:val="000000"/>
        </w:rPr>
        <w:t>antibakteriyel</w:t>
      </w:r>
      <w:proofErr w:type="spellEnd"/>
      <w:r>
        <w:rPr>
          <w:color w:val="000000"/>
        </w:rPr>
        <w:t xml:space="preserve"> </w:t>
      </w:r>
      <w:proofErr w:type="spellStart"/>
      <w:r>
        <w:rPr>
          <w:color w:val="000000"/>
        </w:rPr>
        <w:t>el</w:t>
      </w:r>
      <w:proofErr w:type="spellEnd"/>
      <w:r>
        <w:rPr>
          <w:color w:val="000000"/>
        </w:rPr>
        <w:t xml:space="preserve"> </w:t>
      </w:r>
      <w:proofErr w:type="spellStart"/>
      <w:r>
        <w:rPr>
          <w:color w:val="000000"/>
        </w:rPr>
        <w:t>dezenfektanlarının</w:t>
      </w:r>
      <w:proofErr w:type="spellEnd"/>
      <w:r>
        <w:rPr>
          <w:color w:val="000000"/>
        </w:rPr>
        <w:t xml:space="preserve"> </w:t>
      </w:r>
      <w:proofErr w:type="spellStart"/>
      <w:r>
        <w:rPr>
          <w:color w:val="000000"/>
        </w:rPr>
        <w:t>alerjenleri</w:t>
      </w:r>
      <w:proofErr w:type="spellEnd"/>
      <w:r>
        <w:rPr>
          <w:color w:val="000000"/>
        </w:rPr>
        <w:t xml:space="preserve"> </w:t>
      </w:r>
      <w:proofErr w:type="spellStart"/>
      <w:r>
        <w:rPr>
          <w:color w:val="000000"/>
        </w:rPr>
        <w:t>uzaklaştırmada</w:t>
      </w:r>
      <w:proofErr w:type="spellEnd"/>
      <w:r>
        <w:rPr>
          <w:color w:val="000000"/>
        </w:rPr>
        <w:t xml:space="preserve"> </w:t>
      </w:r>
      <w:proofErr w:type="spellStart"/>
      <w:r>
        <w:rPr>
          <w:color w:val="000000"/>
        </w:rPr>
        <w:t>yeterli</w:t>
      </w:r>
      <w:proofErr w:type="spellEnd"/>
      <w:r>
        <w:rPr>
          <w:color w:val="000000"/>
        </w:rPr>
        <w:t xml:space="preserve"> </w:t>
      </w:r>
      <w:proofErr w:type="spellStart"/>
      <w:r>
        <w:rPr>
          <w:color w:val="000000"/>
        </w:rPr>
        <w:t>olmadığı</w:t>
      </w:r>
      <w:proofErr w:type="spellEnd"/>
      <w:r>
        <w:rPr>
          <w:color w:val="000000"/>
        </w:rPr>
        <w:t xml:space="preserve"> </w:t>
      </w:r>
      <w:proofErr w:type="spellStart"/>
      <w:r>
        <w:rPr>
          <w:color w:val="000000"/>
        </w:rPr>
        <w:t>vurgulanmalıdır</w:t>
      </w:r>
      <w:proofErr w:type="spellEnd"/>
      <w:r>
        <w:rPr>
          <w:color w:val="000000"/>
        </w:rPr>
        <w:t xml:space="preserve">. Bu </w:t>
      </w:r>
      <w:proofErr w:type="spellStart"/>
      <w:r>
        <w:rPr>
          <w:color w:val="000000"/>
        </w:rPr>
        <w:t>tür</w:t>
      </w:r>
      <w:proofErr w:type="spellEnd"/>
      <w:r>
        <w:rPr>
          <w:color w:val="000000"/>
        </w:rPr>
        <w:t xml:space="preserve"> </w:t>
      </w:r>
      <w:proofErr w:type="spellStart"/>
      <w:r>
        <w:rPr>
          <w:color w:val="000000"/>
        </w:rPr>
        <w:t>kapsamlı</w:t>
      </w:r>
      <w:proofErr w:type="spellEnd"/>
      <w:r>
        <w:rPr>
          <w:color w:val="000000"/>
        </w:rPr>
        <w:t xml:space="preserve"> </w:t>
      </w:r>
      <w:proofErr w:type="spellStart"/>
      <w:r>
        <w:rPr>
          <w:color w:val="000000"/>
        </w:rPr>
        <w:t>eğitim</w:t>
      </w:r>
      <w:proofErr w:type="spellEnd"/>
      <w:r>
        <w:rPr>
          <w:color w:val="000000"/>
        </w:rPr>
        <w:t xml:space="preserve"> </w:t>
      </w:r>
      <w:proofErr w:type="spellStart"/>
      <w:r>
        <w:rPr>
          <w:color w:val="000000"/>
        </w:rPr>
        <w:t>programları</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personelinin</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konusunda</w:t>
      </w:r>
      <w:proofErr w:type="spellEnd"/>
      <w:r>
        <w:rPr>
          <w:color w:val="000000"/>
        </w:rPr>
        <w:t xml:space="preserve"> </w:t>
      </w:r>
      <w:proofErr w:type="spellStart"/>
      <w:r>
        <w:rPr>
          <w:color w:val="000000"/>
        </w:rPr>
        <w:t>bilinçli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hazırlıklı</w:t>
      </w:r>
      <w:proofErr w:type="spellEnd"/>
      <w:r>
        <w:rPr>
          <w:color w:val="000000"/>
        </w:rPr>
        <w:t xml:space="preserve"> </w:t>
      </w:r>
      <w:proofErr w:type="spellStart"/>
      <w:r>
        <w:rPr>
          <w:color w:val="000000"/>
        </w:rPr>
        <w:t>olmasını</w:t>
      </w:r>
      <w:proofErr w:type="spellEnd"/>
      <w:r>
        <w:rPr>
          <w:color w:val="000000"/>
        </w:rPr>
        <w:t xml:space="preserve"> </w:t>
      </w:r>
      <w:proofErr w:type="spellStart"/>
      <w:r>
        <w:rPr>
          <w:color w:val="000000"/>
        </w:rPr>
        <w:t>sağlayarak</w:t>
      </w:r>
      <w:proofErr w:type="spellEnd"/>
      <w:r>
        <w:rPr>
          <w:color w:val="000000"/>
        </w:rPr>
        <w:t xml:space="preserve"> </w:t>
      </w:r>
      <w:proofErr w:type="spellStart"/>
      <w:r>
        <w:rPr>
          <w:color w:val="000000"/>
        </w:rPr>
        <w:t>alerjik</w:t>
      </w:r>
      <w:proofErr w:type="spellEnd"/>
      <w:r>
        <w:rPr>
          <w:color w:val="000000"/>
        </w:rPr>
        <w:t xml:space="preserve"> </w:t>
      </w:r>
      <w:proofErr w:type="spellStart"/>
      <w:r>
        <w:rPr>
          <w:color w:val="000000"/>
        </w:rPr>
        <w:t>reaksiyon</w:t>
      </w:r>
      <w:proofErr w:type="spellEnd"/>
      <w:r>
        <w:rPr>
          <w:color w:val="000000"/>
        </w:rPr>
        <w:t xml:space="preserve"> </w:t>
      </w:r>
      <w:proofErr w:type="spellStart"/>
      <w:r>
        <w:rPr>
          <w:color w:val="000000"/>
        </w:rPr>
        <w:t>riskini</w:t>
      </w:r>
      <w:proofErr w:type="spellEnd"/>
      <w:r>
        <w:rPr>
          <w:color w:val="000000"/>
        </w:rPr>
        <w:t xml:space="preserve"> </w:t>
      </w:r>
      <w:proofErr w:type="spellStart"/>
      <w:r>
        <w:rPr>
          <w:color w:val="000000"/>
        </w:rPr>
        <w:t>önemli</w:t>
      </w:r>
      <w:proofErr w:type="spellEnd"/>
      <w:r>
        <w:rPr>
          <w:color w:val="000000"/>
        </w:rPr>
        <w:t xml:space="preserve"> </w:t>
      </w:r>
      <w:proofErr w:type="spellStart"/>
      <w:r>
        <w:rPr>
          <w:color w:val="000000"/>
        </w:rPr>
        <w:t>ölçüde</w:t>
      </w:r>
      <w:proofErr w:type="spellEnd"/>
      <w:r>
        <w:rPr>
          <w:color w:val="000000"/>
        </w:rPr>
        <w:t xml:space="preserve"> </w:t>
      </w:r>
      <w:proofErr w:type="spellStart"/>
      <w:r>
        <w:rPr>
          <w:color w:val="000000"/>
        </w:rPr>
        <w:t>azaltmaktadır</w:t>
      </w:r>
      <w:proofErr w:type="spellEnd"/>
      <w:r>
        <w:rPr>
          <w:color w:val="000000"/>
        </w:rPr>
        <w:t xml:space="preserve"> (Carter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xml:space="preserve">, 2020).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bireylerin</w:t>
      </w:r>
      <w:proofErr w:type="spellEnd"/>
      <w:r>
        <w:rPr>
          <w:color w:val="000000"/>
        </w:rPr>
        <w:t xml:space="preserve">, </w:t>
      </w:r>
      <w:proofErr w:type="spellStart"/>
      <w:r>
        <w:rPr>
          <w:color w:val="000000"/>
        </w:rPr>
        <w:t>taleplerinin</w:t>
      </w:r>
      <w:proofErr w:type="spellEnd"/>
      <w:r>
        <w:rPr>
          <w:color w:val="000000"/>
        </w:rPr>
        <w:t xml:space="preserve"> </w:t>
      </w:r>
      <w:proofErr w:type="spellStart"/>
      <w:r>
        <w:rPr>
          <w:color w:val="000000"/>
        </w:rPr>
        <w:t>doğru</w:t>
      </w:r>
      <w:proofErr w:type="spellEnd"/>
      <w:r>
        <w:rPr>
          <w:color w:val="000000"/>
        </w:rPr>
        <w:t xml:space="preserve"> </w:t>
      </w:r>
      <w:proofErr w:type="spellStart"/>
      <w:r>
        <w:rPr>
          <w:color w:val="000000"/>
        </w:rPr>
        <w:t>anlaşıldığından</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yeterince</w:t>
      </w:r>
      <w:proofErr w:type="spellEnd"/>
      <w:r>
        <w:rPr>
          <w:color w:val="000000"/>
        </w:rPr>
        <w:t xml:space="preserve"> </w:t>
      </w:r>
      <w:proofErr w:type="spellStart"/>
      <w:r>
        <w:rPr>
          <w:color w:val="000000"/>
        </w:rPr>
        <w:t>dikkate</w:t>
      </w:r>
      <w:proofErr w:type="spellEnd"/>
      <w:r>
        <w:rPr>
          <w:color w:val="000000"/>
        </w:rPr>
        <w:t xml:space="preserve"> </w:t>
      </w:r>
      <w:proofErr w:type="spellStart"/>
      <w:r>
        <w:rPr>
          <w:color w:val="000000"/>
        </w:rPr>
        <w:t>alındığından</w:t>
      </w:r>
      <w:proofErr w:type="spellEnd"/>
      <w:r>
        <w:rPr>
          <w:color w:val="000000"/>
        </w:rPr>
        <w:t xml:space="preserve"> </w:t>
      </w:r>
      <w:proofErr w:type="spellStart"/>
      <w:r>
        <w:rPr>
          <w:color w:val="000000"/>
        </w:rPr>
        <w:t>emin</w:t>
      </w:r>
      <w:proofErr w:type="spellEnd"/>
      <w:r>
        <w:rPr>
          <w:color w:val="000000"/>
        </w:rPr>
        <w:t xml:space="preserve"> </w:t>
      </w:r>
      <w:proofErr w:type="spellStart"/>
      <w:r>
        <w:rPr>
          <w:color w:val="000000"/>
        </w:rPr>
        <w:t>olmalarını</w:t>
      </w:r>
      <w:proofErr w:type="spellEnd"/>
      <w:r>
        <w:rPr>
          <w:color w:val="000000"/>
        </w:rPr>
        <w:t xml:space="preserve"> </w:t>
      </w:r>
      <w:proofErr w:type="spellStart"/>
      <w:r>
        <w:rPr>
          <w:color w:val="000000"/>
        </w:rPr>
        <w:t>sağlayacak</w:t>
      </w:r>
      <w:proofErr w:type="spellEnd"/>
      <w:r>
        <w:rPr>
          <w:color w:val="000000"/>
        </w:rPr>
        <w:t xml:space="preserve"> </w:t>
      </w:r>
      <w:proofErr w:type="spellStart"/>
      <w:r>
        <w:rPr>
          <w:color w:val="000000"/>
        </w:rPr>
        <w:t>stratejilerle</w:t>
      </w:r>
      <w:proofErr w:type="spellEnd"/>
      <w:r>
        <w:rPr>
          <w:color w:val="000000"/>
        </w:rPr>
        <w:t xml:space="preserve"> </w:t>
      </w:r>
      <w:proofErr w:type="spellStart"/>
      <w:r>
        <w:rPr>
          <w:color w:val="000000"/>
        </w:rPr>
        <w:t>desteklenmelidir</w:t>
      </w:r>
      <w:proofErr w:type="spellEnd"/>
      <w:r>
        <w:rPr>
          <w:color w:val="000000"/>
        </w:rPr>
        <w:t xml:space="preserve">. </w:t>
      </w:r>
      <w:proofErr w:type="spellStart"/>
      <w:r>
        <w:rPr>
          <w:color w:val="000000"/>
        </w:rPr>
        <w:t>Gıda</w:t>
      </w:r>
      <w:proofErr w:type="spellEnd"/>
      <w:r>
        <w:rPr>
          <w:color w:val="000000"/>
        </w:rPr>
        <w:t xml:space="preserve"> </w:t>
      </w:r>
      <w:proofErr w:type="spellStart"/>
      <w:r>
        <w:rPr>
          <w:color w:val="000000"/>
        </w:rPr>
        <w:t>alerjisi</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müşterilerin</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menülerinde</w:t>
      </w:r>
      <w:proofErr w:type="spellEnd"/>
      <w:r>
        <w:rPr>
          <w:color w:val="000000"/>
        </w:rPr>
        <w:t xml:space="preserve"> </w:t>
      </w:r>
      <w:proofErr w:type="spellStart"/>
      <w:r>
        <w:rPr>
          <w:color w:val="000000"/>
        </w:rPr>
        <w:t>yaygın</w:t>
      </w:r>
      <w:proofErr w:type="spellEnd"/>
      <w:r>
        <w:rPr>
          <w:color w:val="000000"/>
        </w:rPr>
        <w:t xml:space="preserve"> </w:t>
      </w:r>
      <w:proofErr w:type="spellStart"/>
      <w:r>
        <w:rPr>
          <w:color w:val="000000"/>
        </w:rPr>
        <w:t>alerjenlerin</w:t>
      </w:r>
      <w:proofErr w:type="spellEnd"/>
      <w:r>
        <w:rPr>
          <w:color w:val="000000"/>
        </w:rPr>
        <w:t xml:space="preserve"> her zaman </w:t>
      </w:r>
      <w:proofErr w:type="spellStart"/>
      <w:r>
        <w:rPr>
          <w:color w:val="000000"/>
        </w:rPr>
        <w:t>belirtilmediğinin</w:t>
      </w:r>
      <w:proofErr w:type="spellEnd"/>
      <w:r>
        <w:rPr>
          <w:color w:val="000000"/>
        </w:rPr>
        <w:t xml:space="preserve"> </w:t>
      </w:r>
      <w:proofErr w:type="spellStart"/>
      <w:r>
        <w:rPr>
          <w:color w:val="000000"/>
        </w:rPr>
        <w:t>bilincinde</w:t>
      </w:r>
      <w:proofErr w:type="spellEnd"/>
      <w:r>
        <w:rPr>
          <w:color w:val="000000"/>
        </w:rPr>
        <w:t xml:space="preserve"> </w:t>
      </w:r>
      <w:proofErr w:type="spellStart"/>
      <w:r>
        <w:rPr>
          <w:color w:val="000000"/>
        </w:rPr>
        <w:t>olmaları</w:t>
      </w:r>
      <w:proofErr w:type="spellEnd"/>
      <w:r>
        <w:rPr>
          <w:color w:val="000000"/>
        </w:rPr>
        <w:t xml:space="preserve"> </w:t>
      </w:r>
      <w:proofErr w:type="spellStart"/>
      <w:r>
        <w:rPr>
          <w:color w:val="000000"/>
        </w:rPr>
        <w:t>gerekmektedir</w:t>
      </w:r>
      <w:proofErr w:type="spellEnd"/>
      <w:r>
        <w:rPr>
          <w:color w:val="000000"/>
        </w:rPr>
        <w:t xml:space="preserve"> (</w:t>
      </w:r>
      <w:proofErr w:type="spellStart"/>
      <w:r>
        <w:rPr>
          <w:color w:val="000000"/>
        </w:rPr>
        <w:t>Loerbroks</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diğerleri</w:t>
      </w:r>
      <w:proofErr w:type="spellEnd"/>
      <w:r>
        <w:rPr>
          <w:color w:val="000000"/>
        </w:rPr>
        <w:t>, 2019).</w:t>
      </w:r>
    </w:p>
    <w:p w14:paraId="60848036" w14:textId="77777777" w:rsidR="001E7189" w:rsidRDefault="001E7189" w:rsidP="007513A1">
      <w:pPr>
        <w:pStyle w:val="ResimYazs"/>
        <w:spacing w:after="0"/>
        <w:jc w:val="center"/>
        <w:rPr>
          <w:rFonts w:ascii="Times New Roman" w:hAnsi="Times New Roman" w:cs="Times New Roman"/>
          <w:color w:val="auto"/>
          <w:sz w:val="20"/>
          <w:szCs w:val="20"/>
        </w:rPr>
      </w:pPr>
      <w:r>
        <w:rPr>
          <w:rFonts w:ascii="Times New Roman" w:hAnsi="Times New Roman" w:cs="Times New Roman"/>
          <w:b/>
          <w:bCs/>
          <w:color w:val="auto"/>
          <w:sz w:val="20"/>
          <w:szCs w:val="20"/>
        </w:rPr>
        <w:t>Tablo 2</w:t>
      </w:r>
      <w:r>
        <w:rPr>
          <w:rFonts w:ascii="Times New Roman" w:hAnsi="Times New Roman" w:cs="Times New Roman"/>
          <w:color w:val="auto"/>
          <w:sz w:val="20"/>
          <w:szCs w:val="20"/>
        </w:rPr>
        <w:t xml:space="preserve">: </w:t>
      </w:r>
      <w:r>
        <w:rPr>
          <w:rFonts w:ascii="Times New Roman" w:eastAsia="SimSun" w:hAnsi="Times New Roman" w:cs="Times New Roman"/>
          <w:color w:val="auto"/>
          <w:sz w:val="20"/>
          <w:szCs w:val="20"/>
        </w:rPr>
        <w:t>Çalışanlar İçin Alerjen ve Servis Bilgilendirme Tablosu</w:t>
      </w:r>
    </w:p>
    <w:tbl>
      <w:tblPr>
        <w:tblStyle w:val="Style11"/>
        <w:tblpPr w:leftFromText="180" w:rightFromText="180" w:vertAnchor="text" w:horzAnchor="page" w:tblpX="1223" w:tblpY="590"/>
        <w:tblOverlap w:val="never"/>
        <w:tblW w:w="100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950"/>
        <w:gridCol w:w="2430"/>
        <w:gridCol w:w="1800"/>
        <w:gridCol w:w="2025"/>
        <w:gridCol w:w="1800"/>
      </w:tblGrid>
      <w:tr w:rsidR="001E7189" w14:paraId="74E1B2CE" w14:textId="77777777" w:rsidTr="00D23BA5">
        <w:tc>
          <w:tcPr>
            <w:tcW w:w="1950" w:type="dxa"/>
            <w:shd w:val="clear" w:color="auto" w:fill="auto"/>
            <w:tcMar>
              <w:top w:w="100" w:type="dxa"/>
              <w:left w:w="100" w:type="dxa"/>
              <w:bottom w:w="100" w:type="dxa"/>
              <w:right w:w="100" w:type="dxa"/>
            </w:tcMar>
          </w:tcPr>
          <w:p w14:paraId="56377846" w14:textId="77777777" w:rsidR="001E7189" w:rsidRDefault="001E7189" w:rsidP="007513A1">
            <w:pPr>
              <w:widowControl w:val="0"/>
              <w:jc w:val="both"/>
              <w:rPr>
                <w:rFonts w:eastAsia="Times New Roman"/>
                <w:b/>
              </w:rPr>
            </w:pPr>
            <w:r>
              <w:rPr>
                <w:rFonts w:eastAsia="Times New Roman"/>
                <w:b/>
              </w:rPr>
              <w:t>Menü Kategorisi</w:t>
            </w:r>
          </w:p>
        </w:tc>
        <w:tc>
          <w:tcPr>
            <w:tcW w:w="2430" w:type="dxa"/>
            <w:shd w:val="clear" w:color="auto" w:fill="auto"/>
            <w:tcMar>
              <w:top w:w="100" w:type="dxa"/>
              <w:left w:w="100" w:type="dxa"/>
              <w:bottom w:w="100" w:type="dxa"/>
              <w:right w:w="100" w:type="dxa"/>
            </w:tcMar>
          </w:tcPr>
          <w:p w14:paraId="290DFB69" w14:textId="77777777" w:rsidR="001E7189" w:rsidRDefault="001E7189" w:rsidP="007513A1">
            <w:pPr>
              <w:widowControl w:val="0"/>
              <w:jc w:val="both"/>
              <w:rPr>
                <w:rFonts w:eastAsia="Times New Roman"/>
                <w:b/>
              </w:rPr>
            </w:pPr>
            <w:r>
              <w:rPr>
                <w:rFonts w:eastAsia="Times New Roman"/>
                <w:b/>
              </w:rPr>
              <w:t>Yemek Adı</w:t>
            </w:r>
          </w:p>
        </w:tc>
        <w:tc>
          <w:tcPr>
            <w:tcW w:w="1800" w:type="dxa"/>
            <w:shd w:val="clear" w:color="auto" w:fill="auto"/>
            <w:tcMar>
              <w:top w:w="100" w:type="dxa"/>
              <w:left w:w="100" w:type="dxa"/>
              <w:bottom w:w="100" w:type="dxa"/>
              <w:right w:w="100" w:type="dxa"/>
            </w:tcMar>
          </w:tcPr>
          <w:p w14:paraId="1872A6CA" w14:textId="77777777" w:rsidR="001E7189" w:rsidRDefault="001E7189" w:rsidP="007513A1">
            <w:pPr>
              <w:widowControl w:val="0"/>
              <w:jc w:val="both"/>
              <w:rPr>
                <w:rFonts w:eastAsia="Times New Roman"/>
                <w:b/>
              </w:rPr>
            </w:pPr>
            <w:r>
              <w:rPr>
                <w:rFonts w:eastAsia="Times New Roman"/>
                <w:b/>
              </w:rPr>
              <w:t>Alerjenler</w:t>
            </w:r>
          </w:p>
        </w:tc>
        <w:tc>
          <w:tcPr>
            <w:tcW w:w="2025" w:type="dxa"/>
            <w:shd w:val="clear" w:color="auto" w:fill="auto"/>
            <w:tcMar>
              <w:top w:w="100" w:type="dxa"/>
              <w:left w:w="100" w:type="dxa"/>
              <w:bottom w:w="100" w:type="dxa"/>
              <w:right w:w="100" w:type="dxa"/>
            </w:tcMar>
          </w:tcPr>
          <w:p w14:paraId="01755D57" w14:textId="77777777" w:rsidR="001E7189" w:rsidRDefault="001E7189" w:rsidP="007513A1">
            <w:pPr>
              <w:widowControl w:val="0"/>
              <w:jc w:val="both"/>
              <w:rPr>
                <w:rFonts w:eastAsia="Times New Roman"/>
                <w:b/>
              </w:rPr>
            </w:pPr>
            <w:r>
              <w:rPr>
                <w:rFonts w:eastAsia="Times New Roman"/>
                <w:b/>
              </w:rPr>
              <w:t>Çapraz Temas Riski</w:t>
            </w:r>
          </w:p>
        </w:tc>
        <w:tc>
          <w:tcPr>
            <w:tcW w:w="1800" w:type="dxa"/>
            <w:shd w:val="clear" w:color="auto" w:fill="auto"/>
            <w:tcMar>
              <w:top w:w="100" w:type="dxa"/>
              <w:left w:w="100" w:type="dxa"/>
              <w:bottom w:w="100" w:type="dxa"/>
              <w:right w:w="100" w:type="dxa"/>
            </w:tcMar>
          </w:tcPr>
          <w:p w14:paraId="0E8A90CD" w14:textId="77777777" w:rsidR="001E7189" w:rsidRDefault="001E7189" w:rsidP="007513A1">
            <w:pPr>
              <w:widowControl w:val="0"/>
              <w:jc w:val="both"/>
              <w:rPr>
                <w:rFonts w:eastAsia="Times New Roman"/>
                <w:b/>
              </w:rPr>
            </w:pPr>
            <w:r>
              <w:rPr>
                <w:rFonts w:eastAsia="Times New Roman"/>
                <w:b/>
              </w:rPr>
              <w:t>Dikkat Edilmesi Gerekenler</w:t>
            </w:r>
          </w:p>
        </w:tc>
      </w:tr>
      <w:tr w:rsidR="001E7189" w14:paraId="0C90C9F5" w14:textId="77777777" w:rsidTr="00D23BA5">
        <w:tc>
          <w:tcPr>
            <w:tcW w:w="1950" w:type="dxa"/>
            <w:shd w:val="clear" w:color="auto" w:fill="auto"/>
            <w:tcMar>
              <w:top w:w="100" w:type="dxa"/>
              <w:left w:w="100" w:type="dxa"/>
              <w:bottom w:w="100" w:type="dxa"/>
              <w:right w:w="100" w:type="dxa"/>
            </w:tcMar>
          </w:tcPr>
          <w:p w14:paraId="1195863B" w14:textId="77777777" w:rsidR="001E7189" w:rsidRDefault="001E7189" w:rsidP="007513A1">
            <w:pPr>
              <w:widowControl w:val="0"/>
              <w:jc w:val="both"/>
              <w:rPr>
                <w:rFonts w:eastAsia="Times New Roman"/>
                <w:b/>
              </w:rPr>
            </w:pPr>
            <w:r>
              <w:rPr>
                <w:rFonts w:eastAsia="Times New Roman"/>
                <w:b/>
              </w:rPr>
              <w:t>Başlangıçlar</w:t>
            </w:r>
          </w:p>
        </w:tc>
        <w:tc>
          <w:tcPr>
            <w:tcW w:w="2430" w:type="dxa"/>
            <w:shd w:val="clear" w:color="auto" w:fill="auto"/>
            <w:tcMar>
              <w:top w:w="100" w:type="dxa"/>
              <w:left w:w="100" w:type="dxa"/>
              <w:bottom w:w="100" w:type="dxa"/>
              <w:right w:w="100" w:type="dxa"/>
            </w:tcMar>
          </w:tcPr>
          <w:p w14:paraId="304B4B31" w14:textId="77777777" w:rsidR="001E7189" w:rsidRDefault="001E7189" w:rsidP="007513A1">
            <w:pPr>
              <w:widowControl w:val="0"/>
              <w:jc w:val="both"/>
              <w:rPr>
                <w:rFonts w:eastAsia="Times New Roman"/>
              </w:rPr>
            </w:pPr>
            <w:r>
              <w:rPr>
                <w:rFonts w:eastAsia="Times New Roman"/>
              </w:rPr>
              <w:t>Fırında Keçi Peynirli Izgara Sebzeler</w:t>
            </w:r>
          </w:p>
        </w:tc>
        <w:tc>
          <w:tcPr>
            <w:tcW w:w="1800" w:type="dxa"/>
            <w:shd w:val="clear" w:color="auto" w:fill="auto"/>
            <w:tcMar>
              <w:top w:w="100" w:type="dxa"/>
              <w:left w:w="100" w:type="dxa"/>
              <w:bottom w:w="100" w:type="dxa"/>
              <w:right w:w="100" w:type="dxa"/>
            </w:tcMar>
          </w:tcPr>
          <w:p w14:paraId="539074C3" w14:textId="77777777" w:rsidR="001E7189" w:rsidRDefault="001E7189" w:rsidP="007513A1">
            <w:pPr>
              <w:widowControl w:val="0"/>
              <w:jc w:val="both"/>
              <w:rPr>
                <w:rFonts w:eastAsia="Times New Roman"/>
              </w:rPr>
            </w:pPr>
            <w:r>
              <w:rPr>
                <w:rFonts w:eastAsia="Times New Roman"/>
              </w:rPr>
              <w:t>Süt (keçi peyniri)</w:t>
            </w:r>
          </w:p>
        </w:tc>
        <w:tc>
          <w:tcPr>
            <w:tcW w:w="2025" w:type="dxa"/>
            <w:shd w:val="clear" w:color="auto" w:fill="auto"/>
            <w:tcMar>
              <w:top w:w="100" w:type="dxa"/>
              <w:left w:w="100" w:type="dxa"/>
              <w:bottom w:w="100" w:type="dxa"/>
              <w:right w:w="100" w:type="dxa"/>
            </w:tcMar>
          </w:tcPr>
          <w:p w14:paraId="67DC2E23" w14:textId="77777777" w:rsidR="001E7189" w:rsidRDefault="001E7189" w:rsidP="007513A1">
            <w:pPr>
              <w:widowControl w:val="0"/>
              <w:jc w:val="both"/>
              <w:rPr>
                <w:rFonts w:eastAsia="Times New Roman"/>
              </w:rPr>
            </w:pPr>
            <w:r>
              <w:rPr>
                <w:rFonts w:eastAsia="Times New Roman"/>
              </w:rPr>
              <w:t>Fırında diğer süt içeren ürünlerle temas olabilir</w:t>
            </w:r>
          </w:p>
        </w:tc>
        <w:tc>
          <w:tcPr>
            <w:tcW w:w="1800" w:type="dxa"/>
            <w:shd w:val="clear" w:color="auto" w:fill="auto"/>
            <w:tcMar>
              <w:top w:w="100" w:type="dxa"/>
              <w:left w:w="100" w:type="dxa"/>
              <w:bottom w:w="100" w:type="dxa"/>
              <w:right w:w="100" w:type="dxa"/>
            </w:tcMar>
          </w:tcPr>
          <w:p w14:paraId="04E2D1A1" w14:textId="77777777" w:rsidR="001E7189" w:rsidRDefault="001E7189" w:rsidP="007513A1">
            <w:pPr>
              <w:widowControl w:val="0"/>
              <w:jc w:val="both"/>
              <w:rPr>
                <w:rFonts w:eastAsia="Times New Roman"/>
              </w:rPr>
            </w:pPr>
            <w:r>
              <w:rPr>
                <w:rFonts w:eastAsia="Times New Roman"/>
              </w:rPr>
              <w:t xml:space="preserve">Servis öncesi müşteri alerjisi kontrolü. Çapraz </w:t>
            </w:r>
            <w:r>
              <w:rPr>
                <w:rFonts w:eastAsia="Times New Roman"/>
              </w:rPr>
              <w:lastRenderedPageBreak/>
              <w:t>temas için temiz fırın tepsisi kullanımı.</w:t>
            </w:r>
          </w:p>
        </w:tc>
      </w:tr>
      <w:tr w:rsidR="001E7189" w14:paraId="48CBA2E7" w14:textId="77777777" w:rsidTr="00D23BA5">
        <w:tc>
          <w:tcPr>
            <w:tcW w:w="1950" w:type="dxa"/>
            <w:shd w:val="clear" w:color="auto" w:fill="auto"/>
            <w:tcMar>
              <w:top w:w="100" w:type="dxa"/>
              <w:left w:w="100" w:type="dxa"/>
              <w:bottom w:w="100" w:type="dxa"/>
              <w:right w:w="100" w:type="dxa"/>
            </w:tcMar>
          </w:tcPr>
          <w:p w14:paraId="29A085E3" w14:textId="77777777" w:rsidR="001E7189" w:rsidRDefault="001E7189" w:rsidP="007513A1">
            <w:pPr>
              <w:widowControl w:val="0"/>
              <w:jc w:val="both"/>
              <w:rPr>
                <w:rFonts w:eastAsia="Times New Roman"/>
              </w:rPr>
            </w:pPr>
          </w:p>
        </w:tc>
        <w:tc>
          <w:tcPr>
            <w:tcW w:w="2430" w:type="dxa"/>
            <w:shd w:val="clear" w:color="auto" w:fill="auto"/>
            <w:tcMar>
              <w:top w:w="100" w:type="dxa"/>
              <w:left w:w="100" w:type="dxa"/>
              <w:bottom w:w="100" w:type="dxa"/>
              <w:right w:w="100" w:type="dxa"/>
            </w:tcMar>
          </w:tcPr>
          <w:p w14:paraId="0E3D0CB1" w14:textId="77777777" w:rsidR="001E7189" w:rsidRDefault="001E7189" w:rsidP="007513A1">
            <w:pPr>
              <w:widowControl w:val="0"/>
              <w:jc w:val="both"/>
              <w:rPr>
                <w:rFonts w:eastAsia="Times New Roman"/>
              </w:rPr>
            </w:pPr>
            <w:r>
              <w:rPr>
                <w:rFonts w:eastAsia="Times New Roman"/>
              </w:rPr>
              <w:t>Deniz Tuzu ve Kekikli Kalamar Tava</w:t>
            </w:r>
          </w:p>
        </w:tc>
        <w:tc>
          <w:tcPr>
            <w:tcW w:w="1800" w:type="dxa"/>
            <w:shd w:val="clear" w:color="auto" w:fill="auto"/>
            <w:tcMar>
              <w:top w:w="100" w:type="dxa"/>
              <w:left w:w="100" w:type="dxa"/>
              <w:bottom w:w="100" w:type="dxa"/>
              <w:right w:w="100" w:type="dxa"/>
            </w:tcMar>
          </w:tcPr>
          <w:p w14:paraId="571C90C1" w14:textId="77777777" w:rsidR="001E7189" w:rsidRDefault="001E7189" w:rsidP="007513A1">
            <w:pPr>
              <w:widowControl w:val="0"/>
              <w:jc w:val="both"/>
              <w:rPr>
                <w:rFonts w:eastAsia="Times New Roman"/>
              </w:rPr>
            </w:pPr>
            <w:r>
              <w:rPr>
                <w:rFonts w:eastAsia="Times New Roman"/>
              </w:rPr>
              <w:t>Kabuklu deniz ürünleri (kalamar), buğday</w:t>
            </w:r>
          </w:p>
        </w:tc>
        <w:tc>
          <w:tcPr>
            <w:tcW w:w="2025" w:type="dxa"/>
            <w:shd w:val="clear" w:color="auto" w:fill="auto"/>
            <w:tcMar>
              <w:top w:w="100" w:type="dxa"/>
              <w:left w:w="100" w:type="dxa"/>
              <w:bottom w:w="100" w:type="dxa"/>
              <w:right w:w="100" w:type="dxa"/>
            </w:tcMar>
          </w:tcPr>
          <w:p w14:paraId="7DEA2DA0" w14:textId="77777777" w:rsidR="001E7189" w:rsidRDefault="001E7189" w:rsidP="007513A1">
            <w:pPr>
              <w:widowControl w:val="0"/>
              <w:jc w:val="both"/>
              <w:rPr>
                <w:rFonts w:eastAsia="Times New Roman"/>
              </w:rPr>
            </w:pPr>
            <w:r>
              <w:rPr>
                <w:rFonts w:eastAsia="Times New Roman"/>
              </w:rPr>
              <w:t>Kızartma yağında çapraz temas (diğer ürünlerle)</w:t>
            </w:r>
          </w:p>
        </w:tc>
        <w:tc>
          <w:tcPr>
            <w:tcW w:w="1800" w:type="dxa"/>
            <w:shd w:val="clear" w:color="auto" w:fill="auto"/>
            <w:tcMar>
              <w:top w:w="100" w:type="dxa"/>
              <w:left w:w="100" w:type="dxa"/>
              <w:bottom w:w="100" w:type="dxa"/>
              <w:right w:w="100" w:type="dxa"/>
            </w:tcMar>
          </w:tcPr>
          <w:p w14:paraId="1BE55A73" w14:textId="77777777" w:rsidR="001E7189" w:rsidRDefault="001E7189" w:rsidP="007513A1">
            <w:pPr>
              <w:widowControl w:val="0"/>
              <w:jc w:val="both"/>
              <w:rPr>
                <w:rFonts w:eastAsia="Times New Roman"/>
              </w:rPr>
            </w:pPr>
            <w:r>
              <w:rPr>
                <w:rFonts w:eastAsia="Times New Roman"/>
              </w:rPr>
              <w:t>Kızartma yağı temiz olmalı. Sos için kullanılan yoğurt süt içerir, alerji bildirimi önemli.</w:t>
            </w:r>
          </w:p>
        </w:tc>
      </w:tr>
      <w:tr w:rsidR="001E7189" w14:paraId="61481AFD" w14:textId="77777777" w:rsidTr="00D23BA5">
        <w:tc>
          <w:tcPr>
            <w:tcW w:w="1950" w:type="dxa"/>
            <w:shd w:val="clear" w:color="auto" w:fill="auto"/>
            <w:tcMar>
              <w:top w:w="100" w:type="dxa"/>
              <w:left w:w="100" w:type="dxa"/>
              <w:bottom w:w="100" w:type="dxa"/>
              <w:right w:w="100" w:type="dxa"/>
            </w:tcMar>
          </w:tcPr>
          <w:p w14:paraId="47354971" w14:textId="77777777" w:rsidR="001E7189" w:rsidRDefault="001E7189" w:rsidP="007513A1">
            <w:pPr>
              <w:widowControl w:val="0"/>
              <w:jc w:val="both"/>
              <w:rPr>
                <w:rFonts w:eastAsia="Times New Roman"/>
                <w:b/>
              </w:rPr>
            </w:pPr>
            <w:r>
              <w:rPr>
                <w:rFonts w:eastAsia="Times New Roman"/>
                <w:b/>
              </w:rPr>
              <w:t>Ana Yemekler</w:t>
            </w:r>
          </w:p>
        </w:tc>
        <w:tc>
          <w:tcPr>
            <w:tcW w:w="2430" w:type="dxa"/>
            <w:shd w:val="clear" w:color="auto" w:fill="auto"/>
            <w:tcMar>
              <w:top w:w="100" w:type="dxa"/>
              <w:left w:w="100" w:type="dxa"/>
              <w:bottom w:w="100" w:type="dxa"/>
              <w:right w:w="100" w:type="dxa"/>
            </w:tcMar>
          </w:tcPr>
          <w:p w14:paraId="624F3F80" w14:textId="77777777" w:rsidR="001E7189" w:rsidRDefault="001E7189" w:rsidP="007513A1">
            <w:pPr>
              <w:widowControl w:val="0"/>
              <w:jc w:val="both"/>
              <w:rPr>
                <w:rFonts w:eastAsia="Times New Roman"/>
              </w:rPr>
            </w:pPr>
            <w:r>
              <w:rPr>
                <w:rFonts w:eastAsia="Times New Roman"/>
              </w:rPr>
              <w:t>Izgara Levrek Fileto</w:t>
            </w:r>
          </w:p>
        </w:tc>
        <w:tc>
          <w:tcPr>
            <w:tcW w:w="1800" w:type="dxa"/>
            <w:shd w:val="clear" w:color="auto" w:fill="auto"/>
            <w:tcMar>
              <w:top w:w="100" w:type="dxa"/>
              <w:left w:w="100" w:type="dxa"/>
              <w:bottom w:w="100" w:type="dxa"/>
              <w:right w:w="100" w:type="dxa"/>
            </w:tcMar>
          </w:tcPr>
          <w:p w14:paraId="15440E55" w14:textId="77777777" w:rsidR="001E7189" w:rsidRDefault="001E7189" w:rsidP="007513A1">
            <w:pPr>
              <w:widowControl w:val="0"/>
              <w:jc w:val="both"/>
              <w:rPr>
                <w:rFonts w:eastAsia="Times New Roman"/>
              </w:rPr>
            </w:pPr>
            <w:r>
              <w:rPr>
                <w:rFonts w:eastAsia="Times New Roman"/>
              </w:rPr>
              <w:t>Balık (levrek), hardal</w:t>
            </w:r>
          </w:p>
        </w:tc>
        <w:tc>
          <w:tcPr>
            <w:tcW w:w="2025" w:type="dxa"/>
            <w:shd w:val="clear" w:color="auto" w:fill="auto"/>
            <w:tcMar>
              <w:top w:w="100" w:type="dxa"/>
              <w:left w:w="100" w:type="dxa"/>
              <w:bottom w:w="100" w:type="dxa"/>
              <w:right w:w="100" w:type="dxa"/>
            </w:tcMar>
          </w:tcPr>
          <w:p w14:paraId="6EE69DE1" w14:textId="77777777" w:rsidR="001E7189" w:rsidRDefault="001E7189" w:rsidP="007513A1">
            <w:pPr>
              <w:widowControl w:val="0"/>
              <w:jc w:val="both"/>
              <w:rPr>
                <w:rFonts w:eastAsia="Times New Roman"/>
              </w:rPr>
            </w:pPr>
            <w:r>
              <w:rPr>
                <w:rFonts w:eastAsia="Times New Roman"/>
              </w:rPr>
              <w:t>Izgarada diğer balık veya etlerle temas olabilir</w:t>
            </w:r>
          </w:p>
        </w:tc>
        <w:tc>
          <w:tcPr>
            <w:tcW w:w="1800" w:type="dxa"/>
            <w:shd w:val="clear" w:color="auto" w:fill="auto"/>
            <w:tcMar>
              <w:top w:w="100" w:type="dxa"/>
              <w:left w:w="100" w:type="dxa"/>
              <w:bottom w:w="100" w:type="dxa"/>
              <w:right w:w="100" w:type="dxa"/>
            </w:tcMar>
          </w:tcPr>
          <w:p w14:paraId="2043BA20" w14:textId="77777777" w:rsidR="001E7189" w:rsidRDefault="001E7189" w:rsidP="007513A1">
            <w:pPr>
              <w:widowControl w:val="0"/>
              <w:jc w:val="both"/>
              <w:rPr>
                <w:rFonts w:eastAsia="Times New Roman"/>
              </w:rPr>
            </w:pPr>
            <w:r>
              <w:rPr>
                <w:rFonts w:eastAsia="Times New Roman"/>
              </w:rPr>
              <w:t>Limonlu hardal sos içeriği açıklanmalı. Farklı ızgara yüzeyi kullanılabilir.</w:t>
            </w:r>
          </w:p>
        </w:tc>
      </w:tr>
      <w:tr w:rsidR="001E7189" w14:paraId="4AF6E82C" w14:textId="77777777" w:rsidTr="00D23BA5">
        <w:tc>
          <w:tcPr>
            <w:tcW w:w="1950" w:type="dxa"/>
            <w:shd w:val="clear" w:color="auto" w:fill="auto"/>
            <w:tcMar>
              <w:top w:w="100" w:type="dxa"/>
              <w:left w:w="100" w:type="dxa"/>
              <w:bottom w:w="100" w:type="dxa"/>
              <w:right w:w="100" w:type="dxa"/>
            </w:tcMar>
          </w:tcPr>
          <w:p w14:paraId="2640530C" w14:textId="77777777" w:rsidR="001E7189" w:rsidRDefault="001E7189" w:rsidP="007513A1">
            <w:pPr>
              <w:widowControl w:val="0"/>
              <w:jc w:val="both"/>
              <w:rPr>
                <w:rFonts w:eastAsia="Times New Roman"/>
              </w:rPr>
            </w:pPr>
          </w:p>
        </w:tc>
        <w:tc>
          <w:tcPr>
            <w:tcW w:w="2430" w:type="dxa"/>
            <w:shd w:val="clear" w:color="auto" w:fill="auto"/>
            <w:tcMar>
              <w:top w:w="100" w:type="dxa"/>
              <w:left w:w="100" w:type="dxa"/>
              <w:bottom w:w="100" w:type="dxa"/>
              <w:right w:w="100" w:type="dxa"/>
            </w:tcMar>
          </w:tcPr>
          <w:p w14:paraId="0CBEC5DC" w14:textId="77777777" w:rsidR="001E7189" w:rsidRDefault="001E7189" w:rsidP="007513A1">
            <w:pPr>
              <w:widowControl w:val="0"/>
              <w:jc w:val="both"/>
              <w:rPr>
                <w:rFonts w:eastAsia="Times New Roman"/>
              </w:rPr>
            </w:pPr>
            <w:r>
              <w:rPr>
                <w:rFonts w:eastAsia="Times New Roman"/>
              </w:rPr>
              <w:t>Fırında Kaburga Kuzu</w:t>
            </w:r>
          </w:p>
        </w:tc>
        <w:tc>
          <w:tcPr>
            <w:tcW w:w="1800" w:type="dxa"/>
            <w:shd w:val="clear" w:color="auto" w:fill="auto"/>
            <w:tcMar>
              <w:top w:w="100" w:type="dxa"/>
              <w:left w:w="100" w:type="dxa"/>
              <w:bottom w:w="100" w:type="dxa"/>
              <w:right w:w="100" w:type="dxa"/>
            </w:tcMar>
          </w:tcPr>
          <w:p w14:paraId="0DB93BE0" w14:textId="77777777" w:rsidR="001E7189" w:rsidRDefault="001E7189" w:rsidP="007513A1">
            <w:pPr>
              <w:widowControl w:val="0"/>
              <w:jc w:val="both"/>
              <w:rPr>
                <w:rFonts w:eastAsia="Times New Roman"/>
              </w:rPr>
            </w:pPr>
            <w:r>
              <w:rPr>
                <w:rFonts w:eastAsia="Times New Roman"/>
              </w:rPr>
              <w:t>Hiçbir ana alerjen içermez</w:t>
            </w:r>
          </w:p>
        </w:tc>
        <w:tc>
          <w:tcPr>
            <w:tcW w:w="2025" w:type="dxa"/>
            <w:shd w:val="clear" w:color="auto" w:fill="auto"/>
            <w:tcMar>
              <w:top w:w="100" w:type="dxa"/>
              <w:left w:w="100" w:type="dxa"/>
              <w:bottom w:w="100" w:type="dxa"/>
              <w:right w:w="100" w:type="dxa"/>
            </w:tcMar>
          </w:tcPr>
          <w:p w14:paraId="163AC7A2" w14:textId="77777777" w:rsidR="001E7189" w:rsidRDefault="001E7189" w:rsidP="007513A1">
            <w:pPr>
              <w:widowControl w:val="0"/>
              <w:jc w:val="both"/>
              <w:rPr>
                <w:rFonts w:eastAsia="Times New Roman"/>
              </w:rPr>
            </w:pPr>
            <w:r>
              <w:rPr>
                <w:rFonts w:eastAsia="Times New Roman"/>
              </w:rPr>
              <w:t>Sebze garnitürleri çapraz temas riski taşıyabilir</w:t>
            </w:r>
          </w:p>
        </w:tc>
        <w:tc>
          <w:tcPr>
            <w:tcW w:w="1800" w:type="dxa"/>
            <w:shd w:val="clear" w:color="auto" w:fill="auto"/>
            <w:tcMar>
              <w:top w:w="100" w:type="dxa"/>
              <w:left w:w="100" w:type="dxa"/>
              <w:bottom w:w="100" w:type="dxa"/>
              <w:right w:w="100" w:type="dxa"/>
            </w:tcMar>
          </w:tcPr>
          <w:p w14:paraId="680961B9" w14:textId="77777777" w:rsidR="001E7189" w:rsidRDefault="001E7189" w:rsidP="007513A1">
            <w:pPr>
              <w:widowControl w:val="0"/>
              <w:jc w:val="both"/>
              <w:rPr>
                <w:rFonts w:eastAsia="Times New Roman"/>
              </w:rPr>
            </w:pPr>
            <w:r>
              <w:rPr>
                <w:rFonts w:eastAsia="Times New Roman"/>
              </w:rPr>
              <w:t>Servis öncesi patates püresi içeriği sorulmalı (süt kullanılmışsa belirtilmeli).</w:t>
            </w:r>
          </w:p>
        </w:tc>
      </w:tr>
      <w:tr w:rsidR="001E7189" w14:paraId="00991B5C" w14:textId="77777777" w:rsidTr="00D23BA5">
        <w:tc>
          <w:tcPr>
            <w:tcW w:w="1950" w:type="dxa"/>
            <w:shd w:val="clear" w:color="auto" w:fill="auto"/>
            <w:tcMar>
              <w:top w:w="100" w:type="dxa"/>
              <w:left w:w="100" w:type="dxa"/>
              <w:bottom w:w="100" w:type="dxa"/>
              <w:right w:w="100" w:type="dxa"/>
            </w:tcMar>
          </w:tcPr>
          <w:p w14:paraId="7D35C463" w14:textId="77777777" w:rsidR="001E7189" w:rsidRDefault="001E7189" w:rsidP="007513A1">
            <w:pPr>
              <w:widowControl w:val="0"/>
              <w:jc w:val="both"/>
              <w:rPr>
                <w:rFonts w:eastAsia="Times New Roman"/>
                <w:b/>
              </w:rPr>
            </w:pPr>
            <w:r>
              <w:rPr>
                <w:rFonts w:eastAsia="Times New Roman"/>
                <w:b/>
              </w:rPr>
              <w:t>Tatlılar</w:t>
            </w:r>
          </w:p>
        </w:tc>
        <w:tc>
          <w:tcPr>
            <w:tcW w:w="2430" w:type="dxa"/>
            <w:shd w:val="clear" w:color="auto" w:fill="auto"/>
            <w:tcMar>
              <w:top w:w="100" w:type="dxa"/>
              <w:left w:w="100" w:type="dxa"/>
              <w:bottom w:w="100" w:type="dxa"/>
              <w:right w:w="100" w:type="dxa"/>
            </w:tcMar>
          </w:tcPr>
          <w:p w14:paraId="12BBF318" w14:textId="77777777" w:rsidR="001E7189" w:rsidRDefault="001E7189" w:rsidP="007513A1">
            <w:pPr>
              <w:widowControl w:val="0"/>
              <w:jc w:val="both"/>
              <w:rPr>
                <w:rFonts w:eastAsia="Times New Roman"/>
              </w:rPr>
            </w:pPr>
            <w:r>
              <w:rPr>
                <w:rFonts w:eastAsia="Times New Roman"/>
              </w:rPr>
              <w:t xml:space="preserve">Nar ve Güllaç </w:t>
            </w:r>
            <w:proofErr w:type="spellStart"/>
            <w:r>
              <w:rPr>
                <w:rFonts w:eastAsia="Times New Roman"/>
              </w:rPr>
              <w:t>Parfe</w:t>
            </w:r>
            <w:proofErr w:type="spellEnd"/>
          </w:p>
        </w:tc>
        <w:tc>
          <w:tcPr>
            <w:tcW w:w="1800" w:type="dxa"/>
            <w:shd w:val="clear" w:color="auto" w:fill="auto"/>
            <w:tcMar>
              <w:top w:w="100" w:type="dxa"/>
              <w:left w:w="100" w:type="dxa"/>
              <w:bottom w:w="100" w:type="dxa"/>
              <w:right w:w="100" w:type="dxa"/>
            </w:tcMar>
          </w:tcPr>
          <w:p w14:paraId="4F698D33" w14:textId="77777777" w:rsidR="001E7189" w:rsidRDefault="001E7189" w:rsidP="007513A1">
            <w:pPr>
              <w:widowControl w:val="0"/>
              <w:jc w:val="both"/>
              <w:rPr>
                <w:rFonts w:eastAsia="Times New Roman"/>
              </w:rPr>
            </w:pPr>
            <w:r>
              <w:rPr>
                <w:rFonts w:eastAsia="Times New Roman"/>
              </w:rPr>
              <w:t xml:space="preserve">Süt, </w:t>
            </w:r>
            <w:proofErr w:type="spellStart"/>
            <w:r>
              <w:rPr>
                <w:rFonts w:eastAsia="Times New Roman"/>
              </w:rPr>
              <w:t>antep</w:t>
            </w:r>
            <w:proofErr w:type="spellEnd"/>
            <w:r>
              <w:rPr>
                <w:rFonts w:eastAsia="Times New Roman"/>
              </w:rPr>
              <w:t xml:space="preserve"> fıstığı</w:t>
            </w:r>
          </w:p>
        </w:tc>
        <w:tc>
          <w:tcPr>
            <w:tcW w:w="2025" w:type="dxa"/>
            <w:shd w:val="clear" w:color="auto" w:fill="auto"/>
            <w:tcMar>
              <w:top w:w="100" w:type="dxa"/>
              <w:left w:w="100" w:type="dxa"/>
              <w:bottom w:w="100" w:type="dxa"/>
              <w:right w:w="100" w:type="dxa"/>
            </w:tcMar>
          </w:tcPr>
          <w:p w14:paraId="1F5AC12F" w14:textId="77777777" w:rsidR="001E7189" w:rsidRDefault="001E7189" w:rsidP="007513A1">
            <w:pPr>
              <w:widowControl w:val="0"/>
              <w:jc w:val="both"/>
              <w:rPr>
                <w:rFonts w:eastAsia="Times New Roman"/>
              </w:rPr>
            </w:pPr>
            <w:r>
              <w:rPr>
                <w:rFonts w:eastAsia="Times New Roman"/>
              </w:rPr>
              <w:t>Güllaç yaprakları hazırlanırken kullanılan süt</w:t>
            </w:r>
          </w:p>
        </w:tc>
        <w:tc>
          <w:tcPr>
            <w:tcW w:w="1800" w:type="dxa"/>
            <w:shd w:val="clear" w:color="auto" w:fill="auto"/>
            <w:tcMar>
              <w:top w:w="100" w:type="dxa"/>
              <w:left w:w="100" w:type="dxa"/>
              <w:bottom w:w="100" w:type="dxa"/>
              <w:right w:w="100" w:type="dxa"/>
            </w:tcMar>
          </w:tcPr>
          <w:p w14:paraId="77B1F1E0" w14:textId="77777777" w:rsidR="001E7189" w:rsidRDefault="001E7189" w:rsidP="007513A1">
            <w:pPr>
              <w:widowControl w:val="0"/>
              <w:jc w:val="both"/>
              <w:rPr>
                <w:rFonts w:eastAsia="Times New Roman"/>
              </w:rPr>
            </w:pPr>
            <w:r>
              <w:rPr>
                <w:rFonts w:eastAsia="Times New Roman"/>
              </w:rPr>
              <w:t>Antep fıstığı alerjisi olanlar için alternatif sunulabilir.</w:t>
            </w:r>
          </w:p>
        </w:tc>
      </w:tr>
      <w:tr w:rsidR="001E7189" w14:paraId="04491530" w14:textId="77777777" w:rsidTr="00D23BA5">
        <w:tc>
          <w:tcPr>
            <w:tcW w:w="1950" w:type="dxa"/>
            <w:shd w:val="clear" w:color="auto" w:fill="auto"/>
            <w:tcMar>
              <w:top w:w="100" w:type="dxa"/>
              <w:left w:w="100" w:type="dxa"/>
              <w:bottom w:w="100" w:type="dxa"/>
              <w:right w:w="100" w:type="dxa"/>
            </w:tcMar>
          </w:tcPr>
          <w:p w14:paraId="0CBB4B00" w14:textId="77777777" w:rsidR="001E7189" w:rsidRDefault="001E7189" w:rsidP="007513A1">
            <w:pPr>
              <w:widowControl w:val="0"/>
              <w:jc w:val="both"/>
              <w:rPr>
                <w:rFonts w:eastAsia="Times New Roman"/>
              </w:rPr>
            </w:pPr>
          </w:p>
        </w:tc>
        <w:tc>
          <w:tcPr>
            <w:tcW w:w="2430" w:type="dxa"/>
            <w:shd w:val="clear" w:color="auto" w:fill="auto"/>
            <w:tcMar>
              <w:top w:w="100" w:type="dxa"/>
              <w:left w:w="100" w:type="dxa"/>
              <w:bottom w:w="100" w:type="dxa"/>
              <w:right w:w="100" w:type="dxa"/>
            </w:tcMar>
          </w:tcPr>
          <w:p w14:paraId="083909C9" w14:textId="77777777" w:rsidR="001E7189" w:rsidRDefault="001E7189" w:rsidP="007513A1">
            <w:pPr>
              <w:widowControl w:val="0"/>
              <w:jc w:val="both"/>
              <w:rPr>
                <w:rFonts w:eastAsia="Times New Roman"/>
              </w:rPr>
            </w:pPr>
            <w:r>
              <w:rPr>
                <w:rFonts w:eastAsia="Times New Roman"/>
              </w:rPr>
              <w:t>Çikolatalı Fondan</w:t>
            </w:r>
          </w:p>
        </w:tc>
        <w:tc>
          <w:tcPr>
            <w:tcW w:w="1800" w:type="dxa"/>
            <w:shd w:val="clear" w:color="auto" w:fill="auto"/>
            <w:tcMar>
              <w:top w:w="100" w:type="dxa"/>
              <w:left w:w="100" w:type="dxa"/>
              <w:bottom w:w="100" w:type="dxa"/>
              <w:right w:w="100" w:type="dxa"/>
            </w:tcMar>
          </w:tcPr>
          <w:p w14:paraId="0F390747" w14:textId="77777777" w:rsidR="001E7189" w:rsidRDefault="001E7189" w:rsidP="007513A1">
            <w:pPr>
              <w:widowControl w:val="0"/>
              <w:jc w:val="both"/>
              <w:rPr>
                <w:rFonts w:eastAsia="Times New Roman"/>
              </w:rPr>
            </w:pPr>
            <w:r>
              <w:rPr>
                <w:rFonts w:eastAsia="Times New Roman"/>
              </w:rPr>
              <w:t>Süt, buğday, yumurta, fındık</w:t>
            </w:r>
          </w:p>
        </w:tc>
        <w:tc>
          <w:tcPr>
            <w:tcW w:w="2025" w:type="dxa"/>
            <w:shd w:val="clear" w:color="auto" w:fill="auto"/>
            <w:tcMar>
              <w:top w:w="100" w:type="dxa"/>
              <w:left w:w="100" w:type="dxa"/>
              <w:bottom w:w="100" w:type="dxa"/>
              <w:right w:w="100" w:type="dxa"/>
            </w:tcMar>
          </w:tcPr>
          <w:p w14:paraId="19D8E0CF" w14:textId="77777777" w:rsidR="001E7189" w:rsidRDefault="001E7189" w:rsidP="007513A1">
            <w:pPr>
              <w:widowControl w:val="0"/>
              <w:jc w:val="both"/>
              <w:rPr>
                <w:rFonts w:eastAsia="Times New Roman"/>
              </w:rPr>
            </w:pPr>
            <w:r>
              <w:rPr>
                <w:rFonts w:eastAsia="Times New Roman"/>
              </w:rPr>
              <w:t>Fırında veya mutfakta diğer tatlılarla temas</w:t>
            </w:r>
          </w:p>
        </w:tc>
        <w:tc>
          <w:tcPr>
            <w:tcW w:w="1800" w:type="dxa"/>
            <w:shd w:val="clear" w:color="auto" w:fill="auto"/>
            <w:tcMar>
              <w:top w:w="100" w:type="dxa"/>
              <w:left w:w="100" w:type="dxa"/>
              <w:bottom w:w="100" w:type="dxa"/>
              <w:right w:w="100" w:type="dxa"/>
            </w:tcMar>
          </w:tcPr>
          <w:p w14:paraId="30353543" w14:textId="77777777" w:rsidR="001E7189" w:rsidRDefault="001E7189" w:rsidP="007513A1">
            <w:pPr>
              <w:widowControl w:val="0"/>
              <w:jc w:val="both"/>
              <w:rPr>
                <w:rFonts w:eastAsia="Times New Roman"/>
              </w:rPr>
            </w:pPr>
            <w:r>
              <w:rPr>
                <w:rFonts w:eastAsia="Times New Roman"/>
              </w:rPr>
              <w:t>Dondurmayla birlikte servis edilirken bilgi verilmeli. Fındık alerjisi sorulmalı.</w:t>
            </w:r>
          </w:p>
        </w:tc>
      </w:tr>
      <w:tr w:rsidR="001E7189" w14:paraId="5F92903F" w14:textId="77777777" w:rsidTr="00D23BA5">
        <w:tc>
          <w:tcPr>
            <w:tcW w:w="1950" w:type="dxa"/>
            <w:shd w:val="clear" w:color="auto" w:fill="auto"/>
            <w:tcMar>
              <w:top w:w="100" w:type="dxa"/>
              <w:left w:w="100" w:type="dxa"/>
              <w:bottom w:w="100" w:type="dxa"/>
              <w:right w:w="100" w:type="dxa"/>
            </w:tcMar>
          </w:tcPr>
          <w:p w14:paraId="02BE72FF" w14:textId="77777777" w:rsidR="001E7189" w:rsidRDefault="001E7189" w:rsidP="007513A1">
            <w:pPr>
              <w:widowControl w:val="0"/>
              <w:jc w:val="both"/>
              <w:rPr>
                <w:rFonts w:eastAsia="Times New Roman"/>
                <w:b/>
              </w:rPr>
            </w:pPr>
            <w:r>
              <w:rPr>
                <w:rFonts w:eastAsia="Times New Roman"/>
                <w:b/>
              </w:rPr>
              <w:t>İçecekler</w:t>
            </w:r>
          </w:p>
        </w:tc>
        <w:tc>
          <w:tcPr>
            <w:tcW w:w="2430" w:type="dxa"/>
            <w:shd w:val="clear" w:color="auto" w:fill="auto"/>
            <w:tcMar>
              <w:top w:w="100" w:type="dxa"/>
              <w:left w:w="100" w:type="dxa"/>
              <w:bottom w:w="100" w:type="dxa"/>
              <w:right w:w="100" w:type="dxa"/>
            </w:tcMar>
          </w:tcPr>
          <w:p w14:paraId="5F4E6455" w14:textId="77777777" w:rsidR="001E7189" w:rsidRDefault="001E7189" w:rsidP="007513A1">
            <w:pPr>
              <w:widowControl w:val="0"/>
              <w:jc w:val="both"/>
              <w:rPr>
                <w:rFonts w:eastAsia="Times New Roman"/>
              </w:rPr>
            </w:pPr>
            <w:r>
              <w:rPr>
                <w:rFonts w:eastAsia="Times New Roman"/>
              </w:rPr>
              <w:t>Ev Yapımı Limonata</w:t>
            </w:r>
          </w:p>
        </w:tc>
        <w:tc>
          <w:tcPr>
            <w:tcW w:w="1800" w:type="dxa"/>
            <w:shd w:val="clear" w:color="auto" w:fill="auto"/>
            <w:tcMar>
              <w:top w:w="100" w:type="dxa"/>
              <w:left w:w="100" w:type="dxa"/>
              <w:bottom w:w="100" w:type="dxa"/>
              <w:right w:w="100" w:type="dxa"/>
            </w:tcMar>
          </w:tcPr>
          <w:p w14:paraId="5D6C0235" w14:textId="77777777" w:rsidR="001E7189" w:rsidRDefault="001E7189" w:rsidP="007513A1">
            <w:pPr>
              <w:widowControl w:val="0"/>
              <w:jc w:val="both"/>
              <w:rPr>
                <w:rFonts w:eastAsia="Times New Roman"/>
              </w:rPr>
            </w:pPr>
            <w:r>
              <w:rPr>
                <w:rFonts w:eastAsia="Times New Roman"/>
              </w:rPr>
              <w:t>Hiçbir ana alerjen içermez</w:t>
            </w:r>
          </w:p>
        </w:tc>
        <w:tc>
          <w:tcPr>
            <w:tcW w:w="2025" w:type="dxa"/>
            <w:shd w:val="clear" w:color="auto" w:fill="auto"/>
            <w:tcMar>
              <w:top w:w="100" w:type="dxa"/>
              <w:left w:w="100" w:type="dxa"/>
              <w:bottom w:w="100" w:type="dxa"/>
              <w:right w:w="100" w:type="dxa"/>
            </w:tcMar>
          </w:tcPr>
          <w:p w14:paraId="139DA4F1" w14:textId="77777777" w:rsidR="001E7189" w:rsidRDefault="001E7189" w:rsidP="007513A1">
            <w:pPr>
              <w:widowControl w:val="0"/>
              <w:jc w:val="both"/>
              <w:rPr>
                <w:rFonts w:eastAsia="Times New Roman"/>
              </w:rPr>
            </w:pPr>
            <w:r>
              <w:rPr>
                <w:rFonts w:eastAsia="Times New Roman"/>
              </w:rPr>
              <w:t>Mutfakta diğer ürünlerle temas</w:t>
            </w:r>
          </w:p>
        </w:tc>
        <w:tc>
          <w:tcPr>
            <w:tcW w:w="1800" w:type="dxa"/>
            <w:shd w:val="clear" w:color="auto" w:fill="auto"/>
            <w:tcMar>
              <w:top w:w="100" w:type="dxa"/>
              <w:left w:w="100" w:type="dxa"/>
              <w:bottom w:w="100" w:type="dxa"/>
              <w:right w:w="100" w:type="dxa"/>
            </w:tcMar>
          </w:tcPr>
          <w:p w14:paraId="21CD646E" w14:textId="77777777" w:rsidR="001E7189" w:rsidRDefault="001E7189" w:rsidP="007513A1">
            <w:pPr>
              <w:widowControl w:val="0"/>
              <w:jc w:val="both"/>
              <w:rPr>
                <w:rFonts w:eastAsia="Times New Roman"/>
              </w:rPr>
            </w:pPr>
            <w:r>
              <w:rPr>
                <w:rFonts w:eastAsia="Times New Roman"/>
              </w:rPr>
              <w:t>Limon kabuğunda potansiyel kimyasal kalıntılar kontrol edilmeli. Temiz kesim tahtası kullanılmalı.</w:t>
            </w:r>
          </w:p>
        </w:tc>
      </w:tr>
      <w:tr w:rsidR="001E7189" w14:paraId="3A42825B" w14:textId="77777777" w:rsidTr="00D23BA5">
        <w:tc>
          <w:tcPr>
            <w:tcW w:w="1950" w:type="dxa"/>
            <w:shd w:val="clear" w:color="auto" w:fill="auto"/>
            <w:tcMar>
              <w:top w:w="100" w:type="dxa"/>
              <w:left w:w="100" w:type="dxa"/>
              <w:bottom w:w="100" w:type="dxa"/>
              <w:right w:w="100" w:type="dxa"/>
            </w:tcMar>
          </w:tcPr>
          <w:p w14:paraId="14B4BB3F" w14:textId="77777777" w:rsidR="001E7189" w:rsidRDefault="001E7189" w:rsidP="007513A1">
            <w:pPr>
              <w:widowControl w:val="0"/>
              <w:jc w:val="both"/>
              <w:rPr>
                <w:rFonts w:eastAsia="Times New Roman"/>
              </w:rPr>
            </w:pPr>
          </w:p>
        </w:tc>
        <w:tc>
          <w:tcPr>
            <w:tcW w:w="2430" w:type="dxa"/>
            <w:shd w:val="clear" w:color="auto" w:fill="auto"/>
            <w:tcMar>
              <w:top w:w="100" w:type="dxa"/>
              <w:left w:w="100" w:type="dxa"/>
              <w:bottom w:w="100" w:type="dxa"/>
              <w:right w:w="100" w:type="dxa"/>
            </w:tcMar>
          </w:tcPr>
          <w:p w14:paraId="74802B1D" w14:textId="77777777" w:rsidR="001E7189" w:rsidRDefault="001E7189" w:rsidP="007513A1">
            <w:pPr>
              <w:widowControl w:val="0"/>
              <w:jc w:val="both"/>
              <w:rPr>
                <w:rFonts w:eastAsia="Times New Roman"/>
              </w:rPr>
            </w:pPr>
            <w:r>
              <w:rPr>
                <w:rFonts w:eastAsia="Times New Roman"/>
              </w:rPr>
              <w:t>Akdeniz Şarap Seçkisi</w:t>
            </w:r>
          </w:p>
        </w:tc>
        <w:tc>
          <w:tcPr>
            <w:tcW w:w="1800" w:type="dxa"/>
            <w:shd w:val="clear" w:color="auto" w:fill="auto"/>
            <w:tcMar>
              <w:top w:w="100" w:type="dxa"/>
              <w:left w:w="100" w:type="dxa"/>
              <w:bottom w:w="100" w:type="dxa"/>
              <w:right w:w="100" w:type="dxa"/>
            </w:tcMar>
          </w:tcPr>
          <w:p w14:paraId="7402DF75" w14:textId="77777777" w:rsidR="001E7189" w:rsidRDefault="001E7189" w:rsidP="007513A1">
            <w:pPr>
              <w:widowControl w:val="0"/>
              <w:jc w:val="both"/>
              <w:rPr>
                <w:rFonts w:eastAsia="Times New Roman"/>
              </w:rPr>
            </w:pPr>
            <w:r>
              <w:rPr>
                <w:rFonts w:eastAsia="Times New Roman"/>
              </w:rPr>
              <w:t>Sülfitler</w:t>
            </w:r>
          </w:p>
        </w:tc>
        <w:tc>
          <w:tcPr>
            <w:tcW w:w="2025" w:type="dxa"/>
            <w:shd w:val="clear" w:color="auto" w:fill="auto"/>
            <w:tcMar>
              <w:top w:w="100" w:type="dxa"/>
              <w:left w:w="100" w:type="dxa"/>
              <w:bottom w:w="100" w:type="dxa"/>
              <w:right w:w="100" w:type="dxa"/>
            </w:tcMar>
          </w:tcPr>
          <w:p w14:paraId="2D43894F" w14:textId="77777777" w:rsidR="001E7189" w:rsidRDefault="001E7189" w:rsidP="007513A1">
            <w:pPr>
              <w:widowControl w:val="0"/>
              <w:jc w:val="both"/>
              <w:rPr>
                <w:rFonts w:eastAsia="Times New Roman"/>
              </w:rPr>
            </w:pPr>
            <w:r>
              <w:rPr>
                <w:rFonts w:eastAsia="Times New Roman"/>
              </w:rPr>
              <w:t>Şarap açma ekipmanları çapraz temas yaratabilir</w:t>
            </w:r>
          </w:p>
        </w:tc>
        <w:tc>
          <w:tcPr>
            <w:tcW w:w="1800" w:type="dxa"/>
            <w:shd w:val="clear" w:color="auto" w:fill="auto"/>
            <w:tcMar>
              <w:top w:w="100" w:type="dxa"/>
              <w:left w:w="100" w:type="dxa"/>
              <w:bottom w:w="100" w:type="dxa"/>
              <w:right w:w="100" w:type="dxa"/>
            </w:tcMar>
          </w:tcPr>
          <w:p w14:paraId="12F774A4" w14:textId="77777777" w:rsidR="001E7189" w:rsidRDefault="001E7189" w:rsidP="007513A1">
            <w:pPr>
              <w:widowControl w:val="0"/>
              <w:jc w:val="both"/>
              <w:rPr>
                <w:rFonts w:eastAsia="Times New Roman"/>
              </w:rPr>
            </w:pPr>
            <w:r>
              <w:rPr>
                <w:rFonts w:eastAsia="Times New Roman"/>
              </w:rPr>
              <w:t>Sülfitlere karşı hassasiyet sorulmalı. Servis temiz bardaklarda yapılmalı.</w:t>
            </w:r>
          </w:p>
        </w:tc>
      </w:tr>
    </w:tbl>
    <w:p w14:paraId="248FC18A" w14:textId="77777777" w:rsidR="001E7189" w:rsidRDefault="001E7189" w:rsidP="007513A1">
      <w:pPr>
        <w:jc w:val="both"/>
      </w:pPr>
    </w:p>
    <w:p w14:paraId="3A0094DD" w14:textId="7164441A" w:rsidR="001E7189" w:rsidRDefault="001E7189" w:rsidP="007513A1">
      <w:pPr>
        <w:pStyle w:val="NormalWeb"/>
        <w:spacing w:before="0" w:beforeAutospacing="0" w:after="0" w:afterAutospacing="0"/>
        <w:jc w:val="both"/>
        <w:rPr>
          <w:color w:val="000000"/>
        </w:rPr>
      </w:pPr>
      <w:proofErr w:type="spellStart"/>
      <w:r>
        <w:rPr>
          <w:color w:val="000000"/>
        </w:rPr>
        <w:t>Eğitilen</w:t>
      </w:r>
      <w:proofErr w:type="spellEnd"/>
      <w:r>
        <w:rPr>
          <w:color w:val="000000"/>
        </w:rPr>
        <w:t xml:space="preserve"> </w:t>
      </w:r>
      <w:proofErr w:type="spellStart"/>
      <w:r>
        <w:rPr>
          <w:color w:val="000000"/>
        </w:rPr>
        <w:t>aynı</w:t>
      </w:r>
      <w:proofErr w:type="spellEnd"/>
      <w:r>
        <w:rPr>
          <w:color w:val="000000"/>
        </w:rPr>
        <w:t xml:space="preserve"> chatbot </w:t>
      </w:r>
      <w:proofErr w:type="spellStart"/>
      <w:r>
        <w:rPr>
          <w:color w:val="000000"/>
        </w:rPr>
        <w:t>üzerinden</w:t>
      </w:r>
      <w:proofErr w:type="spellEnd"/>
      <w:r>
        <w:rPr>
          <w:color w:val="000000"/>
        </w:rPr>
        <w:t xml:space="preserve"> </w:t>
      </w:r>
      <w:proofErr w:type="spellStart"/>
      <w:r>
        <w:rPr>
          <w:color w:val="000000"/>
        </w:rPr>
        <w:t>devam</w:t>
      </w:r>
      <w:proofErr w:type="spellEnd"/>
      <w:r>
        <w:rPr>
          <w:color w:val="000000"/>
        </w:rPr>
        <w:t xml:space="preserve"> </w:t>
      </w:r>
      <w:proofErr w:type="spellStart"/>
      <w:r>
        <w:rPr>
          <w:color w:val="000000"/>
        </w:rPr>
        <w:t>edilen</w:t>
      </w:r>
      <w:proofErr w:type="spellEnd"/>
      <w:r>
        <w:rPr>
          <w:color w:val="000000"/>
        </w:rPr>
        <w:t xml:space="preserve"> </w:t>
      </w:r>
      <w:proofErr w:type="spellStart"/>
      <w:r>
        <w:rPr>
          <w:color w:val="000000"/>
        </w:rPr>
        <w:t>çalışmada</w:t>
      </w:r>
      <w:proofErr w:type="spellEnd"/>
      <w:r>
        <w:rPr>
          <w:color w:val="000000"/>
        </w:rPr>
        <w:t xml:space="preserve">, </w:t>
      </w:r>
      <w:proofErr w:type="spellStart"/>
      <w:r>
        <w:rPr>
          <w:color w:val="000000"/>
        </w:rPr>
        <w:t>Chatgpt’ye</w:t>
      </w:r>
      <w:proofErr w:type="spellEnd"/>
      <w:r>
        <w:rPr>
          <w:color w:val="000000"/>
        </w:rPr>
        <w:t xml:space="preserve"> </w:t>
      </w:r>
      <w:proofErr w:type="spellStart"/>
      <w:r>
        <w:rPr>
          <w:color w:val="000000"/>
        </w:rPr>
        <w:t>verilen</w:t>
      </w:r>
      <w:proofErr w:type="spellEnd"/>
      <w:r>
        <w:rPr>
          <w:color w:val="000000"/>
        </w:rPr>
        <w:t xml:space="preserve"> </w:t>
      </w:r>
      <w:proofErr w:type="spellStart"/>
      <w:r>
        <w:rPr>
          <w:color w:val="000000"/>
        </w:rPr>
        <w:t>bilgiler</w:t>
      </w:r>
      <w:proofErr w:type="spellEnd"/>
      <w:r>
        <w:rPr>
          <w:color w:val="000000"/>
        </w:rPr>
        <w:t xml:space="preserve"> </w:t>
      </w:r>
      <w:proofErr w:type="spellStart"/>
      <w:r>
        <w:rPr>
          <w:color w:val="000000"/>
        </w:rPr>
        <w:t>doğrultusunda</w:t>
      </w:r>
      <w:proofErr w:type="spellEnd"/>
      <w:r>
        <w:rPr>
          <w:color w:val="000000"/>
        </w:rPr>
        <w:t xml:space="preserve"> </w:t>
      </w:r>
      <w:proofErr w:type="spellStart"/>
      <w:r>
        <w:rPr>
          <w:color w:val="000000"/>
        </w:rPr>
        <w:t>yine</w:t>
      </w:r>
      <w:proofErr w:type="spellEnd"/>
      <w:r>
        <w:rPr>
          <w:color w:val="000000"/>
        </w:rPr>
        <w:t xml:space="preserve"> </w:t>
      </w:r>
      <w:proofErr w:type="spellStart"/>
      <w:r>
        <w:rPr>
          <w:color w:val="000000"/>
        </w:rPr>
        <w:t>aynı</w:t>
      </w:r>
      <w:proofErr w:type="spellEnd"/>
      <w:r>
        <w:rPr>
          <w:color w:val="000000"/>
        </w:rPr>
        <w:t xml:space="preserve"> </w:t>
      </w:r>
      <w:proofErr w:type="spellStart"/>
      <w:r>
        <w:rPr>
          <w:color w:val="000000"/>
        </w:rPr>
        <w:t>menünün</w:t>
      </w:r>
      <w:proofErr w:type="spellEnd"/>
      <w:r>
        <w:rPr>
          <w:color w:val="000000"/>
        </w:rPr>
        <w:t xml:space="preserve"> (Akdeniz </w:t>
      </w:r>
      <w:proofErr w:type="spellStart"/>
      <w:r>
        <w:rPr>
          <w:color w:val="000000"/>
        </w:rPr>
        <w:t>Rüyası</w:t>
      </w:r>
      <w:proofErr w:type="spellEnd"/>
      <w:r>
        <w:rPr>
          <w:color w:val="000000"/>
        </w:rPr>
        <w:t xml:space="preserve"> </w:t>
      </w:r>
      <w:proofErr w:type="spellStart"/>
      <w:r>
        <w:rPr>
          <w:color w:val="000000"/>
        </w:rPr>
        <w:t>Restoranı</w:t>
      </w:r>
      <w:proofErr w:type="spellEnd"/>
      <w:r>
        <w:rPr>
          <w:color w:val="000000"/>
        </w:rPr>
        <w:t xml:space="preserve">) </w:t>
      </w:r>
      <w:proofErr w:type="spellStart"/>
      <w:r>
        <w:rPr>
          <w:color w:val="000000"/>
        </w:rPr>
        <w:t>alerji</w:t>
      </w:r>
      <w:proofErr w:type="spellEnd"/>
      <w:r>
        <w:rPr>
          <w:color w:val="000000"/>
        </w:rPr>
        <w:t xml:space="preserve"> </w:t>
      </w:r>
      <w:proofErr w:type="spellStart"/>
      <w:r>
        <w:rPr>
          <w:color w:val="000000"/>
        </w:rPr>
        <w:t>tabanlarını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bunları</w:t>
      </w:r>
      <w:proofErr w:type="spellEnd"/>
      <w:r>
        <w:rPr>
          <w:color w:val="000000"/>
        </w:rPr>
        <w:t xml:space="preserve"> </w:t>
      </w:r>
      <w:proofErr w:type="spellStart"/>
      <w:r>
        <w:rPr>
          <w:color w:val="000000"/>
        </w:rPr>
        <w:t>çalışanlara</w:t>
      </w:r>
      <w:proofErr w:type="spellEnd"/>
      <w:r>
        <w:rPr>
          <w:color w:val="000000"/>
        </w:rPr>
        <w:t xml:space="preserve"> </w:t>
      </w:r>
      <w:proofErr w:type="spellStart"/>
      <w:r>
        <w:rPr>
          <w:color w:val="000000"/>
        </w:rPr>
        <w:t>nasıl</w:t>
      </w:r>
      <w:proofErr w:type="spellEnd"/>
      <w:r>
        <w:rPr>
          <w:color w:val="000000"/>
        </w:rPr>
        <w:t xml:space="preserve"> </w:t>
      </w:r>
      <w:proofErr w:type="spellStart"/>
      <w:r>
        <w:rPr>
          <w:color w:val="000000"/>
        </w:rPr>
        <w:t>gösterebileceğine</w:t>
      </w:r>
      <w:proofErr w:type="spellEnd"/>
      <w:r>
        <w:rPr>
          <w:color w:val="000000"/>
        </w:rPr>
        <w:t xml:space="preserve"> </w:t>
      </w:r>
      <w:proofErr w:type="spellStart"/>
      <w:r>
        <w:rPr>
          <w:color w:val="000000"/>
        </w:rPr>
        <w:t>dair</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tablo</w:t>
      </w:r>
      <w:proofErr w:type="spellEnd"/>
      <w:r>
        <w:rPr>
          <w:color w:val="000000"/>
        </w:rPr>
        <w:t xml:space="preserve"> </w:t>
      </w:r>
      <w:proofErr w:type="spellStart"/>
      <w:r>
        <w:rPr>
          <w:color w:val="000000"/>
        </w:rPr>
        <w:t>oluşturulması</w:t>
      </w:r>
      <w:proofErr w:type="spellEnd"/>
      <w:r>
        <w:rPr>
          <w:color w:val="000000"/>
        </w:rPr>
        <w:t xml:space="preserve"> </w:t>
      </w:r>
      <w:proofErr w:type="spellStart"/>
      <w:r>
        <w:rPr>
          <w:color w:val="000000"/>
        </w:rPr>
        <w:t>istenmiştir</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veriler</w:t>
      </w:r>
      <w:proofErr w:type="spellEnd"/>
      <w:r>
        <w:rPr>
          <w:color w:val="000000"/>
        </w:rPr>
        <w:t xml:space="preserve"> </w:t>
      </w:r>
      <w:proofErr w:type="spellStart"/>
      <w:r>
        <w:rPr>
          <w:color w:val="000000"/>
        </w:rPr>
        <w:t>doğrultasında</w:t>
      </w:r>
      <w:proofErr w:type="spellEnd"/>
      <w:r>
        <w:rPr>
          <w:color w:val="000000"/>
        </w:rPr>
        <w:t xml:space="preserve"> </w:t>
      </w:r>
      <w:r>
        <w:rPr>
          <w:i/>
          <w:iCs/>
          <w:color w:val="000000"/>
        </w:rPr>
        <w:t>Tablo 3</w:t>
      </w:r>
      <w:r>
        <w:rPr>
          <w:color w:val="000000"/>
        </w:rPr>
        <w:t xml:space="preserve"> </w:t>
      </w:r>
      <w:proofErr w:type="spellStart"/>
      <w:r>
        <w:rPr>
          <w:color w:val="000000"/>
        </w:rPr>
        <w:t>ortaya</w:t>
      </w:r>
      <w:proofErr w:type="spellEnd"/>
      <w:r>
        <w:rPr>
          <w:color w:val="000000"/>
        </w:rPr>
        <w:t xml:space="preserve"> </w:t>
      </w:r>
      <w:proofErr w:type="spellStart"/>
      <w:r>
        <w:rPr>
          <w:color w:val="000000"/>
        </w:rPr>
        <w:t>çıkarılmıştır</w:t>
      </w:r>
      <w:proofErr w:type="spellEnd"/>
      <w:r>
        <w:rPr>
          <w:color w:val="000000"/>
        </w:rPr>
        <w:t>.</w:t>
      </w:r>
    </w:p>
    <w:p w14:paraId="435BB1EF" w14:textId="77777777" w:rsidR="001E7189" w:rsidRDefault="001E7189" w:rsidP="007513A1">
      <w:pPr>
        <w:pStyle w:val="NormalWeb"/>
        <w:spacing w:before="0" w:beforeAutospacing="0" w:after="0" w:afterAutospacing="0"/>
        <w:jc w:val="both"/>
        <w:rPr>
          <w:color w:val="000000"/>
        </w:rPr>
      </w:pPr>
    </w:p>
    <w:p w14:paraId="77ADFA38" w14:textId="77777777" w:rsidR="00114C6B" w:rsidRDefault="00114C6B" w:rsidP="007513A1">
      <w:pPr>
        <w:pStyle w:val="NormalWeb"/>
        <w:spacing w:before="0" w:beforeAutospacing="0" w:after="0" w:afterAutospacing="0"/>
        <w:jc w:val="both"/>
        <w:rPr>
          <w:color w:val="000000"/>
        </w:rPr>
      </w:pPr>
    </w:p>
    <w:p w14:paraId="0F3D9B59" w14:textId="77777777" w:rsidR="00114C6B" w:rsidRDefault="00114C6B" w:rsidP="007513A1">
      <w:pPr>
        <w:pStyle w:val="NormalWeb"/>
        <w:spacing w:before="0" w:beforeAutospacing="0" w:after="0" w:afterAutospacing="0"/>
        <w:jc w:val="both"/>
        <w:rPr>
          <w:color w:val="000000"/>
        </w:rPr>
      </w:pPr>
    </w:p>
    <w:p w14:paraId="6B9C0E26" w14:textId="77777777" w:rsidR="00114C6B" w:rsidRDefault="00114C6B" w:rsidP="007513A1">
      <w:pPr>
        <w:pStyle w:val="NormalWeb"/>
        <w:spacing w:before="0" w:beforeAutospacing="0" w:after="0" w:afterAutospacing="0"/>
        <w:jc w:val="both"/>
        <w:rPr>
          <w:color w:val="000000"/>
        </w:rPr>
      </w:pPr>
    </w:p>
    <w:p w14:paraId="5C09F2F1" w14:textId="77777777" w:rsidR="00114C6B" w:rsidRDefault="00114C6B" w:rsidP="007513A1">
      <w:pPr>
        <w:pStyle w:val="NormalWeb"/>
        <w:spacing w:before="0" w:beforeAutospacing="0" w:after="0" w:afterAutospacing="0"/>
        <w:jc w:val="both"/>
        <w:rPr>
          <w:color w:val="000000"/>
        </w:rPr>
      </w:pPr>
    </w:p>
    <w:p w14:paraId="2FC5FAE3" w14:textId="77777777" w:rsidR="001E7189" w:rsidRDefault="001E7189" w:rsidP="007513A1">
      <w:pPr>
        <w:pStyle w:val="ResimYazs"/>
        <w:spacing w:after="0"/>
        <w:jc w:val="center"/>
        <w:rPr>
          <w:i w:val="0"/>
          <w:iCs w:val="0"/>
          <w:color w:val="000000"/>
          <w:sz w:val="22"/>
          <w:szCs w:val="22"/>
        </w:rPr>
      </w:pPr>
      <w:r>
        <w:rPr>
          <w:rFonts w:ascii="Times New Roman" w:hAnsi="Times New Roman" w:cs="Times New Roman"/>
          <w:b/>
          <w:bCs/>
          <w:color w:val="auto"/>
          <w:sz w:val="20"/>
          <w:szCs w:val="20"/>
        </w:rPr>
        <w:t>Tablo 3</w:t>
      </w:r>
      <w:r>
        <w:rPr>
          <w:rFonts w:ascii="Times New Roman" w:hAnsi="Times New Roman" w:cs="Times New Roman"/>
          <w:color w:val="auto"/>
          <w:sz w:val="20"/>
          <w:szCs w:val="20"/>
        </w:rPr>
        <w:t xml:space="preserve">: </w:t>
      </w:r>
      <w:r>
        <w:rPr>
          <w:rFonts w:ascii="Times New Roman" w:eastAsia="SimSun" w:hAnsi="Times New Roman" w:cs="Times New Roman"/>
          <w:color w:val="auto"/>
          <w:sz w:val="20"/>
          <w:szCs w:val="20"/>
        </w:rPr>
        <w:t>Çalışanlar İçin Alerjen ve Servis Bilgilendirme Tablosu</w:t>
      </w:r>
    </w:p>
    <w:p w14:paraId="5936A0DE" w14:textId="77777777" w:rsidR="001E7189" w:rsidRDefault="001E7189" w:rsidP="007513A1">
      <w:pPr>
        <w:pStyle w:val="NormalWeb"/>
        <w:spacing w:before="0" w:beforeAutospacing="0" w:after="0" w:afterAutospacing="0"/>
        <w:jc w:val="both"/>
        <w:rPr>
          <w:color w:val="000000"/>
        </w:rPr>
      </w:pPr>
    </w:p>
    <w:tbl>
      <w:tblPr>
        <w:tblStyle w:val="TabloKlavuzu"/>
        <w:tblW w:w="0" w:type="auto"/>
        <w:tblLook w:val="04A0" w:firstRow="1" w:lastRow="0" w:firstColumn="1" w:lastColumn="0" w:noHBand="0" w:noVBand="1"/>
      </w:tblPr>
      <w:tblGrid>
        <w:gridCol w:w="2109"/>
        <w:gridCol w:w="2109"/>
        <w:gridCol w:w="2109"/>
        <w:gridCol w:w="2109"/>
      </w:tblGrid>
      <w:tr w:rsidR="001E7189" w14:paraId="627984E3" w14:textId="77777777" w:rsidTr="00D23BA5">
        <w:tc>
          <w:tcPr>
            <w:tcW w:w="210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6"/>
            </w:tblGrid>
            <w:tr w:rsidR="001E7189" w14:paraId="15775AA4" w14:textId="77777777" w:rsidTr="00D23BA5">
              <w:trPr>
                <w:tblCellSpacing w:w="15" w:type="dxa"/>
              </w:trPr>
              <w:tc>
                <w:tcPr>
                  <w:tcW w:w="0" w:type="auto"/>
                  <w:shd w:val="clear" w:color="auto" w:fill="auto"/>
                  <w:vAlign w:val="center"/>
                </w:tcPr>
                <w:p w14:paraId="1FC64CA7" w14:textId="77777777" w:rsidR="001E7189" w:rsidRDefault="001E7189" w:rsidP="007513A1">
                  <w:pPr>
                    <w:jc w:val="both"/>
                    <w:rPr>
                      <w:b/>
                      <w:bCs/>
                      <w:sz w:val="20"/>
                      <w:szCs w:val="20"/>
                    </w:rPr>
                  </w:pPr>
                  <w:proofErr w:type="spellStart"/>
                  <w:r>
                    <w:rPr>
                      <w:rStyle w:val="Gl"/>
                      <w:rFonts w:eastAsia="SimSun"/>
                      <w:sz w:val="20"/>
                      <w:szCs w:val="20"/>
                      <w:lang w:val="en-US" w:eastAsia="zh-CN" w:bidi="ar"/>
                    </w:rPr>
                    <w:t>Kategori</w:t>
                  </w:r>
                  <w:proofErr w:type="spellEnd"/>
                </w:p>
              </w:tc>
            </w:tr>
          </w:tbl>
          <w:p w14:paraId="1EDD135B" w14:textId="77777777" w:rsidR="001E7189" w:rsidRDefault="001E7189" w:rsidP="007513A1">
            <w:pPr>
              <w:jc w:val="both"/>
              <w:rPr>
                <w:color w:val="000000"/>
                <w:sz w:val="20"/>
                <w:szCs w:val="20"/>
              </w:rPr>
            </w:pPr>
          </w:p>
        </w:tc>
        <w:tc>
          <w:tcPr>
            <w:tcW w:w="210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62"/>
            </w:tblGrid>
            <w:tr w:rsidR="001E7189" w14:paraId="7F309E7C" w14:textId="77777777" w:rsidTr="00D23BA5">
              <w:trPr>
                <w:tblCellSpacing w:w="15" w:type="dxa"/>
              </w:trPr>
              <w:tc>
                <w:tcPr>
                  <w:tcW w:w="0" w:type="auto"/>
                  <w:shd w:val="clear" w:color="auto" w:fill="auto"/>
                  <w:vAlign w:val="center"/>
                </w:tcPr>
                <w:p w14:paraId="223C525E" w14:textId="77777777" w:rsidR="001E7189" w:rsidRDefault="001E7189" w:rsidP="007513A1">
                  <w:pPr>
                    <w:jc w:val="both"/>
                    <w:rPr>
                      <w:b/>
                      <w:bCs/>
                      <w:sz w:val="20"/>
                      <w:szCs w:val="20"/>
                    </w:rPr>
                  </w:pPr>
                  <w:r>
                    <w:rPr>
                      <w:rStyle w:val="Gl"/>
                      <w:rFonts w:eastAsia="SimSun"/>
                      <w:sz w:val="20"/>
                      <w:szCs w:val="20"/>
                      <w:lang w:eastAsia="zh-CN" w:bidi="ar"/>
                    </w:rPr>
                    <w:t xml:space="preserve">Alt </w:t>
                  </w:r>
                  <w:proofErr w:type="spellStart"/>
                  <w:r>
                    <w:rPr>
                      <w:rStyle w:val="Gl"/>
                      <w:rFonts w:eastAsia="SimSun"/>
                      <w:sz w:val="20"/>
                      <w:szCs w:val="20"/>
                      <w:lang w:val="en-US" w:eastAsia="zh-CN" w:bidi="ar"/>
                    </w:rPr>
                    <w:t>Kategori</w:t>
                  </w:r>
                  <w:proofErr w:type="spellEnd"/>
                </w:p>
              </w:tc>
            </w:tr>
          </w:tbl>
          <w:p w14:paraId="073D000C" w14:textId="77777777" w:rsidR="001E7189" w:rsidRDefault="001E7189" w:rsidP="007513A1">
            <w:pPr>
              <w:jc w:val="both"/>
              <w:rPr>
                <w:color w:val="000000"/>
                <w:sz w:val="20"/>
                <w:szCs w:val="20"/>
              </w:rPr>
            </w:pPr>
          </w:p>
        </w:tc>
        <w:tc>
          <w:tcPr>
            <w:tcW w:w="210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13"/>
            </w:tblGrid>
            <w:tr w:rsidR="001E7189" w14:paraId="50916AFF" w14:textId="77777777" w:rsidTr="00D23BA5">
              <w:trPr>
                <w:tblCellSpacing w:w="15" w:type="dxa"/>
              </w:trPr>
              <w:tc>
                <w:tcPr>
                  <w:tcW w:w="0" w:type="auto"/>
                  <w:shd w:val="clear" w:color="auto" w:fill="auto"/>
                  <w:vAlign w:val="center"/>
                </w:tcPr>
                <w:p w14:paraId="4A378FB8" w14:textId="77777777" w:rsidR="001E7189" w:rsidRDefault="001E7189" w:rsidP="007513A1">
                  <w:pPr>
                    <w:jc w:val="both"/>
                    <w:rPr>
                      <w:b/>
                      <w:bCs/>
                      <w:sz w:val="20"/>
                      <w:szCs w:val="20"/>
                    </w:rPr>
                  </w:pPr>
                  <w:r>
                    <w:rPr>
                      <w:b/>
                      <w:bCs/>
                      <w:sz w:val="20"/>
                      <w:szCs w:val="20"/>
                    </w:rPr>
                    <w:t>Açıklama</w:t>
                  </w:r>
                </w:p>
              </w:tc>
            </w:tr>
          </w:tbl>
          <w:p w14:paraId="75C29AB7" w14:textId="77777777" w:rsidR="001E7189" w:rsidRDefault="001E7189" w:rsidP="007513A1">
            <w:pPr>
              <w:jc w:val="both"/>
              <w:rPr>
                <w:color w:val="000000"/>
                <w:sz w:val="20"/>
                <w:szCs w:val="20"/>
              </w:rPr>
            </w:pPr>
          </w:p>
        </w:tc>
        <w:tc>
          <w:tcPr>
            <w:tcW w:w="210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46"/>
            </w:tblGrid>
            <w:tr w:rsidR="001E7189" w14:paraId="7F0520A2" w14:textId="77777777" w:rsidTr="00D23BA5">
              <w:trPr>
                <w:tblCellSpacing w:w="15" w:type="dxa"/>
              </w:trPr>
              <w:tc>
                <w:tcPr>
                  <w:tcW w:w="0" w:type="auto"/>
                  <w:shd w:val="clear" w:color="auto" w:fill="auto"/>
                  <w:vAlign w:val="center"/>
                </w:tcPr>
                <w:p w14:paraId="45B655C4" w14:textId="77777777" w:rsidR="001E7189" w:rsidRDefault="001E7189" w:rsidP="007513A1">
                  <w:pPr>
                    <w:jc w:val="both"/>
                    <w:rPr>
                      <w:b/>
                      <w:bCs/>
                      <w:sz w:val="20"/>
                      <w:szCs w:val="20"/>
                    </w:rPr>
                  </w:pPr>
                  <w:r>
                    <w:rPr>
                      <w:rStyle w:val="Gl"/>
                      <w:rFonts w:eastAsia="SimSun"/>
                      <w:sz w:val="20"/>
                      <w:szCs w:val="20"/>
                      <w:lang w:eastAsia="zh-CN" w:bidi="ar"/>
                    </w:rPr>
                    <w:t>Örnek</w:t>
                  </w:r>
                </w:p>
              </w:tc>
            </w:tr>
          </w:tbl>
          <w:p w14:paraId="02C1DE4B" w14:textId="77777777" w:rsidR="001E7189" w:rsidRDefault="001E7189" w:rsidP="007513A1">
            <w:pPr>
              <w:jc w:val="both"/>
              <w:rPr>
                <w:color w:val="000000"/>
                <w:sz w:val="20"/>
                <w:szCs w:val="20"/>
              </w:rPr>
            </w:pPr>
          </w:p>
        </w:tc>
      </w:tr>
      <w:tr w:rsidR="001E7189" w14:paraId="62CF34A9" w14:textId="77777777" w:rsidTr="00D23BA5">
        <w:tc>
          <w:tcPr>
            <w:tcW w:w="2109" w:type="dxa"/>
          </w:tcPr>
          <w:p w14:paraId="6AEBE7A9" w14:textId="77777777" w:rsidR="001E7189" w:rsidRDefault="001E7189" w:rsidP="007513A1">
            <w:pPr>
              <w:pStyle w:val="NormalWeb"/>
              <w:spacing w:before="0" w:beforeAutospacing="0" w:after="0" w:afterAutospacing="0"/>
              <w:jc w:val="both"/>
              <w:rPr>
                <w:b/>
                <w:bCs/>
                <w:color w:val="000000"/>
                <w:sz w:val="20"/>
                <w:szCs w:val="20"/>
              </w:rPr>
            </w:pPr>
            <w:proofErr w:type="spellStart"/>
            <w:r>
              <w:rPr>
                <w:rFonts w:eastAsia="SimSun"/>
                <w:b/>
                <w:bCs/>
                <w:sz w:val="20"/>
                <w:szCs w:val="20"/>
              </w:rPr>
              <w:t>Girdi</w:t>
            </w:r>
            <w:proofErr w:type="spellEnd"/>
            <w:r>
              <w:rPr>
                <w:rFonts w:eastAsia="SimSun"/>
                <w:b/>
                <w:bCs/>
                <w:sz w:val="20"/>
                <w:szCs w:val="20"/>
              </w:rPr>
              <w:t xml:space="preserve"> </w:t>
            </w:r>
            <w:proofErr w:type="spellStart"/>
            <w:r>
              <w:rPr>
                <w:rFonts w:eastAsia="SimSun"/>
                <w:b/>
                <w:bCs/>
                <w:sz w:val="20"/>
                <w:szCs w:val="20"/>
              </w:rPr>
              <w:t>Anlamları</w:t>
            </w:r>
            <w:proofErr w:type="spellEnd"/>
            <w:r>
              <w:rPr>
                <w:rFonts w:eastAsia="SimSun"/>
                <w:b/>
                <w:bCs/>
                <w:sz w:val="20"/>
                <w:szCs w:val="20"/>
              </w:rPr>
              <w:t xml:space="preserve"> (Input Semantics)</w:t>
            </w:r>
          </w:p>
        </w:tc>
        <w:tc>
          <w:tcPr>
            <w:tcW w:w="2109" w:type="dxa"/>
          </w:tcPr>
          <w:p w14:paraId="77231E26"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Meta Dil </w:t>
            </w:r>
            <w:proofErr w:type="spellStart"/>
            <w:r>
              <w:rPr>
                <w:rFonts w:eastAsia="SimSun"/>
                <w:sz w:val="20"/>
                <w:szCs w:val="20"/>
              </w:rPr>
              <w:t>Oluşturma</w:t>
            </w:r>
            <w:proofErr w:type="spellEnd"/>
          </w:p>
        </w:tc>
        <w:tc>
          <w:tcPr>
            <w:tcW w:w="2109" w:type="dxa"/>
          </w:tcPr>
          <w:p w14:paraId="19489D41"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Belirli</w:t>
            </w:r>
            <w:proofErr w:type="spellEnd"/>
            <w:r>
              <w:rPr>
                <w:rFonts w:eastAsia="SimSun"/>
                <w:sz w:val="20"/>
                <w:szCs w:val="20"/>
              </w:rPr>
              <w:t xml:space="preserve"> </w:t>
            </w:r>
            <w:proofErr w:type="spellStart"/>
            <w:r>
              <w:rPr>
                <w:rFonts w:eastAsia="SimSun"/>
                <w:sz w:val="20"/>
                <w:szCs w:val="20"/>
              </w:rPr>
              <w:t>kısaltmaların</w:t>
            </w:r>
            <w:proofErr w:type="spellEnd"/>
            <w:r>
              <w:rPr>
                <w:rFonts w:eastAsia="SimSun"/>
                <w:sz w:val="20"/>
                <w:szCs w:val="20"/>
              </w:rPr>
              <w:t xml:space="preserve"> </w:t>
            </w:r>
            <w:proofErr w:type="spellStart"/>
            <w:r>
              <w:rPr>
                <w:rFonts w:eastAsia="SimSun"/>
                <w:sz w:val="20"/>
                <w:szCs w:val="20"/>
              </w:rPr>
              <w:t>anlamlarını</w:t>
            </w:r>
            <w:proofErr w:type="spellEnd"/>
            <w:r>
              <w:rPr>
                <w:rFonts w:eastAsia="SimSun"/>
                <w:sz w:val="20"/>
                <w:szCs w:val="20"/>
              </w:rPr>
              <w:t xml:space="preserve"> </w:t>
            </w:r>
            <w:proofErr w:type="spellStart"/>
            <w:r>
              <w:rPr>
                <w:rFonts w:eastAsia="SimSun"/>
                <w:sz w:val="20"/>
                <w:szCs w:val="20"/>
              </w:rPr>
              <w:t>tanımlama</w:t>
            </w:r>
            <w:proofErr w:type="spellEnd"/>
          </w:p>
        </w:tc>
        <w:tc>
          <w:tcPr>
            <w:tcW w:w="2109" w:type="dxa"/>
          </w:tcPr>
          <w:p w14:paraId="11C58D6C"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"'AP' = '</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Protokolü</w:t>
            </w:r>
            <w:proofErr w:type="spellEnd"/>
            <w:r>
              <w:rPr>
                <w:rFonts w:eastAsia="SimSun"/>
                <w:sz w:val="20"/>
                <w:szCs w:val="20"/>
              </w:rPr>
              <w:t>', 'CT' = '</w:t>
            </w:r>
            <w:proofErr w:type="spellStart"/>
            <w:r>
              <w:rPr>
                <w:rFonts w:eastAsia="SimSun"/>
                <w:sz w:val="20"/>
                <w:szCs w:val="20"/>
              </w:rPr>
              <w:t>Çapraz</w:t>
            </w:r>
            <w:proofErr w:type="spellEnd"/>
            <w:r>
              <w:rPr>
                <w:rFonts w:eastAsia="SimSun"/>
                <w:sz w:val="20"/>
                <w:szCs w:val="20"/>
              </w:rPr>
              <w:t xml:space="preserve"> Temas </w:t>
            </w:r>
            <w:proofErr w:type="spellStart"/>
            <w:r>
              <w:rPr>
                <w:rFonts w:eastAsia="SimSun"/>
                <w:sz w:val="20"/>
                <w:szCs w:val="20"/>
              </w:rPr>
              <w:t>Önleme</w:t>
            </w:r>
            <w:proofErr w:type="spellEnd"/>
            <w:r>
              <w:rPr>
                <w:rFonts w:eastAsia="SimSun"/>
                <w:sz w:val="20"/>
                <w:szCs w:val="20"/>
              </w:rPr>
              <w:t>'"</w:t>
            </w:r>
          </w:p>
        </w:tc>
      </w:tr>
      <w:tr w:rsidR="001E7189" w14:paraId="282E2C37" w14:textId="77777777" w:rsidTr="00D23BA5">
        <w:tc>
          <w:tcPr>
            <w:tcW w:w="2109" w:type="dxa"/>
          </w:tcPr>
          <w:p w14:paraId="42241BB9"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7E486A5C"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Hata </w:t>
            </w:r>
            <w:proofErr w:type="spellStart"/>
            <w:r>
              <w:rPr>
                <w:rFonts w:eastAsia="SimSun"/>
                <w:sz w:val="20"/>
                <w:szCs w:val="20"/>
              </w:rPr>
              <w:t>Tespiti</w:t>
            </w:r>
            <w:proofErr w:type="spellEnd"/>
          </w:p>
        </w:tc>
        <w:tc>
          <w:tcPr>
            <w:tcW w:w="2109" w:type="dxa"/>
          </w:tcPr>
          <w:p w14:paraId="3B2549AD"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Hataları</w:t>
            </w:r>
            <w:proofErr w:type="spellEnd"/>
            <w:r>
              <w:rPr>
                <w:rFonts w:eastAsia="SimSun"/>
                <w:sz w:val="20"/>
                <w:szCs w:val="20"/>
              </w:rPr>
              <w:t xml:space="preserve"> </w:t>
            </w:r>
            <w:proofErr w:type="spellStart"/>
            <w:r>
              <w:rPr>
                <w:rFonts w:eastAsia="SimSun"/>
                <w:sz w:val="20"/>
                <w:szCs w:val="20"/>
              </w:rPr>
              <w:t>belirleme</w:t>
            </w:r>
            <w:proofErr w:type="spellEnd"/>
            <w:r>
              <w:rPr>
                <w:rFonts w:eastAsia="SimSun"/>
                <w:sz w:val="20"/>
                <w:szCs w:val="20"/>
              </w:rPr>
              <w:t xml:space="preserve"> </w:t>
            </w:r>
            <w:proofErr w:type="spellStart"/>
            <w:r>
              <w:rPr>
                <w:rFonts w:eastAsia="SimSun"/>
                <w:sz w:val="20"/>
                <w:szCs w:val="20"/>
              </w:rPr>
              <w:t>ve</w:t>
            </w:r>
            <w:proofErr w:type="spellEnd"/>
            <w:r>
              <w:rPr>
                <w:rFonts w:eastAsia="SimSun"/>
                <w:sz w:val="20"/>
                <w:szCs w:val="20"/>
              </w:rPr>
              <w:t xml:space="preserve"> </w:t>
            </w:r>
            <w:proofErr w:type="spellStart"/>
            <w:r>
              <w:rPr>
                <w:rFonts w:eastAsia="SimSun"/>
                <w:sz w:val="20"/>
                <w:szCs w:val="20"/>
              </w:rPr>
              <w:t>önleme</w:t>
            </w:r>
            <w:proofErr w:type="spellEnd"/>
            <w:r>
              <w:rPr>
                <w:rFonts w:eastAsia="SimSun"/>
                <w:sz w:val="20"/>
                <w:szCs w:val="20"/>
              </w:rPr>
              <w:t xml:space="preserve"> </w:t>
            </w:r>
            <w:proofErr w:type="spellStart"/>
            <w:r>
              <w:rPr>
                <w:rFonts w:eastAsia="SimSun"/>
                <w:sz w:val="20"/>
                <w:szCs w:val="20"/>
              </w:rPr>
              <w:t>süreçlerini</w:t>
            </w:r>
            <w:proofErr w:type="spellEnd"/>
            <w:r>
              <w:rPr>
                <w:rFonts w:eastAsia="SimSun"/>
                <w:sz w:val="20"/>
                <w:szCs w:val="20"/>
              </w:rPr>
              <w:t xml:space="preserve"> </w:t>
            </w:r>
            <w:proofErr w:type="spellStart"/>
            <w:r>
              <w:rPr>
                <w:rFonts w:eastAsia="SimSun"/>
                <w:sz w:val="20"/>
                <w:szCs w:val="20"/>
              </w:rPr>
              <w:t>tanımlama</w:t>
            </w:r>
            <w:proofErr w:type="spellEnd"/>
          </w:p>
        </w:tc>
        <w:tc>
          <w:tcPr>
            <w:tcW w:w="2109" w:type="dxa"/>
          </w:tcPr>
          <w:p w14:paraId="20884E3D"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"AP </w:t>
            </w:r>
            <w:proofErr w:type="spellStart"/>
            <w:r>
              <w:rPr>
                <w:rFonts w:eastAsia="SimSun"/>
                <w:sz w:val="20"/>
                <w:szCs w:val="20"/>
              </w:rPr>
              <w:t>ile</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yemek</w:t>
            </w:r>
            <w:proofErr w:type="spellEnd"/>
            <w:r>
              <w:rPr>
                <w:rFonts w:eastAsia="SimSun"/>
                <w:sz w:val="20"/>
                <w:szCs w:val="20"/>
              </w:rPr>
              <w:t xml:space="preserve"> </w:t>
            </w:r>
            <w:proofErr w:type="spellStart"/>
            <w:r>
              <w:rPr>
                <w:rFonts w:eastAsia="SimSun"/>
                <w:sz w:val="20"/>
                <w:szCs w:val="20"/>
              </w:rPr>
              <w:t>hazırlanırken</w:t>
            </w:r>
            <w:proofErr w:type="spellEnd"/>
            <w:r>
              <w:rPr>
                <w:rFonts w:eastAsia="SimSun"/>
                <w:sz w:val="20"/>
                <w:szCs w:val="20"/>
              </w:rPr>
              <w:t xml:space="preserve">: </w:t>
            </w:r>
            <w:proofErr w:type="spellStart"/>
            <w:r>
              <w:rPr>
                <w:rFonts w:eastAsia="SimSun"/>
                <w:sz w:val="20"/>
                <w:szCs w:val="20"/>
              </w:rPr>
              <w:t>İçindekiler</w:t>
            </w:r>
            <w:proofErr w:type="spellEnd"/>
            <w:r>
              <w:rPr>
                <w:rFonts w:eastAsia="SimSun"/>
                <w:sz w:val="20"/>
                <w:szCs w:val="20"/>
              </w:rPr>
              <w:t xml:space="preserve"> </w:t>
            </w:r>
            <w:proofErr w:type="spellStart"/>
            <w:r>
              <w:rPr>
                <w:rFonts w:eastAsia="SimSun"/>
                <w:sz w:val="20"/>
                <w:szCs w:val="20"/>
              </w:rPr>
              <w:t>kontrolü</w:t>
            </w:r>
            <w:proofErr w:type="spellEnd"/>
            <w:r>
              <w:rPr>
                <w:rFonts w:eastAsia="SimSun"/>
                <w:sz w:val="20"/>
                <w:szCs w:val="20"/>
              </w:rPr>
              <w:t xml:space="preserve">, </w:t>
            </w:r>
            <w:proofErr w:type="spellStart"/>
            <w:r>
              <w:rPr>
                <w:rFonts w:eastAsia="SimSun"/>
                <w:sz w:val="20"/>
                <w:szCs w:val="20"/>
              </w:rPr>
              <w:t>ekipman</w:t>
            </w:r>
            <w:proofErr w:type="spellEnd"/>
            <w:r>
              <w:rPr>
                <w:rFonts w:eastAsia="SimSun"/>
                <w:sz w:val="20"/>
                <w:szCs w:val="20"/>
              </w:rPr>
              <w:t xml:space="preserve"> </w:t>
            </w:r>
            <w:proofErr w:type="spellStart"/>
            <w:r>
              <w:rPr>
                <w:rFonts w:eastAsia="SimSun"/>
                <w:sz w:val="20"/>
                <w:szCs w:val="20"/>
              </w:rPr>
              <w:t>temizliği</w:t>
            </w:r>
            <w:proofErr w:type="spellEnd"/>
            <w:r>
              <w:rPr>
                <w:rFonts w:eastAsia="SimSun"/>
                <w:sz w:val="20"/>
                <w:szCs w:val="20"/>
              </w:rPr>
              <w:t xml:space="preserve">, </w:t>
            </w:r>
            <w:proofErr w:type="spellStart"/>
            <w:r>
              <w:rPr>
                <w:rFonts w:eastAsia="SimSun"/>
                <w:sz w:val="20"/>
                <w:szCs w:val="20"/>
              </w:rPr>
              <w:t>sunum</w:t>
            </w:r>
            <w:proofErr w:type="spellEnd"/>
            <w:r>
              <w:rPr>
                <w:rFonts w:eastAsia="SimSun"/>
                <w:sz w:val="20"/>
                <w:szCs w:val="20"/>
              </w:rPr>
              <w:t xml:space="preserve"> </w:t>
            </w:r>
            <w:proofErr w:type="spellStart"/>
            <w:r>
              <w:rPr>
                <w:rFonts w:eastAsia="SimSun"/>
                <w:sz w:val="20"/>
                <w:szCs w:val="20"/>
              </w:rPr>
              <w:t>kontrolü</w:t>
            </w:r>
            <w:proofErr w:type="spellEnd"/>
            <w:r>
              <w:rPr>
                <w:rFonts w:eastAsia="SimSun"/>
                <w:sz w:val="20"/>
                <w:szCs w:val="20"/>
              </w:rPr>
              <w:t>"</w:t>
            </w:r>
          </w:p>
        </w:tc>
      </w:tr>
      <w:tr w:rsidR="001E7189" w14:paraId="01D2F1B0" w14:textId="77777777" w:rsidTr="00D23BA5">
        <w:tc>
          <w:tcPr>
            <w:tcW w:w="2109" w:type="dxa"/>
          </w:tcPr>
          <w:p w14:paraId="0E62FA59" w14:textId="77777777" w:rsidR="001E7189" w:rsidRDefault="001E7189" w:rsidP="007513A1">
            <w:pPr>
              <w:pStyle w:val="NormalWeb"/>
              <w:spacing w:before="0" w:beforeAutospacing="0" w:after="0" w:afterAutospacing="0"/>
              <w:jc w:val="both"/>
              <w:rPr>
                <w:b/>
                <w:bCs/>
                <w:color w:val="000000"/>
                <w:sz w:val="20"/>
                <w:szCs w:val="20"/>
              </w:rPr>
            </w:pPr>
            <w:proofErr w:type="spellStart"/>
            <w:r>
              <w:rPr>
                <w:rFonts w:eastAsia="SimSun"/>
                <w:b/>
                <w:bCs/>
                <w:sz w:val="20"/>
                <w:szCs w:val="20"/>
              </w:rPr>
              <w:t>Çıktı</w:t>
            </w:r>
            <w:proofErr w:type="spellEnd"/>
            <w:r>
              <w:rPr>
                <w:rFonts w:eastAsia="SimSun"/>
                <w:b/>
                <w:bCs/>
                <w:sz w:val="20"/>
                <w:szCs w:val="20"/>
              </w:rPr>
              <w:t xml:space="preserve"> </w:t>
            </w:r>
            <w:proofErr w:type="spellStart"/>
            <w:r>
              <w:rPr>
                <w:rFonts w:eastAsia="SimSun"/>
                <w:b/>
                <w:bCs/>
                <w:sz w:val="20"/>
                <w:szCs w:val="20"/>
              </w:rPr>
              <w:t>Özelleştirme</w:t>
            </w:r>
            <w:proofErr w:type="spellEnd"/>
            <w:r>
              <w:rPr>
                <w:rFonts w:eastAsia="SimSun"/>
                <w:b/>
                <w:bCs/>
                <w:sz w:val="20"/>
                <w:szCs w:val="20"/>
              </w:rPr>
              <w:t xml:space="preserve"> (Output Customization)</w:t>
            </w:r>
          </w:p>
        </w:tc>
        <w:tc>
          <w:tcPr>
            <w:tcW w:w="2109" w:type="dxa"/>
          </w:tcPr>
          <w:p w14:paraId="062ADCF0"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Persona</w:t>
            </w:r>
          </w:p>
        </w:tc>
        <w:tc>
          <w:tcPr>
            <w:tcW w:w="2109" w:type="dxa"/>
          </w:tcPr>
          <w:p w14:paraId="356A83EF"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Yanıtın</w:t>
            </w:r>
            <w:proofErr w:type="spellEnd"/>
            <w:r>
              <w:rPr>
                <w:rFonts w:eastAsia="SimSun"/>
                <w:sz w:val="20"/>
                <w:szCs w:val="20"/>
              </w:rPr>
              <w:t xml:space="preserve"> </w:t>
            </w:r>
            <w:proofErr w:type="spellStart"/>
            <w:r>
              <w:rPr>
                <w:rFonts w:eastAsia="SimSun"/>
                <w:sz w:val="20"/>
                <w:szCs w:val="20"/>
              </w:rPr>
              <w:t>belirli</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uzmanlık</w:t>
            </w:r>
            <w:proofErr w:type="spellEnd"/>
            <w:r>
              <w:rPr>
                <w:rFonts w:eastAsia="SimSun"/>
                <w:sz w:val="20"/>
                <w:szCs w:val="20"/>
              </w:rPr>
              <w:t xml:space="preserve"> </w:t>
            </w:r>
            <w:proofErr w:type="spellStart"/>
            <w:r>
              <w:rPr>
                <w:rFonts w:eastAsia="SimSun"/>
                <w:sz w:val="20"/>
                <w:szCs w:val="20"/>
              </w:rPr>
              <w:t>alanına</w:t>
            </w:r>
            <w:proofErr w:type="spellEnd"/>
            <w:r>
              <w:rPr>
                <w:rFonts w:eastAsia="SimSun"/>
                <w:sz w:val="20"/>
                <w:szCs w:val="20"/>
              </w:rPr>
              <w:t xml:space="preserve"> </w:t>
            </w:r>
            <w:proofErr w:type="spellStart"/>
            <w:r>
              <w:rPr>
                <w:rFonts w:eastAsia="SimSun"/>
                <w:sz w:val="20"/>
                <w:szCs w:val="20"/>
              </w:rPr>
              <w:t>göre</w:t>
            </w:r>
            <w:proofErr w:type="spellEnd"/>
            <w:r>
              <w:rPr>
                <w:rFonts w:eastAsia="SimSun"/>
                <w:sz w:val="20"/>
                <w:szCs w:val="20"/>
              </w:rPr>
              <w:t xml:space="preserve"> </w:t>
            </w:r>
            <w:proofErr w:type="spellStart"/>
            <w:r>
              <w:rPr>
                <w:rFonts w:eastAsia="SimSun"/>
                <w:sz w:val="20"/>
                <w:szCs w:val="20"/>
              </w:rPr>
              <w:t>şekillendirilmesi</w:t>
            </w:r>
            <w:proofErr w:type="spellEnd"/>
          </w:p>
        </w:tc>
        <w:tc>
          <w:tcPr>
            <w:tcW w:w="2109" w:type="dxa"/>
          </w:tcPr>
          <w:p w14:paraId="525429C3"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"Bir </w:t>
            </w:r>
            <w:proofErr w:type="spellStart"/>
            <w:r>
              <w:rPr>
                <w:rFonts w:eastAsia="SimSun"/>
                <w:sz w:val="20"/>
                <w:szCs w:val="20"/>
              </w:rPr>
              <w:t>restoran</w:t>
            </w:r>
            <w:proofErr w:type="spellEnd"/>
            <w:r>
              <w:rPr>
                <w:rFonts w:eastAsia="SimSun"/>
                <w:sz w:val="20"/>
                <w:szCs w:val="20"/>
              </w:rPr>
              <w:t xml:space="preserve"> </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yönetim</w:t>
            </w:r>
            <w:proofErr w:type="spellEnd"/>
            <w:r>
              <w:rPr>
                <w:rFonts w:eastAsia="SimSun"/>
                <w:sz w:val="20"/>
                <w:szCs w:val="20"/>
              </w:rPr>
              <w:t xml:space="preserve"> </w:t>
            </w:r>
            <w:proofErr w:type="spellStart"/>
            <w:r>
              <w:rPr>
                <w:rFonts w:eastAsia="SimSun"/>
                <w:sz w:val="20"/>
                <w:szCs w:val="20"/>
              </w:rPr>
              <w:t>danışmanı</w:t>
            </w:r>
            <w:proofErr w:type="spellEnd"/>
            <w:r>
              <w:rPr>
                <w:rFonts w:eastAsia="SimSun"/>
                <w:sz w:val="20"/>
                <w:szCs w:val="20"/>
              </w:rPr>
              <w:t xml:space="preserve"> </w:t>
            </w:r>
            <w:proofErr w:type="spellStart"/>
            <w:r>
              <w:rPr>
                <w:rFonts w:eastAsia="SimSun"/>
                <w:sz w:val="20"/>
                <w:szCs w:val="20"/>
              </w:rPr>
              <w:t>gibi</w:t>
            </w:r>
            <w:proofErr w:type="spellEnd"/>
            <w:r>
              <w:rPr>
                <w:rFonts w:eastAsia="SimSun"/>
                <w:sz w:val="20"/>
                <w:szCs w:val="20"/>
              </w:rPr>
              <w:t xml:space="preserve"> </w:t>
            </w:r>
            <w:proofErr w:type="spellStart"/>
            <w:r>
              <w:rPr>
                <w:rFonts w:eastAsia="SimSun"/>
                <w:sz w:val="20"/>
                <w:szCs w:val="20"/>
              </w:rPr>
              <w:t>davran</w:t>
            </w:r>
            <w:proofErr w:type="spellEnd"/>
            <w:r>
              <w:rPr>
                <w:rFonts w:eastAsia="SimSun"/>
                <w:sz w:val="20"/>
                <w:szCs w:val="20"/>
              </w:rPr>
              <w:t>"</w:t>
            </w:r>
          </w:p>
        </w:tc>
      </w:tr>
      <w:tr w:rsidR="001E7189" w14:paraId="204F1D03" w14:textId="77777777" w:rsidTr="00D23BA5">
        <w:tc>
          <w:tcPr>
            <w:tcW w:w="2109" w:type="dxa"/>
          </w:tcPr>
          <w:p w14:paraId="148EAA3B"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4025633E"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Şablon</w:t>
            </w:r>
            <w:proofErr w:type="spellEnd"/>
          </w:p>
        </w:tc>
        <w:tc>
          <w:tcPr>
            <w:tcW w:w="2109" w:type="dxa"/>
          </w:tcPr>
          <w:p w14:paraId="755D08C7"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Belirli</w:t>
            </w:r>
            <w:proofErr w:type="spellEnd"/>
            <w:r>
              <w:rPr>
                <w:rFonts w:eastAsia="SimSun"/>
                <w:sz w:val="20"/>
                <w:szCs w:val="20"/>
              </w:rPr>
              <w:t xml:space="preserve"> </w:t>
            </w:r>
            <w:proofErr w:type="spellStart"/>
            <w:r>
              <w:rPr>
                <w:rFonts w:eastAsia="SimSun"/>
                <w:sz w:val="20"/>
                <w:szCs w:val="20"/>
              </w:rPr>
              <w:t>formatta</w:t>
            </w:r>
            <w:proofErr w:type="spellEnd"/>
            <w:r>
              <w:rPr>
                <w:rFonts w:eastAsia="SimSun"/>
                <w:sz w:val="20"/>
                <w:szCs w:val="20"/>
              </w:rPr>
              <w:t xml:space="preserve"> </w:t>
            </w:r>
            <w:proofErr w:type="spellStart"/>
            <w:r>
              <w:rPr>
                <w:rFonts w:eastAsia="SimSun"/>
                <w:sz w:val="20"/>
                <w:szCs w:val="20"/>
              </w:rPr>
              <w:t>bilgi</w:t>
            </w:r>
            <w:proofErr w:type="spellEnd"/>
            <w:r>
              <w:rPr>
                <w:rFonts w:eastAsia="SimSun"/>
                <w:sz w:val="20"/>
                <w:szCs w:val="20"/>
              </w:rPr>
              <w:t xml:space="preserve"> </w:t>
            </w:r>
            <w:proofErr w:type="spellStart"/>
            <w:r>
              <w:rPr>
                <w:rFonts w:eastAsia="SimSun"/>
                <w:sz w:val="20"/>
                <w:szCs w:val="20"/>
              </w:rPr>
              <w:t>sunma</w:t>
            </w:r>
            <w:proofErr w:type="spellEnd"/>
          </w:p>
        </w:tc>
        <w:tc>
          <w:tcPr>
            <w:tcW w:w="2109" w:type="dxa"/>
          </w:tcPr>
          <w:p w14:paraId="0D26B089"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w:t>
            </w:r>
            <w:proofErr w:type="spellStart"/>
            <w:r>
              <w:rPr>
                <w:rFonts w:eastAsia="SimSun"/>
                <w:sz w:val="20"/>
                <w:szCs w:val="20"/>
              </w:rPr>
              <w:t>Yemek</w:t>
            </w:r>
            <w:proofErr w:type="spellEnd"/>
            <w:r>
              <w:rPr>
                <w:rFonts w:eastAsia="SimSun"/>
                <w:sz w:val="20"/>
                <w:szCs w:val="20"/>
              </w:rPr>
              <w:t xml:space="preserve"> </w:t>
            </w:r>
            <w:proofErr w:type="spellStart"/>
            <w:r>
              <w:rPr>
                <w:rFonts w:eastAsia="SimSun"/>
                <w:sz w:val="20"/>
                <w:szCs w:val="20"/>
              </w:rPr>
              <w:t>Adı</w:t>
            </w:r>
            <w:proofErr w:type="spellEnd"/>
            <w:r>
              <w:rPr>
                <w:rFonts w:eastAsia="SimSun"/>
                <w:sz w:val="20"/>
                <w:szCs w:val="20"/>
              </w:rPr>
              <w:t xml:space="preserve">: [AD], </w:t>
            </w:r>
            <w:proofErr w:type="spellStart"/>
            <w:r>
              <w:rPr>
                <w:rFonts w:eastAsia="SimSun"/>
                <w:sz w:val="20"/>
                <w:szCs w:val="20"/>
              </w:rPr>
              <w:t>İçindekiler</w:t>
            </w:r>
            <w:proofErr w:type="spellEnd"/>
            <w:r>
              <w:rPr>
                <w:rFonts w:eastAsia="SimSun"/>
                <w:sz w:val="20"/>
                <w:szCs w:val="20"/>
              </w:rPr>
              <w:t xml:space="preserve">: [MALZEMELER], </w:t>
            </w:r>
            <w:proofErr w:type="spellStart"/>
            <w:r>
              <w:rPr>
                <w:rFonts w:eastAsia="SimSun"/>
                <w:sz w:val="20"/>
                <w:szCs w:val="20"/>
              </w:rPr>
              <w:t>Fiyat</w:t>
            </w:r>
            <w:proofErr w:type="spellEnd"/>
            <w:r>
              <w:rPr>
                <w:rFonts w:eastAsia="SimSun"/>
                <w:sz w:val="20"/>
                <w:szCs w:val="20"/>
              </w:rPr>
              <w:t xml:space="preserve">: [FİYAT], </w:t>
            </w:r>
            <w:proofErr w:type="spellStart"/>
            <w:r>
              <w:rPr>
                <w:rFonts w:eastAsia="SimSun"/>
                <w:sz w:val="20"/>
                <w:szCs w:val="20"/>
              </w:rPr>
              <w:t>Alerjen</w:t>
            </w:r>
            <w:proofErr w:type="spellEnd"/>
            <w:r>
              <w:rPr>
                <w:rFonts w:eastAsia="SimSun"/>
                <w:sz w:val="20"/>
                <w:szCs w:val="20"/>
              </w:rPr>
              <w:t xml:space="preserve"> Durumu: [ALERJEN İÇERMEZ]"</w:t>
            </w:r>
          </w:p>
        </w:tc>
      </w:tr>
      <w:tr w:rsidR="001E7189" w14:paraId="12559A2F" w14:textId="77777777" w:rsidTr="00D23BA5">
        <w:tc>
          <w:tcPr>
            <w:tcW w:w="2109" w:type="dxa"/>
          </w:tcPr>
          <w:p w14:paraId="1618BA22" w14:textId="77777777" w:rsidR="001E7189" w:rsidRDefault="001E7189" w:rsidP="007513A1">
            <w:pPr>
              <w:pStyle w:val="NormalWeb"/>
              <w:spacing w:before="0" w:beforeAutospacing="0" w:after="0" w:afterAutospacing="0"/>
              <w:jc w:val="both"/>
              <w:rPr>
                <w:b/>
                <w:bCs/>
                <w:color w:val="000000"/>
                <w:sz w:val="20"/>
                <w:szCs w:val="20"/>
              </w:rPr>
            </w:pPr>
            <w:proofErr w:type="spellStart"/>
            <w:r>
              <w:rPr>
                <w:rFonts w:eastAsia="SimSun"/>
                <w:b/>
                <w:bCs/>
                <w:sz w:val="20"/>
                <w:szCs w:val="20"/>
              </w:rPr>
              <w:t>Görselleştirme</w:t>
            </w:r>
            <w:proofErr w:type="spellEnd"/>
            <w:r>
              <w:rPr>
                <w:rFonts w:eastAsia="SimSun"/>
                <w:b/>
                <w:bCs/>
                <w:sz w:val="20"/>
                <w:szCs w:val="20"/>
              </w:rPr>
              <w:t xml:space="preserve"> </w:t>
            </w:r>
            <w:proofErr w:type="spellStart"/>
            <w:r>
              <w:rPr>
                <w:rFonts w:eastAsia="SimSun"/>
                <w:b/>
                <w:bCs/>
                <w:sz w:val="20"/>
                <w:szCs w:val="20"/>
              </w:rPr>
              <w:t>Üreticisi</w:t>
            </w:r>
            <w:proofErr w:type="spellEnd"/>
            <w:r>
              <w:rPr>
                <w:rFonts w:eastAsia="SimSun"/>
                <w:b/>
                <w:bCs/>
                <w:sz w:val="20"/>
                <w:szCs w:val="20"/>
              </w:rPr>
              <w:t xml:space="preserve"> (Visualization Generator)</w:t>
            </w:r>
          </w:p>
        </w:tc>
        <w:tc>
          <w:tcPr>
            <w:tcW w:w="2109" w:type="dxa"/>
          </w:tcPr>
          <w:p w14:paraId="4DA96D1D"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Menü</w:t>
            </w:r>
            <w:proofErr w:type="spellEnd"/>
            <w:r>
              <w:rPr>
                <w:rFonts w:eastAsia="SimSun"/>
                <w:sz w:val="20"/>
                <w:szCs w:val="20"/>
              </w:rPr>
              <w:t xml:space="preserve"> </w:t>
            </w:r>
            <w:proofErr w:type="spellStart"/>
            <w:r>
              <w:rPr>
                <w:rFonts w:eastAsia="SimSun"/>
                <w:sz w:val="20"/>
                <w:szCs w:val="20"/>
              </w:rPr>
              <w:t>Görselleştirme</w:t>
            </w:r>
            <w:proofErr w:type="spellEnd"/>
          </w:p>
        </w:tc>
        <w:tc>
          <w:tcPr>
            <w:tcW w:w="2109" w:type="dxa"/>
          </w:tcPr>
          <w:p w14:paraId="77CBC54D"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simgeleriyle</w:t>
            </w:r>
            <w:proofErr w:type="spellEnd"/>
            <w:r>
              <w:rPr>
                <w:rFonts w:eastAsia="SimSun"/>
                <w:sz w:val="20"/>
                <w:szCs w:val="20"/>
              </w:rPr>
              <w:t xml:space="preserve"> </w:t>
            </w:r>
            <w:proofErr w:type="spellStart"/>
            <w:r>
              <w:rPr>
                <w:rFonts w:eastAsia="SimSun"/>
                <w:sz w:val="20"/>
                <w:szCs w:val="20"/>
              </w:rPr>
              <w:t>menü</w:t>
            </w:r>
            <w:proofErr w:type="spellEnd"/>
            <w:r>
              <w:rPr>
                <w:rFonts w:eastAsia="SimSun"/>
                <w:sz w:val="20"/>
                <w:szCs w:val="20"/>
              </w:rPr>
              <w:t xml:space="preserve"> </w:t>
            </w:r>
            <w:proofErr w:type="spellStart"/>
            <w:r>
              <w:rPr>
                <w:rFonts w:eastAsia="SimSun"/>
                <w:sz w:val="20"/>
                <w:szCs w:val="20"/>
              </w:rPr>
              <w:t>oluşturma</w:t>
            </w:r>
            <w:proofErr w:type="spellEnd"/>
          </w:p>
        </w:tc>
        <w:tc>
          <w:tcPr>
            <w:tcW w:w="2109" w:type="dxa"/>
          </w:tcPr>
          <w:p w14:paraId="5F5D1E05"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"Her </w:t>
            </w:r>
            <w:proofErr w:type="spellStart"/>
            <w:r>
              <w:rPr>
                <w:rFonts w:eastAsia="SimSun"/>
                <w:sz w:val="20"/>
                <w:szCs w:val="20"/>
              </w:rPr>
              <w:t>yemeğin</w:t>
            </w:r>
            <w:proofErr w:type="spellEnd"/>
            <w:r>
              <w:rPr>
                <w:rFonts w:eastAsia="SimSun"/>
                <w:sz w:val="20"/>
                <w:szCs w:val="20"/>
              </w:rPr>
              <w:t xml:space="preserve"> </w:t>
            </w:r>
            <w:proofErr w:type="spellStart"/>
            <w:r>
              <w:rPr>
                <w:rFonts w:eastAsia="SimSun"/>
                <w:sz w:val="20"/>
                <w:szCs w:val="20"/>
              </w:rPr>
              <w:t>yanına</w:t>
            </w:r>
            <w:proofErr w:type="spellEnd"/>
            <w:r>
              <w:rPr>
                <w:rFonts w:eastAsia="SimSun"/>
                <w:sz w:val="20"/>
                <w:szCs w:val="20"/>
              </w:rPr>
              <w:t xml:space="preserve"> </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simgeleri</w:t>
            </w:r>
            <w:proofErr w:type="spellEnd"/>
            <w:r>
              <w:rPr>
                <w:rFonts w:eastAsia="SimSun"/>
                <w:sz w:val="20"/>
                <w:szCs w:val="20"/>
              </w:rPr>
              <w:t xml:space="preserve"> </w:t>
            </w:r>
            <w:proofErr w:type="spellStart"/>
            <w:r>
              <w:rPr>
                <w:rFonts w:eastAsia="SimSun"/>
                <w:sz w:val="20"/>
                <w:szCs w:val="20"/>
              </w:rPr>
              <w:t>eklenmiş</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menü</w:t>
            </w:r>
            <w:proofErr w:type="spellEnd"/>
            <w:r>
              <w:rPr>
                <w:rFonts w:eastAsia="SimSun"/>
                <w:sz w:val="20"/>
                <w:szCs w:val="20"/>
              </w:rPr>
              <w:t xml:space="preserve"> </w:t>
            </w:r>
            <w:proofErr w:type="spellStart"/>
            <w:r>
              <w:rPr>
                <w:rFonts w:eastAsia="SimSun"/>
                <w:sz w:val="20"/>
                <w:szCs w:val="20"/>
              </w:rPr>
              <w:t>oluştur</w:t>
            </w:r>
            <w:proofErr w:type="spellEnd"/>
            <w:r>
              <w:rPr>
                <w:rFonts w:eastAsia="SimSun"/>
                <w:sz w:val="20"/>
                <w:szCs w:val="20"/>
              </w:rPr>
              <w:t>"</w:t>
            </w:r>
          </w:p>
        </w:tc>
      </w:tr>
      <w:tr w:rsidR="001E7189" w14:paraId="1821724F" w14:textId="77777777" w:rsidTr="00D23BA5">
        <w:tc>
          <w:tcPr>
            <w:tcW w:w="2109" w:type="dxa"/>
          </w:tcPr>
          <w:p w14:paraId="7908B3EB"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5DEB3D13"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Restoran</w:t>
            </w:r>
            <w:proofErr w:type="spellEnd"/>
            <w:r>
              <w:rPr>
                <w:rFonts w:eastAsia="SimSun"/>
                <w:sz w:val="20"/>
                <w:szCs w:val="20"/>
              </w:rPr>
              <w:t xml:space="preserve"> </w:t>
            </w:r>
            <w:proofErr w:type="spellStart"/>
            <w:r>
              <w:rPr>
                <w:rFonts w:eastAsia="SimSun"/>
                <w:sz w:val="20"/>
                <w:szCs w:val="20"/>
              </w:rPr>
              <w:t>Düzeni</w:t>
            </w:r>
            <w:proofErr w:type="spellEnd"/>
          </w:p>
        </w:tc>
        <w:tc>
          <w:tcPr>
            <w:tcW w:w="2109" w:type="dxa"/>
          </w:tcPr>
          <w:p w14:paraId="2492E1BD"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Mutfak</w:t>
            </w:r>
            <w:proofErr w:type="spellEnd"/>
            <w:r>
              <w:rPr>
                <w:rFonts w:eastAsia="SimSun"/>
                <w:sz w:val="20"/>
                <w:szCs w:val="20"/>
              </w:rPr>
              <w:t xml:space="preserve"> </w:t>
            </w:r>
            <w:proofErr w:type="spellStart"/>
            <w:r>
              <w:rPr>
                <w:rFonts w:eastAsia="SimSun"/>
                <w:sz w:val="20"/>
                <w:szCs w:val="20"/>
              </w:rPr>
              <w:t>düzenini</w:t>
            </w:r>
            <w:proofErr w:type="spellEnd"/>
            <w:r>
              <w:rPr>
                <w:rFonts w:eastAsia="SimSun"/>
                <w:sz w:val="20"/>
                <w:szCs w:val="20"/>
              </w:rPr>
              <w:t xml:space="preserve"> </w:t>
            </w:r>
            <w:proofErr w:type="spellStart"/>
            <w:r>
              <w:rPr>
                <w:rFonts w:eastAsia="SimSun"/>
                <w:sz w:val="20"/>
                <w:szCs w:val="20"/>
              </w:rPr>
              <w:t>alerjenlere</w:t>
            </w:r>
            <w:proofErr w:type="spellEnd"/>
            <w:r>
              <w:rPr>
                <w:rFonts w:eastAsia="SimSun"/>
                <w:sz w:val="20"/>
                <w:szCs w:val="20"/>
              </w:rPr>
              <w:t xml:space="preserve"> </w:t>
            </w:r>
            <w:proofErr w:type="spellStart"/>
            <w:r>
              <w:rPr>
                <w:rFonts w:eastAsia="SimSun"/>
                <w:sz w:val="20"/>
                <w:szCs w:val="20"/>
              </w:rPr>
              <w:t>göre</w:t>
            </w:r>
            <w:proofErr w:type="spellEnd"/>
            <w:r>
              <w:rPr>
                <w:rFonts w:eastAsia="SimSun"/>
                <w:sz w:val="20"/>
                <w:szCs w:val="20"/>
              </w:rPr>
              <w:t xml:space="preserve"> </w:t>
            </w:r>
            <w:proofErr w:type="spellStart"/>
            <w:r>
              <w:rPr>
                <w:rFonts w:eastAsia="SimSun"/>
                <w:sz w:val="20"/>
                <w:szCs w:val="20"/>
              </w:rPr>
              <w:t>görselleştirme</w:t>
            </w:r>
            <w:proofErr w:type="spellEnd"/>
          </w:p>
        </w:tc>
        <w:tc>
          <w:tcPr>
            <w:tcW w:w="2109" w:type="dxa"/>
          </w:tcPr>
          <w:p w14:paraId="31EACF5A"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w:t>
            </w:r>
            <w:proofErr w:type="spellStart"/>
            <w:r>
              <w:rPr>
                <w:rFonts w:eastAsia="SimSun"/>
                <w:sz w:val="20"/>
                <w:szCs w:val="20"/>
              </w:rPr>
              <w:t>Graphviz</w:t>
            </w:r>
            <w:proofErr w:type="spellEnd"/>
            <w:r>
              <w:rPr>
                <w:rFonts w:eastAsia="SimSun"/>
                <w:sz w:val="20"/>
                <w:szCs w:val="20"/>
              </w:rPr>
              <w:t xml:space="preserve"> Dot </w:t>
            </w:r>
            <w:proofErr w:type="spellStart"/>
            <w:r>
              <w:rPr>
                <w:rFonts w:eastAsia="SimSun"/>
                <w:sz w:val="20"/>
                <w:szCs w:val="20"/>
              </w:rPr>
              <w:t>kodu</w:t>
            </w:r>
            <w:proofErr w:type="spellEnd"/>
            <w:r>
              <w:rPr>
                <w:rFonts w:eastAsia="SimSun"/>
                <w:sz w:val="20"/>
                <w:szCs w:val="20"/>
              </w:rPr>
              <w:t xml:space="preserve"> </w:t>
            </w:r>
            <w:proofErr w:type="spellStart"/>
            <w:r>
              <w:rPr>
                <w:rFonts w:eastAsia="SimSun"/>
                <w:sz w:val="20"/>
                <w:szCs w:val="20"/>
              </w:rPr>
              <w:t>kullanarak</w:t>
            </w:r>
            <w:proofErr w:type="spellEnd"/>
            <w:r>
              <w:rPr>
                <w:rFonts w:eastAsia="SimSun"/>
                <w:sz w:val="20"/>
                <w:szCs w:val="20"/>
              </w:rPr>
              <w:t xml:space="preserve"> </w:t>
            </w:r>
            <w:proofErr w:type="spellStart"/>
            <w:r>
              <w:rPr>
                <w:rFonts w:eastAsia="SimSun"/>
                <w:sz w:val="20"/>
                <w:szCs w:val="20"/>
              </w:rPr>
              <w:t>alerjensiz</w:t>
            </w:r>
            <w:proofErr w:type="spellEnd"/>
            <w:r>
              <w:rPr>
                <w:rFonts w:eastAsia="SimSun"/>
                <w:sz w:val="20"/>
                <w:szCs w:val="20"/>
              </w:rPr>
              <w:t xml:space="preserve"> </w:t>
            </w:r>
            <w:proofErr w:type="spellStart"/>
            <w:r>
              <w:rPr>
                <w:rFonts w:eastAsia="SimSun"/>
                <w:sz w:val="20"/>
                <w:szCs w:val="20"/>
              </w:rPr>
              <w:t>yemek</w:t>
            </w:r>
            <w:proofErr w:type="spellEnd"/>
            <w:r>
              <w:rPr>
                <w:rFonts w:eastAsia="SimSun"/>
                <w:sz w:val="20"/>
                <w:szCs w:val="20"/>
              </w:rPr>
              <w:t xml:space="preserve"> </w:t>
            </w:r>
            <w:proofErr w:type="spellStart"/>
            <w:r>
              <w:rPr>
                <w:rFonts w:eastAsia="SimSun"/>
                <w:sz w:val="20"/>
                <w:szCs w:val="20"/>
              </w:rPr>
              <w:t>hazırlık</w:t>
            </w:r>
            <w:proofErr w:type="spellEnd"/>
            <w:r>
              <w:rPr>
                <w:rFonts w:eastAsia="SimSun"/>
                <w:sz w:val="20"/>
                <w:szCs w:val="20"/>
              </w:rPr>
              <w:t xml:space="preserve"> </w:t>
            </w:r>
            <w:proofErr w:type="spellStart"/>
            <w:r>
              <w:rPr>
                <w:rFonts w:eastAsia="SimSun"/>
                <w:sz w:val="20"/>
                <w:szCs w:val="20"/>
              </w:rPr>
              <w:t>alanlarını</w:t>
            </w:r>
            <w:proofErr w:type="spellEnd"/>
            <w:r>
              <w:rPr>
                <w:rFonts w:eastAsia="SimSun"/>
                <w:sz w:val="20"/>
                <w:szCs w:val="20"/>
              </w:rPr>
              <w:t xml:space="preserve"> </w:t>
            </w:r>
            <w:proofErr w:type="spellStart"/>
            <w:r>
              <w:rPr>
                <w:rFonts w:eastAsia="SimSun"/>
                <w:sz w:val="20"/>
                <w:szCs w:val="20"/>
              </w:rPr>
              <w:t>gösteren</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mutfak</w:t>
            </w:r>
            <w:proofErr w:type="spellEnd"/>
            <w:r>
              <w:rPr>
                <w:rFonts w:eastAsia="SimSun"/>
                <w:sz w:val="20"/>
                <w:szCs w:val="20"/>
              </w:rPr>
              <w:t xml:space="preserve"> </w:t>
            </w:r>
            <w:proofErr w:type="spellStart"/>
            <w:r>
              <w:rPr>
                <w:rFonts w:eastAsia="SimSun"/>
                <w:sz w:val="20"/>
                <w:szCs w:val="20"/>
              </w:rPr>
              <w:t>planı</w:t>
            </w:r>
            <w:proofErr w:type="spellEnd"/>
            <w:r>
              <w:rPr>
                <w:rFonts w:eastAsia="SimSun"/>
                <w:sz w:val="20"/>
                <w:szCs w:val="20"/>
              </w:rPr>
              <w:t xml:space="preserve"> </w:t>
            </w:r>
            <w:proofErr w:type="spellStart"/>
            <w:r>
              <w:rPr>
                <w:rFonts w:eastAsia="SimSun"/>
                <w:sz w:val="20"/>
                <w:szCs w:val="20"/>
              </w:rPr>
              <w:t>oluştur</w:t>
            </w:r>
            <w:proofErr w:type="spellEnd"/>
            <w:r>
              <w:rPr>
                <w:rFonts w:eastAsia="SimSun"/>
                <w:sz w:val="20"/>
                <w:szCs w:val="20"/>
              </w:rPr>
              <w:t>"</w:t>
            </w:r>
          </w:p>
        </w:tc>
      </w:tr>
      <w:tr w:rsidR="001E7189" w14:paraId="6DB1DFD6" w14:textId="77777777" w:rsidTr="00D23BA5">
        <w:tc>
          <w:tcPr>
            <w:tcW w:w="2109" w:type="dxa"/>
          </w:tcPr>
          <w:p w14:paraId="562B0688" w14:textId="77777777" w:rsidR="001E7189" w:rsidRDefault="001E7189" w:rsidP="007513A1">
            <w:pPr>
              <w:pStyle w:val="NormalWeb"/>
              <w:spacing w:before="0" w:beforeAutospacing="0" w:after="0" w:afterAutospacing="0"/>
              <w:jc w:val="both"/>
              <w:rPr>
                <w:b/>
                <w:bCs/>
                <w:color w:val="000000"/>
                <w:sz w:val="20"/>
                <w:szCs w:val="20"/>
              </w:rPr>
            </w:pPr>
            <w:r>
              <w:rPr>
                <w:rFonts w:eastAsia="SimSun"/>
                <w:b/>
                <w:bCs/>
                <w:sz w:val="20"/>
                <w:szCs w:val="20"/>
              </w:rPr>
              <w:t xml:space="preserve">Hata </w:t>
            </w:r>
            <w:proofErr w:type="spellStart"/>
            <w:r>
              <w:rPr>
                <w:rFonts w:eastAsia="SimSun"/>
                <w:b/>
                <w:bCs/>
                <w:sz w:val="20"/>
                <w:szCs w:val="20"/>
              </w:rPr>
              <w:t>Tespiti</w:t>
            </w:r>
            <w:proofErr w:type="spellEnd"/>
            <w:r>
              <w:rPr>
                <w:rFonts w:eastAsia="SimSun"/>
                <w:b/>
                <w:bCs/>
                <w:sz w:val="20"/>
                <w:szCs w:val="20"/>
              </w:rPr>
              <w:t xml:space="preserve"> (Error Identification)</w:t>
            </w:r>
          </w:p>
        </w:tc>
        <w:tc>
          <w:tcPr>
            <w:tcW w:w="2109" w:type="dxa"/>
          </w:tcPr>
          <w:p w14:paraId="4BA67456"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Gerçek</w:t>
            </w:r>
            <w:proofErr w:type="spellEnd"/>
            <w:r>
              <w:rPr>
                <w:rFonts w:eastAsia="SimSun"/>
                <w:sz w:val="20"/>
                <w:szCs w:val="20"/>
              </w:rPr>
              <w:t xml:space="preserve"> </w:t>
            </w:r>
            <w:proofErr w:type="spellStart"/>
            <w:r>
              <w:rPr>
                <w:rFonts w:eastAsia="SimSun"/>
                <w:sz w:val="20"/>
                <w:szCs w:val="20"/>
              </w:rPr>
              <w:t>Kontrol</w:t>
            </w:r>
            <w:proofErr w:type="spellEnd"/>
            <w:r>
              <w:rPr>
                <w:rFonts w:eastAsia="SimSun"/>
                <w:sz w:val="20"/>
                <w:szCs w:val="20"/>
              </w:rPr>
              <w:t xml:space="preserve"> </w:t>
            </w:r>
            <w:proofErr w:type="spellStart"/>
            <w:r>
              <w:rPr>
                <w:rFonts w:eastAsia="SimSun"/>
                <w:sz w:val="20"/>
                <w:szCs w:val="20"/>
              </w:rPr>
              <w:t>Listesi</w:t>
            </w:r>
            <w:proofErr w:type="spellEnd"/>
          </w:p>
        </w:tc>
        <w:tc>
          <w:tcPr>
            <w:tcW w:w="2109" w:type="dxa"/>
          </w:tcPr>
          <w:p w14:paraId="4BC9D46B"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yönetimi</w:t>
            </w:r>
            <w:proofErr w:type="spellEnd"/>
            <w:r>
              <w:rPr>
                <w:rFonts w:eastAsia="SimSun"/>
                <w:sz w:val="20"/>
                <w:szCs w:val="20"/>
              </w:rPr>
              <w:t xml:space="preserve"> </w:t>
            </w:r>
            <w:proofErr w:type="spellStart"/>
            <w:r>
              <w:rPr>
                <w:rFonts w:eastAsia="SimSun"/>
                <w:sz w:val="20"/>
                <w:szCs w:val="20"/>
              </w:rPr>
              <w:t>için</w:t>
            </w:r>
            <w:proofErr w:type="spellEnd"/>
            <w:r>
              <w:rPr>
                <w:rFonts w:eastAsia="SimSun"/>
                <w:sz w:val="20"/>
                <w:szCs w:val="20"/>
              </w:rPr>
              <w:t xml:space="preserve"> </w:t>
            </w:r>
            <w:proofErr w:type="spellStart"/>
            <w:r>
              <w:rPr>
                <w:rFonts w:eastAsia="SimSun"/>
                <w:sz w:val="20"/>
                <w:szCs w:val="20"/>
              </w:rPr>
              <w:t>adım</w:t>
            </w:r>
            <w:proofErr w:type="spellEnd"/>
            <w:r>
              <w:rPr>
                <w:rFonts w:eastAsia="SimSun"/>
                <w:sz w:val="20"/>
                <w:szCs w:val="20"/>
              </w:rPr>
              <w:t xml:space="preserve"> </w:t>
            </w:r>
            <w:proofErr w:type="spellStart"/>
            <w:r>
              <w:rPr>
                <w:rFonts w:eastAsia="SimSun"/>
                <w:sz w:val="20"/>
                <w:szCs w:val="20"/>
              </w:rPr>
              <w:t>adım</w:t>
            </w:r>
            <w:proofErr w:type="spellEnd"/>
            <w:r>
              <w:rPr>
                <w:rFonts w:eastAsia="SimSun"/>
                <w:sz w:val="20"/>
                <w:szCs w:val="20"/>
              </w:rPr>
              <w:t xml:space="preserve"> </w:t>
            </w:r>
            <w:proofErr w:type="spellStart"/>
            <w:r>
              <w:rPr>
                <w:rFonts w:eastAsia="SimSun"/>
                <w:sz w:val="20"/>
                <w:szCs w:val="20"/>
              </w:rPr>
              <w:t>listeler</w:t>
            </w:r>
            <w:proofErr w:type="spellEnd"/>
            <w:r>
              <w:rPr>
                <w:rFonts w:eastAsia="SimSun"/>
                <w:sz w:val="20"/>
                <w:szCs w:val="20"/>
              </w:rPr>
              <w:t xml:space="preserve"> </w:t>
            </w:r>
            <w:proofErr w:type="spellStart"/>
            <w:r>
              <w:rPr>
                <w:rFonts w:eastAsia="SimSun"/>
                <w:sz w:val="20"/>
                <w:szCs w:val="20"/>
              </w:rPr>
              <w:t>oluşturma</w:t>
            </w:r>
            <w:proofErr w:type="spellEnd"/>
          </w:p>
        </w:tc>
        <w:tc>
          <w:tcPr>
            <w:tcW w:w="2109" w:type="dxa"/>
          </w:tcPr>
          <w:p w14:paraId="18E6EA29"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içermeyen</w:t>
            </w:r>
            <w:proofErr w:type="spellEnd"/>
            <w:r>
              <w:rPr>
                <w:rFonts w:eastAsia="SimSun"/>
                <w:sz w:val="20"/>
                <w:szCs w:val="20"/>
              </w:rPr>
              <w:t xml:space="preserve"> </w:t>
            </w:r>
            <w:proofErr w:type="spellStart"/>
            <w:r>
              <w:rPr>
                <w:rFonts w:eastAsia="SimSun"/>
                <w:sz w:val="20"/>
                <w:szCs w:val="20"/>
              </w:rPr>
              <w:t>yemek</w:t>
            </w:r>
            <w:proofErr w:type="spellEnd"/>
            <w:r>
              <w:rPr>
                <w:rFonts w:eastAsia="SimSun"/>
                <w:sz w:val="20"/>
                <w:szCs w:val="20"/>
              </w:rPr>
              <w:t xml:space="preserve"> </w:t>
            </w:r>
            <w:proofErr w:type="spellStart"/>
            <w:r>
              <w:rPr>
                <w:rFonts w:eastAsia="SimSun"/>
                <w:sz w:val="20"/>
                <w:szCs w:val="20"/>
              </w:rPr>
              <w:t>hazırlama</w:t>
            </w:r>
            <w:proofErr w:type="spellEnd"/>
            <w:r>
              <w:rPr>
                <w:rFonts w:eastAsia="SimSun"/>
                <w:sz w:val="20"/>
                <w:szCs w:val="20"/>
              </w:rPr>
              <w:t xml:space="preserve"> </w:t>
            </w:r>
            <w:proofErr w:type="spellStart"/>
            <w:r>
              <w:rPr>
                <w:rFonts w:eastAsia="SimSun"/>
                <w:sz w:val="20"/>
                <w:szCs w:val="20"/>
              </w:rPr>
              <w:t>prosedürü</w:t>
            </w:r>
            <w:proofErr w:type="spellEnd"/>
            <w:r>
              <w:rPr>
                <w:rFonts w:eastAsia="SimSun"/>
                <w:sz w:val="20"/>
                <w:szCs w:val="20"/>
              </w:rPr>
              <w:t xml:space="preserve">: </w:t>
            </w:r>
            <w:proofErr w:type="spellStart"/>
            <w:r>
              <w:rPr>
                <w:rFonts w:eastAsia="SimSun"/>
                <w:sz w:val="20"/>
                <w:szCs w:val="20"/>
              </w:rPr>
              <w:t>Malzeme</w:t>
            </w:r>
            <w:proofErr w:type="spellEnd"/>
            <w:r>
              <w:rPr>
                <w:rFonts w:eastAsia="SimSun"/>
                <w:sz w:val="20"/>
                <w:szCs w:val="20"/>
              </w:rPr>
              <w:t xml:space="preserve"> </w:t>
            </w:r>
            <w:proofErr w:type="spellStart"/>
            <w:r>
              <w:rPr>
                <w:rFonts w:eastAsia="SimSun"/>
                <w:sz w:val="20"/>
                <w:szCs w:val="20"/>
              </w:rPr>
              <w:t>doğrulama</w:t>
            </w:r>
            <w:proofErr w:type="spellEnd"/>
            <w:r>
              <w:rPr>
                <w:rFonts w:eastAsia="SimSun"/>
                <w:sz w:val="20"/>
                <w:szCs w:val="20"/>
              </w:rPr>
              <w:t xml:space="preserve">, </w:t>
            </w:r>
            <w:proofErr w:type="spellStart"/>
            <w:r>
              <w:rPr>
                <w:rFonts w:eastAsia="SimSun"/>
                <w:sz w:val="20"/>
                <w:szCs w:val="20"/>
              </w:rPr>
              <w:t>ekipman</w:t>
            </w:r>
            <w:proofErr w:type="spellEnd"/>
            <w:r>
              <w:rPr>
                <w:rFonts w:eastAsia="SimSun"/>
                <w:sz w:val="20"/>
                <w:szCs w:val="20"/>
              </w:rPr>
              <w:t xml:space="preserve"> </w:t>
            </w:r>
            <w:proofErr w:type="spellStart"/>
            <w:r>
              <w:rPr>
                <w:rFonts w:eastAsia="SimSun"/>
                <w:sz w:val="20"/>
                <w:szCs w:val="20"/>
              </w:rPr>
              <w:t>sterilizasyonu</w:t>
            </w:r>
            <w:proofErr w:type="spellEnd"/>
            <w:r>
              <w:rPr>
                <w:rFonts w:eastAsia="SimSun"/>
                <w:sz w:val="20"/>
                <w:szCs w:val="20"/>
              </w:rPr>
              <w:t xml:space="preserve">, </w:t>
            </w:r>
            <w:proofErr w:type="spellStart"/>
            <w:r>
              <w:rPr>
                <w:rFonts w:eastAsia="SimSun"/>
                <w:sz w:val="20"/>
                <w:szCs w:val="20"/>
              </w:rPr>
              <w:t>müşteri</w:t>
            </w:r>
            <w:proofErr w:type="spellEnd"/>
            <w:r>
              <w:rPr>
                <w:rFonts w:eastAsia="SimSun"/>
                <w:sz w:val="20"/>
                <w:szCs w:val="20"/>
              </w:rPr>
              <w:t xml:space="preserve"> </w:t>
            </w:r>
            <w:proofErr w:type="spellStart"/>
            <w:r>
              <w:rPr>
                <w:rFonts w:eastAsia="SimSun"/>
                <w:sz w:val="20"/>
                <w:szCs w:val="20"/>
              </w:rPr>
              <w:t>bilgilendirme</w:t>
            </w:r>
            <w:proofErr w:type="spellEnd"/>
            <w:r>
              <w:rPr>
                <w:rFonts w:eastAsia="SimSun"/>
                <w:sz w:val="20"/>
                <w:szCs w:val="20"/>
              </w:rPr>
              <w:t>"</w:t>
            </w:r>
          </w:p>
        </w:tc>
      </w:tr>
      <w:tr w:rsidR="001E7189" w14:paraId="0447500D" w14:textId="77777777" w:rsidTr="00D23BA5">
        <w:tc>
          <w:tcPr>
            <w:tcW w:w="210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3"/>
            </w:tblGrid>
            <w:tr w:rsidR="001E7189" w14:paraId="7EA6568E" w14:textId="77777777" w:rsidTr="00D23BA5">
              <w:trPr>
                <w:tblCellSpacing w:w="15" w:type="dxa"/>
              </w:trPr>
              <w:tc>
                <w:tcPr>
                  <w:tcW w:w="0" w:type="auto"/>
                  <w:shd w:val="clear" w:color="auto" w:fill="auto"/>
                  <w:vAlign w:val="center"/>
                </w:tcPr>
                <w:p w14:paraId="5BE516BE" w14:textId="77777777" w:rsidR="001E7189" w:rsidRDefault="001E7189" w:rsidP="007513A1">
                  <w:pPr>
                    <w:jc w:val="both"/>
                    <w:rPr>
                      <w:b/>
                      <w:bCs/>
                      <w:sz w:val="20"/>
                      <w:szCs w:val="20"/>
                    </w:rPr>
                  </w:pPr>
                  <w:r>
                    <w:rPr>
                      <w:rStyle w:val="Gl"/>
                      <w:rFonts w:eastAsia="SimSun"/>
                      <w:bCs/>
                      <w:sz w:val="20"/>
                      <w:szCs w:val="20"/>
                      <w:lang w:val="en-US" w:eastAsia="zh-CN" w:bidi="ar"/>
                    </w:rPr>
                    <w:t xml:space="preserve">Prompt </w:t>
                  </w:r>
                  <w:proofErr w:type="spellStart"/>
                  <w:r>
                    <w:rPr>
                      <w:rStyle w:val="Gl"/>
                      <w:rFonts w:eastAsia="SimSun"/>
                      <w:bCs/>
                      <w:sz w:val="20"/>
                      <w:szCs w:val="20"/>
                      <w:lang w:val="en-US" w:eastAsia="zh-CN" w:bidi="ar"/>
                    </w:rPr>
                    <w:t>İyileştirme</w:t>
                  </w:r>
                  <w:proofErr w:type="spellEnd"/>
                  <w:r>
                    <w:rPr>
                      <w:rStyle w:val="Gl"/>
                      <w:rFonts w:eastAsia="SimSun"/>
                      <w:bCs/>
                      <w:sz w:val="20"/>
                      <w:szCs w:val="20"/>
                      <w:lang w:val="en-US" w:eastAsia="zh-CN" w:bidi="ar"/>
                    </w:rPr>
                    <w:t xml:space="preserve"> (Prompt Improvement)</w:t>
                  </w:r>
                </w:p>
              </w:tc>
            </w:tr>
          </w:tbl>
          <w:p w14:paraId="4E537621" w14:textId="77777777" w:rsidR="001E7189" w:rsidRDefault="001E7189" w:rsidP="007513A1">
            <w:pPr>
              <w:jc w:val="both"/>
              <w:rPr>
                <w:b/>
                <w:bCs/>
                <w:vanish/>
                <w:sz w:val="20"/>
                <w:szCs w:val="2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E7189" w14:paraId="3B684754" w14:textId="77777777" w:rsidTr="00D23BA5">
              <w:trPr>
                <w:tblCellSpacing w:w="15" w:type="dxa"/>
              </w:trPr>
              <w:tc>
                <w:tcPr>
                  <w:tcW w:w="0" w:type="auto"/>
                  <w:shd w:val="clear" w:color="auto" w:fill="auto"/>
                  <w:vAlign w:val="center"/>
                </w:tcPr>
                <w:p w14:paraId="72E7A315" w14:textId="77777777" w:rsidR="001E7189" w:rsidRDefault="001E7189" w:rsidP="007513A1">
                  <w:pPr>
                    <w:jc w:val="both"/>
                    <w:rPr>
                      <w:b/>
                      <w:bCs/>
                      <w:sz w:val="20"/>
                      <w:szCs w:val="20"/>
                    </w:rPr>
                  </w:pPr>
                </w:p>
              </w:tc>
            </w:tr>
          </w:tbl>
          <w:p w14:paraId="2A852E2B"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5248FA7E"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Soru </w:t>
            </w:r>
            <w:proofErr w:type="spellStart"/>
            <w:r>
              <w:rPr>
                <w:rFonts w:eastAsia="SimSun"/>
                <w:sz w:val="20"/>
                <w:szCs w:val="20"/>
              </w:rPr>
              <w:t>İyileştirme</w:t>
            </w:r>
            <w:proofErr w:type="spellEnd"/>
          </w:p>
        </w:tc>
        <w:tc>
          <w:tcPr>
            <w:tcW w:w="2109" w:type="dxa"/>
          </w:tcPr>
          <w:p w14:paraId="54BE8991"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Daha </w:t>
            </w:r>
            <w:proofErr w:type="spellStart"/>
            <w:r>
              <w:rPr>
                <w:rFonts w:eastAsia="SimSun"/>
                <w:sz w:val="20"/>
                <w:szCs w:val="20"/>
              </w:rPr>
              <w:t>açıklayıcı</w:t>
            </w:r>
            <w:proofErr w:type="spellEnd"/>
            <w:r>
              <w:rPr>
                <w:rFonts w:eastAsia="SimSun"/>
                <w:sz w:val="20"/>
                <w:szCs w:val="20"/>
              </w:rPr>
              <w:t xml:space="preserve"> </w:t>
            </w:r>
            <w:proofErr w:type="spellStart"/>
            <w:r>
              <w:rPr>
                <w:rFonts w:eastAsia="SimSun"/>
                <w:sz w:val="20"/>
                <w:szCs w:val="20"/>
              </w:rPr>
              <w:t>ve</w:t>
            </w:r>
            <w:proofErr w:type="spellEnd"/>
            <w:r>
              <w:rPr>
                <w:rFonts w:eastAsia="SimSun"/>
                <w:sz w:val="20"/>
                <w:szCs w:val="20"/>
              </w:rPr>
              <w:t xml:space="preserve"> </w:t>
            </w:r>
            <w:proofErr w:type="spellStart"/>
            <w:r>
              <w:rPr>
                <w:rFonts w:eastAsia="SimSun"/>
                <w:sz w:val="20"/>
                <w:szCs w:val="20"/>
              </w:rPr>
              <w:t>detaylı</w:t>
            </w:r>
            <w:proofErr w:type="spellEnd"/>
            <w:r>
              <w:rPr>
                <w:rFonts w:eastAsia="SimSun"/>
                <w:sz w:val="20"/>
                <w:szCs w:val="20"/>
              </w:rPr>
              <w:t xml:space="preserve"> </w:t>
            </w:r>
            <w:proofErr w:type="spellStart"/>
            <w:r>
              <w:rPr>
                <w:rFonts w:eastAsia="SimSun"/>
                <w:sz w:val="20"/>
                <w:szCs w:val="20"/>
              </w:rPr>
              <w:t>sorular</w:t>
            </w:r>
            <w:proofErr w:type="spellEnd"/>
            <w:r>
              <w:rPr>
                <w:rFonts w:eastAsia="SimSun"/>
                <w:sz w:val="20"/>
                <w:szCs w:val="20"/>
              </w:rPr>
              <w:t xml:space="preserve"> </w:t>
            </w:r>
            <w:proofErr w:type="spellStart"/>
            <w:r>
              <w:rPr>
                <w:rFonts w:eastAsia="SimSun"/>
                <w:sz w:val="20"/>
                <w:szCs w:val="20"/>
              </w:rPr>
              <w:t>oluşturma</w:t>
            </w:r>
            <w:proofErr w:type="spellEnd"/>
          </w:p>
        </w:tc>
        <w:tc>
          <w:tcPr>
            <w:tcW w:w="2109" w:type="dxa"/>
          </w:tcPr>
          <w:p w14:paraId="2CB058B1"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"'Bu </w:t>
            </w:r>
            <w:proofErr w:type="spellStart"/>
            <w:r>
              <w:rPr>
                <w:rFonts w:eastAsia="SimSun"/>
                <w:sz w:val="20"/>
                <w:szCs w:val="20"/>
              </w:rPr>
              <w:t>yemek</w:t>
            </w:r>
            <w:proofErr w:type="spellEnd"/>
            <w:r>
              <w:rPr>
                <w:rFonts w:eastAsia="SimSun"/>
                <w:sz w:val="20"/>
                <w:szCs w:val="20"/>
              </w:rPr>
              <w:t xml:space="preserve"> </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içeriyor</w:t>
            </w:r>
            <w:proofErr w:type="spellEnd"/>
            <w:r>
              <w:rPr>
                <w:rFonts w:eastAsia="SimSun"/>
                <w:sz w:val="20"/>
                <w:szCs w:val="20"/>
              </w:rPr>
              <w:t xml:space="preserve"> mu?' → 'Bu </w:t>
            </w:r>
            <w:proofErr w:type="spellStart"/>
            <w:r>
              <w:rPr>
                <w:rFonts w:eastAsia="SimSun"/>
                <w:sz w:val="20"/>
                <w:szCs w:val="20"/>
              </w:rPr>
              <w:t>yemekte</w:t>
            </w:r>
            <w:proofErr w:type="spellEnd"/>
            <w:r>
              <w:rPr>
                <w:rFonts w:eastAsia="SimSun"/>
                <w:sz w:val="20"/>
                <w:szCs w:val="20"/>
              </w:rPr>
              <w:t xml:space="preserve"> </w:t>
            </w:r>
            <w:proofErr w:type="spellStart"/>
            <w:r>
              <w:rPr>
                <w:rFonts w:eastAsia="SimSun"/>
                <w:sz w:val="20"/>
                <w:szCs w:val="20"/>
              </w:rPr>
              <w:t>süt</w:t>
            </w:r>
            <w:proofErr w:type="spellEnd"/>
            <w:r>
              <w:rPr>
                <w:rFonts w:eastAsia="SimSun"/>
                <w:sz w:val="20"/>
                <w:szCs w:val="20"/>
              </w:rPr>
              <w:t xml:space="preserve">, </w:t>
            </w:r>
            <w:proofErr w:type="spellStart"/>
            <w:r>
              <w:rPr>
                <w:rFonts w:eastAsia="SimSun"/>
                <w:sz w:val="20"/>
                <w:szCs w:val="20"/>
              </w:rPr>
              <w:t>buğday</w:t>
            </w:r>
            <w:proofErr w:type="spellEnd"/>
            <w:r>
              <w:rPr>
                <w:rFonts w:eastAsia="SimSun"/>
                <w:sz w:val="20"/>
                <w:szCs w:val="20"/>
              </w:rPr>
              <w:t xml:space="preserve"> </w:t>
            </w:r>
            <w:proofErr w:type="spellStart"/>
            <w:r>
              <w:rPr>
                <w:rFonts w:eastAsia="SimSun"/>
                <w:sz w:val="20"/>
                <w:szCs w:val="20"/>
              </w:rPr>
              <w:t>veya</w:t>
            </w:r>
            <w:proofErr w:type="spellEnd"/>
            <w:r>
              <w:rPr>
                <w:rFonts w:eastAsia="SimSun"/>
                <w:sz w:val="20"/>
                <w:szCs w:val="20"/>
              </w:rPr>
              <w:t xml:space="preserve"> </w:t>
            </w:r>
            <w:proofErr w:type="spellStart"/>
            <w:r>
              <w:rPr>
                <w:rFonts w:eastAsia="SimSun"/>
                <w:sz w:val="20"/>
                <w:szCs w:val="20"/>
              </w:rPr>
              <w:t>deniz</w:t>
            </w:r>
            <w:proofErr w:type="spellEnd"/>
            <w:r>
              <w:rPr>
                <w:rFonts w:eastAsia="SimSun"/>
                <w:sz w:val="20"/>
                <w:szCs w:val="20"/>
              </w:rPr>
              <w:t xml:space="preserve"> </w:t>
            </w:r>
            <w:proofErr w:type="spellStart"/>
            <w:r>
              <w:rPr>
                <w:rFonts w:eastAsia="SimSun"/>
                <w:sz w:val="20"/>
                <w:szCs w:val="20"/>
              </w:rPr>
              <w:t>ürünleri</w:t>
            </w:r>
            <w:proofErr w:type="spellEnd"/>
            <w:r>
              <w:rPr>
                <w:rFonts w:eastAsia="SimSun"/>
                <w:sz w:val="20"/>
                <w:szCs w:val="20"/>
              </w:rPr>
              <w:t xml:space="preserve"> var </w:t>
            </w:r>
            <w:proofErr w:type="spellStart"/>
            <w:r>
              <w:rPr>
                <w:rFonts w:eastAsia="SimSun"/>
                <w:sz w:val="20"/>
                <w:szCs w:val="20"/>
              </w:rPr>
              <w:t>mı</w:t>
            </w:r>
            <w:proofErr w:type="spellEnd"/>
            <w:r>
              <w:rPr>
                <w:rFonts w:eastAsia="SimSun"/>
                <w:sz w:val="20"/>
                <w:szCs w:val="20"/>
              </w:rPr>
              <w:t>?'"</w:t>
            </w:r>
          </w:p>
        </w:tc>
      </w:tr>
      <w:tr w:rsidR="001E7189" w14:paraId="3976C470" w14:textId="77777777" w:rsidTr="00D23BA5">
        <w:tc>
          <w:tcPr>
            <w:tcW w:w="2109" w:type="dxa"/>
          </w:tcPr>
          <w:p w14:paraId="3ED6BCB8"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4F12A8F2"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Alternatif</w:t>
            </w:r>
            <w:proofErr w:type="spellEnd"/>
            <w:r>
              <w:rPr>
                <w:rFonts w:eastAsia="SimSun"/>
                <w:sz w:val="20"/>
                <w:szCs w:val="20"/>
              </w:rPr>
              <w:t xml:space="preserve"> </w:t>
            </w:r>
            <w:proofErr w:type="spellStart"/>
            <w:r>
              <w:rPr>
                <w:rFonts w:eastAsia="SimSun"/>
                <w:sz w:val="20"/>
                <w:szCs w:val="20"/>
              </w:rPr>
              <w:t>Yaklaşımlar</w:t>
            </w:r>
            <w:proofErr w:type="spellEnd"/>
          </w:p>
        </w:tc>
        <w:tc>
          <w:tcPr>
            <w:tcW w:w="2109" w:type="dxa"/>
          </w:tcPr>
          <w:p w14:paraId="19E83E68"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Alerjenlere</w:t>
            </w:r>
            <w:proofErr w:type="spellEnd"/>
            <w:r>
              <w:rPr>
                <w:rFonts w:eastAsia="SimSun"/>
                <w:sz w:val="20"/>
                <w:szCs w:val="20"/>
              </w:rPr>
              <w:t xml:space="preserve"> </w:t>
            </w:r>
            <w:proofErr w:type="spellStart"/>
            <w:r>
              <w:rPr>
                <w:rFonts w:eastAsia="SimSun"/>
                <w:sz w:val="20"/>
                <w:szCs w:val="20"/>
              </w:rPr>
              <w:t>uygun</w:t>
            </w:r>
            <w:proofErr w:type="spellEnd"/>
            <w:r>
              <w:rPr>
                <w:rFonts w:eastAsia="SimSun"/>
                <w:sz w:val="20"/>
                <w:szCs w:val="20"/>
              </w:rPr>
              <w:t xml:space="preserve"> </w:t>
            </w:r>
            <w:proofErr w:type="spellStart"/>
            <w:r>
              <w:rPr>
                <w:rFonts w:eastAsia="SimSun"/>
                <w:sz w:val="20"/>
                <w:szCs w:val="20"/>
              </w:rPr>
              <w:t>malzeme</w:t>
            </w:r>
            <w:proofErr w:type="spellEnd"/>
            <w:r>
              <w:rPr>
                <w:rFonts w:eastAsia="SimSun"/>
                <w:sz w:val="20"/>
                <w:szCs w:val="20"/>
              </w:rPr>
              <w:t xml:space="preserve"> </w:t>
            </w:r>
            <w:proofErr w:type="spellStart"/>
            <w:r>
              <w:rPr>
                <w:rFonts w:eastAsia="SimSun"/>
                <w:sz w:val="20"/>
                <w:szCs w:val="20"/>
              </w:rPr>
              <w:t>değişimleri</w:t>
            </w:r>
            <w:proofErr w:type="spellEnd"/>
            <w:r>
              <w:rPr>
                <w:rFonts w:eastAsia="SimSun"/>
                <w:sz w:val="20"/>
                <w:szCs w:val="20"/>
              </w:rPr>
              <w:t xml:space="preserve"> </w:t>
            </w:r>
            <w:proofErr w:type="spellStart"/>
            <w:r>
              <w:rPr>
                <w:rFonts w:eastAsia="SimSun"/>
                <w:sz w:val="20"/>
                <w:szCs w:val="20"/>
              </w:rPr>
              <w:t>önerme</w:t>
            </w:r>
            <w:proofErr w:type="spellEnd"/>
          </w:p>
        </w:tc>
        <w:tc>
          <w:tcPr>
            <w:tcW w:w="2109" w:type="dxa"/>
          </w:tcPr>
          <w:p w14:paraId="7DAEE43C"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w:t>
            </w:r>
            <w:proofErr w:type="spellStart"/>
            <w:r>
              <w:rPr>
                <w:rFonts w:eastAsia="SimSun"/>
                <w:sz w:val="20"/>
                <w:szCs w:val="20"/>
              </w:rPr>
              <w:t>Süt</w:t>
            </w:r>
            <w:proofErr w:type="spellEnd"/>
            <w:r>
              <w:rPr>
                <w:rFonts w:eastAsia="SimSun"/>
                <w:sz w:val="20"/>
                <w:szCs w:val="20"/>
              </w:rPr>
              <w:t xml:space="preserve"> </w:t>
            </w:r>
            <w:proofErr w:type="spellStart"/>
            <w:r>
              <w:rPr>
                <w:rFonts w:eastAsia="SimSun"/>
                <w:sz w:val="20"/>
                <w:szCs w:val="20"/>
              </w:rPr>
              <w:t>yerine</w:t>
            </w:r>
            <w:proofErr w:type="spellEnd"/>
            <w:r>
              <w:rPr>
                <w:rFonts w:eastAsia="SimSun"/>
                <w:sz w:val="20"/>
                <w:szCs w:val="20"/>
              </w:rPr>
              <w:t xml:space="preserve"> </w:t>
            </w:r>
            <w:proofErr w:type="spellStart"/>
            <w:r>
              <w:rPr>
                <w:rFonts w:eastAsia="SimSun"/>
                <w:sz w:val="20"/>
                <w:szCs w:val="20"/>
              </w:rPr>
              <w:t>badem</w:t>
            </w:r>
            <w:proofErr w:type="spellEnd"/>
            <w:r>
              <w:rPr>
                <w:rFonts w:eastAsia="SimSun"/>
                <w:sz w:val="20"/>
                <w:szCs w:val="20"/>
              </w:rPr>
              <w:t xml:space="preserve"> </w:t>
            </w:r>
            <w:proofErr w:type="spellStart"/>
            <w:r>
              <w:rPr>
                <w:rFonts w:eastAsia="SimSun"/>
                <w:sz w:val="20"/>
                <w:szCs w:val="20"/>
              </w:rPr>
              <w:t>sütü</w:t>
            </w:r>
            <w:proofErr w:type="spellEnd"/>
            <w:r>
              <w:rPr>
                <w:rFonts w:eastAsia="SimSun"/>
                <w:sz w:val="20"/>
                <w:szCs w:val="20"/>
              </w:rPr>
              <w:t xml:space="preserve">, </w:t>
            </w:r>
            <w:proofErr w:type="spellStart"/>
            <w:r>
              <w:rPr>
                <w:rFonts w:eastAsia="SimSun"/>
                <w:sz w:val="20"/>
                <w:szCs w:val="20"/>
              </w:rPr>
              <w:t>buğday</w:t>
            </w:r>
            <w:proofErr w:type="spellEnd"/>
            <w:r>
              <w:rPr>
                <w:rFonts w:eastAsia="SimSun"/>
                <w:sz w:val="20"/>
                <w:szCs w:val="20"/>
              </w:rPr>
              <w:t xml:space="preserve"> </w:t>
            </w:r>
            <w:proofErr w:type="spellStart"/>
            <w:r>
              <w:rPr>
                <w:rFonts w:eastAsia="SimSun"/>
                <w:sz w:val="20"/>
                <w:szCs w:val="20"/>
              </w:rPr>
              <w:t>yerine</w:t>
            </w:r>
            <w:proofErr w:type="spellEnd"/>
            <w:r>
              <w:rPr>
                <w:rFonts w:eastAsia="SimSun"/>
                <w:sz w:val="20"/>
                <w:szCs w:val="20"/>
              </w:rPr>
              <w:t xml:space="preserve"> </w:t>
            </w:r>
            <w:proofErr w:type="spellStart"/>
            <w:r>
              <w:rPr>
                <w:rFonts w:eastAsia="SimSun"/>
                <w:sz w:val="20"/>
                <w:szCs w:val="20"/>
              </w:rPr>
              <w:t>mısır</w:t>
            </w:r>
            <w:proofErr w:type="spellEnd"/>
            <w:r>
              <w:rPr>
                <w:rFonts w:eastAsia="SimSun"/>
                <w:sz w:val="20"/>
                <w:szCs w:val="20"/>
              </w:rPr>
              <w:t xml:space="preserve"> </w:t>
            </w:r>
            <w:proofErr w:type="spellStart"/>
            <w:r>
              <w:rPr>
                <w:rFonts w:eastAsia="SimSun"/>
                <w:sz w:val="20"/>
                <w:szCs w:val="20"/>
              </w:rPr>
              <w:t>unu</w:t>
            </w:r>
            <w:proofErr w:type="spellEnd"/>
            <w:r>
              <w:rPr>
                <w:rFonts w:eastAsia="SimSun"/>
                <w:sz w:val="20"/>
                <w:szCs w:val="20"/>
              </w:rPr>
              <w:t>"</w:t>
            </w:r>
          </w:p>
        </w:tc>
      </w:tr>
      <w:tr w:rsidR="001E7189" w14:paraId="5E4710F0" w14:textId="77777777" w:rsidTr="00D23BA5">
        <w:tc>
          <w:tcPr>
            <w:tcW w:w="2109" w:type="dxa"/>
          </w:tcPr>
          <w:p w14:paraId="1C5AD315" w14:textId="77777777" w:rsidR="001E7189" w:rsidRDefault="001E7189" w:rsidP="007513A1">
            <w:pPr>
              <w:pStyle w:val="NormalWeb"/>
              <w:spacing w:before="0" w:beforeAutospacing="0" w:after="0" w:afterAutospacing="0"/>
              <w:jc w:val="both"/>
              <w:rPr>
                <w:b/>
                <w:bCs/>
                <w:color w:val="000000"/>
                <w:sz w:val="20"/>
                <w:szCs w:val="20"/>
              </w:rPr>
            </w:pPr>
            <w:proofErr w:type="spellStart"/>
            <w:r>
              <w:rPr>
                <w:rFonts w:eastAsia="SimSun"/>
                <w:b/>
                <w:bCs/>
                <w:sz w:val="20"/>
                <w:szCs w:val="20"/>
              </w:rPr>
              <w:t>Etkileşim</w:t>
            </w:r>
            <w:proofErr w:type="spellEnd"/>
            <w:r>
              <w:rPr>
                <w:rFonts w:eastAsia="SimSun"/>
                <w:b/>
                <w:bCs/>
                <w:sz w:val="20"/>
                <w:szCs w:val="20"/>
              </w:rPr>
              <w:t xml:space="preserve"> (Interaction)</w:t>
            </w:r>
          </w:p>
        </w:tc>
        <w:tc>
          <w:tcPr>
            <w:tcW w:w="2109" w:type="dxa"/>
          </w:tcPr>
          <w:p w14:paraId="636090A9"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Tersine</w:t>
            </w:r>
            <w:proofErr w:type="spellEnd"/>
            <w:r>
              <w:rPr>
                <w:rFonts w:eastAsia="SimSun"/>
                <w:sz w:val="20"/>
                <w:szCs w:val="20"/>
              </w:rPr>
              <w:t xml:space="preserve"> </w:t>
            </w:r>
            <w:proofErr w:type="spellStart"/>
            <w:r>
              <w:rPr>
                <w:rFonts w:eastAsia="SimSun"/>
                <w:sz w:val="20"/>
                <w:szCs w:val="20"/>
              </w:rPr>
              <w:t>Etkileşim</w:t>
            </w:r>
            <w:proofErr w:type="spellEnd"/>
          </w:p>
        </w:tc>
        <w:tc>
          <w:tcPr>
            <w:tcW w:w="2109" w:type="dxa"/>
          </w:tcPr>
          <w:p w14:paraId="0A9AA0E7"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Kullanıcıdan</w:t>
            </w:r>
            <w:proofErr w:type="spellEnd"/>
            <w:r>
              <w:rPr>
                <w:rFonts w:eastAsia="SimSun"/>
                <w:sz w:val="20"/>
                <w:szCs w:val="20"/>
              </w:rPr>
              <w:t xml:space="preserve"> </w:t>
            </w:r>
            <w:proofErr w:type="spellStart"/>
            <w:r>
              <w:rPr>
                <w:rFonts w:eastAsia="SimSun"/>
                <w:sz w:val="20"/>
                <w:szCs w:val="20"/>
              </w:rPr>
              <w:t>belirli</w:t>
            </w:r>
            <w:proofErr w:type="spellEnd"/>
            <w:r>
              <w:rPr>
                <w:rFonts w:eastAsia="SimSun"/>
                <w:sz w:val="20"/>
                <w:szCs w:val="20"/>
              </w:rPr>
              <w:t xml:space="preserve"> </w:t>
            </w:r>
            <w:proofErr w:type="spellStart"/>
            <w:r>
              <w:rPr>
                <w:rFonts w:eastAsia="SimSun"/>
                <w:sz w:val="20"/>
                <w:szCs w:val="20"/>
              </w:rPr>
              <w:t>bilgileri</w:t>
            </w:r>
            <w:proofErr w:type="spellEnd"/>
            <w:r>
              <w:rPr>
                <w:rFonts w:eastAsia="SimSun"/>
                <w:sz w:val="20"/>
                <w:szCs w:val="20"/>
              </w:rPr>
              <w:t xml:space="preserve"> </w:t>
            </w:r>
            <w:proofErr w:type="spellStart"/>
            <w:r>
              <w:rPr>
                <w:rFonts w:eastAsia="SimSun"/>
                <w:sz w:val="20"/>
                <w:szCs w:val="20"/>
              </w:rPr>
              <w:t>isteme</w:t>
            </w:r>
            <w:proofErr w:type="spellEnd"/>
          </w:p>
        </w:tc>
        <w:tc>
          <w:tcPr>
            <w:tcW w:w="2109" w:type="dxa"/>
          </w:tcPr>
          <w:p w14:paraId="691B7AE8"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"Yeni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alerjensiz</w:t>
            </w:r>
            <w:proofErr w:type="spellEnd"/>
            <w:r>
              <w:rPr>
                <w:rFonts w:eastAsia="SimSun"/>
                <w:sz w:val="20"/>
                <w:szCs w:val="20"/>
              </w:rPr>
              <w:t xml:space="preserve"> </w:t>
            </w:r>
            <w:proofErr w:type="spellStart"/>
            <w:r>
              <w:rPr>
                <w:rFonts w:eastAsia="SimSun"/>
                <w:sz w:val="20"/>
                <w:szCs w:val="20"/>
              </w:rPr>
              <w:t>menü</w:t>
            </w:r>
            <w:proofErr w:type="spellEnd"/>
            <w:r>
              <w:rPr>
                <w:rFonts w:eastAsia="SimSun"/>
                <w:sz w:val="20"/>
                <w:szCs w:val="20"/>
              </w:rPr>
              <w:t xml:space="preserve"> </w:t>
            </w:r>
            <w:proofErr w:type="spellStart"/>
            <w:r>
              <w:rPr>
                <w:rFonts w:eastAsia="SimSun"/>
                <w:sz w:val="20"/>
                <w:szCs w:val="20"/>
              </w:rPr>
              <w:t>oluşturmak</w:t>
            </w:r>
            <w:proofErr w:type="spellEnd"/>
            <w:r>
              <w:rPr>
                <w:rFonts w:eastAsia="SimSun"/>
                <w:sz w:val="20"/>
                <w:szCs w:val="20"/>
              </w:rPr>
              <w:t xml:space="preserve"> </w:t>
            </w:r>
            <w:proofErr w:type="spellStart"/>
            <w:r>
              <w:rPr>
                <w:rFonts w:eastAsia="SimSun"/>
                <w:sz w:val="20"/>
                <w:szCs w:val="20"/>
              </w:rPr>
              <w:t>için</w:t>
            </w:r>
            <w:proofErr w:type="spellEnd"/>
            <w:r>
              <w:rPr>
                <w:rFonts w:eastAsia="SimSun"/>
                <w:sz w:val="20"/>
                <w:szCs w:val="20"/>
              </w:rPr>
              <w:t xml:space="preserve"> </w:t>
            </w:r>
            <w:proofErr w:type="spellStart"/>
            <w:r>
              <w:rPr>
                <w:rFonts w:eastAsia="SimSun"/>
                <w:sz w:val="20"/>
                <w:szCs w:val="20"/>
              </w:rPr>
              <w:t>şu</w:t>
            </w:r>
            <w:proofErr w:type="spellEnd"/>
            <w:r>
              <w:rPr>
                <w:rFonts w:eastAsia="SimSun"/>
                <w:sz w:val="20"/>
                <w:szCs w:val="20"/>
              </w:rPr>
              <w:t xml:space="preserve"> </w:t>
            </w:r>
            <w:proofErr w:type="spellStart"/>
            <w:r>
              <w:rPr>
                <w:rFonts w:eastAsia="SimSun"/>
                <w:sz w:val="20"/>
                <w:szCs w:val="20"/>
              </w:rPr>
              <w:t>bilgileri</w:t>
            </w:r>
            <w:proofErr w:type="spellEnd"/>
            <w:r>
              <w:rPr>
                <w:rFonts w:eastAsia="SimSun"/>
                <w:sz w:val="20"/>
                <w:szCs w:val="20"/>
              </w:rPr>
              <w:t xml:space="preserve"> </w:t>
            </w:r>
            <w:proofErr w:type="spellStart"/>
            <w:r>
              <w:rPr>
                <w:rFonts w:eastAsia="SimSun"/>
                <w:sz w:val="20"/>
                <w:szCs w:val="20"/>
              </w:rPr>
              <w:t>sor</w:t>
            </w:r>
            <w:proofErr w:type="spellEnd"/>
            <w:r>
              <w:rPr>
                <w:rFonts w:eastAsia="SimSun"/>
                <w:sz w:val="20"/>
                <w:szCs w:val="20"/>
              </w:rPr>
              <w:t xml:space="preserve">: Hangi </w:t>
            </w:r>
            <w:proofErr w:type="spellStart"/>
            <w:r>
              <w:rPr>
                <w:rFonts w:eastAsia="SimSun"/>
                <w:sz w:val="20"/>
                <w:szCs w:val="20"/>
              </w:rPr>
              <w:t>alerjenler</w:t>
            </w:r>
            <w:proofErr w:type="spellEnd"/>
            <w:r>
              <w:rPr>
                <w:rFonts w:eastAsia="SimSun"/>
                <w:sz w:val="20"/>
                <w:szCs w:val="20"/>
              </w:rPr>
              <w:t xml:space="preserve"> </w:t>
            </w:r>
            <w:proofErr w:type="spellStart"/>
            <w:r>
              <w:rPr>
                <w:rFonts w:eastAsia="SimSun"/>
                <w:sz w:val="20"/>
                <w:szCs w:val="20"/>
              </w:rPr>
              <w:t>önlenmeli</w:t>
            </w:r>
            <w:proofErr w:type="spellEnd"/>
            <w:r>
              <w:rPr>
                <w:rFonts w:eastAsia="SimSun"/>
                <w:sz w:val="20"/>
                <w:szCs w:val="20"/>
              </w:rPr>
              <w:t xml:space="preserve">? </w:t>
            </w:r>
            <w:proofErr w:type="spellStart"/>
            <w:r>
              <w:rPr>
                <w:rFonts w:eastAsia="SimSun"/>
                <w:sz w:val="20"/>
                <w:szCs w:val="20"/>
              </w:rPr>
              <w:t>Fiyat</w:t>
            </w:r>
            <w:proofErr w:type="spellEnd"/>
            <w:r>
              <w:rPr>
                <w:rFonts w:eastAsia="SimSun"/>
                <w:sz w:val="20"/>
                <w:szCs w:val="20"/>
              </w:rPr>
              <w:t xml:space="preserve"> </w:t>
            </w:r>
            <w:proofErr w:type="spellStart"/>
            <w:r>
              <w:rPr>
                <w:rFonts w:eastAsia="SimSun"/>
                <w:sz w:val="20"/>
                <w:szCs w:val="20"/>
              </w:rPr>
              <w:t>aralığı</w:t>
            </w:r>
            <w:proofErr w:type="spellEnd"/>
            <w:r>
              <w:rPr>
                <w:rFonts w:eastAsia="SimSun"/>
                <w:sz w:val="20"/>
                <w:szCs w:val="20"/>
              </w:rPr>
              <w:t xml:space="preserve"> </w:t>
            </w:r>
            <w:proofErr w:type="spellStart"/>
            <w:r>
              <w:rPr>
                <w:rFonts w:eastAsia="SimSun"/>
                <w:sz w:val="20"/>
                <w:szCs w:val="20"/>
              </w:rPr>
              <w:t>nedir</w:t>
            </w:r>
            <w:proofErr w:type="spellEnd"/>
            <w:r>
              <w:rPr>
                <w:rFonts w:eastAsia="SimSun"/>
                <w:sz w:val="20"/>
                <w:szCs w:val="20"/>
              </w:rPr>
              <w:t>?"</w:t>
            </w:r>
          </w:p>
        </w:tc>
      </w:tr>
      <w:tr w:rsidR="001E7189" w14:paraId="30677EBA" w14:textId="77777777" w:rsidTr="00D23BA5">
        <w:tc>
          <w:tcPr>
            <w:tcW w:w="2109" w:type="dxa"/>
          </w:tcPr>
          <w:p w14:paraId="6761AE49" w14:textId="77777777" w:rsidR="001E7189" w:rsidRDefault="001E7189" w:rsidP="007513A1">
            <w:pPr>
              <w:pStyle w:val="NormalWeb"/>
              <w:spacing w:before="0" w:beforeAutospacing="0" w:after="0" w:afterAutospacing="0"/>
              <w:jc w:val="both"/>
              <w:rPr>
                <w:b/>
                <w:bCs/>
                <w:color w:val="000000"/>
                <w:sz w:val="20"/>
                <w:szCs w:val="20"/>
              </w:rPr>
            </w:pPr>
          </w:p>
        </w:tc>
        <w:tc>
          <w:tcPr>
            <w:tcW w:w="2109" w:type="dxa"/>
          </w:tcPr>
          <w:p w14:paraId="29682453"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Oyunlaştırma</w:t>
            </w:r>
            <w:proofErr w:type="spellEnd"/>
          </w:p>
        </w:tc>
        <w:tc>
          <w:tcPr>
            <w:tcW w:w="2109" w:type="dxa"/>
          </w:tcPr>
          <w:p w14:paraId="1B465D05"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Eğlenceli</w:t>
            </w:r>
            <w:proofErr w:type="spellEnd"/>
            <w:r>
              <w:rPr>
                <w:rFonts w:eastAsia="SimSun"/>
                <w:sz w:val="20"/>
                <w:szCs w:val="20"/>
              </w:rPr>
              <w:t xml:space="preserve"> </w:t>
            </w:r>
            <w:proofErr w:type="spellStart"/>
            <w:r>
              <w:rPr>
                <w:rFonts w:eastAsia="SimSun"/>
                <w:sz w:val="20"/>
                <w:szCs w:val="20"/>
              </w:rPr>
              <w:t>etkileşimler</w:t>
            </w:r>
            <w:proofErr w:type="spellEnd"/>
            <w:r>
              <w:rPr>
                <w:rFonts w:eastAsia="SimSun"/>
                <w:sz w:val="20"/>
                <w:szCs w:val="20"/>
              </w:rPr>
              <w:t xml:space="preserve"> </w:t>
            </w:r>
            <w:proofErr w:type="spellStart"/>
            <w:r>
              <w:rPr>
                <w:rFonts w:eastAsia="SimSun"/>
                <w:sz w:val="20"/>
                <w:szCs w:val="20"/>
              </w:rPr>
              <w:t>tasarlama</w:t>
            </w:r>
            <w:proofErr w:type="spellEnd"/>
          </w:p>
        </w:tc>
        <w:tc>
          <w:tcPr>
            <w:tcW w:w="2109" w:type="dxa"/>
          </w:tcPr>
          <w:p w14:paraId="756B4CA0"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w:t>
            </w:r>
            <w:proofErr w:type="spellStart"/>
            <w:r>
              <w:rPr>
                <w:rFonts w:eastAsia="SimSun"/>
                <w:sz w:val="20"/>
                <w:szCs w:val="20"/>
              </w:rPr>
              <w:t>Müşterilere</w:t>
            </w:r>
            <w:proofErr w:type="spellEnd"/>
            <w:r>
              <w:rPr>
                <w:rFonts w:eastAsia="SimSun"/>
                <w:sz w:val="20"/>
                <w:szCs w:val="20"/>
              </w:rPr>
              <w:t xml:space="preserve"> </w:t>
            </w:r>
            <w:proofErr w:type="spellStart"/>
            <w:r>
              <w:rPr>
                <w:rFonts w:eastAsia="SimSun"/>
                <w:sz w:val="20"/>
                <w:szCs w:val="20"/>
              </w:rPr>
              <w:t>menüdeki</w:t>
            </w:r>
            <w:proofErr w:type="spellEnd"/>
            <w:r>
              <w:rPr>
                <w:rFonts w:eastAsia="SimSun"/>
                <w:sz w:val="20"/>
                <w:szCs w:val="20"/>
              </w:rPr>
              <w:t xml:space="preserve"> </w:t>
            </w:r>
            <w:proofErr w:type="spellStart"/>
            <w:r>
              <w:rPr>
                <w:rFonts w:eastAsia="SimSun"/>
                <w:sz w:val="20"/>
                <w:szCs w:val="20"/>
              </w:rPr>
              <w:t>yemeklerde</w:t>
            </w:r>
            <w:proofErr w:type="spellEnd"/>
            <w:r>
              <w:rPr>
                <w:rFonts w:eastAsia="SimSun"/>
                <w:sz w:val="20"/>
                <w:szCs w:val="20"/>
              </w:rPr>
              <w:t xml:space="preserve"> hangi </w:t>
            </w:r>
            <w:proofErr w:type="spellStart"/>
            <w:r>
              <w:rPr>
                <w:rFonts w:eastAsia="SimSun"/>
                <w:sz w:val="20"/>
                <w:szCs w:val="20"/>
              </w:rPr>
              <w:t>alerjenlerin</w:t>
            </w:r>
            <w:proofErr w:type="spellEnd"/>
            <w:r>
              <w:rPr>
                <w:rFonts w:eastAsia="SimSun"/>
                <w:sz w:val="20"/>
                <w:szCs w:val="20"/>
              </w:rPr>
              <w:t xml:space="preserve"> </w:t>
            </w:r>
            <w:proofErr w:type="spellStart"/>
            <w:r>
              <w:rPr>
                <w:rFonts w:eastAsia="SimSun"/>
                <w:sz w:val="20"/>
                <w:szCs w:val="20"/>
              </w:rPr>
              <w:t>olmadığını</w:t>
            </w:r>
            <w:proofErr w:type="spellEnd"/>
            <w:r>
              <w:rPr>
                <w:rFonts w:eastAsia="SimSun"/>
                <w:sz w:val="20"/>
                <w:szCs w:val="20"/>
              </w:rPr>
              <w:t xml:space="preserve"> </w:t>
            </w:r>
            <w:proofErr w:type="spellStart"/>
            <w:r>
              <w:rPr>
                <w:rFonts w:eastAsia="SimSun"/>
                <w:sz w:val="20"/>
                <w:szCs w:val="20"/>
              </w:rPr>
              <w:t>tahmin</w:t>
            </w:r>
            <w:proofErr w:type="spellEnd"/>
            <w:r>
              <w:rPr>
                <w:rFonts w:eastAsia="SimSun"/>
                <w:sz w:val="20"/>
                <w:szCs w:val="20"/>
              </w:rPr>
              <w:t xml:space="preserve"> </w:t>
            </w:r>
            <w:proofErr w:type="spellStart"/>
            <w:r>
              <w:rPr>
                <w:rFonts w:eastAsia="SimSun"/>
                <w:sz w:val="20"/>
                <w:szCs w:val="20"/>
              </w:rPr>
              <w:t>ettiren</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oyun</w:t>
            </w:r>
            <w:proofErr w:type="spellEnd"/>
            <w:r>
              <w:rPr>
                <w:rFonts w:eastAsia="SimSun"/>
                <w:sz w:val="20"/>
                <w:szCs w:val="20"/>
              </w:rPr>
              <w:t xml:space="preserve"> </w:t>
            </w:r>
            <w:proofErr w:type="spellStart"/>
            <w:r>
              <w:rPr>
                <w:rFonts w:eastAsia="SimSun"/>
                <w:sz w:val="20"/>
                <w:szCs w:val="20"/>
              </w:rPr>
              <w:t>tasarla</w:t>
            </w:r>
            <w:proofErr w:type="spellEnd"/>
            <w:r>
              <w:rPr>
                <w:rFonts w:eastAsia="SimSun"/>
                <w:sz w:val="20"/>
                <w:szCs w:val="20"/>
              </w:rPr>
              <w:t>"</w:t>
            </w:r>
          </w:p>
        </w:tc>
      </w:tr>
      <w:tr w:rsidR="001E7189" w14:paraId="2AEE5D30" w14:textId="77777777" w:rsidTr="00D23BA5">
        <w:tc>
          <w:tcPr>
            <w:tcW w:w="2109" w:type="dxa"/>
          </w:tcPr>
          <w:p w14:paraId="0D756EEE"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b/>
                <w:bCs/>
                <w:sz w:val="20"/>
                <w:szCs w:val="20"/>
              </w:rPr>
              <w:t>Bağlam</w:t>
            </w:r>
            <w:proofErr w:type="spellEnd"/>
            <w:r>
              <w:rPr>
                <w:rFonts w:eastAsia="SimSun"/>
                <w:b/>
                <w:bCs/>
                <w:sz w:val="20"/>
                <w:szCs w:val="20"/>
              </w:rPr>
              <w:t xml:space="preserve"> </w:t>
            </w:r>
            <w:proofErr w:type="spellStart"/>
            <w:r>
              <w:rPr>
                <w:rFonts w:eastAsia="SimSun"/>
                <w:b/>
                <w:bCs/>
                <w:sz w:val="20"/>
                <w:szCs w:val="20"/>
              </w:rPr>
              <w:t>Kontrolü</w:t>
            </w:r>
            <w:proofErr w:type="spellEnd"/>
            <w:r>
              <w:rPr>
                <w:rFonts w:eastAsia="SimSun"/>
                <w:b/>
                <w:bCs/>
                <w:sz w:val="20"/>
                <w:szCs w:val="20"/>
              </w:rPr>
              <w:t xml:space="preserve"> (Context Control)</w:t>
            </w:r>
          </w:p>
        </w:tc>
        <w:tc>
          <w:tcPr>
            <w:tcW w:w="2109" w:type="dxa"/>
          </w:tcPr>
          <w:p w14:paraId="6D2D4D44"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Bağlam</w:t>
            </w:r>
            <w:proofErr w:type="spellEnd"/>
            <w:r>
              <w:rPr>
                <w:rFonts w:eastAsia="SimSun"/>
                <w:sz w:val="20"/>
                <w:szCs w:val="20"/>
              </w:rPr>
              <w:t xml:space="preserve"> </w:t>
            </w:r>
            <w:proofErr w:type="spellStart"/>
            <w:r>
              <w:rPr>
                <w:rFonts w:eastAsia="SimSun"/>
                <w:sz w:val="20"/>
                <w:szCs w:val="20"/>
              </w:rPr>
              <w:t>Yöneticisi</w:t>
            </w:r>
            <w:proofErr w:type="spellEnd"/>
          </w:p>
        </w:tc>
        <w:tc>
          <w:tcPr>
            <w:tcW w:w="2109" w:type="dxa"/>
          </w:tcPr>
          <w:p w14:paraId="7DFA1B5E" w14:textId="77777777" w:rsidR="001E7189" w:rsidRDefault="001E7189" w:rsidP="007513A1">
            <w:pPr>
              <w:pStyle w:val="NormalWeb"/>
              <w:spacing w:before="0" w:beforeAutospacing="0" w:after="0" w:afterAutospacing="0"/>
              <w:jc w:val="both"/>
              <w:rPr>
                <w:color w:val="000000"/>
                <w:sz w:val="20"/>
                <w:szCs w:val="20"/>
              </w:rPr>
            </w:pPr>
            <w:proofErr w:type="spellStart"/>
            <w:r>
              <w:rPr>
                <w:rFonts w:eastAsia="SimSun"/>
                <w:sz w:val="20"/>
                <w:szCs w:val="20"/>
              </w:rPr>
              <w:t>Konuşmayı</w:t>
            </w:r>
            <w:proofErr w:type="spellEnd"/>
            <w:r>
              <w:rPr>
                <w:rFonts w:eastAsia="SimSun"/>
                <w:sz w:val="20"/>
                <w:szCs w:val="20"/>
              </w:rPr>
              <w:t xml:space="preserve"> </w:t>
            </w:r>
            <w:proofErr w:type="spellStart"/>
            <w:r>
              <w:rPr>
                <w:rFonts w:eastAsia="SimSun"/>
                <w:sz w:val="20"/>
                <w:szCs w:val="20"/>
              </w:rPr>
              <w:t>belirli</w:t>
            </w:r>
            <w:proofErr w:type="spellEnd"/>
            <w:r>
              <w:rPr>
                <w:rFonts w:eastAsia="SimSun"/>
                <w:sz w:val="20"/>
                <w:szCs w:val="20"/>
              </w:rPr>
              <w:t xml:space="preserve"> </w:t>
            </w:r>
            <w:proofErr w:type="spellStart"/>
            <w:r>
              <w:rPr>
                <w:rFonts w:eastAsia="SimSun"/>
                <w:sz w:val="20"/>
                <w:szCs w:val="20"/>
              </w:rPr>
              <w:t>bir</w:t>
            </w:r>
            <w:proofErr w:type="spellEnd"/>
            <w:r>
              <w:rPr>
                <w:rFonts w:eastAsia="SimSun"/>
                <w:sz w:val="20"/>
                <w:szCs w:val="20"/>
              </w:rPr>
              <w:t xml:space="preserve"> </w:t>
            </w:r>
            <w:proofErr w:type="spellStart"/>
            <w:r>
              <w:rPr>
                <w:rFonts w:eastAsia="SimSun"/>
                <w:sz w:val="20"/>
                <w:szCs w:val="20"/>
              </w:rPr>
              <w:t>konu</w:t>
            </w:r>
            <w:proofErr w:type="spellEnd"/>
            <w:r>
              <w:rPr>
                <w:rFonts w:eastAsia="SimSun"/>
                <w:sz w:val="20"/>
                <w:szCs w:val="20"/>
              </w:rPr>
              <w:t xml:space="preserve"> </w:t>
            </w:r>
            <w:proofErr w:type="spellStart"/>
            <w:r>
              <w:rPr>
                <w:rFonts w:eastAsia="SimSun"/>
                <w:sz w:val="20"/>
                <w:szCs w:val="20"/>
              </w:rPr>
              <w:t>ile</w:t>
            </w:r>
            <w:proofErr w:type="spellEnd"/>
            <w:r>
              <w:rPr>
                <w:rFonts w:eastAsia="SimSun"/>
                <w:sz w:val="20"/>
                <w:szCs w:val="20"/>
              </w:rPr>
              <w:t xml:space="preserve"> </w:t>
            </w:r>
            <w:proofErr w:type="spellStart"/>
            <w:r>
              <w:rPr>
                <w:rFonts w:eastAsia="SimSun"/>
                <w:sz w:val="20"/>
                <w:szCs w:val="20"/>
              </w:rPr>
              <w:t>sınırlama</w:t>
            </w:r>
            <w:proofErr w:type="spellEnd"/>
          </w:p>
        </w:tc>
        <w:tc>
          <w:tcPr>
            <w:tcW w:w="2109" w:type="dxa"/>
          </w:tcPr>
          <w:p w14:paraId="7EF8D41D" w14:textId="77777777" w:rsidR="001E7189" w:rsidRDefault="001E7189" w:rsidP="007513A1">
            <w:pPr>
              <w:pStyle w:val="NormalWeb"/>
              <w:spacing w:before="0" w:beforeAutospacing="0" w:after="0" w:afterAutospacing="0"/>
              <w:jc w:val="both"/>
              <w:rPr>
                <w:color w:val="000000"/>
                <w:sz w:val="20"/>
                <w:szCs w:val="20"/>
              </w:rPr>
            </w:pPr>
            <w:r>
              <w:rPr>
                <w:rFonts w:eastAsia="SimSun"/>
                <w:sz w:val="20"/>
                <w:szCs w:val="20"/>
              </w:rPr>
              <w:t xml:space="preserve">"Bu </w:t>
            </w:r>
            <w:proofErr w:type="spellStart"/>
            <w:r>
              <w:rPr>
                <w:rFonts w:eastAsia="SimSun"/>
                <w:sz w:val="20"/>
                <w:szCs w:val="20"/>
              </w:rPr>
              <w:t>etkileşimi</w:t>
            </w:r>
            <w:proofErr w:type="spellEnd"/>
            <w:r>
              <w:rPr>
                <w:rFonts w:eastAsia="SimSun"/>
                <w:sz w:val="20"/>
                <w:szCs w:val="20"/>
              </w:rPr>
              <w:t xml:space="preserve"> </w:t>
            </w:r>
            <w:proofErr w:type="spellStart"/>
            <w:r>
              <w:rPr>
                <w:rFonts w:eastAsia="SimSun"/>
                <w:sz w:val="20"/>
                <w:szCs w:val="20"/>
              </w:rPr>
              <w:t>sadece</w:t>
            </w:r>
            <w:proofErr w:type="spellEnd"/>
            <w:r>
              <w:rPr>
                <w:rFonts w:eastAsia="SimSun"/>
                <w:sz w:val="20"/>
                <w:szCs w:val="20"/>
              </w:rPr>
              <w:t xml:space="preserve"> </w:t>
            </w:r>
            <w:proofErr w:type="spellStart"/>
            <w:r>
              <w:rPr>
                <w:rFonts w:eastAsia="SimSun"/>
                <w:sz w:val="20"/>
                <w:szCs w:val="20"/>
              </w:rPr>
              <w:t>restoran</w:t>
            </w:r>
            <w:proofErr w:type="spellEnd"/>
            <w:r>
              <w:rPr>
                <w:rFonts w:eastAsia="SimSun"/>
                <w:sz w:val="20"/>
                <w:szCs w:val="20"/>
              </w:rPr>
              <w:t xml:space="preserve"> </w:t>
            </w:r>
            <w:proofErr w:type="spellStart"/>
            <w:r>
              <w:rPr>
                <w:rFonts w:eastAsia="SimSun"/>
                <w:sz w:val="20"/>
                <w:szCs w:val="20"/>
              </w:rPr>
              <w:t>menüsü</w:t>
            </w:r>
            <w:proofErr w:type="spellEnd"/>
            <w:r>
              <w:rPr>
                <w:rFonts w:eastAsia="SimSun"/>
                <w:sz w:val="20"/>
                <w:szCs w:val="20"/>
              </w:rPr>
              <w:t xml:space="preserve"> </w:t>
            </w:r>
            <w:proofErr w:type="spellStart"/>
            <w:r>
              <w:rPr>
                <w:rFonts w:eastAsia="SimSun"/>
                <w:sz w:val="20"/>
                <w:szCs w:val="20"/>
              </w:rPr>
              <w:t>ve</w:t>
            </w:r>
            <w:proofErr w:type="spellEnd"/>
            <w:r>
              <w:rPr>
                <w:rFonts w:eastAsia="SimSun"/>
                <w:sz w:val="20"/>
                <w:szCs w:val="20"/>
              </w:rPr>
              <w:t xml:space="preserve"> </w:t>
            </w:r>
            <w:proofErr w:type="spellStart"/>
            <w:r>
              <w:rPr>
                <w:rFonts w:eastAsia="SimSun"/>
                <w:sz w:val="20"/>
                <w:szCs w:val="20"/>
              </w:rPr>
              <w:t>alerjen</w:t>
            </w:r>
            <w:proofErr w:type="spellEnd"/>
            <w:r>
              <w:rPr>
                <w:rFonts w:eastAsia="SimSun"/>
                <w:sz w:val="20"/>
                <w:szCs w:val="20"/>
              </w:rPr>
              <w:t xml:space="preserve"> </w:t>
            </w:r>
            <w:proofErr w:type="spellStart"/>
            <w:r>
              <w:rPr>
                <w:rFonts w:eastAsia="SimSun"/>
                <w:sz w:val="20"/>
                <w:szCs w:val="20"/>
              </w:rPr>
              <w:t>bilgileri</w:t>
            </w:r>
            <w:proofErr w:type="spellEnd"/>
            <w:r>
              <w:rPr>
                <w:rFonts w:eastAsia="SimSun"/>
                <w:sz w:val="20"/>
                <w:szCs w:val="20"/>
              </w:rPr>
              <w:t xml:space="preserve"> </w:t>
            </w:r>
            <w:proofErr w:type="spellStart"/>
            <w:r>
              <w:rPr>
                <w:rFonts w:eastAsia="SimSun"/>
                <w:sz w:val="20"/>
                <w:szCs w:val="20"/>
              </w:rPr>
              <w:t>ile</w:t>
            </w:r>
            <w:proofErr w:type="spellEnd"/>
            <w:r>
              <w:rPr>
                <w:rFonts w:eastAsia="SimSun"/>
                <w:sz w:val="20"/>
                <w:szCs w:val="20"/>
              </w:rPr>
              <w:t xml:space="preserve"> </w:t>
            </w:r>
            <w:proofErr w:type="spellStart"/>
            <w:r>
              <w:rPr>
                <w:rFonts w:eastAsia="SimSun"/>
                <w:sz w:val="20"/>
                <w:szCs w:val="20"/>
              </w:rPr>
              <w:t>sınırlı</w:t>
            </w:r>
            <w:proofErr w:type="spellEnd"/>
            <w:r>
              <w:rPr>
                <w:rFonts w:eastAsia="SimSun"/>
                <w:sz w:val="20"/>
                <w:szCs w:val="20"/>
              </w:rPr>
              <w:t xml:space="preserve"> tut"</w:t>
            </w:r>
          </w:p>
        </w:tc>
      </w:tr>
    </w:tbl>
    <w:p w14:paraId="1579CFA2" w14:textId="77777777" w:rsidR="001E7189" w:rsidRDefault="001E7189" w:rsidP="007513A1">
      <w:pPr>
        <w:pStyle w:val="Balk3"/>
        <w:keepNext w:val="0"/>
        <w:keepLines w:val="0"/>
        <w:spacing w:before="0" w:after="0"/>
        <w:jc w:val="both"/>
        <w:rPr>
          <w:rFonts w:ascii="Times New Roman" w:hAnsi="Times New Roman" w:cs="Times New Roman"/>
          <w:color w:val="000000"/>
          <w:sz w:val="24"/>
          <w:szCs w:val="24"/>
        </w:rPr>
      </w:pPr>
      <w:r w:rsidRPr="0052079F">
        <w:rPr>
          <w:rFonts w:ascii="Times New Roman" w:hAnsi="Times New Roman" w:cs="Times New Roman"/>
          <w:color w:val="000000"/>
          <w:sz w:val="24"/>
          <w:szCs w:val="24"/>
        </w:rPr>
        <w:t xml:space="preserve">Bu bağlamda </w:t>
      </w:r>
      <w:proofErr w:type="spellStart"/>
      <w:r w:rsidRPr="0052079F">
        <w:rPr>
          <w:rFonts w:ascii="Times New Roman" w:hAnsi="Times New Roman" w:cs="Times New Roman"/>
          <w:color w:val="000000"/>
          <w:sz w:val="24"/>
          <w:szCs w:val="24"/>
        </w:rPr>
        <w:t>promptlar</w:t>
      </w:r>
      <w:proofErr w:type="spellEnd"/>
      <w:r w:rsidRPr="0052079F">
        <w:rPr>
          <w:rFonts w:ascii="Times New Roman" w:hAnsi="Times New Roman" w:cs="Times New Roman"/>
          <w:color w:val="000000"/>
          <w:sz w:val="24"/>
          <w:szCs w:val="24"/>
        </w:rPr>
        <w:t xml:space="preserve"> teker teker işlenmek istendiğinde, yani Akdeniz usulü bir restorandaki menünün alerjileri incelenmek istendiğinde </w:t>
      </w:r>
      <w:r w:rsidRPr="0052079F">
        <w:rPr>
          <w:rFonts w:ascii="Times New Roman" w:hAnsi="Times New Roman" w:cs="Times New Roman"/>
          <w:i/>
          <w:iCs/>
          <w:color w:val="000000"/>
          <w:sz w:val="24"/>
          <w:szCs w:val="24"/>
        </w:rPr>
        <w:t xml:space="preserve">A </w:t>
      </w:r>
      <w:proofErr w:type="spellStart"/>
      <w:r w:rsidRPr="0052079F">
        <w:rPr>
          <w:rFonts w:ascii="Times New Roman" w:hAnsi="Times New Roman" w:cs="Times New Roman"/>
          <w:i/>
          <w:iCs/>
          <w:color w:val="000000"/>
          <w:sz w:val="24"/>
          <w:szCs w:val="24"/>
        </w:rPr>
        <w:t>prompt</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pattern</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catalog</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to</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enhance</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prompt</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engineering</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with</w:t>
      </w:r>
      <w:proofErr w:type="spellEnd"/>
      <w:r w:rsidRPr="0052079F">
        <w:rPr>
          <w:rFonts w:ascii="Times New Roman" w:hAnsi="Times New Roman" w:cs="Times New Roman"/>
          <w:i/>
          <w:iCs/>
          <w:color w:val="000000"/>
          <w:sz w:val="24"/>
          <w:szCs w:val="24"/>
        </w:rPr>
        <w:t xml:space="preserve"> </w:t>
      </w:r>
      <w:proofErr w:type="spellStart"/>
      <w:r w:rsidRPr="0052079F">
        <w:rPr>
          <w:rFonts w:ascii="Times New Roman" w:hAnsi="Times New Roman" w:cs="Times New Roman"/>
          <w:i/>
          <w:iCs/>
          <w:color w:val="000000"/>
          <w:sz w:val="24"/>
          <w:szCs w:val="24"/>
        </w:rPr>
        <w:t>chatgpt</w:t>
      </w:r>
      <w:proofErr w:type="spellEnd"/>
      <w:r w:rsidRPr="0052079F">
        <w:rPr>
          <w:rFonts w:ascii="Times New Roman" w:hAnsi="Times New Roman" w:cs="Times New Roman"/>
          <w:i/>
          <w:iCs/>
          <w:color w:val="000000"/>
          <w:sz w:val="24"/>
          <w:szCs w:val="24"/>
        </w:rPr>
        <w:t xml:space="preserve"> </w:t>
      </w:r>
      <w:r w:rsidRPr="0052079F">
        <w:rPr>
          <w:rFonts w:ascii="Times New Roman" w:hAnsi="Times New Roman" w:cs="Times New Roman"/>
          <w:color w:val="000000"/>
          <w:sz w:val="24"/>
          <w:szCs w:val="24"/>
        </w:rPr>
        <w:t xml:space="preserve">çalışmasında White ve arkadaşlarının </w:t>
      </w:r>
      <w:proofErr w:type="gramStart"/>
      <w:r w:rsidRPr="0052079F">
        <w:rPr>
          <w:rFonts w:ascii="Times New Roman" w:hAnsi="Times New Roman" w:cs="Times New Roman"/>
          <w:color w:val="000000"/>
          <w:sz w:val="24"/>
          <w:szCs w:val="24"/>
        </w:rPr>
        <w:t>örnek  Ana</w:t>
      </w:r>
      <w:proofErr w:type="gramEnd"/>
      <w:r w:rsidRPr="0052079F">
        <w:rPr>
          <w:rFonts w:ascii="Times New Roman" w:hAnsi="Times New Roman" w:cs="Times New Roman"/>
          <w:color w:val="000000"/>
          <w:sz w:val="24"/>
          <w:szCs w:val="24"/>
        </w:rPr>
        <w:t xml:space="preserve"> Kategoriler ve Kalıpları </w:t>
      </w:r>
      <w:r w:rsidRPr="0052079F">
        <w:rPr>
          <w:rFonts w:ascii="Times New Roman" w:hAnsi="Times New Roman" w:cs="Times New Roman"/>
          <w:i/>
          <w:iCs/>
          <w:color w:val="000000"/>
          <w:sz w:val="24"/>
          <w:szCs w:val="24"/>
        </w:rPr>
        <w:t>Tablo 4</w:t>
      </w:r>
      <w:r w:rsidRPr="0052079F">
        <w:rPr>
          <w:rFonts w:ascii="Times New Roman" w:hAnsi="Times New Roman" w:cs="Times New Roman"/>
          <w:color w:val="000000"/>
          <w:sz w:val="24"/>
          <w:szCs w:val="24"/>
        </w:rPr>
        <w:t>’teki gibidir.</w:t>
      </w:r>
    </w:p>
    <w:p w14:paraId="7D1F417B" w14:textId="77777777" w:rsidR="001E7189" w:rsidRPr="0052079F" w:rsidRDefault="001E7189" w:rsidP="007513A1"/>
    <w:p w14:paraId="331FFE66" w14:textId="77777777" w:rsidR="001E7189" w:rsidRPr="00714BC1" w:rsidRDefault="001E7189" w:rsidP="007513A1">
      <w:pPr>
        <w:rPr>
          <w:b/>
          <w:bCs/>
        </w:rPr>
      </w:pPr>
      <w:r w:rsidRPr="00714BC1">
        <w:rPr>
          <w:b/>
          <w:bCs/>
        </w:rPr>
        <w:t>4. SONUÇ ve ÖNERİLER</w:t>
      </w:r>
    </w:p>
    <w:p w14:paraId="6D6F6C7D" w14:textId="77777777" w:rsidR="001E7189" w:rsidRDefault="001E7189" w:rsidP="007513A1">
      <w:pPr>
        <w:pStyle w:val="NormalWeb"/>
        <w:spacing w:before="0" w:beforeAutospacing="0" w:after="0" w:afterAutospacing="0"/>
        <w:jc w:val="both"/>
        <w:rPr>
          <w:color w:val="000000"/>
        </w:rPr>
      </w:pPr>
      <w:r>
        <w:rPr>
          <w:color w:val="000000"/>
        </w:rPr>
        <w:t xml:space="preserve">Bu </w:t>
      </w:r>
      <w:proofErr w:type="spellStart"/>
      <w:r>
        <w:rPr>
          <w:color w:val="000000"/>
        </w:rPr>
        <w:t>çalışma</w:t>
      </w:r>
      <w:proofErr w:type="spellEnd"/>
      <w:r>
        <w:rPr>
          <w:color w:val="000000"/>
        </w:rPr>
        <w:t xml:space="preserve">, prompt </w:t>
      </w:r>
      <w:proofErr w:type="spellStart"/>
      <w:r>
        <w:rPr>
          <w:color w:val="000000"/>
        </w:rPr>
        <w:t>mühendisliğinin</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işletmeciliğinde</w:t>
      </w:r>
      <w:proofErr w:type="spellEnd"/>
      <w:r>
        <w:rPr>
          <w:color w:val="000000"/>
        </w:rPr>
        <w:t xml:space="preserve"> </w:t>
      </w:r>
      <w:proofErr w:type="spellStart"/>
      <w:r>
        <w:rPr>
          <w:color w:val="000000"/>
        </w:rPr>
        <w:t>yaratabileceği</w:t>
      </w:r>
      <w:proofErr w:type="spellEnd"/>
      <w:r>
        <w:rPr>
          <w:color w:val="000000"/>
        </w:rPr>
        <w:t xml:space="preserve"> </w:t>
      </w:r>
      <w:proofErr w:type="spellStart"/>
      <w:r>
        <w:rPr>
          <w:color w:val="000000"/>
        </w:rPr>
        <w:t>yenilikçi</w:t>
      </w:r>
      <w:proofErr w:type="spellEnd"/>
      <w:r>
        <w:rPr>
          <w:color w:val="000000"/>
        </w:rPr>
        <w:t xml:space="preserve"> </w:t>
      </w:r>
      <w:proofErr w:type="spellStart"/>
      <w:r>
        <w:rPr>
          <w:color w:val="000000"/>
        </w:rPr>
        <w:t>etkileri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uygulama</w:t>
      </w:r>
      <w:proofErr w:type="spellEnd"/>
      <w:r>
        <w:rPr>
          <w:color w:val="000000"/>
        </w:rPr>
        <w:t xml:space="preserve"> </w:t>
      </w:r>
      <w:proofErr w:type="spellStart"/>
      <w:r>
        <w:rPr>
          <w:color w:val="000000"/>
        </w:rPr>
        <w:t>alanlarını</w:t>
      </w:r>
      <w:proofErr w:type="spellEnd"/>
      <w:r>
        <w:rPr>
          <w:color w:val="000000"/>
        </w:rPr>
        <w:t xml:space="preserve"> </w:t>
      </w:r>
      <w:proofErr w:type="spellStart"/>
      <w:r>
        <w:rPr>
          <w:color w:val="000000"/>
        </w:rPr>
        <w:t>ele</w:t>
      </w:r>
      <w:proofErr w:type="spellEnd"/>
      <w:r>
        <w:rPr>
          <w:color w:val="000000"/>
        </w:rPr>
        <w:t xml:space="preserve"> </w:t>
      </w:r>
      <w:proofErr w:type="spellStart"/>
      <w:r>
        <w:rPr>
          <w:color w:val="000000"/>
        </w:rPr>
        <w:t>almıştır</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sektörü</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memnuniyetini</w:t>
      </w:r>
      <w:proofErr w:type="spellEnd"/>
      <w:r>
        <w:rPr>
          <w:color w:val="000000"/>
        </w:rPr>
        <w:t xml:space="preserve"> </w:t>
      </w:r>
      <w:proofErr w:type="spellStart"/>
      <w:r>
        <w:rPr>
          <w:color w:val="000000"/>
        </w:rPr>
        <w:t>artırma</w:t>
      </w:r>
      <w:proofErr w:type="spellEnd"/>
      <w:r>
        <w:rPr>
          <w:color w:val="000000"/>
        </w:rPr>
        <w:t xml:space="preserve">, </w:t>
      </w:r>
      <w:proofErr w:type="spellStart"/>
      <w:r>
        <w:rPr>
          <w:color w:val="000000"/>
        </w:rPr>
        <w:t>operasyonel</w:t>
      </w:r>
      <w:proofErr w:type="spellEnd"/>
      <w:r>
        <w:rPr>
          <w:color w:val="000000"/>
        </w:rPr>
        <w:t xml:space="preserve"> </w:t>
      </w:r>
      <w:proofErr w:type="spellStart"/>
      <w:r>
        <w:rPr>
          <w:color w:val="000000"/>
        </w:rPr>
        <w:t>süreçleri</w:t>
      </w:r>
      <w:proofErr w:type="spellEnd"/>
      <w:r>
        <w:rPr>
          <w:color w:val="000000"/>
        </w:rPr>
        <w:t xml:space="preserve"> optimize </w:t>
      </w:r>
      <w:proofErr w:type="spellStart"/>
      <w:r>
        <w:rPr>
          <w:color w:val="000000"/>
        </w:rPr>
        <w:t>etme</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sürdürülebilirlik</w:t>
      </w:r>
      <w:proofErr w:type="spellEnd"/>
      <w:r>
        <w:rPr>
          <w:color w:val="000000"/>
        </w:rPr>
        <w:t xml:space="preserve"> </w:t>
      </w:r>
      <w:proofErr w:type="spellStart"/>
      <w:r>
        <w:rPr>
          <w:color w:val="000000"/>
        </w:rPr>
        <w:t>hedeflerine</w:t>
      </w:r>
      <w:proofErr w:type="spellEnd"/>
      <w:r>
        <w:rPr>
          <w:color w:val="000000"/>
        </w:rPr>
        <w:t xml:space="preserve"> </w:t>
      </w:r>
      <w:proofErr w:type="spellStart"/>
      <w:r>
        <w:rPr>
          <w:color w:val="000000"/>
        </w:rPr>
        <w:t>ulaşma</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temel</w:t>
      </w:r>
      <w:proofErr w:type="spellEnd"/>
      <w:r>
        <w:rPr>
          <w:color w:val="000000"/>
        </w:rPr>
        <w:t xml:space="preserve"> </w:t>
      </w:r>
      <w:proofErr w:type="spellStart"/>
      <w:r>
        <w:rPr>
          <w:color w:val="000000"/>
        </w:rPr>
        <w:t>amaçlar</w:t>
      </w:r>
      <w:proofErr w:type="spellEnd"/>
      <w:r>
        <w:rPr>
          <w:color w:val="000000"/>
        </w:rPr>
        <w:t xml:space="preserve"> </w:t>
      </w:r>
      <w:proofErr w:type="spellStart"/>
      <w:r>
        <w:rPr>
          <w:color w:val="000000"/>
        </w:rPr>
        <w:t>doğrultusunda</w:t>
      </w:r>
      <w:proofErr w:type="spellEnd"/>
      <w:r>
        <w:rPr>
          <w:color w:val="000000"/>
        </w:rPr>
        <w:t xml:space="preserve"> </w:t>
      </w:r>
      <w:proofErr w:type="spellStart"/>
      <w:r>
        <w:rPr>
          <w:color w:val="000000"/>
        </w:rPr>
        <w:t>hızla</w:t>
      </w:r>
      <w:proofErr w:type="spellEnd"/>
      <w:r>
        <w:rPr>
          <w:color w:val="000000"/>
        </w:rPr>
        <w:t xml:space="preserve"> </w:t>
      </w:r>
      <w:proofErr w:type="spellStart"/>
      <w:r>
        <w:rPr>
          <w:color w:val="000000"/>
        </w:rPr>
        <w:t>değişen</w:t>
      </w:r>
      <w:proofErr w:type="spellEnd"/>
      <w:r>
        <w:rPr>
          <w:color w:val="000000"/>
        </w:rPr>
        <w:t xml:space="preserve"> </w:t>
      </w:r>
      <w:proofErr w:type="spellStart"/>
      <w:r>
        <w:rPr>
          <w:color w:val="000000"/>
        </w:rPr>
        <w:t>teknolojik</w:t>
      </w:r>
      <w:proofErr w:type="spellEnd"/>
      <w:r>
        <w:rPr>
          <w:color w:val="000000"/>
        </w:rPr>
        <w:t xml:space="preserve"> </w:t>
      </w:r>
      <w:proofErr w:type="spellStart"/>
      <w:r>
        <w:rPr>
          <w:color w:val="000000"/>
        </w:rPr>
        <w:t>yeniliklere</w:t>
      </w:r>
      <w:proofErr w:type="spellEnd"/>
      <w:r>
        <w:rPr>
          <w:color w:val="000000"/>
        </w:rPr>
        <w:t xml:space="preserve"> </w:t>
      </w:r>
      <w:proofErr w:type="spellStart"/>
      <w:r>
        <w:rPr>
          <w:color w:val="000000"/>
        </w:rPr>
        <w:t>uyum</w:t>
      </w:r>
      <w:proofErr w:type="spellEnd"/>
      <w:r>
        <w:rPr>
          <w:color w:val="000000"/>
        </w:rPr>
        <w:t xml:space="preserve"> </w:t>
      </w:r>
      <w:proofErr w:type="spellStart"/>
      <w:r>
        <w:rPr>
          <w:color w:val="000000"/>
        </w:rPr>
        <w:t>sağlamaktadır</w:t>
      </w:r>
      <w:proofErr w:type="spellEnd"/>
      <w:r>
        <w:rPr>
          <w:color w:val="000000"/>
        </w:rPr>
        <w:t xml:space="preserve">. Bu </w:t>
      </w:r>
      <w:proofErr w:type="spellStart"/>
      <w:r>
        <w:rPr>
          <w:color w:val="000000"/>
        </w:rPr>
        <w:t>bağlamda</w:t>
      </w:r>
      <w:proofErr w:type="spellEnd"/>
      <w:r>
        <w:rPr>
          <w:color w:val="000000"/>
        </w:rPr>
        <w:t xml:space="preserve"> </w:t>
      </w:r>
      <w:proofErr w:type="spellStart"/>
      <w:r>
        <w:rPr>
          <w:color w:val="000000"/>
        </w:rPr>
        <w:t>büyük</w:t>
      </w:r>
      <w:proofErr w:type="spellEnd"/>
      <w:r>
        <w:rPr>
          <w:color w:val="000000"/>
        </w:rPr>
        <w:t xml:space="preserve"> </w:t>
      </w:r>
      <w:proofErr w:type="spellStart"/>
      <w:r>
        <w:rPr>
          <w:color w:val="000000"/>
        </w:rPr>
        <w:t>dil</w:t>
      </w:r>
      <w:proofErr w:type="spellEnd"/>
      <w:r>
        <w:rPr>
          <w:color w:val="000000"/>
        </w:rPr>
        <w:t xml:space="preserve"> </w:t>
      </w:r>
      <w:proofErr w:type="spellStart"/>
      <w:r>
        <w:rPr>
          <w:color w:val="000000"/>
        </w:rPr>
        <w:t>modelleri</w:t>
      </w:r>
      <w:proofErr w:type="spellEnd"/>
      <w:r>
        <w:rPr>
          <w:color w:val="000000"/>
        </w:rPr>
        <w:t xml:space="preserve"> (</w:t>
      </w:r>
      <w:proofErr w:type="spellStart"/>
      <w:r>
        <w:rPr>
          <w:color w:val="000000"/>
        </w:rPr>
        <w:t>LLM’ler</w:t>
      </w:r>
      <w:proofErr w:type="spellEnd"/>
      <w:r>
        <w:rPr>
          <w:color w:val="000000"/>
        </w:rPr>
        <w:t xml:space="preserve">) </w:t>
      </w:r>
      <w:proofErr w:type="spellStart"/>
      <w:r>
        <w:rPr>
          <w:color w:val="000000"/>
        </w:rPr>
        <w:t>ve</w:t>
      </w:r>
      <w:proofErr w:type="spellEnd"/>
      <w:r>
        <w:rPr>
          <w:color w:val="000000"/>
        </w:rPr>
        <w:t xml:space="preserve"> prompt </w:t>
      </w:r>
      <w:proofErr w:type="spellStart"/>
      <w:r>
        <w:rPr>
          <w:color w:val="000000"/>
        </w:rPr>
        <w:t>mühendisliği</w:t>
      </w:r>
      <w:proofErr w:type="spellEnd"/>
      <w:r>
        <w:rPr>
          <w:color w:val="000000"/>
        </w:rPr>
        <w:t xml:space="preserve">, </w:t>
      </w:r>
      <w:proofErr w:type="spellStart"/>
      <w:r>
        <w:rPr>
          <w:color w:val="000000"/>
        </w:rPr>
        <w:t>restoranların</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odaklı</w:t>
      </w:r>
      <w:proofErr w:type="spellEnd"/>
      <w:r>
        <w:rPr>
          <w:color w:val="000000"/>
        </w:rPr>
        <w:t xml:space="preserve"> </w:t>
      </w:r>
      <w:proofErr w:type="spellStart"/>
      <w:r>
        <w:rPr>
          <w:color w:val="000000"/>
        </w:rPr>
        <w:t>hizmet</w:t>
      </w:r>
      <w:proofErr w:type="spellEnd"/>
      <w:r>
        <w:rPr>
          <w:color w:val="000000"/>
        </w:rPr>
        <w:t xml:space="preserve"> </w:t>
      </w:r>
      <w:proofErr w:type="spellStart"/>
      <w:r>
        <w:rPr>
          <w:color w:val="000000"/>
        </w:rPr>
        <w:t>anlayışını</w:t>
      </w:r>
      <w:proofErr w:type="spellEnd"/>
      <w:r>
        <w:rPr>
          <w:color w:val="000000"/>
        </w:rPr>
        <w:t xml:space="preserve"> </w:t>
      </w:r>
      <w:proofErr w:type="spellStart"/>
      <w:r>
        <w:rPr>
          <w:color w:val="000000"/>
        </w:rPr>
        <w:t>derinleştirme</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operasyonel</w:t>
      </w:r>
      <w:proofErr w:type="spellEnd"/>
      <w:r>
        <w:rPr>
          <w:color w:val="000000"/>
        </w:rPr>
        <w:t xml:space="preserve"> </w:t>
      </w:r>
      <w:proofErr w:type="spellStart"/>
      <w:r>
        <w:rPr>
          <w:color w:val="000000"/>
        </w:rPr>
        <w:t>etkinliklerini</w:t>
      </w:r>
      <w:proofErr w:type="spellEnd"/>
      <w:r>
        <w:rPr>
          <w:color w:val="000000"/>
        </w:rPr>
        <w:t xml:space="preserve"> </w:t>
      </w:r>
      <w:proofErr w:type="spellStart"/>
      <w:r>
        <w:rPr>
          <w:color w:val="000000"/>
        </w:rPr>
        <w:t>artırma</w:t>
      </w:r>
      <w:proofErr w:type="spellEnd"/>
      <w:r>
        <w:rPr>
          <w:color w:val="000000"/>
        </w:rPr>
        <w:t xml:space="preserve"> </w:t>
      </w:r>
      <w:proofErr w:type="spellStart"/>
      <w:r>
        <w:rPr>
          <w:color w:val="000000"/>
        </w:rPr>
        <w:t>fırsatı</w:t>
      </w:r>
      <w:proofErr w:type="spellEnd"/>
      <w:r>
        <w:rPr>
          <w:color w:val="000000"/>
        </w:rPr>
        <w:t xml:space="preserve"> </w:t>
      </w:r>
      <w:proofErr w:type="spellStart"/>
      <w:r>
        <w:rPr>
          <w:color w:val="000000"/>
        </w:rPr>
        <w:t>sunmaktadır</w:t>
      </w:r>
      <w:proofErr w:type="spellEnd"/>
      <w:r>
        <w:rPr>
          <w:color w:val="000000"/>
        </w:rPr>
        <w:t xml:space="preserve">. Prompt </w:t>
      </w:r>
      <w:proofErr w:type="spellStart"/>
      <w:r>
        <w:rPr>
          <w:color w:val="000000"/>
        </w:rPr>
        <w:t>mühendisliği</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tasarımı</w:t>
      </w:r>
      <w:proofErr w:type="spellEnd"/>
      <w:r>
        <w:rPr>
          <w:color w:val="000000"/>
        </w:rPr>
        <w:t xml:space="preserve">, </w:t>
      </w:r>
      <w:proofErr w:type="spellStart"/>
      <w:r>
        <w:rPr>
          <w:color w:val="000000"/>
        </w:rPr>
        <w:t>fiyatlandırma</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ilişkileri</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bilgisi</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alanlarda</w:t>
      </w:r>
      <w:proofErr w:type="spellEnd"/>
      <w:r>
        <w:rPr>
          <w:color w:val="000000"/>
        </w:rPr>
        <w:t xml:space="preserve"> </w:t>
      </w:r>
      <w:proofErr w:type="spellStart"/>
      <w:r>
        <w:rPr>
          <w:color w:val="000000"/>
        </w:rPr>
        <w:t>yenilikçi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sürdürülebilir</w:t>
      </w:r>
      <w:proofErr w:type="spellEnd"/>
      <w:r>
        <w:rPr>
          <w:color w:val="000000"/>
        </w:rPr>
        <w:t xml:space="preserve"> </w:t>
      </w:r>
      <w:proofErr w:type="spellStart"/>
      <w:r>
        <w:rPr>
          <w:color w:val="000000"/>
        </w:rPr>
        <w:t>istikrara</w:t>
      </w:r>
      <w:proofErr w:type="spellEnd"/>
      <w:r>
        <w:rPr>
          <w:color w:val="000000"/>
        </w:rPr>
        <w:t xml:space="preserve"> </w:t>
      </w:r>
      <w:proofErr w:type="spellStart"/>
      <w:r>
        <w:rPr>
          <w:color w:val="000000"/>
        </w:rPr>
        <w:t>sahip</w:t>
      </w:r>
      <w:proofErr w:type="spellEnd"/>
      <w:r>
        <w:rPr>
          <w:color w:val="000000"/>
        </w:rPr>
        <w:t xml:space="preserve"> </w:t>
      </w:r>
      <w:proofErr w:type="spellStart"/>
      <w:r>
        <w:rPr>
          <w:color w:val="000000"/>
        </w:rPr>
        <w:t>çözümler</w:t>
      </w:r>
      <w:proofErr w:type="spellEnd"/>
      <w:r>
        <w:rPr>
          <w:color w:val="000000"/>
        </w:rPr>
        <w:t xml:space="preserve"> </w:t>
      </w:r>
      <w:proofErr w:type="spellStart"/>
      <w:r>
        <w:rPr>
          <w:color w:val="000000"/>
        </w:rPr>
        <w:t>geliştirilmesini</w:t>
      </w:r>
      <w:proofErr w:type="spellEnd"/>
      <w:r>
        <w:rPr>
          <w:color w:val="000000"/>
        </w:rPr>
        <w:t xml:space="preserve"> </w:t>
      </w:r>
      <w:proofErr w:type="spellStart"/>
      <w:r>
        <w:rPr>
          <w:color w:val="000000"/>
        </w:rPr>
        <w:t>mümkün</w:t>
      </w:r>
      <w:proofErr w:type="spellEnd"/>
      <w:r>
        <w:rPr>
          <w:color w:val="000000"/>
        </w:rPr>
        <w:t xml:space="preserve"> </w:t>
      </w:r>
      <w:proofErr w:type="spellStart"/>
      <w:r>
        <w:rPr>
          <w:color w:val="000000"/>
        </w:rPr>
        <w:t>kılmaktadır</w:t>
      </w:r>
      <w:proofErr w:type="spellEnd"/>
      <w:r>
        <w:rPr>
          <w:color w:val="000000"/>
        </w:rPr>
        <w:t xml:space="preserve">. </w:t>
      </w:r>
      <w:proofErr w:type="spellStart"/>
      <w:r>
        <w:rPr>
          <w:color w:val="000000"/>
        </w:rPr>
        <w:t>Çalışma</w:t>
      </w:r>
      <w:proofErr w:type="spellEnd"/>
      <w:r>
        <w:rPr>
          <w:color w:val="000000"/>
        </w:rPr>
        <w:t xml:space="preserve"> </w:t>
      </w:r>
      <w:proofErr w:type="spellStart"/>
      <w:r>
        <w:rPr>
          <w:color w:val="000000"/>
        </w:rPr>
        <w:t>kapsamında</w:t>
      </w:r>
      <w:proofErr w:type="spellEnd"/>
      <w:r>
        <w:rPr>
          <w:color w:val="000000"/>
        </w:rPr>
        <w:t xml:space="preserve"> </w:t>
      </w:r>
      <w:proofErr w:type="spellStart"/>
      <w:r>
        <w:rPr>
          <w:color w:val="000000"/>
        </w:rPr>
        <w:t>elde</w:t>
      </w:r>
      <w:proofErr w:type="spellEnd"/>
      <w:r>
        <w:rPr>
          <w:color w:val="000000"/>
        </w:rPr>
        <w:t xml:space="preserve"> </w:t>
      </w:r>
      <w:proofErr w:type="spellStart"/>
      <w:r>
        <w:rPr>
          <w:color w:val="000000"/>
        </w:rPr>
        <w:t>edilen</w:t>
      </w:r>
      <w:proofErr w:type="spellEnd"/>
      <w:r>
        <w:rPr>
          <w:color w:val="000000"/>
        </w:rPr>
        <w:t xml:space="preserve"> </w:t>
      </w:r>
      <w:proofErr w:type="spellStart"/>
      <w:r>
        <w:rPr>
          <w:color w:val="000000"/>
        </w:rPr>
        <w:t>bulgular</w:t>
      </w:r>
      <w:proofErr w:type="spellEnd"/>
      <w:r>
        <w:rPr>
          <w:color w:val="000000"/>
        </w:rPr>
        <w:t xml:space="preserve">, </w:t>
      </w:r>
      <w:proofErr w:type="spellStart"/>
      <w:r>
        <w:rPr>
          <w:color w:val="000000"/>
        </w:rPr>
        <w:t>yapay</w:t>
      </w:r>
      <w:proofErr w:type="spellEnd"/>
      <w:r>
        <w:rPr>
          <w:color w:val="000000"/>
        </w:rPr>
        <w:t xml:space="preserve"> </w:t>
      </w:r>
      <w:proofErr w:type="spellStart"/>
      <w:r>
        <w:rPr>
          <w:color w:val="000000"/>
        </w:rPr>
        <w:t>zekâ</w:t>
      </w:r>
      <w:proofErr w:type="spellEnd"/>
      <w:r>
        <w:rPr>
          <w:color w:val="000000"/>
        </w:rPr>
        <w:t xml:space="preserve"> </w:t>
      </w:r>
      <w:proofErr w:type="spellStart"/>
      <w:r>
        <w:rPr>
          <w:color w:val="000000"/>
        </w:rPr>
        <w:t>teknolojilerinin</w:t>
      </w:r>
      <w:proofErr w:type="spellEnd"/>
      <w:r>
        <w:rPr>
          <w:color w:val="000000"/>
        </w:rPr>
        <w:t xml:space="preserve">, </w:t>
      </w:r>
      <w:proofErr w:type="spellStart"/>
      <w:r>
        <w:rPr>
          <w:color w:val="000000"/>
        </w:rPr>
        <w:t>restoranların</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tercihlerini</w:t>
      </w:r>
      <w:proofErr w:type="spellEnd"/>
      <w:r>
        <w:rPr>
          <w:color w:val="000000"/>
        </w:rPr>
        <w:t xml:space="preserve"> </w:t>
      </w:r>
      <w:proofErr w:type="spellStart"/>
      <w:r>
        <w:rPr>
          <w:color w:val="000000"/>
        </w:rPr>
        <w:t>daha</w:t>
      </w:r>
      <w:proofErr w:type="spellEnd"/>
      <w:r>
        <w:rPr>
          <w:color w:val="000000"/>
        </w:rPr>
        <w:t xml:space="preserve"> iyi </w:t>
      </w:r>
      <w:proofErr w:type="spellStart"/>
      <w:r>
        <w:rPr>
          <w:color w:val="000000"/>
        </w:rPr>
        <w:t>anlamalarına</w:t>
      </w:r>
      <w:proofErr w:type="spellEnd"/>
      <w:r>
        <w:rPr>
          <w:color w:val="000000"/>
        </w:rPr>
        <w:t xml:space="preserve">, </w:t>
      </w:r>
      <w:proofErr w:type="spellStart"/>
      <w:r>
        <w:rPr>
          <w:color w:val="000000"/>
        </w:rPr>
        <w:t>eğitilen</w:t>
      </w:r>
      <w:proofErr w:type="spellEnd"/>
      <w:r>
        <w:rPr>
          <w:color w:val="000000"/>
        </w:rPr>
        <w:t xml:space="preserve"> </w:t>
      </w:r>
      <w:proofErr w:type="spellStart"/>
      <w:r>
        <w:rPr>
          <w:color w:val="000000"/>
        </w:rPr>
        <w:t>chatbotlara</w:t>
      </w:r>
      <w:proofErr w:type="spellEnd"/>
      <w:r>
        <w:rPr>
          <w:color w:val="000000"/>
        </w:rPr>
        <w:t xml:space="preserve"> </w:t>
      </w:r>
      <w:proofErr w:type="spellStart"/>
      <w:r>
        <w:rPr>
          <w:color w:val="000000"/>
        </w:rPr>
        <w:t>verilen</w:t>
      </w:r>
      <w:proofErr w:type="spellEnd"/>
      <w:r>
        <w:rPr>
          <w:color w:val="000000"/>
        </w:rPr>
        <w:t xml:space="preserve"> </w:t>
      </w:r>
      <w:proofErr w:type="spellStart"/>
      <w:r>
        <w:rPr>
          <w:color w:val="000000"/>
        </w:rPr>
        <w:t>doğru</w:t>
      </w:r>
      <w:proofErr w:type="spellEnd"/>
      <w:r>
        <w:rPr>
          <w:color w:val="000000"/>
        </w:rPr>
        <w:t xml:space="preserve"> prompt </w:t>
      </w:r>
      <w:proofErr w:type="spellStart"/>
      <w:r>
        <w:rPr>
          <w:color w:val="000000"/>
        </w:rPr>
        <w:t>kalıpları</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etkili</w:t>
      </w:r>
      <w:proofErr w:type="spellEnd"/>
      <w:r>
        <w:rPr>
          <w:color w:val="000000"/>
        </w:rPr>
        <w:t xml:space="preserve"> </w:t>
      </w:r>
      <w:proofErr w:type="spellStart"/>
      <w:r>
        <w:rPr>
          <w:color w:val="000000"/>
        </w:rPr>
        <w:t>hizmet</w:t>
      </w:r>
      <w:proofErr w:type="spellEnd"/>
      <w:r>
        <w:rPr>
          <w:color w:val="000000"/>
        </w:rPr>
        <w:t xml:space="preserve"> </w:t>
      </w:r>
      <w:proofErr w:type="spellStart"/>
      <w:r>
        <w:rPr>
          <w:color w:val="000000"/>
        </w:rPr>
        <w:t>sunmalarına</w:t>
      </w:r>
      <w:proofErr w:type="spellEnd"/>
      <w:r>
        <w:rPr>
          <w:color w:val="000000"/>
        </w:rPr>
        <w:t xml:space="preserve"> </w:t>
      </w:r>
      <w:proofErr w:type="spellStart"/>
      <w:r>
        <w:rPr>
          <w:color w:val="000000"/>
        </w:rPr>
        <w:t>yardımcı</w:t>
      </w:r>
      <w:proofErr w:type="spellEnd"/>
      <w:r>
        <w:rPr>
          <w:color w:val="000000"/>
        </w:rPr>
        <w:t xml:space="preserve"> </w:t>
      </w:r>
      <w:proofErr w:type="spellStart"/>
      <w:r>
        <w:rPr>
          <w:color w:val="000000"/>
        </w:rPr>
        <w:t>olduğunu</w:t>
      </w:r>
      <w:proofErr w:type="spellEnd"/>
      <w:r>
        <w:rPr>
          <w:color w:val="000000"/>
        </w:rPr>
        <w:t xml:space="preserve"> </w:t>
      </w:r>
      <w:proofErr w:type="spellStart"/>
      <w:r>
        <w:rPr>
          <w:color w:val="000000"/>
        </w:rPr>
        <w:t>göstermiştir</w:t>
      </w:r>
      <w:proofErr w:type="spellEnd"/>
      <w:r>
        <w:rPr>
          <w:color w:val="000000"/>
        </w:rPr>
        <w:t xml:space="preserve">. </w:t>
      </w:r>
      <w:proofErr w:type="spellStart"/>
      <w:r>
        <w:rPr>
          <w:color w:val="000000"/>
        </w:rPr>
        <w:t>Menü</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alanında</w:t>
      </w:r>
      <w:proofErr w:type="spellEnd"/>
      <w:r>
        <w:rPr>
          <w:color w:val="000000"/>
        </w:rPr>
        <w:t xml:space="preserve">, </w:t>
      </w:r>
      <w:proofErr w:type="spellStart"/>
      <w:r>
        <w:rPr>
          <w:color w:val="000000"/>
        </w:rPr>
        <w:t>psikolojik</w:t>
      </w:r>
      <w:proofErr w:type="spellEnd"/>
      <w:r>
        <w:rPr>
          <w:color w:val="000000"/>
        </w:rPr>
        <w:t xml:space="preserve"> </w:t>
      </w:r>
      <w:proofErr w:type="spellStart"/>
      <w:r>
        <w:rPr>
          <w:color w:val="000000"/>
        </w:rPr>
        <w:t>fiyatlandırma</w:t>
      </w:r>
      <w:proofErr w:type="spellEnd"/>
      <w:r>
        <w:rPr>
          <w:color w:val="000000"/>
        </w:rPr>
        <w:t xml:space="preserve"> </w:t>
      </w:r>
      <w:proofErr w:type="spellStart"/>
      <w:r>
        <w:rPr>
          <w:color w:val="000000"/>
        </w:rPr>
        <w:t>stratejilerinin</w:t>
      </w:r>
      <w:proofErr w:type="spellEnd"/>
      <w:r>
        <w:rPr>
          <w:color w:val="000000"/>
        </w:rPr>
        <w:t xml:space="preserve"> </w:t>
      </w:r>
      <w:proofErr w:type="spellStart"/>
      <w:r>
        <w:rPr>
          <w:color w:val="000000"/>
        </w:rPr>
        <w:t>kullanımı</w:t>
      </w:r>
      <w:proofErr w:type="spellEnd"/>
      <w:r>
        <w:rPr>
          <w:color w:val="000000"/>
        </w:rPr>
        <w:t xml:space="preserve">, </w:t>
      </w:r>
      <w:proofErr w:type="spellStart"/>
      <w:r>
        <w:rPr>
          <w:color w:val="000000"/>
        </w:rPr>
        <w:t>menüdeki</w:t>
      </w:r>
      <w:proofErr w:type="spellEnd"/>
      <w:r>
        <w:rPr>
          <w:color w:val="000000"/>
        </w:rPr>
        <w:t xml:space="preserve"> </w:t>
      </w:r>
      <w:proofErr w:type="spellStart"/>
      <w:r>
        <w:rPr>
          <w:color w:val="000000"/>
        </w:rPr>
        <w:t>öğelerin</w:t>
      </w:r>
      <w:proofErr w:type="spellEnd"/>
      <w:r>
        <w:rPr>
          <w:color w:val="000000"/>
        </w:rPr>
        <w:t xml:space="preserve"> </w:t>
      </w:r>
      <w:proofErr w:type="spellStart"/>
      <w:r>
        <w:rPr>
          <w:color w:val="000000"/>
        </w:rPr>
        <w:t>kişiselleştirilmesi</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davranışları</w:t>
      </w:r>
      <w:proofErr w:type="spellEnd"/>
      <w:r>
        <w:rPr>
          <w:color w:val="000000"/>
        </w:rPr>
        <w:t xml:space="preserve"> </w:t>
      </w:r>
      <w:proofErr w:type="spellStart"/>
      <w:r>
        <w:rPr>
          <w:color w:val="000000"/>
        </w:rPr>
        <w:t>üzerindeki</w:t>
      </w:r>
      <w:proofErr w:type="spellEnd"/>
      <w:r>
        <w:rPr>
          <w:color w:val="000000"/>
        </w:rPr>
        <w:t xml:space="preserve"> </w:t>
      </w:r>
      <w:proofErr w:type="spellStart"/>
      <w:r>
        <w:rPr>
          <w:color w:val="000000"/>
        </w:rPr>
        <w:t>etkisi</w:t>
      </w:r>
      <w:proofErr w:type="spellEnd"/>
      <w:r>
        <w:rPr>
          <w:color w:val="000000"/>
        </w:rPr>
        <w:t xml:space="preserve"> </w:t>
      </w:r>
      <w:proofErr w:type="spellStart"/>
      <w:r>
        <w:rPr>
          <w:color w:val="000000"/>
        </w:rPr>
        <w:t>çalışmada</w:t>
      </w:r>
      <w:proofErr w:type="spellEnd"/>
      <w:r>
        <w:rPr>
          <w:color w:val="000000"/>
        </w:rPr>
        <w:t xml:space="preserve"> </w:t>
      </w:r>
      <w:proofErr w:type="spellStart"/>
      <w:r>
        <w:rPr>
          <w:color w:val="000000"/>
        </w:rPr>
        <w:t>tablolarla</w:t>
      </w:r>
      <w:proofErr w:type="spellEnd"/>
      <w:r>
        <w:rPr>
          <w:color w:val="000000"/>
        </w:rPr>
        <w:t xml:space="preserve"> </w:t>
      </w:r>
      <w:proofErr w:type="spellStart"/>
      <w:r>
        <w:rPr>
          <w:color w:val="000000"/>
        </w:rPr>
        <w:t>gösterilmiştir</w:t>
      </w:r>
      <w:proofErr w:type="spellEnd"/>
      <w:r>
        <w:rPr>
          <w:color w:val="000000"/>
        </w:rPr>
        <w:t xml:space="preserve">. </w:t>
      </w:r>
      <w:proofErr w:type="spellStart"/>
      <w:r>
        <w:rPr>
          <w:color w:val="000000"/>
        </w:rPr>
        <w:t>Alerjen</w:t>
      </w:r>
      <w:proofErr w:type="spellEnd"/>
      <w:r>
        <w:rPr>
          <w:color w:val="000000"/>
        </w:rPr>
        <w:t xml:space="preserve"> </w:t>
      </w:r>
      <w:proofErr w:type="spellStart"/>
      <w:r>
        <w:rPr>
          <w:color w:val="000000"/>
        </w:rPr>
        <w:t>yönetimi</w:t>
      </w:r>
      <w:proofErr w:type="spellEnd"/>
      <w:r>
        <w:rPr>
          <w:color w:val="000000"/>
        </w:rPr>
        <w:t xml:space="preserve"> </w:t>
      </w:r>
      <w:proofErr w:type="spellStart"/>
      <w:r>
        <w:rPr>
          <w:color w:val="000000"/>
        </w:rPr>
        <w:t>gibi</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güvenliği</w:t>
      </w:r>
      <w:proofErr w:type="spellEnd"/>
      <w:r>
        <w:rPr>
          <w:color w:val="000000"/>
        </w:rPr>
        <w:t xml:space="preserve"> </w:t>
      </w:r>
      <w:proofErr w:type="spellStart"/>
      <w:r>
        <w:rPr>
          <w:color w:val="000000"/>
        </w:rPr>
        <w:t>açısından</w:t>
      </w:r>
      <w:proofErr w:type="spellEnd"/>
      <w:r>
        <w:rPr>
          <w:color w:val="000000"/>
        </w:rPr>
        <w:t xml:space="preserve"> </w:t>
      </w:r>
      <w:proofErr w:type="spellStart"/>
      <w:r>
        <w:rPr>
          <w:color w:val="000000"/>
        </w:rPr>
        <w:t>kritik</w:t>
      </w:r>
      <w:proofErr w:type="spellEnd"/>
      <w:r>
        <w:rPr>
          <w:color w:val="000000"/>
        </w:rPr>
        <w:t xml:space="preserve"> </w:t>
      </w:r>
      <w:proofErr w:type="spellStart"/>
      <w:r>
        <w:rPr>
          <w:color w:val="000000"/>
        </w:rPr>
        <w:t>olan</w:t>
      </w:r>
      <w:proofErr w:type="spellEnd"/>
      <w:r>
        <w:rPr>
          <w:color w:val="000000"/>
        </w:rPr>
        <w:t xml:space="preserve"> </w:t>
      </w:r>
      <w:proofErr w:type="spellStart"/>
      <w:r>
        <w:rPr>
          <w:color w:val="000000"/>
        </w:rPr>
        <w:t>konularda</w:t>
      </w:r>
      <w:proofErr w:type="spellEnd"/>
      <w:r>
        <w:rPr>
          <w:color w:val="000000"/>
        </w:rPr>
        <w:t xml:space="preserve">, </w:t>
      </w:r>
      <w:proofErr w:type="spellStart"/>
      <w:r>
        <w:rPr>
          <w:color w:val="000000"/>
        </w:rPr>
        <w:t>yapay</w:t>
      </w:r>
      <w:proofErr w:type="spellEnd"/>
      <w:r>
        <w:rPr>
          <w:color w:val="000000"/>
        </w:rPr>
        <w:t xml:space="preserve"> </w:t>
      </w:r>
      <w:proofErr w:type="spellStart"/>
      <w:r>
        <w:rPr>
          <w:color w:val="000000"/>
        </w:rPr>
        <w:t>zekâ</w:t>
      </w:r>
      <w:proofErr w:type="spellEnd"/>
      <w:r>
        <w:rPr>
          <w:color w:val="000000"/>
        </w:rPr>
        <w:t xml:space="preserve"> </w:t>
      </w:r>
      <w:proofErr w:type="spellStart"/>
      <w:r>
        <w:rPr>
          <w:color w:val="000000"/>
        </w:rPr>
        <w:t>destekli</w:t>
      </w:r>
      <w:proofErr w:type="spellEnd"/>
      <w:r>
        <w:rPr>
          <w:color w:val="000000"/>
        </w:rPr>
        <w:t xml:space="preserve"> </w:t>
      </w:r>
      <w:proofErr w:type="spellStart"/>
      <w:r>
        <w:rPr>
          <w:color w:val="000000"/>
        </w:rPr>
        <w:t>sistemlerin</w:t>
      </w:r>
      <w:proofErr w:type="spellEnd"/>
      <w:r>
        <w:rPr>
          <w:color w:val="000000"/>
        </w:rPr>
        <w:t xml:space="preserve"> </w:t>
      </w:r>
      <w:proofErr w:type="spellStart"/>
      <w:r>
        <w:rPr>
          <w:color w:val="000000"/>
        </w:rPr>
        <w:t>çalışan</w:t>
      </w:r>
      <w:proofErr w:type="spellEnd"/>
      <w:r>
        <w:rPr>
          <w:color w:val="000000"/>
        </w:rPr>
        <w:t xml:space="preserve"> </w:t>
      </w:r>
      <w:proofErr w:type="spellStart"/>
      <w:r>
        <w:rPr>
          <w:color w:val="000000"/>
        </w:rPr>
        <w:t>eğitimini</w:t>
      </w:r>
      <w:proofErr w:type="spellEnd"/>
      <w:r>
        <w:rPr>
          <w:color w:val="000000"/>
        </w:rPr>
        <w:t xml:space="preserve"> </w:t>
      </w:r>
      <w:proofErr w:type="spellStart"/>
      <w:r>
        <w:rPr>
          <w:color w:val="000000"/>
        </w:rPr>
        <w:t>desteklediği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operasyonel</w:t>
      </w:r>
      <w:proofErr w:type="spellEnd"/>
      <w:r>
        <w:rPr>
          <w:color w:val="000000"/>
        </w:rPr>
        <w:t xml:space="preserve"> </w:t>
      </w:r>
      <w:proofErr w:type="spellStart"/>
      <w:r>
        <w:rPr>
          <w:color w:val="000000"/>
        </w:rPr>
        <w:t>süreçlerde</w:t>
      </w:r>
      <w:proofErr w:type="spellEnd"/>
      <w:r>
        <w:rPr>
          <w:color w:val="000000"/>
        </w:rPr>
        <w:t xml:space="preserve"> </w:t>
      </w:r>
      <w:proofErr w:type="spellStart"/>
      <w:r>
        <w:rPr>
          <w:color w:val="000000"/>
        </w:rPr>
        <w:t>hata</w:t>
      </w:r>
      <w:proofErr w:type="spellEnd"/>
      <w:r>
        <w:rPr>
          <w:color w:val="000000"/>
        </w:rPr>
        <w:t xml:space="preserve"> </w:t>
      </w:r>
      <w:proofErr w:type="spellStart"/>
      <w:r>
        <w:rPr>
          <w:color w:val="000000"/>
        </w:rPr>
        <w:t>oranını</w:t>
      </w:r>
      <w:proofErr w:type="spellEnd"/>
      <w:r>
        <w:rPr>
          <w:color w:val="000000"/>
        </w:rPr>
        <w:t xml:space="preserve"> </w:t>
      </w:r>
      <w:proofErr w:type="spellStart"/>
      <w:r>
        <w:rPr>
          <w:color w:val="000000"/>
        </w:rPr>
        <w:t>düşürebileceği</w:t>
      </w:r>
      <w:proofErr w:type="spellEnd"/>
      <w:r>
        <w:rPr>
          <w:color w:val="000000"/>
        </w:rPr>
        <w:t xml:space="preserve">, </w:t>
      </w:r>
      <w:proofErr w:type="spellStart"/>
      <w:r>
        <w:rPr>
          <w:color w:val="000000"/>
        </w:rPr>
        <w:t>çalışanların</w:t>
      </w:r>
      <w:proofErr w:type="spellEnd"/>
      <w:r>
        <w:rPr>
          <w:color w:val="000000"/>
        </w:rPr>
        <w:t xml:space="preserve"> </w:t>
      </w:r>
      <w:proofErr w:type="spellStart"/>
      <w:r>
        <w:rPr>
          <w:color w:val="000000"/>
        </w:rPr>
        <w:t>eğitimine</w:t>
      </w:r>
      <w:proofErr w:type="spellEnd"/>
      <w:r>
        <w:rPr>
          <w:color w:val="000000"/>
        </w:rPr>
        <w:t xml:space="preserve"> </w:t>
      </w:r>
      <w:proofErr w:type="spellStart"/>
      <w:r>
        <w:rPr>
          <w:color w:val="000000"/>
        </w:rPr>
        <w:t>katkı</w:t>
      </w:r>
      <w:proofErr w:type="spellEnd"/>
      <w:r>
        <w:rPr>
          <w:color w:val="000000"/>
        </w:rPr>
        <w:t xml:space="preserve"> </w:t>
      </w:r>
      <w:proofErr w:type="spellStart"/>
      <w:r>
        <w:rPr>
          <w:color w:val="000000"/>
        </w:rPr>
        <w:t>sunabileceği</w:t>
      </w:r>
      <w:proofErr w:type="spellEnd"/>
      <w:r>
        <w:rPr>
          <w:color w:val="000000"/>
        </w:rPr>
        <w:t xml:space="preserve">, </w:t>
      </w:r>
      <w:proofErr w:type="spellStart"/>
      <w:r>
        <w:rPr>
          <w:color w:val="000000"/>
        </w:rPr>
        <w:t>doğru</w:t>
      </w:r>
      <w:proofErr w:type="spellEnd"/>
      <w:r>
        <w:rPr>
          <w:color w:val="000000"/>
        </w:rPr>
        <w:t xml:space="preserve"> prompt </w:t>
      </w:r>
      <w:proofErr w:type="spellStart"/>
      <w:r>
        <w:rPr>
          <w:color w:val="000000"/>
        </w:rPr>
        <w:t>kalıpları</w:t>
      </w:r>
      <w:proofErr w:type="spellEnd"/>
      <w:r>
        <w:rPr>
          <w:color w:val="000000"/>
        </w:rPr>
        <w:t xml:space="preserve"> </w:t>
      </w:r>
      <w:proofErr w:type="spellStart"/>
      <w:r>
        <w:rPr>
          <w:color w:val="000000"/>
        </w:rPr>
        <w:t>ile</w:t>
      </w:r>
      <w:proofErr w:type="spellEnd"/>
      <w:r>
        <w:rPr>
          <w:color w:val="000000"/>
        </w:rPr>
        <w:t xml:space="preserve"> hangi </w:t>
      </w:r>
      <w:proofErr w:type="spellStart"/>
      <w:r>
        <w:rPr>
          <w:color w:val="000000"/>
        </w:rPr>
        <w:t>menüde</w:t>
      </w:r>
      <w:proofErr w:type="spellEnd"/>
      <w:r>
        <w:rPr>
          <w:color w:val="000000"/>
        </w:rPr>
        <w:t xml:space="preserve"> hangi </w:t>
      </w:r>
      <w:proofErr w:type="spellStart"/>
      <w:r>
        <w:rPr>
          <w:color w:val="000000"/>
        </w:rPr>
        <w:t>yemeğin</w:t>
      </w:r>
      <w:proofErr w:type="spellEnd"/>
      <w:r>
        <w:rPr>
          <w:color w:val="000000"/>
        </w:rPr>
        <w:t xml:space="preserve"> ne </w:t>
      </w:r>
      <w:proofErr w:type="spellStart"/>
      <w:r>
        <w:rPr>
          <w:color w:val="000000"/>
        </w:rPr>
        <w:t>tür</w:t>
      </w:r>
      <w:proofErr w:type="spellEnd"/>
      <w:r>
        <w:rPr>
          <w:color w:val="000000"/>
        </w:rPr>
        <w:t xml:space="preserve"> </w:t>
      </w:r>
      <w:proofErr w:type="spellStart"/>
      <w:r>
        <w:rPr>
          <w:color w:val="000000"/>
        </w:rPr>
        <w:t>alerjenler</w:t>
      </w:r>
      <w:proofErr w:type="spellEnd"/>
      <w:r>
        <w:rPr>
          <w:color w:val="000000"/>
        </w:rPr>
        <w:t xml:space="preserve"> </w:t>
      </w:r>
      <w:proofErr w:type="spellStart"/>
      <w:r>
        <w:rPr>
          <w:color w:val="000000"/>
        </w:rPr>
        <w:t>içerdiğinin</w:t>
      </w:r>
      <w:proofErr w:type="spellEnd"/>
      <w:r>
        <w:rPr>
          <w:color w:val="000000"/>
        </w:rPr>
        <w:t xml:space="preserve"> </w:t>
      </w:r>
      <w:proofErr w:type="spellStart"/>
      <w:r>
        <w:rPr>
          <w:color w:val="000000"/>
        </w:rPr>
        <w:t>çok</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kolay</w:t>
      </w:r>
      <w:proofErr w:type="spellEnd"/>
      <w:r>
        <w:rPr>
          <w:color w:val="000000"/>
        </w:rPr>
        <w:t xml:space="preserve"> </w:t>
      </w:r>
      <w:proofErr w:type="spellStart"/>
      <w:r>
        <w:rPr>
          <w:color w:val="000000"/>
        </w:rPr>
        <w:t>saptabilmesinin</w:t>
      </w:r>
      <w:proofErr w:type="spellEnd"/>
      <w:r>
        <w:rPr>
          <w:color w:val="000000"/>
        </w:rPr>
        <w:t xml:space="preserve"> </w:t>
      </w:r>
      <w:proofErr w:type="spellStart"/>
      <w:r>
        <w:rPr>
          <w:color w:val="000000"/>
        </w:rPr>
        <w:t>önü</w:t>
      </w:r>
      <w:proofErr w:type="spellEnd"/>
      <w:r>
        <w:rPr>
          <w:color w:val="000000"/>
        </w:rPr>
        <w:t xml:space="preserve"> </w:t>
      </w:r>
      <w:proofErr w:type="spellStart"/>
      <w:r>
        <w:rPr>
          <w:color w:val="000000"/>
        </w:rPr>
        <w:t>açıldığı</w:t>
      </w:r>
      <w:proofErr w:type="spellEnd"/>
      <w:r>
        <w:rPr>
          <w:color w:val="000000"/>
        </w:rPr>
        <w:t xml:space="preserve"> </w:t>
      </w:r>
      <w:proofErr w:type="spellStart"/>
      <w:r>
        <w:rPr>
          <w:color w:val="000000"/>
        </w:rPr>
        <w:t>görülmüştür</w:t>
      </w:r>
      <w:proofErr w:type="spellEnd"/>
      <w:r>
        <w:rPr>
          <w:color w:val="000000"/>
        </w:rPr>
        <w:t xml:space="preserve">. </w:t>
      </w:r>
      <w:proofErr w:type="spellStart"/>
      <w:r>
        <w:rPr>
          <w:color w:val="000000"/>
        </w:rPr>
        <w:t>Çapraz</w:t>
      </w:r>
      <w:proofErr w:type="spellEnd"/>
      <w:r>
        <w:rPr>
          <w:color w:val="000000"/>
        </w:rPr>
        <w:t xml:space="preserve"> </w:t>
      </w:r>
      <w:proofErr w:type="spellStart"/>
      <w:r>
        <w:rPr>
          <w:color w:val="000000"/>
        </w:rPr>
        <w:t>temas</w:t>
      </w:r>
      <w:proofErr w:type="spellEnd"/>
      <w:r>
        <w:rPr>
          <w:color w:val="000000"/>
        </w:rPr>
        <w:t xml:space="preserve"> </w:t>
      </w:r>
      <w:proofErr w:type="spellStart"/>
      <w:r>
        <w:rPr>
          <w:color w:val="000000"/>
        </w:rPr>
        <w:t>risklerinin</w:t>
      </w:r>
      <w:proofErr w:type="spellEnd"/>
      <w:r>
        <w:rPr>
          <w:color w:val="000000"/>
        </w:rPr>
        <w:t xml:space="preserve"> </w:t>
      </w:r>
      <w:proofErr w:type="spellStart"/>
      <w:r>
        <w:rPr>
          <w:color w:val="000000"/>
        </w:rPr>
        <w:t>azaltılması</w:t>
      </w:r>
      <w:proofErr w:type="spellEnd"/>
      <w:r>
        <w:rPr>
          <w:color w:val="000000"/>
        </w:rPr>
        <w:t xml:space="preserve">, </w:t>
      </w:r>
      <w:proofErr w:type="spellStart"/>
      <w:r>
        <w:rPr>
          <w:color w:val="000000"/>
        </w:rPr>
        <w:t>alerjenlere</w:t>
      </w:r>
      <w:proofErr w:type="spellEnd"/>
      <w:r>
        <w:rPr>
          <w:color w:val="000000"/>
        </w:rPr>
        <w:t xml:space="preserve"> </w:t>
      </w:r>
      <w:proofErr w:type="spellStart"/>
      <w:r>
        <w:rPr>
          <w:color w:val="000000"/>
        </w:rPr>
        <w:t>yönelik</w:t>
      </w:r>
      <w:proofErr w:type="spellEnd"/>
      <w:r>
        <w:rPr>
          <w:color w:val="000000"/>
        </w:rPr>
        <w:t xml:space="preserve"> </w:t>
      </w:r>
      <w:proofErr w:type="spellStart"/>
      <w:r>
        <w:rPr>
          <w:color w:val="000000"/>
        </w:rPr>
        <w:t>bilgi</w:t>
      </w:r>
      <w:proofErr w:type="spellEnd"/>
      <w:r>
        <w:rPr>
          <w:color w:val="000000"/>
        </w:rPr>
        <w:t xml:space="preserve"> </w:t>
      </w:r>
      <w:proofErr w:type="spellStart"/>
      <w:r>
        <w:rPr>
          <w:color w:val="000000"/>
        </w:rPr>
        <w:t>paylaşımının</w:t>
      </w:r>
      <w:proofErr w:type="spellEnd"/>
      <w:r>
        <w:rPr>
          <w:color w:val="000000"/>
        </w:rPr>
        <w:t xml:space="preserve"> </w:t>
      </w:r>
      <w:proofErr w:type="spellStart"/>
      <w:r>
        <w:rPr>
          <w:color w:val="000000"/>
        </w:rPr>
        <w:t>artırılması</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müşteri</w:t>
      </w:r>
      <w:proofErr w:type="spellEnd"/>
      <w:r>
        <w:rPr>
          <w:color w:val="000000"/>
        </w:rPr>
        <w:t xml:space="preserve"> </w:t>
      </w:r>
      <w:proofErr w:type="spellStart"/>
      <w:r>
        <w:rPr>
          <w:color w:val="000000"/>
        </w:rPr>
        <w:t>bilgilendirme</w:t>
      </w:r>
      <w:proofErr w:type="spellEnd"/>
      <w:r>
        <w:rPr>
          <w:color w:val="000000"/>
        </w:rPr>
        <w:t xml:space="preserve"> </w:t>
      </w:r>
      <w:proofErr w:type="spellStart"/>
      <w:r>
        <w:rPr>
          <w:color w:val="000000"/>
        </w:rPr>
        <w:t>süreçlerinin</w:t>
      </w:r>
      <w:proofErr w:type="spellEnd"/>
      <w:r>
        <w:rPr>
          <w:color w:val="000000"/>
        </w:rPr>
        <w:t xml:space="preserve"> </w:t>
      </w:r>
      <w:proofErr w:type="spellStart"/>
      <w:r>
        <w:rPr>
          <w:color w:val="000000"/>
        </w:rPr>
        <w:t>iyileştirilmesi</w:t>
      </w:r>
      <w:proofErr w:type="spellEnd"/>
      <w:r>
        <w:rPr>
          <w:color w:val="000000"/>
        </w:rPr>
        <w:t xml:space="preserve">, </w:t>
      </w:r>
      <w:proofErr w:type="spellStart"/>
      <w:r>
        <w:rPr>
          <w:color w:val="000000"/>
        </w:rPr>
        <w:t>restoranların</w:t>
      </w:r>
      <w:proofErr w:type="spellEnd"/>
      <w:r>
        <w:rPr>
          <w:color w:val="000000"/>
        </w:rPr>
        <w:t xml:space="preserve"> </w:t>
      </w:r>
      <w:proofErr w:type="spellStart"/>
      <w:r>
        <w:rPr>
          <w:color w:val="000000"/>
        </w:rPr>
        <w:t>güvenlik</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yasal</w:t>
      </w:r>
      <w:proofErr w:type="spellEnd"/>
      <w:r>
        <w:rPr>
          <w:color w:val="000000"/>
        </w:rPr>
        <w:t xml:space="preserve"> </w:t>
      </w:r>
      <w:proofErr w:type="spellStart"/>
      <w:r>
        <w:rPr>
          <w:color w:val="000000"/>
        </w:rPr>
        <w:t>uyum</w:t>
      </w:r>
      <w:proofErr w:type="spellEnd"/>
      <w:r>
        <w:rPr>
          <w:color w:val="000000"/>
        </w:rPr>
        <w:t xml:space="preserve"> </w:t>
      </w:r>
      <w:proofErr w:type="spellStart"/>
      <w:r>
        <w:rPr>
          <w:color w:val="000000"/>
        </w:rPr>
        <w:t>hedeflerine</w:t>
      </w:r>
      <w:proofErr w:type="spellEnd"/>
      <w:r>
        <w:rPr>
          <w:color w:val="000000"/>
        </w:rPr>
        <w:t xml:space="preserve"> </w:t>
      </w:r>
      <w:proofErr w:type="spellStart"/>
      <w:r>
        <w:rPr>
          <w:color w:val="000000"/>
        </w:rPr>
        <w:t>ulaşmasına</w:t>
      </w:r>
      <w:proofErr w:type="spellEnd"/>
      <w:r>
        <w:rPr>
          <w:color w:val="000000"/>
        </w:rPr>
        <w:t xml:space="preserve"> </w:t>
      </w:r>
      <w:proofErr w:type="spellStart"/>
      <w:r>
        <w:rPr>
          <w:color w:val="000000"/>
        </w:rPr>
        <w:t>katkı</w:t>
      </w:r>
      <w:proofErr w:type="spellEnd"/>
      <w:r>
        <w:rPr>
          <w:color w:val="000000"/>
        </w:rPr>
        <w:t xml:space="preserve"> </w:t>
      </w:r>
      <w:proofErr w:type="spellStart"/>
      <w:r>
        <w:rPr>
          <w:color w:val="000000"/>
        </w:rPr>
        <w:t>sağlamaktadır</w:t>
      </w:r>
      <w:proofErr w:type="spellEnd"/>
      <w:r>
        <w:rPr>
          <w:color w:val="000000"/>
        </w:rPr>
        <w:t xml:space="preserve">. </w:t>
      </w:r>
      <w:proofErr w:type="spellStart"/>
      <w:r>
        <w:rPr>
          <w:color w:val="000000"/>
        </w:rPr>
        <w:t>Sonuç</w:t>
      </w:r>
      <w:proofErr w:type="spellEnd"/>
      <w:r>
        <w:rPr>
          <w:color w:val="000000"/>
        </w:rPr>
        <w:t xml:space="preserve"> </w:t>
      </w:r>
      <w:proofErr w:type="spellStart"/>
      <w:r>
        <w:rPr>
          <w:color w:val="000000"/>
        </w:rPr>
        <w:t>olarak</w:t>
      </w:r>
      <w:proofErr w:type="spellEnd"/>
      <w:r>
        <w:rPr>
          <w:color w:val="000000"/>
        </w:rPr>
        <w:t xml:space="preserve">, prompt </w:t>
      </w:r>
      <w:proofErr w:type="spellStart"/>
      <w:r>
        <w:rPr>
          <w:color w:val="000000"/>
        </w:rPr>
        <w:t>mühendisliği</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işletmeciliğinde</w:t>
      </w:r>
      <w:proofErr w:type="spellEnd"/>
      <w:r>
        <w:rPr>
          <w:color w:val="000000"/>
        </w:rPr>
        <w:t xml:space="preserve"> </w:t>
      </w:r>
      <w:proofErr w:type="spellStart"/>
      <w:r>
        <w:rPr>
          <w:color w:val="000000"/>
        </w:rPr>
        <w:t>bir</w:t>
      </w:r>
      <w:proofErr w:type="spellEnd"/>
      <w:r>
        <w:rPr>
          <w:color w:val="000000"/>
        </w:rPr>
        <w:t xml:space="preserve"> </w:t>
      </w:r>
      <w:proofErr w:type="spellStart"/>
      <w:r>
        <w:rPr>
          <w:color w:val="000000"/>
        </w:rPr>
        <w:t>dönüşüm</w:t>
      </w:r>
      <w:proofErr w:type="spellEnd"/>
      <w:r>
        <w:rPr>
          <w:color w:val="000000"/>
        </w:rPr>
        <w:t xml:space="preserve"> </w:t>
      </w:r>
      <w:proofErr w:type="spellStart"/>
      <w:r>
        <w:rPr>
          <w:color w:val="000000"/>
        </w:rPr>
        <w:t>aracı</w:t>
      </w:r>
      <w:proofErr w:type="spellEnd"/>
      <w:r>
        <w:rPr>
          <w:color w:val="000000"/>
        </w:rPr>
        <w:t xml:space="preserve"> </w:t>
      </w:r>
      <w:proofErr w:type="spellStart"/>
      <w:r>
        <w:rPr>
          <w:color w:val="000000"/>
        </w:rPr>
        <w:t>olarak</w:t>
      </w:r>
      <w:proofErr w:type="spellEnd"/>
      <w:r>
        <w:rPr>
          <w:color w:val="000000"/>
        </w:rPr>
        <w:t xml:space="preserve"> </w:t>
      </w:r>
      <w:proofErr w:type="spellStart"/>
      <w:r>
        <w:rPr>
          <w:color w:val="000000"/>
        </w:rPr>
        <w:t>görülmektedir</w:t>
      </w:r>
      <w:proofErr w:type="spellEnd"/>
      <w:r>
        <w:rPr>
          <w:color w:val="000000"/>
        </w:rPr>
        <w:t xml:space="preserve">. Bu </w:t>
      </w:r>
      <w:proofErr w:type="spellStart"/>
      <w:r>
        <w:rPr>
          <w:color w:val="000000"/>
        </w:rPr>
        <w:t>teknoloji</w:t>
      </w:r>
      <w:proofErr w:type="spellEnd"/>
      <w:r>
        <w:rPr>
          <w:color w:val="000000"/>
        </w:rPr>
        <w:t xml:space="preserve">, </w:t>
      </w:r>
      <w:proofErr w:type="spellStart"/>
      <w:r>
        <w:rPr>
          <w:color w:val="000000"/>
        </w:rPr>
        <w:t>restoranların</w:t>
      </w:r>
      <w:proofErr w:type="spellEnd"/>
      <w:r>
        <w:rPr>
          <w:color w:val="000000"/>
        </w:rPr>
        <w:t xml:space="preserve"> </w:t>
      </w:r>
      <w:proofErr w:type="spellStart"/>
      <w:r>
        <w:rPr>
          <w:color w:val="000000"/>
        </w:rPr>
        <w:t>operasyonel</w:t>
      </w:r>
      <w:proofErr w:type="spellEnd"/>
      <w:r>
        <w:rPr>
          <w:color w:val="000000"/>
        </w:rPr>
        <w:t xml:space="preserve"> </w:t>
      </w:r>
      <w:proofErr w:type="spellStart"/>
      <w:r>
        <w:rPr>
          <w:color w:val="000000"/>
        </w:rPr>
        <w:t>verimliliğini</w:t>
      </w:r>
      <w:proofErr w:type="spellEnd"/>
      <w:r>
        <w:rPr>
          <w:color w:val="000000"/>
        </w:rPr>
        <w:t xml:space="preserve"> </w:t>
      </w:r>
      <w:proofErr w:type="spellStart"/>
      <w:r>
        <w:rPr>
          <w:color w:val="000000"/>
        </w:rPr>
        <w:t>artırıp</w:t>
      </w:r>
      <w:proofErr w:type="spellEnd"/>
      <w:r>
        <w:rPr>
          <w:color w:val="000000"/>
        </w:rPr>
        <w:t xml:space="preserve"> </w:t>
      </w:r>
      <w:proofErr w:type="spellStart"/>
      <w:r>
        <w:rPr>
          <w:color w:val="000000"/>
        </w:rPr>
        <w:t>müşteri</w:t>
      </w:r>
      <w:proofErr w:type="spellEnd"/>
      <w:r>
        <w:rPr>
          <w:color w:val="000000"/>
        </w:rPr>
        <w:t xml:space="preserve"> </w:t>
      </w:r>
      <w:proofErr w:type="spellStart"/>
      <w:proofErr w:type="gramStart"/>
      <w:r>
        <w:rPr>
          <w:color w:val="000000"/>
        </w:rPr>
        <w:t>odaklı</w:t>
      </w:r>
      <w:proofErr w:type="spellEnd"/>
      <w:r>
        <w:rPr>
          <w:color w:val="000000"/>
        </w:rPr>
        <w:t xml:space="preserve">  </w:t>
      </w:r>
      <w:proofErr w:type="spellStart"/>
      <w:r>
        <w:rPr>
          <w:color w:val="000000"/>
        </w:rPr>
        <w:t>hizmet</w:t>
      </w:r>
      <w:proofErr w:type="spellEnd"/>
      <w:proofErr w:type="gramEnd"/>
      <w:r>
        <w:rPr>
          <w:color w:val="000000"/>
        </w:rPr>
        <w:t xml:space="preserve"> </w:t>
      </w:r>
      <w:proofErr w:type="spellStart"/>
      <w:r>
        <w:rPr>
          <w:color w:val="000000"/>
        </w:rPr>
        <w:t>anlayışını</w:t>
      </w:r>
      <w:proofErr w:type="spellEnd"/>
      <w:r>
        <w:rPr>
          <w:color w:val="000000"/>
        </w:rPr>
        <w:t xml:space="preserve"> </w:t>
      </w:r>
      <w:proofErr w:type="spellStart"/>
      <w:r>
        <w:rPr>
          <w:color w:val="000000"/>
        </w:rPr>
        <w:t>güçlendirme</w:t>
      </w:r>
      <w:proofErr w:type="spellEnd"/>
      <w:r>
        <w:rPr>
          <w:color w:val="000000"/>
        </w:rPr>
        <w:t xml:space="preserve"> </w:t>
      </w:r>
      <w:proofErr w:type="spellStart"/>
      <w:r>
        <w:rPr>
          <w:color w:val="000000"/>
        </w:rPr>
        <w:t>potansiyeline</w:t>
      </w:r>
      <w:proofErr w:type="spellEnd"/>
      <w:r>
        <w:rPr>
          <w:color w:val="000000"/>
        </w:rPr>
        <w:t xml:space="preserve"> </w:t>
      </w:r>
      <w:proofErr w:type="spellStart"/>
      <w:r>
        <w:rPr>
          <w:color w:val="000000"/>
        </w:rPr>
        <w:t>sahiptir</w:t>
      </w:r>
      <w:proofErr w:type="spellEnd"/>
      <w:r>
        <w:rPr>
          <w:color w:val="000000"/>
        </w:rPr>
        <w:t xml:space="preserve">. </w:t>
      </w:r>
      <w:proofErr w:type="spellStart"/>
      <w:r>
        <w:rPr>
          <w:color w:val="000000"/>
        </w:rPr>
        <w:t>Gelecekte</w:t>
      </w:r>
      <w:proofErr w:type="spellEnd"/>
      <w:r>
        <w:rPr>
          <w:color w:val="000000"/>
        </w:rPr>
        <w:t xml:space="preserve">, prompt </w:t>
      </w:r>
      <w:proofErr w:type="spellStart"/>
      <w:r>
        <w:rPr>
          <w:color w:val="000000"/>
        </w:rPr>
        <w:t>mühendisliğinin</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geniş</w:t>
      </w:r>
      <w:proofErr w:type="spellEnd"/>
      <w:r>
        <w:rPr>
          <w:color w:val="000000"/>
        </w:rPr>
        <w:t xml:space="preserve"> </w:t>
      </w:r>
      <w:proofErr w:type="spellStart"/>
      <w:r>
        <w:rPr>
          <w:color w:val="000000"/>
        </w:rPr>
        <w:t>sektörel</w:t>
      </w:r>
      <w:proofErr w:type="spellEnd"/>
      <w:r>
        <w:rPr>
          <w:color w:val="000000"/>
        </w:rPr>
        <w:t xml:space="preserve"> </w:t>
      </w:r>
      <w:proofErr w:type="spellStart"/>
      <w:r>
        <w:rPr>
          <w:color w:val="000000"/>
        </w:rPr>
        <w:t>uygulama</w:t>
      </w:r>
      <w:proofErr w:type="spellEnd"/>
      <w:r>
        <w:rPr>
          <w:color w:val="000000"/>
        </w:rPr>
        <w:t xml:space="preserve"> </w:t>
      </w:r>
      <w:proofErr w:type="spellStart"/>
      <w:r>
        <w:rPr>
          <w:color w:val="000000"/>
        </w:rPr>
        <w:t>alanına</w:t>
      </w:r>
      <w:proofErr w:type="spellEnd"/>
      <w:r>
        <w:rPr>
          <w:color w:val="000000"/>
        </w:rPr>
        <w:t xml:space="preserve"> </w:t>
      </w:r>
      <w:proofErr w:type="spellStart"/>
      <w:r>
        <w:rPr>
          <w:color w:val="000000"/>
        </w:rPr>
        <w:t>yayılması</w:t>
      </w:r>
      <w:proofErr w:type="spellEnd"/>
      <w:r>
        <w:rPr>
          <w:color w:val="000000"/>
        </w:rPr>
        <w:t xml:space="preserve"> </w:t>
      </w:r>
      <w:proofErr w:type="spellStart"/>
      <w:r>
        <w:rPr>
          <w:color w:val="000000"/>
        </w:rPr>
        <w:t>beklenmekte</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alandaki</w:t>
      </w:r>
      <w:proofErr w:type="spellEnd"/>
      <w:r>
        <w:rPr>
          <w:color w:val="000000"/>
        </w:rPr>
        <w:t xml:space="preserve"> </w:t>
      </w:r>
      <w:proofErr w:type="spellStart"/>
      <w:r>
        <w:rPr>
          <w:color w:val="000000"/>
        </w:rPr>
        <w:t>araştırmaların</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işletmeciliği</w:t>
      </w:r>
      <w:proofErr w:type="spellEnd"/>
      <w:r>
        <w:rPr>
          <w:color w:val="000000"/>
        </w:rPr>
        <w:t xml:space="preserve"> </w:t>
      </w:r>
      <w:proofErr w:type="spellStart"/>
      <w:r>
        <w:rPr>
          <w:color w:val="000000"/>
        </w:rPr>
        <w:t>ile</w:t>
      </w:r>
      <w:proofErr w:type="spellEnd"/>
      <w:r>
        <w:rPr>
          <w:color w:val="000000"/>
        </w:rPr>
        <w:t xml:space="preserve"> </w:t>
      </w:r>
      <w:proofErr w:type="spellStart"/>
      <w:r>
        <w:rPr>
          <w:color w:val="000000"/>
        </w:rPr>
        <w:t>ilgili</w:t>
      </w:r>
      <w:proofErr w:type="spellEnd"/>
      <w:r>
        <w:rPr>
          <w:color w:val="000000"/>
        </w:rPr>
        <w:t xml:space="preserve"> </w:t>
      </w:r>
      <w:proofErr w:type="spellStart"/>
      <w:r>
        <w:rPr>
          <w:color w:val="000000"/>
        </w:rPr>
        <w:t>yenilikçi</w:t>
      </w:r>
      <w:proofErr w:type="spellEnd"/>
      <w:r>
        <w:rPr>
          <w:color w:val="000000"/>
        </w:rPr>
        <w:t xml:space="preserve"> </w:t>
      </w:r>
      <w:proofErr w:type="spellStart"/>
      <w:r>
        <w:rPr>
          <w:color w:val="000000"/>
        </w:rPr>
        <w:t>çözümleri</w:t>
      </w:r>
      <w:proofErr w:type="spellEnd"/>
      <w:r>
        <w:rPr>
          <w:color w:val="000000"/>
        </w:rPr>
        <w:t xml:space="preserve"> </w:t>
      </w:r>
      <w:proofErr w:type="spellStart"/>
      <w:r>
        <w:rPr>
          <w:color w:val="000000"/>
        </w:rPr>
        <w:t>daha</w:t>
      </w:r>
      <w:proofErr w:type="spellEnd"/>
      <w:r>
        <w:rPr>
          <w:color w:val="000000"/>
        </w:rPr>
        <w:t xml:space="preserve"> da </w:t>
      </w:r>
      <w:proofErr w:type="spellStart"/>
      <w:r>
        <w:rPr>
          <w:color w:val="000000"/>
        </w:rPr>
        <w:t>geliştireceği</w:t>
      </w:r>
      <w:proofErr w:type="spellEnd"/>
      <w:r>
        <w:rPr>
          <w:color w:val="000000"/>
        </w:rPr>
        <w:t xml:space="preserve"> </w:t>
      </w:r>
      <w:proofErr w:type="spellStart"/>
      <w:r>
        <w:rPr>
          <w:color w:val="000000"/>
        </w:rPr>
        <w:t>öngörülmektedir</w:t>
      </w:r>
      <w:proofErr w:type="spellEnd"/>
      <w:r>
        <w:rPr>
          <w:color w:val="000000"/>
        </w:rPr>
        <w:t xml:space="preserve">. </w:t>
      </w:r>
      <w:proofErr w:type="spellStart"/>
      <w:r>
        <w:rPr>
          <w:color w:val="000000"/>
        </w:rPr>
        <w:t>Restoran</w:t>
      </w:r>
      <w:proofErr w:type="spellEnd"/>
      <w:r>
        <w:rPr>
          <w:color w:val="000000"/>
        </w:rPr>
        <w:t xml:space="preserve"> </w:t>
      </w:r>
      <w:proofErr w:type="spellStart"/>
      <w:r>
        <w:rPr>
          <w:color w:val="000000"/>
        </w:rPr>
        <w:t>işletmecileri</w:t>
      </w:r>
      <w:proofErr w:type="spellEnd"/>
      <w:r>
        <w:rPr>
          <w:color w:val="000000"/>
        </w:rPr>
        <w:t xml:space="preserve"> </w:t>
      </w:r>
      <w:proofErr w:type="spellStart"/>
      <w:r>
        <w:rPr>
          <w:color w:val="000000"/>
        </w:rPr>
        <w:t>ve</w:t>
      </w:r>
      <w:proofErr w:type="spellEnd"/>
      <w:r>
        <w:rPr>
          <w:color w:val="000000"/>
        </w:rPr>
        <w:t xml:space="preserve"> </w:t>
      </w:r>
      <w:proofErr w:type="spellStart"/>
      <w:r>
        <w:rPr>
          <w:color w:val="000000"/>
        </w:rPr>
        <w:t>araştırmacılar</w:t>
      </w:r>
      <w:proofErr w:type="spellEnd"/>
      <w:r>
        <w:rPr>
          <w:color w:val="000000"/>
        </w:rPr>
        <w:t xml:space="preserve">, </w:t>
      </w:r>
      <w:proofErr w:type="spellStart"/>
      <w:r>
        <w:rPr>
          <w:color w:val="000000"/>
        </w:rPr>
        <w:t>yapay</w:t>
      </w:r>
      <w:proofErr w:type="spellEnd"/>
      <w:r>
        <w:rPr>
          <w:color w:val="000000"/>
        </w:rPr>
        <w:t xml:space="preserve"> </w:t>
      </w:r>
      <w:proofErr w:type="spellStart"/>
      <w:r>
        <w:rPr>
          <w:color w:val="000000"/>
        </w:rPr>
        <w:t>zekâ</w:t>
      </w:r>
      <w:proofErr w:type="spellEnd"/>
      <w:r>
        <w:rPr>
          <w:color w:val="000000"/>
        </w:rPr>
        <w:t xml:space="preserve"> </w:t>
      </w:r>
      <w:proofErr w:type="spellStart"/>
      <w:r>
        <w:rPr>
          <w:color w:val="000000"/>
        </w:rPr>
        <w:t>destekli</w:t>
      </w:r>
      <w:proofErr w:type="spellEnd"/>
      <w:r>
        <w:rPr>
          <w:color w:val="000000"/>
        </w:rPr>
        <w:t xml:space="preserve"> </w:t>
      </w:r>
      <w:proofErr w:type="spellStart"/>
      <w:r>
        <w:rPr>
          <w:color w:val="000000"/>
        </w:rPr>
        <w:t>teknolojilerin</w:t>
      </w:r>
      <w:proofErr w:type="spellEnd"/>
      <w:r>
        <w:rPr>
          <w:color w:val="000000"/>
        </w:rPr>
        <w:t xml:space="preserve"> </w:t>
      </w:r>
      <w:proofErr w:type="spellStart"/>
      <w:r>
        <w:rPr>
          <w:color w:val="000000"/>
        </w:rPr>
        <w:t>benimsenmesine</w:t>
      </w:r>
      <w:proofErr w:type="spellEnd"/>
      <w:r>
        <w:rPr>
          <w:color w:val="000000"/>
        </w:rPr>
        <w:t xml:space="preserve"> </w:t>
      </w:r>
      <w:proofErr w:type="spellStart"/>
      <w:r>
        <w:rPr>
          <w:color w:val="000000"/>
        </w:rPr>
        <w:t>yönelik</w:t>
      </w:r>
      <w:proofErr w:type="spellEnd"/>
      <w:r>
        <w:rPr>
          <w:color w:val="000000"/>
        </w:rPr>
        <w:t xml:space="preserve"> </w:t>
      </w:r>
      <w:proofErr w:type="spellStart"/>
      <w:r>
        <w:rPr>
          <w:color w:val="000000"/>
        </w:rPr>
        <w:t>stratejiler</w:t>
      </w:r>
      <w:proofErr w:type="spellEnd"/>
      <w:r>
        <w:rPr>
          <w:color w:val="000000"/>
        </w:rPr>
        <w:t xml:space="preserve"> </w:t>
      </w:r>
      <w:proofErr w:type="spellStart"/>
      <w:r>
        <w:rPr>
          <w:color w:val="000000"/>
        </w:rPr>
        <w:t>geliştirerek</w:t>
      </w:r>
      <w:proofErr w:type="spellEnd"/>
      <w:r>
        <w:rPr>
          <w:color w:val="000000"/>
        </w:rPr>
        <w:t xml:space="preserve">, </w:t>
      </w:r>
      <w:proofErr w:type="spellStart"/>
      <w:r>
        <w:rPr>
          <w:color w:val="000000"/>
        </w:rPr>
        <w:t>bu</w:t>
      </w:r>
      <w:proofErr w:type="spellEnd"/>
      <w:r>
        <w:rPr>
          <w:color w:val="000000"/>
        </w:rPr>
        <w:t xml:space="preserve"> </w:t>
      </w:r>
      <w:proofErr w:type="spellStart"/>
      <w:r>
        <w:rPr>
          <w:color w:val="000000"/>
        </w:rPr>
        <w:t>potansiyelden</w:t>
      </w:r>
      <w:proofErr w:type="spellEnd"/>
      <w:r>
        <w:rPr>
          <w:color w:val="000000"/>
        </w:rPr>
        <w:t xml:space="preserve"> </w:t>
      </w:r>
      <w:proofErr w:type="spellStart"/>
      <w:r>
        <w:rPr>
          <w:color w:val="000000"/>
        </w:rPr>
        <w:t>en</w:t>
      </w:r>
      <w:proofErr w:type="spellEnd"/>
      <w:r>
        <w:rPr>
          <w:color w:val="000000"/>
        </w:rPr>
        <w:t xml:space="preserve"> iyi </w:t>
      </w:r>
      <w:proofErr w:type="spellStart"/>
      <w:r>
        <w:rPr>
          <w:color w:val="000000"/>
        </w:rPr>
        <w:t>şekilde</w:t>
      </w:r>
      <w:proofErr w:type="spellEnd"/>
      <w:r>
        <w:rPr>
          <w:color w:val="000000"/>
        </w:rPr>
        <w:t xml:space="preserve"> </w:t>
      </w:r>
      <w:proofErr w:type="spellStart"/>
      <w:r>
        <w:rPr>
          <w:color w:val="000000"/>
        </w:rPr>
        <w:t>faydalanabilirler</w:t>
      </w:r>
      <w:proofErr w:type="spellEnd"/>
      <w:r>
        <w:rPr>
          <w:color w:val="000000"/>
        </w:rPr>
        <w:t xml:space="preserve">. Bu </w:t>
      </w:r>
      <w:proofErr w:type="spellStart"/>
      <w:r>
        <w:rPr>
          <w:color w:val="000000"/>
        </w:rPr>
        <w:t>bağlamda</w:t>
      </w:r>
      <w:proofErr w:type="spellEnd"/>
      <w:r>
        <w:rPr>
          <w:color w:val="000000"/>
        </w:rPr>
        <w:t xml:space="preserve">, </w:t>
      </w:r>
      <w:proofErr w:type="spellStart"/>
      <w:r>
        <w:rPr>
          <w:color w:val="000000"/>
        </w:rPr>
        <w:t>sektörün</w:t>
      </w:r>
      <w:proofErr w:type="spellEnd"/>
      <w:r>
        <w:rPr>
          <w:color w:val="000000"/>
        </w:rPr>
        <w:t xml:space="preserve"> </w:t>
      </w:r>
      <w:proofErr w:type="spellStart"/>
      <w:r>
        <w:rPr>
          <w:color w:val="000000"/>
        </w:rPr>
        <w:t>dijital</w:t>
      </w:r>
      <w:proofErr w:type="spellEnd"/>
      <w:r>
        <w:rPr>
          <w:color w:val="000000"/>
        </w:rPr>
        <w:t xml:space="preserve"> </w:t>
      </w:r>
      <w:proofErr w:type="spellStart"/>
      <w:r>
        <w:rPr>
          <w:color w:val="000000"/>
        </w:rPr>
        <w:t>dönüşümüne</w:t>
      </w:r>
      <w:proofErr w:type="spellEnd"/>
      <w:r>
        <w:rPr>
          <w:color w:val="000000"/>
        </w:rPr>
        <w:t xml:space="preserve"> </w:t>
      </w:r>
      <w:proofErr w:type="spellStart"/>
      <w:r>
        <w:rPr>
          <w:color w:val="000000"/>
        </w:rPr>
        <w:t>katkı</w:t>
      </w:r>
      <w:proofErr w:type="spellEnd"/>
      <w:r>
        <w:rPr>
          <w:color w:val="000000"/>
        </w:rPr>
        <w:t xml:space="preserve"> </w:t>
      </w:r>
      <w:proofErr w:type="spellStart"/>
      <w:r>
        <w:rPr>
          <w:color w:val="000000"/>
        </w:rPr>
        <w:t>sağlayacak</w:t>
      </w:r>
      <w:proofErr w:type="spellEnd"/>
      <w:r>
        <w:rPr>
          <w:color w:val="000000"/>
        </w:rPr>
        <w:t xml:space="preserve"> </w:t>
      </w:r>
      <w:proofErr w:type="spellStart"/>
      <w:r>
        <w:rPr>
          <w:color w:val="000000"/>
        </w:rPr>
        <w:t>daha</w:t>
      </w:r>
      <w:proofErr w:type="spellEnd"/>
      <w:r>
        <w:rPr>
          <w:color w:val="000000"/>
        </w:rPr>
        <w:t xml:space="preserve"> </w:t>
      </w:r>
      <w:proofErr w:type="spellStart"/>
      <w:r>
        <w:rPr>
          <w:color w:val="000000"/>
        </w:rPr>
        <w:t>fazla</w:t>
      </w:r>
      <w:proofErr w:type="spellEnd"/>
      <w:r>
        <w:rPr>
          <w:color w:val="000000"/>
        </w:rPr>
        <w:t xml:space="preserve"> </w:t>
      </w:r>
      <w:proofErr w:type="spellStart"/>
      <w:r>
        <w:rPr>
          <w:color w:val="000000"/>
        </w:rPr>
        <w:t>çalışmanın</w:t>
      </w:r>
      <w:proofErr w:type="spellEnd"/>
      <w:r>
        <w:rPr>
          <w:color w:val="000000"/>
        </w:rPr>
        <w:t xml:space="preserve"> </w:t>
      </w:r>
      <w:proofErr w:type="spellStart"/>
      <w:r>
        <w:rPr>
          <w:color w:val="000000"/>
        </w:rPr>
        <w:t>yapılması</w:t>
      </w:r>
      <w:proofErr w:type="spellEnd"/>
      <w:r>
        <w:rPr>
          <w:color w:val="000000"/>
        </w:rPr>
        <w:t xml:space="preserve"> </w:t>
      </w:r>
      <w:proofErr w:type="spellStart"/>
      <w:r>
        <w:rPr>
          <w:color w:val="000000"/>
        </w:rPr>
        <w:t>gerektiği</w:t>
      </w:r>
      <w:proofErr w:type="spellEnd"/>
      <w:r>
        <w:rPr>
          <w:color w:val="000000"/>
        </w:rPr>
        <w:t xml:space="preserve"> de </w:t>
      </w:r>
      <w:proofErr w:type="spellStart"/>
      <w:r>
        <w:rPr>
          <w:color w:val="000000"/>
        </w:rPr>
        <w:t>açıktır</w:t>
      </w:r>
      <w:proofErr w:type="spellEnd"/>
      <w:r>
        <w:rPr>
          <w:color w:val="000000"/>
        </w:rPr>
        <w:t>.</w:t>
      </w:r>
    </w:p>
    <w:p w14:paraId="1ADEECA9" w14:textId="77777777" w:rsidR="005878EB" w:rsidRPr="00714BC1" w:rsidRDefault="005878EB" w:rsidP="007513A1">
      <w:pPr>
        <w:rPr>
          <w:b/>
          <w:bCs/>
        </w:rPr>
      </w:pPr>
    </w:p>
    <w:p w14:paraId="6BCDD46D" w14:textId="77777777" w:rsidR="001E7189" w:rsidRPr="00714BC1" w:rsidRDefault="001E7189" w:rsidP="007513A1">
      <w:pPr>
        <w:rPr>
          <w:b/>
          <w:bCs/>
        </w:rPr>
      </w:pPr>
      <w:r w:rsidRPr="00714BC1">
        <w:rPr>
          <w:b/>
          <w:bCs/>
        </w:rPr>
        <w:t>KAYNAKÇA</w:t>
      </w:r>
      <w:bookmarkEnd w:id="92"/>
    </w:p>
    <w:p w14:paraId="525B39CE" w14:textId="386DB071" w:rsidR="001E7189" w:rsidRPr="005878EB" w:rsidRDefault="001E7189">
      <w:pPr>
        <w:pStyle w:val="IGUTezKaynakca"/>
        <w:numPr>
          <w:ilvl w:val="0"/>
          <w:numId w:val="18"/>
        </w:numPr>
        <w:spacing w:before="0" w:after="0"/>
        <w:rPr>
          <w:sz w:val="22"/>
          <w:szCs w:val="22"/>
        </w:rPr>
      </w:pPr>
      <w:r w:rsidRPr="005878EB">
        <w:rPr>
          <w:sz w:val="22"/>
          <w:szCs w:val="22"/>
        </w:rPr>
        <w:lastRenderedPageBreak/>
        <w:t xml:space="preserve">Ahuja, R., &amp; Sicherer, S. H. (2007). </w:t>
      </w:r>
      <w:proofErr w:type="spellStart"/>
      <w:r w:rsidRPr="005878EB">
        <w:rPr>
          <w:sz w:val="22"/>
          <w:szCs w:val="22"/>
        </w:rPr>
        <w:t>Foodallergy</w:t>
      </w:r>
      <w:proofErr w:type="spellEnd"/>
      <w:r w:rsidRPr="005878EB">
        <w:rPr>
          <w:sz w:val="22"/>
          <w:szCs w:val="22"/>
        </w:rPr>
        <w:t xml:space="preserve"> management from the perspective of restaurant and food establishment personnel. Annals of Allergy, Asthma &amp; Immunology, 98(4), 344-348.</w:t>
      </w:r>
    </w:p>
    <w:p w14:paraId="10C5765F"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Borges, P. V., </w:t>
      </w:r>
      <w:proofErr w:type="spellStart"/>
      <w:r w:rsidRPr="005878EB">
        <w:rPr>
          <w:sz w:val="22"/>
          <w:szCs w:val="22"/>
        </w:rPr>
        <w:t>Ladele</w:t>
      </w:r>
      <w:proofErr w:type="spellEnd"/>
      <w:r w:rsidRPr="005878EB">
        <w:rPr>
          <w:sz w:val="22"/>
          <w:szCs w:val="22"/>
        </w:rPr>
        <w:t>, A. S., Cunha, Y. M., Moraes, D. D. S., da Costa, P. B., dos Santos, P. T., ... &amp; Colcher, S. Multimodal Prompt Engineering for Multimedia Applications using the GPT Model.</w:t>
      </w:r>
    </w:p>
    <w:p w14:paraId="025AC886" w14:textId="77777777" w:rsidR="001E7189" w:rsidRPr="005878EB" w:rsidRDefault="001E7189">
      <w:pPr>
        <w:pStyle w:val="IGUTezKaynakca"/>
        <w:numPr>
          <w:ilvl w:val="0"/>
          <w:numId w:val="18"/>
        </w:numPr>
        <w:spacing w:before="0" w:after="0"/>
        <w:rPr>
          <w:sz w:val="22"/>
          <w:szCs w:val="22"/>
        </w:rPr>
      </w:pPr>
      <w:r w:rsidRPr="005878EB">
        <w:rPr>
          <w:sz w:val="22"/>
          <w:szCs w:val="22"/>
        </w:rPr>
        <w:t>Bowen, J.T., Morris, A.J., 1995. Menu design: can menus sell? Int. J.</w:t>
      </w:r>
    </w:p>
    <w:p w14:paraId="6FCB5E05"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Carter, C. A., </w:t>
      </w:r>
      <w:proofErr w:type="spellStart"/>
      <w:r w:rsidRPr="005878EB">
        <w:rPr>
          <w:sz w:val="22"/>
          <w:szCs w:val="22"/>
        </w:rPr>
        <w:t>Pistiner</w:t>
      </w:r>
      <w:proofErr w:type="spellEnd"/>
      <w:r w:rsidRPr="005878EB">
        <w:rPr>
          <w:sz w:val="22"/>
          <w:szCs w:val="22"/>
        </w:rPr>
        <w:t>, M., Wang, J., &amp; Sharma, H. P. (2020). Food allergy in restaurants work group report. The Journal of Allergy and Clinical Immunology: In Practice, 8(1), 70-74.</w:t>
      </w:r>
    </w:p>
    <w:p w14:paraId="67E2DF80"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Chen, W., Koenig, S., &amp; </w:t>
      </w:r>
      <w:proofErr w:type="spellStart"/>
      <w:r w:rsidRPr="005878EB">
        <w:rPr>
          <w:sz w:val="22"/>
          <w:szCs w:val="22"/>
        </w:rPr>
        <w:t>Dilkina</w:t>
      </w:r>
      <w:proofErr w:type="spellEnd"/>
      <w:r w:rsidRPr="005878EB">
        <w:rPr>
          <w:sz w:val="22"/>
          <w:szCs w:val="22"/>
        </w:rPr>
        <w:t xml:space="preserve">, B. (2024). </w:t>
      </w:r>
      <w:proofErr w:type="spellStart"/>
      <w:r w:rsidRPr="005878EB">
        <w:rPr>
          <w:sz w:val="22"/>
          <w:szCs w:val="22"/>
        </w:rPr>
        <w:t>RePrompt</w:t>
      </w:r>
      <w:proofErr w:type="spellEnd"/>
      <w:r w:rsidRPr="005878EB">
        <w:rPr>
          <w:sz w:val="22"/>
          <w:szCs w:val="22"/>
        </w:rPr>
        <w:t xml:space="preserve">: Planning by Automatic Prompt Engineering for Large Language Models Agents. </w:t>
      </w:r>
      <w:proofErr w:type="spellStart"/>
      <w:r w:rsidRPr="005878EB">
        <w:rPr>
          <w:sz w:val="22"/>
          <w:szCs w:val="22"/>
        </w:rPr>
        <w:t>arXiv</w:t>
      </w:r>
      <w:proofErr w:type="spellEnd"/>
      <w:r w:rsidRPr="005878EB">
        <w:rPr>
          <w:sz w:val="22"/>
          <w:szCs w:val="22"/>
        </w:rPr>
        <w:t xml:space="preserve"> preprint arXiv:2406.11132.</w:t>
      </w:r>
    </w:p>
    <w:p w14:paraId="05A521AC" w14:textId="77777777" w:rsidR="001E7189" w:rsidRPr="005878EB" w:rsidRDefault="001E7189">
      <w:pPr>
        <w:pStyle w:val="IGUTezKaynakca"/>
        <w:numPr>
          <w:ilvl w:val="0"/>
          <w:numId w:val="18"/>
        </w:numPr>
        <w:spacing w:before="0" w:after="0"/>
        <w:rPr>
          <w:sz w:val="22"/>
          <w:szCs w:val="22"/>
        </w:rPr>
      </w:pPr>
      <w:r w:rsidRPr="005878EB">
        <w:rPr>
          <w:sz w:val="22"/>
          <w:szCs w:val="22"/>
        </w:rPr>
        <w:t>Choi, J. G., Lee, B. W., &amp; Mok, J. W. (2010). An experiment on psychological gaze motion: A re-examination of item selection behavior of restaurant customers. Journal of Global Business and Technology, 6(1), 68.</w:t>
      </w:r>
    </w:p>
    <w:p w14:paraId="2B0973BD" w14:textId="77777777" w:rsidR="001E7189" w:rsidRPr="005878EB" w:rsidRDefault="001E7189">
      <w:pPr>
        <w:pStyle w:val="IGUTezKaynakca"/>
        <w:numPr>
          <w:ilvl w:val="0"/>
          <w:numId w:val="18"/>
        </w:numPr>
        <w:spacing w:before="0" w:after="0"/>
        <w:rPr>
          <w:sz w:val="22"/>
          <w:szCs w:val="22"/>
        </w:rPr>
      </w:pPr>
      <w:r w:rsidRPr="005878EB">
        <w:rPr>
          <w:sz w:val="22"/>
          <w:szCs w:val="22"/>
        </w:rPr>
        <w:t>Contemp. Hosp. Manag. 7 (4), 4–9.</w:t>
      </w:r>
    </w:p>
    <w:p w14:paraId="24A9F29A"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Dupuis, R., Meisel, Z., Grande, D., Strupp, E., </w:t>
      </w:r>
      <w:proofErr w:type="spellStart"/>
      <w:r w:rsidRPr="005878EB">
        <w:rPr>
          <w:sz w:val="22"/>
          <w:szCs w:val="22"/>
        </w:rPr>
        <w:t>Kounaves</w:t>
      </w:r>
      <w:proofErr w:type="spellEnd"/>
      <w:r w:rsidRPr="005878EB">
        <w:rPr>
          <w:sz w:val="22"/>
          <w:szCs w:val="22"/>
        </w:rPr>
        <w:t xml:space="preserve">, S., Graves, A., ... &amp; </w:t>
      </w:r>
      <w:proofErr w:type="spellStart"/>
      <w:r w:rsidRPr="005878EB">
        <w:rPr>
          <w:sz w:val="22"/>
          <w:szCs w:val="22"/>
        </w:rPr>
        <w:t>Cannuscio</w:t>
      </w:r>
      <w:proofErr w:type="spellEnd"/>
      <w:r w:rsidRPr="005878EB">
        <w:rPr>
          <w:sz w:val="22"/>
          <w:szCs w:val="22"/>
        </w:rPr>
        <w:t>, C. C. (2016). Food allergy management among restaurant workers in a large US city. Food Control, 63, 147-157.</w:t>
      </w:r>
    </w:p>
    <w:p w14:paraId="26CCC8BA"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Eves, A., &amp; </w:t>
      </w:r>
      <w:proofErr w:type="spellStart"/>
      <w:r w:rsidRPr="005878EB">
        <w:rPr>
          <w:sz w:val="22"/>
          <w:szCs w:val="22"/>
        </w:rPr>
        <w:t>Dervisi</w:t>
      </w:r>
      <w:proofErr w:type="spellEnd"/>
      <w:r w:rsidRPr="005878EB">
        <w:rPr>
          <w:sz w:val="22"/>
          <w:szCs w:val="22"/>
        </w:rPr>
        <w:t>, P. (2005). Experiences of the implementation and operation of hazard analysis critical control points in the food service sector. International Journal of Hospitality Management, 24(1), 3-19.</w:t>
      </w:r>
    </w:p>
    <w:p w14:paraId="193D45B0" w14:textId="77777777" w:rsidR="001E7189" w:rsidRPr="005878EB" w:rsidRDefault="001E7189">
      <w:pPr>
        <w:pStyle w:val="IGUTezKaynakca"/>
        <w:numPr>
          <w:ilvl w:val="0"/>
          <w:numId w:val="18"/>
        </w:numPr>
        <w:spacing w:before="0" w:after="0"/>
        <w:rPr>
          <w:sz w:val="22"/>
          <w:szCs w:val="22"/>
        </w:rPr>
      </w:pPr>
      <w:proofErr w:type="spellStart"/>
      <w:r w:rsidRPr="005878EB">
        <w:rPr>
          <w:sz w:val="22"/>
          <w:szCs w:val="22"/>
        </w:rPr>
        <w:t>Guéguen</w:t>
      </w:r>
      <w:proofErr w:type="spellEnd"/>
      <w:r w:rsidRPr="005878EB">
        <w:rPr>
          <w:sz w:val="22"/>
          <w:szCs w:val="22"/>
        </w:rPr>
        <w:t>, N., Jacob, C., &amp; Ardiccioni, R. (2012). Effect of watermarks as visual cues for guiding consumer choice: An experiment with restaurant menus. International Journal of Hospitality Management, 31(2), 617-619.</w:t>
      </w:r>
    </w:p>
    <w:p w14:paraId="5EA73AAA"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Hwang, J., &amp; Lorenzen, C. L. (2008). Effective nutrition labeling of restaurant </w:t>
      </w:r>
      <w:proofErr w:type="gramStart"/>
      <w:r w:rsidRPr="005878EB">
        <w:rPr>
          <w:sz w:val="22"/>
          <w:szCs w:val="22"/>
        </w:rPr>
        <w:t>menu</w:t>
      </w:r>
      <w:proofErr w:type="gramEnd"/>
      <w:r w:rsidRPr="005878EB">
        <w:rPr>
          <w:sz w:val="22"/>
          <w:szCs w:val="22"/>
        </w:rPr>
        <w:t xml:space="preserve"> and pricing of healthy menu. Journal of foodservice, 19(5), 270-276.</w:t>
      </w:r>
    </w:p>
    <w:p w14:paraId="508281C5" w14:textId="77777777" w:rsidR="001E7189" w:rsidRPr="005878EB" w:rsidRDefault="001E7189">
      <w:pPr>
        <w:pStyle w:val="IGUTezKaynakca"/>
        <w:numPr>
          <w:ilvl w:val="0"/>
          <w:numId w:val="18"/>
        </w:numPr>
        <w:spacing w:before="0" w:after="0"/>
        <w:rPr>
          <w:sz w:val="22"/>
          <w:szCs w:val="22"/>
        </w:rPr>
      </w:pPr>
      <w:r w:rsidRPr="005878EB">
        <w:rPr>
          <w:sz w:val="22"/>
          <w:szCs w:val="22"/>
        </w:rPr>
        <w:t>Kelly, T. J., Kiefer, N. M., &amp; Burdett, K. (2009). A demand-based approach to menu pricing. Cornell Hospitality Quarterly, 50(3), 383-387.</w:t>
      </w:r>
    </w:p>
    <w:p w14:paraId="39B93FA1" w14:textId="77777777" w:rsidR="001E7189" w:rsidRPr="005878EB" w:rsidRDefault="001E7189">
      <w:pPr>
        <w:pStyle w:val="IGUTezKaynakca"/>
        <w:numPr>
          <w:ilvl w:val="0"/>
          <w:numId w:val="18"/>
        </w:numPr>
        <w:spacing w:before="0" w:after="0"/>
        <w:rPr>
          <w:sz w:val="22"/>
          <w:szCs w:val="22"/>
        </w:rPr>
      </w:pPr>
      <w:proofErr w:type="spellStart"/>
      <w:r w:rsidRPr="005878EB">
        <w:rPr>
          <w:sz w:val="22"/>
          <w:szCs w:val="22"/>
        </w:rPr>
        <w:t>LeBruto</w:t>
      </w:r>
      <w:proofErr w:type="spellEnd"/>
      <w:r w:rsidRPr="005878EB">
        <w:rPr>
          <w:sz w:val="22"/>
          <w:szCs w:val="22"/>
        </w:rPr>
        <w:t>, S. M., Quain, W. J., &amp; Ashley, R. A. (1995). Menu engineering: a model including labor. Hospitality Review, 13(1), 5.</w:t>
      </w:r>
    </w:p>
    <w:p w14:paraId="12CACDE5" w14:textId="77777777" w:rsidR="001E7189" w:rsidRPr="005878EB" w:rsidRDefault="001E7189">
      <w:pPr>
        <w:pStyle w:val="IGUTezKaynakca"/>
        <w:numPr>
          <w:ilvl w:val="0"/>
          <w:numId w:val="18"/>
        </w:numPr>
        <w:spacing w:before="0" w:after="0"/>
        <w:rPr>
          <w:sz w:val="22"/>
          <w:szCs w:val="22"/>
        </w:rPr>
      </w:pPr>
      <w:proofErr w:type="spellStart"/>
      <w:r w:rsidRPr="005878EB">
        <w:rPr>
          <w:sz w:val="22"/>
          <w:szCs w:val="22"/>
        </w:rPr>
        <w:t>Loerbroks</w:t>
      </w:r>
      <w:proofErr w:type="spellEnd"/>
      <w:r w:rsidRPr="005878EB">
        <w:rPr>
          <w:sz w:val="22"/>
          <w:szCs w:val="22"/>
        </w:rPr>
        <w:t xml:space="preserve">, A., Tolksdorf, S. J., Wagenmann, M., &amp; Smith, H. (2019). Food allergy knowledge, attitudes and their determinants among restaurant staff: A cross-sectional study. </w:t>
      </w:r>
      <w:proofErr w:type="spellStart"/>
      <w:r w:rsidRPr="005878EB">
        <w:rPr>
          <w:sz w:val="22"/>
          <w:szCs w:val="22"/>
        </w:rPr>
        <w:t>PLoS</w:t>
      </w:r>
      <w:proofErr w:type="spellEnd"/>
      <w:r w:rsidRPr="005878EB">
        <w:rPr>
          <w:sz w:val="22"/>
          <w:szCs w:val="22"/>
        </w:rPr>
        <w:t xml:space="preserve"> One, 14(4), e0214625.</w:t>
      </w:r>
    </w:p>
    <w:p w14:paraId="09498BD5" w14:textId="77777777" w:rsidR="001E7189" w:rsidRPr="005878EB" w:rsidRDefault="001E7189">
      <w:pPr>
        <w:pStyle w:val="IGUTezKaynakca"/>
        <w:numPr>
          <w:ilvl w:val="0"/>
          <w:numId w:val="18"/>
        </w:numPr>
        <w:spacing w:before="0" w:after="0"/>
        <w:rPr>
          <w:sz w:val="22"/>
          <w:szCs w:val="22"/>
        </w:rPr>
      </w:pPr>
      <w:r w:rsidRPr="005878EB">
        <w:rPr>
          <w:sz w:val="22"/>
          <w:szCs w:val="22"/>
        </w:rPr>
        <w:t>Naipaul, S., &amp; Parsa, H. G. (2001). Menu price endings that communicate value and quality. The Cornell Hotel and Restaurant Administration Quarterly, 42(1), 26-37.</w:t>
      </w:r>
    </w:p>
    <w:p w14:paraId="65862259" w14:textId="77777777" w:rsidR="001E7189" w:rsidRPr="005878EB" w:rsidRDefault="001E7189">
      <w:pPr>
        <w:pStyle w:val="IGUTezKaynakca"/>
        <w:numPr>
          <w:ilvl w:val="0"/>
          <w:numId w:val="18"/>
        </w:numPr>
        <w:spacing w:before="0" w:after="0"/>
        <w:rPr>
          <w:sz w:val="22"/>
          <w:szCs w:val="22"/>
        </w:rPr>
      </w:pPr>
      <w:r w:rsidRPr="005878EB">
        <w:rPr>
          <w:sz w:val="22"/>
          <w:szCs w:val="22"/>
        </w:rPr>
        <w:t xml:space="preserve">Ozdemir, B., &amp; Caliskan, O. (2014). A review of literature on restaurant menus: Specifying </w:t>
      </w:r>
      <w:proofErr w:type="gramStart"/>
      <w:r w:rsidRPr="005878EB">
        <w:rPr>
          <w:sz w:val="22"/>
          <w:szCs w:val="22"/>
        </w:rPr>
        <w:t>the managerial</w:t>
      </w:r>
      <w:proofErr w:type="gramEnd"/>
      <w:r w:rsidRPr="005878EB">
        <w:rPr>
          <w:sz w:val="22"/>
          <w:szCs w:val="22"/>
        </w:rPr>
        <w:t xml:space="preserve"> issues. International Journal of gastronomy and food science, 2(1), 3-13.</w:t>
      </w:r>
    </w:p>
    <w:p w14:paraId="65E0A478" w14:textId="77777777" w:rsidR="001E7189" w:rsidRPr="005878EB" w:rsidRDefault="001E7189">
      <w:pPr>
        <w:pStyle w:val="IGUTezKaynakca"/>
        <w:numPr>
          <w:ilvl w:val="0"/>
          <w:numId w:val="18"/>
        </w:numPr>
        <w:spacing w:before="0" w:after="0"/>
        <w:rPr>
          <w:sz w:val="22"/>
          <w:szCs w:val="22"/>
        </w:rPr>
      </w:pPr>
      <w:r w:rsidRPr="005878EB">
        <w:rPr>
          <w:sz w:val="22"/>
          <w:szCs w:val="22"/>
        </w:rPr>
        <w:t>Radke, T. J., Brown, L. G., Hoover, E. R., Faw, B. V., Reimann, D., Wong, M. R., ... &amp; Ripley, D. (2016). Food allergy knowledge and attitudes of restaurant managers and staff: an EHS-Net study. Journal of food protection, 79(9), 1588-1598.</w:t>
      </w:r>
    </w:p>
    <w:p w14:paraId="76127E43" w14:textId="77777777" w:rsidR="001E7189" w:rsidRPr="005878EB" w:rsidRDefault="001E7189">
      <w:pPr>
        <w:pStyle w:val="IGUTezKaynakca"/>
        <w:numPr>
          <w:ilvl w:val="0"/>
          <w:numId w:val="18"/>
        </w:numPr>
        <w:spacing w:before="0" w:after="0"/>
        <w:rPr>
          <w:sz w:val="22"/>
          <w:szCs w:val="22"/>
        </w:rPr>
      </w:pPr>
      <w:r w:rsidRPr="005878EB">
        <w:rPr>
          <w:sz w:val="22"/>
          <w:szCs w:val="22"/>
        </w:rPr>
        <w:t>Reynolds, D., Merritt, E. A., &amp; Pinckney, S. (2005). Understanding menu psychology: An empirical investigation of menu design and consumer response. International Journal of Hospitality &amp; Tourism Administration, 6(1), 1-9.</w:t>
      </w:r>
    </w:p>
    <w:p w14:paraId="3E82B50B" w14:textId="77777777" w:rsidR="001E7189" w:rsidRPr="005878EB" w:rsidRDefault="001E7189">
      <w:pPr>
        <w:pStyle w:val="IGUTezKaynakca"/>
        <w:numPr>
          <w:ilvl w:val="0"/>
          <w:numId w:val="18"/>
        </w:numPr>
        <w:spacing w:before="0" w:after="0"/>
        <w:rPr>
          <w:sz w:val="22"/>
          <w:szCs w:val="22"/>
        </w:rPr>
      </w:pPr>
      <w:r w:rsidRPr="005878EB">
        <w:rPr>
          <w:sz w:val="22"/>
          <w:szCs w:val="22"/>
        </w:rPr>
        <w:t>Shomaker, S. (1994). A proposal to improve the overall price value perception of a product line. Journal of Restaurant &amp; Foodservice Marketing, 1(1), 89-101.</w:t>
      </w:r>
    </w:p>
    <w:p w14:paraId="376845A2" w14:textId="77777777" w:rsidR="001E7189" w:rsidRPr="005878EB" w:rsidRDefault="001E7189">
      <w:pPr>
        <w:pStyle w:val="IGUTezKaynakca"/>
        <w:numPr>
          <w:ilvl w:val="0"/>
          <w:numId w:val="18"/>
        </w:numPr>
        <w:spacing w:before="0" w:after="0"/>
        <w:rPr>
          <w:sz w:val="22"/>
          <w:szCs w:val="22"/>
        </w:rPr>
      </w:pPr>
      <w:r w:rsidRPr="005878EB">
        <w:rPr>
          <w:sz w:val="22"/>
          <w:szCs w:val="22"/>
        </w:rPr>
        <w:t>Taylor, J. J., &amp; Brown, D. M. (2007). Menu analysis: A review of techniques and approaches. Hospitality Review, 25(2), 6.</w:t>
      </w:r>
    </w:p>
    <w:p w14:paraId="36441B23" w14:textId="77777777" w:rsidR="001E7189" w:rsidRPr="005878EB" w:rsidRDefault="001E7189">
      <w:pPr>
        <w:pStyle w:val="IGUTezKaynakca"/>
        <w:numPr>
          <w:ilvl w:val="0"/>
          <w:numId w:val="18"/>
        </w:numPr>
        <w:spacing w:before="0" w:after="0"/>
        <w:rPr>
          <w:sz w:val="22"/>
          <w:szCs w:val="22"/>
        </w:rPr>
      </w:pPr>
      <w:proofErr w:type="spellStart"/>
      <w:r w:rsidRPr="005878EB">
        <w:rPr>
          <w:sz w:val="22"/>
          <w:szCs w:val="22"/>
        </w:rPr>
        <w:t>Wansink</w:t>
      </w:r>
      <w:proofErr w:type="spellEnd"/>
      <w:r w:rsidRPr="005878EB">
        <w:rPr>
          <w:sz w:val="22"/>
          <w:szCs w:val="22"/>
        </w:rPr>
        <w:t xml:space="preserve">, B., Van </w:t>
      </w:r>
      <w:proofErr w:type="spellStart"/>
      <w:r w:rsidRPr="005878EB">
        <w:rPr>
          <w:sz w:val="22"/>
          <w:szCs w:val="22"/>
        </w:rPr>
        <w:t>Ittersum</w:t>
      </w:r>
      <w:proofErr w:type="spellEnd"/>
      <w:r w:rsidRPr="005878EB">
        <w:rPr>
          <w:sz w:val="22"/>
          <w:szCs w:val="22"/>
        </w:rPr>
        <w:t>, K., &amp; Painter, J. E. (2005). How descriptive food names bias sensory perceptions in restaurants. Food quality and preference, 16(5), 393-400.</w:t>
      </w:r>
    </w:p>
    <w:p w14:paraId="4B8A2093" w14:textId="67ACACF9" w:rsidR="00C70E93" w:rsidRDefault="001E7189">
      <w:pPr>
        <w:pStyle w:val="IGUTezKaynakca"/>
        <w:numPr>
          <w:ilvl w:val="0"/>
          <w:numId w:val="18"/>
        </w:numPr>
        <w:spacing w:before="0" w:after="0"/>
        <w:rPr>
          <w:sz w:val="22"/>
          <w:szCs w:val="22"/>
        </w:rPr>
      </w:pPr>
      <w:r w:rsidRPr="005878EB">
        <w:rPr>
          <w:sz w:val="22"/>
          <w:szCs w:val="22"/>
        </w:rPr>
        <w:t xml:space="preserve">White, J., Fu, Q., Hays, S., Sandborn, M., Olea, C., Gilbert, H., ... &amp; Schmidt, D. C. (2023). A prompt pattern catalog to enhance prompt engineering with </w:t>
      </w:r>
      <w:proofErr w:type="spellStart"/>
      <w:r w:rsidRPr="005878EB">
        <w:rPr>
          <w:sz w:val="22"/>
          <w:szCs w:val="22"/>
        </w:rPr>
        <w:t>chatgpt</w:t>
      </w:r>
      <w:proofErr w:type="spellEnd"/>
      <w:r w:rsidRPr="005878EB">
        <w:rPr>
          <w:sz w:val="22"/>
          <w:szCs w:val="22"/>
        </w:rPr>
        <w:t xml:space="preserve">. </w:t>
      </w:r>
      <w:proofErr w:type="spellStart"/>
      <w:r w:rsidRPr="005878EB">
        <w:rPr>
          <w:sz w:val="22"/>
          <w:szCs w:val="22"/>
        </w:rPr>
        <w:t>arXiv</w:t>
      </w:r>
      <w:proofErr w:type="spellEnd"/>
      <w:r w:rsidRPr="005878EB">
        <w:rPr>
          <w:sz w:val="22"/>
          <w:szCs w:val="22"/>
        </w:rPr>
        <w:t xml:space="preserve"> preprint arXiv:2302.11382</w:t>
      </w:r>
    </w:p>
    <w:p w14:paraId="292A2B99" w14:textId="525C2314" w:rsidR="001E7189" w:rsidRPr="00C70E93" w:rsidRDefault="00C70E93" w:rsidP="00C70E93">
      <w:pPr>
        <w:autoSpaceDE/>
        <w:autoSpaceDN/>
        <w:rPr>
          <w:rFonts w:eastAsiaTheme="minorHAnsi"/>
          <w:sz w:val="22"/>
          <w:szCs w:val="22"/>
          <w:lang w:val="en-US" w:eastAsia="en-US"/>
        </w:rPr>
      </w:pPr>
      <w:r>
        <w:rPr>
          <w:sz w:val="22"/>
          <w:szCs w:val="22"/>
        </w:rPr>
        <w:br w:type="page"/>
      </w:r>
    </w:p>
    <w:p w14:paraId="51D74501" w14:textId="77777777" w:rsidR="001E7189" w:rsidRDefault="001E7189" w:rsidP="004C7694">
      <w:pPr>
        <w:pStyle w:val="Tark"/>
      </w:pPr>
      <w:bookmarkStart w:id="93" w:name="_Toc192855197"/>
      <w:r w:rsidRPr="00C53E69">
        <w:lastRenderedPageBreak/>
        <w:t>Turizm Alanında Kullanılan Motivasyon Ölçeklerinin Analizi</w:t>
      </w:r>
      <w:bookmarkEnd w:id="93"/>
    </w:p>
    <w:p w14:paraId="4A7F0896" w14:textId="77777777" w:rsidR="001E7189" w:rsidRPr="00C53E69" w:rsidRDefault="001E7189" w:rsidP="007513A1">
      <w:pPr>
        <w:jc w:val="center"/>
        <w:rPr>
          <w:b/>
          <w:bCs/>
        </w:rPr>
      </w:pPr>
    </w:p>
    <w:p w14:paraId="06793870" w14:textId="77777777" w:rsidR="001E7189" w:rsidRDefault="001E7189" w:rsidP="007513A1">
      <w:pPr>
        <w:jc w:val="center"/>
      </w:pPr>
      <w:r w:rsidRPr="00C53E69">
        <w:t>Serhat AYDIN</w:t>
      </w:r>
      <w:r w:rsidRPr="00C53E69">
        <w:br/>
        <w:t xml:space="preserve">Dr. Öğr. Üyesi, Bilecik Şeyh Edebali Üniversitesi, Bozüyük Uygulamalı Bilimler Fakültesi, Turizm İşletmeciliği Bölümü </w:t>
      </w:r>
      <w:r w:rsidRPr="00C53E69">
        <w:br/>
        <w:t>serhat.aydin@bilecik.edu.tr</w:t>
      </w:r>
      <w:r w:rsidRPr="00C53E69">
        <w:br/>
      </w:r>
      <w:proofErr w:type="spellStart"/>
      <w:r w:rsidRPr="00C53E69">
        <w:t>Orcid</w:t>
      </w:r>
      <w:proofErr w:type="spellEnd"/>
      <w:r w:rsidRPr="00C53E69">
        <w:t xml:space="preserve"> ID: 0000-0001-6646-7656</w:t>
      </w:r>
    </w:p>
    <w:p w14:paraId="7376E146" w14:textId="77777777" w:rsidR="001E7189" w:rsidRPr="00C53E69" w:rsidRDefault="001E7189" w:rsidP="007513A1">
      <w:pPr>
        <w:jc w:val="center"/>
      </w:pPr>
    </w:p>
    <w:p w14:paraId="32AD2A4C" w14:textId="77777777" w:rsidR="001E7189" w:rsidRPr="00C53E69" w:rsidRDefault="001E7189" w:rsidP="007513A1">
      <w:pPr>
        <w:jc w:val="center"/>
        <w:rPr>
          <w:b/>
          <w:bCs/>
        </w:rPr>
      </w:pPr>
      <w:r w:rsidRPr="00C53E69">
        <w:rPr>
          <w:b/>
          <w:bCs/>
        </w:rPr>
        <w:t>Özet</w:t>
      </w:r>
    </w:p>
    <w:p w14:paraId="383C86CB" w14:textId="53BD007D" w:rsidR="001E7189" w:rsidRPr="00C53E69" w:rsidRDefault="001E7189" w:rsidP="007513A1">
      <w:pPr>
        <w:jc w:val="both"/>
        <w:rPr>
          <w:color w:val="000000" w:themeColor="text1"/>
        </w:rPr>
      </w:pPr>
      <w:r w:rsidRPr="00C53E69">
        <w:t xml:space="preserve">Bu araştırmanın amacı, turizm alanında kullanılan ölçekleri analiz etmektir. Turizm alanında imaj, algı, niyet, tutum, davranış ve hizmet kalitesi olmak üzere farklı ölçekler mevcuttur. Turizm için motivasyon kavramı ise yoğun olarak sorgulanmış ve her dönem araştırmacıların ilgisini çekmiştir. Bu kapsamda araştırma, turizm alanında tercih edilen motivasyon ölçeklerine odaklanmıştır. İlgili yazında ölçek geliştirme ve uyarlama araştırmaları mevcuttur. Ölçeklerin incelendiği sınırlı sayıda araştırmada spesifik olarak motivasyon kavramının sorgulanmadığı görülmektedir. Bu araştırmada, 1992-2013 yılları arasında geliştirilen 37 motivasyon ölçeği analiz edilmiştir. Ölçeklerde en fazla genel seyahat, festival katılımı ve gastronomi temelli olarak geliştirilmiştir. Ölçeklerin içeriğine bakıldığında en az iki faktör sekiz madde, en fazla yedi faktör 32 madde ile sorgulama yapılmıştır. Örneklem büyüklüğü 174-2027 arasında turist veya ilgili aktiviteye katılan bireylerden oluşmaktadır. Ölçekler en fazla 5’li </w:t>
      </w:r>
      <w:proofErr w:type="spellStart"/>
      <w:r w:rsidRPr="00C53E69">
        <w:t>Likert</w:t>
      </w:r>
      <w:proofErr w:type="spellEnd"/>
      <w:r w:rsidRPr="00C53E69">
        <w:t xml:space="preserve"> tipi anketlerle uygulanmıştır. Güvenilirlik için çoğunlukla </w:t>
      </w:r>
      <w:proofErr w:type="spellStart"/>
      <w:r w:rsidRPr="00C53E69">
        <w:t>Cronbach’s</w:t>
      </w:r>
      <w:proofErr w:type="spellEnd"/>
      <w:r w:rsidRPr="00C53E69">
        <w:rPr>
          <w:color w:val="000000" w:themeColor="text1"/>
        </w:rPr>
        <w:t xml:space="preserve"> Alpha katsayısı tercih edilmiştir. Güvenilirlik ölçümleri 0,52-0,96 arasında değişkenlik göstermektedir. Analiz edilen ölçeklerde genellikle pilot test uygulanmamış ve geçerliliğe yönelik veriye rastlanmamıştır. Ölçeklerde kapsam ve yapı (yakınsayıcı ve ayırt edici) geçerliliği rapor edilmiştir. Kaçış, sosyalleşme ve heyecan ölçeklerde en çok tekrar eden faktör grupları olarak saptanmıştır. Kaçış faktörünün maddelerine bakıldığında günlük hayattan, rutinden veya sosyal çevreden uzaklaşma ifadeleri ön plana çıkmıştır. Kaçış faktörü, ek olarak bireysel psikolojik süreçlerle ilişkilendirilmiştir. Tekrar eden faktör ve maddelere bakıldığında turizm motivasyonuyla ilgili doyuma ulaşıldığı söylenebilir. Turizm türü farklı olsa da çoğunlukla kaçış faktörünün ölçeklere dahil edilmesi sürekli tekrar eden durumun bir göstergesi olarak yorumlanabilir. Araştırmanın sonucunda özellikle kaçış faktörüne yönelik spesifik bir sorgulama hatta ölçek geliştirme araştırması önerilmektedir.</w:t>
      </w:r>
    </w:p>
    <w:p w14:paraId="050BE3C7" w14:textId="77777777" w:rsidR="001E7189" w:rsidRPr="00C53E69" w:rsidRDefault="001E7189" w:rsidP="007513A1">
      <w:pPr>
        <w:jc w:val="both"/>
      </w:pPr>
    </w:p>
    <w:p w14:paraId="772AB7C7" w14:textId="210AC89A" w:rsidR="00C70E93" w:rsidRDefault="001E7189" w:rsidP="007513A1">
      <w:pPr>
        <w:jc w:val="both"/>
      </w:pPr>
      <w:r w:rsidRPr="00C53E69">
        <w:rPr>
          <w:b/>
          <w:bCs/>
        </w:rPr>
        <w:t xml:space="preserve">Anahtar </w:t>
      </w:r>
      <w:r>
        <w:rPr>
          <w:b/>
          <w:bCs/>
        </w:rPr>
        <w:t>Kelimeler</w:t>
      </w:r>
      <w:r w:rsidRPr="00C53E69">
        <w:rPr>
          <w:b/>
          <w:bCs/>
        </w:rPr>
        <w:t>:</w:t>
      </w:r>
      <w:r w:rsidRPr="00C53E69">
        <w:t xml:space="preserve"> Motivasyon, Turizm ve Turist Motivasyonu, Ölçek, Anket</w:t>
      </w:r>
    </w:p>
    <w:p w14:paraId="7722D705" w14:textId="69040E87" w:rsidR="00FF4BC0" w:rsidRPr="00C53E69" w:rsidRDefault="00C70E93" w:rsidP="00C70E93">
      <w:pPr>
        <w:autoSpaceDE/>
        <w:autoSpaceDN/>
      </w:pPr>
      <w:r>
        <w:br w:type="page"/>
      </w:r>
    </w:p>
    <w:p w14:paraId="49F9799D" w14:textId="77777777" w:rsidR="001E7189" w:rsidRDefault="001E7189" w:rsidP="004C7694">
      <w:pPr>
        <w:pStyle w:val="Tark"/>
      </w:pPr>
      <w:bookmarkStart w:id="94" w:name="_Toc192855198"/>
      <w:r w:rsidRPr="00C53E69">
        <w:lastRenderedPageBreak/>
        <w:t xml:space="preserve">Analysis of </w:t>
      </w:r>
      <w:proofErr w:type="spellStart"/>
      <w:r w:rsidRPr="00C53E69">
        <w:t>Motivation</w:t>
      </w:r>
      <w:proofErr w:type="spellEnd"/>
      <w:r w:rsidRPr="00C53E69">
        <w:t xml:space="preserve"> </w:t>
      </w:r>
      <w:proofErr w:type="spellStart"/>
      <w:r w:rsidRPr="00C53E69">
        <w:t>Scales</w:t>
      </w:r>
      <w:proofErr w:type="spellEnd"/>
      <w:r w:rsidRPr="00C53E69">
        <w:t xml:space="preserve"> </w:t>
      </w:r>
      <w:proofErr w:type="spellStart"/>
      <w:r w:rsidRPr="00C53E69">
        <w:t>Used</w:t>
      </w:r>
      <w:proofErr w:type="spellEnd"/>
      <w:r w:rsidRPr="00C53E69">
        <w:t xml:space="preserve"> in </w:t>
      </w:r>
      <w:proofErr w:type="spellStart"/>
      <w:r w:rsidRPr="00C53E69">
        <w:t>Tourism</w:t>
      </w:r>
      <w:bookmarkEnd w:id="94"/>
      <w:proofErr w:type="spellEnd"/>
    </w:p>
    <w:p w14:paraId="296E27A3" w14:textId="77777777" w:rsidR="007513A1" w:rsidRPr="007513A1" w:rsidRDefault="007513A1" w:rsidP="007513A1">
      <w:pPr>
        <w:pStyle w:val="Metin"/>
      </w:pPr>
    </w:p>
    <w:p w14:paraId="02BB514F" w14:textId="77777777" w:rsidR="001E7189" w:rsidRPr="00C53E69" w:rsidRDefault="001E7189" w:rsidP="007513A1">
      <w:pPr>
        <w:jc w:val="center"/>
        <w:rPr>
          <w:b/>
          <w:bCs/>
        </w:rPr>
      </w:pPr>
      <w:proofErr w:type="spellStart"/>
      <w:r w:rsidRPr="00C53E69">
        <w:rPr>
          <w:b/>
          <w:bCs/>
        </w:rPr>
        <w:t>Abstract</w:t>
      </w:r>
      <w:proofErr w:type="spellEnd"/>
    </w:p>
    <w:p w14:paraId="672AEBEF" w14:textId="04C0DB9C" w:rsidR="001E7189" w:rsidRPr="00C53E69" w:rsidRDefault="001E7189" w:rsidP="007513A1">
      <w:pPr>
        <w:jc w:val="both"/>
      </w:pPr>
      <w:proofErr w:type="spellStart"/>
      <w:r w:rsidRPr="00C53E69">
        <w:t>This</w:t>
      </w:r>
      <w:proofErr w:type="spellEnd"/>
      <w:r w:rsidRPr="00C53E69">
        <w:t xml:space="preserve"> </w:t>
      </w:r>
      <w:proofErr w:type="spellStart"/>
      <w:r w:rsidRPr="00C53E69">
        <w:t>study</w:t>
      </w:r>
      <w:proofErr w:type="spellEnd"/>
      <w:r w:rsidRPr="00C53E69">
        <w:t xml:space="preserve"> </w:t>
      </w:r>
      <w:proofErr w:type="spellStart"/>
      <w:r w:rsidRPr="00C53E69">
        <w:t>aims</w:t>
      </w:r>
      <w:proofErr w:type="spellEnd"/>
      <w:r w:rsidRPr="00C53E69">
        <w:t xml:space="preserve"> is </w:t>
      </w:r>
      <w:proofErr w:type="spellStart"/>
      <w:r w:rsidRPr="00C53E69">
        <w:t>to</w:t>
      </w:r>
      <w:proofErr w:type="spellEnd"/>
      <w:r w:rsidRPr="00C53E69">
        <w:t xml:space="preserve"> </w:t>
      </w:r>
      <w:proofErr w:type="spellStart"/>
      <w:r w:rsidRPr="00C53E69">
        <w:t>examine</w:t>
      </w:r>
      <w:proofErr w:type="spellEnd"/>
      <w:r w:rsidRPr="00C53E69">
        <w:t xml:space="preserve"> </w:t>
      </w:r>
      <w:proofErr w:type="spellStart"/>
      <w:r w:rsidRPr="00C53E69">
        <w:t>the</w:t>
      </w:r>
      <w:proofErr w:type="spellEnd"/>
      <w:r w:rsidRPr="00C53E69">
        <w:t xml:space="preserve"> </w:t>
      </w:r>
      <w:proofErr w:type="spellStart"/>
      <w:r w:rsidRPr="00C53E69">
        <w:t>various</w:t>
      </w:r>
      <w:proofErr w:type="spellEnd"/>
      <w:r w:rsidRPr="00C53E69">
        <w:t xml:space="preserve"> </w:t>
      </w:r>
      <w:proofErr w:type="spellStart"/>
      <w:r w:rsidRPr="00C53E69">
        <w:t>scales</w:t>
      </w:r>
      <w:proofErr w:type="spellEnd"/>
      <w:r w:rsidRPr="00C53E69">
        <w:t xml:space="preserve"> </w:t>
      </w:r>
      <w:proofErr w:type="spellStart"/>
      <w:r w:rsidRPr="00C53E69">
        <w:t>employed</w:t>
      </w:r>
      <w:proofErr w:type="spellEnd"/>
      <w:r w:rsidRPr="00C53E69">
        <w:t xml:space="preserve"> in </w:t>
      </w:r>
      <w:proofErr w:type="spellStart"/>
      <w:r w:rsidRPr="00C53E69">
        <w:t>the</w:t>
      </w:r>
      <w:proofErr w:type="spellEnd"/>
      <w:r w:rsidRPr="00C53E69">
        <w:t xml:space="preserve"> domain of </w:t>
      </w:r>
      <w:proofErr w:type="spellStart"/>
      <w:r w:rsidRPr="00C53E69">
        <w:t>tourism</w:t>
      </w:r>
      <w:proofErr w:type="spellEnd"/>
      <w:r w:rsidRPr="00C53E69">
        <w:t xml:space="preserve">. </w:t>
      </w:r>
      <w:proofErr w:type="spellStart"/>
      <w:r w:rsidRPr="00C53E69">
        <w:t>Within</w:t>
      </w:r>
      <w:proofErr w:type="spellEnd"/>
      <w:r w:rsidRPr="00C53E69">
        <w:t xml:space="preserve"> </w:t>
      </w:r>
      <w:proofErr w:type="spellStart"/>
      <w:r w:rsidRPr="00C53E69">
        <w:t>the</w:t>
      </w:r>
      <w:proofErr w:type="spellEnd"/>
      <w:r w:rsidRPr="00C53E69">
        <w:t xml:space="preserve"> </w:t>
      </w:r>
      <w:proofErr w:type="spellStart"/>
      <w:r w:rsidRPr="00C53E69">
        <w:t>tourism</w:t>
      </w:r>
      <w:proofErr w:type="spellEnd"/>
      <w:r w:rsidRPr="00C53E69">
        <w:t xml:space="preserve"> </w:t>
      </w:r>
      <w:proofErr w:type="spellStart"/>
      <w:r w:rsidRPr="00C53E69">
        <w:t>field</w:t>
      </w:r>
      <w:proofErr w:type="spellEnd"/>
      <w:r w:rsidRPr="00C53E69">
        <w:t xml:space="preserve">, </w:t>
      </w:r>
      <w:proofErr w:type="spellStart"/>
      <w:r w:rsidRPr="00C53E69">
        <w:t>numerous</w:t>
      </w:r>
      <w:proofErr w:type="spellEnd"/>
      <w:r w:rsidRPr="00C53E69">
        <w:t xml:space="preserve"> </w:t>
      </w:r>
      <w:proofErr w:type="spellStart"/>
      <w:r w:rsidRPr="00C53E69">
        <w:t>scales</w:t>
      </w:r>
      <w:proofErr w:type="spellEnd"/>
      <w:r w:rsidRPr="00C53E69">
        <w:t xml:space="preserve"> </w:t>
      </w:r>
      <w:proofErr w:type="spellStart"/>
      <w:r w:rsidRPr="00C53E69">
        <w:t>have</w:t>
      </w:r>
      <w:proofErr w:type="spellEnd"/>
      <w:r w:rsidRPr="00C53E69">
        <w:t xml:space="preserve"> </w:t>
      </w:r>
      <w:proofErr w:type="spellStart"/>
      <w:r w:rsidRPr="00C53E69">
        <w:t>been</w:t>
      </w:r>
      <w:proofErr w:type="spellEnd"/>
      <w:r w:rsidRPr="00C53E69">
        <w:t xml:space="preserve"> </w:t>
      </w:r>
      <w:proofErr w:type="spellStart"/>
      <w:r w:rsidRPr="00C53E69">
        <w:t>utilized</w:t>
      </w:r>
      <w:proofErr w:type="spellEnd"/>
      <w:r w:rsidRPr="00C53E69">
        <w:t xml:space="preserve">, </w:t>
      </w:r>
      <w:proofErr w:type="spellStart"/>
      <w:r w:rsidRPr="00C53E69">
        <w:t>including</w:t>
      </w:r>
      <w:proofErr w:type="spellEnd"/>
      <w:r w:rsidRPr="00C53E69">
        <w:t xml:space="preserve"> </w:t>
      </w:r>
      <w:proofErr w:type="spellStart"/>
      <w:r w:rsidRPr="00C53E69">
        <w:t>image</w:t>
      </w:r>
      <w:proofErr w:type="spellEnd"/>
      <w:r w:rsidRPr="00C53E69">
        <w:t xml:space="preserve">, </w:t>
      </w:r>
      <w:proofErr w:type="spellStart"/>
      <w:r w:rsidRPr="00C53E69">
        <w:t>perception</w:t>
      </w:r>
      <w:proofErr w:type="spellEnd"/>
      <w:r w:rsidRPr="00C53E69">
        <w:t xml:space="preserve">, </w:t>
      </w:r>
      <w:proofErr w:type="spellStart"/>
      <w:r w:rsidRPr="00C53E69">
        <w:t>intention</w:t>
      </w:r>
      <w:proofErr w:type="spellEnd"/>
      <w:r w:rsidRPr="00C53E69">
        <w:t xml:space="preserve">, </w:t>
      </w:r>
      <w:proofErr w:type="spellStart"/>
      <w:r w:rsidRPr="00C53E69">
        <w:t>attitude</w:t>
      </w:r>
      <w:proofErr w:type="spellEnd"/>
      <w:r w:rsidRPr="00C53E69">
        <w:t xml:space="preserve">, </w:t>
      </w:r>
      <w:proofErr w:type="spellStart"/>
      <w:r w:rsidRPr="00C53E69">
        <w:t>behavior</w:t>
      </w:r>
      <w:proofErr w:type="spellEnd"/>
      <w:r w:rsidRPr="00C53E69">
        <w:t xml:space="preserve">, </w:t>
      </w:r>
      <w:proofErr w:type="spellStart"/>
      <w:r w:rsidRPr="00C53E69">
        <w:t>and</w:t>
      </w:r>
      <w:proofErr w:type="spellEnd"/>
      <w:r w:rsidRPr="00C53E69">
        <w:t xml:space="preserve"> service </w:t>
      </w:r>
      <w:proofErr w:type="spellStart"/>
      <w:proofErr w:type="gramStart"/>
      <w:r w:rsidRPr="00C53E69">
        <w:t>quality.The</w:t>
      </w:r>
      <w:proofErr w:type="spellEnd"/>
      <w:proofErr w:type="gramEnd"/>
      <w:r w:rsidRPr="00C53E69">
        <w:t xml:space="preserve"> </w:t>
      </w:r>
      <w:proofErr w:type="spellStart"/>
      <w:r w:rsidRPr="00C53E69">
        <w:t>notion</w:t>
      </w:r>
      <w:proofErr w:type="spellEnd"/>
      <w:r w:rsidRPr="00C53E69">
        <w:t xml:space="preserve"> of </w:t>
      </w:r>
      <w:proofErr w:type="spellStart"/>
      <w:r w:rsidRPr="00C53E69">
        <w:t>motivation</w:t>
      </w:r>
      <w:proofErr w:type="spellEnd"/>
      <w:r w:rsidRPr="00C53E69">
        <w:t xml:space="preserve"> in </w:t>
      </w:r>
      <w:proofErr w:type="spellStart"/>
      <w:r w:rsidRPr="00C53E69">
        <w:t>tourism</w:t>
      </w:r>
      <w:proofErr w:type="spellEnd"/>
      <w:r w:rsidRPr="00C53E69">
        <w:t xml:space="preserve"> has </w:t>
      </w:r>
      <w:proofErr w:type="spellStart"/>
      <w:r w:rsidRPr="00C53E69">
        <w:t>been</w:t>
      </w:r>
      <w:proofErr w:type="spellEnd"/>
      <w:r w:rsidRPr="00C53E69">
        <w:t xml:space="preserve"> a </w:t>
      </w:r>
      <w:proofErr w:type="spellStart"/>
      <w:r w:rsidRPr="00C53E69">
        <w:t>subjectof</w:t>
      </w:r>
      <w:proofErr w:type="spellEnd"/>
      <w:r w:rsidRPr="00C53E69">
        <w:t xml:space="preserve"> </w:t>
      </w:r>
      <w:proofErr w:type="spellStart"/>
      <w:r w:rsidRPr="00C53E69">
        <w:t>extensive</w:t>
      </w:r>
      <w:proofErr w:type="spellEnd"/>
      <w:r w:rsidRPr="00C53E69">
        <w:t xml:space="preserve"> </w:t>
      </w:r>
      <w:proofErr w:type="spellStart"/>
      <w:r w:rsidRPr="00C53E69">
        <w:t>scrutiny</w:t>
      </w:r>
      <w:proofErr w:type="spellEnd"/>
      <w:r w:rsidRPr="00C53E69">
        <w:t xml:space="preserve"> </w:t>
      </w:r>
      <w:proofErr w:type="spellStart"/>
      <w:r w:rsidRPr="00C53E69">
        <w:t>and</w:t>
      </w:r>
      <w:proofErr w:type="spellEnd"/>
      <w:r w:rsidRPr="00C53E69">
        <w:t xml:space="preserve"> has </w:t>
      </w:r>
      <w:proofErr w:type="spellStart"/>
      <w:r w:rsidRPr="00C53E69">
        <w:t>consistently</w:t>
      </w:r>
      <w:proofErr w:type="spellEnd"/>
      <w:r w:rsidRPr="00C53E69">
        <w:t xml:space="preserve"> </w:t>
      </w:r>
      <w:proofErr w:type="spellStart"/>
      <w:r w:rsidRPr="00C53E69">
        <w:t>garnered</w:t>
      </w:r>
      <w:proofErr w:type="spellEnd"/>
      <w:r w:rsidRPr="00C53E69">
        <w:t xml:space="preserve"> </w:t>
      </w:r>
      <w:proofErr w:type="spellStart"/>
      <w:r w:rsidRPr="00C53E69">
        <w:t>the</w:t>
      </w:r>
      <w:proofErr w:type="spellEnd"/>
      <w:r w:rsidRPr="00C53E69">
        <w:t xml:space="preserve"> </w:t>
      </w:r>
      <w:proofErr w:type="spellStart"/>
      <w:r w:rsidRPr="00C53E69">
        <w:t>interest</w:t>
      </w:r>
      <w:proofErr w:type="spellEnd"/>
      <w:r w:rsidRPr="00C53E69">
        <w:t xml:space="preserve"> of </w:t>
      </w:r>
      <w:proofErr w:type="spellStart"/>
      <w:r w:rsidRPr="00C53E69">
        <w:t>researchers</w:t>
      </w:r>
      <w:proofErr w:type="spellEnd"/>
      <w:r w:rsidRPr="00C53E69">
        <w:t xml:space="preserve"> </w:t>
      </w:r>
      <w:proofErr w:type="spellStart"/>
      <w:r w:rsidRPr="00C53E69">
        <w:t>across</w:t>
      </w:r>
      <w:proofErr w:type="spellEnd"/>
      <w:r w:rsidRPr="00C53E69">
        <w:t xml:space="preserve"> </w:t>
      </w:r>
      <w:proofErr w:type="spellStart"/>
      <w:r w:rsidRPr="00C53E69">
        <w:t>various</w:t>
      </w:r>
      <w:proofErr w:type="spellEnd"/>
      <w:r w:rsidRPr="00C53E69">
        <w:t xml:space="preserve"> temporal </w:t>
      </w:r>
      <w:proofErr w:type="spellStart"/>
      <w:r w:rsidRPr="00C53E69">
        <w:t>periods.In</w:t>
      </w:r>
      <w:proofErr w:type="spellEnd"/>
      <w:r w:rsidRPr="00C53E69">
        <w:t xml:space="preserve"> </w:t>
      </w:r>
      <w:proofErr w:type="spellStart"/>
      <w:r w:rsidRPr="00C53E69">
        <w:t>this</w:t>
      </w:r>
      <w:proofErr w:type="spellEnd"/>
      <w:r w:rsidRPr="00C53E69">
        <w:t xml:space="preserve"> </w:t>
      </w:r>
      <w:proofErr w:type="spellStart"/>
      <w:r w:rsidRPr="00C53E69">
        <w:t>context</w:t>
      </w:r>
      <w:proofErr w:type="spellEnd"/>
      <w:r w:rsidRPr="00C53E69">
        <w:t xml:space="preserve">, </w:t>
      </w:r>
      <w:proofErr w:type="spellStart"/>
      <w:r w:rsidRPr="00C53E69">
        <w:t>the</w:t>
      </w:r>
      <w:proofErr w:type="spellEnd"/>
      <w:r w:rsidRPr="00C53E69">
        <w:t xml:space="preserve"> </w:t>
      </w:r>
      <w:proofErr w:type="spellStart"/>
      <w:r w:rsidRPr="00C53E69">
        <w:t>present</w:t>
      </w:r>
      <w:proofErr w:type="spellEnd"/>
      <w:r w:rsidRPr="00C53E69">
        <w:t xml:space="preserve"> </w:t>
      </w:r>
      <w:proofErr w:type="spellStart"/>
      <w:r w:rsidRPr="00C53E69">
        <w:t>study</w:t>
      </w:r>
      <w:proofErr w:type="spellEnd"/>
      <w:r w:rsidRPr="00C53E69">
        <w:t xml:space="preserve"> </w:t>
      </w:r>
      <w:proofErr w:type="spellStart"/>
      <w:r w:rsidRPr="00C53E69">
        <w:t>concentrates</w:t>
      </w:r>
      <w:proofErr w:type="spellEnd"/>
      <w:r w:rsidRPr="00C53E69">
        <w:t xml:space="preserve"> on </w:t>
      </w:r>
      <w:proofErr w:type="spellStart"/>
      <w:r w:rsidRPr="00C53E69">
        <w:t>the</w:t>
      </w:r>
      <w:proofErr w:type="spellEnd"/>
      <w:r w:rsidRPr="00C53E69">
        <w:t xml:space="preserve"> </w:t>
      </w:r>
      <w:proofErr w:type="spellStart"/>
      <w:r w:rsidRPr="00C53E69">
        <w:t>most</w:t>
      </w:r>
      <w:proofErr w:type="spellEnd"/>
      <w:r w:rsidRPr="00C53E69">
        <w:t xml:space="preserve"> </w:t>
      </w:r>
      <w:proofErr w:type="spellStart"/>
      <w:r w:rsidRPr="00C53E69">
        <w:t>prevalent</w:t>
      </w:r>
      <w:proofErr w:type="spellEnd"/>
      <w:r w:rsidRPr="00C53E69">
        <w:t xml:space="preserve"> </w:t>
      </w:r>
      <w:proofErr w:type="spellStart"/>
      <w:r w:rsidRPr="00C53E69">
        <w:t>motivation</w:t>
      </w:r>
      <w:proofErr w:type="spellEnd"/>
      <w:r w:rsidRPr="00C53E69">
        <w:t xml:space="preserve"> </w:t>
      </w:r>
      <w:proofErr w:type="spellStart"/>
      <w:r w:rsidRPr="00C53E69">
        <w:t>scales</w:t>
      </w:r>
      <w:proofErr w:type="spellEnd"/>
      <w:r w:rsidRPr="00C53E69">
        <w:t xml:space="preserve"> in </w:t>
      </w:r>
      <w:proofErr w:type="spellStart"/>
      <w:r w:rsidRPr="00C53E69">
        <w:t>the</w:t>
      </w:r>
      <w:proofErr w:type="spellEnd"/>
      <w:r w:rsidRPr="00C53E69">
        <w:t xml:space="preserve"> </w:t>
      </w:r>
      <w:proofErr w:type="spellStart"/>
      <w:r w:rsidRPr="00C53E69">
        <w:t>field</w:t>
      </w:r>
      <w:proofErr w:type="spellEnd"/>
      <w:r w:rsidRPr="00C53E69">
        <w:t xml:space="preserve"> of </w:t>
      </w:r>
      <w:proofErr w:type="spellStart"/>
      <w:r w:rsidRPr="00C53E69">
        <w:t>tourism.The</w:t>
      </w:r>
      <w:proofErr w:type="spellEnd"/>
      <w:r w:rsidRPr="00C53E69">
        <w:t xml:space="preserve"> </w:t>
      </w:r>
      <w:proofErr w:type="spellStart"/>
      <w:r w:rsidRPr="00C53E69">
        <w:t>existing</w:t>
      </w:r>
      <w:proofErr w:type="spellEnd"/>
      <w:r w:rsidRPr="00C53E69">
        <w:t xml:space="preserve"> </w:t>
      </w:r>
      <w:proofErr w:type="spellStart"/>
      <w:r w:rsidRPr="00C53E69">
        <w:t>literature</w:t>
      </w:r>
      <w:proofErr w:type="spellEnd"/>
      <w:r w:rsidRPr="00C53E69">
        <w:t xml:space="preserve"> </w:t>
      </w:r>
      <w:proofErr w:type="spellStart"/>
      <w:r w:rsidRPr="00C53E69">
        <w:t>includes</w:t>
      </w:r>
      <w:proofErr w:type="spellEnd"/>
      <w:r w:rsidRPr="00C53E69">
        <w:t xml:space="preserve"> </w:t>
      </w:r>
      <w:proofErr w:type="spellStart"/>
      <w:r w:rsidRPr="00C53E69">
        <w:t>studies</w:t>
      </w:r>
      <w:proofErr w:type="spellEnd"/>
      <w:r w:rsidRPr="00C53E69">
        <w:t xml:space="preserve"> on </w:t>
      </w:r>
      <w:proofErr w:type="spellStart"/>
      <w:r w:rsidRPr="00C53E69">
        <w:t>scale</w:t>
      </w:r>
      <w:proofErr w:type="spellEnd"/>
      <w:r w:rsidRPr="00C53E69">
        <w:t xml:space="preserve"> </w:t>
      </w:r>
      <w:proofErr w:type="spellStart"/>
      <w:r w:rsidRPr="00C53E69">
        <w:t>development</w:t>
      </w:r>
      <w:proofErr w:type="spellEnd"/>
      <w:r w:rsidRPr="00C53E69">
        <w:t xml:space="preserve"> </w:t>
      </w:r>
      <w:proofErr w:type="spellStart"/>
      <w:r w:rsidRPr="00C53E69">
        <w:t>and</w:t>
      </w:r>
      <w:proofErr w:type="spellEnd"/>
      <w:r w:rsidRPr="00C53E69">
        <w:t xml:space="preserve"> </w:t>
      </w:r>
      <w:proofErr w:type="spellStart"/>
      <w:r w:rsidRPr="00C53E69">
        <w:t>adaptation</w:t>
      </w:r>
      <w:proofErr w:type="spellEnd"/>
      <w:r w:rsidRPr="00C53E69">
        <w:t xml:space="preserve">. A </w:t>
      </w:r>
      <w:proofErr w:type="spellStart"/>
      <w:r w:rsidRPr="00C53E69">
        <w:t>cursory</w:t>
      </w:r>
      <w:proofErr w:type="spellEnd"/>
      <w:r w:rsidRPr="00C53E69">
        <w:t xml:space="preserve"> </w:t>
      </w:r>
      <w:proofErr w:type="spellStart"/>
      <w:r w:rsidRPr="00C53E69">
        <w:t>review</w:t>
      </w:r>
      <w:proofErr w:type="spellEnd"/>
      <w:r w:rsidRPr="00C53E69">
        <w:t xml:space="preserve"> of </w:t>
      </w:r>
      <w:proofErr w:type="spellStart"/>
      <w:r w:rsidRPr="00C53E69">
        <w:t>extant</w:t>
      </w:r>
      <w:proofErr w:type="spellEnd"/>
      <w:r w:rsidRPr="00C53E69">
        <w:t xml:space="preserve"> </w:t>
      </w:r>
      <w:proofErr w:type="spellStart"/>
      <w:r w:rsidRPr="00C53E69">
        <w:t>literature</w:t>
      </w:r>
      <w:proofErr w:type="spellEnd"/>
      <w:r w:rsidRPr="00C53E69">
        <w:t xml:space="preserve"> </w:t>
      </w:r>
      <w:proofErr w:type="spellStart"/>
      <w:r w:rsidRPr="00C53E69">
        <w:t>reveals</w:t>
      </w:r>
      <w:proofErr w:type="spellEnd"/>
      <w:r w:rsidRPr="00C53E69">
        <w:t xml:space="preserve"> a </w:t>
      </w:r>
      <w:proofErr w:type="spellStart"/>
      <w:r w:rsidRPr="00C53E69">
        <w:t>paucity</w:t>
      </w:r>
      <w:proofErr w:type="spellEnd"/>
      <w:r w:rsidRPr="00C53E69">
        <w:t xml:space="preserve"> of </w:t>
      </w:r>
      <w:proofErr w:type="spellStart"/>
      <w:r w:rsidRPr="00C53E69">
        <w:t>studies</w:t>
      </w:r>
      <w:proofErr w:type="spellEnd"/>
      <w:r w:rsidRPr="00C53E69">
        <w:t xml:space="preserve"> </w:t>
      </w:r>
      <w:proofErr w:type="spellStart"/>
      <w:r w:rsidRPr="00C53E69">
        <w:t>that</w:t>
      </w:r>
      <w:proofErr w:type="spellEnd"/>
      <w:r w:rsidRPr="00C53E69">
        <w:t xml:space="preserve"> </w:t>
      </w:r>
      <w:proofErr w:type="spellStart"/>
      <w:r w:rsidRPr="00C53E69">
        <w:t>directly</w:t>
      </w:r>
      <w:proofErr w:type="spellEnd"/>
      <w:r w:rsidRPr="00C53E69">
        <w:t xml:space="preserve"> </w:t>
      </w:r>
      <w:proofErr w:type="spellStart"/>
      <w:r w:rsidRPr="00C53E69">
        <w:t>interrogate</w:t>
      </w:r>
      <w:proofErr w:type="spellEnd"/>
      <w:r w:rsidRPr="00C53E69">
        <w:t xml:space="preserve"> </w:t>
      </w:r>
      <w:proofErr w:type="spellStart"/>
      <w:r w:rsidRPr="00C53E69">
        <w:t>the</w:t>
      </w:r>
      <w:proofErr w:type="spellEnd"/>
      <w:r w:rsidRPr="00C53E69">
        <w:t xml:space="preserve"> </w:t>
      </w:r>
      <w:proofErr w:type="spellStart"/>
      <w:r w:rsidRPr="00C53E69">
        <w:t>concept</w:t>
      </w:r>
      <w:proofErr w:type="spellEnd"/>
      <w:r w:rsidRPr="00C53E69">
        <w:t xml:space="preserve"> of </w:t>
      </w:r>
      <w:proofErr w:type="spellStart"/>
      <w:r w:rsidRPr="00C53E69">
        <w:t>motivation.This</w:t>
      </w:r>
      <w:proofErr w:type="spellEnd"/>
      <w:r w:rsidRPr="00C53E69">
        <w:t xml:space="preserve"> </w:t>
      </w:r>
      <w:proofErr w:type="spellStart"/>
      <w:r w:rsidRPr="00C53E69">
        <w:t>study</w:t>
      </w:r>
      <w:proofErr w:type="spellEnd"/>
      <w:r w:rsidRPr="00C53E69">
        <w:t xml:space="preserve"> </w:t>
      </w:r>
      <w:proofErr w:type="spellStart"/>
      <w:r w:rsidRPr="00C53E69">
        <w:t>thus</w:t>
      </w:r>
      <w:proofErr w:type="spellEnd"/>
      <w:r w:rsidRPr="00C53E69">
        <w:t xml:space="preserve"> </w:t>
      </w:r>
      <w:proofErr w:type="spellStart"/>
      <w:r w:rsidRPr="00C53E69">
        <w:t>aims</w:t>
      </w:r>
      <w:proofErr w:type="spellEnd"/>
      <w:r w:rsidRPr="00C53E69">
        <w:t xml:space="preserve"> </w:t>
      </w:r>
      <w:proofErr w:type="spellStart"/>
      <w:r w:rsidRPr="00C53E69">
        <w:t>to</w:t>
      </w:r>
      <w:proofErr w:type="spellEnd"/>
      <w:r w:rsidRPr="00C53E69">
        <w:t xml:space="preserve"> </w:t>
      </w:r>
      <w:proofErr w:type="spellStart"/>
      <w:r w:rsidRPr="00C53E69">
        <w:t>address</w:t>
      </w:r>
      <w:proofErr w:type="spellEnd"/>
      <w:r w:rsidRPr="00C53E69">
        <w:t xml:space="preserve"> </w:t>
      </w:r>
      <w:proofErr w:type="spellStart"/>
      <w:r w:rsidRPr="00C53E69">
        <w:t>this</w:t>
      </w:r>
      <w:proofErr w:type="spellEnd"/>
      <w:r w:rsidRPr="00C53E69">
        <w:t xml:space="preserve"> </w:t>
      </w:r>
      <w:proofErr w:type="spellStart"/>
      <w:r w:rsidRPr="00C53E69">
        <w:t>lacuna</w:t>
      </w:r>
      <w:proofErr w:type="spellEnd"/>
      <w:r w:rsidRPr="00C53E69">
        <w:t xml:space="preserve"> </w:t>
      </w:r>
      <w:proofErr w:type="spellStart"/>
      <w:r w:rsidRPr="00C53E69">
        <w:t>by</w:t>
      </w:r>
      <w:proofErr w:type="spellEnd"/>
      <w:r w:rsidRPr="00C53E69">
        <w:t xml:space="preserve"> </w:t>
      </w:r>
      <w:proofErr w:type="spellStart"/>
      <w:r w:rsidRPr="00C53E69">
        <w:t>conducting</w:t>
      </w:r>
      <w:proofErr w:type="spellEnd"/>
      <w:r w:rsidRPr="00C53E69">
        <w:t xml:space="preserve"> a </w:t>
      </w:r>
      <w:proofErr w:type="spellStart"/>
      <w:r w:rsidRPr="00C53E69">
        <w:t>comprehensive</w:t>
      </w:r>
      <w:proofErr w:type="spellEnd"/>
      <w:r w:rsidRPr="00C53E69">
        <w:t xml:space="preserve"> </w:t>
      </w:r>
      <w:proofErr w:type="spellStart"/>
      <w:r w:rsidRPr="00C53E69">
        <w:t>analysis</w:t>
      </w:r>
      <w:proofErr w:type="spellEnd"/>
      <w:r w:rsidRPr="00C53E69">
        <w:t xml:space="preserve"> of 37 </w:t>
      </w:r>
      <w:proofErr w:type="spellStart"/>
      <w:r w:rsidRPr="00C53E69">
        <w:t>motivation</w:t>
      </w:r>
      <w:proofErr w:type="spellEnd"/>
      <w:r w:rsidRPr="00C53E69">
        <w:t xml:space="preserve"> </w:t>
      </w:r>
      <w:proofErr w:type="spellStart"/>
      <w:r w:rsidRPr="00C53E69">
        <w:t>scales</w:t>
      </w:r>
      <w:proofErr w:type="spellEnd"/>
      <w:r w:rsidRPr="00C53E69">
        <w:t xml:space="preserve"> </w:t>
      </w:r>
      <w:proofErr w:type="spellStart"/>
      <w:r w:rsidRPr="00C53E69">
        <w:t>developed</w:t>
      </w:r>
      <w:proofErr w:type="spellEnd"/>
      <w:r w:rsidRPr="00C53E69">
        <w:t xml:space="preserve"> </w:t>
      </w:r>
      <w:proofErr w:type="spellStart"/>
      <w:r w:rsidRPr="00C53E69">
        <w:t>between</w:t>
      </w:r>
      <w:proofErr w:type="spellEnd"/>
      <w:r w:rsidRPr="00C53E69">
        <w:t xml:space="preserve"> 1992 </w:t>
      </w:r>
      <w:proofErr w:type="spellStart"/>
      <w:r w:rsidRPr="00C53E69">
        <w:t>and</w:t>
      </w:r>
      <w:proofErr w:type="spellEnd"/>
      <w:r w:rsidRPr="00C53E69">
        <w:t xml:space="preserve"> 2013.A </w:t>
      </w:r>
      <w:proofErr w:type="spellStart"/>
      <w:r w:rsidRPr="00C53E69">
        <w:t>broad</w:t>
      </w:r>
      <w:proofErr w:type="spellEnd"/>
      <w:r w:rsidRPr="00C53E69">
        <w:t xml:space="preserve"> </w:t>
      </w:r>
      <w:proofErr w:type="spellStart"/>
      <w:r w:rsidRPr="00C53E69">
        <w:t>spectrum</w:t>
      </w:r>
      <w:proofErr w:type="spellEnd"/>
      <w:r w:rsidRPr="00C53E69">
        <w:t xml:space="preserve"> of </w:t>
      </w:r>
      <w:proofErr w:type="spellStart"/>
      <w:r w:rsidRPr="00C53E69">
        <w:t>scales</w:t>
      </w:r>
      <w:proofErr w:type="spellEnd"/>
      <w:r w:rsidRPr="00C53E69">
        <w:t xml:space="preserve"> </w:t>
      </w:r>
      <w:proofErr w:type="spellStart"/>
      <w:r w:rsidRPr="00C53E69">
        <w:t>was</w:t>
      </w:r>
      <w:proofErr w:type="spellEnd"/>
      <w:r w:rsidRPr="00C53E69">
        <w:t xml:space="preserve"> </w:t>
      </w:r>
      <w:proofErr w:type="spellStart"/>
      <w:r w:rsidRPr="00C53E69">
        <w:t>included</w:t>
      </w:r>
      <w:proofErr w:type="spellEnd"/>
      <w:r w:rsidRPr="00C53E69">
        <w:t xml:space="preserve"> in </w:t>
      </w:r>
      <w:proofErr w:type="spellStart"/>
      <w:r w:rsidRPr="00C53E69">
        <w:t>this</w:t>
      </w:r>
      <w:proofErr w:type="spellEnd"/>
      <w:r w:rsidRPr="00C53E69">
        <w:t xml:space="preserve"> </w:t>
      </w:r>
      <w:proofErr w:type="spellStart"/>
      <w:r w:rsidRPr="00C53E69">
        <w:t>study</w:t>
      </w:r>
      <w:proofErr w:type="spellEnd"/>
      <w:r w:rsidRPr="00C53E69">
        <w:t xml:space="preserve">, </w:t>
      </w:r>
      <w:proofErr w:type="spellStart"/>
      <w:r w:rsidRPr="00C53E69">
        <w:t>with</w:t>
      </w:r>
      <w:proofErr w:type="spellEnd"/>
      <w:r w:rsidRPr="00C53E69">
        <w:t xml:space="preserve"> </w:t>
      </w:r>
      <w:proofErr w:type="spellStart"/>
      <w:r w:rsidRPr="00C53E69">
        <w:t>the</w:t>
      </w:r>
      <w:proofErr w:type="spellEnd"/>
      <w:r w:rsidRPr="00C53E69">
        <w:t xml:space="preserve"> </w:t>
      </w:r>
      <w:proofErr w:type="spellStart"/>
      <w:r w:rsidRPr="00C53E69">
        <w:t>majority</w:t>
      </w:r>
      <w:proofErr w:type="spellEnd"/>
      <w:r w:rsidRPr="00C53E69">
        <w:t xml:space="preserve"> of </w:t>
      </w:r>
      <w:proofErr w:type="spellStart"/>
      <w:r w:rsidRPr="00C53E69">
        <w:t>them</w:t>
      </w:r>
      <w:proofErr w:type="spellEnd"/>
      <w:r w:rsidRPr="00C53E69">
        <w:t xml:space="preserve"> </w:t>
      </w:r>
      <w:proofErr w:type="spellStart"/>
      <w:r w:rsidRPr="00C53E69">
        <w:t>being</w:t>
      </w:r>
      <w:proofErr w:type="spellEnd"/>
      <w:r w:rsidRPr="00C53E69">
        <w:t xml:space="preserve"> </w:t>
      </w:r>
      <w:proofErr w:type="spellStart"/>
      <w:r w:rsidRPr="00C53E69">
        <w:t>developed</w:t>
      </w:r>
      <w:proofErr w:type="spellEnd"/>
      <w:r w:rsidRPr="00C53E69">
        <w:t xml:space="preserve"> </w:t>
      </w:r>
      <w:proofErr w:type="spellStart"/>
      <w:r w:rsidRPr="00C53E69">
        <w:t>based</w:t>
      </w:r>
      <w:proofErr w:type="spellEnd"/>
      <w:r w:rsidRPr="00C53E69">
        <w:t xml:space="preserve"> on general </w:t>
      </w:r>
      <w:proofErr w:type="spellStart"/>
      <w:r w:rsidRPr="00C53E69">
        <w:t>travel</w:t>
      </w:r>
      <w:proofErr w:type="spellEnd"/>
      <w:r w:rsidRPr="00C53E69">
        <w:t xml:space="preserve">, festival </w:t>
      </w:r>
      <w:proofErr w:type="spellStart"/>
      <w:r w:rsidRPr="00C53E69">
        <w:t>participation</w:t>
      </w:r>
      <w:proofErr w:type="spellEnd"/>
      <w:r w:rsidRPr="00C53E69">
        <w:t xml:space="preserve">, </w:t>
      </w:r>
      <w:proofErr w:type="spellStart"/>
      <w:r w:rsidRPr="00C53E69">
        <w:t>and</w:t>
      </w:r>
      <w:proofErr w:type="spellEnd"/>
      <w:r w:rsidRPr="00C53E69">
        <w:t xml:space="preserve"> </w:t>
      </w:r>
      <w:proofErr w:type="spellStart"/>
      <w:r w:rsidRPr="00C53E69">
        <w:t>gastronomy.A</w:t>
      </w:r>
      <w:proofErr w:type="spellEnd"/>
      <w:r w:rsidRPr="00C53E69">
        <w:t xml:space="preserve"> </w:t>
      </w:r>
      <w:proofErr w:type="spellStart"/>
      <w:r w:rsidRPr="00C53E69">
        <w:t>meticulous</w:t>
      </w:r>
      <w:proofErr w:type="spellEnd"/>
      <w:r w:rsidRPr="00C53E69">
        <w:t xml:space="preserve"> </w:t>
      </w:r>
      <w:proofErr w:type="spellStart"/>
      <w:r w:rsidRPr="00C53E69">
        <w:t>examination</w:t>
      </w:r>
      <w:proofErr w:type="spellEnd"/>
      <w:r w:rsidRPr="00C53E69">
        <w:t xml:space="preserve"> of </w:t>
      </w:r>
      <w:proofErr w:type="spellStart"/>
      <w:r w:rsidRPr="00C53E69">
        <w:t>these</w:t>
      </w:r>
      <w:proofErr w:type="spellEnd"/>
      <w:r w:rsidRPr="00C53E69">
        <w:t xml:space="preserve"> </w:t>
      </w:r>
      <w:proofErr w:type="spellStart"/>
      <w:r w:rsidRPr="00C53E69">
        <w:t>scales</w:t>
      </w:r>
      <w:proofErr w:type="spellEnd"/>
      <w:r w:rsidRPr="00C53E69">
        <w:t xml:space="preserve"> </w:t>
      </w:r>
      <w:proofErr w:type="spellStart"/>
      <w:r w:rsidRPr="00C53E69">
        <w:t>reveals</w:t>
      </w:r>
      <w:proofErr w:type="spellEnd"/>
      <w:r w:rsidRPr="00C53E69">
        <w:t xml:space="preserve"> </w:t>
      </w:r>
      <w:proofErr w:type="spellStart"/>
      <w:r w:rsidRPr="00C53E69">
        <w:t>that</w:t>
      </w:r>
      <w:proofErr w:type="spellEnd"/>
      <w:r w:rsidRPr="00C53E69">
        <w:t xml:space="preserve"> at </w:t>
      </w:r>
      <w:proofErr w:type="spellStart"/>
      <w:r w:rsidRPr="00C53E69">
        <w:t>least</w:t>
      </w:r>
      <w:proofErr w:type="spellEnd"/>
      <w:r w:rsidRPr="00C53E69">
        <w:t xml:space="preserve"> two </w:t>
      </w:r>
      <w:proofErr w:type="spellStart"/>
      <w:r w:rsidRPr="00C53E69">
        <w:t>factors</w:t>
      </w:r>
      <w:proofErr w:type="spellEnd"/>
      <w:r w:rsidRPr="00C53E69">
        <w:t xml:space="preserve"> </w:t>
      </w:r>
      <w:proofErr w:type="spellStart"/>
      <w:r w:rsidRPr="00C53E69">
        <w:t>were</w:t>
      </w:r>
      <w:proofErr w:type="spellEnd"/>
      <w:r w:rsidRPr="00C53E69">
        <w:t xml:space="preserve"> </w:t>
      </w:r>
      <w:proofErr w:type="spellStart"/>
      <w:r w:rsidRPr="00C53E69">
        <w:t>questioned</w:t>
      </w:r>
      <w:proofErr w:type="spellEnd"/>
      <w:r w:rsidRPr="00C53E69">
        <w:t xml:space="preserve"> </w:t>
      </w:r>
      <w:proofErr w:type="spellStart"/>
      <w:r w:rsidRPr="00C53E69">
        <w:t>with</w:t>
      </w:r>
      <w:proofErr w:type="spellEnd"/>
      <w:r w:rsidRPr="00C53E69">
        <w:t xml:space="preserve"> </w:t>
      </w:r>
      <w:proofErr w:type="spellStart"/>
      <w:r w:rsidRPr="00C53E69">
        <w:t>eight</w:t>
      </w:r>
      <w:proofErr w:type="spellEnd"/>
      <w:r w:rsidRPr="00C53E69">
        <w:t xml:space="preserve"> </w:t>
      </w:r>
      <w:proofErr w:type="spellStart"/>
      <w:r w:rsidRPr="00C53E69">
        <w:t>items</w:t>
      </w:r>
      <w:proofErr w:type="spellEnd"/>
      <w:r w:rsidRPr="00C53E69">
        <w:t xml:space="preserve">, </w:t>
      </w:r>
      <w:proofErr w:type="spellStart"/>
      <w:r w:rsidRPr="00C53E69">
        <w:t>and</w:t>
      </w:r>
      <w:proofErr w:type="spellEnd"/>
      <w:r w:rsidRPr="00C53E69">
        <w:t xml:space="preserve"> at </w:t>
      </w:r>
      <w:proofErr w:type="spellStart"/>
      <w:r w:rsidRPr="00C53E69">
        <w:t>most</w:t>
      </w:r>
      <w:proofErr w:type="spellEnd"/>
      <w:r w:rsidRPr="00C53E69">
        <w:t xml:space="preserve"> seven </w:t>
      </w:r>
      <w:proofErr w:type="spellStart"/>
      <w:r w:rsidRPr="00C53E69">
        <w:t>factors</w:t>
      </w:r>
      <w:proofErr w:type="spellEnd"/>
      <w:r w:rsidRPr="00C53E69">
        <w:t xml:space="preserve"> </w:t>
      </w:r>
      <w:proofErr w:type="spellStart"/>
      <w:r w:rsidRPr="00C53E69">
        <w:t>were</w:t>
      </w:r>
      <w:proofErr w:type="spellEnd"/>
      <w:r w:rsidRPr="00C53E69">
        <w:t xml:space="preserve"> </w:t>
      </w:r>
      <w:proofErr w:type="spellStart"/>
      <w:r w:rsidRPr="00C53E69">
        <w:t>questioned</w:t>
      </w:r>
      <w:proofErr w:type="spellEnd"/>
      <w:r w:rsidRPr="00C53E69">
        <w:t xml:space="preserve"> </w:t>
      </w:r>
      <w:proofErr w:type="spellStart"/>
      <w:r w:rsidRPr="00C53E69">
        <w:t>with</w:t>
      </w:r>
      <w:proofErr w:type="spellEnd"/>
      <w:r w:rsidRPr="00C53E69">
        <w:t xml:space="preserve"> 32 </w:t>
      </w:r>
      <w:proofErr w:type="spellStart"/>
      <w:r w:rsidRPr="00C53E69">
        <w:t>items</w:t>
      </w:r>
      <w:proofErr w:type="spellEnd"/>
      <w:r w:rsidRPr="00C53E69">
        <w:t xml:space="preserve">. </w:t>
      </w:r>
      <w:proofErr w:type="spellStart"/>
      <w:r w:rsidRPr="00C53E69">
        <w:t>The</w:t>
      </w:r>
      <w:proofErr w:type="spellEnd"/>
      <w:r w:rsidRPr="00C53E69">
        <w:t xml:space="preserve"> </w:t>
      </w:r>
      <w:proofErr w:type="spellStart"/>
      <w:r w:rsidRPr="00C53E69">
        <w:t>sample</w:t>
      </w:r>
      <w:proofErr w:type="spellEnd"/>
      <w:r w:rsidRPr="00C53E69">
        <w:t xml:space="preserve"> size </w:t>
      </w:r>
      <w:proofErr w:type="spellStart"/>
      <w:r w:rsidRPr="00C53E69">
        <w:t>ranged</w:t>
      </w:r>
      <w:proofErr w:type="spellEnd"/>
      <w:r w:rsidRPr="00C53E69">
        <w:t xml:space="preserve"> </w:t>
      </w:r>
      <w:proofErr w:type="spellStart"/>
      <w:r w:rsidRPr="00C53E69">
        <w:t>from</w:t>
      </w:r>
      <w:proofErr w:type="spellEnd"/>
      <w:r w:rsidRPr="00C53E69">
        <w:t xml:space="preserve"> 174 </w:t>
      </w:r>
      <w:proofErr w:type="spellStart"/>
      <w:r w:rsidRPr="00C53E69">
        <w:t>to</w:t>
      </w:r>
      <w:proofErr w:type="spellEnd"/>
      <w:r w:rsidRPr="00C53E69">
        <w:t xml:space="preserve"> 2,027 </w:t>
      </w:r>
      <w:proofErr w:type="spellStart"/>
      <w:r w:rsidRPr="00C53E69">
        <w:t>tourists</w:t>
      </w:r>
      <w:proofErr w:type="spellEnd"/>
      <w:r w:rsidRPr="00C53E69">
        <w:t xml:space="preserve"> </w:t>
      </w:r>
      <w:proofErr w:type="spellStart"/>
      <w:r w:rsidRPr="00C53E69">
        <w:t>or</w:t>
      </w:r>
      <w:proofErr w:type="spellEnd"/>
      <w:r w:rsidRPr="00C53E69">
        <w:t xml:space="preserve"> </w:t>
      </w:r>
      <w:proofErr w:type="spellStart"/>
      <w:r w:rsidRPr="00C53E69">
        <w:t>individuals</w:t>
      </w:r>
      <w:proofErr w:type="spellEnd"/>
      <w:r w:rsidRPr="00C53E69">
        <w:t xml:space="preserve"> </w:t>
      </w:r>
      <w:proofErr w:type="spellStart"/>
      <w:r w:rsidRPr="00C53E69">
        <w:t>participating</w:t>
      </w:r>
      <w:proofErr w:type="spellEnd"/>
      <w:r w:rsidRPr="00C53E69">
        <w:t xml:space="preserve"> in </w:t>
      </w:r>
      <w:proofErr w:type="spellStart"/>
      <w:r w:rsidRPr="00C53E69">
        <w:t>the</w:t>
      </w:r>
      <w:proofErr w:type="spellEnd"/>
      <w:r w:rsidRPr="00C53E69">
        <w:t xml:space="preserve"> </w:t>
      </w:r>
      <w:proofErr w:type="spellStart"/>
      <w:r w:rsidRPr="00C53E69">
        <w:t>relevant</w:t>
      </w:r>
      <w:proofErr w:type="spellEnd"/>
      <w:r w:rsidRPr="00C53E69">
        <w:t xml:space="preserve"> </w:t>
      </w:r>
      <w:proofErr w:type="spellStart"/>
      <w:r w:rsidRPr="00C53E69">
        <w:t>activity</w:t>
      </w:r>
      <w:proofErr w:type="spellEnd"/>
      <w:r w:rsidRPr="00C53E69">
        <w:t xml:space="preserve">, </w:t>
      </w:r>
      <w:proofErr w:type="spellStart"/>
      <w:r w:rsidRPr="00C53E69">
        <w:t>and</w:t>
      </w:r>
      <w:proofErr w:type="spellEnd"/>
      <w:r w:rsidRPr="00C53E69">
        <w:t xml:space="preserve"> </w:t>
      </w:r>
      <w:proofErr w:type="spellStart"/>
      <w:r w:rsidRPr="00C53E69">
        <w:t>the</w:t>
      </w:r>
      <w:proofErr w:type="spellEnd"/>
      <w:r w:rsidRPr="00C53E69">
        <w:t xml:space="preserve"> </w:t>
      </w:r>
      <w:proofErr w:type="spellStart"/>
      <w:r w:rsidRPr="00C53E69">
        <w:t>scales</w:t>
      </w:r>
      <w:proofErr w:type="spellEnd"/>
      <w:r w:rsidRPr="00C53E69">
        <w:t xml:space="preserve"> </w:t>
      </w:r>
      <w:proofErr w:type="spellStart"/>
      <w:r w:rsidRPr="00C53E69">
        <w:t>were</w:t>
      </w:r>
      <w:proofErr w:type="spellEnd"/>
      <w:r w:rsidRPr="00C53E69">
        <w:t xml:space="preserve"> </w:t>
      </w:r>
      <w:proofErr w:type="spellStart"/>
      <w:r w:rsidRPr="00C53E69">
        <w:t>administered</w:t>
      </w:r>
      <w:proofErr w:type="spellEnd"/>
      <w:r w:rsidRPr="00C53E69">
        <w:t xml:space="preserve"> </w:t>
      </w:r>
      <w:proofErr w:type="spellStart"/>
      <w:r w:rsidRPr="00C53E69">
        <w:t>using</w:t>
      </w:r>
      <w:proofErr w:type="spellEnd"/>
      <w:r w:rsidRPr="00C53E69">
        <w:t xml:space="preserve"> </w:t>
      </w:r>
      <w:proofErr w:type="spellStart"/>
      <w:r w:rsidRPr="00C53E69">
        <w:t>maximum</w:t>
      </w:r>
      <w:proofErr w:type="spellEnd"/>
      <w:r w:rsidRPr="00C53E69">
        <w:t xml:space="preserve"> 5-point </w:t>
      </w:r>
      <w:proofErr w:type="spellStart"/>
      <w:r w:rsidRPr="00C53E69">
        <w:t>Likert-type</w:t>
      </w:r>
      <w:proofErr w:type="spellEnd"/>
      <w:r w:rsidRPr="00C53E69">
        <w:t xml:space="preserve"> </w:t>
      </w:r>
      <w:proofErr w:type="spellStart"/>
      <w:r w:rsidRPr="00C53E69">
        <w:t>questionnaires</w:t>
      </w:r>
      <w:proofErr w:type="spellEnd"/>
      <w:r w:rsidRPr="00C53E69">
        <w:t xml:space="preserve">. </w:t>
      </w:r>
      <w:proofErr w:type="spellStart"/>
      <w:r w:rsidRPr="00C53E69">
        <w:t>Cronbach's</w:t>
      </w:r>
      <w:proofErr w:type="spellEnd"/>
      <w:r w:rsidRPr="00C53E69">
        <w:t xml:space="preserve"> Alpha </w:t>
      </w:r>
      <w:proofErr w:type="spellStart"/>
      <w:r w:rsidRPr="00C53E69">
        <w:t>coefficient</w:t>
      </w:r>
      <w:proofErr w:type="spellEnd"/>
      <w:r w:rsidRPr="00C53E69">
        <w:t xml:space="preserve"> </w:t>
      </w:r>
      <w:proofErr w:type="spellStart"/>
      <w:r w:rsidRPr="00C53E69">
        <w:t>was</w:t>
      </w:r>
      <w:proofErr w:type="spellEnd"/>
      <w:r w:rsidRPr="00C53E69">
        <w:t xml:space="preserve"> </w:t>
      </w:r>
      <w:proofErr w:type="spellStart"/>
      <w:r w:rsidRPr="00C53E69">
        <w:t>predominantly</w:t>
      </w:r>
      <w:proofErr w:type="spellEnd"/>
      <w:r w:rsidRPr="00C53E69">
        <w:t xml:space="preserve"> </w:t>
      </w:r>
      <w:proofErr w:type="spellStart"/>
      <w:r w:rsidRPr="00C53E69">
        <w:t>selected</w:t>
      </w:r>
      <w:proofErr w:type="spellEnd"/>
      <w:r w:rsidRPr="00C53E69">
        <w:t xml:space="preserve"> </w:t>
      </w:r>
      <w:proofErr w:type="spellStart"/>
      <w:r w:rsidRPr="00C53E69">
        <w:t>for</w:t>
      </w:r>
      <w:proofErr w:type="spellEnd"/>
      <w:r w:rsidRPr="00C53E69">
        <w:t xml:space="preserve"> </w:t>
      </w:r>
      <w:proofErr w:type="spellStart"/>
      <w:r w:rsidRPr="00C53E69">
        <w:t>its</w:t>
      </w:r>
      <w:proofErr w:type="spellEnd"/>
      <w:r w:rsidRPr="00C53E69">
        <w:t xml:space="preserve"> </w:t>
      </w:r>
      <w:proofErr w:type="spellStart"/>
      <w:r w:rsidRPr="00C53E69">
        <w:t>reliability</w:t>
      </w:r>
      <w:proofErr w:type="spellEnd"/>
      <w:r w:rsidRPr="00C53E69">
        <w:t xml:space="preserve">, </w:t>
      </w:r>
      <w:proofErr w:type="spellStart"/>
      <w:r w:rsidRPr="00C53E69">
        <w:t>with</w:t>
      </w:r>
      <w:proofErr w:type="spellEnd"/>
      <w:r w:rsidRPr="00C53E69">
        <w:t xml:space="preserve"> </w:t>
      </w:r>
      <w:proofErr w:type="spellStart"/>
      <w:r w:rsidRPr="00C53E69">
        <w:t>reliability</w:t>
      </w:r>
      <w:proofErr w:type="spellEnd"/>
      <w:r w:rsidRPr="00C53E69">
        <w:t xml:space="preserve"> </w:t>
      </w:r>
      <w:proofErr w:type="spellStart"/>
      <w:r w:rsidRPr="00C53E69">
        <w:t>measurements</w:t>
      </w:r>
      <w:proofErr w:type="spellEnd"/>
      <w:r w:rsidRPr="00C53E69">
        <w:t xml:space="preserve"> </w:t>
      </w:r>
      <w:proofErr w:type="spellStart"/>
      <w:r w:rsidRPr="00C53E69">
        <w:t>ranging</w:t>
      </w:r>
      <w:proofErr w:type="spellEnd"/>
      <w:r w:rsidRPr="00C53E69">
        <w:t xml:space="preserve"> </w:t>
      </w:r>
      <w:proofErr w:type="spellStart"/>
      <w:r w:rsidRPr="00C53E69">
        <w:t>from</w:t>
      </w:r>
      <w:proofErr w:type="spellEnd"/>
      <w:r w:rsidRPr="00C53E69">
        <w:t xml:space="preserve"> 0.52 </w:t>
      </w:r>
      <w:proofErr w:type="spellStart"/>
      <w:r w:rsidRPr="00C53E69">
        <w:t>to</w:t>
      </w:r>
      <w:proofErr w:type="spellEnd"/>
      <w:r w:rsidRPr="00C53E69">
        <w:t xml:space="preserve"> 0.96. </w:t>
      </w:r>
      <w:proofErr w:type="spellStart"/>
      <w:r w:rsidRPr="00C53E69">
        <w:t>The</w:t>
      </w:r>
      <w:proofErr w:type="spellEnd"/>
      <w:r w:rsidRPr="00C53E69">
        <w:t xml:space="preserve"> </w:t>
      </w:r>
      <w:proofErr w:type="spellStart"/>
      <w:r w:rsidRPr="00C53E69">
        <w:t>scales</w:t>
      </w:r>
      <w:proofErr w:type="spellEnd"/>
      <w:r w:rsidRPr="00C53E69">
        <w:t xml:space="preserve"> </w:t>
      </w:r>
      <w:proofErr w:type="spellStart"/>
      <w:r w:rsidRPr="00C53E69">
        <w:t>that</w:t>
      </w:r>
      <w:proofErr w:type="spellEnd"/>
      <w:r w:rsidRPr="00C53E69">
        <w:t xml:space="preserve"> </w:t>
      </w:r>
      <w:proofErr w:type="spellStart"/>
      <w:r w:rsidRPr="00C53E69">
        <w:t>were</w:t>
      </w:r>
      <w:proofErr w:type="spellEnd"/>
      <w:r w:rsidRPr="00C53E69">
        <w:t xml:space="preserve"> </w:t>
      </w:r>
      <w:proofErr w:type="spellStart"/>
      <w:r w:rsidRPr="00C53E69">
        <w:t>examined</w:t>
      </w:r>
      <w:proofErr w:type="spellEnd"/>
      <w:r w:rsidRPr="00C53E69">
        <w:t xml:space="preserve"> </w:t>
      </w:r>
      <w:proofErr w:type="spellStart"/>
      <w:r w:rsidRPr="00C53E69">
        <w:t>were</w:t>
      </w:r>
      <w:proofErr w:type="spellEnd"/>
      <w:r w:rsidRPr="00C53E69">
        <w:t xml:space="preserve"> not </w:t>
      </w:r>
      <w:proofErr w:type="spellStart"/>
      <w:r w:rsidRPr="00C53E69">
        <w:t>generally</w:t>
      </w:r>
      <w:proofErr w:type="spellEnd"/>
      <w:r w:rsidRPr="00C53E69">
        <w:t xml:space="preserve"> pilot </w:t>
      </w:r>
      <w:proofErr w:type="spellStart"/>
      <w:r w:rsidRPr="00C53E69">
        <w:t>tested</w:t>
      </w:r>
      <w:proofErr w:type="spellEnd"/>
      <w:r w:rsidRPr="00C53E69">
        <w:t xml:space="preserve">, </w:t>
      </w:r>
      <w:proofErr w:type="spellStart"/>
      <w:r w:rsidRPr="00C53E69">
        <w:t>and</w:t>
      </w:r>
      <w:proofErr w:type="spellEnd"/>
      <w:r w:rsidRPr="00C53E69">
        <w:t xml:space="preserve"> </w:t>
      </w:r>
      <w:proofErr w:type="spellStart"/>
      <w:r w:rsidRPr="00C53E69">
        <w:t>no</w:t>
      </w:r>
      <w:proofErr w:type="spellEnd"/>
      <w:r w:rsidRPr="00C53E69">
        <w:t xml:space="preserve"> </w:t>
      </w:r>
      <w:proofErr w:type="spellStart"/>
      <w:r w:rsidRPr="00C53E69">
        <w:t>validity</w:t>
      </w:r>
      <w:proofErr w:type="spellEnd"/>
      <w:r w:rsidRPr="00C53E69">
        <w:t xml:space="preserve"> </w:t>
      </w:r>
      <w:proofErr w:type="gramStart"/>
      <w:r w:rsidRPr="00C53E69">
        <w:t>data</w:t>
      </w:r>
      <w:proofErr w:type="gramEnd"/>
      <w:r w:rsidRPr="00C53E69">
        <w:t xml:space="preserve"> </w:t>
      </w:r>
      <w:proofErr w:type="spellStart"/>
      <w:r w:rsidRPr="00C53E69">
        <w:t>were</w:t>
      </w:r>
      <w:proofErr w:type="spellEnd"/>
      <w:r w:rsidRPr="00C53E69">
        <w:t xml:space="preserve"> </w:t>
      </w:r>
      <w:proofErr w:type="spellStart"/>
      <w:r w:rsidRPr="00C53E69">
        <w:t>identified</w:t>
      </w:r>
      <w:proofErr w:type="spellEnd"/>
      <w:r w:rsidRPr="00C53E69">
        <w:t xml:space="preserve">. Content </w:t>
      </w:r>
      <w:proofErr w:type="spellStart"/>
      <w:r w:rsidRPr="00C53E69">
        <w:t>and</w:t>
      </w:r>
      <w:proofErr w:type="spellEnd"/>
      <w:r w:rsidRPr="00C53E69">
        <w:t xml:space="preserve"> </w:t>
      </w:r>
      <w:proofErr w:type="spellStart"/>
      <w:r w:rsidRPr="00C53E69">
        <w:t>construct</w:t>
      </w:r>
      <w:proofErr w:type="spellEnd"/>
      <w:r w:rsidRPr="00C53E69">
        <w:t xml:space="preserve"> (</w:t>
      </w:r>
      <w:proofErr w:type="spellStart"/>
      <w:r w:rsidRPr="00C53E69">
        <w:t>convergent</w:t>
      </w:r>
      <w:proofErr w:type="spellEnd"/>
      <w:r w:rsidRPr="00C53E69">
        <w:t xml:space="preserve"> </w:t>
      </w:r>
      <w:proofErr w:type="spellStart"/>
      <w:r w:rsidRPr="00C53E69">
        <w:t>and</w:t>
      </w:r>
      <w:proofErr w:type="spellEnd"/>
      <w:r w:rsidRPr="00C53E69">
        <w:t xml:space="preserve"> </w:t>
      </w:r>
      <w:proofErr w:type="spellStart"/>
      <w:r w:rsidRPr="00C53E69">
        <w:t>discriminant</w:t>
      </w:r>
      <w:proofErr w:type="spellEnd"/>
      <w:r w:rsidRPr="00C53E69">
        <w:t xml:space="preserve">) </w:t>
      </w:r>
      <w:proofErr w:type="spellStart"/>
      <w:r w:rsidRPr="00C53E69">
        <w:t>validity</w:t>
      </w:r>
      <w:proofErr w:type="spellEnd"/>
      <w:r w:rsidRPr="00C53E69">
        <w:t xml:space="preserve"> </w:t>
      </w:r>
      <w:proofErr w:type="spellStart"/>
      <w:r w:rsidRPr="00C53E69">
        <w:t>were</w:t>
      </w:r>
      <w:proofErr w:type="spellEnd"/>
      <w:r w:rsidRPr="00C53E69">
        <w:t xml:space="preserve"> </w:t>
      </w:r>
      <w:proofErr w:type="spellStart"/>
      <w:r w:rsidRPr="00C53E69">
        <w:t>reported</w:t>
      </w:r>
      <w:proofErr w:type="spellEnd"/>
      <w:r w:rsidRPr="00C53E69">
        <w:t xml:space="preserve">. Escape, </w:t>
      </w:r>
      <w:proofErr w:type="spellStart"/>
      <w:r w:rsidRPr="00C53E69">
        <w:t>socialization</w:t>
      </w:r>
      <w:proofErr w:type="spellEnd"/>
      <w:r w:rsidRPr="00C53E69">
        <w:t xml:space="preserve">, </w:t>
      </w:r>
      <w:proofErr w:type="spellStart"/>
      <w:r w:rsidRPr="00C53E69">
        <w:t>and</w:t>
      </w:r>
      <w:proofErr w:type="spellEnd"/>
      <w:r w:rsidRPr="00C53E69">
        <w:t xml:space="preserve"> </w:t>
      </w:r>
      <w:proofErr w:type="spellStart"/>
      <w:r w:rsidRPr="00C53E69">
        <w:t>excitement</w:t>
      </w:r>
      <w:proofErr w:type="spellEnd"/>
      <w:r w:rsidRPr="00C53E69">
        <w:t xml:space="preserve"> </w:t>
      </w:r>
      <w:proofErr w:type="spellStart"/>
      <w:r w:rsidRPr="00C53E69">
        <w:t>were</w:t>
      </w:r>
      <w:proofErr w:type="spellEnd"/>
      <w:r w:rsidRPr="00C53E69">
        <w:t xml:space="preserve"> </w:t>
      </w:r>
      <w:proofErr w:type="spellStart"/>
      <w:r w:rsidRPr="00C53E69">
        <w:t>identified</w:t>
      </w:r>
      <w:proofErr w:type="spellEnd"/>
      <w:r w:rsidRPr="00C53E69">
        <w:t xml:space="preserve"> as </w:t>
      </w:r>
      <w:proofErr w:type="spellStart"/>
      <w:r w:rsidRPr="00C53E69">
        <w:t>the</w:t>
      </w:r>
      <w:proofErr w:type="spellEnd"/>
      <w:r w:rsidRPr="00C53E69">
        <w:t xml:space="preserve"> </w:t>
      </w:r>
      <w:proofErr w:type="spellStart"/>
      <w:r w:rsidRPr="00C53E69">
        <w:t>most</w:t>
      </w:r>
      <w:proofErr w:type="spellEnd"/>
      <w:r w:rsidRPr="00C53E69">
        <w:t xml:space="preserve"> </w:t>
      </w:r>
      <w:proofErr w:type="spellStart"/>
      <w:r w:rsidRPr="00C53E69">
        <w:t>prevalent</w:t>
      </w:r>
      <w:proofErr w:type="spellEnd"/>
      <w:r w:rsidRPr="00C53E69">
        <w:t xml:space="preserve"> </w:t>
      </w:r>
      <w:proofErr w:type="spellStart"/>
      <w:r w:rsidRPr="00C53E69">
        <w:t>factor</w:t>
      </w:r>
      <w:proofErr w:type="spellEnd"/>
      <w:r w:rsidRPr="00C53E69">
        <w:t xml:space="preserve"> </w:t>
      </w:r>
      <w:proofErr w:type="spellStart"/>
      <w:r w:rsidRPr="00C53E69">
        <w:t>groups</w:t>
      </w:r>
      <w:proofErr w:type="spellEnd"/>
      <w:r w:rsidRPr="00C53E69">
        <w:t xml:space="preserve"> in </w:t>
      </w:r>
      <w:proofErr w:type="spellStart"/>
      <w:r w:rsidRPr="00C53E69">
        <w:t>the</w:t>
      </w:r>
      <w:proofErr w:type="spellEnd"/>
      <w:r w:rsidRPr="00C53E69">
        <w:t xml:space="preserve"> </w:t>
      </w:r>
      <w:proofErr w:type="spellStart"/>
      <w:r w:rsidRPr="00C53E69">
        <w:t>scales</w:t>
      </w:r>
      <w:proofErr w:type="spellEnd"/>
      <w:r w:rsidRPr="00C53E69">
        <w:t xml:space="preserve">. An </w:t>
      </w:r>
      <w:proofErr w:type="spellStart"/>
      <w:r w:rsidRPr="00C53E69">
        <w:t>examination</w:t>
      </w:r>
      <w:proofErr w:type="spellEnd"/>
      <w:r w:rsidRPr="00C53E69">
        <w:t xml:space="preserve"> of </w:t>
      </w:r>
      <w:proofErr w:type="spellStart"/>
      <w:r w:rsidRPr="00C53E69">
        <w:t>the</w:t>
      </w:r>
      <w:proofErr w:type="spellEnd"/>
      <w:r w:rsidRPr="00C53E69">
        <w:t xml:space="preserve"> </w:t>
      </w:r>
      <w:proofErr w:type="spellStart"/>
      <w:r w:rsidRPr="00C53E69">
        <w:t>items</w:t>
      </w:r>
      <w:proofErr w:type="spellEnd"/>
      <w:r w:rsidRPr="00C53E69">
        <w:t xml:space="preserve"> </w:t>
      </w:r>
      <w:proofErr w:type="spellStart"/>
      <w:r w:rsidRPr="00C53E69">
        <w:t>within</w:t>
      </w:r>
      <w:proofErr w:type="spellEnd"/>
      <w:r w:rsidRPr="00C53E69">
        <w:t xml:space="preserve"> </w:t>
      </w:r>
      <w:proofErr w:type="spellStart"/>
      <w:r w:rsidRPr="00C53E69">
        <w:t>the</w:t>
      </w:r>
      <w:proofErr w:type="spellEnd"/>
      <w:r w:rsidRPr="00C53E69">
        <w:t xml:space="preserve"> </w:t>
      </w:r>
      <w:proofErr w:type="spellStart"/>
      <w:r w:rsidRPr="00C53E69">
        <w:t>escape</w:t>
      </w:r>
      <w:proofErr w:type="spellEnd"/>
      <w:r w:rsidRPr="00C53E69">
        <w:t xml:space="preserve"> </w:t>
      </w:r>
      <w:proofErr w:type="spellStart"/>
      <w:r w:rsidRPr="00C53E69">
        <w:t>factor</w:t>
      </w:r>
      <w:proofErr w:type="spellEnd"/>
      <w:r w:rsidRPr="00C53E69">
        <w:t xml:space="preserve"> </w:t>
      </w:r>
      <w:proofErr w:type="spellStart"/>
      <w:r w:rsidRPr="00C53E69">
        <w:t>revealed</w:t>
      </w:r>
      <w:proofErr w:type="spellEnd"/>
      <w:r w:rsidRPr="00C53E69">
        <w:t xml:space="preserve"> </w:t>
      </w:r>
      <w:proofErr w:type="spellStart"/>
      <w:r w:rsidRPr="00C53E69">
        <w:t>expressions</w:t>
      </w:r>
      <w:proofErr w:type="spellEnd"/>
      <w:r w:rsidRPr="00C53E69">
        <w:t xml:space="preserve"> of </w:t>
      </w:r>
      <w:proofErr w:type="spellStart"/>
      <w:r w:rsidRPr="00C53E69">
        <w:t>distancing</w:t>
      </w:r>
      <w:proofErr w:type="spellEnd"/>
      <w:r w:rsidRPr="00C53E69">
        <w:t xml:space="preserve"> </w:t>
      </w:r>
      <w:proofErr w:type="spellStart"/>
      <w:r w:rsidRPr="00C53E69">
        <w:t>from</w:t>
      </w:r>
      <w:proofErr w:type="spellEnd"/>
      <w:r w:rsidRPr="00C53E69">
        <w:t xml:space="preserve"> </w:t>
      </w:r>
      <w:proofErr w:type="spellStart"/>
      <w:r w:rsidRPr="00C53E69">
        <w:t>daily</w:t>
      </w:r>
      <w:proofErr w:type="spellEnd"/>
      <w:r w:rsidRPr="00C53E69">
        <w:t xml:space="preserve"> life, </w:t>
      </w:r>
      <w:proofErr w:type="spellStart"/>
      <w:r w:rsidRPr="00C53E69">
        <w:t>routine</w:t>
      </w:r>
      <w:proofErr w:type="spellEnd"/>
      <w:r w:rsidRPr="00C53E69">
        <w:t xml:space="preserve">, </w:t>
      </w:r>
      <w:proofErr w:type="spellStart"/>
      <w:r w:rsidRPr="00C53E69">
        <w:t>and</w:t>
      </w:r>
      <w:proofErr w:type="spellEnd"/>
      <w:r w:rsidRPr="00C53E69">
        <w:t xml:space="preserve"> </w:t>
      </w:r>
      <w:proofErr w:type="spellStart"/>
      <w:r w:rsidRPr="00C53E69">
        <w:t>the</w:t>
      </w:r>
      <w:proofErr w:type="spellEnd"/>
      <w:r w:rsidRPr="00C53E69">
        <w:t xml:space="preserve"> </w:t>
      </w:r>
      <w:proofErr w:type="spellStart"/>
      <w:r w:rsidRPr="00C53E69">
        <w:t>social</w:t>
      </w:r>
      <w:proofErr w:type="spellEnd"/>
      <w:r w:rsidRPr="00C53E69">
        <w:t xml:space="preserve"> </w:t>
      </w:r>
      <w:proofErr w:type="spellStart"/>
      <w:r w:rsidRPr="00C53E69">
        <w:t>environment</w:t>
      </w:r>
      <w:proofErr w:type="spellEnd"/>
      <w:r w:rsidRPr="00C53E69">
        <w:t xml:space="preserve">. </w:t>
      </w:r>
      <w:proofErr w:type="spellStart"/>
      <w:r w:rsidRPr="00C53E69">
        <w:t>Additionally</w:t>
      </w:r>
      <w:proofErr w:type="spellEnd"/>
      <w:r w:rsidRPr="00C53E69">
        <w:t xml:space="preserve">, </w:t>
      </w:r>
      <w:proofErr w:type="spellStart"/>
      <w:r w:rsidRPr="00C53E69">
        <w:t>the</w:t>
      </w:r>
      <w:proofErr w:type="spellEnd"/>
      <w:r w:rsidRPr="00C53E69">
        <w:t xml:space="preserve"> </w:t>
      </w:r>
      <w:proofErr w:type="spellStart"/>
      <w:r w:rsidRPr="00C53E69">
        <w:t>escape</w:t>
      </w:r>
      <w:proofErr w:type="spellEnd"/>
      <w:r w:rsidRPr="00C53E69">
        <w:t xml:space="preserve"> </w:t>
      </w:r>
      <w:proofErr w:type="spellStart"/>
      <w:r w:rsidRPr="00C53E69">
        <w:t>factor</w:t>
      </w:r>
      <w:proofErr w:type="spellEnd"/>
      <w:r w:rsidRPr="00C53E69">
        <w:t xml:space="preserve"> </w:t>
      </w:r>
      <w:proofErr w:type="spellStart"/>
      <w:r w:rsidRPr="00C53E69">
        <w:t>was</w:t>
      </w:r>
      <w:proofErr w:type="spellEnd"/>
      <w:r w:rsidRPr="00C53E69">
        <w:t xml:space="preserve"> </w:t>
      </w:r>
      <w:proofErr w:type="spellStart"/>
      <w:r w:rsidRPr="00C53E69">
        <w:t>found</w:t>
      </w:r>
      <w:proofErr w:type="spellEnd"/>
      <w:r w:rsidRPr="00C53E69">
        <w:t xml:space="preserve"> </w:t>
      </w:r>
      <w:proofErr w:type="spellStart"/>
      <w:r w:rsidRPr="00C53E69">
        <w:t>to</w:t>
      </w:r>
      <w:proofErr w:type="spellEnd"/>
      <w:r w:rsidRPr="00C53E69">
        <w:t xml:space="preserve"> be </w:t>
      </w:r>
      <w:proofErr w:type="spellStart"/>
      <w:r w:rsidRPr="00C53E69">
        <w:t>associated</w:t>
      </w:r>
      <w:proofErr w:type="spellEnd"/>
      <w:r w:rsidRPr="00C53E69">
        <w:t xml:space="preserve"> </w:t>
      </w:r>
      <w:proofErr w:type="spellStart"/>
      <w:r w:rsidRPr="00C53E69">
        <w:t>with</w:t>
      </w:r>
      <w:proofErr w:type="spellEnd"/>
      <w:r w:rsidRPr="00C53E69">
        <w:t xml:space="preserve"> </w:t>
      </w:r>
      <w:proofErr w:type="spellStart"/>
      <w:r w:rsidRPr="00C53E69">
        <w:t>individual</w:t>
      </w:r>
      <w:proofErr w:type="spellEnd"/>
      <w:r w:rsidRPr="00C53E69">
        <w:t xml:space="preserve"> </w:t>
      </w:r>
      <w:proofErr w:type="spellStart"/>
      <w:r w:rsidRPr="00C53E69">
        <w:t>psychological</w:t>
      </w:r>
      <w:proofErr w:type="spellEnd"/>
      <w:r w:rsidRPr="00C53E69">
        <w:t xml:space="preserve"> </w:t>
      </w:r>
      <w:proofErr w:type="spellStart"/>
      <w:r w:rsidRPr="00C53E69">
        <w:t>processes</w:t>
      </w:r>
      <w:proofErr w:type="spellEnd"/>
      <w:r w:rsidRPr="00C53E69">
        <w:t xml:space="preserve">. </w:t>
      </w:r>
      <w:proofErr w:type="spellStart"/>
      <w:r w:rsidRPr="00C53E69">
        <w:t>Considering</w:t>
      </w:r>
      <w:proofErr w:type="spellEnd"/>
      <w:r w:rsidRPr="00C53E69">
        <w:t xml:space="preserve"> </w:t>
      </w:r>
      <w:proofErr w:type="spellStart"/>
      <w:r w:rsidRPr="00C53E69">
        <w:t>the</w:t>
      </w:r>
      <w:proofErr w:type="spellEnd"/>
      <w:r w:rsidRPr="00C53E69">
        <w:t xml:space="preserve"> </w:t>
      </w:r>
      <w:proofErr w:type="spellStart"/>
      <w:r w:rsidRPr="00C53E69">
        <w:t>recurrence</w:t>
      </w:r>
      <w:proofErr w:type="spellEnd"/>
      <w:r w:rsidRPr="00C53E69">
        <w:t xml:space="preserve"> of </w:t>
      </w:r>
      <w:proofErr w:type="spellStart"/>
      <w:r w:rsidRPr="00C53E69">
        <w:t>factors</w:t>
      </w:r>
      <w:proofErr w:type="spellEnd"/>
      <w:r w:rsidRPr="00C53E69">
        <w:t xml:space="preserve"> </w:t>
      </w:r>
      <w:proofErr w:type="spellStart"/>
      <w:r w:rsidRPr="00C53E69">
        <w:t>and</w:t>
      </w:r>
      <w:proofErr w:type="spellEnd"/>
      <w:r w:rsidRPr="00C53E69">
        <w:t xml:space="preserve"> </w:t>
      </w:r>
      <w:proofErr w:type="spellStart"/>
      <w:r w:rsidRPr="00C53E69">
        <w:t>items</w:t>
      </w:r>
      <w:proofErr w:type="spellEnd"/>
      <w:r w:rsidRPr="00C53E69">
        <w:t xml:space="preserve">, it can be </w:t>
      </w:r>
      <w:proofErr w:type="spellStart"/>
      <w:r w:rsidRPr="00C53E69">
        <w:t>concluded</w:t>
      </w:r>
      <w:proofErr w:type="spellEnd"/>
      <w:r w:rsidRPr="00C53E69">
        <w:t xml:space="preserve"> </w:t>
      </w:r>
      <w:proofErr w:type="spellStart"/>
      <w:r w:rsidRPr="00C53E69">
        <w:t>that</w:t>
      </w:r>
      <w:proofErr w:type="spellEnd"/>
      <w:r w:rsidRPr="00C53E69">
        <w:t xml:space="preserve"> </w:t>
      </w:r>
      <w:proofErr w:type="spellStart"/>
      <w:r w:rsidRPr="00C53E69">
        <w:t>satisfaction</w:t>
      </w:r>
      <w:proofErr w:type="spellEnd"/>
      <w:r w:rsidRPr="00C53E69">
        <w:t xml:space="preserve"> </w:t>
      </w:r>
      <w:proofErr w:type="spellStart"/>
      <w:r w:rsidRPr="00C53E69">
        <w:t>with</w:t>
      </w:r>
      <w:proofErr w:type="spellEnd"/>
      <w:r w:rsidRPr="00C53E69">
        <w:t xml:space="preserve"> </w:t>
      </w:r>
      <w:proofErr w:type="spellStart"/>
      <w:r w:rsidRPr="00C53E69">
        <w:t>tourism</w:t>
      </w:r>
      <w:proofErr w:type="spellEnd"/>
      <w:r w:rsidRPr="00C53E69">
        <w:t xml:space="preserve"> </w:t>
      </w:r>
      <w:proofErr w:type="spellStart"/>
      <w:r w:rsidRPr="00C53E69">
        <w:t>motivation</w:t>
      </w:r>
      <w:proofErr w:type="spellEnd"/>
      <w:r w:rsidRPr="00C53E69">
        <w:t xml:space="preserve"> has </w:t>
      </w:r>
      <w:proofErr w:type="spellStart"/>
      <w:r w:rsidRPr="00C53E69">
        <w:t>been</w:t>
      </w:r>
      <w:proofErr w:type="spellEnd"/>
      <w:r w:rsidRPr="00C53E69">
        <w:t xml:space="preserve"> </w:t>
      </w:r>
      <w:proofErr w:type="spellStart"/>
      <w:r w:rsidRPr="00C53E69">
        <w:t>achieved</w:t>
      </w:r>
      <w:proofErr w:type="spellEnd"/>
      <w:r w:rsidRPr="00C53E69">
        <w:t xml:space="preserve">. </w:t>
      </w:r>
      <w:proofErr w:type="spellStart"/>
      <w:r w:rsidRPr="00C53E69">
        <w:t>Despite</w:t>
      </w:r>
      <w:proofErr w:type="spellEnd"/>
      <w:r w:rsidRPr="00C53E69">
        <w:t xml:space="preserve"> </w:t>
      </w:r>
      <w:proofErr w:type="spellStart"/>
      <w:r w:rsidRPr="00C53E69">
        <w:t>the</w:t>
      </w:r>
      <w:proofErr w:type="spellEnd"/>
      <w:r w:rsidRPr="00C53E69">
        <w:t xml:space="preserve"> </w:t>
      </w:r>
      <w:proofErr w:type="spellStart"/>
      <w:r w:rsidRPr="00C53E69">
        <w:t>variation</w:t>
      </w:r>
      <w:proofErr w:type="spellEnd"/>
      <w:r w:rsidRPr="00C53E69">
        <w:t xml:space="preserve"> in </w:t>
      </w:r>
      <w:proofErr w:type="spellStart"/>
      <w:r w:rsidRPr="00C53E69">
        <w:t>the</w:t>
      </w:r>
      <w:proofErr w:type="spellEnd"/>
      <w:r w:rsidRPr="00C53E69">
        <w:t xml:space="preserve"> </w:t>
      </w:r>
      <w:proofErr w:type="spellStart"/>
      <w:r w:rsidRPr="00C53E69">
        <w:t>type</w:t>
      </w:r>
      <w:proofErr w:type="spellEnd"/>
      <w:r w:rsidRPr="00C53E69">
        <w:t xml:space="preserve"> of </w:t>
      </w:r>
      <w:proofErr w:type="spellStart"/>
      <w:r w:rsidRPr="00C53E69">
        <w:t>tourism</w:t>
      </w:r>
      <w:proofErr w:type="spellEnd"/>
      <w:r w:rsidRPr="00C53E69">
        <w:t xml:space="preserve">, </w:t>
      </w:r>
      <w:proofErr w:type="spellStart"/>
      <w:r w:rsidRPr="00C53E69">
        <w:t>the</w:t>
      </w:r>
      <w:proofErr w:type="spellEnd"/>
      <w:r w:rsidRPr="00C53E69">
        <w:t xml:space="preserve"> </w:t>
      </w:r>
      <w:proofErr w:type="spellStart"/>
      <w:r w:rsidRPr="00C53E69">
        <w:t>predominance</w:t>
      </w:r>
      <w:proofErr w:type="spellEnd"/>
      <w:r w:rsidRPr="00C53E69">
        <w:t xml:space="preserve"> of </w:t>
      </w:r>
      <w:proofErr w:type="spellStart"/>
      <w:r w:rsidRPr="00C53E69">
        <w:t>the</w:t>
      </w:r>
      <w:proofErr w:type="spellEnd"/>
      <w:r w:rsidRPr="00C53E69">
        <w:t xml:space="preserve"> </w:t>
      </w:r>
      <w:proofErr w:type="spellStart"/>
      <w:r w:rsidRPr="00C53E69">
        <w:t>escape</w:t>
      </w:r>
      <w:proofErr w:type="spellEnd"/>
      <w:r w:rsidRPr="00C53E69">
        <w:t xml:space="preserve"> </w:t>
      </w:r>
      <w:proofErr w:type="spellStart"/>
      <w:r w:rsidRPr="00C53E69">
        <w:t>factor</w:t>
      </w:r>
      <w:proofErr w:type="spellEnd"/>
      <w:r w:rsidRPr="00C53E69">
        <w:t xml:space="preserve"> in </w:t>
      </w:r>
      <w:proofErr w:type="spellStart"/>
      <w:r w:rsidRPr="00C53E69">
        <w:t>the</w:t>
      </w:r>
      <w:proofErr w:type="spellEnd"/>
      <w:r w:rsidRPr="00C53E69">
        <w:t xml:space="preserve"> </w:t>
      </w:r>
      <w:proofErr w:type="spellStart"/>
      <w:r w:rsidRPr="00C53E69">
        <w:t>scales</w:t>
      </w:r>
      <w:proofErr w:type="spellEnd"/>
      <w:r w:rsidRPr="00C53E69">
        <w:t xml:space="preserve"> can be </w:t>
      </w:r>
      <w:proofErr w:type="spellStart"/>
      <w:r w:rsidRPr="00C53E69">
        <w:t>interpreted</w:t>
      </w:r>
      <w:proofErr w:type="spellEnd"/>
      <w:r w:rsidRPr="00C53E69">
        <w:t xml:space="preserve"> as an </w:t>
      </w:r>
      <w:proofErr w:type="spellStart"/>
      <w:r w:rsidRPr="00C53E69">
        <w:t>indicator</w:t>
      </w:r>
      <w:proofErr w:type="spellEnd"/>
      <w:r w:rsidRPr="00C53E69">
        <w:t xml:space="preserve"> of </w:t>
      </w:r>
      <w:proofErr w:type="spellStart"/>
      <w:r w:rsidRPr="00C53E69">
        <w:t>its</w:t>
      </w:r>
      <w:proofErr w:type="spellEnd"/>
      <w:r w:rsidRPr="00C53E69">
        <w:t xml:space="preserve"> </w:t>
      </w:r>
      <w:proofErr w:type="spellStart"/>
      <w:r w:rsidRPr="00C53E69">
        <w:t>recurring</w:t>
      </w:r>
      <w:proofErr w:type="spellEnd"/>
      <w:r w:rsidRPr="00C53E69">
        <w:t xml:space="preserve"> </w:t>
      </w:r>
      <w:proofErr w:type="spellStart"/>
      <w:r w:rsidRPr="00C53E69">
        <w:t>nature</w:t>
      </w:r>
      <w:proofErr w:type="spellEnd"/>
      <w:r w:rsidRPr="00C53E69">
        <w:t xml:space="preserve">. </w:t>
      </w:r>
      <w:proofErr w:type="spellStart"/>
      <w:r w:rsidRPr="00C53E69">
        <w:t>Consequently</w:t>
      </w:r>
      <w:proofErr w:type="spellEnd"/>
      <w:r w:rsidRPr="00C53E69">
        <w:t xml:space="preserve">, </w:t>
      </w:r>
      <w:proofErr w:type="spellStart"/>
      <w:r w:rsidRPr="00C53E69">
        <w:t>this</w:t>
      </w:r>
      <w:proofErr w:type="spellEnd"/>
      <w:r w:rsidRPr="00C53E69">
        <w:t xml:space="preserve"> </w:t>
      </w:r>
      <w:proofErr w:type="spellStart"/>
      <w:r w:rsidRPr="00C53E69">
        <w:t>research</w:t>
      </w:r>
      <w:proofErr w:type="spellEnd"/>
      <w:r w:rsidRPr="00C53E69">
        <w:t xml:space="preserve"> </w:t>
      </w:r>
      <w:proofErr w:type="spellStart"/>
      <w:r w:rsidRPr="00C53E69">
        <w:t>underscores</w:t>
      </w:r>
      <w:proofErr w:type="spellEnd"/>
      <w:r w:rsidRPr="00C53E69">
        <w:t xml:space="preserve"> </w:t>
      </w:r>
      <w:proofErr w:type="spellStart"/>
      <w:r w:rsidRPr="00C53E69">
        <w:t>the</w:t>
      </w:r>
      <w:proofErr w:type="spellEnd"/>
      <w:r w:rsidRPr="00C53E69">
        <w:t xml:space="preserve"> </w:t>
      </w:r>
      <w:proofErr w:type="spellStart"/>
      <w:r w:rsidRPr="00C53E69">
        <w:t>necessity</w:t>
      </w:r>
      <w:proofErr w:type="spellEnd"/>
      <w:r w:rsidRPr="00C53E69">
        <w:t xml:space="preserve"> </w:t>
      </w:r>
      <w:proofErr w:type="spellStart"/>
      <w:r w:rsidRPr="00C53E69">
        <w:t>for</w:t>
      </w:r>
      <w:proofErr w:type="spellEnd"/>
      <w:r w:rsidRPr="00C53E69">
        <w:t xml:space="preserve"> </w:t>
      </w:r>
      <w:proofErr w:type="spellStart"/>
      <w:r w:rsidRPr="00C53E69">
        <w:t>further</w:t>
      </w:r>
      <w:proofErr w:type="spellEnd"/>
      <w:r w:rsidRPr="00C53E69">
        <w:t xml:space="preserve"> </w:t>
      </w:r>
      <w:proofErr w:type="spellStart"/>
      <w:r w:rsidRPr="00C53E69">
        <w:t>inquiry</w:t>
      </w:r>
      <w:proofErr w:type="spellEnd"/>
      <w:r w:rsidRPr="00C53E69">
        <w:t xml:space="preserve"> </w:t>
      </w:r>
      <w:proofErr w:type="spellStart"/>
      <w:r w:rsidRPr="00C53E69">
        <w:t>and</w:t>
      </w:r>
      <w:proofErr w:type="spellEnd"/>
      <w:r w:rsidRPr="00C53E69">
        <w:t xml:space="preserve"> </w:t>
      </w:r>
      <w:proofErr w:type="spellStart"/>
      <w:r w:rsidRPr="00C53E69">
        <w:t>the</w:t>
      </w:r>
      <w:proofErr w:type="spellEnd"/>
      <w:r w:rsidRPr="00C53E69">
        <w:t xml:space="preserve"> </w:t>
      </w:r>
      <w:proofErr w:type="spellStart"/>
      <w:r w:rsidRPr="00C53E69">
        <w:t>development</w:t>
      </w:r>
      <w:proofErr w:type="spellEnd"/>
      <w:r w:rsidRPr="00C53E69">
        <w:t xml:space="preserve"> of </w:t>
      </w:r>
      <w:proofErr w:type="spellStart"/>
      <w:r w:rsidRPr="00C53E69">
        <w:t>novel</w:t>
      </w:r>
      <w:proofErr w:type="spellEnd"/>
      <w:r w:rsidRPr="00C53E69">
        <w:t xml:space="preserve"> </w:t>
      </w:r>
      <w:proofErr w:type="spellStart"/>
      <w:r w:rsidRPr="00C53E69">
        <w:t>assessment</w:t>
      </w:r>
      <w:proofErr w:type="spellEnd"/>
      <w:r w:rsidRPr="00C53E69">
        <w:t xml:space="preserve"> </w:t>
      </w:r>
      <w:proofErr w:type="spellStart"/>
      <w:r w:rsidRPr="00C53E69">
        <w:t>tools</w:t>
      </w:r>
      <w:proofErr w:type="spellEnd"/>
      <w:r w:rsidRPr="00C53E69">
        <w:t xml:space="preserve">, </w:t>
      </w:r>
      <w:proofErr w:type="spellStart"/>
      <w:r w:rsidRPr="00C53E69">
        <w:t>particularly</w:t>
      </w:r>
      <w:proofErr w:type="spellEnd"/>
      <w:r w:rsidRPr="00C53E69">
        <w:t xml:space="preserve"> in </w:t>
      </w:r>
      <w:proofErr w:type="spellStart"/>
      <w:r w:rsidRPr="00C53E69">
        <w:t>the</w:t>
      </w:r>
      <w:proofErr w:type="spellEnd"/>
      <w:r w:rsidRPr="00C53E69">
        <w:t xml:space="preserve"> </w:t>
      </w:r>
      <w:proofErr w:type="spellStart"/>
      <w:r w:rsidRPr="00C53E69">
        <w:t>context</w:t>
      </w:r>
      <w:proofErr w:type="spellEnd"/>
      <w:r w:rsidRPr="00C53E69">
        <w:t xml:space="preserve"> of </w:t>
      </w:r>
      <w:proofErr w:type="spellStart"/>
      <w:r w:rsidRPr="00C53E69">
        <w:t>the</w:t>
      </w:r>
      <w:proofErr w:type="spellEnd"/>
      <w:r w:rsidRPr="00C53E69">
        <w:t xml:space="preserve"> </w:t>
      </w:r>
      <w:proofErr w:type="spellStart"/>
      <w:r w:rsidRPr="00C53E69">
        <w:t>escape</w:t>
      </w:r>
      <w:proofErr w:type="spellEnd"/>
      <w:r w:rsidRPr="00C53E69">
        <w:t xml:space="preserve"> </w:t>
      </w:r>
      <w:proofErr w:type="spellStart"/>
      <w:r w:rsidRPr="00C53E69">
        <w:t>factor</w:t>
      </w:r>
      <w:proofErr w:type="spellEnd"/>
      <w:r w:rsidRPr="00C53E69">
        <w:t>.</w:t>
      </w:r>
    </w:p>
    <w:p w14:paraId="74AA1E6B" w14:textId="77777777" w:rsidR="001E7189" w:rsidRPr="00C53E69" w:rsidRDefault="001E7189" w:rsidP="007513A1">
      <w:pPr>
        <w:jc w:val="both"/>
      </w:pPr>
    </w:p>
    <w:p w14:paraId="3D5DE39C" w14:textId="5EB4DB82" w:rsidR="00C70E93" w:rsidRDefault="001E7189" w:rsidP="007513A1">
      <w:pPr>
        <w:jc w:val="both"/>
      </w:pPr>
      <w:proofErr w:type="spellStart"/>
      <w:r w:rsidRPr="00C53E69">
        <w:rPr>
          <w:b/>
          <w:bCs/>
        </w:rPr>
        <w:t>Keywords</w:t>
      </w:r>
      <w:proofErr w:type="spellEnd"/>
      <w:r w:rsidRPr="00C53E69">
        <w:rPr>
          <w:b/>
          <w:bCs/>
        </w:rPr>
        <w:t>:</w:t>
      </w:r>
      <w:r w:rsidRPr="00C53E69">
        <w:t xml:space="preserve"> </w:t>
      </w:r>
      <w:proofErr w:type="spellStart"/>
      <w:r w:rsidRPr="00C53E69">
        <w:t>Motivation</w:t>
      </w:r>
      <w:proofErr w:type="spellEnd"/>
      <w:r w:rsidRPr="00C53E69">
        <w:t xml:space="preserve">, </w:t>
      </w:r>
      <w:proofErr w:type="spellStart"/>
      <w:r w:rsidRPr="00C53E69">
        <w:t>Tourism</w:t>
      </w:r>
      <w:proofErr w:type="spellEnd"/>
      <w:r w:rsidRPr="00C53E69">
        <w:t xml:space="preserve"> </w:t>
      </w:r>
      <w:proofErr w:type="spellStart"/>
      <w:r w:rsidRPr="00C53E69">
        <w:t>and</w:t>
      </w:r>
      <w:proofErr w:type="spellEnd"/>
      <w:r w:rsidRPr="00C53E69">
        <w:t xml:space="preserve"> </w:t>
      </w:r>
      <w:proofErr w:type="spellStart"/>
      <w:r w:rsidRPr="00C53E69">
        <w:t>Tourist</w:t>
      </w:r>
      <w:proofErr w:type="spellEnd"/>
      <w:r w:rsidRPr="00C53E69">
        <w:t xml:space="preserve"> </w:t>
      </w:r>
      <w:proofErr w:type="spellStart"/>
      <w:r w:rsidRPr="00C53E69">
        <w:t>Motivation</w:t>
      </w:r>
      <w:proofErr w:type="spellEnd"/>
      <w:r w:rsidRPr="00C53E69">
        <w:t xml:space="preserve">, </w:t>
      </w:r>
      <w:proofErr w:type="spellStart"/>
      <w:r w:rsidRPr="00C53E69">
        <w:t>Scale</w:t>
      </w:r>
      <w:proofErr w:type="spellEnd"/>
      <w:r w:rsidRPr="00C53E69">
        <w:t xml:space="preserve">, </w:t>
      </w:r>
      <w:proofErr w:type="spellStart"/>
      <w:r w:rsidRPr="00C53E69">
        <w:t>Survey</w:t>
      </w:r>
      <w:proofErr w:type="spellEnd"/>
    </w:p>
    <w:p w14:paraId="25D8E1A7" w14:textId="43D85580" w:rsidR="001E7189" w:rsidRDefault="00C70E93" w:rsidP="00C70E93">
      <w:pPr>
        <w:autoSpaceDE/>
        <w:autoSpaceDN/>
      </w:pPr>
      <w:r>
        <w:br w:type="page"/>
      </w:r>
    </w:p>
    <w:p w14:paraId="0C5583E3" w14:textId="13A8FF99" w:rsidR="001E7189" w:rsidRDefault="00C70E93" w:rsidP="004C7694">
      <w:pPr>
        <w:pStyle w:val="Tark"/>
      </w:pPr>
      <w:bookmarkStart w:id="95" w:name="_Toc192855199"/>
      <w:r>
        <w:lastRenderedPageBreak/>
        <w:t>HVAC</w:t>
      </w:r>
      <w:r w:rsidR="001E7189" w:rsidRPr="007E5783">
        <w:t xml:space="preserve"> </w:t>
      </w:r>
      <w:r w:rsidR="001E7189">
        <w:t>Sektöründe</w:t>
      </w:r>
      <w:r w:rsidR="001E7189" w:rsidRPr="007E5783">
        <w:t xml:space="preserve"> </w:t>
      </w:r>
      <w:r w:rsidR="001E7189">
        <w:t>Liderlik</w:t>
      </w:r>
      <w:r w:rsidR="001E7189" w:rsidRPr="007E5783">
        <w:t xml:space="preserve">, </w:t>
      </w:r>
      <w:r w:rsidR="001E7189">
        <w:t>Yönetim</w:t>
      </w:r>
      <w:r w:rsidR="001E7189" w:rsidRPr="007E5783">
        <w:t xml:space="preserve"> </w:t>
      </w:r>
      <w:r w:rsidR="001E7189">
        <w:t>ve</w:t>
      </w:r>
      <w:r w:rsidR="001E7189" w:rsidRPr="007E5783">
        <w:t xml:space="preserve"> </w:t>
      </w:r>
      <w:r w:rsidR="001E7189">
        <w:t>Çalışan</w:t>
      </w:r>
      <w:r w:rsidR="001E7189" w:rsidRPr="007E5783">
        <w:t xml:space="preserve"> </w:t>
      </w:r>
      <w:r w:rsidR="001E7189">
        <w:t>Motivasyonunun</w:t>
      </w:r>
      <w:r w:rsidR="001E7189" w:rsidRPr="007E5783">
        <w:t xml:space="preserve"> </w:t>
      </w:r>
      <w:r w:rsidR="001E7189">
        <w:t>İlişkisinde Kariyer</w:t>
      </w:r>
      <w:r w:rsidR="001E7189" w:rsidRPr="007E5783">
        <w:t xml:space="preserve"> </w:t>
      </w:r>
      <w:r w:rsidR="001E7189">
        <w:t>Geleceğinin</w:t>
      </w:r>
      <w:r w:rsidR="001E7189" w:rsidRPr="007E5783">
        <w:t xml:space="preserve"> </w:t>
      </w:r>
      <w:r w:rsidR="001E7189">
        <w:t>Aracı</w:t>
      </w:r>
      <w:r w:rsidR="001E7189" w:rsidRPr="007E5783">
        <w:t xml:space="preserve"> </w:t>
      </w:r>
      <w:r w:rsidR="001E7189">
        <w:t>Etkisi</w:t>
      </w:r>
      <w:bookmarkEnd w:id="95"/>
    </w:p>
    <w:p w14:paraId="47B14221" w14:textId="77777777" w:rsidR="001E7189" w:rsidRPr="009025E0" w:rsidRDefault="001E7189" w:rsidP="007513A1">
      <w:pPr>
        <w:pStyle w:val="IGUTezKaynakca"/>
        <w:spacing w:before="0" w:after="0"/>
        <w:jc w:val="center"/>
        <w:rPr>
          <w:b/>
          <w:bCs/>
          <w:lang w:eastAsia="tr-TR"/>
        </w:rPr>
      </w:pPr>
    </w:p>
    <w:p w14:paraId="7642BB56" w14:textId="77777777" w:rsidR="001E7189" w:rsidRPr="007E5783" w:rsidRDefault="001E7189" w:rsidP="007513A1">
      <w:pPr>
        <w:jc w:val="center"/>
        <w:rPr>
          <w:color w:val="000000"/>
        </w:rPr>
      </w:pPr>
      <w:r w:rsidRPr="007E5783">
        <w:rPr>
          <w:color w:val="000000"/>
        </w:rPr>
        <w:t>Dr. Turhan KARAKAYA</w:t>
      </w:r>
      <w:r w:rsidRPr="007E5783">
        <w:rPr>
          <w:color w:val="000000"/>
        </w:rPr>
        <w:br/>
        <w:t>Dr. Öğretim Görevlisi, Doğuş Üniversitesi, Endüstri Mühendisliği,</w:t>
      </w:r>
      <w:r w:rsidRPr="007E5783">
        <w:rPr>
          <w:color w:val="000000"/>
        </w:rPr>
        <w:br/>
      </w:r>
      <w:hyperlink r:id="rId152" w:history="1">
        <w:r w:rsidRPr="007E5783">
          <w:rPr>
            <w:color w:val="0563C1"/>
            <w:u w:val="single"/>
          </w:rPr>
          <w:t>tkarakaya@dogus.edu.tr</w:t>
        </w:r>
      </w:hyperlink>
    </w:p>
    <w:p w14:paraId="7919B9CA" w14:textId="77777777" w:rsidR="001E7189" w:rsidRDefault="001E7189" w:rsidP="007513A1">
      <w:pPr>
        <w:jc w:val="center"/>
        <w:rPr>
          <w:color w:val="000000"/>
        </w:rPr>
      </w:pPr>
      <w:proofErr w:type="spellStart"/>
      <w:r w:rsidRPr="007E5783">
        <w:rPr>
          <w:color w:val="000000"/>
        </w:rPr>
        <w:t>Orcid</w:t>
      </w:r>
      <w:proofErr w:type="spellEnd"/>
      <w:r w:rsidRPr="007E5783">
        <w:rPr>
          <w:color w:val="000000"/>
        </w:rPr>
        <w:t xml:space="preserve"> ID: 0000-0003-0818-8522</w:t>
      </w:r>
    </w:p>
    <w:p w14:paraId="6AF97BA2" w14:textId="77777777" w:rsidR="001E7189" w:rsidRPr="007E5783" w:rsidRDefault="001E7189" w:rsidP="007513A1">
      <w:pPr>
        <w:jc w:val="center"/>
        <w:rPr>
          <w:color w:val="000000"/>
        </w:rPr>
      </w:pPr>
    </w:p>
    <w:p w14:paraId="0008DC6F" w14:textId="77777777" w:rsidR="001E7189" w:rsidRPr="009025E0" w:rsidRDefault="001E7189" w:rsidP="007513A1">
      <w:pPr>
        <w:jc w:val="center"/>
        <w:rPr>
          <w:b/>
          <w:bCs/>
          <w:color w:val="000000"/>
        </w:rPr>
      </w:pPr>
      <w:r w:rsidRPr="007E5783">
        <w:rPr>
          <w:b/>
          <w:bCs/>
          <w:color w:val="000000"/>
        </w:rPr>
        <w:t>Özet</w:t>
      </w:r>
    </w:p>
    <w:p w14:paraId="6EFD350F" w14:textId="77777777" w:rsidR="001E7189" w:rsidRPr="007E5783" w:rsidRDefault="001E7189" w:rsidP="007513A1">
      <w:pPr>
        <w:jc w:val="both"/>
        <w:rPr>
          <w:color w:val="000000"/>
        </w:rPr>
      </w:pPr>
      <w:r w:rsidRPr="007E5783">
        <w:rPr>
          <w:color w:val="000000"/>
        </w:rPr>
        <w:t xml:space="preserve">HVAC (Isıtma, Havalandırma ve İklimlendirme) sektörü, teknolojik gelişmelere paralelinde büyüme gösteren ve </w:t>
      </w:r>
      <w:proofErr w:type="gramStart"/>
      <w:r w:rsidRPr="007E5783">
        <w:rPr>
          <w:color w:val="000000"/>
        </w:rPr>
        <w:t>kalifiye</w:t>
      </w:r>
      <w:proofErr w:type="gramEnd"/>
      <w:r w:rsidRPr="007E5783">
        <w:rPr>
          <w:color w:val="000000"/>
        </w:rPr>
        <w:t xml:space="preserve"> işgücüne ihtiyaç duyan bir sektördür. Bu doğrultuda sektördeki yoğun rekabet insan kaynağının etkin yönetimini gerektirmektedir. Bu bağlamda sektörde liderlik, motivasyon ve kariyer geleceği ilişkisi her geçen gün önem kazanmaktadır. Bu kapsamda bu çalışmanın amacı, HVAC sektöründe faaliyet gösteren işletmelerde liderlik ve yönetim tarzının çalışan motivasyonu üzerindeki etkisinde kariyer geleceği algısının aracı rolünü incelemektir. Araştırmanın örneklemini HVAC sektöründe faaliyet gösteren firmalarda çalışan kişiler oluşturmuştur. Veriler, çevrimiçi anket yöntemi kullanılarak toplanmıştır. Araştırmada nicel araştırma yöntemi kullanılmış olup, veriler üç farklı ölçek aracılığıyla toplanmıştır. Liderlik tarzının belirlenmesinde </w:t>
      </w:r>
      <w:proofErr w:type="spellStart"/>
      <w:r w:rsidRPr="007E5783">
        <w:rPr>
          <w:color w:val="000000"/>
        </w:rPr>
        <w:t>Bass</w:t>
      </w:r>
      <w:proofErr w:type="spellEnd"/>
      <w:r w:rsidRPr="007E5783">
        <w:rPr>
          <w:color w:val="000000"/>
        </w:rPr>
        <w:t xml:space="preserve"> ve </w:t>
      </w:r>
      <w:proofErr w:type="spellStart"/>
      <w:r w:rsidRPr="007E5783">
        <w:rPr>
          <w:color w:val="000000"/>
        </w:rPr>
        <w:t>Avolio'nun</w:t>
      </w:r>
      <w:proofErr w:type="spellEnd"/>
      <w:r w:rsidRPr="007E5783">
        <w:rPr>
          <w:color w:val="000000"/>
        </w:rPr>
        <w:t xml:space="preserve"> (1994) geliştirdiği Çok Faktörlü Liderlik Ölçeği (MLQ), çalışan motivasyonunun ölçümünde Bardak ve Mamatoğlu'nun (2023) geliştirdiği Çalışanlar İçin İçsel Motivasyon Ölçeği ve kariyer geleceği algısının ölçümünde ise </w:t>
      </w:r>
      <w:proofErr w:type="spellStart"/>
      <w:r w:rsidRPr="007E5783">
        <w:rPr>
          <w:color w:val="000000"/>
        </w:rPr>
        <w:t>Rottinghaus</w:t>
      </w:r>
      <w:proofErr w:type="spellEnd"/>
      <w:r w:rsidRPr="007E5783">
        <w:rPr>
          <w:color w:val="000000"/>
        </w:rPr>
        <w:t xml:space="preserve">, </w:t>
      </w:r>
      <w:proofErr w:type="spellStart"/>
      <w:r w:rsidRPr="007E5783">
        <w:rPr>
          <w:color w:val="000000"/>
        </w:rPr>
        <w:t>Day</w:t>
      </w:r>
      <w:proofErr w:type="spellEnd"/>
      <w:r w:rsidRPr="007E5783">
        <w:rPr>
          <w:color w:val="000000"/>
        </w:rPr>
        <w:t xml:space="preserve"> ve </w:t>
      </w:r>
      <w:proofErr w:type="spellStart"/>
      <w:r w:rsidRPr="007E5783">
        <w:rPr>
          <w:color w:val="000000"/>
        </w:rPr>
        <w:t>Borgen</w:t>
      </w:r>
      <w:proofErr w:type="spellEnd"/>
      <w:r w:rsidRPr="007E5783">
        <w:rPr>
          <w:color w:val="000000"/>
        </w:rPr>
        <w:t xml:space="preserve"> (2005) tarafından geliştirilen ve Kalafat (2012) tarafından Türkçeye uyarlanan Kariyer Geleceği Ölçeği (KARGEL) kullanılmıştır. Verilerin analizinde yapısal eşitlik modellemesi (YEM) kullanılmıştır. İlk olarak ölçeklerin geçerlik ve güvenirlik analizleri yapılmış, ardından değişkenler arasındaki ilişkileri test etmek için yol analizi gerçekleştirilmiştir. Analiz sonuçları, dönüşümcü liderlik tarzının çalışan motivasyonu üzerinde pozitif yönlü ve anlamlı bir etkiye sahip olduğunu göstermiştir. Kariyer geleceği algısının bu ilişkide kısmi aracılık etkisi olduğu tespit edilmiştir. Araştırma sonuçları, HVAC sektöründe liderlik tarzının çalışan motivasyonu üzerindeki etkisinde kariyer geleceği algısının önemli bir rol oynadığını ortaya koymuştur.</w:t>
      </w:r>
    </w:p>
    <w:p w14:paraId="02E97D23" w14:textId="77777777" w:rsidR="001E7189" w:rsidRPr="007E5783" w:rsidRDefault="001E7189" w:rsidP="007513A1">
      <w:pPr>
        <w:rPr>
          <w:color w:val="000000"/>
        </w:rPr>
      </w:pPr>
    </w:p>
    <w:p w14:paraId="52724C0E" w14:textId="64B991F7" w:rsidR="00C70E93" w:rsidRDefault="001E7189" w:rsidP="007513A1">
      <w:pPr>
        <w:jc w:val="both"/>
        <w:rPr>
          <w:color w:val="000000"/>
        </w:rPr>
      </w:pPr>
      <w:r w:rsidRPr="007E5783">
        <w:rPr>
          <w:b/>
          <w:bCs/>
          <w:color w:val="000000"/>
        </w:rPr>
        <w:t xml:space="preserve">Anahtar </w:t>
      </w:r>
      <w:r>
        <w:rPr>
          <w:b/>
          <w:bCs/>
          <w:color w:val="000000"/>
        </w:rPr>
        <w:t>Kelimeler</w:t>
      </w:r>
      <w:r w:rsidRPr="007E5783">
        <w:rPr>
          <w:b/>
          <w:bCs/>
          <w:color w:val="000000"/>
        </w:rPr>
        <w:t>:</w:t>
      </w:r>
      <w:r w:rsidRPr="007E5783">
        <w:rPr>
          <w:color w:val="000000"/>
        </w:rPr>
        <w:t xml:space="preserve"> HVAC sektörü, Liderlik, Çalışan motivasyonu.</w:t>
      </w:r>
    </w:p>
    <w:p w14:paraId="65AA5AF8" w14:textId="28FBA722" w:rsidR="005878EB" w:rsidRPr="00C70E93" w:rsidRDefault="00C70E93" w:rsidP="007513A1">
      <w:pPr>
        <w:autoSpaceDE/>
        <w:autoSpaceDN/>
        <w:rPr>
          <w:color w:val="000000"/>
        </w:rPr>
      </w:pPr>
      <w:r>
        <w:rPr>
          <w:color w:val="000000"/>
        </w:rPr>
        <w:br w:type="page"/>
      </w:r>
    </w:p>
    <w:p w14:paraId="28457AE6" w14:textId="77777777" w:rsidR="001E7189" w:rsidRDefault="001E7189" w:rsidP="004C7694">
      <w:pPr>
        <w:pStyle w:val="Tark"/>
      </w:pPr>
      <w:bookmarkStart w:id="96" w:name="_Toc192855200"/>
      <w:r>
        <w:lastRenderedPageBreak/>
        <w:t>HVAC</w:t>
      </w:r>
      <w:r w:rsidRPr="007E5783">
        <w:t xml:space="preserve"> </w:t>
      </w:r>
      <w:r>
        <w:t>Sektöründe</w:t>
      </w:r>
      <w:r w:rsidRPr="007E5783">
        <w:t xml:space="preserve"> </w:t>
      </w:r>
      <w:r>
        <w:t>Örgütsel</w:t>
      </w:r>
      <w:r w:rsidRPr="007E5783">
        <w:t xml:space="preserve"> </w:t>
      </w:r>
      <w:r>
        <w:t>Sürdürülebilirlik</w:t>
      </w:r>
      <w:r w:rsidRPr="007E5783">
        <w:t xml:space="preserve"> </w:t>
      </w:r>
      <w:r>
        <w:t>Düzeyinin</w:t>
      </w:r>
      <w:r w:rsidRPr="007E5783">
        <w:t xml:space="preserve"> </w:t>
      </w:r>
      <w:r>
        <w:t>Döngüsel</w:t>
      </w:r>
      <w:r w:rsidRPr="007E5783">
        <w:t xml:space="preserve"> </w:t>
      </w:r>
      <w:r>
        <w:t>Ekonomi</w:t>
      </w:r>
      <w:r w:rsidRPr="007E5783">
        <w:t xml:space="preserve"> </w:t>
      </w:r>
      <w:r>
        <w:t>Algısı</w:t>
      </w:r>
      <w:r w:rsidRPr="007E5783">
        <w:t xml:space="preserve"> </w:t>
      </w:r>
      <w:r>
        <w:t>Üzerindeki</w:t>
      </w:r>
      <w:r w:rsidRPr="007E5783">
        <w:t xml:space="preserve"> </w:t>
      </w:r>
      <w:r>
        <w:t>Etkisinin</w:t>
      </w:r>
      <w:r w:rsidRPr="007E5783">
        <w:t xml:space="preserve"> </w:t>
      </w:r>
      <w:r>
        <w:t>Belirlenmesi</w:t>
      </w:r>
      <w:bookmarkEnd w:id="96"/>
    </w:p>
    <w:p w14:paraId="0C8884AD" w14:textId="77777777" w:rsidR="001E7189" w:rsidRPr="007E5783" w:rsidRDefault="001E7189" w:rsidP="007513A1">
      <w:pPr>
        <w:jc w:val="center"/>
        <w:rPr>
          <w:color w:val="000000"/>
        </w:rPr>
      </w:pPr>
    </w:p>
    <w:p w14:paraId="6C56A062" w14:textId="77777777" w:rsidR="001E7189" w:rsidRPr="007E5783" w:rsidRDefault="001E7189" w:rsidP="007513A1">
      <w:pPr>
        <w:jc w:val="center"/>
        <w:rPr>
          <w:color w:val="000000"/>
        </w:rPr>
      </w:pPr>
      <w:r w:rsidRPr="007E5783">
        <w:rPr>
          <w:color w:val="000000"/>
        </w:rPr>
        <w:t>Dr. Turhan KARAKAYA</w:t>
      </w:r>
      <w:r w:rsidRPr="007E5783">
        <w:rPr>
          <w:color w:val="000000"/>
        </w:rPr>
        <w:br/>
        <w:t>Dr. Öğretim Görevlisi, Doğuş Üniversitesi, Endüstri Mühendisliği,</w:t>
      </w:r>
      <w:r w:rsidRPr="007E5783">
        <w:rPr>
          <w:color w:val="000000"/>
        </w:rPr>
        <w:br/>
      </w:r>
      <w:hyperlink r:id="rId153" w:history="1">
        <w:r w:rsidRPr="007E5783">
          <w:rPr>
            <w:color w:val="0563C1"/>
            <w:u w:val="single"/>
          </w:rPr>
          <w:t>tkarakaya@dogus.edu.tr</w:t>
        </w:r>
      </w:hyperlink>
    </w:p>
    <w:p w14:paraId="5253D100" w14:textId="77777777" w:rsidR="001E7189" w:rsidRDefault="001E7189" w:rsidP="007513A1">
      <w:pPr>
        <w:jc w:val="center"/>
        <w:rPr>
          <w:color w:val="000000"/>
        </w:rPr>
      </w:pPr>
      <w:proofErr w:type="spellStart"/>
      <w:r w:rsidRPr="007E5783">
        <w:rPr>
          <w:color w:val="000000"/>
        </w:rPr>
        <w:t>Orcid</w:t>
      </w:r>
      <w:proofErr w:type="spellEnd"/>
      <w:r w:rsidRPr="007E5783">
        <w:rPr>
          <w:color w:val="000000"/>
        </w:rPr>
        <w:t xml:space="preserve"> ID: 0000-0003-0818-8522</w:t>
      </w:r>
    </w:p>
    <w:p w14:paraId="7485E183" w14:textId="77777777" w:rsidR="001E7189" w:rsidRPr="007E5783" w:rsidRDefault="001E7189" w:rsidP="007513A1">
      <w:pPr>
        <w:jc w:val="center"/>
        <w:rPr>
          <w:color w:val="000000"/>
        </w:rPr>
      </w:pPr>
    </w:p>
    <w:p w14:paraId="4F2949BD" w14:textId="77777777" w:rsidR="001E7189" w:rsidRPr="0052079F" w:rsidRDefault="001E7189" w:rsidP="007513A1">
      <w:pPr>
        <w:jc w:val="center"/>
        <w:rPr>
          <w:b/>
          <w:bCs/>
          <w:color w:val="000000"/>
        </w:rPr>
      </w:pPr>
      <w:r w:rsidRPr="007E5783">
        <w:rPr>
          <w:b/>
          <w:bCs/>
          <w:color w:val="000000"/>
        </w:rPr>
        <w:t>Özet</w:t>
      </w:r>
    </w:p>
    <w:p w14:paraId="7DFEA7C1" w14:textId="77777777" w:rsidR="001E7189" w:rsidRPr="007E5783" w:rsidRDefault="001E7189" w:rsidP="007513A1">
      <w:pPr>
        <w:jc w:val="both"/>
        <w:rPr>
          <w:color w:val="000000"/>
        </w:rPr>
      </w:pPr>
      <w:r w:rsidRPr="007E5783">
        <w:rPr>
          <w:color w:val="000000"/>
        </w:rPr>
        <w:t xml:space="preserve">Döngüsel ekonomi, sürdürülebilir kalkınma hedeflerine ulaşmak için önemli bir yaklaşım olarak, kaynak kullanımını azaltmayı ve atık oluşumunu en aza indirmeyi hedefleyen bir ekonomik model sunmaktadır. HVAC (Isıtma, Havalandırma ve İklimlendirme) sektörü, enerji yoğun yapısı ve çevresel etkileri nedeniyle döngüsel ekonomi uygulamalarının yaygınlaştırılması açısından kritik bir öneme sahiptir. Bu bağlamda bu çalışmanın amacı, Türkiye’de HVAC sektöründe faaliyet gösteren firmaların örgütsel sürdürülebilirlik düzeylerinin, döngüsel ekonomi algıları üzerindeki etkisini incelemektir. Çalışma, sektörün çevresel ve ekonomik sürdürülebilirlik hedeflerine katkı sağlayabilecek potansiyel iyileştirme alanlarını belirlemeyi hedeflemektedir. Araştırmada, literatürde geçerliliği kanıtlanmış iki ölçek kullanılmıştır. Firmaların döngüsel ekonomi algılarını ölçmek için Köksal (2022) tarafından geliştirilen “Döngüsel Ekonomi Ölçeği” tercih edilmiştir. Bu ölçek, döngüsel ekonomiyi farklı boyutlarıyla ele alan </w:t>
      </w:r>
      <w:proofErr w:type="spellStart"/>
      <w:r w:rsidRPr="007E5783">
        <w:rPr>
          <w:color w:val="000000"/>
        </w:rPr>
        <w:t>Likert</w:t>
      </w:r>
      <w:proofErr w:type="spellEnd"/>
      <w:r w:rsidRPr="007E5783">
        <w:rPr>
          <w:color w:val="000000"/>
        </w:rPr>
        <w:t xml:space="preserve"> tipi bir yapıya sahiptir. Örgütsel sürdürülebilirlik düzeylerini belirlemek için ise Sezen Gültekin ve Argon (2020) tarafından geliştirilen “Örgütsel Sürdürülebilirlik Ölçeği” kullanılmıştır. Bu ölçek, ekonomik, çevresel ve sosyal sürdürülebilirliği kapsamlı bir şekilde değerlendiren çok boyutlu bir yapıya sahiptir.</w:t>
      </w:r>
    </w:p>
    <w:p w14:paraId="2D769DFC" w14:textId="56714142" w:rsidR="001E7189" w:rsidRPr="007E5783" w:rsidRDefault="001E7189" w:rsidP="007513A1">
      <w:pPr>
        <w:jc w:val="both"/>
        <w:rPr>
          <w:color w:val="000000"/>
        </w:rPr>
      </w:pPr>
      <w:r w:rsidRPr="007E5783">
        <w:rPr>
          <w:color w:val="000000"/>
        </w:rPr>
        <w:t xml:space="preserve">Nicel araştırma yöntemi benimsenerek, veri analizi SPSS programında gerçekleştirilmiştir. Ölçeklerin güvenilirlik analizi </w:t>
      </w:r>
      <w:proofErr w:type="spellStart"/>
      <w:r w:rsidRPr="007E5783">
        <w:rPr>
          <w:color w:val="000000"/>
        </w:rPr>
        <w:t>Cronbach's</w:t>
      </w:r>
      <w:proofErr w:type="spellEnd"/>
      <w:r w:rsidRPr="007E5783">
        <w:rPr>
          <w:color w:val="000000"/>
        </w:rPr>
        <w:t xml:space="preserve"> Alpha katsayısı ile, geçerlilik analizi ise Doğrulayıcı Faktör Analizi (DFA) ile test edilmiştir. Korelasyon analizi ve çoklu doğrusal regresyon analizi, döngüsel ekonomi algısı ile örgütsel sürdürülebilirlik düzeyi arasındaki ilişkileri detaylı bir şekilde incelemek için kullanılmıştır. Araştırmanın örneklemi, HVAC sektöründe faaliyet gösteren küçük, orta ve büyük ölçekli firmalardan oluşmaktadır. Örneklem seçiminde amaçlı örnekleme yöntemi tercih edilmiş ve firma alanı ile sektördeki deneyim gibi değişkenler göz önünde bulundurulmuştur. Veriler, çevrimiçi anketler aracılığıyla toplanmış ve istatistiksel analiz için yeterli büyüklüğe ulaşılması hedeflenmiştir. Örneklem büyüklüğü, </w:t>
      </w:r>
      <w:proofErr w:type="spellStart"/>
      <w:r w:rsidRPr="007E5783">
        <w:rPr>
          <w:color w:val="000000"/>
        </w:rPr>
        <w:t>Tabachnick</w:t>
      </w:r>
      <w:proofErr w:type="spellEnd"/>
      <w:r w:rsidRPr="007E5783">
        <w:rPr>
          <w:color w:val="000000"/>
        </w:rPr>
        <w:t xml:space="preserve"> ve </w:t>
      </w:r>
      <w:proofErr w:type="spellStart"/>
      <w:r w:rsidRPr="007E5783">
        <w:rPr>
          <w:color w:val="000000"/>
        </w:rPr>
        <w:t>Fidell’in</w:t>
      </w:r>
      <w:proofErr w:type="spellEnd"/>
      <w:r w:rsidRPr="007E5783">
        <w:rPr>
          <w:color w:val="000000"/>
        </w:rPr>
        <w:t xml:space="preserve"> hesaplama yöntemi ile belirlenmiştir. Bu çalışma, HVAC sektöründe döngüsel ekonomi algısı ile örgütsel sürdürülebilirlik düzeyi arasındaki ilişkiyi ortaya koyarak, sektörün sürdürülebilirlik uygulamalarına yönelik yol haritası oluşturmasına katkı sağlamayı hedeflemektedir.</w:t>
      </w:r>
    </w:p>
    <w:p w14:paraId="3A97A497" w14:textId="77777777" w:rsidR="001E7189" w:rsidRPr="007E5783" w:rsidRDefault="001E7189" w:rsidP="007513A1">
      <w:pPr>
        <w:rPr>
          <w:color w:val="000000"/>
        </w:rPr>
      </w:pPr>
    </w:p>
    <w:p w14:paraId="6691F8BD" w14:textId="5BAF83A3" w:rsidR="00C70E93" w:rsidRDefault="001E7189" w:rsidP="007513A1">
      <w:pPr>
        <w:jc w:val="both"/>
        <w:rPr>
          <w:color w:val="000000"/>
        </w:rPr>
      </w:pPr>
      <w:r w:rsidRPr="007E5783">
        <w:rPr>
          <w:b/>
          <w:bCs/>
          <w:color w:val="000000"/>
        </w:rPr>
        <w:t xml:space="preserve">Anahtar </w:t>
      </w:r>
      <w:r>
        <w:rPr>
          <w:b/>
          <w:bCs/>
          <w:color w:val="000000"/>
        </w:rPr>
        <w:t>Kelimeler</w:t>
      </w:r>
      <w:r w:rsidRPr="007E5783">
        <w:rPr>
          <w:b/>
          <w:bCs/>
          <w:color w:val="000000"/>
        </w:rPr>
        <w:t>:</w:t>
      </w:r>
      <w:r w:rsidRPr="007E5783">
        <w:rPr>
          <w:color w:val="000000"/>
        </w:rPr>
        <w:t xml:space="preserve"> HVAC sektörü, Örgütsel Sürdürülebilirlik, Döngüsel Ekonom</w:t>
      </w:r>
      <w:r>
        <w:rPr>
          <w:color w:val="000000"/>
        </w:rPr>
        <w:t>i</w:t>
      </w:r>
    </w:p>
    <w:p w14:paraId="4EEBF876" w14:textId="006D7906" w:rsidR="005878EB" w:rsidRDefault="00C70E93" w:rsidP="00C70E93">
      <w:pPr>
        <w:autoSpaceDE/>
        <w:autoSpaceDN/>
        <w:rPr>
          <w:color w:val="000000"/>
        </w:rPr>
      </w:pPr>
      <w:r>
        <w:rPr>
          <w:color w:val="000000"/>
        </w:rPr>
        <w:br w:type="page"/>
      </w:r>
    </w:p>
    <w:p w14:paraId="20E0C9AB" w14:textId="77777777" w:rsidR="001E7189" w:rsidRPr="007E5783" w:rsidRDefault="001E7189" w:rsidP="004C7694">
      <w:pPr>
        <w:pStyle w:val="Tark"/>
        <w:rPr>
          <w:lang w:val="tr"/>
        </w:rPr>
      </w:pPr>
      <w:bookmarkStart w:id="97" w:name="_Toc192855201"/>
      <w:r w:rsidRPr="007E5783">
        <w:rPr>
          <w:lang w:val="tr"/>
        </w:rPr>
        <w:lastRenderedPageBreak/>
        <w:t>Taylorizm’den Dijital Taylorizm’e Denetimin Dönüşümü</w:t>
      </w:r>
      <w:bookmarkEnd w:id="97"/>
    </w:p>
    <w:p w14:paraId="6AA56CFA" w14:textId="77777777" w:rsidR="001E7189" w:rsidRPr="007E5783" w:rsidRDefault="001E7189" w:rsidP="007513A1">
      <w:pPr>
        <w:jc w:val="center"/>
        <w:rPr>
          <w:lang w:val="tr"/>
        </w:rPr>
      </w:pPr>
    </w:p>
    <w:p w14:paraId="67529413" w14:textId="77777777" w:rsidR="001E7189" w:rsidRPr="007E5783" w:rsidRDefault="001E7189" w:rsidP="007513A1">
      <w:pPr>
        <w:jc w:val="center"/>
        <w:rPr>
          <w:lang w:val="tr"/>
        </w:rPr>
      </w:pPr>
      <w:r w:rsidRPr="007E5783">
        <w:rPr>
          <w:lang w:val="tr"/>
        </w:rPr>
        <w:t>Bilal Can BEKİROĞLU</w:t>
      </w:r>
    </w:p>
    <w:p w14:paraId="66079443" w14:textId="77777777" w:rsidR="001E7189" w:rsidRPr="007E5783" w:rsidRDefault="001E7189" w:rsidP="007513A1">
      <w:pPr>
        <w:jc w:val="center"/>
        <w:rPr>
          <w:lang w:val="tr"/>
        </w:rPr>
      </w:pPr>
      <w:r w:rsidRPr="007E5783">
        <w:rPr>
          <w:lang w:val="tr"/>
        </w:rPr>
        <w:t>Kırşehir Ahi Evran Üniversitesi, İşletme Anabilim Dalı</w:t>
      </w:r>
      <w:r w:rsidRPr="007E5783">
        <w:rPr>
          <w:vertAlign w:val="superscript"/>
          <w:lang w:val="tr"/>
        </w:rPr>
        <w:footnoteReference w:id="17"/>
      </w:r>
    </w:p>
    <w:p w14:paraId="4BCFB5BE" w14:textId="77777777" w:rsidR="001E7189" w:rsidRPr="007E5783" w:rsidRDefault="001E7189" w:rsidP="007513A1">
      <w:pPr>
        <w:jc w:val="center"/>
        <w:rPr>
          <w:lang w:val="tr"/>
        </w:rPr>
      </w:pPr>
      <w:hyperlink r:id="rId154" w:history="1">
        <w:r w:rsidRPr="007E5783">
          <w:rPr>
            <w:color w:val="0563C1"/>
            <w:u w:val="single"/>
            <w:lang w:val="tr"/>
          </w:rPr>
          <w:t>bilalcanbekiroglu@gmail.com</w:t>
        </w:r>
      </w:hyperlink>
    </w:p>
    <w:p w14:paraId="7A7C06F9" w14:textId="77777777" w:rsidR="001E7189" w:rsidRPr="007E5783" w:rsidRDefault="001E7189" w:rsidP="007513A1">
      <w:pPr>
        <w:jc w:val="center"/>
        <w:rPr>
          <w:rFonts w:eastAsia="Arial"/>
          <w:lang w:val="tr"/>
        </w:rPr>
      </w:pPr>
      <w:proofErr w:type="spellStart"/>
      <w:r w:rsidRPr="007E5783">
        <w:rPr>
          <w:rFonts w:eastAsia="Arial"/>
          <w:lang w:val="tr"/>
        </w:rPr>
        <w:t>Orcid</w:t>
      </w:r>
      <w:proofErr w:type="spellEnd"/>
      <w:r w:rsidRPr="007E5783">
        <w:rPr>
          <w:rFonts w:eastAsia="Arial"/>
          <w:lang w:val="tr"/>
        </w:rPr>
        <w:t xml:space="preserve"> ID: 0000-0003-3389-3127</w:t>
      </w:r>
    </w:p>
    <w:p w14:paraId="03246D35" w14:textId="77777777" w:rsidR="001E7189" w:rsidRPr="007E5783" w:rsidRDefault="001E7189" w:rsidP="007513A1">
      <w:pPr>
        <w:jc w:val="center"/>
        <w:rPr>
          <w:rFonts w:eastAsia="Arial"/>
          <w:lang w:val="tr"/>
        </w:rPr>
      </w:pPr>
    </w:p>
    <w:p w14:paraId="277E2933" w14:textId="77777777" w:rsidR="001E7189" w:rsidRPr="007E5783" w:rsidRDefault="001E7189" w:rsidP="007513A1">
      <w:pPr>
        <w:jc w:val="center"/>
        <w:rPr>
          <w:rFonts w:eastAsia="Arial"/>
          <w:lang w:val="tr"/>
        </w:rPr>
      </w:pPr>
      <w:r w:rsidRPr="007E5783">
        <w:rPr>
          <w:rFonts w:eastAsia="Arial"/>
          <w:lang w:val="tr"/>
        </w:rPr>
        <w:t>Emine Şener</w:t>
      </w:r>
    </w:p>
    <w:p w14:paraId="2DFF640B" w14:textId="77777777" w:rsidR="001E7189" w:rsidRPr="007E5783" w:rsidRDefault="001E7189" w:rsidP="007513A1">
      <w:pPr>
        <w:jc w:val="center"/>
        <w:rPr>
          <w:rFonts w:eastAsia="Arial"/>
          <w:lang w:val="tr"/>
        </w:rPr>
      </w:pPr>
      <w:r w:rsidRPr="007E5783">
        <w:rPr>
          <w:rFonts w:eastAsia="Arial"/>
          <w:lang w:val="tr"/>
        </w:rPr>
        <w:t>Doç. Dr., Kırşehir Ahi Evran Üniversitesi, İşletme Anabilim Dalı</w:t>
      </w:r>
    </w:p>
    <w:p w14:paraId="39ADD4A9" w14:textId="77777777" w:rsidR="001E7189" w:rsidRPr="007E5783" w:rsidRDefault="001E7189" w:rsidP="007513A1">
      <w:pPr>
        <w:jc w:val="center"/>
        <w:rPr>
          <w:rFonts w:eastAsia="Arial"/>
          <w:color w:val="222222"/>
          <w:shd w:val="clear" w:color="auto" w:fill="FFFFFF"/>
          <w:lang w:val="tr"/>
        </w:rPr>
      </w:pPr>
      <w:hyperlink r:id="rId155" w:history="1">
        <w:r w:rsidRPr="007E5783">
          <w:rPr>
            <w:rFonts w:eastAsia="Arial"/>
            <w:color w:val="0563C1"/>
            <w:u w:val="single"/>
            <w:shd w:val="clear" w:color="auto" w:fill="FFFFFF"/>
            <w:lang w:val="tr"/>
          </w:rPr>
          <w:t>esener@ahievran.edu.tr</w:t>
        </w:r>
      </w:hyperlink>
    </w:p>
    <w:p w14:paraId="5CC428FD" w14:textId="77777777" w:rsidR="001E7189" w:rsidRDefault="001E7189" w:rsidP="007513A1">
      <w:pPr>
        <w:jc w:val="center"/>
        <w:rPr>
          <w:rFonts w:eastAsia="Arial"/>
          <w:lang w:val="tr"/>
        </w:rPr>
      </w:pPr>
      <w:proofErr w:type="spellStart"/>
      <w:r w:rsidRPr="007E5783">
        <w:rPr>
          <w:rFonts w:eastAsia="Arial"/>
          <w:lang w:val="tr"/>
        </w:rPr>
        <w:t>Orcid</w:t>
      </w:r>
      <w:proofErr w:type="spellEnd"/>
      <w:r w:rsidRPr="007E5783">
        <w:rPr>
          <w:rFonts w:eastAsia="Arial"/>
          <w:lang w:val="tr"/>
        </w:rPr>
        <w:t xml:space="preserve"> ID: 0000-0002-8903-1684</w:t>
      </w:r>
    </w:p>
    <w:p w14:paraId="6C656AB1" w14:textId="77777777" w:rsidR="001E7189" w:rsidRPr="007E5783" w:rsidRDefault="001E7189" w:rsidP="007513A1">
      <w:pPr>
        <w:jc w:val="center"/>
        <w:rPr>
          <w:rFonts w:eastAsia="Arial"/>
          <w:lang w:val="tr"/>
        </w:rPr>
      </w:pPr>
    </w:p>
    <w:p w14:paraId="09BB0104" w14:textId="77777777" w:rsidR="001E7189" w:rsidRPr="007E5783" w:rsidRDefault="001E7189" w:rsidP="007513A1">
      <w:pPr>
        <w:jc w:val="center"/>
        <w:rPr>
          <w:b/>
          <w:lang w:val="tr"/>
        </w:rPr>
      </w:pPr>
      <w:r w:rsidRPr="007E5783">
        <w:rPr>
          <w:b/>
          <w:lang w:val="tr"/>
        </w:rPr>
        <w:t>Özet</w:t>
      </w:r>
    </w:p>
    <w:p w14:paraId="66229B8A" w14:textId="77777777" w:rsidR="001E7189" w:rsidRPr="007E5783" w:rsidRDefault="001E7189" w:rsidP="007513A1">
      <w:pPr>
        <w:jc w:val="both"/>
        <w:rPr>
          <w:lang w:val="tr"/>
        </w:rPr>
      </w:pPr>
      <w:bookmarkStart w:id="98" w:name="_Hlk191224772"/>
      <w:r w:rsidRPr="007E5783">
        <w:rPr>
          <w:lang w:val="tr"/>
        </w:rPr>
        <w:t xml:space="preserve">Taylorizm 1900’lü yılların başından itibaren yönetim biliminde yeni bir yaklaşım olarak ortaya çıkmış ve yönetim anlayışını değiştirmiştir. Taylor tarafından geliştirilen “Bilimsel Yönetimin İlkeleri” yönetimde yeni bir yaklaşım olan bilimsel yaklaşımının benimsenmesine yol açmış ve uluslararası düzeyde ilgi gören bu yaklaşım, yöneticilerin şirketlerinde uygulamak üzere harekete geçmesini sağlamıştır. Günümüzde hâlâ etkilerini sürdüren Taylorizm, özellikle 2000’li yıllardan sonra teknolojinin gelişmesiyle dijital olarak uygulanmaya başlanmıştır. Bu noktada Taylorizm yaklaşımı evrimleşerek yerini Dijital Taylorizm yaklaşımına bırakmıştır. Bu çalışmada, Taylorizm yaklaşımının günümüzde Dijital Taylorizm’e nasıl evrildiği ve bu evrilme esnasında “denetim” kavramının iki yaklaşım arasındaki değişimi ve gelişimi incelenmiştir. Denetim olgusu varoluşsal olarak insanlık tarihinin başlangıcından günümüze kadar varlığını sürdürmektedir. Geçmişte işçilerin denetimi söz konusu iken günümüzde bu kavram gelişerek daha etkin bir şekilde iş hayatına sirayet etmiştir. Taylor, işçilerin denetlenmesi gerektiğini belirtirken ondan daha önce Robert </w:t>
      </w:r>
      <w:proofErr w:type="spellStart"/>
      <w:r w:rsidRPr="007E5783">
        <w:rPr>
          <w:lang w:val="tr"/>
        </w:rPr>
        <w:t>Owen</w:t>
      </w:r>
      <w:proofErr w:type="spellEnd"/>
      <w:r w:rsidRPr="007E5783">
        <w:rPr>
          <w:lang w:val="tr"/>
        </w:rPr>
        <w:t xml:space="preserve"> denetimin gerekliliği üzerine çalışmalar gerçekleştirmiştir. İkinci Dünya Savaşı’ndan sonra her ne kadar Henry Fayol’un “Endüstriyel Yönetim” kitabının yaygınlaşmasıyla onun fikirleri benimsenmiş olsa da Taylor’un bilimsel yaklaşımı günümüzde hâlâ etkinliğini korumaktadır. 2011’de Almanya’da resmi olarak 4. sanayi devriminin gerçekleştiği teknoloji ve internet çağının başladığı ilan edilmiştir. Bu noktadan sonra Taylor’un bilimsel yaklaşımı dijitalleşmenin etkisiyle Dijital Taylorizm adını almıştır. Dijital Taylorizm’le denetim ve kontrol işlerinin kolaylaşması ve daha etkin ve verimli bir şekilde gerçekleşmesi sağlanır hale gelmiştir. Denetim her ne kadar kolay hale gelse de işletmeler bünyelerinde denetim birimi kurmak ve bunu geliştirmek üzere girişimlerde bulunmaktadırlar. Gitgide artan iç denetim birimleri işletmelerin denetime ne kadar önem verdiğini göstermektedir. İşletmelerin geliştirmekte olduğu bu iç denetim birimleri denetimlerini dijital yollarla gerçekleştirmeye başlamış ve bu sayede daha az maliyetle daha çok denetim gerçekleştirebilir hale gelmişlerdir. Bu durum Taylor’un standardizasyon ve verimlilik ilkelerinin de yerine getirilmesini sağlamaktadır. İşletmelerin, dijital denetimler sayesinde Taylorizm’in önerdiği ilkelerin gerçekleşmesini sağlamak için katlanması gereken maliyetlerinin bir nebze olsun azalması sağlanmıştır.</w:t>
      </w:r>
    </w:p>
    <w:bookmarkEnd w:id="98"/>
    <w:p w14:paraId="58B5F9F6" w14:textId="77777777" w:rsidR="001E7189" w:rsidRPr="007E5783" w:rsidRDefault="001E7189" w:rsidP="007513A1">
      <w:pPr>
        <w:jc w:val="center"/>
        <w:rPr>
          <w:b/>
          <w:lang w:val="tr"/>
        </w:rPr>
      </w:pPr>
    </w:p>
    <w:p w14:paraId="584343BC" w14:textId="7575D0D6" w:rsidR="00C70E93" w:rsidRDefault="001E7189" w:rsidP="007513A1">
      <w:pPr>
        <w:jc w:val="both"/>
        <w:rPr>
          <w:lang w:val="tr"/>
        </w:rPr>
      </w:pPr>
      <w:r w:rsidRPr="007E5783">
        <w:rPr>
          <w:b/>
          <w:lang w:val="tr"/>
        </w:rPr>
        <w:t>Anahtar Kelimeler:</w:t>
      </w:r>
      <w:r w:rsidRPr="007E5783">
        <w:rPr>
          <w:lang w:val="tr"/>
        </w:rPr>
        <w:t xml:space="preserve"> Yönetim, Denetim, İç Denetim, Taylorizm, Dijital Taylorizm.</w:t>
      </w:r>
    </w:p>
    <w:p w14:paraId="011E4529" w14:textId="748A6A90" w:rsidR="001E7189" w:rsidRPr="007E5783" w:rsidRDefault="00C70E93" w:rsidP="007513A1">
      <w:pPr>
        <w:autoSpaceDE/>
        <w:autoSpaceDN/>
        <w:rPr>
          <w:lang w:val="tr"/>
        </w:rPr>
      </w:pPr>
      <w:r>
        <w:rPr>
          <w:lang w:val="tr"/>
        </w:rPr>
        <w:br w:type="page"/>
      </w:r>
    </w:p>
    <w:p w14:paraId="014FE04F" w14:textId="77777777" w:rsidR="001E7189" w:rsidRPr="007E5783" w:rsidRDefault="001E7189" w:rsidP="004C7694">
      <w:pPr>
        <w:pStyle w:val="Tark"/>
        <w:rPr>
          <w:lang w:val="tr"/>
        </w:rPr>
      </w:pPr>
      <w:bookmarkStart w:id="99" w:name="_Toc192855202"/>
      <w:proofErr w:type="spellStart"/>
      <w:r w:rsidRPr="007E5783">
        <w:rPr>
          <w:lang w:val="tr"/>
        </w:rPr>
        <w:lastRenderedPageBreak/>
        <w:t>The</w:t>
      </w:r>
      <w:proofErr w:type="spellEnd"/>
      <w:r w:rsidRPr="007E5783">
        <w:rPr>
          <w:lang w:val="tr"/>
        </w:rPr>
        <w:t xml:space="preserve"> </w:t>
      </w:r>
      <w:proofErr w:type="spellStart"/>
      <w:r w:rsidRPr="007E5783">
        <w:rPr>
          <w:lang w:val="tr"/>
        </w:rPr>
        <w:t>Transformation</w:t>
      </w:r>
      <w:proofErr w:type="spellEnd"/>
      <w:r w:rsidRPr="007E5783">
        <w:rPr>
          <w:lang w:val="tr"/>
        </w:rPr>
        <w:t xml:space="preserve"> of </w:t>
      </w:r>
      <w:proofErr w:type="spellStart"/>
      <w:r w:rsidRPr="007E5783">
        <w:rPr>
          <w:lang w:val="tr"/>
        </w:rPr>
        <w:t>Audit</w:t>
      </w:r>
      <w:proofErr w:type="spellEnd"/>
      <w:r w:rsidRPr="007E5783">
        <w:rPr>
          <w:lang w:val="tr"/>
        </w:rPr>
        <w:t xml:space="preserve"> </w:t>
      </w:r>
      <w:proofErr w:type="spellStart"/>
      <w:r w:rsidRPr="007E5783">
        <w:rPr>
          <w:lang w:val="tr"/>
        </w:rPr>
        <w:t>From</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bookmarkEnd w:id="99"/>
      <w:proofErr w:type="spellEnd"/>
    </w:p>
    <w:p w14:paraId="705CE2D5" w14:textId="77777777" w:rsidR="001E7189" w:rsidRPr="007E5783" w:rsidRDefault="001E7189" w:rsidP="007513A1">
      <w:pPr>
        <w:jc w:val="center"/>
        <w:rPr>
          <w:lang w:val="tr"/>
        </w:rPr>
      </w:pPr>
    </w:p>
    <w:p w14:paraId="3676EA32" w14:textId="77777777" w:rsidR="001E7189" w:rsidRPr="007E5783" w:rsidRDefault="001E7189" w:rsidP="007513A1">
      <w:pPr>
        <w:jc w:val="center"/>
        <w:rPr>
          <w:lang w:val="tr"/>
        </w:rPr>
      </w:pPr>
      <w:r w:rsidRPr="007E5783">
        <w:rPr>
          <w:lang w:val="tr"/>
        </w:rPr>
        <w:t>Bilal Can BEKİROĞLU</w:t>
      </w:r>
    </w:p>
    <w:p w14:paraId="0B033F08" w14:textId="77777777" w:rsidR="001E7189" w:rsidRPr="007E5783" w:rsidRDefault="001E7189" w:rsidP="007513A1">
      <w:pPr>
        <w:jc w:val="center"/>
        <w:rPr>
          <w:lang w:val="tr"/>
        </w:rPr>
        <w:sectPr w:rsidR="001E7189" w:rsidRPr="007E5783" w:rsidSect="007513A1">
          <w:footerReference w:type="default" r:id="rId156"/>
          <w:footnotePr>
            <w:numRestart w:val="eachPage"/>
          </w:footnotePr>
          <w:type w:val="continuous"/>
          <w:pgSz w:w="11906" w:h="16838"/>
          <w:pgMar w:top="1418" w:right="1418" w:bottom="1418" w:left="1418" w:header="1304" w:footer="1361" w:gutter="0"/>
          <w:cols w:space="708"/>
        </w:sectPr>
      </w:pPr>
      <w:r w:rsidRPr="007E5783">
        <w:rPr>
          <w:lang w:val="tr"/>
        </w:rPr>
        <w:t>Kırşehir Ahi Evran Üniversitesi, İşletme Anabilim Dalı</w:t>
      </w:r>
      <w:r w:rsidRPr="007E5783">
        <w:rPr>
          <w:vertAlign w:val="superscript"/>
          <w:lang w:val="tr"/>
        </w:rPr>
        <w:footnoteReference w:id="18"/>
      </w:r>
    </w:p>
    <w:p w14:paraId="1695D898" w14:textId="77777777" w:rsidR="001E7189" w:rsidRPr="007E5783" w:rsidRDefault="001E7189" w:rsidP="007513A1">
      <w:pPr>
        <w:jc w:val="center"/>
        <w:rPr>
          <w:lang w:val="tr"/>
        </w:rPr>
      </w:pPr>
      <w:hyperlink r:id="rId157" w:history="1">
        <w:r w:rsidRPr="007E5783">
          <w:rPr>
            <w:color w:val="0563C1"/>
            <w:u w:val="single"/>
            <w:lang w:val="tr"/>
          </w:rPr>
          <w:t>bilalcanbekiroglu@gmail.com</w:t>
        </w:r>
      </w:hyperlink>
    </w:p>
    <w:p w14:paraId="0DA30C06" w14:textId="77777777" w:rsidR="001E7189" w:rsidRPr="007E5783" w:rsidRDefault="001E7189" w:rsidP="007513A1">
      <w:pPr>
        <w:jc w:val="center"/>
        <w:rPr>
          <w:rFonts w:eastAsia="Arial"/>
          <w:lang w:val="tr"/>
        </w:rPr>
      </w:pPr>
      <w:proofErr w:type="spellStart"/>
      <w:r w:rsidRPr="007E5783">
        <w:rPr>
          <w:rFonts w:eastAsia="Arial"/>
          <w:lang w:val="tr"/>
        </w:rPr>
        <w:t>Orcid</w:t>
      </w:r>
      <w:proofErr w:type="spellEnd"/>
      <w:r w:rsidRPr="007E5783">
        <w:rPr>
          <w:rFonts w:eastAsia="Arial"/>
          <w:lang w:val="tr"/>
        </w:rPr>
        <w:t xml:space="preserve"> ID: 0000-0003-3389-3127</w:t>
      </w:r>
    </w:p>
    <w:p w14:paraId="4310FCA0" w14:textId="77777777" w:rsidR="001E7189" w:rsidRPr="007E5783" w:rsidRDefault="001E7189" w:rsidP="007513A1">
      <w:pPr>
        <w:jc w:val="center"/>
        <w:rPr>
          <w:rFonts w:eastAsia="Arial"/>
          <w:lang w:val="tr"/>
        </w:rPr>
      </w:pPr>
    </w:p>
    <w:p w14:paraId="7DB853AC" w14:textId="77777777" w:rsidR="001E7189" w:rsidRPr="007E5783" w:rsidRDefault="001E7189" w:rsidP="007513A1">
      <w:pPr>
        <w:jc w:val="center"/>
        <w:rPr>
          <w:rFonts w:eastAsia="Arial"/>
          <w:lang w:val="tr"/>
        </w:rPr>
      </w:pPr>
      <w:r w:rsidRPr="007E5783">
        <w:rPr>
          <w:rFonts w:eastAsia="Arial"/>
          <w:lang w:val="tr"/>
        </w:rPr>
        <w:t>Emine Şener</w:t>
      </w:r>
    </w:p>
    <w:p w14:paraId="236EED9D" w14:textId="77777777" w:rsidR="001E7189" w:rsidRPr="007E5783" w:rsidRDefault="001E7189" w:rsidP="007513A1">
      <w:pPr>
        <w:jc w:val="center"/>
        <w:rPr>
          <w:rFonts w:eastAsia="Arial"/>
          <w:lang w:val="tr"/>
        </w:rPr>
      </w:pPr>
      <w:r w:rsidRPr="007E5783">
        <w:rPr>
          <w:rFonts w:eastAsia="Arial"/>
          <w:lang w:val="tr"/>
        </w:rPr>
        <w:t>Doç. Dr., Kırşehir Ahi Evran Üniversitesi, İşletme Anabilim Dalı</w:t>
      </w:r>
    </w:p>
    <w:p w14:paraId="719E6ABC" w14:textId="77777777" w:rsidR="001E7189" w:rsidRPr="007E5783" w:rsidRDefault="001E7189" w:rsidP="007513A1">
      <w:pPr>
        <w:jc w:val="center"/>
        <w:rPr>
          <w:rFonts w:eastAsia="Arial"/>
          <w:color w:val="222222"/>
          <w:shd w:val="clear" w:color="auto" w:fill="FFFFFF"/>
          <w:lang w:val="tr"/>
        </w:rPr>
      </w:pPr>
      <w:hyperlink r:id="rId158" w:history="1">
        <w:r w:rsidRPr="007E5783">
          <w:rPr>
            <w:rFonts w:eastAsia="Arial"/>
            <w:color w:val="0563C1"/>
            <w:u w:val="single"/>
            <w:shd w:val="clear" w:color="auto" w:fill="FFFFFF"/>
            <w:lang w:val="tr"/>
          </w:rPr>
          <w:t>esener@ahievran.edu.tr</w:t>
        </w:r>
      </w:hyperlink>
    </w:p>
    <w:p w14:paraId="6571B22B" w14:textId="77777777" w:rsidR="001E7189" w:rsidRPr="007E5783" w:rsidRDefault="001E7189" w:rsidP="007513A1">
      <w:pPr>
        <w:jc w:val="center"/>
        <w:rPr>
          <w:rFonts w:eastAsia="Arial"/>
          <w:lang w:val="tr"/>
        </w:rPr>
      </w:pPr>
      <w:proofErr w:type="spellStart"/>
      <w:r w:rsidRPr="007E5783">
        <w:rPr>
          <w:rFonts w:eastAsia="Arial"/>
          <w:lang w:val="tr"/>
        </w:rPr>
        <w:t>Orcid</w:t>
      </w:r>
      <w:proofErr w:type="spellEnd"/>
      <w:r w:rsidRPr="007E5783">
        <w:rPr>
          <w:rFonts w:eastAsia="Arial"/>
          <w:lang w:val="tr"/>
        </w:rPr>
        <w:t xml:space="preserve"> ID: 0000-0002-8903-1684</w:t>
      </w:r>
    </w:p>
    <w:p w14:paraId="55CD0FD5" w14:textId="77777777" w:rsidR="001E7189" w:rsidRPr="007E5783" w:rsidRDefault="001E7189" w:rsidP="007513A1">
      <w:pPr>
        <w:jc w:val="center"/>
        <w:rPr>
          <w:rFonts w:eastAsia="Arial"/>
          <w:lang w:val="tr"/>
        </w:rPr>
      </w:pPr>
    </w:p>
    <w:p w14:paraId="16D4FE0A" w14:textId="135B5379" w:rsidR="001E7189" w:rsidRPr="007E5783" w:rsidRDefault="001E7189" w:rsidP="007513A1">
      <w:pPr>
        <w:jc w:val="center"/>
        <w:rPr>
          <w:b/>
          <w:lang w:val="tr"/>
        </w:rPr>
      </w:pPr>
      <w:proofErr w:type="spellStart"/>
      <w:r w:rsidRPr="007E5783">
        <w:rPr>
          <w:b/>
          <w:lang w:val="tr"/>
        </w:rPr>
        <w:t>Abstract</w:t>
      </w:r>
      <w:proofErr w:type="spellEnd"/>
    </w:p>
    <w:p w14:paraId="04227E48" w14:textId="77777777" w:rsidR="001E7189" w:rsidRPr="007E5783" w:rsidRDefault="001E7189" w:rsidP="007513A1">
      <w:pPr>
        <w:jc w:val="both"/>
        <w:rPr>
          <w:lang w:val="tr"/>
        </w:rPr>
      </w:pPr>
      <w:proofErr w:type="spellStart"/>
      <w:r w:rsidRPr="007E5783">
        <w:rPr>
          <w:lang w:val="tr"/>
        </w:rPr>
        <w:t>Taylorism</w:t>
      </w:r>
      <w:proofErr w:type="spellEnd"/>
      <w:r w:rsidRPr="007E5783">
        <w:rPr>
          <w:lang w:val="tr"/>
        </w:rPr>
        <w:t xml:space="preserve"> </w:t>
      </w:r>
      <w:proofErr w:type="spellStart"/>
      <w:r w:rsidRPr="007E5783">
        <w:rPr>
          <w:lang w:val="tr"/>
        </w:rPr>
        <w:t>emerged</w:t>
      </w:r>
      <w:proofErr w:type="spellEnd"/>
      <w:r w:rsidRPr="007E5783">
        <w:rPr>
          <w:lang w:val="tr"/>
        </w:rPr>
        <w:t xml:space="preserve"> as a </w:t>
      </w:r>
      <w:proofErr w:type="spellStart"/>
      <w:r w:rsidRPr="007E5783">
        <w:rPr>
          <w:lang w:val="tr"/>
        </w:rPr>
        <w:t>new</w:t>
      </w:r>
      <w:proofErr w:type="spellEnd"/>
      <w:r w:rsidRPr="007E5783">
        <w:rPr>
          <w:lang w:val="tr"/>
        </w:rPr>
        <w:t xml:space="preserve"> </w:t>
      </w:r>
      <w:proofErr w:type="spellStart"/>
      <w:r w:rsidRPr="007E5783">
        <w:rPr>
          <w:lang w:val="tr"/>
        </w:rPr>
        <w:t>approach</w:t>
      </w:r>
      <w:proofErr w:type="spellEnd"/>
      <w:r w:rsidRPr="007E5783">
        <w:rPr>
          <w:lang w:val="tr"/>
        </w:rPr>
        <w:t xml:space="preserve"> in </w:t>
      </w:r>
      <w:proofErr w:type="spellStart"/>
      <w:r w:rsidRPr="007E5783">
        <w:rPr>
          <w:lang w:val="tr"/>
        </w:rPr>
        <w:t>management</w:t>
      </w:r>
      <w:proofErr w:type="spellEnd"/>
      <w:r w:rsidRPr="007E5783">
        <w:rPr>
          <w:lang w:val="tr"/>
        </w:rPr>
        <w:t xml:space="preserve"> </w:t>
      </w:r>
      <w:proofErr w:type="spellStart"/>
      <w:r w:rsidRPr="007E5783">
        <w:rPr>
          <w:lang w:val="tr"/>
        </w:rPr>
        <w:t>science</w:t>
      </w:r>
      <w:proofErr w:type="spellEnd"/>
      <w:r w:rsidRPr="007E5783">
        <w:rPr>
          <w:lang w:val="tr"/>
        </w:rPr>
        <w:t xml:space="preserve"> in </w:t>
      </w:r>
      <w:proofErr w:type="spellStart"/>
      <w:r w:rsidRPr="007E5783">
        <w:rPr>
          <w:lang w:val="tr"/>
        </w:rPr>
        <w:t>the</w:t>
      </w:r>
      <w:proofErr w:type="spellEnd"/>
      <w:r w:rsidRPr="007E5783">
        <w:rPr>
          <w:lang w:val="tr"/>
        </w:rPr>
        <w:t xml:space="preserve"> </w:t>
      </w:r>
      <w:proofErr w:type="spellStart"/>
      <w:r w:rsidRPr="007E5783">
        <w:rPr>
          <w:lang w:val="tr"/>
        </w:rPr>
        <w:t>early</w:t>
      </w:r>
      <w:proofErr w:type="spellEnd"/>
      <w:r w:rsidRPr="007E5783">
        <w:rPr>
          <w:lang w:val="tr"/>
        </w:rPr>
        <w:t xml:space="preserve"> 1900s </w:t>
      </w:r>
      <w:proofErr w:type="spellStart"/>
      <w:r w:rsidRPr="007E5783">
        <w:rPr>
          <w:lang w:val="tr"/>
        </w:rPr>
        <w:t>and</w:t>
      </w:r>
      <w:proofErr w:type="spellEnd"/>
      <w:r w:rsidRPr="007E5783">
        <w:rPr>
          <w:lang w:val="tr"/>
        </w:rPr>
        <w:t xml:space="preserve"> </w:t>
      </w:r>
      <w:proofErr w:type="spellStart"/>
      <w:r w:rsidRPr="007E5783">
        <w:rPr>
          <w:lang w:val="tr"/>
        </w:rPr>
        <w:t>changed</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understanding</w:t>
      </w:r>
      <w:proofErr w:type="spellEnd"/>
      <w:r w:rsidRPr="007E5783">
        <w:rPr>
          <w:lang w:val="tr"/>
        </w:rPr>
        <w:t xml:space="preserve"> of </w:t>
      </w:r>
      <w:proofErr w:type="spellStart"/>
      <w:r w:rsidRPr="007E5783">
        <w:rPr>
          <w:lang w:val="tr"/>
        </w:rPr>
        <w:t>management</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Principles</w:t>
      </w:r>
      <w:proofErr w:type="spellEnd"/>
      <w:r w:rsidRPr="007E5783">
        <w:rPr>
          <w:lang w:val="tr"/>
        </w:rPr>
        <w:t xml:space="preserve"> of </w:t>
      </w:r>
      <w:proofErr w:type="spellStart"/>
      <w:r w:rsidRPr="007E5783">
        <w:rPr>
          <w:lang w:val="tr"/>
        </w:rPr>
        <w:t>Scientific</w:t>
      </w:r>
      <w:proofErr w:type="spellEnd"/>
      <w:r w:rsidRPr="007E5783">
        <w:rPr>
          <w:lang w:val="tr"/>
        </w:rPr>
        <w:t xml:space="preserve"> Management” </w:t>
      </w:r>
      <w:proofErr w:type="spellStart"/>
      <w:r w:rsidRPr="007E5783">
        <w:rPr>
          <w:lang w:val="tr"/>
        </w:rPr>
        <w:t>developed</w:t>
      </w:r>
      <w:proofErr w:type="spellEnd"/>
      <w:r w:rsidRPr="007E5783">
        <w:rPr>
          <w:lang w:val="tr"/>
        </w:rPr>
        <w:t xml:space="preserve"> </w:t>
      </w:r>
      <w:proofErr w:type="spellStart"/>
      <w:r w:rsidRPr="007E5783">
        <w:rPr>
          <w:lang w:val="tr"/>
        </w:rPr>
        <w:t>by</w:t>
      </w:r>
      <w:proofErr w:type="spellEnd"/>
      <w:r w:rsidRPr="007E5783">
        <w:rPr>
          <w:lang w:val="tr"/>
        </w:rPr>
        <w:t xml:space="preserve"> Taylor led </w:t>
      </w:r>
      <w:proofErr w:type="spellStart"/>
      <w:r w:rsidRPr="007E5783">
        <w:rPr>
          <w:lang w:val="tr"/>
        </w:rPr>
        <w:t>to</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adoption</w:t>
      </w:r>
      <w:proofErr w:type="spellEnd"/>
      <w:r w:rsidRPr="007E5783">
        <w:rPr>
          <w:lang w:val="tr"/>
        </w:rPr>
        <w:t xml:space="preserve"> of </w:t>
      </w:r>
      <w:proofErr w:type="spellStart"/>
      <w:r w:rsidRPr="007E5783">
        <w:rPr>
          <w:lang w:val="tr"/>
        </w:rPr>
        <w:t>the</w:t>
      </w:r>
      <w:proofErr w:type="spellEnd"/>
      <w:r w:rsidRPr="007E5783">
        <w:rPr>
          <w:lang w:val="tr"/>
        </w:rPr>
        <w:t xml:space="preserve"> </w:t>
      </w:r>
      <w:proofErr w:type="spellStart"/>
      <w:r w:rsidRPr="007E5783">
        <w:rPr>
          <w:lang w:val="tr"/>
        </w:rPr>
        <w:t>scientific</w:t>
      </w:r>
      <w:proofErr w:type="spellEnd"/>
      <w:r w:rsidRPr="007E5783">
        <w:rPr>
          <w:lang w:val="tr"/>
        </w:rPr>
        <w:t xml:space="preserve"> </w:t>
      </w:r>
      <w:proofErr w:type="spellStart"/>
      <w:r w:rsidRPr="007E5783">
        <w:rPr>
          <w:lang w:val="tr"/>
        </w:rPr>
        <w:t>approach</w:t>
      </w:r>
      <w:proofErr w:type="spellEnd"/>
      <w:r w:rsidRPr="007E5783">
        <w:rPr>
          <w:lang w:val="tr"/>
        </w:rPr>
        <w:t xml:space="preserve">, </w:t>
      </w:r>
      <w:proofErr w:type="spellStart"/>
      <w:r w:rsidRPr="007E5783">
        <w:rPr>
          <w:lang w:val="tr"/>
        </w:rPr>
        <w:t>which</w:t>
      </w:r>
      <w:proofErr w:type="spellEnd"/>
      <w:r w:rsidRPr="007E5783">
        <w:rPr>
          <w:lang w:val="tr"/>
        </w:rPr>
        <w:t xml:space="preserve"> is a </w:t>
      </w:r>
      <w:proofErr w:type="spellStart"/>
      <w:r w:rsidRPr="007E5783">
        <w:rPr>
          <w:lang w:val="tr"/>
        </w:rPr>
        <w:t>new</w:t>
      </w:r>
      <w:proofErr w:type="spellEnd"/>
      <w:r w:rsidRPr="007E5783">
        <w:rPr>
          <w:lang w:val="tr"/>
        </w:rPr>
        <w:t xml:space="preserve"> </w:t>
      </w:r>
      <w:proofErr w:type="spellStart"/>
      <w:r w:rsidRPr="007E5783">
        <w:rPr>
          <w:lang w:val="tr"/>
        </w:rPr>
        <w:t>approach</w:t>
      </w:r>
      <w:proofErr w:type="spellEnd"/>
      <w:r w:rsidRPr="007E5783">
        <w:rPr>
          <w:lang w:val="tr"/>
        </w:rPr>
        <w:t xml:space="preserve"> in </w:t>
      </w:r>
      <w:proofErr w:type="spellStart"/>
      <w:r w:rsidRPr="007E5783">
        <w:rPr>
          <w:lang w:val="tr"/>
        </w:rPr>
        <w:t>management</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approach</w:t>
      </w:r>
      <w:proofErr w:type="spellEnd"/>
      <w:r w:rsidRPr="007E5783">
        <w:rPr>
          <w:lang w:val="tr"/>
        </w:rPr>
        <w:t xml:space="preserve">, </w:t>
      </w:r>
      <w:proofErr w:type="spellStart"/>
      <w:r w:rsidRPr="007E5783">
        <w:rPr>
          <w:lang w:val="tr"/>
        </w:rPr>
        <w:t>which</w:t>
      </w:r>
      <w:proofErr w:type="spellEnd"/>
      <w:r w:rsidRPr="007E5783">
        <w:rPr>
          <w:lang w:val="tr"/>
        </w:rPr>
        <w:t xml:space="preserve"> </w:t>
      </w:r>
      <w:proofErr w:type="spellStart"/>
      <w:r w:rsidRPr="007E5783">
        <w:rPr>
          <w:lang w:val="tr"/>
        </w:rPr>
        <w:t>attracted</w:t>
      </w:r>
      <w:proofErr w:type="spellEnd"/>
      <w:r w:rsidRPr="007E5783">
        <w:rPr>
          <w:lang w:val="tr"/>
        </w:rPr>
        <w:t xml:space="preserve"> </w:t>
      </w:r>
      <w:proofErr w:type="spellStart"/>
      <w:r w:rsidRPr="007E5783">
        <w:rPr>
          <w:lang w:val="tr"/>
        </w:rPr>
        <w:t>international</w:t>
      </w:r>
      <w:proofErr w:type="spellEnd"/>
      <w:r w:rsidRPr="007E5783">
        <w:rPr>
          <w:lang w:val="tr"/>
        </w:rPr>
        <w:t xml:space="preserve"> </w:t>
      </w:r>
      <w:proofErr w:type="spellStart"/>
      <w:r w:rsidRPr="007E5783">
        <w:rPr>
          <w:lang w:val="tr"/>
        </w:rPr>
        <w:t>attention</w:t>
      </w:r>
      <w:proofErr w:type="spellEnd"/>
      <w:r w:rsidRPr="007E5783">
        <w:rPr>
          <w:lang w:val="tr"/>
        </w:rPr>
        <w:t xml:space="preserve">, </w:t>
      </w:r>
      <w:proofErr w:type="spellStart"/>
      <w:r w:rsidRPr="007E5783">
        <w:rPr>
          <w:lang w:val="tr"/>
        </w:rPr>
        <w:t>enabled</w:t>
      </w:r>
      <w:proofErr w:type="spellEnd"/>
      <w:r w:rsidRPr="007E5783">
        <w:rPr>
          <w:lang w:val="tr"/>
        </w:rPr>
        <w:t xml:space="preserve"> </w:t>
      </w:r>
      <w:proofErr w:type="spellStart"/>
      <w:r w:rsidRPr="007E5783">
        <w:rPr>
          <w:lang w:val="tr"/>
        </w:rPr>
        <w:t>managers</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take</w:t>
      </w:r>
      <w:proofErr w:type="spellEnd"/>
      <w:r w:rsidRPr="007E5783">
        <w:rPr>
          <w:lang w:val="tr"/>
        </w:rPr>
        <w:t xml:space="preserve"> </w:t>
      </w:r>
      <w:proofErr w:type="spellStart"/>
      <w:r w:rsidRPr="007E5783">
        <w:rPr>
          <w:lang w:val="tr"/>
        </w:rPr>
        <w:t>action</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implement</w:t>
      </w:r>
      <w:proofErr w:type="spellEnd"/>
      <w:r w:rsidRPr="007E5783">
        <w:rPr>
          <w:lang w:val="tr"/>
        </w:rPr>
        <w:t xml:space="preserve"> it in </w:t>
      </w:r>
      <w:proofErr w:type="spellStart"/>
      <w:r w:rsidRPr="007E5783">
        <w:rPr>
          <w:lang w:val="tr"/>
        </w:rPr>
        <w:t>their</w:t>
      </w:r>
      <w:proofErr w:type="spellEnd"/>
      <w:r w:rsidRPr="007E5783">
        <w:rPr>
          <w:lang w:val="tr"/>
        </w:rPr>
        <w:t xml:space="preserve"> </w:t>
      </w:r>
      <w:proofErr w:type="spellStart"/>
      <w:r w:rsidRPr="007E5783">
        <w:rPr>
          <w:lang w:val="tr"/>
        </w:rPr>
        <w:t>companies</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which</w:t>
      </w:r>
      <w:proofErr w:type="spellEnd"/>
      <w:r w:rsidRPr="007E5783">
        <w:rPr>
          <w:lang w:val="tr"/>
        </w:rPr>
        <w:t xml:space="preserve"> </w:t>
      </w:r>
      <w:proofErr w:type="spellStart"/>
      <w:r w:rsidRPr="007E5783">
        <w:rPr>
          <w:lang w:val="tr"/>
        </w:rPr>
        <w:t>still</w:t>
      </w:r>
      <w:proofErr w:type="spellEnd"/>
      <w:r w:rsidRPr="007E5783">
        <w:rPr>
          <w:lang w:val="tr"/>
        </w:rPr>
        <w:t xml:space="preserve"> </w:t>
      </w:r>
      <w:proofErr w:type="spellStart"/>
      <w:r w:rsidRPr="007E5783">
        <w:rPr>
          <w:lang w:val="tr"/>
        </w:rPr>
        <w:t>continues</w:t>
      </w:r>
      <w:proofErr w:type="spellEnd"/>
      <w:r w:rsidRPr="007E5783">
        <w:rPr>
          <w:lang w:val="tr"/>
        </w:rPr>
        <w:t xml:space="preserve"> </w:t>
      </w:r>
      <w:proofErr w:type="spellStart"/>
      <w:r w:rsidRPr="007E5783">
        <w:rPr>
          <w:lang w:val="tr"/>
        </w:rPr>
        <w:t>its</w:t>
      </w:r>
      <w:proofErr w:type="spellEnd"/>
      <w:r w:rsidRPr="007E5783">
        <w:rPr>
          <w:lang w:val="tr"/>
        </w:rPr>
        <w:t xml:space="preserve"> </w:t>
      </w:r>
      <w:proofErr w:type="spellStart"/>
      <w:r w:rsidRPr="007E5783">
        <w:rPr>
          <w:lang w:val="tr"/>
        </w:rPr>
        <w:t>effects</w:t>
      </w:r>
      <w:proofErr w:type="spellEnd"/>
      <w:r w:rsidRPr="007E5783">
        <w:rPr>
          <w:lang w:val="tr"/>
        </w:rPr>
        <w:t xml:space="preserve"> </w:t>
      </w:r>
      <w:proofErr w:type="spellStart"/>
      <w:r w:rsidRPr="007E5783">
        <w:rPr>
          <w:lang w:val="tr"/>
        </w:rPr>
        <w:t>today</w:t>
      </w:r>
      <w:proofErr w:type="spellEnd"/>
      <w:r w:rsidRPr="007E5783">
        <w:rPr>
          <w:lang w:val="tr"/>
        </w:rPr>
        <w:t xml:space="preserve">, has </w:t>
      </w:r>
      <w:proofErr w:type="spellStart"/>
      <w:r w:rsidRPr="007E5783">
        <w:rPr>
          <w:lang w:val="tr"/>
        </w:rPr>
        <w:t>started</w:t>
      </w:r>
      <w:proofErr w:type="spellEnd"/>
      <w:r w:rsidRPr="007E5783">
        <w:rPr>
          <w:lang w:val="tr"/>
        </w:rPr>
        <w:t xml:space="preserve"> </w:t>
      </w:r>
      <w:proofErr w:type="spellStart"/>
      <w:r w:rsidRPr="007E5783">
        <w:rPr>
          <w:lang w:val="tr"/>
        </w:rPr>
        <w:t>to</w:t>
      </w:r>
      <w:proofErr w:type="spellEnd"/>
      <w:r w:rsidRPr="007E5783">
        <w:rPr>
          <w:lang w:val="tr"/>
        </w:rPr>
        <w:t xml:space="preserve"> be </w:t>
      </w:r>
      <w:proofErr w:type="spellStart"/>
      <w:r w:rsidRPr="007E5783">
        <w:rPr>
          <w:lang w:val="tr"/>
        </w:rPr>
        <w:t>applied</w:t>
      </w:r>
      <w:proofErr w:type="spellEnd"/>
      <w:r w:rsidRPr="007E5783">
        <w:rPr>
          <w:lang w:val="tr"/>
        </w:rPr>
        <w:t xml:space="preserve"> </w:t>
      </w:r>
      <w:proofErr w:type="spellStart"/>
      <w:r w:rsidRPr="007E5783">
        <w:rPr>
          <w:lang w:val="tr"/>
        </w:rPr>
        <w:t>digitally</w:t>
      </w:r>
      <w:proofErr w:type="spellEnd"/>
      <w:r w:rsidRPr="007E5783">
        <w:rPr>
          <w:lang w:val="tr"/>
        </w:rPr>
        <w:t xml:space="preserve">, </w:t>
      </w:r>
      <w:proofErr w:type="spellStart"/>
      <w:r w:rsidRPr="007E5783">
        <w:rPr>
          <w:lang w:val="tr"/>
        </w:rPr>
        <w:t>especially</w:t>
      </w:r>
      <w:proofErr w:type="spellEnd"/>
      <w:r w:rsidRPr="007E5783">
        <w:rPr>
          <w:lang w:val="tr"/>
        </w:rPr>
        <w:t xml:space="preserve"> </w:t>
      </w:r>
      <w:proofErr w:type="spellStart"/>
      <w:r w:rsidRPr="007E5783">
        <w:rPr>
          <w:lang w:val="tr"/>
        </w:rPr>
        <w:t>after</w:t>
      </w:r>
      <w:proofErr w:type="spellEnd"/>
      <w:r w:rsidRPr="007E5783">
        <w:rPr>
          <w:lang w:val="tr"/>
        </w:rPr>
        <w:t xml:space="preserve"> </w:t>
      </w:r>
      <w:proofErr w:type="spellStart"/>
      <w:r w:rsidRPr="007E5783">
        <w:rPr>
          <w:lang w:val="tr"/>
        </w:rPr>
        <w:t>the</w:t>
      </w:r>
      <w:proofErr w:type="spellEnd"/>
      <w:r w:rsidRPr="007E5783">
        <w:rPr>
          <w:lang w:val="tr"/>
        </w:rPr>
        <w:t xml:space="preserve"> 2000s, </w:t>
      </w:r>
      <w:proofErr w:type="spellStart"/>
      <w:r w:rsidRPr="007E5783">
        <w:rPr>
          <w:lang w:val="tr"/>
        </w:rPr>
        <w:t>with</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development</w:t>
      </w:r>
      <w:proofErr w:type="spellEnd"/>
      <w:r w:rsidRPr="007E5783">
        <w:rPr>
          <w:lang w:val="tr"/>
        </w:rPr>
        <w:t xml:space="preserve"> of </w:t>
      </w:r>
      <w:proofErr w:type="spellStart"/>
      <w:r w:rsidRPr="007E5783">
        <w:rPr>
          <w:lang w:val="tr"/>
        </w:rPr>
        <w:t>technology</w:t>
      </w:r>
      <w:proofErr w:type="spellEnd"/>
      <w:r w:rsidRPr="007E5783">
        <w:rPr>
          <w:lang w:val="tr"/>
        </w:rPr>
        <w:t xml:space="preserve">. At </w:t>
      </w:r>
      <w:proofErr w:type="spellStart"/>
      <w:r w:rsidRPr="007E5783">
        <w:rPr>
          <w:lang w:val="tr"/>
        </w:rPr>
        <w:t>this</w:t>
      </w:r>
      <w:proofErr w:type="spellEnd"/>
      <w:r w:rsidRPr="007E5783">
        <w:rPr>
          <w:lang w:val="tr"/>
        </w:rPr>
        <w:t xml:space="preserve"> </w:t>
      </w:r>
      <w:proofErr w:type="spellStart"/>
      <w:r w:rsidRPr="007E5783">
        <w:rPr>
          <w:lang w:val="tr"/>
        </w:rPr>
        <w:t>point</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approach</w:t>
      </w:r>
      <w:proofErr w:type="spellEnd"/>
      <w:r w:rsidRPr="007E5783">
        <w:rPr>
          <w:lang w:val="tr"/>
        </w:rPr>
        <w:t xml:space="preserve"> </w:t>
      </w:r>
      <w:proofErr w:type="spellStart"/>
      <w:r w:rsidRPr="007E5783">
        <w:rPr>
          <w:lang w:val="tr"/>
        </w:rPr>
        <w:t>evolved</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was</w:t>
      </w:r>
      <w:proofErr w:type="spellEnd"/>
      <w:r w:rsidRPr="007E5783">
        <w:rPr>
          <w:lang w:val="tr"/>
        </w:rPr>
        <w:t xml:space="preserve"> </w:t>
      </w:r>
      <w:proofErr w:type="spellStart"/>
      <w:r w:rsidRPr="007E5783">
        <w:rPr>
          <w:lang w:val="tr"/>
        </w:rPr>
        <w:t>replaced</w:t>
      </w:r>
      <w:proofErr w:type="spellEnd"/>
      <w:r w:rsidRPr="007E5783">
        <w:rPr>
          <w:lang w:val="tr"/>
        </w:rPr>
        <w:t xml:space="preserve"> </w:t>
      </w:r>
      <w:proofErr w:type="spellStart"/>
      <w:r w:rsidRPr="007E5783">
        <w:rPr>
          <w:lang w:val="tr"/>
        </w:rPr>
        <w:t>by</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approach</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study</w:t>
      </w:r>
      <w:proofErr w:type="spellEnd"/>
      <w:r w:rsidRPr="007E5783">
        <w:rPr>
          <w:lang w:val="tr"/>
        </w:rPr>
        <w:t xml:space="preserve"> </w:t>
      </w:r>
      <w:proofErr w:type="spellStart"/>
      <w:r w:rsidRPr="007E5783">
        <w:rPr>
          <w:lang w:val="tr"/>
        </w:rPr>
        <w:t>examines</w:t>
      </w:r>
      <w:proofErr w:type="spellEnd"/>
      <w:r w:rsidRPr="007E5783">
        <w:rPr>
          <w:lang w:val="tr"/>
        </w:rPr>
        <w:t xml:space="preserve"> how </w:t>
      </w:r>
      <w:proofErr w:type="spellStart"/>
      <w:r w:rsidRPr="007E5783">
        <w:rPr>
          <w:lang w:val="tr"/>
        </w:rPr>
        <w:t>the</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approach</w:t>
      </w:r>
      <w:proofErr w:type="spellEnd"/>
      <w:r w:rsidRPr="007E5783">
        <w:rPr>
          <w:lang w:val="tr"/>
        </w:rPr>
        <w:t xml:space="preserve"> has </w:t>
      </w:r>
      <w:proofErr w:type="spellStart"/>
      <w:r w:rsidRPr="007E5783">
        <w:rPr>
          <w:lang w:val="tr"/>
        </w:rPr>
        <w:t>evolved</w:t>
      </w:r>
      <w:proofErr w:type="spellEnd"/>
      <w:r w:rsidRPr="007E5783">
        <w:rPr>
          <w:lang w:val="tr"/>
        </w:rPr>
        <w:t xml:space="preserve"> </w:t>
      </w:r>
      <w:proofErr w:type="spellStart"/>
      <w:r w:rsidRPr="007E5783">
        <w:rPr>
          <w:lang w:val="tr"/>
        </w:rPr>
        <w:t>into</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today</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change</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development</w:t>
      </w:r>
      <w:proofErr w:type="spellEnd"/>
      <w:r w:rsidRPr="007E5783">
        <w:rPr>
          <w:lang w:val="tr"/>
        </w:rPr>
        <w:t xml:space="preserve"> of </w:t>
      </w:r>
      <w:proofErr w:type="spellStart"/>
      <w:r w:rsidRPr="007E5783">
        <w:rPr>
          <w:lang w:val="tr"/>
        </w:rPr>
        <w:t>the</w:t>
      </w:r>
      <w:proofErr w:type="spellEnd"/>
      <w:r w:rsidRPr="007E5783">
        <w:rPr>
          <w:lang w:val="tr"/>
        </w:rPr>
        <w:t xml:space="preserve"> </w:t>
      </w:r>
      <w:proofErr w:type="spellStart"/>
      <w:r w:rsidRPr="007E5783">
        <w:rPr>
          <w:lang w:val="tr"/>
        </w:rPr>
        <w:t>concept</w:t>
      </w:r>
      <w:proofErr w:type="spellEnd"/>
      <w:r w:rsidRPr="007E5783">
        <w:rPr>
          <w:lang w:val="tr"/>
        </w:rPr>
        <w:t xml:space="preserve"> of “</w:t>
      </w:r>
      <w:proofErr w:type="spellStart"/>
      <w:r w:rsidRPr="007E5783">
        <w:rPr>
          <w:lang w:val="tr"/>
        </w:rPr>
        <w:t>supervision</w:t>
      </w:r>
      <w:proofErr w:type="spellEnd"/>
      <w:r w:rsidRPr="007E5783">
        <w:rPr>
          <w:lang w:val="tr"/>
        </w:rPr>
        <w:t xml:space="preserve">” </w:t>
      </w:r>
      <w:proofErr w:type="spellStart"/>
      <w:r w:rsidRPr="007E5783">
        <w:rPr>
          <w:lang w:val="tr"/>
        </w:rPr>
        <w:t>between</w:t>
      </w:r>
      <w:proofErr w:type="spellEnd"/>
      <w:r w:rsidRPr="007E5783">
        <w:rPr>
          <w:lang w:val="tr"/>
        </w:rPr>
        <w:t xml:space="preserve"> </w:t>
      </w:r>
      <w:proofErr w:type="spellStart"/>
      <w:r w:rsidRPr="007E5783">
        <w:rPr>
          <w:lang w:val="tr"/>
        </w:rPr>
        <w:t>the</w:t>
      </w:r>
      <w:proofErr w:type="spellEnd"/>
      <w:r w:rsidRPr="007E5783">
        <w:rPr>
          <w:lang w:val="tr"/>
        </w:rPr>
        <w:t xml:space="preserve"> two </w:t>
      </w:r>
      <w:proofErr w:type="spellStart"/>
      <w:r w:rsidRPr="007E5783">
        <w:rPr>
          <w:lang w:val="tr"/>
        </w:rPr>
        <w:t>approaches</w:t>
      </w:r>
      <w:proofErr w:type="spellEnd"/>
      <w:r w:rsidRPr="007E5783">
        <w:rPr>
          <w:lang w:val="tr"/>
        </w:rPr>
        <w:t xml:space="preserve"> </w:t>
      </w:r>
      <w:proofErr w:type="spellStart"/>
      <w:r w:rsidRPr="007E5783">
        <w:rPr>
          <w:lang w:val="tr"/>
        </w:rPr>
        <w:t>during</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evolution</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phenomenon</w:t>
      </w:r>
      <w:proofErr w:type="spellEnd"/>
      <w:r w:rsidRPr="007E5783">
        <w:rPr>
          <w:lang w:val="tr"/>
        </w:rPr>
        <w:t xml:space="preserve"> of </w:t>
      </w:r>
      <w:proofErr w:type="spellStart"/>
      <w:r w:rsidRPr="007E5783">
        <w:rPr>
          <w:lang w:val="tr"/>
        </w:rPr>
        <w:t>supervision</w:t>
      </w:r>
      <w:proofErr w:type="spellEnd"/>
      <w:r w:rsidRPr="007E5783">
        <w:rPr>
          <w:lang w:val="tr"/>
        </w:rPr>
        <w:t xml:space="preserve"> has </w:t>
      </w:r>
      <w:proofErr w:type="spellStart"/>
      <w:r w:rsidRPr="007E5783">
        <w:rPr>
          <w:lang w:val="tr"/>
        </w:rPr>
        <w:t>existed</w:t>
      </w:r>
      <w:proofErr w:type="spellEnd"/>
      <w:r w:rsidRPr="007E5783">
        <w:rPr>
          <w:lang w:val="tr"/>
        </w:rPr>
        <w:t xml:space="preserve"> </w:t>
      </w:r>
      <w:proofErr w:type="spellStart"/>
      <w:r w:rsidRPr="007E5783">
        <w:rPr>
          <w:lang w:val="tr"/>
        </w:rPr>
        <w:t>existentially</w:t>
      </w:r>
      <w:proofErr w:type="spellEnd"/>
      <w:r w:rsidRPr="007E5783">
        <w:rPr>
          <w:lang w:val="tr"/>
        </w:rPr>
        <w:t xml:space="preserve"> since </w:t>
      </w:r>
      <w:proofErr w:type="spellStart"/>
      <w:r w:rsidRPr="007E5783">
        <w:rPr>
          <w:lang w:val="tr"/>
        </w:rPr>
        <w:t>the</w:t>
      </w:r>
      <w:proofErr w:type="spellEnd"/>
      <w:r w:rsidRPr="007E5783">
        <w:rPr>
          <w:lang w:val="tr"/>
        </w:rPr>
        <w:t xml:space="preserve"> </w:t>
      </w:r>
      <w:proofErr w:type="spellStart"/>
      <w:r w:rsidRPr="007E5783">
        <w:rPr>
          <w:lang w:val="tr"/>
        </w:rPr>
        <w:t>beginning</w:t>
      </w:r>
      <w:proofErr w:type="spellEnd"/>
      <w:r w:rsidRPr="007E5783">
        <w:rPr>
          <w:lang w:val="tr"/>
        </w:rPr>
        <w:t xml:space="preserve"> of </w:t>
      </w:r>
      <w:proofErr w:type="spellStart"/>
      <w:r w:rsidRPr="007E5783">
        <w:rPr>
          <w:lang w:val="tr"/>
        </w:rPr>
        <w:t>human</w:t>
      </w:r>
      <w:proofErr w:type="spellEnd"/>
      <w:r w:rsidRPr="007E5783">
        <w:rPr>
          <w:lang w:val="tr"/>
        </w:rPr>
        <w:t xml:space="preserve"> </w:t>
      </w:r>
      <w:proofErr w:type="spellStart"/>
      <w:r w:rsidRPr="007E5783">
        <w:rPr>
          <w:lang w:val="tr"/>
        </w:rPr>
        <w:t>history</w:t>
      </w:r>
      <w:proofErr w:type="spellEnd"/>
      <w:r w:rsidRPr="007E5783">
        <w:rPr>
          <w:lang w:val="tr"/>
        </w:rPr>
        <w:t xml:space="preserve">. </w:t>
      </w:r>
      <w:proofErr w:type="spellStart"/>
      <w:r w:rsidRPr="007E5783">
        <w:rPr>
          <w:lang w:val="tr"/>
        </w:rPr>
        <w:t>While</w:t>
      </w:r>
      <w:proofErr w:type="spellEnd"/>
      <w:r w:rsidRPr="007E5783">
        <w:rPr>
          <w:lang w:val="tr"/>
        </w:rPr>
        <w:t xml:space="preserve"> in </w:t>
      </w:r>
      <w:proofErr w:type="spellStart"/>
      <w:r w:rsidRPr="007E5783">
        <w:rPr>
          <w:lang w:val="tr"/>
        </w:rPr>
        <w:t>the</w:t>
      </w:r>
      <w:proofErr w:type="spellEnd"/>
      <w:r w:rsidRPr="007E5783">
        <w:rPr>
          <w:lang w:val="tr"/>
        </w:rPr>
        <w:t xml:space="preserve"> </w:t>
      </w:r>
      <w:proofErr w:type="spellStart"/>
      <w:r w:rsidRPr="007E5783">
        <w:rPr>
          <w:lang w:val="tr"/>
        </w:rPr>
        <w:t>past</w:t>
      </w:r>
      <w:proofErr w:type="spellEnd"/>
      <w:r w:rsidRPr="007E5783">
        <w:rPr>
          <w:lang w:val="tr"/>
        </w:rPr>
        <w:t xml:space="preserve"> it </w:t>
      </w:r>
      <w:proofErr w:type="spellStart"/>
      <w:r w:rsidRPr="007E5783">
        <w:rPr>
          <w:lang w:val="tr"/>
        </w:rPr>
        <w:t>was</w:t>
      </w:r>
      <w:proofErr w:type="spellEnd"/>
      <w:r w:rsidRPr="007E5783">
        <w:rPr>
          <w:lang w:val="tr"/>
        </w:rPr>
        <w:t xml:space="preserve"> </w:t>
      </w:r>
      <w:proofErr w:type="spellStart"/>
      <w:r w:rsidRPr="007E5783">
        <w:rPr>
          <w:lang w:val="tr"/>
        </w:rPr>
        <w:t>about</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supervision</w:t>
      </w:r>
      <w:proofErr w:type="spellEnd"/>
      <w:r w:rsidRPr="007E5783">
        <w:rPr>
          <w:lang w:val="tr"/>
        </w:rPr>
        <w:t xml:space="preserve"> of </w:t>
      </w:r>
      <w:proofErr w:type="spellStart"/>
      <w:r w:rsidRPr="007E5783">
        <w:rPr>
          <w:lang w:val="tr"/>
        </w:rPr>
        <w:t>workers</w:t>
      </w:r>
      <w:proofErr w:type="spellEnd"/>
      <w:r w:rsidRPr="007E5783">
        <w:rPr>
          <w:lang w:val="tr"/>
        </w:rPr>
        <w:t xml:space="preserve">, </w:t>
      </w:r>
      <w:proofErr w:type="spellStart"/>
      <w:r w:rsidRPr="007E5783">
        <w:rPr>
          <w:lang w:val="tr"/>
        </w:rPr>
        <w:t>today</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concept</w:t>
      </w:r>
      <w:proofErr w:type="spellEnd"/>
      <w:r w:rsidRPr="007E5783">
        <w:rPr>
          <w:lang w:val="tr"/>
        </w:rPr>
        <w:t xml:space="preserve"> has </w:t>
      </w:r>
      <w:proofErr w:type="spellStart"/>
      <w:r w:rsidRPr="007E5783">
        <w:rPr>
          <w:lang w:val="tr"/>
        </w:rPr>
        <w:t>evolved</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permeated</w:t>
      </w:r>
      <w:proofErr w:type="spellEnd"/>
      <w:r w:rsidRPr="007E5783">
        <w:rPr>
          <w:lang w:val="tr"/>
        </w:rPr>
        <w:t xml:space="preserve"> </w:t>
      </w:r>
      <w:proofErr w:type="spellStart"/>
      <w:r w:rsidRPr="007E5783">
        <w:rPr>
          <w:lang w:val="tr"/>
        </w:rPr>
        <w:t>business</w:t>
      </w:r>
      <w:proofErr w:type="spellEnd"/>
      <w:r w:rsidRPr="007E5783">
        <w:rPr>
          <w:lang w:val="tr"/>
        </w:rPr>
        <w:t xml:space="preserve"> life in a </w:t>
      </w:r>
      <w:proofErr w:type="spellStart"/>
      <w:r w:rsidRPr="007E5783">
        <w:rPr>
          <w:lang w:val="tr"/>
        </w:rPr>
        <w:t>more</w:t>
      </w:r>
      <w:proofErr w:type="spellEnd"/>
      <w:r w:rsidRPr="007E5783">
        <w:rPr>
          <w:lang w:val="tr"/>
        </w:rPr>
        <w:t xml:space="preserve"> </w:t>
      </w:r>
      <w:proofErr w:type="spellStart"/>
      <w:r w:rsidRPr="007E5783">
        <w:rPr>
          <w:lang w:val="tr"/>
        </w:rPr>
        <w:t>effective</w:t>
      </w:r>
      <w:proofErr w:type="spellEnd"/>
      <w:r w:rsidRPr="007E5783">
        <w:rPr>
          <w:lang w:val="tr"/>
        </w:rPr>
        <w:t xml:space="preserve"> </w:t>
      </w:r>
      <w:proofErr w:type="spellStart"/>
      <w:r w:rsidRPr="007E5783">
        <w:rPr>
          <w:lang w:val="tr"/>
        </w:rPr>
        <w:t>way</w:t>
      </w:r>
      <w:proofErr w:type="spellEnd"/>
      <w:r w:rsidRPr="007E5783">
        <w:rPr>
          <w:lang w:val="tr"/>
        </w:rPr>
        <w:t xml:space="preserve">. </w:t>
      </w:r>
      <w:proofErr w:type="spellStart"/>
      <w:r w:rsidRPr="007E5783">
        <w:rPr>
          <w:lang w:val="tr"/>
        </w:rPr>
        <w:t>While</w:t>
      </w:r>
      <w:proofErr w:type="spellEnd"/>
      <w:r w:rsidRPr="007E5783">
        <w:rPr>
          <w:lang w:val="tr"/>
        </w:rPr>
        <w:t xml:space="preserve"> Taylor </w:t>
      </w:r>
      <w:proofErr w:type="spellStart"/>
      <w:r w:rsidRPr="007E5783">
        <w:rPr>
          <w:lang w:val="tr"/>
        </w:rPr>
        <w:t>stated</w:t>
      </w:r>
      <w:proofErr w:type="spellEnd"/>
      <w:r w:rsidRPr="007E5783">
        <w:rPr>
          <w:lang w:val="tr"/>
        </w:rPr>
        <w:t xml:space="preserve"> </w:t>
      </w:r>
      <w:proofErr w:type="spellStart"/>
      <w:r w:rsidRPr="007E5783">
        <w:rPr>
          <w:lang w:val="tr"/>
        </w:rPr>
        <w:t>that</w:t>
      </w:r>
      <w:proofErr w:type="spellEnd"/>
      <w:r w:rsidRPr="007E5783">
        <w:rPr>
          <w:lang w:val="tr"/>
        </w:rPr>
        <w:t xml:space="preserve"> </w:t>
      </w:r>
      <w:proofErr w:type="spellStart"/>
      <w:r w:rsidRPr="007E5783">
        <w:rPr>
          <w:lang w:val="tr"/>
        </w:rPr>
        <w:t>workers</w:t>
      </w:r>
      <w:proofErr w:type="spellEnd"/>
      <w:r w:rsidRPr="007E5783">
        <w:rPr>
          <w:lang w:val="tr"/>
        </w:rPr>
        <w:t xml:space="preserve"> </w:t>
      </w:r>
      <w:proofErr w:type="spellStart"/>
      <w:r w:rsidRPr="007E5783">
        <w:rPr>
          <w:lang w:val="tr"/>
        </w:rPr>
        <w:t>should</w:t>
      </w:r>
      <w:proofErr w:type="spellEnd"/>
      <w:r w:rsidRPr="007E5783">
        <w:rPr>
          <w:lang w:val="tr"/>
        </w:rPr>
        <w:t xml:space="preserve"> be </w:t>
      </w:r>
      <w:proofErr w:type="spellStart"/>
      <w:r w:rsidRPr="007E5783">
        <w:rPr>
          <w:lang w:val="tr"/>
        </w:rPr>
        <w:t>supervised</w:t>
      </w:r>
      <w:proofErr w:type="spellEnd"/>
      <w:r w:rsidRPr="007E5783">
        <w:rPr>
          <w:lang w:val="tr"/>
        </w:rPr>
        <w:t xml:space="preserve">, </w:t>
      </w:r>
      <w:proofErr w:type="spellStart"/>
      <w:r w:rsidRPr="007E5783">
        <w:rPr>
          <w:lang w:val="tr"/>
        </w:rPr>
        <w:t>before</w:t>
      </w:r>
      <w:proofErr w:type="spellEnd"/>
      <w:r w:rsidRPr="007E5783">
        <w:rPr>
          <w:lang w:val="tr"/>
        </w:rPr>
        <w:t xml:space="preserve"> </w:t>
      </w:r>
      <w:proofErr w:type="spellStart"/>
      <w:r w:rsidRPr="007E5783">
        <w:rPr>
          <w:lang w:val="tr"/>
        </w:rPr>
        <w:t>him</w:t>
      </w:r>
      <w:proofErr w:type="spellEnd"/>
      <w:r w:rsidRPr="007E5783">
        <w:rPr>
          <w:lang w:val="tr"/>
        </w:rPr>
        <w:t xml:space="preserve"> Robert </w:t>
      </w:r>
      <w:proofErr w:type="spellStart"/>
      <w:r w:rsidRPr="007E5783">
        <w:rPr>
          <w:lang w:val="tr"/>
        </w:rPr>
        <w:t>Owen</w:t>
      </w:r>
      <w:proofErr w:type="spellEnd"/>
      <w:r w:rsidRPr="007E5783">
        <w:rPr>
          <w:lang w:val="tr"/>
        </w:rPr>
        <w:t xml:space="preserve"> </w:t>
      </w:r>
      <w:proofErr w:type="spellStart"/>
      <w:r w:rsidRPr="007E5783">
        <w:rPr>
          <w:lang w:val="tr"/>
        </w:rPr>
        <w:t>carried</w:t>
      </w:r>
      <w:proofErr w:type="spellEnd"/>
      <w:r w:rsidRPr="007E5783">
        <w:rPr>
          <w:lang w:val="tr"/>
        </w:rPr>
        <w:t xml:space="preserve"> </w:t>
      </w:r>
      <w:proofErr w:type="spellStart"/>
      <w:r w:rsidRPr="007E5783">
        <w:rPr>
          <w:lang w:val="tr"/>
        </w:rPr>
        <w:t>out</w:t>
      </w:r>
      <w:proofErr w:type="spellEnd"/>
      <w:r w:rsidRPr="007E5783">
        <w:rPr>
          <w:lang w:val="tr"/>
        </w:rPr>
        <w:t xml:space="preserve"> </w:t>
      </w:r>
      <w:proofErr w:type="spellStart"/>
      <w:r w:rsidRPr="007E5783">
        <w:rPr>
          <w:lang w:val="tr"/>
        </w:rPr>
        <w:t>studies</w:t>
      </w:r>
      <w:proofErr w:type="spellEnd"/>
      <w:r w:rsidRPr="007E5783">
        <w:rPr>
          <w:lang w:val="tr"/>
        </w:rPr>
        <w:t xml:space="preserve"> on </w:t>
      </w:r>
      <w:proofErr w:type="spellStart"/>
      <w:r w:rsidRPr="007E5783">
        <w:rPr>
          <w:lang w:val="tr"/>
        </w:rPr>
        <w:t>the</w:t>
      </w:r>
      <w:proofErr w:type="spellEnd"/>
      <w:r w:rsidRPr="007E5783">
        <w:rPr>
          <w:lang w:val="tr"/>
        </w:rPr>
        <w:t xml:space="preserve"> </w:t>
      </w:r>
      <w:proofErr w:type="spellStart"/>
      <w:r w:rsidRPr="007E5783">
        <w:rPr>
          <w:lang w:val="tr"/>
        </w:rPr>
        <w:t>necessity</w:t>
      </w:r>
      <w:proofErr w:type="spellEnd"/>
      <w:r w:rsidRPr="007E5783">
        <w:rPr>
          <w:lang w:val="tr"/>
        </w:rPr>
        <w:t xml:space="preserve"> of </w:t>
      </w:r>
      <w:proofErr w:type="spellStart"/>
      <w:r w:rsidRPr="007E5783">
        <w:rPr>
          <w:lang w:val="tr"/>
        </w:rPr>
        <w:t>supervision</w:t>
      </w:r>
      <w:proofErr w:type="spellEnd"/>
      <w:r w:rsidRPr="007E5783">
        <w:rPr>
          <w:lang w:val="tr"/>
        </w:rPr>
        <w:t xml:space="preserve">. </w:t>
      </w:r>
      <w:proofErr w:type="spellStart"/>
      <w:r w:rsidRPr="007E5783">
        <w:rPr>
          <w:lang w:val="tr"/>
        </w:rPr>
        <w:t>Although</w:t>
      </w:r>
      <w:proofErr w:type="spellEnd"/>
      <w:r w:rsidRPr="007E5783">
        <w:rPr>
          <w:lang w:val="tr"/>
        </w:rPr>
        <w:t xml:space="preserve"> his </w:t>
      </w:r>
      <w:proofErr w:type="spellStart"/>
      <w:r w:rsidRPr="007E5783">
        <w:rPr>
          <w:lang w:val="tr"/>
        </w:rPr>
        <w:t>ideas</w:t>
      </w:r>
      <w:proofErr w:type="spellEnd"/>
      <w:r w:rsidRPr="007E5783">
        <w:rPr>
          <w:lang w:val="tr"/>
        </w:rPr>
        <w:t xml:space="preserve"> </w:t>
      </w:r>
      <w:proofErr w:type="spellStart"/>
      <w:r w:rsidRPr="007E5783">
        <w:rPr>
          <w:lang w:val="tr"/>
        </w:rPr>
        <w:t>were</w:t>
      </w:r>
      <w:proofErr w:type="spellEnd"/>
      <w:r w:rsidRPr="007E5783">
        <w:rPr>
          <w:lang w:val="tr"/>
        </w:rPr>
        <w:t xml:space="preserve"> </w:t>
      </w:r>
      <w:proofErr w:type="spellStart"/>
      <w:r w:rsidRPr="007E5783">
        <w:rPr>
          <w:lang w:val="tr"/>
        </w:rPr>
        <w:t>adopted</w:t>
      </w:r>
      <w:proofErr w:type="spellEnd"/>
      <w:r w:rsidRPr="007E5783">
        <w:rPr>
          <w:lang w:val="tr"/>
        </w:rPr>
        <w:t xml:space="preserve"> </w:t>
      </w:r>
      <w:proofErr w:type="spellStart"/>
      <w:r w:rsidRPr="007E5783">
        <w:rPr>
          <w:lang w:val="tr"/>
        </w:rPr>
        <w:t>after</w:t>
      </w:r>
      <w:proofErr w:type="spellEnd"/>
      <w:r w:rsidRPr="007E5783">
        <w:rPr>
          <w:lang w:val="tr"/>
        </w:rPr>
        <w:t xml:space="preserve"> </w:t>
      </w:r>
      <w:proofErr w:type="spellStart"/>
      <w:r w:rsidRPr="007E5783">
        <w:rPr>
          <w:lang w:val="tr"/>
        </w:rPr>
        <w:t>the</w:t>
      </w:r>
      <w:proofErr w:type="spellEnd"/>
      <w:r w:rsidRPr="007E5783">
        <w:rPr>
          <w:lang w:val="tr"/>
        </w:rPr>
        <w:t xml:space="preserve"> Second World </w:t>
      </w:r>
      <w:proofErr w:type="spellStart"/>
      <w:r w:rsidRPr="007E5783">
        <w:rPr>
          <w:lang w:val="tr"/>
        </w:rPr>
        <w:t>War</w:t>
      </w:r>
      <w:proofErr w:type="spellEnd"/>
      <w:r w:rsidRPr="007E5783">
        <w:rPr>
          <w:lang w:val="tr"/>
        </w:rPr>
        <w:t xml:space="preserve"> </w:t>
      </w:r>
      <w:proofErr w:type="spellStart"/>
      <w:r w:rsidRPr="007E5783">
        <w:rPr>
          <w:lang w:val="tr"/>
        </w:rPr>
        <w:t>with</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widespread</w:t>
      </w:r>
      <w:proofErr w:type="spellEnd"/>
      <w:r w:rsidRPr="007E5783">
        <w:rPr>
          <w:lang w:val="tr"/>
        </w:rPr>
        <w:t xml:space="preserve"> </w:t>
      </w:r>
      <w:proofErr w:type="spellStart"/>
      <w:r w:rsidRPr="007E5783">
        <w:rPr>
          <w:lang w:val="tr"/>
        </w:rPr>
        <w:t>publication</w:t>
      </w:r>
      <w:proofErr w:type="spellEnd"/>
      <w:r w:rsidRPr="007E5783">
        <w:rPr>
          <w:lang w:val="tr"/>
        </w:rPr>
        <w:t xml:space="preserve"> of Henry </w:t>
      </w:r>
      <w:proofErr w:type="spellStart"/>
      <w:r w:rsidRPr="007E5783">
        <w:rPr>
          <w:lang w:val="tr"/>
        </w:rPr>
        <w:t>Fayol's</w:t>
      </w:r>
      <w:proofErr w:type="spellEnd"/>
      <w:r w:rsidRPr="007E5783">
        <w:rPr>
          <w:lang w:val="tr"/>
        </w:rPr>
        <w:t xml:space="preserve"> </w:t>
      </w:r>
      <w:proofErr w:type="spellStart"/>
      <w:r w:rsidRPr="007E5783">
        <w:rPr>
          <w:lang w:val="tr"/>
        </w:rPr>
        <w:t>book</w:t>
      </w:r>
      <w:proofErr w:type="spellEnd"/>
      <w:r w:rsidRPr="007E5783">
        <w:rPr>
          <w:lang w:val="tr"/>
        </w:rPr>
        <w:t xml:space="preserve"> “</w:t>
      </w:r>
      <w:proofErr w:type="spellStart"/>
      <w:r w:rsidRPr="007E5783">
        <w:rPr>
          <w:lang w:val="tr"/>
        </w:rPr>
        <w:t>Industrial</w:t>
      </w:r>
      <w:proofErr w:type="spellEnd"/>
      <w:r w:rsidRPr="007E5783">
        <w:rPr>
          <w:lang w:val="tr"/>
        </w:rPr>
        <w:t xml:space="preserve"> Management”, </w:t>
      </w:r>
      <w:proofErr w:type="spellStart"/>
      <w:r w:rsidRPr="007E5783">
        <w:rPr>
          <w:lang w:val="tr"/>
        </w:rPr>
        <w:t>Taylor's</w:t>
      </w:r>
      <w:proofErr w:type="spellEnd"/>
      <w:r w:rsidRPr="007E5783">
        <w:rPr>
          <w:lang w:val="tr"/>
        </w:rPr>
        <w:t xml:space="preserve"> </w:t>
      </w:r>
      <w:proofErr w:type="spellStart"/>
      <w:r w:rsidRPr="007E5783">
        <w:rPr>
          <w:lang w:val="tr"/>
        </w:rPr>
        <w:t>scientific</w:t>
      </w:r>
      <w:proofErr w:type="spellEnd"/>
      <w:r w:rsidRPr="007E5783">
        <w:rPr>
          <w:lang w:val="tr"/>
        </w:rPr>
        <w:t xml:space="preserve"> </w:t>
      </w:r>
      <w:proofErr w:type="spellStart"/>
      <w:r w:rsidRPr="007E5783">
        <w:rPr>
          <w:lang w:val="tr"/>
        </w:rPr>
        <w:t>approach</w:t>
      </w:r>
      <w:proofErr w:type="spellEnd"/>
      <w:r w:rsidRPr="007E5783">
        <w:rPr>
          <w:lang w:val="tr"/>
        </w:rPr>
        <w:t xml:space="preserve"> is </w:t>
      </w:r>
      <w:proofErr w:type="spellStart"/>
      <w:r w:rsidRPr="007E5783">
        <w:rPr>
          <w:lang w:val="tr"/>
        </w:rPr>
        <w:t>still</w:t>
      </w:r>
      <w:proofErr w:type="spellEnd"/>
      <w:r w:rsidRPr="007E5783">
        <w:rPr>
          <w:lang w:val="tr"/>
        </w:rPr>
        <w:t xml:space="preserve"> </w:t>
      </w:r>
      <w:proofErr w:type="spellStart"/>
      <w:r w:rsidRPr="007E5783">
        <w:rPr>
          <w:lang w:val="tr"/>
        </w:rPr>
        <w:t>effective</w:t>
      </w:r>
      <w:proofErr w:type="spellEnd"/>
      <w:r w:rsidRPr="007E5783">
        <w:rPr>
          <w:lang w:val="tr"/>
        </w:rPr>
        <w:t xml:space="preserve"> </w:t>
      </w:r>
      <w:proofErr w:type="spellStart"/>
      <w:r w:rsidRPr="007E5783">
        <w:rPr>
          <w:lang w:val="tr"/>
        </w:rPr>
        <w:t>today</w:t>
      </w:r>
      <w:proofErr w:type="spellEnd"/>
      <w:r w:rsidRPr="007E5783">
        <w:rPr>
          <w:lang w:val="tr"/>
        </w:rPr>
        <w:t xml:space="preserve">. </w:t>
      </w:r>
      <w:proofErr w:type="spellStart"/>
      <w:r w:rsidRPr="007E5783">
        <w:rPr>
          <w:lang w:val="tr"/>
        </w:rPr>
        <w:t>In</w:t>
      </w:r>
      <w:proofErr w:type="spellEnd"/>
      <w:r w:rsidRPr="007E5783">
        <w:rPr>
          <w:lang w:val="tr"/>
        </w:rPr>
        <w:t xml:space="preserve"> 2011, Germany </w:t>
      </w:r>
      <w:proofErr w:type="spellStart"/>
      <w:r w:rsidRPr="007E5783">
        <w:rPr>
          <w:lang w:val="tr"/>
        </w:rPr>
        <w:t>officially</w:t>
      </w:r>
      <w:proofErr w:type="spellEnd"/>
      <w:r w:rsidRPr="007E5783">
        <w:rPr>
          <w:lang w:val="tr"/>
        </w:rPr>
        <w:t xml:space="preserve"> </w:t>
      </w:r>
      <w:proofErr w:type="spellStart"/>
      <w:r w:rsidRPr="007E5783">
        <w:rPr>
          <w:lang w:val="tr"/>
        </w:rPr>
        <w:t>declared</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beginning</w:t>
      </w:r>
      <w:proofErr w:type="spellEnd"/>
      <w:r w:rsidRPr="007E5783">
        <w:rPr>
          <w:lang w:val="tr"/>
        </w:rPr>
        <w:t xml:space="preserve"> of </w:t>
      </w:r>
      <w:proofErr w:type="spellStart"/>
      <w:r w:rsidRPr="007E5783">
        <w:rPr>
          <w:lang w:val="tr"/>
        </w:rPr>
        <w:t>the</w:t>
      </w:r>
      <w:proofErr w:type="spellEnd"/>
      <w:r w:rsidRPr="007E5783">
        <w:rPr>
          <w:lang w:val="tr"/>
        </w:rPr>
        <w:t xml:space="preserve"> 4th </w:t>
      </w:r>
      <w:proofErr w:type="spellStart"/>
      <w:r w:rsidRPr="007E5783">
        <w:rPr>
          <w:lang w:val="tr"/>
        </w:rPr>
        <w:t>industrial</w:t>
      </w:r>
      <w:proofErr w:type="spellEnd"/>
      <w:r w:rsidRPr="007E5783">
        <w:rPr>
          <w:lang w:val="tr"/>
        </w:rPr>
        <w:t xml:space="preserve"> </w:t>
      </w:r>
      <w:proofErr w:type="spellStart"/>
      <w:r w:rsidRPr="007E5783">
        <w:rPr>
          <w:lang w:val="tr"/>
        </w:rPr>
        <w:t>revolution</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age</w:t>
      </w:r>
      <w:proofErr w:type="spellEnd"/>
      <w:r w:rsidRPr="007E5783">
        <w:rPr>
          <w:lang w:val="tr"/>
        </w:rPr>
        <w:t xml:space="preserve"> of </w:t>
      </w:r>
      <w:proofErr w:type="spellStart"/>
      <w:r w:rsidRPr="007E5783">
        <w:rPr>
          <w:lang w:val="tr"/>
        </w:rPr>
        <w:t>technology</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the</w:t>
      </w:r>
      <w:proofErr w:type="spellEnd"/>
      <w:r w:rsidRPr="007E5783">
        <w:rPr>
          <w:lang w:val="tr"/>
        </w:rPr>
        <w:t xml:space="preserve"> internet. </w:t>
      </w:r>
      <w:proofErr w:type="spellStart"/>
      <w:r w:rsidRPr="007E5783">
        <w:rPr>
          <w:lang w:val="tr"/>
        </w:rPr>
        <w:t>After</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point</w:t>
      </w:r>
      <w:proofErr w:type="spellEnd"/>
      <w:r w:rsidRPr="007E5783">
        <w:rPr>
          <w:lang w:val="tr"/>
        </w:rPr>
        <w:t xml:space="preserve">, </w:t>
      </w:r>
      <w:proofErr w:type="spellStart"/>
      <w:r w:rsidRPr="007E5783">
        <w:rPr>
          <w:lang w:val="tr"/>
        </w:rPr>
        <w:t>Taylor's</w:t>
      </w:r>
      <w:proofErr w:type="spellEnd"/>
      <w:r w:rsidRPr="007E5783">
        <w:rPr>
          <w:lang w:val="tr"/>
        </w:rPr>
        <w:t xml:space="preserve"> </w:t>
      </w:r>
      <w:proofErr w:type="spellStart"/>
      <w:r w:rsidRPr="007E5783">
        <w:rPr>
          <w:lang w:val="tr"/>
        </w:rPr>
        <w:t>scientific</w:t>
      </w:r>
      <w:proofErr w:type="spellEnd"/>
      <w:r w:rsidRPr="007E5783">
        <w:rPr>
          <w:lang w:val="tr"/>
        </w:rPr>
        <w:t xml:space="preserve"> </w:t>
      </w:r>
      <w:proofErr w:type="spellStart"/>
      <w:r w:rsidRPr="007E5783">
        <w:rPr>
          <w:lang w:val="tr"/>
        </w:rPr>
        <w:t>approach</w:t>
      </w:r>
      <w:proofErr w:type="spellEnd"/>
      <w:r w:rsidRPr="007E5783">
        <w:rPr>
          <w:lang w:val="tr"/>
        </w:rPr>
        <w:t xml:space="preserve"> </w:t>
      </w:r>
      <w:proofErr w:type="spellStart"/>
      <w:r w:rsidRPr="007E5783">
        <w:rPr>
          <w:lang w:val="tr"/>
        </w:rPr>
        <w:t>was</w:t>
      </w:r>
      <w:proofErr w:type="spellEnd"/>
      <w:r w:rsidRPr="007E5783">
        <w:rPr>
          <w:lang w:val="tr"/>
        </w:rPr>
        <w:t xml:space="preserve"> </w:t>
      </w:r>
      <w:proofErr w:type="spellStart"/>
      <w:r w:rsidRPr="007E5783">
        <w:rPr>
          <w:lang w:val="tr"/>
        </w:rPr>
        <w:t>renamed</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with</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effect</w:t>
      </w:r>
      <w:proofErr w:type="spellEnd"/>
      <w:r w:rsidRPr="007E5783">
        <w:rPr>
          <w:lang w:val="tr"/>
        </w:rPr>
        <w:t xml:space="preserve"> of </w:t>
      </w:r>
      <w:proofErr w:type="spellStart"/>
      <w:r w:rsidRPr="007E5783">
        <w:rPr>
          <w:lang w:val="tr"/>
        </w:rPr>
        <w:t>digitalization</w:t>
      </w:r>
      <w:proofErr w:type="spellEnd"/>
      <w:r w:rsidRPr="007E5783">
        <w:rPr>
          <w:lang w:val="tr"/>
        </w:rPr>
        <w:t xml:space="preserve">. </w:t>
      </w:r>
      <w:proofErr w:type="spellStart"/>
      <w:r w:rsidRPr="007E5783">
        <w:rPr>
          <w:lang w:val="tr"/>
        </w:rPr>
        <w:t>With</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supervision</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control</w:t>
      </w:r>
      <w:proofErr w:type="spellEnd"/>
      <w:r w:rsidRPr="007E5783">
        <w:rPr>
          <w:lang w:val="tr"/>
        </w:rPr>
        <w:t xml:space="preserve"> </w:t>
      </w:r>
      <w:proofErr w:type="spellStart"/>
      <w:r w:rsidRPr="007E5783">
        <w:rPr>
          <w:lang w:val="tr"/>
        </w:rPr>
        <w:t>work</w:t>
      </w:r>
      <w:proofErr w:type="spellEnd"/>
      <w:r w:rsidRPr="007E5783">
        <w:rPr>
          <w:lang w:val="tr"/>
        </w:rPr>
        <w:t xml:space="preserve"> has </w:t>
      </w:r>
      <w:proofErr w:type="spellStart"/>
      <w:r w:rsidRPr="007E5783">
        <w:rPr>
          <w:lang w:val="tr"/>
        </w:rPr>
        <w:t>become</w:t>
      </w:r>
      <w:proofErr w:type="spellEnd"/>
      <w:r w:rsidRPr="007E5783">
        <w:rPr>
          <w:lang w:val="tr"/>
        </w:rPr>
        <w:t xml:space="preserve"> </w:t>
      </w:r>
      <w:proofErr w:type="spellStart"/>
      <w:r w:rsidRPr="007E5783">
        <w:rPr>
          <w:lang w:val="tr"/>
        </w:rPr>
        <w:t>easier</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more</w:t>
      </w:r>
      <w:proofErr w:type="spellEnd"/>
      <w:r w:rsidRPr="007E5783">
        <w:rPr>
          <w:lang w:val="tr"/>
        </w:rPr>
        <w:t xml:space="preserve"> </w:t>
      </w:r>
      <w:proofErr w:type="spellStart"/>
      <w:r w:rsidRPr="007E5783">
        <w:rPr>
          <w:lang w:val="tr"/>
        </w:rPr>
        <w:t>effective</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efficient</w:t>
      </w:r>
      <w:proofErr w:type="spellEnd"/>
      <w:r w:rsidRPr="007E5783">
        <w:rPr>
          <w:lang w:val="tr"/>
        </w:rPr>
        <w:t xml:space="preserve">. </w:t>
      </w:r>
      <w:proofErr w:type="spellStart"/>
      <w:r w:rsidRPr="007E5783">
        <w:rPr>
          <w:lang w:val="tr"/>
        </w:rPr>
        <w:t>Although</w:t>
      </w:r>
      <w:proofErr w:type="spellEnd"/>
      <w:r w:rsidRPr="007E5783">
        <w:rPr>
          <w:lang w:val="tr"/>
        </w:rPr>
        <w:t xml:space="preserve"> </w:t>
      </w:r>
      <w:proofErr w:type="spellStart"/>
      <w:r w:rsidRPr="007E5783">
        <w:rPr>
          <w:lang w:val="tr"/>
        </w:rPr>
        <w:t>auditing</w:t>
      </w:r>
      <w:proofErr w:type="spellEnd"/>
      <w:r w:rsidRPr="007E5783">
        <w:rPr>
          <w:lang w:val="tr"/>
        </w:rPr>
        <w:t xml:space="preserve"> has </w:t>
      </w:r>
      <w:proofErr w:type="spellStart"/>
      <w:r w:rsidRPr="007E5783">
        <w:rPr>
          <w:lang w:val="tr"/>
        </w:rPr>
        <w:t>become</w:t>
      </w:r>
      <w:proofErr w:type="spellEnd"/>
      <w:r w:rsidRPr="007E5783">
        <w:rPr>
          <w:lang w:val="tr"/>
        </w:rPr>
        <w:t xml:space="preserve"> </w:t>
      </w:r>
      <w:proofErr w:type="spellStart"/>
      <w:r w:rsidRPr="007E5783">
        <w:rPr>
          <w:lang w:val="tr"/>
        </w:rPr>
        <w:t>easier</w:t>
      </w:r>
      <w:proofErr w:type="spellEnd"/>
      <w:r w:rsidRPr="007E5783">
        <w:rPr>
          <w:lang w:val="tr"/>
        </w:rPr>
        <w:t xml:space="preserve">, </w:t>
      </w:r>
      <w:proofErr w:type="spellStart"/>
      <w:r w:rsidRPr="007E5783">
        <w:rPr>
          <w:lang w:val="tr"/>
        </w:rPr>
        <w:t>businesses</w:t>
      </w:r>
      <w:proofErr w:type="spellEnd"/>
      <w:r w:rsidRPr="007E5783">
        <w:rPr>
          <w:lang w:val="tr"/>
        </w:rPr>
        <w:t xml:space="preserve"> </w:t>
      </w:r>
      <w:proofErr w:type="spellStart"/>
      <w:r w:rsidRPr="007E5783">
        <w:rPr>
          <w:lang w:val="tr"/>
        </w:rPr>
        <w:t>are</w:t>
      </w:r>
      <w:proofErr w:type="spellEnd"/>
      <w:r w:rsidRPr="007E5783">
        <w:rPr>
          <w:lang w:val="tr"/>
        </w:rPr>
        <w:t xml:space="preserve"> </w:t>
      </w:r>
      <w:proofErr w:type="spellStart"/>
      <w:r w:rsidRPr="007E5783">
        <w:rPr>
          <w:lang w:val="tr"/>
        </w:rPr>
        <w:t>taking</w:t>
      </w:r>
      <w:proofErr w:type="spellEnd"/>
      <w:r w:rsidRPr="007E5783">
        <w:rPr>
          <w:lang w:val="tr"/>
        </w:rPr>
        <w:t xml:space="preserve"> </w:t>
      </w:r>
      <w:proofErr w:type="spellStart"/>
      <w:r w:rsidRPr="007E5783">
        <w:rPr>
          <w:lang w:val="tr"/>
        </w:rPr>
        <w:t>initiatives</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establish</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develop</w:t>
      </w:r>
      <w:proofErr w:type="spellEnd"/>
      <w:r w:rsidRPr="007E5783">
        <w:rPr>
          <w:lang w:val="tr"/>
        </w:rPr>
        <w:t xml:space="preserve"> </w:t>
      </w:r>
      <w:proofErr w:type="spellStart"/>
      <w:r w:rsidRPr="007E5783">
        <w:rPr>
          <w:lang w:val="tr"/>
        </w:rPr>
        <w:t>audit</w:t>
      </w:r>
      <w:proofErr w:type="spellEnd"/>
      <w:r w:rsidRPr="007E5783">
        <w:rPr>
          <w:lang w:val="tr"/>
        </w:rPr>
        <w:t xml:space="preserve"> </w:t>
      </w:r>
      <w:proofErr w:type="spellStart"/>
      <w:r w:rsidRPr="007E5783">
        <w:rPr>
          <w:lang w:val="tr"/>
        </w:rPr>
        <w:t>units</w:t>
      </w:r>
      <w:proofErr w:type="spellEnd"/>
      <w:r w:rsidRPr="007E5783">
        <w:rPr>
          <w:lang w:val="tr"/>
        </w:rPr>
        <w:t xml:space="preserve"> </w:t>
      </w:r>
      <w:proofErr w:type="spellStart"/>
      <w:r w:rsidRPr="007E5783">
        <w:rPr>
          <w:lang w:val="tr"/>
        </w:rPr>
        <w:t>within</w:t>
      </w:r>
      <w:proofErr w:type="spellEnd"/>
      <w:r w:rsidRPr="007E5783">
        <w:rPr>
          <w:lang w:val="tr"/>
        </w:rPr>
        <w:t xml:space="preserve"> </w:t>
      </w:r>
      <w:proofErr w:type="spellStart"/>
      <w:r w:rsidRPr="007E5783">
        <w:rPr>
          <w:lang w:val="tr"/>
        </w:rPr>
        <w:t>their</w:t>
      </w:r>
      <w:proofErr w:type="spellEnd"/>
      <w:r w:rsidRPr="007E5783">
        <w:rPr>
          <w:lang w:val="tr"/>
        </w:rPr>
        <w:t xml:space="preserve"> </w:t>
      </w:r>
      <w:proofErr w:type="spellStart"/>
      <w:r w:rsidRPr="007E5783">
        <w:rPr>
          <w:lang w:val="tr"/>
        </w:rPr>
        <w:t>organizations</w:t>
      </w:r>
      <w:proofErr w:type="spellEnd"/>
      <w:r w:rsidRPr="007E5783">
        <w:rPr>
          <w:lang w:val="tr"/>
        </w:rPr>
        <w:t xml:space="preserve">. </w:t>
      </w:r>
      <w:proofErr w:type="spellStart"/>
      <w:r w:rsidRPr="007E5783">
        <w:rPr>
          <w:lang w:val="tr"/>
        </w:rPr>
        <w:t>Increasing</w:t>
      </w:r>
      <w:proofErr w:type="spellEnd"/>
      <w:r w:rsidRPr="007E5783">
        <w:rPr>
          <w:lang w:val="tr"/>
        </w:rPr>
        <w:t xml:space="preserve"> </w:t>
      </w:r>
      <w:proofErr w:type="spellStart"/>
      <w:r w:rsidRPr="007E5783">
        <w:rPr>
          <w:lang w:val="tr"/>
        </w:rPr>
        <w:t>internal</w:t>
      </w:r>
      <w:proofErr w:type="spellEnd"/>
      <w:r w:rsidRPr="007E5783">
        <w:rPr>
          <w:lang w:val="tr"/>
        </w:rPr>
        <w:t xml:space="preserve"> </w:t>
      </w:r>
      <w:proofErr w:type="spellStart"/>
      <w:r w:rsidRPr="007E5783">
        <w:rPr>
          <w:lang w:val="tr"/>
        </w:rPr>
        <w:t>audit</w:t>
      </w:r>
      <w:proofErr w:type="spellEnd"/>
      <w:r w:rsidRPr="007E5783">
        <w:rPr>
          <w:lang w:val="tr"/>
        </w:rPr>
        <w:t xml:space="preserve"> </w:t>
      </w:r>
      <w:proofErr w:type="spellStart"/>
      <w:r w:rsidRPr="007E5783">
        <w:rPr>
          <w:lang w:val="tr"/>
        </w:rPr>
        <w:t>units</w:t>
      </w:r>
      <w:proofErr w:type="spellEnd"/>
      <w:r w:rsidRPr="007E5783">
        <w:rPr>
          <w:lang w:val="tr"/>
        </w:rPr>
        <w:t xml:space="preserve"> </w:t>
      </w:r>
      <w:proofErr w:type="spellStart"/>
      <w:r w:rsidRPr="007E5783">
        <w:rPr>
          <w:lang w:val="tr"/>
        </w:rPr>
        <w:t>show</w:t>
      </w:r>
      <w:proofErr w:type="spellEnd"/>
      <w:r w:rsidRPr="007E5783">
        <w:rPr>
          <w:lang w:val="tr"/>
        </w:rPr>
        <w:t xml:space="preserve"> how </w:t>
      </w:r>
      <w:proofErr w:type="spellStart"/>
      <w:r w:rsidRPr="007E5783">
        <w:rPr>
          <w:lang w:val="tr"/>
        </w:rPr>
        <w:t>much</w:t>
      </w:r>
      <w:proofErr w:type="spellEnd"/>
      <w:r w:rsidRPr="007E5783">
        <w:rPr>
          <w:lang w:val="tr"/>
        </w:rPr>
        <w:t xml:space="preserve"> </w:t>
      </w:r>
      <w:proofErr w:type="spellStart"/>
      <w:r w:rsidRPr="007E5783">
        <w:rPr>
          <w:lang w:val="tr"/>
        </w:rPr>
        <w:t>importance</w:t>
      </w:r>
      <w:proofErr w:type="spellEnd"/>
      <w:r w:rsidRPr="007E5783">
        <w:rPr>
          <w:lang w:val="tr"/>
        </w:rPr>
        <w:t xml:space="preserve"> </w:t>
      </w:r>
      <w:proofErr w:type="spellStart"/>
      <w:r w:rsidRPr="007E5783">
        <w:rPr>
          <w:lang w:val="tr"/>
        </w:rPr>
        <w:t>businesses</w:t>
      </w:r>
      <w:proofErr w:type="spellEnd"/>
      <w:r w:rsidRPr="007E5783">
        <w:rPr>
          <w:lang w:val="tr"/>
        </w:rPr>
        <w:t xml:space="preserve"> </w:t>
      </w:r>
      <w:proofErr w:type="spellStart"/>
      <w:r w:rsidRPr="007E5783">
        <w:rPr>
          <w:lang w:val="tr"/>
        </w:rPr>
        <w:t>attach</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auditing</w:t>
      </w:r>
      <w:proofErr w:type="spellEnd"/>
      <w:r w:rsidRPr="007E5783">
        <w:rPr>
          <w:lang w:val="tr"/>
        </w:rPr>
        <w:t xml:space="preserve">. </w:t>
      </w:r>
      <w:proofErr w:type="spellStart"/>
      <w:r w:rsidRPr="007E5783">
        <w:rPr>
          <w:lang w:val="tr"/>
        </w:rPr>
        <w:t>These</w:t>
      </w:r>
      <w:proofErr w:type="spellEnd"/>
      <w:r w:rsidRPr="007E5783">
        <w:rPr>
          <w:lang w:val="tr"/>
        </w:rPr>
        <w:t xml:space="preserve"> </w:t>
      </w:r>
      <w:proofErr w:type="spellStart"/>
      <w:r w:rsidRPr="007E5783">
        <w:rPr>
          <w:lang w:val="tr"/>
        </w:rPr>
        <w:t>internal</w:t>
      </w:r>
      <w:proofErr w:type="spellEnd"/>
      <w:r w:rsidRPr="007E5783">
        <w:rPr>
          <w:lang w:val="tr"/>
        </w:rPr>
        <w:t xml:space="preserve"> </w:t>
      </w:r>
      <w:proofErr w:type="spellStart"/>
      <w:r w:rsidRPr="007E5783">
        <w:rPr>
          <w:lang w:val="tr"/>
        </w:rPr>
        <w:t>audit</w:t>
      </w:r>
      <w:proofErr w:type="spellEnd"/>
      <w:r w:rsidRPr="007E5783">
        <w:rPr>
          <w:lang w:val="tr"/>
        </w:rPr>
        <w:t xml:space="preserve"> </w:t>
      </w:r>
      <w:proofErr w:type="spellStart"/>
      <w:r w:rsidRPr="007E5783">
        <w:rPr>
          <w:lang w:val="tr"/>
        </w:rPr>
        <w:t>units</w:t>
      </w:r>
      <w:proofErr w:type="spellEnd"/>
      <w:r w:rsidRPr="007E5783">
        <w:rPr>
          <w:lang w:val="tr"/>
        </w:rPr>
        <w:t xml:space="preserve"> </w:t>
      </w:r>
      <w:proofErr w:type="spellStart"/>
      <w:r w:rsidRPr="007E5783">
        <w:rPr>
          <w:lang w:val="tr"/>
        </w:rPr>
        <w:t>that</w:t>
      </w:r>
      <w:proofErr w:type="spellEnd"/>
      <w:r w:rsidRPr="007E5783">
        <w:rPr>
          <w:lang w:val="tr"/>
        </w:rPr>
        <w:t xml:space="preserve"> </w:t>
      </w:r>
      <w:proofErr w:type="spellStart"/>
      <w:r w:rsidRPr="007E5783">
        <w:rPr>
          <w:lang w:val="tr"/>
        </w:rPr>
        <w:t>businesses</w:t>
      </w:r>
      <w:proofErr w:type="spellEnd"/>
      <w:r w:rsidRPr="007E5783">
        <w:rPr>
          <w:lang w:val="tr"/>
        </w:rPr>
        <w:t xml:space="preserve"> </w:t>
      </w:r>
      <w:proofErr w:type="spellStart"/>
      <w:r w:rsidRPr="007E5783">
        <w:rPr>
          <w:lang w:val="tr"/>
        </w:rPr>
        <w:t>are</w:t>
      </w:r>
      <w:proofErr w:type="spellEnd"/>
      <w:r w:rsidRPr="007E5783">
        <w:rPr>
          <w:lang w:val="tr"/>
        </w:rPr>
        <w:t xml:space="preserve"> </w:t>
      </w:r>
      <w:proofErr w:type="spellStart"/>
      <w:r w:rsidRPr="007E5783">
        <w:rPr>
          <w:lang w:val="tr"/>
        </w:rPr>
        <w:t>developing</w:t>
      </w:r>
      <w:proofErr w:type="spellEnd"/>
      <w:r w:rsidRPr="007E5783">
        <w:rPr>
          <w:lang w:val="tr"/>
        </w:rPr>
        <w:t xml:space="preserve"> </w:t>
      </w:r>
      <w:proofErr w:type="spellStart"/>
      <w:r w:rsidRPr="007E5783">
        <w:rPr>
          <w:lang w:val="tr"/>
        </w:rPr>
        <w:t>have</w:t>
      </w:r>
      <w:proofErr w:type="spellEnd"/>
      <w:r w:rsidRPr="007E5783">
        <w:rPr>
          <w:lang w:val="tr"/>
        </w:rPr>
        <w:t xml:space="preserve"> </w:t>
      </w:r>
      <w:proofErr w:type="spellStart"/>
      <w:r w:rsidRPr="007E5783">
        <w:rPr>
          <w:lang w:val="tr"/>
        </w:rPr>
        <w:t>started</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perform</w:t>
      </w:r>
      <w:proofErr w:type="spellEnd"/>
      <w:r w:rsidRPr="007E5783">
        <w:rPr>
          <w:lang w:val="tr"/>
        </w:rPr>
        <w:t xml:space="preserve"> </w:t>
      </w:r>
      <w:proofErr w:type="spellStart"/>
      <w:r w:rsidRPr="007E5783">
        <w:rPr>
          <w:lang w:val="tr"/>
        </w:rPr>
        <w:t>their</w:t>
      </w:r>
      <w:proofErr w:type="spellEnd"/>
      <w:r w:rsidRPr="007E5783">
        <w:rPr>
          <w:lang w:val="tr"/>
        </w:rPr>
        <w:t xml:space="preserve"> </w:t>
      </w:r>
      <w:proofErr w:type="spellStart"/>
      <w:r w:rsidRPr="007E5783">
        <w:rPr>
          <w:lang w:val="tr"/>
        </w:rPr>
        <w:t>audits</w:t>
      </w:r>
      <w:proofErr w:type="spellEnd"/>
      <w:r w:rsidRPr="007E5783">
        <w:rPr>
          <w:lang w:val="tr"/>
        </w:rPr>
        <w:t xml:space="preserve"> </w:t>
      </w:r>
      <w:proofErr w:type="spellStart"/>
      <w:r w:rsidRPr="007E5783">
        <w:rPr>
          <w:lang w:val="tr"/>
        </w:rPr>
        <w:t>digitally</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thus</w:t>
      </w:r>
      <w:proofErr w:type="spellEnd"/>
      <w:r w:rsidRPr="007E5783">
        <w:rPr>
          <w:lang w:val="tr"/>
        </w:rPr>
        <w:t xml:space="preserve"> </w:t>
      </w:r>
      <w:proofErr w:type="spellStart"/>
      <w:r w:rsidRPr="007E5783">
        <w:rPr>
          <w:lang w:val="tr"/>
        </w:rPr>
        <w:t>have</w:t>
      </w:r>
      <w:proofErr w:type="spellEnd"/>
      <w:r w:rsidRPr="007E5783">
        <w:rPr>
          <w:lang w:val="tr"/>
        </w:rPr>
        <w:t xml:space="preserve"> </w:t>
      </w:r>
      <w:proofErr w:type="spellStart"/>
      <w:r w:rsidRPr="007E5783">
        <w:rPr>
          <w:lang w:val="tr"/>
        </w:rPr>
        <w:t>become</w:t>
      </w:r>
      <w:proofErr w:type="spellEnd"/>
      <w:r w:rsidRPr="007E5783">
        <w:rPr>
          <w:lang w:val="tr"/>
        </w:rPr>
        <w:t xml:space="preserve"> </w:t>
      </w:r>
      <w:proofErr w:type="spellStart"/>
      <w:r w:rsidRPr="007E5783">
        <w:rPr>
          <w:lang w:val="tr"/>
        </w:rPr>
        <w:t>able</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perform</w:t>
      </w:r>
      <w:proofErr w:type="spellEnd"/>
      <w:r w:rsidRPr="007E5783">
        <w:rPr>
          <w:lang w:val="tr"/>
        </w:rPr>
        <w:t xml:space="preserve"> </w:t>
      </w:r>
      <w:proofErr w:type="spellStart"/>
      <w:r w:rsidRPr="007E5783">
        <w:rPr>
          <w:lang w:val="tr"/>
        </w:rPr>
        <w:t>more</w:t>
      </w:r>
      <w:proofErr w:type="spellEnd"/>
      <w:r w:rsidRPr="007E5783">
        <w:rPr>
          <w:lang w:val="tr"/>
        </w:rPr>
        <w:t xml:space="preserve"> </w:t>
      </w:r>
      <w:proofErr w:type="spellStart"/>
      <w:r w:rsidRPr="007E5783">
        <w:rPr>
          <w:lang w:val="tr"/>
        </w:rPr>
        <w:t>audits</w:t>
      </w:r>
      <w:proofErr w:type="spellEnd"/>
      <w:r w:rsidRPr="007E5783">
        <w:rPr>
          <w:lang w:val="tr"/>
        </w:rPr>
        <w:t xml:space="preserve"> </w:t>
      </w:r>
      <w:proofErr w:type="spellStart"/>
      <w:r w:rsidRPr="007E5783">
        <w:rPr>
          <w:lang w:val="tr"/>
        </w:rPr>
        <w:t>with</w:t>
      </w:r>
      <w:proofErr w:type="spellEnd"/>
      <w:r w:rsidRPr="007E5783">
        <w:rPr>
          <w:lang w:val="tr"/>
        </w:rPr>
        <w:t xml:space="preserve"> </w:t>
      </w:r>
      <w:proofErr w:type="spellStart"/>
      <w:r w:rsidRPr="007E5783">
        <w:rPr>
          <w:lang w:val="tr"/>
        </w:rPr>
        <w:t>less</w:t>
      </w:r>
      <w:proofErr w:type="spellEnd"/>
      <w:r w:rsidRPr="007E5783">
        <w:rPr>
          <w:lang w:val="tr"/>
        </w:rPr>
        <w:t xml:space="preserve"> </w:t>
      </w:r>
      <w:proofErr w:type="spellStart"/>
      <w:r w:rsidRPr="007E5783">
        <w:rPr>
          <w:lang w:val="tr"/>
        </w:rPr>
        <w:t>cost</w:t>
      </w:r>
      <w:proofErr w:type="spellEnd"/>
      <w:r w:rsidRPr="007E5783">
        <w:rPr>
          <w:lang w:val="tr"/>
        </w:rPr>
        <w:t xml:space="preserve">. </w:t>
      </w:r>
      <w:proofErr w:type="spellStart"/>
      <w:r w:rsidRPr="007E5783">
        <w:rPr>
          <w:lang w:val="tr"/>
        </w:rPr>
        <w:t>This</w:t>
      </w:r>
      <w:proofErr w:type="spellEnd"/>
      <w:r w:rsidRPr="007E5783">
        <w:rPr>
          <w:lang w:val="tr"/>
        </w:rPr>
        <w:t xml:space="preserve"> </w:t>
      </w:r>
      <w:proofErr w:type="spellStart"/>
      <w:r w:rsidRPr="007E5783">
        <w:rPr>
          <w:lang w:val="tr"/>
        </w:rPr>
        <w:t>situation</w:t>
      </w:r>
      <w:proofErr w:type="spellEnd"/>
      <w:r w:rsidRPr="007E5783">
        <w:rPr>
          <w:lang w:val="tr"/>
        </w:rPr>
        <w:t xml:space="preserve"> </w:t>
      </w:r>
      <w:proofErr w:type="spellStart"/>
      <w:r w:rsidRPr="007E5783">
        <w:rPr>
          <w:lang w:val="tr"/>
        </w:rPr>
        <w:t>also</w:t>
      </w:r>
      <w:proofErr w:type="spellEnd"/>
      <w:r w:rsidRPr="007E5783">
        <w:rPr>
          <w:lang w:val="tr"/>
        </w:rPr>
        <w:t xml:space="preserve"> </w:t>
      </w:r>
      <w:proofErr w:type="spellStart"/>
      <w:r w:rsidRPr="007E5783">
        <w:rPr>
          <w:lang w:val="tr"/>
        </w:rPr>
        <w:t>fulfills</w:t>
      </w:r>
      <w:proofErr w:type="spellEnd"/>
      <w:r w:rsidRPr="007E5783">
        <w:rPr>
          <w:lang w:val="tr"/>
        </w:rPr>
        <w:t xml:space="preserve"> </w:t>
      </w:r>
      <w:proofErr w:type="spellStart"/>
      <w:r w:rsidRPr="007E5783">
        <w:rPr>
          <w:lang w:val="tr"/>
        </w:rPr>
        <w:t>Taylor's</w:t>
      </w:r>
      <w:proofErr w:type="spellEnd"/>
      <w:r w:rsidRPr="007E5783">
        <w:rPr>
          <w:lang w:val="tr"/>
        </w:rPr>
        <w:t xml:space="preserve"> </w:t>
      </w:r>
      <w:proofErr w:type="spellStart"/>
      <w:r w:rsidRPr="007E5783">
        <w:rPr>
          <w:lang w:val="tr"/>
        </w:rPr>
        <w:t>principles</w:t>
      </w:r>
      <w:proofErr w:type="spellEnd"/>
      <w:r w:rsidRPr="007E5783">
        <w:rPr>
          <w:lang w:val="tr"/>
        </w:rPr>
        <w:t xml:space="preserve"> of </w:t>
      </w:r>
      <w:proofErr w:type="spellStart"/>
      <w:r w:rsidRPr="007E5783">
        <w:rPr>
          <w:lang w:val="tr"/>
        </w:rPr>
        <w:t>standardization</w:t>
      </w:r>
      <w:proofErr w:type="spellEnd"/>
      <w:r w:rsidRPr="007E5783">
        <w:rPr>
          <w:lang w:val="tr"/>
        </w:rPr>
        <w:t xml:space="preserve"> </w:t>
      </w:r>
      <w:proofErr w:type="spellStart"/>
      <w:r w:rsidRPr="007E5783">
        <w:rPr>
          <w:lang w:val="tr"/>
        </w:rPr>
        <w:t>and</w:t>
      </w:r>
      <w:proofErr w:type="spellEnd"/>
      <w:r w:rsidRPr="007E5783">
        <w:rPr>
          <w:lang w:val="tr"/>
        </w:rPr>
        <w:t xml:space="preserve"> </w:t>
      </w:r>
      <w:proofErr w:type="spellStart"/>
      <w:r w:rsidRPr="007E5783">
        <w:rPr>
          <w:lang w:val="tr"/>
        </w:rPr>
        <w:t>efficiency</w:t>
      </w:r>
      <w:proofErr w:type="spellEnd"/>
      <w:r w:rsidRPr="007E5783">
        <w:rPr>
          <w:lang w:val="tr"/>
        </w:rPr>
        <w:t xml:space="preserve">. </w:t>
      </w:r>
      <w:proofErr w:type="spellStart"/>
      <w:r w:rsidRPr="007E5783">
        <w:rPr>
          <w:lang w:val="tr"/>
        </w:rPr>
        <w:t>Thanks</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audits</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costs</w:t>
      </w:r>
      <w:proofErr w:type="spellEnd"/>
      <w:r w:rsidRPr="007E5783">
        <w:rPr>
          <w:lang w:val="tr"/>
        </w:rPr>
        <w:t xml:space="preserve"> </w:t>
      </w:r>
      <w:proofErr w:type="spellStart"/>
      <w:r w:rsidRPr="007E5783">
        <w:rPr>
          <w:lang w:val="tr"/>
        </w:rPr>
        <w:t>that</w:t>
      </w:r>
      <w:proofErr w:type="spellEnd"/>
      <w:r w:rsidRPr="007E5783">
        <w:rPr>
          <w:lang w:val="tr"/>
        </w:rPr>
        <w:t xml:space="preserve"> </w:t>
      </w:r>
      <w:proofErr w:type="spellStart"/>
      <w:r w:rsidRPr="007E5783">
        <w:rPr>
          <w:lang w:val="tr"/>
        </w:rPr>
        <w:t>businesses</w:t>
      </w:r>
      <w:proofErr w:type="spellEnd"/>
      <w:r w:rsidRPr="007E5783">
        <w:rPr>
          <w:lang w:val="tr"/>
        </w:rPr>
        <w:t xml:space="preserve"> </w:t>
      </w:r>
      <w:proofErr w:type="spellStart"/>
      <w:r w:rsidRPr="007E5783">
        <w:rPr>
          <w:lang w:val="tr"/>
        </w:rPr>
        <w:t>need</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bear</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ensure</w:t>
      </w:r>
      <w:proofErr w:type="spellEnd"/>
      <w:r w:rsidRPr="007E5783">
        <w:rPr>
          <w:lang w:val="tr"/>
        </w:rPr>
        <w:t xml:space="preserve"> </w:t>
      </w:r>
      <w:proofErr w:type="spellStart"/>
      <w:r w:rsidRPr="007E5783">
        <w:rPr>
          <w:lang w:val="tr"/>
        </w:rPr>
        <w:t>the</w:t>
      </w:r>
      <w:proofErr w:type="spellEnd"/>
      <w:r w:rsidRPr="007E5783">
        <w:rPr>
          <w:lang w:val="tr"/>
        </w:rPr>
        <w:t xml:space="preserve"> </w:t>
      </w:r>
      <w:proofErr w:type="spellStart"/>
      <w:r w:rsidRPr="007E5783">
        <w:rPr>
          <w:lang w:val="tr"/>
        </w:rPr>
        <w:t>realization</w:t>
      </w:r>
      <w:proofErr w:type="spellEnd"/>
      <w:r w:rsidRPr="007E5783">
        <w:rPr>
          <w:lang w:val="tr"/>
        </w:rPr>
        <w:t xml:space="preserve"> of </w:t>
      </w:r>
      <w:proofErr w:type="spellStart"/>
      <w:r w:rsidRPr="007E5783">
        <w:rPr>
          <w:lang w:val="tr"/>
        </w:rPr>
        <w:t>the</w:t>
      </w:r>
      <w:proofErr w:type="spellEnd"/>
      <w:r w:rsidRPr="007E5783">
        <w:rPr>
          <w:lang w:val="tr"/>
        </w:rPr>
        <w:t xml:space="preserve"> </w:t>
      </w:r>
      <w:proofErr w:type="spellStart"/>
      <w:r w:rsidRPr="007E5783">
        <w:rPr>
          <w:lang w:val="tr"/>
        </w:rPr>
        <w:t>principles</w:t>
      </w:r>
      <w:proofErr w:type="spellEnd"/>
      <w:r w:rsidRPr="007E5783">
        <w:rPr>
          <w:lang w:val="tr"/>
        </w:rPr>
        <w:t xml:space="preserve"> </w:t>
      </w:r>
      <w:proofErr w:type="spellStart"/>
      <w:r w:rsidRPr="007E5783">
        <w:rPr>
          <w:lang w:val="tr"/>
        </w:rPr>
        <w:t>proposed</w:t>
      </w:r>
      <w:proofErr w:type="spellEnd"/>
      <w:r w:rsidRPr="007E5783">
        <w:rPr>
          <w:lang w:val="tr"/>
        </w:rPr>
        <w:t xml:space="preserve"> </w:t>
      </w:r>
      <w:proofErr w:type="spellStart"/>
      <w:r w:rsidRPr="007E5783">
        <w:rPr>
          <w:lang w:val="tr"/>
        </w:rPr>
        <w:t>by</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have</w:t>
      </w:r>
      <w:proofErr w:type="spellEnd"/>
      <w:r w:rsidRPr="007E5783">
        <w:rPr>
          <w:lang w:val="tr"/>
        </w:rPr>
        <w:t xml:space="preserve"> </w:t>
      </w:r>
      <w:proofErr w:type="spellStart"/>
      <w:r w:rsidRPr="007E5783">
        <w:rPr>
          <w:lang w:val="tr"/>
        </w:rPr>
        <w:t>been</w:t>
      </w:r>
      <w:proofErr w:type="spellEnd"/>
      <w:r w:rsidRPr="007E5783">
        <w:rPr>
          <w:lang w:val="tr"/>
        </w:rPr>
        <w:t xml:space="preserve"> </w:t>
      </w:r>
      <w:proofErr w:type="spellStart"/>
      <w:r w:rsidRPr="007E5783">
        <w:rPr>
          <w:lang w:val="tr"/>
        </w:rPr>
        <w:t>reduced</w:t>
      </w:r>
      <w:proofErr w:type="spellEnd"/>
      <w:r w:rsidRPr="007E5783">
        <w:rPr>
          <w:lang w:val="tr"/>
        </w:rPr>
        <w:t xml:space="preserve"> </w:t>
      </w:r>
      <w:proofErr w:type="spellStart"/>
      <w:r w:rsidRPr="007E5783">
        <w:rPr>
          <w:lang w:val="tr"/>
        </w:rPr>
        <w:t>to</w:t>
      </w:r>
      <w:proofErr w:type="spellEnd"/>
      <w:r w:rsidRPr="007E5783">
        <w:rPr>
          <w:lang w:val="tr"/>
        </w:rPr>
        <w:t xml:space="preserve"> </w:t>
      </w:r>
      <w:proofErr w:type="spellStart"/>
      <w:r w:rsidRPr="007E5783">
        <w:rPr>
          <w:lang w:val="tr"/>
        </w:rPr>
        <w:t>some</w:t>
      </w:r>
      <w:proofErr w:type="spellEnd"/>
      <w:r w:rsidRPr="007E5783">
        <w:rPr>
          <w:lang w:val="tr"/>
        </w:rPr>
        <w:t xml:space="preserve"> </w:t>
      </w:r>
      <w:proofErr w:type="spellStart"/>
      <w:r w:rsidRPr="007E5783">
        <w:rPr>
          <w:lang w:val="tr"/>
        </w:rPr>
        <w:t>extent</w:t>
      </w:r>
      <w:proofErr w:type="spellEnd"/>
      <w:r w:rsidRPr="007E5783">
        <w:rPr>
          <w:lang w:val="tr"/>
        </w:rPr>
        <w:t>.</w:t>
      </w:r>
    </w:p>
    <w:p w14:paraId="3A534FEC" w14:textId="77777777" w:rsidR="001E7189" w:rsidRPr="007E5783" w:rsidRDefault="001E7189" w:rsidP="007513A1">
      <w:pPr>
        <w:jc w:val="both"/>
        <w:rPr>
          <w:lang w:val="tr"/>
        </w:rPr>
      </w:pPr>
    </w:p>
    <w:p w14:paraId="292DDA51" w14:textId="77777777" w:rsidR="001E7189" w:rsidRPr="007E5783" w:rsidRDefault="001E7189" w:rsidP="007513A1">
      <w:pPr>
        <w:jc w:val="both"/>
        <w:rPr>
          <w:lang w:val="tr"/>
        </w:rPr>
      </w:pPr>
      <w:proofErr w:type="spellStart"/>
      <w:r w:rsidRPr="007E5783">
        <w:rPr>
          <w:b/>
          <w:lang w:val="tr"/>
        </w:rPr>
        <w:t>Keywords</w:t>
      </w:r>
      <w:proofErr w:type="spellEnd"/>
      <w:r w:rsidRPr="007E5783">
        <w:rPr>
          <w:b/>
          <w:lang w:val="tr"/>
        </w:rPr>
        <w:t>:</w:t>
      </w:r>
      <w:r w:rsidRPr="007E5783">
        <w:rPr>
          <w:lang w:val="tr"/>
        </w:rPr>
        <w:t xml:space="preserve"> Management, </w:t>
      </w:r>
      <w:proofErr w:type="spellStart"/>
      <w:r w:rsidRPr="007E5783">
        <w:rPr>
          <w:lang w:val="tr"/>
        </w:rPr>
        <w:t>Audit</w:t>
      </w:r>
      <w:proofErr w:type="spellEnd"/>
      <w:r w:rsidRPr="007E5783">
        <w:rPr>
          <w:lang w:val="tr"/>
        </w:rPr>
        <w:t xml:space="preserve">, </w:t>
      </w:r>
      <w:proofErr w:type="spellStart"/>
      <w:r w:rsidRPr="007E5783">
        <w:rPr>
          <w:lang w:val="tr"/>
        </w:rPr>
        <w:t>Internal</w:t>
      </w:r>
      <w:proofErr w:type="spellEnd"/>
      <w:r w:rsidRPr="007E5783">
        <w:rPr>
          <w:lang w:val="tr"/>
        </w:rPr>
        <w:t xml:space="preserve"> </w:t>
      </w:r>
      <w:proofErr w:type="spellStart"/>
      <w:r w:rsidRPr="007E5783">
        <w:rPr>
          <w:lang w:val="tr"/>
        </w:rPr>
        <w:t>Audit</w:t>
      </w:r>
      <w:proofErr w:type="spellEnd"/>
      <w:r w:rsidRPr="007E5783">
        <w:rPr>
          <w:lang w:val="tr"/>
        </w:rPr>
        <w:t xml:space="preserve">, </w:t>
      </w:r>
      <w:proofErr w:type="spellStart"/>
      <w:r w:rsidRPr="007E5783">
        <w:rPr>
          <w:lang w:val="tr"/>
        </w:rPr>
        <w:t>Taylorism</w:t>
      </w:r>
      <w:proofErr w:type="spellEnd"/>
      <w:r w:rsidRPr="007E5783">
        <w:rPr>
          <w:lang w:val="tr"/>
        </w:rPr>
        <w:t xml:space="preserve">, </w:t>
      </w:r>
      <w:proofErr w:type="spellStart"/>
      <w:r w:rsidRPr="007E5783">
        <w:rPr>
          <w:lang w:val="tr"/>
        </w:rPr>
        <w:t>Digital</w:t>
      </w:r>
      <w:proofErr w:type="spellEnd"/>
      <w:r w:rsidRPr="007E5783">
        <w:rPr>
          <w:lang w:val="tr"/>
        </w:rPr>
        <w:t xml:space="preserve"> </w:t>
      </w:r>
      <w:proofErr w:type="spellStart"/>
      <w:r w:rsidRPr="007E5783">
        <w:rPr>
          <w:lang w:val="tr"/>
        </w:rPr>
        <w:t>Taylorism</w:t>
      </w:r>
      <w:proofErr w:type="spellEnd"/>
      <w:r w:rsidRPr="007E5783">
        <w:rPr>
          <w:lang w:val="tr"/>
        </w:rPr>
        <w:t>.</w:t>
      </w:r>
    </w:p>
    <w:p w14:paraId="5F1D1723" w14:textId="6F82795E" w:rsidR="001E7189" w:rsidRPr="007E5783" w:rsidRDefault="001E7189" w:rsidP="007513A1">
      <w:pPr>
        <w:jc w:val="center"/>
        <w:rPr>
          <w:b/>
          <w:lang w:val="tr"/>
        </w:rPr>
      </w:pPr>
    </w:p>
    <w:p w14:paraId="15123E30" w14:textId="77777777" w:rsidR="007513A1" w:rsidRDefault="007513A1" w:rsidP="007513A1">
      <w:pPr>
        <w:rPr>
          <w:b/>
          <w:lang w:val="tr"/>
        </w:rPr>
      </w:pPr>
      <w:bookmarkStart w:id="100" w:name="_4qufl03c3qlv" w:colFirst="0" w:colLast="0"/>
      <w:bookmarkEnd w:id="100"/>
    </w:p>
    <w:p w14:paraId="2D23449C" w14:textId="77777777" w:rsidR="007513A1" w:rsidRDefault="007513A1" w:rsidP="007513A1">
      <w:pPr>
        <w:rPr>
          <w:b/>
          <w:bCs/>
        </w:rPr>
      </w:pPr>
    </w:p>
    <w:p w14:paraId="72CEAC78" w14:textId="319DFD7C" w:rsidR="001E7189" w:rsidRPr="00342070" w:rsidRDefault="001E7189" w:rsidP="007513A1">
      <w:pPr>
        <w:rPr>
          <w:b/>
          <w:bCs/>
        </w:rPr>
      </w:pPr>
      <w:r w:rsidRPr="00342070">
        <w:rPr>
          <w:b/>
          <w:bCs/>
        </w:rPr>
        <w:lastRenderedPageBreak/>
        <w:t>GİRİŞ</w:t>
      </w:r>
    </w:p>
    <w:p w14:paraId="7DBB66B5" w14:textId="77777777" w:rsidR="001E7189" w:rsidRDefault="001E7189" w:rsidP="007513A1">
      <w:pPr>
        <w:jc w:val="both"/>
        <w:rPr>
          <w:lang w:val="tr"/>
        </w:rPr>
      </w:pPr>
      <w:r w:rsidRPr="007E5783">
        <w:rPr>
          <w:lang w:val="tr"/>
        </w:rPr>
        <w:t>Günümüzde denetim, kurumlar için çok önemli bir rol oynamaktadır. Yönetimin beş fonksiyonundan biri olan denetim kurumların faaliyet süreçlerini geliştirmelerinde önemli bir yer edinmiştir. Denetim olmadan bir kurumun sürdürülebilir olması düşünülemez. Süreç kontrolleri ile organizasyonların önleyici ve düzeltici önlemler almasını sağlayan denetim; yönetimin vazgeçilmez bir fonksiyonu haline gelmiştir.</w:t>
      </w:r>
    </w:p>
    <w:p w14:paraId="0A09D476" w14:textId="77777777" w:rsidR="007513A1" w:rsidRPr="007E5783" w:rsidRDefault="007513A1" w:rsidP="007513A1">
      <w:pPr>
        <w:jc w:val="both"/>
        <w:rPr>
          <w:lang w:val="tr"/>
        </w:rPr>
      </w:pPr>
    </w:p>
    <w:p w14:paraId="19603C58" w14:textId="77777777" w:rsidR="001E7189" w:rsidRDefault="001E7189" w:rsidP="007513A1">
      <w:pPr>
        <w:jc w:val="both"/>
        <w:rPr>
          <w:lang w:val="tr"/>
        </w:rPr>
      </w:pPr>
      <w:r w:rsidRPr="007E5783">
        <w:rPr>
          <w:lang w:val="tr"/>
        </w:rPr>
        <w:t>Ancak denetim yönetimdeki bu konumuna yeni ulaşmamıştır. Denetim kavramının tarihine bakıldığında milattan öncesinde bile kullanıldığı görülmektedir. Bu kavram milattan önce Uzak Doğu’dan Mısır’a oradan da Roma’ya kadar birçok medeniyetin tarihinde kullanılmıştır. Uzak Doğu’da askeri organizasyonun alt bölümlere ayrılması ve denetimi, Mısır’da kölelerin çalışmalarının denetlenmesi ve Roma’da yine Uzan Doğu gibi ordunun kontrolünün sağlanması noktasında denetim kavramı ön plana çıkmıştır (</w:t>
      </w:r>
      <w:proofErr w:type="spellStart"/>
      <w:r w:rsidRPr="007E5783">
        <w:rPr>
          <w:lang w:val="tr"/>
        </w:rPr>
        <w:t>Wren</w:t>
      </w:r>
      <w:proofErr w:type="spellEnd"/>
      <w:r w:rsidRPr="007E5783">
        <w:rPr>
          <w:lang w:val="tr"/>
        </w:rPr>
        <w:t xml:space="preserve"> &amp; </w:t>
      </w:r>
      <w:proofErr w:type="spellStart"/>
      <w:r w:rsidRPr="007E5783">
        <w:rPr>
          <w:lang w:val="tr"/>
        </w:rPr>
        <w:t>Bedeian</w:t>
      </w:r>
      <w:proofErr w:type="spellEnd"/>
      <w:r w:rsidRPr="007E5783">
        <w:rPr>
          <w:lang w:val="tr"/>
        </w:rPr>
        <w:t>, 2021).</w:t>
      </w:r>
    </w:p>
    <w:p w14:paraId="1BF7C8EC" w14:textId="77777777" w:rsidR="001E7189" w:rsidRPr="007E5783" w:rsidRDefault="001E7189" w:rsidP="007513A1">
      <w:pPr>
        <w:jc w:val="both"/>
        <w:rPr>
          <w:lang w:val="tr"/>
        </w:rPr>
      </w:pPr>
    </w:p>
    <w:p w14:paraId="0BE3CE1E" w14:textId="77777777" w:rsidR="001E7189" w:rsidRDefault="001E7189" w:rsidP="007513A1">
      <w:pPr>
        <w:jc w:val="both"/>
        <w:rPr>
          <w:lang w:val="tr"/>
        </w:rPr>
      </w:pPr>
      <w:r w:rsidRPr="007E5783">
        <w:rPr>
          <w:lang w:val="tr"/>
        </w:rPr>
        <w:t>Kavram geçmişten günümüze kadar gelişerek ve yeni teorilerle kullanılmaya devam etmiştir. Fakat denetim kavramının en büyük önemini kazandığı nokta, sanayi devriminden sonra olmuştur. Bu noktadan sonra sanayileşmenin getirmiş olduğu zorluklar yöneticileri denetim hususunda daha özverili olmaya yöneltmiştir.</w:t>
      </w:r>
      <w:r>
        <w:rPr>
          <w:lang w:val="tr"/>
        </w:rPr>
        <w:t xml:space="preserve"> </w:t>
      </w:r>
      <w:r w:rsidRPr="007E5783">
        <w:rPr>
          <w:lang w:val="tr"/>
        </w:rPr>
        <w:t xml:space="preserve">Bu çalışmada sanayi devriminden sonra denetim kavramının ne ölçüde geliştiğini, bilimsel yönetimin öncüsü olan Frederick </w:t>
      </w:r>
      <w:proofErr w:type="spellStart"/>
      <w:r w:rsidRPr="007E5783">
        <w:rPr>
          <w:lang w:val="tr"/>
        </w:rPr>
        <w:t>Winslow</w:t>
      </w:r>
      <w:proofErr w:type="spellEnd"/>
      <w:r w:rsidRPr="007E5783">
        <w:rPr>
          <w:lang w:val="tr"/>
        </w:rPr>
        <w:t xml:space="preserve"> Taylor’un yönetim anlayışında denetimin önemini ve günümüzde Dijital Taylorizm yaklaşımıyla denetim kavramının gelişim ve kullanım alanı incelenecektir.</w:t>
      </w:r>
    </w:p>
    <w:p w14:paraId="3D671A35" w14:textId="77777777" w:rsidR="001E7189" w:rsidRPr="007E5783" w:rsidRDefault="001E7189" w:rsidP="007513A1">
      <w:pPr>
        <w:jc w:val="both"/>
        <w:rPr>
          <w:lang w:val="tr"/>
        </w:rPr>
      </w:pPr>
    </w:p>
    <w:p w14:paraId="37653DC5" w14:textId="77777777" w:rsidR="001E7189" w:rsidRDefault="001E7189" w:rsidP="007513A1">
      <w:pPr>
        <w:jc w:val="both"/>
        <w:rPr>
          <w:lang w:val="tr"/>
        </w:rPr>
      </w:pPr>
      <w:r w:rsidRPr="007E5783">
        <w:rPr>
          <w:lang w:val="tr"/>
        </w:rPr>
        <w:t xml:space="preserve">Çalışmanın konusu Taylor’un yönetiminde kontrol ve denetim sisteminin nasıl yapıldığı ve günümüze nasıl geldiğidir. Bu bağlamda araştırmanın problemi yönetimde kontrol ve denetim yaklaşımı </w:t>
      </w:r>
      <w:proofErr w:type="spellStart"/>
      <w:r w:rsidRPr="007E5783">
        <w:rPr>
          <w:lang w:val="tr"/>
        </w:rPr>
        <w:t>Taylorist</w:t>
      </w:r>
      <w:proofErr w:type="spellEnd"/>
      <w:r w:rsidRPr="007E5783">
        <w:rPr>
          <w:lang w:val="tr"/>
        </w:rPr>
        <w:t xml:space="preserve"> bir bakış açısıyla incelenip günümüzde Dijital Taylorizm yaklaşımıyla nasıl uygulandığı ve niçin Dijital Taylorizm adını aldığını anlamak oluşturmaktadır. “</w:t>
      </w:r>
      <w:proofErr w:type="spellStart"/>
      <w:r w:rsidRPr="007E5783">
        <w:rPr>
          <w:lang w:val="tr"/>
        </w:rPr>
        <w:t>Taylorist</w:t>
      </w:r>
      <w:proofErr w:type="spellEnd"/>
      <w:r w:rsidRPr="007E5783">
        <w:rPr>
          <w:lang w:val="tr"/>
        </w:rPr>
        <w:t xml:space="preserve"> yaklaşımda denetimin rolü nedir ve nasıl uygulanmaktadır?” Buna bağlı olarak “Niçin Dijital Taylorizm?” ve “Dijital Taylorizm denetime nasıl bir rol biçmektedir?” sorularına çalışmada cevap aranacaktır.</w:t>
      </w:r>
      <w:r>
        <w:rPr>
          <w:lang w:val="tr"/>
        </w:rPr>
        <w:t xml:space="preserve"> </w:t>
      </w:r>
      <w:r w:rsidRPr="007E5783">
        <w:rPr>
          <w:lang w:val="tr"/>
        </w:rPr>
        <w:t xml:space="preserve">Bu çalışmanın amacı yönetimin fonksiyonlarından biri olan denetimin </w:t>
      </w:r>
      <w:proofErr w:type="spellStart"/>
      <w:r w:rsidRPr="007E5783">
        <w:rPr>
          <w:lang w:val="tr"/>
        </w:rPr>
        <w:t>Taylorist</w:t>
      </w:r>
      <w:proofErr w:type="spellEnd"/>
      <w:r w:rsidRPr="007E5783">
        <w:rPr>
          <w:lang w:val="tr"/>
        </w:rPr>
        <w:t xml:space="preserve"> yönetim anlayışından bugüne Dijital </w:t>
      </w:r>
      <w:proofErr w:type="spellStart"/>
      <w:r w:rsidRPr="007E5783">
        <w:rPr>
          <w:lang w:val="tr"/>
        </w:rPr>
        <w:t>Taylorist</w:t>
      </w:r>
      <w:proofErr w:type="spellEnd"/>
      <w:r w:rsidRPr="007E5783">
        <w:rPr>
          <w:lang w:val="tr"/>
        </w:rPr>
        <w:t xml:space="preserve"> döneme kadarki süreçteki gelişimini keşfetmektir. Bu noktada denetimin tarihsel gelişimi ve denetim yöntemlerinin uygulamasını anlamak açısından önemlidir. </w:t>
      </w:r>
      <w:proofErr w:type="spellStart"/>
      <w:r w:rsidRPr="007E5783">
        <w:rPr>
          <w:lang w:val="tr"/>
        </w:rPr>
        <w:t>Taylorist</w:t>
      </w:r>
      <w:proofErr w:type="spellEnd"/>
      <w:r w:rsidRPr="007E5783">
        <w:rPr>
          <w:lang w:val="tr"/>
        </w:rPr>
        <w:t xml:space="preserve"> yaklaşımda denetim ve kontrolün etkisini, dönemin yöntemleriyle denetimin nasıl gerçekleştirildiğini keşfetmek amaçlanmaktadır. Zaman içerisinde gelişen teknoloji ve </w:t>
      </w:r>
      <w:proofErr w:type="spellStart"/>
      <w:r w:rsidRPr="007E5783">
        <w:rPr>
          <w:lang w:val="tr"/>
        </w:rPr>
        <w:t>Taylorist</w:t>
      </w:r>
      <w:proofErr w:type="spellEnd"/>
      <w:r w:rsidRPr="007E5783">
        <w:rPr>
          <w:lang w:val="tr"/>
        </w:rPr>
        <w:t xml:space="preserve"> yaklaşıma bakış açısının teknolojinin kullanımı ele alınarak, sanayi 4.0 çağında dijitalleşen dünyada Dijital Taylorizm olarak anılması söz konusu olmuştur. Bu dönemde Dijital Taylorizm yaklaşımının temelini ve denetime olan bakış açısını irdelemek, değişen ve gelişen organizasyonların </w:t>
      </w:r>
      <w:proofErr w:type="spellStart"/>
      <w:r w:rsidRPr="007E5783">
        <w:rPr>
          <w:lang w:val="tr"/>
        </w:rPr>
        <w:t>Taylorist</w:t>
      </w:r>
      <w:proofErr w:type="spellEnd"/>
      <w:r w:rsidRPr="007E5783">
        <w:rPr>
          <w:lang w:val="tr"/>
        </w:rPr>
        <w:t xml:space="preserve"> yaklaşıma bakış açısını ve yeni nesil bakışı görmek açısından çalışmanın literatüre önemli katkılarda bulunacağı düşünülmektedir.</w:t>
      </w:r>
    </w:p>
    <w:p w14:paraId="41FF723A" w14:textId="77777777" w:rsidR="001E7189" w:rsidRPr="007E5783" w:rsidRDefault="001E7189" w:rsidP="007513A1">
      <w:pPr>
        <w:jc w:val="both"/>
        <w:rPr>
          <w:lang w:val="tr"/>
        </w:rPr>
      </w:pPr>
    </w:p>
    <w:p w14:paraId="7FCDF5BB" w14:textId="77777777" w:rsidR="001E7189" w:rsidRDefault="001E7189" w:rsidP="007513A1">
      <w:pPr>
        <w:jc w:val="both"/>
        <w:rPr>
          <w:lang w:val="tr"/>
        </w:rPr>
      </w:pPr>
      <w:r w:rsidRPr="007E5783">
        <w:rPr>
          <w:lang w:val="tr"/>
        </w:rPr>
        <w:t xml:space="preserve">Denetim fonksiyonunun geçmişten günümüze </w:t>
      </w:r>
      <w:proofErr w:type="spellStart"/>
      <w:r w:rsidRPr="007E5783">
        <w:rPr>
          <w:lang w:val="tr"/>
        </w:rPr>
        <w:t>Taylorist</w:t>
      </w:r>
      <w:proofErr w:type="spellEnd"/>
      <w:r w:rsidRPr="007E5783">
        <w:rPr>
          <w:lang w:val="tr"/>
        </w:rPr>
        <w:t xml:space="preserve"> yaklaşımın dijitalleşmeyle birlikte ne ölçüde değişip geliştiğini anlamak, günümüz Dijital </w:t>
      </w:r>
      <w:proofErr w:type="spellStart"/>
      <w:r w:rsidRPr="007E5783">
        <w:rPr>
          <w:lang w:val="tr"/>
        </w:rPr>
        <w:t>Taylorist</w:t>
      </w:r>
      <w:proofErr w:type="spellEnd"/>
      <w:r w:rsidRPr="007E5783">
        <w:rPr>
          <w:lang w:val="tr"/>
        </w:rPr>
        <w:t xml:space="preserve"> yaklaşımı ile Klasik </w:t>
      </w:r>
      <w:proofErr w:type="spellStart"/>
      <w:r w:rsidRPr="007E5783">
        <w:rPr>
          <w:lang w:val="tr"/>
        </w:rPr>
        <w:t>Taylorist</w:t>
      </w:r>
      <w:proofErr w:type="spellEnd"/>
      <w:r w:rsidRPr="007E5783">
        <w:rPr>
          <w:lang w:val="tr"/>
        </w:rPr>
        <w:t xml:space="preserve"> yaklaşımların denetime bakış açısını ve uygulama yöntemini anlamak çalışmanın asıl amacıdır. Bu noktada nitel araştırma yöntemlerine uygun olarak metin analizi yöntemiyle araştırmanın amacına ulaşılmak hedeflenmektedir.</w:t>
      </w:r>
    </w:p>
    <w:p w14:paraId="1B58FEE5" w14:textId="77777777" w:rsidR="001E7189" w:rsidRPr="007E5783" w:rsidRDefault="001E7189" w:rsidP="007513A1">
      <w:pPr>
        <w:jc w:val="both"/>
        <w:rPr>
          <w:lang w:val="tr"/>
        </w:rPr>
      </w:pPr>
    </w:p>
    <w:p w14:paraId="403769B0" w14:textId="77777777" w:rsidR="001E7189" w:rsidRDefault="001E7189" w:rsidP="007513A1">
      <w:pPr>
        <w:jc w:val="both"/>
        <w:rPr>
          <w:lang w:val="tr"/>
        </w:rPr>
      </w:pPr>
      <w:r w:rsidRPr="007E5783">
        <w:rPr>
          <w:lang w:val="tr"/>
        </w:rPr>
        <w:t xml:space="preserve">Araştırma gerçekleştirilirken ikincil veri kaynaklarından yararlanılacaktır ve tarihsel bir süreç izlenecektir. Çalışma nitel araştırma yöntemlerine uygun olarak metin analizi yöntemiyle </w:t>
      </w:r>
      <w:r w:rsidRPr="007E5783">
        <w:rPr>
          <w:lang w:val="tr"/>
        </w:rPr>
        <w:lastRenderedPageBreak/>
        <w:t xml:space="preserve">araştırma probleminin açıklanması amaçlanmaktadır. Araştırmada incelenen olgu veya olaylarla ilintili bilgiler içeren yazılı belgelerin ayrıntılı olarak taranması ve bu bilgilerden yeni bir bütünlük oluşturulması, </w:t>
      </w:r>
      <w:proofErr w:type="gramStart"/>
      <w:r w:rsidRPr="007E5783">
        <w:rPr>
          <w:lang w:val="tr"/>
        </w:rPr>
        <w:t>doküman</w:t>
      </w:r>
      <w:proofErr w:type="gramEnd"/>
      <w:r w:rsidRPr="007E5783">
        <w:rPr>
          <w:lang w:val="tr"/>
        </w:rPr>
        <w:t xml:space="preserve">/metin analizi olarak adlandırılır (Creswell, &amp; </w:t>
      </w:r>
      <w:proofErr w:type="spellStart"/>
      <w:r w:rsidRPr="007E5783">
        <w:rPr>
          <w:lang w:val="tr"/>
        </w:rPr>
        <w:t>Guetterman</w:t>
      </w:r>
      <w:proofErr w:type="spellEnd"/>
      <w:r w:rsidRPr="007E5783">
        <w:rPr>
          <w:lang w:val="tr"/>
        </w:rPr>
        <w:t>, 2019).</w:t>
      </w:r>
    </w:p>
    <w:p w14:paraId="28DE5E41" w14:textId="77777777" w:rsidR="001E7189" w:rsidRPr="007E5783" w:rsidRDefault="001E7189" w:rsidP="007513A1">
      <w:pPr>
        <w:jc w:val="both"/>
        <w:rPr>
          <w:lang w:val="tr"/>
        </w:rPr>
      </w:pPr>
    </w:p>
    <w:p w14:paraId="75D2AADE" w14:textId="77777777" w:rsidR="001E7189" w:rsidRDefault="001E7189" w:rsidP="007513A1">
      <w:pPr>
        <w:jc w:val="both"/>
        <w:rPr>
          <w:lang w:val="tr"/>
        </w:rPr>
      </w:pPr>
      <w:r w:rsidRPr="007E5783">
        <w:rPr>
          <w:lang w:val="tr"/>
        </w:rPr>
        <w:t>Araştırmanın analizi nitel veri analizi yöntemlerinden metin analizi yöntemiyle kaynakların ve kavramların çözümlenmesi yoluyla gerçekleştirilecektir.  Metin analizi farklı metinler üzerinde detaylı incelemeler yaparak problemin çözülmesidir (</w:t>
      </w:r>
      <w:proofErr w:type="spellStart"/>
      <w:r w:rsidRPr="007E5783">
        <w:rPr>
          <w:lang w:val="tr"/>
        </w:rPr>
        <w:t>Silverman</w:t>
      </w:r>
      <w:proofErr w:type="spellEnd"/>
      <w:r w:rsidRPr="007E5783">
        <w:rPr>
          <w:lang w:val="tr"/>
        </w:rPr>
        <w:t>, 2016). Niçin ve nasıl sorularına yanıt aranacak ve kronolojik bir ilerleme gerçekleştirilecektir. Araştırma gerçekleştirilirken ikincil veri kaynaklarından yararlanılacaktır ve tarihsel bir süreç izlenecektir.</w:t>
      </w:r>
    </w:p>
    <w:p w14:paraId="2DF1FCE3" w14:textId="77777777" w:rsidR="001E7189" w:rsidRPr="007E5783" w:rsidRDefault="001E7189" w:rsidP="007513A1">
      <w:pPr>
        <w:jc w:val="both"/>
        <w:rPr>
          <w:lang w:val="tr"/>
        </w:rPr>
      </w:pPr>
    </w:p>
    <w:p w14:paraId="377F5C11" w14:textId="77777777" w:rsidR="001E7189" w:rsidRPr="007E5783" w:rsidRDefault="001E7189" w:rsidP="007513A1">
      <w:pPr>
        <w:keepNext/>
        <w:keepLines/>
        <w:outlineLvl w:val="1"/>
        <w:rPr>
          <w:b/>
          <w:bCs/>
          <w:szCs w:val="26"/>
        </w:rPr>
      </w:pPr>
      <w:r w:rsidRPr="007E5783">
        <w:rPr>
          <w:b/>
          <w:bCs/>
          <w:szCs w:val="26"/>
        </w:rPr>
        <w:t>Denetim</w:t>
      </w:r>
    </w:p>
    <w:p w14:paraId="2BFBDC95" w14:textId="77777777" w:rsidR="001E7189" w:rsidRDefault="001E7189" w:rsidP="007513A1">
      <w:pPr>
        <w:jc w:val="both"/>
        <w:rPr>
          <w:lang w:val="tr"/>
        </w:rPr>
      </w:pPr>
      <w:r w:rsidRPr="007E5783">
        <w:rPr>
          <w:lang w:val="tr"/>
        </w:rPr>
        <w:t>Denetim; yönetimin fonksiyonlarından birisi olarak organizasyonların önceden belirlenen amaçlara uygun olarak faaliyetlerini gerçekleştirip gerçekleştiremediğini belirlemeyi amaçlar. Organizasyonun belirlenen süreçler ne seviyede ulaştığını belirlemeyi ve eğer istenilen sonuçlar alınamadıysa düzenleyici, önleyici ve iyileştirici önlemler almak denetimin amaçlarından biridir (Toker Gökçe, 2009).</w:t>
      </w:r>
    </w:p>
    <w:p w14:paraId="784A02E3" w14:textId="77777777" w:rsidR="001E7189" w:rsidRPr="007E5783" w:rsidRDefault="001E7189" w:rsidP="007513A1">
      <w:pPr>
        <w:jc w:val="both"/>
        <w:rPr>
          <w:lang w:val="tr"/>
        </w:rPr>
      </w:pPr>
    </w:p>
    <w:p w14:paraId="4A5DB899" w14:textId="77777777" w:rsidR="001E7189" w:rsidRDefault="001E7189" w:rsidP="007513A1">
      <w:pPr>
        <w:jc w:val="both"/>
        <w:rPr>
          <w:lang w:val="tr"/>
        </w:rPr>
      </w:pPr>
      <w:r w:rsidRPr="007E5783">
        <w:rPr>
          <w:lang w:val="tr"/>
        </w:rPr>
        <w:t>Denetim, mali olaylarla ilgili standartlara uygunluk seviyesini araştırma ve sonuçları ile ilgili bilgi kullanıcısına bildirmek amacıyla tarafsız, objektif ve bağımsız şekilde kanıtları toplayan ve bunları değerlendiren sistematik bir süreçtir. Denetim bu açıdan değerlendirildiğinde iktisadi olaylara odaklanan bir süreç gibi görünse de iktisadi olmayan olaylarla da ilgilenen denetimin çeşitli türleri vardır. Bu bağlamda aşağıdaki tabloda denetim türlerine yer verilmiştir (Dalak, 2000).</w:t>
      </w:r>
    </w:p>
    <w:p w14:paraId="087FA246" w14:textId="77777777" w:rsidR="001E7189" w:rsidRPr="007E5783" w:rsidRDefault="001E7189" w:rsidP="007513A1">
      <w:pPr>
        <w:jc w:val="both"/>
        <w:rPr>
          <w:lang w:val="tr"/>
        </w:rPr>
      </w:pPr>
    </w:p>
    <w:p w14:paraId="2380FEFE" w14:textId="77777777" w:rsidR="001E7189" w:rsidRPr="007E5783" w:rsidRDefault="001E7189" w:rsidP="007513A1">
      <w:pPr>
        <w:jc w:val="both"/>
        <w:rPr>
          <w:b/>
          <w:lang w:val="tr"/>
        </w:rPr>
      </w:pPr>
      <w:r w:rsidRPr="007E5783">
        <w:rPr>
          <w:b/>
          <w:lang w:val="tr"/>
        </w:rPr>
        <w:t>Tablo 1</w:t>
      </w:r>
    </w:p>
    <w:p w14:paraId="26C32C85" w14:textId="77777777" w:rsidR="001E7189" w:rsidRPr="007E5783" w:rsidRDefault="001E7189" w:rsidP="007513A1">
      <w:pPr>
        <w:jc w:val="both"/>
        <w:rPr>
          <w:i/>
          <w:lang w:val="tr"/>
        </w:rPr>
      </w:pPr>
      <w:r w:rsidRPr="007E5783">
        <w:rPr>
          <w:i/>
          <w:lang w:val="tr"/>
        </w:rPr>
        <w:t>Denetim Türleri</w:t>
      </w:r>
    </w:p>
    <w:tbl>
      <w:tblPr>
        <w:tblW w:w="5000" w:type="pct"/>
        <w:tblBorders>
          <w:top w:val="single" w:sz="8" w:space="0" w:color="000000"/>
          <w:bottom w:val="single" w:sz="8" w:space="0" w:color="000000"/>
          <w:insideH w:val="single" w:sz="8" w:space="0" w:color="000000"/>
        </w:tblBorders>
        <w:tblLook w:val="0600" w:firstRow="0" w:lastRow="0" w:firstColumn="0" w:lastColumn="0" w:noHBand="1" w:noVBand="1"/>
      </w:tblPr>
      <w:tblGrid>
        <w:gridCol w:w="5373"/>
        <w:gridCol w:w="3697"/>
      </w:tblGrid>
      <w:tr w:rsidR="001E7189" w:rsidRPr="007E5783" w14:paraId="132A238A" w14:textId="77777777" w:rsidTr="00D23BA5">
        <w:trPr>
          <w:trHeight w:val="2615"/>
        </w:trPr>
        <w:tc>
          <w:tcPr>
            <w:tcW w:w="2962" w:type="pct"/>
            <w:shd w:val="clear" w:color="auto" w:fill="auto"/>
            <w:tcMar>
              <w:top w:w="100" w:type="dxa"/>
              <w:left w:w="100" w:type="dxa"/>
              <w:bottom w:w="100" w:type="dxa"/>
              <w:right w:w="100" w:type="dxa"/>
            </w:tcMar>
            <w:vAlign w:val="center"/>
          </w:tcPr>
          <w:p w14:paraId="288FA06B" w14:textId="77777777" w:rsidR="001E7189" w:rsidRPr="007E5783" w:rsidRDefault="001E7189" w:rsidP="007513A1">
            <w:pPr>
              <w:jc w:val="center"/>
              <w:rPr>
                <w:sz w:val="20"/>
                <w:szCs w:val="20"/>
                <w:lang w:val="tr"/>
              </w:rPr>
            </w:pPr>
            <w:bookmarkStart w:id="101" w:name="_heading=h.i498k69653v6" w:colFirst="0" w:colLast="0"/>
            <w:bookmarkEnd w:id="101"/>
            <w:r w:rsidRPr="007E5783">
              <w:rPr>
                <w:sz w:val="20"/>
                <w:szCs w:val="20"/>
                <w:lang w:val="tr"/>
              </w:rPr>
              <w:t>Amaçları Bakımından Denetim Türleri</w:t>
            </w:r>
          </w:p>
        </w:tc>
        <w:tc>
          <w:tcPr>
            <w:tcW w:w="2038" w:type="pct"/>
            <w:shd w:val="clear" w:color="auto" w:fill="auto"/>
            <w:tcMar>
              <w:top w:w="100" w:type="dxa"/>
              <w:left w:w="100" w:type="dxa"/>
              <w:bottom w:w="100" w:type="dxa"/>
              <w:right w:w="100" w:type="dxa"/>
            </w:tcMar>
            <w:vAlign w:val="center"/>
          </w:tcPr>
          <w:p w14:paraId="2909E1E5" w14:textId="77777777" w:rsidR="001E7189" w:rsidRPr="007E5783" w:rsidRDefault="001E7189" w:rsidP="007513A1">
            <w:pPr>
              <w:jc w:val="center"/>
              <w:rPr>
                <w:sz w:val="20"/>
                <w:szCs w:val="20"/>
                <w:lang w:val="tr"/>
              </w:rPr>
            </w:pPr>
            <w:bookmarkStart w:id="102" w:name="_heading=h.jyr2o77x2mwk" w:colFirst="0" w:colLast="0"/>
            <w:bookmarkEnd w:id="102"/>
            <w:r w:rsidRPr="007E5783">
              <w:rPr>
                <w:sz w:val="20"/>
                <w:szCs w:val="20"/>
                <w:lang w:val="tr"/>
              </w:rPr>
              <w:t>-Mali Tablolar Denetimi</w:t>
            </w:r>
          </w:p>
          <w:p w14:paraId="7B2BCA6E" w14:textId="77777777" w:rsidR="001E7189" w:rsidRPr="007E5783" w:rsidRDefault="001E7189" w:rsidP="007513A1">
            <w:pPr>
              <w:jc w:val="center"/>
              <w:rPr>
                <w:sz w:val="20"/>
                <w:szCs w:val="20"/>
                <w:lang w:val="tr"/>
              </w:rPr>
            </w:pPr>
            <w:bookmarkStart w:id="103" w:name="_heading=h.i48upe4xt88u" w:colFirst="0" w:colLast="0"/>
            <w:bookmarkEnd w:id="103"/>
            <w:r w:rsidRPr="007E5783">
              <w:rPr>
                <w:sz w:val="20"/>
                <w:szCs w:val="20"/>
                <w:lang w:val="tr"/>
              </w:rPr>
              <w:t>-Uygunluk Denetimi</w:t>
            </w:r>
          </w:p>
          <w:p w14:paraId="5A01DFA9" w14:textId="77777777" w:rsidR="001E7189" w:rsidRPr="007E5783" w:rsidRDefault="001E7189" w:rsidP="007513A1">
            <w:pPr>
              <w:jc w:val="center"/>
              <w:rPr>
                <w:sz w:val="20"/>
                <w:szCs w:val="20"/>
                <w:lang w:val="tr"/>
              </w:rPr>
            </w:pPr>
            <w:bookmarkStart w:id="104" w:name="_heading=h.oojxnk50bwmh" w:colFirst="0" w:colLast="0"/>
            <w:bookmarkEnd w:id="104"/>
            <w:r w:rsidRPr="007E5783">
              <w:rPr>
                <w:sz w:val="20"/>
                <w:szCs w:val="20"/>
                <w:lang w:val="tr"/>
              </w:rPr>
              <w:t>-Faaliyet Denetimi</w:t>
            </w:r>
          </w:p>
          <w:p w14:paraId="14EE406C" w14:textId="77777777" w:rsidR="001E7189" w:rsidRPr="007E5783" w:rsidRDefault="001E7189" w:rsidP="007513A1">
            <w:pPr>
              <w:jc w:val="center"/>
              <w:rPr>
                <w:sz w:val="20"/>
                <w:szCs w:val="20"/>
                <w:lang w:val="tr"/>
              </w:rPr>
            </w:pPr>
            <w:bookmarkStart w:id="105" w:name="_heading=h.kulw2ing09mk" w:colFirst="0" w:colLast="0"/>
            <w:bookmarkEnd w:id="105"/>
            <w:r w:rsidRPr="007E5783">
              <w:rPr>
                <w:sz w:val="20"/>
                <w:szCs w:val="20"/>
                <w:lang w:val="tr"/>
              </w:rPr>
              <w:t>-Özel Amaçlı Denetimler</w:t>
            </w:r>
          </w:p>
        </w:tc>
      </w:tr>
      <w:tr w:rsidR="001E7189" w:rsidRPr="007E5783" w14:paraId="445B2058" w14:textId="77777777" w:rsidTr="00D23BA5">
        <w:trPr>
          <w:trHeight w:val="1247"/>
        </w:trPr>
        <w:tc>
          <w:tcPr>
            <w:tcW w:w="2962" w:type="pct"/>
            <w:shd w:val="clear" w:color="auto" w:fill="auto"/>
            <w:tcMar>
              <w:top w:w="100" w:type="dxa"/>
              <w:left w:w="100" w:type="dxa"/>
              <w:bottom w:w="100" w:type="dxa"/>
              <w:right w:w="100" w:type="dxa"/>
            </w:tcMar>
            <w:vAlign w:val="center"/>
          </w:tcPr>
          <w:p w14:paraId="52A2105E" w14:textId="77777777" w:rsidR="001E7189" w:rsidRPr="007E5783" w:rsidRDefault="001E7189" w:rsidP="007513A1">
            <w:pPr>
              <w:jc w:val="center"/>
              <w:rPr>
                <w:sz w:val="20"/>
                <w:szCs w:val="20"/>
                <w:lang w:val="tr"/>
              </w:rPr>
            </w:pPr>
            <w:bookmarkStart w:id="106" w:name="_heading=h.gnb4qigixq9s" w:colFirst="0" w:colLast="0"/>
            <w:bookmarkEnd w:id="106"/>
            <w:r w:rsidRPr="007E5783">
              <w:rPr>
                <w:sz w:val="20"/>
                <w:szCs w:val="20"/>
                <w:lang w:val="tr"/>
              </w:rPr>
              <w:t>Kapsamına Göre Denetim Türleri</w:t>
            </w:r>
          </w:p>
        </w:tc>
        <w:tc>
          <w:tcPr>
            <w:tcW w:w="2038" w:type="pct"/>
            <w:shd w:val="clear" w:color="auto" w:fill="auto"/>
            <w:tcMar>
              <w:top w:w="100" w:type="dxa"/>
              <w:left w:w="100" w:type="dxa"/>
              <w:bottom w:w="100" w:type="dxa"/>
              <w:right w:w="100" w:type="dxa"/>
            </w:tcMar>
            <w:vAlign w:val="center"/>
          </w:tcPr>
          <w:p w14:paraId="2E5AB892" w14:textId="77777777" w:rsidR="001E7189" w:rsidRPr="007E5783" w:rsidRDefault="001E7189" w:rsidP="007513A1">
            <w:pPr>
              <w:jc w:val="center"/>
              <w:rPr>
                <w:sz w:val="20"/>
                <w:szCs w:val="20"/>
                <w:lang w:val="tr"/>
              </w:rPr>
            </w:pPr>
            <w:bookmarkStart w:id="107" w:name="_heading=h.uhaxiq8wj1kp" w:colFirst="0" w:colLast="0"/>
            <w:bookmarkEnd w:id="107"/>
            <w:r w:rsidRPr="007E5783">
              <w:rPr>
                <w:sz w:val="20"/>
                <w:szCs w:val="20"/>
                <w:lang w:val="tr"/>
              </w:rPr>
              <w:t>-Genel Denetim</w:t>
            </w:r>
          </w:p>
          <w:p w14:paraId="69678B62" w14:textId="77777777" w:rsidR="001E7189" w:rsidRPr="007E5783" w:rsidRDefault="001E7189" w:rsidP="007513A1">
            <w:pPr>
              <w:jc w:val="center"/>
              <w:rPr>
                <w:sz w:val="20"/>
                <w:szCs w:val="20"/>
                <w:lang w:val="tr"/>
              </w:rPr>
            </w:pPr>
            <w:bookmarkStart w:id="108" w:name="_heading=h.573yonwy9hls" w:colFirst="0" w:colLast="0"/>
            <w:bookmarkEnd w:id="108"/>
            <w:r w:rsidRPr="007E5783">
              <w:rPr>
                <w:sz w:val="20"/>
                <w:szCs w:val="20"/>
                <w:lang w:val="tr"/>
              </w:rPr>
              <w:t>-Özel Denetim</w:t>
            </w:r>
          </w:p>
        </w:tc>
      </w:tr>
      <w:tr w:rsidR="001E7189" w:rsidRPr="007E5783" w14:paraId="301808AA" w14:textId="77777777" w:rsidTr="00D23BA5">
        <w:tc>
          <w:tcPr>
            <w:tcW w:w="2962" w:type="pct"/>
            <w:shd w:val="clear" w:color="auto" w:fill="auto"/>
            <w:tcMar>
              <w:top w:w="100" w:type="dxa"/>
              <w:left w:w="100" w:type="dxa"/>
              <w:bottom w:w="100" w:type="dxa"/>
              <w:right w:w="100" w:type="dxa"/>
            </w:tcMar>
            <w:vAlign w:val="center"/>
          </w:tcPr>
          <w:p w14:paraId="76F49F77" w14:textId="77777777" w:rsidR="001E7189" w:rsidRPr="007E5783" w:rsidRDefault="001E7189" w:rsidP="007513A1">
            <w:pPr>
              <w:jc w:val="center"/>
              <w:rPr>
                <w:sz w:val="20"/>
                <w:szCs w:val="20"/>
                <w:lang w:val="tr"/>
              </w:rPr>
            </w:pPr>
            <w:bookmarkStart w:id="109" w:name="_heading=h.kolvnxihei9e" w:colFirst="0" w:colLast="0"/>
            <w:bookmarkEnd w:id="109"/>
            <w:r w:rsidRPr="007E5783">
              <w:rPr>
                <w:sz w:val="20"/>
                <w:szCs w:val="20"/>
                <w:lang w:val="tr"/>
              </w:rPr>
              <w:t>Yapılış Nedenine Göre Denetim Türleri</w:t>
            </w:r>
          </w:p>
        </w:tc>
        <w:tc>
          <w:tcPr>
            <w:tcW w:w="2038" w:type="pct"/>
            <w:shd w:val="clear" w:color="auto" w:fill="auto"/>
            <w:tcMar>
              <w:top w:w="100" w:type="dxa"/>
              <w:left w:w="100" w:type="dxa"/>
              <w:bottom w:w="100" w:type="dxa"/>
              <w:right w:w="100" w:type="dxa"/>
            </w:tcMar>
            <w:vAlign w:val="center"/>
          </w:tcPr>
          <w:p w14:paraId="21968DB8" w14:textId="77777777" w:rsidR="001E7189" w:rsidRPr="007E5783" w:rsidRDefault="001E7189" w:rsidP="007513A1">
            <w:pPr>
              <w:jc w:val="center"/>
              <w:rPr>
                <w:sz w:val="20"/>
                <w:szCs w:val="20"/>
                <w:lang w:val="tr"/>
              </w:rPr>
            </w:pPr>
            <w:bookmarkStart w:id="110" w:name="_heading=h.ceo45v91s526" w:colFirst="0" w:colLast="0"/>
            <w:bookmarkEnd w:id="110"/>
            <w:r w:rsidRPr="007E5783">
              <w:rPr>
                <w:sz w:val="20"/>
                <w:szCs w:val="20"/>
                <w:lang w:val="tr"/>
              </w:rPr>
              <w:t>-Yasal Denetim</w:t>
            </w:r>
          </w:p>
          <w:p w14:paraId="27C79E7E" w14:textId="77777777" w:rsidR="001E7189" w:rsidRPr="007E5783" w:rsidRDefault="001E7189" w:rsidP="007513A1">
            <w:pPr>
              <w:jc w:val="center"/>
              <w:rPr>
                <w:sz w:val="20"/>
                <w:szCs w:val="20"/>
                <w:lang w:val="tr"/>
              </w:rPr>
            </w:pPr>
            <w:bookmarkStart w:id="111" w:name="_heading=h.ujm4wo9hiivc" w:colFirst="0" w:colLast="0"/>
            <w:bookmarkEnd w:id="111"/>
            <w:r w:rsidRPr="007E5783">
              <w:rPr>
                <w:sz w:val="20"/>
                <w:szCs w:val="20"/>
                <w:lang w:val="tr"/>
              </w:rPr>
              <w:t>-İsteğe Bağlı Denetim</w:t>
            </w:r>
          </w:p>
        </w:tc>
      </w:tr>
      <w:tr w:rsidR="001E7189" w:rsidRPr="007E5783" w14:paraId="7210ED24" w14:textId="77777777" w:rsidTr="00D23BA5">
        <w:trPr>
          <w:trHeight w:val="1676"/>
        </w:trPr>
        <w:tc>
          <w:tcPr>
            <w:tcW w:w="2962" w:type="pct"/>
            <w:shd w:val="clear" w:color="auto" w:fill="auto"/>
            <w:tcMar>
              <w:top w:w="100" w:type="dxa"/>
              <w:left w:w="100" w:type="dxa"/>
              <w:bottom w:w="100" w:type="dxa"/>
              <w:right w:w="100" w:type="dxa"/>
            </w:tcMar>
            <w:vAlign w:val="center"/>
          </w:tcPr>
          <w:p w14:paraId="251120C6" w14:textId="77777777" w:rsidR="001E7189" w:rsidRPr="007E5783" w:rsidRDefault="001E7189" w:rsidP="007513A1">
            <w:pPr>
              <w:jc w:val="center"/>
              <w:rPr>
                <w:sz w:val="20"/>
                <w:szCs w:val="20"/>
                <w:lang w:val="tr"/>
              </w:rPr>
            </w:pPr>
            <w:bookmarkStart w:id="112" w:name="_heading=h.jdkfz8mamrgs" w:colFirst="0" w:colLast="0"/>
            <w:bookmarkEnd w:id="112"/>
            <w:r w:rsidRPr="007E5783">
              <w:rPr>
                <w:sz w:val="20"/>
                <w:szCs w:val="20"/>
                <w:lang w:val="tr"/>
              </w:rPr>
              <w:lastRenderedPageBreak/>
              <w:t>Uygulama Zamanına Göre Denetim Türleri</w:t>
            </w:r>
          </w:p>
          <w:p w14:paraId="1D231C8E" w14:textId="77777777" w:rsidR="001E7189" w:rsidRPr="007E5783" w:rsidRDefault="001E7189" w:rsidP="007513A1">
            <w:pPr>
              <w:jc w:val="center"/>
              <w:rPr>
                <w:sz w:val="20"/>
                <w:szCs w:val="20"/>
                <w:lang w:val="tr"/>
              </w:rPr>
            </w:pPr>
          </w:p>
        </w:tc>
        <w:tc>
          <w:tcPr>
            <w:tcW w:w="2038" w:type="pct"/>
            <w:shd w:val="clear" w:color="auto" w:fill="auto"/>
            <w:tcMar>
              <w:top w:w="100" w:type="dxa"/>
              <w:left w:w="100" w:type="dxa"/>
              <w:bottom w:w="100" w:type="dxa"/>
              <w:right w:w="100" w:type="dxa"/>
            </w:tcMar>
            <w:vAlign w:val="center"/>
          </w:tcPr>
          <w:p w14:paraId="670B3825" w14:textId="77777777" w:rsidR="001E7189" w:rsidRPr="007E5783" w:rsidRDefault="001E7189" w:rsidP="007513A1">
            <w:pPr>
              <w:jc w:val="center"/>
              <w:rPr>
                <w:sz w:val="20"/>
                <w:szCs w:val="20"/>
                <w:lang w:val="tr"/>
              </w:rPr>
            </w:pPr>
            <w:bookmarkStart w:id="113" w:name="_heading=h.wy6kw12xvv30" w:colFirst="0" w:colLast="0"/>
            <w:bookmarkEnd w:id="113"/>
            <w:r w:rsidRPr="007E5783">
              <w:rPr>
                <w:sz w:val="20"/>
                <w:szCs w:val="20"/>
                <w:lang w:val="tr"/>
              </w:rPr>
              <w:t>-Devamlı Denetim</w:t>
            </w:r>
          </w:p>
          <w:p w14:paraId="3475C500" w14:textId="77777777" w:rsidR="001E7189" w:rsidRPr="007E5783" w:rsidRDefault="001E7189" w:rsidP="007513A1">
            <w:pPr>
              <w:jc w:val="center"/>
              <w:rPr>
                <w:sz w:val="20"/>
                <w:szCs w:val="20"/>
                <w:lang w:val="tr"/>
              </w:rPr>
            </w:pPr>
            <w:bookmarkStart w:id="114" w:name="_heading=h.ftue58o6zhpf" w:colFirst="0" w:colLast="0"/>
            <w:bookmarkEnd w:id="114"/>
            <w:r w:rsidRPr="007E5783">
              <w:rPr>
                <w:sz w:val="20"/>
                <w:szCs w:val="20"/>
                <w:lang w:val="tr"/>
              </w:rPr>
              <w:t>-Ara Denetim</w:t>
            </w:r>
          </w:p>
          <w:p w14:paraId="25135782" w14:textId="77777777" w:rsidR="001E7189" w:rsidRPr="007E5783" w:rsidRDefault="001E7189" w:rsidP="007513A1">
            <w:pPr>
              <w:jc w:val="center"/>
              <w:rPr>
                <w:sz w:val="20"/>
                <w:szCs w:val="20"/>
                <w:lang w:val="tr"/>
              </w:rPr>
            </w:pPr>
            <w:bookmarkStart w:id="115" w:name="_heading=h.5hefhucp78cb" w:colFirst="0" w:colLast="0"/>
            <w:bookmarkEnd w:id="115"/>
            <w:r w:rsidRPr="007E5783">
              <w:rPr>
                <w:sz w:val="20"/>
                <w:szCs w:val="20"/>
                <w:lang w:val="tr"/>
              </w:rPr>
              <w:t>-Son Denetim</w:t>
            </w:r>
          </w:p>
        </w:tc>
      </w:tr>
      <w:tr w:rsidR="001E7189" w:rsidRPr="007E5783" w14:paraId="5F9CCFAB" w14:textId="77777777" w:rsidTr="00D23BA5">
        <w:tc>
          <w:tcPr>
            <w:tcW w:w="2962" w:type="pct"/>
            <w:shd w:val="clear" w:color="auto" w:fill="auto"/>
            <w:tcMar>
              <w:top w:w="100" w:type="dxa"/>
              <w:left w:w="100" w:type="dxa"/>
              <w:bottom w:w="100" w:type="dxa"/>
              <w:right w:w="100" w:type="dxa"/>
            </w:tcMar>
            <w:vAlign w:val="center"/>
          </w:tcPr>
          <w:p w14:paraId="0E6672E5" w14:textId="77777777" w:rsidR="001E7189" w:rsidRPr="007E5783" w:rsidRDefault="001E7189" w:rsidP="007513A1">
            <w:pPr>
              <w:jc w:val="center"/>
              <w:rPr>
                <w:sz w:val="20"/>
                <w:szCs w:val="20"/>
                <w:lang w:val="tr"/>
              </w:rPr>
            </w:pPr>
            <w:bookmarkStart w:id="116" w:name="_heading=h.u4om5ohlr345" w:colFirst="0" w:colLast="0"/>
            <w:bookmarkEnd w:id="116"/>
            <w:r w:rsidRPr="007E5783">
              <w:rPr>
                <w:sz w:val="20"/>
                <w:szCs w:val="20"/>
                <w:lang w:val="tr"/>
              </w:rPr>
              <w:t>Denetçinin Statüsü Bakımından Denetim Türleri</w:t>
            </w:r>
          </w:p>
        </w:tc>
        <w:tc>
          <w:tcPr>
            <w:tcW w:w="2038" w:type="pct"/>
            <w:shd w:val="clear" w:color="auto" w:fill="auto"/>
            <w:tcMar>
              <w:top w:w="100" w:type="dxa"/>
              <w:left w:w="100" w:type="dxa"/>
              <w:bottom w:w="100" w:type="dxa"/>
              <w:right w:w="100" w:type="dxa"/>
            </w:tcMar>
            <w:vAlign w:val="center"/>
          </w:tcPr>
          <w:p w14:paraId="0B527590" w14:textId="77777777" w:rsidR="001E7189" w:rsidRPr="007E5783" w:rsidRDefault="001E7189" w:rsidP="007513A1">
            <w:pPr>
              <w:jc w:val="center"/>
              <w:rPr>
                <w:sz w:val="20"/>
                <w:szCs w:val="20"/>
                <w:lang w:val="tr"/>
              </w:rPr>
            </w:pPr>
            <w:bookmarkStart w:id="117" w:name="_heading=h.xrn8mgg63hq6" w:colFirst="0" w:colLast="0"/>
            <w:bookmarkEnd w:id="117"/>
            <w:r w:rsidRPr="007E5783">
              <w:rPr>
                <w:sz w:val="20"/>
                <w:szCs w:val="20"/>
                <w:lang w:val="tr"/>
              </w:rPr>
              <w:t>-Bağımsız (Dış) Denetim</w:t>
            </w:r>
          </w:p>
          <w:p w14:paraId="7574DBE4" w14:textId="77777777" w:rsidR="001E7189" w:rsidRPr="007E5783" w:rsidRDefault="001E7189" w:rsidP="007513A1">
            <w:pPr>
              <w:jc w:val="center"/>
              <w:rPr>
                <w:sz w:val="20"/>
                <w:szCs w:val="20"/>
                <w:lang w:val="tr"/>
              </w:rPr>
            </w:pPr>
            <w:bookmarkStart w:id="118" w:name="_heading=h.hwdjktwy2w3k" w:colFirst="0" w:colLast="0"/>
            <w:bookmarkEnd w:id="118"/>
            <w:r w:rsidRPr="007E5783">
              <w:rPr>
                <w:sz w:val="20"/>
                <w:szCs w:val="20"/>
                <w:lang w:val="tr"/>
              </w:rPr>
              <w:t>-İç Denetim</w:t>
            </w:r>
          </w:p>
          <w:p w14:paraId="1F24BE14" w14:textId="77777777" w:rsidR="001E7189" w:rsidRPr="007E5783" w:rsidRDefault="001E7189" w:rsidP="007513A1">
            <w:pPr>
              <w:jc w:val="center"/>
              <w:rPr>
                <w:sz w:val="20"/>
                <w:szCs w:val="20"/>
                <w:lang w:val="tr"/>
              </w:rPr>
            </w:pPr>
            <w:bookmarkStart w:id="119" w:name="_heading=h.jdxdnrdvi100" w:colFirst="0" w:colLast="0"/>
            <w:bookmarkEnd w:id="119"/>
            <w:r w:rsidRPr="007E5783">
              <w:rPr>
                <w:sz w:val="20"/>
                <w:szCs w:val="20"/>
                <w:lang w:val="tr"/>
              </w:rPr>
              <w:t>-Kamusal Denetim</w:t>
            </w:r>
          </w:p>
        </w:tc>
      </w:tr>
    </w:tbl>
    <w:p w14:paraId="1DD7BB20" w14:textId="77777777" w:rsidR="001E7189" w:rsidRPr="007E5783" w:rsidRDefault="001E7189" w:rsidP="007513A1">
      <w:pPr>
        <w:jc w:val="both"/>
        <w:rPr>
          <w:lang w:val="tr"/>
        </w:rPr>
      </w:pPr>
      <w:bookmarkStart w:id="120" w:name="_heading=h.9rze0b4q5eo" w:colFirst="0" w:colLast="0"/>
      <w:bookmarkEnd w:id="120"/>
      <w:r w:rsidRPr="007E5783">
        <w:rPr>
          <w:lang w:val="tr"/>
        </w:rPr>
        <w:t>Kaynak: Dalak, 2000.</w:t>
      </w:r>
    </w:p>
    <w:p w14:paraId="78327298" w14:textId="77777777" w:rsidR="001E7189" w:rsidRDefault="001E7189" w:rsidP="007513A1">
      <w:pPr>
        <w:jc w:val="both"/>
        <w:rPr>
          <w:lang w:val="tr"/>
        </w:rPr>
      </w:pPr>
      <w:r w:rsidRPr="007E5783">
        <w:rPr>
          <w:lang w:val="tr"/>
        </w:rPr>
        <w:t>Bu denetim türlerinden günümüzde sıkça duyduğumuz denetçinin statüsü bakımından gerçekleştirilen denetimler ön plana çıkmaktadır.</w:t>
      </w:r>
    </w:p>
    <w:p w14:paraId="4627986F" w14:textId="77777777" w:rsidR="007513A1" w:rsidRPr="007E5783" w:rsidRDefault="007513A1" w:rsidP="007513A1">
      <w:pPr>
        <w:jc w:val="both"/>
        <w:rPr>
          <w:lang w:val="tr"/>
        </w:rPr>
      </w:pPr>
    </w:p>
    <w:p w14:paraId="4263255C" w14:textId="77777777" w:rsidR="001E7189" w:rsidRDefault="001E7189" w:rsidP="007513A1">
      <w:pPr>
        <w:jc w:val="both"/>
        <w:rPr>
          <w:lang w:val="tr"/>
        </w:rPr>
      </w:pPr>
      <w:r w:rsidRPr="007E5783">
        <w:rPr>
          <w:lang w:val="tr"/>
        </w:rPr>
        <w:t>Bağımsız (dış) denetim; denetime tabi olan işletmelere ait finansal verilerin bağımsız bir denetçi tarafından objektif ve tarafsız bir şekilde topladığı kanıtları değerlendirme ve önceden belirlenen denetim standartlarına uygunluğa dikkat edilerek oluşan değerlendirmelerin ve görüşlerin bilgi kullanıcılarına iletmesi olarak tanımlanabilir (</w:t>
      </w:r>
      <w:proofErr w:type="spellStart"/>
      <w:r w:rsidRPr="007E5783">
        <w:rPr>
          <w:lang w:val="tr"/>
        </w:rPr>
        <w:t>Bayazıtlı</w:t>
      </w:r>
      <w:proofErr w:type="spellEnd"/>
      <w:r w:rsidRPr="007E5783">
        <w:rPr>
          <w:lang w:val="tr"/>
        </w:rPr>
        <w:t>, 1991).</w:t>
      </w:r>
    </w:p>
    <w:p w14:paraId="58918ED6" w14:textId="77777777" w:rsidR="007513A1" w:rsidRPr="007E5783" w:rsidRDefault="007513A1" w:rsidP="007513A1">
      <w:pPr>
        <w:jc w:val="both"/>
        <w:rPr>
          <w:lang w:val="tr"/>
        </w:rPr>
      </w:pPr>
    </w:p>
    <w:p w14:paraId="709D02BA" w14:textId="77777777" w:rsidR="001E7189" w:rsidRDefault="001E7189" w:rsidP="007513A1">
      <w:pPr>
        <w:jc w:val="both"/>
        <w:rPr>
          <w:lang w:val="tr"/>
        </w:rPr>
      </w:pPr>
      <w:r w:rsidRPr="007E5783">
        <w:rPr>
          <w:lang w:val="tr"/>
        </w:rPr>
        <w:t>İç denetim ise iç kontrol sisteminin etkinliğinin ölçülerek ve değerlendirilerek yönetime sunulan bağımsız bir belirleme hizmetidir. İç denetim, yönetsel hesap verebilirliği, örgütsel riskleri, iç kontrolleri, prosedürleri bir izleme aracı olarak yirminci yüzyılda denetimin bir branşı olarak gelişmiştir (</w:t>
      </w:r>
      <w:proofErr w:type="spellStart"/>
      <w:r w:rsidRPr="007E5783">
        <w:rPr>
          <w:lang w:val="tr"/>
        </w:rPr>
        <w:t>O’Regan</w:t>
      </w:r>
      <w:proofErr w:type="spellEnd"/>
      <w:r w:rsidRPr="007E5783">
        <w:rPr>
          <w:lang w:val="tr"/>
        </w:rPr>
        <w:t>, 2004; Akyel, 2010).</w:t>
      </w:r>
    </w:p>
    <w:p w14:paraId="0F2EAD89" w14:textId="77777777" w:rsidR="007513A1" w:rsidRPr="007E5783" w:rsidRDefault="007513A1" w:rsidP="007513A1">
      <w:pPr>
        <w:jc w:val="both"/>
        <w:rPr>
          <w:lang w:val="tr"/>
        </w:rPr>
      </w:pPr>
    </w:p>
    <w:p w14:paraId="527E7E46" w14:textId="77777777" w:rsidR="001E7189" w:rsidRDefault="001E7189" w:rsidP="007513A1">
      <w:pPr>
        <w:jc w:val="both"/>
        <w:rPr>
          <w:lang w:val="tr"/>
        </w:rPr>
      </w:pPr>
      <w:r w:rsidRPr="007E5783">
        <w:rPr>
          <w:lang w:val="tr"/>
        </w:rPr>
        <w:t>İç denetim, bir kurumun kamu yararına hizmet etme yeteneğini geliştirmede kritik bir rol oynar. İç denetimin birincil işlevi yönetişim, risk yönetimi ve kontrol süreçlerini güçlendirmek olsa da etkileri kurumun ötesine uzanır. İç denetim, bir kurumun operasyonel verimliliği, raporlarının güvenilirliği, kanun ve/veya yasal düzenlemelere uyumu, varlıklarının korunması ve etik kültürü hakkında güvence sağlayarak kurumun genel istikrarına ve sürdürülebilirliğine katkıda bulunur. Bu da kamuoyunun kuruma ve onun bir parçası olduğu daha geniş sistemlere olan güvenini ve itimadını artırır (IIA, 2024).</w:t>
      </w:r>
    </w:p>
    <w:p w14:paraId="16ABCBDB" w14:textId="77777777" w:rsidR="007513A1" w:rsidRPr="007E5783" w:rsidRDefault="007513A1" w:rsidP="007513A1">
      <w:pPr>
        <w:jc w:val="both"/>
        <w:rPr>
          <w:lang w:val="tr"/>
        </w:rPr>
      </w:pPr>
    </w:p>
    <w:p w14:paraId="59BF2210" w14:textId="77777777" w:rsidR="001E7189" w:rsidRDefault="001E7189" w:rsidP="007513A1">
      <w:pPr>
        <w:jc w:val="both"/>
        <w:rPr>
          <w:lang w:val="tr"/>
        </w:rPr>
      </w:pPr>
      <w:r w:rsidRPr="007E5783">
        <w:rPr>
          <w:lang w:val="tr"/>
        </w:rPr>
        <w:t>İşletmeler giderek daha belirsiz ve karmaşık hale gelmiş ve bu nedenle güçlü yönetişim ve risk yönetimini sağlamak için sağlıklı yapılara ve süreçlere ihtiyaç duyarlar. Bu noktada yönetimler gelişmeler ve yeniliklerle ilgili olarak da iç denetim biriminden, bağımsız ve objektif bir şekilde güvence ve danışmanlık hizmeti vermesini bekler. Uluslararası İç Denetçiler Enstitüsü kurumların hedeflerine ulaşmasında ve risk yönetiminde yardımcı olması için Üç Hat Modeli adını verdikleri bir model geliştirmişlerdir. Bu model birinci savunma hattında iç kontrol önlemlerini, ikinci savunma hattında risk yönetimi, uyum, teftiş gibi önlemleri ve üçüncü savunma hattında ise iç denetim biriminin denetimlerini ifade etmektedir. Bu modele göre iç denetimin yönetimle etkileşim içerisinde ve yönetimin hedefleri doğrultusunda yönetime karşı sorumluluğunu yerine getirmelidir (IIA, 2020).</w:t>
      </w:r>
    </w:p>
    <w:p w14:paraId="148AA977" w14:textId="77777777" w:rsidR="001E7189" w:rsidRPr="007E5783" w:rsidRDefault="001E7189" w:rsidP="007513A1">
      <w:pPr>
        <w:jc w:val="both"/>
        <w:rPr>
          <w:lang w:val="tr"/>
        </w:rPr>
      </w:pPr>
    </w:p>
    <w:p w14:paraId="2693F20E" w14:textId="77777777" w:rsidR="001E7189" w:rsidRPr="00342070" w:rsidRDefault="001E7189" w:rsidP="007513A1">
      <w:pPr>
        <w:rPr>
          <w:b/>
          <w:bCs/>
        </w:rPr>
      </w:pPr>
      <w:bookmarkStart w:id="121" w:name="_oaz97v1o9emn" w:colFirst="0" w:colLast="0"/>
      <w:bookmarkEnd w:id="121"/>
      <w:r w:rsidRPr="00342070">
        <w:rPr>
          <w:b/>
          <w:bCs/>
        </w:rPr>
        <w:t>Taylorizm</w:t>
      </w:r>
    </w:p>
    <w:p w14:paraId="14B9C2EE" w14:textId="77777777" w:rsidR="001E7189" w:rsidRDefault="001E7189" w:rsidP="007513A1">
      <w:pPr>
        <w:jc w:val="both"/>
        <w:rPr>
          <w:lang w:val="tr"/>
        </w:rPr>
      </w:pPr>
      <w:r w:rsidRPr="007E5783">
        <w:rPr>
          <w:lang w:val="tr"/>
        </w:rPr>
        <w:t xml:space="preserve">Günümüzden bakıldığında geçmişten bugüne denetim fonksiyonunun gelişme kaydetmesinin yanı sıra temel amacının benzer nitelikte olduğu görülmektedir. Denetim yönetimle etkileşim içerisinde ve yönetimin hedeflerini her zaman yerine getirmek üzere çalışmalar yürüten birim </w:t>
      </w:r>
      <w:r w:rsidRPr="007E5783">
        <w:rPr>
          <w:lang w:val="tr"/>
        </w:rPr>
        <w:lastRenderedPageBreak/>
        <w:t xml:space="preserve">olarak görülebilir. Klasik yönetim düşüncesinin öncülerinden olan Frederick </w:t>
      </w:r>
      <w:proofErr w:type="spellStart"/>
      <w:r w:rsidRPr="007E5783">
        <w:rPr>
          <w:lang w:val="tr"/>
        </w:rPr>
        <w:t>Winslow</w:t>
      </w:r>
      <w:proofErr w:type="spellEnd"/>
      <w:r w:rsidRPr="007E5783">
        <w:rPr>
          <w:lang w:val="tr"/>
        </w:rPr>
        <w:t xml:space="preserve"> Taylor, </w:t>
      </w:r>
      <w:proofErr w:type="spellStart"/>
      <w:r w:rsidRPr="007E5783">
        <w:rPr>
          <w:lang w:val="tr"/>
        </w:rPr>
        <w:t>Taylorist</w:t>
      </w:r>
      <w:proofErr w:type="spellEnd"/>
      <w:r w:rsidRPr="007E5783">
        <w:rPr>
          <w:lang w:val="tr"/>
        </w:rPr>
        <w:t xml:space="preserve"> ilkelerin uygulanmasının bir kuruluş için verimliliği, kontrol edilebilirliği, öngörülebilirliği ve sayısal esnekliği artırmak düşüncesiyle “Bilimsel Yönetimin Babası” olarak bilinir (</w:t>
      </w:r>
      <w:proofErr w:type="spellStart"/>
      <w:r w:rsidRPr="007E5783">
        <w:rPr>
          <w:lang w:val="tr"/>
        </w:rPr>
        <w:t>Altass</w:t>
      </w:r>
      <w:proofErr w:type="spellEnd"/>
      <w:r w:rsidRPr="007E5783">
        <w:rPr>
          <w:lang w:val="tr"/>
        </w:rPr>
        <w:t xml:space="preserve"> &amp; </w:t>
      </w:r>
      <w:proofErr w:type="spellStart"/>
      <w:r w:rsidRPr="007E5783">
        <w:rPr>
          <w:lang w:val="tr"/>
        </w:rPr>
        <w:t>Wiebe</w:t>
      </w:r>
      <w:proofErr w:type="spellEnd"/>
      <w:r w:rsidRPr="007E5783">
        <w:rPr>
          <w:lang w:val="tr"/>
        </w:rPr>
        <w:t xml:space="preserve">, 2017). Bu bağlamda Frederick </w:t>
      </w:r>
      <w:proofErr w:type="spellStart"/>
      <w:r w:rsidRPr="007E5783">
        <w:rPr>
          <w:lang w:val="tr"/>
        </w:rPr>
        <w:t>Winslow</w:t>
      </w:r>
      <w:proofErr w:type="spellEnd"/>
      <w:r w:rsidRPr="007E5783">
        <w:rPr>
          <w:lang w:val="tr"/>
        </w:rPr>
        <w:t xml:space="preserve"> Taylor, 1911 yılında yayınladığı “</w:t>
      </w:r>
      <w:r w:rsidRPr="007E5783">
        <w:rPr>
          <w:i/>
          <w:lang w:val="tr"/>
        </w:rPr>
        <w:t>Bilimsel Yönetimin İlkeleri</w:t>
      </w:r>
      <w:r w:rsidRPr="007E5783">
        <w:rPr>
          <w:lang w:val="tr"/>
        </w:rPr>
        <w:t>” kitabında bilimsel yönetim yaklaşımı ile yönetimde standardizasyon sağlanarak denetimin sağlanabileceğini ortaya koymuştur (Taylor, 1911).</w:t>
      </w:r>
    </w:p>
    <w:p w14:paraId="56023D51" w14:textId="77777777" w:rsidR="007513A1" w:rsidRPr="007E5783" w:rsidRDefault="007513A1" w:rsidP="007513A1">
      <w:pPr>
        <w:jc w:val="both"/>
        <w:rPr>
          <w:lang w:val="tr"/>
        </w:rPr>
      </w:pPr>
    </w:p>
    <w:p w14:paraId="3577CEA6" w14:textId="77777777" w:rsidR="001E7189" w:rsidRPr="007E5783" w:rsidRDefault="001E7189" w:rsidP="007513A1">
      <w:pPr>
        <w:jc w:val="both"/>
        <w:rPr>
          <w:lang w:val="tr"/>
        </w:rPr>
      </w:pPr>
      <w:r w:rsidRPr="007E5783">
        <w:rPr>
          <w:lang w:val="tr"/>
        </w:rPr>
        <w:t xml:space="preserve">Taylor’a göre verimliliği artırmak için bilimsel iş analizi ve denetim gereklidir (Köroğlu &amp; Koç, 2017). Taylorizm bilimsel yönetim adı altında emek süreçlerini yönlendirmeye ve kontrol etmeye dayalı bir sistemdir. Temel görüşlerini 1911 yılında yazdığı “Bilimsel Yönetimin İlkeleri” adlı eserinde açıklayan Frederick </w:t>
      </w:r>
      <w:proofErr w:type="spellStart"/>
      <w:r w:rsidRPr="007E5783">
        <w:rPr>
          <w:lang w:val="tr"/>
        </w:rPr>
        <w:t>Winslow</w:t>
      </w:r>
      <w:proofErr w:type="spellEnd"/>
      <w:r w:rsidRPr="007E5783">
        <w:rPr>
          <w:lang w:val="tr"/>
        </w:rPr>
        <w:t xml:space="preserve"> Taylor’un sistemi, kitlesel üretimin istenen düzeyde verimli bir şekilde sağlanabilmesi üzerine kurulmuştur (Bayrakçı &amp; Çağlayan, 2018).</w:t>
      </w:r>
    </w:p>
    <w:p w14:paraId="503F73E5" w14:textId="77777777" w:rsidR="001E7189" w:rsidRDefault="001E7189" w:rsidP="007513A1">
      <w:pPr>
        <w:jc w:val="both"/>
        <w:rPr>
          <w:lang w:val="tr"/>
        </w:rPr>
      </w:pPr>
      <w:r w:rsidRPr="007E5783">
        <w:rPr>
          <w:lang w:val="tr"/>
        </w:rPr>
        <w:t>Taylor, verimliliğin sağlanabilmesi için işletmelerde zaman etüdü uygulanması gerektiğini düşünmüştür. Bunun için işçileri bir süre denetledikten sonra bir kronometre, tartı ve şerit kullanarak işçilerin ve malzemelerin katettiği mesafeleri tam olarak ölçmüştür. Gerçekleştirdiği bu deneyler sonucunda hem işçi emeğinin hem de malzemelerin büyük bir kısmının boşa harcandığını görmüştür. Bu nedenle verimliliğin artırılabilmesi için işlevsel ustabaşı modelini geliştirerek işçilerin başına bir usta ve onların üstüne de onları kontrol edecek bir görevli olması gerekliliğinden bahsetmiştir. Bu model ile iç kontrolün sağlanarak ve işçilerin denetlendiklerini bilerek verimliliğin artırılabileceğini ileri sürmüştür (</w:t>
      </w:r>
      <w:proofErr w:type="spellStart"/>
      <w:r w:rsidRPr="007E5783">
        <w:rPr>
          <w:lang w:val="tr"/>
        </w:rPr>
        <w:t>Wren</w:t>
      </w:r>
      <w:proofErr w:type="spellEnd"/>
      <w:r w:rsidRPr="007E5783">
        <w:rPr>
          <w:lang w:val="tr"/>
        </w:rPr>
        <w:t xml:space="preserve"> &amp; </w:t>
      </w:r>
      <w:proofErr w:type="spellStart"/>
      <w:r w:rsidRPr="007E5783">
        <w:rPr>
          <w:lang w:val="tr"/>
        </w:rPr>
        <w:t>Bedeian</w:t>
      </w:r>
      <w:proofErr w:type="spellEnd"/>
      <w:r w:rsidRPr="007E5783">
        <w:rPr>
          <w:lang w:val="tr"/>
        </w:rPr>
        <w:t>, 2021).</w:t>
      </w:r>
    </w:p>
    <w:p w14:paraId="2D4DFDDF" w14:textId="77777777" w:rsidR="001E7189" w:rsidRPr="007E5783" w:rsidRDefault="001E7189" w:rsidP="007513A1">
      <w:pPr>
        <w:jc w:val="both"/>
        <w:rPr>
          <w:lang w:val="tr"/>
        </w:rPr>
      </w:pPr>
    </w:p>
    <w:p w14:paraId="24111A26" w14:textId="77777777" w:rsidR="001E7189" w:rsidRPr="00342070" w:rsidRDefault="001E7189" w:rsidP="007513A1">
      <w:pPr>
        <w:rPr>
          <w:b/>
          <w:bCs/>
        </w:rPr>
      </w:pPr>
      <w:bookmarkStart w:id="122" w:name="_j2r0l9ljzf1b" w:colFirst="0" w:colLast="0"/>
      <w:bookmarkEnd w:id="122"/>
      <w:r w:rsidRPr="00342070">
        <w:rPr>
          <w:b/>
          <w:bCs/>
        </w:rPr>
        <w:t>Dijital Taylorizm</w:t>
      </w:r>
    </w:p>
    <w:p w14:paraId="3F24D7E1" w14:textId="77777777" w:rsidR="001E7189" w:rsidRDefault="001E7189" w:rsidP="007513A1">
      <w:pPr>
        <w:jc w:val="both"/>
        <w:rPr>
          <w:lang w:val="tr"/>
        </w:rPr>
      </w:pPr>
      <w:r w:rsidRPr="007E5783">
        <w:rPr>
          <w:lang w:val="tr"/>
        </w:rPr>
        <w:t>Günümüzde Taylor’un geliştirdiği bu yöntemlerin hala geçerliliğini koruduğu görülmekte ve işletmelerin zaman etüdü uygulamaları, işlevsel ustabaşı görev yönetimi, iç kontrol ve iç denetim uygulamalarına önem verdikleri görülmektedir. Taylorizm yaklaşımı, bilgi teknolojisi, hukuk, ilaç ve finansal hizmetler gibi bilgiyle ilişkili sektörlere çoktan nüfuz etmiştir. Şimdi, hiper-dinamik teknolojik ilerlemenin gerçekleşmesiyle birlikte, 20. yüzyıla hâkim olan mekanik Taylorizm, 21. yüzyıla damgasını vurması muhtemel olan Dijital Taylorizm’e dönüşmüştür (</w:t>
      </w:r>
      <w:proofErr w:type="spellStart"/>
      <w:r w:rsidRPr="007E5783">
        <w:rPr>
          <w:lang w:val="tr"/>
        </w:rPr>
        <w:t>Duggal</w:t>
      </w:r>
      <w:proofErr w:type="spellEnd"/>
      <w:r w:rsidRPr="007E5783">
        <w:rPr>
          <w:lang w:val="tr"/>
        </w:rPr>
        <w:t xml:space="preserve"> vd., 2024).</w:t>
      </w:r>
    </w:p>
    <w:p w14:paraId="037AB5CC" w14:textId="77777777" w:rsidR="001E7189" w:rsidRPr="007E5783" w:rsidRDefault="001E7189" w:rsidP="007513A1">
      <w:pPr>
        <w:jc w:val="both"/>
        <w:rPr>
          <w:lang w:val="tr"/>
        </w:rPr>
      </w:pPr>
    </w:p>
    <w:p w14:paraId="159D0B89" w14:textId="77777777" w:rsidR="001E7189" w:rsidRDefault="001E7189" w:rsidP="007513A1">
      <w:pPr>
        <w:jc w:val="both"/>
        <w:rPr>
          <w:lang w:val="tr"/>
        </w:rPr>
      </w:pPr>
      <w:r w:rsidRPr="007E5783">
        <w:rPr>
          <w:lang w:val="tr"/>
        </w:rPr>
        <w:t>Dijitalleşmenin etkili olduğu günümüz koşullarında, çalışanların iş yapma süreci ve şekli üzerindeki yeni kontrol, denetim ve bütün halinde yönetiminde bir hayli değişimler yaşanmaktadır. Bunların başında ise çalışanların denetiminin ve yönetiminde etkin kullanılan algoritmik yönetim kavramı ön plana çıkmaktadır (Oral, 2024). Ancak, algoritmik yönetimin, Taylorizm’de olduğu gibi işçinin inisiyatiflerinin kısıtlanmasıyla işverenin emek üzerindeki kontrolünü artırdığı düşünülebilir. Buna rağmen, günümüzde dijital Taylorizm olarak adlandırılan yeni dijital iş yönetim sistemi, insana ait sosyal yönleri dışsallaştırmak ve bu bağlamda mevcut algoritmik yönetimin daha da olumsuz özelliklerini yansıtabilmektedir (</w:t>
      </w:r>
      <w:proofErr w:type="spellStart"/>
      <w:r w:rsidRPr="007E5783">
        <w:rPr>
          <w:lang w:val="tr"/>
        </w:rPr>
        <w:t>Duggan</w:t>
      </w:r>
      <w:proofErr w:type="spellEnd"/>
      <w:r w:rsidRPr="007E5783">
        <w:rPr>
          <w:lang w:val="tr"/>
        </w:rPr>
        <w:t xml:space="preserve"> vd., 2019).</w:t>
      </w:r>
    </w:p>
    <w:p w14:paraId="44D031A1" w14:textId="77777777" w:rsidR="001E7189" w:rsidRPr="007E5783" w:rsidRDefault="001E7189" w:rsidP="007513A1">
      <w:pPr>
        <w:jc w:val="both"/>
        <w:rPr>
          <w:lang w:val="tr"/>
        </w:rPr>
      </w:pPr>
    </w:p>
    <w:p w14:paraId="020CC36F" w14:textId="77777777" w:rsidR="001E7189" w:rsidRDefault="001E7189" w:rsidP="007513A1">
      <w:pPr>
        <w:jc w:val="both"/>
        <w:rPr>
          <w:lang w:val="tr"/>
        </w:rPr>
      </w:pPr>
      <w:r w:rsidRPr="007E5783">
        <w:rPr>
          <w:lang w:val="tr"/>
        </w:rPr>
        <w:t>Algoritmik yönetimin teknolojiyle genişlemesi, işçilerin ve makinelerin fiziksel alanlarının da genişlemesi ve hareket kabiliyetinin artmasının habercisidir. Yönetimler çalışanları hakkında öğrenmek istediği bilgilere erişimlerinin etkin ve etkili bir şekilde erişilebilir hale gelmesi gözetimin de artmasını sağlamaktadır. Bunun neticesinde Taylorizm’in dijitalleşmesi ve yaygınlığının artması çalışanların faaliyetlerinin zaman ve hareket analizi yapma becerisini geliştirmektedir. Ayrıca çalışan faaliyetlerinin analiziyle elde edilen veriler makine süreçlerinin iyileştirilmesi için de kullanılmaktadır (</w:t>
      </w:r>
      <w:proofErr w:type="spellStart"/>
      <w:r w:rsidRPr="007E5783">
        <w:rPr>
          <w:lang w:val="tr"/>
        </w:rPr>
        <w:t>Delfanti</w:t>
      </w:r>
      <w:proofErr w:type="spellEnd"/>
      <w:r w:rsidRPr="007E5783">
        <w:rPr>
          <w:lang w:val="tr"/>
        </w:rPr>
        <w:t xml:space="preserve"> &amp; </w:t>
      </w:r>
      <w:proofErr w:type="spellStart"/>
      <w:r w:rsidRPr="007E5783">
        <w:rPr>
          <w:lang w:val="tr"/>
        </w:rPr>
        <w:t>Frey</w:t>
      </w:r>
      <w:proofErr w:type="spellEnd"/>
      <w:r w:rsidRPr="007E5783">
        <w:rPr>
          <w:lang w:val="tr"/>
        </w:rPr>
        <w:t>, 2020).</w:t>
      </w:r>
    </w:p>
    <w:p w14:paraId="3EB239EA" w14:textId="77777777" w:rsidR="001E7189" w:rsidRPr="007E5783" w:rsidRDefault="001E7189" w:rsidP="007513A1">
      <w:pPr>
        <w:jc w:val="both"/>
        <w:rPr>
          <w:lang w:val="tr"/>
        </w:rPr>
      </w:pPr>
    </w:p>
    <w:p w14:paraId="56648F84" w14:textId="77777777" w:rsidR="001E7189" w:rsidRDefault="001E7189" w:rsidP="007513A1">
      <w:pPr>
        <w:jc w:val="both"/>
        <w:rPr>
          <w:lang w:val="tr"/>
        </w:rPr>
      </w:pPr>
      <w:r w:rsidRPr="007E5783">
        <w:rPr>
          <w:lang w:val="tr"/>
        </w:rPr>
        <w:t xml:space="preserve">Algoritmik yönetim, işi bireysel görevlere böler, çalışanları yakından izler ve çalışanları ayırmanın bir yolu olarak ücreti performansla ilişkilendirir; bu da akademisyenlerin </w:t>
      </w:r>
      <w:proofErr w:type="spellStart"/>
      <w:r w:rsidRPr="007E5783">
        <w:rPr>
          <w:lang w:val="tr"/>
        </w:rPr>
        <w:t>gig</w:t>
      </w:r>
      <w:proofErr w:type="spellEnd"/>
      <w:r w:rsidRPr="007E5783">
        <w:rPr>
          <w:lang w:val="tr"/>
        </w:rPr>
        <w:t xml:space="preserve"> ekonomisini günümüzün dijitalleştirilmiş Taylorizm’ine benzetmelerine yol açar (</w:t>
      </w:r>
      <w:proofErr w:type="spellStart"/>
      <w:r w:rsidRPr="007E5783">
        <w:rPr>
          <w:lang w:val="tr"/>
        </w:rPr>
        <w:t>McGaughey</w:t>
      </w:r>
      <w:proofErr w:type="spellEnd"/>
      <w:r w:rsidRPr="007E5783">
        <w:rPr>
          <w:lang w:val="tr"/>
        </w:rPr>
        <w:t>, 2018). Algoritmik yönetim, Taylor’un bilimsel yönetim ilkelerini daha da ileriye götürerek, bireysel görevlerde çalışanları yakın bir şekilde izler, performanslarına göre ödeme bağlantıları kurar ve bu süreçte dijital teknolojileri kullanır. Bu yaklaşım, modern çalışma ekonomisinde “Dijital Taylorizm” olarak adlandırılan bir fenomene dönüşmüştür (Oral, 2024).</w:t>
      </w:r>
    </w:p>
    <w:p w14:paraId="6AE28CB3" w14:textId="77777777" w:rsidR="001E7189" w:rsidRPr="007E5783" w:rsidRDefault="001E7189" w:rsidP="007513A1">
      <w:pPr>
        <w:jc w:val="both"/>
        <w:rPr>
          <w:lang w:val="tr"/>
        </w:rPr>
      </w:pPr>
    </w:p>
    <w:p w14:paraId="103C8F63" w14:textId="77777777" w:rsidR="001E7189" w:rsidRDefault="001E7189" w:rsidP="007513A1">
      <w:pPr>
        <w:jc w:val="both"/>
        <w:rPr>
          <w:lang w:val="tr"/>
        </w:rPr>
      </w:pPr>
      <w:r w:rsidRPr="007E5783">
        <w:rPr>
          <w:lang w:val="tr"/>
        </w:rPr>
        <w:t xml:space="preserve">Teoride liberal bir doktrin olan Taylorizm; pratik bileşenleri yirminci yüzyılın dijital işyerinin gerekliliklerine, hatta dijitalleşmiş ve yapay </w:t>
      </w:r>
      <w:proofErr w:type="gramStart"/>
      <w:r w:rsidRPr="007E5783">
        <w:rPr>
          <w:lang w:val="tr"/>
        </w:rPr>
        <w:t>zeka</w:t>
      </w:r>
      <w:proofErr w:type="gramEnd"/>
      <w:r w:rsidRPr="007E5783">
        <w:rPr>
          <w:lang w:val="tr"/>
        </w:rPr>
        <w:t xml:space="preserve"> ile geliştirilmiş ekonomik rekabetin emirlerine uygun, bilimsel ve sürtünmesiz işçi örgütlenmesi ihtiyacının '</w:t>
      </w:r>
      <w:proofErr w:type="spellStart"/>
      <w:r w:rsidRPr="007E5783">
        <w:rPr>
          <w:lang w:val="tr"/>
        </w:rPr>
        <w:t>neo</w:t>
      </w:r>
      <w:proofErr w:type="spellEnd"/>
      <w:r w:rsidRPr="007E5783">
        <w:rPr>
          <w:lang w:val="tr"/>
        </w:rPr>
        <w:t xml:space="preserve"> terzilik' biçiminde uyarlanmıştır. Kısacası, </w:t>
      </w:r>
      <w:proofErr w:type="spellStart"/>
      <w:r w:rsidRPr="007E5783">
        <w:rPr>
          <w:lang w:val="tr"/>
        </w:rPr>
        <w:t>Taylorcu</w:t>
      </w:r>
      <w:proofErr w:type="spellEnd"/>
      <w:r w:rsidRPr="007E5783">
        <w:rPr>
          <w:lang w:val="tr"/>
        </w:rPr>
        <w:t xml:space="preserve"> model sürekli olarak yeni teknolojilere ve uygulamalara uyarlanmakta ve bu nedenle günümüzde çeşitli şekillerde 'Neo-Taylorizm', 'Bilgisayar Destekli Neo-Taylorizm' veya 'Dijital Taylorizm' olarak tanımlanan yeni bir dijital sömürü biçimini açıklamaktadır (</w:t>
      </w:r>
      <w:proofErr w:type="spellStart"/>
      <w:r w:rsidRPr="007E5783">
        <w:rPr>
          <w:lang w:val="tr"/>
        </w:rPr>
        <w:t>Baumgarten</w:t>
      </w:r>
      <w:proofErr w:type="spellEnd"/>
      <w:r w:rsidRPr="007E5783">
        <w:rPr>
          <w:lang w:val="tr"/>
        </w:rPr>
        <w:t xml:space="preserve"> &amp; </w:t>
      </w:r>
      <w:proofErr w:type="spellStart"/>
      <w:r w:rsidRPr="007E5783">
        <w:rPr>
          <w:lang w:val="tr"/>
        </w:rPr>
        <w:t>Bourgadel</w:t>
      </w:r>
      <w:proofErr w:type="spellEnd"/>
      <w:r w:rsidRPr="007E5783">
        <w:rPr>
          <w:lang w:val="tr"/>
        </w:rPr>
        <w:t>, 2024).</w:t>
      </w:r>
    </w:p>
    <w:p w14:paraId="7E559311" w14:textId="77777777" w:rsidR="001E7189" w:rsidRPr="007E5783" w:rsidRDefault="001E7189" w:rsidP="007513A1">
      <w:pPr>
        <w:jc w:val="both"/>
        <w:rPr>
          <w:lang w:val="tr"/>
        </w:rPr>
      </w:pPr>
    </w:p>
    <w:p w14:paraId="33F7E5AB" w14:textId="77777777" w:rsidR="001E7189" w:rsidRDefault="001E7189" w:rsidP="007513A1">
      <w:pPr>
        <w:jc w:val="both"/>
        <w:rPr>
          <w:lang w:val="tr"/>
        </w:rPr>
      </w:pPr>
      <w:r w:rsidRPr="007E5783">
        <w:rPr>
          <w:lang w:val="tr"/>
        </w:rPr>
        <w:t>Küreselleşmeyle birlikte değer üreten organizasyonlar gelişen pazar gereklilikleri ile kaliteye, esnekliğe ve zamanın verimli kullanılarak çeşitlilikle tüketicilerin zevklerinin tatmin edilmesi konusuna daha fazla odaklanmışlardır. Bu durum üçüncü sanayi devrimi ile yoğunlaşmış ve yeni bir yaklaşıma yol açmıştır. Dijital Taylorizm olarak adlandırılan bu yaklaşım, ortaya çıkan yeni iş kollarının çalışan nitelikleriyle ilgili olsa bile Taylorizm yaklaşımının temel ilkeleri altında yeniden ele alınmasıyla ortaya çıkmıştır. Dijitalleşmeye başlayan işlerin, insanların karar vermesi yerine bilgisayarların karar mekanizmasına sahip olmasıyla küresel işletmelerde süreçlerin hızlanması sağlanmıştır. Dijital Taylorizm yaklaşımı gelişmiş ülkelerde daha belirgin bir şekilde görülmektedir çünkü gelişmiş ülkelerde teknoloji daha etkin ve verimli kullanılmaktadır. (</w:t>
      </w:r>
      <w:proofErr w:type="spellStart"/>
      <w:r w:rsidRPr="007E5783">
        <w:rPr>
          <w:lang w:val="tr"/>
        </w:rPr>
        <w:t>Vazquez</w:t>
      </w:r>
      <w:proofErr w:type="spellEnd"/>
      <w:r w:rsidRPr="007E5783">
        <w:rPr>
          <w:lang w:val="tr"/>
        </w:rPr>
        <w:t xml:space="preserve"> &amp; </w:t>
      </w:r>
      <w:proofErr w:type="spellStart"/>
      <w:r w:rsidRPr="007E5783">
        <w:rPr>
          <w:lang w:val="tr"/>
        </w:rPr>
        <w:t>Purification</w:t>
      </w:r>
      <w:proofErr w:type="spellEnd"/>
      <w:r w:rsidRPr="007E5783">
        <w:rPr>
          <w:lang w:val="tr"/>
        </w:rPr>
        <w:t>, 2017).</w:t>
      </w:r>
    </w:p>
    <w:p w14:paraId="48329994" w14:textId="77777777" w:rsidR="001E7189" w:rsidRPr="007E5783" w:rsidRDefault="001E7189" w:rsidP="007513A1">
      <w:pPr>
        <w:jc w:val="both"/>
        <w:rPr>
          <w:lang w:val="tr"/>
        </w:rPr>
      </w:pPr>
    </w:p>
    <w:p w14:paraId="583A8F0B" w14:textId="77777777" w:rsidR="001E7189" w:rsidRDefault="001E7189" w:rsidP="007513A1">
      <w:pPr>
        <w:jc w:val="both"/>
        <w:rPr>
          <w:lang w:val="tr"/>
        </w:rPr>
      </w:pPr>
      <w:r w:rsidRPr="007E5783">
        <w:rPr>
          <w:lang w:val="tr"/>
        </w:rPr>
        <w:t xml:space="preserve">Değişen iş süreçleri bu süreçlere uyum sağlayabilen çalışan değişimini de beraberinde getirmiştir. Bu da kontrol mekanizmalarında değişime sebep olmuştur. Yeni algoritmik yönetim çalışan kontrolünde modern mekanizmaların gelişmesini sağlamış ve Taylor’un verimliliği artırma hedefine yönelik olarak yeni takip cihazları kullanılmaya başlanmıştır. Bu sürecin kolay hale gelmesi için işler bölümlendirilmiş ve farklı kollara ayrılmıştır ve bu da işlerin </w:t>
      </w:r>
      <w:proofErr w:type="gramStart"/>
      <w:r w:rsidRPr="007E5783">
        <w:rPr>
          <w:lang w:val="tr"/>
        </w:rPr>
        <w:t>kalifikasyon</w:t>
      </w:r>
      <w:proofErr w:type="gramEnd"/>
      <w:r w:rsidRPr="007E5783">
        <w:rPr>
          <w:lang w:val="tr"/>
        </w:rPr>
        <w:t xml:space="preserve"> değerini düşürmüştür. Yapılan işler takip edilir ve işçiler performanslarına göre ödüllendirilir ya da cezalandırılır (Yılmaz, 2023).</w:t>
      </w:r>
    </w:p>
    <w:p w14:paraId="598E6F63" w14:textId="77777777" w:rsidR="001E7189" w:rsidRPr="007E5783" w:rsidRDefault="001E7189" w:rsidP="007513A1">
      <w:pPr>
        <w:jc w:val="both"/>
        <w:rPr>
          <w:lang w:val="tr"/>
        </w:rPr>
      </w:pPr>
    </w:p>
    <w:p w14:paraId="4854135D" w14:textId="77777777" w:rsidR="001E7189" w:rsidRPr="00342070" w:rsidRDefault="001E7189" w:rsidP="007513A1">
      <w:pPr>
        <w:rPr>
          <w:b/>
          <w:bCs/>
        </w:rPr>
      </w:pPr>
      <w:bookmarkStart w:id="123" w:name="_key692wfhvz" w:colFirst="0" w:colLast="0"/>
      <w:bookmarkEnd w:id="123"/>
      <w:r w:rsidRPr="00342070">
        <w:rPr>
          <w:b/>
          <w:bCs/>
        </w:rPr>
        <w:t>Taylorizm’den Dijital Taylorizm’e Denetimin Dönüşümü</w:t>
      </w:r>
    </w:p>
    <w:p w14:paraId="5C77ADED" w14:textId="5ADA0C7E" w:rsidR="001E7189" w:rsidRDefault="001E7189" w:rsidP="007513A1">
      <w:pPr>
        <w:keepNext/>
        <w:keepLines/>
        <w:outlineLvl w:val="1"/>
        <w:rPr>
          <w:lang w:val="tr"/>
        </w:rPr>
      </w:pPr>
      <w:r w:rsidRPr="007E5783">
        <w:rPr>
          <w:lang w:val="tr"/>
        </w:rPr>
        <w:t xml:space="preserve">Taylor, mühendis bakış açısıyla işçilerin yaptıkları işlerin düzenlenerek, bölümlendirilerek ve doğru araç gereç kullanımı sağlanarak verimliliğin artırılabileceğini ve bu şekilde çalışanların da daha fazla gelir elde edebileceğini </w:t>
      </w:r>
      <w:proofErr w:type="spellStart"/>
      <w:r w:rsidRPr="007E5783">
        <w:rPr>
          <w:lang w:val="tr"/>
        </w:rPr>
        <w:t>savumuştur</w:t>
      </w:r>
      <w:proofErr w:type="spellEnd"/>
      <w:r w:rsidRPr="007E5783">
        <w:rPr>
          <w:lang w:val="tr"/>
        </w:rPr>
        <w:t>. Bunu düşüncesini uygularken, iş</w:t>
      </w:r>
      <w:r w:rsidR="007513A1">
        <w:rPr>
          <w:lang w:val="tr"/>
        </w:rPr>
        <w:t xml:space="preserve"> </w:t>
      </w:r>
      <w:r w:rsidRPr="007E5783">
        <w:rPr>
          <w:lang w:val="tr"/>
        </w:rPr>
        <w:t xml:space="preserve">standartlaştırma ve zaman etüdü gibi </w:t>
      </w:r>
      <w:proofErr w:type="spellStart"/>
      <w:r w:rsidRPr="007E5783">
        <w:rPr>
          <w:lang w:val="tr"/>
        </w:rPr>
        <w:t>metodlara</w:t>
      </w:r>
      <w:proofErr w:type="spellEnd"/>
      <w:r w:rsidRPr="007E5783">
        <w:rPr>
          <w:lang w:val="tr"/>
        </w:rPr>
        <w:t xml:space="preserve"> başvurmuştur. Ayrıca işçilerin denetimini sağlamak üzere yöneticileri görevlendirmiş ve sürekli kontrol yapılıp olası aksaklıklarda müdahale edilmesi gerektiğini belirtmiştir (</w:t>
      </w:r>
      <w:proofErr w:type="spellStart"/>
      <w:r w:rsidRPr="007E5783">
        <w:rPr>
          <w:lang w:val="tr"/>
        </w:rPr>
        <w:t>Wren</w:t>
      </w:r>
      <w:proofErr w:type="spellEnd"/>
      <w:r w:rsidRPr="007E5783">
        <w:rPr>
          <w:lang w:val="tr"/>
        </w:rPr>
        <w:t xml:space="preserve"> &amp; </w:t>
      </w:r>
      <w:proofErr w:type="spellStart"/>
      <w:r w:rsidRPr="007E5783">
        <w:rPr>
          <w:lang w:val="tr"/>
        </w:rPr>
        <w:t>Bedeian</w:t>
      </w:r>
      <w:proofErr w:type="spellEnd"/>
      <w:r w:rsidRPr="007E5783">
        <w:rPr>
          <w:lang w:val="tr"/>
        </w:rPr>
        <w:t>, 2021).</w:t>
      </w:r>
    </w:p>
    <w:p w14:paraId="76584073" w14:textId="77777777" w:rsidR="001E7189" w:rsidRPr="00C274CA" w:rsidRDefault="001E7189" w:rsidP="007513A1">
      <w:pPr>
        <w:keepNext/>
        <w:keepLines/>
        <w:outlineLvl w:val="1"/>
        <w:rPr>
          <w:b/>
          <w:bCs/>
          <w:szCs w:val="26"/>
        </w:rPr>
      </w:pPr>
    </w:p>
    <w:p w14:paraId="32AD7670" w14:textId="77777777" w:rsidR="001E7189" w:rsidRDefault="001E7189" w:rsidP="007513A1">
      <w:pPr>
        <w:jc w:val="both"/>
        <w:rPr>
          <w:lang w:val="tr"/>
        </w:rPr>
      </w:pPr>
      <w:r w:rsidRPr="007E5783">
        <w:rPr>
          <w:lang w:val="tr"/>
        </w:rPr>
        <w:t xml:space="preserve">Günümüze gelindiğinde Taylor’un sunduğu bilimsel yönetim yaklaşımının, işçilerin denetimine yönelik fonksiyonun, yalnızca işçi denetimi olarak değil aynı zamanda işletmelerin mali işlerine yönelik denetim faaliyetlerinin de geliştiği görülmüştür. Yaşanan teknolojik </w:t>
      </w:r>
      <w:r w:rsidRPr="007E5783">
        <w:rPr>
          <w:lang w:val="tr"/>
        </w:rPr>
        <w:lastRenderedPageBreak/>
        <w:t>gelişmelerle birlikte işçi denetimleri, Taylor dönemindeki gibi işçilerin başında durarak değil, kamera görüntüleriyle ve standartlaşan işlerin bitiş sürelerinin takibiyle yapılabilmektedir (</w:t>
      </w:r>
      <w:proofErr w:type="spellStart"/>
      <w:r w:rsidRPr="007E5783">
        <w:rPr>
          <w:lang w:val="tr"/>
        </w:rPr>
        <w:t>Holford</w:t>
      </w:r>
      <w:proofErr w:type="spellEnd"/>
      <w:r w:rsidRPr="007E5783">
        <w:rPr>
          <w:lang w:val="tr"/>
        </w:rPr>
        <w:t>, 2019). Ancak hala işçilerin kontrolü birim amirlerinin anlık faaliyet kontrolleriyle de gerçekleştirilebilmektedir.</w:t>
      </w:r>
    </w:p>
    <w:p w14:paraId="43A56780" w14:textId="77777777" w:rsidR="001E7189" w:rsidRPr="007E5783" w:rsidRDefault="001E7189" w:rsidP="007513A1">
      <w:pPr>
        <w:jc w:val="both"/>
        <w:rPr>
          <w:lang w:val="tr"/>
        </w:rPr>
      </w:pPr>
    </w:p>
    <w:p w14:paraId="3B8077E9" w14:textId="77777777" w:rsidR="001E7189" w:rsidRDefault="001E7189" w:rsidP="007513A1">
      <w:pPr>
        <w:jc w:val="both"/>
        <w:rPr>
          <w:lang w:val="tr"/>
        </w:rPr>
      </w:pPr>
      <w:r w:rsidRPr="007E5783">
        <w:rPr>
          <w:lang w:val="tr"/>
        </w:rPr>
        <w:t>Denetim, kavram olarak 20. yüzyılın başından bu yana; özellikle Amerika ekonomisinin 1920’lerden sonra hızla yükselişe geçtiği dönemde oldukça gelişmiş, çeşitlenmiş ve denetim türüne göre sınıflanmıştır (</w:t>
      </w:r>
      <w:proofErr w:type="spellStart"/>
      <w:r w:rsidRPr="007E5783">
        <w:rPr>
          <w:lang w:val="tr"/>
        </w:rPr>
        <w:t>Teck-Heang</w:t>
      </w:r>
      <w:proofErr w:type="spellEnd"/>
      <w:r w:rsidRPr="007E5783">
        <w:rPr>
          <w:lang w:val="tr"/>
        </w:rPr>
        <w:t xml:space="preserve"> &amp; Ali, 2008). İşletmeler bünyelerinde iç denetim birimi oluşturarak bağımsız denetim faaliyetlerinden önce iç denetim sağlayarak bağlı oldukları kamu kurum ve kuruluşlarına hesap verebilir hale gelmeyi hedeflemektedirler. İç denetim birimi işletmelerin mali denetimlerini sağlayarak işletmeyi olası risklerden korumaya, hata payını azaltmaya ve önleyici, düzenleyici ve iyileştirici faaliyetler uygulamaya çalışır. Ancak iç denetim yalnızca mali konuların denetimini sağlamaz; aynı zamanda iş süreçleriyle ilgili daha verimli bir yol geliştirebiliyorsa yönetime bunun tavsiyesini verir (Ertekin, 2004).</w:t>
      </w:r>
    </w:p>
    <w:p w14:paraId="4A84FA63" w14:textId="77777777" w:rsidR="001E7189" w:rsidRPr="007E5783" w:rsidRDefault="001E7189" w:rsidP="007513A1">
      <w:pPr>
        <w:jc w:val="both"/>
        <w:rPr>
          <w:lang w:val="tr"/>
        </w:rPr>
      </w:pPr>
    </w:p>
    <w:p w14:paraId="6A869283" w14:textId="77777777" w:rsidR="001E7189" w:rsidRDefault="001E7189" w:rsidP="007513A1">
      <w:pPr>
        <w:jc w:val="both"/>
        <w:rPr>
          <w:lang w:val="tr"/>
        </w:rPr>
      </w:pPr>
      <w:r w:rsidRPr="007E5783">
        <w:rPr>
          <w:lang w:val="tr"/>
        </w:rPr>
        <w:t>Denetim, güvence ve danışmanlık faaliyeti verirken dünyada yaşanan gelişmelerden paralel olarak etkilenmektedir. Endüstriyel devrimler ile denetimin de bu süreçlerden etkilenerek geliştiği görülmektedir (</w:t>
      </w:r>
      <w:proofErr w:type="spellStart"/>
      <w:r w:rsidRPr="007E5783">
        <w:rPr>
          <w:lang w:val="tr"/>
        </w:rPr>
        <w:t>Hacıhasanoğlu</w:t>
      </w:r>
      <w:proofErr w:type="spellEnd"/>
      <w:r w:rsidRPr="007E5783">
        <w:rPr>
          <w:lang w:val="tr"/>
        </w:rPr>
        <w:t xml:space="preserve"> &amp; Dalkılıç, 2020). Denetim 1.0 döneminde yapılan denetimler insan beynine bağlı olarak gerçekleştirilen ve düşük sayıda veri ve riskler dönemin denetim anlayışını şekillendirir (Yıldız &amp; </w:t>
      </w:r>
      <w:proofErr w:type="spellStart"/>
      <w:r w:rsidRPr="007E5783">
        <w:rPr>
          <w:lang w:val="tr"/>
        </w:rPr>
        <w:t>Ağdeniz</w:t>
      </w:r>
      <w:proofErr w:type="spellEnd"/>
      <w:r w:rsidRPr="007E5783">
        <w:rPr>
          <w:lang w:val="tr"/>
        </w:rPr>
        <w:t xml:space="preserve">, 2019). Denetim 2.0 döneminde üretim otomasyonunun gelişimiyle elektronik ve bilgi teknolojileri kullanımının arttığı görülmüştür (Erdoğan, 2019). Denetim 3.0 döneminde bilgi teknolojilerinden faydalanarak büyük verilerin denetiminin daha güvenli ve hızlı gerçekleşmesi sağlanır hale gelmiştir (Demirkol &amp; </w:t>
      </w:r>
      <w:proofErr w:type="spellStart"/>
      <w:r w:rsidRPr="007E5783">
        <w:rPr>
          <w:lang w:val="tr"/>
        </w:rPr>
        <w:t>İkvan</w:t>
      </w:r>
      <w:proofErr w:type="spellEnd"/>
      <w:r w:rsidRPr="007E5783">
        <w:rPr>
          <w:lang w:val="tr"/>
        </w:rPr>
        <w:t xml:space="preserve">, 2020). Ve son olarak denetim 4.0 dönemiyle gelişen teknoloji, yapay </w:t>
      </w:r>
      <w:proofErr w:type="gramStart"/>
      <w:r w:rsidRPr="007E5783">
        <w:rPr>
          <w:lang w:val="tr"/>
        </w:rPr>
        <w:t>zeka</w:t>
      </w:r>
      <w:proofErr w:type="gramEnd"/>
      <w:r w:rsidRPr="007E5783">
        <w:rPr>
          <w:lang w:val="tr"/>
        </w:rPr>
        <w:t xml:space="preserve"> yazılımları ve kurumsal kaynak planlama programları sayesinde denetimler daha büyük verilerle ve kesintisiz bir şekilde devam ettirilebilir hale gelmiştir (Esmeray, 2018; Yılmaz, 2020).</w:t>
      </w:r>
    </w:p>
    <w:p w14:paraId="47AF90AB" w14:textId="77777777" w:rsidR="001E7189" w:rsidRPr="007E5783" w:rsidRDefault="001E7189" w:rsidP="007513A1">
      <w:pPr>
        <w:jc w:val="both"/>
        <w:rPr>
          <w:lang w:val="tr"/>
        </w:rPr>
      </w:pPr>
    </w:p>
    <w:p w14:paraId="354DCB3C" w14:textId="77777777" w:rsidR="001E7189" w:rsidRDefault="001E7189" w:rsidP="007513A1">
      <w:pPr>
        <w:jc w:val="both"/>
        <w:rPr>
          <w:lang w:val="tr"/>
        </w:rPr>
      </w:pPr>
      <w:r w:rsidRPr="007E5783">
        <w:rPr>
          <w:lang w:val="tr"/>
        </w:rPr>
        <w:t xml:space="preserve">Konuk, Ataman ve Kambur (2023) çalışmalarında dijitalleşmenin psikolojik </w:t>
      </w:r>
      <w:proofErr w:type="spellStart"/>
      <w:r w:rsidRPr="007E5783">
        <w:rPr>
          <w:lang w:val="tr"/>
        </w:rPr>
        <w:t>etksini</w:t>
      </w:r>
      <w:proofErr w:type="spellEnd"/>
      <w:r w:rsidRPr="007E5783">
        <w:rPr>
          <w:lang w:val="tr"/>
        </w:rPr>
        <w:t xml:space="preserve"> ölçmek üzere Dijital Taylorizm yaklaşımını da değerlendirerek çağrı merkezi yöneticileri ile görüşme ve çağrı merkezi çalışanları ile anket çalışması gerçekleştirmişlerdir. Yöneticilerden elde edilen bilgilere göre çalışanlar üzerinde yoğun bir kontrol mekanizması uygulanmaktadır. Dijitalleşme ile kalite kontrol ekiplerinin, ses analiz yazılımları, ekran kayıt kontrolleri ve kamera ile izleme gibi kontrollerle personellerin anahtar performans ölçütlerinin (KPI) yayınlanmasıyla rekabetçi bir ortam yaratılarak verimliliğin artırılmasının hedeflendiği belirtilmiştir. Çalışanlardan elde edilen veriler ışığında operasyonel boyutta verimliliğin artırılması, standardizasyonun sağlanması ve performansa dayalı ücretlendirmeler için gerçekleştirilen tüm kontrollerin dijital sistemler kullanılarak yapıldığı sonucuna ulaşılmıştır.</w:t>
      </w:r>
    </w:p>
    <w:p w14:paraId="047A91D8" w14:textId="77777777" w:rsidR="001E7189" w:rsidRPr="007E5783" w:rsidRDefault="001E7189" w:rsidP="007513A1">
      <w:pPr>
        <w:jc w:val="both"/>
        <w:rPr>
          <w:lang w:val="tr"/>
        </w:rPr>
      </w:pPr>
    </w:p>
    <w:p w14:paraId="6D39C529" w14:textId="77777777" w:rsidR="001E7189" w:rsidRDefault="001E7189" w:rsidP="007513A1">
      <w:pPr>
        <w:jc w:val="both"/>
        <w:rPr>
          <w:lang w:val="tr"/>
        </w:rPr>
      </w:pPr>
      <w:r w:rsidRPr="007E5783">
        <w:rPr>
          <w:lang w:val="tr"/>
        </w:rPr>
        <w:t xml:space="preserve">İşletmelerde, iç denetim ile çokça karıştırılan, kavram kargaşasına yol açabilen iç kontrol mekanizmaları bulunmaktadır. Bu mekanizma birimlerin gerçekleştirdikleri süreçlerde gerek </w:t>
      </w:r>
      <w:proofErr w:type="gramStart"/>
      <w:r w:rsidRPr="007E5783">
        <w:rPr>
          <w:lang w:val="tr"/>
        </w:rPr>
        <w:t>çalışanların,</w:t>
      </w:r>
      <w:proofErr w:type="gramEnd"/>
      <w:r w:rsidRPr="007E5783">
        <w:rPr>
          <w:lang w:val="tr"/>
        </w:rPr>
        <w:t xml:space="preserve"> gerekse birim amirlerinin kendi kontrollerini sağlayarak olası hataları erken fark etmek ya da riskleri önleyici faaliyetleri gerçekleştirmek üzere kurgulanmıştır. İç denetimin asıl amacı iç kontrol mekanizmalarının etkin ve verimli işleyip işlemediğini ölçmek ve buna yönelik geliştirmeler sağlamak olduğu düşünülünce, iç kontrol faaliyetleri hem işçi kontrollerinde hem de mali kontrollerde oldukça önemli bir rol oynamaktadır.</w:t>
      </w:r>
    </w:p>
    <w:p w14:paraId="5C4DB0DA" w14:textId="77777777" w:rsidR="001E7189" w:rsidRPr="007E5783" w:rsidRDefault="001E7189" w:rsidP="007513A1">
      <w:pPr>
        <w:jc w:val="both"/>
        <w:rPr>
          <w:lang w:val="tr"/>
        </w:rPr>
      </w:pPr>
    </w:p>
    <w:p w14:paraId="2B8677E2" w14:textId="77777777" w:rsidR="001E7189" w:rsidRDefault="001E7189" w:rsidP="007513A1">
      <w:pPr>
        <w:jc w:val="both"/>
        <w:rPr>
          <w:lang w:val="tr"/>
        </w:rPr>
      </w:pPr>
      <w:r w:rsidRPr="007E5783">
        <w:rPr>
          <w:lang w:val="tr"/>
        </w:rPr>
        <w:t xml:space="preserve">Gelişen teknolojiyle birlikte iç denetimin iç kontrol mekanizmasının etkinliğini ölçmesi ERP </w:t>
      </w:r>
      <w:r w:rsidRPr="007E5783">
        <w:rPr>
          <w:lang w:val="tr"/>
        </w:rPr>
        <w:lastRenderedPageBreak/>
        <w:t>(kurumsal kaynak planlama) programları yardımıyla daha da teknolojik bir hal almıştır. ERP uygulamaları işletmelerin günümüzde sıkça başvurduğu yeni nesil teknolojiyle iş süreçlerinin bir araya getirildiği uygulamalardır. Bu sayede işletmeler mali kontrollerini, stok/envanter kontrollerini ve süreç işleyiş kontrolleri gibi birçok kontrol noktasını bu uygulamalardan takip edebilmektedir. İç denetim de gerçekleştirdiği kontrollerde bu uygulamalardan faydalanarak iç kontrol mekanizmasının yanı sıra üst yönetimin gerçekleştirilmesini istediği denetimlerde bu uygulamalardan faydalanarak dijital bir şekilde denetimlerini gerçekleştirebilmektedir (</w:t>
      </w:r>
      <w:proofErr w:type="spellStart"/>
      <w:r w:rsidRPr="007E5783">
        <w:rPr>
          <w:lang w:val="tr"/>
        </w:rPr>
        <w:t>Moore</w:t>
      </w:r>
      <w:proofErr w:type="spellEnd"/>
      <w:r w:rsidRPr="007E5783">
        <w:rPr>
          <w:lang w:val="tr"/>
        </w:rPr>
        <w:t>, 2019).</w:t>
      </w:r>
    </w:p>
    <w:p w14:paraId="60B1E706" w14:textId="77777777" w:rsidR="001E7189" w:rsidRPr="00150378" w:rsidRDefault="001E7189" w:rsidP="007513A1">
      <w:pPr>
        <w:tabs>
          <w:tab w:val="left" w:pos="1305"/>
        </w:tabs>
        <w:rPr>
          <w:lang w:val="tr"/>
        </w:rPr>
      </w:pPr>
    </w:p>
    <w:p w14:paraId="23F8CDCA" w14:textId="77777777" w:rsidR="001E7189" w:rsidRPr="00342070" w:rsidRDefault="001E7189" w:rsidP="007513A1">
      <w:pPr>
        <w:rPr>
          <w:rFonts w:eastAsia="Arial"/>
          <w:b/>
          <w:bCs/>
        </w:rPr>
      </w:pPr>
      <w:bookmarkStart w:id="124" w:name="_8ntby1ynfyfo" w:colFirst="0" w:colLast="0"/>
      <w:bookmarkEnd w:id="124"/>
      <w:r w:rsidRPr="00342070">
        <w:rPr>
          <w:rFonts w:eastAsia="Arial"/>
          <w:b/>
          <w:bCs/>
        </w:rPr>
        <w:t>SONUÇ VE TARTIŞMA</w:t>
      </w:r>
    </w:p>
    <w:p w14:paraId="1AFB747C" w14:textId="77777777" w:rsidR="001E7189" w:rsidRDefault="001E7189" w:rsidP="007513A1">
      <w:pPr>
        <w:jc w:val="both"/>
        <w:rPr>
          <w:lang w:val="tr"/>
        </w:rPr>
      </w:pPr>
      <w:r w:rsidRPr="007E5783">
        <w:rPr>
          <w:lang w:val="tr"/>
        </w:rPr>
        <w:t xml:space="preserve">Taylorizm, Frederick </w:t>
      </w:r>
      <w:proofErr w:type="spellStart"/>
      <w:r w:rsidRPr="007E5783">
        <w:rPr>
          <w:lang w:val="tr"/>
        </w:rPr>
        <w:t>Winslow</w:t>
      </w:r>
      <w:proofErr w:type="spellEnd"/>
      <w:r w:rsidRPr="007E5783">
        <w:rPr>
          <w:lang w:val="tr"/>
        </w:rPr>
        <w:t xml:space="preserve"> Taylor’un yönetim düşüncesinin 1900’lü yılların başlarında yazmış olduğu “Bilimsel Yönetimin İlkeleri” kitabından ve gerçekleştirmiş olduğu diğer çalışmalardan etkilenen diğer yöneticilerin onun uygulamalarını benimsemesiyle gelişen bir yönetim yaklaşımı olmuştur. Taylor işçileri zaman etüdü ile kontrol etmiş ve işçilerin işi bitirme sürelerini hızlandırarak verimliliği artırmayı hedeflemiştir.</w:t>
      </w:r>
    </w:p>
    <w:p w14:paraId="3BB07211" w14:textId="77777777" w:rsidR="001E7189" w:rsidRDefault="001E7189" w:rsidP="007513A1">
      <w:pPr>
        <w:jc w:val="both"/>
        <w:rPr>
          <w:rFonts w:eastAsia="Arial"/>
          <w:b/>
        </w:rPr>
      </w:pPr>
    </w:p>
    <w:p w14:paraId="7B14D8C7" w14:textId="77777777" w:rsidR="001E7189" w:rsidRDefault="001E7189" w:rsidP="007513A1">
      <w:pPr>
        <w:jc w:val="both"/>
        <w:rPr>
          <w:lang w:val="tr"/>
        </w:rPr>
      </w:pPr>
      <w:r w:rsidRPr="007E5783">
        <w:rPr>
          <w:lang w:val="tr"/>
        </w:rPr>
        <w:t>Dijital Taylorizm, özellikle 2000’li yıllardan sonra teknolojik gelişmelerin de katkısıyla Taylor’un yaklaşımının dijital hale gelmiş versiyonu olarak tanımlanabilir. Bu yaklaşım Taylor’un ilkelerinin dijitalleşen dünyada yeni teknolojinin kullanımıyla nasıl</w:t>
      </w:r>
      <w:r>
        <w:rPr>
          <w:lang w:val="tr"/>
        </w:rPr>
        <w:t xml:space="preserve"> </w:t>
      </w:r>
      <w:r w:rsidRPr="007E5783">
        <w:rPr>
          <w:lang w:val="tr"/>
        </w:rPr>
        <w:t>gerçekleştirilebileceğini açıklamaya çalışmaktadır. Bu noktada denetim ve kontrol ilkesi de dijitalleşme ile işletmelerde gerçekleştirilmesi açısından daha kolay hale gelmiştir. Denetim her ne kadar kolay hale gelse de işletmeler bünyelerinde denetim birimi kurmak ve bunu geliştirmek üzere girişimlerde bulunmaktadırlar. Gitgide artan iç denetim birimleri işletmelerin denetime ne kadar önem verdiğini göstermektedir.</w:t>
      </w:r>
    </w:p>
    <w:p w14:paraId="69CD4BFE" w14:textId="77777777" w:rsidR="001E7189" w:rsidRDefault="001E7189" w:rsidP="007513A1">
      <w:pPr>
        <w:jc w:val="both"/>
        <w:rPr>
          <w:rFonts w:eastAsia="Arial"/>
          <w:b/>
        </w:rPr>
      </w:pPr>
    </w:p>
    <w:p w14:paraId="03E9394D" w14:textId="77777777" w:rsidR="001E7189" w:rsidRPr="007E5783" w:rsidRDefault="001E7189" w:rsidP="007513A1">
      <w:pPr>
        <w:jc w:val="both"/>
        <w:rPr>
          <w:lang w:val="tr"/>
        </w:rPr>
      </w:pPr>
      <w:r w:rsidRPr="007E5783">
        <w:rPr>
          <w:lang w:val="tr"/>
        </w:rPr>
        <w:t>İşletmelerin geliştirmekte olduğu bu iç denetim birimleri denetimlerini dijital yollarla gerçekleştirmeye başlamış ve bu sayede daha az maliyetle daha çok denetim gerçekleştirebilir hale gelmişlerdir. Bu durum Taylor’un standardizasyon ve verimlilik ilkelerinin de yerine getirilmesini sağlamaktadır. İşletmelerin, dijital denetimler sayesinde Taylorizm’in önerdiği ilkelerin gerçekleşmesini sağlamak için katlanması gereken maliyetlerinin bir nebze olsun azalması sağlanmıştır.</w:t>
      </w:r>
    </w:p>
    <w:p w14:paraId="2547F346" w14:textId="77777777" w:rsidR="001E7189" w:rsidRPr="007E5783" w:rsidRDefault="001E7189" w:rsidP="007513A1">
      <w:pPr>
        <w:jc w:val="both"/>
        <w:rPr>
          <w:lang w:val="tr"/>
        </w:rPr>
      </w:pPr>
    </w:p>
    <w:p w14:paraId="544C9607" w14:textId="77777777" w:rsidR="001E7189" w:rsidRPr="00342070" w:rsidRDefault="001E7189" w:rsidP="007513A1">
      <w:pPr>
        <w:rPr>
          <w:b/>
          <w:bCs/>
        </w:rPr>
      </w:pPr>
      <w:r w:rsidRPr="00342070">
        <w:rPr>
          <w:b/>
          <w:bCs/>
        </w:rPr>
        <w:t>KAYNAKÇA</w:t>
      </w:r>
    </w:p>
    <w:p w14:paraId="19245CF7" w14:textId="77777777" w:rsidR="001E7189" w:rsidRPr="00114C6B" w:rsidRDefault="001E7189">
      <w:pPr>
        <w:pStyle w:val="ListeParagraf"/>
        <w:numPr>
          <w:ilvl w:val="0"/>
          <w:numId w:val="44"/>
        </w:numPr>
        <w:jc w:val="both"/>
        <w:rPr>
          <w:lang w:val="tr"/>
        </w:rPr>
      </w:pPr>
      <w:bookmarkStart w:id="125" w:name="_phamsn9utr5t" w:colFirst="0" w:colLast="0"/>
      <w:bookmarkEnd w:id="125"/>
      <w:r w:rsidRPr="00114C6B">
        <w:rPr>
          <w:lang w:val="tr"/>
        </w:rPr>
        <w:t xml:space="preserve">Akyel, R. (2010). Yönetimde iç kontrol, iç denetim ve dış denetim fonksiyonlarının birbirleri ile ilişkileri ve Türk kamu yönetiminde uygulanmalarının değerlendirilmesi. </w:t>
      </w:r>
      <w:r w:rsidRPr="00114C6B">
        <w:rPr>
          <w:i/>
          <w:lang w:val="tr"/>
        </w:rPr>
        <w:t>Çukurova Üniversitesi Sosyal Bilimler Enstitüsü Dergisi, 19</w:t>
      </w:r>
      <w:r w:rsidRPr="00114C6B">
        <w:rPr>
          <w:lang w:val="tr"/>
        </w:rPr>
        <w:t>(3), 1-22.</w:t>
      </w:r>
    </w:p>
    <w:p w14:paraId="230F4214" w14:textId="77777777" w:rsidR="001E7189" w:rsidRPr="00114C6B" w:rsidRDefault="001E7189">
      <w:pPr>
        <w:pStyle w:val="ListeParagraf"/>
        <w:numPr>
          <w:ilvl w:val="0"/>
          <w:numId w:val="44"/>
        </w:numPr>
        <w:jc w:val="both"/>
        <w:rPr>
          <w:lang w:val="tr"/>
        </w:rPr>
      </w:pPr>
      <w:proofErr w:type="spellStart"/>
      <w:r w:rsidRPr="00114C6B">
        <w:rPr>
          <w:lang w:val="tr"/>
        </w:rPr>
        <w:t>Altass</w:t>
      </w:r>
      <w:proofErr w:type="spellEnd"/>
      <w:r w:rsidRPr="00114C6B">
        <w:rPr>
          <w:lang w:val="tr"/>
        </w:rPr>
        <w:t xml:space="preserve">, P., &amp; </w:t>
      </w:r>
      <w:proofErr w:type="spellStart"/>
      <w:r w:rsidRPr="00114C6B">
        <w:rPr>
          <w:lang w:val="tr"/>
        </w:rPr>
        <w:t>Wiebe</w:t>
      </w:r>
      <w:proofErr w:type="spellEnd"/>
      <w:r w:rsidRPr="00114C6B">
        <w:rPr>
          <w:lang w:val="tr"/>
        </w:rPr>
        <w:t>, Sean. (2017). Re-</w:t>
      </w:r>
      <w:proofErr w:type="spellStart"/>
      <w:r w:rsidRPr="00114C6B">
        <w:rPr>
          <w:lang w:val="tr"/>
        </w:rPr>
        <w:t>imagining</w:t>
      </w:r>
      <w:proofErr w:type="spellEnd"/>
      <w:r w:rsidRPr="00114C6B">
        <w:rPr>
          <w:lang w:val="tr"/>
        </w:rPr>
        <w:t xml:space="preserve"> </w:t>
      </w:r>
      <w:proofErr w:type="spellStart"/>
      <w:r w:rsidRPr="00114C6B">
        <w:rPr>
          <w:lang w:val="tr"/>
        </w:rPr>
        <w:t>education</w:t>
      </w:r>
      <w:proofErr w:type="spellEnd"/>
      <w:r w:rsidRPr="00114C6B">
        <w:rPr>
          <w:lang w:val="tr"/>
        </w:rPr>
        <w:t xml:space="preserve"> </w:t>
      </w:r>
      <w:proofErr w:type="spellStart"/>
      <w:r w:rsidRPr="00114C6B">
        <w:rPr>
          <w:lang w:val="tr"/>
        </w:rPr>
        <w:t>policy</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practice</w:t>
      </w:r>
      <w:proofErr w:type="spellEnd"/>
      <w:r w:rsidRPr="00114C6B">
        <w:rPr>
          <w:lang w:val="tr"/>
        </w:rPr>
        <w:t xml:space="preserve"> in </w:t>
      </w:r>
      <w:proofErr w:type="spellStart"/>
      <w:r w:rsidRPr="00114C6B">
        <w:rPr>
          <w:lang w:val="tr"/>
        </w:rPr>
        <w:t>the</w:t>
      </w:r>
      <w:proofErr w:type="spellEnd"/>
      <w:r w:rsidRPr="00114C6B">
        <w:rPr>
          <w:lang w:val="tr"/>
        </w:rPr>
        <w:t xml:space="preserve"> </w:t>
      </w:r>
      <w:proofErr w:type="spellStart"/>
      <w:r w:rsidRPr="00114C6B">
        <w:rPr>
          <w:lang w:val="tr"/>
        </w:rPr>
        <w:t>digital</w:t>
      </w:r>
      <w:proofErr w:type="spellEnd"/>
      <w:r w:rsidRPr="00114C6B">
        <w:rPr>
          <w:lang w:val="tr"/>
        </w:rPr>
        <w:t xml:space="preserve"> </w:t>
      </w:r>
      <w:proofErr w:type="spellStart"/>
      <w:r w:rsidRPr="00114C6B">
        <w:rPr>
          <w:lang w:val="tr"/>
        </w:rPr>
        <w:t>era</w:t>
      </w:r>
      <w:proofErr w:type="spellEnd"/>
      <w:r w:rsidRPr="00114C6B">
        <w:rPr>
          <w:lang w:val="tr"/>
        </w:rPr>
        <w:t xml:space="preserve">. </w:t>
      </w:r>
      <w:proofErr w:type="spellStart"/>
      <w:r w:rsidRPr="00114C6B">
        <w:rPr>
          <w:i/>
          <w:lang w:val="tr"/>
        </w:rPr>
        <w:t>Journal</w:t>
      </w:r>
      <w:proofErr w:type="spellEnd"/>
      <w:r w:rsidRPr="00114C6B">
        <w:rPr>
          <w:i/>
          <w:lang w:val="tr"/>
        </w:rPr>
        <w:t xml:space="preserve"> of </w:t>
      </w:r>
      <w:proofErr w:type="spellStart"/>
      <w:r w:rsidRPr="00114C6B">
        <w:rPr>
          <w:i/>
          <w:lang w:val="tr"/>
        </w:rPr>
        <w:t>the</w:t>
      </w:r>
      <w:proofErr w:type="spellEnd"/>
      <w:r w:rsidRPr="00114C6B">
        <w:rPr>
          <w:i/>
          <w:lang w:val="tr"/>
        </w:rPr>
        <w:t xml:space="preserve"> </w:t>
      </w:r>
      <w:proofErr w:type="spellStart"/>
      <w:r w:rsidRPr="00114C6B">
        <w:rPr>
          <w:i/>
          <w:lang w:val="tr"/>
        </w:rPr>
        <w:t>Canadian</w:t>
      </w:r>
      <w:proofErr w:type="spellEnd"/>
      <w:r w:rsidRPr="00114C6B">
        <w:rPr>
          <w:i/>
          <w:lang w:val="tr"/>
        </w:rPr>
        <w:t xml:space="preserve"> </w:t>
      </w:r>
      <w:proofErr w:type="spellStart"/>
      <w:r w:rsidRPr="00114C6B">
        <w:rPr>
          <w:i/>
          <w:lang w:val="tr"/>
        </w:rPr>
        <w:t>Association</w:t>
      </w:r>
      <w:proofErr w:type="spellEnd"/>
      <w:r w:rsidRPr="00114C6B">
        <w:rPr>
          <w:i/>
          <w:lang w:val="tr"/>
        </w:rPr>
        <w:t xml:space="preserve"> </w:t>
      </w:r>
      <w:proofErr w:type="spellStart"/>
      <w:r w:rsidRPr="00114C6B">
        <w:rPr>
          <w:i/>
          <w:lang w:val="tr"/>
        </w:rPr>
        <w:t>for</w:t>
      </w:r>
      <w:proofErr w:type="spellEnd"/>
      <w:r w:rsidRPr="00114C6B">
        <w:rPr>
          <w:i/>
          <w:lang w:val="tr"/>
        </w:rPr>
        <w:t xml:space="preserve"> </w:t>
      </w:r>
      <w:proofErr w:type="spellStart"/>
      <w:r w:rsidRPr="00114C6B">
        <w:rPr>
          <w:i/>
          <w:lang w:val="tr"/>
        </w:rPr>
        <w:t>Curriculum</w:t>
      </w:r>
      <w:proofErr w:type="spellEnd"/>
      <w:r w:rsidRPr="00114C6B">
        <w:rPr>
          <w:i/>
          <w:lang w:val="tr"/>
        </w:rPr>
        <w:t xml:space="preserve"> </w:t>
      </w:r>
      <w:proofErr w:type="spellStart"/>
      <w:r w:rsidRPr="00114C6B">
        <w:rPr>
          <w:i/>
          <w:lang w:val="tr"/>
        </w:rPr>
        <w:t>Studies</w:t>
      </w:r>
      <w:proofErr w:type="spellEnd"/>
      <w:r w:rsidRPr="00114C6B">
        <w:rPr>
          <w:i/>
          <w:lang w:val="tr"/>
        </w:rPr>
        <w:t xml:space="preserve"> (JCACS), 15</w:t>
      </w:r>
      <w:r w:rsidRPr="00114C6B">
        <w:rPr>
          <w:lang w:val="tr"/>
        </w:rPr>
        <w:t>(2), 48-63.</w:t>
      </w:r>
    </w:p>
    <w:p w14:paraId="1B66C4A5" w14:textId="77777777" w:rsidR="001E7189" w:rsidRPr="00114C6B" w:rsidRDefault="001E7189">
      <w:pPr>
        <w:pStyle w:val="ListeParagraf"/>
        <w:numPr>
          <w:ilvl w:val="0"/>
          <w:numId w:val="44"/>
        </w:numPr>
        <w:jc w:val="both"/>
        <w:rPr>
          <w:lang w:val="tr"/>
        </w:rPr>
      </w:pPr>
      <w:proofErr w:type="spellStart"/>
      <w:r w:rsidRPr="00114C6B">
        <w:rPr>
          <w:lang w:val="tr"/>
        </w:rPr>
        <w:t>Bayazıtlı</w:t>
      </w:r>
      <w:proofErr w:type="spellEnd"/>
      <w:r w:rsidRPr="00114C6B">
        <w:rPr>
          <w:lang w:val="tr"/>
        </w:rPr>
        <w:t xml:space="preserve">, E. (1991), </w:t>
      </w:r>
      <w:r w:rsidRPr="00114C6B">
        <w:rPr>
          <w:i/>
          <w:lang w:val="tr"/>
        </w:rPr>
        <w:t>Uluslararası bağımsız dış denetim standartları ve Türkiye uygulaması</w:t>
      </w:r>
      <w:r w:rsidRPr="00114C6B">
        <w:rPr>
          <w:lang w:val="tr"/>
        </w:rPr>
        <w:t>, [Doktora Tezi, Ankara Üniversitesi]. YÖK Tez Merkezi.</w:t>
      </w:r>
    </w:p>
    <w:p w14:paraId="5092BD71" w14:textId="77777777" w:rsidR="001E7189" w:rsidRPr="00114C6B" w:rsidRDefault="001E7189">
      <w:pPr>
        <w:pStyle w:val="ListeParagraf"/>
        <w:numPr>
          <w:ilvl w:val="0"/>
          <w:numId w:val="44"/>
        </w:numPr>
        <w:jc w:val="both"/>
        <w:rPr>
          <w:lang w:val="tr"/>
        </w:rPr>
      </w:pPr>
      <w:r w:rsidRPr="00114C6B">
        <w:rPr>
          <w:lang w:val="tr"/>
        </w:rPr>
        <w:t xml:space="preserve">Bayrakçı, O., &amp; Çağlayan, S. (2018). Toplumsal kontrol mekanizması olarak emeğin denetimi: </w:t>
      </w:r>
      <w:proofErr w:type="spellStart"/>
      <w:r w:rsidRPr="00114C6B">
        <w:rPr>
          <w:lang w:val="tr"/>
        </w:rPr>
        <w:t>Taylorizmden</w:t>
      </w:r>
      <w:proofErr w:type="spellEnd"/>
      <w:r w:rsidRPr="00114C6B">
        <w:rPr>
          <w:lang w:val="tr"/>
        </w:rPr>
        <w:t xml:space="preserve"> ideolojik denetime. </w:t>
      </w:r>
      <w:r w:rsidRPr="00114C6B">
        <w:rPr>
          <w:i/>
          <w:lang w:val="tr"/>
        </w:rPr>
        <w:t>Yönetim ve Ekonomi Araştırmaları Dergisi, 16</w:t>
      </w:r>
      <w:r w:rsidRPr="00114C6B">
        <w:rPr>
          <w:lang w:val="tr"/>
        </w:rPr>
        <w:t>(3), 315-328.</w:t>
      </w:r>
    </w:p>
    <w:p w14:paraId="287A672D" w14:textId="77777777" w:rsidR="001E7189" w:rsidRPr="00114C6B" w:rsidRDefault="001E7189">
      <w:pPr>
        <w:pStyle w:val="ListeParagraf"/>
        <w:numPr>
          <w:ilvl w:val="0"/>
          <w:numId w:val="44"/>
        </w:numPr>
        <w:jc w:val="both"/>
        <w:rPr>
          <w:lang w:val="tr"/>
        </w:rPr>
      </w:pPr>
      <w:proofErr w:type="spellStart"/>
      <w:r w:rsidRPr="00114C6B">
        <w:rPr>
          <w:lang w:val="tr"/>
        </w:rPr>
        <w:t>Baumgarten</w:t>
      </w:r>
      <w:proofErr w:type="spellEnd"/>
      <w:r w:rsidRPr="00114C6B">
        <w:rPr>
          <w:lang w:val="tr"/>
        </w:rPr>
        <w:t xml:space="preserve">, S., &amp; </w:t>
      </w:r>
      <w:proofErr w:type="spellStart"/>
      <w:r w:rsidRPr="00114C6B">
        <w:rPr>
          <w:lang w:val="tr"/>
        </w:rPr>
        <w:t>Bourgadel</w:t>
      </w:r>
      <w:proofErr w:type="spellEnd"/>
      <w:r w:rsidRPr="00114C6B">
        <w:rPr>
          <w:lang w:val="tr"/>
        </w:rPr>
        <w:t xml:space="preserve">, C. (2024). </w:t>
      </w:r>
      <w:proofErr w:type="spellStart"/>
      <w:r w:rsidRPr="00114C6B">
        <w:rPr>
          <w:lang w:val="tr"/>
        </w:rPr>
        <w:t>Digitalisation</w:t>
      </w:r>
      <w:proofErr w:type="spellEnd"/>
      <w:r w:rsidRPr="00114C6B">
        <w:rPr>
          <w:lang w:val="tr"/>
        </w:rPr>
        <w:t xml:space="preserve">, </w:t>
      </w:r>
      <w:proofErr w:type="spellStart"/>
      <w:r w:rsidRPr="00114C6B">
        <w:rPr>
          <w:lang w:val="tr"/>
        </w:rPr>
        <w:t>neo-Taylorism</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translation</w:t>
      </w:r>
      <w:proofErr w:type="spellEnd"/>
      <w:r w:rsidRPr="00114C6B">
        <w:rPr>
          <w:lang w:val="tr"/>
        </w:rPr>
        <w:t xml:space="preserve"> in </w:t>
      </w:r>
      <w:proofErr w:type="spellStart"/>
      <w:r w:rsidRPr="00114C6B">
        <w:rPr>
          <w:lang w:val="tr"/>
        </w:rPr>
        <w:t>the</w:t>
      </w:r>
      <w:proofErr w:type="spellEnd"/>
      <w:r w:rsidRPr="00114C6B">
        <w:rPr>
          <w:lang w:val="tr"/>
        </w:rPr>
        <w:t xml:space="preserve"> 2020s. </w:t>
      </w:r>
      <w:proofErr w:type="spellStart"/>
      <w:r w:rsidRPr="00114C6B">
        <w:rPr>
          <w:i/>
          <w:lang w:val="tr"/>
        </w:rPr>
        <w:t>Perspectives</w:t>
      </w:r>
      <w:proofErr w:type="spellEnd"/>
      <w:r w:rsidRPr="00114C6B">
        <w:rPr>
          <w:i/>
          <w:lang w:val="tr"/>
        </w:rPr>
        <w:t>, 32</w:t>
      </w:r>
      <w:r w:rsidRPr="00114C6B">
        <w:rPr>
          <w:lang w:val="tr"/>
        </w:rPr>
        <w:t>(2), 508-523.</w:t>
      </w:r>
    </w:p>
    <w:p w14:paraId="7AD4FBFE" w14:textId="77777777" w:rsidR="001E7189" w:rsidRPr="00114C6B" w:rsidRDefault="001E7189">
      <w:pPr>
        <w:pStyle w:val="ListeParagraf"/>
        <w:numPr>
          <w:ilvl w:val="0"/>
          <w:numId w:val="44"/>
        </w:numPr>
        <w:jc w:val="both"/>
        <w:rPr>
          <w:lang w:val="tr"/>
        </w:rPr>
      </w:pPr>
      <w:r w:rsidRPr="00114C6B">
        <w:rPr>
          <w:lang w:val="tr"/>
        </w:rPr>
        <w:t xml:space="preserve">Creswell, J. W., &amp; </w:t>
      </w:r>
      <w:proofErr w:type="spellStart"/>
      <w:r w:rsidRPr="00114C6B">
        <w:rPr>
          <w:lang w:val="tr"/>
        </w:rPr>
        <w:t>Guetterman</w:t>
      </w:r>
      <w:proofErr w:type="spellEnd"/>
      <w:r w:rsidRPr="00114C6B">
        <w:rPr>
          <w:lang w:val="tr"/>
        </w:rPr>
        <w:t xml:space="preserve">, T. C. (2019). </w:t>
      </w:r>
      <w:proofErr w:type="spellStart"/>
      <w:r w:rsidRPr="00114C6B">
        <w:rPr>
          <w:i/>
          <w:lang w:val="tr"/>
        </w:rPr>
        <w:t>Educational</w:t>
      </w:r>
      <w:proofErr w:type="spellEnd"/>
      <w:r w:rsidRPr="00114C6B">
        <w:rPr>
          <w:i/>
          <w:lang w:val="tr"/>
        </w:rPr>
        <w:t xml:space="preserve"> </w:t>
      </w:r>
      <w:proofErr w:type="spellStart"/>
      <w:r w:rsidRPr="00114C6B">
        <w:rPr>
          <w:i/>
          <w:lang w:val="tr"/>
        </w:rPr>
        <w:t>research</w:t>
      </w:r>
      <w:proofErr w:type="spellEnd"/>
      <w:r w:rsidRPr="00114C6B">
        <w:rPr>
          <w:i/>
          <w:lang w:val="tr"/>
        </w:rPr>
        <w:t xml:space="preserve">: </w:t>
      </w:r>
      <w:proofErr w:type="spellStart"/>
      <w:r w:rsidRPr="00114C6B">
        <w:rPr>
          <w:i/>
          <w:lang w:val="tr"/>
        </w:rPr>
        <w:t>planning</w:t>
      </w:r>
      <w:proofErr w:type="spellEnd"/>
      <w:r w:rsidRPr="00114C6B">
        <w:rPr>
          <w:i/>
          <w:lang w:val="tr"/>
        </w:rPr>
        <w:t xml:space="preserve">, </w:t>
      </w:r>
      <w:proofErr w:type="spellStart"/>
      <w:r w:rsidRPr="00114C6B">
        <w:rPr>
          <w:i/>
          <w:lang w:val="tr"/>
        </w:rPr>
        <w:lastRenderedPageBreak/>
        <w:t>conducting</w:t>
      </w:r>
      <w:proofErr w:type="spellEnd"/>
      <w:r w:rsidRPr="00114C6B">
        <w:rPr>
          <w:i/>
          <w:lang w:val="tr"/>
        </w:rPr>
        <w:t xml:space="preserve">, </w:t>
      </w:r>
      <w:proofErr w:type="spellStart"/>
      <w:r w:rsidRPr="00114C6B">
        <w:rPr>
          <w:i/>
          <w:lang w:val="tr"/>
        </w:rPr>
        <w:t>and</w:t>
      </w:r>
      <w:proofErr w:type="spellEnd"/>
      <w:r w:rsidRPr="00114C6B">
        <w:rPr>
          <w:i/>
          <w:lang w:val="tr"/>
        </w:rPr>
        <w:t xml:space="preserve"> </w:t>
      </w:r>
      <w:proofErr w:type="spellStart"/>
      <w:r w:rsidRPr="00114C6B">
        <w:rPr>
          <w:i/>
          <w:lang w:val="tr"/>
        </w:rPr>
        <w:t>evaluating</w:t>
      </w:r>
      <w:proofErr w:type="spellEnd"/>
      <w:r w:rsidRPr="00114C6B">
        <w:rPr>
          <w:i/>
          <w:lang w:val="tr"/>
        </w:rPr>
        <w:t xml:space="preserve"> </w:t>
      </w:r>
      <w:proofErr w:type="spellStart"/>
      <w:r w:rsidRPr="00114C6B">
        <w:rPr>
          <w:i/>
          <w:lang w:val="tr"/>
        </w:rPr>
        <w:t>quantitative</w:t>
      </w:r>
      <w:proofErr w:type="spellEnd"/>
      <w:r w:rsidRPr="00114C6B">
        <w:rPr>
          <w:i/>
          <w:lang w:val="tr"/>
        </w:rPr>
        <w:t xml:space="preserve"> </w:t>
      </w:r>
      <w:proofErr w:type="spellStart"/>
      <w:r w:rsidRPr="00114C6B">
        <w:rPr>
          <w:i/>
          <w:lang w:val="tr"/>
        </w:rPr>
        <w:t>and</w:t>
      </w:r>
      <w:proofErr w:type="spellEnd"/>
      <w:r w:rsidRPr="00114C6B">
        <w:rPr>
          <w:i/>
          <w:lang w:val="tr"/>
        </w:rPr>
        <w:t xml:space="preserve"> </w:t>
      </w:r>
      <w:proofErr w:type="spellStart"/>
      <w:r w:rsidRPr="00114C6B">
        <w:rPr>
          <w:i/>
          <w:lang w:val="tr"/>
        </w:rPr>
        <w:t>qualitative</w:t>
      </w:r>
      <w:proofErr w:type="spellEnd"/>
      <w:r w:rsidRPr="00114C6B">
        <w:rPr>
          <w:i/>
          <w:lang w:val="tr"/>
        </w:rPr>
        <w:t xml:space="preserve"> </w:t>
      </w:r>
      <w:proofErr w:type="spellStart"/>
      <w:r w:rsidRPr="00114C6B">
        <w:rPr>
          <w:i/>
          <w:lang w:val="tr"/>
        </w:rPr>
        <w:t>research</w:t>
      </w:r>
      <w:proofErr w:type="spellEnd"/>
      <w:r w:rsidRPr="00114C6B">
        <w:rPr>
          <w:i/>
          <w:lang w:val="tr"/>
        </w:rPr>
        <w:t xml:space="preserve">, 6th </w:t>
      </w:r>
      <w:proofErr w:type="spellStart"/>
      <w:r w:rsidRPr="00114C6B">
        <w:rPr>
          <w:i/>
          <w:lang w:val="tr"/>
        </w:rPr>
        <w:t>edition</w:t>
      </w:r>
      <w:proofErr w:type="spellEnd"/>
      <w:r w:rsidRPr="00114C6B">
        <w:rPr>
          <w:lang w:val="tr"/>
        </w:rPr>
        <w:t>.</w:t>
      </w:r>
      <w:r w:rsidRPr="00114C6B">
        <w:rPr>
          <w:i/>
          <w:lang w:val="tr"/>
        </w:rPr>
        <w:t xml:space="preserve"> </w:t>
      </w:r>
      <w:proofErr w:type="spellStart"/>
      <w:r w:rsidRPr="00114C6B">
        <w:rPr>
          <w:lang w:val="tr"/>
        </w:rPr>
        <w:t>Pearson</w:t>
      </w:r>
      <w:proofErr w:type="spellEnd"/>
      <w:r w:rsidRPr="00114C6B">
        <w:rPr>
          <w:lang w:val="tr"/>
        </w:rPr>
        <w:t>.</w:t>
      </w:r>
    </w:p>
    <w:p w14:paraId="57D42686" w14:textId="77777777" w:rsidR="001E7189" w:rsidRPr="00114C6B" w:rsidRDefault="001E7189">
      <w:pPr>
        <w:pStyle w:val="ListeParagraf"/>
        <w:numPr>
          <w:ilvl w:val="0"/>
          <w:numId w:val="44"/>
        </w:numPr>
        <w:jc w:val="both"/>
        <w:rPr>
          <w:lang w:val="tr"/>
        </w:rPr>
      </w:pPr>
      <w:r w:rsidRPr="00114C6B">
        <w:rPr>
          <w:lang w:val="tr"/>
        </w:rPr>
        <w:t xml:space="preserve">Dalak, G. (2000). Denetim ve kalite denetimi. </w:t>
      </w:r>
      <w:r w:rsidRPr="00114C6B">
        <w:rPr>
          <w:i/>
          <w:lang w:val="tr"/>
        </w:rPr>
        <w:t>Muğla Üniversitesi SBE Dergisi, 1</w:t>
      </w:r>
      <w:r w:rsidRPr="00114C6B">
        <w:rPr>
          <w:lang w:val="tr"/>
        </w:rPr>
        <w:t>(1), 65-79.</w:t>
      </w:r>
    </w:p>
    <w:p w14:paraId="00D6C810" w14:textId="77777777" w:rsidR="001E7189" w:rsidRPr="00114C6B" w:rsidRDefault="001E7189">
      <w:pPr>
        <w:pStyle w:val="ListeParagraf"/>
        <w:numPr>
          <w:ilvl w:val="0"/>
          <w:numId w:val="44"/>
        </w:numPr>
        <w:jc w:val="both"/>
        <w:rPr>
          <w:lang w:val="tr"/>
        </w:rPr>
      </w:pPr>
      <w:proofErr w:type="spellStart"/>
      <w:r w:rsidRPr="00114C6B">
        <w:rPr>
          <w:lang w:val="tr"/>
        </w:rPr>
        <w:t>Delfanti</w:t>
      </w:r>
      <w:proofErr w:type="spellEnd"/>
      <w:r w:rsidRPr="00114C6B">
        <w:rPr>
          <w:lang w:val="tr"/>
        </w:rPr>
        <w:t xml:space="preserve">, A., &amp; </w:t>
      </w:r>
      <w:proofErr w:type="spellStart"/>
      <w:r w:rsidRPr="00114C6B">
        <w:rPr>
          <w:lang w:val="tr"/>
        </w:rPr>
        <w:t>Frey</w:t>
      </w:r>
      <w:proofErr w:type="spellEnd"/>
      <w:r w:rsidRPr="00114C6B">
        <w:rPr>
          <w:lang w:val="tr"/>
        </w:rPr>
        <w:t xml:space="preserve">, B. (2020). </w:t>
      </w:r>
      <w:proofErr w:type="spellStart"/>
      <w:r w:rsidRPr="00114C6B">
        <w:rPr>
          <w:lang w:val="tr"/>
        </w:rPr>
        <w:t>Humanly</w:t>
      </w:r>
      <w:proofErr w:type="spellEnd"/>
      <w:r w:rsidRPr="00114C6B">
        <w:rPr>
          <w:lang w:val="tr"/>
        </w:rPr>
        <w:t xml:space="preserve"> </w:t>
      </w:r>
      <w:proofErr w:type="spellStart"/>
      <w:r w:rsidRPr="00114C6B">
        <w:rPr>
          <w:lang w:val="tr"/>
        </w:rPr>
        <w:t>extended</w:t>
      </w:r>
      <w:proofErr w:type="spellEnd"/>
      <w:r w:rsidRPr="00114C6B">
        <w:rPr>
          <w:lang w:val="tr"/>
        </w:rPr>
        <w:t xml:space="preserve"> </w:t>
      </w:r>
      <w:proofErr w:type="spellStart"/>
      <w:r w:rsidRPr="00114C6B">
        <w:rPr>
          <w:lang w:val="tr"/>
        </w:rPr>
        <w:t>automation</w:t>
      </w:r>
      <w:proofErr w:type="spellEnd"/>
      <w:r w:rsidRPr="00114C6B">
        <w:rPr>
          <w:lang w:val="tr"/>
        </w:rPr>
        <w:t xml:space="preserve"> </w:t>
      </w:r>
      <w:proofErr w:type="spellStart"/>
      <w:r w:rsidRPr="00114C6B">
        <w:rPr>
          <w:lang w:val="tr"/>
        </w:rPr>
        <w:t>or</w:t>
      </w:r>
      <w:proofErr w:type="spellEnd"/>
      <w:r w:rsidRPr="00114C6B">
        <w:rPr>
          <w:lang w:val="tr"/>
        </w:rPr>
        <w:t xml:space="preserve"> </w:t>
      </w:r>
      <w:proofErr w:type="spellStart"/>
      <w:r w:rsidRPr="00114C6B">
        <w:rPr>
          <w:lang w:val="tr"/>
        </w:rPr>
        <w:t>the</w:t>
      </w:r>
      <w:proofErr w:type="spellEnd"/>
      <w:r w:rsidRPr="00114C6B">
        <w:rPr>
          <w:lang w:val="tr"/>
        </w:rPr>
        <w:t xml:space="preserve"> </w:t>
      </w:r>
      <w:proofErr w:type="spellStart"/>
      <w:r w:rsidRPr="00114C6B">
        <w:rPr>
          <w:lang w:val="tr"/>
        </w:rPr>
        <w:t>future</w:t>
      </w:r>
      <w:proofErr w:type="spellEnd"/>
      <w:r w:rsidRPr="00114C6B">
        <w:rPr>
          <w:lang w:val="tr"/>
        </w:rPr>
        <w:t xml:space="preserve"> of </w:t>
      </w:r>
      <w:proofErr w:type="spellStart"/>
      <w:r w:rsidRPr="00114C6B">
        <w:rPr>
          <w:lang w:val="tr"/>
        </w:rPr>
        <w:t>work</w:t>
      </w:r>
      <w:proofErr w:type="spellEnd"/>
      <w:r w:rsidRPr="00114C6B">
        <w:rPr>
          <w:lang w:val="tr"/>
        </w:rPr>
        <w:t xml:space="preserve"> </w:t>
      </w:r>
      <w:proofErr w:type="spellStart"/>
      <w:r w:rsidRPr="00114C6B">
        <w:rPr>
          <w:lang w:val="tr"/>
        </w:rPr>
        <w:t>seen</w:t>
      </w:r>
      <w:proofErr w:type="spellEnd"/>
      <w:r w:rsidRPr="00114C6B">
        <w:rPr>
          <w:lang w:val="tr"/>
        </w:rPr>
        <w:t xml:space="preserve"> </w:t>
      </w:r>
      <w:proofErr w:type="spellStart"/>
      <w:r w:rsidRPr="00114C6B">
        <w:rPr>
          <w:lang w:val="tr"/>
        </w:rPr>
        <w:t>through</w:t>
      </w:r>
      <w:proofErr w:type="spellEnd"/>
      <w:r w:rsidRPr="00114C6B">
        <w:rPr>
          <w:lang w:val="tr"/>
        </w:rPr>
        <w:t xml:space="preserve"> Amazon </w:t>
      </w:r>
      <w:proofErr w:type="spellStart"/>
      <w:r w:rsidRPr="00114C6B">
        <w:rPr>
          <w:lang w:val="tr"/>
        </w:rPr>
        <w:t>patents</w:t>
      </w:r>
      <w:proofErr w:type="spellEnd"/>
      <w:r w:rsidRPr="00114C6B">
        <w:rPr>
          <w:lang w:val="tr"/>
        </w:rPr>
        <w:t xml:space="preserve">. </w:t>
      </w:r>
      <w:proofErr w:type="spellStart"/>
      <w:r w:rsidRPr="00114C6B">
        <w:rPr>
          <w:i/>
          <w:lang w:val="tr"/>
        </w:rPr>
        <w:t>Science</w:t>
      </w:r>
      <w:proofErr w:type="spellEnd"/>
      <w:r w:rsidRPr="00114C6B">
        <w:rPr>
          <w:i/>
          <w:lang w:val="tr"/>
        </w:rPr>
        <w:t xml:space="preserve">, </w:t>
      </w:r>
      <w:proofErr w:type="spellStart"/>
      <w:r w:rsidRPr="00114C6B">
        <w:rPr>
          <w:i/>
          <w:lang w:val="tr"/>
        </w:rPr>
        <w:t>Technology</w:t>
      </w:r>
      <w:proofErr w:type="spellEnd"/>
      <w:r w:rsidRPr="00114C6B">
        <w:rPr>
          <w:i/>
          <w:lang w:val="tr"/>
        </w:rPr>
        <w:t xml:space="preserve">, &amp; Human </w:t>
      </w:r>
      <w:proofErr w:type="spellStart"/>
      <w:r w:rsidRPr="00114C6B">
        <w:rPr>
          <w:i/>
          <w:lang w:val="tr"/>
        </w:rPr>
        <w:t>Values</w:t>
      </w:r>
      <w:proofErr w:type="spellEnd"/>
      <w:r w:rsidRPr="00114C6B">
        <w:rPr>
          <w:i/>
          <w:lang w:val="tr"/>
        </w:rPr>
        <w:t>, 46</w:t>
      </w:r>
      <w:r w:rsidRPr="00114C6B">
        <w:rPr>
          <w:lang w:val="tr"/>
        </w:rPr>
        <w:t>(3), 655-682.</w:t>
      </w:r>
    </w:p>
    <w:p w14:paraId="4AC5B812" w14:textId="77777777" w:rsidR="001E7189" w:rsidRPr="00114C6B" w:rsidRDefault="001E7189">
      <w:pPr>
        <w:pStyle w:val="ListeParagraf"/>
        <w:numPr>
          <w:ilvl w:val="0"/>
          <w:numId w:val="44"/>
        </w:numPr>
        <w:jc w:val="both"/>
        <w:rPr>
          <w:lang w:val="tr"/>
        </w:rPr>
      </w:pPr>
      <w:r w:rsidRPr="00114C6B">
        <w:rPr>
          <w:lang w:val="tr"/>
        </w:rPr>
        <w:t xml:space="preserve">Demirkol, Ö. F., &amp; </w:t>
      </w:r>
      <w:proofErr w:type="spellStart"/>
      <w:r w:rsidRPr="00114C6B">
        <w:rPr>
          <w:lang w:val="tr"/>
        </w:rPr>
        <w:t>İkvan</w:t>
      </w:r>
      <w:proofErr w:type="spellEnd"/>
      <w:r w:rsidRPr="00114C6B">
        <w:rPr>
          <w:lang w:val="tr"/>
        </w:rPr>
        <w:t xml:space="preserve">, A. (2020). Denetimin geleceği: endüstri 4.0’ın etkisinde denetimin yeniden </w:t>
      </w:r>
      <w:proofErr w:type="gramStart"/>
      <w:r w:rsidRPr="00114C6B">
        <w:rPr>
          <w:lang w:val="tr"/>
        </w:rPr>
        <w:t>dizaynı</w:t>
      </w:r>
      <w:proofErr w:type="gramEnd"/>
      <w:r w:rsidRPr="00114C6B">
        <w:rPr>
          <w:lang w:val="tr"/>
        </w:rPr>
        <w:t xml:space="preserve">. </w:t>
      </w:r>
      <w:r w:rsidRPr="00114C6B">
        <w:rPr>
          <w:i/>
          <w:lang w:val="tr"/>
        </w:rPr>
        <w:t>Muhasebe ve Finans Araştırmaları Dergisi, 2</w:t>
      </w:r>
      <w:r w:rsidRPr="00114C6B">
        <w:rPr>
          <w:lang w:val="tr"/>
        </w:rPr>
        <w:t>(1), 55-72.</w:t>
      </w:r>
    </w:p>
    <w:p w14:paraId="1E337577" w14:textId="77777777" w:rsidR="001E7189" w:rsidRPr="00114C6B" w:rsidRDefault="001E7189">
      <w:pPr>
        <w:pStyle w:val="ListeParagraf"/>
        <w:numPr>
          <w:ilvl w:val="0"/>
          <w:numId w:val="44"/>
        </w:numPr>
        <w:jc w:val="both"/>
        <w:rPr>
          <w:lang w:val="tr"/>
        </w:rPr>
      </w:pPr>
      <w:proofErr w:type="spellStart"/>
      <w:r w:rsidRPr="00114C6B">
        <w:rPr>
          <w:lang w:val="tr"/>
        </w:rPr>
        <w:t>Duggal</w:t>
      </w:r>
      <w:proofErr w:type="spellEnd"/>
      <w:r w:rsidRPr="00114C6B">
        <w:rPr>
          <w:lang w:val="tr"/>
        </w:rPr>
        <w:t xml:space="preserve">, H. K., </w:t>
      </w:r>
      <w:proofErr w:type="spellStart"/>
      <w:r w:rsidRPr="00114C6B">
        <w:rPr>
          <w:lang w:val="tr"/>
        </w:rPr>
        <w:t>Khatri</w:t>
      </w:r>
      <w:proofErr w:type="spellEnd"/>
      <w:r w:rsidRPr="00114C6B">
        <w:rPr>
          <w:lang w:val="tr"/>
        </w:rPr>
        <w:t xml:space="preserve">, P., Thomas, A., &amp; </w:t>
      </w:r>
      <w:proofErr w:type="spellStart"/>
      <w:r w:rsidRPr="00114C6B">
        <w:rPr>
          <w:lang w:val="tr"/>
        </w:rPr>
        <w:t>Pironti</w:t>
      </w:r>
      <w:proofErr w:type="spellEnd"/>
      <w:r w:rsidRPr="00114C6B">
        <w:rPr>
          <w:lang w:val="tr"/>
        </w:rPr>
        <w:t xml:space="preserve">, M. (2024), </w:t>
      </w:r>
      <w:proofErr w:type="spellStart"/>
      <w:r w:rsidRPr="00114C6B">
        <w:rPr>
          <w:lang w:val="tr"/>
        </w:rPr>
        <w:t>Changing</w:t>
      </w:r>
      <w:proofErr w:type="spellEnd"/>
      <w:r w:rsidRPr="00114C6B">
        <w:rPr>
          <w:lang w:val="tr"/>
        </w:rPr>
        <w:t xml:space="preserve"> </w:t>
      </w:r>
      <w:proofErr w:type="spellStart"/>
      <w:r w:rsidRPr="00114C6B">
        <w:rPr>
          <w:lang w:val="tr"/>
        </w:rPr>
        <w:t>learning</w:t>
      </w:r>
      <w:proofErr w:type="spellEnd"/>
      <w:r w:rsidRPr="00114C6B">
        <w:rPr>
          <w:lang w:val="tr"/>
        </w:rPr>
        <w:t xml:space="preserve"> </w:t>
      </w:r>
      <w:proofErr w:type="spellStart"/>
      <w:r w:rsidRPr="00114C6B">
        <w:rPr>
          <w:lang w:val="tr"/>
        </w:rPr>
        <w:t>paradigms</w:t>
      </w:r>
      <w:proofErr w:type="spellEnd"/>
      <w:r w:rsidRPr="00114C6B">
        <w:rPr>
          <w:lang w:val="tr"/>
        </w:rPr>
        <w:t xml:space="preserve">: an </w:t>
      </w:r>
      <w:proofErr w:type="spellStart"/>
      <w:r w:rsidRPr="00114C6B">
        <w:rPr>
          <w:lang w:val="tr"/>
        </w:rPr>
        <w:t>interplay</w:t>
      </w:r>
      <w:proofErr w:type="spellEnd"/>
      <w:r w:rsidRPr="00114C6B">
        <w:rPr>
          <w:lang w:val="tr"/>
        </w:rPr>
        <w:t xml:space="preserve"> of </w:t>
      </w:r>
      <w:proofErr w:type="spellStart"/>
      <w:r w:rsidRPr="00114C6B">
        <w:rPr>
          <w:lang w:val="tr"/>
        </w:rPr>
        <w:t>Digital</w:t>
      </w:r>
      <w:proofErr w:type="spellEnd"/>
      <w:r w:rsidRPr="00114C6B">
        <w:rPr>
          <w:lang w:val="tr"/>
        </w:rPr>
        <w:t xml:space="preserve"> </w:t>
      </w:r>
      <w:proofErr w:type="spellStart"/>
      <w:r w:rsidRPr="00114C6B">
        <w:rPr>
          <w:lang w:val="tr"/>
        </w:rPr>
        <w:t>Taylorism</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technostress</w:t>
      </w:r>
      <w:proofErr w:type="spellEnd"/>
      <w:r w:rsidRPr="00114C6B">
        <w:rPr>
          <w:lang w:val="tr"/>
        </w:rPr>
        <w:t xml:space="preserve"> on </w:t>
      </w:r>
      <w:proofErr w:type="spellStart"/>
      <w:r w:rsidRPr="00114C6B">
        <w:rPr>
          <w:lang w:val="tr"/>
        </w:rPr>
        <w:t>perceived</w:t>
      </w:r>
      <w:proofErr w:type="spellEnd"/>
      <w:r w:rsidRPr="00114C6B">
        <w:rPr>
          <w:lang w:val="tr"/>
        </w:rPr>
        <w:t xml:space="preserve"> </w:t>
      </w:r>
      <w:proofErr w:type="spellStart"/>
      <w:r w:rsidRPr="00114C6B">
        <w:rPr>
          <w:lang w:val="tr"/>
        </w:rPr>
        <w:t>employability</w:t>
      </w:r>
      <w:proofErr w:type="spellEnd"/>
      <w:r w:rsidRPr="00114C6B">
        <w:rPr>
          <w:lang w:val="tr"/>
        </w:rPr>
        <w:t xml:space="preserve">. </w:t>
      </w:r>
      <w:proofErr w:type="spellStart"/>
      <w:r w:rsidRPr="00114C6B">
        <w:rPr>
          <w:i/>
          <w:lang w:val="tr"/>
        </w:rPr>
        <w:t>Journal</w:t>
      </w:r>
      <w:proofErr w:type="spellEnd"/>
      <w:r w:rsidRPr="00114C6B">
        <w:rPr>
          <w:i/>
          <w:lang w:val="tr"/>
        </w:rPr>
        <w:t xml:space="preserve"> of Management </w:t>
      </w:r>
      <w:proofErr w:type="spellStart"/>
      <w:r w:rsidRPr="00114C6B">
        <w:rPr>
          <w:i/>
          <w:lang w:val="tr"/>
        </w:rPr>
        <w:t>History</w:t>
      </w:r>
      <w:proofErr w:type="spellEnd"/>
      <w:r w:rsidRPr="00114C6B">
        <w:rPr>
          <w:lang w:val="tr"/>
        </w:rPr>
        <w:t xml:space="preserve">, </w:t>
      </w:r>
      <w:r w:rsidRPr="00114C6B">
        <w:rPr>
          <w:i/>
          <w:lang w:val="tr"/>
        </w:rPr>
        <w:t>30</w:t>
      </w:r>
      <w:r w:rsidRPr="00114C6B">
        <w:rPr>
          <w:lang w:val="tr"/>
        </w:rPr>
        <w:t>(2), 166-194.</w:t>
      </w:r>
    </w:p>
    <w:p w14:paraId="372E1CE4" w14:textId="77777777" w:rsidR="001E7189" w:rsidRPr="00114C6B" w:rsidRDefault="001E7189">
      <w:pPr>
        <w:pStyle w:val="ListeParagraf"/>
        <w:numPr>
          <w:ilvl w:val="0"/>
          <w:numId w:val="44"/>
        </w:numPr>
        <w:jc w:val="both"/>
        <w:rPr>
          <w:lang w:val="tr"/>
        </w:rPr>
      </w:pPr>
      <w:proofErr w:type="spellStart"/>
      <w:r w:rsidRPr="00114C6B">
        <w:rPr>
          <w:lang w:val="tr"/>
        </w:rPr>
        <w:t>Duggan</w:t>
      </w:r>
      <w:proofErr w:type="spellEnd"/>
      <w:r w:rsidRPr="00114C6B">
        <w:rPr>
          <w:lang w:val="tr"/>
        </w:rPr>
        <w:t xml:space="preserve">, J., </w:t>
      </w:r>
      <w:proofErr w:type="spellStart"/>
      <w:r w:rsidRPr="00114C6B">
        <w:rPr>
          <w:lang w:val="tr"/>
        </w:rPr>
        <w:t>Sherman</w:t>
      </w:r>
      <w:proofErr w:type="spellEnd"/>
      <w:r w:rsidRPr="00114C6B">
        <w:rPr>
          <w:lang w:val="tr"/>
        </w:rPr>
        <w:t xml:space="preserve">, U. P., </w:t>
      </w:r>
      <w:proofErr w:type="spellStart"/>
      <w:r w:rsidRPr="00114C6B">
        <w:rPr>
          <w:lang w:val="tr"/>
        </w:rPr>
        <w:t>Carbery</w:t>
      </w:r>
      <w:proofErr w:type="spellEnd"/>
      <w:r w:rsidRPr="00114C6B">
        <w:rPr>
          <w:lang w:val="tr"/>
        </w:rPr>
        <w:t xml:space="preserve">, R., &amp; McDonnell, A. (2019). </w:t>
      </w:r>
      <w:proofErr w:type="spellStart"/>
      <w:r w:rsidRPr="00114C6B">
        <w:rPr>
          <w:lang w:val="tr"/>
        </w:rPr>
        <w:t>Algorithmic</w:t>
      </w:r>
      <w:proofErr w:type="spellEnd"/>
      <w:r w:rsidRPr="00114C6B">
        <w:rPr>
          <w:lang w:val="tr"/>
        </w:rPr>
        <w:t xml:space="preserve"> </w:t>
      </w:r>
      <w:proofErr w:type="spellStart"/>
      <w:r w:rsidRPr="00114C6B">
        <w:rPr>
          <w:lang w:val="tr"/>
        </w:rPr>
        <w:t>management</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app-work</w:t>
      </w:r>
      <w:proofErr w:type="spellEnd"/>
      <w:r w:rsidRPr="00114C6B">
        <w:rPr>
          <w:lang w:val="tr"/>
        </w:rPr>
        <w:t xml:space="preserve"> in </w:t>
      </w:r>
      <w:proofErr w:type="spellStart"/>
      <w:r w:rsidRPr="00114C6B">
        <w:rPr>
          <w:lang w:val="tr"/>
        </w:rPr>
        <w:t>the</w:t>
      </w:r>
      <w:proofErr w:type="spellEnd"/>
      <w:r w:rsidRPr="00114C6B">
        <w:rPr>
          <w:lang w:val="tr"/>
        </w:rPr>
        <w:t xml:space="preserve"> </w:t>
      </w:r>
      <w:proofErr w:type="spellStart"/>
      <w:r w:rsidRPr="00114C6B">
        <w:rPr>
          <w:lang w:val="tr"/>
        </w:rPr>
        <w:t>gig</w:t>
      </w:r>
      <w:proofErr w:type="spellEnd"/>
      <w:r w:rsidRPr="00114C6B">
        <w:rPr>
          <w:lang w:val="tr"/>
        </w:rPr>
        <w:t xml:space="preserve"> </w:t>
      </w:r>
      <w:proofErr w:type="spellStart"/>
      <w:r w:rsidRPr="00114C6B">
        <w:rPr>
          <w:lang w:val="tr"/>
        </w:rPr>
        <w:t>economy</w:t>
      </w:r>
      <w:proofErr w:type="spellEnd"/>
      <w:r w:rsidRPr="00114C6B">
        <w:rPr>
          <w:lang w:val="tr"/>
        </w:rPr>
        <w:t xml:space="preserve">: A </w:t>
      </w:r>
      <w:proofErr w:type="spellStart"/>
      <w:r w:rsidRPr="00114C6B">
        <w:rPr>
          <w:lang w:val="tr"/>
        </w:rPr>
        <w:t>research</w:t>
      </w:r>
      <w:proofErr w:type="spellEnd"/>
      <w:r w:rsidRPr="00114C6B">
        <w:rPr>
          <w:lang w:val="tr"/>
        </w:rPr>
        <w:t xml:space="preserve"> </w:t>
      </w:r>
      <w:proofErr w:type="spellStart"/>
      <w:r w:rsidRPr="00114C6B">
        <w:rPr>
          <w:lang w:val="tr"/>
        </w:rPr>
        <w:t>agenda</w:t>
      </w:r>
      <w:proofErr w:type="spellEnd"/>
      <w:r w:rsidRPr="00114C6B">
        <w:rPr>
          <w:lang w:val="tr"/>
        </w:rPr>
        <w:t xml:space="preserve"> </w:t>
      </w:r>
      <w:proofErr w:type="spellStart"/>
      <w:r w:rsidRPr="00114C6B">
        <w:rPr>
          <w:lang w:val="tr"/>
        </w:rPr>
        <w:t>for</w:t>
      </w:r>
      <w:proofErr w:type="spellEnd"/>
      <w:r w:rsidRPr="00114C6B">
        <w:rPr>
          <w:lang w:val="tr"/>
        </w:rPr>
        <w:t xml:space="preserve"> </w:t>
      </w:r>
      <w:proofErr w:type="spellStart"/>
      <w:r w:rsidRPr="00114C6B">
        <w:rPr>
          <w:lang w:val="tr"/>
        </w:rPr>
        <w:t>employment</w:t>
      </w:r>
      <w:proofErr w:type="spellEnd"/>
      <w:r w:rsidRPr="00114C6B">
        <w:rPr>
          <w:lang w:val="tr"/>
        </w:rPr>
        <w:t xml:space="preserve"> </w:t>
      </w:r>
      <w:proofErr w:type="spellStart"/>
      <w:r w:rsidRPr="00114C6B">
        <w:rPr>
          <w:lang w:val="tr"/>
        </w:rPr>
        <w:t>relations</w:t>
      </w:r>
      <w:proofErr w:type="spellEnd"/>
      <w:r w:rsidRPr="00114C6B">
        <w:rPr>
          <w:lang w:val="tr"/>
        </w:rPr>
        <w:t xml:space="preserve"> </w:t>
      </w:r>
      <w:proofErr w:type="spellStart"/>
      <w:r w:rsidRPr="00114C6B">
        <w:rPr>
          <w:lang w:val="tr"/>
        </w:rPr>
        <w:t>and</w:t>
      </w:r>
      <w:proofErr w:type="spellEnd"/>
      <w:r w:rsidRPr="00114C6B">
        <w:rPr>
          <w:lang w:val="tr"/>
        </w:rPr>
        <w:t xml:space="preserve"> HRM. </w:t>
      </w:r>
      <w:r w:rsidRPr="00114C6B">
        <w:rPr>
          <w:i/>
          <w:lang w:val="tr"/>
        </w:rPr>
        <w:t xml:space="preserve">Human Resource Management </w:t>
      </w:r>
      <w:proofErr w:type="spellStart"/>
      <w:r w:rsidRPr="00114C6B">
        <w:rPr>
          <w:i/>
          <w:lang w:val="tr"/>
        </w:rPr>
        <w:t>Journal</w:t>
      </w:r>
      <w:proofErr w:type="spellEnd"/>
      <w:r w:rsidRPr="00114C6B">
        <w:rPr>
          <w:i/>
          <w:lang w:val="tr"/>
        </w:rPr>
        <w:t>, 30</w:t>
      </w:r>
      <w:r w:rsidRPr="00114C6B">
        <w:rPr>
          <w:lang w:val="tr"/>
        </w:rPr>
        <w:t>(4).</w:t>
      </w:r>
    </w:p>
    <w:p w14:paraId="7F171551" w14:textId="77777777" w:rsidR="001E7189" w:rsidRPr="00114C6B" w:rsidRDefault="001E7189">
      <w:pPr>
        <w:pStyle w:val="ListeParagraf"/>
        <w:numPr>
          <w:ilvl w:val="0"/>
          <w:numId w:val="44"/>
        </w:numPr>
        <w:jc w:val="both"/>
        <w:rPr>
          <w:lang w:val="tr"/>
        </w:rPr>
      </w:pPr>
      <w:r w:rsidRPr="00114C6B">
        <w:rPr>
          <w:lang w:val="tr"/>
        </w:rPr>
        <w:t xml:space="preserve">Erdoğan, M. (2019). Denetim 4.0 ve ötesi. </w:t>
      </w:r>
      <w:r w:rsidRPr="00114C6B">
        <w:rPr>
          <w:i/>
          <w:lang w:val="tr"/>
        </w:rPr>
        <w:t>Muhasebe ve Vergi Uygulamaları Dergisi, 12</w:t>
      </w:r>
      <w:r w:rsidRPr="00114C6B">
        <w:rPr>
          <w:lang w:val="tr"/>
        </w:rPr>
        <w:t>(3), 809-834.</w:t>
      </w:r>
    </w:p>
    <w:p w14:paraId="3399B0FF" w14:textId="77777777" w:rsidR="001E7189" w:rsidRPr="00114C6B" w:rsidRDefault="001E7189">
      <w:pPr>
        <w:pStyle w:val="ListeParagraf"/>
        <w:numPr>
          <w:ilvl w:val="0"/>
          <w:numId w:val="44"/>
        </w:numPr>
        <w:jc w:val="both"/>
        <w:rPr>
          <w:lang w:val="tr"/>
        </w:rPr>
      </w:pPr>
      <w:r w:rsidRPr="00114C6B">
        <w:rPr>
          <w:lang w:val="tr"/>
        </w:rPr>
        <w:t xml:space="preserve">Ertekin, Y. (2004). Çağdaş yönetim ve denetim. </w:t>
      </w:r>
      <w:r w:rsidRPr="00114C6B">
        <w:rPr>
          <w:i/>
          <w:lang w:val="tr"/>
        </w:rPr>
        <w:t>Sosyal Bilimler Dergisi, 1</w:t>
      </w:r>
      <w:r w:rsidRPr="00114C6B">
        <w:rPr>
          <w:lang w:val="tr"/>
        </w:rPr>
        <w:t>(1), 55-67.</w:t>
      </w:r>
    </w:p>
    <w:p w14:paraId="2A28081F" w14:textId="77777777" w:rsidR="001E7189" w:rsidRPr="00114C6B" w:rsidRDefault="001E7189">
      <w:pPr>
        <w:pStyle w:val="ListeParagraf"/>
        <w:numPr>
          <w:ilvl w:val="0"/>
          <w:numId w:val="44"/>
        </w:numPr>
        <w:jc w:val="both"/>
        <w:rPr>
          <w:lang w:val="tr"/>
        </w:rPr>
      </w:pPr>
      <w:r w:rsidRPr="00114C6B">
        <w:rPr>
          <w:lang w:val="tr"/>
        </w:rPr>
        <w:t xml:space="preserve">Esmeray, A. (2018). Bilişim teknolojisindeki gelişmelerin muhasebe denetimine katkısı. </w:t>
      </w:r>
      <w:r w:rsidRPr="00114C6B">
        <w:rPr>
          <w:i/>
          <w:lang w:val="tr"/>
        </w:rPr>
        <w:t>Muhasebe Bilim Dünyası Dergisi, 20</w:t>
      </w:r>
      <w:r w:rsidRPr="00114C6B">
        <w:rPr>
          <w:lang w:val="tr"/>
        </w:rPr>
        <w:t>(Özel Sayı), 294-309.</w:t>
      </w:r>
    </w:p>
    <w:p w14:paraId="5CCC4CCD" w14:textId="77777777" w:rsidR="001E7189" w:rsidRPr="00114C6B" w:rsidRDefault="001E7189">
      <w:pPr>
        <w:pStyle w:val="ListeParagraf"/>
        <w:numPr>
          <w:ilvl w:val="0"/>
          <w:numId w:val="44"/>
        </w:numPr>
        <w:jc w:val="both"/>
        <w:rPr>
          <w:lang w:val="tr"/>
        </w:rPr>
      </w:pPr>
      <w:proofErr w:type="spellStart"/>
      <w:r w:rsidRPr="00114C6B">
        <w:rPr>
          <w:lang w:val="tr"/>
        </w:rPr>
        <w:t>Hacıhasanoğlu</w:t>
      </w:r>
      <w:proofErr w:type="spellEnd"/>
      <w:r w:rsidRPr="00114C6B">
        <w:rPr>
          <w:lang w:val="tr"/>
        </w:rPr>
        <w:t>, T., &amp; Dalkılıç, E. (2020). Endüstri 4.0 ve muhasebe sistemleri. F. F. Çetinkaya ve E. Şener (</w:t>
      </w:r>
      <w:proofErr w:type="spellStart"/>
      <w:r w:rsidRPr="00114C6B">
        <w:rPr>
          <w:lang w:val="tr"/>
        </w:rPr>
        <w:t>Edt</w:t>
      </w:r>
      <w:proofErr w:type="spellEnd"/>
      <w:r w:rsidRPr="00114C6B">
        <w:rPr>
          <w:lang w:val="tr"/>
        </w:rPr>
        <w:t xml:space="preserve">.), </w:t>
      </w:r>
      <w:r w:rsidRPr="00114C6B">
        <w:rPr>
          <w:i/>
          <w:lang w:val="tr"/>
        </w:rPr>
        <w:t xml:space="preserve">Endüstri 4.0 paradigması: işletme fonksiyonlarının dijital dönüşümü </w:t>
      </w:r>
      <w:r w:rsidRPr="00114C6B">
        <w:rPr>
          <w:lang w:val="tr"/>
        </w:rPr>
        <w:t>(</w:t>
      </w:r>
      <w:proofErr w:type="spellStart"/>
      <w:r w:rsidRPr="00114C6B">
        <w:rPr>
          <w:lang w:val="tr"/>
        </w:rPr>
        <w:t>ss</w:t>
      </w:r>
      <w:proofErr w:type="spellEnd"/>
      <w:r w:rsidRPr="00114C6B">
        <w:rPr>
          <w:lang w:val="tr"/>
        </w:rPr>
        <w:t>. 287-308). Efe Akademi.</w:t>
      </w:r>
    </w:p>
    <w:p w14:paraId="24AB2F83" w14:textId="77777777" w:rsidR="001E7189" w:rsidRPr="00114C6B" w:rsidRDefault="001E7189">
      <w:pPr>
        <w:pStyle w:val="ListeParagraf"/>
        <w:numPr>
          <w:ilvl w:val="0"/>
          <w:numId w:val="44"/>
        </w:numPr>
        <w:jc w:val="both"/>
        <w:rPr>
          <w:lang w:val="tr"/>
        </w:rPr>
      </w:pPr>
      <w:proofErr w:type="spellStart"/>
      <w:r w:rsidRPr="00114C6B">
        <w:rPr>
          <w:lang w:val="tr"/>
        </w:rPr>
        <w:t>Holford</w:t>
      </w:r>
      <w:proofErr w:type="spellEnd"/>
      <w:r w:rsidRPr="00114C6B">
        <w:rPr>
          <w:lang w:val="tr"/>
        </w:rPr>
        <w:t xml:space="preserve">, W. D. (2019). </w:t>
      </w:r>
      <w:proofErr w:type="spellStart"/>
      <w:r w:rsidRPr="00114C6B">
        <w:rPr>
          <w:lang w:val="tr"/>
        </w:rPr>
        <w:t>The</w:t>
      </w:r>
      <w:proofErr w:type="spellEnd"/>
      <w:r w:rsidRPr="00114C6B">
        <w:rPr>
          <w:lang w:val="tr"/>
        </w:rPr>
        <w:t xml:space="preserve"> </w:t>
      </w:r>
      <w:proofErr w:type="spellStart"/>
      <w:r w:rsidRPr="00114C6B">
        <w:rPr>
          <w:lang w:val="tr"/>
        </w:rPr>
        <w:t>future</w:t>
      </w:r>
      <w:proofErr w:type="spellEnd"/>
      <w:r w:rsidRPr="00114C6B">
        <w:rPr>
          <w:lang w:val="tr"/>
        </w:rPr>
        <w:t xml:space="preserve"> of </w:t>
      </w:r>
      <w:proofErr w:type="spellStart"/>
      <w:r w:rsidRPr="00114C6B">
        <w:rPr>
          <w:lang w:val="tr"/>
        </w:rPr>
        <w:t>human</w:t>
      </w:r>
      <w:proofErr w:type="spellEnd"/>
      <w:r w:rsidRPr="00114C6B">
        <w:rPr>
          <w:lang w:val="tr"/>
        </w:rPr>
        <w:t xml:space="preserve"> </w:t>
      </w:r>
      <w:proofErr w:type="spellStart"/>
      <w:r w:rsidRPr="00114C6B">
        <w:rPr>
          <w:lang w:val="tr"/>
        </w:rPr>
        <w:t>creative</w:t>
      </w:r>
      <w:proofErr w:type="spellEnd"/>
      <w:r w:rsidRPr="00114C6B">
        <w:rPr>
          <w:lang w:val="tr"/>
        </w:rPr>
        <w:t xml:space="preserve"> </w:t>
      </w:r>
      <w:proofErr w:type="spellStart"/>
      <w:r w:rsidRPr="00114C6B">
        <w:rPr>
          <w:lang w:val="tr"/>
        </w:rPr>
        <w:t>knowledge</w:t>
      </w:r>
      <w:proofErr w:type="spellEnd"/>
      <w:r w:rsidRPr="00114C6B">
        <w:rPr>
          <w:lang w:val="tr"/>
        </w:rPr>
        <w:t xml:space="preserve"> </w:t>
      </w:r>
      <w:proofErr w:type="spellStart"/>
      <w:r w:rsidRPr="00114C6B">
        <w:rPr>
          <w:lang w:val="tr"/>
        </w:rPr>
        <w:t>work</w:t>
      </w:r>
      <w:proofErr w:type="spellEnd"/>
      <w:r w:rsidRPr="00114C6B">
        <w:rPr>
          <w:lang w:val="tr"/>
        </w:rPr>
        <w:t xml:space="preserve"> </w:t>
      </w:r>
      <w:proofErr w:type="spellStart"/>
      <w:r w:rsidRPr="00114C6B">
        <w:rPr>
          <w:lang w:val="tr"/>
        </w:rPr>
        <w:t>within</w:t>
      </w:r>
      <w:proofErr w:type="spellEnd"/>
      <w:r w:rsidRPr="00114C6B">
        <w:rPr>
          <w:lang w:val="tr"/>
        </w:rPr>
        <w:t xml:space="preserve"> </w:t>
      </w:r>
      <w:proofErr w:type="spellStart"/>
      <w:r w:rsidRPr="00114C6B">
        <w:rPr>
          <w:lang w:val="tr"/>
        </w:rPr>
        <w:t>the</w:t>
      </w:r>
      <w:proofErr w:type="spellEnd"/>
      <w:r w:rsidRPr="00114C6B">
        <w:rPr>
          <w:lang w:val="tr"/>
        </w:rPr>
        <w:t xml:space="preserve"> </w:t>
      </w:r>
      <w:proofErr w:type="spellStart"/>
      <w:r w:rsidRPr="00114C6B">
        <w:rPr>
          <w:lang w:val="tr"/>
        </w:rPr>
        <w:t>digital</w:t>
      </w:r>
      <w:proofErr w:type="spellEnd"/>
      <w:r w:rsidRPr="00114C6B">
        <w:rPr>
          <w:lang w:val="tr"/>
        </w:rPr>
        <w:t xml:space="preserve"> </w:t>
      </w:r>
      <w:proofErr w:type="spellStart"/>
      <w:r w:rsidRPr="00114C6B">
        <w:rPr>
          <w:lang w:val="tr"/>
        </w:rPr>
        <w:t>economy</w:t>
      </w:r>
      <w:proofErr w:type="spellEnd"/>
      <w:r w:rsidRPr="00114C6B">
        <w:rPr>
          <w:lang w:val="tr"/>
        </w:rPr>
        <w:t xml:space="preserve">. </w:t>
      </w:r>
      <w:proofErr w:type="spellStart"/>
      <w:r w:rsidRPr="00114C6B">
        <w:rPr>
          <w:i/>
          <w:lang w:val="tr"/>
        </w:rPr>
        <w:t>Futures</w:t>
      </w:r>
      <w:proofErr w:type="spellEnd"/>
      <w:r w:rsidRPr="00114C6B">
        <w:rPr>
          <w:i/>
          <w:lang w:val="tr"/>
        </w:rPr>
        <w:t>, 105</w:t>
      </w:r>
      <w:r w:rsidRPr="00114C6B">
        <w:rPr>
          <w:lang w:val="tr"/>
        </w:rPr>
        <w:t>, 143-154.</w:t>
      </w:r>
    </w:p>
    <w:p w14:paraId="564A82AA" w14:textId="77777777" w:rsidR="001E7189" w:rsidRPr="00114C6B" w:rsidRDefault="001E7189">
      <w:pPr>
        <w:pStyle w:val="ListeParagraf"/>
        <w:numPr>
          <w:ilvl w:val="0"/>
          <w:numId w:val="44"/>
        </w:numPr>
        <w:jc w:val="both"/>
        <w:rPr>
          <w:lang w:val="tr"/>
        </w:rPr>
      </w:pPr>
      <w:r w:rsidRPr="00114C6B">
        <w:rPr>
          <w:lang w:val="tr"/>
        </w:rPr>
        <w:t xml:space="preserve">Konuk, H., Ataman, G., &amp; Kambur, E. (2023). </w:t>
      </w:r>
      <w:proofErr w:type="spellStart"/>
      <w:r w:rsidRPr="00114C6B">
        <w:rPr>
          <w:lang w:val="tr"/>
        </w:rPr>
        <w:t>The</w:t>
      </w:r>
      <w:proofErr w:type="spellEnd"/>
      <w:r w:rsidRPr="00114C6B">
        <w:rPr>
          <w:lang w:val="tr"/>
        </w:rPr>
        <w:t xml:space="preserve"> </w:t>
      </w:r>
      <w:proofErr w:type="spellStart"/>
      <w:r w:rsidRPr="00114C6B">
        <w:rPr>
          <w:lang w:val="tr"/>
        </w:rPr>
        <w:t>effect</w:t>
      </w:r>
      <w:proofErr w:type="spellEnd"/>
      <w:r w:rsidRPr="00114C6B">
        <w:rPr>
          <w:lang w:val="tr"/>
        </w:rPr>
        <w:t xml:space="preserve"> of </w:t>
      </w:r>
      <w:proofErr w:type="spellStart"/>
      <w:r w:rsidRPr="00114C6B">
        <w:rPr>
          <w:lang w:val="tr"/>
        </w:rPr>
        <w:t>digitalized</w:t>
      </w:r>
      <w:proofErr w:type="spellEnd"/>
      <w:r w:rsidRPr="00114C6B">
        <w:rPr>
          <w:lang w:val="tr"/>
        </w:rPr>
        <w:t xml:space="preserve"> </w:t>
      </w:r>
      <w:proofErr w:type="spellStart"/>
      <w:r w:rsidRPr="00114C6B">
        <w:rPr>
          <w:lang w:val="tr"/>
        </w:rPr>
        <w:t>workplace</w:t>
      </w:r>
      <w:proofErr w:type="spellEnd"/>
      <w:r w:rsidRPr="00114C6B">
        <w:rPr>
          <w:lang w:val="tr"/>
        </w:rPr>
        <w:t xml:space="preserve"> of </w:t>
      </w:r>
      <w:proofErr w:type="spellStart"/>
      <w:r w:rsidRPr="00114C6B">
        <w:rPr>
          <w:lang w:val="tr"/>
        </w:rPr>
        <w:t>employees</w:t>
      </w:r>
      <w:proofErr w:type="spellEnd"/>
      <w:r w:rsidRPr="00114C6B">
        <w:rPr>
          <w:lang w:val="tr"/>
        </w:rPr>
        <w:t xml:space="preserve">’ </w:t>
      </w:r>
      <w:proofErr w:type="spellStart"/>
      <w:r w:rsidRPr="00114C6B">
        <w:rPr>
          <w:lang w:val="tr"/>
        </w:rPr>
        <w:t>psychological</w:t>
      </w:r>
      <w:proofErr w:type="spellEnd"/>
      <w:r w:rsidRPr="00114C6B">
        <w:rPr>
          <w:lang w:val="tr"/>
        </w:rPr>
        <w:t xml:space="preserve"> </w:t>
      </w:r>
      <w:proofErr w:type="spellStart"/>
      <w:r w:rsidRPr="00114C6B">
        <w:rPr>
          <w:lang w:val="tr"/>
        </w:rPr>
        <w:t>well-being</w:t>
      </w:r>
      <w:proofErr w:type="spellEnd"/>
      <w:r w:rsidRPr="00114C6B">
        <w:rPr>
          <w:lang w:val="tr"/>
        </w:rPr>
        <w:t xml:space="preserve">: </w:t>
      </w:r>
      <w:proofErr w:type="spellStart"/>
      <w:r w:rsidRPr="00114C6B">
        <w:rPr>
          <w:lang w:val="tr"/>
        </w:rPr>
        <w:t>Digital</w:t>
      </w:r>
      <w:proofErr w:type="spellEnd"/>
      <w:r w:rsidRPr="00114C6B">
        <w:rPr>
          <w:lang w:val="tr"/>
        </w:rPr>
        <w:t xml:space="preserve"> </w:t>
      </w:r>
      <w:proofErr w:type="spellStart"/>
      <w:r w:rsidRPr="00114C6B">
        <w:rPr>
          <w:lang w:val="tr"/>
        </w:rPr>
        <w:t>Taylorism</w:t>
      </w:r>
      <w:proofErr w:type="spellEnd"/>
      <w:r w:rsidRPr="00114C6B">
        <w:rPr>
          <w:lang w:val="tr"/>
        </w:rPr>
        <w:t xml:space="preserve"> </w:t>
      </w:r>
      <w:proofErr w:type="spellStart"/>
      <w:r w:rsidRPr="00114C6B">
        <w:rPr>
          <w:lang w:val="tr"/>
        </w:rPr>
        <w:t>approach</w:t>
      </w:r>
      <w:proofErr w:type="spellEnd"/>
      <w:r w:rsidRPr="00114C6B">
        <w:rPr>
          <w:lang w:val="tr"/>
        </w:rPr>
        <w:t xml:space="preserve">. </w:t>
      </w:r>
      <w:proofErr w:type="spellStart"/>
      <w:r w:rsidRPr="00114C6B">
        <w:rPr>
          <w:i/>
          <w:lang w:val="tr"/>
        </w:rPr>
        <w:t>Technology</w:t>
      </w:r>
      <w:proofErr w:type="spellEnd"/>
      <w:r w:rsidRPr="00114C6B">
        <w:rPr>
          <w:i/>
          <w:lang w:val="tr"/>
        </w:rPr>
        <w:t xml:space="preserve"> in </w:t>
      </w:r>
      <w:proofErr w:type="spellStart"/>
      <w:r w:rsidRPr="00114C6B">
        <w:rPr>
          <w:i/>
          <w:lang w:val="tr"/>
        </w:rPr>
        <w:t>Society</w:t>
      </w:r>
      <w:proofErr w:type="spellEnd"/>
      <w:r w:rsidRPr="00114C6B">
        <w:rPr>
          <w:i/>
          <w:lang w:val="tr"/>
        </w:rPr>
        <w:t>, 74</w:t>
      </w:r>
      <w:r w:rsidRPr="00114C6B">
        <w:rPr>
          <w:lang w:val="tr"/>
        </w:rPr>
        <w:t>(3), 102302.</w:t>
      </w:r>
    </w:p>
    <w:p w14:paraId="038397F1" w14:textId="77777777" w:rsidR="001E7189" w:rsidRPr="00114C6B" w:rsidRDefault="001E7189">
      <w:pPr>
        <w:pStyle w:val="ListeParagraf"/>
        <w:numPr>
          <w:ilvl w:val="0"/>
          <w:numId w:val="44"/>
        </w:numPr>
        <w:jc w:val="both"/>
        <w:rPr>
          <w:lang w:val="tr"/>
        </w:rPr>
      </w:pPr>
      <w:r w:rsidRPr="00114C6B">
        <w:rPr>
          <w:lang w:val="tr"/>
        </w:rPr>
        <w:t xml:space="preserve">Köroğlu, V., &amp; Koç, M. (2017). Stratejik yönetim açısından Taylorizm prensiplerinin zamanımıza yansımaları. </w:t>
      </w:r>
      <w:r w:rsidRPr="00114C6B">
        <w:rPr>
          <w:i/>
          <w:lang w:val="tr"/>
        </w:rPr>
        <w:t>Çağ Üniversitesi Sosyal Bilimler Dergisi, 14</w:t>
      </w:r>
      <w:r w:rsidRPr="00114C6B">
        <w:rPr>
          <w:lang w:val="tr"/>
        </w:rPr>
        <w:t>(1), 1-18.</w:t>
      </w:r>
    </w:p>
    <w:p w14:paraId="6A68A668" w14:textId="77777777" w:rsidR="001E7189" w:rsidRPr="00114C6B" w:rsidRDefault="001E7189">
      <w:pPr>
        <w:pStyle w:val="ListeParagraf"/>
        <w:numPr>
          <w:ilvl w:val="0"/>
          <w:numId w:val="44"/>
        </w:numPr>
        <w:jc w:val="both"/>
        <w:rPr>
          <w:lang w:val="tr"/>
        </w:rPr>
      </w:pPr>
      <w:proofErr w:type="spellStart"/>
      <w:r w:rsidRPr="00114C6B">
        <w:rPr>
          <w:lang w:val="tr"/>
        </w:rPr>
        <w:t>McGaughey</w:t>
      </w:r>
      <w:proofErr w:type="spellEnd"/>
      <w:r w:rsidRPr="00114C6B">
        <w:rPr>
          <w:lang w:val="tr"/>
        </w:rPr>
        <w:t xml:space="preserve">, E. (2018). </w:t>
      </w:r>
      <w:proofErr w:type="spellStart"/>
      <w:r w:rsidRPr="00114C6B">
        <w:rPr>
          <w:lang w:val="tr"/>
        </w:rPr>
        <w:t>Taylorooism</w:t>
      </w:r>
      <w:proofErr w:type="spellEnd"/>
      <w:r w:rsidRPr="00114C6B">
        <w:rPr>
          <w:lang w:val="tr"/>
        </w:rPr>
        <w:t xml:space="preserve">: </w:t>
      </w:r>
      <w:proofErr w:type="spellStart"/>
      <w:r w:rsidRPr="00114C6B">
        <w:rPr>
          <w:lang w:val="tr"/>
        </w:rPr>
        <w:t>when</w:t>
      </w:r>
      <w:proofErr w:type="spellEnd"/>
      <w:r w:rsidRPr="00114C6B">
        <w:rPr>
          <w:lang w:val="tr"/>
        </w:rPr>
        <w:t xml:space="preserve"> network </w:t>
      </w:r>
      <w:proofErr w:type="spellStart"/>
      <w:r w:rsidRPr="00114C6B">
        <w:rPr>
          <w:lang w:val="tr"/>
        </w:rPr>
        <w:t>technology</w:t>
      </w:r>
      <w:proofErr w:type="spellEnd"/>
      <w:r w:rsidRPr="00114C6B">
        <w:rPr>
          <w:lang w:val="tr"/>
        </w:rPr>
        <w:t xml:space="preserve"> </w:t>
      </w:r>
      <w:proofErr w:type="spellStart"/>
      <w:r w:rsidRPr="00114C6B">
        <w:rPr>
          <w:lang w:val="tr"/>
        </w:rPr>
        <w:t>meets</w:t>
      </w:r>
      <w:proofErr w:type="spellEnd"/>
      <w:r w:rsidRPr="00114C6B">
        <w:rPr>
          <w:lang w:val="tr"/>
        </w:rPr>
        <w:t xml:space="preserve"> </w:t>
      </w:r>
      <w:proofErr w:type="spellStart"/>
      <w:r w:rsidRPr="00114C6B">
        <w:rPr>
          <w:lang w:val="tr"/>
        </w:rPr>
        <w:t>corporate</w:t>
      </w:r>
      <w:proofErr w:type="spellEnd"/>
      <w:r w:rsidRPr="00114C6B">
        <w:rPr>
          <w:lang w:val="tr"/>
        </w:rPr>
        <w:t xml:space="preserve"> </w:t>
      </w:r>
      <w:proofErr w:type="spellStart"/>
      <w:r w:rsidRPr="00114C6B">
        <w:rPr>
          <w:lang w:val="tr"/>
        </w:rPr>
        <w:t>power</w:t>
      </w:r>
      <w:proofErr w:type="spellEnd"/>
      <w:r w:rsidRPr="00114C6B">
        <w:rPr>
          <w:lang w:val="tr"/>
        </w:rPr>
        <w:t xml:space="preserve"> [Special </w:t>
      </w:r>
      <w:proofErr w:type="spellStart"/>
      <w:r w:rsidRPr="00114C6B">
        <w:rPr>
          <w:lang w:val="tr"/>
        </w:rPr>
        <w:t>Issue</w:t>
      </w:r>
      <w:proofErr w:type="spellEnd"/>
      <w:r w:rsidRPr="00114C6B">
        <w:rPr>
          <w:lang w:val="tr"/>
        </w:rPr>
        <w:t xml:space="preserve">]. </w:t>
      </w:r>
      <w:proofErr w:type="spellStart"/>
      <w:r w:rsidRPr="00114C6B">
        <w:rPr>
          <w:i/>
          <w:lang w:val="tr"/>
        </w:rPr>
        <w:t>Industrial</w:t>
      </w:r>
      <w:proofErr w:type="spellEnd"/>
      <w:r w:rsidRPr="00114C6B">
        <w:rPr>
          <w:i/>
          <w:lang w:val="tr"/>
        </w:rPr>
        <w:t xml:space="preserve"> </w:t>
      </w:r>
      <w:proofErr w:type="spellStart"/>
      <w:r w:rsidRPr="00114C6B">
        <w:rPr>
          <w:i/>
          <w:lang w:val="tr"/>
        </w:rPr>
        <w:t>Relations</w:t>
      </w:r>
      <w:proofErr w:type="spellEnd"/>
      <w:r w:rsidRPr="00114C6B">
        <w:rPr>
          <w:i/>
          <w:lang w:val="tr"/>
        </w:rPr>
        <w:t xml:space="preserve"> </w:t>
      </w:r>
      <w:proofErr w:type="spellStart"/>
      <w:r w:rsidRPr="00114C6B">
        <w:rPr>
          <w:i/>
          <w:lang w:val="tr"/>
        </w:rPr>
        <w:t>Journal</w:t>
      </w:r>
      <w:proofErr w:type="spellEnd"/>
      <w:r w:rsidRPr="00114C6B">
        <w:rPr>
          <w:i/>
          <w:lang w:val="tr"/>
        </w:rPr>
        <w:t xml:space="preserve">, </w:t>
      </w:r>
      <w:r w:rsidRPr="00114C6B">
        <w:rPr>
          <w:lang w:val="tr"/>
        </w:rPr>
        <w:t>459-472.</w:t>
      </w:r>
    </w:p>
    <w:p w14:paraId="4BC4C3EA" w14:textId="77777777" w:rsidR="001E7189" w:rsidRPr="00114C6B" w:rsidRDefault="001E7189">
      <w:pPr>
        <w:pStyle w:val="ListeParagraf"/>
        <w:numPr>
          <w:ilvl w:val="0"/>
          <w:numId w:val="44"/>
        </w:numPr>
        <w:jc w:val="both"/>
        <w:rPr>
          <w:lang w:val="tr"/>
        </w:rPr>
      </w:pPr>
      <w:proofErr w:type="spellStart"/>
      <w:r w:rsidRPr="00114C6B">
        <w:rPr>
          <w:lang w:val="tr"/>
        </w:rPr>
        <w:t>Moore</w:t>
      </w:r>
      <w:proofErr w:type="spellEnd"/>
      <w:r w:rsidRPr="00114C6B">
        <w:rPr>
          <w:lang w:val="tr"/>
        </w:rPr>
        <w:t xml:space="preserve">, P. V. (2019, </w:t>
      </w:r>
      <w:proofErr w:type="spellStart"/>
      <w:r w:rsidRPr="00114C6B">
        <w:rPr>
          <w:lang w:val="tr"/>
        </w:rPr>
        <w:t>July</w:t>
      </w:r>
      <w:proofErr w:type="spellEnd"/>
      <w:r w:rsidRPr="00114C6B">
        <w:rPr>
          <w:lang w:val="tr"/>
        </w:rPr>
        <w:t xml:space="preserve"> 26-31). </w:t>
      </w:r>
      <w:r w:rsidRPr="00114C6B">
        <w:rPr>
          <w:i/>
          <w:lang w:val="tr"/>
        </w:rPr>
        <w:t xml:space="preserve">OSH </w:t>
      </w:r>
      <w:proofErr w:type="spellStart"/>
      <w:r w:rsidRPr="00114C6B">
        <w:rPr>
          <w:i/>
          <w:lang w:val="tr"/>
        </w:rPr>
        <w:t>and</w:t>
      </w:r>
      <w:proofErr w:type="spellEnd"/>
      <w:r w:rsidRPr="00114C6B">
        <w:rPr>
          <w:i/>
          <w:lang w:val="tr"/>
        </w:rPr>
        <w:t xml:space="preserve"> </w:t>
      </w:r>
      <w:proofErr w:type="spellStart"/>
      <w:r w:rsidRPr="00114C6B">
        <w:rPr>
          <w:i/>
          <w:lang w:val="tr"/>
        </w:rPr>
        <w:t>the</w:t>
      </w:r>
      <w:proofErr w:type="spellEnd"/>
      <w:r w:rsidRPr="00114C6B">
        <w:rPr>
          <w:i/>
          <w:lang w:val="tr"/>
        </w:rPr>
        <w:t xml:space="preserve"> </w:t>
      </w:r>
      <w:proofErr w:type="spellStart"/>
      <w:r w:rsidRPr="00114C6B">
        <w:rPr>
          <w:i/>
          <w:lang w:val="tr"/>
        </w:rPr>
        <w:t>future</w:t>
      </w:r>
      <w:proofErr w:type="spellEnd"/>
      <w:r w:rsidRPr="00114C6B">
        <w:rPr>
          <w:i/>
          <w:lang w:val="tr"/>
        </w:rPr>
        <w:t xml:space="preserve"> of </w:t>
      </w:r>
      <w:proofErr w:type="spellStart"/>
      <w:r w:rsidRPr="00114C6B">
        <w:rPr>
          <w:i/>
          <w:lang w:val="tr"/>
        </w:rPr>
        <w:t>work</w:t>
      </w:r>
      <w:proofErr w:type="spellEnd"/>
      <w:r w:rsidRPr="00114C6B">
        <w:rPr>
          <w:i/>
          <w:lang w:val="tr"/>
        </w:rPr>
        <w:t xml:space="preserve">: </w:t>
      </w:r>
      <w:proofErr w:type="spellStart"/>
      <w:r w:rsidRPr="00114C6B">
        <w:rPr>
          <w:i/>
          <w:lang w:val="tr"/>
        </w:rPr>
        <w:t>benefits</w:t>
      </w:r>
      <w:proofErr w:type="spellEnd"/>
      <w:r w:rsidRPr="00114C6B">
        <w:rPr>
          <w:i/>
          <w:lang w:val="tr"/>
        </w:rPr>
        <w:t xml:space="preserve"> </w:t>
      </w:r>
      <w:proofErr w:type="spellStart"/>
      <w:r w:rsidRPr="00114C6B">
        <w:rPr>
          <w:i/>
          <w:lang w:val="tr"/>
        </w:rPr>
        <w:t>and</w:t>
      </w:r>
      <w:proofErr w:type="spellEnd"/>
      <w:r w:rsidRPr="00114C6B">
        <w:rPr>
          <w:i/>
          <w:lang w:val="tr"/>
        </w:rPr>
        <w:t xml:space="preserve"> </w:t>
      </w:r>
      <w:proofErr w:type="spellStart"/>
      <w:r w:rsidRPr="00114C6B">
        <w:rPr>
          <w:i/>
          <w:lang w:val="tr"/>
        </w:rPr>
        <w:t>risks</w:t>
      </w:r>
      <w:proofErr w:type="spellEnd"/>
      <w:r w:rsidRPr="00114C6B">
        <w:rPr>
          <w:i/>
          <w:lang w:val="tr"/>
        </w:rPr>
        <w:t xml:space="preserve"> of </w:t>
      </w:r>
      <w:proofErr w:type="spellStart"/>
      <w:r w:rsidRPr="00114C6B">
        <w:rPr>
          <w:i/>
          <w:lang w:val="tr"/>
        </w:rPr>
        <w:t>artificial</w:t>
      </w:r>
      <w:proofErr w:type="spellEnd"/>
      <w:r w:rsidRPr="00114C6B">
        <w:rPr>
          <w:i/>
          <w:lang w:val="tr"/>
        </w:rPr>
        <w:t xml:space="preserve"> </w:t>
      </w:r>
      <w:proofErr w:type="spellStart"/>
      <w:r w:rsidRPr="00114C6B">
        <w:rPr>
          <w:i/>
          <w:lang w:val="tr"/>
        </w:rPr>
        <w:t>intelligence</w:t>
      </w:r>
      <w:proofErr w:type="spellEnd"/>
      <w:r w:rsidRPr="00114C6B">
        <w:rPr>
          <w:i/>
          <w:lang w:val="tr"/>
        </w:rPr>
        <w:t xml:space="preserve"> </w:t>
      </w:r>
      <w:proofErr w:type="spellStart"/>
      <w:r w:rsidRPr="00114C6B">
        <w:rPr>
          <w:i/>
          <w:lang w:val="tr"/>
        </w:rPr>
        <w:t>tools</w:t>
      </w:r>
      <w:proofErr w:type="spellEnd"/>
      <w:r w:rsidRPr="00114C6B">
        <w:rPr>
          <w:i/>
          <w:lang w:val="tr"/>
        </w:rPr>
        <w:t xml:space="preserve"> in </w:t>
      </w:r>
      <w:proofErr w:type="spellStart"/>
      <w:r w:rsidRPr="00114C6B">
        <w:rPr>
          <w:i/>
          <w:lang w:val="tr"/>
        </w:rPr>
        <w:t>workplaces</w:t>
      </w:r>
      <w:proofErr w:type="spellEnd"/>
      <w:r w:rsidRPr="00114C6B">
        <w:rPr>
          <w:i/>
          <w:lang w:val="tr"/>
        </w:rPr>
        <w:t xml:space="preserve"> </w:t>
      </w:r>
      <w:r w:rsidRPr="00114C6B">
        <w:rPr>
          <w:lang w:val="tr"/>
        </w:rPr>
        <w:t xml:space="preserve">[Conference </w:t>
      </w:r>
      <w:proofErr w:type="spellStart"/>
      <w:r w:rsidRPr="00114C6B">
        <w:rPr>
          <w:lang w:val="tr"/>
        </w:rPr>
        <w:t>Session</w:t>
      </w:r>
      <w:proofErr w:type="spellEnd"/>
      <w:r w:rsidRPr="00114C6B">
        <w:rPr>
          <w:lang w:val="tr"/>
        </w:rPr>
        <w:t xml:space="preserve">]. </w:t>
      </w:r>
      <w:proofErr w:type="spellStart"/>
      <w:r w:rsidRPr="00114C6B">
        <w:rPr>
          <w:lang w:val="tr"/>
        </w:rPr>
        <w:t>Digital</w:t>
      </w:r>
      <w:proofErr w:type="spellEnd"/>
      <w:r w:rsidRPr="00114C6B">
        <w:rPr>
          <w:lang w:val="tr"/>
        </w:rPr>
        <w:t xml:space="preserve"> Human </w:t>
      </w:r>
      <w:proofErr w:type="spellStart"/>
      <w:r w:rsidRPr="00114C6B">
        <w:rPr>
          <w:lang w:val="tr"/>
        </w:rPr>
        <w:t>Modeling</w:t>
      </w:r>
      <w:proofErr w:type="spellEnd"/>
      <w:r w:rsidRPr="00114C6B">
        <w:rPr>
          <w:lang w:val="tr"/>
        </w:rPr>
        <w:t xml:space="preserve"> </w:t>
      </w:r>
      <w:proofErr w:type="spellStart"/>
      <w:r w:rsidRPr="00114C6B">
        <w:rPr>
          <w:lang w:val="tr"/>
        </w:rPr>
        <w:t>and</w:t>
      </w:r>
      <w:proofErr w:type="spellEnd"/>
      <w:r w:rsidRPr="00114C6B">
        <w:rPr>
          <w:lang w:val="tr"/>
        </w:rPr>
        <w:t xml:space="preserve"> Applications in </w:t>
      </w:r>
      <w:proofErr w:type="spellStart"/>
      <w:r w:rsidRPr="00114C6B">
        <w:rPr>
          <w:lang w:val="tr"/>
        </w:rPr>
        <w:t>Health</w:t>
      </w:r>
      <w:proofErr w:type="spellEnd"/>
      <w:r w:rsidRPr="00114C6B">
        <w:rPr>
          <w:lang w:val="tr"/>
        </w:rPr>
        <w:t xml:space="preserve">, </w:t>
      </w:r>
      <w:proofErr w:type="spellStart"/>
      <w:r w:rsidRPr="00114C6B">
        <w:rPr>
          <w:lang w:val="tr"/>
        </w:rPr>
        <w:t>Safety</w:t>
      </w:r>
      <w:proofErr w:type="spellEnd"/>
      <w:r w:rsidRPr="00114C6B">
        <w:rPr>
          <w:lang w:val="tr"/>
        </w:rPr>
        <w:t xml:space="preserve">, </w:t>
      </w:r>
      <w:proofErr w:type="spellStart"/>
      <w:r w:rsidRPr="00114C6B">
        <w:rPr>
          <w:lang w:val="tr"/>
        </w:rPr>
        <w:t>Ergonomics</w:t>
      </w:r>
      <w:proofErr w:type="spellEnd"/>
      <w:r w:rsidRPr="00114C6B">
        <w:rPr>
          <w:lang w:val="tr"/>
        </w:rPr>
        <w:t xml:space="preserve"> </w:t>
      </w:r>
      <w:proofErr w:type="spellStart"/>
      <w:r w:rsidRPr="00114C6B">
        <w:rPr>
          <w:lang w:val="tr"/>
        </w:rPr>
        <w:t>and</w:t>
      </w:r>
      <w:proofErr w:type="spellEnd"/>
      <w:r w:rsidRPr="00114C6B">
        <w:rPr>
          <w:lang w:val="tr"/>
        </w:rPr>
        <w:t xml:space="preserve"> Risk Management. Human Body </w:t>
      </w:r>
      <w:proofErr w:type="spellStart"/>
      <w:r w:rsidRPr="00114C6B">
        <w:rPr>
          <w:lang w:val="tr"/>
        </w:rPr>
        <w:t>and</w:t>
      </w:r>
      <w:proofErr w:type="spellEnd"/>
      <w:r w:rsidRPr="00114C6B">
        <w:rPr>
          <w:lang w:val="tr"/>
        </w:rPr>
        <w:t xml:space="preserve"> Motion. HCII 2019. </w:t>
      </w:r>
      <w:proofErr w:type="spellStart"/>
      <w:r w:rsidRPr="00114C6B">
        <w:rPr>
          <w:lang w:val="tr"/>
        </w:rPr>
        <w:t>Lecture</w:t>
      </w:r>
      <w:proofErr w:type="spellEnd"/>
      <w:r w:rsidRPr="00114C6B">
        <w:rPr>
          <w:lang w:val="tr"/>
        </w:rPr>
        <w:t xml:space="preserve"> </w:t>
      </w:r>
      <w:proofErr w:type="spellStart"/>
      <w:r w:rsidRPr="00114C6B">
        <w:rPr>
          <w:lang w:val="tr"/>
        </w:rPr>
        <w:t>Notes</w:t>
      </w:r>
      <w:proofErr w:type="spellEnd"/>
      <w:r w:rsidRPr="00114C6B">
        <w:rPr>
          <w:lang w:val="tr"/>
        </w:rPr>
        <w:t xml:space="preserve"> in </w:t>
      </w:r>
      <w:proofErr w:type="spellStart"/>
      <w:r w:rsidRPr="00114C6B">
        <w:rPr>
          <w:lang w:val="tr"/>
        </w:rPr>
        <w:t>Computer</w:t>
      </w:r>
      <w:proofErr w:type="spellEnd"/>
      <w:r w:rsidRPr="00114C6B">
        <w:rPr>
          <w:lang w:val="tr"/>
        </w:rPr>
        <w:t xml:space="preserve"> </w:t>
      </w:r>
      <w:proofErr w:type="spellStart"/>
      <w:r w:rsidRPr="00114C6B">
        <w:rPr>
          <w:lang w:val="tr"/>
        </w:rPr>
        <w:t>Science</w:t>
      </w:r>
      <w:proofErr w:type="spellEnd"/>
      <w:r w:rsidRPr="00114C6B">
        <w:rPr>
          <w:lang w:val="tr"/>
        </w:rPr>
        <w:t xml:space="preserve"> (</w:t>
      </w:r>
      <w:proofErr w:type="spellStart"/>
      <w:r w:rsidRPr="00114C6B">
        <w:rPr>
          <w:lang w:val="tr"/>
        </w:rPr>
        <w:t>vol</w:t>
      </w:r>
      <w:proofErr w:type="spellEnd"/>
      <w:r w:rsidRPr="00114C6B">
        <w:rPr>
          <w:lang w:val="tr"/>
        </w:rPr>
        <w:t xml:space="preserve"> 11581). </w:t>
      </w:r>
      <w:proofErr w:type="spellStart"/>
      <w:r w:rsidRPr="00114C6B">
        <w:rPr>
          <w:lang w:val="tr"/>
        </w:rPr>
        <w:t>Springer</w:t>
      </w:r>
      <w:proofErr w:type="spellEnd"/>
      <w:r w:rsidRPr="00114C6B">
        <w:rPr>
          <w:lang w:val="tr"/>
        </w:rPr>
        <w:t xml:space="preserve">, </w:t>
      </w:r>
      <w:proofErr w:type="spellStart"/>
      <w:r w:rsidRPr="00114C6B">
        <w:rPr>
          <w:lang w:val="tr"/>
        </w:rPr>
        <w:t>Cham</w:t>
      </w:r>
      <w:proofErr w:type="spellEnd"/>
      <w:r w:rsidRPr="00114C6B">
        <w:rPr>
          <w:lang w:val="tr"/>
        </w:rPr>
        <w:t xml:space="preserve">, Orlando, FL, United </w:t>
      </w:r>
      <w:proofErr w:type="spellStart"/>
      <w:r w:rsidRPr="00114C6B">
        <w:rPr>
          <w:lang w:val="tr"/>
        </w:rPr>
        <w:t>States</w:t>
      </w:r>
      <w:proofErr w:type="spellEnd"/>
      <w:r w:rsidRPr="00114C6B">
        <w:rPr>
          <w:lang w:val="tr"/>
        </w:rPr>
        <w:t xml:space="preserve"> of </w:t>
      </w:r>
      <w:proofErr w:type="spellStart"/>
      <w:r w:rsidRPr="00114C6B">
        <w:rPr>
          <w:lang w:val="tr"/>
        </w:rPr>
        <w:t>America</w:t>
      </w:r>
      <w:proofErr w:type="spellEnd"/>
      <w:r w:rsidRPr="00114C6B">
        <w:rPr>
          <w:lang w:val="tr"/>
        </w:rPr>
        <w:t>.</w:t>
      </w:r>
    </w:p>
    <w:p w14:paraId="569CC392" w14:textId="77777777" w:rsidR="001E7189" w:rsidRPr="00114C6B" w:rsidRDefault="001E7189">
      <w:pPr>
        <w:pStyle w:val="ListeParagraf"/>
        <w:numPr>
          <w:ilvl w:val="0"/>
          <w:numId w:val="44"/>
        </w:numPr>
        <w:jc w:val="both"/>
        <w:rPr>
          <w:lang w:val="tr"/>
        </w:rPr>
      </w:pPr>
      <w:r w:rsidRPr="00114C6B">
        <w:rPr>
          <w:lang w:val="tr"/>
        </w:rPr>
        <w:t xml:space="preserve">Oral, T. (2024). Dijital emek platformlarında algoritmik yönetim ve sendikalar. </w:t>
      </w:r>
      <w:r w:rsidRPr="00114C6B">
        <w:rPr>
          <w:i/>
          <w:lang w:val="tr"/>
        </w:rPr>
        <w:t>Sağlık Akademisyenleri Dergisi, 11</w:t>
      </w:r>
      <w:r w:rsidRPr="00114C6B">
        <w:rPr>
          <w:lang w:val="tr"/>
        </w:rPr>
        <w:t>(1), 170-180.</w:t>
      </w:r>
    </w:p>
    <w:p w14:paraId="57079087" w14:textId="77777777" w:rsidR="001E7189" w:rsidRPr="00114C6B" w:rsidRDefault="001E7189">
      <w:pPr>
        <w:pStyle w:val="ListeParagraf"/>
        <w:numPr>
          <w:ilvl w:val="0"/>
          <w:numId w:val="44"/>
        </w:numPr>
        <w:jc w:val="both"/>
        <w:rPr>
          <w:lang w:val="tr"/>
        </w:rPr>
      </w:pPr>
      <w:proofErr w:type="spellStart"/>
      <w:r w:rsidRPr="00114C6B">
        <w:rPr>
          <w:lang w:val="tr"/>
        </w:rPr>
        <w:t>O’Regan</w:t>
      </w:r>
      <w:proofErr w:type="spellEnd"/>
      <w:r w:rsidRPr="00114C6B">
        <w:rPr>
          <w:lang w:val="tr"/>
        </w:rPr>
        <w:t xml:space="preserve">, D. (2004). </w:t>
      </w:r>
      <w:proofErr w:type="spellStart"/>
      <w:r w:rsidRPr="00114C6B">
        <w:rPr>
          <w:i/>
          <w:lang w:val="tr"/>
        </w:rPr>
        <w:t>Auditor’s</w:t>
      </w:r>
      <w:proofErr w:type="spellEnd"/>
      <w:r w:rsidRPr="00114C6B">
        <w:rPr>
          <w:i/>
          <w:lang w:val="tr"/>
        </w:rPr>
        <w:t xml:space="preserve"> </w:t>
      </w:r>
      <w:proofErr w:type="spellStart"/>
      <w:r w:rsidRPr="00114C6B">
        <w:rPr>
          <w:i/>
          <w:lang w:val="tr"/>
        </w:rPr>
        <w:t>dictionary</w:t>
      </w:r>
      <w:proofErr w:type="spellEnd"/>
      <w:r w:rsidRPr="00114C6B">
        <w:rPr>
          <w:i/>
          <w:lang w:val="tr"/>
        </w:rPr>
        <w:t xml:space="preserve">: </w:t>
      </w:r>
      <w:proofErr w:type="spellStart"/>
      <w:r w:rsidRPr="00114C6B">
        <w:rPr>
          <w:i/>
          <w:lang w:val="tr"/>
        </w:rPr>
        <w:t>terms</w:t>
      </w:r>
      <w:proofErr w:type="spellEnd"/>
      <w:r w:rsidRPr="00114C6B">
        <w:rPr>
          <w:i/>
          <w:lang w:val="tr"/>
        </w:rPr>
        <w:t xml:space="preserve">, </w:t>
      </w:r>
      <w:proofErr w:type="spellStart"/>
      <w:r w:rsidRPr="00114C6B">
        <w:rPr>
          <w:i/>
          <w:lang w:val="tr"/>
        </w:rPr>
        <w:t>concepts</w:t>
      </w:r>
      <w:proofErr w:type="spellEnd"/>
      <w:r w:rsidRPr="00114C6B">
        <w:rPr>
          <w:i/>
          <w:lang w:val="tr"/>
        </w:rPr>
        <w:t xml:space="preserve">, </w:t>
      </w:r>
      <w:proofErr w:type="spellStart"/>
      <w:r w:rsidRPr="00114C6B">
        <w:rPr>
          <w:i/>
          <w:lang w:val="tr"/>
        </w:rPr>
        <w:t>processes</w:t>
      </w:r>
      <w:proofErr w:type="spellEnd"/>
      <w:r w:rsidRPr="00114C6B">
        <w:rPr>
          <w:i/>
          <w:lang w:val="tr"/>
        </w:rPr>
        <w:t xml:space="preserve">, </w:t>
      </w:r>
      <w:proofErr w:type="spellStart"/>
      <w:r w:rsidRPr="00114C6B">
        <w:rPr>
          <w:i/>
          <w:lang w:val="tr"/>
        </w:rPr>
        <w:t>and</w:t>
      </w:r>
      <w:proofErr w:type="spellEnd"/>
      <w:r w:rsidRPr="00114C6B">
        <w:rPr>
          <w:i/>
          <w:lang w:val="tr"/>
        </w:rPr>
        <w:t xml:space="preserve"> </w:t>
      </w:r>
      <w:proofErr w:type="spellStart"/>
      <w:r w:rsidRPr="00114C6B">
        <w:rPr>
          <w:i/>
          <w:lang w:val="tr"/>
        </w:rPr>
        <w:t>regulations</w:t>
      </w:r>
      <w:proofErr w:type="spellEnd"/>
      <w:r w:rsidRPr="00114C6B">
        <w:rPr>
          <w:lang w:val="tr"/>
        </w:rPr>
        <w:t xml:space="preserve">. John </w:t>
      </w:r>
      <w:proofErr w:type="spellStart"/>
      <w:r w:rsidRPr="00114C6B">
        <w:rPr>
          <w:lang w:val="tr"/>
        </w:rPr>
        <w:t>Wiley</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Sons</w:t>
      </w:r>
      <w:proofErr w:type="spellEnd"/>
      <w:r w:rsidRPr="00114C6B">
        <w:rPr>
          <w:lang w:val="tr"/>
        </w:rPr>
        <w:t xml:space="preserve">. </w:t>
      </w:r>
      <w:proofErr w:type="spellStart"/>
      <w:r w:rsidRPr="00114C6B">
        <w:rPr>
          <w:lang w:val="tr"/>
        </w:rPr>
        <w:t>Inc</w:t>
      </w:r>
      <w:proofErr w:type="spellEnd"/>
      <w:r w:rsidRPr="00114C6B">
        <w:rPr>
          <w:lang w:val="tr"/>
        </w:rPr>
        <w:t>.</w:t>
      </w:r>
    </w:p>
    <w:p w14:paraId="584078BD" w14:textId="77777777" w:rsidR="001E7189" w:rsidRPr="00114C6B" w:rsidRDefault="001E7189">
      <w:pPr>
        <w:pStyle w:val="ListeParagraf"/>
        <w:numPr>
          <w:ilvl w:val="0"/>
          <w:numId w:val="44"/>
        </w:numPr>
        <w:jc w:val="both"/>
        <w:rPr>
          <w:lang w:val="tr"/>
        </w:rPr>
      </w:pPr>
      <w:proofErr w:type="spellStart"/>
      <w:r w:rsidRPr="00114C6B">
        <w:rPr>
          <w:lang w:val="tr"/>
        </w:rPr>
        <w:t>Silverman</w:t>
      </w:r>
      <w:proofErr w:type="spellEnd"/>
      <w:r w:rsidRPr="00114C6B">
        <w:rPr>
          <w:lang w:val="tr"/>
        </w:rPr>
        <w:t xml:space="preserve">, D. (2016). </w:t>
      </w:r>
      <w:proofErr w:type="spellStart"/>
      <w:r w:rsidRPr="00114C6B">
        <w:rPr>
          <w:i/>
          <w:lang w:val="tr"/>
        </w:rPr>
        <w:t>Qualitative</w:t>
      </w:r>
      <w:proofErr w:type="spellEnd"/>
      <w:r w:rsidRPr="00114C6B">
        <w:rPr>
          <w:i/>
          <w:lang w:val="tr"/>
        </w:rPr>
        <w:t xml:space="preserve"> </w:t>
      </w:r>
      <w:proofErr w:type="spellStart"/>
      <w:r w:rsidRPr="00114C6B">
        <w:rPr>
          <w:i/>
          <w:lang w:val="tr"/>
        </w:rPr>
        <w:t>research</w:t>
      </w:r>
      <w:proofErr w:type="spellEnd"/>
      <w:r w:rsidRPr="00114C6B">
        <w:rPr>
          <w:lang w:val="tr"/>
        </w:rPr>
        <w:t xml:space="preserve">. </w:t>
      </w:r>
      <w:proofErr w:type="spellStart"/>
      <w:r w:rsidRPr="00114C6B">
        <w:rPr>
          <w:lang w:val="tr"/>
        </w:rPr>
        <w:t>Sage</w:t>
      </w:r>
      <w:proofErr w:type="spellEnd"/>
      <w:r w:rsidRPr="00114C6B">
        <w:rPr>
          <w:lang w:val="tr"/>
        </w:rPr>
        <w:t>.</w:t>
      </w:r>
    </w:p>
    <w:p w14:paraId="3C64C181" w14:textId="77777777" w:rsidR="001E7189" w:rsidRPr="00114C6B" w:rsidRDefault="001E7189">
      <w:pPr>
        <w:pStyle w:val="ListeParagraf"/>
        <w:numPr>
          <w:ilvl w:val="0"/>
          <w:numId w:val="44"/>
        </w:numPr>
        <w:jc w:val="both"/>
        <w:rPr>
          <w:lang w:val="tr"/>
        </w:rPr>
      </w:pPr>
      <w:r w:rsidRPr="00114C6B">
        <w:rPr>
          <w:lang w:val="tr"/>
        </w:rPr>
        <w:t xml:space="preserve">Taylor, F. W. (1911). </w:t>
      </w:r>
      <w:r w:rsidRPr="00114C6B">
        <w:rPr>
          <w:i/>
          <w:lang w:val="tr"/>
        </w:rPr>
        <w:t xml:space="preserve">Bilimsel yönetimin ilkeleri </w:t>
      </w:r>
      <w:r w:rsidRPr="00114C6B">
        <w:rPr>
          <w:lang w:val="tr"/>
        </w:rPr>
        <w:t>(H. B. Akın, Çev.). Çizgi Kitabevi.</w:t>
      </w:r>
    </w:p>
    <w:p w14:paraId="00603959" w14:textId="77777777" w:rsidR="001E7189" w:rsidRPr="00114C6B" w:rsidRDefault="001E7189">
      <w:pPr>
        <w:pStyle w:val="ListeParagraf"/>
        <w:numPr>
          <w:ilvl w:val="0"/>
          <w:numId w:val="44"/>
        </w:numPr>
        <w:jc w:val="both"/>
        <w:rPr>
          <w:lang w:val="tr"/>
        </w:rPr>
      </w:pPr>
      <w:proofErr w:type="spellStart"/>
      <w:r w:rsidRPr="00114C6B">
        <w:rPr>
          <w:lang w:val="tr"/>
        </w:rPr>
        <w:t>Teck-Heang</w:t>
      </w:r>
      <w:proofErr w:type="spellEnd"/>
      <w:r w:rsidRPr="00114C6B">
        <w:rPr>
          <w:lang w:val="tr"/>
        </w:rPr>
        <w:t xml:space="preserve">, L., &amp; Ali, A. M. (2008). </w:t>
      </w:r>
      <w:proofErr w:type="spellStart"/>
      <w:r w:rsidRPr="00114C6B">
        <w:rPr>
          <w:lang w:val="tr"/>
        </w:rPr>
        <w:t>The</w:t>
      </w:r>
      <w:proofErr w:type="spellEnd"/>
      <w:r w:rsidRPr="00114C6B">
        <w:rPr>
          <w:lang w:val="tr"/>
        </w:rPr>
        <w:t xml:space="preserve"> </w:t>
      </w:r>
      <w:proofErr w:type="spellStart"/>
      <w:r w:rsidRPr="00114C6B">
        <w:rPr>
          <w:lang w:val="tr"/>
        </w:rPr>
        <w:t>evolution</w:t>
      </w:r>
      <w:proofErr w:type="spellEnd"/>
      <w:r w:rsidRPr="00114C6B">
        <w:rPr>
          <w:lang w:val="tr"/>
        </w:rPr>
        <w:t xml:space="preserve"> of </w:t>
      </w:r>
      <w:proofErr w:type="spellStart"/>
      <w:r w:rsidRPr="00114C6B">
        <w:rPr>
          <w:lang w:val="tr"/>
        </w:rPr>
        <w:t>auditing</w:t>
      </w:r>
      <w:proofErr w:type="spellEnd"/>
      <w:r w:rsidRPr="00114C6B">
        <w:rPr>
          <w:lang w:val="tr"/>
        </w:rPr>
        <w:t xml:space="preserve">: an </w:t>
      </w:r>
      <w:proofErr w:type="spellStart"/>
      <w:r w:rsidRPr="00114C6B">
        <w:rPr>
          <w:lang w:val="tr"/>
        </w:rPr>
        <w:t>analysis</w:t>
      </w:r>
      <w:proofErr w:type="spellEnd"/>
      <w:r w:rsidRPr="00114C6B">
        <w:rPr>
          <w:lang w:val="tr"/>
        </w:rPr>
        <w:t xml:space="preserve"> of </w:t>
      </w:r>
      <w:proofErr w:type="spellStart"/>
      <w:r w:rsidRPr="00114C6B">
        <w:rPr>
          <w:lang w:val="tr"/>
        </w:rPr>
        <w:t>the</w:t>
      </w:r>
      <w:proofErr w:type="spellEnd"/>
      <w:r w:rsidRPr="00114C6B">
        <w:rPr>
          <w:lang w:val="tr"/>
        </w:rPr>
        <w:t xml:space="preserve"> </w:t>
      </w:r>
      <w:proofErr w:type="spellStart"/>
      <w:r w:rsidRPr="00114C6B">
        <w:rPr>
          <w:lang w:val="tr"/>
        </w:rPr>
        <w:t>historical</w:t>
      </w:r>
      <w:proofErr w:type="spellEnd"/>
      <w:r w:rsidRPr="00114C6B">
        <w:rPr>
          <w:lang w:val="tr"/>
        </w:rPr>
        <w:t xml:space="preserve"> </w:t>
      </w:r>
      <w:proofErr w:type="spellStart"/>
      <w:r w:rsidRPr="00114C6B">
        <w:rPr>
          <w:lang w:val="tr"/>
        </w:rPr>
        <w:t>development</w:t>
      </w:r>
      <w:proofErr w:type="spellEnd"/>
      <w:r w:rsidRPr="00114C6B">
        <w:rPr>
          <w:lang w:val="tr"/>
        </w:rPr>
        <w:t xml:space="preserve">. </w:t>
      </w:r>
      <w:proofErr w:type="spellStart"/>
      <w:r w:rsidRPr="00114C6B">
        <w:rPr>
          <w:i/>
          <w:lang w:val="tr"/>
        </w:rPr>
        <w:t>Journal</w:t>
      </w:r>
      <w:proofErr w:type="spellEnd"/>
      <w:r w:rsidRPr="00114C6B">
        <w:rPr>
          <w:i/>
          <w:lang w:val="tr"/>
        </w:rPr>
        <w:t xml:space="preserve"> of Modern Accounting </w:t>
      </w:r>
      <w:proofErr w:type="spellStart"/>
      <w:r w:rsidRPr="00114C6B">
        <w:rPr>
          <w:i/>
          <w:lang w:val="tr"/>
        </w:rPr>
        <w:t>and</w:t>
      </w:r>
      <w:proofErr w:type="spellEnd"/>
      <w:r w:rsidRPr="00114C6B">
        <w:rPr>
          <w:i/>
          <w:lang w:val="tr"/>
        </w:rPr>
        <w:t xml:space="preserve"> Auditing, 4</w:t>
      </w:r>
      <w:r w:rsidRPr="00114C6B">
        <w:rPr>
          <w:lang w:val="tr"/>
        </w:rPr>
        <w:t>(12).</w:t>
      </w:r>
    </w:p>
    <w:p w14:paraId="0684C9C0" w14:textId="77777777" w:rsidR="001E7189" w:rsidRPr="00114C6B" w:rsidRDefault="001E7189">
      <w:pPr>
        <w:pStyle w:val="ListeParagraf"/>
        <w:numPr>
          <w:ilvl w:val="0"/>
          <w:numId w:val="44"/>
        </w:numPr>
        <w:jc w:val="both"/>
        <w:rPr>
          <w:color w:val="1155CC"/>
          <w:u w:val="single"/>
          <w:lang w:val="tr"/>
        </w:rPr>
      </w:pPr>
      <w:proofErr w:type="spellStart"/>
      <w:r w:rsidRPr="00114C6B">
        <w:rPr>
          <w:lang w:val="tr"/>
        </w:rPr>
        <w:t>The</w:t>
      </w:r>
      <w:proofErr w:type="spellEnd"/>
      <w:r w:rsidRPr="00114C6B">
        <w:rPr>
          <w:lang w:val="tr"/>
        </w:rPr>
        <w:t xml:space="preserve"> </w:t>
      </w:r>
      <w:proofErr w:type="spellStart"/>
      <w:r w:rsidRPr="00114C6B">
        <w:rPr>
          <w:lang w:val="tr"/>
        </w:rPr>
        <w:t>Institute</w:t>
      </w:r>
      <w:proofErr w:type="spellEnd"/>
      <w:r w:rsidRPr="00114C6B">
        <w:rPr>
          <w:lang w:val="tr"/>
        </w:rPr>
        <w:t xml:space="preserve"> of </w:t>
      </w:r>
      <w:proofErr w:type="spellStart"/>
      <w:r w:rsidRPr="00114C6B">
        <w:rPr>
          <w:lang w:val="tr"/>
        </w:rPr>
        <w:t>Internal</w:t>
      </w:r>
      <w:proofErr w:type="spellEnd"/>
      <w:r w:rsidRPr="00114C6B">
        <w:rPr>
          <w:lang w:val="tr"/>
        </w:rPr>
        <w:t xml:space="preserve"> </w:t>
      </w:r>
      <w:proofErr w:type="spellStart"/>
      <w:r w:rsidRPr="00114C6B">
        <w:rPr>
          <w:lang w:val="tr"/>
        </w:rPr>
        <w:t>Auditors</w:t>
      </w:r>
      <w:proofErr w:type="spellEnd"/>
      <w:r w:rsidRPr="00114C6B">
        <w:rPr>
          <w:lang w:val="tr"/>
        </w:rPr>
        <w:t xml:space="preserve">. (2020). </w:t>
      </w:r>
      <w:proofErr w:type="spellStart"/>
      <w:r w:rsidRPr="00114C6B">
        <w:rPr>
          <w:i/>
          <w:lang w:val="tr"/>
        </w:rPr>
        <w:t>The</w:t>
      </w:r>
      <w:proofErr w:type="spellEnd"/>
      <w:r w:rsidRPr="00114C6B">
        <w:rPr>
          <w:i/>
          <w:lang w:val="tr"/>
        </w:rPr>
        <w:t xml:space="preserve"> </w:t>
      </w:r>
      <w:proofErr w:type="spellStart"/>
      <w:r w:rsidRPr="00114C6B">
        <w:rPr>
          <w:i/>
          <w:lang w:val="tr"/>
        </w:rPr>
        <w:t>IIA’s</w:t>
      </w:r>
      <w:proofErr w:type="spellEnd"/>
      <w:r w:rsidRPr="00114C6B">
        <w:rPr>
          <w:i/>
          <w:lang w:val="tr"/>
        </w:rPr>
        <w:t xml:space="preserve"> </w:t>
      </w:r>
      <w:proofErr w:type="spellStart"/>
      <w:r w:rsidRPr="00114C6B">
        <w:rPr>
          <w:i/>
          <w:lang w:val="tr"/>
        </w:rPr>
        <w:t>three</w:t>
      </w:r>
      <w:proofErr w:type="spellEnd"/>
      <w:r w:rsidRPr="00114C6B">
        <w:rPr>
          <w:i/>
          <w:lang w:val="tr"/>
        </w:rPr>
        <w:t xml:space="preserve"> </w:t>
      </w:r>
      <w:proofErr w:type="spellStart"/>
      <w:r w:rsidRPr="00114C6B">
        <w:rPr>
          <w:i/>
          <w:lang w:val="tr"/>
        </w:rPr>
        <w:t>lines</w:t>
      </w:r>
      <w:proofErr w:type="spellEnd"/>
      <w:r w:rsidRPr="00114C6B">
        <w:rPr>
          <w:i/>
          <w:lang w:val="tr"/>
        </w:rPr>
        <w:t xml:space="preserve"> model: an </w:t>
      </w:r>
      <w:proofErr w:type="spellStart"/>
      <w:r w:rsidRPr="00114C6B">
        <w:rPr>
          <w:i/>
          <w:lang w:val="tr"/>
        </w:rPr>
        <w:t>update</w:t>
      </w:r>
      <w:proofErr w:type="spellEnd"/>
      <w:r w:rsidRPr="00114C6B">
        <w:rPr>
          <w:i/>
          <w:lang w:val="tr"/>
        </w:rPr>
        <w:t xml:space="preserve"> of </w:t>
      </w:r>
      <w:proofErr w:type="spellStart"/>
      <w:r w:rsidRPr="00114C6B">
        <w:rPr>
          <w:i/>
          <w:lang w:val="tr"/>
        </w:rPr>
        <w:t>the</w:t>
      </w:r>
      <w:proofErr w:type="spellEnd"/>
      <w:r w:rsidRPr="00114C6B">
        <w:rPr>
          <w:i/>
          <w:lang w:val="tr"/>
        </w:rPr>
        <w:t xml:space="preserve"> </w:t>
      </w:r>
      <w:proofErr w:type="spellStart"/>
      <w:r w:rsidRPr="00114C6B">
        <w:rPr>
          <w:i/>
          <w:lang w:val="tr"/>
        </w:rPr>
        <w:t>three</w:t>
      </w:r>
      <w:proofErr w:type="spellEnd"/>
      <w:r w:rsidRPr="00114C6B">
        <w:rPr>
          <w:i/>
          <w:lang w:val="tr"/>
        </w:rPr>
        <w:t xml:space="preserve"> </w:t>
      </w:r>
      <w:proofErr w:type="spellStart"/>
      <w:r w:rsidRPr="00114C6B">
        <w:rPr>
          <w:i/>
          <w:lang w:val="tr"/>
        </w:rPr>
        <w:t>lines</w:t>
      </w:r>
      <w:proofErr w:type="spellEnd"/>
      <w:r w:rsidRPr="00114C6B">
        <w:rPr>
          <w:i/>
          <w:lang w:val="tr"/>
        </w:rPr>
        <w:t xml:space="preserve"> of </w:t>
      </w:r>
      <w:proofErr w:type="spellStart"/>
      <w:r w:rsidRPr="00114C6B">
        <w:rPr>
          <w:i/>
          <w:lang w:val="tr"/>
        </w:rPr>
        <w:t>defense</w:t>
      </w:r>
      <w:proofErr w:type="spellEnd"/>
      <w:r w:rsidRPr="00114C6B">
        <w:rPr>
          <w:lang w:val="tr"/>
        </w:rPr>
        <w:t>.</w:t>
      </w:r>
      <w:hyperlink r:id="rId159">
        <w:r w:rsidRPr="00114C6B">
          <w:rPr>
            <w:lang w:val="tr"/>
          </w:rPr>
          <w:t xml:space="preserve"> </w:t>
        </w:r>
      </w:hyperlink>
      <w:hyperlink r:id="rId160">
        <w:r w:rsidRPr="00114C6B">
          <w:rPr>
            <w:color w:val="1155CC"/>
            <w:u w:val="single"/>
            <w:lang w:val="tr"/>
          </w:rPr>
          <w:t>https://www.theiia.org/globalassets/documents/resources/the-iias-three-lines-model-an-update-of-the-three-lines-of-defense-july-2020/three-lines-model-updated-english.pdf</w:t>
        </w:r>
      </w:hyperlink>
    </w:p>
    <w:p w14:paraId="2F3C89FE" w14:textId="77777777" w:rsidR="001E7189" w:rsidRPr="00114C6B" w:rsidRDefault="001E7189">
      <w:pPr>
        <w:pStyle w:val="ListeParagraf"/>
        <w:numPr>
          <w:ilvl w:val="0"/>
          <w:numId w:val="44"/>
        </w:numPr>
        <w:jc w:val="both"/>
        <w:rPr>
          <w:color w:val="1155CC"/>
          <w:u w:val="single"/>
          <w:lang w:val="tr"/>
        </w:rPr>
      </w:pPr>
      <w:proofErr w:type="spellStart"/>
      <w:r w:rsidRPr="00114C6B">
        <w:rPr>
          <w:lang w:val="tr"/>
        </w:rPr>
        <w:lastRenderedPageBreak/>
        <w:t>The</w:t>
      </w:r>
      <w:proofErr w:type="spellEnd"/>
      <w:r w:rsidRPr="00114C6B">
        <w:rPr>
          <w:lang w:val="tr"/>
        </w:rPr>
        <w:t xml:space="preserve"> </w:t>
      </w:r>
      <w:proofErr w:type="spellStart"/>
      <w:r w:rsidRPr="00114C6B">
        <w:rPr>
          <w:lang w:val="tr"/>
        </w:rPr>
        <w:t>Institute</w:t>
      </w:r>
      <w:proofErr w:type="spellEnd"/>
      <w:r w:rsidRPr="00114C6B">
        <w:rPr>
          <w:lang w:val="tr"/>
        </w:rPr>
        <w:t xml:space="preserve"> of </w:t>
      </w:r>
      <w:proofErr w:type="spellStart"/>
      <w:r w:rsidRPr="00114C6B">
        <w:rPr>
          <w:lang w:val="tr"/>
        </w:rPr>
        <w:t>Internal</w:t>
      </w:r>
      <w:proofErr w:type="spellEnd"/>
      <w:r w:rsidRPr="00114C6B">
        <w:rPr>
          <w:lang w:val="tr"/>
        </w:rPr>
        <w:t xml:space="preserve"> </w:t>
      </w:r>
      <w:proofErr w:type="spellStart"/>
      <w:r w:rsidRPr="00114C6B">
        <w:rPr>
          <w:lang w:val="tr"/>
        </w:rPr>
        <w:t>Auditors</w:t>
      </w:r>
      <w:proofErr w:type="spellEnd"/>
      <w:r w:rsidRPr="00114C6B">
        <w:rPr>
          <w:lang w:val="tr"/>
        </w:rPr>
        <w:t xml:space="preserve">. (2024). </w:t>
      </w:r>
      <w:r w:rsidRPr="00114C6B">
        <w:rPr>
          <w:i/>
          <w:lang w:val="tr"/>
        </w:rPr>
        <w:t xml:space="preserve">Global </w:t>
      </w:r>
      <w:proofErr w:type="spellStart"/>
      <w:r w:rsidRPr="00114C6B">
        <w:rPr>
          <w:i/>
          <w:lang w:val="tr"/>
        </w:rPr>
        <w:t>internal</w:t>
      </w:r>
      <w:proofErr w:type="spellEnd"/>
      <w:r w:rsidRPr="00114C6B">
        <w:rPr>
          <w:i/>
          <w:lang w:val="tr"/>
        </w:rPr>
        <w:t xml:space="preserve"> </w:t>
      </w:r>
      <w:proofErr w:type="spellStart"/>
      <w:r w:rsidRPr="00114C6B">
        <w:rPr>
          <w:i/>
          <w:lang w:val="tr"/>
        </w:rPr>
        <w:t>audit</w:t>
      </w:r>
      <w:proofErr w:type="spellEnd"/>
      <w:r w:rsidRPr="00114C6B">
        <w:rPr>
          <w:i/>
          <w:lang w:val="tr"/>
        </w:rPr>
        <w:t xml:space="preserve"> </w:t>
      </w:r>
      <w:proofErr w:type="spellStart"/>
      <w:r w:rsidRPr="00114C6B">
        <w:rPr>
          <w:i/>
          <w:lang w:val="tr"/>
        </w:rPr>
        <w:t>standarts</w:t>
      </w:r>
      <w:proofErr w:type="spellEnd"/>
      <w:r w:rsidRPr="00114C6B">
        <w:rPr>
          <w:i/>
          <w:lang w:val="tr"/>
        </w:rPr>
        <w:t>.</w:t>
      </w:r>
      <w:hyperlink r:id="rId161">
        <w:r w:rsidRPr="00114C6B">
          <w:rPr>
            <w:i/>
            <w:lang w:val="tr"/>
          </w:rPr>
          <w:t xml:space="preserve"> </w:t>
        </w:r>
      </w:hyperlink>
      <w:hyperlink r:id="rId162">
        <w:r w:rsidRPr="00114C6B">
          <w:rPr>
            <w:color w:val="1155CC"/>
            <w:u w:val="single"/>
            <w:lang w:val="tr"/>
          </w:rPr>
          <w:t>https://www.theiia.org/globalassets/site/standards/editableversions/globalinternalauditstandards_2024january9_editable.pdf</w:t>
        </w:r>
      </w:hyperlink>
    </w:p>
    <w:p w14:paraId="4086A2CF" w14:textId="77777777" w:rsidR="001E7189" w:rsidRPr="00114C6B" w:rsidRDefault="001E7189">
      <w:pPr>
        <w:pStyle w:val="ListeParagraf"/>
        <w:numPr>
          <w:ilvl w:val="0"/>
          <w:numId w:val="44"/>
        </w:numPr>
        <w:jc w:val="both"/>
        <w:rPr>
          <w:lang w:val="tr"/>
        </w:rPr>
      </w:pPr>
      <w:r w:rsidRPr="00114C6B">
        <w:rPr>
          <w:lang w:val="tr"/>
        </w:rPr>
        <w:t xml:space="preserve">Toker Gökçe, A. (2009). Bilimsel yönetim anlayışında denetim. </w:t>
      </w:r>
      <w:r w:rsidRPr="00114C6B">
        <w:rPr>
          <w:i/>
          <w:lang w:val="tr"/>
        </w:rPr>
        <w:t>Mehmet Akif Ersoy Üniversitesi Eğitim Fakültesi Dergisi, 9</w:t>
      </w:r>
      <w:r w:rsidRPr="00114C6B">
        <w:rPr>
          <w:lang w:val="tr"/>
        </w:rPr>
        <w:t>(18), 74-89.</w:t>
      </w:r>
    </w:p>
    <w:p w14:paraId="0820C871" w14:textId="77777777" w:rsidR="001E7189" w:rsidRPr="00114C6B" w:rsidRDefault="001E7189">
      <w:pPr>
        <w:pStyle w:val="ListeParagraf"/>
        <w:numPr>
          <w:ilvl w:val="0"/>
          <w:numId w:val="44"/>
        </w:numPr>
        <w:jc w:val="both"/>
        <w:rPr>
          <w:lang w:val="tr"/>
        </w:rPr>
      </w:pPr>
      <w:proofErr w:type="spellStart"/>
      <w:r w:rsidRPr="00114C6B">
        <w:rPr>
          <w:lang w:val="tr"/>
        </w:rPr>
        <w:t>Vazquez</w:t>
      </w:r>
      <w:proofErr w:type="spellEnd"/>
      <w:r w:rsidRPr="00114C6B">
        <w:rPr>
          <w:lang w:val="tr"/>
        </w:rPr>
        <w:t xml:space="preserve">, L. V., &amp; </w:t>
      </w:r>
      <w:proofErr w:type="spellStart"/>
      <w:r w:rsidRPr="00114C6B">
        <w:rPr>
          <w:lang w:val="tr"/>
        </w:rPr>
        <w:t>Purificacion</w:t>
      </w:r>
      <w:proofErr w:type="spellEnd"/>
      <w:r w:rsidRPr="00114C6B">
        <w:rPr>
          <w:lang w:val="tr"/>
        </w:rPr>
        <w:t xml:space="preserve">, G. M. (2017). </w:t>
      </w:r>
      <w:proofErr w:type="spellStart"/>
      <w:r w:rsidRPr="00114C6B">
        <w:rPr>
          <w:lang w:val="tr"/>
        </w:rPr>
        <w:t>From</w:t>
      </w:r>
      <w:proofErr w:type="spellEnd"/>
      <w:r w:rsidRPr="00114C6B">
        <w:rPr>
          <w:lang w:val="tr"/>
        </w:rPr>
        <w:t xml:space="preserve"> </w:t>
      </w:r>
      <w:proofErr w:type="spellStart"/>
      <w:r w:rsidRPr="00114C6B">
        <w:rPr>
          <w:lang w:val="tr"/>
        </w:rPr>
        <w:t>Taylorism</w:t>
      </w:r>
      <w:proofErr w:type="spellEnd"/>
      <w:r w:rsidRPr="00114C6B">
        <w:rPr>
          <w:lang w:val="tr"/>
        </w:rPr>
        <w:t xml:space="preserve"> </w:t>
      </w:r>
      <w:proofErr w:type="spellStart"/>
      <w:r w:rsidRPr="00114C6B">
        <w:rPr>
          <w:lang w:val="tr"/>
        </w:rPr>
        <w:t>to</w:t>
      </w:r>
      <w:proofErr w:type="spellEnd"/>
      <w:r w:rsidRPr="00114C6B">
        <w:rPr>
          <w:lang w:val="tr"/>
        </w:rPr>
        <w:t xml:space="preserve"> </w:t>
      </w:r>
      <w:proofErr w:type="spellStart"/>
      <w:r w:rsidRPr="00114C6B">
        <w:rPr>
          <w:lang w:val="tr"/>
        </w:rPr>
        <w:t>neo-taylorism</w:t>
      </w:r>
      <w:proofErr w:type="spellEnd"/>
      <w:r w:rsidRPr="00114C6B">
        <w:rPr>
          <w:lang w:val="tr"/>
        </w:rPr>
        <w:t xml:space="preserve">: a 100 </w:t>
      </w:r>
      <w:proofErr w:type="spellStart"/>
      <w:r w:rsidRPr="00114C6B">
        <w:rPr>
          <w:lang w:val="tr"/>
        </w:rPr>
        <w:t>year</w:t>
      </w:r>
      <w:proofErr w:type="spellEnd"/>
      <w:r w:rsidRPr="00114C6B">
        <w:rPr>
          <w:lang w:val="tr"/>
        </w:rPr>
        <w:t xml:space="preserve"> </w:t>
      </w:r>
      <w:proofErr w:type="spellStart"/>
      <w:r w:rsidRPr="00114C6B">
        <w:rPr>
          <w:lang w:val="tr"/>
        </w:rPr>
        <w:t>journey</w:t>
      </w:r>
      <w:proofErr w:type="spellEnd"/>
      <w:r w:rsidRPr="00114C6B">
        <w:rPr>
          <w:lang w:val="tr"/>
        </w:rPr>
        <w:t xml:space="preserve"> in </w:t>
      </w:r>
      <w:proofErr w:type="spellStart"/>
      <w:r w:rsidRPr="00114C6B">
        <w:rPr>
          <w:lang w:val="tr"/>
        </w:rPr>
        <w:t>human</w:t>
      </w:r>
      <w:proofErr w:type="spellEnd"/>
      <w:r w:rsidRPr="00114C6B">
        <w:rPr>
          <w:lang w:val="tr"/>
        </w:rPr>
        <w:t xml:space="preserve"> </w:t>
      </w:r>
      <w:proofErr w:type="spellStart"/>
      <w:r w:rsidRPr="00114C6B">
        <w:rPr>
          <w:lang w:val="tr"/>
        </w:rPr>
        <w:t>resource</w:t>
      </w:r>
      <w:proofErr w:type="spellEnd"/>
      <w:r w:rsidRPr="00114C6B">
        <w:rPr>
          <w:lang w:val="tr"/>
        </w:rPr>
        <w:t xml:space="preserve"> </w:t>
      </w:r>
      <w:proofErr w:type="spellStart"/>
      <w:r w:rsidRPr="00114C6B">
        <w:rPr>
          <w:lang w:val="tr"/>
        </w:rPr>
        <w:t>management</w:t>
      </w:r>
      <w:proofErr w:type="spellEnd"/>
      <w:r w:rsidRPr="00114C6B">
        <w:rPr>
          <w:lang w:val="tr"/>
        </w:rPr>
        <w:t xml:space="preserve">. V. </w:t>
      </w:r>
      <w:proofErr w:type="spellStart"/>
      <w:r w:rsidRPr="00114C6B">
        <w:rPr>
          <w:lang w:val="tr"/>
        </w:rPr>
        <w:t>Marton</w:t>
      </w:r>
      <w:proofErr w:type="spellEnd"/>
      <w:r w:rsidRPr="00114C6B">
        <w:rPr>
          <w:lang w:val="tr"/>
        </w:rPr>
        <w:t xml:space="preserve"> ve K. </w:t>
      </w:r>
      <w:proofErr w:type="spellStart"/>
      <w:r w:rsidRPr="00114C6B">
        <w:rPr>
          <w:lang w:val="tr"/>
        </w:rPr>
        <w:t>Klara</w:t>
      </w:r>
      <w:proofErr w:type="spellEnd"/>
      <w:r w:rsidRPr="00114C6B">
        <w:rPr>
          <w:lang w:val="tr"/>
        </w:rPr>
        <w:t xml:space="preserve"> (</w:t>
      </w:r>
      <w:proofErr w:type="spellStart"/>
      <w:r w:rsidRPr="00114C6B">
        <w:rPr>
          <w:lang w:val="tr"/>
        </w:rPr>
        <w:t>Edt</w:t>
      </w:r>
      <w:proofErr w:type="spellEnd"/>
      <w:r w:rsidRPr="00114C6B">
        <w:rPr>
          <w:lang w:val="tr"/>
        </w:rPr>
        <w:t xml:space="preserve">.), </w:t>
      </w:r>
      <w:proofErr w:type="spellStart"/>
      <w:r w:rsidRPr="00114C6B">
        <w:rPr>
          <w:i/>
          <w:lang w:val="tr"/>
        </w:rPr>
        <w:t>Menedzsment</w:t>
      </w:r>
      <w:proofErr w:type="spellEnd"/>
      <w:r w:rsidRPr="00114C6B">
        <w:rPr>
          <w:i/>
          <w:lang w:val="tr"/>
        </w:rPr>
        <w:t xml:space="preserve"> </w:t>
      </w:r>
      <w:proofErr w:type="spellStart"/>
      <w:r w:rsidRPr="00114C6B">
        <w:rPr>
          <w:i/>
          <w:lang w:val="tr"/>
        </w:rPr>
        <w:t>innovációk</w:t>
      </w:r>
      <w:proofErr w:type="spellEnd"/>
      <w:r w:rsidRPr="00114C6B">
        <w:rPr>
          <w:i/>
          <w:lang w:val="tr"/>
        </w:rPr>
        <w:t xml:space="preserve"> az </w:t>
      </w:r>
      <w:proofErr w:type="spellStart"/>
      <w:r w:rsidRPr="00114C6B">
        <w:rPr>
          <w:i/>
          <w:lang w:val="tr"/>
        </w:rPr>
        <w:t>üzleti</w:t>
      </w:r>
      <w:proofErr w:type="spellEnd"/>
      <w:r w:rsidRPr="00114C6B">
        <w:rPr>
          <w:i/>
          <w:lang w:val="tr"/>
        </w:rPr>
        <w:t xml:space="preserve"> </w:t>
      </w:r>
      <w:proofErr w:type="spellStart"/>
      <w:r w:rsidRPr="00114C6B">
        <w:rPr>
          <w:i/>
          <w:lang w:val="tr"/>
        </w:rPr>
        <w:t>és</w:t>
      </w:r>
      <w:proofErr w:type="spellEnd"/>
      <w:r w:rsidRPr="00114C6B">
        <w:rPr>
          <w:i/>
          <w:lang w:val="tr"/>
        </w:rPr>
        <w:t xml:space="preserve"> a </w:t>
      </w:r>
      <w:proofErr w:type="spellStart"/>
      <w:r w:rsidRPr="00114C6B">
        <w:rPr>
          <w:i/>
          <w:lang w:val="tr"/>
        </w:rPr>
        <w:t>nonbusiness</w:t>
      </w:r>
      <w:proofErr w:type="spellEnd"/>
      <w:r w:rsidRPr="00114C6B">
        <w:rPr>
          <w:i/>
          <w:lang w:val="tr"/>
        </w:rPr>
        <w:t xml:space="preserve"> </w:t>
      </w:r>
      <w:proofErr w:type="spellStart"/>
      <w:r w:rsidRPr="00114C6B">
        <w:rPr>
          <w:i/>
          <w:lang w:val="tr"/>
        </w:rPr>
        <w:t>szférákban</w:t>
      </w:r>
      <w:proofErr w:type="spellEnd"/>
      <w:r w:rsidRPr="00114C6B">
        <w:rPr>
          <w:i/>
          <w:lang w:val="tr"/>
        </w:rPr>
        <w:t xml:space="preserve"> </w:t>
      </w:r>
      <w:r w:rsidRPr="00114C6B">
        <w:rPr>
          <w:lang w:val="tr"/>
        </w:rPr>
        <w:t>(</w:t>
      </w:r>
      <w:proofErr w:type="spellStart"/>
      <w:r w:rsidRPr="00114C6B">
        <w:rPr>
          <w:lang w:val="tr"/>
        </w:rPr>
        <w:t>ss</w:t>
      </w:r>
      <w:proofErr w:type="spellEnd"/>
      <w:r w:rsidRPr="00114C6B">
        <w:rPr>
          <w:lang w:val="tr"/>
        </w:rPr>
        <w:t xml:space="preserve">. 496-513). SZTE </w:t>
      </w:r>
      <w:proofErr w:type="spellStart"/>
      <w:r w:rsidRPr="00114C6B">
        <w:rPr>
          <w:lang w:val="tr"/>
        </w:rPr>
        <w:t>Gazdaságtudományi</w:t>
      </w:r>
      <w:proofErr w:type="spellEnd"/>
      <w:r w:rsidRPr="00114C6B">
        <w:rPr>
          <w:lang w:val="tr"/>
        </w:rPr>
        <w:t xml:space="preserve"> Kar.</w:t>
      </w:r>
    </w:p>
    <w:p w14:paraId="6CB63BC3" w14:textId="77777777" w:rsidR="001E7189" w:rsidRPr="00114C6B" w:rsidRDefault="001E7189">
      <w:pPr>
        <w:pStyle w:val="ListeParagraf"/>
        <w:numPr>
          <w:ilvl w:val="0"/>
          <w:numId w:val="44"/>
        </w:numPr>
        <w:jc w:val="both"/>
        <w:rPr>
          <w:lang w:val="tr"/>
        </w:rPr>
      </w:pPr>
      <w:r w:rsidRPr="00114C6B">
        <w:rPr>
          <w:lang w:val="tr"/>
        </w:rPr>
        <w:t xml:space="preserve">Yıldız, B. &amp; </w:t>
      </w:r>
      <w:proofErr w:type="spellStart"/>
      <w:r w:rsidRPr="00114C6B">
        <w:rPr>
          <w:lang w:val="tr"/>
        </w:rPr>
        <w:t>Ağdeniz</w:t>
      </w:r>
      <w:proofErr w:type="spellEnd"/>
      <w:r w:rsidRPr="00114C6B">
        <w:rPr>
          <w:lang w:val="tr"/>
        </w:rPr>
        <w:t xml:space="preserve">, Ş. (2019). Denetim 4.0’ın teknolojik altyapısı. </w:t>
      </w:r>
      <w:r w:rsidRPr="00114C6B">
        <w:rPr>
          <w:i/>
          <w:lang w:val="tr"/>
        </w:rPr>
        <w:t xml:space="preserve">Muhasebe ve Denetime Bakış 58, </w:t>
      </w:r>
      <w:r w:rsidRPr="00114C6B">
        <w:rPr>
          <w:lang w:val="tr"/>
        </w:rPr>
        <w:t>83-102.</w:t>
      </w:r>
    </w:p>
    <w:p w14:paraId="261FA832" w14:textId="77777777" w:rsidR="001E7189" w:rsidRPr="00114C6B" w:rsidRDefault="001E7189">
      <w:pPr>
        <w:pStyle w:val="ListeParagraf"/>
        <w:numPr>
          <w:ilvl w:val="0"/>
          <w:numId w:val="44"/>
        </w:numPr>
        <w:jc w:val="both"/>
        <w:rPr>
          <w:lang w:val="tr"/>
        </w:rPr>
      </w:pPr>
      <w:r w:rsidRPr="00114C6B">
        <w:rPr>
          <w:lang w:val="tr"/>
        </w:rPr>
        <w:t xml:space="preserve">Yılmaz, Ö. (2023). </w:t>
      </w:r>
      <w:proofErr w:type="spellStart"/>
      <w:r w:rsidRPr="00114C6B">
        <w:rPr>
          <w:lang w:val="tr"/>
        </w:rPr>
        <w:t>Digital</w:t>
      </w:r>
      <w:proofErr w:type="spellEnd"/>
      <w:r w:rsidRPr="00114C6B">
        <w:rPr>
          <w:lang w:val="tr"/>
        </w:rPr>
        <w:t xml:space="preserve"> </w:t>
      </w:r>
      <w:proofErr w:type="spellStart"/>
      <w:r w:rsidRPr="00114C6B">
        <w:rPr>
          <w:lang w:val="tr"/>
        </w:rPr>
        <w:t>capitalism</w:t>
      </w:r>
      <w:proofErr w:type="spellEnd"/>
      <w:r w:rsidRPr="00114C6B">
        <w:rPr>
          <w:lang w:val="tr"/>
        </w:rPr>
        <w:t xml:space="preserve"> </w:t>
      </w:r>
      <w:proofErr w:type="spellStart"/>
      <w:r w:rsidRPr="00114C6B">
        <w:rPr>
          <w:lang w:val="tr"/>
        </w:rPr>
        <w:t>and</w:t>
      </w:r>
      <w:proofErr w:type="spellEnd"/>
      <w:r w:rsidRPr="00114C6B">
        <w:rPr>
          <w:lang w:val="tr"/>
        </w:rPr>
        <w:t xml:space="preserve"> </w:t>
      </w:r>
      <w:proofErr w:type="spellStart"/>
      <w:r w:rsidRPr="00114C6B">
        <w:rPr>
          <w:lang w:val="tr"/>
        </w:rPr>
        <w:t>individualization</w:t>
      </w:r>
      <w:proofErr w:type="spellEnd"/>
      <w:r w:rsidRPr="00114C6B">
        <w:rPr>
          <w:lang w:val="tr"/>
        </w:rPr>
        <w:t xml:space="preserve"> of </w:t>
      </w:r>
      <w:proofErr w:type="spellStart"/>
      <w:r w:rsidRPr="00114C6B">
        <w:rPr>
          <w:lang w:val="tr"/>
        </w:rPr>
        <w:t>labour</w:t>
      </w:r>
      <w:proofErr w:type="spellEnd"/>
      <w:r w:rsidRPr="00114C6B">
        <w:rPr>
          <w:lang w:val="tr"/>
        </w:rPr>
        <w:t xml:space="preserve">: </w:t>
      </w:r>
      <w:proofErr w:type="spellStart"/>
      <w:r w:rsidRPr="00114C6B">
        <w:rPr>
          <w:lang w:val="tr"/>
        </w:rPr>
        <w:t>the</w:t>
      </w:r>
      <w:proofErr w:type="spellEnd"/>
      <w:r w:rsidRPr="00114C6B">
        <w:rPr>
          <w:lang w:val="tr"/>
        </w:rPr>
        <w:t xml:space="preserve"> </w:t>
      </w:r>
      <w:proofErr w:type="spellStart"/>
      <w:r w:rsidRPr="00114C6B">
        <w:rPr>
          <w:lang w:val="tr"/>
        </w:rPr>
        <w:t>case</w:t>
      </w:r>
      <w:proofErr w:type="spellEnd"/>
      <w:r w:rsidRPr="00114C6B">
        <w:rPr>
          <w:lang w:val="tr"/>
        </w:rPr>
        <w:t xml:space="preserve"> of </w:t>
      </w:r>
      <w:proofErr w:type="spellStart"/>
      <w:r w:rsidRPr="00114C6B">
        <w:rPr>
          <w:lang w:val="tr"/>
        </w:rPr>
        <w:t>remote</w:t>
      </w:r>
      <w:proofErr w:type="spellEnd"/>
      <w:r w:rsidRPr="00114C6B">
        <w:rPr>
          <w:lang w:val="tr"/>
        </w:rPr>
        <w:t xml:space="preserve"> </w:t>
      </w:r>
      <w:proofErr w:type="spellStart"/>
      <w:r w:rsidRPr="00114C6B">
        <w:rPr>
          <w:lang w:val="tr"/>
        </w:rPr>
        <w:t>work</w:t>
      </w:r>
      <w:proofErr w:type="spellEnd"/>
      <w:r w:rsidRPr="00114C6B">
        <w:rPr>
          <w:lang w:val="tr"/>
        </w:rPr>
        <w:t xml:space="preserve">. </w:t>
      </w:r>
      <w:proofErr w:type="spellStart"/>
      <w:r w:rsidRPr="00114C6B">
        <w:rPr>
          <w:i/>
          <w:lang w:val="tr"/>
        </w:rPr>
        <w:t>Journal</w:t>
      </w:r>
      <w:proofErr w:type="spellEnd"/>
      <w:r w:rsidRPr="00114C6B">
        <w:rPr>
          <w:i/>
          <w:lang w:val="tr"/>
        </w:rPr>
        <w:t xml:space="preserve"> of Human </w:t>
      </w:r>
      <w:proofErr w:type="spellStart"/>
      <w:r w:rsidRPr="00114C6B">
        <w:rPr>
          <w:i/>
          <w:lang w:val="tr"/>
        </w:rPr>
        <w:t>and</w:t>
      </w:r>
      <w:proofErr w:type="spellEnd"/>
      <w:r w:rsidRPr="00114C6B">
        <w:rPr>
          <w:i/>
          <w:lang w:val="tr"/>
        </w:rPr>
        <w:t xml:space="preserve"> </w:t>
      </w:r>
      <w:proofErr w:type="spellStart"/>
      <w:r w:rsidRPr="00114C6B">
        <w:rPr>
          <w:i/>
          <w:lang w:val="tr"/>
        </w:rPr>
        <w:t>Social</w:t>
      </w:r>
      <w:proofErr w:type="spellEnd"/>
      <w:r w:rsidRPr="00114C6B">
        <w:rPr>
          <w:i/>
          <w:lang w:val="tr"/>
        </w:rPr>
        <w:t xml:space="preserve"> </w:t>
      </w:r>
      <w:proofErr w:type="spellStart"/>
      <w:r w:rsidRPr="00114C6B">
        <w:rPr>
          <w:i/>
          <w:lang w:val="tr"/>
        </w:rPr>
        <w:t>Sciences</w:t>
      </w:r>
      <w:proofErr w:type="spellEnd"/>
      <w:r w:rsidRPr="00114C6B">
        <w:rPr>
          <w:i/>
          <w:lang w:val="tr"/>
        </w:rPr>
        <w:t>, 6</w:t>
      </w:r>
      <w:r w:rsidRPr="00114C6B">
        <w:rPr>
          <w:lang w:val="tr"/>
        </w:rPr>
        <w:t>(1), 99-125.</w:t>
      </w:r>
    </w:p>
    <w:p w14:paraId="27843F7C" w14:textId="77777777" w:rsidR="001E7189" w:rsidRPr="00114C6B" w:rsidRDefault="001E7189">
      <w:pPr>
        <w:pStyle w:val="ListeParagraf"/>
        <w:numPr>
          <w:ilvl w:val="0"/>
          <w:numId w:val="44"/>
        </w:numPr>
        <w:jc w:val="both"/>
        <w:rPr>
          <w:lang w:val="tr"/>
        </w:rPr>
      </w:pPr>
      <w:r w:rsidRPr="00114C6B">
        <w:rPr>
          <w:lang w:val="tr"/>
        </w:rPr>
        <w:t xml:space="preserve">Yılmaz Soğuksu, Z. (2020). Muhasebe denetiminde dijital dönüşüm: denetim yazılımları. </w:t>
      </w:r>
      <w:r w:rsidRPr="00114C6B">
        <w:rPr>
          <w:i/>
          <w:lang w:val="tr"/>
        </w:rPr>
        <w:t>Muhasebe ve Vergi Uygulamaları Dergisi, 13</w:t>
      </w:r>
      <w:r w:rsidRPr="00114C6B">
        <w:rPr>
          <w:lang w:val="tr"/>
        </w:rPr>
        <w:t>(2), 281-308.</w:t>
      </w:r>
    </w:p>
    <w:p w14:paraId="1784502A" w14:textId="389FBD13" w:rsidR="00C70E93" w:rsidRDefault="001E7189">
      <w:pPr>
        <w:pStyle w:val="ListeParagraf"/>
        <w:numPr>
          <w:ilvl w:val="0"/>
          <w:numId w:val="44"/>
        </w:numPr>
        <w:jc w:val="both"/>
        <w:rPr>
          <w:lang w:val="tr"/>
        </w:rPr>
      </w:pPr>
      <w:proofErr w:type="spellStart"/>
      <w:r w:rsidRPr="00114C6B">
        <w:rPr>
          <w:lang w:val="tr"/>
        </w:rPr>
        <w:t>Wren</w:t>
      </w:r>
      <w:proofErr w:type="spellEnd"/>
      <w:r w:rsidRPr="00114C6B">
        <w:rPr>
          <w:lang w:val="tr"/>
        </w:rPr>
        <w:t xml:space="preserve">, D.A., &amp; </w:t>
      </w:r>
      <w:proofErr w:type="spellStart"/>
      <w:r w:rsidRPr="00114C6B">
        <w:rPr>
          <w:lang w:val="tr"/>
        </w:rPr>
        <w:t>Bedeian</w:t>
      </w:r>
      <w:proofErr w:type="spellEnd"/>
      <w:r w:rsidRPr="00114C6B">
        <w:rPr>
          <w:lang w:val="tr"/>
        </w:rPr>
        <w:t xml:space="preserve">, A.G. (2021). </w:t>
      </w:r>
      <w:r w:rsidRPr="00114C6B">
        <w:rPr>
          <w:i/>
          <w:lang w:val="tr"/>
        </w:rPr>
        <w:t xml:space="preserve">Yönetim düşüncesinin evrimi </w:t>
      </w:r>
      <w:r w:rsidRPr="00114C6B">
        <w:rPr>
          <w:lang w:val="tr"/>
        </w:rPr>
        <w:t>(A. M. Aksoy, Çev.). Albaraka Yayınları.</w:t>
      </w:r>
    </w:p>
    <w:p w14:paraId="01F9F860" w14:textId="6BB28381" w:rsidR="001E7189" w:rsidRPr="00C70E93" w:rsidRDefault="00C70E93" w:rsidP="00C70E93">
      <w:pPr>
        <w:autoSpaceDE/>
        <w:autoSpaceDN/>
        <w:rPr>
          <w:lang w:val="tr"/>
        </w:rPr>
      </w:pPr>
      <w:r>
        <w:rPr>
          <w:lang w:val="tr"/>
        </w:rPr>
        <w:br w:type="page"/>
      </w:r>
    </w:p>
    <w:p w14:paraId="6DBA2488" w14:textId="77777777" w:rsidR="001E7189" w:rsidRDefault="001E7189" w:rsidP="004C7694">
      <w:pPr>
        <w:pStyle w:val="Tark"/>
      </w:pPr>
      <w:bookmarkStart w:id="126" w:name="_Toc192855203"/>
      <w:r w:rsidRPr="007538D1">
        <w:lastRenderedPageBreak/>
        <w:t>Hint Coğrafyasında Şehrin Ortaya Çıkışı ve Gelişimi</w:t>
      </w:r>
      <w:bookmarkEnd w:id="126"/>
    </w:p>
    <w:p w14:paraId="5DAA43C8" w14:textId="77777777" w:rsidR="007513A1" w:rsidRPr="007513A1" w:rsidRDefault="007513A1" w:rsidP="007513A1">
      <w:pPr>
        <w:pStyle w:val="Metin"/>
      </w:pPr>
    </w:p>
    <w:p w14:paraId="6A199CA9" w14:textId="77777777" w:rsidR="00C70E93" w:rsidRDefault="001E7189" w:rsidP="007513A1">
      <w:pPr>
        <w:jc w:val="center"/>
      </w:pPr>
      <w:r w:rsidRPr="007538D1">
        <w:t>Arif DEMİRER</w:t>
      </w:r>
      <w:r w:rsidRPr="007538D1">
        <w:br/>
        <w:t xml:space="preserve">Arş. Gör. Dr., Bartın Üniversitesi, </w:t>
      </w:r>
      <w:r>
        <w:t xml:space="preserve">Edebiyat Fakültesi, </w:t>
      </w:r>
      <w:r w:rsidRPr="007538D1">
        <w:t>Tarih Bölümü</w:t>
      </w:r>
      <w:r w:rsidRPr="007538D1">
        <w:br/>
        <w:t>ademirer@bartin.edu.tr</w:t>
      </w:r>
      <w:r w:rsidRPr="007538D1">
        <w:br/>
      </w:r>
      <w:proofErr w:type="spellStart"/>
      <w:r w:rsidRPr="007538D1">
        <w:t>Orcid</w:t>
      </w:r>
      <w:proofErr w:type="spellEnd"/>
      <w:r w:rsidRPr="007538D1">
        <w:t xml:space="preserve"> ID: 0000-0001-7419-2891</w:t>
      </w:r>
    </w:p>
    <w:p w14:paraId="425EA59E" w14:textId="77777777" w:rsidR="00C70E93" w:rsidRDefault="00C70E93" w:rsidP="007513A1"/>
    <w:p w14:paraId="605D2345" w14:textId="3672B86A" w:rsidR="001E7189" w:rsidRPr="00C70E93" w:rsidRDefault="001E7189" w:rsidP="007513A1">
      <w:pPr>
        <w:jc w:val="center"/>
      </w:pPr>
      <w:r w:rsidRPr="00342070">
        <w:rPr>
          <w:b/>
          <w:bCs/>
        </w:rPr>
        <w:t>Özet</w:t>
      </w:r>
    </w:p>
    <w:p w14:paraId="701EE7D4" w14:textId="7B76EE20" w:rsidR="001E7189" w:rsidRDefault="001E7189" w:rsidP="007513A1">
      <w:pPr>
        <w:jc w:val="both"/>
      </w:pPr>
      <w:r w:rsidRPr="007538D1">
        <w:t xml:space="preserve">Bu çalışmadaki temel amaç Hint coğrafyasında şehrin ortaya çıkışı ve gelişimini günümüz araştırmaları üzerinden incelemektir. Hint medeniyetine dair ülkemizdeki çalışmaların ansiklopedi maddeleri ve çeviri kitaplarla sınırlı olması nedeniyle bu alana dair yapmış olduğumuz çalışmayla Türkçe literatüre bir katkı sunulmaya çalışılmıştır. Nüfus açısından oldukça kalabalık ve çeşitli yapıya sahip Hint coğrafyasında şehri daha iyi anlayabilmek adına buranın coğrafi özelliklerine, tarihine ve nüfus yapısına kısaca giriş bölümünde değinilmiştir.  Bölgedeki şehirlerin kuruluşuna tarım, din ve ticaret gibi unsurların nasıl etki ettikleri ele alınarak şehirlerde yaşayan nüfusu kimlerin oluşturduğu ve bunların kırsal kesim ile ilişkilerinin ne şekilde olduğu aktarılmaya çalışılmıştır. Bu coğrafyaya zenginlik katıp besleyen İndus ve Ganj nehirlerinin şehirlerin oluşumuna etkilerinden bahsedilmiştir. İndus havzasındaki ilk büyük çaplı şehirler olan </w:t>
      </w:r>
      <w:proofErr w:type="spellStart"/>
      <w:r w:rsidRPr="007538D1">
        <w:t>Kalibangan</w:t>
      </w:r>
      <w:proofErr w:type="spellEnd"/>
      <w:r w:rsidRPr="007538D1">
        <w:t xml:space="preserve">, </w:t>
      </w:r>
      <w:proofErr w:type="spellStart"/>
      <w:r w:rsidRPr="007538D1">
        <w:t>Mohenjo-Daro</w:t>
      </w:r>
      <w:proofErr w:type="spellEnd"/>
      <w:r w:rsidRPr="007538D1">
        <w:t xml:space="preserve"> ve </w:t>
      </w:r>
      <w:proofErr w:type="spellStart"/>
      <w:r w:rsidRPr="007538D1">
        <w:t>Harappa’nın</w:t>
      </w:r>
      <w:proofErr w:type="spellEnd"/>
      <w:r w:rsidRPr="007538D1">
        <w:t xml:space="preserve"> günümüze kadar gelen arkeolojik kalıntıları üzerinden buralardaki şehirleşmenin ne kadar eskiye </w:t>
      </w:r>
      <w:proofErr w:type="gramStart"/>
      <w:r w:rsidRPr="007538D1">
        <w:t>gittiği,  nasıl</w:t>
      </w:r>
      <w:proofErr w:type="gramEnd"/>
      <w:r w:rsidRPr="007538D1">
        <w:t xml:space="preserve"> şekillendiği ve büyüklükleri analiz edilmiştir.  Şehirler inşa edilirken ne tür malzemelerin kullanıldığı, yapıların boyutları, kanalizasyon ve temiz su şebekelerinin olup olmadığı gibi sorulara yanıt aranmıştır.  İndus Uygarlığının Arilerin saldırıları ve doğal afetlerin tesiriyle çökmesi sonucunda bölgedeki şehirlerin çoğu yok olmuştur. M.Ö 1500’lü yıllardan sonra bölgeye hâkim olan Aryan kültürüyle yeniden tarıma dayalı büyük çaplı yerleşimler ortaya çıkmaya başlamıştır. Arilerin hâkim olduğu dönemde ortaya çıkan </w:t>
      </w:r>
      <w:proofErr w:type="spellStart"/>
      <w:r w:rsidRPr="007538D1">
        <w:t>Caynacılık</w:t>
      </w:r>
      <w:proofErr w:type="spellEnd"/>
      <w:r w:rsidRPr="007538D1">
        <w:t xml:space="preserve"> ve Budizm dinlerinin şehirleşmeye tesirinin nasıl olduğu ve özellikle dini mimaride yaşanan gelişmeler aktarılmaya çalışılmıştır.  Müslümanların Hint coğrafyasına gelmesiyle şehirleşmede ve mimari de yaşanan değişimlerin neler olduğu Delhi şehri özelinden anlatılarak çalışmamız sonlandırılmıştır.</w:t>
      </w:r>
    </w:p>
    <w:p w14:paraId="6CB0A114" w14:textId="77777777" w:rsidR="001E7189" w:rsidRPr="007538D1" w:rsidRDefault="001E7189" w:rsidP="007513A1">
      <w:pPr>
        <w:jc w:val="both"/>
      </w:pPr>
    </w:p>
    <w:p w14:paraId="31D0AA04" w14:textId="77777777" w:rsidR="00C70E93" w:rsidRDefault="001E7189" w:rsidP="007513A1">
      <w:pPr>
        <w:jc w:val="both"/>
      </w:pPr>
      <w:r w:rsidRPr="007538D1">
        <w:rPr>
          <w:b/>
          <w:bCs/>
        </w:rPr>
        <w:t xml:space="preserve">Anahtar </w:t>
      </w:r>
      <w:r>
        <w:rPr>
          <w:b/>
          <w:bCs/>
        </w:rPr>
        <w:t>Kelimeler</w:t>
      </w:r>
      <w:r w:rsidRPr="007538D1">
        <w:rPr>
          <w:b/>
          <w:bCs/>
        </w:rPr>
        <w:t>:</w:t>
      </w:r>
      <w:r w:rsidRPr="007538D1">
        <w:t xml:space="preserve"> Hint şehirciliği, Hindistan, </w:t>
      </w:r>
      <w:proofErr w:type="spellStart"/>
      <w:r w:rsidRPr="007538D1">
        <w:t>Mohenjo-Daro</w:t>
      </w:r>
      <w:proofErr w:type="spellEnd"/>
      <w:r w:rsidRPr="007538D1">
        <w:t xml:space="preserve">, </w:t>
      </w:r>
      <w:proofErr w:type="spellStart"/>
      <w:r w:rsidRPr="007538D1">
        <w:t>Harappa</w:t>
      </w:r>
      <w:proofErr w:type="spellEnd"/>
      <w:r w:rsidRPr="007538D1">
        <w:t>, İndus</w:t>
      </w:r>
    </w:p>
    <w:p w14:paraId="6C1FAA0A" w14:textId="77777777" w:rsidR="00C70E93" w:rsidRDefault="00C70E93" w:rsidP="007513A1">
      <w:pPr>
        <w:jc w:val="both"/>
        <w:rPr>
          <w:b/>
          <w:bCs/>
        </w:rPr>
      </w:pPr>
    </w:p>
    <w:p w14:paraId="31866D7F" w14:textId="2D172628" w:rsidR="001E7189" w:rsidRPr="00C70E93" w:rsidRDefault="001E7189" w:rsidP="007513A1">
      <w:pPr>
        <w:jc w:val="both"/>
      </w:pPr>
      <w:r w:rsidRPr="00342070">
        <w:rPr>
          <w:b/>
          <w:bCs/>
        </w:rPr>
        <w:t>GİRİŞ</w:t>
      </w:r>
    </w:p>
    <w:p w14:paraId="0D237DFA" w14:textId="1C9A3FE2" w:rsidR="001E7189" w:rsidRDefault="001E7189" w:rsidP="007513A1">
      <w:pPr>
        <w:jc w:val="both"/>
      </w:pPr>
      <w:r w:rsidRPr="007538D1">
        <w:t xml:space="preserve">Türkiye’nin 4 katından büyük bir coğrafyaya sahip olan </w:t>
      </w:r>
      <w:proofErr w:type="gramStart"/>
      <w:r w:rsidRPr="007538D1">
        <w:t>Hindistan,  Güney</w:t>
      </w:r>
      <w:proofErr w:type="gramEnd"/>
      <w:r w:rsidRPr="007538D1">
        <w:t xml:space="preserve"> Asya’da Umman deniziyle Bengal körfezi arasında, kuzeyde Himalaya sıradağlarından güneyde Hint Okyanusu'na doğru giderek daralan bir üçgen biçiminde uzanır. Hindistan’ı Asya’dan ayıran Pamir yaylasından doğuya doğru uzanan Himalaya ve batıya doğru uzanan </w:t>
      </w:r>
      <w:proofErr w:type="spellStart"/>
      <w:r w:rsidRPr="007538D1">
        <w:t>Hindikuş</w:t>
      </w:r>
      <w:proofErr w:type="spellEnd"/>
      <w:r w:rsidRPr="007538D1">
        <w:t xml:space="preserve"> dağ zincirleri ve bunların türlü kollarıdır. Bu nedenle Hindistan denilince bu dağ zincirlerinin güneyinde kalan bölge anlaşılmaktadır. Geniş topraklar üzerinde kurulmuş yirmi iki eyaletle, birlik toprağı (</w:t>
      </w:r>
      <w:proofErr w:type="spellStart"/>
      <w:r w:rsidRPr="007538D1">
        <w:t>union</w:t>
      </w:r>
      <w:proofErr w:type="spellEnd"/>
      <w:r w:rsidRPr="007538D1">
        <w:t xml:space="preserve"> </w:t>
      </w:r>
      <w:proofErr w:type="spellStart"/>
      <w:r w:rsidRPr="007538D1">
        <w:t>territory</w:t>
      </w:r>
      <w:proofErr w:type="spellEnd"/>
      <w:r w:rsidRPr="007538D1">
        <w:t xml:space="preserve">) statüsünde dokuz bölgenin birleşmesinden meydana gelen federal yapılı bir cumhuriyettir. Hintçe adı Bharat </w:t>
      </w:r>
      <w:proofErr w:type="spellStart"/>
      <w:r w:rsidRPr="007538D1">
        <w:t>Varşa</w:t>
      </w:r>
      <w:proofErr w:type="spellEnd"/>
      <w:r w:rsidRPr="007538D1">
        <w:t>, Birleşmiş Milletler tarafından kullanılan resmi adı ise “</w:t>
      </w:r>
      <w:proofErr w:type="spellStart"/>
      <w:r w:rsidRPr="007538D1">
        <w:rPr>
          <w:i/>
        </w:rPr>
        <w:t>Republic</w:t>
      </w:r>
      <w:proofErr w:type="spellEnd"/>
      <w:r w:rsidRPr="007538D1">
        <w:rPr>
          <w:i/>
        </w:rPr>
        <w:t xml:space="preserve"> of </w:t>
      </w:r>
      <w:proofErr w:type="spellStart"/>
      <w:r w:rsidRPr="007538D1">
        <w:rPr>
          <w:i/>
        </w:rPr>
        <w:t>lndia</w:t>
      </w:r>
      <w:proofErr w:type="spellEnd"/>
      <w:r w:rsidRPr="007538D1">
        <w:t>” olup kısaca “</w:t>
      </w:r>
      <w:proofErr w:type="spellStart"/>
      <w:r w:rsidRPr="007538D1">
        <w:rPr>
          <w:i/>
        </w:rPr>
        <w:t>Union</w:t>
      </w:r>
      <w:proofErr w:type="spellEnd"/>
      <w:r w:rsidRPr="007538D1">
        <w:rPr>
          <w:i/>
        </w:rPr>
        <w:t xml:space="preserve"> of </w:t>
      </w:r>
      <w:proofErr w:type="spellStart"/>
      <w:r w:rsidRPr="007538D1">
        <w:rPr>
          <w:i/>
        </w:rPr>
        <w:t>lndia</w:t>
      </w:r>
      <w:proofErr w:type="spellEnd"/>
      <w:r w:rsidRPr="007538D1">
        <w:rPr>
          <w:i/>
        </w:rPr>
        <w:t xml:space="preserve"> (</w:t>
      </w:r>
      <w:proofErr w:type="spellStart"/>
      <w:r w:rsidRPr="007538D1">
        <w:rPr>
          <w:i/>
        </w:rPr>
        <w:t>lndian</w:t>
      </w:r>
      <w:proofErr w:type="spellEnd"/>
      <w:r w:rsidRPr="007538D1">
        <w:rPr>
          <w:i/>
        </w:rPr>
        <w:t xml:space="preserve"> </w:t>
      </w:r>
      <w:proofErr w:type="spellStart"/>
      <w:r w:rsidRPr="007538D1">
        <w:rPr>
          <w:i/>
        </w:rPr>
        <w:t>Union</w:t>
      </w:r>
      <w:proofErr w:type="spellEnd"/>
      <w:r w:rsidRPr="007538D1">
        <w:rPr>
          <w:i/>
        </w:rPr>
        <w:t>)</w:t>
      </w:r>
      <w:r w:rsidRPr="007538D1">
        <w:t>” adıyla da anılır. Başkenti 1934'ten beri Yeni Delhi'</w:t>
      </w:r>
      <w:r>
        <w:t xml:space="preserve">dir </w:t>
      </w:r>
      <w:r w:rsidRPr="000474BE">
        <w:t xml:space="preserve">(Erinç, 2010, s.69.; </w:t>
      </w:r>
      <w:proofErr w:type="spellStart"/>
      <w:r w:rsidRPr="000474BE">
        <w:t>Bayur</w:t>
      </w:r>
      <w:proofErr w:type="spellEnd"/>
      <w:r w:rsidRPr="000474BE">
        <w:t>, 1946, s.1).</w:t>
      </w:r>
    </w:p>
    <w:p w14:paraId="25A49552" w14:textId="77777777" w:rsidR="001E7189" w:rsidRPr="007538D1" w:rsidRDefault="001E7189" w:rsidP="007513A1">
      <w:pPr>
        <w:jc w:val="both"/>
      </w:pPr>
    </w:p>
    <w:p w14:paraId="360138CA" w14:textId="6491771F" w:rsidR="001E7189" w:rsidRDefault="001E7189" w:rsidP="007513A1">
      <w:pPr>
        <w:jc w:val="both"/>
      </w:pPr>
      <w:r w:rsidRPr="007538D1">
        <w:t xml:space="preserve">Dünya üzerindeki en yaşlı kara parçalarından olan Hindistan coğrafyası yoğun bir nüfus </w:t>
      </w:r>
      <w:r w:rsidRPr="007538D1">
        <w:lastRenderedPageBreak/>
        <w:t xml:space="preserve">kitlesine sahiptir. Ülkenin güney kesiminde yeryüzünün en yaşlı parçalarından olan </w:t>
      </w:r>
      <w:proofErr w:type="spellStart"/>
      <w:r w:rsidRPr="007538D1">
        <w:t>Gondvana</w:t>
      </w:r>
      <w:proofErr w:type="spellEnd"/>
      <w:r w:rsidRPr="007538D1">
        <w:t xml:space="preserve"> kıtasının bir kısmı iken 130 milyon yıl kadar önce kırılarak ondan ayrılıp kuzeydoğuya doğru ilerleyen ve en sonunda bugünkü mevkiine ulaşan kabaca üçgen biçimli Dekken yarımadasıdır. Kuzey kısımları dağlarla kaplı olan bu coğrafyanın güneye Arap denizine doğru uzanan bölgesinde geniş ovalar İndus ve Ganj nehirlerinin kollarının alüvyonlarından oluşmuşlardır. Yükseklikleri hiçbir yerde 300 metreyi aşmayan bu ovalar Hindistan’ın en verimli ve en kalabalık coğrafyasını oluştururlar. İndus gibi Ganj Himalayalar'dan doğarak eriyen kar ve buzul suları ve muson yağmurları ile beslenerek geçtikleri yerlere bereket katarlar. Ganj nehri yarısı Bangladeş’e ait olan deltadan Bengal körfezinden denize dökülür. Bu nehirlerin su seviyeleri eriyen kar ve buzul suları ve muson yağmurları nedeniyle oldukça fazladır. Bazı yıllarda bütün delta su ile kaplanır</w:t>
      </w:r>
      <w:r>
        <w:t xml:space="preserve"> (Erinç, 2010, s. 69-</w:t>
      </w:r>
      <w:proofErr w:type="gramStart"/>
      <w:r>
        <w:t>70.;</w:t>
      </w:r>
      <w:r w:rsidRPr="000C1467">
        <w:t>Bayur</w:t>
      </w:r>
      <w:proofErr w:type="gramEnd"/>
      <w:r w:rsidRPr="000C1467">
        <w:t>, 1946, s.3-4).</w:t>
      </w:r>
    </w:p>
    <w:p w14:paraId="67EC7A97" w14:textId="77777777" w:rsidR="001E7189" w:rsidRPr="007538D1" w:rsidRDefault="001E7189" w:rsidP="007513A1">
      <w:pPr>
        <w:jc w:val="both"/>
      </w:pPr>
    </w:p>
    <w:p w14:paraId="7627F18E" w14:textId="3B93DF0A" w:rsidR="001E7189" w:rsidRDefault="001E7189" w:rsidP="007513A1">
      <w:pPr>
        <w:jc w:val="both"/>
      </w:pPr>
      <w:r w:rsidRPr="007538D1">
        <w:t xml:space="preserve">Hindistan’ın bereketli coğrafyasındaki yerleşimlere baktığımızda yoğun bir nüfus yapısı karşımıza çıkmaktadır.  Çok hareketli ve önemli deniz, kara, hava yolları üzerinde yer almakta, toprak büyüklüğü açısından dünyada yedinci ve nüfus yoğunluğu açısından Çin’den sonra ikinci sıradadır. 22 Eyalet ve 9 tane birlik toprakları bulunan Hindistan’ın; Mumbai, Delhi, </w:t>
      </w:r>
      <w:proofErr w:type="spellStart"/>
      <w:r w:rsidRPr="007538D1">
        <w:t>Bengaluru</w:t>
      </w:r>
      <w:proofErr w:type="spellEnd"/>
      <w:r w:rsidRPr="007538D1">
        <w:t xml:space="preserve">, </w:t>
      </w:r>
      <w:proofErr w:type="spellStart"/>
      <w:r w:rsidRPr="007538D1">
        <w:t>Kolkata</w:t>
      </w:r>
      <w:proofErr w:type="spellEnd"/>
      <w:r w:rsidRPr="007538D1">
        <w:t xml:space="preserve">, </w:t>
      </w:r>
      <w:proofErr w:type="spellStart"/>
      <w:r w:rsidRPr="007538D1">
        <w:t>Chennai</w:t>
      </w:r>
      <w:proofErr w:type="spellEnd"/>
      <w:r w:rsidRPr="007538D1">
        <w:t xml:space="preserve">, </w:t>
      </w:r>
      <w:proofErr w:type="spellStart"/>
      <w:r w:rsidRPr="007538D1">
        <w:t>Ahmetabat</w:t>
      </w:r>
      <w:proofErr w:type="spellEnd"/>
      <w:r w:rsidRPr="007538D1">
        <w:t xml:space="preserve">, Haydarabat, </w:t>
      </w:r>
      <w:proofErr w:type="spellStart"/>
      <w:r w:rsidRPr="007538D1">
        <w:t>Pune</w:t>
      </w:r>
      <w:proofErr w:type="spellEnd"/>
      <w:r w:rsidRPr="007538D1">
        <w:t xml:space="preserve">, Surat, </w:t>
      </w:r>
      <w:proofErr w:type="spellStart"/>
      <w:r w:rsidRPr="007538D1">
        <w:t>Kanpur</w:t>
      </w:r>
      <w:proofErr w:type="spellEnd"/>
      <w:r w:rsidRPr="007538D1">
        <w:t xml:space="preserve">, </w:t>
      </w:r>
      <w:proofErr w:type="spellStart"/>
      <w:r w:rsidRPr="007538D1">
        <w:t>Jaipur</w:t>
      </w:r>
      <w:proofErr w:type="spellEnd"/>
      <w:r w:rsidRPr="007538D1">
        <w:t xml:space="preserve">, </w:t>
      </w:r>
      <w:proofErr w:type="spellStart"/>
      <w:r w:rsidRPr="007538D1">
        <w:t>Lakhnau</w:t>
      </w:r>
      <w:proofErr w:type="spellEnd"/>
      <w:r w:rsidRPr="007538D1">
        <w:t xml:space="preserve">, </w:t>
      </w:r>
      <w:proofErr w:type="spellStart"/>
      <w:r w:rsidRPr="007538D1">
        <w:t>Nagpur</w:t>
      </w:r>
      <w:proofErr w:type="spellEnd"/>
      <w:r w:rsidRPr="007538D1">
        <w:t xml:space="preserve">, </w:t>
      </w:r>
      <w:proofErr w:type="spellStart"/>
      <w:r w:rsidRPr="007538D1">
        <w:t>Indore</w:t>
      </w:r>
      <w:proofErr w:type="spellEnd"/>
      <w:r w:rsidRPr="007538D1">
        <w:t xml:space="preserve"> gibi nüfusu milyonları aşan şehirleri bulunmaktadır. Nüfusu yarım milyonu aşan şehir sayısının elliden fazla olmasına rağmen halkın %70'ten çoğu (1991'de %72) kırsal yerleşmelerde, ancak </w:t>
      </w:r>
      <w:proofErr w:type="gramStart"/>
      <w:r w:rsidRPr="007538D1">
        <w:t>% 28</w:t>
      </w:r>
      <w:proofErr w:type="gramEnd"/>
      <w:r w:rsidRPr="007538D1">
        <w:t xml:space="preserve"> kadarı büyük kısmı gecekondu mahallelerinden oluşan şehirlerde yaşamaktadırlar. 1991 verilerine göre ülkenin kilometre kareye düşen insan sayısı 256 kişi civarındadır. Ülkenin nüfusu 2013 yılı verilerine göre 1 milyar 252 milyon civarındadır</w:t>
      </w:r>
      <w:r>
        <w:t xml:space="preserve"> (Erinç, 2010, s.71)</w:t>
      </w:r>
      <w:r w:rsidRPr="000C1467">
        <w:t xml:space="preserve">. </w:t>
      </w:r>
      <w:r w:rsidRPr="007538D1">
        <w:t xml:space="preserve">Nüfusun yapısına baktığımızda Hindistan’da çok farklı etnik ve dini unsurların bir arada yaşadığı görülmektedir. Ülkenin en eski halklarından biri olan koyu renkli </w:t>
      </w:r>
      <w:proofErr w:type="spellStart"/>
      <w:r w:rsidRPr="007538D1">
        <w:t>Dravidler</w:t>
      </w:r>
      <w:proofErr w:type="spellEnd"/>
      <w:r w:rsidRPr="007538D1">
        <w:t xml:space="preserve"> ve </w:t>
      </w:r>
      <w:proofErr w:type="spellStart"/>
      <w:r w:rsidRPr="007538D1">
        <w:t>Veddalardır</w:t>
      </w:r>
      <w:proofErr w:type="spellEnd"/>
      <w:r w:rsidRPr="007538D1">
        <w:t xml:space="preserve">. Daha sonra bu topraklara Hint-Ari kökenli beyazlar, Persler, Yunanlılar ile Makedonlar, ardından </w:t>
      </w:r>
      <w:proofErr w:type="spellStart"/>
      <w:r w:rsidRPr="007538D1">
        <w:t>Akhunlar</w:t>
      </w:r>
      <w:proofErr w:type="spellEnd"/>
      <w:r w:rsidRPr="007538D1">
        <w:t>, Moğollar, Türkler ve Afganlar gelmişlerdir</w:t>
      </w:r>
      <w:r w:rsidRPr="000C1467">
        <w:t xml:space="preserve"> </w:t>
      </w:r>
      <w:r>
        <w:t>(</w:t>
      </w:r>
      <w:proofErr w:type="spellStart"/>
      <w:r>
        <w:t>Bayur</w:t>
      </w:r>
      <w:proofErr w:type="spellEnd"/>
      <w:r>
        <w:t>, 1946, s.</w:t>
      </w:r>
      <w:r w:rsidRPr="000C1467">
        <w:t>4</w:t>
      </w:r>
      <w:r>
        <w:t>-5</w:t>
      </w:r>
      <w:r w:rsidRPr="000C1467">
        <w:t>).</w:t>
      </w:r>
      <w:r w:rsidRPr="007538D1">
        <w:t xml:space="preserve"> Buraya gelen halkların bölge insanı ile karışması sonucunda farklı din ve kültürde nüfus kitlelerini ortaya çıkmıştır. En büyük din grubunu %83 ile Hindular, </w:t>
      </w:r>
      <w:proofErr w:type="gramStart"/>
      <w:r w:rsidRPr="007538D1">
        <w:t>% 13</w:t>
      </w:r>
      <w:proofErr w:type="gramEnd"/>
      <w:r w:rsidRPr="007538D1">
        <w:t xml:space="preserve">’ünü Müslümanlar, % 2’sini Sihler, % 1.8’ini Hristiyanlar, geriye kalanını Budistler ve </w:t>
      </w:r>
      <w:proofErr w:type="spellStart"/>
      <w:r w:rsidRPr="007538D1">
        <w:t>Jainistler</w:t>
      </w:r>
      <w:proofErr w:type="spellEnd"/>
      <w:r w:rsidRPr="007538D1">
        <w:t xml:space="preserve"> meydana getirir. Hindistan Endonezya’dan sonra en kalabalık Müslüman nüfusa sahip ülkedir</w:t>
      </w:r>
      <w:r>
        <w:t xml:space="preserve"> </w:t>
      </w:r>
      <w:r w:rsidRPr="000C1467">
        <w:t>(Erinç, 2010, s.71).</w:t>
      </w:r>
    </w:p>
    <w:p w14:paraId="756ADAB4" w14:textId="77777777" w:rsidR="001E7189" w:rsidRPr="007538D1" w:rsidRDefault="001E7189" w:rsidP="007513A1">
      <w:pPr>
        <w:jc w:val="both"/>
      </w:pPr>
    </w:p>
    <w:p w14:paraId="1F5530D7" w14:textId="77777777" w:rsidR="001E7189" w:rsidRDefault="001E7189" w:rsidP="007513A1">
      <w:pPr>
        <w:jc w:val="both"/>
      </w:pPr>
      <w:r w:rsidRPr="007538D1">
        <w:t xml:space="preserve">Hindistan’ın şehir yapısını anlamamızda bize en çok yol gösterici olan tarihine baktığımızda karşımıza köklü ve istilalar ile dolu bir geçmiş çıkmaktadır. Hindistan alt kıtasında yapılan arkeolojik çalışmalar, geç yontma taş devrinden sonra ilk yerleşik hayata M.Ö VII. binyıl başlarında İndus havzasındaki </w:t>
      </w:r>
      <w:proofErr w:type="spellStart"/>
      <w:r w:rsidRPr="007538D1">
        <w:t>Mehrgarh’ta</w:t>
      </w:r>
      <w:proofErr w:type="spellEnd"/>
      <w:r w:rsidRPr="007538D1">
        <w:t xml:space="preserve"> geçildiğini göstermiştir. Avcılıktan ve göçebe hayatından tarım ve hayvancılığa erken geçiş bölgenin çeşitli neolitik dönem katmanlarında bulunan çok sayıda hayvan kemiğiyle de belgelenmiştir. Arkeolojik kazılarda yabani hayvan kemiklerinin bulunduğu katmanların üst tabakasında bol miktarda koyun, keçi ve inek gibi evcil hayvan kemikleri bulunmuştur. Bu uygarlık ilerledikçe M.Ö 5000-2500 yılları arasında tarihlenen erken İndus uygarlığını, o da en parlak dönemini M.Ö 2300-1700 yıllarında yaşayan İndus veya </w:t>
      </w:r>
      <w:proofErr w:type="spellStart"/>
      <w:r w:rsidRPr="007538D1">
        <w:t>Harappa</w:t>
      </w:r>
      <w:proofErr w:type="spellEnd"/>
      <w:r w:rsidRPr="007538D1">
        <w:t xml:space="preserve"> adıyla bilinen yüksek uygarlığı doğurmuştur. En önemli kazı alanları </w:t>
      </w:r>
      <w:proofErr w:type="spellStart"/>
      <w:r w:rsidRPr="007538D1">
        <w:t>Harappa</w:t>
      </w:r>
      <w:proofErr w:type="spellEnd"/>
      <w:r w:rsidRPr="007538D1">
        <w:t xml:space="preserve">. </w:t>
      </w:r>
      <w:proofErr w:type="spellStart"/>
      <w:r w:rsidRPr="007538D1">
        <w:t>Moherıjo-Daro</w:t>
      </w:r>
      <w:proofErr w:type="spellEnd"/>
      <w:r w:rsidRPr="007538D1">
        <w:t xml:space="preserve"> ve </w:t>
      </w:r>
      <w:proofErr w:type="spellStart"/>
      <w:r w:rsidRPr="007538D1">
        <w:t>Kalibangan</w:t>
      </w:r>
      <w:proofErr w:type="spellEnd"/>
      <w:r w:rsidRPr="007538D1">
        <w:t xml:space="preserve"> olan bu uygarlık, bugün dahi hayranlık uyandıran bir şehircilik anlayışına sahip olmuştur. İndus uygarlığı M.Ö 1500 yıllarında Asya'nın içlerinden gelen Hint-Avrupalı Ariler tarafından yıkılmıştır</w:t>
      </w:r>
      <w:r>
        <w:t xml:space="preserve"> </w:t>
      </w:r>
      <w:r w:rsidRPr="000C1467">
        <w:t xml:space="preserve">(Özcan, 2010, s.75.; </w:t>
      </w:r>
      <w:proofErr w:type="spellStart"/>
      <w:r w:rsidRPr="000C1467">
        <w:t>Kulke</w:t>
      </w:r>
      <w:proofErr w:type="spellEnd"/>
      <w:r w:rsidRPr="000C1467">
        <w:t xml:space="preserve"> </w:t>
      </w:r>
      <w:r>
        <w:t xml:space="preserve">ve </w:t>
      </w:r>
      <w:proofErr w:type="spellStart"/>
      <w:r>
        <w:t>Rothermund</w:t>
      </w:r>
      <w:proofErr w:type="spellEnd"/>
      <w:r>
        <w:t>, 2001, s.38-39).</w:t>
      </w:r>
    </w:p>
    <w:p w14:paraId="223F6EEA" w14:textId="77777777" w:rsidR="001E7189" w:rsidRPr="007538D1" w:rsidRDefault="001E7189" w:rsidP="007513A1">
      <w:pPr>
        <w:jc w:val="both"/>
      </w:pPr>
    </w:p>
    <w:p w14:paraId="768ED36F" w14:textId="77777777" w:rsidR="001E7189" w:rsidRDefault="001E7189" w:rsidP="007513A1">
      <w:pPr>
        <w:jc w:val="both"/>
      </w:pPr>
      <w:r w:rsidRPr="007538D1">
        <w:lastRenderedPageBreak/>
        <w:t>M.Ö 1500’lü yıllarda başlayan Arilerin bu istilasına yerli halk tepki göstererek mücadeleler vermişler ancak uzun çarpışmalar sonucunda Ariler mücadeleyi kazanarak İndus ve Ganj vadilerine yerleşmişlerdir. Aryan göçlerinin tamamlanabilmesi üç yüz yıl kadar sürmüştür. Yerli halk ile karışan Ariler, Hindistan’ın çevre ve iklim şartlarından da etkilenerek bugünkü “</w:t>
      </w:r>
      <w:r w:rsidRPr="007538D1">
        <w:rPr>
          <w:i/>
        </w:rPr>
        <w:t>Hintli”</w:t>
      </w:r>
      <w:r w:rsidRPr="007538D1">
        <w:t xml:space="preserve"> tipindeki nüfus kitlesini oluşturmuşlardır</w:t>
      </w:r>
      <w:r>
        <w:t xml:space="preserve"> </w:t>
      </w:r>
      <w:r w:rsidRPr="000C1467">
        <w:t xml:space="preserve">(Memiş, 2006, s.304-305.; </w:t>
      </w:r>
      <w:proofErr w:type="spellStart"/>
      <w:r w:rsidRPr="000C1467">
        <w:t>Mcneill</w:t>
      </w:r>
      <w:proofErr w:type="spellEnd"/>
      <w:r w:rsidRPr="000C1467">
        <w:t>, 2006, s. 103).</w:t>
      </w:r>
      <w:r w:rsidRPr="007538D1">
        <w:t xml:space="preserve"> Hindistan’a gelen bu ari topluluğu Ganj uygarlığı olarak bilinen medeniyeti kurmuşlardır. Bu uygarlık M.Ö 1500-1000 yılları arasında hüküm sürmüş bu dönemde Hindistan’ın dini inanış ve sosyal gelenekleri de bu dönemde oluşmaya başlamıştır. İndus Vadisi uygarlığının yıkılmasından sonraki dönemden ve ilk bin yılın başlarından kalma hemen hiç arkeolojik ipucu yoktur. Var olan yegâne kaynaklar Sanskritçe yazılmış Hindu kutsal metinleri “</w:t>
      </w:r>
      <w:proofErr w:type="spellStart"/>
      <w:r w:rsidRPr="007538D1">
        <w:t>Rig</w:t>
      </w:r>
      <w:proofErr w:type="spellEnd"/>
      <w:r w:rsidRPr="007538D1">
        <w:t xml:space="preserve"> </w:t>
      </w:r>
      <w:r w:rsidRPr="007538D1">
        <w:rPr>
          <w:i/>
        </w:rPr>
        <w:t>Vedalar</w:t>
      </w:r>
      <w:r w:rsidRPr="007538D1">
        <w:t>” yani “Bilgi Dizeleri” olarak bilinmektedir. Kast sistemi Vedalar gibi bu zaman diliminde ortaya çıkmıştır</w:t>
      </w:r>
      <w:r>
        <w:t xml:space="preserve"> </w:t>
      </w:r>
      <w:r w:rsidRPr="000C1467">
        <w:t xml:space="preserve">(Özcan, 2010, s.75.; </w:t>
      </w:r>
      <w:proofErr w:type="spellStart"/>
      <w:r w:rsidRPr="000C1467">
        <w:t>Ponting</w:t>
      </w:r>
      <w:proofErr w:type="spellEnd"/>
      <w:r w:rsidRPr="000C1467">
        <w:t>, 2011, s. 148).</w:t>
      </w:r>
    </w:p>
    <w:p w14:paraId="60522DA7" w14:textId="77777777" w:rsidR="001E7189" w:rsidRPr="007538D1" w:rsidRDefault="001E7189" w:rsidP="007513A1">
      <w:pPr>
        <w:jc w:val="both"/>
      </w:pPr>
    </w:p>
    <w:p w14:paraId="4BAE41E6" w14:textId="77777777" w:rsidR="001E7189" w:rsidRDefault="001E7189" w:rsidP="007513A1">
      <w:pPr>
        <w:jc w:val="both"/>
      </w:pPr>
      <w:r w:rsidRPr="007538D1">
        <w:t xml:space="preserve">Ganj uygarlığının sonuna doğru sosyal hayatta belirginleşen sistemler küçük krallıkların oluşmasına zemin hazırlamış, kutsal metinlerde adı geçen </w:t>
      </w:r>
      <w:proofErr w:type="spellStart"/>
      <w:r w:rsidRPr="007538D1">
        <w:t>Gandhara</w:t>
      </w:r>
      <w:proofErr w:type="spellEnd"/>
      <w:r w:rsidRPr="007538D1">
        <w:t xml:space="preserve">, </w:t>
      </w:r>
      <w:proofErr w:type="spellStart"/>
      <w:r w:rsidRPr="007538D1">
        <w:t>Kamboca</w:t>
      </w:r>
      <w:proofErr w:type="spellEnd"/>
      <w:r w:rsidRPr="007538D1">
        <w:t xml:space="preserve"> Kasala, Malla, </w:t>
      </w:r>
      <w:proofErr w:type="spellStart"/>
      <w:r w:rsidRPr="007538D1">
        <w:t>Magadha</w:t>
      </w:r>
      <w:proofErr w:type="spellEnd"/>
      <w:r w:rsidRPr="007538D1">
        <w:t xml:space="preserve">, </w:t>
      </w:r>
      <w:proofErr w:type="spellStart"/>
      <w:r w:rsidRPr="007538D1">
        <w:t>Aşvaka</w:t>
      </w:r>
      <w:proofErr w:type="spellEnd"/>
      <w:r w:rsidRPr="007538D1">
        <w:t xml:space="preserve"> ve </w:t>
      </w:r>
      <w:proofErr w:type="spellStart"/>
      <w:r w:rsidRPr="007538D1">
        <w:t>Çedi</w:t>
      </w:r>
      <w:proofErr w:type="spellEnd"/>
      <w:r w:rsidRPr="007538D1">
        <w:t xml:space="preserve"> gibi devletler kurulmuştur. Bu prensliklerin ortaya çıkmasıyla birlikte tarımsal büyüme, ticaret yollarının kontrolü ve daha saldırgan bir savaş biçimi de gündeme gelmiştir</w:t>
      </w:r>
      <w:r>
        <w:t xml:space="preserve"> </w:t>
      </w:r>
      <w:r w:rsidRPr="003875FD">
        <w:t>(</w:t>
      </w:r>
      <w:proofErr w:type="spellStart"/>
      <w:r w:rsidRPr="003875FD">
        <w:t>Kulke</w:t>
      </w:r>
      <w:proofErr w:type="spellEnd"/>
      <w:r w:rsidRPr="003875FD">
        <w:t xml:space="preserve"> ve </w:t>
      </w:r>
      <w:proofErr w:type="spellStart"/>
      <w:r w:rsidRPr="003875FD">
        <w:t>Rothermund</w:t>
      </w:r>
      <w:proofErr w:type="spellEnd"/>
      <w:r w:rsidRPr="003875FD">
        <w:t>, 2001, s.83).</w:t>
      </w:r>
      <w:r w:rsidRPr="007538D1">
        <w:t xml:space="preserve"> Zaman içerisinde mücadelelerde galip gelen </w:t>
      </w:r>
      <w:proofErr w:type="spellStart"/>
      <w:r w:rsidRPr="007538D1">
        <w:t>Magadha</w:t>
      </w:r>
      <w:proofErr w:type="spellEnd"/>
      <w:r w:rsidRPr="007538D1">
        <w:t xml:space="preserve"> krallığı baskın bir güç olarak M.Ö VI. yüzyılda Ganj vadisinin hâkimiyetini ele geçirmiş, Hindistan’ın ilk tarihsel imparatorluklarının çekirdeğini oluşturmuştur</w:t>
      </w:r>
      <w:r>
        <w:t xml:space="preserve"> (Roberts, 2017, s.130.; </w:t>
      </w:r>
      <w:proofErr w:type="spellStart"/>
      <w:r>
        <w:t>Ponting</w:t>
      </w:r>
      <w:proofErr w:type="spellEnd"/>
      <w:r>
        <w:t>, 2011, s.</w:t>
      </w:r>
      <w:r w:rsidRPr="003875FD">
        <w:t>184).</w:t>
      </w:r>
      <w:r w:rsidRPr="007538D1">
        <w:t xml:space="preserve"> Bu dönemde M.Ö 518’de Pers kralı I. Dârâ, Hindistan’ın kuzeybatı kesimlerini ele geçirmiştir. Bu hâkimiyet, Persleri yenerek bölgeye gelmiş olan Büyük İskender’in MÖ 327’de İndus nehrini geçtiği döneme kadar sürmüştür. Bu seferin ardından İskender’in burada kurdurmuş olduğu koloniler Batı Asya ile ticaret ve haberleşmeyi sağlayarak, İslam kültürünü de etkileyecek olan doğu Helenizm’ini başlatmışlardır</w:t>
      </w:r>
      <w:r>
        <w:t xml:space="preserve"> </w:t>
      </w:r>
      <w:r w:rsidRPr="003875FD">
        <w:t>(Özcan, 2010, s.75).</w:t>
      </w:r>
    </w:p>
    <w:p w14:paraId="7722F369" w14:textId="77777777" w:rsidR="001E7189" w:rsidRPr="007538D1" w:rsidRDefault="001E7189" w:rsidP="007513A1">
      <w:pPr>
        <w:jc w:val="both"/>
      </w:pPr>
    </w:p>
    <w:p w14:paraId="12E101B4" w14:textId="32E0695C" w:rsidR="001E7189" w:rsidRDefault="001E7189" w:rsidP="007513A1">
      <w:pPr>
        <w:jc w:val="both"/>
      </w:pPr>
      <w:r w:rsidRPr="007538D1">
        <w:t xml:space="preserve">MS. I. yüzyıllarda Hunlarla yaptıkları mücadeleler de yenilen </w:t>
      </w:r>
      <w:proofErr w:type="spellStart"/>
      <w:r w:rsidRPr="007538D1">
        <w:t>Yüechiler</w:t>
      </w:r>
      <w:proofErr w:type="spellEnd"/>
      <w:r w:rsidRPr="007538D1">
        <w:t xml:space="preserve"> Afganistan üzerinden Hindi</w:t>
      </w:r>
      <w:r>
        <w:t xml:space="preserve">stan’ın kuzeyine gelerek </w:t>
      </w:r>
      <w:r w:rsidRPr="007538D1">
        <w:t xml:space="preserve">Keşmir ve </w:t>
      </w:r>
      <w:proofErr w:type="spellStart"/>
      <w:r w:rsidRPr="007538D1">
        <w:t>Pencab</w:t>
      </w:r>
      <w:proofErr w:type="spellEnd"/>
      <w:r w:rsidRPr="007538D1">
        <w:t xml:space="preserve"> bölgelerini içine alan bir devlet kurmuştur. Başkenti </w:t>
      </w:r>
      <w:proofErr w:type="spellStart"/>
      <w:r w:rsidRPr="007538D1">
        <w:t>Peşaver</w:t>
      </w:r>
      <w:proofErr w:type="spellEnd"/>
      <w:r w:rsidRPr="007538D1">
        <w:t xml:space="preserve"> olmuş ve bu dönemde burası en önemli medeniyet merkezlerinden biri haline gelmiştir.  Bu devletin zayıflamasından sonra MS. III. ve IV. </w:t>
      </w:r>
      <w:proofErr w:type="spellStart"/>
      <w:r w:rsidRPr="007538D1">
        <w:t>Yüzyılarda</w:t>
      </w:r>
      <w:proofErr w:type="spellEnd"/>
      <w:r w:rsidRPr="007538D1">
        <w:t xml:space="preserve"> “</w:t>
      </w:r>
      <w:proofErr w:type="spellStart"/>
      <w:r w:rsidRPr="007538D1">
        <w:rPr>
          <w:i/>
        </w:rPr>
        <w:t>Guptalar</w:t>
      </w:r>
      <w:proofErr w:type="spellEnd"/>
      <w:r w:rsidRPr="007538D1">
        <w:t xml:space="preserve">” adı verilen bir Hint sülalesi milli kalkınma hareketinin başına geçmiş ve </w:t>
      </w:r>
      <w:proofErr w:type="spellStart"/>
      <w:r w:rsidRPr="007538D1">
        <w:t>Kuşanlar</w:t>
      </w:r>
      <w:proofErr w:type="spellEnd"/>
      <w:r w:rsidRPr="007538D1">
        <w:t xml:space="preserve"> ile çarpışmaya başlamışlardır. </w:t>
      </w:r>
      <w:proofErr w:type="spellStart"/>
      <w:r w:rsidRPr="007538D1">
        <w:t>Guptalar</w:t>
      </w:r>
      <w:proofErr w:type="spellEnd"/>
      <w:r w:rsidRPr="007538D1">
        <w:t xml:space="preserve"> başarı kazanarak Hindistan’da büyük bir medeniyet kurmuşlardır. Hunların bir kolu olan ve Ceyhun ırmağı boylarına inerek devlet kuran </w:t>
      </w:r>
      <w:proofErr w:type="spellStart"/>
      <w:r w:rsidRPr="007538D1">
        <w:t>Akhunlar</w:t>
      </w:r>
      <w:proofErr w:type="spellEnd"/>
      <w:r w:rsidRPr="007538D1">
        <w:t xml:space="preserve">, 5. yüzyılda Kabil bölgesine hâkim olan </w:t>
      </w:r>
      <w:proofErr w:type="spellStart"/>
      <w:r w:rsidRPr="007538D1">
        <w:t>Kuşanları</w:t>
      </w:r>
      <w:proofErr w:type="spellEnd"/>
      <w:r w:rsidRPr="007538D1">
        <w:t xml:space="preserve"> tamamen yıktıktan sonra 540’ta </w:t>
      </w:r>
      <w:proofErr w:type="spellStart"/>
      <w:r w:rsidRPr="007538D1">
        <w:t>Gupta</w:t>
      </w:r>
      <w:proofErr w:type="spellEnd"/>
      <w:r w:rsidRPr="007538D1">
        <w:t xml:space="preserve"> devletini parçalamışlar ve bundan sonra Hindistan’ın büyük bir kısmı Çin’den İran’a kadar uzanan Büyük </w:t>
      </w:r>
      <w:proofErr w:type="spellStart"/>
      <w:r w:rsidRPr="007538D1">
        <w:t>Akhun</w:t>
      </w:r>
      <w:proofErr w:type="spellEnd"/>
      <w:r w:rsidRPr="007538D1">
        <w:t xml:space="preserve"> Devleti’nin parçası haline gelmiştir. </w:t>
      </w:r>
      <w:proofErr w:type="spellStart"/>
      <w:r w:rsidRPr="007538D1">
        <w:t>Akhunların</w:t>
      </w:r>
      <w:proofErr w:type="spellEnd"/>
      <w:r w:rsidRPr="007538D1">
        <w:t xml:space="preserve"> yıkılmasından sonra bölge de küçük Türk devletleri kurulmuş ve bunlar arasında mücadeleler durmamıştır</w:t>
      </w:r>
      <w:r>
        <w:t xml:space="preserve"> </w:t>
      </w:r>
      <w:r w:rsidRPr="003875FD">
        <w:t xml:space="preserve">(Memiş, 2006, s306-307.; </w:t>
      </w:r>
      <w:proofErr w:type="spellStart"/>
      <w:r w:rsidRPr="003875FD">
        <w:t>Ponting</w:t>
      </w:r>
      <w:proofErr w:type="spellEnd"/>
      <w:r w:rsidRPr="003875FD">
        <w:t xml:space="preserve">, 2011, s. 263-64.; </w:t>
      </w:r>
      <w:proofErr w:type="spellStart"/>
      <w:r w:rsidRPr="003875FD">
        <w:t>Stein</w:t>
      </w:r>
      <w:proofErr w:type="spellEnd"/>
      <w:r w:rsidRPr="003875FD">
        <w:t>, 2015, s.97-98).</w:t>
      </w:r>
    </w:p>
    <w:p w14:paraId="5D0B01EC" w14:textId="77777777" w:rsidR="001E7189" w:rsidRPr="007538D1" w:rsidRDefault="001E7189" w:rsidP="007513A1">
      <w:pPr>
        <w:jc w:val="both"/>
      </w:pPr>
    </w:p>
    <w:p w14:paraId="0A55A908" w14:textId="77777777" w:rsidR="001E7189" w:rsidRDefault="001E7189" w:rsidP="007513A1">
      <w:pPr>
        <w:jc w:val="both"/>
      </w:pPr>
      <w:r w:rsidRPr="007538D1">
        <w:t>Hindistan coğrafyası Arap denizi üzerinden Arap yarımadası ile geçmişi uzun yıllara dayanan ticari ilişkiler sürdürmüştür. Ancak bölgeye Arap kuvvetlerinin saldırısı Muhammed b. Kasım es-</w:t>
      </w:r>
      <w:proofErr w:type="spellStart"/>
      <w:r w:rsidRPr="007538D1">
        <w:t>Sakafî</w:t>
      </w:r>
      <w:proofErr w:type="spellEnd"/>
      <w:r w:rsidRPr="007538D1">
        <w:t xml:space="preserve"> kumandasındaki Arap kuvvetleri tarafından </w:t>
      </w:r>
      <w:proofErr w:type="spellStart"/>
      <w:r w:rsidRPr="007538D1">
        <w:t>Sind</w:t>
      </w:r>
      <w:proofErr w:type="spellEnd"/>
      <w:r w:rsidRPr="007538D1">
        <w:t xml:space="preserve"> bölgesinin fethiyle başlamış ve İndus Vadisindeki </w:t>
      </w:r>
      <w:proofErr w:type="spellStart"/>
      <w:r w:rsidRPr="007538D1">
        <w:t>Multan’a</w:t>
      </w:r>
      <w:proofErr w:type="spellEnd"/>
      <w:r w:rsidRPr="007538D1">
        <w:t xml:space="preserve"> kadar ulaşmıştır. İslamiyet’in tekrardan Hindistan coğrafyasına kuvvetli bir şekilde girmesi Peygamber’in yaşadığı devirden ve büyük Arap yayılma hareketinin sona ermesinden beş yüz küsur sene sonra, XII. Yüzyılda Türkler vasıtası ile olmuştur. Bu defa İslamiyet yaklaşık olarak sekiz asır boyunca Hindistan’ın hayat ve düşünce </w:t>
      </w:r>
      <w:r w:rsidRPr="007538D1">
        <w:lastRenderedPageBreak/>
        <w:t>tarzını, özellikle Kuzey Hindistan’da derin bir şekilde etkilemiş ve Hint medeniyeti sentezleri içerisine yeni unsurlar katmıştır</w:t>
      </w:r>
      <w:r>
        <w:t xml:space="preserve"> </w:t>
      </w:r>
      <w:r w:rsidRPr="003875FD">
        <w:t>(</w:t>
      </w:r>
      <w:proofErr w:type="spellStart"/>
      <w:r w:rsidRPr="003875FD">
        <w:t>Ayyubi</w:t>
      </w:r>
      <w:proofErr w:type="spellEnd"/>
      <w:r w:rsidRPr="003875FD">
        <w:t>, 1964, s.279.; Roberts, 2017, s.437).</w:t>
      </w:r>
    </w:p>
    <w:p w14:paraId="134259C5" w14:textId="77777777" w:rsidR="001E7189" w:rsidRPr="007538D1" w:rsidRDefault="001E7189" w:rsidP="007513A1">
      <w:pPr>
        <w:jc w:val="both"/>
      </w:pPr>
    </w:p>
    <w:p w14:paraId="737AA771" w14:textId="6636C962" w:rsidR="001E7189" w:rsidRDefault="001E7189" w:rsidP="007513A1">
      <w:pPr>
        <w:jc w:val="both"/>
      </w:pPr>
      <w:r w:rsidRPr="007538D1">
        <w:t xml:space="preserve">Gazneliler döneminde </w:t>
      </w:r>
      <w:proofErr w:type="spellStart"/>
      <w:r w:rsidRPr="007538D1">
        <w:t>Gazneli</w:t>
      </w:r>
      <w:proofErr w:type="spellEnd"/>
      <w:r w:rsidRPr="007538D1">
        <w:t xml:space="preserve"> Mahmut, Hindistan’a 17 sefer düzenlenmiş, özellikle </w:t>
      </w:r>
      <w:proofErr w:type="spellStart"/>
      <w:r w:rsidRPr="007538D1">
        <w:t>Pencap</w:t>
      </w:r>
      <w:proofErr w:type="spellEnd"/>
      <w:r w:rsidRPr="007538D1">
        <w:t xml:space="preserve"> bölgesinde Türk ve İslam hâkimiyetini sağlamlaştırmıştır. </w:t>
      </w:r>
      <w:proofErr w:type="spellStart"/>
      <w:r w:rsidRPr="007538D1">
        <w:t>Gazneli</w:t>
      </w:r>
      <w:proofErr w:type="spellEnd"/>
      <w:r w:rsidRPr="007538D1">
        <w:t xml:space="preserve"> Mahmud’un M.S. 1000’li yıllarda gerçekleştirdiği bu seferlerle İslam’ın Hindistan’ın iç bölgelerini ele geçirme hareketi başlamıştır. XII. yüzyılın yarısından sonra bölgeye </w:t>
      </w:r>
      <w:proofErr w:type="spellStart"/>
      <w:r w:rsidRPr="007538D1">
        <w:t>Gurlular</w:t>
      </w:r>
      <w:proofErr w:type="spellEnd"/>
      <w:r w:rsidRPr="007538D1">
        <w:t xml:space="preserve"> hâkim olmuşlar. Bölge de </w:t>
      </w:r>
      <w:proofErr w:type="spellStart"/>
      <w:r w:rsidRPr="007538D1">
        <w:t>Gurlulardan</w:t>
      </w:r>
      <w:proofErr w:type="spellEnd"/>
      <w:r w:rsidRPr="007538D1">
        <w:t xml:space="preserve"> sonra 1206 yılında Delhi Sultanlığı kurulmuş bu dönemde bölge de büyük gelişmeler görülmüş ve birçok küçük devletçik bu sultanlık çatısı altında bir araya gelmiştir. Timur tarafından Hindistan’a seferler düzenlenerek Delhi sultanlığı zayıflatılmış ve Babürler öncesinde ortaya birçok küçük sultanlıklar çıkmıştır. Daha sonra Timur’un soyundan olan Babürlerin kurucusu </w:t>
      </w:r>
      <w:proofErr w:type="spellStart"/>
      <w:r w:rsidRPr="007538D1">
        <w:t>Bâbür</w:t>
      </w:r>
      <w:proofErr w:type="spellEnd"/>
      <w:r w:rsidRPr="007538D1">
        <w:t xml:space="preserve">, 1494’te babası Ömer Şeyh Mirza’nın ölümüyle küçük </w:t>
      </w:r>
      <w:proofErr w:type="spellStart"/>
      <w:r w:rsidRPr="007538D1">
        <w:t>Fergana</w:t>
      </w:r>
      <w:proofErr w:type="spellEnd"/>
      <w:r w:rsidRPr="007538D1">
        <w:t xml:space="preserve"> </w:t>
      </w:r>
      <w:proofErr w:type="spellStart"/>
      <w:r w:rsidRPr="007538D1">
        <w:t>Sultanlığı’nın</w:t>
      </w:r>
      <w:proofErr w:type="spellEnd"/>
      <w:r w:rsidRPr="007538D1">
        <w:t xml:space="preserve"> başına geçmiştir. </w:t>
      </w:r>
      <w:proofErr w:type="spellStart"/>
      <w:r w:rsidRPr="007538D1">
        <w:t>Fergana</w:t>
      </w:r>
      <w:proofErr w:type="spellEnd"/>
      <w:r w:rsidRPr="007538D1">
        <w:t xml:space="preserve"> ve Afganistan bölgesinde hâkimiyetini güçlendirdikten sonra Hindistan üzerine yürüyerek burada</w:t>
      </w:r>
      <w:r>
        <w:t>n</w:t>
      </w:r>
      <w:r w:rsidRPr="007538D1">
        <w:t xml:space="preserve"> Bengal’a kadar olan toprakları ele geçirmiştir. Babürler, 1526 yılından 1858 yılına kadar bugün ki Afganistan, Hindistan, Pakistan ve Bangladeş’i kapsayan coğrafyalarda hüküm sürmüşlerdir. </w:t>
      </w:r>
      <w:proofErr w:type="spellStart"/>
      <w:r w:rsidRPr="007538D1">
        <w:t>Agra’da</w:t>
      </w:r>
      <w:proofErr w:type="spellEnd"/>
      <w:r w:rsidRPr="007538D1">
        <w:t xml:space="preserve"> bulunan ve </w:t>
      </w:r>
      <w:proofErr w:type="spellStart"/>
      <w:r w:rsidRPr="007538D1">
        <w:t>Babürlü</w:t>
      </w:r>
      <w:proofErr w:type="spellEnd"/>
      <w:r w:rsidRPr="007538D1">
        <w:t xml:space="preserve"> Sultanı Şah Cihan tarafından yaptırılan Taç Mahal Babürler devrinde yapılmıştır</w:t>
      </w:r>
      <w:r>
        <w:t xml:space="preserve"> </w:t>
      </w:r>
      <w:r w:rsidRPr="003875FD">
        <w:t xml:space="preserve">(Özcan, 2010, s.76-77.; </w:t>
      </w:r>
      <w:proofErr w:type="spellStart"/>
      <w:r w:rsidRPr="003875FD">
        <w:t>Mcneill</w:t>
      </w:r>
      <w:proofErr w:type="spellEnd"/>
      <w:r w:rsidRPr="003875FD">
        <w:t>, 2006, s.329).</w:t>
      </w:r>
    </w:p>
    <w:p w14:paraId="437681D4" w14:textId="77777777" w:rsidR="001E7189" w:rsidRPr="007538D1" w:rsidRDefault="001E7189" w:rsidP="007513A1">
      <w:pPr>
        <w:jc w:val="both"/>
      </w:pPr>
    </w:p>
    <w:p w14:paraId="05274626" w14:textId="77777777" w:rsidR="00342070" w:rsidRDefault="001E7189" w:rsidP="007513A1">
      <w:pPr>
        <w:jc w:val="both"/>
      </w:pPr>
      <w:r w:rsidRPr="007538D1">
        <w:t>Hindistan coğrafyasına ilk başta deniz yolu ile ticaret maksadıyla gelen Hollandalı, Portekizli, Fransızlar bölge de koloniler kurmuşlardır. Bunlardan sonra da bölgeye İngilizler gelerek yerleşmişlerdir. Bölge de ilk başlarda ticari işletmelerini korumak için silahlı kuvvetlere başvuran Avrupalılar bölge de kendi aralarında rekabete girişmişler. Daha sonra da İngilizler burada güç kazanarak uzun yıllar sömürge devlet olarak İngiltere’ye bağladıkları Hindistan’ı hâkimiyetleri altında tutmuşlardır. Bu durum Hindistan’ın İngiltere’ye karşı bağımsızlığını kazandığı 1948 yılına kadar sürmüştür</w:t>
      </w:r>
      <w:r>
        <w:t xml:space="preserve"> </w:t>
      </w:r>
      <w:r w:rsidRPr="003875FD">
        <w:t xml:space="preserve">(Özcan, 2010, s.79.; </w:t>
      </w:r>
      <w:proofErr w:type="spellStart"/>
      <w:proofErr w:type="gramStart"/>
      <w:r w:rsidRPr="003875FD">
        <w:t>Mcneill</w:t>
      </w:r>
      <w:proofErr w:type="spellEnd"/>
      <w:r w:rsidRPr="003875FD">
        <w:t>,  2006</w:t>
      </w:r>
      <w:proofErr w:type="gramEnd"/>
      <w:r w:rsidRPr="003875FD">
        <w:t>, s.538-541).</w:t>
      </w:r>
    </w:p>
    <w:p w14:paraId="21293FD5" w14:textId="77777777" w:rsidR="00342070" w:rsidRDefault="00342070" w:rsidP="007513A1">
      <w:pPr>
        <w:jc w:val="both"/>
      </w:pPr>
    </w:p>
    <w:p w14:paraId="53739E01" w14:textId="77777777" w:rsidR="00342070" w:rsidRDefault="001E7189" w:rsidP="007513A1">
      <w:pPr>
        <w:jc w:val="both"/>
      </w:pPr>
      <w:r w:rsidRPr="00342070">
        <w:rPr>
          <w:b/>
          <w:bCs/>
        </w:rPr>
        <w:t>1. HİNT MEDENİYETİNDE ŞEHİRCİLİK</w:t>
      </w:r>
    </w:p>
    <w:p w14:paraId="7F5272AC" w14:textId="1810B16F" w:rsidR="001E7189" w:rsidRPr="00342070" w:rsidRDefault="001E7189" w:rsidP="007513A1">
      <w:pPr>
        <w:jc w:val="both"/>
      </w:pPr>
      <w:r w:rsidRPr="00342070">
        <w:rPr>
          <w:b/>
          <w:bCs/>
        </w:rPr>
        <w:t>1.1 Kuruluşundan İslami Döneme Kadar Hint Medeniyetinde Şehircilik</w:t>
      </w:r>
    </w:p>
    <w:p w14:paraId="1906230D" w14:textId="77777777" w:rsidR="001E7189" w:rsidRDefault="001E7189" w:rsidP="007513A1">
      <w:pPr>
        <w:jc w:val="both"/>
      </w:pPr>
      <w:r w:rsidRPr="007538D1">
        <w:t>Hint coğrafyasında şehirler ticaretten çok tarıma dayalı yaşam alanları olarak karşımıza çıkmaktadır. Bu bölgenin iklimsel özellikleri nedeniyle buğday tarımından ziyade pirinç üretimi yaygın olmuş, pirince dayalı gelişen köy yaşamı şehrin alt yerleşim birimini oluşturmuştur. Bereketli ve geniş arazilerin bulunması insanları bu geniş coğrafyada bolluk içerisindeki ormanlardan ve tarım alanlarından ihtiyaçlarını karşılayarak kendi coğrafi sınırları içerisinde yaşamaya itmiştir. Bu nedenle ilk dönemlerde Hint coğrafyasında tarım ve toplayıcılık kadar ticaret gelişmemiştir. Şehir yaşamı köy hayatı karşısında hâkimiyetini tam olarak kabul ettirememiştir. Hint medeniyetinde gelişen şehir yaşamında dinin etkisi fazla olmuş, tapınaklar bir dini merkez oluşturmuştur. Bu merkezlerde yaşayan din adamları ibadet maksadı ile tapınakları ziyarete gelen köylülerin kazançlarını yiyen tabaka olarak karşımıza çıkmaktadır. Şehirlerde yaşayan başka bir üst tabaka ise topraklarını köylülere kiraya veren toprak sahipleri yani efendilerdir. Hint coğrafyasında ticaret şehirleri çok azdır. Şehirlerin nerdeyse tümü kırsal kesimin çıkarlarına ve de</w:t>
      </w:r>
      <w:r w:rsidRPr="007538D1">
        <w:rPr>
          <w:rFonts w:eastAsia="Calibri"/>
        </w:rPr>
        <w:t xml:space="preserve">ğerlerine </w:t>
      </w:r>
      <w:r w:rsidRPr="007538D1">
        <w:t>ciddi şekilde baş eğmek zorunda kalmışlardır. Hindistan toplumunun gücü ve esnekliği var olan sayısız köy ve mezradan gelmekte olup, kırsal kesim üzerindeki kent baskısına sürekli direnmiştir</w:t>
      </w:r>
      <w:r>
        <w:t xml:space="preserve"> (</w:t>
      </w:r>
      <w:proofErr w:type="spellStart"/>
      <w:r>
        <w:t>Ruben</w:t>
      </w:r>
      <w:proofErr w:type="spellEnd"/>
      <w:r>
        <w:t>, 1943, s.37-</w:t>
      </w:r>
      <w:proofErr w:type="gramStart"/>
      <w:r>
        <w:t>44.;</w:t>
      </w:r>
      <w:r w:rsidRPr="00BC031D">
        <w:t>Johnson</w:t>
      </w:r>
      <w:proofErr w:type="gramEnd"/>
      <w:r w:rsidRPr="00BC031D">
        <w:t>, 1998, s.18).</w:t>
      </w:r>
    </w:p>
    <w:p w14:paraId="1B7B7939" w14:textId="77777777" w:rsidR="001E7189" w:rsidRPr="007538D1" w:rsidRDefault="001E7189" w:rsidP="007513A1">
      <w:pPr>
        <w:jc w:val="both"/>
      </w:pPr>
    </w:p>
    <w:p w14:paraId="6AE64ED4" w14:textId="77777777" w:rsidR="001E7189" w:rsidRDefault="001E7189" w:rsidP="007513A1">
      <w:pPr>
        <w:jc w:val="both"/>
      </w:pPr>
      <w:r w:rsidRPr="007538D1">
        <w:t xml:space="preserve">MÖ. 2500’lerde Mezopotamya ve Mısır şehir kültürü zirvesini yaşarken ondan daha eski olan </w:t>
      </w:r>
      <w:r w:rsidRPr="007538D1">
        <w:lastRenderedPageBreak/>
        <w:t xml:space="preserve">Hint şehir kültürü MÖ 3200’lerde ortaya çıkmış, MÖ. 2500-1800 tarihlerinde gelişme göstermiştir. İndus vadisi uygarlığı olarak ifade edebileceğimiz bu uygarlık ilim dünyasında çok az tanınmıştır. Bunun nedeni ise ilk olarak o dönemde geliştirilen yazı dilinin henüz çözümlenememiş ve tarihi geçmişlerinin tam olarak aydınlatılamamış olmasıdır. İkincisi ise bölgedeki nehirlerden dolayı bölge toprağının aşırı hareketli olması nedeniyle birçok arkeolojik kalıntı bu nehirlerin ya alüvyonları altında kalmış ya da tahrip olmuştur. Ancak </w:t>
      </w:r>
      <w:proofErr w:type="spellStart"/>
      <w:r w:rsidRPr="007538D1">
        <w:t>Harappa</w:t>
      </w:r>
      <w:proofErr w:type="spellEnd"/>
      <w:r w:rsidRPr="007538D1">
        <w:t xml:space="preserve"> ve </w:t>
      </w:r>
      <w:proofErr w:type="spellStart"/>
      <w:r w:rsidRPr="007538D1">
        <w:t>Mohenjo-Daro</w:t>
      </w:r>
      <w:proofErr w:type="spellEnd"/>
      <w:r w:rsidRPr="007538D1">
        <w:t xml:space="preserve"> günümüze kadar gelmiştir. Arkeolojik malzemeler üzerinden yapılan çalışmalar buralarda gelişmiş bir medeniyetin var olduğunu ortaya koymuştur. </w:t>
      </w:r>
      <w:proofErr w:type="spellStart"/>
      <w:r w:rsidRPr="007538D1">
        <w:t>Indus</w:t>
      </w:r>
      <w:proofErr w:type="spellEnd"/>
      <w:r w:rsidRPr="007538D1">
        <w:t xml:space="preserve"> vadisinde bulunan </w:t>
      </w:r>
      <w:proofErr w:type="spellStart"/>
      <w:r w:rsidRPr="007538D1">
        <w:t>Harappa</w:t>
      </w:r>
      <w:proofErr w:type="spellEnd"/>
      <w:r w:rsidRPr="007538D1">
        <w:t xml:space="preserve"> ve </w:t>
      </w:r>
      <w:proofErr w:type="spellStart"/>
      <w:r w:rsidRPr="007538D1">
        <w:t>Mohenjo-Daro</w:t>
      </w:r>
      <w:proofErr w:type="spellEnd"/>
      <w:r w:rsidRPr="007538D1">
        <w:t xml:space="preserve"> şehir harabeleri buraların M.Ö 3500’lerde kurulduklarını ortaya koymuştur. Ari kavimlerinin istilasına kadar uzun yıllar buralarda şehirciliğe dair mükemmel eserler verilmiştir</w:t>
      </w:r>
      <w:r>
        <w:t xml:space="preserve"> </w:t>
      </w:r>
      <w:r w:rsidRPr="00BC031D">
        <w:t>(</w:t>
      </w:r>
      <w:proofErr w:type="spellStart"/>
      <w:r w:rsidRPr="00BC031D">
        <w:t>Ponting</w:t>
      </w:r>
      <w:proofErr w:type="spellEnd"/>
      <w:r w:rsidRPr="00BC031D">
        <w:t xml:space="preserve">, 2011, s. </w:t>
      </w:r>
      <w:proofErr w:type="gramStart"/>
      <w:r w:rsidRPr="00BC031D">
        <w:t>82.;Johnson</w:t>
      </w:r>
      <w:proofErr w:type="gramEnd"/>
      <w:r w:rsidRPr="00BC031D">
        <w:t xml:space="preserve">, 1998, s.58.; </w:t>
      </w:r>
      <w:proofErr w:type="spellStart"/>
      <w:r w:rsidRPr="00BC031D">
        <w:t>Mcneill</w:t>
      </w:r>
      <w:proofErr w:type="spellEnd"/>
      <w:r w:rsidRPr="00BC031D">
        <w:t>, 2006, s. 52).</w:t>
      </w:r>
    </w:p>
    <w:p w14:paraId="206B1407" w14:textId="77777777" w:rsidR="001E7189" w:rsidRPr="007538D1" w:rsidRDefault="001E7189" w:rsidP="007513A1">
      <w:pPr>
        <w:jc w:val="both"/>
      </w:pPr>
    </w:p>
    <w:p w14:paraId="46EC1181" w14:textId="06652FF4" w:rsidR="001E7189" w:rsidRDefault="001E7189" w:rsidP="007513A1">
      <w:pPr>
        <w:jc w:val="both"/>
      </w:pPr>
      <w:proofErr w:type="spellStart"/>
      <w:r w:rsidRPr="007538D1">
        <w:t>Indus</w:t>
      </w:r>
      <w:proofErr w:type="spellEnd"/>
      <w:r w:rsidRPr="007538D1">
        <w:t xml:space="preserve"> Vadisinde inşa edilen yapılara ve şehirlere baktığımızda su kültürlü bir inşaat anlayışının olduğunu görmekteyiz. Bunun nedeni de elbette ki bölge de akan ve çoğu zaman taşkınlara neden olan nehirlerdir. Bu nehirlerin debisi de yüksek olduğu için ülkenin iç kısımlarına kadar gemiler ile girilebilmekte ve nehirlerin yakınına kurulan şehirler bir nevi liman şehri hüviyetine bürünmektedir. Bölge de kullanılan inşaat malzemelerine baktığımızda Mezopotamya ve Mısır uygarlıklarının aksine burada kerpicin yerini pişmiş tuğla almıştır. Tuğlalar doğal kayaların olmadığı ovalarda seli kontrol etmek için kullanılmıştır. Bu kırmızı renkli tuğlalar ile şehirleri su taşkınlarından korumak için güçlü setler ve kale duvarları inşa edilmiştir. İnşa edilen duvarlar şehri çevrelemenin yanı sıra çoğu zaman şehri de aşarak uzamaktadır. Ayrıca su baskınlarından korunmak için şehirlerin inşasında farklı bir yöntem izlenmiş yüksekliği 300 metreyi geçmeyen ve musonda aşırı yağış alan düzlüklerde yapay adacıklar oluşturularak bunun üzerine şehirler kurulmuştur. </w:t>
      </w:r>
      <w:proofErr w:type="spellStart"/>
      <w:r w:rsidRPr="007538D1">
        <w:t>Indus</w:t>
      </w:r>
      <w:proofErr w:type="spellEnd"/>
      <w:r w:rsidRPr="007538D1">
        <w:t xml:space="preserve"> medeniyeti içerisinde inşa edilen en büyük şehirler </w:t>
      </w:r>
      <w:proofErr w:type="spellStart"/>
      <w:r w:rsidRPr="007538D1">
        <w:t>Kalibangan</w:t>
      </w:r>
      <w:proofErr w:type="spellEnd"/>
      <w:r w:rsidRPr="007538D1">
        <w:t xml:space="preserve">, </w:t>
      </w:r>
      <w:proofErr w:type="spellStart"/>
      <w:r w:rsidRPr="007538D1">
        <w:t>Mohenjo-Daro</w:t>
      </w:r>
      <w:proofErr w:type="spellEnd"/>
      <w:r w:rsidRPr="007538D1">
        <w:t xml:space="preserve"> ve </w:t>
      </w:r>
      <w:proofErr w:type="spellStart"/>
      <w:r w:rsidRPr="007538D1">
        <w:t>Harappa</w:t>
      </w:r>
      <w:proofErr w:type="spellEnd"/>
      <w:r w:rsidRPr="007538D1">
        <w:t xml:space="preserve"> şehirleridir. Bu şehirlerin büyüklüklerine baktığımızda 8 kilometrekareden 20 kilometrekareye varan ve barındırdığı nüfus itibari ile küçük yerleşim birimlerinin 5000 kişiden fazla olmadığını ancak büyük şehirlerin 40.000 kişiye sahip olduğunu, </w:t>
      </w:r>
      <w:proofErr w:type="spellStart"/>
      <w:r w:rsidRPr="007538D1">
        <w:t>Mohenjo-Daro’nun</w:t>
      </w:r>
      <w:proofErr w:type="spellEnd"/>
      <w:r w:rsidRPr="007538D1">
        <w:t xml:space="preserve"> belki de bundan daha fazla bir nüfus barındırdığını söylemek mümkündür</w:t>
      </w:r>
      <w:r>
        <w:t xml:space="preserve"> </w:t>
      </w:r>
      <w:r w:rsidRPr="00BC031D">
        <w:t>(Johnson, 1998, s.59.; Bauer, 2024, s. 59.; Roberts, 2017, s. 125).</w:t>
      </w:r>
    </w:p>
    <w:p w14:paraId="69686E35" w14:textId="77777777" w:rsidR="001E7189" w:rsidRPr="007538D1" w:rsidRDefault="001E7189" w:rsidP="007513A1">
      <w:pPr>
        <w:jc w:val="both"/>
      </w:pPr>
    </w:p>
    <w:p w14:paraId="6658DA1E" w14:textId="77777777" w:rsidR="001E7189" w:rsidRDefault="001E7189" w:rsidP="007513A1">
      <w:pPr>
        <w:jc w:val="both"/>
      </w:pPr>
      <w:proofErr w:type="spellStart"/>
      <w:r w:rsidRPr="007538D1">
        <w:t>Mohenjo-Daro</w:t>
      </w:r>
      <w:proofErr w:type="spellEnd"/>
      <w:r w:rsidRPr="007538D1">
        <w:t xml:space="preserve">, Pakistan’da </w:t>
      </w:r>
      <w:proofErr w:type="spellStart"/>
      <w:r w:rsidRPr="007538D1">
        <w:t>Karaçi’nin</w:t>
      </w:r>
      <w:proofErr w:type="spellEnd"/>
      <w:r w:rsidRPr="007538D1">
        <w:t xml:space="preserve"> 400 km kuzeyinde bulunan en büyük bronz çağı yerleşimi olarak karşımıza çıkmaktadır. Şehir üzerine yapılan arkeolojik çalışmalarda belirli bir kısmı gün yüzüne çıkarılabilmiştir. Su taşkınlarından korunmak için çamur tuğla platformlar üzerine kurulmuş olan 100 hektarlık bölümü alüvyonlu ovanın ortasında yükselen bir tepe üzerinde görülebilir. Daha 200 hektarlık alanı ise alüvyonlar altındadır. Bu şehir de görülen tipik yerleşim biçimi diğer İndus vadisi şehirlerinde de görülebilir. Büyükçe şehirler batı </w:t>
      </w:r>
      <w:proofErr w:type="gramStart"/>
      <w:r w:rsidRPr="007538D1">
        <w:t>da,</w:t>
      </w:r>
      <w:proofErr w:type="gramEnd"/>
      <w:r w:rsidRPr="007538D1">
        <w:t xml:space="preserve"> yüksek bir tepenin üzerinde ya da kalenin içinde yer alan ve kamu binalarını da içeren bir yerleşim bölgesinde; doğu da ızgara planında dizili, özel ticarethaneleri içerisine alan sivil yerleşim bölgesinin olduğu geniş bir alan üzerinde kurulmuştur. Oldukça gelişmiş kanalizasyon sistemlerine sahip olan bu şehirler çamur ve tuğla duvarlar ile çevrelenmiştir. Bu şehirlerin inşasında kullanılan tuğlalar tek orana göre hazırlanmıştır. Burada zengin sınıfa ait olan ve sivil yaşam alanında bulunan 800 metrekarelik evler gün yüzüne çıkarılmıştır. Bu evlerin içerisinde banyo ve tuvalet bulunmakta bunlar da şehrin kanalizasyonuna bağlanmıştır.  Ayrıca su ihtiyacı içinde sarnıçlar bulunmuştur. Aynı dönemde gelişmiş mimari eserler veren Mezopotamya ve Mısır medeniyetlerinde müstakil banyo ve tuvaletlere rastlanılmamıştır. Batı medeniyetinde ancak 19.  yüzyıllarda evlere müstakil tuvalet ve banyoların girmeye başladığı düşünüldüğünde İndus vadisi uygarlıklarının ne kadar gelişmiş bir alt yapı sistemi geliştirdikleri anlaşılabilir. </w:t>
      </w:r>
      <w:r w:rsidRPr="007538D1">
        <w:lastRenderedPageBreak/>
        <w:t>Ayrıca burada görülen şehir planlama şekli Mısır ve Mezopotamya’dan farklı olarak dolambaç şekilde değil, ızgara şeklindedir. Yani binalar birbirine paralel uzanmaktadır</w:t>
      </w:r>
      <w:r>
        <w:t xml:space="preserve"> </w:t>
      </w:r>
      <w:r w:rsidRPr="00BC031D">
        <w:t>(Johnson, 1998, s</w:t>
      </w:r>
      <w:r>
        <w:t>.61-62.; Roberts, 2017, s. 125).</w:t>
      </w:r>
    </w:p>
    <w:p w14:paraId="79B49C31" w14:textId="77777777" w:rsidR="001E7189" w:rsidRPr="007538D1" w:rsidRDefault="001E7189" w:rsidP="007513A1">
      <w:pPr>
        <w:jc w:val="both"/>
      </w:pPr>
    </w:p>
    <w:p w14:paraId="20D90834" w14:textId="72ED60EE" w:rsidR="001E7189" w:rsidRDefault="001E7189" w:rsidP="007513A1">
      <w:pPr>
        <w:jc w:val="both"/>
      </w:pPr>
      <w:proofErr w:type="spellStart"/>
      <w:r w:rsidRPr="007538D1">
        <w:t>Harappa</w:t>
      </w:r>
      <w:proofErr w:type="spellEnd"/>
      <w:r w:rsidRPr="007538D1">
        <w:t xml:space="preserve"> şehri Hint şehir planlamacılığında başlı başına bir örnektir. </w:t>
      </w:r>
      <w:proofErr w:type="spellStart"/>
      <w:r w:rsidRPr="007538D1">
        <w:t>Mohenjo-Daro’da</w:t>
      </w:r>
      <w:proofErr w:type="spellEnd"/>
      <w:r w:rsidRPr="007538D1">
        <w:t xml:space="preserve"> olduğu gibi çamur-tuğla karışımı platform üzerine inşa edilmiştir. Üzerinde bir kale bulunmakta olup, bu kısım hem yönetici sınıfa hizmet etmiş hem de tapınak olarak kullanılmıştır. Yine ızgara formundaki caddelerin genişliği 10 metreyi bulmaktadır. Ayrıca şehir içerisindeki evler birbirinden dış duvarlar ile ayrılmaktadır. Şehir mükemmel bir kanalizasyon sistemine sahip olup şehrin atıkları şehir duvarlarının dışına atılmaktadır</w:t>
      </w:r>
      <w:r>
        <w:t xml:space="preserve"> </w:t>
      </w:r>
      <w:r w:rsidRPr="003029A0">
        <w:t>(Roberts, 2017, s. 125.; Johnson, 1998, s.58).</w:t>
      </w:r>
    </w:p>
    <w:p w14:paraId="411C64DE" w14:textId="77777777" w:rsidR="001E7189" w:rsidRPr="007538D1" w:rsidRDefault="001E7189" w:rsidP="007513A1">
      <w:pPr>
        <w:jc w:val="both"/>
      </w:pPr>
    </w:p>
    <w:p w14:paraId="79567867" w14:textId="17AC7AA2" w:rsidR="001E7189" w:rsidRDefault="001E7189" w:rsidP="007513A1">
      <w:pPr>
        <w:jc w:val="both"/>
      </w:pPr>
      <w:r w:rsidRPr="007538D1">
        <w:t>Arkeologların düşüncesine göre 3000 yıllık bu mükemmel şehirlere sahip İndus uygarlığı federal bir yönetime sahip şehir devletlerinden oluşmaktaydı. Bölgeden çıkarılan arkeolojik malzemeler göstermiştir ki burada gelişen şehir yaşamı ve kültür kendine özgü olup birçok ürün bölge de yerel zanaatkârlar tarafından üretilmiştir. Buradaki şehir yaşamı bölgeye düzenlenen Ari kavimlerinin saldırılarıyla ve MÖ 2. bin yılın başlarında bölge de meydana gelen doğal afetlerin de bu uygarlığın çökmesinde etkili olduğu düşünülmektedir</w:t>
      </w:r>
      <w:r>
        <w:t xml:space="preserve"> </w:t>
      </w:r>
      <w:r w:rsidRPr="003029A0">
        <w:t xml:space="preserve">(Johnson, 1998, s.63.; </w:t>
      </w:r>
      <w:proofErr w:type="spellStart"/>
      <w:r w:rsidRPr="003029A0">
        <w:t>Kulke</w:t>
      </w:r>
      <w:proofErr w:type="spellEnd"/>
      <w:r w:rsidRPr="003029A0">
        <w:t xml:space="preserve"> ve </w:t>
      </w:r>
      <w:proofErr w:type="spellStart"/>
      <w:r w:rsidRPr="003029A0">
        <w:t>Rothermund</w:t>
      </w:r>
      <w:proofErr w:type="spellEnd"/>
      <w:r w:rsidRPr="003029A0">
        <w:t>, 2001, s.36).</w:t>
      </w:r>
    </w:p>
    <w:p w14:paraId="05560CDF" w14:textId="77777777" w:rsidR="001E7189" w:rsidRPr="007538D1" w:rsidRDefault="001E7189" w:rsidP="007513A1">
      <w:pPr>
        <w:jc w:val="both"/>
      </w:pPr>
    </w:p>
    <w:p w14:paraId="51386774" w14:textId="4EE9492E" w:rsidR="001E7189" w:rsidRDefault="001E7189" w:rsidP="007513A1">
      <w:pPr>
        <w:jc w:val="both"/>
      </w:pPr>
      <w:r w:rsidRPr="007538D1">
        <w:t>İndus Uygarlığının Arilerin saldırıları ile çökmesi sonucunda M.Ö 1500</w:t>
      </w:r>
      <w:r>
        <w:t>’lü</w:t>
      </w:r>
      <w:r w:rsidRPr="007538D1">
        <w:t xml:space="preserve"> yıllardan sonra Aryan kültürü diye adlandırılan bir kültür hâkim olmuştur. Bu dönemde tam şehir hüviyetine sahip olmasa da köy temelli ve tarıma dayalı büyük yerleşimler ortaya çıkmıştır. </w:t>
      </w:r>
      <w:proofErr w:type="spellStart"/>
      <w:r w:rsidRPr="007538D1">
        <w:t>Seravasti</w:t>
      </w:r>
      <w:proofErr w:type="spellEnd"/>
      <w:r w:rsidRPr="007538D1">
        <w:t xml:space="preserve"> nehrinin doğusunda uzanan </w:t>
      </w:r>
      <w:proofErr w:type="spellStart"/>
      <w:r w:rsidRPr="007538D1">
        <w:t>Kurukşetra</w:t>
      </w:r>
      <w:proofErr w:type="spellEnd"/>
      <w:r w:rsidRPr="007538D1">
        <w:t xml:space="preserve"> ovalarında ortaya çıkmıştır. Bugün modern </w:t>
      </w:r>
      <w:proofErr w:type="spellStart"/>
      <w:r w:rsidRPr="007538D1">
        <w:t>Haryana</w:t>
      </w:r>
      <w:proofErr w:type="spellEnd"/>
      <w:r w:rsidRPr="007538D1">
        <w:t xml:space="preserve"> eyaleti olan bu bölge, tüm Hindistan tarihi boyunca Hintliler için kutsal bir bölge olarak kalmış</w:t>
      </w:r>
      <w:r w:rsidRPr="007538D1">
        <w:softHyphen/>
        <w:t xml:space="preserve">tır. Ancak bir noktada, </w:t>
      </w:r>
      <w:proofErr w:type="spellStart"/>
      <w:r w:rsidRPr="007538D1">
        <w:t>Sarasvati</w:t>
      </w:r>
      <w:proofErr w:type="spellEnd"/>
      <w:r w:rsidRPr="007538D1">
        <w:t xml:space="preserve"> nehrinin kurumasından sonra, gittikçe artan nüfusun burada barınması elverişsiz hale gelmiş ve </w:t>
      </w:r>
      <w:proofErr w:type="spellStart"/>
      <w:r w:rsidRPr="007538D1">
        <w:t>Yamuna'dan</w:t>
      </w:r>
      <w:proofErr w:type="spellEnd"/>
      <w:r w:rsidRPr="007538D1">
        <w:t xml:space="preserve">, </w:t>
      </w:r>
      <w:proofErr w:type="spellStart"/>
      <w:r w:rsidRPr="007538D1">
        <w:t>Yamuna</w:t>
      </w:r>
      <w:proofErr w:type="spellEnd"/>
      <w:r w:rsidRPr="007538D1">
        <w:t xml:space="preserve"> ile Ganj arasında kalan </w:t>
      </w:r>
      <w:proofErr w:type="spellStart"/>
      <w:r w:rsidRPr="007538D1">
        <w:t>Doab'a</w:t>
      </w:r>
      <w:proofErr w:type="spellEnd"/>
      <w:r w:rsidRPr="007538D1">
        <w:t xml:space="preserve"> bir akım başlamıştır. Oradan da yerleşim modern </w:t>
      </w:r>
      <w:proofErr w:type="spellStart"/>
      <w:r w:rsidRPr="007538D1">
        <w:t>Bihar</w:t>
      </w:r>
      <w:proofErr w:type="spellEnd"/>
      <w:r w:rsidRPr="007538D1">
        <w:t xml:space="preserve"> bölgesine, sonunda da </w:t>
      </w:r>
      <w:proofErr w:type="spellStart"/>
      <w:r w:rsidRPr="007538D1">
        <w:t>Bengal'e</w:t>
      </w:r>
      <w:proofErr w:type="spellEnd"/>
      <w:r w:rsidRPr="007538D1">
        <w:t xml:space="preserve"> ve Ganj ağzına kaymıştır. Ganj vadisine giren çiftçiler balta girmemiş </w:t>
      </w:r>
      <w:proofErr w:type="spellStart"/>
      <w:r w:rsidRPr="007538D1">
        <w:t>cangılı</w:t>
      </w:r>
      <w:proofErr w:type="spellEnd"/>
      <w:r w:rsidRPr="007538D1">
        <w:t xml:space="preserve"> temizleyerek bereketli topraklarda pirinç yetiştirmeye başlamışlardır. Aryan kültürü bu bölge de bin yıla yakın hâkim olmuştur</w:t>
      </w:r>
      <w:r>
        <w:t xml:space="preserve"> </w:t>
      </w:r>
      <w:r w:rsidRPr="003029A0">
        <w:t xml:space="preserve">(Johnson, 1998, s.63-64.; </w:t>
      </w:r>
      <w:proofErr w:type="spellStart"/>
      <w:r w:rsidRPr="003029A0">
        <w:t>Ponting</w:t>
      </w:r>
      <w:proofErr w:type="spellEnd"/>
      <w:r w:rsidRPr="003029A0">
        <w:t>, 2011, s. 182).</w:t>
      </w:r>
    </w:p>
    <w:p w14:paraId="7BE5BFED" w14:textId="77777777" w:rsidR="001E7189" w:rsidRPr="007538D1" w:rsidRDefault="001E7189" w:rsidP="007513A1">
      <w:pPr>
        <w:jc w:val="both"/>
      </w:pPr>
    </w:p>
    <w:p w14:paraId="3800F1CA" w14:textId="66A9499E" w:rsidR="001E7189" w:rsidRDefault="001E7189" w:rsidP="007513A1">
      <w:pPr>
        <w:jc w:val="both"/>
      </w:pPr>
      <w:r w:rsidRPr="007538D1">
        <w:t xml:space="preserve">Arilerin hâkim olduğu süre boyunca Hindistan’da dini alanda önemli gelişmeler yaşanmış bu dönemde </w:t>
      </w:r>
      <w:proofErr w:type="spellStart"/>
      <w:r w:rsidRPr="007538D1">
        <w:t>Caynacılık</w:t>
      </w:r>
      <w:proofErr w:type="spellEnd"/>
      <w:r w:rsidRPr="007538D1">
        <w:t xml:space="preserve"> ve Budizm ortaya çıkmıştır. Her iki dinin de ortaya çıkışında inzivaya çekilerek aydınlanmaya çalışan kişilerin ortaya attıkları fikirler etkili olmuştur.  </w:t>
      </w:r>
      <w:proofErr w:type="spellStart"/>
      <w:r w:rsidRPr="007538D1">
        <w:t>Caynacılık</w:t>
      </w:r>
      <w:proofErr w:type="spellEnd"/>
      <w:r w:rsidRPr="007538D1">
        <w:t xml:space="preserve"> MÖ. 5. Yüzyılda </w:t>
      </w:r>
      <w:proofErr w:type="spellStart"/>
      <w:r w:rsidRPr="007538D1">
        <w:t>Mahavira</w:t>
      </w:r>
      <w:proofErr w:type="spellEnd"/>
      <w:r w:rsidRPr="007538D1">
        <w:t xml:space="preserve"> tarafından kurulmuş </w:t>
      </w:r>
      <w:proofErr w:type="gramStart"/>
      <w:r w:rsidRPr="007538D1">
        <w:t>yada</w:t>
      </w:r>
      <w:proofErr w:type="gramEnd"/>
      <w:r w:rsidRPr="007538D1">
        <w:t xml:space="preserve"> onun tarafından yeniden canlandırılmıştır. MÖ 300’lere gelindiğinde </w:t>
      </w:r>
      <w:proofErr w:type="spellStart"/>
      <w:r w:rsidRPr="007538D1">
        <w:t>Caynacı</w:t>
      </w:r>
      <w:proofErr w:type="spellEnd"/>
      <w:r w:rsidRPr="007538D1">
        <w:t xml:space="preserve"> keşişler hem ticari hem idareci elitin desteğini alarak büyük dini merkezler inşa etmişlerdir. Budizm’de </w:t>
      </w:r>
      <w:proofErr w:type="spellStart"/>
      <w:r w:rsidRPr="007538D1">
        <w:t>Caynacılık</w:t>
      </w:r>
      <w:proofErr w:type="spellEnd"/>
      <w:r w:rsidRPr="007538D1">
        <w:t xml:space="preserve"> gibi aynı tarihlerde ve aynı coğrafyalar olan Ganj ovalarında ortaya çıkmıştır. Budizm, dünyayla ilişkisini kesip gezici bir keşiş olan </w:t>
      </w:r>
      <w:proofErr w:type="spellStart"/>
      <w:r w:rsidRPr="007538D1">
        <w:t>Siddharta</w:t>
      </w:r>
      <w:proofErr w:type="spellEnd"/>
      <w:r w:rsidRPr="007538D1">
        <w:t xml:space="preserve"> </w:t>
      </w:r>
      <w:proofErr w:type="spellStart"/>
      <w:r w:rsidRPr="007538D1">
        <w:t>Gautama'nın</w:t>
      </w:r>
      <w:proofErr w:type="spellEnd"/>
      <w:r w:rsidRPr="007538D1">
        <w:t xml:space="preserve"> hayatı ve öğretisi üzerine kuruludur. Hakikate erdikten sonra kendine Buda (aydınlanmış kişi) adını takmış ve inanca göre MÖ 461 yılında ölmüş ya da başka bir deyimle </w:t>
      </w:r>
      <w:proofErr w:type="spellStart"/>
      <w:r w:rsidRPr="007538D1">
        <w:t>parinirvanaya</w:t>
      </w:r>
      <w:proofErr w:type="spellEnd"/>
      <w:r w:rsidRPr="007538D1">
        <w:t xml:space="preserve"> (tümüyle aydınlığa) ermiştir. Bu her iki dinin getirdiği öğretiler Hindistan’da dini yapılara dayalı şehir kültürü ortaya çıkartmıştır. Bu dinlerin getirmiş olduğu yapılaşama tam bir şehirleşme olarak ifade edilmese de hayretler uyandıracak tapınak kültürü oluşturduğu açıktır. </w:t>
      </w:r>
      <w:proofErr w:type="spellStart"/>
      <w:r w:rsidRPr="007538D1">
        <w:t>Gucarat’ta</w:t>
      </w:r>
      <w:proofErr w:type="spellEnd"/>
      <w:r w:rsidRPr="007538D1">
        <w:t xml:space="preserve"> </w:t>
      </w:r>
      <w:proofErr w:type="spellStart"/>
      <w:r w:rsidRPr="007538D1">
        <w:t>Palatana’nın</w:t>
      </w:r>
      <w:proofErr w:type="spellEnd"/>
      <w:r w:rsidRPr="007538D1">
        <w:t xml:space="preserve"> 2 km. güneyindeki ovadan 600 metre </w:t>
      </w:r>
      <w:proofErr w:type="spellStart"/>
      <w:r w:rsidRPr="007538D1">
        <w:t>yükeklikte</w:t>
      </w:r>
      <w:proofErr w:type="spellEnd"/>
      <w:r w:rsidRPr="007538D1">
        <w:t xml:space="preserve"> bulunan </w:t>
      </w:r>
      <w:proofErr w:type="spellStart"/>
      <w:r w:rsidRPr="007538D1">
        <w:t>Satrunjaya</w:t>
      </w:r>
      <w:proofErr w:type="spellEnd"/>
      <w:r w:rsidRPr="007538D1">
        <w:t xml:space="preserve"> tepesindeki iki doruğun ünü Hindistan’daki en büyük </w:t>
      </w:r>
      <w:proofErr w:type="spellStart"/>
      <w:r w:rsidRPr="007538D1">
        <w:t>Caynaca</w:t>
      </w:r>
      <w:proofErr w:type="spellEnd"/>
      <w:r w:rsidRPr="007538D1">
        <w:t xml:space="preserve"> tapınağının burada olmasından ileri gelmektedir. Budist mimarinin en güzel ve ilk dönem örneklerini de </w:t>
      </w:r>
      <w:r w:rsidRPr="007538D1">
        <w:lastRenderedPageBreak/>
        <w:t xml:space="preserve">Orta Hindistan’da bulunan ve MÖ 3. Yüzyıla tarihlenen Sanç anıtları vermiştir. Bu mabetler </w:t>
      </w:r>
      <w:proofErr w:type="spellStart"/>
      <w:r w:rsidRPr="007538D1">
        <w:t>Sançi</w:t>
      </w:r>
      <w:proofErr w:type="spellEnd"/>
      <w:r w:rsidRPr="007538D1">
        <w:t>, suplar olarak bilinen sağlam, yarıküre biçimleriyle tanınırlar</w:t>
      </w:r>
      <w:r>
        <w:t xml:space="preserve"> </w:t>
      </w:r>
      <w:r w:rsidRPr="003029A0">
        <w:t>(</w:t>
      </w:r>
      <w:proofErr w:type="spellStart"/>
      <w:r w:rsidRPr="003029A0">
        <w:t>Mcneill</w:t>
      </w:r>
      <w:proofErr w:type="spellEnd"/>
      <w:r w:rsidRPr="003029A0">
        <w:t xml:space="preserve">, 2006, s. 123-125.; </w:t>
      </w:r>
      <w:proofErr w:type="spellStart"/>
      <w:r w:rsidRPr="003029A0">
        <w:t>Kulke</w:t>
      </w:r>
      <w:proofErr w:type="spellEnd"/>
      <w:r w:rsidRPr="003029A0">
        <w:t xml:space="preserve"> ve </w:t>
      </w:r>
      <w:proofErr w:type="spellStart"/>
      <w:r w:rsidRPr="003029A0">
        <w:t>Rothermund</w:t>
      </w:r>
      <w:proofErr w:type="spellEnd"/>
      <w:r w:rsidRPr="003029A0">
        <w:t xml:space="preserve"> 2001, s.87.; Johnson, 1998, s.67-68).</w:t>
      </w:r>
    </w:p>
    <w:p w14:paraId="1748B49E" w14:textId="77777777" w:rsidR="001E7189" w:rsidRPr="007538D1" w:rsidRDefault="001E7189" w:rsidP="007513A1">
      <w:pPr>
        <w:jc w:val="both"/>
      </w:pPr>
    </w:p>
    <w:p w14:paraId="5B45C9E5" w14:textId="077A1F6C" w:rsidR="001E7189" w:rsidRDefault="001E7189" w:rsidP="007513A1">
      <w:pPr>
        <w:jc w:val="both"/>
      </w:pPr>
      <w:r w:rsidRPr="007538D1">
        <w:t xml:space="preserve">Hint coğrafyasına Fars istilası ve sonrasında İskender’in akınları olduğu MÖ 327 tarihlerine kadar uzun süreli ve gelişmiş bir dini mimari </w:t>
      </w:r>
      <w:proofErr w:type="gramStart"/>
      <w:r w:rsidRPr="007538D1">
        <w:t>hakim</w:t>
      </w:r>
      <w:proofErr w:type="gramEnd"/>
      <w:r w:rsidRPr="007538D1">
        <w:t xml:space="preserve"> olmuştur. Özelikle inşa edilen tapınaklar çevresinde ibadet etmek maksadıyla gelen hacıların vasıtasıyla ticaret gelişmiş bu durumda şehirleşmeyi artırmıştır. Bu nedenle tapınakların çevresinde ticaret yürüten tüccarlar sürekli din adamlarını destekleyip tapınakları korumuşlardır</w:t>
      </w:r>
      <w:r>
        <w:t xml:space="preserve"> </w:t>
      </w:r>
      <w:r w:rsidRPr="003029A0">
        <w:t>(Johnson, 1998, s.68)</w:t>
      </w:r>
      <w:r>
        <w:t>.</w:t>
      </w:r>
    </w:p>
    <w:p w14:paraId="1F5F2E62" w14:textId="77777777" w:rsidR="001E7189" w:rsidRPr="007538D1" w:rsidRDefault="001E7189" w:rsidP="007513A1">
      <w:pPr>
        <w:jc w:val="both"/>
      </w:pPr>
    </w:p>
    <w:p w14:paraId="2183376D" w14:textId="731430B9" w:rsidR="001E7189" w:rsidRDefault="001E7189" w:rsidP="007513A1">
      <w:pPr>
        <w:jc w:val="both"/>
      </w:pPr>
      <w:r w:rsidRPr="007538D1">
        <w:t xml:space="preserve">M.S. 320’li yıllardan 550’lere kadar itibaren hüküm süren Ganj vadisi devleti olan </w:t>
      </w:r>
      <w:proofErr w:type="spellStart"/>
      <w:r w:rsidRPr="007538D1">
        <w:t>Guptalar</w:t>
      </w:r>
      <w:proofErr w:type="spellEnd"/>
      <w:r w:rsidRPr="007538D1">
        <w:t xml:space="preserve"> devrinden günümüze çok az yapı gelmiştir. Bunun nedeni Müslüman fatihlerin puta tapanların merkezleri olduğu düşüncesiyle Kuzey Hindistan tapınaklarını tahrip etmiş olmalarıdır. Bu nedenle </w:t>
      </w:r>
      <w:proofErr w:type="spellStart"/>
      <w:r w:rsidRPr="007538D1">
        <w:t>Gupta</w:t>
      </w:r>
      <w:proofErr w:type="spellEnd"/>
      <w:r w:rsidRPr="007538D1">
        <w:t xml:space="preserve"> yönetiminin kuzeyindeki yerleşimlerde</w:t>
      </w:r>
      <w:r>
        <w:t>n</w:t>
      </w:r>
      <w:r w:rsidRPr="007538D1">
        <w:t xml:space="preserve"> çok az yapıt günümüze gelebilmiştir. Güneyde bulunan birkaç taş oymacılığı ürününün </w:t>
      </w:r>
      <w:proofErr w:type="spellStart"/>
      <w:r w:rsidRPr="007538D1">
        <w:t>Gupta</w:t>
      </w:r>
      <w:proofErr w:type="spellEnd"/>
      <w:r w:rsidRPr="007538D1">
        <w:t xml:space="preserve"> dönemine ait olduğu söylenebilir ama bunlarda sanat açısından doyurucu olmayan örneklerdir</w:t>
      </w:r>
      <w:r>
        <w:t xml:space="preserve"> </w:t>
      </w:r>
      <w:r w:rsidRPr="002C099C">
        <w:t>(</w:t>
      </w:r>
      <w:proofErr w:type="spellStart"/>
      <w:r w:rsidRPr="002C099C">
        <w:t>Mcneill</w:t>
      </w:r>
      <w:proofErr w:type="spellEnd"/>
      <w:r w:rsidRPr="002C099C">
        <w:t>, 2006, s. 264.; Roberts, 2017, s. 433).</w:t>
      </w:r>
    </w:p>
    <w:p w14:paraId="41F21190" w14:textId="77777777" w:rsidR="001E7189" w:rsidRPr="007538D1" w:rsidRDefault="001E7189" w:rsidP="007513A1">
      <w:pPr>
        <w:jc w:val="both"/>
      </w:pPr>
    </w:p>
    <w:p w14:paraId="7E98874B" w14:textId="689E15C7" w:rsidR="001E7189" w:rsidRDefault="001E7189" w:rsidP="007513A1">
      <w:pPr>
        <w:jc w:val="both"/>
      </w:pPr>
      <w:r w:rsidRPr="007538D1">
        <w:t>İlk dönem şehirleşmesinden sonra Müslümanların bölgeye geldikleri dönem</w:t>
      </w:r>
      <w:r>
        <w:t>e</w:t>
      </w:r>
      <w:r w:rsidRPr="007538D1">
        <w:t xml:space="preserve"> kadar geçen yaklaşık 1000 yıllık süreçte, dini mimari idareci sınıf tarafından desteklenmiş ve taş oymacılığının mükemmel eserleri verilmiştir. Bu süreç içerisinde farklı sülalelerin yönettikleri irili ufaklı devletler kurulmuş bunlar halktan topladıkları verginin çoğunu tapınaklar inşa etmeye harcamışlardır. Bunlardan en dikkat çeken tapınak ise </w:t>
      </w:r>
      <w:proofErr w:type="spellStart"/>
      <w:r w:rsidRPr="007538D1">
        <w:t>Kajuraho’dur</w:t>
      </w:r>
      <w:proofErr w:type="spellEnd"/>
      <w:r w:rsidRPr="007538D1">
        <w:t xml:space="preserve">. 9.- 11. yüzyıllar arasında Orta Hindistan'ın yönetmiş sülalelerden birisi de </w:t>
      </w:r>
      <w:proofErr w:type="spellStart"/>
      <w:r w:rsidRPr="007538D1">
        <w:t>Çindellalardır</w:t>
      </w:r>
      <w:proofErr w:type="spellEnd"/>
      <w:r w:rsidRPr="007538D1">
        <w:t xml:space="preserve">. Ancak bunlar hakkında günümüze kadar gelen bilgiler çok kısıtlı olup, dinsel yapılar dışında döneme ait geriye hiçbir şey kalmamıştır. </w:t>
      </w:r>
      <w:proofErr w:type="spellStart"/>
      <w:r w:rsidRPr="007538D1">
        <w:t>Kajuraho'da</w:t>
      </w:r>
      <w:proofErr w:type="spellEnd"/>
      <w:r w:rsidRPr="007538D1">
        <w:t xml:space="preserve"> değişik Hindu kültlerine, hatta </w:t>
      </w:r>
      <w:proofErr w:type="spellStart"/>
      <w:r w:rsidRPr="007538D1">
        <w:t>Caynacı</w:t>
      </w:r>
      <w:proofErr w:type="spellEnd"/>
      <w:r w:rsidRPr="007538D1">
        <w:t xml:space="preserve"> kurtarıcılara adanmış 30 kadar tapınak vardır. Bu tapınaklar, Orta Hindistan tarzının en şaşaalı dönemine ait farklı ve kendi içinde uyumlu bir evreni gözler önüne serer. Bu tapınakların başlıca özellikleri, tek bir kuleden başlayarak, merkezi bir kütle çevresine toplanmış çok unsurlu karmaşık bir dizilimle göğe doğru yükselen kulelerdir. Taş yüzey üzerinde yapılan bu sürekli vurgulama, tapınağın, kozmik dağ </w:t>
      </w:r>
      <w:proofErr w:type="spellStart"/>
      <w:r w:rsidRPr="007538D1">
        <w:t>Meru'nun</w:t>
      </w:r>
      <w:proofErr w:type="spellEnd"/>
      <w:r w:rsidRPr="007538D1">
        <w:t xml:space="preserve"> çağrısı üzerine kurulu sembolik işlevini akla getirir. Ayrıca tapınaklar üzerine taş oymacılığıyla yapılan erotik figürler oldukça zengindir</w:t>
      </w:r>
      <w:r>
        <w:t xml:space="preserve"> </w:t>
      </w:r>
      <w:r w:rsidRPr="002C099C">
        <w:t>(Johnson, 1998, s.67-68).</w:t>
      </w:r>
    </w:p>
    <w:p w14:paraId="3C8B3B1D" w14:textId="77777777" w:rsidR="001E7189" w:rsidRPr="007538D1" w:rsidRDefault="001E7189" w:rsidP="007513A1">
      <w:pPr>
        <w:jc w:val="both"/>
      </w:pPr>
    </w:p>
    <w:p w14:paraId="697513F1" w14:textId="77777777" w:rsidR="00342070" w:rsidRDefault="001E7189" w:rsidP="007513A1">
      <w:pPr>
        <w:jc w:val="both"/>
      </w:pPr>
      <w:r w:rsidRPr="007538D1">
        <w:t xml:space="preserve">İslami dönemle birlikte Hint şehir yaşamında ve mimarisinde değişimler de başlamıştır. </w:t>
      </w:r>
      <w:proofErr w:type="spellStart"/>
      <w:r w:rsidRPr="007538D1">
        <w:t>Gazneli</w:t>
      </w:r>
      <w:proofErr w:type="spellEnd"/>
      <w:r w:rsidRPr="007538D1">
        <w:t xml:space="preserve"> Mahmut, </w:t>
      </w:r>
      <w:proofErr w:type="spellStart"/>
      <w:r w:rsidRPr="007538D1">
        <w:t>Kajuraho</w:t>
      </w:r>
      <w:proofErr w:type="spellEnd"/>
      <w:r w:rsidRPr="007538D1">
        <w:t xml:space="preserve"> ve </w:t>
      </w:r>
      <w:proofErr w:type="spellStart"/>
      <w:r w:rsidRPr="007538D1">
        <w:t>Gvalior</w:t>
      </w:r>
      <w:proofErr w:type="spellEnd"/>
      <w:r w:rsidRPr="007538D1">
        <w:t xml:space="preserve"> gibi güney şehirlerine kadar ilerlemiş, </w:t>
      </w:r>
      <w:proofErr w:type="spellStart"/>
      <w:r w:rsidRPr="007538D1">
        <w:t>Kathiavar</w:t>
      </w:r>
      <w:proofErr w:type="spellEnd"/>
      <w:r w:rsidRPr="007538D1">
        <w:t xml:space="preserve"> ve </w:t>
      </w:r>
      <w:proofErr w:type="spellStart"/>
      <w:r w:rsidRPr="007538D1">
        <w:t>Somnat'taki</w:t>
      </w:r>
      <w:proofErr w:type="spellEnd"/>
      <w:r w:rsidRPr="007538D1">
        <w:t xml:space="preserve"> Şiva tapınağını talan etmiş, burada bulunan taştan </w:t>
      </w:r>
      <w:proofErr w:type="spellStart"/>
      <w:r w:rsidRPr="007538D1">
        <w:t>lingamı</w:t>
      </w:r>
      <w:proofErr w:type="spellEnd"/>
      <w:r w:rsidRPr="007538D1">
        <w:t xml:space="preserve"> kendi elleriyle kırmış, bir seferde altı buçuk ton altını yanına alarak geri dönmüştür</w:t>
      </w:r>
      <w:r>
        <w:t xml:space="preserve"> </w:t>
      </w:r>
      <w:r w:rsidRPr="002C099C">
        <w:t>(</w:t>
      </w:r>
      <w:proofErr w:type="spellStart"/>
      <w:r w:rsidRPr="002C099C">
        <w:t>Kulke</w:t>
      </w:r>
      <w:proofErr w:type="spellEnd"/>
      <w:r w:rsidRPr="002C099C">
        <w:t xml:space="preserve"> ve </w:t>
      </w:r>
      <w:proofErr w:type="spellStart"/>
      <w:r w:rsidRPr="002C099C">
        <w:t>Rothermund</w:t>
      </w:r>
      <w:proofErr w:type="spellEnd"/>
      <w:r w:rsidRPr="002C099C">
        <w:t>, 2001, s.238-39).</w:t>
      </w:r>
    </w:p>
    <w:p w14:paraId="2A79A8E1" w14:textId="77777777" w:rsidR="00342070" w:rsidRDefault="00342070" w:rsidP="007513A1">
      <w:pPr>
        <w:jc w:val="both"/>
      </w:pPr>
    </w:p>
    <w:p w14:paraId="429625E3" w14:textId="4B8AE4D5" w:rsidR="001E7189" w:rsidRPr="00342070" w:rsidRDefault="001E7189" w:rsidP="007513A1">
      <w:pPr>
        <w:jc w:val="both"/>
      </w:pPr>
      <w:r w:rsidRPr="00342070">
        <w:rPr>
          <w:rFonts w:eastAsiaTheme="majorEastAsia"/>
          <w:b/>
          <w:bCs/>
        </w:rPr>
        <w:t>1.2 İslami Dönemde Hint Medeniyetinde Şehircilik</w:t>
      </w:r>
    </w:p>
    <w:p w14:paraId="0F874A1C" w14:textId="13B654C7" w:rsidR="001E7189" w:rsidRDefault="001E7189" w:rsidP="007513A1">
      <w:pPr>
        <w:jc w:val="both"/>
      </w:pPr>
      <w:r w:rsidRPr="007538D1">
        <w:t xml:space="preserve">Müslümanların bölgeye gelmesi </w:t>
      </w:r>
      <w:proofErr w:type="gramStart"/>
      <w:r w:rsidRPr="007538D1">
        <w:t>ile birlikte</w:t>
      </w:r>
      <w:proofErr w:type="gramEnd"/>
      <w:r w:rsidRPr="007538D1">
        <w:t xml:space="preserve"> şehir yaşamı ve mimari de büyük gelişmeler yaşanmaya başlamıştır. Hint coğrafyasındaki bu değişimi ve gelişmeleri anlamak amacıyla ön plana çıkan bir</w:t>
      </w:r>
      <w:r>
        <w:t xml:space="preserve"> şehir üzerinden </w:t>
      </w:r>
      <w:r w:rsidRPr="007538D1">
        <w:t>konu</w:t>
      </w:r>
      <w:r>
        <w:t xml:space="preserve"> ele alınmıştır. </w:t>
      </w:r>
      <w:r w:rsidRPr="007538D1">
        <w:t>Bu amaçla bugün ki Hindistan’ın başşehri olan kuruluşu Ariler dönemine kadar uzanan ve Müslümanlar tarafından da idari merkez</w:t>
      </w:r>
      <w:r>
        <w:t xml:space="preserve"> olarak kullanılan Delhi şehri</w:t>
      </w:r>
      <w:r w:rsidRPr="007538D1">
        <w:t xml:space="preserve"> incele</w:t>
      </w:r>
      <w:r>
        <w:t>nmiştir.</w:t>
      </w:r>
    </w:p>
    <w:p w14:paraId="5432CD7E" w14:textId="77777777" w:rsidR="001E7189" w:rsidRPr="007538D1" w:rsidRDefault="001E7189" w:rsidP="007513A1">
      <w:pPr>
        <w:jc w:val="both"/>
      </w:pPr>
    </w:p>
    <w:p w14:paraId="3C0232E4" w14:textId="54DF15D5" w:rsidR="001E7189" w:rsidRDefault="001E7189" w:rsidP="007513A1">
      <w:pPr>
        <w:jc w:val="both"/>
      </w:pPr>
      <w:r w:rsidRPr="007538D1">
        <w:t xml:space="preserve">Tarihi bir şehir olan Delhi, Orta Hindistan’ın kuzeyinde ve Himalayalar’dan yaklaşık 160 km </w:t>
      </w:r>
      <w:r>
        <w:lastRenderedPageBreak/>
        <w:t>uzaklıkta</w:t>
      </w:r>
      <w:r w:rsidRPr="007538D1">
        <w:t xml:space="preserve"> Ganj nehrinin kollarından </w:t>
      </w:r>
      <w:proofErr w:type="spellStart"/>
      <w:r w:rsidRPr="007538D1">
        <w:t>Yamuna</w:t>
      </w:r>
      <w:proofErr w:type="spellEnd"/>
      <w:r w:rsidRPr="007538D1">
        <w:t xml:space="preserve"> ırmağının batı yakasında kurulmuştur. Şehir 13. Yüzyıldan itibaren hüküm süren birçok Müslüman sultanlığın merkezi olmuş ve bu durumu 1858’de İngilizlerin son </w:t>
      </w:r>
      <w:proofErr w:type="spellStart"/>
      <w:r w:rsidRPr="007538D1">
        <w:t>Babürlü</w:t>
      </w:r>
      <w:proofErr w:type="spellEnd"/>
      <w:r w:rsidRPr="007538D1">
        <w:t xml:space="preserve"> sultanı Bahadır Şah’tan idareyi teslim almalarına kadar sürmüştür. Camileri, medreseleri, saray ve köşkleriyle zengin bir tarih ve kültür mirasını bütün canlılığı ve ihtişamı ile yansıtan günümüzdeki büyük Delhi, ünlü şair İkbal’in de benzettiği Roma gibi ilk sınırlarını çok aşarak çeşitli devirlerde kurulmuş olan yedi ayrı şehrin zaman içinde büyüyüp birleşmesi ile ortaya çıkmıştır. Her biri belli bir Müslüman hanedan tarafından kurulan bu şehirler kuruluş sırasıyla </w:t>
      </w:r>
      <w:proofErr w:type="spellStart"/>
      <w:r w:rsidRPr="007538D1">
        <w:t>Lâlkot</w:t>
      </w:r>
      <w:proofErr w:type="spellEnd"/>
      <w:r w:rsidRPr="007538D1">
        <w:t xml:space="preserve"> (1192), </w:t>
      </w:r>
      <w:proofErr w:type="spellStart"/>
      <w:r w:rsidRPr="007538D1">
        <w:t>Sîrî</w:t>
      </w:r>
      <w:proofErr w:type="spellEnd"/>
      <w:r w:rsidRPr="007538D1">
        <w:t xml:space="preserve"> (1303), </w:t>
      </w:r>
      <w:proofErr w:type="spellStart"/>
      <w:r w:rsidRPr="007538D1">
        <w:t>Tuğlukabad</w:t>
      </w:r>
      <w:proofErr w:type="spellEnd"/>
      <w:r w:rsidRPr="007538D1">
        <w:t xml:space="preserve"> (1320), </w:t>
      </w:r>
      <w:proofErr w:type="spellStart"/>
      <w:r w:rsidRPr="007538D1">
        <w:t>Cihanpenah</w:t>
      </w:r>
      <w:proofErr w:type="spellEnd"/>
      <w:r w:rsidRPr="007538D1">
        <w:t xml:space="preserve"> (1340), </w:t>
      </w:r>
      <w:proofErr w:type="spellStart"/>
      <w:r w:rsidRPr="007538D1">
        <w:t>Firûzâbad</w:t>
      </w:r>
      <w:proofErr w:type="spellEnd"/>
      <w:r w:rsidRPr="007538D1">
        <w:t xml:space="preserve"> (1354), </w:t>
      </w:r>
      <w:proofErr w:type="spellStart"/>
      <w:r w:rsidRPr="007538D1">
        <w:t>Purânâ</w:t>
      </w:r>
      <w:proofErr w:type="spellEnd"/>
      <w:r w:rsidRPr="007538D1">
        <w:t xml:space="preserve"> </w:t>
      </w:r>
      <w:proofErr w:type="spellStart"/>
      <w:r w:rsidRPr="007538D1">
        <w:t>Kıl’a</w:t>
      </w:r>
      <w:proofErr w:type="spellEnd"/>
      <w:r w:rsidRPr="007538D1">
        <w:t xml:space="preserve"> (1542) ve </w:t>
      </w:r>
      <w:proofErr w:type="spellStart"/>
      <w:r w:rsidRPr="007538D1">
        <w:t>Şahcihanâbad</w:t>
      </w:r>
      <w:proofErr w:type="spellEnd"/>
      <w:r w:rsidRPr="007538D1">
        <w:t xml:space="preserve"> (1638) olup halen isimleri Delhi’nin başlıca semtlerinde yaşamaktadır. Müslüman saldırılarından korunmak için etrafı hükümdar </w:t>
      </w:r>
      <w:proofErr w:type="spellStart"/>
      <w:r w:rsidRPr="007538D1">
        <w:t>Pritvi</w:t>
      </w:r>
      <w:proofErr w:type="spellEnd"/>
      <w:r w:rsidRPr="007538D1">
        <w:t xml:space="preserve"> </w:t>
      </w:r>
      <w:proofErr w:type="spellStart"/>
      <w:r w:rsidRPr="007538D1">
        <w:t>Râc</w:t>
      </w:r>
      <w:proofErr w:type="spellEnd"/>
      <w:r w:rsidRPr="007538D1">
        <w:t xml:space="preserve"> tarafından 1180 tarihi civarında surlarla çevirtilmiştir. Buna rağmen </w:t>
      </w:r>
      <w:proofErr w:type="spellStart"/>
      <w:r w:rsidRPr="007538D1">
        <w:t>Kutbüddin</w:t>
      </w:r>
      <w:proofErr w:type="spellEnd"/>
      <w:r w:rsidRPr="007538D1">
        <w:t xml:space="preserve"> </w:t>
      </w:r>
      <w:proofErr w:type="spellStart"/>
      <w:r w:rsidRPr="007538D1">
        <w:t>Aybeg</w:t>
      </w:r>
      <w:proofErr w:type="spellEnd"/>
      <w:r w:rsidRPr="007538D1">
        <w:t xml:space="preserve"> şehri ele geçirmeye muvaffak olmuş ve 1192’de burada </w:t>
      </w:r>
      <w:proofErr w:type="spellStart"/>
      <w:r w:rsidRPr="007538D1">
        <w:t>Kuvvetü’l</w:t>
      </w:r>
      <w:proofErr w:type="spellEnd"/>
      <w:r w:rsidRPr="007538D1">
        <w:t xml:space="preserve">-İslam </w:t>
      </w:r>
      <w:proofErr w:type="spellStart"/>
      <w:r w:rsidRPr="007538D1">
        <w:t>Mescidi’ni</w:t>
      </w:r>
      <w:proofErr w:type="spellEnd"/>
      <w:r w:rsidRPr="007538D1">
        <w:t xml:space="preserve"> yaptırmıştır. Daha sonra da hem fethin sembolü olarak hem de şeyhinin anısına dünyanın en büyük minaresi olan ünlü Kutup </w:t>
      </w:r>
      <w:proofErr w:type="spellStart"/>
      <w:r w:rsidRPr="007538D1">
        <w:t>Minar’ı</w:t>
      </w:r>
      <w:proofErr w:type="spellEnd"/>
      <w:r w:rsidRPr="007538D1">
        <w:t xml:space="preserve"> </w:t>
      </w:r>
      <w:proofErr w:type="spellStart"/>
      <w:r w:rsidRPr="007538D1">
        <w:t>Çayna</w:t>
      </w:r>
      <w:proofErr w:type="spellEnd"/>
      <w:r w:rsidRPr="007538D1">
        <w:t xml:space="preserve"> mabetlerinin arsası üzerine ve bu mabetlerin enkazları ile inşa ettirmiştir. İlerleyen dönemlerde bu binaların civarına sonradan gelen hükümdarlar tarafından da yenileri yaptırılarak ilk Müslüman Delhi şehri oluşturulmaya başlanmıştır</w:t>
      </w:r>
      <w:r>
        <w:t xml:space="preserve"> </w:t>
      </w:r>
      <w:r w:rsidRPr="002C099C">
        <w:t>(Nizami, 1994, s.126).</w:t>
      </w:r>
    </w:p>
    <w:p w14:paraId="3B671FAF" w14:textId="77777777" w:rsidR="001E7189" w:rsidRPr="007538D1" w:rsidRDefault="001E7189" w:rsidP="007513A1">
      <w:pPr>
        <w:jc w:val="both"/>
      </w:pPr>
    </w:p>
    <w:p w14:paraId="7E3741A8" w14:textId="0D55676C" w:rsidR="001E7189" w:rsidRDefault="001E7189" w:rsidP="007513A1">
      <w:pPr>
        <w:jc w:val="both"/>
      </w:pPr>
      <w:r w:rsidRPr="007538D1">
        <w:t xml:space="preserve">Delhi’de yapılan bu imar faaliyetleri </w:t>
      </w:r>
      <w:proofErr w:type="gramStart"/>
      <w:r w:rsidRPr="007538D1">
        <w:t>ile birlikte</w:t>
      </w:r>
      <w:proofErr w:type="gramEnd"/>
      <w:r w:rsidRPr="007538D1">
        <w:t xml:space="preserve"> Hint-İslam mimarisi şekillenmeye başlamış özellikle eski Budist ve </w:t>
      </w:r>
      <w:proofErr w:type="spellStart"/>
      <w:r w:rsidRPr="007538D1">
        <w:t>Çaynacı</w:t>
      </w:r>
      <w:proofErr w:type="spellEnd"/>
      <w:r w:rsidRPr="007538D1">
        <w:t xml:space="preserve"> mabetlerinin molozları kullanılarak türbe, camii ve medreseler inşa edilmiştir. Bu inşa edilen mimari eserler Hint mimarisine farklı öğeler katmıştır. Çünkü Budist ve </w:t>
      </w:r>
      <w:proofErr w:type="spellStart"/>
      <w:r w:rsidRPr="007538D1">
        <w:t>Çaynacı</w:t>
      </w:r>
      <w:proofErr w:type="spellEnd"/>
      <w:r w:rsidRPr="007538D1">
        <w:t xml:space="preserve"> mabetlerindeki taş işçiliğinin ve heykeltıraşlığının mükemmel eserlerinin yerini bu mimari yapılar almıştır. Özellikle Hint mabetlerindeki heykeller ve taş kabartmalar izlerini sürdürmekle birlikte Arap alfabesi ile yazılan ayet ve hadisler kırmızı kum taşı ile beyaz mermer üzerine işlenerek estetik bir görünüm kazandırılmıştır. Kırmızı kum taşı ile mermerin uyumuna örnek olacak en güzel eser </w:t>
      </w:r>
      <w:proofErr w:type="spellStart"/>
      <w:r w:rsidRPr="007538D1">
        <w:t>Hümayun’un</w:t>
      </w:r>
      <w:proofErr w:type="spellEnd"/>
      <w:r w:rsidRPr="007538D1">
        <w:t xml:space="preserve"> ölümü üzerine adına dul kalan zevcesi Hadice </w:t>
      </w:r>
      <w:proofErr w:type="spellStart"/>
      <w:r w:rsidRPr="007538D1">
        <w:t>Begim</w:t>
      </w:r>
      <w:proofErr w:type="spellEnd"/>
      <w:r w:rsidRPr="007538D1">
        <w:t xml:space="preserve"> ile oğlu Ekber tarafından yaptırılan Hümayun türbesidir. Bu eser Türklerin Hindistan’da meydana getirdikleri ilk büyük mimari eserdir. Hümayun türbesi civarında ilerleyen dönemlerde yine birçok mescit, cami ve türbe inşa edilmiştir.  Bu mimari süsleme şekli başka şehirlerde inşa edilen av köşkleri, saraylarda da kullanılmıştır. Renkli taşlar ile yapılan süslemeler Hint şehir mimarisine yeni bir anlayış getirmiştir. Delhi oluşturan şehirlerin çoğu, bölgede hâkim olan Tuğluk, Delhi Türk Sultanlığı, Timurlu yani </w:t>
      </w:r>
      <w:proofErr w:type="spellStart"/>
      <w:r w:rsidRPr="007538D1">
        <w:t>Babürlü</w:t>
      </w:r>
      <w:proofErr w:type="spellEnd"/>
      <w:r w:rsidRPr="007538D1">
        <w:t xml:space="preserve"> hükümdarlarının şehrin kullanılan eski merkezini terk ederek kendilerine yeni saraylar ve yaşam merkezleri oluşturmalarından ortaya çıkmıştır</w:t>
      </w:r>
      <w:r>
        <w:t xml:space="preserve"> </w:t>
      </w:r>
      <w:r w:rsidRPr="002C099C">
        <w:t>(</w:t>
      </w:r>
      <w:proofErr w:type="spellStart"/>
      <w:r w:rsidRPr="002C099C">
        <w:t>Fanshawe</w:t>
      </w:r>
      <w:proofErr w:type="spellEnd"/>
      <w:r w:rsidRPr="002C099C">
        <w:t>, 1963, s.509-511).</w:t>
      </w:r>
    </w:p>
    <w:p w14:paraId="28DEB601" w14:textId="77777777" w:rsidR="001E7189" w:rsidRPr="007538D1" w:rsidRDefault="001E7189" w:rsidP="007513A1">
      <w:pPr>
        <w:jc w:val="both"/>
      </w:pPr>
    </w:p>
    <w:p w14:paraId="02F91477" w14:textId="77777777" w:rsidR="001E7189" w:rsidRDefault="001E7189" w:rsidP="007513A1">
      <w:pPr>
        <w:jc w:val="both"/>
      </w:pPr>
      <w:r w:rsidRPr="007538D1">
        <w:t xml:space="preserve">Delhi'ye yeniden değer kazandıran ve ihtişamını arttıran Şah Cihan olmuştur. On bir yıl </w:t>
      </w:r>
      <w:proofErr w:type="spellStart"/>
      <w:r w:rsidRPr="007538D1">
        <w:t>Agra'da</w:t>
      </w:r>
      <w:proofErr w:type="spellEnd"/>
      <w:r w:rsidRPr="007538D1">
        <w:t xml:space="preserve"> ikamet ettikten sonra Delhi'ye geçen Şah Cihan, orada </w:t>
      </w:r>
      <w:proofErr w:type="spellStart"/>
      <w:r w:rsidRPr="007538D1">
        <w:t>Şahcihanabad</w:t>
      </w:r>
      <w:proofErr w:type="spellEnd"/>
      <w:r w:rsidRPr="007538D1">
        <w:t xml:space="preserve"> adıyla yeni bir yerleşme merkezi ve bir kale kurarak (1639) ünlü Cami-</w:t>
      </w:r>
      <w:proofErr w:type="spellStart"/>
      <w:r w:rsidRPr="007538D1">
        <w:t>Mescid'i</w:t>
      </w:r>
      <w:proofErr w:type="spellEnd"/>
      <w:r w:rsidRPr="007538D1">
        <w:t xml:space="preserve"> (Delhi Cuma Camii) yaptırmıştır. Lal </w:t>
      </w:r>
      <w:proofErr w:type="spellStart"/>
      <w:r w:rsidRPr="007538D1">
        <w:t>Kıl'a</w:t>
      </w:r>
      <w:proofErr w:type="spellEnd"/>
      <w:r w:rsidRPr="007538D1">
        <w:t xml:space="preserve"> (kırmızı kale) olarak bilinen bu kale, hâkimiyetin </w:t>
      </w:r>
      <w:proofErr w:type="spellStart"/>
      <w:proofErr w:type="gramStart"/>
      <w:r w:rsidRPr="007538D1">
        <w:t>İngilizler‘</w:t>
      </w:r>
      <w:proofErr w:type="gramEnd"/>
      <w:r w:rsidRPr="007538D1">
        <w:t>in</w:t>
      </w:r>
      <w:proofErr w:type="spellEnd"/>
      <w:r w:rsidRPr="007538D1">
        <w:t xml:space="preserve"> eline geçmesine kadar </w:t>
      </w:r>
      <w:proofErr w:type="spellStart"/>
      <w:r w:rsidRPr="007538D1">
        <w:t>Babürlüler</w:t>
      </w:r>
      <w:proofErr w:type="spellEnd"/>
      <w:r w:rsidRPr="007538D1">
        <w:t xml:space="preserve"> iktidarının sembolü ve kültürünün merkezi olarak kalmıştır</w:t>
      </w:r>
      <w:r w:rsidRPr="002C099C">
        <w:t xml:space="preserve"> (Nizami, 1994, s.127.; </w:t>
      </w:r>
      <w:proofErr w:type="spellStart"/>
      <w:r w:rsidRPr="002C099C">
        <w:t>Kulke</w:t>
      </w:r>
      <w:proofErr w:type="spellEnd"/>
      <w:r w:rsidRPr="002C099C">
        <w:t xml:space="preserve"> ve </w:t>
      </w:r>
      <w:proofErr w:type="spellStart"/>
      <w:r w:rsidRPr="002C099C">
        <w:t>Rothermund</w:t>
      </w:r>
      <w:proofErr w:type="spellEnd"/>
      <w:r w:rsidRPr="002C099C">
        <w:t>, 2001, s.245).</w:t>
      </w:r>
    </w:p>
    <w:p w14:paraId="2892D360" w14:textId="77777777" w:rsidR="001E7189" w:rsidRPr="007538D1" w:rsidRDefault="001E7189" w:rsidP="007513A1">
      <w:pPr>
        <w:jc w:val="both"/>
      </w:pPr>
    </w:p>
    <w:p w14:paraId="3722E118" w14:textId="77777777" w:rsidR="00342070" w:rsidRDefault="001E7189" w:rsidP="007513A1">
      <w:pPr>
        <w:jc w:val="both"/>
      </w:pPr>
      <w:r w:rsidRPr="007538D1">
        <w:t xml:space="preserve">İngiliz idaresi döneminde Delhi şehri </w:t>
      </w:r>
      <w:proofErr w:type="spellStart"/>
      <w:r w:rsidRPr="007538D1">
        <w:t>Şahcihanabad'ın</w:t>
      </w:r>
      <w:proofErr w:type="spellEnd"/>
      <w:r w:rsidRPr="007538D1">
        <w:t xml:space="preserve"> kuzeyine doğru genişlemiştir. Hindistan'daki İngiliz idare merkezinin Kalküta'dan buraya nakledilmesinden sonra da </w:t>
      </w:r>
      <w:proofErr w:type="spellStart"/>
      <w:r w:rsidRPr="007538D1">
        <w:t>Raisina</w:t>
      </w:r>
      <w:proofErr w:type="spellEnd"/>
      <w:r w:rsidRPr="007538D1">
        <w:t xml:space="preserve"> (daha sonra Yeni Delhi) teşekkül etmiştir. </w:t>
      </w:r>
      <w:proofErr w:type="spellStart"/>
      <w:r w:rsidRPr="007538D1">
        <w:t>Lalkot</w:t>
      </w:r>
      <w:proofErr w:type="spellEnd"/>
      <w:r w:rsidRPr="007538D1">
        <w:t xml:space="preserve"> ve </w:t>
      </w:r>
      <w:proofErr w:type="spellStart"/>
      <w:r w:rsidRPr="007538D1">
        <w:t>Kıl'a</w:t>
      </w:r>
      <w:proofErr w:type="spellEnd"/>
      <w:r w:rsidRPr="007538D1">
        <w:t xml:space="preserve">-i Ray </w:t>
      </w:r>
      <w:proofErr w:type="spellStart"/>
      <w:r w:rsidRPr="007538D1">
        <w:t>Pithora</w:t>
      </w:r>
      <w:proofErr w:type="spellEnd"/>
      <w:r w:rsidRPr="007538D1">
        <w:t xml:space="preserve"> önceleri Eski Delhi olarak bilinirdi; Şah Cihan'ın kale, cami vb. eserleri yaptırmasından sonra </w:t>
      </w:r>
      <w:proofErr w:type="spellStart"/>
      <w:r w:rsidRPr="007538D1">
        <w:t>Hümayun'un</w:t>
      </w:r>
      <w:proofErr w:type="spellEnd"/>
      <w:r w:rsidRPr="007538D1">
        <w:t xml:space="preserve"> kalesi ve civarındaki bölge </w:t>
      </w:r>
      <w:proofErr w:type="spellStart"/>
      <w:r w:rsidRPr="007538D1">
        <w:t>Kıl'a</w:t>
      </w:r>
      <w:proofErr w:type="spellEnd"/>
      <w:r w:rsidRPr="007538D1">
        <w:t xml:space="preserve">-i </w:t>
      </w:r>
      <w:proofErr w:type="spellStart"/>
      <w:r w:rsidRPr="007538D1">
        <w:t>Kühne</w:t>
      </w:r>
      <w:proofErr w:type="spellEnd"/>
      <w:r w:rsidRPr="007538D1">
        <w:t xml:space="preserve"> (Eski Kale veya </w:t>
      </w:r>
      <w:proofErr w:type="spellStart"/>
      <w:r w:rsidRPr="007538D1">
        <w:t>Purana</w:t>
      </w:r>
      <w:proofErr w:type="spellEnd"/>
      <w:r w:rsidRPr="007538D1">
        <w:t xml:space="preserve"> </w:t>
      </w:r>
      <w:proofErr w:type="spellStart"/>
      <w:r w:rsidRPr="007538D1">
        <w:t>Kıl'a</w:t>
      </w:r>
      <w:proofErr w:type="spellEnd"/>
      <w:r w:rsidRPr="007538D1">
        <w:t xml:space="preserve">) olarak anılmaya başlanmıştır. </w:t>
      </w:r>
      <w:r w:rsidRPr="007538D1">
        <w:lastRenderedPageBreak/>
        <w:t xml:space="preserve">İngilizler döneminde Yeni Delhi ortaya çıktıktan sonra ise </w:t>
      </w:r>
      <w:proofErr w:type="spellStart"/>
      <w:r w:rsidRPr="007538D1">
        <w:t>Şahcihanabad</w:t>
      </w:r>
      <w:proofErr w:type="spellEnd"/>
      <w:r w:rsidRPr="007538D1">
        <w:t xml:space="preserve"> bölgesine de Eski Delhi denilmiştir</w:t>
      </w:r>
      <w:r>
        <w:t xml:space="preserve"> </w:t>
      </w:r>
      <w:r w:rsidRPr="002C099C">
        <w:t>(Nizami, 1994, s.127).</w:t>
      </w:r>
    </w:p>
    <w:p w14:paraId="4842ACBF" w14:textId="77777777" w:rsidR="00342070" w:rsidRDefault="00342070" w:rsidP="007513A1">
      <w:pPr>
        <w:jc w:val="both"/>
      </w:pPr>
    </w:p>
    <w:p w14:paraId="43D5F9F8" w14:textId="5022206C" w:rsidR="001E7189" w:rsidRPr="00342070" w:rsidRDefault="001E7189" w:rsidP="007513A1">
      <w:pPr>
        <w:jc w:val="both"/>
      </w:pPr>
      <w:r w:rsidRPr="00342070">
        <w:rPr>
          <w:b/>
          <w:bCs/>
        </w:rPr>
        <w:t>SONUÇ</w:t>
      </w:r>
    </w:p>
    <w:p w14:paraId="46061DBE" w14:textId="206D41F3" w:rsidR="001E7189" w:rsidRDefault="001E7189" w:rsidP="007513A1">
      <w:pPr>
        <w:jc w:val="both"/>
      </w:pPr>
      <w:r w:rsidRPr="007538D1">
        <w:t>Hint şehirciliğini ele aldığımız bu çalışmamızda görülmüştür ki Hint şehir ve şehirciliği konusu üzerine ülkemizde ansiklopedi maddeleri haricinde pek çalışma yapılmamıştır. Çalışmamızda Hint şehirciliğinin daha çok İslam öncesi dönemine önem verilmiş özellikle Hint antik kentlerinden bahsedi</w:t>
      </w:r>
      <w:r>
        <w:t>lmiştir. Ş</w:t>
      </w:r>
      <w:r w:rsidRPr="007538D1">
        <w:t xml:space="preserve">ehirlerin </w:t>
      </w:r>
      <w:proofErr w:type="gramStart"/>
      <w:r>
        <w:t>dizayn</w:t>
      </w:r>
      <w:proofErr w:type="gramEnd"/>
      <w:r>
        <w:t xml:space="preserve"> </w:t>
      </w:r>
      <w:r w:rsidRPr="007538D1">
        <w:t xml:space="preserve">biçimi Mezopotamya yöresinden farklı olarak dolambaç biçiminde değil, ızgara formundadır. Ayrıca şehirlerde surlar ve setler genellikle düşmandan korunmak için değil su baskınlarına önlem olarak kullanılmıştır. Çoğu zaman merkezi yerler inşa edilirken kerpiç yerine standart boyutlu pişmiş tuğla kullanılmış ve bazen bununla yapay tepecikler inşa edilerek bunun üzerine idari </w:t>
      </w:r>
      <w:r>
        <w:t xml:space="preserve">yapılar </w:t>
      </w:r>
      <w:r w:rsidRPr="007538D1">
        <w:t>ve dini mabetler inşa edilmiştir.  Kalabalık bir nüfusa sahip olan Hint şehirleri genellikle dini ve idari merkez olarak işlev görmüşler ve sağlam işleyen kanalizasyon sistemine sahip olmuşlardır. Şehirlerin ihtiyacını karşılamak için genellikle evlerin bahçesine kazılan kuyular hizmet vermiştir.</w:t>
      </w:r>
    </w:p>
    <w:p w14:paraId="73AFD57E" w14:textId="77777777" w:rsidR="001E7189" w:rsidRPr="007538D1" w:rsidRDefault="001E7189" w:rsidP="007513A1">
      <w:pPr>
        <w:jc w:val="both"/>
      </w:pPr>
    </w:p>
    <w:p w14:paraId="3B9E29F3" w14:textId="1A87C519" w:rsidR="001E7189" w:rsidRDefault="001E7189" w:rsidP="007513A1">
      <w:pPr>
        <w:jc w:val="both"/>
      </w:pPr>
      <w:r w:rsidRPr="007538D1">
        <w:t xml:space="preserve">Birçok Hint şehrinin oluşumunda en önemli unsur mabetlerin etrafında gelişen ticaret olmuştur. Bu nedenle ticaret yapan esnaf ve idareci tabaka devasa </w:t>
      </w:r>
      <w:proofErr w:type="spellStart"/>
      <w:r w:rsidRPr="007538D1">
        <w:t>Çaynacı</w:t>
      </w:r>
      <w:proofErr w:type="spellEnd"/>
      <w:r w:rsidRPr="007538D1">
        <w:t xml:space="preserve"> ve Budist tapınakların inşa edilmesine destek vermişler bu durumda tapınaklar etrafında gelişen bir şehir kültürü oluşturmuştur. Bu ilk dönem şehirleşmesinden sonra Müslümanların bölgeye geldikleri dönem kadar geçen yaklaşık 1000 yıllık süreçte devam etmiştir. Bu süreçte özellikle taş işçiliği oldukça gelişmiş ve günümüze kadar gelen muhteşem eserler verilmiştir.</w:t>
      </w:r>
    </w:p>
    <w:p w14:paraId="3DBC2DC3" w14:textId="77777777" w:rsidR="001E7189" w:rsidRPr="007538D1" w:rsidRDefault="001E7189" w:rsidP="007513A1">
      <w:pPr>
        <w:jc w:val="both"/>
      </w:pPr>
    </w:p>
    <w:p w14:paraId="77346D8D" w14:textId="65A0FDF0" w:rsidR="001E7189" w:rsidRPr="007538D1" w:rsidRDefault="001E7189" w:rsidP="007513A1">
      <w:pPr>
        <w:jc w:val="both"/>
      </w:pPr>
      <w:r w:rsidRPr="007538D1">
        <w:t xml:space="preserve">Müslümanların bölgeye gelmesi </w:t>
      </w:r>
      <w:proofErr w:type="gramStart"/>
      <w:r w:rsidRPr="007538D1">
        <w:t>ile birlikte</w:t>
      </w:r>
      <w:proofErr w:type="gramEnd"/>
      <w:r w:rsidRPr="007538D1">
        <w:t xml:space="preserve"> bazı Budist ve </w:t>
      </w:r>
      <w:proofErr w:type="spellStart"/>
      <w:r w:rsidRPr="007538D1">
        <w:t>Çaynacı</w:t>
      </w:r>
      <w:proofErr w:type="spellEnd"/>
      <w:r w:rsidRPr="007538D1">
        <w:t xml:space="preserve"> tapınakları yıkılarak bunların hafriyatından yararlanarak türbe, camii ve medreseler inşa edilmiştir. Bu duruma örneği dünyanın en büyük minaresi olan ünlü Kutup </w:t>
      </w:r>
      <w:proofErr w:type="spellStart"/>
      <w:r w:rsidRPr="007538D1">
        <w:t>Minar</w:t>
      </w:r>
      <w:proofErr w:type="spellEnd"/>
      <w:r w:rsidRPr="007538D1">
        <w:t xml:space="preserve"> oluşturmaktadır. </w:t>
      </w:r>
      <w:proofErr w:type="spellStart"/>
      <w:r w:rsidRPr="007538D1">
        <w:t>Çayna</w:t>
      </w:r>
      <w:proofErr w:type="spellEnd"/>
      <w:r w:rsidRPr="007538D1">
        <w:t xml:space="preserve"> mabetlerinin arsası üzerine ve bu mabetlerin enkazları ile inşa edilmiştir. İslami dönemde şehirleşmede en önemli unsurlar camii ve saraylar olmuştur. Ayrıca İslami idare Hint coğrafyasına türbe kültürünü getirmiştir. Bu kültürün en güzel örneğini </w:t>
      </w:r>
      <w:proofErr w:type="spellStart"/>
      <w:r w:rsidRPr="007538D1">
        <w:t>Tac</w:t>
      </w:r>
      <w:proofErr w:type="spellEnd"/>
      <w:r w:rsidRPr="007538D1">
        <w:t xml:space="preserve"> Mahal oluşturmaktadır. Şah Cihan’ın eşi adına yaptırdığı bu anıt türbe geniş bir bahçe içerisine yapılmıştır. Müslümanlar döneminde kızıl kum taşı ile diğer renkteki taşların mükemmel uyumu ile yapılan saraylar günümüze kadar gelmiş ve hala göz doldurmaktadır. Bu çalışmamızda Hint şehirciliğini üzerinden incelediğimiz Delhi şehri farklı idareciler döneminde farklı mekânlara yönetim merkezinin saraylar yapılarak taşınması sonucu oluşmuş devasa bir şehirdir. Bu yönetim merkezlerinin bir araya gelmesinden bugün ki modern Delhi şehri oluşmuştur.  Delhi’de ve diğer Hint şehirlerindeki dikkat çeken unsur bahçe kültürüdür. Düz bir ovanın içerisine kurulmuş olmaları nedeniyle gayet geniş arsalara sahip olan binalar özellikle dini ve idari yapılar yani saraylar geniş bahçeler</w:t>
      </w:r>
      <w:r>
        <w:t>i ve içerisinde süs havuzlarını barındırmışlardır.</w:t>
      </w:r>
    </w:p>
    <w:p w14:paraId="315BA0A7" w14:textId="6C3AC051" w:rsidR="001E7189" w:rsidRDefault="001E7189" w:rsidP="007513A1">
      <w:pPr>
        <w:jc w:val="both"/>
      </w:pPr>
      <w:r w:rsidRPr="007538D1">
        <w:t xml:space="preserve">İslami dönem ve öncesini kıyasladığımızda görülmüştür ki Hint şehrini oluşturan merkez dini yapılardan saraya kaymıştır. Çünkü İslami dönem de yeni bir alanda idari binalar inşa edildiğinde şehrin canlılığı da o tarafa taşınmıştır. Ancak özellikle Budizm ve </w:t>
      </w:r>
      <w:proofErr w:type="spellStart"/>
      <w:r w:rsidRPr="007538D1">
        <w:t>Çaynacılığın</w:t>
      </w:r>
      <w:proofErr w:type="spellEnd"/>
      <w:r w:rsidRPr="007538D1">
        <w:t xml:space="preserve"> etkin olduğu dönemde şehir dini mabetlerin etrafında canlılığını korumuştur.</w:t>
      </w:r>
    </w:p>
    <w:p w14:paraId="232EE5D6" w14:textId="77777777" w:rsidR="001E7189" w:rsidRPr="007538D1" w:rsidRDefault="001E7189" w:rsidP="007513A1">
      <w:pPr>
        <w:jc w:val="both"/>
      </w:pPr>
    </w:p>
    <w:p w14:paraId="450C89A4" w14:textId="77777777" w:rsidR="00342070" w:rsidRDefault="001E7189" w:rsidP="007513A1">
      <w:pPr>
        <w:jc w:val="both"/>
      </w:pPr>
      <w:r w:rsidRPr="007538D1">
        <w:t xml:space="preserve">Görülmüştür ki tarımsal üretime dayalı bir ekonomik yapıda olan Hint şehirciliği çok eski bir geçmişe sahiptir. Zengin ve kalabalık bir şehir hayatı olan Hint şehirleri biraz da ırmaklar etrafında ve deniz kenarında geniş düz ovalara yayıldıkları için su kültürlüdürler. Hint şehri ve </w:t>
      </w:r>
      <w:r w:rsidRPr="007538D1">
        <w:lastRenderedPageBreak/>
        <w:t>şehirciliği kendine özgü ve dışarıdan gelen İslami kültürü de kendi içinde geliştirip farklı mimari ve şehir örnekleri verme özelliğine sahiptir</w:t>
      </w:r>
      <w:r w:rsidR="00342070">
        <w:t>.</w:t>
      </w:r>
    </w:p>
    <w:p w14:paraId="351F41B3" w14:textId="77777777" w:rsidR="00342070" w:rsidRDefault="00342070" w:rsidP="007513A1">
      <w:pPr>
        <w:jc w:val="both"/>
      </w:pPr>
    </w:p>
    <w:p w14:paraId="3C15352F" w14:textId="0D093412" w:rsidR="001E7189" w:rsidRPr="00342070" w:rsidRDefault="001E7189" w:rsidP="007513A1">
      <w:pPr>
        <w:jc w:val="both"/>
      </w:pPr>
      <w:r w:rsidRPr="00342070">
        <w:rPr>
          <w:b/>
          <w:bCs/>
        </w:rPr>
        <w:t>KAYNAKÇA</w:t>
      </w:r>
    </w:p>
    <w:p w14:paraId="0C7C8779" w14:textId="489B8656" w:rsidR="001E7189" w:rsidRPr="007538D1" w:rsidRDefault="001E7189">
      <w:pPr>
        <w:pStyle w:val="ListeParagraf"/>
        <w:numPr>
          <w:ilvl w:val="0"/>
          <w:numId w:val="45"/>
        </w:numPr>
        <w:ind w:left="0"/>
        <w:jc w:val="both"/>
      </w:pPr>
      <w:proofErr w:type="spellStart"/>
      <w:proofErr w:type="gramStart"/>
      <w:r w:rsidRPr="007538D1">
        <w:t>Ayyubi</w:t>
      </w:r>
      <w:proofErr w:type="spellEnd"/>
      <w:r>
        <w:t>,  N.</w:t>
      </w:r>
      <w:proofErr w:type="gramEnd"/>
      <w:r>
        <w:t xml:space="preserve"> A.</w:t>
      </w:r>
      <w:r w:rsidRPr="007538D1">
        <w:t xml:space="preserve"> </w:t>
      </w:r>
      <w:r>
        <w:t>(</w:t>
      </w:r>
      <w:r w:rsidRPr="007538D1">
        <w:t>1964</w:t>
      </w:r>
      <w:r>
        <w:t>).</w:t>
      </w:r>
      <w:r w:rsidRPr="007538D1">
        <w:t xml:space="preserve"> Hindistan Türklere Neler </w:t>
      </w:r>
      <w:proofErr w:type="gramStart"/>
      <w:r w:rsidRPr="007538D1">
        <w:t>Borçludur?</w:t>
      </w:r>
      <w:r>
        <w:t>.</w:t>
      </w:r>
      <w:proofErr w:type="gramEnd"/>
      <w:r w:rsidRPr="007538D1">
        <w:t xml:space="preserve"> </w:t>
      </w:r>
      <w:r w:rsidRPr="00114C6B">
        <w:rPr>
          <w:i/>
        </w:rPr>
        <w:t>DTCF Tarih Araştırmaları Dergisi</w:t>
      </w:r>
      <w:r w:rsidRPr="007538D1">
        <w:t xml:space="preserve"> (Çev. Nejat Kaymaz</w:t>
      </w:r>
      <w:proofErr w:type="gramStart"/>
      <w:r w:rsidRPr="007538D1">
        <w:t>),</w:t>
      </w:r>
      <w:r w:rsidRPr="00114C6B">
        <w:rPr>
          <w:b/>
        </w:rPr>
        <w:t xml:space="preserve">  </w:t>
      </w:r>
      <w:r>
        <w:t>2</w:t>
      </w:r>
      <w:proofErr w:type="gramEnd"/>
      <w:r>
        <w:t>(</w:t>
      </w:r>
      <w:r w:rsidRPr="007538D1">
        <w:t>2</w:t>
      </w:r>
      <w:r>
        <w:t>).</w:t>
      </w:r>
      <w:r w:rsidRPr="007538D1">
        <w:t xml:space="preserve"> 277-283.</w:t>
      </w:r>
    </w:p>
    <w:p w14:paraId="2065DAAA" w14:textId="77777777" w:rsidR="001E7189" w:rsidRPr="007538D1" w:rsidRDefault="001E7189">
      <w:pPr>
        <w:pStyle w:val="ListeParagraf"/>
        <w:numPr>
          <w:ilvl w:val="0"/>
          <w:numId w:val="45"/>
        </w:numPr>
        <w:ind w:left="0"/>
        <w:jc w:val="both"/>
      </w:pPr>
      <w:r w:rsidRPr="007538D1">
        <w:t>Bauer, S</w:t>
      </w:r>
      <w:r>
        <w:t>.</w:t>
      </w:r>
      <w:r w:rsidRPr="007538D1">
        <w:t xml:space="preserve"> W</w:t>
      </w:r>
      <w:r>
        <w:t>. (</w:t>
      </w:r>
      <w:r w:rsidRPr="007538D1">
        <w:t>2024</w:t>
      </w:r>
      <w:r>
        <w:t>).</w:t>
      </w:r>
      <w:r w:rsidRPr="007538D1">
        <w:t xml:space="preserve"> </w:t>
      </w:r>
      <w:r w:rsidRPr="00114C6B">
        <w:rPr>
          <w:i/>
        </w:rPr>
        <w:t>Dünya Tarihi</w:t>
      </w:r>
      <w:r>
        <w:t>. (</w:t>
      </w:r>
      <w:r w:rsidRPr="007538D1">
        <w:t>Çev. Mihriban Doğan</w:t>
      </w:r>
      <w:r>
        <w:t>). 1.</w:t>
      </w:r>
      <w:r w:rsidRPr="007538D1">
        <w:t xml:space="preserve"> </w:t>
      </w:r>
      <w:r>
        <w:t>Say Yayınları.</w:t>
      </w:r>
      <w:r w:rsidRPr="007538D1">
        <w:t xml:space="preserve"> 59.</w:t>
      </w:r>
    </w:p>
    <w:p w14:paraId="7E827DF3" w14:textId="117D6684" w:rsidR="001E7189" w:rsidRPr="007538D1" w:rsidRDefault="001E7189">
      <w:pPr>
        <w:pStyle w:val="ListeParagraf"/>
        <w:numPr>
          <w:ilvl w:val="0"/>
          <w:numId w:val="45"/>
        </w:numPr>
        <w:ind w:left="0"/>
        <w:jc w:val="both"/>
      </w:pPr>
      <w:proofErr w:type="spellStart"/>
      <w:r w:rsidRPr="007538D1">
        <w:t>Bayur</w:t>
      </w:r>
      <w:proofErr w:type="spellEnd"/>
      <w:r w:rsidRPr="007538D1">
        <w:t>, Y</w:t>
      </w:r>
      <w:r>
        <w:t>.</w:t>
      </w:r>
      <w:r w:rsidRPr="007538D1">
        <w:t xml:space="preserve"> H</w:t>
      </w:r>
      <w:r>
        <w:t>.</w:t>
      </w:r>
      <w:r w:rsidRPr="007538D1">
        <w:t xml:space="preserve"> </w:t>
      </w:r>
      <w:r>
        <w:t>(</w:t>
      </w:r>
      <w:r w:rsidRPr="007538D1">
        <w:t>1946</w:t>
      </w:r>
      <w:r>
        <w:t>)</w:t>
      </w:r>
      <w:r w:rsidRPr="007538D1">
        <w:t xml:space="preserve">. </w:t>
      </w:r>
      <w:r w:rsidRPr="00114C6B">
        <w:rPr>
          <w:i/>
        </w:rPr>
        <w:t>Hindistan Tarihi</w:t>
      </w:r>
      <w:r w:rsidRPr="00114C6B">
        <w:rPr>
          <w:b/>
        </w:rPr>
        <w:t>.</w:t>
      </w:r>
      <w:r w:rsidRPr="007538D1">
        <w:t xml:space="preserve"> 1</w:t>
      </w:r>
      <w:r>
        <w:t>.</w:t>
      </w:r>
      <w:r w:rsidRPr="007538D1">
        <w:t xml:space="preserve"> Türk Tarih Kurumu Yayınları</w:t>
      </w:r>
      <w:r>
        <w:t>.</w:t>
      </w:r>
    </w:p>
    <w:p w14:paraId="6F26DD71" w14:textId="77777777" w:rsidR="001E7189" w:rsidRPr="007538D1" w:rsidRDefault="001E7189">
      <w:pPr>
        <w:pStyle w:val="ListeParagraf"/>
        <w:numPr>
          <w:ilvl w:val="0"/>
          <w:numId w:val="45"/>
        </w:numPr>
        <w:ind w:left="0"/>
        <w:jc w:val="both"/>
      </w:pPr>
      <w:r w:rsidRPr="007538D1">
        <w:t>Erinç, S</w:t>
      </w:r>
      <w:r>
        <w:t>. (</w:t>
      </w:r>
      <w:r w:rsidRPr="007538D1">
        <w:t>2010</w:t>
      </w:r>
      <w:r>
        <w:t>).</w:t>
      </w:r>
      <w:r w:rsidRPr="007538D1">
        <w:t xml:space="preserve"> Hindi</w:t>
      </w:r>
      <w:r>
        <w:t xml:space="preserve">stan, </w:t>
      </w:r>
      <w:proofErr w:type="gramStart"/>
      <w:r>
        <w:t>Beşeri</w:t>
      </w:r>
      <w:proofErr w:type="gramEnd"/>
      <w:r>
        <w:t xml:space="preserve"> ve Fiziki Coğrafya.</w:t>
      </w:r>
      <w:r w:rsidRPr="007538D1">
        <w:t xml:space="preserve"> </w:t>
      </w:r>
      <w:r w:rsidRPr="00114C6B">
        <w:rPr>
          <w:i/>
        </w:rPr>
        <w:t>DİA</w:t>
      </w:r>
      <w:r w:rsidRPr="00114C6B">
        <w:rPr>
          <w:b/>
        </w:rPr>
        <w:t>.</w:t>
      </w:r>
      <w:r>
        <w:t xml:space="preserve"> 18, TDV Yayınları. </w:t>
      </w:r>
      <w:r w:rsidRPr="007538D1">
        <w:t>69-73.</w:t>
      </w:r>
    </w:p>
    <w:p w14:paraId="410A3628" w14:textId="77777777" w:rsidR="001E7189" w:rsidRPr="007538D1" w:rsidRDefault="001E7189">
      <w:pPr>
        <w:pStyle w:val="ListeParagraf"/>
        <w:numPr>
          <w:ilvl w:val="0"/>
          <w:numId w:val="45"/>
        </w:numPr>
        <w:ind w:left="0"/>
        <w:jc w:val="both"/>
      </w:pPr>
      <w:proofErr w:type="spellStart"/>
      <w:r w:rsidRPr="007538D1">
        <w:t>Fanshawe</w:t>
      </w:r>
      <w:proofErr w:type="spellEnd"/>
      <w:r w:rsidRPr="007538D1">
        <w:t xml:space="preserve">, H. C. </w:t>
      </w:r>
      <w:r>
        <w:t>(</w:t>
      </w:r>
      <w:r w:rsidRPr="007538D1">
        <w:t>1963</w:t>
      </w:r>
      <w:r>
        <w:t>).</w:t>
      </w:r>
      <w:r w:rsidRPr="007538D1">
        <w:t xml:space="preserve"> </w:t>
      </w:r>
      <w:proofErr w:type="spellStart"/>
      <w:r>
        <w:t>Dehli</w:t>
      </w:r>
      <w:proofErr w:type="spellEnd"/>
      <w:r>
        <w:t xml:space="preserve">, </w:t>
      </w:r>
      <w:proofErr w:type="spellStart"/>
      <w:r>
        <w:t>Dihli</w:t>
      </w:r>
      <w:proofErr w:type="spellEnd"/>
      <w:r>
        <w:t>.</w:t>
      </w:r>
      <w:r w:rsidRPr="007538D1">
        <w:t xml:space="preserve"> </w:t>
      </w:r>
      <w:r w:rsidRPr="00114C6B">
        <w:rPr>
          <w:i/>
        </w:rPr>
        <w:t>MEB İslam Ansiklopedisi.</w:t>
      </w:r>
      <w:r w:rsidRPr="00114C6B">
        <w:rPr>
          <w:b/>
        </w:rPr>
        <w:t xml:space="preserve"> </w:t>
      </w:r>
      <w:r>
        <w:t xml:space="preserve">3. MEB Yayınları. </w:t>
      </w:r>
      <w:r w:rsidRPr="007538D1">
        <w:t>510.</w:t>
      </w:r>
    </w:p>
    <w:p w14:paraId="3FCC6AFB" w14:textId="12D27E31" w:rsidR="001E7189" w:rsidRDefault="001E7189">
      <w:pPr>
        <w:pStyle w:val="ListeParagraf"/>
        <w:numPr>
          <w:ilvl w:val="0"/>
          <w:numId w:val="45"/>
        </w:numPr>
        <w:ind w:left="0"/>
        <w:jc w:val="both"/>
      </w:pPr>
      <w:r w:rsidRPr="007538D1">
        <w:t>Johnson, G</w:t>
      </w:r>
      <w:r>
        <w:t>.</w:t>
      </w:r>
      <w:r w:rsidRPr="007538D1">
        <w:t xml:space="preserve"> </w:t>
      </w:r>
      <w:r>
        <w:t>(</w:t>
      </w:r>
      <w:r w:rsidRPr="007538D1">
        <w:t>199</w:t>
      </w:r>
      <w:r>
        <w:t>8)</w:t>
      </w:r>
      <w:r w:rsidRPr="007538D1">
        <w:t>.</w:t>
      </w:r>
      <w:r>
        <w:t xml:space="preserve"> </w:t>
      </w:r>
      <w:r w:rsidRPr="00114C6B">
        <w:rPr>
          <w:i/>
        </w:rPr>
        <w:t xml:space="preserve">Atlaslı Büyük Uygarlıklar Ansiklopedisi, Hint Dünyası. </w:t>
      </w:r>
      <w:r>
        <w:t>(</w:t>
      </w:r>
      <w:r w:rsidRPr="007538D1">
        <w:t>Çev. Müfide Pekin</w:t>
      </w:r>
      <w:r>
        <w:t>).</w:t>
      </w:r>
      <w:r w:rsidRPr="007538D1">
        <w:t xml:space="preserve"> 10</w:t>
      </w:r>
      <w:r>
        <w:t xml:space="preserve">. </w:t>
      </w:r>
      <w:r w:rsidRPr="007538D1">
        <w:t>İletişim Yayınları</w:t>
      </w:r>
      <w:r>
        <w:t>.</w:t>
      </w:r>
    </w:p>
    <w:p w14:paraId="2030FFD8" w14:textId="303FE608" w:rsidR="001E7189" w:rsidRPr="007538D1" w:rsidRDefault="001E7189">
      <w:pPr>
        <w:pStyle w:val="ListeParagraf"/>
        <w:numPr>
          <w:ilvl w:val="0"/>
          <w:numId w:val="45"/>
        </w:numPr>
        <w:ind w:left="0"/>
        <w:jc w:val="both"/>
      </w:pPr>
      <w:proofErr w:type="spellStart"/>
      <w:r w:rsidRPr="007538D1">
        <w:t>Kulke</w:t>
      </w:r>
      <w:proofErr w:type="spellEnd"/>
      <w:r>
        <w:t>,</w:t>
      </w:r>
      <w:r w:rsidRPr="007538D1">
        <w:t xml:space="preserve"> Herman</w:t>
      </w:r>
      <w:r>
        <w:t xml:space="preserve"> ve</w:t>
      </w:r>
      <w:r w:rsidRPr="007538D1">
        <w:t xml:space="preserve"> </w:t>
      </w:r>
      <w:proofErr w:type="spellStart"/>
      <w:r w:rsidRPr="007538D1">
        <w:t>Dietmar</w:t>
      </w:r>
      <w:proofErr w:type="spellEnd"/>
      <w:r w:rsidRPr="007538D1">
        <w:t xml:space="preserve"> R</w:t>
      </w:r>
      <w:r>
        <w:t xml:space="preserve">. (2001). </w:t>
      </w:r>
      <w:r w:rsidRPr="00114C6B">
        <w:rPr>
          <w:i/>
        </w:rPr>
        <w:t>Hindistan Tarihi.</w:t>
      </w:r>
      <w:r w:rsidRPr="007538D1">
        <w:t xml:space="preserve"> </w:t>
      </w:r>
      <w:r>
        <w:t>(</w:t>
      </w:r>
      <w:r w:rsidRPr="007538D1">
        <w:t>Çev. Müfit Günay</w:t>
      </w:r>
      <w:r>
        <w:t>).</w:t>
      </w:r>
      <w:r w:rsidRPr="007538D1">
        <w:t xml:space="preserve"> İmge Kitapevi</w:t>
      </w:r>
      <w:r>
        <w:t>.</w:t>
      </w:r>
    </w:p>
    <w:p w14:paraId="12D3C116" w14:textId="77777777" w:rsidR="001E7189" w:rsidRPr="007538D1" w:rsidRDefault="001E7189">
      <w:pPr>
        <w:pStyle w:val="ListeParagraf"/>
        <w:numPr>
          <w:ilvl w:val="0"/>
          <w:numId w:val="45"/>
        </w:numPr>
        <w:ind w:left="0"/>
        <w:jc w:val="both"/>
      </w:pPr>
      <w:proofErr w:type="spellStart"/>
      <w:r w:rsidRPr="007538D1">
        <w:t>Mcneill</w:t>
      </w:r>
      <w:proofErr w:type="spellEnd"/>
      <w:r w:rsidRPr="007538D1">
        <w:t>, W</w:t>
      </w:r>
      <w:r>
        <w:t>.</w:t>
      </w:r>
      <w:r w:rsidRPr="007538D1">
        <w:t xml:space="preserve"> H. </w:t>
      </w:r>
      <w:r>
        <w:t>(</w:t>
      </w:r>
      <w:r w:rsidRPr="007538D1">
        <w:t>2006</w:t>
      </w:r>
      <w:r>
        <w:t>)</w:t>
      </w:r>
      <w:r w:rsidRPr="007538D1">
        <w:t>.</w:t>
      </w:r>
      <w:r>
        <w:t xml:space="preserve"> </w:t>
      </w:r>
      <w:r w:rsidRPr="00114C6B">
        <w:rPr>
          <w:i/>
        </w:rPr>
        <w:t>Dünya Tarihi,</w:t>
      </w:r>
      <w:r w:rsidRPr="007538D1">
        <w:t xml:space="preserve"> </w:t>
      </w:r>
      <w:r>
        <w:t>(</w:t>
      </w:r>
      <w:r w:rsidRPr="007538D1">
        <w:t>Çev. Alâeddin Şenol</w:t>
      </w:r>
      <w:r>
        <w:t>).</w:t>
      </w:r>
      <w:r w:rsidRPr="007538D1">
        <w:t xml:space="preserve"> İmge Kitabevi</w:t>
      </w:r>
      <w:r>
        <w:t>.</w:t>
      </w:r>
    </w:p>
    <w:p w14:paraId="60A324A2" w14:textId="77777777" w:rsidR="001E7189" w:rsidRPr="007538D1" w:rsidRDefault="001E7189">
      <w:pPr>
        <w:pStyle w:val="ListeParagraf"/>
        <w:numPr>
          <w:ilvl w:val="0"/>
          <w:numId w:val="45"/>
        </w:numPr>
        <w:ind w:left="0"/>
        <w:jc w:val="both"/>
      </w:pPr>
      <w:r w:rsidRPr="007538D1">
        <w:t>Memiş, E</w:t>
      </w:r>
      <w:r>
        <w:t>.</w:t>
      </w:r>
      <w:r w:rsidRPr="007538D1">
        <w:t xml:space="preserve"> </w:t>
      </w:r>
      <w:r w:rsidRPr="00F362D6">
        <w:t>(2006).</w:t>
      </w:r>
      <w:r>
        <w:t xml:space="preserve"> </w:t>
      </w:r>
      <w:r w:rsidRPr="00114C6B">
        <w:rPr>
          <w:i/>
        </w:rPr>
        <w:t>Eskiçağ Medeniyetleri Tarihi</w:t>
      </w:r>
      <w:r w:rsidRPr="00114C6B">
        <w:rPr>
          <w:b/>
        </w:rPr>
        <w:t>.</w:t>
      </w:r>
      <w:r>
        <w:t xml:space="preserve"> Ekin Kitapevi.</w:t>
      </w:r>
    </w:p>
    <w:p w14:paraId="6DC14B2B" w14:textId="77777777" w:rsidR="001E7189" w:rsidRPr="007538D1" w:rsidRDefault="001E7189">
      <w:pPr>
        <w:pStyle w:val="ListeParagraf"/>
        <w:numPr>
          <w:ilvl w:val="0"/>
          <w:numId w:val="45"/>
        </w:numPr>
        <w:ind w:left="0"/>
        <w:jc w:val="both"/>
      </w:pPr>
      <w:r w:rsidRPr="007538D1">
        <w:t>Nizami, K</w:t>
      </w:r>
      <w:r>
        <w:t>.</w:t>
      </w:r>
      <w:r w:rsidRPr="007538D1">
        <w:t xml:space="preserve"> A</w:t>
      </w:r>
      <w:r>
        <w:t xml:space="preserve">. (1994). </w:t>
      </w:r>
      <w:r w:rsidRPr="007538D1">
        <w:t>Delhi</w:t>
      </w:r>
      <w:r>
        <w:t xml:space="preserve">. </w:t>
      </w:r>
      <w:r w:rsidRPr="00114C6B">
        <w:rPr>
          <w:i/>
        </w:rPr>
        <w:t>DİA</w:t>
      </w:r>
      <w:r w:rsidRPr="00114C6B">
        <w:rPr>
          <w:b/>
        </w:rPr>
        <w:t>,</w:t>
      </w:r>
      <w:r w:rsidRPr="007538D1">
        <w:t xml:space="preserve"> 9, TDV Yayınları.</w:t>
      </w:r>
      <w:r>
        <w:t xml:space="preserve"> </w:t>
      </w:r>
      <w:r w:rsidRPr="007538D1">
        <w:t>126-128.</w:t>
      </w:r>
    </w:p>
    <w:p w14:paraId="2B6D952D" w14:textId="77777777" w:rsidR="001E7189" w:rsidRPr="007538D1" w:rsidRDefault="001E7189">
      <w:pPr>
        <w:pStyle w:val="ListeParagraf"/>
        <w:numPr>
          <w:ilvl w:val="0"/>
          <w:numId w:val="45"/>
        </w:numPr>
        <w:ind w:left="0"/>
        <w:jc w:val="both"/>
      </w:pPr>
      <w:r w:rsidRPr="007538D1">
        <w:t>Özcan, A</w:t>
      </w:r>
      <w:r>
        <w:t>. (</w:t>
      </w:r>
      <w:r w:rsidRPr="003419FD">
        <w:t>2010</w:t>
      </w:r>
      <w:r>
        <w:t>).</w:t>
      </w:r>
      <w:r w:rsidRPr="003419FD">
        <w:t xml:space="preserve"> </w:t>
      </w:r>
      <w:r>
        <w:t xml:space="preserve"> </w:t>
      </w:r>
      <w:r w:rsidRPr="007538D1">
        <w:t>Hindistan</w:t>
      </w:r>
      <w:r>
        <w:t>-</w:t>
      </w:r>
      <w:r w:rsidRPr="007538D1">
        <w:t>Tarih</w:t>
      </w:r>
      <w:r>
        <w:t xml:space="preserve">. </w:t>
      </w:r>
      <w:r w:rsidRPr="00114C6B">
        <w:rPr>
          <w:i/>
        </w:rPr>
        <w:t>DİA,</w:t>
      </w:r>
      <w:r w:rsidRPr="007538D1">
        <w:t xml:space="preserve"> 18, TDV Yayınları</w:t>
      </w:r>
      <w:r>
        <w:t>.</w:t>
      </w:r>
      <w:r w:rsidRPr="007538D1">
        <w:t>75-81.</w:t>
      </w:r>
    </w:p>
    <w:p w14:paraId="2600B00C" w14:textId="77777777" w:rsidR="001E7189" w:rsidRPr="007538D1" w:rsidRDefault="001E7189">
      <w:pPr>
        <w:pStyle w:val="ListeParagraf"/>
        <w:numPr>
          <w:ilvl w:val="0"/>
          <w:numId w:val="45"/>
        </w:numPr>
        <w:ind w:left="0"/>
        <w:jc w:val="both"/>
      </w:pPr>
      <w:proofErr w:type="spellStart"/>
      <w:r w:rsidRPr="007538D1">
        <w:t>Ponting</w:t>
      </w:r>
      <w:proofErr w:type="spellEnd"/>
      <w:r w:rsidRPr="007538D1">
        <w:t>, C</w:t>
      </w:r>
      <w:r>
        <w:t>. (</w:t>
      </w:r>
      <w:r w:rsidRPr="007538D1">
        <w:t>2011</w:t>
      </w:r>
      <w:r>
        <w:t>).</w:t>
      </w:r>
      <w:r w:rsidRPr="007538D1">
        <w:t xml:space="preserve"> </w:t>
      </w:r>
      <w:r w:rsidRPr="00114C6B">
        <w:rPr>
          <w:i/>
        </w:rPr>
        <w:t>Yeni Bir Bakış Açısıyla Dünya Tarihi</w:t>
      </w:r>
      <w:r>
        <w:t>. (</w:t>
      </w:r>
      <w:r w:rsidRPr="007538D1">
        <w:t xml:space="preserve">Çev. Eşref Bengi </w:t>
      </w:r>
      <w:proofErr w:type="spellStart"/>
      <w:r w:rsidRPr="007538D1">
        <w:t>Özbilen</w:t>
      </w:r>
      <w:proofErr w:type="spellEnd"/>
      <w:r>
        <w:t>).</w:t>
      </w:r>
      <w:r w:rsidRPr="007538D1">
        <w:t xml:space="preserve"> Alfa Yayınları</w:t>
      </w:r>
      <w:r>
        <w:t>.</w:t>
      </w:r>
    </w:p>
    <w:p w14:paraId="036E87E4" w14:textId="77777777" w:rsidR="001E7189" w:rsidRPr="007538D1" w:rsidRDefault="001E7189">
      <w:pPr>
        <w:pStyle w:val="ListeParagraf"/>
        <w:numPr>
          <w:ilvl w:val="0"/>
          <w:numId w:val="45"/>
        </w:numPr>
        <w:ind w:left="0"/>
        <w:jc w:val="both"/>
      </w:pPr>
      <w:r w:rsidRPr="007538D1">
        <w:t>Roberts, J</w:t>
      </w:r>
      <w:r>
        <w:t xml:space="preserve">. </w:t>
      </w:r>
      <w:r w:rsidRPr="007538D1">
        <w:t>M</w:t>
      </w:r>
      <w:r>
        <w:t>. (2017).</w:t>
      </w:r>
      <w:r w:rsidRPr="00114C6B">
        <w:rPr>
          <w:b/>
        </w:rPr>
        <w:t xml:space="preserve"> </w:t>
      </w:r>
      <w:r w:rsidRPr="00114C6B">
        <w:rPr>
          <w:i/>
        </w:rPr>
        <w:t>Dünya Tarihi Tarihöncesi Çağlardan 18. Yüzyıla,</w:t>
      </w:r>
      <w:r w:rsidRPr="007538D1">
        <w:t xml:space="preserve"> </w:t>
      </w:r>
      <w:r>
        <w:t>(</w:t>
      </w:r>
      <w:r w:rsidRPr="007538D1">
        <w:t>Çev. İdem Erman</w:t>
      </w:r>
      <w:r>
        <w:t>).</w:t>
      </w:r>
      <w:r w:rsidRPr="007538D1">
        <w:t xml:space="preserve"> </w:t>
      </w:r>
      <w:r>
        <w:t>1.</w:t>
      </w:r>
      <w:r w:rsidRPr="007538D1">
        <w:t xml:space="preserve"> İnkılap Yayınları</w:t>
      </w:r>
      <w:r>
        <w:t>.</w:t>
      </w:r>
    </w:p>
    <w:p w14:paraId="425FECE7" w14:textId="77777777" w:rsidR="001E7189" w:rsidRPr="007538D1" w:rsidRDefault="001E7189">
      <w:pPr>
        <w:pStyle w:val="ListeParagraf"/>
        <w:numPr>
          <w:ilvl w:val="0"/>
          <w:numId w:val="45"/>
        </w:numPr>
        <w:ind w:left="0"/>
        <w:jc w:val="both"/>
      </w:pPr>
      <w:proofErr w:type="spellStart"/>
      <w:r w:rsidRPr="007538D1">
        <w:t>Ruben</w:t>
      </w:r>
      <w:proofErr w:type="spellEnd"/>
      <w:r w:rsidRPr="007538D1">
        <w:t>, W</w:t>
      </w:r>
      <w:r>
        <w:t xml:space="preserve">. (1943). </w:t>
      </w:r>
      <w:r w:rsidRPr="007538D1">
        <w:t>Hint’te Köy ve Şehir</w:t>
      </w:r>
      <w:r>
        <w:t>.</w:t>
      </w:r>
      <w:r w:rsidRPr="007538D1">
        <w:t xml:space="preserve"> </w:t>
      </w:r>
      <w:r w:rsidRPr="00114C6B">
        <w:rPr>
          <w:i/>
        </w:rPr>
        <w:t>DTCF Tarih Araştırmaları Dergisi</w:t>
      </w:r>
      <w:r w:rsidRPr="007538D1">
        <w:t xml:space="preserve">, </w:t>
      </w:r>
      <w:r>
        <w:t>(Çev. Nusret Hızır).</w:t>
      </w:r>
      <w:r w:rsidRPr="007538D1">
        <w:t xml:space="preserve"> 1</w:t>
      </w:r>
      <w:r>
        <w:t>(</w:t>
      </w:r>
      <w:r w:rsidRPr="007538D1">
        <w:t>3</w:t>
      </w:r>
      <w:r>
        <w:t>).</w:t>
      </w:r>
      <w:r w:rsidRPr="007538D1">
        <w:t xml:space="preserve"> 29-44.</w:t>
      </w:r>
    </w:p>
    <w:p w14:paraId="751020CC" w14:textId="19845C73" w:rsidR="00C70E93" w:rsidRDefault="001E7189">
      <w:pPr>
        <w:pStyle w:val="ListeParagraf"/>
        <w:numPr>
          <w:ilvl w:val="0"/>
          <w:numId w:val="45"/>
        </w:numPr>
        <w:ind w:left="0"/>
        <w:jc w:val="both"/>
      </w:pPr>
      <w:proofErr w:type="spellStart"/>
      <w:r w:rsidRPr="007538D1">
        <w:t>Stein</w:t>
      </w:r>
      <w:proofErr w:type="spellEnd"/>
      <w:r w:rsidRPr="007538D1">
        <w:t>, B</w:t>
      </w:r>
      <w:r>
        <w:t xml:space="preserve">. (2015). </w:t>
      </w:r>
      <w:r w:rsidRPr="00114C6B">
        <w:rPr>
          <w:i/>
        </w:rPr>
        <w:t xml:space="preserve">Hindistan Tarihi. </w:t>
      </w:r>
      <w:r>
        <w:t>(</w:t>
      </w:r>
      <w:r w:rsidRPr="007538D1">
        <w:t>Çev. Müfit Günay</w:t>
      </w:r>
      <w:r>
        <w:t>)</w:t>
      </w:r>
      <w:r w:rsidRPr="007538D1">
        <w:t xml:space="preserve"> İnkılap Yayınları</w:t>
      </w:r>
      <w:r>
        <w:t>.</w:t>
      </w:r>
    </w:p>
    <w:p w14:paraId="21EAC3EF" w14:textId="69E5F348" w:rsidR="001E7189" w:rsidRDefault="00C70E93" w:rsidP="007513A1">
      <w:pPr>
        <w:autoSpaceDE/>
        <w:autoSpaceDN/>
      </w:pPr>
      <w:r>
        <w:br w:type="page"/>
      </w:r>
    </w:p>
    <w:p w14:paraId="466B6AF6" w14:textId="77777777" w:rsidR="001E7189" w:rsidRDefault="001E7189" w:rsidP="004C7694">
      <w:pPr>
        <w:pStyle w:val="Tark"/>
      </w:pPr>
      <w:bookmarkStart w:id="127" w:name="_Toc192855204"/>
      <w:r>
        <w:lastRenderedPageBreak/>
        <w:t>İslam</w:t>
      </w:r>
      <w:r w:rsidRPr="00FE7417">
        <w:t xml:space="preserve"> </w:t>
      </w:r>
      <w:r>
        <w:t>Hukukunda</w:t>
      </w:r>
      <w:r w:rsidRPr="00FE7417">
        <w:t xml:space="preserve"> </w:t>
      </w:r>
      <w:r>
        <w:t>ve</w:t>
      </w:r>
      <w:r w:rsidRPr="00FE7417">
        <w:t xml:space="preserve"> </w:t>
      </w:r>
      <w:r>
        <w:t>Osmanlı</w:t>
      </w:r>
      <w:r w:rsidRPr="00FE7417">
        <w:t xml:space="preserve"> </w:t>
      </w:r>
      <w:r>
        <w:t>Uygulamasında</w:t>
      </w:r>
      <w:r w:rsidRPr="00FE7417">
        <w:t xml:space="preserve"> </w:t>
      </w:r>
      <w:r>
        <w:t>Kadının</w:t>
      </w:r>
      <w:r w:rsidRPr="00FE7417">
        <w:t xml:space="preserve"> </w:t>
      </w:r>
      <w:r>
        <w:t>Mahremiyetine</w:t>
      </w:r>
      <w:r w:rsidRPr="00FE7417">
        <w:t xml:space="preserve"> </w:t>
      </w:r>
      <w:r>
        <w:t>Etkisi</w:t>
      </w:r>
      <w:r w:rsidRPr="00FE7417">
        <w:t xml:space="preserve"> </w:t>
      </w:r>
      <w:r>
        <w:t>Bağlamında</w:t>
      </w:r>
      <w:r w:rsidRPr="00FE7417">
        <w:t xml:space="preserve"> </w:t>
      </w:r>
      <w:r>
        <w:t>Eşyaya</w:t>
      </w:r>
      <w:r w:rsidRPr="00FE7417">
        <w:t xml:space="preserve"> </w:t>
      </w:r>
      <w:r>
        <w:t>Bağlı</w:t>
      </w:r>
      <w:r w:rsidRPr="00FE7417">
        <w:t xml:space="preserve"> </w:t>
      </w:r>
      <w:r>
        <w:t>İrtifak</w:t>
      </w:r>
      <w:r w:rsidRPr="00FE7417">
        <w:t xml:space="preserve"> </w:t>
      </w:r>
      <w:r>
        <w:t>Hakları</w:t>
      </w:r>
      <w:r w:rsidRPr="00FE7417">
        <w:t xml:space="preserve"> </w:t>
      </w:r>
      <w:r>
        <w:t>ve</w:t>
      </w:r>
      <w:r w:rsidRPr="00FE7417">
        <w:t xml:space="preserve"> </w:t>
      </w:r>
      <w:r>
        <w:t>Mülkiyetin</w:t>
      </w:r>
      <w:r w:rsidRPr="00FE7417">
        <w:t xml:space="preserve"> </w:t>
      </w:r>
      <w:r>
        <w:t>Kısıtlanması</w:t>
      </w:r>
      <w:bookmarkEnd w:id="127"/>
    </w:p>
    <w:p w14:paraId="21F32F9E" w14:textId="77777777" w:rsidR="001E7189" w:rsidRPr="00FE7417" w:rsidRDefault="001E7189" w:rsidP="007513A1">
      <w:pPr>
        <w:jc w:val="center"/>
        <w:rPr>
          <w:color w:val="000000"/>
        </w:rPr>
      </w:pPr>
    </w:p>
    <w:p w14:paraId="0976887C" w14:textId="77777777" w:rsidR="001E7189" w:rsidRPr="00FE7417" w:rsidRDefault="001E7189" w:rsidP="007513A1">
      <w:pPr>
        <w:jc w:val="center"/>
        <w:rPr>
          <w:color w:val="000000"/>
        </w:rPr>
      </w:pPr>
      <w:proofErr w:type="spellStart"/>
      <w:r w:rsidRPr="00FE7417">
        <w:rPr>
          <w:color w:val="000000"/>
        </w:rPr>
        <w:t>Abdussamed</w:t>
      </w:r>
      <w:proofErr w:type="spellEnd"/>
      <w:r w:rsidRPr="00FE7417">
        <w:rPr>
          <w:color w:val="000000"/>
        </w:rPr>
        <w:t xml:space="preserve"> Atasoy</w:t>
      </w:r>
    </w:p>
    <w:p w14:paraId="235EA67C" w14:textId="77777777" w:rsidR="001E7189" w:rsidRPr="00FE7417" w:rsidRDefault="001E7189" w:rsidP="007513A1">
      <w:pPr>
        <w:jc w:val="center"/>
        <w:rPr>
          <w:color w:val="000000"/>
        </w:rPr>
      </w:pPr>
      <w:r w:rsidRPr="00FE7417">
        <w:rPr>
          <w:color w:val="000000"/>
        </w:rPr>
        <w:t>Dr. Öğr. Üyesi, Kırıkkale Üniversitesi, Hukuk Fakültesi</w:t>
      </w:r>
    </w:p>
    <w:p w14:paraId="0125A7AF" w14:textId="77777777" w:rsidR="001E7189" w:rsidRPr="00FE7417" w:rsidRDefault="001E7189" w:rsidP="007513A1">
      <w:pPr>
        <w:jc w:val="center"/>
        <w:rPr>
          <w:color w:val="000000"/>
        </w:rPr>
      </w:pPr>
      <w:hyperlink r:id="rId163" w:history="1">
        <w:r w:rsidRPr="00FE7417">
          <w:rPr>
            <w:color w:val="467886"/>
            <w:u w:val="single"/>
          </w:rPr>
          <w:t>samedatasoy1109@hotmail.com</w:t>
        </w:r>
      </w:hyperlink>
    </w:p>
    <w:p w14:paraId="1C9EA6BD" w14:textId="77777777" w:rsidR="001E7189" w:rsidRDefault="001E7189" w:rsidP="007513A1">
      <w:pPr>
        <w:jc w:val="center"/>
        <w:rPr>
          <w:color w:val="000000"/>
        </w:rPr>
      </w:pPr>
      <w:proofErr w:type="spellStart"/>
      <w:r w:rsidRPr="00FE7417">
        <w:rPr>
          <w:color w:val="000000"/>
        </w:rPr>
        <w:t>Orcid</w:t>
      </w:r>
      <w:proofErr w:type="spellEnd"/>
      <w:r w:rsidRPr="00FE7417">
        <w:rPr>
          <w:color w:val="000000"/>
        </w:rPr>
        <w:t>: 0000-0002-5379-3978</w:t>
      </w:r>
    </w:p>
    <w:p w14:paraId="0D6F630D" w14:textId="77777777" w:rsidR="001E7189" w:rsidRPr="00FE7417" w:rsidRDefault="001E7189" w:rsidP="007513A1">
      <w:pPr>
        <w:jc w:val="center"/>
        <w:rPr>
          <w:color w:val="000000"/>
        </w:rPr>
      </w:pPr>
    </w:p>
    <w:p w14:paraId="0537A628" w14:textId="77777777" w:rsidR="001E7189" w:rsidRPr="00FE7417" w:rsidRDefault="001E7189" w:rsidP="007513A1">
      <w:pPr>
        <w:jc w:val="center"/>
        <w:rPr>
          <w:color w:val="000000"/>
        </w:rPr>
      </w:pPr>
      <w:r w:rsidRPr="00FE7417">
        <w:rPr>
          <w:b/>
          <w:bCs/>
          <w:color w:val="000000"/>
        </w:rPr>
        <w:t>Özet</w:t>
      </w:r>
    </w:p>
    <w:p w14:paraId="42EDFFBF" w14:textId="77777777" w:rsidR="001E7189" w:rsidRPr="00FE7417" w:rsidRDefault="001E7189" w:rsidP="007513A1">
      <w:pPr>
        <w:jc w:val="both"/>
        <w:rPr>
          <w:color w:val="000000"/>
        </w:rPr>
      </w:pPr>
      <w:r w:rsidRPr="00FE7417">
        <w:rPr>
          <w:color w:val="000000"/>
        </w:rPr>
        <w:t>İslam hukukunda mahremiyete ve özel hayatın gizliliğine büyük önem verilmiştir. Mahremiyetin sınırları, bu mahremiyetin sağlanması hususunda kişinin kendisi üzerine düşen görevlere dair hükümler İslam hukukunda yer almaktadır. Bununla beraber kişi bu duruma dikkat etse dahi başkalarının da bu mahremiyeti ihlal etmesinin önlenmesine dair hükümler önem arz etmektedir. Bu konunun ceza hukuku, kişiler hukuku ve benzeri hukuk dalları ile ilişkisinin yanı sıra eşya hukuku ve borçlar hukuku ile de bağlantısı bulunmaktadır. İlgili çalışmada kadının mahremiyetine etkisi bağlamında eşyaya bağlı irtifaklar ve mülkiyetin kısıtlanması kapsamında; pencere açmama irtifakı ve sütre koyma irtifakı incelenmiştir. Ayrıca komşuluk hukuku bağlamında kişinin mülkiyetinin sınırlandırılması da incelenmiştir.</w:t>
      </w:r>
    </w:p>
    <w:p w14:paraId="3F790EDA" w14:textId="2E9ADC56" w:rsidR="001E7189" w:rsidRPr="00FE7417" w:rsidRDefault="001E7189" w:rsidP="007513A1">
      <w:pPr>
        <w:jc w:val="both"/>
        <w:rPr>
          <w:color w:val="000000"/>
        </w:rPr>
      </w:pPr>
      <w:r w:rsidRPr="00FE7417">
        <w:rPr>
          <w:color w:val="000000"/>
        </w:rPr>
        <w:t>Komşuluk hukukuna göre kişilerin, komşusunun özel yaşam alanlarını ihlal etmeyecek şekilde inşa ve tasarrufta bulunması gerekir. Bu sebeple, genellikle kadınların kullandığı alanlar gibi mahrem alanların doğrudan görünmesini engellemek amacıyla mülkiyetin kısıtlaması, duruma göre açık alanların kapatılması, duvar örülmesi gündeme gelebilmektedir.</w:t>
      </w:r>
    </w:p>
    <w:p w14:paraId="223B95DE" w14:textId="77777777" w:rsidR="001E7189" w:rsidRDefault="001E7189" w:rsidP="007513A1">
      <w:pPr>
        <w:jc w:val="both"/>
        <w:rPr>
          <w:color w:val="000000"/>
        </w:rPr>
      </w:pPr>
      <w:r w:rsidRPr="00FE7417">
        <w:rPr>
          <w:color w:val="000000"/>
        </w:rPr>
        <w:t>Eğer bir taşınmazda pencere açılacaksa, bu pencere komşunun yaşam alanlarını, mahrem alanlarını görmeyecek şekilde konumlandırılmalıdır. Bir taşınmazın belirli bölümlerinin özellikle de kadınların rahat bir şekilde çıkacakları alan olması sebebiyle evlerinin avlusunun, başka kişiler tarafından görünmesini engellemek için irtifak hakkı olarak bir engel, yani sütre konulmasının fıkhın inceleme alanında bulunması, Mecellede de bu konuda müstakil bir maddenin bulunması, mahremiyete verilen önemi göstermektedir. Sütre koyma irtifakı ve pencere açmama irtifakına ilişkin Osmanlı uygulamasını göstermesi açısından İstanbul ve Konya Kadı Sicillerinde yer alan kayıtlar önem arz etmektedir. Bu konudaki mahkeme kayıtlarının fıkhi hükümler ile benzer olması, İslam hukuku ile Osmanlı uygulamasında ilgili konuda teori ve pratik arasındaki uyumu göstermektedir.</w:t>
      </w:r>
    </w:p>
    <w:p w14:paraId="62F122DD" w14:textId="77777777" w:rsidR="001E7189" w:rsidRPr="00FE7417" w:rsidRDefault="001E7189" w:rsidP="007513A1">
      <w:pPr>
        <w:jc w:val="both"/>
        <w:rPr>
          <w:color w:val="000000"/>
        </w:rPr>
      </w:pPr>
    </w:p>
    <w:p w14:paraId="57D3617C" w14:textId="26C389E9" w:rsidR="00C70E93" w:rsidRDefault="001E7189" w:rsidP="007513A1">
      <w:pPr>
        <w:jc w:val="both"/>
        <w:rPr>
          <w:color w:val="000000"/>
        </w:rPr>
      </w:pPr>
      <w:r w:rsidRPr="00FE7417">
        <w:rPr>
          <w:b/>
          <w:bCs/>
          <w:color w:val="000000"/>
        </w:rPr>
        <w:t xml:space="preserve">Anahtar </w:t>
      </w:r>
      <w:r>
        <w:rPr>
          <w:b/>
          <w:bCs/>
          <w:color w:val="000000"/>
        </w:rPr>
        <w:t>Kelimeler</w:t>
      </w:r>
      <w:r w:rsidRPr="00FE7417">
        <w:rPr>
          <w:b/>
          <w:bCs/>
          <w:color w:val="000000"/>
        </w:rPr>
        <w:t>:</w:t>
      </w:r>
      <w:r w:rsidRPr="00FE7417">
        <w:rPr>
          <w:color w:val="000000"/>
        </w:rPr>
        <w:t xml:space="preserve"> İrtifak hakkı, komşuluk hakkı, mahremiyet, sütre koyma irtifakı duvara pencere açmama irtifakı.</w:t>
      </w:r>
    </w:p>
    <w:p w14:paraId="585E005F" w14:textId="322D2F56" w:rsidR="00114C6B" w:rsidRPr="00C70E93" w:rsidRDefault="00C70E93" w:rsidP="007513A1">
      <w:pPr>
        <w:autoSpaceDE/>
        <w:autoSpaceDN/>
        <w:rPr>
          <w:color w:val="000000"/>
        </w:rPr>
      </w:pPr>
      <w:r>
        <w:rPr>
          <w:color w:val="000000"/>
        </w:rPr>
        <w:br w:type="page"/>
      </w:r>
    </w:p>
    <w:p w14:paraId="6058B5AE" w14:textId="77777777" w:rsidR="001E7189" w:rsidRDefault="001E7189" w:rsidP="007513A1">
      <w:pPr>
        <w:jc w:val="center"/>
        <w:rPr>
          <w:b/>
          <w:bCs/>
          <w:color w:val="000000"/>
        </w:rPr>
      </w:pPr>
      <w:r w:rsidRPr="00FE7417">
        <w:rPr>
          <w:b/>
          <w:bCs/>
          <w:color w:val="000000"/>
        </w:rPr>
        <w:lastRenderedPageBreak/>
        <w:t>Avrupa Birliği Hukukunda İşçilerin Serbest Dolaşım Hakkı</w:t>
      </w:r>
    </w:p>
    <w:p w14:paraId="463EB70B" w14:textId="77777777" w:rsidR="001E7189" w:rsidRPr="00FE7417" w:rsidRDefault="001E7189" w:rsidP="007513A1">
      <w:pPr>
        <w:jc w:val="center"/>
        <w:rPr>
          <w:color w:val="000000"/>
        </w:rPr>
      </w:pPr>
    </w:p>
    <w:p w14:paraId="6F00EADF" w14:textId="77777777" w:rsidR="001E7189" w:rsidRPr="00FE7417" w:rsidRDefault="001E7189" w:rsidP="007513A1">
      <w:pPr>
        <w:jc w:val="center"/>
        <w:rPr>
          <w:color w:val="000000"/>
        </w:rPr>
      </w:pPr>
      <w:proofErr w:type="spellStart"/>
      <w:r w:rsidRPr="00FE7417">
        <w:rPr>
          <w:color w:val="000000"/>
        </w:rPr>
        <w:t>Nazrin</w:t>
      </w:r>
      <w:proofErr w:type="spellEnd"/>
      <w:r w:rsidRPr="00FE7417">
        <w:rPr>
          <w:color w:val="000000"/>
        </w:rPr>
        <w:t xml:space="preserve"> </w:t>
      </w:r>
      <w:proofErr w:type="spellStart"/>
      <w:r w:rsidRPr="00FE7417">
        <w:rPr>
          <w:color w:val="000000"/>
        </w:rPr>
        <w:t>Rzayeva</w:t>
      </w:r>
      <w:proofErr w:type="spellEnd"/>
      <w:r w:rsidRPr="00FE7417">
        <w:rPr>
          <w:color w:val="000000"/>
        </w:rPr>
        <w:br/>
        <w:t>  Bağımsız Araştırmacı</w:t>
      </w:r>
      <w:r w:rsidRPr="00FE7417">
        <w:rPr>
          <w:color w:val="000000"/>
        </w:rPr>
        <w:br/>
        <w:t>nazrinrzayeva13@gmail.com</w:t>
      </w:r>
      <w:r w:rsidRPr="00FE7417">
        <w:rPr>
          <w:color w:val="000000"/>
        </w:rPr>
        <w:br/>
        <w:t>0009-0001-9934-3681</w:t>
      </w:r>
    </w:p>
    <w:p w14:paraId="113F70F7" w14:textId="77777777" w:rsidR="001E7189" w:rsidRPr="00FE7417" w:rsidRDefault="001E7189" w:rsidP="007513A1">
      <w:pPr>
        <w:rPr>
          <w:color w:val="000000"/>
        </w:rPr>
      </w:pPr>
    </w:p>
    <w:p w14:paraId="49DD6243" w14:textId="77777777" w:rsidR="001E7189" w:rsidRPr="00FE7417" w:rsidRDefault="001E7189" w:rsidP="007513A1">
      <w:pPr>
        <w:jc w:val="center"/>
        <w:rPr>
          <w:color w:val="000000"/>
        </w:rPr>
      </w:pPr>
      <w:r w:rsidRPr="00FE7417">
        <w:rPr>
          <w:b/>
          <w:bCs/>
          <w:color w:val="000000"/>
        </w:rPr>
        <w:t>Özet</w:t>
      </w:r>
    </w:p>
    <w:p w14:paraId="47C82D52" w14:textId="6DA107A7" w:rsidR="001E7189" w:rsidRPr="00FE7417" w:rsidRDefault="001E7189" w:rsidP="007513A1">
      <w:pPr>
        <w:jc w:val="both"/>
        <w:rPr>
          <w:color w:val="000000"/>
        </w:rPr>
      </w:pPr>
      <w:r w:rsidRPr="00FE7417">
        <w:rPr>
          <w:color w:val="000000"/>
        </w:rPr>
        <w:t>Avrupa Birliği (AB) dört temel özgürlük üzerine inşa edilmiştir. Serbest dolaşım hakkı bu özgürlüklerden biridir. Diğer temel özgürlükler ise malların, hizmetlerin ve sermayenin serbest dolaşımıdır.</w:t>
      </w:r>
      <w:r w:rsidR="007513A1">
        <w:rPr>
          <w:color w:val="000000"/>
        </w:rPr>
        <w:t xml:space="preserve"> </w:t>
      </w:r>
      <w:r w:rsidRPr="00FE7417">
        <w:rPr>
          <w:color w:val="000000"/>
        </w:rPr>
        <w:t>İşçilerin serbest dolaşım hakkı, AB üyesi ülke vatandaşlarının, diğer üye ülkelerde sadece işe başvurma hakkını değil, bunun yanı sıra o ülkede ikamet hakkı, aile üyelerini çalıştıkları ülkeye getirme hakkı, istihdam ve ücret koşulları bakımından eşit muamele, mesleki eğitim görme hakkı, sosyal güvenlik gibi çeşitli hakları kapsamaktadır. Bu haklar, sadece işçiye değil, belirli koşullar altında işçilerin aile üyelerine de tanınmaktadır. Yalnızca serbest dolaşım hakkının gerçekleşmesiyle iktisadi bir birliğin kurulması, diğer bir ifade ile ekonomik bütünleşme mümkün olabilmektedir.</w:t>
      </w:r>
      <w:r w:rsidR="007513A1">
        <w:rPr>
          <w:color w:val="000000"/>
        </w:rPr>
        <w:t xml:space="preserve"> </w:t>
      </w:r>
      <w:r w:rsidRPr="00FE7417">
        <w:rPr>
          <w:color w:val="000000"/>
        </w:rPr>
        <w:t>Serbest dolaşım hakkı ilk olarak Avrupa Kömür ve Çelik Topluluğu Antlaşması ve Avrupa Atom Enerjisi Topluluğu Antlaşmasıyla öngörülmüştür. Fakat bu antlaşmalarla söz konusu haklar kömür ve çelik üretimi ve nükleer enerji sektörü gibi spesifik alanlarda çalışmak isteyen üye devletlerin vatandaşları için öngörülmüştür. Avrupa Ekonomik Topluluğunu kuran Roma Antlaşmasıyla ise serbest dolaşım, ilk defa olarak önceki antlaşmalara nazaran daha kapsamlı bir şekilde ve spesifik bir sektör belirtilmeden ele alınmıştır.</w:t>
      </w:r>
      <w:r w:rsidR="007513A1">
        <w:rPr>
          <w:color w:val="000000"/>
        </w:rPr>
        <w:t xml:space="preserve"> </w:t>
      </w:r>
      <w:r w:rsidRPr="00FE7417">
        <w:rPr>
          <w:color w:val="000000"/>
        </w:rPr>
        <w:t>Serbest dolaşım hakkı, AB’nin temel antlaşmalarının yanı sıra çeşitli tüzüklerde ve direktiflerde düzenlenmiştir. AB’nin ikincil hukuk kaynakları, serbest dolaşım hakkının gelişiminde ve bu haklara ilişkin prosedürlerin sadeleştirilmesinde önemli rol oynamıştır.</w:t>
      </w:r>
      <w:r w:rsidR="007513A1">
        <w:rPr>
          <w:color w:val="000000"/>
        </w:rPr>
        <w:t xml:space="preserve"> </w:t>
      </w:r>
      <w:r w:rsidRPr="00FE7417">
        <w:rPr>
          <w:color w:val="000000"/>
        </w:rPr>
        <w:t>Serbest dolaşım kapsamında bazı kavramlara ve kısıtlamalara AB’nin ilgili düzenlemelerinde yeterince açıklık getirilmemiştir. Bu noktada Avrupa Birliği Adalet Divanının (ABAD) kararları önem taşımaktadır. Bu doğrultuda çalışmamızın amacını AB hukuku ve ABAD kararları çerçevesinde işçilerin serbest dolaşım hakkının kapsamlı bir şekilde ele alınması teşkil etmektedir.</w:t>
      </w:r>
    </w:p>
    <w:p w14:paraId="657F8219" w14:textId="77777777" w:rsidR="001E7189" w:rsidRPr="00FE7417" w:rsidRDefault="001E7189" w:rsidP="007513A1">
      <w:pPr>
        <w:rPr>
          <w:color w:val="000000"/>
        </w:rPr>
      </w:pPr>
    </w:p>
    <w:p w14:paraId="67AED4B8" w14:textId="04732AE5" w:rsidR="00C70E93" w:rsidRDefault="001E7189" w:rsidP="007513A1">
      <w:pPr>
        <w:jc w:val="both"/>
        <w:rPr>
          <w:color w:val="000000"/>
        </w:rPr>
      </w:pPr>
      <w:r w:rsidRPr="00FE7417">
        <w:rPr>
          <w:b/>
          <w:bCs/>
          <w:color w:val="000000"/>
        </w:rPr>
        <w:t>Anahtar Kelimeler:</w:t>
      </w:r>
      <w:r w:rsidRPr="00FE7417">
        <w:rPr>
          <w:color w:val="000000"/>
        </w:rPr>
        <w:t xml:space="preserve"> İşçilerin serbest dolaşımı, göçmen işçi, sosyal güvenlik hakkı.</w:t>
      </w:r>
    </w:p>
    <w:p w14:paraId="727E29C7" w14:textId="4FE2040F" w:rsidR="001E7189" w:rsidRPr="00C70E93" w:rsidRDefault="00C70E93" w:rsidP="007513A1">
      <w:pPr>
        <w:autoSpaceDE/>
        <w:autoSpaceDN/>
        <w:rPr>
          <w:color w:val="000000"/>
        </w:rPr>
      </w:pPr>
      <w:r>
        <w:rPr>
          <w:color w:val="000000"/>
        </w:rPr>
        <w:br w:type="page"/>
      </w:r>
    </w:p>
    <w:p w14:paraId="6D15B312" w14:textId="77777777" w:rsidR="001E7189" w:rsidRPr="00FE7417" w:rsidRDefault="001E7189" w:rsidP="004C7694">
      <w:pPr>
        <w:pStyle w:val="Tark"/>
      </w:pPr>
      <w:bookmarkStart w:id="128" w:name="_Toc192855205"/>
      <w:r w:rsidRPr="00FE7417">
        <w:lastRenderedPageBreak/>
        <w:t>Matematik Eğitiminde Teknoloji ve Ters Yüz Öğrenme Modeli: Bir Bibliyometrik Analiz</w:t>
      </w:r>
      <w:bookmarkEnd w:id="128"/>
    </w:p>
    <w:p w14:paraId="7483BC70" w14:textId="77777777" w:rsidR="001E7189" w:rsidRPr="00FE7417" w:rsidRDefault="001E7189" w:rsidP="007513A1">
      <w:pPr>
        <w:rPr>
          <w:color w:val="000000"/>
        </w:rPr>
      </w:pPr>
    </w:p>
    <w:p w14:paraId="7CE0FB1C" w14:textId="77777777" w:rsidR="001E7189" w:rsidRDefault="001E7189" w:rsidP="007513A1">
      <w:pPr>
        <w:jc w:val="center"/>
        <w:rPr>
          <w:color w:val="000000"/>
        </w:rPr>
      </w:pPr>
      <w:r w:rsidRPr="00FE7417">
        <w:rPr>
          <w:color w:val="000000"/>
        </w:rPr>
        <w:t>Mustafa Kara</w:t>
      </w:r>
      <w:r w:rsidRPr="00FE7417">
        <w:rPr>
          <w:color w:val="000000"/>
        </w:rPr>
        <w:br/>
        <w:t xml:space="preserve">Yüksek Lisans Öğrencisi, Kırşehir Ahi Evran Üniversitesi, </w:t>
      </w:r>
      <w:r w:rsidRPr="00FE7417">
        <w:rPr>
          <w:rFonts w:ascii="Calibri" w:hAnsi="Calibri" w:cs="Calibri"/>
          <w:color w:val="000000"/>
        </w:rPr>
        <w:t>Matematik ve Fen Bilimleri Eğitimi Bölümü</w:t>
      </w:r>
      <w:r w:rsidRPr="00FE7417">
        <w:rPr>
          <w:color w:val="000000"/>
        </w:rPr>
        <w:br/>
      </w:r>
      <w:hyperlink r:id="rId164" w:history="1">
        <w:r w:rsidRPr="00264F1D">
          <w:rPr>
            <w:rStyle w:val="Kpr"/>
          </w:rPr>
          <w:t>muskara386@gmail.com</w:t>
        </w:r>
      </w:hyperlink>
    </w:p>
    <w:p w14:paraId="5E0E6D10" w14:textId="77777777" w:rsidR="001E7189" w:rsidRPr="00FE7417" w:rsidRDefault="001E7189" w:rsidP="007513A1">
      <w:pPr>
        <w:jc w:val="center"/>
        <w:rPr>
          <w:color w:val="000000"/>
        </w:rPr>
      </w:pPr>
      <w:r w:rsidRPr="00FE7417">
        <w:rPr>
          <w:color w:val="000000"/>
        </w:rPr>
        <w:t>0009-0001-9280-4289</w:t>
      </w:r>
    </w:p>
    <w:p w14:paraId="6A7ADD72" w14:textId="77777777" w:rsidR="001E7189" w:rsidRPr="00FE7417" w:rsidRDefault="001E7189" w:rsidP="007513A1">
      <w:pPr>
        <w:rPr>
          <w:color w:val="000000"/>
        </w:rPr>
      </w:pPr>
    </w:p>
    <w:p w14:paraId="068E4811" w14:textId="77777777" w:rsidR="001E7189" w:rsidRDefault="001E7189" w:rsidP="007513A1">
      <w:pPr>
        <w:jc w:val="center"/>
        <w:rPr>
          <w:color w:val="000000"/>
        </w:rPr>
      </w:pPr>
      <w:r w:rsidRPr="00FE7417">
        <w:rPr>
          <w:color w:val="000000"/>
        </w:rPr>
        <w:t>Serdal Baltacı</w:t>
      </w:r>
      <w:r w:rsidRPr="00FE7417">
        <w:rPr>
          <w:color w:val="000000"/>
        </w:rPr>
        <w:br/>
        <w:t xml:space="preserve">Prof. Dr., Kırşehir Ahi Evran Üniversitesi, </w:t>
      </w:r>
      <w:r w:rsidRPr="00FE7417">
        <w:rPr>
          <w:rFonts w:ascii="Calibri" w:hAnsi="Calibri" w:cs="Calibri"/>
          <w:color w:val="000000"/>
        </w:rPr>
        <w:t>Matematik ve Fen Bilimleri Eğitimi Bölümü</w:t>
      </w:r>
      <w:r w:rsidRPr="00FE7417">
        <w:rPr>
          <w:color w:val="000000"/>
        </w:rPr>
        <w:br/>
      </w:r>
      <w:hyperlink r:id="rId165" w:history="1">
        <w:r w:rsidRPr="00264F1D">
          <w:rPr>
            <w:rStyle w:val="Kpr"/>
          </w:rPr>
          <w:t>sbaltaci@ahievran.edu.tr</w:t>
        </w:r>
      </w:hyperlink>
    </w:p>
    <w:p w14:paraId="1B6F6C00" w14:textId="77777777" w:rsidR="001E7189" w:rsidRPr="00FE7417" w:rsidRDefault="001E7189" w:rsidP="007513A1">
      <w:pPr>
        <w:jc w:val="center"/>
        <w:rPr>
          <w:color w:val="000000"/>
        </w:rPr>
      </w:pPr>
      <w:r w:rsidRPr="00FE7417">
        <w:rPr>
          <w:color w:val="000000"/>
        </w:rPr>
        <w:t>0000-0002-8652-4467</w:t>
      </w:r>
    </w:p>
    <w:p w14:paraId="1C8EFBD7" w14:textId="77777777" w:rsidR="001E7189" w:rsidRPr="00FE7417" w:rsidRDefault="001E7189" w:rsidP="007513A1">
      <w:pPr>
        <w:rPr>
          <w:color w:val="000000"/>
        </w:rPr>
      </w:pPr>
    </w:p>
    <w:p w14:paraId="346037A8" w14:textId="77777777" w:rsidR="001E7189" w:rsidRPr="00FE7417" w:rsidRDefault="001E7189" w:rsidP="007513A1">
      <w:pPr>
        <w:jc w:val="center"/>
        <w:rPr>
          <w:color w:val="000000"/>
        </w:rPr>
      </w:pPr>
      <w:r w:rsidRPr="00FE7417">
        <w:rPr>
          <w:color w:val="000000"/>
        </w:rPr>
        <w:t>Yasemin Kuzu</w:t>
      </w:r>
    </w:p>
    <w:p w14:paraId="6A43E59F" w14:textId="77777777" w:rsidR="001E7189" w:rsidRPr="00FE7417" w:rsidRDefault="001E7189" w:rsidP="007513A1">
      <w:pPr>
        <w:jc w:val="center"/>
        <w:rPr>
          <w:color w:val="000000"/>
        </w:rPr>
      </w:pPr>
      <w:r w:rsidRPr="00FE7417">
        <w:rPr>
          <w:color w:val="000000"/>
        </w:rPr>
        <w:t>Doç. Dr., Kırşehir Ahi Evran Üniversitesi, Eğitim Bilimleri Bölümü</w:t>
      </w:r>
    </w:p>
    <w:p w14:paraId="49CCEA70" w14:textId="77777777" w:rsidR="001E7189" w:rsidRDefault="001E7189" w:rsidP="007513A1">
      <w:pPr>
        <w:jc w:val="center"/>
        <w:rPr>
          <w:color w:val="000000"/>
        </w:rPr>
      </w:pPr>
      <w:hyperlink r:id="rId166" w:history="1">
        <w:r w:rsidRPr="00264F1D">
          <w:rPr>
            <w:rStyle w:val="Kpr"/>
          </w:rPr>
          <w:t>yaseminkuzu@ahievran.edu.tr</w:t>
        </w:r>
      </w:hyperlink>
    </w:p>
    <w:p w14:paraId="554AB72F" w14:textId="77777777" w:rsidR="001E7189" w:rsidRPr="00FE7417" w:rsidRDefault="001E7189" w:rsidP="007513A1">
      <w:pPr>
        <w:jc w:val="center"/>
        <w:rPr>
          <w:color w:val="000000"/>
        </w:rPr>
      </w:pPr>
      <w:r w:rsidRPr="00FE7417">
        <w:rPr>
          <w:color w:val="000000"/>
        </w:rPr>
        <w:t>0000-0003-4301-2645</w:t>
      </w:r>
    </w:p>
    <w:p w14:paraId="2E626084" w14:textId="77777777" w:rsidR="001E7189" w:rsidRPr="00FE7417" w:rsidRDefault="001E7189" w:rsidP="007513A1">
      <w:pPr>
        <w:rPr>
          <w:color w:val="000000"/>
        </w:rPr>
      </w:pPr>
    </w:p>
    <w:p w14:paraId="0F1D64A6" w14:textId="77777777" w:rsidR="001E7189" w:rsidRPr="00FE7417" w:rsidRDefault="001E7189" w:rsidP="007513A1">
      <w:pPr>
        <w:jc w:val="center"/>
        <w:rPr>
          <w:color w:val="000000"/>
        </w:rPr>
      </w:pPr>
      <w:r w:rsidRPr="00FE7417">
        <w:rPr>
          <w:b/>
          <w:bCs/>
          <w:color w:val="000000"/>
        </w:rPr>
        <w:t>Özet</w:t>
      </w:r>
    </w:p>
    <w:p w14:paraId="75AAECB9" w14:textId="55F50714" w:rsidR="001E7189" w:rsidRPr="00FE7417" w:rsidRDefault="001E7189" w:rsidP="007513A1">
      <w:pPr>
        <w:jc w:val="both"/>
        <w:rPr>
          <w:color w:val="000000"/>
        </w:rPr>
      </w:pPr>
      <w:r w:rsidRPr="00FE7417">
        <w:rPr>
          <w:color w:val="000000"/>
        </w:rPr>
        <w:t xml:space="preserve">Ters yüz öğrenme modeli, geleneksel eğitim yöntemlerinin tersine çevrilerek uygulanması ile ortaya çıkan bir yaklaşımdır. Matematik eğitiminde ters yüz öğrenme, öğrencilerin temel kavramları evde video dersler ve çevrimiçi materyallerle öğrenmesini, sınıf içi zamanın ise problem çözme, tartışma ve uygulamalı aktivitelere ayrılmasını öngören bir modeldir. Bu yaklaşım, özellikle matematik gibi soyut ve zorlayıcı bir disiplinde öğrencilerin kavramsal anlayışını derinleştirmeyi ve öğrenme sürecini daha etkileşimli hale getirmeyi hedefler. Teknoloji, ters yüz öğrenmenin temel bileşenlerinden biridir; etkileşimli simülasyonlar, matematik uygulamaları ve yapay zekâ destekli öğrenme platformları, öğrencilere kişiselleştirilmiş bir öğrenme deneyimi sunar. Ters yüz öğrenme, özellikle COVID-19 pandemisi sırasında uzaktan eğitimin yaygınlaşmasıyla daha da önem kazanmıştır. Bu süreçte, öğrencilerin kendi hızlarında öğrenmelerine olanak tanıyan esnek yapısı, eğitimde sürekliliği sağlamıştır. Bu araştırma, matematik eğitiminde ters yüz öğrenme modeli ve teknoloji konulu çalışmaların bibliyometrik analizini yaparak alandaki eğilimleri, öncü araştırmacıları ve gelecek yönelimlerini ortaya koymayı amaçlamaktadır. Nitel araştırma yöntemlerinden biri olan betimsel tarama modelinde tasarlanan bu araştırmada bibliyometrik analiz tekniği kullanılmıştır. Araştırmanın verileri, </w:t>
      </w:r>
      <w:proofErr w:type="spellStart"/>
      <w:r w:rsidRPr="00FE7417">
        <w:rPr>
          <w:color w:val="000000"/>
        </w:rPr>
        <w:t>Scopus</w:t>
      </w:r>
      <w:proofErr w:type="spellEnd"/>
      <w:r w:rsidRPr="00FE7417">
        <w:rPr>
          <w:color w:val="000000"/>
        </w:rPr>
        <w:t xml:space="preserve"> veri tabanından indirilmiştir. Bu bağlamda matematik eğitiminde ters yüz öğrenme modeli ve teknoloji konulu 167 araştırma makalesi analize dahil edilmiştir. </w:t>
      </w:r>
      <w:proofErr w:type="spellStart"/>
      <w:r w:rsidRPr="00FE7417">
        <w:rPr>
          <w:color w:val="000000"/>
        </w:rPr>
        <w:t>Citespace</w:t>
      </w:r>
      <w:proofErr w:type="spellEnd"/>
      <w:r w:rsidRPr="00FE7417">
        <w:rPr>
          <w:color w:val="000000"/>
        </w:rPr>
        <w:t xml:space="preserve"> bibliyometrik analiz programı kullanılarak yapılan yayın sayıları, ortak atıf analizleri, anahtar kelime eğilimleri gibi analizlerin sonuçları </w:t>
      </w:r>
      <w:proofErr w:type="spellStart"/>
      <w:r w:rsidRPr="00FE7417">
        <w:rPr>
          <w:color w:val="000000"/>
        </w:rPr>
        <w:t>alanyazın</w:t>
      </w:r>
      <w:proofErr w:type="spellEnd"/>
      <w:r w:rsidRPr="00FE7417">
        <w:rPr>
          <w:color w:val="000000"/>
        </w:rPr>
        <w:t xml:space="preserve"> çalışmaları ile desteklenerek araştırmacılara sunulacaktır.</w:t>
      </w:r>
    </w:p>
    <w:p w14:paraId="39486CCB" w14:textId="77777777" w:rsidR="001E7189" w:rsidRPr="00FE7417" w:rsidRDefault="001E7189" w:rsidP="007513A1">
      <w:pPr>
        <w:rPr>
          <w:color w:val="000000"/>
        </w:rPr>
      </w:pPr>
    </w:p>
    <w:p w14:paraId="2A827DB1" w14:textId="12320A21" w:rsidR="00C70E93" w:rsidRDefault="001E7189" w:rsidP="007513A1">
      <w:pPr>
        <w:rPr>
          <w:color w:val="000000"/>
        </w:rPr>
      </w:pPr>
      <w:r w:rsidRPr="00FE7417">
        <w:rPr>
          <w:b/>
          <w:bCs/>
          <w:color w:val="000000"/>
        </w:rPr>
        <w:t xml:space="preserve">Anahtar </w:t>
      </w:r>
      <w:r>
        <w:rPr>
          <w:b/>
          <w:bCs/>
          <w:color w:val="000000"/>
        </w:rPr>
        <w:t>Kelimeler</w:t>
      </w:r>
      <w:r w:rsidRPr="00FE7417">
        <w:rPr>
          <w:color w:val="000000"/>
        </w:rPr>
        <w:t>: Ters Yüz Öğrenme Modeli, Teknoloji, Bibliyometrik Analiz, Matematik Eğitimi</w:t>
      </w:r>
    </w:p>
    <w:p w14:paraId="2740482F" w14:textId="7C3E66DD" w:rsidR="00734B49" w:rsidRPr="00C70E93" w:rsidRDefault="00C70E93" w:rsidP="00C70E93">
      <w:pPr>
        <w:autoSpaceDE/>
        <w:autoSpaceDN/>
        <w:rPr>
          <w:color w:val="000000"/>
        </w:rPr>
      </w:pPr>
      <w:r>
        <w:rPr>
          <w:color w:val="000000"/>
        </w:rPr>
        <w:br w:type="page"/>
      </w:r>
    </w:p>
    <w:p w14:paraId="46948755" w14:textId="341D6455" w:rsidR="001E7189" w:rsidRDefault="001E7189" w:rsidP="007513A1">
      <w:pPr>
        <w:jc w:val="center"/>
        <w:rPr>
          <w:color w:val="000000"/>
        </w:rPr>
      </w:pPr>
      <w:r w:rsidRPr="00FE7417">
        <w:rPr>
          <w:b/>
          <w:bCs/>
          <w:color w:val="000000"/>
        </w:rPr>
        <w:lastRenderedPageBreak/>
        <w:t>Sınıf Öğretmeni Adaylarının Çoklu Temsil Başarılarının ve Becerilerinin İncelenmesi</w:t>
      </w:r>
    </w:p>
    <w:p w14:paraId="4B18A910" w14:textId="77777777" w:rsidR="001E7189" w:rsidRPr="00FE7417" w:rsidRDefault="001E7189" w:rsidP="007513A1">
      <w:pPr>
        <w:jc w:val="center"/>
        <w:rPr>
          <w:color w:val="000000"/>
        </w:rPr>
      </w:pPr>
    </w:p>
    <w:p w14:paraId="0C1A94D8" w14:textId="77777777" w:rsidR="001E7189" w:rsidRDefault="001E7189" w:rsidP="007513A1">
      <w:pPr>
        <w:jc w:val="center"/>
        <w:rPr>
          <w:color w:val="000000"/>
        </w:rPr>
      </w:pPr>
      <w:r w:rsidRPr="00FE7417">
        <w:rPr>
          <w:color w:val="000000"/>
        </w:rPr>
        <w:t>İrem AKÇAY ARICAN</w:t>
      </w:r>
      <w:r w:rsidRPr="00FE7417">
        <w:rPr>
          <w:color w:val="000000"/>
        </w:rPr>
        <w:br/>
        <w:t>Yüksek Lisans Öğrencisi, Ahi Evran Üniversitesi, Sınıf Eğitimi Anabilim Dalı</w:t>
      </w:r>
      <w:r w:rsidRPr="00FE7417">
        <w:rPr>
          <w:color w:val="000000"/>
        </w:rPr>
        <w:br/>
      </w:r>
      <w:hyperlink r:id="rId167" w:history="1">
        <w:r w:rsidRPr="00264F1D">
          <w:rPr>
            <w:rStyle w:val="Kpr"/>
          </w:rPr>
          <w:t>arican.irem@ogr.ahievran.edu.tr</w:t>
        </w:r>
      </w:hyperlink>
    </w:p>
    <w:p w14:paraId="72CCE7A0" w14:textId="77777777" w:rsidR="001E7189" w:rsidRPr="00FE7417" w:rsidRDefault="001E7189" w:rsidP="007513A1">
      <w:pPr>
        <w:jc w:val="center"/>
        <w:rPr>
          <w:color w:val="000000"/>
        </w:rPr>
      </w:pPr>
      <w:proofErr w:type="spellStart"/>
      <w:r w:rsidRPr="00FE7417">
        <w:rPr>
          <w:color w:val="000000"/>
        </w:rPr>
        <w:t>Orcid</w:t>
      </w:r>
      <w:proofErr w:type="spellEnd"/>
      <w:r w:rsidRPr="00FE7417">
        <w:rPr>
          <w:color w:val="000000"/>
        </w:rPr>
        <w:t xml:space="preserve"> ID:0009-0005-6275-3053</w:t>
      </w:r>
    </w:p>
    <w:p w14:paraId="39DED811" w14:textId="77777777" w:rsidR="001E7189" w:rsidRPr="00FE7417" w:rsidRDefault="001E7189" w:rsidP="007513A1">
      <w:pPr>
        <w:rPr>
          <w:color w:val="000000"/>
        </w:rPr>
      </w:pPr>
    </w:p>
    <w:p w14:paraId="3513D014" w14:textId="669ED117" w:rsidR="001E7189" w:rsidRPr="00FE7417" w:rsidRDefault="001E7189" w:rsidP="007513A1">
      <w:pPr>
        <w:jc w:val="center"/>
        <w:rPr>
          <w:color w:val="000000"/>
        </w:rPr>
      </w:pPr>
      <w:r w:rsidRPr="00FE7417">
        <w:rPr>
          <w:color w:val="000000"/>
        </w:rPr>
        <w:t>Osman ÇİL</w:t>
      </w:r>
    </w:p>
    <w:p w14:paraId="5422692E" w14:textId="77777777" w:rsidR="001E7189" w:rsidRDefault="001E7189" w:rsidP="007513A1">
      <w:pPr>
        <w:jc w:val="center"/>
        <w:rPr>
          <w:color w:val="000000"/>
        </w:rPr>
      </w:pPr>
      <w:r w:rsidRPr="00FE7417">
        <w:rPr>
          <w:color w:val="000000"/>
        </w:rPr>
        <w:t>Doç. Dr., Ahi Evran Üniversitesi, Sınıf Eğitimi Anabilim Dalı</w:t>
      </w:r>
      <w:r w:rsidRPr="00FE7417">
        <w:rPr>
          <w:color w:val="000000"/>
        </w:rPr>
        <w:br/>
      </w:r>
      <w:hyperlink r:id="rId168" w:history="1">
        <w:r w:rsidRPr="00264F1D">
          <w:rPr>
            <w:rStyle w:val="Kpr"/>
          </w:rPr>
          <w:t>ocil@ahievran.edu.tr</w:t>
        </w:r>
      </w:hyperlink>
    </w:p>
    <w:p w14:paraId="4729E25A" w14:textId="77777777" w:rsidR="001E7189" w:rsidRPr="00FE7417" w:rsidRDefault="001E7189" w:rsidP="007513A1">
      <w:pPr>
        <w:jc w:val="center"/>
        <w:rPr>
          <w:color w:val="000000"/>
        </w:rPr>
      </w:pPr>
      <w:proofErr w:type="spellStart"/>
      <w:r w:rsidRPr="00FE7417">
        <w:rPr>
          <w:color w:val="000000"/>
        </w:rPr>
        <w:t>Orcid</w:t>
      </w:r>
      <w:proofErr w:type="spellEnd"/>
      <w:r w:rsidRPr="00FE7417">
        <w:rPr>
          <w:color w:val="000000"/>
        </w:rPr>
        <w:t xml:space="preserve"> ID: 0000-0001-5903-9864</w:t>
      </w:r>
    </w:p>
    <w:p w14:paraId="2CDD6BF7" w14:textId="77777777" w:rsidR="001E7189" w:rsidRPr="00FE7417" w:rsidRDefault="001E7189" w:rsidP="007513A1">
      <w:pPr>
        <w:rPr>
          <w:color w:val="000000"/>
        </w:rPr>
      </w:pPr>
    </w:p>
    <w:p w14:paraId="4583B155" w14:textId="77777777" w:rsidR="001E7189" w:rsidRPr="00FE7417" w:rsidRDefault="001E7189" w:rsidP="007513A1">
      <w:pPr>
        <w:jc w:val="center"/>
        <w:rPr>
          <w:color w:val="000000"/>
        </w:rPr>
      </w:pPr>
      <w:r w:rsidRPr="00FE7417">
        <w:rPr>
          <w:b/>
          <w:bCs/>
          <w:color w:val="000000"/>
        </w:rPr>
        <w:t>Özet</w:t>
      </w:r>
    </w:p>
    <w:p w14:paraId="6836D21C" w14:textId="75C852BE" w:rsidR="001E7189" w:rsidRPr="00FE7417" w:rsidRDefault="001E7189" w:rsidP="007513A1">
      <w:pPr>
        <w:jc w:val="both"/>
        <w:rPr>
          <w:color w:val="000000"/>
        </w:rPr>
      </w:pPr>
      <w:r w:rsidRPr="00FE7417">
        <w:rPr>
          <w:color w:val="000000"/>
        </w:rPr>
        <w:t>Bu araştırmayla sınıf öğretmeni adaylarının çoklu temsil başarıları ile cinsiyet, mezun olunan alan, mezun olunan lise ve mevcut öğrenim gördükleri sınıf arasındaki ilişkinin görülmesi ve çoklu temsil becerilerinin incelenmesi amaçlanmıştır. Bu amaçla ‘Sınıf öğretmeni adaylarının çoklu temsil başarısı; cinsiyet, mezun olunan alan, mezun olunan lise ve mevcut öğrenim görülen sınıfa göre değişiklik gösteriyor mu?’ ve ‘Sınıf öğretmeni adaylarının çoklu temsil becerileri nasıldır?’ sorularına yanıt aranmıştır. Öğretmenlerin çoklu temsil kullanma başarısı ve becerisinin öğrencilerin temsil başarısı ve becerisini etkileyeceği gerçeği çalışmanın önemini ortaya çıkarmaktadır. Araştırmada karma desen yöntemlerinden yakınsayan paralel karma desen yöntemi kullanılmıştır. Çalışmanın örneklemini İç Anadolu bölgesinde bir üniversitenin sınıf öğretmenliği bölümünde okuyan 163 öğrenci oluşturmaktadır. Veri toplamak amacıyla on üç sorudan oluşan çoklu temsil başarı ve becerileri veri toplama aracı kullanılmıştır. Cinsiyet, mezun olunan alan, mezun olunan lise, mevcut öğrenim görülen sınıf ile çoklu temsil başarısı arasındaki ilişkiyi görmek için tek yönlü varyans analizi ile LCD testi uygulanmıştır. Yapılan analiz sonuçları incelendiğinde mezun olunan alan ve çoklu temsil başarısı arasında sayısal alanda mezun olan öğrencilerin lehine sonucun anlamlı bir şekilde farklılaştığı görülmüştür. Çoklu temsil becerilerinde görülen hata ve eksiklikler olumsuz temsil uygulamaları olarak sınıflandırılmış, sorulara verilmesi beklenen temsil türü yanıtıyla birlikte ayrıca farklı bir temsil kullanılması ise olumlu temsil uygulamaları olarak sınıflandırılmıştır. Olumlu olarak; simgesel-görsel-manipülatif temsil becerisi beklenen sorularda istenmediği halde ikinci bir temsil türü kullanıldığı görülmüş, bu durumun yanıta açıklık anlaşılırlık kazandırdığı gözlenmiştir. Temsil becerilerinde görülen hata ve eksikliklerin ise dikkatsizlik, okuma anlama, alan bilgisi eksikliğinden kaynaklı olduğu anlaşılmaktadır. Sınıf öğretmenliği adaylarının çoklu temsil becerileri incelendiğinde sözel ve görsel temsil sorularının yanıtlanma oranının diğer temsil türlerine kıyasla düşük olduğu; sözel temsil sorularını yanıtlanmaktan kaçınıldığı, görsel temsil sorularını ise yanlış yanıtlanma oranının yüksek olduğu görülmektedir. Sınıf öğretmenliği öğrencilerinin simgesel temsil becerilerinin diğer temsillere göre daha iyi olduğu ortaya çıkmıştır.</w:t>
      </w:r>
    </w:p>
    <w:p w14:paraId="1A2759E9" w14:textId="77777777" w:rsidR="001E7189" w:rsidRPr="00FE7417" w:rsidRDefault="001E7189" w:rsidP="007513A1">
      <w:pPr>
        <w:rPr>
          <w:color w:val="000000"/>
        </w:rPr>
      </w:pPr>
    </w:p>
    <w:p w14:paraId="72B0FC09" w14:textId="2D431AA9" w:rsidR="00C70E93" w:rsidRDefault="001E7189" w:rsidP="007513A1">
      <w:pPr>
        <w:jc w:val="both"/>
        <w:rPr>
          <w:color w:val="000000"/>
        </w:rPr>
      </w:pPr>
      <w:r w:rsidRPr="00FE7417">
        <w:rPr>
          <w:b/>
          <w:bCs/>
          <w:color w:val="000000"/>
        </w:rPr>
        <w:t xml:space="preserve">Anahtar </w:t>
      </w:r>
      <w:r>
        <w:rPr>
          <w:b/>
          <w:bCs/>
          <w:color w:val="000000"/>
        </w:rPr>
        <w:t>Kelimeler</w:t>
      </w:r>
      <w:r w:rsidRPr="00FE7417">
        <w:rPr>
          <w:b/>
          <w:bCs/>
          <w:color w:val="000000"/>
        </w:rPr>
        <w:t>:</w:t>
      </w:r>
      <w:r w:rsidRPr="00FE7417">
        <w:rPr>
          <w:color w:val="000000"/>
        </w:rPr>
        <w:t xml:space="preserve"> Çoklu temsil, temsil becerisi, temsil başarısı, sınıf öğretmeni adayları</w:t>
      </w:r>
    </w:p>
    <w:p w14:paraId="7EF3B0D9" w14:textId="1B45F0C3" w:rsidR="00114C6B" w:rsidRPr="00C70E93" w:rsidRDefault="00C70E93" w:rsidP="00C70E93">
      <w:pPr>
        <w:autoSpaceDE/>
        <w:autoSpaceDN/>
        <w:rPr>
          <w:color w:val="000000"/>
        </w:rPr>
      </w:pPr>
      <w:r>
        <w:rPr>
          <w:color w:val="000000"/>
        </w:rPr>
        <w:br w:type="page"/>
      </w:r>
    </w:p>
    <w:p w14:paraId="481D8C47" w14:textId="77777777" w:rsidR="001E7189" w:rsidRPr="006B360B" w:rsidRDefault="001E7189" w:rsidP="004C7694">
      <w:pPr>
        <w:pStyle w:val="Tark"/>
      </w:pPr>
      <w:bookmarkStart w:id="129" w:name="_Toc192855206"/>
      <w:r w:rsidRPr="006B360B">
        <w:lastRenderedPageBreak/>
        <w:t>Sosyal Bilgiler Öğretmenlerinin Eğitim Felsefesi ve Toplumsal Değerler Üzerine Görüşleri</w:t>
      </w:r>
      <w:bookmarkEnd w:id="129"/>
    </w:p>
    <w:p w14:paraId="309B5B35" w14:textId="77777777" w:rsidR="001E7189" w:rsidRPr="006B360B" w:rsidRDefault="001E7189" w:rsidP="007513A1">
      <w:pPr>
        <w:rPr>
          <w:color w:val="000000"/>
        </w:rPr>
      </w:pPr>
    </w:p>
    <w:p w14:paraId="5306CACF" w14:textId="77777777" w:rsidR="001E7189" w:rsidRPr="006B360B" w:rsidRDefault="001E7189" w:rsidP="007513A1">
      <w:pPr>
        <w:jc w:val="center"/>
        <w:rPr>
          <w:color w:val="000000"/>
        </w:rPr>
      </w:pPr>
      <w:r w:rsidRPr="006B360B">
        <w:rPr>
          <w:color w:val="000000"/>
        </w:rPr>
        <w:t>Dr. Gökmen Güneş</w:t>
      </w:r>
      <w:r w:rsidRPr="006B360B">
        <w:rPr>
          <w:color w:val="000000"/>
        </w:rPr>
        <w:br/>
        <w:t xml:space="preserve">Kırşehir Ölçme Değerlendirme Merkezi/Sosyal Bilgiler Öğretmeni </w:t>
      </w:r>
      <w:r w:rsidRPr="006B360B">
        <w:rPr>
          <w:color w:val="000000"/>
        </w:rPr>
        <w:br/>
        <w:t>gokmengunes40@gmail.com</w:t>
      </w:r>
      <w:r w:rsidRPr="006B360B">
        <w:rPr>
          <w:color w:val="000000"/>
        </w:rPr>
        <w:br/>
        <w:t>0000-0001-8112-8062</w:t>
      </w:r>
    </w:p>
    <w:p w14:paraId="469F36C6" w14:textId="77777777" w:rsidR="001E7189" w:rsidRPr="006B360B" w:rsidRDefault="001E7189" w:rsidP="007513A1">
      <w:pPr>
        <w:rPr>
          <w:color w:val="000000"/>
        </w:rPr>
      </w:pPr>
    </w:p>
    <w:p w14:paraId="65052005" w14:textId="77777777" w:rsidR="001E7189" w:rsidRPr="006B360B" w:rsidRDefault="001E7189" w:rsidP="007513A1">
      <w:pPr>
        <w:jc w:val="center"/>
        <w:rPr>
          <w:color w:val="000000"/>
        </w:rPr>
      </w:pPr>
      <w:r w:rsidRPr="006B360B">
        <w:rPr>
          <w:b/>
          <w:bCs/>
          <w:color w:val="000000"/>
        </w:rPr>
        <w:t>Özet</w:t>
      </w:r>
    </w:p>
    <w:p w14:paraId="10AA54B5" w14:textId="2C5C6BED" w:rsidR="001E7189" w:rsidRPr="006B360B" w:rsidRDefault="001E7189" w:rsidP="007513A1">
      <w:pPr>
        <w:jc w:val="both"/>
        <w:rPr>
          <w:color w:val="000000"/>
        </w:rPr>
      </w:pPr>
      <w:r w:rsidRPr="006B360B">
        <w:rPr>
          <w:color w:val="000000"/>
        </w:rPr>
        <w:t>Bu araştırmada, eğitim felsefesi kavramı ve bu felsefe aracılığıyla kazandırılması gereken değerlere yönelik öğretmen görüşlerini ortaya çıkarmak amaçlanmıştır. Araştırma nitel araştırma yöntemine uygun bir şekilde ve temel nitel araştırma desenine bağlı olarak yürütülmüştür. Araştırmanın çalışma grubu 2024-2025 eğitim öğretim yılı güz döneminde Kırşehir’de bulunan ve uygun örneklem yöntemi ile tespit edilen 9 sosyal bilgiler öğretmeninden oluşmaktadır. Çalışmada veriler araştırmacı tarafından hazırlanan “eğitim felsefesi kavramını düşündüğünüzde, bu size ne ifade ediyor?” ve “eğitim felsefesi sizce öğrencilere hangi değerlerin aktarılmasında önemli bir görev üslenmektedir?” şeklinde açık uçlu sorulardan oluşan yarı yapılandırılmış görüşme formu ile elde edilmiştir. Elde edilen verilerin çözümlenmesinde içerik analizi yöntemine başvurulmuştur. Araştırma bulgularına göre, eğitim felsefesi kavramına dair öğretmen görüşleri, eğitimin toplumsal sorumluluğunu gerçekleştirebilmek amacıyla bireyin eğitimi, iyi ve doğru bilgiyi aktarma, iyi insan yetiştirme, sorgulayıcı birey yetiştirme, toplumsal gelişimi sağlama, toplumsal farkındalık oluşturma, rehberlik sağlama gibi kavramların önemine işaret etmektedir. Ayrıca toplumsal değerler ve insani erdemleri sağlayabilmek için adalet, ahlak, aile bütünlüğü, duyarlılık, dürüstlük, eşitlik, iyi vatandaş, merhamet, milli ve manevi değerler, mütevazilik, sabır, sevgi ve saygı, sorumluluk, vatanseverlik, vefa, yardımlaşma gibi kavramların kazanılması gereken değerler olarak katılımcılar tarafından belirtilmiştir. Bu çalışma, öğretmenlerin eğitim felsefesi ve toplumsal değerler üzerine düşüncelerini vurgulayarak, eğitimin toplumsal sorumluluk ve insani erdemler açısından önemini ortaya çıkarmaktadır. Bu bağlamda eğitimin toplumsal değerler ve erdemler doğrultusunda şekillendirilmesinin önemini gözler önüne sermektedir.</w:t>
      </w:r>
    </w:p>
    <w:p w14:paraId="71806504" w14:textId="77777777" w:rsidR="001E7189" w:rsidRPr="006B360B" w:rsidRDefault="001E7189" w:rsidP="007513A1">
      <w:pPr>
        <w:rPr>
          <w:color w:val="000000"/>
        </w:rPr>
      </w:pPr>
    </w:p>
    <w:p w14:paraId="65B02C4F" w14:textId="0D6EF4BF" w:rsidR="00C70E93" w:rsidRDefault="001E7189" w:rsidP="007513A1">
      <w:pPr>
        <w:jc w:val="both"/>
        <w:rPr>
          <w:color w:val="000000"/>
        </w:rPr>
      </w:pPr>
      <w:r w:rsidRPr="006B360B">
        <w:rPr>
          <w:b/>
          <w:bCs/>
          <w:color w:val="000000"/>
        </w:rPr>
        <w:t xml:space="preserve">Anahtar </w:t>
      </w:r>
      <w:r>
        <w:rPr>
          <w:b/>
          <w:bCs/>
          <w:color w:val="000000"/>
        </w:rPr>
        <w:t>Kelimeler</w:t>
      </w:r>
      <w:r w:rsidRPr="006B360B">
        <w:rPr>
          <w:b/>
          <w:bCs/>
          <w:color w:val="000000"/>
        </w:rPr>
        <w:t>:</w:t>
      </w:r>
      <w:r w:rsidRPr="006B360B">
        <w:rPr>
          <w:color w:val="000000"/>
        </w:rPr>
        <w:t xml:space="preserve"> Eğitim Felsefesi, Toplumsal Değerler, Sosyal Bilgiler, Nitel Araştırma</w:t>
      </w:r>
    </w:p>
    <w:p w14:paraId="5E521C49" w14:textId="4C3CC089" w:rsidR="00114C6B" w:rsidRDefault="00C70E93" w:rsidP="007513A1">
      <w:pPr>
        <w:autoSpaceDE/>
        <w:autoSpaceDN/>
        <w:rPr>
          <w:color w:val="000000"/>
        </w:rPr>
      </w:pPr>
      <w:r>
        <w:rPr>
          <w:color w:val="000000"/>
        </w:rPr>
        <w:br w:type="page"/>
      </w:r>
    </w:p>
    <w:p w14:paraId="7698B484" w14:textId="681DE8A5" w:rsidR="001E7189" w:rsidRDefault="001E7189" w:rsidP="004C7694">
      <w:pPr>
        <w:pStyle w:val="Tark"/>
      </w:pPr>
      <w:bookmarkStart w:id="130" w:name="_Toc192855207"/>
      <w:r w:rsidRPr="006B360B">
        <w:lastRenderedPageBreak/>
        <w:t>Öğretmenlerin Yaşam Doyumları ve Mesleki Dayanıklılık Arasındaki İlişkide Örgüt Uyumu ve Öğretmen Coşkusunun Aracı Rolü</w:t>
      </w:r>
      <w:bookmarkEnd w:id="130"/>
    </w:p>
    <w:p w14:paraId="7CF184FC" w14:textId="77777777" w:rsidR="007513A1" w:rsidRPr="007513A1" w:rsidRDefault="007513A1" w:rsidP="007513A1">
      <w:pPr>
        <w:pStyle w:val="Metin"/>
      </w:pPr>
    </w:p>
    <w:p w14:paraId="5B52305A" w14:textId="77777777" w:rsidR="001E7189" w:rsidRDefault="001E7189" w:rsidP="007513A1">
      <w:pPr>
        <w:jc w:val="center"/>
        <w:rPr>
          <w:color w:val="000000"/>
        </w:rPr>
      </w:pPr>
      <w:r w:rsidRPr="006B360B">
        <w:rPr>
          <w:color w:val="000000"/>
        </w:rPr>
        <w:t>Merve Turpçu</w:t>
      </w:r>
      <w:r w:rsidRPr="006B360B">
        <w:rPr>
          <w:color w:val="000000"/>
        </w:rPr>
        <w:br/>
        <w:t>Dr. Öğretim Üyesi, Kırşehir Ahi Evran Üniversitesi, SBMYO</w:t>
      </w:r>
      <w:r w:rsidRPr="006B360B">
        <w:rPr>
          <w:color w:val="000000"/>
        </w:rPr>
        <w:br/>
      </w:r>
      <w:hyperlink r:id="rId169" w:history="1">
        <w:r w:rsidRPr="00264F1D">
          <w:rPr>
            <w:rStyle w:val="Kpr"/>
          </w:rPr>
          <w:t>merve.turpcu@ahievran.edu.tr</w:t>
        </w:r>
      </w:hyperlink>
    </w:p>
    <w:p w14:paraId="7B15C508" w14:textId="77777777" w:rsidR="001E7189" w:rsidRPr="006B360B" w:rsidRDefault="001E7189" w:rsidP="007513A1">
      <w:pPr>
        <w:jc w:val="center"/>
        <w:rPr>
          <w:color w:val="000000"/>
        </w:rPr>
      </w:pPr>
      <w:r w:rsidRPr="006B360B">
        <w:rPr>
          <w:color w:val="000000"/>
        </w:rPr>
        <w:t>0000-0002-3252-0428</w:t>
      </w:r>
    </w:p>
    <w:p w14:paraId="0D34CA08" w14:textId="77777777" w:rsidR="001E7189" w:rsidRPr="006B360B" w:rsidRDefault="001E7189" w:rsidP="007513A1">
      <w:pPr>
        <w:rPr>
          <w:color w:val="000000"/>
        </w:rPr>
      </w:pPr>
    </w:p>
    <w:p w14:paraId="3D374DA1" w14:textId="77777777" w:rsidR="001E7189" w:rsidRDefault="001E7189" w:rsidP="007513A1">
      <w:pPr>
        <w:jc w:val="center"/>
        <w:rPr>
          <w:color w:val="000000"/>
        </w:rPr>
      </w:pPr>
      <w:r w:rsidRPr="006B360B">
        <w:rPr>
          <w:color w:val="000000"/>
        </w:rPr>
        <w:t>Bahadır Gülbahar</w:t>
      </w:r>
      <w:r w:rsidRPr="006B360B">
        <w:rPr>
          <w:color w:val="000000"/>
        </w:rPr>
        <w:br/>
        <w:t>Doç. Dr., Kırşehir Ahi Evran Üniversitesi, Eğitim Fakültesi</w:t>
      </w:r>
      <w:r w:rsidRPr="006B360B">
        <w:rPr>
          <w:color w:val="000000"/>
        </w:rPr>
        <w:br/>
      </w:r>
      <w:hyperlink r:id="rId170" w:history="1">
        <w:r w:rsidRPr="00264F1D">
          <w:rPr>
            <w:rStyle w:val="Kpr"/>
          </w:rPr>
          <w:t>bahadir.gulbahar@ahievran.edu.tr</w:t>
        </w:r>
      </w:hyperlink>
    </w:p>
    <w:p w14:paraId="0DA9E039" w14:textId="77777777" w:rsidR="001E7189" w:rsidRPr="006B360B" w:rsidRDefault="001E7189" w:rsidP="007513A1">
      <w:pPr>
        <w:jc w:val="center"/>
        <w:rPr>
          <w:color w:val="000000"/>
        </w:rPr>
      </w:pPr>
      <w:r w:rsidRPr="006B360B">
        <w:rPr>
          <w:color w:val="000000"/>
        </w:rPr>
        <w:t>0000-0002-7040-1593</w:t>
      </w:r>
    </w:p>
    <w:p w14:paraId="490BB02A" w14:textId="77777777" w:rsidR="001E7189" w:rsidRPr="006B360B" w:rsidRDefault="001E7189" w:rsidP="007513A1">
      <w:pPr>
        <w:rPr>
          <w:color w:val="000000"/>
        </w:rPr>
      </w:pPr>
    </w:p>
    <w:p w14:paraId="15D0B88A" w14:textId="5E72FD46" w:rsidR="001E7189" w:rsidRDefault="001E7189" w:rsidP="007513A1">
      <w:pPr>
        <w:jc w:val="center"/>
      </w:pPr>
      <w:r w:rsidRPr="006B360B">
        <w:rPr>
          <w:color w:val="000000"/>
        </w:rPr>
        <w:t>Hamza Öz</w:t>
      </w:r>
      <w:r w:rsidRPr="006B360B">
        <w:rPr>
          <w:color w:val="000000"/>
        </w:rPr>
        <w:br/>
        <w:t>Dr. Öğretim Üyesi, Bozok Üniversitesi, Sağlık Bilimleri Fakültesi</w:t>
      </w:r>
      <w:r w:rsidRPr="006B360B">
        <w:rPr>
          <w:color w:val="000000"/>
        </w:rPr>
        <w:br/>
        <w:t>h</w:t>
      </w:r>
      <w:hyperlink r:id="rId171" w:history="1">
        <w:r w:rsidRPr="006B360B">
          <w:rPr>
            <w:color w:val="000000"/>
            <w:u w:val="single"/>
          </w:rPr>
          <w:t>amza.oz@bozok.edu.tr</w:t>
        </w:r>
        <w:r w:rsidRPr="006B360B">
          <w:rPr>
            <w:color w:val="000000"/>
          </w:rPr>
          <w:br/>
        </w:r>
      </w:hyperlink>
      <w:r w:rsidRPr="006B360B">
        <w:rPr>
          <w:color w:val="000000"/>
        </w:rPr>
        <w:t>0000-0002-5214-428X</w:t>
      </w:r>
    </w:p>
    <w:p w14:paraId="3970AA08" w14:textId="77777777" w:rsidR="00734B49" w:rsidRPr="00734B49" w:rsidRDefault="00734B49" w:rsidP="007513A1">
      <w:pPr>
        <w:jc w:val="center"/>
      </w:pPr>
    </w:p>
    <w:p w14:paraId="03443B30" w14:textId="77777777" w:rsidR="001E7189" w:rsidRPr="006B360B" w:rsidRDefault="001E7189" w:rsidP="007513A1">
      <w:pPr>
        <w:jc w:val="center"/>
        <w:rPr>
          <w:color w:val="000000"/>
        </w:rPr>
      </w:pPr>
      <w:r w:rsidRPr="006B360B">
        <w:rPr>
          <w:b/>
          <w:bCs/>
          <w:color w:val="000000"/>
        </w:rPr>
        <w:t>Özet</w:t>
      </w:r>
    </w:p>
    <w:p w14:paraId="6B9F44A0" w14:textId="77777777" w:rsidR="001E7189" w:rsidRPr="006B360B" w:rsidRDefault="001E7189" w:rsidP="007513A1">
      <w:pPr>
        <w:jc w:val="both"/>
        <w:rPr>
          <w:color w:val="000000"/>
        </w:rPr>
      </w:pPr>
      <w:r w:rsidRPr="006B360B">
        <w:rPr>
          <w:color w:val="000000"/>
        </w:rPr>
        <w:t xml:space="preserve">Eğitimin kalitesini etkileyen çeşitli faktörler vardır. Bu faktörlerden belki de en önemlisinin öğretmen kalitesi ve performansı olduğu söylenebilir. Bu doğrultuda nitelikli olarak tavsif edilecek ve yüksek performans sergilemesi istenilen öğretmenlerin yaşam doyumlarının da yüksek olması beklenmektedir. Öğretmenlerin yaşam doyumlarının onların performans ve niteliklerine etki edecek çeşitli değişkenlerle ilişkili olduğu düşünülmektedir. Bu değişkenler arasında örgüt uyumu, mesleki dayanıklılık ve öğretme coşkunun da yer aldığı iddia edilebilir. Bu nicel kesitsel çalışmada, “yaşam doyumu”, “öğretmen mesleki dayanıklılığı”, “öğretmenlik coşkusu” ve “örgütsel uyum” arasındaki ilişkiler ve yaşam doyumu ile mesleki dayanıklılık arasındaki ilişkide öğretmenlik coşkusu ve örgütsel uyumun aracılık rolünün olup olmadığı incelenmiştir. Araştırmanın evrenini Türkiye’nin İç Anadolu Bölgesinde bulunan bir ildeki milli eğitim müdürlüğüne bağlı okullarda görev yapan 3.984 öğretmenlerden oluşmaktadır. Araştırmanın örneklemi ise bu evrenden kolayda örnekleme yöntemi aracılığıyla belirlenmiş 751 öğretmenden oluşmaktadır. Verilerin toplanmasında “Kişisel Bilgi Formu”, “Yaşam Doyumu Ölçeği”, “Öğretmen Coşkusu Ölçeği”, “Öğretmen Mesleki Dayanıklılık Ölçeği” ve “Eğitim Örgütlerinde Uyum Ölçeği” kullanılmıştır. Değişkenler arasındaki ilişkileri incelemek için </w:t>
      </w:r>
      <w:proofErr w:type="spellStart"/>
      <w:r w:rsidRPr="006B360B">
        <w:rPr>
          <w:color w:val="000000"/>
        </w:rPr>
        <w:t>Pearson</w:t>
      </w:r>
      <w:proofErr w:type="spellEnd"/>
      <w:r w:rsidRPr="006B360B">
        <w:rPr>
          <w:color w:val="000000"/>
        </w:rPr>
        <w:t xml:space="preserve"> korelasyon katsayıları (r) kullanılmış ve bağımsız değişkenlerin bağımlı değişken üzerindeki doğrudan ve dolaylı yordama gücünü belirlemek için yapısal eşitlik modellemesi çerçevesinde yol analizi yapılmıştır. Çalışmada ayrıca öğretmenlik coşkusu ve örgütsel uyumun aracılık etkisini belirlemek için </w:t>
      </w:r>
      <w:proofErr w:type="spellStart"/>
      <w:r w:rsidRPr="006B360B">
        <w:rPr>
          <w:color w:val="000000"/>
        </w:rPr>
        <w:t>bootstrapping</w:t>
      </w:r>
      <w:proofErr w:type="spellEnd"/>
      <w:r w:rsidRPr="006B360B">
        <w:rPr>
          <w:color w:val="000000"/>
        </w:rPr>
        <w:t xml:space="preserve"> analizi (2.000 örneklem büyüklüğü; %95 güven aralığı) gerçekleştirilmiştir. Çalışmada, yaşam doyumu ile mesleki dayanıklılık arasındaki ilişkide öğretmenlik coşkusu ve örgütsel uyumun aracılık rolüne sahip olduğu sonucuna ulaşılmıştır. Ayrıca tüm değişkenler arasında istatistiksel olarak anlamlı pozitif ilişkiler olduğu; yaşam doyumunun örgütsel uyum, öğretmenlik coşkusu ve mesleki dayanıklılık üzerinde doğrudan ve olumlu yönde etkisi olduğu belirlenmiştir. Ayrıca mesleki dayanıklılığın da örgütsel uyum ve öğretmenlik coşkusundan doğrudan ve olumlu yönde etkilendiği sonuçlarına varılmıştır. Elde edilen sonuçlar doğrultusunda çeşitli önerilerde bulunulmuştur.</w:t>
      </w:r>
    </w:p>
    <w:p w14:paraId="5818A410" w14:textId="77777777" w:rsidR="001E7189" w:rsidRPr="006B360B" w:rsidRDefault="001E7189" w:rsidP="007513A1">
      <w:pPr>
        <w:rPr>
          <w:color w:val="000000"/>
        </w:rPr>
      </w:pPr>
    </w:p>
    <w:p w14:paraId="6EB247D2" w14:textId="64A2A664" w:rsidR="00114C6B" w:rsidRPr="00C70E93" w:rsidRDefault="001E7189" w:rsidP="007513A1">
      <w:pPr>
        <w:jc w:val="both"/>
        <w:rPr>
          <w:color w:val="000000"/>
          <w:sz w:val="23"/>
          <w:szCs w:val="23"/>
        </w:rPr>
      </w:pPr>
      <w:r w:rsidRPr="00734B49">
        <w:rPr>
          <w:b/>
          <w:bCs/>
          <w:color w:val="000000"/>
          <w:sz w:val="23"/>
          <w:szCs w:val="23"/>
        </w:rPr>
        <w:lastRenderedPageBreak/>
        <w:t>Anahtar Kelimeler:</w:t>
      </w:r>
      <w:r w:rsidRPr="00734B49">
        <w:rPr>
          <w:color w:val="000000"/>
          <w:sz w:val="23"/>
          <w:szCs w:val="23"/>
        </w:rPr>
        <w:t xml:space="preserve"> Yaşam Doyumu, Mesleki Dayanıklılık, Öğretmen Coşkusu, Örgüt Uyumu, Yapısal Eşitlik Modellemesi.</w:t>
      </w:r>
      <w:r w:rsidR="00C70E93">
        <w:rPr>
          <w:color w:val="000000"/>
          <w:sz w:val="23"/>
          <w:szCs w:val="23"/>
        </w:rPr>
        <w:br w:type="page"/>
      </w:r>
    </w:p>
    <w:p w14:paraId="49EB5398" w14:textId="77777777" w:rsidR="001E7189" w:rsidRPr="006B360B" w:rsidRDefault="001E7189" w:rsidP="004C7694">
      <w:pPr>
        <w:pStyle w:val="Tark"/>
      </w:pPr>
      <w:bookmarkStart w:id="131" w:name="_Toc192855208"/>
      <w:r w:rsidRPr="006B360B">
        <w:lastRenderedPageBreak/>
        <w:t>Koronavirüs (COVID-19) Sonrasında Akademik Özgürlük: Fırsatlar ve Tehditler</w:t>
      </w:r>
      <w:bookmarkEnd w:id="131"/>
    </w:p>
    <w:p w14:paraId="63F2D34C" w14:textId="77777777" w:rsidR="001E7189" w:rsidRPr="006B360B" w:rsidRDefault="001E7189" w:rsidP="007513A1">
      <w:pPr>
        <w:rPr>
          <w:color w:val="000000"/>
        </w:rPr>
      </w:pPr>
    </w:p>
    <w:p w14:paraId="75A0E5B8" w14:textId="77777777" w:rsidR="001E7189" w:rsidRPr="006B360B" w:rsidRDefault="001E7189" w:rsidP="007513A1">
      <w:pPr>
        <w:jc w:val="center"/>
        <w:rPr>
          <w:color w:val="000000"/>
        </w:rPr>
      </w:pPr>
      <w:r w:rsidRPr="006B360B">
        <w:rPr>
          <w:color w:val="000000"/>
        </w:rPr>
        <w:t>Merve Turpçu</w:t>
      </w:r>
      <w:r w:rsidRPr="006B360B">
        <w:rPr>
          <w:color w:val="000000"/>
        </w:rPr>
        <w:br/>
        <w:t>Dr. Öğretim Üyesi, Kırşehir Ahi Evran Üniversitesi, SBMYO</w:t>
      </w:r>
      <w:r w:rsidRPr="006B360B">
        <w:rPr>
          <w:color w:val="000000"/>
        </w:rPr>
        <w:br/>
        <w:t>merve.turpcu@ahievran.edu.tr</w:t>
      </w:r>
      <w:r w:rsidRPr="006B360B">
        <w:rPr>
          <w:color w:val="000000"/>
        </w:rPr>
        <w:br/>
        <w:t>0000-0002-3252-0428</w:t>
      </w:r>
    </w:p>
    <w:p w14:paraId="3899BF40" w14:textId="77777777" w:rsidR="001E7189" w:rsidRPr="006B360B" w:rsidRDefault="001E7189" w:rsidP="007513A1">
      <w:pPr>
        <w:rPr>
          <w:color w:val="000000"/>
        </w:rPr>
      </w:pPr>
    </w:p>
    <w:p w14:paraId="7D4ADA61" w14:textId="77777777" w:rsidR="001E7189" w:rsidRPr="006B360B" w:rsidRDefault="001E7189" w:rsidP="007513A1">
      <w:pPr>
        <w:jc w:val="center"/>
        <w:rPr>
          <w:color w:val="000000"/>
        </w:rPr>
      </w:pPr>
      <w:r w:rsidRPr="006B360B">
        <w:rPr>
          <w:b/>
          <w:bCs/>
          <w:color w:val="000000"/>
        </w:rPr>
        <w:t>Özet</w:t>
      </w:r>
    </w:p>
    <w:p w14:paraId="3BA8BD2A" w14:textId="0993693D" w:rsidR="001E7189" w:rsidRPr="006B360B" w:rsidRDefault="001E7189" w:rsidP="007513A1">
      <w:pPr>
        <w:ind w:firstLine="708"/>
        <w:jc w:val="both"/>
        <w:rPr>
          <w:color w:val="000000"/>
        </w:rPr>
      </w:pPr>
      <w:r w:rsidRPr="006B360B">
        <w:rPr>
          <w:color w:val="000000"/>
        </w:rPr>
        <w:t xml:space="preserve">Çin’in </w:t>
      </w:r>
      <w:proofErr w:type="spellStart"/>
      <w:r w:rsidRPr="006B360B">
        <w:rPr>
          <w:color w:val="000000"/>
        </w:rPr>
        <w:t>Wuhan</w:t>
      </w:r>
      <w:proofErr w:type="spellEnd"/>
      <w:r w:rsidRPr="006B360B">
        <w:rPr>
          <w:color w:val="000000"/>
        </w:rPr>
        <w:t xml:space="preserve"> kentinde 2019 yılının aralık ayında ortaya çıkan COVID-19 salgını kısa sürede tüm Dünya’yı etkisi almıştır. Bu durum başta sağlık olmak üzere ekonomi, eğitim, sosyal, yönetim ve politika gibi çeşitli alanlarda köklü değişimler meydana getirmiştir. Yükseköğretim kurumları olan üniversiteler de bu değişimden payını almış; üniversitelerin zorunlu olarak uzaktan eğitime geçişiyle birlikte gerek öğrenciler gerekse akademisyenler için pek çok farklı uygulamaya gidilmiştir. Nitel araştırma yöntemlerinden </w:t>
      </w:r>
      <w:proofErr w:type="gramStart"/>
      <w:r w:rsidRPr="006B360B">
        <w:rPr>
          <w:color w:val="000000"/>
        </w:rPr>
        <w:t>doküman</w:t>
      </w:r>
      <w:proofErr w:type="gramEnd"/>
      <w:r w:rsidRPr="006B360B">
        <w:rPr>
          <w:color w:val="000000"/>
        </w:rPr>
        <w:t xml:space="preserve"> analiziyle desenlenen bu çalışmanın amacı, akademik özgürlüklere sahip kurumlar olan üniversitelerin COVID-19 pandemisi sonrasında karşılaşmaları muhtemel fırsat ve tehditlerin ortaya konulmasıdır. Nitekim akademik özgürlük, öğretim elemanlarının herhangi bir baskı veya tehdit ile karşılaşmaksızın araştırma-yayın, eğitim-öğretim ve akademik yönetim alanlarında gerçeğin peşinden korkmadan yahut tereddüt etmeden gidebilmesi olarak ifade edilebilir. Üniversite özerkliğinin yanı sıra akademik özgürlük, üniversiteyi oluşturan en önemli iki kavramdan biri olarak nitelendirilebilir. Akademik özgürlüğün yüzyıllardır çeşitli güçlüklerden geçtiği ve pek çok tehditle karşılaştığı bilinmektedir. Buna ek olarak, COVID-19 ‘un da akademik özgürlük üzerinde gerek olumlu gerekse olumsuz </w:t>
      </w:r>
      <w:proofErr w:type="gramStart"/>
      <w:r w:rsidRPr="006B360B">
        <w:rPr>
          <w:color w:val="000000"/>
        </w:rPr>
        <w:t>bir takım</w:t>
      </w:r>
      <w:proofErr w:type="gramEnd"/>
      <w:r w:rsidRPr="006B360B">
        <w:rPr>
          <w:color w:val="000000"/>
        </w:rPr>
        <w:t xml:space="preserve"> etkilerinin ortaya çıktığı söylenebilir. Bu görüşü destekler şekilde pandemi sürecinde üniversitelerin çevrimiçi eğitime geçmesinin akademik yaşamın temel özelliklerini tehlikeye atmanın yanı sıra akademik toplulukları izlemek, sansürlemek veya hedef almak isteyenlere karşı savunmasız bırakabileceği düşünülebilir. Bu bağlamda ayrıca, yükseköğretimdeki derslerin, toplantıların ve akademik iletişimin güvenilir olmayan çevrim içi platformlara taşınmasının bu durumu daha da kolaylaştırabileceği söylenebilir. Bu çerçevede çalışmada mevcut dönemde akademik özgürlüğe yönelik fırsatların geliştirilmesine ve mevcut veya olası tehditlerin ise ortadan kaldırılmasına ilişkin çeşitli önerilerde bulunulacaktır.</w:t>
      </w:r>
    </w:p>
    <w:p w14:paraId="536DCCBF" w14:textId="7DBE0D79" w:rsidR="00C70E93" w:rsidRDefault="001E7189" w:rsidP="007513A1">
      <w:pPr>
        <w:rPr>
          <w:color w:val="000000"/>
        </w:rPr>
      </w:pPr>
      <w:r w:rsidRPr="006B360B">
        <w:rPr>
          <w:color w:val="000000"/>
        </w:rPr>
        <w:br/>
      </w:r>
      <w:r w:rsidRPr="006B360B">
        <w:rPr>
          <w:color w:val="000000"/>
        </w:rPr>
        <w:br/>
      </w:r>
      <w:r w:rsidRPr="006B360B">
        <w:rPr>
          <w:b/>
          <w:bCs/>
          <w:color w:val="000000"/>
        </w:rPr>
        <w:t xml:space="preserve">Anahtar </w:t>
      </w:r>
      <w:r w:rsidR="005325CB">
        <w:rPr>
          <w:b/>
          <w:bCs/>
          <w:color w:val="000000"/>
        </w:rPr>
        <w:t>Kelimeler</w:t>
      </w:r>
      <w:r w:rsidRPr="006B360B">
        <w:rPr>
          <w:b/>
          <w:bCs/>
          <w:color w:val="000000"/>
        </w:rPr>
        <w:t>:</w:t>
      </w:r>
      <w:r w:rsidRPr="006B360B">
        <w:rPr>
          <w:color w:val="000000"/>
        </w:rPr>
        <w:t xml:space="preserve"> Akademik Özgürlük, COVID-19, Doküman Analizi.</w:t>
      </w:r>
    </w:p>
    <w:p w14:paraId="5588ADC9" w14:textId="61D04BAD" w:rsidR="00114C6B" w:rsidRDefault="00C70E93" w:rsidP="007513A1">
      <w:pPr>
        <w:autoSpaceDE/>
        <w:autoSpaceDN/>
        <w:rPr>
          <w:color w:val="000000"/>
        </w:rPr>
      </w:pPr>
      <w:r>
        <w:rPr>
          <w:color w:val="000000"/>
        </w:rPr>
        <w:br w:type="page"/>
      </w:r>
    </w:p>
    <w:p w14:paraId="68E76178" w14:textId="4F71AB5C" w:rsidR="001E7189" w:rsidRPr="006B360B" w:rsidRDefault="001E7189" w:rsidP="004C7694">
      <w:pPr>
        <w:pStyle w:val="Tark"/>
      </w:pPr>
      <w:bookmarkStart w:id="132" w:name="_Toc192855209"/>
      <w:proofErr w:type="spellStart"/>
      <w:r w:rsidRPr="006B360B">
        <w:lastRenderedPageBreak/>
        <w:t>After</w:t>
      </w:r>
      <w:proofErr w:type="spellEnd"/>
      <w:r w:rsidRPr="006B360B">
        <w:t xml:space="preserve"> </w:t>
      </w:r>
      <w:r w:rsidR="003E3BD3">
        <w:t>-</w:t>
      </w:r>
      <w:r w:rsidRPr="006B360B">
        <w:t>COP29</w:t>
      </w:r>
      <w:r w:rsidR="003E3BD3">
        <w:t>-</w:t>
      </w:r>
      <w:r w:rsidRPr="006B360B">
        <w:t xml:space="preserve">What do </w:t>
      </w:r>
      <w:proofErr w:type="spellStart"/>
      <w:r w:rsidRPr="006B360B">
        <w:t>COPs</w:t>
      </w:r>
      <w:proofErr w:type="spellEnd"/>
      <w:r w:rsidRPr="006B360B">
        <w:t xml:space="preserve"> </w:t>
      </w:r>
      <w:proofErr w:type="spellStart"/>
      <w:r w:rsidRPr="006B360B">
        <w:t>bring</w:t>
      </w:r>
      <w:proofErr w:type="spellEnd"/>
      <w:r w:rsidRPr="006B360B">
        <w:t xml:space="preserve"> </w:t>
      </w:r>
      <w:proofErr w:type="spellStart"/>
      <w:r w:rsidRPr="006B360B">
        <w:t>or</w:t>
      </w:r>
      <w:proofErr w:type="spellEnd"/>
      <w:r w:rsidRPr="006B360B">
        <w:t xml:space="preserve"> </w:t>
      </w:r>
      <w:proofErr w:type="spellStart"/>
      <w:r w:rsidRPr="006B360B">
        <w:t>take</w:t>
      </w:r>
      <w:proofErr w:type="spellEnd"/>
      <w:r w:rsidRPr="006B360B">
        <w:t xml:space="preserve"> </w:t>
      </w:r>
      <w:proofErr w:type="spellStart"/>
      <w:r w:rsidRPr="006B360B">
        <w:t>away</w:t>
      </w:r>
      <w:proofErr w:type="spellEnd"/>
      <w:r w:rsidRPr="006B360B">
        <w:t xml:space="preserve"> </w:t>
      </w:r>
      <w:proofErr w:type="spellStart"/>
      <w:r w:rsidRPr="006B360B">
        <w:t>from</w:t>
      </w:r>
      <w:proofErr w:type="spellEnd"/>
      <w:r w:rsidRPr="006B360B">
        <w:t xml:space="preserve"> </w:t>
      </w:r>
      <w:proofErr w:type="spellStart"/>
      <w:r w:rsidRPr="006B360B">
        <w:t>the</w:t>
      </w:r>
      <w:proofErr w:type="spellEnd"/>
      <w:r w:rsidRPr="006B360B">
        <w:t xml:space="preserve"> </w:t>
      </w:r>
      <w:proofErr w:type="spellStart"/>
      <w:r w:rsidRPr="006B360B">
        <w:t>world</w:t>
      </w:r>
      <w:proofErr w:type="spellEnd"/>
      <w:r w:rsidRPr="006B360B">
        <w:t>?</w:t>
      </w:r>
      <w:bookmarkEnd w:id="132"/>
    </w:p>
    <w:p w14:paraId="0F932671" w14:textId="77777777" w:rsidR="001E7189" w:rsidRPr="006B360B" w:rsidRDefault="001E7189" w:rsidP="007513A1">
      <w:pPr>
        <w:rPr>
          <w:color w:val="000000"/>
        </w:rPr>
      </w:pPr>
    </w:p>
    <w:p w14:paraId="1B367B78" w14:textId="77777777" w:rsidR="001E7189" w:rsidRPr="006B360B" w:rsidRDefault="001E7189" w:rsidP="007513A1">
      <w:pPr>
        <w:jc w:val="center"/>
        <w:rPr>
          <w:color w:val="000000"/>
        </w:rPr>
      </w:pPr>
      <w:r w:rsidRPr="006B360B">
        <w:rPr>
          <w:color w:val="000000"/>
        </w:rPr>
        <w:t>Müge Algan</w:t>
      </w:r>
    </w:p>
    <w:p w14:paraId="142B69D6" w14:textId="77777777" w:rsidR="001E7189" w:rsidRPr="006B360B" w:rsidRDefault="001E7189" w:rsidP="007513A1">
      <w:pPr>
        <w:jc w:val="center"/>
        <w:rPr>
          <w:color w:val="000000"/>
        </w:rPr>
      </w:pPr>
      <w:r w:rsidRPr="006B360B">
        <w:rPr>
          <w:color w:val="000000"/>
        </w:rPr>
        <w:t>Dr., Dünya Barış Üniversitesi, İİSBF, Kamu Yönetimi Bölümü</w:t>
      </w:r>
    </w:p>
    <w:p w14:paraId="6087F5E8" w14:textId="631AEA09" w:rsidR="001E7189" w:rsidRPr="006B360B" w:rsidRDefault="001E7189" w:rsidP="007513A1">
      <w:pPr>
        <w:jc w:val="center"/>
        <w:rPr>
          <w:color w:val="000000"/>
        </w:rPr>
      </w:pPr>
      <w:hyperlink r:id="rId172" w:history="1">
        <w:r w:rsidRPr="006B360B">
          <w:rPr>
            <w:color w:val="0563C1"/>
            <w:u w:val="single"/>
          </w:rPr>
          <w:t>mugealgan@yahoo.com</w:t>
        </w:r>
      </w:hyperlink>
    </w:p>
    <w:p w14:paraId="5AF1A3D7" w14:textId="77777777" w:rsidR="001E7189" w:rsidRPr="006B360B" w:rsidRDefault="001E7189" w:rsidP="007513A1">
      <w:pPr>
        <w:jc w:val="center"/>
        <w:rPr>
          <w:color w:val="000000"/>
        </w:rPr>
      </w:pPr>
      <w:proofErr w:type="spellStart"/>
      <w:r w:rsidRPr="006B360B">
        <w:rPr>
          <w:color w:val="000000"/>
        </w:rPr>
        <w:t>Orcid</w:t>
      </w:r>
      <w:proofErr w:type="spellEnd"/>
      <w:r w:rsidRPr="006B360B">
        <w:rPr>
          <w:color w:val="000000"/>
        </w:rPr>
        <w:t xml:space="preserve"> 0000 0001 8959 1174</w:t>
      </w:r>
    </w:p>
    <w:p w14:paraId="032751CA" w14:textId="77777777" w:rsidR="001E7189" w:rsidRPr="006B360B" w:rsidRDefault="001E7189" w:rsidP="007513A1">
      <w:pPr>
        <w:rPr>
          <w:color w:val="000000"/>
        </w:rPr>
      </w:pPr>
    </w:p>
    <w:p w14:paraId="16796E54" w14:textId="1A915016" w:rsidR="001E7189" w:rsidRPr="006B360B" w:rsidRDefault="001E7189" w:rsidP="007513A1">
      <w:pPr>
        <w:jc w:val="center"/>
        <w:rPr>
          <w:color w:val="000000"/>
        </w:rPr>
      </w:pPr>
      <w:proofErr w:type="spellStart"/>
      <w:r w:rsidRPr="006B360B">
        <w:rPr>
          <w:b/>
          <w:bCs/>
          <w:color w:val="000000"/>
        </w:rPr>
        <w:t>Abstract</w:t>
      </w:r>
      <w:proofErr w:type="spellEnd"/>
    </w:p>
    <w:p w14:paraId="4B8A4BFB" w14:textId="77777777" w:rsidR="001E7189" w:rsidRDefault="001E7189" w:rsidP="007513A1">
      <w:pPr>
        <w:jc w:val="both"/>
        <w:rPr>
          <w:color w:val="000000"/>
        </w:rPr>
      </w:pPr>
      <w:proofErr w:type="spellStart"/>
      <w:r w:rsidRPr="006B360B">
        <w:rPr>
          <w:color w:val="000000"/>
        </w:rPr>
        <w:t>The</w:t>
      </w:r>
      <w:proofErr w:type="spellEnd"/>
      <w:r w:rsidRPr="006B360B">
        <w:rPr>
          <w:color w:val="000000"/>
        </w:rPr>
        <w:t xml:space="preserve"> United Nations (UN) is </w:t>
      </w:r>
      <w:proofErr w:type="spellStart"/>
      <w:r w:rsidRPr="006B360B">
        <w:rPr>
          <w:color w:val="000000"/>
        </w:rPr>
        <w:t>one</w:t>
      </w:r>
      <w:proofErr w:type="spellEnd"/>
      <w:r w:rsidRPr="006B360B">
        <w:rPr>
          <w:color w:val="000000"/>
        </w:rPr>
        <w:t xml:space="preserve"> of </w:t>
      </w:r>
      <w:proofErr w:type="spellStart"/>
      <w:r w:rsidRPr="006B360B">
        <w:rPr>
          <w:color w:val="000000"/>
        </w:rPr>
        <w:t>the</w:t>
      </w:r>
      <w:proofErr w:type="spellEnd"/>
      <w:r w:rsidRPr="006B360B">
        <w:rPr>
          <w:color w:val="000000"/>
        </w:rPr>
        <w:t xml:space="preserve"> global </w:t>
      </w:r>
      <w:proofErr w:type="spellStart"/>
      <w:r w:rsidRPr="006B360B">
        <w:rPr>
          <w:color w:val="000000"/>
        </w:rPr>
        <w:t>actors</w:t>
      </w:r>
      <w:proofErr w:type="spellEnd"/>
      <w:r w:rsidRPr="006B360B">
        <w:rPr>
          <w:color w:val="000000"/>
        </w:rPr>
        <w:t xml:space="preserve"> </w:t>
      </w:r>
      <w:proofErr w:type="spellStart"/>
      <w:r w:rsidRPr="006B360B">
        <w:rPr>
          <w:color w:val="000000"/>
        </w:rPr>
        <w:t>seeking</w:t>
      </w:r>
      <w:proofErr w:type="spellEnd"/>
      <w:r w:rsidRPr="006B360B">
        <w:rPr>
          <w:color w:val="000000"/>
        </w:rPr>
        <w:t xml:space="preserve"> </w:t>
      </w:r>
      <w:proofErr w:type="spellStart"/>
      <w:r w:rsidRPr="006B360B">
        <w:rPr>
          <w:color w:val="000000"/>
        </w:rPr>
        <w:t>solutions</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problem of </w:t>
      </w:r>
      <w:proofErr w:type="spellStart"/>
      <w:r w:rsidRPr="006B360B">
        <w:rPr>
          <w:color w:val="000000"/>
        </w:rPr>
        <w:t>climate</w:t>
      </w:r>
      <w:proofErr w:type="spellEnd"/>
      <w:r w:rsidRPr="006B360B">
        <w:rPr>
          <w:color w:val="000000"/>
        </w:rPr>
        <w:t xml:space="preserve"> </w:t>
      </w:r>
      <w:proofErr w:type="spellStart"/>
      <w:r w:rsidRPr="006B360B">
        <w:rPr>
          <w:color w:val="000000"/>
        </w:rPr>
        <w:t>change</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Conference of </w:t>
      </w:r>
      <w:proofErr w:type="spellStart"/>
      <w:r w:rsidRPr="006B360B">
        <w:rPr>
          <w:color w:val="000000"/>
        </w:rPr>
        <w:t>the</w:t>
      </w:r>
      <w:proofErr w:type="spellEnd"/>
      <w:r w:rsidRPr="006B360B">
        <w:rPr>
          <w:color w:val="000000"/>
        </w:rPr>
        <w:t xml:space="preserve"> </w:t>
      </w:r>
      <w:proofErr w:type="spellStart"/>
      <w:r w:rsidRPr="006B360B">
        <w:rPr>
          <w:color w:val="000000"/>
        </w:rPr>
        <w:t>Parties</w:t>
      </w:r>
      <w:proofErr w:type="spellEnd"/>
      <w:r w:rsidRPr="006B360B">
        <w:rPr>
          <w:color w:val="000000"/>
        </w:rPr>
        <w:t xml:space="preserve"> (COP), </w:t>
      </w:r>
      <w:proofErr w:type="spellStart"/>
      <w:r w:rsidRPr="006B360B">
        <w:rPr>
          <w:color w:val="000000"/>
        </w:rPr>
        <w:t>organized</w:t>
      </w:r>
      <w:proofErr w:type="spellEnd"/>
      <w:r w:rsidRPr="006B360B">
        <w:rPr>
          <w:color w:val="000000"/>
        </w:rPr>
        <w:t xml:space="preserve"> </w:t>
      </w:r>
      <w:proofErr w:type="spellStart"/>
      <w:r w:rsidRPr="006B360B">
        <w:rPr>
          <w:color w:val="000000"/>
        </w:rPr>
        <w:t>under</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UN Framework </w:t>
      </w:r>
      <w:proofErr w:type="spellStart"/>
      <w:r w:rsidRPr="006B360B">
        <w:rPr>
          <w:color w:val="000000"/>
        </w:rPr>
        <w:t>Convention</w:t>
      </w:r>
      <w:proofErr w:type="spellEnd"/>
      <w:r w:rsidRPr="006B360B">
        <w:rPr>
          <w:color w:val="000000"/>
        </w:rPr>
        <w:t xml:space="preserve"> on </w:t>
      </w:r>
      <w:proofErr w:type="spellStart"/>
      <w:r w:rsidRPr="006B360B">
        <w:rPr>
          <w:color w:val="000000"/>
        </w:rPr>
        <w:t>Climate</w:t>
      </w:r>
      <w:proofErr w:type="spellEnd"/>
      <w:r w:rsidRPr="006B360B">
        <w:rPr>
          <w:color w:val="000000"/>
        </w:rPr>
        <w:t xml:space="preserve"> </w:t>
      </w:r>
      <w:proofErr w:type="spellStart"/>
      <w:r w:rsidRPr="006B360B">
        <w:rPr>
          <w:color w:val="000000"/>
        </w:rPr>
        <w:t>Change</w:t>
      </w:r>
      <w:proofErr w:type="spellEnd"/>
      <w:r w:rsidRPr="006B360B">
        <w:rPr>
          <w:color w:val="000000"/>
        </w:rPr>
        <w:t xml:space="preserve"> (UNFCCC), is </w:t>
      </w:r>
      <w:proofErr w:type="spellStart"/>
      <w:r w:rsidRPr="006B360B">
        <w:rPr>
          <w:color w:val="000000"/>
        </w:rPr>
        <w:t>one</w:t>
      </w:r>
      <w:proofErr w:type="spellEnd"/>
      <w:r w:rsidRPr="006B360B">
        <w:rPr>
          <w:color w:val="000000"/>
        </w:rPr>
        <w:t xml:space="preserve"> of </w:t>
      </w:r>
      <w:proofErr w:type="spellStart"/>
      <w:r w:rsidRPr="006B360B">
        <w:rPr>
          <w:color w:val="000000"/>
        </w:rPr>
        <w:t>the</w:t>
      </w:r>
      <w:proofErr w:type="spellEnd"/>
      <w:r w:rsidRPr="006B360B">
        <w:rPr>
          <w:color w:val="000000"/>
        </w:rPr>
        <w:t xml:space="preserve"> </w:t>
      </w:r>
      <w:proofErr w:type="spellStart"/>
      <w:r w:rsidRPr="006B360B">
        <w:rPr>
          <w:color w:val="000000"/>
        </w:rPr>
        <w:t>important</w:t>
      </w:r>
      <w:proofErr w:type="spellEnd"/>
      <w:r w:rsidRPr="006B360B">
        <w:rPr>
          <w:color w:val="000000"/>
        </w:rPr>
        <w:t xml:space="preserve"> </w:t>
      </w:r>
      <w:proofErr w:type="spellStart"/>
      <w:r w:rsidRPr="006B360B">
        <w:rPr>
          <w:color w:val="000000"/>
        </w:rPr>
        <w:t>green</w:t>
      </w:r>
      <w:proofErr w:type="spellEnd"/>
      <w:r w:rsidRPr="006B360B">
        <w:rPr>
          <w:color w:val="000000"/>
        </w:rPr>
        <w:t xml:space="preserve"> </w:t>
      </w:r>
      <w:proofErr w:type="spellStart"/>
      <w:r w:rsidRPr="006B360B">
        <w:rPr>
          <w:color w:val="000000"/>
        </w:rPr>
        <w:t>governance</w:t>
      </w:r>
      <w:proofErr w:type="spellEnd"/>
      <w:r w:rsidRPr="006B360B">
        <w:rPr>
          <w:color w:val="000000"/>
        </w:rPr>
        <w:t xml:space="preserve"> </w:t>
      </w:r>
      <w:proofErr w:type="spellStart"/>
      <w:r w:rsidRPr="006B360B">
        <w:rPr>
          <w:color w:val="000000"/>
        </w:rPr>
        <w:t>efforts</w:t>
      </w:r>
      <w:proofErr w:type="spellEnd"/>
      <w:r w:rsidRPr="006B360B">
        <w:rPr>
          <w:color w:val="000000"/>
        </w:rPr>
        <w:t xml:space="preserve"> of </w:t>
      </w:r>
      <w:proofErr w:type="spellStart"/>
      <w:r w:rsidRPr="006B360B">
        <w:rPr>
          <w:color w:val="000000"/>
        </w:rPr>
        <w:t>the</w:t>
      </w:r>
      <w:proofErr w:type="spellEnd"/>
      <w:r w:rsidRPr="006B360B">
        <w:rPr>
          <w:color w:val="000000"/>
        </w:rPr>
        <w:t xml:space="preserve"> UN. COP is a </w:t>
      </w:r>
      <w:proofErr w:type="spellStart"/>
      <w:r w:rsidRPr="006B360B">
        <w:rPr>
          <w:color w:val="000000"/>
        </w:rPr>
        <w:t>negotiation</w:t>
      </w:r>
      <w:proofErr w:type="spellEnd"/>
      <w:r w:rsidRPr="006B360B">
        <w:rPr>
          <w:color w:val="000000"/>
        </w:rPr>
        <w:t xml:space="preserve"> platform </w:t>
      </w:r>
      <w:proofErr w:type="spellStart"/>
      <w:r w:rsidRPr="006B360B">
        <w:rPr>
          <w:color w:val="000000"/>
        </w:rPr>
        <w:t>that</w:t>
      </w:r>
      <w:proofErr w:type="spellEnd"/>
      <w:r w:rsidRPr="006B360B">
        <w:rPr>
          <w:color w:val="000000"/>
        </w:rPr>
        <w:t xml:space="preserve"> </w:t>
      </w:r>
      <w:proofErr w:type="spellStart"/>
      <w:r w:rsidRPr="006B360B">
        <w:rPr>
          <w:color w:val="000000"/>
        </w:rPr>
        <w:t>aims</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realize </w:t>
      </w:r>
      <w:proofErr w:type="spellStart"/>
      <w:r w:rsidRPr="006B360B">
        <w:rPr>
          <w:color w:val="000000"/>
        </w:rPr>
        <w:t>the</w:t>
      </w:r>
      <w:proofErr w:type="spellEnd"/>
      <w:r w:rsidRPr="006B360B">
        <w:rPr>
          <w:color w:val="000000"/>
        </w:rPr>
        <w:t xml:space="preserve"> </w:t>
      </w:r>
      <w:proofErr w:type="spellStart"/>
      <w:r w:rsidRPr="006B360B">
        <w:rPr>
          <w:color w:val="000000"/>
        </w:rPr>
        <w:t>determination</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limit </w:t>
      </w:r>
      <w:proofErr w:type="spellStart"/>
      <w:r w:rsidRPr="006B360B">
        <w:rPr>
          <w:color w:val="000000"/>
        </w:rPr>
        <w:t>the</w:t>
      </w:r>
      <w:proofErr w:type="spellEnd"/>
      <w:r w:rsidRPr="006B360B">
        <w:rPr>
          <w:color w:val="000000"/>
        </w:rPr>
        <w:t xml:space="preserve"> global </w:t>
      </w:r>
      <w:proofErr w:type="spellStart"/>
      <w:r w:rsidRPr="006B360B">
        <w:rPr>
          <w:color w:val="000000"/>
        </w:rPr>
        <w:t>average</w:t>
      </w:r>
      <w:proofErr w:type="spellEnd"/>
      <w:r w:rsidRPr="006B360B">
        <w:rPr>
          <w:color w:val="000000"/>
        </w:rPr>
        <w:t xml:space="preserve"> </w:t>
      </w:r>
      <w:proofErr w:type="spellStart"/>
      <w:r w:rsidRPr="006B360B">
        <w:rPr>
          <w:color w:val="000000"/>
        </w:rPr>
        <w:t>temperature</w:t>
      </w:r>
      <w:proofErr w:type="spellEnd"/>
      <w:r w:rsidRPr="006B360B">
        <w:rPr>
          <w:color w:val="000000"/>
        </w:rPr>
        <w:t xml:space="preserve"> </w:t>
      </w:r>
      <w:proofErr w:type="spellStart"/>
      <w:r w:rsidRPr="006B360B">
        <w:rPr>
          <w:color w:val="000000"/>
        </w:rPr>
        <w:t>increase</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gramStart"/>
      <w:r w:rsidRPr="006B360B">
        <w:rPr>
          <w:color w:val="000000"/>
        </w:rPr>
        <w:t>1.5</w:t>
      </w:r>
      <w:proofErr w:type="gramEnd"/>
      <w:r w:rsidRPr="006B360B">
        <w:rPr>
          <w:color w:val="000000"/>
        </w:rPr>
        <w:t xml:space="preserve">°C. </w:t>
      </w:r>
      <w:proofErr w:type="spellStart"/>
      <w:r w:rsidRPr="006B360B">
        <w:rPr>
          <w:color w:val="000000"/>
        </w:rPr>
        <w:t>COPs</w:t>
      </w:r>
      <w:proofErr w:type="spellEnd"/>
      <w:r w:rsidRPr="006B360B">
        <w:rPr>
          <w:color w:val="000000"/>
        </w:rPr>
        <w:t xml:space="preserve"> </w:t>
      </w:r>
      <w:proofErr w:type="spellStart"/>
      <w:r w:rsidRPr="006B360B">
        <w:rPr>
          <w:color w:val="000000"/>
        </w:rPr>
        <w:t>have</w:t>
      </w:r>
      <w:proofErr w:type="spellEnd"/>
      <w:r w:rsidRPr="006B360B">
        <w:rPr>
          <w:color w:val="000000"/>
        </w:rPr>
        <w:t xml:space="preserve"> </w:t>
      </w:r>
      <w:proofErr w:type="spellStart"/>
      <w:r w:rsidRPr="006B360B">
        <w:rPr>
          <w:color w:val="000000"/>
        </w:rPr>
        <w:t>been</w:t>
      </w:r>
      <w:proofErr w:type="spellEnd"/>
      <w:r w:rsidRPr="006B360B">
        <w:rPr>
          <w:color w:val="000000"/>
        </w:rPr>
        <w:t xml:space="preserve"> </w:t>
      </w:r>
      <w:proofErr w:type="spellStart"/>
      <w:r w:rsidRPr="006B360B">
        <w:rPr>
          <w:color w:val="000000"/>
        </w:rPr>
        <w:t>held</w:t>
      </w:r>
      <w:proofErr w:type="spellEnd"/>
      <w:r w:rsidRPr="006B360B">
        <w:rPr>
          <w:color w:val="000000"/>
        </w:rPr>
        <w:t xml:space="preserve"> </w:t>
      </w:r>
      <w:proofErr w:type="spellStart"/>
      <w:r w:rsidRPr="006B360B">
        <w:rPr>
          <w:color w:val="000000"/>
        </w:rPr>
        <w:t>yearly</w:t>
      </w:r>
      <w:proofErr w:type="spellEnd"/>
      <w:r w:rsidRPr="006B360B">
        <w:rPr>
          <w:color w:val="000000"/>
        </w:rPr>
        <w:t xml:space="preserve"> since COP1 in 1995 </w:t>
      </w:r>
      <w:proofErr w:type="spellStart"/>
      <w:r w:rsidRPr="006B360B">
        <w:rPr>
          <w:color w:val="000000"/>
        </w:rPr>
        <w:t>and</w:t>
      </w:r>
      <w:proofErr w:type="spellEnd"/>
      <w:r w:rsidRPr="006B360B">
        <w:rPr>
          <w:color w:val="000000"/>
        </w:rPr>
        <w:t xml:space="preserve"> </w:t>
      </w:r>
      <w:proofErr w:type="spellStart"/>
      <w:r w:rsidRPr="006B360B">
        <w:rPr>
          <w:color w:val="000000"/>
        </w:rPr>
        <w:t>have</w:t>
      </w:r>
      <w:proofErr w:type="spellEnd"/>
      <w:r w:rsidRPr="006B360B">
        <w:rPr>
          <w:color w:val="000000"/>
        </w:rPr>
        <w:t xml:space="preserve"> </w:t>
      </w:r>
      <w:proofErr w:type="spellStart"/>
      <w:r w:rsidRPr="006B360B">
        <w:rPr>
          <w:color w:val="000000"/>
        </w:rPr>
        <w:t>attracted</w:t>
      </w:r>
      <w:proofErr w:type="spellEnd"/>
      <w:r w:rsidRPr="006B360B">
        <w:rPr>
          <w:color w:val="000000"/>
        </w:rPr>
        <w:t xml:space="preserve"> </w:t>
      </w:r>
      <w:proofErr w:type="spellStart"/>
      <w:r w:rsidRPr="006B360B">
        <w:rPr>
          <w:color w:val="000000"/>
        </w:rPr>
        <w:t>public</w:t>
      </w:r>
      <w:proofErr w:type="spellEnd"/>
      <w:r w:rsidRPr="006B360B">
        <w:rPr>
          <w:color w:val="000000"/>
        </w:rPr>
        <w:t xml:space="preserve"> </w:t>
      </w:r>
      <w:proofErr w:type="spellStart"/>
      <w:r w:rsidRPr="006B360B">
        <w:rPr>
          <w:color w:val="000000"/>
        </w:rPr>
        <w:t>attention</w:t>
      </w:r>
      <w:proofErr w:type="spellEnd"/>
      <w:r w:rsidRPr="006B360B">
        <w:rPr>
          <w:color w:val="000000"/>
        </w:rPr>
        <w:t xml:space="preserve">. COP24, </w:t>
      </w:r>
      <w:proofErr w:type="spellStart"/>
      <w:r w:rsidRPr="006B360B">
        <w:rPr>
          <w:color w:val="000000"/>
        </w:rPr>
        <w:t>held</w:t>
      </w:r>
      <w:proofErr w:type="spellEnd"/>
      <w:r w:rsidRPr="006B360B">
        <w:rPr>
          <w:color w:val="000000"/>
        </w:rPr>
        <w:t xml:space="preserve"> in Katowice in 2018, </w:t>
      </w:r>
      <w:proofErr w:type="spellStart"/>
      <w:r w:rsidRPr="006B360B">
        <w:rPr>
          <w:color w:val="000000"/>
        </w:rPr>
        <w:t>and</w:t>
      </w:r>
      <w:proofErr w:type="spellEnd"/>
      <w:r w:rsidRPr="006B360B">
        <w:rPr>
          <w:color w:val="000000"/>
        </w:rPr>
        <w:t xml:space="preserve"> COP25, </w:t>
      </w:r>
      <w:proofErr w:type="spellStart"/>
      <w:r w:rsidRPr="006B360B">
        <w:rPr>
          <w:color w:val="000000"/>
        </w:rPr>
        <w:t>held</w:t>
      </w:r>
      <w:proofErr w:type="spellEnd"/>
      <w:r w:rsidRPr="006B360B">
        <w:rPr>
          <w:color w:val="000000"/>
        </w:rPr>
        <w:t xml:space="preserve"> in Madrid in 2019, </w:t>
      </w:r>
      <w:proofErr w:type="spellStart"/>
      <w:r w:rsidRPr="006B360B">
        <w:rPr>
          <w:color w:val="000000"/>
        </w:rPr>
        <w:t>are</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meetings</w:t>
      </w:r>
      <w:proofErr w:type="spellEnd"/>
      <w:r w:rsidRPr="006B360B">
        <w:rPr>
          <w:color w:val="000000"/>
        </w:rPr>
        <w:t xml:space="preserve"> </w:t>
      </w:r>
      <w:proofErr w:type="spellStart"/>
      <w:r w:rsidRPr="006B360B">
        <w:rPr>
          <w:color w:val="000000"/>
        </w:rPr>
        <w:t>with</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most</w:t>
      </w:r>
      <w:proofErr w:type="spellEnd"/>
      <w:r w:rsidRPr="006B360B">
        <w:rPr>
          <w:color w:val="000000"/>
        </w:rPr>
        <w:t xml:space="preserve"> </w:t>
      </w:r>
      <w:proofErr w:type="spellStart"/>
      <w:r w:rsidRPr="006B360B">
        <w:rPr>
          <w:color w:val="000000"/>
        </w:rPr>
        <w:t>obvious</w:t>
      </w:r>
      <w:proofErr w:type="spellEnd"/>
      <w:r w:rsidRPr="006B360B">
        <w:rPr>
          <w:color w:val="000000"/>
        </w:rPr>
        <w:t xml:space="preserve"> </w:t>
      </w:r>
      <w:proofErr w:type="spellStart"/>
      <w:r w:rsidRPr="006B360B">
        <w:rPr>
          <w:color w:val="000000"/>
        </w:rPr>
        <w:t>goals</w:t>
      </w:r>
      <w:proofErr w:type="spellEnd"/>
      <w:r w:rsidRPr="006B360B">
        <w:rPr>
          <w:color w:val="000000"/>
        </w:rPr>
        <w:t xml:space="preserve"> (</w:t>
      </w:r>
      <w:proofErr w:type="spellStart"/>
      <w:r w:rsidRPr="006B360B">
        <w:rPr>
          <w:color w:val="000000"/>
        </w:rPr>
        <w:t>Carretani</w:t>
      </w:r>
      <w:proofErr w:type="spellEnd"/>
      <w:r w:rsidRPr="006B360B">
        <w:rPr>
          <w:color w:val="000000"/>
        </w:rPr>
        <w:t xml:space="preserve">, 2021:2). COP 26 </w:t>
      </w:r>
      <w:proofErr w:type="spellStart"/>
      <w:r w:rsidRPr="006B360B">
        <w:rPr>
          <w:color w:val="000000"/>
        </w:rPr>
        <w:t>aimed</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promote</w:t>
      </w:r>
      <w:proofErr w:type="spellEnd"/>
      <w:r w:rsidRPr="006B360B">
        <w:rPr>
          <w:color w:val="000000"/>
        </w:rPr>
        <w:t xml:space="preserve"> </w:t>
      </w:r>
      <w:proofErr w:type="spellStart"/>
      <w:r w:rsidRPr="006B360B">
        <w:rPr>
          <w:color w:val="000000"/>
        </w:rPr>
        <w:t>sustainability</w:t>
      </w:r>
      <w:proofErr w:type="spellEnd"/>
      <w:r w:rsidRPr="006B360B">
        <w:rPr>
          <w:color w:val="000000"/>
        </w:rPr>
        <w:t xml:space="preserve"> </w:t>
      </w:r>
      <w:proofErr w:type="spellStart"/>
      <w:r w:rsidRPr="006B360B">
        <w:rPr>
          <w:color w:val="000000"/>
        </w:rPr>
        <w:t>with</w:t>
      </w:r>
      <w:proofErr w:type="spellEnd"/>
      <w:r w:rsidRPr="006B360B">
        <w:rPr>
          <w:color w:val="000000"/>
        </w:rPr>
        <w:t xml:space="preserve"> </w:t>
      </w:r>
      <w:proofErr w:type="spellStart"/>
      <w:r w:rsidRPr="006B360B">
        <w:rPr>
          <w:color w:val="000000"/>
        </w:rPr>
        <w:t>green</w:t>
      </w:r>
      <w:proofErr w:type="spellEnd"/>
      <w:r w:rsidRPr="006B360B">
        <w:rPr>
          <w:color w:val="000000"/>
        </w:rPr>
        <w:t xml:space="preserve"> </w:t>
      </w:r>
      <w:proofErr w:type="spellStart"/>
      <w:r w:rsidRPr="006B360B">
        <w:rPr>
          <w:color w:val="000000"/>
        </w:rPr>
        <w:t>hydrogen</w:t>
      </w:r>
      <w:proofErr w:type="spellEnd"/>
      <w:r w:rsidRPr="006B360B">
        <w:rPr>
          <w:color w:val="000000"/>
        </w:rPr>
        <w:t xml:space="preserve">. COP27, </w:t>
      </w:r>
      <w:proofErr w:type="spellStart"/>
      <w:r w:rsidRPr="006B360B">
        <w:rPr>
          <w:color w:val="000000"/>
        </w:rPr>
        <w:t>which</w:t>
      </w:r>
      <w:proofErr w:type="spellEnd"/>
      <w:r w:rsidRPr="006B360B">
        <w:rPr>
          <w:color w:val="000000"/>
        </w:rPr>
        <w:t xml:space="preserve"> </w:t>
      </w:r>
      <w:proofErr w:type="spellStart"/>
      <w:r w:rsidRPr="006B360B">
        <w:rPr>
          <w:color w:val="000000"/>
        </w:rPr>
        <w:t>announced</w:t>
      </w:r>
      <w:proofErr w:type="spellEnd"/>
      <w:r w:rsidRPr="006B360B">
        <w:rPr>
          <w:color w:val="000000"/>
        </w:rPr>
        <w:t xml:space="preserve"> net </w:t>
      </w:r>
      <w:proofErr w:type="spellStart"/>
      <w:r w:rsidRPr="006B360B">
        <w:rPr>
          <w:color w:val="000000"/>
        </w:rPr>
        <w:t>zero</w:t>
      </w:r>
      <w:proofErr w:type="spellEnd"/>
      <w:r w:rsidRPr="006B360B">
        <w:rPr>
          <w:color w:val="000000"/>
        </w:rPr>
        <w:t xml:space="preserve"> </w:t>
      </w:r>
      <w:proofErr w:type="spellStart"/>
      <w:r w:rsidRPr="006B360B">
        <w:rPr>
          <w:color w:val="000000"/>
        </w:rPr>
        <w:t>targets</w:t>
      </w:r>
      <w:proofErr w:type="spellEnd"/>
      <w:r w:rsidRPr="006B360B">
        <w:rPr>
          <w:color w:val="000000"/>
        </w:rPr>
        <w:t xml:space="preserve">, </w:t>
      </w:r>
      <w:proofErr w:type="spellStart"/>
      <w:r w:rsidRPr="006B360B">
        <w:rPr>
          <w:color w:val="000000"/>
        </w:rPr>
        <w:t>reached</w:t>
      </w:r>
      <w:proofErr w:type="spellEnd"/>
      <w:r w:rsidRPr="006B360B">
        <w:rPr>
          <w:color w:val="000000"/>
        </w:rPr>
        <w:t xml:space="preserve"> </w:t>
      </w:r>
      <w:proofErr w:type="spellStart"/>
      <w:r w:rsidRPr="006B360B">
        <w:rPr>
          <w:color w:val="000000"/>
        </w:rPr>
        <w:t>high</w:t>
      </w:r>
      <w:proofErr w:type="spellEnd"/>
      <w:r w:rsidRPr="006B360B">
        <w:rPr>
          <w:color w:val="000000"/>
        </w:rPr>
        <w:t xml:space="preserve"> </w:t>
      </w:r>
      <w:proofErr w:type="spellStart"/>
      <w:r w:rsidRPr="006B360B">
        <w:rPr>
          <w:color w:val="000000"/>
        </w:rPr>
        <w:t>public</w:t>
      </w:r>
      <w:proofErr w:type="spellEnd"/>
      <w:r w:rsidRPr="006B360B">
        <w:rPr>
          <w:color w:val="000000"/>
        </w:rPr>
        <w:t xml:space="preserve"> </w:t>
      </w:r>
      <w:proofErr w:type="spellStart"/>
      <w:r w:rsidRPr="006B360B">
        <w:rPr>
          <w:color w:val="000000"/>
        </w:rPr>
        <w:t>interest</w:t>
      </w:r>
      <w:proofErr w:type="spellEnd"/>
      <w:r w:rsidRPr="006B360B">
        <w:rPr>
          <w:color w:val="000000"/>
        </w:rPr>
        <w:t xml:space="preserve">. COP26’s 130 </w:t>
      </w:r>
      <w:proofErr w:type="spellStart"/>
      <w:r w:rsidRPr="006B360B">
        <w:rPr>
          <w:color w:val="000000"/>
        </w:rPr>
        <w:t>trillion</w:t>
      </w:r>
      <w:proofErr w:type="spellEnd"/>
      <w:r w:rsidRPr="006B360B">
        <w:rPr>
          <w:color w:val="000000"/>
        </w:rPr>
        <w:t xml:space="preserve"> USD </w:t>
      </w:r>
      <w:proofErr w:type="spellStart"/>
      <w:r w:rsidRPr="006B360B">
        <w:rPr>
          <w:color w:val="000000"/>
        </w:rPr>
        <w:t>assets</w:t>
      </w:r>
      <w:proofErr w:type="spellEnd"/>
      <w:r w:rsidRPr="006B360B">
        <w:rPr>
          <w:color w:val="000000"/>
        </w:rPr>
        <w:t xml:space="preserve"> </w:t>
      </w:r>
      <w:proofErr w:type="spellStart"/>
      <w:r w:rsidRPr="006B360B">
        <w:rPr>
          <w:color w:val="000000"/>
        </w:rPr>
        <w:t>from</w:t>
      </w:r>
      <w:proofErr w:type="spellEnd"/>
      <w:r w:rsidRPr="006B360B">
        <w:rPr>
          <w:color w:val="000000"/>
        </w:rPr>
        <w:t xml:space="preserve"> 450 </w:t>
      </w:r>
      <w:proofErr w:type="spellStart"/>
      <w:r w:rsidRPr="006B360B">
        <w:rPr>
          <w:color w:val="000000"/>
        </w:rPr>
        <w:t>members</w:t>
      </w:r>
      <w:proofErr w:type="spellEnd"/>
      <w:r w:rsidRPr="006B360B">
        <w:rPr>
          <w:color w:val="000000"/>
        </w:rPr>
        <w:t xml:space="preserve"> </w:t>
      </w:r>
      <w:proofErr w:type="spellStart"/>
      <w:r w:rsidRPr="006B360B">
        <w:rPr>
          <w:color w:val="000000"/>
        </w:rPr>
        <w:t>grew</w:t>
      </w:r>
      <w:proofErr w:type="spellEnd"/>
      <w:r w:rsidRPr="006B360B">
        <w:rPr>
          <w:color w:val="000000"/>
        </w:rPr>
        <w:t xml:space="preserve"> </w:t>
      </w:r>
      <w:proofErr w:type="spellStart"/>
      <w:r w:rsidRPr="006B360B">
        <w:rPr>
          <w:color w:val="000000"/>
        </w:rPr>
        <w:t>significantly</w:t>
      </w:r>
      <w:proofErr w:type="spellEnd"/>
      <w:r w:rsidRPr="006B360B">
        <w:rPr>
          <w:color w:val="000000"/>
        </w:rPr>
        <w:t xml:space="preserve"> in COP27 </w:t>
      </w:r>
      <w:proofErr w:type="spellStart"/>
      <w:r w:rsidRPr="006B360B">
        <w:rPr>
          <w:color w:val="000000"/>
        </w:rPr>
        <w:t>and</w:t>
      </w:r>
      <w:proofErr w:type="spellEnd"/>
      <w:r w:rsidRPr="006B360B">
        <w:rPr>
          <w:color w:val="000000"/>
        </w:rPr>
        <w:t xml:space="preserve"> </w:t>
      </w:r>
      <w:proofErr w:type="spellStart"/>
      <w:r w:rsidRPr="006B360B">
        <w:rPr>
          <w:color w:val="000000"/>
        </w:rPr>
        <w:t>reached</w:t>
      </w:r>
      <w:proofErr w:type="spellEnd"/>
      <w:r w:rsidRPr="006B360B">
        <w:rPr>
          <w:color w:val="000000"/>
        </w:rPr>
        <w:t xml:space="preserve"> 150 </w:t>
      </w:r>
      <w:proofErr w:type="spellStart"/>
      <w:r w:rsidRPr="006B360B">
        <w:rPr>
          <w:color w:val="000000"/>
        </w:rPr>
        <w:t>trillion</w:t>
      </w:r>
      <w:proofErr w:type="spellEnd"/>
      <w:r w:rsidRPr="006B360B">
        <w:rPr>
          <w:color w:val="000000"/>
        </w:rPr>
        <w:t xml:space="preserve"> USD of </w:t>
      </w:r>
      <w:proofErr w:type="spellStart"/>
      <w:r w:rsidRPr="006B360B">
        <w:rPr>
          <w:color w:val="000000"/>
        </w:rPr>
        <w:t>assets</w:t>
      </w:r>
      <w:proofErr w:type="spellEnd"/>
      <w:r w:rsidRPr="006B360B">
        <w:rPr>
          <w:color w:val="000000"/>
        </w:rPr>
        <w:t xml:space="preserve"> </w:t>
      </w:r>
      <w:proofErr w:type="spellStart"/>
      <w:r w:rsidRPr="006B360B">
        <w:rPr>
          <w:color w:val="000000"/>
        </w:rPr>
        <w:t>from</w:t>
      </w:r>
      <w:proofErr w:type="spellEnd"/>
      <w:r w:rsidRPr="006B360B">
        <w:rPr>
          <w:color w:val="000000"/>
        </w:rPr>
        <w:t xml:space="preserve"> 550 </w:t>
      </w:r>
      <w:proofErr w:type="spellStart"/>
      <w:r w:rsidRPr="006B360B">
        <w:rPr>
          <w:color w:val="000000"/>
        </w:rPr>
        <w:t>financial</w:t>
      </w:r>
      <w:proofErr w:type="spellEnd"/>
      <w:r w:rsidRPr="006B360B">
        <w:rPr>
          <w:color w:val="000000"/>
        </w:rPr>
        <w:t xml:space="preserve"> </w:t>
      </w:r>
      <w:proofErr w:type="spellStart"/>
      <w:r w:rsidRPr="006B360B">
        <w:rPr>
          <w:color w:val="000000"/>
        </w:rPr>
        <w:t>institutions</w:t>
      </w:r>
      <w:proofErr w:type="spellEnd"/>
      <w:r w:rsidRPr="006B360B">
        <w:rPr>
          <w:color w:val="000000"/>
        </w:rPr>
        <w:t xml:space="preserve"> (UNFCC, 2023). COP 28 </w:t>
      </w:r>
      <w:proofErr w:type="spellStart"/>
      <w:r w:rsidRPr="006B360B">
        <w:rPr>
          <w:color w:val="000000"/>
        </w:rPr>
        <w:t>called</w:t>
      </w:r>
      <w:proofErr w:type="spellEnd"/>
      <w:r w:rsidRPr="006B360B">
        <w:rPr>
          <w:color w:val="000000"/>
        </w:rPr>
        <w:t xml:space="preserve"> </w:t>
      </w:r>
      <w:proofErr w:type="spellStart"/>
      <w:r w:rsidRPr="006B360B">
        <w:rPr>
          <w:color w:val="000000"/>
        </w:rPr>
        <w:t>for</w:t>
      </w:r>
      <w:proofErr w:type="spellEnd"/>
      <w:r w:rsidRPr="006B360B">
        <w:rPr>
          <w:color w:val="000000"/>
        </w:rPr>
        <w:t xml:space="preserve"> </w:t>
      </w:r>
      <w:proofErr w:type="spellStart"/>
      <w:r w:rsidRPr="006B360B">
        <w:rPr>
          <w:color w:val="000000"/>
        </w:rPr>
        <w:t>accelerating</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transition</w:t>
      </w:r>
      <w:proofErr w:type="spellEnd"/>
      <w:r w:rsidRPr="006B360B">
        <w:rPr>
          <w:color w:val="000000"/>
        </w:rPr>
        <w:t xml:space="preserve"> </w:t>
      </w:r>
      <w:proofErr w:type="spellStart"/>
      <w:r w:rsidRPr="006B360B">
        <w:rPr>
          <w:color w:val="000000"/>
        </w:rPr>
        <w:t>from</w:t>
      </w:r>
      <w:proofErr w:type="spellEnd"/>
      <w:r w:rsidRPr="006B360B">
        <w:rPr>
          <w:color w:val="000000"/>
        </w:rPr>
        <w:t xml:space="preserve"> </w:t>
      </w:r>
      <w:proofErr w:type="spellStart"/>
      <w:r w:rsidRPr="006B360B">
        <w:rPr>
          <w:color w:val="000000"/>
        </w:rPr>
        <w:t>fossil</w:t>
      </w:r>
      <w:proofErr w:type="spellEnd"/>
      <w:r w:rsidRPr="006B360B">
        <w:rPr>
          <w:color w:val="000000"/>
        </w:rPr>
        <w:t xml:space="preserve"> </w:t>
      </w:r>
      <w:proofErr w:type="spellStart"/>
      <w:r w:rsidRPr="006B360B">
        <w:rPr>
          <w:color w:val="000000"/>
        </w:rPr>
        <w:t>fuels</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renewable</w:t>
      </w:r>
      <w:proofErr w:type="spellEnd"/>
      <w:r w:rsidRPr="006B360B">
        <w:rPr>
          <w:color w:val="000000"/>
        </w:rPr>
        <w:t xml:space="preserve"> </w:t>
      </w:r>
      <w:proofErr w:type="spellStart"/>
      <w:r w:rsidRPr="006B360B">
        <w:rPr>
          <w:color w:val="000000"/>
        </w:rPr>
        <w:t>energy</w:t>
      </w:r>
      <w:proofErr w:type="spellEnd"/>
      <w:r w:rsidRPr="006B360B">
        <w:rPr>
          <w:color w:val="000000"/>
        </w:rPr>
        <w:t xml:space="preserve"> </w:t>
      </w:r>
      <w:proofErr w:type="spellStart"/>
      <w:r w:rsidRPr="006B360B">
        <w:rPr>
          <w:color w:val="000000"/>
        </w:rPr>
        <w:t>sources</w:t>
      </w:r>
      <w:proofErr w:type="spellEnd"/>
      <w:r w:rsidRPr="006B360B">
        <w:rPr>
          <w:color w:val="000000"/>
        </w:rPr>
        <w:t xml:space="preserve"> (UNFCCC, 2024). At COP 29, </w:t>
      </w:r>
      <w:proofErr w:type="spellStart"/>
      <w:r w:rsidRPr="006B360B">
        <w:rPr>
          <w:color w:val="000000"/>
        </w:rPr>
        <w:t>held</w:t>
      </w:r>
      <w:proofErr w:type="spellEnd"/>
      <w:r w:rsidRPr="006B360B">
        <w:rPr>
          <w:color w:val="000000"/>
        </w:rPr>
        <w:t xml:space="preserve"> in </w:t>
      </w:r>
      <w:proofErr w:type="spellStart"/>
      <w:r w:rsidRPr="006B360B">
        <w:rPr>
          <w:color w:val="000000"/>
        </w:rPr>
        <w:t>Azerbaijan</w:t>
      </w:r>
      <w:proofErr w:type="spellEnd"/>
      <w:r w:rsidRPr="006B360B">
        <w:rPr>
          <w:color w:val="000000"/>
        </w:rPr>
        <w:t xml:space="preserve"> in </w:t>
      </w:r>
      <w:proofErr w:type="spellStart"/>
      <w:r w:rsidRPr="006B360B">
        <w:rPr>
          <w:color w:val="000000"/>
        </w:rPr>
        <w:t>November</w:t>
      </w:r>
      <w:proofErr w:type="spellEnd"/>
      <w:r w:rsidRPr="006B360B">
        <w:rPr>
          <w:color w:val="000000"/>
        </w:rPr>
        <w:t xml:space="preserve"> 2024, </w:t>
      </w:r>
      <w:proofErr w:type="spellStart"/>
      <w:r w:rsidRPr="006B360B">
        <w:rPr>
          <w:color w:val="000000"/>
        </w:rPr>
        <w:t>decisions</w:t>
      </w:r>
      <w:proofErr w:type="spellEnd"/>
      <w:r w:rsidRPr="006B360B">
        <w:rPr>
          <w:color w:val="000000"/>
        </w:rPr>
        <w:t xml:space="preserve"> </w:t>
      </w:r>
      <w:proofErr w:type="spellStart"/>
      <w:r w:rsidRPr="006B360B">
        <w:rPr>
          <w:color w:val="000000"/>
        </w:rPr>
        <w:t>regarding</w:t>
      </w:r>
      <w:proofErr w:type="spellEnd"/>
      <w:r w:rsidRPr="006B360B">
        <w:rPr>
          <w:color w:val="000000"/>
        </w:rPr>
        <w:t xml:space="preserve"> </w:t>
      </w:r>
      <w:proofErr w:type="spellStart"/>
      <w:r w:rsidRPr="006B360B">
        <w:rPr>
          <w:color w:val="000000"/>
        </w:rPr>
        <w:t>carbon</w:t>
      </w:r>
      <w:proofErr w:type="spellEnd"/>
      <w:r w:rsidRPr="006B360B">
        <w:rPr>
          <w:color w:val="000000"/>
        </w:rPr>
        <w:t xml:space="preserve"> </w:t>
      </w:r>
      <w:proofErr w:type="spellStart"/>
      <w:r w:rsidRPr="006B360B">
        <w:rPr>
          <w:color w:val="000000"/>
        </w:rPr>
        <w:t>trading</w:t>
      </w:r>
      <w:proofErr w:type="spellEnd"/>
      <w:r w:rsidRPr="006B360B">
        <w:rPr>
          <w:color w:val="000000"/>
        </w:rPr>
        <w:t xml:space="preserve"> </w:t>
      </w:r>
      <w:proofErr w:type="spellStart"/>
      <w:r w:rsidRPr="006B360B">
        <w:rPr>
          <w:color w:val="000000"/>
        </w:rPr>
        <w:t>were</w:t>
      </w:r>
      <w:proofErr w:type="spellEnd"/>
      <w:r w:rsidRPr="006B360B">
        <w:rPr>
          <w:color w:val="000000"/>
        </w:rPr>
        <w:t xml:space="preserve"> </w:t>
      </w:r>
      <w:proofErr w:type="spellStart"/>
      <w:r w:rsidRPr="006B360B">
        <w:rPr>
          <w:color w:val="000000"/>
        </w:rPr>
        <w:t>taken</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a </w:t>
      </w:r>
      <w:proofErr w:type="spellStart"/>
      <w:r w:rsidRPr="006B360B">
        <w:rPr>
          <w:color w:val="000000"/>
        </w:rPr>
        <w:t>call</w:t>
      </w:r>
      <w:proofErr w:type="spellEnd"/>
      <w:r w:rsidRPr="006B360B">
        <w:rPr>
          <w:color w:val="000000"/>
        </w:rPr>
        <w:t xml:space="preserve"> </w:t>
      </w:r>
      <w:proofErr w:type="spellStart"/>
      <w:r w:rsidRPr="006B360B">
        <w:rPr>
          <w:color w:val="000000"/>
        </w:rPr>
        <w:t>was</w:t>
      </w:r>
      <w:proofErr w:type="spellEnd"/>
      <w:r w:rsidRPr="006B360B">
        <w:rPr>
          <w:color w:val="000000"/>
        </w:rPr>
        <w:t xml:space="preserve"> </w:t>
      </w:r>
      <w:proofErr w:type="spellStart"/>
      <w:r w:rsidRPr="006B360B">
        <w:rPr>
          <w:color w:val="000000"/>
        </w:rPr>
        <w:t>made</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provide</w:t>
      </w:r>
      <w:proofErr w:type="spellEnd"/>
      <w:r w:rsidRPr="006B360B">
        <w:rPr>
          <w:color w:val="000000"/>
        </w:rPr>
        <w:t xml:space="preserve"> 1.3 </w:t>
      </w:r>
      <w:proofErr w:type="spellStart"/>
      <w:r w:rsidRPr="006B360B">
        <w:rPr>
          <w:color w:val="000000"/>
        </w:rPr>
        <w:t>trillion</w:t>
      </w:r>
      <w:proofErr w:type="spellEnd"/>
      <w:r w:rsidRPr="006B360B">
        <w:rPr>
          <w:color w:val="000000"/>
        </w:rPr>
        <w:t xml:space="preserve"> </w:t>
      </w:r>
      <w:proofErr w:type="spellStart"/>
      <w:r w:rsidRPr="006B360B">
        <w:rPr>
          <w:color w:val="000000"/>
        </w:rPr>
        <w:t>dollars</w:t>
      </w:r>
      <w:proofErr w:type="spellEnd"/>
      <w:r w:rsidRPr="006B360B">
        <w:rPr>
          <w:color w:val="000000"/>
        </w:rPr>
        <w:t xml:space="preserve"> of </w:t>
      </w:r>
      <w:proofErr w:type="spellStart"/>
      <w:r w:rsidRPr="006B360B">
        <w:rPr>
          <w:color w:val="000000"/>
        </w:rPr>
        <w:t>financing</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developing</w:t>
      </w:r>
      <w:proofErr w:type="spellEnd"/>
      <w:r w:rsidRPr="006B360B">
        <w:rPr>
          <w:color w:val="000000"/>
        </w:rPr>
        <w:t xml:space="preserve"> </w:t>
      </w:r>
      <w:proofErr w:type="spellStart"/>
      <w:r w:rsidRPr="006B360B">
        <w:rPr>
          <w:color w:val="000000"/>
        </w:rPr>
        <w:t>countries</w:t>
      </w:r>
      <w:proofErr w:type="spellEnd"/>
      <w:r w:rsidRPr="006B360B">
        <w:rPr>
          <w:color w:val="000000"/>
        </w:rPr>
        <w:t xml:space="preserve"> </w:t>
      </w:r>
      <w:proofErr w:type="spellStart"/>
      <w:r w:rsidRPr="006B360B">
        <w:rPr>
          <w:color w:val="000000"/>
        </w:rPr>
        <w:t>by</w:t>
      </w:r>
      <w:proofErr w:type="spellEnd"/>
      <w:r w:rsidRPr="006B360B">
        <w:rPr>
          <w:color w:val="000000"/>
        </w:rPr>
        <w:t xml:space="preserve"> 2035 (World Bank, 2024). </w:t>
      </w:r>
      <w:proofErr w:type="spellStart"/>
      <w:r w:rsidRPr="006B360B">
        <w:rPr>
          <w:color w:val="000000"/>
        </w:rPr>
        <w:t>While</w:t>
      </w:r>
      <w:proofErr w:type="spellEnd"/>
      <w:r w:rsidRPr="006B360B">
        <w:rPr>
          <w:color w:val="000000"/>
        </w:rPr>
        <w:t xml:space="preserve"> </w:t>
      </w:r>
      <w:proofErr w:type="spellStart"/>
      <w:r w:rsidRPr="006B360B">
        <w:rPr>
          <w:color w:val="000000"/>
        </w:rPr>
        <w:t>COPs</w:t>
      </w:r>
      <w:proofErr w:type="spellEnd"/>
      <w:r w:rsidRPr="006B360B">
        <w:rPr>
          <w:color w:val="000000"/>
        </w:rPr>
        <w:t xml:space="preserve"> </w:t>
      </w:r>
      <w:proofErr w:type="spellStart"/>
      <w:r w:rsidRPr="006B360B">
        <w:rPr>
          <w:color w:val="000000"/>
        </w:rPr>
        <w:t>continue</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be </w:t>
      </w:r>
      <w:proofErr w:type="spellStart"/>
      <w:r w:rsidRPr="006B360B">
        <w:rPr>
          <w:color w:val="000000"/>
        </w:rPr>
        <w:t>held</w:t>
      </w:r>
      <w:proofErr w:type="spellEnd"/>
      <w:r w:rsidRPr="006B360B">
        <w:rPr>
          <w:color w:val="000000"/>
        </w:rPr>
        <w:t xml:space="preserve">, </w:t>
      </w:r>
      <w:proofErr w:type="spellStart"/>
      <w:r w:rsidRPr="006B360B">
        <w:rPr>
          <w:color w:val="000000"/>
        </w:rPr>
        <w:t>with</w:t>
      </w:r>
      <w:proofErr w:type="spellEnd"/>
      <w:r w:rsidRPr="006B360B">
        <w:rPr>
          <w:color w:val="000000"/>
        </w:rPr>
        <w:t xml:space="preserve"> </w:t>
      </w:r>
      <w:proofErr w:type="spellStart"/>
      <w:r w:rsidRPr="006B360B">
        <w:rPr>
          <w:color w:val="000000"/>
        </w:rPr>
        <w:t>increasing</w:t>
      </w:r>
      <w:proofErr w:type="spellEnd"/>
      <w:r w:rsidRPr="006B360B">
        <w:rPr>
          <w:color w:val="000000"/>
        </w:rPr>
        <w:t xml:space="preserve"> </w:t>
      </w:r>
      <w:proofErr w:type="spellStart"/>
      <w:r w:rsidRPr="006B360B">
        <w:rPr>
          <w:color w:val="000000"/>
        </w:rPr>
        <w:t>participation</w:t>
      </w:r>
      <w:proofErr w:type="spellEnd"/>
      <w:r w:rsidRPr="006B360B">
        <w:rPr>
          <w:color w:val="000000"/>
        </w:rPr>
        <w:t xml:space="preserve">, 2023 </w:t>
      </w:r>
      <w:proofErr w:type="spellStart"/>
      <w:r w:rsidRPr="006B360B">
        <w:rPr>
          <w:color w:val="000000"/>
        </w:rPr>
        <w:t>broke</w:t>
      </w:r>
      <w:proofErr w:type="spellEnd"/>
      <w:r w:rsidRPr="006B360B">
        <w:rPr>
          <w:color w:val="000000"/>
        </w:rPr>
        <w:t xml:space="preserve"> a </w:t>
      </w:r>
      <w:proofErr w:type="spellStart"/>
      <w:r w:rsidRPr="006B360B">
        <w:rPr>
          <w:color w:val="000000"/>
        </w:rPr>
        <w:t>new</w:t>
      </w:r>
      <w:proofErr w:type="spellEnd"/>
      <w:r w:rsidRPr="006B360B">
        <w:rPr>
          <w:color w:val="000000"/>
        </w:rPr>
        <w:t xml:space="preserve"> </w:t>
      </w:r>
      <w:proofErr w:type="spellStart"/>
      <w:r w:rsidRPr="006B360B">
        <w:rPr>
          <w:color w:val="000000"/>
        </w:rPr>
        <w:t>record</w:t>
      </w:r>
      <w:proofErr w:type="spellEnd"/>
      <w:r w:rsidRPr="006B360B">
        <w:rPr>
          <w:color w:val="000000"/>
        </w:rPr>
        <w:t xml:space="preserve"> </w:t>
      </w:r>
      <w:proofErr w:type="spellStart"/>
      <w:r w:rsidRPr="006B360B">
        <w:rPr>
          <w:color w:val="000000"/>
        </w:rPr>
        <w:t>with</w:t>
      </w:r>
      <w:proofErr w:type="spellEnd"/>
      <w:r w:rsidRPr="006B360B">
        <w:rPr>
          <w:color w:val="000000"/>
        </w:rPr>
        <w:t xml:space="preserve"> a global </w:t>
      </w:r>
      <w:proofErr w:type="spellStart"/>
      <w:r w:rsidRPr="006B360B">
        <w:rPr>
          <w:color w:val="000000"/>
        </w:rPr>
        <w:t>average</w:t>
      </w:r>
      <w:proofErr w:type="spellEnd"/>
      <w:r w:rsidRPr="006B360B">
        <w:rPr>
          <w:color w:val="000000"/>
        </w:rPr>
        <w:t xml:space="preserve"> </w:t>
      </w:r>
      <w:proofErr w:type="spellStart"/>
      <w:r w:rsidRPr="006B360B">
        <w:rPr>
          <w:color w:val="000000"/>
        </w:rPr>
        <w:t>surface</w:t>
      </w:r>
      <w:proofErr w:type="spellEnd"/>
      <w:r w:rsidRPr="006B360B">
        <w:rPr>
          <w:color w:val="000000"/>
        </w:rPr>
        <w:t xml:space="preserve"> </w:t>
      </w:r>
      <w:proofErr w:type="spellStart"/>
      <w:r w:rsidRPr="006B360B">
        <w:rPr>
          <w:color w:val="000000"/>
        </w:rPr>
        <w:t>temperature</w:t>
      </w:r>
      <w:proofErr w:type="spellEnd"/>
      <w:r w:rsidRPr="006B360B">
        <w:rPr>
          <w:color w:val="000000"/>
        </w:rPr>
        <w:t xml:space="preserve"> of </w:t>
      </w:r>
      <w:proofErr w:type="gramStart"/>
      <w:r w:rsidRPr="006B360B">
        <w:rPr>
          <w:color w:val="000000"/>
        </w:rPr>
        <w:t>14.98</w:t>
      </w:r>
      <w:proofErr w:type="gramEnd"/>
      <w:r w:rsidRPr="006B360B">
        <w:rPr>
          <w:color w:val="000000"/>
        </w:rPr>
        <w:t xml:space="preserve">°C, </w:t>
      </w:r>
      <w:proofErr w:type="spellStart"/>
      <w:r w:rsidRPr="006B360B">
        <w:rPr>
          <w:color w:val="000000"/>
        </w:rPr>
        <w:t>becoming</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hottest</w:t>
      </w:r>
      <w:proofErr w:type="spellEnd"/>
      <w:r w:rsidRPr="006B360B">
        <w:rPr>
          <w:color w:val="000000"/>
        </w:rPr>
        <w:t xml:space="preserve"> </w:t>
      </w:r>
      <w:proofErr w:type="spellStart"/>
      <w:r w:rsidRPr="006B360B">
        <w:rPr>
          <w:color w:val="000000"/>
        </w:rPr>
        <w:t>year</w:t>
      </w:r>
      <w:proofErr w:type="spellEnd"/>
      <w:r w:rsidRPr="006B360B">
        <w:rPr>
          <w:color w:val="000000"/>
        </w:rPr>
        <w:t xml:space="preserve"> in </w:t>
      </w:r>
      <w:proofErr w:type="spellStart"/>
      <w:r w:rsidRPr="006B360B">
        <w:rPr>
          <w:color w:val="000000"/>
        </w:rPr>
        <w:t>history</w:t>
      </w:r>
      <w:proofErr w:type="spellEnd"/>
      <w:r w:rsidRPr="006B360B">
        <w:rPr>
          <w:color w:val="000000"/>
        </w:rPr>
        <w:t xml:space="preserve"> (WWF, 2024). </w:t>
      </w:r>
      <w:proofErr w:type="spellStart"/>
      <w:r w:rsidRPr="006B360B">
        <w:rPr>
          <w:color w:val="000000"/>
        </w:rPr>
        <w:t>This</w:t>
      </w:r>
      <w:proofErr w:type="spellEnd"/>
      <w:r w:rsidRPr="006B360B">
        <w:rPr>
          <w:color w:val="000000"/>
        </w:rPr>
        <w:t xml:space="preserve"> </w:t>
      </w:r>
      <w:proofErr w:type="spellStart"/>
      <w:r w:rsidRPr="006B360B">
        <w:rPr>
          <w:color w:val="000000"/>
        </w:rPr>
        <w:t>shows</w:t>
      </w:r>
      <w:proofErr w:type="spellEnd"/>
      <w:r w:rsidRPr="006B360B">
        <w:rPr>
          <w:color w:val="000000"/>
        </w:rPr>
        <w:t xml:space="preserve"> </w:t>
      </w:r>
      <w:proofErr w:type="spellStart"/>
      <w:r w:rsidRPr="006B360B">
        <w:rPr>
          <w:color w:val="000000"/>
        </w:rPr>
        <w:t>that</w:t>
      </w:r>
      <w:proofErr w:type="spellEnd"/>
      <w:r w:rsidRPr="006B360B">
        <w:rPr>
          <w:color w:val="000000"/>
        </w:rPr>
        <w:t xml:space="preserve"> </w:t>
      </w:r>
      <w:proofErr w:type="spellStart"/>
      <w:r w:rsidRPr="006B360B">
        <w:rPr>
          <w:color w:val="000000"/>
        </w:rPr>
        <w:t>COPs</w:t>
      </w:r>
      <w:proofErr w:type="spellEnd"/>
      <w:r w:rsidRPr="006B360B">
        <w:rPr>
          <w:color w:val="000000"/>
        </w:rPr>
        <w:t xml:space="preserve"> do not </w:t>
      </w:r>
      <w:proofErr w:type="spellStart"/>
      <w:r w:rsidRPr="006B360B">
        <w:rPr>
          <w:color w:val="000000"/>
        </w:rPr>
        <w:t>make</w:t>
      </w:r>
      <w:proofErr w:type="spellEnd"/>
      <w:r w:rsidRPr="006B360B">
        <w:rPr>
          <w:color w:val="000000"/>
        </w:rPr>
        <w:t xml:space="preserve"> a </w:t>
      </w:r>
      <w:proofErr w:type="spellStart"/>
      <w:r w:rsidRPr="006B360B">
        <w:rPr>
          <w:color w:val="000000"/>
        </w:rPr>
        <w:t>significant</w:t>
      </w:r>
      <w:proofErr w:type="spellEnd"/>
      <w:r w:rsidRPr="006B360B">
        <w:rPr>
          <w:color w:val="000000"/>
        </w:rPr>
        <w:t xml:space="preserve"> </w:t>
      </w:r>
      <w:proofErr w:type="spellStart"/>
      <w:r w:rsidRPr="006B360B">
        <w:rPr>
          <w:color w:val="000000"/>
        </w:rPr>
        <w:t>contribution</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global </w:t>
      </w:r>
      <w:proofErr w:type="spellStart"/>
      <w:r w:rsidRPr="006B360B">
        <w:rPr>
          <w:color w:val="000000"/>
        </w:rPr>
        <w:t>warming</w:t>
      </w:r>
      <w:proofErr w:type="spellEnd"/>
      <w:r w:rsidRPr="006B360B">
        <w:rPr>
          <w:color w:val="000000"/>
        </w:rPr>
        <w:t xml:space="preserve"> problem. </w:t>
      </w:r>
      <w:proofErr w:type="spellStart"/>
      <w:r w:rsidRPr="006B360B">
        <w:rPr>
          <w:color w:val="000000"/>
        </w:rPr>
        <w:t>To</w:t>
      </w:r>
      <w:proofErr w:type="spellEnd"/>
      <w:r w:rsidRPr="006B360B">
        <w:rPr>
          <w:color w:val="000000"/>
        </w:rPr>
        <w:t xml:space="preserve"> </w:t>
      </w:r>
      <w:proofErr w:type="spellStart"/>
      <w:r w:rsidRPr="006B360B">
        <w:rPr>
          <w:color w:val="000000"/>
        </w:rPr>
        <w:t>prevent</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world</w:t>
      </w:r>
      <w:proofErr w:type="spellEnd"/>
      <w:r w:rsidRPr="006B360B">
        <w:rPr>
          <w:color w:val="000000"/>
        </w:rPr>
        <w:t xml:space="preserve"> </w:t>
      </w:r>
      <w:proofErr w:type="spellStart"/>
      <w:r w:rsidRPr="006B360B">
        <w:rPr>
          <w:color w:val="000000"/>
        </w:rPr>
        <w:t>from</w:t>
      </w:r>
      <w:proofErr w:type="spellEnd"/>
      <w:r w:rsidRPr="006B360B">
        <w:rPr>
          <w:color w:val="000000"/>
        </w:rPr>
        <w:t xml:space="preserve"> </w:t>
      </w:r>
      <w:proofErr w:type="spellStart"/>
      <w:r w:rsidRPr="006B360B">
        <w:rPr>
          <w:color w:val="000000"/>
        </w:rPr>
        <w:t>facing</w:t>
      </w:r>
      <w:proofErr w:type="spellEnd"/>
      <w:r w:rsidRPr="006B360B">
        <w:rPr>
          <w:color w:val="000000"/>
        </w:rPr>
        <w:t xml:space="preserve"> </w:t>
      </w:r>
      <w:proofErr w:type="spellStart"/>
      <w:r w:rsidRPr="006B360B">
        <w:rPr>
          <w:color w:val="000000"/>
        </w:rPr>
        <w:t>irreversible</w:t>
      </w:r>
      <w:proofErr w:type="spellEnd"/>
      <w:r w:rsidRPr="006B360B">
        <w:rPr>
          <w:color w:val="000000"/>
        </w:rPr>
        <w:t xml:space="preserve"> </w:t>
      </w:r>
      <w:proofErr w:type="spellStart"/>
      <w:r w:rsidRPr="006B360B">
        <w:rPr>
          <w:color w:val="000000"/>
        </w:rPr>
        <w:t>consequences</w:t>
      </w:r>
      <w:proofErr w:type="spellEnd"/>
      <w:r w:rsidRPr="006B360B">
        <w:rPr>
          <w:color w:val="000000"/>
        </w:rPr>
        <w:t xml:space="preserve">, </w:t>
      </w:r>
      <w:proofErr w:type="spellStart"/>
      <w:r w:rsidRPr="006B360B">
        <w:rPr>
          <w:color w:val="000000"/>
        </w:rPr>
        <w:t>countries</w:t>
      </w:r>
      <w:proofErr w:type="spellEnd"/>
      <w:r w:rsidRPr="006B360B">
        <w:rPr>
          <w:color w:val="000000"/>
        </w:rPr>
        <w:t xml:space="preserve"> </w:t>
      </w:r>
      <w:proofErr w:type="spellStart"/>
      <w:r w:rsidRPr="006B360B">
        <w:rPr>
          <w:color w:val="000000"/>
        </w:rPr>
        <w:t>such</w:t>
      </w:r>
      <w:proofErr w:type="spellEnd"/>
      <w:r w:rsidRPr="006B360B">
        <w:rPr>
          <w:color w:val="000000"/>
        </w:rPr>
        <w:t xml:space="preserve"> as </w:t>
      </w:r>
      <w:proofErr w:type="spellStart"/>
      <w:r w:rsidRPr="006B360B">
        <w:rPr>
          <w:color w:val="000000"/>
        </w:rPr>
        <w:t>the</w:t>
      </w:r>
      <w:proofErr w:type="spellEnd"/>
      <w:r w:rsidRPr="006B360B">
        <w:rPr>
          <w:color w:val="000000"/>
        </w:rPr>
        <w:t xml:space="preserve"> USA </w:t>
      </w:r>
      <w:proofErr w:type="spellStart"/>
      <w:r w:rsidRPr="006B360B">
        <w:rPr>
          <w:color w:val="000000"/>
        </w:rPr>
        <w:t>and</w:t>
      </w:r>
      <w:proofErr w:type="spellEnd"/>
      <w:r w:rsidRPr="006B360B">
        <w:rPr>
          <w:color w:val="000000"/>
        </w:rPr>
        <w:t xml:space="preserve"> </w:t>
      </w:r>
      <w:proofErr w:type="spellStart"/>
      <w:r w:rsidRPr="006B360B">
        <w:rPr>
          <w:color w:val="000000"/>
        </w:rPr>
        <w:t>China</w:t>
      </w:r>
      <w:proofErr w:type="spellEnd"/>
      <w:r w:rsidRPr="006B360B">
        <w:rPr>
          <w:color w:val="000000"/>
        </w:rPr>
        <w:t xml:space="preserve"> </w:t>
      </w:r>
      <w:proofErr w:type="spellStart"/>
      <w:r w:rsidRPr="006B360B">
        <w:rPr>
          <w:color w:val="000000"/>
        </w:rPr>
        <w:t>need</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reduce</w:t>
      </w:r>
      <w:proofErr w:type="spellEnd"/>
      <w:r w:rsidRPr="006B360B">
        <w:rPr>
          <w:color w:val="000000"/>
        </w:rPr>
        <w:t xml:space="preserve"> </w:t>
      </w:r>
      <w:proofErr w:type="spellStart"/>
      <w:r w:rsidRPr="006B360B">
        <w:rPr>
          <w:color w:val="000000"/>
        </w:rPr>
        <w:t>their</w:t>
      </w:r>
      <w:proofErr w:type="spellEnd"/>
      <w:r w:rsidRPr="006B360B">
        <w:rPr>
          <w:color w:val="000000"/>
        </w:rPr>
        <w:t xml:space="preserve"> </w:t>
      </w:r>
      <w:proofErr w:type="spellStart"/>
      <w:r w:rsidRPr="006B360B">
        <w:rPr>
          <w:color w:val="000000"/>
        </w:rPr>
        <w:t>emissions</w:t>
      </w:r>
      <w:proofErr w:type="spellEnd"/>
      <w:r w:rsidRPr="006B360B">
        <w:rPr>
          <w:color w:val="000000"/>
        </w:rPr>
        <w:t xml:space="preserve">, </w:t>
      </w:r>
      <w:proofErr w:type="spellStart"/>
      <w:r w:rsidRPr="006B360B">
        <w:rPr>
          <w:color w:val="000000"/>
        </w:rPr>
        <w:t>trade</w:t>
      </w:r>
      <w:proofErr w:type="spellEnd"/>
      <w:r w:rsidRPr="006B360B">
        <w:rPr>
          <w:color w:val="000000"/>
        </w:rPr>
        <w:t xml:space="preserve"> </w:t>
      </w:r>
      <w:proofErr w:type="spellStart"/>
      <w:r w:rsidRPr="006B360B">
        <w:rPr>
          <w:color w:val="000000"/>
        </w:rPr>
        <w:t>sanctions</w:t>
      </w:r>
      <w:proofErr w:type="spellEnd"/>
      <w:r w:rsidRPr="006B360B">
        <w:rPr>
          <w:color w:val="000000"/>
        </w:rPr>
        <w:t xml:space="preserve"> </w:t>
      </w:r>
      <w:proofErr w:type="spellStart"/>
      <w:r w:rsidRPr="006B360B">
        <w:rPr>
          <w:color w:val="000000"/>
        </w:rPr>
        <w:t>should</w:t>
      </w:r>
      <w:proofErr w:type="spellEnd"/>
      <w:r w:rsidRPr="006B360B">
        <w:rPr>
          <w:color w:val="000000"/>
        </w:rPr>
        <w:t xml:space="preserve"> be </w:t>
      </w:r>
      <w:proofErr w:type="spellStart"/>
      <w:r w:rsidRPr="006B360B">
        <w:rPr>
          <w:color w:val="000000"/>
        </w:rPr>
        <w:t>implemented</w:t>
      </w:r>
      <w:proofErr w:type="spellEnd"/>
      <w:r w:rsidRPr="006B360B">
        <w:rPr>
          <w:color w:val="000000"/>
        </w:rPr>
        <w:t xml:space="preserve"> on </w:t>
      </w:r>
      <w:proofErr w:type="spellStart"/>
      <w:r w:rsidRPr="006B360B">
        <w:rPr>
          <w:color w:val="000000"/>
        </w:rPr>
        <w:t>governments</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w:t>
      </w:r>
      <w:proofErr w:type="spellStart"/>
      <w:r w:rsidRPr="006B360B">
        <w:rPr>
          <w:color w:val="000000"/>
        </w:rPr>
        <w:t>companies</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COP </w:t>
      </w:r>
      <w:proofErr w:type="spellStart"/>
      <w:r w:rsidRPr="006B360B">
        <w:rPr>
          <w:color w:val="000000"/>
        </w:rPr>
        <w:t>financing</w:t>
      </w:r>
      <w:proofErr w:type="spellEnd"/>
      <w:r w:rsidRPr="006B360B">
        <w:rPr>
          <w:color w:val="000000"/>
        </w:rPr>
        <w:t xml:space="preserve"> has </w:t>
      </w:r>
      <w:proofErr w:type="spellStart"/>
      <w:r w:rsidRPr="006B360B">
        <w:rPr>
          <w:color w:val="000000"/>
        </w:rPr>
        <w:t>to</w:t>
      </w:r>
      <w:proofErr w:type="spellEnd"/>
      <w:r w:rsidRPr="006B360B">
        <w:rPr>
          <w:color w:val="000000"/>
        </w:rPr>
        <w:t xml:space="preserve"> be </w:t>
      </w:r>
      <w:proofErr w:type="spellStart"/>
      <w:r w:rsidRPr="006B360B">
        <w:rPr>
          <w:color w:val="000000"/>
        </w:rPr>
        <w:t>used</w:t>
      </w:r>
      <w:proofErr w:type="spellEnd"/>
      <w:r w:rsidRPr="006B360B">
        <w:rPr>
          <w:color w:val="000000"/>
        </w:rPr>
        <w:t xml:space="preserve"> </w:t>
      </w:r>
      <w:proofErr w:type="spellStart"/>
      <w:r w:rsidRPr="006B360B">
        <w:rPr>
          <w:color w:val="000000"/>
        </w:rPr>
        <w:t>effectively</w:t>
      </w:r>
      <w:proofErr w:type="spellEnd"/>
      <w:r w:rsidRPr="006B360B">
        <w:rPr>
          <w:color w:val="000000"/>
        </w:rPr>
        <w:t xml:space="preserve">. </w:t>
      </w:r>
      <w:proofErr w:type="spellStart"/>
      <w:r w:rsidRPr="006B360B">
        <w:rPr>
          <w:color w:val="000000"/>
        </w:rPr>
        <w:t>This</w:t>
      </w:r>
      <w:proofErr w:type="spellEnd"/>
      <w:r w:rsidRPr="006B360B">
        <w:rPr>
          <w:color w:val="000000"/>
        </w:rPr>
        <w:t xml:space="preserve"> </w:t>
      </w:r>
      <w:proofErr w:type="spellStart"/>
      <w:r w:rsidRPr="006B360B">
        <w:rPr>
          <w:color w:val="000000"/>
        </w:rPr>
        <w:t>study</w:t>
      </w:r>
      <w:proofErr w:type="spellEnd"/>
      <w:r w:rsidRPr="006B360B">
        <w:rPr>
          <w:color w:val="000000"/>
        </w:rPr>
        <w:t xml:space="preserve"> </w:t>
      </w:r>
      <w:proofErr w:type="spellStart"/>
      <w:r w:rsidRPr="006B360B">
        <w:rPr>
          <w:color w:val="000000"/>
        </w:rPr>
        <w:t>aims</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introduce</w:t>
      </w:r>
      <w:proofErr w:type="spellEnd"/>
      <w:r w:rsidRPr="006B360B">
        <w:rPr>
          <w:color w:val="000000"/>
        </w:rPr>
        <w:t xml:space="preserve"> </w:t>
      </w:r>
      <w:proofErr w:type="spellStart"/>
      <w:r w:rsidRPr="006B360B">
        <w:rPr>
          <w:color w:val="000000"/>
        </w:rPr>
        <w:t>COPs</w:t>
      </w:r>
      <w:proofErr w:type="spellEnd"/>
      <w:r w:rsidRPr="006B360B">
        <w:rPr>
          <w:color w:val="000000"/>
        </w:rPr>
        <w:t xml:space="preserve"> as an </w:t>
      </w:r>
      <w:proofErr w:type="spellStart"/>
      <w:r w:rsidRPr="006B360B">
        <w:rPr>
          <w:color w:val="000000"/>
        </w:rPr>
        <w:t>examples</w:t>
      </w:r>
      <w:proofErr w:type="spellEnd"/>
      <w:r w:rsidRPr="006B360B">
        <w:rPr>
          <w:color w:val="000000"/>
        </w:rPr>
        <w:t xml:space="preserve"> of UN </w:t>
      </w:r>
      <w:proofErr w:type="spellStart"/>
      <w:r w:rsidRPr="006B360B">
        <w:rPr>
          <w:color w:val="000000"/>
        </w:rPr>
        <w:t>governance</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w:t>
      </w:r>
      <w:proofErr w:type="spellStart"/>
      <w:r w:rsidRPr="006B360B">
        <w:rPr>
          <w:color w:val="000000"/>
        </w:rPr>
        <w:t>seeks</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answer</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question</w:t>
      </w:r>
      <w:proofErr w:type="spellEnd"/>
      <w:r w:rsidRPr="006B360B">
        <w:rPr>
          <w:color w:val="000000"/>
        </w:rPr>
        <w:t xml:space="preserve"> of how </w:t>
      </w:r>
      <w:proofErr w:type="spellStart"/>
      <w:r w:rsidRPr="006B360B">
        <w:rPr>
          <w:color w:val="000000"/>
        </w:rPr>
        <w:t>effective</w:t>
      </w:r>
      <w:proofErr w:type="spellEnd"/>
      <w:r w:rsidRPr="006B360B">
        <w:rPr>
          <w:color w:val="000000"/>
        </w:rPr>
        <w:t xml:space="preserve"> they </w:t>
      </w:r>
      <w:proofErr w:type="spellStart"/>
      <w:r w:rsidRPr="006B360B">
        <w:rPr>
          <w:color w:val="000000"/>
        </w:rPr>
        <w:t>are</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study</w:t>
      </w:r>
      <w:proofErr w:type="spellEnd"/>
      <w:r w:rsidRPr="006B360B">
        <w:rPr>
          <w:color w:val="000000"/>
        </w:rPr>
        <w:t xml:space="preserve"> </w:t>
      </w:r>
      <w:proofErr w:type="spellStart"/>
      <w:r w:rsidRPr="006B360B">
        <w:rPr>
          <w:color w:val="000000"/>
        </w:rPr>
        <w:t>examines</w:t>
      </w:r>
      <w:proofErr w:type="spellEnd"/>
      <w:r w:rsidRPr="006B360B">
        <w:rPr>
          <w:color w:val="000000"/>
        </w:rPr>
        <w:t xml:space="preserve"> </w:t>
      </w:r>
      <w:proofErr w:type="spellStart"/>
      <w:r w:rsidRPr="006B360B">
        <w:rPr>
          <w:color w:val="000000"/>
        </w:rPr>
        <w:t>all</w:t>
      </w:r>
      <w:proofErr w:type="spellEnd"/>
      <w:r w:rsidRPr="006B360B">
        <w:rPr>
          <w:color w:val="000000"/>
        </w:rPr>
        <w:t xml:space="preserve"> </w:t>
      </w:r>
      <w:proofErr w:type="spellStart"/>
      <w:r w:rsidRPr="006B360B">
        <w:rPr>
          <w:color w:val="000000"/>
        </w:rPr>
        <w:t>meetings</w:t>
      </w:r>
      <w:proofErr w:type="spellEnd"/>
      <w:r w:rsidRPr="006B360B">
        <w:rPr>
          <w:color w:val="000000"/>
        </w:rPr>
        <w:t xml:space="preserve"> </w:t>
      </w:r>
      <w:proofErr w:type="spellStart"/>
      <w:r w:rsidRPr="006B360B">
        <w:rPr>
          <w:color w:val="000000"/>
        </w:rPr>
        <w:t>from</w:t>
      </w:r>
      <w:proofErr w:type="spellEnd"/>
      <w:r w:rsidRPr="006B360B">
        <w:rPr>
          <w:color w:val="000000"/>
        </w:rPr>
        <w:t xml:space="preserve"> COP24 </w:t>
      </w:r>
      <w:proofErr w:type="spellStart"/>
      <w:r w:rsidRPr="006B360B">
        <w:rPr>
          <w:color w:val="000000"/>
        </w:rPr>
        <w:t>to</w:t>
      </w:r>
      <w:proofErr w:type="spellEnd"/>
      <w:r w:rsidRPr="006B360B">
        <w:rPr>
          <w:color w:val="000000"/>
        </w:rPr>
        <w:t xml:space="preserve"> COP29, </w:t>
      </w:r>
      <w:proofErr w:type="spellStart"/>
      <w:r w:rsidRPr="006B360B">
        <w:rPr>
          <w:color w:val="000000"/>
        </w:rPr>
        <w:t>with</w:t>
      </w:r>
      <w:proofErr w:type="spellEnd"/>
      <w:r w:rsidRPr="006B360B">
        <w:rPr>
          <w:color w:val="000000"/>
        </w:rPr>
        <w:t xml:space="preserve"> </w:t>
      </w:r>
      <w:proofErr w:type="spellStart"/>
      <w:r w:rsidRPr="006B360B">
        <w:rPr>
          <w:color w:val="000000"/>
        </w:rPr>
        <w:t>their</w:t>
      </w:r>
      <w:proofErr w:type="spellEnd"/>
      <w:r w:rsidRPr="006B360B">
        <w:rPr>
          <w:color w:val="000000"/>
        </w:rPr>
        <w:t xml:space="preserve"> </w:t>
      </w:r>
      <w:proofErr w:type="spellStart"/>
      <w:r w:rsidRPr="006B360B">
        <w:rPr>
          <w:color w:val="000000"/>
        </w:rPr>
        <w:t>financial</w:t>
      </w:r>
      <w:proofErr w:type="spellEnd"/>
      <w:r w:rsidRPr="006B360B">
        <w:rPr>
          <w:color w:val="000000"/>
        </w:rPr>
        <w:t xml:space="preserve"> </w:t>
      </w:r>
      <w:proofErr w:type="spellStart"/>
      <w:r w:rsidRPr="006B360B">
        <w:rPr>
          <w:color w:val="000000"/>
        </w:rPr>
        <w:t>results</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is </w:t>
      </w:r>
      <w:proofErr w:type="spellStart"/>
      <w:r w:rsidRPr="006B360B">
        <w:rPr>
          <w:color w:val="000000"/>
        </w:rPr>
        <w:t>therefore</w:t>
      </w:r>
      <w:proofErr w:type="spellEnd"/>
      <w:r w:rsidRPr="006B360B">
        <w:rPr>
          <w:color w:val="000000"/>
        </w:rPr>
        <w:t xml:space="preserve"> </w:t>
      </w:r>
      <w:proofErr w:type="spellStart"/>
      <w:r w:rsidRPr="006B360B">
        <w:rPr>
          <w:color w:val="000000"/>
        </w:rPr>
        <w:t>considered</w:t>
      </w:r>
      <w:proofErr w:type="spellEnd"/>
      <w:r w:rsidRPr="006B360B">
        <w:rPr>
          <w:color w:val="000000"/>
        </w:rPr>
        <w:t xml:space="preserve"> </w:t>
      </w:r>
      <w:proofErr w:type="spellStart"/>
      <w:r w:rsidRPr="006B360B">
        <w:rPr>
          <w:color w:val="000000"/>
        </w:rPr>
        <w:t>important</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w:t>
      </w:r>
      <w:proofErr w:type="spellStart"/>
      <w:r w:rsidRPr="006B360B">
        <w:rPr>
          <w:color w:val="000000"/>
        </w:rPr>
        <w:t>study</w:t>
      </w:r>
      <w:proofErr w:type="spellEnd"/>
      <w:r w:rsidRPr="006B360B">
        <w:rPr>
          <w:color w:val="000000"/>
        </w:rPr>
        <w:t xml:space="preserve"> </w:t>
      </w:r>
      <w:proofErr w:type="spellStart"/>
      <w:r w:rsidRPr="006B360B">
        <w:rPr>
          <w:color w:val="000000"/>
        </w:rPr>
        <w:t>reveals</w:t>
      </w:r>
      <w:proofErr w:type="spellEnd"/>
      <w:r w:rsidRPr="006B360B">
        <w:rPr>
          <w:color w:val="000000"/>
        </w:rPr>
        <w:t xml:space="preserve"> </w:t>
      </w:r>
      <w:proofErr w:type="spellStart"/>
      <w:r w:rsidRPr="006B360B">
        <w:rPr>
          <w:color w:val="000000"/>
        </w:rPr>
        <w:t>that</w:t>
      </w:r>
      <w:proofErr w:type="spellEnd"/>
      <w:r w:rsidRPr="006B360B">
        <w:rPr>
          <w:color w:val="000000"/>
        </w:rPr>
        <w:t xml:space="preserve">, </w:t>
      </w:r>
      <w:proofErr w:type="spellStart"/>
      <w:r w:rsidRPr="006B360B">
        <w:rPr>
          <w:color w:val="000000"/>
        </w:rPr>
        <w:t>despite</w:t>
      </w:r>
      <w:proofErr w:type="spellEnd"/>
      <w:r w:rsidRPr="006B360B">
        <w:rPr>
          <w:color w:val="000000"/>
        </w:rPr>
        <w:t xml:space="preserve"> global </w:t>
      </w:r>
      <w:proofErr w:type="spellStart"/>
      <w:r w:rsidRPr="006B360B">
        <w:rPr>
          <w:color w:val="000000"/>
        </w:rPr>
        <w:t>efforts</w:t>
      </w:r>
      <w:proofErr w:type="spellEnd"/>
      <w:r w:rsidRPr="006B360B">
        <w:rPr>
          <w:color w:val="000000"/>
        </w:rPr>
        <w:t xml:space="preserve"> </w:t>
      </w:r>
      <w:proofErr w:type="spellStart"/>
      <w:r w:rsidRPr="006B360B">
        <w:rPr>
          <w:color w:val="000000"/>
        </w:rPr>
        <w:t>and</w:t>
      </w:r>
      <w:proofErr w:type="spellEnd"/>
      <w:r w:rsidRPr="006B360B">
        <w:rPr>
          <w:color w:val="000000"/>
        </w:rPr>
        <w:t xml:space="preserve"> </w:t>
      </w:r>
      <w:proofErr w:type="spellStart"/>
      <w:r w:rsidRPr="006B360B">
        <w:rPr>
          <w:color w:val="000000"/>
        </w:rPr>
        <w:t>comprehensive</w:t>
      </w:r>
      <w:proofErr w:type="spellEnd"/>
      <w:r w:rsidRPr="006B360B">
        <w:rPr>
          <w:color w:val="000000"/>
        </w:rPr>
        <w:t xml:space="preserve"> </w:t>
      </w:r>
      <w:proofErr w:type="spellStart"/>
      <w:r w:rsidRPr="006B360B">
        <w:rPr>
          <w:color w:val="000000"/>
        </w:rPr>
        <w:t>participation</w:t>
      </w:r>
      <w:proofErr w:type="spellEnd"/>
      <w:r w:rsidRPr="006B360B">
        <w:rPr>
          <w:color w:val="000000"/>
        </w:rPr>
        <w:t xml:space="preserve">, </w:t>
      </w:r>
      <w:proofErr w:type="spellStart"/>
      <w:r w:rsidRPr="006B360B">
        <w:rPr>
          <w:color w:val="000000"/>
        </w:rPr>
        <w:t>COPs</w:t>
      </w:r>
      <w:proofErr w:type="spellEnd"/>
      <w:r w:rsidRPr="006B360B">
        <w:rPr>
          <w:color w:val="000000"/>
        </w:rPr>
        <w:t xml:space="preserve"> </w:t>
      </w:r>
      <w:proofErr w:type="spellStart"/>
      <w:r w:rsidRPr="006B360B">
        <w:rPr>
          <w:color w:val="000000"/>
        </w:rPr>
        <w:t>have</w:t>
      </w:r>
      <w:proofErr w:type="spellEnd"/>
      <w:r w:rsidRPr="006B360B">
        <w:rPr>
          <w:color w:val="000000"/>
        </w:rPr>
        <w:t xml:space="preserve"> not </w:t>
      </w:r>
      <w:proofErr w:type="spellStart"/>
      <w:r w:rsidRPr="006B360B">
        <w:rPr>
          <w:color w:val="000000"/>
        </w:rPr>
        <w:t>been</w:t>
      </w:r>
      <w:proofErr w:type="spellEnd"/>
      <w:r w:rsidRPr="006B360B">
        <w:rPr>
          <w:color w:val="000000"/>
        </w:rPr>
        <w:t xml:space="preserve"> </w:t>
      </w:r>
      <w:proofErr w:type="spellStart"/>
      <w:r w:rsidRPr="006B360B">
        <w:rPr>
          <w:color w:val="000000"/>
        </w:rPr>
        <w:t>able</w:t>
      </w:r>
      <w:proofErr w:type="spellEnd"/>
      <w:r w:rsidRPr="006B360B">
        <w:rPr>
          <w:color w:val="000000"/>
        </w:rPr>
        <w:t xml:space="preserve"> </w:t>
      </w:r>
      <w:proofErr w:type="spellStart"/>
      <w:r w:rsidRPr="006B360B">
        <w:rPr>
          <w:color w:val="000000"/>
        </w:rPr>
        <w:t>to</w:t>
      </w:r>
      <w:proofErr w:type="spellEnd"/>
      <w:r w:rsidRPr="006B360B">
        <w:rPr>
          <w:color w:val="000000"/>
        </w:rPr>
        <w:t xml:space="preserve"> </w:t>
      </w:r>
      <w:proofErr w:type="spellStart"/>
      <w:r w:rsidRPr="006B360B">
        <w:rPr>
          <w:color w:val="000000"/>
        </w:rPr>
        <w:t>solve</w:t>
      </w:r>
      <w:proofErr w:type="spellEnd"/>
      <w:r w:rsidRPr="006B360B">
        <w:rPr>
          <w:color w:val="000000"/>
        </w:rPr>
        <w:t xml:space="preserve"> </w:t>
      </w:r>
      <w:proofErr w:type="spellStart"/>
      <w:r w:rsidRPr="006B360B">
        <w:rPr>
          <w:color w:val="000000"/>
        </w:rPr>
        <w:t>the</w:t>
      </w:r>
      <w:proofErr w:type="spellEnd"/>
      <w:r w:rsidRPr="006B360B">
        <w:rPr>
          <w:color w:val="000000"/>
        </w:rPr>
        <w:t xml:space="preserve"> global </w:t>
      </w:r>
      <w:proofErr w:type="spellStart"/>
      <w:r w:rsidRPr="006B360B">
        <w:rPr>
          <w:color w:val="000000"/>
        </w:rPr>
        <w:t>warming</w:t>
      </w:r>
      <w:proofErr w:type="spellEnd"/>
      <w:r w:rsidRPr="006B360B">
        <w:rPr>
          <w:color w:val="000000"/>
        </w:rPr>
        <w:t xml:space="preserve"> problem </w:t>
      </w:r>
      <w:proofErr w:type="spellStart"/>
      <w:r w:rsidRPr="006B360B">
        <w:rPr>
          <w:color w:val="000000"/>
        </w:rPr>
        <w:t>and</w:t>
      </w:r>
      <w:proofErr w:type="spellEnd"/>
      <w:r w:rsidRPr="006B360B">
        <w:rPr>
          <w:color w:val="000000"/>
        </w:rPr>
        <w:t xml:space="preserve"> </w:t>
      </w:r>
      <w:proofErr w:type="spellStart"/>
      <w:r w:rsidRPr="006B360B">
        <w:rPr>
          <w:color w:val="000000"/>
        </w:rPr>
        <w:t>offers</w:t>
      </w:r>
      <w:proofErr w:type="spellEnd"/>
      <w:r w:rsidRPr="006B360B">
        <w:rPr>
          <w:color w:val="000000"/>
        </w:rPr>
        <w:t xml:space="preserve"> </w:t>
      </w:r>
      <w:proofErr w:type="spellStart"/>
      <w:r w:rsidRPr="006B360B">
        <w:rPr>
          <w:color w:val="000000"/>
        </w:rPr>
        <w:t>some</w:t>
      </w:r>
      <w:proofErr w:type="spellEnd"/>
      <w:r w:rsidRPr="006B360B">
        <w:rPr>
          <w:color w:val="000000"/>
        </w:rPr>
        <w:t xml:space="preserve"> </w:t>
      </w:r>
      <w:proofErr w:type="spellStart"/>
      <w:r w:rsidRPr="006B360B">
        <w:rPr>
          <w:color w:val="000000"/>
        </w:rPr>
        <w:t>solution</w:t>
      </w:r>
      <w:proofErr w:type="spellEnd"/>
      <w:r w:rsidRPr="006B360B">
        <w:rPr>
          <w:color w:val="000000"/>
        </w:rPr>
        <w:t xml:space="preserve"> </w:t>
      </w:r>
      <w:proofErr w:type="spellStart"/>
      <w:r w:rsidRPr="006B360B">
        <w:rPr>
          <w:color w:val="000000"/>
        </w:rPr>
        <w:t>suggestions</w:t>
      </w:r>
      <w:proofErr w:type="spellEnd"/>
      <w:r w:rsidRPr="006B360B">
        <w:rPr>
          <w:color w:val="000000"/>
        </w:rPr>
        <w:t>.</w:t>
      </w:r>
    </w:p>
    <w:p w14:paraId="3233E332" w14:textId="77777777" w:rsidR="005325CB" w:rsidRPr="006B360B" w:rsidRDefault="005325CB" w:rsidP="007513A1">
      <w:pPr>
        <w:jc w:val="both"/>
        <w:rPr>
          <w:color w:val="000000"/>
        </w:rPr>
      </w:pPr>
    </w:p>
    <w:p w14:paraId="3D64CAF6" w14:textId="12D99243" w:rsidR="00C70E93" w:rsidRDefault="001E7189" w:rsidP="007513A1">
      <w:pPr>
        <w:jc w:val="both"/>
        <w:rPr>
          <w:color w:val="000000"/>
        </w:rPr>
      </w:pPr>
      <w:proofErr w:type="spellStart"/>
      <w:r w:rsidRPr="006B360B">
        <w:rPr>
          <w:b/>
          <w:bCs/>
          <w:color w:val="000000"/>
        </w:rPr>
        <w:t>Keywords</w:t>
      </w:r>
      <w:proofErr w:type="spellEnd"/>
      <w:r w:rsidRPr="006B360B">
        <w:rPr>
          <w:b/>
          <w:bCs/>
          <w:color w:val="000000"/>
        </w:rPr>
        <w:t>:</w:t>
      </w:r>
      <w:r w:rsidRPr="006B360B">
        <w:rPr>
          <w:color w:val="000000"/>
        </w:rPr>
        <w:t xml:space="preserve"> </w:t>
      </w:r>
      <w:proofErr w:type="spellStart"/>
      <w:r w:rsidRPr="006B360B">
        <w:rPr>
          <w:color w:val="000000"/>
        </w:rPr>
        <w:t>Governance</w:t>
      </w:r>
      <w:proofErr w:type="spellEnd"/>
      <w:r w:rsidRPr="006B360B">
        <w:rPr>
          <w:color w:val="000000"/>
        </w:rPr>
        <w:t xml:space="preserve">, </w:t>
      </w:r>
      <w:proofErr w:type="spellStart"/>
      <w:r w:rsidRPr="006B360B">
        <w:rPr>
          <w:color w:val="000000"/>
        </w:rPr>
        <w:t>Participation</w:t>
      </w:r>
      <w:proofErr w:type="spellEnd"/>
      <w:r w:rsidRPr="006B360B">
        <w:rPr>
          <w:color w:val="000000"/>
        </w:rPr>
        <w:t xml:space="preserve">, International </w:t>
      </w:r>
      <w:proofErr w:type="spellStart"/>
      <w:r w:rsidRPr="006B360B">
        <w:rPr>
          <w:color w:val="000000"/>
        </w:rPr>
        <w:t>Organizations</w:t>
      </w:r>
      <w:proofErr w:type="spellEnd"/>
      <w:r w:rsidRPr="006B360B">
        <w:rPr>
          <w:color w:val="000000"/>
        </w:rPr>
        <w:t xml:space="preserve">, United Nations, </w:t>
      </w:r>
      <w:proofErr w:type="spellStart"/>
      <w:r w:rsidRPr="006B360B">
        <w:rPr>
          <w:color w:val="000000"/>
        </w:rPr>
        <w:t>The</w:t>
      </w:r>
      <w:proofErr w:type="spellEnd"/>
      <w:r w:rsidRPr="006B360B">
        <w:rPr>
          <w:color w:val="000000"/>
        </w:rPr>
        <w:t xml:space="preserve"> Conference of </w:t>
      </w:r>
      <w:proofErr w:type="spellStart"/>
      <w:r w:rsidRPr="006B360B">
        <w:rPr>
          <w:color w:val="000000"/>
        </w:rPr>
        <w:t>the</w:t>
      </w:r>
      <w:proofErr w:type="spellEnd"/>
      <w:r w:rsidRPr="006B360B">
        <w:rPr>
          <w:color w:val="000000"/>
        </w:rPr>
        <w:t xml:space="preserve"> </w:t>
      </w:r>
      <w:proofErr w:type="spellStart"/>
      <w:r w:rsidRPr="006B360B">
        <w:rPr>
          <w:color w:val="000000"/>
        </w:rPr>
        <w:t>Parties</w:t>
      </w:r>
      <w:proofErr w:type="spellEnd"/>
      <w:r w:rsidRPr="006B360B">
        <w:rPr>
          <w:color w:val="000000"/>
        </w:rPr>
        <w:t xml:space="preserve"> (COP).</w:t>
      </w:r>
    </w:p>
    <w:p w14:paraId="2E373316" w14:textId="73F5BD78" w:rsidR="001E7189" w:rsidRPr="006B360B" w:rsidRDefault="00C70E93" w:rsidP="00C70E93">
      <w:pPr>
        <w:autoSpaceDE/>
        <w:autoSpaceDN/>
        <w:rPr>
          <w:color w:val="000000"/>
        </w:rPr>
      </w:pPr>
      <w:r>
        <w:rPr>
          <w:color w:val="000000"/>
        </w:rPr>
        <w:br w:type="page"/>
      </w:r>
    </w:p>
    <w:p w14:paraId="16AF9B73" w14:textId="77777777" w:rsidR="001E7189" w:rsidRPr="006B360B" w:rsidRDefault="001E7189" w:rsidP="004C7694">
      <w:pPr>
        <w:pStyle w:val="Tark"/>
      </w:pPr>
      <w:bookmarkStart w:id="133" w:name="_Toc192855210"/>
      <w:r w:rsidRPr="006B360B">
        <w:lastRenderedPageBreak/>
        <w:t>Küresel Kuruluş Vatandaşlığı-Uluslararası Aktörlere Aidiyet</w:t>
      </w:r>
      <w:bookmarkEnd w:id="133"/>
    </w:p>
    <w:p w14:paraId="69EB570D" w14:textId="77777777" w:rsidR="001E7189" w:rsidRPr="006B360B" w:rsidRDefault="001E7189" w:rsidP="007513A1">
      <w:pPr>
        <w:rPr>
          <w:color w:val="000000"/>
        </w:rPr>
      </w:pPr>
    </w:p>
    <w:p w14:paraId="04778A7B" w14:textId="77777777" w:rsidR="001E7189" w:rsidRPr="006B360B" w:rsidRDefault="001E7189" w:rsidP="007513A1">
      <w:pPr>
        <w:jc w:val="center"/>
        <w:rPr>
          <w:color w:val="000000"/>
        </w:rPr>
      </w:pPr>
      <w:r w:rsidRPr="006B360B">
        <w:rPr>
          <w:color w:val="000000"/>
        </w:rPr>
        <w:t>Müge Algan</w:t>
      </w:r>
    </w:p>
    <w:p w14:paraId="790854B7" w14:textId="77777777" w:rsidR="001E7189" w:rsidRPr="006B360B" w:rsidRDefault="001E7189" w:rsidP="007513A1">
      <w:pPr>
        <w:jc w:val="center"/>
        <w:rPr>
          <w:color w:val="000000"/>
        </w:rPr>
      </w:pPr>
      <w:r w:rsidRPr="006B360B">
        <w:rPr>
          <w:color w:val="000000"/>
        </w:rPr>
        <w:t>Dr., Dünya Barış Üniversitesi, İİSBF, Kamu Yönetimi Bölümü</w:t>
      </w:r>
    </w:p>
    <w:p w14:paraId="4FA6EDFC" w14:textId="77777777" w:rsidR="001E7189" w:rsidRPr="006B360B" w:rsidRDefault="001E7189" w:rsidP="007513A1">
      <w:pPr>
        <w:jc w:val="center"/>
        <w:rPr>
          <w:color w:val="000000"/>
        </w:rPr>
      </w:pPr>
      <w:hyperlink r:id="rId173" w:history="1">
        <w:r w:rsidRPr="006B360B">
          <w:rPr>
            <w:color w:val="0563C1"/>
            <w:u w:val="single"/>
          </w:rPr>
          <w:t>mugealgan@yahoo.com</w:t>
        </w:r>
      </w:hyperlink>
    </w:p>
    <w:p w14:paraId="5204BFFA" w14:textId="77777777" w:rsidR="001E7189" w:rsidRPr="006B360B" w:rsidRDefault="001E7189" w:rsidP="007513A1">
      <w:pPr>
        <w:jc w:val="center"/>
        <w:rPr>
          <w:color w:val="000000"/>
        </w:rPr>
      </w:pPr>
      <w:proofErr w:type="spellStart"/>
      <w:r w:rsidRPr="006B360B">
        <w:rPr>
          <w:color w:val="000000"/>
        </w:rPr>
        <w:t>Orcid</w:t>
      </w:r>
      <w:proofErr w:type="spellEnd"/>
      <w:r w:rsidRPr="006B360B">
        <w:rPr>
          <w:color w:val="000000"/>
        </w:rPr>
        <w:t xml:space="preserve"> 0000 0001 8959 1174</w:t>
      </w:r>
    </w:p>
    <w:p w14:paraId="1B45B516" w14:textId="77777777" w:rsidR="001E7189" w:rsidRPr="006B360B" w:rsidRDefault="001E7189" w:rsidP="007513A1">
      <w:pPr>
        <w:rPr>
          <w:color w:val="000000"/>
        </w:rPr>
      </w:pPr>
    </w:p>
    <w:p w14:paraId="5C40C99C" w14:textId="53BA1649" w:rsidR="001E7189" w:rsidRPr="006B360B" w:rsidRDefault="001E7189" w:rsidP="007513A1">
      <w:pPr>
        <w:jc w:val="center"/>
        <w:rPr>
          <w:color w:val="000000"/>
        </w:rPr>
      </w:pPr>
      <w:r w:rsidRPr="006B360B">
        <w:rPr>
          <w:b/>
          <w:bCs/>
          <w:color w:val="000000"/>
        </w:rPr>
        <w:t>Özet</w:t>
      </w:r>
    </w:p>
    <w:p w14:paraId="3C833D7D" w14:textId="77777777" w:rsidR="001E7189" w:rsidRDefault="001E7189" w:rsidP="007513A1">
      <w:pPr>
        <w:jc w:val="both"/>
        <w:rPr>
          <w:color w:val="000000"/>
        </w:rPr>
      </w:pPr>
      <w:r w:rsidRPr="006B360B">
        <w:rPr>
          <w:color w:val="000000"/>
        </w:rPr>
        <w:t xml:space="preserve">Kurumsal vatandaşlık devletin yerine örgüt veya şirketlerin geçtiği karşılıklı hak ve ödevlere dayalı ilişkileri tanımlamaktadır. Bu ilişkilerde kişilerin görev ve sorumlulukları yanında ayrıca isteyerek gösterdikleri bir bağlılık ve özveri olduğu gözlemlenmektedir (Aydın, 1993). Küreselleşme ile çokuluslu şirketlerin ön plana çıkması ve güçlenmesi özellikle bu şirketlerin bazı çalışanlarında farklı bir aidiyet yaratmıştır. Çalıştıkları bu şirketlerin gücü ve kendilerine sağlanan statü bu çalışanlarda artan kurumsal bağlılığı beraberinde getirmiştir. Benzer bir durum küreselleşme, yeni kamu yönetimi ve yönetişim yaklaşımı ile politika transfer gücü artan küresel kuruluşların çalışanları için de geçerlidir. Dünya Bankası, Ekonomik </w:t>
      </w:r>
      <w:proofErr w:type="gramStart"/>
      <w:r w:rsidRPr="006B360B">
        <w:rPr>
          <w:color w:val="000000"/>
        </w:rPr>
        <w:t>İşbirliği</w:t>
      </w:r>
      <w:proofErr w:type="gramEnd"/>
      <w:r w:rsidRPr="006B360B">
        <w:rPr>
          <w:color w:val="000000"/>
        </w:rPr>
        <w:t xml:space="preserve"> ve Kalkınma Örgütü (OECD) gibi küresel kuruluşların personeli çalıştıkları bu kurumları ülkelerinden önde tutmaya başlamış ve adeta bu kuruluşların vatandaşları olmuşlardır. </w:t>
      </w:r>
      <w:proofErr w:type="spellStart"/>
      <w:r w:rsidRPr="006B360B">
        <w:rPr>
          <w:color w:val="000000"/>
        </w:rPr>
        <w:t>Bateman</w:t>
      </w:r>
      <w:proofErr w:type="spellEnd"/>
      <w:r w:rsidRPr="006B360B">
        <w:rPr>
          <w:color w:val="000000"/>
        </w:rPr>
        <w:t xml:space="preserve"> ve Organ bunu “iyi asker sendromu” olarak tanımlamaktadır (</w:t>
      </w:r>
      <w:proofErr w:type="spellStart"/>
      <w:r w:rsidRPr="006B360B">
        <w:rPr>
          <w:color w:val="000000"/>
        </w:rPr>
        <w:t>Bateman</w:t>
      </w:r>
      <w:proofErr w:type="spellEnd"/>
      <w:r w:rsidRPr="006B360B">
        <w:rPr>
          <w:color w:val="000000"/>
        </w:rPr>
        <w:t xml:space="preserve"> ve Organ, 1983) Çalışanlar, bu kuruluşları bir aile olarak kabul etmekte ve kendilerini de o ailenin bir parçası olarak görmektedir. Bu çalışanlar her koşulda bu kuruluşları ve kuruluş politikalarını savunmaktadırlar (</w:t>
      </w:r>
      <w:proofErr w:type="spellStart"/>
      <w:r w:rsidRPr="006B360B">
        <w:rPr>
          <w:color w:val="000000"/>
        </w:rPr>
        <w:t>Memduhoğlu</w:t>
      </w:r>
      <w:proofErr w:type="spellEnd"/>
      <w:r w:rsidRPr="006B360B">
        <w:rPr>
          <w:color w:val="000000"/>
        </w:rPr>
        <w:t xml:space="preserve"> ve Zengin, 2019: 1055). Çalışanlar “adanmışlık” duygusuyla kuruluşun kural ve yönergelerine sorgulamadan bağlı kalır (Küçükler, 2023: 431). Küresel kuruluş vatandaşlığı çalışanın ülkesi ile ilgili kararlarda bile bu küresel aktörlerin lehine çalışması ve kendisine verilen görevi eksiksiz yapması ile sonuçlanır. Örneğin OECD, personelini seçerken bu çalışanların OECD çıkarlarını ülkesinin çıkarlarından üstün tutmasını beklemektedir. OECD personeli de vatandaşlık bağı olan ülke ile ilgili bir çalışmada kuruluşunun politika önceliklerini ön planda tutmaktadır (Algan, 2024: 758-759). Barnett ve </w:t>
      </w:r>
      <w:proofErr w:type="spellStart"/>
      <w:r w:rsidRPr="006B360B">
        <w:rPr>
          <w:color w:val="000000"/>
        </w:rPr>
        <w:t>Finnemore</w:t>
      </w:r>
      <w:proofErr w:type="spellEnd"/>
      <w:r w:rsidRPr="006B360B">
        <w:rPr>
          <w:color w:val="000000"/>
        </w:rPr>
        <w:t xml:space="preserve"> bu durumu “Fildişi Kule” olarak tanımlamakta ve bu bürokrasinin personeli ile kendi içinde bir dünya yarattığını ifade etmektedir (Barnett ve </w:t>
      </w:r>
      <w:proofErr w:type="spellStart"/>
      <w:r w:rsidRPr="006B360B">
        <w:rPr>
          <w:color w:val="000000"/>
        </w:rPr>
        <w:t>Finnemore</w:t>
      </w:r>
      <w:proofErr w:type="spellEnd"/>
      <w:r w:rsidRPr="006B360B">
        <w:rPr>
          <w:color w:val="000000"/>
        </w:rPr>
        <w:t xml:space="preserve">, 1999: 706). Uluslararası Para Fonu’nda (IMF) 2600 kişi, Dünya Bankası’nda 5500 kişi ve OECD’de yaklaşık 2000 kişi çalıştığı düşünüldüğünde bu kuruluşların ulaştıkları ülkelerde etkin bir </w:t>
      </w:r>
      <w:r w:rsidRPr="006B360B">
        <w:rPr>
          <w:i/>
          <w:iCs/>
          <w:color w:val="000000"/>
        </w:rPr>
        <w:t>kuleye</w:t>
      </w:r>
      <w:r w:rsidRPr="006B360B">
        <w:rPr>
          <w:color w:val="000000"/>
        </w:rPr>
        <w:t xml:space="preserve"> yani politika transferi yapan ve bu kuruluşların politikalarını </w:t>
      </w:r>
      <w:r w:rsidRPr="006B360B">
        <w:rPr>
          <w:i/>
          <w:iCs/>
          <w:color w:val="000000"/>
        </w:rPr>
        <w:t>uygulatan</w:t>
      </w:r>
      <w:r w:rsidRPr="006B360B">
        <w:rPr>
          <w:color w:val="000000"/>
        </w:rPr>
        <w:t xml:space="preserve"> güce sahip olduğunu söylemek mümkündür (</w:t>
      </w:r>
      <w:proofErr w:type="spellStart"/>
      <w:r w:rsidRPr="006B360B">
        <w:rPr>
          <w:color w:val="000000"/>
        </w:rPr>
        <w:t>Mahon</w:t>
      </w:r>
      <w:proofErr w:type="spellEnd"/>
      <w:r w:rsidRPr="006B360B">
        <w:rPr>
          <w:color w:val="000000"/>
        </w:rPr>
        <w:t xml:space="preserve"> ve </w:t>
      </w:r>
      <w:proofErr w:type="spellStart"/>
      <w:r w:rsidRPr="006B360B">
        <w:rPr>
          <w:color w:val="000000"/>
        </w:rPr>
        <w:t>McBride</w:t>
      </w:r>
      <w:proofErr w:type="spellEnd"/>
      <w:r w:rsidRPr="006B360B">
        <w:rPr>
          <w:color w:val="000000"/>
        </w:rPr>
        <w:t>, 2009: 88). Bu çalışmanın amacı küresel kuruluş vatandaşlığı kavramını tanımlamaktır. Bu kavram ilk kez kullanıldığı için çalışma önemli görülmektedir. Çalışma örgütsel vatandaşlık kavramının küresel aktörler üzerinden incelenmesi yöntemi ile çalışanların kurumsal aidiyetlerinin adresini bulmayı amaçlamaktadır. Çalışma küresel kuruluşlara aidiyetin kimi zaman ulus devlete olan aidiyetin üstünde tutulabildiğini ve bu aidiyetin küresel politika transferini güçlendirdiğini göstermektedir.</w:t>
      </w:r>
    </w:p>
    <w:p w14:paraId="11DAB9C2" w14:textId="77777777" w:rsidR="001E7189" w:rsidRPr="006B360B" w:rsidRDefault="001E7189" w:rsidP="007513A1">
      <w:pPr>
        <w:jc w:val="both"/>
        <w:rPr>
          <w:color w:val="000000"/>
        </w:rPr>
      </w:pPr>
    </w:p>
    <w:p w14:paraId="2326933B" w14:textId="1B97FB91" w:rsidR="00C70E93" w:rsidRDefault="001E7189" w:rsidP="007513A1">
      <w:pPr>
        <w:jc w:val="both"/>
        <w:rPr>
          <w:color w:val="000000"/>
        </w:rPr>
      </w:pPr>
      <w:r w:rsidRPr="006B360B">
        <w:rPr>
          <w:b/>
          <w:bCs/>
          <w:color w:val="000000"/>
        </w:rPr>
        <w:t>Anahtar Kelimeler:</w:t>
      </w:r>
      <w:r w:rsidRPr="006B360B">
        <w:rPr>
          <w:color w:val="000000"/>
        </w:rPr>
        <w:t xml:space="preserve"> Yönetişim, Yeni Kamu Yönetimi, Uluslararası Kuruluşlar, OECD, Küresel Kuruluş Vatandaşlığı.</w:t>
      </w:r>
    </w:p>
    <w:p w14:paraId="533749B1" w14:textId="5C460827" w:rsidR="006871AB" w:rsidRPr="005325CB" w:rsidRDefault="00C70E93" w:rsidP="00C70E93">
      <w:pPr>
        <w:autoSpaceDE/>
        <w:autoSpaceDN/>
        <w:rPr>
          <w:color w:val="000000"/>
        </w:rPr>
      </w:pPr>
      <w:r>
        <w:rPr>
          <w:color w:val="000000"/>
        </w:rPr>
        <w:br w:type="page"/>
      </w:r>
    </w:p>
    <w:p w14:paraId="19EB0146" w14:textId="77777777" w:rsidR="001E7189" w:rsidRDefault="001E7189" w:rsidP="004C7694">
      <w:pPr>
        <w:pStyle w:val="Tark"/>
      </w:pPr>
      <w:bookmarkStart w:id="134" w:name="_Toc192855211"/>
      <w:r w:rsidRPr="00536C78">
        <w:lastRenderedPageBreak/>
        <w:t xml:space="preserve">Küreselleşme Sürecinde Bölgesel Kalkınma Aracı Olarak Kültür </w:t>
      </w:r>
      <w:proofErr w:type="gramStart"/>
      <w:r w:rsidRPr="00536C78">
        <w:t>Ve</w:t>
      </w:r>
      <w:proofErr w:type="gramEnd"/>
      <w:r w:rsidRPr="00536C78">
        <w:t xml:space="preserve"> İnanç Turizminin Keşfi: Mardin Örneğinde Eleştirel Bir İnceleme</w:t>
      </w:r>
      <w:bookmarkEnd w:id="134"/>
    </w:p>
    <w:p w14:paraId="679C8ECD" w14:textId="77777777" w:rsidR="001E7189" w:rsidRPr="00536C78" w:rsidRDefault="001E7189" w:rsidP="007513A1">
      <w:pPr>
        <w:jc w:val="center"/>
        <w:rPr>
          <w:color w:val="000000"/>
        </w:rPr>
      </w:pPr>
    </w:p>
    <w:p w14:paraId="7C1F4D66" w14:textId="77777777" w:rsidR="001E7189" w:rsidRPr="00536C78" w:rsidRDefault="001E7189" w:rsidP="007513A1">
      <w:pPr>
        <w:jc w:val="center"/>
        <w:rPr>
          <w:color w:val="000000"/>
        </w:rPr>
      </w:pPr>
      <w:proofErr w:type="spellStart"/>
      <w:r w:rsidRPr="00536C78">
        <w:rPr>
          <w:color w:val="000000"/>
        </w:rPr>
        <w:t>Şilan</w:t>
      </w:r>
      <w:proofErr w:type="spellEnd"/>
      <w:r w:rsidRPr="00536C78">
        <w:rPr>
          <w:color w:val="000000"/>
        </w:rPr>
        <w:t xml:space="preserve"> Çelebioğlu</w:t>
      </w:r>
    </w:p>
    <w:p w14:paraId="57E936B8" w14:textId="77777777" w:rsidR="001E7189" w:rsidRPr="00536C78" w:rsidRDefault="001E7189" w:rsidP="007513A1">
      <w:pPr>
        <w:jc w:val="center"/>
        <w:rPr>
          <w:color w:val="000000"/>
        </w:rPr>
      </w:pPr>
      <w:r w:rsidRPr="00536C78">
        <w:rPr>
          <w:color w:val="000000"/>
        </w:rPr>
        <w:t>Yüksek Lisans Öğr., Anadolu Üniversitesi, Kamu Yönetimi ABD</w:t>
      </w:r>
    </w:p>
    <w:p w14:paraId="28E503A4" w14:textId="77777777" w:rsidR="001E7189" w:rsidRPr="00536C78" w:rsidRDefault="001E7189" w:rsidP="007513A1">
      <w:pPr>
        <w:jc w:val="center"/>
        <w:rPr>
          <w:color w:val="000000"/>
        </w:rPr>
      </w:pPr>
      <w:hyperlink r:id="rId174" w:history="1">
        <w:r w:rsidRPr="00536C78">
          <w:rPr>
            <w:color w:val="0563C1"/>
            <w:u w:val="single"/>
          </w:rPr>
          <w:t>silancelebioglu@hotmail.com</w:t>
        </w:r>
      </w:hyperlink>
      <w:r w:rsidRPr="00536C78">
        <w:rPr>
          <w:color w:val="000000"/>
        </w:rPr>
        <w:t>.</w:t>
      </w:r>
    </w:p>
    <w:p w14:paraId="74C97966" w14:textId="77777777" w:rsidR="001E7189" w:rsidRPr="00536C78" w:rsidRDefault="001E7189" w:rsidP="007513A1">
      <w:pPr>
        <w:jc w:val="center"/>
        <w:rPr>
          <w:color w:val="000000"/>
        </w:rPr>
      </w:pPr>
      <w:r w:rsidRPr="00536C78">
        <w:rPr>
          <w:color w:val="000000"/>
        </w:rPr>
        <w:t>0000-0002-2248-5550</w:t>
      </w:r>
    </w:p>
    <w:p w14:paraId="7043418D" w14:textId="77777777" w:rsidR="001E7189" w:rsidRPr="00536C78" w:rsidRDefault="001E7189" w:rsidP="007513A1">
      <w:pPr>
        <w:rPr>
          <w:color w:val="000000"/>
        </w:rPr>
      </w:pPr>
    </w:p>
    <w:p w14:paraId="5F36B608" w14:textId="77777777" w:rsidR="001E7189" w:rsidRPr="00536C78" w:rsidRDefault="001E7189" w:rsidP="007513A1">
      <w:pPr>
        <w:jc w:val="center"/>
        <w:rPr>
          <w:color w:val="000000"/>
        </w:rPr>
      </w:pPr>
      <w:r w:rsidRPr="00536C78">
        <w:rPr>
          <w:b/>
          <w:bCs/>
          <w:color w:val="000000"/>
        </w:rPr>
        <w:t>Özet</w:t>
      </w:r>
    </w:p>
    <w:p w14:paraId="50F23BD4" w14:textId="24F5D480" w:rsidR="001E7189" w:rsidRPr="00536C78" w:rsidRDefault="001E7189" w:rsidP="007513A1">
      <w:pPr>
        <w:jc w:val="both"/>
        <w:rPr>
          <w:color w:val="000000"/>
        </w:rPr>
      </w:pPr>
      <w:r w:rsidRPr="00536C78">
        <w:rPr>
          <w:color w:val="000000"/>
        </w:rPr>
        <w:t>Kavramsal açıdan 1980’li yıllarda popülerleşen küreselleşme, akademik bir mesele olarak siyaset bilimi başta olmak üzere sosyal bilimler alanında yöntemsel bir perspektif ve yorumlama aracı olarak güncelliğini korumaktadır. Temel bir ifadeyle yeni dünya düzeni olarak tarif edilen küreselleşme, zamansal ve mekânsal sınırların ortadan kalktığı, sermayenin tekelinde çok yönlü etkileşimlerle gelişen iktisadi bir süreç olarak tanımlanabilir. Bu bakımdan kentler bu sürecin kritik bir nesnesi olarak karşımıza çıkmaktadır. Zira küreselleşme sürecinde, iletişim ve ulaşım teknolojisindeki gelişmeler, kentleri de dönüştürmektedir. Küreselleşme sürecinde bu çerçevede gelişme gösteren kentler, özellikle küresel popüler kültürün etkisiyle birlikte birer tüketim mekânları hâline getirilmekte, dolayısıyla küresel yatırım, sermaye ve turistleri çekebilmek adına düzenin istediği tarzda dönüşümler yaşamaktadır. Bu süreçte kentler arasında oluşan küresel rekabet, kentsel değerlerin hızla yok olmasına neden olmakla birlikle kentlerin yerel nitelikteki farklılıklarının birer turistik meta biçiminde pazarlama unsuru haline gelmesine zemin hazırlamaktadır.</w:t>
      </w:r>
    </w:p>
    <w:p w14:paraId="77EE1592" w14:textId="77777777" w:rsidR="001E7189" w:rsidRPr="00536C78" w:rsidRDefault="001E7189" w:rsidP="007513A1">
      <w:pPr>
        <w:jc w:val="both"/>
        <w:rPr>
          <w:color w:val="000000"/>
        </w:rPr>
      </w:pPr>
      <w:r w:rsidRPr="00536C78">
        <w:rPr>
          <w:color w:val="000000"/>
        </w:rPr>
        <w:t xml:space="preserve">Türkiye’de </w:t>
      </w:r>
      <w:proofErr w:type="gramStart"/>
      <w:r w:rsidRPr="00536C78">
        <w:rPr>
          <w:color w:val="000000"/>
        </w:rPr>
        <w:t>de,</w:t>
      </w:r>
      <w:proofErr w:type="gramEnd"/>
      <w:r w:rsidRPr="00536C78">
        <w:rPr>
          <w:color w:val="000000"/>
        </w:rPr>
        <w:t xml:space="preserve"> 1980’lerden bu yana küresel piyasaya eklemlenmenin önemli bir ekonomi politik aracı olarak değerlendirilen turizm sektörünün geliştirilmesi kapsamında, yerel coğrafyanın kültürel unsurları turistik pazarlamaya dönük biçimde ticarileştirilmekte, bu kapsamda, yerel kültür, turist çekici bir algı kurgusunun konusu edilmektedir. Ekonomik olarak </w:t>
      </w:r>
      <w:proofErr w:type="spellStart"/>
      <w:r w:rsidRPr="00536C78">
        <w:rPr>
          <w:color w:val="000000"/>
        </w:rPr>
        <w:t>neo</w:t>
      </w:r>
      <w:proofErr w:type="spellEnd"/>
      <w:r w:rsidRPr="00536C78">
        <w:rPr>
          <w:color w:val="000000"/>
        </w:rPr>
        <w:t xml:space="preserve">-liberal çizgide ilerleyen turizmin atılım gösterdiği önemli alanlardan biri de kültür turizmidir. Klasik turizm anlayışına alternatif bir alan olarak ortaya çıkan kültür turizmi, somut/somut olmayan miras, tarihi miras, arkeolojik miras, kentsel miras gibi kavramsallaştırmalarla karşımıza çıkmaktadır. Türkiye’de yerel coğrafyanın turizme açılmasına ve kaynakların turistik metalaştırılmasına dayalı ekonomi politikası araçlarından biri olarak belirlendiği alanlardan biri de Güneydoğu Anadolu Bölgesi’ndeki </w:t>
      </w:r>
      <w:proofErr w:type="spellStart"/>
      <w:r w:rsidRPr="00536C78">
        <w:rPr>
          <w:color w:val="000000"/>
        </w:rPr>
        <w:t>etno</w:t>
      </w:r>
      <w:proofErr w:type="spellEnd"/>
      <w:r w:rsidRPr="00536C78">
        <w:rPr>
          <w:color w:val="000000"/>
        </w:rPr>
        <w:t>-kültürel varlıklar olmaktadır. Bu bağlamda turizm sektörünün giderek yükselen bir faaliyet alanı olarak öne çıkan kültür temelli turistik davranışın Türkiye’de yoğunlaştığı yörelerden birinin Mardin olduğu gözlenmektedir. Mardin gibi, Anadolu ve Mezopotamya medeniyetlerinin tarihsel birikimlerini özellikle dinsel mimarî unsurları ile barındırmakta olan kentlerdeki bu tarihsel nitelik, turizmi teşvike yönelik bir imaj olarak simgeleşmekte ve kent kimliğinin yeniden inşasında kurucu bir temel olarak kullanılmaktadır.</w:t>
      </w:r>
    </w:p>
    <w:p w14:paraId="03BE6EEA" w14:textId="05E5EE26" w:rsidR="001E7189" w:rsidRDefault="001E7189" w:rsidP="007513A1">
      <w:pPr>
        <w:jc w:val="both"/>
        <w:rPr>
          <w:color w:val="000000"/>
        </w:rPr>
      </w:pPr>
      <w:r w:rsidRPr="00536C78">
        <w:rPr>
          <w:color w:val="000000"/>
        </w:rPr>
        <w:t xml:space="preserve">Bu çalışma, Türkiye’de, ülke ekonomisinin küresel piyasaya eklemlenmeye dayalı </w:t>
      </w:r>
      <w:proofErr w:type="spellStart"/>
      <w:r w:rsidRPr="00536C78">
        <w:rPr>
          <w:color w:val="000000"/>
        </w:rPr>
        <w:t>neo</w:t>
      </w:r>
      <w:proofErr w:type="spellEnd"/>
      <w:r w:rsidRPr="00536C78">
        <w:rPr>
          <w:color w:val="000000"/>
        </w:rPr>
        <w:t>-liberal ekonomi politik rejiminin belirleyici bir unsuru olarak turizm sektörü kapsamında yerel coğrafyanın uluslararası turizme açılmasında Mardin örneğinde kentsel mekânın tarihsel dönüşümü ve yerel toplumun ekonomik, toplumsal ve kültürel yapılarının evrimi ışığında incelenmek amacıyla hazırlanmıştır.</w:t>
      </w:r>
    </w:p>
    <w:p w14:paraId="3BB1B7A3" w14:textId="77777777" w:rsidR="001E7189" w:rsidRPr="00536C78" w:rsidRDefault="001E7189" w:rsidP="007513A1">
      <w:pPr>
        <w:jc w:val="both"/>
        <w:rPr>
          <w:color w:val="000000"/>
        </w:rPr>
      </w:pPr>
    </w:p>
    <w:p w14:paraId="2BDEBDA2" w14:textId="6798691A" w:rsidR="00C70E93" w:rsidRDefault="001E7189" w:rsidP="007513A1">
      <w:pPr>
        <w:jc w:val="both"/>
        <w:rPr>
          <w:color w:val="000000"/>
        </w:rPr>
      </w:pPr>
      <w:r w:rsidRPr="00536C78">
        <w:rPr>
          <w:b/>
          <w:bCs/>
          <w:color w:val="000000"/>
        </w:rPr>
        <w:t>Anahtar Kelimeler:</w:t>
      </w:r>
      <w:r w:rsidRPr="00536C78">
        <w:rPr>
          <w:color w:val="000000"/>
        </w:rPr>
        <w:t xml:space="preserve"> Küreselleşme, Kültür turizmi, Mardin.</w:t>
      </w:r>
    </w:p>
    <w:p w14:paraId="5D050660" w14:textId="77777777" w:rsidR="00C70E93" w:rsidRDefault="00C70E93">
      <w:pPr>
        <w:autoSpaceDE/>
        <w:autoSpaceDN/>
        <w:rPr>
          <w:color w:val="000000"/>
        </w:rPr>
      </w:pPr>
      <w:r>
        <w:rPr>
          <w:color w:val="000000"/>
        </w:rPr>
        <w:br w:type="page"/>
      </w:r>
    </w:p>
    <w:p w14:paraId="101579EA" w14:textId="0DB28115" w:rsidR="001E7189" w:rsidRDefault="001E7189" w:rsidP="004C7694">
      <w:pPr>
        <w:pStyle w:val="Tark"/>
      </w:pPr>
      <w:r w:rsidRPr="00536C78">
        <w:lastRenderedPageBreak/>
        <w:br/>
      </w:r>
      <w:bookmarkStart w:id="135" w:name="_Toc192855212"/>
      <w:r w:rsidRPr="00536C78">
        <w:t xml:space="preserve">Bangladeş’te Şeyh </w:t>
      </w:r>
      <w:proofErr w:type="spellStart"/>
      <w:r w:rsidRPr="00536C78">
        <w:t>Hasina</w:t>
      </w:r>
      <w:proofErr w:type="spellEnd"/>
      <w:r w:rsidRPr="00536C78">
        <w:t xml:space="preserve"> Hükümetinin Devrilmesinin Nedenlerinin Analizi</w:t>
      </w:r>
      <w:bookmarkEnd w:id="135"/>
    </w:p>
    <w:p w14:paraId="22F2BB5C" w14:textId="77777777" w:rsidR="001E7189" w:rsidRPr="002906A3" w:rsidRDefault="001E7189" w:rsidP="007513A1">
      <w:pPr>
        <w:jc w:val="center"/>
        <w:rPr>
          <w:color w:val="000000"/>
        </w:rPr>
      </w:pPr>
    </w:p>
    <w:p w14:paraId="550A787C" w14:textId="77777777" w:rsidR="001E7189" w:rsidRPr="00536C78" w:rsidRDefault="001E7189" w:rsidP="007513A1">
      <w:pPr>
        <w:jc w:val="center"/>
        <w:rPr>
          <w:color w:val="000000"/>
        </w:rPr>
      </w:pPr>
      <w:proofErr w:type="spellStart"/>
      <w:r w:rsidRPr="00536C78">
        <w:rPr>
          <w:color w:val="000000"/>
        </w:rPr>
        <w:t>Rahmat</w:t>
      </w:r>
      <w:proofErr w:type="spellEnd"/>
      <w:r w:rsidRPr="00536C78">
        <w:rPr>
          <w:color w:val="000000"/>
        </w:rPr>
        <w:t xml:space="preserve"> </w:t>
      </w:r>
      <w:proofErr w:type="spellStart"/>
      <w:r w:rsidRPr="00536C78">
        <w:rPr>
          <w:color w:val="000000"/>
        </w:rPr>
        <w:t>Ullah</w:t>
      </w:r>
      <w:proofErr w:type="spellEnd"/>
      <w:r w:rsidRPr="00536C78">
        <w:rPr>
          <w:color w:val="000000"/>
        </w:rPr>
        <w:br/>
        <w:t>Dr. Öğr. Üyesi, İstanbul Gelişim Üniversitesi, Siyaset Bilimi ve Uluslararası İlişkiler Bölümü</w:t>
      </w:r>
      <w:r w:rsidRPr="00536C78">
        <w:rPr>
          <w:color w:val="000000"/>
        </w:rPr>
        <w:br/>
        <w:t>rullah@gelisim.edu.tr</w:t>
      </w:r>
    </w:p>
    <w:p w14:paraId="0DBD1281" w14:textId="77777777" w:rsidR="001E7189" w:rsidRPr="002906A3" w:rsidRDefault="001E7189" w:rsidP="007513A1">
      <w:pPr>
        <w:jc w:val="center"/>
        <w:rPr>
          <w:color w:val="000000"/>
        </w:rPr>
      </w:pPr>
      <w:r w:rsidRPr="00536C78">
        <w:rPr>
          <w:color w:val="000000"/>
        </w:rPr>
        <w:t>https://orcid.org/0000-0002-1548-5966</w:t>
      </w:r>
      <w:r w:rsidRPr="00536C78">
        <w:rPr>
          <w:color w:val="000000"/>
        </w:rPr>
        <w:br/>
      </w:r>
    </w:p>
    <w:p w14:paraId="297B9018" w14:textId="77777777" w:rsidR="001E7189" w:rsidRPr="00536C78" w:rsidRDefault="001E7189" w:rsidP="007513A1">
      <w:pPr>
        <w:jc w:val="center"/>
        <w:rPr>
          <w:color w:val="000000"/>
        </w:rPr>
      </w:pPr>
      <w:r w:rsidRPr="00536C78">
        <w:rPr>
          <w:b/>
          <w:bCs/>
          <w:color w:val="000000"/>
        </w:rPr>
        <w:t>Özet</w:t>
      </w:r>
    </w:p>
    <w:p w14:paraId="0453A929" w14:textId="60EDCB65" w:rsidR="001E7189" w:rsidRPr="00536C78" w:rsidRDefault="001E7189" w:rsidP="007513A1">
      <w:pPr>
        <w:jc w:val="both"/>
        <w:rPr>
          <w:color w:val="000000"/>
        </w:rPr>
      </w:pPr>
      <w:r w:rsidRPr="00536C78">
        <w:rPr>
          <w:color w:val="000000"/>
        </w:rPr>
        <w:t xml:space="preserve">Üniversite öğrencilerinin öncülüğünde ve daha sonra halkın katılımıyla 5 Haziran-5 Ağustos 2024 tarihleri ​​arasında Bangladeş’te gerçekleşen kitlesel hareket, Şeyh </w:t>
      </w:r>
      <w:proofErr w:type="spellStart"/>
      <w:r w:rsidRPr="00536C78">
        <w:rPr>
          <w:color w:val="000000"/>
        </w:rPr>
        <w:t>Hasina’nın</w:t>
      </w:r>
      <w:proofErr w:type="spellEnd"/>
      <w:r w:rsidRPr="00536C78">
        <w:rPr>
          <w:color w:val="000000"/>
        </w:rPr>
        <w:t xml:space="preserve"> </w:t>
      </w:r>
      <w:proofErr w:type="spellStart"/>
      <w:r w:rsidRPr="00536C78">
        <w:rPr>
          <w:color w:val="000000"/>
        </w:rPr>
        <w:t>Avami</w:t>
      </w:r>
      <w:proofErr w:type="spellEnd"/>
      <w:r w:rsidRPr="00536C78">
        <w:rPr>
          <w:color w:val="000000"/>
        </w:rPr>
        <w:t xml:space="preserve"> Ligi hükümetinin 16 yıllık otoriter iktidarının düşmesine yol açmıştır. Devlet memurlarının atanmasında ayrımcı kota sisteminin reformu talebiyle başlayan ve ardından hükümetin sert tepkisiyle tırmanan tarihi devrim, Başbakan Şeyh </w:t>
      </w:r>
      <w:proofErr w:type="spellStart"/>
      <w:r w:rsidRPr="00536C78">
        <w:rPr>
          <w:color w:val="000000"/>
        </w:rPr>
        <w:t>Hasina’nın</w:t>
      </w:r>
      <w:proofErr w:type="spellEnd"/>
      <w:r w:rsidRPr="00536C78">
        <w:rPr>
          <w:color w:val="000000"/>
        </w:rPr>
        <w:t xml:space="preserve"> 5 Ağustos 2024’te istifa edip Hindistan’a kaçmasıyla gerçekleşmiştir. Bu araştırmanın amacı, demokratik seçimlerle iktidara gelen ve zamanla otoriter bir rejime dönüşen Şeyh </w:t>
      </w:r>
      <w:proofErr w:type="spellStart"/>
      <w:r w:rsidRPr="00536C78">
        <w:rPr>
          <w:color w:val="000000"/>
        </w:rPr>
        <w:t>Hasina’nın</w:t>
      </w:r>
      <w:proofErr w:type="spellEnd"/>
      <w:r w:rsidRPr="00536C78">
        <w:rPr>
          <w:color w:val="000000"/>
        </w:rPr>
        <w:t xml:space="preserve"> izlediği politikaları ortaya koymak ve değerlendirmektir. Bu çalışmada nitel veri toplama stratejisi benimsenmiş olup kitap, dergi makaleleri, gazete yazıları, araştırma yayınları ve raporları gibi ikincil veri kaynaklarına odaklanılmıştır. Araştırmada, Şeyh </w:t>
      </w:r>
      <w:proofErr w:type="spellStart"/>
      <w:r w:rsidRPr="00536C78">
        <w:rPr>
          <w:color w:val="000000"/>
        </w:rPr>
        <w:t>Hasina’nın</w:t>
      </w:r>
      <w:proofErr w:type="spellEnd"/>
      <w:r w:rsidRPr="00536C78">
        <w:rPr>
          <w:color w:val="000000"/>
        </w:rPr>
        <w:t xml:space="preserve"> iktidarda olduğu dönemde muhalefet partisi üyelerine yönelik işkence, kaçırma ve öldürme olaylarının yaşandığı, bunun için de güvenlik güçlerini ve parti üyelerini kullandığı belirtildi. Ayrıca, muhalefet liderlerine yönelik keyfi tutuklamama, yargılama, yargısız infaz ve idam gibi politikaların uygulandığı da tespit edilmiştir. 16 yıllık süreçte muhalefet partilerinin siyasal haklarının kullanmalarını sınırlandırıcı ve zorlaştırıcı politikalar izlendiği görülmektedir. </w:t>
      </w:r>
      <w:proofErr w:type="spellStart"/>
      <w:r w:rsidRPr="00536C78">
        <w:rPr>
          <w:color w:val="000000"/>
        </w:rPr>
        <w:t>Hasina</w:t>
      </w:r>
      <w:proofErr w:type="spellEnd"/>
      <w:r w:rsidRPr="00536C78">
        <w:rPr>
          <w:color w:val="000000"/>
        </w:rPr>
        <w:t xml:space="preserve"> hükümetinin yargıyı etkileme ve kontrol etme çabasında olduğu; medyayı kontrol ederek kamuoyunu kendi lehine çevirme politikası izlendiği tespit edilmiştir. Ayrıca, 16 yıldır serbest seçimlerin engellenmesi, tek partili seçim yapılması ve seçimden önceki aksam sandıkların doldurarak katılımın yüksek gösterilmesi gibi çeşitli politikaların uygulandığı da ortaya çıkmıştır. Sonuç olarak bu araştırmanın Şeyh </w:t>
      </w:r>
      <w:proofErr w:type="spellStart"/>
      <w:r w:rsidRPr="00536C78">
        <w:rPr>
          <w:color w:val="000000"/>
        </w:rPr>
        <w:t>Hasina</w:t>
      </w:r>
      <w:proofErr w:type="spellEnd"/>
      <w:r w:rsidRPr="00536C78">
        <w:rPr>
          <w:color w:val="000000"/>
        </w:rPr>
        <w:t xml:space="preserve"> hükümetinin özelliklerinin anlaşılmasında önemli bir çalışma olacaktır.</w:t>
      </w:r>
    </w:p>
    <w:p w14:paraId="188D4577" w14:textId="38F17C4C" w:rsidR="00C70E93" w:rsidRDefault="001E7189" w:rsidP="007513A1">
      <w:pPr>
        <w:rPr>
          <w:color w:val="000000"/>
        </w:rPr>
      </w:pPr>
      <w:r w:rsidRPr="00536C78">
        <w:rPr>
          <w:color w:val="000000"/>
        </w:rPr>
        <w:br/>
      </w:r>
      <w:r w:rsidRPr="00536C78">
        <w:rPr>
          <w:b/>
          <w:bCs/>
          <w:color w:val="000000"/>
        </w:rPr>
        <w:t xml:space="preserve">Anahtar </w:t>
      </w:r>
      <w:r>
        <w:rPr>
          <w:b/>
          <w:bCs/>
          <w:color w:val="000000"/>
        </w:rPr>
        <w:t>Kelimeler</w:t>
      </w:r>
      <w:r w:rsidRPr="00536C78">
        <w:rPr>
          <w:b/>
          <w:bCs/>
          <w:color w:val="000000"/>
        </w:rPr>
        <w:t>:</w:t>
      </w:r>
      <w:r w:rsidRPr="00536C78">
        <w:rPr>
          <w:color w:val="000000"/>
        </w:rPr>
        <w:t xml:space="preserve"> Bangladeş, Şeyh </w:t>
      </w:r>
      <w:proofErr w:type="spellStart"/>
      <w:r w:rsidRPr="00536C78">
        <w:rPr>
          <w:color w:val="000000"/>
        </w:rPr>
        <w:t>Hasina</w:t>
      </w:r>
      <w:proofErr w:type="spellEnd"/>
      <w:r w:rsidRPr="00536C78">
        <w:rPr>
          <w:color w:val="000000"/>
        </w:rPr>
        <w:t xml:space="preserve">, </w:t>
      </w:r>
      <w:proofErr w:type="spellStart"/>
      <w:r w:rsidRPr="00536C78">
        <w:rPr>
          <w:color w:val="000000"/>
        </w:rPr>
        <w:t>Avami</w:t>
      </w:r>
      <w:proofErr w:type="spellEnd"/>
      <w:r w:rsidRPr="00536C78">
        <w:rPr>
          <w:color w:val="000000"/>
        </w:rPr>
        <w:t xml:space="preserve"> Ligi, Otoriterlik, Siyaset</w:t>
      </w:r>
    </w:p>
    <w:p w14:paraId="0B91AB9C" w14:textId="0F120797" w:rsidR="005500AB" w:rsidRPr="00C70E93" w:rsidRDefault="00C70E93" w:rsidP="00C70E93">
      <w:pPr>
        <w:autoSpaceDE/>
        <w:autoSpaceDN/>
        <w:rPr>
          <w:color w:val="000000"/>
        </w:rPr>
      </w:pPr>
      <w:r>
        <w:rPr>
          <w:color w:val="000000"/>
        </w:rPr>
        <w:br w:type="page"/>
      </w:r>
    </w:p>
    <w:p w14:paraId="6E712FC6" w14:textId="77777777" w:rsidR="005500AB" w:rsidRPr="00097B24" w:rsidRDefault="005500AB" w:rsidP="007513A1">
      <w:pPr>
        <w:jc w:val="center"/>
        <w:rPr>
          <w:b/>
          <w:bCs/>
        </w:rPr>
      </w:pPr>
      <w:r w:rsidRPr="00634100">
        <w:rPr>
          <w:b/>
          <w:bCs/>
        </w:rPr>
        <w:lastRenderedPageBreak/>
        <w:t>E-Parlamentodan Dijital Parlamentoya: I</w:t>
      </w:r>
      <w:r>
        <w:rPr>
          <w:b/>
          <w:bCs/>
        </w:rPr>
        <w:t>PU</w:t>
      </w:r>
      <w:r w:rsidRPr="00634100">
        <w:rPr>
          <w:b/>
          <w:bCs/>
        </w:rPr>
        <w:t xml:space="preserve"> Raporları Üzerinden Bir İnceleme</w:t>
      </w:r>
    </w:p>
    <w:p w14:paraId="0742B04D" w14:textId="77777777" w:rsidR="005500AB" w:rsidRDefault="005500AB" w:rsidP="007513A1">
      <w:pPr>
        <w:jc w:val="center"/>
      </w:pPr>
    </w:p>
    <w:p w14:paraId="4A43B217" w14:textId="385F3471" w:rsidR="005500AB" w:rsidRDefault="005500AB" w:rsidP="007513A1">
      <w:pPr>
        <w:jc w:val="center"/>
      </w:pPr>
      <w:r>
        <w:t>Umut Üzmez</w:t>
      </w:r>
      <w:r>
        <w:br/>
        <w:t>Dr. Öğr. Üyesi, Zonguldak Bülent Ecevit Üniversitesi, Çaycuma MYO</w:t>
      </w:r>
      <w:r>
        <w:br/>
        <w:t>umut.uzmez@beun.edu.tr</w:t>
      </w:r>
      <w:r>
        <w:br/>
      </w:r>
      <w:r w:rsidRPr="00687B29">
        <w:t>0000-0001-6590-1940</w:t>
      </w:r>
    </w:p>
    <w:p w14:paraId="2213E902" w14:textId="77777777" w:rsidR="005500AB" w:rsidRDefault="005500AB" w:rsidP="007513A1">
      <w:pPr>
        <w:jc w:val="both"/>
      </w:pPr>
    </w:p>
    <w:p w14:paraId="70DEC498" w14:textId="77777777" w:rsidR="005500AB" w:rsidRPr="00097B24" w:rsidRDefault="005500AB" w:rsidP="007513A1">
      <w:pPr>
        <w:jc w:val="center"/>
        <w:rPr>
          <w:b/>
          <w:bCs/>
        </w:rPr>
      </w:pPr>
      <w:r w:rsidRPr="00097B24">
        <w:rPr>
          <w:b/>
          <w:bCs/>
        </w:rPr>
        <w:t>Özet</w:t>
      </w:r>
    </w:p>
    <w:p w14:paraId="7B5D3A71" w14:textId="76A87A0D" w:rsidR="005500AB" w:rsidRPr="00D15931" w:rsidRDefault="005500AB" w:rsidP="007513A1">
      <w:pPr>
        <w:jc w:val="both"/>
      </w:pPr>
      <w:r>
        <w:t>E</w:t>
      </w:r>
      <w:r w:rsidRPr="00D2407B">
        <w:t>-Devlet, kamu yönetiminde bilgi ve iletişim teknolojilerinin (BİT) daha etkin ve verimli hizmet sunumu başta olmak üzere kullanılmasını ifade etmektedir.</w:t>
      </w:r>
      <w:r>
        <w:t xml:space="preserve"> Zamanla </w:t>
      </w:r>
      <w:proofErr w:type="spellStart"/>
      <w:r>
        <w:t>BİT’in</w:t>
      </w:r>
      <w:proofErr w:type="spellEnd"/>
      <w:r>
        <w:t xml:space="preserve"> kamu yönetimindeki rolü ve ağırlığı artmış, e-Devletin kapsamı genişlemiştir. Kamu kurumlarının sunduğu hizmetlerin ve süreçlerin dijitalleşmesine ve dönüşümüne atfen “dijital devlet” kavramı geliştirilmiştir. Benzer bir süreç e-Devletin bir boyutu olan e-Parlamento için de yaşanmakta olup; e-Parlamentonun ötesinde dijital parlamentoya doğru bir gelişim süreci yaşanmaktadır. Bu süreç, p</w:t>
      </w:r>
      <w:r w:rsidRPr="00594E6C">
        <w:t xml:space="preserve">arlamentoların </w:t>
      </w:r>
      <w:r>
        <w:t xml:space="preserve">daha </w:t>
      </w:r>
      <w:r w:rsidRPr="00594E6C">
        <w:t>etkin, verimli, şeffaf, erişilebilir</w:t>
      </w:r>
      <w:r>
        <w:t xml:space="preserve"> </w:t>
      </w:r>
      <w:r w:rsidRPr="00D15931">
        <w:t xml:space="preserve">ve katılımcı olmasına yönelik bir dijital dönüşüm sürecini ifade etmekte; bu açıdan idari, mali ve demokratik hedefleri </w:t>
      </w:r>
      <w:r>
        <w:t>barındır</w:t>
      </w:r>
      <w:r w:rsidRPr="00D15931">
        <w:t>maktadır. Bu çalışmada e-parlamento ve dijital parlamento ile ilgili gelişmeler</w:t>
      </w:r>
      <w:r>
        <w:t xml:space="preserve"> </w:t>
      </w:r>
      <w:r w:rsidRPr="00D15931">
        <w:t xml:space="preserve">Parlamentolar Arası </w:t>
      </w:r>
      <w:proofErr w:type="spellStart"/>
      <w:r w:rsidRPr="00D15931">
        <w:t>Birlik’in</w:t>
      </w:r>
      <w:proofErr w:type="spellEnd"/>
      <w:r w:rsidRPr="00D15931">
        <w:t xml:space="preserve"> (Inter-</w:t>
      </w:r>
      <w:proofErr w:type="spellStart"/>
      <w:r w:rsidRPr="00D15931">
        <w:t>Parliamentary</w:t>
      </w:r>
      <w:proofErr w:type="spellEnd"/>
      <w:r w:rsidRPr="00D15931">
        <w:t xml:space="preserve"> </w:t>
      </w:r>
      <w:proofErr w:type="spellStart"/>
      <w:r w:rsidRPr="00D15931">
        <w:t>Union</w:t>
      </w:r>
      <w:proofErr w:type="spellEnd"/>
      <w:r w:rsidRPr="00D15931">
        <w:t xml:space="preserve"> IPU) Dünya e-Parlamento raporları üzerinden </w:t>
      </w:r>
      <w:proofErr w:type="gramStart"/>
      <w:r>
        <w:t>doküman</w:t>
      </w:r>
      <w:proofErr w:type="gramEnd"/>
      <w:r>
        <w:t xml:space="preserve"> analizi yöntemiyle </w:t>
      </w:r>
      <w:r w:rsidRPr="00D15931">
        <w:t xml:space="preserve">incelenmektedir. </w:t>
      </w:r>
      <w:r>
        <w:t xml:space="preserve">Covid-19 pandemisi </w:t>
      </w:r>
      <w:proofErr w:type="gramStart"/>
      <w:r>
        <w:t>ile birlikte</w:t>
      </w:r>
      <w:proofErr w:type="gramEnd"/>
      <w:r>
        <w:t xml:space="preserve"> dijital araçlar ve yeni teknolojiler, başka alanlarda olduğu gibi, parlamentolar açısından da daha önemli, güvenilir, stratejik bir hâle gelmiş ve daha yoğun biçimde kullanılmaya başlanmıştır. Böylece pandemi, </w:t>
      </w:r>
      <w:r w:rsidRPr="00D15931">
        <w:t>dijital parlamentoya doğru dönüşüm</w:t>
      </w:r>
      <w:r>
        <w:t>e ivme kazandırmış; yasal ve kurumsal değişiklikleri de beraberinde getirmiştir. Bu bağlamda, pandemi ve</w:t>
      </w:r>
      <w:r w:rsidRPr="00D15931">
        <w:t xml:space="preserve"> sonrası dönem</w:t>
      </w:r>
      <w:r>
        <w:t xml:space="preserve">i kapsayan </w:t>
      </w:r>
      <w:r w:rsidRPr="00D15931">
        <w:t>2022 ve 2024</w:t>
      </w:r>
      <w:r>
        <w:t xml:space="preserve"> IPU</w:t>
      </w:r>
      <w:r w:rsidRPr="00D15931">
        <w:t xml:space="preserve"> raporları</w:t>
      </w:r>
      <w:r>
        <w:t xml:space="preserve"> üzerinden</w:t>
      </w:r>
      <w:r w:rsidRPr="00D15931">
        <w:t xml:space="preserve"> </w:t>
      </w:r>
      <w:r>
        <w:t>dijital dönüşüm süreci</w:t>
      </w:r>
      <w:r w:rsidRPr="00D15931">
        <w:t xml:space="preserve"> </w:t>
      </w:r>
      <w:r>
        <w:t>ele alınmıştır</w:t>
      </w:r>
      <w:r w:rsidRPr="00D15931">
        <w:t>.</w:t>
      </w:r>
      <w:r w:rsidR="007513A1">
        <w:t xml:space="preserve"> </w:t>
      </w:r>
      <w:r>
        <w:t xml:space="preserve">Çalışmanın amacı, </w:t>
      </w:r>
      <w:r w:rsidRPr="004771C2">
        <w:t>Covid-19 pandemisi sonrası dijital dönüşümün parlamentolar üzerindeki etkilerini</w:t>
      </w:r>
      <w:r>
        <w:t xml:space="preserve"> </w:t>
      </w:r>
      <w:r w:rsidRPr="004771C2">
        <w:t xml:space="preserve">IPU Dünya e-Parlamento raporları üzerinden </w:t>
      </w:r>
      <w:r>
        <w:t>incelemektir</w:t>
      </w:r>
      <w:r w:rsidRPr="004771C2">
        <w:t>.</w:t>
      </w:r>
      <w:r>
        <w:t xml:space="preserve"> Çalışmada parlamentoların dijital dönüşümü, kullanılan teknoloji ve uygulamalar, karşılaşılan zorluklar, eksik yönler ve ülkeler arasındaki gelişmişlik farklarının sürece etkisi ele alınmaktadır. </w:t>
      </w:r>
      <w:r w:rsidRPr="004771C2">
        <w:t>Türkiye’nin dijital parlamento yolculuğunda rehberlik edecek önemli veriler ve örnekler sunm</w:t>
      </w:r>
      <w:r>
        <w:t xml:space="preserve">ası bakımından da çalışma önemli görülmektedir. Dijital dönüşüm, mevzuat değişiklikleri, dijital strateji geliştirme, uzaktan ve hibrit toplantılar, esnek çalışma, dijital arşiv, hizmetlerin otomasyonu, tutanak, konuşma ve oylama vb. süreçlerde dijital sistemlerin kullanımı, dijital içerik yönetimi gibi alanlarda etkilerini göstermiştir/göstermektedir. Çalışmanın sonucu olarak, parlamentoların dijital dönüşümünün süreceği; yapay </w:t>
      </w:r>
      <w:proofErr w:type="gramStart"/>
      <w:r>
        <w:t>zeka</w:t>
      </w:r>
      <w:proofErr w:type="gramEnd"/>
      <w:r>
        <w:t xml:space="preserve">, bulut teknolojisi, sosyal medya, siber güvenlik, açık veri gibi gelişen teknolojilerin bu dönüşümde giderek daha etkili olacağı değerlendirilmektedir. Hâlihazırda zayıf kalan dijital halk katılımı ve etkileşiminin bu dönüşümün önemli bir bileşeni olarak geliştirilmesi gerektiği düşünülmektedir. </w:t>
      </w:r>
    </w:p>
    <w:p w14:paraId="429803A7" w14:textId="77777777" w:rsidR="005500AB" w:rsidRDefault="005500AB" w:rsidP="007513A1">
      <w:pPr>
        <w:jc w:val="both"/>
      </w:pPr>
    </w:p>
    <w:p w14:paraId="5CD0E838" w14:textId="331E3595" w:rsidR="00C70E93" w:rsidRDefault="005500AB" w:rsidP="007513A1">
      <w:pPr>
        <w:jc w:val="both"/>
      </w:pPr>
      <w:r w:rsidRPr="00DE7662">
        <w:rPr>
          <w:b/>
          <w:bCs/>
        </w:rPr>
        <w:t>Anahtar Sözcükler:</w:t>
      </w:r>
      <w:r>
        <w:t xml:space="preserve"> e-Devlet, e-Parlamento, Dijital Devlet, Dijital Parlamento, IPU</w:t>
      </w:r>
    </w:p>
    <w:p w14:paraId="4479F5E6" w14:textId="27BFB174" w:rsidR="00114C6B" w:rsidRPr="00C70E93" w:rsidRDefault="00C70E93" w:rsidP="00C70E93">
      <w:pPr>
        <w:autoSpaceDE/>
        <w:autoSpaceDN/>
      </w:pPr>
      <w:r>
        <w:br w:type="page"/>
      </w:r>
    </w:p>
    <w:p w14:paraId="0E925DFB" w14:textId="2F8C9131" w:rsidR="001E7189" w:rsidRDefault="001E7189" w:rsidP="004C7694">
      <w:pPr>
        <w:pStyle w:val="Tark"/>
      </w:pPr>
      <w:bookmarkStart w:id="136" w:name="_Toc192855213"/>
      <w:r>
        <w:lastRenderedPageBreak/>
        <w:t>Veba</w:t>
      </w:r>
      <w:r w:rsidRPr="00536C78">
        <w:t xml:space="preserve"> </w:t>
      </w:r>
      <w:r>
        <w:t>Günlerinde</w:t>
      </w:r>
      <w:r w:rsidRPr="00536C78">
        <w:t xml:space="preserve"> </w:t>
      </w:r>
      <w:r>
        <w:t>İnsanlık</w:t>
      </w:r>
      <w:r w:rsidRPr="00536C78">
        <w:t xml:space="preserve">: </w:t>
      </w:r>
      <w:r>
        <w:t>Daniel</w:t>
      </w:r>
      <w:r w:rsidRPr="00536C78">
        <w:t xml:space="preserve"> </w:t>
      </w:r>
      <w:proofErr w:type="spellStart"/>
      <w:r>
        <w:t>Defoe’nun</w:t>
      </w:r>
      <w:proofErr w:type="spellEnd"/>
      <w:r w:rsidRPr="00536C78">
        <w:t xml:space="preserve"> </w:t>
      </w:r>
      <w:r>
        <w:t>Aynasından</w:t>
      </w:r>
      <w:r w:rsidRPr="00536C78">
        <w:t xml:space="preserve"> </w:t>
      </w:r>
      <w:r>
        <w:t>Salgın</w:t>
      </w:r>
      <w:r w:rsidRPr="00536C78">
        <w:t xml:space="preserve"> </w:t>
      </w:r>
      <w:r>
        <w:t>Döneminin</w:t>
      </w:r>
      <w:r w:rsidRPr="00536C78">
        <w:t xml:space="preserve"> </w:t>
      </w:r>
      <w:r>
        <w:t>Toplumsal</w:t>
      </w:r>
      <w:r w:rsidRPr="00536C78">
        <w:t xml:space="preserve"> </w:t>
      </w:r>
      <w:r>
        <w:t>ve</w:t>
      </w:r>
      <w:r w:rsidRPr="00536C78">
        <w:t xml:space="preserve"> </w:t>
      </w:r>
      <w:r>
        <w:t>Psikolojik</w:t>
      </w:r>
      <w:r w:rsidRPr="00536C78">
        <w:t xml:space="preserve"> </w:t>
      </w:r>
      <w:r>
        <w:t>İzleri</w:t>
      </w:r>
      <w:bookmarkEnd w:id="136"/>
    </w:p>
    <w:p w14:paraId="1C926E63" w14:textId="77777777" w:rsidR="007513A1" w:rsidRPr="007513A1" w:rsidRDefault="007513A1" w:rsidP="007513A1">
      <w:pPr>
        <w:pStyle w:val="Metin"/>
        <w:rPr>
          <w:bCs w:val="0"/>
        </w:rPr>
      </w:pPr>
    </w:p>
    <w:p w14:paraId="202C2DBE" w14:textId="77777777" w:rsidR="001E7189" w:rsidRPr="007513A1" w:rsidRDefault="001E7189" w:rsidP="007513A1">
      <w:pPr>
        <w:jc w:val="center"/>
        <w:rPr>
          <w:color w:val="000000"/>
        </w:rPr>
      </w:pPr>
      <w:r w:rsidRPr="007513A1">
        <w:rPr>
          <w:color w:val="000000"/>
        </w:rPr>
        <w:t>Gülten AKGÜL</w:t>
      </w:r>
    </w:p>
    <w:p w14:paraId="59E39768" w14:textId="77777777" w:rsidR="001E7189" w:rsidRDefault="001E7189" w:rsidP="007513A1">
      <w:pPr>
        <w:jc w:val="center"/>
        <w:rPr>
          <w:color w:val="000000"/>
        </w:rPr>
      </w:pPr>
      <w:r w:rsidRPr="00536C78">
        <w:rPr>
          <w:color w:val="000000"/>
        </w:rPr>
        <w:t>Kütahya/Simav Özel Eğitim Uygulama Okulu</w:t>
      </w:r>
    </w:p>
    <w:p w14:paraId="0B345244" w14:textId="77777777" w:rsidR="001E7189" w:rsidRPr="00536C78" w:rsidRDefault="001E7189" w:rsidP="007513A1">
      <w:pPr>
        <w:jc w:val="center"/>
        <w:rPr>
          <w:color w:val="000000"/>
        </w:rPr>
      </w:pPr>
      <w:hyperlink r:id="rId175" w:history="1">
        <w:r w:rsidRPr="00536C78">
          <w:rPr>
            <w:color w:val="000000"/>
            <w:u w:val="single"/>
          </w:rPr>
          <w:t>gulakgul5@gmail.com</w:t>
        </w:r>
      </w:hyperlink>
    </w:p>
    <w:p w14:paraId="7144BA3D" w14:textId="77777777" w:rsidR="001E7189" w:rsidRPr="00536C78" w:rsidRDefault="001E7189" w:rsidP="007513A1">
      <w:pPr>
        <w:rPr>
          <w:color w:val="000000"/>
        </w:rPr>
      </w:pPr>
    </w:p>
    <w:p w14:paraId="74A9B78F" w14:textId="77777777" w:rsidR="001E7189" w:rsidRPr="00536C78" w:rsidRDefault="001E7189" w:rsidP="007513A1">
      <w:pPr>
        <w:jc w:val="center"/>
        <w:rPr>
          <w:color w:val="000000"/>
        </w:rPr>
      </w:pPr>
      <w:r w:rsidRPr="00536C78">
        <w:rPr>
          <w:b/>
          <w:bCs/>
          <w:color w:val="000000"/>
        </w:rPr>
        <w:t>Özet</w:t>
      </w:r>
    </w:p>
    <w:p w14:paraId="2DF3DD77" w14:textId="77777777" w:rsidR="001E7189" w:rsidRPr="00734B49" w:rsidRDefault="001E7189" w:rsidP="007513A1">
      <w:pPr>
        <w:jc w:val="both"/>
        <w:rPr>
          <w:color w:val="000000"/>
          <w:sz w:val="23"/>
          <w:szCs w:val="23"/>
        </w:rPr>
      </w:pPr>
      <w:r w:rsidRPr="00734B49">
        <w:rPr>
          <w:color w:val="000000"/>
          <w:sz w:val="23"/>
          <w:szCs w:val="23"/>
        </w:rPr>
        <w:t xml:space="preserve">Hastalıklar, tarih boyunca sadece bireyleri değil, toplumsal yapıları ve insan psikolojisini de derinden etkilemiştir.  Salgın hastalıklar ve halk sağlığı krizleri, modern dönemde de (örneğin COVID-19) büyük bir toplumsal ve bireysel etki yaratmıştır. Salgın dönemlerindeki kolektif travmanın anlaşılması, gelecekteki kriz yönetimi ve toplumsal dayanıklılık stratejileri için önemlidir. 18. ve 19. yüzyılda İngiltere’de meydana gelen </w:t>
      </w:r>
      <w:proofErr w:type="gramStart"/>
      <w:r w:rsidRPr="00734B49">
        <w:rPr>
          <w:color w:val="000000"/>
          <w:sz w:val="23"/>
          <w:szCs w:val="23"/>
        </w:rPr>
        <w:t>salgınlar,</w:t>
      </w:r>
      <w:proofErr w:type="gramEnd"/>
      <w:r w:rsidRPr="00734B49">
        <w:rPr>
          <w:color w:val="000000"/>
          <w:sz w:val="23"/>
          <w:szCs w:val="23"/>
        </w:rPr>
        <w:t xml:space="preserve"> hem bireysel hem de toplumsal düzeyde travmalara ve dönüşümlere yol açmıştır. İngiliz gazeteci ve yazar Daniel </w:t>
      </w:r>
      <w:proofErr w:type="spellStart"/>
      <w:r w:rsidRPr="00734B49">
        <w:rPr>
          <w:color w:val="000000"/>
          <w:sz w:val="23"/>
          <w:szCs w:val="23"/>
        </w:rPr>
        <w:t>Defoe’nun</w:t>
      </w:r>
      <w:proofErr w:type="spellEnd"/>
      <w:r w:rsidRPr="00734B49">
        <w:rPr>
          <w:color w:val="000000"/>
          <w:sz w:val="23"/>
          <w:szCs w:val="23"/>
        </w:rPr>
        <w:t xml:space="preserve"> (1660-1731) </w:t>
      </w:r>
      <w:r w:rsidRPr="00734B49">
        <w:rPr>
          <w:i/>
          <w:iCs/>
          <w:color w:val="000000"/>
          <w:sz w:val="23"/>
          <w:szCs w:val="23"/>
        </w:rPr>
        <w:t>Veba Yılı Günlüğü</w:t>
      </w:r>
      <w:r w:rsidRPr="00734B49">
        <w:rPr>
          <w:color w:val="000000"/>
          <w:sz w:val="23"/>
          <w:szCs w:val="23"/>
        </w:rPr>
        <w:t xml:space="preserve"> (1722) eseri, 1665 Londra Veba </w:t>
      </w:r>
      <w:proofErr w:type="spellStart"/>
      <w:r w:rsidRPr="00734B49">
        <w:rPr>
          <w:color w:val="000000"/>
          <w:sz w:val="23"/>
          <w:szCs w:val="23"/>
        </w:rPr>
        <w:t>Salgını’nı</w:t>
      </w:r>
      <w:proofErr w:type="spellEnd"/>
      <w:r w:rsidRPr="00734B49">
        <w:rPr>
          <w:color w:val="000000"/>
          <w:sz w:val="23"/>
          <w:szCs w:val="23"/>
        </w:rPr>
        <w:t xml:space="preserve"> ele alırken toplumun bu travmatik sürece verdiği tepkileri detaylı şekilde tasvir eder. </w:t>
      </w:r>
      <w:proofErr w:type="spellStart"/>
      <w:r w:rsidRPr="00734B49">
        <w:rPr>
          <w:color w:val="000000"/>
          <w:sz w:val="23"/>
          <w:szCs w:val="23"/>
        </w:rPr>
        <w:t>Defoe’nun</w:t>
      </w:r>
      <w:proofErr w:type="spellEnd"/>
      <w:r w:rsidRPr="00734B49">
        <w:rPr>
          <w:color w:val="000000"/>
          <w:sz w:val="23"/>
          <w:szCs w:val="23"/>
        </w:rPr>
        <w:t xml:space="preserve"> eseri, tarihsel bir belge niteliğinde olup hem edebi hem de sosyolojik bir analiz için zengin bir kaynak sunmaktadır. Bu bağlamda, bu çalışma, salgınların toplumsal yapı üzerindeki etkilerini, bireylerin psikolojik durumlarını ve salgınların edebiyat yoluyla nasıl temsil edildiğini ele almayı hedeflemektedir. Bu çalışmanın amacı, 1665 Londra Veba </w:t>
      </w:r>
      <w:proofErr w:type="spellStart"/>
      <w:r w:rsidRPr="00734B49">
        <w:rPr>
          <w:color w:val="000000"/>
          <w:sz w:val="23"/>
          <w:szCs w:val="23"/>
        </w:rPr>
        <w:t>Salgını’nın</w:t>
      </w:r>
      <w:proofErr w:type="spellEnd"/>
      <w:r w:rsidRPr="00734B49">
        <w:rPr>
          <w:color w:val="000000"/>
          <w:sz w:val="23"/>
          <w:szCs w:val="23"/>
        </w:rPr>
        <w:t xml:space="preserve"> bireysel ve toplumsal psikoloji üzerindeki etkilerini incelemek, salgınların toplumsal dayanışma, korku, ayrımcılık ve ahlaki normlar üzerindeki etkilerini tartışmak ve Daniel </w:t>
      </w:r>
      <w:proofErr w:type="spellStart"/>
      <w:r w:rsidRPr="00734B49">
        <w:rPr>
          <w:color w:val="000000"/>
          <w:sz w:val="23"/>
          <w:szCs w:val="23"/>
        </w:rPr>
        <w:t>Defoe’nun</w:t>
      </w:r>
      <w:proofErr w:type="spellEnd"/>
      <w:r w:rsidRPr="00734B49">
        <w:rPr>
          <w:color w:val="000000"/>
          <w:sz w:val="23"/>
          <w:szCs w:val="23"/>
        </w:rPr>
        <w:t xml:space="preserve"> eserinin edebi araçlarla bu tepkileri nasıl temsil ettiğini analiz etmektir. Nitel bir araştırma deseninin kullanıldığı çalışmada, 1665 Londra Veba </w:t>
      </w:r>
      <w:proofErr w:type="spellStart"/>
      <w:r w:rsidRPr="00734B49">
        <w:rPr>
          <w:color w:val="000000"/>
          <w:sz w:val="23"/>
          <w:szCs w:val="23"/>
        </w:rPr>
        <w:t>Salgını’na</w:t>
      </w:r>
      <w:proofErr w:type="spellEnd"/>
      <w:r w:rsidRPr="00734B49">
        <w:rPr>
          <w:color w:val="000000"/>
          <w:sz w:val="23"/>
          <w:szCs w:val="23"/>
        </w:rPr>
        <w:t xml:space="preserve"> ilişkin tarihi kayıtlar ve sosyolojik veriler </w:t>
      </w:r>
      <w:proofErr w:type="spellStart"/>
      <w:proofErr w:type="gramStart"/>
      <w:r w:rsidRPr="00734B49">
        <w:rPr>
          <w:color w:val="000000"/>
          <w:sz w:val="23"/>
          <w:szCs w:val="23"/>
        </w:rPr>
        <w:t>incelenmiş,</w:t>
      </w:r>
      <w:r w:rsidRPr="00734B49">
        <w:rPr>
          <w:i/>
          <w:iCs/>
          <w:color w:val="000000"/>
          <w:sz w:val="23"/>
          <w:szCs w:val="23"/>
        </w:rPr>
        <w:t>Veba</w:t>
      </w:r>
      <w:proofErr w:type="spellEnd"/>
      <w:proofErr w:type="gramEnd"/>
      <w:r w:rsidRPr="00734B49">
        <w:rPr>
          <w:i/>
          <w:iCs/>
          <w:color w:val="000000"/>
          <w:sz w:val="23"/>
          <w:szCs w:val="23"/>
        </w:rPr>
        <w:t xml:space="preserve"> Yılı Günlüğü</w:t>
      </w:r>
      <w:r w:rsidRPr="00734B49">
        <w:rPr>
          <w:color w:val="000000"/>
          <w:sz w:val="23"/>
          <w:szCs w:val="23"/>
        </w:rPr>
        <w:t xml:space="preserve"> adlı eser, salgın döneminin toplumsal ve bireysel etkilerini nasıl yansıttığı açısından analiz edilmiş ve toplumun krizlere verdiği psikolojik tepkiler, kolektif travma ve dayanışma bağlamında değerlendirilmiştir. Bulgulara </w:t>
      </w:r>
      <w:proofErr w:type="gramStart"/>
      <w:r w:rsidRPr="00734B49">
        <w:rPr>
          <w:color w:val="000000"/>
          <w:sz w:val="23"/>
          <w:szCs w:val="23"/>
        </w:rPr>
        <w:t xml:space="preserve">göre,  </w:t>
      </w:r>
      <w:proofErr w:type="spellStart"/>
      <w:r w:rsidRPr="00734B49">
        <w:rPr>
          <w:color w:val="000000"/>
          <w:sz w:val="23"/>
          <w:szCs w:val="23"/>
        </w:rPr>
        <w:t>Defoe’nun</w:t>
      </w:r>
      <w:proofErr w:type="spellEnd"/>
      <w:proofErr w:type="gramEnd"/>
      <w:r w:rsidRPr="00734B49">
        <w:rPr>
          <w:color w:val="000000"/>
          <w:sz w:val="23"/>
          <w:szCs w:val="23"/>
        </w:rPr>
        <w:t xml:space="preserve"> eserinde, salgın sırasında bireylerin topluluk içinde izolasyona zorlanışı ve bu durumun yarattığı korku ve güvensizlik duyguları vurgulanmaktadır. Aynı zamanda bazı bireylerin dayanışma göstererek topluma hizmet etme çabaları da işlenmektedir. Karakterlerin salgın karşısındaki korku, çaresizlik ve suçluluk duyguları ele alınmaktadır. Ölüm korkusu ve bilinmezlik, bireylerin ahlâkî değerlerini sorgulamalarına neden olmaktadır. Salgın döneminde toplumsal sınıf farklarının önemini yitirdiği, ancak ayrımcılık ve önyargıların arttığı görülmektedir. Dini ve ahlâkî değerler, salgın sürecinde farklı yorumlanmakta; kimileri için bir sınav, kimileri için bir ceza olarak algılanmaktadır. </w:t>
      </w:r>
      <w:proofErr w:type="spellStart"/>
      <w:r w:rsidRPr="00734B49">
        <w:rPr>
          <w:color w:val="000000"/>
          <w:sz w:val="23"/>
          <w:szCs w:val="23"/>
        </w:rPr>
        <w:t>Defoe</w:t>
      </w:r>
      <w:proofErr w:type="spellEnd"/>
      <w:r w:rsidRPr="00734B49">
        <w:rPr>
          <w:color w:val="000000"/>
          <w:sz w:val="23"/>
          <w:szCs w:val="23"/>
        </w:rPr>
        <w:t xml:space="preserve">, hastalığın hızla yayılmasıyla toplumsal düzenin nasıl kaosa dönüştüğünü ve insanların birbirine olan güvensizliğini aktarmakta, dedikoduların ve yanlış bilgilendirmelerin korkuyu artırdığı gözlemlenmektedir. Sonuç olarak, </w:t>
      </w:r>
      <w:proofErr w:type="spellStart"/>
      <w:r w:rsidRPr="00734B49">
        <w:rPr>
          <w:color w:val="000000"/>
          <w:sz w:val="23"/>
          <w:szCs w:val="23"/>
        </w:rPr>
        <w:t>Defoe’nun</w:t>
      </w:r>
      <w:proofErr w:type="spellEnd"/>
      <w:r w:rsidRPr="00734B49">
        <w:rPr>
          <w:color w:val="000000"/>
          <w:sz w:val="23"/>
          <w:szCs w:val="23"/>
        </w:rPr>
        <w:t xml:space="preserve"> </w:t>
      </w:r>
      <w:r w:rsidRPr="00734B49">
        <w:rPr>
          <w:i/>
          <w:iCs/>
          <w:color w:val="000000"/>
          <w:sz w:val="23"/>
          <w:szCs w:val="23"/>
        </w:rPr>
        <w:t>Veba Yılı Günlüğü</w:t>
      </w:r>
      <w:r w:rsidRPr="00734B49">
        <w:rPr>
          <w:color w:val="000000"/>
          <w:sz w:val="23"/>
          <w:szCs w:val="23"/>
        </w:rPr>
        <w:t xml:space="preserve"> adlı eseri, bireylerin ve toplumun salgın krizlerine verdiği psikolojik tepkileri anlamak için güçlü bir kaynak sunmaktadır. Salgınlar, toplumsal bağları zayıflatan ve aynı zamanda dayanışmayı artıran çift yönlü bir etki yaratmıştır. Bu süreçte korku, çaresizlik ve travma gibi bireysel tepkiler, toplumsal normların ve ilişkilerin yeniden şekillenmesine yol açmıştır. Salgın hastalıkların psikolojik ve sosyolojik etkilerini daha iyi anlamak için multidisipliner çalışmalar teşvik edilmelidir. Toplumların kriz yönetimi konusunda geçmişten alınan derslerle daha etkili stratejiler geliştirmesi sağlanmalıdır. Bu çalışma, edebiyat ve sosyoloji arasında bir köprü kurarak, salgınların birey ve toplum üzerindeki etkilerini </w:t>
      </w:r>
      <w:proofErr w:type="spellStart"/>
      <w:r w:rsidRPr="00734B49">
        <w:rPr>
          <w:color w:val="000000"/>
          <w:sz w:val="23"/>
          <w:szCs w:val="23"/>
        </w:rPr>
        <w:t>disiplinlerarası</w:t>
      </w:r>
      <w:proofErr w:type="spellEnd"/>
      <w:r w:rsidRPr="00734B49">
        <w:rPr>
          <w:color w:val="000000"/>
          <w:sz w:val="23"/>
          <w:szCs w:val="23"/>
        </w:rPr>
        <w:t xml:space="preserve"> bir yaklaşımla incelemektedir. Geçmişteki salgınların modern halk sağlığı politikalarına nasıl ışık tutabileceğini ve edebi temsillerin, tarihsel olayları anlamada nasıl bir işlev gördüğünü ortaya koymaktadır.</w:t>
      </w:r>
    </w:p>
    <w:p w14:paraId="7F83E316" w14:textId="77777777" w:rsidR="001E7189" w:rsidRPr="00734B49" w:rsidRDefault="001E7189" w:rsidP="007513A1">
      <w:pPr>
        <w:rPr>
          <w:color w:val="000000"/>
          <w:sz w:val="23"/>
          <w:szCs w:val="23"/>
        </w:rPr>
      </w:pPr>
    </w:p>
    <w:p w14:paraId="01ABC06D" w14:textId="77777777" w:rsidR="001E7189" w:rsidRPr="00734B49" w:rsidRDefault="001E7189" w:rsidP="007513A1">
      <w:pPr>
        <w:jc w:val="both"/>
        <w:rPr>
          <w:color w:val="000000"/>
          <w:sz w:val="23"/>
          <w:szCs w:val="23"/>
        </w:rPr>
      </w:pPr>
      <w:r w:rsidRPr="00734B49">
        <w:rPr>
          <w:b/>
          <w:bCs/>
          <w:color w:val="000000"/>
          <w:sz w:val="23"/>
          <w:szCs w:val="23"/>
        </w:rPr>
        <w:t>Anahtar Kelimeler:</w:t>
      </w:r>
      <w:r w:rsidRPr="00734B49">
        <w:rPr>
          <w:color w:val="000000"/>
          <w:sz w:val="23"/>
          <w:szCs w:val="23"/>
        </w:rPr>
        <w:t xml:space="preserve"> Daniel </w:t>
      </w:r>
      <w:proofErr w:type="spellStart"/>
      <w:r w:rsidRPr="00734B49">
        <w:rPr>
          <w:color w:val="000000"/>
          <w:sz w:val="23"/>
          <w:szCs w:val="23"/>
        </w:rPr>
        <w:t>Defoe</w:t>
      </w:r>
      <w:proofErr w:type="spellEnd"/>
      <w:r w:rsidRPr="00734B49">
        <w:rPr>
          <w:color w:val="000000"/>
          <w:sz w:val="23"/>
          <w:szCs w:val="23"/>
        </w:rPr>
        <w:t>, İngiltere, psikoloji, salgın hastalık, sosyoloji, veba</w:t>
      </w:r>
    </w:p>
    <w:p w14:paraId="3501CB9F" w14:textId="77777777" w:rsidR="001E7189" w:rsidRPr="00536C78" w:rsidRDefault="001E7189" w:rsidP="007513A1">
      <w:pPr>
        <w:rPr>
          <w:color w:val="000000"/>
        </w:rPr>
      </w:pPr>
    </w:p>
    <w:p w14:paraId="20ED6B2F" w14:textId="77777777" w:rsidR="001E7189" w:rsidRDefault="001E7189" w:rsidP="004C7694">
      <w:pPr>
        <w:pStyle w:val="Tark"/>
      </w:pPr>
      <w:bookmarkStart w:id="137" w:name="_Toc192855214"/>
      <w:proofErr w:type="spellStart"/>
      <w:r>
        <w:t>Humanity</w:t>
      </w:r>
      <w:proofErr w:type="spellEnd"/>
      <w:r w:rsidRPr="00536C78">
        <w:t xml:space="preserve"> </w:t>
      </w:r>
      <w:r>
        <w:t>in</w:t>
      </w:r>
      <w:r w:rsidRPr="00536C78">
        <w:t xml:space="preserve"> </w:t>
      </w:r>
      <w:proofErr w:type="spellStart"/>
      <w:r>
        <w:t>The</w:t>
      </w:r>
      <w:proofErr w:type="spellEnd"/>
      <w:r w:rsidRPr="00536C78">
        <w:t xml:space="preserve"> </w:t>
      </w:r>
      <w:proofErr w:type="spellStart"/>
      <w:r>
        <w:t>Plague</w:t>
      </w:r>
      <w:proofErr w:type="spellEnd"/>
      <w:r w:rsidRPr="00536C78">
        <w:t xml:space="preserve">: </w:t>
      </w:r>
      <w:proofErr w:type="spellStart"/>
      <w:r>
        <w:t>Social</w:t>
      </w:r>
      <w:proofErr w:type="spellEnd"/>
      <w:r w:rsidRPr="00536C78">
        <w:t xml:space="preserve"> </w:t>
      </w:r>
      <w:proofErr w:type="spellStart"/>
      <w:r>
        <w:t>and</w:t>
      </w:r>
      <w:proofErr w:type="spellEnd"/>
      <w:r w:rsidRPr="00536C78">
        <w:t xml:space="preserve"> </w:t>
      </w:r>
      <w:proofErr w:type="spellStart"/>
      <w:r>
        <w:t>Psychological</w:t>
      </w:r>
      <w:proofErr w:type="spellEnd"/>
      <w:r w:rsidRPr="00536C78">
        <w:t xml:space="preserve"> </w:t>
      </w:r>
      <w:proofErr w:type="spellStart"/>
      <w:r>
        <w:t>Traces</w:t>
      </w:r>
      <w:proofErr w:type="spellEnd"/>
      <w:r w:rsidRPr="00536C78">
        <w:t xml:space="preserve"> </w:t>
      </w:r>
      <w:r>
        <w:t>of</w:t>
      </w:r>
      <w:r w:rsidRPr="00536C78">
        <w:t xml:space="preserve"> </w:t>
      </w:r>
      <w:proofErr w:type="spellStart"/>
      <w:r>
        <w:t>The</w:t>
      </w:r>
      <w:proofErr w:type="spellEnd"/>
      <w:r w:rsidRPr="00536C78">
        <w:t xml:space="preserve"> </w:t>
      </w:r>
      <w:proofErr w:type="spellStart"/>
      <w:r>
        <w:t>Epidemic</w:t>
      </w:r>
      <w:proofErr w:type="spellEnd"/>
      <w:r w:rsidRPr="00536C78">
        <w:t xml:space="preserve"> </w:t>
      </w:r>
      <w:proofErr w:type="spellStart"/>
      <w:r>
        <w:t>Period</w:t>
      </w:r>
      <w:proofErr w:type="spellEnd"/>
      <w:r w:rsidRPr="00536C78">
        <w:t xml:space="preserve"> </w:t>
      </w:r>
      <w:r>
        <w:t>Through</w:t>
      </w:r>
      <w:r w:rsidRPr="00536C78">
        <w:t xml:space="preserve"> </w:t>
      </w:r>
      <w:r>
        <w:t>Daniel</w:t>
      </w:r>
      <w:r w:rsidRPr="00536C78">
        <w:t xml:space="preserve"> </w:t>
      </w:r>
      <w:proofErr w:type="spellStart"/>
      <w:r>
        <w:t>Defoe’s</w:t>
      </w:r>
      <w:proofErr w:type="spellEnd"/>
      <w:r w:rsidRPr="00536C78">
        <w:t xml:space="preserve"> </w:t>
      </w:r>
      <w:proofErr w:type="spellStart"/>
      <w:r>
        <w:t>Mirror</w:t>
      </w:r>
      <w:bookmarkEnd w:id="137"/>
      <w:proofErr w:type="spellEnd"/>
    </w:p>
    <w:p w14:paraId="4F359B14" w14:textId="77777777" w:rsidR="001E7189" w:rsidRPr="00536C78" w:rsidRDefault="001E7189" w:rsidP="007513A1">
      <w:pPr>
        <w:jc w:val="center"/>
        <w:rPr>
          <w:color w:val="000000"/>
        </w:rPr>
      </w:pPr>
    </w:p>
    <w:p w14:paraId="568B2029" w14:textId="77777777" w:rsidR="001E7189" w:rsidRPr="00536C78" w:rsidRDefault="001E7189" w:rsidP="007513A1">
      <w:pPr>
        <w:jc w:val="center"/>
        <w:rPr>
          <w:color w:val="000000"/>
        </w:rPr>
      </w:pPr>
      <w:proofErr w:type="spellStart"/>
      <w:r w:rsidRPr="00536C78">
        <w:rPr>
          <w:b/>
          <w:bCs/>
          <w:color w:val="000000"/>
        </w:rPr>
        <w:t>Abstract</w:t>
      </w:r>
      <w:proofErr w:type="spellEnd"/>
    </w:p>
    <w:p w14:paraId="325DB331" w14:textId="77777777" w:rsidR="001E7189" w:rsidRDefault="001E7189" w:rsidP="007513A1">
      <w:pPr>
        <w:jc w:val="both"/>
        <w:rPr>
          <w:color w:val="000000"/>
        </w:rPr>
      </w:pPr>
      <w:proofErr w:type="spellStart"/>
      <w:r w:rsidRPr="00536C78">
        <w:rPr>
          <w:color w:val="000000"/>
        </w:rPr>
        <w:t>Throughout</w:t>
      </w:r>
      <w:proofErr w:type="spellEnd"/>
      <w:r w:rsidRPr="00536C78">
        <w:rPr>
          <w:color w:val="000000"/>
        </w:rPr>
        <w:t xml:space="preserve"> </w:t>
      </w:r>
      <w:proofErr w:type="spellStart"/>
      <w:r w:rsidRPr="00536C78">
        <w:rPr>
          <w:color w:val="000000"/>
        </w:rPr>
        <w:t>history</w:t>
      </w:r>
      <w:proofErr w:type="spellEnd"/>
      <w:r w:rsidRPr="00536C78">
        <w:rPr>
          <w:color w:val="000000"/>
        </w:rPr>
        <w:t xml:space="preserve">, </w:t>
      </w:r>
      <w:proofErr w:type="spellStart"/>
      <w:r w:rsidRPr="00536C78">
        <w:rPr>
          <w:color w:val="000000"/>
        </w:rPr>
        <w:t>diseases</w:t>
      </w:r>
      <w:proofErr w:type="spellEnd"/>
      <w:r w:rsidRPr="00536C78">
        <w:rPr>
          <w:color w:val="000000"/>
        </w:rPr>
        <w:t xml:space="preserve"> </w:t>
      </w:r>
      <w:proofErr w:type="spellStart"/>
      <w:r w:rsidRPr="00536C78">
        <w:rPr>
          <w:color w:val="000000"/>
        </w:rPr>
        <w:t>have</w:t>
      </w:r>
      <w:proofErr w:type="spellEnd"/>
      <w:r w:rsidRPr="00536C78">
        <w:rPr>
          <w:color w:val="000000"/>
        </w:rPr>
        <w:t xml:space="preserve"> </w:t>
      </w:r>
      <w:proofErr w:type="spellStart"/>
      <w:r w:rsidRPr="00536C78">
        <w:rPr>
          <w:color w:val="000000"/>
        </w:rPr>
        <w:t>deeply</w:t>
      </w:r>
      <w:proofErr w:type="spellEnd"/>
      <w:r w:rsidRPr="00536C78">
        <w:rPr>
          <w:color w:val="000000"/>
        </w:rPr>
        <w:t xml:space="preserve"> </w:t>
      </w:r>
      <w:proofErr w:type="spellStart"/>
      <w:r w:rsidRPr="00536C78">
        <w:rPr>
          <w:color w:val="000000"/>
        </w:rPr>
        <w:t>affected</w:t>
      </w:r>
      <w:proofErr w:type="spellEnd"/>
      <w:r w:rsidRPr="00536C78">
        <w:rPr>
          <w:color w:val="000000"/>
        </w:rPr>
        <w:t xml:space="preserve"> not </w:t>
      </w:r>
      <w:proofErr w:type="spellStart"/>
      <w:r w:rsidRPr="00536C78">
        <w:rPr>
          <w:color w:val="000000"/>
        </w:rPr>
        <w:t>only</w:t>
      </w:r>
      <w:proofErr w:type="spellEnd"/>
      <w:r w:rsidRPr="00536C78">
        <w:rPr>
          <w:color w:val="000000"/>
        </w:rPr>
        <w:t xml:space="preserve"> </w:t>
      </w:r>
      <w:proofErr w:type="spellStart"/>
      <w:r w:rsidRPr="00536C78">
        <w:rPr>
          <w:color w:val="000000"/>
        </w:rPr>
        <w:t>individuals</w:t>
      </w:r>
      <w:proofErr w:type="spellEnd"/>
      <w:r w:rsidRPr="00536C78">
        <w:rPr>
          <w:color w:val="000000"/>
        </w:rPr>
        <w:t xml:space="preserve"> but </w:t>
      </w:r>
      <w:proofErr w:type="spellStart"/>
      <w:r w:rsidRPr="00536C78">
        <w:rPr>
          <w:color w:val="000000"/>
        </w:rPr>
        <w:t>also</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structures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human</w:t>
      </w:r>
      <w:proofErr w:type="spellEnd"/>
      <w:r w:rsidRPr="00536C78">
        <w:rPr>
          <w:color w:val="000000"/>
        </w:rPr>
        <w:t xml:space="preserve"> </w:t>
      </w:r>
      <w:proofErr w:type="spellStart"/>
      <w:r w:rsidRPr="00536C78">
        <w:rPr>
          <w:color w:val="000000"/>
        </w:rPr>
        <w:t>psychology</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diseases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public</w:t>
      </w:r>
      <w:proofErr w:type="spellEnd"/>
      <w:r w:rsidRPr="00536C78">
        <w:rPr>
          <w:color w:val="000000"/>
        </w:rPr>
        <w:t xml:space="preserve"> </w:t>
      </w:r>
      <w:proofErr w:type="spellStart"/>
      <w:r w:rsidRPr="00536C78">
        <w:rPr>
          <w:color w:val="000000"/>
        </w:rPr>
        <w:t>health</w:t>
      </w:r>
      <w:proofErr w:type="spellEnd"/>
      <w:r w:rsidRPr="00536C78">
        <w:rPr>
          <w:color w:val="000000"/>
        </w:rPr>
        <w:t xml:space="preserve"> </w:t>
      </w:r>
      <w:proofErr w:type="spellStart"/>
      <w:r w:rsidRPr="00536C78">
        <w:rPr>
          <w:color w:val="000000"/>
        </w:rPr>
        <w:t>crises</w:t>
      </w:r>
      <w:proofErr w:type="spellEnd"/>
      <w:r w:rsidRPr="00536C78">
        <w:rPr>
          <w:color w:val="000000"/>
        </w:rPr>
        <w:t xml:space="preserve"> </w:t>
      </w:r>
      <w:proofErr w:type="spellStart"/>
      <w:r w:rsidRPr="00536C78">
        <w:rPr>
          <w:color w:val="000000"/>
        </w:rPr>
        <w:t>have</w:t>
      </w:r>
      <w:proofErr w:type="spellEnd"/>
      <w:r w:rsidRPr="00536C78">
        <w:rPr>
          <w:color w:val="000000"/>
        </w:rPr>
        <w:t xml:space="preserve"> had a </w:t>
      </w:r>
      <w:proofErr w:type="spellStart"/>
      <w:r w:rsidRPr="00536C78">
        <w:rPr>
          <w:color w:val="000000"/>
        </w:rPr>
        <w:t>great</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individual</w:t>
      </w:r>
      <w:proofErr w:type="spellEnd"/>
      <w:r w:rsidRPr="00536C78">
        <w:rPr>
          <w:color w:val="000000"/>
        </w:rPr>
        <w:t xml:space="preserve"> </w:t>
      </w:r>
      <w:proofErr w:type="spellStart"/>
      <w:r w:rsidRPr="00536C78">
        <w:rPr>
          <w:color w:val="000000"/>
        </w:rPr>
        <w:t>impact</w:t>
      </w:r>
      <w:proofErr w:type="spellEnd"/>
      <w:r w:rsidRPr="00536C78">
        <w:rPr>
          <w:color w:val="000000"/>
        </w:rPr>
        <w:t xml:space="preserve"> in </w:t>
      </w:r>
      <w:proofErr w:type="spellStart"/>
      <w:r w:rsidRPr="00536C78">
        <w:rPr>
          <w:color w:val="000000"/>
        </w:rPr>
        <w:t>the</w:t>
      </w:r>
      <w:proofErr w:type="spellEnd"/>
      <w:r w:rsidRPr="00536C78">
        <w:rPr>
          <w:color w:val="000000"/>
        </w:rPr>
        <w:t xml:space="preserve"> modern </w:t>
      </w:r>
      <w:proofErr w:type="spellStart"/>
      <w:r w:rsidRPr="00536C78">
        <w:rPr>
          <w:color w:val="000000"/>
        </w:rPr>
        <w:t>era</w:t>
      </w:r>
      <w:proofErr w:type="spellEnd"/>
      <w:r w:rsidRPr="00536C78">
        <w:rPr>
          <w:color w:val="000000"/>
        </w:rPr>
        <w:t xml:space="preserve"> (</w:t>
      </w:r>
      <w:proofErr w:type="spellStart"/>
      <w:r w:rsidRPr="00536C78">
        <w:rPr>
          <w:color w:val="000000"/>
        </w:rPr>
        <w:t>e.g</w:t>
      </w:r>
      <w:proofErr w:type="spellEnd"/>
      <w:r w:rsidRPr="00536C78">
        <w:rPr>
          <w:color w:val="000000"/>
        </w:rPr>
        <w:t xml:space="preserve">., COVID-19). </w:t>
      </w:r>
      <w:proofErr w:type="spellStart"/>
      <w:r w:rsidRPr="00536C78">
        <w:rPr>
          <w:color w:val="000000"/>
        </w:rPr>
        <w:t>Understanding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collective</w:t>
      </w:r>
      <w:proofErr w:type="spellEnd"/>
      <w:r w:rsidRPr="00536C78">
        <w:rPr>
          <w:color w:val="000000"/>
        </w:rPr>
        <w:t xml:space="preserve"> </w:t>
      </w:r>
      <w:proofErr w:type="spellStart"/>
      <w:r w:rsidRPr="00536C78">
        <w:rPr>
          <w:color w:val="000000"/>
        </w:rPr>
        <w:t>trauma</w:t>
      </w:r>
      <w:proofErr w:type="spellEnd"/>
      <w:r w:rsidRPr="00536C78">
        <w:rPr>
          <w:color w:val="000000"/>
        </w:rPr>
        <w:t xml:space="preserve"> </w:t>
      </w:r>
      <w:proofErr w:type="spellStart"/>
      <w:r w:rsidRPr="00536C78">
        <w:rPr>
          <w:color w:val="000000"/>
        </w:rPr>
        <w:t>during</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periods</w:t>
      </w:r>
      <w:proofErr w:type="spellEnd"/>
      <w:r w:rsidRPr="00536C78">
        <w:rPr>
          <w:color w:val="000000"/>
        </w:rPr>
        <w:t xml:space="preserve"> is </w:t>
      </w:r>
      <w:proofErr w:type="spellStart"/>
      <w:r w:rsidRPr="00536C78">
        <w:rPr>
          <w:color w:val="000000"/>
        </w:rPr>
        <w:t>significant</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future</w:t>
      </w:r>
      <w:proofErr w:type="spellEnd"/>
      <w:r w:rsidRPr="00536C78">
        <w:rPr>
          <w:color w:val="000000"/>
        </w:rPr>
        <w:t xml:space="preserve"> </w:t>
      </w:r>
      <w:proofErr w:type="spellStart"/>
      <w:r w:rsidRPr="00536C78">
        <w:rPr>
          <w:color w:val="000000"/>
        </w:rPr>
        <w:t>crisis</w:t>
      </w:r>
      <w:proofErr w:type="spellEnd"/>
      <w:r w:rsidRPr="00536C78">
        <w:rPr>
          <w:color w:val="000000"/>
        </w:rPr>
        <w:t xml:space="preserve"> </w:t>
      </w:r>
      <w:proofErr w:type="spellStart"/>
      <w:r w:rsidRPr="00536C78">
        <w:rPr>
          <w:color w:val="000000"/>
        </w:rPr>
        <w:t>management</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resilience</w:t>
      </w:r>
      <w:proofErr w:type="spellEnd"/>
      <w:r w:rsidRPr="00536C78">
        <w:rPr>
          <w:color w:val="000000"/>
        </w:rPr>
        <w:t xml:space="preserve"> </w:t>
      </w:r>
      <w:proofErr w:type="spellStart"/>
      <w:r w:rsidRPr="00536C78">
        <w:rPr>
          <w:color w:val="000000"/>
        </w:rPr>
        <w:t>strategies</w:t>
      </w:r>
      <w:proofErr w:type="spellEnd"/>
      <w:r w:rsidRPr="00536C78">
        <w:rPr>
          <w:color w:val="000000"/>
        </w:rPr>
        <w:t xml:space="preserve">. </w:t>
      </w:r>
      <w:proofErr w:type="spellStart"/>
      <w:r w:rsidRPr="00536C78">
        <w:rPr>
          <w:color w:val="000000"/>
        </w:rPr>
        <w:t>Epidemics</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occurred</w:t>
      </w:r>
      <w:proofErr w:type="spellEnd"/>
      <w:r w:rsidRPr="00536C78">
        <w:rPr>
          <w:color w:val="000000"/>
        </w:rPr>
        <w:t xml:space="preserve"> in </w:t>
      </w:r>
      <w:proofErr w:type="spellStart"/>
      <w:r w:rsidRPr="00536C78">
        <w:rPr>
          <w:color w:val="000000"/>
        </w:rPr>
        <w:t>England</w:t>
      </w:r>
      <w:proofErr w:type="spellEnd"/>
      <w:r w:rsidRPr="00536C78">
        <w:rPr>
          <w:color w:val="000000"/>
        </w:rPr>
        <w:t xml:space="preserve"> in </w:t>
      </w:r>
      <w:proofErr w:type="spellStart"/>
      <w:r w:rsidRPr="00536C78">
        <w:rPr>
          <w:color w:val="000000"/>
        </w:rPr>
        <w:t>the</w:t>
      </w:r>
      <w:proofErr w:type="spellEnd"/>
      <w:r w:rsidRPr="00536C78">
        <w:rPr>
          <w:color w:val="000000"/>
        </w:rPr>
        <w:t xml:space="preserve"> 18th </w:t>
      </w:r>
      <w:proofErr w:type="spellStart"/>
      <w:r w:rsidRPr="00536C78">
        <w:rPr>
          <w:color w:val="000000"/>
        </w:rPr>
        <w:t>and</w:t>
      </w:r>
      <w:proofErr w:type="spellEnd"/>
      <w:r w:rsidRPr="00536C78">
        <w:rPr>
          <w:color w:val="000000"/>
        </w:rPr>
        <w:t xml:space="preserve"> 19th </w:t>
      </w:r>
      <w:proofErr w:type="spellStart"/>
      <w:r w:rsidRPr="00536C78">
        <w:rPr>
          <w:color w:val="000000"/>
        </w:rPr>
        <w:t>centuries</w:t>
      </w:r>
      <w:proofErr w:type="spellEnd"/>
      <w:r w:rsidRPr="00536C78">
        <w:rPr>
          <w:color w:val="000000"/>
        </w:rPr>
        <w:t xml:space="preserve"> led </w:t>
      </w:r>
      <w:proofErr w:type="spellStart"/>
      <w:r w:rsidRPr="00536C78">
        <w:rPr>
          <w:color w:val="000000"/>
        </w:rPr>
        <w:t>to</w:t>
      </w:r>
      <w:proofErr w:type="spellEnd"/>
      <w:r w:rsidRPr="00536C78">
        <w:rPr>
          <w:color w:val="000000"/>
        </w:rPr>
        <w:t xml:space="preserve"> </w:t>
      </w:r>
      <w:proofErr w:type="spellStart"/>
      <w:r w:rsidRPr="00536C78">
        <w:rPr>
          <w:color w:val="000000"/>
        </w:rPr>
        <w:t>traumas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transformations</w:t>
      </w:r>
      <w:proofErr w:type="spellEnd"/>
      <w:r w:rsidRPr="00536C78">
        <w:rPr>
          <w:color w:val="000000"/>
        </w:rPr>
        <w:t xml:space="preserve"> at </w:t>
      </w:r>
      <w:proofErr w:type="spellStart"/>
      <w:r w:rsidRPr="00536C78">
        <w:rPr>
          <w:color w:val="000000"/>
        </w:rPr>
        <w:t>both</w:t>
      </w:r>
      <w:proofErr w:type="spellEnd"/>
      <w:r w:rsidRPr="00536C78">
        <w:rPr>
          <w:color w:val="000000"/>
        </w:rPr>
        <w:t xml:space="preserve"> </w:t>
      </w:r>
      <w:proofErr w:type="spellStart"/>
      <w:r w:rsidRPr="00536C78">
        <w:rPr>
          <w:color w:val="000000"/>
        </w:rPr>
        <w:t>individual</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societal</w:t>
      </w:r>
      <w:proofErr w:type="spellEnd"/>
      <w:r w:rsidRPr="00536C78">
        <w:rPr>
          <w:color w:val="000000"/>
        </w:rPr>
        <w:t xml:space="preserve"> </w:t>
      </w:r>
      <w:proofErr w:type="spellStart"/>
      <w:r w:rsidRPr="00536C78">
        <w:rPr>
          <w:color w:val="000000"/>
        </w:rPr>
        <w:t>levels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of English </w:t>
      </w:r>
      <w:proofErr w:type="spellStart"/>
      <w:r w:rsidRPr="00536C78">
        <w:rPr>
          <w:color w:val="000000"/>
        </w:rPr>
        <w:t>journalist</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author</w:t>
      </w:r>
      <w:proofErr w:type="spellEnd"/>
      <w:r w:rsidRPr="00536C78">
        <w:rPr>
          <w:color w:val="000000"/>
        </w:rPr>
        <w:t xml:space="preserve"> Daniel </w:t>
      </w:r>
      <w:proofErr w:type="spellStart"/>
      <w:r w:rsidRPr="00536C78">
        <w:rPr>
          <w:color w:val="000000"/>
        </w:rPr>
        <w:t>Defoe</w:t>
      </w:r>
      <w:proofErr w:type="spellEnd"/>
      <w:r w:rsidRPr="00536C78">
        <w:rPr>
          <w:color w:val="000000"/>
        </w:rPr>
        <w:t xml:space="preserve"> (1660-1731),</w:t>
      </w:r>
      <w:r w:rsidRPr="00536C78">
        <w:rPr>
          <w:i/>
          <w:iCs/>
          <w:color w:val="000000"/>
        </w:rPr>
        <w:t xml:space="preserve"> A</w:t>
      </w:r>
      <w:r w:rsidRPr="00536C78">
        <w:rPr>
          <w:color w:val="000000"/>
        </w:rPr>
        <w:t xml:space="preserve"> </w:t>
      </w:r>
      <w:proofErr w:type="spellStart"/>
      <w:r w:rsidRPr="00536C78">
        <w:rPr>
          <w:i/>
          <w:iCs/>
          <w:color w:val="000000"/>
        </w:rPr>
        <w:t>Journal</w:t>
      </w:r>
      <w:proofErr w:type="spellEnd"/>
      <w:r w:rsidRPr="00536C78">
        <w:rPr>
          <w:i/>
          <w:iCs/>
          <w:color w:val="000000"/>
        </w:rPr>
        <w:t xml:space="preserve"> of </w:t>
      </w:r>
      <w:proofErr w:type="spellStart"/>
      <w:r w:rsidRPr="00536C78">
        <w:rPr>
          <w:i/>
          <w:iCs/>
          <w:color w:val="000000"/>
        </w:rPr>
        <w:t>the</w:t>
      </w:r>
      <w:proofErr w:type="spellEnd"/>
      <w:r w:rsidRPr="00536C78">
        <w:rPr>
          <w:i/>
          <w:iCs/>
          <w:color w:val="000000"/>
        </w:rPr>
        <w:t xml:space="preserve"> </w:t>
      </w:r>
      <w:proofErr w:type="spellStart"/>
      <w:r w:rsidRPr="00536C78">
        <w:rPr>
          <w:i/>
          <w:iCs/>
          <w:color w:val="000000"/>
        </w:rPr>
        <w:t>Plague</w:t>
      </w:r>
      <w:proofErr w:type="spellEnd"/>
      <w:r w:rsidRPr="00536C78">
        <w:rPr>
          <w:i/>
          <w:iCs/>
          <w:color w:val="000000"/>
        </w:rPr>
        <w:t xml:space="preserve"> </w:t>
      </w:r>
      <w:proofErr w:type="spellStart"/>
      <w:r w:rsidRPr="00536C78">
        <w:rPr>
          <w:i/>
          <w:iCs/>
          <w:color w:val="000000"/>
        </w:rPr>
        <w:t>Year</w:t>
      </w:r>
      <w:proofErr w:type="spellEnd"/>
      <w:r w:rsidRPr="00536C78">
        <w:rPr>
          <w:color w:val="000000"/>
        </w:rPr>
        <w:t xml:space="preserve"> (1722), </w:t>
      </w:r>
      <w:proofErr w:type="spellStart"/>
      <w:r w:rsidRPr="00536C78">
        <w:rPr>
          <w:color w:val="000000"/>
        </w:rPr>
        <w:t>describes</w:t>
      </w:r>
      <w:proofErr w:type="spellEnd"/>
      <w:r w:rsidRPr="00536C78">
        <w:rPr>
          <w:color w:val="000000"/>
        </w:rPr>
        <w:t xml:space="preserve"> in </w:t>
      </w:r>
      <w:proofErr w:type="spellStart"/>
      <w:r w:rsidRPr="00536C78">
        <w:rPr>
          <w:color w:val="000000"/>
        </w:rPr>
        <w:t>detail</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reactions</w:t>
      </w:r>
      <w:proofErr w:type="spellEnd"/>
      <w:r w:rsidRPr="00536C78">
        <w:rPr>
          <w:color w:val="000000"/>
        </w:rPr>
        <w:t xml:space="preserve"> of </w:t>
      </w:r>
      <w:proofErr w:type="spellStart"/>
      <w:r w:rsidRPr="00536C78">
        <w:rPr>
          <w:color w:val="000000"/>
        </w:rPr>
        <w:t>society</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traumatic</w:t>
      </w:r>
      <w:proofErr w:type="spellEnd"/>
      <w:r w:rsidRPr="00536C78">
        <w:rPr>
          <w:color w:val="000000"/>
        </w:rPr>
        <w:t xml:space="preserve"> </w:t>
      </w:r>
      <w:proofErr w:type="spellStart"/>
      <w:r w:rsidRPr="00536C78">
        <w:rPr>
          <w:color w:val="000000"/>
        </w:rPr>
        <w:t>process</w:t>
      </w:r>
      <w:proofErr w:type="spellEnd"/>
      <w:r w:rsidRPr="00536C78">
        <w:rPr>
          <w:color w:val="000000"/>
        </w:rPr>
        <w:t xml:space="preserve"> </w:t>
      </w:r>
      <w:proofErr w:type="spellStart"/>
      <w:r w:rsidRPr="00536C78">
        <w:rPr>
          <w:color w:val="000000"/>
        </w:rPr>
        <w:t>while</w:t>
      </w:r>
      <w:proofErr w:type="spellEnd"/>
      <w:r w:rsidRPr="00536C78">
        <w:rPr>
          <w:color w:val="000000"/>
        </w:rPr>
        <w:t xml:space="preserve"> </w:t>
      </w:r>
      <w:proofErr w:type="spellStart"/>
      <w:r w:rsidRPr="00536C78">
        <w:rPr>
          <w:color w:val="000000"/>
        </w:rPr>
        <w:t>addressing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1665 </w:t>
      </w:r>
      <w:proofErr w:type="spellStart"/>
      <w:r w:rsidRPr="00536C78">
        <w:rPr>
          <w:color w:val="000000"/>
        </w:rPr>
        <w:t>London</w:t>
      </w:r>
      <w:proofErr w:type="spellEnd"/>
      <w:r w:rsidRPr="00536C78">
        <w:rPr>
          <w:color w:val="000000"/>
        </w:rPr>
        <w:t xml:space="preserve"> </w:t>
      </w:r>
      <w:proofErr w:type="spellStart"/>
      <w:r w:rsidRPr="00536C78">
        <w:rPr>
          <w:color w:val="000000"/>
        </w:rPr>
        <w:t>Plague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Defoe’s</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is a </w:t>
      </w:r>
      <w:proofErr w:type="spellStart"/>
      <w:r w:rsidRPr="00536C78">
        <w:rPr>
          <w:color w:val="000000"/>
        </w:rPr>
        <w:t>historical</w:t>
      </w:r>
      <w:proofErr w:type="spellEnd"/>
      <w:r w:rsidRPr="00536C78">
        <w:rPr>
          <w:color w:val="000000"/>
        </w:rPr>
        <w:t xml:space="preserve"> </w:t>
      </w:r>
      <w:proofErr w:type="spellStart"/>
      <w:r w:rsidRPr="00536C78">
        <w:rPr>
          <w:color w:val="000000"/>
        </w:rPr>
        <w:t>document</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provides</w:t>
      </w:r>
      <w:proofErr w:type="spellEnd"/>
      <w:r w:rsidRPr="00536C78">
        <w:rPr>
          <w:color w:val="000000"/>
        </w:rPr>
        <w:t xml:space="preserve"> a </w:t>
      </w:r>
      <w:proofErr w:type="spellStart"/>
      <w:r w:rsidRPr="00536C78">
        <w:rPr>
          <w:color w:val="000000"/>
        </w:rPr>
        <w:t>rich</w:t>
      </w:r>
      <w:proofErr w:type="spellEnd"/>
      <w:r w:rsidRPr="00536C78">
        <w:rPr>
          <w:color w:val="000000"/>
        </w:rPr>
        <w:t xml:space="preserve"> </w:t>
      </w:r>
      <w:proofErr w:type="spellStart"/>
      <w:r w:rsidRPr="00536C78">
        <w:rPr>
          <w:color w:val="000000"/>
        </w:rPr>
        <w:t>source</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both</w:t>
      </w:r>
      <w:proofErr w:type="spellEnd"/>
      <w:r w:rsidRPr="00536C78">
        <w:rPr>
          <w:color w:val="000000"/>
        </w:rPr>
        <w:t xml:space="preserve"> </w:t>
      </w:r>
      <w:proofErr w:type="spellStart"/>
      <w:r w:rsidRPr="00536C78">
        <w:rPr>
          <w:color w:val="000000"/>
        </w:rPr>
        <w:t>literary</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sociological</w:t>
      </w:r>
      <w:proofErr w:type="spellEnd"/>
      <w:r w:rsidRPr="00536C78">
        <w:rPr>
          <w:color w:val="000000"/>
        </w:rPr>
        <w:t xml:space="preserve"> </w:t>
      </w:r>
      <w:proofErr w:type="spellStart"/>
      <w:r w:rsidRPr="00536C78">
        <w:rPr>
          <w:color w:val="000000"/>
        </w:rPr>
        <w:t>analysis</w:t>
      </w:r>
      <w:proofErr w:type="spellEnd"/>
      <w:r w:rsidRPr="00536C78">
        <w:rPr>
          <w:color w:val="000000"/>
        </w:rPr>
        <w:t xml:space="preserve">. </w:t>
      </w:r>
      <w:proofErr w:type="spellStart"/>
      <w:r w:rsidRPr="00536C78">
        <w:rPr>
          <w:color w:val="000000"/>
        </w:rPr>
        <w:t>In</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context</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paper</w:t>
      </w:r>
      <w:proofErr w:type="spellEnd"/>
      <w:r w:rsidRPr="00536C78">
        <w:rPr>
          <w:color w:val="000000"/>
        </w:rPr>
        <w:t xml:space="preserve"> </w:t>
      </w:r>
      <w:proofErr w:type="spellStart"/>
      <w:r w:rsidRPr="00536C78">
        <w:rPr>
          <w:color w:val="000000"/>
        </w:rPr>
        <w:t>aims</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address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epidemics</w:t>
      </w:r>
      <w:proofErr w:type="spellEnd"/>
      <w:r w:rsidRPr="00536C78">
        <w:rPr>
          <w:color w:val="000000"/>
        </w:rPr>
        <w:t xml:space="preserve"> on </w:t>
      </w:r>
      <w:proofErr w:type="spellStart"/>
      <w:r w:rsidRPr="00536C78">
        <w:rPr>
          <w:color w:val="000000"/>
        </w:rPr>
        <w:t>social</w:t>
      </w:r>
      <w:proofErr w:type="spellEnd"/>
      <w:r w:rsidRPr="00536C78">
        <w:rPr>
          <w:color w:val="000000"/>
        </w:rPr>
        <w:t xml:space="preserve"> </w:t>
      </w:r>
      <w:proofErr w:type="spellStart"/>
      <w:r w:rsidRPr="00536C78">
        <w:rPr>
          <w:color w:val="000000"/>
        </w:rPr>
        <w:t>structure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psychological</w:t>
      </w:r>
      <w:proofErr w:type="spellEnd"/>
      <w:r w:rsidRPr="00536C78">
        <w:rPr>
          <w:color w:val="000000"/>
        </w:rPr>
        <w:t xml:space="preserve"> </w:t>
      </w:r>
      <w:proofErr w:type="spellStart"/>
      <w:r w:rsidRPr="00536C78">
        <w:rPr>
          <w:color w:val="000000"/>
        </w:rPr>
        <w:t>states</w:t>
      </w:r>
      <w:proofErr w:type="spellEnd"/>
      <w:r w:rsidRPr="00536C78">
        <w:rPr>
          <w:color w:val="000000"/>
        </w:rPr>
        <w:t xml:space="preserve"> of </w:t>
      </w:r>
      <w:proofErr w:type="spellStart"/>
      <w:r w:rsidRPr="00536C78">
        <w:rPr>
          <w:color w:val="000000"/>
        </w:rPr>
        <w:t>individuals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how </w:t>
      </w:r>
      <w:proofErr w:type="spellStart"/>
      <w:r w:rsidRPr="00536C78">
        <w:rPr>
          <w:color w:val="000000"/>
        </w:rPr>
        <w:t>epidemics</w:t>
      </w:r>
      <w:proofErr w:type="spellEnd"/>
      <w:r w:rsidRPr="00536C78">
        <w:rPr>
          <w:color w:val="000000"/>
        </w:rPr>
        <w:t xml:space="preserve"> </w:t>
      </w:r>
      <w:proofErr w:type="spellStart"/>
      <w:r w:rsidRPr="00536C78">
        <w:rPr>
          <w:color w:val="000000"/>
        </w:rPr>
        <w:t>are</w:t>
      </w:r>
      <w:proofErr w:type="spellEnd"/>
      <w:r w:rsidRPr="00536C78">
        <w:rPr>
          <w:color w:val="000000"/>
        </w:rPr>
        <w:t xml:space="preserve"> </w:t>
      </w:r>
      <w:proofErr w:type="spellStart"/>
      <w:r w:rsidRPr="00536C78">
        <w:rPr>
          <w:color w:val="000000"/>
        </w:rPr>
        <w:t>represented</w:t>
      </w:r>
      <w:proofErr w:type="spellEnd"/>
      <w:r w:rsidRPr="00536C78">
        <w:rPr>
          <w:color w:val="000000"/>
        </w:rPr>
        <w:t xml:space="preserve"> </w:t>
      </w:r>
      <w:proofErr w:type="spellStart"/>
      <w:r w:rsidRPr="00536C78">
        <w:rPr>
          <w:color w:val="000000"/>
        </w:rPr>
        <w:t>through</w:t>
      </w:r>
      <w:proofErr w:type="spellEnd"/>
      <w:r w:rsidRPr="00536C78">
        <w:rPr>
          <w:color w:val="000000"/>
        </w:rPr>
        <w:t xml:space="preserve"> </w:t>
      </w:r>
      <w:proofErr w:type="spellStart"/>
      <w:r w:rsidRPr="00536C78">
        <w:rPr>
          <w:color w:val="000000"/>
        </w:rPr>
        <w:t>literature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aim</w:t>
      </w:r>
      <w:proofErr w:type="spellEnd"/>
      <w:r w:rsidRPr="00536C78">
        <w:rPr>
          <w:color w:val="000000"/>
        </w:rPr>
        <w:t xml:space="preserve"> of </w:t>
      </w:r>
      <w:proofErr w:type="spellStart"/>
      <w:r w:rsidRPr="00536C78">
        <w:rPr>
          <w:color w:val="000000"/>
        </w:rPr>
        <w:t>this</w:t>
      </w:r>
      <w:proofErr w:type="spellEnd"/>
      <w:r w:rsidRPr="00536C78">
        <w:rPr>
          <w:color w:val="000000"/>
        </w:rPr>
        <w:t xml:space="preserve"> </w:t>
      </w:r>
      <w:proofErr w:type="spellStart"/>
      <w:r w:rsidRPr="00536C78">
        <w:rPr>
          <w:color w:val="000000"/>
        </w:rPr>
        <w:t>paper</w:t>
      </w:r>
      <w:proofErr w:type="spellEnd"/>
      <w:r w:rsidRPr="00536C78">
        <w:rPr>
          <w:color w:val="000000"/>
        </w:rPr>
        <w:t xml:space="preserve"> is </w:t>
      </w:r>
      <w:proofErr w:type="spellStart"/>
      <w:r w:rsidRPr="00536C78">
        <w:rPr>
          <w:color w:val="000000"/>
        </w:rPr>
        <w:t>to</w:t>
      </w:r>
      <w:proofErr w:type="spellEnd"/>
      <w:r w:rsidRPr="00536C78">
        <w:rPr>
          <w:color w:val="000000"/>
        </w:rPr>
        <w:t xml:space="preserve"> </w:t>
      </w:r>
      <w:proofErr w:type="spellStart"/>
      <w:r w:rsidRPr="00536C78">
        <w:rPr>
          <w:color w:val="000000"/>
        </w:rPr>
        <w:t>examine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the</w:t>
      </w:r>
      <w:proofErr w:type="spellEnd"/>
      <w:r w:rsidRPr="00536C78">
        <w:rPr>
          <w:color w:val="000000"/>
        </w:rPr>
        <w:t xml:space="preserve"> </w:t>
      </w:r>
      <w:proofErr w:type="spellStart"/>
      <w:r w:rsidRPr="00536C78">
        <w:rPr>
          <w:color w:val="000000"/>
        </w:rPr>
        <w:t>London</w:t>
      </w:r>
      <w:proofErr w:type="spellEnd"/>
      <w:r w:rsidRPr="00536C78">
        <w:rPr>
          <w:color w:val="000000"/>
        </w:rPr>
        <w:t xml:space="preserve"> </w:t>
      </w:r>
      <w:proofErr w:type="spellStart"/>
      <w:r w:rsidRPr="00536C78">
        <w:rPr>
          <w:color w:val="000000"/>
        </w:rPr>
        <w:t>Plague</w:t>
      </w:r>
      <w:proofErr w:type="spellEnd"/>
      <w:r w:rsidRPr="00536C78">
        <w:rPr>
          <w:color w:val="000000"/>
        </w:rPr>
        <w:t xml:space="preserve"> of 1665 on </w:t>
      </w:r>
      <w:proofErr w:type="spellStart"/>
      <w:r w:rsidRPr="00536C78">
        <w:rPr>
          <w:color w:val="000000"/>
        </w:rPr>
        <w:t>individual</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psychology</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discuss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epidemics</w:t>
      </w:r>
      <w:proofErr w:type="spellEnd"/>
      <w:r w:rsidRPr="00536C78">
        <w:rPr>
          <w:color w:val="000000"/>
        </w:rPr>
        <w:t xml:space="preserve"> on </w:t>
      </w:r>
      <w:proofErr w:type="spellStart"/>
      <w:r w:rsidRPr="00536C78">
        <w:rPr>
          <w:color w:val="000000"/>
        </w:rPr>
        <w:t>social</w:t>
      </w:r>
      <w:proofErr w:type="spellEnd"/>
      <w:r w:rsidRPr="00536C78">
        <w:rPr>
          <w:color w:val="000000"/>
        </w:rPr>
        <w:t xml:space="preserve"> </w:t>
      </w:r>
      <w:proofErr w:type="spellStart"/>
      <w:r w:rsidRPr="00536C78">
        <w:rPr>
          <w:color w:val="000000"/>
        </w:rPr>
        <w:t>solidarity</w:t>
      </w:r>
      <w:proofErr w:type="spellEnd"/>
      <w:r w:rsidRPr="00536C78">
        <w:rPr>
          <w:color w:val="000000"/>
        </w:rPr>
        <w:t xml:space="preserve">, </w:t>
      </w:r>
      <w:proofErr w:type="spellStart"/>
      <w:r w:rsidRPr="00536C78">
        <w:rPr>
          <w:color w:val="000000"/>
        </w:rPr>
        <w:t>fear</w:t>
      </w:r>
      <w:proofErr w:type="spellEnd"/>
      <w:r w:rsidRPr="00536C78">
        <w:rPr>
          <w:color w:val="000000"/>
        </w:rPr>
        <w:t xml:space="preserve">, </w:t>
      </w:r>
      <w:proofErr w:type="spellStart"/>
      <w:r w:rsidRPr="00536C78">
        <w:rPr>
          <w:color w:val="000000"/>
        </w:rPr>
        <w:t>discrimination</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moral </w:t>
      </w:r>
      <w:proofErr w:type="spellStart"/>
      <w:r w:rsidRPr="00536C78">
        <w:rPr>
          <w:color w:val="000000"/>
        </w:rPr>
        <w:t>norms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analyze</w:t>
      </w:r>
      <w:proofErr w:type="spellEnd"/>
      <w:r w:rsidRPr="00536C78">
        <w:rPr>
          <w:color w:val="000000"/>
        </w:rPr>
        <w:t xml:space="preserve"> how Daniel </w:t>
      </w:r>
      <w:proofErr w:type="spellStart"/>
      <w:r w:rsidRPr="00536C78">
        <w:rPr>
          <w:color w:val="000000"/>
        </w:rPr>
        <w:t>Defoe’s</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w:t>
      </w:r>
      <w:proofErr w:type="spellStart"/>
      <w:r w:rsidRPr="00536C78">
        <w:rPr>
          <w:color w:val="000000"/>
        </w:rPr>
        <w:t>represents</w:t>
      </w:r>
      <w:proofErr w:type="spellEnd"/>
      <w:r w:rsidRPr="00536C78">
        <w:rPr>
          <w:color w:val="000000"/>
        </w:rPr>
        <w:t xml:space="preserve"> </w:t>
      </w:r>
      <w:proofErr w:type="spellStart"/>
      <w:r w:rsidRPr="00536C78">
        <w:rPr>
          <w:color w:val="000000"/>
        </w:rPr>
        <w:t>these</w:t>
      </w:r>
      <w:proofErr w:type="spellEnd"/>
      <w:r w:rsidRPr="00536C78">
        <w:rPr>
          <w:color w:val="000000"/>
        </w:rPr>
        <w:t xml:space="preserve"> </w:t>
      </w:r>
      <w:proofErr w:type="spellStart"/>
      <w:r w:rsidRPr="00536C78">
        <w:rPr>
          <w:color w:val="000000"/>
        </w:rPr>
        <w:t>reactions</w:t>
      </w:r>
      <w:proofErr w:type="spellEnd"/>
      <w:r w:rsidRPr="00536C78">
        <w:rPr>
          <w:color w:val="000000"/>
        </w:rPr>
        <w:t xml:space="preserve"> </w:t>
      </w:r>
      <w:proofErr w:type="spellStart"/>
      <w:r w:rsidRPr="00536C78">
        <w:rPr>
          <w:color w:val="000000"/>
        </w:rPr>
        <w:t>through</w:t>
      </w:r>
      <w:proofErr w:type="spellEnd"/>
      <w:r w:rsidRPr="00536C78">
        <w:rPr>
          <w:color w:val="000000"/>
        </w:rPr>
        <w:t xml:space="preserve"> </w:t>
      </w:r>
      <w:proofErr w:type="spellStart"/>
      <w:r w:rsidRPr="00536C78">
        <w:rPr>
          <w:color w:val="000000"/>
        </w:rPr>
        <w:t>literary</w:t>
      </w:r>
      <w:proofErr w:type="spellEnd"/>
      <w:r w:rsidRPr="00536C78">
        <w:rPr>
          <w:color w:val="000000"/>
        </w:rPr>
        <w:t xml:space="preserve"> </w:t>
      </w:r>
      <w:proofErr w:type="spellStart"/>
      <w:r w:rsidRPr="00536C78">
        <w:rPr>
          <w:color w:val="000000"/>
        </w:rPr>
        <w:t>means</w:t>
      </w:r>
      <w:proofErr w:type="spellEnd"/>
      <w:r w:rsidRPr="00536C78">
        <w:rPr>
          <w:color w:val="000000"/>
        </w:rPr>
        <w:t xml:space="preserve">. </w:t>
      </w:r>
      <w:proofErr w:type="spellStart"/>
      <w:r w:rsidRPr="00536C78">
        <w:rPr>
          <w:color w:val="000000"/>
        </w:rPr>
        <w:t>In</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paper</w:t>
      </w:r>
      <w:proofErr w:type="spellEnd"/>
      <w:r w:rsidRPr="00536C78">
        <w:rPr>
          <w:color w:val="000000"/>
        </w:rPr>
        <w:t xml:space="preserve">, </w:t>
      </w:r>
      <w:proofErr w:type="spellStart"/>
      <w:r w:rsidRPr="00536C78">
        <w:rPr>
          <w:color w:val="000000"/>
        </w:rPr>
        <w:t>which</w:t>
      </w:r>
      <w:proofErr w:type="spellEnd"/>
      <w:r w:rsidRPr="00536C78">
        <w:rPr>
          <w:color w:val="000000"/>
        </w:rPr>
        <w:t xml:space="preserve"> </w:t>
      </w:r>
      <w:proofErr w:type="spellStart"/>
      <w:r w:rsidRPr="00536C78">
        <w:rPr>
          <w:color w:val="000000"/>
        </w:rPr>
        <w:t>uses</w:t>
      </w:r>
      <w:proofErr w:type="spellEnd"/>
      <w:r w:rsidRPr="00536C78">
        <w:rPr>
          <w:color w:val="000000"/>
        </w:rPr>
        <w:t xml:space="preserve"> a </w:t>
      </w:r>
      <w:proofErr w:type="spellStart"/>
      <w:r w:rsidRPr="00536C78">
        <w:rPr>
          <w:color w:val="000000"/>
        </w:rPr>
        <w:t>qualitative</w:t>
      </w:r>
      <w:proofErr w:type="spellEnd"/>
      <w:r w:rsidRPr="00536C78">
        <w:rPr>
          <w:color w:val="000000"/>
        </w:rPr>
        <w:t xml:space="preserve"> </w:t>
      </w:r>
      <w:proofErr w:type="spellStart"/>
      <w:r w:rsidRPr="00536C78">
        <w:rPr>
          <w:color w:val="000000"/>
        </w:rPr>
        <w:t>research</w:t>
      </w:r>
      <w:proofErr w:type="spellEnd"/>
      <w:r w:rsidRPr="00536C78">
        <w:rPr>
          <w:color w:val="000000"/>
        </w:rPr>
        <w:t xml:space="preserve"> </w:t>
      </w:r>
      <w:proofErr w:type="spellStart"/>
      <w:r w:rsidRPr="00536C78">
        <w:rPr>
          <w:color w:val="000000"/>
        </w:rPr>
        <w:t>design</w:t>
      </w:r>
      <w:proofErr w:type="spellEnd"/>
      <w:r w:rsidRPr="00536C78">
        <w:rPr>
          <w:color w:val="000000"/>
        </w:rPr>
        <w:t xml:space="preserve">, </w:t>
      </w:r>
      <w:proofErr w:type="spellStart"/>
      <w:r w:rsidRPr="00536C78">
        <w:rPr>
          <w:color w:val="000000"/>
        </w:rPr>
        <w:t>historical</w:t>
      </w:r>
      <w:proofErr w:type="spellEnd"/>
      <w:r w:rsidRPr="00536C78">
        <w:rPr>
          <w:color w:val="000000"/>
        </w:rPr>
        <w:t xml:space="preserve"> </w:t>
      </w:r>
      <w:proofErr w:type="spellStart"/>
      <w:r w:rsidRPr="00536C78">
        <w:rPr>
          <w:color w:val="000000"/>
        </w:rPr>
        <w:t>records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sociological</w:t>
      </w:r>
      <w:proofErr w:type="spellEnd"/>
      <w:r w:rsidRPr="00536C78">
        <w:rPr>
          <w:color w:val="000000"/>
        </w:rPr>
        <w:t xml:space="preserve"> </w:t>
      </w:r>
      <w:proofErr w:type="gramStart"/>
      <w:r w:rsidRPr="00536C78">
        <w:rPr>
          <w:color w:val="000000"/>
        </w:rPr>
        <w:t>data</w:t>
      </w:r>
      <w:proofErr w:type="gramEnd"/>
      <w:r w:rsidRPr="00536C78">
        <w:rPr>
          <w:color w:val="000000"/>
        </w:rPr>
        <w:t xml:space="preserve"> </w:t>
      </w:r>
      <w:proofErr w:type="spellStart"/>
      <w:r w:rsidRPr="00536C78">
        <w:rPr>
          <w:color w:val="000000"/>
        </w:rPr>
        <w:t>regarding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London</w:t>
      </w:r>
      <w:proofErr w:type="spellEnd"/>
      <w:r w:rsidRPr="00536C78">
        <w:rPr>
          <w:color w:val="000000"/>
        </w:rPr>
        <w:t xml:space="preserve"> </w:t>
      </w:r>
      <w:proofErr w:type="spellStart"/>
      <w:r w:rsidRPr="00536C78">
        <w:rPr>
          <w:color w:val="000000"/>
        </w:rPr>
        <w:t>Plague</w:t>
      </w:r>
      <w:proofErr w:type="spellEnd"/>
      <w:r w:rsidRPr="00536C78">
        <w:rPr>
          <w:color w:val="000000"/>
        </w:rPr>
        <w:t xml:space="preserve"> of 1665 </w:t>
      </w:r>
      <w:proofErr w:type="spellStart"/>
      <w:r w:rsidRPr="00536C78">
        <w:rPr>
          <w:color w:val="000000"/>
        </w:rPr>
        <w:t>were</w:t>
      </w:r>
      <w:proofErr w:type="spellEnd"/>
      <w:r w:rsidRPr="00536C78">
        <w:rPr>
          <w:color w:val="000000"/>
        </w:rPr>
        <w:t xml:space="preserve"> </w:t>
      </w:r>
      <w:proofErr w:type="spellStart"/>
      <w:r w:rsidRPr="00536C78">
        <w:rPr>
          <w:color w:val="000000"/>
        </w:rPr>
        <w:t>examined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w:t>
      </w:r>
      <w:proofErr w:type="spellStart"/>
      <w:r w:rsidRPr="00536C78">
        <w:rPr>
          <w:color w:val="000000"/>
        </w:rPr>
        <w:t>titled</w:t>
      </w:r>
      <w:proofErr w:type="spellEnd"/>
      <w:r w:rsidRPr="00536C78">
        <w:rPr>
          <w:color w:val="000000"/>
        </w:rPr>
        <w:t xml:space="preserve"> </w:t>
      </w:r>
      <w:r w:rsidRPr="00536C78">
        <w:rPr>
          <w:i/>
          <w:iCs/>
          <w:color w:val="000000"/>
        </w:rPr>
        <w:t xml:space="preserve">A </w:t>
      </w:r>
      <w:proofErr w:type="spellStart"/>
      <w:r w:rsidRPr="00536C78">
        <w:rPr>
          <w:i/>
          <w:iCs/>
          <w:color w:val="000000"/>
        </w:rPr>
        <w:t>Journal</w:t>
      </w:r>
      <w:proofErr w:type="spellEnd"/>
      <w:r w:rsidRPr="00536C78">
        <w:rPr>
          <w:i/>
          <w:iCs/>
          <w:color w:val="000000"/>
        </w:rPr>
        <w:t xml:space="preserve"> of </w:t>
      </w:r>
      <w:proofErr w:type="spellStart"/>
      <w:r w:rsidRPr="00536C78">
        <w:rPr>
          <w:i/>
          <w:iCs/>
          <w:color w:val="000000"/>
        </w:rPr>
        <w:t>the</w:t>
      </w:r>
      <w:proofErr w:type="spellEnd"/>
      <w:r w:rsidRPr="00536C78">
        <w:rPr>
          <w:i/>
          <w:iCs/>
          <w:color w:val="000000"/>
        </w:rPr>
        <w:t xml:space="preserve"> </w:t>
      </w:r>
      <w:proofErr w:type="spellStart"/>
      <w:r w:rsidRPr="00536C78">
        <w:rPr>
          <w:i/>
          <w:iCs/>
          <w:color w:val="000000"/>
        </w:rPr>
        <w:t>Plague</w:t>
      </w:r>
      <w:proofErr w:type="spellEnd"/>
      <w:r w:rsidRPr="00536C78">
        <w:rPr>
          <w:i/>
          <w:iCs/>
          <w:color w:val="000000"/>
        </w:rPr>
        <w:t xml:space="preserve"> </w:t>
      </w:r>
      <w:proofErr w:type="spellStart"/>
      <w:r w:rsidRPr="00536C78">
        <w:rPr>
          <w:i/>
          <w:iCs/>
          <w:color w:val="000000"/>
        </w:rPr>
        <w:t>Year</w:t>
      </w:r>
      <w:proofErr w:type="spellEnd"/>
      <w:r w:rsidRPr="00536C78">
        <w:rPr>
          <w:color w:val="000000"/>
        </w:rPr>
        <w:t xml:space="preserve"> </w:t>
      </w:r>
      <w:proofErr w:type="spellStart"/>
      <w:r w:rsidRPr="00536C78">
        <w:rPr>
          <w:color w:val="000000"/>
        </w:rPr>
        <w:t>was</w:t>
      </w:r>
      <w:proofErr w:type="spellEnd"/>
      <w:r w:rsidRPr="00536C78">
        <w:rPr>
          <w:color w:val="000000"/>
        </w:rPr>
        <w:t xml:space="preserve"> </w:t>
      </w:r>
      <w:proofErr w:type="spellStart"/>
      <w:r w:rsidRPr="00536C78">
        <w:rPr>
          <w:color w:val="000000"/>
        </w:rPr>
        <w:t>analyzed</w:t>
      </w:r>
      <w:proofErr w:type="spellEnd"/>
      <w:r w:rsidRPr="00536C78">
        <w:rPr>
          <w:color w:val="000000"/>
        </w:rPr>
        <w:t xml:space="preserve"> in </w:t>
      </w:r>
      <w:proofErr w:type="spellStart"/>
      <w:r w:rsidRPr="00536C78">
        <w:rPr>
          <w:color w:val="000000"/>
        </w:rPr>
        <w:t>terms</w:t>
      </w:r>
      <w:proofErr w:type="spellEnd"/>
      <w:r w:rsidRPr="00536C78">
        <w:rPr>
          <w:color w:val="000000"/>
        </w:rPr>
        <w:t xml:space="preserve"> of how it </w:t>
      </w:r>
      <w:proofErr w:type="spellStart"/>
      <w:r w:rsidRPr="00536C78">
        <w:rPr>
          <w:color w:val="000000"/>
        </w:rPr>
        <w:t>reflects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individual</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the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period</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psychological</w:t>
      </w:r>
      <w:proofErr w:type="spellEnd"/>
      <w:r w:rsidRPr="00536C78">
        <w:rPr>
          <w:color w:val="000000"/>
        </w:rPr>
        <w:t xml:space="preserve"> </w:t>
      </w:r>
      <w:proofErr w:type="spellStart"/>
      <w:r w:rsidRPr="00536C78">
        <w:rPr>
          <w:color w:val="000000"/>
        </w:rPr>
        <w:t>reactions</w:t>
      </w:r>
      <w:proofErr w:type="spellEnd"/>
      <w:r w:rsidRPr="00536C78">
        <w:rPr>
          <w:color w:val="000000"/>
        </w:rPr>
        <w:t xml:space="preserve"> of </w:t>
      </w:r>
      <w:proofErr w:type="spellStart"/>
      <w:r w:rsidRPr="00536C78">
        <w:rPr>
          <w:color w:val="000000"/>
        </w:rPr>
        <w:t>society</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crises</w:t>
      </w:r>
      <w:proofErr w:type="spellEnd"/>
      <w:r w:rsidRPr="00536C78">
        <w:rPr>
          <w:color w:val="000000"/>
        </w:rPr>
        <w:t xml:space="preserve"> </w:t>
      </w:r>
      <w:proofErr w:type="spellStart"/>
      <w:r w:rsidRPr="00536C78">
        <w:rPr>
          <w:color w:val="000000"/>
        </w:rPr>
        <w:t>were</w:t>
      </w:r>
      <w:proofErr w:type="spellEnd"/>
      <w:r w:rsidRPr="00536C78">
        <w:rPr>
          <w:color w:val="000000"/>
        </w:rPr>
        <w:t xml:space="preserve"> </w:t>
      </w:r>
      <w:proofErr w:type="spellStart"/>
      <w:r w:rsidRPr="00536C78">
        <w:rPr>
          <w:color w:val="000000"/>
        </w:rPr>
        <w:t>evaluated</w:t>
      </w:r>
      <w:proofErr w:type="spellEnd"/>
      <w:r w:rsidRPr="00536C78">
        <w:rPr>
          <w:color w:val="000000"/>
        </w:rPr>
        <w:t xml:space="preserve"> in </w:t>
      </w:r>
      <w:proofErr w:type="spellStart"/>
      <w:r w:rsidRPr="00536C78">
        <w:rPr>
          <w:color w:val="000000"/>
        </w:rPr>
        <w:t>the</w:t>
      </w:r>
      <w:proofErr w:type="spellEnd"/>
      <w:r w:rsidRPr="00536C78">
        <w:rPr>
          <w:color w:val="000000"/>
        </w:rPr>
        <w:t xml:space="preserve"> </w:t>
      </w:r>
      <w:proofErr w:type="spellStart"/>
      <w:r w:rsidRPr="00536C78">
        <w:rPr>
          <w:color w:val="000000"/>
        </w:rPr>
        <w:t>context</w:t>
      </w:r>
      <w:proofErr w:type="spellEnd"/>
      <w:r w:rsidRPr="00536C78">
        <w:rPr>
          <w:color w:val="000000"/>
        </w:rPr>
        <w:t xml:space="preserve"> of </w:t>
      </w:r>
      <w:proofErr w:type="spellStart"/>
      <w:r w:rsidRPr="00536C78">
        <w:rPr>
          <w:color w:val="000000"/>
        </w:rPr>
        <w:t>collective</w:t>
      </w:r>
      <w:proofErr w:type="spellEnd"/>
      <w:r w:rsidRPr="00536C78">
        <w:rPr>
          <w:color w:val="000000"/>
        </w:rPr>
        <w:t xml:space="preserve"> </w:t>
      </w:r>
      <w:proofErr w:type="spellStart"/>
      <w:r w:rsidRPr="00536C78">
        <w:rPr>
          <w:color w:val="000000"/>
        </w:rPr>
        <w:t>trauma</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solidarity</w:t>
      </w:r>
      <w:proofErr w:type="spellEnd"/>
      <w:r w:rsidRPr="00536C78">
        <w:rPr>
          <w:color w:val="000000"/>
        </w:rPr>
        <w:t xml:space="preserve">. </w:t>
      </w:r>
      <w:proofErr w:type="spellStart"/>
      <w:r w:rsidRPr="00536C78">
        <w:rPr>
          <w:color w:val="000000"/>
        </w:rPr>
        <w:t>According</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findings</w:t>
      </w:r>
      <w:proofErr w:type="spellEnd"/>
      <w:r w:rsidRPr="00536C78">
        <w:rPr>
          <w:color w:val="000000"/>
        </w:rPr>
        <w:t xml:space="preserve">, </w:t>
      </w:r>
      <w:proofErr w:type="spellStart"/>
      <w:r w:rsidRPr="00536C78">
        <w:rPr>
          <w:color w:val="000000"/>
        </w:rPr>
        <w:t>Defoe’s</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w:t>
      </w:r>
      <w:proofErr w:type="spellStart"/>
      <w:r w:rsidRPr="00536C78">
        <w:rPr>
          <w:color w:val="000000"/>
        </w:rPr>
        <w:t>emphasizes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isolation</w:t>
      </w:r>
      <w:proofErr w:type="spellEnd"/>
      <w:r w:rsidRPr="00536C78">
        <w:rPr>
          <w:color w:val="000000"/>
        </w:rPr>
        <w:t xml:space="preserve"> of </w:t>
      </w:r>
      <w:proofErr w:type="spellStart"/>
      <w:r w:rsidRPr="00536C78">
        <w:rPr>
          <w:color w:val="000000"/>
        </w:rPr>
        <w:t>individuals</w:t>
      </w:r>
      <w:proofErr w:type="spellEnd"/>
      <w:r w:rsidRPr="00536C78">
        <w:rPr>
          <w:color w:val="000000"/>
        </w:rPr>
        <w:t xml:space="preserve"> </w:t>
      </w:r>
      <w:proofErr w:type="spellStart"/>
      <w:r w:rsidRPr="00536C78">
        <w:rPr>
          <w:color w:val="000000"/>
        </w:rPr>
        <w:t>within</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community</w:t>
      </w:r>
      <w:proofErr w:type="spellEnd"/>
      <w:r w:rsidRPr="00536C78">
        <w:rPr>
          <w:color w:val="000000"/>
        </w:rPr>
        <w:t xml:space="preserve"> </w:t>
      </w:r>
      <w:proofErr w:type="spellStart"/>
      <w:r w:rsidRPr="00536C78">
        <w:rPr>
          <w:color w:val="000000"/>
        </w:rPr>
        <w:t>during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feelings</w:t>
      </w:r>
      <w:proofErr w:type="spellEnd"/>
      <w:r w:rsidRPr="00536C78">
        <w:rPr>
          <w:color w:val="000000"/>
        </w:rPr>
        <w:t xml:space="preserve"> of </w:t>
      </w:r>
      <w:proofErr w:type="spellStart"/>
      <w:r w:rsidRPr="00536C78">
        <w:rPr>
          <w:color w:val="000000"/>
        </w:rPr>
        <w:t>fear</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insecurity</w:t>
      </w:r>
      <w:proofErr w:type="spellEnd"/>
      <w:r w:rsidRPr="00536C78">
        <w:rPr>
          <w:color w:val="000000"/>
        </w:rPr>
        <w:t xml:space="preserve"> </w:t>
      </w:r>
      <w:proofErr w:type="spellStart"/>
      <w:r w:rsidRPr="00536C78">
        <w:rPr>
          <w:color w:val="000000"/>
        </w:rPr>
        <w:t>created</w:t>
      </w:r>
      <w:proofErr w:type="spellEnd"/>
      <w:r w:rsidRPr="00536C78">
        <w:rPr>
          <w:color w:val="000000"/>
        </w:rPr>
        <w:t xml:space="preserve"> </w:t>
      </w:r>
      <w:proofErr w:type="spellStart"/>
      <w:r w:rsidRPr="00536C78">
        <w:rPr>
          <w:color w:val="000000"/>
        </w:rPr>
        <w:t>by</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situation</w:t>
      </w:r>
      <w:proofErr w:type="spellEnd"/>
      <w:r w:rsidRPr="00536C78">
        <w:rPr>
          <w:color w:val="000000"/>
        </w:rPr>
        <w:t xml:space="preserve">. At </w:t>
      </w:r>
      <w:proofErr w:type="spellStart"/>
      <w:r w:rsidRPr="00536C78">
        <w:rPr>
          <w:color w:val="000000"/>
        </w:rPr>
        <w:t>the</w:t>
      </w:r>
      <w:proofErr w:type="spellEnd"/>
      <w:r w:rsidRPr="00536C78">
        <w:rPr>
          <w:color w:val="000000"/>
        </w:rPr>
        <w:t xml:space="preserve"> </w:t>
      </w:r>
      <w:proofErr w:type="spellStart"/>
      <w:r w:rsidRPr="00536C78">
        <w:rPr>
          <w:color w:val="000000"/>
        </w:rPr>
        <w:t>same</w:t>
      </w:r>
      <w:proofErr w:type="spellEnd"/>
      <w:r w:rsidRPr="00536C78">
        <w:rPr>
          <w:color w:val="000000"/>
        </w:rPr>
        <w:t xml:space="preserve"> time, </w:t>
      </w:r>
      <w:proofErr w:type="spellStart"/>
      <w:r w:rsidRPr="00536C78">
        <w:rPr>
          <w:color w:val="000000"/>
        </w:rPr>
        <w:t>the</w:t>
      </w:r>
      <w:proofErr w:type="spellEnd"/>
      <w:r w:rsidRPr="00536C78">
        <w:rPr>
          <w:color w:val="000000"/>
        </w:rPr>
        <w:t xml:space="preserve"> </w:t>
      </w:r>
      <w:proofErr w:type="spellStart"/>
      <w:r w:rsidRPr="00536C78">
        <w:rPr>
          <w:color w:val="000000"/>
        </w:rPr>
        <w:t>efforts</w:t>
      </w:r>
      <w:proofErr w:type="spellEnd"/>
      <w:r w:rsidRPr="00536C78">
        <w:rPr>
          <w:color w:val="000000"/>
        </w:rPr>
        <w:t xml:space="preserve"> of </w:t>
      </w:r>
      <w:proofErr w:type="spellStart"/>
      <w:r w:rsidRPr="00536C78">
        <w:rPr>
          <w:color w:val="000000"/>
        </w:rPr>
        <w:t>some</w:t>
      </w:r>
      <w:proofErr w:type="spellEnd"/>
      <w:r w:rsidRPr="00536C78">
        <w:rPr>
          <w:color w:val="000000"/>
        </w:rPr>
        <w:t xml:space="preserve"> </w:t>
      </w:r>
      <w:proofErr w:type="spellStart"/>
      <w:r w:rsidRPr="00536C78">
        <w:rPr>
          <w:color w:val="000000"/>
        </w:rPr>
        <w:t>individuals</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serve</w:t>
      </w:r>
      <w:proofErr w:type="spellEnd"/>
      <w:r w:rsidRPr="00536C78">
        <w:rPr>
          <w:color w:val="000000"/>
        </w:rPr>
        <w:t xml:space="preserve"> </w:t>
      </w:r>
      <w:proofErr w:type="spellStart"/>
      <w:r w:rsidRPr="00536C78">
        <w:rPr>
          <w:color w:val="000000"/>
        </w:rPr>
        <w:t>society</w:t>
      </w:r>
      <w:proofErr w:type="spellEnd"/>
      <w:r w:rsidRPr="00536C78">
        <w:rPr>
          <w:color w:val="000000"/>
        </w:rPr>
        <w:t xml:space="preserve"> </w:t>
      </w:r>
      <w:proofErr w:type="spellStart"/>
      <w:r w:rsidRPr="00536C78">
        <w:rPr>
          <w:color w:val="000000"/>
        </w:rPr>
        <w:t>by</w:t>
      </w:r>
      <w:proofErr w:type="spellEnd"/>
      <w:r w:rsidRPr="00536C78">
        <w:rPr>
          <w:color w:val="000000"/>
        </w:rPr>
        <w:t xml:space="preserve"> </w:t>
      </w:r>
      <w:proofErr w:type="spellStart"/>
      <w:r w:rsidRPr="00536C78">
        <w:rPr>
          <w:color w:val="000000"/>
        </w:rPr>
        <w:t>showing</w:t>
      </w:r>
      <w:proofErr w:type="spellEnd"/>
      <w:r w:rsidRPr="00536C78">
        <w:rPr>
          <w:color w:val="000000"/>
        </w:rPr>
        <w:t xml:space="preserve"> </w:t>
      </w:r>
      <w:proofErr w:type="spellStart"/>
      <w:r w:rsidRPr="00536C78">
        <w:rPr>
          <w:color w:val="000000"/>
        </w:rPr>
        <w:t>solidarity</w:t>
      </w:r>
      <w:proofErr w:type="spellEnd"/>
      <w:r w:rsidRPr="00536C78">
        <w:rPr>
          <w:color w:val="000000"/>
        </w:rPr>
        <w:t xml:space="preserve"> </w:t>
      </w:r>
      <w:proofErr w:type="spellStart"/>
      <w:r w:rsidRPr="00536C78">
        <w:rPr>
          <w:color w:val="000000"/>
        </w:rPr>
        <w:t>are</w:t>
      </w:r>
      <w:proofErr w:type="spellEnd"/>
      <w:r w:rsidRPr="00536C78">
        <w:rPr>
          <w:color w:val="000000"/>
        </w:rPr>
        <w:t xml:space="preserve"> </w:t>
      </w:r>
      <w:proofErr w:type="spellStart"/>
      <w:r w:rsidRPr="00536C78">
        <w:rPr>
          <w:color w:val="000000"/>
        </w:rPr>
        <w:t>also</w:t>
      </w:r>
      <w:proofErr w:type="spellEnd"/>
      <w:r w:rsidRPr="00536C78">
        <w:rPr>
          <w:color w:val="000000"/>
        </w:rPr>
        <w:t xml:space="preserve"> </w:t>
      </w:r>
      <w:proofErr w:type="spellStart"/>
      <w:r w:rsidRPr="00536C78">
        <w:rPr>
          <w:color w:val="000000"/>
        </w:rPr>
        <w:t>discussed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characters</w:t>
      </w:r>
      <w:proofErr w:type="spellEnd"/>
      <w:r w:rsidRPr="00536C78">
        <w:rPr>
          <w:color w:val="000000"/>
        </w:rPr>
        <w:t xml:space="preserve">’ </w:t>
      </w:r>
      <w:proofErr w:type="spellStart"/>
      <w:r w:rsidRPr="00536C78">
        <w:rPr>
          <w:color w:val="000000"/>
        </w:rPr>
        <w:t>feelings</w:t>
      </w:r>
      <w:proofErr w:type="spellEnd"/>
      <w:r w:rsidRPr="00536C78">
        <w:rPr>
          <w:color w:val="000000"/>
        </w:rPr>
        <w:t xml:space="preserve"> of </w:t>
      </w:r>
      <w:proofErr w:type="spellStart"/>
      <w:r w:rsidRPr="00536C78">
        <w:rPr>
          <w:color w:val="000000"/>
        </w:rPr>
        <w:t>fear</w:t>
      </w:r>
      <w:proofErr w:type="spellEnd"/>
      <w:r w:rsidRPr="00536C78">
        <w:rPr>
          <w:color w:val="000000"/>
        </w:rPr>
        <w:t xml:space="preserve">, </w:t>
      </w:r>
      <w:proofErr w:type="spellStart"/>
      <w:r w:rsidRPr="00536C78">
        <w:rPr>
          <w:color w:val="000000"/>
        </w:rPr>
        <w:t>despair</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guilt</w:t>
      </w:r>
      <w:proofErr w:type="spellEnd"/>
      <w:r w:rsidRPr="00536C78">
        <w:rPr>
          <w:color w:val="000000"/>
        </w:rPr>
        <w:t xml:space="preserve"> in </w:t>
      </w:r>
      <w:proofErr w:type="spellStart"/>
      <w:r w:rsidRPr="00536C78">
        <w:rPr>
          <w:color w:val="000000"/>
        </w:rPr>
        <w:t>the</w:t>
      </w:r>
      <w:proofErr w:type="spellEnd"/>
      <w:r w:rsidRPr="00536C78">
        <w:rPr>
          <w:color w:val="000000"/>
        </w:rPr>
        <w:t xml:space="preserve"> </w:t>
      </w:r>
      <w:proofErr w:type="spellStart"/>
      <w:r w:rsidRPr="00536C78">
        <w:rPr>
          <w:color w:val="000000"/>
        </w:rPr>
        <w:t>face</w:t>
      </w:r>
      <w:proofErr w:type="spellEnd"/>
      <w:r w:rsidRPr="00536C78">
        <w:rPr>
          <w:color w:val="000000"/>
        </w:rPr>
        <w:t xml:space="preserve"> of </w:t>
      </w:r>
      <w:proofErr w:type="spellStart"/>
      <w:r w:rsidRPr="00536C78">
        <w:rPr>
          <w:color w:val="000000"/>
        </w:rPr>
        <w:t>the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are</w:t>
      </w:r>
      <w:proofErr w:type="spellEnd"/>
      <w:r w:rsidRPr="00536C78">
        <w:rPr>
          <w:color w:val="000000"/>
        </w:rPr>
        <w:t xml:space="preserve"> </w:t>
      </w:r>
      <w:proofErr w:type="spellStart"/>
      <w:r w:rsidRPr="00536C78">
        <w:rPr>
          <w:color w:val="000000"/>
        </w:rPr>
        <w:t>discussed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fear</w:t>
      </w:r>
      <w:proofErr w:type="spellEnd"/>
      <w:r w:rsidRPr="00536C78">
        <w:rPr>
          <w:color w:val="000000"/>
        </w:rPr>
        <w:t xml:space="preserve"> of </w:t>
      </w:r>
      <w:proofErr w:type="spellStart"/>
      <w:r w:rsidRPr="00536C78">
        <w:rPr>
          <w:color w:val="000000"/>
        </w:rPr>
        <w:t>death</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unknown</w:t>
      </w:r>
      <w:proofErr w:type="spellEnd"/>
      <w:r w:rsidRPr="00536C78">
        <w:rPr>
          <w:color w:val="000000"/>
        </w:rPr>
        <w:t xml:space="preserve"> </w:t>
      </w:r>
      <w:proofErr w:type="spellStart"/>
      <w:r w:rsidRPr="00536C78">
        <w:rPr>
          <w:color w:val="000000"/>
        </w:rPr>
        <w:t>causes</w:t>
      </w:r>
      <w:proofErr w:type="spellEnd"/>
      <w:r w:rsidRPr="00536C78">
        <w:rPr>
          <w:color w:val="000000"/>
        </w:rPr>
        <w:t xml:space="preserve"> </w:t>
      </w:r>
      <w:proofErr w:type="spellStart"/>
      <w:r w:rsidRPr="00536C78">
        <w:rPr>
          <w:color w:val="000000"/>
        </w:rPr>
        <w:t>individuals</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question</w:t>
      </w:r>
      <w:proofErr w:type="spellEnd"/>
      <w:r w:rsidRPr="00536C78">
        <w:rPr>
          <w:color w:val="000000"/>
        </w:rPr>
        <w:t xml:space="preserve"> </w:t>
      </w:r>
      <w:proofErr w:type="spellStart"/>
      <w:r w:rsidRPr="00536C78">
        <w:rPr>
          <w:color w:val="000000"/>
        </w:rPr>
        <w:t>their</w:t>
      </w:r>
      <w:proofErr w:type="spellEnd"/>
      <w:r w:rsidRPr="00536C78">
        <w:rPr>
          <w:color w:val="000000"/>
        </w:rPr>
        <w:t xml:space="preserve"> moral </w:t>
      </w:r>
      <w:proofErr w:type="spellStart"/>
      <w:r w:rsidRPr="00536C78">
        <w:rPr>
          <w:color w:val="000000"/>
        </w:rPr>
        <w:t>values</w:t>
      </w:r>
      <w:proofErr w:type="spellEnd"/>
      <w:r w:rsidRPr="00536C78">
        <w:rPr>
          <w:color w:val="000000"/>
        </w:rPr>
        <w:t xml:space="preserve">. </w:t>
      </w:r>
      <w:proofErr w:type="spellStart"/>
      <w:r w:rsidRPr="00536C78">
        <w:rPr>
          <w:color w:val="000000"/>
        </w:rPr>
        <w:t>It</w:t>
      </w:r>
      <w:proofErr w:type="spellEnd"/>
      <w:r w:rsidRPr="00536C78">
        <w:rPr>
          <w:color w:val="000000"/>
        </w:rPr>
        <w:t xml:space="preserve"> is </w:t>
      </w:r>
      <w:proofErr w:type="spellStart"/>
      <w:r w:rsidRPr="00536C78">
        <w:rPr>
          <w:color w:val="000000"/>
        </w:rPr>
        <w:t>seen</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class</w:t>
      </w:r>
      <w:proofErr w:type="spellEnd"/>
      <w:r w:rsidRPr="00536C78">
        <w:rPr>
          <w:color w:val="000000"/>
        </w:rPr>
        <w:t xml:space="preserve"> </w:t>
      </w:r>
      <w:proofErr w:type="spellStart"/>
      <w:r w:rsidRPr="00536C78">
        <w:rPr>
          <w:color w:val="000000"/>
        </w:rPr>
        <w:t>differences</w:t>
      </w:r>
      <w:proofErr w:type="spellEnd"/>
      <w:r w:rsidRPr="00536C78">
        <w:rPr>
          <w:color w:val="000000"/>
        </w:rPr>
        <w:t xml:space="preserve"> </w:t>
      </w:r>
      <w:proofErr w:type="spellStart"/>
      <w:r w:rsidRPr="00536C78">
        <w:rPr>
          <w:color w:val="000000"/>
        </w:rPr>
        <w:t>lose</w:t>
      </w:r>
      <w:proofErr w:type="spellEnd"/>
      <w:r w:rsidRPr="00536C78">
        <w:rPr>
          <w:color w:val="000000"/>
        </w:rPr>
        <w:t xml:space="preserve"> </w:t>
      </w:r>
      <w:proofErr w:type="spellStart"/>
      <w:r w:rsidRPr="00536C78">
        <w:rPr>
          <w:color w:val="000000"/>
        </w:rPr>
        <w:t>their</w:t>
      </w:r>
      <w:proofErr w:type="spellEnd"/>
      <w:r w:rsidRPr="00536C78">
        <w:rPr>
          <w:color w:val="000000"/>
        </w:rPr>
        <w:t xml:space="preserve"> </w:t>
      </w:r>
      <w:proofErr w:type="spellStart"/>
      <w:r w:rsidRPr="00536C78">
        <w:rPr>
          <w:color w:val="000000"/>
        </w:rPr>
        <w:t>prominence</w:t>
      </w:r>
      <w:proofErr w:type="spellEnd"/>
      <w:r w:rsidRPr="00536C78">
        <w:rPr>
          <w:color w:val="000000"/>
        </w:rPr>
        <w:t xml:space="preserve"> </w:t>
      </w:r>
      <w:proofErr w:type="spellStart"/>
      <w:r w:rsidRPr="00536C78">
        <w:rPr>
          <w:color w:val="000000"/>
        </w:rPr>
        <w:t>during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period</w:t>
      </w:r>
      <w:proofErr w:type="spellEnd"/>
      <w:r w:rsidRPr="00536C78">
        <w:rPr>
          <w:color w:val="000000"/>
        </w:rPr>
        <w:t xml:space="preserve">, but </w:t>
      </w:r>
      <w:proofErr w:type="spellStart"/>
      <w:r w:rsidRPr="00536C78">
        <w:rPr>
          <w:color w:val="000000"/>
        </w:rPr>
        <w:t>discrimination</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prejudice</w:t>
      </w:r>
      <w:proofErr w:type="spellEnd"/>
      <w:r w:rsidRPr="00536C78">
        <w:rPr>
          <w:color w:val="000000"/>
        </w:rPr>
        <w:t xml:space="preserve"> </w:t>
      </w:r>
      <w:proofErr w:type="spellStart"/>
      <w:r w:rsidRPr="00536C78">
        <w:rPr>
          <w:color w:val="000000"/>
        </w:rPr>
        <w:t>increase</w:t>
      </w:r>
      <w:proofErr w:type="spellEnd"/>
      <w:r w:rsidRPr="00536C78">
        <w:rPr>
          <w:color w:val="000000"/>
        </w:rPr>
        <w:t xml:space="preserve">. </w:t>
      </w:r>
      <w:proofErr w:type="spellStart"/>
      <w:r w:rsidRPr="00536C78">
        <w:rPr>
          <w:color w:val="000000"/>
        </w:rPr>
        <w:t>Religious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moral </w:t>
      </w:r>
      <w:proofErr w:type="spellStart"/>
      <w:r w:rsidRPr="00536C78">
        <w:rPr>
          <w:color w:val="000000"/>
        </w:rPr>
        <w:t>values</w:t>
      </w:r>
      <w:proofErr w:type="spellEnd"/>
      <w:r w:rsidRPr="00536C78">
        <w:rPr>
          <w:color w:val="000000"/>
        </w:rPr>
        <w:t xml:space="preserve"> ​​</w:t>
      </w:r>
      <w:proofErr w:type="spellStart"/>
      <w:r w:rsidRPr="00536C78">
        <w:rPr>
          <w:color w:val="000000"/>
        </w:rPr>
        <w:t>are</w:t>
      </w:r>
      <w:proofErr w:type="spellEnd"/>
      <w:r w:rsidRPr="00536C78">
        <w:rPr>
          <w:color w:val="000000"/>
        </w:rPr>
        <w:t xml:space="preserve"> </w:t>
      </w:r>
      <w:proofErr w:type="spellStart"/>
      <w:r w:rsidRPr="00536C78">
        <w:rPr>
          <w:color w:val="000000"/>
        </w:rPr>
        <w:t>interpreted</w:t>
      </w:r>
      <w:proofErr w:type="spellEnd"/>
      <w:r w:rsidRPr="00536C78">
        <w:rPr>
          <w:color w:val="000000"/>
        </w:rPr>
        <w:t xml:space="preserve"> </w:t>
      </w:r>
      <w:proofErr w:type="spellStart"/>
      <w:r w:rsidRPr="00536C78">
        <w:rPr>
          <w:color w:val="000000"/>
        </w:rPr>
        <w:t>differently</w:t>
      </w:r>
      <w:proofErr w:type="spellEnd"/>
      <w:r w:rsidRPr="00536C78">
        <w:rPr>
          <w:color w:val="000000"/>
        </w:rPr>
        <w:t xml:space="preserve"> </w:t>
      </w:r>
      <w:proofErr w:type="spellStart"/>
      <w:r w:rsidRPr="00536C78">
        <w:rPr>
          <w:color w:val="000000"/>
        </w:rPr>
        <w:t>during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process</w:t>
      </w:r>
      <w:proofErr w:type="spellEnd"/>
      <w:r w:rsidRPr="00536C78">
        <w:rPr>
          <w:color w:val="000000"/>
        </w:rPr>
        <w:t xml:space="preserve">; they </w:t>
      </w:r>
      <w:proofErr w:type="spellStart"/>
      <w:r w:rsidRPr="00536C78">
        <w:rPr>
          <w:color w:val="000000"/>
        </w:rPr>
        <w:t>are</w:t>
      </w:r>
      <w:proofErr w:type="spellEnd"/>
      <w:r w:rsidRPr="00536C78">
        <w:rPr>
          <w:color w:val="000000"/>
        </w:rPr>
        <w:t xml:space="preserve"> </w:t>
      </w:r>
      <w:proofErr w:type="spellStart"/>
      <w:r w:rsidRPr="00536C78">
        <w:rPr>
          <w:color w:val="000000"/>
        </w:rPr>
        <w:t>perceived</w:t>
      </w:r>
      <w:proofErr w:type="spellEnd"/>
      <w:r w:rsidRPr="00536C78">
        <w:rPr>
          <w:color w:val="000000"/>
        </w:rPr>
        <w:t xml:space="preserve"> as a test </w:t>
      </w:r>
      <w:proofErr w:type="spellStart"/>
      <w:r w:rsidRPr="00536C78">
        <w:rPr>
          <w:color w:val="000000"/>
        </w:rPr>
        <w:t>for</w:t>
      </w:r>
      <w:proofErr w:type="spellEnd"/>
      <w:r w:rsidRPr="00536C78">
        <w:rPr>
          <w:color w:val="000000"/>
        </w:rPr>
        <w:t xml:space="preserve"> </w:t>
      </w:r>
      <w:proofErr w:type="spellStart"/>
      <w:r w:rsidRPr="00536C78">
        <w:rPr>
          <w:color w:val="000000"/>
        </w:rPr>
        <w:t>some</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a </w:t>
      </w:r>
      <w:proofErr w:type="spellStart"/>
      <w:r w:rsidRPr="00536C78">
        <w:rPr>
          <w:color w:val="000000"/>
        </w:rPr>
        <w:t>punishment</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others</w:t>
      </w:r>
      <w:proofErr w:type="spellEnd"/>
      <w:r w:rsidRPr="00536C78">
        <w:rPr>
          <w:color w:val="000000"/>
        </w:rPr>
        <w:t xml:space="preserve">. </w:t>
      </w:r>
      <w:proofErr w:type="spellStart"/>
      <w:r w:rsidRPr="00536C78">
        <w:rPr>
          <w:color w:val="000000"/>
        </w:rPr>
        <w:t>Defoe</w:t>
      </w:r>
      <w:proofErr w:type="spellEnd"/>
      <w:r w:rsidRPr="00536C78">
        <w:rPr>
          <w:color w:val="000000"/>
        </w:rPr>
        <w:t xml:space="preserve"> </w:t>
      </w:r>
      <w:proofErr w:type="spellStart"/>
      <w:r w:rsidRPr="00536C78">
        <w:rPr>
          <w:color w:val="000000"/>
        </w:rPr>
        <w:t>conveys</w:t>
      </w:r>
      <w:proofErr w:type="spellEnd"/>
      <w:r w:rsidRPr="00536C78">
        <w:rPr>
          <w:color w:val="000000"/>
        </w:rPr>
        <w:t xml:space="preserve"> how </w:t>
      </w:r>
      <w:proofErr w:type="spellStart"/>
      <w:r w:rsidRPr="00536C78">
        <w:rPr>
          <w:color w:val="000000"/>
        </w:rPr>
        <w:t>the</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order</w:t>
      </w:r>
      <w:proofErr w:type="spellEnd"/>
      <w:r w:rsidRPr="00536C78">
        <w:rPr>
          <w:color w:val="000000"/>
        </w:rPr>
        <w:t xml:space="preserve"> </w:t>
      </w:r>
      <w:proofErr w:type="spellStart"/>
      <w:r w:rsidRPr="00536C78">
        <w:rPr>
          <w:color w:val="000000"/>
        </w:rPr>
        <w:t>turns</w:t>
      </w:r>
      <w:proofErr w:type="spellEnd"/>
      <w:r w:rsidRPr="00536C78">
        <w:rPr>
          <w:color w:val="000000"/>
        </w:rPr>
        <w:t xml:space="preserve"> </w:t>
      </w:r>
      <w:proofErr w:type="spellStart"/>
      <w:r w:rsidRPr="00536C78">
        <w:rPr>
          <w:color w:val="000000"/>
        </w:rPr>
        <w:t>into</w:t>
      </w:r>
      <w:proofErr w:type="spellEnd"/>
      <w:r w:rsidRPr="00536C78">
        <w:rPr>
          <w:color w:val="000000"/>
        </w:rPr>
        <w:t xml:space="preserve"> </w:t>
      </w:r>
      <w:proofErr w:type="spellStart"/>
      <w:r w:rsidRPr="00536C78">
        <w:rPr>
          <w:color w:val="000000"/>
        </w:rPr>
        <w:t>chaos</w:t>
      </w:r>
      <w:proofErr w:type="spellEnd"/>
      <w:r w:rsidRPr="00536C78">
        <w:rPr>
          <w:color w:val="000000"/>
        </w:rPr>
        <w:t xml:space="preserve"> </w:t>
      </w:r>
      <w:proofErr w:type="spellStart"/>
      <w:r w:rsidRPr="00536C78">
        <w:rPr>
          <w:color w:val="000000"/>
        </w:rPr>
        <w:t>with</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rapid</w:t>
      </w:r>
      <w:proofErr w:type="spellEnd"/>
      <w:r w:rsidRPr="00536C78">
        <w:rPr>
          <w:color w:val="000000"/>
        </w:rPr>
        <w:t xml:space="preserve"> spread of </w:t>
      </w:r>
      <w:proofErr w:type="spellStart"/>
      <w:r w:rsidRPr="00536C78">
        <w:rPr>
          <w:color w:val="000000"/>
        </w:rPr>
        <w:t>the</w:t>
      </w:r>
      <w:proofErr w:type="spellEnd"/>
      <w:r w:rsidRPr="00536C78">
        <w:rPr>
          <w:color w:val="000000"/>
        </w:rPr>
        <w:t xml:space="preserve"> </w:t>
      </w:r>
      <w:proofErr w:type="spellStart"/>
      <w:r w:rsidRPr="00536C78">
        <w:rPr>
          <w:color w:val="000000"/>
        </w:rPr>
        <w:t>disease</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people’s</w:t>
      </w:r>
      <w:proofErr w:type="spellEnd"/>
      <w:r w:rsidRPr="00536C78">
        <w:rPr>
          <w:color w:val="000000"/>
        </w:rPr>
        <w:t xml:space="preserve"> </w:t>
      </w:r>
      <w:proofErr w:type="spellStart"/>
      <w:r w:rsidRPr="00536C78">
        <w:rPr>
          <w:color w:val="000000"/>
        </w:rPr>
        <w:t>distrust</w:t>
      </w:r>
      <w:proofErr w:type="spellEnd"/>
      <w:r w:rsidRPr="00536C78">
        <w:rPr>
          <w:color w:val="000000"/>
        </w:rPr>
        <w:t xml:space="preserve"> of </w:t>
      </w:r>
      <w:proofErr w:type="spellStart"/>
      <w:r w:rsidRPr="00536C78">
        <w:rPr>
          <w:color w:val="000000"/>
        </w:rPr>
        <w:t>each</w:t>
      </w:r>
      <w:proofErr w:type="spellEnd"/>
      <w:r w:rsidRPr="00536C78">
        <w:rPr>
          <w:color w:val="000000"/>
        </w:rPr>
        <w:t xml:space="preserve"> </w:t>
      </w:r>
      <w:proofErr w:type="spellStart"/>
      <w:r w:rsidRPr="00536C78">
        <w:rPr>
          <w:color w:val="000000"/>
        </w:rPr>
        <w:t>other</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it is </w:t>
      </w:r>
      <w:proofErr w:type="spellStart"/>
      <w:r w:rsidRPr="00536C78">
        <w:rPr>
          <w:color w:val="000000"/>
        </w:rPr>
        <w:t>observed</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gossip</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misinformation</w:t>
      </w:r>
      <w:proofErr w:type="spellEnd"/>
      <w:r w:rsidRPr="00536C78">
        <w:rPr>
          <w:color w:val="000000"/>
        </w:rPr>
        <w:t xml:space="preserve"> </w:t>
      </w:r>
      <w:proofErr w:type="spellStart"/>
      <w:r w:rsidRPr="00536C78">
        <w:rPr>
          <w:color w:val="000000"/>
        </w:rPr>
        <w:t>increase</w:t>
      </w:r>
      <w:proofErr w:type="spellEnd"/>
      <w:r w:rsidRPr="00536C78">
        <w:rPr>
          <w:color w:val="000000"/>
        </w:rPr>
        <w:t xml:space="preserve"> </w:t>
      </w:r>
      <w:proofErr w:type="spellStart"/>
      <w:r w:rsidRPr="00536C78">
        <w:rPr>
          <w:color w:val="000000"/>
        </w:rPr>
        <w:t>fear</w:t>
      </w:r>
      <w:proofErr w:type="spellEnd"/>
      <w:r w:rsidRPr="00536C78">
        <w:rPr>
          <w:color w:val="000000"/>
        </w:rPr>
        <w:t xml:space="preserve">. </w:t>
      </w:r>
      <w:proofErr w:type="spellStart"/>
      <w:r w:rsidRPr="00536C78">
        <w:rPr>
          <w:color w:val="000000"/>
        </w:rPr>
        <w:t>In</w:t>
      </w:r>
      <w:proofErr w:type="spellEnd"/>
      <w:r w:rsidRPr="00536C78">
        <w:rPr>
          <w:color w:val="000000"/>
        </w:rPr>
        <w:t xml:space="preserve"> </w:t>
      </w:r>
      <w:proofErr w:type="spellStart"/>
      <w:r w:rsidRPr="00536C78">
        <w:rPr>
          <w:color w:val="000000"/>
        </w:rPr>
        <w:t>conclusion</w:t>
      </w:r>
      <w:proofErr w:type="spellEnd"/>
      <w:r w:rsidRPr="00536C78">
        <w:rPr>
          <w:color w:val="000000"/>
        </w:rPr>
        <w:t xml:space="preserve">, </w:t>
      </w:r>
      <w:proofErr w:type="spellStart"/>
      <w:r w:rsidRPr="00536C78">
        <w:rPr>
          <w:color w:val="000000"/>
        </w:rPr>
        <w:t>Defoe’s</w:t>
      </w:r>
      <w:proofErr w:type="spellEnd"/>
      <w:r w:rsidRPr="00536C78">
        <w:rPr>
          <w:color w:val="000000"/>
        </w:rPr>
        <w:t xml:space="preserve"> </w:t>
      </w:r>
      <w:proofErr w:type="spellStart"/>
      <w:r w:rsidRPr="00536C78">
        <w:rPr>
          <w:color w:val="000000"/>
        </w:rPr>
        <w:t>work</w:t>
      </w:r>
      <w:proofErr w:type="spellEnd"/>
      <w:r w:rsidRPr="00536C78">
        <w:rPr>
          <w:color w:val="000000"/>
        </w:rPr>
        <w:t xml:space="preserve">, </w:t>
      </w:r>
      <w:r w:rsidRPr="00536C78">
        <w:rPr>
          <w:i/>
          <w:iCs/>
          <w:color w:val="000000"/>
        </w:rPr>
        <w:t xml:space="preserve">A </w:t>
      </w:r>
      <w:proofErr w:type="spellStart"/>
      <w:r w:rsidRPr="00536C78">
        <w:rPr>
          <w:i/>
          <w:iCs/>
          <w:color w:val="000000"/>
        </w:rPr>
        <w:t>Journal</w:t>
      </w:r>
      <w:proofErr w:type="spellEnd"/>
      <w:r w:rsidRPr="00536C78">
        <w:rPr>
          <w:i/>
          <w:iCs/>
          <w:color w:val="000000"/>
        </w:rPr>
        <w:t xml:space="preserve"> of </w:t>
      </w:r>
      <w:proofErr w:type="spellStart"/>
      <w:r w:rsidRPr="00536C78">
        <w:rPr>
          <w:i/>
          <w:iCs/>
          <w:color w:val="000000"/>
        </w:rPr>
        <w:t>the</w:t>
      </w:r>
      <w:proofErr w:type="spellEnd"/>
      <w:r w:rsidRPr="00536C78">
        <w:rPr>
          <w:i/>
          <w:iCs/>
          <w:color w:val="000000"/>
        </w:rPr>
        <w:t xml:space="preserve"> </w:t>
      </w:r>
      <w:proofErr w:type="spellStart"/>
      <w:r w:rsidRPr="00536C78">
        <w:rPr>
          <w:i/>
          <w:iCs/>
          <w:color w:val="000000"/>
        </w:rPr>
        <w:t>Plague</w:t>
      </w:r>
      <w:proofErr w:type="spellEnd"/>
      <w:r w:rsidRPr="00536C78">
        <w:rPr>
          <w:i/>
          <w:iCs/>
          <w:color w:val="000000"/>
        </w:rPr>
        <w:t xml:space="preserve"> </w:t>
      </w:r>
      <w:proofErr w:type="spellStart"/>
      <w:r w:rsidRPr="00536C78">
        <w:rPr>
          <w:i/>
          <w:iCs/>
          <w:color w:val="000000"/>
        </w:rPr>
        <w:t>Year</w:t>
      </w:r>
      <w:proofErr w:type="spellEnd"/>
      <w:r w:rsidRPr="00536C78">
        <w:rPr>
          <w:i/>
          <w:iCs/>
          <w:color w:val="000000"/>
        </w:rPr>
        <w:t>,</w:t>
      </w:r>
      <w:r w:rsidRPr="00536C78">
        <w:rPr>
          <w:color w:val="000000"/>
        </w:rPr>
        <w:t xml:space="preserve"> </w:t>
      </w:r>
      <w:proofErr w:type="spellStart"/>
      <w:r w:rsidRPr="00536C78">
        <w:rPr>
          <w:color w:val="000000"/>
        </w:rPr>
        <w:t>provides</w:t>
      </w:r>
      <w:proofErr w:type="spellEnd"/>
      <w:r w:rsidRPr="00536C78">
        <w:rPr>
          <w:color w:val="000000"/>
        </w:rPr>
        <w:t xml:space="preserve"> a </w:t>
      </w:r>
      <w:proofErr w:type="spellStart"/>
      <w:r w:rsidRPr="00536C78">
        <w:rPr>
          <w:color w:val="000000"/>
        </w:rPr>
        <w:t>powerful</w:t>
      </w:r>
      <w:proofErr w:type="spellEnd"/>
      <w:r w:rsidRPr="00536C78">
        <w:rPr>
          <w:color w:val="000000"/>
        </w:rPr>
        <w:t xml:space="preserve"> </w:t>
      </w:r>
      <w:proofErr w:type="spellStart"/>
      <w:r w:rsidRPr="00536C78">
        <w:rPr>
          <w:color w:val="000000"/>
        </w:rPr>
        <w:t>source</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understanding</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psychological</w:t>
      </w:r>
      <w:proofErr w:type="spellEnd"/>
      <w:r w:rsidRPr="00536C78">
        <w:rPr>
          <w:color w:val="000000"/>
        </w:rPr>
        <w:t xml:space="preserve"> </w:t>
      </w:r>
      <w:proofErr w:type="spellStart"/>
      <w:r w:rsidRPr="00536C78">
        <w:rPr>
          <w:color w:val="000000"/>
        </w:rPr>
        <w:t>responses</w:t>
      </w:r>
      <w:proofErr w:type="spellEnd"/>
      <w:r w:rsidRPr="00536C78">
        <w:rPr>
          <w:color w:val="000000"/>
        </w:rPr>
        <w:t xml:space="preserve"> of </w:t>
      </w:r>
      <w:proofErr w:type="spellStart"/>
      <w:r w:rsidRPr="00536C78">
        <w:rPr>
          <w:color w:val="000000"/>
        </w:rPr>
        <w:t>individuals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society</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crises</w:t>
      </w:r>
      <w:proofErr w:type="spellEnd"/>
      <w:r w:rsidRPr="00536C78">
        <w:rPr>
          <w:color w:val="000000"/>
        </w:rPr>
        <w:t xml:space="preserve">. </w:t>
      </w:r>
      <w:proofErr w:type="spellStart"/>
      <w:r w:rsidRPr="00536C78">
        <w:rPr>
          <w:color w:val="000000"/>
        </w:rPr>
        <w:t>Epidemics</w:t>
      </w:r>
      <w:proofErr w:type="spellEnd"/>
      <w:r w:rsidRPr="00536C78">
        <w:rPr>
          <w:color w:val="000000"/>
        </w:rPr>
        <w:t xml:space="preserve"> </w:t>
      </w:r>
      <w:proofErr w:type="spellStart"/>
      <w:r w:rsidRPr="00536C78">
        <w:rPr>
          <w:color w:val="000000"/>
        </w:rPr>
        <w:t>have</w:t>
      </w:r>
      <w:proofErr w:type="spellEnd"/>
      <w:r w:rsidRPr="00536C78">
        <w:rPr>
          <w:color w:val="000000"/>
        </w:rPr>
        <w:t xml:space="preserve"> </w:t>
      </w:r>
      <w:proofErr w:type="spellStart"/>
      <w:r w:rsidRPr="00536C78">
        <w:rPr>
          <w:color w:val="000000"/>
        </w:rPr>
        <w:t>created</w:t>
      </w:r>
      <w:proofErr w:type="spellEnd"/>
      <w:r w:rsidRPr="00536C78">
        <w:rPr>
          <w:color w:val="000000"/>
        </w:rPr>
        <w:t xml:space="preserve"> a two-</w:t>
      </w:r>
      <w:proofErr w:type="spellStart"/>
      <w:r w:rsidRPr="00536C78">
        <w:rPr>
          <w:color w:val="000000"/>
        </w:rPr>
        <w:t>way</w:t>
      </w:r>
      <w:proofErr w:type="spellEnd"/>
      <w:r w:rsidRPr="00536C78">
        <w:rPr>
          <w:color w:val="000000"/>
        </w:rPr>
        <w:t xml:space="preserve"> </w:t>
      </w:r>
      <w:proofErr w:type="spellStart"/>
      <w:r w:rsidRPr="00536C78">
        <w:rPr>
          <w:color w:val="000000"/>
        </w:rPr>
        <w:t>effect</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weakens</w:t>
      </w:r>
      <w:proofErr w:type="spellEnd"/>
      <w:r w:rsidRPr="00536C78">
        <w:rPr>
          <w:color w:val="000000"/>
        </w:rPr>
        <w:t xml:space="preserve"> </w:t>
      </w:r>
      <w:proofErr w:type="spellStart"/>
      <w:r w:rsidRPr="00536C78">
        <w:rPr>
          <w:color w:val="000000"/>
        </w:rPr>
        <w:t>social</w:t>
      </w:r>
      <w:proofErr w:type="spellEnd"/>
      <w:r w:rsidRPr="00536C78">
        <w:rPr>
          <w:color w:val="000000"/>
        </w:rPr>
        <w:t xml:space="preserve"> </w:t>
      </w:r>
      <w:proofErr w:type="spellStart"/>
      <w:r w:rsidRPr="00536C78">
        <w:rPr>
          <w:color w:val="000000"/>
        </w:rPr>
        <w:t>ties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increases</w:t>
      </w:r>
      <w:proofErr w:type="spellEnd"/>
      <w:r w:rsidRPr="00536C78">
        <w:rPr>
          <w:color w:val="000000"/>
        </w:rPr>
        <w:t xml:space="preserve"> </w:t>
      </w:r>
      <w:proofErr w:type="spellStart"/>
      <w:r w:rsidRPr="00536C78">
        <w:rPr>
          <w:color w:val="000000"/>
        </w:rPr>
        <w:t>solidarity</w:t>
      </w:r>
      <w:proofErr w:type="spellEnd"/>
      <w:r w:rsidRPr="00536C78">
        <w:rPr>
          <w:color w:val="000000"/>
        </w:rPr>
        <w:t xml:space="preserve"> at </w:t>
      </w:r>
      <w:proofErr w:type="spellStart"/>
      <w:r w:rsidRPr="00536C78">
        <w:rPr>
          <w:color w:val="000000"/>
        </w:rPr>
        <w:t>the</w:t>
      </w:r>
      <w:proofErr w:type="spellEnd"/>
      <w:r w:rsidRPr="00536C78">
        <w:rPr>
          <w:color w:val="000000"/>
        </w:rPr>
        <w:t xml:space="preserve"> </w:t>
      </w:r>
      <w:proofErr w:type="spellStart"/>
      <w:r w:rsidRPr="00536C78">
        <w:rPr>
          <w:color w:val="000000"/>
        </w:rPr>
        <w:t>same</w:t>
      </w:r>
      <w:proofErr w:type="spellEnd"/>
      <w:r w:rsidRPr="00536C78">
        <w:rPr>
          <w:color w:val="000000"/>
        </w:rPr>
        <w:t xml:space="preserve"> time. </w:t>
      </w:r>
      <w:proofErr w:type="spellStart"/>
      <w:r w:rsidRPr="00536C78">
        <w:rPr>
          <w:color w:val="000000"/>
        </w:rPr>
        <w:t>During</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process</w:t>
      </w:r>
      <w:proofErr w:type="spellEnd"/>
      <w:r w:rsidRPr="00536C78">
        <w:rPr>
          <w:color w:val="000000"/>
        </w:rPr>
        <w:t xml:space="preserve">, </w:t>
      </w:r>
      <w:proofErr w:type="spellStart"/>
      <w:r w:rsidRPr="00536C78">
        <w:rPr>
          <w:color w:val="000000"/>
        </w:rPr>
        <w:t>individual</w:t>
      </w:r>
      <w:proofErr w:type="spellEnd"/>
      <w:r w:rsidRPr="00536C78">
        <w:rPr>
          <w:color w:val="000000"/>
        </w:rPr>
        <w:t xml:space="preserve"> </w:t>
      </w:r>
      <w:proofErr w:type="spellStart"/>
      <w:r w:rsidRPr="00536C78">
        <w:rPr>
          <w:color w:val="000000"/>
        </w:rPr>
        <w:t>reactions</w:t>
      </w:r>
      <w:proofErr w:type="spellEnd"/>
      <w:r w:rsidRPr="00536C78">
        <w:rPr>
          <w:color w:val="000000"/>
        </w:rPr>
        <w:t xml:space="preserve"> </w:t>
      </w:r>
      <w:proofErr w:type="spellStart"/>
      <w:r w:rsidRPr="00536C78">
        <w:rPr>
          <w:color w:val="000000"/>
        </w:rPr>
        <w:t>such</w:t>
      </w:r>
      <w:proofErr w:type="spellEnd"/>
      <w:r w:rsidRPr="00536C78">
        <w:rPr>
          <w:color w:val="000000"/>
        </w:rPr>
        <w:t xml:space="preserve"> as </w:t>
      </w:r>
      <w:proofErr w:type="spellStart"/>
      <w:r w:rsidRPr="00536C78">
        <w:rPr>
          <w:color w:val="000000"/>
        </w:rPr>
        <w:t>fear</w:t>
      </w:r>
      <w:proofErr w:type="spellEnd"/>
      <w:r w:rsidRPr="00536C78">
        <w:rPr>
          <w:color w:val="000000"/>
        </w:rPr>
        <w:t xml:space="preserve">, </w:t>
      </w:r>
      <w:proofErr w:type="spellStart"/>
      <w:r w:rsidRPr="00536C78">
        <w:rPr>
          <w:color w:val="000000"/>
        </w:rPr>
        <w:t>despair</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trauma</w:t>
      </w:r>
      <w:proofErr w:type="spellEnd"/>
      <w:r w:rsidRPr="00536C78">
        <w:rPr>
          <w:color w:val="000000"/>
        </w:rPr>
        <w:t xml:space="preserve"> </w:t>
      </w:r>
      <w:proofErr w:type="spellStart"/>
      <w:r w:rsidRPr="00536C78">
        <w:rPr>
          <w:color w:val="000000"/>
        </w:rPr>
        <w:t>have</w:t>
      </w:r>
      <w:proofErr w:type="spellEnd"/>
      <w:r w:rsidRPr="00536C78">
        <w:rPr>
          <w:color w:val="000000"/>
        </w:rPr>
        <w:t xml:space="preserve"> led </w:t>
      </w:r>
      <w:proofErr w:type="spellStart"/>
      <w:r w:rsidRPr="00536C78">
        <w:rPr>
          <w:color w:val="000000"/>
        </w:rPr>
        <w:t>to</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reshaping</w:t>
      </w:r>
      <w:proofErr w:type="spellEnd"/>
      <w:r w:rsidRPr="00536C78">
        <w:rPr>
          <w:color w:val="000000"/>
        </w:rPr>
        <w:t xml:space="preserve"> of </w:t>
      </w:r>
      <w:proofErr w:type="spellStart"/>
      <w:r w:rsidRPr="00536C78">
        <w:rPr>
          <w:color w:val="000000"/>
        </w:rPr>
        <w:t>social</w:t>
      </w:r>
      <w:proofErr w:type="spellEnd"/>
      <w:r w:rsidRPr="00536C78">
        <w:rPr>
          <w:color w:val="000000"/>
        </w:rPr>
        <w:t xml:space="preserve"> </w:t>
      </w:r>
      <w:proofErr w:type="spellStart"/>
      <w:r w:rsidRPr="00536C78">
        <w:rPr>
          <w:color w:val="000000"/>
        </w:rPr>
        <w:t>norms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relationships</w:t>
      </w:r>
      <w:proofErr w:type="spellEnd"/>
      <w:r w:rsidRPr="00536C78">
        <w:rPr>
          <w:color w:val="000000"/>
        </w:rPr>
        <w:t xml:space="preserve">. </w:t>
      </w:r>
      <w:proofErr w:type="spellStart"/>
      <w:r w:rsidRPr="00536C78">
        <w:rPr>
          <w:color w:val="000000"/>
        </w:rPr>
        <w:t>Multidisciplinary</w:t>
      </w:r>
      <w:proofErr w:type="spellEnd"/>
      <w:r w:rsidRPr="00536C78">
        <w:rPr>
          <w:color w:val="000000"/>
        </w:rPr>
        <w:t xml:space="preserve"> </w:t>
      </w:r>
      <w:proofErr w:type="spellStart"/>
      <w:r w:rsidRPr="00536C78">
        <w:rPr>
          <w:color w:val="000000"/>
        </w:rPr>
        <w:t>studies</w:t>
      </w:r>
      <w:proofErr w:type="spellEnd"/>
      <w:r w:rsidRPr="00536C78">
        <w:rPr>
          <w:color w:val="000000"/>
        </w:rPr>
        <w:t xml:space="preserve"> </w:t>
      </w:r>
      <w:proofErr w:type="spellStart"/>
      <w:r w:rsidRPr="00536C78">
        <w:rPr>
          <w:color w:val="000000"/>
        </w:rPr>
        <w:t>should</w:t>
      </w:r>
      <w:proofErr w:type="spellEnd"/>
      <w:r w:rsidRPr="00536C78">
        <w:rPr>
          <w:color w:val="000000"/>
        </w:rPr>
        <w:t xml:space="preserve"> be </w:t>
      </w:r>
      <w:proofErr w:type="spellStart"/>
      <w:r w:rsidRPr="00536C78">
        <w:rPr>
          <w:color w:val="000000"/>
        </w:rPr>
        <w:t>encouraged</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better</w:t>
      </w:r>
      <w:proofErr w:type="spellEnd"/>
      <w:r w:rsidRPr="00536C78">
        <w:rPr>
          <w:color w:val="000000"/>
        </w:rPr>
        <w:t xml:space="preserve"> </w:t>
      </w:r>
      <w:proofErr w:type="spellStart"/>
      <w:r w:rsidRPr="00536C78">
        <w:rPr>
          <w:color w:val="000000"/>
        </w:rPr>
        <w:t>understand</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psychological</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sociological</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epidemics</w:t>
      </w:r>
      <w:proofErr w:type="spellEnd"/>
      <w:r w:rsidRPr="00536C78">
        <w:rPr>
          <w:color w:val="000000"/>
        </w:rPr>
        <w:t xml:space="preserve">. </w:t>
      </w:r>
      <w:proofErr w:type="spellStart"/>
      <w:r w:rsidRPr="00536C78">
        <w:rPr>
          <w:color w:val="000000"/>
        </w:rPr>
        <w:t>Societies</w:t>
      </w:r>
      <w:proofErr w:type="spellEnd"/>
      <w:r w:rsidRPr="00536C78">
        <w:rPr>
          <w:color w:val="000000"/>
        </w:rPr>
        <w:t xml:space="preserve"> </w:t>
      </w:r>
      <w:proofErr w:type="spellStart"/>
      <w:r w:rsidRPr="00536C78">
        <w:rPr>
          <w:color w:val="000000"/>
        </w:rPr>
        <w:t>should</w:t>
      </w:r>
      <w:proofErr w:type="spellEnd"/>
      <w:r w:rsidRPr="00536C78">
        <w:rPr>
          <w:color w:val="000000"/>
        </w:rPr>
        <w:t xml:space="preserve"> be </w:t>
      </w:r>
      <w:proofErr w:type="spellStart"/>
      <w:r w:rsidRPr="00536C78">
        <w:rPr>
          <w:color w:val="000000"/>
        </w:rPr>
        <w:t>enabled</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develop</w:t>
      </w:r>
      <w:proofErr w:type="spellEnd"/>
      <w:r w:rsidRPr="00536C78">
        <w:rPr>
          <w:color w:val="000000"/>
        </w:rPr>
        <w:t xml:space="preserve"> </w:t>
      </w:r>
      <w:proofErr w:type="spellStart"/>
      <w:r w:rsidRPr="00536C78">
        <w:rPr>
          <w:color w:val="000000"/>
        </w:rPr>
        <w:t>more</w:t>
      </w:r>
      <w:proofErr w:type="spellEnd"/>
      <w:r w:rsidRPr="00536C78">
        <w:rPr>
          <w:color w:val="000000"/>
        </w:rPr>
        <w:t xml:space="preserve"> </w:t>
      </w:r>
      <w:proofErr w:type="spellStart"/>
      <w:r w:rsidRPr="00536C78">
        <w:rPr>
          <w:color w:val="000000"/>
        </w:rPr>
        <w:t>effective</w:t>
      </w:r>
      <w:proofErr w:type="spellEnd"/>
      <w:r w:rsidRPr="00536C78">
        <w:rPr>
          <w:color w:val="000000"/>
        </w:rPr>
        <w:t xml:space="preserve"> </w:t>
      </w:r>
      <w:proofErr w:type="spellStart"/>
      <w:r w:rsidRPr="00536C78">
        <w:rPr>
          <w:color w:val="000000"/>
        </w:rPr>
        <w:t>strategies</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crisis</w:t>
      </w:r>
      <w:proofErr w:type="spellEnd"/>
      <w:r w:rsidRPr="00536C78">
        <w:rPr>
          <w:color w:val="000000"/>
        </w:rPr>
        <w:t xml:space="preserve"> </w:t>
      </w:r>
      <w:proofErr w:type="spellStart"/>
      <w:r w:rsidRPr="00536C78">
        <w:rPr>
          <w:color w:val="000000"/>
        </w:rPr>
        <w:t>management</w:t>
      </w:r>
      <w:proofErr w:type="spellEnd"/>
      <w:r w:rsidRPr="00536C78">
        <w:rPr>
          <w:color w:val="000000"/>
        </w:rPr>
        <w:t xml:space="preserve"> </w:t>
      </w:r>
      <w:proofErr w:type="spellStart"/>
      <w:r w:rsidRPr="00536C78">
        <w:rPr>
          <w:color w:val="000000"/>
        </w:rPr>
        <w:t>with</w:t>
      </w:r>
      <w:proofErr w:type="spellEnd"/>
      <w:r w:rsidRPr="00536C78">
        <w:rPr>
          <w:color w:val="000000"/>
        </w:rPr>
        <w:t xml:space="preserve"> </w:t>
      </w:r>
      <w:proofErr w:type="spellStart"/>
      <w:r w:rsidRPr="00536C78">
        <w:rPr>
          <w:color w:val="000000"/>
        </w:rPr>
        <w:t>lessons</w:t>
      </w:r>
      <w:proofErr w:type="spellEnd"/>
      <w:r w:rsidRPr="00536C78">
        <w:rPr>
          <w:color w:val="000000"/>
        </w:rPr>
        <w:t xml:space="preserve"> </w:t>
      </w:r>
      <w:proofErr w:type="spellStart"/>
      <w:r w:rsidRPr="00536C78">
        <w:rPr>
          <w:color w:val="000000"/>
        </w:rPr>
        <w:t>learned</w:t>
      </w:r>
      <w:proofErr w:type="spellEnd"/>
      <w:r w:rsidRPr="00536C78">
        <w:rPr>
          <w:color w:val="000000"/>
        </w:rPr>
        <w:t xml:space="preserve"> </w:t>
      </w:r>
      <w:proofErr w:type="spellStart"/>
      <w:r w:rsidRPr="00536C78">
        <w:rPr>
          <w:color w:val="000000"/>
        </w:rPr>
        <w:t>from</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past</w:t>
      </w:r>
      <w:proofErr w:type="spellEnd"/>
      <w:r w:rsidRPr="00536C78">
        <w:rPr>
          <w:color w:val="000000"/>
        </w:rPr>
        <w:t xml:space="preserve">. </w:t>
      </w:r>
      <w:proofErr w:type="spellStart"/>
      <w:r w:rsidRPr="00536C78">
        <w:rPr>
          <w:color w:val="000000"/>
        </w:rPr>
        <w:t>This</w:t>
      </w:r>
      <w:proofErr w:type="spellEnd"/>
      <w:r w:rsidRPr="00536C78">
        <w:rPr>
          <w:color w:val="000000"/>
        </w:rPr>
        <w:t xml:space="preserve"> </w:t>
      </w:r>
      <w:proofErr w:type="spellStart"/>
      <w:r w:rsidRPr="00536C78">
        <w:rPr>
          <w:color w:val="000000"/>
        </w:rPr>
        <w:t>paper</w:t>
      </w:r>
      <w:proofErr w:type="spellEnd"/>
      <w:r w:rsidRPr="00536C78">
        <w:rPr>
          <w:color w:val="000000"/>
        </w:rPr>
        <w:t xml:space="preserve"> </w:t>
      </w:r>
      <w:proofErr w:type="spellStart"/>
      <w:r w:rsidRPr="00536C78">
        <w:rPr>
          <w:color w:val="000000"/>
        </w:rPr>
        <w:t>examines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effects</w:t>
      </w:r>
      <w:proofErr w:type="spellEnd"/>
      <w:r w:rsidRPr="00536C78">
        <w:rPr>
          <w:color w:val="000000"/>
        </w:rPr>
        <w:t xml:space="preserve"> of </w:t>
      </w:r>
      <w:proofErr w:type="spellStart"/>
      <w:r w:rsidRPr="00536C78">
        <w:rPr>
          <w:color w:val="000000"/>
        </w:rPr>
        <w:t>epidemics</w:t>
      </w:r>
      <w:proofErr w:type="spellEnd"/>
      <w:r w:rsidRPr="00536C78">
        <w:rPr>
          <w:color w:val="000000"/>
        </w:rPr>
        <w:t xml:space="preserve"> on </w:t>
      </w:r>
      <w:proofErr w:type="spellStart"/>
      <w:r w:rsidRPr="00536C78">
        <w:rPr>
          <w:color w:val="000000"/>
        </w:rPr>
        <w:t>individuals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societies</w:t>
      </w:r>
      <w:proofErr w:type="spellEnd"/>
      <w:r w:rsidRPr="00536C78">
        <w:rPr>
          <w:color w:val="000000"/>
        </w:rPr>
        <w:t xml:space="preserve"> </w:t>
      </w:r>
      <w:proofErr w:type="spellStart"/>
      <w:r w:rsidRPr="00536C78">
        <w:rPr>
          <w:color w:val="000000"/>
        </w:rPr>
        <w:t>with</w:t>
      </w:r>
      <w:proofErr w:type="spellEnd"/>
      <w:r w:rsidRPr="00536C78">
        <w:rPr>
          <w:color w:val="000000"/>
        </w:rPr>
        <w:t xml:space="preserve"> an </w:t>
      </w:r>
      <w:proofErr w:type="spellStart"/>
      <w:r w:rsidRPr="00536C78">
        <w:rPr>
          <w:color w:val="000000"/>
        </w:rPr>
        <w:t>interdisciplinary</w:t>
      </w:r>
      <w:proofErr w:type="spellEnd"/>
      <w:r w:rsidRPr="00536C78">
        <w:rPr>
          <w:color w:val="000000"/>
        </w:rPr>
        <w:t xml:space="preserve"> </w:t>
      </w:r>
      <w:proofErr w:type="spellStart"/>
      <w:r w:rsidRPr="00536C78">
        <w:rPr>
          <w:color w:val="000000"/>
        </w:rPr>
        <w:t>approach</w:t>
      </w:r>
      <w:proofErr w:type="spellEnd"/>
      <w:r w:rsidRPr="00536C78">
        <w:rPr>
          <w:color w:val="000000"/>
        </w:rPr>
        <w:t xml:space="preserve"> </w:t>
      </w:r>
      <w:proofErr w:type="spellStart"/>
      <w:r w:rsidRPr="00536C78">
        <w:rPr>
          <w:color w:val="000000"/>
        </w:rPr>
        <w:t>by</w:t>
      </w:r>
      <w:proofErr w:type="spellEnd"/>
      <w:r w:rsidRPr="00536C78">
        <w:rPr>
          <w:color w:val="000000"/>
        </w:rPr>
        <w:t xml:space="preserve"> </w:t>
      </w:r>
      <w:proofErr w:type="spellStart"/>
      <w:r w:rsidRPr="00536C78">
        <w:rPr>
          <w:color w:val="000000"/>
        </w:rPr>
        <w:t>building</w:t>
      </w:r>
      <w:proofErr w:type="spellEnd"/>
      <w:r w:rsidRPr="00536C78">
        <w:rPr>
          <w:color w:val="000000"/>
        </w:rPr>
        <w:t xml:space="preserve"> a </w:t>
      </w:r>
      <w:proofErr w:type="spellStart"/>
      <w:r w:rsidRPr="00536C78">
        <w:rPr>
          <w:color w:val="000000"/>
        </w:rPr>
        <w:t>bridge</w:t>
      </w:r>
      <w:proofErr w:type="spellEnd"/>
      <w:r w:rsidRPr="00536C78">
        <w:rPr>
          <w:color w:val="000000"/>
        </w:rPr>
        <w:t xml:space="preserve"> </w:t>
      </w:r>
      <w:proofErr w:type="spellStart"/>
      <w:r w:rsidRPr="00536C78">
        <w:rPr>
          <w:color w:val="000000"/>
        </w:rPr>
        <w:t>between</w:t>
      </w:r>
      <w:proofErr w:type="spellEnd"/>
      <w:r w:rsidRPr="00536C78">
        <w:rPr>
          <w:color w:val="000000"/>
        </w:rPr>
        <w:t xml:space="preserve"> </w:t>
      </w:r>
      <w:proofErr w:type="spellStart"/>
      <w:r w:rsidRPr="00536C78">
        <w:rPr>
          <w:color w:val="000000"/>
        </w:rPr>
        <w:t>literature</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sociology</w:t>
      </w:r>
      <w:proofErr w:type="spellEnd"/>
      <w:r w:rsidRPr="00536C78">
        <w:rPr>
          <w:color w:val="000000"/>
        </w:rPr>
        <w:t xml:space="preserve">. </w:t>
      </w:r>
      <w:proofErr w:type="spellStart"/>
      <w:r w:rsidRPr="00536C78">
        <w:rPr>
          <w:color w:val="000000"/>
        </w:rPr>
        <w:t>It</w:t>
      </w:r>
      <w:proofErr w:type="spellEnd"/>
      <w:r w:rsidRPr="00536C78">
        <w:rPr>
          <w:color w:val="000000"/>
        </w:rPr>
        <w:t xml:space="preserve"> </w:t>
      </w:r>
      <w:proofErr w:type="spellStart"/>
      <w:r w:rsidRPr="00536C78">
        <w:rPr>
          <w:color w:val="000000"/>
        </w:rPr>
        <w:t>reveals</w:t>
      </w:r>
      <w:proofErr w:type="spellEnd"/>
      <w:r w:rsidRPr="00536C78">
        <w:rPr>
          <w:color w:val="000000"/>
        </w:rPr>
        <w:t xml:space="preserve"> how </w:t>
      </w:r>
      <w:proofErr w:type="spellStart"/>
      <w:r w:rsidRPr="00536C78">
        <w:rPr>
          <w:color w:val="000000"/>
        </w:rPr>
        <w:t>past</w:t>
      </w:r>
      <w:proofErr w:type="spellEnd"/>
      <w:r w:rsidRPr="00536C78">
        <w:rPr>
          <w:color w:val="000000"/>
        </w:rPr>
        <w:t xml:space="preserve"> </w:t>
      </w:r>
      <w:proofErr w:type="spellStart"/>
      <w:r w:rsidRPr="00536C78">
        <w:rPr>
          <w:color w:val="000000"/>
        </w:rPr>
        <w:t>epidemics</w:t>
      </w:r>
      <w:proofErr w:type="spellEnd"/>
      <w:r w:rsidRPr="00536C78">
        <w:rPr>
          <w:color w:val="000000"/>
        </w:rPr>
        <w:t xml:space="preserve"> can </w:t>
      </w:r>
      <w:proofErr w:type="spellStart"/>
      <w:r w:rsidRPr="00536C78">
        <w:rPr>
          <w:color w:val="000000"/>
        </w:rPr>
        <w:t>shed</w:t>
      </w:r>
      <w:proofErr w:type="spellEnd"/>
      <w:r w:rsidRPr="00536C78">
        <w:rPr>
          <w:color w:val="000000"/>
        </w:rPr>
        <w:t xml:space="preserve"> </w:t>
      </w:r>
      <w:proofErr w:type="spellStart"/>
      <w:r w:rsidRPr="00536C78">
        <w:rPr>
          <w:color w:val="000000"/>
        </w:rPr>
        <w:t>light</w:t>
      </w:r>
      <w:proofErr w:type="spellEnd"/>
      <w:r w:rsidRPr="00536C78">
        <w:rPr>
          <w:color w:val="000000"/>
        </w:rPr>
        <w:t xml:space="preserve"> on </w:t>
      </w:r>
      <w:proofErr w:type="spellStart"/>
      <w:r w:rsidRPr="00536C78">
        <w:rPr>
          <w:color w:val="000000"/>
        </w:rPr>
        <w:t>contemporary</w:t>
      </w:r>
      <w:proofErr w:type="spellEnd"/>
      <w:r w:rsidRPr="00536C78">
        <w:rPr>
          <w:color w:val="000000"/>
        </w:rPr>
        <w:t xml:space="preserve"> </w:t>
      </w:r>
      <w:proofErr w:type="spellStart"/>
      <w:r w:rsidRPr="00536C78">
        <w:rPr>
          <w:color w:val="000000"/>
        </w:rPr>
        <w:t>public</w:t>
      </w:r>
      <w:proofErr w:type="spellEnd"/>
      <w:r w:rsidRPr="00536C78">
        <w:rPr>
          <w:color w:val="000000"/>
        </w:rPr>
        <w:t xml:space="preserve"> </w:t>
      </w:r>
      <w:proofErr w:type="spellStart"/>
      <w:r w:rsidRPr="00536C78">
        <w:rPr>
          <w:color w:val="000000"/>
        </w:rPr>
        <w:t>health</w:t>
      </w:r>
      <w:proofErr w:type="spellEnd"/>
      <w:r w:rsidRPr="00536C78">
        <w:rPr>
          <w:color w:val="000000"/>
        </w:rPr>
        <w:t xml:space="preserve"> </w:t>
      </w:r>
      <w:proofErr w:type="spellStart"/>
      <w:r w:rsidRPr="00536C78">
        <w:rPr>
          <w:color w:val="000000"/>
        </w:rPr>
        <w:t>policies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how </w:t>
      </w:r>
      <w:proofErr w:type="spellStart"/>
      <w:r w:rsidRPr="00536C78">
        <w:rPr>
          <w:color w:val="000000"/>
        </w:rPr>
        <w:t>literary</w:t>
      </w:r>
      <w:proofErr w:type="spellEnd"/>
      <w:r w:rsidRPr="00536C78">
        <w:rPr>
          <w:color w:val="000000"/>
        </w:rPr>
        <w:t xml:space="preserve"> </w:t>
      </w:r>
      <w:proofErr w:type="spellStart"/>
      <w:r w:rsidRPr="00536C78">
        <w:rPr>
          <w:color w:val="000000"/>
        </w:rPr>
        <w:t>representations</w:t>
      </w:r>
      <w:proofErr w:type="spellEnd"/>
      <w:r w:rsidRPr="00536C78">
        <w:rPr>
          <w:color w:val="000000"/>
        </w:rPr>
        <w:t xml:space="preserve"> </w:t>
      </w:r>
      <w:proofErr w:type="spellStart"/>
      <w:r w:rsidRPr="00536C78">
        <w:rPr>
          <w:color w:val="000000"/>
        </w:rPr>
        <w:t>function</w:t>
      </w:r>
      <w:proofErr w:type="spellEnd"/>
      <w:r w:rsidRPr="00536C78">
        <w:rPr>
          <w:color w:val="000000"/>
        </w:rPr>
        <w:t xml:space="preserve"> in </w:t>
      </w:r>
      <w:proofErr w:type="spellStart"/>
      <w:r w:rsidRPr="00536C78">
        <w:rPr>
          <w:color w:val="000000"/>
        </w:rPr>
        <w:t>understanding</w:t>
      </w:r>
      <w:proofErr w:type="spellEnd"/>
      <w:r w:rsidRPr="00536C78">
        <w:rPr>
          <w:color w:val="000000"/>
        </w:rPr>
        <w:t xml:space="preserve"> </w:t>
      </w:r>
      <w:proofErr w:type="spellStart"/>
      <w:r w:rsidRPr="00536C78">
        <w:rPr>
          <w:color w:val="000000"/>
        </w:rPr>
        <w:t>historical</w:t>
      </w:r>
      <w:proofErr w:type="spellEnd"/>
      <w:r w:rsidRPr="00536C78">
        <w:rPr>
          <w:color w:val="000000"/>
        </w:rPr>
        <w:t xml:space="preserve"> </w:t>
      </w:r>
      <w:proofErr w:type="spellStart"/>
      <w:r w:rsidRPr="00536C78">
        <w:rPr>
          <w:color w:val="000000"/>
        </w:rPr>
        <w:t>events</w:t>
      </w:r>
      <w:proofErr w:type="spellEnd"/>
      <w:r w:rsidRPr="00536C78">
        <w:rPr>
          <w:color w:val="000000"/>
        </w:rPr>
        <w:t>.</w:t>
      </w:r>
    </w:p>
    <w:p w14:paraId="4FB020AA" w14:textId="77777777" w:rsidR="001E7189" w:rsidRPr="00536C78" w:rsidRDefault="001E7189" w:rsidP="007513A1">
      <w:pPr>
        <w:jc w:val="both"/>
        <w:rPr>
          <w:color w:val="000000"/>
        </w:rPr>
      </w:pPr>
    </w:p>
    <w:p w14:paraId="382264C4" w14:textId="627D8321" w:rsidR="001E7189" w:rsidRPr="00536C78" w:rsidRDefault="001E7189" w:rsidP="007513A1">
      <w:pPr>
        <w:jc w:val="both"/>
        <w:rPr>
          <w:color w:val="000000"/>
        </w:rPr>
      </w:pPr>
      <w:proofErr w:type="spellStart"/>
      <w:r w:rsidRPr="00536C78">
        <w:rPr>
          <w:b/>
          <w:bCs/>
          <w:color w:val="000000"/>
        </w:rPr>
        <w:lastRenderedPageBreak/>
        <w:t>Keywords</w:t>
      </w:r>
      <w:proofErr w:type="spellEnd"/>
      <w:r w:rsidRPr="00536C78">
        <w:rPr>
          <w:b/>
          <w:bCs/>
          <w:color w:val="000000"/>
        </w:rPr>
        <w:t>:</w:t>
      </w:r>
      <w:r w:rsidRPr="00536C78">
        <w:rPr>
          <w:color w:val="000000"/>
        </w:rPr>
        <w:t xml:space="preserve"> Daniel </w:t>
      </w:r>
      <w:proofErr w:type="spellStart"/>
      <w:r w:rsidRPr="00536C78">
        <w:rPr>
          <w:color w:val="000000"/>
        </w:rPr>
        <w:t>Defoe</w:t>
      </w:r>
      <w:proofErr w:type="spellEnd"/>
      <w:r w:rsidRPr="00536C78">
        <w:rPr>
          <w:color w:val="000000"/>
        </w:rPr>
        <w:t xml:space="preserve">, </w:t>
      </w:r>
      <w:proofErr w:type="spellStart"/>
      <w:r w:rsidRPr="00536C78">
        <w:rPr>
          <w:color w:val="000000"/>
        </w:rPr>
        <w:t>England</w:t>
      </w:r>
      <w:proofErr w:type="spellEnd"/>
      <w:r w:rsidRPr="00536C78">
        <w:rPr>
          <w:color w:val="000000"/>
        </w:rPr>
        <w:t xml:space="preserve">, </w:t>
      </w:r>
      <w:proofErr w:type="spellStart"/>
      <w:r w:rsidRPr="00536C78">
        <w:rPr>
          <w:color w:val="000000"/>
        </w:rPr>
        <w:t>psychology</w:t>
      </w:r>
      <w:proofErr w:type="spellEnd"/>
      <w:r w:rsidRPr="00536C78">
        <w:rPr>
          <w:color w:val="000000"/>
        </w:rPr>
        <w:t xml:space="preserve">, </w:t>
      </w:r>
      <w:proofErr w:type="spellStart"/>
      <w:r w:rsidRPr="00536C78">
        <w:rPr>
          <w:color w:val="000000"/>
        </w:rPr>
        <w:t>epidemic</w:t>
      </w:r>
      <w:proofErr w:type="spellEnd"/>
      <w:r w:rsidRPr="00536C78">
        <w:rPr>
          <w:color w:val="000000"/>
        </w:rPr>
        <w:t xml:space="preserve"> </w:t>
      </w:r>
      <w:proofErr w:type="spellStart"/>
      <w:r w:rsidRPr="00536C78">
        <w:rPr>
          <w:color w:val="000000"/>
        </w:rPr>
        <w:t>disease</w:t>
      </w:r>
      <w:proofErr w:type="spellEnd"/>
      <w:r w:rsidRPr="00536C78">
        <w:rPr>
          <w:color w:val="000000"/>
        </w:rPr>
        <w:t xml:space="preserve">, </w:t>
      </w:r>
      <w:proofErr w:type="spellStart"/>
      <w:r w:rsidRPr="00536C78">
        <w:rPr>
          <w:color w:val="000000"/>
        </w:rPr>
        <w:t>sociology</w:t>
      </w:r>
      <w:proofErr w:type="spellEnd"/>
      <w:r w:rsidRPr="00536C78">
        <w:rPr>
          <w:color w:val="000000"/>
        </w:rPr>
        <w:t xml:space="preserve">, </w:t>
      </w:r>
      <w:proofErr w:type="spellStart"/>
      <w:r w:rsidRPr="00536C78">
        <w:rPr>
          <w:color w:val="000000"/>
        </w:rPr>
        <w:t>plagu</w:t>
      </w:r>
      <w:r w:rsidR="00734B49">
        <w:rPr>
          <w:color w:val="000000"/>
        </w:rPr>
        <w:t>e</w:t>
      </w:r>
      <w:proofErr w:type="spellEnd"/>
      <w:r w:rsidR="00C70E93">
        <w:rPr>
          <w:color w:val="000000"/>
        </w:rPr>
        <w:br w:type="page"/>
      </w:r>
    </w:p>
    <w:p w14:paraId="136F5283" w14:textId="77777777" w:rsidR="001E7189" w:rsidRDefault="001E7189" w:rsidP="004C7694">
      <w:pPr>
        <w:pStyle w:val="Tark"/>
      </w:pPr>
      <w:bookmarkStart w:id="138" w:name="_Toc192855215"/>
      <w:proofErr w:type="spellStart"/>
      <w:r w:rsidRPr="00536C78">
        <w:lastRenderedPageBreak/>
        <w:t>Exploring</w:t>
      </w:r>
      <w:proofErr w:type="spellEnd"/>
      <w:r w:rsidRPr="00536C78">
        <w:t xml:space="preserve"> </w:t>
      </w:r>
      <w:proofErr w:type="spellStart"/>
      <w:r w:rsidRPr="00536C78">
        <w:t>Eco-Consciousness</w:t>
      </w:r>
      <w:proofErr w:type="spellEnd"/>
      <w:r w:rsidRPr="00536C78">
        <w:t xml:space="preserve"> </w:t>
      </w:r>
      <w:proofErr w:type="spellStart"/>
      <w:r w:rsidRPr="00536C78">
        <w:t>through</w:t>
      </w:r>
      <w:proofErr w:type="spellEnd"/>
      <w:r w:rsidRPr="00536C78">
        <w:t xml:space="preserve"> </w:t>
      </w:r>
      <w:proofErr w:type="spellStart"/>
      <w:r w:rsidRPr="00536C78">
        <w:t>Short</w:t>
      </w:r>
      <w:proofErr w:type="spellEnd"/>
      <w:r w:rsidRPr="00536C78">
        <w:t xml:space="preserve"> </w:t>
      </w:r>
      <w:proofErr w:type="spellStart"/>
      <w:r w:rsidRPr="00536C78">
        <w:t>Stories</w:t>
      </w:r>
      <w:proofErr w:type="spellEnd"/>
      <w:r w:rsidRPr="00536C78">
        <w:t xml:space="preserve"> </w:t>
      </w:r>
      <w:proofErr w:type="spellStart"/>
      <w:r w:rsidRPr="00536C78">
        <w:t>for</w:t>
      </w:r>
      <w:proofErr w:type="spellEnd"/>
      <w:r w:rsidRPr="00536C78">
        <w:t xml:space="preserve"> Young People: </w:t>
      </w:r>
      <w:proofErr w:type="spellStart"/>
      <w:r w:rsidRPr="00536C78">
        <w:t>The</w:t>
      </w:r>
      <w:proofErr w:type="spellEnd"/>
      <w:r w:rsidRPr="00536C78">
        <w:t xml:space="preserve"> Magic School </w:t>
      </w:r>
      <w:proofErr w:type="spellStart"/>
      <w:r w:rsidRPr="00536C78">
        <w:t>Bus</w:t>
      </w:r>
      <w:proofErr w:type="spellEnd"/>
      <w:r w:rsidRPr="00536C78">
        <w:t xml:space="preserve"> </w:t>
      </w:r>
      <w:proofErr w:type="spellStart"/>
      <w:r w:rsidRPr="00536C78">
        <w:t>and</w:t>
      </w:r>
      <w:proofErr w:type="spellEnd"/>
      <w:r w:rsidRPr="00536C78">
        <w:t xml:space="preserve"> </w:t>
      </w:r>
      <w:proofErr w:type="spellStart"/>
      <w:r w:rsidRPr="00536C78">
        <w:t>the</w:t>
      </w:r>
      <w:proofErr w:type="spellEnd"/>
      <w:r w:rsidRPr="00536C78">
        <w:t xml:space="preserve"> </w:t>
      </w:r>
      <w:proofErr w:type="spellStart"/>
      <w:r w:rsidRPr="00536C78">
        <w:t>Climate</w:t>
      </w:r>
      <w:proofErr w:type="spellEnd"/>
      <w:r w:rsidRPr="00536C78">
        <w:t xml:space="preserve"> Challenge</w:t>
      </w:r>
      <w:bookmarkEnd w:id="138"/>
    </w:p>
    <w:p w14:paraId="30BD32C6" w14:textId="77777777" w:rsidR="001E7189" w:rsidRPr="00536C78" w:rsidRDefault="001E7189" w:rsidP="007513A1">
      <w:pPr>
        <w:jc w:val="center"/>
        <w:rPr>
          <w:color w:val="000000"/>
        </w:rPr>
      </w:pPr>
    </w:p>
    <w:p w14:paraId="65519ED5" w14:textId="77777777" w:rsidR="001E7189" w:rsidRPr="00536C78" w:rsidRDefault="001E7189" w:rsidP="007513A1">
      <w:pPr>
        <w:jc w:val="center"/>
        <w:rPr>
          <w:color w:val="000000"/>
        </w:rPr>
      </w:pPr>
      <w:r w:rsidRPr="00536C78">
        <w:rPr>
          <w:color w:val="000000"/>
        </w:rPr>
        <w:t>Selin UYAR</w:t>
      </w:r>
    </w:p>
    <w:p w14:paraId="07474778" w14:textId="77777777" w:rsidR="001E7189" w:rsidRPr="00536C78" w:rsidRDefault="001E7189" w:rsidP="007513A1">
      <w:pPr>
        <w:jc w:val="center"/>
        <w:rPr>
          <w:color w:val="000000"/>
        </w:rPr>
      </w:pPr>
      <w:r w:rsidRPr="00536C78">
        <w:rPr>
          <w:color w:val="000000"/>
        </w:rPr>
        <w:t xml:space="preserve">MA </w:t>
      </w:r>
      <w:proofErr w:type="spellStart"/>
      <w:r w:rsidRPr="00536C78">
        <w:rPr>
          <w:color w:val="000000"/>
        </w:rPr>
        <w:t>Student</w:t>
      </w:r>
      <w:proofErr w:type="spellEnd"/>
      <w:r w:rsidRPr="00536C78">
        <w:rPr>
          <w:color w:val="000000"/>
        </w:rPr>
        <w:t xml:space="preserve">, Tokat Gaziosmanpaşa </w:t>
      </w:r>
      <w:proofErr w:type="spellStart"/>
      <w:r w:rsidRPr="00536C78">
        <w:rPr>
          <w:color w:val="000000"/>
        </w:rPr>
        <w:t>University</w:t>
      </w:r>
      <w:proofErr w:type="spellEnd"/>
      <w:r w:rsidRPr="00536C78">
        <w:rPr>
          <w:color w:val="000000"/>
        </w:rPr>
        <w:t xml:space="preserve">, </w:t>
      </w:r>
      <w:proofErr w:type="spellStart"/>
      <w:r w:rsidRPr="00536C78">
        <w:rPr>
          <w:color w:val="000000"/>
        </w:rPr>
        <w:t>Foreign</w:t>
      </w:r>
      <w:proofErr w:type="spellEnd"/>
      <w:r w:rsidRPr="00536C78">
        <w:rPr>
          <w:color w:val="000000"/>
        </w:rPr>
        <w:t xml:space="preserve"> Language </w:t>
      </w:r>
      <w:proofErr w:type="spellStart"/>
      <w:r w:rsidRPr="00536C78">
        <w:rPr>
          <w:color w:val="000000"/>
        </w:rPr>
        <w:t>Education</w:t>
      </w:r>
      <w:proofErr w:type="spellEnd"/>
    </w:p>
    <w:p w14:paraId="548D8442" w14:textId="77777777" w:rsidR="001E7189" w:rsidRPr="00536C78" w:rsidRDefault="001E7189" w:rsidP="007513A1">
      <w:pPr>
        <w:jc w:val="center"/>
        <w:rPr>
          <w:color w:val="000000"/>
        </w:rPr>
      </w:pPr>
      <w:hyperlink r:id="rId176" w:history="1">
        <w:r w:rsidRPr="00536C78">
          <w:rPr>
            <w:color w:val="467886"/>
            <w:u w:val="single"/>
          </w:rPr>
          <w:t>selinmavili@gmail.com</w:t>
        </w:r>
      </w:hyperlink>
    </w:p>
    <w:p w14:paraId="5417C49F" w14:textId="77777777" w:rsidR="001E7189" w:rsidRPr="00536C78" w:rsidRDefault="001E7189" w:rsidP="007513A1">
      <w:pPr>
        <w:jc w:val="center"/>
        <w:rPr>
          <w:color w:val="000000"/>
        </w:rPr>
      </w:pPr>
      <w:r w:rsidRPr="00536C78">
        <w:rPr>
          <w:color w:val="000000"/>
        </w:rPr>
        <w:t>0000-0002-9103-9060</w:t>
      </w:r>
    </w:p>
    <w:p w14:paraId="2EDEF023" w14:textId="77777777" w:rsidR="001E7189" w:rsidRPr="00536C78" w:rsidRDefault="001E7189" w:rsidP="007513A1">
      <w:pPr>
        <w:rPr>
          <w:color w:val="000000"/>
        </w:rPr>
      </w:pPr>
    </w:p>
    <w:p w14:paraId="39AF4987" w14:textId="77777777" w:rsidR="001E7189" w:rsidRPr="00536C78" w:rsidRDefault="001E7189" w:rsidP="007513A1">
      <w:pPr>
        <w:jc w:val="center"/>
        <w:rPr>
          <w:color w:val="000000"/>
        </w:rPr>
      </w:pPr>
      <w:r w:rsidRPr="00536C78">
        <w:rPr>
          <w:color w:val="000000"/>
        </w:rPr>
        <w:t>Uğur ADA</w:t>
      </w:r>
    </w:p>
    <w:p w14:paraId="14A49F94" w14:textId="77777777" w:rsidR="001E7189" w:rsidRPr="00536C78" w:rsidRDefault="001E7189" w:rsidP="007513A1">
      <w:pPr>
        <w:jc w:val="center"/>
        <w:rPr>
          <w:color w:val="000000"/>
        </w:rPr>
      </w:pPr>
      <w:proofErr w:type="spellStart"/>
      <w:r w:rsidRPr="00536C78">
        <w:rPr>
          <w:color w:val="000000"/>
        </w:rPr>
        <w:t>Asst</w:t>
      </w:r>
      <w:proofErr w:type="spellEnd"/>
      <w:r w:rsidRPr="00536C78">
        <w:rPr>
          <w:color w:val="000000"/>
        </w:rPr>
        <w:t xml:space="preserve">. Prof. </w:t>
      </w:r>
      <w:proofErr w:type="spellStart"/>
      <w:r w:rsidRPr="00536C78">
        <w:rPr>
          <w:color w:val="000000"/>
        </w:rPr>
        <w:t>Dr</w:t>
      </w:r>
      <w:proofErr w:type="spellEnd"/>
      <w:r w:rsidRPr="00536C78">
        <w:rPr>
          <w:color w:val="000000"/>
        </w:rPr>
        <w:t xml:space="preserve">, Tokat Gaziosmanpaşa </w:t>
      </w:r>
      <w:proofErr w:type="spellStart"/>
      <w:r w:rsidRPr="00536C78">
        <w:rPr>
          <w:color w:val="000000"/>
        </w:rPr>
        <w:t>University</w:t>
      </w:r>
      <w:proofErr w:type="spellEnd"/>
      <w:r w:rsidRPr="00536C78">
        <w:rPr>
          <w:color w:val="000000"/>
        </w:rPr>
        <w:t xml:space="preserve">, </w:t>
      </w:r>
      <w:proofErr w:type="spellStart"/>
      <w:r w:rsidRPr="00536C78">
        <w:rPr>
          <w:color w:val="000000"/>
        </w:rPr>
        <w:t>Foreign</w:t>
      </w:r>
      <w:proofErr w:type="spellEnd"/>
      <w:r w:rsidRPr="00536C78">
        <w:rPr>
          <w:color w:val="000000"/>
        </w:rPr>
        <w:t xml:space="preserve"> Language </w:t>
      </w:r>
      <w:proofErr w:type="spellStart"/>
      <w:r w:rsidRPr="00536C78">
        <w:rPr>
          <w:color w:val="000000"/>
        </w:rPr>
        <w:t>Education</w:t>
      </w:r>
      <w:proofErr w:type="spellEnd"/>
    </w:p>
    <w:p w14:paraId="0A8ABAF3" w14:textId="77777777" w:rsidR="001E7189" w:rsidRPr="00536C78" w:rsidRDefault="001E7189" w:rsidP="007513A1">
      <w:pPr>
        <w:jc w:val="center"/>
        <w:rPr>
          <w:color w:val="000000"/>
        </w:rPr>
      </w:pPr>
      <w:hyperlink r:id="rId177" w:history="1">
        <w:r w:rsidRPr="00536C78">
          <w:rPr>
            <w:color w:val="467886"/>
            <w:u w:val="single"/>
          </w:rPr>
          <w:t>ugur.ada@gop.edu.tr</w:t>
        </w:r>
      </w:hyperlink>
    </w:p>
    <w:p w14:paraId="0732A903" w14:textId="77777777" w:rsidR="001E7189" w:rsidRPr="00536C78" w:rsidRDefault="001E7189" w:rsidP="007513A1">
      <w:pPr>
        <w:jc w:val="center"/>
        <w:rPr>
          <w:color w:val="000000"/>
        </w:rPr>
      </w:pPr>
      <w:r w:rsidRPr="00536C78">
        <w:rPr>
          <w:color w:val="000000"/>
        </w:rPr>
        <w:t>0000-0002-0346-0753</w:t>
      </w:r>
    </w:p>
    <w:p w14:paraId="3D8A9C6D" w14:textId="77777777" w:rsidR="001E7189" w:rsidRPr="00536C78" w:rsidRDefault="001E7189" w:rsidP="007513A1">
      <w:pPr>
        <w:rPr>
          <w:color w:val="000000"/>
        </w:rPr>
      </w:pPr>
    </w:p>
    <w:p w14:paraId="099FCE41" w14:textId="77777777" w:rsidR="001E7189" w:rsidRPr="00536C78" w:rsidRDefault="001E7189" w:rsidP="007513A1">
      <w:pPr>
        <w:jc w:val="center"/>
        <w:rPr>
          <w:color w:val="000000"/>
        </w:rPr>
      </w:pPr>
      <w:proofErr w:type="spellStart"/>
      <w:r w:rsidRPr="00536C78">
        <w:rPr>
          <w:b/>
          <w:bCs/>
          <w:color w:val="000000"/>
        </w:rPr>
        <w:t>Abstract</w:t>
      </w:r>
      <w:proofErr w:type="spellEnd"/>
    </w:p>
    <w:p w14:paraId="52B8401F" w14:textId="77777777" w:rsidR="001E7189" w:rsidRDefault="001E7189" w:rsidP="007513A1">
      <w:pPr>
        <w:jc w:val="both"/>
        <w:rPr>
          <w:color w:val="000000"/>
        </w:rPr>
      </w:pPr>
      <w:proofErr w:type="spellStart"/>
      <w:r w:rsidRPr="00536C78">
        <w:rPr>
          <w:color w:val="000000"/>
        </w:rPr>
        <w:t>This</w:t>
      </w:r>
      <w:proofErr w:type="spellEnd"/>
      <w:r w:rsidRPr="00536C78">
        <w:rPr>
          <w:color w:val="000000"/>
        </w:rPr>
        <w:t xml:space="preserve"> </w:t>
      </w:r>
      <w:proofErr w:type="spellStart"/>
      <w:r w:rsidRPr="00536C78">
        <w:rPr>
          <w:color w:val="000000"/>
        </w:rPr>
        <w:t>study</w:t>
      </w:r>
      <w:proofErr w:type="spellEnd"/>
      <w:r w:rsidRPr="00536C78">
        <w:rPr>
          <w:color w:val="000000"/>
        </w:rPr>
        <w:t xml:space="preserve"> </w:t>
      </w:r>
      <w:proofErr w:type="spellStart"/>
      <w:r w:rsidRPr="00536C78">
        <w:rPr>
          <w:color w:val="000000"/>
        </w:rPr>
        <w:t>explores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potential</w:t>
      </w:r>
      <w:proofErr w:type="spellEnd"/>
      <w:r w:rsidRPr="00536C78">
        <w:rPr>
          <w:color w:val="000000"/>
        </w:rPr>
        <w:t xml:space="preserve"> of </w:t>
      </w:r>
      <w:proofErr w:type="spellStart"/>
      <w:r w:rsidRPr="00536C78">
        <w:rPr>
          <w:i/>
          <w:iCs/>
          <w:color w:val="000000"/>
        </w:rPr>
        <w:t>The</w:t>
      </w:r>
      <w:proofErr w:type="spellEnd"/>
      <w:r w:rsidRPr="00536C78">
        <w:rPr>
          <w:i/>
          <w:iCs/>
          <w:color w:val="000000"/>
        </w:rPr>
        <w:t xml:space="preserve"> Magic School </w:t>
      </w:r>
      <w:proofErr w:type="spellStart"/>
      <w:r w:rsidRPr="00536C78">
        <w:rPr>
          <w:i/>
          <w:iCs/>
          <w:color w:val="000000"/>
        </w:rPr>
        <w:t>Bus</w:t>
      </w:r>
      <w:proofErr w:type="spellEnd"/>
      <w:r w:rsidRPr="00536C78">
        <w:rPr>
          <w:i/>
          <w:iCs/>
          <w:color w:val="000000"/>
        </w:rPr>
        <w:t xml:space="preserve"> </w:t>
      </w:r>
      <w:proofErr w:type="spellStart"/>
      <w:r w:rsidRPr="00536C78">
        <w:rPr>
          <w:i/>
          <w:iCs/>
          <w:color w:val="000000"/>
        </w:rPr>
        <w:t>and</w:t>
      </w:r>
      <w:proofErr w:type="spellEnd"/>
      <w:r w:rsidRPr="00536C78">
        <w:rPr>
          <w:i/>
          <w:iCs/>
          <w:color w:val="000000"/>
        </w:rPr>
        <w:t xml:space="preserve"> </w:t>
      </w:r>
      <w:proofErr w:type="spellStart"/>
      <w:r w:rsidRPr="00536C78">
        <w:rPr>
          <w:i/>
          <w:iCs/>
          <w:color w:val="000000"/>
        </w:rPr>
        <w:t>the</w:t>
      </w:r>
      <w:proofErr w:type="spellEnd"/>
      <w:r w:rsidRPr="00536C78">
        <w:rPr>
          <w:i/>
          <w:iCs/>
          <w:color w:val="000000"/>
        </w:rPr>
        <w:t xml:space="preserve"> </w:t>
      </w:r>
      <w:proofErr w:type="spellStart"/>
      <w:r w:rsidRPr="00536C78">
        <w:rPr>
          <w:i/>
          <w:iCs/>
          <w:color w:val="000000"/>
        </w:rPr>
        <w:t>Climate</w:t>
      </w:r>
      <w:proofErr w:type="spellEnd"/>
      <w:r w:rsidRPr="00536C78">
        <w:rPr>
          <w:i/>
          <w:iCs/>
          <w:color w:val="000000"/>
        </w:rPr>
        <w:t xml:space="preserve"> Challenge</w:t>
      </w:r>
      <w:r w:rsidRPr="00536C78">
        <w:rPr>
          <w:color w:val="000000"/>
        </w:rPr>
        <w:t xml:space="preserve"> as an </w:t>
      </w:r>
      <w:proofErr w:type="spellStart"/>
      <w:r w:rsidRPr="00536C78">
        <w:rPr>
          <w:color w:val="000000"/>
        </w:rPr>
        <w:t>ecological</w:t>
      </w:r>
      <w:proofErr w:type="spellEnd"/>
      <w:r w:rsidRPr="00536C78">
        <w:rPr>
          <w:color w:val="000000"/>
        </w:rPr>
        <w:t xml:space="preserve"> </w:t>
      </w:r>
      <w:proofErr w:type="spellStart"/>
      <w:r w:rsidRPr="00536C78">
        <w:rPr>
          <w:color w:val="000000"/>
        </w:rPr>
        <w:t>resource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research</w:t>
      </w:r>
      <w:proofErr w:type="spellEnd"/>
      <w:r w:rsidRPr="00536C78">
        <w:rPr>
          <w:color w:val="000000"/>
        </w:rPr>
        <w:t xml:space="preserve"> </w:t>
      </w:r>
      <w:proofErr w:type="spellStart"/>
      <w:r w:rsidRPr="00536C78">
        <w:rPr>
          <w:color w:val="000000"/>
        </w:rPr>
        <w:t>focuses</w:t>
      </w:r>
      <w:proofErr w:type="spellEnd"/>
      <w:r w:rsidRPr="00536C78">
        <w:rPr>
          <w:color w:val="000000"/>
        </w:rPr>
        <w:t xml:space="preserve"> on how </w:t>
      </w:r>
      <w:proofErr w:type="spellStart"/>
      <w:r w:rsidRPr="00536C78">
        <w:rPr>
          <w:color w:val="000000"/>
        </w:rPr>
        <w:t>the</w:t>
      </w:r>
      <w:proofErr w:type="spellEnd"/>
      <w:r w:rsidRPr="00536C78">
        <w:rPr>
          <w:color w:val="000000"/>
        </w:rPr>
        <w:t xml:space="preserve"> </w:t>
      </w:r>
      <w:proofErr w:type="spellStart"/>
      <w:r w:rsidRPr="00536C78">
        <w:rPr>
          <w:color w:val="000000"/>
        </w:rPr>
        <w:t>book’s</w:t>
      </w:r>
      <w:proofErr w:type="spellEnd"/>
      <w:r w:rsidRPr="00536C78">
        <w:rPr>
          <w:color w:val="000000"/>
        </w:rPr>
        <w:t xml:space="preserve"> </w:t>
      </w:r>
      <w:proofErr w:type="spellStart"/>
      <w:r w:rsidRPr="00536C78">
        <w:rPr>
          <w:color w:val="000000"/>
        </w:rPr>
        <w:t>narrative</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discourse</w:t>
      </w:r>
      <w:proofErr w:type="spellEnd"/>
      <w:r w:rsidRPr="00536C78">
        <w:rPr>
          <w:color w:val="000000"/>
        </w:rPr>
        <w:t xml:space="preserve"> </w:t>
      </w:r>
      <w:proofErr w:type="spellStart"/>
      <w:r w:rsidRPr="00536C78">
        <w:rPr>
          <w:color w:val="000000"/>
        </w:rPr>
        <w:t>strategies</w:t>
      </w:r>
      <w:proofErr w:type="spellEnd"/>
      <w:r w:rsidRPr="00536C78">
        <w:rPr>
          <w:color w:val="000000"/>
        </w:rPr>
        <w:t xml:space="preserve"> can </w:t>
      </w:r>
      <w:proofErr w:type="spellStart"/>
      <w:r w:rsidRPr="00536C78">
        <w:rPr>
          <w:color w:val="000000"/>
        </w:rPr>
        <w:t>foster</w:t>
      </w:r>
      <w:proofErr w:type="spellEnd"/>
      <w:r w:rsidRPr="00536C78">
        <w:rPr>
          <w:color w:val="000000"/>
        </w:rPr>
        <w:t xml:space="preserve"> </w:t>
      </w:r>
      <w:proofErr w:type="spellStart"/>
      <w:r w:rsidRPr="00536C78">
        <w:rPr>
          <w:color w:val="000000"/>
        </w:rPr>
        <w:t>environmental</w:t>
      </w:r>
      <w:proofErr w:type="spellEnd"/>
      <w:r w:rsidRPr="00536C78">
        <w:rPr>
          <w:color w:val="000000"/>
        </w:rPr>
        <w:t xml:space="preserve"> </w:t>
      </w:r>
      <w:proofErr w:type="spellStart"/>
      <w:r w:rsidRPr="00536C78">
        <w:rPr>
          <w:color w:val="000000"/>
        </w:rPr>
        <w:t>literacy</w:t>
      </w:r>
      <w:proofErr w:type="spellEnd"/>
      <w:r w:rsidRPr="00536C78">
        <w:rPr>
          <w:color w:val="000000"/>
        </w:rPr>
        <w:t xml:space="preserve">, </w:t>
      </w:r>
      <w:proofErr w:type="spellStart"/>
      <w:r w:rsidRPr="00536C78">
        <w:rPr>
          <w:color w:val="000000"/>
        </w:rPr>
        <w:t>responsibility</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sustainable</w:t>
      </w:r>
      <w:proofErr w:type="spellEnd"/>
      <w:r w:rsidRPr="00536C78">
        <w:rPr>
          <w:color w:val="000000"/>
        </w:rPr>
        <w:t xml:space="preserve"> </w:t>
      </w:r>
      <w:proofErr w:type="spellStart"/>
      <w:r w:rsidRPr="00536C78">
        <w:rPr>
          <w:color w:val="000000"/>
        </w:rPr>
        <w:t>attitudes</w:t>
      </w:r>
      <w:proofErr w:type="spellEnd"/>
      <w:r w:rsidRPr="00536C78">
        <w:rPr>
          <w:color w:val="000000"/>
        </w:rPr>
        <w:t xml:space="preserve"> of </w:t>
      </w:r>
      <w:proofErr w:type="spellStart"/>
      <w:r w:rsidRPr="00536C78">
        <w:rPr>
          <w:color w:val="000000"/>
        </w:rPr>
        <w:t>young</w:t>
      </w:r>
      <w:proofErr w:type="spellEnd"/>
      <w:r w:rsidRPr="00536C78">
        <w:rPr>
          <w:color w:val="000000"/>
        </w:rPr>
        <w:t xml:space="preserve"> </w:t>
      </w:r>
      <w:proofErr w:type="spellStart"/>
      <w:r w:rsidRPr="00536C78">
        <w:rPr>
          <w:color w:val="000000"/>
        </w:rPr>
        <w:t>people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study’s</w:t>
      </w:r>
      <w:proofErr w:type="spellEnd"/>
      <w:r w:rsidRPr="00536C78">
        <w:rPr>
          <w:color w:val="000000"/>
        </w:rPr>
        <w:t xml:space="preserve"> main </w:t>
      </w:r>
      <w:proofErr w:type="spellStart"/>
      <w:r w:rsidRPr="00536C78">
        <w:rPr>
          <w:color w:val="000000"/>
        </w:rPr>
        <w:t>aim</w:t>
      </w:r>
      <w:proofErr w:type="spellEnd"/>
      <w:r w:rsidRPr="00536C78">
        <w:rPr>
          <w:color w:val="000000"/>
        </w:rPr>
        <w:t xml:space="preserve"> is </w:t>
      </w:r>
      <w:proofErr w:type="spellStart"/>
      <w:r w:rsidRPr="00536C78">
        <w:rPr>
          <w:color w:val="000000"/>
        </w:rPr>
        <w:t>to</w:t>
      </w:r>
      <w:proofErr w:type="spellEnd"/>
      <w:r w:rsidRPr="00536C78">
        <w:rPr>
          <w:color w:val="000000"/>
        </w:rPr>
        <w:t xml:space="preserve"> </w:t>
      </w:r>
      <w:proofErr w:type="spellStart"/>
      <w:r w:rsidRPr="00536C78">
        <w:rPr>
          <w:color w:val="000000"/>
        </w:rPr>
        <w:t>examine</w:t>
      </w:r>
      <w:proofErr w:type="spellEnd"/>
      <w:r w:rsidRPr="00536C78">
        <w:rPr>
          <w:color w:val="000000"/>
        </w:rPr>
        <w:t xml:space="preserve"> how </w:t>
      </w:r>
      <w:proofErr w:type="spellStart"/>
      <w:r w:rsidRPr="00536C78">
        <w:rPr>
          <w:color w:val="000000"/>
        </w:rPr>
        <w:t>the</w:t>
      </w:r>
      <w:proofErr w:type="spellEnd"/>
      <w:r w:rsidRPr="00536C78">
        <w:rPr>
          <w:color w:val="000000"/>
        </w:rPr>
        <w:t xml:space="preserve"> </w:t>
      </w:r>
      <w:proofErr w:type="spellStart"/>
      <w:r w:rsidRPr="00536C78">
        <w:rPr>
          <w:color w:val="000000"/>
        </w:rPr>
        <w:t>elements</w:t>
      </w:r>
      <w:proofErr w:type="spellEnd"/>
      <w:r w:rsidRPr="00536C78">
        <w:rPr>
          <w:color w:val="000000"/>
        </w:rPr>
        <w:t xml:space="preserve"> in </w:t>
      </w:r>
      <w:proofErr w:type="spellStart"/>
      <w:r w:rsidRPr="00536C78">
        <w:rPr>
          <w:color w:val="000000"/>
        </w:rPr>
        <w:t>the</w:t>
      </w:r>
      <w:proofErr w:type="spellEnd"/>
      <w:r w:rsidRPr="00536C78">
        <w:rPr>
          <w:color w:val="000000"/>
        </w:rPr>
        <w:t xml:space="preserve"> </w:t>
      </w:r>
      <w:proofErr w:type="spellStart"/>
      <w:r w:rsidRPr="00536C78">
        <w:rPr>
          <w:color w:val="000000"/>
        </w:rPr>
        <w:t>text</w:t>
      </w:r>
      <w:proofErr w:type="spellEnd"/>
      <w:r w:rsidRPr="00536C78">
        <w:rPr>
          <w:color w:val="000000"/>
        </w:rPr>
        <w:t xml:space="preserve"> </w:t>
      </w:r>
      <w:proofErr w:type="spellStart"/>
      <w:r w:rsidRPr="00536C78">
        <w:rPr>
          <w:color w:val="000000"/>
        </w:rPr>
        <w:t>promote</w:t>
      </w:r>
      <w:proofErr w:type="spellEnd"/>
      <w:r w:rsidRPr="00536C78">
        <w:rPr>
          <w:color w:val="000000"/>
        </w:rPr>
        <w:t xml:space="preserve"> </w:t>
      </w:r>
      <w:proofErr w:type="spellStart"/>
      <w:r w:rsidRPr="00536C78">
        <w:rPr>
          <w:color w:val="000000"/>
        </w:rPr>
        <w:t>ecological</w:t>
      </w:r>
      <w:proofErr w:type="spellEnd"/>
      <w:r w:rsidRPr="00536C78">
        <w:rPr>
          <w:color w:val="000000"/>
        </w:rPr>
        <w:t xml:space="preserve"> </w:t>
      </w:r>
      <w:proofErr w:type="spellStart"/>
      <w:r w:rsidRPr="00536C78">
        <w:rPr>
          <w:color w:val="000000"/>
        </w:rPr>
        <w:t>awareness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study</w:t>
      </w:r>
      <w:proofErr w:type="spellEnd"/>
      <w:r w:rsidRPr="00536C78">
        <w:rPr>
          <w:color w:val="000000"/>
        </w:rPr>
        <w:t xml:space="preserve"> </w:t>
      </w:r>
      <w:proofErr w:type="spellStart"/>
      <w:r w:rsidRPr="00536C78">
        <w:rPr>
          <w:color w:val="000000"/>
        </w:rPr>
        <w:t>employs</w:t>
      </w:r>
      <w:proofErr w:type="spellEnd"/>
      <w:r w:rsidRPr="00536C78">
        <w:rPr>
          <w:color w:val="000000"/>
        </w:rPr>
        <w:t xml:space="preserve"> </w:t>
      </w:r>
      <w:proofErr w:type="spellStart"/>
      <w:r w:rsidRPr="00536C78">
        <w:rPr>
          <w:color w:val="000000"/>
        </w:rPr>
        <w:t>qualitative</w:t>
      </w:r>
      <w:proofErr w:type="spellEnd"/>
      <w:r w:rsidRPr="00536C78">
        <w:rPr>
          <w:color w:val="000000"/>
        </w:rPr>
        <w:t xml:space="preserve"> </w:t>
      </w:r>
      <w:proofErr w:type="spellStart"/>
      <w:r w:rsidRPr="00536C78">
        <w:rPr>
          <w:color w:val="000000"/>
        </w:rPr>
        <w:t>analysis</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evaluate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book’s</w:t>
      </w:r>
      <w:proofErr w:type="spellEnd"/>
      <w:r w:rsidRPr="00536C78">
        <w:rPr>
          <w:color w:val="000000"/>
        </w:rPr>
        <w:t xml:space="preserve"> </w:t>
      </w:r>
      <w:proofErr w:type="spellStart"/>
      <w:r w:rsidRPr="00536C78">
        <w:rPr>
          <w:color w:val="000000"/>
        </w:rPr>
        <w:t>framing</w:t>
      </w:r>
      <w:proofErr w:type="spellEnd"/>
      <w:r w:rsidRPr="00536C78">
        <w:rPr>
          <w:color w:val="000000"/>
        </w:rPr>
        <w:t xml:space="preserve">, </w:t>
      </w:r>
      <w:proofErr w:type="spellStart"/>
      <w:r w:rsidRPr="00536C78">
        <w:rPr>
          <w:color w:val="000000"/>
        </w:rPr>
        <w:t>ideologies</w:t>
      </w:r>
      <w:proofErr w:type="spellEnd"/>
      <w:r w:rsidRPr="00536C78">
        <w:rPr>
          <w:color w:val="000000"/>
        </w:rPr>
        <w:t xml:space="preserve">, </w:t>
      </w:r>
      <w:proofErr w:type="spellStart"/>
      <w:r w:rsidRPr="00536C78">
        <w:rPr>
          <w:color w:val="000000"/>
        </w:rPr>
        <w:t>metaphors</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evaluative</w:t>
      </w:r>
      <w:proofErr w:type="spellEnd"/>
      <w:r w:rsidRPr="00536C78">
        <w:rPr>
          <w:color w:val="000000"/>
        </w:rPr>
        <w:t xml:space="preserve"> </w:t>
      </w:r>
      <w:proofErr w:type="spellStart"/>
      <w:r w:rsidRPr="00536C78">
        <w:rPr>
          <w:color w:val="000000"/>
        </w:rPr>
        <w:t>discourses</w:t>
      </w:r>
      <w:proofErr w:type="spellEnd"/>
      <w:r w:rsidRPr="00536C78">
        <w:rPr>
          <w:color w:val="000000"/>
        </w:rPr>
        <w:t xml:space="preserve">. </w:t>
      </w:r>
      <w:proofErr w:type="spellStart"/>
      <w:r w:rsidRPr="00536C78">
        <w:rPr>
          <w:color w:val="000000"/>
        </w:rPr>
        <w:t>Key</w:t>
      </w:r>
      <w:proofErr w:type="spellEnd"/>
      <w:r w:rsidRPr="00536C78">
        <w:rPr>
          <w:color w:val="000000"/>
        </w:rPr>
        <w:t xml:space="preserve"> </w:t>
      </w:r>
      <w:proofErr w:type="spellStart"/>
      <w:r w:rsidRPr="00536C78">
        <w:rPr>
          <w:color w:val="000000"/>
        </w:rPr>
        <w:t>findings</w:t>
      </w:r>
      <w:proofErr w:type="spellEnd"/>
      <w:r w:rsidRPr="00536C78">
        <w:rPr>
          <w:color w:val="000000"/>
        </w:rPr>
        <w:t xml:space="preserve"> </w:t>
      </w:r>
      <w:proofErr w:type="spellStart"/>
      <w:r w:rsidRPr="00536C78">
        <w:rPr>
          <w:color w:val="000000"/>
        </w:rPr>
        <w:t>reveal</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literary</w:t>
      </w:r>
      <w:proofErr w:type="spellEnd"/>
      <w:r w:rsidRPr="00536C78">
        <w:rPr>
          <w:color w:val="000000"/>
        </w:rPr>
        <w:t xml:space="preserve"> </w:t>
      </w:r>
      <w:proofErr w:type="spellStart"/>
      <w:r w:rsidRPr="00536C78">
        <w:rPr>
          <w:color w:val="000000"/>
        </w:rPr>
        <w:t>text</w:t>
      </w:r>
      <w:proofErr w:type="spellEnd"/>
      <w:r w:rsidRPr="00536C78">
        <w:rPr>
          <w:color w:val="000000"/>
        </w:rPr>
        <w:t xml:space="preserve"> </w:t>
      </w:r>
      <w:proofErr w:type="spellStart"/>
      <w:r w:rsidRPr="00536C78">
        <w:rPr>
          <w:color w:val="000000"/>
        </w:rPr>
        <w:t>empowers</w:t>
      </w:r>
      <w:proofErr w:type="spellEnd"/>
      <w:r w:rsidRPr="00536C78">
        <w:rPr>
          <w:color w:val="000000"/>
        </w:rPr>
        <w:t xml:space="preserve"> </w:t>
      </w:r>
      <w:proofErr w:type="spellStart"/>
      <w:r w:rsidRPr="00536C78">
        <w:rPr>
          <w:color w:val="000000"/>
        </w:rPr>
        <w:t>readers</w:t>
      </w:r>
      <w:proofErr w:type="spellEnd"/>
      <w:r w:rsidRPr="00536C78">
        <w:rPr>
          <w:color w:val="000000"/>
        </w:rPr>
        <w:t xml:space="preserve">, </w:t>
      </w:r>
      <w:proofErr w:type="spellStart"/>
      <w:r w:rsidRPr="00536C78">
        <w:rPr>
          <w:color w:val="000000"/>
        </w:rPr>
        <w:t>encouraging</w:t>
      </w:r>
      <w:proofErr w:type="spellEnd"/>
      <w:r w:rsidRPr="00536C78">
        <w:rPr>
          <w:color w:val="000000"/>
        </w:rPr>
        <w:t xml:space="preserve"> </w:t>
      </w:r>
      <w:proofErr w:type="spellStart"/>
      <w:r w:rsidRPr="00536C78">
        <w:rPr>
          <w:color w:val="000000"/>
        </w:rPr>
        <w:t>action</w:t>
      </w:r>
      <w:proofErr w:type="spellEnd"/>
      <w:r w:rsidRPr="00536C78">
        <w:rPr>
          <w:color w:val="000000"/>
        </w:rPr>
        <w:t xml:space="preserve"> on global </w:t>
      </w:r>
      <w:proofErr w:type="spellStart"/>
      <w:r w:rsidRPr="00536C78">
        <w:rPr>
          <w:color w:val="000000"/>
        </w:rPr>
        <w:t>ecological</w:t>
      </w:r>
      <w:proofErr w:type="spellEnd"/>
      <w:r w:rsidRPr="00536C78">
        <w:rPr>
          <w:color w:val="000000"/>
        </w:rPr>
        <w:t xml:space="preserve"> </w:t>
      </w:r>
      <w:proofErr w:type="spellStart"/>
      <w:r w:rsidRPr="00536C78">
        <w:rPr>
          <w:color w:val="000000"/>
        </w:rPr>
        <w:t>challenges</w:t>
      </w:r>
      <w:proofErr w:type="spellEnd"/>
      <w:r w:rsidRPr="00536C78">
        <w:rPr>
          <w:color w:val="000000"/>
        </w:rPr>
        <w:t xml:space="preserve">. </w:t>
      </w:r>
      <w:proofErr w:type="spellStart"/>
      <w:r w:rsidRPr="00536C78">
        <w:rPr>
          <w:color w:val="000000"/>
        </w:rPr>
        <w:t>Additionally</w:t>
      </w:r>
      <w:proofErr w:type="spellEnd"/>
      <w:r w:rsidRPr="00536C78">
        <w:rPr>
          <w:color w:val="000000"/>
        </w:rPr>
        <w:t xml:space="preserve">, it </w:t>
      </w:r>
      <w:proofErr w:type="spellStart"/>
      <w:r w:rsidRPr="00536C78">
        <w:rPr>
          <w:color w:val="000000"/>
        </w:rPr>
        <w:t>highlights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ability</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integrate</w:t>
      </w:r>
      <w:proofErr w:type="spellEnd"/>
      <w:r w:rsidRPr="00536C78">
        <w:rPr>
          <w:color w:val="000000"/>
        </w:rPr>
        <w:t xml:space="preserve"> </w:t>
      </w:r>
      <w:proofErr w:type="spellStart"/>
      <w:r w:rsidRPr="00536C78">
        <w:rPr>
          <w:color w:val="000000"/>
        </w:rPr>
        <w:t>ecological</w:t>
      </w:r>
      <w:proofErr w:type="spellEnd"/>
      <w:r w:rsidRPr="00536C78">
        <w:rPr>
          <w:color w:val="000000"/>
        </w:rPr>
        <w:t xml:space="preserve"> </w:t>
      </w:r>
      <w:proofErr w:type="spellStart"/>
      <w:r w:rsidRPr="00536C78">
        <w:rPr>
          <w:color w:val="000000"/>
        </w:rPr>
        <w:t>themes</w:t>
      </w:r>
      <w:proofErr w:type="spellEnd"/>
      <w:r w:rsidRPr="00536C78">
        <w:rPr>
          <w:color w:val="000000"/>
        </w:rPr>
        <w:t xml:space="preserve"> </w:t>
      </w:r>
      <w:proofErr w:type="spellStart"/>
      <w:r w:rsidRPr="00536C78">
        <w:rPr>
          <w:color w:val="000000"/>
        </w:rPr>
        <w:t>effectively</w:t>
      </w:r>
      <w:proofErr w:type="spellEnd"/>
      <w:r w:rsidRPr="00536C78">
        <w:rPr>
          <w:color w:val="000000"/>
        </w:rPr>
        <w:t xml:space="preserve"> </w:t>
      </w:r>
      <w:proofErr w:type="spellStart"/>
      <w:r w:rsidRPr="00536C78">
        <w:rPr>
          <w:color w:val="000000"/>
        </w:rPr>
        <w:t>into</w:t>
      </w:r>
      <w:proofErr w:type="spellEnd"/>
      <w:r w:rsidRPr="00536C78">
        <w:rPr>
          <w:color w:val="000000"/>
        </w:rPr>
        <w:t xml:space="preserve"> </w:t>
      </w:r>
      <w:proofErr w:type="spellStart"/>
      <w:r w:rsidRPr="00536C78">
        <w:rPr>
          <w:color w:val="000000"/>
        </w:rPr>
        <w:t>engaging</w:t>
      </w:r>
      <w:proofErr w:type="spellEnd"/>
      <w:r w:rsidRPr="00536C78">
        <w:rPr>
          <w:color w:val="000000"/>
        </w:rPr>
        <w:t xml:space="preserve"> </w:t>
      </w:r>
      <w:proofErr w:type="spellStart"/>
      <w:r w:rsidRPr="00536C78">
        <w:rPr>
          <w:color w:val="000000"/>
        </w:rPr>
        <w:t>narratives</w:t>
      </w:r>
      <w:proofErr w:type="spellEnd"/>
      <w:r w:rsidRPr="00536C78">
        <w:rPr>
          <w:color w:val="000000"/>
        </w:rPr>
        <w:t xml:space="preserve">, </w:t>
      </w:r>
      <w:proofErr w:type="spellStart"/>
      <w:r w:rsidRPr="00536C78">
        <w:rPr>
          <w:color w:val="000000"/>
        </w:rPr>
        <w:t>thus</w:t>
      </w:r>
      <w:proofErr w:type="spellEnd"/>
      <w:r w:rsidRPr="00536C78">
        <w:rPr>
          <w:color w:val="000000"/>
        </w:rPr>
        <w:t xml:space="preserve"> </w:t>
      </w:r>
      <w:proofErr w:type="spellStart"/>
      <w:r w:rsidRPr="00536C78">
        <w:rPr>
          <w:color w:val="000000"/>
        </w:rPr>
        <w:t>making</w:t>
      </w:r>
      <w:proofErr w:type="spellEnd"/>
      <w:r w:rsidRPr="00536C78">
        <w:rPr>
          <w:color w:val="000000"/>
        </w:rPr>
        <w:t xml:space="preserve"> it a </w:t>
      </w:r>
      <w:proofErr w:type="spellStart"/>
      <w:r w:rsidRPr="00536C78">
        <w:rPr>
          <w:color w:val="000000"/>
        </w:rPr>
        <w:t>suitable</w:t>
      </w:r>
      <w:proofErr w:type="spellEnd"/>
      <w:r w:rsidRPr="00536C78">
        <w:rPr>
          <w:color w:val="000000"/>
        </w:rPr>
        <w:t xml:space="preserve"> </w:t>
      </w:r>
      <w:proofErr w:type="spellStart"/>
      <w:r w:rsidRPr="00536C78">
        <w:rPr>
          <w:color w:val="000000"/>
        </w:rPr>
        <w:t>awareness-raising</w:t>
      </w:r>
      <w:proofErr w:type="spellEnd"/>
      <w:r w:rsidRPr="00536C78">
        <w:rPr>
          <w:color w:val="000000"/>
        </w:rPr>
        <w:t xml:space="preserve"> </w:t>
      </w:r>
      <w:proofErr w:type="spellStart"/>
      <w:r w:rsidRPr="00536C78">
        <w:rPr>
          <w:color w:val="000000"/>
        </w:rPr>
        <w:t>tool</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storybook</w:t>
      </w:r>
      <w:proofErr w:type="spellEnd"/>
      <w:r w:rsidRPr="00536C78">
        <w:rPr>
          <w:color w:val="000000"/>
        </w:rPr>
        <w:t xml:space="preserve"> </w:t>
      </w:r>
      <w:proofErr w:type="spellStart"/>
      <w:r w:rsidRPr="00536C78">
        <w:rPr>
          <w:color w:val="000000"/>
        </w:rPr>
        <w:t>turns</w:t>
      </w:r>
      <w:proofErr w:type="spellEnd"/>
      <w:r w:rsidRPr="00536C78">
        <w:rPr>
          <w:color w:val="000000"/>
        </w:rPr>
        <w:t xml:space="preserve"> </w:t>
      </w:r>
      <w:proofErr w:type="spellStart"/>
      <w:r w:rsidRPr="00536C78">
        <w:rPr>
          <w:color w:val="000000"/>
        </w:rPr>
        <w:t>complex</w:t>
      </w:r>
      <w:proofErr w:type="spellEnd"/>
      <w:r w:rsidRPr="00536C78">
        <w:rPr>
          <w:color w:val="000000"/>
        </w:rPr>
        <w:t xml:space="preserve"> </w:t>
      </w:r>
      <w:proofErr w:type="spellStart"/>
      <w:r w:rsidRPr="00536C78">
        <w:rPr>
          <w:color w:val="000000"/>
        </w:rPr>
        <w:t>concepts</w:t>
      </w:r>
      <w:proofErr w:type="spellEnd"/>
      <w:r w:rsidRPr="00536C78">
        <w:rPr>
          <w:color w:val="000000"/>
        </w:rPr>
        <w:t xml:space="preserve"> </w:t>
      </w:r>
      <w:proofErr w:type="spellStart"/>
      <w:r w:rsidRPr="00536C78">
        <w:rPr>
          <w:color w:val="000000"/>
        </w:rPr>
        <w:t>into</w:t>
      </w:r>
      <w:proofErr w:type="spellEnd"/>
      <w:r w:rsidRPr="00536C78">
        <w:rPr>
          <w:color w:val="000000"/>
        </w:rPr>
        <w:t xml:space="preserve"> </w:t>
      </w:r>
      <w:proofErr w:type="spellStart"/>
      <w:r w:rsidRPr="00536C78">
        <w:rPr>
          <w:color w:val="000000"/>
        </w:rPr>
        <w:t>simpler</w:t>
      </w:r>
      <w:proofErr w:type="spellEnd"/>
      <w:r w:rsidRPr="00536C78">
        <w:rPr>
          <w:color w:val="000000"/>
        </w:rPr>
        <w:t xml:space="preserve"> </w:t>
      </w:r>
      <w:proofErr w:type="spellStart"/>
      <w:r w:rsidRPr="00536C78">
        <w:rPr>
          <w:color w:val="000000"/>
        </w:rPr>
        <w:t>terms</w:t>
      </w:r>
      <w:proofErr w:type="spellEnd"/>
      <w:r w:rsidRPr="00536C78">
        <w:rPr>
          <w:color w:val="000000"/>
        </w:rPr>
        <w:t xml:space="preserve">, </w:t>
      </w:r>
      <w:proofErr w:type="spellStart"/>
      <w:r w:rsidRPr="00536C78">
        <w:rPr>
          <w:color w:val="000000"/>
        </w:rPr>
        <w:t>ensuring</w:t>
      </w:r>
      <w:proofErr w:type="spellEnd"/>
      <w:r w:rsidRPr="00536C78">
        <w:rPr>
          <w:color w:val="000000"/>
        </w:rPr>
        <w:t xml:space="preserve"> they </w:t>
      </w:r>
      <w:proofErr w:type="spellStart"/>
      <w:r w:rsidRPr="00536C78">
        <w:rPr>
          <w:color w:val="000000"/>
        </w:rPr>
        <w:t>are</w:t>
      </w:r>
      <w:proofErr w:type="spellEnd"/>
      <w:r w:rsidRPr="00536C78">
        <w:rPr>
          <w:color w:val="000000"/>
        </w:rPr>
        <w:t xml:space="preserve"> </w:t>
      </w:r>
      <w:proofErr w:type="spellStart"/>
      <w:r w:rsidRPr="00536C78">
        <w:rPr>
          <w:color w:val="000000"/>
        </w:rPr>
        <w:t>accessible</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children</w:t>
      </w:r>
      <w:proofErr w:type="spellEnd"/>
      <w:r w:rsidRPr="00536C78">
        <w:rPr>
          <w:color w:val="000000"/>
        </w:rPr>
        <w:t xml:space="preserve">. </w:t>
      </w:r>
      <w:proofErr w:type="spellStart"/>
      <w:r w:rsidRPr="00536C78">
        <w:rPr>
          <w:color w:val="000000"/>
        </w:rPr>
        <w:t>By</w:t>
      </w:r>
      <w:proofErr w:type="spellEnd"/>
      <w:r w:rsidRPr="00536C78">
        <w:rPr>
          <w:color w:val="000000"/>
        </w:rPr>
        <w:t xml:space="preserve"> </w:t>
      </w:r>
      <w:proofErr w:type="spellStart"/>
      <w:r w:rsidRPr="00536C78">
        <w:rPr>
          <w:color w:val="000000"/>
        </w:rPr>
        <w:t>emphasizing</w:t>
      </w:r>
      <w:proofErr w:type="spellEnd"/>
      <w:r w:rsidRPr="00536C78">
        <w:rPr>
          <w:color w:val="000000"/>
        </w:rPr>
        <w:t xml:space="preserve"> </w:t>
      </w:r>
      <w:proofErr w:type="spellStart"/>
      <w:r w:rsidRPr="00536C78">
        <w:rPr>
          <w:color w:val="000000"/>
        </w:rPr>
        <w:t>solutions</w:t>
      </w:r>
      <w:proofErr w:type="spellEnd"/>
      <w:r w:rsidRPr="00536C78">
        <w:rPr>
          <w:color w:val="000000"/>
        </w:rPr>
        <w:t xml:space="preserve">, it </w:t>
      </w:r>
      <w:proofErr w:type="spellStart"/>
      <w:r w:rsidRPr="00536C78">
        <w:rPr>
          <w:color w:val="000000"/>
        </w:rPr>
        <w:t>instils</w:t>
      </w:r>
      <w:proofErr w:type="spellEnd"/>
      <w:r w:rsidRPr="00536C78">
        <w:rPr>
          <w:color w:val="000000"/>
        </w:rPr>
        <w:t xml:space="preserve"> a sense of </w:t>
      </w:r>
      <w:proofErr w:type="spellStart"/>
      <w:r w:rsidRPr="00536C78">
        <w:rPr>
          <w:color w:val="000000"/>
        </w:rPr>
        <w:t>responsibility</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immediacy</w:t>
      </w:r>
      <w:proofErr w:type="spellEnd"/>
      <w:r w:rsidRPr="00536C78">
        <w:rPr>
          <w:color w:val="000000"/>
        </w:rPr>
        <w:t xml:space="preserve"> in </w:t>
      </w:r>
      <w:proofErr w:type="spellStart"/>
      <w:r w:rsidRPr="00536C78">
        <w:rPr>
          <w:color w:val="000000"/>
        </w:rPr>
        <w:t>addressing</w:t>
      </w:r>
      <w:proofErr w:type="spellEnd"/>
      <w:r w:rsidRPr="00536C78">
        <w:rPr>
          <w:color w:val="000000"/>
        </w:rPr>
        <w:t xml:space="preserve"> </w:t>
      </w:r>
      <w:proofErr w:type="spellStart"/>
      <w:r w:rsidRPr="00536C78">
        <w:rPr>
          <w:color w:val="000000"/>
        </w:rPr>
        <w:t>climate</w:t>
      </w:r>
      <w:proofErr w:type="spellEnd"/>
      <w:r w:rsidRPr="00536C78">
        <w:rPr>
          <w:color w:val="000000"/>
        </w:rPr>
        <w:t xml:space="preserve"> </w:t>
      </w:r>
      <w:proofErr w:type="spellStart"/>
      <w:r w:rsidRPr="00536C78">
        <w:rPr>
          <w:color w:val="000000"/>
        </w:rPr>
        <w:t>change</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narrative</w:t>
      </w:r>
      <w:proofErr w:type="spellEnd"/>
      <w:r w:rsidRPr="00536C78">
        <w:rPr>
          <w:color w:val="000000"/>
        </w:rPr>
        <w:t xml:space="preserve"> </w:t>
      </w:r>
      <w:proofErr w:type="spellStart"/>
      <w:r w:rsidRPr="00536C78">
        <w:rPr>
          <w:color w:val="000000"/>
        </w:rPr>
        <w:t>aligns</w:t>
      </w:r>
      <w:proofErr w:type="spellEnd"/>
      <w:r w:rsidRPr="00536C78">
        <w:rPr>
          <w:color w:val="000000"/>
        </w:rPr>
        <w:t xml:space="preserve"> </w:t>
      </w:r>
      <w:proofErr w:type="spellStart"/>
      <w:r w:rsidRPr="00536C78">
        <w:rPr>
          <w:color w:val="000000"/>
        </w:rPr>
        <w:t>with</w:t>
      </w:r>
      <w:proofErr w:type="spellEnd"/>
      <w:r w:rsidRPr="00536C78">
        <w:rPr>
          <w:color w:val="000000"/>
        </w:rPr>
        <w:t xml:space="preserve"> </w:t>
      </w:r>
      <w:proofErr w:type="spellStart"/>
      <w:r w:rsidRPr="00536C78">
        <w:rPr>
          <w:color w:val="000000"/>
        </w:rPr>
        <w:t>principles</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foster</w:t>
      </w:r>
      <w:proofErr w:type="spellEnd"/>
      <w:r w:rsidRPr="00536C78">
        <w:rPr>
          <w:color w:val="000000"/>
        </w:rPr>
        <w:t xml:space="preserve"> </w:t>
      </w:r>
      <w:proofErr w:type="spellStart"/>
      <w:r w:rsidRPr="00536C78">
        <w:rPr>
          <w:color w:val="000000"/>
        </w:rPr>
        <w:t>ecological</w:t>
      </w:r>
      <w:proofErr w:type="spellEnd"/>
      <w:r w:rsidRPr="00536C78">
        <w:rPr>
          <w:color w:val="000000"/>
        </w:rPr>
        <w:t xml:space="preserve"> </w:t>
      </w:r>
      <w:proofErr w:type="spellStart"/>
      <w:r w:rsidRPr="00536C78">
        <w:rPr>
          <w:color w:val="000000"/>
        </w:rPr>
        <w:t>engagement</w:t>
      </w:r>
      <w:proofErr w:type="spellEnd"/>
      <w:r w:rsidRPr="00536C78">
        <w:rPr>
          <w:color w:val="000000"/>
        </w:rPr>
        <w:t xml:space="preserve">. </w:t>
      </w:r>
      <w:proofErr w:type="spellStart"/>
      <w:r w:rsidRPr="00536C78">
        <w:rPr>
          <w:color w:val="000000"/>
        </w:rPr>
        <w:t>Encouraging</w:t>
      </w:r>
      <w:proofErr w:type="spellEnd"/>
      <w:r w:rsidRPr="00536C78">
        <w:rPr>
          <w:color w:val="000000"/>
        </w:rPr>
        <w:t xml:space="preserve"> </w:t>
      </w:r>
      <w:proofErr w:type="spellStart"/>
      <w:r w:rsidRPr="00536C78">
        <w:rPr>
          <w:color w:val="000000"/>
        </w:rPr>
        <w:t>narratives</w:t>
      </w:r>
      <w:proofErr w:type="spellEnd"/>
      <w:r w:rsidRPr="00536C78">
        <w:rPr>
          <w:color w:val="000000"/>
        </w:rPr>
        <w:t xml:space="preserve"> </w:t>
      </w:r>
      <w:proofErr w:type="spellStart"/>
      <w:r w:rsidRPr="00536C78">
        <w:rPr>
          <w:color w:val="000000"/>
        </w:rPr>
        <w:t>highlight</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significance</w:t>
      </w:r>
      <w:proofErr w:type="spellEnd"/>
      <w:r w:rsidRPr="00536C78">
        <w:rPr>
          <w:color w:val="000000"/>
        </w:rPr>
        <w:t xml:space="preserve"> of </w:t>
      </w:r>
      <w:proofErr w:type="spellStart"/>
      <w:r w:rsidRPr="00536C78">
        <w:rPr>
          <w:color w:val="000000"/>
        </w:rPr>
        <w:t>individual</w:t>
      </w:r>
      <w:proofErr w:type="spellEnd"/>
      <w:r w:rsidRPr="00536C78">
        <w:rPr>
          <w:color w:val="000000"/>
        </w:rPr>
        <w:t xml:space="preserve"> </w:t>
      </w:r>
      <w:proofErr w:type="spellStart"/>
      <w:r w:rsidRPr="00536C78">
        <w:rPr>
          <w:color w:val="000000"/>
        </w:rPr>
        <w:t>efforts</w:t>
      </w:r>
      <w:proofErr w:type="spellEnd"/>
      <w:r w:rsidRPr="00536C78">
        <w:rPr>
          <w:color w:val="000000"/>
        </w:rPr>
        <w:t xml:space="preserve"> in </w:t>
      </w:r>
      <w:proofErr w:type="spellStart"/>
      <w:r w:rsidRPr="00536C78">
        <w:rPr>
          <w:color w:val="000000"/>
        </w:rPr>
        <w:t>combating</w:t>
      </w:r>
      <w:proofErr w:type="spellEnd"/>
      <w:r w:rsidRPr="00536C78">
        <w:rPr>
          <w:color w:val="000000"/>
        </w:rPr>
        <w:t xml:space="preserve"> </w:t>
      </w:r>
      <w:proofErr w:type="spellStart"/>
      <w:r w:rsidRPr="00536C78">
        <w:rPr>
          <w:color w:val="000000"/>
        </w:rPr>
        <w:t>climate</w:t>
      </w:r>
      <w:proofErr w:type="spellEnd"/>
      <w:r w:rsidRPr="00536C78">
        <w:rPr>
          <w:color w:val="000000"/>
        </w:rPr>
        <w:t xml:space="preserve"> </w:t>
      </w:r>
      <w:proofErr w:type="spellStart"/>
      <w:r w:rsidRPr="00536C78">
        <w:rPr>
          <w:color w:val="000000"/>
        </w:rPr>
        <w:t>change</w:t>
      </w:r>
      <w:proofErr w:type="spellEnd"/>
      <w:r w:rsidRPr="00536C78">
        <w:rPr>
          <w:color w:val="000000"/>
        </w:rPr>
        <w:t xml:space="preserve">, </w:t>
      </w:r>
      <w:proofErr w:type="spellStart"/>
      <w:r w:rsidRPr="00536C78">
        <w:rPr>
          <w:color w:val="000000"/>
        </w:rPr>
        <w:t>while</w:t>
      </w:r>
      <w:proofErr w:type="spellEnd"/>
      <w:r w:rsidRPr="00536C78">
        <w:rPr>
          <w:color w:val="000000"/>
        </w:rPr>
        <w:t xml:space="preserve"> </w:t>
      </w:r>
      <w:proofErr w:type="spellStart"/>
      <w:r w:rsidRPr="00536C78">
        <w:rPr>
          <w:color w:val="000000"/>
        </w:rPr>
        <w:t>visuals</w:t>
      </w:r>
      <w:proofErr w:type="spellEnd"/>
      <w:r w:rsidRPr="00536C78">
        <w:rPr>
          <w:color w:val="000000"/>
        </w:rPr>
        <w:t xml:space="preserve"> </w:t>
      </w:r>
      <w:proofErr w:type="spellStart"/>
      <w:r w:rsidRPr="00536C78">
        <w:rPr>
          <w:color w:val="000000"/>
        </w:rPr>
        <w:t>depicting</w:t>
      </w:r>
      <w:proofErr w:type="spellEnd"/>
      <w:r w:rsidRPr="00536C78">
        <w:rPr>
          <w:color w:val="000000"/>
        </w:rPr>
        <w:t xml:space="preserve"> </w:t>
      </w:r>
      <w:proofErr w:type="spellStart"/>
      <w:r w:rsidRPr="00536C78">
        <w:rPr>
          <w:color w:val="000000"/>
        </w:rPr>
        <w:t>environmental</w:t>
      </w:r>
      <w:proofErr w:type="spellEnd"/>
      <w:r w:rsidRPr="00536C78">
        <w:rPr>
          <w:color w:val="000000"/>
        </w:rPr>
        <w:t xml:space="preserve"> </w:t>
      </w:r>
      <w:proofErr w:type="spellStart"/>
      <w:r w:rsidRPr="00536C78">
        <w:rPr>
          <w:color w:val="000000"/>
        </w:rPr>
        <w:t>harm</w:t>
      </w:r>
      <w:proofErr w:type="spellEnd"/>
      <w:r w:rsidRPr="00536C78">
        <w:rPr>
          <w:color w:val="000000"/>
        </w:rPr>
        <w:t xml:space="preserve"> </w:t>
      </w:r>
      <w:proofErr w:type="spellStart"/>
      <w:r w:rsidRPr="00536C78">
        <w:rPr>
          <w:color w:val="000000"/>
        </w:rPr>
        <w:t>stress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importance</w:t>
      </w:r>
      <w:proofErr w:type="spellEnd"/>
      <w:r w:rsidRPr="00536C78">
        <w:rPr>
          <w:color w:val="000000"/>
        </w:rPr>
        <w:t xml:space="preserve"> of </w:t>
      </w:r>
      <w:proofErr w:type="spellStart"/>
      <w:r w:rsidRPr="00536C78">
        <w:rPr>
          <w:color w:val="000000"/>
        </w:rPr>
        <w:t>collective</w:t>
      </w:r>
      <w:proofErr w:type="spellEnd"/>
      <w:r w:rsidRPr="00536C78">
        <w:rPr>
          <w:color w:val="000000"/>
        </w:rPr>
        <w:t xml:space="preserve"> </w:t>
      </w:r>
      <w:proofErr w:type="spellStart"/>
      <w:r w:rsidRPr="00536C78">
        <w:rPr>
          <w:color w:val="000000"/>
        </w:rPr>
        <w:t>action</w:t>
      </w:r>
      <w:proofErr w:type="spellEnd"/>
      <w:r w:rsidRPr="00536C78">
        <w:rPr>
          <w:color w:val="000000"/>
        </w:rPr>
        <w:t xml:space="preserve">. </w:t>
      </w:r>
      <w:proofErr w:type="spellStart"/>
      <w:r w:rsidRPr="00536C78">
        <w:rPr>
          <w:color w:val="000000"/>
        </w:rPr>
        <w:t>Additionally</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book</w:t>
      </w:r>
      <w:proofErr w:type="spellEnd"/>
      <w:r w:rsidRPr="00536C78">
        <w:rPr>
          <w:color w:val="000000"/>
        </w:rPr>
        <w:t xml:space="preserve"> </w:t>
      </w:r>
      <w:proofErr w:type="spellStart"/>
      <w:r w:rsidRPr="00536C78">
        <w:rPr>
          <w:color w:val="000000"/>
        </w:rPr>
        <w:t>offers</w:t>
      </w:r>
      <w:proofErr w:type="spellEnd"/>
      <w:r w:rsidRPr="00536C78">
        <w:rPr>
          <w:color w:val="000000"/>
        </w:rPr>
        <w:t xml:space="preserve"> </w:t>
      </w:r>
      <w:proofErr w:type="spellStart"/>
      <w:r w:rsidRPr="00536C78">
        <w:rPr>
          <w:color w:val="000000"/>
        </w:rPr>
        <w:t>practical</w:t>
      </w:r>
      <w:proofErr w:type="spellEnd"/>
      <w:r w:rsidRPr="00536C78">
        <w:rPr>
          <w:color w:val="000000"/>
        </w:rPr>
        <w:t xml:space="preserve">, </w:t>
      </w:r>
      <w:proofErr w:type="spellStart"/>
      <w:r w:rsidRPr="00536C78">
        <w:rPr>
          <w:color w:val="000000"/>
        </w:rPr>
        <w:t>actionable</w:t>
      </w:r>
      <w:proofErr w:type="spellEnd"/>
      <w:r w:rsidRPr="00536C78">
        <w:rPr>
          <w:color w:val="000000"/>
        </w:rPr>
        <w:t xml:space="preserve"> </w:t>
      </w:r>
      <w:proofErr w:type="spellStart"/>
      <w:r w:rsidRPr="00536C78">
        <w:rPr>
          <w:color w:val="000000"/>
        </w:rPr>
        <w:t>steps</w:t>
      </w:r>
      <w:proofErr w:type="spellEnd"/>
      <w:r w:rsidRPr="00536C78">
        <w:rPr>
          <w:color w:val="000000"/>
        </w:rPr>
        <w:t xml:space="preserve"> </w:t>
      </w:r>
      <w:proofErr w:type="spellStart"/>
      <w:r w:rsidRPr="00536C78">
        <w:rPr>
          <w:color w:val="000000"/>
        </w:rPr>
        <w:t>such</w:t>
      </w:r>
      <w:proofErr w:type="spellEnd"/>
      <w:r w:rsidRPr="00536C78">
        <w:rPr>
          <w:color w:val="000000"/>
        </w:rPr>
        <w:t xml:space="preserve"> as </w:t>
      </w:r>
      <w:proofErr w:type="spellStart"/>
      <w:r w:rsidRPr="00536C78">
        <w:rPr>
          <w:color w:val="000000"/>
        </w:rPr>
        <w:t>conserving</w:t>
      </w:r>
      <w:proofErr w:type="spellEnd"/>
      <w:r w:rsidRPr="00536C78">
        <w:rPr>
          <w:color w:val="000000"/>
        </w:rPr>
        <w:t xml:space="preserve"> </w:t>
      </w:r>
      <w:proofErr w:type="spellStart"/>
      <w:r w:rsidRPr="00536C78">
        <w:rPr>
          <w:color w:val="000000"/>
        </w:rPr>
        <w:t>energy</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advocating</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renewable</w:t>
      </w:r>
      <w:proofErr w:type="spellEnd"/>
      <w:r w:rsidRPr="00536C78">
        <w:rPr>
          <w:color w:val="000000"/>
        </w:rPr>
        <w:t xml:space="preserve"> </w:t>
      </w:r>
      <w:proofErr w:type="spellStart"/>
      <w:r w:rsidRPr="00536C78">
        <w:rPr>
          <w:color w:val="000000"/>
        </w:rPr>
        <w:t>energy</w:t>
      </w:r>
      <w:proofErr w:type="spellEnd"/>
      <w:r w:rsidRPr="00536C78">
        <w:rPr>
          <w:color w:val="000000"/>
        </w:rPr>
        <w:t xml:space="preserve">, </w:t>
      </w:r>
      <w:proofErr w:type="spellStart"/>
      <w:r w:rsidRPr="00536C78">
        <w:rPr>
          <w:color w:val="000000"/>
        </w:rPr>
        <w:t>empowering</w:t>
      </w:r>
      <w:proofErr w:type="spellEnd"/>
      <w:r w:rsidRPr="00536C78">
        <w:rPr>
          <w:color w:val="000000"/>
        </w:rPr>
        <w:t xml:space="preserve"> </w:t>
      </w:r>
      <w:proofErr w:type="spellStart"/>
      <w:r w:rsidRPr="00536C78">
        <w:rPr>
          <w:color w:val="000000"/>
        </w:rPr>
        <w:t>readers</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contribute</w:t>
      </w:r>
      <w:proofErr w:type="spellEnd"/>
      <w:r w:rsidRPr="00536C78">
        <w:rPr>
          <w:color w:val="000000"/>
        </w:rPr>
        <w:t xml:space="preserve"> </w:t>
      </w:r>
      <w:proofErr w:type="spellStart"/>
      <w:r w:rsidRPr="00536C78">
        <w:rPr>
          <w:color w:val="000000"/>
        </w:rPr>
        <w:t>meaningfully</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findings</w:t>
      </w:r>
      <w:proofErr w:type="spellEnd"/>
      <w:r w:rsidRPr="00536C78">
        <w:rPr>
          <w:color w:val="000000"/>
        </w:rPr>
        <w:t xml:space="preserve"> of </w:t>
      </w:r>
      <w:proofErr w:type="spellStart"/>
      <w:r w:rsidRPr="00536C78">
        <w:rPr>
          <w:color w:val="000000"/>
        </w:rPr>
        <w:t>the</w:t>
      </w:r>
      <w:proofErr w:type="spellEnd"/>
      <w:r w:rsidRPr="00536C78">
        <w:rPr>
          <w:color w:val="000000"/>
        </w:rPr>
        <w:t xml:space="preserve"> </w:t>
      </w:r>
      <w:proofErr w:type="spellStart"/>
      <w:r w:rsidRPr="00536C78">
        <w:rPr>
          <w:color w:val="000000"/>
        </w:rPr>
        <w:t>analysis</w:t>
      </w:r>
      <w:proofErr w:type="spellEnd"/>
      <w:r w:rsidRPr="00536C78">
        <w:rPr>
          <w:color w:val="000000"/>
        </w:rPr>
        <w:t xml:space="preserve"> </w:t>
      </w:r>
      <w:proofErr w:type="spellStart"/>
      <w:r w:rsidRPr="00536C78">
        <w:rPr>
          <w:color w:val="000000"/>
        </w:rPr>
        <w:t>are</w:t>
      </w:r>
      <w:proofErr w:type="spellEnd"/>
      <w:r w:rsidRPr="00536C78">
        <w:rPr>
          <w:color w:val="000000"/>
        </w:rPr>
        <w:t xml:space="preserve"> </w:t>
      </w:r>
      <w:proofErr w:type="spellStart"/>
      <w:r w:rsidRPr="00536C78">
        <w:rPr>
          <w:color w:val="000000"/>
        </w:rPr>
        <w:t>significant</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its</w:t>
      </w:r>
      <w:proofErr w:type="spellEnd"/>
      <w:r w:rsidRPr="00536C78">
        <w:rPr>
          <w:color w:val="000000"/>
        </w:rPr>
        <w:t xml:space="preserve"> </w:t>
      </w:r>
      <w:proofErr w:type="spellStart"/>
      <w:r w:rsidRPr="00536C78">
        <w:rPr>
          <w:color w:val="000000"/>
        </w:rPr>
        <w:t>interdisciplinary</w:t>
      </w:r>
      <w:proofErr w:type="spellEnd"/>
      <w:r w:rsidRPr="00536C78">
        <w:rPr>
          <w:color w:val="000000"/>
        </w:rPr>
        <w:t xml:space="preserve"> </w:t>
      </w:r>
      <w:proofErr w:type="spellStart"/>
      <w:r w:rsidRPr="00536C78">
        <w:rPr>
          <w:color w:val="000000"/>
        </w:rPr>
        <w:t>approach</w:t>
      </w:r>
      <w:proofErr w:type="spellEnd"/>
      <w:r w:rsidRPr="00536C78">
        <w:rPr>
          <w:color w:val="000000"/>
        </w:rPr>
        <w:t xml:space="preserve">, </w:t>
      </w:r>
      <w:proofErr w:type="spellStart"/>
      <w:r w:rsidRPr="00536C78">
        <w:rPr>
          <w:color w:val="000000"/>
        </w:rPr>
        <w:t>combining</w:t>
      </w:r>
      <w:proofErr w:type="spellEnd"/>
      <w:r w:rsidRPr="00536C78">
        <w:rPr>
          <w:color w:val="000000"/>
        </w:rPr>
        <w:t xml:space="preserve"> </w:t>
      </w:r>
      <w:proofErr w:type="spellStart"/>
      <w:r w:rsidRPr="00536C78">
        <w:rPr>
          <w:color w:val="000000"/>
        </w:rPr>
        <w:t>discourse</w:t>
      </w:r>
      <w:proofErr w:type="spellEnd"/>
      <w:r w:rsidRPr="00536C78">
        <w:rPr>
          <w:color w:val="000000"/>
        </w:rPr>
        <w:t xml:space="preserve"> </w:t>
      </w:r>
      <w:proofErr w:type="spellStart"/>
      <w:r w:rsidRPr="00536C78">
        <w:rPr>
          <w:color w:val="000000"/>
        </w:rPr>
        <w:t>and</w:t>
      </w:r>
      <w:proofErr w:type="spellEnd"/>
      <w:r w:rsidRPr="00536C78">
        <w:rPr>
          <w:color w:val="000000"/>
        </w:rPr>
        <w:t xml:space="preserve"> </w:t>
      </w:r>
      <w:proofErr w:type="spellStart"/>
      <w:r w:rsidRPr="00536C78">
        <w:rPr>
          <w:color w:val="000000"/>
        </w:rPr>
        <w:t>narrative</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address</w:t>
      </w:r>
      <w:proofErr w:type="spellEnd"/>
      <w:r w:rsidRPr="00536C78">
        <w:rPr>
          <w:color w:val="000000"/>
        </w:rPr>
        <w:t xml:space="preserve"> </w:t>
      </w:r>
      <w:proofErr w:type="spellStart"/>
      <w:r w:rsidRPr="00536C78">
        <w:rPr>
          <w:color w:val="000000"/>
        </w:rPr>
        <w:t>the</w:t>
      </w:r>
      <w:proofErr w:type="spellEnd"/>
      <w:r w:rsidRPr="00536C78">
        <w:rPr>
          <w:color w:val="000000"/>
        </w:rPr>
        <w:t xml:space="preserve"> </w:t>
      </w:r>
      <w:proofErr w:type="spellStart"/>
      <w:r w:rsidRPr="00536C78">
        <w:rPr>
          <w:color w:val="000000"/>
        </w:rPr>
        <w:t>critical</w:t>
      </w:r>
      <w:proofErr w:type="spellEnd"/>
      <w:r w:rsidRPr="00536C78">
        <w:rPr>
          <w:color w:val="000000"/>
        </w:rPr>
        <w:t xml:space="preserve"> </w:t>
      </w:r>
      <w:proofErr w:type="spellStart"/>
      <w:r w:rsidRPr="00536C78">
        <w:rPr>
          <w:color w:val="000000"/>
        </w:rPr>
        <w:t>need</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environmentally</w:t>
      </w:r>
      <w:proofErr w:type="spellEnd"/>
      <w:r w:rsidRPr="00536C78">
        <w:rPr>
          <w:color w:val="000000"/>
        </w:rPr>
        <w:t xml:space="preserve"> </w:t>
      </w:r>
      <w:proofErr w:type="spellStart"/>
      <w:r w:rsidRPr="00536C78">
        <w:rPr>
          <w:color w:val="000000"/>
        </w:rPr>
        <w:t>relevant</w:t>
      </w:r>
      <w:proofErr w:type="spellEnd"/>
      <w:r w:rsidRPr="00536C78">
        <w:rPr>
          <w:color w:val="000000"/>
        </w:rPr>
        <w:t xml:space="preserve"> </w:t>
      </w:r>
      <w:proofErr w:type="spellStart"/>
      <w:r w:rsidRPr="00536C78">
        <w:rPr>
          <w:color w:val="000000"/>
        </w:rPr>
        <w:t>resources</w:t>
      </w:r>
      <w:proofErr w:type="spellEnd"/>
      <w:r w:rsidRPr="00536C78">
        <w:rPr>
          <w:color w:val="000000"/>
        </w:rPr>
        <w:t xml:space="preserve">. </w:t>
      </w:r>
      <w:proofErr w:type="spellStart"/>
      <w:r w:rsidRPr="00536C78">
        <w:rPr>
          <w:color w:val="000000"/>
        </w:rPr>
        <w:t>It</w:t>
      </w:r>
      <w:proofErr w:type="spellEnd"/>
      <w:r w:rsidRPr="00536C78">
        <w:rPr>
          <w:color w:val="000000"/>
        </w:rPr>
        <w:t xml:space="preserve"> </w:t>
      </w:r>
      <w:proofErr w:type="spellStart"/>
      <w:r w:rsidRPr="00536C78">
        <w:rPr>
          <w:color w:val="000000"/>
        </w:rPr>
        <w:t>reveals</w:t>
      </w:r>
      <w:proofErr w:type="spellEnd"/>
      <w:r w:rsidRPr="00536C78">
        <w:rPr>
          <w:color w:val="000000"/>
        </w:rPr>
        <w:t xml:space="preserve"> </w:t>
      </w:r>
      <w:proofErr w:type="spellStart"/>
      <w:r w:rsidRPr="00536C78">
        <w:rPr>
          <w:color w:val="000000"/>
        </w:rPr>
        <w:t>that</w:t>
      </w:r>
      <w:proofErr w:type="spellEnd"/>
      <w:r w:rsidRPr="00536C78">
        <w:rPr>
          <w:color w:val="000000"/>
        </w:rPr>
        <w:t xml:space="preserve"> </w:t>
      </w:r>
      <w:proofErr w:type="spellStart"/>
      <w:r w:rsidRPr="00536C78">
        <w:rPr>
          <w:color w:val="000000"/>
        </w:rPr>
        <w:t>utilising</w:t>
      </w:r>
      <w:proofErr w:type="spellEnd"/>
      <w:r w:rsidRPr="00536C78">
        <w:rPr>
          <w:color w:val="000000"/>
        </w:rPr>
        <w:t xml:space="preserve"> </w:t>
      </w:r>
      <w:proofErr w:type="spellStart"/>
      <w:r w:rsidRPr="00536C78">
        <w:rPr>
          <w:color w:val="000000"/>
        </w:rPr>
        <w:t>ecologically-themed</w:t>
      </w:r>
      <w:proofErr w:type="spellEnd"/>
      <w:r w:rsidRPr="00536C78">
        <w:rPr>
          <w:color w:val="000000"/>
        </w:rPr>
        <w:t xml:space="preserve"> </w:t>
      </w:r>
      <w:proofErr w:type="spellStart"/>
      <w:r w:rsidRPr="00536C78">
        <w:rPr>
          <w:color w:val="000000"/>
        </w:rPr>
        <w:t>texts</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young</w:t>
      </w:r>
      <w:proofErr w:type="spellEnd"/>
      <w:r w:rsidRPr="00536C78">
        <w:rPr>
          <w:color w:val="000000"/>
        </w:rPr>
        <w:t xml:space="preserve"> </w:t>
      </w:r>
      <w:proofErr w:type="spellStart"/>
      <w:r w:rsidRPr="00536C78">
        <w:rPr>
          <w:color w:val="000000"/>
        </w:rPr>
        <w:t>readers</w:t>
      </w:r>
      <w:proofErr w:type="spellEnd"/>
      <w:r w:rsidRPr="00536C78">
        <w:rPr>
          <w:color w:val="000000"/>
        </w:rPr>
        <w:t xml:space="preserve"> </w:t>
      </w:r>
      <w:proofErr w:type="spellStart"/>
      <w:r w:rsidRPr="00536C78">
        <w:rPr>
          <w:color w:val="000000"/>
        </w:rPr>
        <w:t>nurtures</w:t>
      </w:r>
      <w:proofErr w:type="spellEnd"/>
      <w:r w:rsidRPr="00536C78">
        <w:rPr>
          <w:color w:val="000000"/>
        </w:rPr>
        <w:t xml:space="preserve"> </w:t>
      </w:r>
      <w:proofErr w:type="spellStart"/>
      <w:r w:rsidRPr="00536C78">
        <w:rPr>
          <w:color w:val="000000"/>
        </w:rPr>
        <w:t>informed</w:t>
      </w:r>
      <w:proofErr w:type="spellEnd"/>
      <w:r w:rsidRPr="00536C78">
        <w:rPr>
          <w:color w:val="000000"/>
        </w:rPr>
        <w:t xml:space="preserve">, </w:t>
      </w:r>
      <w:proofErr w:type="spellStart"/>
      <w:r w:rsidRPr="00536C78">
        <w:rPr>
          <w:color w:val="000000"/>
        </w:rPr>
        <w:t>responsible</w:t>
      </w:r>
      <w:proofErr w:type="spellEnd"/>
      <w:r w:rsidRPr="00536C78">
        <w:rPr>
          <w:color w:val="000000"/>
        </w:rPr>
        <w:t xml:space="preserve"> global </w:t>
      </w:r>
      <w:proofErr w:type="spellStart"/>
      <w:r w:rsidRPr="00536C78">
        <w:rPr>
          <w:color w:val="000000"/>
        </w:rPr>
        <w:t>citizens</w:t>
      </w:r>
      <w:proofErr w:type="spellEnd"/>
      <w:r w:rsidRPr="00536C78">
        <w:rPr>
          <w:color w:val="000000"/>
        </w:rPr>
        <w:t xml:space="preserve"> </w:t>
      </w:r>
      <w:proofErr w:type="spellStart"/>
      <w:r w:rsidRPr="00536C78">
        <w:rPr>
          <w:color w:val="000000"/>
        </w:rPr>
        <w:t>prepared</w:t>
      </w:r>
      <w:proofErr w:type="spellEnd"/>
      <w:r w:rsidRPr="00536C78">
        <w:rPr>
          <w:color w:val="000000"/>
        </w:rPr>
        <w:t xml:space="preserve"> </w:t>
      </w:r>
      <w:proofErr w:type="spellStart"/>
      <w:r w:rsidRPr="00536C78">
        <w:rPr>
          <w:color w:val="000000"/>
        </w:rPr>
        <w:t>to</w:t>
      </w:r>
      <w:proofErr w:type="spellEnd"/>
      <w:r w:rsidRPr="00536C78">
        <w:rPr>
          <w:color w:val="000000"/>
        </w:rPr>
        <w:t xml:space="preserve"> </w:t>
      </w:r>
      <w:proofErr w:type="spellStart"/>
      <w:r w:rsidRPr="00536C78">
        <w:rPr>
          <w:color w:val="000000"/>
        </w:rPr>
        <w:t>care</w:t>
      </w:r>
      <w:proofErr w:type="spellEnd"/>
      <w:r w:rsidRPr="00536C78">
        <w:rPr>
          <w:color w:val="000000"/>
        </w:rPr>
        <w:t xml:space="preserve"> </w:t>
      </w:r>
      <w:proofErr w:type="spellStart"/>
      <w:r w:rsidRPr="00536C78">
        <w:rPr>
          <w:color w:val="000000"/>
        </w:rPr>
        <w:t>for</w:t>
      </w:r>
      <w:proofErr w:type="spellEnd"/>
      <w:r w:rsidRPr="00536C78">
        <w:rPr>
          <w:color w:val="000000"/>
        </w:rPr>
        <w:t xml:space="preserve"> </w:t>
      </w:r>
      <w:proofErr w:type="spellStart"/>
      <w:r w:rsidRPr="00536C78">
        <w:rPr>
          <w:color w:val="000000"/>
        </w:rPr>
        <w:t>environmental</w:t>
      </w:r>
      <w:proofErr w:type="spellEnd"/>
      <w:r w:rsidRPr="00536C78">
        <w:rPr>
          <w:color w:val="000000"/>
        </w:rPr>
        <w:t xml:space="preserve"> </w:t>
      </w:r>
      <w:proofErr w:type="spellStart"/>
      <w:r w:rsidRPr="00536C78">
        <w:rPr>
          <w:color w:val="000000"/>
        </w:rPr>
        <w:t>challenges</w:t>
      </w:r>
      <w:proofErr w:type="spellEnd"/>
      <w:r w:rsidRPr="00536C78">
        <w:rPr>
          <w:color w:val="000000"/>
        </w:rPr>
        <w:t>.</w:t>
      </w:r>
    </w:p>
    <w:p w14:paraId="16036AB2" w14:textId="77777777" w:rsidR="005325CB" w:rsidRPr="00536C78" w:rsidRDefault="005325CB" w:rsidP="007513A1">
      <w:pPr>
        <w:jc w:val="both"/>
        <w:rPr>
          <w:color w:val="000000"/>
        </w:rPr>
      </w:pPr>
    </w:p>
    <w:p w14:paraId="67415B7E" w14:textId="5123BABA" w:rsidR="00C70E93" w:rsidRDefault="001E7189" w:rsidP="007513A1">
      <w:pPr>
        <w:rPr>
          <w:color w:val="000000"/>
        </w:rPr>
      </w:pPr>
      <w:proofErr w:type="spellStart"/>
      <w:r w:rsidRPr="00536C78">
        <w:rPr>
          <w:b/>
          <w:bCs/>
          <w:color w:val="000000"/>
        </w:rPr>
        <w:t>Keywords</w:t>
      </w:r>
      <w:proofErr w:type="spellEnd"/>
      <w:r w:rsidRPr="00536C78">
        <w:rPr>
          <w:b/>
          <w:bCs/>
          <w:color w:val="000000"/>
        </w:rPr>
        <w:t>:</w:t>
      </w:r>
      <w:r w:rsidRPr="00536C78">
        <w:rPr>
          <w:color w:val="000000"/>
        </w:rPr>
        <w:t xml:space="preserve"> </w:t>
      </w:r>
      <w:proofErr w:type="spellStart"/>
      <w:r w:rsidRPr="00536C78">
        <w:rPr>
          <w:color w:val="000000"/>
        </w:rPr>
        <w:t>Environmental</w:t>
      </w:r>
      <w:proofErr w:type="spellEnd"/>
      <w:r w:rsidRPr="00536C78">
        <w:rPr>
          <w:color w:val="000000"/>
        </w:rPr>
        <w:t xml:space="preserve"> </w:t>
      </w:r>
      <w:proofErr w:type="spellStart"/>
      <w:r w:rsidRPr="00536C78">
        <w:rPr>
          <w:color w:val="000000"/>
        </w:rPr>
        <w:t>Literacy</w:t>
      </w:r>
      <w:proofErr w:type="spellEnd"/>
      <w:r w:rsidRPr="00536C78">
        <w:rPr>
          <w:color w:val="000000"/>
        </w:rPr>
        <w:t xml:space="preserve">, </w:t>
      </w:r>
      <w:proofErr w:type="spellStart"/>
      <w:r w:rsidRPr="00536C78">
        <w:rPr>
          <w:color w:val="000000"/>
        </w:rPr>
        <w:t>Ecological</w:t>
      </w:r>
      <w:proofErr w:type="spellEnd"/>
      <w:r w:rsidRPr="00536C78">
        <w:rPr>
          <w:color w:val="000000"/>
        </w:rPr>
        <w:t xml:space="preserve"> </w:t>
      </w:r>
      <w:proofErr w:type="spellStart"/>
      <w:r w:rsidRPr="00536C78">
        <w:rPr>
          <w:color w:val="000000"/>
        </w:rPr>
        <w:t>Awareness</w:t>
      </w:r>
      <w:proofErr w:type="spellEnd"/>
      <w:r w:rsidRPr="00536C78">
        <w:rPr>
          <w:color w:val="000000"/>
        </w:rPr>
        <w:t xml:space="preserve">, Young People, </w:t>
      </w:r>
      <w:proofErr w:type="spellStart"/>
      <w:r w:rsidRPr="00536C78">
        <w:rPr>
          <w:color w:val="000000"/>
        </w:rPr>
        <w:t>Short</w:t>
      </w:r>
      <w:proofErr w:type="spellEnd"/>
      <w:r w:rsidRPr="00536C78">
        <w:rPr>
          <w:color w:val="000000"/>
        </w:rPr>
        <w:t xml:space="preserve"> </w:t>
      </w:r>
      <w:proofErr w:type="spellStart"/>
      <w:r w:rsidRPr="00536C78">
        <w:rPr>
          <w:color w:val="000000"/>
        </w:rPr>
        <w:t>Story</w:t>
      </w:r>
      <w:proofErr w:type="spellEnd"/>
    </w:p>
    <w:p w14:paraId="5B479326" w14:textId="5F2193CC" w:rsidR="00734B49" w:rsidRPr="00C70E93" w:rsidRDefault="00C70E93" w:rsidP="007513A1">
      <w:pPr>
        <w:autoSpaceDE/>
        <w:autoSpaceDN/>
        <w:rPr>
          <w:color w:val="000000"/>
        </w:rPr>
      </w:pPr>
      <w:r>
        <w:rPr>
          <w:color w:val="000000"/>
        </w:rPr>
        <w:br w:type="page"/>
      </w:r>
    </w:p>
    <w:p w14:paraId="235E2737" w14:textId="77777777" w:rsidR="001E7189" w:rsidRPr="00536C78" w:rsidRDefault="001E7189" w:rsidP="004C7694">
      <w:pPr>
        <w:pStyle w:val="Tark"/>
      </w:pPr>
      <w:bookmarkStart w:id="139" w:name="_Toc192855216"/>
      <w:r w:rsidRPr="00536C78">
        <w:lastRenderedPageBreak/>
        <w:t>Avrupa Ülkelerinde Faaliyet Gösteren İşletmelerde Psikososyal Riskler</w:t>
      </w:r>
      <w:bookmarkEnd w:id="139"/>
    </w:p>
    <w:p w14:paraId="6E132465" w14:textId="77777777" w:rsidR="001E7189" w:rsidRPr="00536C78" w:rsidRDefault="001E7189" w:rsidP="007513A1">
      <w:pPr>
        <w:rPr>
          <w:color w:val="000000"/>
        </w:rPr>
      </w:pPr>
    </w:p>
    <w:p w14:paraId="6F683877" w14:textId="77777777" w:rsidR="001E7189" w:rsidRPr="00536C78" w:rsidRDefault="001E7189" w:rsidP="007513A1">
      <w:pPr>
        <w:jc w:val="center"/>
        <w:rPr>
          <w:color w:val="000000"/>
        </w:rPr>
      </w:pPr>
      <w:r w:rsidRPr="00536C78">
        <w:rPr>
          <w:color w:val="000000"/>
        </w:rPr>
        <w:t>Eda Nur ÖZBEK</w:t>
      </w:r>
    </w:p>
    <w:p w14:paraId="0C4B1E27" w14:textId="77777777" w:rsidR="001E7189" w:rsidRPr="00536C78" w:rsidRDefault="001E7189" w:rsidP="007513A1">
      <w:pPr>
        <w:jc w:val="center"/>
        <w:rPr>
          <w:color w:val="000000"/>
        </w:rPr>
      </w:pPr>
      <w:r w:rsidRPr="00536C78">
        <w:rPr>
          <w:color w:val="000000"/>
        </w:rPr>
        <w:t>Ankara Sosyal Bilimler Üniversitesi, Denetim ve Risk Yönetimi Bölümü</w:t>
      </w:r>
    </w:p>
    <w:p w14:paraId="38D06774" w14:textId="77777777" w:rsidR="001E7189" w:rsidRPr="00536C78" w:rsidRDefault="001E7189" w:rsidP="007513A1">
      <w:pPr>
        <w:jc w:val="center"/>
        <w:rPr>
          <w:color w:val="000000"/>
        </w:rPr>
      </w:pPr>
      <w:hyperlink r:id="rId178" w:history="1">
        <w:r w:rsidRPr="00536C78">
          <w:rPr>
            <w:color w:val="0563C1"/>
            <w:u w:val="single"/>
          </w:rPr>
          <w:t>edanur.ozbek@student.asbu.edu.tr</w:t>
        </w:r>
      </w:hyperlink>
    </w:p>
    <w:p w14:paraId="2E1DAA34" w14:textId="77777777" w:rsidR="001E7189" w:rsidRPr="00536C78" w:rsidRDefault="001E7189" w:rsidP="007513A1">
      <w:pPr>
        <w:jc w:val="center"/>
        <w:rPr>
          <w:color w:val="000000"/>
        </w:rPr>
      </w:pPr>
      <w:r w:rsidRPr="00536C78">
        <w:rPr>
          <w:color w:val="000000"/>
        </w:rPr>
        <w:t>0009-0003-7158-7056</w:t>
      </w:r>
    </w:p>
    <w:p w14:paraId="4317574B" w14:textId="77777777" w:rsidR="001E7189" w:rsidRPr="00536C78" w:rsidRDefault="001E7189" w:rsidP="007513A1">
      <w:pPr>
        <w:rPr>
          <w:color w:val="000000"/>
        </w:rPr>
      </w:pPr>
    </w:p>
    <w:p w14:paraId="717CC03E" w14:textId="77777777" w:rsidR="001E7189" w:rsidRPr="00536C78" w:rsidRDefault="001E7189" w:rsidP="007513A1">
      <w:pPr>
        <w:jc w:val="center"/>
        <w:rPr>
          <w:color w:val="000000"/>
        </w:rPr>
      </w:pPr>
      <w:r w:rsidRPr="00536C78">
        <w:rPr>
          <w:b/>
          <w:bCs/>
          <w:color w:val="000000"/>
        </w:rPr>
        <w:t>Özet</w:t>
      </w:r>
    </w:p>
    <w:p w14:paraId="59E80F38" w14:textId="1DA0C63F" w:rsidR="001E7189" w:rsidRPr="00536C78" w:rsidRDefault="001E7189" w:rsidP="007513A1">
      <w:pPr>
        <w:jc w:val="both"/>
        <w:rPr>
          <w:color w:val="000000"/>
        </w:rPr>
      </w:pPr>
      <w:r w:rsidRPr="00536C78">
        <w:rPr>
          <w:color w:val="000000"/>
        </w:rPr>
        <w:t>Günümüzde, iş belirsizliği, zaman baskısı, iş programlarının esnek olmaması, çalışanların kararlara katılımının düşük olması, rol belirsizliği veya rol çatışması gibi psikososyal etmenler iş ortamlarında hem çalışma barışını hem de çalışan sağlığını tehdit etmektedir. Çalışma hayatında var olan psikososyal etmenlerin risk oluşturup oluşturmadığı üzerinde çalışılmaması veya bu hususta herhangi bir tedbir alınmaması durumu, çalışanların yaşayacağı stres yükünü artırabilmektedir. Dolayısıyla, bu durum çalışan performansını ve iş verimliliğini etkileyebilmektedir. İşle ilgili psikososyal tehlikelerin çalışanların algıları ve deneyimleri yoluyla sağlık ve güvenlikleri üzerinde olumsuz bir etkiye sahip olma olasılığı olarak tanımlanan psikososyal riskler, ruh sağlığı sorunlarına, düşük performansa veya iş kalitesine, iş yerinde işlevin azalmasına, iş ilişkilerinin bozulmasına ve ölümle sonuçlanabilecekler de dâhil olmak üzere olası güvenlik sorunlarına yol açabilmektedir. Bu çalışmanın amacı, Avrupa’ da faaliyet gösteren işletmelerde hangi psikososyal etmenlerin risk olarak kabul edildiğini araştırmaktır. Araştırma yöntemi ise, 2014 yılında yapılan İşletmelerde Ortaya Çıkan Yeni Riskler Avrupa Anketi-2 ve 2019 yılında yapılan İşletmelerde Ortaya Çıkan Yeni Riskler Avrupa Anketi-3 araştırmalarında toplanan veriler üzerinden ikincil veri analizidir. Ayrıca, çalışmada anılan anketlerin “yeni riskler” başlıklı bölümleri kıyaslanarak 2014 ve 2019 yılları arasında ankete dâhil edilen ülke işletmelerinin psikososyal risklere bakış açıları ve farkındalıkları arasındaki farklar irdelenmiştir. ESENER-2 anket araştırmasında, 36 Avrupa ülkesinde faaliyet gösteren tüm sektörlerden hem özel hem de kamu kuruluşlarından beş veya daha fazla çalışanı olan 49.320 şirket ile telefon görüşmesi ve kendi kendine doldurulan anket yöntemi ile toplanan veriler analiz edildiğinde, psikososyal risk olarak sırasıyla en çok “zor müşteriler, hastalar, öğrenciler vs. ile uğraşıyor olmak” ve</w:t>
      </w:r>
      <w:r w:rsidRPr="00536C78">
        <w:rPr>
          <w:rFonts w:ascii="Calibri" w:hAnsi="Calibri" w:cs="Calibri"/>
          <w:color w:val="000000"/>
        </w:rPr>
        <w:t xml:space="preserve"> </w:t>
      </w:r>
      <w:r w:rsidRPr="00536C78">
        <w:rPr>
          <w:color w:val="000000"/>
        </w:rPr>
        <w:t>“zaman baskısı” gelmektedir. Ayrıca, anılan anket araştırmasında yeni riskler, psikososyal riskler ve kas-iskelet sistemi rahatsızlıkları olarak belirlenmiştir. ESENER-3 anket araştırmasında, 33 Avrupa ülkesinde faaliyet gösteren tüm sektörlerden hem özel hem de kamu kuruluşlarından beş veya daha fazla çalışanı olan 45.420 şirket ile telefon görüşmesi ve kendi kendine doldurulan anket yöntemi ile toplanan veriler analiz edildiğinde ise,</w:t>
      </w:r>
      <w:r w:rsidRPr="00536C78">
        <w:rPr>
          <w:rFonts w:ascii="Calibri" w:hAnsi="Calibri" w:cs="Calibri"/>
          <w:color w:val="000000"/>
        </w:rPr>
        <w:t xml:space="preserve"> </w:t>
      </w:r>
      <w:r w:rsidRPr="00536C78">
        <w:rPr>
          <w:color w:val="000000"/>
        </w:rPr>
        <w:t>psikososyal risk olarak sırasıyla yine en çok “zor müşteriler, hastalar, öğrenciler vs. ile uğraşıyor olmak” ve “zaman baskısı” gelmektedir. Ayrıca, anılan anket araştırmasında yeni riskler, psikososyal riskler ve dijitalleşme olarak belirlenmiştir.</w:t>
      </w:r>
    </w:p>
    <w:p w14:paraId="369CCB8F" w14:textId="77777777" w:rsidR="001E7189" w:rsidRPr="00536C78" w:rsidRDefault="001E7189" w:rsidP="007513A1">
      <w:pPr>
        <w:rPr>
          <w:color w:val="000000"/>
        </w:rPr>
      </w:pPr>
    </w:p>
    <w:p w14:paraId="3839FC39" w14:textId="498AB07F" w:rsidR="00C70E93" w:rsidRDefault="001E7189" w:rsidP="007513A1">
      <w:pPr>
        <w:jc w:val="both"/>
        <w:rPr>
          <w:color w:val="000000"/>
        </w:rPr>
      </w:pPr>
      <w:r w:rsidRPr="00536C78">
        <w:rPr>
          <w:b/>
          <w:bCs/>
          <w:color w:val="000000"/>
        </w:rPr>
        <w:t xml:space="preserve">Anahtar </w:t>
      </w:r>
      <w:r>
        <w:rPr>
          <w:b/>
          <w:bCs/>
          <w:color w:val="000000"/>
        </w:rPr>
        <w:t>Kelimeler</w:t>
      </w:r>
      <w:r w:rsidRPr="00536C78">
        <w:rPr>
          <w:b/>
          <w:bCs/>
          <w:color w:val="000000"/>
        </w:rPr>
        <w:t xml:space="preserve">: </w:t>
      </w:r>
      <w:r w:rsidRPr="00536C78">
        <w:rPr>
          <w:color w:val="000000"/>
        </w:rPr>
        <w:t>Psikososyal Riskler, Psikososyal Etmenler, ESENER-2, ESENER-3</w:t>
      </w:r>
    </w:p>
    <w:p w14:paraId="76A6255E" w14:textId="3DCDEFFD" w:rsidR="007E702F" w:rsidRDefault="00C70E93" w:rsidP="007513A1">
      <w:pPr>
        <w:autoSpaceDE/>
        <w:autoSpaceDN/>
        <w:rPr>
          <w:color w:val="000000"/>
        </w:rPr>
      </w:pPr>
      <w:r>
        <w:rPr>
          <w:color w:val="000000"/>
        </w:rPr>
        <w:br w:type="page"/>
      </w:r>
    </w:p>
    <w:p w14:paraId="0497EA5A" w14:textId="77777777" w:rsidR="00B470AD" w:rsidRDefault="00B470AD" w:rsidP="007513A1">
      <w:pPr>
        <w:jc w:val="center"/>
        <w:rPr>
          <w:b/>
          <w:bCs/>
        </w:rPr>
      </w:pPr>
      <w:r>
        <w:rPr>
          <w:b/>
          <w:bCs/>
        </w:rPr>
        <w:lastRenderedPageBreak/>
        <w:t>Yetişkinlerde Bilişsel Abartma Tarzı ile Meta-Endişe Arasındaki İlişkinin İncelenmesi</w:t>
      </w:r>
    </w:p>
    <w:p w14:paraId="182AFA1E" w14:textId="77777777" w:rsidR="007513A1" w:rsidRDefault="007513A1" w:rsidP="007513A1">
      <w:pPr>
        <w:jc w:val="center"/>
        <w:rPr>
          <w:b/>
          <w:bCs/>
        </w:rPr>
      </w:pPr>
    </w:p>
    <w:p w14:paraId="53063445" w14:textId="77777777" w:rsidR="00B470AD" w:rsidRDefault="00B470AD" w:rsidP="007513A1">
      <w:pPr>
        <w:jc w:val="center"/>
      </w:pPr>
      <w:r>
        <w:t xml:space="preserve">Fatma Günay </w:t>
      </w:r>
      <w:proofErr w:type="spellStart"/>
      <w:r>
        <w:t>Eskalen</w:t>
      </w:r>
      <w:proofErr w:type="spellEnd"/>
    </w:p>
    <w:p w14:paraId="30101009" w14:textId="77777777" w:rsidR="00B470AD" w:rsidRDefault="00B470AD" w:rsidP="007513A1">
      <w:pPr>
        <w:jc w:val="center"/>
      </w:pPr>
      <w:r>
        <w:t xml:space="preserve"> Yüksek Lisans Öğrencisi, Haliç Üniversitesi, Klinik Psikoloji Bölümü</w:t>
      </w:r>
    </w:p>
    <w:p w14:paraId="7344025B" w14:textId="77777777" w:rsidR="00B470AD" w:rsidRDefault="00B470AD" w:rsidP="007513A1">
      <w:pPr>
        <w:jc w:val="center"/>
      </w:pPr>
      <w:hyperlink r:id="rId179" w:history="1">
        <w:r w:rsidRPr="00FD7E1E">
          <w:rPr>
            <w:rStyle w:val="Kpr"/>
          </w:rPr>
          <w:t>gunayeskalen0@gmail.com</w:t>
        </w:r>
      </w:hyperlink>
    </w:p>
    <w:p w14:paraId="131B5C24" w14:textId="77777777" w:rsidR="00B470AD" w:rsidRDefault="00B470AD" w:rsidP="007513A1">
      <w:pPr>
        <w:jc w:val="center"/>
      </w:pPr>
      <w:r>
        <w:t>0009-0003-9342-8953</w:t>
      </w:r>
    </w:p>
    <w:p w14:paraId="3C60B725" w14:textId="77777777" w:rsidR="007513A1" w:rsidRPr="003451B7" w:rsidRDefault="007513A1" w:rsidP="007513A1">
      <w:pPr>
        <w:jc w:val="center"/>
      </w:pPr>
    </w:p>
    <w:p w14:paraId="1BAA86F4" w14:textId="77777777" w:rsidR="00B470AD" w:rsidRDefault="00B470AD" w:rsidP="007513A1">
      <w:pPr>
        <w:jc w:val="center"/>
      </w:pPr>
      <w:r>
        <w:t xml:space="preserve">Gülçin </w:t>
      </w:r>
      <w:proofErr w:type="spellStart"/>
      <w:r>
        <w:t>Şenyuva</w:t>
      </w:r>
      <w:proofErr w:type="spellEnd"/>
    </w:p>
    <w:p w14:paraId="7808091E" w14:textId="77777777" w:rsidR="00B470AD" w:rsidRDefault="00B470AD" w:rsidP="007513A1">
      <w:pPr>
        <w:jc w:val="center"/>
      </w:pPr>
      <w:r>
        <w:t xml:space="preserve">Dr. </w:t>
      </w:r>
      <w:proofErr w:type="spellStart"/>
      <w:r>
        <w:t>Psk</w:t>
      </w:r>
      <w:proofErr w:type="spellEnd"/>
      <w:r>
        <w:t>., Bağımsız Araştırmacı</w:t>
      </w:r>
    </w:p>
    <w:p w14:paraId="6752B2DD" w14:textId="77777777" w:rsidR="00B470AD" w:rsidRDefault="00B470AD" w:rsidP="007513A1">
      <w:pPr>
        <w:jc w:val="center"/>
      </w:pPr>
      <w:hyperlink r:id="rId180" w:history="1">
        <w:r w:rsidRPr="00FD7E1E">
          <w:rPr>
            <w:rStyle w:val="Kpr"/>
          </w:rPr>
          <w:t>gulcinsenyuva82@gmail.com</w:t>
        </w:r>
      </w:hyperlink>
      <w:r>
        <w:t xml:space="preserve"> </w:t>
      </w:r>
    </w:p>
    <w:p w14:paraId="6AA4C8EF" w14:textId="77777777" w:rsidR="00B470AD" w:rsidRDefault="00B470AD" w:rsidP="007513A1">
      <w:pPr>
        <w:jc w:val="center"/>
      </w:pPr>
      <w:r>
        <w:t>0000-0001-9917-1405</w:t>
      </w:r>
    </w:p>
    <w:p w14:paraId="0389FEF0" w14:textId="77777777" w:rsidR="007513A1" w:rsidRDefault="007513A1" w:rsidP="007513A1">
      <w:pPr>
        <w:jc w:val="center"/>
      </w:pPr>
    </w:p>
    <w:p w14:paraId="4EBD744E" w14:textId="77777777" w:rsidR="00B470AD" w:rsidRDefault="00B470AD" w:rsidP="007513A1">
      <w:pPr>
        <w:jc w:val="center"/>
        <w:rPr>
          <w:b/>
          <w:bCs/>
        </w:rPr>
      </w:pPr>
      <w:r>
        <w:rPr>
          <w:b/>
          <w:bCs/>
        </w:rPr>
        <w:t>Özet</w:t>
      </w:r>
    </w:p>
    <w:p w14:paraId="5523BB5D" w14:textId="77777777" w:rsidR="00B470AD" w:rsidRDefault="00B470AD" w:rsidP="007513A1">
      <w:pPr>
        <w:jc w:val="both"/>
      </w:pPr>
      <w:r>
        <w:t xml:space="preserve">Kaygı ve endişe günümüzde insanların sıkça deneyimlediği duygulardır ve bazı durumlarda psikolojik tanı boyutuna taşınabilmektedirler. Bu araştırmada, yetişkinlerde bilişsel abartma tarzı ile meta-endişe arasındaki ilişkinin incelenmesi amaçlanmıştır. Araştırma örneklemi, 18-65 yaş arası </w:t>
      </w:r>
      <w:bookmarkStart w:id="140" w:name="_Hlk191429975"/>
      <w:r w:rsidRPr="00D25C37">
        <w:t>276</w:t>
      </w:r>
      <w:r>
        <w:t xml:space="preserve"> </w:t>
      </w:r>
      <w:r w:rsidRPr="00D25C37">
        <w:t>kadın</w:t>
      </w:r>
      <w:r>
        <w:t xml:space="preserve"> </w:t>
      </w:r>
      <w:r w:rsidRPr="00D25C37">
        <w:t>(</w:t>
      </w:r>
      <w:proofErr w:type="gramStart"/>
      <w:r w:rsidRPr="00D25C37">
        <w:t>%70.2</w:t>
      </w:r>
      <w:proofErr w:type="gramEnd"/>
      <w:r w:rsidRPr="00D25C37">
        <w:t>), 117</w:t>
      </w:r>
      <w:r>
        <w:t xml:space="preserve"> </w:t>
      </w:r>
      <w:r w:rsidRPr="00D25C37">
        <w:t>erkek</w:t>
      </w:r>
      <w:r>
        <w:t xml:space="preserve"> </w:t>
      </w:r>
      <w:r w:rsidRPr="00D25C37">
        <w:t xml:space="preserve">(%29.8) </w:t>
      </w:r>
      <w:r>
        <w:t>olmak üzere 393 kişiden oluşmaktadır</w:t>
      </w:r>
      <w:r w:rsidRPr="00D25C37">
        <w:t>. Katılımcıların yaş ortalaması ise 29.41’dir</w:t>
      </w:r>
      <w:r>
        <w:t xml:space="preserve">. </w:t>
      </w:r>
      <w:bookmarkEnd w:id="140"/>
      <w:r>
        <w:t xml:space="preserve">Psikiyatrik tanısı bulunan kişiler örnekleme dahil edilmemiştir. Katılımcılara Bilgilendirilmiş Onam Formu, Sosyodemografik Veri Formu, Meta-Endişe Ölçeği, </w:t>
      </w:r>
      <w:r w:rsidRPr="00E52C38">
        <w:t>Bili</w:t>
      </w:r>
      <w:r>
        <w:t>ş</w:t>
      </w:r>
      <w:r w:rsidRPr="00E52C38">
        <w:t>sel Abartma Tarz</w:t>
      </w:r>
      <w:r>
        <w:t xml:space="preserve">ı </w:t>
      </w:r>
      <w:r w:rsidRPr="00E52C38">
        <w:t>Ölç</w:t>
      </w:r>
      <w:r>
        <w:t>eği</w:t>
      </w:r>
      <w:r w:rsidRPr="00E52C38">
        <w:t>-Yeniden De</w:t>
      </w:r>
      <w:r>
        <w:t>ğ</w:t>
      </w:r>
      <w:r w:rsidRPr="00E52C38">
        <w:t>erlendirilmi</w:t>
      </w:r>
      <w:r>
        <w:t>ş</w:t>
      </w:r>
      <w:r w:rsidRPr="00E52C38">
        <w:t xml:space="preserve"> Formu</w:t>
      </w:r>
      <w:r>
        <w:t xml:space="preserve"> ve Penn </w:t>
      </w:r>
      <w:proofErr w:type="spellStart"/>
      <w:r>
        <w:t>State</w:t>
      </w:r>
      <w:proofErr w:type="spellEnd"/>
      <w:r>
        <w:t xml:space="preserve"> Endişe Ölçeği uygulanmıştır. Araştırmanın sorusu “Yetişkinlerde bilişsel abartma tarzı ile meta-endişe arasında anlamlı bir ilişki var mıdır?” olup nicel araştırma kapsamında korelasyonel araştırma yürütülmüştür. Elde edilen verilere, değişkenlerin arasındaki ilişkinin incelenmesi için SPSS</w:t>
      </w:r>
      <w:r w:rsidRPr="005B278B">
        <w:t xml:space="preserve"> </w:t>
      </w:r>
      <w:r>
        <w:t xml:space="preserve">27 </w:t>
      </w:r>
      <w:r w:rsidRPr="005B278B">
        <w:t xml:space="preserve">(Statistical </w:t>
      </w:r>
      <w:proofErr w:type="spellStart"/>
      <w:r w:rsidRPr="005B278B">
        <w:t>Package</w:t>
      </w:r>
      <w:proofErr w:type="spellEnd"/>
      <w:r w:rsidRPr="005B278B">
        <w:t xml:space="preserve"> </w:t>
      </w:r>
      <w:proofErr w:type="spellStart"/>
      <w:r w:rsidRPr="005B278B">
        <w:t>for</w:t>
      </w:r>
      <w:proofErr w:type="spellEnd"/>
      <w:r w:rsidRPr="005B278B">
        <w:t xml:space="preserve"> </w:t>
      </w:r>
      <w:proofErr w:type="spellStart"/>
      <w:r w:rsidRPr="005B278B">
        <w:t>the</w:t>
      </w:r>
      <w:proofErr w:type="spellEnd"/>
      <w:r w:rsidRPr="005B278B">
        <w:t xml:space="preserve"> </w:t>
      </w:r>
      <w:proofErr w:type="spellStart"/>
      <w:r w:rsidRPr="005B278B">
        <w:t>Social</w:t>
      </w:r>
      <w:proofErr w:type="spellEnd"/>
      <w:r w:rsidRPr="005B278B">
        <w:t xml:space="preserve"> </w:t>
      </w:r>
      <w:proofErr w:type="spellStart"/>
      <w:r w:rsidRPr="005B278B">
        <w:t>Sciences</w:t>
      </w:r>
      <w:proofErr w:type="spellEnd"/>
      <w:r w:rsidRPr="005B278B">
        <w:t>)</w:t>
      </w:r>
      <w:r>
        <w:t xml:space="preserve"> programında </w:t>
      </w:r>
      <w:proofErr w:type="spellStart"/>
      <w:r>
        <w:t>Pearson</w:t>
      </w:r>
      <w:proofErr w:type="spellEnd"/>
      <w:r>
        <w:t xml:space="preserve"> Korelasyon analizi yapılmıştır. Bu analiz neticesinde meta-endişe ile bilişsel abartma tarzı arasında, bilişsel abartma tarzı ile endişe arasında ve meta-endişe ile endişe arasında pozitif yönde anlamlı ilişkiler bulunmuştur (p&lt;.05). Sonuçlar bilişsel abartma tarzı ile meta-endişenin birbirleriyle ilişkili olduğunu göstermektedir. Aynı zamanda bilişsel abartma tarzı ile meta-endişenin yaygın anksiyete bozukluğuyla ilişkili olabileceğini göstermektedir. Verilerin online form aracılığıyla toplanması ve bu yöntemin sadece internet kullanabilen kişilere uygun olması çalışmanın bir sınırlılığıdır. Ek olarak araştırmada katılımcıların ölçeklere içtenlikle yanıt verdiği varsayılmıştır. Literatürde </w:t>
      </w:r>
      <w:r w:rsidRPr="00D14FAF">
        <w:t>bu kavramların</w:t>
      </w:r>
      <w:r>
        <w:t xml:space="preserve"> nispeten az çalışılmış olması ve yaygın anksiyete bozukluğuna bir perspektif sunabilme potansiyeli bu araştırmayı önemli kılmaktadır.</w:t>
      </w:r>
    </w:p>
    <w:p w14:paraId="56D7AF42" w14:textId="77777777" w:rsidR="00B470AD" w:rsidRDefault="00B470AD" w:rsidP="007513A1">
      <w:r>
        <w:rPr>
          <w:b/>
          <w:bCs/>
        </w:rPr>
        <w:t xml:space="preserve">Anahtar Kelimeler: </w:t>
      </w:r>
      <w:r>
        <w:t>Anksiyete, Meta-Endişe, Bilişsel Abartma Tarzı, Endişe</w:t>
      </w:r>
    </w:p>
    <w:p w14:paraId="21325D78" w14:textId="77777777" w:rsidR="00B470AD" w:rsidRDefault="00B470AD" w:rsidP="007513A1"/>
    <w:p w14:paraId="29E98818" w14:textId="207C94A7" w:rsidR="00B470AD" w:rsidRDefault="00B470AD" w:rsidP="007513A1">
      <w:pPr>
        <w:pStyle w:val="NormalWeb"/>
        <w:spacing w:before="0" w:beforeAutospacing="0" w:after="0" w:afterAutospacing="0"/>
        <w:jc w:val="center"/>
        <w:rPr>
          <w:rStyle w:val="Gl"/>
          <w:rFonts w:eastAsiaTheme="majorEastAsia"/>
        </w:rPr>
      </w:pPr>
      <w:r w:rsidRPr="00055B22">
        <w:rPr>
          <w:rFonts w:eastAsiaTheme="majorEastAsia"/>
          <w:b/>
          <w:bCs/>
        </w:rPr>
        <w:t>Invest</w:t>
      </w:r>
      <w:r>
        <w:rPr>
          <w:rFonts w:eastAsiaTheme="majorEastAsia"/>
          <w:b/>
          <w:bCs/>
        </w:rPr>
        <w:t>i</w:t>
      </w:r>
      <w:r w:rsidRPr="00055B22">
        <w:rPr>
          <w:rFonts w:eastAsiaTheme="majorEastAsia"/>
          <w:b/>
          <w:bCs/>
        </w:rPr>
        <w:t>gat</w:t>
      </w:r>
      <w:r>
        <w:rPr>
          <w:rFonts w:eastAsiaTheme="majorEastAsia"/>
          <w:b/>
          <w:bCs/>
        </w:rPr>
        <w:t>i</w:t>
      </w:r>
      <w:r w:rsidRPr="00055B22">
        <w:rPr>
          <w:rFonts w:eastAsiaTheme="majorEastAsia"/>
          <w:b/>
          <w:bCs/>
        </w:rPr>
        <w:t xml:space="preserve">on </w:t>
      </w:r>
      <w:r>
        <w:rPr>
          <w:rFonts w:eastAsiaTheme="majorEastAsia"/>
          <w:b/>
          <w:bCs/>
        </w:rPr>
        <w:t>of</w:t>
      </w:r>
      <w:r>
        <w:rPr>
          <w:rStyle w:val="Gl"/>
          <w:rFonts w:eastAsiaTheme="majorEastAsia"/>
        </w:rPr>
        <w:t xml:space="preserve"> the Relationship Between </w:t>
      </w:r>
      <w:r w:rsidRPr="00E60AE5">
        <w:rPr>
          <w:b/>
        </w:rPr>
        <w:t>Loom</w:t>
      </w:r>
      <w:r>
        <w:rPr>
          <w:b/>
        </w:rPr>
        <w:t>i</w:t>
      </w:r>
      <w:r w:rsidRPr="00E60AE5">
        <w:rPr>
          <w:b/>
        </w:rPr>
        <w:t>ng Maladapt</w:t>
      </w:r>
      <w:r>
        <w:rPr>
          <w:b/>
        </w:rPr>
        <w:t>i</w:t>
      </w:r>
      <w:r w:rsidRPr="00E60AE5">
        <w:rPr>
          <w:b/>
        </w:rPr>
        <w:t xml:space="preserve">ve Style </w:t>
      </w:r>
      <w:r>
        <w:rPr>
          <w:rStyle w:val="Gl"/>
          <w:rFonts w:eastAsiaTheme="majorEastAsia"/>
        </w:rPr>
        <w:t>and Meta-Worry in Adults</w:t>
      </w:r>
    </w:p>
    <w:p w14:paraId="5C705823" w14:textId="77777777" w:rsidR="007513A1" w:rsidRDefault="007513A1" w:rsidP="007513A1">
      <w:pPr>
        <w:pStyle w:val="NormalWeb"/>
        <w:spacing w:before="0" w:beforeAutospacing="0" w:after="0" w:afterAutospacing="0"/>
        <w:jc w:val="both"/>
        <w:rPr>
          <w:rStyle w:val="Gl"/>
          <w:rFonts w:eastAsiaTheme="majorEastAsia"/>
        </w:rPr>
      </w:pPr>
    </w:p>
    <w:p w14:paraId="7C38957C" w14:textId="77777777" w:rsidR="007513A1" w:rsidRDefault="00B470AD" w:rsidP="007513A1">
      <w:pPr>
        <w:pStyle w:val="NormalWeb"/>
        <w:spacing w:before="0" w:beforeAutospacing="0" w:after="0" w:afterAutospacing="0"/>
        <w:jc w:val="center"/>
      </w:pPr>
      <w:r>
        <w:rPr>
          <w:rStyle w:val="Gl"/>
          <w:rFonts w:eastAsiaTheme="majorEastAsia"/>
        </w:rPr>
        <w:t>Abstrac</w:t>
      </w:r>
      <w:r w:rsidR="007513A1">
        <w:t>t</w:t>
      </w:r>
    </w:p>
    <w:p w14:paraId="290DE5AB" w14:textId="4EED2F33" w:rsidR="00B470AD" w:rsidRDefault="00B470AD" w:rsidP="007513A1">
      <w:pPr>
        <w:pStyle w:val="NormalWeb"/>
        <w:spacing w:before="0" w:beforeAutospacing="0" w:after="0" w:afterAutospacing="0"/>
        <w:jc w:val="both"/>
      </w:pPr>
      <w:r>
        <w:t>Anxiety and worry are emotions commonly experienced by individuals today, and in some cases, they can escalate to the level of psychological diagnoses. The purpose of this study is to investigate the relationship between l</w:t>
      </w:r>
      <w:r w:rsidRPr="000A45B1">
        <w:t xml:space="preserve">ooming </w:t>
      </w:r>
      <w:r>
        <w:t>m</w:t>
      </w:r>
      <w:r w:rsidRPr="000A45B1">
        <w:t>aladaptive</w:t>
      </w:r>
      <w:r>
        <w:t xml:space="preserve"> style and meta-worry in adults. The research sample consists of 393 individuals, including 276 women (70.2%) and 117 men (29.8%) aged 18 to 65, with a mean age of 29.41. Individuals with psychiatric diagnoses were excluded from the sample. Participants completed an Informed Consent Form, Sociodemographic Data Form, Meta-Worry </w:t>
      </w:r>
      <w:r w:rsidRPr="00A22FF1">
        <w:t>Questionnaire</w:t>
      </w:r>
      <w:r>
        <w:t xml:space="preserve">, </w:t>
      </w:r>
      <w:r w:rsidRPr="00A22FF1">
        <w:t>Looming Maladaptive Style Questionnaire-Revised</w:t>
      </w:r>
      <w:r>
        <w:t xml:space="preserve">, and Penn State Worry Questionnaire. The research question is: "Is there </w:t>
      </w:r>
      <w:r>
        <w:lastRenderedPageBreak/>
        <w:t xml:space="preserve">a significant relationship between </w:t>
      </w:r>
      <w:r w:rsidRPr="003723EA">
        <w:t>looming maladaptive</w:t>
      </w:r>
      <w:r>
        <w:t xml:space="preserve"> style and meta-worry in adults?" A quantitative correlational research design was used. To examine the relationships between variables, Pearson correlation analysis was performed using the SPSS 27 (Statistical Package for the Social Sciences). The analysis revealed significant positive relationships between meta-worry and </w:t>
      </w:r>
      <w:r w:rsidRPr="00A22FF1">
        <w:t xml:space="preserve">looming maladaptive </w:t>
      </w:r>
      <w:r>
        <w:t xml:space="preserve">style, </w:t>
      </w:r>
      <w:r w:rsidRPr="00A22FF1">
        <w:t xml:space="preserve">looming maladaptive </w:t>
      </w:r>
      <w:r>
        <w:t xml:space="preserve">style and worry, and meta-worry and worry (p &lt; .05). The results show that </w:t>
      </w:r>
      <w:r w:rsidRPr="00A22FF1">
        <w:t xml:space="preserve">looming maladaptive </w:t>
      </w:r>
      <w:r>
        <w:t xml:space="preserve">style and meta-worry are interrelated. Additionally, the findings suggest that </w:t>
      </w:r>
      <w:r w:rsidRPr="00A22FF1">
        <w:t xml:space="preserve">looming maladaptive </w:t>
      </w:r>
      <w:r>
        <w:t>style and meta-worry may be associated with generalized anxiety disorder. A limitation of the study is that data were collected through an online form, which is only suitable for individuals who have internet access. Furthermore, it was assumed that participants answered the scales honestly. The relative scarcity of research on these concepts in the literature and their potential to provide insight into generalized anxiety disorder make this study significant.</w:t>
      </w:r>
    </w:p>
    <w:p w14:paraId="03C76B93" w14:textId="77777777" w:rsidR="007513A1" w:rsidRPr="007513A1" w:rsidRDefault="007513A1" w:rsidP="007513A1">
      <w:pPr>
        <w:pStyle w:val="NormalWeb"/>
        <w:spacing w:before="0" w:beforeAutospacing="0" w:after="0" w:afterAutospacing="0"/>
        <w:jc w:val="both"/>
      </w:pPr>
    </w:p>
    <w:p w14:paraId="3BBB20A5" w14:textId="665F990A" w:rsidR="00B470AD" w:rsidRDefault="00B470AD" w:rsidP="007513A1">
      <w:pPr>
        <w:pStyle w:val="NormalWeb"/>
        <w:spacing w:before="0" w:beforeAutospacing="0" w:after="0" w:afterAutospacing="0"/>
        <w:jc w:val="both"/>
      </w:pPr>
      <w:r>
        <w:rPr>
          <w:rStyle w:val="Gl"/>
          <w:rFonts w:eastAsiaTheme="majorEastAsia"/>
        </w:rPr>
        <w:t>Keywords</w:t>
      </w:r>
      <w:r>
        <w:t>: Anxiety, Meta-Worry,</w:t>
      </w:r>
      <w:r w:rsidRPr="00A22FF1">
        <w:rPr>
          <w:rFonts w:asciiTheme="minorHAnsi" w:eastAsiaTheme="minorHAnsi" w:hAnsiTheme="minorHAnsi" w:cstheme="minorBidi"/>
          <w:sz w:val="22"/>
          <w:szCs w:val="22"/>
          <w:lang w:eastAsia="en-US"/>
        </w:rPr>
        <w:t xml:space="preserve"> </w:t>
      </w:r>
      <w:r>
        <w:t>L</w:t>
      </w:r>
      <w:r w:rsidRPr="00A22FF1">
        <w:t xml:space="preserve">ooming </w:t>
      </w:r>
      <w:r>
        <w:t>M</w:t>
      </w:r>
      <w:r w:rsidRPr="00A22FF1">
        <w:t>aladaptive</w:t>
      </w:r>
      <w:r>
        <w:t xml:space="preserve"> Style, Worry</w:t>
      </w:r>
    </w:p>
    <w:p w14:paraId="2445068F" w14:textId="77777777" w:rsidR="007513A1" w:rsidRDefault="007513A1" w:rsidP="007513A1">
      <w:pPr>
        <w:pStyle w:val="NormalWeb"/>
        <w:spacing w:before="0" w:beforeAutospacing="0" w:after="0" w:afterAutospacing="0"/>
        <w:jc w:val="both"/>
      </w:pPr>
    </w:p>
    <w:p w14:paraId="14E02D31" w14:textId="77777777" w:rsidR="00B470AD" w:rsidRDefault="00B470AD" w:rsidP="007513A1">
      <w:pPr>
        <w:pStyle w:val="NormalWeb"/>
        <w:spacing w:before="0" w:beforeAutospacing="0" w:after="0" w:afterAutospacing="0"/>
        <w:rPr>
          <w:b/>
          <w:bCs/>
        </w:rPr>
      </w:pPr>
      <w:r>
        <w:rPr>
          <w:b/>
          <w:bCs/>
        </w:rPr>
        <w:t>1. GİRİŞ</w:t>
      </w:r>
    </w:p>
    <w:p w14:paraId="77325CB5" w14:textId="77777777" w:rsidR="00B470AD" w:rsidRDefault="00B470AD" w:rsidP="007513A1">
      <w:pPr>
        <w:pStyle w:val="NormalWeb"/>
        <w:spacing w:before="0" w:beforeAutospacing="0" w:after="0" w:afterAutospacing="0"/>
        <w:jc w:val="both"/>
      </w:pPr>
      <w:proofErr w:type="spellStart"/>
      <w:r w:rsidRPr="00425C69">
        <w:t>Kaygı</w:t>
      </w:r>
      <w:proofErr w:type="spellEnd"/>
      <w:r w:rsidRPr="00425C69">
        <w:t xml:space="preserve">, </w:t>
      </w:r>
      <w:proofErr w:type="spellStart"/>
      <w:r w:rsidRPr="00425C69">
        <w:t>günümüzde</w:t>
      </w:r>
      <w:proofErr w:type="spellEnd"/>
      <w:r w:rsidRPr="00425C69">
        <w:t xml:space="preserve"> </w:t>
      </w:r>
      <w:proofErr w:type="spellStart"/>
      <w:r w:rsidRPr="00425C69">
        <w:t>bireylerin</w:t>
      </w:r>
      <w:proofErr w:type="spellEnd"/>
      <w:r w:rsidRPr="00425C69">
        <w:t xml:space="preserve"> </w:t>
      </w:r>
      <w:proofErr w:type="spellStart"/>
      <w:r w:rsidRPr="00425C69">
        <w:t>sıkça</w:t>
      </w:r>
      <w:proofErr w:type="spellEnd"/>
      <w:r w:rsidRPr="00425C69">
        <w:t xml:space="preserve"> </w:t>
      </w:r>
      <w:proofErr w:type="spellStart"/>
      <w:r w:rsidRPr="00425C69">
        <w:t>yaşadığı</w:t>
      </w:r>
      <w:proofErr w:type="spellEnd"/>
      <w:r w:rsidRPr="00425C69">
        <w:t xml:space="preserve"> </w:t>
      </w:r>
      <w:proofErr w:type="spellStart"/>
      <w:r w:rsidRPr="00425C69">
        <w:t>bir</w:t>
      </w:r>
      <w:proofErr w:type="spellEnd"/>
      <w:r w:rsidRPr="00425C69">
        <w:t xml:space="preserve"> </w:t>
      </w:r>
      <w:proofErr w:type="spellStart"/>
      <w:r w:rsidRPr="00425C69">
        <w:t>duygudur</w:t>
      </w:r>
      <w:proofErr w:type="spellEnd"/>
      <w:r w:rsidRPr="00425C69">
        <w:t xml:space="preserve">. </w:t>
      </w:r>
      <w:proofErr w:type="spellStart"/>
      <w:r w:rsidRPr="00425C69">
        <w:t>Aynı</w:t>
      </w:r>
      <w:proofErr w:type="spellEnd"/>
      <w:r w:rsidRPr="00425C69">
        <w:t xml:space="preserve"> </w:t>
      </w:r>
      <w:proofErr w:type="spellStart"/>
      <w:r w:rsidRPr="00425C69">
        <w:t>zamanda</w:t>
      </w:r>
      <w:proofErr w:type="spellEnd"/>
      <w:r w:rsidRPr="00425C69">
        <w:t xml:space="preserve"> </w:t>
      </w:r>
      <w:proofErr w:type="spellStart"/>
      <w:r w:rsidRPr="00425C69">
        <w:t>psikopatolojide</w:t>
      </w:r>
      <w:proofErr w:type="spellEnd"/>
      <w:r w:rsidRPr="00425C69">
        <w:t xml:space="preserve"> </w:t>
      </w:r>
      <w:proofErr w:type="spellStart"/>
      <w:r w:rsidRPr="00425C69">
        <w:t>sık</w:t>
      </w:r>
      <w:proofErr w:type="spellEnd"/>
      <w:r w:rsidRPr="00425C69">
        <w:t xml:space="preserve"> </w:t>
      </w:r>
      <w:proofErr w:type="spellStart"/>
      <w:r w:rsidRPr="00425C69">
        <w:t>yer</w:t>
      </w:r>
      <w:proofErr w:type="spellEnd"/>
      <w:r w:rsidRPr="00425C69">
        <w:t xml:space="preserve"> </w:t>
      </w:r>
      <w:proofErr w:type="spellStart"/>
      <w:r w:rsidRPr="00425C69">
        <w:t>almaktadır</w:t>
      </w:r>
      <w:proofErr w:type="spellEnd"/>
      <w:r w:rsidRPr="00425C69">
        <w:t xml:space="preserve"> (Amerikan </w:t>
      </w:r>
      <w:proofErr w:type="spellStart"/>
      <w:r w:rsidRPr="00425C69">
        <w:t>Psikiyatri</w:t>
      </w:r>
      <w:proofErr w:type="spellEnd"/>
      <w:r w:rsidRPr="00425C69">
        <w:t xml:space="preserve"> </w:t>
      </w:r>
      <w:proofErr w:type="spellStart"/>
      <w:r w:rsidRPr="00425C69">
        <w:t>Birliği</w:t>
      </w:r>
      <w:proofErr w:type="spellEnd"/>
      <w:r w:rsidRPr="00425C69">
        <w:t xml:space="preserve">, 2013). </w:t>
      </w:r>
      <w:proofErr w:type="spellStart"/>
      <w:r>
        <w:t>G</w:t>
      </w:r>
      <w:r w:rsidRPr="00C81E46">
        <w:t>ünümüz</w:t>
      </w:r>
      <w:proofErr w:type="spellEnd"/>
      <w:r w:rsidRPr="00C81E46">
        <w:t xml:space="preserve"> modern </w:t>
      </w:r>
      <w:proofErr w:type="spellStart"/>
      <w:r w:rsidRPr="00C81E46">
        <w:t>yaşam</w:t>
      </w:r>
      <w:proofErr w:type="spellEnd"/>
      <w:r w:rsidRPr="00C81E46">
        <w:t xml:space="preserve"> </w:t>
      </w:r>
      <w:proofErr w:type="spellStart"/>
      <w:r w:rsidRPr="00C81E46">
        <w:t>koşulları</w:t>
      </w:r>
      <w:r>
        <w:t>yla</w:t>
      </w:r>
      <w:proofErr w:type="spellEnd"/>
      <w:r>
        <w:t xml:space="preserve"> </w:t>
      </w:r>
      <w:proofErr w:type="spellStart"/>
      <w:r w:rsidRPr="00C81E46">
        <w:t>birlikte</w:t>
      </w:r>
      <w:proofErr w:type="spellEnd"/>
      <w:r w:rsidRPr="00C81E46">
        <w:t xml:space="preserve"> </w:t>
      </w:r>
      <w:proofErr w:type="spellStart"/>
      <w:r w:rsidRPr="00C81E46">
        <w:t>tanı</w:t>
      </w:r>
      <w:proofErr w:type="spellEnd"/>
      <w:r w:rsidRPr="00C81E46">
        <w:t xml:space="preserve"> </w:t>
      </w:r>
      <w:proofErr w:type="spellStart"/>
      <w:r w:rsidRPr="00C81E46">
        <w:t>kategorilerine</w:t>
      </w:r>
      <w:proofErr w:type="spellEnd"/>
      <w:r w:rsidRPr="00C81E46">
        <w:t xml:space="preserve"> </w:t>
      </w:r>
      <w:proofErr w:type="spellStart"/>
      <w:r w:rsidRPr="00C81E46">
        <w:t>pek</w:t>
      </w:r>
      <w:proofErr w:type="spellEnd"/>
      <w:r w:rsidRPr="00C81E46">
        <w:t xml:space="preserve"> </w:t>
      </w:r>
      <w:proofErr w:type="spellStart"/>
      <w:r w:rsidRPr="00C81E46">
        <w:t>çok</w:t>
      </w:r>
      <w:proofErr w:type="spellEnd"/>
      <w:r w:rsidRPr="00C81E46">
        <w:t xml:space="preserve"> </w:t>
      </w:r>
      <w:proofErr w:type="spellStart"/>
      <w:r>
        <w:t>anksiyete</w:t>
      </w:r>
      <w:proofErr w:type="spellEnd"/>
      <w:r>
        <w:t xml:space="preserve"> </w:t>
      </w:r>
      <w:proofErr w:type="spellStart"/>
      <w:r w:rsidRPr="00C81E46">
        <w:t>bozukluğu</w:t>
      </w:r>
      <w:proofErr w:type="spellEnd"/>
      <w:r w:rsidRPr="00C81E46">
        <w:t xml:space="preserve"> </w:t>
      </w:r>
      <w:proofErr w:type="spellStart"/>
      <w:r w:rsidRPr="00C81E46">
        <w:t>eklenmiştir</w:t>
      </w:r>
      <w:proofErr w:type="spellEnd"/>
      <w:r w:rsidRPr="00C81E46">
        <w:t xml:space="preserve"> </w:t>
      </w:r>
      <w:proofErr w:type="spellStart"/>
      <w:r w:rsidRPr="00C81E46">
        <w:t>ve</w:t>
      </w:r>
      <w:proofErr w:type="spellEnd"/>
      <w:r w:rsidRPr="00C81E46">
        <w:t xml:space="preserve"> </w:t>
      </w:r>
      <w:proofErr w:type="spellStart"/>
      <w:r w:rsidRPr="00C81E46">
        <w:t>bunların</w:t>
      </w:r>
      <w:proofErr w:type="spellEnd"/>
      <w:r w:rsidRPr="00C81E46">
        <w:t xml:space="preserve"> </w:t>
      </w:r>
      <w:proofErr w:type="spellStart"/>
      <w:r w:rsidRPr="00C81E46">
        <w:t>komorbidite</w:t>
      </w:r>
      <w:proofErr w:type="spellEnd"/>
      <w:r w:rsidRPr="00C81E46">
        <w:t xml:space="preserve"> </w:t>
      </w:r>
      <w:proofErr w:type="spellStart"/>
      <w:r w:rsidRPr="00C81E46">
        <w:t>oranı</w:t>
      </w:r>
      <w:proofErr w:type="spellEnd"/>
      <w:r w:rsidRPr="00C81E46">
        <w:t xml:space="preserve"> </w:t>
      </w:r>
      <w:proofErr w:type="spellStart"/>
      <w:r w:rsidRPr="00C81E46">
        <w:t>yüksektir</w:t>
      </w:r>
      <w:proofErr w:type="spellEnd"/>
      <w:r w:rsidRPr="00C81E46">
        <w:t xml:space="preserve"> (Wittchen </w:t>
      </w:r>
      <w:proofErr w:type="spellStart"/>
      <w:r w:rsidRPr="00C81E46">
        <w:t>ve</w:t>
      </w:r>
      <w:proofErr w:type="spellEnd"/>
      <w:r w:rsidRPr="00C81E46">
        <w:t xml:space="preserve"> ark, 1994)</w:t>
      </w:r>
      <w:r>
        <w:t xml:space="preserve">. </w:t>
      </w:r>
      <w:proofErr w:type="spellStart"/>
      <w:r>
        <w:t>Anksiyete</w:t>
      </w:r>
      <w:proofErr w:type="spellEnd"/>
      <w:r>
        <w:t xml:space="preserve"> </w:t>
      </w:r>
      <w:proofErr w:type="spellStart"/>
      <w:r w:rsidRPr="00C5308F">
        <w:t>bozuklukları</w:t>
      </w:r>
      <w:proofErr w:type="spellEnd"/>
      <w:r w:rsidRPr="00C5308F">
        <w:t xml:space="preserve"> </w:t>
      </w:r>
      <w:proofErr w:type="spellStart"/>
      <w:r w:rsidRPr="00C5308F">
        <w:t>birçok</w:t>
      </w:r>
      <w:proofErr w:type="spellEnd"/>
      <w:r w:rsidRPr="00C5308F">
        <w:t xml:space="preserve"> </w:t>
      </w:r>
      <w:proofErr w:type="spellStart"/>
      <w:r w:rsidRPr="00C5308F">
        <w:t>açıdan</w:t>
      </w:r>
      <w:proofErr w:type="spellEnd"/>
      <w:r w:rsidRPr="00C5308F">
        <w:t xml:space="preserve"> </w:t>
      </w:r>
      <w:proofErr w:type="spellStart"/>
      <w:r w:rsidRPr="00C5308F">
        <w:t>insanların</w:t>
      </w:r>
      <w:proofErr w:type="spellEnd"/>
      <w:r w:rsidRPr="00C5308F">
        <w:t xml:space="preserve"> </w:t>
      </w:r>
      <w:proofErr w:type="spellStart"/>
      <w:r w:rsidRPr="00C5308F">
        <w:t>hayatını</w:t>
      </w:r>
      <w:proofErr w:type="spellEnd"/>
      <w:r w:rsidRPr="00C5308F">
        <w:t xml:space="preserve"> </w:t>
      </w:r>
      <w:proofErr w:type="spellStart"/>
      <w:r w:rsidRPr="00C5308F">
        <w:t>etkileyebilmektedir</w:t>
      </w:r>
      <w:proofErr w:type="spellEnd"/>
      <w:r w:rsidRPr="00C5308F">
        <w:t xml:space="preserve"> </w:t>
      </w:r>
      <w:proofErr w:type="spellStart"/>
      <w:r w:rsidRPr="00C5308F">
        <w:t>ve</w:t>
      </w:r>
      <w:proofErr w:type="spellEnd"/>
      <w:r w:rsidRPr="00C5308F">
        <w:t xml:space="preserve"> </w:t>
      </w:r>
      <w:proofErr w:type="spellStart"/>
      <w:r w:rsidRPr="00C5308F">
        <w:t>yaşam</w:t>
      </w:r>
      <w:proofErr w:type="spellEnd"/>
      <w:r w:rsidRPr="00C5308F">
        <w:t xml:space="preserve"> </w:t>
      </w:r>
      <w:proofErr w:type="spellStart"/>
      <w:r w:rsidRPr="00C5308F">
        <w:t>kalitesinde</w:t>
      </w:r>
      <w:proofErr w:type="spellEnd"/>
      <w:r w:rsidRPr="00C5308F">
        <w:t xml:space="preserve"> </w:t>
      </w:r>
      <w:proofErr w:type="spellStart"/>
      <w:r w:rsidRPr="00C5308F">
        <w:t>büyük</w:t>
      </w:r>
      <w:proofErr w:type="spellEnd"/>
      <w:r w:rsidRPr="00C5308F">
        <w:t xml:space="preserve"> </w:t>
      </w:r>
      <w:proofErr w:type="spellStart"/>
      <w:r w:rsidRPr="00C5308F">
        <w:t>ölçüde</w:t>
      </w:r>
      <w:proofErr w:type="spellEnd"/>
      <w:r w:rsidRPr="00C5308F">
        <w:t xml:space="preserve"> </w:t>
      </w:r>
      <w:proofErr w:type="spellStart"/>
      <w:r w:rsidRPr="00C5308F">
        <w:t>azalmayla</w:t>
      </w:r>
      <w:proofErr w:type="spellEnd"/>
      <w:r w:rsidRPr="00C5308F">
        <w:t xml:space="preserve"> </w:t>
      </w:r>
      <w:proofErr w:type="spellStart"/>
      <w:r w:rsidRPr="00C5308F">
        <w:t>bağlantılıdırlar</w:t>
      </w:r>
      <w:proofErr w:type="spellEnd"/>
      <w:r w:rsidRPr="00C5308F">
        <w:t xml:space="preserve"> (Olatunji</w:t>
      </w:r>
      <w:r>
        <w:t xml:space="preserve"> </w:t>
      </w:r>
      <w:proofErr w:type="spellStart"/>
      <w:r>
        <w:t>ve</w:t>
      </w:r>
      <w:proofErr w:type="spellEnd"/>
      <w:r>
        <w:t xml:space="preserve"> ark.</w:t>
      </w:r>
      <w:r w:rsidRPr="00C5308F">
        <w:t>, 2007).</w:t>
      </w:r>
      <w:r>
        <w:t xml:space="preserve"> </w:t>
      </w:r>
      <w:proofErr w:type="spellStart"/>
      <w:r w:rsidRPr="00425C69">
        <w:t>ABD’de</w:t>
      </w:r>
      <w:proofErr w:type="spellEnd"/>
      <w:r w:rsidRPr="00425C69">
        <w:t xml:space="preserve"> 8000’den </w:t>
      </w:r>
      <w:proofErr w:type="spellStart"/>
      <w:r w:rsidRPr="00425C69">
        <w:t>fazla</w:t>
      </w:r>
      <w:proofErr w:type="spellEnd"/>
      <w:r w:rsidRPr="00425C69">
        <w:t xml:space="preserve"> </w:t>
      </w:r>
      <w:proofErr w:type="spellStart"/>
      <w:r w:rsidRPr="00425C69">
        <w:t>kişiyle</w:t>
      </w:r>
      <w:proofErr w:type="spellEnd"/>
      <w:r w:rsidRPr="00425C69">
        <w:t xml:space="preserve"> </w:t>
      </w:r>
      <w:proofErr w:type="spellStart"/>
      <w:r w:rsidRPr="00425C69">
        <w:t>yapılmış</w:t>
      </w:r>
      <w:proofErr w:type="spellEnd"/>
      <w:r w:rsidRPr="00425C69">
        <w:t xml:space="preserve"> </w:t>
      </w:r>
      <w:proofErr w:type="spellStart"/>
      <w:r w:rsidRPr="00425C69">
        <w:t>bir</w:t>
      </w:r>
      <w:proofErr w:type="spellEnd"/>
      <w:r w:rsidRPr="00425C69">
        <w:t xml:space="preserve"> </w:t>
      </w:r>
      <w:proofErr w:type="spellStart"/>
      <w:r w:rsidRPr="00425C69">
        <w:t>çalışma</w:t>
      </w:r>
      <w:proofErr w:type="spellEnd"/>
      <w:r w:rsidRPr="00425C69">
        <w:t xml:space="preserve">, </w:t>
      </w:r>
      <w:proofErr w:type="spellStart"/>
      <w:r w:rsidRPr="00425C69">
        <w:t>katılımcıların</w:t>
      </w:r>
      <w:proofErr w:type="spellEnd"/>
      <w:r w:rsidRPr="00425C69">
        <w:t xml:space="preserve"> </w:t>
      </w:r>
      <w:proofErr w:type="spellStart"/>
      <w:r w:rsidRPr="00425C69">
        <w:t>yaklaşık</w:t>
      </w:r>
      <w:proofErr w:type="spellEnd"/>
      <w:r w:rsidRPr="00425C69">
        <w:t xml:space="preserve"> %28’inin </w:t>
      </w:r>
      <w:proofErr w:type="spellStart"/>
      <w:r w:rsidRPr="00425C69">
        <w:t>anksiyete</w:t>
      </w:r>
      <w:proofErr w:type="spellEnd"/>
      <w:r w:rsidRPr="00425C69">
        <w:t xml:space="preserve"> </w:t>
      </w:r>
      <w:proofErr w:type="spellStart"/>
      <w:r w:rsidRPr="00425C69">
        <w:t>bozuklukları</w:t>
      </w:r>
      <w:proofErr w:type="spellEnd"/>
      <w:r w:rsidRPr="00425C69">
        <w:t xml:space="preserve"> </w:t>
      </w:r>
      <w:proofErr w:type="spellStart"/>
      <w:r w:rsidRPr="00425C69">
        <w:t>kriterlerine</w:t>
      </w:r>
      <w:proofErr w:type="spellEnd"/>
      <w:r w:rsidRPr="00425C69">
        <w:t xml:space="preserve"> </w:t>
      </w:r>
      <w:proofErr w:type="spellStart"/>
      <w:r w:rsidRPr="00425C69">
        <w:t>uyan</w:t>
      </w:r>
      <w:proofErr w:type="spellEnd"/>
      <w:r w:rsidRPr="00425C69">
        <w:t xml:space="preserve"> </w:t>
      </w:r>
      <w:proofErr w:type="spellStart"/>
      <w:r w:rsidRPr="00425C69">
        <w:t>belirtileri</w:t>
      </w:r>
      <w:proofErr w:type="spellEnd"/>
      <w:r w:rsidRPr="00425C69">
        <w:t xml:space="preserve">, </w:t>
      </w:r>
      <w:proofErr w:type="spellStart"/>
      <w:r w:rsidRPr="00425C69">
        <w:t>hayatlarının</w:t>
      </w:r>
      <w:proofErr w:type="spellEnd"/>
      <w:r w:rsidRPr="00425C69">
        <w:t xml:space="preserve"> </w:t>
      </w:r>
      <w:proofErr w:type="spellStart"/>
      <w:r w:rsidRPr="00425C69">
        <w:t>bir</w:t>
      </w:r>
      <w:proofErr w:type="spellEnd"/>
      <w:r w:rsidRPr="00425C69">
        <w:t xml:space="preserve"> </w:t>
      </w:r>
      <w:proofErr w:type="spellStart"/>
      <w:r w:rsidRPr="00425C69">
        <w:t>döneminde</w:t>
      </w:r>
      <w:proofErr w:type="spellEnd"/>
      <w:r w:rsidRPr="00425C69">
        <w:t xml:space="preserve"> </w:t>
      </w:r>
      <w:proofErr w:type="spellStart"/>
      <w:r w:rsidRPr="00425C69">
        <w:t>yaşadıklarını</w:t>
      </w:r>
      <w:proofErr w:type="spellEnd"/>
      <w:r w:rsidRPr="00425C69">
        <w:t xml:space="preserve"> </w:t>
      </w:r>
      <w:proofErr w:type="spellStart"/>
      <w:r w:rsidRPr="00425C69">
        <w:t>ortaya</w:t>
      </w:r>
      <w:proofErr w:type="spellEnd"/>
      <w:r w:rsidRPr="00425C69">
        <w:t xml:space="preserve"> </w:t>
      </w:r>
      <w:proofErr w:type="spellStart"/>
      <w:r w:rsidRPr="00425C69">
        <w:t>koymuştur</w:t>
      </w:r>
      <w:proofErr w:type="spellEnd"/>
      <w:r w:rsidRPr="00425C69">
        <w:t xml:space="preserve"> (Kessler</w:t>
      </w:r>
      <w:r>
        <w:t xml:space="preserve"> </w:t>
      </w:r>
      <w:proofErr w:type="spellStart"/>
      <w:r w:rsidRPr="00425C69">
        <w:t>ve</w:t>
      </w:r>
      <w:proofErr w:type="spellEnd"/>
      <w:r w:rsidRPr="00425C69">
        <w:t xml:space="preserve"> ark, 2005). Bir </w:t>
      </w:r>
      <w:proofErr w:type="spellStart"/>
      <w:r w:rsidRPr="00425C69">
        <w:t>diğer</w:t>
      </w:r>
      <w:proofErr w:type="spellEnd"/>
      <w:r w:rsidRPr="00425C69">
        <w:t xml:space="preserve"> </w:t>
      </w:r>
      <w:proofErr w:type="spellStart"/>
      <w:r w:rsidRPr="00425C69">
        <w:t>araştırmada</w:t>
      </w:r>
      <w:proofErr w:type="spellEnd"/>
      <w:r w:rsidRPr="00425C69">
        <w:t xml:space="preserve"> </w:t>
      </w:r>
      <w:proofErr w:type="spellStart"/>
      <w:r w:rsidRPr="00425C69">
        <w:t>anksiyete</w:t>
      </w:r>
      <w:proofErr w:type="spellEnd"/>
      <w:r w:rsidRPr="00425C69">
        <w:t xml:space="preserve"> </w:t>
      </w:r>
      <w:proofErr w:type="spellStart"/>
      <w:r w:rsidRPr="00425C69">
        <w:t>bozukluğu</w:t>
      </w:r>
      <w:proofErr w:type="spellEnd"/>
      <w:r w:rsidRPr="00425C69">
        <w:t xml:space="preserve"> </w:t>
      </w:r>
      <w:proofErr w:type="spellStart"/>
      <w:r w:rsidRPr="00425C69">
        <w:t>tanısı</w:t>
      </w:r>
      <w:proofErr w:type="spellEnd"/>
      <w:r w:rsidRPr="00425C69">
        <w:t xml:space="preserve"> </w:t>
      </w:r>
      <w:proofErr w:type="spellStart"/>
      <w:r w:rsidRPr="00425C69">
        <w:t>olan</w:t>
      </w:r>
      <w:proofErr w:type="spellEnd"/>
      <w:r w:rsidRPr="00425C69">
        <w:t xml:space="preserve"> </w:t>
      </w:r>
      <w:proofErr w:type="spellStart"/>
      <w:r w:rsidRPr="00425C69">
        <w:t>kişilerin</w:t>
      </w:r>
      <w:proofErr w:type="spellEnd"/>
      <w:r w:rsidRPr="00425C69">
        <w:t xml:space="preserve"> </w:t>
      </w:r>
      <w:proofErr w:type="spellStart"/>
      <w:r w:rsidRPr="00425C69">
        <w:t>dörtte</w:t>
      </w:r>
      <w:proofErr w:type="spellEnd"/>
      <w:r w:rsidRPr="00425C69">
        <w:t xml:space="preserve"> </w:t>
      </w:r>
      <w:proofErr w:type="spellStart"/>
      <w:r w:rsidRPr="00425C69">
        <w:t>üçünün</w:t>
      </w:r>
      <w:proofErr w:type="spellEnd"/>
      <w:r w:rsidRPr="00425C69">
        <w:t xml:space="preserve">, </w:t>
      </w:r>
      <w:proofErr w:type="spellStart"/>
      <w:r w:rsidRPr="00425C69">
        <w:t>en</w:t>
      </w:r>
      <w:proofErr w:type="spellEnd"/>
      <w:r w:rsidRPr="00425C69">
        <w:t xml:space="preserve"> </w:t>
      </w:r>
      <w:proofErr w:type="spellStart"/>
      <w:r w:rsidRPr="00425C69">
        <w:t>az</w:t>
      </w:r>
      <w:proofErr w:type="spellEnd"/>
      <w:r w:rsidRPr="00425C69">
        <w:t xml:space="preserve"> </w:t>
      </w:r>
      <w:proofErr w:type="spellStart"/>
      <w:r w:rsidRPr="00425C69">
        <w:t>bir</w:t>
      </w:r>
      <w:proofErr w:type="spellEnd"/>
      <w:r w:rsidRPr="00425C69">
        <w:t xml:space="preserve"> </w:t>
      </w:r>
      <w:proofErr w:type="spellStart"/>
      <w:r w:rsidRPr="00425C69">
        <w:t>tane</w:t>
      </w:r>
      <w:proofErr w:type="spellEnd"/>
      <w:r w:rsidRPr="00425C69">
        <w:t xml:space="preserve"> </w:t>
      </w:r>
      <w:proofErr w:type="spellStart"/>
      <w:r w:rsidRPr="00425C69">
        <w:t>başka</w:t>
      </w:r>
      <w:proofErr w:type="spellEnd"/>
      <w:r w:rsidRPr="00425C69">
        <w:t xml:space="preserve"> </w:t>
      </w:r>
      <w:proofErr w:type="spellStart"/>
      <w:r w:rsidRPr="00425C69">
        <w:t>bir</w:t>
      </w:r>
      <w:proofErr w:type="spellEnd"/>
      <w:r w:rsidRPr="00425C69">
        <w:t xml:space="preserve"> </w:t>
      </w:r>
      <w:proofErr w:type="spellStart"/>
      <w:r w:rsidRPr="00425C69">
        <w:t>psikolojik</w:t>
      </w:r>
      <w:proofErr w:type="spellEnd"/>
      <w:r w:rsidRPr="00425C69">
        <w:t xml:space="preserve"> </w:t>
      </w:r>
      <w:proofErr w:type="spellStart"/>
      <w:r w:rsidRPr="00425C69">
        <w:t>tanının</w:t>
      </w:r>
      <w:proofErr w:type="spellEnd"/>
      <w:r w:rsidRPr="00425C69">
        <w:t xml:space="preserve"> da </w:t>
      </w:r>
      <w:proofErr w:type="spellStart"/>
      <w:r w:rsidRPr="00425C69">
        <w:t>kriterlerini</w:t>
      </w:r>
      <w:proofErr w:type="spellEnd"/>
      <w:r w:rsidRPr="00425C69">
        <w:t xml:space="preserve"> </w:t>
      </w:r>
      <w:proofErr w:type="spellStart"/>
      <w:r w:rsidRPr="00425C69">
        <w:t>karşıladıkları</w:t>
      </w:r>
      <w:proofErr w:type="spellEnd"/>
      <w:r w:rsidRPr="00425C69">
        <w:t xml:space="preserve"> </w:t>
      </w:r>
      <w:proofErr w:type="spellStart"/>
      <w:r w:rsidRPr="00425C69">
        <w:t>bulunmuştur</w:t>
      </w:r>
      <w:proofErr w:type="spellEnd"/>
      <w:r w:rsidRPr="00425C69">
        <w:t xml:space="preserve"> (Kessler </w:t>
      </w:r>
      <w:proofErr w:type="spellStart"/>
      <w:r w:rsidRPr="00425C69">
        <w:t>ve</w:t>
      </w:r>
      <w:proofErr w:type="spellEnd"/>
      <w:r w:rsidRPr="00425C69">
        <w:t xml:space="preserve"> ark., 1997).</w:t>
      </w:r>
    </w:p>
    <w:p w14:paraId="1DD3D5BE" w14:textId="77777777" w:rsidR="007513A1" w:rsidRDefault="007513A1" w:rsidP="007513A1">
      <w:pPr>
        <w:pStyle w:val="NormalWeb"/>
        <w:spacing w:before="0" w:beforeAutospacing="0" w:after="0" w:afterAutospacing="0"/>
        <w:jc w:val="both"/>
      </w:pPr>
    </w:p>
    <w:p w14:paraId="621B7686" w14:textId="77777777" w:rsidR="00B470AD" w:rsidRDefault="00B470AD" w:rsidP="007513A1">
      <w:pPr>
        <w:pStyle w:val="NormalWeb"/>
        <w:spacing w:before="0" w:beforeAutospacing="0" w:after="0" w:afterAutospacing="0"/>
        <w:jc w:val="both"/>
      </w:pPr>
      <w:proofErr w:type="spellStart"/>
      <w:r w:rsidRPr="00C5308F">
        <w:t>Popülasyonda</w:t>
      </w:r>
      <w:proofErr w:type="spellEnd"/>
      <w:r w:rsidRPr="00C5308F">
        <w:t xml:space="preserve"> </w:t>
      </w:r>
      <w:proofErr w:type="spellStart"/>
      <w:r w:rsidRPr="00C5308F">
        <w:t>en</w:t>
      </w:r>
      <w:proofErr w:type="spellEnd"/>
      <w:r w:rsidRPr="00C5308F">
        <w:t xml:space="preserve"> </w:t>
      </w:r>
      <w:proofErr w:type="spellStart"/>
      <w:r w:rsidRPr="00C5308F">
        <w:t>sık</w:t>
      </w:r>
      <w:proofErr w:type="spellEnd"/>
      <w:r w:rsidRPr="00C5308F">
        <w:t xml:space="preserve"> </w:t>
      </w:r>
      <w:proofErr w:type="spellStart"/>
      <w:r w:rsidRPr="00C5308F">
        <w:t>görülen</w:t>
      </w:r>
      <w:proofErr w:type="spellEnd"/>
      <w:r w:rsidRPr="00C5308F">
        <w:t xml:space="preserve"> </w:t>
      </w:r>
      <w:proofErr w:type="spellStart"/>
      <w:r w:rsidRPr="00C5308F">
        <w:t>tanı</w:t>
      </w:r>
      <w:proofErr w:type="spellEnd"/>
      <w:r w:rsidRPr="00C5308F">
        <w:t xml:space="preserve"> </w:t>
      </w:r>
      <w:proofErr w:type="spellStart"/>
      <w:r w:rsidRPr="00C5308F">
        <w:t>ve</w:t>
      </w:r>
      <w:proofErr w:type="spellEnd"/>
      <w:r w:rsidRPr="00C5308F">
        <w:t xml:space="preserve"> </w:t>
      </w:r>
      <w:proofErr w:type="spellStart"/>
      <w:r w:rsidRPr="00C5308F">
        <w:t>anksiyete</w:t>
      </w:r>
      <w:proofErr w:type="spellEnd"/>
      <w:r w:rsidRPr="00C5308F">
        <w:t xml:space="preserve"> </w:t>
      </w:r>
      <w:proofErr w:type="spellStart"/>
      <w:r w:rsidRPr="00C5308F">
        <w:t>bozukluklarından</w:t>
      </w:r>
      <w:proofErr w:type="spellEnd"/>
      <w:r w:rsidRPr="00C5308F">
        <w:t xml:space="preserve"> </w:t>
      </w:r>
      <w:proofErr w:type="spellStart"/>
      <w:r w:rsidRPr="00C5308F">
        <w:t>biri</w:t>
      </w:r>
      <w:proofErr w:type="spellEnd"/>
      <w:r w:rsidRPr="00C5308F">
        <w:t xml:space="preserve"> </w:t>
      </w:r>
      <w:proofErr w:type="spellStart"/>
      <w:r w:rsidRPr="00C5308F">
        <w:t>ise</w:t>
      </w:r>
      <w:proofErr w:type="spellEnd"/>
      <w:r w:rsidRPr="00C5308F">
        <w:t xml:space="preserve"> </w:t>
      </w:r>
      <w:proofErr w:type="spellStart"/>
      <w:r w:rsidRPr="00C5308F">
        <w:t>yaygın</w:t>
      </w:r>
      <w:proofErr w:type="spellEnd"/>
      <w:r w:rsidRPr="00C5308F">
        <w:t xml:space="preserve"> </w:t>
      </w:r>
      <w:proofErr w:type="spellStart"/>
      <w:r w:rsidRPr="00C5308F">
        <w:t>anksiyete</w:t>
      </w:r>
      <w:proofErr w:type="spellEnd"/>
      <w:r w:rsidRPr="00C5308F">
        <w:t xml:space="preserve"> </w:t>
      </w:r>
      <w:proofErr w:type="spellStart"/>
      <w:r w:rsidRPr="00C5308F">
        <w:t>bozukluğudur</w:t>
      </w:r>
      <w:proofErr w:type="spellEnd"/>
      <w:r w:rsidRPr="00C5308F">
        <w:t xml:space="preserve"> (Baykal, 2017).</w:t>
      </w:r>
      <w:r w:rsidRPr="00C83C57">
        <w:rPr>
          <w:rFonts w:asciiTheme="minorHAnsi" w:eastAsiaTheme="minorHAnsi" w:hAnsiTheme="minorHAnsi" w:cstheme="minorBidi"/>
          <w:sz w:val="22"/>
          <w:szCs w:val="22"/>
          <w:lang w:eastAsia="en-US"/>
        </w:rPr>
        <w:t xml:space="preserve"> </w:t>
      </w:r>
      <w:proofErr w:type="spellStart"/>
      <w:r>
        <w:t>Bununla</w:t>
      </w:r>
      <w:proofErr w:type="spellEnd"/>
      <w:r>
        <w:t xml:space="preserve"> </w:t>
      </w:r>
      <w:proofErr w:type="spellStart"/>
      <w:r>
        <w:t>birlikte</w:t>
      </w:r>
      <w:proofErr w:type="spellEnd"/>
      <w:r>
        <w:t xml:space="preserve"> </w:t>
      </w:r>
      <w:proofErr w:type="spellStart"/>
      <w:r>
        <w:t>b</w:t>
      </w:r>
      <w:r w:rsidRPr="00C83C57">
        <w:t>irinci</w:t>
      </w:r>
      <w:proofErr w:type="spellEnd"/>
      <w:r w:rsidRPr="00C83C57">
        <w:t xml:space="preserve"> </w:t>
      </w:r>
      <w:proofErr w:type="spellStart"/>
      <w:r w:rsidRPr="00C83C57">
        <w:t>basamak</w:t>
      </w:r>
      <w:proofErr w:type="spellEnd"/>
      <w:r w:rsidRPr="00C83C57">
        <w:t xml:space="preserve"> </w:t>
      </w:r>
      <w:proofErr w:type="spellStart"/>
      <w:r w:rsidRPr="00C83C57">
        <w:t>sağlık</w:t>
      </w:r>
      <w:proofErr w:type="spellEnd"/>
      <w:r w:rsidRPr="00C83C57">
        <w:t xml:space="preserve"> </w:t>
      </w:r>
      <w:proofErr w:type="spellStart"/>
      <w:r w:rsidRPr="00C83C57">
        <w:t>hizmetine</w:t>
      </w:r>
      <w:proofErr w:type="spellEnd"/>
      <w:r w:rsidRPr="00C83C57">
        <w:t xml:space="preserve"> </w:t>
      </w:r>
      <w:proofErr w:type="spellStart"/>
      <w:r w:rsidRPr="00C83C57">
        <w:t>başvuran</w:t>
      </w:r>
      <w:proofErr w:type="spellEnd"/>
      <w:r w:rsidRPr="00C83C57">
        <w:t xml:space="preserve"> </w:t>
      </w:r>
      <w:proofErr w:type="spellStart"/>
      <w:r>
        <w:t>kişilerde</w:t>
      </w:r>
      <w:proofErr w:type="spellEnd"/>
      <w:r w:rsidRPr="00C83C57">
        <w:t xml:space="preserve"> </w:t>
      </w:r>
      <w:proofErr w:type="spellStart"/>
      <w:r w:rsidRPr="00C83C57">
        <w:t>en</w:t>
      </w:r>
      <w:proofErr w:type="spellEnd"/>
      <w:r w:rsidRPr="00C83C57">
        <w:t xml:space="preserve"> </w:t>
      </w:r>
      <w:proofErr w:type="spellStart"/>
      <w:r w:rsidRPr="00C83C57">
        <w:t>sık</w:t>
      </w:r>
      <w:proofErr w:type="spellEnd"/>
      <w:r w:rsidRPr="00C83C57">
        <w:t xml:space="preserve"> </w:t>
      </w:r>
      <w:proofErr w:type="spellStart"/>
      <w:r w:rsidRPr="00C83C57">
        <w:t>görül</w:t>
      </w:r>
      <w:r>
        <w:t>mekte</w:t>
      </w:r>
      <w:proofErr w:type="spellEnd"/>
      <w:r>
        <w:t xml:space="preserve"> </w:t>
      </w:r>
      <w:proofErr w:type="spellStart"/>
      <w:r>
        <w:t>olan</w:t>
      </w:r>
      <w:proofErr w:type="spellEnd"/>
      <w:r>
        <w:t xml:space="preserve"> </w:t>
      </w:r>
      <w:proofErr w:type="spellStart"/>
      <w:r w:rsidRPr="00C83C57">
        <w:t>anksiyete</w:t>
      </w:r>
      <w:proofErr w:type="spellEnd"/>
      <w:r w:rsidRPr="00C83C57">
        <w:t xml:space="preserve"> </w:t>
      </w:r>
      <w:proofErr w:type="spellStart"/>
      <w:r w:rsidRPr="00C83C57">
        <w:t>bozukluğu</w:t>
      </w:r>
      <w:proofErr w:type="spellEnd"/>
      <w:r w:rsidRPr="00C83C57">
        <w:t xml:space="preserve">, </w:t>
      </w:r>
      <w:proofErr w:type="spellStart"/>
      <w:r w:rsidRPr="00C83C57">
        <w:t>yaygın</w:t>
      </w:r>
      <w:proofErr w:type="spellEnd"/>
      <w:r w:rsidRPr="00C83C57">
        <w:t xml:space="preserve"> </w:t>
      </w:r>
      <w:proofErr w:type="spellStart"/>
      <w:r w:rsidRPr="00C83C57">
        <w:t>anksiyete</w:t>
      </w:r>
      <w:proofErr w:type="spellEnd"/>
      <w:r w:rsidRPr="00C83C57">
        <w:t xml:space="preserve"> </w:t>
      </w:r>
      <w:proofErr w:type="spellStart"/>
      <w:r w:rsidRPr="00C83C57">
        <w:t>bozukluğudur</w:t>
      </w:r>
      <w:proofErr w:type="spellEnd"/>
      <w:r>
        <w:t xml:space="preserve"> </w:t>
      </w:r>
      <w:r w:rsidRPr="00C83C57">
        <w:t>(</w:t>
      </w:r>
      <w:r>
        <w:t xml:space="preserve">Öztürk </w:t>
      </w:r>
      <w:proofErr w:type="spellStart"/>
      <w:r>
        <w:t>ve</w:t>
      </w:r>
      <w:proofErr w:type="spellEnd"/>
      <w:r>
        <w:t xml:space="preserve"> </w:t>
      </w:r>
      <w:proofErr w:type="spellStart"/>
      <w:r>
        <w:t>Uluşahin</w:t>
      </w:r>
      <w:proofErr w:type="spellEnd"/>
      <w:r>
        <w:t>, 2011</w:t>
      </w:r>
      <w:r w:rsidRPr="00C83C57">
        <w:t>)</w:t>
      </w:r>
      <w:r>
        <w:t>.</w:t>
      </w:r>
      <w:r w:rsidRPr="00C5308F">
        <w:t xml:space="preserve"> </w:t>
      </w:r>
      <w:proofErr w:type="spellStart"/>
      <w:r w:rsidRPr="00117374">
        <w:t>Aynı</w:t>
      </w:r>
      <w:proofErr w:type="spellEnd"/>
      <w:r w:rsidRPr="00117374">
        <w:t xml:space="preserve"> </w:t>
      </w:r>
      <w:proofErr w:type="spellStart"/>
      <w:r w:rsidRPr="00117374">
        <w:t>zamanda</w:t>
      </w:r>
      <w:proofErr w:type="spellEnd"/>
      <w:r w:rsidRPr="00117374">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rsidRPr="00117374">
        <w:t xml:space="preserve"> </w:t>
      </w:r>
      <w:proofErr w:type="spellStart"/>
      <w:r w:rsidRPr="00117374">
        <w:t>tanısı</w:t>
      </w:r>
      <w:proofErr w:type="spellEnd"/>
      <w:r w:rsidRPr="00117374">
        <w:t xml:space="preserve"> </w:t>
      </w:r>
      <w:proofErr w:type="spellStart"/>
      <w:r w:rsidRPr="00117374">
        <w:t>alan</w:t>
      </w:r>
      <w:proofErr w:type="spellEnd"/>
      <w:r w:rsidRPr="00117374">
        <w:t xml:space="preserve"> </w:t>
      </w:r>
      <w:proofErr w:type="spellStart"/>
      <w:r w:rsidRPr="00117374">
        <w:t>hastaların</w:t>
      </w:r>
      <w:proofErr w:type="spellEnd"/>
      <w:r w:rsidRPr="00117374">
        <w:t xml:space="preserve"> %66’sı </w:t>
      </w:r>
      <w:proofErr w:type="spellStart"/>
      <w:r w:rsidRPr="00117374">
        <w:t>eş</w:t>
      </w:r>
      <w:proofErr w:type="spellEnd"/>
      <w:r w:rsidRPr="00117374">
        <w:t xml:space="preserve"> </w:t>
      </w:r>
      <w:proofErr w:type="spellStart"/>
      <w:r w:rsidRPr="00117374">
        <w:t>zamanlı</w:t>
      </w:r>
      <w:proofErr w:type="spellEnd"/>
      <w:r w:rsidRPr="00117374">
        <w:t xml:space="preserve"> </w:t>
      </w:r>
      <w:proofErr w:type="spellStart"/>
      <w:r w:rsidRPr="00117374">
        <w:t>olarak</w:t>
      </w:r>
      <w:proofErr w:type="spellEnd"/>
      <w:r w:rsidRPr="00117374">
        <w:t xml:space="preserve"> </w:t>
      </w:r>
      <w:proofErr w:type="spellStart"/>
      <w:r w:rsidRPr="00117374">
        <w:t>başka</w:t>
      </w:r>
      <w:proofErr w:type="spellEnd"/>
      <w:r w:rsidRPr="00117374">
        <w:t xml:space="preserve"> </w:t>
      </w:r>
      <w:proofErr w:type="spellStart"/>
      <w:r w:rsidRPr="00117374">
        <w:t>bir</w:t>
      </w:r>
      <w:proofErr w:type="spellEnd"/>
      <w:r w:rsidRPr="00117374">
        <w:t xml:space="preserve"> </w:t>
      </w:r>
      <w:proofErr w:type="spellStart"/>
      <w:r w:rsidRPr="00117374">
        <w:t>psikolojik</w:t>
      </w:r>
      <w:proofErr w:type="spellEnd"/>
      <w:r w:rsidRPr="00117374">
        <w:t xml:space="preserve"> </w:t>
      </w:r>
      <w:proofErr w:type="spellStart"/>
      <w:r w:rsidRPr="00117374">
        <w:t>tanı</w:t>
      </w:r>
      <w:proofErr w:type="spellEnd"/>
      <w:r w:rsidRPr="00117374">
        <w:t xml:space="preserve"> </w:t>
      </w:r>
      <w:proofErr w:type="spellStart"/>
      <w:r w:rsidRPr="00117374">
        <w:t>daha</w:t>
      </w:r>
      <w:proofErr w:type="spellEnd"/>
      <w:r w:rsidRPr="00117374">
        <w:t xml:space="preserve"> </w:t>
      </w:r>
      <w:proofErr w:type="spellStart"/>
      <w:r w:rsidRPr="00117374">
        <w:t>almıştır</w:t>
      </w:r>
      <w:proofErr w:type="spellEnd"/>
      <w:r w:rsidRPr="00117374">
        <w:t xml:space="preserve"> </w:t>
      </w:r>
      <w:proofErr w:type="spellStart"/>
      <w:r w:rsidRPr="00117374">
        <w:t>ve</w:t>
      </w:r>
      <w:proofErr w:type="spellEnd"/>
      <w:r w:rsidRPr="00117374">
        <w:t xml:space="preserve"> </w:t>
      </w:r>
      <w:proofErr w:type="spellStart"/>
      <w:r w:rsidRPr="00117374">
        <w:t>bu</w:t>
      </w:r>
      <w:proofErr w:type="spellEnd"/>
      <w:r w:rsidRPr="00117374">
        <w:t xml:space="preserve"> </w:t>
      </w:r>
      <w:proofErr w:type="spellStart"/>
      <w:r w:rsidRPr="00117374">
        <w:t>kişilerin</w:t>
      </w:r>
      <w:proofErr w:type="spellEnd"/>
      <w:r w:rsidRPr="00117374">
        <w:t xml:space="preserve"> </w:t>
      </w:r>
      <w:proofErr w:type="spellStart"/>
      <w:r w:rsidRPr="00117374">
        <w:t>yaşam</w:t>
      </w:r>
      <w:proofErr w:type="spellEnd"/>
      <w:r w:rsidRPr="00117374">
        <w:t xml:space="preserve"> </w:t>
      </w:r>
      <w:proofErr w:type="spellStart"/>
      <w:r w:rsidRPr="00117374">
        <w:t>boyu</w:t>
      </w:r>
      <w:proofErr w:type="spellEnd"/>
      <w:r w:rsidRPr="00117374">
        <w:t xml:space="preserve"> </w:t>
      </w:r>
      <w:proofErr w:type="spellStart"/>
      <w:r w:rsidRPr="00117374">
        <w:t>öyküleri</w:t>
      </w:r>
      <w:proofErr w:type="spellEnd"/>
      <w:r w:rsidRPr="00117374">
        <w:t xml:space="preserve"> </w:t>
      </w:r>
      <w:proofErr w:type="spellStart"/>
      <w:r w:rsidRPr="00117374">
        <w:t>araştırıldığında</w:t>
      </w:r>
      <w:proofErr w:type="spellEnd"/>
      <w:r w:rsidRPr="00117374">
        <w:t xml:space="preserve"> </w:t>
      </w:r>
      <w:proofErr w:type="spellStart"/>
      <w:r w:rsidRPr="00117374">
        <w:t>neredeyse</w:t>
      </w:r>
      <w:proofErr w:type="spellEnd"/>
      <w:r w:rsidRPr="00117374">
        <w:t xml:space="preserve"> %90’ının </w:t>
      </w:r>
      <w:proofErr w:type="spellStart"/>
      <w:r w:rsidRPr="00117374">
        <w:t>başka</w:t>
      </w:r>
      <w:proofErr w:type="spellEnd"/>
      <w:r w:rsidRPr="00117374">
        <w:t xml:space="preserve"> </w:t>
      </w:r>
      <w:proofErr w:type="spellStart"/>
      <w:r w:rsidRPr="00117374">
        <w:t>bir</w:t>
      </w:r>
      <w:proofErr w:type="spellEnd"/>
      <w:r w:rsidRPr="00117374">
        <w:t xml:space="preserve"> </w:t>
      </w:r>
      <w:proofErr w:type="spellStart"/>
      <w:r w:rsidRPr="00117374">
        <w:t>tanı</w:t>
      </w:r>
      <w:proofErr w:type="spellEnd"/>
      <w:r w:rsidRPr="00117374">
        <w:t xml:space="preserve"> </w:t>
      </w:r>
      <w:proofErr w:type="spellStart"/>
      <w:r w:rsidRPr="00117374">
        <w:t>da</w:t>
      </w:r>
      <w:r>
        <w:t>ha</w:t>
      </w:r>
      <w:proofErr w:type="spellEnd"/>
      <w:r w:rsidRPr="00117374">
        <w:t xml:space="preserve"> </w:t>
      </w:r>
      <w:proofErr w:type="spellStart"/>
      <w:r w:rsidRPr="00117374">
        <w:t>aldıkları</w:t>
      </w:r>
      <w:proofErr w:type="spellEnd"/>
      <w:r w:rsidRPr="00117374">
        <w:t xml:space="preserve"> </w:t>
      </w:r>
      <w:proofErr w:type="spellStart"/>
      <w:r w:rsidRPr="00117374">
        <w:t>görülmüştür</w:t>
      </w:r>
      <w:proofErr w:type="spellEnd"/>
      <w:r w:rsidRPr="00117374">
        <w:t xml:space="preserve"> (Wittchen, 1994).</w:t>
      </w:r>
      <w:r>
        <w:t xml:space="preserve"> </w:t>
      </w:r>
      <w:r w:rsidRPr="00C5308F">
        <w:t xml:space="preserve">Buna </w:t>
      </w:r>
      <w:proofErr w:type="spellStart"/>
      <w:r>
        <w:t>rağmen</w:t>
      </w:r>
      <w:proofErr w:type="spellEnd"/>
      <w:r w:rsidRPr="00C5308F">
        <w:t xml:space="preserve"> </w:t>
      </w:r>
      <w:proofErr w:type="spellStart"/>
      <w:r w:rsidRPr="00C5308F">
        <w:t>Türkiye’de</w:t>
      </w:r>
      <w:proofErr w:type="spellEnd"/>
      <w:r w:rsidRPr="00C5308F">
        <w:t xml:space="preserve"> </w:t>
      </w:r>
      <w:proofErr w:type="spellStart"/>
      <w:r w:rsidRPr="00C5308F">
        <w:t>nispeten</w:t>
      </w:r>
      <w:proofErr w:type="spellEnd"/>
      <w:r w:rsidRPr="00C5308F">
        <w:t xml:space="preserve"> </w:t>
      </w:r>
      <w:proofErr w:type="spellStart"/>
      <w:r w:rsidRPr="00C5308F">
        <w:t>daha</w:t>
      </w:r>
      <w:proofErr w:type="spellEnd"/>
      <w:r w:rsidRPr="00C5308F">
        <w:t xml:space="preserve"> </w:t>
      </w:r>
      <w:proofErr w:type="spellStart"/>
      <w:r w:rsidRPr="00C5308F">
        <w:t>az</w:t>
      </w:r>
      <w:proofErr w:type="spellEnd"/>
      <w:r w:rsidRPr="00C5308F">
        <w:t xml:space="preserve"> </w:t>
      </w:r>
      <w:proofErr w:type="spellStart"/>
      <w:r w:rsidRPr="00C5308F">
        <w:t>çalışılmış</w:t>
      </w:r>
      <w:proofErr w:type="spellEnd"/>
      <w:r w:rsidRPr="00C5308F">
        <w:t xml:space="preserve"> </w:t>
      </w:r>
      <w:proofErr w:type="spellStart"/>
      <w:r w:rsidRPr="00C5308F">
        <w:t>bir</w:t>
      </w:r>
      <w:proofErr w:type="spellEnd"/>
      <w:r w:rsidRPr="00C5308F">
        <w:t xml:space="preserve"> </w:t>
      </w:r>
      <w:proofErr w:type="spellStart"/>
      <w:r w:rsidRPr="00C5308F">
        <w:t>alandır</w:t>
      </w:r>
      <w:proofErr w:type="spellEnd"/>
      <w:r w:rsidRPr="00C5308F">
        <w:t>.</w:t>
      </w:r>
      <w:r>
        <w:t xml:space="preserve"> </w:t>
      </w:r>
      <w:proofErr w:type="spellStart"/>
      <w:r>
        <w:t>Başka</w:t>
      </w:r>
      <w:proofErr w:type="spellEnd"/>
      <w:r>
        <w:t xml:space="preserve"> </w:t>
      </w:r>
      <w:proofErr w:type="spellStart"/>
      <w:r>
        <w:t>bir</w:t>
      </w:r>
      <w:proofErr w:type="spellEnd"/>
      <w:r>
        <w:t xml:space="preserve"> </w:t>
      </w:r>
      <w:proofErr w:type="spellStart"/>
      <w:r>
        <w:t>çalışmada</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rsidRPr="00CC5428">
        <w:t xml:space="preserve"> </w:t>
      </w:r>
      <w:proofErr w:type="spellStart"/>
      <w:r w:rsidRPr="00CC5428">
        <w:t>tanısı</w:t>
      </w:r>
      <w:proofErr w:type="spellEnd"/>
      <w:r>
        <w:t xml:space="preserve"> </w:t>
      </w:r>
      <w:proofErr w:type="spellStart"/>
      <w:r>
        <w:t>alan</w:t>
      </w:r>
      <w:proofErr w:type="spellEnd"/>
      <w:r>
        <w:t xml:space="preserve"> </w:t>
      </w:r>
      <w:proofErr w:type="spellStart"/>
      <w:r>
        <w:t>kişilerin</w:t>
      </w:r>
      <w:proofErr w:type="spellEnd"/>
      <w:r w:rsidRPr="00CC5428">
        <w:t xml:space="preserve"> %66’sının </w:t>
      </w:r>
      <w:proofErr w:type="spellStart"/>
      <w:r w:rsidRPr="00CC5428">
        <w:t>tedaviye</w:t>
      </w:r>
      <w:proofErr w:type="spellEnd"/>
      <w:r w:rsidRPr="00CC5428">
        <w:t xml:space="preserve"> </w:t>
      </w:r>
      <w:proofErr w:type="spellStart"/>
      <w:r w:rsidRPr="00CC5428">
        <w:t>hiç</w:t>
      </w:r>
      <w:proofErr w:type="spellEnd"/>
      <w:r w:rsidRPr="00CC5428">
        <w:t xml:space="preserve"> </w:t>
      </w:r>
      <w:proofErr w:type="spellStart"/>
      <w:r w:rsidRPr="00CC5428">
        <w:t>başvurmadığı</w:t>
      </w:r>
      <w:proofErr w:type="spellEnd"/>
      <w:r w:rsidRPr="00CC5428">
        <w:t xml:space="preserve"> </w:t>
      </w:r>
      <w:proofErr w:type="spellStart"/>
      <w:r w:rsidRPr="00CC5428">
        <w:t>bildirilmiştir</w:t>
      </w:r>
      <w:proofErr w:type="spellEnd"/>
      <w:r w:rsidRPr="00CC5428">
        <w:t xml:space="preserve"> (</w:t>
      </w:r>
      <w:r>
        <w:t xml:space="preserve">Papp </w:t>
      </w:r>
      <w:proofErr w:type="spellStart"/>
      <w:r>
        <w:t>ve</w:t>
      </w:r>
      <w:proofErr w:type="spellEnd"/>
      <w:r>
        <w:t xml:space="preserve"> Gorman, 1995</w:t>
      </w:r>
      <w:r w:rsidRPr="00CC5428">
        <w:t>).</w:t>
      </w:r>
      <w:r>
        <w:t xml:space="preserve"> </w:t>
      </w:r>
      <w:proofErr w:type="spellStart"/>
      <w:r w:rsidRPr="00E14BDB">
        <w:t>Sık</w:t>
      </w:r>
      <w:proofErr w:type="spellEnd"/>
      <w:r w:rsidRPr="00E14BDB">
        <w:t xml:space="preserve"> </w:t>
      </w:r>
      <w:proofErr w:type="spellStart"/>
      <w:r w:rsidRPr="00E14BDB">
        <w:t>görü</w:t>
      </w:r>
      <w:r>
        <w:t>lüyor</w:t>
      </w:r>
      <w:proofErr w:type="spellEnd"/>
      <w:r>
        <w:t xml:space="preserve"> </w:t>
      </w:r>
      <w:proofErr w:type="spellStart"/>
      <w:r>
        <w:t>olması</w:t>
      </w:r>
      <w:proofErr w:type="spellEnd"/>
      <w:r w:rsidRPr="00E14BDB">
        <w:t xml:space="preserve"> </w:t>
      </w:r>
      <w:proofErr w:type="spellStart"/>
      <w:r w:rsidRPr="00E14BDB">
        <w:t>ve</w:t>
      </w:r>
      <w:proofErr w:type="spellEnd"/>
      <w:r w:rsidRPr="00E14BDB">
        <w:t xml:space="preserve"> </w:t>
      </w:r>
      <w:proofErr w:type="spellStart"/>
      <w:r>
        <w:t>pek</w:t>
      </w:r>
      <w:proofErr w:type="spellEnd"/>
      <w:r>
        <w:t xml:space="preserve"> </w:t>
      </w:r>
      <w:proofErr w:type="spellStart"/>
      <w:r w:rsidRPr="00E14BDB">
        <w:t>çok</w:t>
      </w:r>
      <w:proofErr w:type="spellEnd"/>
      <w:r w:rsidRPr="00E14BDB">
        <w:t xml:space="preserve"> </w:t>
      </w:r>
      <w:proofErr w:type="spellStart"/>
      <w:r w:rsidRPr="00E14BDB">
        <w:t>alanda</w:t>
      </w:r>
      <w:proofErr w:type="spellEnd"/>
      <w:r w:rsidRPr="00E14BDB">
        <w:t xml:space="preserve"> </w:t>
      </w:r>
      <w:proofErr w:type="spellStart"/>
      <w:r w:rsidRPr="00E14BDB">
        <w:t>bozukluğa</w:t>
      </w:r>
      <w:proofErr w:type="spellEnd"/>
      <w:r w:rsidRPr="00E14BDB">
        <w:t xml:space="preserve"> </w:t>
      </w:r>
      <w:proofErr w:type="spellStart"/>
      <w:r>
        <w:t>neden</w:t>
      </w:r>
      <w:proofErr w:type="spellEnd"/>
      <w:r>
        <w:t xml:space="preserve"> </w:t>
      </w:r>
      <w:proofErr w:type="spellStart"/>
      <w:r>
        <w:t>olmasına</w:t>
      </w:r>
      <w:proofErr w:type="spellEnd"/>
      <w:r w:rsidRPr="00E14BDB">
        <w:t xml:space="preserve"> </w:t>
      </w:r>
      <w:proofErr w:type="spellStart"/>
      <w:r>
        <w:t>karşın</w:t>
      </w:r>
      <w:proofErr w:type="spellEnd"/>
      <w:r w:rsidRPr="00E14BDB">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rsidRPr="00E14BDB">
        <w:t>hal</w:t>
      </w:r>
      <w:r>
        <w:t>a</w:t>
      </w:r>
      <w:proofErr w:type="spellEnd"/>
      <w:r w:rsidRPr="00E14BDB">
        <w:t xml:space="preserve"> iyi </w:t>
      </w:r>
      <w:proofErr w:type="spellStart"/>
      <w:r w:rsidRPr="00E14BDB">
        <w:t>bilinmeyen</w:t>
      </w:r>
      <w:proofErr w:type="spellEnd"/>
      <w:r w:rsidRPr="00E14BDB">
        <w:t xml:space="preserve"> </w:t>
      </w:r>
      <w:proofErr w:type="spellStart"/>
      <w:r w:rsidRPr="00E14BDB">
        <w:t>bir</w:t>
      </w:r>
      <w:proofErr w:type="spellEnd"/>
      <w:r w:rsidRPr="00E14BDB">
        <w:t xml:space="preserve"> </w:t>
      </w:r>
      <w:proofErr w:type="spellStart"/>
      <w:r>
        <w:t>psikolojik</w:t>
      </w:r>
      <w:proofErr w:type="spellEnd"/>
      <w:r>
        <w:t xml:space="preserve"> </w:t>
      </w:r>
      <w:proofErr w:type="spellStart"/>
      <w:r>
        <w:t>bozukluktur</w:t>
      </w:r>
      <w:proofErr w:type="spellEnd"/>
      <w:r w:rsidRPr="00E14BDB">
        <w:t xml:space="preserve"> (</w:t>
      </w:r>
      <w:r w:rsidRPr="00194DE7">
        <w:t xml:space="preserve">Gosselin </w:t>
      </w:r>
      <w:proofErr w:type="spellStart"/>
      <w:r>
        <w:t>ve</w:t>
      </w:r>
      <w:proofErr w:type="spellEnd"/>
      <w:r w:rsidRPr="00194DE7">
        <w:t xml:space="preserve"> Laberge</w:t>
      </w:r>
      <w:r>
        <w:t>, 2003</w:t>
      </w:r>
      <w:r w:rsidRPr="00E14BDB">
        <w:t>).</w:t>
      </w:r>
      <w:r>
        <w:t xml:space="preserve"> Bu </w:t>
      </w:r>
      <w:proofErr w:type="spellStart"/>
      <w:r>
        <w:t>oranlar</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alanında</w:t>
      </w:r>
      <w:proofErr w:type="spellEnd"/>
      <w:r>
        <w:t xml:space="preserve"> </w:t>
      </w:r>
      <w:proofErr w:type="spellStart"/>
      <w:r>
        <w:t>daha</w:t>
      </w:r>
      <w:proofErr w:type="spellEnd"/>
      <w:r>
        <w:t xml:space="preserve"> </w:t>
      </w:r>
      <w:proofErr w:type="spellStart"/>
      <w:r>
        <w:t>çok</w:t>
      </w:r>
      <w:proofErr w:type="spellEnd"/>
      <w:r>
        <w:t xml:space="preserve"> </w:t>
      </w:r>
      <w:proofErr w:type="spellStart"/>
      <w:r>
        <w:t>çalışılması</w:t>
      </w:r>
      <w:proofErr w:type="spellEnd"/>
      <w:r>
        <w:t xml:space="preserve"> </w:t>
      </w:r>
      <w:proofErr w:type="spellStart"/>
      <w:r>
        <w:t>gerektiğinin</w:t>
      </w:r>
      <w:proofErr w:type="spellEnd"/>
      <w:r>
        <w:t xml:space="preserve"> </w:t>
      </w:r>
      <w:proofErr w:type="spellStart"/>
      <w:r>
        <w:t>önemini</w:t>
      </w:r>
      <w:proofErr w:type="spellEnd"/>
      <w:r>
        <w:t xml:space="preserve"> </w:t>
      </w:r>
      <w:proofErr w:type="spellStart"/>
      <w:r>
        <w:t>göstermektedir</w:t>
      </w:r>
      <w:proofErr w:type="spellEnd"/>
      <w:r>
        <w:t xml:space="preserve">. </w:t>
      </w:r>
    </w:p>
    <w:p w14:paraId="52947DA0" w14:textId="77777777" w:rsidR="007513A1" w:rsidRPr="00C5308F" w:rsidRDefault="007513A1" w:rsidP="007513A1">
      <w:pPr>
        <w:pStyle w:val="NormalWeb"/>
        <w:spacing w:before="0" w:beforeAutospacing="0" w:after="0" w:afterAutospacing="0"/>
        <w:jc w:val="both"/>
      </w:pPr>
    </w:p>
    <w:p w14:paraId="529EECBD" w14:textId="77777777" w:rsidR="00B470AD" w:rsidRDefault="00B470AD" w:rsidP="007513A1">
      <w:pPr>
        <w:pStyle w:val="NormalWeb"/>
        <w:spacing w:before="0" w:beforeAutospacing="0" w:after="0" w:afterAutospacing="0"/>
        <w:jc w:val="both"/>
      </w:pPr>
      <w:r w:rsidRPr="00C5308F">
        <w:t xml:space="preserve">DSM-5’e (APA, 2013) </w:t>
      </w:r>
      <w:proofErr w:type="spellStart"/>
      <w:r w:rsidRPr="00C5308F">
        <w:t>göre</w:t>
      </w:r>
      <w:proofErr w:type="spellEnd"/>
      <w:r w:rsidRPr="00C5308F">
        <w:t xml:space="preserve"> </w:t>
      </w:r>
      <w:proofErr w:type="spellStart"/>
      <w:r w:rsidRPr="00C5308F">
        <w:t>yaygın</w:t>
      </w:r>
      <w:proofErr w:type="spellEnd"/>
      <w:r w:rsidRPr="00C5308F">
        <w:t xml:space="preserve"> </w:t>
      </w:r>
      <w:proofErr w:type="spellStart"/>
      <w:r w:rsidRPr="00C5308F">
        <w:t>anksiyete</w:t>
      </w:r>
      <w:proofErr w:type="spellEnd"/>
      <w:r w:rsidRPr="00C5308F">
        <w:t xml:space="preserve"> </w:t>
      </w:r>
      <w:proofErr w:type="spellStart"/>
      <w:r w:rsidRPr="00C5308F">
        <w:t>bozukluğu</w:t>
      </w:r>
      <w:proofErr w:type="spellEnd"/>
      <w:r w:rsidRPr="00C5308F">
        <w:t xml:space="preserve"> (YAB) </w:t>
      </w:r>
      <w:proofErr w:type="spellStart"/>
      <w:r w:rsidRPr="00C5308F">
        <w:t>en</w:t>
      </w:r>
      <w:proofErr w:type="spellEnd"/>
      <w:r w:rsidRPr="00C5308F">
        <w:t xml:space="preserve"> </w:t>
      </w:r>
      <w:proofErr w:type="spellStart"/>
      <w:r w:rsidRPr="00C5308F">
        <w:t>az</w:t>
      </w:r>
      <w:proofErr w:type="spellEnd"/>
      <w:r w:rsidRPr="00C5308F">
        <w:t xml:space="preserve"> 6 ay </w:t>
      </w:r>
      <w:proofErr w:type="spellStart"/>
      <w:r w:rsidRPr="00C5308F">
        <w:t>boyunca</w:t>
      </w:r>
      <w:proofErr w:type="spellEnd"/>
      <w:r w:rsidRPr="00C5308F">
        <w:t xml:space="preserve"> </w:t>
      </w:r>
      <w:proofErr w:type="spellStart"/>
      <w:r w:rsidRPr="00C5308F">
        <w:t>birçok</w:t>
      </w:r>
      <w:proofErr w:type="spellEnd"/>
      <w:r w:rsidRPr="00C5308F">
        <w:t xml:space="preserve"> </w:t>
      </w:r>
      <w:proofErr w:type="spellStart"/>
      <w:r w:rsidRPr="00C5308F">
        <w:t>farklı</w:t>
      </w:r>
      <w:proofErr w:type="spellEnd"/>
      <w:r w:rsidRPr="00C5308F">
        <w:t xml:space="preserve"> durum, </w:t>
      </w:r>
      <w:proofErr w:type="spellStart"/>
      <w:r w:rsidRPr="00C5308F">
        <w:t>olay</w:t>
      </w:r>
      <w:proofErr w:type="spellEnd"/>
      <w:r w:rsidRPr="00C5308F">
        <w:t xml:space="preserve"> </w:t>
      </w:r>
      <w:proofErr w:type="spellStart"/>
      <w:r w:rsidRPr="00C5308F">
        <w:t>ve</w:t>
      </w:r>
      <w:proofErr w:type="spellEnd"/>
      <w:r w:rsidRPr="00C5308F">
        <w:t xml:space="preserve"> </w:t>
      </w:r>
      <w:proofErr w:type="spellStart"/>
      <w:r w:rsidRPr="00C5308F">
        <w:t>etkinlikle</w:t>
      </w:r>
      <w:proofErr w:type="spellEnd"/>
      <w:r w:rsidRPr="00C5308F">
        <w:t xml:space="preserve"> </w:t>
      </w:r>
      <w:proofErr w:type="spellStart"/>
      <w:r w:rsidRPr="00C5308F">
        <w:t>ilgili</w:t>
      </w:r>
      <w:proofErr w:type="spellEnd"/>
      <w:r w:rsidRPr="00C5308F">
        <w:t xml:space="preserve"> </w:t>
      </w:r>
      <w:proofErr w:type="spellStart"/>
      <w:r w:rsidRPr="00C5308F">
        <w:t>yoğun</w:t>
      </w:r>
      <w:proofErr w:type="spellEnd"/>
      <w:r w:rsidRPr="00C5308F">
        <w:t xml:space="preserve"> </w:t>
      </w:r>
      <w:proofErr w:type="spellStart"/>
      <w:r w:rsidRPr="00C5308F">
        <w:t>endişe</w:t>
      </w:r>
      <w:proofErr w:type="spellEnd"/>
      <w:r w:rsidRPr="00C5308F">
        <w:t xml:space="preserve"> </w:t>
      </w:r>
      <w:proofErr w:type="spellStart"/>
      <w:r w:rsidRPr="00C5308F">
        <w:t>ve</w:t>
      </w:r>
      <w:proofErr w:type="spellEnd"/>
      <w:r w:rsidRPr="00C5308F">
        <w:t xml:space="preserve"> </w:t>
      </w:r>
      <w:proofErr w:type="spellStart"/>
      <w:r w:rsidRPr="00C5308F">
        <w:t>kaygı</w:t>
      </w:r>
      <w:proofErr w:type="spellEnd"/>
      <w:r w:rsidRPr="00C5308F">
        <w:t xml:space="preserve"> </w:t>
      </w:r>
      <w:proofErr w:type="spellStart"/>
      <w:r w:rsidRPr="00C5308F">
        <w:t>halidir</w:t>
      </w:r>
      <w:proofErr w:type="spellEnd"/>
      <w:r w:rsidRPr="00C5308F">
        <w:t xml:space="preserve">. </w:t>
      </w:r>
      <w:proofErr w:type="spellStart"/>
      <w:r w:rsidRPr="00C5308F">
        <w:t>Endişeleri</w:t>
      </w:r>
      <w:proofErr w:type="spellEnd"/>
      <w:r w:rsidRPr="00C5308F">
        <w:t xml:space="preserve"> </w:t>
      </w:r>
      <w:proofErr w:type="spellStart"/>
      <w:r w:rsidRPr="00C5308F">
        <w:t>kontrol</w:t>
      </w:r>
      <w:proofErr w:type="spellEnd"/>
      <w:r w:rsidRPr="00C5308F">
        <w:t xml:space="preserve"> </w:t>
      </w:r>
      <w:proofErr w:type="spellStart"/>
      <w:r w:rsidRPr="00C5308F">
        <w:t>etmede</w:t>
      </w:r>
      <w:proofErr w:type="spellEnd"/>
      <w:r w:rsidRPr="00C5308F">
        <w:t xml:space="preserve"> </w:t>
      </w:r>
      <w:proofErr w:type="spellStart"/>
      <w:r w:rsidRPr="00C5308F">
        <w:t>zorlanılır</w:t>
      </w:r>
      <w:proofErr w:type="spellEnd"/>
      <w:r w:rsidRPr="00C5308F">
        <w:t xml:space="preserve"> </w:t>
      </w:r>
      <w:proofErr w:type="spellStart"/>
      <w:r w:rsidRPr="00C5308F">
        <w:t>ve</w:t>
      </w:r>
      <w:proofErr w:type="spellEnd"/>
      <w:r w:rsidRPr="00C5308F">
        <w:t xml:space="preserve"> ek </w:t>
      </w:r>
      <w:proofErr w:type="spellStart"/>
      <w:r w:rsidRPr="00C5308F">
        <w:t>olarak</w:t>
      </w:r>
      <w:proofErr w:type="spellEnd"/>
      <w:r w:rsidRPr="00C5308F">
        <w:t xml:space="preserve"> </w:t>
      </w:r>
      <w:proofErr w:type="spellStart"/>
      <w:r w:rsidRPr="00C5308F">
        <w:t>bu</w:t>
      </w:r>
      <w:proofErr w:type="spellEnd"/>
      <w:r w:rsidRPr="00C5308F">
        <w:t xml:space="preserve"> </w:t>
      </w:r>
      <w:proofErr w:type="spellStart"/>
      <w:r w:rsidRPr="00C5308F">
        <w:t>belirtilerden</w:t>
      </w:r>
      <w:proofErr w:type="spellEnd"/>
      <w:r w:rsidRPr="00C5308F">
        <w:t xml:space="preserve"> </w:t>
      </w:r>
      <w:proofErr w:type="spellStart"/>
      <w:r w:rsidRPr="00C5308F">
        <w:t>en</w:t>
      </w:r>
      <w:proofErr w:type="spellEnd"/>
      <w:r w:rsidRPr="00C5308F">
        <w:t xml:space="preserve"> </w:t>
      </w:r>
      <w:proofErr w:type="spellStart"/>
      <w:r w:rsidRPr="00C5308F">
        <w:t>az</w:t>
      </w:r>
      <w:proofErr w:type="spellEnd"/>
      <w:r w:rsidRPr="00C5308F">
        <w:t xml:space="preserve"> </w:t>
      </w:r>
      <w:proofErr w:type="spellStart"/>
      <w:r w:rsidRPr="00C5308F">
        <w:t>üçünün</w:t>
      </w:r>
      <w:proofErr w:type="spellEnd"/>
      <w:r w:rsidRPr="00C5308F">
        <w:t xml:space="preserve"> </w:t>
      </w:r>
      <w:proofErr w:type="spellStart"/>
      <w:r w:rsidRPr="00C5308F">
        <w:t>eşlik</w:t>
      </w:r>
      <w:proofErr w:type="spellEnd"/>
      <w:r w:rsidRPr="00C5308F">
        <w:t xml:space="preserve"> </w:t>
      </w:r>
      <w:proofErr w:type="spellStart"/>
      <w:r w:rsidRPr="00C5308F">
        <w:t>etmesi</w:t>
      </w:r>
      <w:proofErr w:type="spellEnd"/>
      <w:r w:rsidRPr="00C5308F">
        <w:t xml:space="preserve"> </w:t>
      </w:r>
      <w:proofErr w:type="spellStart"/>
      <w:r w:rsidRPr="00C5308F">
        <w:t>gerekir</w:t>
      </w:r>
      <w:proofErr w:type="spellEnd"/>
      <w:r w:rsidRPr="00C5308F">
        <w:t xml:space="preserve">: </w:t>
      </w:r>
      <w:proofErr w:type="spellStart"/>
      <w:r w:rsidRPr="00C5308F">
        <w:t>huzursuzluk</w:t>
      </w:r>
      <w:proofErr w:type="spellEnd"/>
      <w:r w:rsidRPr="00C5308F">
        <w:t xml:space="preserve">, </w:t>
      </w:r>
      <w:proofErr w:type="spellStart"/>
      <w:r w:rsidRPr="00C5308F">
        <w:t>sürekli</w:t>
      </w:r>
      <w:proofErr w:type="spellEnd"/>
      <w:r w:rsidRPr="00C5308F">
        <w:t xml:space="preserve"> </w:t>
      </w:r>
      <w:proofErr w:type="spellStart"/>
      <w:r w:rsidRPr="00C5308F">
        <w:t>diken</w:t>
      </w:r>
      <w:proofErr w:type="spellEnd"/>
      <w:r w:rsidRPr="00C5308F">
        <w:t xml:space="preserve"> </w:t>
      </w:r>
      <w:proofErr w:type="spellStart"/>
      <w:r w:rsidRPr="00C5308F">
        <w:t>üstünde</w:t>
      </w:r>
      <w:proofErr w:type="spellEnd"/>
      <w:r w:rsidRPr="00C5308F">
        <w:t xml:space="preserve"> </w:t>
      </w:r>
      <w:proofErr w:type="spellStart"/>
      <w:r w:rsidRPr="00C5308F">
        <w:t>olma</w:t>
      </w:r>
      <w:proofErr w:type="spellEnd"/>
      <w:r w:rsidRPr="00C5308F">
        <w:t xml:space="preserve"> </w:t>
      </w:r>
      <w:proofErr w:type="spellStart"/>
      <w:r w:rsidRPr="00C5308F">
        <w:t>veya</w:t>
      </w:r>
      <w:proofErr w:type="spellEnd"/>
      <w:r w:rsidRPr="00C5308F">
        <w:t xml:space="preserve"> </w:t>
      </w:r>
      <w:proofErr w:type="spellStart"/>
      <w:r w:rsidRPr="00C5308F">
        <w:t>gerginlik</w:t>
      </w:r>
      <w:proofErr w:type="spellEnd"/>
      <w:r w:rsidRPr="00C5308F">
        <w:t xml:space="preserve">, </w:t>
      </w:r>
      <w:proofErr w:type="spellStart"/>
      <w:r w:rsidRPr="00C5308F">
        <w:t>kolay</w:t>
      </w:r>
      <w:proofErr w:type="spellEnd"/>
      <w:r w:rsidRPr="00C5308F">
        <w:t xml:space="preserve"> </w:t>
      </w:r>
      <w:proofErr w:type="spellStart"/>
      <w:r w:rsidRPr="00C5308F">
        <w:t>yorulma</w:t>
      </w:r>
      <w:proofErr w:type="spellEnd"/>
      <w:r w:rsidRPr="00C5308F">
        <w:t xml:space="preserve">, </w:t>
      </w:r>
      <w:proofErr w:type="spellStart"/>
      <w:r w:rsidRPr="00C5308F">
        <w:t>konsantre</w:t>
      </w:r>
      <w:proofErr w:type="spellEnd"/>
      <w:r w:rsidRPr="00C5308F">
        <w:t xml:space="preserve"> </w:t>
      </w:r>
      <w:proofErr w:type="spellStart"/>
      <w:r w:rsidRPr="00C5308F">
        <w:t>olmada</w:t>
      </w:r>
      <w:proofErr w:type="spellEnd"/>
      <w:r w:rsidRPr="00C5308F">
        <w:t xml:space="preserve"> </w:t>
      </w:r>
      <w:proofErr w:type="spellStart"/>
      <w:r w:rsidRPr="00C5308F">
        <w:t>zorlanma</w:t>
      </w:r>
      <w:proofErr w:type="spellEnd"/>
      <w:r w:rsidRPr="00C5308F">
        <w:t xml:space="preserve">, </w:t>
      </w:r>
      <w:proofErr w:type="spellStart"/>
      <w:r w:rsidRPr="00C5308F">
        <w:t>çabuk</w:t>
      </w:r>
      <w:proofErr w:type="spellEnd"/>
      <w:r w:rsidRPr="00C5308F">
        <w:t xml:space="preserve"> </w:t>
      </w:r>
      <w:proofErr w:type="spellStart"/>
      <w:r w:rsidRPr="00C5308F">
        <w:t>öfkelenme</w:t>
      </w:r>
      <w:proofErr w:type="spellEnd"/>
      <w:r w:rsidRPr="00C5308F">
        <w:t xml:space="preserve">, kas </w:t>
      </w:r>
      <w:proofErr w:type="spellStart"/>
      <w:r w:rsidRPr="00C5308F">
        <w:t>gerginliği</w:t>
      </w:r>
      <w:proofErr w:type="spellEnd"/>
      <w:r w:rsidRPr="00C5308F">
        <w:t xml:space="preserve"> </w:t>
      </w:r>
      <w:proofErr w:type="spellStart"/>
      <w:r w:rsidRPr="00C5308F">
        <w:t>ve</w:t>
      </w:r>
      <w:proofErr w:type="spellEnd"/>
      <w:r w:rsidRPr="00C5308F">
        <w:t xml:space="preserve"> </w:t>
      </w:r>
      <w:proofErr w:type="spellStart"/>
      <w:r w:rsidRPr="00C5308F">
        <w:t>uyku</w:t>
      </w:r>
      <w:proofErr w:type="spellEnd"/>
      <w:r w:rsidRPr="00C5308F">
        <w:t xml:space="preserve"> </w:t>
      </w:r>
      <w:proofErr w:type="spellStart"/>
      <w:r w:rsidRPr="00C5308F">
        <w:t>bozukluğu</w:t>
      </w:r>
      <w:proofErr w:type="spellEnd"/>
      <w:r w:rsidRPr="00C5308F">
        <w:t xml:space="preserve"> (APA, 2013). </w:t>
      </w:r>
      <w:proofErr w:type="spellStart"/>
      <w:r w:rsidRPr="00EA48D0">
        <w:t>Y</w:t>
      </w:r>
      <w:r>
        <w:t>aygın</w:t>
      </w:r>
      <w:proofErr w:type="spellEnd"/>
      <w:r>
        <w:t xml:space="preserve"> </w:t>
      </w:r>
      <w:proofErr w:type="spellStart"/>
      <w:r>
        <w:t>anksiyete</w:t>
      </w:r>
      <w:proofErr w:type="spellEnd"/>
      <w:r>
        <w:t xml:space="preserve"> </w:t>
      </w:r>
      <w:proofErr w:type="spellStart"/>
      <w:r>
        <w:t>bozukluğuna</w:t>
      </w:r>
      <w:proofErr w:type="spellEnd"/>
      <w:r>
        <w:t xml:space="preserve"> </w:t>
      </w:r>
      <w:proofErr w:type="spellStart"/>
      <w:r>
        <w:t>sahip</w:t>
      </w:r>
      <w:proofErr w:type="spellEnd"/>
      <w:r w:rsidRPr="00EA48D0">
        <w:t xml:space="preserve"> </w:t>
      </w:r>
      <w:proofErr w:type="spellStart"/>
      <w:r w:rsidRPr="00EA48D0">
        <w:t>bireylerin</w:t>
      </w:r>
      <w:proofErr w:type="spellEnd"/>
      <w:r>
        <w:t xml:space="preserve"> </w:t>
      </w:r>
      <w:proofErr w:type="spellStart"/>
      <w:r>
        <w:t>yaşadıkları</w:t>
      </w:r>
      <w:proofErr w:type="spellEnd"/>
      <w:r w:rsidRPr="00EA48D0">
        <w:t xml:space="preserve"> </w:t>
      </w:r>
      <w:proofErr w:type="spellStart"/>
      <w:r w:rsidRPr="00EA48D0">
        <w:t>endişeler</w:t>
      </w:r>
      <w:proofErr w:type="spellEnd"/>
      <w:r w:rsidRPr="00EA48D0">
        <w:t xml:space="preserve"> </w:t>
      </w:r>
      <w:proofErr w:type="spellStart"/>
      <w:r w:rsidRPr="00EA48D0">
        <w:t>diğer</w:t>
      </w:r>
      <w:proofErr w:type="spellEnd"/>
      <w:r w:rsidRPr="00EA48D0">
        <w:t xml:space="preserve"> </w:t>
      </w:r>
      <w:proofErr w:type="spellStart"/>
      <w:r w:rsidRPr="00EA48D0">
        <w:t>insanların</w:t>
      </w:r>
      <w:proofErr w:type="spellEnd"/>
      <w:r w:rsidRPr="00EA48D0">
        <w:t xml:space="preserve"> </w:t>
      </w:r>
      <w:proofErr w:type="spellStart"/>
      <w:r>
        <w:t>yaşadığı</w:t>
      </w:r>
      <w:proofErr w:type="spellEnd"/>
      <w:r>
        <w:t xml:space="preserve"> </w:t>
      </w:r>
      <w:proofErr w:type="spellStart"/>
      <w:r w:rsidRPr="00EA48D0">
        <w:t>endişeler</w:t>
      </w:r>
      <w:proofErr w:type="spellEnd"/>
      <w:r w:rsidRPr="00EA48D0">
        <w:t xml:space="preserve"> </w:t>
      </w:r>
      <w:proofErr w:type="spellStart"/>
      <w:r w:rsidRPr="00EA48D0">
        <w:t>ile</w:t>
      </w:r>
      <w:proofErr w:type="spellEnd"/>
      <w:r w:rsidRPr="00EA48D0">
        <w:t xml:space="preserve"> </w:t>
      </w:r>
      <w:proofErr w:type="spellStart"/>
      <w:r w:rsidRPr="00EA48D0">
        <w:t>ortak</w:t>
      </w:r>
      <w:proofErr w:type="spellEnd"/>
      <w:r w:rsidRPr="00EA48D0">
        <w:t xml:space="preserve"> </w:t>
      </w:r>
      <w:proofErr w:type="spellStart"/>
      <w:r w:rsidRPr="00EA48D0">
        <w:t>konulardadır</w:t>
      </w:r>
      <w:proofErr w:type="spellEnd"/>
      <w:r w:rsidRPr="00EA48D0">
        <w:t xml:space="preserve"> </w:t>
      </w:r>
      <w:proofErr w:type="spellStart"/>
      <w:r>
        <w:t>ancak</w:t>
      </w:r>
      <w:proofErr w:type="spellEnd"/>
      <w:r w:rsidRPr="00EA48D0">
        <w:t xml:space="preserve"> </w:t>
      </w:r>
      <w:proofErr w:type="spellStart"/>
      <w:r w:rsidRPr="00EA48D0">
        <w:t>endişe</w:t>
      </w:r>
      <w:proofErr w:type="spellEnd"/>
      <w:r w:rsidRPr="00EA48D0">
        <w:t xml:space="preserve"> </w:t>
      </w:r>
      <w:proofErr w:type="spellStart"/>
      <w:r w:rsidRPr="00EA48D0">
        <w:t>seviyeleri</w:t>
      </w:r>
      <w:proofErr w:type="spellEnd"/>
      <w:r w:rsidRPr="00EA48D0">
        <w:t xml:space="preserve"> </w:t>
      </w:r>
      <w:proofErr w:type="spellStart"/>
      <w:r w:rsidRPr="00EA48D0">
        <w:t>diğerlerinden</w:t>
      </w:r>
      <w:proofErr w:type="spellEnd"/>
      <w:r w:rsidRPr="00EA48D0">
        <w:t xml:space="preserve"> </w:t>
      </w:r>
      <w:proofErr w:type="spellStart"/>
      <w:r w:rsidRPr="00EA48D0">
        <w:t>daha</w:t>
      </w:r>
      <w:proofErr w:type="spellEnd"/>
      <w:r w:rsidRPr="00EA48D0">
        <w:t xml:space="preserve"> </w:t>
      </w:r>
      <w:proofErr w:type="spellStart"/>
      <w:r w:rsidRPr="00EA48D0">
        <w:t>yüksektir</w:t>
      </w:r>
      <w:proofErr w:type="spellEnd"/>
      <w:r w:rsidRPr="00EA48D0">
        <w:t xml:space="preserve"> </w:t>
      </w:r>
      <w:proofErr w:type="spellStart"/>
      <w:r w:rsidRPr="00EA48D0">
        <w:t>ve</w:t>
      </w:r>
      <w:proofErr w:type="spellEnd"/>
      <w:r w:rsidRPr="00EA48D0">
        <w:t xml:space="preserve"> </w:t>
      </w:r>
      <w:proofErr w:type="spellStart"/>
      <w:r w:rsidRPr="00EA48D0">
        <w:t>günlük</w:t>
      </w:r>
      <w:proofErr w:type="spellEnd"/>
      <w:r w:rsidRPr="00EA48D0">
        <w:t xml:space="preserve"> </w:t>
      </w:r>
      <w:proofErr w:type="spellStart"/>
      <w:r w:rsidRPr="00EA48D0">
        <w:t>yaşamlarında</w:t>
      </w:r>
      <w:proofErr w:type="spellEnd"/>
      <w:r w:rsidRPr="00EA48D0">
        <w:t xml:space="preserve"> </w:t>
      </w:r>
      <w:proofErr w:type="spellStart"/>
      <w:r w:rsidRPr="00EA48D0">
        <w:t>işlevleri</w:t>
      </w:r>
      <w:proofErr w:type="spellEnd"/>
      <w:r w:rsidRPr="00EA48D0">
        <w:t xml:space="preserve"> </w:t>
      </w:r>
      <w:proofErr w:type="spellStart"/>
      <w:r w:rsidRPr="00EA48D0">
        <w:t>olumsuz</w:t>
      </w:r>
      <w:proofErr w:type="spellEnd"/>
      <w:r w:rsidRPr="00EA48D0">
        <w:t xml:space="preserve"> </w:t>
      </w:r>
      <w:proofErr w:type="spellStart"/>
      <w:r w:rsidRPr="00EA48D0">
        <w:lastRenderedPageBreak/>
        <w:t>etkilen</w:t>
      </w:r>
      <w:r>
        <w:t>mektedir</w:t>
      </w:r>
      <w:proofErr w:type="spellEnd"/>
      <w:r>
        <w:t>.</w:t>
      </w:r>
      <w:r w:rsidRPr="00EA48D0">
        <w:t xml:space="preserve"> (Roemer </w:t>
      </w:r>
      <w:proofErr w:type="spellStart"/>
      <w:r w:rsidRPr="00EA48D0">
        <w:t>ve</w:t>
      </w:r>
      <w:proofErr w:type="spellEnd"/>
      <w:r>
        <w:t xml:space="preserve"> ark.</w:t>
      </w:r>
      <w:r w:rsidRPr="00EA48D0">
        <w:t>, 1997).</w:t>
      </w:r>
      <w:r>
        <w:t xml:space="preserve"> </w:t>
      </w:r>
      <w:proofErr w:type="spellStart"/>
      <w:r w:rsidRPr="00C1199E">
        <w:t>Y</w:t>
      </w:r>
      <w:r>
        <w:t>aygın</w:t>
      </w:r>
      <w:proofErr w:type="spellEnd"/>
      <w:r>
        <w:t xml:space="preserve"> </w:t>
      </w:r>
      <w:proofErr w:type="spellStart"/>
      <w:r>
        <w:t>anksiyete</w:t>
      </w:r>
      <w:proofErr w:type="spellEnd"/>
      <w:r>
        <w:t xml:space="preserve"> </w:t>
      </w:r>
      <w:proofErr w:type="spellStart"/>
      <w:r>
        <w:t>bozukluğun</w:t>
      </w:r>
      <w:r w:rsidRPr="00C1199E">
        <w:t>da</w:t>
      </w:r>
      <w:proofErr w:type="spellEnd"/>
      <w:r w:rsidRPr="00C1199E">
        <w:t xml:space="preserve"> </w:t>
      </w:r>
      <w:proofErr w:type="spellStart"/>
      <w:r w:rsidRPr="00C1199E">
        <w:t>kaygı</w:t>
      </w:r>
      <w:r>
        <w:t>nın</w:t>
      </w:r>
      <w:proofErr w:type="spellEnd"/>
      <w:r w:rsidRPr="00C1199E">
        <w:t xml:space="preserve"> </w:t>
      </w:r>
      <w:proofErr w:type="spellStart"/>
      <w:r w:rsidRPr="00C1199E">
        <w:t>patolojik</w:t>
      </w:r>
      <w:proofErr w:type="spellEnd"/>
      <w:r w:rsidRPr="00C1199E">
        <w:t xml:space="preserve"> </w:t>
      </w:r>
      <w:proofErr w:type="spellStart"/>
      <w:r w:rsidRPr="00C1199E">
        <w:t>olarak</w:t>
      </w:r>
      <w:proofErr w:type="spellEnd"/>
      <w:r w:rsidRPr="00C1199E">
        <w:t xml:space="preserve"> </w:t>
      </w:r>
      <w:proofErr w:type="spellStart"/>
      <w:r>
        <w:t>nitelendirilmesinin</w:t>
      </w:r>
      <w:proofErr w:type="spellEnd"/>
      <w:r w:rsidRPr="00C1199E">
        <w:t xml:space="preserve"> </w:t>
      </w:r>
      <w:proofErr w:type="spellStart"/>
      <w:r>
        <w:t>sebebi</w:t>
      </w:r>
      <w:proofErr w:type="spellEnd"/>
      <w:r w:rsidRPr="00C1199E">
        <w:t xml:space="preserve"> </w:t>
      </w:r>
      <w:proofErr w:type="spellStart"/>
      <w:r w:rsidRPr="00C1199E">
        <w:t>içeriğinden</w:t>
      </w:r>
      <w:proofErr w:type="spellEnd"/>
      <w:r>
        <w:t xml:space="preserve"> </w:t>
      </w:r>
      <w:proofErr w:type="spellStart"/>
      <w:r>
        <w:t>ziyade</w:t>
      </w:r>
      <w:proofErr w:type="spellEnd"/>
      <w:r w:rsidRPr="00C1199E">
        <w:t xml:space="preserve"> </w:t>
      </w:r>
      <w:proofErr w:type="spellStart"/>
      <w:r w:rsidRPr="00C1199E">
        <w:t>aşırı</w:t>
      </w:r>
      <w:proofErr w:type="spellEnd"/>
      <w:r w:rsidRPr="00C1199E">
        <w:t xml:space="preserve"> </w:t>
      </w:r>
      <w:proofErr w:type="spellStart"/>
      <w:r w:rsidRPr="00C1199E">
        <w:t>ve</w:t>
      </w:r>
      <w:proofErr w:type="spellEnd"/>
      <w:r w:rsidRPr="00C1199E">
        <w:t xml:space="preserve"> </w:t>
      </w:r>
      <w:proofErr w:type="spellStart"/>
      <w:r w:rsidRPr="00C1199E">
        <w:t>kontrol</w:t>
      </w:r>
      <w:proofErr w:type="spellEnd"/>
      <w:r w:rsidRPr="00C1199E">
        <w:t xml:space="preserve"> </w:t>
      </w:r>
      <w:proofErr w:type="spellStart"/>
      <w:r w:rsidRPr="00C1199E">
        <w:t>edilemez</w:t>
      </w:r>
      <w:proofErr w:type="spellEnd"/>
      <w:r w:rsidRPr="00C1199E">
        <w:t xml:space="preserve"> </w:t>
      </w:r>
      <w:proofErr w:type="spellStart"/>
      <w:r w:rsidRPr="00C1199E">
        <w:t>olarak</w:t>
      </w:r>
      <w:proofErr w:type="spellEnd"/>
      <w:r w:rsidRPr="00C1199E">
        <w:t xml:space="preserve"> </w:t>
      </w:r>
      <w:proofErr w:type="spellStart"/>
      <w:r w:rsidRPr="00C1199E">
        <w:t>algılanmasıdır</w:t>
      </w:r>
      <w:proofErr w:type="spellEnd"/>
      <w:r w:rsidRPr="00C1199E">
        <w:t xml:space="preserve"> (Barlow</w:t>
      </w:r>
      <w:r>
        <w:t xml:space="preserve"> </w:t>
      </w:r>
      <w:proofErr w:type="spellStart"/>
      <w:r>
        <w:t>ve</w:t>
      </w:r>
      <w:proofErr w:type="spellEnd"/>
      <w:r w:rsidRPr="00C1199E">
        <w:t xml:space="preserve"> Wincze, 1998).</w:t>
      </w:r>
      <w:r>
        <w:t xml:space="preserve"> </w:t>
      </w:r>
      <w:proofErr w:type="spellStart"/>
      <w:r w:rsidRPr="00856EC2">
        <w:t>Kadınlarda</w:t>
      </w:r>
      <w:proofErr w:type="spellEnd"/>
      <w:r w:rsidRPr="00856EC2">
        <w:t xml:space="preserve"> </w:t>
      </w:r>
      <w:proofErr w:type="spellStart"/>
      <w:r w:rsidRPr="00856EC2">
        <w:t>yaşam</w:t>
      </w:r>
      <w:proofErr w:type="spellEnd"/>
      <w:r w:rsidRPr="00856EC2">
        <w:t xml:space="preserve"> </w:t>
      </w:r>
      <w:proofErr w:type="spellStart"/>
      <w:r w:rsidRPr="00856EC2">
        <w:t>boyu</w:t>
      </w:r>
      <w:proofErr w:type="spellEnd"/>
      <w:r>
        <w:t xml:space="preserve"> </w:t>
      </w:r>
      <w:proofErr w:type="spellStart"/>
      <w:r>
        <w:t>görülme</w:t>
      </w:r>
      <w:proofErr w:type="spellEnd"/>
      <w:r w:rsidRPr="00856EC2">
        <w:t xml:space="preserve"> </w:t>
      </w:r>
      <w:proofErr w:type="spellStart"/>
      <w:r w:rsidRPr="00856EC2">
        <w:t>sıklı</w:t>
      </w:r>
      <w:r>
        <w:t>ğının</w:t>
      </w:r>
      <w:proofErr w:type="spellEnd"/>
      <w:r w:rsidRPr="00856EC2">
        <w:t xml:space="preserve"> </w:t>
      </w:r>
      <w:proofErr w:type="spellStart"/>
      <w:r w:rsidRPr="00856EC2">
        <w:t>erkeklere</w:t>
      </w:r>
      <w:proofErr w:type="spellEnd"/>
      <w:r w:rsidRPr="00856EC2">
        <w:t xml:space="preserve"> </w:t>
      </w:r>
      <w:proofErr w:type="spellStart"/>
      <w:r w:rsidRPr="00856EC2">
        <w:t>göre</w:t>
      </w:r>
      <w:proofErr w:type="spellEnd"/>
      <w:r w:rsidRPr="00856EC2">
        <w:t xml:space="preserve"> 2 kat </w:t>
      </w:r>
      <w:proofErr w:type="spellStart"/>
      <w:r>
        <w:t>daha</w:t>
      </w:r>
      <w:proofErr w:type="spellEnd"/>
      <w:r>
        <w:t xml:space="preserve"> </w:t>
      </w:r>
      <w:proofErr w:type="spellStart"/>
      <w:r w:rsidRPr="00856EC2">
        <w:t>fazla</w:t>
      </w:r>
      <w:proofErr w:type="spellEnd"/>
      <w:r>
        <w:t xml:space="preserve"> </w:t>
      </w:r>
      <w:proofErr w:type="spellStart"/>
      <w:r>
        <w:t>olduğu</w:t>
      </w:r>
      <w:proofErr w:type="spellEnd"/>
      <w:r>
        <w:t xml:space="preserve"> </w:t>
      </w:r>
      <w:proofErr w:type="spellStart"/>
      <w:r>
        <w:t>görülmüştür</w:t>
      </w:r>
      <w:proofErr w:type="spellEnd"/>
      <w:r>
        <w:t xml:space="preserve"> (</w:t>
      </w:r>
      <w:r w:rsidRPr="00276380">
        <w:t>Halbreich</w:t>
      </w:r>
      <w:r>
        <w:t>, 2003).</w:t>
      </w:r>
    </w:p>
    <w:p w14:paraId="2961BA4B" w14:textId="77777777" w:rsidR="007513A1" w:rsidRDefault="007513A1" w:rsidP="007513A1">
      <w:pPr>
        <w:pStyle w:val="NormalWeb"/>
        <w:spacing w:before="0" w:beforeAutospacing="0" w:after="0" w:afterAutospacing="0"/>
        <w:jc w:val="both"/>
      </w:pPr>
    </w:p>
    <w:p w14:paraId="35ECE461" w14:textId="77777777" w:rsidR="00B470AD" w:rsidRDefault="00B470AD" w:rsidP="007513A1">
      <w:pPr>
        <w:pStyle w:val="NormalWeb"/>
        <w:spacing w:before="0" w:beforeAutospacing="0" w:after="0" w:afterAutospacing="0"/>
        <w:jc w:val="both"/>
      </w:pPr>
      <w:bookmarkStart w:id="141" w:name="_Hlk191568387"/>
      <w:proofErr w:type="spellStart"/>
      <w:r>
        <w:t>Yaygın</w:t>
      </w:r>
      <w:proofErr w:type="spellEnd"/>
      <w:r>
        <w:t xml:space="preserve"> </w:t>
      </w:r>
      <w:proofErr w:type="spellStart"/>
      <w:r>
        <w:t>anksiyete</w:t>
      </w:r>
      <w:proofErr w:type="spellEnd"/>
      <w:r>
        <w:t xml:space="preserve"> </w:t>
      </w:r>
      <w:proofErr w:type="spellStart"/>
      <w:r>
        <w:t>bozukluğu</w:t>
      </w:r>
      <w:bookmarkEnd w:id="141"/>
      <w:proofErr w:type="spellEnd"/>
      <w:r>
        <w:t xml:space="preserve">; </w:t>
      </w:r>
      <w:proofErr w:type="spellStart"/>
      <w:r>
        <w:t>kronik</w:t>
      </w:r>
      <w:proofErr w:type="spellEnd"/>
      <w:r>
        <w:t xml:space="preserve"> </w:t>
      </w:r>
      <w:proofErr w:type="spellStart"/>
      <w:r>
        <w:t>ve</w:t>
      </w:r>
      <w:proofErr w:type="spellEnd"/>
      <w:r>
        <w:t xml:space="preserve"> </w:t>
      </w:r>
      <w:proofErr w:type="spellStart"/>
      <w:r>
        <w:t>tekrarlayıcı</w:t>
      </w:r>
      <w:proofErr w:type="spellEnd"/>
      <w:r>
        <w:t xml:space="preserve"> </w:t>
      </w:r>
      <w:proofErr w:type="spellStart"/>
      <w:r>
        <w:t>bir</w:t>
      </w:r>
      <w:proofErr w:type="spellEnd"/>
      <w:r>
        <w:t xml:space="preserve"> </w:t>
      </w:r>
      <w:proofErr w:type="spellStart"/>
      <w:r>
        <w:t>örüntüye</w:t>
      </w:r>
      <w:proofErr w:type="spellEnd"/>
      <w:r>
        <w:t xml:space="preserve"> </w:t>
      </w:r>
      <w:proofErr w:type="spellStart"/>
      <w:r>
        <w:t>sahiptir</w:t>
      </w:r>
      <w:proofErr w:type="spellEnd"/>
      <w:r>
        <w:t xml:space="preserve">. </w:t>
      </w:r>
      <w:proofErr w:type="spellStart"/>
      <w:r>
        <w:t>Şiddeti</w:t>
      </w:r>
      <w:proofErr w:type="spellEnd"/>
      <w:r>
        <w:t xml:space="preserve"> </w:t>
      </w:r>
      <w:proofErr w:type="spellStart"/>
      <w:r>
        <w:t>dalgalı</w:t>
      </w:r>
      <w:proofErr w:type="spellEnd"/>
      <w:r>
        <w:t xml:space="preserve"> </w:t>
      </w:r>
      <w:proofErr w:type="spellStart"/>
      <w:r>
        <w:t>şekilde</w:t>
      </w:r>
      <w:proofErr w:type="spellEnd"/>
      <w:r>
        <w:t xml:space="preserve"> </w:t>
      </w:r>
      <w:proofErr w:type="spellStart"/>
      <w:r>
        <w:t>gözlenen</w:t>
      </w:r>
      <w:proofErr w:type="spellEnd"/>
      <w:r>
        <w:t xml:space="preserve"> </w:t>
      </w:r>
      <w:proofErr w:type="spellStart"/>
      <w:r>
        <w:t>ve</w:t>
      </w:r>
      <w:proofErr w:type="spellEnd"/>
      <w:r>
        <w:t xml:space="preserve"> </w:t>
      </w:r>
      <w:proofErr w:type="spellStart"/>
      <w:r>
        <w:t>düşük</w:t>
      </w:r>
      <w:proofErr w:type="spellEnd"/>
      <w:r>
        <w:t xml:space="preserve"> </w:t>
      </w:r>
      <w:proofErr w:type="spellStart"/>
      <w:r>
        <w:t>düzeylerde</w:t>
      </w:r>
      <w:proofErr w:type="spellEnd"/>
      <w:r>
        <w:t xml:space="preserve"> </w:t>
      </w:r>
      <w:proofErr w:type="spellStart"/>
      <w:r>
        <w:t>hafifleme</w:t>
      </w:r>
      <w:proofErr w:type="spellEnd"/>
      <w:r>
        <w:t xml:space="preserve"> </w:t>
      </w:r>
      <w:proofErr w:type="spellStart"/>
      <w:r>
        <w:t>ve</w:t>
      </w:r>
      <w:proofErr w:type="spellEnd"/>
      <w:r>
        <w:t xml:space="preserve"> </w:t>
      </w:r>
      <w:proofErr w:type="spellStart"/>
      <w:r>
        <w:t>iyileşme</w:t>
      </w:r>
      <w:proofErr w:type="spellEnd"/>
      <w:r>
        <w:t xml:space="preserve"> </w:t>
      </w:r>
      <w:proofErr w:type="spellStart"/>
      <w:r>
        <w:t>gösteren</w:t>
      </w:r>
      <w:proofErr w:type="spellEnd"/>
      <w:r>
        <w:t xml:space="preserve"> </w:t>
      </w:r>
      <w:proofErr w:type="spellStart"/>
      <w:r>
        <w:t>bir</w:t>
      </w:r>
      <w:proofErr w:type="spellEnd"/>
      <w:r>
        <w:t xml:space="preserve"> </w:t>
      </w:r>
      <w:proofErr w:type="spellStart"/>
      <w:r>
        <w:t>anksiyete</w:t>
      </w:r>
      <w:proofErr w:type="spellEnd"/>
      <w:r>
        <w:t xml:space="preserve"> </w:t>
      </w:r>
      <w:proofErr w:type="spellStart"/>
      <w:r>
        <w:t>bozukluğudur</w:t>
      </w:r>
      <w:proofErr w:type="spellEnd"/>
      <w:r>
        <w:t xml:space="preserve"> (Craske </w:t>
      </w:r>
      <w:proofErr w:type="spellStart"/>
      <w:r>
        <w:t>ve</w:t>
      </w:r>
      <w:proofErr w:type="spellEnd"/>
      <w:r>
        <w:t xml:space="preserve"> Barlow, 2006). </w:t>
      </w:r>
      <w:proofErr w:type="spellStart"/>
      <w:r>
        <w:t>Günümüzde</w:t>
      </w:r>
      <w:proofErr w:type="spellEnd"/>
      <w:r>
        <w:t xml:space="preserve"> </w:t>
      </w:r>
      <w:proofErr w:type="spellStart"/>
      <w:r>
        <w:t>y</w:t>
      </w:r>
      <w:r w:rsidRPr="006D391E">
        <w:t>aygın</w:t>
      </w:r>
      <w:proofErr w:type="spellEnd"/>
      <w:r w:rsidRPr="006D391E">
        <w:t xml:space="preserve"> </w:t>
      </w:r>
      <w:proofErr w:type="spellStart"/>
      <w:r w:rsidRPr="006D391E">
        <w:t>anksiyete</w:t>
      </w:r>
      <w:proofErr w:type="spellEnd"/>
      <w:r w:rsidRPr="006D391E">
        <w:t xml:space="preserve"> </w:t>
      </w:r>
      <w:proofErr w:type="spellStart"/>
      <w:r w:rsidRPr="006D391E">
        <w:t>bozukluğu</w:t>
      </w:r>
      <w:r>
        <w:t>nun</w:t>
      </w:r>
      <w:proofErr w:type="spellEnd"/>
      <w:r>
        <w:t xml:space="preserve"> </w:t>
      </w:r>
      <w:proofErr w:type="spellStart"/>
      <w:r>
        <w:t>bilişsel</w:t>
      </w:r>
      <w:proofErr w:type="spellEnd"/>
      <w:r>
        <w:t xml:space="preserve"> </w:t>
      </w:r>
      <w:proofErr w:type="spellStart"/>
      <w:r>
        <w:t>davranışçı</w:t>
      </w:r>
      <w:proofErr w:type="spellEnd"/>
      <w:r>
        <w:t xml:space="preserve"> </w:t>
      </w:r>
      <w:proofErr w:type="spellStart"/>
      <w:r>
        <w:t>terapi</w:t>
      </w:r>
      <w:proofErr w:type="spellEnd"/>
      <w:r>
        <w:t xml:space="preserve"> </w:t>
      </w:r>
      <w:proofErr w:type="spellStart"/>
      <w:r>
        <w:t>temelli</w:t>
      </w:r>
      <w:proofErr w:type="spellEnd"/>
      <w:r>
        <w:t xml:space="preserve"> </w:t>
      </w:r>
      <w:proofErr w:type="spellStart"/>
      <w:r>
        <w:t>psikoterapilerinin</w:t>
      </w:r>
      <w:proofErr w:type="spellEnd"/>
      <w:r>
        <w:t xml:space="preserve"> </w:t>
      </w:r>
      <w:proofErr w:type="spellStart"/>
      <w:r>
        <w:t>başında</w:t>
      </w:r>
      <w:proofErr w:type="spellEnd"/>
      <w:r>
        <w:t xml:space="preserve"> </w:t>
      </w:r>
      <w:bookmarkStart w:id="142" w:name="_Hlk191568544"/>
      <w:proofErr w:type="spellStart"/>
      <w:r>
        <w:t>belirsizliğe</w:t>
      </w:r>
      <w:proofErr w:type="spellEnd"/>
      <w:r>
        <w:t xml:space="preserve"> </w:t>
      </w:r>
      <w:proofErr w:type="spellStart"/>
      <w:r>
        <w:t>tahammülsüzlük</w:t>
      </w:r>
      <w:proofErr w:type="spellEnd"/>
      <w:r>
        <w:t xml:space="preserve"> </w:t>
      </w:r>
      <w:proofErr w:type="spellStart"/>
      <w:r>
        <w:t>modeli</w:t>
      </w:r>
      <w:proofErr w:type="spellEnd"/>
      <w:r>
        <w:t xml:space="preserve"> </w:t>
      </w:r>
      <w:bookmarkEnd w:id="142"/>
      <w:r>
        <w:t xml:space="preserve">(BTM), </w:t>
      </w:r>
      <w:bookmarkStart w:id="143" w:name="_Hlk191568438"/>
      <w:proofErr w:type="spellStart"/>
      <w:r>
        <w:t>bilişsel</w:t>
      </w:r>
      <w:proofErr w:type="spellEnd"/>
      <w:r>
        <w:t xml:space="preserve"> </w:t>
      </w:r>
      <w:proofErr w:type="spellStart"/>
      <w:r>
        <w:t>kaçınma</w:t>
      </w:r>
      <w:proofErr w:type="spellEnd"/>
      <w:r>
        <w:t xml:space="preserve"> </w:t>
      </w:r>
      <w:proofErr w:type="spellStart"/>
      <w:r>
        <w:t>modeli</w:t>
      </w:r>
      <w:proofErr w:type="spellEnd"/>
      <w:r>
        <w:t xml:space="preserve"> </w:t>
      </w:r>
      <w:bookmarkEnd w:id="143"/>
      <w:r>
        <w:t xml:space="preserve">(BKM) </w:t>
      </w:r>
      <w:proofErr w:type="spellStart"/>
      <w:r>
        <w:t>ve</w:t>
      </w:r>
      <w:proofErr w:type="spellEnd"/>
      <w:r>
        <w:t xml:space="preserve"> </w:t>
      </w:r>
      <w:proofErr w:type="spellStart"/>
      <w:r>
        <w:t>metakognitif</w:t>
      </w:r>
      <w:proofErr w:type="spellEnd"/>
      <w:r>
        <w:t xml:space="preserve"> model (MKM) </w:t>
      </w:r>
      <w:proofErr w:type="spellStart"/>
      <w:r>
        <w:t>bulunmaktadır</w:t>
      </w:r>
      <w:proofErr w:type="spellEnd"/>
      <w:r>
        <w:t xml:space="preserve"> (</w:t>
      </w:r>
      <w:proofErr w:type="spellStart"/>
      <w:r>
        <w:t>Cömertoğlu</w:t>
      </w:r>
      <w:proofErr w:type="spellEnd"/>
      <w:r>
        <w:t xml:space="preserve">, 2020). Bu </w:t>
      </w:r>
      <w:proofErr w:type="spellStart"/>
      <w:r>
        <w:t>modellerin</w:t>
      </w:r>
      <w:proofErr w:type="spellEnd"/>
      <w:r>
        <w:t xml:space="preserve"> </w:t>
      </w:r>
      <w:proofErr w:type="spellStart"/>
      <w:r>
        <w:t>ortak</w:t>
      </w:r>
      <w:proofErr w:type="spellEnd"/>
      <w:r>
        <w:t xml:space="preserve"> </w:t>
      </w:r>
      <w:proofErr w:type="spellStart"/>
      <w:r>
        <w:t>kısımları</w:t>
      </w:r>
      <w:proofErr w:type="spellEnd"/>
      <w:r>
        <w:t xml:space="preserve">, </w:t>
      </w:r>
      <w:proofErr w:type="spellStart"/>
      <w:r>
        <w:t>endişenin</w:t>
      </w:r>
      <w:proofErr w:type="spellEnd"/>
      <w:r>
        <w:t xml:space="preserve">; </w:t>
      </w:r>
      <w:proofErr w:type="spellStart"/>
      <w:r>
        <w:t>tetikleyen</w:t>
      </w:r>
      <w:proofErr w:type="spellEnd"/>
      <w:r>
        <w:t xml:space="preserve"> </w:t>
      </w:r>
      <w:proofErr w:type="spellStart"/>
      <w:r>
        <w:t>düşünce</w:t>
      </w:r>
      <w:proofErr w:type="spellEnd"/>
      <w:r>
        <w:t xml:space="preserve">, </w:t>
      </w:r>
      <w:proofErr w:type="spellStart"/>
      <w:r>
        <w:t>duygu</w:t>
      </w:r>
      <w:proofErr w:type="spellEnd"/>
      <w:r>
        <w:t xml:space="preserve"> </w:t>
      </w:r>
      <w:proofErr w:type="spellStart"/>
      <w:r>
        <w:t>ve</w:t>
      </w:r>
      <w:proofErr w:type="spellEnd"/>
      <w:r>
        <w:t xml:space="preserve"> </w:t>
      </w:r>
      <w:proofErr w:type="spellStart"/>
      <w:r>
        <w:t>olaylar</w:t>
      </w:r>
      <w:proofErr w:type="spellEnd"/>
      <w:r>
        <w:t xml:space="preserve"> </w:t>
      </w:r>
      <w:proofErr w:type="spellStart"/>
      <w:r>
        <w:t>karşısında</w:t>
      </w:r>
      <w:proofErr w:type="spellEnd"/>
      <w:r>
        <w:t xml:space="preserve"> </w:t>
      </w:r>
      <w:proofErr w:type="spellStart"/>
      <w:r>
        <w:t>tekrarlayıcı</w:t>
      </w:r>
      <w:proofErr w:type="spellEnd"/>
      <w:r>
        <w:t xml:space="preserve">, </w:t>
      </w:r>
      <w:proofErr w:type="spellStart"/>
      <w:r>
        <w:t>persistan</w:t>
      </w:r>
      <w:proofErr w:type="spellEnd"/>
      <w:r>
        <w:t xml:space="preserve">, </w:t>
      </w:r>
      <w:proofErr w:type="spellStart"/>
      <w:r>
        <w:t>kontrol</w:t>
      </w:r>
      <w:proofErr w:type="spellEnd"/>
      <w:r>
        <w:t xml:space="preserve"> </w:t>
      </w:r>
      <w:proofErr w:type="spellStart"/>
      <w:r>
        <w:t>edilemeyen</w:t>
      </w:r>
      <w:proofErr w:type="spellEnd"/>
      <w:r>
        <w:t xml:space="preserve"> </w:t>
      </w:r>
      <w:proofErr w:type="spellStart"/>
      <w:r>
        <w:t>düşünceler</w:t>
      </w:r>
      <w:proofErr w:type="spellEnd"/>
      <w:r>
        <w:t xml:space="preserve"> </w:t>
      </w:r>
      <w:proofErr w:type="spellStart"/>
      <w:r>
        <w:t>zinciri</w:t>
      </w:r>
      <w:proofErr w:type="spellEnd"/>
      <w:r>
        <w:t xml:space="preserve"> </w:t>
      </w:r>
      <w:proofErr w:type="spellStart"/>
      <w:r>
        <w:t>olduğu</w:t>
      </w:r>
      <w:proofErr w:type="spellEnd"/>
      <w:r>
        <w:t xml:space="preserve"> </w:t>
      </w:r>
      <w:proofErr w:type="spellStart"/>
      <w:r>
        <w:t>ve</w:t>
      </w:r>
      <w:proofErr w:type="spellEnd"/>
      <w:r>
        <w:t xml:space="preserve"> </w:t>
      </w:r>
      <w:proofErr w:type="spellStart"/>
      <w:r>
        <w:t>potansiyel</w:t>
      </w:r>
      <w:proofErr w:type="spellEnd"/>
      <w:r>
        <w:t xml:space="preserve"> </w:t>
      </w:r>
      <w:proofErr w:type="spellStart"/>
      <w:r>
        <w:t>tehlike</w:t>
      </w:r>
      <w:proofErr w:type="spellEnd"/>
      <w:r>
        <w:t xml:space="preserve"> </w:t>
      </w:r>
      <w:proofErr w:type="spellStart"/>
      <w:r>
        <w:t>ile</w:t>
      </w:r>
      <w:proofErr w:type="spellEnd"/>
      <w:r>
        <w:t xml:space="preserve"> </w:t>
      </w:r>
      <w:proofErr w:type="spellStart"/>
      <w:r>
        <w:t>baş</w:t>
      </w:r>
      <w:proofErr w:type="spellEnd"/>
      <w:r>
        <w:t xml:space="preserve"> </w:t>
      </w:r>
      <w:proofErr w:type="spellStart"/>
      <w:r>
        <w:t>etmek</w:t>
      </w:r>
      <w:proofErr w:type="spellEnd"/>
      <w:r>
        <w:t xml:space="preserve"> </w:t>
      </w:r>
      <w:proofErr w:type="spellStart"/>
      <w:r>
        <w:t>için</w:t>
      </w:r>
      <w:proofErr w:type="spellEnd"/>
      <w:r>
        <w:t xml:space="preserve"> </w:t>
      </w:r>
      <w:proofErr w:type="spellStart"/>
      <w:r>
        <w:t>kullanıldığıdır</w:t>
      </w:r>
      <w:proofErr w:type="spellEnd"/>
      <w:r>
        <w:t xml:space="preserve"> (Gündüz, 2019). Bu </w:t>
      </w:r>
      <w:proofErr w:type="spellStart"/>
      <w:r>
        <w:t>baş</w:t>
      </w:r>
      <w:proofErr w:type="spellEnd"/>
      <w:r>
        <w:t xml:space="preserve"> </w:t>
      </w:r>
      <w:proofErr w:type="spellStart"/>
      <w:r>
        <w:t>etme</w:t>
      </w:r>
      <w:proofErr w:type="spellEnd"/>
      <w:r>
        <w:t xml:space="preserve"> </w:t>
      </w:r>
      <w:proofErr w:type="spellStart"/>
      <w:r>
        <w:t>şekli</w:t>
      </w:r>
      <w:proofErr w:type="spellEnd"/>
      <w:r>
        <w:t xml:space="preserve"> </w:t>
      </w:r>
      <w:proofErr w:type="spellStart"/>
      <w:r>
        <w:t>duygusal</w:t>
      </w:r>
      <w:proofErr w:type="spellEnd"/>
      <w:r>
        <w:t xml:space="preserve"> </w:t>
      </w:r>
      <w:proofErr w:type="spellStart"/>
      <w:r>
        <w:t>alışmayı</w:t>
      </w:r>
      <w:proofErr w:type="spellEnd"/>
      <w:r>
        <w:t xml:space="preserve"> </w:t>
      </w:r>
      <w:proofErr w:type="spellStart"/>
      <w:r>
        <w:t>engellediği</w:t>
      </w:r>
      <w:proofErr w:type="spellEnd"/>
      <w:r>
        <w:t xml:space="preserve"> </w:t>
      </w:r>
      <w:proofErr w:type="spellStart"/>
      <w:r>
        <w:t>için</w:t>
      </w:r>
      <w:proofErr w:type="spellEnd"/>
      <w:r>
        <w:t xml:space="preserve"> </w:t>
      </w:r>
      <w:proofErr w:type="spellStart"/>
      <w:r>
        <w:t>işlevsel</w:t>
      </w:r>
      <w:proofErr w:type="spellEnd"/>
      <w:r>
        <w:t xml:space="preserve"> </w:t>
      </w:r>
      <w:proofErr w:type="spellStart"/>
      <w:r>
        <w:t>baş</w:t>
      </w:r>
      <w:proofErr w:type="spellEnd"/>
      <w:r>
        <w:t xml:space="preserve"> </w:t>
      </w:r>
      <w:proofErr w:type="spellStart"/>
      <w:r>
        <w:t>etmeyi</w:t>
      </w:r>
      <w:proofErr w:type="spellEnd"/>
      <w:r>
        <w:t xml:space="preserve"> </w:t>
      </w:r>
      <w:proofErr w:type="spellStart"/>
      <w:r>
        <w:t>bozmakta</w:t>
      </w:r>
      <w:proofErr w:type="spellEnd"/>
      <w:r>
        <w:t xml:space="preserve"> </w:t>
      </w:r>
      <w:proofErr w:type="spellStart"/>
      <w:r>
        <w:t>ve</w:t>
      </w:r>
      <w:proofErr w:type="spellEnd"/>
      <w:r>
        <w:t xml:space="preserve"> </w:t>
      </w:r>
      <w:proofErr w:type="spellStart"/>
      <w:r>
        <w:t>anksiyeteyi</w:t>
      </w:r>
      <w:proofErr w:type="spellEnd"/>
      <w:r>
        <w:t xml:space="preserve"> </w:t>
      </w:r>
      <w:proofErr w:type="spellStart"/>
      <w:r>
        <w:t>artırmaktadır</w:t>
      </w:r>
      <w:proofErr w:type="spellEnd"/>
      <w:r>
        <w:t xml:space="preserve">. </w:t>
      </w:r>
      <w:proofErr w:type="spellStart"/>
      <w:r>
        <w:t>Modellerin</w:t>
      </w:r>
      <w:proofErr w:type="spellEnd"/>
      <w:r>
        <w:t xml:space="preserve"> </w:t>
      </w:r>
      <w:proofErr w:type="spellStart"/>
      <w:r>
        <w:t>ortak</w:t>
      </w:r>
      <w:proofErr w:type="spellEnd"/>
      <w:r>
        <w:t xml:space="preserve"> </w:t>
      </w:r>
      <w:proofErr w:type="spellStart"/>
      <w:r>
        <w:t>bir</w:t>
      </w:r>
      <w:proofErr w:type="spellEnd"/>
      <w:r>
        <w:t xml:space="preserve"> </w:t>
      </w:r>
      <w:proofErr w:type="spellStart"/>
      <w:r>
        <w:t>diğer</w:t>
      </w:r>
      <w:proofErr w:type="spellEnd"/>
      <w:r>
        <w:t xml:space="preserve"> </w:t>
      </w:r>
      <w:proofErr w:type="spellStart"/>
      <w:r>
        <w:t>unsuru</w:t>
      </w:r>
      <w:proofErr w:type="spellEnd"/>
      <w:r>
        <w:t xml:space="preserve"> </w:t>
      </w:r>
      <w:proofErr w:type="spellStart"/>
      <w:r>
        <w:t>endişelenmenin</w:t>
      </w:r>
      <w:proofErr w:type="spellEnd"/>
      <w:r>
        <w:t xml:space="preserve"> </w:t>
      </w:r>
      <w:proofErr w:type="spellStart"/>
      <w:r>
        <w:t>işe</w:t>
      </w:r>
      <w:proofErr w:type="spellEnd"/>
      <w:r>
        <w:t xml:space="preserve"> </w:t>
      </w:r>
      <w:proofErr w:type="spellStart"/>
      <w:r>
        <w:t>yararlılığına</w:t>
      </w:r>
      <w:proofErr w:type="spellEnd"/>
      <w:r>
        <w:t xml:space="preserve"> </w:t>
      </w:r>
      <w:proofErr w:type="spellStart"/>
      <w:r>
        <w:t>dair</w:t>
      </w:r>
      <w:proofErr w:type="spellEnd"/>
      <w:r>
        <w:t xml:space="preserve"> </w:t>
      </w:r>
      <w:proofErr w:type="spellStart"/>
      <w:r>
        <w:t>pozitif</w:t>
      </w:r>
      <w:proofErr w:type="spellEnd"/>
      <w:r>
        <w:t xml:space="preserve"> </w:t>
      </w:r>
      <w:proofErr w:type="spellStart"/>
      <w:r>
        <w:t>inançlardır</w:t>
      </w:r>
      <w:proofErr w:type="spellEnd"/>
      <w:r>
        <w:t xml:space="preserve">. Bu </w:t>
      </w:r>
      <w:proofErr w:type="spellStart"/>
      <w:r>
        <w:t>modellerin</w:t>
      </w:r>
      <w:proofErr w:type="spellEnd"/>
      <w:r>
        <w:t xml:space="preserve"> </w:t>
      </w:r>
      <w:proofErr w:type="spellStart"/>
      <w:r>
        <w:t>farkı</w:t>
      </w:r>
      <w:proofErr w:type="spellEnd"/>
      <w:r>
        <w:t xml:space="preserve"> </w:t>
      </w:r>
      <w:proofErr w:type="spellStart"/>
      <w:r>
        <w:t>ise</w:t>
      </w:r>
      <w:proofErr w:type="spellEnd"/>
      <w:r w:rsidRPr="00740758">
        <w:rPr>
          <w:rFonts w:asciiTheme="minorHAnsi" w:eastAsiaTheme="minorHAnsi" w:hAnsiTheme="minorHAnsi" w:cstheme="minorBidi"/>
          <w:sz w:val="22"/>
          <w:szCs w:val="22"/>
          <w:lang w:eastAsia="en-US"/>
        </w:rPr>
        <w:t xml:space="preserve"> </w:t>
      </w:r>
      <w:proofErr w:type="spellStart"/>
      <w:r w:rsidRPr="00740758">
        <w:t>bilişsel</w:t>
      </w:r>
      <w:proofErr w:type="spellEnd"/>
      <w:r w:rsidRPr="00740758">
        <w:t xml:space="preserve"> </w:t>
      </w:r>
      <w:proofErr w:type="spellStart"/>
      <w:r w:rsidRPr="00740758">
        <w:t>kaçınma</w:t>
      </w:r>
      <w:proofErr w:type="spellEnd"/>
      <w:r w:rsidRPr="00740758">
        <w:t xml:space="preserve"> </w:t>
      </w:r>
      <w:proofErr w:type="spellStart"/>
      <w:r w:rsidRPr="00740758">
        <w:t>modeli</w:t>
      </w:r>
      <w:r>
        <w:t>nde</w:t>
      </w:r>
      <w:proofErr w:type="spellEnd"/>
      <w:r>
        <w:t xml:space="preserve"> </w:t>
      </w:r>
      <w:proofErr w:type="spellStart"/>
      <w:r>
        <w:t>endişe</w:t>
      </w:r>
      <w:proofErr w:type="spellEnd"/>
      <w:r>
        <w:t xml:space="preserve"> </w:t>
      </w:r>
      <w:proofErr w:type="spellStart"/>
      <w:r>
        <w:t>ve</w:t>
      </w:r>
      <w:proofErr w:type="spellEnd"/>
      <w:r>
        <w:t xml:space="preserve"> YAB </w:t>
      </w:r>
      <w:proofErr w:type="spellStart"/>
      <w:r>
        <w:t>ile</w:t>
      </w:r>
      <w:proofErr w:type="spellEnd"/>
      <w:r>
        <w:t xml:space="preserve"> </w:t>
      </w:r>
      <w:proofErr w:type="spellStart"/>
      <w:r>
        <w:t>ilgili</w:t>
      </w:r>
      <w:proofErr w:type="spellEnd"/>
      <w:r>
        <w:t xml:space="preserve"> </w:t>
      </w:r>
      <w:proofErr w:type="spellStart"/>
      <w:r>
        <w:t>davranışsal</w:t>
      </w:r>
      <w:proofErr w:type="spellEnd"/>
      <w:r>
        <w:t xml:space="preserve"> </w:t>
      </w:r>
      <w:proofErr w:type="spellStart"/>
      <w:r>
        <w:t>analiz</w:t>
      </w:r>
      <w:proofErr w:type="spellEnd"/>
      <w:r>
        <w:t xml:space="preserve"> </w:t>
      </w:r>
      <w:proofErr w:type="spellStart"/>
      <w:r>
        <w:t>kullanılırken</w:t>
      </w:r>
      <w:proofErr w:type="spellEnd"/>
      <w:r>
        <w:t>,</w:t>
      </w:r>
      <w:r w:rsidRPr="00E170E4">
        <w:rPr>
          <w:rFonts w:asciiTheme="minorHAnsi" w:eastAsiaTheme="minorHAnsi" w:hAnsiTheme="minorHAnsi" w:cstheme="minorBidi"/>
          <w:sz w:val="22"/>
          <w:szCs w:val="22"/>
          <w:lang w:eastAsia="en-US"/>
        </w:rPr>
        <w:t xml:space="preserve"> </w:t>
      </w:r>
      <w:proofErr w:type="spellStart"/>
      <w:r w:rsidRPr="00E170E4">
        <w:t>belirsizliğe</w:t>
      </w:r>
      <w:proofErr w:type="spellEnd"/>
      <w:r w:rsidRPr="00E170E4">
        <w:t xml:space="preserve"> </w:t>
      </w:r>
      <w:proofErr w:type="spellStart"/>
      <w:r w:rsidRPr="00E170E4">
        <w:t>tahammülsüzlük</w:t>
      </w:r>
      <w:proofErr w:type="spellEnd"/>
      <w:r w:rsidRPr="00E170E4">
        <w:t xml:space="preserve"> </w:t>
      </w:r>
      <w:proofErr w:type="spellStart"/>
      <w:r w:rsidRPr="00E170E4">
        <w:t>modeli</w:t>
      </w:r>
      <w:r>
        <w:t>nde</w:t>
      </w:r>
      <w:proofErr w:type="spellEnd"/>
      <w:r>
        <w:t xml:space="preserve"> </w:t>
      </w:r>
      <w:proofErr w:type="spellStart"/>
      <w:r>
        <w:t>ise</w:t>
      </w:r>
      <w:proofErr w:type="spellEnd"/>
      <w:r>
        <w:t xml:space="preserve"> </w:t>
      </w:r>
      <w:proofErr w:type="spellStart"/>
      <w:r>
        <w:t>daha</w:t>
      </w:r>
      <w:proofErr w:type="spellEnd"/>
      <w:r>
        <w:t xml:space="preserve"> </w:t>
      </w:r>
      <w:proofErr w:type="spellStart"/>
      <w:r>
        <w:t>kognitif</w:t>
      </w:r>
      <w:proofErr w:type="spellEnd"/>
      <w:r>
        <w:t xml:space="preserve"> </w:t>
      </w:r>
      <w:proofErr w:type="spellStart"/>
      <w:r>
        <w:t>ve</w:t>
      </w:r>
      <w:proofErr w:type="spellEnd"/>
      <w:r>
        <w:t xml:space="preserve"> </w:t>
      </w:r>
      <w:proofErr w:type="spellStart"/>
      <w:r>
        <w:t>şema</w:t>
      </w:r>
      <w:proofErr w:type="spellEnd"/>
      <w:r>
        <w:t xml:space="preserve"> </w:t>
      </w:r>
      <w:proofErr w:type="spellStart"/>
      <w:r>
        <w:t>temelli</w:t>
      </w:r>
      <w:proofErr w:type="spellEnd"/>
      <w:r>
        <w:t xml:space="preserve"> </w:t>
      </w:r>
      <w:proofErr w:type="spellStart"/>
      <w:r>
        <w:t>bir</w:t>
      </w:r>
      <w:proofErr w:type="spellEnd"/>
      <w:r>
        <w:t xml:space="preserve"> </w:t>
      </w:r>
      <w:proofErr w:type="spellStart"/>
      <w:r>
        <w:t>teoriye</w:t>
      </w:r>
      <w:proofErr w:type="spellEnd"/>
      <w:r>
        <w:t xml:space="preserve"> </w:t>
      </w:r>
      <w:proofErr w:type="spellStart"/>
      <w:r>
        <w:t>yaslanmaktadır</w:t>
      </w:r>
      <w:proofErr w:type="spellEnd"/>
      <w:r>
        <w:t xml:space="preserve"> (Dugas </w:t>
      </w:r>
      <w:proofErr w:type="spellStart"/>
      <w:r>
        <w:t>ve</w:t>
      </w:r>
      <w:proofErr w:type="spellEnd"/>
      <w:r>
        <w:t xml:space="preserve"> ark., 2004). </w:t>
      </w:r>
      <w:proofErr w:type="spellStart"/>
      <w:r>
        <w:t>Metakognitif</w:t>
      </w:r>
      <w:proofErr w:type="spellEnd"/>
      <w:r>
        <w:t xml:space="preserve"> model </w:t>
      </w:r>
      <w:proofErr w:type="spellStart"/>
      <w:r>
        <w:t>ise</w:t>
      </w:r>
      <w:proofErr w:type="spellEnd"/>
      <w:r>
        <w:t xml:space="preserve"> </w:t>
      </w:r>
      <w:proofErr w:type="spellStart"/>
      <w:r>
        <w:t>endişelenmenin</w:t>
      </w:r>
      <w:proofErr w:type="spellEnd"/>
      <w:r>
        <w:t xml:space="preserve"> </w:t>
      </w:r>
      <w:proofErr w:type="spellStart"/>
      <w:r>
        <w:t>kontrol</w:t>
      </w:r>
      <w:proofErr w:type="spellEnd"/>
      <w:r>
        <w:t xml:space="preserve"> </w:t>
      </w:r>
      <w:proofErr w:type="spellStart"/>
      <w:r>
        <w:t>edilemez</w:t>
      </w:r>
      <w:proofErr w:type="spellEnd"/>
      <w:r>
        <w:t xml:space="preserve"> </w:t>
      </w:r>
      <w:proofErr w:type="spellStart"/>
      <w:r>
        <w:t>ve</w:t>
      </w:r>
      <w:proofErr w:type="spellEnd"/>
      <w:r>
        <w:t xml:space="preserve"> </w:t>
      </w:r>
      <w:proofErr w:type="spellStart"/>
      <w:r>
        <w:t>tehlikeli</w:t>
      </w:r>
      <w:proofErr w:type="spellEnd"/>
      <w:r>
        <w:t xml:space="preserve"> </w:t>
      </w:r>
      <w:proofErr w:type="spellStart"/>
      <w:r>
        <w:t>olduğu</w:t>
      </w:r>
      <w:proofErr w:type="spellEnd"/>
      <w:r>
        <w:t xml:space="preserve"> </w:t>
      </w:r>
      <w:proofErr w:type="spellStart"/>
      <w:r>
        <w:t>yönündeki</w:t>
      </w:r>
      <w:proofErr w:type="spellEnd"/>
      <w:r>
        <w:t xml:space="preserve"> </w:t>
      </w:r>
      <w:proofErr w:type="spellStart"/>
      <w:r>
        <w:t>negatif</w:t>
      </w:r>
      <w:proofErr w:type="spellEnd"/>
      <w:r>
        <w:t xml:space="preserve"> </w:t>
      </w:r>
      <w:proofErr w:type="spellStart"/>
      <w:r>
        <w:t>metakognitif</w:t>
      </w:r>
      <w:proofErr w:type="spellEnd"/>
      <w:r>
        <w:t xml:space="preserve"> </w:t>
      </w:r>
      <w:proofErr w:type="spellStart"/>
      <w:r>
        <w:t>inançlara</w:t>
      </w:r>
      <w:proofErr w:type="spellEnd"/>
      <w:r>
        <w:t xml:space="preserve"> </w:t>
      </w:r>
      <w:proofErr w:type="spellStart"/>
      <w:r>
        <w:t>ve</w:t>
      </w:r>
      <w:proofErr w:type="spellEnd"/>
      <w:r>
        <w:t xml:space="preserve"> </w:t>
      </w:r>
      <w:proofErr w:type="spellStart"/>
      <w:r>
        <w:t>bu</w:t>
      </w:r>
      <w:proofErr w:type="spellEnd"/>
      <w:r>
        <w:t xml:space="preserve"> </w:t>
      </w:r>
      <w:proofErr w:type="spellStart"/>
      <w:r>
        <w:t>inançlar</w:t>
      </w:r>
      <w:proofErr w:type="spellEnd"/>
      <w:r>
        <w:t xml:space="preserve"> </w:t>
      </w:r>
      <w:proofErr w:type="spellStart"/>
      <w:r>
        <w:t>sonucu</w:t>
      </w:r>
      <w:proofErr w:type="spellEnd"/>
      <w:r>
        <w:t xml:space="preserve"> </w:t>
      </w:r>
      <w:proofErr w:type="spellStart"/>
      <w:r>
        <w:t>ortaya</w:t>
      </w:r>
      <w:proofErr w:type="spellEnd"/>
      <w:r>
        <w:t xml:space="preserve"> </w:t>
      </w:r>
      <w:proofErr w:type="spellStart"/>
      <w:r>
        <w:t>çıkan</w:t>
      </w:r>
      <w:proofErr w:type="spellEnd"/>
      <w:r>
        <w:t xml:space="preserve"> meta-</w:t>
      </w:r>
      <w:proofErr w:type="spellStart"/>
      <w:r>
        <w:t>endişeye</w:t>
      </w:r>
      <w:proofErr w:type="spellEnd"/>
      <w:r>
        <w:t xml:space="preserve"> </w:t>
      </w:r>
      <w:proofErr w:type="spellStart"/>
      <w:r>
        <w:t>dayalıdır</w:t>
      </w:r>
      <w:proofErr w:type="spellEnd"/>
      <w:r>
        <w:t xml:space="preserve"> (Wells, 2011).</w:t>
      </w:r>
    </w:p>
    <w:p w14:paraId="6AFD9F93" w14:textId="77777777" w:rsidR="007513A1" w:rsidRDefault="007513A1" w:rsidP="007513A1">
      <w:pPr>
        <w:pStyle w:val="NormalWeb"/>
        <w:spacing w:before="0" w:beforeAutospacing="0" w:after="0" w:afterAutospacing="0"/>
        <w:jc w:val="both"/>
      </w:pPr>
    </w:p>
    <w:p w14:paraId="5C022F49" w14:textId="77777777" w:rsidR="00B470AD" w:rsidRDefault="00B470AD" w:rsidP="007513A1">
      <w:pPr>
        <w:pStyle w:val="NormalWeb"/>
        <w:spacing w:before="0" w:beforeAutospacing="0" w:after="0" w:afterAutospacing="0"/>
        <w:jc w:val="both"/>
      </w:pPr>
      <w:proofErr w:type="spellStart"/>
      <w:r>
        <w:t>Metakognitif</w:t>
      </w:r>
      <w:proofErr w:type="spellEnd"/>
      <w:r>
        <w:t xml:space="preserve"> model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için</w:t>
      </w:r>
      <w:proofErr w:type="spellEnd"/>
      <w:r>
        <w:t xml:space="preserve"> Tip 1 </w:t>
      </w:r>
      <w:proofErr w:type="spellStart"/>
      <w:r>
        <w:t>ve</w:t>
      </w:r>
      <w:proofErr w:type="spellEnd"/>
      <w:r>
        <w:t xml:space="preserve"> Tip 2 (meta-</w:t>
      </w:r>
      <w:proofErr w:type="spellStart"/>
      <w:r>
        <w:t>endişe</w:t>
      </w:r>
      <w:proofErr w:type="spellEnd"/>
      <w:r>
        <w:t xml:space="preserve">) </w:t>
      </w:r>
      <w:proofErr w:type="spellStart"/>
      <w:r>
        <w:t>endişe</w:t>
      </w:r>
      <w:proofErr w:type="spellEnd"/>
      <w:r>
        <w:t xml:space="preserve"> </w:t>
      </w:r>
      <w:proofErr w:type="spellStart"/>
      <w:r>
        <w:t>türlerini</w:t>
      </w:r>
      <w:proofErr w:type="spellEnd"/>
      <w:r>
        <w:t xml:space="preserve"> </w:t>
      </w:r>
      <w:proofErr w:type="spellStart"/>
      <w:r>
        <w:t>açıklamaktadır</w:t>
      </w:r>
      <w:proofErr w:type="spellEnd"/>
      <w:r>
        <w:t xml:space="preserve"> (Wells, 2011). Tip 1 </w:t>
      </w:r>
      <w:proofErr w:type="spellStart"/>
      <w:r>
        <w:t>endişede</w:t>
      </w:r>
      <w:proofErr w:type="spellEnd"/>
      <w:r>
        <w:t xml:space="preserve">, </w:t>
      </w:r>
      <w:proofErr w:type="spellStart"/>
      <w:r>
        <w:t>olası</w:t>
      </w:r>
      <w:proofErr w:type="spellEnd"/>
      <w:r>
        <w:t xml:space="preserve"> </w:t>
      </w:r>
      <w:proofErr w:type="spellStart"/>
      <w:r>
        <w:t>sorun</w:t>
      </w:r>
      <w:proofErr w:type="spellEnd"/>
      <w:r>
        <w:t xml:space="preserve"> </w:t>
      </w:r>
      <w:proofErr w:type="spellStart"/>
      <w:r>
        <w:t>ve</w:t>
      </w:r>
      <w:proofErr w:type="spellEnd"/>
      <w:r>
        <w:t xml:space="preserve"> </w:t>
      </w:r>
      <w:proofErr w:type="spellStart"/>
      <w:r>
        <w:t>tehditlerin</w:t>
      </w:r>
      <w:proofErr w:type="spellEnd"/>
      <w:r>
        <w:t xml:space="preserve"> </w:t>
      </w:r>
      <w:proofErr w:type="spellStart"/>
      <w:r>
        <w:t>üstesinden</w:t>
      </w:r>
      <w:proofErr w:type="spellEnd"/>
      <w:r>
        <w:t xml:space="preserve"> </w:t>
      </w:r>
      <w:proofErr w:type="spellStart"/>
      <w:r>
        <w:t>gelmek</w:t>
      </w:r>
      <w:proofErr w:type="spellEnd"/>
      <w:r>
        <w:t xml:space="preserve"> </w:t>
      </w:r>
      <w:proofErr w:type="spellStart"/>
      <w:r>
        <w:t>için</w:t>
      </w:r>
      <w:proofErr w:type="spellEnd"/>
      <w:r>
        <w:t xml:space="preserve"> </w:t>
      </w:r>
      <w:proofErr w:type="spellStart"/>
      <w:r>
        <w:t>endişelenme</w:t>
      </w:r>
      <w:proofErr w:type="spellEnd"/>
      <w:r>
        <w:t xml:space="preserve"> </w:t>
      </w:r>
      <w:proofErr w:type="spellStart"/>
      <w:r>
        <w:t>bir</w:t>
      </w:r>
      <w:proofErr w:type="spellEnd"/>
      <w:r>
        <w:t xml:space="preserve"> </w:t>
      </w:r>
      <w:proofErr w:type="spellStart"/>
      <w:r>
        <w:t>baş</w:t>
      </w:r>
      <w:proofErr w:type="spellEnd"/>
      <w:r>
        <w:t xml:space="preserve"> </w:t>
      </w:r>
      <w:proofErr w:type="spellStart"/>
      <w:r>
        <w:t>etme</w:t>
      </w:r>
      <w:proofErr w:type="spellEnd"/>
      <w:r>
        <w:t xml:space="preserve"> </w:t>
      </w:r>
      <w:proofErr w:type="spellStart"/>
      <w:r>
        <w:t>stratejisi</w:t>
      </w:r>
      <w:proofErr w:type="spellEnd"/>
      <w:r>
        <w:t xml:space="preserve"> </w:t>
      </w:r>
      <w:proofErr w:type="spellStart"/>
      <w:r>
        <w:t>olarak</w:t>
      </w:r>
      <w:proofErr w:type="spellEnd"/>
      <w:r>
        <w:t xml:space="preserve"> </w:t>
      </w:r>
      <w:proofErr w:type="spellStart"/>
      <w:r>
        <w:t>kullanılmaktadır</w:t>
      </w:r>
      <w:proofErr w:type="spellEnd"/>
      <w:r>
        <w:t xml:space="preserve">. </w:t>
      </w:r>
      <w:proofErr w:type="spellStart"/>
      <w:r>
        <w:t>Aynı</w:t>
      </w:r>
      <w:proofErr w:type="spellEnd"/>
      <w:r>
        <w:t xml:space="preserve"> </w:t>
      </w:r>
      <w:proofErr w:type="spellStart"/>
      <w:r>
        <w:t>zamanda</w:t>
      </w:r>
      <w:proofErr w:type="spellEnd"/>
      <w:r>
        <w:t xml:space="preserve"> tip 1 </w:t>
      </w:r>
      <w:proofErr w:type="spellStart"/>
      <w:r>
        <w:t>endişe</w:t>
      </w:r>
      <w:proofErr w:type="spellEnd"/>
      <w:r>
        <w:t xml:space="preserve"> </w:t>
      </w:r>
      <w:proofErr w:type="spellStart"/>
      <w:r>
        <w:t>türü</w:t>
      </w:r>
      <w:proofErr w:type="spellEnd"/>
      <w:r>
        <w:t xml:space="preserve">, </w:t>
      </w:r>
      <w:proofErr w:type="spellStart"/>
      <w:r>
        <w:t>endişelenmenin</w:t>
      </w:r>
      <w:proofErr w:type="spellEnd"/>
      <w:r>
        <w:t xml:space="preserve"> </w:t>
      </w:r>
      <w:proofErr w:type="spellStart"/>
      <w:r>
        <w:t>işe</w:t>
      </w:r>
      <w:proofErr w:type="spellEnd"/>
      <w:r>
        <w:t xml:space="preserve"> </w:t>
      </w:r>
      <w:proofErr w:type="spellStart"/>
      <w:r>
        <w:t>yararlılığıyla</w:t>
      </w:r>
      <w:proofErr w:type="spellEnd"/>
      <w:r>
        <w:t xml:space="preserve"> </w:t>
      </w:r>
      <w:proofErr w:type="spellStart"/>
      <w:r>
        <w:t>ilgili</w:t>
      </w:r>
      <w:proofErr w:type="spellEnd"/>
      <w:r>
        <w:t xml:space="preserve"> </w:t>
      </w:r>
      <w:proofErr w:type="spellStart"/>
      <w:r>
        <w:t>pozitif</w:t>
      </w:r>
      <w:proofErr w:type="spellEnd"/>
      <w:r>
        <w:t xml:space="preserve"> </w:t>
      </w:r>
      <w:proofErr w:type="spellStart"/>
      <w:r>
        <w:t>metakognitif</w:t>
      </w:r>
      <w:proofErr w:type="spellEnd"/>
      <w:r>
        <w:t xml:space="preserve"> </w:t>
      </w:r>
      <w:proofErr w:type="spellStart"/>
      <w:r>
        <w:t>inançlar</w:t>
      </w:r>
      <w:proofErr w:type="spellEnd"/>
      <w:r>
        <w:t xml:space="preserve"> </w:t>
      </w:r>
      <w:proofErr w:type="spellStart"/>
      <w:r>
        <w:t>sonucunda</w:t>
      </w:r>
      <w:proofErr w:type="spellEnd"/>
      <w:r>
        <w:t xml:space="preserve"> </w:t>
      </w:r>
      <w:proofErr w:type="spellStart"/>
      <w:r>
        <w:t>oluşmaktadır</w:t>
      </w:r>
      <w:proofErr w:type="spellEnd"/>
      <w:r>
        <w:t xml:space="preserve">. </w:t>
      </w:r>
      <w:proofErr w:type="spellStart"/>
      <w:r>
        <w:t>Fakat</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ve</w:t>
      </w:r>
      <w:proofErr w:type="spellEnd"/>
      <w:r>
        <w:t xml:space="preserve"> </w:t>
      </w:r>
      <w:proofErr w:type="spellStart"/>
      <w:r>
        <w:t>patolojik</w:t>
      </w:r>
      <w:proofErr w:type="spellEnd"/>
      <w:r>
        <w:t xml:space="preserve"> </w:t>
      </w:r>
      <w:proofErr w:type="spellStart"/>
      <w:r>
        <w:t>endişe</w:t>
      </w:r>
      <w:proofErr w:type="spellEnd"/>
      <w:r>
        <w:t xml:space="preserve"> </w:t>
      </w:r>
      <w:proofErr w:type="spellStart"/>
      <w:r>
        <w:t>için</w:t>
      </w:r>
      <w:proofErr w:type="spellEnd"/>
      <w:r>
        <w:t xml:space="preserve"> </w:t>
      </w:r>
      <w:proofErr w:type="spellStart"/>
      <w:r>
        <w:t>asıl</w:t>
      </w:r>
      <w:proofErr w:type="spellEnd"/>
      <w:r>
        <w:t xml:space="preserve"> </w:t>
      </w:r>
      <w:proofErr w:type="spellStart"/>
      <w:r>
        <w:t>ayırt</w:t>
      </w:r>
      <w:proofErr w:type="spellEnd"/>
      <w:r>
        <w:t xml:space="preserve"> </w:t>
      </w:r>
      <w:proofErr w:type="spellStart"/>
      <w:r>
        <w:t>edici</w:t>
      </w:r>
      <w:proofErr w:type="spellEnd"/>
      <w:r>
        <w:t xml:space="preserve"> </w:t>
      </w:r>
      <w:proofErr w:type="spellStart"/>
      <w:r>
        <w:t>unsur</w:t>
      </w:r>
      <w:proofErr w:type="spellEnd"/>
      <w:r>
        <w:t xml:space="preserve"> </w:t>
      </w:r>
      <w:proofErr w:type="spellStart"/>
      <w:r>
        <w:t>negatif</w:t>
      </w:r>
      <w:proofErr w:type="spellEnd"/>
      <w:r>
        <w:t xml:space="preserve"> </w:t>
      </w:r>
      <w:proofErr w:type="spellStart"/>
      <w:r>
        <w:t>metakognitif</w:t>
      </w:r>
      <w:proofErr w:type="spellEnd"/>
      <w:r>
        <w:t xml:space="preserve"> </w:t>
      </w:r>
      <w:proofErr w:type="spellStart"/>
      <w:r>
        <w:t>inançlardır</w:t>
      </w:r>
      <w:proofErr w:type="spellEnd"/>
      <w:r>
        <w:t xml:space="preserve">. Bu </w:t>
      </w:r>
      <w:proofErr w:type="spellStart"/>
      <w:r>
        <w:t>negatif</w:t>
      </w:r>
      <w:proofErr w:type="spellEnd"/>
      <w:r>
        <w:t xml:space="preserve"> </w:t>
      </w:r>
      <w:proofErr w:type="spellStart"/>
      <w:r>
        <w:t>metakognitif</w:t>
      </w:r>
      <w:proofErr w:type="spellEnd"/>
      <w:r>
        <w:t xml:space="preserve"> </w:t>
      </w:r>
      <w:proofErr w:type="spellStart"/>
      <w:r>
        <w:t>inançlar</w:t>
      </w:r>
      <w:proofErr w:type="spellEnd"/>
      <w:r>
        <w:t xml:space="preserve"> </w:t>
      </w:r>
      <w:proofErr w:type="spellStart"/>
      <w:r>
        <w:t>endişelenmenin</w:t>
      </w:r>
      <w:proofErr w:type="spellEnd"/>
      <w:r>
        <w:t xml:space="preserve"> </w:t>
      </w:r>
      <w:proofErr w:type="spellStart"/>
      <w:r>
        <w:t>kontrol</w:t>
      </w:r>
      <w:proofErr w:type="spellEnd"/>
      <w:r>
        <w:t xml:space="preserve"> </w:t>
      </w:r>
      <w:proofErr w:type="spellStart"/>
      <w:r>
        <w:t>edilemezliği</w:t>
      </w:r>
      <w:proofErr w:type="spellEnd"/>
      <w:r>
        <w:t xml:space="preserve"> </w:t>
      </w:r>
      <w:proofErr w:type="spellStart"/>
      <w:r>
        <w:t>ve</w:t>
      </w:r>
      <w:proofErr w:type="spellEnd"/>
      <w:r>
        <w:t xml:space="preserve"> </w:t>
      </w:r>
      <w:proofErr w:type="spellStart"/>
      <w:r>
        <w:t>endişelenmenin</w:t>
      </w:r>
      <w:proofErr w:type="spellEnd"/>
      <w:r>
        <w:t xml:space="preserve"> </w:t>
      </w:r>
      <w:proofErr w:type="spellStart"/>
      <w:r>
        <w:t>tehlikeliliği</w:t>
      </w:r>
      <w:proofErr w:type="spellEnd"/>
      <w:r>
        <w:t xml:space="preserve"> </w:t>
      </w:r>
      <w:proofErr w:type="spellStart"/>
      <w:r>
        <w:t>şeklinde</w:t>
      </w:r>
      <w:proofErr w:type="spellEnd"/>
      <w:r>
        <w:t xml:space="preserve"> </w:t>
      </w:r>
      <w:proofErr w:type="spellStart"/>
      <w:r>
        <w:t>iki</w:t>
      </w:r>
      <w:proofErr w:type="spellEnd"/>
      <w:r>
        <w:t xml:space="preserve"> </w:t>
      </w:r>
      <w:proofErr w:type="spellStart"/>
      <w:r>
        <w:t>gruba</w:t>
      </w:r>
      <w:proofErr w:type="spellEnd"/>
      <w:r>
        <w:t xml:space="preserve"> </w:t>
      </w:r>
      <w:proofErr w:type="spellStart"/>
      <w:r>
        <w:t>ayrılmaktadırlar</w:t>
      </w:r>
      <w:proofErr w:type="spellEnd"/>
      <w:r>
        <w:t xml:space="preserve">. </w:t>
      </w:r>
      <w:proofErr w:type="spellStart"/>
      <w:r>
        <w:t>Negatif</w:t>
      </w:r>
      <w:proofErr w:type="spellEnd"/>
      <w:r>
        <w:t xml:space="preserve"> </w:t>
      </w:r>
      <w:proofErr w:type="spellStart"/>
      <w:r>
        <w:t>metakognitif</w:t>
      </w:r>
      <w:proofErr w:type="spellEnd"/>
      <w:r>
        <w:t xml:space="preserve"> </w:t>
      </w:r>
      <w:proofErr w:type="spellStart"/>
      <w:r>
        <w:t>inançların</w:t>
      </w:r>
      <w:proofErr w:type="spellEnd"/>
      <w:r>
        <w:t xml:space="preserve"> </w:t>
      </w:r>
      <w:proofErr w:type="spellStart"/>
      <w:r>
        <w:t>aktive</w:t>
      </w:r>
      <w:proofErr w:type="spellEnd"/>
      <w:r>
        <w:t xml:space="preserve"> </w:t>
      </w:r>
      <w:proofErr w:type="spellStart"/>
      <w:r>
        <w:t>olması</w:t>
      </w:r>
      <w:proofErr w:type="spellEnd"/>
      <w:r>
        <w:t xml:space="preserve">, </w:t>
      </w:r>
      <w:proofErr w:type="spellStart"/>
      <w:r>
        <w:t>endişenin</w:t>
      </w:r>
      <w:proofErr w:type="spellEnd"/>
      <w:r>
        <w:t xml:space="preserve"> </w:t>
      </w:r>
      <w:proofErr w:type="spellStart"/>
      <w:r>
        <w:t>olumsuz</w:t>
      </w:r>
      <w:proofErr w:type="spellEnd"/>
      <w:r>
        <w:t xml:space="preserve"> </w:t>
      </w:r>
      <w:proofErr w:type="spellStart"/>
      <w:r>
        <w:t>algılanmasına</w:t>
      </w:r>
      <w:proofErr w:type="spellEnd"/>
      <w:r>
        <w:t xml:space="preserve"> </w:t>
      </w:r>
      <w:proofErr w:type="spellStart"/>
      <w:r>
        <w:t>ve</w:t>
      </w:r>
      <w:proofErr w:type="spellEnd"/>
      <w:r>
        <w:t xml:space="preserve"> </w:t>
      </w:r>
      <w:proofErr w:type="spellStart"/>
      <w:r>
        <w:t>kişinin</w:t>
      </w:r>
      <w:proofErr w:type="spellEnd"/>
      <w:r>
        <w:t xml:space="preserve"> </w:t>
      </w:r>
      <w:proofErr w:type="spellStart"/>
      <w:r>
        <w:t>endişe</w:t>
      </w:r>
      <w:proofErr w:type="spellEnd"/>
      <w:r>
        <w:t xml:space="preserve"> </w:t>
      </w:r>
      <w:proofErr w:type="spellStart"/>
      <w:r>
        <w:t>hakkında</w:t>
      </w:r>
      <w:proofErr w:type="spellEnd"/>
      <w:r>
        <w:t xml:space="preserve"> </w:t>
      </w:r>
      <w:proofErr w:type="spellStart"/>
      <w:r>
        <w:t>endişe</w:t>
      </w:r>
      <w:proofErr w:type="spellEnd"/>
      <w:r>
        <w:t xml:space="preserve"> (meta-</w:t>
      </w:r>
      <w:proofErr w:type="spellStart"/>
      <w:r>
        <w:t>endişe</w:t>
      </w:r>
      <w:proofErr w:type="spellEnd"/>
      <w:r>
        <w:t xml:space="preserve">) </w:t>
      </w:r>
      <w:proofErr w:type="spellStart"/>
      <w:r>
        <w:t>duymasına</w:t>
      </w:r>
      <w:proofErr w:type="spellEnd"/>
      <w:r>
        <w:t xml:space="preserve"> </w:t>
      </w:r>
      <w:proofErr w:type="spellStart"/>
      <w:r>
        <w:t>sebep</w:t>
      </w:r>
      <w:proofErr w:type="spellEnd"/>
      <w:r>
        <w:t xml:space="preserve"> </w:t>
      </w:r>
      <w:proofErr w:type="spellStart"/>
      <w:r>
        <w:t>olmaktadır</w:t>
      </w:r>
      <w:proofErr w:type="spellEnd"/>
      <w:r>
        <w:t xml:space="preserve"> </w:t>
      </w:r>
      <w:proofErr w:type="spellStart"/>
      <w:r>
        <w:t>ve</w:t>
      </w:r>
      <w:proofErr w:type="spellEnd"/>
      <w:r>
        <w:t xml:space="preserve"> </w:t>
      </w:r>
      <w:proofErr w:type="spellStart"/>
      <w:r>
        <w:t>anksiyete</w:t>
      </w:r>
      <w:proofErr w:type="spellEnd"/>
      <w:r>
        <w:t xml:space="preserve"> </w:t>
      </w:r>
      <w:proofErr w:type="spellStart"/>
      <w:r>
        <w:t>düzeyini</w:t>
      </w:r>
      <w:proofErr w:type="spellEnd"/>
      <w:r>
        <w:t xml:space="preserve"> </w:t>
      </w:r>
      <w:proofErr w:type="spellStart"/>
      <w:r>
        <w:t>daha</w:t>
      </w:r>
      <w:proofErr w:type="spellEnd"/>
      <w:r>
        <w:t xml:space="preserve"> da </w:t>
      </w:r>
      <w:proofErr w:type="spellStart"/>
      <w:r>
        <w:t>artırmaktadır</w:t>
      </w:r>
      <w:proofErr w:type="spellEnd"/>
      <w:r>
        <w:t xml:space="preserve">. </w:t>
      </w:r>
      <w:proofErr w:type="spellStart"/>
      <w:r w:rsidRPr="00AB7B43">
        <w:t>Endişelenmek</w:t>
      </w:r>
      <w:proofErr w:type="spellEnd"/>
      <w:r w:rsidRPr="00AB7B43">
        <w:t xml:space="preserve"> </w:t>
      </w:r>
      <w:r>
        <w:t xml:space="preserve">ilk </w:t>
      </w:r>
      <w:proofErr w:type="spellStart"/>
      <w:r>
        <w:t>olarak</w:t>
      </w:r>
      <w:proofErr w:type="spellEnd"/>
      <w:r>
        <w:t xml:space="preserve"> </w:t>
      </w:r>
      <w:proofErr w:type="spellStart"/>
      <w:r w:rsidRPr="00AB7B43">
        <w:t>baş</w:t>
      </w:r>
      <w:proofErr w:type="spellEnd"/>
      <w:r w:rsidRPr="00AB7B43">
        <w:t xml:space="preserve"> </w:t>
      </w:r>
      <w:proofErr w:type="spellStart"/>
      <w:r w:rsidRPr="00AB7B43">
        <w:t>etme</w:t>
      </w:r>
      <w:proofErr w:type="spellEnd"/>
      <w:r w:rsidRPr="00AB7B43">
        <w:t xml:space="preserve"> </w:t>
      </w:r>
      <w:proofErr w:type="spellStart"/>
      <w:r w:rsidRPr="00AB7B43">
        <w:t>stratejisi</w:t>
      </w:r>
      <w:proofErr w:type="spellEnd"/>
      <w:r w:rsidRPr="00AB7B43">
        <w:t xml:space="preserve"> </w:t>
      </w:r>
      <w:proofErr w:type="spellStart"/>
      <w:r>
        <w:t>şeklinde</w:t>
      </w:r>
      <w:proofErr w:type="spellEnd"/>
      <w:r w:rsidRPr="00AB7B43">
        <w:t xml:space="preserve"> </w:t>
      </w:r>
      <w:proofErr w:type="spellStart"/>
      <w:r w:rsidRPr="00AB7B43">
        <w:t>görül</w:t>
      </w:r>
      <w:r>
        <w:t>ebilmektedir</w:t>
      </w:r>
      <w:proofErr w:type="spellEnd"/>
      <w:r>
        <w:t xml:space="preserve"> </w:t>
      </w:r>
      <w:proofErr w:type="spellStart"/>
      <w:r>
        <w:t>ancak</w:t>
      </w:r>
      <w:proofErr w:type="spellEnd"/>
      <w:r>
        <w:t xml:space="preserve"> </w:t>
      </w:r>
      <w:proofErr w:type="spellStart"/>
      <w:r w:rsidRPr="00AB7B43">
        <w:t>bir</w:t>
      </w:r>
      <w:proofErr w:type="spellEnd"/>
      <w:r w:rsidRPr="00AB7B43">
        <w:t xml:space="preserve"> </w:t>
      </w:r>
      <w:proofErr w:type="spellStart"/>
      <w:r w:rsidRPr="00AB7B43">
        <w:t>süre</w:t>
      </w:r>
      <w:proofErr w:type="spellEnd"/>
      <w:r w:rsidRPr="00AB7B43">
        <w:t xml:space="preserve"> </w:t>
      </w:r>
      <w:proofErr w:type="spellStart"/>
      <w:r w:rsidRPr="00AB7B43">
        <w:t>sonra</w:t>
      </w:r>
      <w:proofErr w:type="spellEnd"/>
      <w:r w:rsidRPr="00AB7B43">
        <w:t xml:space="preserve"> </w:t>
      </w:r>
      <w:proofErr w:type="spellStart"/>
      <w:r w:rsidRPr="00AB7B43">
        <w:t>kişi</w:t>
      </w:r>
      <w:proofErr w:type="spellEnd"/>
      <w:r w:rsidRPr="00AB7B43">
        <w:t xml:space="preserve"> </w:t>
      </w:r>
      <w:proofErr w:type="spellStart"/>
      <w:r w:rsidRPr="00AB7B43">
        <w:t>endişelenme</w:t>
      </w:r>
      <w:proofErr w:type="spellEnd"/>
      <w:r w:rsidRPr="00AB7B43">
        <w:t xml:space="preserve"> </w:t>
      </w:r>
      <w:proofErr w:type="spellStart"/>
      <w:r w:rsidRPr="00AB7B43">
        <w:t>sürecinin</w:t>
      </w:r>
      <w:proofErr w:type="spellEnd"/>
      <w:r w:rsidRPr="00AB7B43">
        <w:t xml:space="preserve"> </w:t>
      </w:r>
      <w:proofErr w:type="spellStart"/>
      <w:r w:rsidRPr="00AB7B43">
        <w:t>kendisi</w:t>
      </w:r>
      <w:proofErr w:type="spellEnd"/>
      <w:r>
        <w:t xml:space="preserve"> </w:t>
      </w:r>
      <w:proofErr w:type="spellStart"/>
      <w:r>
        <w:t>ile</w:t>
      </w:r>
      <w:proofErr w:type="spellEnd"/>
      <w:r>
        <w:t xml:space="preserve"> </w:t>
      </w:r>
      <w:proofErr w:type="spellStart"/>
      <w:r>
        <w:t>ilgili</w:t>
      </w:r>
      <w:proofErr w:type="spellEnd"/>
      <w:r>
        <w:t xml:space="preserve"> </w:t>
      </w:r>
      <w:proofErr w:type="spellStart"/>
      <w:r>
        <w:t>olarak</w:t>
      </w:r>
      <w:proofErr w:type="spellEnd"/>
      <w:r>
        <w:t xml:space="preserve"> da</w:t>
      </w:r>
      <w:r w:rsidRPr="00AB7B43">
        <w:t xml:space="preserve"> </w:t>
      </w:r>
      <w:proofErr w:type="spellStart"/>
      <w:r w:rsidRPr="00AB7B43">
        <w:t>endişelenmeye</w:t>
      </w:r>
      <w:proofErr w:type="spellEnd"/>
      <w:r w:rsidRPr="00AB7B43">
        <w:t xml:space="preserve"> </w:t>
      </w:r>
      <w:proofErr w:type="spellStart"/>
      <w:r w:rsidRPr="00AB7B43">
        <w:t>başlayabilmektedir</w:t>
      </w:r>
      <w:proofErr w:type="spellEnd"/>
      <w:r w:rsidRPr="00AB7B43">
        <w:t xml:space="preserve">. </w:t>
      </w:r>
      <w:r>
        <w:t xml:space="preserve">Bu durum </w:t>
      </w:r>
      <w:proofErr w:type="spellStart"/>
      <w:r>
        <w:t>bir</w:t>
      </w:r>
      <w:proofErr w:type="spellEnd"/>
      <w:r>
        <w:t xml:space="preserve"> </w:t>
      </w:r>
      <w:proofErr w:type="spellStart"/>
      <w:r>
        <w:t>kısırdöngüye</w:t>
      </w:r>
      <w:proofErr w:type="spellEnd"/>
      <w:r>
        <w:t xml:space="preserve"> </w:t>
      </w:r>
      <w:proofErr w:type="spellStart"/>
      <w:r>
        <w:t>neden</w:t>
      </w:r>
      <w:proofErr w:type="spellEnd"/>
      <w:r>
        <w:t xml:space="preserve"> </w:t>
      </w:r>
      <w:proofErr w:type="spellStart"/>
      <w:r>
        <w:t>olarak</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bozukluğuna</w:t>
      </w:r>
      <w:proofErr w:type="spellEnd"/>
      <w:r>
        <w:t xml:space="preserve"> </w:t>
      </w:r>
      <w:proofErr w:type="spellStart"/>
      <w:r>
        <w:t>yol</w:t>
      </w:r>
      <w:proofErr w:type="spellEnd"/>
      <w:r>
        <w:t xml:space="preserve"> </w:t>
      </w:r>
      <w:proofErr w:type="spellStart"/>
      <w:r>
        <w:t>açabilmektedir</w:t>
      </w:r>
      <w:proofErr w:type="spellEnd"/>
      <w:r>
        <w:t xml:space="preserve">. </w:t>
      </w:r>
      <w:proofErr w:type="spellStart"/>
      <w:r>
        <w:t>Özetle</w:t>
      </w:r>
      <w:proofErr w:type="spellEnd"/>
      <w:r>
        <w:t xml:space="preserve"> meta-</w:t>
      </w:r>
      <w:proofErr w:type="spellStart"/>
      <w:r>
        <w:t>endişe</w:t>
      </w:r>
      <w:proofErr w:type="spellEnd"/>
      <w:r>
        <w:t xml:space="preserve"> </w:t>
      </w:r>
      <w:proofErr w:type="spellStart"/>
      <w:r>
        <w:t>bir</w:t>
      </w:r>
      <w:proofErr w:type="spellEnd"/>
      <w:r>
        <w:t xml:space="preserve"> </w:t>
      </w:r>
      <w:proofErr w:type="spellStart"/>
      <w:r>
        <w:t>diğer</w:t>
      </w:r>
      <w:proofErr w:type="spellEnd"/>
      <w:r>
        <w:t xml:space="preserve"> </w:t>
      </w:r>
      <w:proofErr w:type="spellStart"/>
      <w:r>
        <w:t>adıyla</w:t>
      </w:r>
      <w:proofErr w:type="spellEnd"/>
      <w:r>
        <w:t xml:space="preserve"> tip 2 </w:t>
      </w:r>
      <w:proofErr w:type="spellStart"/>
      <w:r>
        <w:t>endişe</w:t>
      </w:r>
      <w:proofErr w:type="spellEnd"/>
      <w:r>
        <w:t xml:space="preserve">, </w:t>
      </w:r>
      <w:proofErr w:type="spellStart"/>
      <w:r>
        <w:t>kişinin</w:t>
      </w:r>
      <w:proofErr w:type="spellEnd"/>
      <w:r>
        <w:t xml:space="preserve"> </w:t>
      </w:r>
      <w:proofErr w:type="spellStart"/>
      <w:r>
        <w:t>endişelenmeyi</w:t>
      </w:r>
      <w:proofErr w:type="spellEnd"/>
      <w:r>
        <w:t xml:space="preserve"> </w:t>
      </w:r>
      <w:proofErr w:type="spellStart"/>
      <w:r>
        <w:t>olumsuz</w:t>
      </w:r>
      <w:proofErr w:type="spellEnd"/>
      <w:r>
        <w:t xml:space="preserve"> </w:t>
      </w:r>
      <w:proofErr w:type="spellStart"/>
      <w:r>
        <w:t>bir</w:t>
      </w:r>
      <w:proofErr w:type="spellEnd"/>
      <w:r>
        <w:t xml:space="preserve"> </w:t>
      </w:r>
      <w:proofErr w:type="spellStart"/>
      <w:r>
        <w:t>kavram</w:t>
      </w:r>
      <w:proofErr w:type="spellEnd"/>
      <w:r>
        <w:t xml:space="preserve"> </w:t>
      </w:r>
      <w:proofErr w:type="spellStart"/>
      <w:r>
        <w:t>şeklinde</w:t>
      </w:r>
      <w:proofErr w:type="spellEnd"/>
      <w:r>
        <w:t xml:space="preserve"> </w:t>
      </w:r>
      <w:proofErr w:type="spellStart"/>
      <w:r>
        <w:t>değerlendirerek</w:t>
      </w:r>
      <w:proofErr w:type="spellEnd"/>
      <w:r>
        <w:t xml:space="preserve"> </w:t>
      </w:r>
      <w:proofErr w:type="spellStart"/>
      <w:r>
        <w:t>endişelenmenin</w:t>
      </w:r>
      <w:proofErr w:type="spellEnd"/>
      <w:r>
        <w:t xml:space="preserve"> </w:t>
      </w:r>
      <w:proofErr w:type="spellStart"/>
      <w:r>
        <w:t>kendisi</w:t>
      </w:r>
      <w:proofErr w:type="spellEnd"/>
      <w:r>
        <w:t xml:space="preserve"> </w:t>
      </w:r>
      <w:proofErr w:type="spellStart"/>
      <w:r>
        <w:t>ve</w:t>
      </w:r>
      <w:proofErr w:type="spellEnd"/>
      <w:r>
        <w:t xml:space="preserve"> </w:t>
      </w:r>
      <w:proofErr w:type="spellStart"/>
      <w:r>
        <w:t>sonuçları</w:t>
      </w:r>
      <w:proofErr w:type="spellEnd"/>
      <w:r>
        <w:t xml:space="preserve"> </w:t>
      </w:r>
      <w:proofErr w:type="spellStart"/>
      <w:r>
        <w:t>hakkında</w:t>
      </w:r>
      <w:proofErr w:type="spellEnd"/>
      <w:r>
        <w:t xml:space="preserve"> </w:t>
      </w:r>
      <w:proofErr w:type="spellStart"/>
      <w:r>
        <w:t>endişelenmesi</w:t>
      </w:r>
      <w:proofErr w:type="spellEnd"/>
      <w:r>
        <w:t xml:space="preserve"> </w:t>
      </w:r>
      <w:proofErr w:type="spellStart"/>
      <w:r>
        <w:t>yani</w:t>
      </w:r>
      <w:proofErr w:type="spellEnd"/>
      <w:r>
        <w:t xml:space="preserve"> </w:t>
      </w:r>
      <w:proofErr w:type="spellStart"/>
      <w:r>
        <w:t>endişelenmenin</w:t>
      </w:r>
      <w:proofErr w:type="spellEnd"/>
      <w:r>
        <w:t xml:space="preserve"> </w:t>
      </w:r>
      <w:proofErr w:type="spellStart"/>
      <w:r>
        <w:t>kendisini</w:t>
      </w:r>
      <w:proofErr w:type="spellEnd"/>
      <w:r>
        <w:t xml:space="preserve"> </w:t>
      </w:r>
      <w:proofErr w:type="spellStart"/>
      <w:r>
        <w:t>ve</w:t>
      </w:r>
      <w:proofErr w:type="spellEnd"/>
      <w:r>
        <w:t xml:space="preserve"> </w:t>
      </w:r>
      <w:proofErr w:type="spellStart"/>
      <w:r>
        <w:t>sonuçlarını</w:t>
      </w:r>
      <w:proofErr w:type="spellEnd"/>
      <w:r>
        <w:t xml:space="preserve"> </w:t>
      </w:r>
      <w:proofErr w:type="spellStart"/>
      <w:r>
        <w:t>bir</w:t>
      </w:r>
      <w:proofErr w:type="spellEnd"/>
      <w:r>
        <w:t xml:space="preserve"> </w:t>
      </w:r>
      <w:proofErr w:type="spellStart"/>
      <w:r>
        <w:t>tehdit</w:t>
      </w:r>
      <w:proofErr w:type="spellEnd"/>
      <w:r>
        <w:t xml:space="preserve"> </w:t>
      </w:r>
      <w:proofErr w:type="spellStart"/>
      <w:r>
        <w:t>olarak</w:t>
      </w:r>
      <w:proofErr w:type="spellEnd"/>
      <w:r>
        <w:t xml:space="preserve"> </w:t>
      </w:r>
      <w:proofErr w:type="spellStart"/>
      <w:r>
        <w:t>görmesidir</w:t>
      </w:r>
      <w:proofErr w:type="spellEnd"/>
      <w:r>
        <w:t>. (Wells, 2011).</w:t>
      </w:r>
    </w:p>
    <w:p w14:paraId="0499E2A6" w14:textId="77777777" w:rsidR="007513A1" w:rsidRDefault="007513A1" w:rsidP="007513A1">
      <w:pPr>
        <w:pStyle w:val="NormalWeb"/>
        <w:spacing w:before="0" w:beforeAutospacing="0" w:after="0" w:afterAutospacing="0"/>
        <w:jc w:val="both"/>
      </w:pPr>
    </w:p>
    <w:p w14:paraId="5ADCD963" w14:textId="77777777" w:rsidR="00B470AD" w:rsidRDefault="00B470AD" w:rsidP="007513A1">
      <w:pPr>
        <w:pStyle w:val="NormalWeb"/>
        <w:spacing w:before="0" w:beforeAutospacing="0" w:after="0" w:afterAutospacing="0"/>
        <w:jc w:val="both"/>
      </w:pP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modeli</w:t>
      </w:r>
      <w:proofErr w:type="spellEnd"/>
      <w:r>
        <w:t xml:space="preserve"> </w:t>
      </w:r>
      <w:proofErr w:type="spellStart"/>
      <w:r>
        <w:t>yalnızca</w:t>
      </w:r>
      <w:proofErr w:type="spellEnd"/>
      <w:r>
        <w:t xml:space="preserve"> </w:t>
      </w:r>
      <w:proofErr w:type="spellStart"/>
      <w:r>
        <w:t>kaygıya</w:t>
      </w:r>
      <w:proofErr w:type="spellEnd"/>
      <w:r>
        <w:t xml:space="preserve"> </w:t>
      </w:r>
      <w:proofErr w:type="spellStart"/>
      <w:r>
        <w:t>özgü</w:t>
      </w:r>
      <w:proofErr w:type="spellEnd"/>
      <w:r>
        <w:t xml:space="preserve"> </w:t>
      </w:r>
      <w:proofErr w:type="spellStart"/>
      <w:r>
        <w:t>bir</w:t>
      </w:r>
      <w:proofErr w:type="spellEnd"/>
      <w:r>
        <w:t xml:space="preserve"> </w:t>
      </w:r>
      <w:proofErr w:type="spellStart"/>
      <w:r>
        <w:t>bilişsel</w:t>
      </w:r>
      <w:proofErr w:type="spellEnd"/>
      <w:r>
        <w:t xml:space="preserve"> </w:t>
      </w:r>
      <w:proofErr w:type="spellStart"/>
      <w:r>
        <w:t>hassasiyettir</w:t>
      </w:r>
      <w:proofErr w:type="spellEnd"/>
      <w:r>
        <w:t xml:space="preserve"> (</w:t>
      </w:r>
      <w:proofErr w:type="spellStart"/>
      <w:r>
        <w:t>Riskind</w:t>
      </w:r>
      <w:proofErr w:type="spellEnd"/>
      <w:r>
        <w:t xml:space="preserve">, 1997). </w:t>
      </w:r>
      <w:proofErr w:type="spellStart"/>
      <w:r>
        <w:t>Riskind</w:t>
      </w:r>
      <w:proofErr w:type="spellEnd"/>
      <w:r>
        <w:t xml:space="preserve"> </w:t>
      </w:r>
      <w:proofErr w:type="spellStart"/>
      <w:r>
        <w:t>ve</w:t>
      </w:r>
      <w:proofErr w:type="spellEnd"/>
      <w:r>
        <w:t xml:space="preserve"> </w:t>
      </w:r>
      <w:proofErr w:type="spellStart"/>
      <w:r>
        <w:t>arkadaşlarına</w:t>
      </w:r>
      <w:proofErr w:type="spellEnd"/>
      <w:r>
        <w:t xml:space="preserve"> (2000) </w:t>
      </w:r>
      <w:proofErr w:type="spellStart"/>
      <w:r>
        <w:t>göre</w:t>
      </w:r>
      <w:proofErr w:type="spellEnd"/>
      <w:r>
        <w:t xml:space="preserve"> </w:t>
      </w:r>
      <w:proofErr w:type="spellStart"/>
      <w:r>
        <w:t>kişi</w:t>
      </w:r>
      <w:proofErr w:type="spellEnd"/>
      <w:r>
        <w:t xml:space="preserve"> </w:t>
      </w:r>
      <w:proofErr w:type="spellStart"/>
      <w:r>
        <w:t>tehdit</w:t>
      </w:r>
      <w:proofErr w:type="spellEnd"/>
      <w:r>
        <w:t xml:space="preserve"> </w:t>
      </w:r>
      <w:proofErr w:type="spellStart"/>
      <w:r>
        <w:t>olasılığı</w:t>
      </w:r>
      <w:proofErr w:type="spellEnd"/>
      <w:r>
        <w:t xml:space="preserve"> </w:t>
      </w:r>
      <w:proofErr w:type="spellStart"/>
      <w:r>
        <w:t>bulunan</w:t>
      </w:r>
      <w:proofErr w:type="spellEnd"/>
      <w:r>
        <w:t xml:space="preserve"> </w:t>
      </w:r>
      <w:proofErr w:type="spellStart"/>
      <w:r>
        <w:t>bir</w:t>
      </w:r>
      <w:proofErr w:type="spellEnd"/>
      <w:r>
        <w:t xml:space="preserve"> </w:t>
      </w:r>
      <w:proofErr w:type="spellStart"/>
      <w:r>
        <w:t>uyaranla</w:t>
      </w:r>
      <w:proofErr w:type="spellEnd"/>
      <w:r>
        <w:t xml:space="preserve"> </w:t>
      </w:r>
      <w:proofErr w:type="spellStart"/>
      <w:r>
        <w:t>karşılaştığında</w:t>
      </w:r>
      <w:proofErr w:type="spellEnd"/>
      <w:r>
        <w:t xml:space="preserve"> </w:t>
      </w:r>
      <w:proofErr w:type="spellStart"/>
      <w:r>
        <w:t>bu</w:t>
      </w:r>
      <w:proofErr w:type="spellEnd"/>
      <w:r>
        <w:t xml:space="preserve"> </w:t>
      </w:r>
      <w:proofErr w:type="spellStart"/>
      <w:r>
        <w:t>uyarana</w:t>
      </w:r>
      <w:proofErr w:type="spellEnd"/>
      <w:r>
        <w:t xml:space="preserve"> </w:t>
      </w:r>
      <w:proofErr w:type="spellStart"/>
      <w:r>
        <w:t>dair</w:t>
      </w:r>
      <w:proofErr w:type="spellEnd"/>
      <w:r>
        <w:t xml:space="preserve"> </w:t>
      </w:r>
      <w:proofErr w:type="spellStart"/>
      <w:r>
        <w:t>belirleyici</w:t>
      </w:r>
      <w:proofErr w:type="spellEnd"/>
      <w:r>
        <w:t xml:space="preserve"> </w:t>
      </w:r>
      <w:proofErr w:type="spellStart"/>
      <w:r>
        <w:t>olan</w:t>
      </w:r>
      <w:proofErr w:type="spellEnd"/>
      <w:r>
        <w:t xml:space="preserve"> </w:t>
      </w:r>
      <w:proofErr w:type="spellStart"/>
      <w:r>
        <w:t>bilgilere</w:t>
      </w:r>
      <w:proofErr w:type="spellEnd"/>
      <w:r>
        <w:t xml:space="preserve"> </w:t>
      </w:r>
      <w:proofErr w:type="spellStart"/>
      <w:r>
        <w:t>erişmeye</w:t>
      </w:r>
      <w:proofErr w:type="spellEnd"/>
      <w:r>
        <w:t xml:space="preserve"> </w:t>
      </w:r>
      <w:proofErr w:type="spellStart"/>
      <w:r>
        <w:t>ihtiyaç</w:t>
      </w:r>
      <w:proofErr w:type="spellEnd"/>
      <w:r>
        <w:t xml:space="preserve"> </w:t>
      </w:r>
      <w:proofErr w:type="spellStart"/>
      <w:r>
        <w:t>duyar</w:t>
      </w:r>
      <w:proofErr w:type="spellEnd"/>
      <w:r>
        <w:t xml:space="preserve">. Bu </w:t>
      </w:r>
      <w:proofErr w:type="spellStart"/>
      <w:r>
        <w:t>modele</w:t>
      </w:r>
      <w:proofErr w:type="spellEnd"/>
      <w:r>
        <w:t xml:space="preserve"> </w:t>
      </w:r>
      <w:proofErr w:type="spellStart"/>
      <w:r>
        <w:t>göre</w:t>
      </w:r>
      <w:proofErr w:type="spellEnd"/>
      <w:r>
        <w:t xml:space="preserve">, </w:t>
      </w:r>
      <w:proofErr w:type="spellStart"/>
      <w:r>
        <w:t>kaygıya</w:t>
      </w:r>
      <w:proofErr w:type="spellEnd"/>
      <w:r>
        <w:t xml:space="preserve"> </w:t>
      </w:r>
      <w:proofErr w:type="spellStart"/>
      <w:r>
        <w:t>yatkın</w:t>
      </w:r>
      <w:proofErr w:type="spellEnd"/>
      <w:r>
        <w:t xml:space="preserve"> </w:t>
      </w:r>
      <w:proofErr w:type="spellStart"/>
      <w:r>
        <w:t>olan</w:t>
      </w:r>
      <w:proofErr w:type="spellEnd"/>
      <w:r>
        <w:t xml:space="preserve"> </w:t>
      </w:r>
      <w:proofErr w:type="spellStart"/>
      <w:r>
        <w:t>kişiler</w:t>
      </w:r>
      <w:proofErr w:type="spellEnd"/>
      <w:r>
        <w:t xml:space="preserve"> </w:t>
      </w:r>
      <w:proofErr w:type="spellStart"/>
      <w:r>
        <w:t>tehdit</w:t>
      </w:r>
      <w:proofErr w:type="spellEnd"/>
      <w:r>
        <w:t xml:space="preserve"> </w:t>
      </w:r>
      <w:proofErr w:type="spellStart"/>
      <w:r>
        <w:t>içeren</w:t>
      </w:r>
      <w:proofErr w:type="spellEnd"/>
      <w:r>
        <w:t xml:space="preserve"> </w:t>
      </w:r>
      <w:proofErr w:type="spellStart"/>
      <w:r>
        <w:t>bir</w:t>
      </w:r>
      <w:proofErr w:type="spellEnd"/>
      <w:r>
        <w:t xml:space="preserve"> </w:t>
      </w:r>
      <w:proofErr w:type="spellStart"/>
      <w:r>
        <w:t>uyaranı</w:t>
      </w:r>
      <w:proofErr w:type="spellEnd"/>
      <w:r>
        <w:t xml:space="preserve">, </w:t>
      </w:r>
      <w:proofErr w:type="spellStart"/>
      <w:r>
        <w:t>sürekli</w:t>
      </w:r>
      <w:proofErr w:type="spellEnd"/>
      <w:r>
        <w:t xml:space="preserve"> </w:t>
      </w:r>
      <w:proofErr w:type="spellStart"/>
      <w:r>
        <w:t>ve</w:t>
      </w:r>
      <w:proofErr w:type="spellEnd"/>
      <w:r>
        <w:t xml:space="preserve"> </w:t>
      </w:r>
      <w:proofErr w:type="spellStart"/>
      <w:r>
        <w:t>hızlı</w:t>
      </w:r>
      <w:proofErr w:type="spellEnd"/>
      <w:r>
        <w:t xml:space="preserve"> </w:t>
      </w:r>
      <w:proofErr w:type="spellStart"/>
      <w:r>
        <w:t>bir</w:t>
      </w:r>
      <w:proofErr w:type="spellEnd"/>
      <w:r>
        <w:t xml:space="preserve"> </w:t>
      </w:r>
      <w:proofErr w:type="spellStart"/>
      <w:r>
        <w:t>şekilde</w:t>
      </w:r>
      <w:proofErr w:type="spellEnd"/>
      <w:r>
        <w:t xml:space="preserve"> </w:t>
      </w:r>
      <w:proofErr w:type="spellStart"/>
      <w:r>
        <w:t>yaklaşan</w:t>
      </w:r>
      <w:proofErr w:type="spellEnd"/>
      <w:r>
        <w:t xml:space="preserve"> </w:t>
      </w:r>
      <w:proofErr w:type="spellStart"/>
      <w:r>
        <w:t>ve</w:t>
      </w:r>
      <w:proofErr w:type="spellEnd"/>
      <w:r>
        <w:t xml:space="preserve"> </w:t>
      </w:r>
      <w:proofErr w:type="spellStart"/>
      <w:r>
        <w:t>tehdit</w:t>
      </w:r>
      <w:proofErr w:type="spellEnd"/>
      <w:r>
        <w:t xml:space="preserve"> </w:t>
      </w:r>
      <w:proofErr w:type="spellStart"/>
      <w:r>
        <w:t>derecesi</w:t>
      </w:r>
      <w:proofErr w:type="spellEnd"/>
      <w:r>
        <w:t xml:space="preserve"> her </w:t>
      </w:r>
      <w:proofErr w:type="spellStart"/>
      <w:r>
        <w:t>geçen</w:t>
      </w:r>
      <w:proofErr w:type="spellEnd"/>
      <w:r>
        <w:t xml:space="preserve"> </w:t>
      </w:r>
      <w:proofErr w:type="spellStart"/>
      <w:r>
        <w:t>dakika</w:t>
      </w:r>
      <w:proofErr w:type="spellEnd"/>
      <w:r>
        <w:t xml:space="preserve"> </w:t>
      </w:r>
      <w:proofErr w:type="spellStart"/>
      <w:r>
        <w:t>artan</w:t>
      </w:r>
      <w:proofErr w:type="spellEnd"/>
      <w:r>
        <w:t xml:space="preserve"> </w:t>
      </w:r>
      <w:proofErr w:type="spellStart"/>
      <w:r>
        <w:t>bir</w:t>
      </w:r>
      <w:proofErr w:type="spellEnd"/>
      <w:r>
        <w:t xml:space="preserve"> </w:t>
      </w:r>
      <w:proofErr w:type="spellStart"/>
      <w:r>
        <w:t>uyaran</w:t>
      </w:r>
      <w:proofErr w:type="spellEnd"/>
      <w:r>
        <w:t xml:space="preserve"> </w:t>
      </w:r>
      <w:proofErr w:type="spellStart"/>
      <w:r>
        <w:t>olarak</w:t>
      </w:r>
      <w:proofErr w:type="spellEnd"/>
      <w:r>
        <w:t xml:space="preserve"> </w:t>
      </w:r>
      <w:proofErr w:type="spellStart"/>
      <w:r>
        <w:t>algılama</w:t>
      </w:r>
      <w:proofErr w:type="spellEnd"/>
      <w:r>
        <w:t xml:space="preserve"> </w:t>
      </w:r>
      <w:proofErr w:type="spellStart"/>
      <w:r>
        <w:t>ve</w:t>
      </w:r>
      <w:proofErr w:type="spellEnd"/>
      <w:r>
        <w:t xml:space="preserve"> </w:t>
      </w:r>
      <w:proofErr w:type="spellStart"/>
      <w:r>
        <w:t>yorumlama</w:t>
      </w:r>
      <w:proofErr w:type="spellEnd"/>
      <w:r>
        <w:t xml:space="preserve"> </w:t>
      </w:r>
      <w:proofErr w:type="spellStart"/>
      <w:r>
        <w:t>eğilimindedirler</w:t>
      </w:r>
      <w:proofErr w:type="spellEnd"/>
      <w:r>
        <w:t xml:space="preserve">. Bu </w:t>
      </w:r>
      <w:proofErr w:type="spellStart"/>
      <w:r>
        <w:t>kavram</w:t>
      </w:r>
      <w:proofErr w:type="spellEnd"/>
      <w:r>
        <w:t xml:space="preserve"> </w:t>
      </w:r>
      <w:proofErr w:type="spellStart"/>
      <w:r>
        <w:t>anksiyete</w:t>
      </w:r>
      <w:proofErr w:type="spellEnd"/>
      <w:r>
        <w:t xml:space="preserve"> </w:t>
      </w:r>
      <w:proofErr w:type="spellStart"/>
      <w:r>
        <w:t>bozukluklarının</w:t>
      </w:r>
      <w:proofErr w:type="spellEnd"/>
      <w:r>
        <w:t xml:space="preserve"> </w:t>
      </w:r>
      <w:proofErr w:type="spellStart"/>
      <w:r>
        <w:t>oluşmasında</w:t>
      </w:r>
      <w:proofErr w:type="spellEnd"/>
      <w:r>
        <w:t xml:space="preserve"> </w:t>
      </w:r>
      <w:proofErr w:type="spellStart"/>
      <w:r>
        <w:t>oldukça</w:t>
      </w:r>
      <w:proofErr w:type="spellEnd"/>
      <w:r>
        <w:t xml:space="preserve"> </w:t>
      </w:r>
      <w:proofErr w:type="spellStart"/>
      <w:r>
        <w:t>elverişli</w:t>
      </w:r>
      <w:proofErr w:type="spellEnd"/>
      <w:r>
        <w:t xml:space="preserve"> </w:t>
      </w:r>
      <w:proofErr w:type="spellStart"/>
      <w:r>
        <w:t>bir</w:t>
      </w:r>
      <w:proofErr w:type="spellEnd"/>
      <w:r>
        <w:t xml:space="preserve"> </w:t>
      </w:r>
      <w:proofErr w:type="spellStart"/>
      <w:r>
        <w:t>ortam</w:t>
      </w:r>
      <w:proofErr w:type="spellEnd"/>
      <w:r>
        <w:t xml:space="preserve"> </w:t>
      </w:r>
      <w:proofErr w:type="spellStart"/>
      <w:r>
        <w:t>oluşturmaktadır</w:t>
      </w:r>
      <w:proofErr w:type="spellEnd"/>
      <w:r>
        <w:t xml:space="preserve">. </w:t>
      </w:r>
      <w:proofErr w:type="spellStart"/>
      <w:r>
        <w:t>Riskind</w:t>
      </w:r>
      <w:proofErr w:type="spellEnd"/>
      <w:r>
        <w:t xml:space="preserve"> </w:t>
      </w:r>
      <w:proofErr w:type="spellStart"/>
      <w:r>
        <w:t>ve</w:t>
      </w:r>
      <w:proofErr w:type="spellEnd"/>
      <w:r>
        <w:t xml:space="preserve"> </w:t>
      </w:r>
      <w:proofErr w:type="spellStart"/>
      <w:r>
        <w:t>arkadaşları</w:t>
      </w:r>
      <w:proofErr w:type="spellEnd"/>
      <w:r>
        <w:t xml:space="preserve"> (2000) </w:t>
      </w:r>
      <w:proofErr w:type="spellStart"/>
      <w:r>
        <w:t>bu</w:t>
      </w:r>
      <w:proofErr w:type="spellEnd"/>
      <w:r>
        <w:t xml:space="preserve"> </w:t>
      </w:r>
      <w:proofErr w:type="spellStart"/>
      <w:r>
        <w:t>bilişsel</w:t>
      </w:r>
      <w:proofErr w:type="spellEnd"/>
      <w:r>
        <w:t xml:space="preserve"> </w:t>
      </w:r>
      <w:proofErr w:type="spellStart"/>
      <w:r>
        <w:t>yapıya</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(BAT, Looming Cognitive Style) </w:t>
      </w:r>
      <w:proofErr w:type="spellStart"/>
      <w:r>
        <w:t>demiştir</w:t>
      </w:r>
      <w:proofErr w:type="spellEnd"/>
      <w:r>
        <w:t xml:space="preserve">. </w:t>
      </w:r>
      <w:proofErr w:type="spellStart"/>
      <w:r>
        <w:t>Ancak</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kaygı</w:t>
      </w:r>
      <w:proofErr w:type="spellEnd"/>
      <w:r>
        <w:t xml:space="preserve"> </w:t>
      </w:r>
      <w:proofErr w:type="spellStart"/>
      <w:r>
        <w:t>ile</w:t>
      </w:r>
      <w:proofErr w:type="spellEnd"/>
      <w:r>
        <w:t xml:space="preserve"> </w:t>
      </w:r>
      <w:proofErr w:type="spellStart"/>
      <w:r>
        <w:t>oldukça</w:t>
      </w:r>
      <w:proofErr w:type="spellEnd"/>
      <w:r>
        <w:t xml:space="preserve"> </w:t>
      </w:r>
      <w:proofErr w:type="spellStart"/>
      <w:r>
        <w:t>ilişkili</w:t>
      </w:r>
      <w:proofErr w:type="spellEnd"/>
      <w:r>
        <w:t xml:space="preserve"> </w:t>
      </w:r>
      <w:proofErr w:type="spellStart"/>
      <w:r>
        <w:t>görünmesine</w:t>
      </w:r>
      <w:proofErr w:type="spellEnd"/>
      <w:r>
        <w:t xml:space="preserve"> </w:t>
      </w:r>
      <w:proofErr w:type="spellStart"/>
      <w:r>
        <w:t>ve</w:t>
      </w:r>
      <w:proofErr w:type="spellEnd"/>
      <w:r>
        <w:t xml:space="preserve"> </w:t>
      </w:r>
      <w:proofErr w:type="spellStart"/>
      <w:r>
        <w:t>tüm</w:t>
      </w:r>
      <w:proofErr w:type="spellEnd"/>
      <w:r>
        <w:t xml:space="preserve"> </w:t>
      </w:r>
      <w:proofErr w:type="spellStart"/>
      <w:r>
        <w:t>kaygı</w:t>
      </w:r>
      <w:proofErr w:type="spellEnd"/>
      <w:r>
        <w:t xml:space="preserve"> </w:t>
      </w:r>
      <w:proofErr w:type="spellStart"/>
      <w:r>
        <w:t>bozukluklarında</w:t>
      </w:r>
      <w:proofErr w:type="spellEnd"/>
      <w:r>
        <w:t xml:space="preserve"> </w:t>
      </w:r>
      <w:proofErr w:type="spellStart"/>
      <w:r>
        <w:t>görülmesine</w:t>
      </w:r>
      <w:proofErr w:type="spellEnd"/>
      <w:r>
        <w:t xml:space="preserve"> </w:t>
      </w:r>
      <w:proofErr w:type="spellStart"/>
      <w:r>
        <w:t>rağmen</w:t>
      </w:r>
      <w:proofErr w:type="spellEnd"/>
      <w:r>
        <w:t xml:space="preserve"> </w:t>
      </w:r>
      <w:proofErr w:type="spellStart"/>
      <w:r>
        <w:t>bu</w:t>
      </w:r>
      <w:proofErr w:type="spellEnd"/>
      <w:r>
        <w:t xml:space="preserve"> </w:t>
      </w:r>
      <w:proofErr w:type="spellStart"/>
      <w:r>
        <w:t>alandaki</w:t>
      </w:r>
      <w:proofErr w:type="spellEnd"/>
      <w:r>
        <w:t xml:space="preserve"> </w:t>
      </w:r>
      <w:proofErr w:type="spellStart"/>
      <w:r>
        <w:t>çalışmalar</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lastRenderedPageBreak/>
        <w:t>tarzının</w:t>
      </w:r>
      <w:proofErr w:type="spellEnd"/>
      <w:r>
        <w:t xml:space="preserve"> </w:t>
      </w:r>
      <w:proofErr w:type="spellStart"/>
      <w:r>
        <w:t>kavramsal</w:t>
      </w:r>
      <w:proofErr w:type="spellEnd"/>
      <w:r>
        <w:t xml:space="preserve"> </w:t>
      </w:r>
      <w:proofErr w:type="spellStart"/>
      <w:r>
        <w:t>olarak</w:t>
      </w:r>
      <w:proofErr w:type="spellEnd"/>
      <w:r>
        <w:t xml:space="preserve"> </w:t>
      </w:r>
      <w:proofErr w:type="spellStart"/>
      <w:r>
        <w:t>kaygı</w:t>
      </w:r>
      <w:proofErr w:type="spellEnd"/>
      <w:r>
        <w:t xml:space="preserve"> </w:t>
      </w:r>
      <w:proofErr w:type="spellStart"/>
      <w:r>
        <w:t>ve</w:t>
      </w:r>
      <w:proofErr w:type="spellEnd"/>
      <w:r>
        <w:t xml:space="preserve"> </w:t>
      </w:r>
      <w:proofErr w:type="spellStart"/>
      <w:r>
        <w:t>endişeden</w:t>
      </w:r>
      <w:proofErr w:type="spellEnd"/>
      <w:r>
        <w:t xml:space="preserve"> </w:t>
      </w:r>
      <w:proofErr w:type="spellStart"/>
      <w:r>
        <w:t>ayrışır</w:t>
      </w:r>
      <w:proofErr w:type="spellEnd"/>
      <w:r>
        <w:t xml:space="preserve"> </w:t>
      </w:r>
      <w:proofErr w:type="spellStart"/>
      <w:r>
        <w:t>şekilde</w:t>
      </w:r>
      <w:proofErr w:type="spellEnd"/>
      <w:r>
        <w:t xml:space="preserve"> </w:t>
      </w:r>
      <w:proofErr w:type="spellStart"/>
      <w:r>
        <w:t>anlamsal</w:t>
      </w:r>
      <w:proofErr w:type="spellEnd"/>
      <w:r>
        <w:t xml:space="preserve"> </w:t>
      </w:r>
      <w:proofErr w:type="spellStart"/>
      <w:r>
        <w:t>bir</w:t>
      </w:r>
      <w:proofErr w:type="spellEnd"/>
      <w:r>
        <w:t xml:space="preserve"> </w:t>
      </w:r>
      <w:proofErr w:type="spellStart"/>
      <w:r>
        <w:t>içerikten</w:t>
      </w:r>
      <w:proofErr w:type="spellEnd"/>
      <w:r>
        <w:t xml:space="preserve"> </w:t>
      </w:r>
      <w:proofErr w:type="spellStart"/>
      <w:r>
        <w:t>ziyade</w:t>
      </w:r>
      <w:proofErr w:type="spellEnd"/>
      <w:r>
        <w:t xml:space="preserve"> </w:t>
      </w:r>
      <w:proofErr w:type="spellStart"/>
      <w:r>
        <w:t>görsel</w:t>
      </w:r>
      <w:proofErr w:type="spellEnd"/>
      <w:r>
        <w:t xml:space="preserve"> </w:t>
      </w:r>
      <w:proofErr w:type="spellStart"/>
      <w:r>
        <w:t>bir</w:t>
      </w:r>
      <w:proofErr w:type="spellEnd"/>
      <w:r>
        <w:t xml:space="preserve"> </w:t>
      </w:r>
      <w:proofErr w:type="spellStart"/>
      <w:r>
        <w:t>içeriğe</w:t>
      </w:r>
      <w:proofErr w:type="spellEnd"/>
      <w:r>
        <w:t xml:space="preserve"> </w:t>
      </w:r>
      <w:proofErr w:type="spellStart"/>
      <w:r>
        <w:t>sahip</w:t>
      </w:r>
      <w:proofErr w:type="spellEnd"/>
      <w:r>
        <w:t xml:space="preserve"> </w:t>
      </w:r>
      <w:proofErr w:type="spellStart"/>
      <w:r>
        <w:t>olduğunu</w:t>
      </w:r>
      <w:proofErr w:type="spellEnd"/>
      <w:r>
        <w:t xml:space="preserve"> </w:t>
      </w:r>
      <w:proofErr w:type="spellStart"/>
      <w:r>
        <w:t>göstermektedir</w:t>
      </w:r>
      <w:proofErr w:type="spellEnd"/>
      <w:r>
        <w:t xml:space="preserve"> (</w:t>
      </w:r>
      <w:proofErr w:type="spellStart"/>
      <w:r>
        <w:t>Riskind</w:t>
      </w:r>
      <w:proofErr w:type="spellEnd"/>
      <w:r>
        <w:t xml:space="preserve"> </w:t>
      </w:r>
      <w:proofErr w:type="spellStart"/>
      <w:r>
        <w:t>ve</w:t>
      </w:r>
      <w:proofErr w:type="spellEnd"/>
      <w:r>
        <w:t xml:space="preserve"> ark., 2005).</w:t>
      </w:r>
    </w:p>
    <w:p w14:paraId="628EE07B" w14:textId="77777777" w:rsidR="007513A1" w:rsidRDefault="007513A1" w:rsidP="007513A1">
      <w:pPr>
        <w:pStyle w:val="NormalWeb"/>
        <w:spacing w:before="0" w:beforeAutospacing="0" w:after="0" w:afterAutospacing="0"/>
        <w:jc w:val="both"/>
      </w:pPr>
    </w:p>
    <w:p w14:paraId="658C8AF2" w14:textId="77777777" w:rsidR="00B470AD" w:rsidRDefault="00B470AD" w:rsidP="007513A1">
      <w:pPr>
        <w:pStyle w:val="NormalWeb"/>
        <w:spacing w:before="0" w:beforeAutospacing="0" w:after="0" w:afterAutospacing="0"/>
        <w:jc w:val="both"/>
      </w:pPr>
      <w:proofErr w:type="spellStart"/>
      <w:r>
        <w:t>Tüm</w:t>
      </w:r>
      <w:proofErr w:type="spellEnd"/>
      <w:r>
        <w:t xml:space="preserve"> </w:t>
      </w:r>
      <w:proofErr w:type="spellStart"/>
      <w:r>
        <w:t>bu</w:t>
      </w:r>
      <w:proofErr w:type="spellEnd"/>
      <w:r>
        <w:t xml:space="preserve"> </w:t>
      </w:r>
      <w:proofErr w:type="spellStart"/>
      <w:r>
        <w:t>bilgiler</w:t>
      </w:r>
      <w:proofErr w:type="spellEnd"/>
      <w:r>
        <w:t xml:space="preserve"> </w:t>
      </w:r>
      <w:proofErr w:type="spellStart"/>
      <w:r>
        <w:t>neticesinde</w:t>
      </w:r>
      <w:proofErr w:type="spellEnd"/>
      <w:r>
        <w:t xml:space="preserve"> </w:t>
      </w:r>
      <w:proofErr w:type="spellStart"/>
      <w:r>
        <w:t>bu</w:t>
      </w:r>
      <w:proofErr w:type="spellEnd"/>
      <w:r>
        <w:t xml:space="preserve"> </w:t>
      </w:r>
      <w:proofErr w:type="spellStart"/>
      <w:r>
        <w:t>araştırmada</w:t>
      </w:r>
      <w:proofErr w:type="spellEnd"/>
      <w:r>
        <w:t xml:space="preserve"> </w:t>
      </w:r>
      <w:proofErr w:type="spellStart"/>
      <w:r>
        <w:t>yetişkinlerde</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ile</w:t>
      </w:r>
      <w:proofErr w:type="spellEnd"/>
      <w:r>
        <w:t xml:space="preserve"> meta-</w:t>
      </w:r>
      <w:proofErr w:type="spellStart"/>
      <w:r>
        <w:t>endişe</w:t>
      </w:r>
      <w:proofErr w:type="spellEnd"/>
      <w:r>
        <w:t xml:space="preserve"> </w:t>
      </w:r>
      <w:proofErr w:type="spellStart"/>
      <w:r>
        <w:t>arasındaki</w:t>
      </w:r>
      <w:proofErr w:type="spellEnd"/>
      <w:r>
        <w:t xml:space="preserve"> </w:t>
      </w:r>
      <w:proofErr w:type="spellStart"/>
      <w:r>
        <w:t>ilişkinin</w:t>
      </w:r>
      <w:proofErr w:type="spellEnd"/>
      <w:r>
        <w:t xml:space="preserve"> </w:t>
      </w:r>
      <w:proofErr w:type="spellStart"/>
      <w:r>
        <w:t>incelenmesi</w:t>
      </w:r>
      <w:proofErr w:type="spellEnd"/>
      <w:r>
        <w:t xml:space="preserve"> </w:t>
      </w:r>
      <w:proofErr w:type="spellStart"/>
      <w:r>
        <w:t>amaçlanmaktadır</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yüksek</w:t>
      </w:r>
      <w:proofErr w:type="spellEnd"/>
      <w:r>
        <w:t xml:space="preserve"> </w:t>
      </w:r>
      <w:proofErr w:type="spellStart"/>
      <w:r>
        <w:t>olan</w:t>
      </w:r>
      <w:proofErr w:type="spellEnd"/>
      <w:r>
        <w:t xml:space="preserve"> </w:t>
      </w:r>
      <w:proofErr w:type="spellStart"/>
      <w:r>
        <w:t>kişilerin</w:t>
      </w:r>
      <w:proofErr w:type="spellEnd"/>
      <w:r>
        <w:t xml:space="preserve"> </w:t>
      </w:r>
      <w:proofErr w:type="spellStart"/>
      <w:r>
        <w:t>tehdit</w:t>
      </w:r>
      <w:proofErr w:type="spellEnd"/>
      <w:r>
        <w:t xml:space="preserve"> </w:t>
      </w:r>
      <w:proofErr w:type="spellStart"/>
      <w:r>
        <w:t>uyarana</w:t>
      </w:r>
      <w:proofErr w:type="spellEnd"/>
      <w:r>
        <w:t xml:space="preserve"> </w:t>
      </w:r>
      <w:proofErr w:type="spellStart"/>
      <w:r>
        <w:t>karşı</w:t>
      </w:r>
      <w:proofErr w:type="spellEnd"/>
      <w:r>
        <w:t xml:space="preserve"> </w:t>
      </w:r>
      <w:proofErr w:type="spellStart"/>
      <w:r>
        <w:t>abartılı</w:t>
      </w:r>
      <w:proofErr w:type="spellEnd"/>
      <w:r>
        <w:t xml:space="preserve"> </w:t>
      </w:r>
      <w:proofErr w:type="spellStart"/>
      <w:r>
        <w:t>bir</w:t>
      </w:r>
      <w:proofErr w:type="spellEnd"/>
      <w:r>
        <w:t xml:space="preserve"> </w:t>
      </w:r>
      <w:proofErr w:type="spellStart"/>
      <w:r>
        <w:t>algılarının</w:t>
      </w:r>
      <w:proofErr w:type="spellEnd"/>
      <w:r>
        <w:t xml:space="preserve"> </w:t>
      </w:r>
      <w:proofErr w:type="spellStart"/>
      <w:r>
        <w:t>olmasının</w:t>
      </w:r>
      <w:proofErr w:type="spellEnd"/>
      <w:r>
        <w:t xml:space="preserve"> </w:t>
      </w:r>
      <w:proofErr w:type="spellStart"/>
      <w:r>
        <w:t>ve</w:t>
      </w:r>
      <w:proofErr w:type="spellEnd"/>
      <w:r>
        <w:t xml:space="preserve"> </w:t>
      </w:r>
      <w:proofErr w:type="spellStart"/>
      <w:r>
        <w:t>bu</w:t>
      </w:r>
      <w:proofErr w:type="spellEnd"/>
      <w:r>
        <w:t xml:space="preserve"> </w:t>
      </w:r>
      <w:proofErr w:type="spellStart"/>
      <w:r>
        <w:t>uyaranı</w:t>
      </w:r>
      <w:proofErr w:type="spellEnd"/>
      <w:r>
        <w:t xml:space="preserve"> </w:t>
      </w:r>
      <w:proofErr w:type="spellStart"/>
      <w:r>
        <w:t>giderek</w:t>
      </w:r>
      <w:proofErr w:type="spellEnd"/>
      <w:r>
        <w:t xml:space="preserve"> </w:t>
      </w:r>
      <w:proofErr w:type="spellStart"/>
      <w:r>
        <w:t>hızlanan</w:t>
      </w:r>
      <w:proofErr w:type="spellEnd"/>
      <w:r>
        <w:t xml:space="preserve"> </w:t>
      </w:r>
      <w:proofErr w:type="spellStart"/>
      <w:r>
        <w:t>ve</w:t>
      </w:r>
      <w:proofErr w:type="spellEnd"/>
      <w:r>
        <w:t xml:space="preserve"> </w:t>
      </w:r>
      <w:proofErr w:type="spellStart"/>
      <w:r>
        <w:t>şiddetlenen</w:t>
      </w:r>
      <w:proofErr w:type="spellEnd"/>
      <w:r>
        <w:t xml:space="preserve"> </w:t>
      </w:r>
      <w:proofErr w:type="spellStart"/>
      <w:r>
        <w:t>bir</w:t>
      </w:r>
      <w:proofErr w:type="spellEnd"/>
      <w:r>
        <w:t xml:space="preserve"> </w:t>
      </w:r>
      <w:proofErr w:type="spellStart"/>
      <w:r>
        <w:t>tehdit</w:t>
      </w:r>
      <w:proofErr w:type="spellEnd"/>
      <w:r>
        <w:t xml:space="preserve"> </w:t>
      </w:r>
      <w:proofErr w:type="spellStart"/>
      <w:r>
        <w:t>olarak</w:t>
      </w:r>
      <w:proofErr w:type="spellEnd"/>
      <w:r>
        <w:t xml:space="preserve"> </w:t>
      </w:r>
      <w:proofErr w:type="spellStart"/>
      <w:r>
        <w:t>görmelerinin</w:t>
      </w:r>
      <w:proofErr w:type="spellEnd"/>
      <w:r>
        <w:t xml:space="preserve"> </w:t>
      </w:r>
      <w:proofErr w:type="spellStart"/>
      <w:r>
        <w:t>aynı</w:t>
      </w:r>
      <w:proofErr w:type="spellEnd"/>
      <w:r>
        <w:t xml:space="preserve"> </w:t>
      </w:r>
      <w:proofErr w:type="spellStart"/>
      <w:r>
        <w:t>zamanda</w:t>
      </w:r>
      <w:proofErr w:type="spellEnd"/>
      <w:r>
        <w:t xml:space="preserve"> meta-</w:t>
      </w:r>
      <w:proofErr w:type="spellStart"/>
      <w:r>
        <w:t>endişeye</w:t>
      </w:r>
      <w:proofErr w:type="spellEnd"/>
      <w:r>
        <w:t xml:space="preserve"> </w:t>
      </w:r>
      <w:proofErr w:type="spellStart"/>
      <w:r>
        <w:t>sahip</w:t>
      </w:r>
      <w:proofErr w:type="spellEnd"/>
      <w:r>
        <w:t xml:space="preserve"> </w:t>
      </w:r>
      <w:proofErr w:type="spellStart"/>
      <w:r>
        <w:t>olmalarıyla</w:t>
      </w:r>
      <w:proofErr w:type="spellEnd"/>
      <w:r>
        <w:t xml:space="preserve"> </w:t>
      </w:r>
      <w:proofErr w:type="spellStart"/>
      <w:r>
        <w:t>yani</w:t>
      </w:r>
      <w:proofErr w:type="spellEnd"/>
      <w:r>
        <w:t xml:space="preserve"> </w:t>
      </w:r>
      <w:proofErr w:type="spellStart"/>
      <w:r>
        <w:t>endişeleri</w:t>
      </w:r>
      <w:proofErr w:type="spellEnd"/>
      <w:r>
        <w:t xml:space="preserve"> </w:t>
      </w:r>
      <w:proofErr w:type="spellStart"/>
      <w:r>
        <w:t>üzerine</w:t>
      </w:r>
      <w:proofErr w:type="spellEnd"/>
      <w:r>
        <w:t xml:space="preserve"> </w:t>
      </w:r>
      <w:proofErr w:type="spellStart"/>
      <w:r>
        <w:t>endişelenmeleri</w:t>
      </w:r>
      <w:proofErr w:type="spellEnd"/>
      <w:r>
        <w:t xml:space="preserve"> </w:t>
      </w:r>
      <w:proofErr w:type="spellStart"/>
      <w:r>
        <w:t>ve</w:t>
      </w:r>
      <w:proofErr w:type="spellEnd"/>
      <w:r>
        <w:t xml:space="preserve"> </w:t>
      </w:r>
      <w:proofErr w:type="spellStart"/>
      <w:r>
        <w:t>endişelerini</w:t>
      </w:r>
      <w:proofErr w:type="spellEnd"/>
      <w:r>
        <w:t xml:space="preserve"> </w:t>
      </w:r>
      <w:proofErr w:type="spellStart"/>
      <w:r>
        <w:t>bir</w:t>
      </w:r>
      <w:proofErr w:type="spellEnd"/>
      <w:r>
        <w:t xml:space="preserve"> </w:t>
      </w:r>
      <w:proofErr w:type="spellStart"/>
      <w:r>
        <w:t>tehdit</w:t>
      </w:r>
      <w:proofErr w:type="spellEnd"/>
      <w:r>
        <w:t xml:space="preserve"> </w:t>
      </w:r>
      <w:proofErr w:type="spellStart"/>
      <w:r>
        <w:t>olarak</w:t>
      </w:r>
      <w:proofErr w:type="spellEnd"/>
      <w:r>
        <w:t xml:space="preserve"> </w:t>
      </w:r>
      <w:proofErr w:type="spellStart"/>
      <w:r>
        <w:t>algılamalarıyla</w:t>
      </w:r>
      <w:proofErr w:type="spellEnd"/>
      <w:r>
        <w:t xml:space="preserve"> </w:t>
      </w:r>
      <w:proofErr w:type="spellStart"/>
      <w:r>
        <w:t>ilişkili</w:t>
      </w:r>
      <w:proofErr w:type="spellEnd"/>
      <w:r>
        <w:t xml:space="preserve"> </w:t>
      </w:r>
      <w:proofErr w:type="spellStart"/>
      <w:r>
        <w:t>olacağı</w:t>
      </w:r>
      <w:proofErr w:type="spellEnd"/>
      <w:r>
        <w:t xml:space="preserve"> </w:t>
      </w:r>
      <w:proofErr w:type="spellStart"/>
      <w:r>
        <w:t>bu</w:t>
      </w:r>
      <w:proofErr w:type="spellEnd"/>
      <w:r>
        <w:t xml:space="preserve"> </w:t>
      </w:r>
      <w:proofErr w:type="spellStart"/>
      <w:r>
        <w:t>çalışmada</w:t>
      </w:r>
      <w:proofErr w:type="spellEnd"/>
      <w:r>
        <w:t xml:space="preserve"> </w:t>
      </w:r>
      <w:proofErr w:type="spellStart"/>
      <w:r>
        <w:t>öngörülmektedir</w:t>
      </w:r>
      <w:proofErr w:type="spellEnd"/>
      <w:r>
        <w:t>.</w:t>
      </w:r>
    </w:p>
    <w:p w14:paraId="1B53C4F8" w14:textId="77777777" w:rsidR="007513A1" w:rsidRDefault="007513A1" w:rsidP="007513A1">
      <w:pPr>
        <w:pStyle w:val="NormalWeb"/>
        <w:spacing w:before="0" w:beforeAutospacing="0" w:after="0" w:afterAutospacing="0"/>
        <w:jc w:val="both"/>
      </w:pPr>
    </w:p>
    <w:p w14:paraId="5BBB59E7" w14:textId="77777777" w:rsidR="00B470AD" w:rsidRDefault="00B470AD" w:rsidP="007513A1">
      <w:pPr>
        <w:pStyle w:val="NormalWeb"/>
        <w:spacing w:before="0" w:beforeAutospacing="0" w:after="0" w:afterAutospacing="0"/>
        <w:jc w:val="both"/>
      </w:pPr>
      <w:proofErr w:type="spellStart"/>
      <w:r>
        <w:t>Hipotezler</w:t>
      </w:r>
      <w:proofErr w:type="spellEnd"/>
      <w:r>
        <w:t>:</w:t>
      </w:r>
    </w:p>
    <w:p w14:paraId="3D74D3A7" w14:textId="77777777" w:rsidR="00B470AD" w:rsidRDefault="00B470AD" w:rsidP="007513A1">
      <w:pPr>
        <w:pStyle w:val="NormalWeb"/>
        <w:spacing w:before="0" w:beforeAutospacing="0" w:after="0" w:afterAutospacing="0"/>
        <w:jc w:val="both"/>
      </w:pPr>
      <w:r>
        <w:t xml:space="preserve">H1: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ve</w:t>
      </w:r>
      <w:proofErr w:type="spellEnd"/>
      <w:r>
        <w:t xml:space="preserve"> meta-</w:t>
      </w:r>
      <w:proofErr w:type="spellStart"/>
      <w:r>
        <w:t>endişe</w:t>
      </w:r>
      <w:proofErr w:type="spellEnd"/>
      <w:r>
        <w:t xml:space="preserve"> </w:t>
      </w:r>
      <w:proofErr w:type="spellStart"/>
      <w:r>
        <w:t>arasında</w:t>
      </w:r>
      <w:proofErr w:type="spellEnd"/>
      <w:r>
        <w:t xml:space="preserve"> </w:t>
      </w:r>
      <w:proofErr w:type="spellStart"/>
      <w:r>
        <w:t>pozitif</w:t>
      </w:r>
      <w:proofErr w:type="spellEnd"/>
      <w:r>
        <w:t xml:space="preserve"> </w:t>
      </w:r>
      <w:proofErr w:type="spellStart"/>
      <w:r>
        <w:t>yönde</w:t>
      </w:r>
      <w:proofErr w:type="spellEnd"/>
      <w:r>
        <w:t xml:space="preserve"> </w:t>
      </w:r>
      <w:proofErr w:type="spellStart"/>
      <w:r>
        <w:t>anlamlı</w:t>
      </w:r>
      <w:proofErr w:type="spellEnd"/>
      <w:r>
        <w:t xml:space="preserve"> </w:t>
      </w:r>
      <w:proofErr w:type="spellStart"/>
      <w:r>
        <w:t>ilişki</w:t>
      </w:r>
      <w:proofErr w:type="spellEnd"/>
      <w:r>
        <w:t xml:space="preserve"> </w:t>
      </w:r>
      <w:proofErr w:type="spellStart"/>
      <w:r>
        <w:t>vardır</w:t>
      </w:r>
      <w:proofErr w:type="spellEnd"/>
      <w:r>
        <w:t>.</w:t>
      </w:r>
    </w:p>
    <w:p w14:paraId="45E87440" w14:textId="77777777" w:rsidR="00B470AD" w:rsidRDefault="00B470AD" w:rsidP="007513A1">
      <w:pPr>
        <w:pStyle w:val="NormalWeb"/>
        <w:spacing w:before="0" w:beforeAutospacing="0" w:after="0" w:afterAutospacing="0"/>
        <w:jc w:val="both"/>
      </w:pPr>
      <w:r>
        <w:t>H2: Meta-</w:t>
      </w:r>
      <w:proofErr w:type="spellStart"/>
      <w:r>
        <w:t>endişesi</w:t>
      </w:r>
      <w:proofErr w:type="spellEnd"/>
      <w:r>
        <w:t xml:space="preserve"> </w:t>
      </w:r>
      <w:proofErr w:type="spellStart"/>
      <w:r>
        <w:t>yüksek</w:t>
      </w:r>
      <w:proofErr w:type="spellEnd"/>
      <w:r>
        <w:t xml:space="preserve"> </w:t>
      </w:r>
      <w:proofErr w:type="spellStart"/>
      <w:r>
        <w:t>olan</w:t>
      </w:r>
      <w:proofErr w:type="spellEnd"/>
      <w:r>
        <w:t xml:space="preserve"> </w:t>
      </w:r>
      <w:proofErr w:type="spellStart"/>
      <w:r>
        <w:t>kişilerin</w:t>
      </w:r>
      <w:proofErr w:type="spellEnd"/>
      <w:r>
        <w:t xml:space="preserve"> Penn State </w:t>
      </w:r>
      <w:proofErr w:type="spellStart"/>
      <w:r>
        <w:t>Endişe</w:t>
      </w:r>
      <w:proofErr w:type="spellEnd"/>
      <w:r>
        <w:t xml:space="preserve"> </w:t>
      </w:r>
      <w:proofErr w:type="spellStart"/>
      <w:r>
        <w:t>Ölçeğinden</w:t>
      </w:r>
      <w:proofErr w:type="spellEnd"/>
      <w:r>
        <w:t xml:space="preserve"> </w:t>
      </w:r>
      <w:proofErr w:type="spellStart"/>
      <w:r>
        <w:t>alacakları</w:t>
      </w:r>
      <w:proofErr w:type="spellEnd"/>
      <w:r>
        <w:t xml:space="preserve"> </w:t>
      </w:r>
      <w:proofErr w:type="spellStart"/>
      <w:r>
        <w:t>skor</w:t>
      </w:r>
      <w:proofErr w:type="spellEnd"/>
      <w:r>
        <w:t xml:space="preserve"> </w:t>
      </w:r>
      <w:proofErr w:type="spellStart"/>
      <w:r>
        <w:t>yüksek</w:t>
      </w:r>
      <w:proofErr w:type="spellEnd"/>
      <w:r>
        <w:t xml:space="preserve"> </w:t>
      </w:r>
      <w:proofErr w:type="spellStart"/>
      <w:r>
        <w:t>olacaktır</w:t>
      </w:r>
      <w:proofErr w:type="spellEnd"/>
      <w:r>
        <w:t>.</w:t>
      </w:r>
    </w:p>
    <w:p w14:paraId="01C09924" w14:textId="77777777" w:rsidR="00B470AD" w:rsidRDefault="00B470AD" w:rsidP="007513A1">
      <w:pPr>
        <w:pStyle w:val="NormalWeb"/>
        <w:spacing w:before="0" w:beforeAutospacing="0" w:after="0" w:afterAutospacing="0"/>
        <w:jc w:val="both"/>
      </w:pPr>
      <w:r>
        <w:t xml:space="preserve">H3: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yüksek</w:t>
      </w:r>
      <w:proofErr w:type="spellEnd"/>
      <w:r>
        <w:t xml:space="preserve"> </w:t>
      </w:r>
      <w:proofErr w:type="spellStart"/>
      <w:r>
        <w:t>olan</w:t>
      </w:r>
      <w:proofErr w:type="spellEnd"/>
      <w:r>
        <w:t xml:space="preserve"> </w:t>
      </w:r>
      <w:proofErr w:type="spellStart"/>
      <w:r>
        <w:t>kişilerin</w:t>
      </w:r>
      <w:proofErr w:type="spellEnd"/>
      <w:r>
        <w:t xml:space="preserve"> Penn State </w:t>
      </w:r>
      <w:proofErr w:type="spellStart"/>
      <w:r>
        <w:t>Endişe</w:t>
      </w:r>
      <w:proofErr w:type="spellEnd"/>
      <w:r>
        <w:t xml:space="preserve"> </w:t>
      </w:r>
      <w:proofErr w:type="spellStart"/>
      <w:r>
        <w:t>Ölçeğinden</w:t>
      </w:r>
      <w:proofErr w:type="spellEnd"/>
      <w:r>
        <w:t xml:space="preserve"> </w:t>
      </w:r>
      <w:proofErr w:type="spellStart"/>
      <w:r>
        <w:t>alacakları</w:t>
      </w:r>
      <w:proofErr w:type="spellEnd"/>
      <w:r>
        <w:t xml:space="preserve"> </w:t>
      </w:r>
      <w:proofErr w:type="spellStart"/>
      <w:r>
        <w:t>skor</w:t>
      </w:r>
      <w:proofErr w:type="spellEnd"/>
      <w:r>
        <w:t xml:space="preserve"> </w:t>
      </w:r>
      <w:proofErr w:type="spellStart"/>
      <w:r>
        <w:t>yüksek</w:t>
      </w:r>
      <w:proofErr w:type="spellEnd"/>
      <w:r>
        <w:t xml:space="preserve"> </w:t>
      </w:r>
      <w:proofErr w:type="spellStart"/>
      <w:r>
        <w:t>olacaktır</w:t>
      </w:r>
      <w:proofErr w:type="spellEnd"/>
      <w:r>
        <w:t>.</w:t>
      </w:r>
    </w:p>
    <w:p w14:paraId="6F0D771A" w14:textId="77777777" w:rsidR="007513A1" w:rsidRPr="00AC14E4" w:rsidRDefault="007513A1" w:rsidP="007513A1">
      <w:pPr>
        <w:pStyle w:val="NormalWeb"/>
        <w:spacing w:before="0" w:beforeAutospacing="0" w:after="0" w:afterAutospacing="0"/>
        <w:jc w:val="both"/>
      </w:pPr>
    </w:p>
    <w:p w14:paraId="54BF9E0B" w14:textId="77777777" w:rsidR="00B470AD" w:rsidRDefault="00B470AD" w:rsidP="007513A1">
      <w:pPr>
        <w:pStyle w:val="NormalWeb"/>
        <w:spacing w:before="0" w:beforeAutospacing="0" w:after="0" w:afterAutospacing="0"/>
        <w:rPr>
          <w:b/>
          <w:bCs/>
        </w:rPr>
      </w:pPr>
      <w:r>
        <w:rPr>
          <w:b/>
          <w:bCs/>
        </w:rPr>
        <w:t>2.YÖNTEM</w:t>
      </w:r>
    </w:p>
    <w:p w14:paraId="561EED08" w14:textId="77777777" w:rsidR="00B470AD" w:rsidRDefault="00B470AD" w:rsidP="007513A1">
      <w:pPr>
        <w:pStyle w:val="NormalWeb"/>
        <w:spacing w:before="0" w:beforeAutospacing="0" w:after="0" w:afterAutospacing="0"/>
        <w:rPr>
          <w:b/>
          <w:bCs/>
        </w:rPr>
      </w:pPr>
      <w:r>
        <w:rPr>
          <w:b/>
          <w:bCs/>
        </w:rPr>
        <w:t xml:space="preserve">2.1. Evren </w:t>
      </w:r>
      <w:proofErr w:type="spellStart"/>
      <w:r>
        <w:rPr>
          <w:b/>
          <w:bCs/>
        </w:rPr>
        <w:t>ve</w:t>
      </w:r>
      <w:proofErr w:type="spellEnd"/>
      <w:r>
        <w:rPr>
          <w:b/>
          <w:bCs/>
        </w:rPr>
        <w:t xml:space="preserve"> </w:t>
      </w:r>
      <w:proofErr w:type="spellStart"/>
      <w:r>
        <w:rPr>
          <w:b/>
          <w:bCs/>
        </w:rPr>
        <w:t>Örneklem</w:t>
      </w:r>
      <w:proofErr w:type="spellEnd"/>
    </w:p>
    <w:p w14:paraId="7B781F00" w14:textId="77777777" w:rsidR="00B470AD" w:rsidRDefault="00B470AD" w:rsidP="007513A1">
      <w:pPr>
        <w:pStyle w:val="NormalWeb"/>
        <w:spacing w:before="0" w:beforeAutospacing="0" w:after="0" w:afterAutospacing="0"/>
        <w:jc w:val="both"/>
      </w:pPr>
      <w:proofErr w:type="spellStart"/>
      <w:r>
        <w:t>Araştırma</w:t>
      </w:r>
      <w:proofErr w:type="spellEnd"/>
      <w:r>
        <w:t xml:space="preserve"> </w:t>
      </w:r>
      <w:proofErr w:type="spellStart"/>
      <w:r>
        <w:t>evreni</w:t>
      </w:r>
      <w:proofErr w:type="spellEnd"/>
      <w:r>
        <w:t xml:space="preserve"> </w:t>
      </w:r>
      <w:proofErr w:type="spellStart"/>
      <w:r>
        <w:t>Türkiye’dir</w:t>
      </w:r>
      <w:proofErr w:type="spellEnd"/>
      <w:r>
        <w:t xml:space="preserve">. </w:t>
      </w:r>
      <w:proofErr w:type="spellStart"/>
      <w:r>
        <w:t>Örneklem</w:t>
      </w:r>
      <w:proofErr w:type="spellEnd"/>
      <w:r>
        <w:t xml:space="preserve"> 18-65 </w:t>
      </w:r>
      <w:proofErr w:type="spellStart"/>
      <w:r>
        <w:t>yaş</w:t>
      </w:r>
      <w:proofErr w:type="spellEnd"/>
      <w:r>
        <w:t xml:space="preserve"> </w:t>
      </w:r>
      <w:proofErr w:type="spellStart"/>
      <w:r>
        <w:t>arası</w:t>
      </w:r>
      <w:proofErr w:type="spellEnd"/>
      <w:r>
        <w:t xml:space="preserve"> 393 </w:t>
      </w:r>
      <w:proofErr w:type="spellStart"/>
      <w:r>
        <w:t>katılımcıdan</w:t>
      </w:r>
      <w:proofErr w:type="spellEnd"/>
      <w:r>
        <w:t xml:space="preserve"> </w:t>
      </w:r>
      <w:proofErr w:type="spellStart"/>
      <w:r>
        <w:t>oluşmaktadır</w:t>
      </w:r>
      <w:proofErr w:type="spellEnd"/>
      <w:r>
        <w:t xml:space="preserve">. Katılımcıların </w:t>
      </w:r>
      <w:r w:rsidRPr="005070CA">
        <w:t>276</w:t>
      </w:r>
      <w:r>
        <w:t xml:space="preserve">’sı </w:t>
      </w:r>
      <w:proofErr w:type="spellStart"/>
      <w:r w:rsidRPr="005070CA">
        <w:t>kadın</w:t>
      </w:r>
      <w:proofErr w:type="spellEnd"/>
      <w:r w:rsidRPr="005070CA">
        <w:t xml:space="preserve"> (%70.2), 117</w:t>
      </w:r>
      <w:r>
        <w:t>’si</w:t>
      </w:r>
      <w:r w:rsidRPr="005070CA">
        <w:t xml:space="preserve"> </w:t>
      </w:r>
      <w:proofErr w:type="spellStart"/>
      <w:r w:rsidRPr="005070CA">
        <w:t>erkek</w:t>
      </w:r>
      <w:r>
        <w:t>tir</w:t>
      </w:r>
      <w:proofErr w:type="spellEnd"/>
      <w:r w:rsidRPr="005070CA">
        <w:t xml:space="preserve"> (%29.8)</w:t>
      </w:r>
      <w:r>
        <w:t xml:space="preserve"> </w:t>
      </w:r>
      <w:proofErr w:type="spellStart"/>
      <w:r>
        <w:t>ve</w:t>
      </w:r>
      <w:proofErr w:type="spellEnd"/>
      <w:r w:rsidRPr="005070CA">
        <w:t xml:space="preserve"> </w:t>
      </w:r>
      <w:proofErr w:type="spellStart"/>
      <w:r w:rsidRPr="005070CA">
        <w:t>yaş</w:t>
      </w:r>
      <w:proofErr w:type="spellEnd"/>
      <w:r w:rsidRPr="005070CA">
        <w:t xml:space="preserve"> </w:t>
      </w:r>
      <w:proofErr w:type="spellStart"/>
      <w:r w:rsidRPr="005070CA">
        <w:t>ortalaması</w:t>
      </w:r>
      <w:proofErr w:type="spellEnd"/>
      <w:r w:rsidRPr="005070CA">
        <w:t xml:space="preserve"> </w:t>
      </w:r>
      <w:proofErr w:type="spellStart"/>
      <w:r w:rsidRPr="005070CA">
        <w:t>ise</w:t>
      </w:r>
      <w:proofErr w:type="spellEnd"/>
      <w:r w:rsidRPr="005070CA">
        <w:t xml:space="preserve"> 29.41’dir.</w:t>
      </w:r>
      <w:r>
        <w:t xml:space="preserve"> </w:t>
      </w:r>
      <w:proofErr w:type="spellStart"/>
      <w:r>
        <w:t>Psikiyatrik</w:t>
      </w:r>
      <w:proofErr w:type="spellEnd"/>
      <w:r>
        <w:t xml:space="preserve"> </w:t>
      </w:r>
      <w:proofErr w:type="spellStart"/>
      <w:r>
        <w:t>tanısı</w:t>
      </w:r>
      <w:proofErr w:type="spellEnd"/>
      <w:r>
        <w:t xml:space="preserve"> </w:t>
      </w:r>
      <w:proofErr w:type="spellStart"/>
      <w:r>
        <w:t>bulunan</w:t>
      </w:r>
      <w:proofErr w:type="spellEnd"/>
      <w:r>
        <w:t xml:space="preserve"> </w:t>
      </w:r>
      <w:proofErr w:type="spellStart"/>
      <w:r>
        <w:t>kişiler</w:t>
      </w:r>
      <w:proofErr w:type="spellEnd"/>
      <w:r>
        <w:t xml:space="preserve"> </w:t>
      </w:r>
      <w:proofErr w:type="spellStart"/>
      <w:r>
        <w:t>örnekleme</w:t>
      </w:r>
      <w:proofErr w:type="spellEnd"/>
      <w:r>
        <w:t xml:space="preserve"> </w:t>
      </w:r>
      <w:proofErr w:type="spellStart"/>
      <w:r>
        <w:t>dahil</w:t>
      </w:r>
      <w:proofErr w:type="spellEnd"/>
      <w:r>
        <w:t xml:space="preserve"> </w:t>
      </w:r>
      <w:proofErr w:type="spellStart"/>
      <w:r>
        <w:t>edilmemiştir</w:t>
      </w:r>
      <w:proofErr w:type="spellEnd"/>
      <w:r>
        <w:t xml:space="preserve">. Veriler </w:t>
      </w:r>
      <w:proofErr w:type="spellStart"/>
      <w:r>
        <w:t>çevrimiçi</w:t>
      </w:r>
      <w:proofErr w:type="spellEnd"/>
      <w:r>
        <w:t xml:space="preserve"> form </w:t>
      </w:r>
      <w:proofErr w:type="spellStart"/>
      <w:r>
        <w:t>aracılığıyla</w:t>
      </w:r>
      <w:proofErr w:type="spellEnd"/>
      <w:r>
        <w:t xml:space="preserve"> </w:t>
      </w:r>
      <w:proofErr w:type="spellStart"/>
      <w:r>
        <w:t>gönüllü</w:t>
      </w:r>
      <w:proofErr w:type="spellEnd"/>
      <w:r>
        <w:t xml:space="preserve"> </w:t>
      </w:r>
      <w:proofErr w:type="spellStart"/>
      <w:r>
        <w:t>katılımcılardan</w:t>
      </w:r>
      <w:proofErr w:type="spellEnd"/>
      <w:r>
        <w:t xml:space="preserve"> </w:t>
      </w:r>
      <w:proofErr w:type="spellStart"/>
      <w:r>
        <w:t>toplanmıştır</w:t>
      </w:r>
      <w:proofErr w:type="spellEnd"/>
      <w:r>
        <w:t xml:space="preserve">. </w:t>
      </w:r>
      <w:proofErr w:type="spellStart"/>
      <w:r w:rsidRPr="002F4488">
        <w:t>Yetişkin</w:t>
      </w:r>
      <w:proofErr w:type="spellEnd"/>
      <w:r w:rsidRPr="002F4488">
        <w:t xml:space="preserve"> </w:t>
      </w:r>
      <w:proofErr w:type="spellStart"/>
      <w:r w:rsidRPr="002F4488">
        <w:t>olmak</w:t>
      </w:r>
      <w:proofErr w:type="spellEnd"/>
      <w:r w:rsidRPr="002F4488">
        <w:t xml:space="preserve"> </w:t>
      </w:r>
      <w:proofErr w:type="spellStart"/>
      <w:r w:rsidRPr="002F4488">
        <w:t>ve</w:t>
      </w:r>
      <w:proofErr w:type="spellEnd"/>
      <w:r w:rsidRPr="002F4488">
        <w:t xml:space="preserve"> </w:t>
      </w:r>
      <w:proofErr w:type="spellStart"/>
      <w:r>
        <w:t>psikiyatrik</w:t>
      </w:r>
      <w:proofErr w:type="spellEnd"/>
      <w:r>
        <w:t xml:space="preserve"> </w:t>
      </w:r>
      <w:proofErr w:type="spellStart"/>
      <w:r w:rsidRPr="002F4488">
        <w:t>tanı</w:t>
      </w:r>
      <w:r>
        <w:t>ya</w:t>
      </w:r>
      <w:proofErr w:type="spellEnd"/>
      <w:r>
        <w:t xml:space="preserve"> </w:t>
      </w:r>
      <w:proofErr w:type="spellStart"/>
      <w:r>
        <w:t>sahip</w:t>
      </w:r>
      <w:proofErr w:type="spellEnd"/>
      <w:r>
        <w:t xml:space="preserve"> </w:t>
      </w:r>
      <w:proofErr w:type="spellStart"/>
      <w:r>
        <w:t>olmamak</w:t>
      </w:r>
      <w:proofErr w:type="spellEnd"/>
      <w:r w:rsidRPr="002F4488">
        <w:t xml:space="preserve"> </w:t>
      </w:r>
      <w:proofErr w:type="spellStart"/>
      <w:r w:rsidRPr="002F4488">
        <w:t>ölçütlerine</w:t>
      </w:r>
      <w:proofErr w:type="spellEnd"/>
      <w:r w:rsidRPr="002F4488">
        <w:t xml:space="preserve"> </w:t>
      </w:r>
      <w:proofErr w:type="spellStart"/>
      <w:r w:rsidRPr="002F4488">
        <w:t>uygun</w:t>
      </w:r>
      <w:proofErr w:type="spellEnd"/>
      <w:r w:rsidRPr="002F4488">
        <w:t xml:space="preserve"> </w:t>
      </w:r>
      <w:proofErr w:type="spellStart"/>
      <w:r w:rsidRPr="002F4488">
        <w:t>olması</w:t>
      </w:r>
      <w:proofErr w:type="spellEnd"/>
      <w:r w:rsidRPr="002F4488">
        <w:t xml:space="preserve"> </w:t>
      </w:r>
      <w:proofErr w:type="spellStart"/>
      <w:r w:rsidRPr="002F4488">
        <w:t>için</w:t>
      </w:r>
      <w:proofErr w:type="spellEnd"/>
      <w:r>
        <w:t xml:space="preserve"> </w:t>
      </w:r>
      <w:proofErr w:type="spellStart"/>
      <w:r>
        <w:t>seçkisiz</w:t>
      </w:r>
      <w:proofErr w:type="spellEnd"/>
      <w:r>
        <w:t xml:space="preserve"> </w:t>
      </w:r>
      <w:proofErr w:type="spellStart"/>
      <w:r>
        <w:t>olmayan</w:t>
      </w:r>
      <w:proofErr w:type="spellEnd"/>
      <w:r>
        <w:t xml:space="preserve"> </w:t>
      </w:r>
      <w:proofErr w:type="spellStart"/>
      <w:r>
        <w:t>örnekleme</w:t>
      </w:r>
      <w:proofErr w:type="spellEnd"/>
      <w:r>
        <w:t xml:space="preserve"> </w:t>
      </w:r>
      <w:proofErr w:type="spellStart"/>
      <w:r>
        <w:t>yöntemlerinden</w:t>
      </w:r>
      <w:proofErr w:type="spellEnd"/>
      <w:r>
        <w:t xml:space="preserve"> </w:t>
      </w:r>
      <w:proofErr w:type="spellStart"/>
      <w:r>
        <w:t>biri</w:t>
      </w:r>
      <w:proofErr w:type="spellEnd"/>
      <w:r>
        <w:t xml:space="preserve"> </w:t>
      </w:r>
      <w:proofErr w:type="spellStart"/>
      <w:r>
        <w:t>olan</w:t>
      </w:r>
      <w:proofErr w:type="spellEnd"/>
      <w:r>
        <w:t xml:space="preserve"> </w:t>
      </w:r>
      <w:proofErr w:type="spellStart"/>
      <w:r>
        <w:t>ölçüt</w:t>
      </w:r>
      <w:proofErr w:type="spellEnd"/>
      <w:r>
        <w:t xml:space="preserve"> </w:t>
      </w:r>
      <w:proofErr w:type="spellStart"/>
      <w:r>
        <w:t>örnekleme</w:t>
      </w:r>
      <w:proofErr w:type="spellEnd"/>
      <w:r>
        <w:t xml:space="preserve"> </w:t>
      </w:r>
      <w:proofErr w:type="spellStart"/>
      <w:r>
        <w:t>yöntemi</w:t>
      </w:r>
      <w:proofErr w:type="spellEnd"/>
      <w:r>
        <w:t xml:space="preserve"> </w:t>
      </w:r>
      <w:proofErr w:type="spellStart"/>
      <w:r>
        <w:t>kullanılmıştır</w:t>
      </w:r>
      <w:proofErr w:type="spellEnd"/>
      <w:r>
        <w:t xml:space="preserve">. </w:t>
      </w:r>
      <w:proofErr w:type="spellStart"/>
      <w:r w:rsidRPr="00E32EA3">
        <w:t>Örneklem</w:t>
      </w:r>
      <w:proofErr w:type="spellEnd"/>
      <w:r>
        <w:t xml:space="preserve"> </w:t>
      </w:r>
      <w:proofErr w:type="spellStart"/>
      <w:r w:rsidRPr="00E32EA3">
        <w:t>sayısını</w:t>
      </w:r>
      <w:proofErr w:type="spellEnd"/>
      <w:r w:rsidRPr="00E32EA3">
        <w:t xml:space="preserve"> </w:t>
      </w:r>
      <w:proofErr w:type="spellStart"/>
      <w:r w:rsidRPr="00E32EA3">
        <w:t>hesaplamak</w:t>
      </w:r>
      <w:proofErr w:type="spellEnd"/>
      <w:r w:rsidRPr="00E32EA3">
        <w:t xml:space="preserve"> </w:t>
      </w:r>
      <w:proofErr w:type="spellStart"/>
      <w:r w:rsidRPr="00E32EA3">
        <w:t>amacıyla</w:t>
      </w:r>
      <w:proofErr w:type="spellEnd"/>
      <w:r w:rsidRPr="00E32EA3">
        <w:t xml:space="preserve">, Yazıcıoğlu </w:t>
      </w:r>
      <w:proofErr w:type="spellStart"/>
      <w:r w:rsidRPr="00E32EA3">
        <w:t>ve</w:t>
      </w:r>
      <w:proofErr w:type="spellEnd"/>
      <w:r w:rsidRPr="00E32EA3">
        <w:t xml:space="preserve"> </w:t>
      </w:r>
      <w:proofErr w:type="spellStart"/>
      <w:r w:rsidRPr="00E32EA3">
        <w:t>Erdoğan’ın</w:t>
      </w:r>
      <w:proofErr w:type="spellEnd"/>
      <w:r w:rsidRPr="00E32EA3">
        <w:t xml:space="preserve"> (2004) </w:t>
      </w:r>
      <w:proofErr w:type="spellStart"/>
      <w:r w:rsidRPr="00E32EA3">
        <w:t>bilimsel</w:t>
      </w:r>
      <w:proofErr w:type="spellEnd"/>
      <w:r w:rsidRPr="00E32EA3">
        <w:t xml:space="preserve"> </w:t>
      </w:r>
      <w:proofErr w:type="spellStart"/>
      <w:r w:rsidRPr="00E32EA3">
        <w:t>araştırma</w:t>
      </w:r>
      <w:proofErr w:type="spellEnd"/>
      <w:r w:rsidRPr="00E32EA3">
        <w:t xml:space="preserve"> </w:t>
      </w:r>
      <w:proofErr w:type="spellStart"/>
      <w:r w:rsidRPr="00E32EA3">
        <w:t>yöntemlerinde</w:t>
      </w:r>
      <w:proofErr w:type="spellEnd"/>
      <w:r w:rsidRPr="00E32EA3">
        <w:t xml:space="preserve"> </w:t>
      </w:r>
      <w:proofErr w:type="spellStart"/>
      <w:r w:rsidRPr="00E32EA3">
        <w:t>örneklem</w:t>
      </w:r>
      <w:proofErr w:type="spellEnd"/>
      <w:r w:rsidRPr="00E32EA3">
        <w:t xml:space="preserve"> </w:t>
      </w:r>
      <w:proofErr w:type="spellStart"/>
      <w:r w:rsidRPr="00E32EA3">
        <w:t>hesaplama</w:t>
      </w:r>
      <w:proofErr w:type="spellEnd"/>
      <w:r w:rsidRPr="00E32EA3">
        <w:t xml:space="preserve"> </w:t>
      </w:r>
      <w:proofErr w:type="spellStart"/>
      <w:r w:rsidRPr="00E32EA3">
        <w:t>için</w:t>
      </w:r>
      <w:proofErr w:type="spellEnd"/>
      <w:r w:rsidRPr="00E32EA3">
        <w:t xml:space="preserve"> </w:t>
      </w:r>
      <w:proofErr w:type="spellStart"/>
      <w:r w:rsidRPr="00E32EA3">
        <w:t>önermiş</w:t>
      </w:r>
      <w:proofErr w:type="spellEnd"/>
      <w:r w:rsidRPr="00E32EA3">
        <w:t xml:space="preserve"> </w:t>
      </w:r>
      <w:proofErr w:type="spellStart"/>
      <w:r w:rsidRPr="00E32EA3">
        <w:t>oldukları</w:t>
      </w:r>
      <w:proofErr w:type="spellEnd"/>
      <w:r w:rsidRPr="00E32EA3">
        <w:t xml:space="preserve"> </w:t>
      </w:r>
      <w:proofErr w:type="spellStart"/>
      <w:r w:rsidRPr="00E32EA3">
        <w:t>tablo</w:t>
      </w:r>
      <w:proofErr w:type="spellEnd"/>
      <w:r w:rsidRPr="00E32EA3">
        <w:t xml:space="preserve"> </w:t>
      </w:r>
      <w:proofErr w:type="spellStart"/>
      <w:r w:rsidRPr="00E32EA3">
        <w:t>kullanılarak</w:t>
      </w:r>
      <w:proofErr w:type="spellEnd"/>
      <w:r w:rsidRPr="00E32EA3">
        <w:t xml:space="preserve"> p </w:t>
      </w:r>
      <w:proofErr w:type="spellStart"/>
      <w:r w:rsidRPr="00E32EA3">
        <w:t>ve</w:t>
      </w:r>
      <w:proofErr w:type="spellEnd"/>
      <w:r w:rsidRPr="00E32EA3">
        <w:t xml:space="preserve"> q </w:t>
      </w:r>
      <w:proofErr w:type="spellStart"/>
      <w:r w:rsidRPr="00E32EA3">
        <w:t>değerleri</w:t>
      </w:r>
      <w:proofErr w:type="spellEnd"/>
      <w:r w:rsidRPr="00E32EA3">
        <w:t xml:space="preserve"> 0,5; alfa </w:t>
      </w:r>
      <w:proofErr w:type="spellStart"/>
      <w:r w:rsidRPr="00E32EA3">
        <w:t>ve</w:t>
      </w:r>
      <w:proofErr w:type="spellEnd"/>
      <w:r w:rsidRPr="00E32EA3">
        <w:t xml:space="preserve"> </w:t>
      </w:r>
      <w:proofErr w:type="spellStart"/>
      <w:r w:rsidRPr="00E32EA3">
        <w:t>örnekleme</w:t>
      </w:r>
      <w:proofErr w:type="spellEnd"/>
      <w:r w:rsidRPr="00E32EA3">
        <w:t xml:space="preserve"> </w:t>
      </w:r>
      <w:proofErr w:type="spellStart"/>
      <w:r w:rsidRPr="00E32EA3">
        <w:t>hatası</w:t>
      </w:r>
      <w:proofErr w:type="spellEnd"/>
      <w:r w:rsidRPr="00E32EA3">
        <w:t xml:space="preserve"> </w:t>
      </w:r>
      <w:proofErr w:type="spellStart"/>
      <w:r w:rsidRPr="00E32EA3">
        <w:t>değerleri</w:t>
      </w:r>
      <w:proofErr w:type="spellEnd"/>
      <w:r w:rsidRPr="00E32EA3">
        <w:t xml:space="preserve"> 0,05; </w:t>
      </w:r>
      <w:proofErr w:type="spellStart"/>
      <w:r w:rsidRPr="00E32EA3">
        <w:t>evren</w:t>
      </w:r>
      <w:proofErr w:type="spellEnd"/>
      <w:r w:rsidRPr="00E32EA3">
        <w:t xml:space="preserve"> </w:t>
      </w:r>
      <w:proofErr w:type="spellStart"/>
      <w:r w:rsidRPr="00E32EA3">
        <w:t>büyüklüğü</w:t>
      </w:r>
      <w:proofErr w:type="spellEnd"/>
      <w:r w:rsidRPr="00E32EA3">
        <w:t xml:space="preserve"> </w:t>
      </w:r>
      <w:proofErr w:type="spellStart"/>
      <w:r w:rsidRPr="00E32EA3">
        <w:t>ise</w:t>
      </w:r>
      <w:proofErr w:type="spellEnd"/>
      <w:r w:rsidRPr="00E32EA3">
        <w:t xml:space="preserve"> 100 </w:t>
      </w:r>
      <w:proofErr w:type="spellStart"/>
      <w:r w:rsidRPr="00E32EA3">
        <w:t>milyon</w:t>
      </w:r>
      <w:proofErr w:type="spellEnd"/>
      <w:r w:rsidRPr="00E32EA3">
        <w:t xml:space="preserve"> </w:t>
      </w:r>
      <w:proofErr w:type="spellStart"/>
      <w:r w:rsidRPr="00E32EA3">
        <w:t>olacak</w:t>
      </w:r>
      <w:proofErr w:type="spellEnd"/>
      <w:r w:rsidRPr="00E32EA3">
        <w:t xml:space="preserve"> </w:t>
      </w:r>
      <w:proofErr w:type="spellStart"/>
      <w:r w:rsidRPr="00E32EA3">
        <w:t>şekilde</w:t>
      </w:r>
      <w:proofErr w:type="spellEnd"/>
      <w:r w:rsidRPr="00E32EA3">
        <w:t xml:space="preserve"> </w:t>
      </w:r>
      <w:proofErr w:type="spellStart"/>
      <w:r w:rsidRPr="00E32EA3">
        <w:t>alınmış</w:t>
      </w:r>
      <w:proofErr w:type="spellEnd"/>
      <w:r w:rsidRPr="00E32EA3">
        <w:t xml:space="preserve"> </w:t>
      </w:r>
      <w:proofErr w:type="spellStart"/>
      <w:r w:rsidRPr="00E32EA3">
        <w:t>ve</w:t>
      </w:r>
      <w:proofErr w:type="spellEnd"/>
      <w:r w:rsidRPr="00E32EA3">
        <w:t xml:space="preserve"> </w:t>
      </w:r>
      <w:proofErr w:type="spellStart"/>
      <w:r w:rsidRPr="00E32EA3">
        <w:t>ulaşılması</w:t>
      </w:r>
      <w:proofErr w:type="spellEnd"/>
      <w:r w:rsidRPr="00E32EA3">
        <w:t xml:space="preserve"> </w:t>
      </w:r>
      <w:proofErr w:type="spellStart"/>
      <w:r w:rsidRPr="00E32EA3">
        <w:t>hedeflenen</w:t>
      </w:r>
      <w:proofErr w:type="spellEnd"/>
      <w:r w:rsidRPr="00E32EA3">
        <w:t xml:space="preserve"> </w:t>
      </w:r>
      <w:proofErr w:type="spellStart"/>
      <w:r w:rsidRPr="00E32EA3">
        <w:t>örneklem</w:t>
      </w:r>
      <w:proofErr w:type="spellEnd"/>
      <w:r w:rsidRPr="00E32EA3">
        <w:t xml:space="preserve"> </w:t>
      </w:r>
      <w:proofErr w:type="spellStart"/>
      <w:r w:rsidRPr="00E32EA3">
        <w:t>sayısı</w:t>
      </w:r>
      <w:proofErr w:type="spellEnd"/>
      <w:r>
        <w:t xml:space="preserve"> </w:t>
      </w:r>
      <w:proofErr w:type="spellStart"/>
      <w:r>
        <w:t>en</w:t>
      </w:r>
      <w:proofErr w:type="spellEnd"/>
      <w:r>
        <w:t xml:space="preserve"> </w:t>
      </w:r>
      <w:proofErr w:type="spellStart"/>
      <w:r>
        <w:t>az</w:t>
      </w:r>
      <w:proofErr w:type="spellEnd"/>
      <w:r w:rsidRPr="00E32EA3">
        <w:t xml:space="preserve"> 384 </w:t>
      </w:r>
      <w:proofErr w:type="spellStart"/>
      <w:r w:rsidRPr="00E32EA3">
        <w:t>olarak</w:t>
      </w:r>
      <w:proofErr w:type="spellEnd"/>
      <w:r w:rsidRPr="00E32EA3">
        <w:t xml:space="preserve"> </w:t>
      </w:r>
      <w:proofErr w:type="spellStart"/>
      <w:r w:rsidRPr="00E32EA3">
        <w:t>belirlenmiştir</w:t>
      </w:r>
      <w:proofErr w:type="spellEnd"/>
      <w:r w:rsidRPr="00E32EA3">
        <w:t xml:space="preserve">. </w:t>
      </w:r>
    </w:p>
    <w:p w14:paraId="59700332" w14:textId="77777777" w:rsidR="007513A1" w:rsidRPr="00866BD7" w:rsidRDefault="007513A1" w:rsidP="007513A1">
      <w:pPr>
        <w:pStyle w:val="NormalWeb"/>
        <w:spacing w:before="0" w:beforeAutospacing="0" w:after="0" w:afterAutospacing="0"/>
        <w:jc w:val="both"/>
      </w:pPr>
    </w:p>
    <w:p w14:paraId="4A4A2DB3" w14:textId="77777777" w:rsidR="00B470AD" w:rsidRDefault="00B470AD" w:rsidP="007513A1">
      <w:pPr>
        <w:pStyle w:val="NormalWeb"/>
        <w:spacing w:before="0" w:beforeAutospacing="0" w:after="0" w:afterAutospacing="0"/>
        <w:rPr>
          <w:b/>
          <w:bCs/>
        </w:rPr>
      </w:pPr>
      <w:r>
        <w:rPr>
          <w:b/>
          <w:bCs/>
        </w:rPr>
        <w:t xml:space="preserve">2.2. </w:t>
      </w:r>
      <w:proofErr w:type="spellStart"/>
      <w:r w:rsidRPr="00892C40">
        <w:rPr>
          <w:b/>
          <w:bCs/>
        </w:rPr>
        <w:t>Araştırma</w:t>
      </w:r>
      <w:proofErr w:type="spellEnd"/>
      <w:r w:rsidRPr="00892C40">
        <w:rPr>
          <w:b/>
          <w:bCs/>
        </w:rPr>
        <w:t xml:space="preserve"> </w:t>
      </w:r>
      <w:proofErr w:type="spellStart"/>
      <w:r w:rsidRPr="00892C40">
        <w:rPr>
          <w:b/>
          <w:bCs/>
        </w:rPr>
        <w:t>Modeli</w:t>
      </w:r>
      <w:proofErr w:type="spellEnd"/>
    </w:p>
    <w:p w14:paraId="1AC7F8AE" w14:textId="77777777" w:rsidR="00B470AD" w:rsidRDefault="00B470AD" w:rsidP="007513A1">
      <w:pPr>
        <w:pStyle w:val="NormalWeb"/>
        <w:spacing w:before="0" w:beforeAutospacing="0" w:after="0" w:afterAutospacing="0"/>
        <w:jc w:val="both"/>
      </w:pPr>
      <w:proofErr w:type="spellStart"/>
      <w:r>
        <w:t>Araştırma</w:t>
      </w:r>
      <w:proofErr w:type="spellEnd"/>
      <w:r>
        <w:t xml:space="preserve"> </w:t>
      </w:r>
      <w:proofErr w:type="spellStart"/>
      <w:r>
        <w:t>nicel</w:t>
      </w:r>
      <w:proofErr w:type="spellEnd"/>
      <w:r>
        <w:t xml:space="preserve"> </w:t>
      </w:r>
      <w:proofErr w:type="spellStart"/>
      <w:r>
        <w:t>araştırmadır</w:t>
      </w:r>
      <w:proofErr w:type="spellEnd"/>
      <w:r>
        <w:t xml:space="preserve"> </w:t>
      </w:r>
      <w:proofErr w:type="spellStart"/>
      <w:r>
        <w:t>ve</w:t>
      </w:r>
      <w:proofErr w:type="spellEnd"/>
      <w:r>
        <w:t xml:space="preserve"> </w:t>
      </w:r>
      <w:proofErr w:type="spellStart"/>
      <w:r>
        <w:t>araştırma</w:t>
      </w:r>
      <w:proofErr w:type="spellEnd"/>
      <w:r>
        <w:t xml:space="preserve"> </w:t>
      </w:r>
      <w:proofErr w:type="spellStart"/>
      <w:r>
        <w:t>deseni</w:t>
      </w:r>
      <w:proofErr w:type="spellEnd"/>
      <w:r>
        <w:t xml:space="preserve"> </w:t>
      </w:r>
      <w:proofErr w:type="spellStart"/>
      <w:r>
        <w:t>korelasyonel</w:t>
      </w:r>
      <w:proofErr w:type="spellEnd"/>
      <w:r>
        <w:t xml:space="preserve"> </w:t>
      </w:r>
      <w:proofErr w:type="spellStart"/>
      <w:r>
        <w:t>araştırmadır</w:t>
      </w:r>
      <w:proofErr w:type="spellEnd"/>
      <w:r>
        <w:t xml:space="preserve">. İki </w:t>
      </w:r>
      <w:proofErr w:type="spellStart"/>
      <w:r>
        <w:t>değişken</w:t>
      </w:r>
      <w:proofErr w:type="spellEnd"/>
      <w:r>
        <w:t xml:space="preserve"> </w:t>
      </w:r>
      <w:proofErr w:type="spellStart"/>
      <w:r>
        <w:t>arasındaki</w:t>
      </w:r>
      <w:proofErr w:type="spellEnd"/>
      <w:r>
        <w:t xml:space="preserve"> </w:t>
      </w:r>
      <w:proofErr w:type="spellStart"/>
      <w:r>
        <w:t>ilişkiyi</w:t>
      </w:r>
      <w:proofErr w:type="spellEnd"/>
      <w:r>
        <w:t xml:space="preserve"> </w:t>
      </w:r>
      <w:proofErr w:type="spellStart"/>
      <w:r>
        <w:t>manipülasyon</w:t>
      </w:r>
      <w:proofErr w:type="spellEnd"/>
      <w:r>
        <w:t xml:space="preserve"> </w:t>
      </w:r>
      <w:proofErr w:type="spellStart"/>
      <w:r>
        <w:t>uygulanmadan</w:t>
      </w:r>
      <w:proofErr w:type="spellEnd"/>
      <w:r>
        <w:t xml:space="preserve"> </w:t>
      </w:r>
      <w:proofErr w:type="spellStart"/>
      <w:r>
        <w:t>incelemek</w:t>
      </w:r>
      <w:proofErr w:type="spellEnd"/>
      <w:r>
        <w:t xml:space="preserve"> </w:t>
      </w:r>
      <w:proofErr w:type="spellStart"/>
      <w:r>
        <w:t>amaçlandığı</w:t>
      </w:r>
      <w:proofErr w:type="spellEnd"/>
      <w:r>
        <w:t xml:space="preserve"> </w:t>
      </w:r>
      <w:proofErr w:type="spellStart"/>
      <w:r>
        <w:t>için</w:t>
      </w:r>
      <w:proofErr w:type="spellEnd"/>
      <w:r>
        <w:t xml:space="preserve"> </w:t>
      </w:r>
      <w:proofErr w:type="spellStart"/>
      <w:r>
        <w:t>bu</w:t>
      </w:r>
      <w:proofErr w:type="spellEnd"/>
      <w:r>
        <w:t xml:space="preserve"> </w:t>
      </w:r>
      <w:proofErr w:type="spellStart"/>
      <w:r>
        <w:t>desen</w:t>
      </w:r>
      <w:proofErr w:type="spellEnd"/>
      <w:r>
        <w:t xml:space="preserve"> </w:t>
      </w:r>
      <w:proofErr w:type="spellStart"/>
      <w:r>
        <w:t>tercih</w:t>
      </w:r>
      <w:proofErr w:type="spellEnd"/>
      <w:r>
        <w:t xml:space="preserve"> </w:t>
      </w:r>
      <w:proofErr w:type="spellStart"/>
      <w:r>
        <w:t>edilmiştir</w:t>
      </w:r>
      <w:proofErr w:type="spellEnd"/>
      <w:r>
        <w:t>. Meta-</w:t>
      </w:r>
      <w:proofErr w:type="spellStart"/>
      <w:r>
        <w:t>endişe</w:t>
      </w:r>
      <w:proofErr w:type="spellEnd"/>
      <w:r>
        <w:t xml:space="preserve"> </w:t>
      </w:r>
      <w:proofErr w:type="spellStart"/>
      <w:r>
        <w:t>ile</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arasındaki</w:t>
      </w:r>
      <w:proofErr w:type="spellEnd"/>
      <w:r>
        <w:t xml:space="preserve"> </w:t>
      </w:r>
      <w:proofErr w:type="spellStart"/>
      <w:r>
        <w:t>ilişki</w:t>
      </w:r>
      <w:proofErr w:type="spellEnd"/>
      <w:r>
        <w:t xml:space="preserve"> </w:t>
      </w:r>
      <w:proofErr w:type="spellStart"/>
      <w:r>
        <w:t>incelenmiştir</w:t>
      </w:r>
      <w:proofErr w:type="spellEnd"/>
      <w:r>
        <w:t>.</w:t>
      </w:r>
    </w:p>
    <w:p w14:paraId="1E9ECB8E" w14:textId="77777777" w:rsidR="007513A1" w:rsidRPr="00417E96" w:rsidRDefault="007513A1" w:rsidP="007513A1">
      <w:pPr>
        <w:pStyle w:val="NormalWeb"/>
        <w:spacing w:before="0" w:beforeAutospacing="0" w:after="0" w:afterAutospacing="0"/>
        <w:jc w:val="both"/>
      </w:pPr>
    </w:p>
    <w:p w14:paraId="049BFE16" w14:textId="77777777" w:rsidR="00B470AD" w:rsidRDefault="00B470AD" w:rsidP="007513A1">
      <w:pPr>
        <w:pStyle w:val="NormalWeb"/>
        <w:spacing w:before="0" w:beforeAutospacing="0" w:after="0" w:afterAutospacing="0"/>
        <w:rPr>
          <w:b/>
          <w:bCs/>
        </w:rPr>
      </w:pPr>
      <w:r>
        <w:rPr>
          <w:b/>
          <w:bCs/>
        </w:rPr>
        <w:t xml:space="preserve">2.3. Veri </w:t>
      </w:r>
      <w:proofErr w:type="spellStart"/>
      <w:r>
        <w:rPr>
          <w:b/>
          <w:bCs/>
        </w:rPr>
        <w:t>Toplama</w:t>
      </w:r>
      <w:proofErr w:type="spellEnd"/>
      <w:r>
        <w:rPr>
          <w:b/>
          <w:bCs/>
        </w:rPr>
        <w:t xml:space="preserve"> </w:t>
      </w:r>
      <w:proofErr w:type="spellStart"/>
      <w:r>
        <w:rPr>
          <w:b/>
          <w:bCs/>
        </w:rPr>
        <w:t>Araçları</w:t>
      </w:r>
      <w:proofErr w:type="spellEnd"/>
    </w:p>
    <w:p w14:paraId="6F6F416B" w14:textId="77777777" w:rsidR="00B470AD" w:rsidRDefault="00B470AD" w:rsidP="007513A1">
      <w:pPr>
        <w:pStyle w:val="NormalWeb"/>
        <w:spacing w:before="0" w:beforeAutospacing="0" w:after="0" w:afterAutospacing="0"/>
        <w:jc w:val="both"/>
      </w:pPr>
      <w:r w:rsidRPr="004C48BB">
        <w:t xml:space="preserve">Bu </w:t>
      </w:r>
      <w:proofErr w:type="spellStart"/>
      <w:r w:rsidRPr="004C48BB">
        <w:t>çalışma</w:t>
      </w:r>
      <w:r>
        <w:t>da</w:t>
      </w:r>
      <w:proofErr w:type="spellEnd"/>
      <w:r w:rsidRPr="004C48BB">
        <w:t xml:space="preserve"> </w:t>
      </w:r>
      <w:proofErr w:type="spellStart"/>
      <w:r w:rsidRPr="004C48BB">
        <w:t>katılımcılara</w:t>
      </w:r>
      <w:proofErr w:type="spellEnd"/>
      <w:r w:rsidRPr="004C48BB">
        <w:t xml:space="preserve"> </w:t>
      </w:r>
      <w:proofErr w:type="spellStart"/>
      <w:r w:rsidRPr="004C48BB">
        <w:t>ait</w:t>
      </w:r>
      <w:proofErr w:type="spellEnd"/>
      <w:r w:rsidRPr="004C48BB">
        <w:t xml:space="preserve"> </w:t>
      </w:r>
      <w:proofErr w:type="spellStart"/>
      <w:r w:rsidRPr="004C48BB">
        <w:t>demografik</w:t>
      </w:r>
      <w:proofErr w:type="spellEnd"/>
      <w:r w:rsidRPr="004C48BB">
        <w:t xml:space="preserve"> </w:t>
      </w:r>
      <w:proofErr w:type="spellStart"/>
      <w:r w:rsidRPr="004C48BB">
        <w:t>verileri</w:t>
      </w:r>
      <w:proofErr w:type="spellEnd"/>
      <w:r w:rsidRPr="004C48BB">
        <w:t xml:space="preserve"> </w:t>
      </w:r>
      <w:proofErr w:type="spellStart"/>
      <w:r w:rsidRPr="004C48BB">
        <w:t>elde</w:t>
      </w:r>
      <w:proofErr w:type="spellEnd"/>
      <w:r w:rsidRPr="004C48BB">
        <w:t xml:space="preserve"> </w:t>
      </w:r>
      <w:proofErr w:type="spellStart"/>
      <w:r w:rsidRPr="004C48BB">
        <w:t>edebilmek</w:t>
      </w:r>
      <w:proofErr w:type="spellEnd"/>
      <w:r w:rsidRPr="004C48BB">
        <w:t xml:space="preserve"> </w:t>
      </w:r>
      <w:proofErr w:type="spellStart"/>
      <w:r w:rsidRPr="004C48BB">
        <w:t>amacıyla</w:t>
      </w:r>
      <w:proofErr w:type="spellEnd"/>
      <w:r w:rsidRPr="004C48BB">
        <w:t xml:space="preserve">, </w:t>
      </w:r>
      <w:proofErr w:type="spellStart"/>
      <w:r w:rsidRPr="004C48BB">
        <w:t>Sosyodemografik</w:t>
      </w:r>
      <w:proofErr w:type="spellEnd"/>
      <w:r w:rsidRPr="004C48BB">
        <w:t xml:space="preserve"> </w:t>
      </w:r>
      <w:r>
        <w:t xml:space="preserve">Veri </w:t>
      </w:r>
      <w:proofErr w:type="spellStart"/>
      <w:r w:rsidRPr="004C48BB">
        <w:t>Formu</w:t>
      </w:r>
      <w:proofErr w:type="spellEnd"/>
      <w:r w:rsidRPr="004C48BB">
        <w:t xml:space="preserve">, </w:t>
      </w:r>
      <w:proofErr w:type="spellStart"/>
      <w:r w:rsidRPr="004C48BB">
        <w:t>Bilişsel</w:t>
      </w:r>
      <w:proofErr w:type="spellEnd"/>
      <w:r w:rsidRPr="004C48BB">
        <w:t xml:space="preserve"> </w:t>
      </w:r>
      <w:proofErr w:type="spellStart"/>
      <w:r w:rsidRPr="004C48BB">
        <w:t>Abartma</w:t>
      </w:r>
      <w:proofErr w:type="spellEnd"/>
      <w:r w:rsidRPr="004C48BB">
        <w:t xml:space="preserve"> </w:t>
      </w:r>
      <w:proofErr w:type="spellStart"/>
      <w:r w:rsidRPr="004C48BB">
        <w:t>Tarzı</w:t>
      </w:r>
      <w:proofErr w:type="spellEnd"/>
      <w:r w:rsidRPr="004C48BB">
        <w:t xml:space="preserve"> </w:t>
      </w:r>
      <w:proofErr w:type="spellStart"/>
      <w:r w:rsidRPr="004C48BB">
        <w:t>Ölçeği-Yeniden</w:t>
      </w:r>
      <w:proofErr w:type="spellEnd"/>
      <w:r w:rsidRPr="004C48BB">
        <w:t xml:space="preserve"> </w:t>
      </w:r>
      <w:proofErr w:type="spellStart"/>
      <w:r w:rsidRPr="004C48BB">
        <w:t>Değerlendirilmiş</w:t>
      </w:r>
      <w:proofErr w:type="spellEnd"/>
      <w:r w:rsidRPr="004C48BB">
        <w:t xml:space="preserve"> </w:t>
      </w:r>
      <w:proofErr w:type="spellStart"/>
      <w:r w:rsidRPr="004C48BB">
        <w:t>Türkçe</w:t>
      </w:r>
      <w:proofErr w:type="spellEnd"/>
      <w:r w:rsidRPr="004C48BB">
        <w:t xml:space="preserve"> </w:t>
      </w:r>
      <w:proofErr w:type="spellStart"/>
      <w:r w:rsidRPr="004C48BB">
        <w:t>Formu</w:t>
      </w:r>
      <w:proofErr w:type="spellEnd"/>
      <w:r w:rsidRPr="004C48BB">
        <w:t>, Meta-</w:t>
      </w:r>
      <w:proofErr w:type="spellStart"/>
      <w:r w:rsidRPr="004C48BB">
        <w:t>Endişe</w:t>
      </w:r>
      <w:proofErr w:type="spellEnd"/>
      <w:r w:rsidRPr="004C48BB">
        <w:t xml:space="preserve"> </w:t>
      </w:r>
      <w:proofErr w:type="spellStart"/>
      <w:r w:rsidRPr="004C48BB">
        <w:t>Ölçeği</w:t>
      </w:r>
      <w:proofErr w:type="spellEnd"/>
      <w:r w:rsidRPr="004C48BB">
        <w:t xml:space="preserve">, Penn State </w:t>
      </w:r>
      <w:proofErr w:type="spellStart"/>
      <w:r w:rsidRPr="004C48BB">
        <w:t>Endişe</w:t>
      </w:r>
      <w:proofErr w:type="spellEnd"/>
      <w:r w:rsidRPr="004C48BB">
        <w:t xml:space="preserve"> </w:t>
      </w:r>
      <w:proofErr w:type="spellStart"/>
      <w:r w:rsidRPr="004C48BB">
        <w:t>Ölçeği</w:t>
      </w:r>
      <w:proofErr w:type="spellEnd"/>
      <w:r w:rsidRPr="004C48BB">
        <w:t xml:space="preserve"> </w:t>
      </w:r>
      <w:proofErr w:type="spellStart"/>
      <w:r w:rsidRPr="004C48BB">
        <w:t>kullanılmıştır</w:t>
      </w:r>
      <w:proofErr w:type="spellEnd"/>
      <w:r>
        <w:t xml:space="preserve">. </w:t>
      </w:r>
    </w:p>
    <w:p w14:paraId="3F9CEDCF" w14:textId="77777777" w:rsidR="007513A1" w:rsidRPr="004C48BB" w:rsidRDefault="007513A1" w:rsidP="007513A1">
      <w:pPr>
        <w:pStyle w:val="NormalWeb"/>
        <w:spacing w:before="0" w:beforeAutospacing="0" w:after="0" w:afterAutospacing="0"/>
        <w:jc w:val="both"/>
      </w:pPr>
    </w:p>
    <w:p w14:paraId="1A2DA540" w14:textId="77777777" w:rsidR="00B470AD" w:rsidRDefault="00B470AD" w:rsidP="007513A1">
      <w:pPr>
        <w:pStyle w:val="NormalWeb"/>
        <w:spacing w:before="0" w:beforeAutospacing="0" w:after="0" w:afterAutospacing="0"/>
        <w:rPr>
          <w:b/>
          <w:bCs/>
        </w:rPr>
      </w:pPr>
      <w:r>
        <w:rPr>
          <w:b/>
          <w:bCs/>
        </w:rPr>
        <w:t>2.3.1</w:t>
      </w:r>
      <w:r w:rsidRPr="00B93262">
        <w:rPr>
          <w:b/>
          <w:bCs/>
        </w:rPr>
        <w:t xml:space="preserve">. </w:t>
      </w:r>
      <w:proofErr w:type="spellStart"/>
      <w:r w:rsidRPr="00B93262">
        <w:rPr>
          <w:b/>
          <w:bCs/>
        </w:rPr>
        <w:t>Sosyodemografik</w:t>
      </w:r>
      <w:proofErr w:type="spellEnd"/>
      <w:r w:rsidRPr="00B93262">
        <w:rPr>
          <w:b/>
          <w:bCs/>
        </w:rPr>
        <w:t xml:space="preserve"> Veri </w:t>
      </w:r>
      <w:proofErr w:type="spellStart"/>
      <w:r w:rsidRPr="00B93262">
        <w:rPr>
          <w:b/>
          <w:bCs/>
        </w:rPr>
        <w:t>Formu</w:t>
      </w:r>
      <w:proofErr w:type="spellEnd"/>
      <w:r w:rsidRPr="00B93262">
        <w:rPr>
          <w:b/>
          <w:bCs/>
        </w:rPr>
        <w:t xml:space="preserve"> </w:t>
      </w:r>
    </w:p>
    <w:p w14:paraId="642959FF" w14:textId="77777777" w:rsidR="00B470AD" w:rsidRDefault="00B470AD" w:rsidP="007513A1">
      <w:pPr>
        <w:pStyle w:val="NormalWeb"/>
        <w:spacing w:before="0" w:beforeAutospacing="0" w:after="0" w:afterAutospacing="0"/>
        <w:jc w:val="both"/>
      </w:pPr>
      <w:r w:rsidRPr="00B810D8">
        <w:t xml:space="preserve">Katılımcıların </w:t>
      </w:r>
      <w:proofErr w:type="spellStart"/>
      <w:r w:rsidRPr="00B810D8">
        <w:t>yaş</w:t>
      </w:r>
      <w:proofErr w:type="spellEnd"/>
      <w:r w:rsidRPr="00B810D8">
        <w:t xml:space="preserve">, </w:t>
      </w:r>
      <w:proofErr w:type="spellStart"/>
      <w:r w:rsidRPr="00B810D8">
        <w:t>cinsiyet</w:t>
      </w:r>
      <w:proofErr w:type="spellEnd"/>
      <w:r w:rsidRPr="00B810D8">
        <w:t xml:space="preserve">, </w:t>
      </w:r>
      <w:proofErr w:type="spellStart"/>
      <w:r w:rsidRPr="00B810D8">
        <w:t>medeni</w:t>
      </w:r>
      <w:proofErr w:type="spellEnd"/>
      <w:r w:rsidRPr="00B810D8">
        <w:t xml:space="preserve"> durum, </w:t>
      </w:r>
      <w:proofErr w:type="spellStart"/>
      <w:r w:rsidRPr="00B810D8">
        <w:t>eğitim</w:t>
      </w:r>
      <w:proofErr w:type="spellEnd"/>
      <w:r w:rsidRPr="00B810D8">
        <w:t xml:space="preserve"> </w:t>
      </w:r>
      <w:proofErr w:type="spellStart"/>
      <w:r w:rsidRPr="00B810D8">
        <w:t>düzeyi</w:t>
      </w:r>
      <w:proofErr w:type="spellEnd"/>
      <w:r w:rsidRPr="00B810D8">
        <w:t xml:space="preserve">, </w:t>
      </w:r>
      <w:proofErr w:type="spellStart"/>
      <w:r w:rsidRPr="00B810D8">
        <w:t>psikiyatrik</w:t>
      </w:r>
      <w:proofErr w:type="spellEnd"/>
      <w:r w:rsidRPr="00B810D8">
        <w:t xml:space="preserve"> </w:t>
      </w:r>
      <w:proofErr w:type="spellStart"/>
      <w:r w:rsidRPr="00B810D8">
        <w:t>geçmiş</w:t>
      </w:r>
      <w:proofErr w:type="spellEnd"/>
      <w:r>
        <w:t>,</w:t>
      </w:r>
      <w:r w:rsidRPr="00B810D8">
        <w:t xml:space="preserve"> </w:t>
      </w:r>
      <w:proofErr w:type="spellStart"/>
      <w:r w:rsidRPr="00B810D8">
        <w:t>alkol</w:t>
      </w:r>
      <w:proofErr w:type="spellEnd"/>
      <w:r w:rsidRPr="00B810D8">
        <w:t xml:space="preserve"> </w:t>
      </w:r>
      <w:proofErr w:type="spellStart"/>
      <w:r w:rsidRPr="00B810D8">
        <w:t>ve</w:t>
      </w:r>
      <w:proofErr w:type="spellEnd"/>
      <w:r w:rsidRPr="00B810D8">
        <w:t xml:space="preserve"> </w:t>
      </w:r>
      <w:proofErr w:type="spellStart"/>
      <w:r w:rsidRPr="00B810D8">
        <w:t>madde</w:t>
      </w:r>
      <w:proofErr w:type="spellEnd"/>
      <w:r w:rsidRPr="00B810D8">
        <w:t xml:space="preserve"> </w:t>
      </w:r>
      <w:proofErr w:type="spellStart"/>
      <w:r w:rsidRPr="00B810D8">
        <w:t>kullanımı</w:t>
      </w:r>
      <w:proofErr w:type="spellEnd"/>
      <w:r w:rsidRPr="00B810D8">
        <w:t xml:space="preserve"> </w:t>
      </w:r>
      <w:proofErr w:type="spellStart"/>
      <w:r w:rsidRPr="00B810D8">
        <w:t>gibi</w:t>
      </w:r>
      <w:proofErr w:type="spellEnd"/>
      <w:r w:rsidRPr="00B810D8">
        <w:t xml:space="preserve"> </w:t>
      </w:r>
      <w:proofErr w:type="spellStart"/>
      <w:r w:rsidRPr="00B810D8">
        <w:t>demografik</w:t>
      </w:r>
      <w:proofErr w:type="spellEnd"/>
      <w:r w:rsidRPr="00B810D8">
        <w:t xml:space="preserve"> </w:t>
      </w:r>
      <w:proofErr w:type="spellStart"/>
      <w:r w:rsidRPr="00B810D8">
        <w:t>bilgiler</w:t>
      </w:r>
      <w:proofErr w:type="spellEnd"/>
      <w:r w:rsidRPr="00B810D8">
        <w:t xml:space="preserve"> </w:t>
      </w:r>
      <w:proofErr w:type="spellStart"/>
      <w:r w:rsidRPr="00B810D8">
        <w:t>hakkında</w:t>
      </w:r>
      <w:proofErr w:type="spellEnd"/>
      <w:r w:rsidRPr="00B810D8">
        <w:t xml:space="preserve"> </w:t>
      </w:r>
      <w:proofErr w:type="spellStart"/>
      <w:r w:rsidRPr="00B810D8">
        <w:t>bilgi</w:t>
      </w:r>
      <w:proofErr w:type="spellEnd"/>
      <w:r w:rsidRPr="00B810D8">
        <w:t xml:space="preserve"> </w:t>
      </w:r>
      <w:proofErr w:type="spellStart"/>
      <w:r w:rsidRPr="00B810D8">
        <w:t>toplamak</w:t>
      </w:r>
      <w:proofErr w:type="spellEnd"/>
      <w:r w:rsidRPr="00B810D8">
        <w:t xml:space="preserve"> </w:t>
      </w:r>
      <w:proofErr w:type="spellStart"/>
      <w:r w:rsidRPr="00B810D8">
        <w:t>için</w:t>
      </w:r>
      <w:proofErr w:type="spellEnd"/>
      <w:r w:rsidRPr="00B810D8">
        <w:t xml:space="preserve"> </w:t>
      </w:r>
      <w:proofErr w:type="spellStart"/>
      <w:r w:rsidRPr="00B810D8">
        <w:t>araştırmacı</w:t>
      </w:r>
      <w:proofErr w:type="spellEnd"/>
      <w:r w:rsidRPr="00B810D8">
        <w:t xml:space="preserve"> </w:t>
      </w:r>
      <w:proofErr w:type="spellStart"/>
      <w:r w:rsidRPr="00B810D8">
        <w:t>tarafından</w:t>
      </w:r>
      <w:proofErr w:type="spellEnd"/>
      <w:r w:rsidRPr="00B810D8">
        <w:t xml:space="preserve"> </w:t>
      </w:r>
      <w:proofErr w:type="spellStart"/>
      <w:r w:rsidRPr="00B810D8">
        <w:t>oluşturulan</w:t>
      </w:r>
      <w:proofErr w:type="spellEnd"/>
      <w:r w:rsidRPr="00B810D8">
        <w:t xml:space="preserve"> </w:t>
      </w:r>
      <w:proofErr w:type="spellStart"/>
      <w:r w:rsidRPr="00B810D8">
        <w:t>Sosyodemografik</w:t>
      </w:r>
      <w:proofErr w:type="spellEnd"/>
      <w:r>
        <w:t xml:space="preserve"> Veri</w:t>
      </w:r>
      <w:r w:rsidRPr="00B810D8">
        <w:t xml:space="preserve"> </w:t>
      </w:r>
      <w:proofErr w:type="spellStart"/>
      <w:r w:rsidRPr="00B810D8">
        <w:t>Formu</w:t>
      </w:r>
      <w:proofErr w:type="spellEnd"/>
      <w:r w:rsidRPr="00B810D8">
        <w:t xml:space="preserve"> </w:t>
      </w:r>
      <w:proofErr w:type="spellStart"/>
      <w:r w:rsidRPr="00B810D8">
        <w:t>kullanılmıştır</w:t>
      </w:r>
      <w:proofErr w:type="spellEnd"/>
      <w:r w:rsidRPr="00B810D8">
        <w:t xml:space="preserve">. </w:t>
      </w:r>
    </w:p>
    <w:p w14:paraId="1D47694F" w14:textId="77777777" w:rsidR="007513A1" w:rsidRDefault="007513A1" w:rsidP="007513A1">
      <w:pPr>
        <w:pStyle w:val="NormalWeb"/>
        <w:spacing w:before="0" w:beforeAutospacing="0" w:after="0" w:afterAutospacing="0"/>
        <w:jc w:val="both"/>
      </w:pPr>
    </w:p>
    <w:p w14:paraId="23FEFACD" w14:textId="77777777" w:rsidR="007513A1" w:rsidRDefault="007513A1" w:rsidP="007513A1">
      <w:pPr>
        <w:pStyle w:val="NormalWeb"/>
        <w:spacing w:before="0" w:beforeAutospacing="0" w:after="0" w:afterAutospacing="0"/>
        <w:jc w:val="both"/>
      </w:pPr>
    </w:p>
    <w:p w14:paraId="75E4EAB1" w14:textId="77777777" w:rsidR="007513A1" w:rsidRPr="00B32A20" w:rsidRDefault="007513A1" w:rsidP="007513A1">
      <w:pPr>
        <w:pStyle w:val="NormalWeb"/>
        <w:spacing w:before="0" w:beforeAutospacing="0" w:after="0" w:afterAutospacing="0"/>
        <w:jc w:val="both"/>
      </w:pPr>
    </w:p>
    <w:p w14:paraId="216E6BFF" w14:textId="77777777" w:rsidR="00B470AD" w:rsidRDefault="00B470AD" w:rsidP="007513A1">
      <w:pPr>
        <w:pStyle w:val="NormalWeb"/>
        <w:spacing w:before="0" w:beforeAutospacing="0" w:after="0" w:afterAutospacing="0"/>
        <w:rPr>
          <w:b/>
          <w:bCs/>
        </w:rPr>
      </w:pPr>
      <w:r w:rsidRPr="00B93262">
        <w:rPr>
          <w:b/>
          <w:bCs/>
        </w:rPr>
        <w:lastRenderedPageBreak/>
        <w:t>2.3.2. Meta-</w:t>
      </w:r>
      <w:proofErr w:type="spellStart"/>
      <w:r w:rsidRPr="00B93262">
        <w:rPr>
          <w:b/>
          <w:bCs/>
        </w:rPr>
        <w:t>Endişe</w:t>
      </w:r>
      <w:proofErr w:type="spellEnd"/>
      <w:r w:rsidRPr="00B93262">
        <w:rPr>
          <w:b/>
          <w:bCs/>
        </w:rPr>
        <w:t xml:space="preserve"> </w:t>
      </w:r>
      <w:proofErr w:type="spellStart"/>
      <w:r w:rsidRPr="00B93262">
        <w:rPr>
          <w:b/>
          <w:bCs/>
        </w:rPr>
        <w:t>Ölçeği</w:t>
      </w:r>
      <w:proofErr w:type="spellEnd"/>
    </w:p>
    <w:p w14:paraId="2431DFBE" w14:textId="77777777" w:rsidR="00B470AD" w:rsidRDefault="00B470AD" w:rsidP="007513A1">
      <w:pPr>
        <w:pStyle w:val="NormalWeb"/>
        <w:spacing w:before="0" w:beforeAutospacing="0" w:after="0" w:afterAutospacing="0"/>
        <w:jc w:val="both"/>
      </w:pPr>
      <w:r w:rsidRPr="000E7C8B">
        <w:t xml:space="preserve">Adrian Wells </w:t>
      </w:r>
      <w:proofErr w:type="spellStart"/>
      <w:r w:rsidRPr="000E7C8B">
        <w:t>tarafından</w:t>
      </w:r>
      <w:proofErr w:type="spellEnd"/>
      <w:r w:rsidRPr="000E7C8B">
        <w:t xml:space="preserve"> 2005 </w:t>
      </w:r>
      <w:proofErr w:type="spellStart"/>
      <w:r w:rsidRPr="000E7C8B">
        <w:t>yılında</w:t>
      </w:r>
      <w:proofErr w:type="spellEnd"/>
      <w:r w:rsidRPr="000E7C8B">
        <w:t xml:space="preserve"> </w:t>
      </w:r>
      <w:proofErr w:type="spellStart"/>
      <w:r w:rsidRPr="000E7C8B">
        <w:t>geliştirilmiştir</w:t>
      </w:r>
      <w:proofErr w:type="spellEnd"/>
      <w:r w:rsidRPr="000E7C8B">
        <w:t xml:space="preserve">. </w:t>
      </w:r>
      <w:proofErr w:type="spellStart"/>
      <w:r w:rsidRPr="000E7C8B">
        <w:t>Ölçek</w:t>
      </w:r>
      <w:proofErr w:type="spellEnd"/>
      <w:r w:rsidRPr="000E7C8B">
        <w:t xml:space="preserve"> meta </w:t>
      </w:r>
      <w:proofErr w:type="spellStart"/>
      <w:r w:rsidRPr="000E7C8B">
        <w:t>endişenin</w:t>
      </w:r>
      <w:proofErr w:type="spellEnd"/>
      <w:r w:rsidRPr="000E7C8B">
        <w:t xml:space="preserve"> </w:t>
      </w:r>
      <w:proofErr w:type="spellStart"/>
      <w:r w:rsidRPr="000E7C8B">
        <w:t>sıklık</w:t>
      </w:r>
      <w:proofErr w:type="spellEnd"/>
      <w:r w:rsidRPr="000E7C8B">
        <w:t xml:space="preserve"> </w:t>
      </w:r>
      <w:proofErr w:type="spellStart"/>
      <w:r w:rsidRPr="000E7C8B">
        <w:t>ve</w:t>
      </w:r>
      <w:proofErr w:type="spellEnd"/>
      <w:r w:rsidRPr="000E7C8B">
        <w:t xml:space="preserve"> </w:t>
      </w:r>
      <w:proofErr w:type="spellStart"/>
      <w:r w:rsidRPr="000E7C8B">
        <w:t>inanç</w:t>
      </w:r>
      <w:proofErr w:type="spellEnd"/>
      <w:r w:rsidRPr="000E7C8B">
        <w:t xml:space="preserve"> </w:t>
      </w:r>
      <w:proofErr w:type="spellStart"/>
      <w:r w:rsidRPr="000E7C8B">
        <w:t>düzeyini</w:t>
      </w:r>
      <w:proofErr w:type="spellEnd"/>
      <w:r w:rsidRPr="000E7C8B">
        <w:t xml:space="preserve"> </w:t>
      </w:r>
      <w:proofErr w:type="spellStart"/>
      <w:r w:rsidRPr="000E7C8B">
        <w:t>değerlendirir</w:t>
      </w:r>
      <w:proofErr w:type="spellEnd"/>
      <w:r w:rsidRPr="000E7C8B">
        <w:t xml:space="preserve">. </w:t>
      </w:r>
      <w:proofErr w:type="spellStart"/>
      <w:r w:rsidRPr="000E7C8B">
        <w:t>Ölçek</w:t>
      </w:r>
      <w:proofErr w:type="spellEnd"/>
      <w:r w:rsidRPr="000E7C8B">
        <w:t xml:space="preserve"> </w:t>
      </w:r>
      <w:proofErr w:type="spellStart"/>
      <w:r w:rsidRPr="000E7C8B">
        <w:t>endişenin</w:t>
      </w:r>
      <w:proofErr w:type="spellEnd"/>
      <w:r w:rsidRPr="000E7C8B">
        <w:t xml:space="preserve"> </w:t>
      </w:r>
      <w:proofErr w:type="spellStart"/>
      <w:r w:rsidRPr="000E7C8B">
        <w:t>tehlike</w:t>
      </w:r>
      <w:proofErr w:type="spellEnd"/>
      <w:r w:rsidRPr="000E7C8B">
        <w:t xml:space="preserve"> </w:t>
      </w:r>
      <w:proofErr w:type="spellStart"/>
      <w:r w:rsidRPr="000E7C8B">
        <w:t>boyutunu</w:t>
      </w:r>
      <w:proofErr w:type="spellEnd"/>
      <w:r w:rsidRPr="000E7C8B">
        <w:t xml:space="preserve"> </w:t>
      </w:r>
      <w:proofErr w:type="spellStart"/>
      <w:r w:rsidRPr="000E7C8B">
        <w:t>ölçen</w:t>
      </w:r>
      <w:proofErr w:type="spellEnd"/>
      <w:r w:rsidRPr="000E7C8B">
        <w:t xml:space="preserve"> 7 </w:t>
      </w:r>
      <w:proofErr w:type="spellStart"/>
      <w:r w:rsidRPr="000E7C8B">
        <w:t>maddeden</w:t>
      </w:r>
      <w:proofErr w:type="spellEnd"/>
      <w:r w:rsidRPr="000E7C8B">
        <w:t xml:space="preserve"> </w:t>
      </w:r>
      <w:proofErr w:type="spellStart"/>
      <w:r w:rsidRPr="000E7C8B">
        <w:t>oluşmaktadır</w:t>
      </w:r>
      <w:proofErr w:type="spellEnd"/>
      <w:r w:rsidRPr="000E7C8B">
        <w:t xml:space="preserve">. </w:t>
      </w:r>
      <w:proofErr w:type="spellStart"/>
      <w:r w:rsidRPr="000E7C8B">
        <w:t>Sıklık</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w:t>
      </w:r>
      <w:proofErr w:type="spellStart"/>
      <w:r w:rsidRPr="000E7C8B">
        <w:t>asıl</w:t>
      </w:r>
      <w:proofErr w:type="spellEnd"/>
      <w:r w:rsidRPr="000E7C8B">
        <w:t xml:space="preserve"> </w:t>
      </w:r>
      <w:proofErr w:type="spellStart"/>
      <w:r w:rsidRPr="000E7C8B">
        <w:t>ölçeğin</w:t>
      </w:r>
      <w:proofErr w:type="spellEnd"/>
      <w:r w:rsidRPr="000E7C8B">
        <w:t xml:space="preserve"> Cronbach alfa </w:t>
      </w:r>
      <w:proofErr w:type="spellStart"/>
      <w:r w:rsidRPr="000E7C8B">
        <w:t>değeri</w:t>
      </w:r>
      <w:proofErr w:type="spellEnd"/>
      <w:r w:rsidRPr="000E7C8B">
        <w:t xml:space="preserve"> .88, </w:t>
      </w:r>
      <w:proofErr w:type="spellStart"/>
      <w:r w:rsidRPr="000E7C8B">
        <w:t>inanç</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Cronbach alfa </w:t>
      </w:r>
      <w:proofErr w:type="spellStart"/>
      <w:r w:rsidRPr="000E7C8B">
        <w:t>değeri</w:t>
      </w:r>
      <w:proofErr w:type="spellEnd"/>
      <w:r w:rsidRPr="000E7C8B">
        <w:t xml:space="preserve"> .95’tir. </w:t>
      </w:r>
      <w:proofErr w:type="spellStart"/>
      <w:r w:rsidRPr="000E7C8B">
        <w:t>Sıklık</w:t>
      </w:r>
      <w:proofErr w:type="spellEnd"/>
      <w:r w:rsidRPr="000E7C8B">
        <w:t xml:space="preserve"> </w:t>
      </w:r>
      <w:proofErr w:type="spellStart"/>
      <w:r w:rsidRPr="000E7C8B">
        <w:t>bileşeni</w:t>
      </w:r>
      <w:proofErr w:type="spellEnd"/>
      <w:r w:rsidRPr="000E7C8B">
        <w:t xml:space="preserve"> “Asla, Bazen, </w:t>
      </w:r>
      <w:proofErr w:type="spellStart"/>
      <w:r w:rsidRPr="000E7C8B">
        <w:t>Sık</w:t>
      </w:r>
      <w:proofErr w:type="spellEnd"/>
      <w:r w:rsidRPr="000E7C8B">
        <w:t xml:space="preserve"> </w:t>
      </w:r>
      <w:proofErr w:type="spellStart"/>
      <w:r w:rsidRPr="000E7C8B">
        <w:t>sık</w:t>
      </w:r>
      <w:proofErr w:type="spellEnd"/>
      <w:r w:rsidRPr="000E7C8B">
        <w:t xml:space="preserve">, </w:t>
      </w:r>
      <w:proofErr w:type="spellStart"/>
      <w:r w:rsidRPr="000E7C8B">
        <w:t>Neredeyse</w:t>
      </w:r>
      <w:proofErr w:type="spellEnd"/>
      <w:r w:rsidRPr="000E7C8B">
        <w:t xml:space="preserve"> her zaman” </w:t>
      </w:r>
      <w:proofErr w:type="spellStart"/>
      <w:r w:rsidRPr="000E7C8B">
        <w:t>şeklinde</w:t>
      </w:r>
      <w:proofErr w:type="spellEnd"/>
      <w:r w:rsidRPr="000E7C8B">
        <w:t xml:space="preserve"> </w:t>
      </w:r>
      <w:proofErr w:type="spellStart"/>
      <w:r w:rsidRPr="000E7C8B">
        <w:t>etiketlemeler</w:t>
      </w:r>
      <w:proofErr w:type="spellEnd"/>
      <w:r w:rsidRPr="000E7C8B">
        <w:t xml:space="preserve"> </w:t>
      </w:r>
      <w:proofErr w:type="spellStart"/>
      <w:r w:rsidRPr="000E7C8B">
        <w:t>ile</w:t>
      </w:r>
      <w:proofErr w:type="spellEnd"/>
      <w:r w:rsidRPr="000E7C8B">
        <w:t xml:space="preserve"> 1 </w:t>
      </w:r>
      <w:proofErr w:type="spellStart"/>
      <w:r w:rsidRPr="000E7C8B">
        <w:t>ve</w:t>
      </w:r>
      <w:proofErr w:type="spellEnd"/>
      <w:r w:rsidRPr="000E7C8B">
        <w:t xml:space="preserve"> 4 </w:t>
      </w:r>
      <w:proofErr w:type="spellStart"/>
      <w:r w:rsidRPr="000E7C8B">
        <w:t>arasında</w:t>
      </w:r>
      <w:proofErr w:type="spellEnd"/>
      <w:r w:rsidRPr="000E7C8B">
        <w:t xml:space="preserve"> </w:t>
      </w:r>
      <w:proofErr w:type="spellStart"/>
      <w:r w:rsidRPr="000E7C8B">
        <w:t>puanlanır</w:t>
      </w:r>
      <w:proofErr w:type="spellEnd"/>
      <w:r w:rsidRPr="000E7C8B">
        <w:t xml:space="preserve">. </w:t>
      </w:r>
      <w:proofErr w:type="spellStart"/>
      <w:r w:rsidRPr="000E7C8B">
        <w:t>İnanç</w:t>
      </w:r>
      <w:proofErr w:type="spellEnd"/>
      <w:r w:rsidRPr="000E7C8B">
        <w:t xml:space="preserve"> </w:t>
      </w:r>
      <w:proofErr w:type="spellStart"/>
      <w:r w:rsidRPr="000E7C8B">
        <w:t>bileşeni</w:t>
      </w:r>
      <w:proofErr w:type="spellEnd"/>
      <w:r w:rsidRPr="000E7C8B">
        <w:t xml:space="preserve"> </w:t>
      </w:r>
      <w:proofErr w:type="spellStart"/>
      <w:r w:rsidRPr="000E7C8B">
        <w:t>ise</w:t>
      </w:r>
      <w:proofErr w:type="spellEnd"/>
      <w:r w:rsidRPr="000E7C8B">
        <w:t xml:space="preserve"> “Bu </w:t>
      </w:r>
      <w:proofErr w:type="spellStart"/>
      <w:r w:rsidRPr="000E7C8B">
        <w:t>düşünceye</w:t>
      </w:r>
      <w:proofErr w:type="spellEnd"/>
      <w:r w:rsidRPr="000E7C8B">
        <w:t xml:space="preserve"> </w:t>
      </w:r>
      <w:proofErr w:type="spellStart"/>
      <w:r w:rsidRPr="000E7C8B">
        <w:t>hiç</w:t>
      </w:r>
      <w:proofErr w:type="spellEnd"/>
      <w:r w:rsidRPr="000E7C8B">
        <w:t xml:space="preserve"> </w:t>
      </w:r>
      <w:proofErr w:type="spellStart"/>
      <w:r w:rsidRPr="000E7C8B">
        <w:t>inanmıyorum</w:t>
      </w:r>
      <w:proofErr w:type="spellEnd"/>
      <w:r w:rsidRPr="000E7C8B">
        <w:t xml:space="preserve"> </w:t>
      </w:r>
      <w:proofErr w:type="spellStart"/>
      <w:r w:rsidRPr="000E7C8B">
        <w:t>ve</w:t>
      </w:r>
      <w:proofErr w:type="spellEnd"/>
      <w:r w:rsidRPr="000E7C8B">
        <w:t xml:space="preserve"> </w:t>
      </w:r>
      <w:proofErr w:type="spellStart"/>
      <w:r w:rsidRPr="000E7C8B">
        <w:t>bu</w:t>
      </w:r>
      <w:proofErr w:type="spellEnd"/>
      <w:r w:rsidRPr="000E7C8B">
        <w:t xml:space="preserve"> </w:t>
      </w:r>
      <w:proofErr w:type="spellStart"/>
      <w:r w:rsidRPr="000E7C8B">
        <w:t>düşüncenin</w:t>
      </w:r>
      <w:proofErr w:type="spellEnd"/>
      <w:r w:rsidRPr="000E7C8B">
        <w:t xml:space="preserve"> </w:t>
      </w:r>
      <w:proofErr w:type="spellStart"/>
      <w:r w:rsidRPr="000E7C8B">
        <w:t>doğruluğuna</w:t>
      </w:r>
      <w:proofErr w:type="spellEnd"/>
      <w:r w:rsidRPr="000E7C8B">
        <w:t xml:space="preserve"> </w:t>
      </w:r>
      <w:proofErr w:type="spellStart"/>
      <w:r w:rsidRPr="000E7C8B">
        <w:t>tamamen</w:t>
      </w:r>
      <w:proofErr w:type="spellEnd"/>
      <w:r w:rsidRPr="000E7C8B">
        <w:t xml:space="preserve"> </w:t>
      </w:r>
      <w:proofErr w:type="spellStart"/>
      <w:r w:rsidRPr="000E7C8B">
        <w:t>inanıyorum</w:t>
      </w:r>
      <w:proofErr w:type="spellEnd"/>
      <w:r w:rsidRPr="000E7C8B">
        <w:t xml:space="preserve">” </w:t>
      </w:r>
      <w:proofErr w:type="spellStart"/>
      <w:r w:rsidRPr="000E7C8B">
        <w:t>şeklinde</w:t>
      </w:r>
      <w:proofErr w:type="spellEnd"/>
      <w:r w:rsidRPr="000E7C8B">
        <w:t xml:space="preserve"> </w:t>
      </w:r>
      <w:proofErr w:type="spellStart"/>
      <w:r w:rsidRPr="000E7C8B">
        <w:t>etiketlemeler</w:t>
      </w:r>
      <w:proofErr w:type="spellEnd"/>
      <w:r w:rsidRPr="000E7C8B">
        <w:t xml:space="preserve"> </w:t>
      </w:r>
      <w:proofErr w:type="spellStart"/>
      <w:r w:rsidRPr="000E7C8B">
        <w:t>ile</w:t>
      </w:r>
      <w:proofErr w:type="spellEnd"/>
      <w:r w:rsidRPr="000E7C8B">
        <w:t xml:space="preserve"> 0–100 </w:t>
      </w:r>
      <w:proofErr w:type="spellStart"/>
      <w:r w:rsidRPr="000E7C8B">
        <w:t>arasında</w:t>
      </w:r>
      <w:proofErr w:type="spellEnd"/>
      <w:r w:rsidRPr="000E7C8B">
        <w:t xml:space="preserve"> </w:t>
      </w:r>
      <w:proofErr w:type="spellStart"/>
      <w:r w:rsidRPr="000E7C8B">
        <w:t>puanlanır</w:t>
      </w:r>
      <w:proofErr w:type="spellEnd"/>
      <w:r w:rsidRPr="000E7C8B">
        <w:t xml:space="preserve">. </w:t>
      </w:r>
      <w:proofErr w:type="spellStart"/>
      <w:r w:rsidRPr="000E7C8B">
        <w:t>Ölçek</w:t>
      </w:r>
      <w:proofErr w:type="spellEnd"/>
      <w:r w:rsidRPr="000E7C8B">
        <w:t xml:space="preserve"> 2022 </w:t>
      </w:r>
      <w:proofErr w:type="spellStart"/>
      <w:r w:rsidRPr="000E7C8B">
        <w:t>yılında</w:t>
      </w:r>
      <w:proofErr w:type="spellEnd"/>
      <w:r w:rsidRPr="000E7C8B">
        <w:t xml:space="preserve"> Gündüz </w:t>
      </w:r>
      <w:proofErr w:type="spellStart"/>
      <w:r w:rsidRPr="000E7C8B">
        <w:t>ve</w:t>
      </w:r>
      <w:proofErr w:type="spellEnd"/>
      <w:r w:rsidRPr="000E7C8B">
        <w:t xml:space="preserve"> </w:t>
      </w:r>
      <w:proofErr w:type="spellStart"/>
      <w:r w:rsidRPr="000E7C8B">
        <w:t>diğerleri</w:t>
      </w:r>
      <w:proofErr w:type="spellEnd"/>
      <w:r w:rsidRPr="000E7C8B">
        <w:t xml:space="preserve"> </w:t>
      </w:r>
      <w:proofErr w:type="spellStart"/>
      <w:r w:rsidRPr="000E7C8B">
        <w:t>tarafından</w:t>
      </w:r>
      <w:proofErr w:type="spellEnd"/>
      <w:r w:rsidRPr="000E7C8B">
        <w:t xml:space="preserve"> </w:t>
      </w:r>
      <w:proofErr w:type="spellStart"/>
      <w:r w:rsidRPr="000E7C8B">
        <w:t>Türkçeye</w:t>
      </w:r>
      <w:proofErr w:type="spellEnd"/>
      <w:r w:rsidRPr="000E7C8B">
        <w:t xml:space="preserve"> </w:t>
      </w:r>
      <w:proofErr w:type="spellStart"/>
      <w:r w:rsidRPr="000E7C8B">
        <w:t>uyarlanmıştır</w:t>
      </w:r>
      <w:proofErr w:type="spellEnd"/>
      <w:r w:rsidRPr="000E7C8B">
        <w:t xml:space="preserve">. </w:t>
      </w:r>
      <w:proofErr w:type="spellStart"/>
      <w:r w:rsidRPr="000E7C8B">
        <w:t>Türkçe</w:t>
      </w:r>
      <w:proofErr w:type="spellEnd"/>
      <w:r w:rsidRPr="000E7C8B">
        <w:t xml:space="preserve"> </w:t>
      </w:r>
      <w:proofErr w:type="spellStart"/>
      <w:r w:rsidRPr="000E7C8B">
        <w:t>versiyonda</w:t>
      </w:r>
      <w:proofErr w:type="spellEnd"/>
      <w:r w:rsidRPr="000E7C8B">
        <w:t xml:space="preserve"> Cronbach alfa </w:t>
      </w:r>
      <w:proofErr w:type="spellStart"/>
      <w:r w:rsidRPr="000E7C8B">
        <w:t>katsayısı</w:t>
      </w:r>
      <w:proofErr w:type="spellEnd"/>
      <w:r w:rsidRPr="000E7C8B">
        <w:t xml:space="preserve"> </w:t>
      </w:r>
      <w:proofErr w:type="spellStart"/>
      <w:r w:rsidRPr="000E7C8B">
        <w:t>sıklık</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.92, </w:t>
      </w:r>
      <w:proofErr w:type="spellStart"/>
      <w:r w:rsidRPr="000E7C8B">
        <w:t>inanç</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.93 </w:t>
      </w:r>
      <w:proofErr w:type="spellStart"/>
      <w:r w:rsidRPr="000E7C8B">
        <w:t>olarak</w:t>
      </w:r>
      <w:proofErr w:type="spellEnd"/>
      <w:r w:rsidRPr="000E7C8B">
        <w:t xml:space="preserve"> </w:t>
      </w:r>
      <w:proofErr w:type="spellStart"/>
      <w:r w:rsidRPr="000E7C8B">
        <w:t>bulunmuştur</w:t>
      </w:r>
      <w:proofErr w:type="spellEnd"/>
      <w:r w:rsidRPr="000E7C8B">
        <w:t xml:space="preserve">. Bu </w:t>
      </w:r>
      <w:proofErr w:type="spellStart"/>
      <w:r w:rsidRPr="000E7C8B">
        <w:t>araştırma</w:t>
      </w:r>
      <w:proofErr w:type="spellEnd"/>
      <w:r w:rsidRPr="000E7C8B">
        <w:t xml:space="preserve"> </w:t>
      </w:r>
      <w:proofErr w:type="spellStart"/>
      <w:r w:rsidRPr="000E7C8B">
        <w:t>kapsamında</w:t>
      </w:r>
      <w:proofErr w:type="spellEnd"/>
      <w:r w:rsidRPr="000E7C8B">
        <w:t xml:space="preserve"> </w:t>
      </w:r>
      <w:proofErr w:type="spellStart"/>
      <w:r w:rsidRPr="000E7C8B">
        <w:t>ise</w:t>
      </w:r>
      <w:proofErr w:type="spellEnd"/>
      <w:r w:rsidRPr="000E7C8B">
        <w:t xml:space="preserve"> </w:t>
      </w:r>
      <w:proofErr w:type="spellStart"/>
      <w:r w:rsidRPr="000E7C8B">
        <w:t>benzer</w:t>
      </w:r>
      <w:proofErr w:type="spellEnd"/>
      <w:r w:rsidRPr="000E7C8B">
        <w:t xml:space="preserve"> </w:t>
      </w:r>
      <w:proofErr w:type="spellStart"/>
      <w:r w:rsidRPr="000E7C8B">
        <w:t>şekilde</w:t>
      </w:r>
      <w:proofErr w:type="spellEnd"/>
      <w:r w:rsidRPr="000E7C8B">
        <w:t xml:space="preserve"> </w:t>
      </w:r>
      <w:proofErr w:type="spellStart"/>
      <w:r w:rsidRPr="000E7C8B">
        <w:t>sıklık</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.92, </w:t>
      </w:r>
      <w:proofErr w:type="spellStart"/>
      <w:r w:rsidRPr="000E7C8B">
        <w:t>inanç</w:t>
      </w:r>
      <w:proofErr w:type="spellEnd"/>
      <w:r w:rsidRPr="000E7C8B">
        <w:t xml:space="preserve"> </w:t>
      </w:r>
      <w:proofErr w:type="spellStart"/>
      <w:r w:rsidRPr="000E7C8B">
        <w:t>bileşeni</w:t>
      </w:r>
      <w:proofErr w:type="spellEnd"/>
      <w:r w:rsidRPr="000E7C8B">
        <w:t xml:space="preserve"> </w:t>
      </w:r>
      <w:proofErr w:type="spellStart"/>
      <w:r w:rsidRPr="000E7C8B">
        <w:t>için</w:t>
      </w:r>
      <w:proofErr w:type="spellEnd"/>
      <w:r w:rsidRPr="000E7C8B">
        <w:t xml:space="preserve"> .93 </w:t>
      </w:r>
      <w:proofErr w:type="spellStart"/>
      <w:r w:rsidRPr="000E7C8B">
        <w:t>olarak</w:t>
      </w:r>
      <w:proofErr w:type="spellEnd"/>
      <w:r w:rsidRPr="000E7C8B">
        <w:t xml:space="preserve"> </w:t>
      </w:r>
      <w:proofErr w:type="spellStart"/>
      <w:r w:rsidRPr="000E7C8B">
        <w:t>bulunmuştur</w:t>
      </w:r>
      <w:proofErr w:type="spellEnd"/>
      <w:r w:rsidRPr="000E7C8B">
        <w:t>.</w:t>
      </w:r>
    </w:p>
    <w:p w14:paraId="7EE8E281" w14:textId="77777777" w:rsidR="007513A1" w:rsidRPr="000E7C8B" w:rsidRDefault="007513A1" w:rsidP="007513A1">
      <w:pPr>
        <w:pStyle w:val="NormalWeb"/>
        <w:spacing w:before="0" w:beforeAutospacing="0" w:after="0" w:afterAutospacing="0"/>
        <w:jc w:val="both"/>
      </w:pPr>
    </w:p>
    <w:p w14:paraId="28614827" w14:textId="77777777" w:rsidR="00B470AD" w:rsidRDefault="00B470AD" w:rsidP="007513A1">
      <w:pPr>
        <w:pStyle w:val="NormalWeb"/>
        <w:spacing w:before="0" w:beforeAutospacing="0" w:after="0" w:afterAutospacing="0"/>
        <w:rPr>
          <w:b/>
          <w:bCs/>
        </w:rPr>
      </w:pPr>
      <w:r w:rsidRPr="00B93262">
        <w:rPr>
          <w:b/>
          <w:bCs/>
        </w:rPr>
        <w:t>2.3.3.</w:t>
      </w:r>
      <w:r w:rsidRPr="00B93262">
        <w:rPr>
          <w:rFonts w:eastAsiaTheme="minorHAnsi"/>
          <w:b/>
          <w:bCs/>
          <w:lang w:eastAsia="en-US"/>
        </w:rPr>
        <w:t xml:space="preserve"> </w:t>
      </w:r>
      <w:proofErr w:type="spellStart"/>
      <w:r w:rsidRPr="00B93262">
        <w:rPr>
          <w:b/>
          <w:bCs/>
        </w:rPr>
        <w:t>Bilişsel</w:t>
      </w:r>
      <w:proofErr w:type="spellEnd"/>
      <w:r w:rsidRPr="00B93262">
        <w:rPr>
          <w:b/>
          <w:bCs/>
        </w:rPr>
        <w:t xml:space="preserve"> </w:t>
      </w:r>
      <w:proofErr w:type="spellStart"/>
      <w:r w:rsidRPr="00B93262">
        <w:rPr>
          <w:b/>
          <w:bCs/>
        </w:rPr>
        <w:t>Abartma</w:t>
      </w:r>
      <w:proofErr w:type="spellEnd"/>
      <w:r w:rsidRPr="00B93262">
        <w:rPr>
          <w:b/>
          <w:bCs/>
        </w:rPr>
        <w:t xml:space="preserve"> </w:t>
      </w:r>
      <w:proofErr w:type="spellStart"/>
      <w:r w:rsidRPr="00B93262">
        <w:rPr>
          <w:b/>
          <w:bCs/>
        </w:rPr>
        <w:t>Tarzı</w:t>
      </w:r>
      <w:proofErr w:type="spellEnd"/>
      <w:r w:rsidRPr="00B93262">
        <w:rPr>
          <w:b/>
          <w:bCs/>
        </w:rPr>
        <w:t xml:space="preserve"> </w:t>
      </w:r>
      <w:proofErr w:type="spellStart"/>
      <w:r w:rsidRPr="00B93262">
        <w:rPr>
          <w:b/>
          <w:bCs/>
        </w:rPr>
        <w:t>Ölçeği-Yeniden</w:t>
      </w:r>
      <w:proofErr w:type="spellEnd"/>
      <w:r w:rsidRPr="00B93262">
        <w:rPr>
          <w:b/>
          <w:bCs/>
        </w:rPr>
        <w:t xml:space="preserve"> </w:t>
      </w:r>
      <w:proofErr w:type="spellStart"/>
      <w:r w:rsidRPr="00B93262">
        <w:rPr>
          <w:b/>
          <w:bCs/>
        </w:rPr>
        <w:t>Değerlendirilmiş</w:t>
      </w:r>
      <w:proofErr w:type="spellEnd"/>
      <w:r w:rsidRPr="00B93262">
        <w:rPr>
          <w:b/>
          <w:bCs/>
        </w:rPr>
        <w:t xml:space="preserve"> </w:t>
      </w:r>
      <w:proofErr w:type="spellStart"/>
      <w:r w:rsidRPr="00B93262">
        <w:rPr>
          <w:b/>
          <w:bCs/>
        </w:rPr>
        <w:t>Formu</w:t>
      </w:r>
      <w:proofErr w:type="spellEnd"/>
    </w:p>
    <w:p w14:paraId="3719C8A0" w14:textId="77777777" w:rsidR="00B470AD" w:rsidRDefault="00B470AD" w:rsidP="007513A1">
      <w:pPr>
        <w:pStyle w:val="NormalWeb"/>
        <w:spacing w:before="0" w:beforeAutospacing="0" w:after="0" w:afterAutospacing="0"/>
        <w:jc w:val="both"/>
      </w:pPr>
      <w:proofErr w:type="spellStart"/>
      <w:r w:rsidRPr="007E3DA9">
        <w:t>Riskind</w:t>
      </w:r>
      <w:proofErr w:type="spellEnd"/>
      <w:r w:rsidRPr="007E3DA9">
        <w:t xml:space="preserve"> </w:t>
      </w:r>
      <w:proofErr w:type="spellStart"/>
      <w:r w:rsidRPr="007E3DA9">
        <w:t>ve</w:t>
      </w:r>
      <w:proofErr w:type="spellEnd"/>
      <w:r w:rsidRPr="007E3DA9">
        <w:t xml:space="preserve"> </w:t>
      </w:r>
      <w:proofErr w:type="spellStart"/>
      <w:r>
        <w:t>arkadaşları</w:t>
      </w:r>
      <w:proofErr w:type="spellEnd"/>
      <w:r w:rsidRPr="007E3DA9">
        <w:t xml:space="preserve"> </w:t>
      </w:r>
      <w:proofErr w:type="spellStart"/>
      <w:r w:rsidRPr="007E3DA9">
        <w:t>tarafından</w:t>
      </w:r>
      <w:proofErr w:type="spellEnd"/>
      <w:r w:rsidRPr="007E3DA9">
        <w:t xml:space="preserve"> </w:t>
      </w:r>
      <w:proofErr w:type="spellStart"/>
      <w:r w:rsidRPr="007E3DA9">
        <w:t>bilişsel</w:t>
      </w:r>
      <w:proofErr w:type="spellEnd"/>
      <w:r w:rsidRPr="007E3DA9">
        <w:t xml:space="preserve"> </w:t>
      </w:r>
      <w:proofErr w:type="spellStart"/>
      <w:r w:rsidRPr="007E3DA9">
        <w:t>abartma</w:t>
      </w:r>
      <w:proofErr w:type="spellEnd"/>
      <w:r w:rsidRPr="007E3DA9">
        <w:t xml:space="preserve"> </w:t>
      </w:r>
      <w:proofErr w:type="spellStart"/>
      <w:r w:rsidRPr="007E3DA9">
        <w:t>tarzının</w:t>
      </w:r>
      <w:proofErr w:type="spellEnd"/>
      <w:r w:rsidRPr="007E3DA9">
        <w:t xml:space="preserve"> </w:t>
      </w:r>
      <w:proofErr w:type="spellStart"/>
      <w:r w:rsidRPr="007E3DA9">
        <w:t>değerlendirilmesi</w:t>
      </w:r>
      <w:proofErr w:type="spellEnd"/>
      <w:r w:rsidRPr="007E3DA9">
        <w:t xml:space="preserve"> </w:t>
      </w:r>
      <w:proofErr w:type="spellStart"/>
      <w:r w:rsidRPr="007E3DA9">
        <w:t>amacıyla</w:t>
      </w:r>
      <w:proofErr w:type="spellEnd"/>
      <w:r w:rsidRPr="007E3DA9">
        <w:t xml:space="preserve"> </w:t>
      </w:r>
      <w:proofErr w:type="spellStart"/>
      <w:r w:rsidRPr="007E3DA9">
        <w:t>geliştirilmiştir</w:t>
      </w:r>
      <w:proofErr w:type="spellEnd"/>
      <w:r w:rsidRPr="007E3DA9">
        <w:t xml:space="preserve">. </w:t>
      </w:r>
      <w:proofErr w:type="spellStart"/>
      <w:r w:rsidRPr="007E3DA9">
        <w:t>Ölçek</w:t>
      </w:r>
      <w:proofErr w:type="spellEnd"/>
      <w:r w:rsidRPr="007E3DA9">
        <w:t xml:space="preserve">, </w:t>
      </w:r>
      <w:proofErr w:type="spellStart"/>
      <w:r w:rsidRPr="007E3DA9">
        <w:t>yaklaşan</w:t>
      </w:r>
      <w:proofErr w:type="spellEnd"/>
      <w:r w:rsidRPr="007E3DA9">
        <w:t xml:space="preserve"> </w:t>
      </w:r>
      <w:proofErr w:type="spellStart"/>
      <w:r w:rsidRPr="007E3DA9">
        <w:t>tehdit</w:t>
      </w:r>
      <w:proofErr w:type="spellEnd"/>
      <w:r w:rsidRPr="007E3DA9">
        <w:t xml:space="preserve"> </w:t>
      </w:r>
      <w:proofErr w:type="spellStart"/>
      <w:r w:rsidRPr="007E3DA9">
        <w:t>içeren</w:t>
      </w:r>
      <w:proofErr w:type="spellEnd"/>
      <w:r w:rsidRPr="007E3DA9">
        <w:t xml:space="preserve"> </w:t>
      </w:r>
      <w:proofErr w:type="spellStart"/>
      <w:r w:rsidRPr="007E3DA9">
        <w:t>durumlara</w:t>
      </w:r>
      <w:proofErr w:type="spellEnd"/>
      <w:r w:rsidRPr="007E3DA9">
        <w:t xml:space="preserve"> </w:t>
      </w:r>
      <w:proofErr w:type="spellStart"/>
      <w:r w:rsidRPr="007E3DA9">
        <w:t>dair</w:t>
      </w:r>
      <w:proofErr w:type="spellEnd"/>
      <w:r w:rsidRPr="007E3DA9">
        <w:t xml:space="preserve"> </w:t>
      </w:r>
      <w:proofErr w:type="spellStart"/>
      <w:r w:rsidRPr="007E3DA9">
        <w:t>altı</w:t>
      </w:r>
      <w:proofErr w:type="spellEnd"/>
      <w:r w:rsidRPr="007E3DA9">
        <w:t xml:space="preserve"> </w:t>
      </w:r>
      <w:proofErr w:type="spellStart"/>
      <w:r w:rsidRPr="007E3DA9">
        <w:t>adet</w:t>
      </w:r>
      <w:proofErr w:type="spellEnd"/>
      <w:r w:rsidRPr="007E3DA9">
        <w:t xml:space="preserve"> </w:t>
      </w:r>
      <w:proofErr w:type="spellStart"/>
      <w:r w:rsidRPr="007E3DA9">
        <w:t>senaryo</w:t>
      </w:r>
      <w:proofErr w:type="spellEnd"/>
      <w:r w:rsidRPr="007E3DA9">
        <w:t xml:space="preserve"> </w:t>
      </w:r>
      <w:proofErr w:type="spellStart"/>
      <w:r w:rsidRPr="007E3DA9">
        <w:t>ve</w:t>
      </w:r>
      <w:proofErr w:type="spellEnd"/>
      <w:r w:rsidRPr="007E3DA9">
        <w:t xml:space="preserve"> her </w:t>
      </w:r>
      <w:proofErr w:type="spellStart"/>
      <w:r w:rsidRPr="007E3DA9">
        <w:t>senaryoyu</w:t>
      </w:r>
      <w:proofErr w:type="spellEnd"/>
      <w:r w:rsidRPr="007E3DA9">
        <w:t xml:space="preserve"> </w:t>
      </w:r>
      <w:proofErr w:type="spellStart"/>
      <w:r w:rsidRPr="007E3DA9">
        <w:t>takip</w:t>
      </w:r>
      <w:proofErr w:type="spellEnd"/>
      <w:r w:rsidRPr="007E3DA9">
        <w:t xml:space="preserve"> </w:t>
      </w:r>
      <w:proofErr w:type="spellStart"/>
      <w:r w:rsidRPr="007E3DA9">
        <w:t>eden</w:t>
      </w:r>
      <w:proofErr w:type="spellEnd"/>
      <w:r w:rsidRPr="007E3DA9">
        <w:t xml:space="preserve"> 4 </w:t>
      </w:r>
      <w:proofErr w:type="spellStart"/>
      <w:r w:rsidRPr="007E3DA9">
        <w:t>sorudan</w:t>
      </w:r>
      <w:proofErr w:type="spellEnd"/>
      <w:r w:rsidRPr="007E3DA9">
        <w:t xml:space="preserve"> </w:t>
      </w:r>
      <w:proofErr w:type="spellStart"/>
      <w:r w:rsidRPr="007E3DA9">
        <w:t>oluşmaktadır</w:t>
      </w:r>
      <w:proofErr w:type="spellEnd"/>
      <w:r w:rsidRPr="007E3DA9">
        <w:t xml:space="preserve">. </w:t>
      </w:r>
      <w:proofErr w:type="spellStart"/>
      <w:r w:rsidRPr="007E3DA9">
        <w:t>Ölçek</w:t>
      </w:r>
      <w:proofErr w:type="spellEnd"/>
      <w:r w:rsidRPr="007E3DA9">
        <w:t xml:space="preserve"> 5’li </w:t>
      </w:r>
      <w:proofErr w:type="spellStart"/>
      <w:r w:rsidRPr="007E3DA9">
        <w:t>likert</w:t>
      </w:r>
      <w:proofErr w:type="spellEnd"/>
      <w:r w:rsidRPr="007E3DA9">
        <w:t xml:space="preserve"> </w:t>
      </w:r>
      <w:proofErr w:type="spellStart"/>
      <w:r w:rsidRPr="007E3DA9">
        <w:t>tiptedir</w:t>
      </w:r>
      <w:proofErr w:type="spellEnd"/>
      <w:r w:rsidRPr="007E3DA9">
        <w:t xml:space="preserve">. </w:t>
      </w:r>
      <w:proofErr w:type="spellStart"/>
      <w:r w:rsidRPr="007E3DA9">
        <w:t>Ölçekten</w:t>
      </w:r>
      <w:proofErr w:type="spellEnd"/>
      <w:r w:rsidRPr="007E3DA9">
        <w:t xml:space="preserve"> </w:t>
      </w:r>
      <w:proofErr w:type="spellStart"/>
      <w:r w:rsidRPr="007E3DA9">
        <w:t>alınan</w:t>
      </w:r>
      <w:proofErr w:type="spellEnd"/>
      <w:r w:rsidRPr="007E3DA9">
        <w:t xml:space="preserve"> </w:t>
      </w:r>
      <w:proofErr w:type="spellStart"/>
      <w:r w:rsidRPr="007E3DA9">
        <w:t>puanların</w:t>
      </w:r>
      <w:proofErr w:type="spellEnd"/>
      <w:r w:rsidRPr="007E3DA9">
        <w:t xml:space="preserve"> </w:t>
      </w:r>
      <w:proofErr w:type="spellStart"/>
      <w:r w:rsidRPr="007E3DA9">
        <w:t>yükselmesi</w:t>
      </w:r>
      <w:proofErr w:type="spellEnd"/>
      <w:r w:rsidRPr="007E3DA9">
        <w:t xml:space="preserve"> </w:t>
      </w:r>
      <w:proofErr w:type="spellStart"/>
      <w:r w:rsidRPr="007E3DA9">
        <w:t>bilişsel</w:t>
      </w:r>
      <w:proofErr w:type="spellEnd"/>
      <w:r w:rsidRPr="007E3DA9">
        <w:t xml:space="preserve"> </w:t>
      </w:r>
      <w:proofErr w:type="spellStart"/>
      <w:r w:rsidRPr="007E3DA9">
        <w:t>abartma</w:t>
      </w:r>
      <w:proofErr w:type="spellEnd"/>
      <w:r w:rsidRPr="007E3DA9">
        <w:t xml:space="preserve"> </w:t>
      </w:r>
      <w:proofErr w:type="spellStart"/>
      <w:r w:rsidRPr="007E3DA9">
        <w:t>tarzına</w:t>
      </w:r>
      <w:proofErr w:type="spellEnd"/>
      <w:r w:rsidRPr="007E3DA9">
        <w:t xml:space="preserve"> </w:t>
      </w:r>
      <w:proofErr w:type="spellStart"/>
      <w:r w:rsidRPr="007E3DA9">
        <w:t>olan</w:t>
      </w:r>
      <w:proofErr w:type="spellEnd"/>
      <w:r w:rsidRPr="007E3DA9">
        <w:t xml:space="preserve"> </w:t>
      </w:r>
      <w:proofErr w:type="spellStart"/>
      <w:r w:rsidRPr="007E3DA9">
        <w:t>yatkınlığın</w:t>
      </w:r>
      <w:proofErr w:type="spellEnd"/>
      <w:r w:rsidRPr="007E3DA9">
        <w:t xml:space="preserve"> </w:t>
      </w:r>
      <w:proofErr w:type="spellStart"/>
      <w:r w:rsidRPr="007E3DA9">
        <w:t>yüksekliğini</w:t>
      </w:r>
      <w:proofErr w:type="spellEnd"/>
      <w:r w:rsidRPr="007E3DA9">
        <w:t xml:space="preserve"> </w:t>
      </w:r>
      <w:proofErr w:type="spellStart"/>
      <w:r w:rsidRPr="007E3DA9">
        <w:t>belirtir</w:t>
      </w:r>
      <w:proofErr w:type="spellEnd"/>
      <w:r w:rsidRPr="007E3DA9">
        <w:t xml:space="preserve">. </w:t>
      </w:r>
      <w:proofErr w:type="spellStart"/>
      <w:r w:rsidRPr="007E3DA9">
        <w:t>Ölçeğin</w:t>
      </w:r>
      <w:proofErr w:type="spellEnd"/>
      <w:r w:rsidRPr="007E3DA9">
        <w:t xml:space="preserve"> </w:t>
      </w:r>
      <w:proofErr w:type="spellStart"/>
      <w:r w:rsidRPr="007E3DA9">
        <w:t>Türkçe</w:t>
      </w:r>
      <w:proofErr w:type="spellEnd"/>
      <w:r w:rsidRPr="007E3DA9">
        <w:t xml:space="preserve"> </w:t>
      </w:r>
      <w:proofErr w:type="spellStart"/>
      <w:r w:rsidRPr="007E3DA9">
        <w:t>uyarlaması</w:t>
      </w:r>
      <w:proofErr w:type="spellEnd"/>
      <w:r w:rsidRPr="007E3DA9">
        <w:t xml:space="preserve"> Altan Atalay </w:t>
      </w:r>
      <w:proofErr w:type="spellStart"/>
      <w:r w:rsidRPr="007E3DA9">
        <w:t>ve</w:t>
      </w:r>
      <w:proofErr w:type="spellEnd"/>
      <w:r w:rsidRPr="007E3DA9">
        <w:t xml:space="preserve"> </w:t>
      </w:r>
      <w:proofErr w:type="spellStart"/>
      <w:r w:rsidRPr="007E3DA9">
        <w:t>Sarıtaş</w:t>
      </w:r>
      <w:proofErr w:type="spellEnd"/>
      <w:r w:rsidRPr="007E3DA9">
        <w:t xml:space="preserve"> </w:t>
      </w:r>
      <w:proofErr w:type="spellStart"/>
      <w:r w:rsidRPr="007E3DA9">
        <w:t>Atalar</w:t>
      </w:r>
      <w:proofErr w:type="spellEnd"/>
      <w:r w:rsidRPr="007E3DA9">
        <w:t xml:space="preserve"> (2018) </w:t>
      </w:r>
      <w:proofErr w:type="spellStart"/>
      <w:r w:rsidRPr="007E3DA9">
        <w:t>tarafından</w:t>
      </w:r>
      <w:proofErr w:type="spellEnd"/>
      <w:r w:rsidRPr="007E3DA9">
        <w:t xml:space="preserve"> </w:t>
      </w:r>
      <w:proofErr w:type="spellStart"/>
      <w:r w:rsidRPr="007E3DA9">
        <w:t>yapılmıştır</w:t>
      </w:r>
      <w:proofErr w:type="spellEnd"/>
      <w:r w:rsidRPr="007E3DA9">
        <w:t xml:space="preserve">. </w:t>
      </w:r>
      <w:proofErr w:type="spellStart"/>
      <w:r w:rsidRPr="007E3DA9">
        <w:t>Ölçeğin</w:t>
      </w:r>
      <w:proofErr w:type="spellEnd"/>
      <w:r w:rsidRPr="007E3DA9">
        <w:t xml:space="preserve"> </w:t>
      </w:r>
      <w:proofErr w:type="spellStart"/>
      <w:r w:rsidRPr="007E3DA9">
        <w:t>orijinal</w:t>
      </w:r>
      <w:proofErr w:type="spellEnd"/>
      <w:r w:rsidRPr="007E3DA9">
        <w:t xml:space="preserve"> </w:t>
      </w:r>
      <w:proofErr w:type="spellStart"/>
      <w:r w:rsidRPr="007E3DA9">
        <w:t>çalışmasında</w:t>
      </w:r>
      <w:proofErr w:type="spellEnd"/>
      <w:r w:rsidRPr="007E3DA9">
        <w:t xml:space="preserve"> </w:t>
      </w:r>
      <w:proofErr w:type="spellStart"/>
      <w:r w:rsidRPr="007E3DA9">
        <w:t>iç</w:t>
      </w:r>
      <w:proofErr w:type="spellEnd"/>
      <w:r w:rsidRPr="007E3DA9">
        <w:t xml:space="preserve"> </w:t>
      </w:r>
      <w:proofErr w:type="spellStart"/>
      <w:r w:rsidRPr="007E3DA9">
        <w:t>tutarlılık</w:t>
      </w:r>
      <w:proofErr w:type="spellEnd"/>
      <w:r w:rsidRPr="007E3DA9">
        <w:t xml:space="preserve"> </w:t>
      </w:r>
      <w:proofErr w:type="spellStart"/>
      <w:r w:rsidRPr="007E3DA9">
        <w:t>katsayısı</w:t>
      </w:r>
      <w:proofErr w:type="spellEnd"/>
      <w:r w:rsidRPr="007E3DA9">
        <w:t xml:space="preserve"> .91, test-</w:t>
      </w:r>
      <w:proofErr w:type="spellStart"/>
      <w:r w:rsidRPr="007E3DA9">
        <w:t>tekrar</w:t>
      </w:r>
      <w:proofErr w:type="spellEnd"/>
      <w:r w:rsidRPr="007E3DA9">
        <w:t xml:space="preserve"> test </w:t>
      </w:r>
      <w:proofErr w:type="spellStart"/>
      <w:r w:rsidRPr="007E3DA9">
        <w:t>güvenirliği</w:t>
      </w:r>
      <w:proofErr w:type="spellEnd"/>
      <w:r w:rsidRPr="007E3DA9">
        <w:t xml:space="preserve"> .71 </w:t>
      </w:r>
      <w:proofErr w:type="spellStart"/>
      <w:r w:rsidRPr="007E3DA9">
        <w:t>olarak</w:t>
      </w:r>
      <w:proofErr w:type="spellEnd"/>
      <w:r w:rsidRPr="007E3DA9">
        <w:t xml:space="preserve"> </w:t>
      </w:r>
      <w:proofErr w:type="spellStart"/>
      <w:r w:rsidRPr="007E3DA9">
        <w:t>bulunmuştur</w:t>
      </w:r>
      <w:proofErr w:type="spellEnd"/>
      <w:r w:rsidRPr="007E3DA9">
        <w:t xml:space="preserve">. </w:t>
      </w:r>
      <w:proofErr w:type="spellStart"/>
      <w:r w:rsidRPr="007E3DA9">
        <w:t>Ölçeğin</w:t>
      </w:r>
      <w:proofErr w:type="spellEnd"/>
      <w:r w:rsidRPr="007E3DA9">
        <w:t xml:space="preserve"> </w:t>
      </w:r>
      <w:proofErr w:type="spellStart"/>
      <w:r w:rsidRPr="007E3DA9">
        <w:t>Türkçe</w:t>
      </w:r>
      <w:proofErr w:type="spellEnd"/>
      <w:r w:rsidRPr="007E3DA9">
        <w:t xml:space="preserve"> </w:t>
      </w:r>
      <w:proofErr w:type="spellStart"/>
      <w:r w:rsidRPr="007E3DA9">
        <w:t>uyarlamasındaki</w:t>
      </w:r>
      <w:proofErr w:type="spellEnd"/>
      <w:r w:rsidRPr="007E3DA9">
        <w:t xml:space="preserve"> </w:t>
      </w:r>
      <w:proofErr w:type="spellStart"/>
      <w:r w:rsidRPr="007E3DA9">
        <w:t>iç</w:t>
      </w:r>
      <w:proofErr w:type="spellEnd"/>
      <w:r w:rsidRPr="007E3DA9">
        <w:t xml:space="preserve"> </w:t>
      </w:r>
      <w:proofErr w:type="spellStart"/>
      <w:r w:rsidRPr="007E3DA9">
        <w:t>tutarlılık</w:t>
      </w:r>
      <w:proofErr w:type="spellEnd"/>
      <w:r w:rsidRPr="007E3DA9">
        <w:t xml:space="preserve"> </w:t>
      </w:r>
      <w:proofErr w:type="spellStart"/>
      <w:r w:rsidRPr="007E3DA9">
        <w:t>katsayısı</w:t>
      </w:r>
      <w:proofErr w:type="spellEnd"/>
      <w:r w:rsidRPr="007E3DA9">
        <w:t xml:space="preserve"> </w:t>
      </w:r>
      <w:proofErr w:type="spellStart"/>
      <w:r w:rsidRPr="007E3DA9">
        <w:t>sosyal</w:t>
      </w:r>
      <w:proofErr w:type="spellEnd"/>
      <w:r w:rsidRPr="007E3DA9">
        <w:t xml:space="preserve"> </w:t>
      </w:r>
      <w:proofErr w:type="spellStart"/>
      <w:r w:rsidRPr="007E3DA9">
        <w:t>abartma</w:t>
      </w:r>
      <w:proofErr w:type="spellEnd"/>
      <w:r w:rsidRPr="007E3DA9">
        <w:t xml:space="preserve"> alt </w:t>
      </w:r>
      <w:proofErr w:type="spellStart"/>
      <w:r w:rsidRPr="007E3DA9">
        <w:t>ölçeği</w:t>
      </w:r>
      <w:proofErr w:type="spellEnd"/>
      <w:r w:rsidRPr="007E3DA9">
        <w:t xml:space="preserve"> </w:t>
      </w:r>
      <w:proofErr w:type="spellStart"/>
      <w:r w:rsidRPr="007E3DA9">
        <w:t>için</w:t>
      </w:r>
      <w:proofErr w:type="spellEnd"/>
      <w:r w:rsidRPr="007E3DA9">
        <w:t xml:space="preserve"> .85 </w:t>
      </w:r>
      <w:proofErr w:type="spellStart"/>
      <w:r w:rsidRPr="007E3DA9">
        <w:t>fiziksel</w:t>
      </w:r>
      <w:proofErr w:type="spellEnd"/>
      <w:r w:rsidRPr="007E3DA9">
        <w:t xml:space="preserve"> </w:t>
      </w:r>
      <w:proofErr w:type="spellStart"/>
      <w:r w:rsidRPr="007E3DA9">
        <w:t>abartma</w:t>
      </w:r>
      <w:proofErr w:type="spellEnd"/>
      <w:r w:rsidRPr="007E3DA9">
        <w:t xml:space="preserve"> alt </w:t>
      </w:r>
      <w:proofErr w:type="spellStart"/>
      <w:r w:rsidRPr="007E3DA9">
        <w:t>ölçeği</w:t>
      </w:r>
      <w:proofErr w:type="spellEnd"/>
      <w:r w:rsidRPr="007E3DA9">
        <w:t xml:space="preserve"> </w:t>
      </w:r>
      <w:proofErr w:type="spellStart"/>
      <w:r w:rsidRPr="007E3DA9">
        <w:t>için</w:t>
      </w:r>
      <w:proofErr w:type="spellEnd"/>
      <w:r w:rsidRPr="007E3DA9">
        <w:t xml:space="preserve"> .86 </w:t>
      </w:r>
      <w:proofErr w:type="spellStart"/>
      <w:r w:rsidRPr="007E3DA9">
        <w:t>ve</w:t>
      </w:r>
      <w:proofErr w:type="spellEnd"/>
      <w:r w:rsidRPr="007E3DA9">
        <w:t xml:space="preserve"> </w:t>
      </w:r>
      <w:proofErr w:type="spellStart"/>
      <w:r w:rsidRPr="007E3DA9">
        <w:t>toplam</w:t>
      </w:r>
      <w:proofErr w:type="spellEnd"/>
      <w:r w:rsidRPr="007E3DA9">
        <w:t xml:space="preserve"> </w:t>
      </w:r>
      <w:proofErr w:type="spellStart"/>
      <w:r w:rsidRPr="007E3DA9">
        <w:t>ölçek</w:t>
      </w:r>
      <w:proofErr w:type="spellEnd"/>
      <w:r w:rsidRPr="007E3DA9">
        <w:t xml:space="preserve"> </w:t>
      </w:r>
      <w:proofErr w:type="spellStart"/>
      <w:r w:rsidRPr="007E3DA9">
        <w:t>için</w:t>
      </w:r>
      <w:proofErr w:type="spellEnd"/>
      <w:r w:rsidRPr="007E3DA9">
        <w:t xml:space="preserve"> .90, test-</w:t>
      </w:r>
      <w:proofErr w:type="spellStart"/>
      <w:r w:rsidRPr="007E3DA9">
        <w:t>tekrar</w:t>
      </w:r>
      <w:proofErr w:type="spellEnd"/>
      <w:r w:rsidRPr="007E3DA9">
        <w:t xml:space="preserve"> test </w:t>
      </w:r>
      <w:proofErr w:type="spellStart"/>
      <w:r w:rsidRPr="007E3DA9">
        <w:t>güvenirliği</w:t>
      </w:r>
      <w:proofErr w:type="spellEnd"/>
      <w:r w:rsidRPr="007E3DA9">
        <w:t xml:space="preserve"> .69-.72 </w:t>
      </w:r>
      <w:proofErr w:type="spellStart"/>
      <w:r w:rsidRPr="007E3DA9">
        <w:t>aralığındadır</w:t>
      </w:r>
      <w:proofErr w:type="spellEnd"/>
      <w:r w:rsidRPr="007E3DA9">
        <w:t xml:space="preserve">. Bu </w:t>
      </w:r>
      <w:proofErr w:type="spellStart"/>
      <w:r w:rsidRPr="007E3DA9">
        <w:t>araştırma</w:t>
      </w:r>
      <w:proofErr w:type="spellEnd"/>
      <w:r w:rsidRPr="007E3DA9">
        <w:t xml:space="preserve"> </w:t>
      </w:r>
      <w:proofErr w:type="spellStart"/>
      <w:r w:rsidRPr="007E3DA9">
        <w:t>kapsamında</w:t>
      </w:r>
      <w:proofErr w:type="spellEnd"/>
      <w:r w:rsidRPr="007E3DA9">
        <w:t xml:space="preserve"> </w:t>
      </w:r>
      <w:proofErr w:type="spellStart"/>
      <w:r w:rsidRPr="007E3DA9">
        <w:t>ise</w:t>
      </w:r>
      <w:proofErr w:type="spellEnd"/>
      <w:r w:rsidRPr="007E3DA9">
        <w:t xml:space="preserve"> </w:t>
      </w:r>
      <w:proofErr w:type="spellStart"/>
      <w:r w:rsidRPr="007E3DA9">
        <w:t>iç</w:t>
      </w:r>
      <w:proofErr w:type="spellEnd"/>
      <w:r w:rsidRPr="007E3DA9">
        <w:t xml:space="preserve"> </w:t>
      </w:r>
      <w:proofErr w:type="spellStart"/>
      <w:r w:rsidRPr="007E3DA9">
        <w:t>tutarlılık</w:t>
      </w:r>
      <w:proofErr w:type="spellEnd"/>
      <w:r w:rsidRPr="007E3DA9">
        <w:t xml:space="preserve"> </w:t>
      </w:r>
      <w:proofErr w:type="spellStart"/>
      <w:r w:rsidRPr="007E3DA9">
        <w:t>katsayısı</w:t>
      </w:r>
      <w:proofErr w:type="spellEnd"/>
      <w:r w:rsidRPr="007E3DA9">
        <w:t xml:space="preserve"> </w:t>
      </w:r>
      <w:proofErr w:type="spellStart"/>
      <w:r w:rsidRPr="007E3DA9">
        <w:t>toplam</w:t>
      </w:r>
      <w:proofErr w:type="spellEnd"/>
      <w:r w:rsidRPr="007E3DA9">
        <w:t xml:space="preserve"> </w:t>
      </w:r>
      <w:proofErr w:type="spellStart"/>
      <w:r w:rsidRPr="007E3DA9">
        <w:t>ölçek</w:t>
      </w:r>
      <w:proofErr w:type="spellEnd"/>
      <w:r w:rsidRPr="007E3DA9">
        <w:t xml:space="preserve"> </w:t>
      </w:r>
      <w:proofErr w:type="spellStart"/>
      <w:r w:rsidRPr="007E3DA9">
        <w:t>için</w:t>
      </w:r>
      <w:proofErr w:type="spellEnd"/>
      <w:r w:rsidRPr="007E3DA9">
        <w:t xml:space="preserve"> .95 </w:t>
      </w:r>
      <w:proofErr w:type="spellStart"/>
      <w:r w:rsidRPr="007E3DA9">
        <w:t>olarak</w:t>
      </w:r>
      <w:proofErr w:type="spellEnd"/>
      <w:r w:rsidRPr="007E3DA9">
        <w:t xml:space="preserve"> </w:t>
      </w:r>
      <w:proofErr w:type="spellStart"/>
      <w:r w:rsidRPr="007E3DA9">
        <w:t>bulunmuştur</w:t>
      </w:r>
      <w:proofErr w:type="spellEnd"/>
      <w:r w:rsidRPr="007E3DA9">
        <w:t>.</w:t>
      </w:r>
    </w:p>
    <w:p w14:paraId="741CD0F9" w14:textId="77777777" w:rsidR="007513A1" w:rsidRPr="007E3DA9" w:rsidRDefault="007513A1" w:rsidP="007513A1">
      <w:pPr>
        <w:pStyle w:val="NormalWeb"/>
        <w:spacing w:before="0" w:beforeAutospacing="0" w:after="0" w:afterAutospacing="0"/>
        <w:jc w:val="both"/>
      </w:pPr>
    </w:p>
    <w:p w14:paraId="73326E66" w14:textId="77777777" w:rsidR="00B470AD" w:rsidRDefault="00B470AD" w:rsidP="007513A1">
      <w:pPr>
        <w:pStyle w:val="NormalWeb"/>
        <w:spacing w:before="0" w:beforeAutospacing="0" w:after="0" w:afterAutospacing="0"/>
        <w:jc w:val="both"/>
      </w:pPr>
      <w:r w:rsidRPr="00B93262">
        <w:rPr>
          <w:b/>
          <w:bCs/>
        </w:rPr>
        <w:t xml:space="preserve">2.3.4. Penn State </w:t>
      </w:r>
      <w:proofErr w:type="spellStart"/>
      <w:r w:rsidRPr="00B93262">
        <w:rPr>
          <w:b/>
          <w:bCs/>
        </w:rPr>
        <w:t>Endişe</w:t>
      </w:r>
      <w:proofErr w:type="spellEnd"/>
      <w:r w:rsidRPr="00B93262">
        <w:rPr>
          <w:b/>
          <w:bCs/>
        </w:rPr>
        <w:t xml:space="preserve"> </w:t>
      </w:r>
      <w:proofErr w:type="spellStart"/>
      <w:r w:rsidRPr="00B93262">
        <w:rPr>
          <w:b/>
          <w:bCs/>
        </w:rPr>
        <w:t>Ölçeği</w:t>
      </w:r>
      <w:proofErr w:type="spellEnd"/>
      <w:r>
        <w:t xml:space="preserve">   </w:t>
      </w:r>
    </w:p>
    <w:p w14:paraId="15095EBB" w14:textId="77777777" w:rsidR="007513A1" w:rsidRDefault="00B470AD" w:rsidP="007513A1">
      <w:pPr>
        <w:pStyle w:val="NormalWeb"/>
        <w:spacing w:before="0" w:beforeAutospacing="0" w:after="0" w:afterAutospacing="0"/>
        <w:jc w:val="both"/>
      </w:pPr>
      <w:r w:rsidRPr="00A55CFD">
        <w:t xml:space="preserve">Meyer </w:t>
      </w:r>
      <w:proofErr w:type="spellStart"/>
      <w:r w:rsidRPr="00A55CFD">
        <w:t>ve</w:t>
      </w:r>
      <w:proofErr w:type="spellEnd"/>
      <w:r w:rsidRPr="00A55CFD">
        <w:t xml:space="preserve"> </w:t>
      </w:r>
      <w:proofErr w:type="spellStart"/>
      <w:r>
        <w:t>arkadaşları</w:t>
      </w:r>
      <w:proofErr w:type="spellEnd"/>
      <w:r w:rsidRPr="00A55CFD">
        <w:t xml:space="preserve"> </w:t>
      </w:r>
      <w:proofErr w:type="spellStart"/>
      <w:r w:rsidRPr="00A55CFD">
        <w:t>tarafından</w:t>
      </w:r>
      <w:proofErr w:type="spellEnd"/>
      <w:r w:rsidRPr="00A55CFD">
        <w:t xml:space="preserve"> 1990 </w:t>
      </w:r>
      <w:proofErr w:type="spellStart"/>
      <w:r w:rsidRPr="00A55CFD">
        <w:t>yılında</w:t>
      </w:r>
      <w:proofErr w:type="spellEnd"/>
      <w:r w:rsidRPr="00A55CFD">
        <w:t xml:space="preserve"> </w:t>
      </w:r>
      <w:proofErr w:type="spellStart"/>
      <w:r w:rsidRPr="00A55CFD">
        <w:t>yaygın</w:t>
      </w:r>
      <w:proofErr w:type="spellEnd"/>
      <w:r w:rsidRPr="00A55CFD">
        <w:t xml:space="preserve"> </w:t>
      </w:r>
      <w:proofErr w:type="spellStart"/>
      <w:r w:rsidRPr="00A55CFD">
        <w:t>ve</w:t>
      </w:r>
      <w:proofErr w:type="spellEnd"/>
      <w:r w:rsidRPr="00A55CFD">
        <w:t xml:space="preserve"> </w:t>
      </w:r>
      <w:proofErr w:type="spellStart"/>
      <w:r w:rsidRPr="00A55CFD">
        <w:t>sürekli</w:t>
      </w:r>
      <w:proofErr w:type="spellEnd"/>
      <w:r w:rsidRPr="00A55CFD">
        <w:t xml:space="preserve"> </w:t>
      </w:r>
      <w:proofErr w:type="spellStart"/>
      <w:r w:rsidRPr="00A55CFD">
        <w:t>kaygının</w:t>
      </w:r>
      <w:proofErr w:type="spellEnd"/>
      <w:r w:rsidRPr="00A55CFD">
        <w:t xml:space="preserve"> </w:t>
      </w:r>
      <w:proofErr w:type="spellStart"/>
      <w:r w:rsidRPr="00A55CFD">
        <w:t>yaygınlığını</w:t>
      </w:r>
      <w:proofErr w:type="spellEnd"/>
      <w:r w:rsidRPr="00A55CFD">
        <w:t xml:space="preserve">, </w:t>
      </w:r>
      <w:proofErr w:type="spellStart"/>
      <w:r w:rsidRPr="00A55CFD">
        <w:t>şiddetini</w:t>
      </w:r>
      <w:proofErr w:type="spellEnd"/>
      <w:r w:rsidRPr="00A55CFD">
        <w:t xml:space="preserve"> </w:t>
      </w:r>
      <w:proofErr w:type="spellStart"/>
      <w:r w:rsidRPr="00A55CFD">
        <w:t>ve</w:t>
      </w:r>
      <w:proofErr w:type="spellEnd"/>
      <w:r w:rsidRPr="00A55CFD">
        <w:t xml:space="preserve"> </w:t>
      </w:r>
      <w:proofErr w:type="spellStart"/>
      <w:r w:rsidRPr="00A55CFD">
        <w:t>kontrol</w:t>
      </w:r>
      <w:proofErr w:type="spellEnd"/>
      <w:r w:rsidRPr="00A55CFD">
        <w:t xml:space="preserve"> </w:t>
      </w:r>
      <w:proofErr w:type="spellStart"/>
      <w:r w:rsidRPr="00A55CFD">
        <w:t>edilebilirliğini</w:t>
      </w:r>
      <w:proofErr w:type="spellEnd"/>
      <w:r w:rsidRPr="00A55CFD">
        <w:t xml:space="preserve"> </w:t>
      </w:r>
      <w:proofErr w:type="spellStart"/>
      <w:r w:rsidRPr="00A55CFD">
        <w:t>ölçmek</w:t>
      </w:r>
      <w:proofErr w:type="spellEnd"/>
      <w:r w:rsidRPr="00A55CFD">
        <w:t xml:space="preserve"> </w:t>
      </w:r>
      <w:proofErr w:type="spellStart"/>
      <w:r w:rsidRPr="00A55CFD">
        <w:t>için</w:t>
      </w:r>
      <w:proofErr w:type="spellEnd"/>
      <w:r w:rsidRPr="00A55CFD">
        <w:t xml:space="preserve"> </w:t>
      </w:r>
      <w:proofErr w:type="spellStart"/>
      <w:r w:rsidRPr="00A55CFD">
        <w:t>geliştirilmiştir</w:t>
      </w:r>
      <w:proofErr w:type="spellEnd"/>
      <w:r w:rsidRPr="00A55CFD">
        <w:t xml:space="preserve">. </w:t>
      </w:r>
      <w:proofErr w:type="spellStart"/>
      <w:r w:rsidRPr="00A55CFD">
        <w:t>Ölçek</w:t>
      </w:r>
      <w:proofErr w:type="spellEnd"/>
      <w:r w:rsidRPr="00A55CFD">
        <w:t xml:space="preserve"> 5’li </w:t>
      </w:r>
      <w:proofErr w:type="spellStart"/>
      <w:r w:rsidRPr="00A55CFD">
        <w:t>likert</w:t>
      </w:r>
      <w:proofErr w:type="spellEnd"/>
      <w:r w:rsidRPr="00A55CFD">
        <w:t xml:space="preserve"> </w:t>
      </w:r>
      <w:proofErr w:type="spellStart"/>
      <w:r w:rsidRPr="00A55CFD">
        <w:t>tipinde</w:t>
      </w:r>
      <w:proofErr w:type="spellEnd"/>
      <w:r w:rsidRPr="00A55CFD">
        <w:t xml:space="preserve"> 16 </w:t>
      </w:r>
      <w:proofErr w:type="spellStart"/>
      <w:r w:rsidRPr="00A55CFD">
        <w:t>maddeden</w:t>
      </w:r>
      <w:proofErr w:type="spellEnd"/>
      <w:r w:rsidRPr="00A55CFD">
        <w:t xml:space="preserve"> </w:t>
      </w:r>
      <w:proofErr w:type="spellStart"/>
      <w:r w:rsidRPr="00A55CFD">
        <w:t>oluşmaktadır</w:t>
      </w:r>
      <w:proofErr w:type="spellEnd"/>
      <w:r w:rsidRPr="00A55CFD">
        <w:t xml:space="preserve">. </w:t>
      </w:r>
      <w:proofErr w:type="spellStart"/>
      <w:r w:rsidRPr="00A55CFD">
        <w:t>Ölçek</w:t>
      </w:r>
      <w:proofErr w:type="spellEnd"/>
      <w:r w:rsidRPr="00A55CFD">
        <w:t xml:space="preserve"> 2008 </w:t>
      </w:r>
      <w:proofErr w:type="spellStart"/>
      <w:r w:rsidRPr="00A55CFD">
        <w:t>yılında</w:t>
      </w:r>
      <w:proofErr w:type="spellEnd"/>
      <w:r w:rsidRPr="00A55CFD">
        <w:t xml:space="preserve"> Yılmaz </w:t>
      </w:r>
      <w:proofErr w:type="spellStart"/>
      <w:r w:rsidRPr="00A55CFD">
        <w:t>ve</w:t>
      </w:r>
      <w:proofErr w:type="spellEnd"/>
      <w:r w:rsidRPr="00A55CFD">
        <w:t xml:space="preserve"> </w:t>
      </w:r>
      <w:proofErr w:type="spellStart"/>
      <w:r>
        <w:t>arkadaşları</w:t>
      </w:r>
      <w:proofErr w:type="spellEnd"/>
      <w:r w:rsidRPr="00A55CFD">
        <w:t xml:space="preserve"> </w:t>
      </w:r>
      <w:proofErr w:type="spellStart"/>
      <w:r w:rsidRPr="00A55CFD">
        <w:t>tarafından</w:t>
      </w:r>
      <w:proofErr w:type="spellEnd"/>
      <w:r w:rsidRPr="00A55CFD">
        <w:t xml:space="preserve"> </w:t>
      </w:r>
      <w:proofErr w:type="spellStart"/>
      <w:r w:rsidRPr="00A55CFD">
        <w:t>Türkçeye</w:t>
      </w:r>
      <w:proofErr w:type="spellEnd"/>
      <w:r w:rsidRPr="00A55CFD">
        <w:t xml:space="preserve"> </w:t>
      </w:r>
      <w:proofErr w:type="spellStart"/>
      <w:r w:rsidRPr="00A55CFD">
        <w:t>uyarlanmıştır</w:t>
      </w:r>
      <w:proofErr w:type="spellEnd"/>
      <w:r w:rsidRPr="00A55CFD">
        <w:t xml:space="preserve">. </w:t>
      </w:r>
      <w:proofErr w:type="spellStart"/>
      <w:r w:rsidRPr="00A55CFD">
        <w:t>Ölçeğin</w:t>
      </w:r>
      <w:proofErr w:type="spellEnd"/>
      <w:r w:rsidRPr="00A55CFD">
        <w:t xml:space="preserve"> Cronbach alfa kat </w:t>
      </w:r>
      <w:proofErr w:type="spellStart"/>
      <w:r w:rsidRPr="00A55CFD">
        <w:t>sayıları</w:t>
      </w:r>
      <w:proofErr w:type="spellEnd"/>
      <w:r w:rsidRPr="00A55CFD">
        <w:t xml:space="preserve"> .91, test-</w:t>
      </w:r>
      <w:proofErr w:type="spellStart"/>
      <w:r w:rsidRPr="00A55CFD">
        <w:t>tekrar</w:t>
      </w:r>
      <w:proofErr w:type="spellEnd"/>
      <w:r w:rsidRPr="00A55CFD">
        <w:t xml:space="preserve"> test </w:t>
      </w:r>
      <w:proofErr w:type="spellStart"/>
      <w:r w:rsidRPr="00A55CFD">
        <w:t>güvenilirlik</w:t>
      </w:r>
      <w:proofErr w:type="spellEnd"/>
      <w:r w:rsidRPr="00A55CFD">
        <w:t xml:space="preserve"> </w:t>
      </w:r>
      <w:proofErr w:type="spellStart"/>
      <w:r w:rsidRPr="00A55CFD">
        <w:t>katsayısı</w:t>
      </w:r>
      <w:proofErr w:type="spellEnd"/>
      <w:r w:rsidRPr="00A55CFD">
        <w:t xml:space="preserve"> .88’dir. </w:t>
      </w:r>
      <w:proofErr w:type="spellStart"/>
      <w:r w:rsidRPr="00A55CFD">
        <w:t>Ölçek</w:t>
      </w:r>
      <w:proofErr w:type="spellEnd"/>
      <w:r w:rsidRPr="00A55CFD">
        <w:t xml:space="preserve"> </w:t>
      </w:r>
      <w:proofErr w:type="spellStart"/>
      <w:r w:rsidRPr="00A55CFD">
        <w:t>özgün</w:t>
      </w:r>
      <w:proofErr w:type="spellEnd"/>
      <w:r w:rsidRPr="00A55CFD">
        <w:t xml:space="preserve"> </w:t>
      </w:r>
      <w:proofErr w:type="spellStart"/>
      <w:r w:rsidRPr="00A55CFD">
        <w:t>hali</w:t>
      </w:r>
      <w:proofErr w:type="spellEnd"/>
      <w:r w:rsidRPr="00A55CFD">
        <w:t xml:space="preserve"> </w:t>
      </w:r>
      <w:proofErr w:type="spellStart"/>
      <w:r w:rsidRPr="00A55CFD">
        <w:t>gibi</w:t>
      </w:r>
      <w:proofErr w:type="spellEnd"/>
      <w:r w:rsidRPr="00A55CFD">
        <w:t xml:space="preserve"> </w:t>
      </w:r>
      <w:proofErr w:type="spellStart"/>
      <w:r w:rsidRPr="00A55CFD">
        <w:t>tek</w:t>
      </w:r>
      <w:proofErr w:type="spellEnd"/>
      <w:r w:rsidRPr="00A55CFD">
        <w:t xml:space="preserve"> </w:t>
      </w:r>
      <w:proofErr w:type="spellStart"/>
      <w:r w:rsidRPr="00A55CFD">
        <w:t>faktörlü</w:t>
      </w:r>
      <w:proofErr w:type="spellEnd"/>
      <w:r w:rsidRPr="00A55CFD">
        <w:t xml:space="preserve"> </w:t>
      </w:r>
      <w:proofErr w:type="spellStart"/>
      <w:r w:rsidRPr="00A55CFD">
        <w:t>bir</w:t>
      </w:r>
      <w:proofErr w:type="spellEnd"/>
      <w:r w:rsidRPr="00A55CFD">
        <w:t xml:space="preserve"> </w:t>
      </w:r>
      <w:proofErr w:type="spellStart"/>
      <w:r w:rsidRPr="00A55CFD">
        <w:t>yapıdadır</w:t>
      </w:r>
      <w:proofErr w:type="spellEnd"/>
      <w:r w:rsidRPr="00A55CFD">
        <w:t xml:space="preserve">. </w:t>
      </w:r>
      <w:proofErr w:type="spellStart"/>
      <w:r w:rsidRPr="00A55CFD">
        <w:t>Ölçek</w:t>
      </w:r>
      <w:proofErr w:type="spellEnd"/>
      <w:r w:rsidRPr="00A55CFD">
        <w:t xml:space="preserve"> </w:t>
      </w:r>
      <w:proofErr w:type="spellStart"/>
      <w:r w:rsidRPr="00A55CFD">
        <w:t>puanlaması</w:t>
      </w:r>
      <w:proofErr w:type="spellEnd"/>
      <w:r w:rsidRPr="00A55CFD">
        <w:t xml:space="preserve"> 16 </w:t>
      </w:r>
      <w:proofErr w:type="spellStart"/>
      <w:r w:rsidRPr="00A55CFD">
        <w:t>ile</w:t>
      </w:r>
      <w:proofErr w:type="spellEnd"/>
      <w:r w:rsidRPr="00A55CFD">
        <w:t xml:space="preserve"> 80 </w:t>
      </w:r>
      <w:proofErr w:type="spellStart"/>
      <w:r w:rsidRPr="00A55CFD">
        <w:t>arasında</w:t>
      </w:r>
      <w:proofErr w:type="spellEnd"/>
      <w:r w:rsidRPr="00A55CFD">
        <w:t xml:space="preserve"> </w:t>
      </w:r>
      <w:proofErr w:type="spellStart"/>
      <w:r w:rsidRPr="00A55CFD">
        <w:t>tüm</w:t>
      </w:r>
      <w:proofErr w:type="spellEnd"/>
      <w:r w:rsidRPr="00A55CFD">
        <w:t xml:space="preserve"> </w:t>
      </w:r>
      <w:proofErr w:type="spellStart"/>
      <w:r w:rsidRPr="00A55CFD">
        <w:t>puanların</w:t>
      </w:r>
      <w:proofErr w:type="spellEnd"/>
      <w:r w:rsidRPr="00A55CFD">
        <w:t xml:space="preserve"> </w:t>
      </w:r>
      <w:proofErr w:type="spellStart"/>
      <w:r w:rsidRPr="00A55CFD">
        <w:t>toplanması</w:t>
      </w:r>
      <w:proofErr w:type="spellEnd"/>
      <w:r w:rsidRPr="00A55CFD">
        <w:t xml:space="preserve"> </w:t>
      </w:r>
      <w:proofErr w:type="spellStart"/>
      <w:r w:rsidRPr="00A55CFD">
        <w:t>ile</w:t>
      </w:r>
      <w:proofErr w:type="spellEnd"/>
      <w:r w:rsidRPr="00A55CFD">
        <w:t xml:space="preserve"> </w:t>
      </w:r>
      <w:proofErr w:type="spellStart"/>
      <w:r w:rsidRPr="00A55CFD">
        <w:t>elde</w:t>
      </w:r>
      <w:proofErr w:type="spellEnd"/>
      <w:r w:rsidRPr="00A55CFD">
        <w:t xml:space="preserve"> </w:t>
      </w:r>
      <w:proofErr w:type="spellStart"/>
      <w:r w:rsidRPr="00A55CFD">
        <w:t>edilir</w:t>
      </w:r>
      <w:proofErr w:type="spellEnd"/>
      <w:r w:rsidRPr="00A55CFD">
        <w:t xml:space="preserve">. Puan </w:t>
      </w:r>
      <w:proofErr w:type="spellStart"/>
      <w:r w:rsidRPr="00A55CFD">
        <w:t>artışı</w:t>
      </w:r>
      <w:proofErr w:type="spellEnd"/>
      <w:r w:rsidRPr="00A55CFD">
        <w:t xml:space="preserve"> </w:t>
      </w:r>
      <w:proofErr w:type="spellStart"/>
      <w:r w:rsidRPr="00A55CFD">
        <w:t>patolojik</w:t>
      </w:r>
      <w:proofErr w:type="spellEnd"/>
      <w:r w:rsidRPr="00A55CFD">
        <w:t xml:space="preserve"> </w:t>
      </w:r>
      <w:proofErr w:type="spellStart"/>
      <w:r w:rsidRPr="00A55CFD">
        <w:t>kaygının</w:t>
      </w:r>
      <w:proofErr w:type="spellEnd"/>
      <w:r w:rsidRPr="00A55CFD">
        <w:t xml:space="preserve"> </w:t>
      </w:r>
      <w:proofErr w:type="spellStart"/>
      <w:r w:rsidRPr="00A55CFD">
        <w:t>arttığını</w:t>
      </w:r>
      <w:proofErr w:type="spellEnd"/>
      <w:r w:rsidRPr="00A55CFD">
        <w:t xml:space="preserve"> </w:t>
      </w:r>
      <w:proofErr w:type="spellStart"/>
      <w:r w:rsidRPr="00A55CFD">
        <w:t>göstermektedir</w:t>
      </w:r>
      <w:proofErr w:type="spellEnd"/>
      <w:r w:rsidRPr="00A55CFD">
        <w:t xml:space="preserve">. Bu </w:t>
      </w:r>
      <w:proofErr w:type="spellStart"/>
      <w:r w:rsidRPr="00A55CFD">
        <w:t>araştırma</w:t>
      </w:r>
      <w:proofErr w:type="spellEnd"/>
      <w:r w:rsidRPr="00A55CFD">
        <w:t xml:space="preserve"> </w:t>
      </w:r>
      <w:proofErr w:type="spellStart"/>
      <w:r w:rsidRPr="00A55CFD">
        <w:t>kapsamında</w:t>
      </w:r>
      <w:proofErr w:type="spellEnd"/>
      <w:r w:rsidRPr="00A55CFD">
        <w:t xml:space="preserve"> </w:t>
      </w:r>
      <w:proofErr w:type="spellStart"/>
      <w:r w:rsidRPr="00A55CFD">
        <w:t>iç</w:t>
      </w:r>
      <w:proofErr w:type="spellEnd"/>
      <w:r w:rsidRPr="00A55CFD">
        <w:t xml:space="preserve"> </w:t>
      </w:r>
      <w:proofErr w:type="spellStart"/>
      <w:r w:rsidRPr="00A55CFD">
        <w:t>tutarlılık</w:t>
      </w:r>
      <w:proofErr w:type="spellEnd"/>
      <w:r w:rsidRPr="00A55CFD">
        <w:t xml:space="preserve"> </w:t>
      </w:r>
      <w:proofErr w:type="spellStart"/>
      <w:r w:rsidRPr="00A55CFD">
        <w:t>katsayısı</w:t>
      </w:r>
      <w:proofErr w:type="spellEnd"/>
      <w:r w:rsidRPr="00A55CFD">
        <w:t xml:space="preserve"> .91 </w:t>
      </w:r>
      <w:proofErr w:type="spellStart"/>
      <w:r w:rsidRPr="00A55CFD">
        <w:t>olarak</w:t>
      </w:r>
      <w:proofErr w:type="spellEnd"/>
      <w:r w:rsidRPr="00A55CFD">
        <w:t xml:space="preserve"> </w:t>
      </w:r>
      <w:proofErr w:type="spellStart"/>
      <w:r w:rsidRPr="00A55CFD">
        <w:t>bulunmuştur</w:t>
      </w:r>
      <w:proofErr w:type="spellEnd"/>
      <w:r w:rsidRPr="00A55CFD">
        <w:t>.</w:t>
      </w:r>
      <w:r>
        <w:t xml:space="preserve">      </w:t>
      </w:r>
    </w:p>
    <w:p w14:paraId="70C23BCF" w14:textId="1089E456" w:rsidR="00B470AD" w:rsidRPr="00A55CFD" w:rsidRDefault="00B470AD" w:rsidP="007513A1">
      <w:pPr>
        <w:pStyle w:val="NormalWeb"/>
        <w:spacing w:before="0" w:beforeAutospacing="0" w:after="0" w:afterAutospacing="0"/>
        <w:jc w:val="both"/>
      </w:pPr>
      <w:r>
        <w:t xml:space="preserve">                                     </w:t>
      </w:r>
    </w:p>
    <w:p w14:paraId="667D5EAC" w14:textId="77777777" w:rsidR="00B470AD" w:rsidRDefault="00B470AD" w:rsidP="007513A1">
      <w:pPr>
        <w:pStyle w:val="NormalWeb"/>
        <w:spacing w:before="0" w:beforeAutospacing="0" w:after="0" w:afterAutospacing="0"/>
        <w:rPr>
          <w:b/>
          <w:bCs/>
        </w:rPr>
      </w:pPr>
      <w:r>
        <w:rPr>
          <w:b/>
          <w:bCs/>
        </w:rPr>
        <w:t xml:space="preserve">2.4. Veri </w:t>
      </w:r>
      <w:proofErr w:type="spellStart"/>
      <w:r>
        <w:rPr>
          <w:b/>
          <w:bCs/>
        </w:rPr>
        <w:t>Analizi</w:t>
      </w:r>
      <w:proofErr w:type="spellEnd"/>
    </w:p>
    <w:p w14:paraId="72A5CAAB" w14:textId="77777777" w:rsidR="00B470AD" w:rsidRDefault="00B470AD" w:rsidP="007513A1">
      <w:pPr>
        <w:pStyle w:val="NormalWeb"/>
        <w:spacing w:before="0" w:beforeAutospacing="0" w:after="0" w:afterAutospacing="0"/>
        <w:jc w:val="both"/>
      </w:pPr>
      <w:proofErr w:type="spellStart"/>
      <w:r w:rsidRPr="00C62E9C">
        <w:t>Verilerin</w:t>
      </w:r>
      <w:proofErr w:type="spellEnd"/>
      <w:r w:rsidRPr="00C62E9C">
        <w:t xml:space="preserve"> </w:t>
      </w:r>
      <w:proofErr w:type="spellStart"/>
      <w:r w:rsidRPr="00C62E9C">
        <w:t>analizinde</w:t>
      </w:r>
      <w:proofErr w:type="spellEnd"/>
      <w:r w:rsidRPr="00C62E9C">
        <w:t xml:space="preserve">, IBM SPSS 27 </w:t>
      </w:r>
      <w:proofErr w:type="spellStart"/>
      <w:r w:rsidRPr="00C62E9C">
        <w:t>paket</w:t>
      </w:r>
      <w:proofErr w:type="spellEnd"/>
      <w:r w:rsidRPr="00C62E9C">
        <w:t xml:space="preserve"> </w:t>
      </w:r>
      <w:proofErr w:type="spellStart"/>
      <w:r w:rsidRPr="00C62E9C">
        <w:t>programı</w:t>
      </w:r>
      <w:proofErr w:type="spellEnd"/>
      <w:r w:rsidRPr="00C62E9C">
        <w:t xml:space="preserve"> </w:t>
      </w:r>
      <w:proofErr w:type="spellStart"/>
      <w:r w:rsidRPr="00C62E9C">
        <w:t>kullanılmıştır</w:t>
      </w:r>
      <w:proofErr w:type="spellEnd"/>
      <w:r w:rsidRPr="00C62E9C">
        <w:t xml:space="preserve">. Hata </w:t>
      </w:r>
      <w:proofErr w:type="spellStart"/>
      <w:r w:rsidRPr="00C62E9C">
        <w:t>payı</w:t>
      </w:r>
      <w:proofErr w:type="spellEnd"/>
      <w:r w:rsidRPr="00C62E9C">
        <w:t xml:space="preserve"> .05 </w:t>
      </w:r>
      <w:proofErr w:type="spellStart"/>
      <w:r w:rsidRPr="00C62E9C">
        <w:t>alınmıştır</w:t>
      </w:r>
      <w:proofErr w:type="spellEnd"/>
      <w:r w:rsidRPr="00C62E9C">
        <w:t>.</w:t>
      </w:r>
      <w:r w:rsidRPr="00790929">
        <w:t xml:space="preserve"> </w:t>
      </w:r>
      <w:proofErr w:type="spellStart"/>
      <w:r w:rsidRPr="00790929">
        <w:t>Verilerin</w:t>
      </w:r>
      <w:proofErr w:type="spellEnd"/>
      <w:r w:rsidRPr="00790929">
        <w:t xml:space="preserve"> </w:t>
      </w:r>
      <w:proofErr w:type="spellStart"/>
      <w:r w:rsidRPr="00790929">
        <w:t>normalliği</w:t>
      </w:r>
      <w:proofErr w:type="spellEnd"/>
      <w:r w:rsidRPr="00790929">
        <w:t xml:space="preserve"> test </w:t>
      </w:r>
      <w:proofErr w:type="spellStart"/>
      <w:r w:rsidRPr="00790929">
        <w:t>edilmiş</w:t>
      </w:r>
      <w:proofErr w:type="spellEnd"/>
      <w:r w:rsidRPr="00790929">
        <w:t xml:space="preserve"> </w:t>
      </w:r>
      <w:proofErr w:type="spellStart"/>
      <w:r w:rsidRPr="00790929">
        <w:t>ve</w:t>
      </w:r>
      <w:proofErr w:type="spellEnd"/>
      <w:r w:rsidRPr="00790929">
        <w:t xml:space="preserve"> </w:t>
      </w:r>
      <w:proofErr w:type="spellStart"/>
      <w:r w:rsidRPr="00790929">
        <w:t>uç</w:t>
      </w:r>
      <w:proofErr w:type="spellEnd"/>
      <w:r w:rsidRPr="00790929">
        <w:t xml:space="preserve"> </w:t>
      </w:r>
      <w:proofErr w:type="spellStart"/>
      <w:r w:rsidRPr="00790929">
        <w:t>değerler</w:t>
      </w:r>
      <w:proofErr w:type="spellEnd"/>
      <w:r w:rsidRPr="00790929">
        <w:t xml:space="preserve"> </w:t>
      </w:r>
      <w:proofErr w:type="spellStart"/>
      <w:r w:rsidRPr="00790929">
        <w:t>incelenerek</w:t>
      </w:r>
      <w:proofErr w:type="spellEnd"/>
      <w:r w:rsidRPr="00790929">
        <w:t xml:space="preserve"> </w:t>
      </w:r>
      <w:proofErr w:type="spellStart"/>
      <w:r w:rsidRPr="00790929">
        <w:t>değişkenlerin</w:t>
      </w:r>
      <w:proofErr w:type="spellEnd"/>
      <w:r w:rsidRPr="00790929">
        <w:t xml:space="preserve"> </w:t>
      </w:r>
      <w:proofErr w:type="spellStart"/>
      <w:r w:rsidRPr="00790929">
        <w:t>basıklık</w:t>
      </w:r>
      <w:proofErr w:type="spellEnd"/>
      <w:r w:rsidRPr="00790929">
        <w:t xml:space="preserve"> </w:t>
      </w:r>
      <w:proofErr w:type="spellStart"/>
      <w:r w:rsidRPr="00790929">
        <w:t>ve</w:t>
      </w:r>
      <w:proofErr w:type="spellEnd"/>
      <w:r w:rsidRPr="00790929">
        <w:t xml:space="preserve"> </w:t>
      </w:r>
      <w:proofErr w:type="spellStart"/>
      <w:r w:rsidRPr="00790929">
        <w:t>çarpıklık</w:t>
      </w:r>
      <w:proofErr w:type="spellEnd"/>
      <w:r w:rsidRPr="00790929">
        <w:t xml:space="preserve"> </w:t>
      </w:r>
      <w:proofErr w:type="spellStart"/>
      <w:r w:rsidRPr="00790929">
        <w:t>değerleri</w:t>
      </w:r>
      <w:proofErr w:type="spellEnd"/>
      <w:r w:rsidRPr="00790929">
        <w:t xml:space="preserve"> </w:t>
      </w:r>
      <w:proofErr w:type="spellStart"/>
      <w:r w:rsidRPr="00790929">
        <w:t>kontrol</w:t>
      </w:r>
      <w:proofErr w:type="spellEnd"/>
      <w:r w:rsidRPr="00790929">
        <w:t xml:space="preserve"> </w:t>
      </w:r>
      <w:proofErr w:type="spellStart"/>
      <w:r w:rsidRPr="00790929">
        <w:t>edilmiştir</w:t>
      </w:r>
      <w:proofErr w:type="spellEnd"/>
      <w:r w:rsidRPr="00790929">
        <w:t xml:space="preserve">. </w:t>
      </w:r>
      <w:proofErr w:type="spellStart"/>
      <w:r w:rsidRPr="00790929">
        <w:t>Verilerin</w:t>
      </w:r>
      <w:proofErr w:type="spellEnd"/>
      <w:r w:rsidRPr="00790929">
        <w:t xml:space="preserve"> normal </w:t>
      </w:r>
      <w:proofErr w:type="spellStart"/>
      <w:r w:rsidRPr="00790929">
        <w:t>dağılım</w:t>
      </w:r>
      <w:proofErr w:type="spellEnd"/>
      <w:r w:rsidRPr="00790929">
        <w:t xml:space="preserve"> </w:t>
      </w:r>
      <w:proofErr w:type="spellStart"/>
      <w:r w:rsidRPr="00790929">
        <w:t>gösterdikleri</w:t>
      </w:r>
      <w:proofErr w:type="spellEnd"/>
      <w:r w:rsidRPr="00790929">
        <w:t xml:space="preserve"> </w:t>
      </w:r>
      <w:proofErr w:type="spellStart"/>
      <w:r w:rsidRPr="00790929">
        <w:t>tespit</w:t>
      </w:r>
      <w:proofErr w:type="spellEnd"/>
      <w:r w:rsidRPr="00790929">
        <w:t xml:space="preserve"> </w:t>
      </w:r>
      <w:proofErr w:type="spellStart"/>
      <w:r w:rsidRPr="00790929">
        <w:t>edilmiştir</w:t>
      </w:r>
      <w:proofErr w:type="spellEnd"/>
      <w:r w:rsidRPr="00790929">
        <w:t xml:space="preserve"> </w:t>
      </w:r>
      <w:proofErr w:type="spellStart"/>
      <w:r w:rsidRPr="00790929">
        <w:t>ve</w:t>
      </w:r>
      <w:proofErr w:type="spellEnd"/>
      <w:r w:rsidRPr="00790929">
        <w:t xml:space="preserve"> </w:t>
      </w:r>
      <w:proofErr w:type="spellStart"/>
      <w:r>
        <w:t>bu</w:t>
      </w:r>
      <w:proofErr w:type="spellEnd"/>
      <w:r>
        <w:t xml:space="preserve"> </w:t>
      </w:r>
      <w:proofErr w:type="spellStart"/>
      <w:r>
        <w:t>doğrultuda</w:t>
      </w:r>
      <w:proofErr w:type="spellEnd"/>
      <w:r>
        <w:t xml:space="preserve"> </w:t>
      </w:r>
      <w:proofErr w:type="spellStart"/>
      <w:r w:rsidRPr="00790929">
        <w:t>değişkenlere</w:t>
      </w:r>
      <w:proofErr w:type="spellEnd"/>
      <w:r w:rsidRPr="00790929">
        <w:t xml:space="preserve"> </w:t>
      </w:r>
      <w:proofErr w:type="spellStart"/>
      <w:r w:rsidRPr="00790929">
        <w:t>uygun</w:t>
      </w:r>
      <w:proofErr w:type="spellEnd"/>
      <w:r w:rsidRPr="00790929">
        <w:t xml:space="preserve"> </w:t>
      </w:r>
      <w:proofErr w:type="spellStart"/>
      <w:r w:rsidRPr="00790929">
        <w:t>analiz</w:t>
      </w:r>
      <w:proofErr w:type="spellEnd"/>
      <w:r w:rsidRPr="00790929">
        <w:t xml:space="preserve"> </w:t>
      </w:r>
      <w:proofErr w:type="spellStart"/>
      <w:r w:rsidRPr="00790929">
        <w:t>yöntemleri</w:t>
      </w:r>
      <w:proofErr w:type="spellEnd"/>
      <w:r w:rsidRPr="00790929">
        <w:t xml:space="preserve"> </w:t>
      </w:r>
      <w:proofErr w:type="spellStart"/>
      <w:r w:rsidRPr="00790929">
        <w:t>uygulanmıştır</w:t>
      </w:r>
      <w:proofErr w:type="spellEnd"/>
      <w:r w:rsidRPr="00790929">
        <w:t>.</w:t>
      </w:r>
      <w:r>
        <w:t xml:space="preserve"> </w:t>
      </w:r>
      <w:proofErr w:type="spellStart"/>
      <w:r w:rsidRPr="00C62E9C">
        <w:t>Bilişsel</w:t>
      </w:r>
      <w:proofErr w:type="spellEnd"/>
      <w:r w:rsidRPr="00C62E9C">
        <w:t xml:space="preserve"> </w:t>
      </w:r>
      <w:proofErr w:type="spellStart"/>
      <w:r w:rsidRPr="00C62E9C">
        <w:t>abartma</w:t>
      </w:r>
      <w:proofErr w:type="spellEnd"/>
      <w:r w:rsidRPr="00C62E9C">
        <w:t xml:space="preserve"> </w:t>
      </w:r>
      <w:proofErr w:type="spellStart"/>
      <w:r w:rsidRPr="00C62E9C">
        <w:t>tarzı</w:t>
      </w:r>
      <w:proofErr w:type="spellEnd"/>
      <w:r>
        <w:t xml:space="preserve"> </w:t>
      </w:r>
      <w:proofErr w:type="spellStart"/>
      <w:r>
        <w:t>ile</w:t>
      </w:r>
      <w:proofErr w:type="spellEnd"/>
      <w:r w:rsidRPr="00C62E9C">
        <w:t xml:space="preserve"> meta-</w:t>
      </w:r>
      <w:proofErr w:type="spellStart"/>
      <w:r w:rsidRPr="00C62E9C">
        <w:t>endişe</w:t>
      </w:r>
      <w:proofErr w:type="spellEnd"/>
      <w:r w:rsidRPr="00C62E9C">
        <w:t xml:space="preserve"> </w:t>
      </w:r>
      <w:proofErr w:type="spellStart"/>
      <w:r>
        <w:t>arasındaki</w:t>
      </w:r>
      <w:proofErr w:type="spellEnd"/>
      <w:r>
        <w:t xml:space="preserve"> </w:t>
      </w:r>
      <w:proofErr w:type="spellStart"/>
      <w:r>
        <w:t>ilişkiyi</w:t>
      </w:r>
      <w:proofErr w:type="spellEnd"/>
      <w:r w:rsidRPr="00C62E9C">
        <w:t xml:space="preserve"> </w:t>
      </w:r>
      <w:proofErr w:type="spellStart"/>
      <w:r w:rsidRPr="00C62E9C">
        <w:t>incelemek</w:t>
      </w:r>
      <w:proofErr w:type="spellEnd"/>
      <w:r w:rsidRPr="00C62E9C">
        <w:t xml:space="preserve"> </w:t>
      </w:r>
      <w:proofErr w:type="spellStart"/>
      <w:r w:rsidRPr="00C62E9C">
        <w:t>için</w:t>
      </w:r>
      <w:proofErr w:type="spellEnd"/>
      <w:r w:rsidRPr="00C62E9C">
        <w:t xml:space="preserve"> </w:t>
      </w:r>
      <w:r>
        <w:t xml:space="preserve">Pearson </w:t>
      </w:r>
      <w:proofErr w:type="spellStart"/>
      <w:r>
        <w:t>korelasyon</w:t>
      </w:r>
      <w:proofErr w:type="spellEnd"/>
      <w:r>
        <w:t xml:space="preserve"> </w:t>
      </w:r>
      <w:proofErr w:type="spellStart"/>
      <w:r>
        <w:t>analizi</w:t>
      </w:r>
      <w:proofErr w:type="spellEnd"/>
      <w:r>
        <w:t xml:space="preserve"> </w:t>
      </w:r>
      <w:proofErr w:type="spellStart"/>
      <w:r w:rsidRPr="00C62E9C">
        <w:t>yapılmıştır</w:t>
      </w:r>
      <w:proofErr w:type="spellEnd"/>
      <w:r w:rsidRPr="00C62E9C">
        <w:t xml:space="preserve">. </w:t>
      </w:r>
    </w:p>
    <w:p w14:paraId="194900D7" w14:textId="77777777" w:rsidR="007513A1" w:rsidRPr="00C62E9C" w:rsidRDefault="007513A1" w:rsidP="007513A1">
      <w:pPr>
        <w:pStyle w:val="NormalWeb"/>
        <w:spacing w:before="0" w:beforeAutospacing="0" w:after="0" w:afterAutospacing="0"/>
        <w:jc w:val="both"/>
      </w:pPr>
    </w:p>
    <w:p w14:paraId="5D5CE852" w14:textId="77777777" w:rsidR="00B470AD" w:rsidRDefault="00B470AD" w:rsidP="007513A1">
      <w:pPr>
        <w:pStyle w:val="NormalWeb"/>
        <w:spacing w:before="0" w:beforeAutospacing="0" w:after="0" w:afterAutospacing="0"/>
        <w:rPr>
          <w:b/>
          <w:bCs/>
        </w:rPr>
      </w:pPr>
      <w:r>
        <w:rPr>
          <w:b/>
          <w:bCs/>
        </w:rPr>
        <w:t>3.BULGULAR</w:t>
      </w:r>
    </w:p>
    <w:p w14:paraId="504988B3" w14:textId="77777777" w:rsidR="00B470AD" w:rsidRDefault="00B470AD" w:rsidP="007513A1">
      <w:pPr>
        <w:adjustRightInd w:val="0"/>
        <w:jc w:val="both"/>
        <w:rPr>
          <w:rFonts w:eastAsia="Calibri"/>
          <w:b/>
          <w:bCs/>
          <w:color w:val="000000"/>
        </w:rPr>
      </w:pPr>
      <w:r>
        <w:rPr>
          <w:rFonts w:eastAsia="Calibri"/>
          <w:b/>
          <w:bCs/>
          <w:color w:val="000000"/>
        </w:rPr>
        <w:t>3.1. Betimsel İstatistikler</w:t>
      </w:r>
    </w:p>
    <w:p w14:paraId="300E1EFC" w14:textId="77777777" w:rsidR="00B470AD" w:rsidRPr="008D7173" w:rsidRDefault="00B470AD" w:rsidP="007513A1">
      <w:pPr>
        <w:adjustRightInd w:val="0"/>
        <w:jc w:val="both"/>
        <w:rPr>
          <w:rFonts w:eastAsia="Calibri"/>
          <w:color w:val="000000"/>
        </w:rPr>
      </w:pPr>
      <w:r w:rsidRPr="008D7173">
        <w:rPr>
          <w:rFonts w:eastAsia="Calibri"/>
          <w:color w:val="000000"/>
        </w:rPr>
        <w:t>Örneklem grubunu oluşturan bireylere ait demografik bilgiler Tablo 1’de yer almaktadır.</w:t>
      </w:r>
    </w:p>
    <w:p w14:paraId="28C768DD" w14:textId="19E872C2" w:rsidR="00B470AD" w:rsidRDefault="00B470AD" w:rsidP="007513A1">
      <w:pPr>
        <w:keepNext/>
        <w:rPr>
          <w:rFonts w:eastAsia="Calibri"/>
          <w:b/>
          <w:bCs/>
          <w:color w:val="000000"/>
        </w:rPr>
      </w:pPr>
      <w:bookmarkStart w:id="144" w:name="_Toc41407371"/>
      <w:r w:rsidRPr="00AA3490">
        <w:rPr>
          <w:rFonts w:eastAsia="Calibri"/>
          <w:b/>
          <w:bCs/>
          <w:color w:val="000000"/>
        </w:rPr>
        <w:t>Tablo 3.</w:t>
      </w:r>
      <w:r w:rsidRPr="00AA3490">
        <w:rPr>
          <w:rFonts w:eastAsia="Calibri"/>
          <w:b/>
          <w:bCs/>
          <w:color w:val="000000"/>
        </w:rPr>
        <w:fldChar w:fldCharType="begin"/>
      </w:r>
      <w:r w:rsidRPr="00AA3490">
        <w:rPr>
          <w:rFonts w:eastAsia="Calibri"/>
          <w:b/>
          <w:bCs/>
          <w:color w:val="000000"/>
        </w:rPr>
        <w:instrText xml:space="preserve"> SEQ Tablo \* ARABIC </w:instrText>
      </w:r>
      <w:r w:rsidRPr="00AA3490">
        <w:rPr>
          <w:rFonts w:eastAsia="Calibri"/>
          <w:b/>
          <w:bCs/>
          <w:color w:val="000000"/>
        </w:rPr>
        <w:fldChar w:fldCharType="separate"/>
      </w:r>
      <w:r w:rsidR="003B72F6">
        <w:rPr>
          <w:rFonts w:eastAsia="Calibri"/>
          <w:b/>
          <w:bCs/>
          <w:noProof/>
          <w:color w:val="000000"/>
        </w:rPr>
        <w:t>1</w:t>
      </w:r>
      <w:r w:rsidRPr="00AA3490">
        <w:rPr>
          <w:rFonts w:eastAsia="Calibri"/>
          <w:b/>
          <w:bCs/>
          <w:color w:val="000000"/>
        </w:rPr>
        <w:fldChar w:fldCharType="end"/>
      </w:r>
      <w:r w:rsidRPr="00AA3490">
        <w:rPr>
          <w:rFonts w:eastAsia="Calibri"/>
          <w:b/>
          <w:bCs/>
          <w:color w:val="000000"/>
        </w:rPr>
        <w:t xml:space="preserve">. </w:t>
      </w:r>
      <w:bookmarkEnd w:id="144"/>
      <w:r w:rsidRPr="00AA3490">
        <w:rPr>
          <w:rFonts w:eastAsia="Calibri"/>
          <w:b/>
          <w:bCs/>
          <w:color w:val="000000"/>
        </w:rPr>
        <w:t>Örneklem Grubuna İlişkin Demografik Verilerin Frekans ve Oransal Dağılımı</w:t>
      </w:r>
    </w:p>
    <w:tbl>
      <w:tblPr>
        <w:tblW w:w="4054" w:type="pct"/>
        <w:jc w:val="center"/>
        <w:tblCellMar>
          <w:left w:w="0" w:type="dxa"/>
          <w:right w:w="0" w:type="dxa"/>
        </w:tblCellMar>
        <w:tblLook w:val="0000" w:firstRow="0" w:lastRow="0" w:firstColumn="0" w:lastColumn="0" w:noHBand="0" w:noVBand="0"/>
      </w:tblPr>
      <w:tblGrid>
        <w:gridCol w:w="140"/>
        <w:gridCol w:w="4254"/>
        <w:gridCol w:w="1983"/>
        <w:gridCol w:w="977"/>
      </w:tblGrid>
      <w:tr w:rsidR="00B470AD" w:rsidRPr="00E154F9" w14:paraId="756EC6C6" w14:textId="77777777" w:rsidTr="0027292C">
        <w:trPr>
          <w:trHeight w:val="351"/>
          <w:jc w:val="center"/>
        </w:trPr>
        <w:tc>
          <w:tcPr>
            <w:tcW w:w="96" w:type="pct"/>
            <w:shd w:val="clear" w:color="auto" w:fill="auto"/>
          </w:tcPr>
          <w:p w14:paraId="050EAC6C" w14:textId="77777777" w:rsidR="00B470AD" w:rsidRPr="00E154F9" w:rsidRDefault="00B470AD" w:rsidP="007513A1">
            <w:pPr>
              <w:overflowPunct w:val="0"/>
              <w:snapToGrid w:val="0"/>
              <w:jc w:val="both"/>
              <w:rPr>
                <w:bCs/>
                <w:color w:val="000000"/>
                <w:kern w:val="2"/>
                <w:lang w:eastAsia="zh-CN" w:bidi="hi-IN"/>
              </w:rPr>
            </w:pPr>
          </w:p>
        </w:tc>
        <w:tc>
          <w:tcPr>
            <w:tcW w:w="2892" w:type="pct"/>
            <w:tcBorders>
              <w:top w:val="single" w:sz="8" w:space="0" w:color="000000"/>
              <w:bottom w:val="single" w:sz="4" w:space="0" w:color="auto"/>
            </w:tcBorders>
            <w:shd w:val="clear" w:color="auto" w:fill="auto"/>
            <w:vAlign w:val="center"/>
          </w:tcPr>
          <w:p w14:paraId="1EF95F50" w14:textId="77777777" w:rsidR="00B470AD" w:rsidRPr="00E154F9" w:rsidRDefault="00B470AD" w:rsidP="007513A1">
            <w:pPr>
              <w:overflowPunct w:val="0"/>
              <w:rPr>
                <w:rFonts w:eastAsia="NSimSun"/>
                <w:bCs/>
                <w:kern w:val="2"/>
                <w:lang w:eastAsia="zh-CN" w:bidi="hi-IN"/>
              </w:rPr>
            </w:pPr>
            <w:r w:rsidRPr="00E154F9">
              <w:rPr>
                <w:bCs/>
                <w:kern w:val="2"/>
                <w:lang w:eastAsia="zh-CN" w:bidi="hi-IN"/>
              </w:rPr>
              <w:t>Değişken</w:t>
            </w:r>
          </w:p>
        </w:tc>
        <w:tc>
          <w:tcPr>
            <w:tcW w:w="1348" w:type="pct"/>
            <w:tcBorders>
              <w:top w:val="single" w:sz="8" w:space="0" w:color="000000"/>
              <w:bottom w:val="single" w:sz="4" w:space="0" w:color="auto"/>
            </w:tcBorders>
            <w:shd w:val="clear" w:color="auto" w:fill="auto"/>
            <w:vAlign w:val="center"/>
          </w:tcPr>
          <w:p w14:paraId="5FCA3CC1" w14:textId="77777777" w:rsidR="00B470AD" w:rsidRPr="00E154F9" w:rsidRDefault="00B470AD" w:rsidP="007513A1">
            <w:pPr>
              <w:overflowPunct w:val="0"/>
              <w:rPr>
                <w:rFonts w:eastAsia="NSimSun"/>
                <w:bCs/>
                <w:kern w:val="2"/>
                <w:lang w:eastAsia="zh-CN" w:bidi="hi-IN"/>
              </w:rPr>
            </w:pPr>
            <w:proofErr w:type="gramStart"/>
            <w:r w:rsidRPr="00E154F9">
              <w:rPr>
                <w:bCs/>
                <w:kern w:val="2"/>
                <w:lang w:eastAsia="zh-CN" w:bidi="hi-IN"/>
              </w:rPr>
              <w:t>f</w:t>
            </w:r>
            <w:proofErr w:type="gramEnd"/>
          </w:p>
        </w:tc>
        <w:tc>
          <w:tcPr>
            <w:tcW w:w="664" w:type="pct"/>
            <w:tcBorders>
              <w:top w:val="single" w:sz="8" w:space="0" w:color="000000"/>
              <w:bottom w:val="single" w:sz="4" w:space="0" w:color="auto"/>
            </w:tcBorders>
            <w:shd w:val="clear" w:color="auto" w:fill="auto"/>
            <w:vAlign w:val="center"/>
          </w:tcPr>
          <w:p w14:paraId="6C8996E5" w14:textId="77777777" w:rsidR="00B470AD" w:rsidRPr="00E154F9" w:rsidRDefault="00B470AD" w:rsidP="007513A1">
            <w:pPr>
              <w:overflowPunct w:val="0"/>
              <w:rPr>
                <w:rFonts w:eastAsia="NSimSun"/>
                <w:bCs/>
                <w:kern w:val="2"/>
                <w:lang w:eastAsia="zh-CN" w:bidi="hi-IN"/>
              </w:rPr>
            </w:pPr>
            <w:r w:rsidRPr="00E154F9">
              <w:rPr>
                <w:bCs/>
                <w:w w:val="99"/>
                <w:kern w:val="2"/>
                <w:lang w:eastAsia="zh-CN" w:bidi="hi-IN"/>
              </w:rPr>
              <w:t>%</w:t>
            </w:r>
          </w:p>
        </w:tc>
      </w:tr>
      <w:tr w:rsidR="00B470AD" w:rsidRPr="00E154F9" w14:paraId="0E426379" w14:textId="77777777" w:rsidTr="0027292C">
        <w:trPr>
          <w:trHeight w:val="277"/>
          <w:jc w:val="center"/>
        </w:trPr>
        <w:tc>
          <w:tcPr>
            <w:tcW w:w="96" w:type="pct"/>
            <w:shd w:val="clear" w:color="auto" w:fill="auto"/>
          </w:tcPr>
          <w:p w14:paraId="35CC963D"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top w:val="single" w:sz="4" w:space="0" w:color="auto"/>
            </w:tcBorders>
            <w:shd w:val="clear" w:color="auto" w:fill="auto"/>
            <w:vAlign w:val="center"/>
          </w:tcPr>
          <w:p w14:paraId="04AC62D4" w14:textId="77777777" w:rsidR="00B470AD" w:rsidRPr="00E154F9" w:rsidRDefault="00B470AD" w:rsidP="007513A1">
            <w:pPr>
              <w:overflowPunct w:val="0"/>
              <w:rPr>
                <w:rFonts w:eastAsia="NSimSun"/>
                <w:i/>
                <w:kern w:val="2"/>
                <w:lang w:eastAsia="zh-CN" w:bidi="hi-IN"/>
              </w:rPr>
            </w:pPr>
            <w:r w:rsidRPr="00E154F9">
              <w:rPr>
                <w:i/>
                <w:kern w:val="2"/>
                <w:lang w:eastAsia="zh-CN" w:bidi="hi-IN"/>
              </w:rPr>
              <w:t>Cinsiyet</w:t>
            </w:r>
          </w:p>
        </w:tc>
        <w:tc>
          <w:tcPr>
            <w:tcW w:w="1348" w:type="pct"/>
            <w:tcBorders>
              <w:top w:val="single" w:sz="4" w:space="0" w:color="auto"/>
            </w:tcBorders>
            <w:shd w:val="clear" w:color="auto" w:fill="auto"/>
            <w:vAlign w:val="center"/>
          </w:tcPr>
          <w:p w14:paraId="64580920" w14:textId="77777777" w:rsidR="00B470AD" w:rsidRPr="00E154F9" w:rsidRDefault="00B470AD" w:rsidP="007513A1">
            <w:pPr>
              <w:overflowPunct w:val="0"/>
              <w:snapToGrid w:val="0"/>
              <w:rPr>
                <w:i/>
                <w:kern w:val="2"/>
                <w:lang w:eastAsia="zh-CN" w:bidi="hi-IN"/>
              </w:rPr>
            </w:pPr>
          </w:p>
        </w:tc>
        <w:tc>
          <w:tcPr>
            <w:tcW w:w="664" w:type="pct"/>
            <w:tcBorders>
              <w:top w:val="single" w:sz="4" w:space="0" w:color="auto"/>
            </w:tcBorders>
            <w:shd w:val="clear" w:color="auto" w:fill="auto"/>
            <w:vAlign w:val="center"/>
          </w:tcPr>
          <w:p w14:paraId="2062ED9D" w14:textId="77777777" w:rsidR="00B470AD" w:rsidRPr="00E154F9" w:rsidRDefault="00B470AD" w:rsidP="007513A1">
            <w:pPr>
              <w:overflowPunct w:val="0"/>
              <w:snapToGrid w:val="0"/>
              <w:rPr>
                <w:i/>
                <w:kern w:val="2"/>
                <w:lang w:eastAsia="zh-CN" w:bidi="hi-IN"/>
              </w:rPr>
            </w:pPr>
          </w:p>
        </w:tc>
      </w:tr>
      <w:tr w:rsidR="00B470AD" w:rsidRPr="00E154F9" w14:paraId="0937245C" w14:textId="77777777" w:rsidTr="0027292C">
        <w:trPr>
          <w:trHeight w:val="277"/>
          <w:jc w:val="center"/>
        </w:trPr>
        <w:tc>
          <w:tcPr>
            <w:tcW w:w="96" w:type="pct"/>
            <w:shd w:val="clear" w:color="auto" w:fill="auto"/>
          </w:tcPr>
          <w:p w14:paraId="23EEDEB8"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1DE2F071" w14:textId="77777777" w:rsidR="00B470AD" w:rsidRPr="00E154F9" w:rsidRDefault="00B470AD" w:rsidP="007513A1">
            <w:pPr>
              <w:overflowPunct w:val="0"/>
              <w:rPr>
                <w:rFonts w:eastAsia="NSimSun"/>
                <w:kern w:val="2"/>
                <w:lang w:eastAsia="zh-CN" w:bidi="hi-IN"/>
              </w:rPr>
            </w:pPr>
            <w:r w:rsidRPr="00E154F9">
              <w:rPr>
                <w:kern w:val="2"/>
                <w:lang w:eastAsia="zh-CN" w:bidi="hi-IN"/>
              </w:rPr>
              <w:t>Kadın</w:t>
            </w:r>
          </w:p>
        </w:tc>
        <w:tc>
          <w:tcPr>
            <w:tcW w:w="1348" w:type="pct"/>
            <w:shd w:val="clear" w:color="auto" w:fill="auto"/>
            <w:vAlign w:val="center"/>
          </w:tcPr>
          <w:p w14:paraId="262EF05A"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276</w:t>
            </w:r>
          </w:p>
        </w:tc>
        <w:tc>
          <w:tcPr>
            <w:tcW w:w="664" w:type="pct"/>
            <w:shd w:val="clear" w:color="auto" w:fill="auto"/>
            <w:vAlign w:val="center"/>
          </w:tcPr>
          <w:p w14:paraId="71C7633E"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70.2</w:t>
            </w:r>
          </w:p>
        </w:tc>
      </w:tr>
      <w:tr w:rsidR="00B470AD" w:rsidRPr="00E154F9" w14:paraId="0A3ECA3F" w14:textId="77777777" w:rsidTr="0027292C">
        <w:trPr>
          <w:trHeight w:val="277"/>
          <w:jc w:val="center"/>
        </w:trPr>
        <w:tc>
          <w:tcPr>
            <w:tcW w:w="96" w:type="pct"/>
            <w:shd w:val="clear" w:color="auto" w:fill="auto"/>
          </w:tcPr>
          <w:p w14:paraId="237A8104" w14:textId="77777777" w:rsidR="00B470AD" w:rsidRPr="00E154F9" w:rsidRDefault="00B470AD" w:rsidP="007513A1">
            <w:pPr>
              <w:overflowPunct w:val="0"/>
              <w:snapToGrid w:val="0"/>
              <w:jc w:val="both"/>
              <w:rPr>
                <w:color w:val="000000"/>
                <w:w w:val="99"/>
                <w:kern w:val="2"/>
                <w:highlight w:val="yellow"/>
                <w:lang w:eastAsia="zh-CN" w:bidi="hi-IN"/>
              </w:rPr>
            </w:pPr>
          </w:p>
        </w:tc>
        <w:tc>
          <w:tcPr>
            <w:tcW w:w="2892" w:type="pct"/>
            <w:tcBorders>
              <w:bottom w:val="single" w:sz="4" w:space="0" w:color="auto"/>
            </w:tcBorders>
            <w:shd w:val="clear" w:color="auto" w:fill="auto"/>
            <w:vAlign w:val="center"/>
          </w:tcPr>
          <w:p w14:paraId="2DB434A5" w14:textId="77777777" w:rsidR="00B470AD" w:rsidRPr="00E154F9" w:rsidRDefault="00B470AD" w:rsidP="007513A1">
            <w:pPr>
              <w:overflowPunct w:val="0"/>
              <w:rPr>
                <w:rFonts w:eastAsia="NSimSun"/>
                <w:kern w:val="2"/>
                <w:lang w:eastAsia="zh-CN" w:bidi="hi-IN"/>
              </w:rPr>
            </w:pPr>
            <w:r w:rsidRPr="00E154F9">
              <w:rPr>
                <w:kern w:val="2"/>
                <w:lang w:eastAsia="zh-CN" w:bidi="hi-IN"/>
              </w:rPr>
              <w:t>Erkek</w:t>
            </w:r>
          </w:p>
        </w:tc>
        <w:tc>
          <w:tcPr>
            <w:tcW w:w="1348" w:type="pct"/>
            <w:tcBorders>
              <w:bottom w:val="single" w:sz="4" w:space="0" w:color="auto"/>
            </w:tcBorders>
            <w:shd w:val="clear" w:color="auto" w:fill="auto"/>
            <w:vAlign w:val="center"/>
          </w:tcPr>
          <w:p w14:paraId="75546EA3"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117</w:t>
            </w:r>
          </w:p>
        </w:tc>
        <w:tc>
          <w:tcPr>
            <w:tcW w:w="664" w:type="pct"/>
            <w:tcBorders>
              <w:bottom w:val="single" w:sz="4" w:space="0" w:color="auto"/>
            </w:tcBorders>
            <w:shd w:val="clear" w:color="auto" w:fill="auto"/>
            <w:vAlign w:val="center"/>
          </w:tcPr>
          <w:p w14:paraId="4325551B"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29.8</w:t>
            </w:r>
          </w:p>
        </w:tc>
      </w:tr>
      <w:tr w:rsidR="00B470AD" w:rsidRPr="00E154F9" w14:paraId="315C5032" w14:textId="77777777" w:rsidTr="0027292C">
        <w:trPr>
          <w:trHeight w:val="157"/>
          <w:jc w:val="center"/>
        </w:trPr>
        <w:tc>
          <w:tcPr>
            <w:tcW w:w="96" w:type="pct"/>
            <w:shd w:val="clear" w:color="auto" w:fill="auto"/>
          </w:tcPr>
          <w:p w14:paraId="25E199C5" w14:textId="77777777" w:rsidR="00B470AD" w:rsidRPr="00E154F9" w:rsidRDefault="00B470AD" w:rsidP="007513A1">
            <w:pPr>
              <w:overflowPunct w:val="0"/>
              <w:snapToGrid w:val="0"/>
              <w:jc w:val="both"/>
              <w:rPr>
                <w:color w:val="000000"/>
                <w:w w:val="99"/>
                <w:kern w:val="2"/>
                <w:highlight w:val="yellow"/>
                <w:lang w:eastAsia="zh-CN" w:bidi="hi-IN"/>
              </w:rPr>
            </w:pPr>
          </w:p>
        </w:tc>
        <w:tc>
          <w:tcPr>
            <w:tcW w:w="2892" w:type="pct"/>
            <w:tcBorders>
              <w:top w:val="single" w:sz="4" w:space="0" w:color="auto"/>
            </w:tcBorders>
            <w:shd w:val="clear" w:color="auto" w:fill="auto"/>
            <w:vAlign w:val="center"/>
          </w:tcPr>
          <w:p w14:paraId="5AD4EDF6" w14:textId="77777777" w:rsidR="00B470AD" w:rsidRPr="00E154F9" w:rsidRDefault="00B470AD" w:rsidP="007513A1">
            <w:pPr>
              <w:overflowPunct w:val="0"/>
              <w:rPr>
                <w:rFonts w:eastAsia="NSimSun"/>
                <w:i/>
                <w:kern w:val="2"/>
                <w:lang w:eastAsia="zh-CN" w:bidi="hi-IN"/>
              </w:rPr>
            </w:pPr>
            <w:r w:rsidRPr="00E154F9">
              <w:rPr>
                <w:i/>
                <w:kern w:val="2"/>
                <w:lang w:eastAsia="zh-CN" w:bidi="hi-IN"/>
              </w:rPr>
              <w:t>Yaş</w:t>
            </w:r>
          </w:p>
        </w:tc>
        <w:tc>
          <w:tcPr>
            <w:tcW w:w="1348" w:type="pct"/>
            <w:tcBorders>
              <w:top w:val="single" w:sz="4" w:space="0" w:color="auto"/>
            </w:tcBorders>
            <w:shd w:val="clear" w:color="auto" w:fill="auto"/>
            <w:vAlign w:val="center"/>
          </w:tcPr>
          <w:p w14:paraId="35B9D693" w14:textId="77777777" w:rsidR="00B470AD" w:rsidRPr="00E154F9" w:rsidRDefault="00B470AD" w:rsidP="007513A1">
            <w:pPr>
              <w:overflowPunct w:val="0"/>
              <w:snapToGrid w:val="0"/>
              <w:rPr>
                <w:kern w:val="2"/>
                <w:lang w:eastAsia="zh-CN" w:bidi="hi-IN"/>
              </w:rPr>
            </w:pPr>
          </w:p>
        </w:tc>
        <w:tc>
          <w:tcPr>
            <w:tcW w:w="664" w:type="pct"/>
            <w:tcBorders>
              <w:top w:val="single" w:sz="4" w:space="0" w:color="auto"/>
            </w:tcBorders>
            <w:shd w:val="clear" w:color="auto" w:fill="auto"/>
            <w:vAlign w:val="center"/>
          </w:tcPr>
          <w:p w14:paraId="3569A7EF" w14:textId="77777777" w:rsidR="00B470AD" w:rsidRPr="00E154F9" w:rsidRDefault="00B470AD" w:rsidP="007513A1">
            <w:pPr>
              <w:overflowPunct w:val="0"/>
              <w:snapToGrid w:val="0"/>
              <w:rPr>
                <w:kern w:val="2"/>
                <w:lang w:eastAsia="zh-CN" w:bidi="hi-IN"/>
              </w:rPr>
            </w:pPr>
          </w:p>
        </w:tc>
      </w:tr>
      <w:tr w:rsidR="00B470AD" w:rsidRPr="00E154F9" w14:paraId="1D230738" w14:textId="77777777" w:rsidTr="0027292C">
        <w:trPr>
          <w:trHeight w:val="277"/>
          <w:jc w:val="center"/>
        </w:trPr>
        <w:tc>
          <w:tcPr>
            <w:tcW w:w="96" w:type="pct"/>
            <w:shd w:val="clear" w:color="auto" w:fill="auto"/>
          </w:tcPr>
          <w:p w14:paraId="3D7D55DF"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0C541F56" w14:textId="77777777" w:rsidR="00B470AD" w:rsidRPr="00E154F9" w:rsidRDefault="00B470AD" w:rsidP="007513A1">
            <w:pPr>
              <w:overflowPunct w:val="0"/>
              <w:rPr>
                <w:rFonts w:eastAsia="NSimSun"/>
                <w:kern w:val="2"/>
                <w:lang w:eastAsia="zh-CN" w:bidi="hi-IN"/>
              </w:rPr>
            </w:pPr>
            <w:r w:rsidRPr="00E154F9">
              <w:rPr>
                <w:kern w:val="2"/>
                <w:lang w:eastAsia="zh-CN" w:bidi="hi-IN"/>
              </w:rPr>
              <w:t>18-25 yaş</w:t>
            </w:r>
          </w:p>
        </w:tc>
        <w:tc>
          <w:tcPr>
            <w:tcW w:w="1348" w:type="pct"/>
            <w:shd w:val="clear" w:color="auto" w:fill="auto"/>
            <w:vAlign w:val="center"/>
          </w:tcPr>
          <w:p w14:paraId="1242D91F"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213</w:t>
            </w:r>
          </w:p>
        </w:tc>
        <w:tc>
          <w:tcPr>
            <w:tcW w:w="664" w:type="pct"/>
            <w:shd w:val="clear" w:color="auto" w:fill="auto"/>
            <w:vAlign w:val="center"/>
          </w:tcPr>
          <w:p w14:paraId="29903A8D"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54.2</w:t>
            </w:r>
          </w:p>
        </w:tc>
      </w:tr>
      <w:tr w:rsidR="00B470AD" w:rsidRPr="00E154F9" w14:paraId="761E6A1D" w14:textId="77777777" w:rsidTr="0027292C">
        <w:trPr>
          <w:trHeight w:val="277"/>
          <w:jc w:val="center"/>
        </w:trPr>
        <w:tc>
          <w:tcPr>
            <w:tcW w:w="96" w:type="pct"/>
            <w:shd w:val="clear" w:color="auto" w:fill="auto"/>
          </w:tcPr>
          <w:p w14:paraId="63D8BA92"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0C7A5AF8" w14:textId="77777777" w:rsidR="00B470AD" w:rsidRPr="00E154F9" w:rsidRDefault="00B470AD" w:rsidP="007513A1">
            <w:pPr>
              <w:overflowPunct w:val="0"/>
              <w:rPr>
                <w:rFonts w:eastAsia="NSimSun"/>
                <w:kern w:val="2"/>
                <w:lang w:eastAsia="zh-CN" w:bidi="hi-IN"/>
              </w:rPr>
            </w:pPr>
            <w:r w:rsidRPr="00E154F9">
              <w:rPr>
                <w:kern w:val="2"/>
                <w:lang w:eastAsia="zh-CN" w:bidi="hi-IN"/>
              </w:rPr>
              <w:t>26-35 yaş</w:t>
            </w:r>
          </w:p>
        </w:tc>
        <w:tc>
          <w:tcPr>
            <w:tcW w:w="1348" w:type="pct"/>
            <w:shd w:val="clear" w:color="auto" w:fill="auto"/>
            <w:vAlign w:val="center"/>
          </w:tcPr>
          <w:p w14:paraId="4D008D19"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80</w:t>
            </w:r>
          </w:p>
        </w:tc>
        <w:tc>
          <w:tcPr>
            <w:tcW w:w="664" w:type="pct"/>
            <w:shd w:val="clear" w:color="auto" w:fill="auto"/>
            <w:vAlign w:val="center"/>
          </w:tcPr>
          <w:p w14:paraId="2931C9FB"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20.4</w:t>
            </w:r>
          </w:p>
        </w:tc>
      </w:tr>
      <w:tr w:rsidR="00B470AD" w:rsidRPr="00E154F9" w14:paraId="5891081F" w14:textId="77777777" w:rsidTr="0027292C">
        <w:trPr>
          <w:trHeight w:val="277"/>
          <w:jc w:val="center"/>
        </w:trPr>
        <w:tc>
          <w:tcPr>
            <w:tcW w:w="96" w:type="pct"/>
            <w:shd w:val="clear" w:color="auto" w:fill="auto"/>
          </w:tcPr>
          <w:p w14:paraId="07D9C2C4"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48117FCB" w14:textId="77777777" w:rsidR="00B470AD" w:rsidRPr="00E154F9" w:rsidRDefault="00B470AD" w:rsidP="007513A1">
            <w:pPr>
              <w:overflowPunct w:val="0"/>
              <w:rPr>
                <w:rFonts w:eastAsia="NSimSun"/>
                <w:kern w:val="2"/>
                <w:lang w:eastAsia="zh-CN" w:bidi="hi-IN"/>
              </w:rPr>
            </w:pPr>
            <w:r w:rsidRPr="00E154F9">
              <w:rPr>
                <w:kern w:val="2"/>
                <w:lang w:eastAsia="zh-CN" w:bidi="hi-IN"/>
              </w:rPr>
              <w:t>36-45 yaş</w:t>
            </w:r>
          </w:p>
        </w:tc>
        <w:tc>
          <w:tcPr>
            <w:tcW w:w="1348" w:type="pct"/>
            <w:shd w:val="clear" w:color="auto" w:fill="auto"/>
            <w:vAlign w:val="center"/>
          </w:tcPr>
          <w:p w14:paraId="62605720"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59</w:t>
            </w:r>
          </w:p>
        </w:tc>
        <w:tc>
          <w:tcPr>
            <w:tcW w:w="664" w:type="pct"/>
            <w:shd w:val="clear" w:color="auto" w:fill="auto"/>
            <w:vAlign w:val="center"/>
          </w:tcPr>
          <w:p w14:paraId="24FB524D"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15.0</w:t>
            </w:r>
          </w:p>
        </w:tc>
      </w:tr>
      <w:tr w:rsidR="00B470AD" w:rsidRPr="00E154F9" w14:paraId="2BDAA8A1" w14:textId="77777777" w:rsidTr="0027292C">
        <w:trPr>
          <w:trHeight w:val="277"/>
          <w:jc w:val="center"/>
        </w:trPr>
        <w:tc>
          <w:tcPr>
            <w:tcW w:w="96" w:type="pct"/>
            <w:shd w:val="clear" w:color="auto" w:fill="auto"/>
          </w:tcPr>
          <w:p w14:paraId="4EF17749"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207A062F" w14:textId="77777777" w:rsidR="00B470AD" w:rsidRPr="00E154F9" w:rsidRDefault="00B470AD" w:rsidP="007513A1">
            <w:pPr>
              <w:overflowPunct w:val="0"/>
              <w:rPr>
                <w:kern w:val="2"/>
                <w:lang w:eastAsia="zh-CN" w:bidi="hi-IN"/>
              </w:rPr>
            </w:pPr>
            <w:r w:rsidRPr="00E154F9">
              <w:rPr>
                <w:kern w:val="2"/>
                <w:lang w:eastAsia="zh-CN" w:bidi="hi-IN"/>
              </w:rPr>
              <w:t>46 ve üzeri</w:t>
            </w:r>
          </w:p>
        </w:tc>
        <w:tc>
          <w:tcPr>
            <w:tcW w:w="1348" w:type="pct"/>
            <w:shd w:val="clear" w:color="auto" w:fill="auto"/>
            <w:vAlign w:val="center"/>
          </w:tcPr>
          <w:p w14:paraId="044C0AAD"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41</w:t>
            </w:r>
          </w:p>
        </w:tc>
        <w:tc>
          <w:tcPr>
            <w:tcW w:w="664" w:type="pct"/>
            <w:shd w:val="clear" w:color="auto" w:fill="auto"/>
            <w:vAlign w:val="center"/>
          </w:tcPr>
          <w:p w14:paraId="74423AE7"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10.4</w:t>
            </w:r>
          </w:p>
        </w:tc>
      </w:tr>
      <w:tr w:rsidR="00B470AD" w:rsidRPr="00E154F9" w14:paraId="62E87A6D" w14:textId="77777777" w:rsidTr="0027292C">
        <w:trPr>
          <w:trHeight w:val="277"/>
          <w:jc w:val="center"/>
        </w:trPr>
        <w:tc>
          <w:tcPr>
            <w:tcW w:w="96" w:type="pct"/>
            <w:tcBorders>
              <w:top w:val="single" w:sz="4" w:space="0" w:color="auto"/>
            </w:tcBorders>
            <w:shd w:val="clear" w:color="auto" w:fill="auto"/>
          </w:tcPr>
          <w:p w14:paraId="7E83F3F0" w14:textId="77777777" w:rsidR="00B470AD" w:rsidRPr="00E154F9" w:rsidRDefault="00B470AD" w:rsidP="007513A1">
            <w:pPr>
              <w:overflowPunct w:val="0"/>
              <w:snapToGrid w:val="0"/>
              <w:jc w:val="both"/>
              <w:rPr>
                <w:rFonts w:eastAsia="NSimSun"/>
                <w:color w:val="000000"/>
                <w:kern w:val="2"/>
                <w:highlight w:val="yellow"/>
                <w:lang w:eastAsia="zh-CN" w:bidi="hi-IN"/>
              </w:rPr>
            </w:pPr>
          </w:p>
        </w:tc>
        <w:tc>
          <w:tcPr>
            <w:tcW w:w="2892" w:type="pct"/>
            <w:tcBorders>
              <w:top w:val="single" w:sz="4" w:space="0" w:color="auto"/>
            </w:tcBorders>
            <w:shd w:val="clear" w:color="auto" w:fill="auto"/>
            <w:vAlign w:val="center"/>
          </w:tcPr>
          <w:p w14:paraId="27323B05" w14:textId="77777777" w:rsidR="00B470AD" w:rsidRPr="00E154F9" w:rsidRDefault="00B470AD" w:rsidP="007513A1">
            <w:pPr>
              <w:overflowPunct w:val="0"/>
              <w:rPr>
                <w:rFonts w:eastAsia="NSimSun"/>
                <w:i/>
                <w:kern w:val="2"/>
                <w:lang w:eastAsia="zh-CN" w:bidi="hi-IN"/>
              </w:rPr>
            </w:pPr>
            <w:r w:rsidRPr="00E154F9">
              <w:rPr>
                <w:i/>
                <w:w w:val="99"/>
                <w:kern w:val="2"/>
                <w:lang w:eastAsia="zh-CN" w:bidi="hi-IN"/>
              </w:rPr>
              <w:t>Eğitim Düzeyi</w:t>
            </w:r>
          </w:p>
        </w:tc>
        <w:tc>
          <w:tcPr>
            <w:tcW w:w="1348" w:type="pct"/>
            <w:tcBorders>
              <w:top w:val="single" w:sz="4" w:space="0" w:color="auto"/>
            </w:tcBorders>
            <w:shd w:val="clear" w:color="auto" w:fill="auto"/>
            <w:vAlign w:val="center"/>
          </w:tcPr>
          <w:p w14:paraId="4D0EF9D2" w14:textId="77777777" w:rsidR="00B470AD" w:rsidRPr="00E154F9" w:rsidRDefault="00B470AD" w:rsidP="007513A1">
            <w:pPr>
              <w:overflowPunct w:val="0"/>
              <w:snapToGrid w:val="0"/>
              <w:rPr>
                <w:kern w:val="2"/>
                <w:lang w:eastAsia="zh-CN" w:bidi="hi-IN"/>
              </w:rPr>
            </w:pPr>
          </w:p>
        </w:tc>
        <w:tc>
          <w:tcPr>
            <w:tcW w:w="664" w:type="pct"/>
            <w:tcBorders>
              <w:top w:val="single" w:sz="4" w:space="0" w:color="auto"/>
            </w:tcBorders>
            <w:shd w:val="clear" w:color="auto" w:fill="auto"/>
            <w:vAlign w:val="center"/>
          </w:tcPr>
          <w:p w14:paraId="5292C04F" w14:textId="77777777" w:rsidR="00B470AD" w:rsidRPr="00E154F9" w:rsidRDefault="00B470AD" w:rsidP="007513A1">
            <w:pPr>
              <w:overflowPunct w:val="0"/>
              <w:snapToGrid w:val="0"/>
              <w:rPr>
                <w:kern w:val="2"/>
                <w:lang w:eastAsia="zh-CN" w:bidi="hi-IN"/>
              </w:rPr>
            </w:pPr>
          </w:p>
        </w:tc>
      </w:tr>
      <w:tr w:rsidR="00B470AD" w:rsidRPr="00E154F9" w14:paraId="7DB7FC69" w14:textId="77777777" w:rsidTr="0027292C">
        <w:trPr>
          <w:trHeight w:val="277"/>
          <w:jc w:val="center"/>
        </w:trPr>
        <w:tc>
          <w:tcPr>
            <w:tcW w:w="96" w:type="pct"/>
            <w:shd w:val="clear" w:color="auto" w:fill="auto"/>
          </w:tcPr>
          <w:p w14:paraId="0BAD9EBD"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1EAF64CC" w14:textId="77777777" w:rsidR="00B470AD" w:rsidRPr="00E154F9" w:rsidRDefault="00B470AD" w:rsidP="007513A1">
            <w:pPr>
              <w:overflowPunct w:val="0"/>
              <w:rPr>
                <w:rFonts w:eastAsia="NSimSun"/>
                <w:kern w:val="2"/>
                <w:lang w:eastAsia="zh-CN" w:bidi="hi-IN"/>
              </w:rPr>
            </w:pPr>
            <w:r w:rsidRPr="00E154F9">
              <w:rPr>
                <w:kern w:val="2"/>
                <w:lang w:eastAsia="zh-CN" w:bidi="hi-IN"/>
              </w:rPr>
              <w:t>Ortaöğretim</w:t>
            </w:r>
          </w:p>
        </w:tc>
        <w:tc>
          <w:tcPr>
            <w:tcW w:w="1348" w:type="pct"/>
            <w:shd w:val="clear" w:color="auto" w:fill="auto"/>
            <w:vAlign w:val="center"/>
          </w:tcPr>
          <w:p w14:paraId="49BA990F"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165</w:t>
            </w:r>
          </w:p>
        </w:tc>
        <w:tc>
          <w:tcPr>
            <w:tcW w:w="664" w:type="pct"/>
            <w:shd w:val="clear" w:color="auto" w:fill="auto"/>
            <w:vAlign w:val="center"/>
          </w:tcPr>
          <w:p w14:paraId="168EC212"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42.0</w:t>
            </w:r>
          </w:p>
        </w:tc>
      </w:tr>
      <w:tr w:rsidR="00B470AD" w:rsidRPr="00E154F9" w14:paraId="4282A674" w14:textId="77777777" w:rsidTr="0027292C">
        <w:trPr>
          <w:trHeight w:val="277"/>
          <w:jc w:val="center"/>
        </w:trPr>
        <w:tc>
          <w:tcPr>
            <w:tcW w:w="96" w:type="pct"/>
            <w:shd w:val="clear" w:color="auto" w:fill="auto"/>
          </w:tcPr>
          <w:p w14:paraId="165B3A1D" w14:textId="77777777" w:rsidR="00B470AD" w:rsidRPr="00E154F9" w:rsidRDefault="00B470AD" w:rsidP="007513A1">
            <w:pPr>
              <w:overflowPunct w:val="0"/>
              <w:snapToGrid w:val="0"/>
              <w:jc w:val="both"/>
              <w:rPr>
                <w:color w:val="000000"/>
                <w:w w:val="99"/>
                <w:kern w:val="2"/>
                <w:highlight w:val="yellow"/>
                <w:lang w:eastAsia="zh-CN" w:bidi="hi-IN"/>
              </w:rPr>
            </w:pPr>
          </w:p>
        </w:tc>
        <w:tc>
          <w:tcPr>
            <w:tcW w:w="2892" w:type="pct"/>
            <w:shd w:val="clear" w:color="auto" w:fill="auto"/>
            <w:vAlign w:val="center"/>
          </w:tcPr>
          <w:p w14:paraId="44D128A7" w14:textId="77777777" w:rsidR="00B470AD" w:rsidRPr="00E154F9" w:rsidRDefault="00B470AD" w:rsidP="007513A1">
            <w:pPr>
              <w:overflowPunct w:val="0"/>
              <w:rPr>
                <w:rFonts w:eastAsia="NSimSun"/>
                <w:kern w:val="2"/>
                <w:lang w:eastAsia="zh-CN" w:bidi="hi-IN"/>
              </w:rPr>
            </w:pPr>
            <w:r w:rsidRPr="00E154F9">
              <w:rPr>
                <w:kern w:val="2"/>
                <w:lang w:eastAsia="zh-CN" w:bidi="hi-IN"/>
              </w:rPr>
              <w:t>Lisans</w:t>
            </w:r>
          </w:p>
        </w:tc>
        <w:tc>
          <w:tcPr>
            <w:tcW w:w="1348" w:type="pct"/>
            <w:shd w:val="clear" w:color="auto" w:fill="auto"/>
            <w:vAlign w:val="center"/>
          </w:tcPr>
          <w:p w14:paraId="27115866"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189</w:t>
            </w:r>
          </w:p>
        </w:tc>
        <w:tc>
          <w:tcPr>
            <w:tcW w:w="664" w:type="pct"/>
            <w:shd w:val="clear" w:color="auto" w:fill="auto"/>
            <w:vAlign w:val="center"/>
          </w:tcPr>
          <w:p w14:paraId="5F7910B4"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48.1</w:t>
            </w:r>
          </w:p>
        </w:tc>
      </w:tr>
      <w:tr w:rsidR="00B470AD" w:rsidRPr="00E154F9" w14:paraId="76768378" w14:textId="77777777" w:rsidTr="0027292C">
        <w:trPr>
          <w:trHeight w:val="277"/>
          <w:jc w:val="center"/>
        </w:trPr>
        <w:tc>
          <w:tcPr>
            <w:tcW w:w="96" w:type="pct"/>
            <w:shd w:val="clear" w:color="auto" w:fill="auto"/>
          </w:tcPr>
          <w:p w14:paraId="29387A8C"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76C20E7E" w14:textId="77777777" w:rsidR="00B470AD" w:rsidRPr="00E154F9" w:rsidRDefault="00B470AD" w:rsidP="007513A1">
            <w:pPr>
              <w:overflowPunct w:val="0"/>
              <w:rPr>
                <w:rFonts w:eastAsia="NSimSun"/>
                <w:kern w:val="2"/>
                <w:lang w:eastAsia="zh-CN" w:bidi="hi-IN"/>
              </w:rPr>
            </w:pPr>
            <w:r w:rsidRPr="00E154F9">
              <w:rPr>
                <w:kern w:val="2"/>
                <w:lang w:eastAsia="zh-CN" w:bidi="hi-IN"/>
              </w:rPr>
              <w:t>Lisansüstü</w:t>
            </w:r>
          </w:p>
        </w:tc>
        <w:tc>
          <w:tcPr>
            <w:tcW w:w="1348" w:type="pct"/>
            <w:shd w:val="clear" w:color="auto" w:fill="auto"/>
            <w:vAlign w:val="center"/>
          </w:tcPr>
          <w:p w14:paraId="0DB2FC7A"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39</w:t>
            </w:r>
          </w:p>
        </w:tc>
        <w:tc>
          <w:tcPr>
            <w:tcW w:w="664" w:type="pct"/>
            <w:shd w:val="clear" w:color="auto" w:fill="auto"/>
            <w:vAlign w:val="center"/>
          </w:tcPr>
          <w:p w14:paraId="268C7BCF"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9.9</w:t>
            </w:r>
          </w:p>
        </w:tc>
      </w:tr>
      <w:tr w:rsidR="00B470AD" w:rsidRPr="00E154F9" w14:paraId="513242BB" w14:textId="77777777" w:rsidTr="0027292C">
        <w:trPr>
          <w:trHeight w:val="276"/>
          <w:jc w:val="center"/>
        </w:trPr>
        <w:tc>
          <w:tcPr>
            <w:tcW w:w="96" w:type="pct"/>
            <w:shd w:val="clear" w:color="auto" w:fill="auto"/>
          </w:tcPr>
          <w:p w14:paraId="3B9E998A"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top w:val="single" w:sz="4" w:space="0" w:color="000000"/>
            </w:tcBorders>
            <w:shd w:val="clear" w:color="auto" w:fill="auto"/>
            <w:vAlign w:val="center"/>
          </w:tcPr>
          <w:p w14:paraId="4E752237" w14:textId="77777777" w:rsidR="00B470AD" w:rsidRPr="00E154F9" w:rsidRDefault="00B470AD" w:rsidP="007513A1">
            <w:pPr>
              <w:overflowPunct w:val="0"/>
              <w:rPr>
                <w:i/>
                <w:iCs/>
                <w:kern w:val="2"/>
                <w:lang w:eastAsia="zh-CN" w:bidi="hi-IN"/>
              </w:rPr>
            </w:pPr>
            <w:r w:rsidRPr="00E154F9">
              <w:rPr>
                <w:i/>
                <w:iCs/>
                <w:kern w:val="2"/>
                <w:lang w:eastAsia="zh-CN" w:bidi="hi-IN"/>
              </w:rPr>
              <w:t>Medeni Durum</w:t>
            </w:r>
          </w:p>
        </w:tc>
        <w:tc>
          <w:tcPr>
            <w:tcW w:w="1348" w:type="pct"/>
            <w:tcBorders>
              <w:top w:val="single" w:sz="4" w:space="0" w:color="000000"/>
            </w:tcBorders>
            <w:shd w:val="clear" w:color="auto" w:fill="auto"/>
            <w:vAlign w:val="center"/>
          </w:tcPr>
          <w:p w14:paraId="7EAE8513" w14:textId="77777777" w:rsidR="00B470AD" w:rsidRPr="00E154F9" w:rsidRDefault="00B470AD" w:rsidP="007513A1">
            <w:pPr>
              <w:overflowPunct w:val="0"/>
              <w:rPr>
                <w:w w:val="99"/>
                <w:kern w:val="2"/>
                <w:highlight w:val="yellow"/>
                <w:lang w:eastAsia="zh-CN" w:bidi="hi-IN"/>
              </w:rPr>
            </w:pPr>
          </w:p>
        </w:tc>
        <w:tc>
          <w:tcPr>
            <w:tcW w:w="664" w:type="pct"/>
            <w:tcBorders>
              <w:top w:val="single" w:sz="4" w:space="0" w:color="000000"/>
            </w:tcBorders>
            <w:shd w:val="clear" w:color="auto" w:fill="auto"/>
            <w:vAlign w:val="center"/>
          </w:tcPr>
          <w:p w14:paraId="083415BA" w14:textId="77777777" w:rsidR="00B470AD" w:rsidRPr="00E154F9" w:rsidRDefault="00B470AD" w:rsidP="007513A1">
            <w:pPr>
              <w:overflowPunct w:val="0"/>
              <w:rPr>
                <w:w w:val="99"/>
                <w:kern w:val="2"/>
                <w:highlight w:val="yellow"/>
                <w:lang w:eastAsia="zh-CN" w:bidi="hi-IN"/>
              </w:rPr>
            </w:pPr>
          </w:p>
        </w:tc>
      </w:tr>
      <w:tr w:rsidR="00B470AD" w:rsidRPr="00E154F9" w14:paraId="41822DC7" w14:textId="77777777" w:rsidTr="0027292C">
        <w:trPr>
          <w:trHeight w:val="276"/>
          <w:jc w:val="center"/>
        </w:trPr>
        <w:tc>
          <w:tcPr>
            <w:tcW w:w="96" w:type="pct"/>
            <w:shd w:val="clear" w:color="auto" w:fill="auto"/>
          </w:tcPr>
          <w:p w14:paraId="1036E8B0"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258958DE" w14:textId="77777777" w:rsidR="00B470AD" w:rsidRPr="00E154F9" w:rsidRDefault="00B470AD" w:rsidP="007513A1">
            <w:pPr>
              <w:overflowPunct w:val="0"/>
              <w:rPr>
                <w:kern w:val="2"/>
                <w:lang w:eastAsia="zh-CN" w:bidi="hi-IN"/>
              </w:rPr>
            </w:pPr>
            <w:r w:rsidRPr="00E154F9">
              <w:rPr>
                <w:kern w:val="2"/>
                <w:lang w:eastAsia="zh-CN" w:bidi="hi-IN"/>
              </w:rPr>
              <w:t>Evli</w:t>
            </w:r>
          </w:p>
        </w:tc>
        <w:tc>
          <w:tcPr>
            <w:tcW w:w="1348" w:type="pct"/>
            <w:shd w:val="clear" w:color="auto" w:fill="auto"/>
            <w:vAlign w:val="center"/>
          </w:tcPr>
          <w:p w14:paraId="21230794"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134</w:t>
            </w:r>
          </w:p>
        </w:tc>
        <w:tc>
          <w:tcPr>
            <w:tcW w:w="664" w:type="pct"/>
            <w:shd w:val="clear" w:color="auto" w:fill="auto"/>
            <w:vAlign w:val="center"/>
          </w:tcPr>
          <w:p w14:paraId="57E684D1"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34.1</w:t>
            </w:r>
          </w:p>
        </w:tc>
      </w:tr>
      <w:tr w:rsidR="00B470AD" w:rsidRPr="00E154F9" w14:paraId="50150CD5" w14:textId="77777777" w:rsidTr="0027292C">
        <w:trPr>
          <w:trHeight w:val="276"/>
          <w:jc w:val="center"/>
        </w:trPr>
        <w:tc>
          <w:tcPr>
            <w:tcW w:w="96" w:type="pct"/>
            <w:shd w:val="clear" w:color="auto" w:fill="auto"/>
          </w:tcPr>
          <w:p w14:paraId="3A22FBB1"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bottom w:val="single" w:sz="4" w:space="0" w:color="000000"/>
            </w:tcBorders>
            <w:shd w:val="clear" w:color="auto" w:fill="auto"/>
            <w:vAlign w:val="center"/>
          </w:tcPr>
          <w:p w14:paraId="6B1E8B51" w14:textId="77777777" w:rsidR="00B470AD" w:rsidRPr="00E154F9" w:rsidRDefault="00B470AD" w:rsidP="007513A1">
            <w:pPr>
              <w:overflowPunct w:val="0"/>
              <w:rPr>
                <w:kern w:val="2"/>
                <w:lang w:eastAsia="zh-CN" w:bidi="hi-IN"/>
              </w:rPr>
            </w:pPr>
            <w:r w:rsidRPr="00E154F9">
              <w:rPr>
                <w:kern w:val="2"/>
                <w:lang w:eastAsia="zh-CN" w:bidi="hi-IN"/>
              </w:rPr>
              <w:t>Bekar</w:t>
            </w:r>
          </w:p>
        </w:tc>
        <w:tc>
          <w:tcPr>
            <w:tcW w:w="1348" w:type="pct"/>
            <w:tcBorders>
              <w:bottom w:val="single" w:sz="4" w:space="0" w:color="000000"/>
            </w:tcBorders>
            <w:shd w:val="clear" w:color="auto" w:fill="auto"/>
            <w:vAlign w:val="center"/>
          </w:tcPr>
          <w:p w14:paraId="0DD39059"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259</w:t>
            </w:r>
          </w:p>
        </w:tc>
        <w:tc>
          <w:tcPr>
            <w:tcW w:w="664" w:type="pct"/>
            <w:tcBorders>
              <w:bottom w:val="single" w:sz="4" w:space="0" w:color="000000"/>
            </w:tcBorders>
            <w:shd w:val="clear" w:color="auto" w:fill="auto"/>
            <w:vAlign w:val="center"/>
          </w:tcPr>
          <w:p w14:paraId="08556BCB"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65.9</w:t>
            </w:r>
          </w:p>
        </w:tc>
      </w:tr>
      <w:tr w:rsidR="00B470AD" w:rsidRPr="00E154F9" w14:paraId="55230266" w14:textId="77777777" w:rsidTr="0027292C">
        <w:trPr>
          <w:trHeight w:val="276"/>
          <w:jc w:val="center"/>
        </w:trPr>
        <w:tc>
          <w:tcPr>
            <w:tcW w:w="96" w:type="pct"/>
            <w:shd w:val="clear" w:color="auto" w:fill="auto"/>
          </w:tcPr>
          <w:p w14:paraId="529A2929"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top w:val="single" w:sz="4" w:space="0" w:color="auto"/>
            </w:tcBorders>
            <w:shd w:val="clear" w:color="auto" w:fill="auto"/>
            <w:vAlign w:val="center"/>
          </w:tcPr>
          <w:p w14:paraId="7F29E54E" w14:textId="77777777" w:rsidR="00B470AD" w:rsidRPr="00E154F9" w:rsidRDefault="00B470AD" w:rsidP="007513A1">
            <w:pPr>
              <w:overflowPunct w:val="0"/>
              <w:rPr>
                <w:i/>
                <w:iCs/>
                <w:kern w:val="2"/>
                <w:lang w:eastAsia="zh-CN" w:bidi="hi-IN"/>
              </w:rPr>
            </w:pPr>
            <w:r w:rsidRPr="00E154F9">
              <w:rPr>
                <w:i/>
                <w:iCs/>
                <w:kern w:val="2"/>
                <w:lang w:eastAsia="zh-CN" w:bidi="hi-IN"/>
              </w:rPr>
              <w:t>Çalışma Durumu</w:t>
            </w:r>
          </w:p>
        </w:tc>
        <w:tc>
          <w:tcPr>
            <w:tcW w:w="1348" w:type="pct"/>
            <w:tcBorders>
              <w:top w:val="single" w:sz="4" w:space="0" w:color="auto"/>
            </w:tcBorders>
            <w:shd w:val="clear" w:color="auto" w:fill="auto"/>
            <w:vAlign w:val="center"/>
          </w:tcPr>
          <w:p w14:paraId="054ED242" w14:textId="77777777" w:rsidR="00B470AD" w:rsidRPr="00E154F9" w:rsidRDefault="00B470AD" w:rsidP="007513A1">
            <w:pPr>
              <w:overflowPunct w:val="0"/>
              <w:rPr>
                <w:rFonts w:eastAsia="NSimSun"/>
                <w:kern w:val="2"/>
                <w:lang w:eastAsia="zh-CN" w:bidi="hi-IN"/>
              </w:rPr>
            </w:pPr>
          </w:p>
        </w:tc>
        <w:tc>
          <w:tcPr>
            <w:tcW w:w="664" w:type="pct"/>
            <w:tcBorders>
              <w:top w:val="single" w:sz="4" w:space="0" w:color="auto"/>
            </w:tcBorders>
            <w:shd w:val="clear" w:color="auto" w:fill="auto"/>
            <w:vAlign w:val="center"/>
          </w:tcPr>
          <w:p w14:paraId="3BE4D743" w14:textId="77777777" w:rsidR="00B470AD" w:rsidRPr="00E154F9" w:rsidRDefault="00B470AD" w:rsidP="007513A1">
            <w:pPr>
              <w:overflowPunct w:val="0"/>
              <w:rPr>
                <w:rFonts w:eastAsia="NSimSun"/>
                <w:kern w:val="2"/>
                <w:lang w:eastAsia="zh-CN" w:bidi="hi-IN"/>
              </w:rPr>
            </w:pPr>
          </w:p>
        </w:tc>
      </w:tr>
      <w:tr w:rsidR="00B470AD" w:rsidRPr="00E154F9" w14:paraId="2A993792" w14:textId="77777777" w:rsidTr="0027292C">
        <w:trPr>
          <w:trHeight w:val="276"/>
          <w:jc w:val="center"/>
        </w:trPr>
        <w:tc>
          <w:tcPr>
            <w:tcW w:w="96" w:type="pct"/>
            <w:shd w:val="clear" w:color="auto" w:fill="auto"/>
          </w:tcPr>
          <w:p w14:paraId="3B1FF3D3"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53D9A74A" w14:textId="77777777" w:rsidR="00B470AD" w:rsidRPr="00E154F9" w:rsidRDefault="00B470AD" w:rsidP="007513A1">
            <w:pPr>
              <w:overflowPunct w:val="0"/>
              <w:rPr>
                <w:kern w:val="2"/>
                <w:lang w:eastAsia="zh-CN" w:bidi="hi-IN"/>
              </w:rPr>
            </w:pPr>
            <w:r w:rsidRPr="00E154F9">
              <w:rPr>
                <w:kern w:val="2"/>
                <w:lang w:eastAsia="zh-CN" w:bidi="hi-IN"/>
              </w:rPr>
              <w:t>Çalışıyor</w:t>
            </w:r>
          </w:p>
        </w:tc>
        <w:tc>
          <w:tcPr>
            <w:tcW w:w="1348" w:type="pct"/>
            <w:shd w:val="clear" w:color="auto" w:fill="auto"/>
            <w:vAlign w:val="center"/>
          </w:tcPr>
          <w:p w14:paraId="5FF3A037"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194</w:t>
            </w:r>
          </w:p>
        </w:tc>
        <w:tc>
          <w:tcPr>
            <w:tcW w:w="664" w:type="pct"/>
            <w:shd w:val="clear" w:color="auto" w:fill="auto"/>
            <w:vAlign w:val="center"/>
          </w:tcPr>
          <w:p w14:paraId="2056521F"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49.4</w:t>
            </w:r>
          </w:p>
        </w:tc>
      </w:tr>
      <w:tr w:rsidR="00B470AD" w:rsidRPr="00E154F9" w14:paraId="7B2691F7" w14:textId="77777777" w:rsidTr="0027292C">
        <w:trPr>
          <w:trHeight w:val="276"/>
          <w:jc w:val="center"/>
        </w:trPr>
        <w:tc>
          <w:tcPr>
            <w:tcW w:w="96" w:type="pct"/>
            <w:shd w:val="clear" w:color="auto" w:fill="auto"/>
          </w:tcPr>
          <w:p w14:paraId="52F59A61"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bottom w:val="single" w:sz="4" w:space="0" w:color="auto"/>
            </w:tcBorders>
            <w:shd w:val="clear" w:color="auto" w:fill="auto"/>
            <w:vAlign w:val="center"/>
          </w:tcPr>
          <w:p w14:paraId="333059E0" w14:textId="77777777" w:rsidR="00B470AD" w:rsidRPr="00E154F9" w:rsidRDefault="00B470AD" w:rsidP="007513A1">
            <w:pPr>
              <w:overflowPunct w:val="0"/>
              <w:rPr>
                <w:kern w:val="2"/>
                <w:lang w:eastAsia="zh-CN" w:bidi="hi-IN"/>
              </w:rPr>
            </w:pPr>
            <w:r w:rsidRPr="00E154F9">
              <w:rPr>
                <w:kern w:val="2"/>
                <w:lang w:eastAsia="zh-CN" w:bidi="hi-IN"/>
              </w:rPr>
              <w:t>Çalışmıyor</w:t>
            </w:r>
          </w:p>
        </w:tc>
        <w:tc>
          <w:tcPr>
            <w:tcW w:w="1348" w:type="pct"/>
            <w:tcBorders>
              <w:bottom w:val="single" w:sz="4" w:space="0" w:color="auto"/>
            </w:tcBorders>
            <w:shd w:val="clear" w:color="auto" w:fill="auto"/>
            <w:vAlign w:val="center"/>
          </w:tcPr>
          <w:p w14:paraId="60F4A9A9"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199</w:t>
            </w:r>
          </w:p>
        </w:tc>
        <w:tc>
          <w:tcPr>
            <w:tcW w:w="664" w:type="pct"/>
            <w:tcBorders>
              <w:bottom w:val="single" w:sz="4" w:space="0" w:color="auto"/>
            </w:tcBorders>
            <w:shd w:val="clear" w:color="auto" w:fill="auto"/>
            <w:vAlign w:val="center"/>
          </w:tcPr>
          <w:p w14:paraId="251D9695"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50.6</w:t>
            </w:r>
          </w:p>
        </w:tc>
      </w:tr>
      <w:tr w:rsidR="00B470AD" w:rsidRPr="00E154F9" w14:paraId="01B2E945" w14:textId="77777777" w:rsidTr="0027292C">
        <w:trPr>
          <w:trHeight w:val="276"/>
          <w:jc w:val="center"/>
        </w:trPr>
        <w:tc>
          <w:tcPr>
            <w:tcW w:w="96" w:type="pct"/>
            <w:shd w:val="clear" w:color="auto" w:fill="auto"/>
          </w:tcPr>
          <w:p w14:paraId="11BAA7A5"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top w:val="single" w:sz="4" w:space="0" w:color="auto"/>
            </w:tcBorders>
            <w:shd w:val="clear" w:color="auto" w:fill="auto"/>
            <w:vAlign w:val="center"/>
          </w:tcPr>
          <w:p w14:paraId="40BE229C" w14:textId="77777777" w:rsidR="00B470AD" w:rsidRPr="00E154F9" w:rsidRDefault="00B470AD" w:rsidP="007513A1">
            <w:pPr>
              <w:overflowPunct w:val="0"/>
              <w:rPr>
                <w:i/>
                <w:iCs/>
                <w:kern w:val="2"/>
                <w:lang w:eastAsia="zh-CN" w:bidi="hi-IN"/>
              </w:rPr>
            </w:pPr>
            <w:r w:rsidRPr="00E154F9">
              <w:rPr>
                <w:i/>
                <w:iCs/>
                <w:kern w:val="2"/>
                <w:lang w:eastAsia="zh-CN" w:bidi="hi-IN"/>
              </w:rPr>
              <w:t>Gelir Düzeyi</w:t>
            </w:r>
          </w:p>
        </w:tc>
        <w:tc>
          <w:tcPr>
            <w:tcW w:w="1348" w:type="pct"/>
            <w:tcBorders>
              <w:top w:val="single" w:sz="4" w:space="0" w:color="auto"/>
            </w:tcBorders>
            <w:shd w:val="clear" w:color="auto" w:fill="auto"/>
            <w:vAlign w:val="center"/>
          </w:tcPr>
          <w:p w14:paraId="594280F4" w14:textId="77777777" w:rsidR="00B470AD" w:rsidRPr="00E154F9" w:rsidRDefault="00B470AD" w:rsidP="007513A1">
            <w:pPr>
              <w:overflowPunct w:val="0"/>
              <w:rPr>
                <w:rFonts w:eastAsia="NSimSun"/>
                <w:kern w:val="2"/>
                <w:lang w:eastAsia="zh-CN" w:bidi="hi-IN"/>
              </w:rPr>
            </w:pPr>
          </w:p>
        </w:tc>
        <w:tc>
          <w:tcPr>
            <w:tcW w:w="664" w:type="pct"/>
            <w:tcBorders>
              <w:top w:val="single" w:sz="4" w:space="0" w:color="auto"/>
            </w:tcBorders>
            <w:shd w:val="clear" w:color="auto" w:fill="auto"/>
            <w:vAlign w:val="center"/>
          </w:tcPr>
          <w:p w14:paraId="6759F903" w14:textId="77777777" w:rsidR="00B470AD" w:rsidRPr="00E154F9" w:rsidRDefault="00B470AD" w:rsidP="007513A1">
            <w:pPr>
              <w:overflowPunct w:val="0"/>
              <w:rPr>
                <w:rFonts w:eastAsia="NSimSun"/>
                <w:kern w:val="2"/>
                <w:lang w:eastAsia="zh-CN" w:bidi="hi-IN"/>
              </w:rPr>
            </w:pPr>
          </w:p>
        </w:tc>
      </w:tr>
      <w:tr w:rsidR="00B470AD" w:rsidRPr="00E154F9" w14:paraId="2C3078A8" w14:textId="77777777" w:rsidTr="0027292C">
        <w:trPr>
          <w:trHeight w:val="276"/>
          <w:jc w:val="center"/>
        </w:trPr>
        <w:tc>
          <w:tcPr>
            <w:tcW w:w="96" w:type="pct"/>
            <w:shd w:val="clear" w:color="auto" w:fill="auto"/>
          </w:tcPr>
          <w:p w14:paraId="47ABB53D"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2154AF58" w14:textId="77777777" w:rsidR="00B470AD" w:rsidRPr="00E154F9" w:rsidRDefault="00B470AD" w:rsidP="007513A1">
            <w:pPr>
              <w:overflowPunct w:val="0"/>
              <w:rPr>
                <w:kern w:val="2"/>
                <w:lang w:eastAsia="zh-CN" w:bidi="hi-IN"/>
              </w:rPr>
            </w:pPr>
            <w:r w:rsidRPr="00E154F9">
              <w:rPr>
                <w:kern w:val="2"/>
                <w:lang w:eastAsia="zh-CN" w:bidi="hi-IN"/>
              </w:rPr>
              <w:t>Gelir giderden az</w:t>
            </w:r>
          </w:p>
        </w:tc>
        <w:tc>
          <w:tcPr>
            <w:tcW w:w="1348" w:type="pct"/>
            <w:shd w:val="clear" w:color="auto" w:fill="auto"/>
            <w:vAlign w:val="center"/>
          </w:tcPr>
          <w:p w14:paraId="48D786B4"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123</w:t>
            </w:r>
          </w:p>
        </w:tc>
        <w:tc>
          <w:tcPr>
            <w:tcW w:w="664" w:type="pct"/>
            <w:shd w:val="clear" w:color="auto" w:fill="auto"/>
            <w:vAlign w:val="center"/>
          </w:tcPr>
          <w:p w14:paraId="0F578907"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31.3</w:t>
            </w:r>
          </w:p>
        </w:tc>
      </w:tr>
      <w:tr w:rsidR="00B470AD" w:rsidRPr="00E154F9" w14:paraId="6C73A712" w14:textId="77777777" w:rsidTr="0027292C">
        <w:trPr>
          <w:trHeight w:val="276"/>
          <w:jc w:val="center"/>
        </w:trPr>
        <w:tc>
          <w:tcPr>
            <w:tcW w:w="96" w:type="pct"/>
            <w:shd w:val="clear" w:color="auto" w:fill="auto"/>
          </w:tcPr>
          <w:p w14:paraId="5A9197D3"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1E7A6ED8" w14:textId="77777777" w:rsidR="00B470AD" w:rsidRPr="00E154F9" w:rsidRDefault="00B470AD" w:rsidP="007513A1">
            <w:pPr>
              <w:overflowPunct w:val="0"/>
              <w:rPr>
                <w:kern w:val="2"/>
                <w:lang w:eastAsia="zh-CN" w:bidi="hi-IN"/>
              </w:rPr>
            </w:pPr>
            <w:r w:rsidRPr="00E154F9">
              <w:rPr>
                <w:kern w:val="2"/>
                <w:lang w:eastAsia="zh-CN" w:bidi="hi-IN"/>
              </w:rPr>
              <w:t>Gelir gidere denk</w:t>
            </w:r>
          </w:p>
        </w:tc>
        <w:tc>
          <w:tcPr>
            <w:tcW w:w="1348" w:type="pct"/>
            <w:shd w:val="clear" w:color="auto" w:fill="auto"/>
            <w:vAlign w:val="center"/>
          </w:tcPr>
          <w:p w14:paraId="59FB0B3D"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193</w:t>
            </w:r>
          </w:p>
        </w:tc>
        <w:tc>
          <w:tcPr>
            <w:tcW w:w="664" w:type="pct"/>
            <w:shd w:val="clear" w:color="auto" w:fill="auto"/>
            <w:vAlign w:val="center"/>
          </w:tcPr>
          <w:p w14:paraId="0EEB1AE6"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49.1</w:t>
            </w:r>
          </w:p>
        </w:tc>
      </w:tr>
      <w:tr w:rsidR="00B470AD" w:rsidRPr="00E154F9" w14:paraId="54AD3ADF" w14:textId="77777777" w:rsidTr="0027292C">
        <w:trPr>
          <w:trHeight w:val="276"/>
          <w:jc w:val="center"/>
        </w:trPr>
        <w:tc>
          <w:tcPr>
            <w:tcW w:w="96" w:type="pct"/>
            <w:shd w:val="clear" w:color="auto" w:fill="auto"/>
          </w:tcPr>
          <w:p w14:paraId="2BDD3C40"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shd w:val="clear" w:color="auto" w:fill="auto"/>
            <w:vAlign w:val="center"/>
          </w:tcPr>
          <w:p w14:paraId="615D2D81" w14:textId="77777777" w:rsidR="00B470AD" w:rsidRPr="00E154F9" w:rsidRDefault="00B470AD" w:rsidP="007513A1">
            <w:pPr>
              <w:overflowPunct w:val="0"/>
              <w:rPr>
                <w:kern w:val="2"/>
                <w:lang w:eastAsia="zh-CN" w:bidi="hi-IN"/>
              </w:rPr>
            </w:pPr>
            <w:r w:rsidRPr="00E154F9">
              <w:rPr>
                <w:kern w:val="2"/>
                <w:lang w:eastAsia="zh-CN" w:bidi="hi-IN"/>
              </w:rPr>
              <w:t>Gelir giderden fazla</w:t>
            </w:r>
          </w:p>
        </w:tc>
        <w:tc>
          <w:tcPr>
            <w:tcW w:w="1348" w:type="pct"/>
            <w:shd w:val="clear" w:color="auto" w:fill="auto"/>
            <w:vAlign w:val="center"/>
          </w:tcPr>
          <w:p w14:paraId="4EA787ED"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77</w:t>
            </w:r>
          </w:p>
        </w:tc>
        <w:tc>
          <w:tcPr>
            <w:tcW w:w="664" w:type="pct"/>
            <w:shd w:val="clear" w:color="auto" w:fill="auto"/>
            <w:vAlign w:val="center"/>
          </w:tcPr>
          <w:p w14:paraId="0C1675AE"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19.6</w:t>
            </w:r>
          </w:p>
        </w:tc>
      </w:tr>
      <w:tr w:rsidR="00B470AD" w:rsidRPr="00E154F9" w14:paraId="0FBDF8DF" w14:textId="77777777" w:rsidTr="0027292C">
        <w:trPr>
          <w:trHeight w:val="47"/>
          <w:jc w:val="center"/>
        </w:trPr>
        <w:tc>
          <w:tcPr>
            <w:tcW w:w="96" w:type="pct"/>
            <w:tcBorders>
              <w:top w:val="single" w:sz="4" w:space="0" w:color="000000"/>
            </w:tcBorders>
            <w:shd w:val="clear" w:color="auto" w:fill="auto"/>
          </w:tcPr>
          <w:p w14:paraId="14B872BA" w14:textId="77777777" w:rsidR="00B470AD" w:rsidRPr="00E154F9" w:rsidRDefault="00B470AD" w:rsidP="007513A1">
            <w:pPr>
              <w:overflowPunct w:val="0"/>
              <w:snapToGrid w:val="0"/>
              <w:jc w:val="both"/>
              <w:rPr>
                <w:color w:val="000000"/>
                <w:kern w:val="2"/>
                <w:highlight w:val="yellow"/>
                <w:lang w:eastAsia="zh-CN" w:bidi="hi-IN"/>
              </w:rPr>
            </w:pPr>
          </w:p>
        </w:tc>
        <w:tc>
          <w:tcPr>
            <w:tcW w:w="2892" w:type="pct"/>
            <w:tcBorders>
              <w:top w:val="single" w:sz="4" w:space="0" w:color="000000"/>
              <w:bottom w:val="single" w:sz="4" w:space="0" w:color="auto"/>
            </w:tcBorders>
            <w:shd w:val="clear" w:color="auto" w:fill="auto"/>
            <w:vAlign w:val="center"/>
          </w:tcPr>
          <w:p w14:paraId="03160AC3" w14:textId="77777777" w:rsidR="00B470AD" w:rsidRPr="00E154F9" w:rsidRDefault="00B470AD" w:rsidP="007513A1">
            <w:pPr>
              <w:overflowPunct w:val="0"/>
              <w:rPr>
                <w:rFonts w:eastAsia="NSimSun"/>
                <w:i/>
                <w:kern w:val="2"/>
                <w:lang w:eastAsia="zh-CN" w:bidi="hi-IN"/>
              </w:rPr>
            </w:pPr>
            <w:r w:rsidRPr="00E154F9">
              <w:rPr>
                <w:i/>
                <w:kern w:val="2"/>
                <w:lang w:eastAsia="zh-CN" w:bidi="hi-IN"/>
              </w:rPr>
              <w:t>Toplam</w:t>
            </w:r>
          </w:p>
        </w:tc>
        <w:tc>
          <w:tcPr>
            <w:tcW w:w="1348" w:type="pct"/>
            <w:tcBorders>
              <w:top w:val="single" w:sz="4" w:space="0" w:color="000000"/>
              <w:bottom w:val="single" w:sz="4" w:space="0" w:color="auto"/>
            </w:tcBorders>
            <w:shd w:val="clear" w:color="auto" w:fill="auto"/>
            <w:vAlign w:val="center"/>
          </w:tcPr>
          <w:p w14:paraId="7FA78F5C"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393</w:t>
            </w:r>
          </w:p>
        </w:tc>
        <w:tc>
          <w:tcPr>
            <w:tcW w:w="664" w:type="pct"/>
            <w:tcBorders>
              <w:top w:val="single" w:sz="4" w:space="0" w:color="000000"/>
              <w:bottom w:val="single" w:sz="4" w:space="0" w:color="auto"/>
            </w:tcBorders>
            <w:shd w:val="clear" w:color="auto" w:fill="auto"/>
            <w:vAlign w:val="center"/>
          </w:tcPr>
          <w:p w14:paraId="5A33C94A" w14:textId="77777777" w:rsidR="00B470AD" w:rsidRPr="00E154F9" w:rsidRDefault="00B470AD" w:rsidP="007513A1">
            <w:pPr>
              <w:overflowPunct w:val="0"/>
              <w:rPr>
                <w:rFonts w:eastAsia="NSimSun"/>
                <w:kern w:val="2"/>
                <w:lang w:eastAsia="zh-CN" w:bidi="hi-IN"/>
              </w:rPr>
            </w:pPr>
            <w:r w:rsidRPr="00E154F9">
              <w:rPr>
                <w:rFonts w:eastAsia="NSimSun"/>
                <w:kern w:val="2"/>
                <w:lang w:eastAsia="zh-CN" w:bidi="hi-IN"/>
              </w:rPr>
              <w:t>100</w:t>
            </w:r>
          </w:p>
        </w:tc>
      </w:tr>
    </w:tbl>
    <w:p w14:paraId="06014673" w14:textId="77777777" w:rsidR="00B470AD" w:rsidRDefault="00B470AD" w:rsidP="007513A1">
      <w:pPr>
        <w:pStyle w:val="NormalWeb"/>
        <w:spacing w:before="0" w:beforeAutospacing="0" w:after="0" w:afterAutospacing="0"/>
        <w:jc w:val="both"/>
      </w:pPr>
      <w:proofErr w:type="spellStart"/>
      <w:r w:rsidRPr="003B4589">
        <w:t>Katılımcılara</w:t>
      </w:r>
      <w:proofErr w:type="spellEnd"/>
      <w:r>
        <w:t xml:space="preserve"> </w:t>
      </w:r>
      <w:proofErr w:type="spellStart"/>
      <w:r>
        <w:t>uygulanan</w:t>
      </w:r>
      <w:proofErr w:type="spellEnd"/>
      <w:r>
        <w:t xml:space="preserve"> meta-</w:t>
      </w:r>
      <w:proofErr w:type="spellStart"/>
      <w:r>
        <w:t>endişe</w:t>
      </w:r>
      <w:proofErr w:type="spellEnd"/>
      <w:r>
        <w:t xml:space="preserve"> </w:t>
      </w:r>
      <w:proofErr w:type="spellStart"/>
      <w:r>
        <w:t>ölçeği</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ölçeği</w:t>
      </w:r>
      <w:proofErr w:type="spellEnd"/>
      <w:r>
        <w:t xml:space="preserve"> </w:t>
      </w:r>
      <w:proofErr w:type="spellStart"/>
      <w:r>
        <w:t>ve</w:t>
      </w:r>
      <w:proofErr w:type="spellEnd"/>
      <w:r>
        <w:t xml:space="preserve"> </w:t>
      </w:r>
      <w:proofErr w:type="spellStart"/>
      <w:r>
        <w:t>penn</w:t>
      </w:r>
      <w:proofErr w:type="spellEnd"/>
      <w:r>
        <w:t xml:space="preserve"> state </w:t>
      </w:r>
      <w:proofErr w:type="spellStart"/>
      <w:r>
        <w:t>endişe</w:t>
      </w:r>
      <w:proofErr w:type="spellEnd"/>
      <w:r>
        <w:t xml:space="preserve"> </w:t>
      </w:r>
      <w:proofErr w:type="spellStart"/>
      <w:r>
        <w:t>ölçeklerinin</w:t>
      </w:r>
      <w:proofErr w:type="spellEnd"/>
      <w:r>
        <w:t xml:space="preserve"> </w:t>
      </w:r>
      <w:proofErr w:type="spellStart"/>
      <w:r w:rsidRPr="00FD21B1">
        <w:t>ortalama</w:t>
      </w:r>
      <w:proofErr w:type="spellEnd"/>
      <w:r w:rsidRPr="00FD21B1">
        <w:t xml:space="preserve">, </w:t>
      </w:r>
      <w:proofErr w:type="spellStart"/>
      <w:r w:rsidRPr="00FD21B1">
        <w:t>standart</w:t>
      </w:r>
      <w:proofErr w:type="spellEnd"/>
      <w:r w:rsidRPr="00FD21B1">
        <w:t xml:space="preserve"> </w:t>
      </w:r>
      <w:proofErr w:type="spellStart"/>
      <w:r w:rsidRPr="00FD21B1">
        <w:t>sapma</w:t>
      </w:r>
      <w:proofErr w:type="spellEnd"/>
      <w:r w:rsidRPr="00FD21B1">
        <w:t xml:space="preserve">, </w:t>
      </w:r>
      <w:proofErr w:type="spellStart"/>
      <w:r w:rsidRPr="00FD21B1">
        <w:t>standart</w:t>
      </w:r>
      <w:proofErr w:type="spellEnd"/>
      <w:r w:rsidRPr="00FD21B1">
        <w:t xml:space="preserve"> </w:t>
      </w:r>
      <w:proofErr w:type="spellStart"/>
      <w:r w:rsidRPr="00FD21B1">
        <w:t>hata</w:t>
      </w:r>
      <w:proofErr w:type="spellEnd"/>
      <w:r w:rsidRPr="00FD21B1">
        <w:t xml:space="preserve">, minimum </w:t>
      </w:r>
      <w:proofErr w:type="spellStart"/>
      <w:r w:rsidRPr="00FD21B1">
        <w:t>ve</w:t>
      </w:r>
      <w:proofErr w:type="spellEnd"/>
      <w:r w:rsidRPr="00FD21B1">
        <w:t xml:space="preserve"> </w:t>
      </w:r>
      <w:proofErr w:type="spellStart"/>
      <w:r w:rsidRPr="00FD21B1">
        <w:t>maksimum</w:t>
      </w:r>
      <w:proofErr w:type="spellEnd"/>
      <w:r w:rsidRPr="00FD21B1">
        <w:t xml:space="preserve"> </w:t>
      </w:r>
      <w:proofErr w:type="spellStart"/>
      <w:r w:rsidRPr="00FD21B1">
        <w:t>değerleri</w:t>
      </w:r>
      <w:proofErr w:type="spellEnd"/>
      <w:r w:rsidRPr="00FD21B1">
        <w:t xml:space="preserve"> Tablo </w:t>
      </w:r>
      <w:r>
        <w:t>3.2.</w:t>
      </w:r>
      <w:r w:rsidRPr="00FD21B1">
        <w:t xml:space="preserve">’de </w:t>
      </w:r>
      <w:proofErr w:type="spellStart"/>
      <w:r w:rsidRPr="00FD21B1">
        <w:t>yer</w:t>
      </w:r>
      <w:proofErr w:type="spellEnd"/>
      <w:r w:rsidRPr="00FD21B1">
        <w:t xml:space="preserve"> </w:t>
      </w:r>
      <w:proofErr w:type="spellStart"/>
      <w:r w:rsidRPr="00FD21B1">
        <w:t>almaktadır</w:t>
      </w:r>
      <w:proofErr w:type="spellEnd"/>
      <w:r w:rsidRPr="00FD21B1">
        <w:t>.</w:t>
      </w:r>
    </w:p>
    <w:p w14:paraId="79F86F88" w14:textId="77777777" w:rsidR="00B470AD" w:rsidRDefault="00B470AD" w:rsidP="007513A1">
      <w:pPr>
        <w:pStyle w:val="NormalWeb"/>
        <w:spacing w:before="0" w:beforeAutospacing="0" w:after="0" w:afterAutospacing="0"/>
        <w:jc w:val="both"/>
        <w:rPr>
          <w:b/>
        </w:rPr>
      </w:pPr>
      <w:r w:rsidRPr="0012063D">
        <w:rPr>
          <w:b/>
        </w:rPr>
        <w:t xml:space="preserve">Tablo </w:t>
      </w:r>
      <w:r>
        <w:rPr>
          <w:b/>
        </w:rPr>
        <w:t>3.2</w:t>
      </w:r>
      <w:r w:rsidRPr="0012063D">
        <w:rPr>
          <w:b/>
        </w:rPr>
        <w:t xml:space="preserve">. </w:t>
      </w:r>
      <w:proofErr w:type="spellStart"/>
      <w:r w:rsidRPr="0012063D">
        <w:rPr>
          <w:b/>
        </w:rPr>
        <w:t>Değişkenlere</w:t>
      </w:r>
      <w:proofErr w:type="spellEnd"/>
      <w:r w:rsidRPr="0012063D">
        <w:rPr>
          <w:b/>
        </w:rPr>
        <w:t xml:space="preserve"> </w:t>
      </w:r>
      <w:proofErr w:type="spellStart"/>
      <w:r w:rsidRPr="0012063D">
        <w:rPr>
          <w:b/>
        </w:rPr>
        <w:t>Ait</w:t>
      </w:r>
      <w:proofErr w:type="spellEnd"/>
      <w:r w:rsidRPr="0012063D">
        <w:rPr>
          <w:b/>
        </w:rPr>
        <w:t xml:space="preserve"> </w:t>
      </w:r>
      <w:proofErr w:type="spellStart"/>
      <w:r w:rsidRPr="0012063D">
        <w:rPr>
          <w:b/>
        </w:rPr>
        <w:t>Betimsel</w:t>
      </w:r>
      <w:proofErr w:type="spellEnd"/>
      <w:r w:rsidRPr="0012063D">
        <w:rPr>
          <w:b/>
        </w:rPr>
        <w:t xml:space="preserve"> </w:t>
      </w:r>
      <w:proofErr w:type="spellStart"/>
      <w:r w:rsidRPr="0012063D">
        <w:rPr>
          <w:b/>
        </w:rPr>
        <w:t>İstatistikler</w:t>
      </w:r>
      <w:proofErr w:type="spellEnd"/>
    </w:p>
    <w:tbl>
      <w:tblPr>
        <w:tblW w:w="91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61"/>
        <w:gridCol w:w="709"/>
        <w:gridCol w:w="993"/>
        <w:gridCol w:w="952"/>
        <w:gridCol w:w="951"/>
        <w:gridCol w:w="951"/>
        <w:gridCol w:w="709"/>
      </w:tblGrid>
      <w:tr w:rsidR="00B470AD" w:rsidRPr="00E8377D" w14:paraId="351048F9" w14:textId="77777777" w:rsidTr="0027292C">
        <w:trPr>
          <w:trHeight w:val="320"/>
        </w:trPr>
        <w:tc>
          <w:tcPr>
            <w:tcW w:w="3861" w:type="dxa"/>
            <w:tcBorders>
              <w:top w:val="single" w:sz="4" w:space="0" w:color="auto"/>
              <w:left w:val="nil"/>
              <w:bottom w:val="single" w:sz="4" w:space="0" w:color="auto"/>
              <w:right w:val="nil"/>
            </w:tcBorders>
            <w:shd w:val="clear" w:color="auto" w:fill="auto"/>
            <w:vAlign w:val="center"/>
          </w:tcPr>
          <w:p w14:paraId="4ADBB8BB" w14:textId="77777777" w:rsidR="00B470AD" w:rsidRPr="00E8377D" w:rsidRDefault="00B470AD" w:rsidP="007513A1">
            <w:pPr>
              <w:rPr>
                <w:rFonts w:eastAsia="Calibri"/>
              </w:rPr>
            </w:pPr>
          </w:p>
        </w:tc>
        <w:tc>
          <w:tcPr>
            <w:tcW w:w="709" w:type="dxa"/>
            <w:tcBorders>
              <w:top w:val="single" w:sz="4" w:space="0" w:color="auto"/>
              <w:left w:val="nil"/>
              <w:bottom w:val="single" w:sz="4" w:space="0" w:color="auto"/>
              <w:right w:val="nil"/>
            </w:tcBorders>
            <w:vAlign w:val="center"/>
          </w:tcPr>
          <w:p w14:paraId="6A4AAF3B" w14:textId="77777777" w:rsidR="00B470AD" w:rsidRPr="00E8377D" w:rsidRDefault="00B470AD" w:rsidP="007513A1">
            <w:pPr>
              <w:ind w:left="-185" w:firstLine="185"/>
              <w:rPr>
                <w:rFonts w:eastAsia="Calibri"/>
                <w:position w:val="-9"/>
                <w:lang w:val="en-US"/>
              </w:rPr>
            </w:pPr>
            <w:r w:rsidRPr="00E8377D">
              <w:rPr>
                <w:rFonts w:eastAsia="Calibri"/>
                <w:position w:val="-9"/>
                <w:lang w:val="en-US"/>
              </w:rPr>
              <w:t xml:space="preserve"> n</w:t>
            </w:r>
          </w:p>
        </w:tc>
        <w:tc>
          <w:tcPr>
            <w:tcW w:w="993" w:type="dxa"/>
            <w:tcBorders>
              <w:top w:val="single" w:sz="4" w:space="0" w:color="auto"/>
              <w:left w:val="nil"/>
              <w:bottom w:val="single" w:sz="4" w:space="0" w:color="auto"/>
              <w:right w:val="nil"/>
            </w:tcBorders>
            <w:shd w:val="clear" w:color="auto" w:fill="auto"/>
            <w:vAlign w:val="center"/>
          </w:tcPr>
          <w:p w14:paraId="4E314758" w14:textId="77777777" w:rsidR="00B470AD" w:rsidRPr="00E8377D" w:rsidRDefault="00000000" w:rsidP="007513A1">
            <m:oMathPara>
              <m:oMath>
                <m:bar>
                  <m:barPr>
                    <m:pos m:val="top"/>
                    <m:ctrlPr>
                      <w:rPr>
                        <w:rFonts w:ascii="Cambria Math" w:eastAsia="Calibri" w:hAnsi="Cambria Math"/>
                        <w:i/>
                      </w:rPr>
                    </m:ctrlPr>
                  </m:barPr>
                  <m:e>
                    <m:r>
                      <w:rPr>
                        <w:rFonts w:ascii="Cambria Math" w:eastAsia="Calibri" w:hAnsi="Cambria Math"/>
                      </w:rPr>
                      <m:t>X</m:t>
                    </m:r>
                  </m:e>
                </m:bar>
              </m:oMath>
            </m:oMathPara>
          </w:p>
        </w:tc>
        <w:tc>
          <w:tcPr>
            <w:tcW w:w="952" w:type="dxa"/>
            <w:tcBorders>
              <w:top w:val="single" w:sz="4" w:space="0" w:color="auto"/>
              <w:left w:val="nil"/>
              <w:bottom w:val="single" w:sz="4" w:space="0" w:color="auto"/>
              <w:right w:val="nil"/>
            </w:tcBorders>
            <w:shd w:val="clear" w:color="auto" w:fill="auto"/>
            <w:vAlign w:val="center"/>
          </w:tcPr>
          <w:p w14:paraId="538ADDCC" w14:textId="77777777" w:rsidR="00B470AD" w:rsidRPr="00E8377D" w:rsidRDefault="00B470AD" w:rsidP="007513A1">
            <w:r w:rsidRPr="00E8377D">
              <w:rPr>
                <w:rFonts w:eastAsia="Calibri"/>
              </w:rPr>
              <w:t xml:space="preserve">  SS</w:t>
            </w:r>
          </w:p>
        </w:tc>
        <w:tc>
          <w:tcPr>
            <w:tcW w:w="951" w:type="dxa"/>
            <w:tcBorders>
              <w:top w:val="single" w:sz="4" w:space="0" w:color="auto"/>
              <w:left w:val="nil"/>
              <w:bottom w:val="single" w:sz="4" w:space="0" w:color="auto"/>
              <w:right w:val="nil"/>
            </w:tcBorders>
            <w:vAlign w:val="center"/>
          </w:tcPr>
          <w:p w14:paraId="116BCB5B" w14:textId="77777777" w:rsidR="00B470AD" w:rsidRPr="00E8377D" w:rsidRDefault="00B470AD" w:rsidP="007513A1">
            <w:pPr>
              <w:ind w:left="-250" w:firstLine="250"/>
            </w:pPr>
            <w:r w:rsidRPr="00E8377D">
              <w:t xml:space="preserve"> </w:t>
            </w:r>
            <w:proofErr w:type="spellStart"/>
            <w:r w:rsidRPr="00E8377D">
              <w:t>Shx</w:t>
            </w:r>
            <w:proofErr w:type="spellEnd"/>
          </w:p>
        </w:tc>
        <w:tc>
          <w:tcPr>
            <w:tcW w:w="951" w:type="dxa"/>
            <w:tcBorders>
              <w:top w:val="single" w:sz="4" w:space="0" w:color="auto"/>
              <w:left w:val="nil"/>
              <w:bottom w:val="single" w:sz="4" w:space="0" w:color="auto"/>
              <w:right w:val="nil"/>
            </w:tcBorders>
            <w:shd w:val="clear" w:color="auto" w:fill="auto"/>
            <w:vAlign w:val="center"/>
          </w:tcPr>
          <w:p w14:paraId="6F651947" w14:textId="77777777" w:rsidR="00B470AD" w:rsidRPr="00E8377D" w:rsidRDefault="00B470AD" w:rsidP="007513A1">
            <w:proofErr w:type="spellStart"/>
            <w:r w:rsidRPr="00E8377D">
              <w:t>Ma</w:t>
            </w:r>
            <w:r>
              <w:t>x</w:t>
            </w:r>
            <w:proofErr w:type="spellEnd"/>
            <w:r>
              <w:t>.</w:t>
            </w:r>
          </w:p>
        </w:tc>
        <w:tc>
          <w:tcPr>
            <w:tcW w:w="709" w:type="dxa"/>
            <w:tcBorders>
              <w:top w:val="single" w:sz="4" w:space="0" w:color="auto"/>
              <w:left w:val="nil"/>
              <w:bottom w:val="single" w:sz="4" w:space="0" w:color="auto"/>
              <w:right w:val="nil"/>
            </w:tcBorders>
            <w:shd w:val="clear" w:color="auto" w:fill="auto"/>
            <w:vAlign w:val="center"/>
          </w:tcPr>
          <w:p w14:paraId="1487B3FA" w14:textId="77777777" w:rsidR="00B470AD" w:rsidRPr="00E8377D" w:rsidRDefault="00B470AD" w:rsidP="007513A1">
            <w:r w:rsidRPr="00E8377D">
              <w:rPr>
                <w:rFonts w:eastAsia="Calibri"/>
              </w:rPr>
              <w:t>Min.</w:t>
            </w:r>
          </w:p>
        </w:tc>
      </w:tr>
      <w:tr w:rsidR="00B470AD" w:rsidRPr="00E8377D" w14:paraId="60E98D55" w14:textId="77777777" w:rsidTr="0027292C">
        <w:trPr>
          <w:trHeight w:val="320"/>
        </w:trPr>
        <w:tc>
          <w:tcPr>
            <w:tcW w:w="3861" w:type="dxa"/>
            <w:tcBorders>
              <w:top w:val="single" w:sz="4" w:space="0" w:color="auto"/>
              <w:left w:val="nil"/>
              <w:right w:val="nil"/>
            </w:tcBorders>
            <w:shd w:val="clear" w:color="auto" w:fill="auto"/>
            <w:vAlign w:val="bottom"/>
          </w:tcPr>
          <w:p w14:paraId="4CCC596A" w14:textId="77777777" w:rsidR="00B470AD" w:rsidRPr="00E8377D" w:rsidRDefault="00B470AD" w:rsidP="007513A1">
            <w:pPr>
              <w:jc w:val="both"/>
              <w:rPr>
                <w:color w:val="000000"/>
              </w:rPr>
            </w:pPr>
            <w:r w:rsidRPr="00E8377D">
              <w:rPr>
                <w:color w:val="000000"/>
              </w:rPr>
              <w:t>Bilişsel Abartma Tarzı</w:t>
            </w:r>
          </w:p>
        </w:tc>
        <w:tc>
          <w:tcPr>
            <w:tcW w:w="709" w:type="dxa"/>
            <w:tcBorders>
              <w:top w:val="single" w:sz="4" w:space="0" w:color="auto"/>
              <w:left w:val="nil"/>
              <w:bottom w:val="nil"/>
              <w:right w:val="nil"/>
            </w:tcBorders>
            <w:vAlign w:val="center"/>
          </w:tcPr>
          <w:p w14:paraId="568F12FF" w14:textId="77777777" w:rsidR="00B470AD" w:rsidRPr="00E8377D" w:rsidRDefault="00B470AD" w:rsidP="007513A1">
            <w:pPr>
              <w:rPr>
                <w:rFonts w:eastAsia="Calibri"/>
              </w:rPr>
            </w:pPr>
            <w:r w:rsidRPr="00E8377D">
              <w:rPr>
                <w:rFonts w:eastAsia="Calibri"/>
              </w:rPr>
              <w:t>393</w:t>
            </w:r>
          </w:p>
        </w:tc>
        <w:tc>
          <w:tcPr>
            <w:tcW w:w="993" w:type="dxa"/>
            <w:tcBorders>
              <w:top w:val="single" w:sz="4" w:space="0" w:color="auto"/>
              <w:left w:val="nil"/>
              <w:bottom w:val="nil"/>
              <w:right w:val="nil"/>
            </w:tcBorders>
            <w:shd w:val="clear" w:color="auto" w:fill="auto"/>
            <w:vAlign w:val="center"/>
          </w:tcPr>
          <w:p w14:paraId="49D89229" w14:textId="77777777" w:rsidR="00B470AD" w:rsidRPr="00E8377D" w:rsidRDefault="00B470AD" w:rsidP="007513A1">
            <w:pPr>
              <w:jc w:val="center"/>
              <w:rPr>
                <w:rFonts w:eastAsia="Calibri"/>
              </w:rPr>
            </w:pPr>
            <w:r w:rsidRPr="00E8377D">
              <w:rPr>
                <w:rFonts w:eastAsia="Calibri"/>
              </w:rPr>
              <w:t>72.</w:t>
            </w:r>
            <w:r>
              <w:rPr>
                <w:rFonts w:eastAsia="Calibri"/>
              </w:rPr>
              <w:t>05</w:t>
            </w:r>
          </w:p>
        </w:tc>
        <w:tc>
          <w:tcPr>
            <w:tcW w:w="952" w:type="dxa"/>
            <w:tcBorders>
              <w:top w:val="single" w:sz="4" w:space="0" w:color="auto"/>
              <w:left w:val="nil"/>
              <w:bottom w:val="nil"/>
              <w:right w:val="nil"/>
            </w:tcBorders>
            <w:shd w:val="clear" w:color="auto" w:fill="auto"/>
            <w:vAlign w:val="center"/>
          </w:tcPr>
          <w:p w14:paraId="146BFA5A" w14:textId="77777777" w:rsidR="00B470AD" w:rsidRPr="00E8377D" w:rsidRDefault="00B470AD" w:rsidP="007513A1">
            <w:pPr>
              <w:ind w:left="600" w:hanging="600"/>
              <w:jc w:val="center"/>
              <w:rPr>
                <w:rFonts w:eastAsia="Calibri"/>
              </w:rPr>
            </w:pPr>
            <w:r w:rsidRPr="00E8377D">
              <w:rPr>
                <w:rFonts w:eastAsia="Calibri"/>
              </w:rPr>
              <w:t>22.</w:t>
            </w:r>
            <w:r>
              <w:rPr>
                <w:rFonts w:eastAsia="Calibri"/>
              </w:rPr>
              <w:t>27</w:t>
            </w:r>
          </w:p>
        </w:tc>
        <w:tc>
          <w:tcPr>
            <w:tcW w:w="951" w:type="dxa"/>
            <w:tcBorders>
              <w:top w:val="single" w:sz="4" w:space="0" w:color="auto"/>
              <w:left w:val="nil"/>
              <w:bottom w:val="nil"/>
              <w:right w:val="nil"/>
            </w:tcBorders>
            <w:vAlign w:val="center"/>
          </w:tcPr>
          <w:p w14:paraId="0D6FFECD" w14:textId="77777777" w:rsidR="00B470AD" w:rsidRPr="00E8377D" w:rsidRDefault="00B470AD" w:rsidP="007513A1">
            <w:pPr>
              <w:ind w:left="-250" w:firstLine="250"/>
              <w:jc w:val="center"/>
            </w:pPr>
            <w:r w:rsidRPr="00E8377D">
              <w:t>1.1</w:t>
            </w:r>
            <w:r>
              <w:t>4</w:t>
            </w:r>
          </w:p>
        </w:tc>
        <w:tc>
          <w:tcPr>
            <w:tcW w:w="951" w:type="dxa"/>
            <w:tcBorders>
              <w:top w:val="single" w:sz="4" w:space="0" w:color="auto"/>
              <w:left w:val="nil"/>
              <w:bottom w:val="nil"/>
              <w:right w:val="nil"/>
            </w:tcBorders>
            <w:shd w:val="clear" w:color="auto" w:fill="auto"/>
            <w:vAlign w:val="center"/>
          </w:tcPr>
          <w:p w14:paraId="1C8EC97A" w14:textId="77777777" w:rsidR="00B470AD" w:rsidRPr="00E8377D" w:rsidRDefault="00B470AD" w:rsidP="007513A1">
            <w:pPr>
              <w:jc w:val="center"/>
            </w:pPr>
            <w:r w:rsidRPr="00E8377D">
              <w:t>120</w:t>
            </w:r>
          </w:p>
        </w:tc>
        <w:tc>
          <w:tcPr>
            <w:tcW w:w="709" w:type="dxa"/>
            <w:tcBorders>
              <w:top w:val="single" w:sz="4" w:space="0" w:color="auto"/>
              <w:left w:val="nil"/>
              <w:bottom w:val="nil"/>
              <w:right w:val="nil"/>
            </w:tcBorders>
            <w:shd w:val="clear" w:color="auto" w:fill="auto"/>
            <w:vAlign w:val="center"/>
          </w:tcPr>
          <w:p w14:paraId="2CD42058" w14:textId="77777777" w:rsidR="00B470AD" w:rsidRPr="00E8377D" w:rsidRDefault="00B470AD" w:rsidP="007513A1">
            <w:pPr>
              <w:jc w:val="center"/>
            </w:pPr>
            <w:r w:rsidRPr="00E8377D">
              <w:t>24</w:t>
            </w:r>
          </w:p>
        </w:tc>
      </w:tr>
      <w:tr w:rsidR="00B470AD" w:rsidRPr="00E8377D" w14:paraId="475E36B5" w14:textId="77777777" w:rsidTr="0027292C">
        <w:trPr>
          <w:trHeight w:val="320"/>
        </w:trPr>
        <w:tc>
          <w:tcPr>
            <w:tcW w:w="3861" w:type="dxa"/>
            <w:tcBorders>
              <w:top w:val="single" w:sz="4" w:space="0" w:color="auto"/>
              <w:left w:val="nil"/>
              <w:bottom w:val="single" w:sz="4" w:space="0" w:color="auto"/>
              <w:right w:val="nil"/>
            </w:tcBorders>
            <w:shd w:val="clear" w:color="auto" w:fill="auto"/>
            <w:vAlign w:val="bottom"/>
          </w:tcPr>
          <w:p w14:paraId="7ADFED03" w14:textId="77777777" w:rsidR="00B470AD" w:rsidRPr="00E8377D" w:rsidRDefault="00B470AD" w:rsidP="007513A1">
            <w:pPr>
              <w:jc w:val="both"/>
              <w:rPr>
                <w:color w:val="000000"/>
              </w:rPr>
            </w:pPr>
            <w:r w:rsidRPr="00E8377D">
              <w:rPr>
                <w:color w:val="000000"/>
              </w:rPr>
              <w:t>Meta</w:t>
            </w:r>
            <w:r>
              <w:rPr>
                <w:color w:val="000000"/>
              </w:rPr>
              <w:t>-</w:t>
            </w:r>
            <w:r w:rsidRPr="00E8377D">
              <w:rPr>
                <w:color w:val="000000"/>
              </w:rPr>
              <w:t>Endişe-İnanç</w:t>
            </w:r>
          </w:p>
        </w:tc>
        <w:tc>
          <w:tcPr>
            <w:tcW w:w="709" w:type="dxa"/>
            <w:tcBorders>
              <w:top w:val="single" w:sz="4" w:space="0" w:color="auto"/>
              <w:left w:val="nil"/>
              <w:bottom w:val="single" w:sz="4" w:space="0" w:color="auto"/>
              <w:right w:val="nil"/>
            </w:tcBorders>
          </w:tcPr>
          <w:p w14:paraId="7B9484F2" w14:textId="77777777" w:rsidR="00B470AD" w:rsidRPr="00E8377D" w:rsidRDefault="00B470AD" w:rsidP="007513A1">
            <w:pPr>
              <w:jc w:val="both"/>
              <w:rPr>
                <w:rFonts w:eastAsia="Calibri"/>
                <w:color w:val="000000"/>
              </w:rPr>
            </w:pPr>
            <w:r w:rsidRPr="00E8377D">
              <w:rPr>
                <w:rFonts w:eastAsia="Calibri"/>
                <w:color w:val="000000"/>
              </w:rPr>
              <w:t>393</w:t>
            </w:r>
          </w:p>
        </w:tc>
        <w:tc>
          <w:tcPr>
            <w:tcW w:w="993" w:type="dxa"/>
            <w:tcBorders>
              <w:top w:val="single" w:sz="4" w:space="0" w:color="auto"/>
              <w:left w:val="nil"/>
              <w:bottom w:val="single" w:sz="4" w:space="0" w:color="auto"/>
              <w:right w:val="nil"/>
            </w:tcBorders>
            <w:shd w:val="clear" w:color="auto" w:fill="auto"/>
            <w:vAlign w:val="center"/>
          </w:tcPr>
          <w:p w14:paraId="0BBD37AC" w14:textId="77777777" w:rsidR="00B470AD" w:rsidRPr="00E8377D" w:rsidRDefault="00B470AD" w:rsidP="007513A1">
            <w:pPr>
              <w:jc w:val="center"/>
              <w:rPr>
                <w:rFonts w:eastAsia="Calibri"/>
              </w:rPr>
            </w:pPr>
            <w:r w:rsidRPr="00E8377D">
              <w:rPr>
                <w:rFonts w:eastAsia="Calibri"/>
              </w:rPr>
              <w:t>2</w:t>
            </w:r>
            <w:r>
              <w:rPr>
                <w:rFonts w:eastAsia="Calibri"/>
              </w:rPr>
              <w:t>3</w:t>
            </w:r>
            <w:r w:rsidRPr="00E8377D">
              <w:rPr>
                <w:rFonts w:eastAsia="Calibri"/>
              </w:rPr>
              <w:t>.</w:t>
            </w:r>
            <w:r>
              <w:rPr>
                <w:rFonts w:eastAsia="Calibri"/>
              </w:rPr>
              <w:t>79</w:t>
            </w:r>
          </w:p>
        </w:tc>
        <w:tc>
          <w:tcPr>
            <w:tcW w:w="952" w:type="dxa"/>
            <w:tcBorders>
              <w:top w:val="single" w:sz="4" w:space="0" w:color="auto"/>
              <w:left w:val="nil"/>
              <w:bottom w:val="single" w:sz="4" w:space="0" w:color="auto"/>
              <w:right w:val="nil"/>
            </w:tcBorders>
            <w:shd w:val="clear" w:color="auto" w:fill="auto"/>
            <w:vAlign w:val="center"/>
          </w:tcPr>
          <w:p w14:paraId="750D696B" w14:textId="77777777" w:rsidR="00B470AD" w:rsidRPr="00E8377D" w:rsidRDefault="00B470AD" w:rsidP="007513A1">
            <w:pPr>
              <w:jc w:val="center"/>
              <w:rPr>
                <w:rFonts w:eastAsia="Calibri"/>
              </w:rPr>
            </w:pPr>
            <w:r w:rsidRPr="00E8377D">
              <w:rPr>
                <w:rFonts w:eastAsia="Calibri"/>
              </w:rPr>
              <w:t>18.6</w:t>
            </w:r>
            <w:r>
              <w:rPr>
                <w:rFonts w:eastAsia="Calibri"/>
              </w:rPr>
              <w:t>2</w:t>
            </w:r>
          </w:p>
        </w:tc>
        <w:tc>
          <w:tcPr>
            <w:tcW w:w="951" w:type="dxa"/>
            <w:tcBorders>
              <w:top w:val="single" w:sz="4" w:space="0" w:color="auto"/>
              <w:left w:val="nil"/>
              <w:bottom w:val="single" w:sz="4" w:space="0" w:color="auto"/>
              <w:right w:val="nil"/>
            </w:tcBorders>
            <w:vAlign w:val="center"/>
          </w:tcPr>
          <w:p w14:paraId="1E9226F5" w14:textId="77777777" w:rsidR="00B470AD" w:rsidRPr="00E8377D" w:rsidRDefault="00B470AD" w:rsidP="007513A1">
            <w:pPr>
              <w:ind w:left="-250" w:firstLine="250"/>
              <w:jc w:val="center"/>
            </w:pPr>
            <w:r w:rsidRPr="00E8377D">
              <w:t>.9</w:t>
            </w:r>
            <w:r>
              <w:t>5</w:t>
            </w:r>
          </w:p>
        </w:tc>
        <w:tc>
          <w:tcPr>
            <w:tcW w:w="951" w:type="dxa"/>
            <w:tcBorders>
              <w:top w:val="single" w:sz="4" w:space="0" w:color="auto"/>
              <w:left w:val="nil"/>
              <w:bottom w:val="single" w:sz="4" w:space="0" w:color="auto"/>
              <w:right w:val="nil"/>
            </w:tcBorders>
            <w:shd w:val="clear" w:color="auto" w:fill="auto"/>
            <w:vAlign w:val="center"/>
          </w:tcPr>
          <w:p w14:paraId="67ED4CDC" w14:textId="77777777" w:rsidR="00B470AD" w:rsidRPr="00E8377D" w:rsidRDefault="00B470AD" w:rsidP="007513A1">
            <w:pPr>
              <w:jc w:val="center"/>
            </w:pPr>
            <w:r w:rsidRPr="00E8377D">
              <w:t>70</w:t>
            </w:r>
          </w:p>
        </w:tc>
        <w:tc>
          <w:tcPr>
            <w:tcW w:w="709" w:type="dxa"/>
            <w:tcBorders>
              <w:top w:val="single" w:sz="4" w:space="0" w:color="auto"/>
              <w:left w:val="nil"/>
              <w:bottom w:val="single" w:sz="4" w:space="0" w:color="auto"/>
              <w:right w:val="nil"/>
            </w:tcBorders>
            <w:shd w:val="clear" w:color="auto" w:fill="auto"/>
            <w:vAlign w:val="center"/>
          </w:tcPr>
          <w:p w14:paraId="15AA752F" w14:textId="77777777" w:rsidR="00B470AD" w:rsidRPr="00E8377D" w:rsidRDefault="00B470AD" w:rsidP="007513A1">
            <w:pPr>
              <w:jc w:val="center"/>
            </w:pPr>
            <w:r w:rsidRPr="00E8377D">
              <w:t>0</w:t>
            </w:r>
          </w:p>
        </w:tc>
      </w:tr>
      <w:tr w:rsidR="00B470AD" w:rsidRPr="00E8377D" w14:paraId="4622C7F5" w14:textId="77777777" w:rsidTr="0027292C">
        <w:trPr>
          <w:trHeight w:val="320"/>
        </w:trPr>
        <w:tc>
          <w:tcPr>
            <w:tcW w:w="3861" w:type="dxa"/>
            <w:tcBorders>
              <w:top w:val="single" w:sz="4" w:space="0" w:color="auto"/>
              <w:left w:val="nil"/>
              <w:bottom w:val="single" w:sz="4" w:space="0" w:color="auto"/>
              <w:right w:val="nil"/>
            </w:tcBorders>
            <w:shd w:val="clear" w:color="auto" w:fill="auto"/>
            <w:vAlign w:val="bottom"/>
          </w:tcPr>
          <w:p w14:paraId="0465A529" w14:textId="77777777" w:rsidR="00B470AD" w:rsidRPr="00E8377D" w:rsidRDefault="00B470AD" w:rsidP="007513A1">
            <w:pPr>
              <w:jc w:val="both"/>
              <w:rPr>
                <w:color w:val="000000"/>
              </w:rPr>
            </w:pPr>
            <w:r>
              <w:rPr>
                <w:color w:val="000000"/>
              </w:rPr>
              <w:t>Meta-Endişe-Sıklık</w:t>
            </w:r>
          </w:p>
        </w:tc>
        <w:tc>
          <w:tcPr>
            <w:tcW w:w="709" w:type="dxa"/>
            <w:tcBorders>
              <w:top w:val="single" w:sz="4" w:space="0" w:color="auto"/>
              <w:left w:val="nil"/>
              <w:bottom w:val="single" w:sz="4" w:space="0" w:color="auto"/>
              <w:right w:val="nil"/>
            </w:tcBorders>
          </w:tcPr>
          <w:p w14:paraId="4A7DBC7B" w14:textId="77777777" w:rsidR="00B470AD" w:rsidRPr="00E8377D" w:rsidRDefault="00B470AD" w:rsidP="007513A1">
            <w:pPr>
              <w:jc w:val="both"/>
              <w:rPr>
                <w:rFonts w:eastAsia="Calibri"/>
                <w:color w:val="000000"/>
              </w:rPr>
            </w:pPr>
            <w:r>
              <w:rPr>
                <w:rFonts w:eastAsia="Calibri"/>
                <w:color w:val="000000"/>
              </w:rPr>
              <w:t>393</w:t>
            </w:r>
          </w:p>
        </w:tc>
        <w:tc>
          <w:tcPr>
            <w:tcW w:w="993" w:type="dxa"/>
            <w:tcBorders>
              <w:top w:val="single" w:sz="4" w:space="0" w:color="auto"/>
              <w:left w:val="nil"/>
              <w:bottom w:val="single" w:sz="4" w:space="0" w:color="auto"/>
              <w:right w:val="nil"/>
            </w:tcBorders>
            <w:shd w:val="clear" w:color="auto" w:fill="auto"/>
            <w:vAlign w:val="center"/>
          </w:tcPr>
          <w:p w14:paraId="54B4A96D" w14:textId="77777777" w:rsidR="00B470AD" w:rsidRPr="00E8377D" w:rsidRDefault="00B470AD" w:rsidP="007513A1">
            <w:pPr>
              <w:jc w:val="center"/>
              <w:rPr>
                <w:rFonts w:eastAsia="Calibri"/>
              </w:rPr>
            </w:pPr>
            <w:r>
              <w:rPr>
                <w:rFonts w:eastAsia="Calibri"/>
              </w:rPr>
              <w:t>12.84</w:t>
            </w:r>
          </w:p>
        </w:tc>
        <w:tc>
          <w:tcPr>
            <w:tcW w:w="952" w:type="dxa"/>
            <w:tcBorders>
              <w:top w:val="single" w:sz="4" w:space="0" w:color="auto"/>
              <w:left w:val="nil"/>
              <w:bottom w:val="single" w:sz="4" w:space="0" w:color="auto"/>
              <w:right w:val="nil"/>
            </w:tcBorders>
            <w:shd w:val="clear" w:color="auto" w:fill="auto"/>
            <w:vAlign w:val="center"/>
          </w:tcPr>
          <w:p w14:paraId="31D4A645" w14:textId="77777777" w:rsidR="00B470AD" w:rsidRPr="00E8377D" w:rsidRDefault="00B470AD" w:rsidP="007513A1">
            <w:pPr>
              <w:jc w:val="center"/>
              <w:rPr>
                <w:rFonts w:eastAsia="Calibri"/>
              </w:rPr>
            </w:pPr>
            <w:r>
              <w:rPr>
                <w:rFonts w:eastAsia="Calibri"/>
              </w:rPr>
              <w:t>5.30</w:t>
            </w:r>
          </w:p>
        </w:tc>
        <w:tc>
          <w:tcPr>
            <w:tcW w:w="951" w:type="dxa"/>
            <w:tcBorders>
              <w:top w:val="single" w:sz="4" w:space="0" w:color="auto"/>
              <w:left w:val="nil"/>
              <w:bottom w:val="single" w:sz="4" w:space="0" w:color="auto"/>
              <w:right w:val="nil"/>
            </w:tcBorders>
            <w:vAlign w:val="center"/>
          </w:tcPr>
          <w:p w14:paraId="45FB7F94" w14:textId="77777777" w:rsidR="00B470AD" w:rsidRPr="00E8377D" w:rsidRDefault="00B470AD" w:rsidP="007513A1">
            <w:pPr>
              <w:ind w:left="-250" w:firstLine="250"/>
              <w:jc w:val="center"/>
            </w:pPr>
            <w:r>
              <w:t>.27</w:t>
            </w:r>
          </w:p>
        </w:tc>
        <w:tc>
          <w:tcPr>
            <w:tcW w:w="951" w:type="dxa"/>
            <w:tcBorders>
              <w:top w:val="single" w:sz="4" w:space="0" w:color="auto"/>
              <w:left w:val="nil"/>
              <w:bottom w:val="single" w:sz="4" w:space="0" w:color="auto"/>
              <w:right w:val="nil"/>
            </w:tcBorders>
            <w:shd w:val="clear" w:color="auto" w:fill="auto"/>
            <w:vAlign w:val="center"/>
          </w:tcPr>
          <w:p w14:paraId="5C5A3ACA" w14:textId="77777777" w:rsidR="00B470AD" w:rsidRPr="00E8377D" w:rsidRDefault="00B470AD" w:rsidP="007513A1">
            <w:pPr>
              <w:jc w:val="center"/>
            </w:pPr>
            <w:r>
              <w:t>28</w:t>
            </w:r>
          </w:p>
        </w:tc>
        <w:tc>
          <w:tcPr>
            <w:tcW w:w="709" w:type="dxa"/>
            <w:tcBorders>
              <w:top w:val="single" w:sz="4" w:space="0" w:color="auto"/>
              <w:left w:val="nil"/>
              <w:bottom w:val="single" w:sz="4" w:space="0" w:color="auto"/>
              <w:right w:val="nil"/>
            </w:tcBorders>
            <w:shd w:val="clear" w:color="auto" w:fill="auto"/>
            <w:vAlign w:val="center"/>
          </w:tcPr>
          <w:p w14:paraId="0C8E320D" w14:textId="77777777" w:rsidR="00B470AD" w:rsidRPr="00E8377D" w:rsidRDefault="00B470AD" w:rsidP="007513A1">
            <w:pPr>
              <w:jc w:val="center"/>
            </w:pPr>
            <w:r>
              <w:t>7</w:t>
            </w:r>
          </w:p>
        </w:tc>
      </w:tr>
      <w:tr w:rsidR="00B470AD" w:rsidRPr="00E8377D" w14:paraId="71FDB8D4" w14:textId="77777777" w:rsidTr="0027292C">
        <w:trPr>
          <w:trHeight w:val="320"/>
        </w:trPr>
        <w:tc>
          <w:tcPr>
            <w:tcW w:w="3861" w:type="dxa"/>
            <w:tcBorders>
              <w:top w:val="single" w:sz="4" w:space="0" w:color="auto"/>
              <w:left w:val="nil"/>
              <w:bottom w:val="single" w:sz="4" w:space="0" w:color="auto"/>
              <w:right w:val="nil"/>
            </w:tcBorders>
            <w:shd w:val="clear" w:color="auto" w:fill="auto"/>
            <w:vAlign w:val="bottom"/>
          </w:tcPr>
          <w:p w14:paraId="3F5DD46D" w14:textId="77777777" w:rsidR="00B470AD" w:rsidRPr="00E8377D" w:rsidRDefault="00B470AD" w:rsidP="007513A1">
            <w:pPr>
              <w:jc w:val="both"/>
              <w:rPr>
                <w:color w:val="000000"/>
              </w:rPr>
            </w:pPr>
            <w:r w:rsidRPr="00E8377D">
              <w:rPr>
                <w:color w:val="000000"/>
              </w:rPr>
              <w:t xml:space="preserve">Penn </w:t>
            </w:r>
            <w:proofErr w:type="spellStart"/>
            <w:r w:rsidRPr="00E8377D">
              <w:rPr>
                <w:color w:val="000000"/>
              </w:rPr>
              <w:t>State</w:t>
            </w:r>
            <w:proofErr w:type="spellEnd"/>
            <w:r w:rsidRPr="00E8377D">
              <w:rPr>
                <w:color w:val="000000"/>
              </w:rPr>
              <w:t xml:space="preserve"> Endişe</w:t>
            </w:r>
          </w:p>
        </w:tc>
        <w:tc>
          <w:tcPr>
            <w:tcW w:w="709" w:type="dxa"/>
            <w:tcBorders>
              <w:top w:val="single" w:sz="4" w:space="0" w:color="auto"/>
              <w:left w:val="nil"/>
              <w:bottom w:val="single" w:sz="4" w:space="0" w:color="auto"/>
              <w:right w:val="nil"/>
            </w:tcBorders>
          </w:tcPr>
          <w:p w14:paraId="0DAB2BF2" w14:textId="77777777" w:rsidR="00B470AD" w:rsidRPr="00E8377D" w:rsidRDefault="00B470AD" w:rsidP="007513A1">
            <w:pPr>
              <w:jc w:val="both"/>
              <w:rPr>
                <w:rFonts w:eastAsia="Calibri"/>
                <w:color w:val="000000"/>
              </w:rPr>
            </w:pPr>
            <w:r w:rsidRPr="00E8377D">
              <w:rPr>
                <w:rFonts w:eastAsia="Calibri"/>
                <w:color w:val="000000"/>
              </w:rPr>
              <w:t>393</w:t>
            </w:r>
          </w:p>
        </w:tc>
        <w:tc>
          <w:tcPr>
            <w:tcW w:w="993" w:type="dxa"/>
            <w:tcBorders>
              <w:top w:val="single" w:sz="4" w:space="0" w:color="auto"/>
              <w:left w:val="nil"/>
              <w:bottom w:val="single" w:sz="4" w:space="0" w:color="auto"/>
              <w:right w:val="nil"/>
            </w:tcBorders>
            <w:shd w:val="clear" w:color="auto" w:fill="auto"/>
            <w:vAlign w:val="center"/>
          </w:tcPr>
          <w:p w14:paraId="7AC1AE4A" w14:textId="77777777" w:rsidR="00B470AD" w:rsidRPr="00E8377D" w:rsidRDefault="00B470AD" w:rsidP="007513A1">
            <w:pPr>
              <w:jc w:val="center"/>
              <w:rPr>
                <w:rFonts w:eastAsia="Calibri"/>
              </w:rPr>
            </w:pPr>
            <w:r w:rsidRPr="00E8377D">
              <w:rPr>
                <w:rFonts w:eastAsia="Calibri"/>
              </w:rPr>
              <w:t>4</w:t>
            </w:r>
            <w:r>
              <w:rPr>
                <w:rFonts w:eastAsia="Calibri"/>
              </w:rPr>
              <w:t>8</w:t>
            </w:r>
            <w:r w:rsidRPr="00E8377D">
              <w:rPr>
                <w:rFonts w:eastAsia="Calibri"/>
              </w:rPr>
              <w:t>.</w:t>
            </w:r>
            <w:r>
              <w:rPr>
                <w:rFonts w:eastAsia="Calibri"/>
              </w:rPr>
              <w:t>99</w:t>
            </w:r>
          </w:p>
        </w:tc>
        <w:tc>
          <w:tcPr>
            <w:tcW w:w="952" w:type="dxa"/>
            <w:tcBorders>
              <w:top w:val="single" w:sz="4" w:space="0" w:color="auto"/>
              <w:left w:val="nil"/>
              <w:bottom w:val="single" w:sz="4" w:space="0" w:color="auto"/>
              <w:right w:val="nil"/>
            </w:tcBorders>
            <w:shd w:val="clear" w:color="auto" w:fill="auto"/>
            <w:vAlign w:val="center"/>
          </w:tcPr>
          <w:p w14:paraId="734842BE" w14:textId="77777777" w:rsidR="00B470AD" w:rsidRPr="00E8377D" w:rsidRDefault="00B470AD" w:rsidP="007513A1">
            <w:pPr>
              <w:jc w:val="center"/>
              <w:rPr>
                <w:rFonts w:eastAsia="Calibri"/>
              </w:rPr>
            </w:pPr>
            <w:r w:rsidRPr="00E8377D">
              <w:rPr>
                <w:rFonts w:eastAsia="Calibri"/>
              </w:rPr>
              <w:t>14.3</w:t>
            </w:r>
            <w:r>
              <w:rPr>
                <w:rFonts w:eastAsia="Calibri"/>
              </w:rPr>
              <w:t>9</w:t>
            </w:r>
          </w:p>
        </w:tc>
        <w:tc>
          <w:tcPr>
            <w:tcW w:w="951" w:type="dxa"/>
            <w:tcBorders>
              <w:top w:val="single" w:sz="4" w:space="0" w:color="auto"/>
              <w:left w:val="nil"/>
              <w:bottom w:val="single" w:sz="4" w:space="0" w:color="auto"/>
              <w:right w:val="nil"/>
            </w:tcBorders>
            <w:vAlign w:val="center"/>
          </w:tcPr>
          <w:p w14:paraId="36356896" w14:textId="77777777" w:rsidR="00B470AD" w:rsidRPr="00E8377D" w:rsidRDefault="00B470AD" w:rsidP="007513A1">
            <w:pPr>
              <w:ind w:left="-250" w:firstLine="250"/>
              <w:jc w:val="center"/>
            </w:pPr>
            <w:r w:rsidRPr="00E8377D">
              <w:t>.7</w:t>
            </w:r>
            <w:r>
              <w:t>3</w:t>
            </w:r>
          </w:p>
        </w:tc>
        <w:tc>
          <w:tcPr>
            <w:tcW w:w="951" w:type="dxa"/>
            <w:tcBorders>
              <w:top w:val="single" w:sz="4" w:space="0" w:color="auto"/>
              <w:left w:val="nil"/>
              <w:bottom w:val="single" w:sz="4" w:space="0" w:color="auto"/>
              <w:right w:val="nil"/>
            </w:tcBorders>
            <w:shd w:val="clear" w:color="auto" w:fill="auto"/>
            <w:vAlign w:val="center"/>
          </w:tcPr>
          <w:p w14:paraId="39FA1C2F" w14:textId="77777777" w:rsidR="00B470AD" w:rsidRPr="00E8377D" w:rsidRDefault="00B470AD" w:rsidP="007513A1">
            <w:pPr>
              <w:jc w:val="center"/>
            </w:pPr>
            <w:r w:rsidRPr="00E8377D">
              <w:t>80</w:t>
            </w:r>
          </w:p>
        </w:tc>
        <w:tc>
          <w:tcPr>
            <w:tcW w:w="709" w:type="dxa"/>
            <w:tcBorders>
              <w:top w:val="single" w:sz="4" w:space="0" w:color="auto"/>
              <w:left w:val="nil"/>
              <w:bottom w:val="single" w:sz="4" w:space="0" w:color="auto"/>
              <w:right w:val="nil"/>
            </w:tcBorders>
            <w:shd w:val="clear" w:color="auto" w:fill="auto"/>
            <w:vAlign w:val="center"/>
          </w:tcPr>
          <w:p w14:paraId="4B17FACF" w14:textId="77777777" w:rsidR="00B470AD" w:rsidRPr="00E8377D" w:rsidRDefault="00B470AD" w:rsidP="007513A1">
            <w:pPr>
              <w:jc w:val="center"/>
            </w:pPr>
            <w:r w:rsidRPr="00E8377D">
              <w:t>16</w:t>
            </w:r>
          </w:p>
        </w:tc>
      </w:tr>
    </w:tbl>
    <w:p w14:paraId="2DA890DB" w14:textId="77777777" w:rsidR="00B470AD" w:rsidRDefault="00B470AD" w:rsidP="007513A1">
      <w:pPr>
        <w:jc w:val="both"/>
        <w:rPr>
          <w:rFonts w:eastAsia="Calibri"/>
          <w:color w:val="000000"/>
        </w:rPr>
      </w:pPr>
    </w:p>
    <w:p w14:paraId="36C9F45B" w14:textId="77777777" w:rsidR="00B470AD" w:rsidRDefault="00B470AD" w:rsidP="007513A1">
      <w:pPr>
        <w:jc w:val="both"/>
        <w:rPr>
          <w:rFonts w:eastAsia="Calibri"/>
          <w:color w:val="000000"/>
        </w:rPr>
      </w:pPr>
      <w:r w:rsidRPr="002C5765">
        <w:rPr>
          <w:rFonts w:eastAsia="Calibri"/>
          <w:color w:val="000000"/>
        </w:rPr>
        <w:t xml:space="preserve">Tablo </w:t>
      </w:r>
      <w:r>
        <w:rPr>
          <w:rFonts w:eastAsia="Calibri"/>
          <w:color w:val="000000"/>
        </w:rPr>
        <w:t>3.2.</w:t>
      </w:r>
      <w:r w:rsidRPr="002C5765">
        <w:rPr>
          <w:rFonts w:eastAsia="Calibri"/>
          <w:color w:val="000000"/>
        </w:rPr>
        <w:t xml:space="preserve">’de görüldüğü gibi Bilişsel Abartma Tarzı </w:t>
      </w:r>
      <w:proofErr w:type="spellStart"/>
      <w:r w:rsidRPr="002C5765">
        <w:rPr>
          <w:rFonts w:eastAsia="Calibri"/>
          <w:color w:val="000000"/>
        </w:rPr>
        <w:t>Ölçeği’nin</w:t>
      </w:r>
      <w:proofErr w:type="spellEnd"/>
      <w:r w:rsidRPr="002C5765">
        <w:rPr>
          <w:rFonts w:eastAsia="Calibri"/>
          <w:color w:val="000000"/>
        </w:rPr>
        <w:t xml:space="preserve"> aritmetik ortalaması 72.</w:t>
      </w:r>
      <w:r>
        <w:rPr>
          <w:rFonts w:eastAsia="Calibri"/>
          <w:color w:val="000000"/>
        </w:rPr>
        <w:t>05</w:t>
      </w:r>
      <w:r w:rsidRPr="002C5765">
        <w:rPr>
          <w:rFonts w:eastAsia="Calibri"/>
          <w:color w:val="000000"/>
        </w:rPr>
        <w:t xml:space="preserve"> (SS=22.</w:t>
      </w:r>
      <w:r>
        <w:rPr>
          <w:rFonts w:eastAsia="Calibri"/>
          <w:color w:val="000000"/>
        </w:rPr>
        <w:t>27</w:t>
      </w:r>
      <w:r w:rsidRPr="002C5765">
        <w:rPr>
          <w:rFonts w:eastAsia="Calibri"/>
          <w:color w:val="000000"/>
        </w:rPr>
        <w:t>)’</w:t>
      </w:r>
      <w:r>
        <w:rPr>
          <w:rFonts w:eastAsia="Calibri"/>
          <w:color w:val="000000"/>
        </w:rPr>
        <w:t>tir</w:t>
      </w:r>
      <w:r w:rsidRPr="002C5765">
        <w:rPr>
          <w:rFonts w:eastAsia="Calibri"/>
          <w:color w:val="000000"/>
        </w:rPr>
        <w:t>. Ölçekten alınan en yüksek puan 120, en düşük puan ise 24’tür.</w:t>
      </w:r>
    </w:p>
    <w:p w14:paraId="656DDBE0" w14:textId="77777777" w:rsidR="007513A1" w:rsidRDefault="007513A1" w:rsidP="007513A1">
      <w:pPr>
        <w:jc w:val="both"/>
        <w:rPr>
          <w:rFonts w:eastAsia="Calibri"/>
          <w:color w:val="000000"/>
        </w:rPr>
      </w:pPr>
    </w:p>
    <w:p w14:paraId="7CB015E1" w14:textId="77777777" w:rsidR="00B470AD" w:rsidRDefault="00B470AD" w:rsidP="007513A1">
      <w:pPr>
        <w:jc w:val="both"/>
        <w:rPr>
          <w:rFonts w:eastAsia="Calibri"/>
          <w:color w:val="000000"/>
        </w:rPr>
      </w:pPr>
      <w:r w:rsidRPr="00E8146D">
        <w:rPr>
          <w:rFonts w:eastAsia="Calibri"/>
          <w:color w:val="000000"/>
        </w:rPr>
        <w:t>Meta endişe ölçeği sıklık alt boyutunun aritmetik ortalaması 12.84 (SS=5.30)’tür. Alt boyuttan alınan en yüksek puan 28, en düşük puan ise 7’dir. İnanç alt boyutunun aritmetik ortalaması 2</w:t>
      </w:r>
      <w:r>
        <w:rPr>
          <w:rFonts w:eastAsia="Calibri"/>
          <w:color w:val="000000"/>
        </w:rPr>
        <w:t>3</w:t>
      </w:r>
      <w:r w:rsidRPr="00E8146D">
        <w:rPr>
          <w:rFonts w:eastAsia="Calibri"/>
          <w:color w:val="000000"/>
        </w:rPr>
        <w:t>.</w:t>
      </w:r>
      <w:r>
        <w:rPr>
          <w:rFonts w:eastAsia="Calibri"/>
          <w:color w:val="000000"/>
        </w:rPr>
        <w:t>79</w:t>
      </w:r>
      <w:r w:rsidRPr="00E8146D">
        <w:rPr>
          <w:rFonts w:eastAsia="Calibri"/>
          <w:color w:val="000000"/>
        </w:rPr>
        <w:t xml:space="preserve"> (SS=18.6</w:t>
      </w:r>
      <w:r>
        <w:rPr>
          <w:rFonts w:eastAsia="Calibri"/>
          <w:color w:val="000000"/>
        </w:rPr>
        <w:t>2</w:t>
      </w:r>
      <w:r w:rsidRPr="00E8146D">
        <w:rPr>
          <w:rFonts w:eastAsia="Calibri"/>
          <w:color w:val="000000"/>
        </w:rPr>
        <w:t>)’d</w:t>
      </w:r>
      <w:r>
        <w:rPr>
          <w:rFonts w:eastAsia="Calibri"/>
          <w:color w:val="000000"/>
        </w:rPr>
        <w:t>u</w:t>
      </w:r>
      <w:r w:rsidRPr="00E8146D">
        <w:rPr>
          <w:rFonts w:eastAsia="Calibri"/>
          <w:color w:val="000000"/>
        </w:rPr>
        <w:t>r. Alt boyuttan alınan en yüksek puan 70, en düşük puan ise 0’dır.</w:t>
      </w:r>
    </w:p>
    <w:p w14:paraId="0513DB81" w14:textId="77777777" w:rsidR="007513A1" w:rsidRPr="00E8146D" w:rsidRDefault="007513A1" w:rsidP="007513A1">
      <w:pPr>
        <w:jc w:val="both"/>
        <w:rPr>
          <w:rFonts w:eastAsia="Calibri"/>
          <w:color w:val="000000"/>
        </w:rPr>
      </w:pPr>
    </w:p>
    <w:p w14:paraId="0A445C3E" w14:textId="77777777" w:rsidR="00B470AD" w:rsidRDefault="00B470AD" w:rsidP="007513A1">
      <w:pPr>
        <w:jc w:val="both"/>
        <w:rPr>
          <w:rFonts w:eastAsia="Calibri"/>
          <w:color w:val="000000"/>
        </w:rPr>
      </w:pPr>
      <w:r w:rsidRPr="00E8146D">
        <w:rPr>
          <w:rFonts w:eastAsia="Calibri"/>
          <w:color w:val="000000"/>
        </w:rPr>
        <w:t xml:space="preserve">Penn </w:t>
      </w:r>
      <w:proofErr w:type="spellStart"/>
      <w:r w:rsidRPr="00E8146D">
        <w:rPr>
          <w:rFonts w:eastAsia="Calibri"/>
          <w:color w:val="000000"/>
        </w:rPr>
        <w:t>State</w:t>
      </w:r>
      <w:proofErr w:type="spellEnd"/>
      <w:r w:rsidRPr="00E8146D">
        <w:rPr>
          <w:rFonts w:eastAsia="Calibri"/>
          <w:color w:val="000000"/>
        </w:rPr>
        <w:t xml:space="preserve"> Endişe </w:t>
      </w:r>
      <w:proofErr w:type="spellStart"/>
      <w:r w:rsidRPr="00E8146D">
        <w:rPr>
          <w:rFonts w:eastAsia="Calibri"/>
          <w:color w:val="000000"/>
        </w:rPr>
        <w:t>Ölçeği’nin</w:t>
      </w:r>
      <w:proofErr w:type="spellEnd"/>
      <w:r w:rsidRPr="00E8146D">
        <w:rPr>
          <w:rFonts w:eastAsia="Calibri"/>
          <w:color w:val="000000"/>
        </w:rPr>
        <w:t xml:space="preserve"> aritmetik ortalaması 4</w:t>
      </w:r>
      <w:r>
        <w:rPr>
          <w:rFonts w:eastAsia="Calibri"/>
          <w:color w:val="000000"/>
        </w:rPr>
        <w:t>8</w:t>
      </w:r>
      <w:r w:rsidRPr="00E8146D">
        <w:rPr>
          <w:rFonts w:eastAsia="Calibri"/>
          <w:color w:val="000000"/>
        </w:rPr>
        <w:t>.</w:t>
      </w:r>
      <w:r>
        <w:rPr>
          <w:rFonts w:eastAsia="Calibri"/>
          <w:color w:val="000000"/>
        </w:rPr>
        <w:t>99</w:t>
      </w:r>
      <w:r w:rsidRPr="00E8146D">
        <w:rPr>
          <w:rFonts w:eastAsia="Calibri"/>
          <w:color w:val="000000"/>
        </w:rPr>
        <w:t xml:space="preserve"> (SS=14.3</w:t>
      </w:r>
      <w:r>
        <w:rPr>
          <w:rFonts w:eastAsia="Calibri"/>
          <w:color w:val="000000"/>
        </w:rPr>
        <w:t>9</w:t>
      </w:r>
      <w:r w:rsidRPr="00E8146D">
        <w:rPr>
          <w:rFonts w:eastAsia="Calibri"/>
          <w:color w:val="000000"/>
        </w:rPr>
        <w:t>)’</w:t>
      </w:r>
      <w:r>
        <w:rPr>
          <w:rFonts w:eastAsia="Calibri"/>
          <w:color w:val="000000"/>
        </w:rPr>
        <w:t>dur</w:t>
      </w:r>
      <w:r w:rsidRPr="00E8146D">
        <w:rPr>
          <w:rFonts w:eastAsia="Calibri"/>
          <w:color w:val="000000"/>
        </w:rPr>
        <w:t>. Ölçekten alınan en yüksek puan 80, en düşük puan ise 16’dır.</w:t>
      </w:r>
    </w:p>
    <w:p w14:paraId="399CE474" w14:textId="77777777" w:rsidR="007513A1" w:rsidRDefault="007513A1" w:rsidP="007513A1">
      <w:pPr>
        <w:jc w:val="both"/>
        <w:rPr>
          <w:rFonts w:eastAsia="Calibri"/>
          <w:color w:val="000000"/>
        </w:rPr>
      </w:pPr>
    </w:p>
    <w:p w14:paraId="60146228" w14:textId="65D8A2CD" w:rsidR="00B470AD" w:rsidRPr="00B614B6" w:rsidRDefault="00B470AD" w:rsidP="007513A1">
      <w:pPr>
        <w:keepNext/>
        <w:keepLines/>
        <w:contextualSpacing/>
        <w:jc w:val="both"/>
        <w:outlineLvl w:val="1"/>
        <w:rPr>
          <w:b/>
          <w:bCs/>
          <w:color w:val="000000"/>
          <w:szCs w:val="26"/>
        </w:rPr>
      </w:pPr>
      <w:r>
        <w:rPr>
          <w:b/>
          <w:bCs/>
          <w:color w:val="000000"/>
          <w:szCs w:val="26"/>
        </w:rPr>
        <w:t>3</w:t>
      </w:r>
      <w:r w:rsidRPr="00B614B6">
        <w:rPr>
          <w:b/>
          <w:bCs/>
          <w:color w:val="000000"/>
          <w:szCs w:val="26"/>
        </w:rPr>
        <w:t xml:space="preserve">.2. </w:t>
      </w:r>
      <w:r>
        <w:rPr>
          <w:b/>
          <w:bCs/>
          <w:color w:val="000000"/>
          <w:szCs w:val="26"/>
        </w:rPr>
        <w:t>Değişkenlerin</w:t>
      </w:r>
      <w:r w:rsidRPr="00B614B6">
        <w:rPr>
          <w:b/>
          <w:bCs/>
          <w:color w:val="000000"/>
          <w:szCs w:val="26"/>
        </w:rPr>
        <w:t xml:space="preserve"> Korelasyon</w:t>
      </w:r>
      <w:r>
        <w:rPr>
          <w:b/>
          <w:bCs/>
          <w:color w:val="000000"/>
          <w:szCs w:val="26"/>
        </w:rPr>
        <w:t xml:space="preserve"> Bulguları</w:t>
      </w:r>
    </w:p>
    <w:p w14:paraId="09067320" w14:textId="77777777" w:rsidR="00B470AD" w:rsidRPr="00B614B6" w:rsidRDefault="00B470AD" w:rsidP="007513A1">
      <w:pPr>
        <w:jc w:val="both"/>
        <w:rPr>
          <w:rFonts w:eastAsia="Calibri"/>
          <w:color w:val="000000"/>
        </w:rPr>
      </w:pPr>
      <w:r w:rsidRPr="00B614B6">
        <w:rPr>
          <w:rFonts w:eastAsia="Calibri"/>
          <w:color w:val="000000"/>
        </w:rPr>
        <w:t>Araştırma ama</w:t>
      </w:r>
      <w:r>
        <w:rPr>
          <w:rFonts w:eastAsia="Calibri"/>
          <w:color w:val="000000"/>
        </w:rPr>
        <w:t>cına istinaden</w:t>
      </w:r>
      <w:r w:rsidRPr="00B614B6">
        <w:rPr>
          <w:rFonts w:eastAsia="Calibri"/>
          <w:color w:val="000000"/>
        </w:rPr>
        <w:t xml:space="preserve"> </w:t>
      </w:r>
      <w:r>
        <w:rPr>
          <w:rFonts w:eastAsia="Calibri"/>
          <w:color w:val="000000"/>
        </w:rPr>
        <w:t>h</w:t>
      </w:r>
      <w:r w:rsidRPr="00B614B6">
        <w:rPr>
          <w:rFonts w:eastAsia="Calibri"/>
          <w:color w:val="000000"/>
        </w:rPr>
        <w:t>ipote</w:t>
      </w:r>
      <w:r>
        <w:rPr>
          <w:rFonts w:eastAsia="Calibri"/>
          <w:color w:val="000000"/>
        </w:rPr>
        <w:t>zlerin</w:t>
      </w:r>
      <w:r w:rsidRPr="00B614B6">
        <w:rPr>
          <w:rFonts w:eastAsia="Calibri"/>
          <w:color w:val="000000"/>
        </w:rPr>
        <w:t xml:space="preserve"> incelenmesi </w:t>
      </w:r>
      <w:r>
        <w:rPr>
          <w:rFonts w:eastAsia="Calibri"/>
          <w:color w:val="000000"/>
        </w:rPr>
        <w:t>için</w:t>
      </w:r>
      <w:r w:rsidRPr="00B614B6">
        <w:rPr>
          <w:rFonts w:eastAsia="Calibri"/>
          <w:color w:val="000000"/>
        </w:rPr>
        <w:t xml:space="preserve"> </w:t>
      </w:r>
      <w:proofErr w:type="spellStart"/>
      <w:r w:rsidRPr="00B614B6">
        <w:rPr>
          <w:rFonts w:eastAsia="Calibri"/>
          <w:color w:val="000000"/>
        </w:rPr>
        <w:t>Pearson</w:t>
      </w:r>
      <w:proofErr w:type="spellEnd"/>
      <w:r w:rsidRPr="00B614B6">
        <w:rPr>
          <w:rFonts w:eastAsia="Calibri"/>
          <w:color w:val="000000"/>
        </w:rPr>
        <w:t xml:space="preserve"> Momentler Çarpımı Korelasyon Analizi yapılmıştır. Analiz sonuçları Tablo </w:t>
      </w:r>
      <w:r>
        <w:rPr>
          <w:rFonts w:eastAsia="Calibri"/>
          <w:color w:val="000000"/>
        </w:rPr>
        <w:t>3.3</w:t>
      </w:r>
      <w:r w:rsidRPr="00B614B6">
        <w:rPr>
          <w:rFonts w:eastAsia="Calibri"/>
          <w:color w:val="000000"/>
        </w:rPr>
        <w:t>’</w:t>
      </w:r>
      <w:r>
        <w:rPr>
          <w:rFonts w:eastAsia="Calibri"/>
          <w:color w:val="000000"/>
        </w:rPr>
        <w:t>t</w:t>
      </w:r>
      <w:r w:rsidRPr="00B614B6">
        <w:rPr>
          <w:rFonts w:eastAsia="Calibri"/>
          <w:color w:val="000000"/>
        </w:rPr>
        <w:t>e yer almaktadır.</w:t>
      </w:r>
    </w:p>
    <w:p w14:paraId="577B36E4" w14:textId="77777777" w:rsidR="00B470AD" w:rsidRDefault="00B470AD" w:rsidP="007513A1">
      <w:pPr>
        <w:rPr>
          <w:b/>
          <w:bCs/>
        </w:rPr>
      </w:pPr>
      <w:r w:rsidRPr="00B614B6">
        <w:rPr>
          <w:rFonts w:eastAsia="Calibri"/>
          <w:b/>
          <w:color w:val="000000"/>
        </w:rPr>
        <w:lastRenderedPageBreak/>
        <w:t xml:space="preserve">Tablo </w:t>
      </w:r>
      <w:r>
        <w:rPr>
          <w:rFonts w:eastAsia="Calibri"/>
          <w:b/>
          <w:color w:val="000000"/>
        </w:rPr>
        <w:t>3.3</w:t>
      </w:r>
      <w:r w:rsidRPr="00B614B6">
        <w:rPr>
          <w:rFonts w:eastAsia="Calibri"/>
          <w:b/>
          <w:color w:val="000000"/>
        </w:rPr>
        <w:t>.</w:t>
      </w:r>
      <w:r>
        <w:rPr>
          <w:rFonts w:eastAsia="Calibri"/>
          <w:b/>
          <w:color w:val="000000"/>
        </w:rPr>
        <w:t xml:space="preserve"> </w:t>
      </w:r>
      <w:proofErr w:type="spellStart"/>
      <w:r w:rsidRPr="006C769B">
        <w:rPr>
          <w:b/>
          <w:bCs/>
        </w:rPr>
        <w:t>Pearson</w:t>
      </w:r>
      <w:proofErr w:type="spellEnd"/>
      <w:r w:rsidRPr="006C769B">
        <w:rPr>
          <w:b/>
          <w:bCs/>
        </w:rPr>
        <w:t xml:space="preserve"> Analizleri ile Değişkenlerin Tanımlayıcı Değerleri ve Korelasyon Katsayıları</w:t>
      </w:r>
    </w:p>
    <w:p w14:paraId="2CF59F5F" w14:textId="77777777" w:rsidR="00B470AD" w:rsidRPr="00B1744E" w:rsidRDefault="00B470AD" w:rsidP="007513A1">
      <w:pPr>
        <w:rPr>
          <w:b/>
          <w:bCs/>
        </w:rPr>
      </w:pP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3"/>
        <w:gridCol w:w="1813"/>
      </w:tblGrid>
      <w:tr w:rsidR="00B470AD" w14:paraId="4340D426" w14:textId="77777777" w:rsidTr="0027292C">
        <w:tc>
          <w:tcPr>
            <w:tcW w:w="1812" w:type="dxa"/>
            <w:tcBorders>
              <w:top w:val="single" w:sz="4" w:space="0" w:color="auto"/>
              <w:bottom w:val="single" w:sz="4" w:space="0" w:color="auto"/>
            </w:tcBorders>
          </w:tcPr>
          <w:p w14:paraId="65EFD17B" w14:textId="77777777" w:rsidR="00B470AD" w:rsidRDefault="00B470AD" w:rsidP="007513A1">
            <w:pPr>
              <w:rPr>
                <w:rFonts w:ascii="Times New Roman" w:hAnsi="Times New Roman" w:cs="Times New Roman"/>
              </w:rPr>
            </w:pPr>
            <w:r>
              <w:rPr>
                <w:rFonts w:ascii="Times New Roman" w:hAnsi="Times New Roman" w:cs="Times New Roman"/>
              </w:rPr>
              <w:t>Değişkenler</w:t>
            </w:r>
          </w:p>
        </w:tc>
        <w:tc>
          <w:tcPr>
            <w:tcW w:w="1812" w:type="dxa"/>
            <w:tcBorders>
              <w:top w:val="single" w:sz="4" w:space="0" w:color="auto"/>
              <w:bottom w:val="single" w:sz="4" w:space="0" w:color="auto"/>
            </w:tcBorders>
          </w:tcPr>
          <w:p w14:paraId="3C4450F2" w14:textId="77777777" w:rsidR="00B470AD" w:rsidRDefault="00B470AD" w:rsidP="007513A1">
            <w:pPr>
              <w:rPr>
                <w:rFonts w:ascii="Times New Roman" w:hAnsi="Times New Roman" w:cs="Times New Roman"/>
              </w:rPr>
            </w:pPr>
            <w:r>
              <w:rPr>
                <w:rFonts w:ascii="Times New Roman" w:hAnsi="Times New Roman" w:cs="Times New Roman"/>
              </w:rPr>
              <w:t>BATÖ</w:t>
            </w:r>
          </w:p>
        </w:tc>
        <w:tc>
          <w:tcPr>
            <w:tcW w:w="1812" w:type="dxa"/>
            <w:tcBorders>
              <w:top w:val="single" w:sz="4" w:space="0" w:color="auto"/>
              <w:bottom w:val="single" w:sz="4" w:space="0" w:color="auto"/>
            </w:tcBorders>
          </w:tcPr>
          <w:p w14:paraId="23E23805" w14:textId="77777777" w:rsidR="00B470AD" w:rsidRDefault="00B470AD" w:rsidP="007513A1">
            <w:pPr>
              <w:rPr>
                <w:rFonts w:ascii="Times New Roman" w:hAnsi="Times New Roman" w:cs="Times New Roman"/>
              </w:rPr>
            </w:pPr>
            <w:r>
              <w:rPr>
                <w:rFonts w:ascii="Times New Roman" w:hAnsi="Times New Roman" w:cs="Times New Roman"/>
              </w:rPr>
              <w:t>MEA-İ</w:t>
            </w:r>
          </w:p>
        </w:tc>
        <w:tc>
          <w:tcPr>
            <w:tcW w:w="1813" w:type="dxa"/>
            <w:tcBorders>
              <w:top w:val="single" w:sz="4" w:space="0" w:color="auto"/>
              <w:bottom w:val="single" w:sz="4" w:space="0" w:color="auto"/>
            </w:tcBorders>
          </w:tcPr>
          <w:p w14:paraId="388BE511" w14:textId="77777777" w:rsidR="00B470AD" w:rsidRDefault="00B470AD" w:rsidP="007513A1">
            <w:pPr>
              <w:rPr>
                <w:rFonts w:ascii="Times New Roman" w:hAnsi="Times New Roman" w:cs="Times New Roman"/>
              </w:rPr>
            </w:pPr>
            <w:r>
              <w:rPr>
                <w:rFonts w:ascii="Times New Roman" w:hAnsi="Times New Roman" w:cs="Times New Roman"/>
              </w:rPr>
              <w:t>MEA-S</w:t>
            </w:r>
          </w:p>
        </w:tc>
        <w:tc>
          <w:tcPr>
            <w:tcW w:w="1813" w:type="dxa"/>
            <w:tcBorders>
              <w:top w:val="single" w:sz="4" w:space="0" w:color="auto"/>
              <w:bottom w:val="single" w:sz="4" w:space="0" w:color="auto"/>
            </w:tcBorders>
          </w:tcPr>
          <w:p w14:paraId="69DFA16D" w14:textId="77777777" w:rsidR="00B470AD" w:rsidRDefault="00B470AD" w:rsidP="007513A1">
            <w:pPr>
              <w:rPr>
                <w:rFonts w:ascii="Times New Roman" w:hAnsi="Times New Roman" w:cs="Times New Roman"/>
              </w:rPr>
            </w:pPr>
            <w:r>
              <w:rPr>
                <w:rFonts w:ascii="Times New Roman" w:hAnsi="Times New Roman" w:cs="Times New Roman"/>
              </w:rPr>
              <w:t>PSEÖ</w:t>
            </w:r>
          </w:p>
        </w:tc>
      </w:tr>
      <w:tr w:rsidR="00B470AD" w14:paraId="7064B10B" w14:textId="77777777" w:rsidTr="0027292C">
        <w:tc>
          <w:tcPr>
            <w:tcW w:w="1812" w:type="dxa"/>
            <w:tcBorders>
              <w:top w:val="single" w:sz="4" w:space="0" w:color="auto"/>
            </w:tcBorders>
          </w:tcPr>
          <w:p w14:paraId="291791D1" w14:textId="77777777" w:rsidR="00B470AD" w:rsidRDefault="00B470AD" w:rsidP="007513A1">
            <w:pPr>
              <w:rPr>
                <w:rFonts w:ascii="Times New Roman" w:hAnsi="Times New Roman" w:cs="Times New Roman"/>
              </w:rPr>
            </w:pPr>
            <w:r>
              <w:rPr>
                <w:rFonts w:ascii="Times New Roman" w:hAnsi="Times New Roman" w:cs="Times New Roman"/>
              </w:rPr>
              <w:t>BATÖ</w:t>
            </w:r>
          </w:p>
        </w:tc>
        <w:tc>
          <w:tcPr>
            <w:tcW w:w="1812" w:type="dxa"/>
            <w:tcBorders>
              <w:top w:val="single" w:sz="4" w:space="0" w:color="auto"/>
            </w:tcBorders>
          </w:tcPr>
          <w:p w14:paraId="0841DADE" w14:textId="77777777" w:rsidR="00B470AD" w:rsidRDefault="00B470AD" w:rsidP="007513A1">
            <w:pPr>
              <w:rPr>
                <w:rFonts w:ascii="Times New Roman" w:hAnsi="Times New Roman" w:cs="Times New Roman"/>
              </w:rPr>
            </w:pPr>
            <w:r>
              <w:rPr>
                <w:rFonts w:ascii="Times New Roman" w:hAnsi="Times New Roman" w:cs="Times New Roman"/>
              </w:rPr>
              <w:t>1</w:t>
            </w:r>
          </w:p>
        </w:tc>
        <w:tc>
          <w:tcPr>
            <w:tcW w:w="1812" w:type="dxa"/>
            <w:tcBorders>
              <w:top w:val="single" w:sz="4" w:space="0" w:color="auto"/>
            </w:tcBorders>
          </w:tcPr>
          <w:p w14:paraId="61762541" w14:textId="77777777" w:rsidR="00B470AD" w:rsidRDefault="00B470AD" w:rsidP="007513A1">
            <w:pPr>
              <w:rPr>
                <w:rFonts w:ascii="Times New Roman" w:hAnsi="Times New Roman" w:cs="Times New Roman"/>
              </w:rPr>
            </w:pPr>
          </w:p>
        </w:tc>
        <w:tc>
          <w:tcPr>
            <w:tcW w:w="1813" w:type="dxa"/>
            <w:tcBorders>
              <w:top w:val="single" w:sz="4" w:space="0" w:color="auto"/>
            </w:tcBorders>
          </w:tcPr>
          <w:p w14:paraId="0C8007B5" w14:textId="77777777" w:rsidR="00B470AD" w:rsidRDefault="00B470AD" w:rsidP="007513A1">
            <w:pPr>
              <w:rPr>
                <w:rFonts w:ascii="Times New Roman" w:hAnsi="Times New Roman" w:cs="Times New Roman"/>
              </w:rPr>
            </w:pPr>
          </w:p>
        </w:tc>
        <w:tc>
          <w:tcPr>
            <w:tcW w:w="1813" w:type="dxa"/>
            <w:tcBorders>
              <w:top w:val="single" w:sz="4" w:space="0" w:color="auto"/>
            </w:tcBorders>
          </w:tcPr>
          <w:p w14:paraId="26B45D1C" w14:textId="77777777" w:rsidR="00B470AD" w:rsidRDefault="00B470AD" w:rsidP="007513A1">
            <w:pPr>
              <w:rPr>
                <w:rFonts w:ascii="Times New Roman" w:hAnsi="Times New Roman" w:cs="Times New Roman"/>
              </w:rPr>
            </w:pPr>
          </w:p>
        </w:tc>
      </w:tr>
      <w:tr w:rsidR="00B470AD" w14:paraId="5A64FB66" w14:textId="77777777" w:rsidTr="0027292C">
        <w:tc>
          <w:tcPr>
            <w:tcW w:w="1812" w:type="dxa"/>
          </w:tcPr>
          <w:p w14:paraId="61E8E3D6" w14:textId="77777777" w:rsidR="00B470AD" w:rsidRDefault="00B470AD" w:rsidP="007513A1">
            <w:pPr>
              <w:rPr>
                <w:rFonts w:ascii="Times New Roman" w:hAnsi="Times New Roman" w:cs="Times New Roman"/>
              </w:rPr>
            </w:pPr>
            <w:r>
              <w:rPr>
                <w:rFonts w:ascii="Times New Roman" w:hAnsi="Times New Roman" w:cs="Times New Roman"/>
              </w:rPr>
              <w:t>MEA-İ</w:t>
            </w:r>
          </w:p>
        </w:tc>
        <w:tc>
          <w:tcPr>
            <w:tcW w:w="1812" w:type="dxa"/>
          </w:tcPr>
          <w:p w14:paraId="3E7977B6" w14:textId="77777777" w:rsidR="00B470AD" w:rsidRDefault="00B470AD" w:rsidP="007513A1">
            <w:pPr>
              <w:rPr>
                <w:rFonts w:ascii="Times New Roman" w:hAnsi="Times New Roman" w:cs="Times New Roman"/>
              </w:rPr>
            </w:pPr>
            <w:r>
              <w:rPr>
                <w:rFonts w:ascii="Times New Roman" w:hAnsi="Times New Roman" w:cs="Times New Roman"/>
              </w:rPr>
              <w:t>.59**</w:t>
            </w:r>
          </w:p>
        </w:tc>
        <w:tc>
          <w:tcPr>
            <w:tcW w:w="1812" w:type="dxa"/>
          </w:tcPr>
          <w:p w14:paraId="54F25B54" w14:textId="77777777" w:rsidR="00B470AD" w:rsidRDefault="00B470AD" w:rsidP="007513A1">
            <w:pPr>
              <w:rPr>
                <w:rFonts w:ascii="Times New Roman" w:hAnsi="Times New Roman" w:cs="Times New Roman"/>
              </w:rPr>
            </w:pPr>
            <w:r>
              <w:rPr>
                <w:rFonts w:ascii="Times New Roman" w:hAnsi="Times New Roman" w:cs="Times New Roman"/>
              </w:rPr>
              <w:t>1</w:t>
            </w:r>
          </w:p>
        </w:tc>
        <w:tc>
          <w:tcPr>
            <w:tcW w:w="1813" w:type="dxa"/>
          </w:tcPr>
          <w:p w14:paraId="70A69A07" w14:textId="77777777" w:rsidR="00B470AD" w:rsidRDefault="00B470AD" w:rsidP="007513A1">
            <w:pPr>
              <w:rPr>
                <w:rFonts w:ascii="Times New Roman" w:hAnsi="Times New Roman" w:cs="Times New Roman"/>
              </w:rPr>
            </w:pPr>
          </w:p>
        </w:tc>
        <w:tc>
          <w:tcPr>
            <w:tcW w:w="1813" w:type="dxa"/>
          </w:tcPr>
          <w:p w14:paraId="426FE9B1" w14:textId="77777777" w:rsidR="00B470AD" w:rsidRDefault="00B470AD" w:rsidP="007513A1">
            <w:pPr>
              <w:rPr>
                <w:rFonts w:ascii="Times New Roman" w:hAnsi="Times New Roman" w:cs="Times New Roman"/>
              </w:rPr>
            </w:pPr>
          </w:p>
        </w:tc>
      </w:tr>
      <w:tr w:rsidR="00B470AD" w14:paraId="609AEEC6" w14:textId="77777777" w:rsidTr="0027292C">
        <w:tc>
          <w:tcPr>
            <w:tcW w:w="1812" w:type="dxa"/>
          </w:tcPr>
          <w:p w14:paraId="6F0D588F" w14:textId="77777777" w:rsidR="00B470AD" w:rsidRDefault="00B470AD" w:rsidP="007513A1">
            <w:pPr>
              <w:rPr>
                <w:rFonts w:ascii="Times New Roman" w:hAnsi="Times New Roman" w:cs="Times New Roman"/>
              </w:rPr>
            </w:pPr>
            <w:r>
              <w:rPr>
                <w:rFonts w:ascii="Times New Roman" w:hAnsi="Times New Roman" w:cs="Times New Roman"/>
              </w:rPr>
              <w:t>MEA-S</w:t>
            </w:r>
          </w:p>
        </w:tc>
        <w:tc>
          <w:tcPr>
            <w:tcW w:w="1812" w:type="dxa"/>
          </w:tcPr>
          <w:p w14:paraId="6E0B645A" w14:textId="77777777" w:rsidR="00B470AD" w:rsidRDefault="00B470AD" w:rsidP="007513A1">
            <w:pPr>
              <w:rPr>
                <w:rFonts w:ascii="Times New Roman" w:hAnsi="Times New Roman" w:cs="Times New Roman"/>
              </w:rPr>
            </w:pPr>
            <w:r>
              <w:rPr>
                <w:rFonts w:ascii="Times New Roman" w:hAnsi="Times New Roman" w:cs="Times New Roman"/>
              </w:rPr>
              <w:t>.54**</w:t>
            </w:r>
          </w:p>
        </w:tc>
        <w:tc>
          <w:tcPr>
            <w:tcW w:w="1812" w:type="dxa"/>
          </w:tcPr>
          <w:p w14:paraId="4615BB05" w14:textId="77777777" w:rsidR="00B470AD" w:rsidRDefault="00B470AD" w:rsidP="007513A1">
            <w:pPr>
              <w:rPr>
                <w:rFonts w:ascii="Times New Roman" w:hAnsi="Times New Roman" w:cs="Times New Roman"/>
              </w:rPr>
            </w:pPr>
            <w:r>
              <w:rPr>
                <w:rFonts w:ascii="Times New Roman" w:hAnsi="Times New Roman" w:cs="Times New Roman"/>
              </w:rPr>
              <w:t>.82**</w:t>
            </w:r>
          </w:p>
        </w:tc>
        <w:tc>
          <w:tcPr>
            <w:tcW w:w="1813" w:type="dxa"/>
          </w:tcPr>
          <w:p w14:paraId="4AB47F10" w14:textId="77777777" w:rsidR="00B470AD" w:rsidRDefault="00B470AD" w:rsidP="007513A1">
            <w:pPr>
              <w:rPr>
                <w:rFonts w:ascii="Times New Roman" w:hAnsi="Times New Roman" w:cs="Times New Roman"/>
              </w:rPr>
            </w:pPr>
            <w:r>
              <w:rPr>
                <w:rFonts w:ascii="Times New Roman" w:hAnsi="Times New Roman" w:cs="Times New Roman"/>
              </w:rPr>
              <w:t>1</w:t>
            </w:r>
          </w:p>
        </w:tc>
        <w:tc>
          <w:tcPr>
            <w:tcW w:w="1813" w:type="dxa"/>
          </w:tcPr>
          <w:p w14:paraId="097B7743" w14:textId="77777777" w:rsidR="00B470AD" w:rsidRDefault="00B470AD" w:rsidP="007513A1">
            <w:pPr>
              <w:rPr>
                <w:rFonts w:ascii="Times New Roman" w:hAnsi="Times New Roman" w:cs="Times New Roman"/>
              </w:rPr>
            </w:pPr>
          </w:p>
        </w:tc>
      </w:tr>
      <w:tr w:rsidR="00B470AD" w14:paraId="68DA6FE7" w14:textId="77777777" w:rsidTr="0027292C">
        <w:tc>
          <w:tcPr>
            <w:tcW w:w="1812" w:type="dxa"/>
          </w:tcPr>
          <w:p w14:paraId="32C70CEE" w14:textId="77777777" w:rsidR="00B470AD" w:rsidRDefault="00B470AD" w:rsidP="007513A1">
            <w:pPr>
              <w:rPr>
                <w:rFonts w:ascii="Times New Roman" w:hAnsi="Times New Roman" w:cs="Times New Roman"/>
              </w:rPr>
            </w:pPr>
            <w:r>
              <w:rPr>
                <w:rFonts w:ascii="Times New Roman" w:hAnsi="Times New Roman" w:cs="Times New Roman"/>
              </w:rPr>
              <w:t>PSEÖ</w:t>
            </w:r>
          </w:p>
        </w:tc>
        <w:tc>
          <w:tcPr>
            <w:tcW w:w="1812" w:type="dxa"/>
          </w:tcPr>
          <w:p w14:paraId="1947C8A0" w14:textId="77777777" w:rsidR="00B470AD" w:rsidRDefault="00B470AD" w:rsidP="007513A1">
            <w:pPr>
              <w:rPr>
                <w:rFonts w:ascii="Times New Roman" w:hAnsi="Times New Roman" w:cs="Times New Roman"/>
              </w:rPr>
            </w:pPr>
            <w:r>
              <w:rPr>
                <w:rFonts w:ascii="Times New Roman" w:hAnsi="Times New Roman" w:cs="Times New Roman"/>
              </w:rPr>
              <w:t>.62**</w:t>
            </w:r>
          </w:p>
        </w:tc>
        <w:tc>
          <w:tcPr>
            <w:tcW w:w="1812" w:type="dxa"/>
          </w:tcPr>
          <w:p w14:paraId="71E86482" w14:textId="77777777" w:rsidR="00B470AD" w:rsidRDefault="00B470AD" w:rsidP="007513A1">
            <w:pPr>
              <w:rPr>
                <w:rFonts w:ascii="Times New Roman" w:hAnsi="Times New Roman" w:cs="Times New Roman"/>
              </w:rPr>
            </w:pPr>
            <w:r>
              <w:rPr>
                <w:rFonts w:ascii="Times New Roman" w:hAnsi="Times New Roman" w:cs="Times New Roman"/>
              </w:rPr>
              <w:t>.66**</w:t>
            </w:r>
          </w:p>
        </w:tc>
        <w:tc>
          <w:tcPr>
            <w:tcW w:w="1813" w:type="dxa"/>
          </w:tcPr>
          <w:p w14:paraId="7B64CCE1" w14:textId="77777777" w:rsidR="00B470AD" w:rsidRDefault="00B470AD" w:rsidP="007513A1">
            <w:pPr>
              <w:rPr>
                <w:rFonts w:ascii="Times New Roman" w:hAnsi="Times New Roman" w:cs="Times New Roman"/>
              </w:rPr>
            </w:pPr>
            <w:r>
              <w:rPr>
                <w:rFonts w:ascii="Times New Roman" w:hAnsi="Times New Roman" w:cs="Times New Roman"/>
              </w:rPr>
              <w:t>.66**</w:t>
            </w:r>
          </w:p>
        </w:tc>
        <w:tc>
          <w:tcPr>
            <w:tcW w:w="1813" w:type="dxa"/>
          </w:tcPr>
          <w:p w14:paraId="6514C51A" w14:textId="77777777" w:rsidR="00B470AD" w:rsidRDefault="00B470AD" w:rsidP="007513A1">
            <w:pPr>
              <w:rPr>
                <w:rFonts w:ascii="Times New Roman" w:hAnsi="Times New Roman" w:cs="Times New Roman"/>
              </w:rPr>
            </w:pPr>
            <w:r>
              <w:rPr>
                <w:rFonts w:ascii="Times New Roman" w:hAnsi="Times New Roman" w:cs="Times New Roman"/>
              </w:rPr>
              <w:t>1</w:t>
            </w:r>
          </w:p>
        </w:tc>
      </w:tr>
    </w:tbl>
    <w:p w14:paraId="1F03DB9E" w14:textId="77777777" w:rsidR="00B470AD" w:rsidRPr="009B59AB" w:rsidRDefault="00B470AD" w:rsidP="007513A1">
      <w:r w:rsidRPr="009B59AB">
        <w:rPr>
          <w:i/>
          <w:iCs/>
        </w:rPr>
        <w:t xml:space="preserve">Not: </w:t>
      </w:r>
      <w:r w:rsidRPr="009B59AB">
        <w:t xml:space="preserve">BATÖ: Bilişsel Abartma Tarzı Ölçeği, MEA-İ: </w:t>
      </w:r>
      <w:bookmarkStart w:id="145" w:name="_Hlk191166942"/>
      <w:r w:rsidRPr="009B59AB">
        <w:t xml:space="preserve">Meta-Endişe Ölçeği-İnanç Alt Boyutu, </w:t>
      </w:r>
      <w:bookmarkEnd w:id="145"/>
      <w:r w:rsidRPr="009B59AB">
        <w:t xml:space="preserve">MEA-S: Meta-Endişe Ölçeği-Sıklık Alt Boyutu, PSEÖ: Penn </w:t>
      </w:r>
      <w:proofErr w:type="spellStart"/>
      <w:r w:rsidRPr="009B59AB">
        <w:t>State</w:t>
      </w:r>
      <w:proofErr w:type="spellEnd"/>
      <w:r w:rsidRPr="009B59AB">
        <w:t xml:space="preserve"> Endişe Ölçeği</w:t>
      </w:r>
    </w:p>
    <w:p w14:paraId="720D090C" w14:textId="77777777" w:rsidR="00B470AD" w:rsidRDefault="00B470AD" w:rsidP="007513A1">
      <w:proofErr w:type="gramStart"/>
      <w:r w:rsidRPr="009B59AB">
        <w:rPr>
          <w:i/>
          <w:iCs/>
        </w:rPr>
        <w:t>p</w:t>
      </w:r>
      <w:proofErr w:type="gramEnd"/>
      <w:r w:rsidRPr="009B59AB">
        <w:t xml:space="preserve">&lt;.05*, </w:t>
      </w:r>
      <w:r w:rsidRPr="009B59AB">
        <w:rPr>
          <w:i/>
          <w:iCs/>
        </w:rPr>
        <w:t>p</w:t>
      </w:r>
      <w:r w:rsidRPr="009B59AB">
        <w:t>&lt;.01**</w:t>
      </w:r>
    </w:p>
    <w:p w14:paraId="1F8C952F" w14:textId="77777777" w:rsidR="007513A1" w:rsidRDefault="007513A1" w:rsidP="007513A1"/>
    <w:p w14:paraId="79210A97" w14:textId="77777777" w:rsidR="00B470AD" w:rsidRDefault="00B470AD" w:rsidP="007513A1">
      <w:pPr>
        <w:jc w:val="both"/>
      </w:pPr>
      <w:r w:rsidRPr="004F16CB">
        <w:t>Büyüköztürk (2011), korelasyon katsayılarının yorumu için belirli aralıklar önermiştir. Bu çerçevede .00 ile .30 arasındaki korelasyonlar “düşük”, .31 ile .70 arasındaki korelasyonlar “orta”, .71 ve üzerindeki korelasyonlar ise “yüksek” düzeyde ilişki olarak değerlendirilebilir. Bu sınıflandırma esas alın</w:t>
      </w:r>
      <w:r>
        <w:t>arak</w:t>
      </w:r>
      <w:r w:rsidRPr="004F16CB">
        <w:t xml:space="preserve">, korelasyon analizi </w:t>
      </w:r>
      <w:r>
        <w:t>bulguları yorumlanmıştır.</w:t>
      </w:r>
    </w:p>
    <w:p w14:paraId="1C8A5760" w14:textId="77777777" w:rsidR="007513A1" w:rsidRDefault="007513A1" w:rsidP="007513A1">
      <w:pPr>
        <w:jc w:val="both"/>
      </w:pPr>
    </w:p>
    <w:p w14:paraId="03A03F04" w14:textId="77777777" w:rsidR="00B470AD" w:rsidRDefault="00B470AD" w:rsidP="007513A1">
      <w:pPr>
        <w:jc w:val="both"/>
      </w:pPr>
      <w:r w:rsidRPr="00EF1473">
        <w:t xml:space="preserve">Bilişsel abartma tarzı ölçeği toplam puanı ile meta-endişe ölçeği </w:t>
      </w:r>
      <w:bookmarkStart w:id="146" w:name="_Hlk191576632"/>
      <w:r>
        <w:t>sıklık alt boyutu</w:t>
      </w:r>
      <w:r w:rsidRPr="00EF1473">
        <w:t xml:space="preserve"> </w:t>
      </w:r>
      <w:bookmarkEnd w:id="146"/>
      <w:r w:rsidRPr="00EF1473">
        <w:t xml:space="preserve">puanı arasında pozitif yönde orta derecede anlamlı (r=.54, </w:t>
      </w:r>
      <w:r w:rsidRPr="00EF1473">
        <w:rPr>
          <w:i/>
          <w:iCs/>
        </w:rPr>
        <w:t>p&lt;</w:t>
      </w:r>
      <w:r w:rsidRPr="00EF1473">
        <w:t xml:space="preserve">.01) ilişki bulunmuştur. </w:t>
      </w:r>
    </w:p>
    <w:p w14:paraId="70B7B134" w14:textId="77777777" w:rsidR="007513A1" w:rsidRDefault="007513A1" w:rsidP="007513A1">
      <w:pPr>
        <w:jc w:val="both"/>
      </w:pPr>
    </w:p>
    <w:p w14:paraId="359E2F2E" w14:textId="77777777" w:rsidR="00B470AD" w:rsidRDefault="00B470AD" w:rsidP="007513A1">
      <w:pPr>
        <w:jc w:val="both"/>
      </w:pPr>
      <w:r w:rsidRPr="003F1E55">
        <w:t xml:space="preserve">Bilişsel abartma tarzı ölçeği toplam puanı ile meta-endişe ölçeği </w:t>
      </w:r>
      <w:r>
        <w:t>inanç</w:t>
      </w:r>
      <w:r w:rsidRPr="003F1E55">
        <w:t xml:space="preserve"> alt boyutu puanı arasında pozitif yönde orta derecede anlamlı (r=.5</w:t>
      </w:r>
      <w:r>
        <w:t>9</w:t>
      </w:r>
      <w:r w:rsidRPr="003F1E55">
        <w:t xml:space="preserve">, </w:t>
      </w:r>
      <w:r w:rsidRPr="003F1E55">
        <w:rPr>
          <w:i/>
          <w:iCs/>
        </w:rPr>
        <w:t>p&lt;</w:t>
      </w:r>
      <w:r w:rsidRPr="003F1E55">
        <w:t xml:space="preserve">.01) ilişki bulunmuştur. </w:t>
      </w:r>
    </w:p>
    <w:p w14:paraId="34793B77" w14:textId="77777777" w:rsidR="007513A1" w:rsidRPr="003F1E55" w:rsidRDefault="007513A1" w:rsidP="007513A1">
      <w:pPr>
        <w:jc w:val="both"/>
      </w:pPr>
    </w:p>
    <w:p w14:paraId="1084D06E" w14:textId="77777777" w:rsidR="00B470AD" w:rsidRDefault="00B470AD" w:rsidP="007513A1">
      <w:pPr>
        <w:jc w:val="both"/>
      </w:pPr>
      <w:r w:rsidRPr="00EF1473">
        <w:t xml:space="preserve">Bilişsel abartma tarzı ölçeği toplam puanı ile Penn </w:t>
      </w:r>
      <w:proofErr w:type="spellStart"/>
      <w:r w:rsidRPr="00EF1473">
        <w:t>State</w:t>
      </w:r>
      <w:proofErr w:type="spellEnd"/>
      <w:r w:rsidRPr="00EF1473">
        <w:t xml:space="preserve"> endişe ölçeği toplam puanı arasında pozitif yönde orta derecede anlamlı (r=.62, </w:t>
      </w:r>
      <w:r w:rsidRPr="00EF1473">
        <w:rPr>
          <w:i/>
          <w:iCs/>
        </w:rPr>
        <w:t>p&lt;</w:t>
      </w:r>
      <w:r w:rsidRPr="00EF1473">
        <w:t>.01) ilişki bulunmuştur.</w:t>
      </w:r>
    </w:p>
    <w:p w14:paraId="38E26D42" w14:textId="77777777" w:rsidR="007513A1" w:rsidRPr="00EF1473" w:rsidRDefault="007513A1" w:rsidP="007513A1">
      <w:pPr>
        <w:jc w:val="both"/>
      </w:pPr>
    </w:p>
    <w:p w14:paraId="523CC1D5" w14:textId="77777777" w:rsidR="00B470AD" w:rsidRDefault="00B470AD" w:rsidP="007513A1">
      <w:pPr>
        <w:jc w:val="both"/>
      </w:pPr>
      <w:r w:rsidRPr="00EF1473">
        <w:t>Meta-endişe ölçeği</w:t>
      </w:r>
      <w:r w:rsidRPr="00E151D9">
        <w:t xml:space="preserve"> </w:t>
      </w:r>
      <w:r>
        <w:t>inanç</w:t>
      </w:r>
      <w:r w:rsidRPr="00E151D9">
        <w:t xml:space="preserve"> alt boyutu</w:t>
      </w:r>
      <w:r w:rsidRPr="00EF1473">
        <w:t xml:space="preserve"> puanı ile Penn </w:t>
      </w:r>
      <w:proofErr w:type="spellStart"/>
      <w:r w:rsidRPr="00EF1473">
        <w:t>State</w:t>
      </w:r>
      <w:proofErr w:type="spellEnd"/>
      <w:r w:rsidRPr="00EF1473">
        <w:t xml:space="preserve"> endişe ölçeği toplam puanı arasında pozitif yönde orta derecede anlamlı (r=.66, </w:t>
      </w:r>
      <w:r w:rsidRPr="00EF1473">
        <w:rPr>
          <w:i/>
          <w:iCs/>
        </w:rPr>
        <w:t>p&lt;</w:t>
      </w:r>
      <w:r w:rsidRPr="00EF1473">
        <w:t>.01) ilişki bulunmuştur.</w:t>
      </w:r>
    </w:p>
    <w:p w14:paraId="7A4FFB00" w14:textId="77777777" w:rsidR="007513A1" w:rsidRDefault="007513A1" w:rsidP="007513A1">
      <w:pPr>
        <w:jc w:val="both"/>
      </w:pPr>
    </w:p>
    <w:p w14:paraId="7FE4F938" w14:textId="77777777" w:rsidR="00B470AD" w:rsidRDefault="00B470AD" w:rsidP="007513A1">
      <w:pPr>
        <w:jc w:val="both"/>
      </w:pPr>
      <w:r w:rsidRPr="00E151D9">
        <w:t xml:space="preserve">Meta-endişe ölçeği sıklık alt boyutu puanı ile Penn </w:t>
      </w:r>
      <w:proofErr w:type="spellStart"/>
      <w:r w:rsidRPr="00E151D9">
        <w:t>State</w:t>
      </w:r>
      <w:proofErr w:type="spellEnd"/>
      <w:r w:rsidRPr="00E151D9">
        <w:t xml:space="preserve"> endişe ölçeği toplam puanı arasında pozitif yönde orta derecede anlamlı (r=.66, </w:t>
      </w:r>
      <w:r w:rsidRPr="00E151D9">
        <w:rPr>
          <w:i/>
          <w:iCs/>
        </w:rPr>
        <w:t>p&lt;</w:t>
      </w:r>
      <w:r w:rsidRPr="00E151D9">
        <w:t>.01) ilişki bulunmuştur.</w:t>
      </w:r>
    </w:p>
    <w:p w14:paraId="34173006" w14:textId="77777777" w:rsidR="007513A1" w:rsidRDefault="007513A1" w:rsidP="007513A1">
      <w:pPr>
        <w:jc w:val="both"/>
      </w:pPr>
    </w:p>
    <w:p w14:paraId="0E39C851" w14:textId="77777777" w:rsidR="00B470AD" w:rsidRDefault="00B470AD" w:rsidP="007513A1">
      <w:pPr>
        <w:jc w:val="both"/>
      </w:pPr>
      <w:r>
        <w:t>Elde edilen bulgular neticesinde hipotezlerin tamamının kabul edildiği tespit edilmiştir.</w:t>
      </w:r>
    </w:p>
    <w:p w14:paraId="4DE924B9" w14:textId="77777777" w:rsidR="007513A1" w:rsidRPr="00340C0D" w:rsidRDefault="007513A1" w:rsidP="007513A1">
      <w:pPr>
        <w:jc w:val="both"/>
      </w:pPr>
    </w:p>
    <w:p w14:paraId="59C67F5A" w14:textId="77777777" w:rsidR="00B470AD" w:rsidRDefault="00B470AD" w:rsidP="007513A1">
      <w:pPr>
        <w:pStyle w:val="NormalWeb"/>
        <w:spacing w:before="0" w:beforeAutospacing="0" w:after="0" w:afterAutospacing="0"/>
        <w:rPr>
          <w:b/>
          <w:bCs/>
        </w:rPr>
      </w:pPr>
      <w:r>
        <w:rPr>
          <w:b/>
          <w:bCs/>
        </w:rPr>
        <w:t>4.SONUÇ</w:t>
      </w:r>
    </w:p>
    <w:p w14:paraId="2F1074D1" w14:textId="77777777" w:rsidR="00B470AD" w:rsidRDefault="00B470AD" w:rsidP="007513A1">
      <w:pPr>
        <w:pStyle w:val="NormalWeb"/>
        <w:spacing w:before="0" w:beforeAutospacing="0" w:after="0" w:afterAutospacing="0"/>
        <w:jc w:val="both"/>
      </w:pPr>
      <w:r w:rsidRPr="001F612A">
        <w:t xml:space="preserve">Elde </w:t>
      </w:r>
      <w:proofErr w:type="spellStart"/>
      <w:r w:rsidRPr="001F612A">
        <w:t>edilen</w:t>
      </w:r>
      <w:proofErr w:type="spellEnd"/>
      <w:r w:rsidRPr="001F612A">
        <w:t xml:space="preserve"> </w:t>
      </w:r>
      <w:proofErr w:type="spellStart"/>
      <w:r w:rsidRPr="001F612A">
        <w:t>bulgular</w:t>
      </w:r>
      <w:proofErr w:type="spellEnd"/>
      <w:r w:rsidRPr="001F612A">
        <w:t xml:space="preserve"> </w:t>
      </w:r>
      <w:proofErr w:type="spellStart"/>
      <w:r w:rsidRPr="001F612A">
        <w:t>bilişsel</w:t>
      </w:r>
      <w:proofErr w:type="spellEnd"/>
      <w:r w:rsidRPr="001F612A">
        <w:t xml:space="preserve"> </w:t>
      </w:r>
      <w:proofErr w:type="spellStart"/>
      <w:r w:rsidRPr="001F612A">
        <w:t>abartma</w:t>
      </w:r>
      <w:proofErr w:type="spellEnd"/>
      <w:r w:rsidRPr="001F612A">
        <w:t xml:space="preserve"> </w:t>
      </w:r>
      <w:proofErr w:type="spellStart"/>
      <w:r w:rsidRPr="001F612A">
        <w:t>tarzı</w:t>
      </w:r>
      <w:proofErr w:type="spellEnd"/>
      <w:r w:rsidRPr="001F612A">
        <w:t>, meta-</w:t>
      </w:r>
      <w:proofErr w:type="spellStart"/>
      <w:r w:rsidRPr="001F612A">
        <w:t>endişe</w:t>
      </w:r>
      <w:proofErr w:type="spellEnd"/>
      <w:r w:rsidRPr="001F612A">
        <w:t xml:space="preserve"> </w:t>
      </w:r>
      <w:proofErr w:type="spellStart"/>
      <w:r w:rsidRPr="001F612A">
        <w:t>ve</w:t>
      </w:r>
      <w:proofErr w:type="spellEnd"/>
      <w:r w:rsidRPr="001F612A">
        <w:t xml:space="preserve"> </w:t>
      </w:r>
      <w:proofErr w:type="spellStart"/>
      <w:r w:rsidRPr="001F612A">
        <w:t>endişenin</w:t>
      </w:r>
      <w:proofErr w:type="spellEnd"/>
      <w:r w:rsidRPr="001F612A">
        <w:t xml:space="preserve"> </w:t>
      </w:r>
      <w:proofErr w:type="spellStart"/>
      <w:r w:rsidRPr="001F612A">
        <w:t>birbirleriyle</w:t>
      </w:r>
      <w:proofErr w:type="spellEnd"/>
      <w:r w:rsidRPr="001F612A">
        <w:t xml:space="preserve"> </w:t>
      </w:r>
      <w:proofErr w:type="spellStart"/>
      <w:r w:rsidRPr="001F612A">
        <w:t>ilişkili</w:t>
      </w:r>
      <w:proofErr w:type="spellEnd"/>
      <w:r w:rsidRPr="001F612A">
        <w:t xml:space="preserve"> </w:t>
      </w:r>
      <w:proofErr w:type="spellStart"/>
      <w:r w:rsidRPr="001F612A">
        <w:t>olduğunu</w:t>
      </w:r>
      <w:proofErr w:type="spellEnd"/>
      <w:r w:rsidRPr="001F612A">
        <w:t xml:space="preserve"> </w:t>
      </w:r>
      <w:proofErr w:type="spellStart"/>
      <w:r w:rsidRPr="001F612A">
        <w:t>göstermektedir</w:t>
      </w:r>
      <w:proofErr w:type="spellEnd"/>
      <w:r w:rsidRPr="001F612A">
        <w:t>.</w:t>
      </w:r>
      <w:r>
        <w:t xml:space="preserve"> Penn State </w:t>
      </w:r>
      <w:proofErr w:type="spellStart"/>
      <w:r>
        <w:t>Endişe</w:t>
      </w:r>
      <w:proofErr w:type="spellEnd"/>
      <w:r>
        <w:t xml:space="preserve"> </w:t>
      </w:r>
      <w:proofErr w:type="spellStart"/>
      <w:r>
        <w:t>Ölçeği’nden</w:t>
      </w:r>
      <w:proofErr w:type="spellEnd"/>
      <w:r>
        <w:t xml:space="preserve"> </w:t>
      </w:r>
      <w:proofErr w:type="spellStart"/>
      <w:r>
        <w:t>alınan</w:t>
      </w:r>
      <w:proofErr w:type="spellEnd"/>
      <w:r>
        <w:t xml:space="preserve"> </w:t>
      </w:r>
      <w:proofErr w:type="spellStart"/>
      <w:r>
        <w:t>endişe</w:t>
      </w:r>
      <w:proofErr w:type="spellEnd"/>
      <w:r>
        <w:t xml:space="preserve"> </w:t>
      </w:r>
      <w:proofErr w:type="spellStart"/>
      <w:r>
        <w:t>puanı</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bozukluğunu</w:t>
      </w:r>
      <w:proofErr w:type="spellEnd"/>
      <w:r>
        <w:t xml:space="preserve"> </w:t>
      </w:r>
      <w:proofErr w:type="spellStart"/>
      <w:r>
        <w:t>ölçmek</w:t>
      </w:r>
      <w:proofErr w:type="spellEnd"/>
      <w:r>
        <w:t xml:space="preserve"> </w:t>
      </w:r>
      <w:proofErr w:type="spellStart"/>
      <w:r>
        <w:t>için</w:t>
      </w:r>
      <w:proofErr w:type="spellEnd"/>
      <w:r>
        <w:t xml:space="preserve"> </w:t>
      </w:r>
      <w:proofErr w:type="spellStart"/>
      <w:r>
        <w:t>kullanılmaktadır</w:t>
      </w:r>
      <w:proofErr w:type="spellEnd"/>
      <w:r>
        <w:t xml:space="preserve">. Bu </w:t>
      </w:r>
      <w:proofErr w:type="spellStart"/>
      <w:r>
        <w:t>nedenle</w:t>
      </w:r>
      <w:proofErr w:type="spellEnd"/>
      <w:r>
        <w:t xml:space="preserve"> </w:t>
      </w:r>
      <w:proofErr w:type="spellStart"/>
      <w:r>
        <w:t>sonuçlar</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ve</w:t>
      </w:r>
      <w:proofErr w:type="spellEnd"/>
      <w:r>
        <w:t xml:space="preserve"> meta-</w:t>
      </w:r>
      <w:proofErr w:type="spellStart"/>
      <w:r>
        <w:t>endişenin</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ile</w:t>
      </w:r>
      <w:proofErr w:type="spellEnd"/>
      <w:r>
        <w:t xml:space="preserve"> </w:t>
      </w:r>
      <w:proofErr w:type="spellStart"/>
      <w:r>
        <w:t>ilişkili</w:t>
      </w:r>
      <w:proofErr w:type="spellEnd"/>
      <w:r>
        <w:t xml:space="preserve"> </w:t>
      </w:r>
      <w:proofErr w:type="spellStart"/>
      <w:r>
        <w:t>olduğunu</w:t>
      </w:r>
      <w:proofErr w:type="spellEnd"/>
      <w:r>
        <w:t xml:space="preserve"> </w:t>
      </w:r>
      <w:proofErr w:type="spellStart"/>
      <w:r>
        <w:t>göstermektedir</w:t>
      </w:r>
      <w:proofErr w:type="spellEnd"/>
      <w:r>
        <w:t xml:space="preserve">. </w:t>
      </w:r>
      <w:proofErr w:type="spellStart"/>
      <w:r>
        <w:t>Bulgular</w:t>
      </w:r>
      <w:proofErr w:type="spellEnd"/>
      <w:r>
        <w:t xml:space="preserve"> </w:t>
      </w:r>
      <w:proofErr w:type="spellStart"/>
      <w:r>
        <w:t>aynı</w:t>
      </w:r>
      <w:proofErr w:type="spellEnd"/>
      <w:r>
        <w:t xml:space="preserve"> </w:t>
      </w:r>
      <w:proofErr w:type="spellStart"/>
      <w:r>
        <w:t>zamanda</w:t>
      </w:r>
      <w:proofErr w:type="spellEnd"/>
      <w:r>
        <w:t>,</w:t>
      </w:r>
      <w:r w:rsidRPr="001F612A">
        <w:t xml:space="preserve"> </w:t>
      </w:r>
      <w:proofErr w:type="spellStart"/>
      <w:r w:rsidRPr="001F612A">
        <w:t>bilişsel</w:t>
      </w:r>
      <w:proofErr w:type="spellEnd"/>
      <w:r w:rsidRPr="001F612A">
        <w:t xml:space="preserve"> </w:t>
      </w:r>
      <w:proofErr w:type="spellStart"/>
      <w:r w:rsidRPr="001F612A">
        <w:t>abartma</w:t>
      </w:r>
      <w:proofErr w:type="spellEnd"/>
      <w:r w:rsidRPr="001F612A">
        <w:t xml:space="preserve"> </w:t>
      </w:r>
      <w:proofErr w:type="spellStart"/>
      <w:r w:rsidRPr="001F612A">
        <w:t>tarzı</w:t>
      </w:r>
      <w:proofErr w:type="spellEnd"/>
      <w:r w:rsidRPr="001F612A">
        <w:t xml:space="preserve"> </w:t>
      </w:r>
      <w:proofErr w:type="spellStart"/>
      <w:r w:rsidRPr="001F612A">
        <w:t>ve</w:t>
      </w:r>
      <w:proofErr w:type="spellEnd"/>
      <w:r w:rsidRPr="001F612A">
        <w:t xml:space="preserve"> meta-</w:t>
      </w:r>
      <w:proofErr w:type="spellStart"/>
      <w:r w:rsidRPr="001F612A">
        <w:t>endişe</w:t>
      </w:r>
      <w:proofErr w:type="spellEnd"/>
      <w:r w:rsidRPr="001F612A">
        <w:t xml:space="preserve"> </w:t>
      </w:r>
      <w:proofErr w:type="spellStart"/>
      <w:r w:rsidRPr="001F612A">
        <w:t>düzeyini</w:t>
      </w:r>
      <w:proofErr w:type="spellEnd"/>
      <w:r w:rsidRPr="001F612A">
        <w:t xml:space="preserve"> </w:t>
      </w:r>
      <w:proofErr w:type="spellStart"/>
      <w:r w:rsidRPr="001F612A">
        <w:t>azaltmanın</w:t>
      </w:r>
      <w:proofErr w:type="spellEnd"/>
      <w:r w:rsidRPr="001F612A">
        <w:t xml:space="preserve"> </w:t>
      </w:r>
      <w:proofErr w:type="spellStart"/>
      <w:r w:rsidRPr="001F612A">
        <w:t>yaygın</w:t>
      </w:r>
      <w:proofErr w:type="spellEnd"/>
      <w:r w:rsidRPr="001F612A">
        <w:t xml:space="preserve"> </w:t>
      </w:r>
      <w:proofErr w:type="spellStart"/>
      <w:r w:rsidRPr="001F612A">
        <w:t>anksiyete</w:t>
      </w:r>
      <w:proofErr w:type="spellEnd"/>
      <w:r w:rsidRPr="001F612A">
        <w:t xml:space="preserve"> </w:t>
      </w:r>
      <w:proofErr w:type="spellStart"/>
      <w:r w:rsidRPr="001F612A">
        <w:t>bozukluğundaki</w:t>
      </w:r>
      <w:proofErr w:type="spellEnd"/>
      <w:r w:rsidRPr="001F612A">
        <w:t xml:space="preserve"> </w:t>
      </w:r>
      <w:proofErr w:type="spellStart"/>
      <w:r w:rsidRPr="001F612A">
        <w:t>endişe</w:t>
      </w:r>
      <w:proofErr w:type="spellEnd"/>
      <w:r w:rsidRPr="001F612A">
        <w:t xml:space="preserve"> </w:t>
      </w:r>
      <w:proofErr w:type="spellStart"/>
      <w:r w:rsidRPr="001F612A">
        <w:t>düzeyini</w:t>
      </w:r>
      <w:proofErr w:type="spellEnd"/>
      <w:r w:rsidRPr="001F612A">
        <w:t xml:space="preserve"> </w:t>
      </w:r>
      <w:proofErr w:type="spellStart"/>
      <w:r w:rsidRPr="001F612A">
        <w:t>azaltabileceğini</w:t>
      </w:r>
      <w:proofErr w:type="spellEnd"/>
      <w:r w:rsidRPr="001F612A">
        <w:t xml:space="preserve"> </w:t>
      </w:r>
      <w:proofErr w:type="spellStart"/>
      <w:r w:rsidRPr="001F612A">
        <w:t>göstermektedir</w:t>
      </w:r>
      <w:proofErr w:type="spellEnd"/>
      <w:r w:rsidRPr="001F612A">
        <w:t>.</w:t>
      </w:r>
      <w:r>
        <w:t xml:space="preserve"> </w:t>
      </w:r>
    </w:p>
    <w:p w14:paraId="24621E80" w14:textId="77777777" w:rsidR="007513A1" w:rsidRDefault="007513A1" w:rsidP="007513A1">
      <w:pPr>
        <w:pStyle w:val="NormalWeb"/>
        <w:spacing w:before="0" w:beforeAutospacing="0" w:after="0" w:afterAutospacing="0"/>
        <w:jc w:val="both"/>
      </w:pPr>
    </w:p>
    <w:p w14:paraId="255E3697" w14:textId="77777777" w:rsidR="00B470AD" w:rsidRDefault="00B470AD" w:rsidP="007513A1">
      <w:pPr>
        <w:pStyle w:val="NormalWeb"/>
        <w:spacing w:before="0" w:beforeAutospacing="0" w:after="0" w:afterAutospacing="0"/>
        <w:jc w:val="both"/>
      </w:pP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ile</w:t>
      </w:r>
      <w:proofErr w:type="spellEnd"/>
      <w:r>
        <w:t xml:space="preserve"> meta-</w:t>
      </w:r>
      <w:proofErr w:type="spellStart"/>
      <w:r>
        <w:t>endişe</w:t>
      </w:r>
      <w:proofErr w:type="spellEnd"/>
      <w:r>
        <w:t xml:space="preserve"> </w:t>
      </w:r>
      <w:proofErr w:type="spellStart"/>
      <w:r>
        <w:t>arasındaki</w:t>
      </w:r>
      <w:proofErr w:type="spellEnd"/>
      <w:r>
        <w:t xml:space="preserve"> </w:t>
      </w:r>
      <w:proofErr w:type="spellStart"/>
      <w:r>
        <w:t>ilişki</w:t>
      </w:r>
      <w:proofErr w:type="spellEnd"/>
      <w:r>
        <w:t xml:space="preserve">, </w:t>
      </w:r>
      <w:proofErr w:type="spellStart"/>
      <w:r>
        <w:t>kişilerin</w:t>
      </w:r>
      <w:proofErr w:type="spellEnd"/>
      <w:r>
        <w:t xml:space="preserve"> </w:t>
      </w:r>
      <w:proofErr w:type="spellStart"/>
      <w:r>
        <w:t>endişeyi</w:t>
      </w:r>
      <w:proofErr w:type="spellEnd"/>
      <w:r>
        <w:t xml:space="preserve"> ne </w:t>
      </w:r>
      <w:proofErr w:type="spellStart"/>
      <w:r>
        <w:t>şekilde</w:t>
      </w:r>
      <w:proofErr w:type="spellEnd"/>
      <w:r>
        <w:t xml:space="preserve"> </w:t>
      </w:r>
      <w:proofErr w:type="spellStart"/>
      <w:r>
        <w:t>algıladıklarının</w:t>
      </w:r>
      <w:proofErr w:type="spellEnd"/>
      <w:r>
        <w:t xml:space="preserve"> </w:t>
      </w:r>
      <w:proofErr w:type="spellStart"/>
      <w:r>
        <w:t>önemini</w:t>
      </w:r>
      <w:proofErr w:type="spellEnd"/>
      <w:r>
        <w:t xml:space="preserve"> </w:t>
      </w:r>
      <w:proofErr w:type="spellStart"/>
      <w:r>
        <w:t>ortaya</w:t>
      </w:r>
      <w:proofErr w:type="spellEnd"/>
      <w:r>
        <w:t xml:space="preserve"> </w:t>
      </w:r>
      <w:proofErr w:type="spellStart"/>
      <w:r>
        <w:t>koymaktadır</w:t>
      </w:r>
      <w:proofErr w:type="spellEnd"/>
      <w:r>
        <w:t xml:space="preserve">. Bu </w:t>
      </w:r>
      <w:proofErr w:type="spellStart"/>
      <w:r>
        <w:t>noktada</w:t>
      </w:r>
      <w:proofErr w:type="spellEnd"/>
      <w:r>
        <w:t xml:space="preserve"> </w:t>
      </w:r>
      <w:proofErr w:type="spellStart"/>
      <w:r>
        <w:t>endişe</w:t>
      </w:r>
      <w:proofErr w:type="spellEnd"/>
      <w:r>
        <w:t xml:space="preserve"> </w:t>
      </w:r>
      <w:proofErr w:type="spellStart"/>
      <w:r>
        <w:t>ile</w:t>
      </w:r>
      <w:proofErr w:type="spellEnd"/>
      <w:r>
        <w:t xml:space="preserve"> </w:t>
      </w:r>
      <w:proofErr w:type="spellStart"/>
      <w:r>
        <w:t>ilgili</w:t>
      </w:r>
      <w:proofErr w:type="spellEnd"/>
      <w:r>
        <w:t xml:space="preserve"> </w:t>
      </w:r>
      <w:proofErr w:type="spellStart"/>
      <w:r>
        <w:t>inançların</w:t>
      </w:r>
      <w:proofErr w:type="spellEnd"/>
      <w:r>
        <w:t xml:space="preserve"> </w:t>
      </w:r>
      <w:proofErr w:type="spellStart"/>
      <w:r>
        <w:t>ve</w:t>
      </w:r>
      <w:proofErr w:type="spellEnd"/>
      <w:r>
        <w:t xml:space="preserve"> </w:t>
      </w:r>
      <w:proofErr w:type="spellStart"/>
      <w:r>
        <w:t>başa</w:t>
      </w:r>
      <w:proofErr w:type="spellEnd"/>
      <w:r>
        <w:t xml:space="preserve"> </w:t>
      </w:r>
      <w:proofErr w:type="spellStart"/>
      <w:r>
        <w:t>çıkma</w:t>
      </w:r>
      <w:proofErr w:type="spellEnd"/>
      <w:r>
        <w:t xml:space="preserve"> </w:t>
      </w:r>
      <w:proofErr w:type="spellStart"/>
      <w:r>
        <w:t>biçimlerinin</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bozukluğunda</w:t>
      </w:r>
      <w:proofErr w:type="spellEnd"/>
      <w:r>
        <w:t xml:space="preserve"> </w:t>
      </w:r>
      <w:proofErr w:type="spellStart"/>
      <w:r>
        <w:t>belirleyici</w:t>
      </w:r>
      <w:proofErr w:type="spellEnd"/>
      <w:r>
        <w:t xml:space="preserve"> </w:t>
      </w:r>
      <w:proofErr w:type="spellStart"/>
      <w:r>
        <w:t>olduğu</w:t>
      </w:r>
      <w:proofErr w:type="spellEnd"/>
      <w:r>
        <w:t xml:space="preserve"> </w:t>
      </w:r>
      <w:proofErr w:type="spellStart"/>
      <w:r>
        <w:t>görülmektedir</w:t>
      </w:r>
      <w:proofErr w:type="spellEnd"/>
      <w:r>
        <w:t>. Meta-</w:t>
      </w:r>
      <w:proofErr w:type="spellStart"/>
      <w:r>
        <w:t>endişe</w:t>
      </w:r>
      <w:proofErr w:type="spellEnd"/>
      <w:r>
        <w:t xml:space="preserve">, </w:t>
      </w:r>
      <w:proofErr w:type="spellStart"/>
      <w:r>
        <w:t>endişeye</w:t>
      </w:r>
      <w:proofErr w:type="spellEnd"/>
      <w:r>
        <w:t xml:space="preserve"> </w:t>
      </w:r>
      <w:proofErr w:type="spellStart"/>
      <w:r>
        <w:t>dair</w:t>
      </w:r>
      <w:proofErr w:type="spellEnd"/>
      <w:r>
        <w:t xml:space="preserve"> </w:t>
      </w:r>
      <w:proofErr w:type="spellStart"/>
      <w:r>
        <w:t>negatif</w:t>
      </w:r>
      <w:proofErr w:type="spellEnd"/>
      <w:r>
        <w:t xml:space="preserve"> </w:t>
      </w:r>
      <w:proofErr w:type="spellStart"/>
      <w:r>
        <w:t>inançlarımızı</w:t>
      </w:r>
      <w:proofErr w:type="spellEnd"/>
      <w:r>
        <w:t xml:space="preserve"> </w:t>
      </w:r>
      <w:proofErr w:type="spellStart"/>
      <w:r>
        <w:t>temsil</w:t>
      </w:r>
      <w:proofErr w:type="spellEnd"/>
      <w:r>
        <w:t xml:space="preserve"> </w:t>
      </w:r>
      <w:proofErr w:type="spellStart"/>
      <w:r>
        <w:t>etmekteyken</w:t>
      </w:r>
      <w:proofErr w:type="spellEnd"/>
      <w:r>
        <w:t xml:space="preserve"> (Wells, 2011),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endişenin</w:t>
      </w:r>
      <w:proofErr w:type="spellEnd"/>
      <w:r>
        <w:t xml:space="preserve"> </w:t>
      </w:r>
      <w:proofErr w:type="spellStart"/>
      <w:r>
        <w:t>abartılmasına</w:t>
      </w:r>
      <w:proofErr w:type="spellEnd"/>
      <w:r>
        <w:t xml:space="preserve"> </w:t>
      </w:r>
      <w:proofErr w:type="spellStart"/>
      <w:r>
        <w:t>ve</w:t>
      </w:r>
      <w:proofErr w:type="spellEnd"/>
      <w:r>
        <w:t xml:space="preserve"> </w:t>
      </w:r>
      <w:proofErr w:type="spellStart"/>
      <w:r>
        <w:t>tehlikeli</w:t>
      </w:r>
      <w:proofErr w:type="spellEnd"/>
      <w:r>
        <w:t xml:space="preserve"> </w:t>
      </w:r>
      <w:proofErr w:type="spellStart"/>
      <w:r>
        <w:t>görülmesine</w:t>
      </w:r>
      <w:proofErr w:type="spellEnd"/>
      <w:r>
        <w:t xml:space="preserve"> </w:t>
      </w:r>
      <w:proofErr w:type="spellStart"/>
      <w:r>
        <w:t>neden</w:t>
      </w:r>
      <w:proofErr w:type="spellEnd"/>
      <w:r>
        <w:t xml:space="preserve"> </w:t>
      </w:r>
      <w:proofErr w:type="spellStart"/>
      <w:r>
        <w:t>olmaktadır</w:t>
      </w:r>
      <w:proofErr w:type="spellEnd"/>
      <w:r>
        <w:t xml:space="preserve"> (</w:t>
      </w:r>
      <w:proofErr w:type="spellStart"/>
      <w:r>
        <w:t>Riskind</w:t>
      </w:r>
      <w:proofErr w:type="spellEnd"/>
      <w:r>
        <w:t xml:space="preserve"> </w:t>
      </w:r>
      <w:proofErr w:type="spellStart"/>
      <w:r>
        <w:t>ve</w:t>
      </w:r>
      <w:proofErr w:type="spellEnd"/>
      <w:r>
        <w:t xml:space="preserve"> ark., 2000). </w:t>
      </w:r>
      <w:r>
        <w:lastRenderedPageBreak/>
        <w:t xml:space="preserve">Bu durum </w:t>
      </w:r>
      <w:proofErr w:type="spellStart"/>
      <w:r>
        <w:t>bireyin</w:t>
      </w:r>
      <w:proofErr w:type="spellEnd"/>
      <w:r>
        <w:t xml:space="preserve"> </w:t>
      </w:r>
      <w:proofErr w:type="spellStart"/>
      <w:r>
        <w:t>yaşamını</w:t>
      </w:r>
      <w:proofErr w:type="spellEnd"/>
      <w:r>
        <w:t xml:space="preserve"> </w:t>
      </w:r>
      <w:proofErr w:type="spellStart"/>
      <w:r>
        <w:t>işlevsiz</w:t>
      </w:r>
      <w:proofErr w:type="spellEnd"/>
      <w:r>
        <w:t xml:space="preserve"> hale </w:t>
      </w:r>
      <w:proofErr w:type="spellStart"/>
      <w:r>
        <w:t>getirmektedir</w:t>
      </w:r>
      <w:proofErr w:type="spellEnd"/>
      <w:r>
        <w:t xml:space="preserve">. </w:t>
      </w:r>
      <w:proofErr w:type="spellStart"/>
      <w:r>
        <w:t>Endişe</w:t>
      </w:r>
      <w:proofErr w:type="spellEnd"/>
      <w:r>
        <w:t xml:space="preserve"> </w:t>
      </w:r>
      <w:proofErr w:type="spellStart"/>
      <w:r>
        <w:t>ve</w:t>
      </w:r>
      <w:proofErr w:type="spellEnd"/>
      <w:r>
        <w:t xml:space="preserve"> </w:t>
      </w:r>
      <w:proofErr w:type="spellStart"/>
      <w:r>
        <w:t>kaygının</w:t>
      </w:r>
      <w:proofErr w:type="spellEnd"/>
      <w:r>
        <w:t xml:space="preserve">, </w:t>
      </w:r>
      <w:proofErr w:type="spellStart"/>
      <w:r>
        <w:t>kişinin</w:t>
      </w:r>
      <w:proofErr w:type="spellEnd"/>
      <w:r>
        <w:t xml:space="preserve"> </w:t>
      </w:r>
      <w:proofErr w:type="spellStart"/>
      <w:r>
        <w:t>işlevini</w:t>
      </w:r>
      <w:proofErr w:type="spellEnd"/>
      <w:r>
        <w:t xml:space="preserve"> </w:t>
      </w:r>
      <w:proofErr w:type="spellStart"/>
      <w:r>
        <w:t>bozmaya</w:t>
      </w:r>
      <w:proofErr w:type="spellEnd"/>
      <w:r>
        <w:t xml:space="preserve"> </w:t>
      </w:r>
      <w:proofErr w:type="spellStart"/>
      <w:r>
        <w:t>başladığı</w:t>
      </w:r>
      <w:proofErr w:type="spellEnd"/>
      <w:r>
        <w:t xml:space="preserve"> </w:t>
      </w:r>
      <w:proofErr w:type="spellStart"/>
      <w:r>
        <w:t>süreçte</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ortaya</w:t>
      </w:r>
      <w:proofErr w:type="spellEnd"/>
      <w:r>
        <w:t xml:space="preserve"> </w:t>
      </w:r>
      <w:proofErr w:type="spellStart"/>
      <w:r>
        <w:t>çıkmaktadır</w:t>
      </w:r>
      <w:proofErr w:type="spellEnd"/>
      <w:r>
        <w:t xml:space="preserve"> (APA, 2013). </w:t>
      </w:r>
    </w:p>
    <w:p w14:paraId="1913DD2E" w14:textId="77777777" w:rsidR="007513A1" w:rsidRDefault="007513A1" w:rsidP="007513A1">
      <w:pPr>
        <w:pStyle w:val="NormalWeb"/>
        <w:spacing w:before="0" w:beforeAutospacing="0" w:after="0" w:afterAutospacing="0"/>
        <w:jc w:val="both"/>
      </w:pPr>
    </w:p>
    <w:p w14:paraId="2A610F55" w14:textId="16C608A6" w:rsidR="00B470AD" w:rsidRDefault="00B470AD" w:rsidP="007513A1">
      <w:pPr>
        <w:pStyle w:val="NormalWeb"/>
        <w:spacing w:before="0" w:beforeAutospacing="0" w:after="0" w:afterAutospacing="0"/>
        <w:jc w:val="both"/>
      </w:pPr>
      <w:proofErr w:type="spellStart"/>
      <w:r>
        <w:t>Bulgular</w:t>
      </w:r>
      <w:proofErr w:type="spellEnd"/>
      <w:r>
        <w:t xml:space="preserve"> </w:t>
      </w:r>
      <w:proofErr w:type="spellStart"/>
      <w:r>
        <w:t>aynı</w:t>
      </w:r>
      <w:proofErr w:type="spellEnd"/>
      <w:r>
        <w:t xml:space="preserve"> </w:t>
      </w:r>
      <w:proofErr w:type="spellStart"/>
      <w:r>
        <w:t>zamanda</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ve</w:t>
      </w:r>
      <w:proofErr w:type="spellEnd"/>
      <w:r>
        <w:t xml:space="preserve"> meta-</w:t>
      </w:r>
      <w:proofErr w:type="spellStart"/>
      <w:r>
        <w:t>endişenin</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tanı</w:t>
      </w:r>
      <w:proofErr w:type="spellEnd"/>
      <w:r>
        <w:t xml:space="preserve"> </w:t>
      </w:r>
      <w:proofErr w:type="spellStart"/>
      <w:r>
        <w:t>kriterleriyle</w:t>
      </w:r>
      <w:proofErr w:type="spellEnd"/>
      <w:r>
        <w:t xml:space="preserve"> </w:t>
      </w:r>
      <w:proofErr w:type="spellStart"/>
      <w:r>
        <w:t>yakından</w:t>
      </w:r>
      <w:proofErr w:type="spellEnd"/>
      <w:r>
        <w:t xml:space="preserve"> </w:t>
      </w:r>
      <w:proofErr w:type="spellStart"/>
      <w:r>
        <w:t>ilişkili</w:t>
      </w:r>
      <w:proofErr w:type="spellEnd"/>
      <w:r>
        <w:t xml:space="preserve"> </w:t>
      </w:r>
      <w:proofErr w:type="spellStart"/>
      <w:r>
        <w:t>olabileceğini</w:t>
      </w:r>
      <w:proofErr w:type="spellEnd"/>
      <w:r>
        <w:t xml:space="preserve"> </w:t>
      </w:r>
      <w:proofErr w:type="spellStart"/>
      <w:r>
        <w:t>göstermektedir</w:t>
      </w:r>
      <w:proofErr w:type="spellEnd"/>
      <w:r>
        <w:t xml:space="preserve">. Bu </w:t>
      </w:r>
      <w:proofErr w:type="spellStart"/>
      <w:r>
        <w:t>sebeple</w:t>
      </w:r>
      <w:proofErr w:type="spellEnd"/>
      <w:r>
        <w:t xml:space="preserve"> </w:t>
      </w:r>
      <w:proofErr w:type="spellStart"/>
      <w:r>
        <w:t>bilişsel</w:t>
      </w:r>
      <w:proofErr w:type="spellEnd"/>
      <w:r>
        <w:t xml:space="preserve"> </w:t>
      </w:r>
      <w:proofErr w:type="spellStart"/>
      <w:r>
        <w:t>abartma</w:t>
      </w:r>
      <w:proofErr w:type="spellEnd"/>
      <w:r>
        <w:t xml:space="preserve"> </w:t>
      </w:r>
      <w:proofErr w:type="spellStart"/>
      <w:r>
        <w:t>tarzı</w:t>
      </w:r>
      <w:proofErr w:type="spellEnd"/>
      <w:r>
        <w:t xml:space="preserve"> </w:t>
      </w:r>
      <w:proofErr w:type="spellStart"/>
      <w:r>
        <w:t>ve</w:t>
      </w:r>
      <w:proofErr w:type="spellEnd"/>
      <w:r>
        <w:t xml:space="preserve"> meta-</w:t>
      </w:r>
      <w:proofErr w:type="spellStart"/>
      <w:r>
        <w:t>endişeyi</w:t>
      </w:r>
      <w:proofErr w:type="spellEnd"/>
      <w:r>
        <w:t xml:space="preserve"> </w:t>
      </w:r>
      <w:proofErr w:type="spellStart"/>
      <w:r>
        <w:t>daha</w:t>
      </w:r>
      <w:proofErr w:type="spellEnd"/>
      <w:r>
        <w:t xml:space="preserve"> iyi </w:t>
      </w:r>
      <w:proofErr w:type="spellStart"/>
      <w:r>
        <w:t>anlamak</w:t>
      </w:r>
      <w:proofErr w:type="spellEnd"/>
      <w:r>
        <w:t xml:space="preserve"> </w:t>
      </w:r>
      <w:proofErr w:type="spellStart"/>
      <w:r>
        <w:t>ve</w:t>
      </w:r>
      <w:proofErr w:type="spellEnd"/>
      <w:r>
        <w:t xml:space="preserve"> </w:t>
      </w:r>
      <w:proofErr w:type="spellStart"/>
      <w:r>
        <w:t>azaltmak</w:t>
      </w:r>
      <w:proofErr w:type="spellEnd"/>
      <w:r>
        <w:t xml:space="preserve"> </w:t>
      </w:r>
      <w:proofErr w:type="spellStart"/>
      <w:r>
        <w:t>için</w:t>
      </w:r>
      <w:proofErr w:type="spellEnd"/>
      <w:r>
        <w:t xml:space="preserve"> </w:t>
      </w:r>
      <w:proofErr w:type="spellStart"/>
      <w:r>
        <w:t>yapılacak</w:t>
      </w:r>
      <w:proofErr w:type="spellEnd"/>
      <w:r>
        <w:t xml:space="preserve"> </w:t>
      </w:r>
      <w:proofErr w:type="spellStart"/>
      <w:r>
        <w:t>çalışmaların</w:t>
      </w:r>
      <w:proofErr w:type="spellEnd"/>
      <w:r>
        <w:t xml:space="preserve"> </w:t>
      </w:r>
      <w:proofErr w:type="spellStart"/>
      <w:r>
        <w:t>önemli</w:t>
      </w:r>
      <w:proofErr w:type="spellEnd"/>
      <w:r>
        <w:t xml:space="preserve"> </w:t>
      </w:r>
      <w:proofErr w:type="spellStart"/>
      <w:r>
        <w:t>olacağı</w:t>
      </w:r>
      <w:proofErr w:type="spellEnd"/>
      <w:r>
        <w:t xml:space="preserve"> </w:t>
      </w:r>
      <w:proofErr w:type="spellStart"/>
      <w:r>
        <w:t>düşünülmektedir</w:t>
      </w:r>
      <w:proofErr w:type="spellEnd"/>
      <w:r>
        <w:t xml:space="preserve">. Bu </w:t>
      </w:r>
      <w:proofErr w:type="spellStart"/>
      <w:r>
        <w:t>bağlamda</w:t>
      </w:r>
      <w:proofErr w:type="spellEnd"/>
      <w:r>
        <w:t xml:space="preserve"> </w:t>
      </w:r>
      <w:proofErr w:type="spellStart"/>
      <w:r>
        <w:t>bilişsel</w:t>
      </w:r>
      <w:proofErr w:type="spellEnd"/>
      <w:r>
        <w:t xml:space="preserve"> </w:t>
      </w:r>
      <w:proofErr w:type="spellStart"/>
      <w:r>
        <w:t>odaklı</w:t>
      </w:r>
      <w:proofErr w:type="spellEnd"/>
      <w:r>
        <w:t xml:space="preserve"> </w:t>
      </w:r>
      <w:proofErr w:type="spellStart"/>
      <w:r>
        <w:t>terapilerin</w:t>
      </w:r>
      <w:proofErr w:type="spellEnd"/>
      <w:r>
        <w:t xml:space="preserve"> </w:t>
      </w:r>
      <w:proofErr w:type="spellStart"/>
      <w:r>
        <w:t>önleme</w:t>
      </w:r>
      <w:proofErr w:type="spellEnd"/>
      <w:r>
        <w:t xml:space="preserve">, </w:t>
      </w:r>
      <w:proofErr w:type="spellStart"/>
      <w:r>
        <w:t>tedavi</w:t>
      </w:r>
      <w:proofErr w:type="spellEnd"/>
      <w:r>
        <w:t xml:space="preserve"> </w:t>
      </w:r>
      <w:proofErr w:type="spellStart"/>
      <w:r>
        <w:t>ve</w:t>
      </w:r>
      <w:proofErr w:type="spellEnd"/>
      <w:r>
        <w:t xml:space="preserve"> </w:t>
      </w:r>
      <w:proofErr w:type="spellStart"/>
      <w:r>
        <w:t>nüks</w:t>
      </w:r>
      <w:proofErr w:type="spellEnd"/>
      <w:r>
        <w:t xml:space="preserve"> </w:t>
      </w:r>
      <w:proofErr w:type="spellStart"/>
      <w:r>
        <w:t>engelleme</w:t>
      </w:r>
      <w:proofErr w:type="spellEnd"/>
      <w:r>
        <w:t xml:space="preserve"> </w:t>
      </w:r>
      <w:proofErr w:type="spellStart"/>
      <w:r>
        <w:t>gibi</w:t>
      </w:r>
      <w:proofErr w:type="spellEnd"/>
      <w:r>
        <w:t xml:space="preserve"> </w:t>
      </w:r>
      <w:proofErr w:type="spellStart"/>
      <w:r>
        <w:t>süreçlerde</w:t>
      </w:r>
      <w:proofErr w:type="spellEnd"/>
      <w:r>
        <w:t xml:space="preserve"> </w:t>
      </w:r>
      <w:proofErr w:type="spellStart"/>
      <w:r>
        <w:t>önemi</w:t>
      </w:r>
      <w:proofErr w:type="spellEnd"/>
      <w:r>
        <w:t xml:space="preserve"> </w:t>
      </w:r>
      <w:proofErr w:type="spellStart"/>
      <w:r>
        <w:t>ortaya</w:t>
      </w:r>
      <w:proofErr w:type="spellEnd"/>
      <w:r>
        <w:t xml:space="preserve"> </w:t>
      </w:r>
      <w:proofErr w:type="spellStart"/>
      <w:r>
        <w:t>çıkmaktadır</w:t>
      </w:r>
      <w:proofErr w:type="spellEnd"/>
      <w:r>
        <w:t>.</w:t>
      </w:r>
    </w:p>
    <w:p w14:paraId="197A7428" w14:textId="77777777" w:rsidR="007513A1" w:rsidRDefault="007513A1" w:rsidP="007513A1">
      <w:pPr>
        <w:pStyle w:val="NormalWeb"/>
        <w:spacing w:before="0" w:beforeAutospacing="0" w:after="0" w:afterAutospacing="0"/>
        <w:jc w:val="both"/>
      </w:pPr>
    </w:p>
    <w:p w14:paraId="6895E680" w14:textId="77777777" w:rsidR="00B470AD" w:rsidRDefault="00B470AD" w:rsidP="007513A1">
      <w:pPr>
        <w:pStyle w:val="NormalWeb"/>
        <w:spacing w:before="0" w:beforeAutospacing="0" w:after="0" w:afterAutospacing="0"/>
        <w:jc w:val="both"/>
      </w:pPr>
      <w:proofErr w:type="spellStart"/>
      <w:r>
        <w:t>Çalışmanın</w:t>
      </w:r>
      <w:proofErr w:type="spellEnd"/>
      <w:r>
        <w:t xml:space="preserve"> </w:t>
      </w:r>
      <w:proofErr w:type="spellStart"/>
      <w:r>
        <w:t>çevrimiçi</w:t>
      </w:r>
      <w:proofErr w:type="spellEnd"/>
      <w:r>
        <w:t xml:space="preserve"> form </w:t>
      </w:r>
      <w:proofErr w:type="spellStart"/>
      <w:r>
        <w:t>aracılığıyla</w:t>
      </w:r>
      <w:proofErr w:type="spellEnd"/>
      <w:r>
        <w:t xml:space="preserve"> </w:t>
      </w:r>
      <w:proofErr w:type="spellStart"/>
      <w:r>
        <w:t>toplanmış</w:t>
      </w:r>
      <w:proofErr w:type="spellEnd"/>
      <w:r>
        <w:t xml:space="preserve"> </w:t>
      </w:r>
      <w:proofErr w:type="spellStart"/>
      <w:r>
        <w:t>olması</w:t>
      </w:r>
      <w:proofErr w:type="spellEnd"/>
      <w:r>
        <w:t xml:space="preserve"> </w:t>
      </w:r>
      <w:proofErr w:type="spellStart"/>
      <w:r>
        <w:t>örneklemin</w:t>
      </w:r>
      <w:proofErr w:type="spellEnd"/>
      <w:r>
        <w:t xml:space="preserve"> internet </w:t>
      </w:r>
      <w:proofErr w:type="spellStart"/>
      <w:r>
        <w:t>kullanabilen</w:t>
      </w:r>
      <w:proofErr w:type="spellEnd"/>
      <w:r>
        <w:t xml:space="preserve"> </w:t>
      </w:r>
      <w:proofErr w:type="spellStart"/>
      <w:r>
        <w:t>kişilerle</w:t>
      </w:r>
      <w:proofErr w:type="spellEnd"/>
      <w:r>
        <w:t xml:space="preserve"> </w:t>
      </w:r>
      <w:proofErr w:type="spellStart"/>
      <w:r>
        <w:t>sınırlı</w:t>
      </w:r>
      <w:proofErr w:type="spellEnd"/>
      <w:r>
        <w:t xml:space="preserve"> </w:t>
      </w:r>
      <w:proofErr w:type="spellStart"/>
      <w:r>
        <w:t>kalmasına</w:t>
      </w:r>
      <w:proofErr w:type="spellEnd"/>
      <w:r>
        <w:t xml:space="preserve"> </w:t>
      </w:r>
      <w:proofErr w:type="spellStart"/>
      <w:r>
        <w:t>neden</w:t>
      </w:r>
      <w:proofErr w:type="spellEnd"/>
      <w:r>
        <w:t xml:space="preserve"> </w:t>
      </w:r>
      <w:proofErr w:type="spellStart"/>
      <w:r>
        <w:t>olmuştur</w:t>
      </w:r>
      <w:proofErr w:type="spellEnd"/>
      <w:r>
        <w:t xml:space="preserve">. Ek </w:t>
      </w:r>
      <w:proofErr w:type="spellStart"/>
      <w:r>
        <w:t>olarak</w:t>
      </w:r>
      <w:proofErr w:type="spellEnd"/>
      <w:r>
        <w:t xml:space="preserve"> </w:t>
      </w:r>
      <w:proofErr w:type="spellStart"/>
      <w:r>
        <w:t>yaş</w:t>
      </w:r>
      <w:proofErr w:type="spellEnd"/>
      <w:r>
        <w:t xml:space="preserve"> </w:t>
      </w:r>
      <w:proofErr w:type="spellStart"/>
      <w:r>
        <w:t>ortalamasının</w:t>
      </w:r>
      <w:proofErr w:type="spellEnd"/>
      <w:r>
        <w:t xml:space="preserve"> </w:t>
      </w:r>
      <w:r w:rsidRPr="003113E0">
        <w:t>29.41</w:t>
      </w:r>
      <w:r>
        <w:t xml:space="preserve"> </w:t>
      </w:r>
      <w:proofErr w:type="spellStart"/>
      <w:r>
        <w:t>olması</w:t>
      </w:r>
      <w:proofErr w:type="spellEnd"/>
      <w:r>
        <w:t xml:space="preserve"> da </w:t>
      </w:r>
      <w:proofErr w:type="spellStart"/>
      <w:r>
        <w:t>çalışmanın</w:t>
      </w:r>
      <w:proofErr w:type="spellEnd"/>
      <w:r>
        <w:t xml:space="preserve"> </w:t>
      </w:r>
      <w:proofErr w:type="spellStart"/>
      <w:r>
        <w:t>yaşlı</w:t>
      </w:r>
      <w:proofErr w:type="spellEnd"/>
      <w:r>
        <w:t xml:space="preserve"> </w:t>
      </w:r>
      <w:proofErr w:type="spellStart"/>
      <w:r>
        <w:t>bireylere</w:t>
      </w:r>
      <w:proofErr w:type="spellEnd"/>
      <w:r>
        <w:t xml:space="preserve"> </w:t>
      </w:r>
      <w:proofErr w:type="spellStart"/>
      <w:r>
        <w:t>dair</w:t>
      </w:r>
      <w:proofErr w:type="spellEnd"/>
      <w:r>
        <w:t xml:space="preserve"> </w:t>
      </w:r>
      <w:proofErr w:type="spellStart"/>
      <w:r>
        <w:t>yeterince</w:t>
      </w:r>
      <w:proofErr w:type="spellEnd"/>
      <w:r>
        <w:t xml:space="preserve"> </w:t>
      </w:r>
      <w:proofErr w:type="spellStart"/>
      <w:r>
        <w:t>veri</w:t>
      </w:r>
      <w:proofErr w:type="spellEnd"/>
      <w:r>
        <w:t xml:space="preserve"> </w:t>
      </w:r>
      <w:proofErr w:type="spellStart"/>
      <w:r>
        <w:t>sunamama</w:t>
      </w:r>
      <w:proofErr w:type="spellEnd"/>
      <w:r>
        <w:t xml:space="preserve"> </w:t>
      </w:r>
      <w:proofErr w:type="spellStart"/>
      <w:r>
        <w:t>ihtimalini</w:t>
      </w:r>
      <w:proofErr w:type="spellEnd"/>
      <w:r>
        <w:t xml:space="preserve"> </w:t>
      </w:r>
      <w:proofErr w:type="spellStart"/>
      <w:r>
        <w:t>ortaya</w:t>
      </w:r>
      <w:proofErr w:type="spellEnd"/>
      <w:r>
        <w:t xml:space="preserve"> </w:t>
      </w:r>
      <w:proofErr w:type="spellStart"/>
      <w:r>
        <w:t>koymaktadır</w:t>
      </w:r>
      <w:proofErr w:type="spellEnd"/>
      <w:r>
        <w:t xml:space="preserve">. </w:t>
      </w:r>
      <w:proofErr w:type="spellStart"/>
      <w:r>
        <w:t>Literatüre</w:t>
      </w:r>
      <w:proofErr w:type="spellEnd"/>
      <w:r>
        <w:t xml:space="preserve"> </w:t>
      </w:r>
      <w:proofErr w:type="spellStart"/>
      <w:r>
        <w:t>bakıldığında</w:t>
      </w:r>
      <w:proofErr w:type="spellEnd"/>
      <w:r>
        <w:t xml:space="preserve"> </w:t>
      </w:r>
      <w:proofErr w:type="spellStart"/>
      <w:r>
        <w:t>yaygın</w:t>
      </w:r>
      <w:proofErr w:type="spellEnd"/>
      <w:r>
        <w:t xml:space="preserve"> </w:t>
      </w:r>
      <w:proofErr w:type="spellStart"/>
      <w:r>
        <w:t>anksiyete</w:t>
      </w:r>
      <w:proofErr w:type="spellEnd"/>
      <w:r>
        <w:t xml:space="preserve"> </w:t>
      </w:r>
      <w:proofErr w:type="spellStart"/>
      <w:r>
        <w:t>bozukluğu</w:t>
      </w:r>
      <w:proofErr w:type="spellEnd"/>
      <w:r>
        <w:t xml:space="preserve"> </w:t>
      </w:r>
      <w:proofErr w:type="spellStart"/>
      <w:r>
        <w:t>ve</w:t>
      </w:r>
      <w:proofErr w:type="spellEnd"/>
      <w:r>
        <w:t xml:space="preserve"> </w:t>
      </w:r>
      <w:proofErr w:type="spellStart"/>
      <w:r>
        <w:t>yaşlılara</w:t>
      </w:r>
      <w:proofErr w:type="spellEnd"/>
      <w:r>
        <w:t xml:space="preserve"> </w:t>
      </w:r>
      <w:proofErr w:type="spellStart"/>
      <w:r>
        <w:t>dair</w:t>
      </w:r>
      <w:proofErr w:type="spellEnd"/>
      <w:r>
        <w:t xml:space="preserve"> </w:t>
      </w:r>
      <w:proofErr w:type="spellStart"/>
      <w:r>
        <w:t>çalışmalar</w:t>
      </w:r>
      <w:proofErr w:type="spellEnd"/>
      <w:r>
        <w:t xml:space="preserve"> </w:t>
      </w:r>
      <w:proofErr w:type="spellStart"/>
      <w:r>
        <w:t>oldukça</w:t>
      </w:r>
      <w:proofErr w:type="spellEnd"/>
      <w:r>
        <w:t xml:space="preserve"> </w:t>
      </w:r>
      <w:proofErr w:type="spellStart"/>
      <w:r>
        <w:t>sınırlı</w:t>
      </w:r>
      <w:proofErr w:type="spellEnd"/>
      <w:r>
        <w:t xml:space="preserve"> </w:t>
      </w:r>
      <w:proofErr w:type="spellStart"/>
      <w:r>
        <w:t>sayıdadır</w:t>
      </w:r>
      <w:proofErr w:type="spellEnd"/>
      <w:r>
        <w:t xml:space="preserve">. Bu </w:t>
      </w:r>
      <w:proofErr w:type="spellStart"/>
      <w:r>
        <w:t>sebeple</w:t>
      </w:r>
      <w:proofErr w:type="spellEnd"/>
      <w:r>
        <w:t xml:space="preserve"> </w:t>
      </w:r>
      <w:proofErr w:type="spellStart"/>
      <w:r>
        <w:t>bu</w:t>
      </w:r>
      <w:proofErr w:type="spellEnd"/>
      <w:r>
        <w:t xml:space="preserve"> </w:t>
      </w:r>
      <w:proofErr w:type="spellStart"/>
      <w:r>
        <w:t>alanın</w:t>
      </w:r>
      <w:proofErr w:type="spellEnd"/>
      <w:r>
        <w:t xml:space="preserve"> </w:t>
      </w:r>
      <w:proofErr w:type="spellStart"/>
      <w:r>
        <w:t>yüz</w:t>
      </w:r>
      <w:proofErr w:type="spellEnd"/>
      <w:r>
        <w:t xml:space="preserve"> </w:t>
      </w:r>
      <w:proofErr w:type="spellStart"/>
      <w:r>
        <w:t>yüze</w:t>
      </w:r>
      <w:proofErr w:type="spellEnd"/>
      <w:r>
        <w:t xml:space="preserve"> </w:t>
      </w:r>
      <w:proofErr w:type="spellStart"/>
      <w:r>
        <w:t>ve</w:t>
      </w:r>
      <w:proofErr w:type="spellEnd"/>
      <w:r>
        <w:t xml:space="preserve"> </w:t>
      </w:r>
      <w:proofErr w:type="spellStart"/>
      <w:r>
        <w:t>yaşlı</w:t>
      </w:r>
      <w:proofErr w:type="spellEnd"/>
      <w:r>
        <w:t xml:space="preserve"> </w:t>
      </w:r>
      <w:proofErr w:type="spellStart"/>
      <w:r>
        <w:t>bireylerle</w:t>
      </w:r>
      <w:proofErr w:type="spellEnd"/>
      <w:r>
        <w:t xml:space="preserve"> de </w:t>
      </w:r>
      <w:proofErr w:type="spellStart"/>
      <w:r>
        <w:t>çalışılması</w:t>
      </w:r>
      <w:proofErr w:type="spellEnd"/>
      <w:r>
        <w:t xml:space="preserve"> </w:t>
      </w:r>
      <w:proofErr w:type="spellStart"/>
      <w:r>
        <w:t>önerilmektedir</w:t>
      </w:r>
      <w:proofErr w:type="spellEnd"/>
      <w:r>
        <w:t xml:space="preserve">. </w:t>
      </w:r>
      <w:proofErr w:type="spellStart"/>
      <w:r w:rsidRPr="001F612A">
        <w:t>Çalışma</w:t>
      </w:r>
      <w:r>
        <w:t>nın</w:t>
      </w:r>
      <w:proofErr w:type="spellEnd"/>
      <w:r w:rsidRPr="001F612A">
        <w:t xml:space="preserve"> </w:t>
      </w:r>
      <w:proofErr w:type="spellStart"/>
      <w:r w:rsidRPr="001F612A">
        <w:t>korelasyonel</w:t>
      </w:r>
      <w:proofErr w:type="spellEnd"/>
      <w:r w:rsidRPr="001F612A">
        <w:t xml:space="preserve"> </w:t>
      </w:r>
      <w:proofErr w:type="spellStart"/>
      <w:r w:rsidRPr="001F612A">
        <w:t>araştırma</w:t>
      </w:r>
      <w:proofErr w:type="spellEnd"/>
      <w:r w:rsidRPr="001F612A">
        <w:t xml:space="preserve"> </w:t>
      </w:r>
      <w:proofErr w:type="spellStart"/>
      <w:r w:rsidRPr="001F612A">
        <w:t>ol</w:t>
      </w:r>
      <w:r>
        <w:t>ması</w:t>
      </w:r>
      <w:proofErr w:type="spellEnd"/>
      <w:r>
        <w:t xml:space="preserve"> </w:t>
      </w:r>
      <w:proofErr w:type="spellStart"/>
      <w:r>
        <w:t>sebebiyle</w:t>
      </w:r>
      <w:proofErr w:type="spellEnd"/>
      <w:r>
        <w:t xml:space="preserve"> </w:t>
      </w:r>
      <w:proofErr w:type="spellStart"/>
      <w:r>
        <w:t>yalnızca</w:t>
      </w:r>
      <w:proofErr w:type="spellEnd"/>
      <w:r>
        <w:t xml:space="preserve"> </w:t>
      </w:r>
      <w:proofErr w:type="spellStart"/>
      <w:r w:rsidRPr="001F612A">
        <w:t>değişkenler</w:t>
      </w:r>
      <w:proofErr w:type="spellEnd"/>
      <w:r w:rsidRPr="001F612A">
        <w:t xml:space="preserve"> </w:t>
      </w:r>
      <w:proofErr w:type="spellStart"/>
      <w:r w:rsidRPr="001F612A">
        <w:t>arasındaki</w:t>
      </w:r>
      <w:proofErr w:type="spellEnd"/>
      <w:r w:rsidRPr="001F612A">
        <w:t xml:space="preserve"> </w:t>
      </w:r>
      <w:proofErr w:type="spellStart"/>
      <w:r w:rsidRPr="001F612A">
        <w:t>ilişkiler</w:t>
      </w:r>
      <w:proofErr w:type="spellEnd"/>
      <w:r>
        <w:t xml:space="preserve"> </w:t>
      </w:r>
      <w:proofErr w:type="spellStart"/>
      <w:r>
        <w:t>tespit</w:t>
      </w:r>
      <w:proofErr w:type="spellEnd"/>
      <w:r>
        <w:t xml:space="preserve"> </w:t>
      </w:r>
      <w:proofErr w:type="spellStart"/>
      <w:r>
        <w:t>edilmiştir</w:t>
      </w:r>
      <w:proofErr w:type="spellEnd"/>
      <w:r>
        <w:t xml:space="preserve">. </w:t>
      </w:r>
      <w:proofErr w:type="spellStart"/>
      <w:r>
        <w:t>İleride</w:t>
      </w:r>
      <w:proofErr w:type="spellEnd"/>
      <w:r>
        <w:t xml:space="preserve"> </w:t>
      </w:r>
      <w:proofErr w:type="spellStart"/>
      <w:r>
        <w:t>bu</w:t>
      </w:r>
      <w:proofErr w:type="spellEnd"/>
      <w:r>
        <w:t xml:space="preserve"> </w:t>
      </w:r>
      <w:proofErr w:type="spellStart"/>
      <w:r>
        <w:t>ilişkiyi</w:t>
      </w:r>
      <w:proofErr w:type="spellEnd"/>
      <w:r>
        <w:t xml:space="preserve"> </w:t>
      </w:r>
      <w:proofErr w:type="spellStart"/>
      <w:r>
        <w:t>daha</w:t>
      </w:r>
      <w:proofErr w:type="spellEnd"/>
      <w:r>
        <w:t xml:space="preserve"> iyi </w:t>
      </w:r>
      <w:proofErr w:type="spellStart"/>
      <w:r>
        <w:t>anlamak</w:t>
      </w:r>
      <w:proofErr w:type="spellEnd"/>
      <w:r>
        <w:t xml:space="preserve"> </w:t>
      </w:r>
      <w:proofErr w:type="spellStart"/>
      <w:r>
        <w:t>için</w:t>
      </w:r>
      <w:proofErr w:type="spellEnd"/>
      <w:r>
        <w:t xml:space="preserve"> </w:t>
      </w:r>
      <w:proofErr w:type="spellStart"/>
      <w:r>
        <w:t>daha</w:t>
      </w:r>
      <w:proofErr w:type="spellEnd"/>
      <w:r>
        <w:t xml:space="preserve"> </w:t>
      </w:r>
      <w:proofErr w:type="spellStart"/>
      <w:r>
        <w:t>detaylı</w:t>
      </w:r>
      <w:proofErr w:type="spellEnd"/>
      <w:r>
        <w:t xml:space="preserve"> </w:t>
      </w:r>
      <w:proofErr w:type="spellStart"/>
      <w:r>
        <w:t>incelemeler</w:t>
      </w:r>
      <w:proofErr w:type="spellEnd"/>
      <w:r w:rsidRPr="001F612A">
        <w:t xml:space="preserve"> </w:t>
      </w:r>
      <w:proofErr w:type="spellStart"/>
      <w:r>
        <w:t>yapılması</w:t>
      </w:r>
      <w:proofErr w:type="spellEnd"/>
      <w:r>
        <w:t xml:space="preserve"> </w:t>
      </w:r>
      <w:proofErr w:type="spellStart"/>
      <w:r>
        <w:t>önerilmektedir</w:t>
      </w:r>
      <w:proofErr w:type="spellEnd"/>
      <w:r>
        <w:t>.</w:t>
      </w:r>
    </w:p>
    <w:p w14:paraId="30066E9E" w14:textId="77777777" w:rsidR="007513A1" w:rsidRDefault="007513A1" w:rsidP="007513A1">
      <w:pPr>
        <w:pStyle w:val="NormalWeb"/>
        <w:spacing w:before="0" w:beforeAutospacing="0" w:after="0" w:afterAutospacing="0"/>
        <w:jc w:val="both"/>
      </w:pPr>
    </w:p>
    <w:p w14:paraId="324967AD" w14:textId="451B131E" w:rsidR="00C70E93" w:rsidRDefault="00B470AD" w:rsidP="007513A1">
      <w:pPr>
        <w:pStyle w:val="NormalWeb"/>
        <w:spacing w:before="0" w:beforeAutospacing="0" w:after="0" w:afterAutospacing="0"/>
        <w:jc w:val="both"/>
      </w:pPr>
      <w:proofErr w:type="spellStart"/>
      <w:r w:rsidRPr="008860E2">
        <w:t>Sonuç</w:t>
      </w:r>
      <w:proofErr w:type="spellEnd"/>
      <w:r w:rsidRPr="008860E2">
        <w:t xml:space="preserve"> </w:t>
      </w:r>
      <w:proofErr w:type="spellStart"/>
      <w:r w:rsidRPr="008860E2">
        <w:t>olarak</w:t>
      </w:r>
      <w:proofErr w:type="spellEnd"/>
      <w:r w:rsidRPr="008860E2">
        <w:t xml:space="preserve"> </w:t>
      </w:r>
      <w:proofErr w:type="spellStart"/>
      <w:r w:rsidRPr="008860E2">
        <w:t>bu</w:t>
      </w:r>
      <w:proofErr w:type="spellEnd"/>
      <w:r w:rsidRPr="008860E2">
        <w:t xml:space="preserve"> </w:t>
      </w:r>
      <w:proofErr w:type="spellStart"/>
      <w:r w:rsidRPr="008860E2">
        <w:t>çalışma</w:t>
      </w:r>
      <w:proofErr w:type="spellEnd"/>
      <w:r w:rsidRPr="008860E2">
        <w:t xml:space="preserve">, </w:t>
      </w:r>
      <w:proofErr w:type="spellStart"/>
      <w:r w:rsidRPr="008860E2">
        <w:t>bilişsel</w:t>
      </w:r>
      <w:proofErr w:type="spellEnd"/>
      <w:r w:rsidRPr="008860E2">
        <w:t xml:space="preserve"> </w:t>
      </w:r>
      <w:proofErr w:type="spellStart"/>
      <w:r w:rsidRPr="008860E2">
        <w:t>abartma</w:t>
      </w:r>
      <w:proofErr w:type="spellEnd"/>
      <w:r w:rsidRPr="008860E2">
        <w:t xml:space="preserve"> </w:t>
      </w:r>
      <w:proofErr w:type="spellStart"/>
      <w:r w:rsidRPr="008860E2">
        <w:t>tarzı</w:t>
      </w:r>
      <w:r>
        <w:t>nın</w:t>
      </w:r>
      <w:proofErr w:type="spellEnd"/>
      <w:r w:rsidRPr="008860E2">
        <w:t xml:space="preserve"> </w:t>
      </w:r>
      <w:proofErr w:type="spellStart"/>
      <w:r w:rsidRPr="008860E2">
        <w:t>ve</w:t>
      </w:r>
      <w:proofErr w:type="spellEnd"/>
      <w:r w:rsidRPr="008860E2">
        <w:t xml:space="preserve"> meta-</w:t>
      </w:r>
      <w:proofErr w:type="spellStart"/>
      <w:r w:rsidRPr="008860E2">
        <w:t>endişenin</w:t>
      </w:r>
      <w:proofErr w:type="spellEnd"/>
      <w:r w:rsidRPr="008860E2">
        <w:t xml:space="preserve"> </w:t>
      </w:r>
      <w:proofErr w:type="spellStart"/>
      <w:r w:rsidRPr="008860E2">
        <w:t>yaygın</w:t>
      </w:r>
      <w:proofErr w:type="spellEnd"/>
      <w:r w:rsidRPr="008860E2">
        <w:t xml:space="preserve"> </w:t>
      </w:r>
      <w:proofErr w:type="spellStart"/>
      <w:r w:rsidRPr="008860E2">
        <w:t>anksiyete</w:t>
      </w:r>
      <w:proofErr w:type="spellEnd"/>
      <w:r w:rsidRPr="008860E2">
        <w:t xml:space="preserve"> </w:t>
      </w:r>
      <w:proofErr w:type="spellStart"/>
      <w:r w:rsidRPr="008860E2">
        <w:t>bozukluğunu</w:t>
      </w:r>
      <w:proofErr w:type="spellEnd"/>
      <w:r w:rsidRPr="008860E2">
        <w:t xml:space="preserve"> </w:t>
      </w:r>
      <w:proofErr w:type="spellStart"/>
      <w:r>
        <w:t>anlamada</w:t>
      </w:r>
      <w:proofErr w:type="spellEnd"/>
      <w:r w:rsidRPr="008860E2">
        <w:t xml:space="preserve"> </w:t>
      </w:r>
      <w:proofErr w:type="spellStart"/>
      <w:r w:rsidRPr="008860E2">
        <w:t>ve</w:t>
      </w:r>
      <w:proofErr w:type="spellEnd"/>
      <w:r w:rsidRPr="008860E2">
        <w:t xml:space="preserve"> </w:t>
      </w:r>
      <w:proofErr w:type="spellStart"/>
      <w:r w:rsidRPr="008860E2">
        <w:t>tedavi</w:t>
      </w:r>
      <w:proofErr w:type="spellEnd"/>
      <w:r w:rsidRPr="008860E2">
        <w:t xml:space="preserve"> </w:t>
      </w:r>
      <w:proofErr w:type="spellStart"/>
      <w:r>
        <w:t>etmede</w:t>
      </w:r>
      <w:proofErr w:type="spellEnd"/>
      <w:r w:rsidRPr="008860E2">
        <w:t xml:space="preserve"> </w:t>
      </w:r>
      <w:proofErr w:type="spellStart"/>
      <w:r w:rsidRPr="008860E2">
        <w:t>önemli</w:t>
      </w:r>
      <w:proofErr w:type="spellEnd"/>
      <w:r w:rsidRPr="008860E2">
        <w:t xml:space="preserve"> </w:t>
      </w:r>
      <w:proofErr w:type="spellStart"/>
      <w:r w:rsidRPr="008860E2">
        <w:t>rol</w:t>
      </w:r>
      <w:r>
        <w:t>lerinin</w:t>
      </w:r>
      <w:proofErr w:type="spellEnd"/>
      <w:r>
        <w:t xml:space="preserve"> </w:t>
      </w:r>
      <w:proofErr w:type="spellStart"/>
      <w:r>
        <w:t>olduğunu</w:t>
      </w:r>
      <w:proofErr w:type="spellEnd"/>
      <w:r w:rsidRPr="008860E2">
        <w:t xml:space="preserve"> </w:t>
      </w:r>
      <w:proofErr w:type="spellStart"/>
      <w:r w:rsidRPr="008860E2">
        <w:t>vurgulamaktadır</w:t>
      </w:r>
      <w:proofErr w:type="spellEnd"/>
      <w:r w:rsidRPr="008860E2">
        <w:t xml:space="preserve">. Bu </w:t>
      </w:r>
      <w:proofErr w:type="spellStart"/>
      <w:r>
        <w:t>kavramların</w:t>
      </w:r>
      <w:proofErr w:type="spellEnd"/>
      <w:r>
        <w:t xml:space="preserve"> </w:t>
      </w:r>
      <w:proofErr w:type="spellStart"/>
      <w:r>
        <w:t>ve</w:t>
      </w:r>
      <w:proofErr w:type="spellEnd"/>
      <w:r>
        <w:t xml:space="preserve"> </w:t>
      </w:r>
      <w:proofErr w:type="spellStart"/>
      <w:r>
        <w:t>aradaki</w:t>
      </w:r>
      <w:proofErr w:type="spellEnd"/>
      <w:r>
        <w:t xml:space="preserve"> </w:t>
      </w:r>
      <w:proofErr w:type="spellStart"/>
      <w:r w:rsidRPr="008860E2">
        <w:t>ilişkilerin</w:t>
      </w:r>
      <w:proofErr w:type="spellEnd"/>
      <w:r w:rsidRPr="008860E2">
        <w:t xml:space="preserve"> </w:t>
      </w:r>
      <w:proofErr w:type="spellStart"/>
      <w:r w:rsidRPr="008860E2">
        <w:t>daha</w:t>
      </w:r>
      <w:proofErr w:type="spellEnd"/>
      <w:r w:rsidRPr="008860E2">
        <w:t xml:space="preserve"> </w:t>
      </w:r>
      <w:proofErr w:type="spellStart"/>
      <w:r>
        <w:t>çok</w:t>
      </w:r>
      <w:proofErr w:type="spellEnd"/>
      <w:r w:rsidRPr="008860E2">
        <w:t xml:space="preserve"> </w:t>
      </w:r>
      <w:proofErr w:type="spellStart"/>
      <w:r w:rsidRPr="008860E2">
        <w:t>araştırılması</w:t>
      </w:r>
      <w:proofErr w:type="spellEnd"/>
      <w:r w:rsidRPr="008860E2">
        <w:t xml:space="preserve">, </w:t>
      </w:r>
      <w:proofErr w:type="spellStart"/>
      <w:r>
        <w:t>anksiyete</w:t>
      </w:r>
      <w:proofErr w:type="spellEnd"/>
      <w:r>
        <w:t xml:space="preserve"> </w:t>
      </w:r>
      <w:proofErr w:type="spellStart"/>
      <w:r>
        <w:t>bozukluklarına</w:t>
      </w:r>
      <w:proofErr w:type="spellEnd"/>
      <w:r>
        <w:t xml:space="preserve"> </w:t>
      </w:r>
      <w:proofErr w:type="spellStart"/>
      <w:r>
        <w:t>dair</w:t>
      </w:r>
      <w:proofErr w:type="spellEnd"/>
      <w:r>
        <w:t xml:space="preserve"> yeni </w:t>
      </w:r>
      <w:proofErr w:type="spellStart"/>
      <w:r>
        <w:t>yaklaşım</w:t>
      </w:r>
      <w:proofErr w:type="spellEnd"/>
      <w:r>
        <w:t xml:space="preserve"> </w:t>
      </w:r>
      <w:proofErr w:type="spellStart"/>
      <w:r>
        <w:t>ve</w:t>
      </w:r>
      <w:proofErr w:type="spellEnd"/>
      <w:r>
        <w:t xml:space="preserve"> </w:t>
      </w:r>
      <w:proofErr w:type="spellStart"/>
      <w:r>
        <w:t>tedavi</w:t>
      </w:r>
      <w:proofErr w:type="spellEnd"/>
      <w:r>
        <w:t xml:space="preserve"> </w:t>
      </w:r>
      <w:proofErr w:type="spellStart"/>
      <w:r>
        <w:t>süreçlerini</w:t>
      </w:r>
      <w:proofErr w:type="spellEnd"/>
      <w:r>
        <w:t xml:space="preserve"> </w:t>
      </w:r>
      <w:proofErr w:type="spellStart"/>
      <w:r>
        <w:t>getirecektir</w:t>
      </w:r>
      <w:proofErr w:type="spellEnd"/>
      <w:r>
        <w:t>.</w:t>
      </w:r>
    </w:p>
    <w:p w14:paraId="6DF4BCAB" w14:textId="77777777" w:rsidR="00C70E93" w:rsidRDefault="00C70E93" w:rsidP="007513A1">
      <w:pPr>
        <w:pStyle w:val="NormalWeb"/>
        <w:spacing w:before="0" w:beforeAutospacing="0" w:after="0" w:afterAutospacing="0"/>
        <w:jc w:val="both"/>
      </w:pPr>
    </w:p>
    <w:p w14:paraId="7A2E70D5" w14:textId="77777777" w:rsidR="00C70E93" w:rsidRPr="00C70E93" w:rsidRDefault="00C70E93" w:rsidP="007513A1">
      <w:pPr>
        <w:pStyle w:val="NormalWeb"/>
        <w:spacing w:before="0" w:beforeAutospacing="0" w:after="0" w:afterAutospacing="0"/>
        <w:jc w:val="both"/>
      </w:pPr>
    </w:p>
    <w:p w14:paraId="7E1CE7CA" w14:textId="77777777" w:rsidR="00B470AD" w:rsidRPr="009A2D8F" w:rsidRDefault="00B470AD" w:rsidP="007513A1">
      <w:pPr>
        <w:pStyle w:val="NormalWeb"/>
        <w:spacing w:before="0" w:beforeAutospacing="0" w:after="0" w:afterAutospacing="0"/>
        <w:rPr>
          <w:b/>
          <w:bCs/>
        </w:rPr>
      </w:pPr>
      <w:r>
        <w:rPr>
          <w:b/>
          <w:bCs/>
        </w:rPr>
        <w:t>KAYNAKÇA</w:t>
      </w:r>
    </w:p>
    <w:p w14:paraId="35F5225A"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Amerikan Psikiyatri Birliği. (2014). Anksiyete Bozuklukları. </w:t>
      </w:r>
      <w:r w:rsidRPr="007513A1">
        <w:rPr>
          <w:rFonts w:eastAsia="Aptos"/>
          <w:i/>
          <w:iCs/>
          <w:color w:val="000000"/>
          <w:lang w:bidi="ar"/>
        </w:rPr>
        <w:t xml:space="preserve">Ruhsal bozuklukların tanısal ve istatistiksel el kitabı, Dsm-5 tanı ölçütleri başvuru el kitabı </w:t>
      </w:r>
      <w:r w:rsidRPr="007513A1">
        <w:rPr>
          <w:rFonts w:eastAsia="Aptos"/>
          <w:color w:val="000000"/>
          <w:lang w:bidi="ar"/>
        </w:rPr>
        <w:t>(5. Baskı, s. 113-128) içinde. (E. Köroğlu, Çev.). Hekimler Yayın Birliği (Orijinal eserin basım tarihi 2013).</w:t>
      </w:r>
    </w:p>
    <w:p w14:paraId="183394D0"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Başer Baykal, N. (2017). Yaygın anksiyete bozukluğunun Türkiye’deki yaygınlığı, ek tanıları ve tedavisinin incelenmesi</w:t>
      </w:r>
      <w:r w:rsidRPr="007513A1">
        <w:rPr>
          <w:rFonts w:eastAsia="Aptos"/>
          <w:i/>
          <w:iCs/>
          <w:color w:val="000000"/>
          <w:lang w:bidi="ar"/>
        </w:rPr>
        <w:t>. Akademik Sosyal Araştırmalar Dergisi</w:t>
      </w:r>
      <w:r w:rsidRPr="007513A1">
        <w:rPr>
          <w:rFonts w:eastAsia="Aptos"/>
          <w:color w:val="000000"/>
          <w:lang w:bidi="ar"/>
        </w:rPr>
        <w:t xml:space="preserve">, </w:t>
      </w:r>
      <w:r w:rsidRPr="007513A1">
        <w:rPr>
          <w:rFonts w:eastAsia="Aptos"/>
          <w:i/>
          <w:iCs/>
          <w:color w:val="000000"/>
          <w:lang w:bidi="ar"/>
        </w:rPr>
        <w:t>5</w:t>
      </w:r>
      <w:r w:rsidRPr="007513A1">
        <w:rPr>
          <w:rFonts w:eastAsia="Aptos"/>
          <w:color w:val="000000"/>
          <w:lang w:bidi="ar"/>
        </w:rPr>
        <w:t>(54), 539-548.</w:t>
      </w:r>
    </w:p>
    <w:p w14:paraId="0DE0B94C"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Barlow</w:t>
      </w:r>
      <w:proofErr w:type="spellEnd"/>
      <w:r w:rsidRPr="007513A1">
        <w:rPr>
          <w:rFonts w:eastAsia="Aptos"/>
          <w:color w:val="000000"/>
          <w:lang w:bidi="ar"/>
        </w:rPr>
        <w:t xml:space="preserve"> D.H, </w:t>
      </w:r>
      <w:proofErr w:type="spellStart"/>
      <w:r w:rsidRPr="007513A1">
        <w:rPr>
          <w:rFonts w:eastAsia="Aptos"/>
          <w:color w:val="000000"/>
          <w:lang w:bidi="ar"/>
        </w:rPr>
        <w:t>Wincze</w:t>
      </w:r>
      <w:proofErr w:type="spellEnd"/>
      <w:r w:rsidRPr="007513A1">
        <w:rPr>
          <w:rFonts w:eastAsia="Aptos"/>
          <w:color w:val="000000"/>
          <w:lang w:bidi="ar"/>
        </w:rPr>
        <w:t xml:space="preserve">, J. (1998). DSM-IV </w:t>
      </w:r>
      <w:proofErr w:type="spellStart"/>
      <w:r w:rsidRPr="007513A1">
        <w:rPr>
          <w:rFonts w:eastAsia="Aptos"/>
          <w:color w:val="000000"/>
          <w:lang w:bidi="ar"/>
        </w:rPr>
        <w:t>and</w:t>
      </w:r>
      <w:proofErr w:type="spellEnd"/>
      <w:r w:rsidRPr="007513A1">
        <w:rPr>
          <w:rFonts w:eastAsia="Aptos"/>
          <w:color w:val="000000"/>
          <w:lang w:bidi="ar"/>
        </w:rPr>
        <w:t xml:space="preserve"> </w:t>
      </w:r>
      <w:proofErr w:type="spellStart"/>
      <w:r w:rsidRPr="007513A1">
        <w:rPr>
          <w:rFonts w:eastAsia="Aptos"/>
          <w:color w:val="000000"/>
          <w:lang w:bidi="ar"/>
        </w:rPr>
        <w:t>beyond</w:t>
      </w:r>
      <w:proofErr w:type="spellEnd"/>
      <w:r w:rsidRPr="007513A1">
        <w:rPr>
          <w:rFonts w:eastAsia="Aptos"/>
          <w:color w:val="000000"/>
          <w:lang w:bidi="ar"/>
        </w:rPr>
        <w:t xml:space="preserve">: </w:t>
      </w:r>
      <w:proofErr w:type="spellStart"/>
      <w:r w:rsidRPr="007513A1">
        <w:rPr>
          <w:rFonts w:eastAsia="Aptos"/>
          <w:color w:val="000000"/>
          <w:lang w:bidi="ar"/>
        </w:rPr>
        <w:t>what</w:t>
      </w:r>
      <w:proofErr w:type="spellEnd"/>
      <w:r w:rsidRPr="007513A1">
        <w:rPr>
          <w:rFonts w:eastAsia="Aptos"/>
          <w:color w:val="000000"/>
          <w:lang w:bidi="ar"/>
        </w:rPr>
        <w:t xml:space="preserve"> is </w:t>
      </w:r>
      <w:proofErr w:type="spellStart"/>
      <w:r w:rsidRPr="007513A1">
        <w:rPr>
          <w:rFonts w:eastAsia="Aptos"/>
          <w:color w:val="000000"/>
          <w:lang w:bidi="ar"/>
        </w:rPr>
        <w:t>generalized</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w:t>
      </w:r>
      <w:proofErr w:type="spellEnd"/>
      <w:r w:rsidRPr="007513A1">
        <w:rPr>
          <w:rFonts w:eastAsia="Aptos"/>
          <w:color w:val="000000"/>
          <w:lang w:bidi="ar"/>
        </w:rPr>
        <w:t xml:space="preserve">. </w:t>
      </w:r>
      <w:proofErr w:type="spellStart"/>
      <w:r w:rsidRPr="007513A1">
        <w:rPr>
          <w:rFonts w:eastAsia="Aptos"/>
          <w:color w:val="000000"/>
          <w:lang w:bidi="ar"/>
        </w:rPr>
        <w:t>Acta</w:t>
      </w:r>
      <w:proofErr w:type="spellEnd"/>
      <w:r w:rsidRPr="007513A1">
        <w:rPr>
          <w:rFonts w:eastAsia="Aptos"/>
          <w:color w:val="000000"/>
          <w:lang w:bidi="ar"/>
        </w:rPr>
        <w:t xml:space="preserve"> </w:t>
      </w:r>
      <w:proofErr w:type="spellStart"/>
      <w:r w:rsidRPr="007513A1">
        <w:rPr>
          <w:rFonts w:eastAsia="Aptos"/>
          <w:color w:val="000000"/>
          <w:lang w:bidi="ar"/>
        </w:rPr>
        <w:t>Psychiatr</w:t>
      </w:r>
      <w:proofErr w:type="spellEnd"/>
      <w:r w:rsidRPr="007513A1">
        <w:rPr>
          <w:rFonts w:eastAsia="Aptos"/>
          <w:color w:val="000000"/>
          <w:lang w:bidi="ar"/>
        </w:rPr>
        <w:t xml:space="preserve"> </w:t>
      </w:r>
      <w:proofErr w:type="spellStart"/>
      <w:r w:rsidRPr="007513A1">
        <w:rPr>
          <w:rFonts w:eastAsia="Aptos"/>
          <w:color w:val="000000"/>
          <w:lang w:bidi="ar"/>
        </w:rPr>
        <w:t>Scand</w:t>
      </w:r>
      <w:proofErr w:type="spellEnd"/>
      <w:r w:rsidRPr="007513A1">
        <w:rPr>
          <w:rFonts w:eastAsia="Aptos"/>
          <w:color w:val="000000"/>
          <w:lang w:bidi="ar"/>
        </w:rPr>
        <w:t>, 98, 23-29.</w:t>
      </w:r>
    </w:p>
    <w:p w14:paraId="013141E6"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Büyüköztürk, Ş. (2011). Sosyal bilimler için veri analizi el kitabı. Ankara: </w:t>
      </w:r>
      <w:proofErr w:type="spellStart"/>
      <w:r w:rsidRPr="007513A1">
        <w:rPr>
          <w:rFonts w:eastAsia="Aptos"/>
          <w:color w:val="000000"/>
          <w:lang w:bidi="ar"/>
        </w:rPr>
        <w:t>Pegem</w:t>
      </w:r>
      <w:proofErr w:type="spellEnd"/>
      <w:r w:rsidRPr="007513A1">
        <w:rPr>
          <w:rFonts w:eastAsia="Aptos"/>
          <w:color w:val="000000"/>
          <w:lang w:bidi="ar"/>
        </w:rPr>
        <w:t xml:space="preserve"> Akademi.</w:t>
      </w:r>
    </w:p>
    <w:p w14:paraId="59B9CB40"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Cömertoğlu, S. (2020). </w:t>
      </w:r>
      <w:r w:rsidRPr="007513A1">
        <w:rPr>
          <w:rFonts w:eastAsia="Aptos"/>
          <w:i/>
          <w:iCs/>
          <w:color w:val="000000"/>
          <w:lang w:bidi="ar"/>
        </w:rPr>
        <w:t xml:space="preserve">Kontrasttan kaçınma ölçeklerinin </w:t>
      </w:r>
      <w:proofErr w:type="spellStart"/>
      <w:r w:rsidRPr="007513A1">
        <w:rPr>
          <w:rFonts w:eastAsia="Aptos"/>
          <w:i/>
          <w:iCs/>
          <w:color w:val="000000"/>
          <w:lang w:bidi="ar"/>
        </w:rPr>
        <w:t>türkçe</w:t>
      </w:r>
      <w:proofErr w:type="spellEnd"/>
      <w:r w:rsidRPr="007513A1">
        <w:rPr>
          <w:rFonts w:eastAsia="Aptos"/>
          <w:i/>
          <w:iCs/>
          <w:color w:val="000000"/>
          <w:lang w:bidi="ar"/>
        </w:rPr>
        <w:t xml:space="preserve"> uyarlaması, geçerliliği ve güvenilirliği. </w:t>
      </w:r>
      <w:r w:rsidRPr="007513A1">
        <w:rPr>
          <w:rFonts w:eastAsia="Aptos"/>
          <w:color w:val="000000"/>
          <w:lang w:bidi="ar"/>
        </w:rPr>
        <w:t>Yayınlanmış tez: İstanbul Medipol Üniversitesi Sosyal Bilimler Enstitüsü, İstanbul.</w:t>
      </w:r>
    </w:p>
    <w:p w14:paraId="47B74705"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Craske</w:t>
      </w:r>
      <w:proofErr w:type="spellEnd"/>
      <w:r w:rsidRPr="007513A1">
        <w:rPr>
          <w:rFonts w:eastAsia="Aptos"/>
          <w:color w:val="000000"/>
          <w:lang w:bidi="ar"/>
        </w:rPr>
        <w:t xml:space="preserve">, M. G., &amp; </w:t>
      </w:r>
      <w:proofErr w:type="spellStart"/>
      <w:r w:rsidRPr="007513A1">
        <w:rPr>
          <w:rFonts w:eastAsia="Aptos"/>
          <w:color w:val="000000"/>
          <w:lang w:bidi="ar"/>
        </w:rPr>
        <w:t>Barlow</w:t>
      </w:r>
      <w:proofErr w:type="spellEnd"/>
      <w:r w:rsidRPr="007513A1">
        <w:rPr>
          <w:rFonts w:eastAsia="Aptos"/>
          <w:color w:val="000000"/>
          <w:lang w:bidi="ar"/>
        </w:rPr>
        <w:t>, D. H. (2006). </w:t>
      </w:r>
      <w:proofErr w:type="spellStart"/>
      <w:r w:rsidRPr="007513A1">
        <w:rPr>
          <w:rFonts w:eastAsia="Aptos"/>
          <w:i/>
          <w:iCs/>
          <w:color w:val="000000"/>
          <w:lang w:bidi="ar"/>
        </w:rPr>
        <w:t>Mastery</w:t>
      </w:r>
      <w:proofErr w:type="spellEnd"/>
      <w:r w:rsidRPr="007513A1">
        <w:rPr>
          <w:rFonts w:eastAsia="Aptos"/>
          <w:i/>
          <w:iCs/>
          <w:color w:val="000000"/>
          <w:lang w:bidi="ar"/>
        </w:rPr>
        <w:t xml:space="preserve"> of </w:t>
      </w:r>
      <w:proofErr w:type="spellStart"/>
      <w:r w:rsidRPr="007513A1">
        <w:rPr>
          <w:rFonts w:eastAsia="Aptos"/>
          <w:i/>
          <w:iCs/>
          <w:color w:val="000000"/>
          <w:lang w:bidi="ar"/>
        </w:rPr>
        <w:t>your</w:t>
      </w:r>
      <w:proofErr w:type="spellEnd"/>
      <w:r w:rsidRPr="007513A1">
        <w:rPr>
          <w:rFonts w:eastAsia="Aptos"/>
          <w:i/>
          <w:iCs/>
          <w:color w:val="000000"/>
          <w:lang w:bidi="ar"/>
        </w:rPr>
        <w:t xml:space="preserve"> </w:t>
      </w:r>
      <w:proofErr w:type="spellStart"/>
      <w:r w:rsidRPr="007513A1">
        <w:rPr>
          <w:rFonts w:eastAsia="Aptos"/>
          <w:i/>
          <w:iCs/>
          <w:color w:val="000000"/>
          <w:lang w:bidi="ar"/>
        </w:rPr>
        <w:t>anxiety</w:t>
      </w:r>
      <w:proofErr w:type="spellEnd"/>
      <w:r w:rsidRPr="007513A1">
        <w:rPr>
          <w:rFonts w:eastAsia="Aptos"/>
          <w:i/>
          <w:iCs/>
          <w:color w:val="000000"/>
          <w:lang w:bidi="ar"/>
        </w:rPr>
        <w:t xml:space="preserve"> </w:t>
      </w:r>
      <w:proofErr w:type="spellStart"/>
      <w:r w:rsidRPr="007513A1">
        <w:rPr>
          <w:rFonts w:eastAsia="Aptos"/>
          <w:i/>
          <w:iCs/>
          <w:color w:val="000000"/>
          <w:lang w:bidi="ar"/>
        </w:rPr>
        <w:t>and</w:t>
      </w:r>
      <w:proofErr w:type="spellEnd"/>
      <w:r w:rsidRPr="007513A1">
        <w:rPr>
          <w:rFonts w:eastAsia="Aptos"/>
          <w:i/>
          <w:iCs/>
          <w:color w:val="000000"/>
          <w:lang w:bidi="ar"/>
        </w:rPr>
        <w:t xml:space="preserve"> </w:t>
      </w:r>
      <w:proofErr w:type="spellStart"/>
      <w:r w:rsidRPr="007513A1">
        <w:rPr>
          <w:rFonts w:eastAsia="Aptos"/>
          <w:i/>
          <w:iCs/>
          <w:color w:val="000000"/>
          <w:lang w:bidi="ar"/>
        </w:rPr>
        <w:t>worry</w:t>
      </w:r>
      <w:proofErr w:type="spellEnd"/>
      <w:r w:rsidRPr="007513A1">
        <w:rPr>
          <w:rFonts w:eastAsia="Aptos"/>
          <w:color w:val="000000"/>
          <w:lang w:bidi="ar"/>
        </w:rPr>
        <w:t xml:space="preserve">. Oxford </w:t>
      </w:r>
      <w:proofErr w:type="spellStart"/>
      <w:r w:rsidRPr="007513A1">
        <w:rPr>
          <w:rFonts w:eastAsia="Aptos"/>
          <w:color w:val="000000"/>
          <w:lang w:bidi="ar"/>
        </w:rPr>
        <w:t>University</w:t>
      </w:r>
      <w:proofErr w:type="spellEnd"/>
      <w:r w:rsidRPr="007513A1">
        <w:rPr>
          <w:rFonts w:eastAsia="Aptos"/>
          <w:color w:val="000000"/>
          <w:lang w:bidi="ar"/>
        </w:rPr>
        <w:t xml:space="preserve"> </w:t>
      </w:r>
      <w:proofErr w:type="spellStart"/>
      <w:r w:rsidRPr="007513A1">
        <w:rPr>
          <w:rFonts w:eastAsia="Aptos"/>
          <w:color w:val="000000"/>
          <w:lang w:bidi="ar"/>
        </w:rPr>
        <w:t>Press</w:t>
      </w:r>
      <w:proofErr w:type="spellEnd"/>
      <w:r w:rsidRPr="007513A1">
        <w:rPr>
          <w:rFonts w:eastAsia="Aptos"/>
          <w:color w:val="000000"/>
          <w:lang w:bidi="ar"/>
        </w:rPr>
        <w:t>.</w:t>
      </w:r>
    </w:p>
    <w:p w14:paraId="5D2C57EB"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Dugas</w:t>
      </w:r>
      <w:proofErr w:type="spellEnd"/>
      <w:r w:rsidRPr="007513A1">
        <w:rPr>
          <w:rFonts w:eastAsia="Aptos"/>
          <w:color w:val="000000"/>
          <w:lang w:bidi="ar"/>
        </w:rPr>
        <w:t xml:space="preserve">, M. J., </w:t>
      </w:r>
      <w:proofErr w:type="spellStart"/>
      <w:r w:rsidRPr="007513A1">
        <w:rPr>
          <w:rFonts w:eastAsia="Aptos"/>
          <w:color w:val="000000"/>
          <w:lang w:bidi="ar"/>
        </w:rPr>
        <w:t>Buhr</w:t>
      </w:r>
      <w:proofErr w:type="spellEnd"/>
      <w:r w:rsidRPr="007513A1">
        <w:rPr>
          <w:rFonts w:eastAsia="Aptos"/>
          <w:color w:val="000000"/>
          <w:lang w:bidi="ar"/>
        </w:rPr>
        <w:t xml:space="preserve">, K. ve </w:t>
      </w:r>
      <w:proofErr w:type="spellStart"/>
      <w:r w:rsidRPr="007513A1">
        <w:rPr>
          <w:rFonts w:eastAsia="Aptos"/>
          <w:color w:val="000000"/>
          <w:lang w:bidi="ar"/>
        </w:rPr>
        <w:t>Ladouceur</w:t>
      </w:r>
      <w:proofErr w:type="spellEnd"/>
      <w:r w:rsidRPr="007513A1">
        <w:rPr>
          <w:rFonts w:eastAsia="Aptos"/>
          <w:color w:val="000000"/>
          <w:lang w:bidi="ar"/>
        </w:rPr>
        <w:t xml:space="preserve">, R. (2004). </w:t>
      </w:r>
      <w:proofErr w:type="spellStart"/>
      <w:r w:rsidRPr="007513A1">
        <w:rPr>
          <w:rFonts w:eastAsia="Aptos"/>
          <w:color w:val="000000"/>
          <w:lang w:bidi="ar"/>
        </w:rPr>
        <w:t>The</w:t>
      </w:r>
      <w:proofErr w:type="spellEnd"/>
      <w:r w:rsidRPr="007513A1">
        <w:rPr>
          <w:rFonts w:eastAsia="Aptos"/>
          <w:color w:val="000000"/>
          <w:lang w:bidi="ar"/>
        </w:rPr>
        <w:t xml:space="preserve"> role of </w:t>
      </w:r>
      <w:proofErr w:type="spellStart"/>
      <w:r w:rsidRPr="007513A1">
        <w:rPr>
          <w:rFonts w:eastAsia="Aptos"/>
          <w:color w:val="000000"/>
          <w:lang w:bidi="ar"/>
        </w:rPr>
        <w:t>intolerance</w:t>
      </w:r>
      <w:proofErr w:type="spellEnd"/>
      <w:r w:rsidRPr="007513A1">
        <w:rPr>
          <w:rFonts w:eastAsia="Aptos"/>
          <w:color w:val="000000"/>
          <w:lang w:bidi="ar"/>
        </w:rPr>
        <w:t xml:space="preserve"> of </w:t>
      </w:r>
      <w:proofErr w:type="spellStart"/>
      <w:r w:rsidRPr="007513A1">
        <w:rPr>
          <w:rFonts w:eastAsia="Aptos"/>
          <w:color w:val="000000"/>
          <w:lang w:bidi="ar"/>
        </w:rPr>
        <w:t>uncertainty</w:t>
      </w:r>
      <w:proofErr w:type="spellEnd"/>
      <w:r w:rsidRPr="007513A1">
        <w:rPr>
          <w:rFonts w:eastAsia="Aptos"/>
          <w:color w:val="000000"/>
          <w:lang w:bidi="ar"/>
        </w:rPr>
        <w:t xml:space="preserve"> in </w:t>
      </w:r>
      <w:proofErr w:type="spellStart"/>
      <w:r w:rsidRPr="007513A1">
        <w:rPr>
          <w:rFonts w:eastAsia="Aptos"/>
          <w:color w:val="000000"/>
          <w:lang w:bidi="ar"/>
        </w:rPr>
        <w:t>etiology</w:t>
      </w:r>
      <w:proofErr w:type="spellEnd"/>
      <w:r w:rsidRPr="007513A1">
        <w:rPr>
          <w:rFonts w:eastAsia="Aptos"/>
          <w:color w:val="000000"/>
          <w:lang w:bidi="ar"/>
        </w:rPr>
        <w:t xml:space="preserve"> </w:t>
      </w:r>
      <w:proofErr w:type="spellStart"/>
      <w:r w:rsidRPr="007513A1">
        <w:rPr>
          <w:rFonts w:eastAsia="Aptos"/>
          <w:color w:val="000000"/>
          <w:lang w:bidi="ar"/>
        </w:rPr>
        <w:t>and</w:t>
      </w:r>
      <w:proofErr w:type="spellEnd"/>
      <w:r w:rsidRPr="007513A1">
        <w:rPr>
          <w:rFonts w:eastAsia="Aptos"/>
          <w:color w:val="000000"/>
          <w:lang w:bidi="ar"/>
        </w:rPr>
        <w:t xml:space="preserve"> </w:t>
      </w:r>
      <w:proofErr w:type="spellStart"/>
      <w:r w:rsidRPr="007513A1">
        <w:rPr>
          <w:rFonts w:eastAsia="Aptos"/>
          <w:color w:val="000000"/>
          <w:lang w:bidi="ar"/>
        </w:rPr>
        <w:t>maintenance</w:t>
      </w:r>
      <w:proofErr w:type="spellEnd"/>
      <w:r w:rsidRPr="007513A1">
        <w:rPr>
          <w:rFonts w:eastAsia="Aptos"/>
          <w:color w:val="000000"/>
          <w:lang w:bidi="ar"/>
        </w:rPr>
        <w:t xml:space="preserve">. </w:t>
      </w:r>
      <w:proofErr w:type="spellStart"/>
      <w:r w:rsidRPr="007513A1">
        <w:rPr>
          <w:rFonts w:eastAsia="Aptos"/>
          <w:color w:val="000000"/>
          <w:lang w:bidi="ar"/>
        </w:rPr>
        <w:t>In</w:t>
      </w:r>
      <w:proofErr w:type="spellEnd"/>
      <w:r w:rsidRPr="007513A1">
        <w:rPr>
          <w:rFonts w:eastAsia="Aptos"/>
          <w:color w:val="000000"/>
          <w:lang w:bidi="ar"/>
        </w:rPr>
        <w:t xml:space="preserve">: R. G. </w:t>
      </w:r>
      <w:proofErr w:type="spellStart"/>
      <w:r w:rsidRPr="007513A1">
        <w:rPr>
          <w:rFonts w:eastAsia="Aptos"/>
          <w:color w:val="000000"/>
          <w:lang w:bidi="ar"/>
        </w:rPr>
        <w:t>Heimberg</w:t>
      </w:r>
      <w:proofErr w:type="spellEnd"/>
      <w:r w:rsidRPr="007513A1">
        <w:rPr>
          <w:rFonts w:eastAsia="Aptos"/>
          <w:color w:val="000000"/>
          <w:lang w:bidi="ar"/>
        </w:rPr>
        <w:t xml:space="preserve">, C. L. </w:t>
      </w:r>
      <w:proofErr w:type="spellStart"/>
      <w:r w:rsidRPr="007513A1">
        <w:rPr>
          <w:rFonts w:eastAsia="Aptos"/>
          <w:color w:val="000000"/>
          <w:lang w:bidi="ar"/>
        </w:rPr>
        <w:t>Turk</w:t>
      </w:r>
      <w:proofErr w:type="spellEnd"/>
      <w:r w:rsidRPr="007513A1">
        <w:rPr>
          <w:rFonts w:eastAsia="Aptos"/>
          <w:color w:val="000000"/>
          <w:lang w:bidi="ar"/>
        </w:rPr>
        <w:t xml:space="preserve">, &amp; D. S. </w:t>
      </w:r>
      <w:proofErr w:type="spellStart"/>
      <w:r w:rsidRPr="007513A1">
        <w:rPr>
          <w:rFonts w:eastAsia="Aptos"/>
          <w:color w:val="000000"/>
          <w:lang w:bidi="ar"/>
        </w:rPr>
        <w:t>Mennin</w:t>
      </w:r>
      <w:proofErr w:type="spellEnd"/>
      <w:r w:rsidRPr="007513A1">
        <w:rPr>
          <w:rFonts w:eastAsia="Aptos"/>
          <w:color w:val="000000"/>
          <w:lang w:bidi="ar"/>
        </w:rPr>
        <w:t xml:space="preserve"> (</w:t>
      </w:r>
      <w:proofErr w:type="spellStart"/>
      <w:r w:rsidRPr="007513A1">
        <w:rPr>
          <w:rFonts w:eastAsia="Aptos"/>
          <w:color w:val="000000"/>
          <w:lang w:bidi="ar"/>
        </w:rPr>
        <w:t>Eds</w:t>
      </w:r>
      <w:proofErr w:type="spellEnd"/>
      <w:r w:rsidRPr="007513A1">
        <w:rPr>
          <w:rFonts w:eastAsia="Aptos"/>
          <w:color w:val="000000"/>
          <w:lang w:bidi="ar"/>
        </w:rPr>
        <w:t xml:space="preserve">.), </w:t>
      </w:r>
      <w:proofErr w:type="spellStart"/>
      <w:r w:rsidRPr="007513A1">
        <w:rPr>
          <w:rFonts w:eastAsia="Aptos"/>
          <w:i/>
          <w:iCs/>
          <w:color w:val="000000"/>
          <w:lang w:bidi="ar"/>
        </w:rPr>
        <w:t>Generalized</w:t>
      </w:r>
      <w:proofErr w:type="spellEnd"/>
      <w:r w:rsidRPr="007513A1">
        <w:rPr>
          <w:rFonts w:eastAsia="Aptos"/>
          <w:i/>
          <w:iCs/>
          <w:color w:val="000000"/>
          <w:lang w:bidi="ar"/>
        </w:rPr>
        <w:t xml:space="preserve"> </w:t>
      </w:r>
      <w:proofErr w:type="spellStart"/>
      <w:r w:rsidRPr="007513A1">
        <w:rPr>
          <w:rFonts w:eastAsia="Aptos"/>
          <w:i/>
          <w:iCs/>
          <w:color w:val="000000"/>
          <w:lang w:bidi="ar"/>
        </w:rPr>
        <w:t>anxiety</w:t>
      </w:r>
      <w:proofErr w:type="spellEnd"/>
      <w:r w:rsidRPr="007513A1">
        <w:rPr>
          <w:rFonts w:eastAsia="Aptos"/>
          <w:i/>
          <w:iCs/>
          <w:color w:val="000000"/>
          <w:lang w:bidi="ar"/>
        </w:rPr>
        <w:t xml:space="preserve"> </w:t>
      </w:r>
      <w:proofErr w:type="spellStart"/>
      <w:r w:rsidRPr="007513A1">
        <w:rPr>
          <w:rFonts w:eastAsia="Aptos"/>
          <w:i/>
          <w:iCs/>
          <w:color w:val="000000"/>
          <w:lang w:bidi="ar"/>
        </w:rPr>
        <w:t>disorder</w:t>
      </w:r>
      <w:proofErr w:type="spellEnd"/>
      <w:r w:rsidRPr="007513A1">
        <w:rPr>
          <w:rFonts w:eastAsia="Aptos"/>
          <w:i/>
          <w:iCs/>
          <w:color w:val="000000"/>
          <w:lang w:bidi="ar"/>
        </w:rPr>
        <w:t xml:space="preserve">: </w:t>
      </w:r>
      <w:proofErr w:type="spellStart"/>
      <w:r w:rsidRPr="007513A1">
        <w:rPr>
          <w:rFonts w:eastAsia="Aptos"/>
          <w:i/>
          <w:iCs/>
          <w:color w:val="000000"/>
          <w:lang w:bidi="ar"/>
        </w:rPr>
        <w:t>advances</w:t>
      </w:r>
      <w:proofErr w:type="spellEnd"/>
      <w:r w:rsidRPr="007513A1">
        <w:rPr>
          <w:rFonts w:eastAsia="Aptos"/>
          <w:i/>
          <w:iCs/>
          <w:color w:val="000000"/>
          <w:lang w:bidi="ar"/>
        </w:rPr>
        <w:t xml:space="preserve"> in </w:t>
      </w:r>
      <w:proofErr w:type="spellStart"/>
      <w:r w:rsidRPr="007513A1">
        <w:rPr>
          <w:rFonts w:eastAsia="Aptos"/>
          <w:i/>
          <w:iCs/>
          <w:color w:val="000000"/>
          <w:lang w:bidi="ar"/>
        </w:rPr>
        <w:t>research</w:t>
      </w:r>
      <w:proofErr w:type="spellEnd"/>
      <w:r w:rsidRPr="007513A1">
        <w:rPr>
          <w:rFonts w:eastAsia="Aptos"/>
          <w:i/>
          <w:iCs/>
          <w:color w:val="000000"/>
          <w:lang w:bidi="ar"/>
        </w:rPr>
        <w:t xml:space="preserve"> </w:t>
      </w:r>
      <w:proofErr w:type="spellStart"/>
      <w:r w:rsidRPr="007513A1">
        <w:rPr>
          <w:rFonts w:eastAsia="Aptos"/>
          <w:i/>
          <w:iCs/>
          <w:color w:val="000000"/>
          <w:lang w:bidi="ar"/>
        </w:rPr>
        <w:t>and</w:t>
      </w:r>
      <w:proofErr w:type="spellEnd"/>
      <w:r w:rsidRPr="007513A1">
        <w:rPr>
          <w:rFonts w:eastAsia="Aptos"/>
          <w:i/>
          <w:iCs/>
          <w:color w:val="000000"/>
          <w:lang w:bidi="ar"/>
        </w:rPr>
        <w:t xml:space="preserve"> </w:t>
      </w:r>
      <w:proofErr w:type="spellStart"/>
      <w:r w:rsidRPr="007513A1">
        <w:rPr>
          <w:rFonts w:eastAsia="Aptos"/>
          <w:i/>
          <w:iCs/>
          <w:color w:val="000000"/>
          <w:lang w:bidi="ar"/>
        </w:rPr>
        <w:t>practice</w:t>
      </w:r>
      <w:proofErr w:type="spellEnd"/>
      <w:r w:rsidRPr="007513A1">
        <w:rPr>
          <w:rFonts w:eastAsia="Aptos"/>
          <w:i/>
          <w:iCs/>
          <w:color w:val="000000"/>
          <w:lang w:bidi="ar"/>
        </w:rPr>
        <w:t xml:space="preserve"> </w:t>
      </w:r>
      <w:r w:rsidRPr="007513A1">
        <w:rPr>
          <w:rFonts w:eastAsia="Aptos"/>
          <w:color w:val="000000"/>
          <w:lang w:bidi="ar"/>
        </w:rPr>
        <w:t>(</w:t>
      </w:r>
      <w:proofErr w:type="spellStart"/>
      <w:r w:rsidRPr="007513A1">
        <w:rPr>
          <w:rFonts w:eastAsia="Aptos"/>
          <w:color w:val="000000"/>
          <w:lang w:bidi="ar"/>
        </w:rPr>
        <w:t>pp</w:t>
      </w:r>
      <w:proofErr w:type="spellEnd"/>
      <w:r w:rsidRPr="007513A1">
        <w:rPr>
          <w:rFonts w:eastAsia="Aptos"/>
          <w:color w:val="000000"/>
          <w:lang w:bidi="ar"/>
        </w:rPr>
        <w:t xml:space="preserve">. 143–163). New York: </w:t>
      </w:r>
      <w:proofErr w:type="spellStart"/>
      <w:r w:rsidRPr="007513A1">
        <w:rPr>
          <w:rFonts w:eastAsia="Aptos"/>
          <w:color w:val="000000"/>
          <w:lang w:bidi="ar"/>
        </w:rPr>
        <w:t>Guilford</w:t>
      </w:r>
      <w:proofErr w:type="spellEnd"/>
      <w:r w:rsidRPr="007513A1">
        <w:rPr>
          <w:rFonts w:eastAsia="Aptos"/>
          <w:color w:val="000000"/>
          <w:lang w:bidi="ar"/>
        </w:rPr>
        <w:t>.</w:t>
      </w:r>
    </w:p>
    <w:p w14:paraId="0935A8B1"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Gündüz A. Yaygın anksiyete bozukluğunda bilişsel davranışçı terapiler. Bahadır G, Ertekin E, editörler. Farklı Tanı Gruplarında Bilişsel Davranışçı Terapiler. 1. Baskı. </w:t>
      </w:r>
      <w:r w:rsidRPr="007513A1">
        <w:rPr>
          <w:rFonts w:eastAsia="Aptos"/>
          <w:color w:val="000000"/>
          <w:lang w:bidi="ar"/>
        </w:rPr>
        <w:lastRenderedPageBreak/>
        <w:t>Ankara: Türkiye Klinikleri; 2019. p.28-34.</w:t>
      </w:r>
    </w:p>
    <w:p w14:paraId="6A954B5D" w14:textId="77777777" w:rsidR="00B470AD" w:rsidRPr="007513A1" w:rsidRDefault="00B470AD">
      <w:pPr>
        <w:pStyle w:val="ListeParagraf"/>
        <w:numPr>
          <w:ilvl w:val="0"/>
          <w:numId w:val="79"/>
        </w:numPr>
        <w:jc w:val="both"/>
        <w:rPr>
          <w:rFonts w:eastAsia="Aptos"/>
          <w:color w:val="000000"/>
          <w:lang w:bidi="ar"/>
        </w:rPr>
      </w:pPr>
      <w:proofErr w:type="spellStart"/>
      <w:r w:rsidRPr="00AE1469">
        <w:t>Gosselin</w:t>
      </w:r>
      <w:proofErr w:type="spellEnd"/>
      <w:r w:rsidRPr="00AE1469">
        <w:t xml:space="preserve">, P., </w:t>
      </w:r>
      <w:proofErr w:type="spellStart"/>
      <w:r w:rsidRPr="00AE1469">
        <w:t>Laberge</w:t>
      </w:r>
      <w:proofErr w:type="spellEnd"/>
      <w:r w:rsidRPr="00AE1469">
        <w:t xml:space="preserve">, B. (2003). </w:t>
      </w:r>
      <w:proofErr w:type="spellStart"/>
      <w:r w:rsidRPr="00AE1469">
        <w:t>Etiological</w:t>
      </w:r>
      <w:proofErr w:type="spellEnd"/>
      <w:r w:rsidRPr="00AE1469">
        <w:t xml:space="preserve"> </w:t>
      </w:r>
      <w:proofErr w:type="spellStart"/>
      <w:r w:rsidRPr="00AE1469">
        <w:t>factors</w:t>
      </w:r>
      <w:proofErr w:type="spellEnd"/>
      <w:r w:rsidRPr="00AE1469">
        <w:t xml:space="preserve"> of </w:t>
      </w:r>
      <w:proofErr w:type="spellStart"/>
      <w:r w:rsidRPr="00AE1469">
        <w:t>generalized</w:t>
      </w:r>
      <w:proofErr w:type="spellEnd"/>
      <w:r w:rsidRPr="00AE1469">
        <w:t xml:space="preserve"> </w:t>
      </w:r>
      <w:proofErr w:type="spellStart"/>
      <w:r w:rsidRPr="00AE1469">
        <w:t>anxiety</w:t>
      </w:r>
      <w:proofErr w:type="spellEnd"/>
      <w:r w:rsidRPr="00AE1469">
        <w:t xml:space="preserve"> </w:t>
      </w:r>
      <w:proofErr w:type="spellStart"/>
      <w:r w:rsidRPr="00AE1469">
        <w:t>disorder</w:t>
      </w:r>
      <w:proofErr w:type="spellEnd"/>
      <w:r w:rsidRPr="00AE1469">
        <w:t xml:space="preserve">. </w:t>
      </w:r>
      <w:proofErr w:type="spellStart"/>
      <w:r w:rsidRPr="00AE1469">
        <w:rPr>
          <w:rStyle w:val="Vurgu"/>
        </w:rPr>
        <w:t>Encephale</w:t>
      </w:r>
      <w:proofErr w:type="spellEnd"/>
      <w:r w:rsidRPr="00AE1469">
        <w:rPr>
          <w:rStyle w:val="Vurgu"/>
        </w:rPr>
        <w:t>,</w:t>
      </w:r>
      <w:r>
        <w:rPr>
          <w:rStyle w:val="Vurgu"/>
        </w:rPr>
        <w:t xml:space="preserve"> </w:t>
      </w:r>
      <w:r w:rsidRPr="00AE1469">
        <w:rPr>
          <w:rStyle w:val="Vurgu"/>
        </w:rPr>
        <w:t>29</w:t>
      </w:r>
      <w:r w:rsidRPr="00AE1469">
        <w:t>, 351–361.</w:t>
      </w:r>
    </w:p>
    <w:p w14:paraId="7C793068"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Halbreich</w:t>
      </w:r>
      <w:proofErr w:type="spellEnd"/>
      <w:r w:rsidRPr="007513A1">
        <w:rPr>
          <w:rFonts w:eastAsia="Aptos"/>
          <w:color w:val="000000"/>
          <w:lang w:bidi="ar"/>
        </w:rPr>
        <w:t xml:space="preserve"> U. (2003).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disorders</w:t>
      </w:r>
      <w:proofErr w:type="spellEnd"/>
      <w:r w:rsidRPr="007513A1">
        <w:rPr>
          <w:rFonts w:eastAsia="Aptos"/>
          <w:color w:val="000000"/>
          <w:lang w:bidi="ar"/>
        </w:rPr>
        <w:t xml:space="preserve"> in </w:t>
      </w:r>
      <w:proofErr w:type="spellStart"/>
      <w:r w:rsidRPr="007513A1">
        <w:rPr>
          <w:rFonts w:eastAsia="Aptos"/>
          <w:color w:val="000000"/>
          <w:lang w:bidi="ar"/>
        </w:rPr>
        <w:t>women</w:t>
      </w:r>
      <w:proofErr w:type="spellEnd"/>
      <w:r w:rsidRPr="007513A1">
        <w:rPr>
          <w:rFonts w:eastAsia="Aptos"/>
          <w:color w:val="000000"/>
          <w:lang w:bidi="ar"/>
        </w:rPr>
        <w:t xml:space="preserve">: a </w:t>
      </w:r>
      <w:proofErr w:type="spellStart"/>
      <w:r w:rsidRPr="007513A1">
        <w:rPr>
          <w:rFonts w:eastAsia="Aptos"/>
          <w:color w:val="000000"/>
          <w:lang w:bidi="ar"/>
        </w:rPr>
        <w:t>developmental</w:t>
      </w:r>
      <w:proofErr w:type="spellEnd"/>
      <w:r w:rsidRPr="007513A1">
        <w:rPr>
          <w:rFonts w:eastAsia="Aptos"/>
          <w:color w:val="000000"/>
          <w:lang w:bidi="ar"/>
        </w:rPr>
        <w:t xml:space="preserve"> </w:t>
      </w:r>
      <w:proofErr w:type="spellStart"/>
      <w:r w:rsidRPr="007513A1">
        <w:rPr>
          <w:rFonts w:eastAsia="Aptos"/>
          <w:color w:val="000000"/>
          <w:lang w:bidi="ar"/>
        </w:rPr>
        <w:t>and</w:t>
      </w:r>
      <w:proofErr w:type="spellEnd"/>
      <w:r w:rsidRPr="007513A1">
        <w:rPr>
          <w:rFonts w:eastAsia="Aptos"/>
          <w:color w:val="000000"/>
          <w:lang w:bidi="ar"/>
        </w:rPr>
        <w:t xml:space="preserve"> </w:t>
      </w:r>
      <w:proofErr w:type="spellStart"/>
      <w:r w:rsidRPr="007513A1">
        <w:rPr>
          <w:rFonts w:eastAsia="Aptos"/>
          <w:color w:val="000000"/>
          <w:lang w:bidi="ar"/>
        </w:rPr>
        <w:t>lifecycle</w:t>
      </w:r>
      <w:proofErr w:type="spellEnd"/>
      <w:r w:rsidRPr="007513A1">
        <w:rPr>
          <w:rFonts w:eastAsia="Aptos"/>
          <w:color w:val="000000"/>
          <w:lang w:bidi="ar"/>
        </w:rPr>
        <w:t xml:space="preserve"> </w:t>
      </w:r>
      <w:proofErr w:type="spellStart"/>
      <w:r w:rsidRPr="007513A1">
        <w:rPr>
          <w:rFonts w:eastAsia="Aptos"/>
          <w:color w:val="000000"/>
          <w:lang w:bidi="ar"/>
        </w:rPr>
        <w:t>perspective</w:t>
      </w:r>
      <w:proofErr w:type="spellEnd"/>
      <w:r w:rsidRPr="007513A1">
        <w:rPr>
          <w:rFonts w:eastAsia="Aptos"/>
          <w:color w:val="000000"/>
          <w:lang w:bidi="ar"/>
        </w:rPr>
        <w:t xml:space="preserve">. </w:t>
      </w:r>
      <w:proofErr w:type="spellStart"/>
      <w:r w:rsidRPr="007513A1">
        <w:rPr>
          <w:rFonts w:eastAsia="Aptos"/>
          <w:color w:val="000000"/>
          <w:lang w:bidi="ar"/>
        </w:rPr>
        <w:t>Depress</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17, 107-110.</w:t>
      </w:r>
    </w:p>
    <w:p w14:paraId="50430F20"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Kessler, R. C., </w:t>
      </w:r>
      <w:proofErr w:type="spellStart"/>
      <w:r w:rsidRPr="007513A1">
        <w:rPr>
          <w:rFonts w:eastAsia="Aptos"/>
          <w:color w:val="000000"/>
          <w:lang w:bidi="ar"/>
        </w:rPr>
        <w:t>Berglund</w:t>
      </w:r>
      <w:proofErr w:type="spellEnd"/>
      <w:r w:rsidRPr="007513A1">
        <w:rPr>
          <w:rFonts w:eastAsia="Aptos"/>
          <w:color w:val="000000"/>
          <w:lang w:bidi="ar"/>
        </w:rPr>
        <w:t xml:space="preserve">, P., Demler, O., Jin, R., </w:t>
      </w:r>
      <w:proofErr w:type="spellStart"/>
      <w:r w:rsidRPr="007513A1">
        <w:rPr>
          <w:rFonts w:eastAsia="Aptos"/>
          <w:color w:val="000000"/>
          <w:lang w:bidi="ar"/>
        </w:rPr>
        <w:t>Merikangas</w:t>
      </w:r>
      <w:proofErr w:type="spellEnd"/>
      <w:r w:rsidRPr="007513A1">
        <w:rPr>
          <w:rFonts w:eastAsia="Aptos"/>
          <w:color w:val="000000"/>
          <w:lang w:bidi="ar"/>
        </w:rPr>
        <w:t xml:space="preserve">, K. R., &amp; Walters, E. E. (2005). </w:t>
      </w:r>
      <w:proofErr w:type="spellStart"/>
      <w:r w:rsidRPr="007513A1">
        <w:rPr>
          <w:rFonts w:eastAsia="Aptos"/>
          <w:color w:val="000000"/>
          <w:lang w:bidi="ar"/>
        </w:rPr>
        <w:t>Lifetime</w:t>
      </w:r>
      <w:proofErr w:type="spellEnd"/>
      <w:r w:rsidRPr="007513A1">
        <w:rPr>
          <w:rFonts w:eastAsia="Aptos"/>
          <w:color w:val="000000"/>
          <w:lang w:bidi="ar"/>
        </w:rPr>
        <w:t xml:space="preserve"> </w:t>
      </w:r>
      <w:proofErr w:type="spellStart"/>
      <w:r w:rsidRPr="007513A1">
        <w:rPr>
          <w:rFonts w:eastAsia="Aptos"/>
          <w:color w:val="000000"/>
          <w:lang w:bidi="ar"/>
        </w:rPr>
        <w:t>prevalence</w:t>
      </w:r>
      <w:proofErr w:type="spellEnd"/>
      <w:r w:rsidRPr="007513A1">
        <w:rPr>
          <w:rFonts w:eastAsia="Aptos"/>
          <w:color w:val="000000"/>
          <w:lang w:bidi="ar"/>
        </w:rPr>
        <w:t xml:space="preserve"> </w:t>
      </w:r>
      <w:proofErr w:type="spellStart"/>
      <w:r w:rsidRPr="007513A1">
        <w:rPr>
          <w:rFonts w:eastAsia="Aptos"/>
          <w:color w:val="000000"/>
          <w:lang w:bidi="ar"/>
        </w:rPr>
        <w:t>and</w:t>
      </w:r>
      <w:proofErr w:type="spellEnd"/>
      <w:r w:rsidRPr="007513A1">
        <w:rPr>
          <w:rFonts w:eastAsia="Aptos"/>
          <w:color w:val="000000"/>
          <w:lang w:bidi="ar"/>
        </w:rPr>
        <w:t xml:space="preserve"> </w:t>
      </w:r>
      <w:proofErr w:type="spellStart"/>
      <w:r w:rsidRPr="007513A1">
        <w:rPr>
          <w:rFonts w:eastAsia="Aptos"/>
          <w:color w:val="000000"/>
          <w:lang w:bidi="ar"/>
        </w:rPr>
        <w:t>age</w:t>
      </w:r>
      <w:proofErr w:type="spellEnd"/>
      <w:r w:rsidRPr="007513A1">
        <w:rPr>
          <w:rFonts w:eastAsia="Aptos"/>
          <w:color w:val="000000"/>
          <w:lang w:bidi="ar"/>
        </w:rPr>
        <w:t>-of-</w:t>
      </w:r>
      <w:proofErr w:type="spellStart"/>
      <w:r w:rsidRPr="007513A1">
        <w:rPr>
          <w:rFonts w:eastAsia="Aptos"/>
          <w:color w:val="000000"/>
          <w:lang w:bidi="ar"/>
        </w:rPr>
        <w:t>onset</w:t>
      </w:r>
      <w:proofErr w:type="spellEnd"/>
      <w:r w:rsidRPr="007513A1">
        <w:rPr>
          <w:rFonts w:eastAsia="Aptos"/>
          <w:color w:val="000000"/>
          <w:lang w:bidi="ar"/>
        </w:rPr>
        <w:t xml:space="preserve"> </w:t>
      </w:r>
      <w:proofErr w:type="spellStart"/>
      <w:r w:rsidRPr="007513A1">
        <w:rPr>
          <w:rFonts w:eastAsia="Aptos"/>
          <w:color w:val="000000"/>
          <w:lang w:bidi="ar"/>
        </w:rPr>
        <w:t>distributions</w:t>
      </w:r>
      <w:proofErr w:type="spellEnd"/>
      <w:r w:rsidRPr="007513A1">
        <w:rPr>
          <w:rFonts w:eastAsia="Aptos"/>
          <w:color w:val="000000"/>
          <w:lang w:bidi="ar"/>
        </w:rPr>
        <w:t xml:space="preserve"> of DSM-IV </w:t>
      </w:r>
      <w:proofErr w:type="spellStart"/>
      <w:r w:rsidRPr="007513A1">
        <w:rPr>
          <w:rFonts w:eastAsia="Aptos"/>
          <w:color w:val="000000"/>
          <w:lang w:bidi="ar"/>
        </w:rPr>
        <w:t>disorders</w:t>
      </w:r>
      <w:proofErr w:type="spellEnd"/>
      <w:r w:rsidRPr="007513A1">
        <w:rPr>
          <w:rFonts w:eastAsia="Aptos"/>
          <w:color w:val="000000"/>
          <w:lang w:bidi="ar"/>
        </w:rPr>
        <w:t xml:space="preserve"> in </w:t>
      </w:r>
      <w:proofErr w:type="spellStart"/>
      <w:r w:rsidRPr="007513A1">
        <w:rPr>
          <w:rFonts w:eastAsia="Aptos"/>
          <w:color w:val="000000"/>
          <w:lang w:bidi="ar"/>
        </w:rPr>
        <w:t>the</w:t>
      </w:r>
      <w:proofErr w:type="spellEnd"/>
      <w:r w:rsidRPr="007513A1">
        <w:rPr>
          <w:rFonts w:eastAsia="Aptos"/>
          <w:color w:val="000000"/>
          <w:lang w:bidi="ar"/>
        </w:rPr>
        <w:t xml:space="preserve"> </w:t>
      </w:r>
      <w:proofErr w:type="spellStart"/>
      <w:r w:rsidRPr="007513A1">
        <w:rPr>
          <w:rFonts w:eastAsia="Aptos"/>
          <w:color w:val="000000"/>
          <w:lang w:bidi="ar"/>
        </w:rPr>
        <w:t>National</w:t>
      </w:r>
      <w:proofErr w:type="spellEnd"/>
      <w:r w:rsidRPr="007513A1">
        <w:rPr>
          <w:rFonts w:eastAsia="Aptos"/>
          <w:color w:val="000000"/>
          <w:lang w:bidi="ar"/>
        </w:rPr>
        <w:t xml:space="preserve"> </w:t>
      </w:r>
      <w:proofErr w:type="spellStart"/>
      <w:r w:rsidRPr="007513A1">
        <w:rPr>
          <w:rFonts w:eastAsia="Aptos"/>
          <w:color w:val="000000"/>
          <w:lang w:bidi="ar"/>
        </w:rPr>
        <w:t>Comorbidity</w:t>
      </w:r>
      <w:proofErr w:type="spellEnd"/>
      <w:r w:rsidRPr="007513A1">
        <w:rPr>
          <w:rFonts w:eastAsia="Aptos"/>
          <w:color w:val="000000"/>
          <w:lang w:bidi="ar"/>
        </w:rPr>
        <w:t xml:space="preserve"> </w:t>
      </w:r>
      <w:proofErr w:type="spellStart"/>
      <w:r w:rsidRPr="007513A1">
        <w:rPr>
          <w:rFonts w:eastAsia="Aptos"/>
          <w:color w:val="000000"/>
          <w:lang w:bidi="ar"/>
        </w:rPr>
        <w:t>Survey</w:t>
      </w:r>
      <w:proofErr w:type="spellEnd"/>
      <w:r w:rsidRPr="007513A1">
        <w:rPr>
          <w:rFonts w:eastAsia="Aptos"/>
          <w:color w:val="000000"/>
          <w:lang w:bidi="ar"/>
        </w:rPr>
        <w:t xml:space="preserve"> Replication. </w:t>
      </w:r>
      <w:proofErr w:type="spellStart"/>
      <w:r w:rsidRPr="007513A1">
        <w:rPr>
          <w:rFonts w:eastAsia="Aptos"/>
          <w:i/>
          <w:iCs/>
          <w:color w:val="000000"/>
          <w:lang w:bidi="ar"/>
        </w:rPr>
        <w:t>Archives</w:t>
      </w:r>
      <w:proofErr w:type="spellEnd"/>
      <w:r w:rsidRPr="007513A1">
        <w:rPr>
          <w:rFonts w:eastAsia="Aptos"/>
          <w:i/>
          <w:iCs/>
          <w:color w:val="000000"/>
          <w:lang w:bidi="ar"/>
        </w:rPr>
        <w:t xml:space="preserve"> of General </w:t>
      </w:r>
      <w:proofErr w:type="spellStart"/>
      <w:r w:rsidRPr="007513A1">
        <w:rPr>
          <w:rFonts w:eastAsia="Aptos"/>
          <w:i/>
          <w:iCs/>
          <w:color w:val="000000"/>
          <w:lang w:bidi="ar"/>
        </w:rPr>
        <w:t>Psychiatry</w:t>
      </w:r>
      <w:proofErr w:type="spellEnd"/>
      <w:r w:rsidRPr="007513A1">
        <w:rPr>
          <w:rFonts w:eastAsia="Aptos"/>
          <w:color w:val="000000"/>
          <w:lang w:bidi="ar"/>
        </w:rPr>
        <w:t xml:space="preserve">, </w:t>
      </w:r>
      <w:r w:rsidRPr="007513A1">
        <w:rPr>
          <w:rFonts w:eastAsia="Aptos"/>
          <w:i/>
          <w:iCs/>
          <w:color w:val="000000"/>
          <w:lang w:bidi="ar"/>
        </w:rPr>
        <w:t>62</w:t>
      </w:r>
      <w:r w:rsidRPr="007513A1">
        <w:rPr>
          <w:rFonts w:eastAsia="Aptos"/>
          <w:color w:val="000000"/>
          <w:lang w:bidi="ar"/>
        </w:rPr>
        <w:t xml:space="preserve">, 593-602. </w:t>
      </w:r>
    </w:p>
    <w:p w14:paraId="37A81684"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Kessler, R. C., </w:t>
      </w:r>
      <w:proofErr w:type="spellStart"/>
      <w:r w:rsidRPr="007513A1">
        <w:rPr>
          <w:rFonts w:eastAsia="Aptos"/>
          <w:color w:val="000000"/>
          <w:lang w:bidi="ar"/>
        </w:rPr>
        <w:t>Crum</w:t>
      </w:r>
      <w:proofErr w:type="spellEnd"/>
      <w:r w:rsidRPr="007513A1">
        <w:rPr>
          <w:rFonts w:eastAsia="Aptos"/>
          <w:color w:val="000000"/>
          <w:lang w:bidi="ar"/>
        </w:rPr>
        <w:t xml:space="preserve">, R. M., Warner, L. A., Nelson, C. B., </w:t>
      </w:r>
      <w:proofErr w:type="spellStart"/>
      <w:r w:rsidRPr="007513A1">
        <w:rPr>
          <w:rFonts w:eastAsia="Aptos"/>
          <w:color w:val="000000"/>
          <w:lang w:bidi="ar"/>
        </w:rPr>
        <w:t>Schulenberg</w:t>
      </w:r>
      <w:proofErr w:type="spellEnd"/>
      <w:r w:rsidRPr="007513A1">
        <w:rPr>
          <w:rFonts w:eastAsia="Aptos"/>
          <w:color w:val="000000"/>
          <w:lang w:bidi="ar"/>
        </w:rPr>
        <w:t xml:space="preserve">, J., &amp; Anthony, J. C. (1997). </w:t>
      </w:r>
      <w:proofErr w:type="spellStart"/>
      <w:r w:rsidRPr="007513A1">
        <w:rPr>
          <w:rFonts w:eastAsia="Aptos"/>
          <w:color w:val="000000"/>
          <w:lang w:bidi="ar"/>
        </w:rPr>
        <w:t>Lifetime</w:t>
      </w:r>
      <w:proofErr w:type="spellEnd"/>
      <w:r w:rsidRPr="007513A1">
        <w:rPr>
          <w:rFonts w:eastAsia="Aptos"/>
          <w:color w:val="000000"/>
          <w:lang w:bidi="ar"/>
        </w:rPr>
        <w:t xml:space="preserve"> </w:t>
      </w:r>
      <w:proofErr w:type="spellStart"/>
      <w:r w:rsidRPr="007513A1">
        <w:rPr>
          <w:rFonts w:eastAsia="Aptos"/>
          <w:color w:val="000000"/>
          <w:lang w:bidi="ar"/>
        </w:rPr>
        <w:t>cooccurrence</w:t>
      </w:r>
      <w:proofErr w:type="spellEnd"/>
      <w:r w:rsidRPr="007513A1">
        <w:rPr>
          <w:rFonts w:eastAsia="Aptos"/>
          <w:color w:val="000000"/>
          <w:lang w:bidi="ar"/>
        </w:rPr>
        <w:t xml:space="preserve"> of DSM-IIIR </w:t>
      </w:r>
      <w:proofErr w:type="spellStart"/>
      <w:r w:rsidRPr="007513A1">
        <w:rPr>
          <w:rFonts w:eastAsia="Aptos"/>
          <w:color w:val="000000"/>
          <w:lang w:bidi="ar"/>
        </w:rPr>
        <w:t>alcohol</w:t>
      </w:r>
      <w:proofErr w:type="spellEnd"/>
      <w:r w:rsidRPr="007513A1">
        <w:rPr>
          <w:rFonts w:eastAsia="Aptos"/>
          <w:color w:val="000000"/>
          <w:lang w:bidi="ar"/>
        </w:rPr>
        <w:t xml:space="preserve"> </w:t>
      </w:r>
      <w:proofErr w:type="spellStart"/>
      <w:r w:rsidRPr="007513A1">
        <w:rPr>
          <w:rFonts w:eastAsia="Aptos"/>
          <w:color w:val="000000"/>
          <w:lang w:bidi="ar"/>
        </w:rPr>
        <w:t>dependence</w:t>
      </w:r>
      <w:proofErr w:type="spellEnd"/>
      <w:r w:rsidRPr="007513A1">
        <w:rPr>
          <w:rFonts w:eastAsia="Aptos"/>
          <w:color w:val="000000"/>
          <w:lang w:bidi="ar"/>
        </w:rPr>
        <w:t xml:space="preserve"> </w:t>
      </w:r>
      <w:proofErr w:type="spellStart"/>
      <w:r w:rsidRPr="007513A1">
        <w:rPr>
          <w:rFonts w:eastAsia="Aptos"/>
          <w:color w:val="000000"/>
          <w:lang w:bidi="ar"/>
        </w:rPr>
        <w:t>with</w:t>
      </w:r>
      <w:proofErr w:type="spellEnd"/>
      <w:r w:rsidRPr="007513A1">
        <w:rPr>
          <w:rFonts w:eastAsia="Aptos"/>
          <w:color w:val="000000"/>
          <w:lang w:bidi="ar"/>
        </w:rPr>
        <w:t xml:space="preserve"> </w:t>
      </w:r>
      <w:proofErr w:type="spellStart"/>
      <w:r w:rsidRPr="007513A1">
        <w:rPr>
          <w:rFonts w:eastAsia="Aptos"/>
          <w:color w:val="000000"/>
          <w:lang w:bidi="ar"/>
        </w:rPr>
        <w:t>other</w:t>
      </w:r>
      <w:proofErr w:type="spellEnd"/>
      <w:r w:rsidRPr="007513A1">
        <w:rPr>
          <w:rFonts w:eastAsia="Aptos"/>
          <w:color w:val="000000"/>
          <w:lang w:bidi="ar"/>
        </w:rPr>
        <w:t xml:space="preserve"> </w:t>
      </w:r>
      <w:proofErr w:type="spellStart"/>
      <w:r w:rsidRPr="007513A1">
        <w:rPr>
          <w:rFonts w:eastAsia="Aptos"/>
          <w:color w:val="000000"/>
          <w:lang w:bidi="ar"/>
        </w:rPr>
        <w:t>psychiatric</w:t>
      </w:r>
      <w:proofErr w:type="spellEnd"/>
      <w:r w:rsidRPr="007513A1">
        <w:rPr>
          <w:rFonts w:eastAsia="Aptos"/>
          <w:color w:val="000000"/>
          <w:lang w:bidi="ar"/>
        </w:rPr>
        <w:t xml:space="preserve"> </w:t>
      </w:r>
      <w:proofErr w:type="spellStart"/>
      <w:r w:rsidRPr="007513A1">
        <w:rPr>
          <w:rFonts w:eastAsia="Aptos"/>
          <w:color w:val="000000"/>
          <w:lang w:bidi="ar"/>
        </w:rPr>
        <w:t>disorders</w:t>
      </w:r>
      <w:proofErr w:type="spellEnd"/>
      <w:r w:rsidRPr="007513A1">
        <w:rPr>
          <w:rFonts w:eastAsia="Aptos"/>
          <w:color w:val="000000"/>
          <w:lang w:bidi="ar"/>
        </w:rPr>
        <w:t xml:space="preserve"> in </w:t>
      </w:r>
      <w:proofErr w:type="spellStart"/>
      <w:r w:rsidRPr="007513A1">
        <w:rPr>
          <w:rFonts w:eastAsia="Aptos"/>
          <w:color w:val="000000"/>
          <w:lang w:bidi="ar"/>
        </w:rPr>
        <w:t>the</w:t>
      </w:r>
      <w:proofErr w:type="spellEnd"/>
      <w:r w:rsidRPr="007513A1">
        <w:rPr>
          <w:rFonts w:eastAsia="Aptos"/>
          <w:color w:val="000000"/>
          <w:lang w:bidi="ar"/>
        </w:rPr>
        <w:t xml:space="preserve"> </w:t>
      </w:r>
      <w:proofErr w:type="spellStart"/>
      <w:r w:rsidRPr="007513A1">
        <w:rPr>
          <w:rFonts w:eastAsia="Aptos"/>
          <w:color w:val="000000"/>
          <w:lang w:bidi="ar"/>
        </w:rPr>
        <w:t>National</w:t>
      </w:r>
      <w:proofErr w:type="spellEnd"/>
      <w:r w:rsidRPr="007513A1">
        <w:rPr>
          <w:rFonts w:eastAsia="Aptos"/>
          <w:color w:val="000000"/>
          <w:lang w:bidi="ar"/>
        </w:rPr>
        <w:t xml:space="preserve"> </w:t>
      </w:r>
      <w:proofErr w:type="spellStart"/>
      <w:r w:rsidRPr="007513A1">
        <w:rPr>
          <w:rFonts w:eastAsia="Aptos"/>
          <w:color w:val="000000"/>
          <w:lang w:bidi="ar"/>
        </w:rPr>
        <w:t>Comorbidity</w:t>
      </w:r>
      <w:proofErr w:type="spellEnd"/>
      <w:r w:rsidRPr="007513A1">
        <w:rPr>
          <w:rFonts w:eastAsia="Aptos"/>
          <w:color w:val="000000"/>
          <w:lang w:bidi="ar"/>
        </w:rPr>
        <w:t xml:space="preserve"> </w:t>
      </w:r>
      <w:proofErr w:type="spellStart"/>
      <w:r w:rsidRPr="007513A1">
        <w:rPr>
          <w:rFonts w:eastAsia="Aptos"/>
          <w:color w:val="000000"/>
          <w:lang w:bidi="ar"/>
        </w:rPr>
        <w:t>Study</w:t>
      </w:r>
      <w:proofErr w:type="spellEnd"/>
      <w:r w:rsidRPr="007513A1">
        <w:rPr>
          <w:rFonts w:eastAsia="Aptos"/>
          <w:color w:val="000000"/>
          <w:lang w:bidi="ar"/>
        </w:rPr>
        <w:t xml:space="preserve">. </w:t>
      </w:r>
      <w:proofErr w:type="spellStart"/>
      <w:r w:rsidRPr="007513A1">
        <w:rPr>
          <w:rFonts w:eastAsia="Aptos"/>
          <w:i/>
          <w:iCs/>
          <w:color w:val="000000"/>
          <w:lang w:bidi="ar"/>
        </w:rPr>
        <w:t>Archives</w:t>
      </w:r>
      <w:proofErr w:type="spellEnd"/>
      <w:r w:rsidRPr="007513A1">
        <w:rPr>
          <w:rFonts w:eastAsia="Aptos"/>
          <w:i/>
          <w:iCs/>
          <w:color w:val="000000"/>
          <w:lang w:bidi="ar"/>
        </w:rPr>
        <w:t xml:space="preserve"> of General </w:t>
      </w:r>
      <w:proofErr w:type="spellStart"/>
      <w:r w:rsidRPr="007513A1">
        <w:rPr>
          <w:rFonts w:eastAsia="Aptos"/>
          <w:i/>
          <w:iCs/>
          <w:color w:val="000000"/>
          <w:lang w:bidi="ar"/>
        </w:rPr>
        <w:t>Psychiatry</w:t>
      </w:r>
      <w:proofErr w:type="spellEnd"/>
      <w:r w:rsidRPr="007513A1">
        <w:rPr>
          <w:rFonts w:eastAsia="Aptos"/>
          <w:i/>
          <w:iCs/>
          <w:color w:val="000000"/>
          <w:lang w:bidi="ar"/>
        </w:rPr>
        <w:t>, 54</w:t>
      </w:r>
      <w:r w:rsidRPr="007513A1">
        <w:rPr>
          <w:rFonts w:eastAsia="Aptos"/>
          <w:color w:val="000000"/>
          <w:lang w:bidi="ar"/>
        </w:rPr>
        <w:t>, 313–321.</w:t>
      </w:r>
    </w:p>
    <w:p w14:paraId="4674A244"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Olatunji</w:t>
      </w:r>
      <w:proofErr w:type="spellEnd"/>
      <w:r w:rsidRPr="007513A1">
        <w:rPr>
          <w:rFonts w:eastAsia="Aptos"/>
          <w:color w:val="000000"/>
          <w:lang w:bidi="ar"/>
        </w:rPr>
        <w:t xml:space="preserve">, B. O., Cisler, J. M., &amp; </w:t>
      </w:r>
      <w:proofErr w:type="spellStart"/>
      <w:r w:rsidRPr="007513A1">
        <w:rPr>
          <w:rFonts w:eastAsia="Aptos"/>
          <w:color w:val="000000"/>
          <w:lang w:bidi="ar"/>
        </w:rPr>
        <w:t>Tolin</w:t>
      </w:r>
      <w:proofErr w:type="spellEnd"/>
      <w:r w:rsidRPr="007513A1">
        <w:rPr>
          <w:rFonts w:eastAsia="Aptos"/>
          <w:color w:val="000000"/>
          <w:lang w:bidi="ar"/>
        </w:rPr>
        <w:t xml:space="preserve">, D. F. (2007). </w:t>
      </w:r>
      <w:proofErr w:type="spellStart"/>
      <w:r w:rsidRPr="007513A1">
        <w:rPr>
          <w:rFonts w:eastAsia="Aptos"/>
          <w:color w:val="000000"/>
          <w:lang w:bidi="ar"/>
        </w:rPr>
        <w:t>Quality</w:t>
      </w:r>
      <w:proofErr w:type="spellEnd"/>
      <w:r w:rsidRPr="007513A1">
        <w:rPr>
          <w:rFonts w:eastAsia="Aptos"/>
          <w:color w:val="000000"/>
          <w:lang w:bidi="ar"/>
        </w:rPr>
        <w:t xml:space="preserve"> of life in </w:t>
      </w:r>
      <w:proofErr w:type="spellStart"/>
      <w:r w:rsidRPr="007513A1">
        <w:rPr>
          <w:rFonts w:eastAsia="Aptos"/>
          <w:color w:val="000000"/>
          <w:lang w:bidi="ar"/>
        </w:rPr>
        <w:t>the</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disorders</w:t>
      </w:r>
      <w:proofErr w:type="spellEnd"/>
      <w:r w:rsidRPr="007513A1">
        <w:rPr>
          <w:rFonts w:eastAsia="Aptos"/>
          <w:color w:val="000000"/>
          <w:lang w:bidi="ar"/>
        </w:rPr>
        <w:t>: A meta-</w:t>
      </w:r>
      <w:proofErr w:type="spellStart"/>
      <w:r w:rsidRPr="007513A1">
        <w:rPr>
          <w:rFonts w:eastAsia="Aptos"/>
          <w:color w:val="000000"/>
          <w:lang w:bidi="ar"/>
        </w:rPr>
        <w:t>analytic</w:t>
      </w:r>
      <w:proofErr w:type="spellEnd"/>
      <w:r w:rsidRPr="007513A1">
        <w:rPr>
          <w:rFonts w:eastAsia="Aptos"/>
          <w:color w:val="000000"/>
          <w:lang w:bidi="ar"/>
        </w:rPr>
        <w:t xml:space="preserve"> </w:t>
      </w:r>
      <w:proofErr w:type="spellStart"/>
      <w:r w:rsidRPr="007513A1">
        <w:rPr>
          <w:rFonts w:eastAsia="Aptos"/>
          <w:color w:val="000000"/>
          <w:lang w:bidi="ar"/>
        </w:rPr>
        <w:t>review</w:t>
      </w:r>
      <w:proofErr w:type="spellEnd"/>
      <w:r w:rsidRPr="007513A1">
        <w:rPr>
          <w:rFonts w:eastAsia="Aptos"/>
          <w:color w:val="000000"/>
          <w:lang w:bidi="ar"/>
        </w:rPr>
        <w:t xml:space="preserve">. </w:t>
      </w:r>
      <w:proofErr w:type="spellStart"/>
      <w:r w:rsidRPr="007513A1">
        <w:rPr>
          <w:rFonts w:eastAsia="Aptos"/>
          <w:i/>
          <w:iCs/>
          <w:color w:val="000000"/>
          <w:lang w:bidi="ar"/>
        </w:rPr>
        <w:t>Clinical</w:t>
      </w:r>
      <w:proofErr w:type="spellEnd"/>
      <w:r w:rsidRPr="007513A1">
        <w:rPr>
          <w:rFonts w:eastAsia="Aptos"/>
          <w:i/>
          <w:iCs/>
          <w:color w:val="000000"/>
          <w:lang w:bidi="ar"/>
        </w:rPr>
        <w:t xml:space="preserve"> </w:t>
      </w:r>
      <w:proofErr w:type="spellStart"/>
      <w:r w:rsidRPr="007513A1">
        <w:rPr>
          <w:rFonts w:eastAsia="Aptos"/>
          <w:i/>
          <w:iCs/>
          <w:color w:val="000000"/>
          <w:lang w:bidi="ar"/>
        </w:rPr>
        <w:t>Psychology</w:t>
      </w:r>
      <w:proofErr w:type="spellEnd"/>
      <w:r w:rsidRPr="007513A1">
        <w:rPr>
          <w:rFonts w:eastAsia="Aptos"/>
          <w:i/>
          <w:iCs/>
          <w:color w:val="000000"/>
          <w:lang w:bidi="ar"/>
        </w:rPr>
        <w:t xml:space="preserve"> </w:t>
      </w:r>
      <w:proofErr w:type="spellStart"/>
      <w:r w:rsidRPr="007513A1">
        <w:rPr>
          <w:rFonts w:eastAsia="Aptos"/>
          <w:i/>
          <w:iCs/>
          <w:color w:val="000000"/>
          <w:lang w:bidi="ar"/>
        </w:rPr>
        <w:t>Review</w:t>
      </w:r>
      <w:proofErr w:type="spellEnd"/>
      <w:r w:rsidRPr="007513A1">
        <w:rPr>
          <w:rFonts w:eastAsia="Aptos"/>
          <w:color w:val="000000"/>
          <w:lang w:bidi="ar"/>
        </w:rPr>
        <w:t>,</w:t>
      </w:r>
      <w:r w:rsidRPr="007513A1">
        <w:rPr>
          <w:rFonts w:eastAsia="Aptos"/>
          <w:i/>
          <w:iCs/>
          <w:color w:val="000000"/>
          <w:lang w:bidi="ar"/>
        </w:rPr>
        <w:t xml:space="preserve"> 27</w:t>
      </w:r>
      <w:r w:rsidRPr="007513A1">
        <w:rPr>
          <w:rFonts w:eastAsia="Aptos"/>
          <w:color w:val="000000"/>
          <w:lang w:bidi="ar"/>
        </w:rPr>
        <w:t xml:space="preserve">, 572–581. </w:t>
      </w:r>
    </w:p>
    <w:p w14:paraId="0381DC27" w14:textId="77777777" w:rsidR="00B470AD"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Öztürk, M. O., Uluşahin, A. (2011). Ruh sağlığı ve bozuklukları. Yenilenmiş </w:t>
      </w:r>
      <w:proofErr w:type="spellStart"/>
      <w:r w:rsidRPr="007513A1">
        <w:rPr>
          <w:rFonts w:eastAsia="Aptos"/>
          <w:color w:val="000000"/>
          <w:lang w:bidi="ar"/>
        </w:rPr>
        <w:t>Onbirinci</w:t>
      </w:r>
      <w:proofErr w:type="spellEnd"/>
      <w:r w:rsidRPr="007513A1">
        <w:rPr>
          <w:rFonts w:eastAsia="Aptos"/>
          <w:color w:val="000000"/>
          <w:lang w:bidi="ar"/>
        </w:rPr>
        <w:t xml:space="preserve"> Baskı, 448–512. Nobel Tıp Kitapevleri.</w:t>
      </w:r>
    </w:p>
    <w:p w14:paraId="27E788A7"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Papp</w:t>
      </w:r>
      <w:proofErr w:type="spellEnd"/>
      <w:r w:rsidRPr="007513A1">
        <w:rPr>
          <w:rFonts w:eastAsia="Aptos"/>
          <w:color w:val="000000"/>
          <w:lang w:bidi="ar"/>
        </w:rPr>
        <w:t xml:space="preserve">, L. A., </w:t>
      </w:r>
      <w:proofErr w:type="spellStart"/>
      <w:r w:rsidRPr="007513A1">
        <w:rPr>
          <w:rFonts w:eastAsia="Aptos"/>
          <w:color w:val="000000"/>
          <w:lang w:bidi="ar"/>
        </w:rPr>
        <w:t>Gorman</w:t>
      </w:r>
      <w:proofErr w:type="spellEnd"/>
      <w:r w:rsidRPr="007513A1">
        <w:rPr>
          <w:rFonts w:eastAsia="Aptos"/>
          <w:color w:val="000000"/>
          <w:lang w:bidi="ar"/>
        </w:rPr>
        <w:t xml:space="preserve">, J. M. (1995). </w:t>
      </w:r>
      <w:proofErr w:type="spellStart"/>
      <w:r w:rsidRPr="007513A1">
        <w:rPr>
          <w:rFonts w:eastAsia="Aptos"/>
          <w:color w:val="000000"/>
          <w:lang w:bidi="ar"/>
        </w:rPr>
        <w:t>Generalized</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w:t>
      </w:r>
      <w:proofErr w:type="spellEnd"/>
      <w:r w:rsidRPr="007513A1">
        <w:rPr>
          <w:rFonts w:eastAsia="Aptos"/>
          <w:color w:val="000000"/>
          <w:lang w:bidi="ar"/>
        </w:rPr>
        <w:t xml:space="preserve">. </w:t>
      </w:r>
      <w:proofErr w:type="spellStart"/>
      <w:r w:rsidRPr="007513A1">
        <w:rPr>
          <w:rFonts w:eastAsia="Aptos"/>
          <w:color w:val="000000"/>
          <w:lang w:bidi="ar"/>
        </w:rPr>
        <w:t>In</w:t>
      </w:r>
      <w:proofErr w:type="spellEnd"/>
      <w:r w:rsidRPr="007513A1">
        <w:rPr>
          <w:rFonts w:eastAsia="Aptos"/>
          <w:color w:val="000000"/>
          <w:lang w:bidi="ar"/>
        </w:rPr>
        <w:t xml:space="preserve"> H. I. Kaplan &amp; B. J. </w:t>
      </w:r>
      <w:proofErr w:type="spellStart"/>
      <w:r w:rsidRPr="007513A1">
        <w:rPr>
          <w:rFonts w:eastAsia="Aptos"/>
          <w:color w:val="000000"/>
          <w:lang w:bidi="ar"/>
        </w:rPr>
        <w:t>Sadock</w:t>
      </w:r>
      <w:proofErr w:type="spellEnd"/>
      <w:r w:rsidRPr="007513A1">
        <w:rPr>
          <w:rFonts w:eastAsia="Aptos"/>
          <w:color w:val="000000"/>
          <w:lang w:bidi="ar"/>
        </w:rPr>
        <w:t xml:space="preserve"> (</w:t>
      </w:r>
      <w:proofErr w:type="spellStart"/>
      <w:r w:rsidRPr="007513A1">
        <w:rPr>
          <w:rFonts w:eastAsia="Aptos"/>
          <w:color w:val="000000"/>
          <w:lang w:bidi="ar"/>
        </w:rPr>
        <w:t>Eds</w:t>
      </w:r>
      <w:proofErr w:type="spellEnd"/>
      <w:r w:rsidRPr="007513A1">
        <w:rPr>
          <w:rFonts w:eastAsia="Aptos"/>
          <w:color w:val="000000"/>
          <w:lang w:bidi="ar"/>
        </w:rPr>
        <w:t xml:space="preserve">.), </w:t>
      </w:r>
      <w:proofErr w:type="spellStart"/>
      <w:r w:rsidRPr="007513A1">
        <w:rPr>
          <w:rFonts w:eastAsia="Aptos"/>
          <w:i/>
          <w:iCs/>
          <w:color w:val="000000"/>
          <w:lang w:bidi="ar"/>
        </w:rPr>
        <w:t>Comprehensive</w:t>
      </w:r>
      <w:proofErr w:type="spellEnd"/>
      <w:r w:rsidRPr="007513A1">
        <w:rPr>
          <w:rFonts w:eastAsia="Aptos"/>
          <w:i/>
          <w:iCs/>
          <w:color w:val="000000"/>
          <w:lang w:bidi="ar"/>
        </w:rPr>
        <w:t xml:space="preserve"> </w:t>
      </w:r>
      <w:proofErr w:type="spellStart"/>
      <w:r w:rsidRPr="007513A1">
        <w:rPr>
          <w:rFonts w:eastAsia="Aptos"/>
          <w:i/>
          <w:iCs/>
          <w:color w:val="000000"/>
          <w:lang w:bidi="ar"/>
        </w:rPr>
        <w:t>textbook</w:t>
      </w:r>
      <w:proofErr w:type="spellEnd"/>
      <w:r w:rsidRPr="007513A1">
        <w:rPr>
          <w:rFonts w:eastAsia="Aptos"/>
          <w:i/>
          <w:iCs/>
          <w:color w:val="000000"/>
          <w:lang w:bidi="ar"/>
        </w:rPr>
        <w:t xml:space="preserve"> of </w:t>
      </w:r>
      <w:proofErr w:type="spellStart"/>
      <w:r w:rsidRPr="007513A1">
        <w:rPr>
          <w:rFonts w:eastAsia="Aptos"/>
          <w:i/>
          <w:iCs/>
          <w:color w:val="000000"/>
          <w:lang w:bidi="ar"/>
        </w:rPr>
        <w:t>psychiatry</w:t>
      </w:r>
      <w:proofErr w:type="spellEnd"/>
      <w:r w:rsidRPr="007513A1">
        <w:rPr>
          <w:rFonts w:eastAsia="Aptos"/>
          <w:color w:val="000000"/>
          <w:lang w:bidi="ar"/>
        </w:rPr>
        <w:t xml:space="preserve"> (6th ed.), 1236–1249. Williams &amp; Wilkins.</w:t>
      </w:r>
    </w:p>
    <w:p w14:paraId="78724941" w14:textId="77777777" w:rsidR="00B470AD" w:rsidRPr="007513A1" w:rsidRDefault="00B470AD">
      <w:pPr>
        <w:pStyle w:val="ListeParagraf"/>
        <w:numPr>
          <w:ilvl w:val="0"/>
          <w:numId w:val="79"/>
        </w:numPr>
        <w:jc w:val="both"/>
        <w:rPr>
          <w:rFonts w:eastAsia="Aptos"/>
          <w:color w:val="000000"/>
          <w:lang w:val="en-US" w:bidi="ar"/>
        </w:rPr>
      </w:pPr>
      <w:proofErr w:type="spellStart"/>
      <w:r w:rsidRPr="007513A1">
        <w:rPr>
          <w:rFonts w:eastAsia="Aptos"/>
          <w:color w:val="000000"/>
          <w:lang w:bidi="ar"/>
        </w:rPr>
        <w:t>Riskind</w:t>
      </w:r>
      <w:proofErr w:type="spellEnd"/>
      <w:r w:rsidRPr="007513A1">
        <w:rPr>
          <w:rFonts w:eastAsia="Aptos"/>
          <w:color w:val="000000"/>
          <w:lang w:bidi="ar"/>
        </w:rPr>
        <w:t xml:space="preserve">, J. H. (2005). </w:t>
      </w:r>
      <w:proofErr w:type="spellStart"/>
      <w:r w:rsidRPr="007513A1">
        <w:rPr>
          <w:rFonts w:eastAsia="Aptos"/>
          <w:color w:val="000000"/>
          <w:lang w:bidi="ar"/>
        </w:rPr>
        <w:t>Cognitive</w:t>
      </w:r>
      <w:proofErr w:type="spellEnd"/>
      <w:r w:rsidRPr="007513A1">
        <w:rPr>
          <w:rFonts w:eastAsia="Aptos"/>
          <w:color w:val="000000"/>
          <w:lang w:bidi="ar"/>
        </w:rPr>
        <w:t xml:space="preserve"> </w:t>
      </w:r>
      <w:proofErr w:type="spellStart"/>
      <w:r w:rsidRPr="007513A1">
        <w:rPr>
          <w:rFonts w:eastAsia="Aptos"/>
          <w:color w:val="000000"/>
          <w:lang w:bidi="ar"/>
        </w:rPr>
        <w:t>mechanisms</w:t>
      </w:r>
      <w:proofErr w:type="spellEnd"/>
      <w:r w:rsidRPr="007513A1">
        <w:rPr>
          <w:rFonts w:eastAsia="Aptos"/>
          <w:color w:val="000000"/>
          <w:lang w:bidi="ar"/>
        </w:rPr>
        <w:t xml:space="preserve"> in </w:t>
      </w:r>
      <w:proofErr w:type="spellStart"/>
      <w:r w:rsidRPr="007513A1">
        <w:rPr>
          <w:rFonts w:eastAsia="Aptos"/>
          <w:color w:val="000000"/>
          <w:lang w:bidi="ar"/>
        </w:rPr>
        <w:t>generalized</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w:t>
      </w:r>
      <w:proofErr w:type="spellEnd"/>
      <w:r w:rsidRPr="007513A1">
        <w:rPr>
          <w:rFonts w:eastAsia="Aptos"/>
          <w:color w:val="000000"/>
          <w:lang w:bidi="ar"/>
        </w:rPr>
        <w:t xml:space="preserve">: A </w:t>
      </w:r>
      <w:proofErr w:type="spellStart"/>
      <w:r w:rsidRPr="007513A1">
        <w:rPr>
          <w:rFonts w:eastAsia="Aptos"/>
          <w:color w:val="000000"/>
          <w:lang w:bidi="ar"/>
        </w:rPr>
        <w:t>second</w:t>
      </w:r>
      <w:proofErr w:type="spellEnd"/>
      <w:r w:rsidRPr="007513A1">
        <w:rPr>
          <w:rFonts w:eastAsia="Aptos"/>
          <w:color w:val="000000"/>
          <w:lang w:bidi="ar"/>
        </w:rPr>
        <w:t xml:space="preserve"> </w:t>
      </w:r>
      <w:proofErr w:type="spellStart"/>
      <w:r w:rsidRPr="007513A1">
        <w:rPr>
          <w:rFonts w:eastAsia="Aptos"/>
          <w:color w:val="000000"/>
          <w:lang w:bidi="ar"/>
        </w:rPr>
        <w:t>generation</w:t>
      </w:r>
      <w:proofErr w:type="spellEnd"/>
      <w:r w:rsidRPr="007513A1">
        <w:rPr>
          <w:rFonts w:eastAsia="Aptos"/>
          <w:color w:val="000000"/>
          <w:lang w:bidi="ar"/>
        </w:rPr>
        <w:t xml:space="preserve"> of </w:t>
      </w:r>
      <w:proofErr w:type="spellStart"/>
      <w:r w:rsidRPr="007513A1">
        <w:rPr>
          <w:rFonts w:eastAsia="Aptos"/>
          <w:color w:val="000000"/>
          <w:lang w:bidi="ar"/>
        </w:rPr>
        <w:t>theoretical</w:t>
      </w:r>
      <w:proofErr w:type="spellEnd"/>
      <w:r w:rsidRPr="007513A1">
        <w:rPr>
          <w:rFonts w:eastAsia="Aptos"/>
          <w:color w:val="000000"/>
          <w:lang w:bidi="ar"/>
        </w:rPr>
        <w:t xml:space="preserve"> </w:t>
      </w:r>
      <w:proofErr w:type="spellStart"/>
      <w:r w:rsidRPr="007513A1">
        <w:rPr>
          <w:rFonts w:eastAsia="Aptos"/>
          <w:color w:val="000000"/>
          <w:lang w:bidi="ar"/>
        </w:rPr>
        <w:t>perspectives</w:t>
      </w:r>
      <w:proofErr w:type="spellEnd"/>
      <w:r w:rsidRPr="007513A1">
        <w:rPr>
          <w:rFonts w:eastAsia="Aptos"/>
          <w:color w:val="000000"/>
          <w:lang w:bidi="ar"/>
        </w:rPr>
        <w:t>. </w:t>
      </w:r>
      <w:proofErr w:type="spellStart"/>
      <w:r w:rsidRPr="007513A1">
        <w:rPr>
          <w:rFonts w:eastAsia="Aptos"/>
          <w:i/>
          <w:iCs/>
          <w:color w:val="000000"/>
          <w:lang w:bidi="ar"/>
        </w:rPr>
        <w:t>Cognitive</w:t>
      </w:r>
      <w:proofErr w:type="spellEnd"/>
      <w:r w:rsidRPr="007513A1">
        <w:rPr>
          <w:rFonts w:eastAsia="Aptos"/>
          <w:i/>
          <w:iCs/>
          <w:color w:val="000000"/>
          <w:lang w:bidi="ar"/>
        </w:rPr>
        <w:t xml:space="preserve"> </w:t>
      </w:r>
      <w:proofErr w:type="spellStart"/>
      <w:r w:rsidRPr="007513A1">
        <w:rPr>
          <w:rFonts w:eastAsia="Aptos"/>
          <w:i/>
          <w:iCs/>
          <w:color w:val="000000"/>
          <w:lang w:bidi="ar"/>
        </w:rPr>
        <w:t>Therapy</w:t>
      </w:r>
      <w:proofErr w:type="spellEnd"/>
      <w:r w:rsidRPr="007513A1">
        <w:rPr>
          <w:rFonts w:eastAsia="Aptos"/>
          <w:i/>
          <w:iCs/>
          <w:color w:val="000000"/>
          <w:lang w:bidi="ar"/>
        </w:rPr>
        <w:t xml:space="preserve"> </w:t>
      </w:r>
      <w:proofErr w:type="spellStart"/>
      <w:r w:rsidRPr="007513A1">
        <w:rPr>
          <w:rFonts w:eastAsia="Aptos"/>
          <w:i/>
          <w:iCs/>
          <w:color w:val="000000"/>
          <w:lang w:bidi="ar"/>
        </w:rPr>
        <w:t>and</w:t>
      </w:r>
      <w:proofErr w:type="spellEnd"/>
      <w:r w:rsidRPr="007513A1">
        <w:rPr>
          <w:rFonts w:eastAsia="Aptos"/>
          <w:i/>
          <w:iCs/>
          <w:color w:val="000000"/>
          <w:lang w:bidi="ar"/>
        </w:rPr>
        <w:t xml:space="preserve"> </w:t>
      </w:r>
      <w:proofErr w:type="spellStart"/>
      <w:r w:rsidRPr="007513A1">
        <w:rPr>
          <w:rFonts w:eastAsia="Aptos"/>
          <w:i/>
          <w:iCs/>
          <w:color w:val="000000"/>
          <w:lang w:bidi="ar"/>
        </w:rPr>
        <w:t>Research</w:t>
      </w:r>
      <w:proofErr w:type="spellEnd"/>
      <w:r w:rsidRPr="007513A1">
        <w:rPr>
          <w:rFonts w:eastAsia="Aptos"/>
          <w:color w:val="000000"/>
          <w:lang w:bidi="ar"/>
        </w:rPr>
        <w:t>, </w:t>
      </w:r>
      <w:r w:rsidRPr="007513A1">
        <w:rPr>
          <w:rFonts w:eastAsia="Aptos"/>
          <w:i/>
          <w:iCs/>
          <w:color w:val="000000"/>
          <w:lang w:bidi="ar"/>
        </w:rPr>
        <w:t>29</w:t>
      </w:r>
      <w:r w:rsidRPr="007513A1">
        <w:rPr>
          <w:rFonts w:eastAsia="Aptos"/>
          <w:color w:val="000000"/>
          <w:lang w:bidi="ar"/>
        </w:rPr>
        <w:t>, 1-5.</w:t>
      </w:r>
    </w:p>
    <w:p w14:paraId="5371339B"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val="en-US" w:bidi="ar"/>
        </w:rPr>
        <w:t>Riskind</w:t>
      </w:r>
      <w:proofErr w:type="spellEnd"/>
      <w:r w:rsidRPr="007513A1">
        <w:rPr>
          <w:rFonts w:eastAsia="Aptos"/>
          <w:color w:val="000000"/>
          <w:lang w:val="en-US" w:bidi="ar"/>
        </w:rPr>
        <w:t xml:space="preserve">, J. H. (1997). Looming vulnerability to threat: A cognitive paradigm for anxiety. </w:t>
      </w:r>
      <w:proofErr w:type="spellStart"/>
      <w:r w:rsidRPr="007513A1">
        <w:rPr>
          <w:rFonts w:eastAsia="Aptos"/>
          <w:color w:val="000000"/>
          <w:lang w:val="en-US" w:bidi="ar"/>
        </w:rPr>
        <w:t>Behaviour</w:t>
      </w:r>
      <w:proofErr w:type="spellEnd"/>
      <w:r w:rsidRPr="007513A1">
        <w:rPr>
          <w:rFonts w:eastAsia="Aptos"/>
          <w:color w:val="000000"/>
          <w:lang w:val="en-US" w:bidi="ar"/>
        </w:rPr>
        <w:t xml:space="preserve"> Research and Therapy, 35(8), 685-702.</w:t>
      </w:r>
    </w:p>
    <w:p w14:paraId="38D597DA"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val="en-US" w:bidi="ar"/>
        </w:rPr>
        <w:t>Riskind</w:t>
      </w:r>
      <w:proofErr w:type="spellEnd"/>
      <w:r w:rsidRPr="007513A1">
        <w:rPr>
          <w:rFonts w:eastAsia="Aptos"/>
          <w:color w:val="000000"/>
          <w:lang w:val="en-US" w:bidi="ar"/>
        </w:rPr>
        <w:t>, J. H., Williams, N. L., Gessner, T. L., Chrosniak, L. D., &amp; Cortina, J. M. (2000). The looming maladaptive style: anxiety, danger, and schematic processing. Journal of Personality and Social Psychology, 79(5), 837.</w:t>
      </w:r>
    </w:p>
    <w:p w14:paraId="752F582A" w14:textId="77777777" w:rsidR="00B470AD" w:rsidRPr="007513A1" w:rsidRDefault="00B470AD">
      <w:pPr>
        <w:pStyle w:val="ListeParagraf"/>
        <w:numPr>
          <w:ilvl w:val="0"/>
          <w:numId w:val="79"/>
        </w:numPr>
        <w:jc w:val="both"/>
        <w:rPr>
          <w:rFonts w:eastAsia="Aptos"/>
          <w:color w:val="000000"/>
          <w:lang w:val="en-US" w:bidi="ar"/>
        </w:rPr>
      </w:pPr>
      <w:r w:rsidRPr="007513A1">
        <w:rPr>
          <w:rFonts w:eastAsia="Aptos"/>
          <w:color w:val="000000"/>
          <w:lang w:val="en-US" w:bidi="ar"/>
        </w:rPr>
        <w:t>Wells, A. (2011). </w:t>
      </w:r>
      <w:r w:rsidRPr="007513A1">
        <w:rPr>
          <w:rFonts w:eastAsia="Aptos"/>
          <w:i/>
          <w:iCs/>
          <w:color w:val="000000"/>
          <w:lang w:val="en-US" w:bidi="ar"/>
        </w:rPr>
        <w:t>Metacognitive therapy for anxiety and depression</w:t>
      </w:r>
      <w:r w:rsidRPr="007513A1">
        <w:rPr>
          <w:rFonts w:eastAsia="Aptos"/>
          <w:color w:val="000000"/>
          <w:lang w:val="en-US" w:bidi="ar"/>
        </w:rPr>
        <w:t>. Guilford Press.</w:t>
      </w:r>
    </w:p>
    <w:p w14:paraId="34563886" w14:textId="77777777" w:rsidR="00B470AD" w:rsidRPr="007513A1" w:rsidRDefault="00B470AD">
      <w:pPr>
        <w:pStyle w:val="ListeParagraf"/>
        <w:numPr>
          <w:ilvl w:val="0"/>
          <w:numId w:val="79"/>
        </w:numPr>
        <w:jc w:val="both"/>
        <w:rPr>
          <w:rFonts w:eastAsia="Aptos"/>
          <w:color w:val="000000"/>
          <w:lang w:bidi="ar"/>
        </w:rPr>
      </w:pPr>
      <w:proofErr w:type="spellStart"/>
      <w:r w:rsidRPr="007513A1">
        <w:rPr>
          <w:rFonts w:eastAsia="Aptos"/>
          <w:color w:val="000000"/>
          <w:lang w:bidi="ar"/>
        </w:rPr>
        <w:t>Wittchen</w:t>
      </w:r>
      <w:proofErr w:type="spellEnd"/>
      <w:r w:rsidRPr="007513A1">
        <w:rPr>
          <w:rFonts w:eastAsia="Aptos"/>
          <w:color w:val="000000"/>
          <w:lang w:bidi="ar"/>
        </w:rPr>
        <w:t xml:space="preserve">, H. U., Zhao, S., Kessler, R. C., &amp; </w:t>
      </w:r>
      <w:proofErr w:type="spellStart"/>
      <w:r w:rsidRPr="007513A1">
        <w:rPr>
          <w:rFonts w:eastAsia="Aptos"/>
          <w:color w:val="000000"/>
          <w:lang w:bidi="ar"/>
        </w:rPr>
        <w:t>Eaton</w:t>
      </w:r>
      <w:proofErr w:type="spellEnd"/>
      <w:r w:rsidRPr="007513A1">
        <w:rPr>
          <w:rFonts w:eastAsia="Aptos"/>
          <w:color w:val="000000"/>
          <w:lang w:bidi="ar"/>
        </w:rPr>
        <w:t xml:space="preserve">, W. W. (1994). DSM-III-R </w:t>
      </w:r>
      <w:proofErr w:type="spellStart"/>
      <w:r w:rsidRPr="007513A1">
        <w:rPr>
          <w:rFonts w:eastAsia="Aptos"/>
          <w:color w:val="000000"/>
          <w:lang w:bidi="ar"/>
        </w:rPr>
        <w:t>generalized</w:t>
      </w:r>
      <w:proofErr w:type="spellEnd"/>
      <w:r w:rsidRPr="007513A1">
        <w:rPr>
          <w:rFonts w:eastAsia="Aptos"/>
          <w:color w:val="000000"/>
          <w:lang w:bidi="ar"/>
        </w:rPr>
        <w:t xml:space="preserve"> </w:t>
      </w:r>
      <w:proofErr w:type="spellStart"/>
      <w:r w:rsidRPr="007513A1">
        <w:rPr>
          <w:rFonts w:eastAsia="Aptos"/>
          <w:color w:val="000000"/>
          <w:lang w:bidi="ar"/>
        </w:rPr>
        <w:t>anxiety</w:t>
      </w:r>
      <w:proofErr w:type="spellEnd"/>
      <w:r w:rsidRPr="007513A1">
        <w:rPr>
          <w:rFonts w:eastAsia="Aptos"/>
          <w:color w:val="000000"/>
          <w:lang w:bidi="ar"/>
        </w:rPr>
        <w:t xml:space="preserve"> </w:t>
      </w:r>
      <w:proofErr w:type="spellStart"/>
      <w:r w:rsidRPr="007513A1">
        <w:rPr>
          <w:rFonts w:eastAsia="Aptos"/>
          <w:color w:val="000000"/>
          <w:lang w:bidi="ar"/>
        </w:rPr>
        <w:t>disorder</w:t>
      </w:r>
      <w:proofErr w:type="spellEnd"/>
      <w:r w:rsidRPr="007513A1">
        <w:rPr>
          <w:rFonts w:eastAsia="Aptos"/>
          <w:color w:val="000000"/>
          <w:lang w:bidi="ar"/>
        </w:rPr>
        <w:t xml:space="preserve"> in </w:t>
      </w:r>
      <w:proofErr w:type="spellStart"/>
      <w:r w:rsidRPr="007513A1">
        <w:rPr>
          <w:rFonts w:eastAsia="Aptos"/>
          <w:color w:val="000000"/>
          <w:lang w:bidi="ar"/>
        </w:rPr>
        <w:t>the</w:t>
      </w:r>
      <w:proofErr w:type="spellEnd"/>
      <w:r w:rsidRPr="007513A1">
        <w:rPr>
          <w:rFonts w:eastAsia="Aptos"/>
          <w:color w:val="000000"/>
          <w:lang w:bidi="ar"/>
        </w:rPr>
        <w:t xml:space="preserve"> </w:t>
      </w:r>
      <w:proofErr w:type="spellStart"/>
      <w:r w:rsidRPr="007513A1">
        <w:rPr>
          <w:rFonts w:eastAsia="Aptos"/>
          <w:color w:val="000000"/>
          <w:lang w:bidi="ar"/>
        </w:rPr>
        <w:t>National</w:t>
      </w:r>
      <w:proofErr w:type="spellEnd"/>
      <w:r w:rsidRPr="007513A1">
        <w:rPr>
          <w:rFonts w:eastAsia="Aptos"/>
          <w:color w:val="000000"/>
          <w:lang w:bidi="ar"/>
        </w:rPr>
        <w:t xml:space="preserve"> </w:t>
      </w:r>
      <w:proofErr w:type="spellStart"/>
      <w:r w:rsidRPr="007513A1">
        <w:rPr>
          <w:rFonts w:eastAsia="Aptos"/>
          <w:color w:val="000000"/>
          <w:lang w:bidi="ar"/>
        </w:rPr>
        <w:t>Comorbidity</w:t>
      </w:r>
      <w:proofErr w:type="spellEnd"/>
      <w:r w:rsidRPr="007513A1">
        <w:rPr>
          <w:rFonts w:eastAsia="Aptos"/>
          <w:color w:val="000000"/>
          <w:lang w:bidi="ar"/>
        </w:rPr>
        <w:t xml:space="preserve"> </w:t>
      </w:r>
      <w:proofErr w:type="spellStart"/>
      <w:r w:rsidRPr="007513A1">
        <w:rPr>
          <w:rFonts w:eastAsia="Aptos"/>
          <w:color w:val="000000"/>
          <w:lang w:bidi="ar"/>
        </w:rPr>
        <w:t>Survey</w:t>
      </w:r>
      <w:proofErr w:type="spellEnd"/>
      <w:r w:rsidRPr="007513A1">
        <w:rPr>
          <w:rFonts w:eastAsia="Aptos"/>
          <w:color w:val="000000"/>
          <w:lang w:bidi="ar"/>
        </w:rPr>
        <w:t>. </w:t>
      </w:r>
      <w:proofErr w:type="spellStart"/>
      <w:r w:rsidRPr="007513A1">
        <w:rPr>
          <w:rFonts w:eastAsia="Aptos"/>
          <w:i/>
          <w:iCs/>
          <w:color w:val="000000"/>
          <w:lang w:bidi="ar"/>
        </w:rPr>
        <w:t>Archives</w:t>
      </w:r>
      <w:proofErr w:type="spellEnd"/>
      <w:r w:rsidRPr="007513A1">
        <w:rPr>
          <w:rFonts w:eastAsia="Aptos"/>
          <w:i/>
          <w:iCs/>
          <w:color w:val="000000"/>
          <w:lang w:bidi="ar"/>
        </w:rPr>
        <w:t xml:space="preserve"> of general </w:t>
      </w:r>
      <w:proofErr w:type="spellStart"/>
      <w:r w:rsidRPr="007513A1">
        <w:rPr>
          <w:rFonts w:eastAsia="Aptos"/>
          <w:i/>
          <w:iCs/>
          <w:color w:val="000000"/>
          <w:lang w:bidi="ar"/>
        </w:rPr>
        <w:t>psychiatry</w:t>
      </w:r>
      <w:proofErr w:type="spellEnd"/>
      <w:r w:rsidRPr="007513A1">
        <w:rPr>
          <w:rFonts w:eastAsia="Aptos"/>
          <w:color w:val="000000"/>
          <w:lang w:bidi="ar"/>
        </w:rPr>
        <w:t>, </w:t>
      </w:r>
      <w:r w:rsidRPr="007513A1">
        <w:rPr>
          <w:rFonts w:eastAsia="Aptos"/>
          <w:i/>
          <w:iCs/>
          <w:color w:val="000000"/>
          <w:lang w:bidi="ar"/>
        </w:rPr>
        <w:t>51</w:t>
      </w:r>
      <w:r w:rsidRPr="007513A1">
        <w:rPr>
          <w:rFonts w:eastAsia="Aptos"/>
          <w:color w:val="000000"/>
          <w:lang w:bidi="ar"/>
        </w:rPr>
        <w:t>(5), 355-364.</w:t>
      </w:r>
    </w:p>
    <w:p w14:paraId="6AC32A7E" w14:textId="5084F837" w:rsidR="00C70E93" w:rsidRPr="007513A1" w:rsidRDefault="00B470AD">
      <w:pPr>
        <w:pStyle w:val="ListeParagraf"/>
        <w:numPr>
          <w:ilvl w:val="0"/>
          <w:numId w:val="79"/>
        </w:numPr>
        <w:jc w:val="both"/>
        <w:rPr>
          <w:rFonts w:eastAsia="Aptos"/>
          <w:color w:val="000000"/>
          <w:lang w:bidi="ar"/>
        </w:rPr>
      </w:pPr>
      <w:r w:rsidRPr="007513A1">
        <w:rPr>
          <w:rFonts w:eastAsia="Aptos"/>
          <w:color w:val="000000"/>
          <w:lang w:bidi="ar"/>
        </w:rPr>
        <w:t xml:space="preserve">Yazıcıoğlu, Y., Erdoğan, S. (2004). </w:t>
      </w:r>
      <w:proofErr w:type="spellStart"/>
      <w:r w:rsidRPr="007513A1">
        <w:rPr>
          <w:rFonts w:eastAsia="Aptos"/>
          <w:i/>
          <w:color w:val="000000"/>
          <w:lang w:bidi="ar"/>
        </w:rPr>
        <w:t>Spss</w:t>
      </w:r>
      <w:proofErr w:type="spellEnd"/>
      <w:r w:rsidRPr="007513A1">
        <w:rPr>
          <w:rFonts w:eastAsia="Aptos"/>
          <w:i/>
          <w:color w:val="000000"/>
          <w:lang w:bidi="ar"/>
        </w:rPr>
        <w:t xml:space="preserve"> uygulamalı bilimsel araştırma yöntemleri.</w:t>
      </w:r>
      <w:r w:rsidRPr="007513A1">
        <w:rPr>
          <w:rFonts w:eastAsia="Aptos"/>
          <w:color w:val="000000"/>
          <w:lang w:bidi="ar"/>
        </w:rPr>
        <w:t xml:space="preserve"> Ankara: Detay Yayıncılık.</w:t>
      </w:r>
    </w:p>
    <w:p w14:paraId="6F936930" w14:textId="022835A6" w:rsidR="00B470AD" w:rsidRPr="00C70E93" w:rsidRDefault="00C70E93" w:rsidP="00C70E93">
      <w:pPr>
        <w:autoSpaceDE/>
        <w:autoSpaceDN/>
        <w:rPr>
          <w:rFonts w:eastAsia="Aptos"/>
          <w:color w:val="000000"/>
          <w:lang w:bidi="ar"/>
        </w:rPr>
      </w:pPr>
      <w:r>
        <w:rPr>
          <w:rFonts w:eastAsia="Aptos"/>
          <w:color w:val="000000"/>
          <w:lang w:bidi="ar"/>
        </w:rPr>
        <w:br w:type="page"/>
      </w:r>
    </w:p>
    <w:p w14:paraId="2ADDB3E1" w14:textId="77777777" w:rsidR="00DA3117" w:rsidRDefault="00DA3117" w:rsidP="004C7694">
      <w:pPr>
        <w:pStyle w:val="Tark"/>
        <w:rPr>
          <w:spacing w:val="-2"/>
        </w:rPr>
      </w:pPr>
      <w:bookmarkStart w:id="147" w:name="_Toc192855217"/>
      <w:r w:rsidRPr="00DA3117">
        <w:lastRenderedPageBreak/>
        <w:t>Müze</w:t>
      </w:r>
      <w:r w:rsidRPr="00DA3117">
        <w:rPr>
          <w:spacing w:val="-17"/>
        </w:rPr>
        <w:t xml:space="preserve"> </w:t>
      </w:r>
      <w:r w:rsidRPr="00DA3117">
        <w:t>Sergileme</w:t>
      </w:r>
      <w:r w:rsidRPr="00DA3117">
        <w:rPr>
          <w:spacing w:val="-13"/>
        </w:rPr>
        <w:t xml:space="preserve"> </w:t>
      </w:r>
      <w:r w:rsidRPr="00DA3117">
        <w:t>Mekanlarında</w:t>
      </w:r>
      <w:r w:rsidRPr="00DA3117">
        <w:rPr>
          <w:spacing w:val="-9"/>
        </w:rPr>
        <w:t xml:space="preserve"> </w:t>
      </w:r>
      <w:r w:rsidRPr="00DA3117">
        <w:t>Benlik</w:t>
      </w:r>
      <w:r w:rsidRPr="00DA3117">
        <w:rPr>
          <w:spacing w:val="-15"/>
        </w:rPr>
        <w:t xml:space="preserve"> </w:t>
      </w:r>
      <w:r w:rsidRPr="00DA3117">
        <w:t>Yaratma</w:t>
      </w:r>
      <w:r w:rsidRPr="00DA3117">
        <w:rPr>
          <w:spacing w:val="-15"/>
        </w:rPr>
        <w:t xml:space="preserve"> </w:t>
      </w:r>
      <w:r w:rsidRPr="00DA3117">
        <w:t>Arzusu</w:t>
      </w:r>
      <w:r w:rsidRPr="00DA3117">
        <w:rPr>
          <w:spacing w:val="-10"/>
        </w:rPr>
        <w:t xml:space="preserve"> </w:t>
      </w:r>
      <w:r w:rsidRPr="00DA3117">
        <w:t>ve</w:t>
      </w:r>
      <w:r w:rsidRPr="00DA3117">
        <w:rPr>
          <w:spacing w:val="-14"/>
        </w:rPr>
        <w:t xml:space="preserve"> </w:t>
      </w:r>
      <w:r w:rsidRPr="00DA3117">
        <w:t>Toplumsal</w:t>
      </w:r>
      <w:r w:rsidRPr="00DA3117">
        <w:rPr>
          <w:spacing w:val="-9"/>
        </w:rPr>
        <w:t xml:space="preserve"> </w:t>
      </w:r>
      <w:r w:rsidRPr="00DA3117">
        <w:rPr>
          <w:spacing w:val="-2"/>
        </w:rPr>
        <w:t>Katılım</w:t>
      </w:r>
      <w:bookmarkEnd w:id="147"/>
    </w:p>
    <w:p w14:paraId="6E75210C" w14:textId="77777777" w:rsidR="007513A1" w:rsidRPr="007513A1" w:rsidRDefault="007513A1" w:rsidP="007513A1">
      <w:pPr>
        <w:pStyle w:val="Metin"/>
      </w:pPr>
    </w:p>
    <w:p w14:paraId="164A797C" w14:textId="77777777" w:rsidR="00DA3117" w:rsidRDefault="00DA3117" w:rsidP="007513A1">
      <w:pPr>
        <w:pStyle w:val="GvdeMetni"/>
        <w:ind w:left="1" w:right="1"/>
        <w:jc w:val="center"/>
      </w:pPr>
      <w:r>
        <w:t>Doğukan</w:t>
      </w:r>
      <w:r>
        <w:rPr>
          <w:spacing w:val="-2"/>
        </w:rPr>
        <w:t xml:space="preserve"> </w:t>
      </w:r>
      <w:r>
        <w:t>Ulaş</w:t>
      </w:r>
      <w:r>
        <w:rPr>
          <w:spacing w:val="-13"/>
        </w:rPr>
        <w:t xml:space="preserve"> </w:t>
      </w:r>
      <w:r>
        <w:rPr>
          <w:spacing w:val="-2"/>
        </w:rPr>
        <w:t>ARIKKAN</w:t>
      </w:r>
    </w:p>
    <w:p w14:paraId="42234D1C" w14:textId="2CE4CDBA" w:rsidR="00DA3117" w:rsidRDefault="00DA3117" w:rsidP="007513A1">
      <w:pPr>
        <w:pStyle w:val="GvdeMetni"/>
        <w:jc w:val="center"/>
      </w:pPr>
      <w:r>
        <w:t>Yüksek</w:t>
      </w:r>
      <w:r>
        <w:rPr>
          <w:spacing w:val="-5"/>
        </w:rPr>
        <w:t xml:space="preserve"> </w:t>
      </w:r>
      <w:r>
        <w:t>Lisans</w:t>
      </w:r>
      <w:r>
        <w:rPr>
          <w:spacing w:val="-6"/>
        </w:rPr>
        <w:t xml:space="preserve"> </w:t>
      </w:r>
      <w:r>
        <w:t>Öğrencisi,</w:t>
      </w:r>
      <w:r>
        <w:rPr>
          <w:spacing w:val="-5"/>
        </w:rPr>
        <w:t xml:space="preserve"> </w:t>
      </w:r>
      <w:r>
        <w:t>Nişantaşı</w:t>
      </w:r>
      <w:r>
        <w:rPr>
          <w:spacing w:val="-5"/>
        </w:rPr>
        <w:t xml:space="preserve"> </w:t>
      </w:r>
      <w:r>
        <w:t>Üniversitesi,</w:t>
      </w:r>
      <w:r>
        <w:rPr>
          <w:spacing w:val="-5"/>
        </w:rPr>
        <w:t xml:space="preserve"> </w:t>
      </w:r>
      <w:r>
        <w:t>Lisansüstü</w:t>
      </w:r>
      <w:r>
        <w:rPr>
          <w:spacing w:val="-5"/>
        </w:rPr>
        <w:t xml:space="preserve"> </w:t>
      </w:r>
      <w:r>
        <w:t>Eğitim Enstitüsü,</w:t>
      </w:r>
      <w:r>
        <w:rPr>
          <w:spacing w:val="-5"/>
        </w:rPr>
        <w:t xml:space="preserve"> </w:t>
      </w:r>
      <w:r>
        <w:t>Mimarlık Anabilim Dalı, Mimari Tasarım Bölümü</w:t>
      </w:r>
    </w:p>
    <w:p w14:paraId="49B72363" w14:textId="7D0977A7" w:rsidR="00DA3117" w:rsidRDefault="00734B49" w:rsidP="007513A1">
      <w:pPr>
        <w:pStyle w:val="GvdeMetni"/>
        <w:ind w:left="2880" w:right="3464"/>
        <w:jc w:val="center"/>
        <w:rPr>
          <w:spacing w:val="-2"/>
        </w:rPr>
      </w:pPr>
      <w:hyperlink r:id="rId181" w:history="1">
        <w:r w:rsidRPr="0023217B">
          <w:rPr>
            <w:rStyle w:val="Kpr"/>
            <w:spacing w:val="-2"/>
          </w:rPr>
          <w:t>ulasarkkn@gmail.com</w:t>
        </w:r>
      </w:hyperlink>
    </w:p>
    <w:p w14:paraId="11D56E26" w14:textId="1BF6A312" w:rsidR="00DA3117" w:rsidRDefault="00DA3117" w:rsidP="007513A1">
      <w:pPr>
        <w:pStyle w:val="GvdeMetni"/>
        <w:ind w:left="2880" w:right="3464"/>
        <w:jc w:val="center"/>
      </w:pPr>
      <w:r>
        <w:t>0009-0006-1721-7005</w:t>
      </w:r>
    </w:p>
    <w:p w14:paraId="7E421F49" w14:textId="77777777" w:rsidR="00DA3117" w:rsidRDefault="00DA3117" w:rsidP="007513A1">
      <w:pPr>
        <w:pStyle w:val="GvdeMetni"/>
        <w:ind w:left="796"/>
      </w:pPr>
    </w:p>
    <w:p w14:paraId="661BD257" w14:textId="77777777" w:rsidR="00DA3117" w:rsidRPr="009C1D8C" w:rsidRDefault="00DA3117" w:rsidP="007513A1">
      <w:pPr>
        <w:jc w:val="center"/>
        <w:rPr>
          <w:b/>
          <w:bCs/>
        </w:rPr>
      </w:pPr>
      <w:r w:rsidRPr="009C1D8C">
        <w:rPr>
          <w:b/>
          <w:bCs/>
        </w:rPr>
        <w:t>Özet</w:t>
      </w:r>
    </w:p>
    <w:p w14:paraId="54614964" w14:textId="77777777" w:rsidR="00DA3117" w:rsidRPr="00734B49" w:rsidRDefault="00DA3117" w:rsidP="007513A1">
      <w:pPr>
        <w:pStyle w:val="GvdeMetni"/>
        <w:ind w:left="338" w:right="331"/>
        <w:jc w:val="both"/>
        <w:rPr>
          <w:sz w:val="23"/>
          <w:szCs w:val="23"/>
        </w:rPr>
      </w:pPr>
      <w:r w:rsidRPr="00734B49">
        <w:rPr>
          <w:sz w:val="23"/>
          <w:szCs w:val="23"/>
        </w:rPr>
        <w:t>Benlik, bireyin kendini tanımasını, anlamlandırmasını ve kendine dair düşünce, duygu ve değerlerden oluşan bütüncül bir yapıyı ifade eder. Psikoloji açısından benlik, bireyin kimliğini, dünyadaki yerini ve başkalarıyla olan ilişkilerini algılama biçimini şekillendiren içsel bir kavramdır. Bu yapı, bireyin kendi düşüncelerini, hislerini, arzularını ve davranışlarını bir araya getirerek</w:t>
      </w:r>
      <w:r w:rsidRPr="00734B49">
        <w:rPr>
          <w:spacing w:val="-15"/>
          <w:sz w:val="23"/>
          <w:szCs w:val="23"/>
        </w:rPr>
        <w:t xml:space="preserve"> </w:t>
      </w:r>
      <w:r w:rsidRPr="00734B49">
        <w:rPr>
          <w:sz w:val="23"/>
          <w:szCs w:val="23"/>
        </w:rPr>
        <w:t>kimlik</w:t>
      </w:r>
      <w:r w:rsidRPr="00734B49">
        <w:rPr>
          <w:spacing w:val="-15"/>
          <w:sz w:val="23"/>
          <w:szCs w:val="23"/>
        </w:rPr>
        <w:t xml:space="preserve"> </w:t>
      </w:r>
      <w:r w:rsidRPr="00734B49">
        <w:rPr>
          <w:sz w:val="23"/>
          <w:szCs w:val="23"/>
        </w:rPr>
        <w:t>ve</w:t>
      </w:r>
      <w:r w:rsidRPr="00734B49">
        <w:rPr>
          <w:spacing w:val="-15"/>
          <w:sz w:val="23"/>
          <w:szCs w:val="23"/>
        </w:rPr>
        <w:t xml:space="preserve"> </w:t>
      </w:r>
      <w:r w:rsidRPr="00734B49">
        <w:rPr>
          <w:sz w:val="23"/>
          <w:szCs w:val="23"/>
        </w:rPr>
        <w:t>içsel</w:t>
      </w:r>
      <w:r w:rsidRPr="00734B49">
        <w:rPr>
          <w:spacing w:val="-15"/>
          <w:sz w:val="23"/>
          <w:szCs w:val="23"/>
        </w:rPr>
        <w:t xml:space="preserve"> </w:t>
      </w:r>
      <w:r w:rsidRPr="00734B49">
        <w:rPr>
          <w:sz w:val="23"/>
          <w:szCs w:val="23"/>
        </w:rPr>
        <w:t>bir</w:t>
      </w:r>
      <w:r w:rsidRPr="00734B49">
        <w:rPr>
          <w:spacing w:val="-15"/>
          <w:sz w:val="23"/>
          <w:szCs w:val="23"/>
        </w:rPr>
        <w:t xml:space="preserve"> </w:t>
      </w:r>
      <w:r w:rsidRPr="00734B49">
        <w:rPr>
          <w:sz w:val="23"/>
          <w:szCs w:val="23"/>
        </w:rPr>
        <w:t>dünya</w:t>
      </w:r>
      <w:r w:rsidRPr="00734B49">
        <w:rPr>
          <w:spacing w:val="-15"/>
          <w:sz w:val="23"/>
          <w:szCs w:val="23"/>
        </w:rPr>
        <w:t xml:space="preserve"> </w:t>
      </w:r>
      <w:r w:rsidRPr="00734B49">
        <w:rPr>
          <w:sz w:val="23"/>
          <w:szCs w:val="23"/>
        </w:rPr>
        <w:t>oluşturur.</w:t>
      </w:r>
      <w:r w:rsidRPr="00734B49">
        <w:rPr>
          <w:spacing w:val="-15"/>
          <w:sz w:val="23"/>
          <w:szCs w:val="23"/>
        </w:rPr>
        <w:t xml:space="preserve"> </w:t>
      </w:r>
      <w:r w:rsidRPr="00734B49">
        <w:rPr>
          <w:sz w:val="23"/>
          <w:szCs w:val="23"/>
        </w:rPr>
        <w:t>Mekânlar,</w:t>
      </w:r>
      <w:r w:rsidRPr="00734B49">
        <w:rPr>
          <w:spacing w:val="-15"/>
          <w:sz w:val="23"/>
          <w:szCs w:val="23"/>
        </w:rPr>
        <w:t xml:space="preserve"> </w:t>
      </w:r>
      <w:r w:rsidRPr="00734B49">
        <w:rPr>
          <w:sz w:val="23"/>
          <w:szCs w:val="23"/>
        </w:rPr>
        <w:t>bireyin</w:t>
      </w:r>
      <w:r w:rsidRPr="00734B49">
        <w:rPr>
          <w:spacing w:val="-15"/>
          <w:sz w:val="23"/>
          <w:szCs w:val="23"/>
        </w:rPr>
        <w:t xml:space="preserve"> </w:t>
      </w:r>
      <w:r w:rsidRPr="00734B49">
        <w:rPr>
          <w:sz w:val="23"/>
          <w:szCs w:val="23"/>
        </w:rPr>
        <w:t>benliğini</w:t>
      </w:r>
      <w:r w:rsidRPr="00734B49">
        <w:rPr>
          <w:spacing w:val="-15"/>
          <w:sz w:val="23"/>
          <w:szCs w:val="23"/>
        </w:rPr>
        <w:t xml:space="preserve"> </w:t>
      </w:r>
      <w:r w:rsidRPr="00734B49">
        <w:rPr>
          <w:sz w:val="23"/>
          <w:szCs w:val="23"/>
        </w:rPr>
        <w:t>inşa</w:t>
      </w:r>
      <w:r w:rsidRPr="00734B49">
        <w:rPr>
          <w:spacing w:val="-15"/>
          <w:sz w:val="23"/>
          <w:szCs w:val="23"/>
        </w:rPr>
        <w:t xml:space="preserve"> </w:t>
      </w:r>
      <w:r w:rsidRPr="00734B49">
        <w:rPr>
          <w:sz w:val="23"/>
          <w:szCs w:val="23"/>
        </w:rPr>
        <w:t>etme</w:t>
      </w:r>
      <w:r w:rsidRPr="00734B49">
        <w:rPr>
          <w:spacing w:val="-15"/>
          <w:sz w:val="23"/>
          <w:szCs w:val="23"/>
        </w:rPr>
        <w:t xml:space="preserve"> </w:t>
      </w:r>
      <w:r w:rsidRPr="00734B49">
        <w:rPr>
          <w:sz w:val="23"/>
          <w:szCs w:val="23"/>
        </w:rPr>
        <w:t>isteğini</w:t>
      </w:r>
      <w:r w:rsidRPr="00734B49">
        <w:rPr>
          <w:spacing w:val="-15"/>
          <w:sz w:val="23"/>
          <w:szCs w:val="23"/>
        </w:rPr>
        <w:t xml:space="preserve"> </w:t>
      </w:r>
      <w:r w:rsidRPr="00734B49">
        <w:rPr>
          <w:sz w:val="23"/>
          <w:szCs w:val="23"/>
        </w:rPr>
        <w:t>yansıtan bir "tuval" işlevi görebilir. İlk başta belirli işlevlere hizmet etmek üzere tasarlanmış yapılar, zamanla bireylerin tercihlerine ve yaşam tarzlarına uyum sağlayarak değişir. Örneğin, bir okul ya da ofis alanı, kullanıcıların ihtiyaçlarına göre yeniden düzenlenebilir.</w:t>
      </w:r>
      <w:r w:rsidRPr="00734B49">
        <w:rPr>
          <w:spacing w:val="-2"/>
          <w:sz w:val="23"/>
          <w:szCs w:val="23"/>
        </w:rPr>
        <w:t xml:space="preserve"> </w:t>
      </w:r>
      <w:r w:rsidRPr="00734B49">
        <w:rPr>
          <w:sz w:val="23"/>
          <w:szCs w:val="23"/>
        </w:rPr>
        <w:t>Ayrıca, kişisel dokunuşlar mekânın havasını tamamen dönüştürebilir. Benlik yaratma arzusu, kişinin fiziksel mekân üzerindeki etkisiyle somut bir hâle gelir. Bir evde kullanılan mobilyalar, tercih edilen renkler ve düzen, bireyin kişisel dünyasını ve hayat felsefesini yansıtır. İnsan, bu süreçte çevresiyle etkileşimde</w:t>
      </w:r>
      <w:r w:rsidRPr="00734B49">
        <w:rPr>
          <w:spacing w:val="-14"/>
          <w:sz w:val="23"/>
          <w:szCs w:val="23"/>
        </w:rPr>
        <w:t xml:space="preserve"> </w:t>
      </w:r>
      <w:r w:rsidRPr="00734B49">
        <w:rPr>
          <w:sz w:val="23"/>
          <w:szCs w:val="23"/>
        </w:rPr>
        <w:t>bulunarak</w:t>
      </w:r>
      <w:r w:rsidRPr="00734B49">
        <w:rPr>
          <w:spacing w:val="-12"/>
          <w:sz w:val="23"/>
          <w:szCs w:val="23"/>
        </w:rPr>
        <w:t xml:space="preserve"> </w:t>
      </w:r>
      <w:r w:rsidRPr="00734B49">
        <w:rPr>
          <w:sz w:val="23"/>
          <w:szCs w:val="23"/>
        </w:rPr>
        <w:t>yaşam</w:t>
      </w:r>
      <w:r w:rsidRPr="00734B49">
        <w:rPr>
          <w:spacing w:val="-14"/>
          <w:sz w:val="23"/>
          <w:szCs w:val="23"/>
        </w:rPr>
        <w:t xml:space="preserve"> </w:t>
      </w:r>
      <w:r w:rsidRPr="00734B49">
        <w:rPr>
          <w:sz w:val="23"/>
          <w:szCs w:val="23"/>
        </w:rPr>
        <w:t>alanını</w:t>
      </w:r>
      <w:r w:rsidRPr="00734B49">
        <w:rPr>
          <w:spacing w:val="-14"/>
          <w:sz w:val="23"/>
          <w:szCs w:val="23"/>
        </w:rPr>
        <w:t xml:space="preserve"> </w:t>
      </w:r>
      <w:r w:rsidRPr="00734B49">
        <w:rPr>
          <w:sz w:val="23"/>
          <w:szCs w:val="23"/>
        </w:rPr>
        <w:t>kendine</w:t>
      </w:r>
      <w:r w:rsidRPr="00734B49">
        <w:rPr>
          <w:spacing w:val="-12"/>
          <w:sz w:val="23"/>
          <w:szCs w:val="23"/>
        </w:rPr>
        <w:t xml:space="preserve"> </w:t>
      </w:r>
      <w:r w:rsidRPr="00734B49">
        <w:rPr>
          <w:sz w:val="23"/>
          <w:szCs w:val="23"/>
        </w:rPr>
        <w:t>özgü</w:t>
      </w:r>
      <w:r w:rsidRPr="00734B49">
        <w:rPr>
          <w:spacing w:val="-12"/>
          <w:sz w:val="23"/>
          <w:szCs w:val="23"/>
        </w:rPr>
        <w:t xml:space="preserve"> </w:t>
      </w:r>
      <w:r w:rsidRPr="00734B49">
        <w:rPr>
          <w:sz w:val="23"/>
          <w:szCs w:val="23"/>
        </w:rPr>
        <w:t>hâle</w:t>
      </w:r>
      <w:r w:rsidRPr="00734B49">
        <w:rPr>
          <w:spacing w:val="-15"/>
          <w:sz w:val="23"/>
          <w:szCs w:val="23"/>
        </w:rPr>
        <w:t xml:space="preserve"> </w:t>
      </w:r>
      <w:r w:rsidRPr="00734B49">
        <w:rPr>
          <w:sz w:val="23"/>
          <w:szCs w:val="23"/>
        </w:rPr>
        <w:t>getirme</w:t>
      </w:r>
      <w:r w:rsidRPr="00734B49">
        <w:rPr>
          <w:spacing w:val="-15"/>
          <w:sz w:val="23"/>
          <w:szCs w:val="23"/>
        </w:rPr>
        <w:t xml:space="preserve"> </w:t>
      </w:r>
      <w:r w:rsidRPr="00734B49">
        <w:rPr>
          <w:sz w:val="23"/>
          <w:szCs w:val="23"/>
        </w:rPr>
        <w:t>çabası</w:t>
      </w:r>
      <w:r w:rsidRPr="00734B49">
        <w:rPr>
          <w:spacing w:val="-13"/>
          <w:sz w:val="23"/>
          <w:szCs w:val="23"/>
        </w:rPr>
        <w:t xml:space="preserve"> </w:t>
      </w:r>
      <w:r w:rsidRPr="00734B49">
        <w:rPr>
          <w:sz w:val="23"/>
          <w:szCs w:val="23"/>
        </w:rPr>
        <w:t>içine</w:t>
      </w:r>
      <w:r w:rsidRPr="00734B49">
        <w:rPr>
          <w:spacing w:val="-13"/>
          <w:sz w:val="23"/>
          <w:szCs w:val="23"/>
        </w:rPr>
        <w:t xml:space="preserve"> </w:t>
      </w:r>
      <w:r w:rsidRPr="00734B49">
        <w:rPr>
          <w:sz w:val="23"/>
          <w:szCs w:val="23"/>
        </w:rPr>
        <w:t>girer.</w:t>
      </w:r>
      <w:r w:rsidRPr="00734B49">
        <w:rPr>
          <w:spacing w:val="-14"/>
          <w:sz w:val="23"/>
          <w:szCs w:val="23"/>
        </w:rPr>
        <w:t xml:space="preserve"> </w:t>
      </w:r>
      <w:r w:rsidRPr="00734B49">
        <w:rPr>
          <w:sz w:val="23"/>
          <w:szCs w:val="23"/>
        </w:rPr>
        <w:t>Mekânın</w:t>
      </w:r>
      <w:r w:rsidRPr="00734B49">
        <w:rPr>
          <w:spacing w:val="-14"/>
          <w:sz w:val="23"/>
          <w:szCs w:val="23"/>
        </w:rPr>
        <w:t xml:space="preserve"> </w:t>
      </w:r>
      <w:r w:rsidRPr="00734B49">
        <w:rPr>
          <w:sz w:val="23"/>
          <w:szCs w:val="23"/>
        </w:rPr>
        <w:t>yapısal unsurları</w:t>
      </w:r>
      <w:r w:rsidRPr="00734B49">
        <w:rPr>
          <w:spacing w:val="-10"/>
          <w:sz w:val="23"/>
          <w:szCs w:val="23"/>
        </w:rPr>
        <w:t xml:space="preserve"> </w:t>
      </w:r>
      <w:r w:rsidRPr="00734B49">
        <w:rPr>
          <w:sz w:val="23"/>
          <w:szCs w:val="23"/>
        </w:rPr>
        <w:t>başlangıçta</w:t>
      </w:r>
      <w:r w:rsidRPr="00734B49">
        <w:rPr>
          <w:spacing w:val="-11"/>
          <w:sz w:val="23"/>
          <w:szCs w:val="23"/>
        </w:rPr>
        <w:t xml:space="preserve"> </w:t>
      </w:r>
      <w:r w:rsidRPr="00734B49">
        <w:rPr>
          <w:sz w:val="23"/>
          <w:szCs w:val="23"/>
        </w:rPr>
        <w:t>işlevsel</w:t>
      </w:r>
      <w:r w:rsidRPr="00734B49">
        <w:rPr>
          <w:spacing w:val="-9"/>
          <w:sz w:val="23"/>
          <w:szCs w:val="23"/>
        </w:rPr>
        <w:t xml:space="preserve"> </w:t>
      </w:r>
      <w:r w:rsidRPr="00734B49">
        <w:rPr>
          <w:sz w:val="23"/>
          <w:szCs w:val="23"/>
        </w:rPr>
        <w:t>bir</w:t>
      </w:r>
      <w:r w:rsidRPr="00734B49">
        <w:rPr>
          <w:spacing w:val="-10"/>
          <w:sz w:val="23"/>
          <w:szCs w:val="23"/>
        </w:rPr>
        <w:t xml:space="preserve"> </w:t>
      </w:r>
      <w:r w:rsidRPr="00734B49">
        <w:rPr>
          <w:sz w:val="23"/>
          <w:szCs w:val="23"/>
        </w:rPr>
        <w:t>amaç</w:t>
      </w:r>
      <w:r w:rsidRPr="00734B49">
        <w:rPr>
          <w:spacing w:val="-11"/>
          <w:sz w:val="23"/>
          <w:szCs w:val="23"/>
        </w:rPr>
        <w:t xml:space="preserve"> </w:t>
      </w:r>
      <w:r w:rsidRPr="00734B49">
        <w:rPr>
          <w:sz w:val="23"/>
          <w:szCs w:val="23"/>
        </w:rPr>
        <w:t>taşırken,</w:t>
      </w:r>
      <w:r w:rsidRPr="00734B49">
        <w:rPr>
          <w:spacing w:val="-8"/>
          <w:sz w:val="23"/>
          <w:szCs w:val="23"/>
        </w:rPr>
        <w:t xml:space="preserve"> </w:t>
      </w:r>
      <w:r w:rsidRPr="00734B49">
        <w:rPr>
          <w:sz w:val="23"/>
          <w:szCs w:val="23"/>
        </w:rPr>
        <w:t>bireylerin</w:t>
      </w:r>
      <w:r w:rsidRPr="00734B49">
        <w:rPr>
          <w:spacing w:val="-9"/>
          <w:sz w:val="23"/>
          <w:szCs w:val="23"/>
        </w:rPr>
        <w:t xml:space="preserve"> </w:t>
      </w:r>
      <w:r w:rsidRPr="00734B49">
        <w:rPr>
          <w:sz w:val="23"/>
          <w:szCs w:val="23"/>
        </w:rPr>
        <w:t>bu</w:t>
      </w:r>
      <w:r w:rsidRPr="00734B49">
        <w:rPr>
          <w:spacing w:val="-10"/>
          <w:sz w:val="23"/>
          <w:szCs w:val="23"/>
        </w:rPr>
        <w:t xml:space="preserve"> </w:t>
      </w:r>
      <w:r w:rsidRPr="00734B49">
        <w:rPr>
          <w:sz w:val="23"/>
          <w:szCs w:val="23"/>
        </w:rPr>
        <w:t>mekânı</w:t>
      </w:r>
      <w:r w:rsidRPr="00734B49">
        <w:rPr>
          <w:spacing w:val="-9"/>
          <w:sz w:val="23"/>
          <w:szCs w:val="23"/>
        </w:rPr>
        <w:t xml:space="preserve"> </w:t>
      </w:r>
      <w:r w:rsidRPr="00734B49">
        <w:rPr>
          <w:sz w:val="23"/>
          <w:szCs w:val="23"/>
        </w:rPr>
        <w:t>kendi</w:t>
      </w:r>
      <w:r w:rsidRPr="00734B49">
        <w:rPr>
          <w:spacing w:val="-7"/>
          <w:sz w:val="23"/>
          <w:szCs w:val="23"/>
        </w:rPr>
        <w:t xml:space="preserve"> </w:t>
      </w:r>
      <w:r w:rsidRPr="00734B49">
        <w:rPr>
          <w:sz w:val="23"/>
          <w:szCs w:val="23"/>
        </w:rPr>
        <w:t>ihtiyaçları</w:t>
      </w:r>
      <w:r w:rsidRPr="00734B49">
        <w:rPr>
          <w:spacing w:val="-9"/>
          <w:sz w:val="23"/>
          <w:szCs w:val="23"/>
        </w:rPr>
        <w:t xml:space="preserve"> </w:t>
      </w:r>
      <w:r w:rsidRPr="00734B49">
        <w:rPr>
          <w:sz w:val="23"/>
          <w:szCs w:val="23"/>
        </w:rPr>
        <w:t>ve</w:t>
      </w:r>
      <w:r w:rsidRPr="00734B49">
        <w:rPr>
          <w:spacing w:val="-11"/>
          <w:sz w:val="23"/>
          <w:szCs w:val="23"/>
        </w:rPr>
        <w:t xml:space="preserve"> </w:t>
      </w:r>
      <w:r w:rsidRPr="00734B49">
        <w:rPr>
          <w:sz w:val="23"/>
          <w:szCs w:val="23"/>
        </w:rPr>
        <w:t>tarzlarına göre yeniden şekillendirmesiyle yeni kimlikler kazanır. Zamanla bu evrim, mekânın anlamını dönüştürür. Sergi alanları, sanat eserlerini, kültürel nesneleri sergilemek için tasarlanmış özel mekânlardır.</w:t>
      </w:r>
      <w:r w:rsidRPr="00734B49">
        <w:rPr>
          <w:spacing w:val="-9"/>
          <w:sz w:val="23"/>
          <w:szCs w:val="23"/>
        </w:rPr>
        <w:t xml:space="preserve"> </w:t>
      </w:r>
      <w:r w:rsidRPr="00734B49">
        <w:rPr>
          <w:sz w:val="23"/>
          <w:szCs w:val="23"/>
        </w:rPr>
        <w:t>Bu</w:t>
      </w:r>
      <w:r w:rsidRPr="00734B49">
        <w:rPr>
          <w:spacing w:val="-9"/>
          <w:sz w:val="23"/>
          <w:szCs w:val="23"/>
        </w:rPr>
        <w:t xml:space="preserve"> </w:t>
      </w:r>
      <w:r w:rsidRPr="00734B49">
        <w:rPr>
          <w:sz w:val="23"/>
          <w:szCs w:val="23"/>
        </w:rPr>
        <w:t>alanlar,</w:t>
      </w:r>
      <w:r w:rsidRPr="00734B49">
        <w:rPr>
          <w:spacing w:val="-7"/>
          <w:sz w:val="23"/>
          <w:szCs w:val="23"/>
        </w:rPr>
        <w:t xml:space="preserve"> </w:t>
      </w:r>
      <w:r w:rsidRPr="00734B49">
        <w:rPr>
          <w:sz w:val="23"/>
          <w:szCs w:val="23"/>
        </w:rPr>
        <w:t>ziyaretçilerin</w:t>
      </w:r>
      <w:r w:rsidRPr="00734B49">
        <w:rPr>
          <w:spacing w:val="-9"/>
          <w:sz w:val="23"/>
          <w:szCs w:val="23"/>
        </w:rPr>
        <w:t xml:space="preserve"> </w:t>
      </w:r>
      <w:r w:rsidRPr="00734B49">
        <w:rPr>
          <w:sz w:val="23"/>
          <w:szCs w:val="23"/>
        </w:rPr>
        <w:t>estetik,</w:t>
      </w:r>
      <w:r w:rsidRPr="00734B49">
        <w:rPr>
          <w:spacing w:val="-9"/>
          <w:sz w:val="23"/>
          <w:szCs w:val="23"/>
        </w:rPr>
        <w:t xml:space="preserve"> </w:t>
      </w:r>
      <w:r w:rsidRPr="00734B49">
        <w:rPr>
          <w:sz w:val="23"/>
          <w:szCs w:val="23"/>
        </w:rPr>
        <w:t>işlevsellik</w:t>
      </w:r>
      <w:r w:rsidRPr="00734B49">
        <w:rPr>
          <w:spacing w:val="-9"/>
          <w:sz w:val="23"/>
          <w:szCs w:val="23"/>
        </w:rPr>
        <w:t xml:space="preserve"> </w:t>
      </w:r>
      <w:r w:rsidRPr="00734B49">
        <w:rPr>
          <w:sz w:val="23"/>
          <w:szCs w:val="23"/>
        </w:rPr>
        <w:t>ve</w:t>
      </w:r>
      <w:r w:rsidRPr="00734B49">
        <w:rPr>
          <w:spacing w:val="-10"/>
          <w:sz w:val="23"/>
          <w:szCs w:val="23"/>
        </w:rPr>
        <w:t xml:space="preserve"> </w:t>
      </w:r>
      <w:r w:rsidRPr="00734B49">
        <w:rPr>
          <w:sz w:val="23"/>
          <w:szCs w:val="23"/>
        </w:rPr>
        <w:t>konfor</w:t>
      </w:r>
      <w:r w:rsidRPr="00734B49">
        <w:rPr>
          <w:spacing w:val="-10"/>
          <w:sz w:val="23"/>
          <w:szCs w:val="23"/>
        </w:rPr>
        <w:t xml:space="preserve"> </w:t>
      </w:r>
      <w:r w:rsidRPr="00734B49">
        <w:rPr>
          <w:sz w:val="23"/>
          <w:szCs w:val="23"/>
        </w:rPr>
        <w:t>gibi</w:t>
      </w:r>
      <w:r w:rsidRPr="00734B49">
        <w:rPr>
          <w:spacing w:val="-9"/>
          <w:sz w:val="23"/>
          <w:szCs w:val="23"/>
        </w:rPr>
        <w:t xml:space="preserve"> </w:t>
      </w:r>
      <w:r w:rsidRPr="00734B49">
        <w:rPr>
          <w:sz w:val="23"/>
          <w:szCs w:val="23"/>
        </w:rPr>
        <w:t>beklentilerini</w:t>
      </w:r>
      <w:r w:rsidRPr="00734B49">
        <w:rPr>
          <w:spacing w:val="-9"/>
          <w:sz w:val="23"/>
          <w:szCs w:val="23"/>
        </w:rPr>
        <w:t xml:space="preserve"> </w:t>
      </w:r>
      <w:r w:rsidRPr="00734B49">
        <w:rPr>
          <w:sz w:val="23"/>
          <w:szCs w:val="23"/>
        </w:rPr>
        <w:t>karşılayacak şekilde düzenlenir. Sergi mekânlarında kullanılan yapı malzemeleri, sadece görsel estetiği artırmakla kalmaz, aynı zamanda sergilenen eserlerin korunmasını, sergiye uygun bir atmosfer yaratılmasını sağlar. Mekân tasarımında tavanlar, atmosfer ve ziyaretçi algısı üzerinde doğrudan etkiye sahiptir Tıpkı katedrallerdeki fresklerin mekânı fiziksel sınırların ötesine taşıyarak bir "sonsuzluk" hissi uyandırması gibi, sergi alanlarında kullanılan tavan malzemeleri ve aydınlatma teknikleri</w:t>
      </w:r>
      <w:r w:rsidRPr="00734B49">
        <w:rPr>
          <w:spacing w:val="-10"/>
          <w:sz w:val="23"/>
          <w:szCs w:val="23"/>
        </w:rPr>
        <w:t xml:space="preserve"> </w:t>
      </w:r>
      <w:r w:rsidRPr="00734B49">
        <w:rPr>
          <w:sz w:val="23"/>
          <w:szCs w:val="23"/>
        </w:rPr>
        <w:t>de</w:t>
      </w:r>
      <w:r w:rsidRPr="00734B49">
        <w:rPr>
          <w:spacing w:val="-11"/>
          <w:sz w:val="23"/>
          <w:szCs w:val="23"/>
        </w:rPr>
        <w:t xml:space="preserve"> </w:t>
      </w:r>
      <w:r w:rsidRPr="00734B49">
        <w:rPr>
          <w:sz w:val="23"/>
          <w:szCs w:val="23"/>
        </w:rPr>
        <w:t>mekânın</w:t>
      </w:r>
      <w:r w:rsidRPr="00734B49">
        <w:rPr>
          <w:spacing w:val="-10"/>
          <w:sz w:val="23"/>
          <w:szCs w:val="23"/>
        </w:rPr>
        <w:t xml:space="preserve"> </w:t>
      </w:r>
      <w:r w:rsidRPr="00734B49">
        <w:rPr>
          <w:sz w:val="23"/>
          <w:szCs w:val="23"/>
        </w:rPr>
        <w:t>boyut</w:t>
      </w:r>
      <w:r w:rsidRPr="00734B49">
        <w:rPr>
          <w:spacing w:val="-10"/>
          <w:sz w:val="23"/>
          <w:szCs w:val="23"/>
        </w:rPr>
        <w:t xml:space="preserve"> </w:t>
      </w:r>
      <w:r w:rsidRPr="00734B49">
        <w:rPr>
          <w:sz w:val="23"/>
          <w:szCs w:val="23"/>
        </w:rPr>
        <w:t>algısını</w:t>
      </w:r>
      <w:r w:rsidRPr="00734B49">
        <w:rPr>
          <w:spacing w:val="-9"/>
          <w:sz w:val="23"/>
          <w:szCs w:val="23"/>
        </w:rPr>
        <w:t xml:space="preserve"> </w:t>
      </w:r>
      <w:r w:rsidRPr="00734B49">
        <w:rPr>
          <w:sz w:val="23"/>
          <w:szCs w:val="23"/>
        </w:rPr>
        <w:t>ve</w:t>
      </w:r>
      <w:r w:rsidRPr="00734B49">
        <w:rPr>
          <w:spacing w:val="-11"/>
          <w:sz w:val="23"/>
          <w:szCs w:val="23"/>
        </w:rPr>
        <w:t xml:space="preserve"> </w:t>
      </w:r>
      <w:r w:rsidRPr="00734B49">
        <w:rPr>
          <w:sz w:val="23"/>
          <w:szCs w:val="23"/>
        </w:rPr>
        <w:t>ziyaretçilerin</w:t>
      </w:r>
      <w:r w:rsidRPr="00734B49">
        <w:rPr>
          <w:spacing w:val="-11"/>
          <w:sz w:val="23"/>
          <w:szCs w:val="23"/>
        </w:rPr>
        <w:t xml:space="preserve"> </w:t>
      </w:r>
      <w:r w:rsidRPr="00734B49">
        <w:rPr>
          <w:sz w:val="23"/>
          <w:szCs w:val="23"/>
        </w:rPr>
        <w:t>mekâna</w:t>
      </w:r>
      <w:r w:rsidRPr="00734B49">
        <w:rPr>
          <w:spacing w:val="-11"/>
          <w:sz w:val="23"/>
          <w:szCs w:val="23"/>
        </w:rPr>
        <w:t xml:space="preserve"> </w:t>
      </w:r>
      <w:r w:rsidRPr="00734B49">
        <w:rPr>
          <w:sz w:val="23"/>
          <w:szCs w:val="23"/>
        </w:rPr>
        <w:t>yüklediği</w:t>
      </w:r>
      <w:r w:rsidRPr="00734B49">
        <w:rPr>
          <w:spacing w:val="-10"/>
          <w:sz w:val="23"/>
          <w:szCs w:val="23"/>
        </w:rPr>
        <w:t xml:space="preserve"> </w:t>
      </w:r>
      <w:r w:rsidRPr="00734B49">
        <w:rPr>
          <w:sz w:val="23"/>
          <w:szCs w:val="23"/>
        </w:rPr>
        <w:t>anlamı</w:t>
      </w:r>
      <w:r w:rsidRPr="00734B49">
        <w:rPr>
          <w:spacing w:val="-10"/>
          <w:sz w:val="23"/>
          <w:szCs w:val="23"/>
        </w:rPr>
        <w:t xml:space="preserve"> </w:t>
      </w:r>
      <w:r w:rsidRPr="00734B49">
        <w:rPr>
          <w:sz w:val="23"/>
          <w:szCs w:val="23"/>
        </w:rPr>
        <w:t>değiştirebilir.</w:t>
      </w:r>
      <w:r w:rsidRPr="00734B49">
        <w:rPr>
          <w:spacing w:val="-9"/>
          <w:sz w:val="23"/>
          <w:szCs w:val="23"/>
        </w:rPr>
        <w:t xml:space="preserve"> </w:t>
      </w:r>
      <w:r w:rsidRPr="00734B49">
        <w:rPr>
          <w:sz w:val="23"/>
          <w:szCs w:val="23"/>
        </w:rPr>
        <w:t>Sergi mekânlarının tasarımında kullanılan yapı malzemeleri, tavan düzenlemeleri ve diğer mimari unsurların, ziyaretçi deneyimini ve estetik algıyı nasıl etkilediği de çalışmanın temel odak noktalarından biridir. Çalışmanın ana araştırma sorusu şu şekildedir: "Benlik inşası sürecinde mekânlar nasıl bir rol oynar ve sergi mekânlarının mimari özellikleri ziyaretçi deneyimini nasıl biçimlendirir?"</w:t>
      </w:r>
      <w:r w:rsidRPr="00734B49">
        <w:rPr>
          <w:spacing w:val="-14"/>
          <w:sz w:val="23"/>
          <w:szCs w:val="23"/>
        </w:rPr>
        <w:t xml:space="preserve"> </w:t>
      </w:r>
      <w:r w:rsidRPr="00734B49">
        <w:rPr>
          <w:sz w:val="23"/>
          <w:szCs w:val="23"/>
        </w:rPr>
        <w:t>Literatür</w:t>
      </w:r>
      <w:r w:rsidRPr="00734B49">
        <w:rPr>
          <w:spacing w:val="-14"/>
          <w:sz w:val="23"/>
          <w:szCs w:val="23"/>
        </w:rPr>
        <w:t xml:space="preserve"> </w:t>
      </w:r>
      <w:r w:rsidRPr="00734B49">
        <w:rPr>
          <w:sz w:val="23"/>
          <w:szCs w:val="23"/>
        </w:rPr>
        <w:t>taramasıyla</w:t>
      </w:r>
      <w:r w:rsidRPr="00734B49">
        <w:rPr>
          <w:spacing w:val="-15"/>
          <w:sz w:val="23"/>
          <w:szCs w:val="23"/>
        </w:rPr>
        <w:t xml:space="preserve"> </w:t>
      </w:r>
      <w:r w:rsidRPr="00734B49">
        <w:rPr>
          <w:sz w:val="23"/>
          <w:szCs w:val="23"/>
        </w:rPr>
        <w:t>benlik,</w:t>
      </w:r>
      <w:r w:rsidRPr="00734B49">
        <w:rPr>
          <w:spacing w:val="-14"/>
          <w:sz w:val="23"/>
          <w:szCs w:val="23"/>
        </w:rPr>
        <w:t xml:space="preserve"> </w:t>
      </w:r>
      <w:r w:rsidRPr="00734B49">
        <w:rPr>
          <w:sz w:val="23"/>
          <w:szCs w:val="23"/>
        </w:rPr>
        <w:t>mekân</w:t>
      </w:r>
      <w:r w:rsidRPr="00734B49">
        <w:rPr>
          <w:spacing w:val="-14"/>
          <w:sz w:val="23"/>
          <w:szCs w:val="23"/>
        </w:rPr>
        <w:t xml:space="preserve"> </w:t>
      </w:r>
      <w:r w:rsidRPr="00734B49">
        <w:rPr>
          <w:sz w:val="23"/>
          <w:szCs w:val="23"/>
        </w:rPr>
        <w:t>ve</w:t>
      </w:r>
      <w:r w:rsidRPr="00734B49">
        <w:rPr>
          <w:spacing w:val="-15"/>
          <w:sz w:val="23"/>
          <w:szCs w:val="23"/>
        </w:rPr>
        <w:t xml:space="preserve"> </w:t>
      </w:r>
      <w:r w:rsidRPr="00734B49">
        <w:rPr>
          <w:sz w:val="23"/>
          <w:szCs w:val="23"/>
        </w:rPr>
        <w:t>mimari</w:t>
      </w:r>
      <w:r w:rsidRPr="00734B49">
        <w:rPr>
          <w:spacing w:val="-14"/>
          <w:sz w:val="23"/>
          <w:szCs w:val="23"/>
        </w:rPr>
        <w:t xml:space="preserve"> </w:t>
      </w:r>
      <w:r w:rsidRPr="00734B49">
        <w:rPr>
          <w:sz w:val="23"/>
          <w:szCs w:val="23"/>
        </w:rPr>
        <w:t>arasındaki</w:t>
      </w:r>
      <w:r w:rsidRPr="00734B49">
        <w:rPr>
          <w:spacing w:val="-14"/>
          <w:sz w:val="23"/>
          <w:szCs w:val="23"/>
        </w:rPr>
        <w:t xml:space="preserve"> </w:t>
      </w:r>
      <w:r w:rsidRPr="00734B49">
        <w:rPr>
          <w:sz w:val="23"/>
          <w:szCs w:val="23"/>
        </w:rPr>
        <w:t>ilişkiler</w:t>
      </w:r>
      <w:r w:rsidRPr="00734B49">
        <w:rPr>
          <w:spacing w:val="-15"/>
          <w:sz w:val="23"/>
          <w:szCs w:val="23"/>
        </w:rPr>
        <w:t xml:space="preserve"> </w:t>
      </w:r>
      <w:r w:rsidRPr="00734B49">
        <w:rPr>
          <w:sz w:val="23"/>
          <w:szCs w:val="23"/>
        </w:rPr>
        <w:t>teorik</w:t>
      </w:r>
      <w:r w:rsidRPr="00734B49">
        <w:rPr>
          <w:spacing w:val="-14"/>
          <w:sz w:val="23"/>
          <w:szCs w:val="23"/>
        </w:rPr>
        <w:t xml:space="preserve"> </w:t>
      </w:r>
      <w:r w:rsidRPr="00734B49">
        <w:rPr>
          <w:sz w:val="23"/>
          <w:szCs w:val="23"/>
        </w:rPr>
        <w:t>bir</w:t>
      </w:r>
      <w:r w:rsidRPr="00734B49">
        <w:rPr>
          <w:spacing w:val="-14"/>
          <w:sz w:val="23"/>
          <w:szCs w:val="23"/>
        </w:rPr>
        <w:t xml:space="preserve"> </w:t>
      </w:r>
      <w:r w:rsidRPr="00734B49">
        <w:rPr>
          <w:sz w:val="23"/>
          <w:szCs w:val="23"/>
        </w:rPr>
        <w:t>zemine oturtulmuş, modern sanat ve sergi tasarımıyla ilgili örnekler üzerinden derinlemesine analizler yapılmıştır. Araştırmanın bulguları, mekânların bireyin kimlik oluşturma sürecine doğrudan katkıda bulunduğunu ve bu süreçte mekânın estetik, işlevsellik ve adaptasyon özelliklerinin belirleyici olduğunu ortaya koymaktadır. Sergi alanlarında kullanılan malzeme türleri, tavan tasarımları ve aydınlatma tekniklerinin ziyaretçilerin algısında anlamlı bir farklılık yarattığı görülmüştür.</w:t>
      </w:r>
      <w:r w:rsidRPr="00734B49">
        <w:rPr>
          <w:spacing w:val="-1"/>
          <w:sz w:val="23"/>
          <w:szCs w:val="23"/>
        </w:rPr>
        <w:t xml:space="preserve"> </w:t>
      </w:r>
      <w:r w:rsidRPr="00734B49">
        <w:rPr>
          <w:sz w:val="23"/>
          <w:szCs w:val="23"/>
        </w:rPr>
        <w:t>Elde</w:t>
      </w:r>
      <w:r w:rsidRPr="00734B49">
        <w:rPr>
          <w:spacing w:val="-2"/>
          <w:sz w:val="23"/>
          <w:szCs w:val="23"/>
        </w:rPr>
        <w:t xml:space="preserve"> </w:t>
      </w:r>
      <w:r w:rsidRPr="00734B49">
        <w:rPr>
          <w:sz w:val="23"/>
          <w:szCs w:val="23"/>
        </w:rPr>
        <w:t>edilen</w:t>
      </w:r>
      <w:r w:rsidRPr="00734B49">
        <w:rPr>
          <w:spacing w:val="-3"/>
          <w:sz w:val="23"/>
          <w:szCs w:val="23"/>
        </w:rPr>
        <w:t xml:space="preserve"> </w:t>
      </w:r>
      <w:r w:rsidRPr="00734B49">
        <w:rPr>
          <w:sz w:val="23"/>
          <w:szCs w:val="23"/>
        </w:rPr>
        <w:t>bulgular</w:t>
      </w:r>
      <w:r w:rsidRPr="00734B49">
        <w:rPr>
          <w:spacing w:val="-1"/>
          <w:sz w:val="23"/>
          <w:szCs w:val="23"/>
        </w:rPr>
        <w:t xml:space="preserve"> </w:t>
      </w:r>
      <w:r w:rsidRPr="00734B49">
        <w:rPr>
          <w:sz w:val="23"/>
          <w:szCs w:val="23"/>
        </w:rPr>
        <w:t>hem kişisel yaşam alanlarının</w:t>
      </w:r>
      <w:r w:rsidRPr="00734B49">
        <w:rPr>
          <w:spacing w:val="-1"/>
          <w:sz w:val="23"/>
          <w:szCs w:val="23"/>
        </w:rPr>
        <w:t xml:space="preserve"> </w:t>
      </w:r>
      <w:r w:rsidRPr="00734B49">
        <w:rPr>
          <w:sz w:val="23"/>
          <w:szCs w:val="23"/>
        </w:rPr>
        <w:t>hem de</w:t>
      </w:r>
      <w:r w:rsidRPr="00734B49">
        <w:rPr>
          <w:spacing w:val="-2"/>
          <w:sz w:val="23"/>
          <w:szCs w:val="23"/>
        </w:rPr>
        <w:t xml:space="preserve"> </w:t>
      </w:r>
      <w:r w:rsidRPr="00734B49">
        <w:rPr>
          <w:sz w:val="23"/>
          <w:szCs w:val="23"/>
        </w:rPr>
        <w:t>kamusal</w:t>
      </w:r>
      <w:r w:rsidRPr="00734B49">
        <w:rPr>
          <w:spacing w:val="-1"/>
          <w:sz w:val="23"/>
          <w:szCs w:val="23"/>
        </w:rPr>
        <w:t xml:space="preserve"> </w:t>
      </w:r>
      <w:r w:rsidRPr="00734B49">
        <w:rPr>
          <w:sz w:val="23"/>
          <w:szCs w:val="23"/>
        </w:rPr>
        <w:t>sergi alanlarının tasarımı için teorik ve pratik bir rehber sunmaktadır.</w:t>
      </w:r>
    </w:p>
    <w:p w14:paraId="33496FD9" w14:textId="77777777" w:rsidR="00DA3117" w:rsidRPr="00734B49" w:rsidRDefault="00DA3117" w:rsidP="007513A1">
      <w:pPr>
        <w:pStyle w:val="GvdeMetni"/>
        <w:rPr>
          <w:sz w:val="23"/>
          <w:szCs w:val="23"/>
        </w:rPr>
      </w:pPr>
    </w:p>
    <w:p w14:paraId="041300F6" w14:textId="6C9BAE52" w:rsidR="00C70E93" w:rsidRDefault="00DA3117" w:rsidP="007513A1">
      <w:pPr>
        <w:ind w:left="338"/>
        <w:jc w:val="both"/>
        <w:rPr>
          <w:spacing w:val="-2"/>
          <w:sz w:val="23"/>
          <w:szCs w:val="23"/>
        </w:rPr>
      </w:pPr>
      <w:r w:rsidRPr="00734B49">
        <w:rPr>
          <w:b/>
          <w:sz w:val="23"/>
          <w:szCs w:val="23"/>
        </w:rPr>
        <w:t>Anahtar</w:t>
      </w:r>
      <w:r w:rsidRPr="00734B49">
        <w:rPr>
          <w:b/>
          <w:spacing w:val="-7"/>
          <w:sz w:val="23"/>
          <w:szCs w:val="23"/>
        </w:rPr>
        <w:t xml:space="preserve"> </w:t>
      </w:r>
      <w:r w:rsidRPr="00734B49">
        <w:rPr>
          <w:b/>
          <w:sz w:val="23"/>
          <w:szCs w:val="23"/>
        </w:rPr>
        <w:t>Kelimeler:</w:t>
      </w:r>
      <w:r w:rsidRPr="00734B49">
        <w:rPr>
          <w:b/>
          <w:spacing w:val="-2"/>
          <w:sz w:val="23"/>
          <w:szCs w:val="23"/>
        </w:rPr>
        <w:t xml:space="preserve"> </w:t>
      </w:r>
      <w:r w:rsidRPr="00734B49">
        <w:rPr>
          <w:sz w:val="23"/>
          <w:szCs w:val="23"/>
        </w:rPr>
        <w:t>Mekân,</w:t>
      </w:r>
      <w:r w:rsidRPr="00734B49">
        <w:rPr>
          <w:spacing w:val="-1"/>
          <w:sz w:val="23"/>
          <w:szCs w:val="23"/>
        </w:rPr>
        <w:t xml:space="preserve"> </w:t>
      </w:r>
      <w:r w:rsidRPr="00734B49">
        <w:rPr>
          <w:sz w:val="23"/>
          <w:szCs w:val="23"/>
        </w:rPr>
        <w:t>Benlik,</w:t>
      </w:r>
      <w:r w:rsidRPr="00734B49">
        <w:rPr>
          <w:spacing w:val="-2"/>
          <w:sz w:val="23"/>
          <w:szCs w:val="23"/>
        </w:rPr>
        <w:t xml:space="preserve"> </w:t>
      </w:r>
      <w:r w:rsidRPr="00734B49">
        <w:rPr>
          <w:sz w:val="23"/>
          <w:szCs w:val="23"/>
        </w:rPr>
        <w:t>Müze</w:t>
      </w:r>
      <w:r w:rsidRPr="00734B49">
        <w:rPr>
          <w:spacing w:val="-3"/>
          <w:sz w:val="23"/>
          <w:szCs w:val="23"/>
        </w:rPr>
        <w:t xml:space="preserve"> </w:t>
      </w:r>
      <w:r w:rsidRPr="00734B49">
        <w:rPr>
          <w:sz w:val="23"/>
          <w:szCs w:val="23"/>
        </w:rPr>
        <w:t>ve</w:t>
      </w:r>
      <w:r w:rsidRPr="00734B49">
        <w:rPr>
          <w:spacing w:val="-2"/>
          <w:sz w:val="23"/>
          <w:szCs w:val="23"/>
        </w:rPr>
        <w:t xml:space="preserve"> Sergileme.</w:t>
      </w:r>
    </w:p>
    <w:p w14:paraId="793E7858" w14:textId="36DC7F38" w:rsidR="001E7189" w:rsidRPr="00C70E93" w:rsidRDefault="00C70E93" w:rsidP="00C70E93">
      <w:pPr>
        <w:autoSpaceDE/>
        <w:autoSpaceDN/>
        <w:rPr>
          <w:spacing w:val="-2"/>
          <w:sz w:val="23"/>
          <w:szCs w:val="23"/>
        </w:rPr>
      </w:pPr>
      <w:r>
        <w:rPr>
          <w:spacing w:val="-2"/>
          <w:sz w:val="23"/>
          <w:szCs w:val="23"/>
        </w:rPr>
        <w:lastRenderedPageBreak/>
        <w:br w:type="page"/>
      </w:r>
    </w:p>
    <w:p w14:paraId="68188095" w14:textId="77777777" w:rsidR="001E7189" w:rsidRPr="002906A3" w:rsidRDefault="001E7189" w:rsidP="004C7694">
      <w:pPr>
        <w:pStyle w:val="Tark"/>
      </w:pPr>
      <w:bookmarkStart w:id="148" w:name="_Toc192855218"/>
      <w:r w:rsidRPr="002906A3">
        <w:lastRenderedPageBreak/>
        <w:t>Genç Yetişkinlerde Gelecek Kaygısı ile ilişkili Psikososyal Faktörler</w:t>
      </w:r>
      <w:bookmarkEnd w:id="148"/>
    </w:p>
    <w:p w14:paraId="0F09BC35" w14:textId="77777777" w:rsidR="001E7189" w:rsidRPr="002906A3" w:rsidRDefault="001E7189" w:rsidP="007513A1">
      <w:pPr>
        <w:jc w:val="center"/>
      </w:pPr>
    </w:p>
    <w:p w14:paraId="0385FC33" w14:textId="77777777" w:rsidR="001E7189" w:rsidRPr="002906A3" w:rsidRDefault="001E7189" w:rsidP="007513A1">
      <w:pPr>
        <w:jc w:val="center"/>
      </w:pPr>
      <w:proofErr w:type="spellStart"/>
      <w:r w:rsidRPr="002906A3">
        <w:t>Inara</w:t>
      </w:r>
      <w:proofErr w:type="spellEnd"/>
      <w:r w:rsidRPr="002906A3">
        <w:t xml:space="preserve"> </w:t>
      </w:r>
      <w:proofErr w:type="spellStart"/>
      <w:r w:rsidRPr="002906A3">
        <w:t>Bashirova</w:t>
      </w:r>
      <w:proofErr w:type="spellEnd"/>
      <w:r w:rsidRPr="002906A3">
        <w:br/>
        <w:t xml:space="preserve"> </w:t>
      </w:r>
      <w:proofErr w:type="spellStart"/>
      <w:r w:rsidRPr="002906A3">
        <w:t>Ondokuz</w:t>
      </w:r>
      <w:proofErr w:type="spellEnd"/>
      <w:r w:rsidRPr="002906A3">
        <w:t xml:space="preserve"> Mayıs Üniversitesi, Psikoloji Bölümü</w:t>
      </w:r>
      <w:r w:rsidRPr="002906A3">
        <w:br/>
        <w:t>pskinarabashirova@gmail.com</w:t>
      </w:r>
      <w:r w:rsidRPr="002906A3">
        <w:br/>
      </w:r>
      <w:proofErr w:type="spellStart"/>
      <w:r w:rsidRPr="002906A3">
        <w:t>Orcid</w:t>
      </w:r>
      <w:proofErr w:type="spellEnd"/>
      <w:r w:rsidRPr="002906A3">
        <w:t xml:space="preserve"> ID 0009-0004-7892-0330</w:t>
      </w:r>
    </w:p>
    <w:p w14:paraId="4628D3D2" w14:textId="77777777" w:rsidR="001E7189" w:rsidRPr="002906A3" w:rsidRDefault="001E7189" w:rsidP="007513A1">
      <w:pPr>
        <w:jc w:val="both"/>
      </w:pPr>
    </w:p>
    <w:p w14:paraId="2752E7F9" w14:textId="77777777" w:rsidR="001E7189" w:rsidRPr="002906A3" w:rsidRDefault="001E7189" w:rsidP="007513A1">
      <w:pPr>
        <w:jc w:val="center"/>
      </w:pPr>
      <w:r w:rsidRPr="002906A3">
        <w:t>Elif Ünal</w:t>
      </w:r>
      <w:r w:rsidRPr="002906A3">
        <w:br/>
      </w:r>
      <w:proofErr w:type="spellStart"/>
      <w:r w:rsidRPr="002906A3">
        <w:t>Dr.Öğr.Üyesi</w:t>
      </w:r>
      <w:proofErr w:type="spellEnd"/>
      <w:r w:rsidRPr="002906A3">
        <w:t xml:space="preserve">, </w:t>
      </w:r>
      <w:proofErr w:type="spellStart"/>
      <w:r w:rsidRPr="002906A3">
        <w:t>Ondokuz</w:t>
      </w:r>
      <w:proofErr w:type="spellEnd"/>
      <w:r w:rsidRPr="002906A3">
        <w:t xml:space="preserve"> Mayıs Üniversitesi, Psikoloji Bölümü</w:t>
      </w:r>
      <w:r w:rsidRPr="002906A3">
        <w:br/>
        <w:t>elif.unal@omu.edu.tr.</w:t>
      </w:r>
      <w:r w:rsidRPr="002906A3">
        <w:br/>
      </w:r>
      <w:proofErr w:type="spellStart"/>
      <w:r w:rsidRPr="002906A3">
        <w:t>Orcid</w:t>
      </w:r>
      <w:proofErr w:type="spellEnd"/>
      <w:r w:rsidRPr="002906A3">
        <w:t xml:space="preserve"> ID 0000-0002-2237-4105</w:t>
      </w:r>
    </w:p>
    <w:p w14:paraId="3299F647" w14:textId="77777777" w:rsidR="001E7189" w:rsidRPr="002906A3" w:rsidRDefault="001E7189" w:rsidP="007513A1">
      <w:pPr>
        <w:jc w:val="both"/>
      </w:pPr>
    </w:p>
    <w:p w14:paraId="5789CBD2" w14:textId="77777777" w:rsidR="001E7189" w:rsidRPr="002906A3" w:rsidRDefault="001E7189" w:rsidP="007513A1">
      <w:pPr>
        <w:jc w:val="center"/>
        <w:rPr>
          <w:b/>
          <w:bCs/>
        </w:rPr>
      </w:pPr>
      <w:r w:rsidRPr="002906A3">
        <w:rPr>
          <w:b/>
          <w:bCs/>
        </w:rPr>
        <w:t>Özet</w:t>
      </w:r>
    </w:p>
    <w:p w14:paraId="5C5D22CF" w14:textId="77777777" w:rsidR="001E7189" w:rsidRPr="002906A3" w:rsidRDefault="001E7189" w:rsidP="007513A1">
      <w:pPr>
        <w:jc w:val="both"/>
      </w:pPr>
      <w:r w:rsidRPr="002906A3">
        <w:t>Bu bildiri, genç yetişkinlerde (18-35 yaş) gelecek kaygısını etkileyen psikososyal faktörleri incelemeyi amaçlamaktadır. Gelecek kaygısı, bireylerin gelecekteki belirsizliklere ve olası başarısızlıklara dair hissettikleri endişe ve stres durumunu ifade eder. Genç yetişkinlik dönemi, bireylerin kariyer, eğitim, ekonomik bağımsızlık ve sosyal ilişkiler gibi kritik alanlarda önemli kararlar aldığı, dolayısıyla gelecek kaygısının en yoğun yaşandığı dönemlerden biridir. Bu çalışmanın önemi, gençlerin gelecek kaygısını etkileyen faktörleri ortaya koyarak, bu alandaki bilgi birikimine katkıda bulunmaktır. Bu çalışma, genç yetişkinlerdeki gelecek kaygısını etkileyen psikososyal faktörlerin neler olduğunu ve bu faktörlerin bireylerin yaşam kalitesi, psikolojik sağlık ve sosyal ilişkileri üzerindeki etkilerini incelemeyi hedeflemektedir. Çalışma literatür taraması yoluyla gerçekleştirilmiş olup, gelecek kaygısını şekillendiren ana psikososyal faktörlerin ekonomik belirsizlik, işsizlik, aile desteği, eğitim süreci ve toplumsal cinsiyet rolleri olduğu tespit edilmiştir. Gençlerin gelecek kaygısı, özellikle işsizlik ve aile desteği eksikliği ile paralel olarak artmaktadır. Eğitim süreci, bireylerin kariyer hedeflerini şekillendirirken, aynı zamanda mezuniyet sonrası belirsizliklere yol açmakta ve kaygıyı artırmaktadır. Ayrıca, toplumsal cinsiyet rollerinin, özellikle kadınların kariyer ve aile yaşamını dengeleme çabalarının kaygıyı artıran bir diğer önemli faktör olduğu görülmüştür. Sonuçlar, genç yetişkinlerin geleceğe yönelik kaygılarının çoğunlukla kontrol edemedikleri dışsal faktörlerden kaynaklandığını göstermektedir. Bu kaygıları yönetmek için psikososyal destek programlarının güçlendirilmesi, iş gücü piyasasında daha fazla fırsat sunulması ve aile desteği sistemlerinin desteklenmesi önerilmektedir. Ayrıca, eğitim sisteminin öğrencileri gelecek kaygısı ile başa çıkabilmek için daha iyi bir şekilde hazırlaması önemlidir. Gelecek kaygısının yönetilmesi, toplum sağlığı açısından önemli bir rol oynamaktadır.</w:t>
      </w:r>
    </w:p>
    <w:p w14:paraId="7C0D5223" w14:textId="77777777" w:rsidR="001E7189" w:rsidRPr="002906A3" w:rsidRDefault="001E7189" w:rsidP="007513A1">
      <w:pPr>
        <w:jc w:val="both"/>
      </w:pPr>
    </w:p>
    <w:p w14:paraId="2614FAFB" w14:textId="447D565B" w:rsidR="001E7189" w:rsidRPr="002906A3" w:rsidRDefault="000C6508" w:rsidP="007513A1">
      <w:pPr>
        <w:jc w:val="both"/>
      </w:pPr>
      <w:r>
        <w:rPr>
          <w:b/>
          <w:bCs/>
        </w:rPr>
        <w:t>Anahtar Kelimeler</w:t>
      </w:r>
      <w:r w:rsidR="001E7189" w:rsidRPr="002906A3">
        <w:rPr>
          <w:b/>
          <w:bCs/>
        </w:rPr>
        <w:t>:</w:t>
      </w:r>
      <w:r w:rsidR="001E7189" w:rsidRPr="002906A3">
        <w:t xml:space="preserve"> Gelecek kaygısı, Genç yetişkinlik, Psikososyal faktörler, Ekonomik belirsizlik, Eğitim süreci</w:t>
      </w:r>
    </w:p>
    <w:p w14:paraId="3555C8A3" w14:textId="77777777" w:rsidR="001E7189" w:rsidRPr="00DA3117" w:rsidRDefault="001E7189" w:rsidP="007513A1">
      <w:pPr>
        <w:jc w:val="both"/>
      </w:pPr>
    </w:p>
    <w:p w14:paraId="36FEDD00" w14:textId="77777777" w:rsidR="001E7189" w:rsidRPr="00DA3117" w:rsidRDefault="001E7189" w:rsidP="007513A1">
      <w:pPr>
        <w:jc w:val="both"/>
        <w:rPr>
          <w:b/>
          <w:bCs/>
        </w:rPr>
      </w:pPr>
      <w:r w:rsidRPr="00DA3117">
        <w:rPr>
          <w:b/>
          <w:bCs/>
        </w:rPr>
        <w:t>Giriş</w:t>
      </w:r>
    </w:p>
    <w:p w14:paraId="6A71086D" w14:textId="77777777" w:rsidR="001E7189" w:rsidRDefault="001E7189" w:rsidP="007513A1">
      <w:pPr>
        <w:pStyle w:val="AralkYok"/>
        <w:jc w:val="both"/>
        <w:rPr>
          <w:rFonts w:ascii="Times New Roman" w:hAnsi="Times New Roman" w:cs="Times New Roman"/>
          <w:sz w:val="24"/>
          <w:szCs w:val="24"/>
        </w:rPr>
      </w:pPr>
      <w:r w:rsidRPr="00DA3117">
        <w:rPr>
          <w:rFonts w:ascii="Times New Roman" w:hAnsi="Times New Roman" w:cs="Times New Roman"/>
          <w:sz w:val="24"/>
          <w:szCs w:val="24"/>
        </w:rPr>
        <w:t>Gelecek kaygısı, bireylerin gelecekteki belirsizliklere, olası başarısızlıklara veya hayat koşullarına dair hissettikleri yoğun endişe ve stres durumunu tanımlar. Özellikle genç yetişkinlik dönemi (18-35 yaş), bireylerin eğitim, kariyer, ekonomik bağımsızlık ve sosyal ilişkiler gibi kritik alanlarda önemli kararlar aldığı, dolayısıyla gelecek kaygısının en yoğun yaşandığı dönemlerden biridir</w:t>
      </w:r>
      <w:r w:rsidRPr="00DA3117">
        <w:rPr>
          <w:rFonts w:ascii="Times New Roman" w:hAnsi="Times New Roman" w:cs="Times New Roman"/>
          <w:bCs/>
          <w:sz w:val="24"/>
          <w:szCs w:val="24"/>
        </w:rPr>
        <w:t xml:space="preserve"> (Aydın,</w:t>
      </w:r>
      <w:r w:rsidRPr="00DA3117">
        <w:rPr>
          <w:rFonts w:ascii="Times New Roman" w:hAnsi="Times New Roman" w:cs="Times New Roman"/>
          <w:sz w:val="24"/>
          <w:szCs w:val="24"/>
        </w:rPr>
        <w:t xml:space="preserve"> 2019).  Bu süreçte, bireylerin gelecek kaygısı yaşam kalitesini, psikolojik sağlığını ve sosyal ilişkilerini olumsuz etkileyebilmektedir. Bu derlemenin </w:t>
      </w:r>
      <w:r w:rsidRPr="00DA3117">
        <w:rPr>
          <w:rFonts w:ascii="Times New Roman" w:hAnsi="Times New Roman" w:cs="Times New Roman"/>
          <w:sz w:val="24"/>
          <w:szCs w:val="24"/>
        </w:rPr>
        <w:lastRenderedPageBreak/>
        <w:t>amacı, genç yetişkinlerde gelecek kaygısını etkileyen psikososyal faktörleri incelemek, mevcut literatürü bir araya getirerek bu alandaki bilgi birikimine katkıda bulunmaktır. Kaygının tanımına bakacak olursak kaygı bireylerin tehdit algısına veya belirsiz bir geleceğe karşı verdikleri, içsel bir endişe, huzursuzluk ve korku durumudur. Kaygı (anksiyete), kişide korkuya benzer bir uyarılmışlık hali yaratan, genellikle belirli bir sebebe dayanmayan veya belirsiz bir tehdide yönelik bir duygusal durum olarak tanımlanır. Korkudan farklı olarak, kaygı daha çok bilinmeyene, öngörülemeyen durumlara ve gelecekteki potansiyel tehlikelere karşı hissedilir. Bu, kaygının bireyin hayatında sürekli olarak var olabilen ve uyum sağlama çabasını olumsuz etkileyebilen bir his olduğuna işaret eder. Gelecek kaygısı ise bireylerin ileride karşılaşabilecekleri olası olumsuzluklar üzerine yoğunlaştıkları, genellikle belirsizlik ve kontrolsüzlük duygularıyla şekillenen bir psikolojik durumdur. Clark ve Watson’ın (1991) kaygı modeli, bireylerin gelecek olaylara ilişkin negatif beklentilerinin yoğun bir şekilde zihinsel ve duygusal yük oluşturduğunu savunmaktadır. Bu durum, bireylerin yaşamlarında uyum zorluklarına yol açabilir ve depresyon, stres gibi diğer psikolojik sorunlarla ilişkili olabilir. Genç yetişkinlik döneminde, bu kaygı durumu, yaşamın kritik dönüm noktalarında verilen kararların ağırlığıyla daha da artabilir. Kariyer seçimi, finansal bağımsızlık, romantik ilişkiler ve toplumsal beklentiler, genç bireylerin gelecek hakkında daha fazla endişe duymasına neden olabilmektedir.</w:t>
      </w:r>
    </w:p>
    <w:p w14:paraId="065CFDC4" w14:textId="77777777" w:rsidR="007513A1" w:rsidRPr="00DA3117" w:rsidRDefault="007513A1" w:rsidP="007513A1">
      <w:pPr>
        <w:pStyle w:val="AralkYok"/>
        <w:jc w:val="both"/>
        <w:rPr>
          <w:rFonts w:ascii="Times New Roman" w:hAnsi="Times New Roman" w:cs="Times New Roman"/>
          <w:b/>
          <w:sz w:val="24"/>
          <w:szCs w:val="24"/>
        </w:rPr>
      </w:pPr>
    </w:p>
    <w:p w14:paraId="0D5D2168" w14:textId="77777777" w:rsidR="001E7189" w:rsidRPr="00DA3117" w:rsidRDefault="001E7189" w:rsidP="007513A1">
      <w:pPr>
        <w:jc w:val="both"/>
        <w:rPr>
          <w:b/>
          <w:bCs/>
        </w:rPr>
      </w:pPr>
      <w:r w:rsidRPr="00DA3117">
        <w:rPr>
          <w:b/>
          <w:bCs/>
        </w:rPr>
        <w:t>2. Kaygı</w:t>
      </w:r>
    </w:p>
    <w:p w14:paraId="48D74429" w14:textId="458BF241" w:rsidR="001E7189" w:rsidRDefault="001E7189" w:rsidP="007513A1">
      <w:pPr>
        <w:jc w:val="both"/>
      </w:pPr>
      <w:r w:rsidRPr="00DA3117">
        <w:t>Kaygı, psikoloji literatüründe üç ana bileşenle tanımlanır. Bunlardan biri</w:t>
      </w:r>
      <w:r w:rsidRPr="00DA3117">
        <w:rPr>
          <w:rStyle w:val="Gl"/>
        </w:rPr>
        <w:t xml:space="preserve"> </w:t>
      </w:r>
      <w:r w:rsidRPr="00DA3117">
        <w:t>duygusal bileşen olarak</w:t>
      </w:r>
      <w:r w:rsidRPr="00DA3117">
        <w:rPr>
          <w:rStyle w:val="Gl"/>
        </w:rPr>
        <w:t xml:space="preserve"> </w:t>
      </w:r>
      <w:r w:rsidRPr="00DA3117">
        <w:t>bilinir</w:t>
      </w:r>
      <w:r w:rsidRPr="00DA3117">
        <w:rPr>
          <w:rStyle w:val="Gl"/>
        </w:rPr>
        <w:t>.</w:t>
      </w:r>
      <w:r w:rsidRPr="00DA3117">
        <w:t xml:space="preserve"> Bu duygu, bireyin stres verici veya belirsiz bir durumda karşı karşıya kaldığında tetiklenir. Bir diğer bileşen olan fizyolojik bileşen ise fiziksel tepkilerle de kendini gösterir. Kalp çarpıntısı, terleme, kas gerginliği ve nefes darlığı gibi semptomlar kaygının fizyolojik bileşenleri arasındadır. Bu tepkiler, bireyin bedensel uyarılma düzeyinin artışıyla doğrudan ilişkilidir.</w:t>
      </w:r>
      <w:r w:rsidRPr="00DA3117">
        <w:rPr>
          <w:rStyle w:val="Gl"/>
        </w:rPr>
        <w:t xml:space="preserve"> </w:t>
      </w:r>
      <w:r w:rsidRPr="00DA3117">
        <w:t>Son olarak bilişsel bileşen olarak bilinen kaygı türü bireyin düşünce süreçlerini etkiler. Belirgin bir şekilde “en kötüyü düşünme” eğilimi, olayları felaketleştirme ve geleceğe dair olumsuz tahminlerde bulunma gibi bilişsel işlevlerle karakterizedir.</w:t>
      </w:r>
    </w:p>
    <w:p w14:paraId="1FA8023E" w14:textId="77777777" w:rsidR="007513A1" w:rsidRPr="00DA3117" w:rsidRDefault="007513A1" w:rsidP="007513A1">
      <w:pPr>
        <w:jc w:val="both"/>
      </w:pPr>
    </w:p>
    <w:p w14:paraId="055EA746" w14:textId="24D96E93" w:rsidR="001E7189" w:rsidRDefault="001E7189" w:rsidP="007513A1">
      <w:pPr>
        <w:jc w:val="both"/>
      </w:pPr>
      <w:proofErr w:type="spellStart"/>
      <w:r w:rsidRPr="00DA3117">
        <w:t>Psikanalitik</w:t>
      </w:r>
      <w:proofErr w:type="spellEnd"/>
      <w:r w:rsidRPr="00DA3117">
        <w:t xml:space="preserve"> teorilere baktığımızda</w:t>
      </w:r>
      <w:r w:rsidRPr="00DA3117">
        <w:rPr>
          <w:rStyle w:val="Gl"/>
        </w:rPr>
        <w:t xml:space="preserve"> </w:t>
      </w:r>
      <w:r w:rsidRPr="00DA3117">
        <w:t xml:space="preserve">Sigmund Freud’a göre kaygı, bilinçaltındaki çatışmaların bir sonucudur. Freud, kaygıyı bireyin içsel dürtüleri ve toplumsal kurallar arasında yaşadığı çatışmalardan doğan bir uyarı sinyali olarak </w:t>
      </w:r>
      <w:proofErr w:type="gramStart"/>
      <w:r w:rsidRPr="00DA3117">
        <w:t>tanımlar .</w:t>
      </w:r>
      <w:proofErr w:type="gramEnd"/>
      <w:r w:rsidRPr="00DA3117">
        <w:t xml:space="preserve"> Bu çatışmalar, bilinçdışında baskılanan istek ve arzuların su yüzüne çıkmasıyla kaygıyı tetikler. Davranışçı yaklaşıma göre ise kaygı, öğrenilmiş bir tepkidir. John Watson ve B.F. Skinner gibi davranışçılar, kaygıyı çevresel uyaranlara karşı öğrenilen bir yanıt olarak görür. Özellikle, kaygının klasik koşullanma yoluyla öğrenildiği ve belirli durumlarla eşleştirildiği düşünülmektedir (Watson ve </w:t>
      </w:r>
      <w:proofErr w:type="spellStart"/>
      <w:r w:rsidRPr="00DA3117">
        <w:t>Rayner</w:t>
      </w:r>
      <w:proofErr w:type="spellEnd"/>
      <w:r w:rsidRPr="00DA3117">
        <w:t xml:space="preserve">, 1920).  </w:t>
      </w:r>
      <w:r w:rsidRPr="00DA3117">
        <w:rPr>
          <w:bCs/>
        </w:rPr>
        <w:t xml:space="preserve">Ancak </w:t>
      </w:r>
      <w:r w:rsidRPr="00DA3117">
        <w:t xml:space="preserve">bilişsel teoriler, kaygıyı bireyin düşünce süreçleri ile açıklar. Aaron Beck ve Albert </w:t>
      </w:r>
      <w:proofErr w:type="spellStart"/>
      <w:r w:rsidRPr="00DA3117">
        <w:t>Ellis</w:t>
      </w:r>
      <w:proofErr w:type="spellEnd"/>
      <w:r w:rsidRPr="00DA3117">
        <w:t xml:space="preserve"> gibi bilişsel psikologlara göre kaygı, bireyin çevresindeki olayları yanlış veya abartılı bir şekilde yorumlaması sonucunda ortaya çıkar (Beck, 1976). Örneğin, birey gelecekte gerçekleşme olasılığı düşük olayları tehdit olarak algıladığında kaygı seviyesi yükselir. Bilişsel modele göre kaygı, kişinin kaygı verici bir durumla karşılaştığında kendiliğinden ortaya çıkan olumsuz düşünceler ve kendisi ya da hayatıyla ilgili işlevsiz düşünce kalıplarından kaynaklanır (APA, 2013). Bireyler, kaygı yaratabilecek bazı durumlar karşısında işlevsiz inanışlar ve yanlış bilişsel değerlendirmeler geliştirebilir (Kabakçı, 2003). Bu durumda, bireylerin olaylara verdikleri duygusal tepkileri belirleyen esas unsur olayın kendisi değil, onu nasıl algıladıkları ve yorumladıklarıdır (Dinç ve </w:t>
      </w:r>
      <w:proofErr w:type="spellStart"/>
      <w:proofErr w:type="gramStart"/>
      <w:r w:rsidRPr="00DA3117">
        <w:t>E.Çınar</w:t>
      </w:r>
      <w:proofErr w:type="spellEnd"/>
      <w:proofErr w:type="gramEnd"/>
      <w:r w:rsidRPr="00DA3117">
        <w:t>, 2019).Bir diğer teori olarak bilinen biyolojik teoride ise</w:t>
      </w:r>
      <w:r w:rsidRPr="00DA3117">
        <w:rPr>
          <w:rStyle w:val="Gl"/>
        </w:rPr>
        <w:t xml:space="preserve"> </w:t>
      </w:r>
      <w:r w:rsidRPr="00DA3117">
        <w:t xml:space="preserve">kaygının biyolojik temelleri de önemlidir. Kaygının beyindeki belirli </w:t>
      </w:r>
      <w:proofErr w:type="spellStart"/>
      <w:r w:rsidRPr="00DA3117">
        <w:t>nörotransmitterlerin</w:t>
      </w:r>
      <w:proofErr w:type="spellEnd"/>
      <w:r w:rsidRPr="00DA3117">
        <w:t xml:space="preserve"> </w:t>
      </w:r>
      <w:r w:rsidRPr="00DA3117">
        <w:lastRenderedPageBreak/>
        <w:t xml:space="preserve">(serotonin, dopamin, norepinefrin gibi) düzensizlikleriyle ilişkili olduğu bulunmuştur (Demir, 1997). Özellikle </w:t>
      </w:r>
      <w:proofErr w:type="spellStart"/>
      <w:r w:rsidRPr="00DA3117">
        <w:t>amigdala</w:t>
      </w:r>
      <w:proofErr w:type="spellEnd"/>
      <w:r w:rsidRPr="00DA3117">
        <w:t xml:space="preserve"> ve hipotalamus gibi beyindeki belirli yapılar, kaygı tepkisinin oluşumunda kritik rol oynar.</w:t>
      </w:r>
    </w:p>
    <w:p w14:paraId="17A04F7F" w14:textId="77777777" w:rsidR="007513A1" w:rsidRPr="00DA3117" w:rsidRDefault="007513A1" w:rsidP="007513A1">
      <w:pPr>
        <w:jc w:val="both"/>
      </w:pPr>
    </w:p>
    <w:p w14:paraId="1B43DBC2" w14:textId="4473B167" w:rsidR="001E7189" w:rsidRDefault="001E7189" w:rsidP="007513A1">
      <w:pPr>
        <w:pStyle w:val="AralkYok"/>
        <w:jc w:val="both"/>
        <w:rPr>
          <w:rFonts w:ascii="Times New Roman" w:hAnsi="Times New Roman" w:cs="Times New Roman"/>
          <w:sz w:val="24"/>
          <w:szCs w:val="24"/>
        </w:rPr>
      </w:pPr>
      <w:r w:rsidRPr="00DA3117">
        <w:rPr>
          <w:rFonts w:ascii="Times New Roman" w:hAnsi="Times New Roman" w:cs="Times New Roman"/>
          <w:sz w:val="24"/>
          <w:szCs w:val="24"/>
        </w:rPr>
        <w:t xml:space="preserve">Kaygının işlevsel bir yanı da bulunmaktadır. Evrimsel açıdan bakıldığında, kaygı, bireyin potansiyel tehditlere karşı uyanık kalmasını sağlayan bir savunma mekanizması olarak görülür. Ancak, aşırı veya kronik kaygı bireyin günlük yaşamını olumsuz etkileyerek uyumsuz bir hale gelir. Bu durumda, kaygı bireyin karar alma süreçlerini, sağlıklı düşünme becerilerini ve sosyal ilişkilerini olumsuz etkileyebilir (Carta ve ark., 2004). Kaygı, günlük hayatta yaşanan hafif endişelerden, klinik düzeyde bir kaygı bozukluğuna kadar geniş bir yelpazede görülebilir. Genel kaygı bozukluğu, sosyal kaygı bozukluğu, panik bozukluk ve özgül fobi gibi çeşitli kaygı bozuklukları, bireylerin kaygı durumlarının şiddeti ve süresi bakımından farklılık gösterir (DSM-5, APA, 2013). Kaygının işlevselliği ve uyum açısından sağladığı faydalar bulunsa </w:t>
      </w:r>
      <w:proofErr w:type="gramStart"/>
      <w:r w:rsidRPr="00DA3117">
        <w:rPr>
          <w:rFonts w:ascii="Times New Roman" w:hAnsi="Times New Roman" w:cs="Times New Roman"/>
          <w:sz w:val="24"/>
          <w:szCs w:val="24"/>
        </w:rPr>
        <w:t>da,</w:t>
      </w:r>
      <w:proofErr w:type="gramEnd"/>
      <w:r w:rsidRPr="00DA3117">
        <w:rPr>
          <w:rFonts w:ascii="Times New Roman" w:hAnsi="Times New Roman" w:cs="Times New Roman"/>
          <w:sz w:val="24"/>
          <w:szCs w:val="24"/>
        </w:rPr>
        <w:t xml:space="preserve"> aşırı kaygı bireyin yaşam kalitesini önemli ölçüde düşürür ve psikolojik müdahale gerektirebilir.</w:t>
      </w:r>
    </w:p>
    <w:p w14:paraId="0298BA7B" w14:textId="77777777" w:rsidR="007513A1" w:rsidRPr="00DA3117" w:rsidRDefault="007513A1" w:rsidP="007513A1">
      <w:pPr>
        <w:pStyle w:val="AralkYok"/>
        <w:jc w:val="both"/>
        <w:rPr>
          <w:rFonts w:ascii="Times New Roman" w:hAnsi="Times New Roman" w:cs="Times New Roman"/>
          <w:b/>
          <w:sz w:val="24"/>
          <w:szCs w:val="24"/>
        </w:rPr>
      </w:pPr>
    </w:p>
    <w:p w14:paraId="15526537" w14:textId="25699882" w:rsidR="001E7189" w:rsidRPr="00DA3117" w:rsidRDefault="001E7189" w:rsidP="007513A1">
      <w:pPr>
        <w:pStyle w:val="AralkYok"/>
        <w:jc w:val="both"/>
        <w:rPr>
          <w:rFonts w:ascii="Times New Roman" w:hAnsi="Times New Roman" w:cs="Times New Roman"/>
          <w:b/>
          <w:bCs/>
          <w:sz w:val="24"/>
          <w:szCs w:val="24"/>
        </w:rPr>
      </w:pPr>
      <w:r w:rsidRPr="00DA3117">
        <w:rPr>
          <w:rFonts w:ascii="Times New Roman" w:hAnsi="Times New Roman" w:cs="Times New Roman"/>
          <w:sz w:val="24"/>
          <w:szCs w:val="24"/>
        </w:rPr>
        <w:t xml:space="preserve">Kaygı bozuklukları arasında en yaygın ve öne çıkan türlerden biri, gelecek kaygısıdır (Erdur ve </w:t>
      </w:r>
      <w:proofErr w:type="spellStart"/>
      <w:r w:rsidRPr="00DA3117">
        <w:rPr>
          <w:rFonts w:ascii="Times New Roman" w:hAnsi="Times New Roman" w:cs="Times New Roman"/>
          <w:sz w:val="24"/>
          <w:szCs w:val="24"/>
        </w:rPr>
        <w:t>diğ</w:t>
      </w:r>
      <w:proofErr w:type="spellEnd"/>
      <w:r w:rsidRPr="00DA3117">
        <w:rPr>
          <w:rFonts w:ascii="Times New Roman" w:hAnsi="Times New Roman" w:cs="Times New Roman"/>
          <w:sz w:val="24"/>
          <w:szCs w:val="24"/>
        </w:rPr>
        <w:t xml:space="preserve">., 2011). Gelecek kaygısı, bireyin ileride yaşanacak olaylar hakkında duyduğu endişe, belirsizlik, korku ve olumsuz değişiklik beklentisi olarak tanımlanır. Bu kaygı, </w:t>
      </w:r>
      <w:proofErr w:type="gramStart"/>
      <w:r w:rsidRPr="00DA3117">
        <w:rPr>
          <w:rFonts w:ascii="Times New Roman" w:hAnsi="Times New Roman" w:cs="Times New Roman"/>
          <w:sz w:val="24"/>
          <w:szCs w:val="24"/>
        </w:rPr>
        <w:t>geniş  bir</w:t>
      </w:r>
      <w:proofErr w:type="gramEnd"/>
      <w:r w:rsidRPr="00DA3117">
        <w:rPr>
          <w:rFonts w:ascii="Times New Roman" w:hAnsi="Times New Roman" w:cs="Times New Roman"/>
          <w:sz w:val="24"/>
          <w:szCs w:val="24"/>
        </w:rPr>
        <w:t xml:space="preserve"> zaman dilimini kapsayan, bireye özel belirsizliklerin ve olumsuz sonuçların aşırı derecede tehdit edici olarak algılanması şeklinde de ifade edilebilir (Dağtekin ve </w:t>
      </w:r>
      <w:proofErr w:type="spellStart"/>
      <w:r w:rsidRPr="00DA3117">
        <w:rPr>
          <w:rFonts w:ascii="Times New Roman" w:hAnsi="Times New Roman" w:cs="Times New Roman"/>
          <w:sz w:val="24"/>
          <w:szCs w:val="24"/>
        </w:rPr>
        <w:t>diğ</w:t>
      </w:r>
      <w:proofErr w:type="spellEnd"/>
      <w:r w:rsidRPr="00DA3117">
        <w:rPr>
          <w:rFonts w:ascii="Times New Roman" w:hAnsi="Times New Roman" w:cs="Times New Roman"/>
          <w:sz w:val="24"/>
          <w:szCs w:val="24"/>
        </w:rPr>
        <w:t>., 2020).</w:t>
      </w:r>
      <w:r w:rsidRPr="00DA3117">
        <w:rPr>
          <w:rFonts w:ascii="Times New Roman" w:hAnsi="Times New Roman" w:cs="Times New Roman"/>
          <w:bCs/>
          <w:sz w:val="24"/>
          <w:szCs w:val="24"/>
        </w:rPr>
        <w:t xml:space="preserve">Günümüzde neredeyse tüm genç yetişkinler gelecek kaygısı ile baş etmeye çalışıyor. Genç yetişkinlik dönemi, bireylerin eğitimden iş yaşamına, aileden bağımsız bir yaşama geçiş yaptığı kritik bir evredir. Bu dönem aynı zamanda bireylerin kimlik geliştirme, kariyer hedeflerini belirleme ve sosyal ilişkilerini yeniden yapılandırma gibi önemli süreçleri içerir. Bu çok boyutlu değişim süreci, genç yetişkinlerde hem psikolojik hem de sosyal faktörlerin etkisiyle yoğun bir gelecek kaygısı yaşanmasına yol açabiliyor. Özellikle genç yetişkinlik döneminde, geleceğe dair kaygı ve belirsizlik hissi oldukça yaygındır. Bu yoğun geçiş dönemleri, genç yetişkinleri gelecekle ilgili belirsizlikler karşısında daha hassas hale getirir ve gelecek kaygısını yaygın bir sorun haline getirir. Aynı zamanda gelecek kaygısı üzerinde psikososyal faktörlerinde etkisi oldukça büyüktür. Aile yapısı, sosyal çevre, ekonomik koşullar ve toplumun genç bireylere yüklediği beklentiler, gelecek kaygısının düzeyini etkileyen önemli faktörlerdir. Özellikle aile desteği, bireyin geleceğe dair güven geliştirmesine katkı sağlar ve kaygı düzeyini azaltabilir (Çetinkaya </w:t>
      </w:r>
      <w:proofErr w:type="gramStart"/>
      <w:r w:rsidRPr="00DA3117">
        <w:rPr>
          <w:rFonts w:ascii="Times New Roman" w:hAnsi="Times New Roman" w:cs="Times New Roman"/>
          <w:bCs/>
          <w:sz w:val="24"/>
          <w:szCs w:val="24"/>
        </w:rPr>
        <w:t>ve  Kıyak</w:t>
      </w:r>
      <w:proofErr w:type="gramEnd"/>
      <w:r w:rsidRPr="00DA3117">
        <w:rPr>
          <w:rFonts w:ascii="Times New Roman" w:hAnsi="Times New Roman" w:cs="Times New Roman"/>
          <w:bCs/>
          <w:sz w:val="24"/>
          <w:szCs w:val="24"/>
        </w:rPr>
        <w:t>, 2009). Öte yandan, düşük sosyoekonomik koşullara sahip genç yetişkinler, gelecekte ekonomik bağımsızlıklarını kazanmak veya mesleki güvenlik elde etmek konusunda daha fazla endişe yaşayabilirler. Gelecek kaygısının uzun vadede bireylerde stres, depresyon, motivasyon kaybı ve hatta özgüven eksikliği gibi ciddi psikolojik sorunlara yol açabileceği belirtilmektedir.</w:t>
      </w:r>
    </w:p>
    <w:p w14:paraId="1501AA40" w14:textId="77777777" w:rsidR="001E7189" w:rsidRPr="00DA3117" w:rsidRDefault="001E7189" w:rsidP="007513A1">
      <w:pPr>
        <w:pStyle w:val="AralkYok"/>
        <w:jc w:val="both"/>
        <w:rPr>
          <w:rFonts w:ascii="Times New Roman" w:hAnsi="Times New Roman" w:cs="Times New Roman"/>
          <w:b/>
          <w:bCs/>
          <w:sz w:val="24"/>
          <w:szCs w:val="24"/>
        </w:rPr>
      </w:pPr>
      <w:r w:rsidRPr="00DA3117">
        <w:rPr>
          <w:rFonts w:ascii="Times New Roman" w:hAnsi="Times New Roman" w:cs="Times New Roman"/>
          <w:bCs/>
          <w:sz w:val="24"/>
          <w:szCs w:val="24"/>
        </w:rPr>
        <w:t xml:space="preserve">Bu nedenle, genç yetişkinlerin yaşadığı gelecek kaygısının hangi faktörlerden etkilendiğini ve bu kaygının nasıl yönetilebileceğini anlamak, önemli bir araştırma alanı haline gelmiştir. Bu derlemenin amacı, genç yetişkinlerde gelecek kaygısını etkileyen psikolojik ve sosyal faktörleri incelemek ve bu faktörlerin gençlerin gelecekle ilgili beklentileri üzerindeki etkilerini ele almaktır. Psikolojik faktörler kapsamında, bireylerin özsaygı düzeyleri, stresle başa çıkma becerileri, yaşam doyumu ve depresyon gibi etkenlerin genç yetişkinlerdeki gelecek kaygısına etkisi değerlendirilecektir. Sosyal faktörler açısından ise aile yapısı, sosyal destek sistemleri, ekonomik durum ve kültürel değerler gibi gençlerin sosyal çevresi ve koşulları üzerinde durulacaktır. Bu faktörlerin etkileşimi, gençlerin gelecek algısı ve kaygı düzeyleri üzerinde büyük bir etki yaratmaktadır. Araştırmalar, sosyal destek ve aile bağlarının güçlü olduğu genç </w:t>
      </w:r>
      <w:r w:rsidRPr="00DA3117">
        <w:rPr>
          <w:rFonts w:ascii="Times New Roman" w:hAnsi="Times New Roman" w:cs="Times New Roman"/>
          <w:bCs/>
          <w:sz w:val="24"/>
          <w:szCs w:val="24"/>
        </w:rPr>
        <w:lastRenderedPageBreak/>
        <w:t>yetişkinlerin gelecek kaygısı düzeylerinin daha düşük olduğunu göstermektedir (</w:t>
      </w:r>
      <w:proofErr w:type="spellStart"/>
      <w:r w:rsidRPr="00DA3117">
        <w:rPr>
          <w:rFonts w:ascii="Times New Roman" w:hAnsi="Times New Roman" w:cs="Times New Roman"/>
          <w:bCs/>
          <w:sz w:val="24"/>
          <w:szCs w:val="24"/>
        </w:rPr>
        <w:t>Holliman</w:t>
      </w:r>
      <w:proofErr w:type="spellEnd"/>
      <w:r w:rsidRPr="00DA3117">
        <w:rPr>
          <w:rFonts w:ascii="Times New Roman" w:hAnsi="Times New Roman" w:cs="Times New Roman"/>
          <w:bCs/>
          <w:sz w:val="24"/>
          <w:szCs w:val="24"/>
        </w:rPr>
        <w:t xml:space="preserve"> ve </w:t>
      </w:r>
      <w:proofErr w:type="spellStart"/>
      <w:r w:rsidRPr="00DA3117">
        <w:rPr>
          <w:rFonts w:ascii="Times New Roman" w:hAnsi="Times New Roman" w:cs="Times New Roman"/>
          <w:bCs/>
          <w:sz w:val="24"/>
          <w:szCs w:val="24"/>
        </w:rPr>
        <w:t>diğ</w:t>
      </w:r>
      <w:proofErr w:type="spellEnd"/>
      <w:r w:rsidRPr="00DA3117">
        <w:rPr>
          <w:rFonts w:ascii="Times New Roman" w:hAnsi="Times New Roman" w:cs="Times New Roman"/>
          <w:bCs/>
          <w:sz w:val="24"/>
          <w:szCs w:val="24"/>
        </w:rPr>
        <w:t>., 2020). Bu bildiride, genç yetişkinlerde gelecek kaygısının oluşumuna etki eden psikolojik ve sosyal faktörler literatür taraması yoluyla değerlendirilecek ve bu faktörlerin gençlerin yaşam kalitesi ve psikolojik sağlık üzerindeki etkileri detaylandırılacaktır.</w:t>
      </w:r>
    </w:p>
    <w:p w14:paraId="7BED26B9" w14:textId="77777777" w:rsidR="001E7189" w:rsidRPr="00DA3117" w:rsidRDefault="001E7189" w:rsidP="007513A1">
      <w:pPr>
        <w:pStyle w:val="AralkYok"/>
        <w:jc w:val="both"/>
        <w:rPr>
          <w:rFonts w:ascii="Times New Roman" w:hAnsi="Times New Roman" w:cs="Times New Roman"/>
          <w:bCs/>
          <w:sz w:val="24"/>
          <w:szCs w:val="24"/>
        </w:rPr>
      </w:pPr>
    </w:p>
    <w:p w14:paraId="53F3805D" w14:textId="77777777" w:rsidR="001E7189" w:rsidRPr="00DA3117" w:rsidRDefault="001E7189" w:rsidP="007513A1">
      <w:pPr>
        <w:jc w:val="both"/>
        <w:rPr>
          <w:b/>
          <w:bCs/>
        </w:rPr>
      </w:pPr>
      <w:r w:rsidRPr="00DA3117">
        <w:rPr>
          <w:b/>
        </w:rPr>
        <w:t>2.1 Genç Yetişkinlik ve Gelecek Kaygısı</w:t>
      </w:r>
    </w:p>
    <w:p w14:paraId="3F90650C" w14:textId="77777777" w:rsidR="001E7189" w:rsidRDefault="001E7189" w:rsidP="007513A1">
      <w:pPr>
        <w:pStyle w:val="NormalWeb"/>
        <w:spacing w:before="0" w:beforeAutospacing="0" w:after="0" w:afterAutospacing="0"/>
        <w:jc w:val="both"/>
      </w:pPr>
      <w:proofErr w:type="spellStart"/>
      <w:r w:rsidRPr="00DA3117">
        <w:t>Gençlik</w:t>
      </w:r>
      <w:proofErr w:type="spellEnd"/>
      <w:r w:rsidRPr="00DA3117">
        <w:t xml:space="preserve"> </w:t>
      </w:r>
      <w:proofErr w:type="spellStart"/>
      <w:r w:rsidRPr="00DA3117">
        <w:t>kavramı</w:t>
      </w:r>
      <w:proofErr w:type="spellEnd"/>
      <w:r w:rsidRPr="00DA3117">
        <w:t xml:space="preserve">, </w:t>
      </w:r>
      <w:proofErr w:type="spellStart"/>
      <w:r w:rsidRPr="00DA3117">
        <w:t>farklı</w:t>
      </w:r>
      <w:proofErr w:type="spellEnd"/>
      <w:r w:rsidRPr="00DA3117">
        <w:t xml:space="preserve"> </w:t>
      </w:r>
      <w:proofErr w:type="spellStart"/>
      <w:r w:rsidRPr="00DA3117">
        <w:t>kültürel</w:t>
      </w:r>
      <w:proofErr w:type="spellEnd"/>
      <w:r w:rsidRPr="00DA3117">
        <w:t xml:space="preserve"> </w:t>
      </w:r>
      <w:proofErr w:type="spellStart"/>
      <w:r w:rsidRPr="00DA3117">
        <w:t>ve</w:t>
      </w:r>
      <w:proofErr w:type="spellEnd"/>
      <w:r w:rsidRPr="00DA3117">
        <w:t xml:space="preserve"> </w:t>
      </w:r>
      <w:proofErr w:type="spellStart"/>
      <w:r w:rsidRPr="00DA3117">
        <w:t>toplumsal</w:t>
      </w:r>
      <w:proofErr w:type="spellEnd"/>
      <w:r w:rsidRPr="00DA3117">
        <w:t xml:space="preserve"> </w:t>
      </w:r>
      <w:proofErr w:type="spellStart"/>
      <w:r w:rsidRPr="00DA3117">
        <w:t>bağlamlarda</w:t>
      </w:r>
      <w:proofErr w:type="spellEnd"/>
      <w:r w:rsidRPr="00DA3117">
        <w:t xml:space="preserve"> </w:t>
      </w:r>
      <w:proofErr w:type="spellStart"/>
      <w:r w:rsidRPr="00DA3117">
        <w:t>değişiklik</w:t>
      </w:r>
      <w:proofErr w:type="spellEnd"/>
      <w:r w:rsidRPr="00DA3117">
        <w:t xml:space="preserve"> </w:t>
      </w:r>
      <w:proofErr w:type="spellStart"/>
      <w:r w:rsidRPr="00DA3117">
        <w:t>gösterebilir</w:t>
      </w:r>
      <w:proofErr w:type="spellEnd"/>
      <w:r w:rsidRPr="00DA3117">
        <w:t xml:space="preserve">, </w:t>
      </w:r>
      <w:proofErr w:type="spellStart"/>
      <w:r w:rsidRPr="00DA3117">
        <w:t>ancak</w:t>
      </w:r>
      <w:proofErr w:type="spellEnd"/>
      <w:r w:rsidRPr="00DA3117">
        <w:t xml:space="preserve"> </w:t>
      </w:r>
      <w:proofErr w:type="spellStart"/>
      <w:r w:rsidRPr="00DA3117">
        <w:t>genel</w:t>
      </w:r>
      <w:proofErr w:type="spellEnd"/>
      <w:r w:rsidRPr="00DA3117">
        <w:t xml:space="preserve"> </w:t>
      </w:r>
      <w:proofErr w:type="spellStart"/>
      <w:r w:rsidRPr="00DA3117">
        <w:t>olarak</w:t>
      </w:r>
      <w:proofErr w:type="spellEnd"/>
      <w:r w:rsidRPr="00DA3117">
        <w:t xml:space="preserve"> </w:t>
      </w:r>
      <w:proofErr w:type="spellStart"/>
      <w:r w:rsidRPr="00DA3117">
        <w:t>belirli</w:t>
      </w:r>
      <w:proofErr w:type="spellEnd"/>
      <w:r w:rsidRPr="00DA3117">
        <w:t xml:space="preserve"> </w:t>
      </w:r>
      <w:proofErr w:type="spellStart"/>
      <w:r w:rsidRPr="00DA3117">
        <w:t>bir</w:t>
      </w:r>
      <w:proofErr w:type="spellEnd"/>
      <w:r w:rsidRPr="00DA3117">
        <w:t xml:space="preserve"> </w:t>
      </w:r>
      <w:proofErr w:type="spellStart"/>
      <w:r w:rsidRPr="00DA3117">
        <w:t>gelişimsel</w:t>
      </w:r>
      <w:proofErr w:type="spellEnd"/>
      <w:r w:rsidRPr="00DA3117">
        <w:t xml:space="preserve"> </w:t>
      </w:r>
      <w:proofErr w:type="spellStart"/>
      <w:r w:rsidRPr="00DA3117">
        <w:t>evreyi</w:t>
      </w:r>
      <w:proofErr w:type="spellEnd"/>
      <w:r w:rsidRPr="00DA3117">
        <w:t xml:space="preserve"> </w:t>
      </w:r>
      <w:proofErr w:type="spellStart"/>
      <w:r w:rsidRPr="00DA3117">
        <w:t>ifade</w:t>
      </w:r>
      <w:proofErr w:type="spellEnd"/>
      <w:r w:rsidRPr="00DA3117">
        <w:t xml:space="preserve"> </w:t>
      </w:r>
      <w:proofErr w:type="spellStart"/>
      <w:r w:rsidRPr="00DA3117">
        <w:t>eder</w:t>
      </w:r>
      <w:proofErr w:type="spellEnd"/>
      <w:r w:rsidRPr="00DA3117">
        <w:t xml:space="preserve">. Genç </w:t>
      </w:r>
      <w:proofErr w:type="spellStart"/>
      <w:r w:rsidRPr="00DA3117">
        <w:t>yetişkinlik</w:t>
      </w:r>
      <w:proofErr w:type="spellEnd"/>
      <w:r w:rsidRPr="00DA3117">
        <w:t xml:space="preserve"> </w:t>
      </w:r>
      <w:proofErr w:type="spellStart"/>
      <w:r w:rsidRPr="00DA3117">
        <w:t>dönemi</w:t>
      </w:r>
      <w:proofErr w:type="spellEnd"/>
      <w:r w:rsidRPr="00DA3117">
        <w:t xml:space="preserve">, </w:t>
      </w:r>
      <w:proofErr w:type="spellStart"/>
      <w:r w:rsidRPr="00DA3117">
        <w:t>bireylerin</w:t>
      </w:r>
      <w:proofErr w:type="spellEnd"/>
      <w:r w:rsidRPr="00DA3117">
        <w:t xml:space="preserve"> </w:t>
      </w:r>
      <w:proofErr w:type="spellStart"/>
      <w:r w:rsidRPr="00DA3117">
        <w:t>eş</w:t>
      </w:r>
      <w:proofErr w:type="spellEnd"/>
      <w:r w:rsidRPr="00DA3117">
        <w:t xml:space="preserve"> </w:t>
      </w:r>
      <w:proofErr w:type="spellStart"/>
      <w:r w:rsidRPr="00DA3117">
        <w:t>seçimi</w:t>
      </w:r>
      <w:proofErr w:type="spellEnd"/>
      <w:r w:rsidRPr="00DA3117">
        <w:t xml:space="preserve">, </w:t>
      </w:r>
      <w:proofErr w:type="spellStart"/>
      <w:r w:rsidRPr="00DA3117">
        <w:t>meslek</w:t>
      </w:r>
      <w:proofErr w:type="spellEnd"/>
      <w:r w:rsidRPr="00DA3117">
        <w:t xml:space="preserve"> </w:t>
      </w:r>
      <w:proofErr w:type="spellStart"/>
      <w:r w:rsidRPr="00DA3117">
        <w:t>edinme</w:t>
      </w:r>
      <w:proofErr w:type="spellEnd"/>
      <w:r w:rsidRPr="00DA3117">
        <w:t xml:space="preserve">, </w:t>
      </w:r>
      <w:proofErr w:type="spellStart"/>
      <w:r w:rsidRPr="00DA3117">
        <w:t>çocuk</w:t>
      </w:r>
      <w:proofErr w:type="spellEnd"/>
      <w:r w:rsidRPr="00DA3117">
        <w:t xml:space="preserve"> </w:t>
      </w:r>
      <w:proofErr w:type="spellStart"/>
      <w:r w:rsidRPr="00DA3117">
        <w:t>yetiştirme</w:t>
      </w:r>
      <w:proofErr w:type="spellEnd"/>
      <w:r w:rsidRPr="00DA3117">
        <w:t xml:space="preserve"> </w:t>
      </w:r>
      <w:proofErr w:type="spellStart"/>
      <w:r w:rsidRPr="00DA3117">
        <w:t>ve</w:t>
      </w:r>
      <w:proofErr w:type="spellEnd"/>
      <w:r w:rsidRPr="00DA3117">
        <w:t xml:space="preserve"> </w:t>
      </w:r>
      <w:proofErr w:type="spellStart"/>
      <w:r w:rsidRPr="00DA3117">
        <w:t>sorumluluk</w:t>
      </w:r>
      <w:proofErr w:type="spellEnd"/>
      <w:r w:rsidRPr="00DA3117">
        <w:t xml:space="preserve"> </w:t>
      </w:r>
      <w:proofErr w:type="spellStart"/>
      <w:r w:rsidRPr="00DA3117">
        <w:t>üstlenme</w:t>
      </w:r>
      <w:proofErr w:type="spellEnd"/>
      <w:r w:rsidRPr="00DA3117">
        <w:t xml:space="preserve"> </w:t>
      </w:r>
      <w:proofErr w:type="spellStart"/>
      <w:r w:rsidRPr="00DA3117">
        <w:t>gibi</w:t>
      </w:r>
      <w:proofErr w:type="spellEnd"/>
      <w:r w:rsidRPr="00DA3117">
        <w:t xml:space="preserve"> </w:t>
      </w:r>
      <w:proofErr w:type="spellStart"/>
      <w:r w:rsidRPr="00DA3117">
        <w:t>çeşitli</w:t>
      </w:r>
      <w:proofErr w:type="spellEnd"/>
      <w:r w:rsidRPr="00DA3117">
        <w:t xml:space="preserve"> </w:t>
      </w:r>
      <w:proofErr w:type="spellStart"/>
      <w:r w:rsidRPr="00DA3117">
        <w:t>gelişim</w:t>
      </w:r>
      <w:proofErr w:type="spellEnd"/>
      <w:r w:rsidRPr="00DA3117">
        <w:t xml:space="preserve"> </w:t>
      </w:r>
      <w:proofErr w:type="spellStart"/>
      <w:r w:rsidRPr="00DA3117">
        <w:t>görevleriyle</w:t>
      </w:r>
      <w:proofErr w:type="spellEnd"/>
      <w:r w:rsidRPr="00DA3117">
        <w:t xml:space="preserve"> </w:t>
      </w:r>
      <w:proofErr w:type="spellStart"/>
      <w:r w:rsidRPr="00DA3117">
        <w:t>karşı</w:t>
      </w:r>
      <w:proofErr w:type="spellEnd"/>
      <w:r w:rsidRPr="00DA3117">
        <w:t xml:space="preserve"> </w:t>
      </w:r>
      <w:proofErr w:type="spellStart"/>
      <w:r w:rsidRPr="00DA3117">
        <w:t>karşıya</w:t>
      </w:r>
      <w:proofErr w:type="spellEnd"/>
      <w:r w:rsidRPr="00DA3117">
        <w:t xml:space="preserve"> </w:t>
      </w:r>
      <w:proofErr w:type="spellStart"/>
      <w:r w:rsidRPr="00DA3117">
        <w:t>kaldıkları</w:t>
      </w:r>
      <w:proofErr w:type="spellEnd"/>
      <w:r w:rsidRPr="00DA3117">
        <w:t xml:space="preserve">, </w:t>
      </w:r>
      <w:proofErr w:type="spellStart"/>
      <w:r w:rsidRPr="00DA3117">
        <w:t>genellikle</w:t>
      </w:r>
      <w:proofErr w:type="spellEnd"/>
      <w:r w:rsidRPr="00DA3117">
        <w:t xml:space="preserve"> 18-35 </w:t>
      </w:r>
      <w:proofErr w:type="spellStart"/>
      <w:r w:rsidRPr="00DA3117">
        <w:t>yaş</w:t>
      </w:r>
      <w:proofErr w:type="spellEnd"/>
      <w:r w:rsidRPr="00DA3117">
        <w:t xml:space="preserve"> </w:t>
      </w:r>
      <w:proofErr w:type="spellStart"/>
      <w:r w:rsidRPr="00DA3117">
        <w:t>aralığını</w:t>
      </w:r>
      <w:proofErr w:type="spellEnd"/>
      <w:r w:rsidRPr="00DA3117">
        <w:t xml:space="preserve"> </w:t>
      </w:r>
      <w:proofErr w:type="spellStart"/>
      <w:r w:rsidRPr="00DA3117">
        <w:t>kapsayan</w:t>
      </w:r>
      <w:proofErr w:type="spellEnd"/>
      <w:r w:rsidRPr="00DA3117">
        <w:t xml:space="preserve"> </w:t>
      </w:r>
      <w:proofErr w:type="spellStart"/>
      <w:r w:rsidRPr="00DA3117">
        <w:t>bir</w:t>
      </w:r>
      <w:proofErr w:type="spellEnd"/>
      <w:r w:rsidRPr="00DA3117">
        <w:t xml:space="preserve"> </w:t>
      </w:r>
      <w:proofErr w:type="spellStart"/>
      <w:r w:rsidRPr="00DA3117">
        <w:t>yaşam</w:t>
      </w:r>
      <w:proofErr w:type="spellEnd"/>
      <w:r w:rsidRPr="00DA3117">
        <w:t xml:space="preserve"> </w:t>
      </w:r>
      <w:proofErr w:type="spellStart"/>
      <w:r w:rsidRPr="00DA3117">
        <w:t>evresi</w:t>
      </w:r>
      <w:proofErr w:type="spellEnd"/>
      <w:r w:rsidRPr="00DA3117">
        <w:t xml:space="preserve"> </w:t>
      </w:r>
      <w:proofErr w:type="spellStart"/>
      <w:r w:rsidRPr="00DA3117">
        <w:t>olarak</w:t>
      </w:r>
      <w:proofErr w:type="spellEnd"/>
      <w:r w:rsidRPr="00DA3117">
        <w:t xml:space="preserve"> </w:t>
      </w:r>
      <w:proofErr w:type="spellStart"/>
      <w:r w:rsidRPr="00DA3117">
        <w:t>tanımlanmaktadır</w:t>
      </w:r>
      <w:proofErr w:type="spellEnd"/>
      <w:r w:rsidRPr="00DA3117">
        <w:t xml:space="preserve"> (Havighurst, 1974). Genç </w:t>
      </w:r>
      <w:proofErr w:type="spellStart"/>
      <w:r w:rsidRPr="00DA3117">
        <w:t>yetişkinlerden</w:t>
      </w:r>
      <w:proofErr w:type="spellEnd"/>
      <w:r w:rsidRPr="00DA3117">
        <w:t xml:space="preserve"> </w:t>
      </w:r>
      <w:proofErr w:type="spellStart"/>
      <w:r w:rsidRPr="00DA3117">
        <w:t>genellikle</w:t>
      </w:r>
      <w:proofErr w:type="spellEnd"/>
      <w:r w:rsidRPr="00DA3117">
        <w:t xml:space="preserve"> </w:t>
      </w:r>
      <w:proofErr w:type="spellStart"/>
      <w:r w:rsidRPr="00DA3117">
        <w:t>belirli</w:t>
      </w:r>
      <w:proofErr w:type="spellEnd"/>
      <w:r w:rsidRPr="00DA3117">
        <w:t xml:space="preserve"> </w:t>
      </w:r>
      <w:proofErr w:type="spellStart"/>
      <w:r w:rsidRPr="00DA3117">
        <w:t>bir</w:t>
      </w:r>
      <w:proofErr w:type="spellEnd"/>
      <w:r w:rsidRPr="00DA3117">
        <w:t xml:space="preserve"> </w:t>
      </w:r>
      <w:proofErr w:type="spellStart"/>
      <w:r w:rsidRPr="00DA3117">
        <w:t>yaşa</w:t>
      </w:r>
      <w:proofErr w:type="spellEnd"/>
      <w:r w:rsidRPr="00DA3117">
        <w:t xml:space="preserve"> </w:t>
      </w:r>
      <w:proofErr w:type="spellStart"/>
      <w:r w:rsidRPr="00DA3117">
        <w:t>kadar</w:t>
      </w:r>
      <w:proofErr w:type="spellEnd"/>
      <w:r w:rsidRPr="00DA3117">
        <w:t xml:space="preserve"> </w:t>
      </w:r>
      <w:proofErr w:type="spellStart"/>
      <w:r w:rsidRPr="00DA3117">
        <w:t>eğitimlerini</w:t>
      </w:r>
      <w:proofErr w:type="spellEnd"/>
      <w:r w:rsidRPr="00DA3117">
        <w:t xml:space="preserve"> </w:t>
      </w:r>
      <w:proofErr w:type="spellStart"/>
      <w:r w:rsidRPr="00DA3117">
        <w:t>tamamlamaları</w:t>
      </w:r>
      <w:proofErr w:type="spellEnd"/>
      <w:r w:rsidRPr="00DA3117">
        <w:t xml:space="preserve">, </w:t>
      </w:r>
      <w:proofErr w:type="spellStart"/>
      <w:r w:rsidRPr="00DA3117">
        <w:t>meslek</w:t>
      </w:r>
      <w:proofErr w:type="spellEnd"/>
      <w:r w:rsidRPr="00DA3117">
        <w:t xml:space="preserve"> </w:t>
      </w:r>
      <w:proofErr w:type="spellStart"/>
      <w:r w:rsidRPr="00DA3117">
        <w:t>sahibi</w:t>
      </w:r>
      <w:proofErr w:type="spellEnd"/>
      <w:r w:rsidRPr="00DA3117">
        <w:t xml:space="preserve"> </w:t>
      </w:r>
      <w:proofErr w:type="spellStart"/>
      <w:r w:rsidRPr="00DA3117">
        <w:t>olmaları</w:t>
      </w:r>
      <w:proofErr w:type="spellEnd"/>
      <w:r w:rsidRPr="00DA3117">
        <w:t xml:space="preserve">, </w:t>
      </w:r>
      <w:proofErr w:type="spellStart"/>
      <w:r w:rsidRPr="00DA3117">
        <w:t>ekonomik</w:t>
      </w:r>
      <w:proofErr w:type="spellEnd"/>
      <w:r w:rsidRPr="00DA3117">
        <w:t xml:space="preserve"> </w:t>
      </w:r>
      <w:proofErr w:type="spellStart"/>
      <w:r w:rsidRPr="00DA3117">
        <w:t>bağımsızlıklarını</w:t>
      </w:r>
      <w:proofErr w:type="spellEnd"/>
      <w:r w:rsidRPr="00DA3117">
        <w:t xml:space="preserve"> </w:t>
      </w:r>
      <w:proofErr w:type="spellStart"/>
      <w:r w:rsidRPr="00DA3117">
        <w:t>kazanmaları</w:t>
      </w:r>
      <w:proofErr w:type="spellEnd"/>
      <w:r w:rsidRPr="00DA3117">
        <w:t xml:space="preserve"> </w:t>
      </w:r>
      <w:proofErr w:type="spellStart"/>
      <w:r w:rsidRPr="00DA3117">
        <w:t>ve</w:t>
      </w:r>
      <w:proofErr w:type="spellEnd"/>
      <w:r w:rsidRPr="00DA3117">
        <w:t xml:space="preserve"> </w:t>
      </w:r>
      <w:proofErr w:type="spellStart"/>
      <w:r w:rsidRPr="00DA3117">
        <w:t>aile</w:t>
      </w:r>
      <w:proofErr w:type="spellEnd"/>
      <w:r w:rsidRPr="00DA3117">
        <w:t xml:space="preserve"> </w:t>
      </w:r>
      <w:proofErr w:type="spellStart"/>
      <w:r w:rsidRPr="00DA3117">
        <w:t>kurmaları</w:t>
      </w:r>
      <w:proofErr w:type="spellEnd"/>
      <w:r w:rsidRPr="00DA3117">
        <w:t xml:space="preserve"> </w:t>
      </w:r>
      <w:proofErr w:type="spellStart"/>
      <w:r w:rsidRPr="00DA3117">
        <w:t>beklenir</w:t>
      </w:r>
      <w:proofErr w:type="spellEnd"/>
      <w:r w:rsidRPr="00DA3117">
        <w:t xml:space="preserve">. Bu </w:t>
      </w:r>
      <w:proofErr w:type="spellStart"/>
      <w:r w:rsidRPr="00DA3117">
        <w:t>tür</w:t>
      </w:r>
      <w:proofErr w:type="spellEnd"/>
      <w:r w:rsidRPr="00DA3117">
        <w:t xml:space="preserve"> </w:t>
      </w:r>
      <w:proofErr w:type="spellStart"/>
      <w:r w:rsidRPr="00DA3117">
        <w:t>sosyal</w:t>
      </w:r>
      <w:proofErr w:type="spellEnd"/>
      <w:r w:rsidRPr="00DA3117">
        <w:t xml:space="preserve"> </w:t>
      </w:r>
      <w:proofErr w:type="spellStart"/>
      <w:r w:rsidRPr="00DA3117">
        <w:t>beklentiler</w:t>
      </w:r>
      <w:proofErr w:type="spellEnd"/>
      <w:r w:rsidRPr="00DA3117">
        <w:t xml:space="preserve">, </w:t>
      </w:r>
      <w:proofErr w:type="spellStart"/>
      <w:r w:rsidRPr="00DA3117">
        <w:t>özellikle</w:t>
      </w:r>
      <w:proofErr w:type="spellEnd"/>
      <w:r w:rsidRPr="00DA3117">
        <w:t xml:space="preserve"> </w:t>
      </w:r>
      <w:proofErr w:type="spellStart"/>
      <w:r w:rsidRPr="00DA3117">
        <w:t>kendi</w:t>
      </w:r>
      <w:proofErr w:type="spellEnd"/>
      <w:r w:rsidRPr="00DA3117">
        <w:t xml:space="preserve"> </w:t>
      </w:r>
      <w:proofErr w:type="spellStart"/>
      <w:r w:rsidRPr="00DA3117">
        <w:t>hedeflerini</w:t>
      </w:r>
      <w:proofErr w:type="spellEnd"/>
      <w:r w:rsidRPr="00DA3117">
        <w:t xml:space="preserve"> </w:t>
      </w:r>
      <w:proofErr w:type="spellStart"/>
      <w:r w:rsidRPr="00DA3117">
        <w:t>gerçekleştiremeyen</w:t>
      </w:r>
      <w:proofErr w:type="spellEnd"/>
      <w:r w:rsidRPr="00DA3117">
        <w:t xml:space="preserve"> </w:t>
      </w:r>
      <w:proofErr w:type="spellStart"/>
      <w:r w:rsidRPr="00DA3117">
        <w:t>bireylerde</w:t>
      </w:r>
      <w:proofErr w:type="spellEnd"/>
      <w:r w:rsidRPr="00DA3117">
        <w:t xml:space="preserve"> </w:t>
      </w:r>
      <w:proofErr w:type="spellStart"/>
      <w:r w:rsidRPr="00DA3117">
        <w:t>kaygıyı</w:t>
      </w:r>
      <w:proofErr w:type="spellEnd"/>
      <w:r w:rsidRPr="00DA3117">
        <w:t xml:space="preserve"> </w:t>
      </w:r>
      <w:proofErr w:type="spellStart"/>
      <w:r w:rsidRPr="00DA3117">
        <w:t>tetikleyebilir</w:t>
      </w:r>
      <w:proofErr w:type="spellEnd"/>
      <w:r w:rsidRPr="00DA3117">
        <w:t>.</w:t>
      </w:r>
    </w:p>
    <w:p w14:paraId="24516A17" w14:textId="77777777" w:rsidR="007513A1" w:rsidRPr="00DA3117" w:rsidRDefault="007513A1" w:rsidP="007513A1">
      <w:pPr>
        <w:pStyle w:val="NormalWeb"/>
        <w:spacing w:before="0" w:beforeAutospacing="0" w:after="0" w:afterAutospacing="0"/>
        <w:jc w:val="both"/>
      </w:pPr>
    </w:p>
    <w:p w14:paraId="21816177" w14:textId="77777777" w:rsidR="001E7189" w:rsidRDefault="001E7189" w:rsidP="007513A1">
      <w:pPr>
        <w:jc w:val="both"/>
      </w:pPr>
      <w:r w:rsidRPr="00DA3117">
        <w:t xml:space="preserve">Psikolojik ve sosyolojik literatür, genellikle gençliği ergenlik ile yetişkinlik arasında bir geçiş dönemi olarak tanımlar ve bu dönem, biyolojik, psikolojik ve sosyal gelişim açısından önemli değişikliklerle karakterizedir. Gençlik, </w:t>
      </w:r>
      <w:r w:rsidRPr="00DA3117">
        <w:rPr>
          <w:rStyle w:val="Gl"/>
        </w:rPr>
        <w:t>18-35 yaş</w:t>
      </w:r>
      <w:r w:rsidRPr="00DA3117">
        <w:t xml:space="preserve"> arasındaki dönemi kapsayan, bireyin kimlik arayışı, toplumsal rol kazancı ve kişisel hedefler belirleme süreçlerinin yoğun olduğu bir evredir. Bu dönemde, bireylerin fiziksel olgunlaşma süreçleri tamamlanırken, psikolojik ve sosyal kimliklerini oluşturma, mesleki kimlik kazanma ve bağımsızlıkları adına çeşitli toplumsal görevlere uyum sağlama süreci başlar. Diğer yandan eğitim maliyetlerinin artması, işsizlik oranlarının yüksekliği ve düşük gelir beklentileri, genç yetişkinlerde geleceğe dair finansal endişelerin başlıca kaynaklarıdır. Özellikle ekonomik bağımsızlıklarını kazanmakta zorlanan bireylerde bu kaygılar daha yoğun bir şekilde yaşanır. Literatüre bakıldığında, "gençlik dönemi" veya "genç" kavramı farklı disiplinler açısından çeşitli şekillerde tanımlanmaktadır. Bu tanımlar genellikle kronolojik yaşa ve bireylerin yaşam evrelerinde geçirdikleri dönüşümlere dayanır (Seçer, 2006). Bu bağlamda, gençlik dönemi çeşitli geçiş süreçlerine işaret etmektedir. Bu süreçler arasında, tam zamanlı eğitimden iş gücü piyasasına geçiş, bireyin kök ailesinden bağımsız olarak kendi hedef ailesini kurması ve ebeveynlerinden ayrılarak kendi evinde yaşamaya başlaması yer almaktadır. Bu geçişler, gençliğin dinamik ve değişken bir evre olduğunu ortaya koymaktadır. Aynı zamanda aile kurma ve çalışma sorumluluğu hem hayatta kalma hem de gençlikten yetişkinliğe geçişte yerine getirilmesi gereken temel rollerden biridir. Gençlik, demografik bir grup olarak kabul edilmesine rağmen, tanımı net olmayıp, büyük ölçüde bağlılık ilişkilerine dayalıdır, bu da kavramın belirsizliğini artırmaktadır. Birleşmiş Milletler Eğitim, Bilim ve Kültür Örgütü (UNESCO) ise gençliği, çocukluk döneminin sonunda, bireyin kendi başına hayatını sürdüremediği bir durumdan, yetişkinliğe geçiş süreci olarak tanımlar. Gençlik, sabit bir yaş aralığına dayalı olmaktan ziyade, daha değişken bir kavramdır ve genellikle eğitimle veya istihdam ilişkilendirilerek tanımlanır. Bu bağlamda, "gençlik" çoğunlukla zorunlu eğitimin tamamlanmasıyla iş hayatına başlama yaşları arasındaki dönemi ifade etmektedir. Literatürdeki araştırmalara bakıldığında araştırmalar, genç yetişkinlerin eğitim hayatında mezuniyet sonrası iş bulma ve kendi alanlarında çalışabilme olasılıklarıyla ilgili endişe taşıdığını, bu durumun öğrenme motivasyonlarını ve performanslarını da olumsuz etkileyebileceğini göstermektedir</w:t>
      </w:r>
    </w:p>
    <w:p w14:paraId="0D76A85F" w14:textId="77777777" w:rsidR="007513A1" w:rsidRPr="00DA3117" w:rsidRDefault="007513A1" w:rsidP="007513A1">
      <w:pPr>
        <w:jc w:val="both"/>
      </w:pPr>
    </w:p>
    <w:p w14:paraId="7B84DF7A" w14:textId="5F0C6FC4" w:rsidR="001E7189" w:rsidRPr="00DA3117" w:rsidRDefault="001E7189" w:rsidP="007513A1">
      <w:pPr>
        <w:jc w:val="both"/>
      </w:pPr>
      <w:r w:rsidRPr="00DA3117">
        <w:t xml:space="preserve">(Tektaş, N. 2014).  Ayrıca, genç bireylerin ekonomik olarak ailelerinden bağımsızlaşma çabaları ve toplumsal rollerine uyum sağlama baskısı, kaygıyı derinleştiren unsurlar arasında </w:t>
      </w:r>
      <w:r w:rsidRPr="00DA3117">
        <w:lastRenderedPageBreak/>
        <w:t>yer alır​. Aynı zamanda uzun süreli işsizlik gibi faktörler ise genç yetişkinlerde özgüven kaybına, psikolojik sorunlara ve fiziksel sağlık problemlerine yol açabilir. Bunun yanı sıra, toplumsal statü ve ekonomik beklentilerle ilgili baskılar, bireyin yaşam kalitesini düşürebilir ve sosyal uyumsuzluğa neden olabilir​. Yani işsizlikle ilişkili kaygının bireylerde özgüven kaybı, depresif semptomlar ve stres gibi sonuçlar doğurduğu, bu bulguların literatürdeki diğer araştırmalarla uyumlu olduğu belirtilmiştir. Gelecek kaygısına dair araştırmalar genellikle ekonomik faktörlerin belirleyici bir role sahip olduğunu göstermektedir. Eğitim seviyesi, ekonomik bağımsızlık düzeyi ve sosyal destek sistemi, bireylerin kaygı seviyelerini etkileyen başlıca unsurlardır.</w:t>
      </w:r>
    </w:p>
    <w:p w14:paraId="337E55F0" w14:textId="77777777" w:rsidR="001E7189" w:rsidRPr="00DA3117" w:rsidRDefault="001E7189" w:rsidP="007513A1">
      <w:pPr>
        <w:jc w:val="both"/>
      </w:pPr>
    </w:p>
    <w:p w14:paraId="57E7D163" w14:textId="473C8661" w:rsidR="001E7189" w:rsidRDefault="001E7189" w:rsidP="007513A1">
      <w:pPr>
        <w:jc w:val="both"/>
      </w:pPr>
      <w:r w:rsidRPr="00DA3117">
        <w:t>Bunun yanı sıra genç yetişkinlerde gelecek kaygısının psikososyal faktörler üzerindeki etkilerini inceleyelim</w:t>
      </w:r>
      <w:r w:rsidRPr="00DA3117">
        <w:rPr>
          <w:b/>
        </w:rPr>
        <w:t xml:space="preserve">. </w:t>
      </w:r>
      <w:r w:rsidRPr="00DA3117">
        <w:rPr>
          <w:rStyle w:val="Gl"/>
        </w:rPr>
        <w:t>Psikososyal faktörler</w:t>
      </w:r>
      <w:r w:rsidRPr="00DA3117">
        <w:t xml:space="preserve">, bireyin yaşamı boyunca gelişimini etkileyen psikolojik ve sosyal çevre faktörlerinin bir birleşimidir. Bu faktörler arasında aile yapısı, kişilik özellikleri, eğitim durumu, sosyal destek ağları, iş gücü piyasası gibi unsurlar yer alır. Genç yetişkinlik dönemi, kişilik gelişiminin hızlandığı, kimlik ve değerlerin yeniden şekillendiği, aynı zamanda çevresel etmenlerin de birey üzerinde yoğun etkiler yarattığı bir dönemdir (Schwartz, 2001). Aile yapısı, arkadaş ilişkileri, toplumsal normlar ve ekonomik koşullar, bireylerin bu dönemdeki psikososyal gelişimlerini belirleyici faktörlerdir. Bu dönemde yaşanan psikososyal faktörler, bireylerin </w:t>
      </w:r>
      <w:r w:rsidRPr="00DA3117">
        <w:rPr>
          <w:rStyle w:val="Gl"/>
        </w:rPr>
        <w:t>gelecek kaygısı</w:t>
      </w:r>
      <w:r w:rsidRPr="00DA3117">
        <w:rPr>
          <w:b/>
        </w:rPr>
        <w:t xml:space="preserve">, </w:t>
      </w:r>
      <w:r w:rsidRPr="00DA3117">
        <w:rPr>
          <w:rStyle w:val="Gl"/>
        </w:rPr>
        <w:t>işsizlik korkusu</w:t>
      </w:r>
      <w:r w:rsidRPr="00DA3117">
        <w:rPr>
          <w:b/>
        </w:rPr>
        <w:t xml:space="preserve">, </w:t>
      </w:r>
      <w:r w:rsidRPr="00DA3117">
        <w:rPr>
          <w:rStyle w:val="Gl"/>
        </w:rPr>
        <w:t>mesleki belirsizlikler</w:t>
      </w:r>
      <w:r w:rsidRPr="00DA3117">
        <w:t xml:space="preserve"> gibi olumsuz psikolojik durumları tetikleyebilirken, aynı zamanda kişisel bağımsızlık ve öz-yeterlilik gibi olumlu gelişim süreçlerini de başlatabilir. Aile ve arkadaşlık ilişkilerinin kalitesi, bireylerin duygusal iyilik halleri ve stresle başa çıkma becerileri üzerinde doğrudan etkili olabilir. Ayrıca, bu dönemde kişilik özelliklerinin olgunlaşması, bireylerin sosyal çevrelerinden aldıkları desteği şekillendirerek, yaşam hedeflerini gerçekleştirmelerine yardımcı olabilir. Genç yetişkinlik dönemi ile psikososyal faktörler arasındaki ilişki, aynı zamanda toplumsal ve kültürel bağlamla da şekillenir. Kültürel normlar, genç bireylerin kimlik gelişimini ve toplumsal beklentilerle başa çıkma şekillerini etkileyebilir. Özellikle, ekonomik faktörler ve iş gücü piyasası genç yetişkinlerin yaşam biçimlerini, sosyal rollerini ve geleceğe dair umutlarını etkileyen önemli etmenlerdir. Sonuç olarak, genç yetişkinlik dönemi, bireylerin psikolojik ve sosyal gelişimlerinin birbirini etkileyen çok yönlü bir süreç olduğu bir evredir. Bu dönemdeki psikososyal faktörler, gençlerin sadece bireysel kimliklerini inşa etmelerini değil, aynı zamanda toplumsal rollerini ve gelecek planlarını şekillendirmelerini de etkileyen güçlü bir etkileşim içerisindedir. Literatüre bakıldığında yapılan araştırmalarda gelecek kaygısının ekonomik faktörlerle ilişkisi, genç yetişkinler arasında yaygın bir konu olarak ele alınmıştır. Yapılan araştırmalar, ekonomik belirsizliklerin gelecek kaygısını artıran önemli bir etken olduğunu göstermektedir. Örneğin, Keskin ve </w:t>
      </w:r>
      <w:proofErr w:type="spellStart"/>
      <w:r w:rsidRPr="00DA3117">
        <w:t>Gökçakan</w:t>
      </w:r>
      <w:proofErr w:type="spellEnd"/>
      <w:r w:rsidRPr="00DA3117">
        <w:t xml:space="preserve"> üniversite öğrencilerinin mezuniyet sonrası ekonomik bağımsızlık ve iş bulma konusundaki kaygılarının, ailelerinin ekonomik durumu ile doğrudan ilişkili olduğunu bulmuştur. Benzer şekilde, Pirler, genç yetişkinlerde ekonomik belirsizliklerin ve işsizlikle bağlantılı kaygının daha uzun süreli stres ve psikolojik sorunlar yarattığını belirtmiştir. Bir diğer araştırmada ise aile yapısı ve sosyal destek sistemlerinin genç yetişkinlerde gelecek kaygısını nasıl etkilediği üzerine yapılan araştırmalar, bu iki faktörün bireylerin geleceğe dair beklentileri üzerinde önemli bir etkiye sahip olduğunu ortaya koymuştur. Pirler (2007) tarafından yapılan bir çalışmada, genç yetişkinlerin ailelerinden daha bağımsız hale geldiklerinde ve sosyal destek sistemlerinden yoksun kaldıklarında, geleceğe dair kaygılarının arttığı belirtilmiştir. Özellikle, ekonomik olarak destek sağlayan aile üyelerinin yokluğu veya sınırlı desteği, genç bireylerin gelecekle ilgili endişelerinin artmasına neden olabilmektedir. Toplumsal cinsiyet rollerine göre bakıldığında genç yetişkinlerde gelecek </w:t>
      </w:r>
      <w:r w:rsidRPr="00DA3117">
        <w:lastRenderedPageBreak/>
        <w:t>kaygısının, toplumsal cinsiyet rollerinden nasıl etkilendiği üzerine yapılan çalışmalar, erkeklerin ve kadınların geleceğe dair beklentilerinin farklı olabileceğini göstermektedir. Özellikle iş ve kariyer odaklı hedefler, kadınlar arasında ekonomik bağımsızlık ve iş gücüne katılma oranlarının artmasına rağmen, erkekler arasında daha geleneksel beklentiler doğrultusunda şekillenmiştir. Genç kadınların aile ve kariyer arasında daha dengeleyici bir yol bulmaya çalışırken yaşadığı kaygılar, erkeklerin iş ve kariyer beklentileriyle kıyaslandığında daha fazla olabilmektedir (Özdemir, 2019). Özsaygı, bireylerin kendilerine yönelik değerlendirmeleri ve benlik saygılarının bir göstergesidir. Yüksek özsaygı, genellikle düşük gelecek kaygısı ile ilişkilendirilirken, düşük özsaygı geleceğe dair belirsizlikleri ve kaygıları artırabilir. Özsaygı ile gelecek kaygısı arasındaki ilişkiyi inceleyen çalışmalarda, düşük özsaygıya sahip bireylerin gelecekle ilgili daha fazla endişe duydukları ve bu durumun depresyon gibi olumsuz psikolojik sonuçlara yol açabileceği bulunmuştur (Çakmak, B., 2015). Özsaygı eksikliği, bireylerin gelecekteki hedeflerine ulaşma konusunda kendilerine olan güvenlerini sarsar ve bu da kaygı seviyelerini yükseltir (Barış, 2018). Bir diğer psikososyal faktör olan stres, genç yetişkinlerin gelecekle ilgili kaygılarını artıran bir başka önemli faktördür. Çalışmalar, stresin bireylerin hayatlarında belirsizlik yarattığını ve bu belirsizliğin gelecekle ilgili kaygı seviyelerini artırdığını göstermektedir (Tahir, 2017). Eğitim, iş bulma kaygıları ve ailevi sorumluluklar gibi çeşitli stres kaynakları, gençlerin gelecekteki yaşamları hakkında endişe duymalarına neden olabilir. Uzun süreli stres, psikolojik sağlık üzerinde de olumsuz etkiler yaratır ve kaygı bozuklukları gibi daha ciddi problemlere yol açabilir (Karakaş, 2020). Günümüzde en çok yaygın olan depresyon, genellikle geleceğe dair umutsuzluk ve belirsizlik ile ilişkilendirilir. Depresif belirtiler, genç yetişkinlerin gelecekteki başarıları hakkında olumsuz düşünceler geliştirmelerine ve bu nedenle daha fazla kaygı duymalarına yol açabilir. Yapılan araştırmalar, depresyonun genç yetişkinlerin gelecekteki hedeflerine ulaşma konusunda karamsar bir bakış açısı geliştirmelerine neden olduğunu ortaya koymuştur (Erdem, 2016). Depresyon, ayrıca sosyal izolasyon ve yalnızlık gibi diğer psikolojik faktörlerle de bağlantılıdır. Psikososyal faktörlerden olan yalnızlık genç yetişkinlerde sıkça görülen ve gelecek kaygısını artıran psikolojik faktörlerden biridir. Yalnızlık, bireylerin sosyal bağlarını zayıflatır ve onları duygusal olarak izole eder. Bu izolasyon, gençlerin geleceğe dair kaygılarını artırabilir çünkü bireyler destek almadıklarında geleceğe dair belirsizlikleri daha zor başa çıkılabilir hale gelir. Araştırmalar, yalnızlık ile gelecek kaygısı arasındaki güçlü ilişkiyi ortaya koymaktadır (Özdemir ve Tatar, 2019). Yalnızlık, ayrıca depresyon, stres ve özsaygı eksiklikleriyle de ilişkili olduğu için bu faktörlerin birbirini pekiştiren bir etkisi vardır.</w:t>
      </w:r>
    </w:p>
    <w:p w14:paraId="1BB2233E" w14:textId="77777777" w:rsidR="00114C6B" w:rsidRPr="00DA3117" w:rsidRDefault="00114C6B" w:rsidP="007513A1">
      <w:pPr>
        <w:jc w:val="both"/>
      </w:pPr>
    </w:p>
    <w:p w14:paraId="29679DCE" w14:textId="1BFEC423" w:rsidR="001E7189" w:rsidRPr="00DA3117" w:rsidRDefault="001E7189" w:rsidP="007513A1">
      <w:pPr>
        <w:rPr>
          <w:b/>
        </w:rPr>
      </w:pPr>
      <w:r w:rsidRPr="00DA3117">
        <w:rPr>
          <w:b/>
        </w:rPr>
        <w:t>Tartışma ve Sonuç</w:t>
      </w:r>
    </w:p>
    <w:p w14:paraId="071D9DB7" w14:textId="77777777" w:rsidR="001E7189" w:rsidRDefault="001E7189" w:rsidP="007513A1">
      <w:pPr>
        <w:jc w:val="both"/>
      </w:pPr>
      <w:r w:rsidRPr="00DA3117">
        <w:t xml:space="preserve">Genç yetişkinlerde geleceğe dair kaygı, çeşitli psikososyal faktörlerle şekillenmektedir. Literatürdeki bulgular, ekonomik belirsizliklerin, işsizlik oranlarının, aile desteğinin, toplumsal cinsiyet rollerinin ve eğitim sürecinin gençlerin gelecek kaygıları üzerinde önemli etkiler yarattığını ortaya koymaktadır. Yapılan araştırmalarda literatürde genelde üniversite son sınıf öğrencileri veya mezunlar ile ilgili araştırmalar daha fazladır. Bu araştırmalara bakıldığında örneğin bir araştırmada 420 üniversite öğrencisi incelenmiş, öğrencilerin %68’nin mezuniyet sonrası iş bulma konusunda ciddi endişeler taşıdığı bulunmuştur. Ayrıca, öğrenciler arasında gelecek kaygısı düzeyinin, ailelerinin ekonomik durumuna bağlı olarak değiştiği tespit edilmiştir​ (Keskin ve </w:t>
      </w:r>
      <w:proofErr w:type="spellStart"/>
      <w:r w:rsidRPr="00DA3117">
        <w:t>Gökçakan</w:t>
      </w:r>
      <w:proofErr w:type="spellEnd"/>
      <w:r w:rsidRPr="00DA3117">
        <w:t xml:space="preserve">, 2023). Bir başka çalışmada 300 genç yetişkin incelenmiş ve işsizlikle bağlantılı kaygının, bireylerin psikolojik iyi oluşunu olumsuz etkilediği sonucuna varılmıştır. Özellikle uzun süreli işsizlik yaşayan bireylerin kaygı düzeyi diğer gruplara göre çok daha yüksek bulunmuştur (Yılmaz ve </w:t>
      </w:r>
      <w:proofErr w:type="spellStart"/>
      <w:r w:rsidRPr="00DA3117">
        <w:t>diğ</w:t>
      </w:r>
      <w:proofErr w:type="spellEnd"/>
      <w:r w:rsidRPr="00DA3117">
        <w:t xml:space="preserve">., 2004). Yavuzer ve arkadaşlarının (2005) </w:t>
      </w:r>
      <w:r w:rsidRPr="00DA3117">
        <w:lastRenderedPageBreak/>
        <w:t xml:space="preserve">araştırmasına göre, lise ve üniversite öğrencilerinin gelecekle ilgili beklentileri; mesleki başarı, mutlu bir evlilik, ekonomik kazanç ve toplumsal saygınlık gibi alanlarda yoğunlaşmaktadır. Yapılan araştırmada 482 üniversite öğrencisinin </w:t>
      </w:r>
      <w:proofErr w:type="gramStart"/>
      <w:r w:rsidRPr="00DA3117">
        <w:t>%82.7</w:t>
      </w:r>
      <w:proofErr w:type="gramEnd"/>
      <w:r w:rsidRPr="00DA3117">
        <w:t>’si sevilen bir meslek yapmak, %52.2’si ekonomik kazanç sağlamak, %43.9’u mutlu bir evlilik kurmak istediklerini belirtmiştir. Ancak %60’tan fazlası bu hedeflerini gerçekleştirme konusunda umutsuz ve kaygılı olduklarını ifade etmiştir. Yüksek orandaki mesleki ve ekonomik hedeflere rağmen, gençlerin umutsuzluğu gelecek kaygısının yaygın olduğunu göstermiştir. Tezcan'ın (2018) Akdeniz Üniversitesi Edebiyat Fakültesi 350 kişilik öğrenci katılımı ile yaptığı çalışmada, gençlerin meslek seçimi ve gelecek beklentileri incelenmiştir. Araştırmaya katılan öğrencilerin %68’i meslek seçimlerinde çevresel baskıların etkili olduğunu belirtmiş, bu durumun yaşam memnuniyeti üzerinde negatif bir etkisi olduğu görülmüştür. Aynı zamanda tercih ettikleri bölümleri genellikle aile veya çevresel faktörler nedeniyle seçtiklerini ifade etmişlerdir. Ayrıca, kendi tercihlerine dayalı bir seçim yapamamanın gençlerin geleceğe dair beklentilerini olumsuz etkilediği ve yaşam memnuniyetlerini azalttığı belirlenmiştir. Araştırma sonuçları, öğrencilerin birçoğunun geleceğe yönelik kaygı taşıdığını ve bu kaygının mesleki kariyer seçimlerini şekillendirdiğini göstermektedir (Tezcan, 2018). Alan yazıdaki bir diğer araştırmacı Korkut ve ark., (2021) çalışmasında 600 genç yetişkinin katılımıyla yapılan araştırmada, katılımcıların %74’ü sosyal destek eksikliğinin gelecek kaygılarını artırdığını belirtmiştir. Ayrıca, psikolojik dayanıklılığı yüksek olan bireylerde kaygı düzeyinin daha düşük olduğu tespit edilmiştir. Bu bulgular, psikososyal destek mekanizmalarının gençlerin geleceğe yönelik olumlu tutum geliştirmelerine yardımcı olduğunu ortaya koymuştur (Korkut F., ve ark., 2021). Araştırmalardan Şanlı ve Saraçlı (2014) tarafından yapılan bir diğer çalışmada, 402 üniversite öğrencisinin katılımıyla, katılımcıların %70’i kişilik özelliklerinin gelecek beklentileri üzerinde pozitif bir etkisi olduğunu ifade etmiştir. Çalışma, psikolojik faktörlerin ekonomik kaygılar ve mesleki hedefler üzerindeki etkisinin literatürde güçlü bir bağlantı olarak tespit edilmiştir (Şanlı ve Saraçlı, 2014).</w:t>
      </w:r>
    </w:p>
    <w:p w14:paraId="56BB7027" w14:textId="77777777" w:rsidR="007513A1" w:rsidRPr="00DA3117" w:rsidRDefault="007513A1" w:rsidP="007513A1">
      <w:pPr>
        <w:jc w:val="both"/>
      </w:pPr>
    </w:p>
    <w:p w14:paraId="16381999" w14:textId="77777777" w:rsidR="001E7189" w:rsidRDefault="001E7189" w:rsidP="007513A1">
      <w:pPr>
        <w:jc w:val="both"/>
      </w:pPr>
      <w:r w:rsidRPr="00DA3117">
        <w:t>Literatürdeki farklı çalışmaların ortak bulgusu, genç yetişkinlerdeki gelecek kaygısının genellikle bireyin kontrol edemediği dış faktörlerden (işsizlik, ekonomik belirsizlikler) kaynaklandığı yönündedir. Bununla birlikte, bireysel baş etme mekanizmaları (destekleyici sosyal ağlar, öz yeterlik duygusu) ve psikolojik dayanıklılık, bu kaygının yönetiminde belirleyici rol oynamaktadır (Yıldız ve Koçyiğit, 2023). Bu psikososyal faktörler arasında özellikle işsizlik, ekonomik bağımsızlık arzusu ve aile desteğinin eksikliği, gençlerin gelecekle ilgili kaygılarının artmasına neden olmaktadır. Birçok araştırma, işsizlik ile gençlerin geleceğe dair kaygı düzeylerinin paralel bir şekilde arttığını belirtmektedir (Yılmaz ve ark., 2004). İşsizlik hem maddi hem de psikolojik anlamda genç yetişkinlerde önemli bir stres kaynağıdır ve genellikle düşük özsaygı, depresyon ve anksiyete gibi psikolojik bozukluklara yol açmaktadır. Bu noktada, işsizlikle karşılaşan bireylerin psikolojik sağlıklarının bozulması, geleceğe dair kaygılarının arttığını ve bu kaygıların fiziksel sağlık üzerinde de olumsuz etkiler yaratabileceğini gösteren pek çok çalışma mevcuttur. Aile yapısı ve sosyal destek de bu kaygının şekillenmesinde kritik bir rol oynamaktadır. Özellikle gençlerin ailelerinden bağımsızlaşma süreci ve bu süreçte yalnız kalmaları, geleceğe dair belirsizliklerini artırmaktadır. Aile desteği, gençlerin kariyer planlaması ve iş bulma süreçlerinde onlara psikolojik bir güvence sağlayarak kaygılarını hafifletebilir. Ancak, aile desteği ve sosyal bağlantıların eksikliği, kaygıyı artıran bir diğer önemli faktördür (</w:t>
      </w:r>
      <w:r w:rsidRPr="00DA3117">
        <w:rPr>
          <w:bCs/>
        </w:rPr>
        <w:t>Gönül,</w:t>
      </w:r>
      <w:r w:rsidRPr="00DA3117">
        <w:t xml:space="preserve"> 2008).  Eğitim süreci de genç yetişkinlerin gelecek kaygısına etki eden bir başka faktördür. Üniversite eğitimi, bir yandan gelecekteki kariyer hedeflerinin şekillenmesine yardımcı olurken, diğer yandan </w:t>
      </w:r>
      <w:r w:rsidRPr="00DA3117">
        <w:lastRenderedPageBreak/>
        <w:t xml:space="preserve">öğrencilerin mezuniyet sonrası iş bulma konusunda yaşadıkları belirsizlikler ve ekonomik baskılar nedeniyle kaygıyı artırmaktadır. Eğitim sürecinin bireylere gelecek kaygısını azaltmaya yönelik yeterli beceriler kazandırmaması, gençlerin iş gücüne katılımı ve kariyer gelişimleri konusunda zorluk yaşamalarına neden olmaktadır (Keskin ve </w:t>
      </w:r>
      <w:proofErr w:type="spellStart"/>
      <w:r w:rsidRPr="00DA3117">
        <w:t>Gökçakan</w:t>
      </w:r>
      <w:proofErr w:type="spellEnd"/>
      <w:r w:rsidRPr="00DA3117">
        <w:t>, 2023). Ayrıca, toplumsal cinsiyet rollerinin etkisi de dikkate değerdir. Özellikle kadın genç yetişkinlerin, kariyer ve aile yaşamı arasında denge kurma çabası, erkeklerden farklı olarak daha fazla kaygıya yol açmaktadır. Kadınlar, toplumsal beklentiler doğrultusunda hem ailevi sorumlulukları hem de kariyer hedeflerini eş zamanlı olarak yönetmeye çalışırken, daha fazla stres ve kaygı ile karşılaşmaktadır (Özdemir, 2019).</w:t>
      </w:r>
    </w:p>
    <w:p w14:paraId="466E86BD" w14:textId="77777777" w:rsidR="007513A1" w:rsidRPr="00DA3117" w:rsidRDefault="007513A1" w:rsidP="007513A1">
      <w:pPr>
        <w:jc w:val="both"/>
      </w:pPr>
    </w:p>
    <w:p w14:paraId="013ACB31" w14:textId="77777777" w:rsidR="001E7189" w:rsidRDefault="001E7189" w:rsidP="007513A1">
      <w:pPr>
        <w:jc w:val="both"/>
        <w:rPr>
          <w:color w:val="000000" w:themeColor="text1"/>
        </w:rPr>
      </w:pPr>
      <w:r w:rsidRPr="00DA3117">
        <w:t xml:space="preserve">Özsaygı, stres, depresyon ve yalnızlık gibi psikolojik faktörlerin gelecekle ilgili kaygı üzerinde güçlü etkiler yarattığı, mevcut literatürde yaygın olarak kabul edilmektedir. Depresyon ve yalnızlık da bu kaygıyı pekiştiren faktörler arasında yer almaktadır. Ancak, bu faktörlerin etkisi kültürel ve bireysel farklılıklara göre değişkenlik gösterebilir. </w:t>
      </w:r>
      <w:r w:rsidRPr="00DA3117">
        <w:rPr>
          <w:color w:val="000000" w:themeColor="text1"/>
        </w:rPr>
        <w:t>Genç yetişkinlik dönemi boyunca bireylerin geleceğe dair kaygılarının yoğunlaşması, toplumun gelecekteki yapısını da doğrudan etkilemektedir. Bu bağlamda, gençlerin kaygılarını azaltmaya yönelik sosyal ve psikolojik destek mekanizmalarının geliştirilmesi, toplum sağlığı açısından önemli bir rol oynayabilir. Çeşitli sosyal faktörlerin psikolojik özelliklerle birleşerek gençlerin gelecek kaygısını nasıl şekillendirdiğini ortaya koymak, gelecek odaklı kaygıları azaltacak önleyici stratejilerin geliştirilmesine de katkı sağlayacaktır.</w:t>
      </w:r>
    </w:p>
    <w:p w14:paraId="73D10380" w14:textId="77777777" w:rsidR="007513A1" w:rsidRPr="00DA3117" w:rsidRDefault="007513A1" w:rsidP="007513A1">
      <w:pPr>
        <w:jc w:val="both"/>
      </w:pPr>
    </w:p>
    <w:p w14:paraId="684D37B2" w14:textId="2D5D8371" w:rsidR="001E7189" w:rsidRPr="00DA3117" w:rsidRDefault="001E7189" w:rsidP="007513A1">
      <w:pPr>
        <w:jc w:val="both"/>
      </w:pPr>
      <w:r w:rsidRPr="00DA3117">
        <w:t>Sonuç olarak, genç yetişkinlerde gelecek kaygısı, birden çok psikososyal faktörün etkileşimi sonucu ortaya çıkmaktadır. Bu faktörler arasında ekonomik belirsizlikler, işsizlik, aile desteği eksikliği, eğitim süreci ve toplumsal cinsiyet rolleri gibi unsurlar önemli bir yer tutmaktadır. Bu kaygıları yönetmek ve azaltmak için gençlere yönelik psikososyal destek programlarının güçlendirilmesi, iş gücü piyasasıyla ilgili daha fazla fırsatın sunulması ve aile desteği sistemlerinin desteklenmesi gerekmektedir. Ayrıca, eğitim sisteminin öğrencileri gelecek kaygısıyla başa çıkabilmek için daha iyi bir şekilde hazırlaması önemlidir.</w:t>
      </w:r>
    </w:p>
    <w:p w14:paraId="755E9907" w14:textId="77777777" w:rsidR="001E7189" w:rsidRPr="00DA3117" w:rsidRDefault="001E7189" w:rsidP="007513A1">
      <w:pPr>
        <w:rPr>
          <w:b/>
        </w:rPr>
      </w:pPr>
    </w:p>
    <w:p w14:paraId="294159D4" w14:textId="51FE665A" w:rsidR="001E7189" w:rsidRPr="00DA3117" w:rsidRDefault="001E7189" w:rsidP="007513A1">
      <w:pPr>
        <w:rPr>
          <w:b/>
        </w:rPr>
      </w:pPr>
      <w:r w:rsidRPr="00DA3117">
        <w:rPr>
          <w:b/>
        </w:rPr>
        <w:t>Gelecek Araştırmalar için Öneriler</w:t>
      </w:r>
    </w:p>
    <w:p w14:paraId="0289F69D" w14:textId="7788589E" w:rsidR="001E7189" w:rsidRPr="006871AB" w:rsidRDefault="001E7189" w:rsidP="007513A1">
      <w:pPr>
        <w:jc w:val="both"/>
        <w:rPr>
          <w:b/>
        </w:rPr>
      </w:pPr>
      <w:r w:rsidRPr="00DA3117">
        <w:t xml:space="preserve">Mevcut literatür, genç yetişkinlerdeki gelecek kaygısının psikososyal faktörlerle ilişkisini anlamada önemli bir temel oluşturmuş olsa da birkaç önemli eksiklik bulunmaktadır. İlk olarak, mevcut araştırmalar çoğunlukla işsizlik, ekonomik kaygılar ve aile desteği gibi faktörlere odaklanırken, kültürel ve coğrafi farklılıkların bu kaygıların nasıl şekillendiği üzerinde daha fazla durulması gerekmektedir. Örneğin, farklı kültürlerde gençlerin geleceğe dair kaygıları nasıl şekilleniyor? Aynı şekilde, gelişmekte olan ülkelerdeki genç yetişkinlerin yaşadığı kaygılar, gelişmiş ülkelerdeki gençlerden ne şekilde farklılık göstermektedir? Bir diğer eksiklik, toplumsal cinsiyet rollerinin gelecekteki kaygıyı nasıl şekillendirdiğine dair daha kapsamlı çalışmaların olmamasıdır. Kadınların ve erkeklerin gelecek kaygılarını etkileyen psikososyal faktörlerin daha derinlemesine incelenmesi, toplumsal eşitsizliklerin nasıl kaygıyı artırabileceği hakkında daha fazla bilgi sağlayabilir. Birçok araştırma, genç yetişkinlerin geleceğe yönelik kaygılarını azaltmak için psikolojik dayanıklılıklarının ve sosyal desteklerinin artırılmasının önemini vurgulamaktadır. Bu bulgular, gençlerin psikolojik dayanıklılıklarını geliştiren programların ve sosyal destek mekanizmalarının kaygıyı azaltma üzerindeki etkilerini daha iyi anlamamıza katkı sağlamaktadır. Aynı zamanda buna aile yapısının ve ekonomik bağımsızlığın, bireylerin gelecek kaygılarını şekillendirmede ne kadar önemli bir rol oynadığını gösteren çalışmalar, aile içi ilişkilerin ve ekonomik güvencenin psikolojik gelişim üzerindeki </w:t>
      </w:r>
      <w:r w:rsidRPr="00DA3117">
        <w:lastRenderedPageBreak/>
        <w:t>etkileri de dahildir. Bu da aile dinamiklerinin güçlendirilmesine yönelik stratejilerin geliştirilmesine katkı sağlamaktadır. Mevcut literatür, genç yetişkinlerin gelecek kaygısını açıklamak için çeşitli psikososyal faktörleri ele almakta, ancak bazı alanlarda daha fazla araştırma yapılması gerekmektedir. Örneğin çoğu mevcut araştırma, kesitsel veri kullanmaktadır. Ancak, genç yetişkinlerin gelişimsel süreçlerini uzun bir süre boyunca takip eden çalışmalara ihtiyaç vardır. Uzunlamasına araştırmalar, gelecek kaygısının zamanla nasıl evrildiğini, hangi faktörlerin kaygı düzeylerini daha uzun süreli etkileyebileceğini ortaya koyabilir. Son olarak, gelecekteki araştırmalarda gençlerin geleceğe yönelik kaygılarını etkileyen dijital faktörler de incelenmelidir. Teknolojik gelişmelerin ve dijital dünyanın genç yetişkinlerin kaygıları üzerindeki etkisi henüz tam olarak keşfedilmemiştir. Özellikle sosyal medya ve dijital iletişim araçlarının, gençlerin gelecekle ilgili beklentilerini nasıl şekillendirdiği konusunda daha fazla araştırma yapılması önemlidir. Buna ek olarak kişilik özellikleri, öz-yeterlilik, stresle başa çıkma tarzları gibi bireysel psikolojik faktörlerin gelecek kaygısındaki rolü daha detaylı bir şekilde araştırılmalıdır. Bu alanlarda yapılacak daha fazla araştırma, psikososyal destek hizmetlerinin etkinliğini artırarak gençlerin geleceğe yönelik daha sağlıklı bir tutum geliştirmelerine yardımcı olacaktır.</w:t>
      </w:r>
    </w:p>
    <w:p w14:paraId="01C6A208" w14:textId="77777777" w:rsidR="001E7189" w:rsidRPr="00DA3117" w:rsidRDefault="001E7189" w:rsidP="007513A1">
      <w:pPr>
        <w:jc w:val="both"/>
        <w:rPr>
          <w:b/>
          <w:bCs/>
        </w:rPr>
      </w:pPr>
    </w:p>
    <w:p w14:paraId="3C42BAD7" w14:textId="77777777" w:rsidR="001E7189" w:rsidRPr="00DA3117" w:rsidRDefault="001E7189" w:rsidP="007513A1">
      <w:pPr>
        <w:rPr>
          <w:b/>
          <w:lang w:bidi="tr-TR"/>
        </w:rPr>
      </w:pPr>
      <w:r w:rsidRPr="00DA3117">
        <w:rPr>
          <w:b/>
          <w:lang w:bidi="tr-TR"/>
        </w:rPr>
        <w:t>KAYNAKLAR</w:t>
      </w:r>
    </w:p>
    <w:p w14:paraId="6706A1D7" w14:textId="77777777" w:rsidR="001E7189" w:rsidRPr="00DA3117" w:rsidRDefault="001E7189">
      <w:pPr>
        <w:pStyle w:val="ListeParagraf"/>
        <w:numPr>
          <w:ilvl w:val="0"/>
          <w:numId w:val="46"/>
        </w:numPr>
        <w:jc w:val="both"/>
      </w:pPr>
      <w:proofErr w:type="spellStart"/>
      <w:r w:rsidRPr="00DA3117">
        <w:t>American</w:t>
      </w:r>
      <w:proofErr w:type="spellEnd"/>
      <w:r w:rsidRPr="00DA3117">
        <w:t xml:space="preserve"> </w:t>
      </w:r>
      <w:proofErr w:type="spellStart"/>
      <w:r w:rsidRPr="00DA3117">
        <w:t>Psychiatric</w:t>
      </w:r>
      <w:proofErr w:type="spellEnd"/>
      <w:r w:rsidRPr="00DA3117">
        <w:t xml:space="preserve"> </w:t>
      </w:r>
      <w:proofErr w:type="spellStart"/>
      <w:r w:rsidRPr="00DA3117">
        <w:t>Association</w:t>
      </w:r>
      <w:proofErr w:type="spellEnd"/>
      <w:r w:rsidRPr="00DA3117">
        <w:t xml:space="preserve"> (2013). </w:t>
      </w:r>
      <w:proofErr w:type="spellStart"/>
      <w:r w:rsidRPr="00114C6B">
        <w:rPr>
          <w:i/>
          <w:iCs/>
        </w:rPr>
        <w:t>Diagnostic</w:t>
      </w:r>
      <w:proofErr w:type="spellEnd"/>
      <w:r w:rsidRPr="00114C6B">
        <w:rPr>
          <w:i/>
          <w:iCs/>
        </w:rPr>
        <w:t xml:space="preserve"> </w:t>
      </w:r>
      <w:proofErr w:type="spellStart"/>
      <w:r w:rsidRPr="00114C6B">
        <w:rPr>
          <w:i/>
          <w:iCs/>
        </w:rPr>
        <w:t>and</w:t>
      </w:r>
      <w:proofErr w:type="spellEnd"/>
      <w:r w:rsidRPr="00114C6B">
        <w:rPr>
          <w:i/>
          <w:iCs/>
        </w:rPr>
        <w:t xml:space="preserve"> </w:t>
      </w:r>
      <w:proofErr w:type="spellStart"/>
      <w:r w:rsidRPr="00114C6B">
        <w:rPr>
          <w:i/>
          <w:iCs/>
        </w:rPr>
        <w:t>statistical</w:t>
      </w:r>
      <w:proofErr w:type="spellEnd"/>
      <w:r w:rsidRPr="00114C6B">
        <w:rPr>
          <w:i/>
          <w:iCs/>
        </w:rPr>
        <w:t xml:space="preserve"> </w:t>
      </w:r>
      <w:proofErr w:type="spellStart"/>
      <w:r w:rsidRPr="00114C6B">
        <w:rPr>
          <w:i/>
          <w:iCs/>
        </w:rPr>
        <w:t>manual</w:t>
      </w:r>
      <w:proofErr w:type="spellEnd"/>
      <w:r w:rsidRPr="00114C6B">
        <w:rPr>
          <w:i/>
          <w:iCs/>
        </w:rPr>
        <w:t xml:space="preserve"> of </w:t>
      </w:r>
      <w:proofErr w:type="spellStart"/>
      <w:r w:rsidRPr="00114C6B">
        <w:rPr>
          <w:i/>
          <w:iCs/>
        </w:rPr>
        <w:t>mental</w:t>
      </w:r>
      <w:proofErr w:type="spellEnd"/>
      <w:r w:rsidRPr="00114C6B">
        <w:rPr>
          <w:i/>
          <w:iCs/>
        </w:rPr>
        <w:t xml:space="preserve">    </w:t>
      </w:r>
      <w:proofErr w:type="spellStart"/>
      <w:r w:rsidRPr="00114C6B">
        <w:rPr>
          <w:i/>
          <w:iCs/>
        </w:rPr>
        <w:t>disorders</w:t>
      </w:r>
      <w:proofErr w:type="spellEnd"/>
      <w:r w:rsidRPr="00114C6B">
        <w:rPr>
          <w:i/>
          <w:iCs/>
        </w:rPr>
        <w:t xml:space="preserve"> (DSM-5)</w:t>
      </w:r>
      <w:r w:rsidRPr="00DA3117">
        <w:t xml:space="preserve">. </w:t>
      </w:r>
      <w:proofErr w:type="spellStart"/>
      <w:r w:rsidRPr="00DA3117">
        <w:t>American</w:t>
      </w:r>
      <w:proofErr w:type="spellEnd"/>
      <w:r w:rsidRPr="00DA3117">
        <w:t xml:space="preserve"> </w:t>
      </w:r>
      <w:proofErr w:type="spellStart"/>
      <w:r w:rsidRPr="00DA3117">
        <w:t>Psychiatric</w:t>
      </w:r>
      <w:proofErr w:type="spellEnd"/>
      <w:r w:rsidRPr="00DA3117">
        <w:t xml:space="preserve"> </w:t>
      </w:r>
      <w:proofErr w:type="spellStart"/>
      <w:r w:rsidRPr="00DA3117">
        <w:t>Pub</w:t>
      </w:r>
      <w:proofErr w:type="spellEnd"/>
      <w:r w:rsidRPr="00DA3117">
        <w:t>.</w:t>
      </w:r>
    </w:p>
    <w:p w14:paraId="047BA234" w14:textId="77777777" w:rsidR="001E7189" w:rsidRPr="00DA3117" w:rsidRDefault="001E7189">
      <w:pPr>
        <w:pStyle w:val="ListeParagraf"/>
        <w:numPr>
          <w:ilvl w:val="0"/>
          <w:numId w:val="46"/>
        </w:numPr>
        <w:jc w:val="both"/>
      </w:pPr>
      <w:r w:rsidRPr="00DA3117">
        <w:t xml:space="preserve">Barış, E. (2018). </w:t>
      </w:r>
      <w:r w:rsidRPr="00DA3117">
        <w:rPr>
          <w:rStyle w:val="Vurgu"/>
        </w:rPr>
        <w:t xml:space="preserve">Özsaygı ve geleceğe yönelik kaygı arasındaki ilişki. </w:t>
      </w:r>
      <w:r w:rsidRPr="00114C6B">
        <w:rPr>
          <w:i/>
          <w:iCs/>
        </w:rPr>
        <w:t>Psikoloji Araştırmaları Dergisi, 6</w:t>
      </w:r>
      <w:r w:rsidRPr="00DA3117">
        <w:t>(2), 102-110.</w:t>
      </w:r>
    </w:p>
    <w:p w14:paraId="160A6A5A" w14:textId="77777777" w:rsidR="001E7189" w:rsidRPr="00DA3117" w:rsidRDefault="001E7189">
      <w:pPr>
        <w:pStyle w:val="ListeParagraf"/>
        <w:numPr>
          <w:ilvl w:val="0"/>
          <w:numId w:val="46"/>
        </w:numPr>
        <w:jc w:val="both"/>
      </w:pPr>
      <w:r w:rsidRPr="00DA3117">
        <w:t xml:space="preserve">Beck, A. T. (1976). </w:t>
      </w:r>
      <w:proofErr w:type="spellStart"/>
      <w:r w:rsidRPr="00114C6B">
        <w:rPr>
          <w:i/>
          <w:iCs/>
        </w:rPr>
        <w:t>Cognitive</w:t>
      </w:r>
      <w:proofErr w:type="spellEnd"/>
      <w:r w:rsidRPr="00114C6B">
        <w:rPr>
          <w:i/>
          <w:iCs/>
        </w:rPr>
        <w:t xml:space="preserve"> </w:t>
      </w:r>
      <w:proofErr w:type="spellStart"/>
      <w:r w:rsidRPr="00114C6B">
        <w:rPr>
          <w:i/>
          <w:iCs/>
        </w:rPr>
        <w:t>therapy</w:t>
      </w:r>
      <w:proofErr w:type="spellEnd"/>
      <w:r w:rsidRPr="00114C6B">
        <w:rPr>
          <w:i/>
          <w:iCs/>
        </w:rPr>
        <w:t xml:space="preserve"> </w:t>
      </w:r>
      <w:proofErr w:type="spellStart"/>
      <w:r w:rsidRPr="00114C6B">
        <w:rPr>
          <w:i/>
          <w:iCs/>
        </w:rPr>
        <w:t>and</w:t>
      </w:r>
      <w:proofErr w:type="spellEnd"/>
      <w:r w:rsidRPr="00114C6B">
        <w:rPr>
          <w:i/>
          <w:iCs/>
        </w:rPr>
        <w:t xml:space="preserve"> </w:t>
      </w:r>
      <w:proofErr w:type="spellStart"/>
      <w:r w:rsidRPr="00114C6B">
        <w:rPr>
          <w:i/>
          <w:iCs/>
        </w:rPr>
        <w:t>the</w:t>
      </w:r>
      <w:proofErr w:type="spellEnd"/>
      <w:r w:rsidRPr="00114C6B">
        <w:rPr>
          <w:i/>
          <w:iCs/>
        </w:rPr>
        <w:t xml:space="preserve"> </w:t>
      </w:r>
      <w:proofErr w:type="spellStart"/>
      <w:r w:rsidRPr="00114C6B">
        <w:rPr>
          <w:i/>
          <w:iCs/>
        </w:rPr>
        <w:t>emotional</w:t>
      </w:r>
      <w:proofErr w:type="spellEnd"/>
      <w:r w:rsidRPr="00114C6B">
        <w:rPr>
          <w:i/>
          <w:iCs/>
        </w:rPr>
        <w:t xml:space="preserve"> </w:t>
      </w:r>
      <w:proofErr w:type="spellStart"/>
      <w:r w:rsidRPr="00114C6B">
        <w:rPr>
          <w:i/>
          <w:iCs/>
        </w:rPr>
        <w:t>disorders</w:t>
      </w:r>
      <w:proofErr w:type="spellEnd"/>
      <w:r w:rsidRPr="00DA3117">
        <w:t xml:space="preserve">. International </w:t>
      </w:r>
      <w:proofErr w:type="spellStart"/>
      <w:r w:rsidRPr="00DA3117">
        <w:t>Universities</w:t>
      </w:r>
      <w:proofErr w:type="spellEnd"/>
      <w:r w:rsidRPr="00DA3117">
        <w:t xml:space="preserve"> </w:t>
      </w:r>
      <w:proofErr w:type="spellStart"/>
      <w:r w:rsidRPr="00DA3117">
        <w:t>Press</w:t>
      </w:r>
      <w:proofErr w:type="spellEnd"/>
    </w:p>
    <w:p w14:paraId="289EC0C9" w14:textId="77777777" w:rsidR="001E7189" w:rsidRPr="00DA3117" w:rsidRDefault="001E7189">
      <w:pPr>
        <w:pStyle w:val="ListeParagraf"/>
        <w:numPr>
          <w:ilvl w:val="0"/>
          <w:numId w:val="46"/>
        </w:numPr>
        <w:jc w:val="both"/>
      </w:pPr>
      <w:r w:rsidRPr="00DA3117">
        <w:t xml:space="preserve">Carta, M. G., </w:t>
      </w:r>
      <w:proofErr w:type="spellStart"/>
      <w:r w:rsidRPr="00DA3117">
        <w:t>Hardoy</w:t>
      </w:r>
      <w:proofErr w:type="spellEnd"/>
      <w:r w:rsidRPr="00DA3117">
        <w:t xml:space="preserve">, M. C., </w:t>
      </w:r>
      <w:proofErr w:type="spellStart"/>
      <w:r w:rsidRPr="00DA3117">
        <w:t>Cadeddu</w:t>
      </w:r>
      <w:proofErr w:type="spellEnd"/>
      <w:r w:rsidRPr="00DA3117">
        <w:t xml:space="preserve">, M., </w:t>
      </w:r>
      <w:proofErr w:type="spellStart"/>
      <w:r w:rsidRPr="00DA3117">
        <w:t>Carpiniello</w:t>
      </w:r>
      <w:proofErr w:type="spellEnd"/>
      <w:r w:rsidRPr="00DA3117">
        <w:t xml:space="preserve">, B., </w:t>
      </w:r>
      <w:proofErr w:type="spellStart"/>
      <w:r w:rsidRPr="00DA3117">
        <w:t>Dell'Osso</w:t>
      </w:r>
      <w:proofErr w:type="spellEnd"/>
      <w:r w:rsidRPr="00DA3117">
        <w:t xml:space="preserve">, L., </w:t>
      </w:r>
      <w:proofErr w:type="spellStart"/>
      <w:r w:rsidRPr="00DA3117">
        <w:t>Reda</w:t>
      </w:r>
      <w:proofErr w:type="spellEnd"/>
      <w:r w:rsidRPr="00DA3117">
        <w:t xml:space="preserve">, M. A. ve </w:t>
      </w:r>
      <w:proofErr w:type="spellStart"/>
      <w:r w:rsidRPr="00DA3117">
        <w:t>Wittchen</w:t>
      </w:r>
      <w:proofErr w:type="spellEnd"/>
      <w:r w:rsidRPr="00DA3117">
        <w:t xml:space="preserve">, H. U. (2004). </w:t>
      </w:r>
      <w:proofErr w:type="spellStart"/>
      <w:r w:rsidRPr="00DA3117">
        <w:t>Social</w:t>
      </w:r>
      <w:proofErr w:type="spellEnd"/>
      <w:r w:rsidRPr="00DA3117">
        <w:t xml:space="preserve"> </w:t>
      </w:r>
      <w:proofErr w:type="spellStart"/>
      <w:r w:rsidRPr="00DA3117">
        <w:t>Phobia</w:t>
      </w:r>
      <w:proofErr w:type="spellEnd"/>
      <w:r w:rsidRPr="00DA3117">
        <w:t xml:space="preserve"> in an </w:t>
      </w:r>
      <w:proofErr w:type="spellStart"/>
      <w:r w:rsidRPr="00DA3117">
        <w:t>Italian</w:t>
      </w:r>
      <w:proofErr w:type="spellEnd"/>
      <w:r w:rsidRPr="00DA3117">
        <w:t xml:space="preserve"> </w:t>
      </w:r>
      <w:proofErr w:type="spellStart"/>
      <w:r w:rsidRPr="00DA3117">
        <w:t>region</w:t>
      </w:r>
      <w:proofErr w:type="spellEnd"/>
      <w:r w:rsidRPr="00DA3117">
        <w:t xml:space="preserve">: do </w:t>
      </w:r>
      <w:proofErr w:type="spellStart"/>
      <w:r w:rsidRPr="00DA3117">
        <w:t>Italian</w:t>
      </w:r>
      <w:proofErr w:type="spellEnd"/>
      <w:r w:rsidRPr="00DA3117">
        <w:t xml:space="preserve"> </w:t>
      </w:r>
      <w:proofErr w:type="spellStart"/>
      <w:r w:rsidRPr="00DA3117">
        <w:t>studies</w:t>
      </w:r>
      <w:proofErr w:type="spellEnd"/>
      <w:r w:rsidRPr="00DA3117">
        <w:t xml:space="preserve"> </w:t>
      </w:r>
      <w:proofErr w:type="spellStart"/>
      <w:r w:rsidRPr="00DA3117">
        <w:t>show</w:t>
      </w:r>
      <w:proofErr w:type="spellEnd"/>
      <w:r w:rsidRPr="00DA3117">
        <w:t xml:space="preserve"> </w:t>
      </w:r>
      <w:proofErr w:type="spellStart"/>
      <w:r w:rsidRPr="00DA3117">
        <w:t>lower</w:t>
      </w:r>
      <w:proofErr w:type="spellEnd"/>
      <w:r w:rsidRPr="00DA3117">
        <w:t xml:space="preserve"> </w:t>
      </w:r>
      <w:proofErr w:type="spellStart"/>
      <w:r w:rsidRPr="00DA3117">
        <w:t>frequencies</w:t>
      </w:r>
      <w:proofErr w:type="spellEnd"/>
      <w:r w:rsidRPr="00DA3117">
        <w:t xml:space="preserve"> </w:t>
      </w:r>
      <w:proofErr w:type="spellStart"/>
      <w:r w:rsidRPr="00DA3117">
        <w:t>than</w:t>
      </w:r>
      <w:proofErr w:type="spellEnd"/>
      <w:r w:rsidRPr="00DA3117">
        <w:t xml:space="preserve"> </w:t>
      </w:r>
      <w:proofErr w:type="spellStart"/>
      <w:r w:rsidRPr="00DA3117">
        <w:t>community</w:t>
      </w:r>
      <w:proofErr w:type="spellEnd"/>
      <w:r w:rsidRPr="00DA3117">
        <w:t xml:space="preserve"> </w:t>
      </w:r>
      <w:proofErr w:type="spellStart"/>
      <w:r w:rsidRPr="00DA3117">
        <w:t>surveys</w:t>
      </w:r>
      <w:proofErr w:type="spellEnd"/>
      <w:r w:rsidRPr="00DA3117">
        <w:t xml:space="preserve"> </w:t>
      </w:r>
      <w:proofErr w:type="spellStart"/>
      <w:r w:rsidRPr="00DA3117">
        <w:t>conducted</w:t>
      </w:r>
      <w:proofErr w:type="spellEnd"/>
      <w:r w:rsidRPr="00DA3117">
        <w:t xml:space="preserve"> in </w:t>
      </w:r>
      <w:proofErr w:type="spellStart"/>
      <w:r w:rsidRPr="00DA3117">
        <w:t>other</w:t>
      </w:r>
      <w:proofErr w:type="spellEnd"/>
      <w:r w:rsidRPr="00DA3117">
        <w:t xml:space="preserve"> </w:t>
      </w:r>
      <w:proofErr w:type="spellStart"/>
      <w:r w:rsidRPr="00DA3117">
        <w:t>European</w:t>
      </w:r>
      <w:proofErr w:type="spellEnd"/>
      <w:r w:rsidRPr="00DA3117">
        <w:t xml:space="preserve"> </w:t>
      </w:r>
      <w:proofErr w:type="spellStart"/>
      <w:proofErr w:type="gramStart"/>
      <w:r w:rsidRPr="00DA3117">
        <w:t>countries</w:t>
      </w:r>
      <w:proofErr w:type="spellEnd"/>
      <w:r w:rsidRPr="00DA3117">
        <w:t>?.</w:t>
      </w:r>
      <w:proofErr w:type="gramEnd"/>
      <w:r w:rsidRPr="00DA3117">
        <w:t xml:space="preserve"> </w:t>
      </w:r>
      <w:r w:rsidRPr="00114C6B">
        <w:rPr>
          <w:i/>
          <w:iCs/>
        </w:rPr>
        <w:t xml:space="preserve">BMC </w:t>
      </w:r>
      <w:proofErr w:type="spellStart"/>
      <w:r w:rsidRPr="00114C6B">
        <w:rPr>
          <w:i/>
          <w:iCs/>
        </w:rPr>
        <w:t>Psychiatry</w:t>
      </w:r>
      <w:proofErr w:type="spellEnd"/>
      <w:r w:rsidRPr="00114C6B">
        <w:rPr>
          <w:i/>
          <w:iCs/>
        </w:rPr>
        <w:t>, 4</w:t>
      </w:r>
      <w:r w:rsidRPr="00DA3117">
        <w:t xml:space="preserve">, 31. </w:t>
      </w:r>
      <w:hyperlink r:id="rId182" w:history="1">
        <w:r w:rsidRPr="00DA3117">
          <w:rPr>
            <w:rStyle w:val="Kpr"/>
          </w:rPr>
          <w:t>https://doi.org/10.1186/1471-244X-4-31</w:t>
        </w:r>
      </w:hyperlink>
    </w:p>
    <w:p w14:paraId="6D569A6F" w14:textId="77777777" w:rsidR="001E7189" w:rsidRPr="00DA3117" w:rsidRDefault="001E7189">
      <w:pPr>
        <w:pStyle w:val="ListeParagraf"/>
        <w:numPr>
          <w:ilvl w:val="0"/>
          <w:numId w:val="46"/>
        </w:numPr>
        <w:jc w:val="both"/>
      </w:pPr>
      <w:r w:rsidRPr="00DA3117">
        <w:t xml:space="preserve">Clark, L. A. ve Watson, D. (1991). </w:t>
      </w:r>
      <w:proofErr w:type="spellStart"/>
      <w:r w:rsidRPr="00DA3117">
        <w:t>Tripartite</w:t>
      </w:r>
      <w:proofErr w:type="spellEnd"/>
      <w:r w:rsidRPr="00DA3117">
        <w:t xml:space="preserve"> model of </w:t>
      </w:r>
      <w:proofErr w:type="spellStart"/>
      <w:r w:rsidRPr="00DA3117">
        <w:t>anxiety</w:t>
      </w:r>
      <w:proofErr w:type="spellEnd"/>
      <w:r w:rsidRPr="00DA3117">
        <w:t xml:space="preserve"> </w:t>
      </w:r>
      <w:proofErr w:type="spellStart"/>
      <w:r w:rsidRPr="00DA3117">
        <w:t>and</w:t>
      </w:r>
      <w:proofErr w:type="spellEnd"/>
      <w:r w:rsidRPr="00DA3117">
        <w:t xml:space="preserve"> </w:t>
      </w:r>
      <w:proofErr w:type="spellStart"/>
      <w:r w:rsidRPr="00DA3117">
        <w:t>depression</w:t>
      </w:r>
      <w:proofErr w:type="spellEnd"/>
      <w:r w:rsidRPr="00DA3117">
        <w:t xml:space="preserve">: </w:t>
      </w:r>
      <w:proofErr w:type="spellStart"/>
      <w:r w:rsidRPr="00DA3117">
        <w:t>Psychometric</w:t>
      </w:r>
      <w:proofErr w:type="spellEnd"/>
      <w:r w:rsidRPr="00DA3117">
        <w:t xml:space="preserve"> </w:t>
      </w:r>
      <w:proofErr w:type="spellStart"/>
      <w:r w:rsidRPr="00DA3117">
        <w:t>evidence</w:t>
      </w:r>
      <w:proofErr w:type="spellEnd"/>
      <w:r w:rsidRPr="00DA3117">
        <w:t xml:space="preserve"> </w:t>
      </w:r>
      <w:proofErr w:type="spellStart"/>
      <w:r w:rsidRPr="00DA3117">
        <w:t>and</w:t>
      </w:r>
      <w:proofErr w:type="spellEnd"/>
      <w:r w:rsidRPr="00DA3117">
        <w:t xml:space="preserve"> </w:t>
      </w:r>
      <w:proofErr w:type="spellStart"/>
      <w:r w:rsidRPr="00DA3117">
        <w:t>taxonomic</w:t>
      </w:r>
      <w:proofErr w:type="spellEnd"/>
      <w:r w:rsidRPr="00DA3117">
        <w:t xml:space="preserve"> </w:t>
      </w:r>
      <w:proofErr w:type="spellStart"/>
      <w:r w:rsidRPr="00DA3117">
        <w:t>implications</w:t>
      </w:r>
      <w:proofErr w:type="spellEnd"/>
      <w:r w:rsidRPr="00DA3117">
        <w:t xml:space="preserve">. </w:t>
      </w:r>
      <w:proofErr w:type="spellStart"/>
      <w:r w:rsidRPr="00DA3117">
        <w:rPr>
          <w:rStyle w:val="Vurgu"/>
        </w:rPr>
        <w:t>Journal</w:t>
      </w:r>
      <w:proofErr w:type="spellEnd"/>
      <w:r w:rsidRPr="00DA3117">
        <w:rPr>
          <w:rStyle w:val="Vurgu"/>
        </w:rPr>
        <w:t xml:space="preserve"> of </w:t>
      </w:r>
      <w:proofErr w:type="spellStart"/>
      <w:r w:rsidRPr="00DA3117">
        <w:rPr>
          <w:rStyle w:val="Vurgu"/>
        </w:rPr>
        <w:t>Abnormal</w:t>
      </w:r>
      <w:proofErr w:type="spellEnd"/>
      <w:r w:rsidRPr="00DA3117">
        <w:rPr>
          <w:rStyle w:val="Vurgu"/>
        </w:rPr>
        <w:t xml:space="preserve"> </w:t>
      </w:r>
      <w:proofErr w:type="spellStart"/>
      <w:r w:rsidRPr="00DA3117">
        <w:rPr>
          <w:rStyle w:val="Vurgu"/>
        </w:rPr>
        <w:t>Psychology</w:t>
      </w:r>
      <w:proofErr w:type="spellEnd"/>
      <w:r w:rsidRPr="00DA3117">
        <w:rPr>
          <w:rStyle w:val="Vurgu"/>
        </w:rPr>
        <w:t>, 100</w:t>
      </w:r>
      <w:r w:rsidRPr="00DA3117">
        <w:t>(3), 316–336. https://doi.org/10.1037/0021-843X.100.3.316</w:t>
      </w:r>
    </w:p>
    <w:p w14:paraId="2E6F961A" w14:textId="77777777" w:rsidR="001E7189" w:rsidRPr="00DA3117" w:rsidRDefault="001E7189">
      <w:pPr>
        <w:pStyle w:val="ListeParagraf"/>
        <w:numPr>
          <w:ilvl w:val="0"/>
          <w:numId w:val="46"/>
        </w:numPr>
        <w:jc w:val="both"/>
      </w:pPr>
      <w:r w:rsidRPr="00DA3117">
        <w:t xml:space="preserve">Çakmak, B. (2015). </w:t>
      </w:r>
      <w:r w:rsidRPr="00DA3117">
        <w:rPr>
          <w:rStyle w:val="Vurgu"/>
        </w:rPr>
        <w:t>Özsaygı ve depresyon arasındaki ilişki: Genç yetişkinlerde bir inceleme</w:t>
      </w:r>
      <w:r w:rsidRPr="00DA3117">
        <w:t xml:space="preserve">. </w:t>
      </w:r>
      <w:r w:rsidRPr="00114C6B">
        <w:rPr>
          <w:i/>
          <w:iCs/>
        </w:rPr>
        <w:t>Sosyal Psikoloji Dergisi, 14</w:t>
      </w:r>
      <w:r w:rsidRPr="00DA3117">
        <w:t>(3), 70-85.</w:t>
      </w:r>
    </w:p>
    <w:p w14:paraId="09DE2E01" w14:textId="77777777" w:rsidR="001E7189" w:rsidRPr="00DA3117" w:rsidRDefault="001E7189">
      <w:pPr>
        <w:pStyle w:val="ListeParagraf"/>
        <w:numPr>
          <w:ilvl w:val="0"/>
          <w:numId w:val="46"/>
        </w:numPr>
        <w:jc w:val="both"/>
      </w:pPr>
      <w:r w:rsidRPr="00DA3117">
        <w:t xml:space="preserve">Çetinkaya, B. ve Kıyak, M. (2009). Üniversite öğrencilerinin geleceğe yönelik kaygıları ve umutsuzluk düzeyleri. </w:t>
      </w:r>
      <w:r w:rsidRPr="00DA3117">
        <w:rPr>
          <w:rStyle w:val="Vurgu"/>
        </w:rPr>
        <w:t>Eğitim ve Bilim</w:t>
      </w:r>
      <w:r w:rsidRPr="00114C6B">
        <w:rPr>
          <w:i/>
        </w:rPr>
        <w:t>,</w:t>
      </w:r>
      <w:r w:rsidRPr="00DA3117">
        <w:t xml:space="preserve"> </w:t>
      </w:r>
      <w:r w:rsidRPr="00114C6B">
        <w:rPr>
          <w:i/>
          <w:iCs/>
        </w:rPr>
        <w:t>34</w:t>
      </w:r>
      <w:r w:rsidRPr="00DA3117">
        <w:t>(151), 70-83.</w:t>
      </w:r>
    </w:p>
    <w:p w14:paraId="2B978593" w14:textId="77777777" w:rsidR="001E7189" w:rsidRPr="00114C6B" w:rsidRDefault="001E7189">
      <w:pPr>
        <w:pStyle w:val="ListeParagraf"/>
        <w:numPr>
          <w:ilvl w:val="0"/>
          <w:numId w:val="46"/>
        </w:numPr>
        <w:jc w:val="both"/>
        <w:rPr>
          <w:color w:val="222222"/>
          <w:shd w:val="clear" w:color="auto" w:fill="FFFFFF"/>
        </w:rPr>
      </w:pPr>
      <w:r w:rsidRPr="00114C6B">
        <w:rPr>
          <w:color w:val="222222"/>
          <w:shd w:val="clear" w:color="auto" w:fill="FFFFFF"/>
        </w:rPr>
        <w:t xml:space="preserve">Dağtekin, G., Dalkılıç, M., Çakıcı, F., Çakır, A., Ekin, A. E., </w:t>
      </w:r>
      <w:proofErr w:type="spellStart"/>
      <w:r w:rsidRPr="00114C6B">
        <w:rPr>
          <w:color w:val="222222"/>
          <w:shd w:val="clear" w:color="auto" w:fill="FFFFFF"/>
        </w:rPr>
        <w:t>Öztünç</w:t>
      </w:r>
      <w:proofErr w:type="spellEnd"/>
      <w:r w:rsidRPr="00114C6B">
        <w:rPr>
          <w:color w:val="222222"/>
          <w:shd w:val="clear" w:color="auto" w:fill="FFFFFF"/>
        </w:rPr>
        <w:t>, D., ve Işıklı, B. (2020). Tıp fakültesi öğrencilerinde gelecek kaygısı, depresyon ve stres ilişkisinin değerlendirilmesi. </w:t>
      </w:r>
      <w:r w:rsidRPr="00114C6B">
        <w:rPr>
          <w:i/>
          <w:color w:val="222222"/>
          <w:shd w:val="clear" w:color="auto" w:fill="FFFFFF"/>
        </w:rPr>
        <w:t>Türk Tıp Öğrencileri Araştırma Dergisi, 2</w:t>
      </w:r>
      <w:r w:rsidRPr="00114C6B">
        <w:rPr>
          <w:color w:val="222222"/>
          <w:shd w:val="clear" w:color="auto" w:fill="FFFFFF"/>
        </w:rPr>
        <w:t>(3), 135-142.</w:t>
      </w:r>
    </w:p>
    <w:p w14:paraId="6EEC2E7E" w14:textId="77777777" w:rsidR="001E7189" w:rsidRPr="00DA3117" w:rsidRDefault="001E7189">
      <w:pPr>
        <w:pStyle w:val="ListeParagraf"/>
        <w:numPr>
          <w:ilvl w:val="0"/>
          <w:numId w:val="46"/>
        </w:numPr>
        <w:jc w:val="both"/>
      </w:pPr>
      <w:r w:rsidRPr="00DA3117">
        <w:t xml:space="preserve">Demir, T. (1997). </w:t>
      </w:r>
      <w:r w:rsidRPr="00114C6B">
        <w:rPr>
          <w:i/>
          <w:iCs/>
        </w:rPr>
        <w:t>Çocuk ve ergenlerde sosyal fobi: Epidemiyolojik bir çalışma.</w:t>
      </w:r>
      <w:r w:rsidRPr="00DA3117">
        <w:t xml:space="preserve"> İstanbul Üniversitesi.</w:t>
      </w:r>
    </w:p>
    <w:p w14:paraId="75C08CA9" w14:textId="77777777" w:rsidR="001E7189" w:rsidRPr="00DA3117" w:rsidRDefault="001E7189">
      <w:pPr>
        <w:pStyle w:val="ListeParagraf"/>
        <w:numPr>
          <w:ilvl w:val="0"/>
          <w:numId w:val="46"/>
        </w:numPr>
        <w:jc w:val="both"/>
      </w:pPr>
      <w:r w:rsidRPr="00DA3117">
        <w:t xml:space="preserve">Dinç, S. ve Erden Çınar, S. (2019). Bilişsel davranışçı yaklaşıma dayalı grupla psikolojik danışma uygulamasının üniversite öğrencilerinin gelecek kaygıları ve yetkinlik inançları üzerine etkisi.  </w:t>
      </w:r>
      <w:r w:rsidRPr="00114C6B">
        <w:rPr>
          <w:i/>
          <w:iCs/>
        </w:rPr>
        <w:t>E-Uluslararası Eğitim Araştırmaları Dergisi, 10</w:t>
      </w:r>
      <w:r w:rsidRPr="00DA3117">
        <w:t>(3), 15-28.</w:t>
      </w:r>
    </w:p>
    <w:p w14:paraId="76E11704" w14:textId="77777777" w:rsidR="001E7189" w:rsidRPr="00DA3117" w:rsidRDefault="001E7189">
      <w:pPr>
        <w:pStyle w:val="ListeParagraf"/>
        <w:numPr>
          <w:ilvl w:val="0"/>
          <w:numId w:val="46"/>
        </w:numPr>
        <w:jc w:val="both"/>
      </w:pPr>
      <w:r w:rsidRPr="00DA3117">
        <w:t xml:space="preserve">Erdem, H. (2016). </w:t>
      </w:r>
      <w:r w:rsidRPr="00DA3117">
        <w:rPr>
          <w:rStyle w:val="Vurgu"/>
        </w:rPr>
        <w:t>Depresyon ve kaygı arasındaki ilişki: Genç yetişkinlerdeki etkileri</w:t>
      </w:r>
      <w:r w:rsidRPr="00DA3117">
        <w:t xml:space="preserve">. </w:t>
      </w:r>
      <w:r w:rsidRPr="00114C6B">
        <w:rPr>
          <w:i/>
          <w:iCs/>
        </w:rPr>
        <w:t>Türk Psikoloji Dergisi, 8</w:t>
      </w:r>
      <w:r w:rsidRPr="00DA3117">
        <w:t>(4), 233-245.</w:t>
      </w:r>
    </w:p>
    <w:p w14:paraId="343CFCC0" w14:textId="77777777" w:rsidR="001E7189" w:rsidRPr="00114C6B" w:rsidRDefault="001E7189">
      <w:pPr>
        <w:pStyle w:val="ListeParagraf"/>
        <w:numPr>
          <w:ilvl w:val="0"/>
          <w:numId w:val="46"/>
        </w:numPr>
        <w:jc w:val="both"/>
        <w:rPr>
          <w:color w:val="222222"/>
          <w:shd w:val="clear" w:color="auto" w:fill="FFFFFF"/>
        </w:rPr>
      </w:pPr>
      <w:r w:rsidRPr="00DA3117">
        <w:t xml:space="preserve">Erdur, Ö. ve Bıçak, B. (2011, Temmuz 6-9). Üniversite öğrencilerinin psikolojik </w:t>
      </w:r>
      <w:r w:rsidRPr="00DA3117">
        <w:lastRenderedPageBreak/>
        <w:t>sorunları. XIII. Ulusal Eğitim Bilimleri Kurultayı, Malatya: İnönü Üniversitesi</w:t>
      </w:r>
    </w:p>
    <w:p w14:paraId="22B914D0" w14:textId="77777777" w:rsidR="001E7189" w:rsidRPr="00DA3117" w:rsidRDefault="001E7189">
      <w:pPr>
        <w:pStyle w:val="ListeParagraf"/>
        <w:numPr>
          <w:ilvl w:val="0"/>
          <w:numId w:val="46"/>
        </w:numPr>
        <w:jc w:val="both"/>
      </w:pPr>
      <w:r w:rsidRPr="00114C6B">
        <w:rPr>
          <w:bCs/>
        </w:rPr>
        <w:t>Gönül, F.</w:t>
      </w:r>
      <w:r w:rsidRPr="00DA3117">
        <w:t xml:space="preserve"> (2008). </w:t>
      </w:r>
      <w:r w:rsidRPr="00114C6B">
        <w:rPr>
          <w:iCs/>
        </w:rPr>
        <w:t>Genç yetişkinlikte aile yapısı ve psikolojik gelişim: Sosyal destek ve kimlik gelişimi</w:t>
      </w:r>
      <w:r w:rsidRPr="00DA3117">
        <w:t xml:space="preserve">. </w:t>
      </w:r>
      <w:r w:rsidRPr="00114C6B">
        <w:rPr>
          <w:i/>
          <w:iCs/>
        </w:rPr>
        <w:t>Psikoloji Araştırmaları Dergisi, 5</w:t>
      </w:r>
      <w:r w:rsidRPr="00DA3117">
        <w:t>(2), 123-140.</w:t>
      </w:r>
    </w:p>
    <w:p w14:paraId="316038D8" w14:textId="77777777" w:rsidR="001E7189" w:rsidRPr="00DA3117" w:rsidRDefault="001E7189">
      <w:pPr>
        <w:pStyle w:val="ListeParagraf"/>
        <w:numPr>
          <w:ilvl w:val="0"/>
          <w:numId w:val="46"/>
        </w:numPr>
        <w:jc w:val="both"/>
      </w:pPr>
      <w:proofErr w:type="spellStart"/>
      <w:r w:rsidRPr="00DA3117">
        <w:t>Havighurst</w:t>
      </w:r>
      <w:proofErr w:type="spellEnd"/>
      <w:r w:rsidRPr="00DA3117">
        <w:t xml:space="preserve">, R. J. (1974). </w:t>
      </w:r>
      <w:proofErr w:type="spellStart"/>
      <w:r w:rsidRPr="00DA3117">
        <w:t>Understanding</w:t>
      </w:r>
      <w:proofErr w:type="spellEnd"/>
      <w:r w:rsidRPr="00DA3117">
        <w:t xml:space="preserve"> </w:t>
      </w:r>
      <w:proofErr w:type="spellStart"/>
      <w:r w:rsidRPr="00DA3117">
        <w:t>the</w:t>
      </w:r>
      <w:proofErr w:type="spellEnd"/>
      <w:r w:rsidRPr="00DA3117">
        <w:t xml:space="preserve"> </w:t>
      </w:r>
      <w:proofErr w:type="spellStart"/>
      <w:r w:rsidRPr="00DA3117">
        <w:t>Elderly</w:t>
      </w:r>
      <w:proofErr w:type="spellEnd"/>
      <w:r w:rsidRPr="00DA3117">
        <w:t xml:space="preserve"> </w:t>
      </w:r>
      <w:proofErr w:type="spellStart"/>
      <w:r w:rsidRPr="00DA3117">
        <w:t>and</w:t>
      </w:r>
      <w:proofErr w:type="spellEnd"/>
      <w:r w:rsidRPr="00DA3117">
        <w:t xml:space="preserve"> </w:t>
      </w:r>
      <w:proofErr w:type="spellStart"/>
      <w:r w:rsidRPr="00DA3117">
        <w:t>the</w:t>
      </w:r>
      <w:proofErr w:type="spellEnd"/>
      <w:r w:rsidRPr="00DA3117">
        <w:t xml:space="preserve"> </w:t>
      </w:r>
      <w:proofErr w:type="spellStart"/>
      <w:r w:rsidRPr="00DA3117">
        <w:t>Aging</w:t>
      </w:r>
      <w:proofErr w:type="spellEnd"/>
      <w:r w:rsidRPr="00DA3117">
        <w:t xml:space="preserve"> </w:t>
      </w:r>
      <w:proofErr w:type="spellStart"/>
      <w:r w:rsidRPr="00DA3117">
        <w:t>Process</w:t>
      </w:r>
      <w:proofErr w:type="spellEnd"/>
      <w:r w:rsidRPr="00DA3117">
        <w:t xml:space="preserve">. </w:t>
      </w:r>
      <w:proofErr w:type="spellStart"/>
      <w:r w:rsidRPr="00114C6B">
        <w:rPr>
          <w:i/>
          <w:iCs/>
        </w:rPr>
        <w:t>Journal</w:t>
      </w:r>
      <w:proofErr w:type="spellEnd"/>
      <w:r w:rsidRPr="00114C6B">
        <w:rPr>
          <w:i/>
          <w:iCs/>
        </w:rPr>
        <w:t xml:space="preserve"> of Home </w:t>
      </w:r>
      <w:proofErr w:type="spellStart"/>
      <w:r w:rsidRPr="00114C6B">
        <w:rPr>
          <w:i/>
          <w:iCs/>
        </w:rPr>
        <w:t>Economics</w:t>
      </w:r>
      <w:proofErr w:type="spellEnd"/>
      <w:r w:rsidRPr="00114C6B">
        <w:rPr>
          <w:i/>
          <w:iCs/>
        </w:rPr>
        <w:t>, 66</w:t>
      </w:r>
      <w:r w:rsidRPr="00DA3117">
        <w:t>(4), 17-20.</w:t>
      </w:r>
    </w:p>
    <w:p w14:paraId="537182AC" w14:textId="77777777" w:rsidR="001E7189" w:rsidRPr="00DA3117" w:rsidRDefault="001E7189">
      <w:pPr>
        <w:pStyle w:val="ListeParagraf"/>
        <w:numPr>
          <w:ilvl w:val="0"/>
          <w:numId w:val="46"/>
        </w:numPr>
        <w:jc w:val="both"/>
      </w:pPr>
      <w:proofErr w:type="spellStart"/>
      <w:r w:rsidRPr="00DA3117">
        <w:t>Holliman</w:t>
      </w:r>
      <w:proofErr w:type="spellEnd"/>
      <w:r w:rsidRPr="00DA3117">
        <w:t xml:space="preserve">, A. J., ve </w:t>
      </w:r>
      <w:proofErr w:type="spellStart"/>
      <w:r w:rsidRPr="00DA3117">
        <w:t>Collie</w:t>
      </w:r>
      <w:proofErr w:type="spellEnd"/>
      <w:r w:rsidRPr="00DA3117">
        <w:t xml:space="preserve">, K. (2020). </w:t>
      </w:r>
      <w:proofErr w:type="spellStart"/>
      <w:r w:rsidRPr="00DA3117">
        <w:rPr>
          <w:rStyle w:val="Vurgu"/>
        </w:rPr>
        <w:t>The</w:t>
      </w:r>
      <w:proofErr w:type="spellEnd"/>
      <w:r w:rsidRPr="00DA3117">
        <w:rPr>
          <w:rStyle w:val="Vurgu"/>
        </w:rPr>
        <w:t xml:space="preserve"> </w:t>
      </w:r>
      <w:proofErr w:type="spellStart"/>
      <w:r w:rsidRPr="00DA3117">
        <w:rPr>
          <w:rStyle w:val="Vurgu"/>
        </w:rPr>
        <w:t>impact</w:t>
      </w:r>
      <w:proofErr w:type="spellEnd"/>
      <w:r w:rsidRPr="00DA3117">
        <w:rPr>
          <w:rStyle w:val="Vurgu"/>
        </w:rPr>
        <w:t xml:space="preserve"> of </w:t>
      </w:r>
      <w:proofErr w:type="spellStart"/>
      <w:r w:rsidRPr="00DA3117">
        <w:rPr>
          <w:rStyle w:val="Vurgu"/>
        </w:rPr>
        <w:t>anxiety</w:t>
      </w:r>
      <w:proofErr w:type="spellEnd"/>
      <w:r w:rsidRPr="00DA3117">
        <w:rPr>
          <w:rStyle w:val="Vurgu"/>
        </w:rPr>
        <w:t xml:space="preserve"> on </w:t>
      </w:r>
      <w:proofErr w:type="spellStart"/>
      <w:r w:rsidRPr="00DA3117">
        <w:rPr>
          <w:rStyle w:val="Vurgu"/>
        </w:rPr>
        <w:t>future</w:t>
      </w:r>
      <w:proofErr w:type="spellEnd"/>
      <w:r w:rsidRPr="00DA3117">
        <w:rPr>
          <w:rStyle w:val="Vurgu"/>
        </w:rPr>
        <w:t xml:space="preserve"> </w:t>
      </w:r>
      <w:proofErr w:type="spellStart"/>
      <w:r w:rsidRPr="00DA3117">
        <w:rPr>
          <w:rStyle w:val="Vurgu"/>
        </w:rPr>
        <w:t>planning</w:t>
      </w:r>
      <w:proofErr w:type="spellEnd"/>
      <w:r w:rsidRPr="00DA3117">
        <w:rPr>
          <w:rStyle w:val="Vurgu"/>
        </w:rPr>
        <w:t xml:space="preserve"> in </w:t>
      </w:r>
      <w:proofErr w:type="spellStart"/>
      <w:r w:rsidRPr="00DA3117">
        <w:rPr>
          <w:rStyle w:val="Vurgu"/>
        </w:rPr>
        <w:t>young</w:t>
      </w:r>
      <w:proofErr w:type="spellEnd"/>
      <w:r w:rsidRPr="00DA3117">
        <w:rPr>
          <w:rStyle w:val="Vurgu"/>
        </w:rPr>
        <w:t xml:space="preserve"> </w:t>
      </w:r>
      <w:proofErr w:type="spellStart"/>
      <w:r w:rsidRPr="00DA3117">
        <w:rPr>
          <w:rStyle w:val="Vurgu"/>
        </w:rPr>
        <w:t>adults</w:t>
      </w:r>
      <w:proofErr w:type="spellEnd"/>
      <w:r w:rsidRPr="00DA3117">
        <w:t>.</w:t>
      </w:r>
      <w:r w:rsidRPr="00114C6B">
        <w:rPr>
          <w:i/>
        </w:rPr>
        <w:t xml:space="preserve"> </w:t>
      </w:r>
      <w:proofErr w:type="spellStart"/>
      <w:r w:rsidRPr="00DA3117">
        <w:rPr>
          <w:rStyle w:val="Vurgu"/>
        </w:rPr>
        <w:t>Journal</w:t>
      </w:r>
      <w:proofErr w:type="spellEnd"/>
      <w:r w:rsidRPr="00DA3117">
        <w:rPr>
          <w:rStyle w:val="Vurgu"/>
        </w:rPr>
        <w:t xml:space="preserve"> of </w:t>
      </w:r>
      <w:proofErr w:type="spellStart"/>
      <w:r w:rsidRPr="00DA3117">
        <w:rPr>
          <w:rStyle w:val="Vurgu"/>
        </w:rPr>
        <w:t>Youth</w:t>
      </w:r>
      <w:proofErr w:type="spellEnd"/>
      <w:r w:rsidRPr="00DA3117">
        <w:rPr>
          <w:rStyle w:val="Vurgu"/>
        </w:rPr>
        <w:t xml:space="preserve"> </w:t>
      </w:r>
      <w:proofErr w:type="spellStart"/>
      <w:r w:rsidRPr="00DA3117">
        <w:rPr>
          <w:rStyle w:val="Vurgu"/>
        </w:rPr>
        <w:t>Studies</w:t>
      </w:r>
      <w:proofErr w:type="spellEnd"/>
      <w:r w:rsidRPr="00114C6B">
        <w:rPr>
          <w:i/>
        </w:rPr>
        <w:t>,</w:t>
      </w:r>
      <w:r w:rsidRPr="00DA3117">
        <w:t xml:space="preserve"> 23(3), 305-320.</w:t>
      </w:r>
    </w:p>
    <w:p w14:paraId="44AECFE9" w14:textId="77777777" w:rsidR="001E7189" w:rsidRPr="00DA3117" w:rsidRDefault="001E7189">
      <w:pPr>
        <w:pStyle w:val="ListeParagraf"/>
        <w:numPr>
          <w:ilvl w:val="0"/>
          <w:numId w:val="46"/>
        </w:numPr>
        <w:jc w:val="both"/>
      </w:pPr>
      <w:r w:rsidRPr="00DA3117">
        <w:t xml:space="preserve">Kabakçı, E. (2003). </w:t>
      </w:r>
      <w:r w:rsidRPr="00114C6B">
        <w:rPr>
          <w:i/>
          <w:iCs/>
        </w:rPr>
        <w:t>Panik ve yaygın anksiyete bozukluklarında bilişsel-davranışçı terapiler</w:t>
      </w:r>
      <w:r w:rsidRPr="00DA3117">
        <w:t xml:space="preserve">. İ. Savaşır, G. </w:t>
      </w:r>
      <w:proofErr w:type="spellStart"/>
      <w:r w:rsidRPr="00DA3117">
        <w:t>Soygüt</w:t>
      </w:r>
      <w:proofErr w:type="spellEnd"/>
      <w:r w:rsidRPr="00DA3117">
        <w:t xml:space="preserve"> ve E. Kabakçı, Bilişsel-davranışçı terapiler (91-112), TPD Yayınları</w:t>
      </w:r>
    </w:p>
    <w:p w14:paraId="016AE5CE" w14:textId="77777777" w:rsidR="001E7189" w:rsidRPr="00DA3117" w:rsidRDefault="001E7189">
      <w:pPr>
        <w:pStyle w:val="ListeParagraf"/>
        <w:numPr>
          <w:ilvl w:val="0"/>
          <w:numId w:val="46"/>
        </w:numPr>
        <w:jc w:val="both"/>
      </w:pPr>
      <w:r w:rsidRPr="00DA3117">
        <w:t xml:space="preserve">Karakaş, İ. (2020). </w:t>
      </w:r>
      <w:r w:rsidRPr="00DA3117">
        <w:rPr>
          <w:rStyle w:val="Vurgu"/>
        </w:rPr>
        <w:t>Stres, kaygı ve depresyon: Genç yetişkinlerde geleceğe yönelik kaygıların psikolojik temelleri</w:t>
      </w:r>
      <w:r w:rsidRPr="00DA3117">
        <w:t xml:space="preserve">. </w:t>
      </w:r>
      <w:r w:rsidRPr="00114C6B">
        <w:rPr>
          <w:i/>
          <w:iCs/>
        </w:rPr>
        <w:t>Psikoloji ve Sosyal Araştırmalar Dergisi, 11</w:t>
      </w:r>
      <w:r w:rsidRPr="00DA3117">
        <w:t>(1), 50-60.</w:t>
      </w:r>
    </w:p>
    <w:p w14:paraId="7CFEC03C" w14:textId="77777777" w:rsidR="001E7189" w:rsidRPr="00DA3117" w:rsidRDefault="001E7189">
      <w:pPr>
        <w:pStyle w:val="ListeParagraf"/>
        <w:numPr>
          <w:ilvl w:val="0"/>
          <w:numId w:val="46"/>
        </w:numPr>
        <w:jc w:val="both"/>
      </w:pPr>
      <w:r w:rsidRPr="00DA3117">
        <w:t xml:space="preserve">Keskin, İ. ve </w:t>
      </w:r>
      <w:proofErr w:type="spellStart"/>
      <w:r w:rsidRPr="00DA3117">
        <w:t>Gökçakan</w:t>
      </w:r>
      <w:proofErr w:type="spellEnd"/>
      <w:r w:rsidRPr="00DA3117">
        <w:t xml:space="preserve">, Z. (2023). Üniversite öğrencilerinde mezuniyet sonrası iş bulma kaygısının psikolojik etkileri. </w:t>
      </w:r>
      <w:r w:rsidRPr="00DA3117">
        <w:rPr>
          <w:rStyle w:val="Vurgu"/>
        </w:rPr>
        <w:t>Psikolojik Araştırmalar Dergisi</w:t>
      </w:r>
      <w:r w:rsidRPr="00DA3117">
        <w:t xml:space="preserve">, </w:t>
      </w:r>
      <w:r w:rsidRPr="00114C6B">
        <w:rPr>
          <w:i/>
          <w:iCs/>
        </w:rPr>
        <w:t>5</w:t>
      </w:r>
      <w:r w:rsidRPr="00DA3117">
        <w:t>(2), 102-117.</w:t>
      </w:r>
    </w:p>
    <w:p w14:paraId="5421CB09" w14:textId="77777777" w:rsidR="001E7189" w:rsidRPr="00DA3117" w:rsidRDefault="001E7189">
      <w:pPr>
        <w:pStyle w:val="ListeParagraf"/>
        <w:numPr>
          <w:ilvl w:val="0"/>
          <w:numId w:val="46"/>
        </w:numPr>
        <w:jc w:val="both"/>
      </w:pPr>
      <w:r w:rsidRPr="00DA3117">
        <w:t>Korkut-</w:t>
      </w:r>
      <w:proofErr w:type="spellStart"/>
      <w:r w:rsidRPr="00DA3117">
        <w:t>Owen</w:t>
      </w:r>
      <w:proofErr w:type="spellEnd"/>
      <w:r w:rsidRPr="00DA3117">
        <w:t xml:space="preserve">, F. (2021). Belirsizlik ve Kariyer Davranışları. </w:t>
      </w:r>
      <w:r w:rsidRPr="00114C6B">
        <w:rPr>
          <w:i/>
          <w:iCs/>
        </w:rPr>
        <w:t>Kariyer Psikolojik Danışmanlığı Dergisi, 4</w:t>
      </w:r>
      <w:r w:rsidRPr="00DA3117">
        <w:t>(2), 36-60.</w:t>
      </w:r>
    </w:p>
    <w:p w14:paraId="2F770CA2" w14:textId="77777777" w:rsidR="001E7189" w:rsidRPr="00DA3117" w:rsidRDefault="001E7189">
      <w:pPr>
        <w:pStyle w:val="ListeParagraf"/>
        <w:numPr>
          <w:ilvl w:val="0"/>
          <w:numId w:val="46"/>
        </w:numPr>
        <w:jc w:val="both"/>
      </w:pPr>
      <w:r w:rsidRPr="00DA3117">
        <w:t xml:space="preserve">Özdemir, H. ve Tatar, A. (2019). Genç Yetişkinlerde Yalnızlığın </w:t>
      </w:r>
      <w:proofErr w:type="spellStart"/>
      <w:r w:rsidRPr="00DA3117">
        <w:t>Yordayıcıları</w:t>
      </w:r>
      <w:proofErr w:type="spellEnd"/>
      <w:r w:rsidRPr="00DA3117">
        <w:t xml:space="preserve">: Depresyon, Kaygı, Sosyal Destek, Duygusal Zekâ. </w:t>
      </w:r>
      <w:r w:rsidRPr="00114C6B">
        <w:rPr>
          <w:i/>
          <w:iCs/>
        </w:rPr>
        <w:t>Kıbrıs Türk Psikiyatri ve Psikoloji Dergisi, 1</w:t>
      </w:r>
      <w:r w:rsidRPr="00DA3117">
        <w:t xml:space="preserve">(2), 93-101. </w:t>
      </w:r>
      <w:hyperlink r:id="rId183" w:history="1">
        <w:r w:rsidRPr="00DA3117">
          <w:rPr>
            <w:rStyle w:val="Kpr"/>
          </w:rPr>
          <w:t>https://doi.org/10.35365/ctjpp.19.1.11</w:t>
        </w:r>
      </w:hyperlink>
    </w:p>
    <w:p w14:paraId="052C8011" w14:textId="77777777" w:rsidR="001E7189" w:rsidRPr="00DA3117" w:rsidRDefault="001E7189">
      <w:pPr>
        <w:pStyle w:val="ListeParagraf"/>
        <w:numPr>
          <w:ilvl w:val="0"/>
          <w:numId w:val="46"/>
        </w:numPr>
        <w:jc w:val="both"/>
      </w:pPr>
      <w:r w:rsidRPr="00DA3117">
        <w:t xml:space="preserve">Özdemir, S. (2019). </w:t>
      </w:r>
      <w:r w:rsidRPr="00DA3117">
        <w:rPr>
          <w:rStyle w:val="Vurgu"/>
        </w:rPr>
        <w:t>Toplumsal cinsiyet rolleri ve genç yetişkinlerde kariyer kaygısı: Erkekler ve kadınlar arasında bir karşılaştırma</w:t>
      </w:r>
      <w:r w:rsidRPr="00DA3117">
        <w:t>. Yüksek Lisans Tezi, İstanbul Üniversitesi.</w:t>
      </w:r>
    </w:p>
    <w:p w14:paraId="1739BE28" w14:textId="77777777" w:rsidR="001E7189" w:rsidRPr="00DA3117" w:rsidRDefault="001E7189">
      <w:pPr>
        <w:pStyle w:val="ListeParagraf"/>
        <w:numPr>
          <w:ilvl w:val="0"/>
          <w:numId w:val="46"/>
        </w:numPr>
        <w:jc w:val="both"/>
      </w:pPr>
      <w:r w:rsidRPr="00DA3117">
        <w:t xml:space="preserve">Schwartz, S. J. (2001). </w:t>
      </w:r>
      <w:proofErr w:type="spellStart"/>
      <w:r w:rsidRPr="00DA3117">
        <w:t>The</w:t>
      </w:r>
      <w:proofErr w:type="spellEnd"/>
      <w:r w:rsidRPr="00DA3117">
        <w:t xml:space="preserve"> </w:t>
      </w:r>
      <w:proofErr w:type="spellStart"/>
      <w:r w:rsidRPr="00DA3117">
        <w:t>evolution</w:t>
      </w:r>
      <w:proofErr w:type="spellEnd"/>
      <w:r w:rsidRPr="00DA3117">
        <w:t xml:space="preserve"> of </w:t>
      </w:r>
      <w:proofErr w:type="spellStart"/>
      <w:r w:rsidRPr="00DA3117">
        <w:t>the</w:t>
      </w:r>
      <w:proofErr w:type="spellEnd"/>
      <w:r w:rsidRPr="00DA3117">
        <w:t xml:space="preserve"> </w:t>
      </w:r>
      <w:proofErr w:type="spellStart"/>
      <w:r w:rsidRPr="00DA3117">
        <w:t>identity</w:t>
      </w:r>
      <w:proofErr w:type="spellEnd"/>
      <w:r w:rsidRPr="00DA3117">
        <w:t xml:space="preserve"> </w:t>
      </w:r>
      <w:proofErr w:type="spellStart"/>
      <w:r w:rsidRPr="00DA3117">
        <w:t>status</w:t>
      </w:r>
      <w:proofErr w:type="spellEnd"/>
      <w:r w:rsidRPr="00DA3117">
        <w:t xml:space="preserve"> </w:t>
      </w:r>
      <w:proofErr w:type="spellStart"/>
      <w:r w:rsidRPr="00DA3117">
        <w:t>approach</w:t>
      </w:r>
      <w:proofErr w:type="spellEnd"/>
      <w:r w:rsidRPr="00DA3117">
        <w:t xml:space="preserve"> </w:t>
      </w:r>
      <w:proofErr w:type="spellStart"/>
      <w:r w:rsidRPr="00DA3117">
        <w:t>to</w:t>
      </w:r>
      <w:proofErr w:type="spellEnd"/>
      <w:r w:rsidRPr="00DA3117">
        <w:t xml:space="preserve"> </w:t>
      </w:r>
      <w:proofErr w:type="spellStart"/>
      <w:r w:rsidRPr="00DA3117">
        <w:t>identity</w:t>
      </w:r>
      <w:proofErr w:type="spellEnd"/>
      <w:r w:rsidRPr="00DA3117">
        <w:t xml:space="preserve"> </w:t>
      </w:r>
      <w:proofErr w:type="spellStart"/>
      <w:r w:rsidRPr="00DA3117">
        <w:t>development</w:t>
      </w:r>
      <w:proofErr w:type="spellEnd"/>
      <w:r w:rsidRPr="00DA3117">
        <w:t xml:space="preserve">: A </w:t>
      </w:r>
      <w:proofErr w:type="spellStart"/>
      <w:r w:rsidRPr="00DA3117">
        <w:t>critical</w:t>
      </w:r>
      <w:proofErr w:type="spellEnd"/>
      <w:r w:rsidRPr="00DA3117">
        <w:t xml:space="preserve"> </w:t>
      </w:r>
      <w:proofErr w:type="spellStart"/>
      <w:r w:rsidRPr="00DA3117">
        <w:t>review</w:t>
      </w:r>
      <w:proofErr w:type="spellEnd"/>
      <w:r w:rsidRPr="00DA3117">
        <w:t xml:space="preserve">. </w:t>
      </w:r>
      <w:r w:rsidRPr="00DA3117">
        <w:rPr>
          <w:rStyle w:val="Vurgu"/>
        </w:rPr>
        <w:t xml:space="preserve">Identity: An International </w:t>
      </w:r>
      <w:proofErr w:type="spellStart"/>
      <w:r w:rsidRPr="00DA3117">
        <w:rPr>
          <w:rStyle w:val="Vurgu"/>
        </w:rPr>
        <w:t>Journal</w:t>
      </w:r>
      <w:proofErr w:type="spellEnd"/>
      <w:r w:rsidRPr="00DA3117">
        <w:rPr>
          <w:rStyle w:val="Vurgu"/>
        </w:rPr>
        <w:t xml:space="preserve"> of </w:t>
      </w:r>
      <w:proofErr w:type="spellStart"/>
      <w:r w:rsidRPr="00DA3117">
        <w:rPr>
          <w:rStyle w:val="Vurgu"/>
        </w:rPr>
        <w:t>Theory</w:t>
      </w:r>
      <w:proofErr w:type="spellEnd"/>
      <w:r w:rsidRPr="00DA3117">
        <w:rPr>
          <w:rStyle w:val="Vurgu"/>
        </w:rPr>
        <w:t xml:space="preserve"> </w:t>
      </w:r>
      <w:proofErr w:type="spellStart"/>
      <w:r w:rsidRPr="00DA3117">
        <w:rPr>
          <w:rStyle w:val="Vurgu"/>
        </w:rPr>
        <w:t>and</w:t>
      </w:r>
      <w:proofErr w:type="spellEnd"/>
      <w:r w:rsidRPr="00DA3117">
        <w:rPr>
          <w:rStyle w:val="Vurgu"/>
        </w:rPr>
        <w:t xml:space="preserve"> </w:t>
      </w:r>
      <w:proofErr w:type="spellStart"/>
      <w:r w:rsidRPr="00DA3117">
        <w:rPr>
          <w:rStyle w:val="Vurgu"/>
        </w:rPr>
        <w:t>Research</w:t>
      </w:r>
      <w:proofErr w:type="spellEnd"/>
      <w:r w:rsidRPr="00DA3117">
        <w:t>, 1(1), 7-58.</w:t>
      </w:r>
    </w:p>
    <w:p w14:paraId="1D40BDEE" w14:textId="77777777" w:rsidR="001E7189" w:rsidRPr="00DA3117" w:rsidRDefault="001E7189">
      <w:pPr>
        <w:pStyle w:val="ListeParagraf"/>
        <w:numPr>
          <w:ilvl w:val="0"/>
          <w:numId w:val="46"/>
        </w:numPr>
        <w:jc w:val="both"/>
      </w:pPr>
      <w:r w:rsidRPr="00DA3117">
        <w:t>Seçer, Barış (2006) Uluslararası Boyutuyla Genç İşsizliği ve Gençlere Yönelik İstihdam Politikaları, TİSK Akademi, Cilt:1(2), 78-97.</w:t>
      </w:r>
    </w:p>
    <w:p w14:paraId="57C30C2E" w14:textId="77777777" w:rsidR="001E7189" w:rsidRPr="00DA3117" w:rsidRDefault="001E7189">
      <w:pPr>
        <w:pStyle w:val="ListeParagraf"/>
        <w:numPr>
          <w:ilvl w:val="0"/>
          <w:numId w:val="46"/>
        </w:numPr>
        <w:jc w:val="both"/>
      </w:pPr>
      <w:r w:rsidRPr="00DA3117">
        <w:t>Şanlı, T. Saraçlı, S. (2015) “Üniversite Öğrencilerinin Gelecek Beklentileri Üzerinde Etkili Olan Faktörlerin Analizi" KAÜ İİBF Dergisi, 6(11), 25-36.</w:t>
      </w:r>
    </w:p>
    <w:p w14:paraId="70B72DCE" w14:textId="77777777" w:rsidR="001E7189" w:rsidRPr="00DA3117" w:rsidRDefault="001E7189">
      <w:pPr>
        <w:pStyle w:val="ListeParagraf"/>
        <w:numPr>
          <w:ilvl w:val="0"/>
          <w:numId w:val="46"/>
        </w:numPr>
        <w:jc w:val="both"/>
      </w:pPr>
      <w:r w:rsidRPr="00DA3117">
        <w:t xml:space="preserve">Tahir, M. (2017). </w:t>
      </w:r>
      <w:r w:rsidRPr="00DA3117">
        <w:rPr>
          <w:rStyle w:val="Vurgu"/>
        </w:rPr>
        <w:t>Stres kaynakları ve genç yetişkinlerde kaygı düzeyleri</w:t>
      </w:r>
      <w:r w:rsidRPr="00114C6B">
        <w:rPr>
          <w:i/>
        </w:rPr>
        <w:t>.</w:t>
      </w:r>
      <w:r w:rsidRPr="00DA3117">
        <w:t xml:space="preserve"> Türk Psikolojik Araştırmalar Dergisi, 19(2), 100-110.</w:t>
      </w:r>
    </w:p>
    <w:p w14:paraId="3E6523A8" w14:textId="77777777" w:rsidR="001E7189" w:rsidRPr="00DA3117" w:rsidRDefault="001E7189">
      <w:pPr>
        <w:pStyle w:val="ListeParagraf"/>
        <w:numPr>
          <w:ilvl w:val="0"/>
          <w:numId w:val="46"/>
        </w:numPr>
        <w:jc w:val="both"/>
      </w:pPr>
      <w:r w:rsidRPr="00DA3117">
        <w:t>Tektaş, N. (2014). Üniversite mezunlarının kaygı düzeylerinin incelenmesi. Selçuk Üniversitesi Sosyal Bilimler Enstitüsü Dergisi, 1(31), 243-253.</w:t>
      </w:r>
    </w:p>
    <w:p w14:paraId="4915CC8E" w14:textId="77777777" w:rsidR="001E7189" w:rsidRPr="00DA3117" w:rsidRDefault="001E7189">
      <w:pPr>
        <w:pStyle w:val="ListeParagraf"/>
        <w:numPr>
          <w:ilvl w:val="0"/>
          <w:numId w:val="46"/>
        </w:numPr>
        <w:jc w:val="both"/>
      </w:pPr>
      <w:r w:rsidRPr="00DA3117">
        <w:t xml:space="preserve">Tezcan, F. (2018). Üniversite Gençliğinin Meslek Seçimi ve Gelecek Beklentileri: Akdeniz Üniversitesi Edebiyat Fakültesi Örneği. OPUS International </w:t>
      </w:r>
      <w:proofErr w:type="spellStart"/>
      <w:r w:rsidRPr="00DA3117">
        <w:t>Journal</w:t>
      </w:r>
      <w:proofErr w:type="spellEnd"/>
      <w:r w:rsidRPr="00DA3117">
        <w:t xml:space="preserve"> of </w:t>
      </w:r>
      <w:proofErr w:type="spellStart"/>
      <w:r w:rsidRPr="00DA3117">
        <w:t>Society</w:t>
      </w:r>
      <w:proofErr w:type="spellEnd"/>
      <w:r w:rsidRPr="00DA3117">
        <w:t xml:space="preserve"> </w:t>
      </w:r>
      <w:proofErr w:type="spellStart"/>
      <w:r w:rsidRPr="00DA3117">
        <w:t>Researches</w:t>
      </w:r>
      <w:proofErr w:type="spellEnd"/>
      <w:r w:rsidRPr="00DA3117">
        <w:t>, 8(1), 27-57. https://doi.org/10.26466/opus.393634</w:t>
      </w:r>
    </w:p>
    <w:p w14:paraId="64554C55" w14:textId="77777777" w:rsidR="001E7189" w:rsidRPr="00DA3117" w:rsidRDefault="001E7189">
      <w:pPr>
        <w:pStyle w:val="ListeParagraf"/>
        <w:numPr>
          <w:ilvl w:val="0"/>
          <w:numId w:val="46"/>
        </w:numPr>
        <w:jc w:val="both"/>
      </w:pPr>
      <w:r w:rsidRPr="00DA3117">
        <w:t xml:space="preserve">Watson, J. B., ve </w:t>
      </w:r>
      <w:proofErr w:type="spellStart"/>
      <w:r w:rsidRPr="00DA3117">
        <w:t>Rayner</w:t>
      </w:r>
      <w:proofErr w:type="spellEnd"/>
      <w:r w:rsidRPr="00DA3117">
        <w:t xml:space="preserve">, R. (1920). </w:t>
      </w:r>
      <w:proofErr w:type="spellStart"/>
      <w:r w:rsidRPr="00DA3117">
        <w:rPr>
          <w:rStyle w:val="Vurgu"/>
        </w:rPr>
        <w:t>Conditioned</w:t>
      </w:r>
      <w:proofErr w:type="spellEnd"/>
      <w:r w:rsidRPr="00DA3117">
        <w:rPr>
          <w:rStyle w:val="Vurgu"/>
        </w:rPr>
        <w:t xml:space="preserve"> </w:t>
      </w:r>
      <w:proofErr w:type="spellStart"/>
      <w:r w:rsidRPr="00DA3117">
        <w:rPr>
          <w:rStyle w:val="Vurgu"/>
        </w:rPr>
        <w:t>emotional</w:t>
      </w:r>
      <w:proofErr w:type="spellEnd"/>
      <w:r w:rsidRPr="00DA3117">
        <w:rPr>
          <w:rStyle w:val="Vurgu"/>
        </w:rPr>
        <w:t xml:space="preserve"> </w:t>
      </w:r>
      <w:proofErr w:type="spellStart"/>
      <w:r w:rsidRPr="00DA3117">
        <w:rPr>
          <w:rStyle w:val="Vurgu"/>
        </w:rPr>
        <w:t>reactions</w:t>
      </w:r>
      <w:proofErr w:type="spellEnd"/>
      <w:r w:rsidRPr="00DA3117">
        <w:t xml:space="preserve">. </w:t>
      </w:r>
      <w:proofErr w:type="spellStart"/>
      <w:r w:rsidRPr="00DA3117">
        <w:t>Journal</w:t>
      </w:r>
      <w:proofErr w:type="spellEnd"/>
      <w:r w:rsidRPr="00DA3117">
        <w:t xml:space="preserve"> of </w:t>
      </w:r>
      <w:proofErr w:type="spellStart"/>
      <w:r w:rsidRPr="00DA3117">
        <w:t>Experimental</w:t>
      </w:r>
      <w:proofErr w:type="spellEnd"/>
      <w:r w:rsidRPr="00DA3117">
        <w:t xml:space="preserve"> </w:t>
      </w:r>
      <w:proofErr w:type="spellStart"/>
      <w:r w:rsidRPr="00DA3117">
        <w:t>Psychology</w:t>
      </w:r>
      <w:proofErr w:type="spellEnd"/>
      <w:r w:rsidRPr="00DA3117">
        <w:t>, 3(1), 1–14.</w:t>
      </w:r>
    </w:p>
    <w:p w14:paraId="375E5689" w14:textId="77777777" w:rsidR="001E7189" w:rsidRPr="00DA3117" w:rsidRDefault="001E7189">
      <w:pPr>
        <w:pStyle w:val="ListeParagraf"/>
        <w:numPr>
          <w:ilvl w:val="0"/>
          <w:numId w:val="46"/>
        </w:numPr>
        <w:jc w:val="both"/>
      </w:pPr>
      <w:r w:rsidRPr="00DA3117">
        <w:t xml:space="preserve">Yavuzer, H., Demir, İ., Meşeci, F., Sertelin, Ç. (2012). Günümüz Gençliğinin Gelecek Beklentileri. </w:t>
      </w:r>
      <w:proofErr w:type="spellStart"/>
      <w:r w:rsidRPr="00DA3117">
        <w:t>Hayef</w:t>
      </w:r>
      <w:proofErr w:type="spellEnd"/>
      <w:r w:rsidRPr="00DA3117">
        <w:t xml:space="preserve"> </w:t>
      </w:r>
      <w:proofErr w:type="spellStart"/>
      <w:r w:rsidRPr="00DA3117">
        <w:t>Journal</w:t>
      </w:r>
      <w:proofErr w:type="spellEnd"/>
      <w:r w:rsidRPr="00DA3117">
        <w:t xml:space="preserve"> of </w:t>
      </w:r>
      <w:proofErr w:type="spellStart"/>
      <w:r w:rsidRPr="00DA3117">
        <w:t>Education</w:t>
      </w:r>
      <w:proofErr w:type="spellEnd"/>
      <w:r w:rsidRPr="00DA3117">
        <w:t>, 2(2), 93-103.</w:t>
      </w:r>
    </w:p>
    <w:p w14:paraId="392A90B3" w14:textId="77777777" w:rsidR="001E7189" w:rsidRPr="00DA3117" w:rsidRDefault="001E7189">
      <w:pPr>
        <w:pStyle w:val="ListeParagraf"/>
        <w:numPr>
          <w:ilvl w:val="0"/>
          <w:numId w:val="46"/>
        </w:numPr>
        <w:jc w:val="both"/>
      </w:pPr>
      <w:r w:rsidRPr="00DA3117">
        <w:t xml:space="preserve">Yıldız, T. ve Koçyiğit, E. G. (2023). Genç Yetişkinlerde Kaygı Düzeyi ile Ontolojik İyi Oluş Arasındaki İlişkide Bilişsel Esnekliğin Aracı Rolü. </w:t>
      </w:r>
      <w:proofErr w:type="spellStart"/>
      <w:r w:rsidRPr="00114C6B">
        <w:rPr>
          <w:i/>
          <w:iCs/>
        </w:rPr>
        <w:t>Bayterek</w:t>
      </w:r>
      <w:proofErr w:type="spellEnd"/>
      <w:r w:rsidRPr="00114C6B">
        <w:rPr>
          <w:i/>
          <w:iCs/>
        </w:rPr>
        <w:t xml:space="preserve"> Uluslararası Akademik Araştırmalar Dergisi, 6(</w:t>
      </w:r>
      <w:r w:rsidRPr="00DA3117">
        <w:t>2), 423-440. https://doi.org/10.48174/buaad.1362976</w:t>
      </w:r>
    </w:p>
    <w:p w14:paraId="30FDEF15" w14:textId="7BF8BB37" w:rsidR="00C70E93" w:rsidRDefault="001E7189">
      <w:pPr>
        <w:pStyle w:val="ListeParagraf"/>
        <w:numPr>
          <w:ilvl w:val="0"/>
          <w:numId w:val="46"/>
        </w:numPr>
        <w:jc w:val="both"/>
      </w:pPr>
      <w:r w:rsidRPr="00DA3117">
        <w:t xml:space="preserve">Yılmaz, Ö., Çetinkaya, M. ve Uğurlu, A. (2004). Uzun süreli işsizliğin genç yetişkinlerde sosyal ve sağlık etkileri. </w:t>
      </w:r>
      <w:r w:rsidRPr="00DA3117">
        <w:rPr>
          <w:rStyle w:val="Vurgu"/>
        </w:rPr>
        <w:t>Sosyal Bilimler Dergisi</w:t>
      </w:r>
      <w:r w:rsidRPr="00DA3117">
        <w:t>, 8(4), 166-180.</w:t>
      </w:r>
    </w:p>
    <w:p w14:paraId="73CCC9A3" w14:textId="0AF9349F" w:rsidR="009D0899" w:rsidRPr="00DA3117" w:rsidRDefault="00C70E93" w:rsidP="007513A1">
      <w:pPr>
        <w:autoSpaceDE/>
        <w:autoSpaceDN/>
      </w:pPr>
      <w:r>
        <w:br w:type="page"/>
      </w:r>
    </w:p>
    <w:p w14:paraId="18C9BA1E" w14:textId="77777777" w:rsidR="001E7189" w:rsidRDefault="001E7189" w:rsidP="004C7694">
      <w:pPr>
        <w:pStyle w:val="Tark"/>
      </w:pPr>
      <w:bookmarkStart w:id="149" w:name="_Toc192855219"/>
      <w:proofErr w:type="spellStart"/>
      <w:r w:rsidRPr="002906A3">
        <w:lastRenderedPageBreak/>
        <w:t>The</w:t>
      </w:r>
      <w:proofErr w:type="spellEnd"/>
      <w:r w:rsidRPr="002906A3">
        <w:t xml:space="preserve"> </w:t>
      </w:r>
      <w:proofErr w:type="spellStart"/>
      <w:r w:rsidRPr="002906A3">
        <w:t>Substance</w:t>
      </w:r>
      <w:proofErr w:type="spellEnd"/>
      <w:r w:rsidRPr="002906A3">
        <w:t xml:space="preserve">: A </w:t>
      </w:r>
      <w:proofErr w:type="spellStart"/>
      <w:r w:rsidRPr="002906A3">
        <w:t>Psychological</w:t>
      </w:r>
      <w:proofErr w:type="spellEnd"/>
      <w:r w:rsidRPr="002906A3">
        <w:t xml:space="preserve"> </w:t>
      </w:r>
      <w:proofErr w:type="spellStart"/>
      <w:r w:rsidRPr="002906A3">
        <w:t>and</w:t>
      </w:r>
      <w:proofErr w:type="spellEnd"/>
      <w:r w:rsidRPr="002906A3">
        <w:t xml:space="preserve"> </w:t>
      </w:r>
      <w:proofErr w:type="spellStart"/>
      <w:r w:rsidRPr="002906A3">
        <w:t>Existential</w:t>
      </w:r>
      <w:proofErr w:type="spellEnd"/>
      <w:r w:rsidRPr="002906A3">
        <w:t xml:space="preserve"> Exploration of </w:t>
      </w:r>
      <w:proofErr w:type="spellStart"/>
      <w:r w:rsidRPr="002906A3">
        <w:t>Beauty</w:t>
      </w:r>
      <w:proofErr w:type="spellEnd"/>
      <w:r w:rsidRPr="002906A3">
        <w:t xml:space="preserve">, Identity, </w:t>
      </w:r>
      <w:proofErr w:type="spellStart"/>
      <w:r w:rsidRPr="002906A3">
        <w:t>and</w:t>
      </w:r>
      <w:proofErr w:type="spellEnd"/>
      <w:r w:rsidRPr="002906A3">
        <w:t xml:space="preserve"> </w:t>
      </w:r>
      <w:proofErr w:type="spellStart"/>
      <w:r w:rsidRPr="002906A3">
        <w:t>Social</w:t>
      </w:r>
      <w:proofErr w:type="spellEnd"/>
      <w:r w:rsidRPr="002906A3">
        <w:t xml:space="preserve"> </w:t>
      </w:r>
      <w:proofErr w:type="spellStart"/>
      <w:r w:rsidRPr="002906A3">
        <w:t>Marginalization</w:t>
      </w:r>
      <w:bookmarkEnd w:id="149"/>
      <w:proofErr w:type="spellEnd"/>
    </w:p>
    <w:p w14:paraId="326A5247" w14:textId="77777777" w:rsidR="00E80666" w:rsidRPr="00E80666" w:rsidRDefault="00E80666" w:rsidP="00E80666">
      <w:pPr>
        <w:pStyle w:val="Metin"/>
      </w:pPr>
    </w:p>
    <w:p w14:paraId="0DF5E14D" w14:textId="69521F0A" w:rsidR="001E7189" w:rsidRPr="002906A3" w:rsidRDefault="00DA3117" w:rsidP="00E80666">
      <w:pPr>
        <w:jc w:val="center"/>
        <w:rPr>
          <w:color w:val="000000"/>
        </w:rPr>
      </w:pPr>
      <w:r>
        <w:rPr>
          <w:color w:val="000000"/>
        </w:rPr>
        <w:t>Sadık</w:t>
      </w:r>
      <w:r w:rsidR="001E7189" w:rsidRPr="002906A3">
        <w:rPr>
          <w:color w:val="000000"/>
        </w:rPr>
        <w:t xml:space="preserve"> </w:t>
      </w:r>
      <w:r>
        <w:rPr>
          <w:color w:val="000000"/>
        </w:rPr>
        <w:t>Çalışkan</w:t>
      </w:r>
      <w:r w:rsidR="001E7189" w:rsidRPr="002906A3">
        <w:rPr>
          <w:color w:val="000000"/>
        </w:rPr>
        <w:br/>
      </w:r>
      <w:proofErr w:type="spellStart"/>
      <w:r w:rsidR="001E7189" w:rsidRPr="002906A3">
        <w:rPr>
          <w:color w:val="000000"/>
        </w:rPr>
        <w:t>Doc.Dr</w:t>
      </w:r>
      <w:proofErr w:type="spellEnd"/>
      <w:r w:rsidR="001E7189" w:rsidRPr="002906A3">
        <w:rPr>
          <w:color w:val="000000"/>
        </w:rPr>
        <w:t xml:space="preserve">. </w:t>
      </w:r>
      <w:proofErr w:type="spellStart"/>
      <w:r w:rsidR="001E7189" w:rsidRPr="002906A3">
        <w:rPr>
          <w:color w:val="000000"/>
        </w:rPr>
        <w:t>Inonu</w:t>
      </w:r>
      <w:proofErr w:type="spellEnd"/>
      <w:r w:rsidR="001E7189" w:rsidRPr="002906A3">
        <w:rPr>
          <w:color w:val="000000"/>
        </w:rPr>
        <w:t xml:space="preserve"> </w:t>
      </w:r>
      <w:proofErr w:type="spellStart"/>
      <w:proofErr w:type="gramStart"/>
      <w:r w:rsidR="001E7189" w:rsidRPr="002906A3">
        <w:rPr>
          <w:color w:val="000000"/>
        </w:rPr>
        <w:t>Universitesi</w:t>
      </w:r>
      <w:proofErr w:type="spellEnd"/>
      <w:r w:rsidR="001E7189" w:rsidRPr="002906A3">
        <w:rPr>
          <w:color w:val="000000"/>
        </w:rPr>
        <w:t xml:space="preserve"> ,</w:t>
      </w:r>
      <w:proofErr w:type="spellStart"/>
      <w:r w:rsidR="001E7189" w:rsidRPr="002906A3">
        <w:rPr>
          <w:color w:val="000000"/>
        </w:rPr>
        <w:t>Iletisim</w:t>
      </w:r>
      <w:proofErr w:type="spellEnd"/>
      <w:proofErr w:type="gramEnd"/>
      <w:r w:rsidR="001E7189" w:rsidRPr="002906A3">
        <w:rPr>
          <w:color w:val="000000"/>
        </w:rPr>
        <w:t xml:space="preserve"> </w:t>
      </w:r>
      <w:proofErr w:type="spellStart"/>
      <w:r w:rsidR="001E7189" w:rsidRPr="002906A3">
        <w:rPr>
          <w:color w:val="000000"/>
        </w:rPr>
        <w:t>Fakultesi</w:t>
      </w:r>
      <w:proofErr w:type="spellEnd"/>
      <w:r w:rsidR="001E7189" w:rsidRPr="002906A3">
        <w:rPr>
          <w:color w:val="000000"/>
        </w:rPr>
        <w:br/>
      </w:r>
      <w:hyperlink r:id="rId184" w:history="1">
        <w:r w:rsidR="001E7189" w:rsidRPr="002906A3">
          <w:rPr>
            <w:color w:val="0000FF"/>
            <w:u w:val="single"/>
          </w:rPr>
          <w:t>sadik.caliskan@inonu.edu.tr</w:t>
        </w:r>
      </w:hyperlink>
    </w:p>
    <w:p w14:paraId="2CD0F6A1" w14:textId="77777777" w:rsidR="001E7189" w:rsidRDefault="001E7189" w:rsidP="00E80666">
      <w:pPr>
        <w:jc w:val="center"/>
        <w:rPr>
          <w:color w:val="000000"/>
        </w:rPr>
      </w:pPr>
      <w:r w:rsidRPr="002906A3">
        <w:rPr>
          <w:color w:val="000000"/>
        </w:rPr>
        <w:t>0000-0001-6699-0424</w:t>
      </w:r>
    </w:p>
    <w:p w14:paraId="30908B6A" w14:textId="77777777" w:rsidR="00E80666" w:rsidRPr="002906A3" w:rsidRDefault="00E80666" w:rsidP="00E80666">
      <w:pPr>
        <w:jc w:val="center"/>
        <w:rPr>
          <w:color w:val="000000"/>
        </w:rPr>
      </w:pPr>
    </w:p>
    <w:p w14:paraId="6792460B" w14:textId="77777777" w:rsidR="001E7189" w:rsidRDefault="001E7189" w:rsidP="00E80666">
      <w:pPr>
        <w:jc w:val="center"/>
        <w:rPr>
          <w:color w:val="000000"/>
        </w:rPr>
      </w:pPr>
      <w:r w:rsidRPr="002906A3">
        <w:rPr>
          <w:color w:val="000000"/>
        </w:rPr>
        <w:t>Tuba Arslan</w:t>
      </w:r>
      <w:r w:rsidRPr="002906A3">
        <w:rPr>
          <w:color w:val="000000"/>
        </w:rPr>
        <w:br/>
      </w:r>
      <w:proofErr w:type="spellStart"/>
      <w:r w:rsidRPr="002906A3">
        <w:rPr>
          <w:color w:val="000000"/>
        </w:rPr>
        <w:t>Ogr.Gor</w:t>
      </w:r>
      <w:proofErr w:type="spellEnd"/>
      <w:r w:rsidRPr="002906A3">
        <w:rPr>
          <w:color w:val="000000"/>
        </w:rPr>
        <w:t xml:space="preserve">, Ankara </w:t>
      </w:r>
      <w:proofErr w:type="spellStart"/>
      <w:r w:rsidRPr="002906A3">
        <w:rPr>
          <w:color w:val="000000"/>
        </w:rPr>
        <w:t>Yildirim</w:t>
      </w:r>
      <w:proofErr w:type="spellEnd"/>
      <w:r w:rsidRPr="002906A3">
        <w:rPr>
          <w:color w:val="000000"/>
        </w:rPr>
        <w:t xml:space="preserve"> </w:t>
      </w:r>
      <w:proofErr w:type="spellStart"/>
      <w:r w:rsidRPr="002906A3">
        <w:rPr>
          <w:color w:val="000000"/>
        </w:rPr>
        <w:t>Beyazit</w:t>
      </w:r>
      <w:proofErr w:type="spellEnd"/>
      <w:r w:rsidRPr="002906A3">
        <w:rPr>
          <w:color w:val="000000"/>
        </w:rPr>
        <w:t xml:space="preserve"> </w:t>
      </w:r>
      <w:proofErr w:type="spellStart"/>
      <w:r w:rsidRPr="002906A3">
        <w:rPr>
          <w:color w:val="000000"/>
        </w:rPr>
        <w:t>Universitesi</w:t>
      </w:r>
      <w:proofErr w:type="spellEnd"/>
      <w:r w:rsidRPr="002906A3">
        <w:rPr>
          <w:color w:val="000000"/>
        </w:rPr>
        <w:t xml:space="preserve">, </w:t>
      </w:r>
      <w:proofErr w:type="spellStart"/>
      <w:r w:rsidRPr="002906A3">
        <w:rPr>
          <w:color w:val="000000"/>
        </w:rPr>
        <w:t>Yabanci</w:t>
      </w:r>
      <w:proofErr w:type="spellEnd"/>
      <w:r w:rsidRPr="002906A3">
        <w:rPr>
          <w:color w:val="000000"/>
        </w:rPr>
        <w:t xml:space="preserve"> Diller </w:t>
      </w:r>
      <w:proofErr w:type="spellStart"/>
      <w:r w:rsidRPr="002906A3">
        <w:rPr>
          <w:color w:val="000000"/>
        </w:rPr>
        <w:t>Yuksekokulu</w:t>
      </w:r>
      <w:proofErr w:type="spellEnd"/>
      <w:r w:rsidRPr="002906A3">
        <w:rPr>
          <w:color w:val="000000"/>
        </w:rPr>
        <w:br/>
        <w:t>arslanntubaa@hotmail.com</w:t>
      </w:r>
      <w:r w:rsidRPr="002906A3">
        <w:rPr>
          <w:color w:val="000000"/>
        </w:rPr>
        <w:br/>
        <w:t>0000-0003-0919-1416</w:t>
      </w:r>
    </w:p>
    <w:p w14:paraId="42EB1565" w14:textId="77777777" w:rsidR="00E80666" w:rsidRPr="002906A3" w:rsidRDefault="00E80666" w:rsidP="00E80666">
      <w:pPr>
        <w:jc w:val="center"/>
        <w:rPr>
          <w:color w:val="000000"/>
        </w:rPr>
      </w:pPr>
    </w:p>
    <w:p w14:paraId="7195FFBE" w14:textId="77777777" w:rsidR="001E7189" w:rsidRPr="002906A3" w:rsidRDefault="001E7189" w:rsidP="00E80666">
      <w:pPr>
        <w:jc w:val="center"/>
        <w:rPr>
          <w:color w:val="000000"/>
        </w:rPr>
      </w:pPr>
      <w:proofErr w:type="spellStart"/>
      <w:r w:rsidRPr="002906A3">
        <w:rPr>
          <w:b/>
          <w:bCs/>
          <w:color w:val="000000"/>
        </w:rPr>
        <w:t>Abstract</w:t>
      </w:r>
      <w:proofErr w:type="spellEnd"/>
    </w:p>
    <w:p w14:paraId="2280FD82" w14:textId="0E7DAD1C" w:rsidR="001E7189" w:rsidRPr="002906A3" w:rsidRDefault="001E7189" w:rsidP="00E80666">
      <w:pPr>
        <w:jc w:val="both"/>
        <w:rPr>
          <w:color w:val="000000"/>
        </w:rPr>
      </w:pPr>
      <w:proofErr w:type="spellStart"/>
      <w:r w:rsidRPr="002906A3">
        <w:rPr>
          <w:i/>
          <w:iCs/>
          <w:color w:val="000000"/>
        </w:rPr>
        <w:t>The</w:t>
      </w:r>
      <w:proofErr w:type="spellEnd"/>
      <w:r w:rsidRPr="002906A3">
        <w:rPr>
          <w:i/>
          <w:iCs/>
          <w:color w:val="000000"/>
        </w:rPr>
        <w:t xml:space="preserve"> </w:t>
      </w:r>
      <w:proofErr w:type="spellStart"/>
      <w:r w:rsidRPr="002906A3">
        <w:rPr>
          <w:i/>
          <w:iCs/>
          <w:color w:val="000000"/>
        </w:rPr>
        <w:t>Substance</w:t>
      </w:r>
      <w:proofErr w:type="spellEnd"/>
      <w:r w:rsidRPr="002906A3">
        <w:rPr>
          <w:color w:val="000000"/>
        </w:rPr>
        <w:t xml:space="preserve"> is a 2024 </w:t>
      </w:r>
      <w:proofErr w:type="spellStart"/>
      <w:r w:rsidRPr="002906A3">
        <w:rPr>
          <w:color w:val="000000"/>
        </w:rPr>
        <w:t>released</w:t>
      </w:r>
      <w:proofErr w:type="spellEnd"/>
      <w:r w:rsidRPr="002906A3">
        <w:rPr>
          <w:color w:val="000000"/>
        </w:rPr>
        <w:t xml:space="preserve"> body </w:t>
      </w:r>
      <w:proofErr w:type="spellStart"/>
      <w:r w:rsidRPr="002906A3">
        <w:rPr>
          <w:color w:val="000000"/>
        </w:rPr>
        <w:t>horror</w:t>
      </w:r>
      <w:proofErr w:type="spellEnd"/>
      <w:r w:rsidRPr="002906A3">
        <w:rPr>
          <w:color w:val="000000"/>
        </w:rPr>
        <w:t xml:space="preserve"> film </w:t>
      </w:r>
      <w:proofErr w:type="spellStart"/>
      <w:r w:rsidRPr="002906A3">
        <w:rPr>
          <w:color w:val="000000"/>
        </w:rPr>
        <w:t>written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directed</w:t>
      </w:r>
      <w:proofErr w:type="spellEnd"/>
      <w:r w:rsidRPr="002906A3">
        <w:rPr>
          <w:color w:val="000000"/>
        </w:rPr>
        <w:t xml:space="preserve"> </w:t>
      </w:r>
      <w:proofErr w:type="spellStart"/>
      <w:r w:rsidRPr="002906A3">
        <w:rPr>
          <w:color w:val="000000"/>
        </w:rPr>
        <w:t>by</w:t>
      </w:r>
      <w:proofErr w:type="spellEnd"/>
      <w:r w:rsidRPr="002906A3">
        <w:rPr>
          <w:color w:val="000000"/>
        </w:rPr>
        <w:t xml:space="preserve"> </w:t>
      </w:r>
      <w:proofErr w:type="spellStart"/>
      <w:r w:rsidRPr="002906A3">
        <w:rPr>
          <w:color w:val="000000"/>
        </w:rPr>
        <w:t>Coralie</w:t>
      </w:r>
      <w:proofErr w:type="spellEnd"/>
      <w:r w:rsidRPr="002906A3">
        <w:rPr>
          <w:color w:val="000000"/>
        </w:rPr>
        <w:t xml:space="preserve"> </w:t>
      </w:r>
      <w:proofErr w:type="spellStart"/>
      <w:r w:rsidRPr="002906A3">
        <w:rPr>
          <w:color w:val="000000"/>
        </w:rPr>
        <w:t>Fargeat</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has </w:t>
      </w:r>
      <w:proofErr w:type="spellStart"/>
      <w:r w:rsidRPr="002906A3">
        <w:rPr>
          <w:color w:val="000000"/>
        </w:rPr>
        <w:t>been</w:t>
      </w:r>
      <w:proofErr w:type="spellEnd"/>
      <w:r w:rsidRPr="002906A3">
        <w:rPr>
          <w:color w:val="000000"/>
        </w:rPr>
        <w:t xml:space="preserve"> </w:t>
      </w:r>
      <w:proofErr w:type="spellStart"/>
      <w:r w:rsidRPr="002906A3">
        <w:rPr>
          <w:color w:val="000000"/>
        </w:rPr>
        <w:t>awarded</w:t>
      </w:r>
      <w:proofErr w:type="spellEnd"/>
      <w:r w:rsidRPr="002906A3">
        <w:rPr>
          <w:color w:val="000000"/>
        </w:rPr>
        <w:t xml:space="preserve"> as </w:t>
      </w:r>
      <w:proofErr w:type="spellStart"/>
      <w:r w:rsidRPr="002906A3">
        <w:rPr>
          <w:color w:val="000000"/>
        </w:rPr>
        <w:t>the</w:t>
      </w:r>
      <w:proofErr w:type="spellEnd"/>
      <w:r w:rsidRPr="002906A3">
        <w:rPr>
          <w:color w:val="000000"/>
        </w:rPr>
        <w:t xml:space="preserve"> </w:t>
      </w:r>
      <w:proofErr w:type="spellStart"/>
      <w:r w:rsidRPr="002906A3">
        <w:rPr>
          <w:color w:val="000000"/>
        </w:rPr>
        <w:t>best</w:t>
      </w:r>
      <w:proofErr w:type="spellEnd"/>
      <w:r w:rsidRPr="002906A3">
        <w:rPr>
          <w:color w:val="000000"/>
        </w:rPr>
        <w:t xml:space="preserve"> </w:t>
      </w:r>
      <w:proofErr w:type="spellStart"/>
      <w:r w:rsidRPr="002906A3">
        <w:rPr>
          <w:color w:val="000000"/>
        </w:rPr>
        <w:t>screenplay</w:t>
      </w:r>
      <w:proofErr w:type="spellEnd"/>
      <w:r w:rsidRPr="002906A3">
        <w:rPr>
          <w:color w:val="000000"/>
        </w:rPr>
        <w:t xml:space="preserve"> at </w:t>
      </w:r>
      <w:proofErr w:type="spellStart"/>
      <w:r w:rsidRPr="002906A3">
        <w:rPr>
          <w:color w:val="000000"/>
        </w:rPr>
        <w:t>the</w:t>
      </w:r>
      <w:proofErr w:type="spellEnd"/>
      <w:r w:rsidRPr="002906A3">
        <w:rPr>
          <w:color w:val="000000"/>
        </w:rPr>
        <w:t xml:space="preserve"> 77 Cannes Film Festival. </w:t>
      </w:r>
      <w:proofErr w:type="spellStart"/>
      <w:r w:rsidRPr="002906A3">
        <w:rPr>
          <w:color w:val="000000"/>
        </w:rPr>
        <w:t>Starring</w:t>
      </w:r>
      <w:proofErr w:type="spellEnd"/>
      <w:r w:rsidRPr="002906A3">
        <w:rPr>
          <w:color w:val="000000"/>
        </w:rPr>
        <w:t xml:space="preserve"> Demi </w:t>
      </w:r>
      <w:proofErr w:type="spellStart"/>
      <w:r w:rsidRPr="002906A3">
        <w:rPr>
          <w:color w:val="000000"/>
        </w:rPr>
        <w:t>Moore</w:t>
      </w:r>
      <w:proofErr w:type="spellEnd"/>
      <w:r w:rsidRPr="002906A3">
        <w:rPr>
          <w:color w:val="000000"/>
        </w:rPr>
        <w:t xml:space="preserve">, it </w:t>
      </w:r>
      <w:proofErr w:type="spellStart"/>
      <w:r w:rsidRPr="002906A3">
        <w:rPr>
          <w:color w:val="000000"/>
        </w:rPr>
        <w:t>features</w:t>
      </w:r>
      <w:proofErr w:type="spellEnd"/>
      <w:r w:rsidRPr="002906A3">
        <w:rPr>
          <w:color w:val="000000"/>
        </w:rPr>
        <w:t xml:space="preserve"> an in </w:t>
      </w:r>
      <w:proofErr w:type="spellStart"/>
      <w:r w:rsidRPr="002906A3">
        <w:rPr>
          <w:color w:val="000000"/>
        </w:rPr>
        <w:t>depth</w:t>
      </w:r>
      <w:proofErr w:type="spellEnd"/>
      <w:r w:rsidRPr="002906A3">
        <w:rPr>
          <w:color w:val="000000"/>
        </w:rPr>
        <w:t xml:space="preserve"> </w:t>
      </w:r>
      <w:proofErr w:type="spellStart"/>
      <w:r w:rsidRPr="002906A3">
        <w:rPr>
          <w:color w:val="000000"/>
        </w:rPr>
        <w:t>exploration</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psychological</w:t>
      </w:r>
      <w:proofErr w:type="spellEnd"/>
      <w:r w:rsidRPr="002906A3">
        <w:rPr>
          <w:color w:val="000000"/>
        </w:rPr>
        <w:t xml:space="preserve"> </w:t>
      </w:r>
      <w:proofErr w:type="spellStart"/>
      <w:r w:rsidRPr="002906A3">
        <w:rPr>
          <w:color w:val="000000"/>
        </w:rPr>
        <w:t>impacts</w:t>
      </w:r>
      <w:proofErr w:type="spellEnd"/>
      <w:r w:rsidRPr="002906A3">
        <w:rPr>
          <w:color w:val="000000"/>
        </w:rPr>
        <w:t xml:space="preserve"> of </w:t>
      </w:r>
      <w:proofErr w:type="spellStart"/>
      <w:r w:rsidRPr="002906A3">
        <w:rPr>
          <w:color w:val="000000"/>
        </w:rPr>
        <w:t>idealized</w:t>
      </w:r>
      <w:proofErr w:type="spellEnd"/>
      <w:r w:rsidRPr="002906A3">
        <w:rPr>
          <w:color w:val="000000"/>
        </w:rPr>
        <w:t xml:space="preserve"> </w:t>
      </w:r>
      <w:proofErr w:type="spellStart"/>
      <w:r w:rsidRPr="002906A3">
        <w:rPr>
          <w:color w:val="000000"/>
        </w:rPr>
        <w:t>beauty</w:t>
      </w:r>
      <w:proofErr w:type="spellEnd"/>
      <w:r w:rsidRPr="002906A3">
        <w:rPr>
          <w:color w:val="000000"/>
        </w:rPr>
        <w:t xml:space="preserve"> </w:t>
      </w:r>
      <w:proofErr w:type="spellStart"/>
      <w:r w:rsidRPr="002906A3">
        <w:rPr>
          <w:color w:val="000000"/>
        </w:rPr>
        <w:t>standards</w:t>
      </w:r>
      <w:proofErr w:type="spellEnd"/>
      <w:r w:rsidRPr="002906A3">
        <w:rPr>
          <w:color w:val="000000"/>
        </w:rPr>
        <w:t xml:space="preserve">, </w:t>
      </w:r>
      <w:proofErr w:type="spellStart"/>
      <w:r w:rsidRPr="002906A3">
        <w:rPr>
          <w:color w:val="000000"/>
        </w:rPr>
        <w:t>age</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internalized</w:t>
      </w:r>
      <w:proofErr w:type="spellEnd"/>
      <w:r w:rsidRPr="002906A3">
        <w:rPr>
          <w:color w:val="000000"/>
        </w:rPr>
        <w:t xml:space="preserve"> </w:t>
      </w:r>
      <w:proofErr w:type="spellStart"/>
      <w:r w:rsidRPr="002906A3">
        <w:rPr>
          <w:color w:val="000000"/>
        </w:rPr>
        <w:t>violence</w:t>
      </w:r>
      <w:proofErr w:type="spellEnd"/>
      <w:r w:rsidRPr="002906A3">
        <w:rPr>
          <w:color w:val="000000"/>
        </w:rPr>
        <w:t xml:space="preserve"> </w:t>
      </w:r>
      <w:proofErr w:type="spellStart"/>
      <w:r w:rsidRPr="002906A3">
        <w:rPr>
          <w:color w:val="000000"/>
        </w:rPr>
        <w:t>inflicted</w:t>
      </w:r>
      <w:proofErr w:type="spellEnd"/>
      <w:r w:rsidRPr="002906A3">
        <w:rPr>
          <w:color w:val="000000"/>
        </w:rPr>
        <w:t xml:space="preserve"> on </w:t>
      </w:r>
      <w:proofErr w:type="spellStart"/>
      <w:r w:rsidRPr="002906A3">
        <w:rPr>
          <w:color w:val="000000"/>
        </w:rPr>
        <w:t>women</w:t>
      </w:r>
      <w:proofErr w:type="spellEnd"/>
      <w:r w:rsidRPr="002906A3">
        <w:rPr>
          <w:color w:val="000000"/>
        </w:rPr>
        <w:t xml:space="preserve"> </w:t>
      </w:r>
      <w:proofErr w:type="spellStart"/>
      <w:r w:rsidRPr="002906A3">
        <w:rPr>
          <w:color w:val="000000"/>
        </w:rPr>
        <w:t>by</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society</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film </w:t>
      </w:r>
      <w:proofErr w:type="spellStart"/>
      <w:r w:rsidRPr="002906A3">
        <w:rPr>
          <w:color w:val="000000"/>
        </w:rPr>
        <w:t>deals</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self-</w:t>
      </w:r>
      <w:proofErr w:type="spellStart"/>
      <w:r w:rsidRPr="002906A3">
        <w:rPr>
          <w:color w:val="000000"/>
        </w:rPr>
        <w:t>destructing</w:t>
      </w:r>
      <w:proofErr w:type="spellEnd"/>
      <w:r w:rsidRPr="002906A3">
        <w:rPr>
          <w:color w:val="000000"/>
        </w:rPr>
        <w:t xml:space="preserve"> </w:t>
      </w:r>
      <w:proofErr w:type="spellStart"/>
      <w:r w:rsidRPr="002906A3">
        <w:rPr>
          <w:color w:val="000000"/>
        </w:rPr>
        <w:t>effects</w:t>
      </w:r>
      <w:proofErr w:type="spellEnd"/>
      <w:r w:rsidRPr="002906A3">
        <w:rPr>
          <w:color w:val="000000"/>
        </w:rPr>
        <w:t xml:space="preserve"> of </w:t>
      </w:r>
      <w:proofErr w:type="spellStart"/>
      <w:r w:rsidRPr="002906A3">
        <w:rPr>
          <w:color w:val="000000"/>
        </w:rPr>
        <w:t>beauty</w:t>
      </w:r>
      <w:proofErr w:type="spellEnd"/>
      <w:r w:rsidRPr="002906A3">
        <w:rPr>
          <w:color w:val="000000"/>
        </w:rPr>
        <w:t xml:space="preserve"> </w:t>
      </w:r>
      <w:proofErr w:type="spellStart"/>
      <w:r w:rsidRPr="002906A3">
        <w:rPr>
          <w:color w:val="000000"/>
        </w:rPr>
        <w:t>ideals</w:t>
      </w:r>
      <w:proofErr w:type="spellEnd"/>
      <w:r w:rsidRPr="002906A3">
        <w:rPr>
          <w:color w:val="000000"/>
        </w:rPr>
        <w:t xml:space="preserve"> </w:t>
      </w:r>
      <w:proofErr w:type="spellStart"/>
      <w:r w:rsidRPr="002906A3">
        <w:rPr>
          <w:color w:val="000000"/>
        </w:rPr>
        <w:t>placed</w:t>
      </w:r>
      <w:proofErr w:type="spellEnd"/>
      <w:r w:rsidRPr="002906A3">
        <w:rPr>
          <w:color w:val="000000"/>
        </w:rPr>
        <w:t xml:space="preserve"> </w:t>
      </w:r>
      <w:proofErr w:type="spellStart"/>
      <w:r w:rsidRPr="002906A3">
        <w:rPr>
          <w:color w:val="000000"/>
        </w:rPr>
        <w:t>upon</w:t>
      </w:r>
      <w:proofErr w:type="spellEnd"/>
      <w:r w:rsidRPr="002906A3">
        <w:rPr>
          <w:color w:val="000000"/>
        </w:rPr>
        <w:t xml:space="preserve"> </w:t>
      </w:r>
      <w:proofErr w:type="spellStart"/>
      <w:r w:rsidRPr="002906A3">
        <w:rPr>
          <w:color w:val="000000"/>
        </w:rPr>
        <w:t>women</w:t>
      </w:r>
      <w:proofErr w:type="spellEnd"/>
      <w:r w:rsidRPr="002906A3">
        <w:rPr>
          <w:color w:val="000000"/>
        </w:rPr>
        <w:t xml:space="preserve"> </w:t>
      </w:r>
      <w:proofErr w:type="spellStart"/>
      <w:r w:rsidRPr="002906A3">
        <w:rPr>
          <w:color w:val="000000"/>
        </w:rPr>
        <w:t>through</w:t>
      </w:r>
      <w:proofErr w:type="spellEnd"/>
      <w:r w:rsidRPr="002906A3">
        <w:rPr>
          <w:color w:val="000000"/>
        </w:rPr>
        <w:t xml:space="preserve"> </w:t>
      </w:r>
      <w:proofErr w:type="spellStart"/>
      <w:r w:rsidRPr="002906A3">
        <w:rPr>
          <w:color w:val="000000"/>
        </w:rPr>
        <w:t>multilayered</w:t>
      </w:r>
      <w:proofErr w:type="spellEnd"/>
      <w:r w:rsidRPr="002906A3">
        <w:rPr>
          <w:color w:val="000000"/>
        </w:rPr>
        <w:t xml:space="preserve"> </w:t>
      </w:r>
      <w:proofErr w:type="spellStart"/>
      <w:r w:rsidRPr="002906A3">
        <w:rPr>
          <w:color w:val="000000"/>
        </w:rPr>
        <w:t>metaphors</w:t>
      </w:r>
      <w:proofErr w:type="spellEnd"/>
      <w:r w:rsidRPr="002906A3">
        <w:rPr>
          <w:color w:val="000000"/>
        </w:rPr>
        <w:t xml:space="preserve">, </w:t>
      </w:r>
      <w:proofErr w:type="spellStart"/>
      <w:r w:rsidRPr="002906A3">
        <w:rPr>
          <w:color w:val="000000"/>
        </w:rPr>
        <w:t>images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nuanced</w:t>
      </w:r>
      <w:proofErr w:type="spellEnd"/>
      <w:r w:rsidRPr="002906A3">
        <w:rPr>
          <w:color w:val="000000"/>
        </w:rPr>
        <w:t xml:space="preserve"> </w:t>
      </w:r>
      <w:proofErr w:type="spellStart"/>
      <w:r w:rsidRPr="002906A3">
        <w:rPr>
          <w:color w:val="000000"/>
        </w:rPr>
        <w:t>storytelling</w:t>
      </w:r>
      <w:proofErr w:type="spellEnd"/>
      <w:r w:rsidRPr="002906A3">
        <w:rPr>
          <w:color w:val="000000"/>
        </w:rPr>
        <w:t xml:space="preserve">. </w:t>
      </w:r>
      <w:proofErr w:type="spellStart"/>
      <w:r w:rsidRPr="002906A3">
        <w:rPr>
          <w:color w:val="000000"/>
        </w:rPr>
        <w:t>Key</w:t>
      </w:r>
      <w:proofErr w:type="spellEnd"/>
      <w:r w:rsidRPr="002906A3">
        <w:rPr>
          <w:color w:val="000000"/>
        </w:rPr>
        <w:t xml:space="preserve"> </w:t>
      </w:r>
      <w:proofErr w:type="spellStart"/>
      <w:r w:rsidRPr="002906A3">
        <w:rPr>
          <w:color w:val="000000"/>
        </w:rPr>
        <w:t>symbols</w:t>
      </w:r>
      <w:proofErr w:type="spellEnd"/>
      <w:r w:rsidRPr="002906A3">
        <w:rPr>
          <w:color w:val="000000"/>
        </w:rPr>
        <w:t xml:space="preserve"> </w:t>
      </w:r>
      <w:proofErr w:type="spellStart"/>
      <w:r w:rsidRPr="002906A3">
        <w:rPr>
          <w:color w:val="000000"/>
        </w:rPr>
        <w:t>such</w:t>
      </w:r>
      <w:proofErr w:type="spellEnd"/>
      <w:r w:rsidRPr="002906A3">
        <w:rPr>
          <w:color w:val="000000"/>
        </w:rPr>
        <w:t xml:space="preserve"> as </w:t>
      </w:r>
      <w:proofErr w:type="spellStart"/>
      <w:r w:rsidRPr="002906A3">
        <w:rPr>
          <w:color w:val="000000"/>
        </w:rPr>
        <w:t>the</w:t>
      </w:r>
      <w:proofErr w:type="spellEnd"/>
      <w:r w:rsidRPr="002906A3">
        <w:rPr>
          <w:color w:val="000000"/>
        </w:rPr>
        <w:t xml:space="preserve"> Hollywood star of Elisabeth </w:t>
      </w:r>
      <w:proofErr w:type="spellStart"/>
      <w:r w:rsidRPr="002906A3">
        <w:rPr>
          <w:color w:val="000000"/>
        </w:rPr>
        <w:t>Sparkle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protagonist), </w:t>
      </w:r>
      <w:proofErr w:type="spellStart"/>
      <w:r w:rsidRPr="002906A3">
        <w:rPr>
          <w:color w:val="000000"/>
        </w:rPr>
        <w:t>which</w:t>
      </w:r>
      <w:proofErr w:type="spellEnd"/>
      <w:r w:rsidRPr="002906A3">
        <w:rPr>
          <w:color w:val="000000"/>
        </w:rPr>
        <w:t xml:space="preserve"> is </w:t>
      </w:r>
      <w:proofErr w:type="spellStart"/>
      <w:r w:rsidRPr="002906A3">
        <w:rPr>
          <w:color w:val="000000"/>
        </w:rPr>
        <w:t>gradually</w:t>
      </w:r>
      <w:proofErr w:type="spellEnd"/>
      <w:r w:rsidRPr="002906A3">
        <w:rPr>
          <w:color w:val="000000"/>
        </w:rPr>
        <w:t xml:space="preserve"> </w:t>
      </w:r>
      <w:proofErr w:type="spellStart"/>
      <w:r w:rsidRPr="002906A3">
        <w:rPr>
          <w:color w:val="000000"/>
        </w:rPr>
        <w:t>wearing</w:t>
      </w:r>
      <w:proofErr w:type="spellEnd"/>
      <w:r w:rsidRPr="002906A3">
        <w:rPr>
          <w:color w:val="000000"/>
        </w:rPr>
        <w:t xml:space="preserve"> </w:t>
      </w:r>
      <w:proofErr w:type="spellStart"/>
      <w:r w:rsidRPr="002906A3">
        <w:rPr>
          <w:color w:val="000000"/>
        </w:rPr>
        <w:t>down</w:t>
      </w:r>
      <w:proofErr w:type="spellEnd"/>
      <w:r w:rsidRPr="002906A3">
        <w:rPr>
          <w:color w:val="000000"/>
        </w:rPr>
        <w:t xml:space="preserve">, </w:t>
      </w:r>
      <w:proofErr w:type="spellStart"/>
      <w:r w:rsidRPr="002906A3">
        <w:rPr>
          <w:color w:val="000000"/>
        </w:rPr>
        <w:t>or</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substance</w:t>
      </w:r>
      <w:proofErr w:type="spellEnd"/>
      <w:r w:rsidRPr="002906A3">
        <w:rPr>
          <w:color w:val="000000"/>
        </w:rPr>
        <w:t xml:space="preserve"> </w:t>
      </w:r>
      <w:proofErr w:type="spellStart"/>
      <w:r w:rsidRPr="002906A3">
        <w:rPr>
          <w:color w:val="000000"/>
        </w:rPr>
        <w:t>itself</w:t>
      </w:r>
      <w:proofErr w:type="spellEnd"/>
      <w:r w:rsidRPr="002906A3">
        <w:rPr>
          <w:color w:val="000000"/>
        </w:rPr>
        <w:t xml:space="preserve">, </w:t>
      </w:r>
      <w:proofErr w:type="spellStart"/>
      <w:r w:rsidRPr="002906A3">
        <w:rPr>
          <w:color w:val="000000"/>
        </w:rPr>
        <w:t>suggest</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deep</w:t>
      </w:r>
      <w:proofErr w:type="spellEnd"/>
      <w:r w:rsidRPr="002906A3">
        <w:rPr>
          <w:color w:val="000000"/>
        </w:rPr>
        <w:t xml:space="preserve"> </w:t>
      </w:r>
      <w:proofErr w:type="spellStart"/>
      <w:r w:rsidRPr="002906A3">
        <w:rPr>
          <w:color w:val="000000"/>
        </w:rPr>
        <w:t>consequences</w:t>
      </w:r>
      <w:proofErr w:type="spellEnd"/>
      <w:r w:rsidRPr="002906A3">
        <w:rPr>
          <w:color w:val="000000"/>
        </w:rPr>
        <w:t xml:space="preserve"> of </w:t>
      </w:r>
      <w:proofErr w:type="spellStart"/>
      <w:r w:rsidRPr="002906A3">
        <w:rPr>
          <w:color w:val="000000"/>
        </w:rPr>
        <w:t>social</w:t>
      </w:r>
      <w:proofErr w:type="spellEnd"/>
      <w:r w:rsidRPr="002906A3">
        <w:rPr>
          <w:color w:val="000000"/>
        </w:rPr>
        <w:t xml:space="preserve"> </w:t>
      </w:r>
      <w:proofErr w:type="spellStart"/>
      <w:r w:rsidRPr="002906A3">
        <w:rPr>
          <w:color w:val="000000"/>
        </w:rPr>
        <w:t>marginalization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beauty</w:t>
      </w:r>
      <w:proofErr w:type="spellEnd"/>
      <w:r w:rsidRPr="002906A3">
        <w:rPr>
          <w:color w:val="000000"/>
        </w:rPr>
        <w:t xml:space="preserve"> </w:t>
      </w:r>
      <w:proofErr w:type="spellStart"/>
      <w:r w:rsidRPr="002906A3">
        <w:rPr>
          <w:color w:val="000000"/>
        </w:rPr>
        <w:t>standards</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emphasize</w:t>
      </w:r>
      <w:proofErr w:type="spellEnd"/>
      <w:r w:rsidRPr="002906A3">
        <w:rPr>
          <w:color w:val="000000"/>
        </w:rPr>
        <w:t xml:space="preserve"> </w:t>
      </w:r>
      <w:proofErr w:type="spellStart"/>
      <w:r w:rsidRPr="002906A3">
        <w:rPr>
          <w:color w:val="000000"/>
        </w:rPr>
        <w:t>perfection</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juxtaposition</w:t>
      </w:r>
      <w:proofErr w:type="spellEnd"/>
      <w:r w:rsidRPr="002906A3">
        <w:rPr>
          <w:color w:val="000000"/>
        </w:rPr>
        <w:t xml:space="preserve"> of Elisabeth </w:t>
      </w:r>
      <w:proofErr w:type="spellStart"/>
      <w:r w:rsidRPr="002906A3">
        <w:rPr>
          <w:color w:val="000000"/>
        </w:rPr>
        <w:t>and</w:t>
      </w:r>
      <w:proofErr w:type="spellEnd"/>
      <w:r w:rsidRPr="002906A3">
        <w:rPr>
          <w:color w:val="000000"/>
        </w:rPr>
        <w:t xml:space="preserve"> her </w:t>
      </w:r>
      <w:proofErr w:type="spellStart"/>
      <w:r w:rsidRPr="002906A3">
        <w:rPr>
          <w:color w:val="000000"/>
        </w:rPr>
        <w:t>idealized</w:t>
      </w:r>
      <w:proofErr w:type="spellEnd"/>
      <w:r w:rsidRPr="002906A3">
        <w:rPr>
          <w:color w:val="000000"/>
        </w:rPr>
        <w:t xml:space="preserve"> </w:t>
      </w:r>
      <w:proofErr w:type="spellStart"/>
      <w:r w:rsidRPr="002906A3">
        <w:rPr>
          <w:color w:val="000000"/>
        </w:rPr>
        <w:t>younger</w:t>
      </w:r>
      <w:proofErr w:type="spellEnd"/>
      <w:r w:rsidRPr="002906A3">
        <w:rPr>
          <w:color w:val="000000"/>
        </w:rPr>
        <w:t xml:space="preserve"> self, </w:t>
      </w:r>
      <w:proofErr w:type="spellStart"/>
      <w:r w:rsidRPr="002906A3">
        <w:rPr>
          <w:color w:val="000000"/>
        </w:rPr>
        <w:t>Sue</w:t>
      </w:r>
      <w:proofErr w:type="spellEnd"/>
      <w:r w:rsidRPr="002906A3">
        <w:rPr>
          <w:color w:val="000000"/>
        </w:rPr>
        <w:t xml:space="preserve">, </w:t>
      </w:r>
      <w:proofErr w:type="spellStart"/>
      <w:r w:rsidRPr="002906A3">
        <w:rPr>
          <w:color w:val="000000"/>
        </w:rPr>
        <w:t>brings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issue</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another</w:t>
      </w:r>
      <w:proofErr w:type="spellEnd"/>
      <w:r w:rsidRPr="002906A3">
        <w:rPr>
          <w:color w:val="000000"/>
        </w:rPr>
        <w:t xml:space="preserve"> </w:t>
      </w:r>
      <w:proofErr w:type="spellStart"/>
      <w:r w:rsidRPr="002906A3">
        <w:rPr>
          <w:color w:val="000000"/>
        </w:rPr>
        <w:t>level</w:t>
      </w:r>
      <w:proofErr w:type="spellEnd"/>
      <w:r w:rsidRPr="002906A3">
        <w:rPr>
          <w:color w:val="000000"/>
        </w:rPr>
        <w:t xml:space="preserve">, </w:t>
      </w:r>
      <w:proofErr w:type="spellStart"/>
      <w:r w:rsidRPr="002906A3">
        <w:rPr>
          <w:color w:val="000000"/>
        </w:rPr>
        <w:t>showing</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futile</w:t>
      </w:r>
      <w:proofErr w:type="spellEnd"/>
      <w:r w:rsidRPr="002906A3">
        <w:rPr>
          <w:color w:val="000000"/>
        </w:rPr>
        <w:t xml:space="preserve"> </w:t>
      </w:r>
      <w:proofErr w:type="spellStart"/>
      <w:r w:rsidRPr="002906A3">
        <w:rPr>
          <w:color w:val="000000"/>
        </w:rPr>
        <w:t>chase</w:t>
      </w:r>
      <w:proofErr w:type="spellEnd"/>
      <w:r w:rsidRPr="002906A3">
        <w:rPr>
          <w:color w:val="000000"/>
        </w:rPr>
        <w:t xml:space="preserve"> </w:t>
      </w:r>
      <w:proofErr w:type="spellStart"/>
      <w:r w:rsidRPr="002906A3">
        <w:rPr>
          <w:color w:val="000000"/>
        </w:rPr>
        <w:t>for</w:t>
      </w:r>
      <w:proofErr w:type="spellEnd"/>
      <w:r w:rsidRPr="002906A3">
        <w:rPr>
          <w:color w:val="000000"/>
        </w:rPr>
        <w:t xml:space="preserve"> </w:t>
      </w:r>
      <w:proofErr w:type="spellStart"/>
      <w:r w:rsidRPr="002906A3">
        <w:rPr>
          <w:color w:val="000000"/>
        </w:rPr>
        <w:t>perfection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eternal</w:t>
      </w:r>
      <w:proofErr w:type="spellEnd"/>
      <w:r w:rsidRPr="002906A3">
        <w:rPr>
          <w:color w:val="000000"/>
        </w:rPr>
        <w:t xml:space="preserve"> </w:t>
      </w:r>
      <w:proofErr w:type="spellStart"/>
      <w:r w:rsidRPr="002906A3">
        <w:rPr>
          <w:color w:val="000000"/>
        </w:rPr>
        <w:t>youth</w:t>
      </w:r>
      <w:proofErr w:type="spellEnd"/>
      <w:r w:rsidRPr="002906A3">
        <w:rPr>
          <w:color w:val="000000"/>
        </w:rPr>
        <w:t xml:space="preserve">, </w:t>
      </w:r>
      <w:proofErr w:type="spellStart"/>
      <w:r w:rsidRPr="002906A3">
        <w:rPr>
          <w:color w:val="000000"/>
        </w:rPr>
        <w:t>while</w:t>
      </w:r>
      <w:proofErr w:type="spellEnd"/>
      <w:r w:rsidRPr="002906A3">
        <w:rPr>
          <w:color w:val="000000"/>
        </w:rPr>
        <w:t xml:space="preserve"> body </w:t>
      </w:r>
      <w:proofErr w:type="spellStart"/>
      <w:r w:rsidRPr="002906A3">
        <w:rPr>
          <w:color w:val="000000"/>
        </w:rPr>
        <w:t>horror</w:t>
      </w:r>
      <w:proofErr w:type="spellEnd"/>
      <w:r w:rsidRPr="002906A3">
        <w:rPr>
          <w:color w:val="000000"/>
        </w:rPr>
        <w:t xml:space="preserve"> </w:t>
      </w:r>
      <w:proofErr w:type="spellStart"/>
      <w:r w:rsidRPr="002906A3">
        <w:rPr>
          <w:color w:val="000000"/>
        </w:rPr>
        <w:t>serves</w:t>
      </w:r>
      <w:proofErr w:type="spellEnd"/>
      <w:r w:rsidRPr="002906A3">
        <w:rPr>
          <w:color w:val="000000"/>
        </w:rPr>
        <w:t xml:space="preserve"> as </w:t>
      </w:r>
      <w:proofErr w:type="spellStart"/>
      <w:r w:rsidRPr="002906A3">
        <w:rPr>
          <w:color w:val="000000"/>
        </w:rPr>
        <w:t>the</w:t>
      </w:r>
      <w:proofErr w:type="spellEnd"/>
      <w:r w:rsidRPr="002906A3">
        <w:rPr>
          <w:color w:val="000000"/>
        </w:rPr>
        <w:t xml:space="preserve"> </w:t>
      </w:r>
      <w:proofErr w:type="spellStart"/>
      <w:r w:rsidRPr="002906A3">
        <w:rPr>
          <w:color w:val="000000"/>
        </w:rPr>
        <w:t>externalization</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misogyny</w:t>
      </w:r>
      <w:proofErr w:type="spellEnd"/>
      <w:r w:rsidRPr="002906A3">
        <w:rPr>
          <w:color w:val="000000"/>
        </w:rPr>
        <w:t xml:space="preserve">. </w:t>
      </w:r>
      <w:proofErr w:type="spellStart"/>
      <w:r w:rsidRPr="002906A3">
        <w:rPr>
          <w:color w:val="000000"/>
        </w:rPr>
        <w:t>Toward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end</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movie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Monstro</w:t>
      </w:r>
      <w:proofErr w:type="spellEnd"/>
      <w:r w:rsidRPr="002906A3">
        <w:rPr>
          <w:color w:val="000000"/>
        </w:rPr>
        <w:t xml:space="preserve">”, </w:t>
      </w:r>
      <w:proofErr w:type="spellStart"/>
      <w:r w:rsidRPr="002906A3">
        <w:rPr>
          <w:color w:val="000000"/>
        </w:rPr>
        <w:t>another</w:t>
      </w:r>
      <w:proofErr w:type="spellEnd"/>
      <w:r w:rsidRPr="002906A3">
        <w:rPr>
          <w:color w:val="000000"/>
        </w:rPr>
        <w:t xml:space="preserve"> </w:t>
      </w:r>
      <w:proofErr w:type="spellStart"/>
      <w:r w:rsidRPr="002906A3">
        <w:rPr>
          <w:color w:val="000000"/>
        </w:rPr>
        <w:t>metaphor</w:t>
      </w:r>
      <w:proofErr w:type="spellEnd"/>
      <w:r w:rsidRPr="002906A3">
        <w:rPr>
          <w:color w:val="000000"/>
        </w:rPr>
        <w:t xml:space="preserve">, </w:t>
      </w:r>
      <w:proofErr w:type="spellStart"/>
      <w:r w:rsidRPr="002906A3">
        <w:rPr>
          <w:color w:val="000000"/>
        </w:rPr>
        <w:t>points</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freedom</w:t>
      </w:r>
      <w:proofErr w:type="spellEnd"/>
      <w:r w:rsidRPr="002906A3">
        <w:rPr>
          <w:color w:val="000000"/>
        </w:rPr>
        <w:t xml:space="preserve"> </w:t>
      </w:r>
      <w:proofErr w:type="spellStart"/>
      <w:r w:rsidRPr="002906A3">
        <w:rPr>
          <w:color w:val="000000"/>
        </w:rPr>
        <w:t>through</w:t>
      </w:r>
      <w:proofErr w:type="spellEnd"/>
      <w:r w:rsidRPr="002906A3">
        <w:rPr>
          <w:color w:val="000000"/>
        </w:rPr>
        <w:t xml:space="preserve"> self-</w:t>
      </w:r>
      <w:proofErr w:type="spellStart"/>
      <w:r w:rsidRPr="002906A3">
        <w:rPr>
          <w:color w:val="000000"/>
        </w:rPr>
        <w:t>acceptance</w:t>
      </w:r>
      <w:proofErr w:type="spellEnd"/>
      <w:r w:rsidRPr="002906A3">
        <w:rPr>
          <w:color w:val="000000"/>
        </w:rPr>
        <w:t xml:space="preserve">. </w:t>
      </w:r>
      <w:proofErr w:type="spellStart"/>
      <w:r w:rsidRPr="002906A3">
        <w:rPr>
          <w:color w:val="000000"/>
        </w:rPr>
        <w:t>Ultimately</w:t>
      </w:r>
      <w:proofErr w:type="spellEnd"/>
      <w:r w:rsidRPr="002906A3">
        <w:rPr>
          <w:color w:val="000000"/>
        </w:rPr>
        <w:t xml:space="preserve">, </w:t>
      </w:r>
      <w:proofErr w:type="spellStart"/>
      <w:r w:rsidRPr="002906A3">
        <w:rPr>
          <w:i/>
          <w:iCs/>
          <w:color w:val="000000"/>
        </w:rPr>
        <w:t>The</w:t>
      </w:r>
      <w:proofErr w:type="spellEnd"/>
      <w:r w:rsidRPr="002906A3">
        <w:rPr>
          <w:i/>
          <w:iCs/>
          <w:color w:val="000000"/>
        </w:rPr>
        <w:t xml:space="preserve"> </w:t>
      </w:r>
      <w:proofErr w:type="spellStart"/>
      <w:r w:rsidRPr="002906A3">
        <w:rPr>
          <w:i/>
          <w:iCs/>
          <w:color w:val="000000"/>
        </w:rPr>
        <w:t>Substance</w:t>
      </w:r>
      <w:proofErr w:type="spellEnd"/>
      <w:r w:rsidRPr="002906A3">
        <w:rPr>
          <w:color w:val="000000"/>
        </w:rPr>
        <w:t xml:space="preserve"> is a </w:t>
      </w:r>
      <w:proofErr w:type="spellStart"/>
      <w:r w:rsidRPr="002906A3">
        <w:rPr>
          <w:color w:val="000000"/>
        </w:rPr>
        <w:t>movie</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transcends</w:t>
      </w:r>
      <w:proofErr w:type="spellEnd"/>
      <w:r w:rsidRPr="002906A3">
        <w:rPr>
          <w:color w:val="000000"/>
        </w:rPr>
        <w:t xml:space="preserve"> </w:t>
      </w:r>
      <w:proofErr w:type="spellStart"/>
      <w:r w:rsidRPr="002906A3">
        <w:rPr>
          <w:color w:val="000000"/>
        </w:rPr>
        <w:t>its</w:t>
      </w:r>
      <w:proofErr w:type="spellEnd"/>
      <w:r w:rsidRPr="002906A3">
        <w:rPr>
          <w:color w:val="000000"/>
        </w:rPr>
        <w:t xml:space="preserve"> </w:t>
      </w:r>
      <w:proofErr w:type="spellStart"/>
      <w:r w:rsidRPr="002906A3">
        <w:rPr>
          <w:color w:val="000000"/>
        </w:rPr>
        <w:t>plot</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engages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audience</w:t>
      </w:r>
      <w:proofErr w:type="spellEnd"/>
      <w:r w:rsidRPr="002906A3">
        <w:rPr>
          <w:color w:val="000000"/>
        </w:rPr>
        <w:t xml:space="preserve"> in </w:t>
      </w:r>
      <w:proofErr w:type="spellStart"/>
      <w:r w:rsidRPr="002906A3">
        <w:rPr>
          <w:color w:val="000000"/>
        </w:rPr>
        <w:t>compelling</w:t>
      </w:r>
      <w:proofErr w:type="spellEnd"/>
      <w:r w:rsidRPr="002906A3">
        <w:rPr>
          <w:color w:val="000000"/>
        </w:rPr>
        <w:t xml:space="preserve"> </w:t>
      </w:r>
      <w:proofErr w:type="spellStart"/>
      <w:r w:rsidRPr="002906A3">
        <w:rPr>
          <w:color w:val="000000"/>
        </w:rPr>
        <w:t>meditation</w:t>
      </w:r>
      <w:proofErr w:type="spellEnd"/>
      <w:r w:rsidRPr="002906A3">
        <w:rPr>
          <w:color w:val="000000"/>
        </w:rPr>
        <w:t xml:space="preserve"> on </w:t>
      </w:r>
      <w:proofErr w:type="spellStart"/>
      <w:r w:rsidRPr="002906A3">
        <w:rPr>
          <w:color w:val="000000"/>
        </w:rPr>
        <w:t>societal</w:t>
      </w:r>
      <w:proofErr w:type="spellEnd"/>
      <w:r w:rsidRPr="002906A3">
        <w:rPr>
          <w:color w:val="000000"/>
        </w:rPr>
        <w:t xml:space="preserve"> </w:t>
      </w:r>
      <w:proofErr w:type="spellStart"/>
      <w:r w:rsidRPr="002906A3">
        <w:rPr>
          <w:color w:val="000000"/>
        </w:rPr>
        <w:t>norms</w:t>
      </w:r>
      <w:proofErr w:type="spellEnd"/>
      <w:r w:rsidRPr="002906A3">
        <w:rPr>
          <w:color w:val="000000"/>
        </w:rPr>
        <w:t xml:space="preserve"> </w:t>
      </w:r>
      <w:proofErr w:type="spellStart"/>
      <w:r w:rsidRPr="002906A3">
        <w:rPr>
          <w:color w:val="000000"/>
        </w:rPr>
        <w:t>devoid</w:t>
      </w:r>
      <w:proofErr w:type="spellEnd"/>
      <w:r w:rsidRPr="002906A3">
        <w:rPr>
          <w:color w:val="000000"/>
        </w:rPr>
        <w:t xml:space="preserve"> of </w:t>
      </w:r>
      <w:proofErr w:type="spellStart"/>
      <w:r w:rsidRPr="002906A3">
        <w:rPr>
          <w:color w:val="000000"/>
        </w:rPr>
        <w:t>true</w:t>
      </w:r>
      <w:proofErr w:type="spellEnd"/>
      <w:r w:rsidRPr="002906A3">
        <w:rPr>
          <w:color w:val="000000"/>
        </w:rPr>
        <w:t xml:space="preserve"> </w:t>
      </w:r>
      <w:proofErr w:type="spellStart"/>
      <w:r w:rsidRPr="002906A3">
        <w:rPr>
          <w:color w:val="000000"/>
        </w:rPr>
        <w:t>worth</w:t>
      </w:r>
      <w:proofErr w:type="spellEnd"/>
      <w:r w:rsidRPr="002906A3">
        <w:rPr>
          <w:color w:val="000000"/>
        </w:rPr>
        <w:t xml:space="preserve">, </w:t>
      </w:r>
      <w:proofErr w:type="spellStart"/>
      <w:r w:rsidRPr="002906A3">
        <w:rPr>
          <w:color w:val="000000"/>
        </w:rPr>
        <w:t>identity</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self-</w:t>
      </w:r>
      <w:proofErr w:type="spellStart"/>
      <w:r w:rsidRPr="002906A3">
        <w:rPr>
          <w:color w:val="000000"/>
        </w:rPr>
        <w:t>acceptance</w:t>
      </w:r>
      <w:proofErr w:type="spellEnd"/>
      <w:r w:rsidRPr="002906A3">
        <w:rPr>
          <w:color w:val="000000"/>
        </w:rPr>
        <w:t xml:space="preserve"> </w:t>
      </w:r>
      <w:proofErr w:type="spellStart"/>
      <w:r w:rsidRPr="002906A3">
        <w:rPr>
          <w:color w:val="000000"/>
        </w:rPr>
        <w:t>beyond</w:t>
      </w:r>
      <w:proofErr w:type="spellEnd"/>
      <w:r w:rsidRPr="002906A3">
        <w:rPr>
          <w:color w:val="000000"/>
        </w:rPr>
        <w:t xml:space="preserve"> </w:t>
      </w:r>
      <w:proofErr w:type="spellStart"/>
      <w:r w:rsidRPr="002906A3">
        <w:rPr>
          <w:color w:val="000000"/>
        </w:rPr>
        <w:t>physicality</w:t>
      </w:r>
      <w:proofErr w:type="spellEnd"/>
      <w:r w:rsidRPr="002906A3">
        <w:rPr>
          <w:color w:val="000000"/>
        </w:rPr>
        <w:t xml:space="preserve">. </w:t>
      </w:r>
      <w:proofErr w:type="spellStart"/>
      <w:r w:rsidRPr="002906A3">
        <w:rPr>
          <w:color w:val="000000"/>
        </w:rPr>
        <w:t>This</w:t>
      </w:r>
      <w:proofErr w:type="spellEnd"/>
      <w:r w:rsidRPr="002906A3">
        <w:rPr>
          <w:color w:val="000000"/>
        </w:rPr>
        <w:t xml:space="preserve"> </w:t>
      </w:r>
      <w:proofErr w:type="spellStart"/>
      <w:r w:rsidRPr="002906A3">
        <w:rPr>
          <w:color w:val="000000"/>
        </w:rPr>
        <w:t>study</w:t>
      </w:r>
      <w:proofErr w:type="spellEnd"/>
      <w:r w:rsidRPr="002906A3">
        <w:rPr>
          <w:color w:val="000000"/>
        </w:rPr>
        <w:t xml:space="preserve"> </w:t>
      </w:r>
      <w:proofErr w:type="spellStart"/>
      <w:r w:rsidRPr="002906A3">
        <w:rPr>
          <w:color w:val="000000"/>
        </w:rPr>
        <w:t>underlines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importance</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film as a </w:t>
      </w:r>
      <w:proofErr w:type="spellStart"/>
      <w:r w:rsidRPr="002906A3">
        <w:rPr>
          <w:color w:val="000000"/>
        </w:rPr>
        <w:t>psychological</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existential</w:t>
      </w:r>
      <w:proofErr w:type="spellEnd"/>
      <w:r w:rsidRPr="002906A3">
        <w:rPr>
          <w:color w:val="000000"/>
        </w:rPr>
        <w:t xml:space="preserve"> </w:t>
      </w:r>
      <w:proofErr w:type="spellStart"/>
      <w:r w:rsidRPr="002906A3">
        <w:rPr>
          <w:color w:val="000000"/>
        </w:rPr>
        <w:t>reflection</w:t>
      </w:r>
      <w:proofErr w:type="spellEnd"/>
      <w:r w:rsidRPr="002906A3">
        <w:rPr>
          <w:color w:val="000000"/>
        </w:rPr>
        <w:t xml:space="preserve"> on </w:t>
      </w:r>
      <w:proofErr w:type="spellStart"/>
      <w:r w:rsidRPr="002906A3">
        <w:rPr>
          <w:color w:val="000000"/>
        </w:rPr>
        <w:t>the</w:t>
      </w:r>
      <w:proofErr w:type="spellEnd"/>
      <w:r w:rsidRPr="002906A3">
        <w:rPr>
          <w:color w:val="000000"/>
        </w:rPr>
        <w:t xml:space="preserve"> </w:t>
      </w:r>
      <w:proofErr w:type="spellStart"/>
      <w:r w:rsidRPr="002906A3">
        <w:rPr>
          <w:color w:val="000000"/>
        </w:rPr>
        <w:t>human</w:t>
      </w:r>
      <w:proofErr w:type="spellEnd"/>
      <w:r w:rsidRPr="002906A3">
        <w:rPr>
          <w:color w:val="000000"/>
        </w:rPr>
        <w:t xml:space="preserve"> </w:t>
      </w:r>
      <w:proofErr w:type="spellStart"/>
      <w:r w:rsidRPr="002906A3">
        <w:rPr>
          <w:color w:val="000000"/>
        </w:rPr>
        <w:t>condition</w:t>
      </w:r>
      <w:proofErr w:type="spellEnd"/>
      <w:r w:rsidRPr="002906A3">
        <w:rPr>
          <w:color w:val="000000"/>
        </w:rPr>
        <w:t>.</w:t>
      </w:r>
    </w:p>
    <w:p w14:paraId="498A23D7" w14:textId="77777777" w:rsidR="001E7189" w:rsidRPr="002906A3" w:rsidRDefault="001E7189" w:rsidP="00E80666">
      <w:pPr>
        <w:rPr>
          <w:color w:val="000000"/>
        </w:rPr>
      </w:pPr>
    </w:p>
    <w:p w14:paraId="538DD11C" w14:textId="01DE3D18" w:rsidR="00C70E93" w:rsidRDefault="000C6508" w:rsidP="00E80666">
      <w:pPr>
        <w:rPr>
          <w:color w:val="000000"/>
          <w:shd w:val="clear" w:color="auto" w:fill="FFFFFF"/>
        </w:rPr>
      </w:pPr>
      <w:proofErr w:type="spellStart"/>
      <w:r>
        <w:rPr>
          <w:b/>
          <w:bCs/>
          <w:color w:val="000000"/>
          <w:shd w:val="clear" w:color="auto" w:fill="FFFFFF"/>
        </w:rPr>
        <w:t>Keywords</w:t>
      </w:r>
      <w:proofErr w:type="spellEnd"/>
      <w:r w:rsidR="001E7189" w:rsidRPr="002906A3">
        <w:rPr>
          <w:color w:val="000000"/>
          <w:shd w:val="clear" w:color="auto" w:fill="FFFFFF"/>
        </w:rPr>
        <w:t>:</w:t>
      </w:r>
      <w:r w:rsidR="001E7189" w:rsidRPr="002906A3">
        <w:rPr>
          <w:i/>
          <w:iCs/>
          <w:color w:val="000000"/>
          <w:shd w:val="clear" w:color="auto" w:fill="FFFFFF"/>
        </w:rPr>
        <w:t xml:space="preserve"> </w:t>
      </w:r>
      <w:r w:rsidR="001E7189" w:rsidRPr="002906A3">
        <w:rPr>
          <w:color w:val="000000"/>
          <w:shd w:val="clear" w:color="auto" w:fill="FFFFFF"/>
        </w:rPr>
        <w:t xml:space="preserve">body </w:t>
      </w:r>
      <w:proofErr w:type="spellStart"/>
      <w:r w:rsidR="001E7189" w:rsidRPr="002906A3">
        <w:rPr>
          <w:color w:val="000000"/>
          <w:shd w:val="clear" w:color="auto" w:fill="FFFFFF"/>
        </w:rPr>
        <w:t>horror</w:t>
      </w:r>
      <w:proofErr w:type="spellEnd"/>
      <w:r w:rsidR="001E7189" w:rsidRPr="002906A3">
        <w:rPr>
          <w:color w:val="000000"/>
          <w:shd w:val="clear" w:color="auto" w:fill="FFFFFF"/>
        </w:rPr>
        <w:t xml:space="preserve">, </w:t>
      </w:r>
      <w:proofErr w:type="spellStart"/>
      <w:r w:rsidR="001E7189" w:rsidRPr="002906A3">
        <w:rPr>
          <w:color w:val="000000"/>
          <w:shd w:val="clear" w:color="auto" w:fill="FFFFFF"/>
        </w:rPr>
        <w:t>beauty</w:t>
      </w:r>
      <w:proofErr w:type="spellEnd"/>
      <w:r w:rsidR="001E7189" w:rsidRPr="002906A3">
        <w:rPr>
          <w:color w:val="000000"/>
          <w:shd w:val="clear" w:color="auto" w:fill="FFFFFF"/>
        </w:rPr>
        <w:t xml:space="preserve"> </w:t>
      </w:r>
      <w:proofErr w:type="spellStart"/>
      <w:r w:rsidR="001E7189" w:rsidRPr="002906A3">
        <w:rPr>
          <w:color w:val="000000"/>
          <w:shd w:val="clear" w:color="auto" w:fill="FFFFFF"/>
        </w:rPr>
        <w:t>standards</w:t>
      </w:r>
      <w:proofErr w:type="spellEnd"/>
      <w:r w:rsidR="001E7189" w:rsidRPr="002906A3">
        <w:rPr>
          <w:color w:val="000000"/>
          <w:shd w:val="clear" w:color="auto" w:fill="FFFFFF"/>
        </w:rPr>
        <w:t>, self-</w:t>
      </w:r>
      <w:proofErr w:type="spellStart"/>
      <w:r w:rsidR="001E7189" w:rsidRPr="002906A3">
        <w:rPr>
          <w:color w:val="000000"/>
          <w:shd w:val="clear" w:color="auto" w:fill="FFFFFF"/>
        </w:rPr>
        <w:t>acceptance</w:t>
      </w:r>
      <w:proofErr w:type="spellEnd"/>
    </w:p>
    <w:p w14:paraId="08F18190" w14:textId="1E930AB5" w:rsidR="00114C6B" w:rsidRPr="00C70E93" w:rsidRDefault="00C70E93" w:rsidP="00E80666">
      <w:pPr>
        <w:autoSpaceDE/>
        <w:autoSpaceDN/>
        <w:rPr>
          <w:color w:val="000000"/>
          <w:shd w:val="clear" w:color="auto" w:fill="FFFFFF"/>
        </w:rPr>
      </w:pPr>
      <w:r>
        <w:rPr>
          <w:color w:val="000000"/>
          <w:shd w:val="clear" w:color="auto" w:fill="FFFFFF"/>
        </w:rPr>
        <w:br w:type="page"/>
      </w:r>
    </w:p>
    <w:p w14:paraId="029C0F7E" w14:textId="77777777" w:rsidR="001E7189" w:rsidRPr="002906A3" w:rsidRDefault="001E7189" w:rsidP="004C7694">
      <w:pPr>
        <w:pStyle w:val="Tark"/>
      </w:pPr>
      <w:bookmarkStart w:id="150" w:name="_Toc192855220"/>
      <w:r w:rsidRPr="002906A3">
        <w:lastRenderedPageBreak/>
        <w:t>Egzersiz Bağımlılığı ve İlişkili Olduğu Psikolojik Değişkenler: Narsisizm, Benlik Saygısı ve Obsesyon Açısından Bir İnceleme</w:t>
      </w:r>
      <w:bookmarkEnd w:id="150"/>
    </w:p>
    <w:p w14:paraId="380B12F7" w14:textId="77777777" w:rsidR="001E7189" w:rsidRPr="002906A3" w:rsidRDefault="001E7189" w:rsidP="00E80666">
      <w:pPr>
        <w:rPr>
          <w:color w:val="000000"/>
        </w:rPr>
      </w:pPr>
    </w:p>
    <w:p w14:paraId="1BE35E6F" w14:textId="77777777" w:rsidR="001E7189" w:rsidRPr="002906A3" w:rsidRDefault="001E7189" w:rsidP="00E80666">
      <w:pPr>
        <w:jc w:val="center"/>
        <w:rPr>
          <w:color w:val="000000"/>
        </w:rPr>
      </w:pPr>
      <w:r w:rsidRPr="002906A3">
        <w:rPr>
          <w:color w:val="000000"/>
        </w:rPr>
        <w:t>Zeynep Akyüz</w:t>
      </w:r>
      <w:r w:rsidRPr="002906A3">
        <w:rPr>
          <w:color w:val="000000"/>
        </w:rPr>
        <w:br/>
        <w:t xml:space="preserve">Arş. Gör. Dr., </w:t>
      </w:r>
      <w:proofErr w:type="spellStart"/>
      <w:r w:rsidRPr="002906A3">
        <w:rPr>
          <w:color w:val="000000"/>
        </w:rPr>
        <w:t>Ondokuz</w:t>
      </w:r>
      <w:proofErr w:type="spellEnd"/>
      <w:r w:rsidRPr="002906A3">
        <w:rPr>
          <w:color w:val="000000"/>
        </w:rPr>
        <w:t xml:space="preserve"> Mayıs Üniversitesi, İnsan ve Toplum Bilimleri Fakültesi, Psikoloji Bölümü</w:t>
      </w:r>
    </w:p>
    <w:p w14:paraId="7CAA847D" w14:textId="77777777" w:rsidR="001E7189" w:rsidRPr="002906A3" w:rsidRDefault="001E7189" w:rsidP="00E80666">
      <w:pPr>
        <w:jc w:val="center"/>
        <w:rPr>
          <w:color w:val="000000"/>
        </w:rPr>
      </w:pPr>
      <w:r w:rsidRPr="002906A3">
        <w:rPr>
          <w:color w:val="000000"/>
        </w:rPr>
        <w:t>zeynep.akyuz@omu.edu.tr</w:t>
      </w:r>
    </w:p>
    <w:p w14:paraId="34A9AA25" w14:textId="77777777" w:rsidR="001E7189" w:rsidRPr="002906A3" w:rsidRDefault="001E7189" w:rsidP="00E80666">
      <w:pPr>
        <w:jc w:val="center"/>
        <w:rPr>
          <w:color w:val="000000"/>
        </w:rPr>
      </w:pPr>
      <w:r w:rsidRPr="002906A3">
        <w:rPr>
          <w:color w:val="000000"/>
        </w:rPr>
        <w:t>0000-0003-1335-6789</w:t>
      </w:r>
    </w:p>
    <w:p w14:paraId="6BF11525" w14:textId="77777777" w:rsidR="001E7189" w:rsidRPr="002906A3" w:rsidRDefault="001E7189" w:rsidP="00E80666">
      <w:pPr>
        <w:rPr>
          <w:color w:val="000000"/>
        </w:rPr>
      </w:pPr>
    </w:p>
    <w:p w14:paraId="1AC52621" w14:textId="77777777" w:rsidR="001E7189" w:rsidRPr="002906A3" w:rsidRDefault="001E7189" w:rsidP="00E80666">
      <w:pPr>
        <w:jc w:val="center"/>
        <w:rPr>
          <w:color w:val="000000"/>
        </w:rPr>
      </w:pPr>
      <w:r w:rsidRPr="002906A3">
        <w:rPr>
          <w:b/>
          <w:bCs/>
          <w:color w:val="000000"/>
        </w:rPr>
        <w:t>Özet</w:t>
      </w:r>
    </w:p>
    <w:p w14:paraId="7AC76EEF" w14:textId="6B860C46" w:rsidR="001E7189" w:rsidRPr="002906A3" w:rsidRDefault="001E7189" w:rsidP="00E80666">
      <w:pPr>
        <w:jc w:val="both"/>
        <w:rPr>
          <w:color w:val="000000"/>
        </w:rPr>
      </w:pPr>
      <w:r w:rsidRPr="002906A3">
        <w:rPr>
          <w:color w:val="000000"/>
        </w:rPr>
        <w:t xml:space="preserve">Fiziksel zorlanmalara rağmen egzersiz davranışının sürdürülmesi egzersiz bağımlılığı kavramını ortaya çıkarmıştır. Bu araştırmada bağımlılığın psikolojik nedenlerini anlayabilmek amacıyla narsisizm, benlik saygısı ve obsesyon değişkenleri ele alınmıştır. Alan yazında bu değişkenlerin egzersiz bağımlılığı ile ilişkili olduğuna dair sonuçlar bulunmaktadır. Ülkemizde bu değişkenlerin egzersiz bağımlılığı ile bağlantısının incelendiği çalışmalar oldukça sınırlı olmakla birlikte psikolojik etkenlerden biri olan obsesyon olgusunun ise ele alındığı bir çalışmaya </w:t>
      </w:r>
      <w:proofErr w:type="spellStart"/>
      <w:proofErr w:type="gramStart"/>
      <w:r w:rsidRPr="002906A3">
        <w:rPr>
          <w:color w:val="000000"/>
        </w:rPr>
        <w:t>rastlanmamıştır.Demografik</w:t>
      </w:r>
      <w:proofErr w:type="spellEnd"/>
      <w:proofErr w:type="gramEnd"/>
      <w:r w:rsidRPr="002906A3">
        <w:rPr>
          <w:color w:val="000000"/>
        </w:rPr>
        <w:t xml:space="preserve"> özelikler açısından bağımlılıkların genç erkek popülasyonda yaygın olduğu alan yazın bilgisinden hareketle bu araştırmada da egzersiz bağımlılığı puanlarının erkeklerde daha yüksek bulunması beklenmiştir. Bağımlılıklara eşlik eden ek bağımlılıkların sıklığı da dikkate alınarak sigara, alkol ve madde kullanımları da incelenmiştir. Bu araştırma bir üniversitede çeşitli düzeylerde eğitimine devam eden ve düzenli egzersiz yaptığını belirten 18 yaşın üzerindeki 176 katılımcı (%48 kadın, %52 erkek) ile yürütülmüştür. Katılımcıların yaşları 18-39 arasında değişmektedir. Veriler çevrimiçi anket yoluyla elde edilmiştir. Sonuçlar egzersiz bağımlılığının </w:t>
      </w:r>
      <w:proofErr w:type="spellStart"/>
      <w:r w:rsidRPr="002906A3">
        <w:rPr>
          <w:color w:val="000000"/>
        </w:rPr>
        <w:t>narsisistik</w:t>
      </w:r>
      <w:proofErr w:type="spellEnd"/>
      <w:r w:rsidRPr="002906A3">
        <w:rPr>
          <w:color w:val="000000"/>
        </w:rPr>
        <w:t xml:space="preserve"> kişilik özelliğinin “üstünlük” alt boyutuyla, obsesyonun “kabul edilemez düşünceler” ile “simetri, eksiksizlik ve bir şeylerin tam olması gereksinimiyle ilgili endişeler” alt boyutları ile olumlu yönde ilişkili olduğu bulunmuştur. Benlik saygısı ise egzersiz bağımlılığı ile ilişkili bulunmamıştır. Cinsiyetler arası karşılaştırmada anlamlı bir fark ve yaş ile korelasyon incelendiğinde anlamlı bir ilişki bulunamamıştır. Katılımcıların </w:t>
      </w:r>
      <w:proofErr w:type="gramStart"/>
      <w:r w:rsidRPr="002906A3">
        <w:rPr>
          <w:color w:val="000000"/>
        </w:rPr>
        <w:t>%61.9</w:t>
      </w:r>
      <w:proofErr w:type="gramEnd"/>
      <w:r w:rsidRPr="002906A3">
        <w:rPr>
          <w:color w:val="000000"/>
        </w:rPr>
        <w:t xml:space="preserve">’u alkol kullanırken, tüm katılımcıları %3.4’ü bağımlılık riski oluşturacak miktarda alkol kullanmaktadır. Katılımcıların </w:t>
      </w:r>
      <w:proofErr w:type="gramStart"/>
      <w:r w:rsidRPr="002906A3">
        <w:rPr>
          <w:color w:val="000000"/>
        </w:rPr>
        <w:t>%4.5</w:t>
      </w:r>
      <w:proofErr w:type="gramEnd"/>
      <w:r w:rsidRPr="002906A3">
        <w:rPr>
          <w:color w:val="000000"/>
        </w:rPr>
        <w:t>’i uyuşturucu/uyarıcı madde kullandığını, %37.5’i ise sigara kullandığını belirtmiştir. Sonuç olarak egzersiz bağımlılığının düşük benlik saygısı ile ilişkili olmadığı, aksine üstünlük, kabul edilemez düşünceler ve bir şeylerin tam olması endişesi gibi daha mükemmeliyetçi kişilik özellikleri ile bağlantılı olduğu söylenebilir. Egzersiz her ne kadar sağlıkla ilgili bir davranış olarak algılansa da alan yazında belirtildiği gibi sağlıklı olmayan madde ile ilişkili davranışların da eşlik ettiği görülmektedir. Bu araştırmada örneklemde yalnızca bir üniversitenin öğrencileri yer almış, bağımlılıkla ilgili ölçümler ise kişilerin öz bildirimlerine dayalı olarak değerlendirilmiştir. Gelecekteki çalışmalarda farklı sosyoekonomik ve eğitim düzeylerinden katılımcıların yer aldığı daha geniş örneklemlerle çalışılması ve madde ile ilişkili davranışların klinisyenler tarafından değerlendirilmesi önerilmektedir.</w:t>
      </w:r>
    </w:p>
    <w:p w14:paraId="4FF7C12E" w14:textId="77777777" w:rsidR="001E7189" w:rsidRPr="002906A3" w:rsidRDefault="001E7189" w:rsidP="00E80666">
      <w:pPr>
        <w:rPr>
          <w:color w:val="000000"/>
        </w:rPr>
      </w:pPr>
    </w:p>
    <w:p w14:paraId="5F1515B0" w14:textId="2B395497" w:rsidR="00C70E93" w:rsidRDefault="001E7189" w:rsidP="00E80666">
      <w:pPr>
        <w:jc w:val="both"/>
        <w:rPr>
          <w:color w:val="000000"/>
        </w:rPr>
      </w:pPr>
      <w:r w:rsidRPr="002906A3">
        <w:rPr>
          <w:b/>
          <w:bCs/>
          <w:color w:val="000000"/>
        </w:rPr>
        <w:t xml:space="preserve">Anahtar </w:t>
      </w:r>
      <w:r w:rsidR="00DA3117">
        <w:rPr>
          <w:b/>
          <w:bCs/>
          <w:color w:val="000000"/>
        </w:rPr>
        <w:t>Kelimeler</w:t>
      </w:r>
      <w:r w:rsidRPr="002906A3">
        <w:rPr>
          <w:b/>
          <w:bCs/>
          <w:color w:val="000000"/>
        </w:rPr>
        <w:t>:</w:t>
      </w:r>
      <w:r w:rsidRPr="002906A3">
        <w:rPr>
          <w:color w:val="000000"/>
        </w:rPr>
        <w:t xml:space="preserve"> Egzersiz Bağımlılığı, Narsisizm, Benlik Saygısı, Obsesyon.</w:t>
      </w:r>
    </w:p>
    <w:p w14:paraId="151798C6" w14:textId="3EA899D9" w:rsidR="001E7189" w:rsidRPr="00C70E93" w:rsidRDefault="00C70E93" w:rsidP="00C70E93">
      <w:pPr>
        <w:autoSpaceDE/>
        <w:autoSpaceDN/>
        <w:rPr>
          <w:color w:val="000000"/>
        </w:rPr>
      </w:pPr>
      <w:r>
        <w:rPr>
          <w:color w:val="000000"/>
        </w:rPr>
        <w:br w:type="page"/>
      </w:r>
    </w:p>
    <w:p w14:paraId="255C4DD6" w14:textId="7CF57C51" w:rsidR="001E7189" w:rsidRDefault="001E7189" w:rsidP="004C7694">
      <w:pPr>
        <w:pStyle w:val="Tark"/>
      </w:pPr>
      <w:bookmarkStart w:id="151" w:name="_Toc192855221"/>
      <w:r w:rsidRPr="002906A3">
        <w:lastRenderedPageBreak/>
        <w:t>Covid-19 Pandemi Sürecinde Pozitif Tanılı Yetişkinlerde Psiko-Sosyal Etkilenmeler</w:t>
      </w:r>
      <w:bookmarkEnd w:id="151"/>
    </w:p>
    <w:p w14:paraId="7E2707C4" w14:textId="77777777" w:rsidR="00E80666" w:rsidRPr="00E80666" w:rsidRDefault="00E80666" w:rsidP="00E80666">
      <w:pPr>
        <w:pStyle w:val="Metin"/>
      </w:pPr>
    </w:p>
    <w:p w14:paraId="6122CF26" w14:textId="2F50909B" w:rsidR="001E7189" w:rsidRPr="002906A3" w:rsidRDefault="001E7189" w:rsidP="00E80666">
      <w:pPr>
        <w:jc w:val="center"/>
        <w:rPr>
          <w:color w:val="000000"/>
        </w:rPr>
      </w:pPr>
      <w:r w:rsidRPr="002906A3">
        <w:rPr>
          <w:color w:val="000000"/>
        </w:rPr>
        <w:t>Gül Nur ŞIK</w:t>
      </w:r>
      <w:r w:rsidRPr="002906A3">
        <w:rPr>
          <w:color w:val="000000"/>
        </w:rPr>
        <w:br/>
        <w:t>Necmettin Erbakan Üniversitesi, Psikoloji Bölümü</w:t>
      </w:r>
      <w:r w:rsidRPr="002906A3">
        <w:rPr>
          <w:color w:val="000000"/>
        </w:rPr>
        <w:br/>
      </w:r>
      <w:hyperlink r:id="rId185" w:history="1">
        <w:r w:rsidRPr="002906A3">
          <w:rPr>
            <w:color w:val="0563C1"/>
            <w:u w:val="single"/>
          </w:rPr>
          <w:t>gull.nurr.sk@gmail.com</w:t>
        </w:r>
      </w:hyperlink>
    </w:p>
    <w:p w14:paraId="0F71DECB" w14:textId="77777777" w:rsidR="001E7189" w:rsidRPr="002906A3" w:rsidRDefault="001E7189" w:rsidP="00E80666">
      <w:pPr>
        <w:rPr>
          <w:color w:val="000000"/>
        </w:rPr>
      </w:pPr>
    </w:p>
    <w:p w14:paraId="1E7CBA23" w14:textId="40C85EFA" w:rsidR="001E7189" w:rsidRPr="002906A3" w:rsidRDefault="001E7189" w:rsidP="00E80666">
      <w:pPr>
        <w:jc w:val="center"/>
        <w:rPr>
          <w:color w:val="000000"/>
        </w:rPr>
      </w:pPr>
      <w:r w:rsidRPr="002906A3">
        <w:rPr>
          <w:color w:val="000000"/>
        </w:rPr>
        <w:t>Cansu TUNCER</w:t>
      </w:r>
      <w:r w:rsidRPr="002906A3">
        <w:rPr>
          <w:color w:val="000000"/>
        </w:rPr>
        <w:br/>
        <w:t>Necmettin Erbakan Üniversitesi, Psikoloji Bölümü</w:t>
      </w:r>
      <w:r w:rsidRPr="002906A3">
        <w:rPr>
          <w:color w:val="000000"/>
        </w:rPr>
        <w:br/>
      </w:r>
      <w:hyperlink r:id="rId186" w:history="1">
        <w:r w:rsidRPr="002906A3">
          <w:rPr>
            <w:color w:val="0563C1"/>
            <w:u w:val="single"/>
          </w:rPr>
          <w:t>Cansutncrxx@gmail.com</w:t>
        </w:r>
      </w:hyperlink>
    </w:p>
    <w:p w14:paraId="31FD8085" w14:textId="77777777" w:rsidR="001E7189" w:rsidRPr="002906A3" w:rsidRDefault="001E7189" w:rsidP="00E80666">
      <w:pPr>
        <w:rPr>
          <w:color w:val="000000"/>
        </w:rPr>
      </w:pPr>
    </w:p>
    <w:p w14:paraId="653843CF" w14:textId="77777777" w:rsidR="001E7189" w:rsidRPr="002906A3" w:rsidRDefault="001E7189" w:rsidP="00E80666">
      <w:pPr>
        <w:jc w:val="center"/>
        <w:rPr>
          <w:color w:val="000000"/>
        </w:rPr>
      </w:pPr>
      <w:r w:rsidRPr="002906A3">
        <w:rPr>
          <w:color w:val="000000"/>
        </w:rPr>
        <w:t>Senanur ALGI</w:t>
      </w:r>
    </w:p>
    <w:p w14:paraId="3A8E3FB4" w14:textId="61F08066" w:rsidR="001E7189" w:rsidRPr="002906A3" w:rsidRDefault="001E7189" w:rsidP="00E80666">
      <w:pPr>
        <w:jc w:val="center"/>
        <w:rPr>
          <w:color w:val="000000"/>
        </w:rPr>
      </w:pPr>
      <w:r w:rsidRPr="002906A3">
        <w:rPr>
          <w:color w:val="000000"/>
        </w:rPr>
        <w:t>Necmettin Erbakan Üniversitesi, Psikoloji Bölümü</w:t>
      </w:r>
      <w:r w:rsidRPr="002906A3">
        <w:rPr>
          <w:color w:val="000000"/>
        </w:rPr>
        <w:br/>
      </w:r>
      <w:hyperlink r:id="rId187" w:history="1">
        <w:r w:rsidRPr="002906A3">
          <w:rPr>
            <w:color w:val="0563C1"/>
            <w:u w:val="single"/>
          </w:rPr>
          <w:t>senanuralgi@hotmail.com</w:t>
        </w:r>
      </w:hyperlink>
      <w:r w:rsidRPr="002906A3">
        <w:rPr>
          <w:color w:val="000000"/>
        </w:rPr>
        <w:t xml:space="preserve"> </w:t>
      </w:r>
      <w:r w:rsidRPr="002906A3">
        <w:rPr>
          <w:color w:val="000000"/>
        </w:rPr>
        <w:br/>
      </w:r>
    </w:p>
    <w:p w14:paraId="7E2EBE9E" w14:textId="77777777" w:rsidR="001E7189" w:rsidRPr="002906A3" w:rsidRDefault="001E7189" w:rsidP="00E80666">
      <w:pPr>
        <w:jc w:val="center"/>
        <w:rPr>
          <w:color w:val="000000"/>
        </w:rPr>
      </w:pPr>
      <w:r w:rsidRPr="002906A3">
        <w:rPr>
          <w:b/>
          <w:bCs/>
          <w:color w:val="000000"/>
        </w:rPr>
        <w:t>Özet</w:t>
      </w:r>
    </w:p>
    <w:p w14:paraId="39BAF470" w14:textId="77777777" w:rsidR="00114C6B" w:rsidRDefault="001E7189" w:rsidP="00E80666">
      <w:pPr>
        <w:jc w:val="both"/>
        <w:rPr>
          <w:color w:val="000000"/>
          <w:sz w:val="23"/>
          <w:szCs w:val="23"/>
        </w:rPr>
      </w:pPr>
      <w:r w:rsidRPr="002906A3">
        <w:rPr>
          <w:color w:val="000000"/>
        </w:rPr>
        <w:t xml:space="preserve">Bu çalışmada COVID 19 pozitif tanısı almış ve karantina deneyimi yaşamış bireylerde farklı süreçlere dair psiko-sosyal etkiler araştırılmaktadır. Bireylerin karantina ve pandemi dönemindeki psikolojik süreçleri incelenerek bu süreçteki duygu, düşünce ve izledikleri yollara ilişkin bilgi edinmenin yanı sıra süregelen etkilerin varlığının belirlenmesi, bu yolla literatüre katkı sağlanması amaçlanmıştır. Bununla birlikte olası bir pandemi, salgın süreci veya benzer bir durumda yaşanabilecek olumsuzluklarla ilgili öneri geliştirmek amaçlanmaktadır. Araştırma, Lisans Öğrencisi Katılımlı Bilimsel Araştırma Projesi (BAP) desteği ile bölümümüz öğretim üyesi Doç. Dr. Ayşe Burcu Gören danışmanlığında yapılmıştır. Araştırma için Necmettin Erbakan Üniversitesi Sosyal Bilimler Etik Kurulu’ndan etik onay alınmıştır. Katılımcılar araştırmaya katılım konusunda bilgilendirilmiş ve onam alınmıştır. Yapılan çalışmada süreçlere dair detaylı bilgilere ulaşabilmek ve kişisel farklılıkları daha iyi gözlemleyebilmek adına nitel araştırma yöntemi tercih edilmiştir. Veri toplama tekniği olarak yüz yüze yarı yapılandırılmış mülakat tekniği kullanılmıştır. Araştırmacılar tarafından ulaşılan, COVID-19 pozitif tanısı almış, 18 – 52 yaş aralığına sahip katılımcılarla yapılan mülakatlar ortalama 25 dakika sürmüştür. Katılımcıların onamıyla ses kaydı alınmış, daha sonra ses kayıtları transkribe edilmiştir. Toplanan verileri içerik analizine tabi tutulmuştur. Analiz süreci, ilk kodlamalar, tekrarlı okumalar, kodların birleştirilmesi, temalar ve kategorilerin oluşturulması yoluyla ilerlemiştir. Analizler, akran değerlendirmesi ile yeniden incelenerek son hali verilmiştir. Analiz sonucunda (I) İlk Duygusal ve Düşünsel Tepkiler, (II) Süreçteki Duygusal ve Düşünsel Tepkiler, (III) Süreç Atlatıldıktan Sonraki Etkiler ve Kalıcı Etkiler olarak üç kategori elde edilmiştir. Her Kategori temalara ve alt temalara ayrılmıştır. Tanının alındığı ilk aşamaya ilişkin veriler Duygusal ve Davranışsal Tepkiler temalarıyla ele alınmıştır. Karantina sürecini içeren ikinci kategori, Kaygı, Korku, Yalnızlık, Hijyen Konusunda Kompulsif Davranışlar, Ümitsizlik, Dayanıklılık, </w:t>
      </w:r>
      <w:proofErr w:type="spellStart"/>
      <w:r w:rsidRPr="002906A3">
        <w:rPr>
          <w:color w:val="000000"/>
        </w:rPr>
        <w:t>Semptomal</w:t>
      </w:r>
      <w:proofErr w:type="spellEnd"/>
      <w:r w:rsidRPr="002906A3">
        <w:rPr>
          <w:color w:val="000000"/>
        </w:rPr>
        <w:t xml:space="preserve"> Etkilere Bağlı Psikolojik Etkiler, Teknolojinin Rolü, Farkındalık olmak üzere toplam 9 ana tema altında toplanmıştır.</w:t>
      </w:r>
      <w:r w:rsidRPr="00114C6B">
        <w:rPr>
          <w:color w:val="000000"/>
          <w:sz w:val="23"/>
          <w:szCs w:val="23"/>
        </w:rPr>
        <w:t xml:space="preserve"> Süreç Atlatıldıktan Sonraki Etkiler ve Kalıcı Etkiler kategorisinde ise; Davranışsal etkiler, Sosyal Etkiler, Fiziksel Etkiler, Duygusal etkiler, Kültürel etkiler, Bilişsel etkiler olarak 6 tema belirlenmiştir. Araştırma sonucunda, halihazırda normalleşmiş bazı alışkanlıkların pandemiyle birlikte hayatımıza girdiği, hayatımızda olumlu ve olumsuz etkileri olduğu görülmüştür. Araştırmanın beklenen yaygın etkisi, Covid-19 deneyiminin yaşamış bireylerin, bu deneyimden psiko-sosyal açıdan etkilenme biçimlerine </w:t>
      </w:r>
      <w:r w:rsidR="00114C6B" w:rsidRPr="00114C6B">
        <w:rPr>
          <w:color w:val="000000"/>
          <w:sz w:val="23"/>
          <w:szCs w:val="23"/>
        </w:rPr>
        <w:t>ilişkin literatüre</w:t>
      </w:r>
      <w:r w:rsidRPr="00114C6B">
        <w:rPr>
          <w:color w:val="000000"/>
          <w:sz w:val="23"/>
          <w:szCs w:val="23"/>
        </w:rPr>
        <w:t xml:space="preserve"> ve gelecek araştırmalara katkı sağlamaktır.</w:t>
      </w:r>
    </w:p>
    <w:p w14:paraId="1808A288" w14:textId="77777777" w:rsidR="00E80666" w:rsidRDefault="00E80666" w:rsidP="00E80666">
      <w:pPr>
        <w:jc w:val="both"/>
        <w:rPr>
          <w:color w:val="000000"/>
        </w:rPr>
      </w:pPr>
    </w:p>
    <w:p w14:paraId="0AFE3CAE" w14:textId="1E6EEFF1" w:rsidR="00C70E93" w:rsidRDefault="001E7189" w:rsidP="00E80666">
      <w:pPr>
        <w:jc w:val="both"/>
        <w:rPr>
          <w:color w:val="000000"/>
        </w:rPr>
      </w:pPr>
      <w:r w:rsidRPr="002906A3">
        <w:rPr>
          <w:b/>
          <w:bCs/>
          <w:color w:val="000000"/>
        </w:rPr>
        <w:lastRenderedPageBreak/>
        <w:t xml:space="preserve">Anahtar </w:t>
      </w:r>
      <w:r w:rsidR="00DA3117">
        <w:rPr>
          <w:b/>
          <w:bCs/>
          <w:color w:val="000000"/>
        </w:rPr>
        <w:t>Kelimeler</w:t>
      </w:r>
      <w:r w:rsidRPr="002906A3">
        <w:rPr>
          <w:b/>
          <w:bCs/>
          <w:color w:val="000000"/>
        </w:rPr>
        <w:t>:</w:t>
      </w:r>
      <w:r w:rsidRPr="002906A3">
        <w:rPr>
          <w:color w:val="000000"/>
        </w:rPr>
        <w:t xml:space="preserve"> Covid-19, Pandemi, Psiko-Sosyal Etki</w:t>
      </w:r>
    </w:p>
    <w:p w14:paraId="0586C637" w14:textId="68D28087" w:rsidR="006871AB" w:rsidRPr="00114C6B" w:rsidRDefault="00C70E93" w:rsidP="00C70E93">
      <w:pPr>
        <w:autoSpaceDE/>
        <w:autoSpaceDN/>
        <w:rPr>
          <w:color w:val="000000"/>
        </w:rPr>
      </w:pPr>
      <w:r>
        <w:rPr>
          <w:color w:val="000000"/>
        </w:rPr>
        <w:br w:type="page"/>
      </w:r>
    </w:p>
    <w:p w14:paraId="00454327" w14:textId="77777777" w:rsidR="001E7189" w:rsidRPr="002906A3" w:rsidRDefault="001E7189" w:rsidP="004C7694">
      <w:pPr>
        <w:pStyle w:val="Tark"/>
        <w:rPr>
          <w:lang w:val="en-US" w:bidi="fa-IR"/>
        </w:rPr>
      </w:pPr>
      <w:bookmarkStart w:id="152" w:name="_Toc192855222"/>
      <w:r w:rsidRPr="002906A3">
        <w:rPr>
          <w:lang w:val="en-US" w:bidi="fa-IR"/>
        </w:rPr>
        <w:lastRenderedPageBreak/>
        <w:t>Translation of World Literature</w:t>
      </w:r>
      <w:bookmarkEnd w:id="152"/>
    </w:p>
    <w:p w14:paraId="7C2DD54E" w14:textId="77777777" w:rsidR="001E7189" w:rsidRPr="002906A3" w:rsidRDefault="001E7189" w:rsidP="00E80666">
      <w:pPr>
        <w:jc w:val="center"/>
        <w:rPr>
          <w:lang w:val="en-US"/>
        </w:rPr>
      </w:pPr>
    </w:p>
    <w:p w14:paraId="055CFCA3" w14:textId="77777777" w:rsidR="001E7189" w:rsidRPr="002906A3" w:rsidRDefault="001E7189" w:rsidP="00E80666">
      <w:pPr>
        <w:jc w:val="center"/>
        <w:rPr>
          <w:bCs/>
          <w:lang w:val="en-US"/>
        </w:rPr>
      </w:pPr>
      <w:r w:rsidRPr="002906A3">
        <w:rPr>
          <w:bCs/>
          <w:lang w:val="en-US"/>
        </w:rPr>
        <w:t xml:space="preserve">Saman </w:t>
      </w:r>
      <w:proofErr w:type="spellStart"/>
      <w:r w:rsidRPr="002906A3">
        <w:rPr>
          <w:bCs/>
          <w:lang w:val="en-US"/>
        </w:rPr>
        <w:t>Hashemipour</w:t>
      </w:r>
      <w:proofErr w:type="spellEnd"/>
    </w:p>
    <w:p w14:paraId="5B54BF45" w14:textId="77777777" w:rsidR="001E7189" w:rsidRPr="002906A3" w:rsidRDefault="001E7189" w:rsidP="00E80666">
      <w:pPr>
        <w:jc w:val="center"/>
        <w:rPr>
          <w:iCs/>
          <w:lang w:val="en-US"/>
        </w:rPr>
      </w:pPr>
      <w:r w:rsidRPr="002906A3">
        <w:rPr>
          <w:bCs/>
          <w:lang w:val="en-US"/>
        </w:rPr>
        <w:t xml:space="preserve">Assoc. Prof., </w:t>
      </w:r>
      <w:r w:rsidRPr="002906A3">
        <w:rPr>
          <w:bCs/>
          <w:iCs/>
          <w:lang w:val="en-US"/>
        </w:rPr>
        <w:t xml:space="preserve">T.C. </w:t>
      </w:r>
      <w:proofErr w:type="spellStart"/>
      <w:r w:rsidRPr="002906A3">
        <w:rPr>
          <w:bCs/>
          <w:iCs/>
          <w:lang w:val="en-US"/>
        </w:rPr>
        <w:t>Haliç</w:t>
      </w:r>
      <w:proofErr w:type="spellEnd"/>
      <w:r w:rsidRPr="002906A3">
        <w:rPr>
          <w:bCs/>
          <w:iCs/>
          <w:lang w:val="en-US"/>
        </w:rPr>
        <w:t xml:space="preserve"> University, Faculty of Arts and Sciences, American Culture and Literature</w:t>
      </w:r>
      <w:r w:rsidRPr="002906A3">
        <w:rPr>
          <w:i/>
          <w:lang w:val="en-US"/>
        </w:rPr>
        <w:t xml:space="preserve"> </w:t>
      </w:r>
      <w:r w:rsidRPr="002906A3">
        <w:rPr>
          <w:iCs/>
          <w:lang w:val="en-US"/>
        </w:rPr>
        <w:t>Dpt.</w:t>
      </w:r>
    </w:p>
    <w:p w14:paraId="5D3AB3E6" w14:textId="77777777" w:rsidR="001E7189" w:rsidRPr="002906A3" w:rsidRDefault="001E7189" w:rsidP="00E80666">
      <w:pPr>
        <w:jc w:val="center"/>
        <w:rPr>
          <w:iCs/>
          <w:lang w:val="en-US"/>
        </w:rPr>
      </w:pPr>
      <w:r w:rsidRPr="002906A3">
        <w:rPr>
          <w:iCs/>
          <w:lang w:val="en-US"/>
        </w:rPr>
        <w:t>samanhashemipour@halic.edu.tr</w:t>
      </w:r>
    </w:p>
    <w:p w14:paraId="301465BB" w14:textId="77777777" w:rsidR="001E7189" w:rsidRPr="002906A3" w:rsidRDefault="001E7189" w:rsidP="00E80666">
      <w:pPr>
        <w:jc w:val="center"/>
        <w:rPr>
          <w:iCs/>
          <w:lang w:val="en-US"/>
        </w:rPr>
      </w:pPr>
      <w:r w:rsidRPr="002906A3">
        <w:rPr>
          <w:iCs/>
          <w:lang w:val="en-US"/>
        </w:rPr>
        <w:t xml:space="preserve">ORCID: </w:t>
      </w:r>
      <w:r w:rsidRPr="002906A3">
        <w:rPr>
          <w:bCs/>
          <w:iCs/>
          <w:lang w:val="en-US"/>
        </w:rPr>
        <w:t>0000-0003-1756-3929</w:t>
      </w:r>
    </w:p>
    <w:p w14:paraId="198F9559" w14:textId="77777777" w:rsidR="001E7189" w:rsidRPr="002906A3" w:rsidRDefault="001E7189" w:rsidP="00E80666">
      <w:pPr>
        <w:jc w:val="center"/>
        <w:rPr>
          <w:lang w:val="en-US"/>
        </w:rPr>
      </w:pPr>
    </w:p>
    <w:p w14:paraId="346125B7" w14:textId="1815425B" w:rsidR="001E7189" w:rsidRPr="002906A3" w:rsidRDefault="001E7189" w:rsidP="00E80666">
      <w:pPr>
        <w:jc w:val="center"/>
        <w:rPr>
          <w:lang w:val="en-US"/>
        </w:rPr>
      </w:pPr>
      <w:r w:rsidRPr="002906A3">
        <w:rPr>
          <w:lang w:val="en-US"/>
        </w:rPr>
        <w:t>Burcu Öztürk</w:t>
      </w:r>
    </w:p>
    <w:p w14:paraId="0DF0A1AB" w14:textId="77777777" w:rsidR="001E7189" w:rsidRPr="002906A3" w:rsidRDefault="001E7189" w:rsidP="00E80666">
      <w:pPr>
        <w:jc w:val="center"/>
        <w:rPr>
          <w:highlight w:val="yellow"/>
          <w:lang w:val="en-US"/>
        </w:rPr>
      </w:pPr>
      <w:r w:rsidRPr="002906A3">
        <w:rPr>
          <w:lang w:val="en-US"/>
        </w:rPr>
        <w:t>Dr.</w:t>
      </w:r>
    </w:p>
    <w:p w14:paraId="6376DBD6" w14:textId="77777777" w:rsidR="001E7189" w:rsidRPr="002906A3" w:rsidRDefault="001E7189" w:rsidP="00E80666">
      <w:pPr>
        <w:jc w:val="center"/>
        <w:rPr>
          <w:lang w:val="en-US"/>
        </w:rPr>
      </w:pPr>
      <w:r w:rsidRPr="002906A3">
        <w:rPr>
          <w:lang w:val="en-US"/>
        </w:rPr>
        <w:t>burcuozturrk@gmail.com</w:t>
      </w:r>
    </w:p>
    <w:p w14:paraId="61DC7BDA" w14:textId="77777777" w:rsidR="001E7189" w:rsidRPr="002906A3" w:rsidRDefault="001E7189" w:rsidP="00E80666">
      <w:pPr>
        <w:jc w:val="center"/>
        <w:rPr>
          <w:lang w:val="en-US"/>
        </w:rPr>
      </w:pPr>
      <w:r w:rsidRPr="002906A3">
        <w:rPr>
          <w:lang w:val="en-US"/>
        </w:rPr>
        <w:t>ORCID: 0000-0001-5588-0963</w:t>
      </w:r>
    </w:p>
    <w:p w14:paraId="6288559A" w14:textId="029F4F44" w:rsidR="001E7189" w:rsidRPr="002906A3" w:rsidRDefault="001E7189" w:rsidP="00E80666">
      <w:pPr>
        <w:jc w:val="both"/>
        <w:rPr>
          <w:lang w:val="en-US"/>
        </w:rPr>
      </w:pPr>
    </w:p>
    <w:p w14:paraId="2348D501" w14:textId="77777777" w:rsidR="001E7189" w:rsidRPr="002906A3" w:rsidRDefault="001E7189" w:rsidP="00E80666">
      <w:pPr>
        <w:jc w:val="center"/>
        <w:rPr>
          <w:b/>
          <w:bCs/>
          <w:lang w:val="en-US"/>
        </w:rPr>
      </w:pPr>
      <w:r w:rsidRPr="002906A3">
        <w:rPr>
          <w:b/>
          <w:bCs/>
          <w:lang w:val="en-US"/>
        </w:rPr>
        <w:t>Abstract</w:t>
      </w:r>
    </w:p>
    <w:p w14:paraId="3C205BF5" w14:textId="34B08BA4" w:rsidR="001E7189" w:rsidRDefault="001E7189" w:rsidP="00E80666">
      <w:pPr>
        <w:jc w:val="both"/>
        <w:rPr>
          <w:rFonts w:eastAsia="Calibri"/>
          <w:lang w:val="en-US" w:bidi="fa-IR"/>
        </w:rPr>
      </w:pPr>
      <w:r w:rsidRPr="002906A3">
        <w:rPr>
          <w:rFonts w:eastAsia="Calibri"/>
          <w:lang w:val="en-US" w:bidi="fa-IR"/>
        </w:rPr>
        <w:t>Aim: Transnational and interdisciplinary inference of humanities maxims sciences to revere language, literature, and cultural prospects.</w:t>
      </w:r>
      <w:r w:rsidRPr="002906A3">
        <w:rPr>
          <w:rFonts w:eastAsia="Calibri"/>
          <w:rtl/>
          <w:lang w:val="en-US"/>
        </w:rPr>
        <w:t xml:space="preserve"> </w:t>
      </w:r>
      <w:r w:rsidRPr="002906A3">
        <w:rPr>
          <w:rFonts w:eastAsia="Calibri"/>
          <w:lang w:val="en-US" w:bidi="fa-IR"/>
        </w:rPr>
        <w:t xml:space="preserve">Literary translation is a substantial aspect of international cultural interfaces in the realm of world literature, solely interrelated with translation as a crucial feature of transnational cultural studies. The translation is a benchmark of literary inspiration for national cultural issues; however, comparative literature debated the traditional literary translation and the dignity of contextual translation. The translation is a marginal proposal for cultural communication in the contemporary fulfillment of world literature. Translation not only burns up comparative literature but also intensely impacts the expansion and renovation of world literature. Now, comparative literature theorists regard world literature as a means of grasping other cultures aptly to consolidate and swell national literature. Comparative literature scholars skeptically dispute the texts in the source languages and adapt translations due to linguistic, cultural, and literary approaches. The intermingling of new-fangled theories of comparative literature with translation studies and postcolonial criticism evoked further inquiries into world literature. Comparative literature challenges current theories and the history of translation by examining translation periodically, the impact of translated works on the literary understanding of the target language, and the prosperity of translating works of a particular genre of literature. Besides, intertextual literature reading is promising through comparative study of dialogues in social, historical, and literary contexts, and translation plays a means in this reading. Result: The cooperation of researchers in comparative literature and translation studies makes the expansion of the interdisciplinary examination possible, and their transnational and interdisciplinary interaction creates an amalgam for a deeper understanding of the global prospect. The intercultural, interlinguistic, and interdisciplinary assumption of world literature in translation due to its linguistic, cultural, and sociological face </w:t>
      </w:r>
      <w:proofErr w:type="gramStart"/>
      <w:r w:rsidRPr="002906A3">
        <w:rPr>
          <w:rFonts w:eastAsia="Calibri"/>
          <w:lang w:val="en-US" w:bidi="fa-IR"/>
        </w:rPr>
        <w:t>opens up</w:t>
      </w:r>
      <w:proofErr w:type="gramEnd"/>
      <w:r w:rsidRPr="002906A3">
        <w:rPr>
          <w:rFonts w:eastAsia="Calibri"/>
          <w:lang w:val="en-US" w:bidi="fa-IR"/>
        </w:rPr>
        <w:t xml:space="preserve"> new horizons to literary perception. Conclusion: This study reviews the types of literary translation due to the linguistic understanding of world literature and postcolonial translation in expanding comparative studies. The challenges of literary translation and the translatability of world literature and its sparked enigmas are discussed by the cast of theorists such as David Damrosch, Emily Apter, and Susan </w:t>
      </w:r>
      <w:proofErr w:type="spellStart"/>
      <w:r w:rsidRPr="002906A3">
        <w:rPr>
          <w:rFonts w:eastAsia="Calibri"/>
          <w:lang w:val="en-US" w:bidi="fa-IR"/>
        </w:rPr>
        <w:t>Bassnett</w:t>
      </w:r>
      <w:proofErr w:type="spellEnd"/>
      <w:r w:rsidRPr="002906A3">
        <w:rPr>
          <w:rFonts w:eastAsia="Calibri"/>
          <w:lang w:val="en-US" w:bidi="fa-IR"/>
        </w:rPr>
        <w:t>.</w:t>
      </w:r>
    </w:p>
    <w:p w14:paraId="2A9F9673" w14:textId="77777777" w:rsidR="009D0899" w:rsidRPr="002906A3" w:rsidRDefault="009D0899" w:rsidP="00E80666">
      <w:pPr>
        <w:jc w:val="both"/>
        <w:rPr>
          <w:rFonts w:eastAsia="Calibri"/>
          <w:lang w:val="en-US" w:bidi="fa-IR"/>
        </w:rPr>
      </w:pPr>
    </w:p>
    <w:p w14:paraId="4074A29E" w14:textId="77777777" w:rsidR="001E7189" w:rsidRDefault="001E7189" w:rsidP="00E80666">
      <w:pPr>
        <w:jc w:val="both"/>
        <w:rPr>
          <w:rFonts w:eastAsia="Aptos"/>
          <w:color w:val="000000"/>
          <w:lang w:val="en-US"/>
        </w:rPr>
      </w:pPr>
      <w:r w:rsidRPr="009D0899">
        <w:rPr>
          <w:b/>
          <w:bCs/>
          <w:lang w:val="en-US"/>
        </w:rPr>
        <w:t>Keywords</w:t>
      </w:r>
      <w:r w:rsidRPr="002906A3">
        <w:rPr>
          <w:b/>
          <w:bCs/>
          <w:i/>
          <w:iCs/>
          <w:lang w:val="en-US"/>
        </w:rPr>
        <w:t>:</w:t>
      </w:r>
      <w:r w:rsidRPr="002906A3">
        <w:rPr>
          <w:b/>
          <w:bCs/>
          <w:lang w:val="en-US"/>
        </w:rPr>
        <w:t xml:space="preserve"> </w:t>
      </w:r>
      <w:r w:rsidRPr="002906A3">
        <w:rPr>
          <w:rFonts w:eastAsia="Aptos"/>
          <w:color w:val="000000"/>
          <w:lang w:val="en-US"/>
        </w:rPr>
        <w:t>Translation, World Literature, Comparative Literature, David Damrosch.</w:t>
      </w:r>
    </w:p>
    <w:p w14:paraId="30BACCEB" w14:textId="77777777" w:rsidR="00DA3117" w:rsidRDefault="00DA3117" w:rsidP="00E80666">
      <w:pPr>
        <w:ind w:left="720"/>
        <w:jc w:val="both"/>
        <w:rPr>
          <w:rFonts w:eastAsia="Aptos"/>
          <w:color w:val="000000"/>
          <w:lang w:val="en-US"/>
        </w:rPr>
      </w:pPr>
    </w:p>
    <w:p w14:paraId="20BA5915" w14:textId="77777777" w:rsidR="00114C6B" w:rsidRDefault="00114C6B" w:rsidP="00E80666">
      <w:pPr>
        <w:ind w:left="720"/>
        <w:jc w:val="both"/>
        <w:rPr>
          <w:rFonts w:eastAsia="Aptos"/>
          <w:color w:val="000000"/>
          <w:lang w:val="en-US"/>
        </w:rPr>
      </w:pPr>
    </w:p>
    <w:p w14:paraId="7BAAFE53" w14:textId="77777777" w:rsidR="00114C6B" w:rsidRPr="002906A3" w:rsidRDefault="00114C6B" w:rsidP="00E80666">
      <w:pPr>
        <w:ind w:left="720"/>
        <w:jc w:val="both"/>
        <w:rPr>
          <w:rFonts w:eastAsia="Aptos"/>
          <w:color w:val="000000"/>
          <w:lang w:val="en-US"/>
        </w:rPr>
      </w:pPr>
    </w:p>
    <w:p w14:paraId="558F4E5B" w14:textId="77777777" w:rsidR="001E7189" w:rsidRPr="002906A3" w:rsidRDefault="001E7189" w:rsidP="00E80666">
      <w:pPr>
        <w:jc w:val="both"/>
        <w:rPr>
          <w:b/>
          <w:bCs/>
          <w:lang w:val="en-US"/>
        </w:rPr>
      </w:pPr>
      <w:r w:rsidRPr="002906A3">
        <w:rPr>
          <w:b/>
          <w:bCs/>
          <w:lang w:val="en-US"/>
        </w:rPr>
        <w:t>Introduction</w:t>
      </w:r>
    </w:p>
    <w:p w14:paraId="75BDD36B" w14:textId="73E9E54C" w:rsidR="001E7189" w:rsidRDefault="001E7189" w:rsidP="00E80666">
      <w:pPr>
        <w:jc w:val="both"/>
        <w:rPr>
          <w:lang w:val="en-US"/>
        </w:rPr>
      </w:pPr>
      <w:r w:rsidRPr="002906A3">
        <w:rPr>
          <w:lang w:val="en-US"/>
        </w:rPr>
        <w:t>Comparative literature studies have significantly expanded over the past few decades and have gained interactions with other disciplines, such as translation studies. Due to their metalinguistic and interdisciplinary nature, comparative literature and translation studies foster deeper reflection on languages and cultures. Scholars in comparative literature have approached the field’s categorical identity through various theoretical lenses, reflecting the prevailing intellectual paradigms of their respective eras. This study also investigates the interplay between comparative literature and translation studies to delineate the parallels and interactions between them and examines how translation serves as a crucial conduit for comparative literary studies— highlighting the nuances of their relationship and the implications for both disciplines.</w:t>
      </w:r>
    </w:p>
    <w:p w14:paraId="7AC22008" w14:textId="77777777" w:rsidR="00DA3117" w:rsidRPr="002906A3" w:rsidRDefault="00DA3117" w:rsidP="00E80666">
      <w:pPr>
        <w:ind w:firstLine="720"/>
        <w:jc w:val="both"/>
        <w:rPr>
          <w:lang w:val="en-US"/>
        </w:rPr>
      </w:pPr>
    </w:p>
    <w:p w14:paraId="0E64B253" w14:textId="77777777" w:rsidR="001E7189" w:rsidRPr="002906A3" w:rsidRDefault="001E7189" w:rsidP="00E80666">
      <w:pPr>
        <w:rPr>
          <w:b/>
          <w:bCs/>
          <w:lang w:val="en-US"/>
        </w:rPr>
      </w:pPr>
      <w:r w:rsidRPr="002906A3">
        <w:rPr>
          <w:b/>
          <w:bCs/>
          <w:lang w:val="en-US"/>
        </w:rPr>
        <w:t>The interplay between comparative literature and translation studies</w:t>
      </w:r>
    </w:p>
    <w:p w14:paraId="4819D6C5" w14:textId="6F0E99D4" w:rsidR="001E7189" w:rsidRDefault="001E7189" w:rsidP="00E80666">
      <w:pPr>
        <w:jc w:val="both"/>
        <w:rPr>
          <w:lang w:val="en-US"/>
        </w:rPr>
      </w:pPr>
      <w:r w:rsidRPr="002906A3">
        <w:rPr>
          <w:lang w:val="en-US"/>
        </w:rPr>
        <w:t>Comparative literature is intricately tied to translation; historically, scholars have prioritized the acquisition of European languages within original forms—sidelining translation as a less valuable endeavor—is leading to a marginalization of translation studies within the discipline after deeming in-depth literary analysis</w:t>
      </w:r>
      <w:r w:rsidRPr="002906A3">
        <w:rPr>
          <w:color w:val="000000" w:themeColor="text1"/>
          <w:lang w:val="en-US"/>
        </w:rPr>
        <w:t>. Here, t</w:t>
      </w:r>
      <w:r w:rsidRPr="002906A3">
        <w:rPr>
          <w:lang w:val="en-US"/>
        </w:rPr>
        <w:t>he pivotal question emerges; Why should comparative theorists distance themselves from a fundamental aspect of comparative literature? Steiner (1996)–who stands as a seminal figure in establishing the profound link between literature and other fields of humanities—eloquently articulates the intrinsic relationship between comparative literature and translation, emphasizing the role of comparative literature by focusing on the challenges of translation in the context of literature, which is crucial for effective literary comparison across languages. (pp.164-65)</w:t>
      </w:r>
    </w:p>
    <w:p w14:paraId="1D163F19" w14:textId="77777777" w:rsidR="00DA3117" w:rsidRPr="002906A3" w:rsidRDefault="00DA3117" w:rsidP="00E80666">
      <w:pPr>
        <w:ind w:firstLine="720"/>
        <w:jc w:val="both"/>
        <w:rPr>
          <w:color w:val="000000" w:themeColor="text1"/>
          <w:lang w:val="en-US"/>
        </w:rPr>
      </w:pPr>
    </w:p>
    <w:p w14:paraId="22511B62" w14:textId="77777777" w:rsidR="001E7189" w:rsidRDefault="001E7189" w:rsidP="00E80666">
      <w:pPr>
        <w:jc w:val="both"/>
        <w:rPr>
          <w:lang w:val="en-US"/>
        </w:rPr>
      </w:pPr>
      <w:r w:rsidRPr="002906A3">
        <w:rPr>
          <w:lang w:val="en-US"/>
        </w:rPr>
        <w:t>Lefevere notes that Romantics embraced a cosmopolitan view of translation as a cultural exchange, but later shifted away from this outlook, influenced by nationalism, and focused on national literature rather than contributing to world literature through translation. (Lefevere, 1995, pp.1-3) The rise of nationalism and its negative impact on theoretical discussions of translation emerged in universities debating classical literature, which overlooked translation. The new national literature not only adopted classical methodologies but also validated its academic status against critics of classical literature (Lefevere, 1995, p.4). The revised academic programs of comparative literature focus on concise translation to help students understand the original texts.</w:t>
      </w:r>
    </w:p>
    <w:p w14:paraId="2497C568" w14:textId="77777777" w:rsidR="00DA3117" w:rsidRPr="002906A3" w:rsidRDefault="00DA3117" w:rsidP="00E80666">
      <w:pPr>
        <w:ind w:firstLine="720"/>
        <w:jc w:val="both"/>
        <w:rPr>
          <w:lang w:val="en-US"/>
        </w:rPr>
      </w:pPr>
    </w:p>
    <w:p w14:paraId="6F59E7C2" w14:textId="77777777" w:rsidR="00DA3117" w:rsidRDefault="001E7189" w:rsidP="00E80666">
      <w:pPr>
        <w:jc w:val="both"/>
        <w:rPr>
          <w:lang w:val="en-US"/>
        </w:rPr>
      </w:pPr>
      <w:r w:rsidRPr="002906A3">
        <w:rPr>
          <w:lang w:val="en-US"/>
        </w:rPr>
        <w:t>The emerging field of comparative literature—aimed to engage with translation—sacrificed this study to gain academic prestige; it abandoned translation by hindering the establishment of institutions dedicated to it. (Lefevere, 1995, p.3) Comparative literature was confined to Europe through specialists fluent in classical and modern languages; however, the discipline broke free from European confines, and the growing need for translation led to a reduction in opposition to translation. This change in viewpoint is distinctly demonstrated in the reports released over the decade by the American Comparative Literature Association.</w:t>
      </w:r>
    </w:p>
    <w:p w14:paraId="1C9453F3" w14:textId="1E3058B9" w:rsidR="001E7189" w:rsidRPr="002906A3" w:rsidRDefault="001E7189" w:rsidP="00E80666">
      <w:pPr>
        <w:ind w:firstLine="720"/>
        <w:jc w:val="both"/>
        <w:rPr>
          <w:lang w:val="en-US"/>
        </w:rPr>
      </w:pPr>
    </w:p>
    <w:p w14:paraId="0165407C" w14:textId="77777777" w:rsidR="001E7189" w:rsidRDefault="001E7189" w:rsidP="00E80666">
      <w:pPr>
        <w:jc w:val="both"/>
        <w:rPr>
          <w:lang w:val="en-US"/>
        </w:rPr>
      </w:pPr>
      <w:r w:rsidRPr="002906A3">
        <w:rPr>
          <w:lang w:val="en-US"/>
        </w:rPr>
        <w:t xml:space="preserve">Although translation has played a vital role in communication between cultures, it was not until the mid-20th century that the study of translation began as an academic discipline. (Holmes, 1988) The conceptualization of translation has evolved significantly, theoretically, and practically. Initially, translation was perceived primarily as a subfield of applied linguistics, </w:t>
      </w:r>
      <w:r w:rsidRPr="002906A3">
        <w:rPr>
          <w:lang w:val="en-US"/>
        </w:rPr>
        <w:lastRenderedPageBreak/>
        <w:t>characterized by a) establishing equilibrium in translation processes, b) diagnosing specific translation challenges, and c) subsequently proposing a range of methodologies to address these issues. (</w:t>
      </w:r>
      <w:proofErr w:type="spellStart"/>
      <w:r w:rsidRPr="002906A3">
        <w:rPr>
          <w:lang w:val="en-US"/>
        </w:rPr>
        <w:t>Schaeffner</w:t>
      </w:r>
      <w:proofErr w:type="spellEnd"/>
      <w:r w:rsidRPr="002906A3">
        <w:rPr>
          <w:lang w:val="en-US"/>
        </w:rPr>
        <w:t xml:space="preserve">, 2001) Later, </w:t>
      </w:r>
      <w:proofErr w:type="gramStart"/>
      <w:r w:rsidRPr="002906A3">
        <w:rPr>
          <w:lang w:val="en-US"/>
        </w:rPr>
        <w:t>the linguistics</w:t>
      </w:r>
      <w:proofErr w:type="gramEnd"/>
      <w:r w:rsidRPr="002906A3">
        <w:rPr>
          <w:lang w:val="en-US"/>
        </w:rPr>
        <w:t xml:space="preserve"> evolved from translation studies and developed interdisciplinary ties with other academic fields.</w:t>
      </w:r>
    </w:p>
    <w:p w14:paraId="5DC9D321" w14:textId="77777777" w:rsidR="00DA3117" w:rsidRPr="002906A3" w:rsidRDefault="00DA3117" w:rsidP="00E80666">
      <w:pPr>
        <w:ind w:firstLine="720"/>
        <w:jc w:val="both"/>
        <w:rPr>
          <w:lang w:val="en-US"/>
        </w:rPr>
      </w:pPr>
    </w:p>
    <w:p w14:paraId="24679929" w14:textId="77777777" w:rsidR="001E7189" w:rsidRDefault="001E7189" w:rsidP="00E80666">
      <w:pPr>
        <w:jc w:val="both"/>
        <w:rPr>
          <w:lang w:val="en-US"/>
        </w:rPr>
      </w:pPr>
      <w:r w:rsidRPr="002906A3">
        <w:rPr>
          <w:lang w:val="en-US"/>
        </w:rPr>
        <w:t xml:space="preserve">One of the most significant advancements in translation studies is the introduction of Even Zohar’s </w:t>
      </w:r>
      <w:proofErr w:type="spellStart"/>
      <w:r w:rsidRPr="002906A3">
        <w:rPr>
          <w:lang w:val="en-US"/>
        </w:rPr>
        <w:t>polysystem</w:t>
      </w:r>
      <w:proofErr w:type="spellEnd"/>
      <w:r w:rsidRPr="002906A3">
        <w:rPr>
          <w:lang w:val="en-US"/>
        </w:rPr>
        <w:t xml:space="preserve"> theory, which is focused on literary translation and underscores the importance of translated literature within the target society. Zohar posits that translated works operate as a dynamic system, interacting with various literary, historical, cultural, and social frameworks and offering valuable insights into broader cultural context. (Even-Zohar, 1987; 2004) According to Zohar, any literary system must consider translated literature as a conduit for change and innovation. Thus, “no observer of the history of any literature can avoid </w:t>
      </w:r>
      <w:proofErr w:type="spellStart"/>
      <w:r w:rsidRPr="002906A3">
        <w:rPr>
          <w:lang w:val="en-US"/>
        </w:rPr>
        <w:t>recognising</w:t>
      </w:r>
      <w:proofErr w:type="spellEnd"/>
      <w:r w:rsidRPr="002906A3">
        <w:rPr>
          <w:lang w:val="en-US"/>
        </w:rPr>
        <w:t xml:space="preserve"> as an important fact the impact of translations and their role in the synchrony and diachrony of a certain literature.” (Even-Zohar, 1978, as cited in </w:t>
      </w:r>
      <w:proofErr w:type="spellStart"/>
      <w:r w:rsidRPr="002906A3">
        <w:rPr>
          <w:lang w:val="en-US"/>
        </w:rPr>
        <w:t>Bassnett</w:t>
      </w:r>
      <w:proofErr w:type="spellEnd"/>
      <w:r w:rsidRPr="002906A3">
        <w:rPr>
          <w:lang w:val="en-US"/>
        </w:rPr>
        <w:t>, 2007, p. 16) Later, translation studies entered a new phase marked by a cultural turn.</w:t>
      </w:r>
    </w:p>
    <w:p w14:paraId="28B201C8" w14:textId="77777777" w:rsidR="00DA3117" w:rsidRPr="002906A3" w:rsidRDefault="00DA3117" w:rsidP="00E80666">
      <w:pPr>
        <w:ind w:firstLine="720"/>
        <w:jc w:val="both"/>
        <w:rPr>
          <w:lang w:val="en-US"/>
        </w:rPr>
      </w:pPr>
    </w:p>
    <w:p w14:paraId="356B71A5" w14:textId="77777777" w:rsidR="001E7189" w:rsidRDefault="001E7189" w:rsidP="00E80666">
      <w:pPr>
        <w:jc w:val="both"/>
        <w:rPr>
          <w:lang w:val="en-US"/>
        </w:rPr>
      </w:pPr>
      <w:r w:rsidRPr="002906A3">
        <w:rPr>
          <w:lang w:val="en-US"/>
        </w:rPr>
        <w:t xml:space="preserve">The cultural shift linked to Lefevere and </w:t>
      </w:r>
      <w:proofErr w:type="spellStart"/>
      <w:r w:rsidRPr="002906A3">
        <w:rPr>
          <w:lang w:val="en-US"/>
        </w:rPr>
        <w:t>Bessnett</w:t>
      </w:r>
      <w:proofErr w:type="spellEnd"/>
      <w:r w:rsidRPr="002906A3">
        <w:rPr>
          <w:lang w:val="en-US"/>
        </w:rPr>
        <w:t xml:space="preserve"> questioned former language-focused methods and highlighted a transition in research from strictly formalist frameworks to those centered on metatextual factors. (Lefevere &amp; </w:t>
      </w:r>
      <w:proofErr w:type="spellStart"/>
      <w:r w:rsidRPr="002906A3">
        <w:rPr>
          <w:lang w:val="en-US"/>
        </w:rPr>
        <w:t>Bassnett</w:t>
      </w:r>
      <w:proofErr w:type="spellEnd"/>
      <w:r w:rsidRPr="002906A3">
        <w:rPr>
          <w:lang w:val="en-US"/>
        </w:rPr>
        <w:t>, 1990) This change can be viewed as a reflection of the cultural transition in the humanities during the late 1980s and early 1990s. (</w:t>
      </w:r>
      <w:proofErr w:type="spellStart"/>
      <w:r w:rsidRPr="002906A3">
        <w:rPr>
          <w:lang w:val="en-US"/>
        </w:rPr>
        <w:t>Bassnett</w:t>
      </w:r>
      <w:proofErr w:type="spellEnd"/>
      <w:r w:rsidRPr="002906A3">
        <w:rPr>
          <w:lang w:val="en-US"/>
        </w:rPr>
        <w:t xml:space="preserve">, 2007, p.16) Gradually, the research in translation studies expanded from purely linguistic issues to the cultural, historical, and social dimensions of translation. In other words, the view on the nature of translation has fundamentally changed; translation is no longer just a linguistic translation of the source text into the target language, but a rewriting of the source text. (Lefevere, 1992) In this context, translators no longer are copyists of the authors; instead, they act as social participants in the translation process, reformulating the original text personally and translation is utilized not only for educating and training translators but also for exploring cultural studies. (Lefevere &amp; </w:t>
      </w:r>
      <w:proofErr w:type="spellStart"/>
      <w:r w:rsidRPr="002906A3">
        <w:rPr>
          <w:lang w:val="en-US"/>
        </w:rPr>
        <w:t>Bassnett</w:t>
      </w:r>
      <w:proofErr w:type="spellEnd"/>
      <w:r w:rsidRPr="002906A3">
        <w:rPr>
          <w:lang w:val="en-US"/>
        </w:rPr>
        <w:t xml:space="preserve">, 1990, p.6) Lefevere and </w:t>
      </w:r>
      <w:proofErr w:type="spellStart"/>
      <w:r w:rsidRPr="002906A3">
        <w:rPr>
          <w:lang w:val="en-US"/>
        </w:rPr>
        <w:t>Bassnett</w:t>
      </w:r>
      <w:proofErr w:type="spellEnd"/>
      <w:r w:rsidRPr="002906A3">
        <w:rPr>
          <w:lang w:val="en-US"/>
        </w:rPr>
        <w:t xml:space="preserve"> discuss how translation serves as one of the most explicit and accessible means for examining cultural interactions (Lefevere &amp; </w:t>
      </w:r>
      <w:proofErr w:type="spellStart"/>
      <w:r w:rsidRPr="002906A3">
        <w:rPr>
          <w:lang w:val="en-US"/>
        </w:rPr>
        <w:t>Bassnett</w:t>
      </w:r>
      <w:proofErr w:type="spellEnd"/>
      <w:r w:rsidRPr="002906A3">
        <w:rPr>
          <w:lang w:val="en-US"/>
        </w:rPr>
        <w:t>, 1990, p.7). This perspective underscores the significance of translation, elevating it to a status equal to that of literary texts—particularly in comparative literature.</w:t>
      </w:r>
    </w:p>
    <w:p w14:paraId="6E68FA33" w14:textId="77777777" w:rsidR="00DA3117" w:rsidRPr="002906A3" w:rsidRDefault="00DA3117" w:rsidP="00E80666">
      <w:pPr>
        <w:ind w:firstLine="720"/>
        <w:jc w:val="both"/>
        <w:rPr>
          <w:lang w:val="en-US"/>
        </w:rPr>
      </w:pPr>
    </w:p>
    <w:p w14:paraId="75F38B4F" w14:textId="3FC86AAD" w:rsidR="001E7189" w:rsidRDefault="001E7189" w:rsidP="00E80666">
      <w:pPr>
        <w:jc w:val="both"/>
        <w:rPr>
          <w:lang w:val="en-US"/>
        </w:rPr>
      </w:pPr>
      <w:r w:rsidRPr="002906A3">
        <w:rPr>
          <w:lang w:val="en-US"/>
        </w:rPr>
        <w:t>The significance of post-structuralist approaches to translation has challenged the traditional authority of the source text, resulting in a dynamic where the relationship between the translated text and the original is no longer one of equilibrium but rather situated within a network of intertextual connections. Furthermore, these approaches have prompted a reevaluation of the concepts of originality and authorship, which have historically positioned translations as subordinate to the source text. According to Derrida, the original text is neither complete nor authentic and requires what Walter Benjamin refers to as life’s continuity. (Venuti, 1992, p.7) The advancement of translation studies is attributed to a combination of theoretical developments and significant political and social changes, such as the Cold War, China’s current position, and globalization. (</w:t>
      </w:r>
      <w:proofErr w:type="spellStart"/>
      <w:r w:rsidRPr="002906A3">
        <w:rPr>
          <w:lang w:val="en-US"/>
        </w:rPr>
        <w:t>Kuhiwczak</w:t>
      </w:r>
      <w:proofErr w:type="spellEnd"/>
      <w:r w:rsidRPr="002906A3">
        <w:rPr>
          <w:lang w:val="en-US"/>
        </w:rPr>
        <w:t xml:space="preserve"> &amp; Littau, 2007, p.1)</w:t>
      </w:r>
    </w:p>
    <w:p w14:paraId="373B69E9" w14:textId="77777777" w:rsidR="00DA3117" w:rsidRPr="002906A3" w:rsidRDefault="00DA3117" w:rsidP="00E80666">
      <w:pPr>
        <w:ind w:firstLine="720"/>
        <w:jc w:val="both"/>
        <w:rPr>
          <w:lang w:val="en-US"/>
        </w:rPr>
      </w:pPr>
    </w:p>
    <w:p w14:paraId="1B345F6C" w14:textId="77777777" w:rsidR="001E7189" w:rsidRDefault="001E7189" w:rsidP="00E80666">
      <w:pPr>
        <w:jc w:val="both"/>
        <w:rPr>
          <w:lang w:val="en-US"/>
        </w:rPr>
      </w:pPr>
      <w:r w:rsidRPr="002906A3">
        <w:rPr>
          <w:lang w:val="en-US"/>
        </w:rPr>
        <w:t xml:space="preserve">The nexus between comparative literature and translation has been concisely articulated in the decennial reports issued by the American Comparative Literature Association, which, from 1965 to 1975, emphasized marginalizing the role of translated texts in the comparative literature framework. The 1993 report by Bernheimer adopted an integrative stance, underscoring the </w:t>
      </w:r>
      <w:r w:rsidRPr="002906A3">
        <w:rPr>
          <w:lang w:val="en-US"/>
        </w:rPr>
        <w:lastRenderedPageBreak/>
        <w:t xml:space="preserve">critical necessity of foreign language competence to reconcile the historically contentious relationship between disciplines. (Levin, 1965; Greene, 1975; Bernheimer, 1993) The evolving attitudes reflected in these reports align with the progress in comparative literature and translation studies. Bernheimer (1993) and </w:t>
      </w:r>
      <w:proofErr w:type="spellStart"/>
      <w:r w:rsidRPr="002906A3">
        <w:rPr>
          <w:lang w:val="en-US"/>
        </w:rPr>
        <w:t>Bassnett</w:t>
      </w:r>
      <w:proofErr w:type="spellEnd"/>
      <w:r w:rsidRPr="002906A3">
        <w:rPr>
          <w:lang w:val="en-US"/>
        </w:rPr>
        <w:t xml:space="preserve"> (1993) thoughtfully addressed the challenges facing comparative literature, which is considered a subset of translation studies, and highlighted the importance of cultural perspectives. </w:t>
      </w:r>
      <w:proofErr w:type="spellStart"/>
      <w:r w:rsidRPr="002906A3">
        <w:rPr>
          <w:lang w:val="en-US"/>
        </w:rPr>
        <w:t>Bassnett’s</w:t>
      </w:r>
      <w:proofErr w:type="spellEnd"/>
      <w:r w:rsidRPr="002906A3">
        <w:rPr>
          <w:lang w:val="en-US"/>
        </w:rPr>
        <w:t xml:space="preserve"> insights debate the relationship between comparative literature and translation studies, emphasizing a more inclusive approach to these interconnected fields. This shift in perspective was also influenced by questions concerning the conventional understanding of comparative literature, which resulted in an evaluation of the field. Then, Spivak (2003) advocated a revised definition of the field and addressed the predominance of Eurocentric frameworks within classical comparative literature. She advocated for a more inclusive approach encompassing European nations and languages as well as Asian and other identities within the Islamic countries. This perspective emphasizes postcolonial studies' valuable contributions to enrich the comparative literature field.</w:t>
      </w:r>
    </w:p>
    <w:p w14:paraId="22E4756C" w14:textId="77777777" w:rsidR="00DA3117" w:rsidRPr="002906A3" w:rsidRDefault="00DA3117" w:rsidP="00E80666">
      <w:pPr>
        <w:ind w:firstLine="720"/>
        <w:jc w:val="both"/>
        <w:rPr>
          <w:lang w:val="en-US"/>
        </w:rPr>
      </w:pPr>
    </w:p>
    <w:p w14:paraId="433D602A" w14:textId="06B154E7" w:rsidR="001E7189" w:rsidRDefault="001E7189" w:rsidP="00E80666">
      <w:pPr>
        <w:jc w:val="both"/>
        <w:rPr>
          <w:lang w:val="en-US"/>
        </w:rPr>
      </w:pPr>
      <w:r w:rsidRPr="002906A3">
        <w:rPr>
          <w:lang w:val="en-US"/>
        </w:rPr>
        <w:t xml:space="preserve">With insights from David Damrosch and Emily Apter, the American Comparative Literature Association emphasized the importance of translation, providing more in-depth coverage of the topic, developed under the guidance of Saussy (2006) and highlighted the role of translation in promoting intercultural exchange—illustrating its impact on cross-cultural dialogue and understanding. According to </w:t>
      </w:r>
      <w:proofErr w:type="spellStart"/>
      <w:r w:rsidRPr="002906A3">
        <w:rPr>
          <w:lang w:val="en-US"/>
        </w:rPr>
        <w:t>Bibbò</w:t>
      </w:r>
      <w:proofErr w:type="spellEnd"/>
      <w:r w:rsidRPr="002906A3">
        <w:rPr>
          <w:lang w:val="en-US"/>
        </w:rPr>
        <w:t xml:space="preserve"> (2002), the most significant point that Saucy added was the emphasis on the unequal power relationship between languages and translation. Comparative literature must deeply engage with the multifaceted nature of the source text’s language and its translation. Rather than simply viewing language as a source for content transmission, this approach challenges scholars to appreciate the profound intricacies of linguistic structures, cultural subtleties, and the rich potential for meaning that emerges through the processes of translation. Such a perspective elevates our understanding of literary texts and enriches the dialogue between cultures by enhancing the field’s scholarly depth and relevance. (Saussy, 2006, p.14)</w:t>
      </w:r>
    </w:p>
    <w:p w14:paraId="19380BB0" w14:textId="77777777" w:rsidR="00DA3117" w:rsidRPr="002906A3" w:rsidRDefault="00DA3117" w:rsidP="00E80666">
      <w:pPr>
        <w:ind w:firstLine="720"/>
        <w:jc w:val="both"/>
        <w:rPr>
          <w:lang w:val="en-US"/>
        </w:rPr>
      </w:pPr>
    </w:p>
    <w:p w14:paraId="249F125C" w14:textId="5F08E428" w:rsidR="001E7189" w:rsidRDefault="00E80666" w:rsidP="00E80666">
      <w:pPr>
        <w:jc w:val="both"/>
        <w:rPr>
          <w:lang w:val="en-US"/>
        </w:rPr>
      </w:pPr>
      <w:r>
        <w:rPr>
          <w:lang w:val="en-US"/>
        </w:rPr>
        <w:t>B</w:t>
      </w:r>
      <w:r w:rsidR="001E7189" w:rsidRPr="002906A3">
        <w:rPr>
          <w:lang w:val="en-US"/>
        </w:rPr>
        <w:t xml:space="preserve">esides, </w:t>
      </w:r>
      <w:proofErr w:type="spellStart"/>
      <w:r w:rsidR="001E7189" w:rsidRPr="002906A3">
        <w:rPr>
          <w:lang w:val="en-US"/>
        </w:rPr>
        <w:t>Bassnett</w:t>
      </w:r>
      <w:proofErr w:type="spellEnd"/>
      <w:r w:rsidR="001E7189" w:rsidRPr="002906A3">
        <w:rPr>
          <w:lang w:val="en-US"/>
        </w:rPr>
        <w:t xml:space="preserve"> (2006) has reevaluated her previous assertions that her intent on the statements in Comparative Literature was not to proclaim the decline of comparative literature but to advocate for the discipline of translation studies. She views both fields as interrelated, recognizing them as complementary methodologies in literature that offer mutual benefits. Apter (2006) explores the enduring connection between translation and comparative literature, positioning translation as essential to developing comparative literature as a therapeutic means to address nationalism in literature. She advocates introducing new initiatives within comparative literature programs that prioritize translation to combat nationalism. Apter suggests a middle ground between the extremes of everything/nothing is translatable. She argues that to avoid flawed and ineffective translations, the translation should be entirely eschewed in favor of monolingualism, which allows for the translation of any text without any necessary precautions. (p.91) She perceives the contemporary challenge of comparative literature as an endeavor to foster peace and reconciliation between these two perspectives. The increasing focus on translation in comparative literature is effectively illustrated in Saussy (2017), which includes contributions from respected scholars like Damrosch and Spivak. Their insights emphasize that translation is not just a secondary process but a meaningful interaction with the text that deserves recognition on par with the original work.</w:t>
      </w:r>
    </w:p>
    <w:p w14:paraId="299BE306" w14:textId="77777777" w:rsidR="00DA3117" w:rsidRPr="002906A3" w:rsidRDefault="00DA3117" w:rsidP="00E80666">
      <w:pPr>
        <w:ind w:firstLine="720"/>
        <w:jc w:val="both"/>
        <w:rPr>
          <w:lang w:val="en-US"/>
        </w:rPr>
      </w:pPr>
    </w:p>
    <w:p w14:paraId="05902ADE" w14:textId="77777777" w:rsidR="001E7189" w:rsidRPr="002906A3" w:rsidRDefault="001E7189" w:rsidP="00E80666">
      <w:pPr>
        <w:jc w:val="both"/>
        <w:rPr>
          <w:b/>
          <w:bCs/>
          <w:lang w:val="en-US"/>
        </w:rPr>
      </w:pPr>
      <w:r w:rsidRPr="002906A3">
        <w:rPr>
          <w:b/>
          <w:bCs/>
          <w:lang w:val="en-US"/>
        </w:rPr>
        <w:t>The intricacies of translating World Literature</w:t>
      </w:r>
    </w:p>
    <w:p w14:paraId="06C93927" w14:textId="77777777" w:rsidR="001E7189" w:rsidRPr="002906A3" w:rsidRDefault="001E7189" w:rsidP="00E80666">
      <w:pPr>
        <w:jc w:val="both"/>
        <w:rPr>
          <w:lang w:val="en-US"/>
        </w:rPr>
      </w:pPr>
      <w:r w:rsidRPr="002906A3">
        <w:rPr>
          <w:lang w:val="en-US"/>
        </w:rPr>
        <w:t xml:space="preserve">The intersections between comparative literature and translation studies can be observed across various research fields. </w:t>
      </w:r>
      <w:proofErr w:type="spellStart"/>
      <w:r w:rsidRPr="002906A3">
        <w:rPr>
          <w:lang w:val="en-US"/>
        </w:rPr>
        <w:t>Bassnett</w:t>
      </w:r>
      <w:proofErr w:type="spellEnd"/>
      <w:r w:rsidRPr="002906A3">
        <w:rPr>
          <w:lang w:val="en-US"/>
        </w:rPr>
        <w:t xml:space="preserve"> (2006) noted that historical domains play a significant role in contemporary comparative literature. (p.8) In its formative stages, comparative literature primarily explores the historical connections between two or more national literatures. (</w:t>
      </w:r>
      <w:proofErr w:type="spellStart"/>
      <w:r w:rsidRPr="002906A3">
        <w:t>Damrosch</w:t>
      </w:r>
      <w:proofErr w:type="spellEnd"/>
      <w:r w:rsidRPr="002906A3">
        <w:t xml:space="preserve">, 2003, p.97) </w:t>
      </w:r>
      <w:r w:rsidRPr="002906A3">
        <w:rPr>
          <w:lang w:val="en-US"/>
        </w:rPr>
        <w:t>Since translation is embedded in history,</w:t>
      </w:r>
      <w:r w:rsidRPr="002906A3">
        <w:t xml:space="preserve"> </w:t>
      </w:r>
      <w:r w:rsidRPr="002906A3">
        <w:rPr>
          <w:lang w:val="en-US"/>
        </w:rPr>
        <w:t>“it is no exaggeration to say that if we want to study cultural history, the history of philosophy, literature, and religion, we shall have to study translations to a much greater extent than we have done in the past.” (</w:t>
      </w:r>
      <w:proofErr w:type="spellStart"/>
      <w:r w:rsidRPr="002906A3">
        <w:rPr>
          <w:lang w:val="en-US"/>
        </w:rPr>
        <w:t>Bassnett</w:t>
      </w:r>
      <w:proofErr w:type="spellEnd"/>
      <w:r w:rsidRPr="002906A3">
        <w:rPr>
          <w:lang w:val="en-US"/>
        </w:rPr>
        <w:t xml:space="preserve"> &amp; Lefevere, 1998, p.6) The history of translation is integral to the history of literature and is essential for literary historiography. Translation studies and comparative literature intersect; herein, key topics in the history of translation include a) the fluctuations of translation practices over time, b) the influence of translated works on target literature, and c) trends in the translation of specific genres. (</w:t>
      </w:r>
      <w:proofErr w:type="spellStart"/>
      <w:r w:rsidRPr="002906A3">
        <w:rPr>
          <w:lang w:val="en-US"/>
        </w:rPr>
        <w:t>Bassnett</w:t>
      </w:r>
      <w:proofErr w:type="spellEnd"/>
      <w:r w:rsidRPr="002906A3">
        <w:rPr>
          <w:lang w:val="en-US"/>
        </w:rPr>
        <w:t>, 1993, p.47)</w:t>
      </w:r>
    </w:p>
    <w:p w14:paraId="70A250FA" w14:textId="5BD5FB3D" w:rsidR="001E7189" w:rsidRDefault="001E7189" w:rsidP="00E80666">
      <w:pPr>
        <w:jc w:val="both"/>
        <w:rPr>
          <w:lang w:val="en-US"/>
        </w:rPr>
      </w:pPr>
      <w:r w:rsidRPr="002906A3">
        <w:rPr>
          <w:lang w:val="en-US"/>
        </w:rPr>
        <w:t>To truly grasp the tapestry of a nation’s literary heritage, one must delve into comparative literature, where translation plays a pivotal role. Literary history is inherently interdisciplinary and thrives at the intersection of translation, history, sociology, literary criticism, and political science. Literature is no longer limited to lofty classics, and we must recognize the vital role of translation in bridging cultures. This dynamic exchange introduces us to genres and literary movements and highlights the intricate relationships between national literature that allow us to realize the broader narrative of literature.</w:t>
      </w:r>
    </w:p>
    <w:p w14:paraId="15413241" w14:textId="77777777" w:rsidR="00DA3117" w:rsidRPr="002906A3" w:rsidRDefault="00DA3117" w:rsidP="00E80666">
      <w:pPr>
        <w:ind w:firstLine="720"/>
        <w:jc w:val="both"/>
        <w:rPr>
          <w:lang w:val="en-US"/>
        </w:rPr>
      </w:pPr>
    </w:p>
    <w:p w14:paraId="1E096F6C" w14:textId="3B143817" w:rsidR="001E7189" w:rsidRDefault="001E7189" w:rsidP="00E80666">
      <w:pPr>
        <w:jc w:val="both"/>
        <w:rPr>
          <w:lang w:val="en-US"/>
        </w:rPr>
      </w:pPr>
      <w:r w:rsidRPr="002906A3">
        <w:rPr>
          <w:lang w:val="en-US"/>
        </w:rPr>
        <w:t>A significant overlap between comparative literature and translation studies underscores the pivotal role of the reader in constructing meaning. This perspective emerged as a response to the author-centric paradigms dominant in the nineteenth century. Hans Robert Jauss articulates that reception is fundamentally the process through which the reader ascribes specific meanings to a text. (Brems &amp; Pinto, 2013, p.142) Jauss (1970) posits that every text is inherently incomplete, enabling it to acquire meaning through the reader’s engagement during the reading process by evolving the interpretation of literary texts across different historical periods.</w:t>
      </w:r>
    </w:p>
    <w:p w14:paraId="6922BB7D" w14:textId="77777777" w:rsidR="00DA3117" w:rsidRPr="002906A3" w:rsidRDefault="00DA3117" w:rsidP="00E80666">
      <w:pPr>
        <w:ind w:firstLine="720"/>
        <w:jc w:val="both"/>
        <w:rPr>
          <w:lang w:val="en-US"/>
        </w:rPr>
      </w:pPr>
    </w:p>
    <w:p w14:paraId="6B044B96" w14:textId="77777777" w:rsidR="001E7189" w:rsidRDefault="001E7189" w:rsidP="00E80666">
      <w:pPr>
        <w:jc w:val="both"/>
        <w:rPr>
          <w:lang w:val="en-US"/>
        </w:rPr>
      </w:pPr>
      <w:r w:rsidRPr="002906A3">
        <w:rPr>
          <w:lang w:val="en-US"/>
        </w:rPr>
        <w:t>The emerging reader-centered and hermeneutic approach suggests that each reading experience generates a new understanding of the text, highlighting the dynamic relationship between the reader and the work. Translation plays a crucial role in understanding the characteristics and expectations of a work’s recipient, which is well-established and was significantly advanced by the International Association of Comparative Literature (1967) and focused on a Comparative History of European Literature. Here, scholars possess robust proficiency in translation studies and comparative literature and effectively leverage the methodologies and analytical frameworks by employing sophisticated tools to enhance textual comprehension and interpretation. (</w:t>
      </w:r>
      <w:proofErr w:type="spellStart"/>
      <w:r w:rsidRPr="002906A3">
        <w:rPr>
          <w:lang w:val="en-US"/>
        </w:rPr>
        <w:t>Bibbò</w:t>
      </w:r>
      <w:proofErr w:type="spellEnd"/>
      <w:r w:rsidRPr="002906A3">
        <w:rPr>
          <w:lang w:val="en-US"/>
        </w:rPr>
        <w:t>, 2022) Such relationships are expressed in multiple forms; writers from differing languages and cultures influence one another through translation and facilitate cross-cultural appreciation.</w:t>
      </w:r>
    </w:p>
    <w:p w14:paraId="5D854B6A" w14:textId="77777777" w:rsidR="00DA3117" w:rsidRPr="002906A3" w:rsidRDefault="00DA3117" w:rsidP="00E80666">
      <w:pPr>
        <w:ind w:firstLine="720"/>
        <w:jc w:val="both"/>
        <w:rPr>
          <w:lang w:val="en-US"/>
        </w:rPr>
      </w:pPr>
    </w:p>
    <w:p w14:paraId="1ED4B307" w14:textId="77777777" w:rsidR="001E7189" w:rsidRDefault="001E7189" w:rsidP="00E80666">
      <w:pPr>
        <w:jc w:val="both"/>
        <w:rPr>
          <w:lang w:val="en-US"/>
        </w:rPr>
      </w:pPr>
      <w:r w:rsidRPr="002906A3">
        <w:rPr>
          <w:lang w:val="en-US"/>
        </w:rPr>
        <w:t xml:space="preserve">In contemporary discourse, there is a need for a transnational and interdisciplinary approach to the humanities that foregrounds the critical roles of language, literature, and culture. It is posited that comparative literature and translation studies are particularly well-suited to serve as the foundational disciplines for developing such a broad and integrative humanities framework. They explore the intricacies of cultural exchange and illuminate the complexities of defining </w:t>
      </w:r>
      <w:r w:rsidRPr="002906A3">
        <w:rPr>
          <w:lang w:val="en-US"/>
        </w:rPr>
        <w:lastRenderedPageBreak/>
        <w:t>linguistic boundaries, thus fostering a more holistic understanding of human expression in a globalized context. (Bermann, 2009, p.432) Comparative literature and translation studies are fundamentally transnational and interdisciplinary, and their collaboration greatly enhances our understanding of the modern world. By investigating intercultural and interlingual dimensions, research in comparative literature deepens our understanding of translation. Simultaneously, examining the linguistic, cultural, and sociological aspects of translation reveals new insights into literature, and this dynamic interaction field is crucial for a thorough appreciation of both fields.</w:t>
      </w:r>
    </w:p>
    <w:p w14:paraId="079B276A" w14:textId="77777777" w:rsidR="00DA3117" w:rsidRPr="002906A3" w:rsidRDefault="00DA3117" w:rsidP="00E80666">
      <w:pPr>
        <w:ind w:firstLine="720"/>
        <w:jc w:val="both"/>
        <w:rPr>
          <w:lang w:val="en-US"/>
        </w:rPr>
      </w:pPr>
    </w:p>
    <w:p w14:paraId="60E4DED8" w14:textId="11B89789" w:rsidR="001E7189" w:rsidRDefault="001E7189" w:rsidP="00E80666">
      <w:pPr>
        <w:jc w:val="both"/>
        <w:rPr>
          <w:lang w:val="en-US"/>
        </w:rPr>
      </w:pPr>
      <w:r w:rsidRPr="002906A3">
        <w:rPr>
          <w:lang w:val="en-US"/>
        </w:rPr>
        <w:t>Scholars in comparative literature tend to prioritize direct engagement with source texts, exhibiting a critical stance toward interpretations or analyses reliant on translations. They advocate for comprehensive linguistic competency in the language of the literature review, which mirrors that the depth of nuanced conclusions in their research is crucial. Although having a good command of a foreign language is ideal, relying on the quality of translations is precedent to language skills. Researchers and readers often depend on translations to realize various ideas and works of art, underscoring the importance of translation in global communication. Thus, the translator’s skill in conveying meanings is vital for promoting international cultural unity. Current theoretical viewpoints indicate that translation must not lose the literary work’s original language merits. Literary research fundamentally depends on unimpeded access to translation; it underscores the necessity of translation in expanding literary understanding and does not undermine the prevailing view that engaging with translated works is a superior task. This sentiment holds potential concerns regarding fidelity and authenticity in the translation process. This viewpoint seems to originate from specific research within the field of literature, where the relationship between language and literature has traditionally been both close and interdependent.</w:t>
      </w:r>
    </w:p>
    <w:p w14:paraId="52EFF6F5" w14:textId="77777777" w:rsidR="00DA3117" w:rsidRPr="002906A3" w:rsidRDefault="00DA3117" w:rsidP="00E80666">
      <w:pPr>
        <w:ind w:firstLine="720"/>
        <w:jc w:val="both"/>
        <w:rPr>
          <w:lang w:val="en-US"/>
        </w:rPr>
      </w:pPr>
    </w:p>
    <w:p w14:paraId="4745F35D" w14:textId="719A19B0" w:rsidR="001E7189" w:rsidRDefault="001E7189" w:rsidP="00E80666">
      <w:pPr>
        <w:jc w:val="both"/>
        <w:rPr>
          <w:lang w:val="en-US"/>
        </w:rPr>
      </w:pPr>
      <w:r w:rsidRPr="002906A3">
        <w:rPr>
          <w:lang w:val="en-US"/>
        </w:rPr>
        <w:t>Translation may sometimes lack a basis in logical reasoning and rigorous analysis. Language undeniably shapes our perception of literature’s value, and the presence of shared vocabulary across different languages facilitates meaningful translations, bridging cultural divides and enhancing our appreciation of diverse literary works. Engaging with translated works allows us to access a wide array of literary elements beyond the constraints of a single language. Conversely, those who choose to forgo reading translations may inadvertently limit their exposure to a significant portion of world literature. As a result, their literary achievements, regardless of their wisdom and precision, may lack the transregional perspective that enriches the appreciation of narratives.</w:t>
      </w:r>
    </w:p>
    <w:p w14:paraId="27BA2FF9" w14:textId="77777777" w:rsidR="00DA3117" w:rsidRPr="002906A3" w:rsidRDefault="00DA3117" w:rsidP="00E80666">
      <w:pPr>
        <w:ind w:firstLine="720"/>
        <w:jc w:val="both"/>
        <w:rPr>
          <w:lang w:val="en-US"/>
        </w:rPr>
      </w:pPr>
    </w:p>
    <w:p w14:paraId="61960A07" w14:textId="77777777" w:rsidR="001E7189" w:rsidRDefault="001E7189" w:rsidP="00E80666">
      <w:pPr>
        <w:jc w:val="both"/>
      </w:pPr>
      <w:r w:rsidRPr="002906A3">
        <w:rPr>
          <w:lang w:val="en-US"/>
        </w:rPr>
        <w:t>Translation approaches can be classified as either author-centered or reader-centered. Venuti (2008) contrasts “domesticating” and “foreignizing” methods, where the latter emphasizes fidelity to the source text’s linguistic and stylistic features, aiming to preserve its original context and nuances.</w:t>
      </w:r>
      <w:r w:rsidRPr="002906A3">
        <w:t xml:space="preserve"> </w:t>
      </w:r>
      <w:r w:rsidRPr="002906A3">
        <w:rPr>
          <w:lang w:val="en-US"/>
        </w:rPr>
        <w:t>Here, an author-centered translator prioritizes fidelity to the source text by striving to maintain its original linguistic and stylistic features. This commitment to preservation enhances accuracy and aligns closely with the author’s intent. This approach impedes comprehension for the target language’s readers when the text may not adequately accommodate linguistic context’s idiomatic and cultural nuances (</w:t>
      </w:r>
      <w:proofErr w:type="gramStart"/>
      <w:r w:rsidRPr="002906A3">
        <w:rPr>
          <w:lang w:val="en-US"/>
        </w:rPr>
        <w:t>pp</w:t>
      </w:r>
      <w:proofErr w:type="gramEnd"/>
      <w:r w:rsidRPr="002906A3">
        <w:rPr>
          <w:lang w:val="en-US"/>
        </w:rPr>
        <w:t xml:space="preserve">.99-100). In a reader-centered translation, it is essential to accurately convey the author’s message and allow the </w:t>
      </w:r>
      <w:proofErr w:type="gramStart"/>
      <w:r w:rsidRPr="002906A3">
        <w:rPr>
          <w:lang w:val="en-US"/>
        </w:rPr>
        <w:t>translator</w:t>
      </w:r>
      <w:proofErr w:type="gramEnd"/>
      <w:r w:rsidRPr="002906A3">
        <w:rPr>
          <w:lang w:val="en-US"/>
        </w:rPr>
        <w:t xml:space="preserve"> greater flexibility to identify analogous elements in the target language that resonate with the source text. Such a method ultimately enhances comprehension for readers in the target </w:t>
      </w:r>
      <w:r w:rsidRPr="002906A3">
        <w:rPr>
          <w:lang w:val="en-US"/>
        </w:rPr>
        <w:lastRenderedPageBreak/>
        <w:t xml:space="preserve">language, ensuring that they encounter fewer unfamiliar elements in the translation. </w:t>
      </w:r>
      <w:proofErr w:type="spellStart"/>
      <w:r w:rsidRPr="002906A3">
        <w:rPr>
          <w:lang w:val="en-US"/>
        </w:rPr>
        <w:t>Seleskovitch</w:t>
      </w:r>
      <w:proofErr w:type="spellEnd"/>
      <w:r w:rsidRPr="002906A3">
        <w:rPr>
          <w:lang w:val="en-US"/>
        </w:rPr>
        <w:t xml:space="preserve"> &amp; Lederer describe the process of </w:t>
      </w:r>
      <w:proofErr w:type="spellStart"/>
      <w:r w:rsidRPr="002906A3">
        <w:rPr>
          <w:lang w:val="en-US"/>
        </w:rPr>
        <w:t>deverbalization</w:t>
      </w:r>
      <w:proofErr w:type="spellEnd"/>
      <w:r w:rsidRPr="002906A3">
        <w:rPr>
          <w:lang w:val="en-US"/>
        </w:rPr>
        <w:t xml:space="preserve"> in translation, wherein translators focus on understanding and conveying the underlying meaning of the source text. This approach allows for adaptations that align with the cultural and linguistic context of the target language. (</w:t>
      </w:r>
      <w:r w:rsidRPr="002906A3">
        <w:t xml:space="preserve">Durukan &amp; </w:t>
      </w:r>
      <w:proofErr w:type="spellStart"/>
      <w:r w:rsidRPr="002906A3">
        <w:t>Çokövün</w:t>
      </w:r>
      <w:proofErr w:type="spellEnd"/>
      <w:r w:rsidRPr="002906A3">
        <w:t>, 2018)</w:t>
      </w:r>
    </w:p>
    <w:p w14:paraId="208FD669" w14:textId="77777777" w:rsidR="00DA3117" w:rsidRPr="002906A3" w:rsidRDefault="00DA3117" w:rsidP="00E80666">
      <w:pPr>
        <w:ind w:firstLine="720"/>
        <w:jc w:val="both"/>
      </w:pPr>
    </w:p>
    <w:p w14:paraId="540BA72D" w14:textId="77777777" w:rsidR="001E7189" w:rsidRDefault="001E7189" w:rsidP="00E80666">
      <w:pPr>
        <w:jc w:val="both"/>
        <w:rPr>
          <w:lang w:val="en-US"/>
        </w:rPr>
      </w:pPr>
      <w:r w:rsidRPr="002906A3">
        <w:rPr>
          <w:lang w:val="en-US"/>
        </w:rPr>
        <w:t>To achieve translational balance and connect well with the target language, the translator must possess the necessary knowledge and familiarity to overcome linguistic and cultural barriers. A proficient translator must cultivate a deep understanding of the author’s perspective to accurately capture their intentions and deliver the text with precision and nuance. The translator needs to be sensitive to the cultural context surrounding the work, demonstrating a level of talent and literary skill akin to that of the original author. This “transaction” approach enables the translator to elicit the same emotional resonance and impact in the readers of the target language as the original text imparts to its audience. (Pedersen, 2019) Conscious or unconscious influence is imperative to examine the presence of this influence and the rationale and mechanisms behind it. Grasping the underlying factors is crucial for comprehending the significance of the motivations and mechanisms driving impact. Theoretical frameworks and research methodologies within comparative literature are continuously evolving, which is a hallmark of the field. This adaptability enables comparative literature to effectively engage with emerging literary theories and contemporary literary criticism approaches.</w:t>
      </w:r>
    </w:p>
    <w:p w14:paraId="1C60D616" w14:textId="77777777" w:rsidR="00DA3117" w:rsidRPr="002906A3" w:rsidRDefault="00DA3117" w:rsidP="00E80666">
      <w:pPr>
        <w:ind w:firstLine="720"/>
        <w:jc w:val="both"/>
        <w:rPr>
          <w:lang w:val="en-US"/>
        </w:rPr>
      </w:pPr>
    </w:p>
    <w:p w14:paraId="5E19541E" w14:textId="77777777" w:rsidR="001E7189" w:rsidRPr="002906A3" w:rsidRDefault="001E7189" w:rsidP="00E80666">
      <w:pPr>
        <w:jc w:val="both"/>
        <w:rPr>
          <w:b/>
          <w:bCs/>
          <w:lang w:val="en-US"/>
        </w:rPr>
      </w:pPr>
      <w:r w:rsidRPr="002906A3">
        <w:rPr>
          <w:b/>
          <w:bCs/>
          <w:lang w:val="en-US"/>
        </w:rPr>
        <w:t>Conclusion</w:t>
      </w:r>
    </w:p>
    <w:p w14:paraId="0CBCFCE3" w14:textId="77777777" w:rsidR="001E7189" w:rsidRDefault="001E7189" w:rsidP="00E80666">
      <w:pPr>
        <w:jc w:val="both"/>
        <w:rPr>
          <w:lang w:val="en-US"/>
        </w:rPr>
      </w:pPr>
      <w:r w:rsidRPr="002906A3">
        <w:rPr>
          <w:lang w:val="en-US"/>
        </w:rPr>
        <w:t xml:space="preserve">This study aims to highlight the viability of intertextual analysis within comparative literature through the dynamic interplay of texts situated in their social, historical, and literary contexts, in which translation acts as a central element. Advancing the interdisciplinary fields of comparative literature and translation studies depends on strong collaboration among researchers, for whom applied studies are invaluable. Moreover, the introduction and critical examination of works at the intersection of comparative literature and translation studies will yield substantial benefits for theoretical exploration and practical application. Translation serves as a crucial foundational element not only within the realm of comparative literature but also in the broader evolution of literary forms across linguistic traditions and transcends mere linguistic conversion—contributing significantly to the dynamics of cultural exchange and the development of literary discourse globally. Translation studies are a vital part of comparative literature and have consistently served as a platform for cultural interactions and communication, acting as a catalyst for cultural development. Translation studies are recognized as a creative endeavor—particularly in the context of literary translation, which plays a pivotal role in fostering intercultural dialogue and cultural evolution among nations. Through the process of translation, literary works are not only preserved but are also recontextualized, with each iteration reflecting a transformation and revival of the original text. This interplay highlights the dynamic nature of literary translation as an art and a scholarly pursuit by facilitating the continuous interaction and enrichment of diverse literary traditions. Scholars in comparative literature engage with translation not merely as a linguistic phenomenon but through a lens that emphasizes cultural and literary implications. Thus, innovative theoretical frameworks have fostered the emergence of new research avenues within the discipline, marked by a commitment to self-reflection and critique, continually interrogating and re-evaluating established theories. Thereby, comparative literature regularly proposes alternative perspectives by broadening its domain of inquiry and enriching its methodological </w:t>
      </w:r>
      <w:r w:rsidRPr="002906A3">
        <w:rPr>
          <w:lang w:val="en-US"/>
        </w:rPr>
        <w:lastRenderedPageBreak/>
        <w:t>approaches.</w:t>
      </w:r>
    </w:p>
    <w:p w14:paraId="428616F8" w14:textId="77777777" w:rsidR="00DA3117" w:rsidRPr="002906A3" w:rsidRDefault="00DA3117" w:rsidP="00E80666">
      <w:pPr>
        <w:ind w:firstLine="720"/>
        <w:jc w:val="both"/>
        <w:rPr>
          <w:lang w:val="en-US"/>
        </w:rPr>
      </w:pPr>
    </w:p>
    <w:p w14:paraId="493E38DA" w14:textId="77777777" w:rsidR="001E7189" w:rsidRPr="002906A3" w:rsidRDefault="001E7189" w:rsidP="00E80666">
      <w:pPr>
        <w:jc w:val="both"/>
        <w:rPr>
          <w:b/>
          <w:bCs/>
          <w:lang w:val="en-US"/>
        </w:rPr>
      </w:pPr>
      <w:r w:rsidRPr="002906A3">
        <w:rPr>
          <w:b/>
          <w:bCs/>
          <w:lang w:val="en-US"/>
        </w:rPr>
        <w:t>References</w:t>
      </w:r>
    </w:p>
    <w:p w14:paraId="7317D95C" w14:textId="77777777" w:rsidR="001E7189" w:rsidRPr="00114C6B" w:rsidRDefault="001E7189">
      <w:pPr>
        <w:pStyle w:val="ListeParagraf"/>
        <w:numPr>
          <w:ilvl w:val="0"/>
          <w:numId w:val="47"/>
        </w:numPr>
        <w:jc w:val="both"/>
        <w:rPr>
          <w:color w:val="000000" w:themeColor="text1"/>
          <w:lang w:val="en-US" w:bidi="fa-IR"/>
        </w:rPr>
      </w:pPr>
      <w:bookmarkStart w:id="153" w:name="_Hlk84928933"/>
      <w:r w:rsidRPr="00114C6B">
        <w:rPr>
          <w:color w:val="000000" w:themeColor="text1"/>
          <w:lang w:val="en-US" w:bidi="fa-IR"/>
        </w:rPr>
        <w:t>Apter, E. (2006). </w:t>
      </w:r>
      <w:r w:rsidRPr="00114C6B">
        <w:rPr>
          <w:i/>
          <w:iCs/>
          <w:color w:val="000000" w:themeColor="text1"/>
          <w:lang w:val="en-US" w:bidi="fa-IR"/>
        </w:rPr>
        <w:t>The translation zone: A new comparative literature</w:t>
      </w:r>
      <w:r w:rsidRPr="00114C6B">
        <w:rPr>
          <w:color w:val="000000" w:themeColor="text1"/>
          <w:lang w:val="en-US" w:bidi="fa-IR"/>
        </w:rPr>
        <w:t>. Princeton: Princeton University Press.</w:t>
      </w:r>
    </w:p>
    <w:p w14:paraId="74FA9A47" w14:textId="77777777" w:rsidR="001E7189" w:rsidRPr="00114C6B" w:rsidRDefault="001E7189">
      <w:pPr>
        <w:pStyle w:val="ListeParagraf"/>
        <w:numPr>
          <w:ilvl w:val="0"/>
          <w:numId w:val="47"/>
        </w:numPr>
        <w:jc w:val="both"/>
        <w:rPr>
          <w:color w:val="000000" w:themeColor="text1"/>
          <w:lang w:val="en-US" w:bidi="fa-IR"/>
        </w:rPr>
      </w:pPr>
      <w:proofErr w:type="spellStart"/>
      <w:r w:rsidRPr="00114C6B">
        <w:rPr>
          <w:color w:val="000000" w:themeColor="text1"/>
          <w:lang w:val="en-US" w:bidi="fa-IR"/>
        </w:rPr>
        <w:t>Bassnett</w:t>
      </w:r>
      <w:proofErr w:type="spellEnd"/>
      <w:r w:rsidRPr="00114C6B">
        <w:rPr>
          <w:color w:val="000000" w:themeColor="text1"/>
          <w:lang w:val="en-US" w:bidi="fa-IR"/>
        </w:rPr>
        <w:t>, S. (1993). </w:t>
      </w:r>
      <w:r w:rsidRPr="00114C6B">
        <w:rPr>
          <w:i/>
          <w:iCs/>
          <w:color w:val="000000" w:themeColor="text1"/>
          <w:lang w:val="en-US" w:bidi="fa-IR"/>
        </w:rPr>
        <w:t>Comparative literature: A critical introduction</w:t>
      </w:r>
      <w:r w:rsidRPr="00114C6B">
        <w:rPr>
          <w:color w:val="000000" w:themeColor="text1"/>
          <w:lang w:val="en-US" w:bidi="fa-IR"/>
        </w:rPr>
        <w:t>. Oxford: Blackwell.</w:t>
      </w:r>
    </w:p>
    <w:p w14:paraId="4CFD795F" w14:textId="77777777" w:rsidR="001E7189" w:rsidRPr="00114C6B" w:rsidRDefault="001E7189">
      <w:pPr>
        <w:pStyle w:val="ListeParagraf"/>
        <w:numPr>
          <w:ilvl w:val="0"/>
          <w:numId w:val="47"/>
        </w:numPr>
        <w:jc w:val="both"/>
        <w:rPr>
          <w:color w:val="000000" w:themeColor="text1"/>
          <w:lang w:val="en-US" w:bidi="fa-IR"/>
        </w:rPr>
      </w:pPr>
      <w:proofErr w:type="spellStart"/>
      <w:r w:rsidRPr="00114C6B">
        <w:rPr>
          <w:color w:val="000000" w:themeColor="text1"/>
          <w:lang w:val="en-US" w:bidi="fa-IR"/>
        </w:rPr>
        <w:t>Bassnett</w:t>
      </w:r>
      <w:proofErr w:type="spellEnd"/>
      <w:r w:rsidRPr="00114C6B">
        <w:rPr>
          <w:color w:val="000000" w:themeColor="text1"/>
          <w:lang w:val="en-US" w:bidi="fa-IR"/>
        </w:rPr>
        <w:t>, S. (2006). Reflections on comparative literature in the twenty-first century. In H. Saussy (Ed.), </w:t>
      </w:r>
      <w:r w:rsidRPr="00114C6B">
        <w:rPr>
          <w:i/>
          <w:iCs/>
          <w:color w:val="000000" w:themeColor="text1"/>
          <w:lang w:val="en-US" w:bidi="fa-IR"/>
        </w:rPr>
        <w:t>Comparative literature in an age of globalization</w:t>
      </w:r>
      <w:r w:rsidRPr="00114C6B">
        <w:rPr>
          <w:color w:val="000000" w:themeColor="text1"/>
          <w:lang w:val="en-US" w:bidi="fa-IR"/>
        </w:rPr>
        <w:t> (pp. 52-61). Baltimore: Johns Hopkins University Press.</w:t>
      </w:r>
    </w:p>
    <w:p w14:paraId="33261AC9" w14:textId="3FD87A9C" w:rsidR="001E7189" w:rsidRPr="00114C6B" w:rsidRDefault="001E7189">
      <w:pPr>
        <w:pStyle w:val="ListeParagraf"/>
        <w:numPr>
          <w:ilvl w:val="0"/>
          <w:numId w:val="47"/>
        </w:numPr>
        <w:jc w:val="both"/>
        <w:rPr>
          <w:color w:val="000000" w:themeColor="text1"/>
          <w:lang w:val="en-US" w:bidi="fa-IR"/>
        </w:rPr>
      </w:pPr>
      <w:proofErr w:type="spellStart"/>
      <w:r w:rsidRPr="00114C6B">
        <w:rPr>
          <w:color w:val="000000" w:themeColor="text1"/>
          <w:lang w:val="en-US" w:bidi="fa-IR"/>
        </w:rPr>
        <w:t>Bassnett</w:t>
      </w:r>
      <w:proofErr w:type="spellEnd"/>
      <w:r w:rsidRPr="00114C6B">
        <w:rPr>
          <w:color w:val="000000" w:themeColor="text1"/>
          <w:lang w:val="en-US" w:bidi="fa-IR"/>
        </w:rPr>
        <w:t xml:space="preserve">, S. (2007). Culture and Translation. In P. </w:t>
      </w:r>
      <w:proofErr w:type="spellStart"/>
      <w:r w:rsidRPr="00114C6B">
        <w:rPr>
          <w:color w:val="000000" w:themeColor="text1"/>
          <w:lang w:val="en-US" w:bidi="fa-IR"/>
        </w:rPr>
        <w:t>Kuhiwczak</w:t>
      </w:r>
      <w:proofErr w:type="spellEnd"/>
      <w:r w:rsidRPr="00114C6B">
        <w:rPr>
          <w:color w:val="000000" w:themeColor="text1"/>
          <w:lang w:val="en-US" w:bidi="fa-IR"/>
        </w:rPr>
        <w:t xml:space="preserve">&amp; K. Littau (Eds.), </w:t>
      </w:r>
      <w:r w:rsidRPr="00114C6B">
        <w:rPr>
          <w:i/>
          <w:iCs/>
          <w:color w:val="000000" w:themeColor="text1"/>
          <w:lang w:val="en-US" w:bidi="fa-IR"/>
        </w:rPr>
        <w:t>A Companion to Translation Studies</w:t>
      </w:r>
      <w:r w:rsidRPr="00114C6B">
        <w:rPr>
          <w:color w:val="000000" w:themeColor="text1"/>
          <w:lang w:val="en-US" w:bidi="fa-IR"/>
        </w:rPr>
        <w:t xml:space="preserve"> (pp. 13-23). </w:t>
      </w:r>
      <w:hyperlink r:id="rId188" w:history="1">
        <w:r w:rsidRPr="00114C6B">
          <w:rPr>
            <w:rStyle w:val="Kpr"/>
            <w:color w:val="000000" w:themeColor="text1"/>
            <w:lang w:val="en-US" w:bidi="fa-IR"/>
          </w:rPr>
          <w:t>Multilingual Matters</w:t>
        </w:r>
      </w:hyperlink>
      <w:r w:rsidRPr="00114C6B">
        <w:rPr>
          <w:color w:val="000000" w:themeColor="text1"/>
          <w:lang w:val="en-US" w:bidi="fa-IR"/>
        </w:rPr>
        <w:t>.</w:t>
      </w:r>
      <w:bookmarkEnd w:id="153"/>
    </w:p>
    <w:p w14:paraId="57DE72BA" w14:textId="5D3BCFAB" w:rsidR="001E7189" w:rsidRPr="00114C6B" w:rsidRDefault="001E7189">
      <w:pPr>
        <w:pStyle w:val="ListeParagraf"/>
        <w:numPr>
          <w:ilvl w:val="0"/>
          <w:numId w:val="47"/>
        </w:numPr>
        <w:jc w:val="both"/>
        <w:rPr>
          <w:color w:val="000000" w:themeColor="text1"/>
          <w:lang w:val="en-US" w:bidi="fa-IR"/>
        </w:rPr>
      </w:pPr>
      <w:proofErr w:type="spellStart"/>
      <w:r w:rsidRPr="00114C6B">
        <w:rPr>
          <w:color w:val="000000" w:themeColor="text1"/>
          <w:lang w:val="en-US" w:bidi="fa-IR"/>
        </w:rPr>
        <w:t>Bassnett</w:t>
      </w:r>
      <w:proofErr w:type="spellEnd"/>
      <w:r w:rsidRPr="00114C6B">
        <w:rPr>
          <w:color w:val="000000" w:themeColor="text1"/>
          <w:lang w:val="en-US" w:bidi="fa-IR"/>
        </w:rPr>
        <w:t xml:space="preserve">, S. &amp; Lefevere, A. (1998). </w:t>
      </w:r>
      <w:r w:rsidRPr="00114C6B">
        <w:rPr>
          <w:i/>
          <w:iCs/>
          <w:color w:val="000000" w:themeColor="text1"/>
          <w:lang w:val="en-US" w:bidi="fa-IR"/>
        </w:rPr>
        <w:t>Constructing Cultures: Essays on Literary Translation</w:t>
      </w:r>
      <w:r w:rsidRPr="00114C6B">
        <w:rPr>
          <w:color w:val="000000" w:themeColor="text1"/>
          <w:lang w:val="en-US" w:bidi="fa-IR"/>
        </w:rPr>
        <w:t>. Multilingual Matters.</w:t>
      </w:r>
    </w:p>
    <w:p w14:paraId="0BE41E05" w14:textId="77777777" w:rsidR="001E7189" w:rsidRPr="00114C6B" w:rsidRDefault="001E7189">
      <w:pPr>
        <w:pStyle w:val="ListeParagraf"/>
        <w:numPr>
          <w:ilvl w:val="0"/>
          <w:numId w:val="47"/>
        </w:numPr>
        <w:jc w:val="both"/>
        <w:rPr>
          <w:lang w:val="en-US"/>
        </w:rPr>
      </w:pPr>
      <w:bookmarkStart w:id="154" w:name="_Hlk190991711"/>
      <w:r w:rsidRPr="00114C6B">
        <w:rPr>
          <w:lang w:val="en-US"/>
        </w:rPr>
        <w:t>Bernheimer, C. (1993). </w:t>
      </w:r>
      <w:r w:rsidRPr="00114C6B">
        <w:rPr>
          <w:i/>
          <w:iCs/>
          <w:lang w:val="en-US"/>
        </w:rPr>
        <w:t>Comparative literature at the turn of the century</w:t>
      </w:r>
      <w:r w:rsidRPr="00114C6B">
        <w:rPr>
          <w:lang w:val="en-US"/>
        </w:rPr>
        <w:t>. In American Comparative Literature Association (Ed.), </w:t>
      </w:r>
      <w:r w:rsidRPr="00114C6B">
        <w:rPr>
          <w:i/>
          <w:iCs/>
          <w:lang w:val="en-US"/>
        </w:rPr>
        <w:t>Comparative literature in the age of multiculturalism</w:t>
      </w:r>
      <w:r w:rsidRPr="00114C6B">
        <w:rPr>
          <w:lang w:val="en-US"/>
        </w:rPr>
        <w:t> (pp. 1-13). Baltimore: Johns Hopkins University Press.</w:t>
      </w:r>
    </w:p>
    <w:p w14:paraId="49604E21" w14:textId="77777777" w:rsidR="001E7189" w:rsidRPr="00114C6B" w:rsidRDefault="001E7189">
      <w:pPr>
        <w:pStyle w:val="ListeParagraf"/>
        <w:numPr>
          <w:ilvl w:val="0"/>
          <w:numId w:val="47"/>
        </w:numPr>
        <w:jc w:val="both"/>
        <w:rPr>
          <w:lang w:val="de-DE"/>
        </w:rPr>
      </w:pPr>
      <w:proofErr w:type="spellStart"/>
      <w:r w:rsidRPr="00114C6B">
        <w:rPr>
          <w:lang w:val="en-US"/>
        </w:rPr>
        <w:t>Bibbò</w:t>
      </w:r>
      <w:proofErr w:type="spellEnd"/>
      <w:r w:rsidRPr="00114C6B">
        <w:rPr>
          <w:lang w:val="en-US"/>
        </w:rPr>
        <w:t xml:space="preserve">, A. (2022). Comparative Literature and Translation History. In C. Rundle (Ed.), </w:t>
      </w:r>
      <w:r w:rsidRPr="00114C6B">
        <w:rPr>
          <w:i/>
          <w:iCs/>
          <w:lang w:val="en-US"/>
        </w:rPr>
        <w:t>The Routledge Handbook of Translation History</w:t>
      </w:r>
      <w:r w:rsidRPr="00114C6B">
        <w:rPr>
          <w:lang w:val="en-US"/>
        </w:rPr>
        <w:t xml:space="preserve"> (</w:t>
      </w:r>
      <w:proofErr w:type="gramStart"/>
      <w:r w:rsidRPr="00114C6B">
        <w:rPr>
          <w:lang w:val="en-US"/>
        </w:rPr>
        <w:t>pp</w:t>
      </w:r>
      <w:proofErr w:type="gramEnd"/>
      <w:r w:rsidRPr="00114C6B">
        <w:rPr>
          <w:lang w:val="en-US"/>
        </w:rPr>
        <w:t>.139-154). Routledge.</w:t>
      </w:r>
    </w:p>
    <w:p w14:paraId="0EA21731" w14:textId="77777777" w:rsidR="001E7189" w:rsidRPr="00114C6B" w:rsidRDefault="001E7189">
      <w:pPr>
        <w:pStyle w:val="ListeParagraf"/>
        <w:numPr>
          <w:ilvl w:val="0"/>
          <w:numId w:val="47"/>
        </w:numPr>
        <w:jc w:val="both"/>
        <w:rPr>
          <w:lang w:val="en-US"/>
        </w:rPr>
      </w:pPr>
      <w:r w:rsidRPr="00114C6B">
        <w:rPr>
          <w:lang w:val="en-US"/>
        </w:rPr>
        <w:t xml:space="preserve">Brems, E.&amp; Pinto. S. R. (2013). Reception and Translation. In Y. Gambier&amp; L. v. Doorslaer (Eds.), </w:t>
      </w:r>
      <w:r w:rsidRPr="00114C6B">
        <w:rPr>
          <w:i/>
          <w:iCs/>
          <w:lang w:val="en-US"/>
        </w:rPr>
        <w:t>Handbook of Translation Studies</w:t>
      </w:r>
      <w:r w:rsidRPr="00114C6B">
        <w:rPr>
          <w:lang w:val="en-US"/>
        </w:rPr>
        <w:t xml:space="preserve"> (pp. 142–147). Benjamins Publication.</w:t>
      </w:r>
    </w:p>
    <w:p w14:paraId="7B60660C" w14:textId="77777777" w:rsidR="001E7189" w:rsidRPr="00114C6B" w:rsidRDefault="001E7189">
      <w:pPr>
        <w:pStyle w:val="ListeParagraf"/>
        <w:numPr>
          <w:ilvl w:val="0"/>
          <w:numId w:val="47"/>
        </w:numPr>
        <w:jc w:val="both"/>
        <w:rPr>
          <w:lang w:val="en-US"/>
        </w:rPr>
      </w:pPr>
      <w:r w:rsidRPr="00114C6B">
        <w:rPr>
          <w:lang w:val="en-US"/>
        </w:rPr>
        <w:t>Damrosch, D. (2003). </w:t>
      </w:r>
      <w:r w:rsidRPr="00114C6B">
        <w:rPr>
          <w:i/>
          <w:iCs/>
          <w:lang w:val="en-US"/>
        </w:rPr>
        <w:t>What is World Literature?</w:t>
      </w:r>
      <w:r w:rsidRPr="00114C6B">
        <w:rPr>
          <w:lang w:val="en-US"/>
        </w:rPr>
        <w:t> Princeton University Press.</w:t>
      </w:r>
    </w:p>
    <w:p w14:paraId="3C37E3DA" w14:textId="77777777" w:rsidR="001E7189" w:rsidRPr="00114C6B" w:rsidRDefault="001E7189">
      <w:pPr>
        <w:pStyle w:val="ListeParagraf"/>
        <w:numPr>
          <w:ilvl w:val="0"/>
          <w:numId w:val="47"/>
        </w:numPr>
        <w:jc w:val="both"/>
        <w:rPr>
          <w:lang w:val="en-US"/>
        </w:rPr>
      </w:pPr>
      <w:r w:rsidRPr="002906A3">
        <w:t xml:space="preserve">Durukan, E., &amp; </w:t>
      </w:r>
      <w:proofErr w:type="spellStart"/>
      <w:r w:rsidRPr="002906A3">
        <w:t>Çokövün</w:t>
      </w:r>
      <w:proofErr w:type="spellEnd"/>
      <w:r w:rsidRPr="002906A3">
        <w:t xml:space="preserve">, A. (2018). </w:t>
      </w:r>
      <w:proofErr w:type="spellStart"/>
      <w:r w:rsidRPr="002906A3">
        <w:t>Gile’in</w:t>
      </w:r>
      <w:proofErr w:type="spellEnd"/>
      <w:r w:rsidRPr="002906A3">
        <w:t xml:space="preserve"> IDRC Modeli Temelinde ‘Yorumlayıcı Anlam </w:t>
      </w:r>
      <w:proofErr w:type="spellStart"/>
      <w:r w:rsidRPr="002906A3">
        <w:t>Kuramı’nın</w:t>
      </w:r>
      <w:proofErr w:type="spellEnd"/>
      <w:r w:rsidRPr="002906A3">
        <w:t xml:space="preserve"> Değerlendirilmesi. </w:t>
      </w:r>
      <w:r w:rsidRPr="00114C6B">
        <w:rPr>
          <w:i/>
          <w:iCs/>
        </w:rPr>
        <w:t>İstanbul Üniversitesi Çeviribilim Dergisi</w:t>
      </w:r>
      <w:r w:rsidRPr="002906A3">
        <w:t>, 6(10), 29-50.</w:t>
      </w:r>
    </w:p>
    <w:p w14:paraId="472D0806" w14:textId="77777777" w:rsidR="001E7189" w:rsidRPr="00114C6B" w:rsidRDefault="001E7189">
      <w:pPr>
        <w:pStyle w:val="ListeParagraf"/>
        <w:numPr>
          <w:ilvl w:val="0"/>
          <w:numId w:val="47"/>
        </w:numPr>
        <w:jc w:val="both"/>
        <w:rPr>
          <w:lang w:val="en-US"/>
        </w:rPr>
      </w:pPr>
      <w:r w:rsidRPr="00114C6B">
        <w:rPr>
          <w:lang w:val="en-US"/>
        </w:rPr>
        <w:t>Greene, T. (1975</w:t>
      </w:r>
      <w:bookmarkEnd w:id="154"/>
      <w:r w:rsidRPr="00114C6B">
        <w:rPr>
          <w:lang w:val="en-US"/>
        </w:rPr>
        <w:t>). </w:t>
      </w:r>
      <w:r w:rsidRPr="00114C6B">
        <w:rPr>
          <w:i/>
          <w:iCs/>
          <w:lang w:val="en-US"/>
        </w:rPr>
        <w:t>Report on standards</w:t>
      </w:r>
      <w:r w:rsidRPr="00114C6B">
        <w:rPr>
          <w:lang w:val="en-US"/>
        </w:rPr>
        <w:t>. In American Comparative Literature Association (Ed.), </w:t>
      </w:r>
      <w:r w:rsidRPr="00114C6B">
        <w:rPr>
          <w:i/>
          <w:iCs/>
          <w:lang w:val="en-US"/>
        </w:rPr>
        <w:t>Comparative literature at the turn of the century</w:t>
      </w:r>
      <w:r w:rsidRPr="00114C6B">
        <w:rPr>
          <w:lang w:val="en-US"/>
        </w:rPr>
        <w:t> (pp. 16-30). New York: ACLA.</w:t>
      </w:r>
    </w:p>
    <w:p w14:paraId="2599A240" w14:textId="77777777" w:rsidR="001E7189" w:rsidRPr="00114C6B" w:rsidRDefault="001E7189">
      <w:pPr>
        <w:pStyle w:val="ListeParagraf"/>
        <w:numPr>
          <w:ilvl w:val="0"/>
          <w:numId w:val="47"/>
        </w:numPr>
        <w:jc w:val="both"/>
        <w:rPr>
          <w:lang w:val="en-US" w:bidi="fa-IR"/>
        </w:rPr>
      </w:pPr>
      <w:r w:rsidRPr="00114C6B">
        <w:rPr>
          <w:lang w:val="en-US" w:bidi="fa-IR"/>
        </w:rPr>
        <w:t xml:space="preserve">Holmes, J. S. (1988). The name and nature of translation studies. </w:t>
      </w:r>
      <w:r w:rsidRPr="00114C6B">
        <w:rPr>
          <w:i/>
          <w:iCs/>
          <w:lang w:val="en-US" w:bidi="fa-IR"/>
        </w:rPr>
        <w:t>Applied Linguistics</w:t>
      </w:r>
      <w:r w:rsidRPr="00114C6B">
        <w:rPr>
          <w:lang w:val="en-US" w:bidi="fa-IR"/>
        </w:rPr>
        <w:t xml:space="preserve">, </w:t>
      </w:r>
      <w:r w:rsidRPr="00114C6B">
        <w:rPr>
          <w:i/>
          <w:iCs/>
          <w:lang w:val="en-US" w:bidi="fa-IR"/>
        </w:rPr>
        <w:t>19</w:t>
      </w:r>
      <w:r w:rsidRPr="00114C6B">
        <w:rPr>
          <w:lang w:val="en-US" w:bidi="fa-IR"/>
        </w:rPr>
        <w:t>(2), 172–185.</w:t>
      </w:r>
    </w:p>
    <w:p w14:paraId="11F24373" w14:textId="77777777" w:rsidR="001E7189" w:rsidRPr="00114C6B" w:rsidRDefault="001E7189">
      <w:pPr>
        <w:pStyle w:val="ListeParagraf"/>
        <w:numPr>
          <w:ilvl w:val="0"/>
          <w:numId w:val="47"/>
        </w:numPr>
        <w:jc w:val="both"/>
        <w:rPr>
          <w:lang w:val="en-US" w:bidi="fa-IR"/>
        </w:rPr>
      </w:pPr>
      <w:r w:rsidRPr="00114C6B">
        <w:rPr>
          <w:lang w:val="en-US" w:bidi="fa-IR"/>
        </w:rPr>
        <w:t>International Association of Comparative Literature. (1967). </w:t>
      </w:r>
      <w:r w:rsidRPr="00114C6B">
        <w:rPr>
          <w:i/>
          <w:iCs/>
          <w:lang w:val="en-US" w:bidi="fa-IR"/>
        </w:rPr>
        <w:t>Comparative history of European literature</w:t>
      </w:r>
      <w:r w:rsidRPr="00114C6B">
        <w:rPr>
          <w:lang w:val="en-US" w:bidi="fa-IR"/>
        </w:rPr>
        <w:t>.</w:t>
      </w:r>
    </w:p>
    <w:p w14:paraId="16125039" w14:textId="77777777" w:rsidR="001E7189" w:rsidRPr="00114C6B" w:rsidRDefault="001E7189">
      <w:pPr>
        <w:pStyle w:val="ListeParagraf"/>
        <w:numPr>
          <w:ilvl w:val="0"/>
          <w:numId w:val="47"/>
        </w:numPr>
        <w:jc w:val="both"/>
        <w:rPr>
          <w:lang w:val="en-US" w:bidi="fa-IR"/>
        </w:rPr>
      </w:pPr>
      <w:r w:rsidRPr="00114C6B">
        <w:rPr>
          <w:lang w:val="en-US" w:bidi="fa-IR"/>
        </w:rPr>
        <w:t>Jauss, H. R. (1970). Literary history as a challenge to literary theory. </w:t>
      </w:r>
      <w:r w:rsidRPr="00114C6B">
        <w:rPr>
          <w:i/>
          <w:iCs/>
          <w:lang w:val="en-US" w:bidi="fa-IR"/>
        </w:rPr>
        <w:t>New Literary History, 2</w:t>
      </w:r>
      <w:r w:rsidRPr="00114C6B">
        <w:rPr>
          <w:lang w:val="en-US" w:bidi="fa-IR"/>
        </w:rPr>
        <w:t>(1), 7-37.</w:t>
      </w:r>
    </w:p>
    <w:p w14:paraId="579C4C15" w14:textId="5A9AA910" w:rsidR="001E7189" w:rsidRPr="00114C6B" w:rsidRDefault="001E7189">
      <w:pPr>
        <w:pStyle w:val="ListeParagraf"/>
        <w:numPr>
          <w:ilvl w:val="0"/>
          <w:numId w:val="47"/>
        </w:numPr>
        <w:jc w:val="both"/>
        <w:rPr>
          <w:lang w:val="en-US" w:bidi="fa-IR"/>
        </w:rPr>
      </w:pPr>
      <w:r w:rsidRPr="00114C6B">
        <w:rPr>
          <w:lang w:val="en-US" w:bidi="fa-IR"/>
        </w:rPr>
        <w:t xml:space="preserve">Lefevere, A. (1992). </w:t>
      </w:r>
      <w:r w:rsidRPr="00114C6B">
        <w:rPr>
          <w:i/>
          <w:iCs/>
          <w:lang w:val="en-US" w:bidi="fa-IR"/>
        </w:rPr>
        <w:t xml:space="preserve">Translating, rewriting, and </w:t>
      </w:r>
      <w:proofErr w:type="gramStart"/>
      <w:r w:rsidRPr="00114C6B">
        <w:rPr>
          <w:i/>
          <w:iCs/>
          <w:lang w:val="en-US" w:bidi="fa-IR"/>
        </w:rPr>
        <w:t>the manipulation</w:t>
      </w:r>
      <w:proofErr w:type="gramEnd"/>
      <w:r w:rsidRPr="00114C6B">
        <w:rPr>
          <w:i/>
          <w:iCs/>
          <w:lang w:val="en-US" w:bidi="fa-IR"/>
        </w:rPr>
        <w:t xml:space="preserve"> of the literary fame</w:t>
      </w:r>
      <w:r w:rsidRPr="00114C6B">
        <w:rPr>
          <w:lang w:val="en-US" w:bidi="fa-IR"/>
        </w:rPr>
        <w:t>. Routledge.</w:t>
      </w:r>
    </w:p>
    <w:p w14:paraId="221FB65F" w14:textId="77777777" w:rsidR="001E7189" w:rsidRPr="00114C6B" w:rsidRDefault="001E7189">
      <w:pPr>
        <w:pStyle w:val="ListeParagraf"/>
        <w:numPr>
          <w:ilvl w:val="0"/>
          <w:numId w:val="47"/>
        </w:numPr>
        <w:jc w:val="both"/>
        <w:rPr>
          <w:lang w:val="en-US" w:bidi="fa-IR"/>
        </w:rPr>
      </w:pPr>
      <w:r w:rsidRPr="00114C6B">
        <w:rPr>
          <w:lang w:val="en-US" w:bidi="fa-IR"/>
        </w:rPr>
        <w:t>Lefevere, A</w:t>
      </w:r>
      <w:r w:rsidRPr="00114C6B">
        <w:rPr>
          <w:rtl/>
          <w:lang w:val="en-US" w:bidi="fa-IR"/>
        </w:rPr>
        <w:t>.</w:t>
      </w:r>
      <w:r w:rsidRPr="00114C6B">
        <w:rPr>
          <w:lang w:val="en-US" w:bidi="fa-IR"/>
        </w:rPr>
        <w:t xml:space="preserve"> (1995). Introduction: Comparative Literature and Translation. </w:t>
      </w:r>
      <w:r w:rsidRPr="00114C6B">
        <w:rPr>
          <w:i/>
          <w:iCs/>
          <w:lang w:val="en-US" w:bidi="fa-IR"/>
        </w:rPr>
        <w:t>Comparative Literature</w:t>
      </w:r>
      <w:r w:rsidRPr="00114C6B">
        <w:rPr>
          <w:lang w:val="en-US" w:bidi="fa-IR"/>
        </w:rPr>
        <w:t xml:space="preserve">, </w:t>
      </w:r>
      <w:r w:rsidRPr="00114C6B">
        <w:rPr>
          <w:i/>
          <w:iCs/>
          <w:lang w:val="en-US" w:bidi="fa-IR"/>
        </w:rPr>
        <w:t>47</w:t>
      </w:r>
      <w:r w:rsidRPr="00114C6B">
        <w:rPr>
          <w:lang w:val="en-US" w:bidi="fa-IR"/>
        </w:rPr>
        <w:t>(1), 1-10.</w:t>
      </w:r>
    </w:p>
    <w:p w14:paraId="35A40DD7" w14:textId="77777777" w:rsidR="001E7189" w:rsidRPr="00114C6B" w:rsidRDefault="001E7189">
      <w:pPr>
        <w:pStyle w:val="ListeParagraf"/>
        <w:numPr>
          <w:ilvl w:val="0"/>
          <w:numId w:val="47"/>
        </w:numPr>
        <w:jc w:val="both"/>
        <w:rPr>
          <w:lang w:val="en-US"/>
        </w:rPr>
      </w:pPr>
      <w:r w:rsidRPr="00114C6B">
        <w:rPr>
          <w:lang w:val="en-US"/>
        </w:rPr>
        <w:t xml:space="preserve">Lefevere, A., &amp; </w:t>
      </w:r>
      <w:proofErr w:type="spellStart"/>
      <w:r w:rsidRPr="00114C6B">
        <w:rPr>
          <w:lang w:val="en-US"/>
        </w:rPr>
        <w:t>Bassnett</w:t>
      </w:r>
      <w:proofErr w:type="spellEnd"/>
      <w:r w:rsidRPr="00114C6B">
        <w:rPr>
          <w:lang w:val="en-US"/>
        </w:rPr>
        <w:t xml:space="preserve">, S. (1990). Introduction: Proust’s grandmother and the thousand and one nights: The ‘cultural turn’ in translation studies. In S. </w:t>
      </w:r>
      <w:proofErr w:type="spellStart"/>
      <w:r w:rsidRPr="00114C6B">
        <w:rPr>
          <w:lang w:val="en-US"/>
        </w:rPr>
        <w:t>Bassnett</w:t>
      </w:r>
      <w:proofErr w:type="spellEnd"/>
      <w:r w:rsidRPr="00114C6B">
        <w:rPr>
          <w:lang w:val="en-US"/>
        </w:rPr>
        <w:t xml:space="preserve"> &amp; A. Lefevere (Eds.), </w:t>
      </w:r>
      <w:r w:rsidRPr="00114C6B">
        <w:rPr>
          <w:i/>
          <w:iCs/>
          <w:lang w:val="en-US"/>
        </w:rPr>
        <w:t>Translation, history and culture</w:t>
      </w:r>
      <w:r w:rsidRPr="00114C6B">
        <w:rPr>
          <w:lang w:val="en-US"/>
        </w:rPr>
        <w:t> (pp. 1-13). London: Pinter Publishers.</w:t>
      </w:r>
    </w:p>
    <w:p w14:paraId="71B3B4D7" w14:textId="77777777" w:rsidR="001E7189" w:rsidRPr="00114C6B" w:rsidRDefault="001E7189">
      <w:pPr>
        <w:pStyle w:val="ListeParagraf"/>
        <w:numPr>
          <w:ilvl w:val="0"/>
          <w:numId w:val="47"/>
        </w:numPr>
        <w:jc w:val="both"/>
        <w:rPr>
          <w:lang w:val="en-US"/>
        </w:rPr>
      </w:pPr>
      <w:r w:rsidRPr="00114C6B">
        <w:rPr>
          <w:lang w:val="en-US"/>
        </w:rPr>
        <w:t>Levin, H. (1965). </w:t>
      </w:r>
      <w:r w:rsidRPr="00114C6B">
        <w:rPr>
          <w:i/>
          <w:iCs/>
          <w:lang w:val="en-US"/>
        </w:rPr>
        <w:t>Report on standards</w:t>
      </w:r>
      <w:r w:rsidRPr="00114C6B">
        <w:rPr>
          <w:lang w:val="en-US"/>
        </w:rPr>
        <w:t>. In American Comparative Literature Association (Ed.), </w:t>
      </w:r>
      <w:r w:rsidRPr="00114C6B">
        <w:rPr>
          <w:i/>
          <w:iCs/>
          <w:lang w:val="en-US"/>
        </w:rPr>
        <w:t>Comparative literature at the turn of the century</w:t>
      </w:r>
      <w:r w:rsidRPr="00114C6B">
        <w:rPr>
          <w:lang w:val="en-US"/>
        </w:rPr>
        <w:t> (pp. 1-15). New York: ACLA.</w:t>
      </w:r>
    </w:p>
    <w:p w14:paraId="162D7DBD" w14:textId="77777777" w:rsidR="001E7189" w:rsidRPr="00114C6B" w:rsidRDefault="001E7189">
      <w:pPr>
        <w:pStyle w:val="ListeParagraf"/>
        <w:numPr>
          <w:ilvl w:val="0"/>
          <w:numId w:val="47"/>
        </w:numPr>
        <w:jc w:val="both"/>
        <w:rPr>
          <w:lang w:val="en-US"/>
        </w:rPr>
      </w:pPr>
      <w:r w:rsidRPr="00114C6B">
        <w:rPr>
          <w:lang w:val="en-US"/>
        </w:rPr>
        <w:t xml:space="preserve">Pedersen, D. (2019). Managing transcreation projects: An ethnographic study. In </w:t>
      </w:r>
      <w:r w:rsidRPr="00114C6B">
        <w:rPr>
          <w:i/>
          <w:iCs/>
          <w:lang w:val="en-US"/>
        </w:rPr>
        <w:t>Translation practice in the field: Current research on socio-cognitive processes.</w:t>
      </w:r>
      <w:r w:rsidRPr="00114C6B">
        <w:rPr>
          <w:lang w:val="en-US"/>
        </w:rPr>
        <w:t xml:space="preserve"> John Benjamins. (</w:t>
      </w:r>
      <w:proofErr w:type="gramStart"/>
      <w:r w:rsidRPr="00114C6B">
        <w:rPr>
          <w:lang w:val="en-US"/>
        </w:rPr>
        <w:t>pp</w:t>
      </w:r>
      <w:proofErr w:type="gramEnd"/>
      <w:r w:rsidRPr="00114C6B">
        <w:rPr>
          <w:lang w:val="en-US"/>
        </w:rPr>
        <w:t>.43-59)</w:t>
      </w:r>
    </w:p>
    <w:p w14:paraId="6A3D8935" w14:textId="77777777" w:rsidR="001E7189" w:rsidRPr="00114C6B" w:rsidRDefault="001E7189">
      <w:pPr>
        <w:pStyle w:val="ListeParagraf"/>
        <w:numPr>
          <w:ilvl w:val="0"/>
          <w:numId w:val="47"/>
        </w:numPr>
        <w:jc w:val="both"/>
        <w:rPr>
          <w:lang w:val="en-US"/>
        </w:rPr>
      </w:pPr>
      <w:r w:rsidRPr="00114C6B">
        <w:rPr>
          <w:lang w:val="en-US"/>
        </w:rPr>
        <w:lastRenderedPageBreak/>
        <w:t>Saussy, H. (Ed.). (2006). </w:t>
      </w:r>
      <w:r w:rsidRPr="00114C6B">
        <w:rPr>
          <w:i/>
          <w:iCs/>
          <w:lang w:val="en-US"/>
        </w:rPr>
        <w:t>Comparative literature in an age of globalization</w:t>
      </w:r>
      <w:r w:rsidRPr="00114C6B">
        <w:rPr>
          <w:lang w:val="en-US"/>
        </w:rPr>
        <w:t>. Baltimore: Johns Hopkins University Press.</w:t>
      </w:r>
    </w:p>
    <w:p w14:paraId="55C5B661" w14:textId="77777777" w:rsidR="001E7189" w:rsidRPr="00114C6B" w:rsidRDefault="001E7189">
      <w:pPr>
        <w:pStyle w:val="ListeParagraf"/>
        <w:numPr>
          <w:ilvl w:val="0"/>
          <w:numId w:val="47"/>
        </w:numPr>
        <w:jc w:val="both"/>
        <w:rPr>
          <w:lang w:val="en-US"/>
        </w:rPr>
      </w:pPr>
      <w:r w:rsidRPr="00114C6B">
        <w:rPr>
          <w:lang w:val="en-US"/>
        </w:rPr>
        <w:t>Saussy, H. (Ed.). (2017). </w:t>
      </w:r>
      <w:r w:rsidRPr="00114C6B">
        <w:rPr>
          <w:i/>
          <w:iCs/>
          <w:lang w:val="en-US"/>
        </w:rPr>
        <w:t>The state of the discipline report</w:t>
      </w:r>
      <w:r w:rsidRPr="00114C6B">
        <w:rPr>
          <w:lang w:val="en-US"/>
        </w:rPr>
        <w:t>. American Comparative Literature Association.</w:t>
      </w:r>
    </w:p>
    <w:p w14:paraId="1CF2984F" w14:textId="7A54BD3A" w:rsidR="001E7189" w:rsidRPr="00114C6B" w:rsidRDefault="001E7189">
      <w:pPr>
        <w:pStyle w:val="ListeParagraf"/>
        <w:numPr>
          <w:ilvl w:val="0"/>
          <w:numId w:val="47"/>
        </w:numPr>
        <w:jc w:val="both"/>
        <w:rPr>
          <w:lang w:val="en-US"/>
        </w:rPr>
      </w:pPr>
      <w:proofErr w:type="spellStart"/>
      <w:r w:rsidRPr="00114C6B">
        <w:rPr>
          <w:lang w:val="en-US"/>
        </w:rPr>
        <w:t>Schaeffner</w:t>
      </w:r>
      <w:proofErr w:type="spellEnd"/>
      <w:r w:rsidRPr="00114C6B">
        <w:rPr>
          <w:lang w:val="en-US"/>
        </w:rPr>
        <w:t>, C. (2001). Annotated Texts for Translation</w:t>
      </w:r>
      <w:r w:rsidRPr="00114C6B">
        <w:rPr>
          <w:i/>
          <w:iCs/>
          <w:lang w:val="en-US"/>
        </w:rPr>
        <w:t xml:space="preserve">. </w:t>
      </w:r>
      <w:r w:rsidRPr="00114C6B">
        <w:rPr>
          <w:lang w:val="en-US"/>
        </w:rPr>
        <w:t>In A</w:t>
      </w:r>
      <w:r w:rsidRPr="00114C6B">
        <w:rPr>
          <w:i/>
          <w:iCs/>
          <w:lang w:val="en-US"/>
        </w:rPr>
        <w:t xml:space="preserve">. </w:t>
      </w:r>
      <w:r w:rsidRPr="00114C6B">
        <w:rPr>
          <w:lang w:val="en-US"/>
        </w:rPr>
        <w:t>Trosborg (Ed.),</w:t>
      </w:r>
      <w:r w:rsidRPr="00114C6B">
        <w:rPr>
          <w:i/>
          <w:iCs/>
          <w:lang w:val="en-US"/>
        </w:rPr>
        <w:t xml:space="preserve"> Analyzing Professional Genres</w:t>
      </w:r>
      <w:r w:rsidRPr="00114C6B">
        <w:rPr>
          <w:lang w:val="en-US"/>
        </w:rPr>
        <w:t xml:space="preserve"> (</w:t>
      </w:r>
      <w:proofErr w:type="gramStart"/>
      <w:r w:rsidRPr="00114C6B">
        <w:rPr>
          <w:lang w:val="en-US"/>
        </w:rPr>
        <w:t>pp</w:t>
      </w:r>
      <w:proofErr w:type="gramEnd"/>
      <w:r w:rsidRPr="00114C6B">
        <w:rPr>
          <w:lang w:val="en-US"/>
        </w:rPr>
        <w:t>.209-224). Benjamins.</w:t>
      </w:r>
    </w:p>
    <w:p w14:paraId="21C9C5D9" w14:textId="77777777" w:rsidR="001E7189" w:rsidRPr="00114C6B" w:rsidRDefault="001E7189">
      <w:pPr>
        <w:pStyle w:val="ListeParagraf"/>
        <w:numPr>
          <w:ilvl w:val="0"/>
          <w:numId w:val="47"/>
        </w:numPr>
        <w:jc w:val="both"/>
        <w:rPr>
          <w:lang w:val="en-US"/>
        </w:rPr>
      </w:pPr>
      <w:r w:rsidRPr="00114C6B">
        <w:rPr>
          <w:lang w:val="en-US"/>
        </w:rPr>
        <w:t>Spivak, G. C. (2003). </w:t>
      </w:r>
      <w:r w:rsidRPr="00114C6B">
        <w:rPr>
          <w:i/>
          <w:iCs/>
          <w:lang w:val="en-US"/>
        </w:rPr>
        <w:t>Death of a discipline</w:t>
      </w:r>
      <w:r w:rsidRPr="00114C6B">
        <w:rPr>
          <w:lang w:val="en-US"/>
        </w:rPr>
        <w:t>. New York: Columbia University Press.</w:t>
      </w:r>
    </w:p>
    <w:p w14:paraId="54B7E3AE" w14:textId="1FEC41EC" w:rsidR="001E7189" w:rsidRPr="00114C6B" w:rsidRDefault="001E7189">
      <w:pPr>
        <w:pStyle w:val="ListeParagraf"/>
        <w:numPr>
          <w:ilvl w:val="0"/>
          <w:numId w:val="47"/>
        </w:numPr>
        <w:jc w:val="both"/>
        <w:rPr>
          <w:lang w:val="en-US"/>
        </w:rPr>
      </w:pPr>
      <w:r w:rsidRPr="00114C6B">
        <w:rPr>
          <w:lang w:val="en-US"/>
        </w:rPr>
        <w:t xml:space="preserve">Steiner, G. (1996). What is Comparative Literature? </w:t>
      </w:r>
      <w:r w:rsidRPr="00114C6B">
        <w:rPr>
          <w:i/>
          <w:iCs/>
          <w:lang w:val="en-US"/>
        </w:rPr>
        <w:t>Comparative Criticism</w:t>
      </w:r>
      <w:r w:rsidRPr="00114C6B">
        <w:rPr>
          <w:lang w:val="en-US"/>
        </w:rPr>
        <w:t xml:space="preserve">, </w:t>
      </w:r>
      <w:r w:rsidRPr="00114C6B">
        <w:rPr>
          <w:i/>
          <w:iCs/>
          <w:lang w:val="en-US"/>
        </w:rPr>
        <w:t>18</w:t>
      </w:r>
      <w:r w:rsidRPr="00114C6B">
        <w:rPr>
          <w:lang w:val="en-US"/>
        </w:rPr>
        <w:t>, 157-171.</w:t>
      </w:r>
    </w:p>
    <w:p w14:paraId="2DA67FDA" w14:textId="77777777" w:rsidR="001E7189" w:rsidRPr="00114C6B" w:rsidRDefault="001E7189">
      <w:pPr>
        <w:pStyle w:val="ListeParagraf"/>
        <w:numPr>
          <w:ilvl w:val="0"/>
          <w:numId w:val="47"/>
        </w:numPr>
        <w:jc w:val="both"/>
        <w:rPr>
          <w:lang w:val="en-US"/>
        </w:rPr>
      </w:pPr>
      <w:r w:rsidRPr="00114C6B">
        <w:rPr>
          <w:lang w:val="en-US"/>
        </w:rPr>
        <w:t>Zohar, E. (1987). </w:t>
      </w:r>
      <w:proofErr w:type="spellStart"/>
      <w:r w:rsidRPr="00114C6B">
        <w:rPr>
          <w:i/>
          <w:iCs/>
          <w:lang w:val="en-US"/>
        </w:rPr>
        <w:t>Polysystem</w:t>
      </w:r>
      <w:proofErr w:type="spellEnd"/>
      <w:r w:rsidRPr="00114C6B">
        <w:rPr>
          <w:i/>
          <w:iCs/>
          <w:lang w:val="en-US"/>
        </w:rPr>
        <w:t xml:space="preserve"> theory</w:t>
      </w:r>
      <w:r w:rsidRPr="00114C6B">
        <w:rPr>
          <w:lang w:val="en-US"/>
        </w:rPr>
        <w:t>. In G. Toury (Ed.), </w:t>
      </w:r>
      <w:r w:rsidRPr="00114C6B">
        <w:rPr>
          <w:i/>
          <w:iCs/>
          <w:lang w:val="en-US"/>
        </w:rPr>
        <w:t>Translation across cultures</w:t>
      </w:r>
      <w:r w:rsidRPr="00114C6B">
        <w:rPr>
          <w:lang w:val="en-US"/>
        </w:rPr>
        <w:t> (pp. 9-26). Tel Aviv: Tel Aviv University.</w:t>
      </w:r>
    </w:p>
    <w:p w14:paraId="6783886A" w14:textId="77777777" w:rsidR="001E7189" w:rsidRPr="00114C6B" w:rsidRDefault="001E7189">
      <w:pPr>
        <w:pStyle w:val="ListeParagraf"/>
        <w:numPr>
          <w:ilvl w:val="0"/>
          <w:numId w:val="47"/>
        </w:numPr>
        <w:jc w:val="both"/>
        <w:rPr>
          <w:lang w:val="en-US"/>
        </w:rPr>
      </w:pPr>
      <w:r w:rsidRPr="00114C6B">
        <w:rPr>
          <w:lang w:val="en-US"/>
        </w:rPr>
        <w:t>Zohar, E. (2004). </w:t>
      </w:r>
      <w:r w:rsidRPr="00114C6B">
        <w:rPr>
          <w:i/>
          <w:iCs/>
          <w:lang w:val="en-US"/>
        </w:rPr>
        <w:t xml:space="preserve">The position of translated literature within the literary </w:t>
      </w:r>
      <w:proofErr w:type="spellStart"/>
      <w:r w:rsidRPr="00114C6B">
        <w:rPr>
          <w:i/>
          <w:iCs/>
          <w:lang w:val="en-US"/>
        </w:rPr>
        <w:t>polysystem</w:t>
      </w:r>
      <w:proofErr w:type="spellEnd"/>
      <w:r w:rsidRPr="00114C6B">
        <w:rPr>
          <w:lang w:val="en-US"/>
        </w:rPr>
        <w:t>. In L. Venuti (Ed.), </w:t>
      </w:r>
      <w:r w:rsidRPr="00114C6B">
        <w:rPr>
          <w:i/>
          <w:iCs/>
          <w:lang w:val="en-US"/>
        </w:rPr>
        <w:t>The translation studies reader</w:t>
      </w:r>
      <w:r w:rsidRPr="00114C6B">
        <w:rPr>
          <w:lang w:val="en-US"/>
        </w:rPr>
        <w:t> (2nd ed., pp. 199-204). New York: Routledge.</w:t>
      </w:r>
    </w:p>
    <w:p w14:paraId="3C152984" w14:textId="77777777" w:rsidR="001E7189" w:rsidRPr="00114C6B" w:rsidRDefault="001E7189">
      <w:pPr>
        <w:pStyle w:val="ListeParagraf"/>
        <w:numPr>
          <w:ilvl w:val="0"/>
          <w:numId w:val="47"/>
        </w:numPr>
        <w:jc w:val="both"/>
        <w:rPr>
          <w:lang w:val="en-US"/>
        </w:rPr>
      </w:pPr>
      <w:r w:rsidRPr="00114C6B">
        <w:rPr>
          <w:lang w:val="en-US"/>
        </w:rPr>
        <w:t xml:space="preserve">Venuti, L. (1992). </w:t>
      </w:r>
      <w:r w:rsidRPr="00114C6B">
        <w:rPr>
          <w:i/>
          <w:iCs/>
          <w:lang w:val="en-US"/>
        </w:rPr>
        <w:t>Rethinking Translation: Discourse, Subjectivity, Ideology</w:t>
      </w:r>
      <w:r w:rsidRPr="00114C6B">
        <w:rPr>
          <w:lang w:val="en-US"/>
        </w:rPr>
        <w:t>. Routledge.</w:t>
      </w:r>
    </w:p>
    <w:p w14:paraId="12E69315" w14:textId="7DE26022" w:rsidR="00C70E93" w:rsidRDefault="001E7189">
      <w:pPr>
        <w:pStyle w:val="ListeParagraf"/>
        <w:numPr>
          <w:ilvl w:val="0"/>
          <w:numId w:val="47"/>
        </w:numPr>
        <w:jc w:val="both"/>
        <w:rPr>
          <w:lang w:val="en-US"/>
        </w:rPr>
      </w:pPr>
      <w:r w:rsidRPr="00114C6B">
        <w:rPr>
          <w:lang w:val="en-US"/>
        </w:rPr>
        <w:t xml:space="preserve">Venuti, L. (2008). </w:t>
      </w:r>
      <w:r w:rsidRPr="00114C6B">
        <w:rPr>
          <w:i/>
          <w:iCs/>
          <w:lang w:val="en-US"/>
        </w:rPr>
        <w:t>The translator’s invisibility: A history of translation</w:t>
      </w:r>
      <w:r w:rsidRPr="00114C6B">
        <w:rPr>
          <w:lang w:val="en-US"/>
        </w:rPr>
        <w:t xml:space="preserve"> (2nd ed.). Routledge.</w:t>
      </w:r>
    </w:p>
    <w:p w14:paraId="7EBFFFB3" w14:textId="788B73D1" w:rsidR="009D0899" w:rsidRPr="00C70E93" w:rsidRDefault="00C70E93" w:rsidP="00C70E93">
      <w:pPr>
        <w:autoSpaceDE/>
        <w:autoSpaceDN/>
        <w:rPr>
          <w:lang w:val="en-US"/>
        </w:rPr>
      </w:pPr>
      <w:r>
        <w:rPr>
          <w:lang w:val="en-US"/>
        </w:rPr>
        <w:br w:type="page"/>
      </w:r>
    </w:p>
    <w:p w14:paraId="32A55636" w14:textId="6EE96550" w:rsidR="001E7189" w:rsidRPr="002906A3" w:rsidRDefault="001E7189" w:rsidP="004C7694">
      <w:pPr>
        <w:pStyle w:val="Tark"/>
      </w:pPr>
      <w:bookmarkStart w:id="155" w:name="_Toc192855223"/>
      <w:r w:rsidRPr="002906A3">
        <w:lastRenderedPageBreak/>
        <w:t>Ardıl Çeviride Not Alma Tekniklerinin İngilizce ve Türkçe Dil Çifti Bağlamında İncelenmesi: Öğrencilerle Birlikte Bir Vaka İncelemesi</w:t>
      </w:r>
      <w:bookmarkEnd w:id="155"/>
    </w:p>
    <w:p w14:paraId="0BE91755" w14:textId="77777777" w:rsidR="001E7189" w:rsidRPr="002906A3" w:rsidRDefault="001E7189" w:rsidP="00BA67A6">
      <w:pPr>
        <w:rPr>
          <w:color w:val="000000"/>
        </w:rPr>
      </w:pPr>
    </w:p>
    <w:p w14:paraId="0830D6D3" w14:textId="66844E1D" w:rsidR="001E7189" w:rsidRPr="002906A3" w:rsidRDefault="001E7189" w:rsidP="00BA67A6">
      <w:pPr>
        <w:jc w:val="center"/>
        <w:rPr>
          <w:color w:val="000000"/>
        </w:rPr>
      </w:pPr>
      <w:r w:rsidRPr="002906A3">
        <w:rPr>
          <w:color w:val="000000"/>
        </w:rPr>
        <w:t>Yaşar Akgün</w:t>
      </w:r>
      <w:r w:rsidRPr="002906A3">
        <w:rPr>
          <w:color w:val="000000"/>
        </w:rPr>
        <w:br/>
        <w:t>Arş. Gör., İzmir Ekonomi Üniversitesi, İngilizce Mütercim ve Tercümanlık Bölümü</w:t>
      </w:r>
      <w:r w:rsidRPr="002906A3">
        <w:rPr>
          <w:color w:val="000000"/>
        </w:rPr>
        <w:br/>
        <w:t>yasar.akgun@ieu.edu.tr</w:t>
      </w:r>
      <w:r w:rsidRPr="002906A3">
        <w:rPr>
          <w:color w:val="000000"/>
        </w:rPr>
        <w:br/>
        <w:t>0000-0002-8728-2615</w:t>
      </w:r>
    </w:p>
    <w:p w14:paraId="54ADFFF1" w14:textId="77777777" w:rsidR="001E7189" w:rsidRPr="002906A3" w:rsidRDefault="001E7189" w:rsidP="00BA67A6">
      <w:pPr>
        <w:rPr>
          <w:color w:val="000000"/>
        </w:rPr>
      </w:pPr>
    </w:p>
    <w:p w14:paraId="3240AF98" w14:textId="77777777" w:rsidR="001E7189" w:rsidRPr="002906A3" w:rsidRDefault="001E7189" w:rsidP="00BA67A6">
      <w:pPr>
        <w:jc w:val="center"/>
        <w:rPr>
          <w:color w:val="000000"/>
        </w:rPr>
      </w:pPr>
      <w:r w:rsidRPr="002906A3">
        <w:rPr>
          <w:color w:val="000000"/>
        </w:rPr>
        <w:t>Mehmet Tahir Öncü</w:t>
      </w:r>
      <w:r w:rsidRPr="002906A3">
        <w:rPr>
          <w:color w:val="000000"/>
        </w:rPr>
        <w:br/>
      </w:r>
      <w:proofErr w:type="spellStart"/>
      <w:r w:rsidRPr="002906A3">
        <w:rPr>
          <w:color w:val="000000"/>
        </w:rPr>
        <w:t>Prof</w:t>
      </w:r>
      <w:proofErr w:type="spellEnd"/>
      <w:r w:rsidRPr="002906A3">
        <w:rPr>
          <w:color w:val="000000"/>
        </w:rPr>
        <w:t>, Dr., Ege Üniversitesi, Mütercim ve Tercümanlık Anabilim Dalı</w:t>
      </w:r>
    </w:p>
    <w:p w14:paraId="769D3B66" w14:textId="3BBEB208" w:rsidR="001E7189" w:rsidRPr="002906A3" w:rsidRDefault="001E7189" w:rsidP="00BA67A6">
      <w:pPr>
        <w:jc w:val="center"/>
        <w:rPr>
          <w:color w:val="000000"/>
        </w:rPr>
      </w:pPr>
      <w:r w:rsidRPr="002906A3">
        <w:rPr>
          <w:color w:val="000000"/>
        </w:rPr>
        <w:t>mtoncu@yahoo.com</w:t>
      </w:r>
      <w:r w:rsidRPr="002906A3">
        <w:rPr>
          <w:color w:val="000000"/>
        </w:rPr>
        <w:br/>
        <w:t>0000-0001-8970-1468</w:t>
      </w:r>
    </w:p>
    <w:p w14:paraId="08FCA873" w14:textId="77777777" w:rsidR="001E7189" w:rsidRPr="002906A3" w:rsidRDefault="001E7189" w:rsidP="00BA67A6">
      <w:pPr>
        <w:rPr>
          <w:color w:val="000000"/>
        </w:rPr>
      </w:pPr>
    </w:p>
    <w:p w14:paraId="5FD708EF" w14:textId="77777777" w:rsidR="001E7189" w:rsidRPr="002906A3" w:rsidRDefault="001E7189" w:rsidP="00BA67A6">
      <w:pPr>
        <w:jc w:val="center"/>
        <w:rPr>
          <w:color w:val="000000"/>
        </w:rPr>
      </w:pPr>
      <w:r w:rsidRPr="002906A3">
        <w:rPr>
          <w:b/>
          <w:bCs/>
          <w:color w:val="000000"/>
        </w:rPr>
        <w:t>Özet</w:t>
      </w:r>
    </w:p>
    <w:p w14:paraId="577EABC3" w14:textId="45A9CB48" w:rsidR="001E7189" w:rsidRPr="002906A3" w:rsidRDefault="001E7189" w:rsidP="00BA67A6">
      <w:pPr>
        <w:jc w:val="both"/>
        <w:rPr>
          <w:color w:val="000000"/>
        </w:rPr>
      </w:pPr>
      <w:r w:rsidRPr="002906A3">
        <w:rPr>
          <w:color w:val="000000"/>
        </w:rPr>
        <w:t xml:space="preserve">Çeviri pratiğinin salt bir dilbilim </w:t>
      </w:r>
      <w:proofErr w:type="spellStart"/>
      <w:r w:rsidRPr="002906A3">
        <w:rPr>
          <w:color w:val="000000"/>
        </w:rPr>
        <w:t>altalanı</w:t>
      </w:r>
      <w:proofErr w:type="spellEnd"/>
      <w:r w:rsidRPr="002906A3">
        <w:rPr>
          <w:color w:val="000000"/>
        </w:rPr>
        <w:t xml:space="preserve"> olarak irdelenmektense ayrı bir uzmanlık alanı olarak bilimsel kurallar çerçevesinde ele alınması 20. yüzyılın sonlarına tekabül etmektedir. </w:t>
      </w:r>
      <w:r w:rsidRPr="002906A3">
        <w:rPr>
          <w:color w:val="000000"/>
          <w:shd w:val="clear" w:color="auto" w:fill="FFFFFF"/>
        </w:rPr>
        <w:t xml:space="preserve">Bununla birlikte, çevirinin bir bilim olarak ele alınması nispeten yeni bir süreçken sözlü çevirinin popüler bir alt alanı olan ardıl çeviri sürecinin bir araştırma nesnesi haline gelmesi ise halen güncelliğini koruyan bir konudur. Bu bağlamda, özellikle de son zamanlarda ardıl çeviri alanını çeşitli perspektiflerden ele alan pek çok uluslararası ampirik çalışma gerçekleştirilmiştir. Ardıl çevirinin önemli bir bileşeni olan not alma süreci ise içerdiği karmaşık dinamikler nedeniyle söz konusu </w:t>
      </w:r>
      <w:proofErr w:type="spellStart"/>
      <w:r w:rsidRPr="002906A3">
        <w:rPr>
          <w:color w:val="000000"/>
          <w:shd w:val="clear" w:color="auto" w:fill="FFFFFF"/>
        </w:rPr>
        <w:t>alanyazının</w:t>
      </w:r>
      <w:proofErr w:type="spellEnd"/>
      <w:r w:rsidRPr="002906A3">
        <w:rPr>
          <w:color w:val="000000"/>
          <w:shd w:val="clear" w:color="auto" w:fill="FFFFFF"/>
        </w:rPr>
        <w:t xml:space="preserve"> önemli bir kısmını oluşturmuştur. Bu çalışmanın amacı Türkçe ve İngilizce dil çiftinde, İngilizce Mütercim ve Tercümanlık alanında öğrenim gören öğrencilerin not alma süreçlerindeki dil eğilimlerini </w:t>
      </w:r>
      <w:proofErr w:type="spellStart"/>
      <w:r w:rsidRPr="002906A3">
        <w:rPr>
          <w:color w:val="000000"/>
          <w:shd w:val="clear" w:color="auto" w:fill="FFFFFF"/>
        </w:rPr>
        <w:t>Gile’nin</w:t>
      </w:r>
      <w:proofErr w:type="spellEnd"/>
      <w:r w:rsidRPr="002906A3">
        <w:rPr>
          <w:color w:val="000000"/>
          <w:shd w:val="clear" w:color="auto" w:fill="FFFFFF"/>
        </w:rPr>
        <w:t xml:space="preserve"> (2009) Çaba Modeli çerçevesinde irdelemektir. Örneklem, İzmir Ekonomi Üniversitesi İngilizce Mütercim ve Tercümanlık Bölümü’nde öğrenim görmekte olan 3. ve 4. sınıf öğrencilerinden oluşan 10 kişilik bir öğrenciler grubundan oluşmaktadır. Çalışmada katılımcılardan İngilizceden Türkçeye ve Türkçeden İngilizceye olmak üzere belirli iki kaynak sözlü metinde ardıl çeviri yapmaları beklenmiş ve katılımcıların almış oldukları notların dil eğilimleri yüzdelik oranlarda analiz edilmiştir. Takip eden aşamada katılımcıların not alma eğilimlerine dair farkındalıklarını saptamaya yönelik artalan bilgilerini irdeleyen 5 soruluk bir anket hazırlanmış ve katılımcıların yanıtları destekleyici bir unsur olarak çalışmanın sonuçlarına dahil edilmiştir.</w:t>
      </w:r>
    </w:p>
    <w:p w14:paraId="31904A1B" w14:textId="1DE86D1D" w:rsidR="001E7189" w:rsidRPr="002906A3" w:rsidRDefault="001E7189" w:rsidP="00BA67A6">
      <w:pPr>
        <w:jc w:val="both"/>
        <w:rPr>
          <w:color w:val="000000"/>
        </w:rPr>
      </w:pPr>
    </w:p>
    <w:p w14:paraId="2643296F" w14:textId="6DAAC692" w:rsidR="00C70E93" w:rsidRDefault="000C6508" w:rsidP="00BA67A6">
      <w:pPr>
        <w:jc w:val="both"/>
        <w:rPr>
          <w:color w:val="000000"/>
        </w:rPr>
      </w:pPr>
      <w:r>
        <w:rPr>
          <w:b/>
          <w:bCs/>
          <w:color w:val="000000"/>
        </w:rPr>
        <w:t>Anahtar Kelimeler</w:t>
      </w:r>
      <w:r w:rsidR="001E7189" w:rsidRPr="002906A3">
        <w:rPr>
          <w:b/>
          <w:bCs/>
          <w:color w:val="000000"/>
        </w:rPr>
        <w:t>:</w:t>
      </w:r>
      <w:r w:rsidR="001E7189" w:rsidRPr="002906A3">
        <w:rPr>
          <w:color w:val="000000"/>
        </w:rPr>
        <w:t xml:space="preserve"> Ardıl Çeviri, Not Alma, Çaba Kuramı, İngilizce, Türkçe.</w:t>
      </w:r>
    </w:p>
    <w:p w14:paraId="609ABD98" w14:textId="36A5CCCD" w:rsidR="009D0899" w:rsidRDefault="00C70E93" w:rsidP="00BA67A6">
      <w:pPr>
        <w:autoSpaceDE/>
        <w:autoSpaceDN/>
        <w:rPr>
          <w:color w:val="000000"/>
        </w:rPr>
      </w:pPr>
      <w:r>
        <w:rPr>
          <w:color w:val="000000"/>
        </w:rPr>
        <w:br w:type="page"/>
      </w:r>
    </w:p>
    <w:p w14:paraId="2CB08318" w14:textId="77777777" w:rsidR="00BF3875" w:rsidRDefault="00BF3875" w:rsidP="004C7694">
      <w:pPr>
        <w:pStyle w:val="Tark"/>
        <w:rPr>
          <w:lang w:val="en-US"/>
        </w:rPr>
      </w:pPr>
      <w:bookmarkStart w:id="156" w:name="_Toc192855224"/>
      <w:r>
        <w:rPr>
          <w:lang w:val="en-US"/>
        </w:rPr>
        <w:lastRenderedPageBreak/>
        <w:t>Differences in Game Perception in Turkish and English</w:t>
      </w:r>
      <w:r w:rsidRPr="003824C5">
        <w:rPr>
          <w:lang w:val="en-US"/>
        </w:rPr>
        <w:t xml:space="preserve"> Volleyball</w:t>
      </w:r>
      <w:r>
        <w:rPr>
          <w:lang w:val="en-US"/>
        </w:rPr>
        <w:t xml:space="preserve"> Terminology</w:t>
      </w:r>
      <w:bookmarkEnd w:id="156"/>
    </w:p>
    <w:p w14:paraId="0AA1E8F8" w14:textId="77777777" w:rsidR="00BF3875" w:rsidRPr="00140D64" w:rsidRDefault="00BF3875" w:rsidP="00BA67A6">
      <w:pPr>
        <w:jc w:val="center"/>
        <w:rPr>
          <w:lang w:val="en-US"/>
        </w:rPr>
      </w:pPr>
    </w:p>
    <w:p w14:paraId="5B27B2B6" w14:textId="0D031EBC" w:rsidR="00BF3875" w:rsidRPr="00140D64" w:rsidRDefault="00BF3875" w:rsidP="00BA67A6">
      <w:pPr>
        <w:jc w:val="center"/>
        <w:rPr>
          <w:lang w:val="en-US"/>
        </w:rPr>
      </w:pPr>
      <w:r w:rsidRPr="00140D64">
        <w:rPr>
          <w:lang w:val="en-US"/>
        </w:rPr>
        <w:t>Ezgi Su Sezer</w:t>
      </w:r>
      <w:r w:rsidRPr="00140D64">
        <w:rPr>
          <w:lang w:val="en-US"/>
        </w:rPr>
        <w:br/>
        <w:t>Res. Asst. Dr., Ankara Hacı Bayram Veli University, English Translation and Interpreting</w:t>
      </w:r>
      <w:r w:rsidRPr="00140D64">
        <w:rPr>
          <w:lang w:val="en-US"/>
        </w:rPr>
        <w:br/>
        <w:t>ezgi.dagabak@hbv.edu.tr</w:t>
      </w:r>
      <w:r w:rsidRPr="00140D64">
        <w:rPr>
          <w:lang w:val="en-US"/>
        </w:rPr>
        <w:br/>
        <w:t>0000-0003-4113-0816</w:t>
      </w:r>
    </w:p>
    <w:p w14:paraId="1CFFDB31" w14:textId="77777777" w:rsidR="00BF3875" w:rsidRPr="00140D64" w:rsidRDefault="00BF3875" w:rsidP="00BA67A6">
      <w:pPr>
        <w:jc w:val="both"/>
        <w:rPr>
          <w:lang w:val="en-US"/>
        </w:rPr>
      </w:pPr>
    </w:p>
    <w:p w14:paraId="7E89EE4D" w14:textId="4BBEC27A" w:rsidR="00BF3875" w:rsidRPr="00BA67A6" w:rsidRDefault="00BF3875" w:rsidP="00BA67A6">
      <w:pPr>
        <w:jc w:val="center"/>
        <w:rPr>
          <w:b/>
          <w:bCs/>
          <w:lang w:val="en-US"/>
        </w:rPr>
      </w:pPr>
      <w:r w:rsidRPr="00140D64">
        <w:rPr>
          <w:b/>
          <w:bCs/>
          <w:lang w:val="en-US"/>
        </w:rPr>
        <w:t>Abstract</w:t>
      </w:r>
    </w:p>
    <w:p w14:paraId="0C87ED4C" w14:textId="77777777" w:rsidR="00BF3875" w:rsidRPr="00140D64" w:rsidRDefault="00BF3875" w:rsidP="00BA67A6">
      <w:pPr>
        <w:jc w:val="both"/>
        <w:rPr>
          <w:lang w:val="en-US"/>
        </w:rPr>
      </w:pPr>
      <w:r w:rsidRPr="00F256F1">
        <w:rPr>
          <w:lang w:val="en-US"/>
        </w:rPr>
        <w:t xml:space="preserve">This study analyzes the differences between Turkish and English volleyball terminology utilizing the functional equivalence notion of Eugene Nida, which asserts that the translated terms should convey the same function and effect in the target language. While English can be seen as the common language for global volleyball terminology, Turkish translations, local terms, and borrowed words carry nuances in how player roles, gameplay, and positions are perceived by </w:t>
      </w:r>
      <w:r>
        <w:rPr>
          <w:lang w:val="en-US"/>
        </w:rPr>
        <w:t xml:space="preserve">the </w:t>
      </w:r>
      <w:r w:rsidRPr="00F256F1">
        <w:rPr>
          <w:lang w:val="en-US"/>
        </w:rPr>
        <w:t xml:space="preserve">audience. These distinctions influence how the audience engages with the sport, how </w:t>
      </w:r>
      <w:proofErr w:type="gramStart"/>
      <w:r w:rsidRPr="00F256F1">
        <w:rPr>
          <w:lang w:val="en-US"/>
        </w:rPr>
        <w:t>player</w:t>
      </w:r>
      <w:proofErr w:type="gramEnd"/>
      <w:r w:rsidRPr="00F256F1">
        <w:rPr>
          <w:lang w:val="en-US"/>
        </w:rPr>
        <w:t xml:space="preserve"> roles are understood, and how the game is interpreted. Borrowed terms contribute to global consistency, while localized adaptations shape how spectators experience the sport and comprehend key aspects of </w:t>
      </w:r>
      <w:r>
        <w:rPr>
          <w:lang w:val="en-US"/>
        </w:rPr>
        <w:t>the game</w:t>
      </w:r>
      <w:r w:rsidRPr="00F256F1">
        <w:rPr>
          <w:lang w:val="en-US"/>
        </w:rPr>
        <w:t>.</w:t>
      </w:r>
      <w:r>
        <w:rPr>
          <w:lang w:val="en-US"/>
        </w:rPr>
        <w:t xml:space="preserve"> </w:t>
      </w:r>
      <w:r w:rsidRPr="00F256F1">
        <w:rPr>
          <w:lang w:val="en-US"/>
        </w:rPr>
        <w:t>The study argues that while borrowed terms</w:t>
      </w:r>
      <w:r>
        <w:rPr>
          <w:lang w:val="en-US"/>
        </w:rPr>
        <w:t xml:space="preserve"> such as </w:t>
      </w:r>
      <w:r>
        <w:rPr>
          <w:i/>
          <w:iCs/>
          <w:lang w:val="en-US"/>
        </w:rPr>
        <w:t xml:space="preserve">libero </w:t>
      </w:r>
      <w:r>
        <w:rPr>
          <w:lang w:val="en-US"/>
        </w:rPr>
        <w:t xml:space="preserve">and </w:t>
      </w:r>
      <w:r>
        <w:rPr>
          <w:i/>
          <w:iCs/>
          <w:lang w:val="en-US"/>
        </w:rPr>
        <w:t>ace</w:t>
      </w:r>
      <w:r w:rsidRPr="00F256F1">
        <w:rPr>
          <w:lang w:val="en-US"/>
        </w:rPr>
        <w:t xml:space="preserve"> maintain </w:t>
      </w:r>
      <w:r>
        <w:rPr>
          <w:lang w:val="en-US"/>
        </w:rPr>
        <w:t xml:space="preserve">the </w:t>
      </w:r>
      <w:r w:rsidRPr="00F256F1">
        <w:rPr>
          <w:lang w:val="en-US"/>
        </w:rPr>
        <w:t xml:space="preserve">functional equivalence due to their widespread </w:t>
      </w:r>
      <w:r>
        <w:rPr>
          <w:lang w:val="en-US"/>
        </w:rPr>
        <w:t>global volleyball discourse</w:t>
      </w:r>
      <w:r w:rsidRPr="00F256F1">
        <w:rPr>
          <w:lang w:val="en-US"/>
        </w:rPr>
        <w:t xml:space="preserve">, </w:t>
      </w:r>
      <w:r>
        <w:rPr>
          <w:lang w:val="en-US"/>
        </w:rPr>
        <w:t xml:space="preserve">the domestic translations and local terms </w:t>
      </w:r>
      <w:r w:rsidRPr="00F256F1">
        <w:rPr>
          <w:lang w:val="en-US"/>
        </w:rPr>
        <w:t xml:space="preserve">may influence audience perception, which in turn can shape expectations and interpretations of the </w:t>
      </w:r>
      <w:r>
        <w:rPr>
          <w:lang w:val="en-US"/>
        </w:rPr>
        <w:t>sports</w:t>
      </w:r>
      <w:r w:rsidRPr="00F256F1">
        <w:rPr>
          <w:lang w:val="en-US"/>
        </w:rPr>
        <w:t>.</w:t>
      </w:r>
      <w:r>
        <w:rPr>
          <w:lang w:val="en-US"/>
        </w:rPr>
        <w:t xml:space="preserve"> </w:t>
      </w:r>
      <w:r w:rsidRPr="00F256F1">
        <w:rPr>
          <w:lang w:val="en-US"/>
        </w:rPr>
        <w:t>The research examines how these differences impact the interpretation of volleyball dynamics and terminology.</w:t>
      </w:r>
      <w:r>
        <w:rPr>
          <w:lang w:val="en-US"/>
        </w:rPr>
        <w:t xml:space="preserve"> In this regard, it takes into consideration the terms and word choices utilized for the same positions, </w:t>
      </w:r>
      <w:proofErr w:type="gramStart"/>
      <w:r>
        <w:rPr>
          <w:lang w:val="en-US"/>
        </w:rPr>
        <w:t>player</w:t>
      </w:r>
      <w:proofErr w:type="gramEnd"/>
      <w:r>
        <w:rPr>
          <w:lang w:val="en-US"/>
        </w:rPr>
        <w:t xml:space="preserve"> roles and situations happening on the court. </w:t>
      </w:r>
      <w:r w:rsidRPr="00F256F1">
        <w:rPr>
          <w:lang w:val="en-US"/>
        </w:rPr>
        <w:t xml:space="preserve">Through the lens of functional equivalence, this study demonstrates that sports translation is not merely a linguistic process. </w:t>
      </w:r>
      <w:r>
        <w:rPr>
          <w:lang w:val="en-US"/>
        </w:rPr>
        <w:t>With the increasing popularity of the volleyball both in Türkiye and the world, t</w:t>
      </w:r>
      <w:r w:rsidRPr="00F256F1">
        <w:rPr>
          <w:lang w:val="en-US"/>
        </w:rPr>
        <w:t>he findings contribute to</w:t>
      </w:r>
      <w:r>
        <w:rPr>
          <w:lang w:val="en-US"/>
        </w:rPr>
        <w:t xml:space="preserve"> the</w:t>
      </w:r>
      <w:r w:rsidRPr="00F256F1">
        <w:rPr>
          <w:lang w:val="en-US"/>
        </w:rPr>
        <w:t xml:space="preserve"> discussions </w:t>
      </w:r>
      <w:r>
        <w:rPr>
          <w:lang w:val="en-US"/>
        </w:rPr>
        <w:t>regarding</w:t>
      </w:r>
      <w:r w:rsidRPr="00F256F1">
        <w:rPr>
          <w:lang w:val="en-US"/>
        </w:rPr>
        <w:t xml:space="preserve"> sports translation, emphasizing the role of language in shaping audience perception and understanding.</w:t>
      </w:r>
    </w:p>
    <w:p w14:paraId="55A730AF" w14:textId="77777777" w:rsidR="00BF3875" w:rsidRDefault="00BF3875" w:rsidP="00BA67A6">
      <w:pPr>
        <w:jc w:val="both"/>
        <w:rPr>
          <w:b/>
          <w:bCs/>
          <w:lang w:val="en-US"/>
        </w:rPr>
      </w:pPr>
    </w:p>
    <w:p w14:paraId="0A038CA2" w14:textId="486F9474" w:rsidR="00C70E93" w:rsidRDefault="00BF3875" w:rsidP="00BA67A6">
      <w:pPr>
        <w:jc w:val="both"/>
        <w:rPr>
          <w:lang w:val="en-US"/>
        </w:rPr>
      </w:pPr>
      <w:r w:rsidRPr="00140D64">
        <w:rPr>
          <w:b/>
          <w:bCs/>
          <w:lang w:val="en-US"/>
        </w:rPr>
        <w:t>Keywords:</w:t>
      </w:r>
      <w:r w:rsidRPr="00140D64">
        <w:rPr>
          <w:lang w:val="en-US"/>
        </w:rPr>
        <w:t xml:space="preserve"> volleyball terminology, sports translation, functional equivalence, audience perception</w:t>
      </w:r>
    </w:p>
    <w:p w14:paraId="46B47B4A" w14:textId="09D74A9C" w:rsidR="009D0899" w:rsidRPr="00C70E93" w:rsidRDefault="00C70E93" w:rsidP="00C70E93">
      <w:pPr>
        <w:autoSpaceDE/>
        <w:autoSpaceDN/>
        <w:rPr>
          <w:lang w:val="en-US"/>
        </w:rPr>
      </w:pPr>
      <w:r>
        <w:rPr>
          <w:lang w:val="en-US"/>
        </w:rPr>
        <w:br w:type="page"/>
      </w:r>
    </w:p>
    <w:p w14:paraId="2C90B080" w14:textId="4087A1FA" w:rsidR="00DA3117" w:rsidRDefault="006871AB" w:rsidP="004C7694">
      <w:pPr>
        <w:pStyle w:val="Tark"/>
      </w:pPr>
      <w:bookmarkStart w:id="157" w:name="_Toc192855225"/>
      <w:proofErr w:type="spellStart"/>
      <w:r w:rsidRPr="009E0754">
        <w:lastRenderedPageBreak/>
        <w:t>The</w:t>
      </w:r>
      <w:proofErr w:type="spellEnd"/>
      <w:r w:rsidRPr="009E0754">
        <w:t xml:space="preserve"> </w:t>
      </w:r>
      <w:proofErr w:type="spellStart"/>
      <w:r w:rsidRPr="009E0754">
        <w:t>Reflect</w:t>
      </w:r>
      <w:r w:rsidR="00C70E93">
        <w:t>i</w:t>
      </w:r>
      <w:r w:rsidRPr="009E0754">
        <w:t>on</w:t>
      </w:r>
      <w:proofErr w:type="spellEnd"/>
      <w:r w:rsidRPr="009E0754">
        <w:t xml:space="preserve"> Of </w:t>
      </w:r>
      <w:proofErr w:type="spellStart"/>
      <w:r w:rsidRPr="009E0754">
        <w:t>Soc</w:t>
      </w:r>
      <w:r w:rsidR="00C70E93">
        <w:t>i</w:t>
      </w:r>
      <w:r w:rsidRPr="009E0754">
        <w:t>o</w:t>
      </w:r>
      <w:proofErr w:type="spellEnd"/>
      <w:r w:rsidRPr="009E0754">
        <w:t xml:space="preserve">-Moral </w:t>
      </w:r>
      <w:proofErr w:type="spellStart"/>
      <w:r w:rsidRPr="009E0754">
        <w:t>Challenges</w:t>
      </w:r>
      <w:proofErr w:type="spellEnd"/>
      <w:r w:rsidRPr="009E0754">
        <w:t xml:space="preserve"> </w:t>
      </w:r>
      <w:proofErr w:type="spellStart"/>
      <w:r w:rsidRPr="009E0754">
        <w:t>In</w:t>
      </w:r>
      <w:proofErr w:type="spellEnd"/>
      <w:r w:rsidRPr="009E0754">
        <w:t xml:space="preserve"> </w:t>
      </w:r>
      <w:proofErr w:type="spellStart"/>
      <w:r w:rsidRPr="009E0754">
        <w:t>The</w:t>
      </w:r>
      <w:proofErr w:type="spellEnd"/>
      <w:r w:rsidRPr="009E0754">
        <w:t xml:space="preserve"> </w:t>
      </w:r>
      <w:proofErr w:type="spellStart"/>
      <w:r w:rsidRPr="009E0754">
        <w:t>Sent</w:t>
      </w:r>
      <w:r w:rsidR="00C70E93">
        <w:t>i</w:t>
      </w:r>
      <w:r w:rsidRPr="009E0754">
        <w:t>mental</w:t>
      </w:r>
      <w:r w:rsidR="00C70E93">
        <w:t>i</w:t>
      </w:r>
      <w:r w:rsidRPr="009E0754">
        <w:t>st</w:t>
      </w:r>
      <w:proofErr w:type="spellEnd"/>
      <w:r w:rsidRPr="009E0754">
        <w:t xml:space="preserve"> </w:t>
      </w:r>
      <w:proofErr w:type="spellStart"/>
      <w:r w:rsidRPr="009E0754">
        <w:t>Prose</w:t>
      </w:r>
      <w:proofErr w:type="spellEnd"/>
      <w:r w:rsidRPr="009E0754">
        <w:t xml:space="preserve"> Of Ol</w:t>
      </w:r>
      <w:r w:rsidR="00C70E93">
        <w:t>i</w:t>
      </w:r>
      <w:r w:rsidRPr="009E0754">
        <w:t xml:space="preserve">ver </w:t>
      </w:r>
      <w:proofErr w:type="spellStart"/>
      <w:r w:rsidRPr="009E0754">
        <w:t>Goldsm</w:t>
      </w:r>
      <w:r w:rsidR="00C70E93">
        <w:t>i</w:t>
      </w:r>
      <w:r w:rsidRPr="009E0754">
        <w:t>th</w:t>
      </w:r>
      <w:proofErr w:type="spellEnd"/>
      <w:r w:rsidRPr="009E0754">
        <w:t xml:space="preserve"> </w:t>
      </w:r>
      <w:proofErr w:type="spellStart"/>
      <w:r w:rsidRPr="009E0754">
        <w:t>And</w:t>
      </w:r>
      <w:proofErr w:type="spellEnd"/>
      <w:r w:rsidRPr="009E0754">
        <w:t xml:space="preserve"> Henry </w:t>
      </w:r>
      <w:proofErr w:type="spellStart"/>
      <w:r w:rsidRPr="009E0754">
        <w:t>Mackenz</w:t>
      </w:r>
      <w:r w:rsidR="00C70E93">
        <w:t>i</w:t>
      </w:r>
      <w:r w:rsidRPr="009E0754">
        <w:t>e</w:t>
      </w:r>
      <w:proofErr w:type="spellEnd"/>
      <w:r w:rsidRPr="009E0754">
        <w:t xml:space="preserve">: </w:t>
      </w:r>
      <w:proofErr w:type="spellStart"/>
      <w:r w:rsidRPr="009E0754">
        <w:t>Eth</w:t>
      </w:r>
      <w:r w:rsidR="00C70E93">
        <w:t>i</w:t>
      </w:r>
      <w:r w:rsidRPr="009E0754">
        <w:t>cal</w:t>
      </w:r>
      <w:proofErr w:type="spellEnd"/>
      <w:r w:rsidRPr="009E0754">
        <w:t xml:space="preserve"> </w:t>
      </w:r>
      <w:proofErr w:type="spellStart"/>
      <w:r w:rsidRPr="009E0754">
        <w:t>D</w:t>
      </w:r>
      <w:r w:rsidR="00C70E93">
        <w:t>i</w:t>
      </w:r>
      <w:r w:rsidRPr="009E0754">
        <w:t>lemmas</w:t>
      </w:r>
      <w:proofErr w:type="spellEnd"/>
      <w:r w:rsidRPr="009E0754">
        <w:t xml:space="preserve"> </w:t>
      </w:r>
      <w:proofErr w:type="spellStart"/>
      <w:r w:rsidRPr="009E0754">
        <w:t>And</w:t>
      </w:r>
      <w:proofErr w:type="spellEnd"/>
      <w:r w:rsidRPr="009E0754">
        <w:t xml:space="preserve"> </w:t>
      </w:r>
      <w:proofErr w:type="spellStart"/>
      <w:r w:rsidRPr="009E0754">
        <w:t>Emot</w:t>
      </w:r>
      <w:r w:rsidR="00C70E93">
        <w:t>i</w:t>
      </w:r>
      <w:r w:rsidRPr="009E0754">
        <w:t>onal</w:t>
      </w:r>
      <w:proofErr w:type="spellEnd"/>
      <w:r w:rsidRPr="009E0754">
        <w:t xml:space="preserve"> </w:t>
      </w:r>
      <w:proofErr w:type="spellStart"/>
      <w:r w:rsidRPr="009E0754">
        <w:t>D</w:t>
      </w:r>
      <w:r w:rsidR="00C70E93">
        <w:t>i</w:t>
      </w:r>
      <w:r w:rsidRPr="009E0754">
        <w:t>scourse</w:t>
      </w:r>
      <w:bookmarkEnd w:id="157"/>
      <w:proofErr w:type="spellEnd"/>
    </w:p>
    <w:p w14:paraId="2217346F" w14:textId="77777777" w:rsidR="00BA67A6" w:rsidRPr="00BA67A6" w:rsidRDefault="00BA67A6" w:rsidP="00BA67A6">
      <w:pPr>
        <w:pStyle w:val="Metin"/>
      </w:pPr>
      <w:bookmarkStart w:id="158" w:name="_Hlk190208774"/>
    </w:p>
    <w:p w14:paraId="45CFEE13" w14:textId="77777777" w:rsidR="00DA3117" w:rsidRPr="009E0754" w:rsidRDefault="00DA3117" w:rsidP="00BA67A6">
      <w:pPr>
        <w:jc w:val="center"/>
      </w:pPr>
      <w:proofErr w:type="spellStart"/>
      <w:r w:rsidRPr="009E0754">
        <w:rPr>
          <w:rFonts w:eastAsiaTheme="majorEastAsia"/>
        </w:rPr>
        <w:t>Ismat</w:t>
      </w:r>
      <w:proofErr w:type="spellEnd"/>
      <w:r w:rsidRPr="009E0754">
        <w:t xml:space="preserve"> </w:t>
      </w:r>
      <w:proofErr w:type="spellStart"/>
      <w:r w:rsidRPr="009E0754">
        <w:rPr>
          <w:rFonts w:eastAsiaTheme="majorEastAsia"/>
        </w:rPr>
        <w:t>Jafarova</w:t>
      </w:r>
      <w:proofErr w:type="spellEnd"/>
    </w:p>
    <w:p w14:paraId="041B1BF9" w14:textId="1F0CCA18" w:rsidR="00BA67A6" w:rsidRPr="00BA67A6" w:rsidRDefault="00DA3117" w:rsidP="00BA67A6">
      <w:pPr>
        <w:jc w:val="center"/>
        <w:rPr>
          <w:rFonts w:eastAsiaTheme="majorEastAsia"/>
        </w:rPr>
      </w:pPr>
      <w:proofErr w:type="spellStart"/>
      <w:r w:rsidRPr="009E0754">
        <w:rPr>
          <w:rFonts w:eastAsiaTheme="majorEastAsia"/>
        </w:rPr>
        <w:t>Nakhchivan</w:t>
      </w:r>
      <w:proofErr w:type="spellEnd"/>
      <w:r w:rsidRPr="009E0754">
        <w:rPr>
          <w:rFonts w:eastAsiaTheme="majorEastAsia"/>
        </w:rPr>
        <w:t xml:space="preserve"> </w:t>
      </w:r>
      <w:proofErr w:type="spellStart"/>
      <w:r w:rsidRPr="009E0754">
        <w:rPr>
          <w:rFonts w:eastAsiaTheme="majorEastAsia"/>
        </w:rPr>
        <w:t>State</w:t>
      </w:r>
      <w:proofErr w:type="spellEnd"/>
      <w:r w:rsidRPr="009E0754">
        <w:rPr>
          <w:rFonts w:eastAsiaTheme="majorEastAsia"/>
        </w:rPr>
        <w:t xml:space="preserve"> </w:t>
      </w:r>
      <w:proofErr w:type="spellStart"/>
      <w:r w:rsidRPr="009E0754">
        <w:rPr>
          <w:rFonts w:eastAsiaTheme="majorEastAsia"/>
        </w:rPr>
        <w:t>University</w:t>
      </w:r>
      <w:proofErr w:type="spellEnd"/>
      <w:r w:rsidRPr="009E0754">
        <w:rPr>
          <w:rFonts w:eastAsiaTheme="majorEastAsia"/>
        </w:rPr>
        <w:t xml:space="preserve">, </w:t>
      </w:r>
      <w:proofErr w:type="spellStart"/>
      <w:r w:rsidRPr="009E0754">
        <w:rPr>
          <w:rFonts w:eastAsiaTheme="majorEastAsia"/>
        </w:rPr>
        <w:t>Department</w:t>
      </w:r>
      <w:proofErr w:type="spellEnd"/>
      <w:r w:rsidRPr="009E0754">
        <w:rPr>
          <w:rFonts w:eastAsiaTheme="majorEastAsia"/>
        </w:rPr>
        <w:t xml:space="preserve"> of English </w:t>
      </w:r>
      <w:proofErr w:type="spellStart"/>
      <w:r w:rsidRPr="009E0754">
        <w:rPr>
          <w:rFonts w:eastAsiaTheme="majorEastAsia"/>
        </w:rPr>
        <w:t>language</w:t>
      </w:r>
      <w:proofErr w:type="spellEnd"/>
      <w:r w:rsidRPr="009E0754">
        <w:rPr>
          <w:rFonts w:eastAsiaTheme="majorEastAsia"/>
        </w:rPr>
        <w:t xml:space="preserve"> </w:t>
      </w:r>
      <w:proofErr w:type="spellStart"/>
      <w:r w:rsidRPr="009E0754">
        <w:rPr>
          <w:rFonts w:eastAsiaTheme="majorEastAsia"/>
        </w:rPr>
        <w:t>and</w:t>
      </w:r>
      <w:proofErr w:type="spellEnd"/>
      <w:r w:rsidRPr="009E0754">
        <w:rPr>
          <w:rFonts w:eastAsiaTheme="majorEastAsia"/>
        </w:rPr>
        <w:t xml:space="preserve"> </w:t>
      </w:r>
      <w:proofErr w:type="spellStart"/>
      <w:r w:rsidRPr="009E0754">
        <w:rPr>
          <w:rFonts w:eastAsiaTheme="majorEastAsia"/>
        </w:rPr>
        <w:t>Translation</w:t>
      </w:r>
      <w:proofErr w:type="spellEnd"/>
      <w:r w:rsidRPr="009E0754">
        <w:t xml:space="preserve">, </w:t>
      </w:r>
      <w:proofErr w:type="spellStart"/>
      <w:r w:rsidRPr="009E0754">
        <w:rPr>
          <w:rFonts w:eastAsiaTheme="majorEastAsia"/>
        </w:rPr>
        <w:t>PhD</w:t>
      </w:r>
      <w:proofErr w:type="spellEnd"/>
      <w:r w:rsidRPr="009E0754">
        <w:t xml:space="preserve"> </w:t>
      </w:r>
      <w:proofErr w:type="spellStart"/>
      <w:r w:rsidRPr="009E0754">
        <w:rPr>
          <w:rFonts w:eastAsiaTheme="majorEastAsia"/>
        </w:rPr>
        <w:t>student</w:t>
      </w:r>
      <w:proofErr w:type="spellEnd"/>
      <w:r w:rsidRPr="009E0754">
        <w:rPr>
          <w:rFonts w:eastAsiaTheme="majorEastAsia"/>
        </w:rPr>
        <w:t xml:space="preserve">, </w:t>
      </w:r>
      <w:proofErr w:type="spellStart"/>
      <w:r w:rsidRPr="009E0754">
        <w:rPr>
          <w:rFonts w:eastAsiaTheme="majorEastAsia"/>
        </w:rPr>
        <w:t>Teacher</w:t>
      </w:r>
      <w:proofErr w:type="spellEnd"/>
    </w:p>
    <w:p w14:paraId="28B1192A" w14:textId="77777777" w:rsidR="00DA3117" w:rsidRPr="009E0754" w:rsidRDefault="00DA3117" w:rsidP="00BA67A6">
      <w:pPr>
        <w:jc w:val="center"/>
      </w:pPr>
      <w:hyperlink r:id="rId189" w:history="1">
        <w:r w:rsidRPr="009E0754">
          <w:rPr>
            <w:rFonts w:eastAsiaTheme="majorEastAsia"/>
            <w:color w:val="467886" w:themeColor="hyperlink"/>
            <w:u w:val="single"/>
          </w:rPr>
          <w:t>ismetceferova6@gmail.com</w:t>
        </w:r>
      </w:hyperlink>
    </w:p>
    <w:p w14:paraId="2D1F2186" w14:textId="2E845814" w:rsidR="00DA3117" w:rsidRDefault="00DA3117" w:rsidP="00BA67A6">
      <w:pPr>
        <w:jc w:val="center"/>
        <w:rPr>
          <w:rFonts w:eastAsiaTheme="majorEastAsia"/>
        </w:rPr>
      </w:pPr>
      <w:r w:rsidRPr="009E0754">
        <w:rPr>
          <w:rFonts w:eastAsiaTheme="majorEastAsia"/>
        </w:rPr>
        <w:t>0009-0007-4137-5246</w:t>
      </w:r>
    </w:p>
    <w:p w14:paraId="51E76747" w14:textId="77777777" w:rsidR="00BA67A6" w:rsidRDefault="00BA67A6" w:rsidP="00BA67A6">
      <w:pPr>
        <w:jc w:val="center"/>
        <w:rPr>
          <w:rFonts w:eastAsiaTheme="majorEastAsia"/>
        </w:rPr>
      </w:pPr>
    </w:p>
    <w:p w14:paraId="1E55CD2D" w14:textId="4279ADF4" w:rsidR="00DA3117" w:rsidRPr="009E0754" w:rsidRDefault="00DA3117" w:rsidP="00BA67A6">
      <w:pPr>
        <w:jc w:val="center"/>
        <w:outlineLvl w:val="2"/>
        <w:rPr>
          <w:b/>
          <w:bCs/>
        </w:rPr>
      </w:pPr>
      <w:proofErr w:type="spellStart"/>
      <w:r w:rsidRPr="009E0754">
        <w:rPr>
          <w:b/>
          <w:bCs/>
        </w:rPr>
        <w:t>Abstract</w:t>
      </w:r>
      <w:proofErr w:type="spellEnd"/>
    </w:p>
    <w:p w14:paraId="132292D7" w14:textId="77777777" w:rsidR="00C70E93" w:rsidRDefault="00DA3117" w:rsidP="00BA67A6">
      <w:pPr>
        <w:jc w:val="both"/>
      </w:pPr>
      <w:proofErr w:type="spellStart"/>
      <w:r w:rsidRPr="009E0754">
        <w:t>The</w:t>
      </w:r>
      <w:proofErr w:type="spellEnd"/>
      <w:r w:rsidRPr="009E0754">
        <w:t xml:space="preserve"> </w:t>
      </w:r>
      <w:proofErr w:type="spellStart"/>
      <w:r w:rsidRPr="009E0754">
        <w:t>sentimentalist</w:t>
      </w:r>
      <w:proofErr w:type="spellEnd"/>
      <w:r w:rsidRPr="009E0754">
        <w:t xml:space="preserve"> </w:t>
      </w:r>
      <w:proofErr w:type="spellStart"/>
      <w:r w:rsidRPr="009E0754">
        <w:t>prose</w:t>
      </w:r>
      <w:proofErr w:type="spellEnd"/>
      <w:r w:rsidRPr="009E0754">
        <w:t xml:space="preserve"> of Oliver </w:t>
      </w:r>
      <w:proofErr w:type="spellStart"/>
      <w:r w:rsidRPr="009E0754">
        <w:t>Goldsmith</w:t>
      </w:r>
      <w:proofErr w:type="spellEnd"/>
      <w:r w:rsidRPr="009E0754">
        <w:t xml:space="preserve"> </w:t>
      </w:r>
      <w:proofErr w:type="spellStart"/>
      <w:r w:rsidRPr="009E0754">
        <w:t>and</w:t>
      </w:r>
      <w:proofErr w:type="spellEnd"/>
      <w:r w:rsidRPr="009E0754">
        <w:t xml:space="preserve"> Henry </w:t>
      </w:r>
      <w:proofErr w:type="spellStart"/>
      <w:r w:rsidRPr="009E0754">
        <w:t>Mackenzie</w:t>
      </w:r>
      <w:proofErr w:type="spellEnd"/>
      <w:r w:rsidRPr="009E0754">
        <w:t xml:space="preserve"> </w:t>
      </w:r>
      <w:proofErr w:type="spellStart"/>
      <w:r w:rsidRPr="009E0754">
        <w:t>offers</w:t>
      </w:r>
      <w:proofErr w:type="spellEnd"/>
      <w:r w:rsidRPr="009E0754">
        <w:t xml:space="preserve"> a </w:t>
      </w:r>
      <w:proofErr w:type="spellStart"/>
      <w:r w:rsidRPr="009E0754">
        <w:t>profound</w:t>
      </w:r>
      <w:proofErr w:type="spellEnd"/>
      <w:r w:rsidRPr="009E0754">
        <w:t xml:space="preserve"> </w:t>
      </w:r>
      <w:proofErr w:type="spellStart"/>
      <w:r w:rsidRPr="009E0754">
        <w:t>reflection</w:t>
      </w:r>
      <w:proofErr w:type="spellEnd"/>
      <w:r w:rsidRPr="009E0754">
        <w:t xml:space="preserve"> on </w:t>
      </w:r>
      <w:proofErr w:type="spellStart"/>
      <w:r w:rsidRPr="009E0754">
        <w:t>the</w:t>
      </w:r>
      <w:proofErr w:type="spellEnd"/>
      <w:r w:rsidRPr="009E0754">
        <w:t xml:space="preserve"> </w:t>
      </w:r>
      <w:proofErr w:type="spellStart"/>
      <w:r w:rsidRPr="009E0754">
        <w:t>socio</w:t>
      </w:r>
      <w:proofErr w:type="spellEnd"/>
      <w:r w:rsidRPr="009E0754">
        <w:t xml:space="preserve">-moral </w:t>
      </w:r>
      <w:proofErr w:type="spellStart"/>
      <w:r w:rsidRPr="009E0754">
        <w:t>challenges</w:t>
      </w:r>
      <w:proofErr w:type="spellEnd"/>
      <w:r w:rsidRPr="009E0754">
        <w:t xml:space="preserve"> of 18th-century British </w:t>
      </w:r>
      <w:proofErr w:type="spellStart"/>
      <w:r w:rsidRPr="009E0754">
        <w:t>society</w:t>
      </w:r>
      <w:proofErr w:type="spellEnd"/>
      <w:r w:rsidRPr="009E0754">
        <w:t xml:space="preserve">. </w:t>
      </w:r>
      <w:proofErr w:type="spellStart"/>
      <w:r w:rsidRPr="009E0754">
        <w:t>This</w:t>
      </w:r>
      <w:proofErr w:type="spellEnd"/>
      <w:r w:rsidRPr="009E0754">
        <w:t xml:space="preserve"> </w:t>
      </w:r>
      <w:proofErr w:type="spellStart"/>
      <w:r w:rsidRPr="009E0754">
        <w:t>article</w:t>
      </w:r>
      <w:proofErr w:type="spellEnd"/>
      <w:r w:rsidRPr="009E0754">
        <w:t xml:space="preserve"> </w:t>
      </w:r>
      <w:proofErr w:type="spellStart"/>
      <w:r w:rsidRPr="009E0754">
        <w:t>explores</w:t>
      </w:r>
      <w:proofErr w:type="spellEnd"/>
      <w:r w:rsidRPr="009E0754">
        <w:t xml:space="preserve"> </w:t>
      </w:r>
      <w:proofErr w:type="spellStart"/>
      <w:r w:rsidRPr="009E0754">
        <w:t>the</w:t>
      </w:r>
      <w:proofErr w:type="spellEnd"/>
      <w:r w:rsidRPr="009E0754">
        <w:t xml:space="preserve"> </w:t>
      </w:r>
      <w:proofErr w:type="spellStart"/>
      <w:r w:rsidRPr="009E0754">
        <w:t>portrayal</w:t>
      </w:r>
      <w:proofErr w:type="spellEnd"/>
      <w:r w:rsidRPr="009E0754">
        <w:t xml:space="preserve"> of </w:t>
      </w:r>
      <w:proofErr w:type="spellStart"/>
      <w:r w:rsidRPr="009E0754">
        <w:t>ethical</w:t>
      </w:r>
      <w:proofErr w:type="spellEnd"/>
      <w:r w:rsidRPr="009E0754">
        <w:t xml:space="preserve"> </w:t>
      </w:r>
      <w:proofErr w:type="spellStart"/>
      <w:r w:rsidRPr="009E0754">
        <w:t>dilemmas</w:t>
      </w:r>
      <w:proofErr w:type="spellEnd"/>
      <w:r w:rsidRPr="009E0754">
        <w:t xml:space="preserve"> </w:t>
      </w:r>
      <w:proofErr w:type="spellStart"/>
      <w:r w:rsidRPr="009E0754">
        <w:t>and</w:t>
      </w:r>
      <w:proofErr w:type="spellEnd"/>
      <w:r w:rsidRPr="009E0754">
        <w:t xml:space="preserve"> </w:t>
      </w:r>
      <w:proofErr w:type="spellStart"/>
      <w:r w:rsidRPr="009E0754">
        <w:t>emotional</w:t>
      </w:r>
      <w:proofErr w:type="spellEnd"/>
      <w:r w:rsidRPr="009E0754">
        <w:t xml:space="preserve"> </w:t>
      </w:r>
      <w:proofErr w:type="spellStart"/>
      <w:r w:rsidRPr="009E0754">
        <w:t>discourse</w:t>
      </w:r>
      <w:proofErr w:type="spellEnd"/>
      <w:r w:rsidRPr="009E0754">
        <w:t xml:space="preserve"> in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with</w:t>
      </w:r>
      <w:proofErr w:type="spellEnd"/>
      <w:r w:rsidRPr="009E0754">
        <w:t xml:space="preserve"> a </w:t>
      </w:r>
      <w:proofErr w:type="spellStart"/>
      <w:r w:rsidRPr="009E0754">
        <w:t>comparative</w:t>
      </w:r>
      <w:proofErr w:type="spellEnd"/>
      <w:r w:rsidRPr="009E0754">
        <w:t xml:space="preserve"> </w:t>
      </w:r>
      <w:proofErr w:type="spellStart"/>
      <w:r w:rsidRPr="009E0754">
        <w:t>analysis</w:t>
      </w:r>
      <w:proofErr w:type="spellEnd"/>
      <w:r w:rsidRPr="009E0754">
        <w:t xml:space="preserve"> of </w:t>
      </w:r>
      <w:proofErr w:type="spellStart"/>
      <w:r w:rsidRPr="009E0754">
        <w:t>Goldsmith’s</w:t>
      </w:r>
      <w:proofErr w:type="spellEnd"/>
      <w:r w:rsidRPr="009E0754">
        <w:t xml:space="preserve">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and</w:t>
      </w:r>
      <w:proofErr w:type="spellEnd"/>
      <w:r w:rsidRPr="009E0754">
        <w:t xml:space="preserve"> </w:t>
      </w:r>
      <w:proofErr w:type="spellStart"/>
      <w:r w:rsidRPr="009E0754">
        <w:t>Mackenzie’s</w:t>
      </w:r>
      <w:proofErr w:type="spellEnd"/>
      <w:r w:rsidRPr="009E0754">
        <w:t xml:space="preserve">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w:t>
      </w:r>
      <w:proofErr w:type="spellStart"/>
      <w:r w:rsidRPr="009E0754">
        <w:t>By</w:t>
      </w:r>
      <w:proofErr w:type="spellEnd"/>
      <w:r w:rsidRPr="009E0754">
        <w:t xml:space="preserve"> </w:t>
      </w:r>
      <w:proofErr w:type="spellStart"/>
      <w:r w:rsidRPr="009E0754">
        <w:t>examining</w:t>
      </w:r>
      <w:proofErr w:type="spellEnd"/>
      <w:r w:rsidRPr="009E0754">
        <w:t xml:space="preserve"> </w:t>
      </w:r>
      <w:proofErr w:type="spellStart"/>
      <w:r w:rsidRPr="009E0754">
        <w:t>key</w:t>
      </w:r>
      <w:proofErr w:type="spellEnd"/>
      <w:r w:rsidRPr="009E0754">
        <w:t xml:space="preserve"> </w:t>
      </w:r>
      <w:proofErr w:type="spellStart"/>
      <w:r w:rsidRPr="009E0754">
        <w:t>themes</w:t>
      </w:r>
      <w:proofErr w:type="spellEnd"/>
      <w:r w:rsidRPr="009E0754">
        <w:t xml:space="preserve"> </w:t>
      </w:r>
      <w:proofErr w:type="spellStart"/>
      <w:r w:rsidRPr="009E0754">
        <w:t>such</w:t>
      </w:r>
      <w:proofErr w:type="spellEnd"/>
      <w:r w:rsidRPr="009E0754">
        <w:t xml:space="preserve"> as </w:t>
      </w:r>
      <w:proofErr w:type="spellStart"/>
      <w:r w:rsidRPr="009E0754">
        <w:t>individual</w:t>
      </w:r>
      <w:proofErr w:type="spellEnd"/>
      <w:r w:rsidRPr="009E0754">
        <w:t xml:space="preserve"> </w:t>
      </w:r>
      <w:proofErr w:type="spellStart"/>
      <w:r w:rsidRPr="009E0754">
        <w:t>morality</w:t>
      </w:r>
      <w:proofErr w:type="spellEnd"/>
      <w:r w:rsidRPr="009E0754">
        <w:t xml:space="preserve">, </w:t>
      </w:r>
      <w:proofErr w:type="spellStart"/>
      <w:r w:rsidRPr="009E0754">
        <w:t>social</w:t>
      </w:r>
      <w:proofErr w:type="spellEnd"/>
      <w:r w:rsidRPr="009E0754">
        <w:t xml:space="preserve"> </w:t>
      </w:r>
      <w:proofErr w:type="spellStart"/>
      <w:r w:rsidRPr="009E0754">
        <w:t>injustice</w:t>
      </w:r>
      <w:proofErr w:type="spellEnd"/>
      <w:r w:rsidRPr="009E0754">
        <w:t xml:space="preserve">, </w:t>
      </w:r>
      <w:proofErr w:type="spellStart"/>
      <w:r w:rsidRPr="009E0754">
        <w:t>and</w:t>
      </w:r>
      <w:proofErr w:type="spellEnd"/>
      <w:r w:rsidRPr="009E0754">
        <w:t xml:space="preserve"> </w:t>
      </w:r>
      <w:proofErr w:type="spellStart"/>
      <w:r w:rsidRPr="009E0754">
        <w:t>emotional</w:t>
      </w:r>
      <w:proofErr w:type="spellEnd"/>
      <w:r w:rsidRPr="009E0754">
        <w:t xml:space="preserve"> </w:t>
      </w:r>
      <w:proofErr w:type="spellStart"/>
      <w:r w:rsidRPr="009E0754">
        <w:t>vulnerability</w:t>
      </w:r>
      <w:proofErr w:type="spellEnd"/>
      <w:r w:rsidRPr="009E0754">
        <w:t xml:space="preserve">, </w:t>
      </w:r>
      <w:proofErr w:type="spellStart"/>
      <w:r w:rsidRPr="009E0754">
        <w:t>the</w:t>
      </w:r>
      <w:proofErr w:type="spellEnd"/>
      <w:r w:rsidRPr="009E0754">
        <w:t xml:space="preserve"> </w:t>
      </w:r>
      <w:proofErr w:type="spellStart"/>
      <w:r w:rsidRPr="009E0754">
        <w:t>study</w:t>
      </w:r>
      <w:proofErr w:type="spellEnd"/>
      <w:r w:rsidRPr="009E0754">
        <w:t xml:space="preserve"> </w:t>
      </w:r>
      <w:proofErr w:type="spellStart"/>
      <w:r w:rsidRPr="009E0754">
        <w:t>highlights</w:t>
      </w:r>
      <w:proofErr w:type="spellEnd"/>
      <w:r w:rsidRPr="009E0754">
        <w:t xml:space="preserve"> how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use</w:t>
      </w:r>
      <w:proofErr w:type="spellEnd"/>
      <w:r w:rsidRPr="009E0754">
        <w:t xml:space="preserve"> </w:t>
      </w:r>
      <w:proofErr w:type="spellStart"/>
      <w:r w:rsidRPr="009E0754">
        <w:t>sentimentality</w:t>
      </w:r>
      <w:proofErr w:type="spellEnd"/>
      <w:r w:rsidRPr="009E0754">
        <w:t xml:space="preserve"> not </w:t>
      </w:r>
      <w:proofErr w:type="spellStart"/>
      <w:r w:rsidRPr="009E0754">
        <w:t>only</w:t>
      </w:r>
      <w:proofErr w:type="spellEnd"/>
      <w:r w:rsidRPr="009E0754">
        <w:t xml:space="preserve"> as an </w:t>
      </w:r>
      <w:proofErr w:type="spellStart"/>
      <w:r w:rsidRPr="009E0754">
        <w:t>artistic</w:t>
      </w:r>
      <w:proofErr w:type="spellEnd"/>
      <w:r w:rsidRPr="009E0754">
        <w:t xml:space="preserve"> </w:t>
      </w:r>
      <w:proofErr w:type="spellStart"/>
      <w:r w:rsidRPr="009E0754">
        <w:t>tool</w:t>
      </w:r>
      <w:proofErr w:type="spellEnd"/>
      <w:r w:rsidRPr="009E0754">
        <w:t xml:space="preserve"> but </w:t>
      </w:r>
      <w:proofErr w:type="spellStart"/>
      <w:r w:rsidRPr="009E0754">
        <w:t>also</w:t>
      </w:r>
      <w:proofErr w:type="spellEnd"/>
      <w:r w:rsidRPr="009E0754">
        <w:t xml:space="preserve"> as a </w:t>
      </w:r>
      <w:proofErr w:type="spellStart"/>
      <w:r w:rsidRPr="009E0754">
        <w:t>vehicle</w:t>
      </w:r>
      <w:proofErr w:type="spellEnd"/>
      <w:r w:rsidRPr="009E0754">
        <w:t xml:space="preserve"> </w:t>
      </w:r>
      <w:proofErr w:type="spellStart"/>
      <w:r w:rsidRPr="009E0754">
        <w:t>for</w:t>
      </w:r>
      <w:proofErr w:type="spellEnd"/>
      <w:r w:rsidRPr="009E0754">
        <w:t xml:space="preserve"> </w:t>
      </w:r>
      <w:proofErr w:type="spellStart"/>
      <w:r w:rsidRPr="009E0754">
        <w:t>social</w:t>
      </w:r>
      <w:proofErr w:type="spellEnd"/>
      <w:r w:rsidRPr="009E0754">
        <w:t xml:space="preserve"> </w:t>
      </w:r>
      <w:proofErr w:type="spellStart"/>
      <w:r w:rsidRPr="009E0754">
        <w:t>critique</w:t>
      </w:r>
      <w:proofErr w:type="spellEnd"/>
      <w:r w:rsidRPr="009E0754">
        <w:t xml:space="preserve">. </w:t>
      </w:r>
      <w:proofErr w:type="spellStart"/>
      <w:r w:rsidRPr="009E0754">
        <w:t>The</w:t>
      </w:r>
      <w:proofErr w:type="spellEnd"/>
      <w:r w:rsidRPr="009E0754">
        <w:t xml:space="preserve"> </w:t>
      </w:r>
      <w:proofErr w:type="spellStart"/>
      <w:r w:rsidRPr="009E0754">
        <w:t>research</w:t>
      </w:r>
      <w:proofErr w:type="spellEnd"/>
      <w:r w:rsidRPr="009E0754">
        <w:t xml:space="preserve"> </w:t>
      </w:r>
      <w:proofErr w:type="spellStart"/>
      <w:r w:rsidRPr="009E0754">
        <w:t>reveals</w:t>
      </w:r>
      <w:proofErr w:type="spellEnd"/>
      <w:r w:rsidRPr="009E0754">
        <w:t xml:space="preserve"> </w:t>
      </w:r>
      <w:proofErr w:type="spellStart"/>
      <w:r w:rsidRPr="009E0754">
        <w:t>that</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address</w:t>
      </w:r>
      <w:proofErr w:type="spellEnd"/>
      <w:r w:rsidRPr="009E0754">
        <w:t xml:space="preserve"> </w:t>
      </w:r>
      <w:proofErr w:type="spellStart"/>
      <w:r w:rsidRPr="009E0754">
        <w:t>common</w:t>
      </w:r>
      <w:proofErr w:type="spellEnd"/>
      <w:r w:rsidRPr="009E0754">
        <w:t xml:space="preserve"> moral </w:t>
      </w:r>
      <w:proofErr w:type="spellStart"/>
      <w:r w:rsidRPr="009E0754">
        <w:t>concerns</w:t>
      </w:r>
      <w:proofErr w:type="spellEnd"/>
      <w:r w:rsidRPr="009E0754">
        <w:t xml:space="preserve">, </w:t>
      </w:r>
      <w:proofErr w:type="spellStart"/>
      <w:r w:rsidRPr="009E0754">
        <w:t>including</w:t>
      </w:r>
      <w:proofErr w:type="spellEnd"/>
      <w:r w:rsidRPr="009E0754">
        <w:t xml:space="preserve"> </w:t>
      </w:r>
      <w:proofErr w:type="spellStart"/>
      <w:r w:rsidRPr="009E0754">
        <w:t>the</w:t>
      </w:r>
      <w:proofErr w:type="spellEnd"/>
      <w:r w:rsidRPr="009E0754">
        <w:t xml:space="preserve"> </w:t>
      </w:r>
      <w:proofErr w:type="spellStart"/>
      <w:r w:rsidRPr="009E0754">
        <w:t>fragility</w:t>
      </w:r>
      <w:proofErr w:type="spellEnd"/>
      <w:r w:rsidRPr="009E0754">
        <w:t xml:space="preserve"> of </w:t>
      </w:r>
      <w:proofErr w:type="spellStart"/>
      <w:r w:rsidRPr="009E0754">
        <w:t>human</w:t>
      </w:r>
      <w:proofErr w:type="spellEnd"/>
      <w:r w:rsidRPr="009E0754">
        <w:t xml:space="preserve"> </w:t>
      </w:r>
      <w:proofErr w:type="spellStart"/>
      <w:r w:rsidRPr="009E0754">
        <w:t>virtue</w:t>
      </w:r>
      <w:proofErr w:type="spellEnd"/>
      <w:r w:rsidRPr="009E0754">
        <w:t xml:space="preserve">, </w:t>
      </w:r>
      <w:proofErr w:type="spellStart"/>
      <w:r w:rsidRPr="009E0754">
        <w:t>the</w:t>
      </w:r>
      <w:proofErr w:type="spellEnd"/>
      <w:r w:rsidRPr="009E0754">
        <w:t xml:space="preserve"> </w:t>
      </w:r>
      <w:proofErr w:type="spellStart"/>
      <w:r w:rsidRPr="009E0754">
        <w:t>disparity</w:t>
      </w:r>
      <w:proofErr w:type="spellEnd"/>
      <w:r w:rsidRPr="009E0754">
        <w:t xml:space="preserve"> </w:t>
      </w:r>
      <w:proofErr w:type="spellStart"/>
      <w:r w:rsidRPr="009E0754">
        <w:t>between</w:t>
      </w:r>
      <w:proofErr w:type="spellEnd"/>
      <w:r w:rsidRPr="009E0754">
        <w:t xml:space="preserve"> </w:t>
      </w:r>
      <w:proofErr w:type="spellStart"/>
      <w:r w:rsidRPr="009E0754">
        <w:t>social</w:t>
      </w:r>
      <w:proofErr w:type="spellEnd"/>
      <w:r w:rsidRPr="009E0754">
        <w:t xml:space="preserve"> </w:t>
      </w:r>
      <w:proofErr w:type="spellStart"/>
      <w:r w:rsidRPr="009E0754">
        <w:t>classes</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consequences</w:t>
      </w:r>
      <w:proofErr w:type="spellEnd"/>
      <w:r w:rsidRPr="009E0754">
        <w:t xml:space="preserve"> of </w:t>
      </w:r>
      <w:proofErr w:type="spellStart"/>
      <w:r w:rsidRPr="009E0754">
        <w:t>compassion</w:t>
      </w:r>
      <w:proofErr w:type="spellEnd"/>
      <w:r w:rsidRPr="009E0754">
        <w:t xml:space="preserve">. </w:t>
      </w:r>
      <w:proofErr w:type="spellStart"/>
      <w:r w:rsidRPr="009E0754">
        <w:t>Employing</w:t>
      </w:r>
      <w:proofErr w:type="spellEnd"/>
      <w:r w:rsidRPr="009E0754">
        <w:t xml:space="preserve"> a </w:t>
      </w:r>
      <w:proofErr w:type="spellStart"/>
      <w:r w:rsidRPr="009E0754">
        <w:t>close</w:t>
      </w:r>
      <w:proofErr w:type="spellEnd"/>
      <w:r w:rsidRPr="009E0754">
        <w:t xml:space="preserve"> </w:t>
      </w:r>
      <w:proofErr w:type="spellStart"/>
      <w:r w:rsidRPr="009E0754">
        <w:t>reading</w:t>
      </w:r>
      <w:proofErr w:type="spellEnd"/>
      <w:r w:rsidRPr="009E0754">
        <w:t xml:space="preserve"> of </w:t>
      </w:r>
      <w:proofErr w:type="spellStart"/>
      <w:r w:rsidRPr="009E0754">
        <w:t>selected</w:t>
      </w:r>
      <w:proofErr w:type="spellEnd"/>
      <w:r w:rsidRPr="009E0754">
        <w:t xml:space="preserve"> </w:t>
      </w:r>
      <w:proofErr w:type="spellStart"/>
      <w:r w:rsidRPr="009E0754">
        <w:t>passages</w:t>
      </w:r>
      <w:proofErr w:type="spellEnd"/>
      <w:r w:rsidRPr="009E0754">
        <w:t xml:space="preserve">, </w:t>
      </w:r>
      <w:proofErr w:type="spellStart"/>
      <w:r w:rsidRPr="009E0754">
        <w:t>the</w:t>
      </w:r>
      <w:proofErr w:type="spellEnd"/>
      <w:r w:rsidRPr="009E0754">
        <w:t xml:space="preserve"> </w:t>
      </w:r>
      <w:proofErr w:type="spellStart"/>
      <w:r w:rsidRPr="009E0754">
        <w:t>article</w:t>
      </w:r>
      <w:proofErr w:type="spellEnd"/>
      <w:r w:rsidRPr="009E0754">
        <w:t xml:space="preserve"> </w:t>
      </w:r>
      <w:proofErr w:type="spellStart"/>
      <w:r w:rsidRPr="009E0754">
        <w:t>demonstrates</w:t>
      </w:r>
      <w:proofErr w:type="spellEnd"/>
      <w:r w:rsidRPr="009E0754">
        <w:t xml:space="preserve"> how </w:t>
      </w:r>
      <w:proofErr w:type="spellStart"/>
      <w:r w:rsidRPr="009E0754">
        <w:t>these</w:t>
      </w:r>
      <w:proofErr w:type="spellEnd"/>
      <w:r w:rsidRPr="009E0754">
        <w:t xml:space="preserve"> </w:t>
      </w:r>
      <w:proofErr w:type="spellStart"/>
      <w:r w:rsidRPr="009E0754">
        <w:t>writers</w:t>
      </w:r>
      <w:proofErr w:type="spellEnd"/>
      <w:r w:rsidRPr="009E0754">
        <w:t xml:space="preserve"> </w:t>
      </w:r>
      <w:proofErr w:type="spellStart"/>
      <w:r w:rsidRPr="009E0754">
        <w:t>elevate</w:t>
      </w:r>
      <w:proofErr w:type="spellEnd"/>
      <w:r w:rsidRPr="009E0754">
        <w:t xml:space="preserve"> </w:t>
      </w:r>
      <w:proofErr w:type="spellStart"/>
      <w:r w:rsidRPr="009E0754">
        <w:t>personal</w:t>
      </w:r>
      <w:proofErr w:type="spellEnd"/>
      <w:r w:rsidRPr="009E0754">
        <w:t xml:space="preserve"> </w:t>
      </w:r>
      <w:proofErr w:type="spellStart"/>
      <w:r w:rsidRPr="009E0754">
        <w:t>emotions</w:t>
      </w:r>
      <w:proofErr w:type="spellEnd"/>
      <w:r w:rsidRPr="009E0754">
        <w:t xml:space="preserve"> </w:t>
      </w:r>
      <w:proofErr w:type="spellStart"/>
      <w:r w:rsidRPr="009E0754">
        <w:t>to</w:t>
      </w:r>
      <w:proofErr w:type="spellEnd"/>
      <w:r w:rsidRPr="009E0754">
        <w:t xml:space="preserve"> </w:t>
      </w:r>
      <w:proofErr w:type="spellStart"/>
      <w:r w:rsidRPr="009E0754">
        <w:t>articulate</w:t>
      </w:r>
      <w:proofErr w:type="spellEnd"/>
      <w:r w:rsidRPr="009E0754">
        <w:t xml:space="preserve"> </w:t>
      </w:r>
      <w:proofErr w:type="spellStart"/>
      <w:r w:rsidRPr="009E0754">
        <w:t>broader</w:t>
      </w:r>
      <w:proofErr w:type="spellEnd"/>
      <w:r w:rsidRPr="009E0754">
        <w:t xml:space="preserve"> </w:t>
      </w:r>
      <w:proofErr w:type="spellStart"/>
      <w:r w:rsidRPr="009E0754">
        <w:t>social</w:t>
      </w:r>
      <w:proofErr w:type="spellEnd"/>
      <w:r w:rsidRPr="009E0754">
        <w:t xml:space="preserve"> </w:t>
      </w:r>
      <w:proofErr w:type="spellStart"/>
      <w:r w:rsidRPr="009E0754">
        <w:t>concerns</w:t>
      </w:r>
      <w:proofErr w:type="spellEnd"/>
      <w:r w:rsidRPr="009E0754">
        <w:t xml:space="preserve">, </w:t>
      </w:r>
      <w:proofErr w:type="spellStart"/>
      <w:r w:rsidRPr="009E0754">
        <w:t>thereby</w:t>
      </w:r>
      <w:proofErr w:type="spellEnd"/>
      <w:r w:rsidRPr="009E0754">
        <w:t xml:space="preserve"> </w:t>
      </w:r>
      <w:proofErr w:type="spellStart"/>
      <w:r w:rsidRPr="009E0754">
        <w:t>contributing</w:t>
      </w:r>
      <w:proofErr w:type="spellEnd"/>
      <w:r w:rsidRPr="009E0754">
        <w:t xml:space="preserve"> </w:t>
      </w:r>
      <w:proofErr w:type="spellStart"/>
      <w:r w:rsidRPr="009E0754">
        <w:t>to</w:t>
      </w:r>
      <w:proofErr w:type="spellEnd"/>
      <w:r w:rsidRPr="009E0754">
        <w:t xml:space="preserve"> </w:t>
      </w:r>
      <w:proofErr w:type="spellStart"/>
      <w:r w:rsidRPr="009E0754">
        <w:t>the</w:t>
      </w:r>
      <w:proofErr w:type="spellEnd"/>
      <w:r w:rsidRPr="009E0754">
        <w:t xml:space="preserve"> </w:t>
      </w:r>
      <w:proofErr w:type="spellStart"/>
      <w:r w:rsidRPr="009E0754">
        <w:t>emerging</w:t>
      </w:r>
      <w:proofErr w:type="spellEnd"/>
      <w:r w:rsidRPr="009E0754">
        <w:t xml:space="preserve"> moral </w:t>
      </w:r>
      <w:proofErr w:type="spellStart"/>
      <w:r w:rsidRPr="009E0754">
        <w:t>philosophy</w:t>
      </w:r>
      <w:proofErr w:type="spellEnd"/>
      <w:r w:rsidRPr="009E0754">
        <w:t xml:space="preserve"> of </w:t>
      </w:r>
      <w:proofErr w:type="spellStart"/>
      <w:r w:rsidRPr="009E0754">
        <w:t>their</w:t>
      </w:r>
      <w:proofErr w:type="spellEnd"/>
      <w:r w:rsidRPr="009E0754">
        <w:t xml:space="preserve"> time. </w:t>
      </w:r>
      <w:proofErr w:type="spellStart"/>
      <w:r w:rsidRPr="009E0754">
        <w:t>This</w:t>
      </w:r>
      <w:proofErr w:type="spellEnd"/>
      <w:r w:rsidRPr="009E0754">
        <w:t xml:space="preserve"> </w:t>
      </w:r>
      <w:proofErr w:type="spellStart"/>
      <w:r w:rsidRPr="009E0754">
        <w:t>analysis</w:t>
      </w:r>
      <w:proofErr w:type="spellEnd"/>
      <w:r w:rsidRPr="009E0754">
        <w:t xml:space="preserve"> </w:t>
      </w:r>
      <w:proofErr w:type="spellStart"/>
      <w:r w:rsidRPr="009E0754">
        <w:t>further</w:t>
      </w:r>
      <w:proofErr w:type="spellEnd"/>
      <w:r w:rsidRPr="009E0754">
        <w:t xml:space="preserve"> </w:t>
      </w:r>
      <w:proofErr w:type="spellStart"/>
      <w:r w:rsidRPr="009E0754">
        <w:t>emphasizes</w:t>
      </w:r>
      <w:proofErr w:type="spellEnd"/>
      <w:r w:rsidRPr="009E0754">
        <w:t xml:space="preserve"> how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reflect</w:t>
      </w:r>
      <w:proofErr w:type="spellEnd"/>
      <w:r w:rsidRPr="009E0754">
        <w:t xml:space="preserve"> </w:t>
      </w:r>
      <w:proofErr w:type="spellStart"/>
      <w:r w:rsidRPr="009E0754">
        <w:t>contemporary</w:t>
      </w:r>
      <w:proofErr w:type="spellEnd"/>
      <w:r w:rsidRPr="009E0754">
        <w:t xml:space="preserve"> </w:t>
      </w:r>
      <w:proofErr w:type="spellStart"/>
      <w:r w:rsidRPr="009E0754">
        <w:t>debates</w:t>
      </w:r>
      <w:proofErr w:type="spellEnd"/>
      <w:r w:rsidRPr="009E0754">
        <w:t xml:space="preserve"> on </w:t>
      </w:r>
      <w:proofErr w:type="spellStart"/>
      <w:r w:rsidRPr="009E0754">
        <w:t>morality</w:t>
      </w:r>
      <w:proofErr w:type="spellEnd"/>
      <w:r w:rsidRPr="009E0754">
        <w:t xml:space="preserve">, </w:t>
      </w:r>
      <w:proofErr w:type="spellStart"/>
      <w:r w:rsidRPr="009E0754">
        <w:t>empathy</w:t>
      </w:r>
      <w:proofErr w:type="spellEnd"/>
      <w:r w:rsidRPr="009E0754">
        <w:t xml:space="preserve">, </w:t>
      </w:r>
      <w:proofErr w:type="spellStart"/>
      <w:r w:rsidRPr="009E0754">
        <w:t>and</w:t>
      </w:r>
      <w:proofErr w:type="spellEnd"/>
      <w:r w:rsidRPr="009E0754">
        <w:t xml:space="preserve"> </w:t>
      </w:r>
      <w:proofErr w:type="spellStart"/>
      <w:r w:rsidRPr="009E0754">
        <w:t>human</w:t>
      </w:r>
      <w:proofErr w:type="spellEnd"/>
      <w:r w:rsidRPr="009E0754">
        <w:t xml:space="preserve"> </w:t>
      </w:r>
      <w:proofErr w:type="spellStart"/>
      <w:r w:rsidRPr="009E0754">
        <w:t>suffering</w:t>
      </w:r>
      <w:proofErr w:type="spellEnd"/>
      <w:r w:rsidRPr="009E0754">
        <w:t xml:space="preserve">, </w:t>
      </w:r>
      <w:proofErr w:type="spellStart"/>
      <w:r w:rsidRPr="009E0754">
        <w:t>while</w:t>
      </w:r>
      <w:proofErr w:type="spellEnd"/>
      <w:r w:rsidRPr="009E0754">
        <w:t xml:space="preserve"> </w:t>
      </w:r>
      <w:proofErr w:type="spellStart"/>
      <w:r w:rsidRPr="009E0754">
        <w:t>offering</w:t>
      </w:r>
      <w:proofErr w:type="spellEnd"/>
      <w:r w:rsidRPr="009E0754">
        <w:t xml:space="preserve"> </w:t>
      </w:r>
      <w:proofErr w:type="spellStart"/>
      <w:r w:rsidRPr="009E0754">
        <w:t>timeless</w:t>
      </w:r>
      <w:proofErr w:type="spellEnd"/>
      <w:r w:rsidRPr="009E0754">
        <w:t xml:space="preserve"> </w:t>
      </w:r>
      <w:proofErr w:type="spellStart"/>
      <w:r w:rsidRPr="009E0754">
        <w:t>lessons</w:t>
      </w:r>
      <w:proofErr w:type="spellEnd"/>
      <w:r w:rsidRPr="009E0754">
        <w:t xml:space="preserve"> on </w:t>
      </w:r>
      <w:proofErr w:type="spellStart"/>
      <w:r w:rsidRPr="009E0754">
        <w:t>resilience</w:t>
      </w:r>
      <w:proofErr w:type="spellEnd"/>
      <w:r w:rsidRPr="009E0754">
        <w:t xml:space="preserve"> </w:t>
      </w:r>
      <w:proofErr w:type="spellStart"/>
      <w:r w:rsidRPr="009E0754">
        <w:t>and</w:t>
      </w:r>
      <w:proofErr w:type="spellEnd"/>
      <w:r w:rsidRPr="009E0754">
        <w:t xml:space="preserve"> </w:t>
      </w:r>
      <w:proofErr w:type="spellStart"/>
      <w:r w:rsidRPr="009E0754">
        <w:t>virtue</w:t>
      </w:r>
      <w:proofErr w:type="spellEnd"/>
      <w:r w:rsidRPr="009E0754">
        <w:t xml:space="preserve">. </w:t>
      </w:r>
      <w:proofErr w:type="spellStart"/>
      <w:r w:rsidRPr="009E0754">
        <w:t>Ultimately</w:t>
      </w:r>
      <w:proofErr w:type="spellEnd"/>
      <w:r w:rsidRPr="009E0754">
        <w:t xml:space="preserve">, </w:t>
      </w:r>
      <w:proofErr w:type="spellStart"/>
      <w:r w:rsidRPr="009E0754">
        <w:t>the</w:t>
      </w:r>
      <w:proofErr w:type="spellEnd"/>
      <w:r w:rsidRPr="009E0754">
        <w:t xml:space="preserve"> </w:t>
      </w:r>
      <w:proofErr w:type="spellStart"/>
      <w:r w:rsidRPr="009E0754">
        <w:t>study</w:t>
      </w:r>
      <w:proofErr w:type="spellEnd"/>
      <w:r w:rsidRPr="009E0754">
        <w:t xml:space="preserve"> </w:t>
      </w:r>
      <w:proofErr w:type="spellStart"/>
      <w:r w:rsidRPr="009E0754">
        <w:t>positions</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as </w:t>
      </w:r>
      <w:proofErr w:type="spellStart"/>
      <w:r w:rsidRPr="009E0754">
        <w:t>key</w:t>
      </w:r>
      <w:proofErr w:type="spellEnd"/>
      <w:r w:rsidRPr="009E0754">
        <w:t xml:space="preserve"> </w:t>
      </w:r>
      <w:proofErr w:type="spellStart"/>
      <w:r w:rsidRPr="009E0754">
        <w:t>figures</w:t>
      </w:r>
      <w:proofErr w:type="spellEnd"/>
      <w:r w:rsidRPr="009E0754">
        <w:t xml:space="preserve"> in </w:t>
      </w:r>
      <w:proofErr w:type="spellStart"/>
      <w:r w:rsidRPr="009E0754">
        <w:t>sentimentalist</w:t>
      </w:r>
      <w:proofErr w:type="spellEnd"/>
      <w:r w:rsidRPr="009E0754">
        <w:t xml:space="preserve"> </w:t>
      </w:r>
      <w:proofErr w:type="spellStart"/>
      <w:r w:rsidRPr="009E0754">
        <w:t>literature</w:t>
      </w:r>
      <w:proofErr w:type="spellEnd"/>
      <w:r w:rsidRPr="009E0754">
        <w:t xml:space="preserve"> </w:t>
      </w:r>
      <w:proofErr w:type="spellStart"/>
      <w:r w:rsidRPr="009E0754">
        <w:t>whose</w:t>
      </w:r>
      <w:proofErr w:type="spellEnd"/>
      <w:r w:rsidRPr="009E0754">
        <w:t xml:space="preserve"> </w:t>
      </w:r>
      <w:proofErr w:type="spellStart"/>
      <w:r w:rsidRPr="009E0754">
        <w:t>narratives</w:t>
      </w:r>
      <w:proofErr w:type="spellEnd"/>
      <w:r w:rsidRPr="009E0754">
        <w:t xml:space="preserve"> </w:t>
      </w:r>
      <w:proofErr w:type="spellStart"/>
      <w:r w:rsidRPr="009E0754">
        <w:t>remain</w:t>
      </w:r>
      <w:proofErr w:type="spellEnd"/>
      <w:r w:rsidRPr="009E0754">
        <w:t xml:space="preserve"> </w:t>
      </w:r>
      <w:proofErr w:type="spellStart"/>
      <w:r w:rsidRPr="009E0754">
        <w:t>relevant</w:t>
      </w:r>
      <w:proofErr w:type="spellEnd"/>
      <w:r w:rsidRPr="009E0754">
        <w:t xml:space="preserve"> </w:t>
      </w:r>
      <w:proofErr w:type="spellStart"/>
      <w:r w:rsidRPr="009E0754">
        <w:t>to</w:t>
      </w:r>
      <w:proofErr w:type="spellEnd"/>
      <w:r w:rsidRPr="009E0754">
        <w:t xml:space="preserve"> modern </w:t>
      </w:r>
      <w:proofErr w:type="spellStart"/>
      <w:r w:rsidRPr="009E0754">
        <w:t>discourses</w:t>
      </w:r>
      <w:proofErr w:type="spellEnd"/>
      <w:r w:rsidRPr="009E0754">
        <w:t xml:space="preserve"> on </w:t>
      </w:r>
      <w:proofErr w:type="spellStart"/>
      <w:r w:rsidRPr="009E0754">
        <w:t>ethics</w:t>
      </w:r>
      <w:proofErr w:type="spellEnd"/>
      <w:r w:rsidRPr="009E0754">
        <w:t xml:space="preserve"> </w:t>
      </w:r>
      <w:proofErr w:type="spellStart"/>
      <w:r w:rsidRPr="009E0754">
        <w:t>and</w:t>
      </w:r>
      <w:proofErr w:type="spellEnd"/>
      <w:r w:rsidRPr="009E0754">
        <w:t xml:space="preserve"> </w:t>
      </w:r>
      <w:proofErr w:type="spellStart"/>
      <w:r w:rsidRPr="009E0754">
        <w:t>emotional</w:t>
      </w:r>
      <w:proofErr w:type="spellEnd"/>
      <w:r w:rsidRPr="009E0754">
        <w:t xml:space="preserve"> </w:t>
      </w:r>
      <w:proofErr w:type="spellStart"/>
      <w:r w:rsidRPr="009E0754">
        <w:t>expression</w:t>
      </w:r>
      <w:proofErr w:type="spellEnd"/>
      <w:r w:rsidRPr="009E0754">
        <w:t>.</w:t>
      </w:r>
    </w:p>
    <w:p w14:paraId="6E104CFE" w14:textId="77777777" w:rsidR="00BA67A6" w:rsidRDefault="00BA67A6" w:rsidP="00BA67A6">
      <w:pPr>
        <w:jc w:val="both"/>
      </w:pPr>
    </w:p>
    <w:p w14:paraId="72012394" w14:textId="3FB80EF5" w:rsidR="00DA3117" w:rsidRDefault="00DA3117" w:rsidP="00BA67A6">
      <w:pPr>
        <w:jc w:val="both"/>
      </w:pPr>
      <w:proofErr w:type="spellStart"/>
      <w:r w:rsidRPr="009E0754">
        <w:rPr>
          <w:b/>
          <w:bCs/>
        </w:rPr>
        <w:t>Keywords</w:t>
      </w:r>
      <w:proofErr w:type="spellEnd"/>
      <w:r w:rsidRPr="009E0754">
        <w:rPr>
          <w:b/>
          <w:bCs/>
        </w:rPr>
        <w:t>:</w:t>
      </w:r>
      <w:r w:rsidRPr="009E0754">
        <w:t xml:space="preserve"> </w:t>
      </w:r>
      <w:proofErr w:type="spellStart"/>
      <w:r w:rsidRPr="009E0754">
        <w:t>Sentimentalist</w:t>
      </w:r>
      <w:proofErr w:type="spellEnd"/>
      <w:r w:rsidRPr="009E0754">
        <w:t xml:space="preserve"> </w:t>
      </w:r>
      <w:proofErr w:type="spellStart"/>
      <w:r w:rsidRPr="009E0754">
        <w:t>prose</w:t>
      </w:r>
      <w:proofErr w:type="spellEnd"/>
      <w:r w:rsidRPr="009E0754">
        <w:t xml:space="preserve">, </w:t>
      </w:r>
      <w:proofErr w:type="spellStart"/>
      <w:r w:rsidRPr="009E0754">
        <w:t>socio</w:t>
      </w:r>
      <w:proofErr w:type="spellEnd"/>
      <w:r w:rsidRPr="009E0754">
        <w:t xml:space="preserve">-moral </w:t>
      </w:r>
      <w:proofErr w:type="spellStart"/>
      <w:r w:rsidRPr="009E0754">
        <w:t>challenges</w:t>
      </w:r>
      <w:proofErr w:type="spellEnd"/>
      <w:r w:rsidRPr="009E0754">
        <w:t xml:space="preserve">, Oliver </w:t>
      </w:r>
      <w:proofErr w:type="spellStart"/>
      <w:r w:rsidRPr="009E0754">
        <w:t>Goldsmith</w:t>
      </w:r>
      <w:proofErr w:type="spellEnd"/>
      <w:r w:rsidRPr="009E0754">
        <w:t xml:space="preserve">, Henry </w:t>
      </w:r>
      <w:proofErr w:type="spellStart"/>
      <w:r w:rsidRPr="009E0754">
        <w:t>Mackenzie</w:t>
      </w:r>
      <w:proofErr w:type="spellEnd"/>
      <w:r w:rsidRPr="009E0754">
        <w:t xml:space="preserve">, </w:t>
      </w:r>
      <w:proofErr w:type="spellStart"/>
      <w:r w:rsidRPr="009E0754">
        <w:t>ethical</w:t>
      </w:r>
      <w:proofErr w:type="spellEnd"/>
      <w:r w:rsidRPr="009E0754">
        <w:t xml:space="preserve"> </w:t>
      </w:r>
      <w:proofErr w:type="spellStart"/>
      <w:r w:rsidRPr="009E0754">
        <w:t>dilemmas</w:t>
      </w:r>
      <w:proofErr w:type="spellEnd"/>
    </w:p>
    <w:p w14:paraId="5236003E" w14:textId="77777777" w:rsidR="00BA67A6" w:rsidRPr="009E0754" w:rsidRDefault="00BA67A6" w:rsidP="00BA67A6">
      <w:pPr>
        <w:jc w:val="both"/>
      </w:pPr>
    </w:p>
    <w:bookmarkEnd w:id="158"/>
    <w:p w14:paraId="30BEDB14" w14:textId="35012ABA" w:rsidR="00DA3117" w:rsidRPr="009E0754" w:rsidRDefault="00BA67A6" w:rsidP="00BA67A6">
      <w:pPr>
        <w:jc w:val="both"/>
        <w:rPr>
          <w:b/>
          <w:bCs/>
        </w:rPr>
      </w:pPr>
      <w:proofErr w:type="spellStart"/>
      <w:r>
        <w:rPr>
          <w:b/>
          <w:bCs/>
        </w:rPr>
        <w:t>I</w:t>
      </w:r>
      <w:r w:rsidR="00DA3117" w:rsidRPr="009E0754">
        <w:rPr>
          <w:b/>
          <w:bCs/>
        </w:rPr>
        <w:t>ntroduction</w:t>
      </w:r>
      <w:proofErr w:type="spellEnd"/>
    </w:p>
    <w:p w14:paraId="24E760EA" w14:textId="77777777" w:rsidR="00DA3117" w:rsidRDefault="00DA3117" w:rsidP="00BA67A6">
      <w:pPr>
        <w:jc w:val="both"/>
      </w:pPr>
      <w:proofErr w:type="spellStart"/>
      <w:r w:rsidRPr="009E0754">
        <w:t>During</w:t>
      </w:r>
      <w:proofErr w:type="spellEnd"/>
      <w:r w:rsidRPr="009E0754">
        <w:t xml:space="preserve"> </w:t>
      </w:r>
      <w:proofErr w:type="spellStart"/>
      <w:r w:rsidRPr="009E0754">
        <w:t>the</w:t>
      </w:r>
      <w:proofErr w:type="spellEnd"/>
      <w:r w:rsidRPr="009E0754">
        <w:t xml:space="preserve"> 18th </w:t>
      </w:r>
      <w:proofErr w:type="spellStart"/>
      <w:r w:rsidRPr="009E0754">
        <w:t>century</w:t>
      </w:r>
      <w:proofErr w:type="spellEnd"/>
      <w:r w:rsidRPr="009E0754">
        <w:t xml:space="preserve">, </w:t>
      </w:r>
      <w:proofErr w:type="spellStart"/>
      <w:r w:rsidRPr="009E0754">
        <w:t>sentimentalism</w:t>
      </w:r>
      <w:proofErr w:type="spellEnd"/>
      <w:r w:rsidRPr="009E0754">
        <w:t xml:space="preserve"> </w:t>
      </w:r>
      <w:proofErr w:type="spellStart"/>
      <w:r w:rsidRPr="009E0754">
        <w:t>emerged</w:t>
      </w:r>
      <w:proofErr w:type="spellEnd"/>
      <w:r w:rsidRPr="009E0754">
        <w:t xml:space="preserve"> as a </w:t>
      </w:r>
      <w:proofErr w:type="spellStart"/>
      <w:r w:rsidRPr="009E0754">
        <w:t>significant</w:t>
      </w:r>
      <w:proofErr w:type="spellEnd"/>
      <w:r w:rsidRPr="009E0754">
        <w:t xml:space="preserve"> </w:t>
      </w:r>
      <w:proofErr w:type="spellStart"/>
      <w:r w:rsidRPr="009E0754">
        <w:t>literary</w:t>
      </w:r>
      <w:proofErr w:type="spellEnd"/>
      <w:r w:rsidRPr="009E0754">
        <w:t xml:space="preserve"> </w:t>
      </w:r>
      <w:proofErr w:type="spellStart"/>
      <w:r w:rsidRPr="009E0754">
        <w:t>movement</w:t>
      </w:r>
      <w:proofErr w:type="spellEnd"/>
      <w:r w:rsidRPr="009E0754">
        <w:t xml:space="preserve">, </w:t>
      </w:r>
      <w:proofErr w:type="spellStart"/>
      <w:r w:rsidRPr="009E0754">
        <w:t>characterized</w:t>
      </w:r>
      <w:proofErr w:type="spellEnd"/>
      <w:r w:rsidRPr="009E0754">
        <w:t xml:space="preserve"> </w:t>
      </w:r>
      <w:proofErr w:type="spellStart"/>
      <w:r w:rsidRPr="009E0754">
        <w:t>by</w:t>
      </w:r>
      <w:proofErr w:type="spellEnd"/>
      <w:r w:rsidRPr="009E0754">
        <w:t xml:space="preserve"> </w:t>
      </w:r>
      <w:proofErr w:type="spellStart"/>
      <w:r w:rsidRPr="009E0754">
        <w:t>its</w:t>
      </w:r>
      <w:proofErr w:type="spellEnd"/>
      <w:r w:rsidRPr="009E0754">
        <w:t xml:space="preserve"> </w:t>
      </w:r>
      <w:proofErr w:type="spellStart"/>
      <w:r w:rsidRPr="009E0754">
        <w:t>focus</w:t>
      </w:r>
      <w:proofErr w:type="spellEnd"/>
      <w:r w:rsidRPr="009E0754">
        <w:t xml:space="preserve"> on </w:t>
      </w:r>
      <w:proofErr w:type="spellStart"/>
      <w:r w:rsidRPr="009E0754">
        <w:t>emotional</w:t>
      </w:r>
      <w:proofErr w:type="spellEnd"/>
      <w:r w:rsidRPr="009E0754">
        <w:t xml:space="preserve"> </w:t>
      </w:r>
      <w:proofErr w:type="spellStart"/>
      <w:r w:rsidRPr="009E0754">
        <w:t>expression</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exploration</w:t>
      </w:r>
      <w:proofErr w:type="spellEnd"/>
      <w:r w:rsidRPr="009E0754">
        <w:t xml:space="preserve"> of moral </w:t>
      </w:r>
      <w:proofErr w:type="spellStart"/>
      <w:r w:rsidRPr="009E0754">
        <w:t>principles</w:t>
      </w:r>
      <w:proofErr w:type="spellEnd"/>
      <w:r w:rsidRPr="009E0754">
        <w:t xml:space="preserve">. </w:t>
      </w:r>
      <w:proofErr w:type="spellStart"/>
      <w:r w:rsidRPr="009E0754">
        <w:t>This</w:t>
      </w:r>
      <w:proofErr w:type="spellEnd"/>
      <w:r w:rsidRPr="009E0754">
        <w:t xml:space="preserve"> </w:t>
      </w:r>
      <w:proofErr w:type="spellStart"/>
      <w:r w:rsidRPr="009E0754">
        <w:t>movement</w:t>
      </w:r>
      <w:proofErr w:type="spellEnd"/>
      <w:r w:rsidRPr="009E0754">
        <w:t xml:space="preserve"> </w:t>
      </w:r>
      <w:proofErr w:type="spellStart"/>
      <w:r w:rsidRPr="009E0754">
        <w:t>placed</w:t>
      </w:r>
      <w:proofErr w:type="spellEnd"/>
      <w:r w:rsidRPr="009E0754">
        <w:t xml:space="preserve"> </w:t>
      </w:r>
      <w:proofErr w:type="spellStart"/>
      <w:r w:rsidRPr="009E0754">
        <w:t>great</w:t>
      </w:r>
      <w:proofErr w:type="spellEnd"/>
      <w:r w:rsidRPr="009E0754">
        <w:t xml:space="preserve"> </w:t>
      </w:r>
      <w:proofErr w:type="spellStart"/>
      <w:r w:rsidRPr="009E0754">
        <w:t>emphasis</w:t>
      </w:r>
      <w:proofErr w:type="spellEnd"/>
      <w:r w:rsidRPr="009E0754">
        <w:t xml:space="preserve"> on </w:t>
      </w:r>
      <w:proofErr w:type="spellStart"/>
      <w:r w:rsidRPr="009E0754">
        <w:t>human</w:t>
      </w:r>
      <w:proofErr w:type="spellEnd"/>
      <w:r w:rsidRPr="009E0754">
        <w:t xml:space="preserve"> </w:t>
      </w:r>
      <w:proofErr w:type="spellStart"/>
      <w:r w:rsidRPr="009E0754">
        <w:t>sensitivity</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power</w:t>
      </w:r>
      <w:proofErr w:type="spellEnd"/>
      <w:r w:rsidRPr="009E0754">
        <w:t xml:space="preserve"> of </w:t>
      </w:r>
      <w:proofErr w:type="spellStart"/>
      <w:r w:rsidRPr="009E0754">
        <w:t>compassion</w:t>
      </w:r>
      <w:proofErr w:type="spellEnd"/>
      <w:r w:rsidRPr="009E0754">
        <w:t xml:space="preserve"> in </w:t>
      </w:r>
      <w:proofErr w:type="spellStart"/>
      <w:r w:rsidRPr="009E0754">
        <w:t>understanding</w:t>
      </w:r>
      <w:proofErr w:type="spellEnd"/>
      <w:r w:rsidRPr="009E0754">
        <w:t xml:space="preserve"> </w:t>
      </w:r>
      <w:proofErr w:type="spellStart"/>
      <w:r w:rsidRPr="009E0754">
        <w:t>life’s</w:t>
      </w:r>
      <w:proofErr w:type="spellEnd"/>
      <w:r w:rsidRPr="009E0754">
        <w:t xml:space="preserve"> </w:t>
      </w:r>
      <w:proofErr w:type="spellStart"/>
      <w:r w:rsidRPr="009E0754">
        <w:t>complexities</w:t>
      </w:r>
      <w:proofErr w:type="spellEnd"/>
      <w:r w:rsidRPr="009E0754">
        <w:t xml:space="preserve">. </w:t>
      </w:r>
      <w:proofErr w:type="spellStart"/>
      <w:r w:rsidRPr="009E0754">
        <w:t>Among</w:t>
      </w:r>
      <w:proofErr w:type="spellEnd"/>
      <w:r w:rsidRPr="009E0754">
        <w:t xml:space="preserve"> </w:t>
      </w:r>
      <w:proofErr w:type="spellStart"/>
      <w:r w:rsidRPr="009E0754">
        <w:t>the</w:t>
      </w:r>
      <w:proofErr w:type="spellEnd"/>
      <w:r w:rsidRPr="009E0754">
        <w:t xml:space="preserve"> </w:t>
      </w:r>
      <w:proofErr w:type="spellStart"/>
      <w:r w:rsidRPr="009E0754">
        <w:t>writers</w:t>
      </w:r>
      <w:proofErr w:type="spellEnd"/>
      <w:r w:rsidRPr="009E0754">
        <w:t xml:space="preserve"> </w:t>
      </w:r>
      <w:proofErr w:type="spellStart"/>
      <w:r w:rsidRPr="009E0754">
        <w:t>who</w:t>
      </w:r>
      <w:proofErr w:type="spellEnd"/>
      <w:r w:rsidRPr="009E0754">
        <w:t xml:space="preserve"> </w:t>
      </w:r>
      <w:proofErr w:type="spellStart"/>
      <w:r w:rsidRPr="009E0754">
        <w:t>played</w:t>
      </w:r>
      <w:proofErr w:type="spellEnd"/>
      <w:r w:rsidRPr="009E0754">
        <w:t xml:space="preserve"> a pivotal role in </w:t>
      </w:r>
      <w:proofErr w:type="spellStart"/>
      <w:r w:rsidRPr="009E0754">
        <w:t>shaping</w:t>
      </w:r>
      <w:proofErr w:type="spellEnd"/>
      <w:r w:rsidRPr="009E0754">
        <w:t xml:space="preserve"> </w:t>
      </w:r>
      <w:proofErr w:type="spellStart"/>
      <w:r w:rsidRPr="009E0754">
        <w:t>this</w:t>
      </w:r>
      <w:proofErr w:type="spellEnd"/>
      <w:r w:rsidRPr="009E0754">
        <w:t xml:space="preserve"> </w:t>
      </w:r>
      <w:proofErr w:type="spellStart"/>
      <w:r w:rsidRPr="009E0754">
        <w:t>literary</w:t>
      </w:r>
      <w:proofErr w:type="spellEnd"/>
      <w:r w:rsidRPr="009E0754">
        <w:t xml:space="preserve"> </w:t>
      </w:r>
      <w:proofErr w:type="spellStart"/>
      <w:r w:rsidRPr="009E0754">
        <w:t>tradition</w:t>
      </w:r>
      <w:proofErr w:type="spellEnd"/>
      <w:r w:rsidRPr="009E0754">
        <w:t xml:space="preserve">, Oliver </w:t>
      </w:r>
      <w:proofErr w:type="spellStart"/>
      <w:r w:rsidRPr="009E0754">
        <w:t>Goldsmith</w:t>
      </w:r>
      <w:proofErr w:type="spellEnd"/>
      <w:r w:rsidRPr="009E0754">
        <w:t xml:space="preserve"> </w:t>
      </w:r>
      <w:proofErr w:type="spellStart"/>
      <w:r w:rsidRPr="009E0754">
        <w:t>and</w:t>
      </w:r>
      <w:proofErr w:type="spellEnd"/>
      <w:r w:rsidRPr="009E0754">
        <w:t xml:space="preserve"> Henry </w:t>
      </w:r>
      <w:proofErr w:type="spellStart"/>
      <w:r w:rsidRPr="009E0754">
        <w:t>Mackenzie</w:t>
      </w:r>
      <w:proofErr w:type="spellEnd"/>
      <w:r w:rsidRPr="009E0754">
        <w:t xml:space="preserve"> </w:t>
      </w:r>
      <w:proofErr w:type="spellStart"/>
      <w:r w:rsidRPr="009E0754">
        <w:t>stand</w:t>
      </w:r>
      <w:proofErr w:type="spellEnd"/>
      <w:r w:rsidRPr="009E0754">
        <w:t xml:space="preserve"> </w:t>
      </w:r>
      <w:proofErr w:type="spellStart"/>
      <w:r w:rsidRPr="009E0754">
        <w:t>out</w:t>
      </w:r>
      <w:proofErr w:type="spellEnd"/>
      <w:r w:rsidRPr="009E0754">
        <w:t xml:space="preserve"> </w:t>
      </w:r>
      <w:proofErr w:type="spellStart"/>
      <w:r w:rsidRPr="009E0754">
        <w:t>for</w:t>
      </w:r>
      <w:proofErr w:type="spellEnd"/>
      <w:r w:rsidRPr="009E0754">
        <w:t xml:space="preserve"> </w:t>
      </w:r>
      <w:proofErr w:type="spellStart"/>
      <w:r w:rsidRPr="009E0754">
        <w:t>their</w:t>
      </w:r>
      <w:proofErr w:type="spellEnd"/>
      <w:r w:rsidRPr="009E0754">
        <w:t xml:space="preserve"> </w:t>
      </w:r>
      <w:proofErr w:type="spellStart"/>
      <w:r w:rsidRPr="009E0754">
        <w:t>profound</w:t>
      </w:r>
      <w:proofErr w:type="spellEnd"/>
      <w:r w:rsidRPr="009E0754">
        <w:t xml:space="preserve"> </w:t>
      </w:r>
      <w:proofErr w:type="spellStart"/>
      <w:r w:rsidRPr="009E0754">
        <w:t>examination</w:t>
      </w:r>
      <w:proofErr w:type="spellEnd"/>
      <w:r w:rsidRPr="009E0754">
        <w:t xml:space="preserve"> of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Their</w:t>
      </w:r>
      <w:proofErr w:type="spellEnd"/>
      <w:r w:rsidRPr="009E0754">
        <w:t xml:space="preserve"> </w:t>
      </w:r>
      <w:proofErr w:type="spellStart"/>
      <w:r w:rsidRPr="009E0754">
        <w:t>narratives</w:t>
      </w:r>
      <w:proofErr w:type="spellEnd"/>
      <w:r w:rsidRPr="009E0754">
        <w:t xml:space="preserve"> </w:t>
      </w:r>
      <w:proofErr w:type="spellStart"/>
      <w:r w:rsidRPr="009E0754">
        <w:t>delve</w:t>
      </w:r>
      <w:proofErr w:type="spellEnd"/>
      <w:r w:rsidRPr="009E0754">
        <w:t xml:space="preserve"> </w:t>
      </w:r>
      <w:proofErr w:type="spellStart"/>
      <w:r w:rsidRPr="009E0754">
        <w:t>deeply</w:t>
      </w:r>
      <w:proofErr w:type="spellEnd"/>
      <w:r w:rsidRPr="009E0754">
        <w:t xml:space="preserve"> </w:t>
      </w:r>
      <w:proofErr w:type="spellStart"/>
      <w:r w:rsidRPr="009E0754">
        <w:t>into</w:t>
      </w:r>
      <w:proofErr w:type="spellEnd"/>
      <w:r w:rsidRPr="009E0754">
        <w:t xml:space="preserve"> </w:t>
      </w:r>
      <w:proofErr w:type="spellStart"/>
      <w:r w:rsidRPr="009E0754">
        <w:t>the</w:t>
      </w:r>
      <w:proofErr w:type="spellEnd"/>
      <w:r w:rsidRPr="009E0754">
        <w:t xml:space="preserve"> </w:t>
      </w:r>
      <w:proofErr w:type="spellStart"/>
      <w:r w:rsidRPr="009E0754">
        <w:t>intricacies</w:t>
      </w:r>
      <w:proofErr w:type="spellEnd"/>
      <w:r w:rsidRPr="009E0754">
        <w:t xml:space="preserve"> of </w:t>
      </w:r>
      <w:proofErr w:type="spellStart"/>
      <w:r w:rsidRPr="009E0754">
        <w:t>human</w:t>
      </w:r>
      <w:proofErr w:type="spellEnd"/>
      <w:r w:rsidRPr="009E0754">
        <w:t xml:space="preserve"> </w:t>
      </w:r>
      <w:proofErr w:type="spellStart"/>
      <w:r w:rsidRPr="009E0754">
        <w:t>behavior</w:t>
      </w:r>
      <w:proofErr w:type="spellEnd"/>
      <w:r w:rsidRPr="009E0754">
        <w:t xml:space="preserve">, </w:t>
      </w:r>
      <w:proofErr w:type="spellStart"/>
      <w:r w:rsidRPr="009E0754">
        <w:t>shedding</w:t>
      </w:r>
      <w:proofErr w:type="spellEnd"/>
      <w:r w:rsidRPr="009E0754">
        <w:t xml:space="preserve"> </w:t>
      </w:r>
      <w:proofErr w:type="spellStart"/>
      <w:r w:rsidRPr="009E0754">
        <w:t>light</w:t>
      </w:r>
      <w:proofErr w:type="spellEnd"/>
      <w:r w:rsidRPr="009E0754">
        <w:t xml:space="preserve"> on </w:t>
      </w:r>
      <w:proofErr w:type="spellStart"/>
      <w:r w:rsidRPr="009E0754">
        <w:t>ethical</w:t>
      </w:r>
      <w:proofErr w:type="spellEnd"/>
      <w:r w:rsidRPr="009E0754">
        <w:t xml:space="preserve"> </w:t>
      </w:r>
      <w:proofErr w:type="spellStart"/>
      <w:r w:rsidRPr="009E0754">
        <w:t>dilemmas</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turbulence</w:t>
      </w:r>
      <w:proofErr w:type="spellEnd"/>
      <w:r w:rsidRPr="009E0754">
        <w:t xml:space="preserve"> </w:t>
      </w:r>
      <w:proofErr w:type="spellStart"/>
      <w:r w:rsidRPr="009E0754">
        <w:t>that</w:t>
      </w:r>
      <w:proofErr w:type="spellEnd"/>
      <w:r w:rsidRPr="009E0754">
        <w:t xml:space="preserve"> </w:t>
      </w:r>
      <w:proofErr w:type="spellStart"/>
      <w:r w:rsidRPr="009E0754">
        <w:t>individuals</w:t>
      </w:r>
      <w:proofErr w:type="spellEnd"/>
      <w:r w:rsidRPr="009E0754">
        <w:t xml:space="preserve"> </w:t>
      </w:r>
      <w:proofErr w:type="spellStart"/>
      <w:r w:rsidRPr="009E0754">
        <w:t>often</w:t>
      </w:r>
      <w:proofErr w:type="spellEnd"/>
      <w:r w:rsidRPr="009E0754">
        <w:t xml:space="preserve"> </w:t>
      </w:r>
      <w:proofErr w:type="spellStart"/>
      <w:r w:rsidRPr="009E0754">
        <w:t>experience</w:t>
      </w:r>
      <w:proofErr w:type="spellEnd"/>
      <w:r w:rsidRPr="009E0754">
        <w:t xml:space="preserve"> in </w:t>
      </w:r>
      <w:proofErr w:type="spellStart"/>
      <w:r w:rsidRPr="009E0754">
        <w:t>society</w:t>
      </w:r>
      <w:proofErr w:type="spellEnd"/>
      <w:r w:rsidRPr="009E0754">
        <w:t xml:space="preserve">. </w:t>
      </w:r>
      <w:proofErr w:type="spellStart"/>
      <w:r w:rsidRPr="009E0754">
        <w:t>Goldsmith’s</w:t>
      </w:r>
      <w:proofErr w:type="spellEnd"/>
      <w:r w:rsidRPr="009E0754">
        <w:t xml:space="preserve">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presents</w:t>
      </w:r>
      <w:proofErr w:type="spellEnd"/>
      <w:r w:rsidRPr="009E0754">
        <w:t xml:space="preserve"> </w:t>
      </w:r>
      <w:proofErr w:type="spellStart"/>
      <w:r w:rsidRPr="009E0754">
        <w:t>the</w:t>
      </w:r>
      <w:proofErr w:type="spellEnd"/>
      <w:r w:rsidRPr="009E0754">
        <w:t xml:space="preserve"> life of Dr. </w:t>
      </w:r>
      <w:proofErr w:type="spellStart"/>
      <w:r w:rsidRPr="009E0754">
        <w:t>Primrose</w:t>
      </w:r>
      <w:proofErr w:type="spellEnd"/>
      <w:r w:rsidRPr="009E0754">
        <w:t xml:space="preserve">, a </w:t>
      </w:r>
      <w:proofErr w:type="spellStart"/>
      <w:r w:rsidRPr="009E0754">
        <w:t>humble</w:t>
      </w:r>
      <w:proofErr w:type="spellEnd"/>
      <w:r w:rsidRPr="009E0754">
        <w:t xml:space="preserve"> </w:t>
      </w:r>
      <w:proofErr w:type="spellStart"/>
      <w:r w:rsidRPr="009E0754">
        <w:t>and</w:t>
      </w:r>
      <w:proofErr w:type="spellEnd"/>
      <w:r w:rsidRPr="009E0754">
        <w:t xml:space="preserve"> </w:t>
      </w:r>
      <w:proofErr w:type="spellStart"/>
      <w:r w:rsidRPr="009E0754">
        <w:t>virtuous</w:t>
      </w:r>
      <w:proofErr w:type="spellEnd"/>
      <w:r w:rsidRPr="009E0754">
        <w:t xml:space="preserve"> </w:t>
      </w:r>
      <w:proofErr w:type="spellStart"/>
      <w:r w:rsidRPr="009E0754">
        <w:t>clergyman</w:t>
      </w:r>
      <w:proofErr w:type="spellEnd"/>
      <w:r w:rsidRPr="009E0754">
        <w:t xml:space="preserve"> </w:t>
      </w:r>
      <w:proofErr w:type="spellStart"/>
      <w:r w:rsidRPr="009E0754">
        <w:t>whose</w:t>
      </w:r>
      <w:proofErr w:type="spellEnd"/>
      <w:r w:rsidRPr="009E0754">
        <w:t xml:space="preserve"> </w:t>
      </w:r>
      <w:proofErr w:type="spellStart"/>
      <w:r w:rsidRPr="009E0754">
        <w:t>family</w:t>
      </w:r>
      <w:proofErr w:type="spellEnd"/>
      <w:r w:rsidRPr="009E0754">
        <w:t xml:space="preserve"> </w:t>
      </w:r>
      <w:proofErr w:type="spellStart"/>
      <w:r w:rsidRPr="009E0754">
        <w:t>faces</w:t>
      </w:r>
      <w:proofErr w:type="spellEnd"/>
      <w:r w:rsidRPr="009E0754">
        <w:t xml:space="preserve"> </w:t>
      </w:r>
      <w:proofErr w:type="spellStart"/>
      <w:r w:rsidRPr="009E0754">
        <w:t>numerous</w:t>
      </w:r>
      <w:proofErr w:type="spellEnd"/>
      <w:r w:rsidRPr="009E0754">
        <w:t xml:space="preserve"> </w:t>
      </w:r>
      <w:proofErr w:type="spellStart"/>
      <w:r w:rsidRPr="009E0754">
        <w:t>hardships</w:t>
      </w:r>
      <w:proofErr w:type="spellEnd"/>
      <w:r w:rsidRPr="009E0754">
        <w:t xml:space="preserve">. </w:t>
      </w:r>
      <w:proofErr w:type="spellStart"/>
      <w:r w:rsidRPr="009E0754">
        <w:t>The</w:t>
      </w:r>
      <w:proofErr w:type="spellEnd"/>
      <w:r w:rsidRPr="009E0754">
        <w:t xml:space="preserve"> </w:t>
      </w:r>
      <w:proofErr w:type="spellStart"/>
      <w:r w:rsidRPr="009E0754">
        <w:t>story</w:t>
      </w:r>
      <w:proofErr w:type="spellEnd"/>
      <w:r w:rsidRPr="009E0754">
        <w:t xml:space="preserve"> </w:t>
      </w:r>
      <w:proofErr w:type="spellStart"/>
      <w:r w:rsidRPr="009E0754">
        <w:t>portrays</w:t>
      </w:r>
      <w:proofErr w:type="spellEnd"/>
      <w:r w:rsidRPr="009E0754">
        <w:t xml:space="preserve"> </w:t>
      </w:r>
      <w:proofErr w:type="spellStart"/>
      <w:r w:rsidRPr="009E0754">
        <w:t>the</w:t>
      </w:r>
      <w:proofErr w:type="spellEnd"/>
      <w:r w:rsidRPr="009E0754">
        <w:t xml:space="preserve"> </w:t>
      </w:r>
      <w:proofErr w:type="spellStart"/>
      <w:r w:rsidRPr="009E0754">
        <w:t>constant</w:t>
      </w:r>
      <w:proofErr w:type="spellEnd"/>
      <w:r w:rsidRPr="009E0754">
        <w:t xml:space="preserve"> </w:t>
      </w:r>
      <w:proofErr w:type="spellStart"/>
      <w:r w:rsidRPr="009E0754">
        <w:t>tension</w:t>
      </w:r>
      <w:proofErr w:type="spellEnd"/>
      <w:r w:rsidRPr="009E0754">
        <w:t xml:space="preserve"> </w:t>
      </w:r>
      <w:proofErr w:type="spellStart"/>
      <w:r w:rsidRPr="009E0754">
        <w:t>between</w:t>
      </w:r>
      <w:proofErr w:type="spellEnd"/>
      <w:r w:rsidRPr="009E0754">
        <w:t xml:space="preserve"> moral </w:t>
      </w:r>
      <w:proofErr w:type="spellStart"/>
      <w:r w:rsidRPr="009E0754">
        <w:t>integrity</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harsh</w:t>
      </w:r>
      <w:proofErr w:type="spellEnd"/>
      <w:r w:rsidRPr="009E0754">
        <w:t xml:space="preserve"> </w:t>
      </w:r>
      <w:proofErr w:type="spellStart"/>
      <w:r w:rsidRPr="009E0754">
        <w:t>realities</w:t>
      </w:r>
      <w:proofErr w:type="spellEnd"/>
      <w:r w:rsidRPr="009E0754">
        <w:t xml:space="preserve"> of </w:t>
      </w:r>
      <w:proofErr w:type="spellStart"/>
      <w:r w:rsidRPr="009E0754">
        <w:t>misfortune</w:t>
      </w:r>
      <w:proofErr w:type="spellEnd"/>
      <w:r w:rsidRPr="009E0754">
        <w:t xml:space="preserve">, </w:t>
      </w:r>
      <w:proofErr w:type="spellStart"/>
      <w:r w:rsidRPr="009E0754">
        <w:t>revealing</w:t>
      </w:r>
      <w:proofErr w:type="spellEnd"/>
      <w:r w:rsidRPr="009E0754">
        <w:t xml:space="preserve"> how </w:t>
      </w:r>
      <w:proofErr w:type="spellStart"/>
      <w:r w:rsidRPr="009E0754">
        <w:t>resilience</w:t>
      </w:r>
      <w:proofErr w:type="spellEnd"/>
      <w:r w:rsidRPr="009E0754">
        <w:t xml:space="preserve"> </w:t>
      </w:r>
      <w:proofErr w:type="spellStart"/>
      <w:r w:rsidRPr="009E0754">
        <w:t>and</w:t>
      </w:r>
      <w:proofErr w:type="spellEnd"/>
      <w:r w:rsidRPr="009E0754">
        <w:t xml:space="preserve"> </w:t>
      </w:r>
      <w:proofErr w:type="spellStart"/>
      <w:r w:rsidRPr="009E0754">
        <w:t>virtue</w:t>
      </w:r>
      <w:proofErr w:type="spellEnd"/>
      <w:r w:rsidRPr="009E0754">
        <w:t xml:space="preserve"> </w:t>
      </w:r>
      <w:proofErr w:type="spellStart"/>
      <w:r w:rsidRPr="009E0754">
        <w:t>are</w:t>
      </w:r>
      <w:proofErr w:type="spellEnd"/>
      <w:r w:rsidRPr="009E0754">
        <w:t xml:space="preserve"> </w:t>
      </w:r>
      <w:proofErr w:type="spellStart"/>
      <w:r w:rsidRPr="009E0754">
        <w:t>tested</w:t>
      </w:r>
      <w:proofErr w:type="spellEnd"/>
      <w:r w:rsidRPr="009E0754">
        <w:t xml:space="preserve"> </w:t>
      </w:r>
      <w:proofErr w:type="spellStart"/>
      <w:r w:rsidRPr="009E0754">
        <w:t>by</w:t>
      </w:r>
      <w:proofErr w:type="spellEnd"/>
      <w:r w:rsidRPr="009E0754">
        <w:t xml:space="preserve"> </w:t>
      </w:r>
      <w:proofErr w:type="spellStart"/>
      <w:r w:rsidRPr="009E0754">
        <w:t>the</w:t>
      </w:r>
      <w:proofErr w:type="spellEnd"/>
      <w:r w:rsidRPr="009E0754">
        <w:t xml:space="preserve"> </w:t>
      </w:r>
      <w:proofErr w:type="spellStart"/>
      <w:r w:rsidRPr="009E0754">
        <w:t>unpredictability</w:t>
      </w:r>
      <w:proofErr w:type="spellEnd"/>
      <w:r w:rsidRPr="009E0754">
        <w:t xml:space="preserve"> of life. </w:t>
      </w:r>
      <w:proofErr w:type="spellStart"/>
      <w:r w:rsidRPr="009E0754">
        <w:t>Meanwhile</w:t>
      </w:r>
      <w:proofErr w:type="spellEnd"/>
      <w:r w:rsidRPr="009E0754">
        <w:t xml:space="preserve">, </w:t>
      </w:r>
      <w:proofErr w:type="spellStart"/>
      <w:r w:rsidRPr="009E0754">
        <w:t>Mackenzie’s</w:t>
      </w:r>
      <w:proofErr w:type="spellEnd"/>
      <w:r w:rsidRPr="009E0754">
        <w:t xml:space="preserve">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w:t>
      </w:r>
      <w:proofErr w:type="spellStart"/>
      <w:r w:rsidRPr="009E0754">
        <w:t>offers</w:t>
      </w:r>
      <w:proofErr w:type="spellEnd"/>
      <w:r w:rsidRPr="009E0754">
        <w:t xml:space="preserve"> a </w:t>
      </w:r>
      <w:proofErr w:type="spellStart"/>
      <w:r w:rsidRPr="009E0754">
        <w:t>poignant</w:t>
      </w:r>
      <w:proofErr w:type="spellEnd"/>
      <w:r w:rsidRPr="009E0754">
        <w:t xml:space="preserve"> </w:t>
      </w:r>
      <w:proofErr w:type="spellStart"/>
      <w:r w:rsidRPr="009E0754">
        <w:t>account</w:t>
      </w:r>
      <w:proofErr w:type="spellEnd"/>
      <w:r w:rsidRPr="009E0754">
        <w:t xml:space="preserve"> of Harley, a </w:t>
      </w:r>
      <w:proofErr w:type="spellStart"/>
      <w:r w:rsidRPr="009E0754">
        <w:t>kind-hearted</w:t>
      </w:r>
      <w:proofErr w:type="spellEnd"/>
      <w:r w:rsidRPr="009E0754">
        <w:t xml:space="preserve"> </w:t>
      </w:r>
      <w:proofErr w:type="spellStart"/>
      <w:r w:rsidRPr="009E0754">
        <w:t>and</w:t>
      </w:r>
      <w:proofErr w:type="spellEnd"/>
      <w:r w:rsidRPr="009E0754">
        <w:t xml:space="preserve"> </w:t>
      </w:r>
      <w:proofErr w:type="spellStart"/>
      <w:r w:rsidRPr="009E0754">
        <w:t>empathetic</w:t>
      </w:r>
      <w:proofErr w:type="spellEnd"/>
      <w:r w:rsidRPr="009E0754">
        <w:t xml:space="preserve"> </w:t>
      </w:r>
      <w:proofErr w:type="spellStart"/>
      <w:r w:rsidRPr="009E0754">
        <w:t>man</w:t>
      </w:r>
      <w:proofErr w:type="spellEnd"/>
      <w:r w:rsidRPr="009E0754">
        <w:t xml:space="preserve">, </w:t>
      </w:r>
      <w:proofErr w:type="spellStart"/>
      <w:r w:rsidRPr="009E0754">
        <w:t>whose</w:t>
      </w:r>
      <w:proofErr w:type="spellEnd"/>
      <w:r w:rsidRPr="009E0754">
        <w:t xml:space="preserve"> </w:t>
      </w:r>
      <w:proofErr w:type="spellStart"/>
      <w:r w:rsidRPr="009E0754">
        <w:t>journey</w:t>
      </w:r>
      <w:proofErr w:type="spellEnd"/>
      <w:r w:rsidRPr="009E0754">
        <w:t xml:space="preserve"> </w:t>
      </w:r>
      <w:proofErr w:type="spellStart"/>
      <w:r w:rsidRPr="009E0754">
        <w:t>through</w:t>
      </w:r>
      <w:proofErr w:type="spellEnd"/>
      <w:r w:rsidRPr="009E0754">
        <w:t xml:space="preserve"> life is </w:t>
      </w:r>
      <w:proofErr w:type="spellStart"/>
      <w:r w:rsidRPr="009E0754">
        <w:t>marked</w:t>
      </w:r>
      <w:proofErr w:type="spellEnd"/>
      <w:r w:rsidRPr="009E0754">
        <w:t xml:space="preserve"> </w:t>
      </w:r>
      <w:proofErr w:type="spellStart"/>
      <w:r w:rsidRPr="009E0754">
        <w:t>by</w:t>
      </w:r>
      <w:proofErr w:type="spellEnd"/>
      <w:r w:rsidRPr="009E0754">
        <w:t xml:space="preserve"> </w:t>
      </w:r>
      <w:proofErr w:type="spellStart"/>
      <w:r w:rsidRPr="009E0754">
        <w:t>encounters</w:t>
      </w:r>
      <w:proofErr w:type="spellEnd"/>
      <w:r w:rsidRPr="009E0754">
        <w:t xml:space="preserve"> </w:t>
      </w:r>
      <w:proofErr w:type="spellStart"/>
      <w:r w:rsidRPr="009E0754">
        <w:t>with</w:t>
      </w:r>
      <w:proofErr w:type="spellEnd"/>
      <w:r w:rsidRPr="009E0754">
        <w:t xml:space="preserve"> </w:t>
      </w:r>
      <w:proofErr w:type="spellStart"/>
      <w:r w:rsidRPr="009E0754">
        <w:t>suffering</w:t>
      </w:r>
      <w:proofErr w:type="spellEnd"/>
      <w:r w:rsidRPr="009E0754">
        <w:t xml:space="preserve"> </w:t>
      </w:r>
      <w:proofErr w:type="spellStart"/>
      <w:r w:rsidRPr="009E0754">
        <w:t>and</w:t>
      </w:r>
      <w:proofErr w:type="spellEnd"/>
      <w:r w:rsidRPr="009E0754">
        <w:t xml:space="preserve"> </w:t>
      </w:r>
      <w:proofErr w:type="spellStart"/>
      <w:r w:rsidRPr="009E0754">
        <w:t>social</w:t>
      </w:r>
      <w:proofErr w:type="spellEnd"/>
      <w:r w:rsidRPr="009E0754">
        <w:t xml:space="preserve"> </w:t>
      </w:r>
      <w:proofErr w:type="spellStart"/>
      <w:r w:rsidRPr="009E0754">
        <w:t>inequalities</w:t>
      </w:r>
      <w:proofErr w:type="spellEnd"/>
      <w:r w:rsidRPr="009E0754">
        <w:t xml:space="preserve">. </w:t>
      </w:r>
      <w:proofErr w:type="spellStart"/>
      <w:r w:rsidRPr="009E0754">
        <w:t>Mackenzie’s</w:t>
      </w:r>
      <w:proofErr w:type="spellEnd"/>
      <w:r w:rsidRPr="009E0754">
        <w:t xml:space="preserve"> </w:t>
      </w:r>
      <w:proofErr w:type="spellStart"/>
      <w:r w:rsidRPr="009E0754">
        <w:t>portrayal</w:t>
      </w:r>
      <w:proofErr w:type="spellEnd"/>
      <w:r w:rsidRPr="009E0754">
        <w:t xml:space="preserve"> of Harley </w:t>
      </w:r>
      <w:proofErr w:type="spellStart"/>
      <w:r w:rsidRPr="009E0754">
        <w:t>emphasizes</w:t>
      </w:r>
      <w:proofErr w:type="spellEnd"/>
      <w:r w:rsidRPr="009E0754">
        <w:t xml:space="preserve"> </w:t>
      </w:r>
      <w:proofErr w:type="spellStart"/>
      <w:r w:rsidRPr="009E0754">
        <w:t>the</w:t>
      </w:r>
      <w:proofErr w:type="spellEnd"/>
      <w:r w:rsidRPr="009E0754">
        <w:t xml:space="preserve"> </w:t>
      </w:r>
      <w:proofErr w:type="spellStart"/>
      <w:r w:rsidRPr="009E0754">
        <w:t>struggle</w:t>
      </w:r>
      <w:proofErr w:type="spellEnd"/>
      <w:r w:rsidRPr="009E0754">
        <w:t xml:space="preserve"> of </w:t>
      </w:r>
      <w:proofErr w:type="spellStart"/>
      <w:r w:rsidRPr="009E0754">
        <w:t>remaining</w:t>
      </w:r>
      <w:proofErr w:type="spellEnd"/>
      <w:r w:rsidRPr="009E0754">
        <w:t xml:space="preserve"> </w:t>
      </w:r>
      <w:proofErr w:type="spellStart"/>
      <w:r w:rsidRPr="009E0754">
        <w:t>compassionate</w:t>
      </w:r>
      <w:proofErr w:type="spellEnd"/>
      <w:r w:rsidRPr="009E0754">
        <w:t xml:space="preserve"> in an </w:t>
      </w:r>
      <w:proofErr w:type="spellStart"/>
      <w:r w:rsidRPr="009E0754">
        <w:t>indifferent</w:t>
      </w:r>
      <w:proofErr w:type="spellEnd"/>
      <w:r w:rsidRPr="009E0754">
        <w:t xml:space="preserve"> </w:t>
      </w:r>
      <w:proofErr w:type="spellStart"/>
      <w:r w:rsidRPr="009E0754">
        <w:t>and</w:t>
      </w:r>
      <w:proofErr w:type="spellEnd"/>
      <w:r w:rsidRPr="009E0754">
        <w:t xml:space="preserve"> </w:t>
      </w:r>
      <w:proofErr w:type="spellStart"/>
      <w:r w:rsidRPr="009E0754">
        <w:t>often</w:t>
      </w:r>
      <w:proofErr w:type="spellEnd"/>
      <w:r w:rsidRPr="009E0754">
        <w:t xml:space="preserve"> </w:t>
      </w:r>
      <w:proofErr w:type="spellStart"/>
      <w:r w:rsidRPr="009E0754">
        <w:t>cruel</w:t>
      </w:r>
      <w:proofErr w:type="spellEnd"/>
      <w:r w:rsidRPr="009E0754">
        <w:t xml:space="preserve"> </w:t>
      </w:r>
      <w:proofErr w:type="spellStart"/>
      <w:r w:rsidRPr="009E0754">
        <w:t>world</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utilize</w:t>
      </w:r>
      <w:proofErr w:type="spellEnd"/>
      <w:r w:rsidRPr="009E0754">
        <w:t xml:space="preserve"> </w:t>
      </w:r>
      <w:proofErr w:type="spellStart"/>
      <w:r w:rsidRPr="009E0754">
        <w:t>sentimentality</w:t>
      </w:r>
      <w:proofErr w:type="spellEnd"/>
      <w:r w:rsidRPr="009E0754">
        <w:t xml:space="preserve"> not </w:t>
      </w:r>
      <w:proofErr w:type="spellStart"/>
      <w:r w:rsidRPr="009E0754">
        <w:t>merely</w:t>
      </w:r>
      <w:proofErr w:type="spellEnd"/>
      <w:r w:rsidRPr="009E0754">
        <w:t xml:space="preserve"> as a </w:t>
      </w:r>
      <w:proofErr w:type="spellStart"/>
      <w:r w:rsidRPr="009E0754">
        <w:t>narrative</w:t>
      </w:r>
      <w:proofErr w:type="spellEnd"/>
      <w:r w:rsidRPr="009E0754">
        <w:t xml:space="preserve"> </w:t>
      </w:r>
      <w:proofErr w:type="spellStart"/>
      <w:r w:rsidRPr="009E0754">
        <w:t>tool</w:t>
      </w:r>
      <w:proofErr w:type="spellEnd"/>
      <w:r w:rsidRPr="009E0754">
        <w:t xml:space="preserve"> but as a </w:t>
      </w:r>
      <w:proofErr w:type="spellStart"/>
      <w:r w:rsidRPr="009E0754">
        <w:t>means</w:t>
      </w:r>
      <w:proofErr w:type="spellEnd"/>
      <w:r w:rsidRPr="009E0754">
        <w:t xml:space="preserve"> of </w:t>
      </w:r>
      <w:proofErr w:type="spellStart"/>
      <w:r w:rsidRPr="009E0754">
        <w:t>encouraging</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reflect</w:t>
      </w:r>
      <w:proofErr w:type="spellEnd"/>
      <w:r w:rsidRPr="009E0754">
        <w:t xml:space="preserve"> on </w:t>
      </w:r>
      <w:proofErr w:type="spellStart"/>
      <w:r w:rsidRPr="009E0754">
        <w:t>the</w:t>
      </w:r>
      <w:proofErr w:type="spellEnd"/>
      <w:r w:rsidRPr="009E0754">
        <w:t xml:space="preserve"> </w:t>
      </w:r>
      <w:proofErr w:type="spellStart"/>
      <w:r w:rsidRPr="009E0754">
        <w:t>broader</w:t>
      </w:r>
      <w:proofErr w:type="spellEnd"/>
      <w:r w:rsidRPr="009E0754">
        <w:t xml:space="preserve"> moral </w:t>
      </w:r>
      <w:proofErr w:type="spellStart"/>
      <w:r w:rsidRPr="009E0754">
        <w:lastRenderedPageBreak/>
        <w:t>questions</w:t>
      </w:r>
      <w:proofErr w:type="spellEnd"/>
      <w:r w:rsidRPr="009E0754">
        <w:t xml:space="preserve"> of </w:t>
      </w:r>
      <w:proofErr w:type="spellStart"/>
      <w:r w:rsidRPr="009E0754">
        <w:t>their</w:t>
      </w:r>
      <w:proofErr w:type="spellEnd"/>
      <w:r w:rsidRPr="009E0754">
        <w:t xml:space="preserve"> time, </w:t>
      </w:r>
      <w:proofErr w:type="spellStart"/>
      <w:r w:rsidRPr="009E0754">
        <w:t>emphasizing</w:t>
      </w:r>
      <w:proofErr w:type="spellEnd"/>
      <w:r w:rsidRPr="009E0754">
        <w:t xml:space="preserve"> </w:t>
      </w:r>
      <w:proofErr w:type="spellStart"/>
      <w:r w:rsidRPr="009E0754">
        <w:t>the</w:t>
      </w:r>
      <w:proofErr w:type="spellEnd"/>
      <w:r w:rsidRPr="009E0754">
        <w:t xml:space="preserve"> </w:t>
      </w:r>
      <w:proofErr w:type="spellStart"/>
      <w:r w:rsidRPr="009E0754">
        <w:t>enduring</w:t>
      </w:r>
      <w:proofErr w:type="spellEnd"/>
      <w:r w:rsidRPr="009E0754">
        <w:t xml:space="preserve"> </w:t>
      </w:r>
      <w:proofErr w:type="spellStart"/>
      <w:r w:rsidRPr="009E0754">
        <w:t>importance</w:t>
      </w:r>
      <w:proofErr w:type="spellEnd"/>
      <w:r w:rsidRPr="009E0754">
        <w:t xml:space="preserve"> of </w:t>
      </w:r>
      <w:proofErr w:type="spellStart"/>
      <w:r w:rsidRPr="009E0754">
        <w:t>empathy</w:t>
      </w:r>
      <w:proofErr w:type="spellEnd"/>
      <w:r w:rsidRPr="009E0754">
        <w:t xml:space="preserve"> </w:t>
      </w:r>
      <w:proofErr w:type="spellStart"/>
      <w:r w:rsidRPr="009E0754">
        <w:t>and</w:t>
      </w:r>
      <w:proofErr w:type="spellEnd"/>
      <w:r w:rsidRPr="009E0754">
        <w:t xml:space="preserve"> </w:t>
      </w:r>
      <w:proofErr w:type="spellStart"/>
      <w:r w:rsidRPr="009E0754">
        <w:t>ethical</w:t>
      </w:r>
      <w:proofErr w:type="spellEnd"/>
      <w:r w:rsidRPr="009E0754">
        <w:t xml:space="preserve"> </w:t>
      </w:r>
      <w:proofErr w:type="spellStart"/>
      <w:r w:rsidRPr="009E0754">
        <w:t>reflection</w:t>
      </w:r>
      <w:proofErr w:type="spellEnd"/>
      <w:r w:rsidRPr="009E0754">
        <w:t xml:space="preserve"> in </w:t>
      </w:r>
      <w:proofErr w:type="spellStart"/>
      <w:r w:rsidRPr="009E0754">
        <w:t>shaping</w:t>
      </w:r>
      <w:proofErr w:type="spellEnd"/>
      <w:r w:rsidRPr="009E0754">
        <w:t xml:space="preserve"> </w:t>
      </w:r>
      <w:proofErr w:type="spellStart"/>
      <w:r w:rsidRPr="009E0754">
        <w:t>human</w:t>
      </w:r>
      <w:proofErr w:type="spellEnd"/>
      <w:r w:rsidRPr="009E0754">
        <w:t xml:space="preserve"> </w:t>
      </w:r>
      <w:proofErr w:type="spellStart"/>
      <w:r w:rsidRPr="009E0754">
        <w:t>experience</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use</w:t>
      </w:r>
      <w:proofErr w:type="spellEnd"/>
      <w:r w:rsidRPr="009E0754">
        <w:t xml:space="preserve"> </w:t>
      </w:r>
      <w:proofErr w:type="spellStart"/>
      <w:r w:rsidRPr="009E0754">
        <w:t>sentimentality</w:t>
      </w:r>
      <w:proofErr w:type="spellEnd"/>
      <w:r w:rsidRPr="009E0754">
        <w:t xml:space="preserve"> </w:t>
      </w:r>
      <w:proofErr w:type="spellStart"/>
      <w:r w:rsidRPr="009E0754">
        <w:t>to</w:t>
      </w:r>
      <w:proofErr w:type="spellEnd"/>
      <w:r w:rsidRPr="009E0754">
        <w:t xml:space="preserve"> </w:t>
      </w:r>
      <w:proofErr w:type="spellStart"/>
      <w:r w:rsidRPr="009E0754">
        <w:t>question</w:t>
      </w:r>
      <w:proofErr w:type="spellEnd"/>
      <w:r w:rsidRPr="009E0754">
        <w:t xml:space="preserve"> </w:t>
      </w:r>
      <w:proofErr w:type="spellStart"/>
      <w:r w:rsidRPr="009E0754">
        <w:t>the</w:t>
      </w:r>
      <w:proofErr w:type="spellEnd"/>
      <w:r w:rsidRPr="009E0754">
        <w:t xml:space="preserve"> moral </w:t>
      </w:r>
      <w:proofErr w:type="spellStart"/>
      <w:r w:rsidRPr="009E0754">
        <w:t>fabric</w:t>
      </w:r>
      <w:proofErr w:type="spellEnd"/>
      <w:r w:rsidRPr="009E0754">
        <w:t xml:space="preserve"> of </w:t>
      </w:r>
      <w:proofErr w:type="spellStart"/>
      <w:r w:rsidRPr="009E0754">
        <w:t>their</w:t>
      </w:r>
      <w:proofErr w:type="spellEnd"/>
      <w:r w:rsidRPr="009E0754">
        <w:t xml:space="preserve"> time </w:t>
      </w:r>
      <w:proofErr w:type="spellStart"/>
      <w:r w:rsidRPr="009E0754">
        <w:t>and</w:t>
      </w:r>
      <w:proofErr w:type="spellEnd"/>
      <w:r w:rsidRPr="009E0754">
        <w:t xml:space="preserve"> </w:t>
      </w:r>
      <w:proofErr w:type="spellStart"/>
      <w:r w:rsidRPr="009E0754">
        <w:t>advocate</w:t>
      </w:r>
      <w:proofErr w:type="spellEnd"/>
      <w:r w:rsidRPr="009E0754">
        <w:t xml:space="preserve"> </w:t>
      </w:r>
      <w:proofErr w:type="spellStart"/>
      <w:r w:rsidRPr="009E0754">
        <w:t>for</w:t>
      </w:r>
      <w:proofErr w:type="spellEnd"/>
      <w:r w:rsidRPr="009E0754">
        <w:t xml:space="preserve"> </w:t>
      </w:r>
      <w:proofErr w:type="spellStart"/>
      <w:r w:rsidRPr="009E0754">
        <w:t>empathy</w:t>
      </w:r>
      <w:proofErr w:type="spellEnd"/>
      <w:r w:rsidRPr="009E0754">
        <w:t xml:space="preserve"> </w:t>
      </w:r>
      <w:proofErr w:type="spellStart"/>
      <w:r w:rsidRPr="009E0754">
        <w:t>and</w:t>
      </w:r>
      <w:proofErr w:type="spellEnd"/>
      <w:r w:rsidRPr="009E0754">
        <w:t xml:space="preserve"> </w:t>
      </w:r>
      <w:proofErr w:type="spellStart"/>
      <w:r w:rsidRPr="009E0754">
        <w:t>kindness</w:t>
      </w:r>
      <w:proofErr w:type="spellEnd"/>
      <w:r w:rsidRPr="009E0754">
        <w:t xml:space="preserve"> [</w:t>
      </w:r>
      <w:proofErr w:type="spellStart"/>
      <w:r w:rsidRPr="009E0754">
        <w:t>Todd</w:t>
      </w:r>
      <w:proofErr w:type="spellEnd"/>
      <w:r w:rsidRPr="009E0754">
        <w:t xml:space="preserve">, 1986, p. 78]. </w:t>
      </w:r>
      <w:proofErr w:type="spellStart"/>
      <w:r w:rsidRPr="009E0754">
        <w:t>This</w:t>
      </w:r>
      <w:proofErr w:type="spellEnd"/>
      <w:r w:rsidRPr="009E0754">
        <w:t xml:space="preserve"> </w:t>
      </w:r>
      <w:proofErr w:type="spellStart"/>
      <w:r w:rsidRPr="009E0754">
        <w:t>study</w:t>
      </w:r>
      <w:proofErr w:type="spellEnd"/>
      <w:r w:rsidRPr="009E0754">
        <w:t xml:space="preserve"> </w:t>
      </w:r>
      <w:proofErr w:type="spellStart"/>
      <w:r w:rsidRPr="009E0754">
        <w:t>aims</w:t>
      </w:r>
      <w:proofErr w:type="spellEnd"/>
      <w:r w:rsidRPr="009E0754">
        <w:t xml:space="preserve"> </w:t>
      </w:r>
      <w:proofErr w:type="spellStart"/>
      <w:r w:rsidRPr="009E0754">
        <w:t>to</w:t>
      </w:r>
      <w:proofErr w:type="spellEnd"/>
      <w:r w:rsidRPr="009E0754">
        <w:t xml:space="preserve"> </w:t>
      </w:r>
      <w:proofErr w:type="spellStart"/>
      <w:r w:rsidRPr="009E0754">
        <w:t>explore</w:t>
      </w:r>
      <w:proofErr w:type="spellEnd"/>
      <w:r w:rsidRPr="009E0754">
        <w:t xml:space="preserve"> how </w:t>
      </w:r>
      <w:proofErr w:type="spellStart"/>
      <w:r w:rsidRPr="009E0754">
        <w:t>these</w:t>
      </w:r>
      <w:proofErr w:type="spellEnd"/>
      <w:r w:rsidRPr="009E0754">
        <w:t xml:space="preserve"> </w:t>
      </w:r>
      <w:proofErr w:type="spellStart"/>
      <w:r w:rsidRPr="009E0754">
        <w:t>narratives</w:t>
      </w:r>
      <w:proofErr w:type="spellEnd"/>
      <w:r w:rsidRPr="009E0754">
        <w:t xml:space="preserve"> </w:t>
      </w:r>
      <w:proofErr w:type="spellStart"/>
      <w:r w:rsidRPr="009E0754">
        <w:t>present</w:t>
      </w:r>
      <w:proofErr w:type="spellEnd"/>
      <w:r w:rsidRPr="009E0754">
        <w:t xml:space="preserve">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through</w:t>
      </w:r>
      <w:proofErr w:type="spellEnd"/>
      <w:r w:rsidRPr="009E0754">
        <w:t xml:space="preserve"> </w:t>
      </w:r>
      <w:proofErr w:type="spellStart"/>
      <w:r w:rsidRPr="009E0754">
        <w:t>emotional</w:t>
      </w:r>
      <w:proofErr w:type="spellEnd"/>
      <w:r w:rsidRPr="009E0754">
        <w:t xml:space="preserve"> </w:t>
      </w:r>
      <w:proofErr w:type="spellStart"/>
      <w:r w:rsidRPr="009E0754">
        <w:t>expression</w:t>
      </w:r>
      <w:proofErr w:type="spellEnd"/>
      <w:r w:rsidRPr="009E0754">
        <w:t xml:space="preserve">. </w:t>
      </w:r>
      <w:proofErr w:type="spellStart"/>
      <w:r w:rsidRPr="009E0754">
        <w:t>By</w:t>
      </w:r>
      <w:proofErr w:type="spellEnd"/>
      <w:r w:rsidRPr="009E0754">
        <w:t xml:space="preserve"> </w:t>
      </w:r>
      <w:proofErr w:type="spellStart"/>
      <w:r w:rsidRPr="009E0754">
        <w:t>comparing</w:t>
      </w:r>
      <w:proofErr w:type="spellEnd"/>
      <w:r w:rsidRPr="009E0754">
        <w:t xml:space="preserve"> </w:t>
      </w:r>
      <w:proofErr w:type="spellStart"/>
      <w:r w:rsidRPr="009E0754">
        <w:t>the</w:t>
      </w:r>
      <w:proofErr w:type="spellEnd"/>
      <w:r w:rsidRPr="009E0754">
        <w:t xml:space="preserve"> </w:t>
      </w:r>
      <w:proofErr w:type="spellStart"/>
      <w:r w:rsidRPr="009E0754">
        <w:t>works</w:t>
      </w:r>
      <w:proofErr w:type="spellEnd"/>
      <w:r w:rsidRPr="009E0754">
        <w:t xml:space="preserve"> of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the</w:t>
      </w:r>
      <w:proofErr w:type="spellEnd"/>
      <w:r w:rsidRPr="009E0754">
        <w:t xml:space="preserve"> </w:t>
      </w:r>
      <w:proofErr w:type="spellStart"/>
      <w:r w:rsidRPr="009E0754">
        <w:t>study</w:t>
      </w:r>
      <w:proofErr w:type="spellEnd"/>
      <w:r w:rsidRPr="009E0754">
        <w:t xml:space="preserve"> </w:t>
      </w:r>
      <w:proofErr w:type="spellStart"/>
      <w:r w:rsidRPr="009E0754">
        <w:t>sheds</w:t>
      </w:r>
      <w:proofErr w:type="spellEnd"/>
      <w:r w:rsidRPr="009E0754">
        <w:t xml:space="preserve"> </w:t>
      </w:r>
      <w:proofErr w:type="spellStart"/>
      <w:r w:rsidRPr="009E0754">
        <w:t>light</w:t>
      </w:r>
      <w:proofErr w:type="spellEnd"/>
      <w:r w:rsidRPr="009E0754">
        <w:t xml:space="preserve"> on </w:t>
      </w:r>
      <w:proofErr w:type="spellStart"/>
      <w:r w:rsidRPr="009E0754">
        <w:t>the</w:t>
      </w:r>
      <w:proofErr w:type="spellEnd"/>
      <w:r w:rsidRPr="009E0754">
        <w:t xml:space="preserve"> </w:t>
      </w:r>
      <w:proofErr w:type="spellStart"/>
      <w:r w:rsidRPr="009E0754">
        <w:t>thematic</w:t>
      </w:r>
      <w:proofErr w:type="spellEnd"/>
      <w:r w:rsidRPr="009E0754">
        <w:t xml:space="preserve"> </w:t>
      </w:r>
      <w:proofErr w:type="spellStart"/>
      <w:r w:rsidRPr="009E0754">
        <w:t>and</w:t>
      </w:r>
      <w:proofErr w:type="spellEnd"/>
      <w:r w:rsidRPr="009E0754">
        <w:t xml:space="preserve"> </w:t>
      </w:r>
      <w:proofErr w:type="spellStart"/>
      <w:r w:rsidRPr="009E0754">
        <w:t>stylistic</w:t>
      </w:r>
      <w:proofErr w:type="spellEnd"/>
      <w:r w:rsidRPr="009E0754">
        <w:t xml:space="preserve"> </w:t>
      </w:r>
      <w:proofErr w:type="spellStart"/>
      <w:r w:rsidRPr="009E0754">
        <w:t>similarities</w:t>
      </w:r>
      <w:proofErr w:type="spellEnd"/>
      <w:r w:rsidRPr="009E0754">
        <w:t xml:space="preserve"> </w:t>
      </w:r>
      <w:proofErr w:type="spellStart"/>
      <w:r w:rsidRPr="009E0754">
        <w:t>that</w:t>
      </w:r>
      <w:proofErr w:type="spellEnd"/>
      <w:r w:rsidRPr="009E0754">
        <w:t xml:space="preserve"> define </w:t>
      </w:r>
      <w:proofErr w:type="spellStart"/>
      <w:r w:rsidRPr="009E0754">
        <w:t>sentimentalist</w:t>
      </w:r>
      <w:proofErr w:type="spellEnd"/>
      <w:r w:rsidRPr="009E0754">
        <w:t xml:space="preserve"> </w:t>
      </w:r>
      <w:proofErr w:type="spellStart"/>
      <w:r w:rsidRPr="009E0754">
        <w:t>prose</w:t>
      </w:r>
      <w:proofErr w:type="spellEnd"/>
      <w:r w:rsidRPr="009E0754">
        <w:t xml:space="preserve">. </w:t>
      </w:r>
      <w:proofErr w:type="spellStart"/>
      <w:r w:rsidRPr="009E0754">
        <w:t>It</w:t>
      </w:r>
      <w:proofErr w:type="spellEnd"/>
      <w:r w:rsidRPr="009E0754">
        <w:t xml:space="preserve"> </w:t>
      </w:r>
      <w:proofErr w:type="spellStart"/>
      <w:r w:rsidRPr="009E0754">
        <w:t>also</w:t>
      </w:r>
      <w:proofErr w:type="spellEnd"/>
      <w:r w:rsidRPr="009E0754">
        <w:t xml:space="preserve"> </w:t>
      </w:r>
      <w:proofErr w:type="spellStart"/>
      <w:r w:rsidRPr="009E0754">
        <w:t>addresses</w:t>
      </w:r>
      <w:proofErr w:type="spellEnd"/>
      <w:r w:rsidRPr="009E0754">
        <w:t xml:space="preserve"> </w:t>
      </w:r>
      <w:proofErr w:type="spellStart"/>
      <w:r w:rsidRPr="009E0754">
        <w:t>the</w:t>
      </w:r>
      <w:proofErr w:type="spellEnd"/>
      <w:r w:rsidRPr="009E0754">
        <w:t xml:space="preserve"> </w:t>
      </w:r>
      <w:proofErr w:type="spellStart"/>
      <w:r w:rsidRPr="009E0754">
        <w:t>broader</w:t>
      </w:r>
      <w:proofErr w:type="spellEnd"/>
      <w:r w:rsidRPr="009E0754">
        <w:t xml:space="preserve"> </w:t>
      </w:r>
      <w:proofErr w:type="spellStart"/>
      <w:r w:rsidRPr="009E0754">
        <w:t>implications</w:t>
      </w:r>
      <w:proofErr w:type="spellEnd"/>
      <w:r w:rsidRPr="009E0754">
        <w:t xml:space="preserve"> of </w:t>
      </w:r>
      <w:proofErr w:type="spellStart"/>
      <w:r w:rsidRPr="009E0754">
        <w:t>their</w:t>
      </w:r>
      <w:proofErr w:type="spellEnd"/>
      <w:r w:rsidRPr="009E0754">
        <w:t xml:space="preserve"> moral </w:t>
      </w:r>
      <w:proofErr w:type="spellStart"/>
      <w:r w:rsidRPr="009E0754">
        <w:t>reflections</w:t>
      </w:r>
      <w:proofErr w:type="spellEnd"/>
      <w:r w:rsidRPr="009E0754">
        <w:t xml:space="preserve"> </w:t>
      </w:r>
      <w:proofErr w:type="spellStart"/>
      <w:r w:rsidRPr="009E0754">
        <w:t>for</w:t>
      </w:r>
      <w:proofErr w:type="spellEnd"/>
      <w:r w:rsidRPr="009E0754">
        <w:t xml:space="preserve"> </w:t>
      </w:r>
      <w:proofErr w:type="spellStart"/>
      <w:r w:rsidRPr="009E0754">
        <w:t>contemporary</w:t>
      </w:r>
      <w:proofErr w:type="spellEnd"/>
      <w:r w:rsidRPr="009E0754">
        <w:t xml:space="preserve"> </w:t>
      </w:r>
      <w:proofErr w:type="spellStart"/>
      <w:r w:rsidRPr="009E0754">
        <w:t>readers</w:t>
      </w:r>
      <w:proofErr w:type="spellEnd"/>
      <w:r w:rsidRPr="009E0754">
        <w:t xml:space="preserve"> [</w:t>
      </w:r>
      <w:proofErr w:type="spellStart"/>
      <w:r w:rsidRPr="009E0754">
        <w:t>Barker-Benfield</w:t>
      </w:r>
      <w:proofErr w:type="spellEnd"/>
      <w:r w:rsidRPr="009E0754">
        <w:t>, 1992, p. 183].</w:t>
      </w:r>
    </w:p>
    <w:p w14:paraId="3DB29161" w14:textId="77777777" w:rsidR="00BA67A6" w:rsidRPr="009E0754" w:rsidRDefault="00BA67A6" w:rsidP="00BA67A6">
      <w:pPr>
        <w:jc w:val="both"/>
      </w:pPr>
    </w:p>
    <w:p w14:paraId="5B7DB1E5" w14:textId="77777777" w:rsidR="00DA3117" w:rsidRPr="009E0754" w:rsidRDefault="00DA3117" w:rsidP="00BA67A6">
      <w:pPr>
        <w:jc w:val="both"/>
        <w:rPr>
          <w:b/>
          <w:bCs/>
        </w:rPr>
      </w:pPr>
      <w:proofErr w:type="spellStart"/>
      <w:r w:rsidRPr="009E0754">
        <w:rPr>
          <w:b/>
          <w:bCs/>
        </w:rPr>
        <w:t>Research</w:t>
      </w:r>
      <w:proofErr w:type="spellEnd"/>
      <w:r w:rsidRPr="009E0754">
        <w:rPr>
          <w:b/>
          <w:bCs/>
        </w:rPr>
        <w:t xml:space="preserve"> </w:t>
      </w:r>
      <w:proofErr w:type="spellStart"/>
      <w:r w:rsidRPr="009E0754">
        <w:rPr>
          <w:b/>
          <w:bCs/>
        </w:rPr>
        <w:t>Methods</w:t>
      </w:r>
      <w:proofErr w:type="spellEnd"/>
    </w:p>
    <w:p w14:paraId="001E8393" w14:textId="454CB90E" w:rsidR="00DA3117" w:rsidRDefault="00BA67A6" w:rsidP="00BA67A6">
      <w:pPr>
        <w:jc w:val="both"/>
      </w:pPr>
      <w:proofErr w:type="spellStart"/>
      <w:r>
        <w:t>T</w:t>
      </w:r>
      <w:r w:rsidR="00DA3117" w:rsidRPr="009E0754">
        <w:t>his</w:t>
      </w:r>
      <w:proofErr w:type="spellEnd"/>
      <w:r w:rsidR="00DA3117" w:rsidRPr="009E0754">
        <w:t xml:space="preserve"> </w:t>
      </w:r>
      <w:proofErr w:type="spellStart"/>
      <w:r w:rsidR="00DA3117" w:rsidRPr="009E0754">
        <w:t>research</w:t>
      </w:r>
      <w:proofErr w:type="spellEnd"/>
      <w:r w:rsidR="00DA3117" w:rsidRPr="009E0754">
        <w:t xml:space="preserve"> </w:t>
      </w:r>
      <w:proofErr w:type="spellStart"/>
      <w:r w:rsidR="00DA3117" w:rsidRPr="009E0754">
        <w:t>adopts</w:t>
      </w:r>
      <w:proofErr w:type="spellEnd"/>
      <w:r w:rsidR="00DA3117" w:rsidRPr="009E0754">
        <w:t xml:space="preserve"> a </w:t>
      </w:r>
      <w:proofErr w:type="spellStart"/>
      <w:r w:rsidR="00DA3117" w:rsidRPr="009E0754">
        <w:t>comparative</w:t>
      </w:r>
      <w:proofErr w:type="spellEnd"/>
      <w:r w:rsidR="00DA3117" w:rsidRPr="009E0754">
        <w:t xml:space="preserve"> </w:t>
      </w:r>
      <w:proofErr w:type="spellStart"/>
      <w:r w:rsidR="00DA3117" w:rsidRPr="009E0754">
        <w:t>literary</w:t>
      </w:r>
      <w:proofErr w:type="spellEnd"/>
      <w:r w:rsidR="00DA3117" w:rsidRPr="009E0754">
        <w:t xml:space="preserve"> </w:t>
      </w:r>
      <w:proofErr w:type="spellStart"/>
      <w:r w:rsidR="00DA3117" w:rsidRPr="009E0754">
        <w:t>analysis</w:t>
      </w:r>
      <w:proofErr w:type="spellEnd"/>
      <w:r w:rsidR="00DA3117" w:rsidRPr="009E0754">
        <w:t xml:space="preserve"> </w:t>
      </w:r>
      <w:proofErr w:type="spellStart"/>
      <w:r w:rsidR="00DA3117" w:rsidRPr="009E0754">
        <w:t>framework</w:t>
      </w:r>
      <w:proofErr w:type="spellEnd"/>
      <w:r w:rsidR="00DA3117" w:rsidRPr="009E0754">
        <w:t xml:space="preserve">, </w:t>
      </w:r>
      <w:proofErr w:type="spellStart"/>
      <w:r w:rsidR="00DA3117" w:rsidRPr="009E0754">
        <w:t>employing</w:t>
      </w:r>
      <w:proofErr w:type="spellEnd"/>
      <w:r w:rsidR="00DA3117" w:rsidRPr="009E0754">
        <w:t xml:space="preserve"> an in-</w:t>
      </w:r>
      <w:proofErr w:type="spellStart"/>
      <w:r w:rsidR="00DA3117" w:rsidRPr="009E0754">
        <w:t>depth</w:t>
      </w:r>
      <w:proofErr w:type="spellEnd"/>
      <w:r w:rsidR="00DA3117" w:rsidRPr="009E0754">
        <w:t xml:space="preserve"> </w:t>
      </w:r>
      <w:proofErr w:type="spellStart"/>
      <w:r w:rsidR="00DA3117" w:rsidRPr="009E0754">
        <w:t>examination</w:t>
      </w:r>
      <w:proofErr w:type="spellEnd"/>
      <w:r w:rsidR="00DA3117" w:rsidRPr="009E0754">
        <w:t xml:space="preserve"> of </w:t>
      </w:r>
      <w:proofErr w:type="spellStart"/>
      <w:r w:rsidR="00DA3117" w:rsidRPr="009E0754">
        <w:t>primary</w:t>
      </w:r>
      <w:proofErr w:type="spellEnd"/>
      <w:r w:rsidR="00DA3117" w:rsidRPr="009E0754">
        <w:t xml:space="preserve"> </w:t>
      </w:r>
      <w:proofErr w:type="spellStart"/>
      <w:r w:rsidR="00DA3117" w:rsidRPr="009E0754">
        <w:t>texts</w:t>
      </w:r>
      <w:proofErr w:type="spellEnd"/>
      <w:r w:rsidR="00DA3117" w:rsidRPr="009E0754">
        <w:t xml:space="preserve"> </w:t>
      </w:r>
      <w:proofErr w:type="spellStart"/>
      <w:r w:rsidR="00DA3117" w:rsidRPr="009E0754">
        <w:t>and</w:t>
      </w:r>
      <w:proofErr w:type="spellEnd"/>
      <w:r w:rsidR="00DA3117" w:rsidRPr="009E0754">
        <w:t xml:space="preserve"> a </w:t>
      </w:r>
      <w:proofErr w:type="spellStart"/>
      <w:r w:rsidR="00DA3117" w:rsidRPr="009E0754">
        <w:t>systematic</w:t>
      </w:r>
      <w:proofErr w:type="spellEnd"/>
      <w:r w:rsidR="00DA3117" w:rsidRPr="009E0754">
        <w:t xml:space="preserve"> </w:t>
      </w:r>
      <w:proofErr w:type="spellStart"/>
      <w:r w:rsidR="00DA3117" w:rsidRPr="009E0754">
        <w:t>exploration</w:t>
      </w:r>
      <w:proofErr w:type="spellEnd"/>
      <w:r w:rsidR="00DA3117" w:rsidRPr="009E0754">
        <w:t xml:space="preserve"> of </w:t>
      </w:r>
      <w:proofErr w:type="spellStart"/>
      <w:r w:rsidR="00DA3117" w:rsidRPr="009E0754">
        <w:t>recurring</w:t>
      </w:r>
      <w:proofErr w:type="spellEnd"/>
      <w:r w:rsidR="00DA3117" w:rsidRPr="009E0754">
        <w:t xml:space="preserve"> </w:t>
      </w:r>
      <w:proofErr w:type="spellStart"/>
      <w:r w:rsidR="00DA3117" w:rsidRPr="009E0754">
        <w:t>thematic</w:t>
      </w:r>
      <w:proofErr w:type="spellEnd"/>
      <w:r w:rsidR="00DA3117" w:rsidRPr="009E0754">
        <w:t xml:space="preserve"> </w:t>
      </w:r>
      <w:proofErr w:type="spellStart"/>
      <w:r w:rsidR="00DA3117" w:rsidRPr="009E0754">
        <w:t>patterns</w:t>
      </w:r>
      <w:proofErr w:type="spellEnd"/>
      <w:r w:rsidR="00DA3117" w:rsidRPr="009E0754">
        <w:t xml:space="preserve">. </w:t>
      </w:r>
      <w:proofErr w:type="spellStart"/>
      <w:r w:rsidR="00DA3117" w:rsidRPr="009E0754">
        <w:t>By</w:t>
      </w:r>
      <w:proofErr w:type="spellEnd"/>
      <w:r w:rsidR="00DA3117" w:rsidRPr="009E0754">
        <w:t xml:space="preserve"> </w:t>
      </w:r>
      <w:proofErr w:type="spellStart"/>
      <w:r w:rsidR="00DA3117" w:rsidRPr="009E0754">
        <w:t>focusing</w:t>
      </w:r>
      <w:proofErr w:type="spellEnd"/>
      <w:r w:rsidR="00DA3117" w:rsidRPr="009E0754">
        <w:t xml:space="preserve"> on </w:t>
      </w:r>
      <w:proofErr w:type="spellStart"/>
      <w:r w:rsidR="00DA3117" w:rsidRPr="009E0754">
        <w:rPr>
          <w:i/>
          <w:iCs/>
        </w:rPr>
        <w:t>The</w:t>
      </w:r>
      <w:proofErr w:type="spellEnd"/>
      <w:r w:rsidR="00DA3117" w:rsidRPr="009E0754">
        <w:rPr>
          <w:i/>
          <w:iCs/>
        </w:rPr>
        <w:t xml:space="preserve"> </w:t>
      </w:r>
      <w:proofErr w:type="spellStart"/>
      <w:r w:rsidR="00DA3117" w:rsidRPr="009E0754">
        <w:rPr>
          <w:i/>
          <w:iCs/>
        </w:rPr>
        <w:t>Vicar</w:t>
      </w:r>
      <w:proofErr w:type="spellEnd"/>
      <w:r w:rsidR="00DA3117" w:rsidRPr="009E0754">
        <w:rPr>
          <w:i/>
          <w:iCs/>
        </w:rPr>
        <w:t xml:space="preserve"> of </w:t>
      </w:r>
      <w:proofErr w:type="spellStart"/>
      <w:r w:rsidR="00DA3117" w:rsidRPr="009E0754">
        <w:rPr>
          <w:i/>
          <w:iCs/>
        </w:rPr>
        <w:t>Wakefield</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rPr>
          <w:i/>
          <w:iCs/>
        </w:rPr>
        <w:t>The</w:t>
      </w:r>
      <w:proofErr w:type="spellEnd"/>
      <w:r w:rsidR="00DA3117" w:rsidRPr="009E0754">
        <w:rPr>
          <w:i/>
          <w:iCs/>
        </w:rPr>
        <w:t xml:space="preserve"> Man of </w:t>
      </w:r>
      <w:proofErr w:type="spellStart"/>
      <w:r w:rsidR="00DA3117" w:rsidRPr="009E0754">
        <w:rPr>
          <w:i/>
          <w:iCs/>
        </w:rPr>
        <w:t>Feeling</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study</w:t>
      </w:r>
      <w:proofErr w:type="spellEnd"/>
      <w:r w:rsidR="00DA3117" w:rsidRPr="009E0754">
        <w:t xml:space="preserve"> </w:t>
      </w:r>
      <w:proofErr w:type="spellStart"/>
      <w:r w:rsidR="00DA3117" w:rsidRPr="009E0754">
        <w:t>identifies</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t>interprets</w:t>
      </w:r>
      <w:proofErr w:type="spellEnd"/>
      <w:r w:rsidR="00DA3117" w:rsidRPr="009E0754">
        <w:t xml:space="preserve"> </w:t>
      </w:r>
      <w:proofErr w:type="spellStart"/>
      <w:r w:rsidR="00DA3117" w:rsidRPr="009E0754">
        <w:t>key</w:t>
      </w:r>
      <w:proofErr w:type="spellEnd"/>
      <w:r w:rsidR="00DA3117" w:rsidRPr="009E0754">
        <w:t xml:space="preserve"> </w:t>
      </w:r>
      <w:proofErr w:type="spellStart"/>
      <w:r w:rsidR="00DA3117" w:rsidRPr="009E0754">
        <w:t>motifs</w:t>
      </w:r>
      <w:proofErr w:type="spellEnd"/>
      <w:r w:rsidR="00DA3117" w:rsidRPr="009E0754">
        <w:t xml:space="preserve"> </w:t>
      </w:r>
      <w:proofErr w:type="spellStart"/>
      <w:r w:rsidR="00DA3117" w:rsidRPr="009E0754">
        <w:t>related</w:t>
      </w:r>
      <w:proofErr w:type="spellEnd"/>
      <w:r w:rsidR="00DA3117" w:rsidRPr="009E0754">
        <w:t xml:space="preserve"> </w:t>
      </w:r>
      <w:proofErr w:type="spellStart"/>
      <w:r w:rsidR="00DA3117" w:rsidRPr="009E0754">
        <w:t>to</w:t>
      </w:r>
      <w:proofErr w:type="spellEnd"/>
      <w:r w:rsidR="00DA3117" w:rsidRPr="009E0754">
        <w:t xml:space="preserve"> </w:t>
      </w:r>
      <w:proofErr w:type="spellStart"/>
      <w:r w:rsidR="00DA3117" w:rsidRPr="009E0754">
        <w:t>ethical</w:t>
      </w:r>
      <w:proofErr w:type="spellEnd"/>
      <w:r w:rsidR="00DA3117" w:rsidRPr="009E0754">
        <w:t xml:space="preserve"> </w:t>
      </w:r>
      <w:proofErr w:type="spellStart"/>
      <w:r w:rsidR="00DA3117" w:rsidRPr="009E0754">
        <w:t>conflicts</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t>emotional</w:t>
      </w:r>
      <w:proofErr w:type="spellEnd"/>
      <w:r w:rsidR="00DA3117" w:rsidRPr="009E0754">
        <w:t xml:space="preserve"> </w:t>
      </w:r>
      <w:proofErr w:type="spellStart"/>
      <w:r w:rsidR="00DA3117" w:rsidRPr="009E0754">
        <w:t>discourse</w:t>
      </w:r>
      <w:proofErr w:type="spellEnd"/>
      <w:r w:rsidR="00DA3117" w:rsidRPr="009E0754">
        <w:t xml:space="preserve">. </w:t>
      </w:r>
      <w:proofErr w:type="spellStart"/>
      <w:r w:rsidR="00DA3117" w:rsidRPr="009E0754">
        <w:t>Selected</w:t>
      </w:r>
      <w:proofErr w:type="spellEnd"/>
      <w:r w:rsidR="00DA3117" w:rsidRPr="009E0754">
        <w:t xml:space="preserve"> </w:t>
      </w:r>
      <w:proofErr w:type="spellStart"/>
      <w:r w:rsidR="00DA3117" w:rsidRPr="009E0754">
        <w:t>excerpts</w:t>
      </w:r>
      <w:proofErr w:type="spellEnd"/>
      <w:r w:rsidR="00DA3117" w:rsidRPr="009E0754">
        <w:t xml:space="preserve"> </w:t>
      </w:r>
      <w:proofErr w:type="spellStart"/>
      <w:r w:rsidR="00DA3117" w:rsidRPr="009E0754">
        <w:t>are</w:t>
      </w:r>
      <w:proofErr w:type="spellEnd"/>
      <w:r w:rsidR="00DA3117" w:rsidRPr="009E0754">
        <w:t xml:space="preserve"> </w:t>
      </w:r>
      <w:proofErr w:type="spellStart"/>
      <w:r w:rsidR="00DA3117" w:rsidRPr="009E0754">
        <w:t>subjected</w:t>
      </w:r>
      <w:proofErr w:type="spellEnd"/>
      <w:r w:rsidR="00DA3117" w:rsidRPr="009E0754">
        <w:t xml:space="preserve"> </w:t>
      </w:r>
      <w:proofErr w:type="spellStart"/>
      <w:r w:rsidR="00DA3117" w:rsidRPr="009E0754">
        <w:t>to</w:t>
      </w:r>
      <w:proofErr w:type="spellEnd"/>
      <w:r w:rsidR="00DA3117" w:rsidRPr="009E0754">
        <w:t xml:space="preserve"> </w:t>
      </w:r>
      <w:proofErr w:type="spellStart"/>
      <w:r w:rsidR="00DA3117" w:rsidRPr="009E0754">
        <w:t>close</w:t>
      </w:r>
      <w:proofErr w:type="spellEnd"/>
      <w:r w:rsidR="00DA3117" w:rsidRPr="009E0754">
        <w:t xml:space="preserve"> </w:t>
      </w:r>
      <w:proofErr w:type="spellStart"/>
      <w:r w:rsidR="00DA3117" w:rsidRPr="009E0754">
        <w:t>textual</w:t>
      </w:r>
      <w:proofErr w:type="spellEnd"/>
      <w:r w:rsidR="00DA3117" w:rsidRPr="009E0754">
        <w:t xml:space="preserve"> </w:t>
      </w:r>
      <w:proofErr w:type="spellStart"/>
      <w:r w:rsidR="00DA3117" w:rsidRPr="009E0754">
        <w:t>analysis</w:t>
      </w:r>
      <w:proofErr w:type="spellEnd"/>
      <w:r w:rsidR="00DA3117" w:rsidRPr="009E0754">
        <w:t xml:space="preserve"> </w:t>
      </w:r>
      <w:proofErr w:type="spellStart"/>
      <w:r w:rsidR="00DA3117" w:rsidRPr="009E0754">
        <w:t>to</w:t>
      </w:r>
      <w:proofErr w:type="spellEnd"/>
      <w:r w:rsidR="00DA3117" w:rsidRPr="009E0754">
        <w:t xml:space="preserve"> </w:t>
      </w:r>
      <w:proofErr w:type="spellStart"/>
      <w:r w:rsidR="00DA3117" w:rsidRPr="009E0754">
        <w:t>uncover</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underlying</w:t>
      </w:r>
      <w:proofErr w:type="spellEnd"/>
      <w:r w:rsidR="00DA3117" w:rsidRPr="009E0754">
        <w:t xml:space="preserve"> </w:t>
      </w:r>
      <w:proofErr w:type="spellStart"/>
      <w:r w:rsidR="00DA3117" w:rsidRPr="009E0754">
        <w:t>socio</w:t>
      </w:r>
      <w:proofErr w:type="spellEnd"/>
      <w:r w:rsidR="00DA3117" w:rsidRPr="009E0754">
        <w:t xml:space="preserve">-moral </w:t>
      </w:r>
      <w:proofErr w:type="spellStart"/>
      <w:r w:rsidR="00DA3117" w:rsidRPr="009E0754">
        <w:t>dimensions</w:t>
      </w:r>
      <w:proofErr w:type="spellEnd"/>
      <w:r w:rsidR="00DA3117" w:rsidRPr="009E0754">
        <w:t xml:space="preserve"> </w:t>
      </w:r>
      <w:proofErr w:type="spellStart"/>
      <w:r w:rsidR="00DA3117" w:rsidRPr="009E0754">
        <w:t>embedded</w:t>
      </w:r>
      <w:proofErr w:type="spellEnd"/>
      <w:r w:rsidR="00DA3117" w:rsidRPr="009E0754">
        <w:t xml:space="preserve"> </w:t>
      </w:r>
      <w:proofErr w:type="spellStart"/>
      <w:r w:rsidR="00DA3117" w:rsidRPr="009E0754">
        <w:t>within</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narratives</w:t>
      </w:r>
      <w:proofErr w:type="spellEnd"/>
      <w:r w:rsidR="00DA3117" w:rsidRPr="009E0754">
        <w:t xml:space="preserve">. </w:t>
      </w:r>
      <w:proofErr w:type="spellStart"/>
      <w:r w:rsidR="00DA3117" w:rsidRPr="009E0754">
        <w:t>To</w:t>
      </w:r>
      <w:proofErr w:type="spellEnd"/>
      <w:r w:rsidR="00DA3117" w:rsidRPr="009E0754">
        <w:t xml:space="preserve"> </w:t>
      </w:r>
      <w:proofErr w:type="spellStart"/>
      <w:r w:rsidR="00DA3117" w:rsidRPr="009E0754">
        <w:t>establish</w:t>
      </w:r>
      <w:proofErr w:type="spellEnd"/>
      <w:r w:rsidR="00DA3117" w:rsidRPr="009E0754">
        <w:t xml:space="preserve"> a </w:t>
      </w:r>
      <w:proofErr w:type="spellStart"/>
      <w:r w:rsidR="00DA3117" w:rsidRPr="009E0754">
        <w:t>broader</w:t>
      </w:r>
      <w:proofErr w:type="spellEnd"/>
      <w:r w:rsidR="00DA3117" w:rsidRPr="009E0754">
        <w:t xml:space="preserve"> </w:t>
      </w:r>
      <w:proofErr w:type="spellStart"/>
      <w:r w:rsidR="00DA3117" w:rsidRPr="009E0754">
        <w:t>contextual</w:t>
      </w:r>
      <w:proofErr w:type="spellEnd"/>
      <w:r w:rsidR="00DA3117" w:rsidRPr="009E0754">
        <w:t xml:space="preserve"> </w:t>
      </w:r>
      <w:proofErr w:type="spellStart"/>
      <w:r w:rsidR="00DA3117" w:rsidRPr="009E0754">
        <w:t>understanding</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research</w:t>
      </w:r>
      <w:proofErr w:type="spellEnd"/>
      <w:r w:rsidR="00DA3117" w:rsidRPr="009E0754">
        <w:t xml:space="preserve"> </w:t>
      </w:r>
      <w:proofErr w:type="spellStart"/>
      <w:r w:rsidR="00DA3117" w:rsidRPr="009E0754">
        <w:t>incorporates</w:t>
      </w:r>
      <w:proofErr w:type="spellEnd"/>
      <w:r w:rsidR="00DA3117" w:rsidRPr="009E0754">
        <w:t xml:space="preserve"> a </w:t>
      </w:r>
      <w:proofErr w:type="spellStart"/>
      <w:r w:rsidR="00DA3117" w:rsidRPr="009E0754">
        <w:t>range</w:t>
      </w:r>
      <w:proofErr w:type="spellEnd"/>
      <w:r w:rsidR="00DA3117" w:rsidRPr="009E0754">
        <w:t xml:space="preserve"> of </w:t>
      </w:r>
      <w:proofErr w:type="spellStart"/>
      <w:r w:rsidR="00DA3117" w:rsidRPr="009E0754">
        <w:t>secondary</w:t>
      </w:r>
      <w:proofErr w:type="spellEnd"/>
      <w:r w:rsidR="00DA3117" w:rsidRPr="009E0754">
        <w:t xml:space="preserve"> </w:t>
      </w:r>
      <w:proofErr w:type="spellStart"/>
      <w:r w:rsidR="00DA3117" w:rsidRPr="009E0754">
        <w:t>sources</w:t>
      </w:r>
      <w:proofErr w:type="spellEnd"/>
      <w:r w:rsidR="00DA3117" w:rsidRPr="009E0754">
        <w:t xml:space="preserve">, </w:t>
      </w:r>
      <w:proofErr w:type="spellStart"/>
      <w:r w:rsidR="00DA3117" w:rsidRPr="009E0754">
        <w:t>including</w:t>
      </w:r>
      <w:proofErr w:type="spellEnd"/>
      <w:r w:rsidR="00DA3117" w:rsidRPr="009E0754">
        <w:t xml:space="preserve"> </w:t>
      </w:r>
      <w:proofErr w:type="spellStart"/>
      <w:r w:rsidR="00DA3117" w:rsidRPr="009E0754">
        <w:t>peer-reviewed</w:t>
      </w:r>
      <w:proofErr w:type="spellEnd"/>
      <w:r w:rsidR="00DA3117" w:rsidRPr="009E0754">
        <w:t xml:space="preserve"> </w:t>
      </w:r>
      <w:proofErr w:type="spellStart"/>
      <w:r w:rsidR="00DA3117" w:rsidRPr="009E0754">
        <w:t>journal</w:t>
      </w:r>
      <w:proofErr w:type="spellEnd"/>
      <w:r w:rsidR="00DA3117" w:rsidRPr="009E0754">
        <w:t xml:space="preserve"> </w:t>
      </w:r>
      <w:proofErr w:type="spellStart"/>
      <w:r w:rsidR="00DA3117" w:rsidRPr="009E0754">
        <w:t>articles</w:t>
      </w:r>
      <w:proofErr w:type="spellEnd"/>
      <w:r w:rsidR="00DA3117" w:rsidRPr="009E0754">
        <w:t xml:space="preserve">, </w:t>
      </w:r>
      <w:proofErr w:type="spellStart"/>
      <w:r w:rsidR="00DA3117" w:rsidRPr="009E0754">
        <w:t>critical</w:t>
      </w:r>
      <w:proofErr w:type="spellEnd"/>
      <w:r w:rsidR="00DA3117" w:rsidRPr="009E0754">
        <w:t xml:space="preserve"> </w:t>
      </w:r>
      <w:proofErr w:type="spellStart"/>
      <w:r w:rsidR="00DA3117" w:rsidRPr="009E0754">
        <w:t>essays</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t>historical</w:t>
      </w:r>
      <w:proofErr w:type="spellEnd"/>
      <w:r w:rsidR="00DA3117" w:rsidRPr="009E0754">
        <w:t xml:space="preserve"> </w:t>
      </w:r>
      <w:proofErr w:type="spellStart"/>
      <w:r w:rsidR="00DA3117" w:rsidRPr="009E0754">
        <w:t>records</w:t>
      </w:r>
      <w:proofErr w:type="spellEnd"/>
      <w:r w:rsidR="00DA3117" w:rsidRPr="009E0754">
        <w:t xml:space="preserve">. </w:t>
      </w:r>
      <w:proofErr w:type="spellStart"/>
      <w:r w:rsidR="00DA3117" w:rsidRPr="009E0754">
        <w:t>This</w:t>
      </w:r>
      <w:proofErr w:type="spellEnd"/>
      <w:r w:rsidR="00DA3117" w:rsidRPr="009E0754">
        <w:t xml:space="preserve"> </w:t>
      </w:r>
      <w:proofErr w:type="spellStart"/>
      <w:r w:rsidR="00DA3117" w:rsidRPr="009E0754">
        <w:t>interdisciplinary</w:t>
      </w:r>
      <w:proofErr w:type="spellEnd"/>
      <w:r w:rsidR="00DA3117" w:rsidRPr="009E0754">
        <w:t xml:space="preserve"> </w:t>
      </w:r>
      <w:proofErr w:type="spellStart"/>
      <w:r w:rsidR="00DA3117" w:rsidRPr="009E0754">
        <w:t>methodology</w:t>
      </w:r>
      <w:proofErr w:type="spellEnd"/>
      <w:r w:rsidR="00DA3117" w:rsidRPr="009E0754">
        <w:t xml:space="preserve"> </w:t>
      </w:r>
      <w:proofErr w:type="spellStart"/>
      <w:r w:rsidR="00DA3117" w:rsidRPr="009E0754">
        <w:t>integrates</w:t>
      </w:r>
      <w:proofErr w:type="spellEnd"/>
      <w:r w:rsidR="00DA3117" w:rsidRPr="009E0754">
        <w:t xml:space="preserve"> </w:t>
      </w:r>
      <w:proofErr w:type="spellStart"/>
      <w:r w:rsidR="00DA3117" w:rsidRPr="009E0754">
        <w:t>perspectives</w:t>
      </w:r>
      <w:proofErr w:type="spellEnd"/>
      <w:r w:rsidR="00DA3117" w:rsidRPr="009E0754">
        <w:t xml:space="preserve"> </w:t>
      </w:r>
      <w:proofErr w:type="spellStart"/>
      <w:r w:rsidR="00DA3117" w:rsidRPr="009E0754">
        <w:t>from</w:t>
      </w:r>
      <w:proofErr w:type="spellEnd"/>
      <w:r w:rsidR="00DA3117" w:rsidRPr="009E0754">
        <w:t xml:space="preserve"> </w:t>
      </w:r>
      <w:proofErr w:type="spellStart"/>
      <w:r w:rsidR="00DA3117" w:rsidRPr="009E0754">
        <w:t>literary</w:t>
      </w:r>
      <w:proofErr w:type="spellEnd"/>
      <w:r w:rsidR="00DA3117" w:rsidRPr="009E0754">
        <w:t xml:space="preserve"> </w:t>
      </w:r>
      <w:proofErr w:type="spellStart"/>
      <w:r w:rsidR="00DA3117" w:rsidRPr="009E0754">
        <w:t>criticism</w:t>
      </w:r>
      <w:proofErr w:type="spellEnd"/>
      <w:r w:rsidR="00DA3117" w:rsidRPr="009E0754">
        <w:t xml:space="preserve">, moral </w:t>
      </w:r>
      <w:proofErr w:type="spellStart"/>
      <w:r w:rsidR="00DA3117" w:rsidRPr="009E0754">
        <w:t>philosophy</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t>social</w:t>
      </w:r>
      <w:proofErr w:type="spellEnd"/>
      <w:r w:rsidR="00DA3117" w:rsidRPr="009E0754">
        <w:t xml:space="preserve"> </w:t>
      </w:r>
      <w:proofErr w:type="spellStart"/>
      <w:r w:rsidR="00DA3117" w:rsidRPr="009E0754">
        <w:t>history</w:t>
      </w:r>
      <w:proofErr w:type="spellEnd"/>
      <w:r w:rsidR="00DA3117" w:rsidRPr="009E0754">
        <w:t xml:space="preserve"> </w:t>
      </w:r>
      <w:proofErr w:type="spellStart"/>
      <w:r w:rsidR="00DA3117" w:rsidRPr="009E0754">
        <w:t>to</w:t>
      </w:r>
      <w:proofErr w:type="spellEnd"/>
      <w:r w:rsidR="00DA3117" w:rsidRPr="009E0754">
        <w:t xml:space="preserve"> </w:t>
      </w:r>
      <w:proofErr w:type="spellStart"/>
      <w:r w:rsidR="00DA3117" w:rsidRPr="009E0754">
        <w:t>provide</w:t>
      </w:r>
      <w:proofErr w:type="spellEnd"/>
      <w:r w:rsidR="00DA3117" w:rsidRPr="009E0754">
        <w:t xml:space="preserve"> a </w:t>
      </w:r>
      <w:proofErr w:type="spellStart"/>
      <w:r w:rsidR="00DA3117" w:rsidRPr="009E0754">
        <w:t>comprehensive</w:t>
      </w:r>
      <w:proofErr w:type="spellEnd"/>
      <w:r w:rsidR="00DA3117" w:rsidRPr="009E0754">
        <w:t xml:space="preserve"> </w:t>
      </w:r>
      <w:proofErr w:type="spellStart"/>
      <w:r w:rsidR="00DA3117" w:rsidRPr="009E0754">
        <w:t>analysis</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study</w:t>
      </w:r>
      <w:proofErr w:type="spellEnd"/>
      <w:r w:rsidR="00DA3117" w:rsidRPr="009E0754">
        <w:t xml:space="preserve"> </w:t>
      </w:r>
      <w:proofErr w:type="spellStart"/>
      <w:r w:rsidR="00DA3117" w:rsidRPr="009E0754">
        <w:t>synthesizes</w:t>
      </w:r>
      <w:proofErr w:type="spellEnd"/>
      <w:r w:rsidR="00DA3117" w:rsidRPr="009E0754">
        <w:t xml:space="preserve"> </w:t>
      </w:r>
      <w:proofErr w:type="spellStart"/>
      <w:r w:rsidR="00DA3117" w:rsidRPr="009E0754">
        <w:t>its</w:t>
      </w:r>
      <w:proofErr w:type="spellEnd"/>
      <w:r w:rsidR="00DA3117" w:rsidRPr="009E0754">
        <w:t xml:space="preserve"> </w:t>
      </w:r>
      <w:proofErr w:type="spellStart"/>
      <w:r w:rsidR="00DA3117" w:rsidRPr="009E0754">
        <w:t>findings</w:t>
      </w:r>
      <w:proofErr w:type="spellEnd"/>
      <w:r w:rsidR="00DA3117" w:rsidRPr="009E0754">
        <w:t xml:space="preserve"> </w:t>
      </w:r>
      <w:proofErr w:type="spellStart"/>
      <w:r w:rsidR="00DA3117" w:rsidRPr="009E0754">
        <w:t>by</w:t>
      </w:r>
      <w:proofErr w:type="spellEnd"/>
      <w:r w:rsidR="00DA3117" w:rsidRPr="009E0754">
        <w:t xml:space="preserve"> </w:t>
      </w:r>
      <w:proofErr w:type="spellStart"/>
      <w:r w:rsidR="00DA3117" w:rsidRPr="009E0754">
        <w:t>drawing</w:t>
      </w:r>
      <w:proofErr w:type="spellEnd"/>
      <w:r w:rsidR="00DA3117" w:rsidRPr="009E0754">
        <w:t xml:space="preserve"> </w:t>
      </w:r>
      <w:proofErr w:type="spellStart"/>
      <w:r w:rsidR="00DA3117" w:rsidRPr="009E0754">
        <w:t>parallels</w:t>
      </w:r>
      <w:proofErr w:type="spellEnd"/>
      <w:r w:rsidR="00DA3117" w:rsidRPr="009E0754">
        <w:t xml:space="preserve"> </w:t>
      </w:r>
      <w:proofErr w:type="spellStart"/>
      <w:r w:rsidR="00DA3117" w:rsidRPr="009E0754">
        <w:t>between</w:t>
      </w:r>
      <w:proofErr w:type="spellEnd"/>
      <w:r w:rsidR="00DA3117" w:rsidRPr="009E0754">
        <w:t xml:space="preserve"> </w:t>
      </w:r>
      <w:proofErr w:type="spellStart"/>
      <w:r w:rsidR="00DA3117" w:rsidRPr="009E0754">
        <w:t>the</w:t>
      </w:r>
      <w:proofErr w:type="spellEnd"/>
      <w:r w:rsidR="00DA3117" w:rsidRPr="009E0754">
        <w:t xml:space="preserve"> two </w:t>
      </w:r>
      <w:proofErr w:type="spellStart"/>
      <w:r w:rsidR="00DA3117" w:rsidRPr="009E0754">
        <w:t>authors</w:t>
      </w:r>
      <w:proofErr w:type="spellEnd"/>
      <w:r w:rsidR="00DA3117" w:rsidRPr="009E0754">
        <w:t xml:space="preserve">’ </w:t>
      </w:r>
      <w:proofErr w:type="spellStart"/>
      <w:r w:rsidR="00DA3117" w:rsidRPr="009E0754">
        <w:t>works</w:t>
      </w:r>
      <w:proofErr w:type="spellEnd"/>
      <w:r w:rsidR="00DA3117" w:rsidRPr="009E0754">
        <w:t xml:space="preserve">, </w:t>
      </w:r>
      <w:proofErr w:type="spellStart"/>
      <w:r w:rsidR="00DA3117" w:rsidRPr="009E0754">
        <w:t>highlighting</w:t>
      </w:r>
      <w:proofErr w:type="spellEnd"/>
      <w:r w:rsidR="00DA3117" w:rsidRPr="009E0754">
        <w:t xml:space="preserve"> </w:t>
      </w:r>
      <w:proofErr w:type="spellStart"/>
      <w:r w:rsidR="00DA3117" w:rsidRPr="009E0754">
        <w:t>both</w:t>
      </w:r>
      <w:proofErr w:type="spellEnd"/>
      <w:r w:rsidR="00DA3117" w:rsidRPr="009E0754">
        <w:t xml:space="preserve"> </w:t>
      </w:r>
      <w:proofErr w:type="spellStart"/>
      <w:r w:rsidR="00DA3117" w:rsidRPr="009E0754">
        <w:t>convergent</w:t>
      </w:r>
      <w:proofErr w:type="spellEnd"/>
      <w:r w:rsidR="00DA3117" w:rsidRPr="009E0754">
        <w:t xml:space="preserve"> </w:t>
      </w:r>
      <w:proofErr w:type="spellStart"/>
      <w:r w:rsidR="00DA3117" w:rsidRPr="009E0754">
        <w:t>themes</w:t>
      </w:r>
      <w:proofErr w:type="spellEnd"/>
      <w:r w:rsidR="00DA3117" w:rsidRPr="009E0754">
        <w:t xml:space="preserve"> </w:t>
      </w:r>
      <w:proofErr w:type="spellStart"/>
      <w:r w:rsidR="00DA3117" w:rsidRPr="009E0754">
        <w:t>and</w:t>
      </w:r>
      <w:proofErr w:type="spellEnd"/>
      <w:r w:rsidR="00DA3117" w:rsidRPr="009E0754">
        <w:t xml:space="preserve"> </w:t>
      </w:r>
      <w:proofErr w:type="spellStart"/>
      <w:r w:rsidR="00DA3117" w:rsidRPr="009E0754">
        <w:t>distinct</w:t>
      </w:r>
      <w:proofErr w:type="spellEnd"/>
      <w:r w:rsidR="00DA3117" w:rsidRPr="009E0754">
        <w:t xml:space="preserve"> </w:t>
      </w:r>
      <w:proofErr w:type="spellStart"/>
      <w:r w:rsidR="00DA3117" w:rsidRPr="009E0754">
        <w:t>narrative</w:t>
      </w:r>
      <w:proofErr w:type="spellEnd"/>
      <w:r w:rsidR="00DA3117" w:rsidRPr="009E0754">
        <w:t xml:space="preserve"> </w:t>
      </w:r>
      <w:proofErr w:type="spellStart"/>
      <w:r w:rsidR="00DA3117" w:rsidRPr="009E0754">
        <w:t>strategies</w:t>
      </w:r>
      <w:proofErr w:type="spellEnd"/>
      <w:r w:rsidR="00DA3117" w:rsidRPr="009E0754">
        <w:t xml:space="preserve">, </w:t>
      </w:r>
      <w:proofErr w:type="spellStart"/>
      <w:r w:rsidR="00DA3117" w:rsidRPr="009E0754">
        <w:t>ultimately</w:t>
      </w:r>
      <w:proofErr w:type="spellEnd"/>
      <w:r w:rsidR="00DA3117" w:rsidRPr="009E0754">
        <w:t xml:space="preserve"> </w:t>
      </w:r>
      <w:proofErr w:type="spellStart"/>
      <w:r w:rsidR="00DA3117" w:rsidRPr="009E0754">
        <w:t>offering</w:t>
      </w:r>
      <w:proofErr w:type="spellEnd"/>
      <w:r w:rsidR="00DA3117" w:rsidRPr="009E0754">
        <w:t xml:space="preserve"> </w:t>
      </w:r>
      <w:proofErr w:type="spellStart"/>
      <w:r w:rsidR="00DA3117" w:rsidRPr="009E0754">
        <w:t>new</w:t>
      </w:r>
      <w:proofErr w:type="spellEnd"/>
      <w:r w:rsidR="00DA3117" w:rsidRPr="009E0754">
        <w:t xml:space="preserve"> </w:t>
      </w:r>
      <w:proofErr w:type="spellStart"/>
      <w:r w:rsidR="00DA3117" w:rsidRPr="009E0754">
        <w:t>insights</w:t>
      </w:r>
      <w:proofErr w:type="spellEnd"/>
      <w:r w:rsidR="00DA3117" w:rsidRPr="009E0754">
        <w:t xml:space="preserve"> </w:t>
      </w:r>
      <w:proofErr w:type="spellStart"/>
      <w:r w:rsidR="00DA3117" w:rsidRPr="009E0754">
        <w:t>into</w:t>
      </w:r>
      <w:proofErr w:type="spellEnd"/>
      <w:r w:rsidR="00DA3117" w:rsidRPr="009E0754">
        <w:t xml:space="preserve"> </w:t>
      </w:r>
      <w:proofErr w:type="spellStart"/>
      <w:r w:rsidR="00DA3117" w:rsidRPr="009E0754">
        <w:t>the</w:t>
      </w:r>
      <w:proofErr w:type="spellEnd"/>
      <w:r w:rsidR="00DA3117" w:rsidRPr="009E0754">
        <w:t xml:space="preserve"> </w:t>
      </w:r>
      <w:proofErr w:type="spellStart"/>
      <w:r w:rsidR="00DA3117" w:rsidRPr="009E0754">
        <w:t>socio</w:t>
      </w:r>
      <w:proofErr w:type="spellEnd"/>
      <w:r w:rsidR="00DA3117" w:rsidRPr="009E0754">
        <w:t xml:space="preserve">-moral </w:t>
      </w:r>
      <w:proofErr w:type="spellStart"/>
      <w:r w:rsidR="00DA3117" w:rsidRPr="009E0754">
        <w:t>commentary</w:t>
      </w:r>
      <w:proofErr w:type="spellEnd"/>
      <w:r w:rsidR="00DA3117" w:rsidRPr="009E0754">
        <w:t xml:space="preserve"> of </w:t>
      </w:r>
      <w:proofErr w:type="spellStart"/>
      <w:r w:rsidR="00DA3117" w:rsidRPr="009E0754">
        <w:t>sentimentalist</w:t>
      </w:r>
      <w:proofErr w:type="spellEnd"/>
      <w:r w:rsidR="00DA3117" w:rsidRPr="009E0754">
        <w:t xml:space="preserve"> </w:t>
      </w:r>
      <w:proofErr w:type="spellStart"/>
      <w:r w:rsidR="00DA3117" w:rsidRPr="009E0754">
        <w:t>prose</w:t>
      </w:r>
      <w:proofErr w:type="spellEnd"/>
      <w:r w:rsidR="00DA3117" w:rsidRPr="009E0754">
        <w:t>.</w:t>
      </w:r>
    </w:p>
    <w:p w14:paraId="7B23735B" w14:textId="77777777" w:rsidR="00BA67A6" w:rsidRPr="009E0754" w:rsidRDefault="00BA67A6" w:rsidP="00BA67A6">
      <w:pPr>
        <w:jc w:val="both"/>
      </w:pPr>
    </w:p>
    <w:p w14:paraId="2DAA48AA" w14:textId="77777777" w:rsidR="00DA3117" w:rsidRPr="009E0754" w:rsidRDefault="00DA3117" w:rsidP="00BA67A6">
      <w:pPr>
        <w:jc w:val="both"/>
        <w:rPr>
          <w:b/>
          <w:bCs/>
        </w:rPr>
      </w:pPr>
      <w:proofErr w:type="spellStart"/>
      <w:r w:rsidRPr="009E0754">
        <w:rPr>
          <w:b/>
          <w:bCs/>
        </w:rPr>
        <w:t>Materials</w:t>
      </w:r>
      <w:proofErr w:type="spellEnd"/>
      <w:r w:rsidRPr="009E0754">
        <w:rPr>
          <w:b/>
          <w:bCs/>
        </w:rPr>
        <w:t xml:space="preserve"> </w:t>
      </w:r>
      <w:proofErr w:type="spellStart"/>
      <w:r w:rsidRPr="009E0754">
        <w:rPr>
          <w:b/>
          <w:bCs/>
        </w:rPr>
        <w:t>and</w:t>
      </w:r>
      <w:proofErr w:type="spellEnd"/>
      <w:r w:rsidRPr="009E0754">
        <w:rPr>
          <w:b/>
          <w:bCs/>
        </w:rPr>
        <w:t xml:space="preserve"> </w:t>
      </w:r>
      <w:proofErr w:type="spellStart"/>
      <w:r w:rsidRPr="009E0754">
        <w:rPr>
          <w:b/>
          <w:bCs/>
        </w:rPr>
        <w:t>Discussion</w:t>
      </w:r>
      <w:proofErr w:type="spellEnd"/>
    </w:p>
    <w:p w14:paraId="78B26651" w14:textId="77777777" w:rsidR="00DA3117" w:rsidRDefault="00DA3117" w:rsidP="00BA67A6">
      <w:pPr>
        <w:jc w:val="both"/>
      </w:pPr>
      <w:proofErr w:type="spellStart"/>
      <w:r w:rsidRPr="009E0754">
        <w:t>The</w:t>
      </w:r>
      <w:proofErr w:type="spellEnd"/>
      <w:r w:rsidRPr="009E0754">
        <w:t xml:space="preserve"> </w:t>
      </w:r>
      <w:proofErr w:type="spellStart"/>
      <w:r w:rsidRPr="009E0754">
        <w:t>primary</w:t>
      </w:r>
      <w:proofErr w:type="spellEnd"/>
      <w:r w:rsidRPr="009E0754">
        <w:t xml:space="preserve"> </w:t>
      </w:r>
      <w:proofErr w:type="spellStart"/>
      <w:r w:rsidRPr="009E0754">
        <w:t>sources</w:t>
      </w:r>
      <w:proofErr w:type="spellEnd"/>
      <w:r w:rsidRPr="009E0754">
        <w:t xml:space="preserve"> </w:t>
      </w:r>
      <w:proofErr w:type="spellStart"/>
      <w:r w:rsidRPr="009E0754">
        <w:t>analyzed</w:t>
      </w:r>
      <w:proofErr w:type="spellEnd"/>
      <w:r w:rsidRPr="009E0754">
        <w:t xml:space="preserve"> in </w:t>
      </w:r>
      <w:proofErr w:type="spellStart"/>
      <w:r w:rsidRPr="009E0754">
        <w:t>this</w:t>
      </w:r>
      <w:proofErr w:type="spellEnd"/>
      <w:r w:rsidRPr="009E0754">
        <w:t xml:space="preserve"> </w:t>
      </w:r>
      <w:proofErr w:type="spellStart"/>
      <w:r w:rsidRPr="009E0754">
        <w:t>study</w:t>
      </w:r>
      <w:proofErr w:type="spellEnd"/>
      <w:r w:rsidRPr="009E0754">
        <w:t xml:space="preserve"> </w:t>
      </w:r>
      <w:proofErr w:type="spellStart"/>
      <w:r w:rsidRPr="009E0754">
        <w:t>are</w:t>
      </w:r>
      <w:proofErr w:type="spellEnd"/>
      <w:r w:rsidRPr="009E0754">
        <w:t xml:space="preserve"> Oliver </w:t>
      </w:r>
      <w:proofErr w:type="spellStart"/>
      <w:r w:rsidRPr="009E0754">
        <w:t>Goldsmith’s</w:t>
      </w:r>
      <w:proofErr w:type="spellEnd"/>
      <w:r w:rsidRPr="009E0754">
        <w:t xml:space="preserve">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and</w:t>
      </w:r>
      <w:proofErr w:type="spellEnd"/>
      <w:r w:rsidRPr="009E0754">
        <w:t xml:space="preserve"> Henry </w:t>
      </w:r>
      <w:proofErr w:type="spellStart"/>
      <w:r w:rsidRPr="009E0754">
        <w:t>Mackenzie’s</w:t>
      </w:r>
      <w:proofErr w:type="spellEnd"/>
      <w:r w:rsidRPr="009E0754">
        <w:t xml:space="preserve">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w:t>
      </w:r>
      <w:proofErr w:type="spellStart"/>
      <w:r w:rsidRPr="009E0754">
        <w:t>both</w:t>
      </w:r>
      <w:proofErr w:type="spellEnd"/>
      <w:r w:rsidRPr="009E0754">
        <w:t xml:space="preserve"> of </w:t>
      </w:r>
      <w:proofErr w:type="spellStart"/>
      <w:r w:rsidRPr="009E0754">
        <w:t>which</w:t>
      </w:r>
      <w:proofErr w:type="spellEnd"/>
      <w:r w:rsidRPr="009E0754">
        <w:t xml:space="preserve"> </w:t>
      </w:r>
      <w:proofErr w:type="spellStart"/>
      <w:r w:rsidRPr="009E0754">
        <w:t>serve</w:t>
      </w:r>
      <w:proofErr w:type="spellEnd"/>
      <w:r w:rsidRPr="009E0754">
        <w:t xml:space="preserve"> as </w:t>
      </w:r>
      <w:proofErr w:type="spellStart"/>
      <w:r w:rsidRPr="009E0754">
        <w:t>quintessential</w:t>
      </w:r>
      <w:proofErr w:type="spellEnd"/>
      <w:r w:rsidRPr="009E0754">
        <w:t xml:space="preserve"> </w:t>
      </w:r>
      <w:proofErr w:type="spellStart"/>
      <w:r w:rsidRPr="009E0754">
        <w:t>examples</w:t>
      </w:r>
      <w:proofErr w:type="spellEnd"/>
      <w:r w:rsidRPr="009E0754">
        <w:t xml:space="preserve"> of </w:t>
      </w:r>
      <w:proofErr w:type="spellStart"/>
      <w:r w:rsidRPr="009E0754">
        <w:t>sentimentalist</w:t>
      </w:r>
      <w:proofErr w:type="spellEnd"/>
      <w:r w:rsidRPr="009E0754">
        <w:t xml:space="preserve"> </w:t>
      </w:r>
      <w:proofErr w:type="spellStart"/>
      <w:r w:rsidRPr="009E0754">
        <w:t>prose</w:t>
      </w:r>
      <w:proofErr w:type="spellEnd"/>
      <w:r w:rsidRPr="009E0754">
        <w:t xml:space="preserve">. </w:t>
      </w:r>
      <w:proofErr w:type="spellStart"/>
      <w:r w:rsidRPr="009E0754">
        <w:t>These</w:t>
      </w:r>
      <w:proofErr w:type="spellEnd"/>
      <w:r w:rsidRPr="009E0754">
        <w:t xml:space="preserve"> </w:t>
      </w:r>
      <w:proofErr w:type="spellStart"/>
      <w:r w:rsidRPr="009E0754">
        <w:t>novels</w:t>
      </w:r>
      <w:proofErr w:type="spellEnd"/>
      <w:r w:rsidRPr="009E0754">
        <w:t xml:space="preserve"> </w:t>
      </w:r>
      <w:proofErr w:type="spellStart"/>
      <w:r w:rsidRPr="009E0754">
        <w:t>seamlessly</w:t>
      </w:r>
      <w:proofErr w:type="spellEnd"/>
      <w:r w:rsidRPr="009E0754">
        <w:t xml:space="preserve"> </w:t>
      </w:r>
      <w:proofErr w:type="spellStart"/>
      <w:r w:rsidRPr="009E0754">
        <w:t>blend</w:t>
      </w:r>
      <w:proofErr w:type="spellEnd"/>
      <w:r w:rsidRPr="009E0754">
        <w:t xml:space="preserve"> </w:t>
      </w:r>
      <w:proofErr w:type="spellStart"/>
      <w:r w:rsidRPr="009E0754">
        <w:t>emotional</w:t>
      </w:r>
      <w:proofErr w:type="spellEnd"/>
      <w:r w:rsidRPr="009E0754">
        <w:t xml:space="preserve"> </w:t>
      </w:r>
      <w:proofErr w:type="spellStart"/>
      <w:r w:rsidRPr="009E0754">
        <w:t>resonance</w:t>
      </w:r>
      <w:proofErr w:type="spellEnd"/>
      <w:r w:rsidRPr="009E0754">
        <w:t xml:space="preserve"> </w:t>
      </w:r>
      <w:proofErr w:type="spellStart"/>
      <w:r w:rsidRPr="009E0754">
        <w:t>with</w:t>
      </w:r>
      <w:proofErr w:type="spellEnd"/>
      <w:r w:rsidRPr="009E0754">
        <w:t xml:space="preserve"> </w:t>
      </w:r>
      <w:proofErr w:type="spellStart"/>
      <w:r w:rsidRPr="009E0754">
        <w:t>profound</w:t>
      </w:r>
      <w:proofErr w:type="spellEnd"/>
      <w:r w:rsidRPr="009E0754">
        <w:t xml:space="preserve"> moral </w:t>
      </w:r>
      <w:proofErr w:type="spellStart"/>
      <w:r w:rsidRPr="009E0754">
        <w:t>reflection</w:t>
      </w:r>
      <w:proofErr w:type="spellEnd"/>
      <w:r w:rsidRPr="009E0754">
        <w:t xml:space="preserve">, </w:t>
      </w:r>
      <w:proofErr w:type="spellStart"/>
      <w:r w:rsidRPr="009E0754">
        <w:t>offering</w:t>
      </w:r>
      <w:proofErr w:type="spellEnd"/>
      <w:r w:rsidRPr="009E0754">
        <w:t xml:space="preserve"> </w:t>
      </w:r>
      <w:proofErr w:type="spellStart"/>
      <w:r w:rsidRPr="009E0754">
        <w:t>valuable</w:t>
      </w:r>
      <w:proofErr w:type="spellEnd"/>
      <w:r w:rsidRPr="009E0754">
        <w:t xml:space="preserve"> </w:t>
      </w:r>
      <w:proofErr w:type="spellStart"/>
      <w:r w:rsidRPr="009E0754">
        <w:t>insights</w:t>
      </w:r>
      <w:proofErr w:type="spellEnd"/>
      <w:r w:rsidRPr="009E0754">
        <w:t xml:space="preserve"> </w:t>
      </w:r>
      <w:proofErr w:type="spellStart"/>
      <w:r w:rsidRPr="009E0754">
        <w:t>into</w:t>
      </w:r>
      <w:proofErr w:type="spellEnd"/>
      <w:r w:rsidRPr="009E0754">
        <w:t xml:space="preserve"> </w:t>
      </w:r>
      <w:proofErr w:type="spellStart"/>
      <w:r w:rsidRPr="009E0754">
        <w:t>the</w:t>
      </w:r>
      <w:proofErr w:type="spellEnd"/>
      <w:r w:rsidRPr="009E0754">
        <w:t xml:space="preserve"> </w:t>
      </w:r>
      <w:proofErr w:type="spellStart"/>
      <w:r w:rsidRPr="009E0754">
        <w:t>socio-ethical</w:t>
      </w:r>
      <w:proofErr w:type="spellEnd"/>
      <w:r w:rsidRPr="009E0754">
        <w:t xml:space="preserve"> </w:t>
      </w:r>
      <w:proofErr w:type="spellStart"/>
      <w:r w:rsidRPr="009E0754">
        <w:t>concerns</w:t>
      </w:r>
      <w:proofErr w:type="spellEnd"/>
      <w:r w:rsidRPr="009E0754">
        <w:t xml:space="preserve"> of 18th-century </w:t>
      </w:r>
      <w:proofErr w:type="spellStart"/>
      <w:r w:rsidRPr="009E0754">
        <w:t>society</w:t>
      </w:r>
      <w:proofErr w:type="spellEnd"/>
      <w:r w:rsidRPr="009E0754">
        <w:t xml:space="preserve">.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revolves</w:t>
      </w:r>
      <w:proofErr w:type="spellEnd"/>
      <w:r w:rsidRPr="009E0754">
        <w:t xml:space="preserve"> </w:t>
      </w:r>
      <w:proofErr w:type="spellStart"/>
      <w:r w:rsidRPr="009E0754">
        <w:t>around</w:t>
      </w:r>
      <w:proofErr w:type="spellEnd"/>
      <w:r w:rsidRPr="009E0754">
        <w:t xml:space="preserve"> </w:t>
      </w:r>
      <w:proofErr w:type="spellStart"/>
      <w:r w:rsidRPr="009E0754">
        <w:t>the</w:t>
      </w:r>
      <w:proofErr w:type="spellEnd"/>
      <w:r w:rsidRPr="009E0754">
        <w:t xml:space="preserve"> </w:t>
      </w:r>
      <w:proofErr w:type="spellStart"/>
      <w:r w:rsidRPr="009E0754">
        <w:t>story</w:t>
      </w:r>
      <w:proofErr w:type="spellEnd"/>
      <w:r w:rsidRPr="009E0754">
        <w:t xml:space="preserve"> of Dr. </w:t>
      </w:r>
      <w:proofErr w:type="spellStart"/>
      <w:r w:rsidRPr="009E0754">
        <w:t>Primrose</w:t>
      </w:r>
      <w:proofErr w:type="spellEnd"/>
      <w:r w:rsidRPr="009E0754">
        <w:t xml:space="preserve">, </w:t>
      </w:r>
      <w:proofErr w:type="spellStart"/>
      <w:r w:rsidRPr="009E0754">
        <w:t>whose</w:t>
      </w:r>
      <w:proofErr w:type="spellEnd"/>
      <w:r w:rsidRPr="009E0754">
        <w:t xml:space="preserve"> </w:t>
      </w:r>
      <w:proofErr w:type="spellStart"/>
      <w:r w:rsidRPr="009E0754">
        <w:t>steadfast</w:t>
      </w:r>
      <w:proofErr w:type="spellEnd"/>
      <w:r w:rsidRPr="009E0754">
        <w:t xml:space="preserve"> </w:t>
      </w:r>
      <w:proofErr w:type="spellStart"/>
      <w:r w:rsidRPr="009E0754">
        <w:t>virtue</w:t>
      </w:r>
      <w:proofErr w:type="spellEnd"/>
      <w:r w:rsidRPr="009E0754">
        <w:t xml:space="preserve"> is </w:t>
      </w:r>
      <w:proofErr w:type="spellStart"/>
      <w:r w:rsidRPr="009E0754">
        <w:t>tested</w:t>
      </w:r>
      <w:proofErr w:type="spellEnd"/>
      <w:r w:rsidRPr="009E0754">
        <w:t xml:space="preserve"> </w:t>
      </w:r>
      <w:proofErr w:type="spellStart"/>
      <w:r w:rsidRPr="009E0754">
        <w:t>by</w:t>
      </w:r>
      <w:proofErr w:type="spellEnd"/>
      <w:r w:rsidRPr="009E0754">
        <w:t xml:space="preserve"> a </w:t>
      </w:r>
      <w:proofErr w:type="spellStart"/>
      <w:r w:rsidRPr="009E0754">
        <w:t>series</w:t>
      </w:r>
      <w:proofErr w:type="spellEnd"/>
      <w:r w:rsidRPr="009E0754">
        <w:t xml:space="preserve"> of </w:t>
      </w:r>
      <w:proofErr w:type="spellStart"/>
      <w:r w:rsidRPr="009E0754">
        <w:t>unfortunate</w:t>
      </w:r>
      <w:proofErr w:type="spellEnd"/>
      <w:r w:rsidRPr="009E0754">
        <w:t xml:space="preserve"> </w:t>
      </w:r>
      <w:proofErr w:type="spellStart"/>
      <w:r w:rsidRPr="009E0754">
        <w:t>events</w:t>
      </w:r>
      <w:proofErr w:type="spellEnd"/>
      <w:r w:rsidRPr="009E0754">
        <w:t xml:space="preserve"> [</w:t>
      </w:r>
      <w:proofErr w:type="spellStart"/>
      <w:r w:rsidRPr="009E0754">
        <w:t>Goldsmith</w:t>
      </w:r>
      <w:proofErr w:type="spellEnd"/>
      <w:r w:rsidRPr="009E0754">
        <w:t xml:space="preserve">, 1766, p. 130]. </w:t>
      </w:r>
      <w:proofErr w:type="spellStart"/>
      <w:r w:rsidRPr="009E0754">
        <w:t>The</w:t>
      </w:r>
      <w:proofErr w:type="spellEnd"/>
      <w:r w:rsidRPr="009E0754">
        <w:t xml:space="preserve"> </w:t>
      </w:r>
      <w:proofErr w:type="spellStart"/>
      <w:r w:rsidRPr="009E0754">
        <w:t>narrative</w:t>
      </w:r>
      <w:proofErr w:type="spellEnd"/>
      <w:r w:rsidRPr="009E0754">
        <w:t xml:space="preserve"> </w:t>
      </w:r>
      <w:proofErr w:type="spellStart"/>
      <w:r w:rsidRPr="009E0754">
        <w:t>addresses</w:t>
      </w:r>
      <w:proofErr w:type="spellEnd"/>
      <w:r w:rsidRPr="009E0754">
        <w:t xml:space="preserve"> </w:t>
      </w:r>
      <w:proofErr w:type="spellStart"/>
      <w:r w:rsidRPr="009E0754">
        <w:t>significant</w:t>
      </w:r>
      <w:proofErr w:type="spellEnd"/>
      <w:r w:rsidRPr="009E0754">
        <w:t xml:space="preserve"> </w:t>
      </w:r>
      <w:proofErr w:type="spellStart"/>
      <w:r w:rsidRPr="009E0754">
        <w:t>themes</w:t>
      </w:r>
      <w:proofErr w:type="spellEnd"/>
      <w:r w:rsidRPr="009E0754">
        <w:t xml:space="preserve"> </w:t>
      </w:r>
      <w:proofErr w:type="spellStart"/>
      <w:r w:rsidRPr="009E0754">
        <w:t>such</w:t>
      </w:r>
      <w:proofErr w:type="spellEnd"/>
      <w:r w:rsidRPr="009E0754">
        <w:t xml:space="preserve"> as </w:t>
      </w:r>
      <w:proofErr w:type="spellStart"/>
      <w:r w:rsidRPr="009E0754">
        <w:t>systemic</w:t>
      </w:r>
      <w:proofErr w:type="spellEnd"/>
      <w:r w:rsidRPr="009E0754">
        <w:t xml:space="preserve"> </w:t>
      </w:r>
      <w:proofErr w:type="spellStart"/>
      <w:r w:rsidRPr="009E0754">
        <w:t>social</w:t>
      </w:r>
      <w:proofErr w:type="spellEnd"/>
      <w:r w:rsidRPr="009E0754">
        <w:t xml:space="preserve"> </w:t>
      </w:r>
      <w:proofErr w:type="spellStart"/>
      <w:r w:rsidRPr="009E0754">
        <w:t>injustice</w:t>
      </w:r>
      <w:proofErr w:type="spellEnd"/>
      <w:r w:rsidRPr="009E0754">
        <w:t xml:space="preserve">, </w:t>
      </w:r>
      <w:proofErr w:type="spellStart"/>
      <w:r w:rsidRPr="009E0754">
        <w:t>the</w:t>
      </w:r>
      <w:proofErr w:type="spellEnd"/>
      <w:r w:rsidRPr="009E0754">
        <w:t xml:space="preserve"> </w:t>
      </w:r>
      <w:proofErr w:type="spellStart"/>
      <w:r w:rsidRPr="009E0754">
        <w:t>endurance</w:t>
      </w:r>
      <w:proofErr w:type="spellEnd"/>
      <w:r w:rsidRPr="009E0754">
        <w:t xml:space="preserve"> of </w:t>
      </w:r>
      <w:proofErr w:type="spellStart"/>
      <w:r w:rsidRPr="009E0754">
        <w:t>human</w:t>
      </w:r>
      <w:proofErr w:type="spellEnd"/>
      <w:r w:rsidRPr="009E0754">
        <w:t xml:space="preserve"> </w:t>
      </w:r>
      <w:proofErr w:type="spellStart"/>
      <w:r w:rsidRPr="009E0754">
        <w:t>suffering</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resilience</w:t>
      </w:r>
      <w:proofErr w:type="spellEnd"/>
      <w:r w:rsidRPr="009E0754">
        <w:t xml:space="preserve"> of </w:t>
      </w:r>
      <w:proofErr w:type="spellStart"/>
      <w:r w:rsidRPr="009E0754">
        <w:t>the</w:t>
      </w:r>
      <w:proofErr w:type="spellEnd"/>
      <w:r w:rsidRPr="009E0754">
        <w:t xml:space="preserve"> </w:t>
      </w:r>
      <w:proofErr w:type="spellStart"/>
      <w:r w:rsidRPr="009E0754">
        <w:t>human</w:t>
      </w:r>
      <w:proofErr w:type="spellEnd"/>
      <w:r w:rsidRPr="009E0754">
        <w:t xml:space="preserve"> spirit in </w:t>
      </w:r>
      <w:proofErr w:type="spellStart"/>
      <w:r w:rsidRPr="009E0754">
        <w:t>the</w:t>
      </w:r>
      <w:proofErr w:type="spellEnd"/>
      <w:r w:rsidRPr="009E0754">
        <w:t xml:space="preserve"> </w:t>
      </w:r>
      <w:proofErr w:type="spellStart"/>
      <w:r w:rsidRPr="009E0754">
        <w:t>face</w:t>
      </w:r>
      <w:proofErr w:type="spellEnd"/>
      <w:r w:rsidRPr="009E0754">
        <w:t xml:space="preserve"> of </w:t>
      </w:r>
      <w:proofErr w:type="spellStart"/>
      <w:r w:rsidRPr="009E0754">
        <w:t>adversity</w:t>
      </w:r>
      <w:proofErr w:type="spellEnd"/>
      <w:r w:rsidRPr="009E0754">
        <w:t xml:space="preserve">. </w:t>
      </w:r>
      <w:proofErr w:type="spellStart"/>
      <w:r w:rsidRPr="009E0754">
        <w:t>Moreover</w:t>
      </w:r>
      <w:proofErr w:type="spellEnd"/>
      <w:r w:rsidRPr="009E0754">
        <w:t xml:space="preserve">, it </w:t>
      </w:r>
      <w:proofErr w:type="spellStart"/>
      <w:r w:rsidRPr="009E0754">
        <w:t>critiques</w:t>
      </w:r>
      <w:proofErr w:type="spellEnd"/>
      <w:r w:rsidRPr="009E0754">
        <w:t xml:space="preserve"> </w:t>
      </w:r>
      <w:proofErr w:type="spellStart"/>
      <w:r w:rsidRPr="009E0754">
        <w:t>the</w:t>
      </w:r>
      <w:proofErr w:type="spellEnd"/>
      <w:r w:rsidRPr="009E0754">
        <w:t xml:space="preserve"> </w:t>
      </w:r>
      <w:proofErr w:type="spellStart"/>
      <w:r w:rsidRPr="009E0754">
        <w:t>precarious</w:t>
      </w:r>
      <w:proofErr w:type="spellEnd"/>
      <w:r w:rsidRPr="009E0754">
        <w:t xml:space="preserve"> </w:t>
      </w:r>
      <w:proofErr w:type="spellStart"/>
      <w:r w:rsidRPr="009E0754">
        <w:t>nature</w:t>
      </w:r>
      <w:proofErr w:type="spellEnd"/>
      <w:r w:rsidRPr="009E0754">
        <w:t xml:space="preserve"> of </w:t>
      </w:r>
      <w:proofErr w:type="spellStart"/>
      <w:r w:rsidRPr="009E0754">
        <w:t>social</w:t>
      </w:r>
      <w:proofErr w:type="spellEnd"/>
      <w:r w:rsidRPr="009E0754">
        <w:t xml:space="preserve"> </w:t>
      </w:r>
      <w:proofErr w:type="spellStart"/>
      <w:r w:rsidRPr="009E0754">
        <w:t>status</w:t>
      </w:r>
      <w:proofErr w:type="spellEnd"/>
      <w:r w:rsidRPr="009E0754">
        <w:t xml:space="preserve"> </w:t>
      </w:r>
      <w:proofErr w:type="spellStart"/>
      <w:r w:rsidRPr="009E0754">
        <w:t>and</w:t>
      </w:r>
      <w:proofErr w:type="spellEnd"/>
      <w:r w:rsidRPr="009E0754">
        <w:t xml:space="preserve"> </w:t>
      </w:r>
      <w:proofErr w:type="spellStart"/>
      <w:r w:rsidRPr="009E0754">
        <w:t>exposes</w:t>
      </w:r>
      <w:proofErr w:type="spellEnd"/>
      <w:r w:rsidRPr="009E0754">
        <w:t xml:space="preserve"> </w:t>
      </w:r>
      <w:proofErr w:type="spellStart"/>
      <w:r w:rsidRPr="009E0754">
        <w:t>the</w:t>
      </w:r>
      <w:proofErr w:type="spellEnd"/>
      <w:r w:rsidRPr="009E0754">
        <w:t xml:space="preserve"> </w:t>
      </w:r>
      <w:proofErr w:type="spellStart"/>
      <w:r w:rsidRPr="009E0754">
        <w:t>inherent</w:t>
      </w:r>
      <w:proofErr w:type="spellEnd"/>
      <w:r w:rsidRPr="009E0754">
        <w:t xml:space="preserve"> </w:t>
      </w:r>
      <w:proofErr w:type="spellStart"/>
      <w:r w:rsidRPr="009E0754">
        <w:t>vulnerability</w:t>
      </w:r>
      <w:proofErr w:type="spellEnd"/>
      <w:r w:rsidRPr="009E0754">
        <w:t xml:space="preserve"> of </w:t>
      </w:r>
      <w:proofErr w:type="spellStart"/>
      <w:r w:rsidRPr="009E0754">
        <w:t>individuals</w:t>
      </w:r>
      <w:proofErr w:type="spellEnd"/>
      <w:r w:rsidRPr="009E0754">
        <w:t xml:space="preserve"> </w:t>
      </w:r>
      <w:proofErr w:type="spellStart"/>
      <w:r w:rsidRPr="009E0754">
        <w:t>navigating</w:t>
      </w:r>
      <w:proofErr w:type="spellEnd"/>
      <w:r w:rsidRPr="009E0754">
        <w:t xml:space="preserve"> an </w:t>
      </w:r>
      <w:proofErr w:type="spellStart"/>
      <w:r w:rsidRPr="009E0754">
        <w:t>unpredictable</w:t>
      </w:r>
      <w:proofErr w:type="spellEnd"/>
      <w:r w:rsidRPr="009E0754">
        <w:t xml:space="preserve"> </w:t>
      </w:r>
      <w:proofErr w:type="spellStart"/>
      <w:r w:rsidRPr="009E0754">
        <w:t>and</w:t>
      </w:r>
      <w:proofErr w:type="spellEnd"/>
      <w:r w:rsidRPr="009E0754">
        <w:t xml:space="preserve"> </w:t>
      </w:r>
      <w:proofErr w:type="spellStart"/>
      <w:r w:rsidRPr="009E0754">
        <w:t>often</w:t>
      </w:r>
      <w:proofErr w:type="spellEnd"/>
      <w:r w:rsidRPr="009E0754">
        <w:t xml:space="preserve"> </w:t>
      </w:r>
      <w:proofErr w:type="spellStart"/>
      <w:r w:rsidRPr="009E0754">
        <w:t>unjust</w:t>
      </w:r>
      <w:proofErr w:type="spellEnd"/>
      <w:r w:rsidRPr="009E0754">
        <w:t xml:space="preserve"> </w:t>
      </w:r>
      <w:proofErr w:type="spellStart"/>
      <w:r w:rsidRPr="009E0754">
        <w:t>world</w:t>
      </w:r>
      <w:proofErr w:type="spellEnd"/>
      <w:r w:rsidRPr="009E0754">
        <w:t>.</w:t>
      </w:r>
    </w:p>
    <w:p w14:paraId="0E061149" w14:textId="77777777" w:rsidR="00BA67A6" w:rsidRPr="009E0754" w:rsidRDefault="00BA67A6" w:rsidP="00BA67A6">
      <w:pPr>
        <w:jc w:val="both"/>
      </w:pPr>
    </w:p>
    <w:p w14:paraId="6F0C215E" w14:textId="77777777" w:rsidR="00DA3117" w:rsidRDefault="00DA3117" w:rsidP="00BA67A6">
      <w:pPr>
        <w:jc w:val="both"/>
      </w:pPr>
      <w:proofErr w:type="spellStart"/>
      <w:r w:rsidRPr="009E0754">
        <w:t>In</w:t>
      </w:r>
      <w:proofErr w:type="spellEnd"/>
      <w:r w:rsidRPr="009E0754">
        <w:t xml:space="preserve"> </w:t>
      </w:r>
      <w:proofErr w:type="spellStart"/>
      <w:r w:rsidRPr="009E0754">
        <w:t>contrast</w:t>
      </w:r>
      <w:proofErr w:type="spellEnd"/>
      <w:r w:rsidRPr="009E0754">
        <w:t xml:space="preserve">, </w:t>
      </w:r>
      <w:proofErr w:type="spellStart"/>
      <w:r w:rsidRPr="009E0754">
        <w:t>Mackenzie’s</w:t>
      </w:r>
      <w:proofErr w:type="spellEnd"/>
      <w:r w:rsidRPr="009E0754">
        <w:t xml:space="preserve">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w:t>
      </w:r>
      <w:proofErr w:type="spellStart"/>
      <w:r w:rsidRPr="009E0754">
        <w:t>focuses</w:t>
      </w:r>
      <w:proofErr w:type="spellEnd"/>
      <w:r w:rsidRPr="009E0754">
        <w:t xml:space="preserve"> on </w:t>
      </w:r>
      <w:proofErr w:type="spellStart"/>
      <w:r w:rsidRPr="009E0754">
        <w:t>the</w:t>
      </w:r>
      <w:proofErr w:type="spellEnd"/>
      <w:r w:rsidRPr="009E0754">
        <w:t xml:space="preserve"> life of Harley, a </w:t>
      </w:r>
      <w:proofErr w:type="spellStart"/>
      <w:r w:rsidRPr="009E0754">
        <w:t>compassionate</w:t>
      </w:r>
      <w:proofErr w:type="spellEnd"/>
      <w:r w:rsidRPr="009E0754">
        <w:t xml:space="preserve"> </w:t>
      </w:r>
      <w:proofErr w:type="spellStart"/>
      <w:r w:rsidRPr="009E0754">
        <w:t>and</w:t>
      </w:r>
      <w:proofErr w:type="spellEnd"/>
      <w:r w:rsidRPr="009E0754">
        <w:t xml:space="preserve"> </w:t>
      </w:r>
      <w:proofErr w:type="spellStart"/>
      <w:r w:rsidRPr="009E0754">
        <w:t>emotionally</w:t>
      </w:r>
      <w:proofErr w:type="spellEnd"/>
      <w:r w:rsidRPr="009E0754">
        <w:t xml:space="preserve"> </w:t>
      </w:r>
      <w:proofErr w:type="spellStart"/>
      <w:r w:rsidRPr="009E0754">
        <w:t>sensitive</w:t>
      </w:r>
      <w:proofErr w:type="spellEnd"/>
      <w:r w:rsidRPr="009E0754">
        <w:t xml:space="preserve"> protagonist </w:t>
      </w:r>
      <w:proofErr w:type="spellStart"/>
      <w:r w:rsidRPr="009E0754">
        <w:t>whose</w:t>
      </w:r>
      <w:proofErr w:type="spellEnd"/>
      <w:r w:rsidRPr="009E0754">
        <w:t xml:space="preserve"> </w:t>
      </w:r>
      <w:proofErr w:type="spellStart"/>
      <w:r w:rsidRPr="009E0754">
        <w:t>altruistic</w:t>
      </w:r>
      <w:proofErr w:type="spellEnd"/>
      <w:r w:rsidRPr="009E0754">
        <w:t xml:space="preserve"> </w:t>
      </w:r>
      <w:proofErr w:type="spellStart"/>
      <w:r w:rsidRPr="009E0754">
        <w:t>nature</w:t>
      </w:r>
      <w:proofErr w:type="spellEnd"/>
      <w:r w:rsidRPr="009E0754">
        <w:t xml:space="preserve"> </w:t>
      </w:r>
      <w:proofErr w:type="spellStart"/>
      <w:r w:rsidRPr="009E0754">
        <w:t>frequently</w:t>
      </w:r>
      <w:proofErr w:type="spellEnd"/>
      <w:r w:rsidRPr="009E0754">
        <w:t xml:space="preserve"> </w:t>
      </w:r>
      <w:proofErr w:type="spellStart"/>
      <w:r w:rsidRPr="009E0754">
        <w:t>leads</w:t>
      </w:r>
      <w:proofErr w:type="spellEnd"/>
      <w:r w:rsidRPr="009E0754">
        <w:t xml:space="preserve"> </w:t>
      </w:r>
      <w:proofErr w:type="spellStart"/>
      <w:r w:rsidRPr="009E0754">
        <w:t>to</w:t>
      </w:r>
      <w:proofErr w:type="spellEnd"/>
      <w:r w:rsidRPr="009E0754">
        <w:t xml:space="preserve"> </w:t>
      </w:r>
      <w:proofErr w:type="spellStart"/>
      <w:r w:rsidRPr="009E0754">
        <w:t>personal</w:t>
      </w:r>
      <w:proofErr w:type="spellEnd"/>
      <w:r w:rsidRPr="009E0754">
        <w:t xml:space="preserve"> </w:t>
      </w:r>
      <w:proofErr w:type="spellStart"/>
      <w:r w:rsidRPr="009E0754">
        <w:t>sacrifice</w:t>
      </w:r>
      <w:proofErr w:type="spellEnd"/>
      <w:r w:rsidRPr="009E0754">
        <w:t xml:space="preserve"> </w:t>
      </w:r>
      <w:proofErr w:type="spellStart"/>
      <w:r w:rsidRPr="009E0754">
        <w:t>and</w:t>
      </w:r>
      <w:proofErr w:type="spellEnd"/>
      <w:r w:rsidRPr="009E0754">
        <w:t xml:space="preserve"> </w:t>
      </w:r>
      <w:proofErr w:type="spellStart"/>
      <w:r w:rsidRPr="009E0754">
        <w:t>disappointment</w:t>
      </w:r>
      <w:proofErr w:type="spellEnd"/>
      <w:r w:rsidRPr="009E0754">
        <w:t xml:space="preserve">. </w:t>
      </w:r>
      <w:proofErr w:type="spellStart"/>
      <w:r w:rsidRPr="009E0754">
        <w:t>The</w:t>
      </w:r>
      <w:proofErr w:type="spellEnd"/>
      <w:r w:rsidRPr="009E0754">
        <w:t xml:space="preserve"> </w:t>
      </w:r>
      <w:proofErr w:type="spellStart"/>
      <w:r w:rsidRPr="009E0754">
        <w:t>novel</w:t>
      </w:r>
      <w:proofErr w:type="spellEnd"/>
      <w:r w:rsidRPr="009E0754">
        <w:t xml:space="preserve"> </w:t>
      </w:r>
      <w:proofErr w:type="spellStart"/>
      <w:r w:rsidRPr="009E0754">
        <w:t>explores</w:t>
      </w:r>
      <w:proofErr w:type="spellEnd"/>
      <w:r w:rsidRPr="009E0754">
        <w:t xml:space="preserve"> </w:t>
      </w:r>
      <w:proofErr w:type="spellStart"/>
      <w:r w:rsidRPr="009E0754">
        <w:t>the</w:t>
      </w:r>
      <w:proofErr w:type="spellEnd"/>
      <w:r w:rsidRPr="009E0754">
        <w:t xml:space="preserve"> </w:t>
      </w:r>
      <w:proofErr w:type="spellStart"/>
      <w:r w:rsidRPr="009E0754">
        <w:t>conflict</w:t>
      </w:r>
      <w:proofErr w:type="spellEnd"/>
      <w:r w:rsidRPr="009E0754">
        <w:t xml:space="preserve"> </w:t>
      </w:r>
      <w:proofErr w:type="spellStart"/>
      <w:r w:rsidRPr="009E0754">
        <w:t>between</w:t>
      </w:r>
      <w:proofErr w:type="spellEnd"/>
      <w:r w:rsidRPr="009E0754">
        <w:t xml:space="preserve"> </w:t>
      </w:r>
      <w:proofErr w:type="spellStart"/>
      <w:r w:rsidRPr="009E0754">
        <w:t>individual</w:t>
      </w:r>
      <w:proofErr w:type="spellEnd"/>
      <w:r w:rsidRPr="009E0754">
        <w:t xml:space="preserve"> </w:t>
      </w:r>
      <w:proofErr w:type="spellStart"/>
      <w:r w:rsidRPr="009E0754">
        <w:t>morality</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rigid</w:t>
      </w:r>
      <w:proofErr w:type="spellEnd"/>
      <w:r w:rsidRPr="009E0754">
        <w:t xml:space="preserve"> </w:t>
      </w:r>
      <w:proofErr w:type="spellStart"/>
      <w:r w:rsidRPr="009E0754">
        <w:t>expectations</w:t>
      </w:r>
      <w:proofErr w:type="spellEnd"/>
      <w:r w:rsidRPr="009E0754">
        <w:t xml:space="preserve"> </w:t>
      </w:r>
      <w:proofErr w:type="spellStart"/>
      <w:r w:rsidRPr="009E0754">
        <w:t>imposed</w:t>
      </w:r>
      <w:proofErr w:type="spellEnd"/>
      <w:r w:rsidRPr="009E0754">
        <w:t xml:space="preserve"> </w:t>
      </w:r>
      <w:proofErr w:type="spellStart"/>
      <w:r w:rsidRPr="009E0754">
        <w:t>by</w:t>
      </w:r>
      <w:proofErr w:type="spellEnd"/>
      <w:r w:rsidRPr="009E0754">
        <w:t xml:space="preserve"> </w:t>
      </w:r>
      <w:proofErr w:type="spellStart"/>
      <w:r w:rsidRPr="009E0754">
        <w:t>society</w:t>
      </w:r>
      <w:proofErr w:type="spellEnd"/>
      <w:r w:rsidRPr="009E0754">
        <w:t xml:space="preserve">, </w:t>
      </w:r>
      <w:proofErr w:type="spellStart"/>
      <w:r w:rsidRPr="009E0754">
        <w:t>shedding</w:t>
      </w:r>
      <w:proofErr w:type="spellEnd"/>
      <w:r w:rsidRPr="009E0754">
        <w:t xml:space="preserve"> </w:t>
      </w:r>
      <w:proofErr w:type="spellStart"/>
      <w:r w:rsidRPr="009E0754">
        <w:t>light</w:t>
      </w:r>
      <w:proofErr w:type="spellEnd"/>
      <w:r w:rsidRPr="009E0754">
        <w:t xml:space="preserve"> on </w:t>
      </w:r>
      <w:proofErr w:type="spellStart"/>
      <w:r w:rsidRPr="009E0754">
        <w:t>the</w:t>
      </w:r>
      <w:proofErr w:type="spellEnd"/>
      <w:r w:rsidRPr="009E0754">
        <w:t xml:space="preserve"> </w:t>
      </w:r>
      <w:proofErr w:type="spellStart"/>
      <w:r w:rsidRPr="009E0754">
        <w:t>complexities</w:t>
      </w:r>
      <w:proofErr w:type="spellEnd"/>
      <w:r w:rsidRPr="009E0754">
        <w:t xml:space="preserve"> of </w:t>
      </w:r>
      <w:proofErr w:type="spellStart"/>
      <w:r w:rsidRPr="009E0754">
        <w:t>maintaining</w:t>
      </w:r>
      <w:proofErr w:type="spellEnd"/>
      <w:r w:rsidRPr="009E0754">
        <w:t xml:space="preserve"> </w:t>
      </w:r>
      <w:proofErr w:type="spellStart"/>
      <w:r w:rsidRPr="009E0754">
        <w:t>ethical</w:t>
      </w:r>
      <w:proofErr w:type="spellEnd"/>
      <w:r w:rsidRPr="009E0754">
        <w:t xml:space="preserve"> </w:t>
      </w:r>
      <w:proofErr w:type="spellStart"/>
      <w:r w:rsidRPr="009E0754">
        <w:t>integrity</w:t>
      </w:r>
      <w:proofErr w:type="spellEnd"/>
      <w:r w:rsidRPr="009E0754">
        <w:t xml:space="preserve"> in an </w:t>
      </w:r>
      <w:proofErr w:type="spellStart"/>
      <w:r w:rsidRPr="009E0754">
        <w:t>environment</w:t>
      </w:r>
      <w:proofErr w:type="spellEnd"/>
      <w:r w:rsidRPr="009E0754">
        <w:t xml:space="preserve"> </w:t>
      </w:r>
      <w:proofErr w:type="spellStart"/>
      <w:r w:rsidRPr="009E0754">
        <w:t>driven</w:t>
      </w:r>
      <w:proofErr w:type="spellEnd"/>
      <w:r w:rsidRPr="009E0754">
        <w:t xml:space="preserve"> </w:t>
      </w:r>
      <w:proofErr w:type="spellStart"/>
      <w:r w:rsidRPr="009E0754">
        <w:t>by</w:t>
      </w:r>
      <w:proofErr w:type="spellEnd"/>
      <w:r w:rsidRPr="009E0754">
        <w:t xml:space="preserve"> </w:t>
      </w:r>
      <w:proofErr w:type="spellStart"/>
      <w:r w:rsidRPr="009E0754">
        <w:t>social</w:t>
      </w:r>
      <w:proofErr w:type="spellEnd"/>
      <w:r w:rsidRPr="009E0754">
        <w:t xml:space="preserve"> </w:t>
      </w:r>
      <w:proofErr w:type="spellStart"/>
      <w:r w:rsidRPr="009E0754">
        <w:t>conventions</w:t>
      </w:r>
      <w:proofErr w:type="spellEnd"/>
      <w:r w:rsidRPr="009E0754">
        <w:t xml:space="preserve">. </w:t>
      </w:r>
      <w:proofErr w:type="spellStart"/>
      <w:r w:rsidRPr="009E0754">
        <w:t>Mackenzie’s</w:t>
      </w:r>
      <w:proofErr w:type="spellEnd"/>
      <w:r w:rsidRPr="009E0754">
        <w:t xml:space="preserve"> </w:t>
      </w:r>
      <w:proofErr w:type="spellStart"/>
      <w:r w:rsidRPr="009E0754">
        <w:t>work</w:t>
      </w:r>
      <w:proofErr w:type="spellEnd"/>
      <w:r w:rsidRPr="009E0754">
        <w:t xml:space="preserve"> </w:t>
      </w:r>
      <w:proofErr w:type="spellStart"/>
      <w:r w:rsidRPr="009E0754">
        <w:t>underscores</w:t>
      </w:r>
      <w:proofErr w:type="spellEnd"/>
      <w:r w:rsidRPr="009E0754">
        <w:t xml:space="preserve"> </w:t>
      </w:r>
      <w:proofErr w:type="spellStart"/>
      <w:r w:rsidRPr="009E0754">
        <w:t>the</w:t>
      </w:r>
      <w:proofErr w:type="spellEnd"/>
      <w:r w:rsidRPr="009E0754">
        <w:t xml:space="preserve"> </w:t>
      </w:r>
      <w:proofErr w:type="spellStart"/>
      <w:r w:rsidRPr="009E0754">
        <w:t>conflict</w:t>
      </w:r>
      <w:proofErr w:type="spellEnd"/>
      <w:r w:rsidRPr="009E0754">
        <w:t xml:space="preserve"> </w:t>
      </w:r>
      <w:proofErr w:type="spellStart"/>
      <w:r w:rsidRPr="009E0754">
        <w:t>between</w:t>
      </w:r>
      <w:proofErr w:type="spellEnd"/>
      <w:r w:rsidRPr="009E0754">
        <w:t xml:space="preserve"> </w:t>
      </w:r>
      <w:proofErr w:type="spellStart"/>
      <w:r w:rsidRPr="009E0754">
        <w:t>personal</w:t>
      </w:r>
      <w:proofErr w:type="spellEnd"/>
      <w:r w:rsidRPr="009E0754">
        <w:t xml:space="preserve"> </w:t>
      </w:r>
      <w:proofErr w:type="spellStart"/>
      <w:r w:rsidRPr="009E0754">
        <w:t>morality</w:t>
      </w:r>
      <w:proofErr w:type="spellEnd"/>
      <w:r w:rsidRPr="009E0754">
        <w:t xml:space="preserve"> </w:t>
      </w:r>
      <w:proofErr w:type="spellStart"/>
      <w:r w:rsidRPr="009E0754">
        <w:t>and</w:t>
      </w:r>
      <w:proofErr w:type="spellEnd"/>
      <w:r w:rsidRPr="009E0754">
        <w:t xml:space="preserve"> </w:t>
      </w:r>
      <w:proofErr w:type="spellStart"/>
      <w:r w:rsidRPr="009E0754">
        <w:t>societal</w:t>
      </w:r>
      <w:proofErr w:type="spellEnd"/>
      <w:r w:rsidRPr="009E0754">
        <w:t xml:space="preserve"> </w:t>
      </w:r>
      <w:proofErr w:type="spellStart"/>
      <w:r w:rsidRPr="009E0754">
        <w:t>expectations</w:t>
      </w:r>
      <w:proofErr w:type="spellEnd"/>
      <w:r w:rsidRPr="009E0754">
        <w:t xml:space="preserve"> [</w:t>
      </w:r>
      <w:proofErr w:type="spellStart"/>
      <w:r w:rsidRPr="009E0754">
        <w:t>Backscheider</w:t>
      </w:r>
      <w:proofErr w:type="spellEnd"/>
      <w:r w:rsidRPr="009E0754">
        <w:t xml:space="preserve">, 2008, p. 152].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utilize</w:t>
      </w:r>
      <w:proofErr w:type="spellEnd"/>
      <w:r w:rsidRPr="009E0754">
        <w:t xml:space="preserve"> </w:t>
      </w:r>
      <w:proofErr w:type="spellStart"/>
      <w:r w:rsidRPr="009E0754">
        <w:t>sentimentality</w:t>
      </w:r>
      <w:proofErr w:type="spellEnd"/>
      <w:r w:rsidRPr="009E0754">
        <w:t xml:space="preserve"> as a </w:t>
      </w:r>
      <w:proofErr w:type="spellStart"/>
      <w:r w:rsidRPr="009E0754">
        <w:t>powerful</w:t>
      </w:r>
      <w:proofErr w:type="spellEnd"/>
      <w:r w:rsidRPr="009E0754">
        <w:t xml:space="preserve"> </w:t>
      </w:r>
      <w:proofErr w:type="spellStart"/>
      <w:r w:rsidRPr="009E0754">
        <w:t>narrative</w:t>
      </w:r>
      <w:proofErr w:type="spellEnd"/>
      <w:r w:rsidRPr="009E0754">
        <w:t xml:space="preserve"> </w:t>
      </w:r>
      <w:proofErr w:type="spellStart"/>
      <w:r w:rsidRPr="009E0754">
        <w:t>strategy</w:t>
      </w:r>
      <w:proofErr w:type="spellEnd"/>
      <w:r w:rsidRPr="009E0754">
        <w:t xml:space="preserve"> </w:t>
      </w:r>
      <w:proofErr w:type="spellStart"/>
      <w:r w:rsidRPr="009E0754">
        <w:t>to</w:t>
      </w:r>
      <w:proofErr w:type="spellEnd"/>
      <w:r w:rsidRPr="009E0754">
        <w:t xml:space="preserve"> </w:t>
      </w:r>
      <w:proofErr w:type="spellStart"/>
      <w:r w:rsidRPr="009E0754">
        <w:t>evoke</w:t>
      </w:r>
      <w:proofErr w:type="spellEnd"/>
      <w:r w:rsidRPr="009E0754">
        <w:t xml:space="preserve"> an </w:t>
      </w:r>
      <w:proofErr w:type="spellStart"/>
      <w:r w:rsidRPr="009E0754">
        <w:t>emotional</w:t>
      </w:r>
      <w:proofErr w:type="spellEnd"/>
      <w:r w:rsidRPr="009E0754">
        <w:t xml:space="preserve"> </w:t>
      </w:r>
      <w:proofErr w:type="spellStart"/>
      <w:r w:rsidRPr="009E0754">
        <w:t>response</w:t>
      </w:r>
      <w:proofErr w:type="spellEnd"/>
      <w:r w:rsidRPr="009E0754">
        <w:t xml:space="preserve"> </w:t>
      </w:r>
      <w:proofErr w:type="spellStart"/>
      <w:r w:rsidRPr="009E0754">
        <w:t>from</w:t>
      </w:r>
      <w:proofErr w:type="spellEnd"/>
      <w:r w:rsidRPr="009E0754">
        <w:t xml:space="preserve"> </w:t>
      </w:r>
      <w:proofErr w:type="spellStart"/>
      <w:r w:rsidRPr="009E0754">
        <w:t>readers</w:t>
      </w:r>
      <w:proofErr w:type="spellEnd"/>
      <w:r w:rsidRPr="009E0754">
        <w:t xml:space="preserve">, </w:t>
      </w:r>
      <w:proofErr w:type="spellStart"/>
      <w:r w:rsidRPr="009E0754">
        <w:t>prompting</w:t>
      </w:r>
      <w:proofErr w:type="spellEnd"/>
      <w:r w:rsidRPr="009E0754">
        <w:t xml:space="preserve"> </w:t>
      </w:r>
      <w:proofErr w:type="spellStart"/>
      <w:r w:rsidRPr="009E0754">
        <w:t>them</w:t>
      </w:r>
      <w:proofErr w:type="spellEnd"/>
      <w:r w:rsidRPr="009E0754">
        <w:t xml:space="preserve"> </w:t>
      </w:r>
      <w:proofErr w:type="spellStart"/>
      <w:r w:rsidRPr="009E0754">
        <w:t>to</w:t>
      </w:r>
      <w:proofErr w:type="spellEnd"/>
      <w:r w:rsidRPr="009E0754">
        <w:t xml:space="preserve"> </w:t>
      </w:r>
      <w:proofErr w:type="spellStart"/>
      <w:r w:rsidRPr="009E0754">
        <w:t>reflect</w:t>
      </w:r>
      <w:proofErr w:type="spellEnd"/>
      <w:r w:rsidRPr="009E0754">
        <w:t xml:space="preserve"> on </w:t>
      </w:r>
      <w:proofErr w:type="spellStart"/>
      <w:r w:rsidRPr="009E0754">
        <w:t>broader</w:t>
      </w:r>
      <w:proofErr w:type="spellEnd"/>
      <w:r w:rsidRPr="009E0754">
        <w:t xml:space="preserve"> </w:t>
      </w:r>
      <w:proofErr w:type="spellStart"/>
      <w:r w:rsidRPr="009E0754">
        <w:t>ethical</w:t>
      </w:r>
      <w:proofErr w:type="spellEnd"/>
      <w:r w:rsidRPr="009E0754">
        <w:t xml:space="preserve"> </w:t>
      </w:r>
      <w:proofErr w:type="spellStart"/>
      <w:r w:rsidRPr="009E0754">
        <w:t>questions</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moral </w:t>
      </w:r>
      <w:proofErr w:type="spellStart"/>
      <w:r w:rsidRPr="009E0754">
        <w:t>fabric</w:t>
      </w:r>
      <w:proofErr w:type="spellEnd"/>
      <w:r w:rsidRPr="009E0754">
        <w:t xml:space="preserve"> of </w:t>
      </w:r>
      <w:proofErr w:type="spellStart"/>
      <w:r w:rsidRPr="009E0754">
        <w:t>their</w:t>
      </w:r>
      <w:proofErr w:type="spellEnd"/>
      <w:r w:rsidRPr="009E0754">
        <w:t xml:space="preserve"> time. </w:t>
      </w:r>
      <w:proofErr w:type="spellStart"/>
      <w:r w:rsidRPr="009E0754">
        <w:t>This</w:t>
      </w:r>
      <w:proofErr w:type="spellEnd"/>
      <w:r w:rsidRPr="009E0754">
        <w:t xml:space="preserve"> </w:t>
      </w:r>
      <w:proofErr w:type="spellStart"/>
      <w:r w:rsidRPr="009E0754">
        <w:t>comparative</w:t>
      </w:r>
      <w:proofErr w:type="spellEnd"/>
      <w:r w:rsidRPr="009E0754">
        <w:t xml:space="preserve"> </w:t>
      </w:r>
      <w:proofErr w:type="spellStart"/>
      <w:r w:rsidRPr="009E0754">
        <w:t>analysis</w:t>
      </w:r>
      <w:proofErr w:type="spellEnd"/>
      <w:r w:rsidRPr="009E0754">
        <w:t xml:space="preserve"> </w:t>
      </w:r>
      <w:proofErr w:type="spellStart"/>
      <w:r w:rsidRPr="009E0754">
        <w:t>underscores</w:t>
      </w:r>
      <w:proofErr w:type="spellEnd"/>
      <w:r w:rsidRPr="009E0754">
        <w:t xml:space="preserve"> how </w:t>
      </w:r>
      <w:proofErr w:type="spellStart"/>
      <w:r w:rsidRPr="009E0754">
        <w:t>sentimentalist</w:t>
      </w:r>
      <w:proofErr w:type="spellEnd"/>
      <w:r w:rsidRPr="009E0754">
        <w:t xml:space="preserve"> </w:t>
      </w:r>
      <w:proofErr w:type="spellStart"/>
      <w:r w:rsidRPr="009E0754">
        <w:t>literature</w:t>
      </w:r>
      <w:proofErr w:type="spellEnd"/>
      <w:r w:rsidRPr="009E0754">
        <w:t xml:space="preserve"> </w:t>
      </w:r>
      <w:proofErr w:type="spellStart"/>
      <w:r w:rsidRPr="009E0754">
        <w:t>functions</w:t>
      </w:r>
      <w:proofErr w:type="spellEnd"/>
      <w:r w:rsidRPr="009E0754">
        <w:t xml:space="preserve"> not </w:t>
      </w:r>
      <w:proofErr w:type="spellStart"/>
      <w:r w:rsidRPr="009E0754">
        <w:t>only</w:t>
      </w:r>
      <w:proofErr w:type="spellEnd"/>
      <w:r w:rsidRPr="009E0754">
        <w:t xml:space="preserve"> as a </w:t>
      </w:r>
      <w:proofErr w:type="spellStart"/>
      <w:r w:rsidRPr="009E0754">
        <w:t>means</w:t>
      </w:r>
      <w:proofErr w:type="spellEnd"/>
      <w:r w:rsidRPr="009E0754">
        <w:t xml:space="preserve"> of </w:t>
      </w:r>
      <w:proofErr w:type="spellStart"/>
      <w:r w:rsidRPr="009E0754">
        <w:t>artistic</w:t>
      </w:r>
      <w:proofErr w:type="spellEnd"/>
      <w:r w:rsidRPr="009E0754">
        <w:t xml:space="preserve"> </w:t>
      </w:r>
      <w:proofErr w:type="spellStart"/>
      <w:r w:rsidRPr="009E0754">
        <w:t>expression</w:t>
      </w:r>
      <w:proofErr w:type="spellEnd"/>
      <w:r w:rsidRPr="009E0754">
        <w:t xml:space="preserve"> but </w:t>
      </w:r>
      <w:proofErr w:type="spellStart"/>
      <w:r w:rsidRPr="009E0754">
        <w:t>also</w:t>
      </w:r>
      <w:proofErr w:type="spellEnd"/>
      <w:r w:rsidRPr="009E0754">
        <w:t xml:space="preserve"> as a </w:t>
      </w:r>
      <w:proofErr w:type="spellStart"/>
      <w:r w:rsidRPr="009E0754">
        <w:t>vehicle</w:t>
      </w:r>
      <w:proofErr w:type="spellEnd"/>
      <w:r w:rsidRPr="009E0754">
        <w:t xml:space="preserve"> </w:t>
      </w:r>
      <w:proofErr w:type="spellStart"/>
      <w:r w:rsidRPr="009E0754">
        <w:t>for</w:t>
      </w:r>
      <w:proofErr w:type="spellEnd"/>
      <w:r w:rsidRPr="009E0754">
        <w:t xml:space="preserve"> </w:t>
      </w:r>
      <w:proofErr w:type="spellStart"/>
      <w:r w:rsidRPr="009E0754">
        <w:t>social</w:t>
      </w:r>
      <w:proofErr w:type="spellEnd"/>
      <w:r w:rsidRPr="009E0754">
        <w:t xml:space="preserve"> </w:t>
      </w:r>
      <w:proofErr w:type="spellStart"/>
      <w:r w:rsidRPr="009E0754">
        <w:t>critique</w:t>
      </w:r>
      <w:proofErr w:type="spellEnd"/>
      <w:r w:rsidRPr="009E0754">
        <w:t xml:space="preserve"> </w:t>
      </w:r>
      <w:proofErr w:type="spellStart"/>
      <w:r w:rsidRPr="009E0754">
        <w:t>and</w:t>
      </w:r>
      <w:proofErr w:type="spellEnd"/>
      <w:r w:rsidRPr="009E0754">
        <w:t xml:space="preserve"> moral </w:t>
      </w:r>
      <w:proofErr w:type="spellStart"/>
      <w:r w:rsidRPr="009E0754">
        <w:t>engagement</w:t>
      </w:r>
      <w:proofErr w:type="spellEnd"/>
      <w:r w:rsidRPr="009E0754">
        <w:t>.</w:t>
      </w:r>
    </w:p>
    <w:p w14:paraId="2142F8B3" w14:textId="77777777" w:rsidR="00BA67A6" w:rsidRPr="009E0754" w:rsidRDefault="00BA67A6" w:rsidP="00BA67A6">
      <w:pPr>
        <w:jc w:val="both"/>
      </w:pPr>
    </w:p>
    <w:p w14:paraId="3F68FB39" w14:textId="77777777" w:rsidR="00DA3117" w:rsidRDefault="00DA3117" w:rsidP="00BA67A6">
      <w:pPr>
        <w:jc w:val="both"/>
      </w:pPr>
      <w:proofErr w:type="spellStart"/>
      <w:r w:rsidRPr="009E0754">
        <w:t>This</w:t>
      </w:r>
      <w:proofErr w:type="spellEnd"/>
      <w:r w:rsidRPr="009E0754">
        <w:t xml:space="preserve"> </w:t>
      </w:r>
      <w:proofErr w:type="spellStart"/>
      <w:r w:rsidRPr="009E0754">
        <w:t>section</w:t>
      </w:r>
      <w:proofErr w:type="spellEnd"/>
      <w:r w:rsidRPr="009E0754">
        <w:t xml:space="preserve"> </w:t>
      </w:r>
      <w:proofErr w:type="spellStart"/>
      <w:r w:rsidRPr="009E0754">
        <w:t>explores</w:t>
      </w:r>
      <w:proofErr w:type="spellEnd"/>
      <w:r w:rsidRPr="009E0754">
        <w:t xml:space="preserve"> how </w:t>
      </w:r>
      <w:proofErr w:type="spellStart"/>
      <w:r w:rsidRPr="009E0754">
        <w:t>the</w:t>
      </w:r>
      <w:proofErr w:type="spellEnd"/>
      <w:r w:rsidRPr="009E0754">
        <w:t xml:space="preserve"> </w:t>
      </w:r>
      <w:proofErr w:type="spellStart"/>
      <w:r w:rsidRPr="009E0754">
        <w:t>socio</w:t>
      </w:r>
      <w:proofErr w:type="spellEnd"/>
      <w:r w:rsidRPr="009E0754">
        <w:t xml:space="preserve">-moral </w:t>
      </w:r>
      <w:proofErr w:type="spellStart"/>
      <w:r w:rsidRPr="009E0754">
        <w:t>dilemmas</w:t>
      </w:r>
      <w:proofErr w:type="spellEnd"/>
      <w:r w:rsidRPr="009E0754">
        <w:t xml:space="preserve"> </w:t>
      </w:r>
      <w:proofErr w:type="spellStart"/>
      <w:r w:rsidRPr="009E0754">
        <w:t>depicted</w:t>
      </w:r>
      <w:proofErr w:type="spellEnd"/>
      <w:r w:rsidRPr="009E0754">
        <w:t xml:space="preserve"> in </w:t>
      </w:r>
      <w:proofErr w:type="spellStart"/>
      <w:r w:rsidRPr="009E0754">
        <w:t>The</w:t>
      </w:r>
      <w:proofErr w:type="spellEnd"/>
      <w:r w:rsidRPr="009E0754">
        <w:t xml:space="preserve"> </w:t>
      </w:r>
      <w:proofErr w:type="spellStart"/>
      <w:r w:rsidRPr="009E0754">
        <w:t>Vicar</w:t>
      </w:r>
      <w:proofErr w:type="spellEnd"/>
      <w:r w:rsidRPr="009E0754">
        <w:t xml:space="preserve"> of </w:t>
      </w:r>
      <w:proofErr w:type="spellStart"/>
      <w:r w:rsidRPr="009E0754">
        <w:t>Wakefield</w:t>
      </w:r>
      <w:proofErr w:type="spellEnd"/>
      <w:r w:rsidRPr="009E0754">
        <w:t xml:space="preserve"> </w:t>
      </w:r>
      <w:proofErr w:type="spellStart"/>
      <w:r w:rsidRPr="009E0754">
        <w:t>and</w:t>
      </w:r>
      <w:proofErr w:type="spellEnd"/>
      <w:r w:rsidRPr="009E0754">
        <w:t xml:space="preserve"> </w:t>
      </w:r>
      <w:proofErr w:type="spellStart"/>
      <w:r w:rsidRPr="009E0754">
        <w:lastRenderedPageBreak/>
        <w:t>The</w:t>
      </w:r>
      <w:proofErr w:type="spellEnd"/>
      <w:r w:rsidRPr="009E0754">
        <w:t xml:space="preserve"> Man of </w:t>
      </w:r>
      <w:proofErr w:type="spellStart"/>
      <w:r w:rsidRPr="009E0754">
        <w:t>Feeling</w:t>
      </w:r>
      <w:proofErr w:type="spellEnd"/>
      <w:r w:rsidRPr="009E0754">
        <w:t xml:space="preserve"> </w:t>
      </w:r>
      <w:proofErr w:type="spellStart"/>
      <w:r w:rsidRPr="009E0754">
        <w:t>mirror</w:t>
      </w:r>
      <w:proofErr w:type="spellEnd"/>
      <w:r w:rsidRPr="009E0754">
        <w:t xml:space="preserve"> </w:t>
      </w:r>
      <w:proofErr w:type="spellStart"/>
      <w:r w:rsidRPr="009E0754">
        <w:t>broader</w:t>
      </w:r>
      <w:proofErr w:type="spellEnd"/>
      <w:r w:rsidRPr="009E0754">
        <w:t xml:space="preserve"> </w:t>
      </w:r>
      <w:proofErr w:type="spellStart"/>
      <w:r w:rsidRPr="009E0754">
        <w:t>societal</w:t>
      </w:r>
      <w:proofErr w:type="spellEnd"/>
      <w:r w:rsidRPr="009E0754">
        <w:t xml:space="preserve"> </w:t>
      </w:r>
      <w:proofErr w:type="spellStart"/>
      <w:r w:rsidRPr="009E0754">
        <w:t>issues</w:t>
      </w:r>
      <w:proofErr w:type="spellEnd"/>
      <w:r w:rsidRPr="009E0754">
        <w:t xml:space="preserve"> in 18th-century Britain.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use</w:t>
      </w:r>
      <w:proofErr w:type="spellEnd"/>
      <w:r w:rsidRPr="009E0754">
        <w:t xml:space="preserve"> </w:t>
      </w:r>
      <w:proofErr w:type="spellStart"/>
      <w:r w:rsidRPr="009E0754">
        <w:t>their</w:t>
      </w:r>
      <w:proofErr w:type="spellEnd"/>
      <w:r w:rsidRPr="009E0754">
        <w:t xml:space="preserve"> </w:t>
      </w:r>
      <w:proofErr w:type="spellStart"/>
      <w:r w:rsidRPr="009E0754">
        <w:t>narratives</w:t>
      </w:r>
      <w:proofErr w:type="spellEnd"/>
      <w:r w:rsidRPr="009E0754">
        <w:t xml:space="preserve"> </w:t>
      </w:r>
      <w:proofErr w:type="spellStart"/>
      <w:r w:rsidRPr="009E0754">
        <w:t>to</w:t>
      </w:r>
      <w:proofErr w:type="spellEnd"/>
      <w:r w:rsidRPr="009E0754">
        <w:t xml:space="preserve"> </w:t>
      </w:r>
      <w:proofErr w:type="spellStart"/>
      <w:r w:rsidRPr="009E0754">
        <w:t>critique</w:t>
      </w:r>
      <w:proofErr w:type="spellEnd"/>
      <w:r w:rsidRPr="009E0754">
        <w:t xml:space="preserve"> </w:t>
      </w:r>
      <w:proofErr w:type="spellStart"/>
      <w:r w:rsidRPr="009E0754">
        <w:t>the</w:t>
      </w:r>
      <w:proofErr w:type="spellEnd"/>
      <w:r w:rsidRPr="009E0754">
        <w:t xml:space="preserve"> </w:t>
      </w:r>
      <w:proofErr w:type="spellStart"/>
      <w:r w:rsidRPr="009E0754">
        <w:t>social</w:t>
      </w:r>
      <w:proofErr w:type="spellEnd"/>
      <w:r w:rsidRPr="009E0754">
        <w:t xml:space="preserve"> </w:t>
      </w:r>
      <w:proofErr w:type="spellStart"/>
      <w:r w:rsidRPr="009E0754">
        <w:t>structures</w:t>
      </w:r>
      <w:proofErr w:type="spellEnd"/>
      <w:r w:rsidRPr="009E0754">
        <w:t xml:space="preserve"> </w:t>
      </w:r>
      <w:proofErr w:type="spellStart"/>
      <w:r w:rsidRPr="009E0754">
        <w:t>and</w:t>
      </w:r>
      <w:proofErr w:type="spellEnd"/>
      <w:r w:rsidRPr="009E0754">
        <w:t xml:space="preserve"> moral </w:t>
      </w:r>
      <w:proofErr w:type="spellStart"/>
      <w:r w:rsidRPr="009E0754">
        <w:t>contradictions</w:t>
      </w:r>
      <w:proofErr w:type="spellEnd"/>
      <w:r w:rsidRPr="009E0754">
        <w:t xml:space="preserve"> of </w:t>
      </w:r>
      <w:proofErr w:type="spellStart"/>
      <w:r w:rsidRPr="009E0754">
        <w:t>their</w:t>
      </w:r>
      <w:proofErr w:type="spellEnd"/>
      <w:r w:rsidRPr="009E0754">
        <w:t xml:space="preserve"> time, </w:t>
      </w:r>
      <w:proofErr w:type="spellStart"/>
      <w:r w:rsidRPr="009E0754">
        <w:t>albeit</w:t>
      </w:r>
      <w:proofErr w:type="spellEnd"/>
      <w:r w:rsidRPr="009E0754">
        <w:t xml:space="preserve"> </w:t>
      </w:r>
      <w:proofErr w:type="spellStart"/>
      <w:r w:rsidRPr="009E0754">
        <w:t>through</w:t>
      </w:r>
      <w:proofErr w:type="spellEnd"/>
      <w:r w:rsidRPr="009E0754">
        <w:t xml:space="preserve"> </w:t>
      </w:r>
      <w:proofErr w:type="spellStart"/>
      <w:r w:rsidRPr="009E0754">
        <w:t>distinct</w:t>
      </w:r>
      <w:proofErr w:type="spellEnd"/>
      <w:r w:rsidRPr="009E0754">
        <w:t xml:space="preserve"> </w:t>
      </w:r>
      <w:proofErr w:type="spellStart"/>
      <w:r w:rsidRPr="009E0754">
        <w:t>literary</w:t>
      </w:r>
      <w:proofErr w:type="spellEnd"/>
      <w:r w:rsidRPr="009E0754">
        <w:t xml:space="preserve"> </w:t>
      </w:r>
      <w:proofErr w:type="spellStart"/>
      <w:r w:rsidRPr="009E0754">
        <w:t>strategies</w:t>
      </w:r>
      <w:proofErr w:type="spellEnd"/>
      <w:r w:rsidRPr="009E0754">
        <w:t xml:space="preserve">. </w:t>
      </w:r>
      <w:proofErr w:type="spellStart"/>
      <w:r w:rsidRPr="009E0754">
        <w:t>Goldsmith’s</w:t>
      </w:r>
      <w:proofErr w:type="spellEnd"/>
      <w:r w:rsidRPr="009E0754">
        <w:t xml:space="preserve"> </w:t>
      </w:r>
      <w:proofErr w:type="spellStart"/>
      <w:r w:rsidRPr="009E0754">
        <w:t>narrative</w:t>
      </w:r>
      <w:proofErr w:type="spellEnd"/>
      <w:r w:rsidRPr="009E0754">
        <w:t xml:space="preserve"> </w:t>
      </w:r>
      <w:proofErr w:type="spellStart"/>
      <w:r w:rsidRPr="009E0754">
        <w:t>strategy</w:t>
      </w:r>
      <w:proofErr w:type="spellEnd"/>
      <w:r w:rsidRPr="009E0754">
        <w:t xml:space="preserve"> </w:t>
      </w:r>
      <w:proofErr w:type="spellStart"/>
      <w:r w:rsidRPr="009E0754">
        <w:t>combines</w:t>
      </w:r>
      <w:proofErr w:type="spellEnd"/>
      <w:r w:rsidRPr="009E0754">
        <w:t xml:space="preserve"> satire </w:t>
      </w:r>
      <w:proofErr w:type="spellStart"/>
      <w:r w:rsidRPr="009E0754">
        <w:t>and</w:t>
      </w:r>
      <w:proofErr w:type="spellEnd"/>
      <w:r w:rsidRPr="009E0754">
        <w:t xml:space="preserve"> </w:t>
      </w:r>
      <w:proofErr w:type="spellStart"/>
      <w:r w:rsidRPr="009E0754">
        <w:t>sentimentality</w:t>
      </w:r>
      <w:proofErr w:type="spellEnd"/>
      <w:r w:rsidRPr="009E0754">
        <w:t xml:space="preserve"> </w:t>
      </w:r>
      <w:proofErr w:type="spellStart"/>
      <w:r w:rsidRPr="009E0754">
        <w:t>to</w:t>
      </w:r>
      <w:proofErr w:type="spellEnd"/>
      <w:r w:rsidRPr="009E0754">
        <w:t xml:space="preserve"> </w:t>
      </w:r>
      <w:proofErr w:type="spellStart"/>
      <w:r w:rsidRPr="009E0754">
        <w:t>critique</w:t>
      </w:r>
      <w:proofErr w:type="spellEnd"/>
      <w:r w:rsidRPr="009E0754">
        <w:t xml:space="preserve"> </w:t>
      </w:r>
      <w:proofErr w:type="spellStart"/>
      <w:r w:rsidRPr="009E0754">
        <w:t>the</w:t>
      </w:r>
      <w:proofErr w:type="spellEnd"/>
      <w:r w:rsidRPr="009E0754">
        <w:t xml:space="preserve"> </w:t>
      </w:r>
      <w:proofErr w:type="spellStart"/>
      <w:r w:rsidRPr="009E0754">
        <w:t>class</w:t>
      </w:r>
      <w:proofErr w:type="spellEnd"/>
      <w:r w:rsidRPr="009E0754">
        <w:t xml:space="preserve"> </w:t>
      </w:r>
      <w:proofErr w:type="spellStart"/>
      <w:r w:rsidRPr="009E0754">
        <w:t>system</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moral </w:t>
      </w:r>
      <w:proofErr w:type="spellStart"/>
      <w:r w:rsidRPr="009E0754">
        <w:t>failings</w:t>
      </w:r>
      <w:proofErr w:type="spellEnd"/>
      <w:r w:rsidRPr="009E0754">
        <w:t xml:space="preserve"> of </w:t>
      </w:r>
      <w:proofErr w:type="spellStart"/>
      <w:r w:rsidRPr="009E0754">
        <w:t>the</w:t>
      </w:r>
      <w:proofErr w:type="spellEnd"/>
      <w:r w:rsidRPr="009E0754">
        <w:t xml:space="preserve"> </w:t>
      </w:r>
      <w:proofErr w:type="spellStart"/>
      <w:r w:rsidRPr="009E0754">
        <w:t>privileged</w:t>
      </w:r>
      <w:proofErr w:type="spellEnd"/>
      <w:r w:rsidRPr="009E0754">
        <w:t xml:space="preserve"> [</w:t>
      </w:r>
      <w:proofErr w:type="spellStart"/>
      <w:r w:rsidRPr="009E0754">
        <w:t>Goldsmith</w:t>
      </w:r>
      <w:proofErr w:type="spellEnd"/>
      <w:r w:rsidRPr="009E0754">
        <w:t xml:space="preserve">, 1766, p. 180]. His </w:t>
      </w:r>
      <w:proofErr w:type="spellStart"/>
      <w:r w:rsidRPr="009E0754">
        <w:t>satirical</w:t>
      </w:r>
      <w:proofErr w:type="spellEnd"/>
      <w:r w:rsidRPr="009E0754">
        <w:t xml:space="preserve"> </w:t>
      </w:r>
      <w:proofErr w:type="spellStart"/>
      <w:r w:rsidRPr="009E0754">
        <w:t>undertones</w:t>
      </w:r>
      <w:proofErr w:type="spellEnd"/>
      <w:r w:rsidRPr="009E0754">
        <w:t xml:space="preserve"> </w:t>
      </w:r>
      <w:proofErr w:type="spellStart"/>
      <w:r w:rsidRPr="009E0754">
        <w:t>expose</w:t>
      </w:r>
      <w:proofErr w:type="spellEnd"/>
      <w:r w:rsidRPr="009E0754">
        <w:t xml:space="preserve"> </w:t>
      </w:r>
      <w:proofErr w:type="spellStart"/>
      <w:r w:rsidRPr="009E0754">
        <w:t>the</w:t>
      </w:r>
      <w:proofErr w:type="spellEnd"/>
      <w:r w:rsidRPr="009E0754">
        <w:t xml:space="preserve"> </w:t>
      </w:r>
      <w:proofErr w:type="spellStart"/>
      <w:r w:rsidRPr="009E0754">
        <w:t>hypocrisy</w:t>
      </w:r>
      <w:proofErr w:type="spellEnd"/>
      <w:r w:rsidRPr="009E0754">
        <w:t xml:space="preserve"> of </w:t>
      </w:r>
      <w:proofErr w:type="spellStart"/>
      <w:r w:rsidRPr="009E0754">
        <w:t>the</w:t>
      </w:r>
      <w:proofErr w:type="spellEnd"/>
      <w:r w:rsidRPr="009E0754">
        <w:t xml:space="preserve"> </w:t>
      </w:r>
      <w:proofErr w:type="spellStart"/>
      <w:r w:rsidRPr="009E0754">
        <w:t>privileged</w:t>
      </w:r>
      <w:proofErr w:type="spellEnd"/>
      <w:r w:rsidRPr="009E0754">
        <w:t xml:space="preserve">, </w:t>
      </w:r>
      <w:proofErr w:type="spellStart"/>
      <w:r w:rsidRPr="009E0754">
        <w:t>while</w:t>
      </w:r>
      <w:proofErr w:type="spellEnd"/>
      <w:r w:rsidRPr="009E0754">
        <w:t xml:space="preserve"> </w:t>
      </w:r>
      <w:proofErr w:type="spellStart"/>
      <w:r w:rsidRPr="009E0754">
        <w:t>the</w:t>
      </w:r>
      <w:proofErr w:type="spellEnd"/>
      <w:r w:rsidRPr="009E0754">
        <w:t xml:space="preserve"> </w:t>
      </w:r>
      <w:proofErr w:type="spellStart"/>
      <w:r w:rsidRPr="009E0754">
        <w:t>sentimental</w:t>
      </w:r>
      <w:proofErr w:type="spellEnd"/>
      <w:r w:rsidRPr="009E0754">
        <w:t xml:space="preserve"> </w:t>
      </w:r>
      <w:proofErr w:type="spellStart"/>
      <w:r w:rsidRPr="009E0754">
        <w:t>elements</w:t>
      </w:r>
      <w:proofErr w:type="spellEnd"/>
      <w:r w:rsidRPr="009E0754">
        <w:t xml:space="preserve"> </w:t>
      </w:r>
      <w:proofErr w:type="spellStart"/>
      <w:r w:rsidRPr="009E0754">
        <w:t>invoke</w:t>
      </w:r>
      <w:proofErr w:type="spellEnd"/>
      <w:r w:rsidRPr="009E0754">
        <w:t xml:space="preserve"> </w:t>
      </w:r>
      <w:proofErr w:type="spellStart"/>
      <w:r w:rsidRPr="009E0754">
        <w:t>empathy</w:t>
      </w:r>
      <w:proofErr w:type="spellEnd"/>
      <w:r w:rsidRPr="009E0754">
        <w:t xml:space="preserve"> </w:t>
      </w:r>
      <w:proofErr w:type="spellStart"/>
      <w:r w:rsidRPr="009E0754">
        <w:t>for</w:t>
      </w:r>
      <w:proofErr w:type="spellEnd"/>
      <w:r w:rsidRPr="009E0754">
        <w:t xml:space="preserve"> </w:t>
      </w:r>
      <w:proofErr w:type="spellStart"/>
      <w:r w:rsidRPr="009E0754">
        <w:t>the</w:t>
      </w:r>
      <w:proofErr w:type="spellEnd"/>
      <w:r w:rsidRPr="009E0754">
        <w:t xml:space="preserve"> </w:t>
      </w:r>
      <w:proofErr w:type="spellStart"/>
      <w:r w:rsidRPr="009E0754">
        <w:t>plight</w:t>
      </w:r>
      <w:proofErr w:type="spellEnd"/>
      <w:r w:rsidRPr="009E0754">
        <w:t xml:space="preserve"> of </w:t>
      </w:r>
      <w:proofErr w:type="spellStart"/>
      <w:r w:rsidRPr="009E0754">
        <w:t>the</w:t>
      </w:r>
      <w:proofErr w:type="spellEnd"/>
      <w:r w:rsidRPr="009E0754">
        <w:t xml:space="preserve"> </w:t>
      </w:r>
      <w:proofErr w:type="spellStart"/>
      <w:r w:rsidRPr="009E0754">
        <w:t>vulnerable</w:t>
      </w:r>
      <w:proofErr w:type="spellEnd"/>
      <w:r w:rsidRPr="009E0754">
        <w:t xml:space="preserve">. </w:t>
      </w:r>
      <w:proofErr w:type="spellStart"/>
      <w:r w:rsidRPr="009E0754">
        <w:t>In</w:t>
      </w:r>
      <w:proofErr w:type="spellEnd"/>
      <w:r w:rsidRPr="009E0754">
        <w:t xml:space="preserve"> </w:t>
      </w:r>
      <w:proofErr w:type="spellStart"/>
      <w:r w:rsidRPr="009E0754">
        <w:t>contrast</w:t>
      </w:r>
      <w:proofErr w:type="spellEnd"/>
      <w:r w:rsidRPr="009E0754">
        <w:t xml:space="preserve">, </w:t>
      </w:r>
      <w:proofErr w:type="spellStart"/>
      <w:r w:rsidRPr="009E0754">
        <w:t>Mackenzie</w:t>
      </w:r>
      <w:proofErr w:type="spellEnd"/>
      <w:r w:rsidRPr="009E0754">
        <w:t xml:space="preserve"> </w:t>
      </w:r>
      <w:proofErr w:type="spellStart"/>
      <w:r w:rsidRPr="009E0754">
        <w:t>adopts</w:t>
      </w:r>
      <w:proofErr w:type="spellEnd"/>
      <w:r w:rsidRPr="009E0754">
        <w:t xml:space="preserve"> a </w:t>
      </w:r>
      <w:proofErr w:type="spellStart"/>
      <w:r w:rsidRPr="009E0754">
        <w:t>somber</w:t>
      </w:r>
      <w:proofErr w:type="spellEnd"/>
      <w:r w:rsidRPr="009E0754">
        <w:t xml:space="preserve">, </w:t>
      </w:r>
      <w:proofErr w:type="spellStart"/>
      <w:r w:rsidRPr="009E0754">
        <w:t>introspective</w:t>
      </w:r>
      <w:proofErr w:type="spellEnd"/>
      <w:r w:rsidRPr="009E0754">
        <w:t xml:space="preserve"> </w:t>
      </w:r>
      <w:proofErr w:type="spellStart"/>
      <w:r w:rsidRPr="009E0754">
        <w:t>tone</w:t>
      </w:r>
      <w:proofErr w:type="spellEnd"/>
      <w:r w:rsidRPr="009E0754">
        <w:t xml:space="preserve">, </w:t>
      </w:r>
      <w:proofErr w:type="spellStart"/>
      <w:r w:rsidRPr="009E0754">
        <w:t>focusing</w:t>
      </w:r>
      <w:proofErr w:type="spellEnd"/>
      <w:r w:rsidRPr="009E0754">
        <w:t xml:space="preserve"> on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consequences</w:t>
      </w:r>
      <w:proofErr w:type="spellEnd"/>
      <w:r w:rsidRPr="009E0754">
        <w:t xml:space="preserve"> of </w:t>
      </w:r>
      <w:proofErr w:type="spellStart"/>
      <w:r w:rsidRPr="009E0754">
        <w:t>living</w:t>
      </w:r>
      <w:proofErr w:type="spellEnd"/>
      <w:r w:rsidRPr="009E0754">
        <w:t xml:space="preserve"> </w:t>
      </w:r>
      <w:proofErr w:type="spellStart"/>
      <w:r w:rsidRPr="009E0754">
        <w:t>according</w:t>
      </w:r>
      <w:proofErr w:type="spellEnd"/>
      <w:r w:rsidRPr="009E0754">
        <w:t xml:space="preserve"> </w:t>
      </w:r>
      <w:proofErr w:type="spellStart"/>
      <w:r w:rsidRPr="009E0754">
        <w:t>to</w:t>
      </w:r>
      <w:proofErr w:type="spellEnd"/>
      <w:r w:rsidRPr="009E0754">
        <w:t xml:space="preserve"> </w:t>
      </w:r>
      <w:proofErr w:type="spellStart"/>
      <w:r w:rsidRPr="009E0754">
        <w:t>virtuous</w:t>
      </w:r>
      <w:proofErr w:type="spellEnd"/>
      <w:r w:rsidRPr="009E0754">
        <w:t xml:space="preserve"> </w:t>
      </w:r>
      <w:proofErr w:type="spellStart"/>
      <w:r w:rsidRPr="009E0754">
        <w:t>principles</w:t>
      </w:r>
      <w:proofErr w:type="spellEnd"/>
      <w:r w:rsidRPr="009E0754">
        <w:t xml:space="preserve"> in a </w:t>
      </w:r>
      <w:proofErr w:type="spellStart"/>
      <w:r w:rsidRPr="009E0754">
        <w:t>morally</w:t>
      </w:r>
      <w:proofErr w:type="spellEnd"/>
      <w:r w:rsidRPr="009E0754">
        <w:t xml:space="preserve"> </w:t>
      </w:r>
      <w:proofErr w:type="spellStart"/>
      <w:r w:rsidRPr="009E0754">
        <w:t>indifferent</w:t>
      </w:r>
      <w:proofErr w:type="spellEnd"/>
      <w:r w:rsidRPr="009E0754">
        <w:t xml:space="preserve"> </w:t>
      </w:r>
      <w:proofErr w:type="spellStart"/>
      <w:r w:rsidRPr="009E0754">
        <w:t>world</w:t>
      </w:r>
      <w:proofErr w:type="spellEnd"/>
      <w:r w:rsidRPr="009E0754">
        <w:t xml:space="preserve">.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discourse</w:t>
      </w:r>
      <w:proofErr w:type="spellEnd"/>
      <w:r w:rsidRPr="009E0754">
        <w:t xml:space="preserve"> in </w:t>
      </w:r>
      <w:proofErr w:type="spellStart"/>
      <w:r w:rsidRPr="009E0754">
        <w:t>both</w:t>
      </w:r>
      <w:proofErr w:type="spellEnd"/>
      <w:r w:rsidRPr="009E0754">
        <w:t xml:space="preserve"> </w:t>
      </w:r>
      <w:proofErr w:type="spellStart"/>
      <w:r w:rsidRPr="009E0754">
        <w:t>works</w:t>
      </w:r>
      <w:proofErr w:type="spellEnd"/>
      <w:r w:rsidRPr="009E0754">
        <w:t xml:space="preserve"> </w:t>
      </w:r>
      <w:proofErr w:type="spellStart"/>
      <w:r w:rsidRPr="009E0754">
        <w:t>serves</w:t>
      </w:r>
      <w:proofErr w:type="spellEnd"/>
      <w:r w:rsidRPr="009E0754">
        <w:t xml:space="preserve"> as a </w:t>
      </w:r>
      <w:proofErr w:type="spellStart"/>
      <w:r w:rsidRPr="009E0754">
        <w:t>tool</w:t>
      </w:r>
      <w:proofErr w:type="spellEnd"/>
      <w:r w:rsidRPr="009E0754">
        <w:t xml:space="preserve"> </w:t>
      </w:r>
      <w:proofErr w:type="spellStart"/>
      <w:r w:rsidRPr="009E0754">
        <w:t>for</w:t>
      </w:r>
      <w:proofErr w:type="spellEnd"/>
      <w:r w:rsidRPr="009E0754">
        <w:t xml:space="preserve"> </w:t>
      </w:r>
      <w:proofErr w:type="spellStart"/>
      <w:r w:rsidRPr="009E0754">
        <w:t>social</w:t>
      </w:r>
      <w:proofErr w:type="spellEnd"/>
      <w:r w:rsidRPr="009E0754">
        <w:t xml:space="preserve"> </w:t>
      </w:r>
      <w:proofErr w:type="spellStart"/>
      <w:r w:rsidRPr="009E0754">
        <w:t>critique</w:t>
      </w:r>
      <w:proofErr w:type="spellEnd"/>
      <w:r w:rsidRPr="009E0754">
        <w:t xml:space="preserve">, </w:t>
      </w:r>
      <w:proofErr w:type="spellStart"/>
      <w:r w:rsidRPr="009E0754">
        <w:t>highlighting</w:t>
      </w:r>
      <w:proofErr w:type="spellEnd"/>
      <w:r w:rsidRPr="009E0754">
        <w:t xml:space="preserve"> </w:t>
      </w:r>
      <w:proofErr w:type="spellStart"/>
      <w:r w:rsidRPr="009E0754">
        <w:t>the</w:t>
      </w:r>
      <w:proofErr w:type="spellEnd"/>
      <w:r w:rsidRPr="009E0754">
        <w:t xml:space="preserve"> </w:t>
      </w:r>
      <w:proofErr w:type="spellStart"/>
      <w:r w:rsidRPr="009E0754">
        <w:t>need</w:t>
      </w:r>
      <w:proofErr w:type="spellEnd"/>
      <w:r w:rsidRPr="009E0754">
        <w:t xml:space="preserve"> </w:t>
      </w:r>
      <w:proofErr w:type="spellStart"/>
      <w:r w:rsidRPr="009E0754">
        <w:t>for</w:t>
      </w:r>
      <w:proofErr w:type="spellEnd"/>
      <w:r w:rsidRPr="009E0754">
        <w:t xml:space="preserve"> </w:t>
      </w:r>
      <w:proofErr w:type="spellStart"/>
      <w:r w:rsidRPr="009E0754">
        <w:t>compassion</w:t>
      </w:r>
      <w:proofErr w:type="spellEnd"/>
      <w:r w:rsidRPr="009E0754">
        <w:t xml:space="preserve"> in an </w:t>
      </w:r>
      <w:proofErr w:type="spellStart"/>
      <w:r w:rsidRPr="009E0754">
        <w:t>indifferent</w:t>
      </w:r>
      <w:proofErr w:type="spellEnd"/>
      <w:r w:rsidRPr="009E0754">
        <w:t xml:space="preserve"> </w:t>
      </w:r>
      <w:proofErr w:type="spellStart"/>
      <w:r w:rsidRPr="009E0754">
        <w:t>world</w:t>
      </w:r>
      <w:proofErr w:type="spellEnd"/>
      <w:r w:rsidRPr="009E0754">
        <w:t xml:space="preserve"> [</w:t>
      </w:r>
      <w:proofErr w:type="spellStart"/>
      <w:r w:rsidRPr="009E0754">
        <w:t>Barker-Benfield</w:t>
      </w:r>
      <w:proofErr w:type="spellEnd"/>
      <w:r w:rsidRPr="009E0754">
        <w:t xml:space="preserve">, 1992, p. 163]. His </w:t>
      </w:r>
      <w:proofErr w:type="spellStart"/>
      <w:r w:rsidRPr="009E0754">
        <w:t>portrayal</w:t>
      </w:r>
      <w:proofErr w:type="spellEnd"/>
      <w:r w:rsidRPr="009E0754">
        <w:t xml:space="preserve"> of </w:t>
      </w:r>
      <w:proofErr w:type="spellStart"/>
      <w:r w:rsidRPr="009E0754">
        <w:t>virtue</w:t>
      </w:r>
      <w:proofErr w:type="spellEnd"/>
      <w:r w:rsidRPr="009E0754">
        <w:t xml:space="preserve"> is </w:t>
      </w:r>
      <w:proofErr w:type="spellStart"/>
      <w:r w:rsidRPr="009E0754">
        <w:t>less</w:t>
      </w:r>
      <w:proofErr w:type="spellEnd"/>
      <w:r w:rsidRPr="009E0754">
        <w:t xml:space="preserve"> </w:t>
      </w:r>
      <w:proofErr w:type="spellStart"/>
      <w:r w:rsidRPr="009E0754">
        <w:t>triumphant</w:t>
      </w:r>
      <w:proofErr w:type="spellEnd"/>
      <w:r w:rsidRPr="009E0754">
        <w:t xml:space="preserve"> </w:t>
      </w:r>
      <w:proofErr w:type="spellStart"/>
      <w:r w:rsidRPr="009E0754">
        <w:t>and</w:t>
      </w:r>
      <w:proofErr w:type="spellEnd"/>
      <w:r w:rsidRPr="009E0754">
        <w:t xml:space="preserve"> </w:t>
      </w:r>
      <w:proofErr w:type="spellStart"/>
      <w:r w:rsidRPr="009E0754">
        <w:t>more</w:t>
      </w:r>
      <w:proofErr w:type="spellEnd"/>
      <w:r w:rsidRPr="009E0754">
        <w:t xml:space="preserve"> </w:t>
      </w:r>
      <w:proofErr w:type="spellStart"/>
      <w:r w:rsidRPr="009E0754">
        <w:t>tragic</w:t>
      </w:r>
      <w:proofErr w:type="spellEnd"/>
      <w:r w:rsidRPr="009E0754">
        <w:t xml:space="preserve">, </w:t>
      </w:r>
      <w:proofErr w:type="spellStart"/>
      <w:r w:rsidRPr="009E0754">
        <w:t>emphasizing</w:t>
      </w:r>
      <w:proofErr w:type="spellEnd"/>
      <w:r w:rsidRPr="009E0754">
        <w:t xml:space="preserve"> </w:t>
      </w:r>
      <w:proofErr w:type="spellStart"/>
      <w:r w:rsidRPr="009E0754">
        <w:t>the</w:t>
      </w:r>
      <w:proofErr w:type="spellEnd"/>
      <w:r w:rsidRPr="009E0754">
        <w:t xml:space="preserve"> </w:t>
      </w:r>
      <w:proofErr w:type="spellStart"/>
      <w:r w:rsidRPr="009E0754">
        <w:t>psychological</w:t>
      </w:r>
      <w:proofErr w:type="spellEnd"/>
      <w:r w:rsidRPr="009E0754">
        <w:t xml:space="preserve"> </w:t>
      </w:r>
      <w:proofErr w:type="spellStart"/>
      <w:r w:rsidRPr="009E0754">
        <w:t>and</w:t>
      </w:r>
      <w:proofErr w:type="spellEnd"/>
      <w:r w:rsidRPr="009E0754">
        <w:t xml:space="preserve"> </w:t>
      </w:r>
      <w:proofErr w:type="spellStart"/>
      <w:r w:rsidRPr="009E0754">
        <w:t>emotional</w:t>
      </w:r>
      <w:proofErr w:type="spellEnd"/>
      <w:r w:rsidRPr="009E0754">
        <w:t xml:space="preserve"> </w:t>
      </w:r>
      <w:proofErr w:type="spellStart"/>
      <w:r w:rsidRPr="009E0754">
        <w:t>toll</w:t>
      </w:r>
      <w:proofErr w:type="spellEnd"/>
      <w:r w:rsidRPr="009E0754">
        <w:t xml:space="preserve"> on </w:t>
      </w:r>
      <w:proofErr w:type="spellStart"/>
      <w:r w:rsidRPr="009E0754">
        <w:t>those</w:t>
      </w:r>
      <w:proofErr w:type="spellEnd"/>
      <w:r w:rsidRPr="009E0754">
        <w:t xml:space="preserve"> </w:t>
      </w:r>
      <w:proofErr w:type="spellStart"/>
      <w:r w:rsidRPr="009E0754">
        <w:t>who</w:t>
      </w:r>
      <w:proofErr w:type="spellEnd"/>
      <w:r w:rsidRPr="009E0754">
        <w:t xml:space="preserve"> </w:t>
      </w:r>
      <w:proofErr w:type="spellStart"/>
      <w:r w:rsidRPr="009E0754">
        <w:t>strive</w:t>
      </w:r>
      <w:proofErr w:type="spellEnd"/>
      <w:r w:rsidRPr="009E0754">
        <w:t xml:space="preserve"> </w:t>
      </w:r>
      <w:proofErr w:type="spellStart"/>
      <w:r w:rsidRPr="009E0754">
        <w:t>to</w:t>
      </w:r>
      <w:proofErr w:type="spellEnd"/>
      <w:r w:rsidRPr="009E0754">
        <w:t xml:space="preserve"> </w:t>
      </w:r>
      <w:proofErr w:type="spellStart"/>
      <w:r w:rsidRPr="009E0754">
        <w:t>uphold</w:t>
      </w:r>
      <w:proofErr w:type="spellEnd"/>
      <w:r w:rsidRPr="009E0754">
        <w:t xml:space="preserve"> </w:t>
      </w:r>
      <w:proofErr w:type="spellStart"/>
      <w:r w:rsidRPr="009E0754">
        <w:t>their</w:t>
      </w:r>
      <w:proofErr w:type="spellEnd"/>
      <w:r w:rsidRPr="009E0754">
        <w:t xml:space="preserve"> moral </w:t>
      </w:r>
      <w:proofErr w:type="spellStart"/>
      <w:r w:rsidRPr="009E0754">
        <w:t>ideals</w:t>
      </w:r>
      <w:proofErr w:type="spellEnd"/>
      <w:r w:rsidRPr="009E0754">
        <w:t>.</w:t>
      </w:r>
    </w:p>
    <w:p w14:paraId="6ED597F8" w14:textId="77777777" w:rsidR="00BA67A6" w:rsidRPr="009E0754" w:rsidRDefault="00BA67A6" w:rsidP="00BA67A6">
      <w:pPr>
        <w:jc w:val="both"/>
      </w:pPr>
    </w:p>
    <w:p w14:paraId="397A9F16" w14:textId="77777777" w:rsidR="00DA3117" w:rsidRDefault="00DA3117" w:rsidP="00BA67A6">
      <w:pPr>
        <w:jc w:val="both"/>
      </w:pPr>
      <w:proofErr w:type="spellStart"/>
      <w:r w:rsidRPr="009E0754">
        <w:t>The</w:t>
      </w:r>
      <w:proofErr w:type="spellEnd"/>
      <w:r w:rsidRPr="009E0754">
        <w:t xml:space="preserve"> </w:t>
      </w:r>
      <w:proofErr w:type="spellStart"/>
      <w:r w:rsidRPr="009E0754">
        <w:t>analysis</w:t>
      </w:r>
      <w:proofErr w:type="spellEnd"/>
      <w:r w:rsidRPr="009E0754">
        <w:t xml:space="preserve"> </w:t>
      </w:r>
      <w:proofErr w:type="spellStart"/>
      <w:r w:rsidRPr="009E0754">
        <w:t>further</w:t>
      </w:r>
      <w:proofErr w:type="spellEnd"/>
      <w:r w:rsidRPr="009E0754">
        <w:t xml:space="preserve"> </w:t>
      </w:r>
      <w:proofErr w:type="spellStart"/>
      <w:r w:rsidRPr="009E0754">
        <w:t>delves</w:t>
      </w:r>
      <w:proofErr w:type="spellEnd"/>
      <w:r w:rsidRPr="009E0754">
        <w:t xml:space="preserve"> </w:t>
      </w:r>
      <w:proofErr w:type="spellStart"/>
      <w:r w:rsidRPr="009E0754">
        <w:t>into</w:t>
      </w:r>
      <w:proofErr w:type="spellEnd"/>
      <w:r w:rsidRPr="009E0754">
        <w:t xml:space="preserve"> how </w:t>
      </w:r>
      <w:proofErr w:type="spellStart"/>
      <w:r w:rsidRPr="009E0754">
        <w:t>each</w:t>
      </w:r>
      <w:proofErr w:type="spellEnd"/>
      <w:r w:rsidRPr="009E0754">
        <w:t xml:space="preserve"> </w:t>
      </w:r>
      <w:proofErr w:type="spellStart"/>
      <w:r w:rsidRPr="009E0754">
        <w:t>author</w:t>
      </w:r>
      <w:proofErr w:type="spellEnd"/>
      <w:r w:rsidRPr="009E0754">
        <w:t xml:space="preserve"> </w:t>
      </w:r>
      <w:proofErr w:type="spellStart"/>
      <w:r w:rsidRPr="009E0754">
        <w:t>conceptualizes</w:t>
      </w:r>
      <w:proofErr w:type="spellEnd"/>
      <w:r w:rsidRPr="009E0754">
        <w:t xml:space="preserve"> </w:t>
      </w:r>
      <w:proofErr w:type="spellStart"/>
      <w:r w:rsidRPr="009E0754">
        <w:t>virtue</w:t>
      </w:r>
      <w:proofErr w:type="spellEnd"/>
      <w:r w:rsidRPr="009E0754">
        <w:t xml:space="preserve"> </w:t>
      </w:r>
      <w:proofErr w:type="spellStart"/>
      <w:r w:rsidRPr="009E0754">
        <w:t>within</w:t>
      </w:r>
      <w:proofErr w:type="spellEnd"/>
      <w:r w:rsidRPr="009E0754">
        <w:t xml:space="preserve"> </w:t>
      </w:r>
      <w:proofErr w:type="spellStart"/>
      <w:r w:rsidRPr="009E0754">
        <w:t>the</w:t>
      </w:r>
      <w:proofErr w:type="spellEnd"/>
      <w:r w:rsidRPr="009E0754">
        <w:t xml:space="preserve"> </w:t>
      </w:r>
      <w:proofErr w:type="spellStart"/>
      <w:r w:rsidRPr="009E0754">
        <w:t>context</w:t>
      </w:r>
      <w:proofErr w:type="spellEnd"/>
      <w:r w:rsidRPr="009E0754">
        <w:t xml:space="preserve"> of </w:t>
      </w:r>
      <w:proofErr w:type="spellStart"/>
      <w:r w:rsidRPr="009E0754">
        <w:t>their</w:t>
      </w:r>
      <w:proofErr w:type="spellEnd"/>
      <w:r w:rsidRPr="009E0754">
        <w:t xml:space="preserve"> </w:t>
      </w:r>
      <w:proofErr w:type="spellStart"/>
      <w:r w:rsidRPr="009E0754">
        <w:t>narratives</w:t>
      </w:r>
      <w:proofErr w:type="spellEnd"/>
      <w:r w:rsidRPr="009E0754">
        <w:t xml:space="preserve">. </w:t>
      </w:r>
      <w:proofErr w:type="spellStart"/>
      <w:r w:rsidRPr="009E0754">
        <w:t>For</w:t>
      </w:r>
      <w:proofErr w:type="spellEnd"/>
      <w:r w:rsidRPr="009E0754">
        <w:t xml:space="preserve"> </w:t>
      </w:r>
      <w:proofErr w:type="spellStart"/>
      <w:r w:rsidRPr="009E0754">
        <w:t>Goldsmith</w:t>
      </w:r>
      <w:proofErr w:type="spellEnd"/>
      <w:r w:rsidRPr="009E0754">
        <w:t xml:space="preserve">, </w:t>
      </w:r>
      <w:proofErr w:type="spellStart"/>
      <w:r w:rsidRPr="009E0754">
        <w:t>virtue</w:t>
      </w:r>
      <w:proofErr w:type="spellEnd"/>
      <w:r w:rsidRPr="009E0754">
        <w:t xml:space="preserve"> is an </w:t>
      </w:r>
      <w:proofErr w:type="spellStart"/>
      <w:r w:rsidRPr="009E0754">
        <w:t>enduring</w:t>
      </w:r>
      <w:proofErr w:type="spellEnd"/>
      <w:r w:rsidRPr="009E0754">
        <w:t xml:space="preserve"> </w:t>
      </w:r>
      <w:proofErr w:type="spellStart"/>
      <w:r w:rsidRPr="009E0754">
        <w:t>force</w:t>
      </w:r>
      <w:proofErr w:type="spellEnd"/>
      <w:r w:rsidRPr="009E0754">
        <w:t>—</w:t>
      </w:r>
      <w:proofErr w:type="spellStart"/>
      <w:r w:rsidRPr="009E0754">
        <w:t>tested</w:t>
      </w:r>
      <w:proofErr w:type="spellEnd"/>
      <w:r w:rsidRPr="009E0754">
        <w:t xml:space="preserve"> </w:t>
      </w:r>
      <w:proofErr w:type="spellStart"/>
      <w:r w:rsidRPr="009E0754">
        <w:t>by</w:t>
      </w:r>
      <w:proofErr w:type="spellEnd"/>
      <w:r w:rsidRPr="009E0754">
        <w:t xml:space="preserve"> </w:t>
      </w:r>
      <w:proofErr w:type="spellStart"/>
      <w:r w:rsidRPr="009E0754">
        <w:t>adversity</w:t>
      </w:r>
      <w:proofErr w:type="spellEnd"/>
      <w:r w:rsidRPr="009E0754">
        <w:t xml:space="preserve"> but </w:t>
      </w:r>
      <w:proofErr w:type="spellStart"/>
      <w:r w:rsidRPr="009E0754">
        <w:t>ultimately</w:t>
      </w:r>
      <w:proofErr w:type="spellEnd"/>
      <w:r w:rsidRPr="009E0754">
        <w:t xml:space="preserve"> </w:t>
      </w:r>
      <w:proofErr w:type="spellStart"/>
      <w:r w:rsidRPr="009E0754">
        <w:t>resilient</w:t>
      </w:r>
      <w:proofErr w:type="spellEnd"/>
      <w:r w:rsidRPr="009E0754">
        <w:t xml:space="preserve">, </w:t>
      </w:r>
      <w:proofErr w:type="spellStart"/>
      <w:r w:rsidRPr="009E0754">
        <w:t>capable</w:t>
      </w:r>
      <w:proofErr w:type="spellEnd"/>
      <w:r w:rsidRPr="009E0754">
        <w:t xml:space="preserve"> of </w:t>
      </w:r>
      <w:proofErr w:type="spellStart"/>
      <w:r w:rsidRPr="009E0754">
        <w:t>overcoming</w:t>
      </w:r>
      <w:proofErr w:type="spellEnd"/>
      <w:r w:rsidRPr="009E0754">
        <w:t xml:space="preserve"> </w:t>
      </w:r>
      <w:proofErr w:type="spellStart"/>
      <w:r w:rsidRPr="009E0754">
        <w:t>external</w:t>
      </w:r>
      <w:proofErr w:type="spellEnd"/>
      <w:r w:rsidRPr="009E0754">
        <w:t xml:space="preserve"> </w:t>
      </w:r>
      <w:proofErr w:type="spellStart"/>
      <w:r w:rsidRPr="009E0754">
        <w:t>challenges</w:t>
      </w:r>
      <w:proofErr w:type="spellEnd"/>
      <w:r w:rsidRPr="009E0754">
        <w:t xml:space="preserve">. </w:t>
      </w:r>
      <w:proofErr w:type="spellStart"/>
      <w:r w:rsidRPr="009E0754">
        <w:t>Mackenzie</w:t>
      </w:r>
      <w:proofErr w:type="spellEnd"/>
      <w:r w:rsidRPr="009E0754">
        <w:t xml:space="preserve">, </w:t>
      </w:r>
      <w:proofErr w:type="spellStart"/>
      <w:r w:rsidRPr="009E0754">
        <w:t>however</w:t>
      </w:r>
      <w:proofErr w:type="spellEnd"/>
      <w:r w:rsidRPr="009E0754">
        <w:t xml:space="preserve">, </w:t>
      </w:r>
      <w:proofErr w:type="spellStart"/>
      <w:r w:rsidRPr="009E0754">
        <w:t>presents</w:t>
      </w:r>
      <w:proofErr w:type="spellEnd"/>
      <w:r w:rsidRPr="009E0754">
        <w:t xml:space="preserve"> </w:t>
      </w:r>
      <w:proofErr w:type="spellStart"/>
      <w:r w:rsidRPr="009E0754">
        <w:t>virtue</w:t>
      </w:r>
      <w:proofErr w:type="spellEnd"/>
      <w:r w:rsidRPr="009E0754">
        <w:t xml:space="preserve"> as a </w:t>
      </w:r>
      <w:proofErr w:type="spellStart"/>
      <w:r w:rsidRPr="009E0754">
        <w:t>delicate</w:t>
      </w:r>
      <w:proofErr w:type="spellEnd"/>
      <w:r w:rsidRPr="009E0754">
        <w:t xml:space="preserve"> </w:t>
      </w:r>
      <w:proofErr w:type="spellStart"/>
      <w:r w:rsidRPr="009E0754">
        <w:t>and</w:t>
      </w:r>
      <w:proofErr w:type="spellEnd"/>
      <w:r w:rsidRPr="009E0754">
        <w:t xml:space="preserve"> </w:t>
      </w:r>
      <w:proofErr w:type="spellStart"/>
      <w:r w:rsidRPr="009E0754">
        <w:t>precarious</w:t>
      </w:r>
      <w:proofErr w:type="spellEnd"/>
      <w:r w:rsidRPr="009E0754">
        <w:t xml:space="preserve"> </w:t>
      </w:r>
      <w:proofErr w:type="spellStart"/>
      <w:r w:rsidRPr="009E0754">
        <w:t>state</w:t>
      </w:r>
      <w:proofErr w:type="spellEnd"/>
      <w:r w:rsidRPr="009E0754">
        <w:t xml:space="preserve">, </w:t>
      </w:r>
      <w:proofErr w:type="spellStart"/>
      <w:r w:rsidRPr="009E0754">
        <w:t>constantly</w:t>
      </w:r>
      <w:proofErr w:type="spellEnd"/>
      <w:r w:rsidRPr="009E0754">
        <w:t xml:space="preserve"> </w:t>
      </w:r>
      <w:proofErr w:type="spellStart"/>
      <w:r w:rsidRPr="009E0754">
        <w:t>threatened</w:t>
      </w:r>
      <w:proofErr w:type="spellEnd"/>
      <w:r w:rsidRPr="009E0754">
        <w:t xml:space="preserve"> </w:t>
      </w:r>
      <w:proofErr w:type="spellStart"/>
      <w:r w:rsidRPr="009E0754">
        <w:t>by</w:t>
      </w:r>
      <w:proofErr w:type="spellEnd"/>
      <w:r w:rsidRPr="009E0754">
        <w:t xml:space="preserve"> </w:t>
      </w:r>
      <w:proofErr w:type="spellStart"/>
      <w:r w:rsidRPr="009E0754">
        <w:t>the</w:t>
      </w:r>
      <w:proofErr w:type="spellEnd"/>
      <w:r w:rsidRPr="009E0754">
        <w:t xml:space="preserve"> </w:t>
      </w:r>
      <w:proofErr w:type="spellStart"/>
      <w:r w:rsidRPr="009E0754">
        <w:t>harsh</w:t>
      </w:r>
      <w:proofErr w:type="spellEnd"/>
      <w:r w:rsidRPr="009E0754">
        <w:t xml:space="preserve"> </w:t>
      </w:r>
      <w:proofErr w:type="spellStart"/>
      <w:r w:rsidRPr="009E0754">
        <w:t>realities</w:t>
      </w:r>
      <w:proofErr w:type="spellEnd"/>
      <w:r w:rsidRPr="009E0754">
        <w:t xml:space="preserve"> of life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oppressive</w:t>
      </w:r>
      <w:proofErr w:type="spellEnd"/>
      <w:r w:rsidRPr="009E0754">
        <w:t xml:space="preserve"> </w:t>
      </w:r>
      <w:proofErr w:type="spellStart"/>
      <w:r w:rsidRPr="009E0754">
        <w:t>demands</w:t>
      </w:r>
      <w:proofErr w:type="spellEnd"/>
      <w:r w:rsidRPr="009E0754">
        <w:t xml:space="preserve"> of </w:t>
      </w:r>
      <w:proofErr w:type="spellStart"/>
      <w:r w:rsidRPr="009E0754">
        <w:t>social</w:t>
      </w:r>
      <w:proofErr w:type="spellEnd"/>
      <w:r w:rsidRPr="009E0754">
        <w:t xml:space="preserve"> </w:t>
      </w:r>
      <w:proofErr w:type="spellStart"/>
      <w:r w:rsidRPr="009E0754">
        <w:t>conventions</w:t>
      </w:r>
      <w:proofErr w:type="spellEnd"/>
      <w:r w:rsidRPr="009E0754">
        <w:t xml:space="preserve">. </w:t>
      </w:r>
      <w:proofErr w:type="spellStart"/>
      <w:r w:rsidRPr="009E0754">
        <w:t>This</w:t>
      </w:r>
      <w:proofErr w:type="spellEnd"/>
      <w:r w:rsidRPr="009E0754">
        <w:t xml:space="preserve"> </w:t>
      </w:r>
      <w:proofErr w:type="spellStart"/>
      <w:r w:rsidRPr="009E0754">
        <w:t>difference</w:t>
      </w:r>
      <w:proofErr w:type="spellEnd"/>
      <w:r w:rsidRPr="009E0754">
        <w:t xml:space="preserve"> in </w:t>
      </w:r>
      <w:proofErr w:type="spellStart"/>
      <w:r w:rsidRPr="009E0754">
        <w:t>perspective</w:t>
      </w:r>
      <w:proofErr w:type="spellEnd"/>
      <w:r w:rsidRPr="009E0754">
        <w:t xml:space="preserve"> </w:t>
      </w:r>
      <w:proofErr w:type="spellStart"/>
      <w:r w:rsidRPr="009E0754">
        <w:t>provides</w:t>
      </w:r>
      <w:proofErr w:type="spellEnd"/>
      <w:r w:rsidRPr="009E0754">
        <w:t xml:space="preserve"> fertile </w:t>
      </w:r>
      <w:proofErr w:type="spellStart"/>
      <w:r w:rsidRPr="009E0754">
        <w:t>ground</w:t>
      </w:r>
      <w:proofErr w:type="spellEnd"/>
      <w:r w:rsidRPr="009E0754">
        <w:t xml:space="preserve"> </w:t>
      </w:r>
      <w:proofErr w:type="spellStart"/>
      <w:r w:rsidRPr="009E0754">
        <w:t>for</w:t>
      </w:r>
      <w:proofErr w:type="spellEnd"/>
      <w:r w:rsidRPr="009E0754">
        <w:t xml:space="preserve"> </w:t>
      </w:r>
      <w:proofErr w:type="spellStart"/>
      <w:r w:rsidRPr="009E0754">
        <w:t>comparative</w:t>
      </w:r>
      <w:proofErr w:type="spellEnd"/>
      <w:r w:rsidRPr="009E0754">
        <w:t xml:space="preserve"> </w:t>
      </w:r>
      <w:proofErr w:type="spellStart"/>
      <w:r w:rsidRPr="009E0754">
        <w:t>analysis</w:t>
      </w:r>
      <w:proofErr w:type="spellEnd"/>
      <w:r w:rsidRPr="009E0754">
        <w:t xml:space="preserve">, </w:t>
      </w:r>
      <w:proofErr w:type="spellStart"/>
      <w:r w:rsidRPr="009E0754">
        <w:t>highlighting</w:t>
      </w:r>
      <w:proofErr w:type="spellEnd"/>
      <w:r w:rsidRPr="009E0754">
        <w:t xml:space="preserve"> </w:t>
      </w:r>
      <w:proofErr w:type="spellStart"/>
      <w:r w:rsidRPr="009E0754">
        <w:t>contrasting</w:t>
      </w:r>
      <w:proofErr w:type="spellEnd"/>
      <w:r w:rsidRPr="009E0754">
        <w:t xml:space="preserve"> </w:t>
      </w:r>
      <w:proofErr w:type="spellStart"/>
      <w:r w:rsidRPr="009E0754">
        <w:t>approaches</w:t>
      </w:r>
      <w:proofErr w:type="spellEnd"/>
      <w:r w:rsidRPr="009E0754">
        <w:t xml:space="preserve"> </w:t>
      </w:r>
      <w:proofErr w:type="spellStart"/>
      <w:r w:rsidRPr="009E0754">
        <w:t>to</w:t>
      </w:r>
      <w:proofErr w:type="spellEnd"/>
      <w:r w:rsidRPr="009E0754">
        <w:t xml:space="preserve"> </w:t>
      </w:r>
      <w:proofErr w:type="spellStart"/>
      <w:r w:rsidRPr="009E0754">
        <w:t>the</w:t>
      </w:r>
      <w:proofErr w:type="spellEnd"/>
      <w:r w:rsidRPr="009E0754">
        <w:t xml:space="preserve"> moral </w:t>
      </w:r>
      <w:proofErr w:type="spellStart"/>
      <w:r w:rsidRPr="009E0754">
        <w:t>philosophy</w:t>
      </w:r>
      <w:proofErr w:type="spellEnd"/>
      <w:r w:rsidRPr="009E0754">
        <w:t xml:space="preserve"> of </w:t>
      </w:r>
      <w:proofErr w:type="spellStart"/>
      <w:r w:rsidRPr="009E0754">
        <w:t>the</w:t>
      </w:r>
      <w:proofErr w:type="spellEnd"/>
      <w:r w:rsidRPr="009E0754">
        <w:t xml:space="preserve"> </w:t>
      </w:r>
      <w:proofErr w:type="spellStart"/>
      <w:r w:rsidRPr="009E0754">
        <w:t>era</w:t>
      </w:r>
      <w:proofErr w:type="spellEnd"/>
      <w:r w:rsidRPr="009E0754">
        <w:t xml:space="preserve">. </w:t>
      </w:r>
      <w:proofErr w:type="spellStart"/>
      <w:r w:rsidRPr="009E0754">
        <w:t>Additionally</w:t>
      </w:r>
      <w:proofErr w:type="spellEnd"/>
      <w:r w:rsidRPr="009E0754">
        <w:t xml:space="preserve">, </w:t>
      </w:r>
      <w:proofErr w:type="spellStart"/>
      <w:r w:rsidRPr="009E0754">
        <w:t>the</w:t>
      </w:r>
      <w:proofErr w:type="spellEnd"/>
      <w:r w:rsidRPr="009E0754">
        <w:t xml:space="preserve"> </w:t>
      </w:r>
      <w:proofErr w:type="spellStart"/>
      <w:r w:rsidRPr="009E0754">
        <w:t>use</w:t>
      </w:r>
      <w:proofErr w:type="spellEnd"/>
      <w:r w:rsidRPr="009E0754">
        <w:t xml:space="preserve"> of </w:t>
      </w:r>
      <w:proofErr w:type="spellStart"/>
      <w:r w:rsidRPr="009E0754">
        <w:t>emotional</w:t>
      </w:r>
      <w:proofErr w:type="spellEnd"/>
      <w:r w:rsidRPr="009E0754">
        <w:t xml:space="preserve"> </w:t>
      </w:r>
      <w:proofErr w:type="spellStart"/>
      <w:r w:rsidRPr="009E0754">
        <w:t>discourse</w:t>
      </w:r>
      <w:proofErr w:type="spellEnd"/>
      <w:r w:rsidRPr="009E0754">
        <w:t xml:space="preserve"> in </w:t>
      </w:r>
      <w:proofErr w:type="spellStart"/>
      <w:r w:rsidRPr="009E0754">
        <w:t>both</w:t>
      </w:r>
      <w:proofErr w:type="spellEnd"/>
      <w:r w:rsidRPr="009E0754">
        <w:t xml:space="preserve"> </w:t>
      </w:r>
      <w:proofErr w:type="spellStart"/>
      <w:r w:rsidRPr="009E0754">
        <w:t>texts</w:t>
      </w:r>
      <w:proofErr w:type="spellEnd"/>
      <w:r w:rsidRPr="009E0754">
        <w:t xml:space="preserve"> </w:t>
      </w:r>
      <w:proofErr w:type="spellStart"/>
      <w:r w:rsidRPr="009E0754">
        <w:t>functions</w:t>
      </w:r>
      <w:proofErr w:type="spellEnd"/>
      <w:r w:rsidRPr="009E0754">
        <w:t xml:space="preserve"> as a </w:t>
      </w:r>
      <w:proofErr w:type="spellStart"/>
      <w:r w:rsidRPr="009E0754">
        <w:t>vehicle</w:t>
      </w:r>
      <w:proofErr w:type="spellEnd"/>
      <w:r w:rsidRPr="009E0754">
        <w:t xml:space="preserve"> </w:t>
      </w:r>
      <w:proofErr w:type="spellStart"/>
      <w:r w:rsidRPr="009E0754">
        <w:t>for</w:t>
      </w:r>
      <w:proofErr w:type="spellEnd"/>
      <w:r w:rsidRPr="009E0754">
        <w:t xml:space="preserve"> </w:t>
      </w:r>
      <w:proofErr w:type="spellStart"/>
      <w:r w:rsidRPr="009E0754">
        <w:t>social</w:t>
      </w:r>
      <w:proofErr w:type="spellEnd"/>
      <w:r w:rsidRPr="009E0754">
        <w:t xml:space="preserve"> </w:t>
      </w:r>
      <w:proofErr w:type="spellStart"/>
      <w:r w:rsidRPr="009E0754">
        <w:t>critique</w:t>
      </w:r>
      <w:proofErr w:type="spellEnd"/>
      <w:r w:rsidRPr="009E0754">
        <w:t xml:space="preserve">, </w:t>
      </w:r>
      <w:proofErr w:type="spellStart"/>
      <w:r w:rsidRPr="009E0754">
        <w:t>urging</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embrace</w:t>
      </w:r>
      <w:proofErr w:type="spellEnd"/>
      <w:r w:rsidRPr="009E0754">
        <w:t xml:space="preserve"> </w:t>
      </w:r>
      <w:proofErr w:type="spellStart"/>
      <w:r w:rsidRPr="009E0754">
        <w:t>empathy</w:t>
      </w:r>
      <w:proofErr w:type="spellEnd"/>
      <w:r w:rsidRPr="009E0754">
        <w:t xml:space="preserve"> </w:t>
      </w:r>
      <w:proofErr w:type="spellStart"/>
      <w:r w:rsidRPr="009E0754">
        <w:t>and</w:t>
      </w:r>
      <w:proofErr w:type="spellEnd"/>
      <w:r w:rsidRPr="009E0754">
        <w:t xml:space="preserve"> moral </w:t>
      </w:r>
      <w:proofErr w:type="spellStart"/>
      <w:r w:rsidRPr="009E0754">
        <w:t>reflection</w:t>
      </w:r>
      <w:proofErr w:type="spellEnd"/>
      <w:r w:rsidRPr="009E0754">
        <w:t xml:space="preserve"> in an </w:t>
      </w:r>
      <w:proofErr w:type="spellStart"/>
      <w:r w:rsidRPr="009E0754">
        <w:t>otherwise</w:t>
      </w:r>
      <w:proofErr w:type="spellEnd"/>
      <w:r w:rsidRPr="009E0754">
        <w:t xml:space="preserve"> </w:t>
      </w:r>
      <w:proofErr w:type="spellStart"/>
      <w:r w:rsidRPr="009E0754">
        <w:t>detached</w:t>
      </w:r>
      <w:proofErr w:type="spellEnd"/>
      <w:r w:rsidRPr="009E0754">
        <w:t xml:space="preserve"> </w:t>
      </w:r>
      <w:proofErr w:type="spellStart"/>
      <w:r w:rsidRPr="009E0754">
        <w:t>and</w:t>
      </w:r>
      <w:proofErr w:type="spellEnd"/>
      <w:r w:rsidRPr="009E0754">
        <w:t xml:space="preserve"> </w:t>
      </w:r>
      <w:proofErr w:type="spellStart"/>
      <w:r w:rsidRPr="009E0754">
        <w:t>often</w:t>
      </w:r>
      <w:proofErr w:type="spellEnd"/>
      <w:r w:rsidRPr="009E0754">
        <w:t xml:space="preserve"> </w:t>
      </w:r>
      <w:proofErr w:type="spellStart"/>
      <w:r w:rsidRPr="009E0754">
        <w:t>unjust</w:t>
      </w:r>
      <w:proofErr w:type="spellEnd"/>
      <w:r w:rsidRPr="009E0754">
        <w:t xml:space="preserve"> </w:t>
      </w:r>
      <w:proofErr w:type="spellStart"/>
      <w:r w:rsidRPr="009E0754">
        <w:t>society</w:t>
      </w:r>
      <w:proofErr w:type="spellEnd"/>
      <w:r w:rsidRPr="009E0754">
        <w:t>.</w:t>
      </w:r>
    </w:p>
    <w:p w14:paraId="4D34EC5C" w14:textId="77777777" w:rsidR="00BA67A6" w:rsidRPr="009E0754" w:rsidRDefault="00BA67A6" w:rsidP="00BA67A6">
      <w:pPr>
        <w:jc w:val="both"/>
      </w:pPr>
    </w:p>
    <w:p w14:paraId="3035DF9E" w14:textId="77777777" w:rsidR="00DA3117" w:rsidRDefault="00DA3117" w:rsidP="00BA67A6">
      <w:pPr>
        <w:jc w:val="both"/>
      </w:pPr>
      <w:proofErr w:type="spellStart"/>
      <w:r w:rsidRPr="009E0754">
        <w:t>Furthermore</w:t>
      </w:r>
      <w:proofErr w:type="spellEnd"/>
      <w:r w:rsidRPr="009E0754">
        <w:t xml:space="preserve">, </w:t>
      </w:r>
      <w:proofErr w:type="spellStart"/>
      <w:r w:rsidRPr="009E0754">
        <w:t>the</w:t>
      </w:r>
      <w:proofErr w:type="spellEnd"/>
      <w:r w:rsidRPr="009E0754">
        <w:t xml:space="preserve"> </w:t>
      </w:r>
      <w:proofErr w:type="spellStart"/>
      <w:r w:rsidRPr="009E0754">
        <w:t>narrative</w:t>
      </w:r>
      <w:proofErr w:type="spellEnd"/>
      <w:r w:rsidRPr="009E0754">
        <w:t xml:space="preserve"> </w:t>
      </w:r>
      <w:proofErr w:type="spellStart"/>
      <w:r w:rsidRPr="009E0754">
        <w:t>structure</w:t>
      </w:r>
      <w:proofErr w:type="spellEnd"/>
      <w:r w:rsidRPr="009E0754">
        <w:t xml:space="preserve"> in </w:t>
      </w:r>
      <w:proofErr w:type="spellStart"/>
      <w:r w:rsidRPr="009E0754">
        <w:t>both</w:t>
      </w:r>
      <w:proofErr w:type="spellEnd"/>
      <w:r w:rsidRPr="009E0754">
        <w:t xml:space="preserve"> </w:t>
      </w:r>
      <w:proofErr w:type="spellStart"/>
      <w:r w:rsidRPr="009E0754">
        <w:t>novels</w:t>
      </w:r>
      <w:proofErr w:type="spellEnd"/>
      <w:r w:rsidRPr="009E0754">
        <w:t xml:space="preserve"> </w:t>
      </w:r>
      <w:proofErr w:type="spellStart"/>
      <w:r w:rsidRPr="009E0754">
        <w:t>enhances</w:t>
      </w:r>
      <w:proofErr w:type="spellEnd"/>
      <w:r w:rsidRPr="009E0754">
        <w:t xml:space="preserve"> </w:t>
      </w:r>
      <w:proofErr w:type="spellStart"/>
      <w:r w:rsidRPr="009E0754">
        <w:t>the</w:t>
      </w:r>
      <w:proofErr w:type="spellEnd"/>
      <w:r w:rsidRPr="009E0754">
        <w:t xml:space="preserve"> </w:t>
      </w:r>
      <w:proofErr w:type="spellStart"/>
      <w:r w:rsidRPr="009E0754">
        <w:t>underlying</w:t>
      </w:r>
      <w:proofErr w:type="spellEnd"/>
      <w:r w:rsidRPr="009E0754">
        <w:t xml:space="preserve"> moral </w:t>
      </w:r>
      <w:proofErr w:type="spellStart"/>
      <w:r w:rsidRPr="009E0754">
        <w:t>message</w:t>
      </w:r>
      <w:proofErr w:type="spellEnd"/>
      <w:r w:rsidRPr="009E0754">
        <w:t xml:space="preserve">. </w:t>
      </w:r>
      <w:proofErr w:type="spellStart"/>
      <w:r w:rsidRPr="009E0754">
        <w:t>Goldsmith’s</w:t>
      </w:r>
      <w:proofErr w:type="spellEnd"/>
      <w:r w:rsidRPr="009E0754">
        <w:t xml:space="preserve"> </w:t>
      </w:r>
      <w:proofErr w:type="spellStart"/>
      <w:r w:rsidRPr="009E0754">
        <w:t>episodic</w:t>
      </w:r>
      <w:proofErr w:type="spellEnd"/>
      <w:r w:rsidRPr="009E0754">
        <w:t xml:space="preserve"> </w:t>
      </w:r>
      <w:proofErr w:type="spellStart"/>
      <w:r w:rsidRPr="009E0754">
        <w:t>structure</w:t>
      </w:r>
      <w:proofErr w:type="spellEnd"/>
      <w:r w:rsidRPr="009E0754">
        <w:t xml:space="preserve"> </w:t>
      </w:r>
      <w:proofErr w:type="spellStart"/>
      <w:r w:rsidRPr="009E0754">
        <w:t>mirrors</w:t>
      </w:r>
      <w:proofErr w:type="spellEnd"/>
      <w:r w:rsidRPr="009E0754">
        <w:t xml:space="preserve"> </w:t>
      </w:r>
      <w:proofErr w:type="spellStart"/>
      <w:r w:rsidRPr="009E0754">
        <w:t>life’s</w:t>
      </w:r>
      <w:proofErr w:type="spellEnd"/>
      <w:r w:rsidRPr="009E0754">
        <w:t xml:space="preserve"> </w:t>
      </w:r>
      <w:proofErr w:type="spellStart"/>
      <w:r w:rsidRPr="009E0754">
        <w:t>unpredictability</w:t>
      </w:r>
      <w:proofErr w:type="spellEnd"/>
      <w:r w:rsidRPr="009E0754">
        <w:t xml:space="preserve">, </w:t>
      </w:r>
      <w:proofErr w:type="spellStart"/>
      <w:r w:rsidRPr="009E0754">
        <w:t>while</w:t>
      </w:r>
      <w:proofErr w:type="spellEnd"/>
      <w:r w:rsidRPr="009E0754">
        <w:t xml:space="preserve"> </w:t>
      </w:r>
      <w:proofErr w:type="spellStart"/>
      <w:r w:rsidRPr="009E0754">
        <w:t>Mackenzie’s</w:t>
      </w:r>
      <w:proofErr w:type="spellEnd"/>
      <w:r w:rsidRPr="009E0754">
        <w:t xml:space="preserve"> </w:t>
      </w:r>
      <w:proofErr w:type="spellStart"/>
      <w:r w:rsidRPr="009E0754">
        <w:t>fragmented</w:t>
      </w:r>
      <w:proofErr w:type="spellEnd"/>
      <w:r w:rsidRPr="009E0754">
        <w:t xml:space="preserve"> </w:t>
      </w:r>
      <w:proofErr w:type="spellStart"/>
      <w:r w:rsidRPr="009E0754">
        <w:t>narrative</w:t>
      </w:r>
      <w:proofErr w:type="spellEnd"/>
      <w:r w:rsidRPr="009E0754">
        <w:t xml:space="preserve"> </w:t>
      </w:r>
      <w:proofErr w:type="spellStart"/>
      <w:r w:rsidRPr="009E0754">
        <w:t>reflects</w:t>
      </w:r>
      <w:proofErr w:type="spellEnd"/>
      <w:r w:rsidRPr="009E0754">
        <w:t xml:space="preserve"> his </w:t>
      </w:r>
      <w:proofErr w:type="spellStart"/>
      <w:r w:rsidRPr="009E0754">
        <w:t>protagonist’s</w:t>
      </w:r>
      <w:proofErr w:type="spellEnd"/>
      <w:r w:rsidRPr="009E0754">
        <w:t xml:space="preserve"> </w:t>
      </w:r>
      <w:proofErr w:type="spellStart"/>
      <w:r w:rsidRPr="009E0754">
        <w:t>emotional</w:t>
      </w:r>
      <w:proofErr w:type="spellEnd"/>
      <w:r w:rsidRPr="009E0754">
        <w:t xml:space="preserve"> </w:t>
      </w:r>
      <w:proofErr w:type="spellStart"/>
      <w:r w:rsidRPr="009E0754">
        <w:t>state</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engage</w:t>
      </w:r>
      <w:proofErr w:type="spellEnd"/>
      <w:r w:rsidRPr="009E0754">
        <w:t xml:space="preserve"> </w:t>
      </w:r>
      <w:proofErr w:type="spellStart"/>
      <w:r w:rsidRPr="009E0754">
        <w:t>with</w:t>
      </w:r>
      <w:proofErr w:type="spellEnd"/>
      <w:r w:rsidRPr="009E0754">
        <w:t xml:space="preserve"> </w:t>
      </w:r>
      <w:proofErr w:type="spellStart"/>
      <w:r w:rsidRPr="009E0754">
        <w:t>debates</w:t>
      </w:r>
      <w:proofErr w:type="spellEnd"/>
      <w:r w:rsidRPr="009E0754">
        <w:t xml:space="preserve"> on </w:t>
      </w:r>
      <w:proofErr w:type="spellStart"/>
      <w:r w:rsidRPr="009E0754">
        <w:t>human</w:t>
      </w:r>
      <w:proofErr w:type="spellEnd"/>
      <w:r w:rsidRPr="009E0754">
        <w:t xml:space="preserve"> </w:t>
      </w:r>
      <w:proofErr w:type="spellStart"/>
      <w:r w:rsidRPr="009E0754">
        <w:t>nature</w:t>
      </w:r>
      <w:proofErr w:type="spellEnd"/>
      <w:r w:rsidRPr="009E0754">
        <w:t xml:space="preserve">, </w:t>
      </w:r>
      <w:proofErr w:type="spellStart"/>
      <w:r w:rsidRPr="009E0754">
        <w:t>using</w:t>
      </w:r>
      <w:proofErr w:type="spellEnd"/>
      <w:r w:rsidRPr="009E0754">
        <w:t xml:space="preserve"> </w:t>
      </w:r>
      <w:proofErr w:type="spellStart"/>
      <w:r w:rsidRPr="009E0754">
        <w:t>their</w:t>
      </w:r>
      <w:proofErr w:type="spellEnd"/>
      <w:r w:rsidRPr="009E0754">
        <w:t xml:space="preserve"> </w:t>
      </w:r>
      <w:proofErr w:type="spellStart"/>
      <w:r w:rsidRPr="009E0754">
        <w:t>characters</w:t>
      </w:r>
      <w:proofErr w:type="spellEnd"/>
      <w:r w:rsidRPr="009E0754">
        <w:t xml:space="preserve"> </w:t>
      </w:r>
      <w:proofErr w:type="spellStart"/>
      <w:r w:rsidRPr="009E0754">
        <w:t>to</w:t>
      </w:r>
      <w:proofErr w:type="spellEnd"/>
      <w:r w:rsidRPr="009E0754">
        <w:t xml:space="preserve"> </w:t>
      </w:r>
      <w:proofErr w:type="spellStart"/>
      <w:r w:rsidRPr="009E0754">
        <w:t>explore</w:t>
      </w:r>
      <w:proofErr w:type="spellEnd"/>
      <w:r w:rsidRPr="009E0754">
        <w:t xml:space="preserve"> </w:t>
      </w:r>
      <w:proofErr w:type="spellStart"/>
      <w:r w:rsidRPr="009E0754">
        <w:t>themes</w:t>
      </w:r>
      <w:proofErr w:type="spellEnd"/>
      <w:r w:rsidRPr="009E0754">
        <w:t xml:space="preserve"> of </w:t>
      </w:r>
      <w:proofErr w:type="spellStart"/>
      <w:r w:rsidRPr="009E0754">
        <w:t>empathy</w:t>
      </w:r>
      <w:proofErr w:type="spellEnd"/>
      <w:r w:rsidRPr="009E0754">
        <w:t xml:space="preserve">, </w:t>
      </w:r>
      <w:proofErr w:type="spellStart"/>
      <w:r w:rsidRPr="009E0754">
        <w:t>justice</w:t>
      </w:r>
      <w:proofErr w:type="spellEnd"/>
      <w:r w:rsidRPr="009E0754">
        <w:t xml:space="preserve">, </w:t>
      </w:r>
      <w:proofErr w:type="spellStart"/>
      <w:r w:rsidRPr="009E0754">
        <w:t>and</w:t>
      </w:r>
      <w:proofErr w:type="spellEnd"/>
      <w:r w:rsidRPr="009E0754">
        <w:t xml:space="preserve"> </w:t>
      </w:r>
      <w:proofErr w:type="spellStart"/>
      <w:r w:rsidRPr="009E0754">
        <w:t>perseverance</w:t>
      </w:r>
      <w:proofErr w:type="spellEnd"/>
      <w:r w:rsidRPr="009E0754">
        <w:t xml:space="preserve">. </w:t>
      </w:r>
      <w:proofErr w:type="spellStart"/>
      <w:r w:rsidRPr="009E0754">
        <w:t>This</w:t>
      </w:r>
      <w:proofErr w:type="spellEnd"/>
      <w:r w:rsidRPr="009E0754">
        <w:t xml:space="preserve"> </w:t>
      </w:r>
      <w:proofErr w:type="spellStart"/>
      <w:r w:rsidRPr="009E0754">
        <w:t>comparison</w:t>
      </w:r>
      <w:proofErr w:type="spellEnd"/>
      <w:r w:rsidRPr="009E0754">
        <w:t xml:space="preserve"> </w:t>
      </w:r>
      <w:proofErr w:type="spellStart"/>
      <w:r w:rsidRPr="009E0754">
        <w:t>highlights</w:t>
      </w:r>
      <w:proofErr w:type="spellEnd"/>
      <w:r w:rsidRPr="009E0754">
        <w:t xml:space="preserve"> how </w:t>
      </w:r>
      <w:proofErr w:type="spellStart"/>
      <w:r w:rsidRPr="009E0754">
        <w:t>emotional</w:t>
      </w:r>
      <w:proofErr w:type="spellEnd"/>
      <w:r w:rsidRPr="009E0754">
        <w:t xml:space="preserve"> </w:t>
      </w:r>
      <w:proofErr w:type="spellStart"/>
      <w:r w:rsidRPr="009E0754">
        <w:t>discourse</w:t>
      </w:r>
      <w:proofErr w:type="spellEnd"/>
      <w:r w:rsidRPr="009E0754">
        <w:t xml:space="preserve"> </w:t>
      </w:r>
      <w:proofErr w:type="spellStart"/>
      <w:r w:rsidRPr="009E0754">
        <w:t>shaped</w:t>
      </w:r>
      <w:proofErr w:type="spellEnd"/>
      <w:r w:rsidRPr="009E0754">
        <w:t xml:space="preserve"> </w:t>
      </w:r>
      <w:proofErr w:type="spellStart"/>
      <w:r w:rsidRPr="009E0754">
        <w:t>the</w:t>
      </w:r>
      <w:proofErr w:type="spellEnd"/>
      <w:r w:rsidRPr="009E0754">
        <w:t xml:space="preserve"> moral </w:t>
      </w:r>
      <w:proofErr w:type="spellStart"/>
      <w:r w:rsidRPr="009E0754">
        <w:t>philosophy</w:t>
      </w:r>
      <w:proofErr w:type="spellEnd"/>
      <w:r w:rsidRPr="009E0754">
        <w:t xml:space="preserve"> of </w:t>
      </w:r>
      <w:proofErr w:type="spellStart"/>
      <w:r w:rsidRPr="009E0754">
        <w:t>the</w:t>
      </w:r>
      <w:proofErr w:type="spellEnd"/>
      <w:r w:rsidRPr="009E0754">
        <w:t xml:space="preserve"> </w:t>
      </w:r>
      <w:proofErr w:type="spellStart"/>
      <w:r w:rsidRPr="009E0754">
        <w:t>era</w:t>
      </w:r>
      <w:proofErr w:type="spellEnd"/>
      <w:r w:rsidRPr="009E0754">
        <w:t>.</w:t>
      </w:r>
    </w:p>
    <w:p w14:paraId="2CF5FC8E" w14:textId="77777777" w:rsidR="00BA67A6" w:rsidRPr="009E0754" w:rsidRDefault="00BA67A6" w:rsidP="00BA67A6">
      <w:pPr>
        <w:jc w:val="both"/>
      </w:pPr>
    </w:p>
    <w:p w14:paraId="1DD074F6" w14:textId="77777777" w:rsidR="00DA3117" w:rsidRPr="009E0754" w:rsidRDefault="00DA3117" w:rsidP="00BA67A6">
      <w:pPr>
        <w:jc w:val="both"/>
        <w:rPr>
          <w:b/>
          <w:bCs/>
        </w:rPr>
      </w:pPr>
      <w:proofErr w:type="spellStart"/>
      <w:r w:rsidRPr="009E0754">
        <w:rPr>
          <w:b/>
          <w:bCs/>
        </w:rPr>
        <w:t>Findings</w:t>
      </w:r>
      <w:proofErr w:type="spellEnd"/>
    </w:p>
    <w:p w14:paraId="6123BC8F" w14:textId="641A0574" w:rsidR="00DA3117" w:rsidRPr="009E0754" w:rsidRDefault="00DA3117" w:rsidP="00BA67A6">
      <w:pPr>
        <w:jc w:val="both"/>
      </w:pPr>
      <w:proofErr w:type="spellStart"/>
      <w:r w:rsidRPr="009E0754">
        <w:t>The</w:t>
      </w:r>
      <w:proofErr w:type="spellEnd"/>
      <w:r w:rsidRPr="009E0754">
        <w:t xml:space="preserve"> </w:t>
      </w:r>
      <w:proofErr w:type="spellStart"/>
      <w:r w:rsidRPr="009E0754">
        <w:t>findings</w:t>
      </w:r>
      <w:proofErr w:type="spellEnd"/>
      <w:r w:rsidRPr="009E0754">
        <w:t xml:space="preserve"> of </w:t>
      </w:r>
      <w:proofErr w:type="spellStart"/>
      <w:r w:rsidRPr="009E0754">
        <w:t>this</w:t>
      </w:r>
      <w:proofErr w:type="spellEnd"/>
      <w:r w:rsidRPr="009E0754">
        <w:t xml:space="preserve"> </w:t>
      </w:r>
      <w:proofErr w:type="spellStart"/>
      <w:r w:rsidRPr="009E0754">
        <w:t>research</w:t>
      </w:r>
      <w:proofErr w:type="spellEnd"/>
      <w:r w:rsidRPr="009E0754">
        <w:t xml:space="preserve"> </w:t>
      </w:r>
      <w:proofErr w:type="spellStart"/>
      <w:r w:rsidRPr="009E0754">
        <w:t>offer</w:t>
      </w:r>
      <w:proofErr w:type="spellEnd"/>
      <w:r w:rsidRPr="009E0754">
        <w:t xml:space="preserve"> </w:t>
      </w:r>
      <w:proofErr w:type="spellStart"/>
      <w:r w:rsidRPr="009E0754">
        <w:t>significant</w:t>
      </w:r>
      <w:proofErr w:type="spellEnd"/>
      <w:r w:rsidRPr="009E0754">
        <w:t xml:space="preserve"> </w:t>
      </w:r>
      <w:proofErr w:type="spellStart"/>
      <w:r w:rsidRPr="009E0754">
        <w:t>insights</w:t>
      </w:r>
      <w:proofErr w:type="spellEnd"/>
      <w:r w:rsidRPr="009E0754">
        <w:t xml:space="preserve"> </w:t>
      </w:r>
      <w:proofErr w:type="spellStart"/>
      <w:r w:rsidRPr="009E0754">
        <w:t>into</w:t>
      </w:r>
      <w:proofErr w:type="spellEnd"/>
      <w:r w:rsidRPr="009E0754">
        <w:t xml:space="preserve"> how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address</w:t>
      </w:r>
      <w:proofErr w:type="spellEnd"/>
      <w:r w:rsidRPr="009E0754">
        <w:t xml:space="preserve"> </w:t>
      </w:r>
      <w:proofErr w:type="spellStart"/>
      <w:r w:rsidRPr="009E0754">
        <w:t>socio</w:t>
      </w:r>
      <w:proofErr w:type="spellEnd"/>
      <w:r w:rsidRPr="009E0754">
        <w:t xml:space="preserve">-moral </w:t>
      </w:r>
      <w:proofErr w:type="spellStart"/>
      <w:r w:rsidRPr="009E0754">
        <w:t>challenges</w:t>
      </w:r>
      <w:proofErr w:type="spellEnd"/>
      <w:r w:rsidRPr="009E0754">
        <w:t xml:space="preserve"> in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underscore</w:t>
      </w:r>
      <w:proofErr w:type="spellEnd"/>
      <w:r w:rsidRPr="009E0754">
        <w:t xml:space="preserve"> </w:t>
      </w:r>
      <w:proofErr w:type="spellStart"/>
      <w:r w:rsidRPr="009E0754">
        <w:t>the</w:t>
      </w:r>
      <w:proofErr w:type="spellEnd"/>
      <w:r w:rsidRPr="009E0754">
        <w:t xml:space="preserve"> </w:t>
      </w:r>
      <w:proofErr w:type="spellStart"/>
      <w:r w:rsidRPr="009E0754">
        <w:t>centrality</w:t>
      </w:r>
      <w:proofErr w:type="spellEnd"/>
      <w:r w:rsidRPr="009E0754">
        <w:t xml:space="preserve"> of </w:t>
      </w:r>
      <w:proofErr w:type="spellStart"/>
      <w:r w:rsidRPr="009E0754">
        <w:t>empathy</w:t>
      </w:r>
      <w:proofErr w:type="spellEnd"/>
      <w:r w:rsidRPr="009E0754">
        <w:t xml:space="preserve"> </w:t>
      </w:r>
      <w:proofErr w:type="spellStart"/>
      <w:r w:rsidRPr="009E0754">
        <w:t>and</w:t>
      </w:r>
      <w:proofErr w:type="spellEnd"/>
      <w:r w:rsidRPr="009E0754">
        <w:t xml:space="preserve"> moral </w:t>
      </w:r>
      <w:proofErr w:type="spellStart"/>
      <w:r w:rsidRPr="009E0754">
        <w:t>fortitude</w:t>
      </w:r>
      <w:proofErr w:type="spellEnd"/>
      <w:r w:rsidRPr="009E0754">
        <w:t xml:space="preserve"> </w:t>
      </w:r>
      <w:proofErr w:type="spellStart"/>
      <w:r w:rsidRPr="009E0754">
        <w:t>within</w:t>
      </w:r>
      <w:proofErr w:type="spellEnd"/>
      <w:r w:rsidRPr="009E0754">
        <w:t xml:space="preserve"> a </w:t>
      </w:r>
      <w:proofErr w:type="spellStart"/>
      <w:r w:rsidRPr="009E0754">
        <w:t>society</w:t>
      </w:r>
      <w:proofErr w:type="spellEnd"/>
      <w:r w:rsidRPr="009E0754">
        <w:t xml:space="preserve"> </w:t>
      </w:r>
      <w:proofErr w:type="spellStart"/>
      <w:r w:rsidRPr="009E0754">
        <w:t>marked</w:t>
      </w:r>
      <w:proofErr w:type="spellEnd"/>
      <w:r w:rsidRPr="009E0754">
        <w:t xml:space="preserve"> </w:t>
      </w:r>
      <w:proofErr w:type="spellStart"/>
      <w:r w:rsidRPr="009E0754">
        <w:t>by</w:t>
      </w:r>
      <w:proofErr w:type="spellEnd"/>
      <w:r w:rsidRPr="009E0754">
        <w:t xml:space="preserve"> </w:t>
      </w:r>
      <w:proofErr w:type="spellStart"/>
      <w:r w:rsidRPr="009E0754">
        <w:t>corruption</w:t>
      </w:r>
      <w:proofErr w:type="spellEnd"/>
      <w:r w:rsidRPr="009E0754">
        <w:t xml:space="preserve"> </w:t>
      </w:r>
      <w:proofErr w:type="spellStart"/>
      <w:r w:rsidRPr="009E0754">
        <w:t>and</w:t>
      </w:r>
      <w:proofErr w:type="spellEnd"/>
      <w:r w:rsidRPr="009E0754">
        <w:t xml:space="preserve"> </w:t>
      </w:r>
      <w:proofErr w:type="spellStart"/>
      <w:r w:rsidRPr="009E0754">
        <w:t>emotional</w:t>
      </w:r>
      <w:proofErr w:type="spellEnd"/>
      <w:r w:rsidRPr="009E0754">
        <w:t xml:space="preserve"> </w:t>
      </w:r>
      <w:proofErr w:type="spellStart"/>
      <w:r w:rsidRPr="009E0754">
        <w:t>detachment</w:t>
      </w:r>
      <w:proofErr w:type="spellEnd"/>
      <w:r w:rsidRPr="009E0754">
        <w:t xml:space="preserve">. </w:t>
      </w:r>
      <w:proofErr w:type="spellStart"/>
      <w:r w:rsidRPr="009E0754">
        <w:t>In</w:t>
      </w:r>
      <w:proofErr w:type="spellEnd"/>
      <w:r w:rsidRPr="009E0754">
        <w:t xml:space="preserve"> </w:t>
      </w:r>
      <w:proofErr w:type="spellStart"/>
      <w:r w:rsidRPr="009E0754">
        <w:t>Goldsmith’s</w:t>
      </w:r>
      <w:proofErr w:type="spellEnd"/>
      <w:r w:rsidRPr="009E0754">
        <w:t xml:space="preserve"> </w:t>
      </w:r>
      <w:proofErr w:type="spellStart"/>
      <w:r w:rsidRPr="009E0754">
        <w:t>depiction</w:t>
      </w:r>
      <w:proofErr w:type="spellEnd"/>
      <w:r w:rsidRPr="009E0754">
        <w:t xml:space="preserve"> of Dr. </w:t>
      </w:r>
      <w:proofErr w:type="spellStart"/>
      <w:r w:rsidRPr="009E0754">
        <w:t>Primrose</w:t>
      </w:r>
      <w:proofErr w:type="spellEnd"/>
      <w:r w:rsidRPr="009E0754">
        <w:t xml:space="preserve">, </w:t>
      </w:r>
      <w:proofErr w:type="spellStart"/>
      <w:r w:rsidRPr="009E0754">
        <w:t>the</w:t>
      </w:r>
      <w:proofErr w:type="spellEnd"/>
      <w:r w:rsidRPr="009E0754">
        <w:t xml:space="preserve"> </w:t>
      </w:r>
      <w:proofErr w:type="spellStart"/>
      <w:r w:rsidRPr="009E0754">
        <w:t>narrative</w:t>
      </w:r>
      <w:proofErr w:type="spellEnd"/>
      <w:r w:rsidRPr="009E0754">
        <w:t xml:space="preserve"> </w:t>
      </w:r>
      <w:proofErr w:type="spellStart"/>
      <w:r w:rsidRPr="009E0754">
        <w:t>underscores</w:t>
      </w:r>
      <w:proofErr w:type="spellEnd"/>
      <w:r w:rsidRPr="009E0754">
        <w:t xml:space="preserve"> </w:t>
      </w:r>
      <w:proofErr w:type="spellStart"/>
      <w:r w:rsidRPr="009E0754">
        <w:t>the</w:t>
      </w:r>
      <w:proofErr w:type="spellEnd"/>
      <w:r w:rsidRPr="009E0754">
        <w:t xml:space="preserve"> </w:t>
      </w:r>
      <w:proofErr w:type="spellStart"/>
      <w:r w:rsidRPr="009E0754">
        <w:t>persistence</w:t>
      </w:r>
      <w:proofErr w:type="spellEnd"/>
      <w:r w:rsidRPr="009E0754">
        <w:t xml:space="preserve"> of </w:t>
      </w:r>
      <w:proofErr w:type="spellStart"/>
      <w:r w:rsidRPr="009E0754">
        <w:t>virtuous</w:t>
      </w:r>
      <w:proofErr w:type="spellEnd"/>
      <w:r w:rsidRPr="009E0754">
        <w:t xml:space="preserve"> </w:t>
      </w:r>
      <w:proofErr w:type="spellStart"/>
      <w:r w:rsidRPr="009E0754">
        <w:t>principles</w:t>
      </w:r>
      <w:proofErr w:type="spellEnd"/>
      <w:r w:rsidRPr="009E0754">
        <w:t xml:space="preserve"> </w:t>
      </w:r>
      <w:proofErr w:type="spellStart"/>
      <w:r w:rsidRPr="009E0754">
        <w:t>despite</w:t>
      </w:r>
      <w:proofErr w:type="spellEnd"/>
      <w:r w:rsidRPr="009E0754">
        <w:t xml:space="preserve"> </w:t>
      </w:r>
      <w:proofErr w:type="spellStart"/>
      <w:r w:rsidRPr="009E0754">
        <w:t>the</w:t>
      </w:r>
      <w:proofErr w:type="spellEnd"/>
      <w:r w:rsidRPr="009E0754">
        <w:t xml:space="preserve"> </w:t>
      </w:r>
      <w:proofErr w:type="spellStart"/>
      <w:r w:rsidRPr="009E0754">
        <w:t>overwhelming</w:t>
      </w:r>
      <w:proofErr w:type="spellEnd"/>
      <w:r w:rsidRPr="009E0754">
        <w:t xml:space="preserve"> </w:t>
      </w:r>
      <w:proofErr w:type="spellStart"/>
      <w:r w:rsidRPr="009E0754">
        <w:t>adversities</w:t>
      </w:r>
      <w:proofErr w:type="spellEnd"/>
      <w:r w:rsidRPr="009E0754">
        <w:t xml:space="preserve"> </w:t>
      </w:r>
      <w:proofErr w:type="spellStart"/>
      <w:r w:rsidRPr="009E0754">
        <w:t>that</w:t>
      </w:r>
      <w:proofErr w:type="spellEnd"/>
      <w:r w:rsidRPr="009E0754">
        <w:t xml:space="preserve"> test </w:t>
      </w:r>
      <w:proofErr w:type="spellStart"/>
      <w:r w:rsidRPr="009E0754">
        <w:t>them</w:t>
      </w:r>
      <w:proofErr w:type="spellEnd"/>
      <w:r w:rsidRPr="009E0754">
        <w:t xml:space="preserve">. Dr. </w:t>
      </w:r>
      <w:proofErr w:type="spellStart"/>
      <w:r w:rsidRPr="009E0754">
        <w:t>Primrose’s</w:t>
      </w:r>
      <w:proofErr w:type="spellEnd"/>
      <w:r w:rsidRPr="009E0754">
        <w:t xml:space="preserve"> </w:t>
      </w:r>
      <w:proofErr w:type="spellStart"/>
      <w:r w:rsidRPr="009E0754">
        <w:t>unwavering</w:t>
      </w:r>
      <w:proofErr w:type="spellEnd"/>
      <w:r w:rsidRPr="009E0754">
        <w:t xml:space="preserve"> moral </w:t>
      </w:r>
      <w:proofErr w:type="spellStart"/>
      <w:r w:rsidRPr="009E0754">
        <w:t>compass</w:t>
      </w:r>
      <w:proofErr w:type="spellEnd"/>
      <w:r w:rsidRPr="009E0754">
        <w:t xml:space="preserve"> </w:t>
      </w:r>
      <w:proofErr w:type="spellStart"/>
      <w:r w:rsidRPr="009E0754">
        <w:t>becomes</w:t>
      </w:r>
      <w:proofErr w:type="spellEnd"/>
      <w:r w:rsidRPr="009E0754">
        <w:t xml:space="preserve"> a </w:t>
      </w:r>
      <w:proofErr w:type="spellStart"/>
      <w:r w:rsidRPr="009E0754">
        <w:t>symbol</w:t>
      </w:r>
      <w:proofErr w:type="spellEnd"/>
      <w:r w:rsidRPr="009E0754">
        <w:t xml:space="preserve"> of </w:t>
      </w:r>
      <w:proofErr w:type="spellStart"/>
      <w:r w:rsidRPr="009E0754">
        <w:t>resilience</w:t>
      </w:r>
      <w:proofErr w:type="spellEnd"/>
      <w:r w:rsidRPr="009E0754">
        <w:t xml:space="preserve">, </w:t>
      </w:r>
      <w:proofErr w:type="spellStart"/>
      <w:r w:rsidRPr="009E0754">
        <w:t>demonstrating</w:t>
      </w:r>
      <w:proofErr w:type="spellEnd"/>
      <w:r w:rsidRPr="009E0754">
        <w:t xml:space="preserve"> </w:t>
      </w:r>
      <w:proofErr w:type="spellStart"/>
      <w:r w:rsidRPr="009E0754">
        <w:t>the</w:t>
      </w:r>
      <w:proofErr w:type="spellEnd"/>
      <w:r w:rsidRPr="009E0754">
        <w:t xml:space="preserve"> </w:t>
      </w:r>
      <w:proofErr w:type="spellStart"/>
      <w:r w:rsidRPr="009E0754">
        <w:t>endurance</w:t>
      </w:r>
      <w:proofErr w:type="spellEnd"/>
      <w:r w:rsidRPr="009E0754">
        <w:t xml:space="preserve"> of </w:t>
      </w:r>
      <w:proofErr w:type="spellStart"/>
      <w:r w:rsidRPr="009E0754">
        <w:t>ethical</w:t>
      </w:r>
      <w:proofErr w:type="spellEnd"/>
      <w:r w:rsidRPr="009E0754">
        <w:t xml:space="preserve"> </w:t>
      </w:r>
      <w:proofErr w:type="spellStart"/>
      <w:r w:rsidRPr="009E0754">
        <w:t>values</w:t>
      </w:r>
      <w:proofErr w:type="spellEnd"/>
      <w:r w:rsidRPr="009E0754">
        <w:t xml:space="preserve"> in </w:t>
      </w:r>
      <w:proofErr w:type="spellStart"/>
      <w:r w:rsidRPr="009E0754">
        <w:t>the</w:t>
      </w:r>
      <w:proofErr w:type="spellEnd"/>
      <w:r w:rsidRPr="009E0754">
        <w:t xml:space="preserve"> </w:t>
      </w:r>
      <w:proofErr w:type="spellStart"/>
      <w:r w:rsidRPr="009E0754">
        <w:t>face</w:t>
      </w:r>
      <w:proofErr w:type="spellEnd"/>
      <w:r w:rsidRPr="009E0754">
        <w:t xml:space="preserve"> of </w:t>
      </w:r>
      <w:proofErr w:type="spellStart"/>
      <w:r w:rsidRPr="009E0754">
        <w:t>life’s</w:t>
      </w:r>
      <w:proofErr w:type="spellEnd"/>
      <w:r w:rsidRPr="009E0754">
        <w:t xml:space="preserve"> </w:t>
      </w:r>
      <w:proofErr w:type="spellStart"/>
      <w:r w:rsidRPr="009E0754">
        <w:t>harshest</w:t>
      </w:r>
      <w:proofErr w:type="spellEnd"/>
      <w:r w:rsidRPr="009E0754">
        <w:t xml:space="preserve"> </w:t>
      </w:r>
      <w:proofErr w:type="spellStart"/>
      <w:r w:rsidRPr="009E0754">
        <w:t>trials</w:t>
      </w:r>
      <w:proofErr w:type="spellEnd"/>
      <w:r w:rsidRPr="009E0754">
        <w:t xml:space="preserve">. </w:t>
      </w:r>
      <w:proofErr w:type="spellStart"/>
      <w:r w:rsidRPr="009E0754">
        <w:t>In</w:t>
      </w:r>
      <w:proofErr w:type="spellEnd"/>
      <w:r w:rsidRPr="009E0754">
        <w:t xml:space="preserve"> </w:t>
      </w:r>
      <w:proofErr w:type="spellStart"/>
      <w:r w:rsidRPr="009E0754">
        <w:t>contrast</w:t>
      </w:r>
      <w:proofErr w:type="spellEnd"/>
      <w:r w:rsidRPr="009E0754">
        <w:t xml:space="preserve">, </w:t>
      </w:r>
      <w:proofErr w:type="spellStart"/>
      <w:r w:rsidRPr="009E0754">
        <w:t>Mackenzie’s</w:t>
      </w:r>
      <w:proofErr w:type="spellEnd"/>
      <w:r w:rsidRPr="009E0754">
        <w:t xml:space="preserve"> </w:t>
      </w:r>
      <w:proofErr w:type="spellStart"/>
      <w:r w:rsidRPr="009E0754">
        <w:t>portrayal</w:t>
      </w:r>
      <w:proofErr w:type="spellEnd"/>
      <w:r w:rsidRPr="009E0754">
        <w:t xml:space="preserve"> of Harley </w:t>
      </w:r>
      <w:proofErr w:type="spellStart"/>
      <w:r w:rsidRPr="009E0754">
        <w:t>highlights</w:t>
      </w:r>
      <w:proofErr w:type="spellEnd"/>
      <w:r w:rsidRPr="009E0754">
        <w:t xml:space="preserve"> </w:t>
      </w:r>
      <w:proofErr w:type="spellStart"/>
      <w:r w:rsidRPr="009E0754">
        <w:t>the</w:t>
      </w:r>
      <w:proofErr w:type="spellEnd"/>
      <w:r w:rsidRPr="009E0754">
        <w:t xml:space="preserve"> </w:t>
      </w:r>
      <w:proofErr w:type="spellStart"/>
      <w:r w:rsidRPr="009E0754">
        <w:t>fragility</w:t>
      </w:r>
      <w:proofErr w:type="spellEnd"/>
      <w:r w:rsidRPr="009E0754">
        <w:t xml:space="preserve"> of moral </w:t>
      </w:r>
      <w:proofErr w:type="spellStart"/>
      <w:r w:rsidRPr="009E0754">
        <w:t>integrity</w:t>
      </w:r>
      <w:proofErr w:type="spellEnd"/>
      <w:r w:rsidRPr="009E0754">
        <w:t xml:space="preserve"> in a </w:t>
      </w:r>
      <w:proofErr w:type="spellStart"/>
      <w:r w:rsidRPr="009E0754">
        <w:t>world</w:t>
      </w:r>
      <w:proofErr w:type="spellEnd"/>
      <w:r w:rsidRPr="009E0754">
        <w:t xml:space="preserve"> </w:t>
      </w:r>
      <w:proofErr w:type="spellStart"/>
      <w:r w:rsidRPr="009E0754">
        <w:t>that</w:t>
      </w:r>
      <w:proofErr w:type="spellEnd"/>
      <w:r w:rsidRPr="009E0754">
        <w:t xml:space="preserve"> </w:t>
      </w:r>
      <w:proofErr w:type="spellStart"/>
      <w:r w:rsidRPr="009E0754">
        <w:t>often</w:t>
      </w:r>
      <w:proofErr w:type="spellEnd"/>
      <w:r w:rsidRPr="009E0754">
        <w:t xml:space="preserve"> </w:t>
      </w:r>
      <w:proofErr w:type="spellStart"/>
      <w:r w:rsidRPr="009E0754">
        <w:t>marginalizes</w:t>
      </w:r>
      <w:proofErr w:type="spellEnd"/>
      <w:r w:rsidRPr="009E0754">
        <w:t xml:space="preserve"> </w:t>
      </w:r>
      <w:proofErr w:type="spellStart"/>
      <w:r w:rsidRPr="009E0754">
        <w:t>and</w:t>
      </w:r>
      <w:proofErr w:type="spellEnd"/>
      <w:r w:rsidRPr="009E0754">
        <w:t xml:space="preserve"> </w:t>
      </w:r>
      <w:proofErr w:type="spellStart"/>
      <w:r w:rsidRPr="009E0754">
        <w:t>punishes</w:t>
      </w:r>
      <w:proofErr w:type="spellEnd"/>
      <w:r w:rsidRPr="009E0754">
        <w:t xml:space="preserve"> </w:t>
      </w:r>
      <w:proofErr w:type="spellStart"/>
      <w:r w:rsidRPr="009E0754">
        <w:t>those</w:t>
      </w:r>
      <w:proofErr w:type="spellEnd"/>
      <w:r w:rsidRPr="009E0754">
        <w:t xml:space="preserve"> </w:t>
      </w:r>
      <w:proofErr w:type="spellStart"/>
      <w:r w:rsidRPr="009E0754">
        <w:t>who</w:t>
      </w:r>
      <w:proofErr w:type="spellEnd"/>
      <w:r w:rsidRPr="009E0754">
        <w:t xml:space="preserve"> </w:t>
      </w:r>
      <w:proofErr w:type="spellStart"/>
      <w:r w:rsidRPr="009E0754">
        <w:t>embody</w:t>
      </w:r>
      <w:proofErr w:type="spellEnd"/>
      <w:r w:rsidRPr="009E0754">
        <w:t xml:space="preserve"> </w:t>
      </w:r>
      <w:proofErr w:type="spellStart"/>
      <w:r w:rsidRPr="009E0754">
        <w:t>kindness</w:t>
      </w:r>
      <w:proofErr w:type="spellEnd"/>
      <w:r w:rsidRPr="009E0754">
        <w:t xml:space="preserve"> </w:t>
      </w:r>
      <w:proofErr w:type="spellStart"/>
      <w:r w:rsidRPr="009E0754">
        <w:t>and</w:t>
      </w:r>
      <w:proofErr w:type="spellEnd"/>
      <w:r w:rsidRPr="009E0754">
        <w:t xml:space="preserve"> </w:t>
      </w:r>
      <w:proofErr w:type="spellStart"/>
      <w:r w:rsidRPr="009E0754">
        <w:t>empathy</w:t>
      </w:r>
      <w:proofErr w:type="spellEnd"/>
      <w:r w:rsidRPr="009E0754">
        <w:t xml:space="preserve">. </w:t>
      </w:r>
      <w:proofErr w:type="spellStart"/>
      <w:r w:rsidRPr="009E0754">
        <w:t>Harley’s</w:t>
      </w:r>
      <w:proofErr w:type="spellEnd"/>
      <w:r w:rsidRPr="009E0754">
        <w:t xml:space="preserve"> </w:t>
      </w:r>
      <w:proofErr w:type="spellStart"/>
      <w:r w:rsidRPr="009E0754">
        <w:t>emotional</w:t>
      </w:r>
      <w:proofErr w:type="spellEnd"/>
      <w:r w:rsidRPr="009E0754">
        <w:t xml:space="preserve"> </w:t>
      </w:r>
      <w:proofErr w:type="spellStart"/>
      <w:r w:rsidRPr="009E0754">
        <w:t>journey</w:t>
      </w:r>
      <w:proofErr w:type="spellEnd"/>
      <w:r w:rsidRPr="009E0754">
        <w:t xml:space="preserve"> </w:t>
      </w:r>
      <w:proofErr w:type="spellStart"/>
      <w:r w:rsidRPr="009E0754">
        <w:t>serves</w:t>
      </w:r>
      <w:proofErr w:type="spellEnd"/>
      <w:r w:rsidRPr="009E0754">
        <w:t xml:space="preserve"> as a </w:t>
      </w:r>
      <w:proofErr w:type="spellStart"/>
      <w:r w:rsidRPr="009E0754">
        <w:t>poignant</w:t>
      </w:r>
      <w:proofErr w:type="spellEnd"/>
      <w:r w:rsidRPr="009E0754">
        <w:t xml:space="preserve"> </w:t>
      </w:r>
      <w:proofErr w:type="spellStart"/>
      <w:r w:rsidRPr="009E0754">
        <w:t>commentary</w:t>
      </w:r>
      <w:proofErr w:type="spellEnd"/>
      <w:r w:rsidRPr="009E0754">
        <w:t xml:space="preserve"> on </w:t>
      </w:r>
      <w:proofErr w:type="spellStart"/>
      <w:r w:rsidRPr="009E0754">
        <w:t>the</w:t>
      </w:r>
      <w:proofErr w:type="spellEnd"/>
      <w:r w:rsidRPr="009E0754">
        <w:t xml:space="preserve"> </w:t>
      </w:r>
      <w:proofErr w:type="spellStart"/>
      <w:r w:rsidRPr="009E0754">
        <w:t>vulnerability</w:t>
      </w:r>
      <w:proofErr w:type="spellEnd"/>
      <w:r w:rsidRPr="009E0754">
        <w:t xml:space="preserve"> of </w:t>
      </w:r>
      <w:proofErr w:type="spellStart"/>
      <w:r w:rsidRPr="009E0754">
        <w:t>individuals</w:t>
      </w:r>
      <w:proofErr w:type="spellEnd"/>
      <w:r w:rsidRPr="009E0754">
        <w:t xml:space="preserve"> </w:t>
      </w:r>
      <w:proofErr w:type="spellStart"/>
      <w:r w:rsidRPr="009E0754">
        <w:t>who</w:t>
      </w:r>
      <w:proofErr w:type="spellEnd"/>
      <w:r w:rsidRPr="009E0754">
        <w:t xml:space="preserve"> </w:t>
      </w:r>
      <w:proofErr w:type="spellStart"/>
      <w:r w:rsidRPr="009E0754">
        <w:t>remain</w:t>
      </w:r>
      <w:proofErr w:type="spellEnd"/>
      <w:r w:rsidRPr="009E0754">
        <w:t xml:space="preserve"> </w:t>
      </w:r>
      <w:proofErr w:type="spellStart"/>
      <w:r w:rsidRPr="009E0754">
        <w:t>steadfast</w:t>
      </w:r>
      <w:proofErr w:type="spellEnd"/>
      <w:r w:rsidRPr="009E0754">
        <w:t xml:space="preserve"> in </w:t>
      </w:r>
      <w:proofErr w:type="spellStart"/>
      <w:r w:rsidRPr="009E0754">
        <w:t>their</w:t>
      </w:r>
      <w:proofErr w:type="spellEnd"/>
      <w:r w:rsidRPr="009E0754">
        <w:t xml:space="preserve"> </w:t>
      </w:r>
      <w:proofErr w:type="spellStart"/>
      <w:r w:rsidRPr="009E0754">
        <w:t>compassion</w:t>
      </w:r>
      <w:proofErr w:type="spellEnd"/>
      <w:r w:rsidRPr="009E0754">
        <w:t xml:space="preserve"> </w:t>
      </w:r>
      <w:proofErr w:type="spellStart"/>
      <w:r w:rsidRPr="009E0754">
        <w:t>within</w:t>
      </w:r>
      <w:proofErr w:type="spellEnd"/>
      <w:r w:rsidRPr="009E0754">
        <w:t xml:space="preserve"> an </w:t>
      </w:r>
      <w:proofErr w:type="spellStart"/>
      <w:r w:rsidRPr="009E0754">
        <w:t>often</w:t>
      </w:r>
      <w:proofErr w:type="spellEnd"/>
      <w:r w:rsidRPr="009E0754">
        <w:t xml:space="preserve"> </w:t>
      </w:r>
      <w:proofErr w:type="spellStart"/>
      <w:r w:rsidRPr="009E0754">
        <w:t>unresponsive</w:t>
      </w:r>
      <w:proofErr w:type="spellEnd"/>
      <w:r w:rsidRPr="009E0754">
        <w:t xml:space="preserve"> </w:t>
      </w:r>
      <w:proofErr w:type="spellStart"/>
      <w:r w:rsidRPr="009E0754">
        <w:t>and</w:t>
      </w:r>
      <w:proofErr w:type="spellEnd"/>
      <w:r w:rsidRPr="009E0754">
        <w:t xml:space="preserve"> </w:t>
      </w:r>
      <w:proofErr w:type="spellStart"/>
      <w:r w:rsidRPr="009E0754">
        <w:t>indifferent</w:t>
      </w:r>
      <w:proofErr w:type="spellEnd"/>
      <w:r w:rsidRPr="009E0754">
        <w:t xml:space="preserve"> </w:t>
      </w:r>
      <w:proofErr w:type="spellStart"/>
      <w:r w:rsidRPr="009E0754">
        <w:t>society</w:t>
      </w:r>
      <w:proofErr w:type="spellEnd"/>
      <w:r w:rsidRPr="009E0754">
        <w:t xml:space="preserve">.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complexity</w:t>
      </w:r>
      <w:proofErr w:type="spellEnd"/>
      <w:r w:rsidRPr="009E0754">
        <w:t xml:space="preserve"> of </w:t>
      </w:r>
      <w:proofErr w:type="spellStart"/>
      <w:r w:rsidRPr="009E0754">
        <w:t>both</w:t>
      </w:r>
      <w:proofErr w:type="spellEnd"/>
      <w:r w:rsidRPr="009E0754">
        <w:t xml:space="preserve"> </w:t>
      </w:r>
      <w:proofErr w:type="spellStart"/>
      <w:r w:rsidRPr="009E0754">
        <w:t>characters</w:t>
      </w:r>
      <w:proofErr w:type="spellEnd"/>
      <w:r w:rsidRPr="009E0754">
        <w:t xml:space="preserve"> </w:t>
      </w:r>
      <w:proofErr w:type="spellStart"/>
      <w:r w:rsidRPr="009E0754">
        <w:t>serves</w:t>
      </w:r>
      <w:proofErr w:type="spellEnd"/>
      <w:r w:rsidRPr="009E0754">
        <w:t xml:space="preserve"> as an </w:t>
      </w:r>
      <w:proofErr w:type="spellStart"/>
      <w:r w:rsidRPr="009E0754">
        <w:t>effective</w:t>
      </w:r>
      <w:proofErr w:type="spellEnd"/>
      <w:r w:rsidRPr="009E0754">
        <w:t xml:space="preserve"> </w:t>
      </w:r>
      <w:proofErr w:type="spellStart"/>
      <w:r w:rsidRPr="009E0754">
        <w:t>narrative</w:t>
      </w:r>
      <w:proofErr w:type="spellEnd"/>
      <w:r w:rsidRPr="009E0754">
        <w:t xml:space="preserve"> </w:t>
      </w:r>
      <w:proofErr w:type="spellStart"/>
      <w:r w:rsidRPr="009E0754">
        <w:t>mechanism</w:t>
      </w:r>
      <w:proofErr w:type="spellEnd"/>
      <w:r w:rsidRPr="009E0754">
        <w:t xml:space="preserve">, </w:t>
      </w:r>
      <w:proofErr w:type="spellStart"/>
      <w:r w:rsidRPr="009E0754">
        <w:t>allowing</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engage</w:t>
      </w:r>
      <w:proofErr w:type="spellEnd"/>
      <w:r w:rsidRPr="009E0754">
        <w:t xml:space="preserve"> </w:t>
      </w:r>
      <w:proofErr w:type="spellStart"/>
      <w:r w:rsidRPr="009E0754">
        <w:t>deeply</w:t>
      </w:r>
      <w:proofErr w:type="spellEnd"/>
      <w:r w:rsidRPr="009E0754">
        <w:t xml:space="preserve"> </w:t>
      </w:r>
      <w:proofErr w:type="spellStart"/>
      <w:r w:rsidRPr="009E0754">
        <w:t>with</w:t>
      </w:r>
      <w:proofErr w:type="spellEnd"/>
      <w:r w:rsidRPr="009E0754">
        <w:t xml:space="preserve"> </w:t>
      </w:r>
      <w:proofErr w:type="spellStart"/>
      <w:r w:rsidRPr="009E0754">
        <w:t>the</w:t>
      </w:r>
      <w:proofErr w:type="spellEnd"/>
      <w:r w:rsidRPr="009E0754">
        <w:t xml:space="preserve">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that</w:t>
      </w:r>
      <w:proofErr w:type="spellEnd"/>
      <w:r w:rsidRPr="009E0754">
        <w:t xml:space="preserve"> </w:t>
      </w:r>
      <w:proofErr w:type="spellStart"/>
      <w:r w:rsidRPr="009E0754">
        <w:t>are</w:t>
      </w:r>
      <w:proofErr w:type="spellEnd"/>
      <w:r w:rsidRPr="009E0754">
        <w:t xml:space="preserve"> </w:t>
      </w:r>
      <w:proofErr w:type="spellStart"/>
      <w:r w:rsidRPr="009E0754">
        <w:t>central</w:t>
      </w:r>
      <w:proofErr w:type="spellEnd"/>
      <w:r w:rsidRPr="009E0754">
        <w:t xml:space="preserve"> </w:t>
      </w:r>
      <w:proofErr w:type="spellStart"/>
      <w:r w:rsidRPr="009E0754">
        <w:t>to</w:t>
      </w:r>
      <w:proofErr w:type="spellEnd"/>
      <w:r w:rsidRPr="009E0754">
        <w:t xml:space="preserve"> </w:t>
      </w:r>
      <w:proofErr w:type="spellStart"/>
      <w:r w:rsidRPr="009E0754">
        <w:t>the</w:t>
      </w:r>
      <w:proofErr w:type="spellEnd"/>
      <w:r w:rsidRPr="009E0754">
        <w:t xml:space="preserve"> </w:t>
      </w:r>
      <w:proofErr w:type="spellStart"/>
      <w:r w:rsidRPr="009E0754">
        <w:t>texts</w:t>
      </w:r>
      <w:proofErr w:type="spellEnd"/>
      <w:r w:rsidRPr="009E0754">
        <w:t xml:space="preserve">. Through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struggles</w:t>
      </w:r>
      <w:proofErr w:type="spellEnd"/>
      <w:r w:rsidRPr="009E0754">
        <w:t xml:space="preserve"> </w:t>
      </w:r>
      <w:proofErr w:type="spellStart"/>
      <w:r w:rsidRPr="009E0754">
        <w:t>and</w:t>
      </w:r>
      <w:proofErr w:type="spellEnd"/>
      <w:r w:rsidRPr="009E0754">
        <w:t xml:space="preserve"> </w:t>
      </w:r>
      <w:proofErr w:type="spellStart"/>
      <w:r w:rsidRPr="009E0754">
        <w:t>ethical</w:t>
      </w:r>
      <w:proofErr w:type="spellEnd"/>
      <w:r w:rsidRPr="009E0754">
        <w:t xml:space="preserve"> </w:t>
      </w:r>
      <w:proofErr w:type="spellStart"/>
      <w:r w:rsidRPr="009E0754">
        <w:t>dilemmas</w:t>
      </w:r>
      <w:proofErr w:type="spellEnd"/>
      <w:r w:rsidRPr="009E0754">
        <w:t xml:space="preserve"> </w:t>
      </w:r>
      <w:proofErr w:type="spellStart"/>
      <w:r w:rsidRPr="009E0754">
        <w:t>faced</w:t>
      </w:r>
      <w:proofErr w:type="spellEnd"/>
      <w:r w:rsidRPr="009E0754">
        <w:t xml:space="preserve"> </w:t>
      </w:r>
      <w:proofErr w:type="spellStart"/>
      <w:r w:rsidRPr="009E0754">
        <w:t>by</w:t>
      </w:r>
      <w:proofErr w:type="spellEnd"/>
      <w:r w:rsidRPr="009E0754">
        <w:t xml:space="preserve"> Dr. </w:t>
      </w:r>
      <w:proofErr w:type="spellStart"/>
      <w:r w:rsidRPr="009E0754">
        <w:t>Primrose</w:t>
      </w:r>
      <w:proofErr w:type="spellEnd"/>
      <w:r w:rsidRPr="009E0754">
        <w:t xml:space="preserve"> </w:t>
      </w:r>
      <w:proofErr w:type="spellStart"/>
      <w:r w:rsidRPr="009E0754">
        <w:t>and</w:t>
      </w:r>
      <w:proofErr w:type="spellEnd"/>
      <w:r w:rsidRPr="009E0754">
        <w:t xml:space="preserve"> Harley, </w:t>
      </w:r>
      <w:proofErr w:type="spellStart"/>
      <w:r w:rsidRPr="009E0754">
        <w:t>the</w:t>
      </w:r>
      <w:proofErr w:type="spellEnd"/>
      <w:r w:rsidRPr="009E0754">
        <w:t xml:space="preserve"> </w:t>
      </w:r>
      <w:proofErr w:type="spellStart"/>
      <w:r w:rsidRPr="009E0754">
        <w:t>authors</w:t>
      </w:r>
      <w:proofErr w:type="spellEnd"/>
      <w:r w:rsidRPr="009E0754">
        <w:t xml:space="preserve"> </w:t>
      </w:r>
      <w:proofErr w:type="spellStart"/>
      <w:r w:rsidRPr="009E0754">
        <w:t>invite</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reflect</w:t>
      </w:r>
      <w:proofErr w:type="spellEnd"/>
      <w:r w:rsidRPr="009E0754">
        <w:t xml:space="preserve"> on </w:t>
      </w:r>
      <w:proofErr w:type="spellStart"/>
      <w:r w:rsidRPr="009E0754">
        <w:t>the</w:t>
      </w:r>
      <w:proofErr w:type="spellEnd"/>
      <w:r w:rsidRPr="009E0754">
        <w:t xml:space="preserve"> </w:t>
      </w:r>
      <w:proofErr w:type="spellStart"/>
      <w:r w:rsidRPr="009E0754">
        <w:t>broader</w:t>
      </w:r>
      <w:proofErr w:type="spellEnd"/>
      <w:r w:rsidRPr="009E0754">
        <w:t xml:space="preserve"> </w:t>
      </w:r>
      <w:proofErr w:type="spellStart"/>
      <w:r w:rsidRPr="009E0754">
        <w:t>societal</w:t>
      </w:r>
      <w:proofErr w:type="spellEnd"/>
      <w:r w:rsidRPr="009E0754">
        <w:t xml:space="preserve"> </w:t>
      </w:r>
      <w:proofErr w:type="spellStart"/>
      <w:r w:rsidRPr="009E0754">
        <w:t>structures</w:t>
      </w:r>
      <w:proofErr w:type="spellEnd"/>
      <w:r w:rsidRPr="009E0754">
        <w:t xml:space="preserve"> </w:t>
      </w:r>
      <w:proofErr w:type="spellStart"/>
      <w:r w:rsidRPr="009E0754">
        <w:t>that</w:t>
      </w:r>
      <w:proofErr w:type="spellEnd"/>
      <w:r w:rsidRPr="009E0754">
        <w:t xml:space="preserve"> </w:t>
      </w:r>
      <w:proofErr w:type="spellStart"/>
      <w:r w:rsidRPr="009E0754">
        <w:t>shape</w:t>
      </w:r>
      <w:proofErr w:type="spellEnd"/>
      <w:r w:rsidRPr="009E0754">
        <w:t xml:space="preserve"> </w:t>
      </w:r>
      <w:proofErr w:type="spellStart"/>
      <w:r w:rsidRPr="009E0754">
        <w:t>individual</w:t>
      </w:r>
      <w:proofErr w:type="spellEnd"/>
      <w:r w:rsidRPr="009E0754">
        <w:t xml:space="preserve"> </w:t>
      </w:r>
      <w:proofErr w:type="spellStart"/>
      <w:r w:rsidRPr="009E0754">
        <w:t>experience</w:t>
      </w:r>
      <w:proofErr w:type="spellEnd"/>
      <w:r w:rsidRPr="009E0754">
        <w:t xml:space="preserve">. </w:t>
      </w:r>
      <w:proofErr w:type="spellStart"/>
      <w:r w:rsidRPr="009E0754">
        <w:t>By</w:t>
      </w:r>
      <w:proofErr w:type="spellEnd"/>
      <w:r w:rsidRPr="009E0754">
        <w:t xml:space="preserve"> </w:t>
      </w:r>
      <w:proofErr w:type="spellStart"/>
      <w:r w:rsidRPr="009E0754">
        <w:t>focusing</w:t>
      </w:r>
      <w:proofErr w:type="spellEnd"/>
      <w:r w:rsidRPr="009E0754">
        <w:t xml:space="preserve"> on </w:t>
      </w:r>
      <w:proofErr w:type="spellStart"/>
      <w:r w:rsidRPr="009E0754">
        <w:t>these</w:t>
      </w:r>
      <w:proofErr w:type="spellEnd"/>
      <w:r w:rsidRPr="009E0754">
        <w:t xml:space="preserve"> </w:t>
      </w:r>
      <w:proofErr w:type="spellStart"/>
      <w:r w:rsidRPr="009E0754">
        <w:t>characters</w:t>
      </w:r>
      <w:proofErr w:type="spellEnd"/>
      <w:r w:rsidRPr="009E0754">
        <w:t xml:space="preserve">' </w:t>
      </w:r>
      <w:proofErr w:type="spellStart"/>
      <w:r w:rsidRPr="009E0754">
        <w:t>emotional</w:t>
      </w:r>
      <w:proofErr w:type="spellEnd"/>
      <w:r w:rsidRPr="009E0754">
        <w:t xml:space="preserve"> </w:t>
      </w:r>
      <w:proofErr w:type="spellStart"/>
      <w:r w:rsidRPr="009E0754">
        <w:t>depth</w:t>
      </w:r>
      <w:proofErr w:type="spellEnd"/>
      <w:r w:rsidRPr="009E0754">
        <w:t xml:space="preserve">, </w:t>
      </w:r>
      <w:proofErr w:type="spellStart"/>
      <w:r w:rsidRPr="009E0754">
        <w:t>both</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create</w:t>
      </w:r>
      <w:proofErr w:type="spellEnd"/>
      <w:r w:rsidRPr="009E0754">
        <w:t xml:space="preserve"> a </w:t>
      </w:r>
      <w:proofErr w:type="spellStart"/>
      <w:r w:rsidRPr="009E0754">
        <w:t>compelling</w:t>
      </w:r>
      <w:proofErr w:type="spellEnd"/>
      <w:r w:rsidRPr="009E0754">
        <w:t xml:space="preserve"> </w:t>
      </w:r>
      <w:proofErr w:type="spellStart"/>
      <w:r w:rsidRPr="009E0754">
        <w:t>space</w:t>
      </w:r>
      <w:proofErr w:type="spellEnd"/>
      <w:r w:rsidRPr="009E0754">
        <w:t xml:space="preserve"> </w:t>
      </w:r>
      <w:proofErr w:type="spellStart"/>
      <w:r w:rsidRPr="009E0754">
        <w:t>for</w:t>
      </w:r>
      <w:proofErr w:type="spellEnd"/>
      <w:r w:rsidRPr="009E0754">
        <w:t xml:space="preserve"> </w:t>
      </w:r>
      <w:proofErr w:type="spellStart"/>
      <w:r w:rsidRPr="009E0754">
        <w:t>empathy</w:t>
      </w:r>
      <w:proofErr w:type="spellEnd"/>
      <w:r w:rsidRPr="009E0754">
        <w:t xml:space="preserve">, </w:t>
      </w:r>
      <w:proofErr w:type="spellStart"/>
      <w:r w:rsidRPr="009E0754">
        <w:t>urging</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reconsider</w:t>
      </w:r>
      <w:proofErr w:type="spellEnd"/>
      <w:r w:rsidRPr="009E0754">
        <w:t xml:space="preserve"> </w:t>
      </w:r>
      <w:proofErr w:type="spellStart"/>
      <w:r w:rsidRPr="009E0754">
        <w:t>the</w:t>
      </w:r>
      <w:proofErr w:type="spellEnd"/>
      <w:r w:rsidRPr="009E0754">
        <w:t xml:space="preserve"> moral </w:t>
      </w:r>
      <w:proofErr w:type="spellStart"/>
      <w:r w:rsidRPr="009E0754">
        <w:t>dynamics</w:t>
      </w:r>
      <w:proofErr w:type="spellEnd"/>
      <w:r w:rsidRPr="009E0754">
        <w:t xml:space="preserve"> at </w:t>
      </w:r>
      <w:proofErr w:type="spellStart"/>
      <w:r w:rsidRPr="009E0754">
        <w:t>play</w:t>
      </w:r>
      <w:proofErr w:type="spellEnd"/>
      <w:r w:rsidRPr="009E0754">
        <w:t xml:space="preserve"> in </w:t>
      </w:r>
      <w:proofErr w:type="spellStart"/>
      <w:r w:rsidRPr="009E0754">
        <w:t>their</w:t>
      </w:r>
      <w:proofErr w:type="spellEnd"/>
      <w:r w:rsidRPr="009E0754">
        <w:t xml:space="preserve"> </w:t>
      </w:r>
      <w:proofErr w:type="spellStart"/>
      <w:r w:rsidRPr="009E0754">
        <w:t>own</w:t>
      </w:r>
      <w:proofErr w:type="spellEnd"/>
      <w:r w:rsidRPr="009E0754">
        <w:t xml:space="preserve"> </w:t>
      </w:r>
      <w:proofErr w:type="spellStart"/>
      <w:r w:rsidRPr="009E0754">
        <w:t>societal</w:t>
      </w:r>
      <w:proofErr w:type="spellEnd"/>
      <w:r w:rsidRPr="009E0754">
        <w:t xml:space="preserve"> </w:t>
      </w:r>
      <w:proofErr w:type="spellStart"/>
      <w:r w:rsidRPr="009E0754">
        <w:t>contexts</w:t>
      </w:r>
      <w:proofErr w:type="spellEnd"/>
      <w:r w:rsidRPr="009E0754">
        <w:t xml:space="preserve">. </w:t>
      </w:r>
      <w:proofErr w:type="spellStart"/>
      <w:r w:rsidRPr="009E0754">
        <w:t>The</w:t>
      </w:r>
      <w:proofErr w:type="spellEnd"/>
      <w:r w:rsidRPr="009E0754">
        <w:t xml:space="preserve"> </w:t>
      </w:r>
      <w:proofErr w:type="spellStart"/>
      <w:r w:rsidRPr="009E0754">
        <w:t>emotional</w:t>
      </w:r>
      <w:proofErr w:type="spellEnd"/>
      <w:r w:rsidRPr="009E0754">
        <w:t xml:space="preserve"> </w:t>
      </w:r>
      <w:proofErr w:type="spellStart"/>
      <w:r w:rsidRPr="009E0754">
        <w:t>depth</w:t>
      </w:r>
      <w:proofErr w:type="spellEnd"/>
      <w:r w:rsidRPr="009E0754">
        <w:t xml:space="preserve"> of </w:t>
      </w:r>
      <w:proofErr w:type="spellStart"/>
      <w:r w:rsidRPr="009E0754">
        <w:t>these</w:t>
      </w:r>
      <w:proofErr w:type="spellEnd"/>
      <w:r w:rsidRPr="009E0754">
        <w:t xml:space="preserve"> </w:t>
      </w:r>
      <w:proofErr w:type="spellStart"/>
      <w:r w:rsidRPr="009E0754">
        <w:t>characters</w:t>
      </w:r>
      <w:proofErr w:type="spellEnd"/>
      <w:r w:rsidRPr="009E0754">
        <w:t xml:space="preserve"> </w:t>
      </w:r>
      <w:proofErr w:type="spellStart"/>
      <w:r w:rsidRPr="009E0754">
        <w:lastRenderedPageBreak/>
        <w:t>enhances</w:t>
      </w:r>
      <w:proofErr w:type="spellEnd"/>
      <w:r w:rsidRPr="009E0754">
        <w:t xml:space="preserve"> </w:t>
      </w:r>
      <w:proofErr w:type="spellStart"/>
      <w:r w:rsidRPr="009E0754">
        <w:t>the</w:t>
      </w:r>
      <w:proofErr w:type="spellEnd"/>
      <w:r w:rsidRPr="009E0754">
        <w:t xml:space="preserve"> </w:t>
      </w:r>
      <w:proofErr w:type="spellStart"/>
      <w:r w:rsidRPr="009E0754">
        <w:t>readers</w:t>
      </w:r>
      <w:proofErr w:type="spellEnd"/>
      <w:r w:rsidRPr="009E0754">
        <w:t xml:space="preserve">’ </w:t>
      </w:r>
      <w:proofErr w:type="spellStart"/>
      <w:r w:rsidRPr="009E0754">
        <w:t>connection</w:t>
      </w:r>
      <w:proofErr w:type="spellEnd"/>
      <w:r w:rsidRPr="009E0754">
        <w:t xml:space="preserve"> </w:t>
      </w:r>
      <w:proofErr w:type="spellStart"/>
      <w:r w:rsidRPr="009E0754">
        <w:t>to</w:t>
      </w:r>
      <w:proofErr w:type="spellEnd"/>
      <w:r w:rsidRPr="009E0754">
        <w:t xml:space="preserve"> </w:t>
      </w:r>
      <w:proofErr w:type="spellStart"/>
      <w:r w:rsidRPr="009E0754">
        <w:t>the</w:t>
      </w:r>
      <w:proofErr w:type="spellEnd"/>
      <w:r w:rsidRPr="009E0754">
        <w:t xml:space="preserve"> </w:t>
      </w:r>
      <w:proofErr w:type="spellStart"/>
      <w:r w:rsidRPr="009E0754">
        <w:t>broader</w:t>
      </w:r>
      <w:proofErr w:type="spellEnd"/>
      <w:r w:rsidRPr="009E0754">
        <w:t xml:space="preserve"> </w:t>
      </w:r>
      <w:proofErr w:type="spellStart"/>
      <w:r w:rsidRPr="009E0754">
        <w:t>social</w:t>
      </w:r>
      <w:proofErr w:type="spellEnd"/>
      <w:r w:rsidRPr="009E0754">
        <w:t xml:space="preserve"> </w:t>
      </w:r>
      <w:proofErr w:type="spellStart"/>
      <w:r w:rsidRPr="009E0754">
        <w:t>issues</w:t>
      </w:r>
      <w:proofErr w:type="spellEnd"/>
      <w:r w:rsidRPr="009E0754">
        <w:t xml:space="preserve"> they </w:t>
      </w:r>
      <w:proofErr w:type="spellStart"/>
      <w:r w:rsidRPr="009E0754">
        <w:t>face</w:t>
      </w:r>
      <w:proofErr w:type="spellEnd"/>
      <w:r w:rsidRPr="009E0754">
        <w:t xml:space="preserve"> [</w:t>
      </w:r>
      <w:proofErr w:type="spellStart"/>
      <w:r w:rsidRPr="009E0754">
        <w:t>Mullan</w:t>
      </w:r>
      <w:proofErr w:type="spellEnd"/>
      <w:r w:rsidRPr="009E0754">
        <w:t>, 1988, p. 94].</w:t>
      </w:r>
    </w:p>
    <w:p w14:paraId="3305A6D2" w14:textId="77777777" w:rsidR="00DA3117" w:rsidRDefault="00DA3117" w:rsidP="00BA67A6">
      <w:pPr>
        <w:jc w:val="both"/>
      </w:pPr>
      <w:proofErr w:type="spellStart"/>
      <w:r w:rsidRPr="009E0754">
        <w:t>The</w:t>
      </w:r>
      <w:proofErr w:type="spellEnd"/>
      <w:r w:rsidRPr="009E0754">
        <w:t xml:space="preserve"> </w:t>
      </w:r>
      <w:proofErr w:type="spellStart"/>
      <w:r w:rsidRPr="009E0754">
        <w:t>study</w:t>
      </w:r>
      <w:proofErr w:type="spellEnd"/>
      <w:r w:rsidRPr="009E0754">
        <w:t xml:space="preserve"> </w:t>
      </w:r>
      <w:proofErr w:type="spellStart"/>
      <w:r w:rsidRPr="009E0754">
        <w:t>finds</w:t>
      </w:r>
      <w:proofErr w:type="spellEnd"/>
      <w:r w:rsidRPr="009E0754">
        <w:t xml:space="preserve"> </w:t>
      </w:r>
      <w:proofErr w:type="spellStart"/>
      <w:r w:rsidRPr="009E0754">
        <w:t>that</w:t>
      </w:r>
      <w:proofErr w:type="spellEnd"/>
      <w:r w:rsidRPr="009E0754">
        <w:t xml:space="preserve"> </w:t>
      </w:r>
      <w:proofErr w:type="spellStart"/>
      <w:r w:rsidRPr="009E0754">
        <w:t>Goldsmith’s</w:t>
      </w:r>
      <w:proofErr w:type="spellEnd"/>
      <w:r w:rsidRPr="009E0754">
        <w:t xml:space="preserve"> </w:t>
      </w:r>
      <w:proofErr w:type="spellStart"/>
      <w:r w:rsidRPr="009E0754">
        <w:t>use</w:t>
      </w:r>
      <w:proofErr w:type="spellEnd"/>
      <w:r w:rsidRPr="009E0754">
        <w:t xml:space="preserve"> of satire </w:t>
      </w:r>
      <w:proofErr w:type="spellStart"/>
      <w:r w:rsidRPr="009E0754">
        <w:t>and</w:t>
      </w:r>
      <w:proofErr w:type="spellEnd"/>
      <w:r w:rsidRPr="009E0754">
        <w:t xml:space="preserve"> </w:t>
      </w:r>
      <w:proofErr w:type="spellStart"/>
      <w:r w:rsidRPr="009E0754">
        <w:t>irony</w:t>
      </w:r>
      <w:proofErr w:type="spellEnd"/>
      <w:r w:rsidRPr="009E0754">
        <w:t xml:space="preserve"> </w:t>
      </w:r>
      <w:proofErr w:type="spellStart"/>
      <w:r w:rsidRPr="009E0754">
        <w:t>amplifies</w:t>
      </w:r>
      <w:proofErr w:type="spellEnd"/>
      <w:r w:rsidRPr="009E0754">
        <w:t xml:space="preserve"> his </w:t>
      </w:r>
      <w:proofErr w:type="spellStart"/>
      <w:r w:rsidRPr="009E0754">
        <w:t>critique</w:t>
      </w:r>
      <w:proofErr w:type="spellEnd"/>
      <w:r w:rsidRPr="009E0754">
        <w:t xml:space="preserve"> of </w:t>
      </w:r>
      <w:proofErr w:type="spellStart"/>
      <w:r w:rsidRPr="009E0754">
        <w:t>societal</w:t>
      </w:r>
      <w:proofErr w:type="spellEnd"/>
      <w:r w:rsidRPr="009E0754">
        <w:t xml:space="preserve"> </w:t>
      </w:r>
      <w:proofErr w:type="spellStart"/>
      <w:r w:rsidRPr="009E0754">
        <w:t>norms</w:t>
      </w:r>
      <w:proofErr w:type="spellEnd"/>
      <w:r w:rsidRPr="009E0754">
        <w:t xml:space="preserve">, </w:t>
      </w:r>
      <w:proofErr w:type="spellStart"/>
      <w:r w:rsidRPr="009E0754">
        <w:t>while</w:t>
      </w:r>
      <w:proofErr w:type="spellEnd"/>
      <w:r w:rsidRPr="009E0754">
        <w:t xml:space="preserve"> </w:t>
      </w:r>
      <w:proofErr w:type="spellStart"/>
      <w:r w:rsidRPr="009E0754">
        <w:t>Mackenzie’s</w:t>
      </w:r>
      <w:proofErr w:type="spellEnd"/>
      <w:r w:rsidRPr="009E0754">
        <w:t xml:space="preserve"> </w:t>
      </w:r>
      <w:proofErr w:type="spellStart"/>
      <w:r w:rsidRPr="009E0754">
        <w:t>melancholic</w:t>
      </w:r>
      <w:proofErr w:type="spellEnd"/>
      <w:r w:rsidRPr="009E0754">
        <w:t xml:space="preserve"> </w:t>
      </w:r>
      <w:proofErr w:type="spellStart"/>
      <w:r w:rsidRPr="009E0754">
        <w:t>tone</w:t>
      </w:r>
      <w:proofErr w:type="spellEnd"/>
      <w:r w:rsidRPr="009E0754">
        <w:t xml:space="preserve"> </w:t>
      </w:r>
      <w:proofErr w:type="spellStart"/>
      <w:r w:rsidRPr="009E0754">
        <w:t>evokes</w:t>
      </w:r>
      <w:proofErr w:type="spellEnd"/>
      <w:r w:rsidRPr="009E0754">
        <w:t xml:space="preserve"> a </w:t>
      </w:r>
      <w:proofErr w:type="spellStart"/>
      <w:r w:rsidRPr="009E0754">
        <w:t>more</w:t>
      </w:r>
      <w:proofErr w:type="spellEnd"/>
      <w:r w:rsidRPr="009E0754">
        <w:t xml:space="preserve"> </w:t>
      </w:r>
      <w:proofErr w:type="spellStart"/>
      <w:r w:rsidRPr="009E0754">
        <w:t>personal</w:t>
      </w:r>
      <w:proofErr w:type="spellEnd"/>
      <w:r w:rsidRPr="009E0754">
        <w:t xml:space="preserve"> </w:t>
      </w:r>
      <w:proofErr w:type="spellStart"/>
      <w:r w:rsidRPr="009E0754">
        <w:t>reflection</w:t>
      </w:r>
      <w:proofErr w:type="spellEnd"/>
      <w:r w:rsidRPr="009E0754">
        <w:t xml:space="preserve"> on </w:t>
      </w:r>
      <w:proofErr w:type="spellStart"/>
      <w:r w:rsidRPr="009E0754">
        <w:t>morality</w:t>
      </w:r>
      <w:proofErr w:type="spellEnd"/>
      <w:r w:rsidRPr="009E0754">
        <w:t xml:space="preserve"> [</w:t>
      </w:r>
      <w:proofErr w:type="spellStart"/>
      <w:r w:rsidRPr="009E0754">
        <w:t>Richetti</w:t>
      </w:r>
      <w:proofErr w:type="spellEnd"/>
      <w:r w:rsidRPr="009E0754">
        <w:t xml:space="preserve">, 2002, p. 110]. </w:t>
      </w:r>
      <w:proofErr w:type="spellStart"/>
      <w:r w:rsidRPr="009E0754">
        <w:t>In</w:t>
      </w:r>
      <w:proofErr w:type="spellEnd"/>
      <w:r w:rsidRPr="009E0754">
        <w:t xml:space="preserve"> </w:t>
      </w:r>
      <w:proofErr w:type="spellStart"/>
      <w:r w:rsidRPr="009E0754">
        <w:t>contrast</w:t>
      </w:r>
      <w:proofErr w:type="spellEnd"/>
      <w:r w:rsidRPr="009E0754">
        <w:t xml:space="preserve">, </w:t>
      </w:r>
      <w:proofErr w:type="spellStart"/>
      <w:r w:rsidRPr="009E0754">
        <w:t>Mackenzie</w:t>
      </w:r>
      <w:proofErr w:type="spellEnd"/>
      <w:r w:rsidRPr="009E0754">
        <w:t xml:space="preserve"> </w:t>
      </w:r>
      <w:proofErr w:type="spellStart"/>
      <w:r w:rsidRPr="009E0754">
        <w:t>adopts</w:t>
      </w:r>
      <w:proofErr w:type="spellEnd"/>
      <w:r w:rsidRPr="009E0754">
        <w:t xml:space="preserve"> a </w:t>
      </w:r>
      <w:proofErr w:type="spellStart"/>
      <w:r w:rsidRPr="009E0754">
        <w:t>more</w:t>
      </w:r>
      <w:proofErr w:type="spellEnd"/>
      <w:r w:rsidRPr="009E0754">
        <w:t xml:space="preserve"> </w:t>
      </w:r>
      <w:proofErr w:type="spellStart"/>
      <w:r w:rsidRPr="009E0754">
        <w:t>introspective</w:t>
      </w:r>
      <w:proofErr w:type="spellEnd"/>
      <w:r w:rsidRPr="009E0754">
        <w:t xml:space="preserve"> </w:t>
      </w:r>
      <w:proofErr w:type="spellStart"/>
      <w:r w:rsidRPr="009E0754">
        <w:t>and</w:t>
      </w:r>
      <w:proofErr w:type="spellEnd"/>
      <w:r w:rsidRPr="009E0754">
        <w:t xml:space="preserve"> </w:t>
      </w:r>
      <w:proofErr w:type="spellStart"/>
      <w:r w:rsidRPr="009E0754">
        <w:t>melancholic</w:t>
      </w:r>
      <w:proofErr w:type="spellEnd"/>
      <w:r w:rsidRPr="009E0754">
        <w:t xml:space="preserve"> </w:t>
      </w:r>
      <w:proofErr w:type="spellStart"/>
      <w:r w:rsidRPr="009E0754">
        <w:t>tone</w:t>
      </w:r>
      <w:proofErr w:type="spellEnd"/>
      <w:r w:rsidRPr="009E0754">
        <w:t xml:space="preserve">, </w:t>
      </w:r>
      <w:proofErr w:type="spellStart"/>
      <w:r w:rsidRPr="009E0754">
        <w:t>prompting</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engage</w:t>
      </w:r>
      <w:proofErr w:type="spellEnd"/>
      <w:r w:rsidRPr="009E0754">
        <w:t xml:space="preserve"> in </w:t>
      </w:r>
      <w:proofErr w:type="spellStart"/>
      <w:r w:rsidRPr="009E0754">
        <w:t>profound</w:t>
      </w:r>
      <w:proofErr w:type="spellEnd"/>
      <w:r w:rsidRPr="009E0754">
        <w:t xml:space="preserve"> </w:t>
      </w:r>
      <w:proofErr w:type="spellStart"/>
      <w:r w:rsidRPr="009E0754">
        <w:t>contemplation</w:t>
      </w:r>
      <w:proofErr w:type="spellEnd"/>
      <w:r w:rsidRPr="009E0754">
        <w:t xml:space="preserve"> on </w:t>
      </w:r>
      <w:proofErr w:type="spellStart"/>
      <w:r w:rsidRPr="009E0754">
        <w:t>ethical</w:t>
      </w:r>
      <w:proofErr w:type="spellEnd"/>
      <w:r w:rsidRPr="009E0754">
        <w:t xml:space="preserve"> </w:t>
      </w:r>
      <w:proofErr w:type="spellStart"/>
      <w:r w:rsidRPr="009E0754">
        <w:t>principles</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complexities</w:t>
      </w:r>
      <w:proofErr w:type="spellEnd"/>
      <w:r w:rsidRPr="009E0754">
        <w:t xml:space="preserve"> of </w:t>
      </w:r>
      <w:proofErr w:type="spellStart"/>
      <w:r w:rsidRPr="009E0754">
        <w:t>human</w:t>
      </w:r>
      <w:proofErr w:type="spellEnd"/>
      <w:r w:rsidRPr="009E0754">
        <w:t xml:space="preserve"> </w:t>
      </w:r>
      <w:proofErr w:type="spellStart"/>
      <w:r w:rsidRPr="009E0754">
        <w:t>morality</w:t>
      </w:r>
      <w:proofErr w:type="spellEnd"/>
      <w:r w:rsidRPr="009E0754">
        <w:t xml:space="preserve">. A </w:t>
      </w:r>
      <w:proofErr w:type="spellStart"/>
      <w:r w:rsidRPr="009E0754">
        <w:t>key</w:t>
      </w:r>
      <w:proofErr w:type="spellEnd"/>
      <w:r w:rsidRPr="009E0754">
        <w:t xml:space="preserve"> </w:t>
      </w:r>
      <w:proofErr w:type="spellStart"/>
      <w:r w:rsidRPr="009E0754">
        <w:t>insight</w:t>
      </w:r>
      <w:proofErr w:type="spellEnd"/>
      <w:r w:rsidRPr="009E0754">
        <w:t xml:space="preserve"> </w:t>
      </w:r>
      <w:proofErr w:type="spellStart"/>
      <w:r w:rsidRPr="009E0754">
        <w:t>that</w:t>
      </w:r>
      <w:proofErr w:type="spellEnd"/>
      <w:r w:rsidRPr="009E0754">
        <w:t xml:space="preserve"> </w:t>
      </w:r>
      <w:proofErr w:type="spellStart"/>
      <w:r w:rsidRPr="009E0754">
        <w:t>emerges</w:t>
      </w:r>
      <w:proofErr w:type="spellEnd"/>
      <w:r w:rsidRPr="009E0754">
        <w:t xml:space="preserve"> </w:t>
      </w:r>
      <w:proofErr w:type="spellStart"/>
      <w:r w:rsidRPr="009E0754">
        <w:t>from</w:t>
      </w:r>
      <w:proofErr w:type="spellEnd"/>
      <w:r w:rsidRPr="009E0754">
        <w:t xml:space="preserve"> </w:t>
      </w:r>
      <w:proofErr w:type="spellStart"/>
      <w:r w:rsidRPr="009E0754">
        <w:t>this</w:t>
      </w:r>
      <w:proofErr w:type="spellEnd"/>
      <w:r w:rsidRPr="009E0754">
        <w:t xml:space="preserve"> </w:t>
      </w:r>
      <w:proofErr w:type="spellStart"/>
      <w:r w:rsidRPr="009E0754">
        <w:t>analysis</w:t>
      </w:r>
      <w:proofErr w:type="spellEnd"/>
      <w:r w:rsidRPr="009E0754">
        <w:t xml:space="preserve"> is </w:t>
      </w:r>
      <w:proofErr w:type="spellStart"/>
      <w:r w:rsidRPr="009E0754">
        <w:t>the</w:t>
      </w:r>
      <w:proofErr w:type="spellEnd"/>
      <w:r w:rsidRPr="009E0754">
        <w:t xml:space="preserve"> </w:t>
      </w:r>
      <w:proofErr w:type="spellStart"/>
      <w:r w:rsidRPr="009E0754">
        <w:t>authors</w:t>
      </w:r>
      <w:proofErr w:type="spellEnd"/>
      <w:r w:rsidRPr="009E0754">
        <w:t xml:space="preserve">’ </w:t>
      </w:r>
      <w:proofErr w:type="spellStart"/>
      <w:r w:rsidRPr="009E0754">
        <w:t>shared</w:t>
      </w:r>
      <w:proofErr w:type="spellEnd"/>
      <w:r w:rsidRPr="009E0754">
        <w:t xml:space="preserve"> </w:t>
      </w:r>
      <w:proofErr w:type="spellStart"/>
      <w:r w:rsidRPr="009E0754">
        <w:t>focus</w:t>
      </w:r>
      <w:proofErr w:type="spellEnd"/>
      <w:r w:rsidRPr="009E0754">
        <w:t xml:space="preserve"> on </w:t>
      </w:r>
      <w:proofErr w:type="spellStart"/>
      <w:r w:rsidRPr="009E0754">
        <w:t>the</w:t>
      </w:r>
      <w:proofErr w:type="spellEnd"/>
      <w:r w:rsidRPr="009E0754">
        <w:t xml:space="preserve"> </w:t>
      </w:r>
      <w:proofErr w:type="spellStart"/>
      <w:r w:rsidRPr="009E0754">
        <w:t>influence</w:t>
      </w:r>
      <w:proofErr w:type="spellEnd"/>
      <w:r w:rsidRPr="009E0754">
        <w:t xml:space="preserve"> of </w:t>
      </w:r>
      <w:proofErr w:type="spellStart"/>
      <w:r w:rsidRPr="009E0754">
        <w:t>social</w:t>
      </w:r>
      <w:proofErr w:type="spellEnd"/>
      <w:r w:rsidRPr="009E0754">
        <w:t xml:space="preserve"> </w:t>
      </w:r>
      <w:proofErr w:type="spellStart"/>
      <w:r w:rsidRPr="009E0754">
        <w:t>class</w:t>
      </w:r>
      <w:proofErr w:type="spellEnd"/>
      <w:r w:rsidRPr="009E0754">
        <w:t xml:space="preserve"> in </w:t>
      </w:r>
      <w:proofErr w:type="spellStart"/>
      <w:r w:rsidRPr="009E0754">
        <w:t>shaping</w:t>
      </w:r>
      <w:proofErr w:type="spellEnd"/>
      <w:r w:rsidRPr="009E0754">
        <w:t xml:space="preserve"> moral </w:t>
      </w:r>
      <w:proofErr w:type="spellStart"/>
      <w:r w:rsidRPr="009E0754">
        <w:t>conflicts</w:t>
      </w:r>
      <w:proofErr w:type="spellEnd"/>
      <w:r w:rsidRPr="009E0754">
        <w:t xml:space="preserve">. </w:t>
      </w:r>
      <w:proofErr w:type="spellStart"/>
      <w:r w:rsidRPr="009E0754">
        <w:t>Both</w:t>
      </w:r>
      <w:proofErr w:type="spellEnd"/>
      <w:r w:rsidRPr="009E0754">
        <w:t xml:space="preserve">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and</w:t>
      </w:r>
      <w:proofErr w:type="spellEnd"/>
      <w:r w:rsidRPr="009E0754">
        <w:t xml:space="preserve">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w:t>
      </w:r>
      <w:proofErr w:type="spellStart"/>
      <w:r w:rsidRPr="009E0754">
        <w:t>reveal</w:t>
      </w:r>
      <w:proofErr w:type="spellEnd"/>
      <w:r w:rsidRPr="009E0754">
        <w:t xml:space="preserve"> </w:t>
      </w:r>
      <w:proofErr w:type="spellStart"/>
      <w:r w:rsidRPr="009E0754">
        <w:t>the</w:t>
      </w:r>
      <w:proofErr w:type="spellEnd"/>
      <w:r w:rsidRPr="009E0754">
        <w:t xml:space="preserve"> moral </w:t>
      </w:r>
      <w:proofErr w:type="spellStart"/>
      <w:r w:rsidRPr="009E0754">
        <w:t>duplicity</w:t>
      </w:r>
      <w:proofErr w:type="spellEnd"/>
      <w:r w:rsidRPr="009E0754">
        <w:t xml:space="preserve"> </w:t>
      </w:r>
      <w:proofErr w:type="spellStart"/>
      <w:r w:rsidRPr="009E0754">
        <w:t>often</w:t>
      </w:r>
      <w:proofErr w:type="spellEnd"/>
      <w:r w:rsidRPr="009E0754">
        <w:t xml:space="preserve"> </w:t>
      </w:r>
      <w:proofErr w:type="spellStart"/>
      <w:r w:rsidRPr="009E0754">
        <w:t>prevalent</w:t>
      </w:r>
      <w:proofErr w:type="spellEnd"/>
      <w:r w:rsidRPr="009E0754">
        <w:t xml:space="preserve"> </w:t>
      </w:r>
      <w:proofErr w:type="spellStart"/>
      <w:r w:rsidRPr="009E0754">
        <w:t>among</w:t>
      </w:r>
      <w:proofErr w:type="spellEnd"/>
      <w:r w:rsidRPr="009E0754">
        <w:t xml:space="preserve"> </w:t>
      </w:r>
      <w:proofErr w:type="spellStart"/>
      <w:r w:rsidRPr="009E0754">
        <w:t>the</w:t>
      </w:r>
      <w:proofErr w:type="spellEnd"/>
      <w:r w:rsidRPr="009E0754">
        <w:t xml:space="preserve"> </w:t>
      </w:r>
      <w:proofErr w:type="spellStart"/>
      <w:r w:rsidRPr="009E0754">
        <w:t>upper</w:t>
      </w:r>
      <w:proofErr w:type="spellEnd"/>
      <w:r w:rsidRPr="009E0754">
        <w:t xml:space="preserve"> </w:t>
      </w:r>
      <w:proofErr w:type="spellStart"/>
      <w:r w:rsidRPr="009E0754">
        <w:t>echelons</w:t>
      </w:r>
      <w:proofErr w:type="spellEnd"/>
      <w:r w:rsidRPr="009E0754">
        <w:t xml:space="preserve"> of </w:t>
      </w:r>
      <w:proofErr w:type="spellStart"/>
      <w:r w:rsidRPr="009E0754">
        <w:t>society</w:t>
      </w:r>
      <w:proofErr w:type="spellEnd"/>
      <w:r w:rsidRPr="009E0754">
        <w:t xml:space="preserve">, </w:t>
      </w:r>
      <w:proofErr w:type="spellStart"/>
      <w:r w:rsidRPr="009E0754">
        <w:t>juxtaposing</w:t>
      </w:r>
      <w:proofErr w:type="spellEnd"/>
      <w:r w:rsidRPr="009E0754">
        <w:t xml:space="preserve"> it </w:t>
      </w:r>
      <w:proofErr w:type="spellStart"/>
      <w:r w:rsidRPr="009E0754">
        <w:t>with</w:t>
      </w:r>
      <w:proofErr w:type="spellEnd"/>
      <w:r w:rsidRPr="009E0754">
        <w:t xml:space="preserve"> </w:t>
      </w:r>
      <w:proofErr w:type="spellStart"/>
      <w:r w:rsidRPr="009E0754">
        <w:t>the</w:t>
      </w:r>
      <w:proofErr w:type="spellEnd"/>
      <w:r w:rsidRPr="009E0754">
        <w:t xml:space="preserve"> </w:t>
      </w:r>
      <w:proofErr w:type="spellStart"/>
      <w:r w:rsidRPr="009E0754">
        <w:t>hardships</w:t>
      </w:r>
      <w:proofErr w:type="spellEnd"/>
      <w:r w:rsidRPr="009E0754">
        <w:t xml:space="preserve"> </w:t>
      </w:r>
      <w:proofErr w:type="spellStart"/>
      <w:r w:rsidRPr="009E0754">
        <w:t>and</w:t>
      </w:r>
      <w:proofErr w:type="spellEnd"/>
      <w:r w:rsidRPr="009E0754">
        <w:t xml:space="preserve"> </w:t>
      </w:r>
      <w:proofErr w:type="spellStart"/>
      <w:r w:rsidRPr="009E0754">
        <w:t>ethical</w:t>
      </w:r>
      <w:proofErr w:type="spellEnd"/>
      <w:r w:rsidRPr="009E0754">
        <w:t xml:space="preserve"> </w:t>
      </w:r>
      <w:proofErr w:type="spellStart"/>
      <w:r w:rsidRPr="009E0754">
        <w:t>struggles</w:t>
      </w:r>
      <w:proofErr w:type="spellEnd"/>
      <w:r w:rsidRPr="009E0754">
        <w:t xml:space="preserve"> </w:t>
      </w:r>
      <w:proofErr w:type="spellStart"/>
      <w:r w:rsidRPr="009E0754">
        <w:t>faced</w:t>
      </w:r>
      <w:proofErr w:type="spellEnd"/>
      <w:r w:rsidRPr="009E0754">
        <w:t xml:space="preserve"> </w:t>
      </w:r>
      <w:proofErr w:type="spellStart"/>
      <w:r w:rsidRPr="009E0754">
        <w:t>by</w:t>
      </w:r>
      <w:proofErr w:type="spellEnd"/>
      <w:r w:rsidRPr="009E0754">
        <w:t xml:space="preserve"> </w:t>
      </w:r>
      <w:proofErr w:type="spellStart"/>
      <w:r w:rsidRPr="009E0754">
        <w:t>the</w:t>
      </w:r>
      <w:proofErr w:type="spellEnd"/>
      <w:r w:rsidRPr="009E0754">
        <w:t xml:space="preserve"> </w:t>
      </w:r>
      <w:proofErr w:type="spellStart"/>
      <w:r w:rsidRPr="009E0754">
        <w:t>less</w:t>
      </w:r>
      <w:proofErr w:type="spellEnd"/>
      <w:r w:rsidRPr="009E0754">
        <w:t xml:space="preserve"> </w:t>
      </w:r>
      <w:proofErr w:type="spellStart"/>
      <w:r w:rsidRPr="009E0754">
        <w:t>privileged</w:t>
      </w:r>
      <w:proofErr w:type="spellEnd"/>
      <w:r w:rsidRPr="009E0754">
        <w:t xml:space="preserve">. </w:t>
      </w:r>
      <w:proofErr w:type="spellStart"/>
      <w:r w:rsidRPr="009E0754">
        <w:t>By</w:t>
      </w:r>
      <w:proofErr w:type="spellEnd"/>
      <w:r w:rsidRPr="009E0754">
        <w:t xml:space="preserve"> </w:t>
      </w:r>
      <w:proofErr w:type="spellStart"/>
      <w:r w:rsidRPr="009E0754">
        <w:t>highlighting</w:t>
      </w:r>
      <w:proofErr w:type="spellEnd"/>
      <w:r w:rsidRPr="009E0754">
        <w:t xml:space="preserve"> </w:t>
      </w:r>
      <w:proofErr w:type="spellStart"/>
      <w:r w:rsidRPr="009E0754">
        <w:t>these</w:t>
      </w:r>
      <w:proofErr w:type="spellEnd"/>
      <w:r w:rsidRPr="009E0754">
        <w:t xml:space="preserve"> </w:t>
      </w:r>
      <w:proofErr w:type="spellStart"/>
      <w:r w:rsidRPr="009E0754">
        <w:t>disparities</w:t>
      </w:r>
      <w:proofErr w:type="spellEnd"/>
      <w:r w:rsidRPr="009E0754">
        <w:t xml:space="preserve">, </w:t>
      </w:r>
      <w:proofErr w:type="spellStart"/>
      <w:r w:rsidRPr="009E0754">
        <w:t>the</w:t>
      </w:r>
      <w:proofErr w:type="spellEnd"/>
      <w:r w:rsidRPr="009E0754">
        <w:t xml:space="preserve"> </w:t>
      </w:r>
      <w:proofErr w:type="spellStart"/>
      <w:r w:rsidRPr="009E0754">
        <w:t>authors</w:t>
      </w:r>
      <w:proofErr w:type="spellEnd"/>
      <w:r w:rsidRPr="009E0754">
        <w:t xml:space="preserve"> </w:t>
      </w:r>
      <w:proofErr w:type="spellStart"/>
      <w:r w:rsidRPr="009E0754">
        <w:t>lay</w:t>
      </w:r>
      <w:proofErr w:type="spellEnd"/>
      <w:r w:rsidRPr="009E0754">
        <w:t xml:space="preserve"> </w:t>
      </w:r>
      <w:proofErr w:type="spellStart"/>
      <w:r w:rsidRPr="009E0754">
        <w:t>bare</w:t>
      </w:r>
      <w:proofErr w:type="spellEnd"/>
      <w:r w:rsidRPr="009E0754">
        <w:t xml:space="preserve"> </w:t>
      </w:r>
      <w:proofErr w:type="spellStart"/>
      <w:r w:rsidRPr="009E0754">
        <w:t>the</w:t>
      </w:r>
      <w:proofErr w:type="spellEnd"/>
      <w:r w:rsidRPr="009E0754">
        <w:t xml:space="preserve"> </w:t>
      </w:r>
      <w:proofErr w:type="spellStart"/>
      <w:r w:rsidRPr="009E0754">
        <w:t>deep-rooted</w:t>
      </w:r>
      <w:proofErr w:type="spellEnd"/>
      <w:r w:rsidRPr="009E0754">
        <w:t xml:space="preserve"> </w:t>
      </w:r>
      <w:proofErr w:type="spellStart"/>
      <w:r w:rsidRPr="009E0754">
        <w:t>inequities</w:t>
      </w:r>
      <w:proofErr w:type="spellEnd"/>
      <w:r w:rsidRPr="009E0754">
        <w:t xml:space="preserve"> </w:t>
      </w:r>
      <w:proofErr w:type="spellStart"/>
      <w:r w:rsidRPr="009E0754">
        <w:t>embedded</w:t>
      </w:r>
      <w:proofErr w:type="spellEnd"/>
      <w:r w:rsidRPr="009E0754">
        <w:t xml:space="preserve"> in </w:t>
      </w:r>
      <w:proofErr w:type="spellStart"/>
      <w:r w:rsidRPr="009E0754">
        <w:t>the</w:t>
      </w:r>
      <w:proofErr w:type="spellEnd"/>
      <w:r w:rsidRPr="009E0754">
        <w:t xml:space="preserve"> </w:t>
      </w:r>
      <w:proofErr w:type="spellStart"/>
      <w:r w:rsidRPr="009E0754">
        <w:t>social</w:t>
      </w:r>
      <w:proofErr w:type="spellEnd"/>
      <w:r w:rsidRPr="009E0754">
        <w:t xml:space="preserve"> </w:t>
      </w:r>
      <w:proofErr w:type="spellStart"/>
      <w:r w:rsidRPr="009E0754">
        <w:t>fabric</w:t>
      </w:r>
      <w:proofErr w:type="spellEnd"/>
      <w:r w:rsidRPr="009E0754">
        <w:t xml:space="preserve"> of </w:t>
      </w:r>
      <w:proofErr w:type="spellStart"/>
      <w:r w:rsidRPr="009E0754">
        <w:t>their</w:t>
      </w:r>
      <w:proofErr w:type="spellEnd"/>
      <w:r w:rsidRPr="009E0754">
        <w:t xml:space="preserve"> time. </w:t>
      </w:r>
      <w:proofErr w:type="spellStart"/>
      <w:r w:rsidRPr="009E0754">
        <w:t>In</w:t>
      </w:r>
      <w:proofErr w:type="spellEnd"/>
      <w:r w:rsidRPr="009E0754">
        <w:t xml:space="preserve"> </w:t>
      </w:r>
      <w:proofErr w:type="spellStart"/>
      <w:r w:rsidRPr="009E0754">
        <w:t>both</w:t>
      </w:r>
      <w:proofErr w:type="spellEnd"/>
      <w:r w:rsidRPr="009E0754">
        <w:t xml:space="preserve"> </w:t>
      </w:r>
      <w:proofErr w:type="spellStart"/>
      <w:r w:rsidRPr="009E0754">
        <w:t>works</w:t>
      </w:r>
      <w:proofErr w:type="spellEnd"/>
      <w:r w:rsidRPr="009E0754">
        <w:t xml:space="preserve">, </w:t>
      </w:r>
      <w:proofErr w:type="spellStart"/>
      <w:r w:rsidRPr="009E0754">
        <w:t>emotional</w:t>
      </w:r>
      <w:proofErr w:type="spellEnd"/>
      <w:r w:rsidRPr="009E0754">
        <w:t xml:space="preserve"> </w:t>
      </w:r>
      <w:proofErr w:type="spellStart"/>
      <w:r w:rsidRPr="009E0754">
        <w:t>expression</w:t>
      </w:r>
      <w:proofErr w:type="spellEnd"/>
      <w:r w:rsidRPr="009E0754">
        <w:t xml:space="preserve"> </w:t>
      </w:r>
      <w:proofErr w:type="spellStart"/>
      <w:r w:rsidRPr="009E0754">
        <w:t>serves</w:t>
      </w:r>
      <w:proofErr w:type="spellEnd"/>
      <w:r w:rsidRPr="009E0754">
        <w:t xml:space="preserve"> as an </w:t>
      </w:r>
      <w:proofErr w:type="spellStart"/>
      <w:r w:rsidRPr="009E0754">
        <w:t>essential</w:t>
      </w:r>
      <w:proofErr w:type="spellEnd"/>
      <w:r w:rsidRPr="009E0754">
        <w:t xml:space="preserve"> </w:t>
      </w:r>
      <w:proofErr w:type="spellStart"/>
      <w:r w:rsidRPr="009E0754">
        <w:t>narrative</w:t>
      </w:r>
      <w:proofErr w:type="spellEnd"/>
      <w:r w:rsidRPr="009E0754">
        <w:t xml:space="preserve"> </w:t>
      </w:r>
      <w:proofErr w:type="spellStart"/>
      <w:r w:rsidRPr="009E0754">
        <w:t>device</w:t>
      </w:r>
      <w:proofErr w:type="spellEnd"/>
      <w:r w:rsidRPr="009E0754">
        <w:t xml:space="preserve"> </w:t>
      </w:r>
      <w:proofErr w:type="spellStart"/>
      <w:r w:rsidRPr="009E0754">
        <w:t>that</w:t>
      </w:r>
      <w:proofErr w:type="spellEnd"/>
      <w:r w:rsidRPr="009E0754">
        <w:t xml:space="preserve"> </w:t>
      </w:r>
      <w:proofErr w:type="spellStart"/>
      <w:r w:rsidRPr="009E0754">
        <w:t>transcends</w:t>
      </w:r>
      <w:proofErr w:type="spellEnd"/>
      <w:r w:rsidRPr="009E0754">
        <w:t xml:space="preserve"> </w:t>
      </w:r>
      <w:proofErr w:type="spellStart"/>
      <w:r w:rsidRPr="009E0754">
        <w:t>mere</w:t>
      </w:r>
      <w:proofErr w:type="spellEnd"/>
      <w:r w:rsidRPr="009E0754">
        <w:t xml:space="preserve"> </w:t>
      </w:r>
      <w:proofErr w:type="spellStart"/>
      <w:r w:rsidRPr="009E0754">
        <w:t>storytelling</w:t>
      </w:r>
      <w:proofErr w:type="spellEnd"/>
      <w:r w:rsidRPr="009E0754">
        <w:t xml:space="preserve"> </w:t>
      </w:r>
      <w:proofErr w:type="spellStart"/>
      <w:r w:rsidRPr="009E0754">
        <w:t>to</w:t>
      </w:r>
      <w:proofErr w:type="spellEnd"/>
      <w:r w:rsidRPr="009E0754">
        <w:t xml:space="preserve"> </w:t>
      </w:r>
      <w:proofErr w:type="spellStart"/>
      <w:r w:rsidRPr="009E0754">
        <w:t>become</w:t>
      </w:r>
      <w:proofErr w:type="spellEnd"/>
      <w:r w:rsidRPr="009E0754">
        <w:t xml:space="preserve"> a </w:t>
      </w:r>
      <w:proofErr w:type="spellStart"/>
      <w:r w:rsidRPr="009E0754">
        <w:t>means</w:t>
      </w:r>
      <w:proofErr w:type="spellEnd"/>
      <w:r w:rsidRPr="009E0754">
        <w:t xml:space="preserve"> of </w:t>
      </w:r>
      <w:proofErr w:type="spellStart"/>
      <w:r w:rsidRPr="009E0754">
        <w:t>incisive</w:t>
      </w:r>
      <w:proofErr w:type="spellEnd"/>
      <w:r w:rsidRPr="009E0754">
        <w:t xml:space="preserve"> </w:t>
      </w:r>
      <w:proofErr w:type="spellStart"/>
      <w:r w:rsidRPr="009E0754">
        <w:t>social</w:t>
      </w:r>
      <w:proofErr w:type="spellEnd"/>
      <w:r w:rsidRPr="009E0754">
        <w:t xml:space="preserve"> </w:t>
      </w:r>
      <w:proofErr w:type="spellStart"/>
      <w:r w:rsidRPr="009E0754">
        <w:t>critique</w:t>
      </w:r>
      <w:proofErr w:type="spellEnd"/>
      <w:r w:rsidRPr="009E0754">
        <w:t xml:space="preserve">. </w:t>
      </w:r>
      <w:proofErr w:type="spellStart"/>
      <w:r w:rsidRPr="009E0754">
        <w:t>The</w:t>
      </w:r>
      <w:proofErr w:type="spellEnd"/>
      <w:r w:rsidRPr="009E0754">
        <w:t xml:space="preserve"> </w:t>
      </w:r>
      <w:proofErr w:type="spellStart"/>
      <w:r w:rsidRPr="009E0754">
        <w:t>authors</w:t>
      </w:r>
      <w:proofErr w:type="spellEnd"/>
      <w:r w:rsidRPr="009E0754">
        <w:t xml:space="preserve"> </w:t>
      </w:r>
      <w:proofErr w:type="spellStart"/>
      <w:r w:rsidRPr="009E0754">
        <w:t>craft</w:t>
      </w:r>
      <w:proofErr w:type="spellEnd"/>
      <w:r w:rsidRPr="009E0754">
        <w:t xml:space="preserve"> </w:t>
      </w:r>
      <w:proofErr w:type="spellStart"/>
      <w:r w:rsidRPr="009E0754">
        <w:t>emotionally</w:t>
      </w:r>
      <w:proofErr w:type="spellEnd"/>
      <w:r w:rsidRPr="009E0754">
        <w:t xml:space="preserve"> </w:t>
      </w:r>
      <w:proofErr w:type="spellStart"/>
      <w:r w:rsidRPr="009E0754">
        <w:t>charged</w:t>
      </w:r>
      <w:proofErr w:type="spellEnd"/>
      <w:r w:rsidRPr="009E0754">
        <w:t xml:space="preserve"> </w:t>
      </w:r>
      <w:proofErr w:type="spellStart"/>
      <w:r w:rsidRPr="009E0754">
        <w:t>moments</w:t>
      </w:r>
      <w:proofErr w:type="spellEnd"/>
      <w:r w:rsidRPr="009E0754">
        <w:t xml:space="preserve"> </w:t>
      </w:r>
      <w:proofErr w:type="spellStart"/>
      <w:r w:rsidRPr="009E0754">
        <w:t>that</w:t>
      </w:r>
      <w:proofErr w:type="spellEnd"/>
      <w:r w:rsidRPr="009E0754">
        <w:t xml:space="preserve"> </w:t>
      </w:r>
      <w:proofErr w:type="spellStart"/>
      <w:r w:rsidRPr="009E0754">
        <w:t>resonate</w:t>
      </w:r>
      <w:proofErr w:type="spellEnd"/>
      <w:r w:rsidRPr="009E0754">
        <w:t xml:space="preserve"> </w:t>
      </w:r>
      <w:proofErr w:type="spellStart"/>
      <w:r w:rsidRPr="009E0754">
        <w:t>with</w:t>
      </w:r>
      <w:proofErr w:type="spellEnd"/>
      <w:r w:rsidRPr="009E0754">
        <w:t xml:space="preserve"> </w:t>
      </w:r>
      <w:proofErr w:type="spellStart"/>
      <w:r w:rsidRPr="009E0754">
        <w:t>readers</w:t>
      </w:r>
      <w:proofErr w:type="spellEnd"/>
      <w:r w:rsidRPr="009E0754">
        <w:t xml:space="preserve"> on an </w:t>
      </w:r>
      <w:proofErr w:type="spellStart"/>
      <w:r w:rsidRPr="009E0754">
        <w:t>intimate</w:t>
      </w:r>
      <w:proofErr w:type="spellEnd"/>
      <w:r w:rsidRPr="009E0754">
        <w:t xml:space="preserve"> </w:t>
      </w:r>
      <w:proofErr w:type="spellStart"/>
      <w:r w:rsidRPr="009E0754">
        <w:t>level</w:t>
      </w:r>
      <w:proofErr w:type="spellEnd"/>
      <w:r w:rsidRPr="009E0754">
        <w:t xml:space="preserve">, </w:t>
      </w:r>
      <w:proofErr w:type="spellStart"/>
      <w:r w:rsidRPr="009E0754">
        <w:t>drawing</w:t>
      </w:r>
      <w:proofErr w:type="spellEnd"/>
      <w:r w:rsidRPr="009E0754">
        <w:t xml:space="preserve"> </w:t>
      </w:r>
      <w:proofErr w:type="spellStart"/>
      <w:r w:rsidRPr="009E0754">
        <w:t>them</w:t>
      </w:r>
      <w:proofErr w:type="spellEnd"/>
      <w:r w:rsidRPr="009E0754">
        <w:t xml:space="preserve"> </w:t>
      </w:r>
      <w:proofErr w:type="spellStart"/>
      <w:r w:rsidRPr="009E0754">
        <w:t>into</w:t>
      </w:r>
      <w:proofErr w:type="spellEnd"/>
      <w:r w:rsidRPr="009E0754">
        <w:t xml:space="preserve"> </w:t>
      </w:r>
      <w:proofErr w:type="spellStart"/>
      <w:r w:rsidRPr="009E0754">
        <w:t>the</w:t>
      </w:r>
      <w:proofErr w:type="spellEnd"/>
      <w:r w:rsidRPr="009E0754">
        <w:t xml:space="preserve"> moral </w:t>
      </w:r>
      <w:proofErr w:type="spellStart"/>
      <w:r w:rsidRPr="009E0754">
        <w:t>dilemmas</w:t>
      </w:r>
      <w:proofErr w:type="spellEnd"/>
      <w:r w:rsidRPr="009E0754">
        <w:t xml:space="preserve"> of </w:t>
      </w:r>
      <w:proofErr w:type="spellStart"/>
      <w:r w:rsidRPr="009E0754">
        <w:t>the</w:t>
      </w:r>
      <w:proofErr w:type="spellEnd"/>
      <w:r w:rsidRPr="009E0754">
        <w:t xml:space="preserve"> </w:t>
      </w:r>
      <w:proofErr w:type="spellStart"/>
      <w:r w:rsidRPr="009E0754">
        <w:t>characters</w:t>
      </w:r>
      <w:proofErr w:type="spellEnd"/>
      <w:r w:rsidRPr="009E0754">
        <w:t xml:space="preserve"> </w:t>
      </w:r>
      <w:proofErr w:type="spellStart"/>
      <w:r w:rsidRPr="009E0754">
        <w:t>and</w:t>
      </w:r>
      <w:proofErr w:type="spellEnd"/>
      <w:r w:rsidRPr="009E0754">
        <w:t xml:space="preserve"> </w:t>
      </w:r>
      <w:proofErr w:type="spellStart"/>
      <w:r w:rsidRPr="009E0754">
        <w:t>encouraging</w:t>
      </w:r>
      <w:proofErr w:type="spellEnd"/>
      <w:r w:rsidRPr="009E0754">
        <w:t xml:space="preserve"> </w:t>
      </w:r>
      <w:proofErr w:type="spellStart"/>
      <w:r w:rsidRPr="009E0754">
        <w:t>personal</w:t>
      </w:r>
      <w:proofErr w:type="spellEnd"/>
      <w:r w:rsidRPr="009E0754">
        <w:t xml:space="preserve"> </w:t>
      </w:r>
      <w:proofErr w:type="spellStart"/>
      <w:r w:rsidRPr="009E0754">
        <w:t>reflection</w:t>
      </w:r>
      <w:proofErr w:type="spellEnd"/>
      <w:r w:rsidRPr="009E0754">
        <w:t xml:space="preserve">. </w:t>
      </w:r>
      <w:proofErr w:type="spellStart"/>
      <w:r w:rsidRPr="009E0754">
        <w:t>This</w:t>
      </w:r>
      <w:proofErr w:type="spellEnd"/>
      <w:r w:rsidRPr="009E0754">
        <w:t xml:space="preserve"> </w:t>
      </w:r>
      <w:proofErr w:type="spellStart"/>
      <w:r w:rsidRPr="009E0754">
        <w:t>emotional</w:t>
      </w:r>
      <w:proofErr w:type="spellEnd"/>
      <w:r w:rsidRPr="009E0754">
        <w:t xml:space="preserve"> </w:t>
      </w:r>
      <w:proofErr w:type="spellStart"/>
      <w:r w:rsidRPr="009E0754">
        <w:t>engagement</w:t>
      </w:r>
      <w:proofErr w:type="spellEnd"/>
      <w:r w:rsidRPr="009E0754">
        <w:t xml:space="preserve"> not </w:t>
      </w:r>
      <w:proofErr w:type="spellStart"/>
      <w:r w:rsidRPr="009E0754">
        <w:t>only</w:t>
      </w:r>
      <w:proofErr w:type="spellEnd"/>
      <w:r w:rsidRPr="009E0754">
        <w:t xml:space="preserve"> </w:t>
      </w:r>
      <w:proofErr w:type="spellStart"/>
      <w:r w:rsidRPr="009E0754">
        <w:t>strengthens</w:t>
      </w:r>
      <w:proofErr w:type="spellEnd"/>
      <w:r w:rsidRPr="009E0754">
        <w:t xml:space="preserve"> </w:t>
      </w:r>
      <w:proofErr w:type="spellStart"/>
      <w:r w:rsidRPr="009E0754">
        <w:t>the</w:t>
      </w:r>
      <w:proofErr w:type="spellEnd"/>
      <w:r w:rsidRPr="009E0754">
        <w:t xml:space="preserve"> </w:t>
      </w:r>
      <w:proofErr w:type="spellStart"/>
      <w:r w:rsidRPr="009E0754">
        <w:t>connection</w:t>
      </w:r>
      <w:proofErr w:type="spellEnd"/>
      <w:r w:rsidRPr="009E0754">
        <w:t xml:space="preserve"> </w:t>
      </w:r>
      <w:proofErr w:type="spellStart"/>
      <w:r w:rsidRPr="009E0754">
        <w:t>between</w:t>
      </w:r>
      <w:proofErr w:type="spellEnd"/>
      <w:r w:rsidRPr="009E0754">
        <w:t xml:space="preserve"> </w:t>
      </w:r>
      <w:proofErr w:type="spellStart"/>
      <w:r w:rsidRPr="009E0754">
        <w:t>the</w:t>
      </w:r>
      <w:proofErr w:type="spellEnd"/>
      <w:r w:rsidRPr="009E0754">
        <w:t xml:space="preserve"> </w:t>
      </w:r>
      <w:proofErr w:type="spellStart"/>
      <w:r w:rsidRPr="009E0754">
        <w:t>reader</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text</w:t>
      </w:r>
      <w:proofErr w:type="spellEnd"/>
      <w:r w:rsidRPr="009E0754">
        <w:t xml:space="preserve"> but </w:t>
      </w:r>
      <w:proofErr w:type="spellStart"/>
      <w:r w:rsidRPr="009E0754">
        <w:t>also</w:t>
      </w:r>
      <w:proofErr w:type="spellEnd"/>
      <w:r w:rsidRPr="009E0754">
        <w:t xml:space="preserve"> </w:t>
      </w:r>
      <w:proofErr w:type="spellStart"/>
      <w:r w:rsidRPr="009E0754">
        <w:t>compels</w:t>
      </w:r>
      <w:proofErr w:type="spellEnd"/>
      <w:r w:rsidRPr="009E0754">
        <w:t xml:space="preserve"> a re-</w:t>
      </w:r>
      <w:proofErr w:type="spellStart"/>
      <w:r w:rsidRPr="009E0754">
        <w:t>evaluation</w:t>
      </w:r>
      <w:proofErr w:type="spellEnd"/>
      <w:r w:rsidRPr="009E0754">
        <w:t xml:space="preserve"> of </w:t>
      </w:r>
      <w:proofErr w:type="spellStart"/>
      <w:r w:rsidRPr="009E0754">
        <w:t>broader</w:t>
      </w:r>
      <w:proofErr w:type="spellEnd"/>
      <w:r w:rsidRPr="009E0754">
        <w:t xml:space="preserve"> </w:t>
      </w:r>
      <w:proofErr w:type="spellStart"/>
      <w:r w:rsidRPr="009E0754">
        <w:t>social</w:t>
      </w:r>
      <w:proofErr w:type="spellEnd"/>
      <w:r w:rsidRPr="009E0754">
        <w:t xml:space="preserve"> </w:t>
      </w:r>
      <w:proofErr w:type="spellStart"/>
      <w:r w:rsidRPr="009E0754">
        <w:t>and</w:t>
      </w:r>
      <w:proofErr w:type="spellEnd"/>
      <w:r w:rsidRPr="009E0754">
        <w:t xml:space="preserve"> moral </w:t>
      </w:r>
      <w:proofErr w:type="spellStart"/>
      <w:r w:rsidRPr="009E0754">
        <w:t>issues</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highlight</w:t>
      </w:r>
      <w:proofErr w:type="spellEnd"/>
      <w:r w:rsidRPr="009E0754">
        <w:t xml:space="preserve"> </w:t>
      </w:r>
      <w:proofErr w:type="spellStart"/>
      <w:r w:rsidRPr="009E0754">
        <w:t>the</w:t>
      </w:r>
      <w:proofErr w:type="spellEnd"/>
      <w:r w:rsidRPr="009E0754">
        <w:t xml:space="preserve"> </w:t>
      </w:r>
      <w:proofErr w:type="spellStart"/>
      <w:r w:rsidRPr="009E0754">
        <w:t>stark</w:t>
      </w:r>
      <w:proofErr w:type="spellEnd"/>
      <w:r w:rsidRPr="009E0754">
        <w:t xml:space="preserve"> </w:t>
      </w:r>
      <w:proofErr w:type="spellStart"/>
      <w:r w:rsidRPr="009E0754">
        <w:t>divide</w:t>
      </w:r>
      <w:proofErr w:type="spellEnd"/>
      <w:r w:rsidRPr="009E0754">
        <w:t xml:space="preserve"> </w:t>
      </w:r>
      <w:proofErr w:type="spellStart"/>
      <w:r w:rsidRPr="009E0754">
        <w:t>between</w:t>
      </w:r>
      <w:proofErr w:type="spellEnd"/>
      <w:r w:rsidRPr="009E0754">
        <w:t xml:space="preserve"> </w:t>
      </w:r>
      <w:proofErr w:type="spellStart"/>
      <w:r w:rsidRPr="009E0754">
        <w:t>the</w:t>
      </w:r>
      <w:proofErr w:type="spellEnd"/>
      <w:r w:rsidRPr="009E0754">
        <w:t xml:space="preserve"> </w:t>
      </w:r>
      <w:proofErr w:type="spellStart"/>
      <w:r w:rsidRPr="009E0754">
        <w:t>privileged</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underprivileged</w:t>
      </w:r>
      <w:proofErr w:type="spellEnd"/>
      <w:r w:rsidRPr="009E0754">
        <w:t xml:space="preserve">, </w:t>
      </w:r>
      <w:proofErr w:type="spellStart"/>
      <w:r w:rsidRPr="009E0754">
        <w:t>exposing</w:t>
      </w:r>
      <w:proofErr w:type="spellEnd"/>
      <w:r w:rsidRPr="009E0754">
        <w:t xml:space="preserve"> </w:t>
      </w:r>
      <w:proofErr w:type="spellStart"/>
      <w:r w:rsidRPr="009E0754">
        <w:t>the</w:t>
      </w:r>
      <w:proofErr w:type="spellEnd"/>
      <w:r w:rsidRPr="009E0754">
        <w:t xml:space="preserve"> moral </w:t>
      </w:r>
      <w:proofErr w:type="spellStart"/>
      <w:r w:rsidRPr="009E0754">
        <w:t>hypocrisy</w:t>
      </w:r>
      <w:proofErr w:type="spellEnd"/>
      <w:r w:rsidRPr="009E0754">
        <w:t xml:space="preserve"> of </w:t>
      </w:r>
      <w:proofErr w:type="spellStart"/>
      <w:r w:rsidRPr="009E0754">
        <w:t>the</w:t>
      </w:r>
      <w:proofErr w:type="spellEnd"/>
      <w:r w:rsidRPr="009E0754">
        <w:t xml:space="preserve"> </w:t>
      </w:r>
      <w:proofErr w:type="spellStart"/>
      <w:r w:rsidRPr="009E0754">
        <w:t>upper</w:t>
      </w:r>
      <w:proofErr w:type="spellEnd"/>
      <w:r w:rsidRPr="009E0754">
        <w:t xml:space="preserve"> </w:t>
      </w:r>
      <w:proofErr w:type="spellStart"/>
      <w:r w:rsidRPr="009E0754">
        <w:t>classes</w:t>
      </w:r>
      <w:proofErr w:type="spellEnd"/>
      <w:r w:rsidRPr="009E0754">
        <w:t xml:space="preserve"> [</w:t>
      </w:r>
      <w:proofErr w:type="spellStart"/>
      <w:r w:rsidRPr="009E0754">
        <w:t>Backscheider</w:t>
      </w:r>
      <w:proofErr w:type="spellEnd"/>
      <w:r w:rsidRPr="009E0754">
        <w:t>, 2008, p. 189].</w:t>
      </w:r>
    </w:p>
    <w:p w14:paraId="734A7AC3" w14:textId="77777777" w:rsidR="00BA67A6" w:rsidRPr="009E0754" w:rsidRDefault="00BA67A6" w:rsidP="00BA67A6">
      <w:pPr>
        <w:jc w:val="both"/>
      </w:pPr>
    </w:p>
    <w:p w14:paraId="7ADD9D34" w14:textId="55502B66" w:rsidR="00DA3117" w:rsidRDefault="00DA3117" w:rsidP="00BA67A6">
      <w:pPr>
        <w:jc w:val="both"/>
      </w:pPr>
      <w:proofErr w:type="spellStart"/>
      <w:r w:rsidRPr="009E0754">
        <w:t>The</w:t>
      </w:r>
      <w:proofErr w:type="spellEnd"/>
      <w:r w:rsidRPr="009E0754">
        <w:t xml:space="preserve"> </w:t>
      </w:r>
      <w:proofErr w:type="spellStart"/>
      <w:r w:rsidRPr="009E0754">
        <w:t>comparative</w:t>
      </w:r>
      <w:proofErr w:type="spellEnd"/>
      <w:r w:rsidRPr="009E0754">
        <w:t xml:space="preserve"> </w:t>
      </w:r>
      <w:proofErr w:type="spellStart"/>
      <w:r w:rsidRPr="009E0754">
        <w:t>analysis</w:t>
      </w:r>
      <w:proofErr w:type="spellEnd"/>
      <w:r w:rsidRPr="009E0754">
        <w:t xml:space="preserve"> </w:t>
      </w:r>
      <w:proofErr w:type="spellStart"/>
      <w:r w:rsidRPr="009E0754">
        <w:t>highlights</w:t>
      </w:r>
      <w:proofErr w:type="spellEnd"/>
      <w:r w:rsidRPr="009E0754">
        <w:t xml:space="preserve"> </w:t>
      </w:r>
      <w:proofErr w:type="spellStart"/>
      <w:r w:rsidRPr="009E0754">
        <w:t>the</w:t>
      </w:r>
      <w:proofErr w:type="spellEnd"/>
      <w:r w:rsidRPr="009E0754">
        <w:t xml:space="preserve"> </w:t>
      </w:r>
      <w:proofErr w:type="spellStart"/>
      <w:r w:rsidRPr="009E0754">
        <w:t>enduring</w:t>
      </w:r>
      <w:proofErr w:type="spellEnd"/>
      <w:r w:rsidRPr="009E0754">
        <w:t xml:space="preserve"> </w:t>
      </w:r>
      <w:proofErr w:type="spellStart"/>
      <w:r w:rsidRPr="009E0754">
        <w:t>significance</w:t>
      </w:r>
      <w:proofErr w:type="spellEnd"/>
      <w:r w:rsidRPr="009E0754">
        <w:t xml:space="preserve"> of </w:t>
      </w:r>
      <w:proofErr w:type="spellStart"/>
      <w:r w:rsidRPr="009E0754">
        <w:t>the</w:t>
      </w:r>
      <w:proofErr w:type="spellEnd"/>
      <w:r w:rsidRPr="009E0754">
        <w:t xml:space="preserve"> moral </w:t>
      </w:r>
      <w:proofErr w:type="spellStart"/>
      <w:r w:rsidRPr="009E0754">
        <w:t>inquiries</w:t>
      </w:r>
      <w:proofErr w:type="spellEnd"/>
      <w:r w:rsidRPr="009E0754">
        <w:t xml:space="preserve"> </w:t>
      </w:r>
      <w:proofErr w:type="spellStart"/>
      <w:r w:rsidRPr="009E0754">
        <w:t>posed</w:t>
      </w:r>
      <w:proofErr w:type="spellEnd"/>
      <w:r w:rsidRPr="009E0754">
        <w:t xml:space="preserve"> </w:t>
      </w:r>
      <w:proofErr w:type="spellStart"/>
      <w:r w:rsidRPr="009E0754">
        <w:t>by</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demonstrating</w:t>
      </w:r>
      <w:proofErr w:type="spellEnd"/>
      <w:r w:rsidRPr="009E0754">
        <w:t xml:space="preserve"> </w:t>
      </w:r>
      <w:proofErr w:type="spellStart"/>
      <w:r w:rsidRPr="009E0754">
        <w:t>their</w:t>
      </w:r>
      <w:proofErr w:type="spellEnd"/>
      <w:r w:rsidRPr="009E0754">
        <w:t xml:space="preserve"> </w:t>
      </w:r>
      <w:proofErr w:type="spellStart"/>
      <w:r w:rsidRPr="009E0754">
        <w:t>continued</w:t>
      </w:r>
      <w:proofErr w:type="spellEnd"/>
      <w:r w:rsidRPr="009E0754">
        <w:t xml:space="preserve"> </w:t>
      </w:r>
      <w:proofErr w:type="spellStart"/>
      <w:r w:rsidRPr="009E0754">
        <w:t>relevance</w:t>
      </w:r>
      <w:proofErr w:type="spellEnd"/>
      <w:r w:rsidRPr="009E0754">
        <w:t xml:space="preserve"> in </w:t>
      </w:r>
      <w:proofErr w:type="spellStart"/>
      <w:r w:rsidRPr="009E0754">
        <w:t>contemporary</w:t>
      </w:r>
      <w:proofErr w:type="spellEnd"/>
      <w:r w:rsidRPr="009E0754">
        <w:t xml:space="preserve"> </w:t>
      </w:r>
      <w:proofErr w:type="spellStart"/>
      <w:r w:rsidRPr="009E0754">
        <w:t>discourse</w:t>
      </w:r>
      <w:proofErr w:type="spellEnd"/>
      <w:r w:rsidRPr="009E0754">
        <w:t xml:space="preserve">. Through </w:t>
      </w:r>
      <w:proofErr w:type="spellStart"/>
      <w:r w:rsidRPr="009E0754">
        <w:t>their</w:t>
      </w:r>
      <w:proofErr w:type="spellEnd"/>
      <w:r w:rsidRPr="009E0754">
        <w:t xml:space="preserve"> </w:t>
      </w:r>
      <w:proofErr w:type="spellStart"/>
      <w:r w:rsidRPr="009E0754">
        <w:t>narratives</w:t>
      </w:r>
      <w:proofErr w:type="spellEnd"/>
      <w:r w:rsidRPr="009E0754">
        <w:t xml:space="preserve">, </w:t>
      </w:r>
      <w:proofErr w:type="spellStart"/>
      <w:r w:rsidRPr="009E0754">
        <w:t>both</w:t>
      </w:r>
      <w:proofErr w:type="spellEnd"/>
      <w:r w:rsidRPr="009E0754">
        <w:t xml:space="preserve"> </w:t>
      </w:r>
      <w:proofErr w:type="spellStart"/>
      <w:r w:rsidRPr="009E0754">
        <w:t>authors</w:t>
      </w:r>
      <w:proofErr w:type="spellEnd"/>
      <w:r w:rsidRPr="009E0754">
        <w:t xml:space="preserve"> </w:t>
      </w:r>
      <w:proofErr w:type="spellStart"/>
      <w:r w:rsidRPr="009E0754">
        <w:t>encourage</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contemplate</w:t>
      </w:r>
      <w:proofErr w:type="spellEnd"/>
      <w:r w:rsidRPr="009E0754">
        <w:t xml:space="preserve"> </w:t>
      </w:r>
      <w:proofErr w:type="spellStart"/>
      <w:r w:rsidRPr="009E0754">
        <w:t>fundamental</w:t>
      </w:r>
      <w:proofErr w:type="spellEnd"/>
      <w:r w:rsidRPr="009E0754">
        <w:t xml:space="preserve"> </w:t>
      </w:r>
      <w:proofErr w:type="spellStart"/>
      <w:r w:rsidRPr="009E0754">
        <w:t>questions</w:t>
      </w:r>
      <w:proofErr w:type="spellEnd"/>
      <w:r w:rsidRPr="009E0754">
        <w:t xml:space="preserve"> </w:t>
      </w:r>
      <w:proofErr w:type="spellStart"/>
      <w:r w:rsidRPr="009E0754">
        <w:t>about</w:t>
      </w:r>
      <w:proofErr w:type="spellEnd"/>
      <w:r w:rsidRPr="009E0754">
        <w:t xml:space="preserve"> </w:t>
      </w:r>
      <w:proofErr w:type="spellStart"/>
      <w:r w:rsidRPr="009E0754">
        <w:t>the</w:t>
      </w:r>
      <w:proofErr w:type="spellEnd"/>
      <w:r w:rsidRPr="009E0754">
        <w:t xml:space="preserve"> </w:t>
      </w:r>
      <w:proofErr w:type="spellStart"/>
      <w:r w:rsidRPr="009E0754">
        <w:t>essence</w:t>
      </w:r>
      <w:proofErr w:type="spellEnd"/>
      <w:r w:rsidRPr="009E0754">
        <w:t xml:space="preserve"> of </w:t>
      </w:r>
      <w:proofErr w:type="spellStart"/>
      <w:r w:rsidRPr="009E0754">
        <w:t>virtue</w:t>
      </w:r>
      <w:proofErr w:type="spellEnd"/>
      <w:r w:rsidRPr="009E0754">
        <w:t xml:space="preserve">, </w:t>
      </w:r>
      <w:proofErr w:type="spellStart"/>
      <w:r w:rsidRPr="009E0754">
        <w:t>the</w:t>
      </w:r>
      <w:proofErr w:type="spellEnd"/>
      <w:r w:rsidRPr="009E0754">
        <w:t xml:space="preserve"> </w:t>
      </w:r>
      <w:proofErr w:type="spellStart"/>
      <w:r w:rsidRPr="009E0754">
        <w:t>indispensable</w:t>
      </w:r>
      <w:proofErr w:type="spellEnd"/>
      <w:r w:rsidRPr="009E0754">
        <w:t xml:space="preserve"> role of </w:t>
      </w:r>
      <w:proofErr w:type="spellStart"/>
      <w:r w:rsidRPr="009E0754">
        <w:t>empathy</w:t>
      </w:r>
      <w:proofErr w:type="spellEnd"/>
      <w:r w:rsidRPr="009E0754">
        <w:t xml:space="preserve"> in </w:t>
      </w:r>
      <w:proofErr w:type="spellStart"/>
      <w:r w:rsidRPr="009E0754">
        <w:t>human</w:t>
      </w:r>
      <w:proofErr w:type="spellEnd"/>
      <w:r w:rsidRPr="009E0754">
        <w:t xml:space="preserve"> </w:t>
      </w:r>
      <w:proofErr w:type="spellStart"/>
      <w:r w:rsidRPr="009E0754">
        <w:t>relationships</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remarkable</w:t>
      </w:r>
      <w:proofErr w:type="spellEnd"/>
      <w:r w:rsidRPr="009E0754">
        <w:t xml:space="preserve"> </w:t>
      </w:r>
      <w:proofErr w:type="spellStart"/>
      <w:r w:rsidRPr="009E0754">
        <w:t>resilience</w:t>
      </w:r>
      <w:proofErr w:type="spellEnd"/>
      <w:r w:rsidRPr="009E0754">
        <w:t xml:space="preserve"> of </w:t>
      </w:r>
      <w:proofErr w:type="spellStart"/>
      <w:r w:rsidRPr="009E0754">
        <w:t>the</w:t>
      </w:r>
      <w:proofErr w:type="spellEnd"/>
      <w:r w:rsidRPr="009E0754">
        <w:t xml:space="preserve"> </w:t>
      </w:r>
      <w:proofErr w:type="spellStart"/>
      <w:r w:rsidRPr="009E0754">
        <w:t>human</w:t>
      </w:r>
      <w:proofErr w:type="spellEnd"/>
      <w:r w:rsidRPr="009E0754">
        <w:t xml:space="preserve"> spirit </w:t>
      </w:r>
      <w:proofErr w:type="spellStart"/>
      <w:r w:rsidRPr="009E0754">
        <w:t>when</w:t>
      </w:r>
      <w:proofErr w:type="spellEnd"/>
      <w:r w:rsidRPr="009E0754">
        <w:t xml:space="preserve"> </w:t>
      </w:r>
      <w:proofErr w:type="spellStart"/>
      <w:r w:rsidRPr="009E0754">
        <w:t>confronted</w:t>
      </w:r>
      <w:proofErr w:type="spellEnd"/>
      <w:r w:rsidRPr="009E0754">
        <w:t xml:space="preserve"> </w:t>
      </w:r>
      <w:proofErr w:type="spellStart"/>
      <w:r w:rsidRPr="009E0754">
        <w:t>with</w:t>
      </w:r>
      <w:proofErr w:type="spellEnd"/>
      <w:r w:rsidRPr="009E0754">
        <w:t xml:space="preserve"> </w:t>
      </w:r>
      <w:proofErr w:type="spellStart"/>
      <w:r w:rsidRPr="009E0754">
        <w:t>adversity</w:t>
      </w:r>
      <w:proofErr w:type="spellEnd"/>
      <w:r w:rsidRPr="009E0754">
        <w:t xml:space="preserve">. Far </w:t>
      </w:r>
      <w:proofErr w:type="spellStart"/>
      <w:r w:rsidRPr="009E0754">
        <w:t>from</w:t>
      </w:r>
      <w:proofErr w:type="spellEnd"/>
      <w:r w:rsidRPr="009E0754">
        <w:t xml:space="preserve"> </w:t>
      </w:r>
      <w:proofErr w:type="spellStart"/>
      <w:r w:rsidRPr="009E0754">
        <w:t>being</w:t>
      </w:r>
      <w:proofErr w:type="spellEnd"/>
      <w:r w:rsidRPr="009E0754">
        <w:t xml:space="preserve"> a </w:t>
      </w:r>
      <w:proofErr w:type="spellStart"/>
      <w:r w:rsidRPr="009E0754">
        <w:t>mere</w:t>
      </w:r>
      <w:proofErr w:type="spellEnd"/>
      <w:r w:rsidRPr="009E0754">
        <w:t xml:space="preserve"> </w:t>
      </w:r>
      <w:proofErr w:type="spellStart"/>
      <w:r w:rsidRPr="009E0754">
        <w:t>literary</w:t>
      </w:r>
      <w:proofErr w:type="spellEnd"/>
      <w:r w:rsidRPr="009E0754">
        <w:t xml:space="preserve"> </w:t>
      </w:r>
      <w:proofErr w:type="spellStart"/>
      <w:r w:rsidRPr="009E0754">
        <w:t>style</w:t>
      </w:r>
      <w:proofErr w:type="spellEnd"/>
      <w:r w:rsidRPr="009E0754">
        <w:t xml:space="preserve">, </w:t>
      </w:r>
      <w:proofErr w:type="spellStart"/>
      <w:r w:rsidRPr="009E0754">
        <w:t>sentimentalist</w:t>
      </w:r>
      <w:proofErr w:type="spellEnd"/>
      <w:r w:rsidRPr="009E0754">
        <w:t xml:space="preserve"> </w:t>
      </w:r>
      <w:proofErr w:type="spellStart"/>
      <w:r w:rsidRPr="009E0754">
        <w:t>prose</w:t>
      </w:r>
      <w:proofErr w:type="spellEnd"/>
      <w:r w:rsidRPr="009E0754">
        <w:t xml:space="preserve"> </w:t>
      </w:r>
      <w:proofErr w:type="spellStart"/>
      <w:r w:rsidRPr="009E0754">
        <w:t>emerges</w:t>
      </w:r>
      <w:proofErr w:type="spellEnd"/>
      <w:r w:rsidRPr="009E0754">
        <w:t xml:space="preserve"> as a </w:t>
      </w:r>
      <w:proofErr w:type="spellStart"/>
      <w:r w:rsidRPr="009E0754">
        <w:t>powerful</w:t>
      </w:r>
      <w:proofErr w:type="spellEnd"/>
      <w:r w:rsidRPr="009E0754">
        <w:t xml:space="preserve"> </w:t>
      </w:r>
      <w:proofErr w:type="spellStart"/>
      <w:r w:rsidRPr="009E0754">
        <w:t>medium</w:t>
      </w:r>
      <w:proofErr w:type="spellEnd"/>
      <w:r w:rsidRPr="009E0754">
        <w:t xml:space="preserve"> </w:t>
      </w:r>
      <w:proofErr w:type="spellStart"/>
      <w:r w:rsidRPr="009E0754">
        <w:t>for</w:t>
      </w:r>
      <w:proofErr w:type="spellEnd"/>
      <w:r w:rsidRPr="009E0754">
        <w:t xml:space="preserve"> </w:t>
      </w:r>
      <w:proofErr w:type="spellStart"/>
      <w:r w:rsidRPr="009E0754">
        <w:t>ethical</w:t>
      </w:r>
      <w:proofErr w:type="spellEnd"/>
      <w:r w:rsidRPr="009E0754">
        <w:t xml:space="preserve"> </w:t>
      </w:r>
      <w:proofErr w:type="spellStart"/>
      <w:r w:rsidRPr="009E0754">
        <w:t>reflection</w:t>
      </w:r>
      <w:proofErr w:type="spellEnd"/>
      <w:r w:rsidRPr="009E0754">
        <w:t xml:space="preserve"> </w:t>
      </w:r>
      <w:proofErr w:type="spellStart"/>
      <w:r w:rsidRPr="009E0754">
        <w:t>and</w:t>
      </w:r>
      <w:proofErr w:type="spellEnd"/>
      <w:r w:rsidRPr="009E0754">
        <w:t xml:space="preserve"> moral </w:t>
      </w:r>
      <w:proofErr w:type="spellStart"/>
      <w:r w:rsidRPr="009E0754">
        <w:t>instruction</w:t>
      </w:r>
      <w:proofErr w:type="spellEnd"/>
      <w:r w:rsidRPr="009E0754">
        <w:t xml:space="preserve">. </w:t>
      </w:r>
      <w:proofErr w:type="spellStart"/>
      <w:r w:rsidRPr="009E0754">
        <w:t>By</w:t>
      </w:r>
      <w:proofErr w:type="spellEnd"/>
      <w:r w:rsidRPr="009E0754">
        <w:t xml:space="preserve"> </w:t>
      </w:r>
      <w:proofErr w:type="spellStart"/>
      <w:r w:rsidRPr="009E0754">
        <w:t>weaving</w:t>
      </w:r>
      <w:proofErr w:type="spellEnd"/>
      <w:r w:rsidRPr="009E0754">
        <w:t xml:space="preserve"> </w:t>
      </w:r>
      <w:proofErr w:type="spellStart"/>
      <w:r w:rsidRPr="009E0754">
        <w:t>emotional</w:t>
      </w:r>
      <w:proofErr w:type="spellEnd"/>
      <w:r w:rsidRPr="009E0754">
        <w:t xml:space="preserve"> </w:t>
      </w:r>
      <w:proofErr w:type="spellStart"/>
      <w:r w:rsidRPr="009E0754">
        <w:t>depth</w:t>
      </w:r>
      <w:proofErr w:type="spellEnd"/>
      <w:r w:rsidRPr="009E0754">
        <w:t xml:space="preserve"> </w:t>
      </w:r>
      <w:proofErr w:type="spellStart"/>
      <w:r w:rsidRPr="009E0754">
        <w:t>into</w:t>
      </w:r>
      <w:proofErr w:type="spellEnd"/>
      <w:r w:rsidRPr="009E0754">
        <w:t xml:space="preserve"> </w:t>
      </w:r>
      <w:proofErr w:type="spellStart"/>
      <w:r w:rsidRPr="009E0754">
        <w:t>their</w:t>
      </w:r>
      <w:proofErr w:type="spellEnd"/>
      <w:r w:rsidRPr="009E0754">
        <w:t xml:space="preserve"> </w:t>
      </w:r>
      <w:proofErr w:type="spellStart"/>
      <w:r w:rsidRPr="009E0754">
        <w:t>narratives</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transform</w:t>
      </w:r>
      <w:proofErr w:type="spellEnd"/>
      <w:r w:rsidRPr="009E0754">
        <w:t xml:space="preserve">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into</w:t>
      </w:r>
      <w:proofErr w:type="spellEnd"/>
      <w:r w:rsidRPr="009E0754">
        <w:t xml:space="preserve"> </w:t>
      </w:r>
      <w:proofErr w:type="spellStart"/>
      <w:r w:rsidRPr="009E0754">
        <w:t>vehicles</w:t>
      </w:r>
      <w:proofErr w:type="spellEnd"/>
      <w:r w:rsidRPr="009E0754">
        <w:t xml:space="preserve"> </w:t>
      </w:r>
      <w:proofErr w:type="spellStart"/>
      <w:r w:rsidRPr="009E0754">
        <w:t>for</w:t>
      </w:r>
      <w:proofErr w:type="spellEnd"/>
      <w:r w:rsidRPr="009E0754">
        <w:t xml:space="preserve"> </w:t>
      </w:r>
      <w:proofErr w:type="spellStart"/>
      <w:r w:rsidRPr="009E0754">
        <w:t>exploring</w:t>
      </w:r>
      <w:proofErr w:type="spellEnd"/>
      <w:r w:rsidRPr="009E0754">
        <w:t xml:space="preserve"> </w:t>
      </w:r>
      <w:proofErr w:type="spellStart"/>
      <w:r w:rsidRPr="009E0754">
        <w:t>complex</w:t>
      </w:r>
      <w:proofErr w:type="spellEnd"/>
      <w:r w:rsidRPr="009E0754">
        <w:t xml:space="preserve">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fostering</w:t>
      </w:r>
      <w:proofErr w:type="spellEnd"/>
      <w:r w:rsidRPr="009E0754">
        <w:t xml:space="preserve"> a </w:t>
      </w:r>
      <w:proofErr w:type="spellStart"/>
      <w:r w:rsidRPr="009E0754">
        <w:t>deeper</w:t>
      </w:r>
      <w:proofErr w:type="spellEnd"/>
      <w:r w:rsidRPr="009E0754">
        <w:t xml:space="preserve"> </w:t>
      </w:r>
      <w:proofErr w:type="spellStart"/>
      <w:r w:rsidRPr="009E0754">
        <w:t>understanding</w:t>
      </w:r>
      <w:proofErr w:type="spellEnd"/>
      <w:r w:rsidRPr="009E0754">
        <w:t xml:space="preserve"> of </w:t>
      </w:r>
      <w:proofErr w:type="spellStart"/>
      <w:r w:rsidRPr="009E0754">
        <w:t>the</w:t>
      </w:r>
      <w:proofErr w:type="spellEnd"/>
      <w:r w:rsidRPr="009E0754">
        <w:t xml:space="preserve"> </w:t>
      </w:r>
      <w:proofErr w:type="spellStart"/>
      <w:r w:rsidRPr="009E0754">
        <w:t>human</w:t>
      </w:r>
      <w:proofErr w:type="spellEnd"/>
      <w:r w:rsidRPr="009E0754">
        <w:t xml:space="preserve"> </w:t>
      </w:r>
      <w:proofErr w:type="spellStart"/>
      <w:r w:rsidRPr="009E0754">
        <w:t>condition</w:t>
      </w:r>
      <w:proofErr w:type="spellEnd"/>
      <w:r w:rsidRPr="009E0754">
        <w:t xml:space="preserve">. </w:t>
      </w:r>
      <w:proofErr w:type="spellStart"/>
      <w:r w:rsidRPr="009E0754">
        <w:t>This</w:t>
      </w:r>
      <w:proofErr w:type="spellEnd"/>
      <w:r w:rsidRPr="009E0754">
        <w:t xml:space="preserve"> </w:t>
      </w:r>
      <w:proofErr w:type="spellStart"/>
      <w:r w:rsidRPr="009E0754">
        <w:t>study</w:t>
      </w:r>
      <w:proofErr w:type="spellEnd"/>
      <w:r w:rsidRPr="009E0754">
        <w:t xml:space="preserve"> </w:t>
      </w:r>
      <w:proofErr w:type="spellStart"/>
      <w:r w:rsidRPr="009E0754">
        <w:t>affirms</w:t>
      </w:r>
      <w:proofErr w:type="spellEnd"/>
      <w:r w:rsidRPr="009E0754">
        <w:t xml:space="preserve"> </w:t>
      </w:r>
      <w:proofErr w:type="spellStart"/>
      <w:r w:rsidRPr="009E0754">
        <w:t>the</w:t>
      </w:r>
      <w:proofErr w:type="spellEnd"/>
      <w:r w:rsidRPr="009E0754">
        <w:t xml:space="preserve"> </w:t>
      </w:r>
      <w:proofErr w:type="spellStart"/>
      <w:r w:rsidRPr="009E0754">
        <w:t>critical</w:t>
      </w:r>
      <w:proofErr w:type="spellEnd"/>
      <w:r w:rsidRPr="009E0754">
        <w:t xml:space="preserve"> role of </w:t>
      </w:r>
      <w:proofErr w:type="spellStart"/>
      <w:r w:rsidRPr="009E0754">
        <w:t>emotional</w:t>
      </w:r>
      <w:proofErr w:type="spellEnd"/>
      <w:r w:rsidRPr="009E0754">
        <w:t xml:space="preserve"> </w:t>
      </w:r>
      <w:proofErr w:type="spellStart"/>
      <w:r w:rsidRPr="009E0754">
        <w:t>discourse</w:t>
      </w:r>
      <w:proofErr w:type="spellEnd"/>
      <w:r w:rsidRPr="009E0754">
        <w:t xml:space="preserve"> in </w:t>
      </w:r>
      <w:proofErr w:type="spellStart"/>
      <w:r w:rsidRPr="009E0754">
        <w:t>addressing</w:t>
      </w:r>
      <w:proofErr w:type="spellEnd"/>
      <w:r w:rsidRPr="009E0754">
        <w:t xml:space="preserve"> </w:t>
      </w:r>
      <w:proofErr w:type="spellStart"/>
      <w:r w:rsidRPr="009E0754">
        <w:t>ethical</w:t>
      </w:r>
      <w:proofErr w:type="spellEnd"/>
      <w:r w:rsidRPr="009E0754">
        <w:t xml:space="preserve"> </w:t>
      </w:r>
      <w:proofErr w:type="spellStart"/>
      <w:r w:rsidRPr="009E0754">
        <w:t>dilemmas</w:t>
      </w:r>
      <w:proofErr w:type="spellEnd"/>
      <w:r w:rsidRPr="009E0754">
        <w:t xml:space="preserve"> </w:t>
      </w:r>
      <w:proofErr w:type="spellStart"/>
      <w:r w:rsidRPr="009E0754">
        <w:t>and</w:t>
      </w:r>
      <w:proofErr w:type="spellEnd"/>
      <w:r w:rsidRPr="009E0754">
        <w:t xml:space="preserve"> </w:t>
      </w:r>
      <w:proofErr w:type="spellStart"/>
      <w:r w:rsidRPr="009E0754">
        <w:t>promoting</w:t>
      </w:r>
      <w:proofErr w:type="spellEnd"/>
      <w:r w:rsidRPr="009E0754">
        <w:t xml:space="preserve"> </w:t>
      </w:r>
      <w:proofErr w:type="spellStart"/>
      <w:r w:rsidRPr="009E0754">
        <w:t>social</w:t>
      </w:r>
      <w:proofErr w:type="spellEnd"/>
      <w:r w:rsidRPr="009E0754">
        <w:t xml:space="preserve"> </w:t>
      </w:r>
      <w:proofErr w:type="spellStart"/>
      <w:r w:rsidRPr="009E0754">
        <w:t>awareness</w:t>
      </w:r>
      <w:proofErr w:type="spellEnd"/>
      <w:r w:rsidRPr="009E0754">
        <w:t xml:space="preserve">. </w:t>
      </w:r>
      <w:proofErr w:type="spellStart"/>
      <w:r w:rsidRPr="009E0754">
        <w:t>Furthermore</w:t>
      </w:r>
      <w:proofErr w:type="spellEnd"/>
      <w:r w:rsidRPr="009E0754">
        <w:t xml:space="preserve">, </w:t>
      </w:r>
      <w:proofErr w:type="spellStart"/>
      <w:r w:rsidRPr="009E0754">
        <w:t>the</w:t>
      </w:r>
      <w:proofErr w:type="spellEnd"/>
      <w:r w:rsidRPr="009E0754">
        <w:t xml:space="preserve"> </w:t>
      </w:r>
      <w:proofErr w:type="spellStart"/>
      <w:r w:rsidRPr="009E0754">
        <w:t>comparison</w:t>
      </w:r>
      <w:proofErr w:type="spellEnd"/>
      <w:r w:rsidRPr="009E0754">
        <w:t xml:space="preserve"> </w:t>
      </w:r>
      <w:proofErr w:type="spellStart"/>
      <w:r w:rsidRPr="009E0754">
        <w:t>underscores</w:t>
      </w:r>
      <w:proofErr w:type="spellEnd"/>
      <w:r w:rsidRPr="009E0754">
        <w:t xml:space="preserve"> </w:t>
      </w:r>
      <w:proofErr w:type="spellStart"/>
      <w:r w:rsidRPr="009E0754">
        <w:t>the</w:t>
      </w:r>
      <w:proofErr w:type="spellEnd"/>
      <w:r w:rsidRPr="009E0754">
        <w:t xml:space="preserve"> </w:t>
      </w:r>
      <w:proofErr w:type="spellStart"/>
      <w:r w:rsidRPr="009E0754">
        <w:t>timeless</w:t>
      </w:r>
      <w:proofErr w:type="spellEnd"/>
      <w:r w:rsidRPr="009E0754">
        <w:t xml:space="preserve"> </w:t>
      </w:r>
      <w:proofErr w:type="spellStart"/>
      <w:r w:rsidRPr="009E0754">
        <w:t>relevance</w:t>
      </w:r>
      <w:proofErr w:type="spellEnd"/>
      <w:r w:rsidRPr="009E0754">
        <w:t xml:space="preserve"> of </w:t>
      </w:r>
      <w:proofErr w:type="spellStart"/>
      <w:r w:rsidRPr="009E0754">
        <w:t>the</w:t>
      </w:r>
      <w:proofErr w:type="spellEnd"/>
      <w:r w:rsidRPr="009E0754">
        <w:t xml:space="preserve"> moral </w:t>
      </w:r>
      <w:proofErr w:type="spellStart"/>
      <w:r w:rsidRPr="009E0754">
        <w:t>questions</w:t>
      </w:r>
      <w:proofErr w:type="spellEnd"/>
      <w:r w:rsidRPr="009E0754">
        <w:t xml:space="preserve"> </w:t>
      </w:r>
      <w:proofErr w:type="spellStart"/>
      <w:r w:rsidRPr="009E0754">
        <w:t>posed</w:t>
      </w:r>
      <w:proofErr w:type="spellEnd"/>
      <w:r w:rsidRPr="009E0754">
        <w:t xml:space="preserve"> </w:t>
      </w:r>
      <w:proofErr w:type="spellStart"/>
      <w:r w:rsidRPr="009E0754">
        <w:t>by</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w:t>
      </w:r>
      <w:proofErr w:type="spellEnd"/>
      <w:r w:rsidRPr="009E0754">
        <w:t xml:space="preserve">.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invite</w:t>
      </w:r>
      <w:proofErr w:type="spellEnd"/>
      <w:r w:rsidRPr="009E0754">
        <w:t xml:space="preserve"> </w:t>
      </w:r>
      <w:proofErr w:type="spellStart"/>
      <w:r w:rsidRPr="009E0754">
        <w:t>readers</w:t>
      </w:r>
      <w:proofErr w:type="spellEnd"/>
      <w:r w:rsidRPr="009E0754">
        <w:t xml:space="preserve"> </w:t>
      </w:r>
      <w:proofErr w:type="spellStart"/>
      <w:r w:rsidRPr="009E0754">
        <w:t>to</w:t>
      </w:r>
      <w:proofErr w:type="spellEnd"/>
      <w:r w:rsidRPr="009E0754">
        <w:t xml:space="preserve"> </w:t>
      </w:r>
      <w:proofErr w:type="spellStart"/>
      <w:r w:rsidRPr="009E0754">
        <w:t>reflect</w:t>
      </w:r>
      <w:proofErr w:type="spellEnd"/>
      <w:r w:rsidRPr="009E0754">
        <w:t xml:space="preserve"> on </w:t>
      </w:r>
      <w:proofErr w:type="spellStart"/>
      <w:r w:rsidRPr="009E0754">
        <w:t>the</w:t>
      </w:r>
      <w:proofErr w:type="spellEnd"/>
      <w:r w:rsidRPr="009E0754">
        <w:t xml:space="preserve"> </w:t>
      </w:r>
      <w:proofErr w:type="spellStart"/>
      <w:r w:rsidRPr="009E0754">
        <w:t>nature</w:t>
      </w:r>
      <w:proofErr w:type="spellEnd"/>
      <w:r w:rsidRPr="009E0754">
        <w:t xml:space="preserve"> of </w:t>
      </w:r>
      <w:proofErr w:type="spellStart"/>
      <w:r w:rsidRPr="009E0754">
        <w:t>virtue</w:t>
      </w:r>
      <w:proofErr w:type="spellEnd"/>
      <w:r w:rsidRPr="009E0754">
        <w:t xml:space="preserve">, </w:t>
      </w:r>
      <w:proofErr w:type="spellStart"/>
      <w:r w:rsidRPr="009E0754">
        <w:t>the</w:t>
      </w:r>
      <w:proofErr w:type="spellEnd"/>
      <w:r w:rsidRPr="009E0754">
        <w:t xml:space="preserve"> </w:t>
      </w:r>
      <w:proofErr w:type="spellStart"/>
      <w:r w:rsidRPr="009E0754">
        <w:t>importance</w:t>
      </w:r>
      <w:proofErr w:type="spellEnd"/>
      <w:r w:rsidRPr="009E0754">
        <w:t xml:space="preserve"> of </w:t>
      </w:r>
      <w:proofErr w:type="spellStart"/>
      <w:r w:rsidRPr="009E0754">
        <w:t>empathy</w:t>
      </w:r>
      <w:proofErr w:type="spellEnd"/>
      <w:r w:rsidRPr="009E0754">
        <w:t xml:space="preserve">, </w:t>
      </w:r>
      <w:proofErr w:type="spellStart"/>
      <w:r w:rsidRPr="009E0754">
        <w:t>and</w:t>
      </w:r>
      <w:proofErr w:type="spellEnd"/>
      <w:r w:rsidRPr="009E0754">
        <w:t xml:space="preserve"> </w:t>
      </w:r>
      <w:proofErr w:type="spellStart"/>
      <w:r w:rsidRPr="009E0754">
        <w:t>the</w:t>
      </w:r>
      <w:proofErr w:type="spellEnd"/>
      <w:r w:rsidRPr="009E0754">
        <w:t xml:space="preserve"> </w:t>
      </w:r>
      <w:proofErr w:type="spellStart"/>
      <w:r w:rsidRPr="009E0754">
        <w:t>resilience</w:t>
      </w:r>
      <w:proofErr w:type="spellEnd"/>
      <w:r w:rsidRPr="009E0754">
        <w:t xml:space="preserve"> of </w:t>
      </w:r>
      <w:proofErr w:type="spellStart"/>
      <w:r w:rsidRPr="009E0754">
        <w:t>the</w:t>
      </w:r>
      <w:proofErr w:type="spellEnd"/>
      <w:r w:rsidRPr="009E0754">
        <w:t xml:space="preserve"> </w:t>
      </w:r>
      <w:proofErr w:type="spellStart"/>
      <w:r w:rsidRPr="009E0754">
        <w:t>human</w:t>
      </w:r>
      <w:proofErr w:type="spellEnd"/>
      <w:r w:rsidRPr="009E0754">
        <w:t xml:space="preserve"> spirit [</w:t>
      </w:r>
      <w:proofErr w:type="spellStart"/>
      <w:r w:rsidRPr="009E0754">
        <w:t>Woodman</w:t>
      </w:r>
      <w:proofErr w:type="spellEnd"/>
      <w:r w:rsidRPr="009E0754">
        <w:t xml:space="preserve">, 1990, p. 120]. </w:t>
      </w:r>
      <w:proofErr w:type="spellStart"/>
      <w:r w:rsidRPr="009E0754">
        <w:t>This</w:t>
      </w:r>
      <w:proofErr w:type="spellEnd"/>
      <w:r w:rsidRPr="009E0754">
        <w:t xml:space="preserve"> </w:t>
      </w:r>
      <w:proofErr w:type="spellStart"/>
      <w:r w:rsidRPr="009E0754">
        <w:t>reinforces</w:t>
      </w:r>
      <w:proofErr w:type="spellEnd"/>
      <w:r w:rsidRPr="009E0754">
        <w:t xml:space="preserve"> </w:t>
      </w:r>
      <w:proofErr w:type="spellStart"/>
      <w:r w:rsidRPr="009E0754">
        <w:t>the</w:t>
      </w:r>
      <w:proofErr w:type="spellEnd"/>
      <w:r w:rsidRPr="009E0754">
        <w:t xml:space="preserve"> </w:t>
      </w:r>
      <w:proofErr w:type="spellStart"/>
      <w:r w:rsidRPr="009E0754">
        <w:t>significance</w:t>
      </w:r>
      <w:proofErr w:type="spellEnd"/>
      <w:r w:rsidRPr="009E0754">
        <w:t xml:space="preserve"> of </w:t>
      </w:r>
      <w:proofErr w:type="spellStart"/>
      <w:r w:rsidRPr="009E0754">
        <w:t>emotional</w:t>
      </w:r>
      <w:proofErr w:type="spellEnd"/>
      <w:r w:rsidRPr="009E0754">
        <w:t xml:space="preserve"> </w:t>
      </w:r>
      <w:proofErr w:type="spellStart"/>
      <w:r w:rsidRPr="009E0754">
        <w:t>expression</w:t>
      </w:r>
      <w:proofErr w:type="spellEnd"/>
      <w:r w:rsidRPr="009E0754">
        <w:t xml:space="preserve"> as a </w:t>
      </w:r>
      <w:proofErr w:type="spellStart"/>
      <w:r w:rsidRPr="009E0754">
        <w:t>means</w:t>
      </w:r>
      <w:proofErr w:type="spellEnd"/>
      <w:r w:rsidRPr="009E0754">
        <w:t xml:space="preserve"> of </w:t>
      </w:r>
      <w:proofErr w:type="spellStart"/>
      <w:r w:rsidRPr="009E0754">
        <w:t>addressing</w:t>
      </w:r>
      <w:proofErr w:type="spellEnd"/>
      <w:r w:rsidRPr="009E0754">
        <w:t xml:space="preserve">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Mullan</w:t>
      </w:r>
      <w:proofErr w:type="spellEnd"/>
      <w:r w:rsidRPr="009E0754">
        <w:t>, 1988, p. 140].</w:t>
      </w:r>
    </w:p>
    <w:p w14:paraId="43674DC3" w14:textId="77777777" w:rsidR="00BA67A6" w:rsidRPr="009E0754" w:rsidRDefault="00BA67A6" w:rsidP="00BA67A6">
      <w:pPr>
        <w:jc w:val="both"/>
      </w:pPr>
    </w:p>
    <w:p w14:paraId="22E4C8B5" w14:textId="77777777" w:rsidR="00DA3117" w:rsidRPr="009E0754" w:rsidRDefault="00DA3117" w:rsidP="00BA67A6">
      <w:pPr>
        <w:jc w:val="both"/>
        <w:rPr>
          <w:b/>
          <w:bCs/>
        </w:rPr>
      </w:pPr>
      <w:proofErr w:type="spellStart"/>
      <w:r w:rsidRPr="009E0754">
        <w:rPr>
          <w:b/>
          <w:bCs/>
        </w:rPr>
        <w:t>Conclusion</w:t>
      </w:r>
      <w:proofErr w:type="spellEnd"/>
    </w:p>
    <w:p w14:paraId="3DF48220" w14:textId="77777777" w:rsidR="00DA3117" w:rsidRPr="009E0754" w:rsidRDefault="00DA3117" w:rsidP="00BA67A6">
      <w:pPr>
        <w:jc w:val="both"/>
      </w:pPr>
      <w:proofErr w:type="spellStart"/>
      <w:r w:rsidRPr="009E0754">
        <w:t>In</w:t>
      </w:r>
      <w:proofErr w:type="spellEnd"/>
      <w:r w:rsidRPr="009E0754">
        <w:t xml:space="preserve"> </w:t>
      </w:r>
      <w:proofErr w:type="spellStart"/>
      <w:r w:rsidRPr="009E0754">
        <w:t>summary</w:t>
      </w:r>
      <w:proofErr w:type="spellEnd"/>
      <w:r w:rsidRPr="009E0754">
        <w:t xml:space="preserve">, </w:t>
      </w:r>
      <w:proofErr w:type="spellStart"/>
      <w:r w:rsidRPr="009E0754">
        <w:t>the</w:t>
      </w:r>
      <w:proofErr w:type="spellEnd"/>
      <w:r w:rsidRPr="009E0754">
        <w:t xml:space="preserve"> </w:t>
      </w:r>
      <w:proofErr w:type="spellStart"/>
      <w:r w:rsidRPr="009E0754">
        <w:t>sentimentalist</w:t>
      </w:r>
      <w:proofErr w:type="spellEnd"/>
      <w:r w:rsidRPr="009E0754">
        <w:t xml:space="preserve"> </w:t>
      </w:r>
      <w:proofErr w:type="spellStart"/>
      <w:r w:rsidRPr="009E0754">
        <w:t>prose</w:t>
      </w:r>
      <w:proofErr w:type="spellEnd"/>
      <w:r w:rsidRPr="009E0754">
        <w:t xml:space="preserve"> of Oliver </w:t>
      </w:r>
      <w:proofErr w:type="spellStart"/>
      <w:r w:rsidRPr="009E0754">
        <w:t>Goldsmith</w:t>
      </w:r>
      <w:proofErr w:type="spellEnd"/>
      <w:r w:rsidRPr="009E0754">
        <w:t xml:space="preserve"> </w:t>
      </w:r>
      <w:proofErr w:type="spellStart"/>
      <w:r w:rsidRPr="009E0754">
        <w:t>and</w:t>
      </w:r>
      <w:proofErr w:type="spellEnd"/>
      <w:r w:rsidRPr="009E0754">
        <w:t xml:space="preserve"> Henry </w:t>
      </w:r>
      <w:proofErr w:type="spellStart"/>
      <w:r w:rsidRPr="009E0754">
        <w:t>Mackenzie</w:t>
      </w:r>
      <w:proofErr w:type="spellEnd"/>
      <w:r w:rsidRPr="009E0754">
        <w:t xml:space="preserve"> </w:t>
      </w:r>
      <w:proofErr w:type="spellStart"/>
      <w:r w:rsidRPr="009E0754">
        <w:t>provides</w:t>
      </w:r>
      <w:proofErr w:type="spellEnd"/>
      <w:r w:rsidRPr="009E0754">
        <w:t xml:space="preserve"> a </w:t>
      </w:r>
      <w:proofErr w:type="spellStart"/>
      <w:r w:rsidRPr="009E0754">
        <w:t>profound</w:t>
      </w:r>
      <w:proofErr w:type="spellEnd"/>
      <w:r w:rsidRPr="009E0754">
        <w:t xml:space="preserve"> </w:t>
      </w:r>
      <w:proofErr w:type="spellStart"/>
      <w:r w:rsidRPr="009E0754">
        <w:t>exploration</w:t>
      </w:r>
      <w:proofErr w:type="spellEnd"/>
      <w:r w:rsidRPr="009E0754">
        <w:t xml:space="preserve"> of </w:t>
      </w:r>
      <w:proofErr w:type="spellStart"/>
      <w:r w:rsidRPr="009E0754">
        <w:t>socio</w:t>
      </w:r>
      <w:proofErr w:type="spellEnd"/>
      <w:r w:rsidRPr="009E0754">
        <w:t xml:space="preserve">-moral </w:t>
      </w:r>
      <w:proofErr w:type="spellStart"/>
      <w:r w:rsidRPr="009E0754">
        <w:t>dilemmas</w:t>
      </w:r>
      <w:proofErr w:type="spellEnd"/>
      <w:r w:rsidRPr="009E0754">
        <w:t xml:space="preserve">.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offer</w:t>
      </w:r>
      <w:proofErr w:type="spellEnd"/>
      <w:r w:rsidRPr="009E0754">
        <w:t xml:space="preserve"> a </w:t>
      </w:r>
      <w:proofErr w:type="spellStart"/>
      <w:r w:rsidRPr="009E0754">
        <w:t>nuanced</w:t>
      </w:r>
      <w:proofErr w:type="spellEnd"/>
      <w:r w:rsidRPr="009E0754">
        <w:t xml:space="preserve"> </w:t>
      </w:r>
      <w:proofErr w:type="spellStart"/>
      <w:r w:rsidRPr="009E0754">
        <w:t>portrayal</w:t>
      </w:r>
      <w:proofErr w:type="spellEnd"/>
      <w:r w:rsidRPr="009E0754">
        <w:t xml:space="preserve"> of </w:t>
      </w:r>
      <w:proofErr w:type="spellStart"/>
      <w:r w:rsidRPr="009E0754">
        <w:t>ethical</w:t>
      </w:r>
      <w:proofErr w:type="spellEnd"/>
      <w:r w:rsidRPr="009E0754">
        <w:t xml:space="preserve"> </w:t>
      </w:r>
      <w:proofErr w:type="spellStart"/>
      <w:r w:rsidRPr="009E0754">
        <w:t>dilemmas</w:t>
      </w:r>
      <w:proofErr w:type="spellEnd"/>
      <w:r w:rsidRPr="009E0754">
        <w:t xml:space="preserve">, </w:t>
      </w:r>
      <w:proofErr w:type="spellStart"/>
      <w:r w:rsidRPr="009E0754">
        <w:t>using</w:t>
      </w:r>
      <w:proofErr w:type="spellEnd"/>
      <w:r w:rsidRPr="009E0754">
        <w:t xml:space="preserve"> </w:t>
      </w:r>
      <w:proofErr w:type="spellStart"/>
      <w:r w:rsidRPr="009E0754">
        <w:t>emotional</w:t>
      </w:r>
      <w:proofErr w:type="spellEnd"/>
      <w:r w:rsidRPr="009E0754">
        <w:t xml:space="preserve"> </w:t>
      </w:r>
      <w:proofErr w:type="spellStart"/>
      <w:r w:rsidRPr="009E0754">
        <w:t>discourse</w:t>
      </w:r>
      <w:proofErr w:type="spellEnd"/>
      <w:r w:rsidRPr="009E0754">
        <w:t xml:space="preserve"> </w:t>
      </w:r>
      <w:proofErr w:type="spellStart"/>
      <w:r w:rsidRPr="009E0754">
        <w:t>to</w:t>
      </w:r>
      <w:proofErr w:type="spellEnd"/>
      <w:r w:rsidRPr="009E0754">
        <w:t xml:space="preserve"> </w:t>
      </w:r>
      <w:proofErr w:type="spellStart"/>
      <w:r w:rsidRPr="009E0754">
        <w:t>engage</w:t>
      </w:r>
      <w:proofErr w:type="spellEnd"/>
      <w:r w:rsidRPr="009E0754">
        <w:t xml:space="preserve"> </w:t>
      </w:r>
      <w:proofErr w:type="spellStart"/>
      <w:r w:rsidRPr="009E0754">
        <w:t>readers</w:t>
      </w:r>
      <w:proofErr w:type="spellEnd"/>
      <w:r w:rsidRPr="009E0754">
        <w:t xml:space="preserve"> in </w:t>
      </w:r>
      <w:proofErr w:type="spellStart"/>
      <w:r w:rsidRPr="009E0754">
        <w:t>deeper</w:t>
      </w:r>
      <w:proofErr w:type="spellEnd"/>
      <w:r w:rsidRPr="009E0754">
        <w:t xml:space="preserve"> moral </w:t>
      </w:r>
      <w:proofErr w:type="spellStart"/>
      <w:r w:rsidRPr="009E0754">
        <w:t>reflection</w:t>
      </w:r>
      <w:proofErr w:type="spellEnd"/>
      <w:r w:rsidRPr="009E0754">
        <w:t xml:space="preserve"> [</w:t>
      </w:r>
      <w:proofErr w:type="spellStart"/>
      <w:r w:rsidRPr="009E0754">
        <w:t>Todd</w:t>
      </w:r>
      <w:proofErr w:type="spellEnd"/>
      <w:r w:rsidRPr="009E0754">
        <w:t xml:space="preserve">, 1986, p. 145]. </w:t>
      </w:r>
      <w:proofErr w:type="spellStart"/>
      <w:r w:rsidRPr="009E0754">
        <w:t>The</w:t>
      </w:r>
      <w:proofErr w:type="spellEnd"/>
      <w:r w:rsidRPr="009E0754">
        <w:t xml:space="preserve"> </w:t>
      </w:r>
      <w:proofErr w:type="spellStart"/>
      <w:r w:rsidRPr="009E0754">
        <w:t>comparative</w:t>
      </w:r>
      <w:proofErr w:type="spellEnd"/>
      <w:r w:rsidRPr="009E0754">
        <w:t xml:space="preserve"> </w:t>
      </w:r>
      <w:proofErr w:type="spellStart"/>
      <w:r w:rsidRPr="009E0754">
        <w:t>analysis</w:t>
      </w:r>
      <w:proofErr w:type="spellEnd"/>
      <w:r w:rsidRPr="009E0754">
        <w:t xml:space="preserve"> </w:t>
      </w:r>
      <w:proofErr w:type="spellStart"/>
      <w:r w:rsidRPr="009E0754">
        <w:t>highlights</w:t>
      </w:r>
      <w:proofErr w:type="spellEnd"/>
      <w:r w:rsidRPr="009E0754">
        <w:t xml:space="preserve"> </w:t>
      </w:r>
      <w:proofErr w:type="spellStart"/>
      <w:r w:rsidRPr="009E0754">
        <w:t>both</w:t>
      </w:r>
      <w:proofErr w:type="spellEnd"/>
      <w:r w:rsidRPr="009E0754">
        <w:t xml:space="preserve"> </w:t>
      </w:r>
      <w:proofErr w:type="spellStart"/>
      <w:r w:rsidRPr="009E0754">
        <w:t>the</w:t>
      </w:r>
      <w:proofErr w:type="spellEnd"/>
      <w:r w:rsidRPr="009E0754">
        <w:t xml:space="preserve"> </w:t>
      </w:r>
      <w:proofErr w:type="spellStart"/>
      <w:r w:rsidRPr="009E0754">
        <w:t>shared</w:t>
      </w:r>
      <w:proofErr w:type="spellEnd"/>
      <w:r w:rsidRPr="009E0754">
        <w:t xml:space="preserve"> </w:t>
      </w:r>
      <w:proofErr w:type="spellStart"/>
      <w:r w:rsidRPr="009E0754">
        <w:t>concerns</w:t>
      </w:r>
      <w:proofErr w:type="spellEnd"/>
      <w:r w:rsidRPr="009E0754">
        <w:t xml:space="preserve"> </w:t>
      </w:r>
      <w:proofErr w:type="spellStart"/>
      <w:r w:rsidRPr="009E0754">
        <w:t>and</w:t>
      </w:r>
      <w:proofErr w:type="spellEnd"/>
      <w:r w:rsidRPr="009E0754">
        <w:t xml:space="preserve"> </w:t>
      </w:r>
      <w:proofErr w:type="spellStart"/>
      <w:r w:rsidRPr="009E0754">
        <w:t>unique</w:t>
      </w:r>
      <w:proofErr w:type="spellEnd"/>
      <w:r w:rsidRPr="009E0754">
        <w:t xml:space="preserve"> </w:t>
      </w:r>
      <w:proofErr w:type="spellStart"/>
      <w:r w:rsidRPr="009E0754">
        <w:t>approaches</w:t>
      </w:r>
      <w:proofErr w:type="spellEnd"/>
      <w:r w:rsidRPr="009E0754">
        <w:t xml:space="preserve"> of </w:t>
      </w:r>
      <w:proofErr w:type="spellStart"/>
      <w:r w:rsidRPr="009E0754">
        <w:t>these</w:t>
      </w:r>
      <w:proofErr w:type="spellEnd"/>
      <w:r w:rsidRPr="009E0754">
        <w:t xml:space="preserve"> </w:t>
      </w:r>
      <w:proofErr w:type="spellStart"/>
      <w:r w:rsidRPr="009E0754">
        <w:t>authors</w:t>
      </w:r>
      <w:proofErr w:type="spellEnd"/>
      <w:r w:rsidRPr="009E0754">
        <w:t xml:space="preserve"> [</w:t>
      </w:r>
      <w:proofErr w:type="spellStart"/>
      <w:r w:rsidRPr="009E0754">
        <w:t>Backscheider</w:t>
      </w:r>
      <w:proofErr w:type="spellEnd"/>
      <w:r w:rsidRPr="009E0754">
        <w:t xml:space="preserve">, 2008, p. 220]. </w:t>
      </w:r>
      <w:proofErr w:type="spellStart"/>
      <w:r w:rsidRPr="009E0754">
        <w:t>Goldsmith’s</w:t>
      </w:r>
      <w:proofErr w:type="spellEnd"/>
      <w:r w:rsidRPr="009E0754">
        <w:t xml:space="preserve"> </w:t>
      </w:r>
      <w:proofErr w:type="spellStart"/>
      <w:r w:rsidRPr="009E0754">
        <w:t>emphasis</w:t>
      </w:r>
      <w:proofErr w:type="spellEnd"/>
      <w:r w:rsidRPr="009E0754">
        <w:t xml:space="preserve"> on satire </w:t>
      </w:r>
      <w:proofErr w:type="spellStart"/>
      <w:r w:rsidRPr="009E0754">
        <w:t>and</w:t>
      </w:r>
      <w:proofErr w:type="spellEnd"/>
      <w:r w:rsidRPr="009E0754">
        <w:t xml:space="preserve"> </w:t>
      </w:r>
      <w:proofErr w:type="spellStart"/>
      <w:r w:rsidRPr="009E0754">
        <w:t>resilience</w:t>
      </w:r>
      <w:proofErr w:type="spellEnd"/>
      <w:r w:rsidRPr="009E0754">
        <w:t xml:space="preserve"> </w:t>
      </w:r>
      <w:proofErr w:type="spellStart"/>
      <w:r w:rsidRPr="009E0754">
        <w:t>contrasts</w:t>
      </w:r>
      <w:proofErr w:type="spellEnd"/>
      <w:r w:rsidRPr="009E0754">
        <w:t xml:space="preserve"> </w:t>
      </w:r>
      <w:proofErr w:type="spellStart"/>
      <w:r w:rsidRPr="009E0754">
        <w:t>with</w:t>
      </w:r>
      <w:proofErr w:type="spellEnd"/>
      <w:r w:rsidRPr="009E0754">
        <w:t xml:space="preserve"> </w:t>
      </w:r>
      <w:proofErr w:type="spellStart"/>
      <w:r w:rsidRPr="009E0754">
        <w:t>Mackenzie’s</w:t>
      </w:r>
      <w:proofErr w:type="spellEnd"/>
      <w:r w:rsidRPr="009E0754">
        <w:t xml:space="preserve"> </w:t>
      </w:r>
      <w:proofErr w:type="spellStart"/>
      <w:r w:rsidRPr="009E0754">
        <w:t>melancholic</w:t>
      </w:r>
      <w:proofErr w:type="spellEnd"/>
      <w:r w:rsidRPr="009E0754">
        <w:t xml:space="preserve"> </w:t>
      </w:r>
      <w:proofErr w:type="spellStart"/>
      <w:r w:rsidRPr="009E0754">
        <w:t>tone</w:t>
      </w:r>
      <w:proofErr w:type="spellEnd"/>
      <w:r w:rsidRPr="009E0754">
        <w:t xml:space="preserve"> </w:t>
      </w:r>
      <w:proofErr w:type="spellStart"/>
      <w:r w:rsidRPr="009E0754">
        <w:t>and</w:t>
      </w:r>
      <w:proofErr w:type="spellEnd"/>
      <w:r w:rsidRPr="009E0754">
        <w:t xml:space="preserve"> </w:t>
      </w:r>
      <w:proofErr w:type="spellStart"/>
      <w:r w:rsidRPr="009E0754">
        <w:t>focus</w:t>
      </w:r>
      <w:proofErr w:type="spellEnd"/>
      <w:r w:rsidRPr="009E0754">
        <w:t xml:space="preserve"> on </w:t>
      </w:r>
      <w:proofErr w:type="spellStart"/>
      <w:r w:rsidRPr="009E0754">
        <w:t>vulnerability</w:t>
      </w:r>
      <w:proofErr w:type="spellEnd"/>
      <w:r w:rsidRPr="009E0754">
        <w:t xml:space="preserve">. </w:t>
      </w:r>
      <w:proofErr w:type="spellStart"/>
      <w:r w:rsidRPr="009E0754">
        <w:t>Together</w:t>
      </w:r>
      <w:proofErr w:type="spellEnd"/>
      <w:r w:rsidRPr="009E0754">
        <w:t xml:space="preserve">,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offer</w:t>
      </w:r>
      <w:proofErr w:type="spellEnd"/>
      <w:r w:rsidRPr="009E0754">
        <w:t xml:space="preserve"> a </w:t>
      </w:r>
      <w:proofErr w:type="spellStart"/>
      <w:r w:rsidRPr="009E0754">
        <w:t>comprehensive</w:t>
      </w:r>
      <w:proofErr w:type="spellEnd"/>
      <w:r w:rsidRPr="009E0754">
        <w:t xml:space="preserve"> </w:t>
      </w:r>
      <w:proofErr w:type="spellStart"/>
      <w:r w:rsidRPr="009E0754">
        <w:t>view</w:t>
      </w:r>
      <w:proofErr w:type="spellEnd"/>
      <w:r w:rsidRPr="009E0754">
        <w:t xml:space="preserve"> of </w:t>
      </w:r>
      <w:proofErr w:type="spellStart"/>
      <w:r w:rsidRPr="009E0754">
        <w:t>the</w:t>
      </w:r>
      <w:proofErr w:type="spellEnd"/>
      <w:r w:rsidRPr="009E0754">
        <w:t xml:space="preserve"> </w:t>
      </w:r>
      <w:proofErr w:type="spellStart"/>
      <w:r w:rsidRPr="009E0754">
        <w:t>socio</w:t>
      </w:r>
      <w:proofErr w:type="spellEnd"/>
      <w:r w:rsidRPr="009E0754">
        <w:t xml:space="preserve">-moral </w:t>
      </w:r>
      <w:proofErr w:type="spellStart"/>
      <w:r w:rsidRPr="009E0754">
        <w:t>issues</w:t>
      </w:r>
      <w:proofErr w:type="spellEnd"/>
      <w:r w:rsidRPr="009E0754">
        <w:t xml:space="preserve"> </w:t>
      </w:r>
      <w:proofErr w:type="spellStart"/>
      <w:r w:rsidRPr="009E0754">
        <w:t>that</w:t>
      </w:r>
      <w:proofErr w:type="spellEnd"/>
      <w:r w:rsidRPr="009E0754">
        <w:t xml:space="preserve"> </w:t>
      </w:r>
      <w:proofErr w:type="spellStart"/>
      <w:r w:rsidRPr="009E0754">
        <w:t>shaped</w:t>
      </w:r>
      <w:proofErr w:type="spellEnd"/>
      <w:r w:rsidRPr="009E0754">
        <w:t xml:space="preserve"> 18th-century British </w:t>
      </w:r>
      <w:proofErr w:type="spellStart"/>
      <w:r w:rsidRPr="009E0754">
        <w:t>society</w:t>
      </w:r>
      <w:proofErr w:type="spellEnd"/>
      <w:r w:rsidRPr="009E0754">
        <w:t>.</w:t>
      </w:r>
    </w:p>
    <w:p w14:paraId="364CCB5A" w14:textId="77777777" w:rsidR="00114C6B" w:rsidRDefault="00DA3117" w:rsidP="00BA67A6">
      <w:pPr>
        <w:jc w:val="both"/>
      </w:pPr>
      <w:proofErr w:type="spellStart"/>
      <w:r w:rsidRPr="009E0754">
        <w:t>The</w:t>
      </w:r>
      <w:proofErr w:type="spellEnd"/>
      <w:r w:rsidRPr="009E0754">
        <w:t xml:space="preserve"> </w:t>
      </w:r>
      <w:proofErr w:type="spellStart"/>
      <w:r w:rsidRPr="009E0754">
        <w:t>study</w:t>
      </w:r>
      <w:proofErr w:type="spellEnd"/>
      <w:r w:rsidRPr="009E0754">
        <w:t xml:space="preserve"> </w:t>
      </w:r>
      <w:proofErr w:type="spellStart"/>
      <w:r w:rsidRPr="009E0754">
        <w:t>emphasizes</w:t>
      </w:r>
      <w:proofErr w:type="spellEnd"/>
      <w:r w:rsidRPr="009E0754">
        <w:t xml:space="preserve"> </w:t>
      </w:r>
      <w:proofErr w:type="spellStart"/>
      <w:r w:rsidRPr="009E0754">
        <w:t>the</w:t>
      </w:r>
      <w:proofErr w:type="spellEnd"/>
      <w:r w:rsidRPr="009E0754">
        <w:t xml:space="preserve"> </w:t>
      </w:r>
      <w:proofErr w:type="spellStart"/>
      <w:r w:rsidRPr="009E0754">
        <w:t>relevance</w:t>
      </w:r>
      <w:proofErr w:type="spellEnd"/>
      <w:r w:rsidRPr="009E0754">
        <w:t xml:space="preserve"> of </w:t>
      </w:r>
      <w:proofErr w:type="spellStart"/>
      <w:r w:rsidRPr="009E0754">
        <w:t>sentimentalist</w:t>
      </w:r>
      <w:proofErr w:type="spellEnd"/>
      <w:r w:rsidRPr="009E0754">
        <w:t xml:space="preserve"> </w:t>
      </w:r>
      <w:proofErr w:type="spellStart"/>
      <w:r w:rsidRPr="009E0754">
        <w:t>literature</w:t>
      </w:r>
      <w:proofErr w:type="spellEnd"/>
      <w:r w:rsidRPr="009E0754">
        <w:t xml:space="preserve"> in </w:t>
      </w:r>
      <w:proofErr w:type="spellStart"/>
      <w:r w:rsidRPr="009E0754">
        <w:t>contemporary</w:t>
      </w:r>
      <w:proofErr w:type="spellEnd"/>
      <w:r w:rsidRPr="009E0754">
        <w:t xml:space="preserve"> </w:t>
      </w:r>
      <w:proofErr w:type="spellStart"/>
      <w:r w:rsidRPr="009E0754">
        <w:t>discussions</w:t>
      </w:r>
      <w:proofErr w:type="spellEnd"/>
      <w:r w:rsidRPr="009E0754">
        <w:t xml:space="preserve"> of </w:t>
      </w:r>
      <w:proofErr w:type="spellStart"/>
      <w:r w:rsidRPr="009E0754">
        <w:t>morality</w:t>
      </w:r>
      <w:proofErr w:type="spellEnd"/>
      <w:r w:rsidRPr="009E0754">
        <w:t xml:space="preserve"> </w:t>
      </w:r>
      <w:proofErr w:type="spellStart"/>
      <w:r w:rsidRPr="009E0754">
        <w:t>and</w:t>
      </w:r>
      <w:proofErr w:type="spellEnd"/>
      <w:r w:rsidRPr="009E0754">
        <w:t xml:space="preserve"> </w:t>
      </w:r>
      <w:proofErr w:type="spellStart"/>
      <w:r w:rsidRPr="009E0754">
        <w:t>empathy</w:t>
      </w:r>
      <w:proofErr w:type="spellEnd"/>
      <w:r w:rsidRPr="009E0754">
        <w:t xml:space="preserve">. </w:t>
      </w:r>
      <w:proofErr w:type="spellStart"/>
      <w:r w:rsidRPr="009E0754">
        <w:t>Goldsmith</w:t>
      </w:r>
      <w:proofErr w:type="spellEnd"/>
      <w:r w:rsidRPr="009E0754">
        <w:t xml:space="preserve"> </w:t>
      </w:r>
      <w:proofErr w:type="spellStart"/>
      <w:r w:rsidRPr="009E0754">
        <w:t>and</w:t>
      </w:r>
      <w:proofErr w:type="spellEnd"/>
      <w:r w:rsidRPr="009E0754">
        <w:t xml:space="preserve"> </w:t>
      </w:r>
      <w:proofErr w:type="spellStart"/>
      <w:r w:rsidRPr="009E0754">
        <w:t>Mackenzie’s</w:t>
      </w:r>
      <w:proofErr w:type="spellEnd"/>
      <w:r w:rsidRPr="009E0754">
        <w:t xml:space="preserve"> </w:t>
      </w:r>
      <w:proofErr w:type="spellStart"/>
      <w:r w:rsidRPr="009E0754">
        <w:t>stories</w:t>
      </w:r>
      <w:proofErr w:type="spellEnd"/>
      <w:r w:rsidRPr="009E0754">
        <w:t xml:space="preserve"> </w:t>
      </w:r>
      <w:proofErr w:type="spellStart"/>
      <w:r w:rsidRPr="009E0754">
        <w:t>continue</w:t>
      </w:r>
      <w:proofErr w:type="spellEnd"/>
      <w:r w:rsidRPr="009E0754">
        <w:t xml:space="preserve"> </w:t>
      </w:r>
      <w:proofErr w:type="spellStart"/>
      <w:r w:rsidRPr="009E0754">
        <w:t>to</w:t>
      </w:r>
      <w:proofErr w:type="spellEnd"/>
      <w:r w:rsidRPr="009E0754">
        <w:t xml:space="preserve"> </w:t>
      </w:r>
      <w:proofErr w:type="spellStart"/>
      <w:r w:rsidRPr="009E0754">
        <w:t>resonate</w:t>
      </w:r>
      <w:proofErr w:type="spellEnd"/>
      <w:r w:rsidRPr="009E0754">
        <w:t xml:space="preserve"> </w:t>
      </w:r>
      <w:proofErr w:type="spellStart"/>
      <w:r w:rsidRPr="009E0754">
        <w:t>with</w:t>
      </w:r>
      <w:proofErr w:type="spellEnd"/>
      <w:r w:rsidRPr="009E0754">
        <w:t xml:space="preserve"> modern </w:t>
      </w:r>
      <w:proofErr w:type="spellStart"/>
      <w:r w:rsidRPr="009E0754">
        <w:t>readers</w:t>
      </w:r>
      <w:proofErr w:type="spellEnd"/>
      <w:r w:rsidRPr="009E0754">
        <w:t xml:space="preserve">, </w:t>
      </w:r>
      <w:proofErr w:type="spellStart"/>
      <w:r w:rsidRPr="009E0754">
        <w:t>inspiring</w:t>
      </w:r>
      <w:proofErr w:type="spellEnd"/>
      <w:r w:rsidRPr="009E0754">
        <w:t xml:space="preserve"> </w:t>
      </w:r>
      <w:proofErr w:type="spellStart"/>
      <w:r w:rsidRPr="009E0754">
        <w:t>reflection</w:t>
      </w:r>
      <w:proofErr w:type="spellEnd"/>
      <w:r w:rsidRPr="009E0754">
        <w:t xml:space="preserve"> on </w:t>
      </w:r>
      <w:proofErr w:type="spellStart"/>
      <w:r w:rsidRPr="009E0754">
        <w:t>human</w:t>
      </w:r>
      <w:proofErr w:type="spellEnd"/>
      <w:r w:rsidRPr="009E0754">
        <w:t xml:space="preserve"> </w:t>
      </w:r>
      <w:proofErr w:type="spellStart"/>
      <w:r w:rsidRPr="009E0754">
        <w:t>nature</w:t>
      </w:r>
      <w:proofErr w:type="spellEnd"/>
      <w:r w:rsidRPr="009E0754">
        <w:t xml:space="preserve"> </w:t>
      </w:r>
      <w:proofErr w:type="spellStart"/>
      <w:r w:rsidRPr="009E0754">
        <w:t>and</w:t>
      </w:r>
      <w:proofErr w:type="spellEnd"/>
      <w:r w:rsidRPr="009E0754">
        <w:t xml:space="preserve"> </w:t>
      </w:r>
      <w:proofErr w:type="spellStart"/>
      <w:r w:rsidRPr="009E0754">
        <w:t>virtue</w:t>
      </w:r>
      <w:proofErr w:type="spellEnd"/>
      <w:r w:rsidRPr="009E0754">
        <w:t xml:space="preserve">. </w:t>
      </w:r>
      <w:proofErr w:type="spellStart"/>
      <w:r w:rsidRPr="009E0754">
        <w:t>This</w:t>
      </w:r>
      <w:proofErr w:type="spellEnd"/>
      <w:r w:rsidRPr="009E0754">
        <w:t xml:space="preserve"> </w:t>
      </w:r>
      <w:proofErr w:type="spellStart"/>
      <w:r w:rsidRPr="009E0754">
        <w:t>article</w:t>
      </w:r>
      <w:proofErr w:type="spellEnd"/>
      <w:r w:rsidRPr="009E0754">
        <w:t xml:space="preserve"> </w:t>
      </w:r>
      <w:proofErr w:type="spellStart"/>
      <w:r w:rsidRPr="009E0754">
        <w:t>contributes</w:t>
      </w:r>
      <w:proofErr w:type="spellEnd"/>
      <w:r w:rsidRPr="009E0754">
        <w:t xml:space="preserve"> </w:t>
      </w:r>
      <w:proofErr w:type="spellStart"/>
      <w:r w:rsidRPr="009E0754">
        <w:t>to</w:t>
      </w:r>
      <w:proofErr w:type="spellEnd"/>
      <w:r w:rsidRPr="009E0754">
        <w:t xml:space="preserve"> </w:t>
      </w:r>
      <w:proofErr w:type="spellStart"/>
      <w:r w:rsidRPr="009E0754">
        <w:t>the</w:t>
      </w:r>
      <w:proofErr w:type="spellEnd"/>
      <w:r w:rsidRPr="009E0754">
        <w:t xml:space="preserve"> </w:t>
      </w:r>
      <w:proofErr w:type="spellStart"/>
      <w:r w:rsidRPr="009E0754">
        <w:t>growing</w:t>
      </w:r>
      <w:proofErr w:type="spellEnd"/>
      <w:r w:rsidRPr="009E0754">
        <w:t xml:space="preserve"> </w:t>
      </w:r>
      <w:proofErr w:type="spellStart"/>
      <w:r w:rsidRPr="009E0754">
        <w:t>scholarly</w:t>
      </w:r>
      <w:proofErr w:type="spellEnd"/>
      <w:r w:rsidRPr="009E0754">
        <w:t xml:space="preserve"> </w:t>
      </w:r>
      <w:proofErr w:type="spellStart"/>
      <w:r w:rsidRPr="009E0754">
        <w:t>interest</w:t>
      </w:r>
      <w:proofErr w:type="spellEnd"/>
      <w:r w:rsidRPr="009E0754">
        <w:t xml:space="preserve"> in </w:t>
      </w:r>
      <w:proofErr w:type="spellStart"/>
      <w:r w:rsidRPr="009E0754">
        <w:t>sentimentalist</w:t>
      </w:r>
      <w:proofErr w:type="spellEnd"/>
      <w:r w:rsidRPr="009E0754">
        <w:t xml:space="preserve"> </w:t>
      </w:r>
      <w:proofErr w:type="spellStart"/>
      <w:r w:rsidRPr="009E0754">
        <w:t>literature</w:t>
      </w:r>
      <w:proofErr w:type="spellEnd"/>
      <w:r w:rsidRPr="009E0754">
        <w:t xml:space="preserve"> </w:t>
      </w:r>
      <w:proofErr w:type="spellStart"/>
      <w:r w:rsidRPr="009E0754">
        <w:t>and</w:t>
      </w:r>
      <w:proofErr w:type="spellEnd"/>
      <w:r w:rsidRPr="009E0754">
        <w:t xml:space="preserve"> </w:t>
      </w:r>
      <w:proofErr w:type="spellStart"/>
      <w:r w:rsidRPr="009E0754">
        <w:t>its</w:t>
      </w:r>
      <w:proofErr w:type="spellEnd"/>
      <w:r w:rsidRPr="009E0754">
        <w:t xml:space="preserve"> role in </w:t>
      </w:r>
      <w:proofErr w:type="spellStart"/>
      <w:r w:rsidRPr="009E0754">
        <w:t>shaping</w:t>
      </w:r>
      <w:proofErr w:type="spellEnd"/>
      <w:r w:rsidRPr="009E0754">
        <w:t xml:space="preserve"> moral </w:t>
      </w:r>
      <w:proofErr w:type="spellStart"/>
      <w:r w:rsidRPr="009E0754">
        <w:t>philosophy</w:t>
      </w:r>
      <w:proofErr w:type="spellEnd"/>
      <w:r w:rsidRPr="009E0754">
        <w:t xml:space="preserve"> [</w:t>
      </w:r>
      <w:proofErr w:type="spellStart"/>
      <w:r w:rsidRPr="009E0754">
        <w:t>Barker-</w:t>
      </w:r>
      <w:r w:rsidRPr="009E0754">
        <w:lastRenderedPageBreak/>
        <w:t>Benfield</w:t>
      </w:r>
      <w:proofErr w:type="spellEnd"/>
      <w:r w:rsidRPr="009E0754">
        <w:t xml:space="preserve">, 1992, p. 240]. </w:t>
      </w:r>
      <w:proofErr w:type="spellStart"/>
      <w:r w:rsidRPr="009E0754">
        <w:t>Future</w:t>
      </w:r>
      <w:proofErr w:type="spellEnd"/>
      <w:r w:rsidRPr="009E0754">
        <w:t xml:space="preserve"> </w:t>
      </w:r>
      <w:proofErr w:type="spellStart"/>
      <w:r w:rsidRPr="009E0754">
        <w:t>studies</w:t>
      </w:r>
      <w:proofErr w:type="spellEnd"/>
      <w:r w:rsidRPr="009E0754">
        <w:t xml:space="preserve"> </w:t>
      </w:r>
      <w:proofErr w:type="spellStart"/>
      <w:r w:rsidRPr="009E0754">
        <w:t>could</w:t>
      </w:r>
      <w:proofErr w:type="spellEnd"/>
      <w:r w:rsidRPr="009E0754">
        <w:t xml:space="preserve"> </w:t>
      </w:r>
      <w:proofErr w:type="spellStart"/>
      <w:r w:rsidRPr="009E0754">
        <w:t>investigate</w:t>
      </w:r>
      <w:proofErr w:type="spellEnd"/>
      <w:r w:rsidRPr="009E0754">
        <w:t xml:space="preserve"> how </w:t>
      </w:r>
      <w:proofErr w:type="spellStart"/>
      <w:r w:rsidRPr="009E0754">
        <w:t>their</w:t>
      </w:r>
      <w:proofErr w:type="spellEnd"/>
      <w:r w:rsidRPr="009E0754">
        <w:t xml:space="preserve"> </w:t>
      </w:r>
      <w:proofErr w:type="spellStart"/>
      <w:r w:rsidRPr="009E0754">
        <w:t>works</w:t>
      </w:r>
      <w:proofErr w:type="spellEnd"/>
      <w:r w:rsidRPr="009E0754">
        <w:t xml:space="preserve"> </w:t>
      </w:r>
      <w:proofErr w:type="spellStart"/>
      <w:r w:rsidRPr="009E0754">
        <w:t>influenced</w:t>
      </w:r>
      <w:proofErr w:type="spellEnd"/>
      <w:r w:rsidRPr="009E0754">
        <w:t xml:space="preserve"> </w:t>
      </w:r>
      <w:proofErr w:type="spellStart"/>
      <w:r w:rsidRPr="009E0754">
        <w:t>later</w:t>
      </w:r>
      <w:proofErr w:type="spellEnd"/>
      <w:r w:rsidRPr="009E0754">
        <w:t xml:space="preserve"> </w:t>
      </w:r>
      <w:proofErr w:type="spellStart"/>
      <w:r w:rsidRPr="009E0754">
        <w:t>literary</w:t>
      </w:r>
      <w:proofErr w:type="spellEnd"/>
      <w:r w:rsidRPr="009E0754">
        <w:t xml:space="preserve"> </w:t>
      </w:r>
      <w:proofErr w:type="spellStart"/>
      <w:r w:rsidRPr="009E0754">
        <w:t>movements</w:t>
      </w:r>
      <w:proofErr w:type="spellEnd"/>
      <w:r w:rsidRPr="009E0754">
        <w:t xml:space="preserve"> </w:t>
      </w:r>
      <w:proofErr w:type="spellStart"/>
      <w:r w:rsidRPr="009E0754">
        <w:t>and</w:t>
      </w:r>
      <w:proofErr w:type="spellEnd"/>
      <w:r w:rsidRPr="009E0754">
        <w:t xml:space="preserve"> </w:t>
      </w:r>
      <w:proofErr w:type="spellStart"/>
      <w:r w:rsidRPr="009E0754">
        <w:t>further</w:t>
      </w:r>
      <w:proofErr w:type="spellEnd"/>
      <w:r w:rsidRPr="009E0754">
        <w:t xml:space="preserve"> </w:t>
      </w:r>
      <w:proofErr w:type="spellStart"/>
      <w:r w:rsidRPr="009E0754">
        <w:t>developed</w:t>
      </w:r>
      <w:proofErr w:type="spellEnd"/>
      <w:r w:rsidRPr="009E0754">
        <w:t xml:space="preserve"> </w:t>
      </w:r>
      <w:proofErr w:type="spellStart"/>
      <w:r w:rsidRPr="009E0754">
        <w:t>the</w:t>
      </w:r>
      <w:proofErr w:type="spellEnd"/>
      <w:r w:rsidRPr="009E0754">
        <w:t xml:space="preserve"> </w:t>
      </w:r>
      <w:proofErr w:type="spellStart"/>
      <w:r w:rsidRPr="009E0754">
        <w:t>sentimentalist</w:t>
      </w:r>
      <w:proofErr w:type="spellEnd"/>
      <w:r w:rsidRPr="009E0754">
        <w:t xml:space="preserve"> </w:t>
      </w:r>
      <w:proofErr w:type="spellStart"/>
      <w:r w:rsidRPr="009E0754">
        <w:t>tradition</w:t>
      </w:r>
      <w:proofErr w:type="spellEnd"/>
      <w:r w:rsidRPr="009E0754">
        <w:t>.</w:t>
      </w:r>
    </w:p>
    <w:p w14:paraId="5CBC309D" w14:textId="77777777" w:rsidR="00BA67A6" w:rsidRDefault="00BA67A6" w:rsidP="00BA67A6">
      <w:pPr>
        <w:jc w:val="both"/>
      </w:pPr>
    </w:p>
    <w:p w14:paraId="3316EB24" w14:textId="062E38FC" w:rsidR="00DA3117" w:rsidRPr="00114C6B" w:rsidRDefault="00DA3117" w:rsidP="00BA67A6">
      <w:pPr>
        <w:jc w:val="both"/>
      </w:pPr>
      <w:proofErr w:type="spellStart"/>
      <w:r w:rsidRPr="009E0754">
        <w:rPr>
          <w:b/>
          <w:bCs/>
        </w:rPr>
        <w:t>References</w:t>
      </w:r>
      <w:proofErr w:type="spellEnd"/>
    </w:p>
    <w:p w14:paraId="11478E69"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Goldsmith</w:t>
      </w:r>
      <w:proofErr w:type="spellEnd"/>
      <w:r w:rsidRPr="009E0754">
        <w:t xml:space="preserve">, O. (1766). </w:t>
      </w:r>
      <w:proofErr w:type="spellStart"/>
      <w:r w:rsidRPr="009E0754">
        <w:rPr>
          <w:i/>
          <w:iCs/>
        </w:rPr>
        <w:t>The</w:t>
      </w:r>
      <w:proofErr w:type="spellEnd"/>
      <w:r w:rsidRPr="009E0754">
        <w:rPr>
          <w:i/>
          <w:iCs/>
        </w:rPr>
        <w:t xml:space="preserve"> </w:t>
      </w:r>
      <w:proofErr w:type="spellStart"/>
      <w:r w:rsidRPr="009E0754">
        <w:rPr>
          <w:i/>
          <w:iCs/>
        </w:rPr>
        <w:t>Vicar</w:t>
      </w:r>
      <w:proofErr w:type="spellEnd"/>
      <w:r w:rsidRPr="009E0754">
        <w:rPr>
          <w:i/>
          <w:iCs/>
        </w:rPr>
        <w:t xml:space="preserve"> of </w:t>
      </w:r>
      <w:proofErr w:type="spellStart"/>
      <w:r w:rsidRPr="009E0754">
        <w:rPr>
          <w:i/>
          <w:iCs/>
        </w:rPr>
        <w:t>Wakefield</w:t>
      </w:r>
      <w:proofErr w:type="spellEnd"/>
      <w:r w:rsidRPr="009E0754">
        <w:t xml:space="preserve">. </w:t>
      </w:r>
      <w:proofErr w:type="spellStart"/>
      <w:r w:rsidRPr="009E0754">
        <w:t>London</w:t>
      </w:r>
      <w:proofErr w:type="spellEnd"/>
      <w:r w:rsidRPr="009E0754">
        <w:t>: W. Griffin.</w:t>
      </w:r>
    </w:p>
    <w:p w14:paraId="012F0CD1"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Mackenzie</w:t>
      </w:r>
      <w:proofErr w:type="spellEnd"/>
      <w:r w:rsidRPr="009E0754">
        <w:t xml:space="preserve">, H. (1771). </w:t>
      </w:r>
      <w:proofErr w:type="spellStart"/>
      <w:r w:rsidRPr="009E0754">
        <w:rPr>
          <w:i/>
          <w:iCs/>
        </w:rPr>
        <w:t>The</w:t>
      </w:r>
      <w:proofErr w:type="spellEnd"/>
      <w:r w:rsidRPr="009E0754">
        <w:rPr>
          <w:i/>
          <w:iCs/>
        </w:rPr>
        <w:t xml:space="preserve"> Man of </w:t>
      </w:r>
      <w:proofErr w:type="spellStart"/>
      <w:r w:rsidRPr="009E0754">
        <w:rPr>
          <w:i/>
          <w:iCs/>
        </w:rPr>
        <w:t>Feeling</w:t>
      </w:r>
      <w:proofErr w:type="spellEnd"/>
      <w:r w:rsidRPr="009E0754">
        <w:t xml:space="preserve">. Edinburgh: W. </w:t>
      </w:r>
      <w:proofErr w:type="spellStart"/>
      <w:r w:rsidRPr="009E0754">
        <w:t>Creech</w:t>
      </w:r>
      <w:proofErr w:type="spellEnd"/>
      <w:r w:rsidRPr="009E0754">
        <w:t>.</w:t>
      </w:r>
    </w:p>
    <w:p w14:paraId="050B6A06"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Barker-Benfield</w:t>
      </w:r>
      <w:proofErr w:type="spellEnd"/>
      <w:r w:rsidRPr="009E0754">
        <w:t xml:space="preserve">, G. J. (1992). </w:t>
      </w:r>
      <w:proofErr w:type="spellStart"/>
      <w:r w:rsidRPr="009E0754">
        <w:rPr>
          <w:i/>
          <w:iCs/>
        </w:rPr>
        <w:t>The</w:t>
      </w:r>
      <w:proofErr w:type="spellEnd"/>
      <w:r w:rsidRPr="009E0754">
        <w:rPr>
          <w:i/>
          <w:iCs/>
        </w:rPr>
        <w:t xml:space="preserve"> </w:t>
      </w:r>
      <w:proofErr w:type="spellStart"/>
      <w:r w:rsidRPr="009E0754">
        <w:rPr>
          <w:i/>
          <w:iCs/>
        </w:rPr>
        <w:t>Culture</w:t>
      </w:r>
      <w:proofErr w:type="spellEnd"/>
      <w:r w:rsidRPr="009E0754">
        <w:rPr>
          <w:i/>
          <w:iCs/>
        </w:rPr>
        <w:t xml:space="preserve"> of </w:t>
      </w:r>
      <w:proofErr w:type="spellStart"/>
      <w:r w:rsidRPr="009E0754">
        <w:rPr>
          <w:i/>
          <w:iCs/>
        </w:rPr>
        <w:t>Sensibility</w:t>
      </w:r>
      <w:proofErr w:type="spellEnd"/>
      <w:r w:rsidRPr="009E0754">
        <w:rPr>
          <w:i/>
          <w:iCs/>
        </w:rPr>
        <w:t xml:space="preserve">: </w:t>
      </w:r>
      <w:proofErr w:type="spellStart"/>
      <w:r w:rsidRPr="009E0754">
        <w:rPr>
          <w:i/>
          <w:iCs/>
        </w:rPr>
        <w:t>Sex</w:t>
      </w:r>
      <w:proofErr w:type="spellEnd"/>
      <w:r w:rsidRPr="009E0754">
        <w:rPr>
          <w:i/>
          <w:iCs/>
        </w:rPr>
        <w:t xml:space="preserve"> </w:t>
      </w:r>
      <w:proofErr w:type="spellStart"/>
      <w:r w:rsidRPr="009E0754">
        <w:rPr>
          <w:i/>
          <w:iCs/>
        </w:rPr>
        <w:t>and</w:t>
      </w:r>
      <w:proofErr w:type="spellEnd"/>
      <w:r w:rsidRPr="009E0754">
        <w:rPr>
          <w:i/>
          <w:iCs/>
        </w:rPr>
        <w:t xml:space="preserve"> </w:t>
      </w:r>
      <w:proofErr w:type="spellStart"/>
      <w:r w:rsidRPr="009E0754">
        <w:rPr>
          <w:i/>
          <w:iCs/>
        </w:rPr>
        <w:t>Society</w:t>
      </w:r>
      <w:proofErr w:type="spellEnd"/>
      <w:r w:rsidRPr="009E0754">
        <w:rPr>
          <w:i/>
          <w:iCs/>
        </w:rPr>
        <w:t xml:space="preserve"> in </w:t>
      </w:r>
      <w:proofErr w:type="spellStart"/>
      <w:r w:rsidRPr="009E0754">
        <w:rPr>
          <w:i/>
          <w:iCs/>
        </w:rPr>
        <w:t>Eighteenth</w:t>
      </w:r>
      <w:proofErr w:type="spellEnd"/>
      <w:r w:rsidRPr="009E0754">
        <w:rPr>
          <w:i/>
          <w:iCs/>
        </w:rPr>
        <w:t>-Century Britain</w:t>
      </w:r>
      <w:r w:rsidRPr="009E0754">
        <w:t xml:space="preserve">. Chicago: </w:t>
      </w:r>
      <w:proofErr w:type="spellStart"/>
      <w:r w:rsidRPr="009E0754">
        <w:t>University</w:t>
      </w:r>
      <w:proofErr w:type="spellEnd"/>
      <w:r w:rsidRPr="009E0754">
        <w:t xml:space="preserve"> of Chicago </w:t>
      </w:r>
      <w:proofErr w:type="spellStart"/>
      <w:r w:rsidRPr="009E0754">
        <w:t>Press</w:t>
      </w:r>
      <w:proofErr w:type="spellEnd"/>
      <w:r w:rsidRPr="009E0754">
        <w:t>.</w:t>
      </w:r>
    </w:p>
    <w:p w14:paraId="21EF0F38"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Todd</w:t>
      </w:r>
      <w:proofErr w:type="spellEnd"/>
      <w:r w:rsidRPr="009E0754">
        <w:t xml:space="preserve">, J. (1986). </w:t>
      </w:r>
      <w:proofErr w:type="spellStart"/>
      <w:r w:rsidRPr="009E0754">
        <w:rPr>
          <w:i/>
          <w:iCs/>
        </w:rPr>
        <w:t>Sensibility</w:t>
      </w:r>
      <w:proofErr w:type="spellEnd"/>
      <w:r w:rsidRPr="009E0754">
        <w:rPr>
          <w:i/>
          <w:iCs/>
        </w:rPr>
        <w:t xml:space="preserve">: An </w:t>
      </w:r>
      <w:proofErr w:type="spellStart"/>
      <w:r w:rsidRPr="009E0754">
        <w:rPr>
          <w:i/>
          <w:iCs/>
        </w:rPr>
        <w:t>Introduction</w:t>
      </w:r>
      <w:proofErr w:type="spellEnd"/>
      <w:r w:rsidRPr="009E0754">
        <w:t xml:space="preserve">. </w:t>
      </w:r>
      <w:proofErr w:type="spellStart"/>
      <w:r w:rsidRPr="009E0754">
        <w:t>London</w:t>
      </w:r>
      <w:proofErr w:type="spellEnd"/>
      <w:r w:rsidRPr="009E0754">
        <w:t xml:space="preserve">: </w:t>
      </w:r>
      <w:proofErr w:type="spellStart"/>
      <w:r w:rsidRPr="009E0754">
        <w:t>Methuen</w:t>
      </w:r>
      <w:proofErr w:type="spellEnd"/>
      <w:r w:rsidRPr="009E0754">
        <w:t>.</w:t>
      </w:r>
    </w:p>
    <w:p w14:paraId="6B27AEAC"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Backscheider</w:t>
      </w:r>
      <w:proofErr w:type="spellEnd"/>
      <w:r w:rsidRPr="009E0754">
        <w:t xml:space="preserve">, P. R. (2008). </w:t>
      </w:r>
      <w:proofErr w:type="spellStart"/>
      <w:r w:rsidRPr="009E0754">
        <w:rPr>
          <w:i/>
          <w:iCs/>
        </w:rPr>
        <w:t>Eighteenth</w:t>
      </w:r>
      <w:proofErr w:type="spellEnd"/>
      <w:r w:rsidRPr="009E0754">
        <w:rPr>
          <w:i/>
          <w:iCs/>
        </w:rPr>
        <w:t xml:space="preserve">-Century </w:t>
      </w:r>
      <w:proofErr w:type="spellStart"/>
      <w:r w:rsidRPr="009E0754">
        <w:rPr>
          <w:i/>
          <w:iCs/>
        </w:rPr>
        <w:t>Women’s</w:t>
      </w:r>
      <w:proofErr w:type="spellEnd"/>
      <w:r w:rsidRPr="009E0754">
        <w:rPr>
          <w:i/>
          <w:iCs/>
        </w:rPr>
        <w:t xml:space="preserve"> </w:t>
      </w:r>
      <w:proofErr w:type="spellStart"/>
      <w:r w:rsidRPr="009E0754">
        <w:rPr>
          <w:i/>
          <w:iCs/>
        </w:rPr>
        <w:t>Writing</w:t>
      </w:r>
      <w:proofErr w:type="spellEnd"/>
      <w:r w:rsidRPr="009E0754">
        <w:rPr>
          <w:i/>
          <w:iCs/>
        </w:rPr>
        <w:t xml:space="preserve"> </w:t>
      </w:r>
      <w:proofErr w:type="spellStart"/>
      <w:r w:rsidRPr="009E0754">
        <w:rPr>
          <w:i/>
          <w:iCs/>
        </w:rPr>
        <w:t>and</w:t>
      </w:r>
      <w:proofErr w:type="spellEnd"/>
      <w:r w:rsidRPr="009E0754">
        <w:rPr>
          <w:i/>
          <w:iCs/>
        </w:rPr>
        <w:t xml:space="preserve"> </w:t>
      </w:r>
      <w:proofErr w:type="spellStart"/>
      <w:r w:rsidRPr="009E0754">
        <w:rPr>
          <w:i/>
          <w:iCs/>
        </w:rPr>
        <w:t>the</w:t>
      </w:r>
      <w:proofErr w:type="spellEnd"/>
      <w:r w:rsidRPr="009E0754">
        <w:rPr>
          <w:i/>
          <w:iCs/>
        </w:rPr>
        <w:t xml:space="preserve"> </w:t>
      </w:r>
      <w:proofErr w:type="spellStart"/>
      <w:r w:rsidRPr="009E0754">
        <w:rPr>
          <w:i/>
          <w:iCs/>
        </w:rPr>
        <w:t>Methodist</w:t>
      </w:r>
      <w:proofErr w:type="spellEnd"/>
      <w:r w:rsidRPr="009E0754">
        <w:rPr>
          <w:i/>
          <w:iCs/>
        </w:rPr>
        <w:t xml:space="preserve"> Media </w:t>
      </w:r>
      <w:proofErr w:type="spellStart"/>
      <w:r w:rsidRPr="009E0754">
        <w:rPr>
          <w:i/>
          <w:iCs/>
        </w:rPr>
        <w:t>Revolution</w:t>
      </w:r>
      <w:proofErr w:type="spellEnd"/>
      <w:r w:rsidRPr="009E0754">
        <w:t xml:space="preserve">. Baltimore: Johns Hopkins </w:t>
      </w:r>
      <w:proofErr w:type="spellStart"/>
      <w:r w:rsidRPr="009E0754">
        <w:t>University</w:t>
      </w:r>
      <w:proofErr w:type="spellEnd"/>
      <w:r w:rsidRPr="009E0754">
        <w:t xml:space="preserve"> </w:t>
      </w:r>
      <w:proofErr w:type="spellStart"/>
      <w:r w:rsidRPr="009E0754">
        <w:t>Press</w:t>
      </w:r>
      <w:proofErr w:type="spellEnd"/>
      <w:r w:rsidRPr="009E0754">
        <w:t>.</w:t>
      </w:r>
    </w:p>
    <w:p w14:paraId="6C64DE13"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Mullan</w:t>
      </w:r>
      <w:proofErr w:type="spellEnd"/>
      <w:r w:rsidRPr="009E0754">
        <w:t xml:space="preserve">, J. (1988). </w:t>
      </w:r>
      <w:proofErr w:type="spellStart"/>
      <w:r w:rsidRPr="009E0754">
        <w:rPr>
          <w:i/>
          <w:iCs/>
        </w:rPr>
        <w:t>Sentiment</w:t>
      </w:r>
      <w:proofErr w:type="spellEnd"/>
      <w:r w:rsidRPr="009E0754">
        <w:rPr>
          <w:i/>
          <w:iCs/>
        </w:rPr>
        <w:t xml:space="preserve"> </w:t>
      </w:r>
      <w:proofErr w:type="spellStart"/>
      <w:r w:rsidRPr="009E0754">
        <w:rPr>
          <w:i/>
          <w:iCs/>
        </w:rPr>
        <w:t>and</w:t>
      </w:r>
      <w:proofErr w:type="spellEnd"/>
      <w:r w:rsidRPr="009E0754">
        <w:rPr>
          <w:i/>
          <w:iCs/>
        </w:rPr>
        <w:t xml:space="preserve"> </w:t>
      </w:r>
      <w:proofErr w:type="spellStart"/>
      <w:r w:rsidRPr="009E0754">
        <w:rPr>
          <w:i/>
          <w:iCs/>
        </w:rPr>
        <w:t>Sociability</w:t>
      </w:r>
      <w:proofErr w:type="spellEnd"/>
      <w:r w:rsidRPr="009E0754">
        <w:rPr>
          <w:i/>
          <w:iCs/>
        </w:rPr>
        <w:t xml:space="preserve">: </w:t>
      </w:r>
      <w:proofErr w:type="spellStart"/>
      <w:r w:rsidRPr="009E0754">
        <w:rPr>
          <w:i/>
          <w:iCs/>
        </w:rPr>
        <w:t>The</w:t>
      </w:r>
      <w:proofErr w:type="spellEnd"/>
      <w:r w:rsidRPr="009E0754">
        <w:rPr>
          <w:i/>
          <w:iCs/>
        </w:rPr>
        <w:t xml:space="preserve"> Language of </w:t>
      </w:r>
      <w:proofErr w:type="spellStart"/>
      <w:r w:rsidRPr="009E0754">
        <w:rPr>
          <w:i/>
          <w:iCs/>
        </w:rPr>
        <w:t>Feeling</w:t>
      </w:r>
      <w:proofErr w:type="spellEnd"/>
      <w:r w:rsidRPr="009E0754">
        <w:rPr>
          <w:i/>
          <w:iCs/>
        </w:rPr>
        <w:t xml:space="preserve"> in </w:t>
      </w:r>
      <w:proofErr w:type="spellStart"/>
      <w:r w:rsidRPr="009E0754">
        <w:rPr>
          <w:i/>
          <w:iCs/>
        </w:rPr>
        <w:t>the</w:t>
      </w:r>
      <w:proofErr w:type="spellEnd"/>
      <w:r w:rsidRPr="009E0754">
        <w:rPr>
          <w:i/>
          <w:iCs/>
        </w:rPr>
        <w:t xml:space="preserve"> </w:t>
      </w:r>
      <w:proofErr w:type="spellStart"/>
      <w:r w:rsidRPr="009E0754">
        <w:rPr>
          <w:i/>
          <w:iCs/>
        </w:rPr>
        <w:t>Eighteenth</w:t>
      </w:r>
      <w:proofErr w:type="spellEnd"/>
      <w:r w:rsidRPr="009E0754">
        <w:rPr>
          <w:i/>
          <w:iCs/>
        </w:rPr>
        <w:t xml:space="preserve"> Century</w:t>
      </w:r>
      <w:r w:rsidRPr="009E0754">
        <w:t xml:space="preserve">. Oxford: </w:t>
      </w:r>
      <w:proofErr w:type="spellStart"/>
      <w:r w:rsidRPr="009E0754">
        <w:t>Clarendon</w:t>
      </w:r>
      <w:proofErr w:type="spellEnd"/>
      <w:r w:rsidRPr="009E0754">
        <w:t xml:space="preserve"> </w:t>
      </w:r>
      <w:proofErr w:type="spellStart"/>
      <w:r w:rsidRPr="009E0754">
        <w:t>Press</w:t>
      </w:r>
      <w:proofErr w:type="spellEnd"/>
      <w:r w:rsidRPr="009E0754">
        <w:t>.</w:t>
      </w:r>
    </w:p>
    <w:p w14:paraId="74A88266"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Goring</w:t>
      </w:r>
      <w:proofErr w:type="spellEnd"/>
      <w:r w:rsidRPr="009E0754">
        <w:t xml:space="preserve">, P. (2005). </w:t>
      </w:r>
      <w:proofErr w:type="spellStart"/>
      <w:r w:rsidRPr="009E0754">
        <w:rPr>
          <w:i/>
          <w:iCs/>
        </w:rPr>
        <w:t>The</w:t>
      </w:r>
      <w:proofErr w:type="spellEnd"/>
      <w:r w:rsidRPr="009E0754">
        <w:rPr>
          <w:i/>
          <w:iCs/>
        </w:rPr>
        <w:t xml:space="preserve"> </w:t>
      </w:r>
      <w:proofErr w:type="spellStart"/>
      <w:r w:rsidRPr="009E0754">
        <w:rPr>
          <w:i/>
          <w:iCs/>
        </w:rPr>
        <w:t>Rhetoric</w:t>
      </w:r>
      <w:proofErr w:type="spellEnd"/>
      <w:r w:rsidRPr="009E0754">
        <w:rPr>
          <w:i/>
          <w:iCs/>
        </w:rPr>
        <w:t xml:space="preserve"> of </w:t>
      </w:r>
      <w:proofErr w:type="spellStart"/>
      <w:r w:rsidRPr="009E0754">
        <w:rPr>
          <w:i/>
          <w:iCs/>
        </w:rPr>
        <w:t>Sensibility</w:t>
      </w:r>
      <w:proofErr w:type="spellEnd"/>
      <w:r w:rsidRPr="009E0754">
        <w:rPr>
          <w:i/>
          <w:iCs/>
        </w:rPr>
        <w:t xml:space="preserve"> in </w:t>
      </w:r>
      <w:proofErr w:type="spellStart"/>
      <w:r w:rsidRPr="009E0754">
        <w:rPr>
          <w:i/>
          <w:iCs/>
        </w:rPr>
        <w:t>Eighteenth</w:t>
      </w:r>
      <w:proofErr w:type="spellEnd"/>
      <w:r w:rsidRPr="009E0754">
        <w:rPr>
          <w:i/>
          <w:iCs/>
        </w:rPr>
        <w:t xml:space="preserve">-Century </w:t>
      </w:r>
      <w:proofErr w:type="spellStart"/>
      <w:r w:rsidRPr="009E0754">
        <w:rPr>
          <w:i/>
          <w:iCs/>
        </w:rPr>
        <w:t>Culture</w:t>
      </w:r>
      <w:proofErr w:type="spellEnd"/>
      <w:r w:rsidRPr="009E0754">
        <w:t xml:space="preserve">. Cambridge: Cambridge </w:t>
      </w:r>
      <w:proofErr w:type="spellStart"/>
      <w:r w:rsidRPr="009E0754">
        <w:t>University</w:t>
      </w:r>
      <w:proofErr w:type="spellEnd"/>
      <w:r w:rsidRPr="009E0754">
        <w:t xml:space="preserve"> </w:t>
      </w:r>
      <w:proofErr w:type="spellStart"/>
      <w:r w:rsidRPr="009E0754">
        <w:t>Press</w:t>
      </w:r>
      <w:proofErr w:type="spellEnd"/>
      <w:r w:rsidRPr="009E0754">
        <w:t>.</w:t>
      </w:r>
    </w:p>
    <w:p w14:paraId="7F9F7ADD" w14:textId="77777777" w:rsidR="00DA3117" w:rsidRPr="009E0754" w:rsidRDefault="00DA3117">
      <w:pPr>
        <w:widowControl/>
        <w:numPr>
          <w:ilvl w:val="0"/>
          <w:numId w:val="31"/>
        </w:numPr>
        <w:tabs>
          <w:tab w:val="clear" w:pos="720"/>
        </w:tabs>
        <w:autoSpaceDE/>
        <w:autoSpaceDN/>
        <w:ind w:left="0" w:firstLine="0"/>
        <w:jc w:val="both"/>
      </w:pPr>
      <w:r w:rsidRPr="009E0754">
        <w:t xml:space="preserve">Ferguson, M. (1991). </w:t>
      </w:r>
      <w:proofErr w:type="spellStart"/>
      <w:r w:rsidRPr="009E0754">
        <w:rPr>
          <w:i/>
          <w:iCs/>
        </w:rPr>
        <w:t>Subject</w:t>
      </w:r>
      <w:proofErr w:type="spellEnd"/>
      <w:r w:rsidRPr="009E0754">
        <w:rPr>
          <w:i/>
          <w:iCs/>
        </w:rPr>
        <w:t xml:space="preserve"> </w:t>
      </w:r>
      <w:proofErr w:type="spellStart"/>
      <w:r w:rsidRPr="009E0754">
        <w:rPr>
          <w:i/>
          <w:iCs/>
        </w:rPr>
        <w:t>to</w:t>
      </w:r>
      <w:proofErr w:type="spellEnd"/>
      <w:r w:rsidRPr="009E0754">
        <w:rPr>
          <w:i/>
          <w:iCs/>
        </w:rPr>
        <w:t xml:space="preserve"> </w:t>
      </w:r>
      <w:proofErr w:type="spellStart"/>
      <w:r w:rsidRPr="009E0754">
        <w:rPr>
          <w:i/>
          <w:iCs/>
        </w:rPr>
        <w:t>Others</w:t>
      </w:r>
      <w:proofErr w:type="spellEnd"/>
      <w:r w:rsidRPr="009E0754">
        <w:rPr>
          <w:i/>
          <w:iCs/>
        </w:rPr>
        <w:t xml:space="preserve">: British </w:t>
      </w:r>
      <w:proofErr w:type="spellStart"/>
      <w:r w:rsidRPr="009E0754">
        <w:rPr>
          <w:i/>
          <w:iCs/>
        </w:rPr>
        <w:t>Women</w:t>
      </w:r>
      <w:proofErr w:type="spellEnd"/>
      <w:r w:rsidRPr="009E0754">
        <w:rPr>
          <w:i/>
          <w:iCs/>
        </w:rPr>
        <w:t xml:space="preserve"> </w:t>
      </w:r>
      <w:proofErr w:type="spellStart"/>
      <w:r w:rsidRPr="009E0754">
        <w:rPr>
          <w:i/>
          <w:iCs/>
        </w:rPr>
        <w:t>Writers</w:t>
      </w:r>
      <w:proofErr w:type="spellEnd"/>
      <w:r w:rsidRPr="009E0754">
        <w:rPr>
          <w:i/>
          <w:iCs/>
        </w:rPr>
        <w:t xml:space="preserve"> </w:t>
      </w:r>
      <w:proofErr w:type="spellStart"/>
      <w:r w:rsidRPr="009E0754">
        <w:rPr>
          <w:i/>
          <w:iCs/>
        </w:rPr>
        <w:t>and</w:t>
      </w:r>
      <w:proofErr w:type="spellEnd"/>
      <w:r w:rsidRPr="009E0754">
        <w:rPr>
          <w:i/>
          <w:iCs/>
        </w:rPr>
        <w:t xml:space="preserve"> </w:t>
      </w:r>
      <w:proofErr w:type="spellStart"/>
      <w:r w:rsidRPr="009E0754">
        <w:rPr>
          <w:i/>
          <w:iCs/>
        </w:rPr>
        <w:t>Colonial</w:t>
      </w:r>
      <w:proofErr w:type="spellEnd"/>
      <w:r w:rsidRPr="009E0754">
        <w:rPr>
          <w:i/>
          <w:iCs/>
        </w:rPr>
        <w:t xml:space="preserve"> </w:t>
      </w:r>
      <w:proofErr w:type="spellStart"/>
      <w:r w:rsidRPr="009E0754">
        <w:rPr>
          <w:i/>
          <w:iCs/>
        </w:rPr>
        <w:t>Slavery</w:t>
      </w:r>
      <w:proofErr w:type="spellEnd"/>
      <w:r w:rsidRPr="009E0754">
        <w:rPr>
          <w:i/>
          <w:iCs/>
        </w:rPr>
        <w:t>, 1670–1834</w:t>
      </w:r>
      <w:r w:rsidRPr="009E0754">
        <w:t xml:space="preserve">. New York: </w:t>
      </w:r>
      <w:proofErr w:type="spellStart"/>
      <w:r w:rsidRPr="009E0754">
        <w:t>Routledge</w:t>
      </w:r>
      <w:proofErr w:type="spellEnd"/>
      <w:r w:rsidRPr="009E0754">
        <w:t>.</w:t>
      </w:r>
    </w:p>
    <w:p w14:paraId="24395B36" w14:textId="77777777" w:rsidR="00DA3117" w:rsidRPr="009E0754" w:rsidRDefault="00DA3117">
      <w:pPr>
        <w:widowControl/>
        <w:numPr>
          <w:ilvl w:val="0"/>
          <w:numId w:val="31"/>
        </w:numPr>
        <w:tabs>
          <w:tab w:val="clear" w:pos="720"/>
        </w:tabs>
        <w:autoSpaceDE/>
        <w:autoSpaceDN/>
        <w:ind w:left="0" w:firstLine="0"/>
        <w:jc w:val="both"/>
      </w:pPr>
      <w:proofErr w:type="spellStart"/>
      <w:r w:rsidRPr="009E0754">
        <w:t>Richetti</w:t>
      </w:r>
      <w:proofErr w:type="spellEnd"/>
      <w:r w:rsidRPr="009E0754">
        <w:t xml:space="preserve">, J. (2002). </w:t>
      </w:r>
      <w:proofErr w:type="spellStart"/>
      <w:r w:rsidRPr="009E0754">
        <w:rPr>
          <w:i/>
          <w:iCs/>
        </w:rPr>
        <w:t>The</w:t>
      </w:r>
      <w:proofErr w:type="spellEnd"/>
      <w:r w:rsidRPr="009E0754">
        <w:rPr>
          <w:i/>
          <w:iCs/>
        </w:rPr>
        <w:t xml:space="preserve"> English </w:t>
      </w:r>
      <w:proofErr w:type="spellStart"/>
      <w:r w:rsidRPr="009E0754">
        <w:rPr>
          <w:i/>
          <w:iCs/>
        </w:rPr>
        <w:t>Novel</w:t>
      </w:r>
      <w:proofErr w:type="spellEnd"/>
      <w:r w:rsidRPr="009E0754">
        <w:rPr>
          <w:i/>
          <w:iCs/>
        </w:rPr>
        <w:t xml:space="preserve"> in </w:t>
      </w:r>
      <w:proofErr w:type="spellStart"/>
      <w:r w:rsidRPr="009E0754">
        <w:rPr>
          <w:i/>
          <w:iCs/>
        </w:rPr>
        <w:t>History</w:t>
      </w:r>
      <w:proofErr w:type="spellEnd"/>
      <w:r w:rsidRPr="009E0754">
        <w:rPr>
          <w:i/>
          <w:iCs/>
        </w:rPr>
        <w:t xml:space="preserve"> 1700–1780</w:t>
      </w:r>
      <w:r w:rsidRPr="009E0754">
        <w:t xml:space="preserve">. </w:t>
      </w:r>
      <w:proofErr w:type="spellStart"/>
      <w:r w:rsidRPr="009E0754">
        <w:t>London</w:t>
      </w:r>
      <w:proofErr w:type="spellEnd"/>
      <w:r w:rsidRPr="009E0754">
        <w:t xml:space="preserve">: </w:t>
      </w:r>
      <w:proofErr w:type="spellStart"/>
      <w:r w:rsidRPr="009E0754">
        <w:t>Routledge</w:t>
      </w:r>
      <w:proofErr w:type="spellEnd"/>
      <w:r w:rsidRPr="009E0754">
        <w:t>.</w:t>
      </w:r>
    </w:p>
    <w:p w14:paraId="476CE1E3" w14:textId="7BA397AD" w:rsidR="00C70E93" w:rsidRDefault="00DA3117">
      <w:pPr>
        <w:widowControl/>
        <w:numPr>
          <w:ilvl w:val="0"/>
          <w:numId w:val="31"/>
        </w:numPr>
        <w:tabs>
          <w:tab w:val="clear" w:pos="720"/>
        </w:tabs>
        <w:autoSpaceDE/>
        <w:autoSpaceDN/>
        <w:ind w:left="0" w:firstLine="0"/>
        <w:jc w:val="both"/>
      </w:pPr>
      <w:proofErr w:type="spellStart"/>
      <w:r w:rsidRPr="009E0754">
        <w:t>Woodman</w:t>
      </w:r>
      <w:proofErr w:type="spellEnd"/>
      <w:r w:rsidRPr="009E0754">
        <w:t xml:space="preserve">, T. (1990). </w:t>
      </w:r>
      <w:proofErr w:type="spellStart"/>
      <w:r w:rsidRPr="009E0754">
        <w:rPr>
          <w:i/>
          <w:iCs/>
        </w:rPr>
        <w:t>Polite</w:t>
      </w:r>
      <w:proofErr w:type="spellEnd"/>
      <w:r w:rsidRPr="009E0754">
        <w:rPr>
          <w:i/>
          <w:iCs/>
        </w:rPr>
        <w:t xml:space="preserve"> </w:t>
      </w:r>
      <w:proofErr w:type="spellStart"/>
      <w:r w:rsidRPr="009E0754">
        <w:rPr>
          <w:i/>
          <w:iCs/>
        </w:rPr>
        <w:t>or</w:t>
      </w:r>
      <w:proofErr w:type="spellEnd"/>
      <w:r w:rsidRPr="009E0754">
        <w:rPr>
          <w:i/>
          <w:iCs/>
        </w:rPr>
        <w:t xml:space="preserve"> Commercial </w:t>
      </w:r>
      <w:proofErr w:type="spellStart"/>
      <w:r w:rsidRPr="009E0754">
        <w:rPr>
          <w:i/>
          <w:iCs/>
        </w:rPr>
        <w:t>Conversations</w:t>
      </w:r>
      <w:proofErr w:type="spellEnd"/>
      <w:r w:rsidRPr="009E0754">
        <w:rPr>
          <w:i/>
          <w:iCs/>
        </w:rPr>
        <w:t xml:space="preserve">: </w:t>
      </w:r>
      <w:proofErr w:type="spellStart"/>
      <w:r w:rsidRPr="009E0754">
        <w:rPr>
          <w:i/>
          <w:iCs/>
        </w:rPr>
        <w:t>Sentimentalism</w:t>
      </w:r>
      <w:proofErr w:type="spellEnd"/>
      <w:r w:rsidRPr="009E0754">
        <w:rPr>
          <w:i/>
          <w:iCs/>
        </w:rPr>
        <w:t xml:space="preserve"> </w:t>
      </w:r>
      <w:proofErr w:type="spellStart"/>
      <w:r w:rsidRPr="009E0754">
        <w:rPr>
          <w:i/>
          <w:iCs/>
        </w:rPr>
        <w:t>and</w:t>
      </w:r>
      <w:proofErr w:type="spellEnd"/>
      <w:r w:rsidRPr="009E0754">
        <w:rPr>
          <w:i/>
          <w:iCs/>
        </w:rPr>
        <w:t xml:space="preserve"> </w:t>
      </w:r>
      <w:proofErr w:type="spellStart"/>
      <w:r w:rsidRPr="009E0754">
        <w:rPr>
          <w:i/>
          <w:iCs/>
        </w:rPr>
        <w:t>the</w:t>
      </w:r>
      <w:proofErr w:type="spellEnd"/>
      <w:r w:rsidRPr="009E0754">
        <w:rPr>
          <w:i/>
          <w:iCs/>
        </w:rPr>
        <w:t xml:space="preserve"> </w:t>
      </w:r>
      <w:proofErr w:type="spellStart"/>
      <w:r w:rsidRPr="009E0754">
        <w:rPr>
          <w:i/>
          <w:iCs/>
        </w:rPr>
        <w:t>Novel</w:t>
      </w:r>
      <w:proofErr w:type="spellEnd"/>
      <w:r w:rsidRPr="009E0754">
        <w:rPr>
          <w:i/>
          <w:iCs/>
        </w:rPr>
        <w:t xml:space="preserve"> of </w:t>
      </w:r>
      <w:proofErr w:type="spellStart"/>
      <w:r w:rsidRPr="009E0754">
        <w:rPr>
          <w:i/>
          <w:iCs/>
        </w:rPr>
        <w:t>Manners</w:t>
      </w:r>
      <w:proofErr w:type="spellEnd"/>
      <w:r w:rsidRPr="009E0754">
        <w:t xml:space="preserve">. </w:t>
      </w:r>
      <w:proofErr w:type="spellStart"/>
      <w:r w:rsidRPr="009E0754">
        <w:t>London</w:t>
      </w:r>
      <w:proofErr w:type="spellEnd"/>
      <w:r w:rsidRPr="009E0754">
        <w:t>: Macmillan.</w:t>
      </w:r>
    </w:p>
    <w:p w14:paraId="79B5CEC0" w14:textId="08375C11" w:rsidR="007B234B" w:rsidRPr="002906A3" w:rsidRDefault="00C70E93" w:rsidP="00B622AD">
      <w:pPr>
        <w:autoSpaceDE/>
        <w:autoSpaceDN/>
      </w:pPr>
      <w:r>
        <w:br w:type="page"/>
      </w:r>
    </w:p>
    <w:p w14:paraId="4266461A" w14:textId="77777777" w:rsidR="001E7189" w:rsidRPr="002906A3" w:rsidRDefault="001E7189" w:rsidP="004C7694">
      <w:pPr>
        <w:pStyle w:val="Tark"/>
      </w:pPr>
      <w:bookmarkStart w:id="159" w:name="_Toc192855226"/>
      <w:r w:rsidRPr="002906A3">
        <w:lastRenderedPageBreak/>
        <w:t xml:space="preserve">Tüketici ve Yatırımcı Algısında Vampir Etkisi: </w:t>
      </w:r>
      <w:proofErr w:type="spellStart"/>
      <w:r w:rsidRPr="002906A3">
        <w:t>Disiplinlerarası</w:t>
      </w:r>
      <w:proofErr w:type="spellEnd"/>
      <w:r w:rsidRPr="002906A3">
        <w:t xml:space="preserve"> Bir İnceleme</w:t>
      </w:r>
      <w:bookmarkEnd w:id="159"/>
    </w:p>
    <w:p w14:paraId="689C220B" w14:textId="77777777" w:rsidR="001E7189" w:rsidRPr="002906A3" w:rsidRDefault="001E7189" w:rsidP="00BA67A6">
      <w:pPr>
        <w:jc w:val="center"/>
      </w:pPr>
    </w:p>
    <w:p w14:paraId="48D2EE97" w14:textId="77777777" w:rsidR="001E7189" w:rsidRPr="002906A3" w:rsidRDefault="001E7189" w:rsidP="00BA67A6">
      <w:pPr>
        <w:jc w:val="center"/>
      </w:pPr>
      <w:r w:rsidRPr="002906A3">
        <w:t xml:space="preserve">Esra </w:t>
      </w:r>
      <w:proofErr w:type="spellStart"/>
      <w:r w:rsidRPr="002906A3">
        <w:t>Özkahveci</w:t>
      </w:r>
      <w:proofErr w:type="spellEnd"/>
    </w:p>
    <w:p w14:paraId="5F17F497" w14:textId="77777777" w:rsidR="001E7189" w:rsidRPr="002906A3" w:rsidRDefault="001E7189" w:rsidP="00BA67A6">
      <w:pPr>
        <w:jc w:val="center"/>
      </w:pPr>
      <w:r w:rsidRPr="002906A3">
        <w:t>Dr., Bağımsız Araştırmacı, İşletme</w:t>
      </w:r>
      <w:r w:rsidRPr="002906A3">
        <w:rPr>
          <w:rStyle w:val="DipnotBavurusu"/>
        </w:rPr>
        <w:footnoteReference w:id="19"/>
      </w:r>
      <w:r w:rsidRPr="002906A3">
        <w:br/>
        <w:t>buyuker.esra@hotmail.com</w:t>
      </w:r>
      <w:r w:rsidRPr="002906A3">
        <w:br/>
      </w:r>
      <w:proofErr w:type="spellStart"/>
      <w:r w:rsidRPr="002906A3">
        <w:t>Orcid</w:t>
      </w:r>
      <w:proofErr w:type="spellEnd"/>
      <w:r w:rsidRPr="002906A3">
        <w:t xml:space="preserve"> ID: 0000-0003-1472-4053</w:t>
      </w:r>
    </w:p>
    <w:p w14:paraId="350F279D" w14:textId="77777777" w:rsidR="001E7189" w:rsidRPr="002906A3" w:rsidRDefault="001E7189" w:rsidP="00BA67A6">
      <w:pPr>
        <w:jc w:val="both"/>
      </w:pPr>
    </w:p>
    <w:p w14:paraId="216F74F3" w14:textId="77777777" w:rsidR="001E7189" w:rsidRPr="002906A3" w:rsidRDefault="001E7189" w:rsidP="00BA67A6">
      <w:pPr>
        <w:jc w:val="center"/>
      </w:pPr>
      <w:r w:rsidRPr="002906A3">
        <w:t>Funda Demiroğlu</w:t>
      </w:r>
    </w:p>
    <w:p w14:paraId="4BE6499F" w14:textId="77777777" w:rsidR="001E7189" w:rsidRPr="002906A3" w:rsidRDefault="001E7189" w:rsidP="00BA67A6">
      <w:pPr>
        <w:jc w:val="center"/>
      </w:pPr>
      <w:r w:rsidRPr="002906A3">
        <w:t>Dr., Bağımsız Araştırmacı, İşletme</w:t>
      </w:r>
      <w:r w:rsidRPr="002906A3">
        <w:br/>
        <w:t>drfundademiroglu@gmail.com</w:t>
      </w:r>
      <w:r w:rsidRPr="002906A3">
        <w:br/>
      </w:r>
      <w:proofErr w:type="spellStart"/>
      <w:r w:rsidRPr="002906A3">
        <w:t>Orcid</w:t>
      </w:r>
      <w:proofErr w:type="spellEnd"/>
      <w:r w:rsidRPr="002906A3">
        <w:t xml:space="preserve"> ID: 0000-0002-8300-6402</w:t>
      </w:r>
    </w:p>
    <w:p w14:paraId="5CA32D34" w14:textId="77777777" w:rsidR="001E7189" w:rsidRPr="002906A3" w:rsidRDefault="001E7189" w:rsidP="00BA67A6">
      <w:pPr>
        <w:jc w:val="both"/>
      </w:pPr>
    </w:p>
    <w:p w14:paraId="7B0A18ED" w14:textId="77777777" w:rsidR="001E7189" w:rsidRPr="002906A3" w:rsidRDefault="001E7189" w:rsidP="00BA67A6">
      <w:pPr>
        <w:jc w:val="center"/>
        <w:rPr>
          <w:b/>
          <w:bCs/>
        </w:rPr>
      </w:pPr>
      <w:r w:rsidRPr="002906A3">
        <w:rPr>
          <w:b/>
          <w:bCs/>
        </w:rPr>
        <w:t>Özet</w:t>
      </w:r>
    </w:p>
    <w:p w14:paraId="4D6B31A9" w14:textId="77777777" w:rsidR="001E7189" w:rsidRPr="002906A3" w:rsidRDefault="001E7189" w:rsidP="00BA67A6">
      <w:pPr>
        <w:pStyle w:val="NormalWeb"/>
        <w:spacing w:before="0" w:beforeAutospacing="0" w:after="0" w:afterAutospacing="0"/>
        <w:jc w:val="both"/>
        <w:rPr>
          <w:rFonts w:eastAsiaTheme="minorHAnsi"/>
          <w:kern w:val="2"/>
          <w:lang w:eastAsia="en-US"/>
          <w14:ligatures w14:val="standardContextual"/>
        </w:rPr>
      </w:pPr>
      <w:proofErr w:type="spellStart"/>
      <w:r w:rsidRPr="002906A3">
        <w:rPr>
          <w:rFonts w:eastAsiaTheme="minorHAnsi"/>
          <w:kern w:val="2"/>
          <w:lang w:eastAsia="en-US"/>
          <w14:ligatures w14:val="standardContextual"/>
        </w:rPr>
        <w:t>Vampir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etkisi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disiplinlerinde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bireylerin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algılarının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hedeflenen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mesajlardan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ziyade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çekici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ancak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ikincil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unsurlara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yönelmesiyle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tanımlanan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olgudur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Vampir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etkisi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algı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yönetimi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bağlamında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disiplinleri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arasında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önemli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kesişim</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noktası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sunar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bağlamında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bu</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reklamların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temel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iletisinin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ünlü</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kişiler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mizahi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öğeler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veya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görsel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çekicilik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gibi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dağıtıcı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unsurlarla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gölgelenmesi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şeklinde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kendini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gösterir</w:t>
      </w:r>
      <w:proofErr w:type="spellEnd"/>
      <w:r w:rsidRPr="002906A3">
        <w:rPr>
          <w:rFonts w:eastAsiaTheme="minorHAnsi"/>
          <w:kern w:val="2"/>
          <w:lang w:eastAsia="en-US"/>
          <w14:ligatures w14:val="standardContextual"/>
        </w:rPr>
        <w:t xml:space="preserve">. Bu durum, </w:t>
      </w:r>
      <w:proofErr w:type="spellStart"/>
      <w:r w:rsidRPr="002906A3">
        <w:rPr>
          <w:rFonts w:eastAsiaTheme="minorHAnsi"/>
          <w:kern w:val="2"/>
          <w:lang w:eastAsia="en-US"/>
          <w14:ligatures w14:val="standardContextual"/>
        </w:rPr>
        <w:t>tüketicinin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markayı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ya</w:t>
      </w:r>
      <w:proofErr w:type="spellEnd"/>
      <w:r w:rsidRPr="002906A3">
        <w:rPr>
          <w:rFonts w:eastAsiaTheme="minorHAnsi"/>
          <w:kern w:val="2"/>
          <w:lang w:eastAsia="en-US"/>
          <w14:ligatures w14:val="standardContextual"/>
        </w:rPr>
        <w:t xml:space="preserve"> da </w:t>
      </w:r>
      <w:proofErr w:type="spellStart"/>
      <w:r w:rsidRPr="002906A3">
        <w:rPr>
          <w:rFonts w:eastAsiaTheme="minorHAnsi"/>
          <w:kern w:val="2"/>
          <w:lang w:eastAsia="en-US"/>
          <w14:ligatures w14:val="standardContextual"/>
        </w:rPr>
        <w:t>temel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mesajı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hatırlama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kapasitesini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azaltarak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reklamın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etkinliğini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düşürür</w:t>
      </w:r>
      <w:proofErr w:type="spellEnd"/>
      <w:r w:rsidRPr="002906A3">
        <w:rPr>
          <w:rFonts w:eastAsiaTheme="minorHAnsi"/>
          <w:kern w:val="2"/>
          <w:lang w:eastAsia="en-US"/>
          <w14:ligatures w14:val="standardContextual"/>
        </w:rPr>
        <w:t xml:space="preserve">. Finans </w:t>
      </w:r>
      <w:proofErr w:type="spellStart"/>
      <w:r w:rsidRPr="002906A3">
        <w:rPr>
          <w:rFonts w:eastAsiaTheme="minorHAnsi"/>
          <w:kern w:val="2"/>
          <w:lang w:eastAsia="en-US"/>
          <w14:ligatures w14:val="standardContextual"/>
        </w:rPr>
        <w:t>disiplininde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ise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vampir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etkisi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yatırımcıların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finansal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verilere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odaklanmaktan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ziyade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duygusal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veya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bilgilere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ağırlık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vermesiyle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sonuçlanır</w:t>
      </w:r>
      <w:proofErr w:type="spellEnd"/>
      <w:r w:rsidRPr="002906A3">
        <w:rPr>
          <w:rFonts w:eastAsiaTheme="minorHAnsi"/>
          <w:kern w:val="2"/>
          <w:lang w:eastAsia="en-US"/>
          <w14:ligatures w14:val="standardContextual"/>
        </w:rPr>
        <w:t xml:space="preserve">. Bu durum, </w:t>
      </w:r>
      <w:proofErr w:type="spellStart"/>
      <w:r w:rsidRPr="002906A3">
        <w:rPr>
          <w:rFonts w:eastAsiaTheme="minorHAnsi"/>
          <w:kern w:val="2"/>
          <w:lang w:eastAsia="en-US"/>
          <w14:ligatures w14:val="standardContextual"/>
        </w:rPr>
        <w:t>rasyonel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olmayan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kararların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alınmasına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yol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açarak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finansal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davranışları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doğrudan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etkiler</w:t>
      </w:r>
      <w:proofErr w:type="spellEnd"/>
      <w:r w:rsidRPr="002906A3">
        <w:rPr>
          <w:rFonts w:eastAsiaTheme="minorHAnsi"/>
          <w:kern w:val="2"/>
          <w:lang w:eastAsia="en-US"/>
          <w14:ligatures w14:val="standardContextual"/>
        </w:rPr>
        <w:t xml:space="preserve">. Bu </w:t>
      </w:r>
      <w:proofErr w:type="spellStart"/>
      <w:r w:rsidRPr="002906A3">
        <w:rPr>
          <w:rFonts w:eastAsiaTheme="minorHAnsi"/>
          <w:kern w:val="2"/>
          <w:lang w:eastAsia="en-US"/>
          <w14:ligatures w14:val="standardContextual"/>
        </w:rPr>
        <w:t>makale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vampir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etkisinin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disiplinlerindeki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yansımalarını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alarak</w:t>
      </w:r>
      <w:proofErr w:type="spellEnd"/>
      <w:r w:rsidRPr="002906A3">
        <w:rPr>
          <w:rFonts w:eastAsiaTheme="minorHAnsi"/>
          <w:kern w:val="2"/>
          <w:lang w:eastAsia="en-US"/>
          <w14:ligatures w14:val="standardContextual"/>
        </w:rPr>
        <w:t xml:space="preserve">, her </w:t>
      </w:r>
      <w:proofErr w:type="spellStart"/>
      <w:r w:rsidRPr="002906A3">
        <w:rPr>
          <w:rFonts w:eastAsiaTheme="minorHAnsi"/>
          <w:kern w:val="2"/>
          <w:lang w:eastAsia="en-US"/>
          <w14:ligatures w14:val="standardContextual"/>
        </w:rPr>
        <w:t>iki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alan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arasındaki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etkileşimleri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teorik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çerçevede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incelemeyi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algı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yönetiminin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disiplinlerarası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boyutlarını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ortaya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koymayı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amaçlamaktadır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Teorik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değerlendirmeler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medya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ve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dünyasında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tüketici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belirli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mesajlara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odaklanmasının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diğer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mesajların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etkisiz</w:t>
      </w:r>
      <w:proofErr w:type="spellEnd"/>
      <w:r w:rsidRPr="002906A3">
        <w:rPr>
          <w:rFonts w:eastAsiaTheme="minorHAnsi"/>
          <w:kern w:val="2"/>
          <w:lang w:eastAsia="en-US"/>
          <w14:ligatures w14:val="standardContextual"/>
        </w:rPr>
        <w:t xml:space="preserve"> hale </w:t>
      </w:r>
      <w:proofErr w:type="spellStart"/>
      <w:r w:rsidRPr="002906A3">
        <w:rPr>
          <w:rFonts w:eastAsiaTheme="minorHAnsi"/>
          <w:kern w:val="2"/>
          <w:lang w:eastAsia="en-US"/>
          <w14:ligatures w14:val="standardContextual"/>
        </w:rPr>
        <w:t>gelmesine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yol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açtığını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finansal</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piyasalarda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ise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büyük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çaplı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halka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arzlar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gibi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çekici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olayların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diğer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piyasa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unsurlarını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gölgede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bıraktığını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göstermektedir</w:t>
      </w:r>
      <w:proofErr w:type="spellEnd"/>
      <w:r w:rsidRPr="002906A3">
        <w:rPr>
          <w:rFonts w:eastAsiaTheme="minorHAnsi"/>
          <w:kern w:val="2"/>
          <w:lang w:eastAsia="en-US"/>
          <w14:ligatures w14:val="standardContextual"/>
        </w:rPr>
        <w:t xml:space="preserve">. Bu durum, hem </w:t>
      </w:r>
      <w:proofErr w:type="spellStart"/>
      <w:r w:rsidRPr="002906A3">
        <w:rPr>
          <w:rFonts w:eastAsiaTheme="minorHAnsi"/>
          <w:kern w:val="2"/>
          <w:lang w:eastAsia="en-US"/>
          <w14:ligatures w14:val="standardContextual"/>
        </w:rPr>
        <w:t>pazarlama</w:t>
      </w:r>
      <w:proofErr w:type="spellEnd"/>
      <w:r w:rsidRPr="002906A3">
        <w:rPr>
          <w:rFonts w:eastAsiaTheme="minorHAnsi"/>
          <w:kern w:val="2"/>
          <w:lang w:eastAsia="en-US"/>
          <w14:ligatures w14:val="standardContextual"/>
        </w:rPr>
        <w:t xml:space="preserve"> hem de </w:t>
      </w:r>
      <w:proofErr w:type="spellStart"/>
      <w:r w:rsidRPr="002906A3">
        <w:rPr>
          <w:rFonts w:eastAsiaTheme="minorHAnsi"/>
          <w:kern w:val="2"/>
          <w:lang w:eastAsia="en-US"/>
          <w14:ligatures w14:val="standardContextual"/>
        </w:rPr>
        <w:t>finans</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alanında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dikkat</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yönetiminin</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stratejik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bir</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öncelik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olarak</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ele</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alınması</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gerektiğini</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ortaya</w:t>
      </w:r>
      <w:proofErr w:type="spellEnd"/>
      <w:r w:rsidRPr="002906A3">
        <w:rPr>
          <w:rFonts w:eastAsiaTheme="minorHAnsi"/>
          <w:kern w:val="2"/>
          <w:lang w:eastAsia="en-US"/>
          <w14:ligatures w14:val="standardContextual"/>
        </w:rPr>
        <w:t xml:space="preserve"> </w:t>
      </w:r>
      <w:proofErr w:type="spellStart"/>
      <w:r w:rsidRPr="002906A3">
        <w:rPr>
          <w:rFonts w:eastAsiaTheme="minorHAnsi"/>
          <w:kern w:val="2"/>
          <w:lang w:eastAsia="en-US"/>
          <w14:ligatures w14:val="standardContextual"/>
        </w:rPr>
        <w:t>koymaktadır</w:t>
      </w:r>
      <w:proofErr w:type="spellEnd"/>
      <w:r w:rsidRPr="002906A3">
        <w:rPr>
          <w:rFonts w:eastAsiaTheme="minorHAnsi"/>
          <w:kern w:val="2"/>
          <w:lang w:eastAsia="en-US"/>
          <w14:ligatures w14:val="standardContextual"/>
        </w:rPr>
        <w:t>.</w:t>
      </w:r>
    </w:p>
    <w:p w14:paraId="245CFA16" w14:textId="77777777" w:rsidR="001E7189" w:rsidRPr="002906A3" w:rsidRDefault="001E7189" w:rsidP="00BA67A6">
      <w:pPr>
        <w:jc w:val="both"/>
      </w:pPr>
    </w:p>
    <w:p w14:paraId="09CA7E35" w14:textId="74B9ABF8" w:rsidR="001E7189" w:rsidRDefault="000C6508" w:rsidP="00BA67A6">
      <w:pPr>
        <w:jc w:val="both"/>
      </w:pPr>
      <w:r>
        <w:rPr>
          <w:b/>
          <w:bCs/>
        </w:rPr>
        <w:t>Anahtar Kelimeler</w:t>
      </w:r>
      <w:r w:rsidR="001E7189" w:rsidRPr="002906A3">
        <w:rPr>
          <w:b/>
          <w:bCs/>
        </w:rPr>
        <w:t>:</w:t>
      </w:r>
      <w:r w:rsidR="001E7189" w:rsidRPr="002906A3">
        <w:t xml:space="preserve"> Vampir Etkisi, Dikkat ve Algı Yönetimi, </w:t>
      </w:r>
      <w:proofErr w:type="spellStart"/>
      <w:r w:rsidR="001E7189" w:rsidRPr="002906A3">
        <w:t>Disiplinlerarası</w:t>
      </w:r>
      <w:proofErr w:type="spellEnd"/>
      <w:r w:rsidR="001E7189" w:rsidRPr="002906A3">
        <w:t xml:space="preserve"> Etkileşim, Pazarlama, Finans.</w:t>
      </w:r>
    </w:p>
    <w:p w14:paraId="2698D377" w14:textId="77777777" w:rsidR="00E359E0" w:rsidRDefault="00E359E0" w:rsidP="00BA67A6">
      <w:pPr>
        <w:jc w:val="both"/>
      </w:pPr>
    </w:p>
    <w:p w14:paraId="0CA13F84" w14:textId="77777777" w:rsidR="00E359E0" w:rsidRDefault="00E359E0" w:rsidP="00BA67A6">
      <w:pPr>
        <w:jc w:val="both"/>
      </w:pPr>
    </w:p>
    <w:p w14:paraId="3EBF79D7" w14:textId="77777777" w:rsidR="00E359E0" w:rsidRDefault="00E359E0" w:rsidP="00BA67A6">
      <w:pPr>
        <w:jc w:val="both"/>
      </w:pPr>
    </w:p>
    <w:p w14:paraId="1395FA05" w14:textId="77777777" w:rsidR="00E359E0" w:rsidRDefault="00E359E0" w:rsidP="00BA67A6">
      <w:pPr>
        <w:jc w:val="both"/>
      </w:pPr>
    </w:p>
    <w:p w14:paraId="0E999D56" w14:textId="77777777" w:rsidR="00E359E0" w:rsidRDefault="00E359E0" w:rsidP="00BA67A6">
      <w:pPr>
        <w:jc w:val="both"/>
      </w:pPr>
    </w:p>
    <w:p w14:paraId="4151721F" w14:textId="77777777" w:rsidR="00E359E0" w:rsidRDefault="00E359E0" w:rsidP="00BA67A6">
      <w:pPr>
        <w:jc w:val="both"/>
      </w:pPr>
    </w:p>
    <w:p w14:paraId="00376992" w14:textId="77777777" w:rsidR="00E359E0" w:rsidRDefault="00E359E0" w:rsidP="00BA67A6">
      <w:pPr>
        <w:jc w:val="both"/>
      </w:pPr>
    </w:p>
    <w:p w14:paraId="049A8407" w14:textId="77777777" w:rsidR="00E359E0" w:rsidRDefault="00E359E0" w:rsidP="00BA67A6">
      <w:pPr>
        <w:jc w:val="both"/>
      </w:pPr>
    </w:p>
    <w:p w14:paraId="23C292FA" w14:textId="77777777" w:rsidR="00E359E0" w:rsidRDefault="00E359E0" w:rsidP="00BA67A6">
      <w:pPr>
        <w:jc w:val="both"/>
      </w:pPr>
    </w:p>
    <w:p w14:paraId="536E9EAA" w14:textId="77777777" w:rsidR="00BF3875" w:rsidRPr="002906A3" w:rsidRDefault="00BF3875" w:rsidP="00BA67A6">
      <w:pPr>
        <w:jc w:val="both"/>
      </w:pPr>
    </w:p>
    <w:p w14:paraId="38585E5E" w14:textId="77777777" w:rsidR="001E7189" w:rsidRPr="002906A3" w:rsidRDefault="001E7189" w:rsidP="004C7694">
      <w:pPr>
        <w:pStyle w:val="Tark"/>
      </w:pPr>
      <w:bookmarkStart w:id="160" w:name="_Toc192855227"/>
      <w:proofErr w:type="spellStart"/>
      <w:r w:rsidRPr="002906A3">
        <w:lastRenderedPageBreak/>
        <w:t>The</w:t>
      </w:r>
      <w:proofErr w:type="spellEnd"/>
      <w:r w:rsidRPr="002906A3">
        <w:t xml:space="preserve"> Vampire </w:t>
      </w:r>
      <w:proofErr w:type="spellStart"/>
      <w:r w:rsidRPr="002906A3">
        <w:t>Effect</w:t>
      </w:r>
      <w:proofErr w:type="spellEnd"/>
      <w:r w:rsidRPr="002906A3">
        <w:t xml:space="preserve"> in Consumer </w:t>
      </w:r>
      <w:proofErr w:type="spellStart"/>
      <w:r w:rsidRPr="002906A3">
        <w:t>and</w:t>
      </w:r>
      <w:proofErr w:type="spellEnd"/>
      <w:r w:rsidRPr="002906A3">
        <w:t xml:space="preserve"> Investor </w:t>
      </w:r>
      <w:proofErr w:type="spellStart"/>
      <w:r w:rsidRPr="002906A3">
        <w:t>Perception</w:t>
      </w:r>
      <w:proofErr w:type="spellEnd"/>
      <w:r w:rsidRPr="002906A3">
        <w:t xml:space="preserve">: An </w:t>
      </w:r>
      <w:proofErr w:type="spellStart"/>
      <w:r w:rsidRPr="002906A3">
        <w:t>Interdisciplinary</w:t>
      </w:r>
      <w:proofErr w:type="spellEnd"/>
      <w:r w:rsidRPr="002906A3">
        <w:t xml:space="preserve"> </w:t>
      </w:r>
      <w:proofErr w:type="spellStart"/>
      <w:r w:rsidRPr="002906A3">
        <w:t>Review</w:t>
      </w:r>
      <w:bookmarkEnd w:id="160"/>
      <w:proofErr w:type="spellEnd"/>
    </w:p>
    <w:p w14:paraId="31290EF2" w14:textId="77777777" w:rsidR="001E7189" w:rsidRPr="002906A3" w:rsidRDefault="001E7189" w:rsidP="00BA67A6">
      <w:pPr>
        <w:jc w:val="center"/>
        <w:rPr>
          <w:b/>
          <w:bCs/>
        </w:rPr>
      </w:pPr>
    </w:p>
    <w:p w14:paraId="0F2F28BE" w14:textId="77777777" w:rsidR="001E7189" w:rsidRPr="002906A3" w:rsidRDefault="001E7189" w:rsidP="00BA67A6">
      <w:pPr>
        <w:jc w:val="center"/>
        <w:rPr>
          <w:b/>
          <w:bCs/>
        </w:rPr>
      </w:pPr>
      <w:proofErr w:type="spellStart"/>
      <w:r w:rsidRPr="002906A3">
        <w:rPr>
          <w:b/>
          <w:bCs/>
        </w:rPr>
        <w:t>Abstract</w:t>
      </w:r>
      <w:proofErr w:type="spellEnd"/>
    </w:p>
    <w:p w14:paraId="1F3AB7CC" w14:textId="77777777" w:rsidR="001E7189" w:rsidRPr="002906A3" w:rsidRDefault="001E7189" w:rsidP="00BA67A6">
      <w:pPr>
        <w:pStyle w:val="NormalWeb"/>
        <w:spacing w:before="0" w:beforeAutospacing="0" w:after="0" w:afterAutospacing="0"/>
        <w:jc w:val="both"/>
        <w:rPr>
          <w:rFonts w:eastAsiaTheme="minorHAnsi"/>
          <w:kern w:val="2"/>
          <w:lang w:eastAsia="en-US"/>
          <w14:ligatures w14:val="standardContextual"/>
        </w:rPr>
      </w:pPr>
      <w:r w:rsidRPr="002906A3">
        <w:rPr>
          <w:rFonts w:eastAsiaTheme="minorHAnsi"/>
          <w:kern w:val="2"/>
          <w:lang w:eastAsia="en-US"/>
          <w14:ligatures w14:val="standardContextual"/>
        </w:rPr>
        <w:t>The vampire effect is a phenomenon defined in the marketing and finance disciplines, where individuals' attention and perceptions are directed toward secondary elements, which are attention-grabbing but not the targeted messages. The vampire effect presents a significant intersection between marketing and finance in the context of attention and perception management. In the marketing context, this effect manifests when the core message of advertisements is overshadowed by distracting elements such as celebrities, humorous components, or visual appeal. This situation reduces the consumer’s ability to recall the brand or the core message, diminishing the effectiveness of the advertisement. In the finance discipline, the vampire effect results in investors focusing more on emotional or peripheral information rather than financial data. This leads to the making of irrational decisions, directly affecting financial behavior. This paper aims to explore the implications of the vampire effect in the marketing and finance disciplines by examining the interactions between both fields within a theoretical framework, shedding light on the interdisciplinary aspects of attention and perception management. Theoretical assessments show that in the media and marketing world, focusing consumer attention on specific messages causes other messages to become ineffective, while in financial markets, attention-grabbing events such as large public offerings overshadow other market elements. This indicates that attention management should be addressed as a strategic priority in both marketing and finance.</w:t>
      </w:r>
    </w:p>
    <w:p w14:paraId="2AA9DE7C" w14:textId="77777777" w:rsidR="001E7189" w:rsidRPr="002906A3" w:rsidRDefault="001E7189" w:rsidP="00BA67A6">
      <w:pPr>
        <w:pStyle w:val="NormalWeb"/>
        <w:spacing w:before="0" w:beforeAutospacing="0" w:after="0" w:afterAutospacing="0"/>
        <w:jc w:val="both"/>
        <w:rPr>
          <w:rFonts w:eastAsiaTheme="minorHAnsi"/>
          <w:kern w:val="2"/>
          <w:lang w:eastAsia="en-US"/>
          <w14:ligatures w14:val="standardContextual"/>
        </w:rPr>
      </w:pPr>
    </w:p>
    <w:p w14:paraId="51C8F890" w14:textId="77777777" w:rsidR="001E7189" w:rsidRPr="002906A3" w:rsidRDefault="001E7189" w:rsidP="00BA67A6">
      <w:pPr>
        <w:jc w:val="both"/>
      </w:pPr>
      <w:proofErr w:type="spellStart"/>
      <w:r w:rsidRPr="002906A3">
        <w:rPr>
          <w:b/>
          <w:bCs/>
        </w:rPr>
        <w:t>Keywords</w:t>
      </w:r>
      <w:proofErr w:type="spellEnd"/>
      <w:r w:rsidRPr="002906A3">
        <w:rPr>
          <w:b/>
          <w:bCs/>
        </w:rPr>
        <w:t>:</w:t>
      </w:r>
      <w:r w:rsidRPr="002906A3">
        <w:t xml:space="preserve"> Vampire </w:t>
      </w:r>
      <w:proofErr w:type="spellStart"/>
      <w:r w:rsidRPr="002906A3">
        <w:t>Effect</w:t>
      </w:r>
      <w:proofErr w:type="spellEnd"/>
      <w:r w:rsidRPr="002906A3">
        <w:t xml:space="preserve">, </w:t>
      </w:r>
      <w:proofErr w:type="spellStart"/>
      <w:r w:rsidRPr="002906A3">
        <w:t>Attention</w:t>
      </w:r>
      <w:proofErr w:type="spellEnd"/>
      <w:r w:rsidRPr="002906A3">
        <w:t xml:space="preserve"> </w:t>
      </w:r>
      <w:proofErr w:type="spellStart"/>
      <w:r w:rsidRPr="002906A3">
        <w:t>and</w:t>
      </w:r>
      <w:proofErr w:type="spellEnd"/>
      <w:r w:rsidRPr="002906A3">
        <w:t xml:space="preserve"> </w:t>
      </w:r>
      <w:proofErr w:type="spellStart"/>
      <w:r w:rsidRPr="002906A3">
        <w:t>Perception</w:t>
      </w:r>
      <w:proofErr w:type="spellEnd"/>
      <w:r w:rsidRPr="002906A3">
        <w:t xml:space="preserve"> Management, </w:t>
      </w:r>
      <w:proofErr w:type="spellStart"/>
      <w:r w:rsidRPr="002906A3">
        <w:t>Interdisciplinary</w:t>
      </w:r>
      <w:proofErr w:type="spellEnd"/>
      <w:r w:rsidRPr="002906A3">
        <w:t xml:space="preserve"> </w:t>
      </w:r>
      <w:proofErr w:type="spellStart"/>
      <w:r w:rsidRPr="002906A3">
        <w:t>Interaction</w:t>
      </w:r>
      <w:proofErr w:type="spellEnd"/>
      <w:r w:rsidRPr="002906A3">
        <w:t>, Marketing, Finance</w:t>
      </w:r>
    </w:p>
    <w:p w14:paraId="25F48B06" w14:textId="77777777" w:rsidR="001E7189" w:rsidRPr="002906A3" w:rsidRDefault="001E7189" w:rsidP="00BA67A6">
      <w:pPr>
        <w:jc w:val="both"/>
      </w:pPr>
    </w:p>
    <w:p w14:paraId="31862F6F" w14:textId="77777777" w:rsidR="001E7189" w:rsidRPr="002906A3" w:rsidRDefault="001E7189" w:rsidP="00BA67A6">
      <w:pPr>
        <w:jc w:val="both"/>
        <w:rPr>
          <w:b/>
          <w:bCs/>
        </w:rPr>
      </w:pPr>
      <w:r w:rsidRPr="002906A3">
        <w:rPr>
          <w:b/>
          <w:bCs/>
        </w:rPr>
        <w:t>Giriş</w:t>
      </w:r>
    </w:p>
    <w:p w14:paraId="03D68F64" w14:textId="7F9DD658" w:rsidR="001E7189" w:rsidRDefault="001E7189" w:rsidP="00BA67A6">
      <w:pPr>
        <w:jc w:val="both"/>
      </w:pPr>
      <w:r w:rsidRPr="002906A3">
        <w:t>Vampir etkisi, pazarlama ve finans disiplinlerinde kişilerin dikkat ve algılarının, hedeflenen mesaj ya da temel bilgiler yerine dikkat çekici fakat yan unsurlara yönelmesiyle oluşan fenomen bir kavramdır. Pazarlama disiplininde bu etki, bir reklamın temel iletisinin ünlü bir birey, mizahi öğe ya da görsel bir unsur gibi dikkat dağıtıcı faktörler tarafından gölgelenmesi olarak ifade edilmektedir. Bu durum, tüketicinin iletiyi ya da markayı hatırlamasını güçleştirerek reklamın etkinliğini azaltmaktadır. Finans disiplininde ise vampir etkisi, yatırımcıların finansal veriler yerine duygusal ya da yan bilgilere odaklanarak ussal olmayan kararlar almasına yol açmaktadır. Buradan hareketle bu iki disiplinin kesişimin de vampir etkisi, kişilerin dikkat ve algılarının ne şekilde yönlendirildiğine dair ortak bir paydada buluşmaktadır. Pazarlama disiplini, tüketici davranışlarını anlamaya odaklanırken, finans disiplini ise yatırımcı davranışlarına odaklanmaktadır. Her iki durumda da dikkat dağıtıcı unsurların etkisi, karar alma süreçlerini karmaşık hale getirmektedir.</w:t>
      </w:r>
    </w:p>
    <w:p w14:paraId="1D7267DE" w14:textId="77777777" w:rsidR="00BA67A6" w:rsidRPr="002906A3" w:rsidRDefault="00BA67A6" w:rsidP="00BA67A6">
      <w:pPr>
        <w:jc w:val="both"/>
      </w:pPr>
    </w:p>
    <w:p w14:paraId="5947AF8A" w14:textId="77777777" w:rsidR="001E7189" w:rsidRPr="002906A3" w:rsidRDefault="001E7189" w:rsidP="00BA67A6">
      <w:pPr>
        <w:jc w:val="both"/>
      </w:pPr>
      <w:r w:rsidRPr="002906A3">
        <w:t xml:space="preserve">Dikkat ekonomisinin çağımızdaki artan önemiyle ilişkilendirilen vampir etkisi, bireylerin aşırı odaklanma nedeniyle bazı mesajları veya unsurları gözden kaçırdığı bir olgu olarak hem medya hem de finansal piyasalarda benzer dinamiklerle ortaya çıkar. Pazarlama alanında bu etki, tüketicinin dikkatinin belirli bir ürün veya mesaj üzerine yoğunlaşmasıyla diğer mesajların etkinliğini azaltırken, finansal piyasalarda büyük ölçekli halka arzlar, diğer sektörlerdeki gelişmelerin yatırımcı ilgisini gölgelemesine neden olabilir. Örneğin, </w:t>
      </w:r>
      <w:proofErr w:type="spellStart"/>
      <w:r w:rsidRPr="002906A3">
        <w:t>Ritter</w:t>
      </w:r>
      <w:proofErr w:type="spellEnd"/>
      <w:r w:rsidRPr="002906A3">
        <w:t xml:space="preserve"> (1991), halka arzların bu yönüyle diğer piyasa unsurlarını geri planda bırakabileceğini ortaya koymuştur.</w:t>
      </w:r>
    </w:p>
    <w:p w14:paraId="2E263486" w14:textId="77777777" w:rsidR="001E7189" w:rsidRDefault="001E7189" w:rsidP="00BA67A6">
      <w:pPr>
        <w:jc w:val="both"/>
      </w:pPr>
      <w:r w:rsidRPr="002906A3">
        <w:lastRenderedPageBreak/>
        <w:t>Bu bağlamda, vampir etkisi kavramı, pazarlama kampanyalarının tüketici dikkatini yönlendirme gücü ile finansal piyasalarda meydana gelen dikkat kaymalarının paralelliklerini incelemeye olanak tanır. Bu makale, vampir etkisinin her iki disiplin üzerindeki yansımalarını ve bu alanlar arasındaki etkileşimleri teorik bir çerçevede ele alarak, dikkat ve algı yönetiminin disiplinler arası boyutunu ortaya koymayı amaçlamaktadır.</w:t>
      </w:r>
    </w:p>
    <w:p w14:paraId="6CB7E3D8" w14:textId="77777777" w:rsidR="00B622AD" w:rsidRPr="002906A3" w:rsidRDefault="00B622AD" w:rsidP="00BA67A6">
      <w:pPr>
        <w:jc w:val="both"/>
      </w:pPr>
    </w:p>
    <w:p w14:paraId="0AB9C808" w14:textId="77777777" w:rsidR="001E7189" w:rsidRPr="002906A3" w:rsidRDefault="001E7189" w:rsidP="00BA67A6">
      <w:pPr>
        <w:jc w:val="both"/>
        <w:rPr>
          <w:b/>
          <w:bCs/>
        </w:rPr>
      </w:pPr>
      <w:r w:rsidRPr="002906A3">
        <w:rPr>
          <w:b/>
          <w:bCs/>
        </w:rPr>
        <w:t>Literatür Taraması</w:t>
      </w:r>
    </w:p>
    <w:p w14:paraId="143B9C19" w14:textId="77777777" w:rsidR="001E7189" w:rsidRDefault="001E7189" w:rsidP="00BA67A6">
      <w:pPr>
        <w:jc w:val="both"/>
      </w:pPr>
      <w:r w:rsidRPr="002906A3">
        <w:t xml:space="preserve">"Vampir etkisi" terimi pazarlama akademisyenleri arasında, reklam performansını analiz etmek için kullanılan bir metafor olarak popülerleşmiştir. Özellikle ünlülerin veya ilgi çekici görsel unsurların reklamlardaki etkilerini inceleyen çalışmalarda sıkça kullanılmıştır. Vampir etkisi, finans literatüründe ise doğrudan "vampir etkisi" olarak adlandırılmasa </w:t>
      </w:r>
      <w:proofErr w:type="gramStart"/>
      <w:r w:rsidRPr="002906A3">
        <w:t>da,</w:t>
      </w:r>
      <w:proofErr w:type="gramEnd"/>
      <w:r w:rsidRPr="002906A3">
        <w:t xml:space="preserve"> kavramın dinamikleri farklı terminolojilerle tartışılmıştır. Finans bağlamında, vampir etkisi genellikle bir olayın, aktörün veya etkenin, asıl önemli mesaj veya amacı gölgelediği durumları ifade etmektedir. Bu iki alanla ilgi yapılan çalışmalardan bazıları şunlardır.</w:t>
      </w:r>
    </w:p>
    <w:p w14:paraId="3F15EA65" w14:textId="77777777" w:rsidR="00BA67A6" w:rsidRPr="002906A3" w:rsidRDefault="00BA67A6" w:rsidP="00BA67A6">
      <w:pPr>
        <w:jc w:val="both"/>
      </w:pPr>
    </w:p>
    <w:p w14:paraId="4DE01F9B" w14:textId="77777777" w:rsidR="001E7189" w:rsidRDefault="001E7189" w:rsidP="00BA67A6">
      <w:pPr>
        <w:jc w:val="both"/>
      </w:pPr>
      <w:r w:rsidRPr="002906A3">
        <w:t xml:space="preserve">Tokmak Danışman (2021); reklamlarda kullanılan </w:t>
      </w:r>
      <w:proofErr w:type="gramStart"/>
      <w:r w:rsidRPr="002906A3">
        <w:t>beşeri</w:t>
      </w:r>
      <w:proofErr w:type="gramEnd"/>
      <w:r w:rsidRPr="002906A3">
        <w:t xml:space="preserve"> ve beşeri olmayan ilgi çekici öğelerin, markanın mesajını nasıl olumsuz etkileyebileceğini ve bu etkinin nasıl önlenebileceğini detaylandırmaktadır.</w:t>
      </w:r>
    </w:p>
    <w:p w14:paraId="68B8ACEB" w14:textId="77777777" w:rsidR="00BA67A6" w:rsidRPr="002906A3" w:rsidRDefault="00BA67A6" w:rsidP="00BA67A6">
      <w:pPr>
        <w:jc w:val="both"/>
      </w:pPr>
    </w:p>
    <w:p w14:paraId="2A2963D0" w14:textId="77777777" w:rsidR="001E7189" w:rsidRDefault="001E7189" w:rsidP="00BA67A6">
      <w:pPr>
        <w:jc w:val="both"/>
      </w:pPr>
      <w:r w:rsidRPr="002906A3">
        <w:t>Tokmak ve Aksoy (2020); çalışma, reklamlarda çekici modellerin kullanımının, vampir etkisi bağlamında nasıl değerlendirilebileceğini ve göz takip tekniğiyle nasıl analiz edilebileceğini incelemektedir.</w:t>
      </w:r>
    </w:p>
    <w:p w14:paraId="072AE752" w14:textId="77777777" w:rsidR="00BA67A6" w:rsidRPr="002906A3" w:rsidRDefault="00BA67A6" w:rsidP="00BA67A6">
      <w:pPr>
        <w:jc w:val="both"/>
      </w:pPr>
    </w:p>
    <w:p w14:paraId="10E6E8A0" w14:textId="77777777" w:rsidR="001E7189" w:rsidRDefault="001E7189" w:rsidP="00BA67A6">
      <w:pPr>
        <w:jc w:val="both"/>
      </w:pPr>
      <w:proofErr w:type="spellStart"/>
      <w:r w:rsidRPr="002906A3">
        <w:t>Belch</w:t>
      </w:r>
      <w:proofErr w:type="spellEnd"/>
      <w:r w:rsidRPr="002906A3">
        <w:t xml:space="preserve"> ve </w:t>
      </w:r>
      <w:proofErr w:type="spellStart"/>
      <w:r w:rsidRPr="002906A3">
        <w:t>Belch</w:t>
      </w:r>
      <w:proofErr w:type="spellEnd"/>
      <w:r w:rsidRPr="002906A3">
        <w:t xml:space="preserve"> (2018); Reklam ve promosyon stratejilerinde yaratıcı öğelerin doğru dengelemesi gerektiğini vurgulamaktadır.</w:t>
      </w:r>
    </w:p>
    <w:p w14:paraId="4EF90A1E" w14:textId="77777777" w:rsidR="00BA67A6" w:rsidRPr="002906A3" w:rsidRDefault="00BA67A6" w:rsidP="00BA67A6">
      <w:pPr>
        <w:jc w:val="both"/>
      </w:pPr>
    </w:p>
    <w:p w14:paraId="0576EF3C" w14:textId="77777777" w:rsidR="001E7189" w:rsidRDefault="001E7189" w:rsidP="00BA67A6">
      <w:pPr>
        <w:jc w:val="both"/>
      </w:pPr>
      <w:proofErr w:type="spellStart"/>
      <w:r w:rsidRPr="002906A3">
        <w:t>Fang</w:t>
      </w:r>
      <w:proofErr w:type="spellEnd"/>
      <w:r w:rsidRPr="002906A3">
        <w:t xml:space="preserve"> ve </w:t>
      </w:r>
      <w:proofErr w:type="spellStart"/>
      <w:r w:rsidRPr="002906A3">
        <w:t>Peress</w:t>
      </w:r>
      <w:proofErr w:type="spellEnd"/>
      <w:r w:rsidRPr="002906A3">
        <w:t xml:space="preserve"> (2009); Medya görünürlüğünün, şirketlerin hisse senedi getirileri üzerindeki etkisini tartışmaktadırlar.</w:t>
      </w:r>
    </w:p>
    <w:p w14:paraId="56238555" w14:textId="77777777" w:rsidR="00BA67A6" w:rsidRPr="002906A3" w:rsidRDefault="00BA67A6" w:rsidP="00BA67A6">
      <w:pPr>
        <w:jc w:val="both"/>
      </w:pPr>
    </w:p>
    <w:p w14:paraId="3EC4919C" w14:textId="77777777" w:rsidR="001E7189" w:rsidRDefault="001E7189" w:rsidP="00BA67A6">
      <w:pPr>
        <w:jc w:val="both"/>
      </w:pPr>
      <w:proofErr w:type="spellStart"/>
      <w:r w:rsidRPr="002906A3">
        <w:t>Barber</w:t>
      </w:r>
      <w:proofErr w:type="spellEnd"/>
      <w:r w:rsidRPr="002906A3">
        <w:t xml:space="preserve"> ve </w:t>
      </w:r>
      <w:proofErr w:type="spellStart"/>
      <w:r w:rsidRPr="002906A3">
        <w:t>Odean</w:t>
      </w:r>
      <w:proofErr w:type="spellEnd"/>
      <w:r w:rsidRPr="002906A3">
        <w:t xml:space="preserve"> (2008); Yatırımcıların sınırlı dikkatinin piyasa davranışlarını nasıl etkilediğini açıklamaktadırlar.</w:t>
      </w:r>
    </w:p>
    <w:p w14:paraId="1E3053D1" w14:textId="77777777" w:rsidR="00BA67A6" w:rsidRPr="002906A3" w:rsidRDefault="00BA67A6" w:rsidP="00BA67A6">
      <w:pPr>
        <w:jc w:val="both"/>
      </w:pPr>
    </w:p>
    <w:p w14:paraId="1612EC16" w14:textId="77777777" w:rsidR="001E7189" w:rsidRDefault="001E7189" w:rsidP="00BA67A6">
      <w:pPr>
        <w:jc w:val="both"/>
      </w:pPr>
      <w:proofErr w:type="spellStart"/>
      <w:r w:rsidRPr="002906A3">
        <w:t>Tetlock</w:t>
      </w:r>
      <w:proofErr w:type="spellEnd"/>
      <w:r w:rsidRPr="002906A3">
        <w:t xml:space="preserve"> (2007); Medya etkisinin piyasa duyarlılığı ve yatırımcı algısı üzerindeki etkilerini ölçümlemektedir.</w:t>
      </w:r>
    </w:p>
    <w:p w14:paraId="524C6EDD" w14:textId="77777777" w:rsidR="00BA67A6" w:rsidRPr="002906A3" w:rsidRDefault="00BA67A6" w:rsidP="00BA67A6">
      <w:pPr>
        <w:jc w:val="both"/>
      </w:pPr>
    </w:p>
    <w:p w14:paraId="6EF7B65F" w14:textId="77777777" w:rsidR="001E7189" w:rsidRDefault="001E7189" w:rsidP="00BA67A6">
      <w:pPr>
        <w:jc w:val="both"/>
      </w:pPr>
      <w:proofErr w:type="spellStart"/>
      <w:r w:rsidRPr="002906A3">
        <w:t>Huberman</w:t>
      </w:r>
      <w:proofErr w:type="spellEnd"/>
      <w:r w:rsidRPr="002906A3">
        <w:t xml:space="preserve"> ve </w:t>
      </w:r>
      <w:proofErr w:type="spellStart"/>
      <w:r w:rsidRPr="002906A3">
        <w:t>Regev</w:t>
      </w:r>
      <w:proofErr w:type="spellEnd"/>
      <w:r w:rsidRPr="002906A3">
        <w:t xml:space="preserve"> (2001); Medya spekülasyonlarının yatırımcı davranışlarını nasıl etkileyebileceğini göstermektedirler.</w:t>
      </w:r>
    </w:p>
    <w:p w14:paraId="6BCA07EA" w14:textId="77777777" w:rsidR="00BA67A6" w:rsidRPr="002906A3" w:rsidRDefault="00BA67A6" w:rsidP="00BA67A6">
      <w:pPr>
        <w:jc w:val="both"/>
      </w:pPr>
    </w:p>
    <w:p w14:paraId="301C4510" w14:textId="77777777" w:rsidR="001E7189" w:rsidRDefault="001E7189" w:rsidP="00BA67A6">
      <w:pPr>
        <w:jc w:val="both"/>
      </w:pPr>
      <w:proofErr w:type="spellStart"/>
      <w:r w:rsidRPr="002906A3">
        <w:t>Erdogan</w:t>
      </w:r>
      <w:proofErr w:type="spellEnd"/>
      <w:r w:rsidRPr="002906A3">
        <w:t xml:space="preserve"> (1999); Ünlü kullanımının marka iletisini ne şekilde gölgeleyebileceğini ve vampir etkisine yol açabileceğini tartışmaktadır.</w:t>
      </w:r>
    </w:p>
    <w:p w14:paraId="1D2F7425" w14:textId="77777777" w:rsidR="00BA67A6" w:rsidRPr="002906A3" w:rsidRDefault="00BA67A6" w:rsidP="00BA67A6">
      <w:pPr>
        <w:jc w:val="both"/>
      </w:pPr>
    </w:p>
    <w:p w14:paraId="47923587" w14:textId="77777777" w:rsidR="001E7189" w:rsidRDefault="001E7189" w:rsidP="00BA67A6">
      <w:pPr>
        <w:jc w:val="both"/>
      </w:pPr>
      <w:r w:rsidRPr="002906A3">
        <w:t xml:space="preserve">Hong ve </w:t>
      </w:r>
      <w:proofErr w:type="spellStart"/>
      <w:proofErr w:type="gramStart"/>
      <w:r w:rsidRPr="002906A3">
        <w:t>Stein</w:t>
      </w:r>
      <w:proofErr w:type="spellEnd"/>
      <w:r w:rsidRPr="002906A3">
        <w:t xml:space="preserve">  (</w:t>
      </w:r>
      <w:proofErr w:type="gramEnd"/>
      <w:r w:rsidRPr="002906A3">
        <w:t>1999); Dikkat dağıtıcı unsurların piyasalarda aşırı ya da yetersiz tepkilere yol açabileceğini tartışmaktadırlar.</w:t>
      </w:r>
    </w:p>
    <w:p w14:paraId="2926524A" w14:textId="77777777" w:rsidR="00BA67A6" w:rsidRPr="002906A3" w:rsidRDefault="00BA67A6" w:rsidP="00BA67A6">
      <w:pPr>
        <w:jc w:val="both"/>
      </w:pPr>
    </w:p>
    <w:p w14:paraId="4F1C5728" w14:textId="77777777" w:rsidR="001E7189" w:rsidRDefault="001E7189" w:rsidP="00BA67A6">
      <w:pPr>
        <w:jc w:val="both"/>
      </w:pPr>
      <w:proofErr w:type="spellStart"/>
      <w:r w:rsidRPr="002906A3">
        <w:t>Abernethy</w:t>
      </w:r>
      <w:proofErr w:type="spellEnd"/>
      <w:r w:rsidRPr="002906A3">
        <w:t xml:space="preserve"> ve </w:t>
      </w:r>
      <w:proofErr w:type="spellStart"/>
      <w:r w:rsidRPr="002906A3">
        <w:t>Butler</w:t>
      </w:r>
      <w:proofErr w:type="spellEnd"/>
      <w:r w:rsidRPr="002906A3">
        <w:t xml:space="preserve"> (1992); Reklamda dikkat çekici öğelerin, mesajın hatırlanabilirliği üzerindeki etkisini incelemektedir.</w:t>
      </w:r>
    </w:p>
    <w:p w14:paraId="452CDEA2" w14:textId="77777777" w:rsidR="00BA67A6" w:rsidRPr="002906A3" w:rsidRDefault="00BA67A6" w:rsidP="00BA67A6">
      <w:pPr>
        <w:jc w:val="both"/>
      </w:pPr>
    </w:p>
    <w:p w14:paraId="0D486E94" w14:textId="77777777" w:rsidR="001E7189" w:rsidRDefault="001E7189" w:rsidP="00BA67A6">
      <w:pPr>
        <w:jc w:val="both"/>
      </w:pPr>
      <w:proofErr w:type="spellStart"/>
      <w:r w:rsidRPr="002906A3">
        <w:lastRenderedPageBreak/>
        <w:t>Heath</w:t>
      </w:r>
      <w:proofErr w:type="spellEnd"/>
      <w:r w:rsidRPr="002906A3">
        <w:t xml:space="preserve"> ve </w:t>
      </w:r>
      <w:proofErr w:type="spellStart"/>
      <w:r w:rsidRPr="002906A3">
        <w:t>Tversky</w:t>
      </w:r>
      <w:proofErr w:type="spellEnd"/>
      <w:r w:rsidRPr="002906A3">
        <w:t xml:space="preserve"> (1991); Bilgi yüklemesi veya dikkat dağıtıcı unsurların karar alma sürecini nasıl etkilediğini analiz etmektedirler.</w:t>
      </w:r>
    </w:p>
    <w:p w14:paraId="0CA9A44B" w14:textId="77777777" w:rsidR="00BA67A6" w:rsidRPr="002906A3" w:rsidRDefault="00BA67A6" w:rsidP="00BA67A6">
      <w:pPr>
        <w:jc w:val="both"/>
      </w:pPr>
    </w:p>
    <w:p w14:paraId="2EC6DD76" w14:textId="77777777" w:rsidR="001E7189" w:rsidRDefault="001E7189" w:rsidP="00BA67A6">
      <w:pPr>
        <w:jc w:val="both"/>
      </w:pPr>
      <w:proofErr w:type="spellStart"/>
      <w:r w:rsidRPr="002906A3">
        <w:t>Rossiter</w:t>
      </w:r>
      <w:proofErr w:type="spellEnd"/>
      <w:r w:rsidRPr="002906A3">
        <w:t xml:space="preserve"> ve </w:t>
      </w:r>
      <w:proofErr w:type="spellStart"/>
      <w:r w:rsidRPr="002906A3">
        <w:t>Percy</w:t>
      </w:r>
      <w:proofErr w:type="spellEnd"/>
      <w:r w:rsidRPr="002906A3">
        <w:t xml:space="preserve"> (1987); Reklam iletilerinin etkili iletilmesi için dikkat dağıtıcı öğelerin ne şekilde yönetileceğine dair bir model sunmaktadır.</w:t>
      </w:r>
    </w:p>
    <w:p w14:paraId="0F2777B2" w14:textId="77777777" w:rsidR="00BA67A6" w:rsidRPr="002906A3" w:rsidRDefault="00BA67A6" w:rsidP="00BA67A6">
      <w:pPr>
        <w:jc w:val="both"/>
      </w:pPr>
    </w:p>
    <w:p w14:paraId="1E2ACC77" w14:textId="77777777" w:rsidR="001E7189" w:rsidRDefault="001E7189" w:rsidP="00BA67A6">
      <w:pPr>
        <w:jc w:val="both"/>
      </w:pPr>
      <w:proofErr w:type="spellStart"/>
      <w:r w:rsidRPr="002906A3">
        <w:t>Stewart</w:t>
      </w:r>
      <w:proofErr w:type="spellEnd"/>
      <w:r w:rsidRPr="002906A3">
        <w:t xml:space="preserve"> ve </w:t>
      </w:r>
      <w:proofErr w:type="spellStart"/>
      <w:r w:rsidRPr="002906A3">
        <w:t>Furse</w:t>
      </w:r>
      <w:proofErr w:type="spellEnd"/>
      <w:r w:rsidRPr="002906A3">
        <w:t xml:space="preserve"> (1986); Televizyon reklamlarında dikkat çekici öğelerin mesaj algısını ne şekilde etkilediğini çözümlemektedir.</w:t>
      </w:r>
    </w:p>
    <w:p w14:paraId="24FE48A7" w14:textId="77777777" w:rsidR="00BA67A6" w:rsidRPr="002906A3" w:rsidRDefault="00BA67A6" w:rsidP="00BA67A6">
      <w:pPr>
        <w:jc w:val="both"/>
      </w:pPr>
    </w:p>
    <w:p w14:paraId="6AF2A77A" w14:textId="77777777" w:rsidR="001E7189" w:rsidRDefault="001E7189" w:rsidP="00BA67A6">
      <w:pPr>
        <w:jc w:val="both"/>
      </w:pPr>
      <w:r w:rsidRPr="002906A3">
        <w:t>Sonuç olarak; her iki alanda da "dikkat çekici unsurların" mesajı veya amacı gölgelemesi teması işlenmektedir. Pazarlamada reklam mesajları, finans literatüründe ise temel finansal göstergeler veya piyasa olayları bu etkiyle geri planda bırakabilmektedir.</w:t>
      </w:r>
    </w:p>
    <w:p w14:paraId="61B026AC" w14:textId="77777777" w:rsidR="00B622AD" w:rsidRPr="002906A3" w:rsidRDefault="00B622AD" w:rsidP="00BA67A6">
      <w:pPr>
        <w:jc w:val="both"/>
      </w:pPr>
    </w:p>
    <w:p w14:paraId="7A0FE0A3" w14:textId="77777777" w:rsidR="001E7189" w:rsidRPr="002906A3" w:rsidRDefault="001E7189" w:rsidP="00BA67A6">
      <w:pPr>
        <w:jc w:val="both"/>
        <w:rPr>
          <w:b/>
          <w:bCs/>
        </w:rPr>
      </w:pPr>
      <w:r w:rsidRPr="002906A3">
        <w:rPr>
          <w:b/>
          <w:bCs/>
        </w:rPr>
        <w:t>1. KAVRAMSAL ÇERÇEVE</w:t>
      </w:r>
    </w:p>
    <w:p w14:paraId="4E29CE04" w14:textId="6534FC8E" w:rsidR="001E7189" w:rsidRDefault="001E7189" w:rsidP="00BA67A6">
      <w:pPr>
        <w:jc w:val="both"/>
      </w:pPr>
      <w:r w:rsidRPr="002906A3">
        <w:t>Çalışmanın bu kısımda kavramlar ışığında kavramsal çerçeve oluşturulmuş olup detaylı olarak aşağıda sırasıyla sunulmuştur.</w:t>
      </w:r>
    </w:p>
    <w:p w14:paraId="4D1AB960" w14:textId="77777777" w:rsidR="00B622AD" w:rsidRPr="002906A3" w:rsidRDefault="00B622AD" w:rsidP="00BA67A6">
      <w:pPr>
        <w:jc w:val="both"/>
      </w:pPr>
    </w:p>
    <w:p w14:paraId="34D15296" w14:textId="77777777" w:rsidR="001E7189" w:rsidRPr="002906A3" w:rsidRDefault="001E7189" w:rsidP="00BA67A6">
      <w:pPr>
        <w:rPr>
          <w:b/>
        </w:rPr>
      </w:pPr>
      <w:r w:rsidRPr="002906A3">
        <w:rPr>
          <w:b/>
        </w:rPr>
        <w:t>1.1. Pazarlama Disiplininde Vampir Etkisi</w:t>
      </w:r>
    </w:p>
    <w:p w14:paraId="5D5A03E1" w14:textId="3CC9C6E7" w:rsidR="001E7189" w:rsidRDefault="001E7189" w:rsidP="00BA67A6">
      <w:pPr>
        <w:jc w:val="both"/>
      </w:pPr>
      <w:r w:rsidRPr="002906A3">
        <w:t>Reklam, birçok aşamadan geçerek günümüzdeki halini almıştır. Reklamcılığı en fazla fotoğraf makinasının keşfi etkilemiştir. Popüler imaj çağının belirleyenlerinden biri olan reklam, önemli dönüşümünü 19. Yüzyıl’da fotoğrafla birlikte gerçekleştirmiştir. Akabinde ulaşım ağının ilerlemesi sayesinde gazete ve dergilerin daha fazla okura erişimiyle reklamın gelişimi hızla büyüyerek devam etmiştir. 20. yüzyıla gelindiğinde ise özellikle kitle iletişim araçlarının gelişmesiyle beraber, reklamcılık bir sektör, bir davranış öğretici güç halini almıştır. Reklam, bir ürün veya hizmetin medya olanaklarından faydalanarak geniş kitlelere tanıtılmasıdır. Bu tanıtım, kişileri belli bir yere yönlendirmek, dikkatlerini bir ürüne veya hizmete çekmek, bu ürün ve hizmetler hakkında bilgi vermek gayesini gütmektedir. Reklamlar iletişim araçlarından yer ya da süre satın alarak sergilenebilir ya da gazete, dergi gibi basılı yollarla da kitlelere iletilebilmektedir (Kaya, 2018). Reklamların yaygınlık kazanmasıyla ürün tanıtımında popüler kültürde ünlüler çok fazla kullanılmaya başlanmıştır. Bu durum olumlu sonuçların yanında olumsuz sonuçlara da sebep olmuştur. Olumsuz sonucun sebep olduğu kavramlardan biri de vampir etkisi olmuştur.</w:t>
      </w:r>
    </w:p>
    <w:p w14:paraId="14E8C0CD" w14:textId="77777777" w:rsidR="00BA67A6" w:rsidRPr="002906A3" w:rsidRDefault="00BA67A6" w:rsidP="00BA67A6">
      <w:pPr>
        <w:jc w:val="both"/>
      </w:pPr>
    </w:p>
    <w:p w14:paraId="6153C233" w14:textId="77777777" w:rsidR="001E7189" w:rsidRDefault="001E7189" w:rsidP="00BA67A6">
      <w:pPr>
        <w:jc w:val="both"/>
      </w:pPr>
      <w:r w:rsidRPr="002906A3">
        <w:t xml:space="preserve">Vampir etkisi kavramı, pazarlama yazınında ilk defa 1990’lı yıllarda akademik olarak açıklanmıştır. İlk tanımlama </w:t>
      </w:r>
      <w:proofErr w:type="spellStart"/>
      <w:r w:rsidRPr="002906A3">
        <w:t>Abernethy</w:t>
      </w:r>
      <w:proofErr w:type="spellEnd"/>
      <w:r w:rsidRPr="002906A3">
        <w:t xml:space="preserve"> ve </w:t>
      </w:r>
      <w:proofErr w:type="spellStart"/>
      <w:r w:rsidRPr="002906A3">
        <w:t>Butler’in</w:t>
      </w:r>
      <w:proofErr w:type="spellEnd"/>
      <w:r w:rsidRPr="002906A3">
        <w:t xml:space="preserve"> 1992 yılında çalışmasında olmuştur. Bu makalede, reklam iletilerinin “yaratıcı unsurlar” tarafından gölgelenmesi ele alınmıştır. Yine </w:t>
      </w:r>
      <w:proofErr w:type="spellStart"/>
      <w:r w:rsidRPr="002906A3">
        <w:t>Stewart</w:t>
      </w:r>
      <w:proofErr w:type="spellEnd"/>
      <w:r w:rsidRPr="002906A3">
        <w:t xml:space="preserve"> ve </w:t>
      </w:r>
      <w:proofErr w:type="spellStart"/>
      <w:r w:rsidRPr="002906A3">
        <w:t>Furse</w:t>
      </w:r>
      <w:proofErr w:type="spellEnd"/>
      <w:r w:rsidRPr="002906A3">
        <w:t xml:space="preserve"> (1986) tarafından yapılan çalışmalar, reklamın dikkat çekicilik ile mesaj hatırlanabilirliği arasındaki bağlantıyı incelemiş ve bazı dikkat çekici reklamların ürünün kendisini geri planda bırakabileceği sonucuna ulaşmışlardır. 1987 yılında </w:t>
      </w:r>
      <w:proofErr w:type="spellStart"/>
      <w:r w:rsidRPr="002906A3">
        <w:t>Rossiter</w:t>
      </w:r>
      <w:proofErr w:type="spellEnd"/>
      <w:r w:rsidRPr="002906A3">
        <w:t xml:space="preserve"> ve </w:t>
      </w:r>
      <w:proofErr w:type="spellStart"/>
      <w:r w:rsidRPr="002906A3">
        <w:t>Percy</w:t>
      </w:r>
      <w:proofErr w:type="spellEnd"/>
      <w:r w:rsidRPr="002906A3">
        <w:t xml:space="preserve"> çalışmasında reklam iletilerinin nasıl daha etkili bir biçimde aktarılabileceği ve tüketici davranışları üzerinde nasıl bir etkiye sebep olabileceği konularına odaklanmaktadır. </w:t>
      </w:r>
      <w:proofErr w:type="spellStart"/>
      <w:r w:rsidRPr="002906A3">
        <w:t>Erdogan</w:t>
      </w:r>
      <w:proofErr w:type="spellEnd"/>
      <w:r w:rsidRPr="002906A3">
        <w:t xml:space="preserve"> 1999 yılında yazdığı "</w:t>
      </w:r>
      <w:proofErr w:type="spellStart"/>
      <w:r w:rsidRPr="002906A3">
        <w:t>Celebrity</w:t>
      </w:r>
      <w:proofErr w:type="spellEnd"/>
      <w:r w:rsidRPr="002906A3">
        <w:t xml:space="preserve"> </w:t>
      </w:r>
      <w:proofErr w:type="spellStart"/>
      <w:r w:rsidRPr="002906A3">
        <w:t>Endorsement</w:t>
      </w:r>
      <w:proofErr w:type="spellEnd"/>
      <w:r w:rsidRPr="002906A3">
        <w:t xml:space="preserve">: A </w:t>
      </w:r>
      <w:proofErr w:type="spellStart"/>
      <w:r w:rsidRPr="002906A3">
        <w:t>Literature</w:t>
      </w:r>
      <w:proofErr w:type="spellEnd"/>
      <w:r w:rsidRPr="002906A3">
        <w:t xml:space="preserve"> </w:t>
      </w:r>
      <w:proofErr w:type="spellStart"/>
      <w:r w:rsidRPr="002906A3">
        <w:t>Review</w:t>
      </w:r>
      <w:proofErr w:type="spellEnd"/>
      <w:r w:rsidRPr="002906A3">
        <w:t>" makalesi, pazarlama ve reklamcılıkta ünlü kullanımını sistematik bir biçimde ele alan detaylı bir yazın taraması gerçekleştirmiştir. Bu çalışma, ünlü destekçilerinin marka performansı üzerindeki etkilerini ve bu alandaki önemli teorik yaklaşımları tartışmaktadır.</w:t>
      </w:r>
    </w:p>
    <w:p w14:paraId="6B9A237B" w14:textId="77777777" w:rsidR="00BA67A6" w:rsidRPr="002906A3" w:rsidRDefault="00BA67A6" w:rsidP="00BA67A6">
      <w:pPr>
        <w:jc w:val="both"/>
      </w:pPr>
    </w:p>
    <w:p w14:paraId="654E1B35" w14:textId="23E0544D" w:rsidR="001E7189" w:rsidRDefault="001E7189" w:rsidP="00BA67A6">
      <w:pPr>
        <w:jc w:val="both"/>
      </w:pPr>
      <w:r w:rsidRPr="002906A3">
        <w:t xml:space="preserve">Vampir etkisi, genel olarak hedef kitlenin dikkatini üründen veya markadan uzaklaştıran ve </w:t>
      </w:r>
      <w:r w:rsidRPr="002906A3">
        <w:lastRenderedPageBreak/>
        <w:t>böylece tüketicilerin ürünü veya markayı hatırlamasını engelleyen bir görüntü, nesne ya da kişi olarak tanımlanmaktadır (</w:t>
      </w:r>
      <w:proofErr w:type="spellStart"/>
      <w:r w:rsidRPr="002906A3">
        <w:t>Kuvita</w:t>
      </w:r>
      <w:proofErr w:type="spellEnd"/>
      <w:r w:rsidRPr="002906A3">
        <w:t xml:space="preserve"> ve </w:t>
      </w:r>
      <w:proofErr w:type="spellStart"/>
      <w:r w:rsidRPr="002906A3">
        <w:t>Karlicek</w:t>
      </w:r>
      <w:proofErr w:type="spellEnd"/>
      <w:r w:rsidRPr="002906A3">
        <w:t>, 2014).  Vampir etkisine yazında gölgeleme etkisi de denmektedir. Reklamlarda vampir etkisinin ortaya çıkmasında ünlü kullanımını yazar şu şekilde ifade ederek açıklamaktadır: Ünlülerin kullanımı, reklamını yaptıkları ürünle belirgin ve belirli bir ilişkileri yoksa, 'vampir etkisi' üretme eğilimindedir; ürünün tanınırlığını azaltırlar ya da hayatta kalmasını engellerler; tüketici ünlüyü hatırlar, ancak ürünü hatırlamamaktadır (</w:t>
      </w:r>
      <w:proofErr w:type="spellStart"/>
      <w:r w:rsidRPr="002906A3">
        <w:t>Erfgen</w:t>
      </w:r>
      <w:proofErr w:type="spellEnd"/>
      <w:r w:rsidRPr="002906A3">
        <w:t xml:space="preserve">, </w:t>
      </w:r>
      <w:proofErr w:type="spellStart"/>
      <w:r w:rsidRPr="002906A3">
        <w:t>Zenker</w:t>
      </w:r>
      <w:proofErr w:type="spellEnd"/>
      <w:r w:rsidRPr="002906A3">
        <w:t xml:space="preserve"> ve </w:t>
      </w:r>
      <w:proofErr w:type="spellStart"/>
      <w:r w:rsidRPr="002906A3">
        <w:t>Sattler</w:t>
      </w:r>
      <w:proofErr w:type="spellEnd"/>
      <w:r w:rsidRPr="002906A3">
        <w:t>, 2015). Bir diğer çalışmada vampir etkisi olası riskler ışığında açıklanmıştır. Reklamlarda ünlü tercih edilmesinin en önemli risklerinden birisi, “Vampir Etkisi” olarak ifade edilen reklamda kullanılacak olan ünlünün reklamı yapılan ürün veya hizmetin önüne geçmesi durumu olmasıdır. Başka bir ifadeyle, tüketicilerin tüm dikkatlerini ünlü kişide odaklamaları neticesinde markaya ilişkin iletiyi kaçırmaları durumudur (Erkal, 2013).</w:t>
      </w:r>
    </w:p>
    <w:p w14:paraId="053D420B" w14:textId="77777777" w:rsidR="00BA67A6" w:rsidRPr="002906A3" w:rsidRDefault="00BA67A6" w:rsidP="00BA67A6">
      <w:pPr>
        <w:jc w:val="both"/>
      </w:pPr>
    </w:p>
    <w:p w14:paraId="0076A3B0" w14:textId="77777777" w:rsidR="001E7189" w:rsidRPr="002906A3" w:rsidRDefault="001E7189" w:rsidP="00BA67A6">
      <w:pPr>
        <w:jc w:val="both"/>
      </w:pPr>
      <w:r w:rsidRPr="002906A3">
        <w:t xml:space="preserve">Ünlülerin, reklamda tanıttığı ürünü gölgeleme yapacak kadar öne çıktığı durumlar mevcuttur. Böyle bir durum, popülaritesi yüksek olan bir ünlünün, yeni pazara sunulan, tanıtımı yeni yapılan bir üründe kullanılmasında görülebilmektedir. Yeni bir ürün eğer o markanın imajı ile uyuşmuyorsa kolaylıkla ünlünün gölgesi altında kalabilmektedir. Bu durum, ünlünün, o ürünün kanını emmesi biçiminde açıklanmaktadır (aktaran </w:t>
      </w:r>
      <w:proofErr w:type="spellStart"/>
      <w:r w:rsidRPr="002906A3">
        <w:t>Yolaçan</w:t>
      </w:r>
      <w:proofErr w:type="spellEnd"/>
      <w:r w:rsidRPr="002906A3">
        <w:t>, 2016). Buradan hareketle ünlü destekçi kullanmanın potansiyel avantajlarının yanında birtakım dezavantajlarının ya da tehlikelerinin olduğu görülmektedir. Ünlü destekçisi tercih etmenin avantajları, tehlikeleri ve bu tehlikeleri önleyebilecek taktikler aşağıda yer alan tabloda sunulmaktadır (</w:t>
      </w:r>
      <w:proofErr w:type="spellStart"/>
      <w:r w:rsidRPr="002906A3">
        <w:t>Erdogan</w:t>
      </w:r>
      <w:proofErr w:type="spellEnd"/>
      <w:r w:rsidRPr="002906A3">
        <w:t>, 1999):</w:t>
      </w:r>
    </w:p>
    <w:p w14:paraId="62724BD6" w14:textId="77777777" w:rsidR="001E7189" w:rsidRPr="002906A3" w:rsidRDefault="001E7189" w:rsidP="00BA67A6">
      <w:pPr>
        <w:jc w:val="center"/>
      </w:pPr>
      <w:r w:rsidRPr="002906A3">
        <w:rPr>
          <w:b/>
        </w:rPr>
        <w:t>Tablo 1:</w:t>
      </w:r>
      <w:r w:rsidRPr="002906A3">
        <w:t xml:space="preserve"> Ünlü Destek Stratejisinin Potansiyel Avantajları ve Potansiyel Riskleri</w:t>
      </w:r>
    </w:p>
    <w:tbl>
      <w:tblPr>
        <w:tblStyle w:val="AkGlgeleme"/>
        <w:tblW w:w="0" w:type="auto"/>
        <w:tblLook w:val="04A0" w:firstRow="1" w:lastRow="0" w:firstColumn="1" w:lastColumn="0" w:noHBand="0" w:noVBand="1"/>
      </w:tblPr>
      <w:tblGrid>
        <w:gridCol w:w="3037"/>
        <w:gridCol w:w="3007"/>
        <w:gridCol w:w="3026"/>
      </w:tblGrid>
      <w:tr w:rsidR="001E7189" w:rsidRPr="002906A3" w14:paraId="53D8FA85" w14:textId="77777777" w:rsidTr="00D23B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55D433B9"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Potansiyel Avantajlar</w:t>
            </w:r>
          </w:p>
        </w:tc>
        <w:tc>
          <w:tcPr>
            <w:tcW w:w="3071" w:type="dxa"/>
          </w:tcPr>
          <w:p w14:paraId="48D1237D" w14:textId="77777777" w:rsidR="001E7189" w:rsidRPr="002906A3" w:rsidRDefault="001E7189" w:rsidP="00BA67A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Potansiyel Riskler</w:t>
            </w:r>
          </w:p>
        </w:tc>
        <w:tc>
          <w:tcPr>
            <w:tcW w:w="3071" w:type="dxa"/>
          </w:tcPr>
          <w:p w14:paraId="1A4B3FBD" w14:textId="77777777" w:rsidR="001E7189" w:rsidRPr="002906A3" w:rsidRDefault="001E7189" w:rsidP="00BA67A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Önleyici Taktikler</w:t>
            </w:r>
          </w:p>
        </w:tc>
      </w:tr>
      <w:tr w:rsidR="001E7189" w:rsidRPr="002906A3" w14:paraId="59DAE6E1" w14:textId="77777777" w:rsidTr="00D23B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460F9762"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Dikkati artırma</w:t>
            </w:r>
          </w:p>
        </w:tc>
        <w:tc>
          <w:tcPr>
            <w:tcW w:w="3071" w:type="dxa"/>
          </w:tcPr>
          <w:p w14:paraId="5F2F66FD"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Markayı gölgede bırakmak</w:t>
            </w:r>
          </w:p>
        </w:tc>
        <w:tc>
          <w:tcPr>
            <w:tcW w:w="3071" w:type="dxa"/>
          </w:tcPr>
          <w:p w14:paraId="388ED054"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Ön test ve dikkatli planlama gerçekleştirme</w:t>
            </w:r>
          </w:p>
        </w:tc>
      </w:tr>
      <w:tr w:rsidR="001E7189" w:rsidRPr="002906A3" w14:paraId="0C862C89" w14:textId="77777777" w:rsidTr="00D23BA5">
        <w:tc>
          <w:tcPr>
            <w:cnfStyle w:val="001000000000" w:firstRow="0" w:lastRow="0" w:firstColumn="1" w:lastColumn="0" w:oddVBand="0" w:evenVBand="0" w:oddHBand="0" w:evenHBand="0" w:firstRowFirstColumn="0" w:firstRowLastColumn="0" w:lastRowFirstColumn="0" w:lastRowLastColumn="0"/>
            <w:tcW w:w="3070" w:type="dxa"/>
          </w:tcPr>
          <w:p w14:paraId="3DD820B4"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İmaj parlatma</w:t>
            </w:r>
          </w:p>
        </w:tc>
        <w:tc>
          <w:tcPr>
            <w:tcW w:w="3071" w:type="dxa"/>
          </w:tcPr>
          <w:p w14:paraId="276B6080" w14:textId="77777777" w:rsidR="001E7189" w:rsidRPr="002906A3" w:rsidRDefault="001E7189" w:rsidP="00BA67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Kamuoyu tartışmaları</w:t>
            </w:r>
          </w:p>
        </w:tc>
        <w:tc>
          <w:tcPr>
            <w:tcW w:w="3071" w:type="dxa"/>
          </w:tcPr>
          <w:p w14:paraId="5D61D06F" w14:textId="77777777" w:rsidR="001E7189" w:rsidRPr="002906A3" w:rsidRDefault="001E7189" w:rsidP="00BA67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Sigorta satın alma ve sözleşmeye hüküm maddeleri koyma</w:t>
            </w:r>
          </w:p>
        </w:tc>
      </w:tr>
      <w:tr w:rsidR="001E7189" w:rsidRPr="002906A3" w14:paraId="02549266" w14:textId="77777777" w:rsidTr="00D23B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2674110"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Markayı tanıtma</w:t>
            </w:r>
          </w:p>
        </w:tc>
        <w:tc>
          <w:tcPr>
            <w:tcW w:w="3071" w:type="dxa"/>
          </w:tcPr>
          <w:p w14:paraId="1E37CC9F"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İmaj değişikliği ve aşırı maruz bırakma</w:t>
            </w:r>
          </w:p>
        </w:tc>
        <w:tc>
          <w:tcPr>
            <w:tcW w:w="3071" w:type="dxa"/>
          </w:tcPr>
          <w:p w14:paraId="5DB1A004"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Yükümlülüklerin nelerden oluştuğunu açıklamak ve diğer markalar için destekçi olmalarını kısıtlamak için maddeler koymak</w:t>
            </w:r>
          </w:p>
        </w:tc>
      </w:tr>
      <w:tr w:rsidR="001E7189" w:rsidRPr="002906A3" w14:paraId="596BE253" w14:textId="77777777" w:rsidTr="00D23BA5">
        <w:tc>
          <w:tcPr>
            <w:cnfStyle w:val="001000000000" w:firstRow="0" w:lastRow="0" w:firstColumn="1" w:lastColumn="0" w:oddVBand="0" w:evenVBand="0" w:oddHBand="0" w:evenHBand="0" w:firstRowFirstColumn="0" w:firstRowLastColumn="0" w:lastRowFirstColumn="0" w:lastRowLastColumn="0"/>
            <w:tcW w:w="3070" w:type="dxa"/>
          </w:tcPr>
          <w:p w14:paraId="0180F779"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Markanın tekrardan konumlandırılması</w:t>
            </w:r>
          </w:p>
        </w:tc>
        <w:tc>
          <w:tcPr>
            <w:tcW w:w="3071" w:type="dxa"/>
          </w:tcPr>
          <w:p w14:paraId="4BA29B13" w14:textId="77777777" w:rsidR="001E7189" w:rsidRPr="002906A3" w:rsidRDefault="001E7189" w:rsidP="00BA67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İmaj değişikliği ve tanınırlığını yitirme</w:t>
            </w:r>
          </w:p>
        </w:tc>
        <w:tc>
          <w:tcPr>
            <w:tcW w:w="3071" w:type="dxa"/>
          </w:tcPr>
          <w:p w14:paraId="382408A1" w14:textId="77777777" w:rsidR="001E7189" w:rsidRPr="002906A3" w:rsidRDefault="001E7189" w:rsidP="00BA67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Ünlünün hangi yaşam döngüsü aşamasında olduğunu ve bu aşamanın ne kadar süre devam edeceğini incelemek</w:t>
            </w:r>
          </w:p>
        </w:tc>
      </w:tr>
      <w:tr w:rsidR="001E7189" w:rsidRPr="002906A3" w14:paraId="5DF7E146" w14:textId="77777777" w:rsidTr="00D23B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AD68231" w14:textId="77777777" w:rsidR="001E7189" w:rsidRPr="002906A3" w:rsidRDefault="001E7189" w:rsidP="00BA67A6">
            <w:pPr>
              <w:jc w:val="both"/>
              <w:rPr>
                <w:rFonts w:ascii="Times New Roman" w:hAnsi="Times New Roman" w:cs="Times New Roman"/>
                <w:sz w:val="24"/>
                <w:szCs w:val="24"/>
              </w:rPr>
            </w:pPr>
            <w:r w:rsidRPr="002906A3">
              <w:rPr>
                <w:rFonts w:ascii="Times New Roman" w:hAnsi="Times New Roman" w:cs="Times New Roman"/>
                <w:sz w:val="24"/>
                <w:szCs w:val="24"/>
              </w:rPr>
              <w:t>Yaygın tüketici kitlesine hitap edebilme</w:t>
            </w:r>
          </w:p>
        </w:tc>
        <w:tc>
          <w:tcPr>
            <w:tcW w:w="3071" w:type="dxa"/>
          </w:tcPr>
          <w:p w14:paraId="324D44D4"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Pahalı</w:t>
            </w:r>
          </w:p>
        </w:tc>
        <w:tc>
          <w:tcPr>
            <w:tcW w:w="3071" w:type="dxa"/>
          </w:tcPr>
          <w:p w14:paraId="5956473D" w14:textId="77777777" w:rsidR="001E7189" w:rsidRPr="002906A3" w:rsidRDefault="001E7189" w:rsidP="00BA67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06A3">
              <w:rPr>
                <w:rFonts w:ascii="Times New Roman" w:hAnsi="Times New Roman" w:cs="Times New Roman"/>
                <w:sz w:val="24"/>
                <w:szCs w:val="24"/>
              </w:rPr>
              <w:t>Popüler oldukları için değil, küresel hedef kitleye uygun olan ünlüleri seçmek</w:t>
            </w:r>
          </w:p>
        </w:tc>
      </w:tr>
    </w:tbl>
    <w:p w14:paraId="098A2CC6" w14:textId="700ED347" w:rsidR="001E7189" w:rsidRPr="002906A3" w:rsidRDefault="001E7189" w:rsidP="00BA67A6">
      <w:pPr>
        <w:jc w:val="both"/>
      </w:pPr>
      <w:r w:rsidRPr="002906A3">
        <w:t xml:space="preserve">Tablo 1’de, reklamda ünlü destekçi kullanımının tüketicilerdeki ürün ya da markaya karşı ilgiyi artırma, marka hakkında bilgi vererek markayı tanıtma, tüketicilerin zihninde istenen marka imajını geliştirme, marka imajını yeniden konumlandırma ve kitlelere hitap edebilme gibi potansiyel avantajları olduğu görülmektedir. Diğer yandan, reklamda ünlü kullanımının, ünlünün markanın önüne geçmesi, skandallar neticesinde kamuoyunda çıkan tartışmaların markayı gölgelemesi, var olan imajın kaybolması ve ünlü kullanımının maliyetli olması gibi </w:t>
      </w:r>
      <w:r w:rsidRPr="002906A3">
        <w:lastRenderedPageBreak/>
        <w:t>potansiyel risklere sahip olduğunu söylemek olasıdır (Avcılar ve Açar, 2017).</w:t>
      </w:r>
    </w:p>
    <w:p w14:paraId="14E46274" w14:textId="77777777" w:rsidR="001E7189" w:rsidRDefault="001E7189" w:rsidP="00BA67A6">
      <w:pPr>
        <w:jc w:val="both"/>
      </w:pPr>
      <w:r w:rsidRPr="002906A3">
        <w:t xml:space="preserve">Pazarlama disiplininde vampir etkisiyle hedeflenen ileti, tüketicinin zihninde etkili bir biçimde bulunamaz, çünkü dikkat tümüyle öteki öğelere geçmektedir. Reklamlarda tercih edilen herhangi bir obje, model, ünlü kişi ya da mesaj hedef kitlenin ilgisini üründen/markadan uzaklaştırıp Vampir etkisine sebep olabilmektedir. Bu sebeple hangi öğenin Vampir etkisi oluşturabileceğini önceden tahminde bulunmak zorlaşabilmektedir (Tokmak, 2018).  Vampir etkisinin yaşandığı reklam örneklerine rastlamak mümkündür. Ünlü kullanımının olduğu reklamlarda tüketiciler tarafından en çok konuşulan durumun marka değil de diğer obje ve ünlülerin olduğu görülmektedir. Örneğin; Tarkan’ </w:t>
      </w:r>
      <w:proofErr w:type="spellStart"/>
      <w:r w:rsidRPr="002906A3">
        <w:t>ın</w:t>
      </w:r>
      <w:proofErr w:type="spellEnd"/>
      <w:r w:rsidRPr="002906A3">
        <w:t xml:space="preserve"> oynadığı Trendyol reklam filmi, </w:t>
      </w:r>
      <w:proofErr w:type="spellStart"/>
      <w:r w:rsidRPr="002906A3">
        <w:t>Britney</w:t>
      </w:r>
      <w:proofErr w:type="spellEnd"/>
      <w:r w:rsidRPr="002906A3">
        <w:t xml:space="preserve"> </w:t>
      </w:r>
      <w:proofErr w:type="spellStart"/>
      <w:r w:rsidRPr="002906A3">
        <w:t>Spears</w:t>
      </w:r>
      <w:proofErr w:type="spellEnd"/>
      <w:r w:rsidRPr="002906A3">
        <w:t xml:space="preserve"> </w:t>
      </w:r>
      <w:proofErr w:type="gramStart"/>
      <w:r w:rsidRPr="002906A3">
        <w:t xml:space="preserve">‘ </w:t>
      </w:r>
      <w:proofErr w:type="spellStart"/>
      <w:r w:rsidRPr="002906A3">
        <w:t>ın</w:t>
      </w:r>
      <w:proofErr w:type="spellEnd"/>
      <w:proofErr w:type="gramEnd"/>
      <w:r w:rsidRPr="002906A3">
        <w:t xml:space="preserve"> oynadığı Pepsi reklamı, Hepsi Burada da Cem Yılmaz, Koton da Fahriye </w:t>
      </w:r>
      <w:proofErr w:type="spellStart"/>
      <w:r w:rsidRPr="002906A3">
        <w:t>Evcen</w:t>
      </w:r>
      <w:proofErr w:type="spellEnd"/>
      <w:r w:rsidRPr="002906A3">
        <w:t xml:space="preserve">, Mavi de Kıvanç Tatlıtuğ vb. ünlülerin oynadığı reklamlarda vampir etkisinin esintilerinin olduğu görülebilmektedir. Bu ünlülerin oynadığı reklam filmlerinde izleyicilerin ya da tüketicilerin ilk aklına gelen markadan ziyade ünlü, obje, model </w:t>
      </w:r>
      <w:proofErr w:type="spellStart"/>
      <w:r w:rsidRPr="002906A3">
        <w:t>vb</w:t>
      </w:r>
      <w:proofErr w:type="spellEnd"/>
      <w:r w:rsidRPr="002906A3">
        <w:t xml:space="preserve"> durumların olduğu görülmektedir. Bu da markaların hatırlanma aşamasının ünlülerle entegre olduğunu göstererek ilk akla gelenin marka değil de ünlü olması markanın vermek istediği iletiyi de ikinci plana ittiği sonucuna sebep olmaktadır.</w:t>
      </w:r>
    </w:p>
    <w:p w14:paraId="4C1D78CA" w14:textId="77777777" w:rsidR="00B622AD" w:rsidRPr="002906A3" w:rsidRDefault="00B622AD" w:rsidP="00BA67A6">
      <w:pPr>
        <w:jc w:val="both"/>
      </w:pPr>
    </w:p>
    <w:p w14:paraId="18A1AA4D" w14:textId="77777777" w:rsidR="001E7189" w:rsidRPr="002906A3" w:rsidRDefault="001E7189" w:rsidP="00BA67A6">
      <w:pPr>
        <w:jc w:val="both"/>
        <w:rPr>
          <w:b/>
        </w:rPr>
      </w:pPr>
      <w:r w:rsidRPr="002906A3">
        <w:rPr>
          <w:b/>
        </w:rPr>
        <w:t>1.2. Finans Disiplininde Vampir Etkisi</w:t>
      </w:r>
    </w:p>
    <w:p w14:paraId="0D0EFB41" w14:textId="77777777" w:rsidR="001E7189" w:rsidRDefault="001E7189" w:rsidP="00BA67A6">
      <w:pPr>
        <w:jc w:val="both"/>
      </w:pPr>
      <w:r w:rsidRPr="002906A3">
        <w:t>Vampir etkisi, başlangıçta medya ve pazarlama literatüründe ortaya çıkan bir kavram olmakla birlikte, finans disipliniyle de dolaylı bir ilişkiye sahiptir. Finansal bağlamda bu kavram, bir finansal olayın, stratejinin veya varlığın diğer finansal unsurların algısını, performansını ya da kaynak kullanımını gölgede bırakması durumunu ifade eder (</w:t>
      </w:r>
      <w:proofErr w:type="spellStart"/>
      <w:r w:rsidRPr="002906A3">
        <w:t>Shleifer</w:t>
      </w:r>
      <w:proofErr w:type="spellEnd"/>
      <w:r w:rsidRPr="002906A3">
        <w:t xml:space="preserve"> ve </w:t>
      </w:r>
      <w:proofErr w:type="spellStart"/>
      <w:r w:rsidRPr="002906A3">
        <w:t>Vishny</w:t>
      </w:r>
      <w:proofErr w:type="spellEnd"/>
      <w:r w:rsidRPr="002906A3">
        <w:t>, 1997). Özellikle sermaye piyasaları, şirket birleşmeleri ve yatırımlar gibi alanlarda, vampir etkisi yatırımcı davranışlarını ve piyasa dinamiklerini önemli ölçüde şekillendirebilir.</w:t>
      </w:r>
    </w:p>
    <w:p w14:paraId="24A34309" w14:textId="77777777" w:rsidR="00BA67A6" w:rsidRPr="002906A3" w:rsidRDefault="00BA67A6" w:rsidP="00BA67A6">
      <w:pPr>
        <w:jc w:val="both"/>
      </w:pPr>
    </w:p>
    <w:p w14:paraId="12C9B7B2" w14:textId="77777777" w:rsidR="001E7189" w:rsidRDefault="001E7189" w:rsidP="00BA67A6">
      <w:pPr>
        <w:jc w:val="both"/>
      </w:pPr>
      <w:r w:rsidRPr="002906A3">
        <w:t xml:space="preserve">Büyük ölçekli finansal olaylar, piyasa katılımcılarının dikkatini belirli bir yöne çekerek diğer varlıkların veya finansal olayların göz ardı edilmesine neden olabilir (Mitchell ve </w:t>
      </w:r>
      <w:proofErr w:type="spellStart"/>
      <w:r w:rsidRPr="002906A3">
        <w:t>Mulherin</w:t>
      </w:r>
      <w:proofErr w:type="spellEnd"/>
      <w:r w:rsidRPr="002906A3">
        <w:t>, 1996). Bu durum, yatırımcıların likidite dağılımını ve karar alma süreçlerini etkileyerek, piyasalarda dengesizliklere yol açabilir. Vampir etkisi, yatırımcıların dikkatinin belirli bir olay ya da varlık üzerinde yoğunlaşması sonucunda, diğer finansal unsurların ilgi ve likidite kaybetmesi şeklinde kendini gösterir (</w:t>
      </w:r>
      <w:proofErr w:type="spellStart"/>
      <w:r w:rsidRPr="002906A3">
        <w:t>Ritter</w:t>
      </w:r>
      <w:proofErr w:type="spellEnd"/>
      <w:r w:rsidRPr="002906A3">
        <w:t>, 1991). Özellikle piyasanın likidite yoğunlaşmasının daraldığı dönemlerde bu etki daha belirgin hale gelir. Pazarlama literatüründe temellenen bir kavram olmasına rağmen, vampir etkisi, finansal piyasalarda da dikkat ve kaynak dağılımını etkileyen önemli bir olgu olarak değerlendirilebilir.</w:t>
      </w:r>
    </w:p>
    <w:p w14:paraId="6B8DE8F7" w14:textId="77777777" w:rsidR="00B622AD" w:rsidRPr="002906A3" w:rsidRDefault="00B622AD" w:rsidP="00BA67A6">
      <w:pPr>
        <w:jc w:val="both"/>
      </w:pPr>
    </w:p>
    <w:p w14:paraId="5F98DB4A" w14:textId="77777777" w:rsidR="001E7189" w:rsidRPr="002906A3" w:rsidRDefault="001E7189" w:rsidP="00BA67A6">
      <w:pPr>
        <w:jc w:val="both"/>
        <w:rPr>
          <w:b/>
        </w:rPr>
      </w:pPr>
      <w:r w:rsidRPr="002906A3">
        <w:rPr>
          <w:b/>
        </w:rPr>
        <w:t>1.2.1.</w:t>
      </w:r>
      <w:r w:rsidRPr="002906A3">
        <w:rPr>
          <w:b/>
          <w:bCs/>
        </w:rPr>
        <w:t xml:space="preserve"> Vampir Etkisinin Finansal Bağlamdaki Uygulamaları</w:t>
      </w:r>
    </w:p>
    <w:p w14:paraId="0621857F" w14:textId="77777777" w:rsidR="001E7189" w:rsidRPr="002906A3" w:rsidRDefault="001E7189">
      <w:pPr>
        <w:pStyle w:val="ListeParagraf"/>
        <w:widowControl/>
        <w:numPr>
          <w:ilvl w:val="0"/>
          <w:numId w:val="19"/>
        </w:numPr>
        <w:autoSpaceDE/>
        <w:autoSpaceDN/>
        <w:jc w:val="both"/>
      </w:pPr>
      <w:r w:rsidRPr="002906A3">
        <w:rPr>
          <w:b/>
          <w:i/>
        </w:rPr>
        <w:t>Sermaye Piyasaları:</w:t>
      </w:r>
      <w:r w:rsidRPr="002906A3">
        <w:t xml:space="preserve"> Büyük ölçekli halka arzlar (IPO), piyasadaki diğer küçük ölçekli halka arzlara yönelik ilgiyi azaltma potansiyeline sahiptir. Özellikle teknoloji sektöründe gerçekleştirilen büyük bir IPO, yatırımcıların dikkatini ve likiditesini kendine çekerek diğer sektörlerdeki şirketlerin sermaye artırma kabiliyetlerini sınırlayabilir (</w:t>
      </w:r>
      <w:proofErr w:type="spellStart"/>
      <w:r w:rsidRPr="002906A3">
        <w:t>Ritter</w:t>
      </w:r>
      <w:proofErr w:type="spellEnd"/>
      <w:r w:rsidRPr="002906A3">
        <w:t>, 1991). Benzer şekilde, belirli bir dönemde popüler hale gelen yatırım araçları veya trendler, yatırımcıların diğer finansal varlıklara olan ilgisini gölgede bırakabilir. Örneğin, 2020'li yıllarda kripto para birimlerinin yükselişi, geleneksel finansal araçlara olan ilgide azalmaya neden olmuştur (</w:t>
      </w:r>
      <w:proofErr w:type="spellStart"/>
      <w:r w:rsidRPr="002906A3">
        <w:t>Bouri</w:t>
      </w:r>
      <w:proofErr w:type="spellEnd"/>
      <w:r w:rsidRPr="002906A3">
        <w:t xml:space="preserve"> et al., 2021). Ayrıca, büyük ölçekli bir halka arz, piyasa likiditesinin önemli bir kısmını kendine çekerek, diğer şirketlerin hisse fiyatlarında dalgalanmalara yol açabilir ve piyasa verimliliğini olumsuz etkileyebilir (Baker ve </w:t>
      </w:r>
      <w:proofErr w:type="spellStart"/>
      <w:r w:rsidRPr="002906A3">
        <w:t>Wurgler</w:t>
      </w:r>
      <w:proofErr w:type="spellEnd"/>
      <w:r w:rsidRPr="002906A3">
        <w:t>, 2006).</w:t>
      </w:r>
    </w:p>
    <w:p w14:paraId="4F0B03EC" w14:textId="77777777" w:rsidR="001E7189" w:rsidRDefault="001E7189">
      <w:pPr>
        <w:pStyle w:val="ListeParagraf"/>
        <w:widowControl/>
        <w:numPr>
          <w:ilvl w:val="0"/>
          <w:numId w:val="19"/>
        </w:numPr>
        <w:autoSpaceDE/>
        <w:autoSpaceDN/>
        <w:jc w:val="both"/>
      </w:pPr>
      <w:r w:rsidRPr="002906A3">
        <w:rPr>
          <w:b/>
          <w:i/>
        </w:rPr>
        <w:lastRenderedPageBreak/>
        <w:t>Şirket Birleşmeleri ve Satın Almalar (M&amp;A):</w:t>
      </w:r>
      <w:r w:rsidRPr="002906A3">
        <w:t xml:space="preserve"> Büyük ölçekli bir birleşme veya satın alma işlemi, sektördeki diğer firmaların stratejik planlarını ve yatırımcı algısını etkileyebilir. Örneğin, sektörde gerçekleşen büyük bir birleşme, diğer şirketlerin yatırımcılar nezdindeki cazibesini azaltarak rekabet avantajlarını kaybetmelerine yol açabilir (Mitchell ve </w:t>
      </w:r>
      <w:proofErr w:type="spellStart"/>
      <w:r w:rsidRPr="002906A3">
        <w:t>Mulherin</w:t>
      </w:r>
      <w:proofErr w:type="spellEnd"/>
      <w:r w:rsidRPr="002906A3">
        <w:t>, 1996).</w:t>
      </w:r>
    </w:p>
    <w:p w14:paraId="544707C8" w14:textId="77777777" w:rsidR="00BA67A6" w:rsidRPr="002906A3" w:rsidRDefault="00BA67A6" w:rsidP="00BA67A6">
      <w:pPr>
        <w:pStyle w:val="ListeParagraf"/>
        <w:widowControl/>
        <w:autoSpaceDE/>
        <w:autoSpaceDN/>
        <w:jc w:val="both"/>
      </w:pPr>
    </w:p>
    <w:p w14:paraId="74A243B5" w14:textId="77777777" w:rsidR="001E7189" w:rsidRDefault="001E7189">
      <w:pPr>
        <w:pStyle w:val="ListeParagraf"/>
        <w:widowControl/>
        <w:numPr>
          <w:ilvl w:val="0"/>
          <w:numId w:val="19"/>
        </w:numPr>
        <w:autoSpaceDE/>
        <w:autoSpaceDN/>
        <w:jc w:val="both"/>
      </w:pPr>
      <w:r w:rsidRPr="002906A3">
        <w:rPr>
          <w:b/>
          <w:i/>
        </w:rPr>
        <w:t>Yatırım Kararları:</w:t>
      </w:r>
      <w:r w:rsidRPr="002906A3">
        <w:t xml:space="preserve"> Yüksek getiri vaat eden ancak yüksek risk taşıyan bir yatırım aracı, yatırımcıların daha az dikkat çeken ancak daha güvenli seçeneklerden uzaklaşmasına neden olabilir. Bu durum, bireysel yatırımcılar arasında portföy çeşitlendirme eksikliğine yol açarak finansal risklerin artmasına sebebiyet verebilir (</w:t>
      </w:r>
      <w:proofErr w:type="spellStart"/>
      <w:r w:rsidRPr="002906A3">
        <w:t>Markowitz</w:t>
      </w:r>
      <w:proofErr w:type="spellEnd"/>
      <w:r w:rsidRPr="002906A3">
        <w:t>, 1952).</w:t>
      </w:r>
    </w:p>
    <w:p w14:paraId="2D3C1B1B" w14:textId="77777777" w:rsidR="00BA67A6" w:rsidRPr="002906A3" w:rsidRDefault="00BA67A6" w:rsidP="00BA67A6">
      <w:pPr>
        <w:pStyle w:val="ListeParagraf"/>
        <w:widowControl/>
        <w:autoSpaceDE/>
        <w:autoSpaceDN/>
        <w:jc w:val="both"/>
      </w:pPr>
    </w:p>
    <w:p w14:paraId="100C61D4" w14:textId="77777777" w:rsidR="001E7189" w:rsidRDefault="001E7189">
      <w:pPr>
        <w:pStyle w:val="ListeParagraf"/>
        <w:widowControl/>
        <w:numPr>
          <w:ilvl w:val="0"/>
          <w:numId w:val="19"/>
        </w:numPr>
        <w:autoSpaceDE/>
        <w:autoSpaceDN/>
        <w:jc w:val="both"/>
      </w:pPr>
      <w:r w:rsidRPr="002906A3">
        <w:rPr>
          <w:b/>
          <w:i/>
        </w:rPr>
        <w:t>Makroekonomik Politika ve Piyasalar:</w:t>
      </w:r>
      <w:r w:rsidRPr="002906A3">
        <w:t xml:space="preserve"> Merkez bankalarının gerçekleştirdiği geniş çaplı politika değişiklikleri, diğer ekonomik unsurların performansını gölgede bırakabilir. Örneğin, faiz oranlarında ani bir artış veya düşüş, hisse senedi piyasaları ve tahvil piyasası gibi varlık sınıflarında önemli dalgalanmalara yol açarak yatırımcı davranışlarında ani değişikliklere neden olabilir (</w:t>
      </w:r>
      <w:proofErr w:type="spellStart"/>
      <w:r w:rsidRPr="002906A3">
        <w:t>Bernanke</w:t>
      </w:r>
      <w:proofErr w:type="spellEnd"/>
      <w:r w:rsidRPr="002906A3">
        <w:t xml:space="preserve"> ve </w:t>
      </w:r>
      <w:proofErr w:type="spellStart"/>
      <w:r w:rsidRPr="002906A3">
        <w:t>Gertler</w:t>
      </w:r>
      <w:proofErr w:type="spellEnd"/>
      <w:r w:rsidRPr="002906A3">
        <w:t>, 1995).</w:t>
      </w:r>
    </w:p>
    <w:p w14:paraId="642302BC" w14:textId="77777777" w:rsidR="00BA67A6" w:rsidRDefault="00BA67A6" w:rsidP="00BA67A6">
      <w:pPr>
        <w:pStyle w:val="ListeParagraf"/>
      </w:pPr>
    </w:p>
    <w:p w14:paraId="7B757554" w14:textId="77777777" w:rsidR="00BA67A6" w:rsidRPr="002906A3" w:rsidRDefault="00BA67A6" w:rsidP="00BA67A6">
      <w:pPr>
        <w:pStyle w:val="ListeParagraf"/>
        <w:widowControl/>
        <w:autoSpaceDE/>
        <w:autoSpaceDN/>
        <w:jc w:val="both"/>
      </w:pPr>
    </w:p>
    <w:p w14:paraId="4611CB38" w14:textId="77777777" w:rsidR="001E7189" w:rsidRDefault="001E7189" w:rsidP="00BA67A6">
      <w:pPr>
        <w:jc w:val="both"/>
      </w:pPr>
      <w:r w:rsidRPr="002906A3">
        <w:t>Bu bağlamda vampir etkisi, finansal piyasaların farklı alanlarında yatırımcı dikkatinin ve kaynaklarının belirli unsurlar üzerinde yoğunlaşmasıyla ortaya çıkan dengesizliklerin anlaşılmasında önemli bir kavramsal çerçeve sunmaktadır.</w:t>
      </w:r>
    </w:p>
    <w:p w14:paraId="308C44AD" w14:textId="77777777" w:rsidR="00BA67A6" w:rsidRPr="002906A3" w:rsidRDefault="00BA67A6" w:rsidP="00BA67A6">
      <w:pPr>
        <w:jc w:val="both"/>
      </w:pPr>
    </w:p>
    <w:p w14:paraId="33AE0EF1" w14:textId="77777777" w:rsidR="001E7189" w:rsidRPr="002906A3" w:rsidRDefault="001E7189" w:rsidP="00BA67A6">
      <w:pPr>
        <w:jc w:val="both"/>
        <w:rPr>
          <w:b/>
        </w:rPr>
      </w:pPr>
      <w:r w:rsidRPr="002906A3">
        <w:rPr>
          <w:b/>
        </w:rPr>
        <w:t>1.3.</w:t>
      </w:r>
      <w:r w:rsidRPr="002906A3">
        <w:t xml:space="preserve"> </w:t>
      </w:r>
      <w:r w:rsidRPr="002906A3">
        <w:rPr>
          <w:b/>
        </w:rPr>
        <w:t>Pazarlama ve Finans Disiplinleri Kesişiminde ‘Vampir Etkisi’</w:t>
      </w:r>
    </w:p>
    <w:p w14:paraId="37800719" w14:textId="77777777" w:rsidR="001E7189" w:rsidRDefault="001E7189" w:rsidP="00BA67A6">
      <w:pPr>
        <w:jc w:val="both"/>
      </w:pPr>
      <w:r w:rsidRPr="002906A3">
        <w:t>Davranışsal ekonomi ve psikoloji literatürü, vampir etkisinin altında yatan mekanizmaları anlamak için değerli bir teorik çerçeve sunmaktadır. İnsanların sınırlı dikkat kapasitesi, belirli bir olay, ürün veya finansal araç üzerinde aşırı odaklanmaya yol açarak diğer unsurların fark edilme olasılığını azaltabilir (</w:t>
      </w:r>
      <w:proofErr w:type="spellStart"/>
      <w:r w:rsidRPr="002906A3">
        <w:t>Kahneman</w:t>
      </w:r>
      <w:proofErr w:type="spellEnd"/>
      <w:r w:rsidRPr="002906A3">
        <w:t xml:space="preserve">, 1973). Bu </w:t>
      </w:r>
      <w:proofErr w:type="gramStart"/>
      <w:r w:rsidRPr="002906A3">
        <w:t>durum,</w:t>
      </w:r>
      <w:proofErr w:type="gramEnd"/>
      <w:r w:rsidRPr="002906A3">
        <w:t xml:space="preserve"> gerek pazarlama kampanyalarında gerekse finansal piyasalarda stratejik olarak manipüle edilebilir. Pazarlama bağlamında, dikkat çekici unsurların aşırı kullanımı, hedef mesajın gölgede kalmasına neden olabilirken, finansal piyasalarda yüksek profilli bir olayın etkisinin abartılması, diğer varlıkların algı ve kaynak erişimini sınırlandırabilir.</w:t>
      </w:r>
    </w:p>
    <w:p w14:paraId="1F7E2010" w14:textId="77777777" w:rsidR="00BA67A6" w:rsidRPr="002906A3" w:rsidRDefault="00BA67A6" w:rsidP="00BA67A6">
      <w:pPr>
        <w:jc w:val="both"/>
      </w:pPr>
    </w:p>
    <w:p w14:paraId="459D11DD" w14:textId="77777777" w:rsidR="001E7189" w:rsidRPr="002906A3" w:rsidRDefault="001E7189" w:rsidP="00BA67A6">
      <w:pPr>
        <w:jc w:val="both"/>
      </w:pPr>
      <w:r w:rsidRPr="002906A3">
        <w:t xml:space="preserve">Vampir etkisi, farklı disiplinlerde dikkat ve kaynakların yoğunlaşmasıyla ortaya çıkan dengesizlikleri açıklayan çok boyutlu bir kavramdır. Pazarlama ve finans gibi bağımsız görünen alanlarda, bireylerin ve kurumların dikkatlerini belirli unsurlara yoğunlaştırması, diğer unsurların algı, performans ve kaynak erişimi açısından gölgede kalmasına yol açmaktadır. Bu bağlamda, medya kampanyalarının hedef kitle üzerindeki etkisi ile finansal piyasalarda yatırımcı davranışları arasındaki kesişim, vampir etkisinin disiplinler arası doğasını anlamak için zengin bir zemin sunmaktadır. Bu etkiyi anlamak ve </w:t>
      </w:r>
      <w:proofErr w:type="gramStart"/>
      <w:r w:rsidRPr="002906A3">
        <w:t>yönetmek,</w:t>
      </w:r>
      <w:proofErr w:type="gramEnd"/>
      <w:r w:rsidRPr="002906A3">
        <w:t xml:space="preserve"> hem bireysel kararlar hem de toplumsal dinamikler üzerindeki sonuçları değerlendirmek açısından kritik öneme sahiptir.</w:t>
      </w:r>
    </w:p>
    <w:p w14:paraId="35C32593" w14:textId="77777777" w:rsidR="001E7189" w:rsidRPr="002906A3" w:rsidRDefault="001E7189" w:rsidP="00BA67A6">
      <w:pPr>
        <w:jc w:val="both"/>
      </w:pPr>
      <w:r w:rsidRPr="002906A3">
        <w:t>Medya kampanyaları, tüketici dikkatini belirli bir ürün veya hizmete yoğunlaştırarak pazarlama hedeflerini gerçekleştirmeyi amaçlar. Ancak, dikkat çekici unsurların hedef mesajın önüne geçmesi, bu stratejilerin etkinliğini olumsuz yönde etkileyebilir (Hoffman ve Novak, 1996). Örneğin, aşırı görsellik veya gösteri unsurları içeren reklam kampanyaları, tüketicilerin yalnızca dikkat çeken unsurları hatırlamasına neden olabilir ve esas ürünün algılanmasını zorlaştırabilir.</w:t>
      </w:r>
    </w:p>
    <w:p w14:paraId="1A854D86" w14:textId="77777777" w:rsidR="001E7189" w:rsidRDefault="001E7189" w:rsidP="00BA67A6">
      <w:pPr>
        <w:jc w:val="both"/>
      </w:pPr>
      <w:r w:rsidRPr="002906A3">
        <w:lastRenderedPageBreak/>
        <w:t>Benzer şekilde, belirli bir medya olayına (örneğin, ürün yerleştirme stratejileri) odaklanılması, rakip ürünlerin ya da tamamlayıcı hizmetlerin pazarda görünürlüğünü sınırlayabilir (</w:t>
      </w:r>
      <w:proofErr w:type="spellStart"/>
      <w:r w:rsidRPr="002906A3">
        <w:t>Kapferer</w:t>
      </w:r>
      <w:proofErr w:type="spellEnd"/>
      <w:r w:rsidRPr="002906A3">
        <w:t>, 2012). Bu durum, pazarlama stratejilerinin yalnızca hedef ürüne değil, aynı zamanda piyasa dinamiklerine olan etkisini de dikkate almayı gerektirir.</w:t>
      </w:r>
    </w:p>
    <w:p w14:paraId="6883346D" w14:textId="77777777" w:rsidR="00BA67A6" w:rsidRPr="002906A3" w:rsidRDefault="00BA67A6" w:rsidP="00BA67A6">
      <w:pPr>
        <w:jc w:val="both"/>
      </w:pPr>
    </w:p>
    <w:p w14:paraId="06FBCE59" w14:textId="77777777" w:rsidR="001E7189" w:rsidRDefault="001E7189" w:rsidP="00BA67A6">
      <w:pPr>
        <w:jc w:val="both"/>
      </w:pPr>
      <w:r w:rsidRPr="002906A3">
        <w:t>Finansal piyasalarda vampir etkisi, yatırımcı dikkatinin ve likiditesinin büyük ölçekli olaylara odaklanması sonucunda, diğer finansal varlıkların gölgede kalması şeklinde ortaya çıkabilir. Örneğin, teknoloji sektöründeki büyük bir halka arz, yatırımcı ilgisini kendi üzerinde yoğunlaştırarak diğer sektörlerdeki şirketlerin piyasa performansını olumsuz yönde etkileyebilir (</w:t>
      </w:r>
      <w:proofErr w:type="spellStart"/>
      <w:r w:rsidRPr="002906A3">
        <w:t>Ritter</w:t>
      </w:r>
      <w:proofErr w:type="spellEnd"/>
      <w:r w:rsidRPr="002906A3">
        <w:t>, 1991). Bununla birlikte, vampir etkisinin her zaman olumsuz sonuçlar doğurmadığı da gözlemlenmiştir. Yüksek profilli bir halka arz, piyasa genelinde hareketliliği artırarak diğer yatırım fırsatlarına dolaylı yoldan ilgi yaratabilir (</w:t>
      </w:r>
      <w:proofErr w:type="spellStart"/>
      <w:r w:rsidRPr="002906A3">
        <w:t>Shleifer</w:t>
      </w:r>
      <w:proofErr w:type="spellEnd"/>
      <w:r w:rsidRPr="002906A3">
        <w:t xml:space="preserve"> ve </w:t>
      </w:r>
      <w:proofErr w:type="spellStart"/>
      <w:r w:rsidRPr="002906A3">
        <w:t>Vishny</w:t>
      </w:r>
      <w:proofErr w:type="spellEnd"/>
      <w:r w:rsidRPr="002906A3">
        <w:t>, 1997).</w:t>
      </w:r>
    </w:p>
    <w:p w14:paraId="06DC4A87" w14:textId="77777777" w:rsidR="00BA67A6" w:rsidRPr="002906A3" w:rsidRDefault="00BA67A6" w:rsidP="00BA67A6">
      <w:pPr>
        <w:jc w:val="both"/>
      </w:pPr>
    </w:p>
    <w:p w14:paraId="0527D672" w14:textId="77777777" w:rsidR="001E7189" w:rsidRDefault="001E7189" w:rsidP="00BA67A6">
      <w:pPr>
        <w:jc w:val="both"/>
      </w:pPr>
      <w:r w:rsidRPr="002906A3">
        <w:t xml:space="preserve">Reklamın finansal olayların algılanmasında oynadığı kritik rol göz ardı edilemez. Güçlü bir reklam kampanyası, bir halka arzın başarısını önemli ölçüde etkileyebilir. Örneğin, Elon </w:t>
      </w:r>
      <w:proofErr w:type="spellStart"/>
      <w:r w:rsidRPr="002906A3">
        <w:t>Musk</w:t>
      </w:r>
      <w:proofErr w:type="spellEnd"/>
      <w:r w:rsidRPr="002906A3">
        <w:t xml:space="preserve"> gibi tanınmış liderlerin medya üzerindeki etkileri, yalnızca şirket performansını değil, aynı zamanda piyasa algısını da yönlendirebilmektedir (</w:t>
      </w:r>
      <w:proofErr w:type="spellStart"/>
      <w:r w:rsidRPr="002906A3">
        <w:t>Fang</w:t>
      </w:r>
      <w:proofErr w:type="spellEnd"/>
      <w:r w:rsidRPr="002906A3">
        <w:t xml:space="preserve"> ve </w:t>
      </w:r>
      <w:proofErr w:type="spellStart"/>
      <w:r w:rsidRPr="002906A3">
        <w:t>Peress</w:t>
      </w:r>
      <w:proofErr w:type="spellEnd"/>
      <w:r w:rsidRPr="002906A3">
        <w:t>, 2009).</w:t>
      </w:r>
    </w:p>
    <w:p w14:paraId="178CF2C3" w14:textId="77777777" w:rsidR="00BA67A6" w:rsidRPr="002906A3" w:rsidRDefault="00BA67A6" w:rsidP="00BA67A6">
      <w:pPr>
        <w:jc w:val="both"/>
      </w:pPr>
    </w:p>
    <w:p w14:paraId="645A8A09" w14:textId="77777777" w:rsidR="001E7189" w:rsidRDefault="001E7189" w:rsidP="00BA67A6">
      <w:pPr>
        <w:jc w:val="both"/>
      </w:pPr>
      <w:r w:rsidRPr="002906A3">
        <w:t>Ayrıca, medya tarafından geniş çapta haberleştirilen finansal olaylar, vampir etkisinin daha geniş kitlelere ulaşmasını ve bu etkinin yayılma hızının artmasını sağlayabilir. Medya ve finansın yoğun etkileşimi, vampir etkisinin kapsamını ve etkilerini hem akademik hem de pratik bağlamda incelemeyi gerektiren önemli bir çerçeve sunmaktadır.</w:t>
      </w:r>
    </w:p>
    <w:p w14:paraId="3530BC37" w14:textId="77777777" w:rsidR="00B622AD" w:rsidRPr="002906A3" w:rsidRDefault="00B622AD" w:rsidP="00BA67A6">
      <w:pPr>
        <w:jc w:val="both"/>
      </w:pPr>
    </w:p>
    <w:p w14:paraId="006E6513" w14:textId="77777777" w:rsidR="001E7189" w:rsidRPr="002906A3" w:rsidRDefault="001E7189" w:rsidP="00BA67A6">
      <w:pPr>
        <w:jc w:val="both"/>
        <w:rPr>
          <w:b/>
          <w:bCs/>
        </w:rPr>
      </w:pPr>
      <w:r w:rsidRPr="002906A3">
        <w:rPr>
          <w:b/>
          <w:bCs/>
        </w:rPr>
        <w:t>Sonuç</w:t>
      </w:r>
    </w:p>
    <w:p w14:paraId="2628294D" w14:textId="77777777" w:rsidR="001E7189" w:rsidRDefault="001E7189" w:rsidP="00BA67A6">
      <w:pPr>
        <w:jc w:val="both"/>
      </w:pPr>
      <w:r w:rsidRPr="002906A3">
        <w:t xml:space="preserve">Vampir etkisi, bireylerin ve kurumların dikkat ve kaynaklarını belirli bir odak noktasına yoğunlaştırmasıyla, diğer unsurların görünürlüğünün ve öneminin azalmasına yol açan bir fenomen olarak tanımlanabilir. İlk olarak medya ve pazarlama alanında tartışılan bu kavram, daha sonra finansal piyasalarda ve stratejik yönetim bağlamında da incelenmiştir. Pazarlama disiplininde, dikkat çekici kampanyaların hedef mesajı gölgede bırakması ya da belirli bir ürünün ön plana çıkması nedeniyle diğer ürünlerin </w:t>
      </w:r>
      <w:proofErr w:type="spellStart"/>
      <w:r w:rsidRPr="002906A3">
        <w:t>algılanabilirliğinin</w:t>
      </w:r>
      <w:proofErr w:type="spellEnd"/>
      <w:r w:rsidRPr="002906A3">
        <w:t xml:space="preserve"> azalması bu etkiye örnek gösterilebilir (Hoffman ve Novak, 1996). Finans literatüründe ise vampir etkisi, büyük çaplı halka arzlar ya da birleşme ve satın alma süreçlerinin diğer finansal varlıkların performansını gölgede bırakması şeklinde ortaya çıkmaktadır (</w:t>
      </w:r>
      <w:proofErr w:type="spellStart"/>
      <w:r w:rsidRPr="002906A3">
        <w:t>Ritter</w:t>
      </w:r>
      <w:proofErr w:type="spellEnd"/>
      <w:r w:rsidRPr="002906A3">
        <w:t>, 1991). Bu tür örnekler, vampir etkisinin yalnızca bireysel davranışlar değil, aynı zamanda piyasa dinamikleri ve kurumsal stratejiler üzerinde de önemli etkiler yarattığını göstermektedir.</w:t>
      </w:r>
    </w:p>
    <w:p w14:paraId="50C60406" w14:textId="77777777" w:rsidR="00BA67A6" w:rsidRPr="002906A3" w:rsidRDefault="00BA67A6" w:rsidP="00BA67A6">
      <w:pPr>
        <w:jc w:val="both"/>
      </w:pPr>
    </w:p>
    <w:p w14:paraId="6DC52691" w14:textId="77777777" w:rsidR="001E7189" w:rsidRDefault="001E7189" w:rsidP="00BA67A6">
      <w:pPr>
        <w:jc w:val="both"/>
      </w:pPr>
      <w:r w:rsidRPr="002906A3">
        <w:t xml:space="preserve">Vampir etkisi, disiplinler arası bir bağlamda ele alındığında, dikkat ve kaynakların belirli bir olay, ürün veya finansal araç üzerinde yoğunlaşması sonucu ortaya çıkan dinamik dengesizlikleri açıklayan önemli bir kavramdır. Pazarlama ve finans gibi farklı alanlarda ortaya çıkan bu </w:t>
      </w:r>
      <w:proofErr w:type="gramStart"/>
      <w:r w:rsidRPr="002906A3">
        <w:t>etki,</w:t>
      </w:r>
      <w:proofErr w:type="gramEnd"/>
      <w:r w:rsidRPr="002906A3">
        <w:t xml:space="preserve"> hem tüketici davranışlarını hem de yatırımcı kararlarını şekillendiren kritik bir rol oynamaktadır. Pazarlama stratejilerinde, dikkat çekici unsurların hedef mesajı gölgede bırakması riskine karşı daha bütüncül bir yaklaşım gereklidir. Finansal piyasalarda ise, yatırımcı dikkatinin aşırı yoğunlaşmasının yaratabileceği riskler ve fırsatlar göz önünde bulundurulmalıdır.</w:t>
      </w:r>
    </w:p>
    <w:p w14:paraId="1152BCFE" w14:textId="77777777" w:rsidR="00BA67A6" w:rsidRPr="002906A3" w:rsidRDefault="00BA67A6" w:rsidP="00BA67A6">
      <w:pPr>
        <w:jc w:val="both"/>
      </w:pPr>
    </w:p>
    <w:p w14:paraId="3F658BD7" w14:textId="77777777" w:rsidR="001E7189" w:rsidRDefault="001E7189" w:rsidP="00BA67A6">
      <w:pPr>
        <w:jc w:val="both"/>
      </w:pPr>
      <w:r w:rsidRPr="002906A3">
        <w:t xml:space="preserve">Bu çalışma, vampir etkisinin disiplinler arası doğasını ortaya koyarak, pazarlama ve finans alanlarında bu etkinin sonuçlarına dair önemli çıkarımlar sunmaktadır. Pazarlama </w:t>
      </w:r>
      <w:r w:rsidRPr="002906A3">
        <w:lastRenderedPageBreak/>
        <w:t>stratejilerinde medya unsurlarının dengeli kullanımı, hedef ürün veya hizmetin doğru şekilde algılanmasını sağlayarak olası olumsuz sonuçları minimize edebilir. Benzer şekilde, finansal piyasalarda büyük ölçekli olayların etkilerini dengelemek için yatırımcıların dikkatinin daha çeşitli fırsatlara yönlendirilmesi önemlidir.</w:t>
      </w:r>
    </w:p>
    <w:p w14:paraId="798FFBEF" w14:textId="77777777" w:rsidR="00BA67A6" w:rsidRPr="002906A3" w:rsidRDefault="00BA67A6" w:rsidP="00BA67A6">
      <w:pPr>
        <w:jc w:val="both"/>
      </w:pPr>
    </w:p>
    <w:p w14:paraId="35B27C44" w14:textId="77777777" w:rsidR="001E7189" w:rsidRDefault="001E7189" w:rsidP="00BA67A6">
      <w:pPr>
        <w:jc w:val="both"/>
      </w:pPr>
      <w:r w:rsidRPr="002906A3">
        <w:t>Günümüz dijitalleşen dünyasında, sosyal medya platformları ve dijital reklamcılık, vampir etkisini güçlendirebilir. Gelecekteki çalışmalar, dijital mecralarda vampir etkisinin kapsamını ve etkilerini inceleyebilir. Vampir etkisinin, özellikle büyük ölçekli finansal olayların (örneğin, birleşme ve satın almalar, halka arzlar) makroekonomik sonuçları üzerindeki etkileri daha detaylı analiz edilebilir. Bu, politika yapıcılar ve piyasa düzenleyicileri için önemli içgörüler sağlayabilir.</w:t>
      </w:r>
    </w:p>
    <w:p w14:paraId="02033AD5" w14:textId="77777777" w:rsidR="00BA67A6" w:rsidRPr="002906A3" w:rsidRDefault="00BA67A6" w:rsidP="00BA67A6">
      <w:pPr>
        <w:jc w:val="both"/>
      </w:pPr>
    </w:p>
    <w:p w14:paraId="1B560948" w14:textId="77777777" w:rsidR="001E7189" w:rsidRPr="002906A3" w:rsidRDefault="001E7189" w:rsidP="00BA67A6">
      <w:pPr>
        <w:jc w:val="both"/>
      </w:pPr>
      <w:r w:rsidRPr="002906A3">
        <w:t>Sonuç olarak, vampir etkisi hem pazarlama hem de finans alanlarında dikkate alınması gereken çok boyutlu bir olgudur. Gelecekteki çalışmalar, bu etkinin kapsamını daha derinlemesine inceleyerek, stratejik karar alıcılar için daha etkin çözümler sunabilir. Bu bağlamda, akademik ve uygulamalı araştırmaların ortak bir zeminde buluşması, vampir etkisinin daha iyi anlaşılmasını ve yönetilmesini sağlayacaktır.</w:t>
      </w:r>
    </w:p>
    <w:p w14:paraId="4EAEDB0F" w14:textId="77777777" w:rsidR="001E7189" w:rsidRPr="002906A3" w:rsidRDefault="001E7189" w:rsidP="00BA67A6">
      <w:pPr>
        <w:jc w:val="both"/>
        <w:rPr>
          <w:b/>
          <w:bCs/>
        </w:rPr>
      </w:pPr>
    </w:p>
    <w:p w14:paraId="2516A85D" w14:textId="77777777" w:rsidR="001E7189" w:rsidRPr="002906A3" w:rsidRDefault="001E7189" w:rsidP="00BA67A6">
      <w:pPr>
        <w:jc w:val="both"/>
        <w:rPr>
          <w:b/>
          <w:bCs/>
        </w:rPr>
      </w:pPr>
      <w:r w:rsidRPr="002906A3">
        <w:rPr>
          <w:b/>
          <w:bCs/>
        </w:rPr>
        <w:t>Kaynakça</w:t>
      </w:r>
    </w:p>
    <w:p w14:paraId="7145D06C" w14:textId="77777777" w:rsidR="001E7189" w:rsidRPr="002906A3" w:rsidRDefault="001E7189">
      <w:pPr>
        <w:pStyle w:val="ListeParagraf"/>
        <w:numPr>
          <w:ilvl w:val="0"/>
          <w:numId w:val="48"/>
        </w:numPr>
        <w:jc w:val="both"/>
      </w:pPr>
      <w:proofErr w:type="spellStart"/>
      <w:r w:rsidRPr="002906A3">
        <w:t>Abernethy</w:t>
      </w:r>
      <w:proofErr w:type="spellEnd"/>
      <w:r w:rsidRPr="002906A3">
        <w:t xml:space="preserve">, A. M., &amp; </w:t>
      </w:r>
      <w:proofErr w:type="spellStart"/>
      <w:r w:rsidRPr="002906A3">
        <w:t>Butler</w:t>
      </w:r>
      <w:proofErr w:type="spellEnd"/>
      <w:r w:rsidRPr="002906A3">
        <w:t xml:space="preserve">, D. D. (1992). </w:t>
      </w:r>
      <w:proofErr w:type="spellStart"/>
      <w:r w:rsidRPr="002906A3">
        <w:t>Advertising</w:t>
      </w:r>
      <w:proofErr w:type="spellEnd"/>
      <w:r w:rsidRPr="002906A3">
        <w:t xml:space="preserve"> </w:t>
      </w:r>
      <w:proofErr w:type="spellStart"/>
      <w:r w:rsidRPr="002906A3">
        <w:t>information</w:t>
      </w:r>
      <w:proofErr w:type="spellEnd"/>
      <w:r w:rsidRPr="002906A3">
        <w:t xml:space="preserve">: </w:t>
      </w:r>
      <w:proofErr w:type="spellStart"/>
      <w:r w:rsidRPr="002906A3">
        <w:t>services</w:t>
      </w:r>
      <w:proofErr w:type="spellEnd"/>
      <w:r w:rsidRPr="002906A3">
        <w:t xml:space="preserve"> </w:t>
      </w:r>
      <w:proofErr w:type="spellStart"/>
      <w:r w:rsidRPr="002906A3">
        <w:t>versus</w:t>
      </w:r>
      <w:proofErr w:type="spellEnd"/>
      <w:r w:rsidRPr="002906A3">
        <w:t xml:space="preserve"> </w:t>
      </w:r>
      <w:proofErr w:type="spellStart"/>
      <w:r w:rsidRPr="002906A3">
        <w:t>products</w:t>
      </w:r>
      <w:proofErr w:type="spellEnd"/>
      <w:r w:rsidRPr="002906A3">
        <w:t>. </w:t>
      </w:r>
      <w:proofErr w:type="spellStart"/>
      <w:r w:rsidRPr="002906A3">
        <w:t>Journal</w:t>
      </w:r>
      <w:proofErr w:type="spellEnd"/>
      <w:r w:rsidRPr="002906A3">
        <w:t xml:space="preserve"> of </w:t>
      </w:r>
      <w:proofErr w:type="spellStart"/>
      <w:r w:rsidRPr="007B234B">
        <w:rPr>
          <w:i/>
        </w:rPr>
        <w:t>Retailing</w:t>
      </w:r>
      <w:proofErr w:type="spellEnd"/>
      <w:r w:rsidRPr="007B234B">
        <w:rPr>
          <w:i/>
        </w:rPr>
        <w:t>, 68</w:t>
      </w:r>
      <w:r w:rsidRPr="002906A3">
        <w:t>(4), 398.</w:t>
      </w:r>
    </w:p>
    <w:p w14:paraId="1E59BADE" w14:textId="77777777" w:rsidR="001E7189" w:rsidRPr="002906A3" w:rsidRDefault="001E7189">
      <w:pPr>
        <w:pStyle w:val="ListeParagraf"/>
        <w:numPr>
          <w:ilvl w:val="0"/>
          <w:numId w:val="48"/>
        </w:numPr>
        <w:jc w:val="both"/>
      </w:pPr>
      <w:r w:rsidRPr="002906A3">
        <w:t xml:space="preserve">Avcılar, M. Y., &amp; Açar, M. F. (2017). Sosyal Medya Reklamlarında Ünlü Desteği Kullanımı: Mikro-Ünlülerin Yükselişi. 15. Uluslararası Türk Dünyası Sosyal Bilimler Kongresi, 11-12 Eylül 2017, </w:t>
      </w:r>
      <w:proofErr w:type="spellStart"/>
      <w:r w:rsidRPr="002906A3">
        <w:t>Gagauziya</w:t>
      </w:r>
      <w:proofErr w:type="spellEnd"/>
      <w:r w:rsidRPr="002906A3">
        <w:t>/Moldova.</w:t>
      </w:r>
    </w:p>
    <w:p w14:paraId="7362A53F" w14:textId="77777777" w:rsidR="001E7189" w:rsidRPr="002906A3" w:rsidRDefault="001E7189">
      <w:pPr>
        <w:pStyle w:val="ListeParagraf"/>
        <w:numPr>
          <w:ilvl w:val="0"/>
          <w:numId w:val="48"/>
        </w:numPr>
        <w:jc w:val="both"/>
      </w:pPr>
      <w:r w:rsidRPr="002906A3">
        <w:t xml:space="preserve">Baker, M., &amp; </w:t>
      </w:r>
      <w:proofErr w:type="spellStart"/>
      <w:r w:rsidRPr="002906A3">
        <w:t>Wurgler</w:t>
      </w:r>
      <w:proofErr w:type="spellEnd"/>
      <w:r w:rsidRPr="002906A3">
        <w:t xml:space="preserve">, J. (2006). Investor </w:t>
      </w:r>
      <w:proofErr w:type="spellStart"/>
      <w:r w:rsidRPr="002906A3">
        <w:t>Sentiment</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Cross-</w:t>
      </w:r>
      <w:proofErr w:type="spellStart"/>
      <w:r w:rsidRPr="002906A3">
        <w:t>Section</w:t>
      </w:r>
      <w:proofErr w:type="spellEnd"/>
      <w:r w:rsidRPr="002906A3">
        <w:t xml:space="preserve"> of </w:t>
      </w:r>
      <w:proofErr w:type="spellStart"/>
      <w:r w:rsidRPr="002906A3">
        <w:t>Stock</w:t>
      </w:r>
      <w:proofErr w:type="spellEnd"/>
      <w:r w:rsidRPr="002906A3">
        <w:t xml:space="preserve"> </w:t>
      </w:r>
      <w:proofErr w:type="spellStart"/>
      <w:r w:rsidRPr="002906A3">
        <w:t>Returns</w:t>
      </w:r>
      <w:proofErr w:type="spellEnd"/>
      <w:r w:rsidRPr="007B234B">
        <w:rPr>
          <w:i/>
        </w:rPr>
        <w:t xml:space="preserve">. </w:t>
      </w:r>
      <w:proofErr w:type="spellStart"/>
      <w:r w:rsidRPr="007B234B">
        <w:rPr>
          <w:i/>
        </w:rPr>
        <w:t>Journal</w:t>
      </w:r>
      <w:proofErr w:type="spellEnd"/>
      <w:r w:rsidRPr="007B234B">
        <w:rPr>
          <w:i/>
        </w:rPr>
        <w:t xml:space="preserve"> of Finance, 61</w:t>
      </w:r>
      <w:r w:rsidRPr="002906A3">
        <w:t>(4), 1645-1680.</w:t>
      </w:r>
    </w:p>
    <w:p w14:paraId="2A6A507C" w14:textId="77777777" w:rsidR="001E7189" w:rsidRPr="002906A3" w:rsidRDefault="001E7189">
      <w:pPr>
        <w:pStyle w:val="ListeParagraf"/>
        <w:numPr>
          <w:ilvl w:val="0"/>
          <w:numId w:val="48"/>
        </w:numPr>
        <w:jc w:val="both"/>
      </w:pPr>
      <w:proofErr w:type="spellStart"/>
      <w:r w:rsidRPr="002906A3">
        <w:t>Barber</w:t>
      </w:r>
      <w:proofErr w:type="spellEnd"/>
      <w:r w:rsidRPr="002906A3">
        <w:t xml:space="preserve">, B. M., &amp; </w:t>
      </w:r>
      <w:proofErr w:type="spellStart"/>
      <w:r w:rsidRPr="002906A3">
        <w:t>Odean</w:t>
      </w:r>
      <w:proofErr w:type="spellEnd"/>
      <w:r w:rsidRPr="002906A3">
        <w:t xml:space="preserve">, T. (2008). </w:t>
      </w:r>
      <w:proofErr w:type="spellStart"/>
      <w:r w:rsidRPr="002906A3">
        <w:t>All</w:t>
      </w:r>
      <w:proofErr w:type="spellEnd"/>
      <w:r w:rsidRPr="002906A3">
        <w:t xml:space="preserve"> </w:t>
      </w:r>
      <w:proofErr w:type="spellStart"/>
      <w:r w:rsidRPr="002906A3">
        <w:t>that</w:t>
      </w:r>
      <w:proofErr w:type="spellEnd"/>
      <w:r w:rsidRPr="002906A3">
        <w:t xml:space="preserve"> </w:t>
      </w:r>
      <w:proofErr w:type="spellStart"/>
      <w:r w:rsidRPr="002906A3">
        <w:t>glitters</w:t>
      </w:r>
      <w:proofErr w:type="spellEnd"/>
      <w:r w:rsidRPr="002906A3">
        <w:t xml:space="preserve">: </w:t>
      </w:r>
      <w:proofErr w:type="spellStart"/>
      <w:r w:rsidRPr="002906A3">
        <w:t>The</w:t>
      </w:r>
      <w:proofErr w:type="spellEnd"/>
      <w:r w:rsidRPr="002906A3">
        <w:t xml:space="preserve"> </w:t>
      </w:r>
      <w:proofErr w:type="spellStart"/>
      <w:r w:rsidRPr="002906A3">
        <w:t>effect</w:t>
      </w:r>
      <w:proofErr w:type="spellEnd"/>
      <w:r w:rsidRPr="002906A3">
        <w:t xml:space="preserve"> of </w:t>
      </w:r>
      <w:proofErr w:type="spellStart"/>
      <w:r w:rsidRPr="002906A3">
        <w:t>attention</w:t>
      </w:r>
      <w:proofErr w:type="spellEnd"/>
      <w:r w:rsidRPr="002906A3">
        <w:t xml:space="preserve"> </w:t>
      </w:r>
      <w:proofErr w:type="spellStart"/>
      <w:r w:rsidRPr="002906A3">
        <w:t>and</w:t>
      </w:r>
      <w:proofErr w:type="spellEnd"/>
      <w:r w:rsidRPr="002906A3">
        <w:t xml:space="preserve"> </w:t>
      </w:r>
      <w:proofErr w:type="spellStart"/>
      <w:r w:rsidRPr="002906A3">
        <w:t>news</w:t>
      </w:r>
      <w:proofErr w:type="spellEnd"/>
      <w:r w:rsidRPr="002906A3">
        <w:t xml:space="preserve"> on </w:t>
      </w:r>
      <w:proofErr w:type="spellStart"/>
      <w:r w:rsidRPr="002906A3">
        <w:t>the</w:t>
      </w:r>
      <w:proofErr w:type="spellEnd"/>
      <w:r w:rsidRPr="002906A3">
        <w:t xml:space="preserve"> </w:t>
      </w:r>
      <w:proofErr w:type="spellStart"/>
      <w:r w:rsidRPr="002906A3">
        <w:t>buying</w:t>
      </w:r>
      <w:proofErr w:type="spellEnd"/>
      <w:r w:rsidRPr="002906A3">
        <w:t xml:space="preserve"> </w:t>
      </w:r>
      <w:proofErr w:type="spellStart"/>
      <w:r w:rsidRPr="002906A3">
        <w:t>behavior</w:t>
      </w:r>
      <w:proofErr w:type="spellEnd"/>
      <w:r w:rsidRPr="002906A3">
        <w:t xml:space="preserve"> of </w:t>
      </w:r>
      <w:proofErr w:type="spellStart"/>
      <w:r w:rsidRPr="002906A3">
        <w:t>individual</w:t>
      </w:r>
      <w:proofErr w:type="spellEnd"/>
      <w:r w:rsidRPr="002906A3">
        <w:t xml:space="preserve"> </w:t>
      </w:r>
      <w:proofErr w:type="spellStart"/>
      <w:r w:rsidRPr="002906A3">
        <w:t>and</w:t>
      </w:r>
      <w:proofErr w:type="spellEnd"/>
      <w:r w:rsidRPr="002906A3">
        <w:t xml:space="preserve"> </w:t>
      </w:r>
      <w:proofErr w:type="spellStart"/>
      <w:r w:rsidRPr="002906A3">
        <w:t>institutional</w:t>
      </w:r>
      <w:proofErr w:type="spellEnd"/>
      <w:r w:rsidRPr="002906A3">
        <w:t xml:space="preserve"> </w:t>
      </w:r>
      <w:proofErr w:type="spellStart"/>
      <w:r w:rsidRPr="002906A3">
        <w:t>investors</w:t>
      </w:r>
      <w:proofErr w:type="spellEnd"/>
      <w:r w:rsidRPr="002906A3">
        <w:t>. </w:t>
      </w:r>
      <w:proofErr w:type="spellStart"/>
      <w:r w:rsidRPr="007B234B">
        <w:rPr>
          <w:i/>
        </w:rPr>
        <w:t>The</w:t>
      </w:r>
      <w:proofErr w:type="spellEnd"/>
      <w:r w:rsidRPr="007B234B">
        <w:rPr>
          <w:i/>
        </w:rPr>
        <w:t xml:space="preserve"> </w:t>
      </w:r>
      <w:proofErr w:type="spellStart"/>
      <w:r w:rsidRPr="007B234B">
        <w:rPr>
          <w:i/>
        </w:rPr>
        <w:t>Review</w:t>
      </w:r>
      <w:proofErr w:type="spellEnd"/>
      <w:r w:rsidRPr="007B234B">
        <w:rPr>
          <w:i/>
        </w:rPr>
        <w:t xml:space="preserve"> of Financial </w:t>
      </w:r>
      <w:proofErr w:type="spellStart"/>
      <w:r w:rsidRPr="007B234B">
        <w:rPr>
          <w:i/>
        </w:rPr>
        <w:t>Studies</w:t>
      </w:r>
      <w:proofErr w:type="spellEnd"/>
      <w:r w:rsidRPr="007B234B">
        <w:rPr>
          <w:i/>
        </w:rPr>
        <w:t>, 21</w:t>
      </w:r>
      <w:r w:rsidRPr="002906A3">
        <w:t>(2), 785-818.</w:t>
      </w:r>
    </w:p>
    <w:p w14:paraId="4B9E5C6B" w14:textId="77777777" w:rsidR="001E7189" w:rsidRPr="002906A3" w:rsidRDefault="001E7189">
      <w:pPr>
        <w:pStyle w:val="ListeParagraf"/>
        <w:numPr>
          <w:ilvl w:val="0"/>
          <w:numId w:val="48"/>
        </w:numPr>
        <w:jc w:val="both"/>
      </w:pPr>
      <w:proofErr w:type="spellStart"/>
      <w:r w:rsidRPr="002906A3">
        <w:t>Belch</w:t>
      </w:r>
      <w:proofErr w:type="spellEnd"/>
      <w:r w:rsidRPr="002906A3">
        <w:t xml:space="preserve">, G. E., &amp; </w:t>
      </w:r>
      <w:proofErr w:type="spellStart"/>
      <w:r w:rsidRPr="002906A3">
        <w:t>Belch</w:t>
      </w:r>
      <w:proofErr w:type="spellEnd"/>
      <w:r w:rsidRPr="002906A3">
        <w:t>, M. A. (2018). </w:t>
      </w:r>
      <w:proofErr w:type="spellStart"/>
      <w:r w:rsidRPr="007B234B">
        <w:rPr>
          <w:i/>
        </w:rPr>
        <w:t>Advertising</w:t>
      </w:r>
      <w:proofErr w:type="spellEnd"/>
      <w:r w:rsidRPr="007B234B">
        <w:rPr>
          <w:i/>
        </w:rPr>
        <w:t xml:space="preserve"> </w:t>
      </w:r>
      <w:proofErr w:type="spellStart"/>
      <w:r w:rsidRPr="007B234B">
        <w:rPr>
          <w:i/>
        </w:rPr>
        <w:t>and</w:t>
      </w:r>
      <w:proofErr w:type="spellEnd"/>
      <w:r w:rsidRPr="007B234B">
        <w:rPr>
          <w:i/>
        </w:rPr>
        <w:t xml:space="preserve"> </w:t>
      </w:r>
      <w:proofErr w:type="spellStart"/>
      <w:r w:rsidRPr="007B234B">
        <w:rPr>
          <w:i/>
        </w:rPr>
        <w:t>promotion</w:t>
      </w:r>
      <w:proofErr w:type="spellEnd"/>
      <w:r w:rsidRPr="007B234B">
        <w:rPr>
          <w:i/>
        </w:rPr>
        <w:t xml:space="preserve">: An </w:t>
      </w:r>
      <w:proofErr w:type="spellStart"/>
      <w:r w:rsidRPr="007B234B">
        <w:rPr>
          <w:i/>
        </w:rPr>
        <w:t>integrated</w:t>
      </w:r>
      <w:proofErr w:type="spellEnd"/>
      <w:r w:rsidRPr="007B234B">
        <w:rPr>
          <w:i/>
        </w:rPr>
        <w:t xml:space="preserve"> marketing </w:t>
      </w:r>
      <w:proofErr w:type="spellStart"/>
      <w:r w:rsidRPr="007B234B">
        <w:rPr>
          <w:i/>
        </w:rPr>
        <w:t>communications</w:t>
      </w:r>
      <w:proofErr w:type="spellEnd"/>
      <w:r w:rsidRPr="007B234B">
        <w:rPr>
          <w:i/>
        </w:rPr>
        <w:t xml:space="preserve"> </w:t>
      </w:r>
      <w:proofErr w:type="spellStart"/>
      <w:r w:rsidRPr="007B234B">
        <w:rPr>
          <w:i/>
        </w:rPr>
        <w:t>perspective</w:t>
      </w:r>
      <w:proofErr w:type="spellEnd"/>
      <w:r w:rsidRPr="007B234B">
        <w:rPr>
          <w:i/>
        </w:rPr>
        <w:t>.</w:t>
      </w:r>
      <w:r w:rsidRPr="002906A3">
        <w:t xml:space="preserve"> </w:t>
      </w:r>
      <w:proofErr w:type="spellStart"/>
      <w:r w:rsidRPr="002906A3">
        <w:t>Mcgraw-Hill</w:t>
      </w:r>
      <w:proofErr w:type="spellEnd"/>
      <w:r w:rsidRPr="002906A3">
        <w:t>.</w:t>
      </w:r>
    </w:p>
    <w:p w14:paraId="154C57A1" w14:textId="77777777" w:rsidR="001E7189" w:rsidRPr="002906A3" w:rsidRDefault="001E7189">
      <w:pPr>
        <w:pStyle w:val="ListeParagraf"/>
        <w:numPr>
          <w:ilvl w:val="0"/>
          <w:numId w:val="48"/>
        </w:numPr>
        <w:jc w:val="both"/>
      </w:pPr>
      <w:proofErr w:type="spellStart"/>
      <w:r w:rsidRPr="002906A3">
        <w:t>Bernanke</w:t>
      </w:r>
      <w:proofErr w:type="spellEnd"/>
      <w:r w:rsidRPr="002906A3">
        <w:t xml:space="preserve">, B. S., &amp; </w:t>
      </w:r>
      <w:proofErr w:type="spellStart"/>
      <w:r w:rsidRPr="002906A3">
        <w:t>Gertler</w:t>
      </w:r>
      <w:proofErr w:type="spellEnd"/>
      <w:r w:rsidRPr="002906A3">
        <w:t xml:space="preserve">, M. (1995). Inside </w:t>
      </w:r>
      <w:proofErr w:type="spellStart"/>
      <w:r w:rsidRPr="002906A3">
        <w:t>the</w:t>
      </w:r>
      <w:proofErr w:type="spellEnd"/>
      <w:r w:rsidRPr="002906A3">
        <w:t xml:space="preserve"> Black Box: </w:t>
      </w:r>
      <w:proofErr w:type="spellStart"/>
      <w:r w:rsidRPr="002906A3">
        <w:t>The</w:t>
      </w:r>
      <w:proofErr w:type="spellEnd"/>
      <w:r w:rsidRPr="002906A3">
        <w:t xml:space="preserve"> </w:t>
      </w:r>
      <w:proofErr w:type="spellStart"/>
      <w:r w:rsidRPr="002906A3">
        <w:t>Credit</w:t>
      </w:r>
      <w:proofErr w:type="spellEnd"/>
      <w:r w:rsidRPr="002906A3">
        <w:t xml:space="preserve"> Channel of </w:t>
      </w:r>
      <w:proofErr w:type="spellStart"/>
      <w:r w:rsidRPr="002906A3">
        <w:t>Monetary</w:t>
      </w:r>
      <w:proofErr w:type="spellEnd"/>
      <w:r w:rsidRPr="002906A3">
        <w:t xml:space="preserve"> </w:t>
      </w:r>
      <w:proofErr w:type="spellStart"/>
      <w:r w:rsidRPr="002906A3">
        <w:t>Policy</w:t>
      </w:r>
      <w:proofErr w:type="spellEnd"/>
      <w:r w:rsidRPr="002906A3">
        <w:t xml:space="preserve"> </w:t>
      </w:r>
      <w:proofErr w:type="spellStart"/>
      <w:r w:rsidRPr="002906A3">
        <w:t>Transmission</w:t>
      </w:r>
      <w:proofErr w:type="spellEnd"/>
      <w:r w:rsidRPr="002906A3">
        <w:t xml:space="preserve">. </w:t>
      </w:r>
      <w:proofErr w:type="spellStart"/>
      <w:r w:rsidRPr="007B234B">
        <w:rPr>
          <w:i/>
        </w:rPr>
        <w:t>Journal</w:t>
      </w:r>
      <w:proofErr w:type="spellEnd"/>
      <w:r w:rsidRPr="007B234B">
        <w:rPr>
          <w:i/>
        </w:rPr>
        <w:t xml:space="preserve"> of </w:t>
      </w:r>
      <w:proofErr w:type="spellStart"/>
      <w:r w:rsidRPr="007B234B">
        <w:rPr>
          <w:i/>
        </w:rPr>
        <w:t>Economic</w:t>
      </w:r>
      <w:proofErr w:type="spellEnd"/>
      <w:r w:rsidRPr="007B234B">
        <w:rPr>
          <w:i/>
        </w:rPr>
        <w:t xml:space="preserve"> </w:t>
      </w:r>
      <w:proofErr w:type="spellStart"/>
      <w:r w:rsidRPr="007B234B">
        <w:rPr>
          <w:i/>
        </w:rPr>
        <w:t>Perspectives</w:t>
      </w:r>
      <w:proofErr w:type="spellEnd"/>
      <w:r w:rsidRPr="007B234B">
        <w:rPr>
          <w:i/>
        </w:rPr>
        <w:t>, 9</w:t>
      </w:r>
      <w:r w:rsidRPr="002906A3">
        <w:t>(4), 27-48.</w:t>
      </w:r>
    </w:p>
    <w:p w14:paraId="2CCA7E67" w14:textId="77777777" w:rsidR="001E7189" w:rsidRPr="002906A3" w:rsidRDefault="001E7189">
      <w:pPr>
        <w:pStyle w:val="ListeParagraf"/>
        <w:numPr>
          <w:ilvl w:val="0"/>
          <w:numId w:val="48"/>
        </w:numPr>
        <w:jc w:val="both"/>
      </w:pPr>
      <w:proofErr w:type="spellStart"/>
      <w:r w:rsidRPr="002906A3">
        <w:t>Bouri</w:t>
      </w:r>
      <w:proofErr w:type="spellEnd"/>
      <w:r w:rsidRPr="002906A3">
        <w:t xml:space="preserve">, E., </w:t>
      </w:r>
      <w:proofErr w:type="spellStart"/>
      <w:r w:rsidRPr="002906A3">
        <w:t>Molnár</w:t>
      </w:r>
      <w:proofErr w:type="spellEnd"/>
      <w:r w:rsidRPr="002906A3">
        <w:t xml:space="preserve">, P., </w:t>
      </w:r>
      <w:proofErr w:type="spellStart"/>
      <w:r w:rsidRPr="002906A3">
        <w:t>Azzi</w:t>
      </w:r>
      <w:proofErr w:type="spellEnd"/>
      <w:r w:rsidRPr="002906A3">
        <w:t xml:space="preserve">, G., </w:t>
      </w:r>
      <w:proofErr w:type="spellStart"/>
      <w:r w:rsidRPr="002906A3">
        <w:t>Roubaud</w:t>
      </w:r>
      <w:proofErr w:type="spellEnd"/>
      <w:r w:rsidRPr="002906A3">
        <w:t xml:space="preserve">, D., &amp; </w:t>
      </w:r>
      <w:proofErr w:type="spellStart"/>
      <w:r w:rsidRPr="002906A3">
        <w:t>Hagfors</w:t>
      </w:r>
      <w:proofErr w:type="spellEnd"/>
      <w:r w:rsidRPr="002906A3">
        <w:t xml:space="preserve">, L. I. (2021). </w:t>
      </w:r>
      <w:proofErr w:type="spellStart"/>
      <w:r w:rsidRPr="002906A3">
        <w:t>Cryptocurrencies</w:t>
      </w:r>
      <w:proofErr w:type="spellEnd"/>
      <w:r w:rsidRPr="002906A3">
        <w:t xml:space="preserve"> as </w:t>
      </w:r>
      <w:proofErr w:type="spellStart"/>
      <w:r w:rsidRPr="002906A3">
        <w:t>financial</w:t>
      </w:r>
      <w:proofErr w:type="spellEnd"/>
      <w:r w:rsidRPr="002906A3">
        <w:t xml:space="preserve"> </w:t>
      </w:r>
      <w:proofErr w:type="spellStart"/>
      <w:r w:rsidRPr="002906A3">
        <w:t>assets</w:t>
      </w:r>
      <w:proofErr w:type="spellEnd"/>
      <w:r w:rsidRPr="002906A3">
        <w:t xml:space="preserve">: A </w:t>
      </w:r>
      <w:proofErr w:type="spellStart"/>
      <w:r w:rsidRPr="002906A3">
        <w:t>systematic</w:t>
      </w:r>
      <w:proofErr w:type="spellEnd"/>
      <w:r w:rsidRPr="002906A3">
        <w:t xml:space="preserve"> </w:t>
      </w:r>
      <w:proofErr w:type="spellStart"/>
      <w:r w:rsidRPr="002906A3">
        <w:t>analysis</w:t>
      </w:r>
      <w:proofErr w:type="spellEnd"/>
      <w:r w:rsidRPr="002906A3">
        <w:t xml:space="preserve">. </w:t>
      </w:r>
      <w:proofErr w:type="spellStart"/>
      <w:r w:rsidRPr="007B234B">
        <w:rPr>
          <w:i/>
        </w:rPr>
        <w:t>Journal</w:t>
      </w:r>
      <w:proofErr w:type="spellEnd"/>
      <w:r w:rsidRPr="007B234B">
        <w:rPr>
          <w:i/>
        </w:rPr>
        <w:t xml:space="preserve"> of </w:t>
      </w:r>
      <w:proofErr w:type="spellStart"/>
      <w:r w:rsidRPr="007B234B">
        <w:rPr>
          <w:i/>
        </w:rPr>
        <w:t>Economic</w:t>
      </w:r>
      <w:proofErr w:type="spellEnd"/>
      <w:r w:rsidRPr="007B234B">
        <w:rPr>
          <w:i/>
        </w:rPr>
        <w:t xml:space="preserve"> </w:t>
      </w:r>
      <w:proofErr w:type="spellStart"/>
      <w:r w:rsidRPr="007B234B">
        <w:rPr>
          <w:i/>
        </w:rPr>
        <w:t>Surveys</w:t>
      </w:r>
      <w:proofErr w:type="spellEnd"/>
      <w:r w:rsidRPr="007B234B">
        <w:rPr>
          <w:i/>
        </w:rPr>
        <w:t>, 35</w:t>
      </w:r>
      <w:r w:rsidRPr="002906A3">
        <w:t>(1), 1-25.</w:t>
      </w:r>
    </w:p>
    <w:p w14:paraId="6F5FF0C2" w14:textId="77777777" w:rsidR="001E7189" w:rsidRPr="002906A3" w:rsidRDefault="001E7189">
      <w:pPr>
        <w:pStyle w:val="ListeParagraf"/>
        <w:numPr>
          <w:ilvl w:val="0"/>
          <w:numId w:val="48"/>
        </w:numPr>
        <w:jc w:val="both"/>
      </w:pPr>
      <w:proofErr w:type="spellStart"/>
      <w:r w:rsidRPr="002906A3">
        <w:t>Erdogan</w:t>
      </w:r>
      <w:proofErr w:type="spellEnd"/>
      <w:r w:rsidRPr="002906A3">
        <w:t xml:space="preserve">, B. Z. (1999). </w:t>
      </w:r>
      <w:proofErr w:type="spellStart"/>
      <w:r w:rsidRPr="002906A3">
        <w:t>Celebrity</w:t>
      </w:r>
      <w:proofErr w:type="spellEnd"/>
      <w:r w:rsidRPr="002906A3">
        <w:t xml:space="preserve"> </w:t>
      </w:r>
      <w:proofErr w:type="spellStart"/>
      <w:r w:rsidRPr="002906A3">
        <w:t>endorsement</w:t>
      </w:r>
      <w:proofErr w:type="spellEnd"/>
      <w:r w:rsidRPr="002906A3">
        <w:t xml:space="preserve">: A </w:t>
      </w:r>
      <w:proofErr w:type="spellStart"/>
      <w:r w:rsidRPr="002906A3">
        <w:t>literature</w:t>
      </w:r>
      <w:proofErr w:type="spellEnd"/>
      <w:r w:rsidRPr="002906A3">
        <w:t xml:space="preserve"> </w:t>
      </w:r>
      <w:proofErr w:type="spellStart"/>
      <w:r w:rsidRPr="002906A3">
        <w:t>review</w:t>
      </w:r>
      <w:proofErr w:type="spellEnd"/>
      <w:r w:rsidRPr="002906A3">
        <w:t>. </w:t>
      </w:r>
      <w:proofErr w:type="spellStart"/>
      <w:r w:rsidRPr="007B234B">
        <w:rPr>
          <w:i/>
        </w:rPr>
        <w:t>Journal</w:t>
      </w:r>
      <w:proofErr w:type="spellEnd"/>
      <w:r w:rsidRPr="007B234B">
        <w:rPr>
          <w:i/>
        </w:rPr>
        <w:t xml:space="preserve"> of Marketing Management, 15</w:t>
      </w:r>
      <w:r w:rsidRPr="002906A3">
        <w:t>(4), 291-314.</w:t>
      </w:r>
    </w:p>
    <w:p w14:paraId="4EA43D49" w14:textId="77777777" w:rsidR="001E7189" w:rsidRPr="002906A3" w:rsidRDefault="001E7189">
      <w:pPr>
        <w:pStyle w:val="ListeParagraf"/>
        <w:numPr>
          <w:ilvl w:val="0"/>
          <w:numId w:val="48"/>
        </w:numPr>
        <w:jc w:val="both"/>
      </w:pPr>
      <w:proofErr w:type="spellStart"/>
      <w:r w:rsidRPr="002906A3">
        <w:t>Erfgen</w:t>
      </w:r>
      <w:proofErr w:type="spellEnd"/>
      <w:r w:rsidRPr="002906A3">
        <w:t xml:space="preserve">, C., </w:t>
      </w:r>
      <w:proofErr w:type="spellStart"/>
      <w:r w:rsidRPr="002906A3">
        <w:t>Zenker</w:t>
      </w:r>
      <w:proofErr w:type="spellEnd"/>
      <w:r w:rsidRPr="002906A3">
        <w:t xml:space="preserve">, S., &amp; </w:t>
      </w:r>
      <w:proofErr w:type="spellStart"/>
      <w:r w:rsidRPr="002906A3">
        <w:t>Sattler</w:t>
      </w:r>
      <w:proofErr w:type="spellEnd"/>
      <w:r w:rsidRPr="002906A3">
        <w:t xml:space="preserve">, H. (2015). </w:t>
      </w:r>
      <w:proofErr w:type="spellStart"/>
      <w:r w:rsidRPr="002906A3">
        <w:t>The</w:t>
      </w:r>
      <w:proofErr w:type="spellEnd"/>
      <w:r w:rsidRPr="002906A3">
        <w:t xml:space="preserve"> vampire </w:t>
      </w:r>
      <w:proofErr w:type="spellStart"/>
      <w:r w:rsidRPr="002906A3">
        <w:t>effect</w:t>
      </w:r>
      <w:proofErr w:type="spellEnd"/>
      <w:r w:rsidRPr="002906A3">
        <w:t xml:space="preserve">: </w:t>
      </w:r>
      <w:proofErr w:type="spellStart"/>
      <w:r w:rsidRPr="002906A3">
        <w:t>When</w:t>
      </w:r>
      <w:proofErr w:type="spellEnd"/>
      <w:r w:rsidRPr="002906A3">
        <w:t xml:space="preserve"> do </w:t>
      </w:r>
      <w:proofErr w:type="spellStart"/>
      <w:r w:rsidRPr="002906A3">
        <w:t>celebrity</w:t>
      </w:r>
      <w:proofErr w:type="spellEnd"/>
      <w:r w:rsidRPr="002906A3">
        <w:t xml:space="preserve"> </w:t>
      </w:r>
      <w:proofErr w:type="spellStart"/>
      <w:r w:rsidRPr="002906A3">
        <w:t>endorsers</w:t>
      </w:r>
      <w:proofErr w:type="spellEnd"/>
      <w:r w:rsidRPr="002906A3">
        <w:t xml:space="preserve"> </w:t>
      </w:r>
      <w:proofErr w:type="spellStart"/>
      <w:r w:rsidRPr="002906A3">
        <w:t>harm</w:t>
      </w:r>
      <w:proofErr w:type="spellEnd"/>
      <w:r w:rsidRPr="002906A3">
        <w:t xml:space="preserve"> </w:t>
      </w:r>
      <w:proofErr w:type="spellStart"/>
      <w:r w:rsidRPr="002906A3">
        <w:t>brand</w:t>
      </w:r>
      <w:proofErr w:type="spellEnd"/>
      <w:r w:rsidRPr="002906A3">
        <w:t xml:space="preserve"> </w:t>
      </w:r>
      <w:proofErr w:type="spellStart"/>
      <w:proofErr w:type="gramStart"/>
      <w:r w:rsidRPr="002906A3">
        <w:t>recall</w:t>
      </w:r>
      <w:proofErr w:type="spellEnd"/>
      <w:r w:rsidRPr="002906A3">
        <w:t>?.</w:t>
      </w:r>
      <w:proofErr w:type="gramEnd"/>
      <w:r w:rsidRPr="002906A3">
        <w:t> </w:t>
      </w:r>
      <w:r w:rsidRPr="007B234B">
        <w:rPr>
          <w:i/>
        </w:rPr>
        <w:t xml:space="preserve">International </w:t>
      </w:r>
      <w:proofErr w:type="spellStart"/>
      <w:r w:rsidRPr="007B234B">
        <w:rPr>
          <w:i/>
        </w:rPr>
        <w:t>Journal</w:t>
      </w:r>
      <w:proofErr w:type="spellEnd"/>
      <w:r w:rsidRPr="007B234B">
        <w:rPr>
          <w:i/>
        </w:rPr>
        <w:t xml:space="preserve"> of </w:t>
      </w:r>
      <w:proofErr w:type="spellStart"/>
      <w:r w:rsidRPr="007B234B">
        <w:rPr>
          <w:i/>
        </w:rPr>
        <w:t>Research</w:t>
      </w:r>
      <w:proofErr w:type="spellEnd"/>
      <w:r w:rsidRPr="007B234B">
        <w:rPr>
          <w:i/>
        </w:rPr>
        <w:t xml:space="preserve"> in Marketing, 32</w:t>
      </w:r>
      <w:r w:rsidRPr="002906A3">
        <w:t>(2), 155-163.</w:t>
      </w:r>
    </w:p>
    <w:p w14:paraId="0DCFE846" w14:textId="77777777" w:rsidR="001E7189" w:rsidRPr="002906A3" w:rsidRDefault="001E7189">
      <w:pPr>
        <w:pStyle w:val="ListeParagraf"/>
        <w:numPr>
          <w:ilvl w:val="0"/>
          <w:numId w:val="48"/>
        </w:numPr>
        <w:jc w:val="both"/>
      </w:pPr>
      <w:r w:rsidRPr="002906A3">
        <w:t>Erkal, E. (2013). Reklamlarda Ünlü Kullanımının Satın Alma Davranışı Üzerindeki Etkisi. (Yüksek Lisans Tezi). Selçuk Üniversitesi Sosyal Bilimler Enstitüsü, Konya.</w:t>
      </w:r>
    </w:p>
    <w:p w14:paraId="7C0E753B" w14:textId="77777777" w:rsidR="001E7189" w:rsidRPr="002906A3" w:rsidRDefault="001E7189">
      <w:pPr>
        <w:pStyle w:val="ListeParagraf"/>
        <w:numPr>
          <w:ilvl w:val="0"/>
          <w:numId w:val="48"/>
        </w:numPr>
        <w:jc w:val="both"/>
      </w:pPr>
      <w:proofErr w:type="spellStart"/>
      <w:r w:rsidRPr="002906A3">
        <w:t>Fang</w:t>
      </w:r>
      <w:proofErr w:type="spellEnd"/>
      <w:r w:rsidRPr="002906A3">
        <w:t xml:space="preserve">, L., &amp; </w:t>
      </w:r>
      <w:proofErr w:type="spellStart"/>
      <w:r w:rsidRPr="002906A3">
        <w:t>Peress</w:t>
      </w:r>
      <w:proofErr w:type="spellEnd"/>
      <w:r w:rsidRPr="002906A3">
        <w:t xml:space="preserve">, J. (2009). Media </w:t>
      </w:r>
      <w:proofErr w:type="spellStart"/>
      <w:r w:rsidRPr="002906A3">
        <w:t>Coverage</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cross-section</w:t>
      </w:r>
      <w:proofErr w:type="spellEnd"/>
      <w:r w:rsidRPr="002906A3">
        <w:t xml:space="preserve"> of </w:t>
      </w:r>
      <w:proofErr w:type="spellStart"/>
      <w:r w:rsidRPr="002906A3">
        <w:t>stock</w:t>
      </w:r>
      <w:proofErr w:type="spellEnd"/>
      <w:r w:rsidRPr="002906A3">
        <w:t xml:space="preserve"> </w:t>
      </w:r>
      <w:proofErr w:type="spellStart"/>
      <w:r w:rsidRPr="002906A3">
        <w:t>returns</w:t>
      </w:r>
      <w:proofErr w:type="spellEnd"/>
      <w:r w:rsidRPr="002906A3">
        <w:t xml:space="preserve">. </w:t>
      </w:r>
      <w:proofErr w:type="spellStart"/>
      <w:r w:rsidRPr="007B234B">
        <w:rPr>
          <w:i/>
        </w:rPr>
        <w:t>Journal</w:t>
      </w:r>
      <w:proofErr w:type="spellEnd"/>
      <w:r w:rsidRPr="007B234B">
        <w:rPr>
          <w:i/>
        </w:rPr>
        <w:t xml:space="preserve"> of Finance, 64</w:t>
      </w:r>
      <w:r w:rsidRPr="002906A3">
        <w:t>(5), 2023-2052.</w:t>
      </w:r>
    </w:p>
    <w:p w14:paraId="51B4544A" w14:textId="77777777" w:rsidR="001E7189" w:rsidRPr="002906A3" w:rsidRDefault="001E7189">
      <w:pPr>
        <w:pStyle w:val="ListeParagraf"/>
        <w:numPr>
          <w:ilvl w:val="0"/>
          <w:numId w:val="48"/>
        </w:numPr>
        <w:jc w:val="both"/>
      </w:pPr>
      <w:proofErr w:type="spellStart"/>
      <w:r w:rsidRPr="002906A3">
        <w:t>Heath</w:t>
      </w:r>
      <w:proofErr w:type="spellEnd"/>
      <w:r w:rsidRPr="002906A3">
        <w:t xml:space="preserve">, C., &amp; </w:t>
      </w:r>
      <w:proofErr w:type="spellStart"/>
      <w:r w:rsidRPr="002906A3">
        <w:t>Tversky</w:t>
      </w:r>
      <w:proofErr w:type="spellEnd"/>
      <w:r w:rsidRPr="002906A3">
        <w:t xml:space="preserve">, A. (1991). </w:t>
      </w:r>
      <w:proofErr w:type="spellStart"/>
      <w:r w:rsidRPr="002906A3">
        <w:t>Preference</w:t>
      </w:r>
      <w:proofErr w:type="spellEnd"/>
      <w:r w:rsidRPr="002906A3">
        <w:t xml:space="preserve"> </w:t>
      </w:r>
      <w:proofErr w:type="spellStart"/>
      <w:r w:rsidRPr="002906A3">
        <w:t>and</w:t>
      </w:r>
      <w:proofErr w:type="spellEnd"/>
      <w:r w:rsidRPr="002906A3">
        <w:t xml:space="preserve"> </w:t>
      </w:r>
      <w:proofErr w:type="spellStart"/>
      <w:r w:rsidRPr="002906A3">
        <w:t>belief</w:t>
      </w:r>
      <w:proofErr w:type="spellEnd"/>
      <w:r w:rsidRPr="002906A3">
        <w:t xml:space="preserve">: </w:t>
      </w:r>
      <w:proofErr w:type="spellStart"/>
      <w:r w:rsidRPr="002906A3">
        <w:t>Ambiguity</w:t>
      </w:r>
      <w:proofErr w:type="spellEnd"/>
      <w:r w:rsidRPr="002906A3">
        <w:t xml:space="preserve"> </w:t>
      </w:r>
      <w:proofErr w:type="spellStart"/>
      <w:r w:rsidRPr="002906A3">
        <w:t>and</w:t>
      </w:r>
      <w:proofErr w:type="spellEnd"/>
      <w:r w:rsidRPr="002906A3">
        <w:t xml:space="preserve"> </w:t>
      </w:r>
      <w:proofErr w:type="spellStart"/>
      <w:r w:rsidRPr="002906A3">
        <w:t>competence</w:t>
      </w:r>
      <w:proofErr w:type="spellEnd"/>
      <w:r w:rsidRPr="002906A3">
        <w:t xml:space="preserve"> in </w:t>
      </w:r>
      <w:proofErr w:type="spellStart"/>
      <w:r w:rsidRPr="002906A3">
        <w:t>choice</w:t>
      </w:r>
      <w:proofErr w:type="spellEnd"/>
      <w:r w:rsidRPr="002906A3">
        <w:t xml:space="preserve"> </w:t>
      </w:r>
      <w:proofErr w:type="spellStart"/>
      <w:r w:rsidRPr="002906A3">
        <w:t>under</w:t>
      </w:r>
      <w:proofErr w:type="spellEnd"/>
      <w:r w:rsidRPr="002906A3">
        <w:t xml:space="preserve"> </w:t>
      </w:r>
      <w:proofErr w:type="spellStart"/>
      <w:r w:rsidRPr="002906A3">
        <w:t>uncertainty</w:t>
      </w:r>
      <w:proofErr w:type="spellEnd"/>
      <w:r w:rsidRPr="002906A3">
        <w:t>. </w:t>
      </w:r>
      <w:proofErr w:type="spellStart"/>
      <w:r w:rsidRPr="007B234B">
        <w:rPr>
          <w:i/>
        </w:rPr>
        <w:t>Journal</w:t>
      </w:r>
      <w:proofErr w:type="spellEnd"/>
      <w:r w:rsidRPr="007B234B">
        <w:rPr>
          <w:i/>
        </w:rPr>
        <w:t xml:space="preserve"> of Risk </w:t>
      </w:r>
      <w:proofErr w:type="spellStart"/>
      <w:r w:rsidRPr="007B234B">
        <w:rPr>
          <w:i/>
        </w:rPr>
        <w:t>and</w:t>
      </w:r>
      <w:proofErr w:type="spellEnd"/>
      <w:r w:rsidRPr="007B234B">
        <w:rPr>
          <w:i/>
        </w:rPr>
        <w:t xml:space="preserve"> </w:t>
      </w:r>
      <w:proofErr w:type="spellStart"/>
      <w:r w:rsidRPr="007B234B">
        <w:rPr>
          <w:i/>
        </w:rPr>
        <w:t>Uncertainty</w:t>
      </w:r>
      <w:proofErr w:type="spellEnd"/>
      <w:r w:rsidRPr="007B234B">
        <w:rPr>
          <w:i/>
        </w:rPr>
        <w:t>, 4(</w:t>
      </w:r>
      <w:r w:rsidRPr="002906A3">
        <w:t>1), 5-28.</w:t>
      </w:r>
    </w:p>
    <w:p w14:paraId="0E127E77" w14:textId="77777777" w:rsidR="001E7189" w:rsidRPr="002906A3" w:rsidRDefault="001E7189">
      <w:pPr>
        <w:pStyle w:val="ListeParagraf"/>
        <w:numPr>
          <w:ilvl w:val="0"/>
          <w:numId w:val="48"/>
        </w:numPr>
        <w:jc w:val="both"/>
      </w:pPr>
      <w:r w:rsidRPr="002906A3">
        <w:t xml:space="preserve">Hoffman, D. L., &amp; Novak, T. P. (1996). Marketing in </w:t>
      </w:r>
      <w:proofErr w:type="spellStart"/>
      <w:r w:rsidRPr="002906A3">
        <w:t>hypermedia</w:t>
      </w:r>
      <w:proofErr w:type="spellEnd"/>
      <w:r w:rsidRPr="002906A3">
        <w:t xml:space="preserve"> </w:t>
      </w:r>
      <w:proofErr w:type="spellStart"/>
      <w:r w:rsidRPr="002906A3">
        <w:t>computer-mediated</w:t>
      </w:r>
      <w:proofErr w:type="spellEnd"/>
      <w:r w:rsidRPr="002906A3">
        <w:t xml:space="preserve"> </w:t>
      </w:r>
      <w:proofErr w:type="spellStart"/>
      <w:r w:rsidRPr="002906A3">
        <w:lastRenderedPageBreak/>
        <w:t>environments</w:t>
      </w:r>
      <w:proofErr w:type="spellEnd"/>
      <w:r w:rsidRPr="002906A3">
        <w:t xml:space="preserve">: </w:t>
      </w:r>
      <w:proofErr w:type="spellStart"/>
      <w:r w:rsidRPr="002906A3">
        <w:t>Conceptual</w:t>
      </w:r>
      <w:proofErr w:type="spellEnd"/>
      <w:r w:rsidRPr="002906A3">
        <w:t xml:space="preserve"> </w:t>
      </w:r>
      <w:proofErr w:type="spellStart"/>
      <w:r w:rsidRPr="002906A3">
        <w:t>foundations</w:t>
      </w:r>
      <w:proofErr w:type="spellEnd"/>
      <w:r w:rsidRPr="002906A3">
        <w:t xml:space="preserve">. </w:t>
      </w:r>
      <w:proofErr w:type="spellStart"/>
      <w:r w:rsidRPr="007B234B">
        <w:rPr>
          <w:i/>
        </w:rPr>
        <w:t>Journal</w:t>
      </w:r>
      <w:proofErr w:type="spellEnd"/>
      <w:r w:rsidRPr="007B234B">
        <w:rPr>
          <w:i/>
        </w:rPr>
        <w:t xml:space="preserve"> of Marketing, 60</w:t>
      </w:r>
      <w:r w:rsidRPr="002906A3">
        <w:t>(3), 50-68.</w:t>
      </w:r>
    </w:p>
    <w:p w14:paraId="768A5E10" w14:textId="03CC4BAC" w:rsidR="001E7189" w:rsidRPr="002906A3" w:rsidRDefault="001E7189">
      <w:pPr>
        <w:pStyle w:val="ListeParagraf"/>
        <w:numPr>
          <w:ilvl w:val="0"/>
          <w:numId w:val="48"/>
        </w:numPr>
        <w:jc w:val="both"/>
      </w:pPr>
      <w:r w:rsidRPr="002906A3">
        <w:t xml:space="preserve">Hong, H., &amp; </w:t>
      </w:r>
      <w:proofErr w:type="spellStart"/>
      <w:r w:rsidRPr="002906A3">
        <w:t>Stein</w:t>
      </w:r>
      <w:proofErr w:type="spellEnd"/>
      <w:r w:rsidRPr="002906A3">
        <w:t xml:space="preserve">, J. C. (1999). A </w:t>
      </w:r>
      <w:proofErr w:type="spellStart"/>
      <w:r w:rsidRPr="002906A3">
        <w:t>unified</w:t>
      </w:r>
      <w:proofErr w:type="spellEnd"/>
      <w:r w:rsidRPr="002906A3">
        <w:t xml:space="preserve"> </w:t>
      </w:r>
      <w:proofErr w:type="spellStart"/>
      <w:r w:rsidRPr="002906A3">
        <w:t>theory</w:t>
      </w:r>
      <w:proofErr w:type="spellEnd"/>
      <w:r w:rsidRPr="002906A3">
        <w:t xml:space="preserve"> of </w:t>
      </w:r>
      <w:proofErr w:type="spellStart"/>
      <w:r w:rsidRPr="002906A3">
        <w:t>underreaction</w:t>
      </w:r>
      <w:proofErr w:type="spellEnd"/>
      <w:r w:rsidRPr="002906A3">
        <w:t xml:space="preserve">, momentum </w:t>
      </w:r>
      <w:proofErr w:type="spellStart"/>
      <w:r w:rsidRPr="002906A3">
        <w:t>trading</w:t>
      </w:r>
      <w:proofErr w:type="spellEnd"/>
      <w:r w:rsidRPr="002906A3">
        <w:t xml:space="preserve">, </w:t>
      </w:r>
      <w:proofErr w:type="spellStart"/>
      <w:r w:rsidRPr="002906A3">
        <w:t>and</w:t>
      </w:r>
      <w:proofErr w:type="spellEnd"/>
      <w:r w:rsidRPr="002906A3">
        <w:t xml:space="preserve"> </w:t>
      </w:r>
      <w:proofErr w:type="spellStart"/>
      <w:r w:rsidRPr="002906A3">
        <w:t>overreaction</w:t>
      </w:r>
      <w:proofErr w:type="spellEnd"/>
      <w:r w:rsidRPr="002906A3">
        <w:t xml:space="preserve"> in </w:t>
      </w:r>
      <w:proofErr w:type="spellStart"/>
      <w:r w:rsidRPr="002906A3">
        <w:t>asset</w:t>
      </w:r>
      <w:proofErr w:type="spellEnd"/>
      <w:r w:rsidRPr="002906A3">
        <w:t xml:space="preserve"> </w:t>
      </w:r>
      <w:proofErr w:type="spellStart"/>
      <w:r w:rsidRPr="002906A3">
        <w:t>markets</w:t>
      </w:r>
      <w:proofErr w:type="spellEnd"/>
      <w:r w:rsidRPr="002906A3">
        <w:t>. </w:t>
      </w:r>
      <w:proofErr w:type="spellStart"/>
      <w:r w:rsidRPr="007B234B">
        <w:rPr>
          <w:i/>
        </w:rPr>
        <w:t>The</w:t>
      </w:r>
      <w:proofErr w:type="spellEnd"/>
      <w:r w:rsidRPr="007B234B">
        <w:rPr>
          <w:i/>
        </w:rPr>
        <w:t xml:space="preserve"> </w:t>
      </w:r>
      <w:proofErr w:type="spellStart"/>
      <w:r w:rsidRPr="007B234B">
        <w:rPr>
          <w:i/>
        </w:rPr>
        <w:t>Journal</w:t>
      </w:r>
      <w:proofErr w:type="spellEnd"/>
      <w:r w:rsidRPr="007B234B">
        <w:rPr>
          <w:i/>
        </w:rPr>
        <w:t xml:space="preserve"> of </w:t>
      </w:r>
      <w:proofErr w:type="spellStart"/>
      <w:r w:rsidRPr="007B234B">
        <w:rPr>
          <w:i/>
        </w:rPr>
        <w:t>finance</w:t>
      </w:r>
      <w:proofErr w:type="spellEnd"/>
      <w:r w:rsidRPr="007B234B">
        <w:rPr>
          <w:i/>
        </w:rPr>
        <w:t>, 54</w:t>
      </w:r>
      <w:r w:rsidRPr="002906A3">
        <w:t>(6), 2143-2184.</w:t>
      </w:r>
    </w:p>
    <w:p w14:paraId="35478CEA" w14:textId="77777777" w:rsidR="001E7189" w:rsidRPr="002906A3" w:rsidRDefault="001E7189">
      <w:pPr>
        <w:pStyle w:val="ListeParagraf"/>
        <w:numPr>
          <w:ilvl w:val="0"/>
          <w:numId w:val="48"/>
        </w:numPr>
        <w:jc w:val="both"/>
      </w:pPr>
      <w:proofErr w:type="spellStart"/>
      <w:r w:rsidRPr="002906A3">
        <w:t>Huberman</w:t>
      </w:r>
      <w:proofErr w:type="spellEnd"/>
      <w:r w:rsidRPr="002906A3">
        <w:t xml:space="preserve">, G., &amp; </w:t>
      </w:r>
      <w:proofErr w:type="spellStart"/>
      <w:r w:rsidRPr="002906A3">
        <w:t>Regev</w:t>
      </w:r>
      <w:proofErr w:type="spellEnd"/>
      <w:r w:rsidRPr="002906A3">
        <w:t xml:space="preserve">, T. (2001). </w:t>
      </w:r>
      <w:proofErr w:type="spellStart"/>
      <w:r w:rsidRPr="002906A3">
        <w:t>Contagious</w:t>
      </w:r>
      <w:proofErr w:type="spellEnd"/>
      <w:r w:rsidRPr="002906A3">
        <w:t xml:space="preserve"> </w:t>
      </w:r>
      <w:proofErr w:type="spellStart"/>
      <w:r w:rsidRPr="002906A3">
        <w:t>speculation</w:t>
      </w:r>
      <w:proofErr w:type="spellEnd"/>
      <w:r w:rsidRPr="002906A3">
        <w:t xml:space="preserve"> </w:t>
      </w:r>
      <w:proofErr w:type="spellStart"/>
      <w:r w:rsidRPr="002906A3">
        <w:t>and</w:t>
      </w:r>
      <w:proofErr w:type="spellEnd"/>
      <w:r w:rsidRPr="002906A3">
        <w:t xml:space="preserve"> a </w:t>
      </w:r>
      <w:proofErr w:type="spellStart"/>
      <w:r w:rsidRPr="002906A3">
        <w:t>cure</w:t>
      </w:r>
      <w:proofErr w:type="spellEnd"/>
      <w:r w:rsidRPr="002906A3">
        <w:t xml:space="preserve"> </w:t>
      </w:r>
      <w:proofErr w:type="spellStart"/>
      <w:r w:rsidRPr="002906A3">
        <w:t>for</w:t>
      </w:r>
      <w:proofErr w:type="spellEnd"/>
      <w:r w:rsidRPr="002906A3">
        <w:t xml:space="preserve"> </w:t>
      </w:r>
      <w:proofErr w:type="spellStart"/>
      <w:r w:rsidRPr="002906A3">
        <w:t>cancer</w:t>
      </w:r>
      <w:proofErr w:type="spellEnd"/>
      <w:r w:rsidRPr="002906A3">
        <w:t xml:space="preserve">: A </w:t>
      </w:r>
      <w:proofErr w:type="spellStart"/>
      <w:r w:rsidRPr="002906A3">
        <w:t>nonevent</w:t>
      </w:r>
      <w:proofErr w:type="spellEnd"/>
      <w:r w:rsidRPr="002906A3">
        <w:t xml:space="preserve"> </w:t>
      </w:r>
      <w:proofErr w:type="spellStart"/>
      <w:r w:rsidRPr="002906A3">
        <w:t>that</w:t>
      </w:r>
      <w:proofErr w:type="spellEnd"/>
      <w:r w:rsidRPr="002906A3">
        <w:t xml:space="preserve"> </w:t>
      </w:r>
      <w:proofErr w:type="spellStart"/>
      <w:r w:rsidRPr="002906A3">
        <w:t>made</w:t>
      </w:r>
      <w:proofErr w:type="spellEnd"/>
      <w:r w:rsidRPr="002906A3">
        <w:t xml:space="preserve"> </w:t>
      </w:r>
      <w:proofErr w:type="spellStart"/>
      <w:r w:rsidRPr="002906A3">
        <w:t>stock</w:t>
      </w:r>
      <w:proofErr w:type="spellEnd"/>
      <w:r w:rsidRPr="002906A3">
        <w:t xml:space="preserve"> </w:t>
      </w:r>
      <w:proofErr w:type="spellStart"/>
      <w:r w:rsidRPr="002906A3">
        <w:t>prices</w:t>
      </w:r>
      <w:proofErr w:type="spellEnd"/>
      <w:r w:rsidRPr="002906A3">
        <w:t xml:space="preserve"> </w:t>
      </w:r>
      <w:proofErr w:type="spellStart"/>
      <w:r w:rsidRPr="002906A3">
        <w:t>soar</w:t>
      </w:r>
      <w:proofErr w:type="spellEnd"/>
      <w:r w:rsidRPr="002906A3">
        <w:t>. </w:t>
      </w:r>
      <w:proofErr w:type="spellStart"/>
      <w:r w:rsidRPr="007B234B">
        <w:rPr>
          <w:i/>
        </w:rPr>
        <w:t>The</w:t>
      </w:r>
      <w:proofErr w:type="spellEnd"/>
      <w:r w:rsidRPr="007B234B">
        <w:rPr>
          <w:i/>
        </w:rPr>
        <w:t xml:space="preserve"> </w:t>
      </w:r>
      <w:proofErr w:type="spellStart"/>
      <w:r w:rsidRPr="007B234B">
        <w:rPr>
          <w:i/>
        </w:rPr>
        <w:t>Journal</w:t>
      </w:r>
      <w:proofErr w:type="spellEnd"/>
      <w:r w:rsidRPr="007B234B">
        <w:rPr>
          <w:i/>
        </w:rPr>
        <w:t xml:space="preserve"> of Finance, 56</w:t>
      </w:r>
      <w:r w:rsidRPr="002906A3">
        <w:t>(1), 387-396.</w:t>
      </w:r>
    </w:p>
    <w:p w14:paraId="14F5C5A7" w14:textId="77777777" w:rsidR="001E7189" w:rsidRPr="002906A3" w:rsidRDefault="001E7189">
      <w:pPr>
        <w:pStyle w:val="ListeParagraf"/>
        <w:numPr>
          <w:ilvl w:val="0"/>
          <w:numId w:val="48"/>
        </w:numPr>
        <w:jc w:val="both"/>
      </w:pPr>
      <w:proofErr w:type="spellStart"/>
      <w:r w:rsidRPr="002906A3">
        <w:t>Kahneman</w:t>
      </w:r>
      <w:proofErr w:type="spellEnd"/>
      <w:r w:rsidRPr="002906A3">
        <w:t xml:space="preserve">, D. (1973). </w:t>
      </w:r>
      <w:proofErr w:type="spellStart"/>
      <w:r w:rsidRPr="007B234B">
        <w:rPr>
          <w:i/>
          <w:iCs/>
        </w:rPr>
        <w:t>Attention</w:t>
      </w:r>
      <w:proofErr w:type="spellEnd"/>
      <w:r w:rsidRPr="007B234B">
        <w:rPr>
          <w:i/>
          <w:iCs/>
        </w:rPr>
        <w:t xml:space="preserve"> </w:t>
      </w:r>
      <w:proofErr w:type="spellStart"/>
      <w:r w:rsidRPr="007B234B">
        <w:rPr>
          <w:i/>
          <w:iCs/>
        </w:rPr>
        <w:t>and</w:t>
      </w:r>
      <w:proofErr w:type="spellEnd"/>
      <w:r w:rsidRPr="007B234B">
        <w:rPr>
          <w:i/>
          <w:iCs/>
        </w:rPr>
        <w:t xml:space="preserve"> </w:t>
      </w:r>
      <w:proofErr w:type="spellStart"/>
      <w:r w:rsidRPr="007B234B">
        <w:rPr>
          <w:i/>
          <w:iCs/>
        </w:rPr>
        <w:t>effort</w:t>
      </w:r>
      <w:proofErr w:type="spellEnd"/>
      <w:r w:rsidRPr="002906A3">
        <w:t xml:space="preserve">. </w:t>
      </w:r>
      <w:proofErr w:type="spellStart"/>
      <w:r w:rsidRPr="002906A3">
        <w:t>Prentice-Hall</w:t>
      </w:r>
      <w:proofErr w:type="spellEnd"/>
      <w:r w:rsidRPr="002906A3">
        <w:t>.</w:t>
      </w:r>
    </w:p>
    <w:p w14:paraId="33AC4693" w14:textId="77777777" w:rsidR="001E7189" w:rsidRPr="002906A3" w:rsidRDefault="001E7189">
      <w:pPr>
        <w:pStyle w:val="ListeParagraf"/>
        <w:numPr>
          <w:ilvl w:val="0"/>
          <w:numId w:val="48"/>
        </w:numPr>
        <w:jc w:val="both"/>
      </w:pPr>
      <w:proofErr w:type="spellStart"/>
      <w:r w:rsidRPr="002906A3">
        <w:t>Kapferer</w:t>
      </w:r>
      <w:proofErr w:type="spellEnd"/>
      <w:r w:rsidRPr="002906A3">
        <w:t xml:space="preserve">, J. N. (2012). </w:t>
      </w:r>
      <w:proofErr w:type="spellStart"/>
      <w:r w:rsidRPr="002906A3">
        <w:t>The</w:t>
      </w:r>
      <w:proofErr w:type="spellEnd"/>
      <w:r w:rsidRPr="002906A3">
        <w:t xml:space="preserve"> New Strategic </w:t>
      </w:r>
      <w:proofErr w:type="spellStart"/>
      <w:r w:rsidRPr="002906A3">
        <w:t>Brand</w:t>
      </w:r>
      <w:proofErr w:type="spellEnd"/>
      <w:r w:rsidRPr="002906A3">
        <w:t xml:space="preserve"> Management: Advanced </w:t>
      </w:r>
      <w:proofErr w:type="spellStart"/>
      <w:r w:rsidRPr="002906A3">
        <w:t>Insights</w:t>
      </w:r>
      <w:proofErr w:type="spellEnd"/>
      <w:r w:rsidRPr="002906A3">
        <w:t xml:space="preserve"> </w:t>
      </w:r>
      <w:proofErr w:type="spellStart"/>
      <w:r w:rsidRPr="002906A3">
        <w:t>and</w:t>
      </w:r>
      <w:proofErr w:type="spellEnd"/>
      <w:r w:rsidRPr="002906A3">
        <w:t xml:space="preserve"> Strategic </w:t>
      </w:r>
      <w:proofErr w:type="spellStart"/>
      <w:r w:rsidRPr="002906A3">
        <w:t>Thinking</w:t>
      </w:r>
      <w:proofErr w:type="spellEnd"/>
      <w:r w:rsidRPr="002906A3">
        <w:t xml:space="preserve">. </w:t>
      </w:r>
      <w:proofErr w:type="spellStart"/>
      <w:r w:rsidRPr="002906A3">
        <w:t>Kogan</w:t>
      </w:r>
      <w:proofErr w:type="spellEnd"/>
      <w:r w:rsidRPr="002906A3">
        <w:t xml:space="preserve"> </w:t>
      </w:r>
      <w:proofErr w:type="spellStart"/>
      <w:r w:rsidRPr="002906A3">
        <w:t>Page</w:t>
      </w:r>
      <w:proofErr w:type="spellEnd"/>
      <w:r w:rsidRPr="002906A3">
        <w:t xml:space="preserve"> </w:t>
      </w:r>
      <w:proofErr w:type="spellStart"/>
      <w:r w:rsidRPr="002906A3">
        <w:t>Publishers</w:t>
      </w:r>
      <w:proofErr w:type="spellEnd"/>
      <w:r w:rsidRPr="002906A3">
        <w:t>.</w:t>
      </w:r>
    </w:p>
    <w:p w14:paraId="731C4400" w14:textId="77777777" w:rsidR="001E7189" w:rsidRPr="002906A3" w:rsidRDefault="001E7189">
      <w:pPr>
        <w:pStyle w:val="ListeParagraf"/>
        <w:numPr>
          <w:ilvl w:val="0"/>
          <w:numId w:val="48"/>
        </w:numPr>
        <w:jc w:val="both"/>
      </w:pPr>
      <w:r w:rsidRPr="002906A3">
        <w:t>Kaya, F. (2018). Reklam ve pazarlama stratejileri: Bir reklamda olması gerekenler. </w:t>
      </w:r>
      <w:r w:rsidRPr="007B234B">
        <w:rPr>
          <w:i/>
        </w:rPr>
        <w:t>Mecmua</w:t>
      </w:r>
      <w:r w:rsidRPr="002906A3">
        <w:t>, (5), 99-111.</w:t>
      </w:r>
    </w:p>
    <w:p w14:paraId="1E69A299" w14:textId="77777777" w:rsidR="001E7189" w:rsidRPr="002906A3" w:rsidRDefault="001E7189">
      <w:pPr>
        <w:pStyle w:val="ListeParagraf"/>
        <w:numPr>
          <w:ilvl w:val="0"/>
          <w:numId w:val="48"/>
        </w:numPr>
        <w:jc w:val="both"/>
      </w:pPr>
      <w:proofErr w:type="spellStart"/>
      <w:r w:rsidRPr="002906A3">
        <w:t>Kuvita</w:t>
      </w:r>
      <w:proofErr w:type="spellEnd"/>
      <w:r w:rsidRPr="002906A3">
        <w:t xml:space="preserve">, T., &amp; </w:t>
      </w:r>
      <w:proofErr w:type="spellStart"/>
      <w:r w:rsidRPr="002906A3">
        <w:t>Karlíček</w:t>
      </w:r>
      <w:proofErr w:type="spellEnd"/>
      <w:r w:rsidRPr="002906A3">
        <w:t xml:space="preserve">, M. (2014). </w:t>
      </w:r>
      <w:proofErr w:type="spellStart"/>
      <w:r w:rsidRPr="002906A3">
        <w:t>The</w:t>
      </w:r>
      <w:proofErr w:type="spellEnd"/>
      <w:r w:rsidRPr="002906A3">
        <w:t xml:space="preserve"> risk of vampire </w:t>
      </w:r>
      <w:proofErr w:type="spellStart"/>
      <w:r w:rsidRPr="002906A3">
        <w:t>effect</w:t>
      </w:r>
      <w:proofErr w:type="spellEnd"/>
      <w:r w:rsidRPr="002906A3">
        <w:t xml:space="preserve"> in </w:t>
      </w:r>
      <w:proofErr w:type="spellStart"/>
      <w:r w:rsidRPr="002906A3">
        <w:t>advertisements</w:t>
      </w:r>
      <w:proofErr w:type="spellEnd"/>
      <w:r w:rsidRPr="002906A3">
        <w:t xml:space="preserve"> </w:t>
      </w:r>
      <w:proofErr w:type="spellStart"/>
      <w:r w:rsidRPr="002906A3">
        <w:t>using</w:t>
      </w:r>
      <w:proofErr w:type="spellEnd"/>
      <w:r w:rsidRPr="002906A3">
        <w:t xml:space="preserve"> </w:t>
      </w:r>
      <w:proofErr w:type="spellStart"/>
      <w:r w:rsidRPr="002906A3">
        <w:t>celebrity</w:t>
      </w:r>
      <w:proofErr w:type="spellEnd"/>
      <w:r w:rsidRPr="002906A3">
        <w:t xml:space="preserve"> </w:t>
      </w:r>
      <w:proofErr w:type="spellStart"/>
      <w:r w:rsidRPr="002906A3">
        <w:t>endorsement</w:t>
      </w:r>
      <w:proofErr w:type="spellEnd"/>
      <w:r w:rsidRPr="007B234B">
        <w:rPr>
          <w:i/>
        </w:rPr>
        <w:t xml:space="preserve">. Central </w:t>
      </w:r>
      <w:proofErr w:type="spellStart"/>
      <w:r w:rsidRPr="007B234B">
        <w:rPr>
          <w:i/>
        </w:rPr>
        <w:t>European</w:t>
      </w:r>
      <w:proofErr w:type="spellEnd"/>
      <w:r w:rsidRPr="007B234B">
        <w:rPr>
          <w:i/>
        </w:rPr>
        <w:t xml:space="preserve"> Business </w:t>
      </w:r>
      <w:proofErr w:type="spellStart"/>
      <w:r w:rsidRPr="007B234B">
        <w:rPr>
          <w:i/>
        </w:rPr>
        <w:t>Review</w:t>
      </w:r>
      <w:proofErr w:type="spellEnd"/>
      <w:r w:rsidRPr="007B234B">
        <w:rPr>
          <w:i/>
        </w:rPr>
        <w:t>, 3</w:t>
      </w:r>
      <w:r w:rsidRPr="002906A3">
        <w:t>(3).</w:t>
      </w:r>
    </w:p>
    <w:p w14:paraId="558F7EF4" w14:textId="77777777" w:rsidR="001E7189" w:rsidRPr="002906A3" w:rsidRDefault="001E7189">
      <w:pPr>
        <w:pStyle w:val="ListeParagraf"/>
        <w:numPr>
          <w:ilvl w:val="0"/>
          <w:numId w:val="48"/>
        </w:numPr>
        <w:jc w:val="both"/>
      </w:pPr>
      <w:proofErr w:type="spellStart"/>
      <w:r w:rsidRPr="002906A3">
        <w:t>Markowitz</w:t>
      </w:r>
      <w:proofErr w:type="spellEnd"/>
      <w:r w:rsidRPr="002906A3">
        <w:t xml:space="preserve">, H. (1952). Portfolio </w:t>
      </w:r>
      <w:proofErr w:type="spellStart"/>
      <w:r w:rsidRPr="002906A3">
        <w:t>Selection</w:t>
      </w:r>
      <w:proofErr w:type="spellEnd"/>
      <w:r w:rsidRPr="002906A3">
        <w:t xml:space="preserve">. </w:t>
      </w:r>
      <w:proofErr w:type="spellStart"/>
      <w:r w:rsidRPr="007B234B">
        <w:rPr>
          <w:i/>
        </w:rPr>
        <w:t>Journal</w:t>
      </w:r>
      <w:proofErr w:type="spellEnd"/>
      <w:r w:rsidRPr="007B234B">
        <w:rPr>
          <w:i/>
        </w:rPr>
        <w:t xml:space="preserve"> of Finance, 7</w:t>
      </w:r>
      <w:r w:rsidRPr="002906A3">
        <w:t>(1), 77-91.</w:t>
      </w:r>
    </w:p>
    <w:p w14:paraId="7D063965" w14:textId="77777777" w:rsidR="001E7189" w:rsidRPr="002906A3" w:rsidRDefault="001E7189">
      <w:pPr>
        <w:pStyle w:val="ListeParagraf"/>
        <w:numPr>
          <w:ilvl w:val="0"/>
          <w:numId w:val="48"/>
        </w:numPr>
        <w:jc w:val="both"/>
      </w:pPr>
      <w:r w:rsidRPr="002906A3">
        <w:t xml:space="preserve">Mitchell, M. L., &amp; </w:t>
      </w:r>
      <w:proofErr w:type="spellStart"/>
      <w:r w:rsidRPr="002906A3">
        <w:t>Mulherin</w:t>
      </w:r>
      <w:proofErr w:type="spellEnd"/>
      <w:r w:rsidRPr="002906A3">
        <w:t xml:space="preserve">, J. H. (1996). </w:t>
      </w:r>
      <w:proofErr w:type="spellStart"/>
      <w:r w:rsidRPr="002906A3">
        <w:t>The</w:t>
      </w:r>
      <w:proofErr w:type="spellEnd"/>
      <w:r w:rsidRPr="002906A3">
        <w:t xml:space="preserve"> </w:t>
      </w:r>
      <w:proofErr w:type="spellStart"/>
      <w:r w:rsidRPr="002906A3">
        <w:t>Impact</w:t>
      </w:r>
      <w:proofErr w:type="spellEnd"/>
      <w:r w:rsidRPr="002906A3">
        <w:t xml:space="preserve"> of </w:t>
      </w:r>
      <w:proofErr w:type="spellStart"/>
      <w:r w:rsidRPr="002906A3">
        <w:t>Industry</w:t>
      </w:r>
      <w:proofErr w:type="spellEnd"/>
      <w:r w:rsidRPr="002906A3">
        <w:t xml:space="preserve"> </w:t>
      </w:r>
      <w:proofErr w:type="spellStart"/>
      <w:r w:rsidRPr="002906A3">
        <w:t>Shocks</w:t>
      </w:r>
      <w:proofErr w:type="spellEnd"/>
      <w:r w:rsidRPr="002906A3">
        <w:t xml:space="preserve"> on </w:t>
      </w:r>
      <w:proofErr w:type="spellStart"/>
      <w:r w:rsidRPr="002906A3">
        <w:t>Takeover</w:t>
      </w:r>
      <w:proofErr w:type="spellEnd"/>
      <w:r w:rsidRPr="002906A3">
        <w:t xml:space="preserve"> </w:t>
      </w:r>
      <w:proofErr w:type="spellStart"/>
      <w:r w:rsidRPr="002906A3">
        <w:t>and</w:t>
      </w:r>
      <w:proofErr w:type="spellEnd"/>
      <w:r w:rsidRPr="002906A3">
        <w:t xml:space="preserve"> </w:t>
      </w:r>
      <w:proofErr w:type="spellStart"/>
      <w:r w:rsidRPr="002906A3">
        <w:t>Restructuring</w:t>
      </w:r>
      <w:proofErr w:type="spellEnd"/>
      <w:r w:rsidRPr="002906A3">
        <w:t xml:space="preserve"> Activity. </w:t>
      </w:r>
      <w:proofErr w:type="spellStart"/>
      <w:r w:rsidRPr="002906A3">
        <w:t>Journal</w:t>
      </w:r>
      <w:proofErr w:type="spellEnd"/>
      <w:r w:rsidRPr="002906A3">
        <w:t xml:space="preserve"> of Financial </w:t>
      </w:r>
      <w:proofErr w:type="spellStart"/>
      <w:r w:rsidRPr="002906A3">
        <w:t>Economics</w:t>
      </w:r>
      <w:proofErr w:type="spellEnd"/>
      <w:r w:rsidRPr="002906A3">
        <w:t>, 41(2), 193-229.</w:t>
      </w:r>
    </w:p>
    <w:p w14:paraId="72D4C0F6" w14:textId="77777777" w:rsidR="001E7189" w:rsidRPr="002906A3" w:rsidRDefault="001E7189">
      <w:pPr>
        <w:pStyle w:val="ListeParagraf"/>
        <w:numPr>
          <w:ilvl w:val="0"/>
          <w:numId w:val="48"/>
        </w:numPr>
        <w:jc w:val="both"/>
      </w:pPr>
      <w:proofErr w:type="spellStart"/>
      <w:r w:rsidRPr="002906A3">
        <w:t>Ritter</w:t>
      </w:r>
      <w:proofErr w:type="spellEnd"/>
      <w:r w:rsidRPr="002906A3">
        <w:t xml:space="preserve">, J. R. (1991). </w:t>
      </w:r>
      <w:proofErr w:type="spellStart"/>
      <w:r w:rsidRPr="002906A3">
        <w:t>The</w:t>
      </w:r>
      <w:proofErr w:type="spellEnd"/>
      <w:r w:rsidRPr="002906A3">
        <w:t xml:space="preserve"> </w:t>
      </w:r>
      <w:proofErr w:type="spellStart"/>
      <w:r w:rsidRPr="002906A3">
        <w:t>Long</w:t>
      </w:r>
      <w:proofErr w:type="spellEnd"/>
      <w:r w:rsidRPr="002906A3">
        <w:t xml:space="preserve">-Run </w:t>
      </w:r>
      <w:proofErr w:type="spellStart"/>
      <w:r w:rsidRPr="002906A3">
        <w:t>Performance</w:t>
      </w:r>
      <w:proofErr w:type="spellEnd"/>
      <w:r w:rsidRPr="002906A3">
        <w:t xml:space="preserve"> of </w:t>
      </w:r>
      <w:proofErr w:type="spellStart"/>
      <w:r w:rsidRPr="002906A3">
        <w:t>Initial</w:t>
      </w:r>
      <w:proofErr w:type="spellEnd"/>
      <w:r w:rsidRPr="002906A3">
        <w:t xml:space="preserve"> </w:t>
      </w:r>
      <w:proofErr w:type="spellStart"/>
      <w:r w:rsidRPr="002906A3">
        <w:t>Public</w:t>
      </w:r>
      <w:proofErr w:type="spellEnd"/>
      <w:r w:rsidRPr="002906A3">
        <w:t xml:space="preserve"> </w:t>
      </w:r>
      <w:proofErr w:type="spellStart"/>
      <w:r w:rsidRPr="002906A3">
        <w:t>Offerings</w:t>
      </w:r>
      <w:proofErr w:type="spellEnd"/>
      <w:r w:rsidRPr="002906A3">
        <w:t xml:space="preserve">. </w:t>
      </w:r>
      <w:proofErr w:type="spellStart"/>
      <w:r w:rsidRPr="002906A3">
        <w:t>Journal</w:t>
      </w:r>
      <w:proofErr w:type="spellEnd"/>
      <w:r w:rsidRPr="002906A3">
        <w:t xml:space="preserve"> of Finance, 46(1), 3-27.</w:t>
      </w:r>
    </w:p>
    <w:p w14:paraId="66FBA583" w14:textId="77777777" w:rsidR="001E7189" w:rsidRPr="002906A3" w:rsidRDefault="001E7189">
      <w:pPr>
        <w:pStyle w:val="ListeParagraf"/>
        <w:numPr>
          <w:ilvl w:val="0"/>
          <w:numId w:val="48"/>
        </w:numPr>
        <w:jc w:val="both"/>
      </w:pPr>
      <w:proofErr w:type="spellStart"/>
      <w:r w:rsidRPr="002906A3">
        <w:t>Rossiter</w:t>
      </w:r>
      <w:proofErr w:type="spellEnd"/>
      <w:r w:rsidRPr="002906A3">
        <w:t xml:space="preserve">, J. R., &amp; </w:t>
      </w:r>
      <w:proofErr w:type="spellStart"/>
      <w:r w:rsidRPr="002906A3">
        <w:t>Percy</w:t>
      </w:r>
      <w:proofErr w:type="spellEnd"/>
      <w:r w:rsidRPr="002906A3">
        <w:t>, L. (1987). </w:t>
      </w:r>
      <w:proofErr w:type="spellStart"/>
      <w:r w:rsidRPr="002906A3">
        <w:t>Advertising</w:t>
      </w:r>
      <w:proofErr w:type="spellEnd"/>
      <w:r w:rsidRPr="002906A3">
        <w:t xml:space="preserve"> </w:t>
      </w:r>
      <w:proofErr w:type="spellStart"/>
      <w:r w:rsidRPr="002906A3">
        <w:t>and</w:t>
      </w:r>
      <w:proofErr w:type="spellEnd"/>
      <w:r w:rsidRPr="002906A3">
        <w:t xml:space="preserve"> </w:t>
      </w:r>
      <w:proofErr w:type="spellStart"/>
      <w:r w:rsidRPr="002906A3">
        <w:t>promotion</w:t>
      </w:r>
      <w:proofErr w:type="spellEnd"/>
      <w:r w:rsidRPr="002906A3">
        <w:t xml:space="preserve"> </w:t>
      </w:r>
      <w:proofErr w:type="spellStart"/>
      <w:r w:rsidRPr="002906A3">
        <w:t>management</w:t>
      </w:r>
      <w:proofErr w:type="spellEnd"/>
      <w:r w:rsidRPr="002906A3">
        <w:t xml:space="preserve">. McGraw-Hill </w:t>
      </w:r>
      <w:proofErr w:type="spellStart"/>
      <w:r w:rsidRPr="002906A3">
        <w:t>Book</w:t>
      </w:r>
      <w:proofErr w:type="spellEnd"/>
      <w:r w:rsidRPr="002906A3">
        <w:t xml:space="preserve"> </w:t>
      </w:r>
      <w:proofErr w:type="spellStart"/>
      <w:r w:rsidRPr="002906A3">
        <w:t>Company</w:t>
      </w:r>
      <w:proofErr w:type="spellEnd"/>
      <w:r w:rsidRPr="002906A3">
        <w:t>.</w:t>
      </w:r>
    </w:p>
    <w:p w14:paraId="5F096E13" w14:textId="77777777" w:rsidR="001E7189" w:rsidRPr="002906A3" w:rsidRDefault="001E7189">
      <w:pPr>
        <w:pStyle w:val="ListeParagraf"/>
        <w:numPr>
          <w:ilvl w:val="0"/>
          <w:numId w:val="48"/>
        </w:numPr>
        <w:jc w:val="both"/>
      </w:pPr>
      <w:proofErr w:type="spellStart"/>
      <w:r w:rsidRPr="002906A3">
        <w:t>Shleifer</w:t>
      </w:r>
      <w:proofErr w:type="spellEnd"/>
      <w:r w:rsidRPr="002906A3">
        <w:t xml:space="preserve">, A., &amp; </w:t>
      </w:r>
      <w:proofErr w:type="spellStart"/>
      <w:r w:rsidRPr="002906A3">
        <w:t>Vishny</w:t>
      </w:r>
      <w:proofErr w:type="spellEnd"/>
      <w:r w:rsidRPr="002906A3">
        <w:t xml:space="preserve">, R. W. (1997). A </w:t>
      </w:r>
      <w:proofErr w:type="spellStart"/>
      <w:r w:rsidRPr="002906A3">
        <w:t>Survey</w:t>
      </w:r>
      <w:proofErr w:type="spellEnd"/>
      <w:r w:rsidRPr="002906A3">
        <w:t xml:space="preserve"> of </w:t>
      </w:r>
      <w:proofErr w:type="spellStart"/>
      <w:r w:rsidRPr="002906A3">
        <w:t>Corporate</w:t>
      </w:r>
      <w:proofErr w:type="spellEnd"/>
      <w:r w:rsidRPr="002906A3">
        <w:t xml:space="preserve"> </w:t>
      </w:r>
      <w:proofErr w:type="spellStart"/>
      <w:r w:rsidRPr="002906A3">
        <w:t>Governa</w:t>
      </w:r>
      <w:r w:rsidRPr="007B234B">
        <w:rPr>
          <w:i/>
          <w:iCs/>
        </w:rPr>
        <w:t>nce</w:t>
      </w:r>
      <w:proofErr w:type="spellEnd"/>
      <w:r w:rsidRPr="002906A3">
        <w:t xml:space="preserve">. </w:t>
      </w:r>
      <w:proofErr w:type="spellStart"/>
      <w:r w:rsidRPr="002906A3">
        <w:t>Journal</w:t>
      </w:r>
      <w:proofErr w:type="spellEnd"/>
      <w:r w:rsidRPr="002906A3">
        <w:t xml:space="preserve"> of Finance, 52(2), 737-783.</w:t>
      </w:r>
    </w:p>
    <w:p w14:paraId="07D0C6CB" w14:textId="77777777" w:rsidR="001E7189" w:rsidRPr="002906A3" w:rsidRDefault="001E7189">
      <w:pPr>
        <w:pStyle w:val="ListeParagraf"/>
        <w:numPr>
          <w:ilvl w:val="0"/>
          <w:numId w:val="48"/>
        </w:numPr>
        <w:jc w:val="both"/>
      </w:pPr>
      <w:proofErr w:type="spellStart"/>
      <w:r w:rsidRPr="002906A3">
        <w:t>Stewart</w:t>
      </w:r>
      <w:proofErr w:type="spellEnd"/>
      <w:r w:rsidRPr="002906A3">
        <w:t xml:space="preserve">, D. W., &amp; </w:t>
      </w:r>
      <w:proofErr w:type="spellStart"/>
      <w:r w:rsidRPr="002906A3">
        <w:t>Furse</w:t>
      </w:r>
      <w:proofErr w:type="spellEnd"/>
      <w:r w:rsidRPr="002906A3">
        <w:t xml:space="preserve">, D. H. (1986). </w:t>
      </w:r>
      <w:proofErr w:type="spellStart"/>
      <w:r w:rsidRPr="002906A3">
        <w:t>Effective</w:t>
      </w:r>
      <w:proofErr w:type="spellEnd"/>
      <w:r w:rsidRPr="002906A3">
        <w:t xml:space="preserve"> </w:t>
      </w:r>
      <w:proofErr w:type="spellStart"/>
      <w:r w:rsidRPr="002906A3">
        <w:t>television</w:t>
      </w:r>
      <w:proofErr w:type="spellEnd"/>
      <w:r w:rsidRPr="002906A3">
        <w:t xml:space="preserve"> </w:t>
      </w:r>
      <w:proofErr w:type="spellStart"/>
      <w:r w:rsidRPr="002906A3">
        <w:t>advertising</w:t>
      </w:r>
      <w:proofErr w:type="spellEnd"/>
      <w:r w:rsidRPr="002906A3">
        <w:t xml:space="preserve">: A </w:t>
      </w:r>
      <w:proofErr w:type="spellStart"/>
      <w:r w:rsidRPr="002906A3">
        <w:t>study</w:t>
      </w:r>
      <w:proofErr w:type="spellEnd"/>
      <w:r w:rsidRPr="002906A3">
        <w:t xml:space="preserve"> of 1000 </w:t>
      </w:r>
      <w:proofErr w:type="spellStart"/>
      <w:r w:rsidRPr="002906A3">
        <w:t>commercials</w:t>
      </w:r>
      <w:proofErr w:type="spellEnd"/>
      <w:r w:rsidRPr="002906A3">
        <w:t xml:space="preserve">. (No </w:t>
      </w:r>
      <w:proofErr w:type="spellStart"/>
      <w:r w:rsidRPr="002906A3">
        <w:t>Title</w:t>
      </w:r>
      <w:proofErr w:type="spellEnd"/>
      <w:r w:rsidRPr="002906A3">
        <w:t>).</w:t>
      </w:r>
    </w:p>
    <w:p w14:paraId="6F66FED5" w14:textId="77777777" w:rsidR="001E7189" w:rsidRPr="002906A3" w:rsidRDefault="001E7189">
      <w:pPr>
        <w:pStyle w:val="ListeParagraf"/>
        <w:numPr>
          <w:ilvl w:val="0"/>
          <w:numId w:val="48"/>
        </w:numPr>
        <w:jc w:val="both"/>
      </w:pPr>
      <w:proofErr w:type="spellStart"/>
      <w:r w:rsidRPr="002906A3">
        <w:t>Tetlock</w:t>
      </w:r>
      <w:proofErr w:type="spellEnd"/>
      <w:r w:rsidRPr="002906A3">
        <w:t xml:space="preserve">, P. C. (2007). </w:t>
      </w:r>
      <w:proofErr w:type="spellStart"/>
      <w:r w:rsidRPr="002906A3">
        <w:t>Giving</w:t>
      </w:r>
      <w:proofErr w:type="spellEnd"/>
      <w:r w:rsidRPr="002906A3">
        <w:t xml:space="preserve"> </w:t>
      </w:r>
      <w:proofErr w:type="spellStart"/>
      <w:r w:rsidRPr="002906A3">
        <w:t>content</w:t>
      </w:r>
      <w:proofErr w:type="spellEnd"/>
      <w:r w:rsidRPr="002906A3">
        <w:t xml:space="preserve"> </w:t>
      </w:r>
      <w:proofErr w:type="spellStart"/>
      <w:r w:rsidRPr="002906A3">
        <w:t>to</w:t>
      </w:r>
      <w:proofErr w:type="spellEnd"/>
      <w:r w:rsidRPr="002906A3">
        <w:t xml:space="preserve"> </w:t>
      </w:r>
      <w:proofErr w:type="spellStart"/>
      <w:r w:rsidRPr="002906A3">
        <w:t>investor</w:t>
      </w:r>
      <w:proofErr w:type="spellEnd"/>
      <w:r w:rsidRPr="002906A3">
        <w:t xml:space="preserve"> </w:t>
      </w:r>
      <w:proofErr w:type="spellStart"/>
      <w:r w:rsidRPr="002906A3">
        <w:t>sentiment</w:t>
      </w:r>
      <w:proofErr w:type="spellEnd"/>
      <w:r w:rsidRPr="002906A3">
        <w:t xml:space="preserve">: </w:t>
      </w:r>
      <w:proofErr w:type="spellStart"/>
      <w:r w:rsidRPr="002906A3">
        <w:t>The</w:t>
      </w:r>
      <w:proofErr w:type="spellEnd"/>
      <w:r w:rsidRPr="002906A3">
        <w:t xml:space="preserve"> role of </w:t>
      </w:r>
      <w:proofErr w:type="spellStart"/>
      <w:r w:rsidRPr="002906A3">
        <w:t>media</w:t>
      </w:r>
      <w:proofErr w:type="spellEnd"/>
      <w:r w:rsidRPr="002906A3">
        <w:t xml:space="preserve"> in </w:t>
      </w:r>
      <w:proofErr w:type="spellStart"/>
      <w:r w:rsidRPr="002906A3">
        <w:t>the</w:t>
      </w:r>
      <w:proofErr w:type="spellEnd"/>
      <w:r w:rsidRPr="002906A3">
        <w:t xml:space="preserve"> </w:t>
      </w:r>
      <w:proofErr w:type="spellStart"/>
      <w:r w:rsidRPr="002906A3">
        <w:t>stock</w:t>
      </w:r>
      <w:proofErr w:type="spellEnd"/>
      <w:r w:rsidRPr="002906A3">
        <w:t xml:space="preserve"> market. </w:t>
      </w:r>
      <w:proofErr w:type="spellStart"/>
      <w:r w:rsidRPr="002906A3">
        <w:t>The</w:t>
      </w:r>
      <w:proofErr w:type="spellEnd"/>
      <w:r w:rsidRPr="002906A3">
        <w:t xml:space="preserve"> </w:t>
      </w:r>
      <w:proofErr w:type="spellStart"/>
      <w:r w:rsidRPr="002906A3">
        <w:t>Journal</w:t>
      </w:r>
      <w:proofErr w:type="spellEnd"/>
      <w:r w:rsidRPr="002906A3">
        <w:t xml:space="preserve"> of </w:t>
      </w:r>
      <w:proofErr w:type="spellStart"/>
      <w:r w:rsidRPr="002906A3">
        <w:t>finance</w:t>
      </w:r>
      <w:proofErr w:type="spellEnd"/>
      <w:r w:rsidRPr="002906A3">
        <w:t>, 62(3), 1139-1168.</w:t>
      </w:r>
    </w:p>
    <w:p w14:paraId="5D4B2E35" w14:textId="77777777" w:rsidR="001E7189" w:rsidRPr="002906A3" w:rsidRDefault="001E7189">
      <w:pPr>
        <w:pStyle w:val="ListeParagraf"/>
        <w:numPr>
          <w:ilvl w:val="0"/>
          <w:numId w:val="48"/>
        </w:numPr>
        <w:jc w:val="both"/>
      </w:pPr>
      <w:r w:rsidRPr="002906A3">
        <w:t>Tokmak Danışman, G. (2021). Pazarlamada vampir etkisi: Potansiyel pazarlama vampirleri ve vampir savar stratejiler. Ankara: Gazi Kitabevi.</w:t>
      </w:r>
    </w:p>
    <w:p w14:paraId="2838989F" w14:textId="77777777" w:rsidR="001E7189" w:rsidRPr="002906A3" w:rsidRDefault="001E7189">
      <w:pPr>
        <w:pStyle w:val="ListeParagraf"/>
        <w:numPr>
          <w:ilvl w:val="0"/>
          <w:numId w:val="48"/>
        </w:numPr>
        <w:jc w:val="both"/>
      </w:pPr>
      <w:r w:rsidRPr="002906A3">
        <w:t xml:space="preserve">Tokmak, G. (2018). Ünlü kişilerin kullanıldığı reklamların etkinliğinde mesaj kaynağı özelliklerine olan tutumun ve tüketici kaynaklı sosyolojik değişkenlerin etkisi: Kadın tüketiciler üzerine bir araştırma. </w:t>
      </w:r>
      <w:r w:rsidRPr="007B234B">
        <w:rPr>
          <w:i/>
        </w:rPr>
        <w:t>Pazarlama Teorisi ve Uygulama Dergisi, 4</w:t>
      </w:r>
      <w:r w:rsidRPr="002906A3">
        <w:t>(1), 75-101.</w:t>
      </w:r>
    </w:p>
    <w:p w14:paraId="1E43DEC9" w14:textId="77777777" w:rsidR="001E7189" w:rsidRPr="002906A3" w:rsidRDefault="001E7189">
      <w:pPr>
        <w:pStyle w:val="ListeParagraf"/>
        <w:numPr>
          <w:ilvl w:val="0"/>
          <w:numId w:val="48"/>
        </w:numPr>
        <w:jc w:val="both"/>
      </w:pPr>
      <w:r w:rsidRPr="002906A3">
        <w:t>Tokmak, G., &amp; Aksoy, R. (2020) Reklamlarda Çekici Model Kullanımının Vampir Etkisi Kapsamında Göz Takip Tekniğiyle Değerlendirilmesi. Pazarlama ve Pazarlama Araştırması Dergisi, 3, 461-501.</w:t>
      </w:r>
    </w:p>
    <w:p w14:paraId="2CC68263" w14:textId="407AE99C" w:rsidR="00C70E93" w:rsidRDefault="001E7189">
      <w:pPr>
        <w:pStyle w:val="ListeParagraf"/>
        <w:numPr>
          <w:ilvl w:val="0"/>
          <w:numId w:val="48"/>
        </w:numPr>
        <w:jc w:val="both"/>
      </w:pPr>
      <w:proofErr w:type="spellStart"/>
      <w:r w:rsidRPr="002906A3">
        <w:t>Yolaçan</w:t>
      </w:r>
      <w:proofErr w:type="spellEnd"/>
      <w:r w:rsidRPr="002906A3">
        <w:t xml:space="preserve">, Z. B. (2016). Televizyon Reklamlarında Ünlü Kullanımı </w:t>
      </w:r>
      <w:proofErr w:type="gramStart"/>
      <w:r w:rsidRPr="002906A3">
        <w:t>Ve</w:t>
      </w:r>
      <w:proofErr w:type="gramEnd"/>
      <w:r w:rsidRPr="002906A3">
        <w:t xml:space="preserve"> Y Kuşağı Tüketicilerinin Satın Alma Niyetlerine Etkisi: Mavi </w:t>
      </w:r>
      <w:proofErr w:type="spellStart"/>
      <w:r w:rsidRPr="002906A3">
        <w:t>Jeans</w:t>
      </w:r>
      <w:proofErr w:type="spellEnd"/>
      <w:r w:rsidRPr="002906A3">
        <w:t xml:space="preserve"> Örneği. (Yüksek Lisans Tezi). Çağ Üniversitesi Sosyal Bilimler Enstitüsü, Mersin.</w:t>
      </w:r>
    </w:p>
    <w:p w14:paraId="0FA167E0" w14:textId="759A3EEA" w:rsidR="00BF3875" w:rsidRPr="002906A3" w:rsidRDefault="00C70E93" w:rsidP="00C70E93">
      <w:pPr>
        <w:autoSpaceDE/>
        <w:autoSpaceDN/>
      </w:pPr>
      <w:r>
        <w:br w:type="page"/>
      </w:r>
    </w:p>
    <w:p w14:paraId="5684E0BD" w14:textId="77777777" w:rsidR="001E7189" w:rsidRPr="002906A3" w:rsidRDefault="001E7189" w:rsidP="004C7694">
      <w:pPr>
        <w:pStyle w:val="Tark"/>
        <w:rPr>
          <w:lang w:val="en-US"/>
        </w:rPr>
      </w:pPr>
      <w:bookmarkStart w:id="161" w:name="_Toc192855228"/>
      <w:r w:rsidRPr="002906A3">
        <w:rPr>
          <w:lang w:val="en-US"/>
        </w:rPr>
        <w:lastRenderedPageBreak/>
        <w:t>Comparison Of Saudi Arabia, United Arab Emirates and Turkey Accounting Systems in Terms of Accounting Profession</w:t>
      </w:r>
      <w:r w:rsidRPr="002906A3">
        <w:rPr>
          <w:rStyle w:val="DipnotBavurusu"/>
          <w:bCs/>
          <w:lang w:val="en-US"/>
        </w:rPr>
        <w:footnoteReference w:id="20"/>
      </w:r>
      <w:bookmarkEnd w:id="161"/>
    </w:p>
    <w:p w14:paraId="42AE8528" w14:textId="77777777" w:rsidR="001E7189" w:rsidRPr="002906A3" w:rsidRDefault="001E7189" w:rsidP="00BA67A6">
      <w:pPr>
        <w:jc w:val="center"/>
        <w:rPr>
          <w:lang w:val="en-US"/>
        </w:rPr>
      </w:pPr>
    </w:p>
    <w:p w14:paraId="3C3728D9" w14:textId="77777777" w:rsidR="001E7189" w:rsidRPr="002906A3" w:rsidRDefault="001E7189" w:rsidP="00BA67A6">
      <w:pPr>
        <w:jc w:val="center"/>
        <w:rPr>
          <w:lang w:val="en-US"/>
        </w:rPr>
      </w:pPr>
      <w:r w:rsidRPr="002906A3">
        <w:rPr>
          <w:lang w:val="en-US"/>
        </w:rPr>
        <w:t>Mohammad HAJ HAMIDOW</w:t>
      </w:r>
    </w:p>
    <w:p w14:paraId="2B26D417" w14:textId="77777777" w:rsidR="001E7189" w:rsidRPr="002906A3" w:rsidRDefault="001E7189" w:rsidP="00BA67A6">
      <w:pPr>
        <w:jc w:val="center"/>
        <w:rPr>
          <w:lang w:val="en-US"/>
        </w:rPr>
      </w:pPr>
      <w:r w:rsidRPr="002906A3">
        <w:rPr>
          <w:lang w:val="en-US"/>
        </w:rPr>
        <w:t>Dr, Independent Researcher</w:t>
      </w:r>
    </w:p>
    <w:p w14:paraId="0BA3463C" w14:textId="77777777" w:rsidR="001E7189" w:rsidRPr="002906A3" w:rsidRDefault="001E7189" w:rsidP="00BA67A6">
      <w:pPr>
        <w:jc w:val="center"/>
        <w:rPr>
          <w:lang w:val="en-US"/>
        </w:rPr>
      </w:pPr>
      <w:r w:rsidRPr="002906A3">
        <w:rPr>
          <w:lang w:val="en-US"/>
        </w:rPr>
        <w:t>Mohammad.h.hamidow@gmail.com</w:t>
      </w:r>
    </w:p>
    <w:p w14:paraId="11CA110A" w14:textId="77777777" w:rsidR="001E7189" w:rsidRPr="002906A3" w:rsidRDefault="001E7189" w:rsidP="00BA67A6">
      <w:pPr>
        <w:jc w:val="center"/>
        <w:rPr>
          <w:lang w:val="en-US"/>
        </w:rPr>
      </w:pPr>
      <w:r w:rsidRPr="002906A3">
        <w:rPr>
          <w:lang w:val="en-US"/>
        </w:rPr>
        <w:t>https://orcid.org/ 0000-0003-0235-6337</w:t>
      </w:r>
    </w:p>
    <w:p w14:paraId="0FFC6AAD" w14:textId="77777777" w:rsidR="001E7189" w:rsidRPr="002906A3" w:rsidRDefault="001E7189" w:rsidP="00BA67A6">
      <w:pPr>
        <w:jc w:val="center"/>
        <w:rPr>
          <w:lang w:val="en-US"/>
        </w:rPr>
      </w:pPr>
    </w:p>
    <w:p w14:paraId="6195319B" w14:textId="77777777" w:rsidR="001E7189" w:rsidRPr="002906A3" w:rsidRDefault="001E7189" w:rsidP="00BA67A6">
      <w:pPr>
        <w:jc w:val="center"/>
      </w:pPr>
      <w:r w:rsidRPr="002906A3">
        <w:rPr>
          <w:lang w:val="en-US"/>
        </w:rPr>
        <w:t>Zeki DO</w:t>
      </w:r>
      <w:r w:rsidRPr="002906A3">
        <w:t>ĞAN</w:t>
      </w:r>
    </w:p>
    <w:p w14:paraId="339D0171" w14:textId="77777777" w:rsidR="001E7189" w:rsidRPr="002906A3" w:rsidRDefault="001E7189" w:rsidP="00BA67A6">
      <w:pPr>
        <w:jc w:val="center"/>
        <w:rPr>
          <w:lang w:val="en-US"/>
        </w:rPr>
      </w:pPr>
      <w:r w:rsidRPr="002906A3">
        <w:rPr>
          <w:lang w:val="en-US"/>
        </w:rPr>
        <w:t xml:space="preserve">Prof. Dr, </w:t>
      </w:r>
      <w:proofErr w:type="spellStart"/>
      <w:r w:rsidRPr="002906A3">
        <w:rPr>
          <w:lang w:val="en-US"/>
        </w:rPr>
        <w:t>Niğde</w:t>
      </w:r>
      <w:proofErr w:type="spellEnd"/>
      <w:r w:rsidRPr="002906A3">
        <w:rPr>
          <w:lang w:val="en-US"/>
        </w:rPr>
        <w:t xml:space="preserve"> Ömer </w:t>
      </w:r>
      <w:proofErr w:type="spellStart"/>
      <w:r w:rsidRPr="002906A3">
        <w:rPr>
          <w:lang w:val="en-US"/>
        </w:rPr>
        <w:t>Halisdemir</w:t>
      </w:r>
      <w:proofErr w:type="spellEnd"/>
      <w:r w:rsidRPr="002906A3">
        <w:rPr>
          <w:lang w:val="en-US"/>
        </w:rPr>
        <w:t xml:space="preserve"> University, Department of Business Administration, Division of Accounting and Finance</w:t>
      </w:r>
    </w:p>
    <w:p w14:paraId="294D28BD" w14:textId="77777777" w:rsidR="001E7189" w:rsidRPr="002906A3" w:rsidRDefault="001E7189" w:rsidP="00BA67A6">
      <w:pPr>
        <w:jc w:val="center"/>
        <w:rPr>
          <w:lang w:val="en-US"/>
        </w:rPr>
      </w:pPr>
      <w:r w:rsidRPr="002906A3">
        <w:rPr>
          <w:lang w:val="en-US"/>
        </w:rPr>
        <w:t>zekidogan7@hotmail.com</w:t>
      </w:r>
    </w:p>
    <w:p w14:paraId="528900C2" w14:textId="03BA8188" w:rsidR="001E7189" w:rsidRPr="002906A3" w:rsidRDefault="001E7189" w:rsidP="00BA67A6">
      <w:pPr>
        <w:jc w:val="center"/>
        <w:rPr>
          <w:lang w:val="en-US"/>
        </w:rPr>
      </w:pPr>
      <w:r w:rsidRPr="002906A3">
        <w:rPr>
          <w:lang w:val="en-US"/>
        </w:rPr>
        <w:t>https://orcid.org/ 0000-0003-3328-7565</w:t>
      </w:r>
    </w:p>
    <w:p w14:paraId="6CEEF1DC" w14:textId="4F7FC925" w:rsidR="001E7189" w:rsidRPr="002906A3" w:rsidRDefault="001E7189" w:rsidP="00BA67A6">
      <w:pPr>
        <w:jc w:val="both"/>
        <w:rPr>
          <w:lang w:val="en-US"/>
        </w:rPr>
      </w:pPr>
    </w:p>
    <w:p w14:paraId="25C16788" w14:textId="77777777" w:rsidR="001E7189" w:rsidRPr="002906A3" w:rsidRDefault="001E7189" w:rsidP="00BA67A6">
      <w:pPr>
        <w:jc w:val="center"/>
        <w:rPr>
          <w:b/>
          <w:bCs/>
          <w:lang w:val="en-US"/>
        </w:rPr>
      </w:pPr>
      <w:r w:rsidRPr="002906A3">
        <w:rPr>
          <w:b/>
          <w:bCs/>
          <w:lang w:val="en-US"/>
        </w:rPr>
        <w:t>Abstract</w:t>
      </w:r>
    </w:p>
    <w:p w14:paraId="07AD8162" w14:textId="74546B1A" w:rsidR="001E7189" w:rsidRPr="002906A3" w:rsidRDefault="001E7189" w:rsidP="00BA67A6">
      <w:pPr>
        <w:jc w:val="both"/>
        <w:rPr>
          <w:lang w:val="en-US"/>
        </w:rPr>
      </w:pPr>
      <w:r w:rsidRPr="002906A3">
        <w:rPr>
          <w:lang w:val="en-US"/>
        </w:rPr>
        <w:t>The accounting profession plays an important role as it is the link between taxpayers and the state. The lack of laws regulating the practice of the accounting profession leads to economic problems and tax losses. In addition, members of the accounting profession provide a great service to society by providing necessary information to individuals and organizations that use accounting information. International developments such as globalization, economic and political openness have shaped and defined the accounting profession. Countries can benefit from each other in terms of the laws that regulate and shape the practice of this profession. Therefore, this study aims to present the historical development of the accounting profession in Saudi Arabia, United Arab Emirates and Turkey, the laws regulating this profession and the way this profession is practiced.</w:t>
      </w:r>
    </w:p>
    <w:p w14:paraId="26495030" w14:textId="77777777" w:rsidR="001E7189" w:rsidRPr="002906A3" w:rsidRDefault="001E7189" w:rsidP="00BA67A6">
      <w:pPr>
        <w:jc w:val="both"/>
        <w:rPr>
          <w:lang w:val="en-US"/>
        </w:rPr>
      </w:pPr>
    </w:p>
    <w:p w14:paraId="65961521" w14:textId="321287AC" w:rsidR="001E7189" w:rsidRPr="002906A3" w:rsidRDefault="001E7189" w:rsidP="00BA67A6">
      <w:pPr>
        <w:jc w:val="both"/>
        <w:rPr>
          <w:lang w:val="en-US"/>
        </w:rPr>
      </w:pPr>
      <w:r w:rsidRPr="002906A3">
        <w:rPr>
          <w:b/>
          <w:bCs/>
          <w:lang w:val="en-US"/>
        </w:rPr>
        <w:t>Key</w:t>
      </w:r>
      <w:r w:rsidR="00BF3875">
        <w:rPr>
          <w:b/>
          <w:bCs/>
          <w:lang w:val="en-US"/>
        </w:rPr>
        <w:t>w</w:t>
      </w:r>
      <w:r w:rsidRPr="002906A3">
        <w:rPr>
          <w:b/>
          <w:bCs/>
          <w:lang w:val="en-US"/>
        </w:rPr>
        <w:t xml:space="preserve">ords: </w:t>
      </w:r>
      <w:r w:rsidRPr="002906A3">
        <w:rPr>
          <w:lang w:val="en-US"/>
        </w:rPr>
        <w:t>Accounting Profession, Accounting Profession in Saudi Arabia Accounting System, Accounting Profession in United Arab Emirates Accounting System, Accounting Profession in Turkey Accounting System.</w:t>
      </w:r>
    </w:p>
    <w:p w14:paraId="49B58F12" w14:textId="77777777" w:rsidR="001E7189" w:rsidRPr="002906A3" w:rsidRDefault="001E7189" w:rsidP="00BA67A6">
      <w:pPr>
        <w:jc w:val="both"/>
        <w:rPr>
          <w:lang w:val="en-US"/>
        </w:rPr>
      </w:pPr>
    </w:p>
    <w:p w14:paraId="553E7796" w14:textId="0C8B811E" w:rsidR="001E7189" w:rsidRPr="002906A3" w:rsidRDefault="006871AB" w:rsidP="00BA67A6">
      <w:pPr>
        <w:jc w:val="both"/>
        <w:rPr>
          <w:b/>
          <w:bCs/>
          <w:lang w:val="en-US"/>
        </w:rPr>
      </w:pPr>
      <w:r w:rsidRPr="002906A3">
        <w:rPr>
          <w:b/>
          <w:bCs/>
          <w:lang w:val="en-US"/>
        </w:rPr>
        <w:t>Introduction</w:t>
      </w:r>
    </w:p>
    <w:p w14:paraId="587E8B5C" w14:textId="77777777" w:rsidR="001E7189" w:rsidRPr="002906A3" w:rsidRDefault="001E7189" w:rsidP="00BA67A6">
      <w:pPr>
        <w:jc w:val="both"/>
        <w:rPr>
          <w:lang w:val="en-US"/>
        </w:rPr>
      </w:pPr>
      <w:r w:rsidRPr="002906A3">
        <w:rPr>
          <w:lang w:val="en-US"/>
        </w:rPr>
        <w:t xml:space="preserve">Accounting is the oldest profession among all other professions (Kaya, 2021). For many years, the accounting profession has been perceived by </w:t>
      </w:r>
      <w:proofErr w:type="gramStart"/>
      <w:r w:rsidRPr="002906A3">
        <w:rPr>
          <w:lang w:val="en-US"/>
        </w:rPr>
        <w:t>the society</w:t>
      </w:r>
      <w:proofErr w:type="gramEnd"/>
      <w:r w:rsidRPr="002906A3">
        <w:rPr>
          <w:lang w:val="en-US"/>
        </w:rPr>
        <w:t xml:space="preserve"> as a field focused on calculating the taxes businesses are required to pay. However, accounting professionals are individuals who transform accounting information into usable data in the decision-making process. In other words, accounting professionals are responsible for classifying, recording, analyzing and interpreting the financial information of the businesses owned by their clients and declaring it to the government and performing intermediary duties (Çelik &amp; </w:t>
      </w:r>
      <w:proofErr w:type="spellStart"/>
      <w:r w:rsidRPr="002906A3">
        <w:rPr>
          <w:lang w:val="en-US"/>
        </w:rPr>
        <w:t>Şendurur</w:t>
      </w:r>
      <w:proofErr w:type="spellEnd"/>
      <w:r w:rsidRPr="002906A3">
        <w:rPr>
          <w:lang w:val="en-US"/>
        </w:rPr>
        <w:t xml:space="preserve">, 2020). Moreover, in the broader picture, the accounting profession is the first link in the chain of fair income distribution (Terzi, 2015) and is responsible for preventing tax evasion and losses. Accounting professionals contribute significantly to the economic and financial structure by not only handling reporting but also taking on auditing responsibilities (Gündüz &amp; Özen, 2016). When </w:t>
      </w:r>
      <w:r w:rsidRPr="002906A3">
        <w:rPr>
          <w:lang w:val="en-US"/>
        </w:rPr>
        <w:lastRenderedPageBreak/>
        <w:t xml:space="preserve">looking at the accounting profession, the origin of the Chartered Accountant </w:t>
      </w:r>
      <w:proofErr w:type="gramStart"/>
      <w:r w:rsidRPr="002906A3">
        <w:rPr>
          <w:lang w:val="en-US"/>
        </w:rPr>
        <w:t>dates back to</w:t>
      </w:r>
      <w:proofErr w:type="gramEnd"/>
      <w:r w:rsidRPr="002906A3">
        <w:rPr>
          <w:lang w:val="en-US"/>
        </w:rPr>
        <w:t xml:space="preserve"> the 18th -century in Scotland. In 1854, the first professional national accounting body, the Institute of Accountancy in Scotland, was established. Gradually, national accountant associations began to emerge in other countries around the world (Kaya, 2021). Accounting professionals are constantly in communication with taxpayers, the provincial chambers of professions they are affiliated with, the Tax Office, and the Social Security Institution authorities while carrying out the activities outlined in their job descriptions (Deran et al., 2016). Within the evolving economic system, the importance of the accounting profession is increasing day by day. All parties associated with a business need accurate and reliable information about the business. This information, which is essential for the healthy functioning of the economic and financial structure, is prepared by accounting professionals (Akgün, 2018). The increasing economic and trade relations between Kingdom of Saudi Arabia (KSA), United Arab Emirates (UAE) and Turkey have led to a rise in demand for accounting services and an increase in the importance of the accounting profession in these countries. Therefore, this study aims to present the historical development of the accounting profession, the laws regulating this profession, and the way it is practiced in KSA, UAE and Turkey.</w:t>
      </w:r>
    </w:p>
    <w:p w14:paraId="09B52869" w14:textId="77777777" w:rsidR="001E7189" w:rsidRPr="002906A3" w:rsidRDefault="001E7189" w:rsidP="00BA67A6">
      <w:pPr>
        <w:jc w:val="both"/>
        <w:rPr>
          <w:lang w:val="en-US"/>
        </w:rPr>
      </w:pPr>
    </w:p>
    <w:p w14:paraId="05DBEB69" w14:textId="133876CF" w:rsidR="001E7189" w:rsidRPr="002906A3" w:rsidRDefault="001E7189" w:rsidP="00BA67A6">
      <w:pPr>
        <w:jc w:val="both"/>
        <w:rPr>
          <w:b/>
          <w:bCs/>
          <w:lang w:val="en-US"/>
        </w:rPr>
      </w:pPr>
      <w:r w:rsidRPr="002906A3">
        <w:rPr>
          <w:b/>
          <w:bCs/>
          <w:lang w:val="en-US"/>
        </w:rPr>
        <w:t>1</w:t>
      </w:r>
      <w:r w:rsidR="006871AB" w:rsidRPr="002906A3">
        <w:rPr>
          <w:b/>
          <w:bCs/>
          <w:lang w:val="en-US"/>
        </w:rPr>
        <w:t xml:space="preserve">. Accounting Profession </w:t>
      </w:r>
      <w:proofErr w:type="gramStart"/>
      <w:r w:rsidR="006871AB" w:rsidRPr="002906A3">
        <w:rPr>
          <w:b/>
          <w:bCs/>
          <w:lang w:val="en-US"/>
        </w:rPr>
        <w:t>In</w:t>
      </w:r>
      <w:proofErr w:type="gramEnd"/>
      <w:r w:rsidR="006871AB" w:rsidRPr="002906A3">
        <w:rPr>
          <w:b/>
          <w:bCs/>
          <w:lang w:val="en-US"/>
        </w:rPr>
        <w:t xml:space="preserve"> Saudi Arabian Accounting System</w:t>
      </w:r>
    </w:p>
    <w:p w14:paraId="60E2D583" w14:textId="659DBC67" w:rsidR="001E7189" w:rsidRDefault="001E7189" w:rsidP="00BA67A6">
      <w:pPr>
        <w:jc w:val="both"/>
        <w:rPr>
          <w:lang w:val="en-US"/>
        </w:rPr>
      </w:pPr>
      <w:r w:rsidRPr="002906A3">
        <w:rPr>
          <w:lang w:val="en-US"/>
        </w:rPr>
        <w:t xml:space="preserve">The first law for the accounting profession in KSA was enacted in 1968. The Ministry of Commerce, recognizing the seriousness of the problems faced by the </w:t>
      </w:r>
      <w:proofErr w:type="gramStart"/>
      <w:r w:rsidRPr="002906A3">
        <w:rPr>
          <w:lang w:val="en-US"/>
        </w:rPr>
        <w:t>profession</w:t>
      </w:r>
      <w:proofErr w:type="gramEnd"/>
      <w:r w:rsidRPr="002906A3">
        <w:rPr>
          <w:lang w:val="en-US"/>
        </w:rPr>
        <w:t xml:space="preserve"> at the time, issued Law No. 422 of 1968 as an urgent solution, introducing specific conditions for those applying to obtain a license to practice the accounting profession. This law, which only included the necessary conditions for practicing the profession, fell short of meeting expectations. There was </w:t>
      </w:r>
      <w:proofErr w:type="gramStart"/>
      <w:r w:rsidRPr="002906A3">
        <w:rPr>
          <w:lang w:val="en-US"/>
        </w:rPr>
        <w:t>a general consensus</w:t>
      </w:r>
      <w:proofErr w:type="gramEnd"/>
      <w:r w:rsidRPr="002906A3">
        <w:rPr>
          <w:lang w:val="en-US"/>
        </w:rPr>
        <w:t xml:space="preserve"> that the structure of accounting practices and the rules governing them needed to be developed to keep up with economic changes. This situation manifested itself in 1974 when KSA government issued Royal Decree No. 43, the “Certified Accountancy Law.” With very few amendments, this law, which is still in force, became the first law to regulate the accounting profession (Al-</w:t>
      </w:r>
      <w:proofErr w:type="spellStart"/>
      <w:r w:rsidRPr="002906A3">
        <w:rPr>
          <w:lang w:val="en-US"/>
        </w:rPr>
        <w:t>Rehaily</w:t>
      </w:r>
      <w:proofErr w:type="spellEnd"/>
      <w:r w:rsidRPr="002906A3">
        <w:rPr>
          <w:lang w:val="en-US"/>
        </w:rPr>
        <w:t>, 1992). The Accountants Law established standards applicable to auditors. Additionally, while Articles 8 to 13 of this Law defined the procedures for submitting applications, Articles 14 to 16 provided for the establishment of the Certified Accountants High Committee (Al-Amari, 1989). The 1974 Law divided the accounting profession into three sections:</w:t>
      </w:r>
    </w:p>
    <w:p w14:paraId="3E866960" w14:textId="77777777" w:rsidR="00BA67A6" w:rsidRPr="002906A3" w:rsidRDefault="00BA67A6" w:rsidP="00BA67A6">
      <w:pPr>
        <w:jc w:val="both"/>
        <w:rPr>
          <w:lang w:val="en-US"/>
        </w:rPr>
      </w:pPr>
    </w:p>
    <w:p w14:paraId="7925EF88" w14:textId="6F51B446" w:rsidR="001E7189" w:rsidRPr="002906A3" w:rsidRDefault="001E7189">
      <w:pPr>
        <w:pStyle w:val="ListeParagraf"/>
        <w:widowControl/>
        <w:numPr>
          <w:ilvl w:val="0"/>
          <w:numId w:val="20"/>
        </w:numPr>
        <w:autoSpaceDE/>
        <w:autoSpaceDN/>
        <w:jc w:val="both"/>
        <w:rPr>
          <w:lang w:val="en-US"/>
        </w:rPr>
      </w:pPr>
      <w:r w:rsidRPr="002906A3">
        <w:rPr>
          <w:lang w:val="en-US"/>
        </w:rPr>
        <w:t>Registration of bookkeepers,</w:t>
      </w:r>
    </w:p>
    <w:p w14:paraId="3F6338A8" w14:textId="77777777" w:rsidR="001E7189" w:rsidRPr="002906A3" w:rsidRDefault="001E7189">
      <w:pPr>
        <w:pStyle w:val="ListeParagraf"/>
        <w:widowControl/>
        <w:numPr>
          <w:ilvl w:val="0"/>
          <w:numId w:val="20"/>
        </w:numPr>
        <w:autoSpaceDE/>
        <w:autoSpaceDN/>
        <w:jc w:val="both"/>
        <w:rPr>
          <w:lang w:val="en-US"/>
        </w:rPr>
      </w:pPr>
      <w:r w:rsidRPr="002906A3">
        <w:rPr>
          <w:lang w:val="en-US"/>
        </w:rPr>
        <w:t>registration of independent accountants, and</w:t>
      </w:r>
    </w:p>
    <w:p w14:paraId="5C814F6F" w14:textId="2C7DE11C" w:rsidR="001E7189" w:rsidRDefault="001E7189">
      <w:pPr>
        <w:pStyle w:val="ListeParagraf"/>
        <w:widowControl/>
        <w:numPr>
          <w:ilvl w:val="0"/>
          <w:numId w:val="20"/>
        </w:numPr>
        <w:autoSpaceDE/>
        <w:autoSpaceDN/>
        <w:jc w:val="both"/>
        <w:rPr>
          <w:lang w:val="en-US"/>
        </w:rPr>
      </w:pPr>
      <w:r w:rsidRPr="002906A3">
        <w:rPr>
          <w:lang w:val="en-US"/>
        </w:rPr>
        <w:t>registration of certified public accountants.</w:t>
      </w:r>
    </w:p>
    <w:p w14:paraId="284A836E" w14:textId="77777777" w:rsidR="00BA67A6" w:rsidRPr="00BA67A6" w:rsidRDefault="00BA67A6" w:rsidP="00BA67A6">
      <w:pPr>
        <w:widowControl/>
        <w:autoSpaceDE/>
        <w:autoSpaceDN/>
        <w:jc w:val="both"/>
        <w:rPr>
          <w:lang w:val="en-US"/>
        </w:rPr>
      </w:pPr>
    </w:p>
    <w:p w14:paraId="67D13D53" w14:textId="77777777" w:rsidR="001E7189" w:rsidRDefault="001E7189" w:rsidP="00BA67A6">
      <w:pPr>
        <w:jc w:val="both"/>
        <w:rPr>
          <w:lang w:val="en-US"/>
        </w:rPr>
      </w:pPr>
      <w:r w:rsidRPr="002906A3">
        <w:rPr>
          <w:lang w:val="en-US"/>
        </w:rPr>
        <w:t>However, since 1979, registration for the bookkeepers has no longer been required. As for the other two sections, the law has not gone far enough in distinguishing between ‘Independent Accountants’ and ‘Certified Public Accountants’, except based on the type and size of the institution they deal with (Al-</w:t>
      </w:r>
      <w:proofErr w:type="spellStart"/>
      <w:r w:rsidRPr="002906A3">
        <w:rPr>
          <w:lang w:val="en-US"/>
        </w:rPr>
        <w:t>Rehaily</w:t>
      </w:r>
      <w:proofErr w:type="spellEnd"/>
      <w:r w:rsidRPr="002906A3">
        <w:rPr>
          <w:lang w:val="en-US"/>
        </w:rPr>
        <w:t xml:space="preserve">, 1992). Later, KSA's Ministry of Commerce carried out a comprehensive effort to develop the accounting and auditing profession and establish its internal regulation. These efforts culminated in the issuance of a royal decree in 1992 approving the Certified Accountancy Law. Article 19 of the decree provided for the establishment of The Saudi Organization for Chartered and Professional Accountants (SOCPA), an entity operating under the supervision of the Ministry of Commerce to oversee the accounting and auditing profession and promote all aspects that contribute to its development and enhancement </w:t>
      </w:r>
      <w:r w:rsidRPr="002906A3">
        <w:rPr>
          <w:lang w:val="en-US"/>
        </w:rPr>
        <w:lastRenderedPageBreak/>
        <w:t>(www.socpa.org.sa, 03.02. 2025). Additionally, in 2004, SOCPA was granted the right to issue accounting and auditing standards. Later, in 2010, the Council of Ministers issued Decree No. (84) approving the establishment of the Saudi Internal Auditors Organization, an independent legal professional association with legal personality operating under the supervision of the Ministry of Commerce and Industry, aiming to develop the internal audit profession in KSA (</w:t>
      </w:r>
      <w:proofErr w:type="spellStart"/>
      <w:r w:rsidRPr="002906A3">
        <w:rPr>
          <w:lang w:val="en-US"/>
        </w:rPr>
        <w:t>Alkhayyal</w:t>
      </w:r>
      <w:proofErr w:type="spellEnd"/>
      <w:r w:rsidRPr="002906A3">
        <w:rPr>
          <w:lang w:val="en-US"/>
        </w:rPr>
        <w:t xml:space="preserve"> &amp; Alsaad, 2016). In 2021, the Saudi Ministry of Commerce updated the law regulating the accounting profession in KSA (Saudi Accounting and Auditing Law, 2021). According to the 2021 update, the accounting profession in KSA is divided into the following </w:t>
      </w:r>
      <w:proofErr w:type="gramStart"/>
      <w:r w:rsidRPr="002906A3">
        <w:rPr>
          <w:lang w:val="en-US"/>
        </w:rPr>
        <w:t>categories;</w:t>
      </w:r>
      <w:proofErr w:type="gramEnd"/>
    </w:p>
    <w:p w14:paraId="04B3FE80" w14:textId="77777777" w:rsidR="00BA67A6" w:rsidRPr="002906A3" w:rsidRDefault="00BA67A6" w:rsidP="00BA67A6">
      <w:pPr>
        <w:jc w:val="both"/>
        <w:rPr>
          <w:lang w:val="en-US"/>
        </w:rPr>
      </w:pPr>
    </w:p>
    <w:p w14:paraId="612A777C"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statutory public accounting and auditing,</w:t>
      </w:r>
    </w:p>
    <w:p w14:paraId="3536C430"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providing zakat and tax services,</w:t>
      </w:r>
    </w:p>
    <w:p w14:paraId="11112DBF"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providing value added tax services, and</w:t>
      </w:r>
    </w:p>
    <w:p w14:paraId="5B14B6BA" w14:textId="77777777" w:rsidR="001E7189" w:rsidRDefault="001E7189">
      <w:pPr>
        <w:pStyle w:val="ListeParagraf"/>
        <w:widowControl/>
        <w:numPr>
          <w:ilvl w:val="0"/>
          <w:numId w:val="20"/>
        </w:numPr>
        <w:autoSpaceDE/>
        <w:autoSpaceDN/>
        <w:jc w:val="both"/>
        <w:rPr>
          <w:lang w:val="en-US"/>
        </w:rPr>
      </w:pPr>
      <w:r w:rsidRPr="002906A3">
        <w:rPr>
          <w:lang w:val="en-US"/>
        </w:rPr>
        <w:t>profession of providing accounting services.</w:t>
      </w:r>
    </w:p>
    <w:p w14:paraId="46619ADD" w14:textId="77777777" w:rsidR="00BA67A6" w:rsidRPr="00BA67A6" w:rsidRDefault="00BA67A6" w:rsidP="00BA67A6">
      <w:pPr>
        <w:widowControl/>
        <w:autoSpaceDE/>
        <w:autoSpaceDN/>
        <w:jc w:val="both"/>
        <w:rPr>
          <w:lang w:val="en-US"/>
        </w:rPr>
      </w:pPr>
    </w:p>
    <w:p w14:paraId="44B2DC34" w14:textId="7431B66D" w:rsidR="001E7189" w:rsidRDefault="001E7189" w:rsidP="00BA67A6">
      <w:pPr>
        <w:jc w:val="both"/>
        <w:rPr>
          <w:lang w:val="en-US"/>
        </w:rPr>
      </w:pPr>
      <w:r w:rsidRPr="002906A3">
        <w:rPr>
          <w:lang w:val="en-US"/>
        </w:rPr>
        <w:t>In KSA, the requirements for becoming an accounting professional vary depending on the professional title.</w:t>
      </w:r>
    </w:p>
    <w:p w14:paraId="0C42B8DC" w14:textId="77777777" w:rsidR="00BA67A6" w:rsidRPr="002906A3" w:rsidRDefault="00BA67A6" w:rsidP="00BA67A6">
      <w:pPr>
        <w:jc w:val="both"/>
        <w:rPr>
          <w:lang w:val="en-US"/>
        </w:rPr>
      </w:pPr>
    </w:p>
    <w:p w14:paraId="1CB6A08B" w14:textId="323069D6" w:rsidR="001E7189" w:rsidRPr="002906A3" w:rsidRDefault="001E7189" w:rsidP="00BA67A6">
      <w:pPr>
        <w:jc w:val="both"/>
        <w:rPr>
          <w:b/>
          <w:bCs/>
          <w:lang w:val="en-US"/>
        </w:rPr>
      </w:pPr>
      <w:r w:rsidRPr="002906A3">
        <w:rPr>
          <w:b/>
          <w:bCs/>
          <w:lang w:val="en-US"/>
        </w:rPr>
        <w:t xml:space="preserve">Profession </w:t>
      </w:r>
      <w:proofErr w:type="gramStart"/>
      <w:r w:rsidRPr="002906A3">
        <w:rPr>
          <w:b/>
          <w:bCs/>
          <w:lang w:val="en-US"/>
        </w:rPr>
        <w:t>of</w:t>
      </w:r>
      <w:proofErr w:type="gramEnd"/>
      <w:r w:rsidRPr="002906A3">
        <w:rPr>
          <w:b/>
          <w:bCs/>
          <w:lang w:val="en-US"/>
        </w:rPr>
        <w:t xml:space="preserve"> Statutory Public Accounting and Auditing</w:t>
      </w:r>
    </w:p>
    <w:p w14:paraId="2539AC52" w14:textId="77777777" w:rsidR="001E7189" w:rsidRPr="002906A3" w:rsidRDefault="001E7189" w:rsidP="00BA67A6">
      <w:pPr>
        <w:jc w:val="both"/>
        <w:rPr>
          <w:lang w:val="en-US"/>
        </w:rPr>
      </w:pPr>
      <w:r w:rsidRPr="002906A3">
        <w:rPr>
          <w:lang w:val="en-US"/>
        </w:rPr>
        <w:t xml:space="preserve">Article 3 of Saudi Accounting and Auditing Law stipulates that the license shall be granted to the applicant under the following </w:t>
      </w:r>
      <w:proofErr w:type="gramStart"/>
      <w:r w:rsidRPr="002906A3">
        <w:rPr>
          <w:lang w:val="en-US"/>
        </w:rPr>
        <w:t>conditions;</w:t>
      </w:r>
      <w:proofErr w:type="gramEnd"/>
    </w:p>
    <w:p w14:paraId="309485A1" w14:textId="77777777" w:rsidR="001E7189" w:rsidRPr="002906A3" w:rsidRDefault="001E7189" w:rsidP="00BA67A6">
      <w:pPr>
        <w:jc w:val="both"/>
        <w:rPr>
          <w:i/>
          <w:iCs/>
          <w:lang w:val="en-US"/>
        </w:rPr>
      </w:pPr>
      <w:r w:rsidRPr="002906A3">
        <w:rPr>
          <w:i/>
          <w:iCs/>
          <w:lang w:val="en-US"/>
        </w:rPr>
        <w:t>A Full-Time Public Accountant and Auditor</w:t>
      </w:r>
    </w:p>
    <w:p w14:paraId="4CD74209"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Saudi national,</w:t>
      </w:r>
    </w:p>
    <w:p w14:paraId="790D3739"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full legal capacity (must be at least 18 years old and mentally competent).</w:t>
      </w:r>
    </w:p>
    <w:p w14:paraId="0B0C6B63"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hold a university degree or higher in accounting or any other relevant specialization related to the profession,</w:t>
      </w:r>
    </w:p>
    <w:p w14:paraId="76807B2B"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member of SOCPA,</w:t>
      </w:r>
    </w:p>
    <w:p w14:paraId="3A022864"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at least one year of work experience,</w:t>
      </w:r>
    </w:p>
    <w:p w14:paraId="7FD46342"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good character and have no convictions for a crime against honesty or honor.</w:t>
      </w:r>
    </w:p>
    <w:p w14:paraId="11F0E080" w14:textId="06590280" w:rsidR="001E7189" w:rsidRPr="002906A3" w:rsidRDefault="001E7189" w:rsidP="00BA67A6">
      <w:pPr>
        <w:jc w:val="both"/>
        <w:rPr>
          <w:i/>
          <w:iCs/>
          <w:lang w:val="en-US"/>
        </w:rPr>
      </w:pPr>
      <w:r w:rsidRPr="002906A3">
        <w:rPr>
          <w:i/>
          <w:iCs/>
          <w:lang w:val="en-US"/>
        </w:rPr>
        <w:t>A Part-Time Public Accountant and Auditor</w:t>
      </w:r>
    </w:p>
    <w:p w14:paraId="60E15C33" w14:textId="77777777" w:rsidR="001E7189" w:rsidRPr="002906A3" w:rsidRDefault="001E7189" w:rsidP="00BA67A6">
      <w:pPr>
        <w:jc w:val="both"/>
        <w:rPr>
          <w:lang w:val="en-US"/>
        </w:rPr>
      </w:pPr>
      <w:r w:rsidRPr="002906A3">
        <w:rPr>
          <w:lang w:val="en-US"/>
        </w:rPr>
        <w:t>May be authorized in accordance with the Regulations, considering the following factors:</w:t>
      </w:r>
    </w:p>
    <w:p w14:paraId="409AF83A" w14:textId="77777777" w:rsidR="001E7189" w:rsidRPr="002906A3" w:rsidRDefault="001E7189">
      <w:pPr>
        <w:pStyle w:val="ListeParagraf"/>
        <w:widowControl/>
        <w:numPr>
          <w:ilvl w:val="0"/>
          <w:numId w:val="20"/>
        </w:numPr>
        <w:autoSpaceDE/>
        <w:autoSpaceDN/>
        <w:jc w:val="both"/>
        <w:rPr>
          <w:lang w:val="en-US"/>
        </w:rPr>
      </w:pPr>
      <w:r w:rsidRPr="002906A3">
        <w:rPr>
          <w:lang w:val="en-US"/>
        </w:rPr>
        <w:t>They must meet the conditions applicable to a full-time auditor,</w:t>
      </w:r>
    </w:p>
    <w:p w14:paraId="1431B1E6" w14:textId="77777777" w:rsidR="001E7189" w:rsidRPr="002906A3" w:rsidRDefault="001E7189">
      <w:pPr>
        <w:pStyle w:val="ListeParagraf"/>
        <w:widowControl/>
        <w:numPr>
          <w:ilvl w:val="0"/>
          <w:numId w:val="20"/>
        </w:numPr>
        <w:autoSpaceDE/>
        <w:autoSpaceDN/>
        <w:jc w:val="both"/>
        <w:rPr>
          <w:lang w:val="en-US"/>
        </w:rPr>
      </w:pPr>
      <w:proofErr w:type="gramStart"/>
      <w:r w:rsidRPr="002906A3">
        <w:rPr>
          <w:lang w:val="en-US"/>
        </w:rPr>
        <w:t>a maximum</w:t>
      </w:r>
      <w:proofErr w:type="gramEnd"/>
      <w:r w:rsidRPr="002906A3">
        <w:rPr>
          <w:lang w:val="en-US"/>
        </w:rPr>
        <w:t xml:space="preserve"> limit should be set for the duration of practicing the profession part-time,</w:t>
      </w:r>
    </w:p>
    <w:p w14:paraId="51827C73" w14:textId="77777777" w:rsidR="001E7189" w:rsidRPr="002906A3" w:rsidRDefault="001E7189">
      <w:pPr>
        <w:pStyle w:val="ListeParagraf"/>
        <w:widowControl/>
        <w:numPr>
          <w:ilvl w:val="0"/>
          <w:numId w:val="20"/>
        </w:numPr>
        <w:autoSpaceDE/>
        <w:autoSpaceDN/>
        <w:jc w:val="both"/>
        <w:rPr>
          <w:lang w:val="en-US"/>
        </w:rPr>
      </w:pPr>
      <w:r w:rsidRPr="002906A3">
        <w:rPr>
          <w:lang w:val="en-US"/>
        </w:rPr>
        <w:t>audit services should not be provided to high-risk enterprises.</w:t>
      </w:r>
    </w:p>
    <w:p w14:paraId="15ED34F3" w14:textId="77777777" w:rsidR="001E7189" w:rsidRPr="002906A3" w:rsidRDefault="001E7189" w:rsidP="00BA67A6">
      <w:pPr>
        <w:pStyle w:val="ListeParagraf"/>
        <w:jc w:val="both"/>
        <w:rPr>
          <w:lang w:val="en-US"/>
        </w:rPr>
      </w:pPr>
    </w:p>
    <w:p w14:paraId="48151AB4" w14:textId="77777777" w:rsidR="001E7189" w:rsidRPr="002906A3" w:rsidRDefault="001E7189" w:rsidP="00BA67A6">
      <w:pPr>
        <w:jc w:val="both"/>
        <w:rPr>
          <w:b/>
          <w:bCs/>
          <w:lang w:val="en-US"/>
        </w:rPr>
      </w:pPr>
      <w:r w:rsidRPr="002906A3">
        <w:rPr>
          <w:b/>
          <w:bCs/>
          <w:lang w:val="en-US"/>
        </w:rPr>
        <w:t>Profession of Providing Zakat and Tax Services</w:t>
      </w:r>
    </w:p>
    <w:p w14:paraId="6CAE4FB8" w14:textId="77777777" w:rsidR="001E7189" w:rsidRPr="002906A3" w:rsidRDefault="001E7189" w:rsidP="00BA67A6">
      <w:pPr>
        <w:jc w:val="both"/>
        <w:rPr>
          <w:lang w:val="en-US"/>
        </w:rPr>
      </w:pPr>
      <w:proofErr w:type="spellStart"/>
      <w:proofErr w:type="gramStart"/>
      <w:r w:rsidRPr="002906A3">
        <w:rPr>
          <w:lang w:val="en-US"/>
        </w:rPr>
        <w:t>Aperson</w:t>
      </w:r>
      <w:proofErr w:type="spellEnd"/>
      <w:proofErr w:type="gramEnd"/>
      <w:r w:rsidRPr="002906A3">
        <w:rPr>
          <w:lang w:val="en-US"/>
        </w:rPr>
        <w:t xml:space="preserve"> licensed under article 3 of the law to provide zakat and tax services must meet the following </w:t>
      </w:r>
      <w:proofErr w:type="gramStart"/>
      <w:r w:rsidRPr="002906A3">
        <w:rPr>
          <w:lang w:val="en-US"/>
        </w:rPr>
        <w:t>criteria;</w:t>
      </w:r>
      <w:proofErr w:type="gramEnd"/>
    </w:p>
    <w:p w14:paraId="763527FF" w14:textId="1FC18E1E" w:rsidR="001E7189" w:rsidRPr="002906A3" w:rsidRDefault="001E7189">
      <w:pPr>
        <w:pStyle w:val="ListeParagraf"/>
        <w:widowControl/>
        <w:numPr>
          <w:ilvl w:val="0"/>
          <w:numId w:val="20"/>
        </w:numPr>
        <w:autoSpaceDE/>
        <w:autoSpaceDN/>
        <w:jc w:val="both"/>
        <w:rPr>
          <w:lang w:val="en-US"/>
        </w:rPr>
      </w:pPr>
      <w:r w:rsidRPr="002906A3">
        <w:rPr>
          <w:lang w:val="en-US"/>
        </w:rPr>
        <w:t>Must be a Saudi national,</w:t>
      </w:r>
    </w:p>
    <w:p w14:paraId="704C5FE3"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full capacity (must be at least 18 years old and mentally competent),</w:t>
      </w:r>
    </w:p>
    <w:p w14:paraId="3D078A37"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passed the professional exam (Zakat and Income Tax Professional Examination),</w:t>
      </w:r>
    </w:p>
    <w:p w14:paraId="654E3878" w14:textId="77777777" w:rsidR="001E7189" w:rsidRPr="002906A3" w:rsidRDefault="001E7189">
      <w:pPr>
        <w:pStyle w:val="ListeParagraf"/>
        <w:widowControl/>
        <w:numPr>
          <w:ilvl w:val="0"/>
          <w:numId w:val="20"/>
        </w:numPr>
        <w:autoSpaceDE/>
        <w:autoSpaceDN/>
        <w:jc w:val="both"/>
        <w:rPr>
          <w:lang w:val="en-US"/>
        </w:rPr>
      </w:pPr>
      <w:r w:rsidRPr="002906A3">
        <w:rPr>
          <w:lang w:val="en-US"/>
        </w:rPr>
        <w:t>must work full-time in the profession</w:t>
      </w:r>
    </w:p>
    <w:p w14:paraId="04D9414B" w14:textId="77777777" w:rsidR="001E7189" w:rsidRPr="002906A3" w:rsidRDefault="001E7189" w:rsidP="00BA67A6">
      <w:pPr>
        <w:pStyle w:val="ListeParagraf"/>
        <w:jc w:val="both"/>
        <w:rPr>
          <w:lang w:val="en-US"/>
        </w:rPr>
      </w:pPr>
    </w:p>
    <w:p w14:paraId="1DAA8ABA" w14:textId="77777777" w:rsidR="001E7189" w:rsidRPr="002906A3" w:rsidRDefault="001E7189" w:rsidP="00BA67A6">
      <w:pPr>
        <w:jc w:val="both"/>
        <w:rPr>
          <w:b/>
          <w:bCs/>
          <w:lang w:val="en-US"/>
        </w:rPr>
      </w:pPr>
      <w:r w:rsidRPr="002906A3">
        <w:rPr>
          <w:b/>
          <w:bCs/>
          <w:lang w:val="en-US"/>
        </w:rPr>
        <w:t xml:space="preserve">Profession </w:t>
      </w:r>
      <w:bookmarkStart w:id="162" w:name="_Hlk190516438"/>
      <w:r w:rsidRPr="002906A3">
        <w:rPr>
          <w:b/>
          <w:bCs/>
          <w:lang w:val="en-US"/>
        </w:rPr>
        <w:t xml:space="preserve">Of Providing </w:t>
      </w:r>
      <w:bookmarkEnd w:id="162"/>
      <w:r w:rsidRPr="002906A3">
        <w:rPr>
          <w:b/>
          <w:bCs/>
          <w:lang w:val="en-US"/>
        </w:rPr>
        <w:t>Value Added Tax Services</w:t>
      </w:r>
    </w:p>
    <w:p w14:paraId="3298C90E" w14:textId="77777777" w:rsidR="001E7189" w:rsidRPr="002906A3" w:rsidRDefault="001E7189" w:rsidP="00BA67A6">
      <w:pPr>
        <w:jc w:val="both"/>
        <w:rPr>
          <w:lang w:val="en-US"/>
        </w:rPr>
      </w:pPr>
      <w:r w:rsidRPr="002906A3">
        <w:rPr>
          <w:lang w:val="en-US"/>
        </w:rPr>
        <w:t xml:space="preserve">According to article 3 of the value added tax licensing regulations, the licensee holder must possess the following </w:t>
      </w:r>
      <w:proofErr w:type="gramStart"/>
      <w:r w:rsidRPr="002906A3">
        <w:rPr>
          <w:lang w:val="en-US"/>
        </w:rPr>
        <w:t>qualifications;</w:t>
      </w:r>
      <w:proofErr w:type="gramEnd"/>
    </w:p>
    <w:p w14:paraId="2A65DC81"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Saudi national,</w:t>
      </w:r>
    </w:p>
    <w:p w14:paraId="20C9001B" w14:textId="77777777" w:rsidR="001E7189" w:rsidRPr="002906A3" w:rsidRDefault="001E7189">
      <w:pPr>
        <w:pStyle w:val="ListeParagraf"/>
        <w:widowControl/>
        <w:numPr>
          <w:ilvl w:val="0"/>
          <w:numId w:val="20"/>
        </w:numPr>
        <w:autoSpaceDE/>
        <w:autoSpaceDN/>
        <w:jc w:val="both"/>
        <w:rPr>
          <w:lang w:val="en-US"/>
        </w:rPr>
      </w:pPr>
      <w:r w:rsidRPr="002906A3">
        <w:rPr>
          <w:lang w:val="en-US"/>
        </w:rPr>
        <w:lastRenderedPageBreak/>
        <w:t>must have full capacity (must be at least 18 years old and mentally competent),</w:t>
      </w:r>
    </w:p>
    <w:p w14:paraId="5A15CAF9"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passed the professional exam (VAT Specialist Exam),</w:t>
      </w:r>
    </w:p>
    <w:p w14:paraId="11189105" w14:textId="77777777" w:rsidR="001E7189" w:rsidRPr="002906A3" w:rsidRDefault="001E7189">
      <w:pPr>
        <w:pStyle w:val="ListeParagraf"/>
        <w:widowControl/>
        <w:numPr>
          <w:ilvl w:val="0"/>
          <w:numId w:val="20"/>
        </w:numPr>
        <w:autoSpaceDE/>
        <w:autoSpaceDN/>
        <w:jc w:val="both"/>
        <w:rPr>
          <w:lang w:val="en-US"/>
        </w:rPr>
      </w:pPr>
      <w:r w:rsidRPr="002906A3">
        <w:rPr>
          <w:lang w:val="en-US"/>
        </w:rPr>
        <w:t>must work full-time in the profession</w:t>
      </w:r>
    </w:p>
    <w:p w14:paraId="76802921" w14:textId="77777777" w:rsidR="001E7189" w:rsidRPr="002906A3" w:rsidRDefault="001E7189" w:rsidP="00BA67A6">
      <w:pPr>
        <w:jc w:val="both"/>
        <w:rPr>
          <w:lang w:val="en-US"/>
        </w:rPr>
      </w:pPr>
      <w:r w:rsidRPr="002906A3">
        <w:rPr>
          <w:lang w:val="en-US"/>
        </w:rPr>
        <w:t>(https://www.socpa.org.sa/Socpa/Licenses-and-Quality/Licensed Accountants/2282.aspx, 03.02. 2025).</w:t>
      </w:r>
    </w:p>
    <w:p w14:paraId="2DB6DFA9" w14:textId="77777777" w:rsidR="001E7189" w:rsidRPr="002906A3" w:rsidRDefault="001E7189" w:rsidP="00BA67A6">
      <w:pPr>
        <w:jc w:val="both"/>
        <w:rPr>
          <w:lang w:val="en-US"/>
        </w:rPr>
      </w:pPr>
    </w:p>
    <w:p w14:paraId="5BAF15DC" w14:textId="77777777" w:rsidR="001E7189" w:rsidRPr="002906A3" w:rsidRDefault="001E7189" w:rsidP="00BA67A6">
      <w:pPr>
        <w:jc w:val="both"/>
        <w:rPr>
          <w:b/>
          <w:bCs/>
          <w:lang w:val="en-US"/>
        </w:rPr>
      </w:pPr>
      <w:r w:rsidRPr="002906A3">
        <w:rPr>
          <w:b/>
          <w:bCs/>
          <w:lang w:val="en-US"/>
        </w:rPr>
        <w:t>Profession Of Providing Accounting Services</w:t>
      </w:r>
    </w:p>
    <w:p w14:paraId="66E66CFD" w14:textId="77777777" w:rsidR="001E7189" w:rsidRDefault="001E7189" w:rsidP="00BA67A6">
      <w:pPr>
        <w:jc w:val="both"/>
        <w:rPr>
          <w:lang w:val="en-US"/>
        </w:rPr>
      </w:pPr>
      <w:r w:rsidRPr="002906A3">
        <w:rPr>
          <w:lang w:val="en-US"/>
        </w:rPr>
        <w:t xml:space="preserve">In 2021, Article 5 of the Providing Accounting Services Regulatory Rules, approved by Decision No. (1/4) of the Board of Directors of the Saudi Organization of Auditors and Accountants, requires the applicant be licensed in accordance with the following </w:t>
      </w:r>
      <w:proofErr w:type="gramStart"/>
      <w:r w:rsidRPr="002906A3">
        <w:rPr>
          <w:lang w:val="en-US"/>
        </w:rPr>
        <w:t>conditions;</w:t>
      </w:r>
      <w:proofErr w:type="gramEnd"/>
    </w:p>
    <w:p w14:paraId="3F70E707" w14:textId="77777777" w:rsidR="00BA67A6" w:rsidRPr="002906A3" w:rsidRDefault="00BA67A6" w:rsidP="00BA67A6">
      <w:pPr>
        <w:jc w:val="both"/>
        <w:rPr>
          <w:lang w:val="en-US"/>
        </w:rPr>
      </w:pPr>
    </w:p>
    <w:p w14:paraId="01BC8C13" w14:textId="39567617" w:rsidR="00BA67A6" w:rsidRPr="002906A3" w:rsidRDefault="001E7189" w:rsidP="00BA67A6">
      <w:pPr>
        <w:jc w:val="both"/>
        <w:rPr>
          <w:i/>
          <w:iCs/>
          <w:lang w:val="en-US"/>
        </w:rPr>
      </w:pPr>
      <w:r w:rsidRPr="002906A3">
        <w:rPr>
          <w:i/>
          <w:iCs/>
          <w:lang w:val="en-US"/>
        </w:rPr>
        <w:t>Full-time accountant</w:t>
      </w:r>
    </w:p>
    <w:p w14:paraId="06CDC567"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Saudi national,</w:t>
      </w:r>
    </w:p>
    <w:p w14:paraId="1F1AB1CC"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full legal capacity (must be at least 18 years old and mentally competent),</w:t>
      </w:r>
    </w:p>
    <w:p w14:paraId="5E23AD7C"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hold a university degree in accounting or any branch of administrative sciences,</w:t>
      </w:r>
    </w:p>
    <w:p w14:paraId="19C347BD"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passed the professional examinations,</w:t>
      </w:r>
    </w:p>
    <w:p w14:paraId="73A3E164"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registered as a member of SOCPA and must have at least one year of practical experience in accounting or auditing in accounting firms, auditing offices, government institutions, joint-stock companies, or other entities,</w:t>
      </w:r>
    </w:p>
    <w:p w14:paraId="710AC152" w14:textId="77777777" w:rsidR="001E7189" w:rsidRDefault="001E7189" w:rsidP="00BA67A6">
      <w:pPr>
        <w:jc w:val="both"/>
        <w:rPr>
          <w:lang w:val="en-US"/>
        </w:rPr>
      </w:pPr>
      <w:r w:rsidRPr="002906A3">
        <w:rPr>
          <w:lang w:val="en-US"/>
        </w:rPr>
        <w:t>Must be of good moral character and conduct and must not have been convicted of any crime involving honesty or honor unless rehabilitated.</w:t>
      </w:r>
    </w:p>
    <w:p w14:paraId="6C938591" w14:textId="77777777" w:rsidR="00BA67A6" w:rsidRPr="002906A3" w:rsidRDefault="00BA67A6" w:rsidP="00BA67A6">
      <w:pPr>
        <w:jc w:val="both"/>
        <w:rPr>
          <w:lang w:val="en-US"/>
        </w:rPr>
      </w:pPr>
    </w:p>
    <w:p w14:paraId="03E97DDA" w14:textId="2F8DD4EF" w:rsidR="00BA67A6" w:rsidRPr="002906A3" w:rsidRDefault="001E7189" w:rsidP="00BA67A6">
      <w:pPr>
        <w:jc w:val="both"/>
        <w:rPr>
          <w:i/>
          <w:iCs/>
          <w:lang w:val="en-US"/>
        </w:rPr>
      </w:pPr>
      <w:r w:rsidRPr="002906A3">
        <w:rPr>
          <w:i/>
          <w:iCs/>
          <w:lang w:val="en-US"/>
        </w:rPr>
        <w:t>A part-time accountant</w:t>
      </w:r>
    </w:p>
    <w:p w14:paraId="634F853A" w14:textId="77777777" w:rsidR="001E7189" w:rsidRPr="002906A3" w:rsidRDefault="001E7189">
      <w:pPr>
        <w:pStyle w:val="ListeParagraf"/>
        <w:widowControl/>
        <w:numPr>
          <w:ilvl w:val="0"/>
          <w:numId w:val="20"/>
        </w:numPr>
        <w:autoSpaceDE/>
        <w:autoSpaceDN/>
        <w:jc w:val="both"/>
        <w:rPr>
          <w:lang w:val="en-US"/>
        </w:rPr>
      </w:pPr>
      <w:r w:rsidRPr="002906A3">
        <w:rPr>
          <w:lang w:val="en-US"/>
        </w:rPr>
        <w:t>The conditions mentioned in the full-time accountant paragraph must be met,</w:t>
      </w:r>
    </w:p>
    <w:p w14:paraId="7CB6FA1A" w14:textId="77777777" w:rsidR="001E7189" w:rsidRPr="002906A3" w:rsidRDefault="001E7189">
      <w:pPr>
        <w:pStyle w:val="ListeParagraf"/>
        <w:widowControl/>
        <w:numPr>
          <w:ilvl w:val="0"/>
          <w:numId w:val="20"/>
        </w:numPr>
        <w:autoSpaceDE/>
        <w:autoSpaceDN/>
        <w:jc w:val="both"/>
        <w:rPr>
          <w:lang w:val="en-US"/>
        </w:rPr>
      </w:pPr>
      <w:proofErr w:type="gramStart"/>
      <w:r w:rsidRPr="002906A3">
        <w:rPr>
          <w:lang w:val="en-US"/>
        </w:rPr>
        <w:t>the</w:t>
      </w:r>
      <w:proofErr w:type="gramEnd"/>
      <w:r w:rsidRPr="002906A3">
        <w:rPr>
          <w:lang w:val="en-US"/>
        </w:rPr>
        <w:t xml:space="preserve"> period for practicing the profession part-time must not exceed three years, and any authorized period of part-time practice shall be counted within this duration.</w:t>
      </w:r>
    </w:p>
    <w:p w14:paraId="12A5B733" w14:textId="77777777" w:rsidR="001E7189" w:rsidRDefault="001E7189">
      <w:pPr>
        <w:pStyle w:val="ListeParagraf"/>
        <w:widowControl/>
        <w:numPr>
          <w:ilvl w:val="0"/>
          <w:numId w:val="20"/>
        </w:numPr>
        <w:autoSpaceDE/>
        <w:autoSpaceDN/>
        <w:jc w:val="both"/>
        <w:rPr>
          <w:lang w:val="en-US"/>
        </w:rPr>
      </w:pPr>
      <w:r w:rsidRPr="002906A3">
        <w:rPr>
          <w:lang w:val="en-US"/>
        </w:rPr>
        <w:t>must not provide accounting services to joint-stock companies, banks, financial institutions, or public sector entities (SOCPA, 2024b).</w:t>
      </w:r>
    </w:p>
    <w:p w14:paraId="3A9BCBF2" w14:textId="77777777" w:rsidR="00BA67A6" w:rsidRPr="002906A3" w:rsidRDefault="00BA67A6" w:rsidP="00BA67A6">
      <w:pPr>
        <w:pStyle w:val="ListeParagraf"/>
        <w:widowControl/>
        <w:autoSpaceDE/>
        <w:autoSpaceDN/>
        <w:ind w:left="360"/>
        <w:jc w:val="both"/>
        <w:rPr>
          <w:lang w:val="en-US"/>
        </w:rPr>
      </w:pPr>
    </w:p>
    <w:p w14:paraId="7F1F6E81" w14:textId="73DF419F" w:rsidR="00BA67A6" w:rsidRPr="002906A3" w:rsidRDefault="001E7189" w:rsidP="00BA67A6">
      <w:pPr>
        <w:jc w:val="both"/>
        <w:rPr>
          <w:lang w:val="en-US"/>
        </w:rPr>
      </w:pPr>
      <w:r w:rsidRPr="002906A3">
        <w:rPr>
          <w:lang w:val="en-US"/>
        </w:rPr>
        <w:t xml:space="preserve">In KSA, the duties of an accounting professional vary depending on their professional </w:t>
      </w:r>
      <w:proofErr w:type="gramStart"/>
      <w:r w:rsidRPr="002906A3">
        <w:rPr>
          <w:lang w:val="en-US"/>
        </w:rPr>
        <w:t>title;</w:t>
      </w:r>
      <w:proofErr w:type="gramEnd"/>
    </w:p>
    <w:p w14:paraId="7FBDB0BC" w14:textId="77777777" w:rsidR="001E7189" w:rsidRPr="002906A3" w:rsidRDefault="001E7189" w:rsidP="00BA67A6">
      <w:pPr>
        <w:jc w:val="both"/>
        <w:rPr>
          <w:lang w:val="en-US"/>
        </w:rPr>
      </w:pPr>
      <w:r w:rsidRPr="002906A3">
        <w:rPr>
          <w:lang w:val="en-US"/>
        </w:rPr>
        <w:t>If working as a public accountant and auditor</w:t>
      </w:r>
    </w:p>
    <w:p w14:paraId="2B320A85" w14:textId="77777777" w:rsidR="001E7189" w:rsidRPr="002906A3" w:rsidRDefault="001E7189">
      <w:pPr>
        <w:pStyle w:val="ListeParagraf"/>
        <w:widowControl/>
        <w:numPr>
          <w:ilvl w:val="0"/>
          <w:numId w:val="20"/>
        </w:numPr>
        <w:autoSpaceDE/>
        <w:autoSpaceDN/>
        <w:jc w:val="both"/>
        <w:rPr>
          <w:lang w:val="en-US"/>
        </w:rPr>
      </w:pPr>
      <w:r w:rsidRPr="002906A3">
        <w:rPr>
          <w:lang w:val="en-US"/>
        </w:rPr>
        <w:t>All businesses must present their financial statements through a certified accountant, who is responsible for certifying the information and uploading financial statements to the “</w:t>
      </w:r>
      <w:proofErr w:type="spellStart"/>
      <w:r w:rsidRPr="002906A3">
        <w:rPr>
          <w:lang w:val="en-US"/>
        </w:rPr>
        <w:t>Qawaem</w:t>
      </w:r>
      <w:proofErr w:type="spellEnd"/>
      <w:r w:rsidRPr="002906A3">
        <w:rPr>
          <w:lang w:val="en-US"/>
        </w:rPr>
        <w:t>” website,</w:t>
      </w:r>
    </w:p>
    <w:p w14:paraId="39CA4B49" w14:textId="77777777" w:rsidR="001E7189" w:rsidRPr="002906A3" w:rsidRDefault="001E7189">
      <w:pPr>
        <w:pStyle w:val="ListeParagraf"/>
        <w:widowControl/>
        <w:numPr>
          <w:ilvl w:val="0"/>
          <w:numId w:val="20"/>
        </w:numPr>
        <w:autoSpaceDE/>
        <w:autoSpaceDN/>
        <w:jc w:val="both"/>
        <w:rPr>
          <w:lang w:val="en-US"/>
        </w:rPr>
      </w:pPr>
      <w:r w:rsidRPr="002906A3">
        <w:rPr>
          <w:lang w:val="en-US"/>
        </w:rPr>
        <w:t>reviewing and evaluating internal control systems,</w:t>
      </w:r>
    </w:p>
    <w:p w14:paraId="20B7077D" w14:textId="77777777" w:rsidR="001E7189" w:rsidRPr="002906A3" w:rsidRDefault="001E7189">
      <w:pPr>
        <w:pStyle w:val="ListeParagraf"/>
        <w:widowControl/>
        <w:numPr>
          <w:ilvl w:val="0"/>
          <w:numId w:val="20"/>
        </w:numPr>
        <w:autoSpaceDE/>
        <w:autoSpaceDN/>
        <w:jc w:val="both"/>
        <w:rPr>
          <w:lang w:val="en-US"/>
        </w:rPr>
      </w:pPr>
      <w:r w:rsidRPr="002906A3">
        <w:rPr>
          <w:lang w:val="en-US"/>
        </w:rPr>
        <w:t>preventing and detecting fraud and errors when they occur,</w:t>
      </w:r>
    </w:p>
    <w:p w14:paraId="28A70354" w14:textId="77777777" w:rsidR="001E7189" w:rsidRPr="002906A3" w:rsidRDefault="001E7189">
      <w:pPr>
        <w:pStyle w:val="ListeParagraf"/>
        <w:widowControl/>
        <w:numPr>
          <w:ilvl w:val="0"/>
          <w:numId w:val="20"/>
        </w:numPr>
        <w:autoSpaceDE/>
        <w:autoSpaceDN/>
        <w:jc w:val="both"/>
        <w:rPr>
          <w:lang w:val="en-US"/>
        </w:rPr>
      </w:pPr>
      <w:r w:rsidRPr="002906A3">
        <w:rPr>
          <w:lang w:val="en-US"/>
        </w:rPr>
        <w:t>determining the reliability of accounting systems, financial reports and accounting standards, and ensuring that the information accurately reflects the reality,</w:t>
      </w:r>
    </w:p>
    <w:p w14:paraId="2A377AD8" w14:textId="77777777" w:rsidR="001E7189" w:rsidRPr="002906A3" w:rsidRDefault="001E7189">
      <w:pPr>
        <w:pStyle w:val="ListeParagraf"/>
        <w:widowControl/>
        <w:numPr>
          <w:ilvl w:val="0"/>
          <w:numId w:val="20"/>
        </w:numPr>
        <w:autoSpaceDE/>
        <w:autoSpaceDN/>
        <w:jc w:val="both"/>
        <w:rPr>
          <w:lang w:val="en-US"/>
        </w:rPr>
      </w:pPr>
      <w:r w:rsidRPr="002906A3">
        <w:rPr>
          <w:lang w:val="en-US"/>
        </w:rPr>
        <w:t>conducting regular and periodic reviews of various activities and reporting findings and recommendations to senior management,</w:t>
      </w:r>
    </w:p>
    <w:p w14:paraId="2D707554" w14:textId="77777777" w:rsidR="001E7189" w:rsidRPr="002906A3" w:rsidRDefault="001E7189">
      <w:pPr>
        <w:pStyle w:val="ListeParagraf"/>
        <w:widowControl/>
        <w:numPr>
          <w:ilvl w:val="0"/>
          <w:numId w:val="20"/>
        </w:numPr>
        <w:autoSpaceDE/>
        <w:autoSpaceDN/>
        <w:jc w:val="both"/>
        <w:rPr>
          <w:lang w:val="en-US"/>
        </w:rPr>
      </w:pPr>
      <w:r w:rsidRPr="002906A3">
        <w:rPr>
          <w:lang w:val="en-US"/>
        </w:rPr>
        <w:t>assessing the extent to which a project complies with the social welfare requirements.</w:t>
      </w:r>
    </w:p>
    <w:p w14:paraId="4E51EE95" w14:textId="77777777" w:rsidR="001E7189" w:rsidRPr="002906A3" w:rsidRDefault="001E7189">
      <w:pPr>
        <w:pStyle w:val="ListeParagraf"/>
        <w:widowControl/>
        <w:numPr>
          <w:ilvl w:val="0"/>
          <w:numId w:val="20"/>
        </w:numPr>
        <w:autoSpaceDE/>
        <w:autoSpaceDN/>
        <w:jc w:val="both"/>
        <w:rPr>
          <w:lang w:val="en-US"/>
        </w:rPr>
      </w:pPr>
      <w:r w:rsidRPr="002906A3">
        <w:rPr>
          <w:lang w:val="en-US"/>
        </w:rPr>
        <w:t>collaborating with the external (independent) auditor,</w:t>
      </w:r>
    </w:p>
    <w:p w14:paraId="383AA684" w14:textId="77777777" w:rsidR="001E7189" w:rsidRDefault="001E7189">
      <w:pPr>
        <w:pStyle w:val="ListeParagraf"/>
        <w:widowControl/>
        <w:numPr>
          <w:ilvl w:val="0"/>
          <w:numId w:val="20"/>
        </w:numPr>
        <w:autoSpaceDE/>
        <w:autoSpaceDN/>
        <w:jc w:val="both"/>
        <w:rPr>
          <w:lang w:val="en-US"/>
        </w:rPr>
      </w:pPr>
      <w:r w:rsidRPr="002906A3">
        <w:rPr>
          <w:lang w:val="en-US"/>
        </w:rPr>
        <w:t>participating in cost reduction programs and developing the necessary procedures,</w:t>
      </w:r>
    </w:p>
    <w:p w14:paraId="41DD282D" w14:textId="77777777" w:rsidR="00BA67A6" w:rsidRPr="002906A3" w:rsidRDefault="00BA67A6" w:rsidP="00BA67A6">
      <w:pPr>
        <w:pStyle w:val="ListeParagraf"/>
        <w:widowControl/>
        <w:autoSpaceDE/>
        <w:autoSpaceDN/>
        <w:ind w:left="360"/>
        <w:jc w:val="both"/>
        <w:rPr>
          <w:lang w:val="en-US"/>
        </w:rPr>
      </w:pPr>
    </w:p>
    <w:p w14:paraId="3D12EE5E" w14:textId="77777777" w:rsidR="001E7189" w:rsidRPr="002906A3" w:rsidRDefault="001E7189" w:rsidP="00BA67A6">
      <w:pPr>
        <w:jc w:val="both"/>
        <w:rPr>
          <w:lang w:val="en-US"/>
        </w:rPr>
      </w:pPr>
      <w:r w:rsidRPr="002906A3">
        <w:rPr>
          <w:lang w:val="en-US"/>
        </w:rPr>
        <w:t>If working as an independent auditor,</w:t>
      </w:r>
    </w:p>
    <w:p w14:paraId="1A4F72E1" w14:textId="77777777" w:rsidR="001E7189" w:rsidRPr="002906A3" w:rsidRDefault="001E7189">
      <w:pPr>
        <w:pStyle w:val="ListeParagraf"/>
        <w:widowControl/>
        <w:numPr>
          <w:ilvl w:val="0"/>
          <w:numId w:val="20"/>
        </w:numPr>
        <w:autoSpaceDE/>
        <w:autoSpaceDN/>
        <w:jc w:val="both"/>
        <w:rPr>
          <w:lang w:val="en-US"/>
        </w:rPr>
      </w:pPr>
      <w:r w:rsidRPr="002906A3">
        <w:rPr>
          <w:lang w:val="en-US"/>
        </w:rPr>
        <w:t>Examining a business’s financial records to assess whether they are presented fairly in accordance with international standards and presenting the findings,</w:t>
      </w:r>
    </w:p>
    <w:p w14:paraId="74F6D656" w14:textId="77777777" w:rsidR="001E7189" w:rsidRPr="002906A3" w:rsidRDefault="001E7189">
      <w:pPr>
        <w:pStyle w:val="ListeParagraf"/>
        <w:widowControl/>
        <w:numPr>
          <w:ilvl w:val="0"/>
          <w:numId w:val="20"/>
        </w:numPr>
        <w:autoSpaceDE/>
        <w:autoSpaceDN/>
        <w:jc w:val="both"/>
        <w:rPr>
          <w:lang w:val="en-US"/>
        </w:rPr>
      </w:pPr>
      <w:r w:rsidRPr="002906A3">
        <w:rPr>
          <w:lang w:val="en-US"/>
        </w:rPr>
        <w:lastRenderedPageBreak/>
        <w:t>reporting any inconsistencies or errors in the tables,</w:t>
      </w:r>
    </w:p>
    <w:p w14:paraId="3C898EB7" w14:textId="77777777" w:rsidR="001E7189" w:rsidRPr="002906A3" w:rsidRDefault="001E7189">
      <w:pPr>
        <w:pStyle w:val="ListeParagraf"/>
        <w:widowControl/>
        <w:numPr>
          <w:ilvl w:val="0"/>
          <w:numId w:val="20"/>
        </w:numPr>
        <w:autoSpaceDE/>
        <w:autoSpaceDN/>
        <w:jc w:val="both"/>
        <w:rPr>
          <w:lang w:val="en-US"/>
        </w:rPr>
      </w:pPr>
      <w:r w:rsidRPr="002906A3">
        <w:rPr>
          <w:lang w:val="en-US"/>
        </w:rPr>
        <w:t>reviewing non-financial transactions, ensuring compliance with regulations and laws, and identifying and eliminating risks,</w:t>
      </w:r>
    </w:p>
    <w:p w14:paraId="0434C47F" w14:textId="77777777" w:rsidR="001E7189" w:rsidRDefault="001E7189">
      <w:pPr>
        <w:pStyle w:val="ListeParagraf"/>
        <w:widowControl/>
        <w:numPr>
          <w:ilvl w:val="0"/>
          <w:numId w:val="20"/>
        </w:numPr>
        <w:autoSpaceDE/>
        <w:autoSpaceDN/>
        <w:jc w:val="both"/>
        <w:rPr>
          <w:lang w:val="en-US"/>
        </w:rPr>
      </w:pPr>
      <w:r w:rsidRPr="002906A3">
        <w:rPr>
          <w:lang w:val="en-US"/>
        </w:rPr>
        <w:t>preparing an end-of-period report and presenting a detailed report explaining all findings during the audit process, and providing recommendations to improve systems and processes,</w:t>
      </w:r>
    </w:p>
    <w:p w14:paraId="3044B3B9" w14:textId="77777777" w:rsidR="00BA67A6" w:rsidRPr="002906A3" w:rsidRDefault="00BA67A6" w:rsidP="00BA67A6">
      <w:pPr>
        <w:pStyle w:val="ListeParagraf"/>
        <w:widowControl/>
        <w:autoSpaceDE/>
        <w:autoSpaceDN/>
        <w:ind w:left="360"/>
        <w:jc w:val="both"/>
        <w:rPr>
          <w:lang w:val="en-US"/>
        </w:rPr>
      </w:pPr>
    </w:p>
    <w:p w14:paraId="7762F095" w14:textId="77777777" w:rsidR="001E7189" w:rsidRPr="002906A3" w:rsidRDefault="001E7189" w:rsidP="00BA67A6">
      <w:pPr>
        <w:jc w:val="both"/>
        <w:rPr>
          <w:lang w:val="en-US"/>
        </w:rPr>
      </w:pPr>
      <w:r w:rsidRPr="002906A3">
        <w:rPr>
          <w:lang w:val="en-US"/>
        </w:rPr>
        <w:t xml:space="preserve">If working as a member of the profession providing zakat and tax </w:t>
      </w:r>
      <w:proofErr w:type="gramStart"/>
      <w:r w:rsidRPr="002906A3">
        <w:rPr>
          <w:lang w:val="en-US"/>
        </w:rPr>
        <w:t>services;</w:t>
      </w:r>
      <w:proofErr w:type="gramEnd"/>
    </w:p>
    <w:p w14:paraId="29B48A07" w14:textId="77777777" w:rsidR="001E7189" w:rsidRPr="002906A3" w:rsidRDefault="001E7189">
      <w:pPr>
        <w:pStyle w:val="ListeParagraf"/>
        <w:widowControl/>
        <w:numPr>
          <w:ilvl w:val="0"/>
          <w:numId w:val="20"/>
        </w:numPr>
        <w:autoSpaceDE/>
        <w:autoSpaceDN/>
        <w:jc w:val="both"/>
        <w:rPr>
          <w:lang w:val="en-US"/>
        </w:rPr>
      </w:pPr>
      <w:r w:rsidRPr="002906A3">
        <w:rPr>
          <w:lang w:val="en-US"/>
        </w:rPr>
        <w:t>Preparing zakat and income tax declarations related to income tax,</w:t>
      </w:r>
    </w:p>
    <w:p w14:paraId="0E1FF8CD" w14:textId="77777777" w:rsidR="001E7189" w:rsidRPr="002906A3" w:rsidRDefault="001E7189">
      <w:pPr>
        <w:pStyle w:val="ListeParagraf"/>
        <w:widowControl/>
        <w:numPr>
          <w:ilvl w:val="0"/>
          <w:numId w:val="20"/>
        </w:numPr>
        <w:autoSpaceDE/>
        <w:autoSpaceDN/>
        <w:jc w:val="both"/>
        <w:rPr>
          <w:lang w:val="en-US"/>
        </w:rPr>
      </w:pPr>
      <w:r w:rsidRPr="002906A3">
        <w:rPr>
          <w:lang w:val="en-US"/>
        </w:rPr>
        <w:t>providing consultancy on matters related to zakat and income tax services.</w:t>
      </w:r>
    </w:p>
    <w:p w14:paraId="7B98842B" w14:textId="77777777" w:rsidR="001E7189" w:rsidRDefault="001E7189">
      <w:pPr>
        <w:pStyle w:val="ListeParagraf"/>
        <w:widowControl/>
        <w:numPr>
          <w:ilvl w:val="0"/>
          <w:numId w:val="20"/>
        </w:numPr>
        <w:autoSpaceDE/>
        <w:autoSpaceDN/>
        <w:jc w:val="both"/>
        <w:rPr>
          <w:lang w:val="en-US"/>
        </w:rPr>
      </w:pPr>
      <w:r w:rsidRPr="002906A3">
        <w:rPr>
          <w:lang w:val="en-US"/>
        </w:rPr>
        <w:t xml:space="preserve">working at the </w:t>
      </w:r>
      <w:proofErr w:type="gramStart"/>
      <w:r w:rsidRPr="002906A3">
        <w:rPr>
          <w:lang w:val="en-US"/>
        </w:rPr>
        <w:t>zakat</w:t>
      </w:r>
      <w:proofErr w:type="gramEnd"/>
      <w:r w:rsidRPr="002906A3">
        <w:rPr>
          <w:lang w:val="en-US"/>
        </w:rPr>
        <w:t xml:space="preserve"> and income tax authority.</w:t>
      </w:r>
    </w:p>
    <w:p w14:paraId="2523A4AB" w14:textId="77777777" w:rsidR="00BA67A6" w:rsidRPr="00BA67A6" w:rsidRDefault="00BA67A6" w:rsidP="00BA67A6">
      <w:pPr>
        <w:widowControl/>
        <w:autoSpaceDE/>
        <w:autoSpaceDN/>
        <w:jc w:val="both"/>
        <w:rPr>
          <w:lang w:val="en-US"/>
        </w:rPr>
      </w:pPr>
    </w:p>
    <w:p w14:paraId="25137290" w14:textId="77777777" w:rsidR="001E7189" w:rsidRPr="002906A3" w:rsidRDefault="001E7189" w:rsidP="00BA67A6">
      <w:pPr>
        <w:jc w:val="both"/>
        <w:rPr>
          <w:lang w:val="en-US"/>
        </w:rPr>
      </w:pPr>
      <w:r w:rsidRPr="002906A3">
        <w:rPr>
          <w:lang w:val="en-US"/>
        </w:rPr>
        <w:t xml:space="preserve">If working as a member of the profession providing value-added tax (VAT) </w:t>
      </w:r>
      <w:proofErr w:type="gramStart"/>
      <w:r w:rsidRPr="002906A3">
        <w:rPr>
          <w:lang w:val="en-US"/>
        </w:rPr>
        <w:t>services;</w:t>
      </w:r>
      <w:proofErr w:type="gramEnd"/>
    </w:p>
    <w:p w14:paraId="761ECB69" w14:textId="77777777" w:rsidR="001E7189" w:rsidRPr="002906A3" w:rsidRDefault="001E7189">
      <w:pPr>
        <w:pStyle w:val="ListeParagraf"/>
        <w:widowControl/>
        <w:numPr>
          <w:ilvl w:val="0"/>
          <w:numId w:val="20"/>
        </w:numPr>
        <w:autoSpaceDE/>
        <w:autoSpaceDN/>
        <w:jc w:val="both"/>
        <w:rPr>
          <w:lang w:val="en-US"/>
        </w:rPr>
      </w:pPr>
      <w:r w:rsidRPr="002906A3">
        <w:rPr>
          <w:lang w:val="en-US"/>
        </w:rPr>
        <w:t>Preparing VAT declarations to be submitted to the responsible authority when due,</w:t>
      </w:r>
    </w:p>
    <w:p w14:paraId="166E77D4" w14:textId="77777777" w:rsidR="001E7189" w:rsidRPr="002906A3" w:rsidRDefault="001E7189">
      <w:pPr>
        <w:pStyle w:val="ListeParagraf"/>
        <w:widowControl/>
        <w:numPr>
          <w:ilvl w:val="0"/>
          <w:numId w:val="20"/>
        </w:numPr>
        <w:autoSpaceDE/>
        <w:autoSpaceDN/>
        <w:jc w:val="both"/>
        <w:rPr>
          <w:lang w:val="en-US"/>
        </w:rPr>
      </w:pPr>
      <w:r w:rsidRPr="002906A3">
        <w:rPr>
          <w:lang w:val="en-US"/>
        </w:rPr>
        <w:t>providing services related to KDV,</w:t>
      </w:r>
    </w:p>
    <w:p w14:paraId="26F7BD16" w14:textId="77777777" w:rsidR="001E7189" w:rsidRPr="002906A3" w:rsidRDefault="001E7189">
      <w:pPr>
        <w:pStyle w:val="ListeParagraf"/>
        <w:widowControl/>
        <w:numPr>
          <w:ilvl w:val="0"/>
          <w:numId w:val="20"/>
        </w:numPr>
        <w:autoSpaceDE/>
        <w:autoSpaceDN/>
        <w:jc w:val="both"/>
        <w:rPr>
          <w:lang w:val="en-US"/>
        </w:rPr>
      </w:pPr>
      <w:r w:rsidRPr="002906A3">
        <w:rPr>
          <w:lang w:val="en-US"/>
        </w:rPr>
        <w:t>preparing detailed financial reports for the business and performing detailed tasks related to VAT,</w:t>
      </w:r>
    </w:p>
    <w:p w14:paraId="091DA9E5" w14:textId="77777777" w:rsidR="001E7189" w:rsidRDefault="001E7189">
      <w:pPr>
        <w:pStyle w:val="ListeParagraf"/>
        <w:widowControl/>
        <w:numPr>
          <w:ilvl w:val="0"/>
          <w:numId w:val="20"/>
        </w:numPr>
        <w:autoSpaceDE/>
        <w:autoSpaceDN/>
        <w:jc w:val="both"/>
        <w:rPr>
          <w:lang w:val="en-US"/>
        </w:rPr>
      </w:pPr>
      <w:r w:rsidRPr="002906A3">
        <w:rPr>
          <w:lang w:val="en-US"/>
        </w:rPr>
        <w:t xml:space="preserve">working at the </w:t>
      </w:r>
      <w:proofErr w:type="gramStart"/>
      <w:r w:rsidRPr="002906A3">
        <w:rPr>
          <w:lang w:val="en-US"/>
        </w:rPr>
        <w:t>zakat</w:t>
      </w:r>
      <w:proofErr w:type="gramEnd"/>
      <w:r w:rsidRPr="002906A3">
        <w:rPr>
          <w:lang w:val="en-US"/>
        </w:rPr>
        <w:t xml:space="preserve"> and income tax authority.</w:t>
      </w:r>
    </w:p>
    <w:p w14:paraId="58D69073" w14:textId="77777777" w:rsidR="00BA67A6" w:rsidRPr="002906A3" w:rsidRDefault="00BA67A6" w:rsidP="00BA67A6">
      <w:pPr>
        <w:pStyle w:val="ListeParagraf"/>
        <w:widowControl/>
        <w:autoSpaceDE/>
        <w:autoSpaceDN/>
        <w:ind w:left="360"/>
        <w:jc w:val="both"/>
        <w:rPr>
          <w:lang w:val="en-US"/>
        </w:rPr>
      </w:pPr>
    </w:p>
    <w:p w14:paraId="0F018612" w14:textId="488113B7" w:rsidR="00BA67A6" w:rsidRPr="002906A3" w:rsidRDefault="001E7189" w:rsidP="00BA67A6">
      <w:pPr>
        <w:jc w:val="both"/>
        <w:rPr>
          <w:lang w:val="en-US"/>
        </w:rPr>
      </w:pPr>
      <w:r w:rsidRPr="002906A3">
        <w:rPr>
          <w:lang w:val="en-US"/>
        </w:rPr>
        <w:t xml:space="preserve">If working as a member of the profession providing accounting </w:t>
      </w:r>
      <w:proofErr w:type="gramStart"/>
      <w:r w:rsidRPr="002906A3">
        <w:rPr>
          <w:lang w:val="en-US"/>
        </w:rPr>
        <w:t>services;</w:t>
      </w:r>
      <w:proofErr w:type="gramEnd"/>
    </w:p>
    <w:p w14:paraId="1C404705" w14:textId="77777777" w:rsidR="001E7189" w:rsidRPr="002906A3" w:rsidRDefault="001E7189">
      <w:pPr>
        <w:pStyle w:val="ListeParagraf"/>
        <w:widowControl/>
        <w:numPr>
          <w:ilvl w:val="0"/>
          <w:numId w:val="20"/>
        </w:numPr>
        <w:autoSpaceDE/>
        <w:autoSpaceDN/>
        <w:jc w:val="both"/>
        <w:rPr>
          <w:lang w:val="en-US"/>
        </w:rPr>
      </w:pPr>
      <w:r w:rsidRPr="002906A3">
        <w:rPr>
          <w:lang w:val="en-US"/>
        </w:rPr>
        <w:t>Assisting in the preparation of accounts, recording transactions, and performing bookkeeping operations,</w:t>
      </w:r>
    </w:p>
    <w:p w14:paraId="68F139CB" w14:textId="77777777" w:rsidR="001E7189" w:rsidRPr="002906A3" w:rsidRDefault="001E7189">
      <w:pPr>
        <w:pStyle w:val="ListeParagraf"/>
        <w:widowControl/>
        <w:numPr>
          <w:ilvl w:val="0"/>
          <w:numId w:val="20"/>
        </w:numPr>
        <w:autoSpaceDE/>
        <w:autoSpaceDN/>
        <w:jc w:val="both"/>
        <w:rPr>
          <w:lang w:val="en-US"/>
        </w:rPr>
      </w:pPr>
      <w:r w:rsidRPr="002906A3">
        <w:rPr>
          <w:lang w:val="en-US"/>
        </w:rPr>
        <w:t>handling business expenses and salary and wage systems,</w:t>
      </w:r>
    </w:p>
    <w:p w14:paraId="09431CAE" w14:textId="77777777" w:rsidR="001E7189" w:rsidRDefault="001E7189">
      <w:pPr>
        <w:pStyle w:val="ListeParagraf"/>
        <w:widowControl/>
        <w:numPr>
          <w:ilvl w:val="0"/>
          <w:numId w:val="20"/>
        </w:numPr>
        <w:autoSpaceDE/>
        <w:autoSpaceDN/>
        <w:jc w:val="both"/>
        <w:rPr>
          <w:lang w:val="en-US"/>
        </w:rPr>
      </w:pPr>
      <w:r w:rsidRPr="002906A3">
        <w:rPr>
          <w:lang w:val="en-US"/>
        </w:rPr>
        <w:t>preparing financial statements.</w:t>
      </w:r>
    </w:p>
    <w:p w14:paraId="08BFE47E" w14:textId="77777777" w:rsidR="00BA67A6" w:rsidRPr="002906A3" w:rsidRDefault="00BA67A6" w:rsidP="00BA67A6">
      <w:pPr>
        <w:pStyle w:val="ListeParagraf"/>
        <w:widowControl/>
        <w:autoSpaceDE/>
        <w:autoSpaceDN/>
        <w:ind w:left="360"/>
        <w:jc w:val="both"/>
        <w:rPr>
          <w:lang w:val="en-US"/>
        </w:rPr>
      </w:pPr>
    </w:p>
    <w:p w14:paraId="6EB00351" w14:textId="77777777" w:rsidR="001E7189" w:rsidRPr="002906A3" w:rsidRDefault="001E7189" w:rsidP="00BA67A6">
      <w:pPr>
        <w:jc w:val="both"/>
        <w:rPr>
          <w:lang w:val="en-US"/>
        </w:rPr>
      </w:pPr>
      <w:r w:rsidRPr="002906A3">
        <w:rPr>
          <w:lang w:val="en-US"/>
        </w:rPr>
        <w:t>As of 2024, the number of SOCPA members is 99,255, including 654 certified accountants, 3076 tax specialists and 519 accounting technicians (SOCPA, 2024c).</w:t>
      </w:r>
    </w:p>
    <w:p w14:paraId="717C3EE5" w14:textId="77777777" w:rsidR="001E7189" w:rsidRPr="002906A3" w:rsidRDefault="001E7189" w:rsidP="00BA67A6">
      <w:pPr>
        <w:jc w:val="both"/>
        <w:rPr>
          <w:lang w:val="en-US"/>
        </w:rPr>
      </w:pPr>
    </w:p>
    <w:p w14:paraId="4685DCCA" w14:textId="4B9C908C" w:rsidR="001E7189" w:rsidRPr="002906A3" w:rsidRDefault="001E7189" w:rsidP="00BA67A6">
      <w:pPr>
        <w:jc w:val="both"/>
        <w:rPr>
          <w:b/>
          <w:bCs/>
          <w:lang w:val="en-US"/>
        </w:rPr>
      </w:pPr>
      <w:r w:rsidRPr="002906A3">
        <w:rPr>
          <w:b/>
          <w:bCs/>
          <w:lang w:val="en-US"/>
        </w:rPr>
        <w:t>2</w:t>
      </w:r>
      <w:r w:rsidR="006871AB" w:rsidRPr="002906A3">
        <w:rPr>
          <w:b/>
          <w:bCs/>
          <w:lang w:val="en-US"/>
        </w:rPr>
        <w:t>. Accounting Profession İn United Arab Emirates Accounting System</w:t>
      </w:r>
    </w:p>
    <w:p w14:paraId="18740621" w14:textId="77777777" w:rsidR="001E7189" w:rsidRDefault="001E7189" w:rsidP="00BA67A6">
      <w:pPr>
        <w:jc w:val="both"/>
        <w:rPr>
          <w:lang w:val="en-US"/>
        </w:rPr>
      </w:pPr>
      <w:r w:rsidRPr="002906A3">
        <w:rPr>
          <w:lang w:val="en-US"/>
        </w:rPr>
        <w:t xml:space="preserve">The development of the accounting and auditing profession in </w:t>
      </w:r>
      <w:proofErr w:type="gramStart"/>
      <w:r w:rsidRPr="002906A3">
        <w:rPr>
          <w:lang w:val="en-US"/>
        </w:rPr>
        <w:t>UAE</w:t>
      </w:r>
      <w:proofErr w:type="gramEnd"/>
      <w:r w:rsidRPr="002906A3">
        <w:rPr>
          <w:lang w:val="en-US"/>
        </w:rPr>
        <w:t xml:space="preserve"> began with Federal Law No. 9 of 1975, which was the first law issued to regulate the profession. This law addressed the registration of accountants and auditors, the qualifications required to become an accountant or auditor, and the possible actions against accountants and auditors in case of professional violations. The law also stipulated that no one could practice the profession without being registered with the Ministry of Economy (Abdallah, 2008). Article 6 of this law, </w:t>
      </w:r>
      <w:proofErr w:type="gramStart"/>
      <w:r w:rsidRPr="002906A3">
        <w:rPr>
          <w:lang w:val="en-US"/>
        </w:rPr>
        <w:t>similar to</w:t>
      </w:r>
      <w:proofErr w:type="gramEnd"/>
      <w:r w:rsidRPr="002906A3">
        <w:rPr>
          <w:lang w:val="en-US"/>
        </w:rPr>
        <w:t xml:space="preserve"> other GCC countries, stated that auditors could not be employees of other institutions. However, academics in UAE are exempt from this requirement (Al-Qahtani, 2005). Federal Law No. 22 of 1995, which addressed the organization of the accounting and auditing profession, amended the earlier Federal Law No. 9 of 1975. This new law required the standardization of auditor recognition across the country and encouraged more citizens to enter the profession. It also required a higher level of competence for conducting audits. Additionally, it specified the responsibilities and obligations of auditors and ensured their independence (Abdallah, 2008). The accounting profession in UAE is represented by the Accountants and Auditors Association (Trabelsi &amp; Trabelsi, 2014). This association, the only national accounting organization, was established under Federal Decree No. 227 of 1997 concerning the Establishment of an Accounting Profession Organization in UAE (Haj </w:t>
      </w:r>
      <w:proofErr w:type="spellStart"/>
      <w:r w:rsidRPr="002906A3">
        <w:rPr>
          <w:lang w:val="en-US"/>
        </w:rPr>
        <w:t>Hamidow</w:t>
      </w:r>
      <w:proofErr w:type="spellEnd"/>
      <w:r w:rsidRPr="002906A3">
        <w:rPr>
          <w:lang w:val="en-US"/>
        </w:rPr>
        <w:t xml:space="preserve">, 2024). All accountants and auditors are regulated at the state level by the Ministry of Economy under Federal Law No. 12 </w:t>
      </w:r>
      <w:r w:rsidRPr="002906A3">
        <w:rPr>
          <w:lang w:val="en-US"/>
        </w:rPr>
        <w:lastRenderedPageBreak/>
        <w:t>of 2014 related to the accounting and auditing profession and Ministerial Decision No. 403 of 2015 on International Standards for Accounting and Auditing. According to Ministerial Decree No. 805 of 2018, auditors who have qualifications from the following organizations are automatically recognized by the Ministry of Economy for licensing purposes (IFAC, 2024):</w:t>
      </w:r>
    </w:p>
    <w:p w14:paraId="4A723C05" w14:textId="77777777" w:rsidR="00BA67A6" w:rsidRPr="002906A3" w:rsidRDefault="00BA67A6" w:rsidP="00BA67A6">
      <w:pPr>
        <w:jc w:val="both"/>
        <w:rPr>
          <w:lang w:val="en-US"/>
        </w:rPr>
      </w:pPr>
    </w:p>
    <w:p w14:paraId="361BE42D" w14:textId="77777777" w:rsidR="001E7189" w:rsidRPr="002906A3" w:rsidRDefault="001E7189">
      <w:pPr>
        <w:pStyle w:val="ListeParagraf"/>
        <w:widowControl/>
        <w:numPr>
          <w:ilvl w:val="0"/>
          <w:numId w:val="20"/>
        </w:numPr>
        <w:autoSpaceDE/>
        <w:autoSpaceDN/>
        <w:jc w:val="both"/>
        <w:rPr>
          <w:lang w:val="en-US"/>
        </w:rPr>
      </w:pPr>
      <w:r w:rsidRPr="002906A3">
        <w:rPr>
          <w:lang w:val="en-US"/>
        </w:rPr>
        <w:t>Institute of Chartered Accountants in England and Wales (ICAEW)</w:t>
      </w:r>
    </w:p>
    <w:p w14:paraId="670D5110" w14:textId="77777777" w:rsidR="001E7189" w:rsidRPr="002906A3" w:rsidRDefault="001E7189">
      <w:pPr>
        <w:pStyle w:val="ListeParagraf"/>
        <w:widowControl/>
        <w:numPr>
          <w:ilvl w:val="0"/>
          <w:numId w:val="20"/>
        </w:numPr>
        <w:autoSpaceDE/>
        <w:autoSpaceDN/>
        <w:jc w:val="both"/>
        <w:rPr>
          <w:lang w:val="en-US"/>
        </w:rPr>
      </w:pPr>
      <w:r w:rsidRPr="002906A3">
        <w:rPr>
          <w:lang w:val="en-US"/>
        </w:rPr>
        <w:t>Chartered Accountant Ireland</w:t>
      </w:r>
    </w:p>
    <w:p w14:paraId="04EBADEE" w14:textId="77777777" w:rsidR="001E7189" w:rsidRPr="002906A3" w:rsidRDefault="001E7189">
      <w:pPr>
        <w:pStyle w:val="ListeParagraf"/>
        <w:widowControl/>
        <w:numPr>
          <w:ilvl w:val="0"/>
          <w:numId w:val="20"/>
        </w:numPr>
        <w:autoSpaceDE/>
        <w:autoSpaceDN/>
        <w:jc w:val="both"/>
        <w:rPr>
          <w:lang w:val="en-US"/>
        </w:rPr>
      </w:pPr>
      <w:r w:rsidRPr="002906A3">
        <w:rPr>
          <w:lang w:val="en-US"/>
        </w:rPr>
        <w:t>Scotland Institute of Chartered Accountants (ICAS)</w:t>
      </w:r>
    </w:p>
    <w:p w14:paraId="607C3224" w14:textId="77777777" w:rsidR="001E7189" w:rsidRPr="002906A3" w:rsidRDefault="001E7189">
      <w:pPr>
        <w:pStyle w:val="ListeParagraf"/>
        <w:widowControl/>
        <w:numPr>
          <w:ilvl w:val="0"/>
          <w:numId w:val="20"/>
        </w:numPr>
        <w:autoSpaceDE/>
        <w:autoSpaceDN/>
        <w:jc w:val="both"/>
        <w:rPr>
          <w:lang w:val="en-US"/>
        </w:rPr>
      </w:pPr>
      <w:r w:rsidRPr="002906A3">
        <w:rPr>
          <w:lang w:val="en-US"/>
        </w:rPr>
        <w:t>Canadian Institute of Chartered Accountants (CICA)</w:t>
      </w:r>
    </w:p>
    <w:p w14:paraId="179C6F24" w14:textId="77777777" w:rsidR="001E7189" w:rsidRPr="002906A3" w:rsidRDefault="001E7189">
      <w:pPr>
        <w:pStyle w:val="ListeParagraf"/>
        <w:widowControl/>
        <w:numPr>
          <w:ilvl w:val="0"/>
          <w:numId w:val="20"/>
        </w:numPr>
        <w:autoSpaceDE/>
        <w:autoSpaceDN/>
        <w:jc w:val="both"/>
        <w:rPr>
          <w:lang w:val="en-US"/>
        </w:rPr>
      </w:pPr>
      <w:r w:rsidRPr="002906A3">
        <w:rPr>
          <w:lang w:val="en-US"/>
        </w:rPr>
        <w:t>Chartered Accountants Australia and New Zealand (CAANZ)</w:t>
      </w:r>
    </w:p>
    <w:p w14:paraId="6760664F" w14:textId="77777777" w:rsidR="001E7189" w:rsidRPr="002906A3" w:rsidRDefault="001E7189">
      <w:pPr>
        <w:pStyle w:val="ListeParagraf"/>
        <w:widowControl/>
        <w:numPr>
          <w:ilvl w:val="0"/>
          <w:numId w:val="20"/>
        </w:numPr>
        <w:autoSpaceDE/>
        <w:autoSpaceDN/>
        <w:jc w:val="both"/>
        <w:rPr>
          <w:lang w:val="en-US"/>
        </w:rPr>
      </w:pPr>
      <w:r w:rsidRPr="002906A3">
        <w:rPr>
          <w:lang w:val="en-US"/>
        </w:rPr>
        <w:t>American Institute of Certified Public Accountants (AICPA)</w:t>
      </w:r>
    </w:p>
    <w:p w14:paraId="7841C14F" w14:textId="77777777" w:rsidR="001E7189" w:rsidRPr="002906A3" w:rsidRDefault="001E7189">
      <w:pPr>
        <w:pStyle w:val="ListeParagraf"/>
        <w:widowControl/>
        <w:numPr>
          <w:ilvl w:val="0"/>
          <w:numId w:val="20"/>
        </w:numPr>
        <w:autoSpaceDE/>
        <w:autoSpaceDN/>
        <w:jc w:val="both"/>
        <w:rPr>
          <w:lang w:val="en-US"/>
        </w:rPr>
      </w:pPr>
      <w:r w:rsidRPr="002906A3">
        <w:rPr>
          <w:lang w:val="en-US"/>
        </w:rPr>
        <w:t>Association of Chartered Certified Accountants (ACCA)</w:t>
      </w:r>
    </w:p>
    <w:p w14:paraId="0DA1E106" w14:textId="77777777" w:rsidR="001E7189" w:rsidRPr="002906A3" w:rsidRDefault="001E7189">
      <w:pPr>
        <w:pStyle w:val="ListeParagraf"/>
        <w:widowControl/>
        <w:numPr>
          <w:ilvl w:val="0"/>
          <w:numId w:val="20"/>
        </w:numPr>
        <w:autoSpaceDE/>
        <w:autoSpaceDN/>
        <w:jc w:val="both"/>
        <w:rPr>
          <w:lang w:val="en-US"/>
        </w:rPr>
      </w:pPr>
      <w:r w:rsidRPr="002906A3">
        <w:rPr>
          <w:lang w:val="en-US"/>
        </w:rPr>
        <w:t>French Higher Council of Statutory Auditors (CSOEC)</w:t>
      </w:r>
    </w:p>
    <w:p w14:paraId="16425742" w14:textId="77777777" w:rsidR="001E7189" w:rsidRPr="002906A3" w:rsidRDefault="001E7189">
      <w:pPr>
        <w:pStyle w:val="ListeParagraf"/>
        <w:widowControl/>
        <w:numPr>
          <w:ilvl w:val="0"/>
          <w:numId w:val="20"/>
        </w:numPr>
        <w:autoSpaceDE/>
        <w:autoSpaceDN/>
        <w:jc w:val="both"/>
        <w:rPr>
          <w:lang w:val="en-US"/>
        </w:rPr>
      </w:pPr>
      <w:r w:rsidRPr="002906A3">
        <w:rPr>
          <w:lang w:val="en-US"/>
        </w:rPr>
        <w:t>Institute of Chartered Accountants of India (ICAI)</w:t>
      </w:r>
    </w:p>
    <w:p w14:paraId="0A1A3BAC" w14:textId="77777777" w:rsidR="001E7189" w:rsidRPr="002906A3" w:rsidRDefault="001E7189">
      <w:pPr>
        <w:pStyle w:val="ListeParagraf"/>
        <w:widowControl/>
        <w:numPr>
          <w:ilvl w:val="0"/>
          <w:numId w:val="20"/>
        </w:numPr>
        <w:autoSpaceDE/>
        <w:autoSpaceDN/>
        <w:jc w:val="both"/>
        <w:rPr>
          <w:lang w:val="en-US"/>
        </w:rPr>
      </w:pPr>
      <w:r w:rsidRPr="002906A3">
        <w:rPr>
          <w:lang w:val="en-US"/>
        </w:rPr>
        <w:t>International Arab Society of Certified Public Accountants (IASCA)</w:t>
      </w:r>
    </w:p>
    <w:p w14:paraId="2B6FEDE8" w14:textId="77777777" w:rsidR="001E7189" w:rsidRPr="002906A3" w:rsidRDefault="001E7189">
      <w:pPr>
        <w:pStyle w:val="ListeParagraf"/>
        <w:widowControl/>
        <w:numPr>
          <w:ilvl w:val="0"/>
          <w:numId w:val="20"/>
        </w:numPr>
        <w:autoSpaceDE/>
        <w:autoSpaceDN/>
        <w:jc w:val="both"/>
        <w:rPr>
          <w:lang w:val="en-US"/>
        </w:rPr>
      </w:pPr>
      <w:r w:rsidRPr="002906A3">
        <w:rPr>
          <w:lang w:val="en-US"/>
        </w:rPr>
        <w:t>Institute of Chartered Accountants of Pakistan (ICAP)</w:t>
      </w:r>
    </w:p>
    <w:p w14:paraId="0006AE82" w14:textId="77777777" w:rsidR="001E7189" w:rsidRPr="002906A3" w:rsidRDefault="001E7189">
      <w:pPr>
        <w:pStyle w:val="ListeParagraf"/>
        <w:widowControl/>
        <w:numPr>
          <w:ilvl w:val="0"/>
          <w:numId w:val="20"/>
        </w:numPr>
        <w:autoSpaceDE/>
        <w:autoSpaceDN/>
        <w:jc w:val="both"/>
        <w:rPr>
          <w:lang w:val="en-US"/>
        </w:rPr>
      </w:pPr>
      <w:r w:rsidRPr="002906A3">
        <w:rPr>
          <w:lang w:val="en-US"/>
        </w:rPr>
        <w:t>Egyptian Society of Accountants and Auditors (ESAA)</w:t>
      </w:r>
    </w:p>
    <w:p w14:paraId="1B6160CF" w14:textId="77777777" w:rsidR="001E7189" w:rsidRPr="002906A3" w:rsidRDefault="001E7189">
      <w:pPr>
        <w:pStyle w:val="ListeParagraf"/>
        <w:widowControl/>
        <w:numPr>
          <w:ilvl w:val="0"/>
          <w:numId w:val="20"/>
        </w:numPr>
        <w:autoSpaceDE/>
        <w:autoSpaceDN/>
        <w:jc w:val="both"/>
        <w:rPr>
          <w:lang w:val="en-US"/>
        </w:rPr>
      </w:pPr>
      <w:r w:rsidRPr="002906A3">
        <w:rPr>
          <w:lang w:val="en-US"/>
        </w:rPr>
        <w:t>Association of International Accountants (AIA)</w:t>
      </w:r>
    </w:p>
    <w:p w14:paraId="01CBA5CB" w14:textId="77777777" w:rsidR="001E7189" w:rsidRPr="002906A3" w:rsidRDefault="001E7189">
      <w:pPr>
        <w:pStyle w:val="ListeParagraf"/>
        <w:widowControl/>
        <w:numPr>
          <w:ilvl w:val="0"/>
          <w:numId w:val="20"/>
        </w:numPr>
        <w:autoSpaceDE/>
        <w:autoSpaceDN/>
        <w:jc w:val="both"/>
        <w:rPr>
          <w:lang w:val="en-US"/>
        </w:rPr>
      </w:pPr>
      <w:r w:rsidRPr="002906A3">
        <w:rPr>
          <w:lang w:val="en-US"/>
        </w:rPr>
        <w:t>Gulf Cooperation Council Accounting and Auditing Organization (GCCAAO)</w:t>
      </w:r>
    </w:p>
    <w:p w14:paraId="7CA40D85" w14:textId="77777777" w:rsidR="001E7189" w:rsidRPr="002906A3" w:rsidRDefault="001E7189">
      <w:pPr>
        <w:pStyle w:val="ListeParagraf"/>
        <w:widowControl/>
        <w:numPr>
          <w:ilvl w:val="0"/>
          <w:numId w:val="20"/>
        </w:numPr>
        <w:autoSpaceDE/>
        <w:autoSpaceDN/>
        <w:jc w:val="both"/>
        <w:rPr>
          <w:lang w:val="en-US"/>
        </w:rPr>
      </w:pPr>
      <w:r w:rsidRPr="002906A3">
        <w:rPr>
          <w:lang w:val="en-US"/>
        </w:rPr>
        <w:t>Saudi Organization of Certified Public Accountants (SOCPA)</w:t>
      </w:r>
    </w:p>
    <w:p w14:paraId="3CA7B10A" w14:textId="77777777" w:rsidR="001E7189" w:rsidRDefault="001E7189">
      <w:pPr>
        <w:pStyle w:val="ListeParagraf"/>
        <w:widowControl/>
        <w:numPr>
          <w:ilvl w:val="0"/>
          <w:numId w:val="20"/>
        </w:numPr>
        <w:autoSpaceDE/>
        <w:autoSpaceDN/>
        <w:jc w:val="both"/>
        <w:rPr>
          <w:lang w:val="en-US"/>
        </w:rPr>
      </w:pPr>
      <w:r w:rsidRPr="002906A3">
        <w:rPr>
          <w:lang w:val="en-US"/>
        </w:rPr>
        <w:t>Japanese Institute of Certified Public Accountants (JICPA).</w:t>
      </w:r>
    </w:p>
    <w:p w14:paraId="000C23C1" w14:textId="77777777" w:rsidR="00BA67A6" w:rsidRPr="002906A3" w:rsidRDefault="00BA67A6" w:rsidP="00BA67A6">
      <w:pPr>
        <w:pStyle w:val="ListeParagraf"/>
        <w:widowControl/>
        <w:autoSpaceDE/>
        <w:autoSpaceDN/>
        <w:ind w:left="360"/>
        <w:jc w:val="both"/>
        <w:rPr>
          <w:lang w:val="en-US"/>
        </w:rPr>
      </w:pPr>
    </w:p>
    <w:p w14:paraId="083F917F" w14:textId="77777777" w:rsidR="001E7189" w:rsidRDefault="001E7189" w:rsidP="00BA67A6">
      <w:pPr>
        <w:jc w:val="both"/>
        <w:rPr>
          <w:lang w:val="en-US"/>
        </w:rPr>
      </w:pPr>
      <w:r w:rsidRPr="002906A3">
        <w:rPr>
          <w:lang w:val="en-US"/>
        </w:rPr>
        <w:t>UAE Accounting and Auditing Profession Law was updated in 2014. The latest law regulating the profession is Federal Law No. 41 of 2023, which came into effect on March 29, 2024. This law aims to regulate the accounting and auditing profession and its practices in UAE, improve the efficiency of professional services and works related to the profession, and enhance the business community’s and investors' confidence in the profession.</w:t>
      </w:r>
    </w:p>
    <w:p w14:paraId="4126E874" w14:textId="77777777" w:rsidR="00BA67A6" w:rsidRPr="002906A3" w:rsidRDefault="00BA67A6" w:rsidP="00BA67A6">
      <w:pPr>
        <w:jc w:val="both"/>
        <w:rPr>
          <w:lang w:val="en-US"/>
        </w:rPr>
      </w:pPr>
    </w:p>
    <w:p w14:paraId="09BD65D8" w14:textId="77777777" w:rsidR="001E7189" w:rsidRPr="002906A3" w:rsidRDefault="001E7189" w:rsidP="00BA67A6">
      <w:pPr>
        <w:jc w:val="both"/>
        <w:rPr>
          <w:lang w:val="en-US"/>
        </w:rPr>
      </w:pPr>
      <w:r w:rsidRPr="002906A3">
        <w:rPr>
          <w:lang w:val="en-US"/>
        </w:rPr>
        <w:t>Article 6 of this law clarifies the conditions for practicing the profession, stipulating that:</w:t>
      </w:r>
    </w:p>
    <w:p w14:paraId="41F8C57E" w14:textId="77777777" w:rsidR="001E7189" w:rsidRPr="002906A3" w:rsidRDefault="001E7189">
      <w:pPr>
        <w:pStyle w:val="ListeParagraf"/>
        <w:widowControl/>
        <w:numPr>
          <w:ilvl w:val="0"/>
          <w:numId w:val="20"/>
        </w:numPr>
        <w:autoSpaceDE/>
        <w:autoSpaceDN/>
        <w:jc w:val="both"/>
        <w:rPr>
          <w:lang w:val="en-US"/>
        </w:rPr>
      </w:pPr>
      <w:r w:rsidRPr="002906A3">
        <w:rPr>
          <w:lang w:val="en-US"/>
        </w:rPr>
        <w:t>No natural or legal person may practice the profession or provide any related service in UAE without obtaining the necessary licenses,</w:t>
      </w:r>
    </w:p>
    <w:p w14:paraId="7FBD4B2F" w14:textId="77777777" w:rsidR="001E7189" w:rsidRDefault="001E7189">
      <w:pPr>
        <w:pStyle w:val="ListeParagraf"/>
        <w:widowControl/>
        <w:numPr>
          <w:ilvl w:val="0"/>
          <w:numId w:val="20"/>
        </w:numPr>
        <w:autoSpaceDE/>
        <w:autoSpaceDN/>
        <w:jc w:val="both"/>
        <w:rPr>
          <w:lang w:val="en-US"/>
        </w:rPr>
      </w:pPr>
      <w:r w:rsidRPr="002906A3">
        <w:rPr>
          <w:lang w:val="en-US"/>
        </w:rPr>
        <w:t>A certified public accountant (CPA) shall duly practice the profession individually through their office in the state.</w:t>
      </w:r>
    </w:p>
    <w:p w14:paraId="6C05F75E" w14:textId="77777777" w:rsidR="00BA67A6" w:rsidRPr="002906A3" w:rsidRDefault="00BA67A6" w:rsidP="00BA67A6">
      <w:pPr>
        <w:pStyle w:val="ListeParagraf"/>
        <w:widowControl/>
        <w:autoSpaceDE/>
        <w:autoSpaceDN/>
        <w:ind w:left="360"/>
        <w:jc w:val="both"/>
        <w:rPr>
          <w:lang w:val="en-US"/>
        </w:rPr>
      </w:pPr>
    </w:p>
    <w:p w14:paraId="1BFA572B" w14:textId="77777777" w:rsidR="001E7189" w:rsidRPr="002906A3" w:rsidRDefault="001E7189" w:rsidP="00BA67A6">
      <w:pPr>
        <w:jc w:val="both"/>
        <w:rPr>
          <w:lang w:val="en-US"/>
        </w:rPr>
      </w:pPr>
      <w:r w:rsidRPr="002906A3">
        <w:rPr>
          <w:lang w:val="en-US"/>
        </w:rPr>
        <w:t xml:space="preserve">According to the provisions of Federal Law No. 12 of 2014, regulating the profession in UAE, certain conditions must be met by applicants for the CPA certificate in UAE. Conditions to become an accounting </w:t>
      </w:r>
      <w:proofErr w:type="gramStart"/>
      <w:r w:rsidRPr="002906A3">
        <w:rPr>
          <w:lang w:val="en-US"/>
        </w:rPr>
        <w:t>professional;</w:t>
      </w:r>
      <w:proofErr w:type="gramEnd"/>
    </w:p>
    <w:p w14:paraId="6DEEC14B"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UAE national,</w:t>
      </w:r>
    </w:p>
    <w:p w14:paraId="7B7A4EAE"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full legal capacity,</w:t>
      </w:r>
    </w:p>
    <w:p w14:paraId="1E2973C1"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hold a university degree in accounting,</w:t>
      </w:r>
    </w:p>
    <w:p w14:paraId="374A8769"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of good character and behavior, with no criminal record of offense or violating honor or integrity,</w:t>
      </w:r>
    </w:p>
    <w:p w14:paraId="413987E2"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sufficient practical experience after obtaining the required academic qualification: one year for those with a doctorate degree, two years for those with a master's degree and three years for those with a bachelor's degree in accounting and</w:t>
      </w:r>
    </w:p>
    <w:p w14:paraId="571EC08B" w14:textId="77777777" w:rsidR="001E7189" w:rsidRDefault="001E7189">
      <w:pPr>
        <w:pStyle w:val="ListeParagraf"/>
        <w:widowControl/>
        <w:numPr>
          <w:ilvl w:val="0"/>
          <w:numId w:val="20"/>
        </w:numPr>
        <w:autoSpaceDE/>
        <w:autoSpaceDN/>
        <w:jc w:val="both"/>
        <w:rPr>
          <w:lang w:val="en-US"/>
        </w:rPr>
      </w:pPr>
      <w:r w:rsidRPr="002906A3">
        <w:rPr>
          <w:lang w:val="en-US"/>
        </w:rPr>
        <w:t>must pass the professional practice exam.</w:t>
      </w:r>
    </w:p>
    <w:p w14:paraId="79FFFE49" w14:textId="77777777" w:rsidR="00BA67A6" w:rsidRPr="002906A3" w:rsidRDefault="00BA67A6" w:rsidP="00BA67A6">
      <w:pPr>
        <w:pStyle w:val="ListeParagraf"/>
        <w:widowControl/>
        <w:autoSpaceDE/>
        <w:autoSpaceDN/>
        <w:ind w:left="360"/>
        <w:jc w:val="both"/>
        <w:rPr>
          <w:lang w:val="en-US"/>
        </w:rPr>
      </w:pPr>
    </w:p>
    <w:p w14:paraId="51CD6D5C" w14:textId="77777777" w:rsidR="001E7189" w:rsidRPr="002906A3" w:rsidRDefault="001E7189" w:rsidP="00BA67A6">
      <w:pPr>
        <w:jc w:val="both"/>
        <w:rPr>
          <w:lang w:val="en-US"/>
        </w:rPr>
      </w:pPr>
      <w:r w:rsidRPr="002906A3">
        <w:rPr>
          <w:lang w:val="en-US"/>
        </w:rPr>
        <w:lastRenderedPageBreak/>
        <w:t xml:space="preserve">Article 5 of the Law stipulates that non-UAE nationals may be registered in the professional's registry if they meet the following conditions in addition to other conditions stipulated by the Law and its administrative </w:t>
      </w:r>
      <w:proofErr w:type="gramStart"/>
      <w:r w:rsidRPr="002906A3">
        <w:rPr>
          <w:lang w:val="en-US"/>
        </w:rPr>
        <w:t>regulations;</w:t>
      </w:r>
      <w:proofErr w:type="gramEnd"/>
    </w:p>
    <w:p w14:paraId="50E94C98" w14:textId="77777777" w:rsidR="001E7189" w:rsidRPr="002906A3" w:rsidRDefault="001E7189">
      <w:pPr>
        <w:pStyle w:val="ListeParagraf"/>
        <w:widowControl/>
        <w:numPr>
          <w:ilvl w:val="0"/>
          <w:numId w:val="20"/>
        </w:numPr>
        <w:autoSpaceDE/>
        <w:autoSpaceDN/>
        <w:jc w:val="both"/>
        <w:rPr>
          <w:lang w:val="en-US"/>
        </w:rPr>
      </w:pPr>
      <w:r w:rsidRPr="002906A3">
        <w:rPr>
          <w:lang w:val="en-US"/>
        </w:rPr>
        <w:t>Must be a partner with a national auditor registered in the registry of professionals, an employee of a registered company or auditing office, or an employee of a branch of a foreign auditing firm registered in UAE,</w:t>
      </w:r>
    </w:p>
    <w:p w14:paraId="212C4BD2" w14:textId="77777777" w:rsidR="001E7189" w:rsidRDefault="001E7189">
      <w:pPr>
        <w:pStyle w:val="ListeParagraf"/>
        <w:widowControl/>
        <w:numPr>
          <w:ilvl w:val="0"/>
          <w:numId w:val="20"/>
        </w:numPr>
        <w:autoSpaceDE/>
        <w:autoSpaceDN/>
        <w:jc w:val="both"/>
        <w:rPr>
          <w:lang w:val="en-US"/>
        </w:rPr>
      </w:pPr>
      <w:r w:rsidRPr="002906A3">
        <w:rPr>
          <w:lang w:val="en-US"/>
        </w:rPr>
        <w:t>must hold a valid residence permit in the country (Ministry of Economy, UAE, 2024b).</w:t>
      </w:r>
    </w:p>
    <w:p w14:paraId="485027CA" w14:textId="77777777" w:rsidR="00BA67A6" w:rsidRPr="002906A3" w:rsidRDefault="00BA67A6" w:rsidP="00BA67A6">
      <w:pPr>
        <w:pStyle w:val="ListeParagraf"/>
        <w:widowControl/>
        <w:autoSpaceDE/>
        <w:autoSpaceDN/>
        <w:ind w:left="360"/>
        <w:jc w:val="both"/>
        <w:rPr>
          <w:lang w:val="en-US"/>
        </w:rPr>
      </w:pPr>
    </w:p>
    <w:p w14:paraId="3B6580A5" w14:textId="77777777" w:rsidR="001E7189" w:rsidRDefault="001E7189" w:rsidP="00BA67A6">
      <w:pPr>
        <w:jc w:val="both"/>
        <w:rPr>
          <w:lang w:val="en-US"/>
        </w:rPr>
      </w:pPr>
      <w:r w:rsidRPr="002906A3">
        <w:rPr>
          <w:lang w:val="en-US"/>
        </w:rPr>
        <w:t>Accounting professionals have various duties. According to Article 4 of the law regulating the Accounting and Auditing Profession, the audit and review of financial statements, along with other assurance services and services related to financial statements as approved by the Ministry, are considered part of the profession’s practice. Section 3 of the law regulating the accounting and auditing profession outlines the obligations and prohibitions of practitioners. The obligations of the professional are regulated in Article 16 of the law as follows (Accounting and Auditing Profession Law, 2023</w:t>
      </w:r>
      <w:proofErr w:type="gramStart"/>
      <w:r w:rsidRPr="002906A3">
        <w:rPr>
          <w:lang w:val="en-US"/>
        </w:rPr>
        <w:t>);</w:t>
      </w:r>
      <w:proofErr w:type="gramEnd"/>
    </w:p>
    <w:p w14:paraId="6B24D49F" w14:textId="77777777" w:rsidR="00BA67A6" w:rsidRPr="002906A3" w:rsidRDefault="00BA67A6" w:rsidP="00BA67A6">
      <w:pPr>
        <w:jc w:val="both"/>
        <w:rPr>
          <w:lang w:val="en-US"/>
        </w:rPr>
      </w:pPr>
    </w:p>
    <w:p w14:paraId="40050D1D" w14:textId="77777777" w:rsidR="001E7189" w:rsidRPr="002906A3" w:rsidRDefault="001E7189" w:rsidP="00BA67A6">
      <w:pPr>
        <w:jc w:val="both"/>
        <w:rPr>
          <w:lang w:val="en-US"/>
        </w:rPr>
      </w:pPr>
      <w:r w:rsidRPr="002906A3">
        <w:rPr>
          <w:lang w:val="en-US"/>
        </w:rPr>
        <w:t xml:space="preserve">The certified public accountant will comply with the following while practicing the </w:t>
      </w:r>
      <w:proofErr w:type="gramStart"/>
      <w:r w:rsidRPr="002906A3">
        <w:rPr>
          <w:lang w:val="en-US"/>
        </w:rPr>
        <w:t>profession;</w:t>
      </w:r>
      <w:proofErr w:type="gramEnd"/>
    </w:p>
    <w:p w14:paraId="1CD4DCD7" w14:textId="77777777" w:rsidR="001E7189" w:rsidRPr="002906A3" w:rsidRDefault="001E7189">
      <w:pPr>
        <w:pStyle w:val="ListeParagraf"/>
        <w:widowControl/>
        <w:numPr>
          <w:ilvl w:val="0"/>
          <w:numId w:val="20"/>
        </w:numPr>
        <w:autoSpaceDE/>
        <w:autoSpaceDN/>
        <w:jc w:val="both"/>
        <w:rPr>
          <w:lang w:val="en-US"/>
        </w:rPr>
      </w:pPr>
      <w:r w:rsidRPr="002906A3">
        <w:rPr>
          <w:lang w:val="en-US"/>
        </w:rPr>
        <w:t>Exercise due professional care during the performance of their duties and ensure the integrity and accuracy of the data contained in their work results,</w:t>
      </w:r>
    </w:p>
    <w:p w14:paraId="2D28ECA3" w14:textId="77777777" w:rsidR="001E7189" w:rsidRPr="002906A3" w:rsidRDefault="001E7189">
      <w:pPr>
        <w:pStyle w:val="ListeParagraf"/>
        <w:widowControl/>
        <w:numPr>
          <w:ilvl w:val="0"/>
          <w:numId w:val="20"/>
        </w:numPr>
        <w:autoSpaceDE/>
        <w:autoSpaceDN/>
        <w:jc w:val="both"/>
        <w:rPr>
          <w:lang w:val="en-US"/>
        </w:rPr>
      </w:pPr>
      <w:r w:rsidRPr="002906A3">
        <w:rPr>
          <w:lang w:val="en-US"/>
        </w:rPr>
        <w:t>prepare required reports either personally or through employees working under their supervision,</w:t>
      </w:r>
    </w:p>
    <w:p w14:paraId="160AFC77" w14:textId="77777777" w:rsidR="001E7189" w:rsidRDefault="001E7189">
      <w:pPr>
        <w:pStyle w:val="ListeParagraf"/>
        <w:widowControl/>
        <w:numPr>
          <w:ilvl w:val="0"/>
          <w:numId w:val="20"/>
        </w:numPr>
        <w:autoSpaceDE/>
        <w:autoSpaceDN/>
        <w:jc w:val="both"/>
        <w:rPr>
          <w:lang w:val="en-US"/>
        </w:rPr>
      </w:pPr>
      <w:r w:rsidRPr="002906A3">
        <w:rPr>
          <w:lang w:val="en-US"/>
        </w:rPr>
        <w:t>practice the profession or any of its activities through a licensed accounting firm or branch that holds both a professional license and an economic license, in compliance with the provisions of this Decree-Law.</w:t>
      </w:r>
    </w:p>
    <w:p w14:paraId="683F53E9" w14:textId="77777777" w:rsidR="00BA67A6" w:rsidRPr="002906A3" w:rsidRDefault="00BA67A6" w:rsidP="00BA67A6">
      <w:pPr>
        <w:pStyle w:val="ListeParagraf"/>
        <w:widowControl/>
        <w:autoSpaceDE/>
        <w:autoSpaceDN/>
        <w:ind w:left="360"/>
        <w:jc w:val="both"/>
        <w:rPr>
          <w:lang w:val="en-US"/>
        </w:rPr>
      </w:pPr>
    </w:p>
    <w:p w14:paraId="3E840D24" w14:textId="77777777" w:rsidR="001E7189" w:rsidRPr="002906A3" w:rsidRDefault="001E7189" w:rsidP="00BA67A6">
      <w:pPr>
        <w:jc w:val="both"/>
        <w:rPr>
          <w:lang w:val="en-US"/>
        </w:rPr>
      </w:pPr>
      <w:r w:rsidRPr="002906A3">
        <w:rPr>
          <w:lang w:val="en-US"/>
        </w:rPr>
        <w:t xml:space="preserve">The accounting office shall comply with the </w:t>
      </w:r>
      <w:proofErr w:type="gramStart"/>
      <w:r w:rsidRPr="002906A3">
        <w:rPr>
          <w:lang w:val="en-US"/>
        </w:rPr>
        <w:t>following;</w:t>
      </w:r>
      <w:proofErr w:type="gramEnd"/>
    </w:p>
    <w:p w14:paraId="6AF8E27C" w14:textId="77777777" w:rsidR="001E7189" w:rsidRPr="002906A3" w:rsidRDefault="001E7189">
      <w:pPr>
        <w:pStyle w:val="ListeParagraf"/>
        <w:widowControl/>
        <w:numPr>
          <w:ilvl w:val="0"/>
          <w:numId w:val="20"/>
        </w:numPr>
        <w:autoSpaceDE/>
        <w:autoSpaceDN/>
        <w:jc w:val="both"/>
        <w:rPr>
          <w:lang w:val="en-US"/>
        </w:rPr>
      </w:pPr>
      <w:r w:rsidRPr="002906A3">
        <w:rPr>
          <w:lang w:val="en-US"/>
        </w:rPr>
        <w:t xml:space="preserve">Implementation of an internal control system including the </w:t>
      </w:r>
      <w:proofErr w:type="gramStart"/>
      <w:r w:rsidRPr="002906A3">
        <w:rPr>
          <w:lang w:val="en-US"/>
        </w:rPr>
        <w:t>following;</w:t>
      </w:r>
      <w:proofErr w:type="gramEnd"/>
    </w:p>
    <w:p w14:paraId="6915A907" w14:textId="77777777" w:rsidR="001E7189" w:rsidRPr="002906A3" w:rsidRDefault="001E7189">
      <w:pPr>
        <w:pStyle w:val="ListeParagraf"/>
        <w:widowControl/>
        <w:numPr>
          <w:ilvl w:val="0"/>
          <w:numId w:val="21"/>
        </w:numPr>
        <w:autoSpaceDE/>
        <w:autoSpaceDN/>
        <w:jc w:val="both"/>
        <w:rPr>
          <w:lang w:val="en-US"/>
        </w:rPr>
      </w:pPr>
      <w:r w:rsidRPr="002906A3">
        <w:rPr>
          <w:lang w:val="en-US"/>
        </w:rPr>
        <w:t>Systems and procedures for compliance with approved conduct and ethical rules,</w:t>
      </w:r>
    </w:p>
    <w:p w14:paraId="7F0266A7" w14:textId="77777777" w:rsidR="001E7189" w:rsidRPr="002906A3" w:rsidRDefault="001E7189">
      <w:pPr>
        <w:pStyle w:val="ListeParagraf"/>
        <w:widowControl/>
        <w:numPr>
          <w:ilvl w:val="0"/>
          <w:numId w:val="21"/>
        </w:numPr>
        <w:autoSpaceDE/>
        <w:autoSpaceDN/>
        <w:jc w:val="both"/>
        <w:rPr>
          <w:lang w:val="en-US"/>
        </w:rPr>
      </w:pPr>
      <w:r w:rsidRPr="002906A3">
        <w:rPr>
          <w:lang w:val="en-US"/>
        </w:rPr>
        <w:t>Work methodologies and techniques aimed at providing professional services to ensure adherence to approved professional standards,</w:t>
      </w:r>
    </w:p>
    <w:p w14:paraId="1A291134" w14:textId="77777777" w:rsidR="001E7189" w:rsidRPr="002906A3" w:rsidRDefault="001E7189">
      <w:pPr>
        <w:pStyle w:val="ListeParagraf"/>
        <w:widowControl/>
        <w:numPr>
          <w:ilvl w:val="0"/>
          <w:numId w:val="21"/>
        </w:numPr>
        <w:autoSpaceDE/>
        <w:autoSpaceDN/>
        <w:jc w:val="both"/>
        <w:rPr>
          <w:lang w:val="en-US"/>
        </w:rPr>
      </w:pPr>
      <w:r w:rsidRPr="002906A3">
        <w:rPr>
          <w:lang w:val="en-US"/>
        </w:rPr>
        <w:t>A quality control system for professional performance in accordance with the quality control standards approved by the Ministry,</w:t>
      </w:r>
    </w:p>
    <w:p w14:paraId="3485A706" w14:textId="77777777" w:rsidR="001E7189" w:rsidRPr="002906A3" w:rsidRDefault="001E7189">
      <w:pPr>
        <w:pStyle w:val="ListeParagraf"/>
        <w:widowControl/>
        <w:numPr>
          <w:ilvl w:val="0"/>
          <w:numId w:val="21"/>
        </w:numPr>
        <w:autoSpaceDE/>
        <w:autoSpaceDN/>
        <w:jc w:val="both"/>
        <w:rPr>
          <w:lang w:val="en-US"/>
        </w:rPr>
      </w:pPr>
      <w:r w:rsidRPr="002906A3">
        <w:rPr>
          <w:lang w:val="en-US"/>
        </w:rPr>
        <w:t>Continuous professional development for employees,</w:t>
      </w:r>
    </w:p>
    <w:p w14:paraId="06654E53" w14:textId="77777777" w:rsidR="001E7189" w:rsidRPr="002906A3" w:rsidRDefault="001E7189">
      <w:pPr>
        <w:pStyle w:val="ListeParagraf"/>
        <w:widowControl/>
        <w:numPr>
          <w:ilvl w:val="0"/>
          <w:numId w:val="21"/>
        </w:numPr>
        <w:autoSpaceDE/>
        <w:autoSpaceDN/>
        <w:jc w:val="both"/>
        <w:rPr>
          <w:lang w:val="en-US"/>
        </w:rPr>
      </w:pPr>
      <w:r w:rsidRPr="002906A3">
        <w:rPr>
          <w:lang w:val="en-US"/>
        </w:rPr>
        <w:t>Protection and confidentiality of client data and information,</w:t>
      </w:r>
    </w:p>
    <w:p w14:paraId="777A8204" w14:textId="77777777" w:rsidR="001E7189" w:rsidRPr="002906A3" w:rsidRDefault="001E7189">
      <w:pPr>
        <w:pStyle w:val="ListeParagraf"/>
        <w:widowControl/>
        <w:numPr>
          <w:ilvl w:val="0"/>
          <w:numId w:val="21"/>
        </w:numPr>
        <w:autoSpaceDE/>
        <w:autoSpaceDN/>
        <w:jc w:val="both"/>
        <w:rPr>
          <w:lang w:val="en-US"/>
        </w:rPr>
      </w:pPr>
      <w:r w:rsidRPr="002906A3">
        <w:rPr>
          <w:lang w:val="en-US"/>
        </w:rPr>
        <w:t>Existence of a governance structure or system,</w:t>
      </w:r>
    </w:p>
    <w:p w14:paraId="31DAD8AD" w14:textId="77777777" w:rsidR="001E7189" w:rsidRPr="002906A3" w:rsidRDefault="001E7189">
      <w:pPr>
        <w:pStyle w:val="ListeParagraf"/>
        <w:widowControl/>
        <w:numPr>
          <w:ilvl w:val="0"/>
          <w:numId w:val="21"/>
        </w:numPr>
        <w:autoSpaceDE/>
        <w:autoSpaceDN/>
        <w:jc w:val="both"/>
        <w:rPr>
          <w:lang w:val="en-US"/>
        </w:rPr>
      </w:pPr>
      <w:r w:rsidRPr="002906A3">
        <w:rPr>
          <w:lang w:val="en-US"/>
        </w:rPr>
        <w:t>Systems and procedures to comply with anti-money laundering laws in UAE,</w:t>
      </w:r>
    </w:p>
    <w:p w14:paraId="33B73D0A" w14:textId="77777777" w:rsidR="001E7189" w:rsidRPr="002906A3" w:rsidRDefault="001E7189">
      <w:pPr>
        <w:pStyle w:val="ListeParagraf"/>
        <w:widowControl/>
        <w:numPr>
          <w:ilvl w:val="0"/>
          <w:numId w:val="21"/>
        </w:numPr>
        <w:autoSpaceDE/>
        <w:autoSpaceDN/>
        <w:jc w:val="both"/>
        <w:rPr>
          <w:lang w:val="en-US"/>
        </w:rPr>
      </w:pPr>
      <w:r w:rsidRPr="002906A3">
        <w:rPr>
          <w:lang w:val="en-US"/>
        </w:rPr>
        <w:t>To use the Ministry-approved signature for the Certified Public Accountant in the reports prepared and to associate their name and professional license number with the office’s name and professional license number,</w:t>
      </w:r>
    </w:p>
    <w:p w14:paraId="17AD7A75" w14:textId="77777777" w:rsidR="001E7189" w:rsidRDefault="001E7189">
      <w:pPr>
        <w:pStyle w:val="ListeParagraf"/>
        <w:widowControl/>
        <w:numPr>
          <w:ilvl w:val="0"/>
          <w:numId w:val="21"/>
        </w:numPr>
        <w:autoSpaceDE/>
        <w:autoSpaceDN/>
        <w:jc w:val="both"/>
        <w:rPr>
          <w:lang w:val="en-US"/>
        </w:rPr>
      </w:pPr>
      <w:r w:rsidRPr="002906A3">
        <w:rPr>
          <w:lang w:val="en-US"/>
        </w:rPr>
        <w:t>Ensure the integrity and accuracy of the professional services provided.</w:t>
      </w:r>
    </w:p>
    <w:p w14:paraId="79ABC2BB" w14:textId="77777777" w:rsidR="00BA67A6" w:rsidRPr="00BA67A6" w:rsidRDefault="00BA67A6" w:rsidP="00BA67A6">
      <w:pPr>
        <w:widowControl/>
        <w:autoSpaceDE/>
        <w:autoSpaceDN/>
        <w:ind w:left="360"/>
        <w:jc w:val="both"/>
        <w:rPr>
          <w:lang w:val="en-US"/>
        </w:rPr>
      </w:pPr>
    </w:p>
    <w:p w14:paraId="753F9B77" w14:textId="77777777" w:rsidR="001E7189" w:rsidRPr="002906A3" w:rsidRDefault="001E7189">
      <w:pPr>
        <w:pStyle w:val="ListeParagraf"/>
        <w:widowControl/>
        <w:numPr>
          <w:ilvl w:val="0"/>
          <w:numId w:val="20"/>
        </w:numPr>
        <w:autoSpaceDE/>
        <w:autoSpaceDN/>
        <w:jc w:val="both"/>
        <w:rPr>
          <w:lang w:val="en-US"/>
        </w:rPr>
      </w:pPr>
      <w:r w:rsidRPr="002906A3">
        <w:rPr>
          <w:lang w:val="en-US"/>
        </w:rPr>
        <w:t>The accounting office and the certified public accountants working for it must be insured against professional liability, with the entire insurance premium borne by the accounting office,</w:t>
      </w:r>
    </w:p>
    <w:p w14:paraId="243C1094" w14:textId="77777777" w:rsidR="001E7189" w:rsidRPr="002906A3" w:rsidRDefault="001E7189">
      <w:pPr>
        <w:pStyle w:val="ListeParagraf"/>
        <w:widowControl/>
        <w:numPr>
          <w:ilvl w:val="0"/>
          <w:numId w:val="20"/>
        </w:numPr>
        <w:autoSpaceDE/>
        <w:autoSpaceDN/>
        <w:jc w:val="both"/>
        <w:rPr>
          <w:lang w:val="en-US"/>
        </w:rPr>
      </w:pPr>
      <w:r w:rsidRPr="002906A3">
        <w:rPr>
          <w:lang w:val="en-US"/>
        </w:rPr>
        <w:t>Submit reports, supporting documents, and working papers to the Ministry via means specified by the Ministry upon request,</w:t>
      </w:r>
    </w:p>
    <w:p w14:paraId="2F54CA45" w14:textId="45A31064" w:rsidR="001E7189" w:rsidRPr="002906A3" w:rsidRDefault="001E7189">
      <w:pPr>
        <w:pStyle w:val="ListeParagraf"/>
        <w:widowControl/>
        <w:numPr>
          <w:ilvl w:val="0"/>
          <w:numId w:val="20"/>
        </w:numPr>
        <w:autoSpaceDE/>
        <w:autoSpaceDN/>
        <w:jc w:val="both"/>
        <w:rPr>
          <w:lang w:val="en-US"/>
        </w:rPr>
      </w:pPr>
      <w:r w:rsidRPr="002906A3">
        <w:rPr>
          <w:lang w:val="en-US"/>
        </w:rPr>
        <w:t xml:space="preserve">Provide the Ministry with </w:t>
      </w:r>
      <w:proofErr w:type="gramStart"/>
      <w:r w:rsidRPr="002906A3">
        <w:rPr>
          <w:lang w:val="en-US"/>
        </w:rPr>
        <w:t>necessary</w:t>
      </w:r>
      <w:proofErr w:type="gramEnd"/>
      <w:r w:rsidRPr="002906A3">
        <w:rPr>
          <w:lang w:val="en-US"/>
        </w:rPr>
        <w:t xml:space="preserve"> data regarding their activities when requested,</w:t>
      </w:r>
    </w:p>
    <w:p w14:paraId="594EA409" w14:textId="2A7D773D" w:rsidR="001E7189" w:rsidRDefault="001E7189">
      <w:pPr>
        <w:pStyle w:val="ListeParagraf"/>
        <w:widowControl/>
        <w:numPr>
          <w:ilvl w:val="0"/>
          <w:numId w:val="20"/>
        </w:numPr>
        <w:autoSpaceDE/>
        <w:autoSpaceDN/>
        <w:jc w:val="both"/>
        <w:rPr>
          <w:lang w:val="en-US"/>
        </w:rPr>
      </w:pPr>
      <w:r w:rsidRPr="002906A3">
        <w:rPr>
          <w:lang w:val="en-US"/>
        </w:rPr>
        <w:lastRenderedPageBreak/>
        <w:t>Notify the Ministry and relevant authorities of any fraud, money laundering, or suspicion thereof that arises during the performance of professional services.</w:t>
      </w:r>
    </w:p>
    <w:p w14:paraId="28C5D683" w14:textId="77777777" w:rsidR="00BA67A6" w:rsidRPr="00BA67A6" w:rsidRDefault="00BA67A6">
      <w:pPr>
        <w:pStyle w:val="ListeParagraf"/>
        <w:widowControl/>
        <w:numPr>
          <w:ilvl w:val="0"/>
          <w:numId w:val="20"/>
        </w:numPr>
        <w:autoSpaceDE/>
        <w:autoSpaceDN/>
        <w:jc w:val="both"/>
        <w:rPr>
          <w:lang w:val="en-US"/>
        </w:rPr>
      </w:pPr>
    </w:p>
    <w:p w14:paraId="38F7C589" w14:textId="62D2D9EB" w:rsidR="001E7189" w:rsidRPr="002906A3" w:rsidRDefault="001E7189" w:rsidP="00BA67A6">
      <w:pPr>
        <w:ind w:left="360"/>
        <w:jc w:val="both"/>
        <w:rPr>
          <w:b/>
          <w:bCs/>
          <w:lang w:val="en-US"/>
        </w:rPr>
      </w:pPr>
      <w:r w:rsidRPr="002906A3">
        <w:rPr>
          <w:b/>
          <w:bCs/>
          <w:lang w:val="en-US"/>
        </w:rPr>
        <w:t>3</w:t>
      </w:r>
      <w:r w:rsidR="006871AB" w:rsidRPr="002906A3">
        <w:rPr>
          <w:b/>
          <w:bCs/>
          <w:lang w:val="en-US"/>
        </w:rPr>
        <w:t>. Accounting Profession İn Turkish Accounting System</w:t>
      </w:r>
    </w:p>
    <w:p w14:paraId="0481E282" w14:textId="05DB4423" w:rsidR="00BA67A6" w:rsidRPr="002906A3" w:rsidRDefault="001E7189" w:rsidP="00BA67A6">
      <w:pPr>
        <w:ind w:left="360"/>
        <w:jc w:val="both"/>
        <w:rPr>
          <w:lang w:val="en-US"/>
        </w:rPr>
      </w:pPr>
      <w:r w:rsidRPr="002906A3">
        <w:rPr>
          <w:lang w:val="en-US"/>
        </w:rPr>
        <w:t>Although the first bill for accounting professions was prepared in 1932, it was not implemented and is now kept in the Ministry of Treasury and Finance archives. In 1989, it was not compulsory to have an accounting education to work as an accountant in Turkey. The Law of Accounting Profession (Law No. 3568), published in the Official Gazette on June 13, 1989 (Issue No. 20194) filled this gap. According to the profession's law, accountants and auditors are divided into three categories. As indicated by the name of the law, these categories are (Terzi, 2015</w:t>
      </w:r>
      <w:proofErr w:type="gramStart"/>
      <w:r w:rsidRPr="002906A3">
        <w:rPr>
          <w:lang w:val="en-US"/>
        </w:rPr>
        <w:t>);</w:t>
      </w:r>
      <w:proofErr w:type="gramEnd"/>
    </w:p>
    <w:p w14:paraId="0C7CDE28" w14:textId="77777777" w:rsidR="001E7189" w:rsidRPr="002906A3" w:rsidRDefault="001E7189">
      <w:pPr>
        <w:pStyle w:val="ListeParagraf"/>
        <w:widowControl/>
        <w:numPr>
          <w:ilvl w:val="0"/>
          <w:numId w:val="20"/>
        </w:numPr>
        <w:autoSpaceDE/>
        <w:autoSpaceDN/>
        <w:jc w:val="both"/>
        <w:rPr>
          <w:lang w:val="en-US"/>
        </w:rPr>
      </w:pPr>
      <w:r w:rsidRPr="002906A3">
        <w:rPr>
          <w:lang w:val="en-US"/>
        </w:rPr>
        <w:t>Public Accountant,</w:t>
      </w:r>
    </w:p>
    <w:p w14:paraId="2D636AE4" w14:textId="1BB8A1F9" w:rsidR="001E7189" w:rsidRPr="002906A3" w:rsidRDefault="001E7189">
      <w:pPr>
        <w:pStyle w:val="ListeParagraf"/>
        <w:widowControl/>
        <w:numPr>
          <w:ilvl w:val="0"/>
          <w:numId w:val="20"/>
        </w:numPr>
        <w:autoSpaceDE/>
        <w:autoSpaceDN/>
        <w:jc w:val="both"/>
        <w:rPr>
          <w:lang w:val="en-US"/>
        </w:rPr>
      </w:pPr>
      <w:r w:rsidRPr="002906A3">
        <w:rPr>
          <w:lang w:val="en-US"/>
        </w:rPr>
        <w:t>Certified Public Accountant and</w:t>
      </w:r>
    </w:p>
    <w:p w14:paraId="5A0875CF" w14:textId="77777777" w:rsidR="001E7189" w:rsidRDefault="001E7189">
      <w:pPr>
        <w:pStyle w:val="ListeParagraf"/>
        <w:widowControl/>
        <w:numPr>
          <w:ilvl w:val="0"/>
          <w:numId w:val="20"/>
        </w:numPr>
        <w:autoSpaceDE/>
        <w:autoSpaceDN/>
        <w:jc w:val="both"/>
        <w:rPr>
          <w:lang w:val="en-US"/>
        </w:rPr>
      </w:pPr>
      <w:r w:rsidRPr="002906A3">
        <w:rPr>
          <w:lang w:val="en-US"/>
        </w:rPr>
        <w:t>Sworn-in Certified Public Accountant.</w:t>
      </w:r>
    </w:p>
    <w:p w14:paraId="4F324ADF" w14:textId="77777777" w:rsidR="00BA67A6" w:rsidRPr="002906A3" w:rsidRDefault="00BA67A6" w:rsidP="00BA67A6">
      <w:pPr>
        <w:pStyle w:val="ListeParagraf"/>
        <w:widowControl/>
        <w:autoSpaceDE/>
        <w:autoSpaceDN/>
        <w:ind w:left="360"/>
        <w:jc w:val="both"/>
        <w:rPr>
          <w:lang w:val="en-US"/>
        </w:rPr>
      </w:pPr>
    </w:p>
    <w:p w14:paraId="119C5CE5" w14:textId="77777777" w:rsidR="001E7189" w:rsidRDefault="001E7189" w:rsidP="00BA67A6">
      <w:pPr>
        <w:ind w:left="360"/>
        <w:jc w:val="both"/>
        <w:rPr>
          <w:lang w:val="en-US"/>
        </w:rPr>
      </w:pPr>
      <w:r w:rsidRPr="002906A3">
        <w:rPr>
          <w:lang w:val="en-US"/>
        </w:rPr>
        <w:t>In 2008, with the amendment made by Law No. 5786, the title of “Public Accountant” was abolished, and the profession continued with two titles: “Certified Public Accountant” and “Sworn-in Certified Public Accountant”.</w:t>
      </w:r>
    </w:p>
    <w:p w14:paraId="5EC7C424" w14:textId="77777777" w:rsidR="00BA67A6" w:rsidRPr="002906A3" w:rsidRDefault="00BA67A6" w:rsidP="00BA67A6">
      <w:pPr>
        <w:ind w:left="360"/>
        <w:jc w:val="both"/>
        <w:rPr>
          <w:lang w:val="en-US"/>
        </w:rPr>
      </w:pPr>
    </w:p>
    <w:p w14:paraId="36A476BD" w14:textId="77777777" w:rsidR="001E7189" w:rsidRDefault="001E7189" w:rsidP="00BA67A6">
      <w:pPr>
        <w:ind w:left="360"/>
        <w:jc w:val="both"/>
        <w:rPr>
          <w:lang w:val="en-US"/>
        </w:rPr>
      </w:pPr>
      <w:r w:rsidRPr="002906A3">
        <w:rPr>
          <w:lang w:val="en-US"/>
        </w:rPr>
        <w:t>The body responsible for the accounting profession in Turkey is the Union of Certified Public Accountants and Sworn-in Certified Public Accountants (TÜRMOB). The union is the only authority authorized to grant professional licenses. qualifications required to become a member of the profession are defined by law, and only professionals licensed by TÜRMOB can provide professional services (Kaya, 2021). The requirements to become a professional member are divided into general and specific conditions. Article 4 of Law No. 3568 defines the general requirements to become a member of the profession. According to this article, the general requirements to become a professional member are as follows (Certified Public Accountant and Sworn-in Certified Public Accountant Law, 1989</w:t>
      </w:r>
      <w:proofErr w:type="gramStart"/>
      <w:r w:rsidRPr="002906A3">
        <w:rPr>
          <w:lang w:val="en-US"/>
        </w:rPr>
        <w:t>);</w:t>
      </w:r>
      <w:proofErr w:type="gramEnd"/>
    </w:p>
    <w:p w14:paraId="66BC9BF5" w14:textId="77777777" w:rsidR="00BA67A6" w:rsidRPr="002906A3" w:rsidRDefault="00BA67A6" w:rsidP="00BA67A6">
      <w:pPr>
        <w:ind w:left="360"/>
        <w:jc w:val="both"/>
        <w:rPr>
          <w:lang w:val="en-US"/>
        </w:rPr>
      </w:pPr>
    </w:p>
    <w:p w14:paraId="5E6BF751" w14:textId="77777777" w:rsidR="001E7189" w:rsidRPr="002906A3" w:rsidRDefault="001E7189">
      <w:pPr>
        <w:pStyle w:val="ListeParagraf"/>
        <w:widowControl/>
        <w:numPr>
          <w:ilvl w:val="0"/>
          <w:numId w:val="20"/>
        </w:numPr>
        <w:autoSpaceDE/>
        <w:autoSpaceDN/>
        <w:jc w:val="both"/>
        <w:rPr>
          <w:lang w:val="en-US"/>
        </w:rPr>
      </w:pPr>
      <w:r w:rsidRPr="002906A3">
        <w:rPr>
          <w:lang w:val="en-US"/>
        </w:rPr>
        <w:t>Being a Turkish national,</w:t>
      </w:r>
    </w:p>
    <w:p w14:paraId="6EFBC347" w14:textId="77777777" w:rsidR="001E7189" w:rsidRPr="002906A3" w:rsidRDefault="001E7189">
      <w:pPr>
        <w:pStyle w:val="ListeParagraf"/>
        <w:widowControl/>
        <w:numPr>
          <w:ilvl w:val="0"/>
          <w:numId w:val="20"/>
        </w:numPr>
        <w:autoSpaceDE/>
        <w:autoSpaceDN/>
        <w:jc w:val="both"/>
        <w:rPr>
          <w:lang w:val="en-US"/>
        </w:rPr>
      </w:pPr>
      <w:r w:rsidRPr="002906A3">
        <w:rPr>
          <w:lang w:val="en-US"/>
        </w:rPr>
        <w:t>Have the legal capacity to exercise civil rights and not be deprived of public rights,</w:t>
      </w:r>
    </w:p>
    <w:p w14:paraId="4B7F675D" w14:textId="77777777" w:rsidR="001E7189" w:rsidRPr="002906A3" w:rsidRDefault="001E7189">
      <w:pPr>
        <w:pStyle w:val="ListeParagraf"/>
        <w:widowControl/>
        <w:numPr>
          <w:ilvl w:val="0"/>
          <w:numId w:val="20"/>
        </w:numPr>
        <w:autoSpaceDE/>
        <w:autoSpaceDN/>
        <w:jc w:val="both"/>
        <w:rPr>
          <w:lang w:val="en-US"/>
        </w:rPr>
      </w:pPr>
      <w:r w:rsidRPr="002906A3">
        <w:rPr>
          <w:lang w:val="en-US"/>
        </w:rPr>
        <w:t>Even if the periods specified in Article 53 of the Turkish Penal Code have passed; the individual must not have been convicted of any crimes such as offenses against the security of the state, constitutional order, embezzlement, bribery, theft, fraud, forgery, abuse of trust, fraudulent bankruptcy, rigging tenders, tampering with obligations, money laundering, or smuggling, even if they have served a sentence of one year or more, or have been pardoned.,</w:t>
      </w:r>
    </w:p>
    <w:p w14:paraId="71AD3C44" w14:textId="77777777" w:rsidR="001E7189" w:rsidRPr="002906A3" w:rsidRDefault="001E7189">
      <w:pPr>
        <w:pStyle w:val="ListeParagraf"/>
        <w:widowControl/>
        <w:numPr>
          <w:ilvl w:val="0"/>
          <w:numId w:val="20"/>
        </w:numPr>
        <w:autoSpaceDE/>
        <w:autoSpaceDN/>
        <w:jc w:val="both"/>
        <w:rPr>
          <w:lang w:val="en-US"/>
        </w:rPr>
      </w:pPr>
      <w:r w:rsidRPr="002906A3">
        <w:rPr>
          <w:lang w:val="en-US"/>
        </w:rPr>
        <w:t xml:space="preserve">Must not have been dismissed from office </w:t>
      </w:r>
      <w:proofErr w:type="gramStart"/>
      <w:r w:rsidRPr="002906A3">
        <w:rPr>
          <w:lang w:val="en-US"/>
        </w:rPr>
        <w:t>as a result of</w:t>
      </w:r>
      <w:proofErr w:type="gramEnd"/>
      <w:r w:rsidRPr="002906A3">
        <w:rPr>
          <w:lang w:val="en-US"/>
        </w:rPr>
        <w:t xml:space="preserve"> a criminal or disciplinary investigation,</w:t>
      </w:r>
    </w:p>
    <w:p w14:paraId="1DEDE29C" w14:textId="77777777" w:rsidR="001E7189" w:rsidRDefault="001E7189">
      <w:pPr>
        <w:pStyle w:val="ListeParagraf"/>
        <w:widowControl/>
        <w:numPr>
          <w:ilvl w:val="0"/>
          <w:numId w:val="20"/>
        </w:numPr>
        <w:autoSpaceDE/>
        <w:autoSpaceDN/>
        <w:jc w:val="both"/>
        <w:rPr>
          <w:lang w:val="en-US"/>
        </w:rPr>
      </w:pPr>
      <w:r w:rsidRPr="002906A3">
        <w:rPr>
          <w:lang w:val="en-US"/>
        </w:rPr>
        <w:t>must not have any situations that are incompatible with the honor and dignity of the profession.</w:t>
      </w:r>
    </w:p>
    <w:p w14:paraId="4AE19867" w14:textId="77777777" w:rsidR="00BA67A6" w:rsidRPr="002906A3" w:rsidRDefault="00BA67A6">
      <w:pPr>
        <w:pStyle w:val="ListeParagraf"/>
        <w:widowControl/>
        <w:numPr>
          <w:ilvl w:val="0"/>
          <w:numId w:val="20"/>
        </w:numPr>
        <w:autoSpaceDE/>
        <w:autoSpaceDN/>
        <w:jc w:val="both"/>
        <w:rPr>
          <w:lang w:val="en-US"/>
        </w:rPr>
      </w:pPr>
    </w:p>
    <w:p w14:paraId="4A1B2F59" w14:textId="77777777" w:rsidR="001E7189" w:rsidRDefault="001E7189" w:rsidP="00BA67A6">
      <w:pPr>
        <w:ind w:left="360"/>
        <w:jc w:val="both"/>
        <w:rPr>
          <w:lang w:val="en-US"/>
        </w:rPr>
      </w:pPr>
      <w:r w:rsidRPr="002906A3">
        <w:rPr>
          <w:lang w:val="en-US"/>
        </w:rPr>
        <w:t>According to Law No. 3568, the following specific requirements are needed to become a Certified Public Accountant (Certified Public Accountant and Sworn-in Certified Public Accountant Law, 1989, 3568</w:t>
      </w:r>
      <w:proofErr w:type="gramStart"/>
      <w:r w:rsidRPr="002906A3">
        <w:rPr>
          <w:lang w:val="en-US"/>
        </w:rPr>
        <w:t>);</w:t>
      </w:r>
      <w:proofErr w:type="gramEnd"/>
    </w:p>
    <w:p w14:paraId="693AC34A" w14:textId="77777777" w:rsidR="00BA67A6" w:rsidRPr="002906A3" w:rsidRDefault="00BA67A6" w:rsidP="00BA67A6">
      <w:pPr>
        <w:ind w:left="360"/>
        <w:jc w:val="both"/>
        <w:rPr>
          <w:lang w:val="en-US"/>
        </w:rPr>
      </w:pPr>
    </w:p>
    <w:p w14:paraId="7FF945D7" w14:textId="53BA6AFF" w:rsidR="00BA67A6" w:rsidRPr="00BA67A6" w:rsidRDefault="001E7189">
      <w:pPr>
        <w:pStyle w:val="ListeParagraf"/>
        <w:widowControl/>
        <w:numPr>
          <w:ilvl w:val="0"/>
          <w:numId w:val="20"/>
        </w:numPr>
        <w:autoSpaceDE/>
        <w:autoSpaceDN/>
        <w:jc w:val="both"/>
        <w:rPr>
          <w:lang w:val="en-US"/>
        </w:rPr>
      </w:pPr>
      <w:r w:rsidRPr="002906A3">
        <w:rPr>
          <w:lang w:val="en-US"/>
        </w:rPr>
        <w:t xml:space="preserve">Must have graduated from faculties and higher education institutions providing education in the fields of law, economics, finance, business, accounting, banking, public </w:t>
      </w:r>
      <w:r w:rsidRPr="002906A3">
        <w:rPr>
          <w:lang w:val="en-US"/>
        </w:rPr>
        <w:lastRenderedPageBreak/>
        <w:t>administration, and political sciences, or from foreign institutions accredited by the Higher Education Council, with at least a bachelor's degree, or must hold a postgraduate diploma in the fields specified in this clause from other educational institutions,</w:t>
      </w:r>
    </w:p>
    <w:p w14:paraId="26FE74F6"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completed at least three years of internship,</w:t>
      </w:r>
    </w:p>
    <w:p w14:paraId="0AD9D597"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passed the free accounting and financial consultancy exam,</w:t>
      </w:r>
    </w:p>
    <w:p w14:paraId="61E3BBA0" w14:textId="152A988A" w:rsidR="001E7189" w:rsidRDefault="001E7189">
      <w:pPr>
        <w:pStyle w:val="ListeParagraf"/>
        <w:widowControl/>
        <w:numPr>
          <w:ilvl w:val="0"/>
          <w:numId w:val="20"/>
        </w:numPr>
        <w:autoSpaceDE/>
        <w:autoSpaceDN/>
        <w:jc w:val="both"/>
        <w:rPr>
          <w:lang w:val="en-US"/>
        </w:rPr>
      </w:pPr>
      <w:r w:rsidRPr="002906A3">
        <w:rPr>
          <w:lang w:val="en-US"/>
        </w:rPr>
        <w:t>must have obtained the license for free accounting and financial consultancy.</w:t>
      </w:r>
    </w:p>
    <w:p w14:paraId="05B39819" w14:textId="77777777" w:rsidR="00BA67A6" w:rsidRPr="002906A3" w:rsidRDefault="00BA67A6" w:rsidP="00BA67A6">
      <w:pPr>
        <w:pStyle w:val="ListeParagraf"/>
        <w:widowControl/>
        <w:autoSpaceDE/>
        <w:autoSpaceDN/>
        <w:ind w:left="360"/>
        <w:jc w:val="both"/>
        <w:rPr>
          <w:lang w:val="en-US"/>
        </w:rPr>
      </w:pPr>
    </w:p>
    <w:p w14:paraId="78A1C4AF" w14:textId="77777777" w:rsidR="001E7189" w:rsidRPr="002906A3" w:rsidRDefault="001E7189" w:rsidP="00BA67A6">
      <w:pPr>
        <w:ind w:left="360"/>
        <w:jc w:val="both"/>
        <w:rPr>
          <w:lang w:val="en-US"/>
        </w:rPr>
      </w:pPr>
      <w:r w:rsidRPr="002906A3">
        <w:rPr>
          <w:lang w:val="en-US"/>
        </w:rPr>
        <w:t xml:space="preserve">The rights granted to professionals carrying the title of Certified Public Accountant under Law No. 3568 are regulated equivalently to those of professionals who perform audits under the title of CPA (Certified Public Accountant or Expert </w:t>
      </w:r>
      <w:proofErr w:type="spellStart"/>
      <w:r w:rsidRPr="002906A3">
        <w:rPr>
          <w:lang w:val="en-US"/>
        </w:rPr>
        <w:t>Comptable</w:t>
      </w:r>
      <w:proofErr w:type="spellEnd"/>
      <w:r w:rsidRPr="002906A3">
        <w:rPr>
          <w:lang w:val="en-US"/>
        </w:rPr>
        <w:t>) in foreign countries. According to Law No. 3568, the following are the requirements to become a Sworn-in Certified Public Accountant:( Certified Public Accountant and Sworn-in Certified Public Accountant Law, 1989, 3568</w:t>
      </w:r>
      <w:proofErr w:type="gramStart"/>
      <w:r w:rsidRPr="002906A3">
        <w:rPr>
          <w:lang w:val="en-US"/>
        </w:rPr>
        <w:t>);</w:t>
      </w:r>
      <w:proofErr w:type="gramEnd"/>
    </w:p>
    <w:p w14:paraId="71036C6D"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worked as a Certified Public Accountant for at least 10 years,</w:t>
      </w:r>
    </w:p>
    <w:p w14:paraId="2B637F5F" w14:textId="77777777" w:rsidR="001E7189" w:rsidRPr="002906A3" w:rsidRDefault="001E7189">
      <w:pPr>
        <w:pStyle w:val="ListeParagraf"/>
        <w:widowControl/>
        <w:numPr>
          <w:ilvl w:val="0"/>
          <w:numId w:val="20"/>
        </w:numPr>
        <w:autoSpaceDE/>
        <w:autoSpaceDN/>
        <w:jc w:val="both"/>
        <w:rPr>
          <w:lang w:val="en-US"/>
        </w:rPr>
      </w:pPr>
      <w:r w:rsidRPr="002906A3">
        <w:rPr>
          <w:lang w:val="en-US"/>
        </w:rPr>
        <w:t>must have passed the Sworn-in Certified Public Accountant exam,</w:t>
      </w:r>
    </w:p>
    <w:p w14:paraId="231A1709" w14:textId="1E2A99C3" w:rsidR="001E7189" w:rsidRPr="002906A3" w:rsidRDefault="001E7189">
      <w:pPr>
        <w:pStyle w:val="ListeParagraf"/>
        <w:widowControl/>
        <w:numPr>
          <w:ilvl w:val="0"/>
          <w:numId w:val="20"/>
        </w:numPr>
        <w:autoSpaceDE/>
        <w:autoSpaceDN/>
        <w:jc w:val="both"/>
        <w:rPr>
          <w:lang w:val="en-US"/>
        </w:rPr>
      </w:pPr>
      <w:r w:rsidRPr="002906A3">
        <w:rPr>
          <w:lang w:val="en-US"/>
        </w:rPr>
        <w:t>must have obtained the Sworn-in Certified Public Accountant license,</w:t>
      </w:r>
    </w:p>
    <w:p w14:paraId="3AF27E99" w14:textId="63598715" w:rsidR="001E7189" w:rsidRPr="002906A3" w:rsidRDefault="001E7189" w:rsidP="00BA67A6">
      <w:pPr>
        <w:ind w:left="360"/>
        <w:jc w:val="both"/>
        <w:rPr>
          <w:lang w:val="en-US"/>
        </w:rPr>
      </w:pPr>
      <w:r w:rsidRPr="002906A3">
        <w:rPr>
          <w:lang w:val="en-US"/>
        </w:rPr>
        <w:t>According to Article 18 of Certified Public Accountant and Sworn-in Certified Public Accountant Law, the professional tasks of a Certified Public Accountant include the following (Certified Public Accountant and Sworn-in Certified Public Accountant Law, Art. 18</w:t>
      </w:r>
      <w:proofErr w:type="gramStart"/>
      <w:r w:rsidRPr="002906A3">
        <w:rPr>
          <w:lang w:val="en-US"/>
        </w:rPr>
        <w:t>);</w:t>
      </w:r>
      <w:proofErr w:type="gramEnd"/>
    </w:p>
    <w:p w14:paraId="03EF949E" w14:textId="77777777" w:rsidR="001E7189" w:rsidRPr="002906A3" w:rsidRDefault="001E7189">
      <w:pPr>
        <w:pStyle w:val="ListeParagraf"/>
        <w:widowControl/>
        <w:numPr>
          <w:ilvl w:val="0"/>
          <w:numId w:val="20"/>
        </w:numPr>
        <w:autoSpaceDE/>
        <w:autoSpaceDN/>
        <w:jc w:val="both"/>
        <w:rPr>
          <w:lang w:val="en-US"/>
        </w:rPr>
      </w:pPr>
      <w:r w:rsidRPr="002906A3">
        <w:rPr>
          <w:lang w:val="en-US"/>
        </w:rPr>
        <w:t>Enterprises and businesses owned by individuals and legal entities,</w:t>
      </w:r>
    </w:p>
    <w:p w14:paraId="19252D7E" w14:textId="77777777" w:rsidR="001E7189" w:rsidRPr="002906A3" w:rsidRDefault="001E7189">
      <w:pPr>
        <w:pStyle w:val="ListeParagraf"/>
        <w:widowControl/>
        <w:numPr>
          <w:ilvl w:val="0"/>
          <w:numId w:val="20"/>
        </w:numPr>
        <w:autoSpaceDE/>
        <w:autoSpaceDN/>
        <w:jc w:val="both"/>
        <w:rPr>
          <w:lang w:val="en-US"/>
        </w:rPr>
      </w:pPr>
      <w:r w:rsidRPr="002906A3">
        <w:rPr>
          <w:lang w:val="en-US"/>
        </w:rPr>
        <w:t>to keep their books in accordance with generally accepted accounting principles and relevant legal provisions, prepare balance sheets, income statements, tax returns, and other related documents, and perform similar tasks,</w:t>
      </w:r>
    </w:p>
    <w:p w14:paraId="424F082D" w14:textId="77777777" w:rsidR="001E7189" w:rsidRPr="002906A3" w:rsidRDefault="001E7189">
      <w:pPr>
        <w:pStyle w:val="ListeParagraf"/>
        <w:widowControl/>
        <w:numPr>
          <w:ilvl w:val="0"/>
          <w:numId w:val="20"/>
        </w:numPr>
        <w:autoSpaceDE/>
        <w:autoSpaceDN/>
        <w:jc w:val="both"/>
        <w:rPr>
          <w:lang w:val="en-US"/>
        </w:rPr>
      </w:pPr>
      <w:r w:rsidRPr="002906A3">
        <w:rPr>
          <w:lang w:val="en-US"/>
        </w:rPr>
        <w:t>to establish and develop accounting systems, regulate operations related to business, accounting, finance, financial regulations, and their applications, or provide consultancy in these areas,</w:t>
      </w:r>
    </w:p>
    <w:p w14:paraId="6CF9722C" w14:textId="77777777" w:rsidR="001E7189" w:rsidRPr="002906A3" w:rsidRDefault="001E7189">
      <w:pPr>
        <w:pStyle w:val="ListeParagraf"/>
        <w:widowControl/>
        <w:numPr>
          <w:ilvl w:val="0"/>
          <w:numId w:val="20"/>
        </w:numPr>
        <w:autoSpaceDE/>
        <w:autoSpaceDN/>
        <w:jc w:val="both"/>
        <w:rPr>
          <w:lang w:val="en-US"/>
        </w:rPr>
      </w:pPr>
      <w:r w:rsidRPr="002906A3">
        <w:rPr>
          <w:lang w:val="en-US"/>
        </w:rPr>
        <w:t>to examine, analyze, and audit, based on the documents mentioned in the above paragraph, to provide written opinions on financial statements and tax returns, to prepare reports and similar documents, and to perform arbitration, expert witness work, and similar tasks,</w:t>
      </w:r>
    </w:p>
    <w:p w14:paraId="389DFB4B" w14:textId="77777777" w:rsidR="001E7189" w:rsidRPr="002906A3" w:rsidRDefault="001E7189">
      <w:pPr>
        <w:pStyle w:val="ListeParagraf"/>
        <w:widowControl/>
        <w:numPr>
          <w:ilvl w:val="0"/>
          <w:numId w:val="20"/>
        </w:numPr>
        <w:autoSpaceDE/>
        <w:autoSpaceDN/>
        <w:jc w:val="both"/>
        <w:rPr>
          <w:lang w:val="en-US"/>
        </w:rPr>
      </w:pPr>
      <w:r w:rsidRPr="002906A3">
        <w:rPr>
          <w:lang w:val="en-US"/>
        </w:rPr>
        <w:t>to perform the tasks specified by the relevant legislation and those determined by the official authorities,</w:t>
      </w:r>
    </w:p>
    <w:p w14:paraId="1FBE4916" w14:textId="77777777" w:rsidR="001E7189" w:rsidRPr="002906A3" w:rsidRDefault="001E7189">
      <w:pPr>
        <w:pStyle w:val="ListeParagraf"/>
        <w:widowControl/>
        <w:numPr>
          <w:ilvl w:val="0"/>
          <w:numId w:val="20"/>
        </w:numPr>
        <w:autoSpaceDE/>
        <w:autoSpaceDN/>
        <w:jc w:val="both"/>
        <w:rPr>
          <w:lang w:val="en-US"/>
        </w:rPr>
      </w:pPr>
      <w:r w:rsidRPr="002906A3">
        <w:rPr>
          <w:lang w:val="en-US"/>
        </w:rPr>
        <w:t>to transfer the documents submitted by the taxpayers to the relevant books, in compliance with the Accounting System Application Communiqués and general accounting principles, in a timely manner,</w:t>
      </w:r>
    </w:p>
    <w:p w14:paraId="6206867D" w14:textId="77777777" w:rsidR="001E7189" w:rsidRPr="002906A3" w:rsidRDefault="001E7189">
      <w:pPr>
        <w:pStyle w:val="ListeParagraf"/>
        <w:widowControl/>
        <w:numPr>
          <w:ilvl w:val="0"/>
          <w:numId w:val="20"/>
        </w:numPr>
        <w:autoSpaceDE/>
        <w:autoSpaceDN/>
        <w:jc w:val="both"/>
        <w:rPr>
          <w:lang w:val="en-US"/>
        </w:rPr>
      </w:pPr>
      <w:r w:rsidRPr="002906A3">
        <w:rPr>
          <w:lang w:val="en-US"/>
        </w:rPr>
        <w:t>not to use misleading or counterfeit documents due to their content, which can be understood without external research, or knowingly used,</w:t>
      </w:r>
    </w:p>
    <w:p w14:paraId="2F625DC6" w14:textId="77777777" w:rsidR="001E7189" w:rsidRPr="002906A3" w:rsidRDefault="001E7189">
      <w:pPr>
        <w:pStyle w:val="ListeParagraf"/>
        <w:widowControl/>
        <w:numPr>
          <w:ilvl w:val="0"/>
          <w:numId w:val="20"/>
        </w:numPr>
        <w:autoSpaceDE/>
        <w:autoSpaceDN/>
        <w:jc w:val="both"/>
        <w:rPr>
          <w:lang w:val="en-US"/>
        </w:rPr>
      </w:pPr>
      <w:r w:rsidRPr="002906A3">
        <w:rPr>
          <w:lang w:val="en-US"/>
        </w:rPr>
        <w:t>not to use documents that are disproportionate to the business activity and size of the company in terms of their quantity and amounts, and are not in line with the laws, commercial customs, and usages,</w:t>
      </w:r>
    </w:p>
    <w:p w14:paraId="6BB45223" w14:textId="7CA02823" w:rsidR="001E7189" w:rsidRDefault="001E7189">
      <w:pPr>
        <w:pStyle w:val="ListeParagraf"/>
        <w:widowControl/>
        <w:numPr>
          <w:ilvl w:val="0"/>
          <w:numId w:val="20"/>
        </w:numPr>
        <w:autoSpaceDE/>
        <w:autoSpaceDN/>
        <w:jc w:val="both"/>
        <w:rPr>
          <w:lang w:val="en-US"/>
        </w:rPr>
      </w:pPr>
      <w:r w:rsidRPr="002906A3">
        <w:rPr>
          <w:lang w:val="en-US"/>
        </w:rPr>
        <w:t>not to make incorrect calculations, even by mistake, and not to make entries that are contrary to the Uniform Accounting System.</w:t>
      </w:r>
    </w:p>
    <w:p w14:paraId="6A466F9E" w14:textId="77777777" w:rsidR="00BA67A6" w:rsidRPr="002906A3" w:rsidRDefault="00BA67A6" w:rsidP="00BA67A6">
      <w:pPr>
        <w:pStyle w:val="ListeParagraf"/>
        <w:widowControl/>
        <w:autoSpaceDE/>
        <w:autoSpaceDN/>
        <w:ind w:left="360"/>
        <w:jc w:val="both"/>
        <w:rPr>
          <w:lang w:val="en-US"/>
        </w:rPr>
      </w:pPr>
    </w:p>
    <w:p w14:paraId="7FC0076A" w14:textId="77777777" w:rsidR="001E7189" w:rsidRPr="002906A3" w:rsidRDefault="001E7189" w:rsidP="00BA67A6">
      <w:pPr>
        <w:ind w:left="360"/>
        <w:jc w:val="both"/>
        <w:rPr>
          <w:lang w:val="en-US"/>
        </w:rPr>
      </w:pPr>
      <w:r w:rsidRPr="002906A3">
        <w:rPr>
          <w:lang w:val="en-US"/>
        </w:rPr>
        <w:t xml:space="preserve">Sworn-in Certified Public Accountants can perform certification tasks as specified in the regulation to be issued according to Article 12 of Law No. 3568, but Certified Public Accountants do not have such authority. Moreover, Sworn-in Certified Public Accountants cannot perform bookkeeping tasks, open accounting offices, or become partners in </w:t>
      </w:r>
      <w:r w:rsidRPr="002906A3">
        <w:rPr>
          <w:lang w:val="en-US"/>
        </w:rPr>
        <w:lastRenderedPageBreak/>
        <w:t>accounting offices like Certified Public Accountants (Tofan, 2019). According to the latest data from the TÜRMOB, there are currently 128719 Certified Public Accountants and 5112 Sworn-in Certified Public Accountants practicing in Turkey (TÜRMOB, 2025).</w:t>
      </w:r>
    </w:p>
    <w:p w14:paraId="04E973B5" w14:textId="77777777" w:rsidR="001E7189" w:rsidRPr="002906A3" w:rsidRDefault="001E7189" w:rsidP="00BA67A6">
      <w:pPr>
        <w:ind w:left="360"/>
        <w:jc w:val="both"/>
        <w:rPr>
          <w:lang w:val="en-US"/>
        </w:rPr>
      </w:pPr>
    </w:p>
    <w:p w14:paraId="0B08A685" w14:textId="493F5B5B" w:rsidR="001E7189" w:rsidRPr="002906A3" w:rsidRDefault="006871AB" w:rsidP="00BA67A6">
      <w:pPr>
        <w:ind w:left="360"/>
        <w:jc w:val="both"/>
        <w:rPr>
          <w:b/>
          <w:bCs/>
          <w:lang w:val="en-US"/>
        </w:rPr>
      </w:pPr>
      <w:r w:rsidRPr="002906A3">
        <w:rPr>
          <w:b/>
          <w:bCs/>
          <w:lang w:val="en-US"/>
        </w:rPr>
        <w:t xml:space="preserve">4. Comparison Of </w:t>
      </w:r>
      <w:proofErr w:type="gramStart"/>
      <w:r w:rsidRPr="002906A3">
        <w:rPr>
          <w:b/>
          <w:bCs/>
          <w:lang w:val="en-US"/>
        </w:rPr>
        <w:t>The</w:t>
      </w:r>
      <w:proofErr w:type="gramEnd"/>
      <w:r w:rsidRPr="002906A3">
        <w:rPr>
          <w:b/>
          <w:bCs/>
          <w:lang w:val="en-US"/>
        </w:rPr>
        <w:t xml:space="preserve"> Accounting Profession İn The Accounting Systems Of Saudi Arabia, United Arab Emirates, And Turkey</w:t>
      </w:r>
    </w:p>
    <w:p w14:paraId="65E905E5" w14:textId="77777777" w:rsidR="001E7189" w:rsidRPr="002906A3" w:rsidRDefault="001E7189" w:rsidP="00BA67A6">
      <w:pPr>
        <w:ind w:left="360"/>
        <w:jc w:val="both"/>
        <w:rPr>
          <w:lang w:val="en-US"/>
        </w:rPr>
      </w:pPr>
      <w:r w:rsidRPr="002906A3">
        <w:rPr>
          <w:lang w:val="en-US"/>
        </w:rPr>
        <w:t xml:space="preserve">Accounting is the oldest of all professions (Kaya, 2021: 13). Accountants are professionals who transform accounting information into actionable data for decision-making processes (Çelik &amp; </w:t>
      </w:r>
      <w:proofErr w:type="spellStart"/>
      <w:r w:rsidRPr="002906A3">
        <w:rPr>
          <w:lang w:val="en-US"/>
        </w:rPr>
        <w:t>Şendurur</w:t>
      </w:r>
      <w:proofErr w:type="spellEnd"/>
      <w:r w:rsidRPr="002906A3">
        <w:rPr>
          <w:lang w:val="en-US"/>
        </w:rPr>
        <w:t xml:space="preserve">, 2020). Accountants, in addition to financial reporting, also take on auditing responsibilities, making significant contributions to the economic and financial structure (Gündüz &amp; Özen, 2016). This study aims to compare the accounting profession within the accounting systems of KSA, UAE, and Turkey. The first law regulating the accounting profession in KSA was enacted in 1968. Since this law only outlined the necessary conditions for practicing the profession, it did not meet expectations (Haj </w:t>
      </w:r>
      <w:proofErr w:type="spellStart"/>
      <w:r w:rsidRPr="002906A3">
        <w:rPr>
          <w:lang w:val="en-US"/>
        </w:rPr>
        <w:t>Hamidow</w:t>
      </w:r>
      <w:proofErr w:type="spellEnd"/>
      <w:r w:rsidRPr="002906A3">
        <w:rPr>
          <w:lang w:val="en-US"/>
        </w:rPr>
        <w:t>, 2024). Therefore, in 1974, a new law was enacted that regulated the accounting profession by dividing it into the following three categories:</w:t>
      </w:r>
    </w:p>
    <w:p w14:paraId="37940A45" w14:textId="2730BC0E" w:rsidR="001E7189" w:rsidRPr="002906A3" w:rsidRDefault="001E7189">
      <w:pPr>
        <w:pStyle w:val="ListeParagraf"/>
        <w:widowControl/>
        <w:numPr>
          <w:ilvl w:val="0"/>
          <w:numId w:val="20"/>
        </w:numPr>
        <w:autoSpaceDE/>
        <w:autoSpaceDN/>
        <w:jc w:val="both"/>
        <w:rPr>
          <w:lang w:val="en-US"/>
        </w:rPr>
      </w:pPr>
      <w:r w:rsidRPr="002906A3">
        <w:rPr>
          <w:lang w:val="en-US"/>
        </w:rPr>
        <w:t>Bookkeepers,</w:t>
      </w:r>
    </w:p>
    <w:p w14:paraId="455AB802" w14:textId="77777777" w:rsidR="001E7189" w:rsidRPr="002906A3" w:rsidRDefault="001E7189">
      <w:pPr>
        <w:pStyle w:val="ListeParagraf"/>
        <w:widowControl/>
        <w:numPr>
          <w:ilvl w:val="0"/>
          <w:numId w:val="20"/>
        </w:numPr>
        <w:autoSpaceDE/>
        <w:autoSpaceDN/>
        <w:jc w:val="both"/>
        <w:rPr>
          <w:lang w:val="en-US"/>
        </w:rPr>
      </w:pPr>
      <w:r w:rsidRPr="002906A3">
        <w:rPr>
          <w:lang w:val="en-US"/>
        </w:rPr>
        <w:t>independent accountants, and</w:t>
      </w:r>
    </w:p>
    <w:p w14:paraId="4451EE62" w14:textId="77777777" w:rsidR="001E7189" w:rsidRDefault="001E7189">
      <w:pPr>
        <w:pStyle w:val="ListeParagraf"/>
        <w:widowControl/>
        <w:numPr>
          <w:ilvl w:val="0"/>
          <w:numId w:val="20"/>
        </w:numPr>
        <w:autoSpaceDE/>
        <w:autoSpaceDN/>
        <w:jc w:val="both"/>
        <w:rPr>
          <w:lang w:val="en-US"/>
        </w:rPr>
      </w:pPr>
      <w:r w:rsidRPr="002906A3">
        <w:rPr>
          <w:lang w:val="en-US"/>
        </w:rPr>
        <w:t>certified public accountants.</w:t>
      </w:r>
    </w:p>
    <w:p w14:paraId="264BE055" w14:textId="77777777" w:rsidR="00BA67A6" w:rsidRPr="002906A3" w:rsidRDefault="00BA67A6" w:rsidP="00BA67A6">
      <w:pPr>
        <w:pStyle w:val="ListeParagraf"/>
        <w:widowControl/>
        <w:autoSpaceDE/>
        <w:autoSpaceDN/>
        <w:ind w:left="360"/>
        <w:jc w:val="both"/>
        <w:rPr>
          <w:lang w:val="en-US"/>
        </w:rPr>
      </w:pPr>
    </w:p>
    <w:p w14:paraId="1632EE49" w14:textId="77777777" w:rsidR="001E7189" w:rsidRPr="002906A3" w:rsidRDefault="001E7189" w:rsidP="00BA67A6">
      <w:pPr>
        <w:ind w:left="360"/>
        <w:jc w:val="both"/>
        <w:rPr>
          <w:lang w:val="en-US"/>
        </w:rPr>
      </w:pPr>
      <w:r w:rsidRPr="002906A3">
        <w:rPr>
          <w:lang w:val="en-US"/>
        </w:rPr>
        <w:t>However, the first title was abolished in 1979. As for the other two titles, the law did not go far enough in distinguishing between Independent Accountants and Certified Public Accountants, except for the type and size of the institutions they served. SOCPA is the body responsible for regulating the accounting profession in KSA. In 2021, the Saudi Ministry of Commerce updated the law regulating the accounting profession in KSA. According to the update to this law, the accounting profession in KSA has been divided as follows:</w:t>
      </w:r>
    </w:p>
    <w:p w14:paraId="3AEC2157"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statutory public accounting and auditing,</w:t>
      </w:r>
    </w:p>
    <w:p w14:paraId="0FC7D0A3"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providing zakat and tax services,</w:t>
      </w:r>
    </w:p>
    <w:p w14:paraId="7F9BC25F" w14:textId="77777777" w:rsidR="001E7189" w:rsidRPr="002906A3" w:rsidRDefault="001E7189">
      <w:pPr>
        <w:pStyle w:val="ListeParagraf"/>
        <w:widowControl/>
        <w:numPr>
          <w:ilvl w:val="0"/>
          <w:numId w:val="20"/>
        </w:numPr>
        <w:autoSpaceDE/>
        <w:autoSpaceDN/>
        <w:jc w:val="both"/>
        <w:rPr>
          <w:lang w:val="en-US"/>
        </w:rPr>
      </w:pPr>
      <w:r w:rsidRPr="002906A3">
        <w:rPr>
          <w:lang w:val="en-US"/>
        </w:rPr>
        <w:t>Profession of providing value added tax services,</w:t>
      </w:r>
    </w:p>
    <w:p w14:paraId="157CA974" w14:textId="77777777" w:rsidR="001E7189" w:rsidRDefault="001E7189">
      <w:pPr>
        <w:pStyle w:val="ListeParagraf"/>
        <w:widowControl/>
        <w:numPr>
          <w:ilvl w:val="0"/>
          <w:numId w:val="20"/>
        </w:numPr>
        <w:autoSpaceDE/>
        <w:autoSpaceDN/>
        <w:jc w:val="both"/>
        <w:rPr>
          <w:lang w:val="en-US"/>
        </w:rPr>
      </w:pPr>
      <w:r w:rsidRPr="002906A3">
        <w:rPr>
          <w:lang w:val="en-US"/>
        </w:rPr>
        <w:t>Profession of providing accounting services.</w:t>
      </w:r>
    </w:p>
    <w:p w14:paraId="7446528D" w14:textId="77777777" w:rsidR="00BA67A6" w:rsidRPr="002906A3" w:rsidRDefault="00BA67A6" w:rsidP="00BA67A6">
      <w:pPr>
        <w:pStyle w:val="ListeParagraf"/>
        <w:widowControl/>
        <w:autoSpaceDE/>
        <w:autoSpaceDN/>
        <w:ind w:left="360"/>
        <w:jc w:val="both"/>
        <w:rPr>
          <w:lang w:val="en-US"/>
        </w:rPr>
      </w:pPr>
    </w:p>
    <w:p w14:paraId="6A7D930A" w14:textId="77777777" w:rsidR="001E7189" w:rsidRPr="002906A3" w:rsidRDefault="001E7189" w:rsidP="00BA67A6">
      <w:pPr>
        <w:ind w:left="360"/>
        <w:jc w:val="both"/>
        <w:rPr>
          <w:lang w:val="en-US"/>
        </w:rPr>
      </w:pPr>
      <w:r w:rsidRPr="002906A3">
        <w:rPr>
          <w:lang w:val="en-US"/>
        </w:rPr>
        <w:t xml:space="preserve">The conditions for practicing the profession in KSA and Turkey do not differ, except for the partial practice of the profession due to a person practicing another occupation while also performing accounting duties. In UAE, the first law regulating the accounting and auditing profession was enacted in 1975. Although there is a professional organization for accountants in UAE, it does not have similar jurisdictional authority as the other accounting organizations in KSA and Turkey. Moreover, since there is no alternative institution in UAE capable of comprehensively fulfilling this role, all accounting professionals in UAE are regulated by the Ministry of Economy. The relatively limited role of UAE’s accounting association implies that academia plays a significant role in supporting the profession, including the training of accounting professionals. On the other hand, although the first draft of the Accounting Profession Law in Turkey was prepared in 1932, it was not implemented, and no law was enacted to regulate the accounting profession until 1989. In 1989, The Law of Accounting Profession was published in the Official Gazette, issue number 20194. According to this law, accounting and auditing practitioners were divided into the following three </w:t>
      </w:r>
      <w:proofErr w:type="gramStart"/>
      <w:r w:rsidRPr="002906A3">
        <w:rPr>
          <w:lang w:val="en-US"/>
        </w:rPr>
        <w:t>categories;</w:t>
      </w:r>
      <w:proofErr w:type="gramEnd"/>
    </w:p>
    <w:p w14:paraId="6E7EE6E8" w14:textId="77777777" w:rsidR="001E7189" w:rsidRPr="002906A3" w:rsidRDefault="001E7189">
      <w:pPr>
        <w:pStyle w:val="ListeParagraf"/>
        <w:widowControl/>
        <w:numPr>
          <w:ilvl w:val="0"/>
          <w:numId w:val="20"/>
        </w:numPr>
        <w:autoSpaceDE/>
        <w:autoSpaceDN/>
        <w:jc w:val="both"/>
        <w:rPr>
          <w:lang w:val="en-US"/>
        </w:rPr>
      </w:pPr>
      <w:r w:rsidRPr="002906A3">
        <w:rPr>
          <w:lang w:val="en-US"/>
        </w:rPr>
        <w:t>Public Accountant,</w:t>
      </w:r>
    </w:p>
    <w:p w14:paraId="156D514A" w14:textId="77777777" w:rsidR="001E7189" w:rsidRPr="002906A3" w:rsidRDefault="001E7189">
      <w:pPr>
        <w:pStyle w:val="ListeParagraf"/>
        <w:widowControl/>
        <w:numPr>
          <w:ilvl w:val="0"/>
          <w:numId w:val="20"/>
        </w:numPr>
        <w:autoSpaceDE/>
        <w:autoSpaceDN/>
        <w:jc w:val="both"/>
        <w:rPr>
          <w:lang w:val="en-US"/>
        </w:rPr>
      </w:pPr>
      <w:r w:rsidRPr="002906A3">
        <w:rPr>
          <w:lang w:val="en-US"/>
        </w:rPr>
        <w:lastRenderedPageBreak/>
        <w:t>Certified Public Accountant, and</w:t>
      </w:r>
    </w:p>
    <w:p w14:paraId="1DD432DE" w14:textId="77777777" w:rsidR="001E7189" w:rsidRDefault="001E7189">
      <w:pPr>
        <w:pStyle w:val="ListeParagraf"/>
        <w:widowControl/>
        <w:numPr>
          <w:ilvl w:val="0"/>
          <w:numId w:val="20"/>
        </w:numPr>
        <w:autoSpaceDE/>
        <w:autoSpaceDN/>
        <w:jc w:val="both"/>
        <w:rPr>
          <w:lang w:val="en-US"/>
        </w:rPr>
      </w:pPr>
      <w:r w:rsidRPr="002906A3">
        <w:rPr>
          <w:lang w:val="en-US"/>
        </w:rPr>
        <w:t>Sworn-in Certified Public Accountant.</w:t>
      </w:r>
    </w:p>
    <w:p w14:paraId="672FF420" w14:textId="77777777" w:rsidR="00BA67A6" w:rsidRPr="002906A3" w:rsidRDefault="00BA67A6" w:rsidP="00BA67A6">
      <w:pPr>
        <w:pStyle w:val="ListeParagraf"/>
        <w:widowControl/>
        <w:autoSpaceDE/>
        <w:autoSpaceDN/>
        <w:ind w:left="360"/>
        <w:jc w:val="both"/>
        <w:rPr>
          <w:lang w:val="en-US"/>
        </w:rPr>
      </w:pPr>
    </w:p>
    <w:p w14:paraId="70B01DDA" w14:textId="77777777" w:rsidR="001E7189" w:rsidRPr="002906A3" w:rsidRDefault="001E7189" w:rsidP="00BA67A6">
      <w:pPr>
        <w:ind w:left="360"/>
        <w:jc w:val="both"/>
        <w:rPr>
          <w:lang w:val="en-US"/>
        </w:rPr>
      </w:pPr>
      <w:r w:rsidRPr="002906A3">
        <w:rPr>
          <w:lang w:val="en-US"/>
        </w:rPr>
        <w:t xml:space="preserve">However, in 2008, the title of Public Accountant was abolished, and the profession continued with two titles: Certified Public Accountant and Sworn-in Certified Public Accountant. In Turkey, the body responsible for the accounting profession is TÜRMOB and it is the only organization authorized to issue professional licenses in Turkey. A person must meet certain conditions to practice the accounting profession in Turkey. The most important of these conditions are being a Turkish national, having no criminal record against public morality, completing several years of internship, and passing the exam determined by TÜRMOB. In Turkey, individuals working as Certified Public Accountants or Sworn-in Certified Public Accountant are not allowed to perform another job simultaneously, according to the professional law. Unlike Turkey and KSA, practicing the profession in UAE is not limited to nationals only. Academics in UAE can practice the accounting profession in addition to their regular jobs. In general, the laws related to the accounting profession in Turkey, KSA, and UAE </w:t>
      </w:r>
      <w:proofErr w:type="gramStart"/>
      <w:r w:rsidRPr="002906A3">
        <w:rPr>
          <w:lang w:val="en-US"/>
        </w:rPr>
        <w:t>are</w:t>
      </w:r>
      <w:proofErr w:type="gramEnd"/>
      <w:r w:rsidRPr="002906A3">
        <w:rPr>
          <w:lang w:val="en-US"/>
        </w:rPr>
        <w:t xml:space="preserve"> comprehensive. Because the conditions, rights, responsibilities, duties, educational qualifications, and other attributes of professionals are detailed in the laws of the three countries.</w:t>
      </w:r>
    </w:p>
    <w:p w14:paraId="2F761EAB" w14:textId="77777777" w:rsidR="001E7189" w:rsidRPr="002906A3" w:rsidRDefault="001E7189" w:rsidP="00BA67A6">
      <w:pPr>
        <w:ind w:left="360"/>
        <w:jc w:val="both"/>
        <w:rPr>
          <w:lang w:val="en-US"/>
        </w:rPr>
      </w:pPr>
    </w:p>
    <w:p w14:paraId="6183644E" w14:textId="0EE79675" w:rsidR="001E7189" w:rsidRPr="002906A3" w:rsidRDefault="006871AB" w:rsidP="00BA67A6">
      <w:pPr>
        <w:ind w:left="360"/>
        <w:jc w:val="both"/>
        <w:rPr>
          <w:b/>
          <w:bCs/>
          <w:lang w:val="en-US"/>
        </w:rPr>
      </w:pPr>
      <w:r w:rsidRPr="002906A3">
        <w:rPr>
          <w:b/>
          <w:bCs/>
          <w:lang w:val="en-US"/>
        </w:rPr>
        <w:t>Result</w:t>
      </w:r>
    </w:p>
    <w:p w14:paraId="08ABEA8B" w14:textId="77777777" w:rsidR="001E7189" w:rsidRPr="002906A3" w:rsidRDefault="001E7189" w:rsidP="00BA67A6">
      <w:pPr>
        <w:ind w:left="360"/>
        <w:jc w:val="both"/>
        <w:rPr>
          <w:lang w:val="en-US"/>
        </w:rPr>
      </w:pPr>
      <w:r w:rsidRPr="002906A3">
        <w:rPr>
          <w:lang w:val="en-US"/>
        </w:rPr>
        <w:t xml:space="preserve">Since the inception of accounting science and the accounting profession, the focus has been on how much progress has been made while preserving the scientific existence and the title of the accounting profession (Çınar </w:t>
      </w:r>
      <w:bookmarkStart w:id="163" w:name="_Hlk190523334"/>
      <w:r w:rsidRPr="002906A3">
        <w:rPr>
          <w:lang w:val="en-US"/>
        </w:rPr>
        <w:t xml:space="preserve">&amp; </w:t>
      </w:r>
      <w:bookmarkEnd w:id="163"/>
      <w:r w:rsidRPr="002906A3">
        <w:rPr>
          <w:lang w:val="en-US"/>
        </w:rPr>
        <w:t>Güney, 2012). It is evident that from the birth of accounting science to the present, accounting has constantly adapted and renewed itself according to time and needs (</w:t>
      </w:r>
      <w:proofErr w:type="spellStart"/>
      <w:r w:rsidRPr="002906A3">
        <w:rPr>
          <w:lang w:val="en-US"/>
        </w:rPr>
        <w:t>Gülçin</w:t>
      </w:r>
      <w:proofErr w:type="spellEnd"/>
      <w:r w:rsidRPr="002906A3">
        <w:rPr>
          <w:lang w:val="en-US"/>
        </w:rPr>
        <w:t xml:space="preserve">, 2018). In recent years, globalization and technological developments in the economic environment have significantly influenced the accounting profession and led to changes in the profile of professional accountants (Tetik et al., 2008). Therefore, comparing the development of the accounting profession and the laws regulating the profession in different accounting systems can contribute to improving the quality, environment, and working conditions of accountants. Therefore, this study aimed to compare the accounting profession in the accounting systems of KSA, UAE, and Turkey. This study is the first and only study to compare the accounting profession across different countries' accounting systems. Interest in the accounting profession began in Turkey with the enactment of laws regulating the profession from the early days of the Republic of Turkey. The regulation of the accounting profession in KSA was delayed but began in 1973. Interest in </w:t>
      </w:r>
      <w:proofErr w:type="gramStart"/>
      <w:r w:rsidRPr="002906A3">
        <w:rPr>
          <w:lang w:val="en-US"/>
        </w:rPr>
        <w:t>the accounting profession</w:t>
      </w:r>
      <w:proofErr w:type="gramEnd"/>
      <w:r w:rsidRPr="002906A3">
        <w:rPr>
          <w:lang w:val="en-US"/>
        </w:rPr>
        <w:t xml:space="preserve"> began in UAE in the 1990. SOCPA in KSA has more authority and importance compared to TÜRMOB in Turkey and AAA in UAE. Additionally, the professional titles for practicing the accounting profession in KSA are more diverse compared to those in Turkey and UAE.</w:t>
      </w:r>
    </w:p>
    <w:p w14:paraId="465180AE" w14:textId="77777777" w:rsidR="001E7189" w:rsidRPr="002906A3" w:rsidRDefault="001E7189" w:rsidP="00BA67A6">
      <w:pPr>
        <w:ind w:left="360"/>
        <w:jc w:val="both"/>
        <w:rPr>
          <w:lang w:val="en-US"/>
        </w:rPr>
      </w:pPr>
    </w:p>
    <w:p w14:paraId="3FC2772A" w14:textId="086330CB" w:rsidR="001E7189" w:rsidRPr="002906A3" w:rsidRDefault="006871AB" w:rsidP="00BA67A6">
      <w:pPr>
        <w:ind w:left="360"/>
        <w:jc w:val="both"/>
        <w:rPr>
          <w:b/>
          <w:bCs/>
          <w:lang w:val="en-US"/>
        </w:rPr>
      </w:pPr>
      <w:r w:rsidRPr="002906A3">
        <w:rPr>
          <w:b/>
          <w:bCs/>
          <w:lang w:val="en-US"/>
        </w:rPr>
        <w:t>References</w:t>
      </w:r>
    </w:p>
    <w:p w14:paraId="22626BF0" w14:textId="77777777" w:rsidR="001E7189" w:rsidRPr="007B234B" w:rsidRDefault="001E7189">
      <w:pPr>
        <w:pStyle w:val="ListeParagraf"/>
        <w:numPr>
          <w:ilvl w:val="0"/>
          <w:numId w:val="49"/>
        </w:numPr>
        <w:jc w:val="both"/>
        <w:rPr>
          <w:rFonts w:eastAsia="Calibri"/>
          <w:i/>
          <w:iCs/>
        </w:rPr>
      </w:pPr>
      <w:bookmarkStart w:id="164" w:name="_Hlk176550105"/>
      <w:bookmarkStart w:id="165" w:name="_Hlk176549905"/>
      <w:r w:rsidRPr="007B234B">
        <w:rPr>
          <w:rFonts w:eastAsia="Calibri"/>
          <w:lang w:val="en-US"/>
        </w:rPr>
        <w:t xml:space="preserve">Abdallah, W.M. (2008). </w:t>
      </w:r>
      <w:r w:rsidRPr="007B234B">
        <w:rPr>
          <w:rFonts w:eastAsia="Calibri"/>
          <w:i/>
          <w:iCs/>
          <w:lang w:val="en-US"/>
        </w:rPr>
        <w:t>Accounting, finance</w:t>
      </w:r>
      <w:r w:rsidRPr="007B234B">
        <w:rPr>
          <w:rFonts w:eastAsia="Calibri"/>
          <w:i/>
          <w:iCs/>
          <w:rtl/>
          <w:lang w:val="en-US"/>
        </w:rPr>
        <w:t>,</w:t>
      </w:r>
      <w:r w:rsidRPr="007B234B">
        <w:rPr>
          <w:rFonts w:eastAsia="Calibri"/>
          <w:i/>
          <w:iCs/>
          <w:lang w:val="en-US"/>
        </w:rPr>
        <w:t xml:space="preserve"> and taxation in the </w:t>
      </w:r>
      <w:proofErr w:type="gramStart"/>
      <w:r w:rsidRPr="007B234B">
        <w:rPr>
          <w:rFonts w:eastAsia="Calibri"/>
          <w:i/>
          <w:iCs/>
          <w:lang w:val="en-US"/>
        </w:rPr>
        <w:t>gulf</w:t>
      </w:r>
      <w:proofErr w:type="gramEnd"/>
      <w:r w:rsidRPr="007B234B">
        <w:rPr>
          <w:rFonts w:eastAsia="Calibri"/>
          <w:i/>
          <w:iCs/>
          <w:lang w:val="en-US"/>
        </w:rPr>
        <w:t xml:space="preserve"> countries</w:t>
      </w:r>
      <w:r w:rsidRPr="007B234B">
        <w:rPr>
          <w:rFonts w:eastAsia="Calibri"/>
          <w:lang w:val="en-US"/>
        </w:rPr>
        <w:t>. (1.</w:t>
      </w:r>
      <w:r w:rsidRPr="007B234B">
        <w:rPr>
          <w:lang w:val="en-US"/>
        </w:rPr>
        <w:t xml:space="preserve"> </w:t>
      </w:r>
      <w:r w:rsidRPr="007B234B">
        <w:rPr>
          <w:rFonts w:eastAsia="Calibri"/>
          <w:lang w:val="en-US"/>
        </w:rPr>
        <w:t>Edition). Palgrave Macmillan</w:t>
      </w:r>
      <w:r w:rsidRPr="007B234B">
        <w:rPr>
          <w:rFonts w:eastAsia="Calibri"/>
        </w:rPr>
        <w:t>,</w:t>
      </w:r>
      <w:r w:rsidRPr="007B234B">
        <w:rPr>
          <w:rFonts w:eastAsia="Calibri"/>
          <w:lang w:val="en-US"/>
        </w:rPr>
        <w:t xml:space="preserve"> New York.</w:t>
      </w:r>
    </w:p>
    <w:bookmarkEnd w:id="164"/>
    <w:p w14:paraId="34D39C52" w14:textId="77777777"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Accounting and Auditing Profession Law of United Arab Emirates. (2023). </w:t>
      </w:r>
      <w:r w:rsidRPr="007B234B">
        <w:rPr>
          <w:lang w:val="en-US"/>
        </w:rPr>
        <w:t>https://uaelegislation.gov.ae/ar/legislations/2183</w:t>
      </w:r>
      <w:r w:rsidRPr="007B234B">
        <w:rPr>
          <w:rFonts w:eastAsia="Calibri"/>
          <w:rtl/>
          <w:lang w:val="en-US"/>
        </w:rPr>
        <w:t xml:space="preserve"> </w:t>
      </w:r>
      <w:r w:rsidRPr="007B234B">
        <w:rPr>
          <w:rFonts w:eastAsia="Calibri"/>
          <w:lang w:val="en-US"/>
        </w:rPr>
        <w:t>Access Date: 22.01.2025.</w:t>
      </w:r>
    </w:p>
    <w:p w14:paraId="3520D03A" w14:textId="77777777" w:rsidR="001E7189" w:rsidRPr="007B234B" w:rsidRDefault="001E7189">
      <w:pPr>
        <w:pStyle w:val="ListeParagraf"/>
        <w:numPr>
          <w:ilvl w:val="0"/>
          <w:numId w:val="49"/>
        </w:numPr>
        <w:jc w:val="both"/>
        <w:rPr>
          <w:lang w:val="en-US"/>
        </w:rPr>
      </w:pPr>
      <w:bookmarkStart w:id="166" w:name="_Hlk176550057"/>
      <w:bookmarkEnd w:id="165"/>
      <w:r w:rsidRPr="007B234B">
        <w:rPr>
          <w:lang w:val="en-US"/>
        </w:rPr>
        <w:t xml:space="preserve">Akgün, B. (2018). </w:t>
      </w:r>
      <w:r w:rsidRPr="007B234B">
        <w:rPr>
          <w:i/>
          <w:iCs/>
          <w:lang w:val="en-US"/>
        </w:rPr>
        <w:t xml:space="preserve">The problems of accounting professionals in turkey and suggestions for solutions, </w:t>
      </w:r>
      <w:proofErr w:type="gramStart"/>
      <w:r w:rsidRPr="007B234B">
        <w:rPr>
          <w:lang w:val="en-US"/>
        </w:rPr>
        <w:t>Master's</w:t>
      </w:r>
      <w:proofErr w:type="gramEnd"/>
      <w:r w:rsidRPr="007B234B">
        <w:rPr>
          <w:lang w:val="en-US"/>
        </w:rPr>
        <w:t xml:space="preserve"> Thesis, Adıyaman University Institute of Social Sciences, </w:t>
      </w:r>
      <w:r w:rsidRPr="007B234B">
        <w:rPr>
          <w:lang w:val="en-US"/>
        </w:rPr>
        <w:lastRenderedPageBreak/>
        <w:t>Adıyaman.</w:t>
      </w:r>
    </w:p>
    <w:p w14:paraId="46E12420" w14:textId="77777777" w:rsidR="001E7189" w:rsidRPr="007B234B" w:rsidRDefault="001E7189">
      <w:pPr>
        <w:pStyle w:val="ListeParagraf"/>
        <w:numPr>
          <w:ilvl w:val="0"/>
          <w:numId w:val="49"/>
        </w:numPr>
        <w:jc w:val="both"/>
        <w:rPr>
          <w:i/>
          <w:iCs/>
          <w:lang w:val="en-US"/>
        </w:rPr>
      </w:pPr>
      <w:r w:rsidRPr="007B234B">
        <w:rPr>
          <w:lang w:val="en-US"/>
        </w:rPr>
        <w:t xml:space="preserve">Al-Amari, S.R. (1989). </w:t>
      </w:r>
      <w:r w:rsidRPr="007B234B">
        <w:rPr>
          <w:i/>
          <w:iCs/>
          <w:lang w:val="en-US"/>
        </w:rPr>
        <w:t xml:space="preserve">The development of accounting standards and practices in the kingdom of </w:t>
      </w:r>
      <w:proofErr w:type="spellStart"/>
      <w:r w:rsidRPr="007B234B">
        <w:rPr>
          <w:i/>
          <w:iCs/>
          <w:lang w:val="en-US"/>
        </w:rPr>
        <w:t>saudi</w:t>
      </w:r>
      <w:proofErr w:type="spellEnd"/>
      <w:r w:rsidRPr="007B234B">
        <w:rPr>
          <w:i/>
          <w:iCs/>
          <w:lang w:val="en-US"/>
        </w:rPr>
        <w:t xml:space="preserve"> </w:t>
      </w:r>
      <w:proofErr w:type="spellStart"/>
      <w:r w:rsidRPr="007B234B">
        <w:rPr>
          <w:i/>
          <w:iCs/>
          <w:lang w:val="en-US"/>
        </w:rPr>
        <w:t>arabia</w:t>
      </w:r>
      <w:proofErr w:type="spellEnd"/>
      <w:r w:rsidRPr="007B234B">
        <w:rPr>
          <w:i/>
          <w:iCs/>
          <w:lang w:val="en-US"/>
        </w:rPr>
        <w:t xml:space="preserve">, </w:t>
      </w:r>
      <w:r w:rsidRPr="007B234B">
        <w:rPr>
          <w:lang w:val="en-US"/>
        </w:rPr>
        <w:t>PhD Thesis, The University of Glasgow, Scotland.</w:t>
      </w:r>
    </w:p>
    <w:bookmarkEnd w:id="166"/>
    <w:p w14:paraId="4633BE69" w14:textId="77777777" w:rsidR="001E7189" w:rsidRPr="007B234B" w:rsidRDefault="001E7189">
      <w:pPr>
        <w:pStyle w:val="ListeParagraf"/>
        <w:numPr>
          <w:ilvl w:val="0"/>
          <w:numId w:val="49"/>
        </w:numPr>
        <w:jc w:val="both"/>
        <w:rPr>
          <w:lang w:val="en-US"/>
        </w:rPr>
      </w:pPr>
      <w:proofErr w:type="spellStart"/>
      <w:r w:rsidRPr="007B234B">
        <w:rPr>
          <w:lang w:val="en-US"/>
        </w:rPr>
        <w:t>Alkhayyal</w:t>
      </w:r>
      <w:proofErr w:type="spellEnd"/>
      <w:r w:rsidRPr="007B234B">
        <w:rPr>
          <w:lang w:val="en-US"/>
        </w:rPr>
        <w:t xml:space="preserve">, T., &amp; Alsaad, S. (2016). The impact of developing </w:t>
      </w:r>
      <w:proofErr w:type="spellStart"/>
      <w:r w:rsidRPr="007B234B">
        <w:rPr>
          <w:lang w:val="en-US"/>
        </w:rPr>
        <w:t>saudi</w:t>
      </w:r>
      <w:proofErr w:type="spellEnd"/>
      <w:r w:rsidRPr="007B234B">
        <w:rPr>
          <w:lang w:val="en-US"/>
        </w:rPr>
        <w:t xml:space="preserve"> accounting standards on the quality of accounting information: A field study. </w:t>
      </w:r>
      <w:r w:rsidRPr="007B234B">
        <w:rPr>
          <w:i/>
          <w:iCs/>
          <w:lang w:val="en-US"/>
        </w:rPr>
        <w:t>Journal of Business Research,3</w:t>
      </w:r>
      <w:r w:rsidRPr="007B234B">
        <w:rPr>
          <w:lang w:val="en-US"/>
        </w:rPr>
        <w:t>(8), 149-191.</w:t>
      </w:r>
    </w:p>
    <w:p w14:paraId="4A1C935E" w14:textId="77777777"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Al-Qahtani, A. K. (2005). The development of accounting regulation in the GCC western hegemony or recognition of </w:t>
      </w:r>
      <w:proofErr w:type="gramStart"/>
      <w:r w:rsidRPr="007B234B">
        <w:rPr>
          <w:rFonts w:eastAsia="Calibri"/>
          <w:lang w:val="en-US"/>
        </w:rPr>
        <w:t>peculiarity?.</w:t>
      </w:r>
      <w:proofErr w:type="gramEnd"/>
      <w:r w:rsidRPr="007B234B">
        <w:rPr>
          <w:rFonts w:eastAsia="Calibri"/>
          <w:lang w:val="en-US"/>
        </w:rPr>
        <w:t xml:space="preserve"> </w:t>
      </w:r>
      <w:r w:rsidRPr="007B234B">
        <w:rPr>
          <w:rFonts w:eastAsia="Calibri"/>
          <w:i/>
          <w:iCs/>
          <w:lang w:val="en-US"/>
        </w:rPr>
        <w:t>Managerial Auditing Journal,</w:t>
      </w:r>
      <w:r w:rsidRPr="007B234B">
        <w:rPr>
          <w:rFonts w:eastAsia="Calibri"/>
          <w:lang w:val="en-US"/>
        </w:rPr>
        <w:t xml:space="preserve"> 20(3), 217-226. 10.1108/02686900510585564</w:t>
      </w:r>
    </w:p>
    <w:p w14:paraId="454E5317" w14:textId="77777777" w:rsidR="001E7189" w:rsidRPr="007B234B" w:rsidRDefault="001E7189">
      <w:pPr>
        <w:pStyle w:val="ListeParagraf"/>
        <w:numPr>
          <w:ilvl w:val="0"/>
          <w:numId w:val="49"/>
        </w:numPr>
        <w:jc w:val="both"/>
        <w:rPr>
          <w:i/>
          <w:iCs/>
          <w:lang w:val="en-US"/>
        </w:rPr>
      </w:pPr>
      <w:r w:rsidRPr="007B234B">
        <w:rPr>
          <w:lang w:val="en-US"/>
        </w:rPr>
        <w:t>Al-</w:t>
      </w:r>
      <w:proofErr w:type="spellStart"/>
      <w:r w:rsidRPr="007B234B">
        <w:rPr>
          <w:lang w:val="en-US"/>
        </w:rPr>
        <w:t>Rehaily</w:t>
      </w:r>
      <w:proofErr w:type="spellEnd"/>
      <w:r w:rsidRPr="007B234B">
        <w:rPr>
          <w:lang w:val="en-US"/>
        </w:rPr>
        <w:t xml:space="preserve">, A.S. (1992). </w:t>
      </w:r>
      <w:r w:rsidRPr="007B234B">
        <w:rPr>
          <w:i/>
          <w:iCs/>
          <w:lang w:val="en-US"/>
        </w:rPr>
        <w:t xml:space="preserve">The evolution of in accounting </w:t>
      </w:r>
      <w:proofErr w:type="spellStart"/>
      <w:r w:rsidRPr="007B234B">
        <w:rPr>
          <w:i/>
          <w:iCs/>
          <w:lang w:val="en-US"/>
        </w:rPr>
        <w:t>saudi</w:t>
      </w:r>
      <w:proofErr w:type="spellEnd"/>
      <w:r w:rsidRPr="007B234B">
        <w:rPr>
          <w:i/>
          <w:iCs/>
          <w:lang w:val="en-US"/>
        </w:rPr>
        <w:t xml:space="preserve"> </w:t>
      </w:r>
      <w:proofErr w:type="spellStart"/>
      <w:r w:rsidRPr="007B234B">
        <w:rPr>
          <w:i/>
          <w:iCs/>
          <w:lang w:val="en-US"/>
        </w:rPr>
        <w:t>arabia</w:t>
      </w:r>
      <w:proofErr w:type="spellEnd"/>
      <w:r w:rsidRPr="007B234B">
        <w:rPr>
          <w:i/>
          <w:iCs/>
          <w:lang w:val="en-US"/>
        </w:rPr>
        <w:t xml:space="preserve">: a study of its relevance to the social and economic environment, </w:t>
      </w:r>
      <w:r w:rsidRPr="007B234B">
        <w:rPr>
          <w:lang w:val="en-US"/>
        </w:rPr>
        <w:t>PhD Thesis, Hull University, Hull.</w:t>
      </w:r>
    </w:p>
    <w:p w14:paraId="68D6804E" w14:textId="77777777" w:rsidR="001E7189" w:rsidRPr="007B234B" w:rsidRDefault="001E7189">
      <w:pPr>
        <w:pStyle w:val="ListeParagraf"/>
        <w:numPr>
          <w:ilvl w:val="0"/>
          <w:numId w:val="49"/>
        </w:numPr>
        <w:jc w:val="both"/>
        <w:rPr>
          <w:i/>
          <w:iCs/>
          <w:lang w:val="en-US"/>
        </w:rPr>
      </w:pPr>
      <w:r w:rsidRPr="007B234B">
        <w:rPr>
          <w:lang w:val="en-US"/>
        </w:rPr>
        <w:t xml:space="preserve">Çelik, Y. &amp; </w:t>
      </w:r>
      <w:proofErr w:type="spellStart"/>
      <w:r w:rsidRPr="007B234B">
        <w:rPr>
          <w:lang w:val="en-US"/>
        </w:rPr>
        <w:t>Şendurur</w:t>
      </w:r>
      <w:proofErr w:type="spellEnd"/>
      <w:r w:rsidRPr="007B234B">
        <w:rPr>
          <w:lang w:val="en-US"/>
        </w:rPr>
        <w:t xml:space="preserve">, U. (2020). Problems and expectations of accounting professionals: the case of </w:t>
      </w:r>
      <w:proofErr w:type="spellStart"/>
      <w:r w:rsidRPr="007B234B">
        <w:rPr>
          <w:lang w:val="en-US"/>
        </w:rPr>
        <w:t>Muş</w:t>
      </w:r>
      <w:proofErr w:type="spellEnd"/>
      <w:r w:rsidRPr="007B234B">
        <w:rPr>
          <w:lang w:val="en-US"/>
        </w:rPr>
        <w:t xml:space="preserve"> and </w:t>
      </w:r>
      <w:proofErr w:type="spellStart"/>
      <w:r w:rsidRPr="007B234B">
        <w:rPr>
          <w:lang w:val="en-US"/>
        </w:rPr>
        <w:t>Ağrı</w:t>
      </w:r>
      <w:proofErr w:type="spellEnd"/>
      <w:r w:rsidRPr="007B234B">
        <w:rPr>
          <w:lang w:val="en-US"/>
        </w:rPr>
        <w:t xml:space="preserve"> provinces. </w:t>
      </w:r>
      <w:r w:rsidRPr="007B234B">
        <w:rPr>
          <w:i/>
          <w:iCs/>
          <w:lang w:val="en-US"/>
        </w:rPr>
        <w:t>Journal of Accounting and Tax Practices, 13</w:t>
      </w:r>
      <w:r w:rsidRPr="007B234B">
        <w:rPr>
          <w:lang w:val="en-US"/>
        </w:rPr>
        <w:t>(1), 25-50</w:t>
      </w:r>
      <w:r w:rsidRPr="007B234B">
        <w:rPr>
          <w:i/>
          <w:iCs/>
          <w:lang w:val="en-US"/>
        </w:rPr>
        <w:t xml:space="preserve">. </w:t>
      </w:r>
      <w:r w:rsidRPr="007B234B">
        <w:rPr>
          <w:lang w:val="en-US"/>
        </w:rPr>
        <w:t>https://doi.org/10.29067/muvu.568083</w:t>
      </w:r>
    </w:p>
    <w:p w14:paraId="08052035" w14:textId="77777777" w:rsidR="001E7189" w:rsidRPr="007B234B" w:rsidRDefault="001E7189">
      <w:pPr>
        <w:pStyle w:val="ListeParagraf"/>
        <w:numPr>
          <w:ilvl w:val="0"/>
          <w:numId w:val="49"/>
        </w:numPr>
        <w:jc w:val="both"/>
        <w:rPr>
          <w:rtl/>
          <w:lang w:val="en-US"/>
        </w:rPr>
      </w:pPr>
      <w:r w:rsidRPr="007B234B">
        <w:rPr>
          <w:lang w:val="en-US"/>
        </w:rPr>
        <w:t xml:space="preserve">Çınar, O., &amp; Güney, S. (2012). Opinions of accounting professionals on e-problems: Erzurum case. </w:t>
      </w:r>
      <w:proofErr w:type="spellStart"/>
      <w:r w:rsidRPr="007B234B">
        <w:rPr>
          <w:i/>
          <w:iCs/>
          <w:lang w:val="en-US"/>
        </w:rPr>
        <w:t>Ekev</w:t>
      </w:r>
      <w:proofErr w:type="spellEnd"/>
      <w:r w:rsidRPr="007B234B">
        <w:rPr>
          <w:i/>
          <w:iCs/>
          <w:lang w:val="en-US"/>
        </w:rPr>
        <w:t xml:space="preserve"> </w:t>
      </w:r>
      <w:proofErr w:type="spellStart"/>
      <w:r w:rsidRPr="007B234B">
        <w:rPr>
          <w:i/>
          <w:iCs/>
          <w:lang w:val="en-US"/>
        </w:rPr>
        <w:t>Akademi</w:t>
      </w:r>
      <w:proofErr w:type="spellEnd"/>
      <w:r w:rsidRPr="007B234B">
        <w:rPr>
          <w:i/>
          <w:iCs/>
          <w:lang w:val="en-US"/>
        </w:rPr>
        <w:t xml:space="preserve"> Journal,16</w:t>
      </w:r>
      <w:r w:rsidRPr="007B234B">
        <w:rPr>
          <w:lang w:val="en-US"/>
        </w:rPr>
        <w:t>(50), 259- 272.</w:t>
      </w:r>
    </w:p>
    <w:p w14:paraId="47B14BFF" w14:textId="13AB29F3"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Deran, A., </w:t>
      </w:r>
      <w:proofErr w:type="spellStart"/>
      <w:r w:rsidRPr="007B234B">
        <w:rPr>
          <w:rFonts w:eastAsia="Calibri"/>
          <w:lang w:val="en-US"/>
        </w:rPr>
        <w:t>Erduru</w:t>
      </w:r>
      <w:proofErr w:type="spellEnd"/>
      <w:r w:rsidRPr="007B234B">
        <w:rPr>
          <w:rFonts w:eastAsia="Calibri"/>
          <w:lang w:val="en-US"/>
        </w:rPr>
        <w:t xml:space="preserve">, İ., </w:t>
      </w:r>
      <w:r w:rsidRPr="007B234B">
        <w:rPr>
          <w:lang w:val="en-US"/>
        </w:rPr>
        <w:t xml:space="preserve">&amp; </w:t>
      </w:r>
      <w:r w:rsidRPr="007B234B">
        <w:rPr>
          <w:rFonts w:eastAsia="Calibri"/>
          <w:lang w:val="en-US"/>
        </w:rPr>
        <w:t xml:space="preserve">Keleş (2016). Evaluation of professional problems of accounting professionals and their expectations from professional chambers in terms of demographic characteristics and economic environment: The case of </w:t>
      </w:r>
      <w:proofErr w:type="spellStart"/>
      <w:r w:rsidRPr="007B234B">
        <w:rPr>
          <w:rFonts w:eastAsia="Calibri"/>
          <w:lang w:val="en-US"/>
        </w:rPr>
        <w:t>Ordu</w:t>
      </w:r>
      <w:proofErr w:type="spellEnd"/>
      <w:r w:rsidRPr="007B234B">
        <w:rPr>
          <w:rFonts w:eastAsia="Calibri"/>
          <w:lang w:val="en-US"/>
        </w:rPr>
        <w:t xml:space="preserve">. </w:t>
      </w:r>
      <w:r w:rsidRPr="007B234B">
        <w:rPr>
          <w:rFonts w:eastAsia="Calibri"/>
          <w:i/>
          <w:iCs/>
          <w:lang w:val="en-US"/>
        </w:rPr>
        <w:t>Selçuk University Faculty of Economics and Administrative Sciences Journal of Social Economic Research,</w:t>
      </w:r>
      <w:r w:rsidRPr="007B234B">
        <w:rPr>
          <w:rFonts w:eastAsia="Calibri"/>
          <w:lang w:val="en-US"/>
        </w:rPr>
        <w:t xml:space="preserve"> 16(32), 83-106.</w:t>
      </w:r>
    </w:p>
    <w:p w14:paraId="77BD5F0F" w14:textId="77777777" w:rsidR="001E7189" w:rsidRPr="007B234B" w:rsidRDefault="001E7189">
      <w:pPr>
        <w:pStyle w:val="ListeParagraf"/>
        <w:numPr>
          <w:ilvl w:val="0"/>
          <w:numId w:val="49"/>
        </w:numPr>
        <w:jc w:val="both"/>
        <w:rPr>
          <w:i/>
          <w:iCs/>
          <w:lang w:val="en-US"/>
        </w:rPr>
      </w:pPr>
      <w:r w:rsidRPr="007B234B">
        <w:rPr>
          <w:lang w:val="en-US"/>
        </w:rPr>
        <w:t xml:space="preserve">Gündüz, M. &amp; Özen, E. (2016). Analysis of problems and professional satisfaction of accounting professionals: the case of </w:t>
      </w:r>
      <w:proofErr w:type="spellStart"/>
      <w:r w:rsidRPr="007B234B">
        <w:rPr>
          <w:lang w:val="en-US"/>
        </w:rPr>
        <w:t>Uşak</w:t>
      </w:r>
      <w:proofErr w:type="spellEnd"/>
      <w:r w:rsidRPr="007B234B">
        <w:rPr>
          <w:lang w:val="en-US"/>
        </w:rPr>
        <w:t xml:space="preserve"> province. </w:t>
      </w:r>
      <w:r w:rsidRPr="007B234B">
        <w:rPr>
          <w:i/>
          <w:iCs/>
          <w:lang w:val="en-US"/>
        </w:rPr>
        <w:t xml:space="preserve">Accounting and Finance Journal, </w:t>
      </w:r>
      <w:r w:rsidRPr="007B234B">
        <w:rPr>
          <w:lang w:val="en-US"/>
        </w:rPr>
        <w:t>Nisan, 67-90. https://doi.org/10.25095/mufad.396681</w:t>
      </w:r>
    </w:p>
    <w:p w14:paraId="36F4B218" w14:textId="77777777" w:rsidR="001E7189" w:rsidRPr="007B234B" w:rsidRDefault="001E7189">
      <w:pPr>
        <w:pStyle w:val="ListeParagraf"/>
        <w:numPr>
          <w:ilvl w:val="0"/>
          <w:numId w:val="49"/>
        </w:numPr>
        <w:jc w:val="both"/>
        <w:rPr>
          <w:i/>
          <w:iCs/>
          <w:lang w:val="en-US"/>
        </w:rPr>
      </w:pPr>
      <w:r w:rsidRPr="007B234B">
        <w:rPr>
          <w:lang w:val="en-US"/>
        </w:rPr>
        <w:t xml:space="preserve">Haj </w:t>
      </w:r>
      <w:proofErr w:type="spellStart"/>
      <w:r w:rsidRPr="007B234B">
        <w:rPr>
          <w:lang w:val="en-US"/>
        </w:rPr>
        <w:t>Hamidow</w:t>
      </w:r>
      <w:proofErr w:type="spellEnd"/>
      <w:r w:rsidRPr="007B234B">
        <w:rPr>
          <w:lang w:val="en-US"/>
        </w:rPr>
        <w:t xml:space="preserve">, M. (2024). </w:t>
      </w:r>
      <w:r w:rsidRPr="007B234B">
        <w:rPr>
          <w:i/>
          <w:iCs/>
          <w:lang w:val="en-US"/>
        </w:rPr>
        <w:t xml:space="preserve">Comparison of accounting systems of Turkey, Saudi Arabia and United Arab Emirates, </w:t>
      </w:r>
      <w:r w:rsidRPr="007B234B">
        <w:rPr>
          <w:lang w:val="en-US"/>
        </w:rPr>
        <w:t xml:space="preserve">PhD Thesis, </w:t>
      </w:r>
      <w:proofErr w:type="spellStart"/>
      <w:r w:rsidRPr="007B234B">
        <w:rPr>
          <w:lang w:val="en-US"/>
        </w:rPr>
        <w:t>Niğde</w:t>
      </w:r>
      <w:proofErr w:type="spellEnd"/>
      <w:r w:rsidRPr="007B234B">
        <w:rPr>
          <w:lang w:val="en-US"/>
        </w:rPr>
        <w:t xml:space="preserve"> Ömer </w:t>
      </w:r>
      <w:proofErr w:type="spellStart"/>
      <w:r w:rsidRPr="007B234B">
        <w:rPr>
          <w:lang w:val="en-US"/>
        </w:rPr>
        <w:t>Halisdemir</w:t>
      </w:r>
      <w:proofErr w:type="spellEnd"/>
      <w:r w:rsidRPr="007B234B">
        <w:rPr>
          <w:lang w:val="en-US"/>
        </w:rPr>
        <w:t xml:space="preserve"> University Institute of Social Sciences, </w:t>
      </w:r>
      <w:proofErr w:type="spellStart"/>
      <w:r w:rsidRPr="007B234B">
        <w:rPr>
          <w:lang w:val="en-US"/>
        </w:rPr>
        <w:t>Niğde</w:t>
      </w:r>
      <w:proofErr w:type="spellEnd"/>
      <w:r w:rsidRPr="007B234B">
        <w:rPr>
          <w:lang w:val="en-US"/>
        </w:rPr>
        <w:t>.</w:t>
      </w:r>
    </w:p>
    <w:p w14:paraId="64610EEB" w14:textId="77777777" w:rsidR="001E7189" w:rsidRPr="007B234B" w:rsidRDefault="001E7189">
      <w:pPr>
        <w:pStyle w:val="ListeParagraf"/>
        <w:numPr>
          <w:ilvl w:val="0"/>
          <w:numId w:val="49"/>
        </w:numPr>
        <w:jc w:val="both"/>
        <w:rPr>
          <w:lang w:val="en-US"/>
        </w:rPr>
      </w:pPr>
      <w:hyperlink r:id="rId190" w:history="1">
        <w:r w:rsidRPr="007B234B">
          <w:rPr>
            <w:rStyle w:val="Kpr"/>
            <w:lang w:val="en-US"/>
          </w:rPr>
          <w:t>https://mc.gov.sa/ar/Regulations/Pages/details.aspx?lawId=5163760b-4568-4f24-88e9-a81e00ae74e6</w:t>
        </w:r>
      </w:hyperlink>
      <w:r w:rsidRPr="007B234B">
        <w:rPr>
          <w:lang w:val="en-US"/>
        </w:rPr>
        <w:t xml:space="preserve"> </w:t>
      </w:r>
      <w:r w:rsidRPr="007B234B">
        <w:rPr>
          <w:rFonts w:eastAsia="Calibri"/>
          <w:lang w:val="en-US"/>
        </w:rPr>
        <w:t>Access Date</w:t>
      </w:r>
      <w:r w:rsidRPr="007B234B">
        <w:rPr>
          <w:lang w:val="en-US"/>
        </w:rPr>
        <w:t>: 06.02.2024.</w:t>
      </w:r>
    </w:p>
    <w:p w14:paraId="7A864328" w14:textId="77777777" w:rsidR="001E7189" w:rsidRPr="007B234B" w:rsidRDefault="001E7189">
      <w:pPr>
        <w:pStyle w:val="ListeParagraf"/>
        <w:numPr>
          <w:ilvl w:val="0"/>
          <w:numId w:val="49"/>
        </w:numPr>
        <w:jc w:val="both"/>
        <w:rPr>
          <w:rFonts w:eastAsia="Calibri"/>
          <w:lang w:val="en-US"/>
        </w:rPr>
      </w:pPr>
      <w:hyperlink r:id="rId191" w:history="1">
        <w:r w:rsidRPr="007B234B">
          <w:rPr>
            <w:rStyle w:val="Kpr"/>
            <w:lang w:val="en-US"/>
          </w:rPr>
          <w:t>https://www.mevzuat.gov.tr/MevzuatMetin/1.5.3568.pdf</w:t>
        </w:r>
      </w:hyperlink>
      <w:r w:rsidRPr="007B234B">
        <w:rPr>
          <w:lang w:val="en-US"/>
        </w:rPr>
        <w:t xml:space="preserve"> </w:t>
      </w:r>
      <w:r w:rsidRPr="007B234B">
        <w:rPr>
          <w:rFonts w:eastAsia="Calibri"/>
          <w:lang w:val="en-US"/>
        </w:rPr>
        <w:t>Access Date: 11.02.2025.</w:t>
      </w:r>
    </w:p>
    <w:p w14:paraId="0BCB440E" w14:textId="77777777" w:rsidR="001E7189" w:rsidRPr="007B234B" w:rsidRDefault="001E7189">
      <w:pPr>
        <w:pStyle w:val="ListeParagraf"/>
        <w:numPr>
          <w:ilvl w:val="0"/>
          <w:numId w:val="49"/>
        </w:numPr>
        <w:jc w:val="both"/>
        <w:rPr>
          <w:rFonts w:eastAsia="Calibri"/>
          <w:lang w:val="en-US"/>
        </w:rPr>
      </w:pPr>
      <w:hyperlink r:id="rId192" w:history="1">
        <w:r w:rsidRPr="007B234B">
          <w:rPr>
            <w:rStyle w:val="Kpr"/>
            <w:lang w:val="en-US"/>
          </w:rPr>
          <w:t>https://www.mevzuat.gov.tr/MevzuatMetin/1.5.3568.pdf</w:t>
        </w:r>
      </w:hyperlink>
      <w:r w:rsidRPr="007B234B">
        <w:rPr>
          <w:lang w:val="en-US"/>
        </w:rPr>
        <w:t xml:space="preserve"> </w:t>
      </w:r>
      <w:r w:rsidRPr="007B234B">
        <w:rPr>
          <w:rFonts w:eastAsia="Calibri"/>
          <w:lang w:val="en-US"/>
        </w:rPr>
        <w:t>Access Date: 11.02.2025.</w:t>
      </w:r>
    </w:p>
    <w:p w14:paraId="0FFE7D91" w14:textId="77777777" w:rsidR="001E7189" w:rsidRPr="007B234B" w:rsidRDefault="001E7189">
      <w:pPr>
        <w:pStyle w:val="ListeParagraf"/>
        <w:numPr>
          <w:ilvl w:val="0"/>
          <w:numId w:val="49"/>
        </w:numPr>
        <w:jc w:val="both"/>
        <w:rPr>
          <w:rFonts w:eastAsia="Calibri"/>
          <w:lang w:val="en-US"/>
        </w:rPr>
      </w:pPr>
      <w:hyperlink r:id="rId193" w:history="1">
        <w:r w:rsidRPr="007B234B">
          <w:rPr>
            <w:u w:val="single"/>
            <w:lang w:val="en-US"/>
          </w:rPr>
          <w:t>https://www.socpa.org.sa/Socpa/Licenses-and-Quality/Licensed Accountants/2282.aspx</w:t>
        </w:r>
      </w:hyperlink>
      <w:r w:rsidRPr="007B234B">
        <w:rPr>
          <w:u w:val="single"/>
          <w:lang w:val="en-US"/>
        </w:rPr>
        <w:t xml:space="preserve"> </w:t>
      </w:r>
      <w:r w:rsidRPr="007B234B">
        <w:rPr>
          <w:rFonts w:eastAsia="Calibri"/>
          <w:lang w:val="en-US"/>
        </w:rPr>
        <w:t>Access Date: 03.02. 2025.</w:t>
      </w:r>
    </w:p>
    <w:p w14:paraId="3123EB29" w14:textId="77777777" w:rsidR="001E7189" w:rsidRPr="007B234B" w:rsidRDefault="001E7189">
      <w:pPr>
        <w:pStyle w:val="ListeParagraf"/>
        <w:numPr>
          <w:ilvl w:val="0"/>
          <w:numId w:val="49"/>
        </w:numPr>
        <w:jc w:val="both"/>
        <w:rPr>
          <w:lang w:val="en-US"/>
        </w:rPr>
      </w:pPr>
      <w:hyperlink r:id="rId194" w:history="1">
        <w:r w:rsidRPr="007B234B">
          <w:rPr>
            <w:u w:val="single"/>
            <w:lang w:val="en-US"/>
          </w:rPr>
          <w:t>https://www.socpa.org.sa/Socpa/Licenses-and-Quality/Licensed-Accountants/2322.aspx</w:t>
        </w:r>
      </w:hyperlink>
      <w:r w:rsidRPr="007B234B">
        <w:rPr>
          <w:u w:val="single"/>
          <w:lang w:val="en-US"/>
        </w:rPr>
        <w:t xml:space="preserve"> </w:t>
      </w:r>
      <w:r w:rsidRPr="007B234B">
        <w:rPr>
          <w:rFonts w:eastAsia="Calibri"/>
          <w:lang w:val="en-US"/>
        </w:rPr>
        <w:t>Access Date: 11.02.2025.</w:t>
      </w:r>
    </w:p>
    <w:p w14:paraId="4A01424F" w14:textId="77777777" w:rsidR="001E7189" w:rsidRPr="007B234B" w:rsidRDefault="001E7189">
      <w:pPr>
        <w:pStyle w:val="ListeParagraf"/>
        <w:numPr>
          <w:ilvl w:val="0"/>
          <w:numId w:val="49"/>
        </w:numPr>
        <w:jc w:val="both"/>
        <w:rPr>
          <w:lang w:val="en-US"/>
        </w:rPr>
      </w:pPr>
      <w:proofErr w:type="spellStart"/>
      <w:r w:rsidRPr="007B234B">
        <w:rPr>
          <w:lang w:val="en-US"/>
        </w:rPr>
        <w:t>İbadov</w:t>
      </w:r>
      <w:proofErr w:type="spellEnd"/>
      <w:r w:rsidRPr="007B234B">
        <w:rPr>
          <w:lang w:val="en-US"/>
        </w:rPr>
        <w:t xml:space="preserve">, E. (2012). </w:t>
      </w:r>
      <w:r w:rsidRPr="007B234B">
        <w:rPr>
          <w:i/>
          <w:iCs/>
          <w:lang w:val="en-US"/>
        </w:rPr>
        <w:t xml:space="preserve">Comparative analysis of accounting systems of Azerbaijan and Turkey, </w:t>
      </w:r>
      <w:proofErr w:type="gramStart"/>
      <w:r w:rsidRPr="007B234B">
        <w:rPr>
          <w:lang w:val="en-US"/>
        </w:rPr>
        <w:t>Master's</w:t>
      </w:r>
      <w:proofErr w:type="gramEnd"/>
      <w:r w:rsidRPr="007B234B">
        <w:rPr>
          <w:lang w:val="en-US"/>
        </w:rPr>
        <w:t xml:space="preserve"> Thesis, </w:t>
      </w:r>
      <w:proofErr w:type="spellStart"/>
      <w:r w:rsidRPr="007B234B">
        <w:rPr>
          <w:lang w:val="en-US"/>
        </w:rPr>
        <w:t>Dumlupınar</w:t>
      </w:r>
      <w:proofErr w:type="spellEnd"/>
      <w:r w:rsidRPr="007B234B">
        <w:rPr>
          <w:lang w:val="en-US"/>
        </w:rPr>
        <w:t xml:space="preserve"> University Institute of Social Sciences, </w:t>
      </w:r>
      <w:proofErr w:type="spellStart"/>
      <w:r w:rsidRPr="007B234B">
        <w:rPr>
          <w:lang w:val="en-US"/>
        </w:rPr>
        <w:t>Kütahya</w:t>
      </w:r>
      <w:proofErr w:type="spellEnd"/>
      <w:r w:rsidRPr="007B234B">
        <w:rPr>
          <w:lang w:val="en-US"/>
        </w:rPr>
        <w:t>.</w:t>
      </w:r>
    </w:p>
    <w:p w14:paraId="2D59B64E" w14:textId="77777777" w:rsidR="001E7189" w:rsidRPr="007B234B" w:rsidRDefault="001E7189">
      <w:pPr>
        <w:pStyle w:val="ListeParagraf"/>
        <w:numPr>
          <w:ilvl w:val="0"/>
          <w:numId w:val="49"/>
        </w:numPr>
        <w:jc w:val="both"/>
        <w:rPr>
          <w:rFonts w:eastAsia="Calibri"/>
          <w:lang w:val="en-US"/>
        </w:rPr>
      </w:pPr>
      <w:bookmarkStart w:id="167" w:name="_Hlk176549840"/>
      <w:r w:rsidRPr="007B234B">
        <w:rPr>
          <w:rFonts w:eastAsia="Calibri"/>
          <w:lang w:val="en-US"/>
        </w:rPr>
        <w:t xml:space="preserve">IFAC. (2024). </w:t>
      </w:r>
      <w:r w:rsidRPr="007B234B">
        <w:rPr>
          <w:rFonts w:eastAsia="Calibri"/>
          <w:i/>
          <w:iCs/>
          <w:lang w:val="en-US"/>
        </w:rPr>
        <w:t>United Arab Emirates Member Organizations</w:t>
      </w:r>
      <w:r w:rsidRPr="007B234B">
        <w:rPr>
          <w:rFonts w:eastAsia="Calibri"/>
          <w:lang w:val="en-US"/>
        </w:rPr>
        <w:t xml:space="preserve">. </w:t>
      </w:r>
      <w:hyperlink r:id="rId195" w:history="1">
        <w:r w:rsidRPr="007B234B">
          <w:rPr>
            <w:rFonts w:eastAsia="Calibri"/>
            <w:u w:val="single"/>
            <w:lang w:val="en-US"/>
          </w:rPr>
          <w:t>https://www.ifac.org/about-ifac/membership/profile/united-arab-emirates</w:t>
        </w:r>
      </w:hyperlink>
      <w:r w:rsidRPr="007B234B">
        <w:rPr>
          <w:rFonts w:eastAsia="Calibri"/>
          <w:lang w:val="en-US"/>
        </w:rPr>
        <w:t xml:space="preserve"> Access Date: 04.02.2025.</w:t>
      </w:r>
    </w:p>
    <w:bookmarkEnd w:id="167"/>
    <w:p w14:paraId="65B38D80" w14:textId="77777777" w:rsidR="001E7189" w:rsidRPr="007B234B" w:rsidRDefault="001E7189">
      <w:pPr>
        <w:pStyle w:val="ListeParagraf"/>
        <w:numPr>
          <w:ilvl w:val="0"/>
          <w:numId w:val="49"/>
        </w:numPr>
        <w:jc w:val="both"/>
        <w:rPr>
          <w:rFonts w:eastAsia="Calibri"/>
        </w:rPr>
      </w:pPr>
      <w:r w:rsidRPr="007B234B">
        <w:rPr>
          <w:rFonts w:eastAsia="Calibri"/>
          <w:lang w:val="en-US"/>
        </w:rPr>
        <w:t xml:space="preserve">Kaya, A. (2021). </w:t>
      </w:r>
      <w:r w:rsidRPr="007B234B">
        <w:rPr>
          <w:rFonts w:eastAsia="Calibri"/>
          <w:i/>
          <w:iCs/>
          <w:lang w:val="en-US"/>
        </w:rPr>
        <w:t>Accounting history</w:t>
      </w:r>
      <w:r w:rsidRPr="007B234B">
        <w:rPr>
          <w:rFonts w:eastAsia="Calibri"/>
          <w:lang w:val="en-US"/>
        </w:rPr>
        <w:t xml:space="preserve">. </w:t>
      </w:r>
      <w:proofErr w:type="spellStart"/>
      <w:r w:rsidRPr="007B234B">
        <w:rPr>
          <w:rFonts w:eastAsia="Calibri"/>
          <w:lang w:val="en-US"/>
        </w:rPr>
        <w:t>İksad</w:t>
      </w:r>
      <w:proofErr w:type="spellEnd"/>
      <w:r w:rsidRPr="007B234B">
        <w:rPr>
          <w:rFonts w:eastAsia="Calibri"/>
          <w:lang w:val="en-US"/>
        </w:rPr>
        <w:t xml:space="preserve"> Publishing House</w:t>
      </w:r>
      <w:r w:rsidRPr="007B234B">
        <w:rPr>
          <w:rFonts w:eastAsia="Calibri"/>
        </w:rPr>
        <w:t>,</w:t>
      </w:r>
      <w:r w:rsidRPr="007B234B">
        <w:rPr>
          <w:rFonts w:eastAsia="Calibri"/>
          <w:lang w:val="en-US"/>
        </w:rPr>
        <w:t xml:space="preserve"> Ankara.</w:t>
      </w:r>
    </w:p>
    <w:p w14:paraId="3448460F" w14:textId="77777777"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Ministry of Economy of United Arab Emirates. (2024b). </w:t>
      </w:r>
      <w:r w:rsidRPr="007B234B">
        <w:rPr>
          <w:rFonts w:eastAsia="Calibri"/>
          <w:i/>
          <w:iCs/>
          <w:lang w:val="en-US"/>
        </w:rPr>
        <w:t xml:space="preserve">Bir </w:t>
      </w:r>
      <w:proofErr w:type="spellStart"/>
      <w:r w:rsidRPr="007B234B">
        <w:rPr>
          <w:rFonts w:eastAsia="Calibri"/>
          <w:i/>
          <w:iCs/>
          <w:lang w:val="en-US"/>
        </w:rPr>
        <w:t>Gerçek</w:t>
      </w:r>
      <w:proofErr w:type="spellEnd"/>
      <w:r w:rsidRPr="007B234B">
        <w:rPr>
          <w:rFonts w:eastAsia="Calibri"/>
          <w:i/>
          <w:iCs/>
          <w:lang w:val="en-US"/>
        </w:rPr>
        <w:t xml:space="preserve"> </w:t>
      </w:r>
      <w:proofErr w:type="spellStart"/>
      <w:r w:rsidRPr="007B234B">
        <w:rPr>
          <w:rFonts w:eastAsia="Calibri"/>
          <w:i/>
          <w:iCs/>
          <w:lang w:val="en-US"/>
        </w:rPr>
        <w:t>Kişinin</w:t>
      </w:r>
      <w:proofErr w:type="spellEnd"/>
      <w:r w:rsidRPr="007B234B">
        <w:rPr>
          <w:rFonts w:eastAsia="Calibri"/>
          <w:i/>
          <w:iCs/>
          <w:lang w:val="en-US"/>
        </w:rPr>
        <w:t xml:space="preserve"> </w:t>
      </w:r>
      <w:proofErr w:type="spellStart"/>
      <w:r w:rsidRPr="007B234B">
        <w:rPr>
          <w:rFonts w:eastAsia="Calibri"/>
          <w:i/>
          <w:iCs/>
          <w:lang w:val="en-US"/>
        </w:rPr>
        <w:t>Denetçi</w:t>
      </w:r>
      <w:proofErr w:type="spellEnd"/>
      <w:r w:rsidRPr="007B234B">
        <w:rPr>
          <w:rFonts w:eastAsia="Calibri"/>
          <w:i/>
          <w:iCs/>
          <w:lang w:val="en-US"/>
        </w:rPr>
        <w:t xml:space="preserve"> </w:t>
      </w:r>
      <w:proofErr w:type="spellStart"/>
      <w:r w:rsidRPr="007B234B">
        <w:rPr>
          <w:rFonts w:eastAsia="Calibri"/>
          <w:i/>
          <w:iCs/>
          <w:lang w:val="en-US"/>
        </w:rPr>
        <w:t>Siciline</w:t>
      </w:r>
      <w:proofErr w:type="spellEnd"/>
      <w:r w:rsidRPr="007B234B">
        <w:rPr>
          <w:rFonts w:eastAsia="Calibri"/>
          <w:i/>
          <w:iCs/>
          <w:lang w:val="en-US"/>
        </w:rPr>
        <w:t xml:space="preserve"> </w:t>
      </w:r>
      <w:proofErr w:type="spellStart"/>
      <w:r w:rsidRPr="007B234B">
        <w:rPr>
          <w:rFonts w:eastAsia="Calibri"/>
          <w:i/>
          <w:iCs/>
          <w:lang w:val="en-US"/>
        </w:rPr>
        <w:t>Kaydedilmesi</w:t>
      </w:r>
      <w:proofErr w:type="spellEnd"/>
      <w:r w:rsidRPr="007B234B">
        <w:rPr>
          <w:rFonts w:eastAsia="Calibri"/>
          <w:i/>
          <w:iCs/>
          <w:lang w:val="en-US"/>
        </w:rPr>
        <w:t xml:space="preserve"> </w:t>
      </w:r>
      <w:proofErr w:type="spellStart"/>
      <w:r w:rsidRPr="007B234B">
        <w:rPr>
          <w:rFonts w:eastAsia="Calibri"/>
          <w:i/>
          <w:iCs/>
          <w:lang w:val="en-US"/>
        </w:rPr>
        <w:t>İçin</w:t>
      </w:r>
      <w:proofErr w:type="spellEnd"/>
      <w:r w:rsidRPr="007B234B">
        <w:rPr>
          <w:rFonts w:eastAsia="Calibri"/>
          <w:i/>
          <w:iCs/>
          <w:lang w:val="en-US"/>
        </w:rPr>
        <w:t xml:space="preserve"> </w:t>
      </w:r>
      <w:proofErr w:type="spellStart"/>
      <w:r w:rsidRPr="007B234B">
        <w:rPr>
          <w:rFonts w:eastAsia="Calibri"/>
          <w:i/>
          <w:iCs/>
          <w:lang w:val="en-US"/>
        </w:rPr>
        <w:t>Talep</w:t>
      </w:r>
      <w:proofErr w:type="spellEnd"/>
      <w:r w:rsidRPr="007B234B">
        <w:rPr>
          <w:rFonts w:eastAsia="Calibri"/>
          <w:i/>
          <w:iCs/>
          <w:lang w:val="en-US"/>
        </w:rPr>
        <w:t xml:space="preserve"> </w:t>
      </w:r>
      <w:proofErr w:type="spellStart"/>
      <w:r w:rsidRPr="007B234B">
        <w:rPr>
          <w:rFonts w:eastAsia="Calibri"/>
          <w:i/>
          <w:iCs/>
          <w:lang w:val="en-US"/>
        </w:rPr>
        <w:t>Göndermesi</w:t>
      </w:r>
      <w:proofErr w:type="spellEnd"/>
      <w:r w:rsidRPr="007B234B">
        <w:rPr>
          <w:rFonts w:eastAsia="Calibri"/>
          <w:lang w:val="en-US"/>
        </w:rPr>
        <w:t>. https://www.moec.gov.ae/ar/web/guest/submit-a-request-under-natural-person-in-the-auditor-s-record.-exam- Access Date: 05.02.2025.</w:t>
      </w:r>
    </w:p>
    <w:p w14:paraId="53B49021" w14:textId="77777777" w:rsidR="001E7189" w:rsidRPr="007B234B" w:rsidRDefault="001E7189">
      <w:pPr>
        <w:pStyle w:val="ListeParagraf"/>
        <w:numPr>
          <w:ilvl w:val="0"/>
          <w:numId w:val="49"/>
        </w:numPr>
        <w:jc w:val="both"/>
        <w:rPr>
          <w:lang w:val="en-US"/>
        </w:rPr>
      </w:pPr>
      <w:r w:rsidRPr="007B234B">
        <w:rPr>
          <w:lang w:val="en-US"/>
        </w:rPr>
        <w:t xml:space="preserve">Saudi Arabia Accounting and Auditing Law. (2021). </w:t>
      </w:r>
      <w:r w:rsidRPr="007B234B">
        <w:rPr>
          <w:i/>
          <w:iCs/>
          <w:lang w:val="en-US"/>
        </w:rPr>
        <w:t>Accounting and Auditing Profession Law</w:t>
      </w:r>
      <w:r w:rsidRPr="007B234B">
        <w:rPr>
          <w:lang w:val="en-US"/>
        </w:rPr>
        <w:t>.</w:t>
      </w:r>
    </w:p>
    <w:p w14:paraId="510A244B" w14:textId="77777777" w:rsidR="001E7189" w:rsidRPr="007B234B" w:rsidRDefault="001E7189">
      <w:pPr>
        <w:pStyle w:val="ListeParagraf"/>
        <w:numPr>
          <w:ilvl w:val="0"/>
          <w:numId w:val="49"/>
        </w:numPr>
        <w:jc w:val="both"/>
        <w:rPr>
          <w:rFonts w:eastAsia="Calibri"/>
        </w:rPr>
      </w:pPr>
      <w:r w:rsidRPr="007B234B">
        <w:rPr>
          <w:lang w:val="en-US"/>
        </w:rPr>
        <w:lastRenderedPageBreak/>
        <w:t xml:space="preserve">SOCPA. (2024b). </w:t>
      </w:r>
      <w:r w:rsidRPr="007B234B">
        <w:rPr>
          <w:i/>
          <w:iCs/>
          <w:lang w:val="en-US"/>
        </w:rPr>
        <w:t>Professional Practice Conditions</w:t>
      </w:r>
      <w:r w:rsidRPr="007B234B">
        <w:rPr>
          <w:lang w:val="en-US"/>
        </w:rPr>
        <w:t>.</w:t>
      </w:r>
      <w:r w:rsidRPr="002906A3">
        <w:t xml:space="preserve"> </w:t>
      </w:r>
      <w:hyperlink r:id="rId196" w:history="1">
        <w:r w:rsidRPr="002906A3">
          <w:rPr>
            <w:rStyle w:val="Kpr"/>
          </w:rPr>
          <w:t>https://www.socpa.org.sa/Socpa/Licenses-and-Quality/Licensed-Accountants/2322.aspx</w:t>
        </w:r>
      </w:hyperlink>
      <w:r w:rsidRPr="002906A3">
        <w:rPr>
          <w:rStyle w:val="Kpr"/>
        </w:rPr>
        <w:t xml:space="preserve"> </w:t>
      </w:r>
      <w:r w:rsidRPr="007B234B">
        <w:rPr>
          <w:rFonts w:eastAsia="Calibri"/>
        </w:rPr>
        <w:t xml:space="preserve"> </w:t>
      </w:r>
      <w:r w:rsidRPr="007B234B">
        <w:rPr>
          <w:rFonts w:eastAsia="Calibri"/>
          <w:lang w:val="en-US"/>
        </w:rPr>
        <w:t>Access Date</w:t>
      </w:r>
      <w:r w:rsidRPr="007B234B">
        <w:rPr>
          <w:rFonts w:eastAsia="Calibri"/>
        </w:rPr>
        <w:t>: 11.02.2025.</w:t>
      </w:r>
    </w:p>
    <w:p w14:paraId="0D1F3714" w14:textId="77777777" w:rsidR="001E7189" w:rsidRPr="007B234B" w:rsidRDefault="001E7189">
      <w:pPr>
        <w:pStyle w:val="ListeParagraf"/>
        <w:numPr>
          <w:ilvl w:val="0"/>
          <w:numId w:val="49"/>
        </w:numPr>
        <w:jc w:val="both"/>
        <w:rPr>
          <w:lang w:val="en-US"/>
        </w:rPr>
      </w:pPr>
      <w:bookmarkStart w:id="168" w:name="_Hlk176550417"/>
      <w:r w:rsidRPr="007B234B">
        <w:rPr>
          <w:lang w:val="en-US"/>
        </w:rPr>
        <w:t xml:space="preserve">SOCPA. (2024c). </w:t>
      </w:r>
      <w:r w:rsidRPr="007B234B">
        <w:rPr>
          <w:i/>
          <w:iCs/>
          <w:lang w:val="en-US"/>
        </w:rPr>
        <w:t>The Organization in Numbers</w:t>
      </w:r>
      <w:r w:rsidRPr="007B234B">
        <w:rPr>
          <w:lang w:val="en-US"/>
        </w:rPr>
        <w:t xml:space="preserve">. </w:t>
      </w:r>
      <w:hyperlink r:id="rId197" w:history="1">
        <w:r w:rsidRPr="007B234B">
          <w:rPr>
            <w:u w:val="single"/>
            <w:lang w:val="en-US"/>
          </w:rPr>
          <w:t>https://www.socpa.org.sa/Socpa/Media-Center/SOCPA-In-Numbers.aspx</w:t>
        </w:r>
      </w:hyperlink>
      <w:r w:rsidRPr="007B234B">
        <w:rPr>
          <w:lang w:val="en-US"/>
        </w:rPr>
        <w:t xml:space="preserve"> </w:t>
      </w:r>
      <w:r w:rsidRPr="007B234B">
        <w:rPr>
          <w:rFonts w:eastAsia="Calibri"/>
          <w:lang w:val="en-US"/>
        </w:rPr>
        <w:t>Access Date</w:t>
      </w:r>
      <w:r w:rsidRPr="007B234B">
        <w:rPr>
          <w:lang w:val="en-US"/>
        </w:rPr>
        <w:t>: 15.02. 2025.</w:t>
      </w:r>
    </w:p>
    <w:p w14:paraId="0190A7FA" w14:textId="77777777" w:rsidR="001E7189" w:rsidRPr="007B234B" w:rsidRDefault="001E7189">
      <w:pPr>
        <w:pStyle w:val="ListeParagraf"/>
        <w:numPr>
          <w:ilvl w:val="0"/>
          <w:numId w:val="49"/>
        </w:numPr>
        <w:jc w:val="both"/>
        <w:rPr>
          <w:lang w:val="en-US"/>
        </w:rPr>
      </w:pPr>
      <w:r w:rsidRPr="007B234B">
        <w:rPr>
          <w:lang w:val="en-US"/>
        </w:rPr>
        <w:t xml:space="preserve">T.C Certified Public </w:t>
      </w:r>
      <w:proofErr w:type="gramStart"/>
      <w:r w:rsidRPr="007B234B">
        <w:rPr>
          <w:lang w:val="en-US"/>
        </w:rPr>
        <w:t>Accountant, and</w:t>
      </w:r>
      <w:proofErr w:type="gramEnd"/>
      <w:r w:rsidRPr="007B234B">
        <w:rPr>
          <w:lang w:val="en-US"/>
        </w:rPr>
        <w:t xml:space="preserve"> Sworn-in Certified Public Accountant Law. (1989). </w:t>
      </w:r>
      <w:hyperlink r:id="rId198" w:history="1">
        <w:r w:rsidRPr="007B234B">
          <w:rPr>
            <w:rStyle w:val="Kpr"/>
            <w:lang w:val="en-US"/>
          </w:rPr>
          <w:t>https://www.turmob.org.tr/Arsiv/turmobwebdb/dosyalar/ingilizce7.pdf</w:t>
        </w:r>
      </w:hyperlink>
      <w:r w:rsidRPr="007B234B">
        <w:rPr>
          <w:lang w:val="en-US"/>
        </w:rPr>
        <w:t xml:space="preserve"> </w:t>
      </w:r>
      <w:proofErr w:type="spellStart"/>
      <w:r w:rsidRPr="007B234B">
        <w:rPr>
          <w:lang w:val="en-US"/>
        </w:rPr>
        <w:t>Acsses</w:t>
      </w:r>
      <w:proofErr w:type="spellEnd"/>
      <w:r w:rsidRPr="007B234B">
        <w:rPr>
          <w:lang w:val="en-US"/>
        </w:rPr>
        <w:t xml:space="preserve"> Date: 13.02.2025</w:t>
      </w:r>
    </w:p>
    <w:bookmarkEnd w:id="168"/>
    <w:p w14:paraId="2588CDA8" w14:textId="77777777" w:rsidR="001E7189" w:rsidRPr="007B234B" w:rsidRDefault="001E7189">
      <w:pPr>
        <w:pStyle w:val="ListeParagraf"/>
        <w:numPr>
          <w:ilvl w:val="0"/>
          <w:numId w:val="49"/>
        </w:numPr>
        <w:jc w:val="both"/>
        <w:rPr>
          <w:lang w:val="en-US"/>
        </w:rPr>
      </w:pPr>
      <w:r w:rsidRPr="007B234B">
        <w:rPr>
          <w:lang w:val="en-US"/>
        </w:rPr>
        <w:t xml:space="preserve">Terzi, A. (2015). </w:t>
      </w:r>
      <w:proofErr w:type="gramStart"/>
      <w:r w:rsidRPr="007B234B">
        <w:rPr>
          <w:lang w:val="en-US"/>
        </w:rPr>
        <w:t>A Research</w:t>
      </w:r>
      <w:proofErr w:type="gramEnd"/>
      <w:r w:rsidRPr="007B234B">
        <w:rPr>
          <w:lang w:val="en-US"/>
        </w:rPr>
        <w:t xml:space="preserve"> on the expectations, problems and perceptions of accounting professionals about their professions: Rize case. </w:t>
      </w:r>
      <w:proofErr w:type="spellStart"/>
      <w:r w:rsidRPr="007B234B">
        <w:rPr>
          <w:i/>
          <w:iCs/>
          <w:lang w:val="en-US"/>
        </w:rPr>
        <w:t>Ardahan</w:t>
      </w:r>
      <w:proofErr w:type="spellEnd"/>
      <w:r w:rsidRPr="007B234B">
        <w:rPr>
          <w:i/>
          <w:iCs/>
          <w:lang w:val="en-US"/>
        </w:rPr>
        <w:t xml:space="preserve"> University Faculty of Economics and Administrative Sciences Journal, </w:t>
      </w:r>
      <w:r w:rsidRPr="007B234B">
        <w:rPr>
          <w:lang w:val="en-US"/>
        </w:rPr>
        <w:t>(2), 193-212.</w:t>
      </w:r>
    </w:p>
    <w:p w14:paraId="0C46637A" w14:textId="77777777"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Tetik, N., </w:t>
      </w:r>
      <w:proofErr w:type="spellStart"/>
      <w:r w:rsidRPr="007B234B">
        <w:rPr>
          <w:rFonts w:eastAsia="Calibri"/>
          <w:lang w:val="en-US"/>
        </w:rPr>
        <w:t>Kınay</w:t>
      </w:r>
      <w:proofErr w:type="spellEnd"/>
      <w:r w:rsidRPr="007B234B">
        <w:rPr>
          <w:rFonts w:eastAsia="Calibri"/>
          <w:lang w:val="en-US"/>
        </w:rPr>
        <w:t xml:space="preserve">, F., </w:t>
      </w:r>
      <w:r w:rsidRPr="007B234B">
        <w:rPr>
          <w:lang w:val="en-US"/>
        </w:rPr>
        <w:t xml:space="preserve">&amp; </w:t>
      </w:r>
      <w:proofErr w:type="spellStart"/>
      <w:r w:rsidRPr="007B234B">
        <w:rPr>
          <w:rFonts w:eastAsia="Calibri"/>
          <w:lang w:val="en-US"/>
        </w:rPr>
        <w:t>Ciğer</w:t>
      </w:r>
      <w:proofErr w:type="spellEnd"/>
      <w:r w:rsidRPr="007B234B">
        <w:rPr>
          <w:rFonts w:eastAsia="Calibri"/>
          <w:lang w:val="en-US"/>
        </w:rPr>
        <w:t xml:space="preserve">, A. (2008). </w:t>
      </w:r>
      <w:proofErr w:type="gramStart"/>
      <w:r w:rsidRPr="007B234B">
        <w:rPr>
          <w:rFonts w:eastAsia="Calibri"/>
          <w:lang w:val="en-US"/>
        </w:rPr>
        <w:t>A research</w:t>
      </w:r>
      <w:proofErr w:type="gramEnd"/>
      <w:r w:rsidRPr="007B234B">
        <w:rPr>
          <w:rFonts w:eastAsia="Calibri"/>
          <w:lang w:val="en-US"/>
        </w:rPr>
        <w:t xml:space="preserve"> to determine the situation analysis and expectations of accounting professionals in Antalya province. </w:t>
      </w:r>
      <w:r w:rsidRPr="007B234B">
        <w:rPr>
          <w:rFonts w:eastAsia="Calibri"/>
          <w:i/>
          <w:iCs/>
          <w:lang w:val="en-US"/>
        </w:rPr>
        <w:t>Accounting and Finance Journal</w:t>
      </w:r>
      <w:r w:rsidRPr="007B234B">
        <w:rPr>
          <w:rFonts w:eastAsia="Calibri"/>
          <w:lang w:val="en-US"/>
        </w:rPr>
        <w:t>, (38), 70-79.</w:t>
      </w:r>
    </w:p>
    <w:p w14:paraId="0362FC34" w14:textId="77777777" w:rsidR="001E7189" w:rsidRPr="007B234B" w:rsidRDefault="001E7189">
      <w:pPr>
        <w:pStyle w:val="ListeParagraf"/>
        <w:numPr>
          <w:ilvl w:val="0"/>
          <w:numId w:val="49"/>
        </w:numPr>
        <w:jc w:val="both"/>
        <w:rPr>
          <w:i/>
          <w:iCs/>
          <w:lang w:val="en-US"/>
        </w:rPr>
      </w:pPr>
      <w:r w:rsidRPr="007B234B">
        <w:rPr>
          <w:lang w:val="en-US"/>
        </w:rPr>
        <w:t xml:space="preserve">Tofan, S. (2019). </w:t>
      </w:r>
      <w:r w:rsidRPr="007B234B">
        <w:rPr>
          <w:i/>
          <w:iCs/>
          <w:lang w:val="en-US"/>
        </w:rPr>
        <w:t xml:space="preserve">Comparison of accounting systems of Afghanistan and Turkey, </w:t>
      </w:r>
      <w:proofErr w:type="gramStart"/>
      <w:r w:rsidRPr="007B234B">
        <w:rPr>
          <w:lang w:val="en-US"/>
        </w:rPr>
        <w:t>Master's</w:t>
      </w:r>
      <w:proofErr w:type="gramEnd"/>
      <w:r w:rsidRPr="007B234B">
        <w:rPr>
          <w:lang w:val="en-US"/>
        </w:rPr>
        <w:t xml:space="preserve"> Thesis, Gaziantep University Institute of Social Sciences, Gaziantep.</w:t>
      </w:r>
    </w:p>
    <w:p w14:paraId="07720D8E" w14:textId="77777777" w:rsidR="001E7189" w:rsidRPr="007B234B" w:rsidRDefault="001E7189">
      <w:pPr>
        <w:pStyle w:val="ListeParagraf"/>
        <w:numPr>
          <w:ilvl w:val="0"/>
          <w:numId w:val="49"/>
        </w:numPr>
        <w:jc w:val="both"/>
        <w:rPr>
          <w:rFonts w:eastAsia="Calibri"/>
          <w:lang w:val="en-US"/>
        </w:rPr>
      </w:pPr>
      <w:r w:rsidRPr="007B234B">
        <w:rPr>
          <w:rFonts w:eastAsia="Calibri"/>
          <w:lang w:val="en-US"/>
        </w:rPr>
        <w:t xml:space="preserve">Trabelsi, N., </w:t>
      </w:r>
      <w:bookmarkStart w:id="169" w:name="_Hlk170481681"/>
      <w:r w:rsidRPr="007B234B">
        <w:rPr>
          <w:lang w:val="en-US"/>
        </w:rPr>
        <w:t xml:space="preserve">&amp; </w:t>
      </w:r>
      <w:r w:rsidRPr="007B234B">
        <w:rPr>
          <w:rFonts w:eastAsia="Calibri"/>
          <w:lang w:val="en-US"/>
        </w:rPr>
        <w:t>Trabelsi</w:t>
      </w:r>
      <w:bookmarkEnd w:id="169"/>
      <w:r w:rsidRPr="007B234B">
        <w:rPr>
          <w:rFonts w:eastAsia="Calibri"/>
          <w:lang w:val="en-US"/>
        </w:rPr>
        <w:t>, M. (2014). The value relevance of IFRS in the UAE banking industry</w:t>
      </w:r>
      <w:r w:rsidRPr="007B234B">
        <w:rPr>
          <w:rFonts w:eastAsia="Calibri"/>
          <w:rtl/>
          <w:lang w:val="en-US"/>
        </w:rPr>
        <w:t>:</w:t>
      </w:r>
      <w:r w:rsidRPr="007B234B">
        <w:rPr>
          <w:rFonts w:eastAsia="Calibri"/>
          <w:lang w:val="en-US"/>
        </w:rPr>
        <w:t xml:space="preserve"> Empirical evidence from Dubai financial market, 2008-2013, </w:t>
      </w:r>
      <w:r w:rsidRPr="007B234B">
        <w:rPr>
          <w:rFonts w:eastAsia="Calibri"/>
          <w:i/>
          <w:iCs/>
          <w:lang w:val="en-US"/>
        </w:rPr>
        <w:t>International Journal of Academic Research in Accounting, Finance and Management Sciences</w:t>
      </w:r>
      <w:r w:rsidRPr="007B234B">
        <w:rPr>
          <w:rFonts w:eastAsia="Calibri"/>
          <w:lang w:val="en-US"/>
        </w:rPr>
        <w:t>, 4(4), 60-71. 10.6007/IJARAFMS/v4-i4/1241</w:t>
      </w:r>
    </w:p>
    <w:p w14:paraId="3D7EB453" w14:textId="22D06F43" w:rsidR="00C70E93" w:rsidRDefault="001E7189">
      <w:pPr>
        <w:pStyle w:val="ListeParagraf"/>
        <w:numPr>
          <w:ilvl w:val="0"/>
          <w:numId w:val="49"/>
        </w:numPr>
        <w:jc w:val="both"/>
        <w:rPr>
          <w:lang w:val="en-US"/>
        </w:rPr>
      </w:pPr>
      <w:r w:rsidRPr="007B234B">
        <w:rPr>
          <w:lang w:val="en-US"/>
        </w:rPr>
        <w:t xml:space="preserve">TÜRMOB. (2024). </w:t>
      </w:r>
      <w:r w:rsidRPr="007B234B">
        <w:rPr>
          <w:i/>
          <w:iCs/>
          <w:lang w:val="en-US"/>
        </w:rPr>
        <w:t>Professionals Distribution Table (SM-SMMM)</w:t>
      </w:r>
      <w:r w:rsidRPr="007B234B">
        <w:rPr>
          <w:lang w:val="en-US"/>
        </w:rPr>
        <w:t xml:space="preserve">. </w:t>
      </w:r>
      <w:hyperlink r:id="rId199" w:history="1">
        <w:r w:rsidRPr="007B234B">
          <w:rPr>
            <w:u w:val="single"/>
            <w:lang w:val="en-US"/>
          </w:rPr>
          <w:t>https://www.turmob.org.tr/istatistikler/c8172e63-2bef-4919-a863-86e403bfdf0a/meslek-mensubu-dagilim-tablosu-(sm-smmm)</w:t>
        </w:r>
      </w:hyperlink>
      <w:r w:rsidRPr="007B234B">
        <w:rPr>
          <w:lang w:val="en-US"/>
        </w:rPr>
        <w:t xml:space="preserve"> </w:t>
      </w:r>
      <w:r w:rsidRPr="007B234B">
        <w:rPr>
          <w:rFonts w:eastAsia="Calibri"/>
          <w:lang w:val="en-US"/>
        </w:rPr>
        <w:t>Access Date</w:t>
      </w:r>
      <w:r w:rsidRPr="007B234B">
        <w:rPr>
          <w:lang w:val="en-US"/>
        </w:rPr>
        <w:t>: 06.01.2024.</w:t>
      </w:r>
    </w:p>
    <w:p w14:paraId="0A5F785F" w14:textId="68569A23" w:rsidR="00BF3875" w:rsidRPr="00C70E93" w:rsidRDefault="00C70E93" w:rsidP="00C70E93">
      <w:pPr>
        <w:autoSpaceDE/>
        <w:autoSpaceDN/>
        <w:rPr>
          <w:lang w:val="en-US"/>
        </w:rPr>
      </w:pPr>
      <w:r>
        <w:rPr>
          <w:lang w:val="en-US"/>
        </w:rPr>
        <w:br w:type="page"/>
      </w:r>
    </w:p>
    <w:p w14:paraId="53263017" w14:textId="77777777" w:rsidR="001E7189" w:rsidRPr="002906A3" w:rsidRDefault="001E7189" w:rsidP="004C7694">
      <w:pPr>
        <w:pStyle w:val="Tark"/>
        <w:rPr>
          <w:lang w:val="en-US"/>
        </w:rPr>
      </w:pPr>
      <w:bookmarkStart w:id="170" w:name="_Toc192855229"/>
      <w:r w:rsidRPr="002906A3">
        <w:rPr>
          <w:lang w:val="en-US"/>
        </w:rPr>
        <w:lastRenderedPageBreak/>
        <w:t>Status of Accounting Education in Saudi Arabia, United Arab Emirates and Turkey Accounting Systems</w:t>
      </w:r>
      <w:r w:rsidRPr="002906A3">
        <w:rPr>
          <w:rStyle w:val="DipnotBavurusu"/>
          <w:bCs/>
          <w:lang w:val="en-US"/>
        </w:rPr>
        <w:footnoteReference w:id="21"/>
      </w:r>
      <w:bookmarkEnd w:id="170"/>
    </w:p>
    <w:p w14:paraId="7B0FC88E" w14:textId="77777777" w:rsidR="001E7189" w:rsidRPr="002906A3" w:rsidRDefault="001E7189" w:rsidP="00BA67A6">
      <w:pPr>
        <w:jc w:val="center"/>
        <w:rPr>
          <w:lang w:val="en-US"/>
        </w:rPr>
      </w:pPr>
    </w:p>
    <w:p w14:paraId="278DE680" w14:textId="77777777" w:rsidR="001E7189" w:rsidRPr="002906A3" w:rsidRDefault="001E7189" w:rsidP="00BA67A6">
      <w:pPr>
        <w:jc w:val="center"/>
        <w:rPr>
          <w:lang w:val="en-US"/>
        </w:rPr>
      </w:pPr>
      <w:r w:rsidRPr="002906A3">
        <w:rPr>
          <w:lang w:val="en-US"/>
        </w:rPr>
        <w:t>Mohammad HAJ HAMIDOW</w:t>
      </w:r>
    </w:p>
    <w:p w14:paraId="09D07A2B" w14:textId="77777777" w:rsidR="001E7189" w:rsidRPr="002906A3" w:rsidRDefault="001E7189" w:rsidP="00BA67A6">
      <w:pPr>
        <w:jc w:val="center"/>
        <w:rPr>
          <w:lang w:val="en-US"/>
        </w:rPr>
      </w:pPr>
      <w:r w:rsidRPr="002906A3">
        <w:rPr>
          <w:lang w:val="en-US"/>
        </w:rPr>
        <w:t>Dr, Independent Researcher</w:t>
      </w:r>
    </w:p>
    <w:p w14:paraId="1DEB89E8" w14:textId="77777777" w:rsidR="001E7189" w:rsidRPr="002906A3" w:rsidRDefault="001E7189" w:rsidP="00BA67A6">
      <w:pPr>
        <w:jc w:val="center"/>
        <w:rPr>
          <w:lang w:val="en-US"/>
        </w:rPr>
      </w:pPr>
      <w:r w:rsidRPr="002906A3">
        <w:rPr>
          <w:lang w:val="en-US"/>
        </w:rPr>
        <w:t>Mohammad.h.hamidow@gmail.com</w:t>
      </w:r>
    </w:p>
    <w:p w14:paraId="70164B4A" w14:textId="77777777" w:rsidR="001E7189" w:rsidRPr="002906A3" w:rsidRDefault="001E7189" w:rsidP="00BA67A6">
      <w:pPr>
        <w:jc w:val="center"/>
        <w:rPr>
          <w:lang w:val="en-US"/>
        </w:rPr>
      </w:pPr>
      <w:r w:rsidRPr="002906A3">
        <w:rPr>
          <w:lang w:val="en-US"/>
        </w:rPr>
        <w:t>https://orcid.org/ 0000-0003-0235-6337</w:t>
      </w:r>
    </w:p>
    <w:p w14:paraId="22535710" w14:textId="77777777" w:rsidR="001E7189" w:rsidRPr="002906A3" w:rsidRDefault="001E7189" w:rsidP="00BA67A6">
      <w:pPr>
        <w:jc w:val="center"/>
        <w:rPr>
          <w:lang w:val="en-US"/>
        </w:rPr>
      </w:pPr>
    </w:p>
    <w:p w14:paraId="723FB9FB" w14:textId="77777777" w:rsidR="001E7189" w:rsidRPr="002906A3" w:rsidRDefault="001E7189" w:rsidP="00BA67A6">
      <w:pPr>
        <w:jc w:val="center"/>
      </w:pPr>
      <w:r w:rsidRPr="002906A3">
        <w:rPr>
          <w:lang w:val="en-US"/>
        </w:rPr>
        <w:t>Zeki DO</w:t>
      </w:r>
      <w:r w:rsidRPr="002906A3">
        <w:t>ĞAN</w:t>
      </w:r>
    </w:p>
    <w:p w14:paraId="11CEC2BB" w14:textId="77777777" w:rsidR="001E7189" w:rsidRPr="002906A3" w:rsidRDefault="001E7189" w:rsidP="00BA67A6">
      <w:pPr>
        <w:jc w:val="center"/>
        <w:rPr>
          <w:lang w:val="en-US"/>
        </w:rPr>
      </w:pPr>
      <w:r w:rsidRPr="002906A3">
        <w:rPr>
          <w:lang w:val="en-US"/>
        </w:rPr>
        <w:t xml:space="preserve">Prof. Dr, </w:t>
      </w:r>
      <w:proofErr w:type="spellStart"/>
      <w:r w:rsidRPr="002906A3">
        <w:rPr>
          <w:lang w:val="en-US"/>
        </w:rPr>
        <w:t>Niğde</w:t>
      </w:r>
      <w:proofErr w:type="spellEnd"/>
      <w:r w:rsidRPr="002906A3">
        <w:rPr>
          <w:lang w:val="en-US"/>
        </w:rPr>
        <w:t xml:space="preserve"> Ömer </w:t>
      </w:r>
      <w:proofErr w:type="spellStart"/>
      <w:r w:rsidRPr="002906A3">
        <w:rPr>
          <w:lang w:val="en-US"/>
        </w:rPr>
        <w:t>Halisdemir</w:t>
      </w:r>
      <w:proofErr w:type="spellEnd"/>
      <w:r w:rsidRPr="002906A3">
        <w:rPr>
          <w:lang w:val="en-US"/>
        </w:rPr>
        <w:t xml:space="preserve"> University, Department of Business Administration, Division of Accounting and Finance</w:t>
      </w:r>
    </w:p>
    <w:p w14:paraId="44112CAA" w14:textId="77777777" w:rsidR="001E7189" w:rsidRPr="002906A3" w:rsidRDefault="001E7189" w:rsidP="00BA67A6">
      <w:pPr>
        <w:jc w:val="center"/>
        <w:rPr>
          <w:lang w:val="en-US"/>
        </w:rPr>
      </w:pPr>
      <w:r w:rsidRPr="002906A3">
        <w:rPr>
          <w:lang w:val="en-US"/>
        </w:rPr>
        <w:t>zekidogan7@hotmail.com</w:t>
      </w:r>
    </w:p>
    <w:p w14:paraId="3D641267" w14:textId="2D1C7B60" w:rsidR="001E7189" w:rsidRPr="002906A3" w:rsidRDefault="001E7189" w:rsidP="00BA67A6">
      <w:pPr>
        <w:jc w:val="center"/>
        <w:rPr>
          <w:lang w:val="en-US"/>
        </w:rPr>
      </w:pPr>
      <w:r w:rsidRPr="002906A3">
        <w:rPr>
          <w:lang w:val="en-US"/>
        </w:rPr>
        <w:t>https://orcid.org/ 0000-0003-3328-7565</w:t>
      </w:r>
    </w:p>
    <w:p w14:paraId="4322CF36" w14:textId="2874FFFC" w:rsidR="001E7189" w:rsidRPr="002906A3" w:rsidRDefault="001E7189" w:rsidP="00BA67A6">
      <w:pPr>
        <w:jc w:val="both"/>
        <w:rPr>
          <w:lang w:val="en-US"/>
        </w:rPr>
      </w:pPr>
    </w:p>
    <w:p w14:paraId="297423A2" w14:textId="77777777" w:rsidR="001E7189" w:rsidRPr="002906A3" w:rsidRDefault="001E7189" w:rsidP="00BA67A6">
      <w:pPr>
        <w:jc w:val="center"/>
        <w:rPr>
          <w:b/>
          <w:bCs/>
          <w:lang w:val="en-US"/>
        </w:rPr>
      </w:pPr>
      <w:r w:rsidRPr="002906A3">
        <w:rPr>
          <w:b/>
          <w:bCs/>
          <w:lang w:val="en-US"/>
        </w:rPr>
        <w:t>Abstract</w:t>
      </w:r>
    </w:p>
    <w:p w14:paraId="6787CF99" w14:textId="77777777" w:rsidR="001E7189" w:rsidRPr="002906A3" w:rsidRDefault="001E7189" w:rsidP="00BA67A6">
      <w:pPr>
        <w:jc w:val="both"/>
        <w:rPr>
          <w:lang w:val="en-US"/>
        </w:rPr>
      </w:pPr>
      <w:r w:rsidRPr="002906A3">
        <w:rPr>
          <w:lang w:val="en-US"/>
        </w:rPr>
        <w:t xml:space="preserve">It is accepted that the most important factor in improving the quality of the accounting profession is accounting education. Those who have received a good and sufficient accounting education can </w:t>
      </w:r>
      <w:proofErr w:type="gramStart"/>
      <w:r w:rsidRPr="002906A3">
        <w:rPr>
          <w:lang w:val="en-US"/>
        </w:rPr>
        <w:t>perform</w:t>
      </w:r>
      <w:proofErr w:type="gramEnd"/>
      <w:r w:rsidRPr="002906A3">
        <w:rPr>
          <w:lang w:val="en-US"/>
        </w:rPr>
        <w:t xml:space="preserve"> the accounting profession in the best way. Although the accounting profession is one of the oldest known professions, the interest in accounting education started in the 20th century. Due to the increasing economic and trade relations between Saudi Arabia, United Arab Emirates and Turkey, the demand for accounting services in these countries has increased. Therefore, accounting education has been given great importance in these three countries in recent years. This study aims to shed light on the history and status of accounting education in Saudi Arabia, United Arab Emirates and Turkey.</w:t>
      </w:r>
    </w:p>
    <w:p w14:paraId="603400F0" w14:textId="77777777" w:rsidR="001E7189" w:rsidRPr="002906A3" w:rsidRDefault="001E7189" w:rsidP="00BA67A6">
      <w:pPr>
        <w:jc w:val="both"/>
        <w:rPr>
          <w:lang w:val="en-US"/>
        </w:rPr>
      </w:pPr>
    </w:p>
    <w:p w14:paraId="4614E7A8" w14:textId="42E55A4F" w:rsidR="001E7189" w:rsidRPr="002906A3" w:rsidRDefault="001E7189" w:rsidP="00BA67A6">
      <w:pPr>
        <w:jc w:val="both"/>
        <w:rPr>
          <w:lang w:val="en-US"/>
        </w:rPr>
      </w:pPr>
      <w:r w:rsidRPr="002906A3">
        <w:rPr>
          <w:b/>
          <w:bCs/>
          <w:lang w:val="en-US"/>
        </w:rPr>
        <w:t>Key</w:t>
      </w:r>
      <w:r w:rsidR="00BF3875">
        <w:rPr>
          <w:b/>
          <w:bCs/>
          <w:lang w:val="en-US"/>
        </w:rPr>
        <w:t>w</w:t>
      </w:r>
      <w:r w:rsidRPr="002906A3">
        <w:rPr>
          <w:b/>
          <w:bCs/>
          <w:lang w:val="en-US"/>
        </w:rPr>
        <w:t xml:space="preserve">ords: </w:t>
      </w:r>
      <w:r w:rsidRPr="002906A3">
        <w:rPr>
          <w:lang w:val="en-US"/>
        </w:rPr>
        <w:t>History of Accounting Education, Accounting Education in Saudi Arabia, Accounting Education in United Arab Emirates, Accounting Education in Turkey.</w:t>
      </w:r>
    </w:p>
    <w:p w14:paraId="2B07E429" w14:textId="77777777" w:rsidR="001E7189" w:rsidRPr="002906A3" w:rsidRDefault="001E7189" w:rsidP="00BA67A6">
      <w:pPr>
        <w:jc w:val="both"/>
        <w:rPr>
          <w:lang w:val="en-US"/>
        </w:rPr>
      </w:pPr>
    </w:p>
    <w:p w14:paraId="68C8C159" w14:textId="708B53CE" w:rsidR="001E7189" w:rsidRPr="002906A3" w:rsidRDefault="006871AB" w:rsidP="00BA67A6">
      <w:pPr>
        <w:jc w:val="both"/>
        <w:rPr>
          <w:b/>
          <w:bCs/>
          <w:lang w:val="en-US"/>
        </w:rPr>
      </w:pPr>
      <w:r w:rsidRPr="002906A3">
        <w:rPr>
          <w:b/>
          <w:bCs/>
          <w:lang w:val="en-US"/>
        </w:rPr>
        <w:t>Introduction</w:t>
      </w:r>
    </w:p>
    <w:p w14:paraId="78AE65F8" w14:textId="77777777" w:rsidR="001E7189" w:rsidRPr="002906A3" w:rsidRDefault="001E7189" w:rsidP="00BA67A6">
      <w:pPr>
        <w:jc w:val="both"/>
        <w:rPr>
          <w:rtl/>
          <w:lang w:val="en-US"/>
        </w:rPr>
      </w:pPr>
      <w:r w:rsidRPr="002906A3">
        <w:rPr>
          <w:lang w:val="en-US"/>
        </w:rPr>
        <w:t xml:space="preserve">When examining historical data on how accounting education was delivered, it is evident that accounting was still perceived as a craft within the master-apprentice relationship in the 19th century and was taught accordingly. However, after the 20th century, it began to be included in higher education programs. Therefore, the parallel development of accounting education with the years when the accounting profession gained importance globally is proof of its close connection with the profession. Accounting education first indirectly affects the accounting profession </w:t>
      </w:r>
      <w:proofErr w:type="gramStart"/>
      <w:r w:rsidRPr="002906A3">
        <w:rPr>
          <w:lang w:val="en-US"/>
        </w:rPr>
        <w:t>and also</w:t>
      </w:r>
      <w:proofErr w:type="gramEnd"/>
      <w:r w:rsidRPr="002906A3">
        <w:rPr>
          <w:lang w:val="en-US"/>
        </w:rPr>
        <w:t xml:space="preserve"> the accounting system (Ateş, 2023). A good accounting education is the first step in establishing and developing the accounting system. Therefore, the implementation of the accounting system is faster in countries with high-quality accounting education. When viewed from a broader perspective, there is a direct relationship between the education level of a country’s citizens and the quality of the financial reports that result from the accounting system and process. Countries with well-educated populations have advanced accounting systems (</w:t>
      </w:r>
      <w:proofErr w:type="spellStart"/>
      <w:r w:rsidRPr="002906A3">
        <w:rPr>
          <w:lang w:val="en-US"/>
        </w:rPr>
        <w:t>Üç</w:t>
      </w:r>
      <w:proofErr w:type="spellEnd"/>
      <w:r w:rsidRPr="002906A3">
        <w:rPr>
          <w:lang w:val="en-US"/>
        </w:rPr>
        <w:t xml:space="preserve">, 2009). Advances in science and technology have also had a positive impact on </w:t>
      </w:r>
      <w:r w:rsidRPr="002906A3">
        <w:rPr>
          <w:lang w:val="en-US"/>
        </w:rPr>
        <w:lastRenderedPageBreak/>
        <w:t xml:space="preserve">accounting systems. Therefore, accounting professionals, auditors, information users and regulators need to have sufficient technical capacity to develop the accounting system. Furthermore, it requires some technological innovations. The use of computer technologies in accounting systems as a record-keeping activity has evidently contributed greatly to the simplification and development of accounting processes. Thanks to information and communication technologies, developments in the world of accounting are easily followed, and the desired information can be accessed quickly and cost-effectively (Alkan, 2021). Finally, the content and quality of education provided in a country and its alignment with the country's economic and social needs are decisive. Countries with well-educated populations have advanced accounting systems. In parallel, accounting course programs in universities should be continuously updated according to changing market conditions, laws, regulations, and demands (Poroy </w:t>
      </w:r>
      <w:proofErr w:type="spellStart"/>
      <w:r w:rsidRPr="002906A3">
        <w:rPr>
          <w:lang w:val="en-US"/>
        </w:rPr>
        <w:t>Arsoy</w:t>
      </w:r>
      <w:proofErr w:type="spellEnd"/>
      <w:r w:rsidRPr="002906A3">
        <w:rPr>
          <w:lang w:val="en-US"/>
        </w:rPr>
        <w:t xml:space="preserve"> et al., 2014). This study aims to examine the historical development of accounting education in Saudi Arabia (KSA), United Arab Emirates (UAE) and Turkey and its status in the accounting system. KSA, UAE, and Turkey were chosen as the subjects of our study due to the increasing economic and commercial relations between these three countries and the characteristics that distinguish each country.</w:t>
      </w:r>
    </w:p>
    <w:p w14:paraId="558AD7D9" w14:textId="77777777" w:rsidR="001E7189" w:rsidRPr="002906A3" w:rsidRDefault="001E7189" w:rsidP="00BA67A6">
      <w:pPr>
        <w:jc w:val="both"/>
        <w:rPr>
          <w:b/>
          <w:bCs/>
          <w:lang w:val="en-US"/>
        </w:rPr>
      </w:pPr>
    </w:p>
    <w:p w14:paraId="4A878A4E" w14:textId="20C9C194" w:rsidR="001E7189" w:rsidRPr="002906A3" w:rsidRDefault="006871AB" w:rsidP="00BA67A6">
      <w:pPr>
        <w:jc w:val="both"/>
        <w:rPr>
          <w:b/>
          <w:bCs/>
          <w:lang w:val="en-US"/>
        </w:rPr>
      </w:pPr>
      <w:r w:rsidRPr="002906A3">
        <w:rPr>
          <w:b/>
          <w:bCs/>
          <w:lang w:val="en-US"/>
        </w:rPr>
        <w:t xml:space="preserve">1. Accounting Education </w:t>
      </w:r>
      <w:proofErr w:type="gramStart"/>
      <w:r w:rsidRPr="002906A3">
        <w:rPr>
          <w:b/>
          <w:bCs/>
          <w:lang w:val="en-US"/>
        </w:rPr>
        <w:t>In</w:t>
      </w:r>
      <w:proofErr w:type="gramEnd"/>
      <w:r w:rsidRPr="002906A3">
        <w:rPr>
          <w:b/>
          <w:bCs/>
          <w:lang w:val="en-US"/>
        </w:rPr>
        <w:t xml:space="preserve"> United Arab Emirates Accounting System</w:t>
      </w:r>
    </w:p>
    <w:p w14:paraId="4CD1B072" w14:textId="77777777" w:rsidR="001E7189" w:rsidRDefault="001E7189" w:rsidP="00BA67A6">
      <w:pPr>
        <w:jc w:val="both"/>
        <w:rPr>
          <w:lang w:val="en-US"/>
        </w:rPr>
      </w:pPr>
      <w:r w:rsidRPr="002906A3">
        <w:rPr>
          <w:lang w:val="en-US"/>
        </w:rPr>
        <w:t xml:space="preserve">Before the discovery of oil in the 1950s, there was no suitable infrastructure for developing the education system. However, since the establishment of UAE Federation in 1971, the UAE’s Federal Higher Education System has experienced rapid development and progress. Since the founding of universities, many universities in UAE have established high-level curriculum partnerships with foreign higher education institutions. Examples of foreign university branches established in UAE in recent years include the College of North Atlantic in Canada, Carnegie Mellon University in Pennsylvania, Middlesex University in the United Kingdom, and the University of Wollongong in Australia (Nassar et al., 2021). With the assistance of Egypt for educational consultancy and teaching staff, Zayed University, the first university in UAE, was established in 1977. It is one of the universities seeking accreditation from regional accreditation bodies in the US and other institutions. With the establishment of Zayed University, all UAE citizens began to receive free public higher education for the first time. During the 1980s and 1990s, higher education in UAE was restructured, with American consultants playing a significant role in this process. The Higher Colleges of Technology and Zayed University (ZU) are examples of institutions specially created to meet the highest standards required for a federal higher education institution (Nassar et al., 2021). Before 1997, Zayed University was the only university in UAE (Abdallah, 2008). Like many developing countries, UAE adopted accounting practices from developed countries. The accounting education system was adapted based on accounting practices and theories from the United Kingdom and the United States (Al-Akra et al., 2009). UAE accounting programs consist of courses </w:t>
      </w:r>
      <w:proofErr w:type="gramStart"/>
      <w:r w:rsidRPr="002906A3">
        <w:rPr>
          <w:lang w:val="en-US"/>
        </w:rPr>
        <w:t>similar to</w:t>
      </w:r>
      <w:proofErr w:type="gramEnd"/>
      <w:r w:rsidRPr="002906A3">
        <w:rPr>
          <w:lang w:val="en-US"/>
        </w:rPr>
        <w:t xml:space="preserve"> British and American ones, including International Financial Reporting Courses, Auditing, Managerial Accounting, and Accounting Principles. UAE is committed to improving educational quality, and between 2017 and 2021, it invested 10.2 billion AED in improving education in general and accounting education in particular, representing a significant portion of the federal budget (Nassar et al., 2021). Students wishing to pursue accounting education in UAE can do so at the following </w:t>
      </w:r>
      <w:proofErr w:type="gramStart"/>
      <w:r w:rsidRPr="002906A3">
        <w:rPr>
          <w:lang w:val="en-US"/>
        </w:rPr>
        <w:t>levels;</w:t>
      </w:r>
      <w:proofErr w:type="gramEnd"/>
    </w:p>
    <w:p w14:paraId="327D470E" w14:textId="77777777" w:rsidR="00BA67A6" w:rsidRPr="002906A3" w:rsidRDefault="00BA67A6" w:rsidP="00BA67A6">
      <w:pPr>
        <w:jc w:val="both"/>
        <w:rPr>
          <w:lang w:val="en-US"/>
        </w:rPr>
      </w:pPr>
    </w:p>
    <w:p w14:paraId="236AE4A6" w14:textId="77777777" w:rsidR="001E7189" w:rsidRDefault="001E7189" w:rsidP="00BA67A6">
      <w:pPr>
        <w:jc w:val="both"/>
        <w:rPr>
          <w:lang w:val="en-US"/>
        </w:rPr>
      </w:pPr>
      <w:r w:rsidRPr="002906A3">
        <w:rPr>
          <w:b/>
          <w:bCs/>
          <w:lang w:val="en-US"/>
        </w:rPr>
        <w:t>- Secondary School (High Schools):</w:t>
      </w:r>
      <w:r w:rsidRPr="002906A3">
        <w:rPr>
          <w:lang w:val="en-US"/>
        </w:rPr>
        <w:t xml:space="preserve"> Since 2010, students have been admitted to technical high schools starting from the ninth grade. Students wishing to pursue accounting education enroll </w:t>
      </w:r>
      <w:r w:rsidRPr="002906A3">
        <w:rPr>
          <w:lang w:val="en-US"/>
        </w:rPr>
        <w:lastRenderedPageBreak/>
        <w:t>in the Financial Management and Accounting Department. After completing four years of education, students in this specialization can obtain a diploma equivalent to a general high school diploma approved by the Ministry of Education. Graduates from the financial management and accounting department of these schools can later enroll in technical associate degree programs or business and accounting faculties to obtain a diploma in financial management or accounting. Graduates from technical high schools (Financial Management and Accounting Department) will be granted course credits, thereby shortening the time needed to obtain associate or bachelor’s degrees. Graduates of the financial management or accounting department from technical high schools may also work in certain government sector jobs, such as warehousing. Additionally, the private sector in UAE offers many career opportunities, such as accounting jobs (Abid, 2018).</w:t>
      </w:r>
    </w:p>
    <w:p w14:paraId="41214C7A" w14:textId="77777777" w:rsidR="00BA67A6" w:rsidRPr="002906A3" w:rsidRDefault="00BA67A6" w:rsidP="00BA67A6">
      <w:pPr>
        <w:jc w:val="both"/>
        <w:rPr>
          <w:lang w:val="en-US"/>
        </w:rPr>
      </w:pPr>
    </w:p>
    <w:p w14:paraId="56D288F9" w14:textId="77777777" w:rsidR="001E7189" w:rsidRPr="002906A3" w:rsidRDefault="001E7189" w:rsidP="00BA67A6">
      <w:pPr>
        <w:jc w:val="both"/>
        <w:rPr>
          <w:lang w:val="en-US"/>
        </w:rPr>
      </w:pPr>
      <w:r w:rsidRPr="002906A3">
        <w:rPr>
          <w:b/>
          <w:bCs/>
          <w:lang w:val="en-US"/>
        </w:rPr>
        <w:t>- Higher Education:</w:t>
      </w:r>
      <w:r w:rsidRPr="002906A3">
        <w:rPr>
          <w:lang w:val="en-US"/>
        </w:rPr>
        <w:t xml:space="preserve"> In UAE, higher education levels following high school are categorized as follows:</w:t>
      </w:r>
    </w:p>
    <w:p w14:paraId="02D6E3BD" w14:textId="08EB8B14" w:rsidR="00BA67A6" w:rsidRPr="002906A3" w:rsidRDefault="001E7189" w:rsidP="00BA67A6">
      <w:pPr>
        <w:jc w:val="both"/>
        <w:rPr>
          <w:lang w:val="en-US"/>
        </w:rPr>
      </w:pPr>
      <w:r w:rsidRPr="002906A3">
        <w:rPr>
          <w:i/>
          <w:iCs/>
          <w:lang w:val="en-US"/>
        </w:rPr>
        <w:t xml:space="preserve">Associate or Higher </w:t>
      </w:r>
      <w:proofErr w:type="gramStart"/>
      <w:r w:rsidRPr="002906A3">
        <w:rPr>
          <w:i/>
          <w:iCs/>
          <w:lang w:val="en-US"/>
        </w:rPr>
        <w:t>Associate Degree</w:t>
      </w:r>
      <w:proofErr w:type="gramEnd"/>
      <w:r w:rsidRPr="002906A3">
        <w:rPr>
          <w:i/>
          <w:iCs/>
          <w:lang w:val="en-US"/>
        </w:rPr>
        <w:t xml:space="preserve"> (Vocational Schools) in Accounting:</w:t>
      </w:r>
      <w:r w:rsidRPr="002906A3">
        <w:rPr>
          <w:lang w:val="en-US"/>
        </w:rPr>
        <w:t xml:space="preserve"> A student who has obtained a high school diploma or general high school diploma in the field of financial management and accounting can enroll in associate (two-year program) or higher associate (three-year program) level accounting programs (UAE Ministry of Education </w:t>
      </w:r>
      <w:r w:rsidRPr="002906A3">
        <w:rPr>
          <w:rFonts w:eastAsia="Calibri"/>
          <w:lang w:val="en-US"/>
        </w:rPr>
        <w:t>and Instruction</w:t>
      </w:r>
      <w:r w:rsidRPr="002906A3">
        <w:rPr>
          <w:lang w:val="en-US"/>
        </w:rPr>
        <w:t>, 2018).</w:t>
      </w:r>
    </w:p>
    <w:p w14:paraId="5D62AB03" w14:textId="2D476749" w:rsidR="00BA67A6" w:rsidRPr="002906A3" w:rsidRDefault="001E7189" w:rsidP="00BA67A6">
      <w:pPr>
        <w:jc w:val="both"/>
        <w:rPr>
          <w:lang w:val="en-US"/>
        </w:rPr>
      </w:pPr>
      <w:r w:rsidRPr="002906A3">
        <w:rPr>
          <w:i/>
          <w:iCs/>
          <w:lang w:val="en-US"/>
        </w:rPr>
        <w:t>Bachelor’s Degree (Universities) in Accounting:</w:t>
      </w:r>
      <w:r w:rsidRPr="002906A3">
        <w:rPr>
          <w:lang w:val="en-US"/>
        </w:rPr>
        <w:t xml:space="preserve"> The duration of accounting education in bachelor's programs is four years. During this period, the focus is on studying accounting concepts, principles, standards, processes, and accounting techniques. The bachelor's degree in accounting is fully aligned with the professional qualifications of the Chartered Institute of Management Accountants (CIMA); this means that graduates will be eligible to take the CIMA exam and gain professional accreditation in addition to their bachelor's degree (Abu Dhabi University, 2024). Bachelor's degrees in accounting are offered by five of the seventeen universities operating in UAE. Three other universities include accounting as a minor within their business major, while four other universities include several accounting topics within their business, management, or marketing programs.</w:t>
      </w:r>
    </w:p>
    <w:p w14:paraId="08444C56" w14:textId="77777777" w:rsidR="001E7189" w:rsidRPr="002906A3" w:rsidRDefault="001E7189" w:rsidP="00BA67A6">
      <w:pPr>
        <w:jc w:val="both"/>
        <w:rPr>
          <w:lang w:val="en-US"/>
        </w:rPr>
      </w:pPr>
      <w:r w:rsidRPr="002906A3">
        <w:rPr>
          <w:i/>
          <w:iCs/>
          <w:lang w:val="en-US"/>
        </w:rPr>
        <w:t>Graduate-</w:t>
      </w:r>
      <w:proofErr w:type="gramStart"/>
      <w:r w:rsidRPr="002906A3">
        <w:rPr>
          <w:i/>
          <w:iCs/>
          <w:lang w:val="en-US"/>
        </w:rPr>
        <w:t>level in</w:t>
      </w:r>
      <w:proofErr w:type="gramEnd"/>
      <w:r w:rsidRPr="002906A3">
        <w:rPr>
          <w:i/>
          <w:iCs/>
          <w:lang w:val="en-US"/>
        </w:rPr>
        <w:t xml:space="preserve"> Accounting:</w:t>
      </w:r>
      <w:r w:rsidRPr="002906A3">
        <w:rPr>
          <w:lang w:val="en-US"/>
        </w:rPr>
        <w:t xml:space="preserve"> Two higher education institutions offer master's and doctoral programs in applied accounting, while two other institutions include some accounting courses in their curricula. The duration of a master's degree in accounting in UAE is two years, while a doctoral degree lasts three or four years. Graduate-level programs in accounting provide qualified personnel for research and teaching (Abu Dhabi University, 2023).</w:t>
      </w:r>
    </w:p>
    <w:p w14:paraId="3F313172" w14:textId="77777777" w:rsidR="001E7189" w:rsidRPr="002906A3" w:rsidRDefault="001E7189" w:rsidP="00BA67A6">
      <w:pPr>
        <w:jc w:val="both"/>
        <w:rPr>
          <w:lang w:val="en-US"/>
        </w:rPr>
      </w:pPr>
    </w:p>
    <w:p w14:paraId="5D42C7B5" w14:textId="3DC381ED" w:rsidR="001E7189" w:rsidRPr="002906A3" w:rsidRDefault="006871AB" w:rsidP="00BA67A6">
      <w:pPr>
        <w:jc w:val="both"/>
        <w:rPr>
          <w:b/>
          <w:bCs/>
          <w:lang w:val="en-US"/>
        </w:rPr>
      </w:pPr>
      <w:r w:rsidRPr="002906A3">
        <w:rPr>
          <w:b/>
          <w:bCs/>
          <w:lang w:val="en-US"/>
        </w:rPr>
        <w:t xml:space="preserve">2. </w:t>
      </w:r>
      <w:r w:rsidR="001E7189" w:rsidRPr="002906A3">
        <w:rPr>
          <w:b/>
          <w:bCs/>
          <w:lang w:val="en-US"/>
        </w:rPr>
        <w:t>ACCOUNTING EDUCATION IN SAUDI ARABIAN ACCOUNTING SYSTEM</w:t>
      </w:r>
    </w:p>
    <w:p w14:paraId="151B5B86" w14:textId="5592DAAD" w:rsidR="00BA67A6" w:rsidRDefault="001E7189" w:rsidP="00BA67A6">
      <w:pPr>
        <w:jc w:val="both"/>
        <w:rPr>
          <w:lang w:val="en-US"/>
        </w:rPr>
      </w:pPr>
      <w:r w:rsidRPr="002906A3">
        <w:rPr>
          <w:lang w:val="en-US"/>
        </w:rPr>
        <w:t xml:space="preserve">In 1959, the establishment of the first Faculty of Commerce and Administrative Sciences at Riyadh University (King Saud University) marked the beginning of accounting education in KSA. The delay in accounting education in KSA directly </w:t>
      </w:r>
      <w:proofErr w:type="gramStart"/>
      <w:r w:rsidRPr="002906A3">
        <w:rPr>
          <w:lang w:val="en-US"/>
        </w:rPr>
        <w:t>impacted</w:t>
      </w:r>
      <w:proofErr w:type="gramEnd"/>
      <w:r w:rsidRPr="002906A3">
        <w:rPr>
          <w:lang w:val="en-US"/>
        </w:rPr>
        <w:t xml:space="preserve"> the lack of qualified national human resources in the fields of auditing and accounting. Academics, particularly faculty members at the Accounting Department and the Faculty of Administrative Sciences at King Saud University in Riyadh, played an important role in the development of accounting and auditing professions in KSA by organizing a series of academic seminars from 1980 onwards on "Ways to Develop Accounting and Auditing Professions in KSA". In the same year, King Saud University founded the first academic accounting association in KSA under the name SAA. In 1994, SAA published its first specialized quarterly journal titled “Accounting.” This journal provided an opportunity for all stakeholders involved in accounting and auditing </w:t>
      </w:r>
      <w:r w:rsidRPr="002906A3">
        <w:rPr>
          <w:lang w:val="en-US"/>
        </w:rPr>
        <w:lastRenderedPageBreak/>
        <w:t>professions in KSA to present ideas and issues related to the implementation and organization of the profession in KSA. The association also published the "Accounting Research" journal in 1997, which was a scientific accounting research journal. Due to all these tasks, the role of the Association complemented the role of the Saudi Organization of Certified Public Accountants (SOCPA) (https://2u.pw/snpZEX3T, 04.02.2025). The Saudi government has made significant investments in education (</w:t>
      </w:r>
      <w:proofErr w:type="spellStart"/>
      <w:r w:rsidRPr="002906A3">
        <w:rPr>
          <w:lang w:val="en-US"/>
        </w:rPr>
        <w:t>Imdadul</w:t>
      </w:r>
      <w:proofErr w:type="spellEnd"/>
      <w:r w:rsidRPr="002906A3">
        <w:rPr>
          <w:lang w:val="en-US"/>
        </w:rPr>
        <w:t xml:space="preserve"> Haque, 2019). In 1970, there were only three public universities, but currently the number has reached 42 (Saudi Ministry of Education, 2025). The Saudi government has sent many students abroad, especially to the United Kingdom and the United States, to receive education in various fields, including business and accounting. Many students obtain their diplomas (Master's or Doctorate) from the US or the UK, and upon returning to KSA, some tend to demand the adoption of different </w:t>
      </w:r>
      <w:proofErr w:type="gramStart"/>
      <w:r w:rsidRPr="002906A3">
        <w:rPr>
          <w:lang w:val="en-US"/>
        </w:rPr>
        <w:t>policies</w:t>
      </w:r>
      <w:proofErr w:type="gramEnd"/>
      <w:r w:rsidRPr="002906A3">
        <w:rPr>
          <w:lang w:val="en-US"/>
        </w:rPr>
        <w:t xml:space="preserve"> and the adoption of other accounting standards based on their ideas and experiences (</w:t>
      </w:r>
      <w:proofErr w:type="spellStart"/>
      <w:r w:rsidRPr="002906A3">
        <w:rPr>
          <w:lang w:val="en-US"/>
        </w:rPr>
        <w:t>Alkhtani</w:t>
      </w:r>
      <w:proofErr w:type="spellEnd"/>
      <w:r w:rsidRPr="002906A3">
        <w:rPr>
          <w:lang w:val="en-US"/>
        </w:rPr>
        <w:t>, 2010). Students wishing to pursue accounting education in KSA can pursue their education at the following levels:</w:t>
      </w:r>
    </w:p>
    <w:p w14:paraId="024E98C7" w14:textId="77777777" w:rsidR="00BA67A6" w:rsidRPr="002906A3" w:rsidRDefault="00BA67A6" w:rsidP="00BA67A6">
      <w:pPr>
        <w:jc w:val="both"/>
        <w:rPr>
          <w:lang w:val="en-US"/>
        </w:rPr>
      </w:pPr>
    </w:p>
    <w:p w14:paraId="6800C0FE" w14:textId="77777777" w:rsidR="001E7189" w:rsidRDefault="001E7189" w:rsidP="00BA67A6">
      <w:pPr>
        <w:jc w:val="both"/>
        <w:rPr>
          <w:lang w:val="en-US"/>
        </w:rPr>
      </w:pPr>
      <w:r w:rsidRPr="002906A3">
        <w:rPr>
          <w:b/>
          <w:bCs/>
          <w:lang w:val="en-US"/>
        </w:rPr>
        <w:t xml:space="preserve">- Secondary School (High Schools): </w:t>
      </w:r>
      <w:r w:rsidRPr="002906A3">
        <w:rPr>
          <w:lang w:val="en-US"/>
        </w:rPr>
        <w:t>Saudi Accounting education at the secondary level is provided under the name of commercial education and is under the supervision of the Ministry of Education's Vocational Education Directorate. In this level, students receive three years of education (ages 15-18) and take several courses related to basic accounting to prepare them for commercial bookkeeping. Graduates of commercial high schools can join relevant faculties or higher education institutions in the fields of accounting and commerce (https://www.hafiz.edu.sa/diploma/Accounting-diploma, 06.02.2025).</w:t>
      </w:r>
    </w:p>
    <w:p w14:paraId="7CBD7423" w14:textId="77777777" w:rsidR="00BA67A6" w:rsidRPr="002906A3" w:rsidRDefault="00BA67A6" w:rsidP="00BA67A6">
      <w:pPr>
        <w:jc w:val="both"/>
        <w:rPr>
          <w:lang w:val="en-US"/>
        </w:rPr>
      </w:pPr>
    </w:p>
    <w:p w14:paraId="7FF8AE28" w14:textId="2B8D1C92" w:rsidR="001E7189" w:rsidRPr="002906A3" w:rsidRDefault="001E7189" w:rsidP="00BA67A6">
      <w:pPr>
        <w:jc w:val="both"/>
        <w:rPr>
          <w:lang w:val="en-US"/>
        </w:rPr>
      </w:pPr>
      <w:r w:rsidRPr="002906A3">
        <w:rPr>
          <w:b/>
          <w:bCs/>
          <w:lang w:val="en-US"/>
        </w:rPr>
        <w:t>- Higher Education:</w:t>
      </w:r>
      <w:r w:rsidRPr="002906A3">
        <w:rPr>
          <w:lang w:val="en-US"/>
        </w:rPr>
        <w:t xml:space="preserve"> Higher education in KSA is divided into the following levels after high school:</w:t>
      </w:r>
    </w:p>
    <w:p w14:paraId="023E253A" w14:textId="5F8DE574" w:rsidR="001E7189" w:rsidRPr="002906A3" w:rsidRDefault="001E7189" w:rsidP="00BA67A6">
      <w:pPr>
        <w:jc w:val="both"/>
        <w:rPr>
          <w:lang w:val="en-US"/>
        </w:rPr>
      </w:pPr>
      <w:proofErr w:type="gramStart"/>
      <w:r w:rsidRPr="002906A3">
        <w:rPr>
          <w:i/>
          <w:iCs/>
          <w:lang w:val="en-US"/>
        </w:rPr>
        <w:t>Associate Degree</w:t>
      </w:r>
      <w:proofErr w:type="gramEnd"/>
      <w:r w:rsidRPr="002906A3">
        <w:rPr>
          <w:i/>
          <w:iCs/>
          <w:lang w:val="en-US"/>
        </w:rPr>
        <w:t xml:space="preserve"> (Vocational Schools):</w:t>
      </w:r>
      <w:r w:rsidRPr="002906A3">
        <w:rPr>
          <w:lang w:val="en-US"/>
        </w:rPr>
        <w:t xml:space="preserve"> The Accounting Associate Degree Program provides the scientific and professional skills necessary for students to gain sufficient knowledge of modern changes and developments in this field, enabling them to work in both public and private sectors. Graduates of the Associate Degree program can enroll in a </w:t>
      </w:r>
      <w:proofErr w:type="gramStart"/>
      <w:r w:rsidRPr="002906A3">
        <w:rPr>
          <w:lang w:val="en-US"/>
        </w:rPr>
        <w:t>Bachelor's</w:t>
      </w:r>
      <w:proofErr w:type="gramEnd"/>
      <w:r w:rsidRPr="002906A3">
        <w:rPr>
          <w:lang w:val="en-US"/>
        </w:rPr>
        <w:t xml:space="preserve"> program in accounting or business (King Faisal University, 2024).</w:t>
      </w:r>
    </w:p>
    <w:p w14:paraId="2526DCBE" w14:textId="77777777" w:rsidR="001E7189" w:rsidRPr="002906A3" w:rsidRDefault="001E7189" w:rsidP="00BA67A6">
      <w:pPr>
        <w:jc w:val="both"/>
        <w:rPr>
          <w:lang w:val="en-US"/>
        </w:rPr>
      </w:pPr>
      <w:r w:rsidRPr="002906A3">
        <w:rPr>
          <w:i/>
          <w:iCs/>
          <w:lang w:val="en-US"/>
        </w:rPr>
        <w:t>Bachelor’s Degree (Universities):</w:t>
      </w:r>
      <w:r w:rsidRPr="002906A3">
        <w:rPr>
          <w:lang w:val="en-US"/>
        </w:rPr>
        <w:t xml:space="preserve"> A Bachelor's degree in the Department of Business Administration/ Accounting; A comprehensive program offered within a four- or five-year study plan that provides the necessary knowledge and skills to establish the foundation of accounting functions in organizations. This program covers a range of topics that prepare students to become competent professional accountants. Generally, after learning the fundamentals of business management, the program focuses on various types of accounting, such as financial accounting, tax accounting, managerial accounting, auditing, and management accounting.</w:t>
      </w:r>
    </w:p>
    <w:p w14:paraId="5EEF211E" w14:textId="77777777" w:rsidR="001E7189" w:rsidRDefault="001E7189" w:rsidP="00BA67A6">
      <w:pPr>
        <w:jc w:val="both"/>
        <w:rPr>
          <w:lang w:val="en-US"/>
        </w:rPr>
      </w:pPr>
      <w:r w:rsidRPr="002906A3">
        <w:rPr>
          <w:i/>
          <w:iCs/>
          <w:lang w:val="en-US"/>
        </w:rPr>
        <w:t>Graduate-level:</w:t>
      </w:r>
      <w:r w:rsidRPr="002906A3">
        <w:rPr>
          <w:lang w:val="en-US"/>
        </w:rPr>
        <w:t xml:space="preserve"> The Saudi government provides scholarships for thousands of Saudi students to study abroad in the field of accounting. Graduates of the Faculty of Accounting can complete their Graduate-level studies at some Saudi universities with a two-year </w:t>
      </w:r>
      <w:proofErr w:type="gramStart"/>
      <w:r w:rsidRPr="002906A3">
        <w:rPr>
          <w:lang w:val="en-US"/>
        </w:rPr>
        <w:t>Master's</w:t>
      </w:r>
      <w:proofErr w:type="gramEnd"/>
      <w:r w:rsidRPr="002906A3">
        <w:rPr>
          <w:lang w:val="en-US"/>
        </w:rPr>
        <w:t xml:space="preserve"> program and a four-year Doctorate program (https://www.kfu.edu.sa/ar/Colleges/business-administration/Pages/Master-Accounting.aspx, 06.02.2025).</w:t>
      </w:r>
    </w:p>
    <w:p w14:paraId="04D83C4F" w14:textId="77777777" w:rsidR="00BA67A6" w:rsidRPr="002906A3" w:rsidRDefault="00BA67A6" w:rsidP="00BA67A6">
      <w:pPr>
        <w:jc w:val="both"/>
        <w:rPr>
          <w:lang w:val="en-US"/>
        </w:rPr>
      </w:pPr>
    </w:p>
    <w:p w14:paraId="16D6604E" w14:textId="77777777" w:rsidR="001E7189" w:rsidRPr="002906A3" w:rsidRDefault="001E7189" w:rsidP="00BA67A6">
      <w:pPr>
        <w:jc w:val="both"/>
        <w:rPr>
          <w:lang w:val="en-US"/>
        </w:rPr>
      </w:pPr>
      <w:r w:rsidRPr="002906A3">
        <w:rPr>
          <w:b/>
          <w:bCs/>
          <w:lang w:val="en-US"/>
        </w:rPr>
        <w:t>- Continuing Professional Education:</w:t>
      </w:r>
      <w:r w:rsidRPr="002906A3">
        <w:rPr>
          <w:lang w:val="en-US"/>
        </w:rPr>
        <w:t xml:space="preserve"> SOCPA's Continuing Professional Education program helps practitioners update their technical knowledge and skills, contributing to the regulation and development of the profession. This program aims to update the professional and technical </w:t>
      </w:r>
      <w:r w:rsidRPr="002906A3">
        <w:rPr>
          <w:lang w:val="en-US"/>
        </w:rPr>
        <w:lastRenderedPageBreak/>
        <w:t>knowledge and skills of practitioners in auditing and accounting to improve their professional competence (</w:t>
      </w:r>
      <w:proofErr w:type="spellStart"/>
      <w:r w:rsidRPr="002906A3">
        <w:rPr>
          <w:lang w:val="en-US"/>
        </w:rPr>
        <w:t>Khanagha</w:t>
      </w:r>
      <w:proofErr w:type="spellEnd"/>
      <w:r w:rsidRPr="002906A3">
        <w:rPr>
          <w:lang w:val="en-US"/>
        </w:rPr>
        <w:t>, 2011).</w:t>
      </w:r>
    </w:p>
    <w:p w14:paraId="1327BCE2" w14:textId="77777777" w:rsidR="001E7189" w:rsidRPr="002906A3" w:rsidRDefault="001E7189" w:rsidP="00BA67A6">
      <w:pPr>
        <w:jc w:val="both"/>
        <w:rPr>
          <w:lang w:val="en-US"/>
        </w:rPr>
      </w:pPr>
    </w:p>
    <w:p w14:paraId="7685F806" w14:textId="3E1711CF" w:rsidR="001E7189" w:rsidRPr="002906A3" w:rsidRDefault="006871AB" w:rsidP="00BA67A6">
      <w:pPr>
        <w:jc w:val="both"/>
        <w:rPr>
          <w:lang w:val="en-US"/>
        </w:rPr>
      </w:pPr>
      <w:r w:rsidRPr="002906A3">
        <w:rPr>
          <w:b/>
          <w:bCs/>
          <w:lang w:val="en-US"/>
        </w:rPr>
        <w:t xml:space="preserve">3. Accounting Education </w:t>
      </w:r>
      <w:proofErr w:type="gramStart"/>
      <w:r w:rsidRPr="002906A3">
        <w:rPr>
          <w:b/>
          <w:bCs/>
          <w:lang w:val="en-US"/>
        </w:rPr>
        <w:t>In</w:t>
      </w:r>
      <w:proofErr w:type="gramEnd"/>
      <w:r w:rsidRPr="002906A3">
        <w:rPr>
          <w:b/>
          <w:bCs/>
          <w:lang w:val="en-US"/>
        </w:rPr>
        <w:t xml:space="preserve"> Turkish Accounting System</w:t>
      </w:r>
    </w:p>
    <w:p w14:paraId="0C88FACA" w14:textId="77777777" w:rsidR="001E7189" w:rsidRDefault="001E7189" w:rsidP="00BA67A6">
      <w:pPr>
        <w:jc w:val="both"/>
        <w:rPr>
          <w:lang w:val="en-US"/>
        </w:rPr>
      </w:pPr>
      <w:r w:rsidRPr="002906A3">
        <w:rPr>
          <w:lang w:val="en-US"/>
        </w:rPr>
        <w:t xml:space="preserve">In the post-Republic era, it is possible to examine accounting education in three periods. The first period is before 1926, during which accounting education was largely influenced by the French school through institutions like </w:t>
      </w:r>
      <w:proofErr w:type="spellStart"/>
      <w:r w:rsidRPr="002906A3">
        <w:rPr>
          <w:lang w:val="en-US"/>
        </w:rPr>
        <w:t>Darüşşafaka</w:t>
      </w:r>
      <w:proofErr w:type="spellEnd"/>
      <w:r w:rsidRPr="002906A3">
        <w:rPr>
          <w:lang w:val="en-US"/>
        </w:rPr>
        <w:t xml:space="preserve">, </w:t>
      </w:r>
      <w:proofErr w:type="spellStart"/>
      <w:r w:rsidRPr="002906A3">
        <w:rPr>
          <w:lang w:val="en-US"/>
        </w:rPr>
        <w:t>Mülkiye</w:t>
      </w:r>
      <w:proofErr w:type="spellEnd"/>
      <w:r w:rsidRPr="002906A3">
        <w:rPr>
          <w:lang w:val="en-US"/>
        </w:rPr>
        <w:t xml:space="preserve"> </w:t>
      </w:r>
      <w:proofErr w:type="spellStart"/>
      <w:r w:rsidRPr="002906A3">
        <w:rPr>
          <w:lang w:val="en-US"/>
        </w:rPr>
        <w:t>Mektebi</w:t>
      </w:r>
      <w:proofErr w:type="spellEnd"/>
      <w:r w:rsidRPr="002906A3">
        <w:rPr>
          <w:lang w:val="en-US"/>
        </w:rPr>
        <w:t>, Military Secondary Schools (</w:t>
      </w:r>
      <w:proofErr w:type="spellStart"/>
      <w:r w:rsidRPr="002906A3">
        <w:rPr>
          <w:lang w:val="en-US"/>
        </w:rPr>
        <w:t>Rüştiye</w:t>
      </w:r>
      <w:proofErr w:type="spellEnd"/>
      <w:r w:rsidRPr="002906A3">
        <w:rPr>
          <w:lang w:val="en-US"/>
        </w:rPr>
        <w:t>), and Istanbul Trade Schools (Ateş, 2023). The second period, from 1926 to 1960, saw changes and developments in the scope and levels of undergraduate accounting education with the contributions of accounting experts who fled from Germany to Turkey. In 1933, a Higher School of Commerce was established in connection with the Ministry of Economy; in 1936, the Faculty of Economics at Istanbul University (which became the Faculty of Business Administration forty years later) was founded (Yılmaz, 2023). The third period, after 1960, was marked by changes in taxation, which highlighted the financial needs and demands of both the public and private sectors. This led to a growing need for the information and data produced by the accounting field, and therefore, developments in the content, presentation, and scope of accounting education in universities and other institutions. Accounting education in Turkey is provided at each of the following levels (Ateş, 2023).</w:t>
      </w:r>
    </w:p>
    <w:p w14:paraId="4CF754BE" w14:textId="77777777" w:rsidR="00BA67A6" w:rsidRPr="002906A3" w:rsidRDefault="00BA67A6" w:rsidP="00BA67A6">
      <w:pPr>
        <w:jc w:val="both"/>
        <w:rPr>
          <w:lang w:val="en-US"/>
        </w:rPr>
      </w:pPr>
    </w:p>
    <w:p w14:paraId="7E09CD8D" w14:textId="77777777" w:rsidR="001E7189" w:rsidRDefault="001E7189" w:rsidP="00BA67A6">
      <w:pPr>
        <w:jc w:val="both"/>
        <w:rPr>
          <w:lang w:val="en-US"/>
        </w:rPr>
      </w:pPr>
      <w:r w:rsidRPr="002906A3">
        <w:rPr>
          <w:b/>
          <w:bCs/>
          <w:lang w:val="en-US"/>
        </w:rPr>
        <w:t>- Secondary School (High Schools):</w:t>
      </w:r>
      <w:r w:rsidRPr="002906A3">
        <w:rPr>
          <w:lang w:val="en-US"/>
        </w:rPr>
        <w:t xml:space="preserve"> In Turkey, accounting education at the secondary level is provided under the Ministry of National Education's Department of Commercial and Tourism Education (Yılmaz, 2019). In trade high schools, which train lower-level accounting personnel, the accounting education primarily covers basic accounting topics and remains mostly limited to the preparation of accounting ledgers (</w:t>
      </w:r>
      <w:proofErr w:type="spellStart"/>
      <w:r w:rsidRPr="002906A3">
        <w:rPr>
          <w:lang w:val="en-US"/>
        </w:rPr>
        <w:t>Çürük</w:t>
      </w:r>
      <w:proofErr w:type="spellEnd"/>
      <w:r w:rsidRPr="002906A3">
        <w:rPr>
          <w:lang w:val="en-US"/>
        </w:rPr>
        <w:t xml:space="preserve"> &amp; Doğan, 2001). Students who successfully complete the program graduate with the title of "pre-accounting clerk" and can work in related fields. Students who wish to continue their education can attend vocational or undergraduate institutions after passing the university entrance exam (Ateş, 2023).</w:t>
      </w:r>
    </w:p>
    <w:p w14:paraId="51DEC7EF" w14:textId="77777777" w:rsidR="00BA67A6" w:rsidRPr="002906A3" w:rsidRDefault="00BA67A6" w:rsidP="00BA67A6">
      <w:pPr>
        <w:jc w:val="both"/>
        <w:rPr>
          <w:lang w:val="en-US"/>
        </w:rPr>
      </w:pPr>
    </w:p>
    <w:p w14:paraId="591FA6F0" w14:textId="77777777" w:rsidR="001E7189" w:rsidRPr="002906A3" w:rsidRDefault="001E7189" w:rsidP="00BA67A6">
      <w:pPr>
        <w:jc w:val="both"/>
        <w:rPr>
          <w:lang w:val="en-US"/>
        </w:rPr>
      </w:pPr>
      <w:r w:rsidRPr="002906A3">
        <w:rPr>
          <w:b/>
          <w:bCs/>
          <w:lang w:val="en-US"/>
        </w:rPr>
        <w:t>- Higher Education:</w:t>
      </w:r>
      <w:r w:rsidRPr="002906A3">
        <w:rPr>
          <w:lang w:val="en-US"/>
        </w:rPr>
        <w:t xml:space="preserve"> In Turkey, higher education levels after high school are divided into the following </w:t>
      </w:r>
      <w:proofErr w:type="gramStart"/>
      <w:r w:rsidRPr="002906A3">
        <w:rPr>
          <w:lang w:val="en-US"/>
        </w:rPr>
        <w:t>categories;</w:t>
      </w:r>
      <w:proofErr w:type="gramEnd"/>
    </w:p>
    <w:p w14:paraId="2E5423AC" w14:textId="77777777" w:rsidR="001E7189" w:rsidRPr="002906A3" w:rsidRDefault="001E7189" w:rsidP="00BA67A6">
      <w:pPr>
        <w:jc w:val="both"/>
        <w:rPr>
          <w:lang w:val="en-US"/>
        </w:rPr>
      </w:pPr>
      <w:proofErr w:type="gramStart"/>
      <w:r w:rsidRPr="002906A3">
        <w:rPr>
          <w:i/>
          <w:iCs/>
          <w:lang w:val="en-US"/>
        </w:rPr>
        <w:t>Associate Degree</w:t>
      </w:r>
      <w:proofErr w:type="gramEnd"/>
      <w:r w:rsidRPr="002906A3">
        <w:rPr>
          <w:i/>
          <w:iCs/>
          <w:lang w:val="en-US"/>
        </w:rPr>
        <w:t xml:space="preserve"> (Vocational Schools):</w:t>
      </w:r>
      <w:r w:rsidRPr="002906A3">
        <w:rPr>
          <w:lang w:val="en-US"/>
        </w:rPr>
        <w:t xml:space="preserve"> The education period is two years, and graduates are awarded an associate's degree diploma from their university. These programs in accounting, business, banking, insurance, and tax applications offer vocational training in accounting. Students are taught both accounting theory and practical skills, which help them understand accounting events and analyze the results (</w:t>
      </w:r>
      <w:proofErr w:type="spellStart"/>
      <w:r w:rsidRPr="002906A3">
        <w:rPr>
          <w:lang w:val="en-US"/>
        </w:rPr>
        <w:t>Ebdülrzazade</w:t>
      </w:r>
      <w:proofErr w:type="spellEnd"/>
      <w:r w:rsidRPr="002906A3">
        <w:rPr>
          <w:lang w:val="en-US"/>
        </w:rPr>
        <w:t>, 2017). After successfully completing the associate's degree, students can continue their education at the bachelor's level after passing relevant exams (Ateş, 2023).</w:t>
      </w:r>
    </w:p>
    <w:p w14:paraId="6CE95932" w14:textId="77777777" w:rsidR="001E7189" w:rsidRPr="002906A3" w:rsidRDefault="001E7189" w:rsidP="00BA67A6">
      <w:pPr>
        <w:jc w:val="both"/>
        <w:rPr>
          <w:lang w:val="en-US"/>
        </w:rPr>
      </w:pPr>
      <w:r w:rsidRPr="002906A3">
        <w:rPr>
          <w:i/>
          <w:iCs/>
          <w:lang w:val="en-US"/>
        </w:rPr>
        <w:t>Bachelor’s Degree (Universities):</w:t>
      </w:r>
      <w:r w:rsidRPr="002906A3">
        <w:rPr>
          <w:lang w:val="en-US"/>
        </w:rPr>
        <w:t xml:space="preserve"> One of the most important features of accounting education in Turkish universities is its strict adherence to legal regulations, especially those concerning tax laws (</w:t>
      </w:r>
      <w:proofErr w:type="spellStart"/>
      <w:r w:rsidRPr="002906A3">
        <w:rPr>
          <w:lang w:val="en-US"/>
        </w:rPr>
        <w:t>Çürük</w:t>
      </w:r>
      <w:proofErr w:type="spellEnd"/>
      <w:r w:rsidRPr="002906A3">
        <w:rPr>
          <w:lang w:val="en-US"/>
        </w:rPr>
        <w:t xml:space="preserve"> &amp; Doğan, 2001). Graduates of accounting departments possess the skills necessary for the technical foundation of the profession, including accounting, finance, and related topics (</w:t>
      </w:r>
      <w:proofErr w:type="spellStart"/>
      <w:r w:rsidRPr="002906A3">
        <w:rPr>
          <w:lang w:val="en-US"/>
        </w:rPr>
        <w:t>Ebdülrzazade</w:t>
      </w:r>
      <w:proofErr w:type="spellEnd"/>
      <w:r w:rsidRPr="002906A3">
        <w:rPr>
          <w:lang w:val="en-US"/>
        </w:rPr>
        <w:t>, 2017).</w:t>
      </w:r>
    </w:p>
    <w:p w14:paraId="4F0FB997" w14:textId="77777777" w:rsidR="001E7189" w:rsidRDefault="001E7189" w:rsidP="00BA67A6">
      <w:pPr>
        <w:jc w:val="both"/>
        <w:rPr>
          <w:lang w:val="en-US"/>
        </w:rPr>
      </w:pPr>
      <w:r w:rsidRPr="002906A3">
        <w:rPr>
          <w:i/>
          <w:iCs/>
          <w:lang w:val="en-US"/>
        </w:rPr>
        <w:t>Graduate-level:</w:t>
      </w:r>
      <w:r w:rsidRPr="002906A3">
        <w:rPr>
          <w:lang w:val="en-US"/>
        </w:rPr>
        <w:t xml:space="preserve"> In general, Turkish universities offer master's and doctoral programs to meet the academic staffing needs in the field of accounting. These programs aim to provide students with more detailed information and ensure their specialization in this field. In addition, these programs focus on developing students' scientific research skills to contribute to the science of accounting (Ateş, 2023).</w:t>
      </w:r>
    </w:p>
    <w:p w14:paraId="713B3187" w14:textId="77777777" w:rsidR="00BA67A6" w:rsidRPr="002906A3" w:rsidRDefault="00BA67A6" w:rsidP="00BA67A6">
      <w:pPr>
        <w:jc w:val="both"/>
        <w:rPr>
          <w:lang w:val="en-US"/>
        </w:rPr>
      </w:pPr>
    </w:p>
    <w:p w14:paraId="294FBB63" w14:textId="77777777" w:rsidR="001E7189" w:rsidRDefault="001E7189" w:rsidP="00BA67A6">
      <w:pPr>
        <w:jc w:val="both"/>
        <w:rPr>
          <w:lang w:val="en-US"/>
        </w:rPr>
      </w:pPr>
      <w:r w:rsidRPr="002906A3">
        <w:rPr>
          <w:b/>
          <w:bCs/>
          <w:lang w:val="en-US"/>
        </w:rPr>
        <w:t>- Accounting Education in Non-formal Education:</w:t>
      </w:r>
      <w:r w:rsidRPr="002906A3">
        <w:rPr>
          <w:lang w:val="en-US"/>
        </w:rPr>
        <w:t xml:space="preserve"> Non-formal education refers to educational programs organized for individuals who have never been part of the formal education system, those at any level of formal education, or those who have dropped out of formal education, covering areas of interest or need, either in addition to or outside the formal education system (Yılmaz, 2023). In Turkey, the leading institutions providing non-formal education in accounting include TÜRMOB, the Ministry of Treasury and Finance, Borsa İstanbul, private and public banks, and the Capital Markets Board (SPK). Among these institutions, the one that organizes continuous and comprehensive educational activities is the Basic Education and Internship Center (TESMER) under TÜRMOB. The aim of this center is to provide individuals practicing accounting or those about to enter the profession with updated knowledge and skills related to their fields, while promoting professional discipline and ethical standards (Ateş, 2023).</w:t>
      </w:r>
    </w:p>
    <w:p w14:paraId="0C86022D" w14:textId="77777777" w:rsidR="00BA67A6" w:rsidRPr="002906A3" w:rsidRDefault="00BA67A6" w:rsidP="00BA67A6">
      <w:pPr>
        <w:jc w:val="both"/>
        <w:rPr>
          <w:lang w:val="en-US"/>
        </w:rPr>
      </w:pPr>
    </w:p>
    <w:p w14:paraId="72D47D29" w14:textId="77777777" w:rsidR="001E7189" w:rsidRPr="002906A3" w:rsidRDefault="001E7189" w:rsidP="00BA67A6">
      <w:pPr>
        <w:jc w:val="both"/>
        <w:rPr>
          <w:lang w:val="en-US"/>
        </w:rPr>
      </w:pPr>
      <w:r w:rsidRPr="002906A3">
        <w:rPr>
          <w:b/>
          <w:bCs/>
          <w:lang w:val="en-US"/>
        </w:rPr>
        <w:t>- Continuing Professional Education:</w:t>
      </w:r>
      <w:r w:rsidRPr="002906A3">
        <w:rPr>
          <w:lang w:val="en-US"/>
        </w:rPr>
        <w:t xml:space="preserve"> The TÜRMOB Continuous Professional Development Training Regulation, prepared based on Article 44 of the Professional Law No. 3568, was published in the Official Gazette on June 23, 2018, and came into force. This training aims to help professionals adapt to changes, continuously develop professionally, keep up with new technologies, and embrace digitalization (TÜRMOB Continuous Professional Development Training Center, 2022).</w:t>
      </w:r>
    </w:p>
    <w:p w14:paraId="5CD27093" w14:textId="77777777" w:rsidR="001E7189" w:rsidRPr="002906A3" w:rsidRDefault="001E7189" w:rsidP="00BA67A6">
      <w:pPr>
        <w:jc w:val="both"/>
        <w:rPr>
          <w:lang w:val="en-US"/>
        </w:rPr>
      </w:pPr>
    </w:p>
    <w:p w14:paraId="103599C9" w14:textId="77777777" w:rsidR="001E7189" w:rsidRPr="002906A3" w:rsidRDefault="001E7189" w:rsidP="00BA67A6">
      <w:pPr>
        <w:jc w:val="both"/>
        <w:rPr>
          <w:b/>
          <w:bCs/>
          <w:lang w:val="en-US"/>
        </w:rPr>
      </w:pPr>
      <w:r w:rsidRPr="002906A3">
        <w:rPr>
          <w:b/>
          <w:bCs/>
          <w:lang w:val="en-US"/>
        </w:rPr>
        <w:t>RESULT</w:t>
      </w:r>
    </w:p>
    <w:p w14:paraId="73597A73" w14:textId="77777777" w:rsidR="001E7189" w:rsidRPr="002906A3" w:rsidRDefault="001E7189" w:rsidP="00BA67A6">
      <w:pPr>
        <w:jc w:val="both"/>
        <w:rPr>
          <w:lang w:val="en-US"/>
        </w:rPr>
      </w:pPr>
      <w:r w:rsidRPr="002906A3">
        <w:rPr>
          <w:lang w:val="en-US"/>
        </w:rPr>
        <w:t xml:space="preserve">Interest in accounting education is increasing day by day. The reason for this is that the quality of the accounting profession is linked to the provision of quality accounting education. It is possible to say that accounting education in the period immediately after the establishment of the Republic of Turkey was predominantly influenced by the French school. However, later, with the arrival of German academics in Turkey, accounting education was influenced by the German system. At that time, the scope of accounting education was very limited, but it expanded as university education began to be provided at many Turkish universities. In Turkey, accounting education is provided in both vocational education institutions and higher education institutions. Therefore, the labor market has been supported by trained professionals, creating a positive impact on Turkey's accounting system. The delay in accounting education in KSA has directly affected the shortage of trained accountants and delayed the development of the accounting system. However, despite this, the Saudi government has invested heavily in education, and accounting has become one of the most important departments in Saudi universities today. Additionally, the Saudi government has sent many students abroad, particularly to the United Kingdom and the United States, to study accounting. Upon returning to KSA, some of these students have shown a tendency to use accounting systems prevalent in the countries they studied, which has influenced the formation of KSA’s accounting system. The education system in UAE has developed rapidly since the country's founding. UAE universities have established partnerships with foreign higher education institutions in Canada, the United States, and Australia, influencing the country's accounting system. Later, higher education in UAE was restructured, with American consultants playing an important role. As a result, the accounting education system was adapted to the practices and theories of the United States, making the influence of the American accounting system highly evident in UAE’s accounting system. The education structures in Turkey, KSA, and UAE </w:t>
      </w:r>
      <w:proofErr w:type="gramStart"/>
      <w:r w:rsidRPr="002906A3">
        <w:rPr>
          <w:lang w:val="en-US"/>
        </w:rPr>
        <w:t>are</w:t>
      </w:r>
      <w:proofErr w:type="gramEnd"/>
      <w:r w:rsidRPr="002906A3">
        <w:rPr>
          <w:lang w:val="en-US"/>
        </w:rPr>
        <w:t xml:space="preserve"> generally similar. While most universities in Turkey offer accounting education in Turkish, most universities in </w:t>
      </w:r>
      <w:r w:rsidRPr="002906A3">
        <w:rPr>
          <w:lang w:val="en-US"/>
        </w:rPr>
        <w:lastRenderedPageBreak/>
        <w:t>KSA and UAE provide accounting education in English. Another difference in education among these three accounting systems is that KSA and UAE send large numbers of accounting students to the United States and the United Kingdom each year, increasing the influence of these two countries on KSA and UAE accounting systems.</w:t>
      </w:r>
    </w:p>
    <w:p w14:paraId="4ABB8417" w14:textId="77777777" w:rsidR="001E7189" w:rsidRPr="002906A3" w:rsidRDefault="001E7189" w:rsidP="00BA67A6">
      <w:pPr>
        <w:jc w:val="both"/>
        <w:rPr>
          <w:lang w:val="en-US"/>
        </w:rPr>
      </w:pPr>
    </w:p>
    <w:p w14:paraId="16C73901" w14:textId="70B3D07B" w:rsidR="001E7189" w:rsidRPr="002906A3" w:rsidRDefault="006871AB" w:rsidP="00BA67A6">
      <w:pPr>
        <w:jc w:val="both"/>
        <w:rPr>
          <w:b/>
          <w:bCs/>
          <w:lang w:val="en-US"/>
        </w:rPr>
      </w:pPr>
      <w:r w:rsidRPr="002906A3">
        <w:rPr>
          <w:b/>
          <w:bCs/>
          <w:lang w:val="en-US"/>
        </w:rPr>
        <w:t>References</w:t>
      </w:r>
    </w:p>
    <w:p w14:paraId="73E29C40" w14:textId="77777777" w:rsidR="001E7189" w:rsidRPr="007B234B" w:rsidRDefault="001E7189">
      <w:pPr>
        <w:pStyle w:val="ListeParagraf"/>
        <w:numPr>
          <w:ilvl w:val="0"/>
          <w:numId w:val="50"/>
        </w:numPr>
        <w:jc w:val="both"/>
        <w:rPr>
          <w:rFonts w:eastAsia="Calibri"/>
          <w:i/>
          <w:iCs/>
          <w:lang w:val="en-US"/>
        </w:rPr>
      </w:pPr>
      <w:r w:rsidRPr="007B234B">
        <w:rPr>
          <w:rFonts w:eastAsia="Calibri"/>
          <w:lang w:val="en-US"/>
        </w:rPr>
        <w:t xml:space="preserve">Abdallah, W.M. (2008). </w:t>
      </w:r>
      <w:r w:rsidRPr="007B234B">
        <w:rPr>
          <w:rFonts w:eastAsia="Calibri"/>
          <w:i/>
          <w:iCs/>
          <w:lang w:val="en-US"/>
        </w:rPr>
        <w:t>Accounting, finance</w:t>
      </w:r>
      <w:r w:rsidRPr="007B234B">
        <w:rPr>
          <w:rFonts w:eastAsia="Calibri"/>
          <w:i/>
          <w:iCs/>
          <w:rtl/>
          <w:lang w:val="en-US"/>
        </w:rPr>
        <w:t>,</w:t>
      </w:r>
      <w:r w:rsidRPr="007B234B">
        <w:rPr>
          <w:rFonts w:eastAsia="Calibri"/>
          <w:i/>
          <w:iCs/>
          <w:lang w:val="en-US"/>
        </w:rPr>
        <w:t xml:space="preserve"> and taxation in the Gulf Countries</w:t>
      </w:r>
      <w:r w:rsidRPr="007B234B">
        <w:rPr>
          <w:rFonts w:eastAsia="Calibri"/>
          <w:lang w:val="en-US"/>
        </w:rPr>
        <w:t>. (1.</w:t>
      </w:r>
      <w:r w:rsidRPr="007B234B">
        <w:rPr>
          <w:lang w:val="en-US"/>
        </w:rPr>
        <w:t xml:space="preserve"> </w:t>
      </w:r>
      <w:r w:rsidRPr="007B234B">
        <w:rPr>
          <w:rFonts w:eastAsia="Calibri"/>
          <w:lang w:val="en-US"/>
        </w:rPr>
        <w:t>Edition). Palgrave Macmillan, New York.</w:t>
      </w:r>
    </w:p>
    <w:p w14:paraId="579128A0" w14:textId="77777777" w:rsidR="001E7189" w:rsidRPr="007B234B" w:rsidRDefault="001E7189">
      <w:pPr>
        <w:pStyle w:val="ListeParagraf"/>
        <w:numPr>
          <w:ilvl w:val="0"/>
          <w:numId w:val="50"/>
        </w:numPr>
        <w:jc w:val="both"/>
        <w:rPr>
          <w:rFonts w:eastAsia="Calibri"/>
          <w:lang w:val="en-US"/>
        </w:rPr>
      </w:pPr>
      <w:r w:rsidRPr="007B234B">
        <w:rPr>
          <w:lang w:val="en-US"/>
        </w:rPr>
        <w:t>Abid, A. (2018). Admission of students to technical schools.</w:t>
      </w:r>
      <w:r w:rsidRPr="007B234B">
        <w:rPr>
          <w:rFonts w:eastAsia="Calibri"/>
          <w:lang w:val="en-US"/>
        </w:rPr>
        <w:t xml:space="preserve"> </w:t>
      </w:r>
      <w:hyperlink r:id="rId200" w:history="1">
        <w:r w:rsidRPr="007B234B">
          <w:rPr>
            <w:rFonts w:eastAsia="Calibri"/>
            <w:u w:val="single"/>
            <w:lang w:val="en-US"/>
          </w:rPr>
          <w:t>https://www.emaratalyoum.com/local-section/education/2018-03-19-1.1081605</w:t>
        </w:r>
      </w:hyperlink>
      <w:r w:rsidRPr="007B234B">
        <w:rPr>
          <w:rFonts w:eastAsia="Calibri"/>
          <w:lang w:val="en-US"/>
        </w:rPr>
        <w:t xml:space="preserve"> Access Date: 08.02.2025.</w:t>
      </w:r>
    </w:p>
    <w:p w14:paraId="76D0792F" w14:textId="77777777" w:rsidR="001E7189" w:rsidRPr="007B234B" w:rsidRDefault="001E7189">
      <w:pPr>
        <w:pStyle w:val="ListeParagraf"/>
        <w:numPr>
          <w:ilvl w:val="0"/>
          <w:numId w:val="50"/>
        </w:numPr>
        <w:jc w:val="both"/>
        <w:rPr>
          <w:rFonts w:eastAsia="Calibri"/>
          <w:lang w:val="en-US"/>
        </w:rPr>
      </w:pPr>
      <w:r w:rsidRPr="007B234B">
        <w:rPr>
          <w:rFonts w:eastAsia="Calibri"/>
          <w:lang w:val="en-US"/>
        </w:rPr>
        <w:t xml:space="preserve">Abu Dhabi University. (2023). </w:t>
      </w:r>
      <w:r w:rsidRPr="007B234B">
        <w:rPr>
          <w:rFonts w:eastAsia="Calibri"/>
          <w:i/>
          <w:iCs/>
          <w:lang w:val="en-US"/>
        </w:rPr>
        <w:t>Undergraduate catalog 2023- 2024</w:t>
      </w:r>
      <w:r w:rsidRPr="007B234B">
        <w:rPr>
          <w:rFonts w:eastAsia="Calibri"/>
          <w:lang w:val="en-US"/>
        </w:rPr>
        <w:t xml:space="preserve">. </w:t>
      </w:r>
      <w:hyperlink r:id="rId201" w:history="1">
        <w:r w:rsidRPr="007B234B">
          <w:rPr>
            <w:rFonts w:eastAsia="Calibri"/>
            <w:color w:val="467886"/>
            <w:u w:val="single"/>
            <w:lang w:val="en-US"/>
          </w:rPr>
          <w:t>https://cdn.adu.ac.ae/images-container/docs/default-source/catalogs/ug-catalog-23-24.pdf</w:t>
        </w:r>
      </w:hyperlink>
      <w:r w:rsidRPr="007B234B">
        <w:rPr>
          <w:rFonts w:eastAsia="Calibri"/>
          <w:lang w:val="en-US"/>
        </w:rPr>
        <w:t xml:space="preserve"> Access Date: 02.02.2025.</w:t>
      </w:r>
    </w:p>
    <w:p w14:paraId="36C5F1F7" w14:textId="77777777" w:rsidR="001E7189" w:rsidRPr="007B234B" w:rsidRDefault="001E7189">
      <w:pPr>
        <w:pStyle w:val="ListeParagraf"/>
        <w:numPr>
          <w:ilvl w:val="0"/>
          <w:numId w:val="50"/>
        </w:numPr>
        <w:jc w:val="both"/>
        <w:rPr>
          <w:rFonts w:eastAsia="Calibri"/>
          <w:lang w:val="en-US"/>
        </w:rPr>
      </w:pPr>
      <w:r w:rsidRPr="007B234B">
        <w:rPr>
          <w:rFonts w:eastAsia="Calibri"/>
          <w:lang w:val="en-US"/>
        </w:rPr>
        <w:t xml:space="preserve">Abu Dhabi University. (2024). </w:t>
      </w:r>
      <w:r w:rsidRPr="007B234B">
        <w:rPr>
          <w:rFonts w:eastAsia="Calibri"/>
          <w:i/>
          <w:iCs/>
          <w:lang w:val="en-US"/>
        </w:rPr>
        <w:t>Bachelor of business administration in accounting</w:t>
      </w:r>
      <w:r w:rsidRPr="007B234B">
        <w:rPr>
          <w:rFonts w:eastAsia="Calibri"/>
          <w:lang w:val="en-US"/>
        </w:rPr>
        <w:t xml:space="preserve">. </w:t>
      </w:r>
      <w:hyperlink r:id="rId202" w:history="1">
        <w:r w:rsidRPr="007B234B">
          <w:rPr>
            <w:rFonts w:eastAsia="Calibri"/>
            <w:color w:val="467886"/>
            <w:u w:val="single"/>
            <w:lang w:val="en-US"/>
          </w:rPr>
          <w:t>https://2u.pw/SZNsiDSQ</w:t>
        </w:r>
      </w:hyperlink>
      <w:r w:rsidRPr="007B234B">
        <w:rPr>
          <w:rFonts w:eastAsia="Calibri"/>
          <w:lang w:val="en-US"/>
        </w:rPr>
        <w:t xml:space="preserve"> Access Date: 02.02.2025.</w:t>
      </w:r>
    </w:p>
    <w:p w14:paraId="62E06E2A" w14:textId="77777777" w:rsidR="001E7189" w:rsidRPr="007B234B" w:rsidRDefault="001E7189">
      <w:pPr>
        <w:pStyle w:val="ListeParagraf"/>
        <w:numPr>
          <w:ilvl w:val="0"/>
          <w:numId w:val="50"/>
        </w:numPr>
        <w:jc w:val="both"/>
        <w:rPr>
          <w:rFonts w:eastAsia="Calibri"/>
          <w:lang w:val="en-US"/>
        </w:rPr>
      </w:pPr>
      <w:r w:rsidRPr="007B234B">
        <w:rPr>
          <w:rFonts w:eastAsia="Calibri"/>
          <w:lang w:val="en-US"/>
        </w:rPr>
        <w:t xml:space="preserve">Al-Akra, M., Ali, M., </w:t>
      </w:r>
      <w:r w:rsidRPr="007B234B">
        <w:rPr>
          <w:lang w:val="en-US"/>
        </w:rPr>
        <w:t>&amp;</w:t>
      </w:r>
      <w:r w:rsidRPr="007B234B">
        <w:rPr>
          <w:rFonts w:eastAsia="Calibri"/>
          <w:lang w:val="en-US"/>
        </w:rPr>
        <w:t xml:space="preserve"> </w:t>
      </w:r>
      <w:proofErr w:type="spellStart"/>
      <w:r w:rsidRPr="007B234B">
        <w:rPr>
          <w:rFonts w:eastAsia="Calibri"/>
          <w:lang w:val="en-US"/>
        </w:rPr>
        <w:t>Marashdeh</w:t>
      </w:r>
      <w:proofErr w:type="spellEnd"/>
      <w:r w:rsidRPr="007B234B">
        <w:rPr>
          <w:rFonts w:eastAsia="Calibri"/>
          <w:lang w:val="en-US"/>
        </w:rPr>
        <w:t xml:space="preserve">, O. (2009). Development of accounting regulation in Jordan. </w:t>
      </w:r>
      <w:r w:rsidRPr="007B234B">
        <w:rPr>
          <w:rFonts w:eastAsia="Calibri"/>
          <w:i/>
          <w:iCs/>
          <w:lang w:val="en-US"/>
        </w:rPr>
        <w:t>International Journal of Accounting</w:t>
      </w:r>
      <w:r w:rsidRPr="007B234B">
        <w:rPr>
          <w:rFonts w:eastAsia="Calibri"/>
          <w:lang w:val="en-US"/>
        </w:rPr>
        <w:t>, 44,163-186.</w:t>
      </w:r>
    </w:p>
    <w:p w14:paraId="56EF2E81" w14:textId="77777777" w:rsidR="001E7189" w:rsidRPr="007B234B" w:rsidRDefault="001E7189">
      <w:pPr>
        <w:pStyle w:val="ListeParagraf"/>
        <w:numPr>
          <w:ilvl w:val="0"/>
          <w:numId w:val="50"/>
        </w:numPr>
        <w:jc w:val="both"/>
        <w:rPr>
          <w:lang w:val="en-US"/>
        </w:rPr>
      </w:pPr>
      <w:r w:rsidRPr="007B234B">
        <w:rPr>
          <w:lang w:val="en-US"/>
        </w:rPr>
        <w:t xml:space="preserve">Alkan, C. (2021). </w:t>
      </w:r>
      <w:r w:rsidRPr="007B234B">
        <w:rPr>
          <w:i/>
          <w:iCs/>
          <w:lang w:val="en-US"/>
        </w:rPr>
        <w:t xml:space="preserve">A Historical Review on the </w:t>
      </w:r>
      <w:proofErr w:type="spellStart"/>
      <w:r w:rsidRPr="007B234B">
        <w:rPr>
          <w:i/>
          <w:iCs/>
          <w:lang w:val="en-US"/>
        </w:rPr>
        <w:t>ımpact</w:t>
      </w:r>
      <w:proofErr w:type="spellEnd"/>
      <w:r w:rsidRPr="007B234B">
        <w:rPr>
          <w:i/>
          <w:iCs/>
          <w:lang w:val="en-US"/>
        </w:rPr>
        <w:t xml:space="preserve"> of tax regulations on accounting practices in Turkey, </w:t>
      </w:r>
      <w:proofErr w:type="gramStart"/>
      <w:r w:rsidRPr="007B234B">
        <w:rPr>
          <w:lang w:val="en-US"/>
        </w:rPr>
        <w:t>Master's</w:t>
      </w:r>
      <w:proofErr w:type="gramEnd"/>
      <w:r w:rsidRPr="007B234B">
        <w:rPr>
          <w:lang w:val="en-US"/>
        </w:rPr>
        <w:t xml:space="preserve"> Thesis, </w:t>
      </w:r>
      <w:proofErr w:type="spellStart"/>
      <w:r w:rsidRPr="007B234B">
        <w:rPr>
          <w:lang w:val="en-US"/>
        </w:rPr>
        <w:t>Muğla</w:t>
      </w:r>
      <w:proofErr w:type="spellEnd"/>
      <w:r w:rsidRPr="007B234B">
        <w:rPr>
          <w:lang w:val="en-US"/>
        </w:rPr>
        <w:t xml:space="preserve"> </w:t>
      </w:r>
      <w:proofErr w:type="spellStart"/>
      <w:r w:rsidRPr="007B234B">
        <w:rPr>
          <w:lang w:val="en-US"/>
        </w:rPr>
        <w:t>Sıtkı</w:t>
      </w:r>
      <w:proofErr w:type="spellEnd"/>
      <w:r w:rsidRPr="007B234B">
        <w:rPr>
          <w:lang w:val="en-US"/>
        </w:rPr>
        <w:t xml:space="preserve"> </w:t>
      </w:r>
      <w:proofErr w:type="spellStart"/>
      <w:r w:rsidRPr="007B234B">
        <w:rPr>
          <w:lang w:val="en-US"/>
        </w:rPr>
        <w:t>Koçman</w:t>
      </w:r>
      <w:proofErr w:type="spellEnd"/>
      <w:r w:rsidRPr="007B234B">
        <w:rPr>
          <w:lang w:val="en-US"/>
        </w:rPr>
        <w:t xml:space="preserve"> University Institute of Social Sciences, </w:t>
      </w:r>
      <w:proofErr w:type="spellStart"/>
      <w:r w:rsidRPr="007B234B">
        <w:rPr>
          <w:lang w:val="en-US"/>
        </w:rPr>
        <w:t>Muğla</w:t>
      </w:r>
      <w:proofErr w:type="spellEnd"/>
      <w:r w:rsidRPr="007B234B">
        <w:rPr>
          <w:lang w:val="en-US"/>
        </w:rPr>
        <w:t>.</w:t>
      </w:r>
    </w:p>
    <w:p w14:paraId="30D7DE42" w14:textId="77777777" w:rsidR="001E7189" w:rsidRPr="007B234B" w:rsidRDefault="001E7189">
      <w:pPr>
        <w:pStyle w:val="ListeParagraf"/>
        <w:numPr>
          <w:ilvl w:val="0"/>
          <w:numId w:val="50"/>
        </w:numPr>
        <w:jc w:val="both"/>
        <w:rPr>
          <w:i/>
          <w:iCs/>
          <w:lang w:val="en-US"/>
        </w:rPr>
      </w:pPr>
      <w:proofErr w:type="spellStart"/>
      <w:r w:rsidRPr="007B234B">
        <w:rPr>
          <w:lang w:val="en-US"/>
        </w:rPr>
        <w:t>Alkhtani</w:t>
      </w:r>
      <w:proofErr w:type="spellEnd"/>
      <w:r w:rsidRPr="007B234B">
        <w:rPr>
          <w:lang w:val="en-US"/>
        </w:rPr>
        <w:t xml:space="preserve">, S.S. (2010). </w:t>
      </w:r>
      <w:r w:rsidRPr="007B234B">
        <w:rPr>
          <w:i/>
          <w:iCs/>
          <w:lang w:val="en-US"/>
        </w:rPr>
        <w:t xml:space="preserve">The relevance of </w:t>
      </w:r>
      <w:proofErr w:type="spellStart"/>
      <w:r w:rsidRPr="007B234B">
        <w:rPr>
          <w:i/>
          <w:iCs/>
          <w:lang w:val="en-US"/>
        </w:rPr>
        <w:t>ınternational</w:t>
      </w:r>
      <w:proofErr w:type="spellEnd"/>
      <w:r w:rsidRPr="007B234B">
        <w:rPr>
          <w:i/>
          <w:iCs/>
          <w:lang w:val="en-US"/>
        </w:rPr>
        <w:t xml:space="preserve"> financial reporting standards to </w:t>
      </w:r>
      <w:r w:rsidRPr="007B234B">
        <w:rPr>
          <w:rFonts w:eastAsia="Calibri"/>
          <w:i/>
          <w:iCs/>
          <w:lang w:val="en-US"/>
        </w:rPr>
        <w:t>Saudi Arabia: Stakeholder perspectives</w:t>
      </w:r>
      <w:r w:rsidRPr="007B234B">
        <w:rPr>
          <w:i/>
          <w:iCs/>
          <w:lang w:val="en-US"/>
        </w:rPr>
        <w:t xml:space="preserve">, </w:t>
      </w:r>
      <w:r w:rsidRPr="007B234B">
        <w:rPr>
          <w:lang w:val="en-US"/>
        </w:rPr>
        <w:t>PhD Thesis, University of Stirling, Stirling.</w:t>
      </w:r>
    </w:p>
    <w:p w14:paraId="64766A2F" w14:textId="77777777" w:rsidR="001E7189" w:rsidRPr="007B234B" w:rsidRDefault="001E7189">
      <w:pPr>
        <w:pStyle w:val="ListeParagraf"/>
        <w:numPr>
          <w:ilvl w:val="0"/>
          <w:numId w:val="50"/>
        </w:numPr>
        <w:jc w:val="both"/>
        <w:rPr>
          <w:i/>
          <w:iCs/>
          <w:lang w:val="en-US"/>
        </w:rPr>
      </w:pPr>
      <w:r w:rsidRPr="007B234B">
        <w:rPr>
          <w:lang w:val="en-US"/>
        </w:rPr>
        <w:t xml:space="preserve">Ateş, İ. (2023). </w:t>
      </w:r>
      <w:r w:rsidRPr="007B234B">
        <w:rPr>
          <w:i/>
          <w:iCs/>
          <w:lang w:val="en-US"/>
        </w:rPr>
        <w:t xml:space="preserve">Cognitive load theory in accounting education, </w:t>
      </w:r>
      <w:proofErr w:type="gramStart"/>
      <w:r w:rsidRPr="007B234B">
        <w:rPr>
          <w:lang w:val="en-US"/>
        </w:rPr>
        <w:t>Master's</w:t>
      </w:r>
      <w:proofErr w:type="gramEnd"/>
      <w:r w:rsidRPr="007B234B">
        <w:rPr>
          <w:lang w:val="en-US"/>
        </w:rPr>
        <w:t xml:space="preserve"> Thesis, </w:t>
      </w:r>
      <w:proofErr w:type="spellStart"/>
      <w:r w:rsidRPr="007B234B">
        <w:rPr>
          <w:lang w:val="en-US"/>
        </w:rPr>
        <w:t>Balıkesir</w:t>
      </w:r>
      <w:proofErr w:type="spellEnd"/>
      <w:r w:rsidRPr="007B234B">
        <w:rPr>
          <w:lang w:val="en-US"/>
        </w:rPr>
        <w:t xml:space="preserve"> University Institute of Social Sciences, </w:t>
      </w:r>
      <w:proofErr w:type="spellStart"/>
      <w:r w:rsidRPr="007B234B">
        <w:rPr>
          <w:lang w:val="en-US"/>
        </w:rPr>
        <w:t>Balıkesir</w:t>
      </w:r>
      <w:proofErr w:type="spellEnd"/>
      <w:r w:rsidRPr="007B234B">
        <w:rPr>
          <w:lang w:val="en-US"/>
        </w:rPr>
        <w:t>.</w:t>
      </w:r>
    </w:p>
    <w:p w14:paraId="2DD46F9B" w14:textId="77777777" w:rsidR="001E7189" w:rsidRPr="007B234B" w:rsidRDefault="001E7189">
      <w:pPr>
        <w:pStyle w:val="ListeParagraf"/>
        <w:numPr>
          <w:ilvl w:val="0"/>
          <w:numId w:val="50"/>
        </w:numPr>
        <w:jc w:val="both"/>
        <w:rPr>
          <w:lang w:val="en-US"/>
        </w:rPr>
      </w:pPr>
      <w:proofErr w:type="spellStart"/>
      <w:r w:rsidRPr="007B234B">
        <w:rPr>
          <w:lang w:val="en-US"/>
        </w:rPr>
        <w:t>Çürük</w:t>
      </w:r>
      <w:proofErr w:type="spellEnd"/>
      <w:r w:rsidRPr="007B234B">
        <w:rPr>
          <w:lang w:val="en-US"/>
        </w:rPr>
        <w:t xml:space="preserve">, T. &amp; Doğan, Z. (2001). The level of accounting education in meeting business demands: The case of Turkey. </w:t>
      </w:r>
      <w:r w:rsidRPr="007B234B">
        <w:rPr>
          <w:i/>
          <w:iCs/>
          <w:lang w:val="en-US"/>
        </w:rPr>
        <w:t>ODTÜ Development Journal, 28</w:t>
      </w:r>
      <w:r w:rsidRPr="007B234B">
        <w:rPr>
          <w:lang w:val="en-US"/>
        </w:rPr>
        <w:t>(3-4), 281-310</w:t>
      </w:r>
      <w:r w:rsidRPr="007B234B">
        <w:rPr>
          <w:i/>
          <w:iCs/>
          <w:lang w:val="en-US"/>
        </w:rPr>
        <w:t>.</w:t>
      </w:r>
    </w:p>
    <w:p w14:paraId="49CA61AD" w14:textId="77777777" w:rsidR="001E7189" w:rsidRPr="007B234B" w:rsidRDefault="001E7189">
      <w:pPr>
        <w:pStyle w:val="ListeParagraf"/>
        <w:numPr>
          <w:ilvl w:val="0"/>
          <w:numId w:val="50"/>
        </w:numPr>
        <w:jc w:val="both"/>
        <w:rPr>
          <w:i/>
          <w:iCs/>
          <w:lang w:val="en-US"/>
        </w:rPr>
      </w:pPr>
      <w:bookmarkStart w:id="171" w:name="_Hlk166782138"/>
      <w:proofErr w:type="spellStart"/>
      <w:r w:rsidRPr="007B234B">
        <w:rPr>
          <w:lang w:val="en-US"/>
        </w:rPr>
        <w:t>Ebdülrzazade</w:t>
      </w:r>
      <w:bookmarkEnd w:id="171"/>
      <w:proofErr w:type="spellEnd"/>
      <w:r w:rsidRPr="007B234B">
        <w:rPr>
          <w:lang w:val="en-US"/>
        </w:rPr>
        <w:t xml:space="preserve">, S. (2017). </w:t>
      </w:r>
      <w:r w:rsidRPr="007B234B">
        <w:rPr>
          <w:i/>
          <w:iCs/>
          <w:lang w:val="en-US"/>
        </w:rPr>
        <w:t xml:space="preserve">Comparison of accounting education in Turkey and Azerbaijan: The case of Selcuk University and Azerbaijan State University of Economics, </w:t>
      </w:r>
      <w:proofErr w:type="gramStart"/>
      <w:r w:rsidRPr="007B234B">
        <w:rPr>
          <w:lang w:val="en-US"/>
        </w:rPr>
        <w:t>Master's</w:t>
      </w:r>
      <w:proofErr w:type="gramEnd"/>
      <w:r w:rsidRPr="007B234B">
        <w:rPr>
          <w:lang w:val="en-US"/>
        </w:rPr>
        <w:t xml:space="preserve"> Thesis, Selçuk University Institute of Social Sciences, Konya.</w:t>
      </w:r>
    </w:p>
    <w:p w14:paraId="741217EA" w14:textId="77777777" w:rsidR="001E7189" w:rsidRPr="007B234B" w:rsidRDefault="001E7189">
      <w:pPr>
        <w:pStyle w:val="ListeParagraf"/>
        <w:numPr>
          <w:ilvl w:val="0"/>
          <w:numId w:val="50"/>
        </w:numPr>
        <w:jc w:val="both"/>
        <w:rPr>
          <w:rFonts w:eastAsia="Calibri"/>
          <w:lang w:val="en-US"/>
        </w:rPr>
      </w:pPr>
      <w:hyperlink r:id="rId203" w:history="1">
        <w:r w:rsidRPr="007B234B">
          <w:rPr>
            <w:rFonts w:eastAsia="Calibri"/>
            <w:color w:val="467886"/>
            <w:u w:val="single"/>
            <w:lang w:val="en-US"/>
          </w:rPr>
          <w:t>https://2u.pw/snpZEX3T</w:t>
        </w:r>
      </w:hyperlink>
      <w:r w:rsidRPr="007B234B">
        <w:rPr>
          <w:rFonts w:eastAsia="Calibri"/>
          <w:lang w:val="en-US"/>
        </w:rPr>
        <w:t xml:space="preserve"> Access Date: 04.02.2025.</w:t>
      </w:r>
    </w:p>
    <w:p w14:paraId="752C65B0" w14:textId="77777777" w:rsidR="001E7189" w:rsidRPr="007B234B" w:rsidRDefault="001E7189">
      <w:pPr>
        <w:pStyle w:val="ListeParagraf"/>
        <w:numPr>
          <w:ilvl w:val="0"/>
          <w:numId w:val="50"/>
        </w:numPr>
        <w:jc w:val="both"/>
        <w:rPr>
          <w:rFonts w:eastAsia="Calibri"/>
          <w:lang w:val="en-US"/>
        </w:rPr>
      </w:pPr>
      <w:r w:rsidRPr="007B234B">
        <w:rPr>
          <w:rFonts w:eastAsia="Calibri"/>
          <w:lang w:val="en-US"/>
        </w:rPr>
        <w:t>https://www.hafiz.edu.sa/diploma/Accounting-diploma Access Date: 06.02.2025.</w:t>
      </w:r>
    </w:p>
    <w:p w14:paraId="4346108A" w14:textId="77777777" w:rsidR="001E7189" w:rsidRPr="007B234B" w:rsidRDefault="001E7189">
      <w:pPr>
        <w:pStyle w:val="ListeParagraf"/>
        <w:numPr>
          <w:ilvl w:val="0"/>
          <w:numId w:val="50"/>
        </w:numPr>
        <w:jc w:val="both"/>
        <w:rPr>
          <w:rFonts w:eastAsia="Calibri"/>
          <w:lang w:val="en-US"/>
        </w:rPr>
      </w:pPr>
      <w:hyperlink r:id="rId204" w:history="1">
        <w:r w:rsidRPr="007B234B">
          <w:rPr>
            <w:rStyle w:val="Kpr"/>
            <w:rFonts w:eastAsia="Calibri"/>
            <w:lang w:val="en-US"/>
          </w:rPr>
          <w:t>https://www.kfu.edu.sa/ar/Colleges/AppliedSciences/CollegeDepartments/Pages/Accounting.aspx</w:t>
        </w:r>
      </w:hyperlink>
      <w:r w:rsidRPr="007B234B">
        <w:rPr>
          <w:rFonts w:eastAsia="Calibri"/>
          <w:lang w:val="en-US"/>
        </w:rPr>
        <w:t xml:space="preserve"> Access Date: 06.02.2025.</w:t>
      </w:r>
    </w:p>
    <w:p w14:paraId="71F564DB" w14:textId="77777777" w:rsidR="001E7189" w:rsidRPr="007B234B" w:rsidRDefault="001E7189">
      <w:pPr>
        <w:pStyle w:val="ListeParagraf"/>
        <w:numPr>
          <w:ilvl w:val="0"/>
          <w:numId w:val="50"/>
        </w:numPr>
        <w:jc w:val="both"/>
        <w:rPr>
          <w:rFonts w:eastAsia="Calibri"/>
          <w:lang w:val="en-US"/>
        </w:rPr>
      </w:pPr>
      <w:hyperlink r:id="rId205" w:history="1">
        <w:r w:rsidRPr="007B234B">
          <w:rPr>
            <w:rFonts w:eastAsia="Calibri"/>
            <w:u w:val="single"/>
            <w:lang w:val="en-US"/>
          </w:rPr>
          <w:t>https://www.kfu.edu.sa/ar/Colleges/business-administration/Pages/Master-Accounting.aspx</w:t>
        </w:r>
      </w:hyperlink>
      <w:r w:rsidRPr="007B234B">
        <w:rPr>
          <w:rFonts w:eastAsia="Calibri"/>
          <w:lang w:val="en-US"/>
        </w:rPr>
        <w:t xml:space="preserve"> Access Date: 06.02.2025.</w:t>
      </w:r>
    </w:p>
    <w:p w14:paraId="6E2B26E2" w14:textId="77777777" w:rsidR="001E7189" w:rsidRPr="007B234B" w:rsidRDefault="001E7189">
      <w:pPr>
        <w:pStyle w:val="ListeParagraf"/>
        <w:numPr>
          <w:ilvl w:val="0"/>
          <w:numId w:val="50"/>
        </w:numPr>
        <w:jc w:val="both"/>
        <w:rPr>
          <w:rFonts w:eastAsia="Calibri"/>
          <w:lang w:val="en-US"/>
        </w:rPr>
      </w:pPr>
      <w:proofErr w:type="spellStart"/>
      <w:r w:rsidRPr="007B234B">
        <w:rPr>
          <w:rFonts w:eastAsia="Calibri"/>
          <w:lang w:val="en-US"/>
        </w:rPr>
        <w:t>Imdadul</w:t>
      </w:r>
      <w:proofErr w:type="spellEnd"/>
      <w:r w:rsidRPr="007B234B">
        <w:rPr>
          <w:rFonts w:eastAsia="Calibri"/>
          <w:lang w:val="en-US"/>
        </w:rPr>
        <w:t xml:space="preserve"> Haque, M. (2019). Growth accounting For Saudi Arabia. </w:t>
      </w:r>
      <w:r w:rsidRPr="007B234B">
        <w:rPr>
          <w:rFonts w:eastAsia="Calibri"/>
          <w:i/>
          <w:iCs/>
          <w:lang w:val="en-US"/>
        </w:rPr>
        <w:t>Asian Economic and Financial Review,</w:t>
      </w:r>
      <w:r w:rsidRPr="007B234B">
        <w:rPr>
          <w:rFonts w:eastAsia="Calibri"/>
          <w:lang w:val="en-US"/>
        </w:rPr>
        <w:t xml:space="preserve"> 9(6), 691-701. 10.18488/journal.aefr.2019.96.691.701</w:t>
      </w:r>
    </w:p>
    <w:p w14:paraId="087F9993" w14:textId="1758149D" w:rsidR="001E7189" w:rsidRPr="007B234B" w:rsidRDefault="001E7189">
      <w:pPr>
        <w:pStyle w:val="ListeParagraf"/>
        <w:numPr>
          <w:ilvl w:val="0"/>
          <w:numId w:val="50"/>
        </w:numPr>
        <w:jc w:val="both"/>
        <w:rPr>
          <w:rFonts w:eastAsia="Calibri"/>
          <w:lang w:val="en-US"/>
        </w:rPr>
      </w:pPr>
      <w:bookmarkStart w:id="172" w:name="_Hlk176550256"/>
      <w:proofErr w:type="spellStart"/>
      <w:r w:rsidRPr="007B234B">
        <w:rPr>
          <w:rFonts w:eastAsia="Calibri"/>
          <w:lang w:val="en-US"/>
        </w:rPr>
        <w:t>Khanagha</w:t>
      </w:r>
      <w:proofErr w:type="spellEnd"/>
      <w:r w:rsidRPr="007B234B">
        <w:rPr>
          <w:rFonts w:eastAsia="Calibri"/>
          <w:lang w:val="en-US"/>
        </w:rPr>
        <w:t xml:space="preserve">, J.B. (2011). Reform in accounting standards: Evidence from Saudi Arabia, </w:t>
      </w:r>
      <w:r w:rsidRPr="007B234B">
        <w:rPr>
          <w:rFonts w:eastAsia="Calibri"/>
          <w:i/>
          <w:iCs/>
          <w:lang w:val="en-US"/>
        </w:rPr>
        <w:t>Int. J. Manag. Bus. Res.</w:t>
      </w:r>
      <w:r w:rsidRPr="007B234B">
        <w:rPr>
          <w:rFonts w:eastAsia="Calibri"/>
          <w:lang w:val="en-US"/>
        </w:rPr>
        <w:t>, 1(3), 113-124</w:t>
      </w:r>
    </w:p>
    <w:bookmarkEnd w:id="172"/>
    <w:p w14:paraId="22335E6B" w14:textId="5189DA1C" w:rsidR="001E7189" w:rsidRPr="007B234B" w:rsidRDefault="001E7189">
      <w:pPr>
        <w:pStyle w:val="ListeParagraf"/>
        <w:numPr>
          <w:ilvl w:val="0"/>
          <w:numId w:val="50"/>
        </w:numPr>
        <w:jc w:val="both"/>
        <w:rPr>
          <w:lang w:val="en-US"/>
        </w:rPr>
      </w:pPr>
      <w:r w:rsidRPr="007B234B">
        <w:rPr>
          <w:lang w:val="en-US"/>
        </w:rPr>
        <w:t>King Faisal University. (2024).</w:t>
      </w:r>
    </w:p>
    <w:p w14:paraId="27B9E353" w14:textId="3081546A" w:rsidR="001E7189" w:rsidRPr="007B234B" w:rsidRDefault="001E7189">
      <w:pPr>
        <w:pStyle w:val="ListeParagraf"/>
        <w:numPr>
          <w:ilvl w:val="0"/>
          <w:numId w:val="50"/>
        </w:numPr>
        <w:jc w:val="both"/>
        <w:rPr>
          <w:rFonts w:eastAsia="Calibri"/>
          <w:lang w:val="en-US"/>
        </w:rPr>
      </w:pPr>
      <w:r w:rsidRPr="007B234B">
        <w:rPr>
          <w:rFonts w:eastAsia="Calibri"/>
          <w:lang w:val="en-US"/>
        </w:rPr>
        <w:t xml:space="preserve">Nassar, M., Mohammad, A. </w:t>
      </w:r>
      <w:r w:rsidRPr="007B234B">
        <w:rPr>
          <w:lang w:val="en-US"/>
        </w:rPr>
        <w:t>&amp;</w:t>
      </w:r>
      <w:r w:rsidRPr="007B234B">
        <w:rPr>
          <w:rFonts w:eastAsia="Calibri"/>
          <w:lang w:val="en-US"/>
        </w:rPr>
        <w:t xml:space="preserve"> Abu Siam, Y. (2021). The status of accounting education and </w:t>
      </w:r>
      <w:proofErr w:type="spellStart"/>
      <w:proofErr w:type="gramStart"/>
      <w:r w:rsidRPr="007B234B">
        <w:rPr>
          <w:rFonts w:eastAsia="Calibri"/>
          <w:lang w:val="en-US"/>
        </w:rPr>
        <w:t>ımprovement</w:t>
      </w:r>
      <w:proofErr w:type="spellEnd"/>
      <w:proofErr w:type="gramEnd"/>
      <w:r w:rsidRPr="007B234B">
        <w:rPr>
          <w:rFonts w:eastAsia="Calibri"/>
          <w:lang w:val="en-US"/>
        </w:rPr>
        <w:t xml:space="preserve"> processes in UAE. </w:t>
      </w:r>
      <w:r w:rsidRPr="007B234B">
        <w:rPr>
          <w:rFonts w:eastAsia="Calibri"/>
          <w:i/>
          <w:iCs/>
          <w:lang w:val="en-US"/>
        </w:rPr>
        <w:t>Academy of Strategic Management Journal</w:t>
      </w:r>
      <w:r w:rsidRPr="007B234B">
        <w:rPr>
          <w:rFonts w:eastAsia="Calibri"/>
          <w:lang w:val="en-US"/>
        </w:rPr>
        <w:t xml:space="preserve">, 20(6S). </w:t>
      </w:r>
      <w:hyperlink r:id="rId206" w:history="1">
        <w:r w:rsidRPr="007B234B">
          <w:rPr>
            <w:rFonts w:eastAsia="Calibri"/>
            <w:u w:val="single"/>
            <w:lang w:val="en-US"/>
          </w:rPr>
          <w:t>https://www.abacademies.org/articles/the-status-of-accounting-education-and-improvement-processes-in-uae-11757.html</w:t>
        </w:r>
      </w:hyperlink>
    </w:p>
    <w:p w14:paraId="2152A053" w14:textId="77777777" w:rsidR="001E7189" w:rsidRPr="007B234B" w:rsidRDefault="001E7189">
      <w:pPr>
        <w:pStyle w:val="ListeParagraf"/>
        <w:numPr>
          <w:ilvl w:val="0"/>
          <w:numId w:val="50"/>
        </w:numPr>
        <w:jc w:val="both"/>
        <w:rPr>
          <w:i/>
          <w:iCs/>
          <w:lang w:val="en-US"/>
        </w:rPr>
      </w:pPr>
      <w:r w:rsidRPr="007B234B">
        <w:rPr>
          <w:lang w:val="en-US"/>
        </w:rPr>
        <w:t xml:space="preserve">Poroy </w:t>
      </w:r>
      <w:proofErr w:type="spellStart"/>
      <w:r w:rsidRPr="007B234B">
        <w:rPr>
          <w:lang w:val="en-US"/>
        </w:rPr>
        <w:t>Arsoy</w:t>
      </w:r>
      <w:proofErr w:type="spellEnd"/>
      <w:r w:rsidRPr="007B234B">
        <w:rPr>
          <w:lang w:val="en-US"/>
        </w:rPr>
        <w:t xml:space="preserve">, A., Bora, T. &amp; </w:t>
      </w:r>
      <w:proofErr w:type="spellStart"/>
      <w:r w:rsidRPr="007B234B">
        <w:rPr>
          <w:lang w:val="en-US"/>
        </w:rPr>
        <w:t>Selimoğlu</w:t>
      </w:r>
      <w:proofErr w:type="spellEnd"/>
      <w:r w:rsidRPr="007B234B">
        <w:rPr>
          <w:lang w:val="en-US"/>
        </w:rPr>
        <w:t xml:space="preserve">, S. (2014). Expectations regarding the requirements of knowledge, skills and educational techniques in accounting education: </w:t>
      </w:r>
      <w:r w:rsidRPr="007B234B">
        <w:rPr>
          <w:lang w:val="en-US"/>
        </w:rPr>
        <w:lastRenderedPageBreak/>
        <w:t xml:space="preserve">A Research on academicians and professionals in Turkey. </w:t>
      </w:r>
      <w:r w:rsidRPr="007B234B">
        <w:rPr>
          <w:i/>
          <w:iCs/>
          <w:lang w:val="en-US"/>
        </w:rPr>
        <w:t xml:space="preserve">International Journal of Management Economics and Business, </w:t>
      </w:r>
      <w:r w:rsidRPr="007B234B">
        <w:rPr>
          <w:lang w:val="en-US"/>
        </w:rPr>
        <w:t>10(23), 121-136</w:t>
      </w:r>
      <w:r w:rsidRPr="007B234B">
        <w:rPr>
          <w:i/>
          <w:iCs/>
          <w:lang w:val="en-US"/>
        </w:rPr>
        <w:t>.</w:t>
      </w:r>
    </w:p>
    <w:p w14:paraId="79DD5A54" w14:textId="77777777" w:rsidR="001E7189" w:rsidRPr="007B234B" w:rsidRDefault="001E7189">
      <w:pPr>
        <w:pStyle w:val="ListeParagraf"/>
        <w:numPr>
          <w:ilvl w:val="0"/>
          <w:numId w:val="50"/>
        </w:numPr>
        <w:jc w:val="both"/>
        <w:rPr>
          <w:i/>
          <w:iCs/>
          <w:lang w:val="en-US"/>
        </w:rPr>
      </w:pPr>
      <w:r w:rsidRPr="007B234B">
        <w:rPr>
          <w:lang w:val="en-US"/>
        </w:rPr>
        <w:t>Saudi Ministry of Education</w:t>
      </w:r>
      <w:r w:rsidRPr="007B234B">
        <w:rPr>
          <w:i/>
          <w:iCs/>
          <w:lang w:val="en-US"/>
        </w:rPr>
        <w:t>. (2025). Public universities.</w:t>
      </w:r>
      <w:r w:rsidRPr="002906A3">
        <w:t xml:space="preserve"> </w:t>
      </w:r>
      <w:r w:rsidRPr="007B234B">
        <w:rPr>
          <w:i/>
          <w:iCs/>
          <w:lang w:val="en-US"/>
        </w:rPr>
        <w:t xml:space="preserve">https://moe.gov.sa/ar/education/highereducation/Pages/UniversitiesList.aspx </w:t>
      </w:r>
      <w:r w:rsidRPr="007B234B">
        <w:rPr>
          <w:rFonts w:eastAsia="Calibri"/>
          <w:lang w:val="en-US"/>
        </w:rPr>
        <w:t>Access Date: 25.02.2025.</w:t>
      </w:r>
    </w:p>
    <w:p w14:paraId="3BDF41FA" w14:textId="77777777" w:rsidR="001E7189" w:rsidRPr="007B234B" w:rsidRDefault="001E7189">
      <w:pPr>
        <w:pStyle w:val="ListeParagraf"/>
        <w:numPr>
          <w:ilvl w:val="0"/>
          <w:numId w:val="50"/>
        </w:numPr>
        <w:jc w:val="both"/>
        <w:rPr>
          <w:lang w:val="en-US"/>
        </w:rPr>
      </w:pPr>
      <w:r w:rsidRPr="007B234B">
        <w:rPr>
          <w:lang w:val="en-US"/>
        </w:rPr>
        <w:t xml:space="preserve">TÜRMOB Continuous Professional Development Training Center. (2022). </w:t>
      </w:r>
      <w:r w:rsidRPr="007B234B">
        <w:rPr>
          <w:i/>
          <w:iCs/>
          <w:lang w:val="en-US"/>
        </w:rPr>
        <w:t xml:space="preserve">About SÜRGEM. </w:t>
      </w:r>
      <w:hyperlink r:id="rId207" w:history="1">
        <w:r w:rsidRPr="007B234B">
          <w:rPr>
            <w:rStyle w:val="Kpr"/>
            <w:lang w:val="en-US"/>
          </w:rPr>
          <w:t>https://www.surgem.org.tr/kurumsal/surgemhakkinda</w:t>
        </w:r>
      </w:hyperlink>
      <w:r w:rsidRPr="007B234B">
        <w:rPr>
          <w:rFonts w:eastAsia="Calibri"/>
          <w:lang w:val="en-US"/>
        </w:rPr>
        <w:t xml:space="preserve"> Access Date: </w:t>
      </w:r>
      <w:r w:rsidRPr="007B234B">
        <w:rPr>
          <w:lang w:val="en-US"/>
        </w:rPr>
        <w:t>05.02.2025.</w:t>
      </w:r>
    </w:p>
    <w:p w14:paraId="7EF2D83A" w14:textId="77777777" w:rsidR="001E7189" w:rsidRPr="007B234B" w:rsidRDefault="001E7189">
      <w:pPr>
        <w:pStyle w:val="ListeParagraf"/>
        <w:numPr>
          <w:ilvl w:val="0"/>
          <w:numId w:val="50"/>
        </w:numPr>
        <w:jc w:val="both"/>
        <w:rPr>
          <w:rFonts w:eastAsia="Calibri"/>
          <w:lang w:val="en-US"/>
        </w:rPr>
      </w:pPr>
      <w:proofErr w:type="spellStart"/>
      <w:r w:rsidRPr="007B234B">
        <w:rPr>
          <w:lang w:val="en-US"/>
        </w:rPr>
        <w:t>Üç</w:t>
      </w:r>
      <w:proofErr w:type="spellEnd"/>
      <w:r w:rsidRPr="007B234B">
        <w:rPr>
          <w:lang w:val="en-US"/>
        </w:rPr>
        <w:t xml:space="preserve">, M. (2009). </w:t>
      </w:r>
      <w:r w:rsidRPr="007B234B">
        <w:rPr>
          <w:i/>
          <w:iCs/>
          <w:lang w:val="en-US"/>
        </w:rPr>
        <w:t xml:space="preserve">Classification of accounting systems and an analysis of the position of the </w:t>
      </w:r>
      <w:proofErr w:type="spellStart"/>
      <w:r w:rsidRPr="007B234B">
        <w:rPr>
          <w:i/>
          <w:iCs/>
          <w:lang w:val="en-US"/>
        </w:rPr>
        <w:t>turkish</w:t>
      </w:r>
      <w:proofErr w:type="spellEnd"/>
      <w:r w:rsidRPr="007B234B">
        <w:rPr>
          <w:i/>
          <w:iCs/>
          <w:lang w:val="en-US"/>
        </w:rPr>
        <w:t xml:space="preserve"> accounting system, </w:t>
      </w:r>
      <w:r w:rsidRPr="007B234B">
        <w:rPr>
          <w:lang w:val="en-US"/>
        </w:rPr>
        <w:t xml:space="preserve">PhD Thesis, </w:t>
      </w:r>
      <w:proofErr w:type="spellStart"/>
      <w:r w:rsidRPr="007B234B">
        <w:rPr>
          <w:lang w:val="en-US"/>
        </w:rPr>
        <w:t>Afyon</w:t>
      </w:r>
      <w:proofErr w:type="spellEnd"/>
      <w:r w:rsidRPr="007B234B">
        <w:rPr>
          <w:lang w:val="en-US"/>
        </w:rPr>
        <w:t xml:space="preserve"> </w:t>
      </w:r>
      <w:proofErr w:type="spellStart"/>
      <w:r w:rsidRPr="007B234B">
        <w:rPr>
          <w:lang w:val="en-US"/>
        </w:rPr>
        <w:t>Kocatepe</w:t>
      </w:r>
      <w:proofErr w:type="spellEnd"/>
      <w:r w:rsidRPr="007B234B">
        <w:rPr>
          <w:lang w:val="en-US"/>
        </w:rPr>
        <w:t xml:space="preserve"> University Institute of Social Sciences, </w:t>
      </w:r>
      <w:proofErr w:type="spellStart"/>
      <w:r w:rsidRPr="007B234B">
        <w:rPr>
          <w:lang w:val="en-US"/>
        </w:rPr>
        <w:t>Afyonkarahisar</w:t>
      </w:r>
      <w:proofErr w:type="spellEnd"/>
      <w:r w:rsidRPr="007B234B">
        <w:rPr>
          <w:lang w:val="en-US"/>
        </w:rPr>
        <w:t>.</w:t>
      </w:r>
    </w:p>
    <w:p w14:paraId="455E230E" w14:textId="77777777" w:rsidR="001E7189" w:rsidRPr="007B234B" w:rsidRDefault="001E7189">
      <w:pPr>
        <w:pStyle w:val="ListeParagraf"/>
        <w:numPr>
          <w:ilvl w:val="0"/>
          <w:numId w:val="50"/>
        </w:numPr>
        <w:jc w:val="both"/>
        <w:rPr>
          <w:rFonts w:eastAsia="Calibri"/>
          <w:lang w:val="en-US"/>
        </w:rPr>
      </w:pPr>
      <w:r w:rsidRPr="007B234B">
        <w:rPr>
          <w:rFonts w:eastAsia="Calibri"/>
          <w:lang w:val="en-US"/>
        </w:rPr>
        <w:t xml:space="preserve">United Arab Emirates Ministry of Education and Instruction. (2018). </w:t>
      </w:r>
      <w:r w:rsidRPr="007B234B">
        <w:rPr>
          <w:rFonts w:eastAsia="Calibri"/>
          <w:i/>
          <w:iCs/>
          <w:lang w:val="en-US"/>
        </w:rPr>
        <w:t>General framework of education policies in the United Arab Emirates.</w:t>
      </w:r>
      <w:r w:rsidRPr="007B234B">
        <w:rPr>
          <w:rFonts w:eastAsia="Calibri"/>
          <w:lang w:val="en-US"/>
        </w:rPr>
        <w:t xml:space="preserve"> </w:t>
      </w:r>
      <w:hyperlink r:id="rId208" w:history="1">
        <w:r w:rsidRPr="007B234B">
          <w:rPr>
            <w:rFonts w:eastAsia="Calibri"/>
            <w:u w:val="single"/>
            <w:lang w:val="en-US"/>
          </w:rPr>
          <w:t>https://www.moe.gov.ae/Ar/AboutTheMinistry/Documents/FinalG.pdf</w:t>
        </w:r>
      </w:hyperlink>
      <w:r w:rsidRPr="007B234B">
        <w:rPr>
          <w:rFonts w:eastAsia="Calibri"/>
          <w:lang w:val="en-US"/>
        </w:rPr>
        <w:t xml:space="preserve"> Access Date: 01.02.2025.</w:t>
      </w:r>
    </w:p>
    <w:p w14:paraId="47739ED6" w14:textId="77777777" w:rsidR="001E7189" w:rsidRPr="007B234B" w:rsidRDefault="001E7189">
      <w:pPr>
        <w:pStyle w:val="ListeParagraf"/>
        <w:numPr>
          <w:ilvl w:val="0"/>
          <w:numId w:val="50"/>
        </w:numPr>
        <w:jc w:val="both"/>
        <w:rPr>
          <w:i/>
          <w:iCs/>
          <w:lang w:val="en-US"/>
        </w:rPr>
      </w:pPr>
      <w:r w:rsidRPr="007B234B">
        <w:rPr>
          <w:lang w:val="en-US"/>
        </w:rPr>
        <w:t xml:space="preserve">Yılmaz, M. (2019). </w:t>
      </w:r>
      <w:r w:rsidRPr="007B234B">
        <w:rPr>
          <w:i/>
          <w:iCs/>
          <w:lang w:val="en-US"/>
        </w:rPr>
        <w:t xml:space="preserve">Comparative analysis and accounting of depreciation practices in fixed assets according to tax legislation and </w:t>
      </w:r>
      <w:proofErr w:type="spellStart"/>
      <w:r w:rsidRPr="007B234B">
        <w:rPr>
          <w:i/>
          <w:iCs/>
          <w:lang w:val="en-US"/>
        </w:rPr>
        <w:t>turkish</w:t>
      </w:r>
      <w:proofErr w:type="spellEnd"/>
      <w:r w:rsidRPr="007B234B">
        <w:rPr>
          <w:i/>
          <w:iCs/>
          <w:lang w:val="en-US"/>
        </w:rPr>
        <w:t xml:space="preserve"> accounting standards, </w:t>
      </w:r>
      <w:proofErr w:type="gramStart"/>
      <w:r w:rsidRPr="007B234B">
        <w:rPr>
          <w:lang w:val="en-US"/>
        </w:rPr>
        <w:t>Master's</w:t>
      </w:r>
      <w:proofErr w:type="gramEnd"/>
      <w:r w:rsidRPr="007B234B">
        <w:rPr>
          <w:lang w:val="en-US"/>
        </w:rPr>
        <w:t xml:space="preserve"> Thesis, </w:t>
      </w:r>
      <w:proofErr w:type="spellStart"/>
      <w:r w:rsidRPr="007B234B">
        <w:rPr>
          <w:lang w:val="en-US"/>
        </w:rPr>
        <w:t>Niğde</w:t>
      </w:r>
      <w:proofErr w:type="spellEnd"/>
      <w:r w:rsidRPr="007B234B">
        <w:rPr>
          <w:lang w:val="en-US"/>
        </w:rPr>
        <w:t xml:space="preserve"> Ömer </w:t>
      </w:r>
      <w:proofErr w:type="spellStart"/>
      <w:r w:rsidRPr="007B234B">
        <w:rPr>
          <w:lang w:val="en-US"/>
        </w:rPr>
        <w:t>Halisdemir</w:t>
      </w:r>
      <w:proofErr w:type="spellEnd"/>
      <w:r w:rsidRPr="007B234B">
        <w:rPr>
          <w:lang w:val="en-US"/>
        </w:rPr>
        <w:t xml:space="preserve"> University Institute of Social Sciences, </w:t>
      </w:r>
      <w:proofErr w:type="spellStart"/>
      <w:r w:rsidRPr="007B234B">
        <w:rPr>
          <w:lang w:val="en-US"/>
        </w:rPr>
        <w:t>Niğde</w:t>
      </w:r>
      <w:proofErr w:type="spellEnd"/>
      <w:r w:rsidRPr="007B234B">
        <w:rPr>
          <w:lang w:val="en-US"/>
        </w:rPr>
        <w:t>.</w:t>
      </w:r>
    </w:p>
    <w:p w14:paraId="39A14DE9" w14:textId="0F07D631" w:rsidR="00C70E93" w:rsidRDefault="001E7189">
      <w:pPr>
        <w:pStyle w:val="ListeParagraf"/>
        <w:numPr>
          <w:ilvl w:val="0"/>
          <w:numId w:val="50"/>
        </w:numPr>
        <w:jc w:val="both"/>
        <w:rPr>
          <w:lang w:val="en-US"/>
        </w:rPr>
      </w:pPr>
      <w:r w:rsidRPr="007B234B">
        <w:rPr>
          <w:lang w:val="en-US"/>
        </w:rPr>
        <w:t xml:space="preserve">Yılmaz, S. (2023). </w:t>
      </w:r>
      <w:r w:rsidRPr="007B234B">
        <w:rPr>
          <w:i/>
          <w:iCs/>
          <w:lang w:val="en-US"/>
        </w:rPr>
        <w:t xml:space="preserve">Evaluation of teaching methods used in accounting education: the case of </w:t>
      </w:r>
      <w:proofErr w:type="spellStart"/>
      <w:r w:rsidRPr="007B234B">
        <w:rPr>
          <w:i/>
          <w:iCs/>
          <w:lang w:val="en-US"/>
        </w:rPr>
        <w:t>Ondokuz</w:t>
      </w:r>
      <w:proofErr w:type="spellEnd"/>
      <w:r w:rsidRPr="007B234B">
        <w:rPr>
          <w:i/>
          <w:iCs/>
          <w:lang w:val="en-US"/>
        </w:rPr>
        <w:t xml:space="preserve"> </w:t>
      </w:r>
      <w:proofErr w:type="spellStart"/>
      <w:r w:rsidRPr="007B234B">
        <w:rPr>
          <w:i/>
          <w:iCs/>
          <w:lang w:val="en-US"/>
        </w:rPr>
        <w:t>Mayıs</w:t>
      </w:r>
      <w:proofErr w:type="spellEnd"/>
      <w:r w:rsidRPr="007B234B">
        <w:rPr>
          <w:i/>
          <w:iCs/>
          <w:lang w:val="en-US"/>
        </w:rPr>
        <w:t xml:space="preserve"> University, </w:t>
      </w:r>
      <w:proofErr w:type="gramStart"/>
      <w:r w:rsidRPr="007B234B">
        <w:rPr>
          <w:lang w:val="en-US"/>
        </w:rPr>
        <w:t>Master's</w:t>
      </w:r>
      <w:proofErr w:type="gramEnd"/>
      <w:r w:rsidRPr="007B234B">
        <w:rPr>
          <w:lang w:val="en-US"/>
        </w:rPr>
        <w:t xml:space="preserve"> Thesis, </w:t>
      </w:r>
      <w:proofErr w:type="spellStart"/>
      <w:r w:rsidRPr="007B234B">
        <w:rPr>
          <w:lang w:val="en-US"/>
        </w:rPr>
        <w:t>Gümüşhane</w:t>
      </w:r>
      <w:proofErr w:type="spellEnd"/>
      <w:r w:rsidRPr="007B234B">
        <w:rPr>
          <w:lang w:val="en-US"/>
        </w:rPr>
        <w:t xml:space="preserve"> University Institute of Social Sciences, </w:t>
      </w:r>
      <w:proofErr w:type="spellStart"/>
      <w:r w:rsidRPr="007B234B">
        <w:rPr>
          <w:lang w:val="en-US"/>
        </w:rPr>
        <w:t>Gümüşhane</w:t>
      </w:r>
      <w:proofErr w:type="spellEnd"/>
      <w:r w:rsidRPr="007B234B">
        <w:rPr>
          <w:lang w:val="en-US"/>
        </w:rPr>
        <w:t>.</w:t>
      </w:r>
    </w:p>
    <w:p w14:paraId="75D00223" w14:textId="62D305E1" w:rsidR="008F3205" w:rsidRPr="00C70E93" w:rsidRDefault="00C70E93" w:rsidP="00C70E93">
      <w:pPr>
        <w:autoSpaceDE/>
        <w:autoSpaceDN/>
        <w:rPr>
          <w:lang w:val="en-US"/>
        </w:rPr>
      </w:pPr>
      <w:r>
        <w:rPr>
          <w:lang w:val="en-US"/>
        </w:rPr>
        <w:br w:type="page"/>
      </w:r>
    </w:p>
    <w:p w14:paraId="3FD76501" w14:textId="77777777" w:rsidR="007F2361" w:rsidRDefault="007F2361" w:rsidP="00BA67A6">
      <w:pPr>
        <w:jc w:val="center"/>
        <w:rPr>
          <w:b/>
          <w:bCs/>
          <w:lang w:val="en-US"/>
        </w:rPr>
      </w:pPr>
      <w:r w:rsidRPr="00E333F5">
        <w:rPr>
          <w:b/>
          <w:bCs/>
          <w:lang w:val="en-US"/>
        </w:rPr>
        <w:lastRenderedPageBreak/>
        <w:t xml:space="preserve">Cyclical Time and Transformative Space: Historical and Personal Dimensions in Charles Dickens’ </w:t>
      </w:r>
      <w:r w:rsidRPr="00E333F5">
        <w:rPr>
          <w:b/>
          <w:bCs/>
          <w:i/>
          <w:lang w:val="en-US"/>
        </w:rPr>
        <w:t>A Tale of Two Cities</w:t>
      </w:r>
      <w:r>
        <w:rPr>
          <w:b/>
          <w:bCs/>
          <w:i/>
          <w:lang w:val="en-US"/>
        </w:rPr>
        <w:t xml:space="preserve"> (1859)</w:t>
      </w:r>
    </w:p>
    <w:p w14:paraId="454ABC4B" w14:textId="77777777" w:rsidR="007F2361" w:rsidRPr="00022F92" w:rsidRDefault="007F2361" w:rsidP="00BA67A6">
      <w:pPr>
        <w:jc w:val="center"/>
        <w:rPr>
          <w:lang w:val="en-US"/>
        </w:rPr>
      </w:pPr>
    </w:p>
    <w:p w14:paraId="5F26566C" w14:textId="77777777" w:rsidR="007F2361" w:rsidRPr="00022F92" w:rsidRDefault="007F2361" w:rsidP="00BA67A6">
      <w:pPr>
        <w:jc w:val="center"/>
        <w:rPr>
          <w:lang w:val="en-US"/>
        </w:rPr>
      </w:pPr>
      <w:r>
        <w:rPr>
          <w:lang w:val="en-US"/>
        </w:rPr>
        <w:t>İsmet TOKSÖZ</w:t>
      </w:r>
    </w:p>
    <w:p w14:paraId="5CCE4A85" w14:textId="77777777" w:rsidR="007F2361" w:rsidRPr="00022F92" w:rsidRDefault="007F2361" w:rsidP="00BA67A6">
      <w:pPr>
        <w:jc w:val="center"/>
        <w:rPr>
          <w:lang w:val="en-US"/>
        </w:rPr>
      </w:pPr>
      <w:r>
        <w:rPr>
          <w:lang w:val="en-US"/>
        </w:rPr>
        <w:t xml:space="preserve">Dr., </w:t>
      </w:r>
      <w:proofErr w:type="spellStart"/>
      <w:r>
        <w:rPr>
          <w:lang w:val="en-US"/>
        </w:rPr>
        <w:t>Kahramanmaraş</w:t>
      </w:r>
      <w:proofErr w:type="spellEnd"/>
      <w:r>
        <w:rPr>
          <w:lang w:val="en-US"/>
        </w:rPr>
        <w:t xml:space="preserve"> </w:t>
      </w:r>
      <w:proofErr w:type="spellStart"/>
      <w:r>
        <w:rPr>
          <w:lang w:val="en-US"/>
        </w:rPr>
        <w:t>Sütçü</w:t>
      </w:r>
      <w:proofErr w:type="spellEnd"/>
      <w:r>
        <w:rPr>
          <w:lang w:val="en-US"/>
        </w:rPr>
        <w:t xml:space="preserve"> İmam University</w:t>
      </w:r>
      <w:r w:rsidRPr="00022F92">
        <w:rPr>
          <w:lang w:val="en-US"/>
        </w:rPr>
        <w:t xml:space="preserve">, </w:t>
      </w:r>
      <w:r>
        <w:rPr>
          <w:lang w:val="en-US"/>
        </w:rPr>
        <w:t>School of Foreign Languages</w:t>
      </w:r>
    </w:p>
    <w:p w14:paraId="710DAF9F" w14:textId="77777777" w:rsidR="007F2361" w:rsidRPr="00022F92" w:rsidRDefault="007F2361" w:rsidP="00BA67A6">
      <w:pPr>
        <w:jc w:val="center"/>
        <w:rPr>
          <w:lang w:val="en-US"/>
        </w:rPr>
      </w:pPr>
      <w:r>
        <w:rPr>
          <w:lang w:val="en-US"/>
        </w:rPr>
        <w:t>ismettoksoz@ksu.edu.tr</w:t>
      </w:r>
    </w:p>
    <w:p w14:paraId="351768C3" w14:textId="77777777" w:rsidR="007F2361" w:rsidRDefault="007F2361" w:rsidP="00BA67A6">
      <w:pPr>
        <w:jc w:val="center"/>
        <w:rPr>
          <w:lang w:val="en-US"/>
        </w:rPr>
      </w:pPr>
      <w:proofErr w:type="spellStart"/>
      <w:r w:rsidRPr="00022F92">
        <w:rPr>
          <w:lang w:val="en-US"/>
        </w:rPr>
        <w:t>Orcid</w:t>
      </w:r>
      <w:proofErr w:type="spellEnd"/>
      <w:r w:rsidRPr="00022F92">
        <w:rPr>
          <w:lang w:val="en-US"/>
        </w:rPr>
        <w:t xml:space="preserve"> ID</w:t>
      </w:r>
      <w:r>
        <w:rPr>
          <w:lang w:val="en-US"/>
        </w:rPr>
        <w:t xml:space="preserve">: </w:t>
      </w:r>
      <w:r w:rsidRPr="00E333F5">
        <w:rPr>
          <w:lang w:val="en-US"/>
        </w:rPr>
        <w:t>0000-0001-8882-4888</w:t>
      </w:r>
    </w:p>
    <w:p w14:paraId="5E1AE05F" w14:textId="77777777" w:rsidR="007F2361" w:rsidRPr="00022F92" w:rsidRDefault="007F2361" w:rsidP="00BA67A6">
      <w:pPr>
        <w:jc w:val="center"/>
        <w:rPr>
          <w:lang w:val="en-US"/>
        </w:rPr>
      </w:pPr>
    </w:p>
    <w:p w14:paraId="481E8D0E" w14:textId="77777777" w:rsidR="007F2361" w:rsidRPr="00022F92" w:rsidRDefault="007F2361" w:rsidP="00BA67A6">
      <w:pPr>
        <w:jc w:val="center"/>
        <w:rPr>
          <w:b/>
          <w:bCs/>
          <w:lang w:val="en-US"/>
        </w:rPr>
      </w:pPr>
      <w:r>
        <w:rPr>
          <w:b/>
          <w:bCs/>
          <w:lang w:val="en-US"/>
        </w:rPr>
        <w:t>Abstract</w:t>
      </w:r>
    </w:p>
    <w:p w14:paraId="5716252E" w14:textId="77777777" w:rsidR="007F2361" w:rsidRDefault="007F2361" w:rsidP="00BA67A6">
      <w:pPr>
        <w:jc w:val="both"/>
        <w:rPr>
          <w:lang w:val="en-US"/>
        </w:rPr>
      </w:pPr>
      <w:r w:rsidRPr="00E333F5">
        <w:rPr>
          <w:lang w:val="en-US"/>
        </w:rPr>
        <w:t xml:space="preserve">This study explores Charles Dickens’ </w:t>
      </w:r>
      <w:r w:rsidRPr="00E333F5">
        <w:rPr>
          <w:i/>
          <w:lang w:val="en-US"/>
        </w:rPr>
        <w:t>A Tale of Two Cities (1859)</w:t>
      </w:r>
      <w:r w:rsidRPr="00E333F5">
        <w:rPr>
          <w:lang w:val="en-US"/>
        </w:rPr>
        <w:t xml:space="preserve"> through the thematic lenses of time and space, exploring how these elements function as active forces in shaping both personal and collective experiences. Set against the backdrop of the French Revolution, the novel uses time and space not merely as narrative frameworks but as integral devices to highlight themes of resurrection, sacrifice, and the cyclical nature of history. The analysis emphasizes the duality and interconnectedness of time, portraying it as cyclical and non-linear, with historical events and personal journeys reflecting recurring patterns of injustice and renewal. Space is explored as a symbolic reflection of social and political divisions, with London and Paris embodying contrasting worlds of stability and chaos, individual reinvention, and collective vengeance. These symbolic spaces shift and evolve, representing both physical and psychological states, as seen in Dr. Manette’s recovery and Sydney Carton’s ultimate redemption at the guillotine. Dickens’ manipulation of time and space underscores the moral and societal tensions of the nineteenth century, offering profound insights into humanity’s struggle with historical forces and the possibility of transcendence through individual sacrifice. By linking personal transformation with broader historical movements, </w:t>
      </w:r>
      <w:r w:rsidRPr="00E333F5">
        <w:rPr>
          <w:i/>
          <w:lang w:val="en-US"/>
        </w:rPr>
        <w:t>A Tale of Two Cities (1859)</w:t>
      </w:r>
      <w:r w:rsidRPr="00E333F5">
        <w:rPr>
          <w:lang w:val="en-US"/>
        </w:rPr>
        <w:t xml:space="preserve"> provides a timeless meditation on the complexities of identity, history, and renewal. Ultimately, Dickens’ manipulation of time and space in </w:t>
      </w:r>
      <w:r w:rsidRPr="00E333F5">
        <w:rPr>
          <w:i/>
          <w:lang w:val="en-US"/>
        </w:rPr>
        <w:t>A Tale of Two Cities (1859)</w:t>
      </w:r>
      <w:r w:rsidRPr="00E333F5">
        <w:rPr>
          <w:lang w:val="en-US"/>
        </w:rPr>
        <w:t xml:space="preserve"> transcends mere narrative technique. Time and space become active, shaping forces that not only define the characters’ lives but also reflect the broader political, historical, and moral conditions of the era.</w:t>
      </w:r>
    </w:p>
    <w:p w14:paraId="079D406A" w14:textId="77777777" w:rsidR="007F2361" w:rsidRPr="00022F92" w:rsidRDefault="007F2361" w:rsidP="00BA67A6">
      <w:pPr>
        <w:jc w:val="both"/>
        <w:rPr>
          <w:lang w:val="en-US"/>
        </w:rPr>
      </w:pPr>
    </w:p>
    <w:p w14:paraId="36BCC8CC" w14:textId="27FEB030" w:rsidR="007F2361" w:rsidRDefault="007F2361" w:rsidP="00BA67A6">
      <w:pPr>
        <w:jc w:val="center"/>
        <w:rPr>
          <w:b/>
          <w:bCs/>
        </w:rPr>
      </w:pPr>
      <w:r w:rsidRPr="00022F92">
        <w:rPr>
          <w:b/>
          <w:bCs/>
          <w:lang w:val="en-US"/>
        </w:rPr>
        <w:t>Key</w:t>
      </w:r>
      <w:r w:rsidR="00BA67A6">
        <w:rPr>
          <w:b/>
          <w:bCs/>
          <w:lang w:val="en-US"/>
        </w:rPr>
        <w:t>w</w:t>
      </w:r>
      <w:r w:rsidRPr="00022F92">
        <w:rPr>
          <w:b/>
          <w:bCs/>
          <w:lang w:val="en-US"/>
        </w:rPr>
        <w:t xml:space="preserve">ords: </w:t>
      </w:r>
      <w:r w:rsidRPr="00E333F5">
        <w:rPr>
          <w:lang w:val="en-US"/>
        </w:rPr>
        <w:t xml:space="preserve">Time and Space, Cyclical Time, Transformative Space, Charles Dickens, A Tale of Two Cities </w:t>
      </w:r>
      <w:r w:rsidRPr="00022F92">
        <w:rPr>
          <w:lang w:val="en-US"/>
        </w:rPr>
        <w:br w:type="page"/>
      </w:r>
      <w:r w:rsidRPr="00880BD2">
        <w:rPr>
          <w:b/>
          <w:bCs/>
        </w:rPr>
        <w:lastRenderedPageBreak/>
        <w:t xml:space="preserve">Döngüsel Zaman ve Dönüştürücü Mekân: Charles </w:t>
      </w:r>
      <w:proofErr w:type="spellStart"/>
      <w:r w:rsidRPr="00880BD2">
        <w:rPr>
          <w:b/>
          <w:bCs/>
        </w:rPr>
        <w:t>Dickens’ın</w:t>
      </w:r>
      <w:proofErr w:type="spellEnd"/>
      <w:r w:rsidRPr="00880BD2">
        <w:rPr>
          <w:b/>
          <w:bCs/>
        </w:rPr>
        <w:t xml:space="preserve"> </w:t>
      </w:r>
      <w:r w:rsidRPr="00880BD2">
        <w:rPr>
          <w:b/>
          <w:bCs/>
          <w:i/>
        </w:rPr>
        <w:t>İki Şehrin Hikâyesi (1859)</w:t>
      </w:r>
      <w:r w:rsidRPr="00880BD2">
        <w:rPr>
          <w:b/>
          <w:bCs/>
        </w:rPr>
        <w:t xml:space="preserve"> Romanında Tarihsel ve Bireysel Boyutlar</w:t>
      </w:r>
    </w:p>
    <w:p w14:paraId="03700CFC" w14:textId="77777777" w:rsidR="007F2361" w:rsidRDefault="007F2361" w:rsidP="00BA67A6">
      <w:pPr>
        <w:jc w:val="center"/>
      </w:pPr>
    </w:p>
    <w:p w14:paraId="7CAECEF9" w14:textId="77777777" w:rsidR="007F2361" w:rsidRDefault="007F2361" w:rsidP="00BA67A6">
      <w:pPr>
        <w:jc w:val="center"/>
      </w:pPr>
      <w:r>
        <w:t>İsmet TOKSÖZ</w:t>
      </w:r>
      <w:r>
        <w:br/>
        <w:t>Dr., Kahramanmaraş Sütçü İmam Üniversitesi, Yabancı Diller Yüksekokulu</w:t>
      </w:r>
      <w:r>
        <w:br/>
        <w:t>ismettoksoz@ksu.edu.tr</w:t>
      </w:r>
      <w:r>
        <w:br/>
      </w:r>
      <w:proofErr w:type="spellStart"/>
      <w:r w:rsidRPr="00022F92">
        <w:rPr>
          <w:lang w:val="en-US"/>
        </w:rPr>
        <w:t>Orcid</w:t>
      </w:r>
      <w:proofErr w:type="spellEnd"/>
      <w:r w:rsidRPr="00022F92">
        <w:rPr>
          <w:lang w:val="en-US"/>
        </w:rPr>
        <w:t xml:space="preserve"> ID</w:t>
      </w:r>
      <w:r>
        <w:rPr>
          <w:lang w:val="en-US"/>
        </w:rPr>
        <w:t xml:space="preserve">: </w:t>
      </w:r>
      <w:r w:rsidRPr="00E333F5">
        <w:rPr>
          <w:lang w:val="en-US"/>
        </w:rPr>
        <w:t>0000-0001-8882-4888</w:t>
      </w:r>
    </w:p>
    <w:p w14:paraId="594725D5" w14:textId="77777777" w:rsidR="007F2361" w:rsidRDefault="007F2361" w:rsidP="00BA67A6">
      <w:pPr>
        <w:jc w:val="both"/>
      </w:pPr>
    </w:p>
    <w:p w14:paraId="1983547E" w14:textId="77777777" w:rsidR="007F2361" w:rsidRDefault="007F2361" w:rsidP="00BA67A6">
      <w:pPr>
        <w:jc w:val="center"/>
        <w:rPr>
          <w:b/>
          <w:bCs/>
        </w:rPr>
      </w:pPr>
      <w:r>
        <w:rPr>
          <w:b/>
          <w:bCs/>
        </w:rPr>
        <w:t>Özet</w:t>
      </w:r>
    </w:p>
    <w:p w14:paraId="5E4D1FC4" w14:textId="77777777" w:rsidR="007F2361" w:rsidRPr="00880BD2" w:rsidRDefault="007F2361" w:rsidP="00BA67A6">
      <w:pPr>
        <w:jc w:val="both"/>
      </w:pPr>
      <w:r w:rsidRPr="00880BD2">
        <w:t xml:space="preserve">Bu çalışma, Charles </w:t>
      </w:r>
      <w:proofErr w:type="spellStart"/>
      <w:r w:rsidRPr="00880BD2">
        <w:t>Dickens’ın</w:t>
      </w:r>
      <w:proofErr w:type="spellEnd"/>
      <w:r w:rsidRPr="00880BD2">
        <w:t xml:space="preserve"> </w:t>
      </w:r>
      <w:r w:rsidRPr="00880BD2">
        <w:rPr>
          <w:i/>
        </w:rPr>
        <w:t>İki Şehrin Hikâyesi (1859)</w:t>
      </w:r>
      <w:r w:rsidRPr="00880BD2">
        <w:t xml:space="preserve"> adlı romanını zaman ve mekân temaları üzerinden inceleyerek bu unsurların hem bireysel hem de </w:t>
      </w:r>
      <w:r>
        <w:t>toplumsal</w:t>
      </w:r>
      <w:r w:rsidRPr="00880BD2">
        <w:t xml:space="preserve"> deneyimlerin şekillenmesinde etkin güçler olarak nasıl işlev gördüğünü ele almaktadır. Fransız Devrimi’nin arka planında geçen roman, zamanı ve mekânı yalnızca anlatı</w:t>
      </w:r>
      <w:r>
        <w:t>m</w:t>
      </w:r>
      <w:r w:rsidRPr="00880BD2">
        <w:t xml:space="preserve">sal çerçeveler olarak değil, aynı zamanda yeniden doğuş, fedakârlık ve tarihin döngüsel doğası gibi temaları vurgulayan temel unsurlar olarak kullanmaktadır. Çalışma, zamanın ikili ve birbirine bağlı yapısını öne çıkararak, onu döngüsel ve doğrusal olmayan bir kavram olarak ele almakta; tarihsel olaylar ile bireysel yolculukların adaletsizlik ve yenilenme döngülerini yansıttığını ortaya koymaktadır. </w:t>
      </w:r>
      <w:r>
        <w:t>Romanda m</w:t>
      </w:r>
      <w:r w:rsidRPr="00880BD2">
        <w:t xml:space="preserve">ekân, toplumsal ve siyasal bölünmelerin simgesel bir yansıması olarak ele alınmakta; Londra ve Paris, istikrar ve kaosun, bireysel yeniden doğuşun ve </w:t>
      </w:r>
      <w:r>
        <w:t>toplumsal</w:t>
      </w:r>
      <w:r w:rsidRPr="00880BD2">
        <w:t xml:space="preserve"> intikamın karşıt dünyalarını temsil etmektedir. Bu simgesel mekânlar, Dr. </w:t>
      </w:r>
      <w:proofErr w:type="spellStart"/>
      <w:r w:rsidRPr="00880BD2">
        <w:t>Manette’in</w:t>
      </w:r>
      <w:proofErr w:type="spellEnd"/>
      <w:r w:rsidRPr="00880BD2">
        <w:t xml:space="preserve"> iyileşme süreci ve Sydney </w:t>
      </w:r>
      <w:proofErr w:type="spellStart"/>
      <w:r w:rsidRPr="00880BD2">
        <w:t>Carton’ın</w:t>
      </w:r>
      <w:proofErr w:type="spellEnd"/>
      <w:r w:rsidRPr="00880BD2">
        <w:t xml:space="preserve"> giyotine giderken yaşadığı nihai kurtuluş gibi örneklerde görüldüğü üzere, fiziksel ve psikolojik durumları yansıtarak değişmekte ve dönüşmektedir. </w:t>
      </w:r>
      <w:proofErr w:type="spellStart"/>
      <w:r w:rsidRPr="00880BD2">
        <w:t>Dickens’ın</w:t>
      </w:r>
      <w:proofErr w:type="spellEnd"/>
      <w:r w:rsidRPr="00880BD2">
        <w:t xml:space="preserve"> zaman ve mekânı kurgulama biçimi, on dokuzuncu yüzyılın ahlaki ve toplumsal gerilimlerini vurgulayarak, insanlığın tarihsel güçlerle mücadelesine ve </w:t>
      </w:r>
      <w:r>
        <w:t xml:space="preserve">bu gerilimlerin </w:t>
      </w:r>
      <w:r w:rsidRPr="00880BD2">
        <w:t xml:space="preserve">bireysel fedakârlık yoluyla </w:t>
      </w:r>
      <w:proofErr w:type="spellStart"/>
      <w:r w:rsidRPr="00880BD2">
        <w:t>aşılabilirliğine</w:t>
      </w:r>
      <w:proofErr w:type="spellEnd"/>
      <w:r w:rsidRPr="00880BD2">
        <w:t xml:space="preserve"> dair derinlemesine iç görüler sunmaktadır. </w:t>
      </w:r>
      <w:r w:rsidRPr="00880BD2">
        <w:rPr>
          <w:i/>
        </w:rPr>
        <w:t>İki Şehrin Hikâyesi (1859)</w:t>
      </w:r>
      <w:r w:rsidRPr="00880BD2">
        <w:t xml:space="preserve"> bireysel dönüşümü geniş tarihsel hareketlerle ilişkilendirerek kimlik, tarih ve yenilenmenin karmaşıklıkları üzerine zamansız bir düşünüm sunmaktadır. Sonuç olarak, </w:t>
      </w:r>
      <w:proofErr w:type="spellStart"/>
      <w:r w:rsidRPr="00880BD2">
        <w:t>Dickens’ın</w:t>
      </w:r>
      <w:proofErr w:type="spellEnd"/>
      <w:r w:rsidRPr="00880BD2">
        <w:t xml:space="preserve"> </w:t>
      </w:r>
      <w:r>
        <w:t xml:space="preserve">bu </w:t>
      </w:r>
      <w:r w:rsidRPr="00880BD2">
        <w:t>roman</w:t>
      </w:r>
      <w:r>
        <w:t>ın</w:t>
      </w:r>
      <w:r w:rsidRPr="00880BD2">
        <w:t xml:space="preserve">da </w:t>
      </w:r>
      <w:r>
        <w:t>ele aldığı zaman ve mekân</w:t>
      </w:r>
      <w:r w:rsidRPr="00880BD2">
        <w:t xml:space="preserve"> </w:t>
      </w:r>
      <w:r>
        <w:t>kavramları,</w:t>
      </w:r>
      <w:r w:rsidRPr="00880BD2">
        <w:t xml:space="preserve"> yalnızca bir anlatı</w:t>
      </w:r>
      <w:r>
        <w:t>m</w:t>
      </w:r>
      <w:r w:rsidRPr="00880BD2">
        <w:t xml:space="preserve"> tekniği</w:t>
      </w:r>
      <w:r>
        <w:t>nin parçaları</w:t>
      </w:r>
      <w:r w:rsidRPr="00880BD2">
        <w:t xml:space="preserve"> olmanın ötesine geçerek, karakterlerin yaşamlarını belirleyen ve aynı zamanda dönemin siyasi, tarihsel ve ahlaki koşullarını yansıtan etkin </w:t>
      </w:r>
      <w:r>
        <w:t xml:space="preserve">ve </w:t>
      </w:r>
      <w:r w:rsidRPr="00880BD2">
        <w:t>biçimlendi</w:t>
      </w:r>
      <w:r>
        <w:t>rici unsurlar haline gelmiştir</w:t>
      </w:r>
      <w:r w:rsidRPr="00880BD2">
        <w:t>.</w:t>
      </w:r>
    </w:p>
    <w:p w14:paraId="4FC892AB" w14:textId="77777777" w:rsidR="007F2361" w:rsidRPr="00880BD2" w:rsidRDefault="007F2361" w:rsidP="00BA67A6"/>
    <w:p w14:paraId="5CAF9C9C" w14:textId="77777777" w:rsidR="007F2361" w:rsidRDefault="007F2361" w:rsidP="00BA67A6">
      <w:pPr>
        <w:rPr>
          <w:lang w:val="en-US"/>
        </w:rPr>
      </w:pPr>
      <w:r w:rsidRPr="00880BD2">
        <w:rPr>
          <w:b/>
        </w:rPr>
        <w:t>Anahtar Kelimeler:</w:t>
      </w:r>
      <w:r w:rsidRPr="00880BD2">
        <w:t xml:space="preserve"> Zaman ve Mekân, Döngüsel Zaman, Dönüştürücü Mekân, Charles Dickens, İki Şehrin Hikâyesi</w:t>
      </w:r>
    </w:p>
    <w:p w14:paraId="59E258E8" w14:textId="77777777" w:rsidR="007F2361" w:rsidRDefault="007F2361" w:rsidP="00BA67A6">
      <w:pPr>
        <w:jc w:val="both"/>
        <w:rPr>
          <w:lang w:val="en-US"/>
        </w:rPr>
      </w:pPr>
    </w:p>
    <w:p w14:paraId="5B79AD46" w14:textId="77777777" w:rsidR="007F2361" w:rsidRPr="00022F92" w:rsidRDefault="007F2361" w:rsidP="00BA67A6">
      <w:pPr>
        <w:jc w:val="both"/>
        <w:rPr>
          <w:b/>
          <w:bCs/>
          <w:lang w:val="en-US"/>
        </w:rPr>
      </w:pPr>
      <w:r>
        <w:rPr>
          <w:b/>
          <w:bCs/>
          <w:lang w:val="en-US"/>
        </w:rPr>
        <w:t>INTRODUCTION</w:t>
      </w:r>
    </w:p>
    <w:p w14:paraId="65F92CF8" w14:textId="77777777" w:rsidR="007F2361" w:rsidRPr="00E333F5" w:rsidRDefault="007F2361" w:rsidP="00BA67A6">
      <w:pPr>
        <w:jc w:val="both"/>
        <w:rPr>
          <w:lang w:val="en-US"/>
        </w:rPr>
      </w:pPr>
      <w:r w:rsidRPr="00E333F5">
        <w:rPr>
          <w:lang w:val="en-US"/>
        </w:rPr>
        <w:t>Scientific and technological advancements, originating in the nineteenth century and rapidly accelerating thereafter, transformed humanity’s understanding of time and space. The nineteenth century is particularly significant due to the Industrial Revolution, which fundamentally reshaped traditional agrarian societies and their deep connections to nature. In England during the Victorian era, the First and Second Industrial Revolutions introduced profound changes in production methods, transportation, and societal structures. These revolutions drove increased human and material movement, responding to the growing demand for raw materials and labor. Spreading from England to Western Europe and eventually to America, this transformative period was characterized by cultural flourishing alongside socio economic upheaval. While the Industrial Revolution reinforced the concept of individualism, it simultaneously weakened humanity’s connection to nature, altering perceptions of time and space in both practical and philosophical terms.</w:t>
      </w:r>
    </w:p>
    <w:p w14:paraId="233F1E6E" w14:textId="77777777" w:rsidR="007F2361" w:rsidRDefault="007F2361" w:rsidP="00BA67A6">
      <w:pPr>
        <w:jc w:val="both"/>
        <w:rPr>
          <w:lang w:val="en-US"/>
        </w:rPr>
      </w:pPr>
      <w:r w:rsidRPr="00E333F5">
        <w:rPr>
          <w:lang w:val="en-US"/>
        </w:rPr>
        <w:lastRenderedPageBreak/>
        <w:t>Early human societies were deeply rooted in natural cycles, cultivating the land and domesticating animals in harmony with the environment. This connection formed the foundation for permanent settlements and agricultural systems. However, the Industrial Revolution disrupted these ties as mechanization and factory labor supplanted traditional agrarian practices. Production methods no longer aligned with natural rhythms, creating a growing detachment from the origins of products and the processes behind them. This societal shift paved the way for political and economic exploitation, as ignorance of production’s origins rendered the public vulnerable to manipulation and disinformation.</w:t>
      </w:r>
    </w:p>
    <w:p w14:paraId="26157091" w14:textId="77777777" w:rsidR="00BA67A6" w:rsidRPr="00E333F5" w:rsidRDefault="00BA67A6" w:rsidP="00BA67A6">
      <w:pPr>
        <w:jc w:val="both"/>
        <w:rPr>
          <w:lang w:val="en-US"/>
        </w:rPr>
      </w:pPr>
    </w:p>
    <w:p w14:paraId="477F30DC" w14:textId="77777777" w:rsidR="007F2361" w:rsidRDefault="007F2361" w:rsidP="00BA67A6">
      <w:pPr>
        <w:jc w:val="both"/>
        <w:rPr>
          <w:lang w:val="en-US"/>
        </w:rPr>
      </w:pPr>
      <w:r w:rsidRPr="00E333F5">
        <w:rPr>
          <w:lang w:val="en-US"/>
        </w:rPr>
        <w:t xml:space="preserve">From a social perspective, the Industrial Revolution marked the rise of the bourgeoisie, who controlled the means of production, while the working class emerged as the largest and most widespread social group. This class stratification influenced political dynamics, as growing working-class consciousness led to significant social and political shifts. Simultaneously, increased literacy rates and leisure time among the middle and upper classes </w:t>
      </w:r>
      <w:proofErr w:type="spellStart"/>
      <w:r w:rsidRPr="00E333F5">
        <w:rPr>
          <w:lang w:val="en-US"/>
        </w:rPr>
        <w:t>fuelled</w:t>
      </w:r>
      <w:proofErr w:type="spellEnd"/>
      <w:r w:rsidRPr="00E333F5">
        <w:rPr>
          <w:lang w:val="en-US"/>
        </w:rPr>
        <w:t xml:space="preserve"> an intensified focus on literature and culture. Capitalism’s demands permeated all social strata, shaping cultural and socioeconomic identities in diverse ways. Urbanization, labor struggles, and a heightened sense of individualism and isolation further defined this era.</w:t>
      </w:r>
    </w:p>
    <w:p w14:paraId="60FFA6B6" w14:textId="77777777" w:rsidR="00BA67A6" w:rsidRPr="00E333F5" w:rsidRDefault="00BA67A6" w:rsidP="00BA67A6">
      <w:pPr>
        <w:jc w:val="both"/>
        <w:rPr>
          <w:lang w:val="en-US"/>
        </w:rPr>
      </w:pPr>
    </w:p>
    <w:p w14:paraId="75824C06" w14:textId="77777777" w:rsidR="007F2361" w:rsidRPr="00E333F5" w:rsidRDefault="007F2361" w:rsidP="00BA67A6">
      <w:pPr>
        <w:jc w:val="both"/>
        <w:rPr>
          <w:lang w:val="en-US"/>
        </w:rPr>
      </w:pPr>
      <w:r w:rsidRPr="00E333F5">
        <w:rPr>
          <w:lang w:val="en-US"/>
        </w:rPr>
        <w:t>The literary representation of time and space, deeply influenced by historical context, reflects the ideological, political, and aesthetic conditions of the time. Novelists often use these concepts as tools to explore broader themes, consciously embedding them in their narratives. Critics analyze such representations to uncover underlying philosophical and cultural influences. The interplay between time and space in literature is complex; the two are frequently intertwined, with one shaping the understanding of the other. This duality underscores the human struggle to quantify the infinite and assign meaning to the boundless. In seeking to measure and define time and space, humanity creates frameworks for understanding history, identity, and existence.</w:t>
      </w:r>
    </w:p>
    <w:p w14:paraId="22AB75CC" w14:textId="77777777" w:rsidR="007F2361" w:rsidRDefault="007F2361" w:rsidP="00BA67A6">
      <w:pPr>
        <w:jc w:val="both"/>
        <w:rPr>
          <w:lang w:val="en-US"/>
        </w:rPr>
      </w:pPr>
      <w:r w:rsidRPr="00E333F5">
        <w:rPr>
          <w:lang w:val="en-US"/>
        </w:rPr>
        <w:t xml:space="preserve">Charles Dickens’ </w:t>
      </w:r>
      <w:r w:rsidRPr="00E333F5">
        <w:rPr>
          <w:i/>
          <w:lang w:val="en-US"/>
        </w:rPr>
        <w:t>A Tale of Two Cities (1859)</w:t>
      </w:r>
      <w:r w:rsidRPr="00E333F5">
        <w:rPr>
          <w:lang w:val="en-US"/>
        </w:rPr>
        <w:t xml:space="preserve"> exemplifies how literature engages with these themes. Set against the backdrop of the French Revolution, the novel explores time and space as active forces shaping personal and collective destinies. Themes such as resurrection, sacrifice, and the cyclical nature of history are intricately tied to Dickens’ manipulation of temporal and spatial elements. In </w:t>
      </w:r>
      <w:r w:rsidRPr="00E333F5">
        <w:rPr>
          <w:i/>
          <w:lang w:val="en-US"/>
        </w:rPr>
        <w:t>A Tale of Two Cities (1859)</w:t>
      </w:r>
      <w:r w:rsidRPr="00E333F5">
        <w:rPr>
          <w:lang w:val="en-US"/>
        </w:rPr>
        <w:t>, the interplay between individual transformation and broader historical movements highlights both the personal and collective dimensions of human experience. By examining Dickens’ treatment of time and space, we gain deeper insight into how literature reflects and responds to the sweeping changes of the nineteenth century.</w:t>
      </w:r>
    </w:p>
    <w:p w14:paraId="3268EAD8" w14:textId="77777777" w:rsidR="00BA67A6" w:rsidRDefault="00BA67A6" w:rsidP="00BA67A6">
      <w:pPr>
        <w:jc w:val="both"/>
        <w:rPr>
          <w:lang w:val="en-US"/>
        </w:rPr>
      </w:pPr>
    </w:p>
    <w:p w14:paraId="26D2D114" w14:textId="77777777" w:rsidR="007F2361" w:rsidRDefault="007F2361" w:rsidP="00BA67A6">
      <w:pPr>
        <w:jc w:val="both"/>
        <w:rPr>
          <w:b/>
          <w:lang w:val="en-US"/>
        </w:rPr>
      </w:pPr>
      <w:r w:rsidRPr="00E333F5">
        <w:rPr>
          <w:b/>
          <w:lang w:val="en-US"/>
        </w:rPr>
        <w:t>THEORETICAL BACKGROUND</w:t>
      </w:r>
    </w:p>
    <w:p w14:paraId="00ABA810" w14:textId="77777777" w:rsidR="007F2361" w:rsidRPr="00E333F5" w:rsidRDefault="007F2361" w:rsidP="00BA67A6">
      <w:pPr>
        <w:jc w:val="both"/>
        <w:rPr>
          <w:lang w:val="en-US"/>
        </w:rPr>
      </w:pPr>
      <w:r w:rsidRPr="00E333F5">
        <w:rPr>
          <w:lang w:val="en-US"/>
        </w:rPr>
        <w:t xml:space="preserve">Victorian England serves as a vantage point for the Industrial Revolution, with contemporary readers and critics tracing the effects of major social, economic, and intellectual changes in the twenty-first century back to their origins in Victorian England. This historical context justifies the setting for many Victorian and neo-Victorian novels, with Victorian London emerging as the most prominent example. London symbolizes both the successes of industrial production, becoming a model for Europe and America, and the dark side of industrialization, marked by overcrowded slums, filthy and inhumane living and working conditions. Social and institutional vices tied to industrialization are depicted in historical documents and literary works set in various nineteenth-century environments, such as factories, workhouses, slums, hospitals, asylums, and colonies. These settings reveal personal and societal stories from all walks of life, </w:t>
      </w:r>
      <w:r w:rsidRPr="00E333F5">
        <w:rPr>
          <w:lang w:val="en-US"/>
        </w:rPr>
        <w:lastRenderedPageBreak/>
        <w:t>including different classes, ages, genders, and ethnicities, both within Britain and in its colonies.</w:t>
      </w:r>
    </w:p>
    <w:p w14:paraId="545B1F57" w14:textId="77777777" w:rsidR="007F2361" w:rsidRDefault="007F2361" w:rsidP="00BA67A6">
      <w:pPr>
        <w:jc w:val="both"/>
        <w:rPr>
          <w:lang w:val="en-US"/>
        </w:rPr>
      </w:pPr>
      <w:r w:rsidRPr="00E333F5">
        <w:rPr>
          <w:lang w:val="en-US"/>
        </w:rPr>
        <w:t xml:space="preserve">Burrows </w:t>
      </w:r>
      <w:r>
        <w:rPr>
          <w:lang w:val="en-US"/>
        </w:rPr>
        <w:t xml:space="preserve">(1991) </w:t>
      </w:r>
      <w:r w:rsidRPr="00E333F5">
        <w:rPr>
          <w:lang w:val="en-US"/>
        </w:rPr>
        <w:t xml:space="preserve">defines the Victorian Age as “prosperous, successful, confident, innovatory and leading the world in many areas of human </w:t>
      </w:r>
      <w:proofErr w:type="spellStart"/>
      <w:r w:rsidRPr="00E333F5">
        <w:rPr>
          <w:lang w:val="en-US"/>
        </w:rPr>
        <w:t>endeavour</w:t>
      </w:r>
      <w:proofErr w:type="spellEnd"/>
      <w:r w:rsidRPr="00E333F5">
        <w:rPr>
          <w:lang w:val="en-US"/>
        </w:rPr>
        <w:t>” (</w:t>
      </w:r>
      <w:r>
        <w:rPr>
          <w:lang w:val="en-US"/>
        </w:rPr>
        <w:t xml:space="preserve">p. </w:t>
      </w:r>
      <w:r w:rsidRPr="00E333F5">
        <w:rPr>
          <w:lang w:val="en-US"/>
        </w:rPr>
        <w:t>266). Victorian England is also a stage for steam-powered technologies, heavy industries, and novel transportation methods, all contributing to urbanization. The nineteenth century saw a marked shift away from nature, which became irreversible due to the heavy pollution of land, air, and water, especially in crowded cities. People from all social classes, but particularly the working class, were subjected to harsh conditions, working long hours under unacceptable circumstances. This led to the rise of crime rates, inadequate solutions, and unjust methods of punishment, including exile and even execution. Similarly, those who were mentally or physically impaired were deemed abnormal or dysfunctional and often confined to hospitals or asylums.</w:t>
      </w:r>
    </w:p>
    <w:p w14:paraId="4CC19F5C" w14:textId="77777777" w:rsidR="00BA67A6" w:rsidRPr="00E333F5" w:rsidRDefault="00BA67A6" w:rsidP="00BA67A6">
      <w:pPr>
        <w:jc w:val="both"/>
        <w:rPr>
          <w:lang w:val="en-US"/>
        </w:rPr>
      </w:pPr>
    </w:p>
    <w:p w14:paraId="46CE28EB" w14:textId="77777777" w:rsidR="007F2361" w:rsidRDefault="007F2361" w:rsidP="00BA67A6">
      <w:pPr>
        <w:jc w:val="both"/>
        <w:rPr>
          <w:lang w:val="en-US"/>
        </w:rPr>
      </w:pPr>
      <w:r w:rsidRPr="00E333F5">
        <w:rPr>
          <w:lang w:val="en-US"/>
        </w:rPr>
        <w:t xml:space="preserve">Cunningham </w:t>
      </w:r>
      <w:r>
        <w:rPr>
          <w:lang w:val="en-US"/>
        </w:rPr>
        <w:t xml:space="preserve">(1994) </w:t>
      </w:r>
      <w:r w:rsidRPr="00E333F5">
        <w:rPr>
          <w:lang w:val="en-US"/>
        </w:rPr>
        <w:t>claims that “the 19th century – or perhaps more specifically the Victorian age – was dominated by the novel” (</w:t>
      </w:r>
      <w:r>
        <w:rPr>
          <w:lang w:val="en-US"/>
        </w:rPr>
        <w:t xml:space="preserve">p. </w:t>
      </w:r>
      <w:r w:rsidRPr="00E333F5">
        <w:rPr>
          <w:lang w:val="en-US"/>
        </w:rPr>
        <w:t>27). Cunningham highlights the prominence and centrality of the novel in the cultural and literary landscape of the 1800s. The Victorian era, characterized by significant political, social, and technological transformations, provided fertile ground for the novel’s ascendancy. The novel, as Cunningham suggests, became not only the dominant literary form but also a powerful vehicle for exploring the complexities of modern life, societal changes, and individual subjectivity.</w:t>
      </w:r>
    </w:p>
    <w:p w14:paraId="3DB57D27" w14:textId="77777777" w:rsidR="00BA67A6" w:rsidRPr="00E333F5" w:rsidRDefault="00BA67A6" w:rsidP="00BA67A6">
      <w:pPr>
        <w:jc w:val="both"/>
        <w:rPr>
          <w:lang w:val="en-US"/>
        </w:rPr>
      </w:pPr>
    </w:p>
    <w:p w14:paraId="6E049C48" w14:textId="77777777" w:rsidR="007F2361" w:rsidRDefault="007F2361" w:rsidP="00BA67A6">
      <w:pPr>
        <w:jc w:val="both"/>
        <w:rPr>
          <w:lang w:val="en-US"/>
        </w:rPr>
      </w:pPr>
      <w:r w:rsidRPr="00E333F5">
        <w:rPr>
          <w:lang w:val="en-US"/>
        </w:rPr>
        <w:t>The 19th century marked a period of profound social, political, and technological upheaval, and the Victorian era (1837-1901) witnessed the novel’s flourishing as a literary form. Cunningham’s claim is grounded in the historical context of the period, during which novels became a major cultural force, eclipsing other forms of literature in terms of popularity and influence. While novels had existed prior to the Victorian age, their role in the literary sphere reached unprecedented heights during this period. Several factors contributed to this phenomenon.</w:t>
      </w:r>
    </w:p>
    <w:p w14:paraId="6A6534E6" w14:textId="77777777" w:rsidR="00BA67A6" w:rsidRPr="00E333F5" w:rsidRDefault="00BA67A6" w:rsidP="00BA67A6">
      <w:pPr>
        <w:jc w:val="both"/>
        <w:rPr>
          <w:lang w:val="en-US"/>
        </w:rPr>
      </w:pPr>
    </w:p>
    <w:p w14:paraId="41EC58FD" w14:textId="77777777" w:rsidR="007F2361" w:rsidRDefault="007F2361" w:rsidP="00BA67A6">
      <w:pPr>
        <w:jc w:val="both"/>
        <w:rPr>
          <w:lang w:val="en-US"/>
        </w:rPr>
      </w:pPr>
      <w:r w:rsidRPr="00E333F5">
        <w:rPr>
          <w:lang w:val="en-US"/>
        </w:rPr>
        <w:t xml:space="preserve">First, the expansion of literacy played a significant role in the rise of the novel. As education became more widespread in Britain and other parts of the Western world, a growing middle class emerged that had the time and resources to engage </w:t>
      </w:r>
      <w:proofErr w:type="gramStart"/>
      <w:r w:rsidRPr="00E333F5">
        <w:rPr>
          <w:lang w:val="en-US"/>
        </w:rPr>
        <w:t>with</w:t>
      </w:r>
      <w:proofErr w:type="gramEnd"/>
      <w:r w:rsidRPr="00E333F5">
        <w:rPr>
          <w:lang w:val="en-US"/>
        </w:rPr>
        <w:t xml:space="preserve"> literature. Novels, with their relatively accessible language and entertainment value, became a popular medium for this newly literate public. Second, technological advancements in printing and distribution made novels more widely available. The advent of cheaper paper, mass printing techniques, and serial publications allowed novels to be distributed more widely than ever before. This democratization of literature helped fuel the popularity of the novel, making it a key element of Victorian culture. Third, the novel’s capacity to address a broad range of themes, from social class and industrialization to gender and morality, made it a versatile form of storytelling. It was in the novel that Victorian writers could engage with the rapidly changing world, exploring complex ideas and offering both critique and celebration of the era’s developments.</w:t>
      </w:r>
    </w:p>
    <w:p w14:paraId="46D16114" w14:textId="77777777" w:rsidR="00BA67A6" w:rsidRPr="00E333F5" w:rsidRDefault="00BA67A6" w:rsidP="00BA67A6">
      <w:pPr>
        <w:jc w:val="both"/>
        <w:rPr>
          <w:lang w:val="en-US"/>
        </w:rPr>
      </w:pPr>
    </w:p>
    <w:p w14:paraId="231EABDE" w14:textId="77777777" w:rsidR="007F2361" w:rsidRDefault="007F2361" w:rsidP="00BA67A6">
      <w:pPr>
        <w:jc w:val="both"/>
        <w:rPr>
          <w:lang w:val="en-US"/>
        </w:rPr>
      </w:pPr>
      <w:r w:rsidRPr="00E333F5">
        <w:rPr>
          <w:lang w:val="en-US"/>
        </w:rPr>
        <w:t xml:space="preserve">Cunningham’s claim underscores the novel’s dominance as a cultural phenomenon, but it also invites a closer examination of the themes and concerns that made the Victorian novel so significant. The novels of this period were not mere entertainment; they engaged with pressing social issues, intellectual currents, and moral questions. One of the most prominent themes in Victorian novels was the impact of industrialization. The rise of factories, urbanization, and the expansion of the British Empire radically transformed society, and many novelists sought to </w:t>
      </w:r>
      <w:r w:rsidRPr="00E333F5">
        <w:rPr>
          <w:lang w:val="en-US"/>
        </w:rPr>
        <w:lastRenderedPageBreak/>
        <w:t xml:space="preserve">capture these changes. Writers such as Charles Dickens and Elizabeth Gaskell wrote about the challenges faced by the working class and the moral dilemmas posed by the new </w:t>
      </w:r>
      <w:r>
        <w:rPr>
          <w:lang w:val="en-US"/>
        </w:rPr>
        <w:t>industrial order. In novels such as</w:t>
      </w:r>
      <w:r w:rsidRPr="00E333F5">
        <w:rPr>
          <w:lang w:val="en-US"/>
        </w:rPr>
        <w:t xml:space="preserve"> </w:t>
      </w:r>
      <w:r w:rsidRPr="00F00F9B">
        <w:rPr>
          <w:i/>
          <w:lang w:val="en-US"/>
        </w:rPr>
        <w:t>Hard Times (1854)</w:t>
      </w:r>
      <w:r w:rsidRPr="00E333F5">
        <w:rPr>
          <w:lang w:val="en-US"/>
        </w:rPr>
        <w:t xml:space="preserve"> and </w:t>
      </w:r>
      <w:r w:rsidRPr="00F00F9B">
        <w:rPr>
          <w:i/>
          <w:lang w:val="en-US"/>
        </w:rPr>
        <w:t>North and South (1854)</w:t>
      </w:r>
      <w:r w:rsidRPr="00E333F5">
        <w:rPr>
          <w:lang w:val="en-US"/>
        </w:rPr>
        <w:t>, the social and economic implications of industrialization were explored in vivid detail. The novel, with its ability to depict personal stories against the backdrop of larger social forces, became an ideal medium for dramatizing the tensions between different classes and exploring the effects of industrialization on individuals and families.</w:t>
      </w:r>
    </w:p>
    <w:p w14:paraId="58ABD43D" w14:textId="77777777" w:rsidR="00BA67A6" w:rsidRPr="00E333F5" w:rsidRDefault="00BA67A6" w:rsidP="00BA67A6">
      <w:pPr>
        <w:jc w:val="both"/>
        <w:rPr>
          <w:lang w:val="en-US"/>
        </w:rPr>
      </w:pPr>
    </w:p>
    <w:p w14:paraId="6AB421D6" w14:textId="77777777" w:rsidR="007F2361" w:rsidRDefault="007F2361" w:rsidP="00BA67A6">
      <w:pPr>
        <w:jc w:val="both"/>
        <w:rPr>
          <w:lang w:val="en-US"/>
        </w:rPr>
      </w:pPr>
      <w:r w:rsidRPr="00E333F5">
        <w:rPr>
          <w:lang w:val="en-US"/>
        </w:rPr>
        <w:t xml:space="preserve">Victorian novel also engaged with the changing roles of women in society. The period saw significant shifts in women’s social and legal status, and novels reflected these transformations, both celebrating and critiquing them. In works like </w:t>
      </w:r>
      <w:r w:rsidRPr="00F00F9B">
        <w:rPr>
          <w:lang w:val="en-US"/>
        </w:rPr>
        <w:t>Charlotte Brontë’s</w:t>
      </w:r>
      <w:r w:rsidRPr="00F00F9B">
        <w:rPr>
          <w:i/>
          <w:lang w:val="en-US"/>
        </w:rPr>
        <w:t xml:space="preserve"> Jane Eyre (1847)</w:t>
      </w:r>
      <w:r w:rsidRPr="00E333F5">
        <w:rPr>
          <w:lang w:val="en-US"/>
        </w:rPr>
        <w:t xml:space="preserve"> and George Eliot’s </w:t>
      </w:r>
      <w:r w:rsidRPr="00F00F9B">
        <w:rPr>
          <w:i/>
          <w:lang w:val="en-US"/>
        </w:rPr>
        <w:t>Middlemarch (1871)</w:t>
      </w:r>
      <w:r w:rsidRPr="00E333F5">
        <w:rPr>
          <w:lang w:val="en-US"/>
        </w:rPr>
        <w:t>, female protagonists navigated complex social and emotional landscapes, questioning the boundaries of femininity and exploring the possibilities for women outside traditional roles. These novels raised important questions about marriage, independence, and the rights of women, all of which were central to the Victorian era’s gender politics.</w:t>
      </w:r>
    </w:p>
    <w:p w14:paraId="5C034D7B" w14:textId="77777777" w:rsidR="00BA67A6" w:rsidRPr="00E333F5" w:rsidRDefault="00BA67A6" w:rsidP="00BA67A6">
      <w:pPr>
        <w:jc w:val="both"/>
        <w:rPr>
          <w:lang w:val="en-US"/>
        </w:rPr>
      </w:pPr>
    </w:p>
    <w:p w14:paraId="1B8305CE" w14:textId="77777777" w:rsidR="007F2361" w:rsidRDefault="007F2361" w:rsidP="00BA67A6">
      <w:pPr>
        <w:jc w:val="both"/>
        <w:rPr>
          <w:lang w:val="en-US"/>
        </w:rPr>
      </w:pPr>
      <w:r w:rsidRPr="00E333F5">
        <w:rPr>
          <w:lang w:val="en-US"/>
        </w:rPr>
        <w:t xml:space="preserve">The Victorian novel has long been recognized as a moralizing force, guiding readers through intricate social and ethical dilemmas. As Fraser </w:t>
      </w:r>
      <w:r>
        <w:rPr>
          <w:lang w:val="en-US"/>
        </w:rPr>
        <w:t xml:space="preserve">(2002) </w:t>
      </w:r>
      <w:r w:rsidRPr="00E333F5">
        <w:rPr>
          <w:lang w:val="en-US"/>
        </w:rPr>
        <w:t>asserts, “the plotting and characterization of the Victorian novel often invite readers to examine their prejudices, and to discover and affirm, along with the hero or heroine, an appropriate personal moral and spiritual value system by which to live in the modern world” (</w:t>
      </w:r>
      <w:r>
        <w:rPr>
          <w:lang w:val="en-US"/>
        </w:rPr>
        <w:t xml:space="preserve">p. </w:t>
      </w:r>
      <w:r w:rsidRPr="00E333F5">
        <w:rPr>
          <w:lang w:val="en-US"/>
        </w:rPr>
        <w:t>110</w:t>
      </w:r>
      <w:r>
        <w:rPr>
          <w:lang w:val="en-US"/>
        </w:rPr>
        <w:t>). This perspective situates</w:t>
      </w:r>
      <w:r w:rsidRPr="00E333F5">
        <w:rPr>
          <w:lang w:val="en-US"/>
        </w:rPr>
        <w:t xml:space="preserve"> Victorian </w:t>
      </w:r>
      <w:proofErr w:type="gramStart"/>
      <w:r w:rsidRPr="00E333F5">
        <w:rPr>
          <w:lang w:val="en-US"/>
        </w:rPr>
        <w:t>novel</w:t>
      </w:r>
      <w:proofErr w:type="gramEnd"/>
      <w:r w:rsidRPr="00E333F5">
        <w:rPr>
          <w:lang w:val="en-US"/>
        </w:rPr>
        <w:t xml:space="preserve"> as a literary and didactic tool, shaping individual consciousness and reinforcing prevailing social norms. This chapter will explore Fraser’s claim by analyzing how Victorian novelists construct their narratives to engage readers in moral introspection, promote character-driven ethical development, and reflect contemporary ideological debates.</w:t>
      </w:r>
    </w:p>
    <w:p w14:paraId="3E72E2C3" w14:textId="77777777" w:rsidR="00BA67A6" w:rsidRPr="00E333F5" w:rsidRDefault="00BA67A6" w:rsidP="00BA67A6">
      <w:pPr>
        <w:jc w:val="both"/>
        <w:rPr>
          <w:lang w:val="en-US"/>
        </w:rPr>
      </w:pPr>
    </w:p>
    <w:p w14:paraId="0C827B5E" w14:textId="77777777" w:rsidR="007F2361" w:rsidRDefault="007F2361" w:rsidP="00BA67A6">
      <w:pPr>
        <w:jc w:val="both"/>
        <w:rPr>
          <w:lang w:val="en-US"/>
        </w:rPr>
      </w:pPr>
      <w:r w:rsidRPr="00E333F5">
        <w:rPr>
          <w:lang w:val="en-US"/>
        </w:rPr>
        <w:t>Fraser’s assertion that the Victorian novel invites readers to examine prejudices and affirm moral and spiritual values finds ample support in the narrative structures, character developments, and ideological engagements of these texts. By chronicling protagonists’ moral growth, Victorian novelists create immersive ethical experiences that extend beyond the page, prompting readers to reflect on their own convictions. Through its intricate interplay of plot, characterization, and contemporary concerns, the Victorian novel remains a powerful medium for moral and spiritual exploration, as Fraser aptly identifies.</w:t>
      </w:r>
    </w:p>
    <w:p w14:paraId="2EB02651" w14:textId="77777777" w:rsidR="00BA67A6" w:rsidRPr="00E333F5" w:rsidRDefault="00BA67A6" w:rsidP="00BA67A6">
      <w:pPr>
        <w:jc w:val="both"/>
        <w:rPr>
          <w:lang w:val="en-US"/>
        </w:rPr>
      </w:pPr>
    </w:p>
    <w:p w14:paraId="04C37C3A" w14:textId="77777777" w:rsidR="007F2361" w:rsidRDefault="007F2361" w:rsidP="00BA67A6">
      <w:pPr>
        <w:jc w:val="both"/>
        <w:rPr>
          <w:lang w:val="en-US"/>
        </w:rPr>
      </w:pPr>
      <w:r w:rsidRPr="00E333F5">
        <w:rPr>
          <w:lang w:val="en-US"/>
        </w:rPr>
        <w:t xml:space="preserve">Victorian society was deeply shaped by religious and moral codes, and the novel was a key site for interrogating these values. Gilmour </w:t>
      </w:r>
      <w:r>
        <w:rPr>
          <w:lang w:val="en-US"/>
        </w:rPr>
        <w:t xml:space="preserve">(1993) </w:t>
      </w:r>
      <w:r w:rsidRPr="00E333F5">
        <w:rPr>
          <w:lang w:val="en-US"/>
        </w:rPr>
        <w:t>asserts that “the early Victorian ambivalence about exploring the self is both revealed and transcended in one of the most influential books of the century” (</w:t>
      </w:r>
      <w:r>
        <w:rPr>
          <w:lang w:val="en-US"/>
        </w:rPr>
        <w:t xml:space="preserve">p. </w:t>
      </w:r>
      <w:r w:rsidRPr="00E333F5">
        <w:rPr>
          <w:lang w:val="en-US"/>
        </w:rPr>
        <w:t>28). Writers like Thomas Hardy and George Eliot frequently explored the tension between religious faith and the challenges of modern life. Th</w:t>
      </w:r>
      <w:r>
        <w:rPr>
          <w:lang w:val="en-US"/>
        </w:rPr>
        <w:t xml:space="preserve">e moral conflicts of characters, </w:t>
      </w:r>
      <w:r w:rsidRPr="00E333F5">
        <w:rPr>
          <w:lang w:val="en-US"/>
        </w:rPr>
        <w:t>often pitting personal desire</w:t>
      </w:r>
      <w:r>
        <w:rPr>
          <w:lang w:val="en-US"/>
        </w:rPr>
        <w:t xml:space="preserve">s against societal expectations, </w:t>
      </w:r>
      <w:r w:rsidRPr="00E333F5">
        <w:rPr>
          <w:lang w:val="en-US"/>
        </w:rPr>
        <w:t xml:space="preserve">became a hallmark of Victorian fiction. In Hardy’s </w:t>
      </w:r>
      <w:r w:rsidRPr="00F00F9B">
        <w:rPr>
          <w:i/>
          <w:lang w:val="en-US"/>
        </w:rPr>
        <w:t>Tess of the d'Urbervilles (1891)</w:t>
      </w:r>
      <w:r w:rsidRPr="00E333F5">
        <w:rPr>
          <w:lang w:val="en-US"/>
        </w:rPr>
        <w:t>, for instance, the protagonist’s tragic fate highlights the rigid moral structures of the time, particularly the harsh treatment of women and sexual morality. The religious and moral concerns of the era, especially in relation to the rise of science and secularism, were reflected in the novels, which frequently grappled with questions of fate, free will, and the existence of a divine order.</w:t>
      </w:r>
    </w:p>
    <w:p w14:paraId="3434E27C" w14:textId="77777777" w:rsidR="00BA67A6" w:rsidRPr="00E333F5" w:rsidRDefault="00BA67A6" w:rsidP="00BA67A6">
      <w:pPr>
        <w:jc w:val="both"/>
        <w:rPr>
          <w:lang w:val="en-US"/>
        </w:rPr>
      </w:pPr>
    </w:p>
    <w:p w14:paraId="5A815D97" w14:textId="77777777" w:rsidR="007F2361" w:rsidRDefault="007F2361" w:rsidP="00BA67A6">
      <w:pPr>
        <w:jc w:val="both"/>
        <w:rPr>
          <w:lang w:val="en-US"/>
        </w:rPr>
      </w:pPr>
      <w:r>
        <w:rPr>
          <w:lang w:val="en-US"/>
        </w:rPr>
        <w:lastRenderedPageBreak/>
        <w:t>Cunningham’s assertion that</w:t>
      </w:r>
      <w:r w:rsidRPr="00E333F5">
        <w:rPr>
          <w:lang w:val="en-US"/>
        </w:rPr>
        <w:t xml:space="preserve"> Victorian age was “dominated by the novel” can also be understood in the context of the novel’s role as a mirror to society. Victorian novelists used the genre to reflect, critique, and even shape public opinion about the changing world around them. The novel became a powerful tool for social commentary, as authors were often keenly aware of the implications of their work on public thought. Dickens used his novels to critique the social injustices of his time, particularly the exploitation of the poor and the dehumanizing effects of industrialization. In </w:t>
      </w:r>
      <w:r>
        <w:rPr>
          <w:lang w:val="en-US"/>
        </w:rPr>
        <w:t>his novels such as</w:t>
      </w:r>
      <w:r w:rsidRPr="00E333F5">
        <w:rPr>
          <w:lang w:val="en-US"/>
        </w:rPr>
        <w:t xml:space="preserve"> </w:t>
      </w:r>
      <w:r w:rsidRPr="00B046F4">
        <w:rPr>
          <w:i/>
          <w:lang w:val="en-US"/>
        </w:rPr>
        <w:t>David Copperfield (1850)</w:t>
      </w:r>
      <w:r w:rsidRPr="00E333F5">
        <w:rPr>
          <w:lang w:val="en-US"/>
        </w:rPr>
        <w:t>, Dickens blended personal stories with broader social critiques, illustrating the ways in which individuals were shaped by and responded to the social conditions of their time. Similarly, novelists like George Eliot, with her deep psychological insights and social realism used the novel to question traditional values and examine the intricacies of human behavior. The novel became a space where intellectual and philosophical ideas could be worked out through the lives of complex, multi-dimensional characters.</w:t>
      </w:r>
    </w:p>
    <w:p w14:paraId="435C2005" w14:textId="77777777" w:rsidR="00BA67A6" w:rsidRPr="00E333F5" w:rsidRDefault="00BA67A6" w:rsidP="00BA67A6">
      <w:pPr>
        <w:jc w:val="both"/>
        <w:rPr>
          <w:lang w:val="en-US"/>
        </w:rPr>
      </w:pPr>
    </w:p>
    <w:p w14:paraId="2FF03D41" w14:textId="77777777" w:rsidR="007F2361" w:rsidRDefault="007F2361" w:rsidP="00BA67A6">
      <w:pPr>
        <w:jc w:val="both"/>
        <w:rPr>
          <w:lang w:val="en-US"/>
        </w:rPr>
      </w:pPr>
      <w:r w:rsidRPr="00E333F5">
        <w:rPr>
          <w:lang w:val="en-US"/>
        </w:rPr>
        <w:t xml:space="preserve">Cunningham’s claim that the 19th century, and particularly the Victorian age, was dominated by the novel is supported by the cultural, social, and technological factors that contributed to the novel’s prominence. The Victorian era, marked by dramatic changes and new challenges, provided a rich backdrop for the novel to thrive as a medium for both entertainment and serious social inquiry. Through its exploration of themes such as industrialization, gender roles, morality, and class, the Victorian novel became an essential vehicle for understanding and </w:t>
      </w:r>
      <w:proofErr w:type="gramStart"/>
      <w:r w:rsidRPr="00E333F5">
        <w:rPr>
          <w:lang w:val="en-US"/>
        </w:rPr>
        <w:t>critiquing</w:t>
      </w:r>
      <w:proofErr w:type="gramEnd"/>
      <w:r w:rsidRPr="00E333F5">
        <w:rPr>
          <w:lang w:val="en-US"/>
        </w:rPr>
        <w:t xml:space="preserve"> the complexities of modern life. As such, the dominance of the novel in the Victorian era reflects not only the literary tastes of the time but also the deeper currents of societal transformation that shaped the world in which these novels were written and read.</w:t>
      </w:r>
    </w:p>
    <w:p w14:paraId="3B852AE9" w14:textId="77777777" w:rsidR="00BA67A6" w:rsidRPr="00E333F5" w:rsidRDefault="00BA67A6" w:rsidP="00BA67A6">
      <w:pPr>
        <w:jc w:val="both"/>
        <w:rPr>
          <w:lang w:val="en-US"/>
        </w:rPr>
      </w:pPr>
    </w:p>
    <w:p w14:paraId="2E6AA076" w14:textId="77777777" w:rsidR="007F2361" w:rsidRPr="00E333F5" w:rsidRDefault="007F2361" w:rsidP="00BA67A6">
      <w:pPr>
        <w:jc w:val="both"/>
        <w:rPr>
          <w:lang w:val="en-US"/>
        </w:rPr>
      </w:pPr>
      <w:r w:rsidRPr="00E333F5">
        <w:rPr>
          <w:lang w:val="en-US"/>
        </w:rPr>
        <w:t xml:space="preserve">Cunningham </w:t>
      </w:r>
      <w:r>
        <w:rPr>
          <w:lang w:val="en-US"/>
        </w:rPr>
        <w:t xml:space="preserve">(1994) </w:t>
      </w:r>
      <w:r w:rsidRPr="00E333F5">
        <w:rPr>
          <w:lang w:val="en-US"/>
        </w:rPr>
        <w:t xml:space="preserve">also suggests as follows: </w:t>
      </w:r>
    </w:p>
    <w:p w14:paraId="4B9A8B09" w14:textId="77777777" w:rsidR="007F2361" w:rsidRDefault="007F2361" w:rsidP="00BA67A6">
      <w:pPr>
        <w:ind w:left="720"/>
        <w:jc w:val="both"/>
        <w:rPr>
          <w:lang w:val="en-US"/>
        </w:rPr>
      </w:pPr>
      <w:r w:rsidRPr="00E333F5">
        <w:rPr>
          <w:lang w:val="en-US"/>
        </w:rPr>
        <w:t xml:space="preserve">The novels of this period sprang from a society undergoing a more massive upheaval under the influence of industrialization than in any previous era. Not only was the population shifting irrevocably from an agricultural to an urban base, with all the profound changes in social, working and family patterns that this entailed; there were also </w:t>
      </w:r>
      <w:proofErr w:type="gramStart"/>
      <w:r w:rsidRPr="00E333F5">
        <w:rPr>
          <w:lang w:val="en-US"/>
        </w:rPr>
        <w:t>the dramatic</w:t>
      </w:r>
      <w:proofErr w:type="gramEnd"/>
      <w:r w:rsidRPr="00E333F5">
        <w:rPr>
          <w:lang w:val="en-US"/>
        </w:rPr>
        <w:t xml:space="preserve"> visible changes resulting from technological invention which altered people's perceptions and their world. (</w:t>
      </w:r>
      <w:r>
        <w:rPr>
          <w:lang w:val="en-US"/>
        </w:rPr>
        <w:t xml:space="preserve">p. </w:t>
      </w:r>
      <w:r w:rsidRPr="00E333F5">
        <w:rPr>
          <w:lang w:val="en-US"/>
        </w:rPr>
        <w:t>27-28)</w:t>
      </w:r>
    </w:p>
    <w:p w14:paraId="724FE9AB" w14:textId="77777777" w:rsidR="00BA67A6" w:rsidRPr="00E333F5" w:rsidRDefault="00BA67A6" w:rsidP="00BA67A6">
      <w:pPr>
        <w:ind w:left="720"/>
        <w:jc w:val="both"/>
        <w:rPr>
          <w:lang w:val="en-US"/>
        </w:rPr>
      </w:pPr>
    </w:p>
    <w:p w14:paraId="02D4ACA5" w14:textId="77777777" w:rsidR="007F2361" w:rsidRDefault="007F2361" w:rsidP="00BA67A6">
      <w:pPr>
        <w:jc w:val="both"/>
        <w:rPr>
          <w:lang w:val="en-US"/>
        </w:rPr>
      </w:pPr>
      <w:r w:rsidRPr="00E333F5">
        <w:rPr>
          <w:lang w:val="en-US"/>
        </w:rPr>
        <w:t>Some living and working conditions are tied to specific times and places; however, they all exist in a simultaneous, circular understanding of time. Advances in civilization directly affect individuals and societies. In a linear view of time, conditions of life are often used to evaluate the development of a nation, with setbacks seen as regression. This is often depicted in novels as technologically or industrially backward places where time seems to have stood still or regressed. These ideas reflect post-industrial and capitalist ideologies, which overlook the value of natural and local forms of production.</w:t>
      </w:r>
    </w:p>
    <w:p w14:paraId="47237B40" w14:textId="77777777" w:rsidR="00BA67A6" w:rsidRPr="00E333F5" w:rsidRDefault="00BA67A6" w:rsidP="00BA67A6">
      <w:pPr>
        <w:jc w:val="both"/>
        <w:rPr>
          <w:lang w:val="en-US"/>
        </w:rPr>
      </w:pPr>
    </w:p>
    <w:p w14:paraId="33EFD749" w14:textId="77777777" w:rsidR="007F2361" w:rsidRDefault="007F2361" w:rsidP="00BA67A6">
      <w:pPr>
        <w:jc w:val="both"/>
        <w:rPr>
          <w:b/>
          <w:i/>
          <w:lang w:val="en-US"/>
        </w:rPr>
      </w:pPr>
      <w:r>
        <w:rPr>
          <w:b/>
          <w:lang w:val="en-US"/>
        </w:rPr>
        <w:t xml:space="preserve">CHARLES DICKENS’ </w:t>
      </w:r>
      <w:r w:rsidRPr="00E333F5">
        <w:rPr>
          <w:b/>
          <w:i/>
          <w:lang w:val="en-US"/>
        </w:rPr>
        <w:t>A TALE OF TWO CITIES (1859)</w:t>
      </w:r>
    </w:p>
    <w:p w14:paraId="1322DED8" w14:textId="77777777" w:rsidR="007F2361" w:rsidRDefault="007F2361" w:rsidP="00BA67A6">
      <w:pPr>
        <w:jc w:val="both"/>
        <w:rPr>
          <w:lang w:val="en-US"/>
        </w:rPr>
      </w:pPr>
      <w:r w:rsidRPr="001A7F74">
        <w:rPr>
          <w:lang w:val="en-US"/>
        </w:rPr>
        <w:t xml:space="preserve">Charles Dickens’ </w:t>
      </w:r>
      <w:r w:rsidRPr="001A7F74">
        <w:rPr>
          <w:i/>
          <w:lang w:val="en-US"/>
        </w:rPr>
        <w:t>A Tale of Two Cities (1859)</w:t>
      </w:r>
      <w:r w:rsidRPr="001A7F74">
        <w:rPr>
          <w:lang w:val="en-US"/>
        </w:rPr>
        <w:t xml:space="preserve"> is often regarded as one of his most historically significant and thematically complex novels. Set against the backdrop of the French Revolution, the novel’s intricate handling of time and space enhances its exploration of themes such as resurrection, sacrifice, and the cyclical nature of history. Time and space are not simply structural elements in the narrative; they actively shape the fates of the characters and the outcomes of historical events. Indeed, Dickens, in </w:t>
      </w:r>
      <w:r w:rsidRPr="001A7F74">
        <w:rPr>
          <w:i/>
          <w:lang w:val="en-US"/>
        </w:rPr>
        <w:t>A Tale of Two Cities (1859)</w:t>
      </w:r>
      <w:r w:rsidRPr="001A7F74">
        <w:rPr>
          <w:lang w:val="en-US"/>
        </w:rPr>
        <w:t xml:space="preserve">, “omnisciently </w:t>
      </w:r>
      <w:r w:rsidRPr="001A7F74">
        <w:rPr>
          <w:lang w:val="en-US"/>
        </w:rPr>
        <w:lastRenderedPageBreak/>
        <w:t>expands the scope of the narrative in time or in space” (Monod</w:t>
      </w:r>
      <w:r>
        <w:rPr>
          <w:lang w:val="en-US"/>
        </w:rPr>
        <w:t>,</w:t>
      </w:r>
      <w:r w:rsidRPr="001A7F74">
        <w:rPr>
          <w:lang w:val="en-US"/>
        </w:rPr>
        <w:t xml:space="preserve"> </w:t>
      </w:r>
      <w:r>
        <w:rPr>
          <w:lang w:val="en-US"/>
        </w:rPr>
        <w:t xml:space="preserve">1970, p. </w:t>
      </w:r>
      <w:r w:rsidRPr="001A7F74">
        <w:rPr>
          <w:lang w:val="en-US"/>
        </w:rPr>
        <w:t>494). Dickens’ manipulation of these concepts intertwines personal transformation with the larger movements of history, emphasizing both individual and collective aspects of human experience.</w:t>
      </w:r>
    </w:p>
    <w:p w14:paraId="16DBF8B9" w14:textId="77777777" w:rsidR="00BA67A6" w:rsidRPr="001A7F74" w:rsidRDefault="00BA67A6" w:rsidP="00BA67A6">
      <w:pPr>
        <w:jc w:val="both"/>
        <w:rPr>
          <w:lang w:val="en-US"/>
        </w:rPr>
      </w:pPr>
    </w:p>
    <w:p w14:paraId="3BCBCE59" w14:textId="77777777" w:rsidR="007F2361" w:rsidRDefault="007F2361" w:rsidP="00BA67A6">
      <w:pPr>
        <w:jc w:val="both"/>
        <w:rPr>
          <w:lang w:val="en-US"/>
        </w:rPr>
      </w:pPr>
      <w:r w:rsidRPr="001A7F74">
        <w:rPr>
          <w:lang w:val="en-US"/>
        </w:rPr>
        <w:t xml:space="preserve">Rosen </w:t>
      </w:r>
      <w:r>
        <w:rPr>
          <w:lang w:val="en-US"/>
        </w:rPr>
        <w:t xml:space="preserve">(1998) </w:t>
      </w:r>
      <w:r w:rsidRPr="001A7F74">
        <w:rPr>
          <w:lang w:val="en-US"/>
        </w:rPr>
        <w:t xml:space="preserve">claims about </w:t>
      </w:r>
      <w:r w:rsidRPr="001A7F74">
        <w:rPr>
          <w:i/>
          <w:lang w:val="en-US"/>
        </w:rPr>
        <w:t>A Tale of Two Cities (1859)</w:t>
      </w:r>
      <w:r w:rsidRPr="001A7F74">
        <w:rPr>
          <w:lang w:val="en-US"/>
        </w:rPr>
        <w:t xml:space="preserve"> that “Dickens’ analysis of the revolution’s inadequacy [in A Tale of Two Cities] is not confined to ethics, however, but pursues the repercussions of myth to the level of metaphysics - specifically, to the questions of time, space, and causation” (</w:t>
      </w:r>
      <w:r>
        <w:rPr>
          <w:lang w:val="en-US"/>
        </w:rPr>
        <w:t xml:space="preserve">p. </w:t>
      </w:r>
      <w:r w:rsidRPr="001A7F74">
        <w:rPr>
          <w:lang w:val="en-US"/>
        </w:rPr>
        <w:t>179). Throughout the novel, Dickens employs dualities such as England and France, past and present, or fate and free will to underscore the cyclical nature of history and the way revolutionary ideals become trapped in the very structures they seek to dismantle. Additionally, characters like Sydney Carton experience time in a nonlinear fashion; his redemptive sacrifice suggests an almost eternal recurrence, where personal and historical events seem predestined yet open to transformation. Dickens also blurs the boundaries of space, particularly in the doubling of London and Paris, illustrating how revolution is not confined to one nation but resonates across borders. By intertwining ethical critique with metaphysical concerns, Dickens presents the Revolution not only as a political upheaval but as a manifestation of deeper, almost inevitable historical forces.</w:t>
      </w:r>
    </w:p>
    <w:p w14:paraId="5AAEB39B" w14:textId="77777777" w:rsidR="00BA67A6" w:rsidRPr="001A7F74" w:rsidRDefault="00BA67A6" w:rsidP="00BA67A6">
      <w:pPr>
        <w:jc w:val="both"/>
        <w:rPr>
          <w:lang w:val="en-US"/>
        </w:rPr>
      </w:pPr>
    </w:p>
    <w:p w14:paraId="14B809EC" w14:textId="77777777" w:rsidR="007F2361" w:rsidRDefault="007F2361" w:rsidP="00BA67A6">
      <w:pPr>
        <w:jc w:val="both"/>
        <w:rPr>
          <w:lang w:val="en-US"/>
        </w:rPr>
      </w:pPr>
      <w:r w:rsidRPr="001A7F74">
        <w:rPr>
          <w:lang w:val="en-US"/>
        </w:rPr>
        <w:t xml:space="preserve">One of the most prominent ways </w:t>
      </w:r>
      <w:proofErr w:type="gramStart"/>
      <w:r w:rsidRPr="001A7F74">
        <w:rPr>
          <w:lang w:val="en-US"/>
        </w:rPr>
        <w:t>time</w:t>
      </w:r>
      <w:proofErr w:type="gramEnd"/>
      <w:r w:rsidRPr="001A7F74">
        <w:rPr>
          <w:lang w:val="en-US"/>
        </w:rPr>
        <w:t xml:space="preserve"> operates in </w:t>
      </w:r>
      <w:r w:rsidRPr="001A7F74">
        <w:rPr>
          <w:i/>
          <w:lang w:val="en-US"/>
        </w:rPr>
        <w:t>A Tale of Two Cities (1859)</w:t>
      </w:r>
      <w:r w:rsidRPr="001A7F74">
        <w:rPr>
          <w:lang w:val="en-US"/>
        </w:rPr>
        <w:t xml:space="preserve"> is through its cyclical nature. The novel’s famous opening lines “It was the best of times; it was the worst of times” (Dickens</w:t>
      </w:r>
      <w:r>
        <w:rPr>
          <w:lang w:val="en-US"/>
        </w:rPr>
        <w:t>, 2003, p.</w:t>
      </w:r>
      <w:r w:rsidRPr="001A7F74">
        <w:rPr>
          <w:lang w:val="en-US"/>
        </w:rPr>
        <w:t xml:space="preserve"> 3) suggests that time is not linear but rather encompasses multiple dimensions simultaneously. The opening paradox highlights the duality of the era, where prosperity and suffering coexist, and history repeats itself in a never-ending cycle of revolution and retribution. The concept of time in </w:t>
      </w:r>
      <w:r w:rsidRPr="001A7F74">
        <w:rPr>
          <w:i/>
          <w:lang w:val="en-US"/>
        </w:rPr>
        <w:t>A Tale of Two Cities (1859)</w:t>
      </w:r>
      <w:r w:rsidRPr="001A7F74">
        <w:rPr>
          <w:lang w:val="en-US"/>
        </w:rPr>
        <w:t xml:space="preserve"> reflects the cyclical and repetitive nature of historical events. The French Revolution, with its violence and vengeance, mirrors earlier historical injustices suffered by the lower classes under the aristocracy. In this way, time becomes both a personal and collective experience. Dickens illustrates how time repeats itself through the rise and fall of empires, the shifting of social classes, and the recurring injustices of history. The French Revolution itself quickly descends into its own form of tyranny and violence.</w:t>
      </w:r>
    </w:p>
    <w:p w14:paraId="0E4EBD45" w14:textId="77777777" w:rsidR="00BA67A6" w:rsidRPr="001A7F74" w:rsidRDefault="00BA67A6" w:rsidP="00BA67A6">
      <w:pPr>
        <w:jc w:val="both"/>
        <w:rPr>
          <w:lang w:val="en-US"/>
        </w:rPr>
      </w:pPr>
    </w:p>
    <w:p w14:paraId="73615130" w14:textId="77777777" w:rsidR="007F2361" w:rsidRDefault="007F2361" w:rsidP="00BA67A6">
      <w:pPr>
        <w:jc w:val="both"/>
        <w:rPr>
          <w:lang w:val="en-US"/>
        </w:rPr>
      </w:pPr>
      <w:r w:rsidRPr="001A7F74">
        <w:rPr>
          <w:lang w:val="en-US"/>
        </w:rPr>
        <w:t xml:space="preserve">This cyclical nature of time is embodied in several characters, most notably Dr. Manette and Sydney Carton. Dr. Manette’s eighteen years of wrongful imprisonment in the Bastille reflect both </w:t>
      </w:r>
      <w:proofErr w:type="gramStart"/>
      <w:r w:rsidRPr="001A7F74">
        <w:rPr>
          <w:lang w:val="en-US"/>
        </w:rPr>
        <w:t>a personal</w:t>
      </w:r>
      <w:proofErr w:type="gramEnd"/>
      <w:r w:rsidRPr="001A7F74">
        <w:rPr>
          <w:lang w:val="en-US"/>
        </w:rPr>
        <w:t xml:space="preserve"> and societal time lost. Upon his release, Dr. Manette is physically and mentally altered, unable to fully escape the trauma of his past. His inability to reclaim a sense of time before his imprisonment underlines how the past and present are inextricably connected. Similarly, Sydney Carton’s arc represents a personal resurrection that mirrors the larger historical forces of the French Revolution. His life, initially marked by disillusionment and waste, transforms through his love for Lucie Manette and culminates in his act of self-sacrifice. Carton’s death, portrayed as both an ending and a new beginning, mirrors the cyclical nature of time. His decision to take the place of Charles Darnay at the guillotine is a powerful moment of redemption, suggesting the possibility of societal and personal renewal. Carton’s transformation from a disillusioned man into a martyr for love can be seen as an individual breaking free from the cycles of history by choosing a different path.</w:t>
      </w:r>
    </w:p>
    <w:p w14:paraId="4079D499" w14:textId="77777777" w:rsidR="00BA67A6" w:rsidRPr="001A7F74" w:rsidRDefault="00BA67A6" w:rsidP="00BA67A6">
      <w:pPr>
        <w:jc w:val="both"/>
        <w:rPr>
          <w:lang w:val="en-US"/>
        </w:rPr>
      </w:pPr>
    </w:p>
    <w:p w14:paraId="77748FF3" w14:textId="77777777" w:rsidR="007F2361" w:rsidRDefault="007F2361" w:rsidP="00BA67A6">
      <w:pPr>
        <w:jc w:val="both"/>
        <w:rPr>
          <w:lang w:val="en-US"/>
        </w:rPr>
      </w:pPr>
      <w:r w:rsidRPr="001A7F74">
        <w:rPr>
          <w:lang w:val="en-US"/>
        </w:rPr>
        <w:t xml:space="preserve">However, the Marquis highlights the historical realities of the French Revolution by stating as follows: “We have so asserted our station, both in the old time and in the modern time also [...] </w:t>
      </w:r>
      <w:r w:rsidRPr="001A7F74">
        <w:rPr>
          <w:lang w:val="en-US"/>
        </w:rPr>
        <w:lastRenderedPageBreak/>
        <w:t>I believe our name to be more detested than any name in France” (Dickens</w:t>
      </w:r>
      <w:r>
        <w:rPr>
          <w:lang w:val="en-US"/>
        </w:rPr>
        <w:t>, 2003,</w:t>
      </w:r>
      <w:r w:rsidRPr="001A7F74">
        <w:rPr>
          <w:lang w:val="en-US"/>
        </w:rPr>
        <w:t xml:space="preserve"> </w:t>
      </w:r>
      <w:r>
        <w:rPr>
          <w:lang w:val="en-US"/>
        </w:rPr>
        <w:t xml:space="preserve">p. </w:t>
      </w:r>
      <w:r w:rsidRPr="001A7F74">
        <w:rPr>
          <w:lang w:val="en-US"/>
        </w:rPr>
        <w:t>123) This quotation reflects the historical realities of the French Revolution, deepens the novel’s narrative complexity, and underscores Dickens’ critique of aristocratic privilege. Dickens underlines the unity of the time, the old time and the modern time, with its related space, France. Indeed, through this statement, the Marquis inadvertently reveals the seeds of his own destruction, illustrating the cyclical nature of oppression and revolution. Dickens’ portrayal of these themes continues to resonate, offering valuable insights into the enduring challenges of inequality and social justice.</w:t>
      </w:r>
    </w:p>
    <w:p w14:paraId="0164DBD8" w14:textId="77777777" w:rsidR="00BA67A6" w:rsidRPr="001A7F74" w:rsidRDefault="00BA67A6" w:rsidP="00BA67A6">
      <w:pPr>
        <w:jc w:val="both"/>
        <w:rPr>
          <w:lang w:val="en-US"/>
        </w:rPr>
      </w:pPr>
    </w:p>
    <w:p w14:paraId="4DC364AC" w14:textId="77777777" w:rsidR="007F2361" w:rsidRDefault="007F2361" w:rsidP="00BA67A6">
      <w:pPr>
        <w:jc w:val="both"/>
        <w:rPr>
          <w:lang w:val="en-US"/>
        </w:rPr>
      </w:pPr>
      <w:r w:rsidRPr="001A7F74">
        <w:rPr>
          <w:lang w:val="en-US"/>
        </w:rPr>
        <w:t xml:space="preserve">Dickens </w:t>
      </w:r>
      <w:r>
        <w:rPr>
          <w:lang w:val="en-US"/>
        </w:rPr>
        <w:t xml:space="preserve">(2003) </w:t>
      </w:r>
      <w:r w:rsidRPr="001A7F74">
        <w:rPr>
          <w:lang w:val="en-US"/>
        </w:rPr>
        <w:t>also depicts the coming of the French Revolution through these words: “the living sea rose, wave on wave, depth on depth, and overflowed the city [...] Alarm-bells ringing, drums beating, the sea raging and thundering on its new beach” (</w:t>
      </w:r>
      <w:r>
        <w:rPr>
          <w:lang w:val="en-US"/>
        </w:rPr>
        <w:t xml:space="preserve">p. </w:t>
      </w:r>
      <w:r w:rsidRPr="001A7F74">
        <w:rPr>
          <w:lang w:val="en-US"/>
        </w:rPr>
        <w:t>217). The sea’s rising waves and overwhelming power reflect the revolutionary fervor that sweeps through Paris, submerging the city in violence and chaos. The sound imagery of alarm-bells, drums, and the sea’s thunderous roar further enhances this sense of urgency and violence, highlighting the dramatic shift in the world order. By linking the sea to the cyclical nature of history, Dickens suggests that the forces of revolution are not isolated but part of a broader, eternal struggle between order and chaos. Ultimately, the sea becomes a potent symbol of both the destructive and transformative potential of revolution; it transforms into an unstoppable force that reshapes the world, regardless of human intention or desire.</w:t>
      </w:r>
    </w:p>
    <w:p w14:paraId="79B4CFCB" w14:textId="77777777" w:rsidR="00BA67A6" w:rsidRPr="001A7F74" w:rsidRDefault="00BA67A6" w:rsidP="00BA67A6">
      <w:pPr>
        <w:jc w:val="both"/>
        <w:rPr>
          <w:lang w:val="en-US"/>
        </w:rPr>
      </w:pPr>
    </w:p>
    <w:p w14:paraId="5BF9FD04" w14:textId="77777777" w:rsidR="007F2361" w:rsidRDefault="007F2361" w:rsidP="00BA67A6">
      <w:pPr>
        <w:jc w:val="both"/>
        <w:rPr>
          <w:lang w:val="en-US"/>
        </w:rPr>
      </w:pPr>
      <w:r w:rsidRPr="001A7F74">
        <w:rPr>
          <w:lang w:val="en-US"/>
        </w:rPr>
        <w:t xml:space="preserve">Space in </w:t>
      </w:r>
      <w:r w:rsidRPr="001A7F74">
        <w:rPr>
          <w:i/>
          <w:lang w:val="en-US"/>
        </w:rPr>
        <w:t>A Tale of Two Cities (1859)</w:t>
      </w:r>
      <w:r w:rsidRPr="001A7F74">
        <w:rPr>
          <w:lang w:val="en-US"/>
        </w:rPr>
        <w:t xml:space="preserve"> is intricately tied to both the physical and moral divisions between the aristocracy and the revolutionaries, as well as between the two cities themselves, London and Paris. These cities are not merely geographical locations; they are symbolic spaces representing distinct political, social, and cultural worlds. The stark contrast between London and Paris serves as a metaphor for the differences between the established order of the British aristocracy and the violent revolutionary fervor of the French people.</w:t>
      </w:r>
    </w:p>
    <w:p w14:paraId="669D394D" w14:textId="77777777" w:rsidR="00BA67A6" w:rsidRPr="001A7F74" w:rsidRDefault="00BA67A6" w:rsidP="00BA67A6">
      <w:pPr>
        <w:jc w:val="both"/>
        <w:rPr>
          <w:lang w:val="en-US"/>
        </w:rPr>
      </w:pPr>
    </w:p>
    <w:p w14:paraId="206C56D3" w14:textId="77777777" w:rsidR="007F2361" w:rsidRDefault="007F2361" w:rsidP="00BA67A6">
      <w:pPr>
        <w:jc w:val="both"/>
        <w:rPr>
          <w:lang w:val="en-US"/>
        </w:rPr>
      </w:pPr>
      <w:r w:rsidRPr="001A7F74">
        <w:rPr>
          <w:lang w:val="en-US"/>
        </w:rPr>
        <w:t xml:space="preserve">In London, space is portrayed as a place of relative order and safety, yet also of repression. It is in London that Charles Darnay </w:t>
      </w:r>
      <w:proofErr w:type="gramStart"/>
      <w:r w:rsidRPr="001A7F74">
        <w:rPr>
          <w:lang w:val="en-US"/>
        </w:rPr>
        <w:t>is able to</w:t>
      </w:r>
      <w:proofErr w:type="gramEnd"/>
      <w:r w:rsidRPr="001A7F74">
        <w:rPr>
          <w:lang w:val="en-US"/>
        </w:rPr>
        <w:t xml:space="preserve"> escape his past and attempts to build a new life. London, with its legal system and stable institutions, offers him a space of possibility, albeit one marked by personal tension as he grapples with his lineage. In stark contrast, Paris is a city defined by revolution, violence, and chaos. It is a space where the past constantly intrudes on the present, as revolutionary mobs seek to avenge historical wrongs. The vividly described mob scenes capture Paris as a city consumed by revolutionary fervor. The streets of Paris become a battleground, where ordinary citizens transform into instruments of violence, contrasting sharply with the relative safety of London.</w:t>
      </w:r>
    </w:p>
    <w:p w14:paraId="402933BD" w14:textId="77777777" w:rsidR="00BA67A6" w:rsidRPr="001A7F74" w:rsidRDefault="00BA67A6" w:rsidP="00BA67A6">
      <w:pPr>
        <w:jc w:val="both"/>
        <w:rPr>
          <w:lang w:val="en-US"/>
        </w:rPr>
      </w:pPr>
    </w:p>
    <w:p w14:paraId="774BA45B" w14:textId="77777777" w:rsidR="007F2361" w:rsidRDefault="007F2361" w:rsidP="00BA67A6">
      <w:pPr>
        <w:jc w:val="both"/>
        <w:rPr>
          <w:lang w:val="en-US"/>
        </w:rPr>
      </w:pPr>
      <w:r w:rsidRPr="001A7F74">
        <w:rPr>
          <w:lang w:val="en-US"/>
        </w:rPr>
        <w:t>Dickens uses space within these cities to represent the moral and social divisions of the time. Paris</w:t>
      </w:r>
      <w:proofErr w:type="gramStart"/>
      <w:r w:rsidRPr="001A7F74">
        <w:rPr>
          <w:lang w:val="en-US"/>
        </w:rPr>
        <w:t>, in particular, is</w:t>
      </w:r>
      <w:proofErr w:type="gramEnd"/>
      <w:r w:rsidRPr="001A7F74">
        <w:rPr>
          <w:lang w:val="en-US"/>
        </w:rPr>
        <w:t xml:space="preserve"> depicted as a mirror of human suffering and vengeance. However, even London is not entirely free from tension. The revolutionary spirit of Paris looms in the background, particularly through c</w:t>
      </w:r>
      <w:r>
        <w:rPr>
          <w:lang w:val="en-US"/>
        </w:rPr>
        <w:t>haracters like Monsieur Defarge</w:t>
      </w:r>
      <w:r w:rsidRPr="001A7F74">
        <w:rPr>
          <w:lang w:val="en-US"/>
        </w:rPr>
        <w:t xml:space="preserve"> who brings the revolution’s influence wherever he goes. The symbolic spaces in </w:t>
      </w:r>
      <w:r w:rsidRPr="001A7F74">
        <w:rPr>
          <w:i/>
          <w:lang w:val="en-US"/>
        </w:rPr>
        <w:t>A Tale of Two Cities (1859)</w:t>
      </w:r>
      <w:r w:rsidRPr="001A7F74">
        <w:rPr>
          <w:lang w:val="en-US"/>
        </w:rPr>
        <w:t xml:space="preserve"> are not fixed but shift and evolve with the characters’ situations. In the final scenes, when Sydney Carton chooses to die in place of Darnay, the guillotine, a physical space synonymous with death and revolution, becomes the site of Carton’s ultimate redemption. His sacrifice transforms this space into one of hope and renewal, reflecting the intertwined forces of personal and historical </w:t>
      </w:r>
      <w:r w:rsidRPr="001A7F74">
        <w:rPr>
          <w:lang w:val="en-US"/>
        </w:rPr>
        <w:lastRenderedPageBreak/>
        <w:t>transformation.</w:t>
      </w:r>
    </w:p>
    <w:p w14:paraId="6E915C2D" w14:textId="77777777" w:rsidR="00BA67A6" w:rsidRPr="001A7F74" w:rsidRDefault="00BA67A6" w:rsidP="00BA67A6">
      <w:pPr>
        <w:jc w:val="both"/>
        <w:rPr>
          <w:lang w:val="en-US"/>
        </w:rPr>
      </w:pPr>
    </w:p>
    <w:p w14:paraId="2BED30BE" w14:textId="77777777" w:rsidR="007F2361" w:rsidRDefault="007F2361" w:rsidP="00BA67A6">
      <w:pPr>
        <w:jc w:val="both"/>
        <w:rPr>
          <w:lang w:val="en-US"/>
        </w:rPr>
      </w:pPr>
      <w:r w:rsidRPr="001A7F74">
        <w:rPr>
          <w:lang w:val="en-US"/>
        </w:rPr>
        <w:t xml:space="preserve">Through the manipulation of time and space, Dickens emphasizes the cyclical nature of history, suggesting that societal progress often comes at the cost of violence and revolution. Meanwhile, the contrasting spaces of London and Paris provide a vivid backdrop for the social and moral divisions of the time. Ultimately, Dickens uses time and space not only to tell a story of personal and societal transformation but also to reflect on the larger forces that shape human experience. In </w:t>
      </w:r>
      <w:r w:rsidRPr="001A7F74">
        <w:rPr>
          <w:i/>
          <w:lang w:val="en-US"/>
        </w:rPr>
        <w:t>A Tale of Two Cities (1859)</w:t>
      </w:r>
      <w:r w:rsidRPr="001A7F74">
        <w:rPr>
          <w:lang w:val="en-US"/>
        </w:rPr>
        <w:t>, time and space are inextricably bound to themes of sacrifice, redemption, and the ever-repeating cycle of history.</w:t>
      </w:r>
    </w:p>
    <w:p w14:paraId="23BD5E56" w14:textId="77777777" w:rsidR="00BA67A6" w:rsidRPr="001A7F74" w:rsidRDefault="00BA67A6" w:rsidP="00BA67A6">
      <w:pPr>
        <w:jc w:val="both"/>
        <w:rPr>
          <w:lang w:val="en-US"/>
        </w:rPr>
      </w:pPr>
    </w:p>
    <w:p w14:paraId="4573C243" w14:textId="77777777" w:rsidR="007F2361" w:rsidRPr="00022F92" w:rsidRDefault="007F2361" w:rsidP="00BA67A6">
      <w:pPr>
        <w:jc w:val="both"/>
        <w:rPr>
          <w:b/>
          <w:bCs/>
          <w:lang w:val="en-US"/>
        </w:rPr>
      </w:pPr>
      <w:r>
        <w:rPr>
          <w:b/>
          <w:bCs/>
          <w:lang w:val="en-US"/>
        </w:rPr>
        <w:t>CONCLUSION</w:t>
      </w:r>
    </w:p>
    <w:p w14:paraId="04F06AFF" w14:textId="77777777" w:rsidR="007F2361" w:rsidRDefault="007F2361" w:rsidP="00BA67A6">
      <w:pPr>
        <w:jc w:val="both"/>
        <w:rPr>
          <w:lang w:val="en-US"/>
        </w:rPr>
      </w:pPr>
      <w:r w:rsidRPr="00D9519E">
        <w:rPr>
          <w:lang w:val="en-US"/>
        </w:rPr>
        <w:t xml:space="preserve">In </w:t>
      </w:r>
      <w:r w:rsidRPr="001A7F74">
        <w:rPr>
          <w:i/>
          <w:lang w:val="en-US"/>
        </w:rPr>
        <w:t>A Tale of Two Cities (1859)</w:t>
      </w:r>
      <w:r w:rsidRPr="00D9519E">
        <w:rPr>
          <w:lang w:val="en-US"/>
        </w:rPr>
        <w:t>, Charles Dickens intricately weaves the themes of time and space into the fabric of his narrative, offering a profound commentary on the cyclical nature of history, the personal and societal dimensions of transformation, and the inextricable link between individuals and the larger forces of revolution. Through his manipulation of time, Dickens emphasizes the repeating patterns of history, where the past, present, and future are not distinct but interconnected in an endless loop.</w:t>
      </w:r>
    </w:p>
    <w:p w14:paraId="4492598D" w14:textId="77777777" w:rsidR="00BA67A6" w:rsidRPr="00D9519E" w:rsidRDefault="00BA67A6" w:rsidP="00BA67A6">
      <w:pPr>
        <w:jc w:val="both"/>
        <w:rPr>
          <w:lang w:val="en-US"/>
        </w:rPr>
      </w:pPr>
    </w:p>
    <w:p w14:paraId="16456645" w14:textId="77777777" w:rsidR="007F2361" w:rsidRPr="00D9519E" w:rsidRDefault="007F2361" w:rsidP="00BA67A6">
      <w:pPr>
        <w:jc w:val="both"/>
        <w:rPr>
          <w:lang w:val="en-US"/>
        </w:rPr>
      </w:pPr>
      <w:r w:rsidRPr="00D9519E">
        <w:rPr>
          <w:lang w:val="en-US"/>
        </w:rPr>
        <w:t>The cyclical nature of time in the novel serves as both a thematic device and a structural principle, guiding the fates of the characters and the evolution of historical events. Characters like Dr. Manette and Sydney Carton embody the tension between past traumas and potential redemptions, their personal journeys reflecting the broader historical dynamics of revolution and vengeance. Dr. Manette’s struggle with the trauma of his wrongful imprisonment and Carton’s redemptive sacrifice at the guillotine illustrate how the past not only shapes individual lives but also resonates through the collective memory of society. Dickens suggests that, although history appears to repeat itself in relentless cycles, there remains hope for personal renewal and collective progress, often through acts of individual sacrifice and transformation.</w:t>
      </w:r>
    </w:p>
    <w:p w14:paraId="7F71304A" w14:textId="77777777" w:rsidR="007F2361" w:rsidRDefault="007F2361" w:rsidP="00BA67A6">
      <w:pPr>
        <w:jc w:val="both"/>
        <w:rPr>
          <w:lang w:val="en-US"/>
        </w:rPr>
      </w:pPr>
      <w:r w:rsidRPr="00D9519E">
        <w:rPr>
          <w:lang w:val="en-US"/>
        </w:rPr>
        <w:t xml:space="preserve">Space in </w:t>
      </w:r>
      <w:r w:rsidRPr="001A7F74">
        <w:rPr>
          <w:i/>
          <w:lang w:val="en-US"/>
        </w:rPr>
        <w:t>A Tale of Two Cities (1859)</w:t>
      </w:r>
      <w:r w:rsidRPr="00D9519E">
        <w:rPr>
          <w:lang w:val="en-US"/>
        </w:rPr>
        <w:t xml:space="preserve"> operates as a symbolic reflection of the social, moral, and political divisions of the time. The contrasting spaces of London and Paris embody the stability and repression of the British aristocracy versus the chaos and violence of the French Revolution. These cities serve as metaphors for the contrasting worlds inhabited by the novel's characters. London offers </w:t>
      </w:r>
      <w:proofErr w:type="gramStart"/>
      <w:r w:rsidRPr="00D9519E">
        <w:rPr>
          <w:lang w:val="en-US"/>
        </w:rPr>
        <w:t>a space</w:t>
      </w:r>
      <w:proofErr w:type="gramEnd"/>
      <w:r w:rsidRPr="00D9519E">
        <w:rPr>
          <w:lang w:val="en-US"/>
        </w:rPr>
        <w:t xml:space="preserve"> for personal reinvention, as seen in Charles Darnay’s escape from his aristocratic heritage to live a life of modesty and integrity. In contrast, Paris becomes a space of collective action and vengeance, where the streets are consumed by revolutionary fervor, and individual lives are shaped by the larger currents of history. Yet, Dickens complicates these spatial representations by showing how the moral and social boundaries between these two cities, and the characters who inhabit them, are often porous and fluid, revealing the interconnectedness of human experience across time and place.</w:t>
      </w:r>
    </w:p>
    <w:p w14:paraId="4D31D15E" w14:textId="77777777" w:rsidR="00BA67A6" w:rsidRPr="00D9519E" w:rsidRDefault="00BA67A6" w:rsidP="00BA67A6">
      <w:pPr>
        <w:jc w:val="both"/>
        <w:rPr>
          <w:lang w:val="en-US"/>
        </w:rPr>
      </w:pPr>
    </w:p>
    <w:p w14:paraId="3456952C" w14:textId="77777777" w:rsidR="007F2361" w:rsidRDefault="007F2361" w:rsidP="00BA67A6">
      <w:pPr>
        <w:jc w:val="both"/>
        <w:rPr>
          <w:lang w:val="en-US"/>
        </w:rPr>
      </w:pPr>
      <w:r w:rsidRPr="00D9519E">
        <w:rPr>
          <w:lang w:val="en-US"/>
        </w:rPr>
        <w:t xml:space="preserve">Ultimately, Dickens’ manipulation of time and space in </w:t>
      </w:r>
      <w:r w:rsidRPr="001A7F74">
        <w:rPr>
          <w:i/>
          <w:lang w:val="en-US"/>
        </w:rPr>
        <w:t>A Tale of Two Cities (1859)</w:t>
      </w:r>
      <w:r w:rsidRPr="00D9519E">
        <w:rPr>
          <w:lang w:val="en-US"/>
        </w:rPr>
        <w:t xml:space="preserve"> transcends mere narrative technique. Time and space become active, shaping forces that not only define the characters’ lives but also reflect the broader political, historical, and moral conditions of the era. In the novel, the trauma of the past lingers in the present, and the violence of revolution, while attempting to break free from historical injustice, often </w:t>
      </w:r>
      <w:proofErr w:type="gramStart"/>
      <w:r w:rsidRPr="00D9519E">
        <w:rPr>
          <w:lang w:val="en-US"/>
        </w:rPr>
        <w:t>perpetuates</w:t>
      </w:r>
      <w:proofErr w:type="gramEnd"/>
      <w:r w:rsidRPr="00D9519E">
        <w:rPr>
          <w:lang w:val="en-US"/>
        </w:rPr>
        <w:t xml:space="preserve"> new forms of tyranny. Yet, even in the face of these cyclical patterns, Dickens offers moments of hope and redemption, embodied most powerfully in Sydney Carton’s sacrificial death. However, Carton’s personal redemption offers a glimmer of hope that, through self-sacrifice, humanity might transcend the </w:t>
      </w:r>
      <w:r w:rsidRPr="00D9519E">
        <w:rPr>
          <w:lang w:val="en-US"/>
        </w:rPr>
        <w:lastRenderedPageBreak/>
        <w:t>violence and repetition of history, breaking the cycle of vengeance and offering a new beginning.</w:t>
      </w:r>
    </w:p>
    <w:p w14:paraId="4D3577EA" w14:textId="77777777" w:rsidR="00BA67A6" w:rsidRPr="00D9519E" w:rsidRDefault="00BA67A6" w:rsidP="00BA67A6">
      <w:pPr>
        <w:jc w:val="both"/>
        <w:rPr>
          <w:lang w:val="en-US"/>
        </w:rPr>
      </w:pPr>
    </w:p>
    <w:p w14:paraId="78A5906C" w14:textId="77777777" w:rsidR="007F2361" w:rsidRDefault="007F2361" w:rsidP="00BA67A6">
      <w:pPr>
        <w:jc w:val="both"/>
        <w:rPr>
          <w:lang w:val="en-US"/>
        </w:rPr>
      </w:pPr>
      <w:r w:rsidRPr="00D9519E">
        <w:rPr>
          <w:lang w:val="en-US"/>
        </w:rPr>
        <w:t xml:space="preserve">Examining </w:t>
      </w:r>
      <w:r w:rsidRPr="001A7F74">
        <w:rPr>
          <w:i/>
          <w:lang w:val="en-US"/>
        </w:rPr>
        <w:t>A Tale of Two Cities (1859)</w:t>
      </w:r>
      <w:r w:rsidRPr="00D9519E">
        <w:rPr>
          <w:lang w:val="en-US"/>
        </w:rPr>
        <w:t xml:space="preserve"> through the lens of time and space provides a deeper understanding of the ways in which literature reflects and shapes our perception of historical and personal transformation. By linking the personal with the historical, Dickens invites readers to reflect on the broader forces that govern human life. Time and space, in Dickens’ novel, are not mere backdrops; they are essential elements of the human condition, shaping our understanding of the past, guiding us through the present, and offering a vision for a better future. Through the intertwining of these elements, </w:t>
      </w:r>
      <w:r w:rsidRPr="001A7F74">
        <w:rPr>
          <w:i/>
          <w:lang w:val="en-US"/>
        </w:rPr>
        <w:t>A Tale of Two Cities (1859)</w:t>
      </w:r>
      <w:r w:rsidRPr="00D9519E">
        <w:rPr>
          <w:lang w:val="en-US"/>
        </w:rPr>
        <w:t xml:space="preserve"> remains a timeless exploration of the complexities of history, identity, and the enduring hope for renewal in the face of inevitable cyclical forces.</w:t>
      </w:r>
    </w:p>
    <w:p w14:paraId="78914E3A" w14:textId="77777777" w:rsidR="00BA67A6" w:rsidRDefault="00BA67A6" w:rsidP="00BA67A6">
      <w:pPr>
        <w:jc w:val="both"/>
        <w:rPr>
          <w:lang w:val="en-US"/>
        </w:rPr>
      </w:pPr>
    </w:p>
    <w:p w14:paraId="02A27E77" w14:textId="77777777" w:rsidR="007F2361" w:rsidRDefault="007F2361" w:rsidP="00BA67A6">
      <w:pPr>
        <w:jc w:val="both"/>
        <w:rPr>
          <w:b/>
          <w:lang w:val="en-US"/>
        </w:rPr>
      </w:pPr>
      <w:r>
        <w:rPr>
          <w:b/>
          <w:lang w:val="en-US"/>
        </w:rPr>
        <w:t>REFERENCES</w:t>
      </w:r>
    </w:p>
    <w:p w14:paraId="2EDA5F0B" w14:textId="77777777" w:rsidR="007F2361" w:rsidRPr="00DE6E37" w:rsidRDefault="007F2361">
      <w:pPr>
        <w:pStyle w:val="NormalWeb"/>
        <w:numPr>
          <w:ilvl w:val="0"/>
          <w:numId w:val="80"/>
        </w:numPr>
        <w:spacing w:before="0" w:beforeAutospacing="0" w:after="0" w:afterAutospacing="0"/>
      </w:pPr>
      <w:r>
        <w:t xml:space="preserve">Burrows, D. (1991). </w:t>
      </w:r>
      <w:r w:rsidRPr="00DD7204">
        <w:rPr>
          <w:rStyle w:val="Vurgu"/>
          <w:rFonts w:eastAsiaTheme="majorEastAsia"/>
        </w:rPr>
        <w:t>Victorian England: An age of expansion</w:t>
      </w:r>
      <w:r w:rsidRPr="00DD7204">
        <w:rPr>
          <w:i/>
        </w:rPr>
        <w:t>.</w:t>
      </w:r>
      <w:r>
        <w:t xml:space="preserve"> J. Samson (Ed.), in </w:t>
      </w:r>
      <w:proofErr w:type="gramStart"/>
      <w:r>
        <w:rPr>
          <w:rStyle w:val="Gl"/>
          <w:rFonts w:eastAsiaTheme="majorEastAsia"/>
          <w:i/>
        </w:rPr>
        <w:t>The</w:t>
      </w:r>
      <w:proofErr w:type="gramEnd"/>
      <w:r>
        <w:rPr>
          <w:rStyle w:val="Gl"/>
          <w:rFonts w:eastAsiaTheme="majorEastAsia"/>
          <w:i/>
        </w:rPr>
        <w:t xml:space="preserve"> late romantic era</w:t>
      </w:r>
      <w:r w:rsidRPr="00DD7204">
        <w:rPr>
          <w:rStyle w:val="Gl"/>
          <w:rFonts w:eastAsiaTheme="majorEastAsia"/>
          <w:i/>
        </w:rPr>
        <w:t xml:space="preserve"> Volume 7: From the mid-19th century to World War I</w:t>
      </w:r>
      <w:r>
        <w:t xml:space="preserve"> (p. 266-294). Palgrave Macmillan.</w:t>
      </w:r>
    </w:p>
    <w:p w14:paraId="0A7CEB3D" w14:textId="77777777" w:rsidR="007F2361" w:rsidRPr="00AE1D25" w:rsidRDefault="007F2361">
      <w:pPr>
        <w:pStyle w:val="NormalWeb"/>
        <w:numPr>
          <w:ilvl w:val="0"/>
          <w:numId w:val="80"/>
        </w:numPr>
        <w:spacing w:before="0" w:beforeAutospacing="0" w:after="0" w:afterAutospacing="0"/>
      </w:pPr>
      <w:r w:rsidRPr="00AE1D25">
        <w:t xml:space="preserve">Cunningham, G. (1994). </w:t>
      </w:r>
      <w:r w:rsidRPr="00AE1D25">
        <w:rPr>
          <w:iCs/>
        </w:rPr>
        <w:t>The Victorian novel</w:t>
      </w:r>
      <w:r w:rsidRPr="00AE1D25">
        <w:rPr>
          <w:i/>
        </w:rPr>
        <w:t>.</w:t>
      </w:r>
      <w:r w:rsidRPr="00AE1D25">
        <w:t xml:space="preserve"> J. Thomas (Ed.), in </w:t>
      </w:r>
      <w:r w:rsidRPr="00AE1D25">
        <w:rPr>
          <w:bCs/>
          <w:i/>
        </w:rPr>
        <w:t xml:space="preserve">Bloomsbury guides to English literature: Victorian literature from 1830 to 1900 </w:t>
      </w:r>
      <w:r w:rsidRPr="00AE1D25">
        <w:rPr>
          <w:bCs/>
        </w:rPr>
        <w:t>(p</w:t>
      </w:r>
      <w:r>
        <w:rPr>
          <w:bCs/>
        </w:rPr>
        <w:t>.</w:t>
      </w:r>
      <w:r w:rsidRPr="00AE1D25">
        <w:rPr>
          <w:bCs/>
        </w:rPr>
        <w:t xml:space="preserve"> 27-42)</w:t>
      </w:r>
      <w:r w:rsidRPr="00AE1D25">
        <w:rPr>
          <w:b/>
        </w:rPr>
        <w:t>.</w:t>
      </w:r>
      <w:r w:rsidRPr="00AE1D25">
        <w:t xml:space="preserve"> Bloomsbury.</w:t>
      </w:r>
    </w:p>
    <w:p w14:paraId="75593D27" w14:textId="77777777" w:rsidR="007F2361" w:rsidRPr="00DD7204" w:rsidRDefault="007F2361">
      <w:pPr>
        <w:pStyle w:val="NormalWeb"/>
        <w:numPr>
          <w:ilvl w:val="0"/>
          <w:numId w:val="80"/>
        </w:numPr>
        <w:spacing w:before="0" w:beforeAutospacing="0" w:after="0" w:afterAutospacing="0"/>
      </w:pPr>
      <w:r>
        <w:t xml:space="preserve">Dickens, C. (2003). </w:t>
      </w:r>
      <w:r>
        <w:rPr>
          <w:rStyle w:val="Vurgu"/>
          <w:rFonts w:eastAsiaTheme="majorEastAsia"/>
        </w:rPr>
        <w:t>A tale of two cities</w:t>
      </w:r>
      <w:r>
        <w:t>. Bantam Classic.</w:t>
      </w:r>
    </w:p>
    <w:p w14:paraId="7B8BF1A2" w14:textId="77777777" w:rsidR="007F2361" w:rsidRDefault="007F2361">
      <w:pPr>
        <w:pStyle w:val="NormalWeb"/>
        <w:numPr>
          <w:ilvl w:val="0"/>
          <w:numId w:val="80"/>
        </w:numPr>
        <w:spacing w:before="0" w:beforeAutospacing="0" w:after="0" w:afterAutospacing="0"/>
      </w:pPr>
      <w:r>
        <w:t xml:space="preserve">Fraser, H. (2002). </w:t>
      </w:r>
      <w:r w:rsidRPr="00AE1D25">
        <w:rPr>
          <w:rStyle w:val="Vurgu"/>
          <w:rFonts w:eastAsiaTheme="majorEastAsia"/>
        </w:rPr>
        <w:t>The Victorian novel and religion</w:t>
      </w:r>
      <w:r w:rsidRPr="00AE1D25">
        <w:rPr>
          <w:i/>
        </w:rPr>
        <w:t>.</w:t>
      </w:r>
      <w:r>
        <w:t xml:space="preserve"> P. </w:t>
      </w:r>
      <w:proofErr w:type="spellStart"/>
      <w:r>
        <w:t>Brantlinger</w:t>
      </w:r>
      <w:proofErr w:type="spellEnd"/>
      <w:r>
        <w:t xml:space="preserve"> &amp; W. B. Thesing (Eds.), in </w:t>
      </w:r>
      <w:r w:rsidRPr="00AE1D25">
        <w:rPr>
          <w:rStyle w:val="Gl"/>
          <w:rFonts w:eastAsiaTheme="majorEastAsia"/>
          <w:i/>
        </w:rPr>
        <w:t>A companion to the Victorian novel</w:t>
      </w:r>
      <w:r>
        <w:rPr>
          <w:rStyle w:val="Gl"/>
          <w:rFonts w:eastAsiaTheme="majorEastAsia"/>
        </w:rPr>
        <w:t xml:space="preserve"> </w:t>
      </w:r>
      <w:r w:rsidRPr="00AE1D25">
        <w:rPr>
          <w:rStyle w:val="Gl"/>
          <w:rFonts w:eastAsiaTheme="majorEastAsia"/>
        </w:rPr>
        <w:t>(p. 101-118)</w:t>
      </w:r>
      <w:r w:rsidRPr="00AE1D25">
        <w:rPr>
          <w:b/>
        </w:rPr>
        <w:t>.</w:t>
      </w:r>
      <w:r>
        <w:t xml:space="preserve"> Blackwell Publishing.</w:t>
      </w:r>
    </w:p>
    <w:p w14:paraId="42C1C66B" w14:textId="77777777" w:rsidR="007F2361" w:rsidRPr="00DD7204" w:rsidRDefault="007F2361">
      <w:pPr>
        <w:pStyle w:val="ListeParagraf"/>
        <w:numPr>
          <w:ilvl w:val="0"/>
          <w:numId w:val="80"/>
        </w:numPr>
        <w:jc w:val="both"/>
      </w:pPr>
      <w:proofErr w:type="spellStart"/>
      <w:r w:rsidRPr="00DD7204">
        <w:t>Gilmour</w:t>
      </w:r>
      <w:proofErr w:type="spellEnd"/>
      <w:r w:rsidRPr="00DD7204">
        <w:t xml:space="preserve">, R. (1993). </w:t>
      </w:r>
      <w:proofErr w:type="spellStart"/>
      <w:r w:rsidRPr="00BA67A6">
        <w:rPr>
          <w:i/>
          <w:iCs/>
        </w:rPr>
        <w:t>The</w:t>
      </w:r>
      <w:proofErr w:type="spellEnd"/>
      <w:r w:rsidRPr="00BA67A6">
        <w:rPr>
          <w:i/>
          <w:iCs/>
        </w:rPr>
        <w:t xml:space="preserve"> </w:t>
      </w:r>
      <w:proofErr w:type="spellStart"/>
      <w:r w:rsidRPr="00BA67A6">
        <w:rPr>
          <w:i/>
          <w:iCs/>
        </w:rPr>
        <w:t>Victorian</w:t>
      </w:r>
      <w:proofErr w:type="spellEnd"/>
      <w:r w:rsidRPr="00BA67A6">
        <w:rPr>
          <w:i/>
          <w:iCs/>
        </w:rPr>
        <w:t xml:space="preserve"> </w:t>
      </w:r>
      <w:proofErr w:type="spellStart"/>
      <w:r w:rsidRPr="00BA67A6">
        <w:rPr>
          <w:i/>
          <w:iCs/>
        </w:rPr>
        <w:t>period</w:t>
      </w:r>
      <w:proofErr w:type="spellEnd"/>
      <w:r w:rsidRPr="00BA67A6">
        <w:rPr>
          <w:i/>
          <w:iCs/>
        </w:rPr>
        <w:t xml:space="preserve">: </w:t>
      </w:r>
      <w:proofErr w:type="spellStart"/>
      <w:r w:rsidRPr="00BA67A6">
        <w:rPr>
          <w:i/>
          <w:iCs/>
        </w:rPr>
        <w:t>The</w:t>
      </w:r>
      <w:proofErr w:type="spellEnd"/>
      <w:r w:rsidRPr="00BA67A6">
        <w:rPr>
          <w:i/>
          <w:iCs/>
        </w:rPr>
        <w:t xml:space="preserve"> </w:t>
      </w:r>
      <w:proofErr w:type="spellStart"/>
      <w:r w:rsidRPr="00BA67A6">
        <w:rPr>
          <w:i/>
          <w:iCs/>
        </w:rPr>
        <w:t>intellectual</w:t>
      </w:r>
      <w:proofErr w:type="spellEnd"/>
      <w:r w:rsidRPr="00BA67A6">
        <w:rPr>
          <w:i/>
          <w:iCs/>
        </w:rPr>
        <w:t xml:space="preserve"> </w:t>
      </w:r>
      <w:proofErr w:type="spellStart"/>
      <w:r w:rsidRPr="00BA67A6">
        <w:rPr>
          <w:i/>
          <w:iCs/>
        </w:rPr>
        <w:t>and</w:t>
      </w:r>
      <w:proofErr w:type="spellEnd"/>
      <w:r w:rsidRPr="00BA67A6">
        <w:rPr>
          <w:i/>
          <w:iCs/>
        </w:rPr>
        <w:t xml:space="preserve"> </w:t>
      </w:r>
      <w:proofErr w:type="spellStart"/>
      <w:r w:rsidRPr="00BA67A6">
        <w:rPr>
          <w:i/>
          <w:iCs/>
        </w:rPr>
        <w:t>cultural</w:t>
      </w:r>
      <w:proofErr w:type="spellEnd"/>
      <w:r w:rsidRPr="00BA67A6">
        <w:rPr>
          <w:i/>
          <w:iCs/>
        </w:rPr>
        <w:t xml:space="preserve"> </w:t>
      </w:r>
      <w:proofErr w:type="spellStart"/>
      <w:r w:rsidRPr="00BA67A6">
        <w:rPr>
          <w:i/>
          <w:iCs/>
        </w:rPr>
        <w:t>context</w:t>
      </w:r>
      <w:proofErr w:type="spellEnd"/>
      <w:r w:rsidRPr="00BA67A6">
        <w:rPr>
          <w:i/>
          <w:iCs/>
        </w:rPr>
        <w:t xml:space="preserve"> of English </w:t>
      </w:r>
      <w:proofErr w:type="spellStart"/>
      <w:r w:rsidRPr="00BA67A6">
        <w:rPr>
          <w:i/>
          <w:iCs/>
        </w:rPr>
        <w:t>literature</w:t>
      </w:r>
      <w:proofErr w:type="spellEnd"/>
      <w:r w:rsidRPr="00BA67A6">
        <w:rPr>
          <w:i/>
          <w:iCs/>
        </w:rPr>
        <w:t xml:space="preserve"> 1830-1890</w:t>
      </w:r>
      <w:r w:rsidRPr="00DD7204">
        <w:t xml:space="preserve">. </w:t>
      </w:r>
      <w:proofErr w:type="spellStart"/>
      <w:r w:rsidRPr="00DD7204">
        <w:t>Longman</w:t>
      </w:r>
      <w:proofErr w:type="spellEnd"/>
      <w:r w:rsidRPr="00DD7204">
        <w:t>.</w:t>
      </w:r>
    </w:p>
    <w:p w14:paraId="1EE5C65F" w14:textId="77777777" w:rsidR="007F2361" w:rsidRPr="00DD7204" w:rsidRDefault="007F2361">
      <w:pPr>
        <w:pStyle w:val="ListeParagraf"/>
        <w:numPr>
          <w:ilvl w:val="0"/>
          <w:numId w:val="80"/>
        </w:numPr>
        <w:jc w:val="both"/>
      </w:pPr>
      <w:proofErr w:type="spellStart"/>
      <w:r w:rsidRPr="00DD7204">
        <w:t>Monod</w:t>
      </w:r>
      <w:proofErr w:type="spellEnd"/>
      <w:r w:rsidRPr="00DD7204">
        <w:t xml:space="preserve">, S. (1970). Dickens’ </w:t>
      </w:r>
      <w:proofErr w:type="spellStart"/>
      <w:r w:rsidRPr="00DD7204">
        <w:t>attitudes</w:t>
      </w:r>
      <w:proofErr w:type="spellEnd"/>
      <w:r w:rsidRPr="00DD7204">
        <w:t xml:space="preserve"> in </w:t>
      </w:r>
      <w:r w:rsidRPr="00BA67A6">
        <w:rPr>
          <w:iCs/>
        </w:rPr>
        <w:t xml:space="preserve">A </w:t>
      </w:r>
      <w:proofErr w:type="spellStart"/>
      <w:r w:rsidRPr="00BA67A6">
        <w:rPr>
          <w:iCs/>
        </w:rPr>
        <w:t>tale</w:t>
      </w:r>
      <w:proofErr w:type="spellEnd"/>
      <w:r w:rsidRPr="00BA67A6">
        <w:rPr>
          <w:iCs/>
        </w:rPr>
        <w:t xml:space="preserve"> of two </w:t>
      </w:r>
      <w:proofErr w:type="spellStart"/>
      <w:r w:rsidRPr="00BA67A6">
        <w:rPr>
          <w:iCs/>
        </w:rPr>
        <w:t>cities</w:t>
      </w:r>
      <w:proofErr w:type="spellEnd"/>
      <w:r w:rsidRPr="00BA67A6">
        <w:rPr>
          <w:i/>
        </w:rPr>
        <w:t>.</w:t>
      </w:r>
      <w:r w:rsidRPr="00DD7204">
        <w:t xml:space="preserve"> </w:t>
      </w:r>
      <w:proofErr w:type="spellStart"/>
      <w:r w:rsidRPr="00BA67A6">
        <w:rPr>
          <w:i/>
          <w:iCs/>
        </w:rPr>
        <w:t>Nineteenth</w:t>
      </w:r>
      <w:proofErr w:type="spellEnd"/>
      <w:r w:rsidRPr="00BA67A6">
        <w:rPr>
          <w:i/>
          <w:iCs/>
        </w:rPr>
        <w:t>-Century Fiction, 24</w:t>
      </w:r>
      <w:r w:rsidRPr="00DD7204">
        <w:t>(4), 488-505.</w:t>
      </w:r>
    </w:p>
    <w:p w14:paraId="6FF7F9A2" w14:textId="3433A599" w:rsidR="00C70E93" w:rsidRDefault="007F2361">
      <w:pPr>
        <w:pStyle w:val="ListeParagraf"/>
        <w:numPr>
          <w:ilvl w:val="0"/>
          <w:numId w:val="80"/>
        </w:numPr>
        <w:jc w:val="both"/>
      </w:pPr>
      <w:proofErr w:type="spellStart"/>
      <w:r w:rsidRPr="00DD7204">
        <w:t>Rosen</w:t>
      </w:r>
      <w:proofErr w:type="spellEnd"/>
      <w:r w:rsidRPr="00DD7204">
        <w:t xml:space="preserve">, D. (1998). </w:t>
      </w:r>
      <w:r w:rsidRPr="00BA67A6">
        <w:rPr>
          <w:iCs/>
        </w:rPr>
        <w:t xml:space="preserve">A </w:t>
      </w:r>
      <w:proofErr w:type="spellStart"/>
      <w:r w:rsidRPr="00BA67A6">
        <w:rPr>
          <w:iCs/>
        </w:rPr>
        <w:t>tale</w:t>
      </w:r>
      <w:proofErr w:type="spellEnd"/>
      <w:r w:rsidRPr="00BA67A6">
        <w:rPr>
          <w:iCs/>
        </w:rPr>
        <w:t xml:space="preserve"> of two </w:t>
      </w:r>
      <w:proofErr w:type="spellStart"/>
      <w:r w:rsidRPr="00BA67A6">
        <w:rPr>
          <w:iCs/>
        </w:rPr>
        <w:t>cities</w:t>
      </w:r>
      <w:proofErr w:type="spellEnd"/>
      <w:r>
        <w:t>:</w:t>
      </w:r>
      <w:r w:rsidRPr="00DD7204">
        <w:t xml:space="preserve"> </w:t>
      </w:r>
      <w:proofErr w:type="spellStart"/>
      <w:r w:rsidRPr="00DD7204">
        <w:t>Theology</w:t>
      </w:r>
      <w:proofErr w:type="spellEnd"/>
      <w:r w:rsidRPr="00DD7204">
        <w:t xml:space="preserve"> of </w:t>
      </w:r>
      <w:proofErr w:type="spellStart"/>
      <w:r w:rsidRPr="00DD7204">
        <w:t>revolution</w:t>
      </w:r>
      <w:proofErr w:type="spellEnd"/>
      <w:r w:rsidRPr="00DD7204">
        <w:t xml:space="preserve">. </w:t>
      </w:r>
      <w:r w:rsidRPr="00BA67A6">
        <w:rPr>
          <w:i/>
          <w:iCs/>
        </w:rPr>
        <w:t xml:space="preserve">Dickens </w:t>
      </w:r>
      <w:proofErr w:type="spellStart"/>
      <w:r w:rsidRPr="00BA67A6">
        <w:rPr>
          <w:i/>
          <w:iCs/>
        </w:rPr>
        <w:t>Studies</w:t>
      </w:r>
      <w:proofErr w:type="spellEnd"/>
      <w:r w:rsidRPr="00BA67A6">
        <w:rPr>
          <w:i/>
          <w:iCs/>
        </w:rPr>
        <w:t xml:space="preserve"> </w:t>
      </w:r>
      <w:proofErr w:type="spellStart"/>
      <w:r w:rsidRPr="00BA67A6">
        <w:rPr>
          <w:i/>
          <w:iCs/>
        </w:rPr>
        <w:t>Annual</w:t>
      </w:r>
      <w:proofErr w:type="spellEnd"/>
      <w:r w:rsidRPr="00BA67A6">
        <w:rPr>
          <w:i/>
          <w:iCs/>
        </w:rPr>
        <w:t>, 27</w:t>
      </w:r>
      <w:r w:rsidRPr="00DD7204">
        <w:t>, 171-185.</w:t>
      </w:r>
    </w:p>
    <w:p w14:paraId="5D405404" w14:textId="7D6BC245" w:rsidR="001E7189" w:rsidRPr="002906A3" w:rsidRDefault="00C70E93" w:rsidP="00C70E93">
      <w:pPr>
        <w:autoSpaceDE/>
        <w:autoSpaceDN/>
      </w:pPr>
      <w:r>
        <w:br w:type="page"/>
      </w:r>
    </w:p>
    <w:p w14:paraId="393CED12" w14:textId="6798F470" w:rsidR="001E7189" w:rsidRPr="002906A3" w:rsidRDefault="001E7189" w:rsidP="004C7694">
      <w:pPr>
        <w:pStyle w:val="Tark"/>
      </w:pPr>
      <w:bookmarkStart w:id="173" w:name="_Toc192855230"/>
      <w:proofErr w:type="spellStart"/>
      <w:r w:rsidRPr="002906A3">
        <w:lastRenderedPageBreak/>
        <w:t>Echoes</w:t>
      </w:r>
      <w:proofErr w:type="spellEnd"/>
      <w:r w:rsidRPr="002906A3">
        <w:t xml:space="preserve"> of </w:t>
      </w:r>
      <w:proofErr w:type="spellStart"/>
      <w:r w:rsidRPr="002906A3">
        <w:t>Absence</w:t>
      </w:r>
      <w:proofErr w:type="spellEnd"/>
      <w:r w:rsidRPr="002906A3">
        <w:t xml:space="preserve">: </w:t>
      </w:r>
      <w:proofErr w:type="spellStart"/>
      <w:r w:rsidRPr="002906A3">
        <w:t>The</w:t>
      </w:r>
      <w:proofErr w:type="spellEnd"/>
      <w:r w:rsidRPr="002906A3">
        <w:t xml:space="preserve"> Role of Silence in </w:t>
      </w:r>
      <w:proofErr w:type="spellStart"/>
      <w:r w:rsidRPr="002906A3">
        <w:t>Conveying</w:t>
      </w:r>
      <w:proofErr w:type="spellEnd"/>
      <w:r w:rsidRPr="002906A3">
        <w:t xml:space="preserve"> </w:t>
      </w:r>
      <w:proofErr w:type="spellStart"/>
      <w:r w:rsidRPr="002906A3">
        <w:t>Meaning</w:t>
      </w:r>
      <w:proofErr w:type="spellEnd"/>
      <w:r w:rsidRPr="002906A3">
        <w:t xml:space="preserve"> </w:t>
      </w:r>
      <w:proofErr w:type="spellStart"/>
      <w:r w:rsidRPr="002906A3">
        <w:t>and</w:t>
      </w:r>
      <w:proofErr w:type="spellEnd"/>
      <w:r w:rsidRPr="002906A3">
        <w:t xml:space="preserve"> </w:t>
      </w:r>
      <w:proofErr w:type="spellStart"/>
      <w:r w:rsidRPr="002906A3">
        <w:t>Communication</w:t>
      </w:r>
      <w:proofErr w:type="spellEnd"/>
      <w:r w:rsidRPr="002906A3">
        <w:t xml:space="preserv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bookmarkEnd w:id="173"/>
      <w:proofErr w:type="spellEnd"/>
    </w:p>
    <w:p w14:paraId="715F90FF" w14:textId="77777777" w:rsidR="001E7189" w:rsidRPr="002906A3" w:rsidRDefault="001E7189" w:rsidP="00BA67A6">
      <w:pPr>
        <w:jc w:val="center"/>
      </w:pPr>
    </w:p>
    <w:p w14:paraId="7A4A6F15" w14:textId="77777777" w:rsidR="001E7189" w:rsidRPr="002906A3" w:rsidRDefault="001E7189" w:rsidP="00BA67A6">
      <w:pPr>
        <w:jc w:val="center"/>
      </w:pPr>
      <w:r w:rsidRPr="002906A3">
        <w:t xml:space="preserve">Duygu </w:t>
      </w:r>
      <w:proofErr w:type="spellStart"/>
      <w:r w:rsidRPr="002906A3">
        <w:t>Koroncu</w:t>
      </w:r>
      <w:proofErr w:type="spellEnd"/>
      <w:r w:rsidRPr="002906A3">
        <w:t xml:space="preserve"> </w:t>
      </w:r>
      <w:proofErr w:type="spellStart"/>
      <w:r w:rsidRPr="002906A3">
        <w:t>Özbilen</w:t>
      </w:r>
      <w:proofErr w:type="spellEnd"/>
    </w:p>
    <w:p w14:paraId="149480C7" w14:textId="77777777" w:rsidR="001E7189" w:rsidRPr="002906A3" w:rsidRDefault="001E7189" w:rsidP="00BA67A6">
      <w:pPr>
        <w:jc w:val="center"/>
      </w:pPr>
      <w:proofErr w:type="spellStart"/>
      <w:r w:rsidRPr="002906A3">
        <w:t>Instructor</w:t>
      </w:r>
      <w:proofErr w:type="spellEnd"/>
      <w:r w:rsidRPr="002906A3">
        <w:t xml:space="preserve"> Dr., Yıldız Technical </w:t>
      </w:r>
      <w:proofErr w:type="spellStart"/>
      <w:r w:rsidRPr="002906A3">
        <w:t>University</w:t>
      </w:r>
      <w:proofErr w:type="spellEnd"/>
      <w:r w:rsidRPr="002906A3">
        <w:t xml:space="preserve">, </w:t>
      </w:r>
      <w:proofErr w:type="spellStart"/>
      <w:r w:rsidRPr="002906A3">
        <w:t>Foreign</w:t>
      </w:r>
      <w:proofErr w:type="spellEnd"/>
      <w:r w:rsidRPr="002906A3">
        <w:t xml:space="preserve"> </w:t>
      </w:r>
      <w:proofErr w:type="spellStart"/>
      <w:r w:rsidRPr="002906A3">
        <w:t>Languages</w:t>
      </w:r>
      <w:proofErr w:type="spellEnd"/>
      <w:r w:rsidRPr="002906A3">
        <w:t xml:space="preserve"> </w:t>
      </w:r>
      <w:proofErr w:type="spellStart"/>
      <w:r w:rsidRPr="002906A3">
        <w:t>Department</w:t>
      </w:r>
      <w:proofErr w:type="spellEnd"/>
    </w:p>
    <w:p w14:paraId="201D076B" w14:textId="77777777" w:rsidR="001E7189" w:rsidRPr="002906A3" w:rsidRDefault="001E7189" w:rsidP="00BA67A6">
      <w:pPr>
        <w:jc w:val="center"/>
      </w:pPr>
      <w:r w:rsidRPr="002906A3">
        <w:t>dozbilen@yildiz.edu.tr</w:t>
      </w:r>
    </w:p>
    <w:p w14:paraId="14B26565" w14:textId="77777777" w:rsidR="001E7189" w:rsidRPr="002906A3" w:rsidRDefault="001E7189" w:rsidP="00BA67A6">
      <w:pPr>
        <w:jc w:val="center"/>
      </w:pPr>
      <w:r w:rsidRPr="002906A3">
        <w:t>0000-0003-0018-6389</w:t>
      </w:r>
    </w:p>
    <w:p w14:paraId="1AE89F26" w14:textId="77777777" w:rsidR="001E7189" w:rsidRPr="002906A3" w:rsidRDefault="001E7189" w:rsidP="00BA67A6">
      <w:pPr>
        <w:jc w:val="both"/>
      </w:pPr>
    </w:p>
    <w:p w14:paraId="2A4AC9A6" w14:textId="4D5A0774" w:rsidR="001E7189" w:rsidRPr="00BF3875" w:rsidRDefault="001E7189" w:rsidP="00BA67A6">
      <w:pPr>
        <w:jc w:val="center"/>
        <w:rPr>
          <w:b/>
          <w:bCs/>
        </w:rPr>
      </w:pPr>
      <w:proofErr w:type="spellStart"/>
      <w:r w:rsidRPr="002906A3">
        <w:rPr>
          <w:b/>
          <w:bCs/>
        </w:rPr>
        <w:t>Abstract</w:t>
      </w:r>
      <w:proofErr w:type="spellEnd"/>
    </w:p>
    <w:p w14:paraId="1226B854"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purpose</w:t>
      </w:r>
      <w:proofErr w:type="spellEnd"/>
      <w:r w:rsidRPr="002906A3">
        <w:t xml:space="preserve"> of </w:t>
      </w:r>
      <w:proofErr w:type="spellStart"/>
      <w:r w:rsidRPr="002906A3">
        <w:t>this</w:t>
      </w:r>
      <w:proofErr w:type="spellEnd"/>
      <w:r w:rsidRPr="002906A3">
        <w:t xml:space="preserve"> </w:t>
      </w:r>
      <w:proofErr w:type="spellStart"/>
      <w:r w:rsidRPr="002906A3">
        <w:t>research</w:t>
      </w:r>
      <w:proofErr w:type="spellEnd"/>
      <w:r w:rsidRPr="002906A3">
        <w:t xml:space="preserve"> is </w:t>
      </w:r>
      <w:proofErr w:type="spellStart"/>
      <w:r w:rsidRPr="002906A3">
        <w:t>to</w:t>
      </w:r>
      <w:proofErr w:type="spellEnd"/>
      <w:r w:rsidRPr="002906A3">
        <w:t xml:space="preserve"> </w:t>
      </w:r>
      <w:proofErr w:type="spellStart"/>
      <w:r w:rsidRPr="002906A3">
        <w:t>demonstrate</w:t>
      </w:r>
      <w:proofErr w:type="spellEnd"/>
      <w:r w:rsidRPr="002906A3">
        <w:t xml:space="preserve"> </w:t>
      </w:r>
      <w:proofErr w:type="spellStart"/>
      <w:r w:rsidRPr="002906A3">
        <w:t>the</w:t>
      </w:r>
      <w:proofErr w:type="spellEnd"/>
      <w:r w:rsidRPr="002906A3">
        <w:t xml:space="preserve"> </w:t>
      </w:r>
      <w:proofErr w:type="spellStart"/>
      <w:r w:rsidRPr="002906A3">
        <w:t>central</w:t>
      </w:r>
      <w:proofErr w:type="spellEnd"/>
      <w:r w:rsidRPr="002906A3">
        <w:t xml:space="preserve"> role </w:t>
      </w:r>
      <w:proofErr w:type="spellStart"/>
      <w:r w:rsidRPr="002906A3">
        <w:t>that</w:t>
      </w:r>
      <w:proofErr w:type="spellEnd"/>
      <w:r w:rsidRPr="002906A3">
        <w:t xml:space="preserve"> silence </w:t>
      </w:r>
      <w:proofErr w:type="spellStart"/>
      <w:r w:rsidRPr="002906A3">
        <w:t>assumes</w:t>
      </w:r>
      <w:proofErr w:type="spellEnd"/>
      <w:r w:rsidRPr="002906A3">
        <w:t xml:space="preserve"> </w:t>
      </w:r>
      <w:proofErr w:type="spellStart"/>
      <w:r w:rsidRPr="002906A3">
        <w:t>within</w:t>
      </w:r>
      <w:proofErr w:type="spellEnd"/>
      <w:r w:rsidRPr="002906A3">
        <w:t xml:space="preserve"> Samuel </w:t>
      </w:r>
      <w:proofErr w:type="spellStart"/>
      <w:r w:rsidRPr="002906A3">
        <w:t>Beckett’s</w:t>
      </w:r>
      <w:proofErr w:type="spellEnd"/>
      <w:r w:rsidRPr="002906A3">
        <w:t xml:space="preserve">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It</w:t>
      </w:r>
      <w:proofErr w:type="spellEnd"/>
      <w:r w:rsidRPr="002906A3">
        <w:t xml:space="preserve"> </w:t>
      </w:r>
      <w:proofErr w:type="spellStart"/>
      <w:r w:rsidRPr="002906A3">
        <w:t>aims</w:t>
      </w:r>
      <w:proofErr w:type="spellEnd"/>
      <w:r w:rsidRPr="002906A3">
        <w:t xml:space="preserve"> </w:t>
      </w:r>
      <w:proofErr w:type="spellStart"/>
      <w:r w:rsidRPr="002906A3">
        <w:t>to</w:t>
      </w:r>
      <w:proofErr w:type="spellEnd"/>
      <w:r w:rsidRPr="002906A3">
        <w:t xml:space="preserve"> </w:t>
      </w:r>
      <w:proofErr w:type="spellStart"/>
      <w:r w:rsidRPr="002906A3">
        <w:t>analyze</w:t>
      </w:r>
      <w:proofErr w:type="spellEnd"/>
      <w:r w:rsidRPr="002906A3">
        <w:t xml:space="preserve"> </w:t>
      </w:r>
      <w:proofErr w:type="spellStart"/>
      <w:r w:rsidRPr="002906A3">
        <w:t>pauses</w:t>
      </w:r>
      <w:proofErr w:type="spellEnd"/>
      <w:r w:rsidRPr="002906A3">
        <w:t xml:space="preserve">, </w:t>
      </w:r>
      <w:proofErr w:type="spellStart"/>
      <w:r w:rsidRPr="002906A3">
        <w:t>ellipses</w:t>
      </w:r>
      <w:proofErr w:type="spellEnd"/>
      <w:r w:rsidRPr="002906A3">
        <w:t xml:space="preserve">, </w:t>
      </w:r>
      <w:proofErr w:type="spellStart"/>
      <w:r w:rsidRPr="002906A3">
        <w:t>and</w:t>
      </w:r>
      <w:proofErr w:type="spellEnd"/>
      <w:r w:rsidRPr="002906A3">
        <w:t xml:space="preserve"> </w:t>
      </w:r>
      <w:proofErr w:type="spellStart"/>
      <w:r w:rsidRPr="002906A3">
        <w:t>speech</w:t>
      </w:r>
      <w:proofErr w:type="spellEnd"/>
      <w:r w:rsidRPr="002906A3">
        <w:t xml:space="preserve"> of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within</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constituting</w:t>
      </w:r>
      <w:proofErr w:type="spellEnd"/>
      <w:r w:rsidRPr="002906A3">
        <w:t xml:space="preserve"> an </w:t>
      </w:r>
      <w:proofErr w:type="spellStart"/>
      <w:r w:rsidRPr="002906A3">
        <w:t>advanced</w:t>
      </w:r>
      <w:proofErr w:type="spellEnd"/>
      <w:r w:rsidRPr="002906A3">
        <w:t xml:space="preserve"> </w:t>
      </w:r>
      <w:proofErr w:type="spellStart"/>
      <w:r w:rsidRPr="002906A3">
        <w:t>exploration</w:t>
      </w:r>
      <w:proofErr w:type="spellEnd"/>
      <w:r w:rsidRPr="002906A3">
        <w:t xml:space="preserve"> of </w:t>
      </w:r>
      <w:proofErr w:type="spellStart"/>
      <w:r w:rsidRPr="002906A3">
        <w:t>communication</w:t>
      </w:r>
      <w:proofErr w:type="spellEnd"/>
      <w:r w:rsidRPr="002906A3">
        <w:t xml:space="preserve"> </w:t>
      </w:r>
      <w:proofErr w:type="spellStart"/>
      <w:r w:rsidRPr="002906A3">
        <w:t>breakdown</w:t>
      </w:r>
      <w:proofErr w:type="spellEnd"/>
      <w:r w:rsidRPr="002906A3">
        <w:t xml:space="preserve">, </w:t>
      </w:r>
      <w:proofErr w:type="spellStart"/>
      <w:r w:rsidRPr="002906A3">
        <w:t>existential</w:t>
      </w:r>
      <w:proofErr w:type="spellEnd"/>
      <w:r w:rsidRPr="002906A3">
        <w:t xml:space="preserve"> </w:t>
      </w:r>
      <w:proofErr w:type="spellStart"/>
      <w:r w:rsidRPr="002906A3">
        <w:t>confusion</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meaning</w:t>
      </w:r>
      <w:proofErr w:type="spellEnd"/>
      <w:r w:rsidRPr="002906A3">
        <w:t xml:space="preserve"> of a </w:t>
      </w:r>
      <w:proofErr w:type="spellStart"/>
      <w:r w:rsidRPr="002906A3">
        <w:t>mute</w:t>
      </w:r>
      <w:proofErr w:type="spellEnd"/>
      <w:r w:rsidRPr="002906A3">
        <w:t xml:space="preserve"> </w:t>
      </w:r>
      <w:proofErr w:type="spellStart"/>
      <w:r w:rsidRPr="002906A3">
        <w:t>universe</w:t>
      </w:r>
      <w:proofErr w:type="spellEnd"/>
      <w:r w:rsidRPr="002906A3">
        <w:t xml:space="preserve"> </w:t>
      </w:r>
      <w:proofErr w:type="spellStart"/>
      <w:r w:rsidRPr="002906A3">
        <w:t>all</w:t>
      </w:r>
      <w:proofErr w:type="spellEnd"/>
      <w:r w:rsidRPr="002906A3">
        <w:t xml:space="preserve"> at </w:t>
      </w:r>
      <w:proofErr w:type="spellStart"/>
      <w:r w:rsidRPr="002906A3">
        <w:t>once</w:t>
      </w:r>
      <w:proofErr w:type="spellEnd"/>
      <w:r w:rsidRPr="002906A3">
        <w:t xml:space="preserve">. </w:t>
      </w:r>
      <w:proofErr w:type="spellStart"/>
      <w:r w:rsidRPr="002906A3">
        <w:t>The</w:t>
      </w:r>
      <w:proofErr w:type="spellEnd"/>
      <w:r w:rsidRPr="002906A3">
        <w:t xml:space="preserve"> </w:t>
      </w:r>
      <w:proofErr w:type="spellStart"/>
      <w:r w:rsidRPr="002906A3">
        <w:t>study</w:t>
      </w:r>
      <w:proofErr w:type="spellEnd"/>
      <w:r w:rsidRPr="002906A3">
        <w:t xml:space="preserve"> </w:t>
      </w:r>
      <w:proofErr w:type="spellStart"/>
      <w:r w:rsidRPr="002906A3">
        <w:t>focuses</w:t>
      </w:r>
      <w:proofErr w:type="spellEnd"/>
      <w:r w:rsidRPr="002906A3">
        <w:t xml:space="preserve"> on how </w:t>
      </w:r>
      <w:proofErr w:type="spellStart"/>
      <w:r w:rsidRPr="002906A3">
        <w:t>the</w:t>
      </w:r>
      <w:proofErr w:type="spellEnd"/>
      <w:r w:rsidRPr="002906A3">
        <w:t xml:space="preserve"> silence </w:t>
      </w:r>
      <w:proofErr w:type="spellStart"/>
      <w:r w:rsidRPr="002906A3">
        <w:t>between</w:t>
      </w:r>
      <w:proofErr w:type="spellEnd"/>
      <w:r w:rsidRPr="002906A3">
        <w:t xml:space="preserve"> </w:t>
      </w:r>
      <w:proofErr w:type="spellStart"/>
      <w:r w:rsidRPr="002906A3">
        <w:t>Godot</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two </w:t>
      </w:r>
      <w:proofErr w:type="spellStart"/>
      <w:r w:rsidRPr="002906A3">
        <w:t>waiting</w:t>
      </w:r>
      <w:proofErr w:type="spellEnd"/>
      <w:r w:rsidRPr="002906A3">
        <w:t xml:space="preserve"> men </w:t>
      </w:r>
      <w:proofErr w:type="spellStart"/>
      <w:r w:rsidRPr="002906A3">
        <w:t>condemns</w:t>
      </w:r>
      <w:proofErr w:type="spellEnd"/>
      <w:r w:rsidRPr="002906A3">
        <w:t xml:space="preserve"> </w:t>
      </w:r>
      <w:proofErr w:type="spellStart"/>
      <w:r w:rsidRPr="002906A3">
        <w:t>the</w:t>
      </w:r>
      <w:proofErr w:type="spellEnd"/>
      <w:r w:rsidRPr="002906A3">
        <w:t xml:space="preserve"> </w:t>
      </w:r>
      <w:proofErr w:type="spellStart"/>
      <w:r w:rsidRPr="002906A3">
        <w:t>conflict</w:t>
      </w:r>
      <w:proofErr w:type="spellEnd"/>
      <w:r w:rsidRPr="002906A3">
        <w:t xml:space="preserve"> </w:t>
      </w:r>
      <w:proofErr w:type="spellStart"/>
      <w:r w:rsidRPr="002906A3">
        <w:t>between</w:t>
      </w:r>
      <w:proofErr w:type="spellEnd"/>
      <w:r w:rsidRPr="002906A3">
        <w:t xml:space="preserve"> </w:t>
      </w:r>
      <w:proofErr w:type="spellStart"/>
      <w:r w:rsidRPr="002906A3">
        <w:t>the</w:t>
      </w:r>
      <w:proofErr w:type="spellEnd"/>
      <w:r w:rsidRPr="002906A3">
        <w:t xml:space="preserve"> presence </w:t>
      </w:r>
      <w:proofErr w:type="spellStart"/>
      <w:r w:rsidRPr="002906A3">
        <w:t>and</w:t>
      </w:r>
      <w:proofErr w:type="spellEnd"/>
      <w:r w:rsidRPr="002906A3">
        <w:t xml:space="preserve"> </w:t>
      </w:r>
      <w:proofErr w:type="spellStart"/>
      <w:r w:rsidRPr="002906A3">
        <w:t>absence</w:t>
      </w:r>
      <w:proofErr w:type="spellEnd"/>
      <w:r w:rsidRPr="002906A3">
        <w:t xml:space="preserve"> of </w:t>
      </w:r>
      <w:proofErr w:type="spellStart"/>
      <w:r w:rsidRPr="002906A3">
        <w:t>Godot</w:t>
      </w:r>
      <w:proofErr w:type="spellEnd"/>
      <w:r w:rsidRPr="002906A3">
        <w:t xml:space="preserve">. As </w:t>
      </w:r>
      <w:proofErr w:type="spellStart"/>
      <w:r w:rsidRPr="002906A3">
        <w:t>Godot</w:t>
      </w:r>
      <w:proofErr w:type="spellEnd"/>
      <w:r w:rsidRPr="002906A3">
        <w:t xml:space="preserve">, </w:t>
      </w:r>
      <w:proofErr w:type="spellStart"/>
      <w:r w:rsidRPr="002906A3">
        <w:t>the</w:t>
      </w:r>
      <w:proofErr w:type="spellEnd"/>
      <w:r w:rsidRPr="002906A3">
        <w:t xml:space="preserve"> </w:t>
      </w:r>
      <w:proofErr w:type="spellStart"/>
      <w:r w:rsidRPr="002906A3">
        <w:t>one</w:t>
      </w:r>
      <w:proofErr w:type="spellEnd"/>
      <w:r w:rsidRPr="002906A3">
        <w:t xml:space="preserve"> </w:t>
      </w:r>
      <w:proofErr w:type="spellStart"/>
      <w:r w:rsidRPr="002906A3">
        <w:t>person</w:t>
      </w:r>
      <w:proofErr w:type="spellEnd"/>
      <w:r w:rsidRPr="002906A3">
        <w:t xml:space="preserve"> </w:t>
      </w:r>
      <w:proofErr w:type="spellStart"/>
      <w:r w:rsidRPr="002906A3">
        <w:t>who</w:t>
      </w:r>
      <w:proofErr w:type="spellEnd"/>
      <w:r w:rsidRPr="002906A3">
        <w:t xml:space="preserve"> is </w:t>
      </w:r>
      <w:proofErr w:type="spellStart"/>
      <w:r w:rsidRPr="002906A3">
        <w:t>always</w:t>
      </w:r>
      <w:proofErr w:type="spellEnd"/>
      <w:r w:rsidRPr="002906A3">
        <w:t xml:space="preserve"> </w:t>
      </w:r>
      <w:proofErr w:type="spellStart"/>
      <w:r w:rsidRPr="002906A3">
        <w:t>equally</w:t>
      </w:r>
      <w:proofErr w:type="spellEnd"/>
      <w:r w:rsidRPr="002906A3">
        <w:t xml:space="preserve"> </w:t>
      </w:r>
      <w:proofErr w:type="spellStart"/>
      <w:r w:rsidRPr="002906A3">
        <w:t>expected</w:t>
      </w:r>
      <w:proofErr w:type="spellEnd"/>
      <w:r w:rsidRPr="002906A3">
        <w:t xml:space="preserve"> </w:t>
      </w:r>
      <w:proofErr w:type="spellStart"/>
      <w:r w:rsidRPr="002906A3">
        <w:t>and</w:t>
      </w:r>
      <w:proofErr w:type="spellEnd"/>
      <w:r w:rsidRPr="002906A3">
        <w:t xml:space="preserve"> </w:t>
      </w:r>
      <w:proofErr w:type="spellStart"/>
      <w:r w:rsidRPr="002906A3">
        <w:t>never</w:t>
      </w:r>
      <w:proofErr w:type="spellEnd"/>
      <w:r w:rsidRPr="002906A3">
        <w:t xml:space="preserve"> </w:t>
      </w:r>
      <w:proofErr w:type="spellStart"/>
      <w:r w:rsidRPr="002906A3">
        <w:t>shown</w:t>
      </w:r>
      <w:proofErr w:type="spellEnd"/>
      <w:r w:rsidRPr="002906A3">
        <w:t xml:space="preserve"> </w:t>
      </w:r>
      <w:proofErr w:type="spellStart"/>
      <w:r w:rsidRPr="002906A3">
        <w:t>exists</w:t>
      </w:r>
      <w:proofErr w:type="spellEnd"/>
      <w:r w:rsidRPr="002906A3">
        <w:t xml:space="preserve"> in silence, Vladimir </w:t>
      </w:r>
      <w:proofErr w:type="spellStart"/>
      <w:r w:rsidRPr="002906A3">
        <w:t>and</w:t>
      </w:r>
      <w:proofErr w:type="spellEnd"/>
      <w:r w:rsidRPr="002906A3">
        <w:t xml:space="preserve"> </w:t>
      </w:r>
      <w:proofErr w:type="spellStart"/>
      <w:r w:rsidRPr="002906A3">
        <w:t>Estragon’s</w:t>
      </w:r>
      <w:proofErr w:type="spellEnd"/>
      <w:r w:rsidRPr="002906A3">
        <w:t xml:space="preserve"> </w:t>
      </w:r>
      <w:proofErr w:type="spellStart"/>
      <w:r w:rsidRPr="002906A3">
        <w:t>Godot</w:t>
      </w:r>
      <w:proofErr w:type="spellEnd"/>
      <w:r w:rsidRPr="002906A3">
        <w:t xml:space="preserve"> </w:t>
      </w:r>
      <w:proofErr w:type="spellStart"/>
      <w:r w:rsidRPr="002906A3">
        <w:t>initiates</w:t>
      </w:r>
      <w:proofErr w:type="spellEnd"/>
      <w:r w:rsidRPr="002906A3">
        <w:t xml:space="preserve"> </w:t>
      </w:r>
      <w:proofErr w:type="spellStart"/>
      <w:r w:rsidRPr="002906A3">
        <w:t>the</w:t>
      </w:r>
      <w:proofErr w:type="spellEnd"/>
      <w:r w:rsidRPr="002906A3">
        <w:t xml:space="preserve"> </w:t>
      </w:r>
      <w:proofErr w:type="spellStart"/>
      <w:r w:rsidRPr="002906A3">
        <w:t>interplay</w:t>
      </w:r>
      <w:proofErr w:type="spellEnd"/>
      <w:r w:rsidRPr="002906A3">
        <w:t xml:space="preserve"> of silence as </w:t>
      </w:r>
      <w:proofErr w:type="spellStart"/>
      <w:r w:rsidRPr="002906A3">
        <w:t>aporia</w:t>
      </w:r>
      <w:proofErr w:type="spellEnd"/>
      <w:r w:rsidRPr="002906A3">
        <w:t xml:space="preserve"> </w:t>
      </w:r>
      <w:proofErr w:type="spellStart"/>
      <w:r w:rsidRPr="002906A3">
        <w:t>that</w:t>
      </w:r>
      <w:proofErr w:type="spellEnd"/>
      <w:r w:rsidRPr="002906A3">
        <w:t xml:space="preserve"> </w:t>
      </w:r>
      <w:proofErr w:type="spellStart"/>
      <w:r w:rsidRPr="002906A3">
        <w:t>causes</w:t>
      </w:r>
      <w:proofErr w:type="spellEnd"/>
      <w:r w:rsidRPr="002906A3">
        <w:t xml:space="preserve"> </w:t>
      </w:r>
      <w:proofErr w:type="spellStart"/>
      <w:r w:rsidRPr="002906A3">
        <w:t>the</w:t>
      </w:r>
      <w:proofErr w:type="spellEnd"/>
      <w:r w:rsidRPr="002906A3">
        <w:t xml:space="preserve"> </w:t>
      </w:r>
      <w:proofErr w:type="spellStart"/>
      <w:r w:rsidRPr="002906A3">
        <w:t>world</w:t>
      </w:r>
      <w:proofErr w:type="spellEnd"/>
      <w:r w:rsidRPr="002906A3">
        <w:t xml:space="preserve"> </w:t>
      </w:r>
      <w:proofErr w:type="spellStart"/>
      <w:r w:rsidRPr="002906A3">
        <w:t>to</w:t>
      </w:r>
      <w:proofErr w:type="spellEnd"/>
      <w:r w:rsidRPr="002906A3">
        <w:t xml:space="preserve"> </w:t>
      </w:r>
      <w:proofErr w:type="spellStart"/>
      <w:r w:rsidRPr="002906A3">
        <w:t>which</w:t>
      </w:r>
      <w:proofErr w:type="spellEnd"/>
      <w:r w:rsidRPr="002906A3">
        <w:t xml:space="preserve"> </w:t>
      </w:r>
      <w:proofErr w:type="spellStart"/>
      <w:r w:rsidRPr="002906A3">
        <w:t>all</w:t>
      </w:r>
      <w:proofErr w:type="spellEnd"/>
      <w:r w:rsidRPr="002906A3">
        <w:t xml:space="preserve"> </w:t>
      </w:r>
      <w:proofErr w:type="spellStart"/>
      <w:r w:rsidRPr="002906A3">
        <w:t>action</w:t>
      </w:r>
      <w:proofErr w:type="spellEnd"/>
      <w:r w:rsidRPr="002906A3">
        <w:t xml:space="preserve"> </w:t>
      </w:r>
      <w:proofErr w:type="spellStart"/>
      <w:r w:rsidRPr="002906A3">
        <w:t>ceases</w:t>
      </w:r>
      <w:proofErr w:type="spellEnd"/>
      <w:r w:rsidRPr="002906A3">
        <w:t xml:space="preserve"> </w:t>
      </w:r>
      <w:proofErr w:type="spellStart"/>
      <w:r w:rsidRPr="002906A3">
        <w:t>to</w:t>
      </w:r>
      <w:proofErr w:type="spellEnd"/>
      <w:r w:rsidRPr="002906A3">
        <w:t xml:space="preserve"> </w:t>
      </w:r>
      <w:proofErr w:type="spellStart"/>
      <w:r w:rsidRPr="002906A3">
        <w:t>exist</w:t>
      </w:r>
      <w:proofErr w:type="spellEnd"/>
      <w:r w:rsidRPr="002906A3">
        <w:t xml:space="preserve">. </w:t>
      </w:r>
      <w:proofErr w:type="spellStart"/>
      <w:r w:rsidRPr="002906A3">
        <w:t>The</w:t>
      </w:r>
      <w:proofErr w:type="spellEnd"/>
      <w:r w:rsidRPr="002906A3">
        <w:t xml:space="preserve"> </w:t>
      </w:r>
      <w:proofErr w:type="spellStart"/>
      <w:r w:rsidRPr="002906A3">
        <w:t>study</w:t>
      </w:r>
      <w:proofErr w:type="spellEnd"/>
      <w:r w:rsidRPr="002906A3">
        <w:t xml:space="preserve"> </w:t>
      </w:r>
      <w:proofErr w:type="spellStart"/>
      <w:r w:rsidRPr="002906A3">
        <w:t>seeks</w:t>
      </w:r>
      <w:proofErr w:type="spellEnd"/>
      <w:r w:rsidRPr="002906A3">
        <w:t xml:space="preserve"> </w:t>
      </w:r>
      <w:proofErr w:type="spellStart"/>
      <w:r w:rsidRPr="002906A3">
        <w:t>to</w:t>
      </w:r>
      <w:proofErr w:type="spellEnd"/>
      <w:r w:rsidRPr="002906A3">
        <w:t xml:space="preserve"> </w:t>
      </w:r>
      <w:proofErr w:type="spellStart"/>
      <w:r w:rsidRPr="002906A3">
        <w:t>examine</w:t>
      </w:r>
      <w:proofErr w:type="spellEnd"/>
      <w:r w:rsidRPr="002906A3">
        <w:t xml:space="preserve"> how silence </w:t>
      </w:r>
      <w:proofErr w:type="spellStart"/>
      <w:r w:rsidRPr="002906A3">
        <w:t>works</w:t>
      </w:r>
      <w:proofErr w:type="spellEnd"/>
      <w:r w:rsidRPr="002906A3">
        <w:t xml:space="preserve"> as a </w:t>
      </w:r>
      <w:proofErr w:type="spellStart"/>
      <w:r w:rsidRPr="002906A3">
        <w:t>reflection</w:t>
      </w:r>
      <w:proofErr w:type="spellEnd"/>
      <w:r w:rsidRPr="002906A3">
        <w:t xml:space="preserve"> of </w:t>
      </w:r>
      <w:proofErr w:type="spellStart"/>
      <w:r w:rsidRPr="002906A3">
        <w:t>the</w:t>
      </w:r>
      <w:proofErr w:type="spellEnd"/>
      <w:r w:rsidRPr="002906A3">
        <w:t xml:space="preserve"> </w:t>
      </w:r>
      <w:proofErr w:type="spellStart"/>
      <w:r w:rsidRPr="002906A3">
        <w:t>supposed</w:t>
      </w:r>
      <w:proofErr w:type="spellEnd"/>
      <w:r w:rsidRPr="002906A3">
        <w:t xml:space="preserve"> </w:t>
      </w:r>
      <w:proofErr w:type="spellStart"/>
      <w:r w:rsidRPr="002906A3">
        <w:t>inadequacy</w:t>
      </w:r>
      <w:proofErr w:type="spellEnd"/>
      <w:r w:rsidRPr="002906A3">
        <w:t xml:space="preserve"> of </w:t>
      </w:r>
      <w:proofErr w:type="spellStart"/>
      <w:r w:rsidRPr="002906A3">
        <w:t>language</w:t>
      </w:r>
      <w:proofErr w:type="spellEnd"/>
      <w:r w:rsidRPr="002906A3">
        <w:t xml:space="preserve">. As </w:t>
      </w:r>
      <w:proofErr w:type="spellStart"/>
      <w:r w:rsidRPr="002906A3">
        <w:t>Neupane</w:t>
      </w:r>
      <w:proofErr w:type="spellEnd"/>
      <w:r w:rsidRPr="002906A3">
        <w:t xml:space="preserve"> (2024) </w:t>
      </w:r>
      <w:proofErr w:type="spellStart"/>
      <w:r w:rsidRPr="002906A3">
        <w:t>elaborates</w:t>
      </w:r>
      <w:proofErr w:type="spellEnd"/>
      <w:r w:rsidRPr="002906A3">
        <w:t xml:space="preserve">, </w:t>
      </w:r>
      <w:proofErr w:type="spellStart"/>
      <w:r w:rsidRPr="002906A3">
        <w:t>Beckett’s</w:t>
      </w:r>
      <w:proofErr w:type="spellEnd"/>
      <w:r w:rsidRPr="002906A3">
        <w:t xml:space="preserve"> </w:t>
      </w:r>
      <w:proofErr w:type="spellStart"/>
      <w:r w:rsidRPr="002906A3">
        <w:t>dialogue</w:t>
      </w:r>
      <w:proofErr w:type="spellEnd"/>
      <w:r w:rsidRPr="002906A3">
        <w:t xml:space="preserve"> </w:t>
      </w:r>
      <w:proofErr w:type="spellStart"/>
      <w:r w:rsidRPr="002906A3">
        <w:t>consists</w:t>
      </w:r>
      <w:proofErr w:type="spellEnd"/>
      <w:r w:rsidRPr="002906A3">
        <w:t xml:space="preserve"> of </w:t>
      </w:r>
      <w:proofErr w:type="spellStart"/>
      <w:r w:rsidRPr="002906A3">
        <w:t>ridiculous</w:t>
      </w:r>
      <w:proofErr w:type="spellEnd"/>
      <w:r w:rsidRPr="002906A3">
        <w:t xml:space="preserve"> </w:t>
      </w:r>
      <w:proofErr w:type="spellStart"/>
      <w:r w:rsidRPr="002906A3">
        <w:t>repetition</w:t>
      </w:r>
      <w:proofErr w:type="spellEnd"/>
      <w:r w:rsidRPr="002906A3">
        <w:t xml:space="preserve"> </w:t>
      </w:r>
      <w:proofErr w:type="spellStart"/>
      <w:r w:rsidRPr="002906A3">
        <w:t>or</w:t>
      </w:r>
      <w:proofErr w:type="spellEnd"/>
      <w:r w:rsidRPr="002906A3">
        <w:t xml:space="preserve"> </w:t>
      </w:r>
      <w:proofErr w:type="spellStart"/>
      <w:r w:rsidRPr="002906A3">
        <w:t>deep</w:t>
      </w:r>
      <w:proofErr w:type="spellEnd"/>
      <w:r w:rsidRPr="002906A3">
        <w:t xml:space="preserve"> silence, </w:t>
      </w:r>
      <w:proofErr w:type="spellStart"/>
      <w:r w:rsidRPr="002906A3">
        <w:t>where</w:t>
      </w:r>
      <w:proofErr w:type="spellEnd"/>
      <w:r w:rsidRPr="002906A3">
        <w:t xml:space="preserve"> </w:t>
      </w:r>
      <w:proofErr w:type="spellStart"/>
      <w:r w:rsidRPr="002906A3">
        <w:t>the</w:t>
      </w:r>
      <w:proofErr w:type="spellEnd"/>
      <w:r w:rsidRPr="002906A3">
        <w:t xml:space="preserve"> </w:t>
      </w:r>
      <w:proofErr w:type="spellStart"/>
      <w:r w:rsidRPr="002906A3">
        <w:t>failure</w:t>
      </w:r>
      <w:proofErr w:type="spellEnd"/>
      <w:r w:rsidRPr="002906A3">
        <w:t xml:space="preserve"> of </w:t>
      </w:r>
      <w:proofErr w:type="spellStart"/>
      <w:r w:rsidRPr="002906A3">
        <w:t>speech</w:t>
      </w:r>
      <w:proofErr w:type="spellEnd"/>
      <w:r w:rsidRPr="002906A3">
        <w:t xml:space="preserve"> can </w:t>
      </w:r>
      <w:proofErr w:type="spellStart"/>
      <w:r w:rsidRPr="002906A3">
        <w:t>perform</w:t>
      </w:r>
      <w:proofErr w:type="spellEnd"/>
      <w:r w:rsidRPr="002906A3">
        <w:t xml:space="preserve"> </w:t>
      </w:r>
      <w:proofErr w:type="spellStart"/>
      <w:r w:rsidRPr="002906A3">
        <w:t>and</w:t>
      </w:r>
      <w:proofErr w:type="spellEnd"/>
      <w:r w:rsidRPr="002906A3">
        <w:t xml:space="preserve"> </w:t>
      </w:r>
      <w:proofErr w:type="spellStart"/>
      <w:r w:rsidRPr="002906A3">
        <w:t>comprehend</w:t>
      </w:r>
      <w:proofErr w:type="spellEnd"/>
      <w:r w:rsidRPr="002906A3">
        <w:t xml:space="preserve"> </w:t>
      </w:r>
      <w:proofErr w:type="spellStart"/>
      <w:r w:rsidRPr="002906A3">
        <w:t>human</w:t>
      </w:r>
      <w:proofErr w:type="spellEnd"/>
      <w:r w:rsidRPr="002906A3">
        <w:t xml:space="preserve"> </w:t>
      </w:r>
      <w:proofErr w:type="spellStart"/>
      <w:r w:rsidRPr="002906A3">
        <w:t>experiences</w:t>
      </w:r>
      <w:proofErr w:type="spellEnd"/>
      <w:r w:rsidRPr="002906A3">
        <w:t xml:space="preserve"> is </w:t>
      </w:r>
      <w:proofErr w:type="spellStart"/>
      <w:r w:rsidRPr="002906A3">
        <w:t>evident</w:t>
      </w:r>
      <w:proofErr w:type="spellEnd"/>
      <w:r w:rsidRPr="002906A3">
        <w:t xml:space="preserve">. </w:t>
      </w:r>
      <w:proofErr w:type="spellStart"/>
      <w:r w:rsidRPr="002906A3">
        <w:t>The</w:t>
      </w:r>
      <w:proofErr w:type="spellEnd"/>
      <w:r w:rsidRPr="002906A3">
        <w:t xml:space="preserve"> silence </w:t>
      </w:r>
      <w:proofErr w:type="spellStart"/>
      <w:r w:rsidRPr="002906A3">
        <w:t>reveals</w:t>
      </w:r>
      <w:proofErr w:type="spellEnd"/>
      <w:r w:rsidRPr="002906A3">
        <w:t xml:space="preserve"> </w:t>
      </w:r>
      <w:proofErr w:type="spellStart"/>
      <w:r w:rsidRPr="002906A3">
        <w:t>the</w:t>
      </w:r>
      <w:proofErr w:type="spellEnd"/>
      <w:r w:rsidRPr="002906A3">
        <w:t xml:space="preserve"> </w:t>
      </w:r>
      <w:proofErr w:type="spellStart"/>
      <w:r w:rsidRPr="002906A3">
        <w:t>deep-seated</w:t>
      </w:r>
      <w:proofErr w:type="spellEnd"/>
      <w:r w:rsidRPr="002906A3">
        <w:t xml:space="preserve"> </w:t>
      </w:r>
      <w:proofErr w:type="spellStart"/>
      <w:r w:rsidRPr="002906A3">
        <w:t>emotions</w:t>
      </w:r>
      <w:proofErr w:type="spellEnd"/>
      <w:r w:rsidRPr="002906A3">
        <w:t xml:space="preserve"> </w:t>
      </w:r>
      <w:proofErr w:type="spellStart"/>
      <w:r w:rsidRPr="002906A3">
        <w:t>that</w:t>
      </w:r>
      <w:proofErr w:type="spellEnd"/>
      <w:r w:rsidRPr="002906A3">
        <w:t xml:space="preserve"> </w:t>
      </w:r>
      <w:proofErr w:type="spellStart"/>
      <w:r w:rsidRPr="002906A3">
        <w:t>these</w:t>
      </w:r>
      <w:proofErr w:type="spellEnd"/>
      <w:r w:rsidRPr="002906A3">
        <w:t xml:space="preserve"> </w:t>
      </w:r>
      <w:proofErr w:type="spellStart"/>
      <w:r w:rsidRPr="002906A3">
        <w:t>characters</w:t>
      </w:r>
      <w:proofErr w:type="spellEnd"/>
      <w:r w:rsidRPr="002906A3">
        <w:t xml:space="preserve"> </w:t>
      </w:r>
      <w:proofErr w:type="spellStart"/>
      <w:r w:rsidRPr="002906A3">
        <w:t>suffer</w:t>
      </w:r>
      <w:proofErr w:type="spellEnd"/>
      <w:r w:rsidRPr="002906A3">
        <w:t xml:space="preserve"> </w:t>
      </w:r>
      <w:proofErr w:type="spellStart"/>
      <w:r w:rsidRPr="002906A3">
        <w:t>from</w:t>
      </w:r>
      <w:proofErr w:type="spellEnd"/>
      <w:r w:rsidRPr="002906A3">
        <w:t xml:space="preserve"> </w:t>
      </w:r>
      <w:proofErr w:type="spellStart"/>
      <w:r w:rsidRPr="002906A3">
        <w:t>which</w:t>
      </w:r>
      <w:proofErr w:type="spellEnd"/>
      <w:r w:rsidRPr="002906A3">
        <w:t xml:space="preserve"> </w:t>
      </w:r>
      <w:proofErr w:type="spellStart"/>
      <w:r w:rsidRPr="002906A3">
        <w:t>include</w:t>
      </w:r>
      <w:proofErr w:type="spellEnd"/>
      <w:r w:rsidRPr="002906A3">
        <w:t xml:space="preserve"> </w:t>
      </w:r>
      <w:proofErr w:type="spellStart"/>
      <w:r w:rsidRPr="002906A3">
        <w:t>anxiety</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 xml:space="preserve"> </w:t>
      </w:r>
      <w:proofErr w:type="spellStart"/>
      <w:r w:rsidRPr="002906A3">
        <w:t>that</w:t>
      </w:r>
      <w:proofErr w:type="spellEnd"/>
      <w:r w:rsidRPr="002906A3">
        <w:t xml:space="preserve"> </w:t>
      </w:r>
      <w:proofErr w:type="spellStart"/>
      <w:r w:rsidRPr="002906A3">
        <w:t>transcend</w:t>
      </w:r>
      <w:proofErr w:type="spellEnd"/>
      <w:r w:rsidRPr="002906A3">
        <w:t xml:space="preserve"> </w:t>
      </w:r>
      <w:proofErr w:type="spellStart"/>
      <w:r w:rsidRPr="002906A3">
        <w:t>language</w:t>
      </w:r>
      <w:proofErr w:type="spellEnd"/>
      <w:r w:rsidRPr="002906A3">
        <w:t xml:space="preserve">. As </w:t>
      </w:r>
      <w:proofErr w:type="spellStart"/>
      <w:r w:rsidRPr="002906A3">
        <w:t>Juntunen</w:t>
      </w:r>
      <w:proofErr w:type="spellEnd"/>
      <w:r w:rsidRPr="002906A3">
        <w:t xml:space="preserve"> (2015), </w:t>
      </w:r>
      <w:proofErr w:type="spellStart"/>
      <w:r w:rsidRPr="002906A3">
        <w:t>reasoned</w:t>
      </w:r>
      <w:proofErr w:type="spellEnd"/>
      <w:r w:rsidRPr="002906A3">
        <w:t xml:space="preserve">, </w:t>
      </w:r>
      <w:proofErr w:type="spellStart"/>
      <w:r w:rsidRPr="002906A3">
        <w:t>the</w:t>
      </w:r>
      <w:proofErr w:type="spellEnd"/>
      <w:r w:rsidRPr="002906A3">
        <w:t xml:space="preserve"> </w:t>
      </w:r>
      <w:proofErr w:type="spellStart"/>
      <w:r w:rsidRPr="002906A3">
        <w:t>attempts</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to</w:t>
      </w:r>
      <w:proofErr w:type="spellEnd"/>
      <w:r w:rsidRPr="002906A3">
        <w:t xml:space="preserve"> </w:t>
      </w:r>
      <w:proofErr w:type="spellStart"/>
      <w:r w:rsidRPr="002906A3">
        <w:t>impose</w:t>
      </w:r>
      <w:proofErr w:type="spellEnd"/>
      <w:r w:rsidRPr="002906A3">
        <w:t xml:space="preserve"> </w:t>
      </w:r>
      <w:proofErr w:type="spellStart"/>
      <w:r w:rsidRPr="002906A3">
        <w:t>meaning</w:t>
      </w:r>
      <w:proofErr w:type="spellEnd"/>
      <w:r w:rsidRPr="002906A3">
        <w:t xml:space="preserve"> on </w:t>
      </w:r>
      <w:proofErr w:type="spellStart"/>
      <w:r w:rsidRPr="002906A3">
        <w:t>their</w:t>
      </w:r>
      <w:proofErr w:type="spellEnd"/>
      <w:r w:rsidRPr="002906A3">
        <w:t xml:space="preserve"> </w:t>
      </w:r>
      <w:proofErr w:type="spellStart"/>
      <w:r w:rsidRPr="002906A3">
        <w:t>existence</w:t>
      </w:r>
      <w:proofErr w:type="spellEnd"/>
      <w:r w:rsidRPr="002906A3">
        <w:t xml:space="preserve"> </w:t>
      </w:r>
      <w:proofErr w:type="spellStart"/>
      <w:r w:rsidRPr="002906A3">
        <w:t>almost</w:t>
      </w:r>
      <w:proofErr w:type="spellEnd"/>
      <w:r w:rsidRPr="002906A3">
        <w:t xml:space="preserve"> </w:t>
      </w:r>
      <w:proofErr w:type="spellStart"/>
      <w:r w:rsidRPr="002906A3">
        <w:t>always</w:t>
      </w:r>
      <w:proofErr w:type="spellEnd"/>
      <w:r w:rsidRPr="002906A3">
        <w:t xml:space="preserve"> </w:t>
      </w:r>
      <w:proofErr w:type="spellStart"/>
      <w:r w:rsidRPr="002906A3">
        <w:t>end</w:t>
      </w:r>
      <w:proofErr w:type="spellEnd"/>
      <w:r w:rsidRPr="002906A3">
        <w:t xml:space="preserve"> in </w:t>
      </w:r>
      <w:proofErr w:type="spellStart"/>
      <w:r w:rsidRPr="002906A3">
        <w:t>absurdity</w:t>
      </w:r>
      <w:proofErr w:type="spellEnd"/>
      <w:r w:rsidRPr="002906A3">
        <w:t xml:space="preserve"> </w:t>
      </w:r>
      <w:proofErr w:type="spellStart"/>
      <w:r w:rsidRPr="002906A3">
        <w:t>with</w:t>
      </w:r>
      <w:proofErr w:type="spellEnd"/>
      <w:r w:rsidRPr="002906A3">
        <w:t xml:space="preserve"> silence </w:t>
      </w:r>
      <w:proofErr w:type="spellStart"/>
      <w:r w:rsidRPr="002906A3">
        <w:t>retaking</w:t>
      </w:r>
      <w:proofErr w:type="spellEnd"/>
      <w:r w:rsidRPr="002906A3">
        <w:t xml:space="preserve"> </w:t>
      </w:r>
      <w:proofErr w:type="spellStart"/>
      <w:r w:rsidRPr="002906A3">
        <w:t>the</w:t>
      </w:r>
      <w:proofErr w:type="spellEnd"/>
      <w:r w:rsidRPr="002906A3">
        <w:t xml:space="preserve"> </w:t>
      </w:r>
      <w:proofErr w:type="spellStart"/>
      <w:r w:rsidRPr="002906A3">
        <w:t>center</w:t>
      </w:r>
      <w:proofErr w:type="spellEnd"/>
      <w:r w:rsidRPr="002906A3">
        <w:t xml:space="preserve"> </w:t>
      </w:r>
      <w:proofErr w:type="spellStart"/>
      <w:r w:rsidRPr="002906A3">
        <w:t>stage</w:t>
      </w:r>
      <w:proofErr w:type="spellEnd"/>
      <w:r w:rsidRPr="002906A3">
        <w:t xml:space="preserve">. </w:t>
      </w:r>
      <w:proofErr w:type="spellStart"/>
      <w:r w:rsidRPr="002906A3">
        <w:t>Hence</w:t>
      </w:r>
      <w:proofErr w:type="spellEnd"/>
      <w:r w:rsidRPr="002906A3">
        <w:t xml:space="preserve"> </w:t>
      </w:r>
      <w:proofErr w:type="spellStart"/>
      <w:r w:rsidRPr="002906A3">
        <w:t>this</w:t>
      </w:r>
      <w:proofErr w:type="spellEnd"/>
      <w:r w:rsidRPr="002906A3">
        <w:t xml:space="preserve"> </w:t>
      </w:r>
      <w:proofErr w:type="spellStart"/>
      <w:r w:rsidRPr="002906A3">
        <w:t>research</w:t>
      </w:r>
      <w:proofErr w:type="spellEnd"/>
      <w:r w:rsidRPr="002906A3">
        <w:t xml:space="preserve"> </w:t>
      </w:r>
      <w:proofErr w:type="spellStart"/>
      <w:r w:rsidRPr="002906A3">
        <w:t>aims</w:t>
      </w:r>
      <w:proofErr w:type="spellEnd"/>
      <w:r w:rsidRPr="002906A3">
        <w:t xml:space="preserve"> </w:t>
      </w:r>
      <w:proofErr w:type="spellStart"/>
      <w:r w:rsidRPr="002906A3">
        <w:t>to</w:t>
      </w:r>
      <w:proofErr w:type="spellEnd"/>
      <w:r w:rsidRPr="002906A3">
        <w:t xml:space="preserve"> </w:t>
      </w:r>
      <w:proofErr w:type="spellStart"/>
      <w:r w:rsidRPr="002906A3">
        <w:t>position</w:t>
      </w:r>
      <w:proofErr w:type="spellEnd"/>
      <w:r w:rsidRPr="002906A3">
        <w:t xml:space="preserve"> silence, not as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meaning</w:t>
      </w:r>
      <w:proofErr w:type="spellEnd"/>
      <w:r w:rsidRPr="002906A3">
        <w:t xml:space="preserve"> </w:t>
      </w:r>
      <w:proofErr w:type="spellStart"/>
      <w:r w:rsidRPr="002906A3">
        <w:t>created</w:t>
      </w:r>
      <w:proofErr w:type="spellEnd"/>
      <w:r w:rsidRPr="002906A3">
        <w:t xml:space="preserve"> </w:t>
      </w:r>
      <w:proofErr w:type="spellStart"/>
      <w:r w:rsidRPr="002906A3">
        <w:t>deficiency</w:t>
      </w:r>
      <w:proofErr w:type="spellEnd"/>
      <w:r w:rsidRPr="002906A3">
        <w:t xml:space="preserve"> </w:t>
      </w:r>
      <w:proofErr w:type="spellStart"/>
      <w:r w:rsidRPr="002906A3">
        <w:t>whereby</w:t>
      </w:r>
      <w:proofErr w:type="spellEnd"/>
      <w:r w:rsidRPr="002906A3">
        <w:t xml:space="preserve"> </w:t>
      </w:r>
      <w:proofErr w:type="spellStart"/>
      <w:r w:rsidRPr="002906A3">
        <w:t>lack</w:t>
      </w:r>
      <w:proofErr w:type="spellEnd"/>
      <w:r w:rsidRPr="002906A3">
        <w:t xml:space="preserve"> of </w:t>
      </w:r>
      <w:proofErr w:type="spellStart"/>
      <w:r w:rsidRPr="002906A3">
        <w:t>speech</w:t>
      </w:r>
      <w:proofErr w:type="spellEnd"/>
      <w:r w:rsidRPr="002906A3">
        <w:t xml:space="preserve"> is </w:t>
      </w:r>
      <w:proofErr w:type="spellStart"/>
      <w:r w:rsidRPr="002906A3">
        <w:t>presented</w:t>
      </w:r>
      <w:proofErr w:type="spellEnd"/>
      <w:r w:rsidRPr="002906A3">
        <w:t xml:space="preserve">, but as an </w:t>
      </w:r>
      <w:proofErr w:type="spellStart"/>
      <w:r w:rsidRPr="002906A3">
        <w:t>overwhelming</w:t>
      </w:r>
      <w:proofErr w:type="spellEnd"/>
      <w:r w:rsidRPr="002906A3">
        <w:t xml:space="preserve"> </w:t>
      </w:r>
      <w:proofErr w:type="spellStart"/>
      <w:r w:rsidRPr="002906A3">
        <w:t>condition</w:t>
      </w:r>
      <w:proofErr w:type="spellEnd"/>
      <w:r w:rsidRPr="002906A3">
        <w:t xml:space="preserve"> on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review</w:t>
      </w:r>
      <w:proofErr w:type="spellEnd"/>
      <w:r w:rsidRPr="002906A3">
        <w:t xml:space="preserve"> </w:t>
      </w:r>
      <w:proofErr w:type="spellStart"/>
      <w:r w:rsidRPr="002906A3">
        <w:t>absurdity</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nothingness</w:t>
      </w:r>
      <w:proofErr w:type="spellEnd"/>
      <w:r w:rsidRPr="002906A3">
        <w:t xml:space="preserve"> of </w:t>
      </w:r>
      <w:proofErr w:type="spellStart"/>
      <w:r w:rsidRPr="002906A3">
        <w:t>existence</w:t>
      </w:r>
      <w:proofErr w:type="spellEnd"/>
      <w:r w:rsidRPr="002906A3">
        <w:t xml:space="preserve"> </w:t>
      </w:r>
      <w:proofErr w:type="spellStart"/>
      <w:r w:rsidRPr="002906A3">
        <w:t>about</w:t>
      </w:r>
      <w:proofErr w:type="spellEnd"/>
      <w:r w:rsidRPr="002906A3">
        <w:t xml:space="preserve"> </w:t>
      </w:r>
      <w:proofErr w:type="spellStart"/>
      <w:r w:rsidRPr="002906A3">
        <w:t>inter-human</w:t>
      </w:r>
      <w:proofErr w:type="spellEnd"/>
      <w:r w:rsidRPr="002906A3">
        <w:t xml:space="preserve"> </w:t>
      </w:r>
      <w:proofErr w:type="spellStart"/>
      <w:r w:rsidRPr="002906A3">
        <w:t>relations</w:t>
      </w:r>
      <w:proofErr w:type="spellEnd"/>
      <w:r w:rsidRPr="002906A3">
        <w:t xml:space="preserve">. </w:t>
      </w:r>
      <w:proofErr w:type="spellStart"/>
      <w:r w:rsidRPr="002906A3">
        <w:t>Lastly</w:t>
      </w:r>
      <w:proofErr w:type="spellEnd"/>
      <w:r w:rsidRPr="002906A3">
        <w:t xml:space="preserve">, </w:t>
      </w:r>
      <w:proofErr w:type="spellStart"/>
      <w:r w:rsidRPr="002906A3">
        <w:t>this</w:t>
      </w:r>
      <w:proofErr w:type="spellEnd"/>
      <w:r w:rsidRPr="002906A3">
        <w:t xml:space="preserve"> </w:t>
      </w:r>
      <w:proofErr w:type="spellStart"/>
      <w:r w:rsidRPr="002906A3">
        <w:t>research</w:t>
      </w:r>
      <w:proofErr w:type="spellEnd"/>
      <w:r w:rsidRPr="002906A3">
        <w:t xml:space="preserve"> </w:t>
      </w:r>
      <w:proofErr w:type="spellStart"/>
      <w:r w:rsidRPr="002906A3">
        <w:t>will</w:t>
      </w:r>
      <w:proofErr w:type="spellEnd"/>
      <w:r w:rsidRPr="002906A3">
        <w:t xml:space="preserve"> </w:t>
      </w:r>
      <w:proofErr w:type="spellStart"/>
      <w:r w:rsidRPr="002906A3">
        <w:t>analyze</w:t>
      </w:r>
      <w:proofErr w:type="spellEnd"/>
      <w:r w:rsidRPr="002906A3">
        <w:t xml:space="preserve"> </w:t>
      </w:r>
      <w:proofErr w:type="spellStart"/>
      <w:r w:rsidRPr="002906A3">
        <w:t>the</w:t>
      </w:r>
      <w:proofErr w:type="spellEnd"/>
      <w:r w:rsidRPr="002906A3">
        <w:t xml:space="preserve"> </w:t>
      </w:r>
      <w:proofErr w:type="spellStart"/>
      <w:r w:rsidRPr="002906A3">
        <w:t>silent</w:t>
      </w:r>
      <w:proofErr w:type="spellEnd"/>
      <w:r w:rsidRPr="002906A3">
        <w:t xml:space="preserve"> </w:t>
      </w:r>
      <w:proofErr w:type="spellStart"/>
      <w:r w:rsidRPr="002906A3">
        <w:t>points</w:t>
      </w:r>
      <w:proofErr w:type="spellEnd"/>
      <w:r w:rsidRPr="002906A3">
        <w:t xml:space="preserve"> of </w:t>
      </w:r>
      <w:proofErr w:type="spellStart"/>
      <w:r w:rsidRPr="002906A3">
        <w:t>Beckett’s</w:t>
      </w:r>
      <w:proofErr w:type="spellEnd"/>
      <w:r w:rsidRPr="002906A3">
        <w:t xml:space="preserve"> </w:t>
      </w:r>
      <w:proofErr w:type="spellStart"/>
      <w:r w:rsidRPr="002906A3">
        <w:t>works</w:t>
      </w:r>
      <w:proofErr w:type="spellEnd"/>
      <w:r w:rsidRPr="002906A3">
        <w:t xml:space="preserve"> </w:t>
      </w:r>
      <w:proofErr w:type="spellStart"/>
      <w:r w:rsidRPr="002906A3">
        <w:t>alongside</w:t>
      </w:r>
      <w:proofErr w:type="spellEnd"/>
      <w:r w:rsidRPr="002906A3">
        <w:t xml:space="preserve"> </w:t>
      </w:r>
      <w:proofErr w:type="spellStart"/>
      <w:r w:rsidRPr="002906A3">
        <w:t>Imami’s</w:t>
      </w:r>
      <w:proofErr w:type="spellEnd"/>
      <w:r w:rsidRPr="002906A3">
        <w:t xml:space="preserve"> (2017) </w:t>
      </w:r>
      <w:proofErr w:type="spellStart"/>
      <w:r w:rsidRPr="002906A3">
        <w:t>argument</w:t>
      </w:r>
      <w:proofErr w:type="spellEnd"/>
      <w:r w:rsidRPr="002906A3">
        <w:t xml:space="preserve"> on </w:t>
      </w:r>
      <w:proofErr w:type="spellStart"/>
      <w:r w:rsidRPr="002906A3">
        <w:t>semantical</w:t>
      </w:r>
      <w:proofErr w:type="spellEnd"/>
      <w:r w:rsidRPr="002906A3">
        <w:t xml:space="preserve"> </w:t>
      </w:r>
      <w:proofErr w:type="spellStart"/>
      <w:r w:rsidRPr="002906A3">
        <w:t>meaning</w:t>
      </w:r>
      <w:proofErr w:type="spellEnd"/>
      <w:r w:rsidRPr="002906A3">
        <w:t xml:space="preserve">. </w:t>
      </w:r>
      <w:proofErr w:type="spellStart"/>
      <w:r w:rsidRPr="002906A3">
        <w:t>This</w:t>
      </w:r>
      <w:proofErr w:type="spellEnd"/>
      <w:r w:rsidRPr="002906A3">
        <w:t xml:space="preserve"> </w:t>
      </w:r>
      <w:proofErr w:type="spellStart"/>
      <w:r w:rsidRPr="002906A3">
        <w:t>research</w:t>
      </w:r>
      <w:proofErr w:type="spellEnd"/>
      <w:r w:rsidRPr="002906A3">
        <w:t xml:space="preserve"> </w:t>
      </w:r>
      <w:proofErr w:type="spellStart"/>
      <w:r w:rsidRPr="002906A3">
        <w:t>will</w:t>
      </w:r>
      <w:proofErr w:type="spellEnd"/>
      <w:r w:rsidRPr="002906A3">
        <w:t xml:space="preserve"> </w:t>
      </w:r>
      <w:proofErr w:type="spellStart"/>
      <w:r w:rsidRPr="002906A3">
        <w:t>claim</w:t>
      </w:r>
      <w:proofErr w:type="spellEnd"/>
      <w:r w:rsidRPr="002906A3">
        <w:t xml:space="preserve"> </w:t>
      </w:r>
      <w:proofErr w:type="spellStart"/>
      <w:r w:rsidRPr="002906A3">
        <w:t>that</w:t>
      </w:r>
      <w:proofErr w:type="spellEnd"/>
      <w:r w:rsidRPr="002906A3">
        <w:t xml:space="preserve">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rPr>
          <w:i/>
          <w:iCs/>
        </w:rPr>
        <w:t xml:space="preserve"> </w:t>
      </w:r>
      <w:r w:rsidRPr="002906A3">
        <w:t xml:space="preserve">is not </w:t>
      </w:r>
      <w:proofErr w:type="spellStart"/>
      <w:r w:rsidRPr="002906A3">
        <w:t>just</w:t>
      </w:r>
      <w:proofErr w:type="spellEnd"/>
      <w:r w:rsidRPr="002906A3">
        <w:t xml:space="preserve"> a </w:t>
      </w:r>
      <w:proofErr w:type="spellStart"/>
      <w:r w:rsidRPr="002906A3">
        <w:t>gimmick</w:t>
      </w:r>
      <w:proofErr w:type="spellEnd"/>
      <w:r w:rsidRPr="002906A3">
        <w:t xml:space="preserve"> </w:t>
      </w:r>
      <w:proofErr w:type="spellStart"/>
      <w:r w:rsidRPr="002906A3">
        <w:t>for</w:t>
      </w:r>
      <w:proofErr w:type="spellEnd"/>
      <w:r w:rsidRPr="002906A3">
        <w:t xml:space="preserve"> </w:t>
      </w:r>
      <w:proofErr w:type="spellStart"/>
      <w:r w:rsidRPr="002906A3">
        <w:t>dramatism</w:t>
      </w:r>
      <w:proofErr w:type="spellEnd"/>
      <w:r w:rsidRPr="002906A3">
        <w:t xml:space="preserve"> but </w:t>
      </w:r>
      <w:proofErr w:type="spellStart"/>
      <w:r w:rsidRPr="002906A3">
        <w:t>something</w:t>
      </w:r>
      <w:proofErr w:type="spellEnd"/>
      <w:r w:rsidRPr="002906A3">
        <w:t xml:space="preserve"> of </w:t>
      </w:r>
      <w:proofErr w:type="spellStart"/>
      <w:r w:rsidRPr="002906A3">
        <w:t>deeper</w:t>
      </w:r>
      <w:proofErr w:type="spellEnd"/>
      <w:r w:rsidRPr="002906A3">
        <w:t xml:space="preserve"> </w:t>
      </w:r>
      <w:proofErr w:type="spellStart"/>
      <w:r w:rsidRPr="002906A3">
        <w:t>constituent</w:t>
      </w:r>
      <w:proofErr w:type="spellEnd"/>
      <w:r w:rsidRPr="002906A3">
        <w:t xml:space="preserve"> </w:t>
      </w:r>
      <w:proofErr w:type="spellStart"/>
      <w:r w:rsidRPr="002906A3">
        <w:t>to</w:t>
      </w:r>
      <w:proofErr w:type="spellEnd"/>
      <w:r w:rsidRPr="002906A3">
        <w:t xml:space="preserve"> </w:t>
      </w:r>
      <w:proofErr w:type="spellStart"/>
      <w:r w:rsidRPr="002906A3">
        <w:t>man</w:t>
      </w:r>
      <w:proofErr w:type="spellEnd"/>
      <w:r w:rsidRPr="002906A3">
        <w:t xml:space="preserve">, </w:t>
      </w:r>
      <w:proofErr w:type="spellStart"/>
      <w:r w:rsidRPr="002906A3">
        <w:t>including</w:t>
      </w:r>
      <w:proofErr w:type="spellEnd"/>
      <w:r w:rsidRPr="002906A3">
        <w:t xml:space="preserve"> </w:t>
      </w:r>
      <w:proofErr w:type="spellStart"/>
      <w:r w:rsidRPr="002906A3">
        <w:t>absence</w:t>
      </w:r>
      <w:proofErr w:type="spellEnd"/>
      <w:r w:rsidRPr="002906A3">
        <w:t xml:space="preserve">, </w:t>
      </w:r>
      <w:proofErr w:type="spellStart"/>
      <w:r w:rsidRPr="002906A3">
        <w:t>ambiguity</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reality</w:t>
      </w:r>
      <w:proofErr w:type="spellEnd"/>
      <w:r w:rsidRPr="002906A3">
        <w:t xml:space="preserve"> of silence </w:t>
      </w:r>
      <w:proofErr w:type="spellStart"/>
      <w:r w:rsidRPr="002906A3">
        <w:t>itself</w:t>
      </w:r>
      <w:proofErr w:type="spellEnd"/>
      <w:r w:rsidRPr="002906A3">
        <w:t xml:space="preserve">. </w:t>
      </w:r>
      <w:proofErr w:type="spellStart"/>
      <w:r w:rsidRPr="002906A3">
        <w:t>Ultimately</w:t>
      </w:r>
      <w:proofErr w:type="spellEnd"/>
      <w:r w:rsidRPr="002906A3">
        <w:t xml:space="preserve">, </w:t>
      </w:r>
      <w:proofErr w:type="spellStart"/>
      <w:r w:rsidRPr="002906A3">
        <w:t>this</w:t>
      </w:r>
      <w:proofErr w:type="spellEnd"/>
      <w:r w:rsidRPr="002906A3">
        <w:t xml:space="preserve"> </w:t>
      </w:r>
      <w:proofErr w:type="spellStart"/>
      <w:r w:rsidRPr="002906A3">
        <w:t>research</w:t>
      </w:r>
      <w:proofErr w:type="spellEnd"/>
      <w:r w:rsidRPr="002906A3">
        <w:t xml:space="preserve"> </w:t>
      </w:r>
      <w:proofErr w:type="spellStart"/>
      <w:r w:rsidRPr="002906A3">
        <w:t>analysis</w:t>
      </w:r>
      <w:proofErr w:type="spellEnd"/>
      <w:r w:rsidRPr="002906A3">
        <w:t xml:space="preserve"> </w:t>
      </w:r>
      <w:proofErr w:type="spellStart"/>
      <w:r w:rsidRPr="002906A3">
        <w:t>states</w:t>
      </w:r>
      <w:proofErr w:type="spellEnd"/>
      <w:r w:rsidRPr="002906A3">
        <w:t xml:space="preserve"> </w:t>
      </w:r>
      <w:proofErr w:type="spellStart"/>
      <w:r w:rsidRPr="002906A3">
        <w:t>that</w:t>
      </w:r>
      <w:proofErr w:type="spellEnd"/>
      <w:r w:rsidRPr="002906A3">
        <w:t xml:space="preserve"> silence </w:t>
      </w:r>
      <w:proofErr w:type="gramStart"/>
      <w:r w:rsidRPr="002906A3">
        <w:t xml:space="preserve">in  </w:t>
      </w:r>
      <w:proofErr w:type="spellStart"/>
      <w:r w:rsidRPr="002906A3">
        <w:rPr>
          <w:i/>
          <w:iCs/>
        </w:rPr>
        <w:t>Waiting</w:t>
      </w:r>
      <w:proofErr w:type="spellEnd"/>
      <w:proofErr w:type="gram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serves</w:t>
      </w:r>
      <w:proofErr w:type="spellEnd"/>
      <w:r w:rsidRPr="002906A3">
        <w:t xml:space="preserve"> a </w:t>
      </w:r>
      <w:proofErr w:type="spellStart"/>
      <w:r w:rsidRPr="002906A3">
        <w:t>phenomenological</w:t>
      </w:r>
      <w:proofErr w:type="spellEnd"/>
      <w:r w:rsidRPr="002906A3">
        <w:t xml:space="preserve"> </w:t>
      </w:r>
      <w:proofErr w:type="spellStart"/>
      <w:r w:rsidRPr="002906A3">
        <w:t>perspective</w:t>
      </w:r>
      <w:proofErr w:type="spellEnd"/>
      <w:r w:rsidRPr="002906A3">
        <w:t xml:space="preserve"> in </w:t>
      </w:r>
      <w:proofErr w:type="spellStart"/>
      <w:r w:rsidRPr="002906A3">
        <w:t>contrast</w:t>
      </w:r>
      <w:proofErr w:type="spellEnd"/>
      <w:r w:rsidRPr="002906A3">
        <w:t xml:space="preserve"> </w:t>
      </w:r>
      <w:proofErr w:type="spellStart"/>
      <w:r w:rsidRPr="002906A3">
        <w:t>to</w:t>
      </w:r>
      <w:proofErr w:type="spellEnd"/>
      <w:r w:rsidRPr="002906A3">
        <w:t xml:space="preserve"> </w:t>
      </w:r>
      <w:proofErr w:type="spellStart"/>
      <w:r w:rsidRPr="002906A3">
        <w:t>humanity</w:t>
      </w:r>
      <w:proofErr w:type="spellEnd"/>
      <w:r w:rsidRPr="002906A3">
        <w:t>.</w:t>
      </w:r>
    </w:p>
    <w:p w14:paraId="727A2BE1" w14:textId="77777777" w:rsidR="001E7189" w:rsidRPr="002906A3" w:rsidRDefault="001E7189" w:rsidP="00BA67A6">
      <w:pPr>
        <w:jc w:val="both"/>
      </w:pPr>
    </w:p>
    <w:p w14:paraId="53F24DE0" w14:textId="1F8F0AB9" w:rsidR="00C70E93" w:rsidRDefault="001E7189" w:rsidP="00BA67A6">
      <w:proofErr w:type="spellStart"/>
      <w:proofErr w:type="gramStart"/>
      <w:r w:rsidRPr="002906A3">
        <w:rPr>
          <w:b/>
          <w:bCs/>
        </w:rPr>
        <w:t>Key</w:t>
      </w:r>
      <w:r w:rsidR="00BF3875">
        <w:rPr>
          <w:b/>
          <w:bCs/>
        </w:rPr>
        <w:t>w</w:t>
      </w:r>
      <w:r w:rsidRPr="002906A3">
        <w:rPr>
          <w:b/>
          <w:bCs/>
        </w:rPr>
        <w:t>ords</w:t>
      </w:r>
      <w:proofErr w:type="spellEnd"/>
      <w:r w:rsidRPr="002906A3">
        <w:rPr>
          <w:b/>
          <w:bCs/>
        </w:rPr>
        <w:t xml:space="preserve">: </w:t>
      </w:r>
      <w:r w:rsidRPr="002906A3">
        <w:t xml:space="preserve"> Silence</w:t>
      </w:r>
      <w:proofErr w:type="gramEnd"/>
      <w:r w:rsidRPr="002906A3">
        <w:t xml:space="preserve">, </w:t>
      </w:r>
      <w:proofErr w:type="spellStart"/>
      <w:r w:rsidRPr="002906A3">
        <w:t>absurdism</w:t>
      </w:r>
      <w:proofErr w:type="spellEnd"/>
      <w:r w:rsidRPr="002906A3">
        <w:t xml:space="preserve">, </w:t>
      </w:r>
      <w:proofErr w:type="spellStart"/>
      <w:r w:rsidRPr="002906A3">
        <w:t>existentialism</w:t>
      </w:r>
      <w:proofErr w:type="spellEnd"/>
      <w:r w:rsidRPr="002906A3">
        <w:t xml:space="preserve">, </w:t>
      </w:r>
      <w:proofErr w:type="spellStart"/>
      <w:r w:rsidRPr="002906A3">
        <w:t>communication</w:t>
      </w:r>
      <w:proofErr w:type="spellEnd"/>
      <w:r w:rsidRPr="002906A3">
        <w:t xml:space="preserve"> </w:t>
      </w:r>
      <w:proofErr w:type="spellStart"/>
      <w:r w:rsidRPr="002906A3">
        <w:t>breakdown</w:t>
      </w:r>
      <w:proofErr w:type="spellEnd"/>
      <w:r w:rsidRPr="002906A3">
        <w:t xml:space="preserve">, </w:t>
      </w:r>
      <w:proofErr w:type="spellStart"/>
      <w:r w:rsidRPr="002906A3">
        <w:t>phenomenology</w:t>
      </w:r>
      <w:proofErr w:type="spellEnd"/>
      <w:r w:rsidRPr="002906A3">
        <w:t xml:space="preserve"> of silence</w:t>
      </w:r>
    </w:p>
    <w:p w14:paraId="440B2BE4" w14:textId="43C79546" w:rsidR="008F3205" w:rsidRPr="002906A3" w:rsidRDefault="008F3205" w:rsidP="00BA67A6">
      <w:pPr>
        <w:autoSpaceDE/>
        <w:autoSpaceDN/>
      </w:pPr>
    </w:p>
    <w:p w14:paraId="3370A490" w14:textId="77777777" w:rsidR="001E7189" w:rsidRPr="002906A3" w:rsidRDefault="001E7189" w:rsidP="00BA67A6">
      <w:pPr>
        <w:jc w:val="center"/>
        <w:rPr>
          <w:b/>
          <w:bCs/>
          <w:i/>
          <w:iCs/>
        </w:rPr>
      </w:pPr>
      <w:proofErr w:type="spellStart"/>
      <w:r w:rsidRPr="002906A3">
        <w:rPr>
          <w:b/>
          <w:bCs/>
        </w:rPr>
        <w:t>The</w:t>
      </w:r>
      <w:proofErr w:type="spellEnd"/>
      <w:r w:rsidRPr="002906A3">
        <w:rPr>
          <w:b/>
          <w:bCs/>
        </w:rPr>
        <w:t xml:space="preserve"> </w:t>
      </w:r>
      <w:proofErr w:type="spellStart"/>
      <w:r w:rsidRPr="002906A3">
        <w:rPr>
          <w:b/>
          <w:bCs/>
        </w:rPr>
        <w:t>Significance</w:t>
      </w:r>
      <w:proofErr w:type="spellEnd"/>
      <w:r w:rsidRPr="002906A3">
        <w:rPr>
          <w:b/>
          <w:bCs/>
        </w:rPr>
        <w:t xml:space="preserve"> of Silence in </w:t>
      </w:r>
      <w:proofErr w:type="spellStart"/>
      <w:r w:rsidRPr="002906A3">
        <w:rPr>
          <w:b/>
          <w:bCs/>
          <w:i/>
          <w:iCs/>
        </w:rPr>
        <w:t>Waiting</w:t>
      </w:r>
      <w:proofErr w:type="spellEnd"/>
      <w:r w:rsidRPr="002906A3">
        <w:rPr>
          <w:b/>
          <w:bCs/>
          <w:i/>
          <w:iCs/>
        </w:rPr>
        <w:t xml:space="preserve"> </w:t>
      </w:r>
      <w:proofErr w:type="spellStart"/>
      <w:r w:rsidRPr="002906A3">
        <w:rPr>
          <w:b/>
          <w:bCs/>
          <w:i/>
          <w:iCs/>
        </w:rPr>
        <w:t>for</w:t>
      </w:r>
      <w:proofErr w:type="spellEnd"/>
      <w:r w:rsidRPr="002906A3">
        <w:rPr>
          <w:b/>
          <w:bCs/>
          <w:i/>
          <w:iCs/>
        </w:rPr>
        <w:t xml:space="preserve"> </w:t>
      </w:r>
      <w:proofErr w:type="spellStart"/>
      <w:r w:rsidRPr="002906A3">
        <w:rPr>
          <w:b/>
          <w:bCs/>
          <w:i/>
          <w:iCs/>
        </w:rPr>
        <w:t>Godot</w:t>
      </w:r>
      <w:proofErr w:type="spellEnd"/>
    </w:p>
    <w:p w14:paraId="0365F09F" w14:textId="77777777" w:rsidR="001E7189" w:rsidRPr="002906A3" w:rsidRDefault="001E7189" w:rsidP="00BA67A6">
      <w:pPr>
        <w:jc w:val="center"/>
        <w:rPr>
          <w:b/>
          <w:bCs/>
          <w:i/>
          <w:iCs/>
        </w:rPr>
      </w:pPr>
    </w:p>
    <w:p w14:paraId="78CCC219" w14:textId="77777777" w:rsidR="001E7189" w:rsidRPr="002906A3" w:rsidRDefault="001E7189" w:rsidP="00BA67A6">
      <w:pPr>
        <w:jc w:val="both"/>
      </w:pP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is an </w:t>
      </w:r>
      <w:proofErr w:type="spellStart"/>
      <w:r w:rsidRPr="002906A3">
        <w:t>absurdist</w:t>
      </w:r>
      <w:proofErr w:type="spellEnd"/>
      <w:r w:rsidRPr="002906A3">
        <w:t xml:space="preserve"> </w:t>
      </w:r>
      <w:proofErr w:type="spellStart"/>
      <w:r w:rsidRPr="002906A3">
        <w:t>play</w:t>
      </w:r>
      <w:proofErr w:type="spellEnd"/>
      <w:r w:rsidRPr="002906A3">
        <w:t xml:space="preserve"> </w:t>
      </w:r>
      <w:proofErr w:type="spellStart"/>
      <w:r w:rsidRPr="002906A3">
        <w:t>by</w:t>
      </w:r>
      <w:proofErr w:type="spellEnd"/>
      <w:r w:rsidRPr="002906A3">
        <w:t xml:space="preserve"> Samuel Beckett, </w:t>
      </w:r>
      <w:proofErr w:type="spellStart"/>
      <w:r w:rsidRPr="002906A3">
        <w:t>first</w:t>
      </w:r>
      <w:proofErr w:type="spellEnd"/>
      <w:r w:rsidRPr="002906A3">
        <w:t xml:space="preserve"> </w:t>
      </w:r>
      <w:proofErr w:type="spellStart"/>
      <w:r w:rsidRPr="002906A3">
        <w:t>performed</w:t>
      </w:r>
      <w:proofErr w:type="spellEnd"/>
      <w:r w:rsidRPr="002906A3">
        <w:t xml:space="preserve"> in 1953. </w:t>
      </w:r>
      <w:proofErr w:type="spellStart"/>
      <w:r w:rsidRPr="002906A3">
        <w:t>The</w:t>
      </w:r>
      <w:proofErr w:type="spellEnd"/>
      <w:r w:rsidRPr="002906A3">
        <w:t xml:space="preserve"> </w:t>
      </w:r>
      <w:proofErr w:type="spellStart"/>
      <w:r w:rsidRPr="002906A3">
        <w:t>story</w:t>
      </w:r>
      <w:proofErr w:type="spellEnd"/>
      <w:r w:rsidRPr="002906A3">
        <w:t xml:space="preserve"> </w:t>
      </w:r>
      <w:proofErr w:type="spellStart"/>
      <w:r w:rsidRPr="002906A3">
        <w:t>follows</w:t>
      </w:r>
      <w:proofErr w:type="spellEnd"/>
      <w:r w:rsidRPr="002906A3">
        <w:t xml:space="preserve"> two </w:t>
      </w:r>
      <w:proofErr w:type="spellStart"/>
      <w:r w:rsidRPr="002906A3">
        <w:t>tramps</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who</w:t>
      </w:r>
      <w:proofErr w:type="spellEnd"/>
      <w:r w:rsidRPr="002906A3">
        <w:t xml:space="preserve"> </w:t>
      </w:r>
      <w:proofErr w:type="spellStart"/>
      <w:r w:rsidRPr="002906A3">
        <w:t>wait</w:t>
      </w:r>
      <w:proofErr w:type="spellEnd"/>
      <w:r w:rsidRPr="002906A3">
        <w:t xml:space="preserve"> on a </w:t>
      </w:r>
      <w:proofErr w:type="spellStart"/>
      <w:r w:rsidRPr="002906A3">
        <w:t>barren</w:t>
      </w:r>
      <w:proofErr w:type="spellEnd"/>
      <w:r w:rsidRPr="002906A3">
        <w:t xml:space="preserve"> </w:t>
      </w:r>
      <w:proofErr w:type="spellStart"/>
      <w:r w:rsidRPr="002906A3">
        <w:t>road</w:t>
      </w:r>
      <w:proofErr w:type="spellEnd"/>
      <w:r w:rsidRPr="002906A3">
        <w:t xml:space="preserve"> </w:t>
      </w:r>
      <w:proofErr w:type="spellStart"/>
      <w:r w:rsidRPr="002906A3">
        <w:t>near</w:t>
      </w:r>
      <w:proofErr w:type="spellEnd"/>
      <w:r w:rsidRPr="002906A3">
        <w:t xml:space="preserve"> a </w:t>
      </w:r>
      <w:proofErr w:type="spellStart"/>
      <w:r w:rsidRPr="002906A3">
        <w:t>leafless</w:t>
      </w:r>
      <w:proofErr w:type="spellEnd"/>
      <w:r w:rsidRPr="002906A3">
        <w:t xml:space="preserve"> </w:t>
      </w:r>
      <w:proofErr w:type="spellStart"/>
      <w:r w:rsidRPr="002906A3">
        <w:t>tree</w:t>
      </w:r>
      <w:proofErr w:type="spellEnd"/>
      <w:r w:rsidRPr="002906A3">
        <w:t xml:space="preserve"> </w:t>
      </w:r>
      <w:proofErr w:type="spellStart"/>
      <w:r w:rsidRPr="002906A3">
        <w:t>for</w:t>
      </w:r>
      <w:proofErr w:type="spellEnd"/>
      <w:r w:rsidRPr="002906A3">
        <w:t xml:space="preserve"> a </w:t>
      </w:r>
      <w:proofErr w:type="spellStart"/>
      <w:r w:rsidRPr="002906A3">
        <w:t>mysterious</w:t>
      </w:r>
      <w:proofErr w:type="spellEnd"/>
      <w:r w:rsidRPr="002906A3">
        <w:t xml:space="preserve"> </w:t>
      </w:r>
      <w:proofErr w:type="spellStart"/>
      <w:r w:rsidRPr="002906A3">
        <w:t>figure</w:t>
      </w:r>
      <w:proofErr w:type="spellEnd"/>
      <w:r w:rsidRPr="002906A3">
        <w:t xml:space="preserve"> </w:t>
      </w:r>
      <w:proofErr w:type="spellStart"/>
      <w:r w:rsidRPr="002906A3">
        <w:t>named</w:t>
      </w:r>
      <w:proofErr w:type="spellEnd"/>
      <w:r w:rsidRPr="002906A3">
        <w:t xml:space="preserve"> </w:t>
      </w:r>
      <w:proofErr w:type="spellStart"/>
      <w:r w:rsidRPr="002906A3">
        <w:t>Godot</w:t>
      </w:r>
      <w:proofErr w:type="spellEnd"/>
      <w:r w:rsidRPr="002906A3">
        <w:t xml:space="preserve">, </w:t>
      </w:r>
      <w:proofErr w:type="spellStart"/>
      <w:r w:rsidRPr="002906A3">
        <w:t>who</w:t>
      </w:r>
      <w:proofErr w:type="spellEnd"/>
      <w:r w:rsidRPr="002906A3">
        <w:t xml:space="preserve"> </w:t>
      </w:r>
      <w:proofErr w:type="spellStart"/>
      <w:r w:rsidRPr="002906A3">
        <w:t>never</w:t>
      </w:r>
      <w:proofErr w:type="spellEnd"/>
      <w:r w:rsidRPr="002906A3">
        <w:t xml:space="preserve"> </w:t>
      </w:r>
      <w:proofErr w:type="spellStart"/>
      <w:r w:rsidRPr="002906A3">
        <w:t>arrives</w:t>
      </w:r>
      <w:proofErr w:type="spellEnd"/>
      <w:r w:rsidRPr="002906A3">
        <w:t xml:space="preserve">. As they </w:t>
      </w:r>
      <w:proofErr w:type="spellStart"/>
      <w:r w:rsidRPr="002906A3">
        <w:t>wait</w:t>
      </w:r>
      <w:proofErr w:type="spellEnd"/>
      <w:r w:rsidRPr="002906A3">
        <w:t xml:space="preserve">, they </w:t>
      </w:r>
      <w:proofErr w:type="spellStart"/>
      <w:r w:rsidRPr="002906A3">
        <w:t>engage</w:t>
      </w:r>
      <w:proofErr w:type="spellEnd"/>
      <w:r w:rsidRPr="002906A3">
        <w:t xml:space="preserve"> in </w:t>
      </w:r>
      <w:proofErr w:type="spellStart"/>
      <w:r w:rsidRPr="002906A3">
        <w:t>repetitive</w:t>
      </w:r>
      <w:proofErr w:type="spellEnd"/>
      <w:r w:rsidRPr="002906A3">
        <w:t xml:space="preserve"> </w:t>
      </w:r>
      <w:proofErr w:type="spellStart"/>
      <w:r w:rsidRPr="002906A3">
        <w:t>and</w:t>
      </w:r>
      <w:proofErr w:type="spellEnd"/>
      <w:r w:rsidRPr="002906A3">
        <w:t xml:space="preserve"> </w:t>
      </w:r>
      <w:proofErr w:type="spellStart"/>
      <w:r w:rsidRPr="002906A3">
        <w:t>often</w:t>
      </w:r>
      <w:proofErr w:type="spellEnd"/>
      <w:r w:rsidRPr="002906A3">
        <w:t xml:space="preserve"> </w:t>
      </w:r>
      <w:proofErr w:type="spellStart"/>
      <w:r w:rsidRPr="002906A3">
        <w:t>meaningless</w:t>
      </w:r>
      <w:proofErr w:type="spellEnd"/>
      <w:r w:rsidRPr="002906A3">
        <w:t xml:space="preserve"> </w:t>
      </w:r>
      <w:proofErr w:type="spellStart"/>
      <w:r w:rsidRPr="002906A3">
        <w:t>conversations</w:t>
      </w:r>
      <w:proofErr w:type="spellEnd"/>
      <w:r w:rsidRPr="002906A3">
        <w:t xml:space="preserve">, </w:t>
      </w:r>
      <w:proofErr w:type="spellStart"/>
      <w:r w:rsidRPr="002906A3">
        <w:t>highlighting</w:t>
      </w:r>
      <w:proofErr w:type="spellEnd"/>
      <w:r w:rsidRPr="002906A3">
        <w:t xml:space="preserve"> </w:t>
      </w:r>
      <w:proofErr w:type="spellStart"/>
      <w:r w:rsidRPr="002906A3">
        <w:t>themes</w:t>
      </w:r>
      <w:proofErr w:type="spellEnd"/>
      <w:r w:rsidRPr="002906A3">
        <w:t xml:space="preserve"> of </w:t>
      </w:r>
      <w:proofErr w:type="spellStart"/>
      <w:r w:rsidRPr="002906A3">
        <w:t>existential</w:t>
      </w:r>
      <w:proofErr w:type="spellEnd"/>
      <w:r w:rsidRPr="002906A3">
        <w:t xml:space="preserve"> </w:t>
      </w:r>
      <w:proofErr w:type="spellStart"/>
      <w:r w:rsidRPr="002906A3">
        <w:t>uncertainty</w:t>
      </w:r>
      <w:proofErr w:type="spellEnd"/>
      <w:r w:rsidRPr="002906A3">
        <w:t xml:space="preserve">, time,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human</w:t>
      </w:r>
      <w:proofErr w:type="spellEnd"/>
      <w:r w:rsidRPr="002906A3">
        <w:t xml:space="preserve"> </w:t>
      </w:r>
      <w:proofErr w:type="spellStart"/>
      <w:r w:rsidRPr="002906A3">
        <w:t>condition</w:t>
      </w:r>
      <w:proofErr w:type="spellEnd"/>
      <w:r w:rsidRPr="002906A3">
        <w:t xml:space="preserve">. </w:t>
      </w:r>
      <w:proofErr w:type="spellStart"/>
      <w:r w:rsidRPr="002906A3">
        <w:t>Their</w:t>
      </w:r>
      <w:proofErr w:type="spellEnd"/>
      <w:r w:rsidRPr="002906A3">
        <w:t xml:space="preserve"> </w:t>
      </w:r>
      <w:proofErr w:type="spellStart"/>
      <w:r w:rsidRPr="002906A3">
        <w:t>dialogue</w:t>
      </w:r>
      <w:proofErr w:type="spellEnd"/>
      <w:r w:rsidRPr="002906A3">
        <w:t xml:space="preserve"> is </w:t>
      </w:r>
      <w:proofErr w:type="spellStart"/>
      <w:r w:rsidRPr="002906A3">
        <w:t>filled</w:t>
      </w:r>
      <w:proofErr w:type="spellEnd"/>
      <w:r w:rsidRPr="002906A3">
        <w:t xml:space="preserve"> </w:t>
      </w:r>
      <w:proofErr w:type="spellStart"/>
      <w:r w:rsidRPr="002906A3">
        <w:t>with</w:t>
      </w:r>
      <w:proofErr w:type="spellEnd"/>
      <w:r w:rsidRPr="002906A3">
        <w:t xml:space="preserve"> </w:t>
      </w:r>
      <w:proofErr w:type="spellStart"/>
      <w:r w:rsidRPr="002906A3">
        <w:t>humor</w:t>
      </w:r>
      <w:proofErr w:type="spellEnd"/>
      <w:r w:rsidRPr="002906A3">
        <w:t xml:space="preserve">, </w:t>
      </w:r>
      <w:proofErr w:type="spellStart"/>
      <w:r w:rsidRPr="002906A3">
        <w:t>frustration</w:t>
      </w:r>
      <w:proofErr w:type="spellEnd"/>
      <w:r w:rsidRPr="002906A3">
        <w:t xml:space="preserve">, </w:t>
      </w:r>
      <w:proofErr w:type="spellStart"/>
      <w:r w:rsidRPr="002906A3">
        <w:t>and</w:t>
      </w:r>
      <w:proofErr w:type="spellEnd"/>
      <w:r w:rsidRPr="002906A3">
        <w:t xml:space="preserve"> </w:t>
      </w:r>
      <w:proofErr w:type="spellStart"/>
      <w:r w:rsidRPr="002906A3">
        <w:t>philosophical</w:t>
      </w:r>
      <w:proofErr w:type="spellEnd"/>
      <w:r w:rsidRPr="002906A3">
        <w:t xml:space="preserve"> </w:t>
      </w:r>
      <w:proofErr w:type="spellStart"/>
      <w:r w:rsidRPr="002906A3">
        <w:t>musings</w:t>
      </w:r>
      <w:proofErr w:type="spellEnd"/>
      <w:r w:rsidRPr="002906A3">
        <w:t xml:space="preserve">, </w:t>
      </w:r>
      <w:proofErr w:type="spellStart"/>
      <w:r w:rsidRPr="002906A3">
        <w:t>emphasizing</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their</w:t>
      </w:r>
      <w:proofErr w:type="spellEnd"/>
      <w:r w:rsidRPr="002906A3">
        <w:t xml:space="preserve"> </w:t>
      </w:r>
      <w:proofErr w:type="spellStart"/>
      <w:r w:rsidRPr="002906A3">
        <w:t>situation</w:t>
      </w:r>
      <w:proofErr w:type="spellEnd"/>
      <w:r w:rsidRPr="002906A3">
        <w:t>.</w:t>
      </w:r>
    </w:p>
    <w:p w14:paraId="623F3E14" w14:textId="77777777" w:rsidR="001E7189" w:rsidRPr="002906A3" w:rsidRDefault="001E7189" w:rsidP="00BA67A6">
      <w:pPr>
        <w:jc w:val="both"/>
      </w:pPr>
    </w:p>
    <w:p w14:paraId="2F3D6EFE" w14:textId="77777777" w:rsidR="001E7189" w:rsidRPr="002906A3" w:rsidRDefault="001E7189" w:rsidP="00BA67A6">
      <w:pPr>
        <w:jc w:val="both"/>
      </w:pPr>
      <w:r w:rsidRPr="002906A3">
        <w:t xml:space="preserve">Silence in Samuel </w:t>
      </w:r>
      <w:proofErr w:type="spellStart"/>
      <w:r w:rsidRPr="002906A3">
        <w:t>Beckett’s</w:t>
      </w:r>
      <w:proofErr w:type="spellEnd"/>
      <w:r w:rsidRPr="002906A3">
        <w:t xml:space="preserve">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plays</w:t>
      </w:r>
      <w:proofErr w:type="spellEnd"/>
      <w:r w:rsidRPr="002906A3">
        <w:t xml:space="preserve"> a </w:t>
      </w:r>
      <w:proofErr w:type="spellStart"/>
      <w:r w:rsidRPr="002906A3">
        <w:t>key</w:t>
      </w:r>
      <w:proofErr w:type="spellEnd"/>
      <w:r w:rsidRPr="002906A3">
        <w:t xml:space="preserve"> role in </w:t>
      </w:r>
      <w:proofErr w:type="spellStart"/>
      <w:r w:rsidRPr="002906A3">
        <w:t>the</w:t>
      </w:r>
      <w:proofErr w:type="spellEnd"/>
      <w:r w:rsidRPr="002906A3">
        <w:t xml:space="preserve"> </w:t>
      </w:r>
      <w:proofErr w:type="spellStart"/>
      <w:r w:rsidRPr="002906A3">
        <w:t>way</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communicate</w:t>
      </w:r>
      <w:proofErr w:type="spellEnd"/>
      <w:r w:rsidRPr="002906A3">
        <w:t xml:space="preserve"> </w:t>
      </w:r>
      <w:proofErr w:type="spellStart"/>
      <w:r w:rsidRPr="002906A3">
        <w:t>with</w:t>
      </w:r>
      <w:proofErr w:type="spellEnd"/>
      <w:r w:rsidRPr="002906A3">
        <w:t xml:space="preserve"> </w:t>
      </w:r>
      <w:proofErr w:type="spellStart"/>
      <w:r w:rsidRPr="002906A3">
        <w:t>each</w:t>
      </w:r>
      <w:proofErr w:type="spellEnd"/>
      <w:r w:rsidRPr="002906A3">
        <w:t xml:space="preserve"> </w:t>
      </w:r>
      <w:proofErr w:type="spellStart"/>
      <w:r w:rsidRPr="002906A3">
        <w:t>other</w:t>
      </w:r>
      <w:proofErr w:type="spellEnd"/>
      <w:r w:rsidRPr="002906A3">
        <w:t xml:space="preserve">. </w:t>
      </w:r>
      <w:proofErr w:type="spellStart"/>
      <w:r w:rsidRPr="002906A3">
        <w:t>It</w:t>
      </w:r>
      <w:proofErr w:type="spellEnd"/>
      <w:r w:rsidRPr="002906A3">
        <w:t xml:space="preserve"> is not </w:t>
      </w:r>
      <w:proofErr w:type="spellStart"/>
      <w:r w:rsidRPr="002906A3">
        <w:t>just</w:t>
      </w:r>
      <w:proofErr w:type="spellEnd"/>
      <w:r w:rsidRPr="002906A3">
        <w:t xml:space="preserve"> </w:t>
      </w:r>
      <w:proofErr w:type="spellStart"/>
      <w:r w:rsidRPr="002906A3">
        <w:t>the</w:t>
      </w:r>
      <w:proofErr w:type="spellEnd"/>
      <w:r w:rsidRPr="002906A3">
        <w:t xml:space="preserve"> </w:t>
      </w:r>
      <w:proofErr w:type="spellStart"/>
      <w:r w:rsidRPr="002906A3">
        <w:t>lack</w:t>
      </w:r>
      <w:proofErr w:type="spellEnd"/>
      <w:r w:rsidRPr="002906A3">
        <w:t xml:space="preserve"> of </w:t>
      </w:r>
      <w:proofErr w:type="spellStart"/>
      <w:r w:rsidRPr="002906A3">
        <w:t>sound</w:t>
      </w:r>
      <w:proofErr w:type="spellEnd"/>
      <w:r w:rsidRPr="002906A3">
        <w:t xml:space="preserve">; </w:t>
      </w:r>
      <w:proofErr w:type="spellStart"/>
      <w:r w:rsidRPr="002906A3">
        <w:t>instead</w:t>
      </w:r>
      <w:proofErr w:type="spellEnd"/>
      <w:r w:rsidRPr="002906A3">
        <w:t xml:space="preserve">, it </w:t>
      </w:r>
      <w:proofErr w:type="spellStart"/>
      <w:r w:rsidRPr="002906A3">
        <w:t>constitutes</w:t>
      </w:r>
      <w:proofErr w:type="spellEnd"/>
      <w:r w:rsidRPr="002906A3">
        <w:t xml:space="preserve"> an </w:t>
      </w:r>
      <w:proofErr w:type="spellStart"/>
      <w:r w:rsidRPr="002906A3">
        <w:t>important</w:t>
      </w:r>
      <w:proofErr w:type="spellEnd"/>
      <w:r w:rsidRPr="002906A3">
        <w:t xml:space="preserve"> </w:t>
      </w:r>
      <w:proofErr w:type="spellStart"/>
      <w:r w:rsidRPr="002906A3">
        <w:lastRenderedPageBreak/>
        <w:t>part</w:t>
      </w:r>
      <w:proofErr w:type="spellEnd"/>
      <w:r w:rsidRPr="002906A3">
        <w:t xml:space="preserve"> of </w:t>
      </w:r>
      <w:proofErr w:type="spellStart"/>
      <w:r w:rsidRPr="002906A3">
        <w:t>their</w:t>
      </w:r>
      <w:proofErr w:type="spellEnd"/>
      <w:r w:rsidRPr="002906A3">
        <w:t xml:space="preserve"> </w:t>
      </w:r>
      <w:proofErr w:type="spellStart"/>
      <w:r w:rsidRPr="002906A3">
        <w:t>conversations</w:t>
      </w:r>
      <w:proofErr w:type="spellEnd"/>
      <w:r w:rsidRPr="002906A3">
        <w:t xml:space="preserve">, </w:t>
      </w:r>
      <w:proofErr w:type="spellStart"/>
      <w:r w:rsidRPr="002906A3">
        <w:t>revealing</w:t>
      </w:r>
      <w:proofErr w:type="spellEnd"/>
      <w:r w:rsidRPr="002906A3">
        <w:t xml:space="preserve"> </w:t>
      </w:r>
      <w:proofErr w:type="spellStart"/>
      <w:r w:rsidRPr="002906A3">
        <w:t>deeper</w:t>
      </w:r>
      <w:proofErr w:type="spellEnd"/>
      <w:r w:rsidRPr="002906A3">
        <w:t xml:space="preserve"> </w:t>
      </w:r>
      <w:proofErr w:type="spellStart"/>
      <w:r w:rsidRPr="002906A3">
        <w:t>meanings</w:t>
      </w:r>
      <w:proofErr w:type="spellEnd"/>
      <w:r w:rsidRPr="002906A3">
        <w:t xml:space="preserve">. </w:t>
      </w:r>
      <w:proofErr w:type="spellStart"/>
      <w:r w:rsidRPr="002906A3">
        <w:t>For</w:t>
      </w:r>
      <w:proofErr w:type="spellEnd"/>
      <w:r w:rsidRPr="002906A3">
        <w:t xml:space="preserve"> </w:t>
      </w:r>
      <w:proofErr w:type="spellStart"/>
      <w:r w:rsidRPr="002906A3">
        <w:t>example</w:t>
      </w:r>
      <w:proofErr w:type="spellEnd"/>
      <w:r w:rsidRPr="002906A3">
        <w:t xml:space="preserve">, </w:t>
      </w:r>
      <w:proofErr w:type="spellStart"/>
      <w:r w:rsidRPr="002906A3">
        <w:t>Kouachi</w:t>
      </w:r>
      <w:proofErr w:type="spellEnd"/>
      <w:r w:rsidRPr="002906A3">
        <w:t xml:space="preserve"> (2018) </w:t>
      </w:r>
      <w:proofErr w:type="spellStart"/>
      <w:r w:rsidRPr="002906A3">
        <w:t>stresses</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breaks</w:t>
      </w:r>
      <w:proofErr w:type="spellEnd"/>
      <w:r w:rsidRPr="002906A3">
        <w:t xml:space="preserve"> </w:t>
      </w:r>
      <w:proofErr w:type="spellStart"/>
      <w:r w:rsidRPr="002906A3">
        <w:t>and</w:t>
      </w:r>
      <w:proofErr w:type="spellEnd"/>
      <w:r w:rsidRPr="002906A3">
        <w:t xml:space="preserve"> </w:t>
      </w:r>
      <w:proofErr w:type="spellStart"/>
      <w:r w:rsidRPr="002906A3">
        <w:t>moments</w:t>
      </w:r>
      <w:proofErr w:type="spellEnd"/>
      <w:r w:rsidRPr="002906A3">
        <w:t xml:space="preserve"> of silence </w:t>
      </w:r>
      <w:proofErr w:type="spellStart"/>
      <w:r w:rsidRPr="002906A3">
        <w:t>show</w:t>
      </w:r>
      <w:proofErr w:type="spellEnd"/>
      <w:r w:rsidRPr="002906A3">
        <w:t xml:space="preserve"> how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struggle</w:t>
      </w:r>
      <w:proofErr w:type="spellEnd"/>
      <w:r w:rsidRPr="002906A3">
        <w:t xml:space="preserve"> </w:t>
      </w:r>
      <w:proofErr w:type="spellStart"/>
      <w:r w:rsidRPr="002906A3">
        <w:t>to</w:t>
      </w:r>
      <w:proofErr w:type="spellEnd"/>
      <w:r w:rsidRPr="002906A3">
        <w:t xml:space="preserve"> </w:t>
      </w:r>
      <w:proofErr w:type="spellStart"/>
      <w:r w:rsidRPr="002906A3">
        <w:t>express</w:t>
      </w:r>
      <w:proofErr w:type="spellEnd"/>
      <w:r w:rsidRPr="002906A3">
        <w:t xml:space="preserve"> </w:t>
      </w:r>
      <w:proofErr w:type="spellStart"/>
      <w:r w:rsidRPr="002906A3">
        <w:t>their</w:t>
      </w:r>
      <w:proofErr w:type="spellEnd"/>
      <w:r w:rsidRPr="002906A3">
        <w:t xml:space="preserve"> </w:t>
      </w:r>
      <w:proofErr w:type="spellStart"/>
      <w:r w:rsidRPr="002906A3">
        <w:t>true</w:t>
      </w:r>
      <w:proofErr w:type="spellEnd"/>
      <w:r w:rsidRPr="002906A3">
        <w:t xml:space="preserve"> </w:t>
      </w:r>
      <w:proofErr w:type="spellStart"/>
      <w:r w:rsidRPr="002906A3">
        <w:t>thoughts</w:t>
      </w:r>
      <w:proofErr w:type="spellEnd"/>
      <w:r w:rsidRPr="002906A3">
        <w:t xml:space="preserve"> </w:t>
      </w:r>
      <w:proofErr w:type="spellStart"/>
      <w:r w:rsidRPr="002906A3">
        <w:t>and</w:t>
      </w:r>
      <w:proofErr w:type="spellEnd"/>
      <w:r w:rsidRPr="002906A3">
        <w:t xml:space="preserve"> </w:t>
      </w:r>
      <w:proofErr w:type="spellStart"/>
      <w:r w:rsidRPr="002906A3">
        <w:t>feelings</w:t>
      </w:r>
      <w:proofErr w:type="spellEnd"/>
      <w:r w:rsidRPr="002906A3">
        <w:t xml:space="preserve">. </w:t>
      </w:r>
      <w:proofErr w:type="spellStart"/>
      <w:r w:rsidRPr="002906A3">
        <w:t>This</w:t>
      </w:r>
      <w:proofErr w:type="spellEnd"/>
      <w:r w:rsidRPr="002906A3">
        <w:t xml:space="preserve"> </w:t>
      </w:r>
      <w:proofErr w:type="spellStart"/>
      <w:r w:rsidRPr="002906A3">
        <w:t>struggle</w:t>
      </w:r>
      <w:proofErr w:type="spellEnd"/>
      <w:r w:rsidRPr="002906A3">
        <w:t xml:space="preserve"> </w:t>
      </w:r>
      <w:proofErr w:type="spellStart"/>
      <w:r w:rsidRPr="002906A3">
        <w:t>suggests</w:t>
      </w:r>
      <w:proofErr w:type="spellEnd"/>
      <w:r w:rsidRPr="002906A3">
        <w:t xml:space="preserve"> </w:t>
      </w:r>
      <w:proofErr w:type="spellStart"/>
      <w:r w:rsidRPr="002906A3">
        <w:t>that</w:t>
      </w:r>
      <w:proofErr w:type="spellEnd"/>
      <w:r w:rsidRPr="002906A3">
        <w:t xml:space="preserve"> </w:t>
      </w:r>
      <w:proofErr w:type="spellStart"/>
      <w:r w:rsidRPr="002906A3">
        <w:t>words</w:t>
      </w:r>
      <w:proofErr w:type="spellEnd"/>
      <w:r w:rsidRPr="002906A3">
        <w:t xml:space="preserve"> </w:t>
      </w:r>
      <w:proofErr w:type="spellStart"/>
      <w:r w:rsidRPr="002906A3">
        <w:t>often</w:t>
      </w:r>
      <w:proofErr w:type="spellEnd"/>
      <w:r w:rsidRPr="002906A3">
        <w:t xml:space="preserve"> fail </w:t>
      </w:r>
      <w:proofErr w:type="spellStart"/>
      <w:r w:rsidRPr="002906A3">
        <w:t>to</w:t>
      </w:r>
      <w:proofErr w:type="spellEnd"/>
      <w:r w:rsidRPr="002906A3">
        <w:t xml:space="preserve"> </w:t>
      </w:r>
      <w:proofErr w:type="spellStart"/>
      <w:r w:rsidRPr="002906A3">
        <w:t>capture</w:t>
      </w:r>
      <w:proofErr w:type="spellEnd"/>
      <w:r w:rsidRPr="002906A3">
        <w:t xml:space="preserve"> </w:t>
      </w:r>
      <w:proofErr w:type="spellStart"/>
      <w:r w:rsidRPr="002906A3">
        <w:t>the</w:t>
      </w:r>
      <w:proofErr w:type="spellEnd"/>
      <w:r w:rsidRPr="002906A3">
        <w:t xml:space="preserve"> </w:t>
      </w:r>
      <w:proofErr w:type="spellStart"/>
      <w:r w:rsidRPr="002906A3">
        <w:t>complexity</w:t>
      </w:r>
      <w:proofErr w:type="spellEnd"/>
      <w:r w:rsidRPr="002906A3">
        <w:t xml:space="preserve"> of </w:t>
      </w:r>
      <w:proofErr w:type="spellStart"/>
      <w:r w:rsidRPr="002906A3">
        <w:t>their</w:t>
      </w:r>
      <w:proofErr w:type="spellEnd"/>
      <w:r w:rsidRPr="002906A3">
        <w:t xml:space="preserve"> </w:t>
      </w:r>
      <w:proofErr w:type="spellStart"/>
      <w:r w:rsidRPr="002906A3">
        <w:t>emotions</w:t>
      </w:r>
      <w:proofErr w:type="spellEnd"/>
      <w:r w:rsidRPr="002906A3">
        <w:t xml:space="preserve">. Silence, </w:t>
      </w:r>
      <w:proofErr w:type="spellStart"/>
      <w:r w:rsidRPr="002906A3">
        <w:t>therefore</w:t>
      </w:r>
      <w:proofErr w:type="spellEnd"/>
      <w:r w:rsidRPr="002906A3">
        <w:t xml:space="preserve">, </w:t>
      </w:r>
      <w:proofErr w:type="spellStart"/>
      <w:r w:rsidRPr="002906A3">
        <w:t>becomes</w:t>
      </w:r>
      <w:proofErr w:type="spellEnd"/>
      <w:r w:rsidRPr="002906A3">
        <w:t xml:space="preserve"> a </w:t>
      </w:r>
      <w:proofErr w:type="spellStart"/>
      <w:r w:rsidRPr="002906A3">
        <w:t>powerful</w:t>
      </w:r>
      <w:proofErr w:type="spellEnd"/>
      <w:r w:rsidRPr="002906A3">
        <w:t xml:space="preserve"> </w:t>
      </w:r>
      <w:proofErr w:type="spellStart"/>
      <w:r w:rsidRPr="002906A3">
        <w:t>message</w:t>
      </w:r>
      <w:proofErr w:type="spellEnd"/>
      <w:r w:rsidRPr="002906A3">
        <w:t xml:space="preserve"> </w:t>
      </w:r>
      <w:proofErr w:type="spellStart"/>
      <w:r w:rsidRPr="002906A3">
        <w:t>about</w:t>
      </w:r>
      <w:proofErr w:type="spellEnd"/>
      <w:r w:rsidRPr="002906A3">
        <w:t xml:space="preserve"> </w:t>
      </w:r>
      <w:proofErr w:type="spellStart"/>
      <w:r w:rsidRPr="002906A3">
        <w:t>their</w:t>
      </w:r>
      <w:proofErr w:type="spellEnd"/>
      <w:r w:rsidRPr="002906A3">
        <w:t xml:space="preserve"> </w:t>
      </w:r>
      <w:proofErr w:type="spellStart"/>
      <w:r w:rsidRPr="002906A3">
        <w:t>human</w:t>
      </w:r>
      <w:proofErr w:type="spellEnd"/>
      <w:r w:rsidRPr="002906A3">
        <w:t xml:space="preserve"> </w:t>
      </w:r>
      <w:proofErr w:type="spellStart"/>
      <w:r w:rsidRPr="002906A3">
        <w:t>experience</w:t>
      </w:r>
      <w:proofErr w:type="spellEnd"/>
      <w:r w:rsidRPr="002906A3">
        <w:t xml:space="preserve"> </w:t>
      </w:r>
      <w:proofErr w:type="spellStart"/>
      <w:r w:rsidRPr="002906A3">
        <w:t>and</w:t>
      </w:r>
      <w:proofErr w:type="spellEnd"/>
      <w:r w:rsidRPr="002906A3">
        <w:t xml:space="preserve"> </w:t>
      </w:r>
      <w:proofErr w:type="spellStart"/>
      <w:r w:rsidRPr="002906A3">
        <w:t>their</w:t>
      </w:r>
      <w:proofErr w:type="spellEnd"/>
      <w:r w:rsidRPr="002906A3">
        <w:t xml:space="preserve"> </w:t>
      </w:r>
      <w:proofErr w:type="spellStart"/>
      <w:r w:rsidRPr="002906A3">
        <w:t>search</w:t>
      </w:r>
      <w:proofErr w:type="spellEnd"/>
      <w:r w:rsidRPr="002906A3">
        <w:t xml:space="preserve"> </w:t>
      </w:r>
      <w:proofErr w:type="spellStart"/>
      <w:r w:rsidRPr="002906A3">
        <w:t>for</w:t>
      </w:r>
      <w:proofErr w:type="spellEnd"/>
      <w:r w:rsidRPr="002906A3">
        <w:t xml:space="preserve"> </w:t>
      </w:r>
      <w:proofErr w:type="spellStart"/>
      <w:r w:rsidRPr="002906A3">
        <w:t>connection</w:t>
      </w:r>
      <w:proofErr w:type="spellEnd"/>
      <w:r w:rsidRPr="002906A3">
        <w:t xml:space="preserve"> in a </w:t>
      </w:r>
      <w:proofErr w:type="spellStart"/>
      <w:r w:rsidRPr="002906A3">
        <w:t>world</w:t>
      </w:r>
      <w:proofErr w:type="spellEnd"/>
      <w:r w:rsidRPr="002906A3">
        <w:t xml:space="preserve"> </w:t>
      </w:r>
      <w:proofErr w:type="spellStart"/>
      <w:r w:rsidRPr="002906A3">
        <w:t>that</w:t>
      </w:r>
      <w:proofErr w:type="spellEnd"/>
      <w:r w:rsidRPr="002906A3">
        <w:t xml:space="preserve"> </w:t>
      </w:r>
      <w:proofErr w:type="spellStart"/>
      <w:r w:rsidRPr="002906A3">
        <w:t>feels</w:t>
      </w:r>
      <w:proofErr w:type="spellEnd"/>
      <w:r w:rsidRPr="002906A3">
        <w:t xml:space="preserve"> </w:t>
      </w:r>
      <w:proofErr w:type="spellStart"/>
      <w:r w:rsidRPr="002906A3">
        <w:t>empty</w:t>
      </w:r>
      <w:proofErr w:type="spellEnd"/>
      <w:r w:rsidRPr="002906A3">
        <w:t xml:space="preserve">. </w:t>
      </w:r>
      <w:proofErr w:type="spellStart"/>
      <w:r w:rsidRPr="002906A3">
        <w:t>In</w:t>
      </w:r>
      <w:proofErr w:type="spellEnd"/>
      <w:r w:rsidRPr="002906A3">
        <w:t xml:space="preserve"> </w:t>
      </w:r>
      <w:proofErr w:type="spellStart"/>
      <w:r w:rsidRPr="002906A3">
        <w:t>addition</w:t>
      </w:r>
      <w:proofErr w:type="spellEnd"/>
      <w:r w:rsidRPr="002906A3">
        <w:t xml:space="preserve">, Linda (2021) </w:t>
      </w:r>
      <w:proofErr w:type="spellStart"/>
      <w:r w:rsidRPr="002906A3">
        <w:t>argues</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intentional</w:t>
      </w:r>
      <w:proofErr w:type="spellEnd"/>
      <w:r w:rsidRPr="002906A3">
        <w:t xml:space="preserve"> </w:t>
      </w:r>
      <w:proofErr w:type="spellStart"/>
      <w:r w:rsidRPr="002906A3">
        <w:t>use</w:t>
      </w:r>
      <w:proofErr w:type="spellEnd"/>
      <w:r w:rsidRPr="002906A3">
        <w:t xml:space="preserve"> of silence </w:t>
      </w:r>
      <w:proofErr w:type="spellStart"/>
      <w:r w:rsidRPr="002906A3">
        <w:t>builds</w:t>
      </w:r>
      <w:proofErr w:type="spellEnd"/>
      <w:r w:rsidRPr="002906A3">
        <w:t xml:space="preserve"> a </w:t>
      </w:r>
      <w:proofErr w:type="spellStart"/>
      <w:r w:rsidRPr="002906A3">
        <w:t>strong</w:t>
      </w:r>
      <w:proofErr w:type="spellEnd"/>
      <w:r w:rsidRPr="002906A3">
        <w:t xml:space="preserve"> sense of </w:t>
      </w:r>
      <w:proofErr w:type="spellStart"/>
      <w:r w:rsidRPr="002906A3">
        <w:t>tension</w:t>
      </w:r>
      <w:proofErr w:type="spellEnd"/>
      <w:r w:rsidRPr="002906A3">
        <w:t xml:space="preserve"> in </w:t>
      </w:r>
      <w:proofErr w:type="spellStart"/>
      <w:r w:rsidRPr="002906A3">
        <w:t>the</w:t>
      </w:r>
      <w:proofErr w:type="spellEnd"/>
      <w:r w:rsidRPr="002906A3">
        <w:t xml:space="preserve"> </w:t>
      </w:r>
      <w:proofErr w:type="spellStart"/>
      <w:r w:rsidRPr="002906A3">
        <w:t>room</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are</w:t>
      </w:r>
      <w:proofErr w:type="spellEnd"/>
      <w:r w:rsidRPr="002906A3">
        <w:t xml:space="preserve"> </w:t>
      </w:r>
      <w:proofErr w:type="spellStart"/>
      <w:r w:rsidRPr="002906A3">
        <w:t>pushed</w:t>
      </w:r>
      <w:proofErr w:type="spellEnd"/>
      <w:r w:rsidRPr="002906A3">
        <w:t xml:space="preserve"> </w:t>
      </w:r>
      <w:proofErr w:type="spellStart"/>
      <w:r w:rsidRPr="002906A3">
        <w:t>to</w:t>
      </w:r>
      <w:proofErr w:type="spellEnd"/>
      <w:r w:rsidRPr="002906A3">
        <w:t xml:space="preserve"> </w:t>
      </w:r>
      <w:proofErr w:type="spellStart"/>
      <w:r w:rsidRPr="002906A3">
        <w:t>face</w:t>
      </w:r>
      <w:proofErr w:type="spellEnd"/>
      <w:r w:rsidRPr="002906A3">
        <w:t xml:space="preserve"> </w:t>
      </w:r>
      <w:proofErr w:type="spellStart"/>
      <w:r w:rsidRPr="002906A3">
        <w:t>uncomfortable</w:t>
      </w:r>
      <w:proofErr w:type="spellEnd"/>
      <w:r w:rsidRPr="002906A3">
        <w:t xml:space="preserve"> </w:t>
      </w:r>
      <w:proofErr w:type="spellStart"/>
      <w:r w:rsidRPr="002906A3">
        <w:t>truths</w:t>
      </w:r>
      <w:proofErr w:type="spellEnd"/>
      <w:r w:rsidRPr="002906A3">
        <w:t xml:space="preserve"> </w:t>
      </w:r>
      <w:proofErr w:type="spellStart"/>
      <w:r w:rsidRPr="002906A3">
        <w:t>behind</w:t>
      </w:r>
      <w:proofErr w:type="spellEnd"/>
      <w:r w:rsidRPr="002906A3">
        <w:t xml:space="preserve"> </w:t>
      </w:r>
      <w:proofErr w:type="spellStart"/>
      <w:r w:rsidRPr="002906A3">
        <w:t>their</w:t>
      </w:r>
      <w:proofErr w:type="spellEnd"/>
      <w:r w:rsidRPr="002906A3">
        <w:t xml:space="preserve"> </w:t>
      </w:r>
      <w:proofErr w:type="spellStart"/>
      <w:r w:rsidRPr="002906A3">
        <w:t>existence</w:t>
      </w:r>
      <w:proofErr w:type="spellEnd"/>
      <w:r w:rsidRPr="002906A3">
        <w:t xml:space="preserve"> </w:t>
      </w:r>
      <w:proofErr w:type="spellStart"/>
      <w:r w:rsidRPr="002906A3">
        <w:t>and</w:t>
      </w:r>
      <w:proofErr w:type="spellEnd"/>
      <w:r w:rsidRPr="002906A3">
        <w:t xml:space="preserve"> </w:t>
      </w:r>
      <w:proofErr w:type="spellStart"/>
      <w:r w:rsidRPr="002906A3">
        <w:t>communication</w:t>
      </w:r>
      <w:proofErr w:type="spellEnd"/>
      <w:r w:rsidRPr="002906A3">
        <w:t xml:space="preserve">. </w:t>
      </w:r>
      <w:proofErr w:type="spellStart"/>
      <w:r w:rsidRPr="002906A3">
        <w:t>The</w:t>
      </w:r>
      <w:proofErr w:type="spellEnd"/>
      <w:r w:rsidRPr="002906A3">
        <w:t xml:space="preserve"> </w:t>
      </w:r>
      <w:proofErr w:type="spellStart"/>
      <w:r w:rsidRPr="002906A3">
        <w:t>silences</w:t>
      </w:r>
      <w:proofErr w:type="spellEnd"/>
      <w:r w:rsidRPr="002906A3">
        <w:t xml:space="preserve"> </w:t>
      </w:r>
      <w:proofErr w:type="spellStart"/>
      <w:r w:rsidRPr="002906A3">
        <w:t>create</w:t>
      </w:r>
      <w:proofErr w:type="spellEnd"/>
      <w:r w:rsidRPr="002906A3">
        <w:t xml:space="preserve"> </w:t>
      </w:r>
      <w:proofErr w:type="spellStart"/>
      <w:r w:rsidRPr="002906A3">
        <w:t>moments</w:t>
      </w:r>
      <w:proofErr w:type="spellEnd"/>
      <w:r w:rsidRPr="002906A3">
        <w:t xml:space="preserve"> </w:t>
      </w:r>
      <w:proofErr w:type="spellStart"/>
      <w:r w:rsidRPr="002906A3">
        <w:t>when</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can </w:t>
      </w:r>
      <w:proofErr w:type="spellStart"/>
      <w:r w:rsidRPr="002906A3">
        <w:t>reflect</w:t>
      </w:r>
      <w:proofErr w:type="spellEnd"/>
      <w:r w:rsidRPr="002906A3">
        <w:t xml:space="preserve"> on </w:t>
      </w:r>
      <w:proofErr w:type="spellStart"/>
      <w:r w:rsidRPr="002906A3">
        <w:t>what</w:t>
      </w:r>
      <w:proofErr w:type="spellEnd"/>
      <w:r w:rsidRPr="002906A3">
        <w:t xml:space="preserve"> is </w:t>
      </w:r>
      <w:proofErr w:type="spellStart"/>
      <w:r w:rsidRPr="002906A3">
        <w:t>left</w:t>
      </w:r>
      <w:proofErr w:type="spellEnd"/>
      <w:r w:rsidRPr="002906A3">
        <w:t xml:space="preserve"> </w:t>
      </w:r>
      <w:proofErr w:type="spellStart"/>
      <w:r w:rsidRPr="002906A3">
        <w:t>unsaid</w:t>
      </w:r>
      <w:proofErr w:type="spellEnd"/>
      <w:r w:rsidRPr="002906A3">
        <w:t xml:space="preserve">, </w:t>
      </w:r>
      <w:proofErr w:type="spellStart"/>
      <w:r w:rsidRPr="002906A3">
        <w:t>making</w:t>
      </w:r>
      <w:proofErr w:type="spellEnd"/>
      <w:r w:rsidRPr="002906A3">
        <w:t xml:space="preserve"> </w:t>
      </w:r>
      <w:proofErr w:type="spellStart"/>
      <w:r w:rsidRPr="002906A3">
        <w:t>them</w:t>
      </w:r>
      <w:proofErr w:type="spellEnd"/>
      <w:r w:rsidRPr="002906A3">
        <w:t xml:space="preserve"> </w:t>
      </w:r>
      <w:proofErr w:type="spellStart"/>
      <w:r w:rsidRPr="002906A3">
        <w:t>feel</w:t>
      </w:r>
      <w:proofErr w:type="spellEnd"/>
      <w:r w:rsidRPr="002906A3">
        <w:t xml:space="preserve"> </w:t>
      </w:r>
      <w:proofErr w:type="spellStart"/>
      <w:r w:rsidRPr="002906A3">
        <w:t>the</w:t>
      </w:r>
      <w:proofErr w:type="spellEnd"/>
      <w:r w:rsidRPr="002906A3">
        <w:t xml:space="preserve"> </w:t>
      </w:r>
      <w:proofErr w:type="spellStart"/>
      <w:r w:rsidRPr="002906A3">
        <w:t>weight</w:t>
      </w:r>
      <w:proofErr w:type="spellEnd"/>
      <w:r w:rsidRPr="002906A3">
        <w:t xml:space="preserve"> of </w:t>
      </w:r>
      <w:proofErr w:type="spellStart"/>
      <w:r w:rsidRPr="002906A3">
        <w:t>the</w:t>
      </w:r>
      <w:proofErr w:type="spellEnd"/>
      <w:r w:rsidRPr="002906A3">
        <w:t xml:space="preserve"> </w:t>
      </w:r>
      <w:proofErr w:type="spellStart"/>
      <w:r w:rsidRPr="002906A3">
        <w:t>characters</w:t>
      </w:r>
      <w:proofErr w:type="spellEnd"/>
      <w:r w:rsidRPr="002906A3">
        <w:t xml:space="preserve">’ silence. </w:t>
      </w:r>
      <w:proofErr w:type="spellStart"/>
      <w:r w:rsidRPr="002906A3">
        <w:t>This</w:t>
      </w:r>
      <w:proofErr w:type="spellEnd"/>
      <w:r w:rsidRPr="002906A3">
        <w:t xml:space="preserve"> </w:t>
      </w:r>
      <w:proofErr w:type="spellStart"/>
      <w:r w:rsidRPr="002906A3">
        <w:t>engages</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more</w:t>
      </w:r>
      <w:proofErr w:type="spellEnd"/>
      <w:r w:rsidRPr="002906A3">
        <w:t xml:space="preserve"> </w:t>
      </w:r>
      <w:proofErr w:type="spellStart"/>
      <w:r w:rsidRPr="002906A3">
        <w:t>deeply</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themes</w:t>
      </w:r>
      <w:proofErr w:type="spellEnd"/>
      <w:r w:rsidRPr="002906A3">
        <w:t xml:space="preserve"> of </w:t>
      </w:r>
      <w:proofErr w:type="spellStart"/>
      <w:r w:rsidRPr="002906A3">
        <w:t>waiting</w:t>
      </w:r>
      <w:proofErr w:type="spellEnd"/>
      <w:r w:rsidRPr="002906A3">
        <w:t xml:space="preserve"> </w:t>
      </w:r>
      <w:proofErr w:type="spellStart"/>
      <w:r w:rsidRPr="002906A3">
        <w:t>and</w:t>
      </w:r>
      <w:proofErr w:type="spellEnd"/>
      <w:r w:rsidRPr="002906A3">
        <w:t xml:space="preserve"> </w:t>
      </w:r>
      <w:proofErr w:type="spellStart"/>
      <w:r w:rsidRPr="002906A3">
        <w:t>uncertainty</w:t>
      </w:r>
      <w:proofErr w:type="spellEnd"/>
      <w:r w:rsidRPr="002906A3">
        <w:t xml:space="preserve"> </w:t>
      </w:r>
      <w:proofErr w:type="spellStart"/>
      <w:r w:rsidRPr="002906A3">
        <w:t>that</w:t>
      </w:r>
      <w:proofErr w:type="spellEnd"/>
      <w:r w:rsidRPr="002906A3">
        <w:t xml:space="preserve"> </w:t>
      </w:r>
      <w:proofErr w:type="spellStart"/>
      <w:r w:rsidRPr="002906A3">
        <w:t>permeate</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making</w:t>
      </w:r>
      <w:proofErr w:type="spellEnd"/>
      <w:r w:rsidRPr="002906A3">
        <w:t xml:space="preserve"> silence a </w:t>
      </w:r>
      <w:proofErr w:type="spellStart"/>
      <w:r w:rsidRPr="002906A3">
        <w:t>critical</w:t>
      </w:r>
      <w:proofErr w:type="spellEnd"/>
      <w:r w:rsidRPr="002906A3">
        <w:t xml:space="preserve"> </w:t>
      </w:r>
      <w:proofErr w:type="spellStart"/>
      <w:r w:rsidRPr="002906A3">
        <w:t>narrative</w:t>
      </w:r>
      <w:proofErr w:type="spellEnd"/>
      <w:r w:rsidRPr="002906A3">
        <w:t xml:space="preserve"> </w:t>
      </w:r>
      <w:proofErr w:type="spellStart"/>
      <w:r w:rsidRPr="002906A3">
        <w:t>tool</w:t>
      </w:r>
      <w:proofErr w:type="spellEnd"/>
      <w:r w:rsidRPr="002906A3">
        <w:t>.</w:t>
      </w:r>
    </w:p>
    <w:p w14:paraId="62D7C510" w14:textId="77777777" w:rsidR="001E7189" w:rsidRPr="002906A3" w:rsidRDefault="001E7189" w:rsidP="00BA67A6">
      <w:pPr>
        <w:jc w:val="both"/>
      </w:pPr>
    </w:p>
    <w:p w14:paraId="0AAFD8E6" w14:textId="77777777" w:rsidR="001E7189" w:rsidRPr="002906A3" w:rsidRDefault="001E7189" w:rsidP="00BA67A6">
      <w:pPr>
        <w:jc w:val="both"/>
      </w:pPr>
      <w:r w:rsidRPr="002906A3">
        <w:t>VLADIMIR: (</w:t>
      </w:r>
      <w:proofErr w:type="spellStart"/>
      <w:r w:rsidRPr="002906A3">
        <w:t>exploding</w:t>
      </w:r>
      <w:proofErr w:type="spellEnd"/>
      <w:r w:rsidRPr="002906A3">
        <w:t xml:space="preserve">). </w:t>
      </w:r>
      <w:proofErr w:type="spellStart"/>
      <w:r w:rsidRPr="002906A3">
        <w:t>It's</w:t>
      </w:r>
      <w:proofErr w:type="spellEnd"/>
      <w:r w:rsidRPr="002906A3">
        <w:t xml:space="preserve"> a </w:t>
      </w:r>
      <w:proofErr w:type="spellStart"/>
      <w:r w:rsidRPr="002906A3">
        <w:t>scandal</w:t>
      </w:r>
      <w:proofErr w:type="spellEnd"/>
      <w:r w:rsidRPr="002906A3">
        <w:t>!</w:t>
      </w:r>
    </w:p>
    <w:p w14:paraId="17209A1E" w14:textId="77777777" w:rsidR="001E7189" w:rsidRPr="002906A3" w:rsidRDefault="001E7189" w:rsidP="00BA67A6">
      <w:pPr>
        <w:jc w:val="both"/>
      </w:pPr>
      <w:r w:rsidRPr="002906A3">
        <w:t xml:space="preserve">Silence. </w:t>
      </w:r>
      <w:proofErr w:type="spellStart"/>
      <w:r w:rsidRPr="002906A3">
        <w:t>Flabbergasted</w:t>
      </w:r>
      <w:proofErr w:type="spellEnd"/>
      <w:r w:rsidRPr="002906A3">
        <w:t xml:space="preserve">, </w:t>
      </w:r>
      <w:proofErr w:type="spellStart"/>
      <w:r w:rsidRPr="002906A3">
        <w:t>Estragon</w:t>
      </w:r>
      <w:proofErr w:type="spellEnd"/>
      <w:r w:rsidRPr="002906A3">
        <w:t xml:space="preserve"> </w:t>
      </w:r>
      <w:proofErr w:type="spellStart"/>
      <w:r w:rsidRPr="002906A3">
        <w:t>stops</w:t>
      </w:r>
      <w:proofErr w:type="spellEnd"/>
      <w:r w:rsidRPr="002906A3">
        <w:t xml:space="preserve"> </w:t>
      </w:r>
      <w:proofErr w:type="spellStart"/>
      <w:r w:rsidRPr="002906A3">
        <w:t>gnawing</w:t>
      </w:r>
      <w:proofErr w:type="spellEnd"/>
      <w:r w:rsidRPr="002906A3">
        <w:t xml:space="preserve">, </w:t>
      </w:r>
      <w:proofErr w:type="spellStart"/>
      <w:r w:rsidRPr="002906A3">
        <w:t>looks</w:t>
      </w:r>
      <w:proofErr w:type="spellEnd"/>
      <w:r w:rsidRPr="002906A3">
        <w:t xml:space="preserve"> at </w:t>
      </w:r>
      <w:proofErr w:type="spellStart"/>
      <w:r w:rsidRPr="002906A3">
        <w:t>Pozzo</w:t>
      </w:r>
      <w:proofErr w:type="spellEnd"/>
      <w:r w:rsidRPr="002906A3">
        <w:t xml:space="preserve"> </w:t>
      </w:r>
      <w:proofErr w:type="spellStart"/>
      <w:r w:rsidRPr="002906A3">
        <w:t>and</w:t>
      </w:r>
      <w:proofErr w:type="spellEnd"/>
      <w:r w:rsidRPr="002906A3">
        <w:t xml:space="preserve"> Vladimir in </w:t>
      </w:r>
      <w:proofErr w:type="spellStart"/>
      <w:r w:rsidRPr="002906A3">
        <w:t>turn</w:t>
      </w:r>
      <w:proofErr w:type="spellEnd"/>
      <w:r w:rsidRPr="002906A3">
        <w:t xml:space="preserve">. </w:t>
      </w:r>
      <w:proofErr w:type="spellStart"/>
      <w:r w:rsidRPr="002906A3">
        <w:t>Pozzo</w:t>
      </w:r>
      <w:proofErr w:type="spellEnd"/>
      <w:r w:rsidRPr="002906A3">
        <w:t xml:space="preserve"> </w:t>
      </w:r>
      <w:proofErr w:type="spellStart"/>
      <w:r w:rsidRPr="002906A3">
        <w:t>outwardly</w:t>
      </w:r>
      <w:proofErr w:type="spellEnd"/>
      <w:r w:rsidRPr="002906A3">
        <w:t xml:space="preserve"> </w:t>
      </w:r>
      <w:proofErr w:type="spellStart"/>
      <w:r w:rsidRPr="002906A3">
        <w:t>calm</w:t>
      </w:r>
      <w:proofErr w:type="spellEnd"/>
      <w:r w:rsidRPr="002906A3">
        <w:t xml:space="preserve">. Vladimir </w:t>
      </w:r>
      <w:proofErr w:type="spellStart"/>
      <w:r w:rsidRPr="002906A3">
        <w:t>embarrassed</w:t>
      </w:r>
      <w:proofErr w:type="spellEnd"/>
      <w:r w:rsidRPr="002906A3">
        <w:t>.</w:t>
      </w:r>
    </w:p>
    <w:p w14:paraId="58C52AF7" w14:textId="77777777" w:rsidR="001E7189" w:rsidRPr="002906A3" w:rsidRDefault="001E7189" w:rsidP="00BA67A6">
      <w:pPr>
        <w:jc w:val="both"/>
      </w:pPr>
      <w:r w:rsidRPr="002906A3">
        <w:t>(Beckett, 1953, p. 29)​</w:t>
      </w:r>
    </w:p>
    <w:p w14:paraId="1F0E3D2B" w14:textId="77777777" w:rsidR="001E7189" w:rsidRPr="002906A3" w:rsidRDefault="001E7189" w:rsidP="00BA67A6">
      <w:pPr>
        <w:jc w:val="both"/>
      </w:pPr>
    </w:p>
    <w:p w14:paraId="004D62A2" w14:textId="77777777" w:rsidR="001E7189" w:rsidRPr="002906A3" w:rsidRDefault="001E7189" w:rsidP="00BA67A6">
      <w:pPr>
        <w:jc w:val="both"/>
      </w:pPr>
      <w:r w:rsidRPr="002906A3">
        <w:t xml:space="preserve">Here, silence </w:t>
      </w:r>
      <w:proofErr w:type="spellStart"/>
      <w:r w:rsidRPr="002906A3">
        <w:t>follows</w:t>
      </w:r>
      <w:proofErr w:type="spellEnd"/>
      <w:r w:rsidRPr="002906A3">
        <w:t xml:space="preserve"> </w:t>
      </w:r>
      <w:proofErr w:type="spellStart"/>
      <w:r w:rsidRPr="002906A3">
        <w:t>Vladimir’s</w:t>
      </w:r>
      <w:proofErr w:type="spellEnd"/>
      <w:r w:rsidRPr="002906A3">
        <w:t xml:space="preserve"> </w:t>
      </w:r>
      <w:proofErr w:type="spellStart"/>
      <w:r w:rsidRPr="002906A3">
        <w:t>emotional</w:t>
      </w:r>
      <w:proofErr w:type="spellEnd"/>
      <w:r w:rsidRPr="002906A3">
        <w:t xml:space="preserve"> </w:t>
      </w:r>
      <w:proofErr w:type="spellStart"/>
      <w:r w:rsidRPr="002906A3">
        <w:t>outburst</w:t>
      </w:r>
      <w:proofErr w:type="spellEnd"/>
      <w:r w:rsidRPr="002906A3">
        <w:t xml:space="preserve">, </w:t>
      </w:r>
      <w:proofErr w:type="spellStart"/>
      <w:r w:rsidRPr="002906A3">
        <w:t>which</w:t>
      </w:r>
      <w:proofErr w:type="spellEnd"/>
      <w:r w:rsidRPr="002906A3">
        <w:t xml:space="preserve"> </w:t>
      </w:r>
      <w:proofErr w:type="spellStart"/>
      <w:r w:rsidRPr="002906A3">
        <w:t>contrasts</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passive</w:t>
      </w:r>
      <w:proofErr w:type="spellEnd"/>
      <w:r w:rsidRPr="002906A3">
        <w:t xml:space="preserve">, </w:t>
      </w:r>
      <w:proofErr w:type="spellStart"/>
      <w:r w:rsidRPr="002906A3">
        <w:t>detached</w:t>
      </w:r>
      <w:proofErr w:type="spellEnd"/>
      <w:r w:rsidRPr="002906A3">
        <w:t xml:space="preserve"> </w:t>
      </w:r>
      <w:proofErr w:type="spellStart"/>
      <w:r w:rsidRPr="002906A3">
        <w:t>behavior</w:t>
      </w:r>
      <w:proofErr w:type="spellEnd"/>
      <w:r w:rsidRPr="002906A3">
        <w:t xml:space="preserve"> of </w:t>
      </w:r>
      <w:proofErr w:type="spellStart"/>
      <w:r w:rsidRPr="002906A3">
        <w:t>the</w:t>
      </w:r>
      <w:proofErr w:type="spellEnd"/>
      <w:r w:rsidRPr="002906A3">
        <w:t xml:space="preserve"> </w:t>
      </w:r>
      <w:proofErr w:type="spellStart"/>
      <w:r w:rsidRPr="002906A3">
        <w:t>other</w:t>
      </w:r>
      <w:proofErr w:type="spellEnd"/>
      <w:r w:rsidRPr="002906A3">
        <w:t xml:space="preserve"> </w:t>
      </w:r>
      <w:proofErr w:type="spellStart"/>
      <w:r w:rsidRPr="002906A3">
        <w:t>characters</w:t>
      </w:r>
      <w:proofErr w:type="spellEnd"/>
      <w:r w:rsidRPr="002906A3">
        <w:t xml:space="preserve">. </w:t>
      </w:r>
      <w:proofErr w:type="spellStart"/>
      <w:r w:rsidRPr="002906A3">
        <w:t>The</w:t>
      </w:r>
      <w:proofErr w:type="spellEnd"/>
      <w:r w:rsidRPr="002906A3">
        <w:t xml:space="preserve"> silence </w:t>
      </w:r>
      <w:proofErr w:type="spellStart"/>
      <w:r w:rsidRPr="002906A3">
        <w:t>reflects</w:t>
      </w:r>
      <w:proofErr w:type="spellEnd"/>
      <w:r w:rsidRPr="002906A3">
        <w:t xml:space="preserve"> </w:t>
      </w:r>
      <w:proofErr w:type="spellStart"/>
      <w:r w:rsidRPr="002906A3">
        <w:t>the</w:t>
      </w:r>
      <w:proofErr w:type="spellEnd"/>
      <w:r w:rsidRPr="002906A3">
        <w:t xml:space="preserve"> </w:t>
      </w:r>
      <w:proofErr w:type="spellStart"/>
      <w:r w:rsidRPr="002906A3">
        <w:t>futility</w:t>
      </w:r>
      <w:proofErr w:type="spellEnd"/>
      <w:r w:rsidRPr="002906A3">
        <w:t xml:space="preserve"> of moral </w:t>
      </w:r>
      <w:proofErr w:type="spellStart"/>
      <w:r w:rsidRPr="002906A3">
        <w:t>outrage</w:t>
      </w:r>
      <w:proofErr w:type="spellEnd"/>
      <w:r w:rsidRPr="002906A3">
        <w:t xml:space="preserve"> in a </w:t>
      </w:r>
      <w:proofErr w:type="spellStart"/>
      <w:r w:rsidRPr="002906A3">
        <w:t>meaningless</w:t>
      </w:r>
      <w:proofErr w:type="spellEnd"/>
      <w:r w:rsidRPr="002906A3">
        <w:t xml:space="preserve"> </w:t>
      </w:r>
      <w:proofErr w:type="spellStart"/>
      <w:r w:rsidRPr="002906A3">
        <w:t>world</w:t>
      </w:r>
      <w:proofErr w:type="spellEnd"/>
      <w:r w:rsidRPr="002906A3">
        <w:t xml:space="preserve">. </w:t>
      </w:r>
      <w:proofErr w:type="spellStart"/>
      <w:r w:rsidRPr="002906A3">
        <w:t>The</w:t>
      </w:r>
      <w:proofErr w:type="spellEnd"/>
      <w:r w:rsidRPr="002906A3">
        <w:t xml:space="preserve"> moment </w:t>
      </w:r>
      <w:proofErr w:type="spellStart"/>
      <w:r w:rsidRPr="002906A3">
        <w:t>underscores</w:t>
      </w:r>
      <w:proofErr w:type="spellEnd"/>
      <w:r w:rsidRPr="002906A3">
        <w:t xml:space="preserve"> how </w:t>
      </w:r>
      <w:proofErr w:type="spellStart"/>
      <w:r w:rsidRPr="002906A3">
        <w:t>even</w:t>
      </w:r>
      <w:proofErr w:type="spellEnd"/>
      <w:r w:rsidRPr="002906A3">
        <w:t xml:space="preserve"> </w:t>
      </w:r>
      <w:proofErr w:type="spellStart"/>
      <w:r w:rsidRPr="002906A3">
        <w:t>strong</w:t>
      </w:r>
      <w:proofErr w:type="spellEnd"/>
      <w:r w:rsidRPr="002906A3">
        <w:t xml:space="preserve"> </w:t>
      </w:r>
      <w:proofErr w:type="spellStart"/>
      <w:r w:rsidRPr="002906A3">
        <w:t>emotions</w:t>
      </w:r>
      <w:proofErr w:type="spellEnd"/>
      <w:r w:rsidRPr="002906A3">
        <w:t xml:space="preserve"> </w:t>
      </w:r>
      <w:proofErr w:type="spellStart"/>
      <w:r w:rsidRPr="002906A3">
        <w:t>dissipate</w:t>
      </w:r>
      <w:proofErr w:type="spellEnd"/>
      <w:r w:rsidRPr="002906A3">
        <w:t xml:space="preserve"> </w:t>
      </w:r>
      <w:proofErr w:type="spellStart"/>
      <w:r w:rsidRPr="002906A3">
        <w:t>into</w:t>
      </w:r>
      <w:proofErr w:type="spellEnd"/>
      <w:r w:rsidRPr="002906A3">
        <w:t xml:space="preserve"> </w:t>
      </w:r>
      <w:proofErr w:type="spellStart"/>
      <w:r w:rsidRPr="002906A3">
        <w:t>nothingness</w:t>
      </w:r>
      <w:proofErr w:type="spellEnd"/>
      <w:r w:rsidRPr="002906A3">
        <w:t xml:space="preserve">, </w:t>
      </w:r>
      <w:proofErr w:type="spellStart"/>
      <w:r w:rsidRPr="002906A3">
        <w:t>leaving</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unchanged</w:t>
      </w:r>
      <w:proofErr w:type="spellEnd"/>
      <w:r w:rsidRPr="002906A3">
        <w:t>.</w:t>
      </w:r>
    </w:p>
    <w:p w14:paraId="33CD8352" w14:textId="77777777" w:rsidR="001E7189" w:rsidRPr="002906A3" w:rsidRDefault="001E7189" w:rsidP="00BA67A6">
      <w:pPr>
        <w:jc w:val="both"/>
      </w:pPr>
    </w:p>
    <w:p w14:paraId="6E33A98B" w14:textId="77777777" w:rsidR="001E7189" w:rsidRPr="002906A3" w:rsidRDefault="001E7189" w:rsidP="00BA67A6">
      <w:pPr>
        <w:jc w:val="both"/>
      </w:pPr>
      <w:r w:rsidRPr="002906A3">
        <w:t xml:space="preserve">POZZO: </w:t>
      </w:r>
      <w:proofErr w:type="spellStart"/>
      <w:r w:rsidRPr="002906A3">
        <w:t>You</w:t>
      </w:r>
      <w:proofErr w:type="spellEnd"/>
      <w:r w:rsidRPr="002906A3">
        <w:t xml:space="preserve"> </w:t>
      </w:r>
      <w:proofErr w:type="spellStart"/>
      <w:r w:rsidRPr="002906A3">
        <w:t>must</w:t>
      </w:r>
      <w:proofErr w:type="spellEnd"/>
      <w:r w:rsidRPr="002906A3">
        <w:t xml:space="preserve"> put it on his </w:t>
      </w:r>
      <w:proofErr w:type="spellStart"/>
      <w:r w:rsidRPr="002906A3">
        <w:t>head</w:t>
      </w:r>
      <w:proofErr w:type="spellEnd"/>
      <w:r w:rsidRPr="002906A3">
        <w:t>.</w:t>
      </w:r>
    </w:p>
    <w:p w14:paraId="4EFC3008" w14:textId="77777777" w:rsidR="001E7189" w:rsidRPr="002906A3" w:rsidRDefault="001E7189" w:rsidP="00BA67A6">
      <w:pPr>
        <w:jc w:val="both"/>
      </w:pPr>
      <w:r w:rsidRPr="002906A3">
        <w:t>ESTRAGON: (</w:t>
      </w:r>
      <w:proofErr w:type="spellStart"/>
      <w:r w:rsidRPr="002906A3">
        <w:t>to</w:t>
      </w:r>
      <w:proofErr w:type="spellEnd"/>
      <w:r w:rsidRPr="002906A3">
        <w:t xml:space="preserve"> </w:t>
      </w:r>
      <w:proofErr w:type="spellStart"/>
      <w:r w:rsidRPr="002906A3">
        <w:t>Pozzo</w:t>
      </w:r>
      <w:proofErr w:type="spellEnd"/>
      <w:r w:rsidRPr="002906A3">
        <w:t xml:space="preserve">). </w:t>
      </w:r>
      <w:proofErr w:type="spellStart"/>
      <w:r w:rsidRPr="002906A3">
        <w:t>Tell</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take</w:t>
      </w:r>
      <w:proofErr w:type="spellEnd"/>
      <w:r w:rsidRPr="002906A3">
        <w:t xml:space="preserve"> it.</w:t>
      </w:r>
    </w:p>
    <w:p w14:paraId="3BCB8A62" w14:textId="77777777" w:rsidR="001E7189" w:rsidRPr="002906A3" w:rsidRDefault="001E7189" w:rsidP="00BA67A6">
      <w:pPr>
        <w:jc w:val="both"/>
      </w:pPr>
      <w:r w:rsidRPr="002906A3">
        <w:t xml:space="preserve">POZZO: </w:t>
      </w:r>
      <w:proofErr w:type="spellStart"/>
      <w:r w:rsidRPr="002906A3">
        <w:t>It’s</w:t>
      </w:r>
      <w:proofErr w:type="spellEnd"/>
      <w:r w:rsidRPr="002906A3">
        <w:t xml:space="preserve"> </w:t>
      </w:r>
      <w:proofErr w:type="spellStart"/>
      <w:r w:rsidRPr="002906A3">
        <w:t>better</w:t>
      </w:r>
      <w:proofErr w:type="spellEnd"/>
      <w:r w:rsidRPr="002906A3">
        <w:t xml:space="preserve"> </w:t>
      </w:r>
      <w:proofErr w:type="spellStart"/>
      <w:r w:rsidRPr="002906A3">
        <w:t>to</w:t>
      </w:r>
      <w:proofErr w:type="spellEnd"/>
      <w:r w:rsidRPr="002906A3">
        <w:t xml:space="preserve"> put it on his </w:t>
      </w:r>
      <w:proofErr w:type="spellStart"/>
      <w:r w:rsidRPr="002906A3">
        <w:t>head</w:t>
      </w:r>
      <w:proofErr w:type="spellEnd"/>
      <w:r w:rsidRPr="002906A3">
        <w:t>.</w:t>
      </w:r>
    </w:p>
    <w:p w14:paraId="0A88A586" w14:textId="77777777" w:rsidR="001E7189" w:rsidRPr="002906A3" w:rsidRDefault="001E7189" w:rsidP="00BA67A6">
      <w:pPr>
        <w:jc w:val="both"/>
      </w:pPr>
      <w:r w:rsidRPr="002906A3">
        <w:t xml:space="preserve">VLADIMIR: </w:t>
      </w:r>
      <w:proofErr w:type="spellStart"/>
      <w:r w:rsidRPr="002906A3">
        <w:t>I'll</w:t>
      </w:r>
      <w:proofErr w:type="spellEnd"/>
      <w:r w:rsidRPr="002906A3">
        <w:t xml:space="preserve"> put it on his </w:t>
      </w:r>
      <w:proofErr w:type="spellStart"/>
      <w:r w:rsidRPr="002906A3">
        <w:t>head</w:t>
      </w:r>
      <w:proofErr w:type="spellEnd"/>
      <w:r w:rsidRPr="002906A3">
        <w:t>.</w:t>
      </w:r>
    </w:p>
    <w:p w14:paraId="3742C9F1" w14:textId="77777777" w:rsidR="001E7189" w:rsidRPr="002906A3" w:rsidRDefault="001E7189" w:rsidP="00BA67A6">
      <w:pPr>
        <w:jc w:val="both"/>
      </w:pPr>
      <w:r w:rsidRPr="002906A3">
        <w:t xml:space="preserve">He </w:t>
      </w:r>
      <w:proofErr w:type="spellStart"/>
      <w:r w:rsidRPr="002906A3">
        <w:t>goes</w:t>
      </w:r>
      <w:proofErr w:type="spellEnd"/>
      <w:r w:rsidRPr="002906A3">
        <w:t xml:space="preserve"> </w:t>
      </w:r>
      <w:proofErr w:type="spellStart"/>
      <w:r w:rsidRPr="002906A3">
        <w:t>round</w:t>
      </w:r>
      <w:proofErr w:type="spellEnd"/>
      <w:r w:rsidRPr="002906A3">
        <w:t xml:space="preserve"> </w:t>
      </w:r>
      <w:proofErr w:type="spellStart"/>
      <w:r w:rsidRPr="002906A3">
        <w:t>behind</w:t>
      </w:r>
      <w:proofErr w:type="spellEnd"/>
      <w:r w:rsidRPr="002906A3">
        <w:t xml:space="preserve"> </w:t>
      </w:r>
      <w:proofErr w:type="spellStart"/>
      <w:r w:rsidRPr="002906A3">
        <w:t>Lucky</w:t>
      </w:r>
      <w:proofErr w:type="spellEnd"/>
      <w:r w:rsidRPr="002906A3">
        <w:t xml:space="preserve">, </w:t>
      </w:r>
      <w:proofErr w:type="spellStart"/>
      <w:r w:rsidRPr="002906A3">
        <w:t>approaches</w:t>
      </w:r>
      <w:proofErr w:type="spellEnd"/>
      <w:r w:rsidRPr="002906A3">
        <w:t xml:space="preserve"> </w:t>
      </w:r>
      <w:proofErr w:type="spellStart"/>
      <w:r w:rsidRPr="002906A3">
        <w:t>him</w:t>
      </w:r>
      <w:proofErr w:type="spellEnd"/>
      <w:r w:rsidRPr="002906A3">
        <w:t xml:space="preserve"> </w:t>
      </w:r>
      <w:proofErr w:type="spellStart"/>
      <w:r w:rsidRPr="002906A3">
        <w:t>cautiously</w:t>
      </w:r>
      <w:proofErr w:type="spellEnd"/>
      <w:r w:rsidRPr="002906A3">
        <w:t xml:space="preserve">, </w:t>
      </w:r>
      <w:proofErr w:type="spellStart"/>
      <w:r w:rsidRPr="002906A3">
        <w:t>puts</w:t>
      </w:r>
      <w:proofErr w:type="spellEnd"/>
      <w:r w:rsidRPr="002906A3">
        <w:t xml:space="preserve"> </w:t>
      </w:r>
      <w:proofErr w:type="spellStart"/>
      <w:r w:rsidRPr="002906A3">
        <w:t>the</w:t>
      </w:r>
      <w:proofErr w:type="spellEnd"/>
      <w:r w:rsidRPr="002906A3">
        <w:t xml:space="preserve"> hat on his </w:t>
      </w:r>
      <w:proofErr w:type="spellStart"/>
      <w:r w:rsidRPr="002906A3">
        <w:t>head</w:t>
      </w:r>
      <w:proofErr w:type="spellEnd"/>
      <w:r w:rsidRPr="002906A3">
        <w:t xml:space="preserve"> </w:t>
      </w:r>
      <w:proofErr w:type="spellStart"/>
      <w:r w:rsidRPr="002906A3">
        <w:t>and</w:t>
      </w:r>
      <w:proofErr w:type="spellEnd"/>
      <w:r w:rsidRPr="002906A3">
        <w:t xml:space="preserve"> </w:t>
      </w:r>
      <w:proofErr w:type="spellStart"/>
      <w:r w:rsidRPr="002906A3">
        <w:t>recoils</w:t>
      </w:r>
      <w:proofErr w:type="spellEnd"/>
      <w:r w:rsidRPr="002906A3">
        <w:t xml:space="preserve"> </w:t>
      </w:r>
      <w:proofErr w:type="spellStart"/>
      <w:r w:rsidRPr="002906A3">
        <w:t>smartly</w:t>
      </w:r>
      <w:proofErr w:type="spellEnd"/>
      <w:r w:rsidRPr="002906A3">
        <w:t xml:space="preserve">. </w:t>
      </w:r>
      <w:proofErr w:type="spellStart"/>
      <w:r w:rsidRPr="002906A3">
        <w:t>Lucky</w:t>
      </w:r>
      <w:proofErr w:type="spellEnd"/>
      <w:r w:rsidRPr="002906A3">
        <w:t xml:space="preserve"> </w:t>
      </w:r>
      <w:proofErr w:type="spellStart"/>
      <w:r w:rsidRPr="002906A3">
        <w:t>does</w:t>
      </w:r>
      <w:proofErr w:type="spellEnd"/>
      <w:r w:rsidRPr="002906A3">
        <w:t xml:space="preserve"> not </w:t>
      </w:r>
      <w:proofErr w:type="spellStart"/>
      <w:r w:rsidRPr="002906A3">
        <w:t>move</w:t>
      </w:r>
      <w:proofErr w:type="spellEnd"/>
      <w:r w:rsidRPr="002906A3">
        <w:t>.</w:t>
      </w:r>
    </w:p>
    <w:p w14:paraId="1849E83D" w14:textId="77777777" w:rsidR="001E7189" w:rsidRPr="002906A3" w:rsidRDefault="001E7189" w:rsidP="00BA67A6">
      <w:pPr>
        <w:jc w:val="both"/>
      </w:pPr>
      <w:r w:rsidRPr="002906A3">
        <w:t>Silence.</w:t>
      </w:r>
    </w:p>
    <w:p w14:paraId="665F1CC9" w14:textId="77777777" w:rsidR="001E7189" w:rsidRPr="002906A3" w:rsidRDefault="001E7189" w:rsidP="00BA67A6">
      <w:pPr>
        <w:jc w:val="both"/>
      </w:pPr>
      <w:r w:rsidRPr="002906A3">
        <w:t>(Beckett, 1953, p. 45)​</w:t>
      </w:r>
    </w:p>
    <w:p w14:paraId="69E046CD" w14:textId="77777777" w:rsidR="001E7189" w:rsidRPr="002906A3" w:rsidRDefault="001E7189" w:rsidP="00BA67A6">
      <w:pPr>
        <w:jc w:val="both"/>
      </w:pPr>
    </w:p>
    <w:p w14:paraId="5C090302" w14:textId="77777777" w:rsidR="001E7189" w:rsidRPr="002906A3" w:rsidRDefault="001E7189" w:rsidP="00BA67A6">
      <w:pPr>
        <w:jc w:val="both"/>
      </w:pPr>
      <w:proofErr w:type="spellStart"/>
      <w:r w:rsidRPr="002906A3">
        <w:t>This</w:t>
      </w:r>
      <w:proofErr w:type="spellEnd"/>
      <w:r w:rsidRPr="002906A3">
        <w:t xml:space="preserve"> silence </w:t>
      </w:r>
      <w:proofErr w:type="spellStart"/>
      <w:r w:rsidRPr="002906A3">
        <w:t>emphasizes</w:t>
      </w:r>
      <w:proofErr w:type="spellEnd"/>
      <w:r w:rsidRPr="002906A3">
        <w:t xml:space="preserve"> </w:t>
      </w:r>
      <w:proofErr w:type="spellStart"/>
      <w:r w:rsidRPr="002906A3">
        <w:t>Lucky’s</w:t>
      </w:r>
      <w:proofErr w:type="spellEnd"/>
      <w:r w:rsidRPr="002906A3">
        <w:t xml:space="preserve"> </w:t>
      </w:r>
      <w:proofErr w:type="spellStart"/>
      <w:r w:rsidRPr="002906A3">
        <w:t>dehumanization</w:t>
      </w:r>
      <w:proofErr w:type="spellEnd"/>
      <w:r w:rsidRPr="002906A3">
        <w:t xml:space="preserve">. He is </w:t>
      </w:r>
      <w:proofErr w:type="spellStart"/>
      <w:r w:rsidRPr="002906A3">
        <w:t>treated</w:t>
      </w:r>
      <w:proofErr w:type="spellEnd"/>
      <w:r w:rsidRPr="002906A3">
        <w:t xml:space="preserve"> </w:t>
      </w:r>
      <w:proofErr w:type="spellStart"/>
      <w:r w:rsidRPr="002906A3">
        <w:t>like</w:t>
      </w:r>
      <w:proofErr w:type="spellEnd"/>
      <w:r w:rsidRPr="002906A3">
        <w:t xml:space="preserve"> an </w:t>
      </w:r>
      <w:proofErr w:type="spellStart"/>
      <w:r w:rsidRPr="002906A3">
        <w:t>object</w:t>
      </w:r>
      <w:proofErr w:type="spellEnd"/>
      <w:r w:rsidRPr="002906A3">
        <w:t xml:space="preserve">, </w:t>
      </w:r>
      <w:proofErr w:type="spellStart"/>
      <w:r w:rsidRPr="002906A3">
        <w:t>passively</w:t>
      </w:r>
      <w:proofErr w:type="spellEnd"/>
      <w:r w:rsidRPr="002906A3">
        <w:t xml:space="preserve"> </w:t>
      </w:r>
      <w:proofErr w:type="spellStart"/>
      <w:r w:rsidRPr="002906A3">
        <w:t>enduring</w:t>
      </w:r>
      <w:proofErr w:type="spellEnd"/>
      <w:r w:rsidRPr="002906A3">
        <w:t xml:space="preserve"> </w:t>
      </w:r>
      <w:proofErr w:type="spellStart"/>
      <w:r w:rsidRPr="002906A3">
        <w:t>whatever</w:t>
      </w:r>
      <w:proofErr w:type="spellEnd"/>
      <w:r w:rsidRPr="002906A3">
        <w:t xml:space="preserve"> </w:t>
      </w:r>
      <w:proofErr w:type="spellStart"/>
      <w:r w:rsidRPr="002906A3">
        <w:t>happens</w:t>
      </w:r>
      <w:proofErr w:type="spellEnd"/>
      <w:r w:rsidRPr="002906A3">
        <w:t xml:space="preserve"> </w:t>
      </w:r>
      <w:proofErr w:type="spellStart"/>
      <w:r w:rsidRPr="002906A3">
        <w:t>to</w:t>
      </w:r>
      <w:proofErr w:type="spellEnd"/>
      <w:r w:rsidRPr="002906A3">
        <w:t xml:space="preserve"> </w:t>
      </w:r>
      <w:proofErr w:type="spellStart"/>
      <w:r w:rsidRPr="002906A3">
        <w:t>him</w:t>
      </w:r>
      <w:proofErr w:type="spellEnd"/>
      <w:r w:rsidRPr="002906A3">
        <w:t xml:space="preserve">. </w:t>
      </w:r>
      <w:proofErr w:type="spellStart"/>
      <w:r w:rsidRPr="002906A3">
        <w:t>The</w:t>
      </w:r>
      <w:proofErr w:type="spellEnd"/>
      <w:r w:rsidRPr="002906A3">
        <w:t xml:space="preserve"> silence </w:t>
      </w:r>
      <w:proofErr w:type="spellStart"/>
      <w:r w:rsidRPr="002906A3">
        <w:t>also</w:t>
      </w:r>
      <w:proofErr w:type="spellEnd"/>
      <w:r w:rsidRPr="002906A3">
        <w:t xml:space="preserve"> </w:t>
      </w:r>
      <w:proofErr w:type="spellStart"/>
      <w:r w:rsidRPr="002906A3">
        <w:t>conveys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w:t>
      </w:r>
      <w:proofErr w:type="spellEnd"/>
      <w:r w:rsidRPr="002906A3">
        <w:t xml:space="preserve"> moment—</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treat</w:t>
      </w:r>
      <w:proofErr w:type="spellEnd"/>
      <w:r w:rsidRPr="002906A3">
        <w:t xml:space="preserve"> </w:t>
      </w:r>
      <w:proofErr w:type="spellStart"/>
      <w:r w:rsidRPr="002906A3">
        <w:t>placing</w:t>
      </w:r>
      <w:proofErr w:type="spellEnd"/>
      <w:r w:rsidRPr="002906A3">
        <w:t xml:space="preserve"> a hat on </w:t>
      </w:r>
      <w:proofErr w:type="spellStart"/>
      <w:r w:rsidRPr="002906A3">
        <w:t>Lucky</w:t>
      </w:r>
      <w:proofErr w:type="spellEnd"/>
      <w:r w:rsidRPr="002906A3">
        <w:t xml:space="preserve"> as an </w:t>
      </w:r>
      <w:proofErr w:type="spellStart"/>
      <w:r w:rsidRPr="002906A3">
        <w:t>important</w:t>
      </w:r>
      <w:proofErr w:type="spellEnd"/>
      <w:r w:rsidRPr="002906A3">
        <w:t xml:space="preserve"> </w:t>
      </w:r>
      <w:proofErr w:type="spellStart"/>
      <w:r w:rsidRPr="002906A3">
        <w:t>ritual</w:t>
      </w:r>
      <w:proofErr w:type="spellEnd"/>
      <w:r w:rsidRPr="002906A3">
        <w:t xml:space="preserve">, </w:t>
      </w:r>
      <w:proofErr w:type="spellStart"/>
      <w:r w:rsidRPr="002906A3">
        <w:t>though</w:t>
      </w:r>
      <w:proofErr w:type="spellEnd"/>
      <w:r w:rsidRPr="002906A3">
        <w:t xml:space="preserve"> it has </w:t>
      </w:r>
      <w:proofErr w:type="spellStart"/>
      <w:r w:rsidRPr="002906A3">
        <w:t>no</w:t>
      </w:r>
      <w:proofErr w:type="spellEnd"/>
      <w:r w:rsidRPr="002906A3">
        <w:t xml:space="preserve"> </w:t>
      </w:r>
      <w:proofErr w:type="spellStart"/>
      <w:r w:rsidRPr="002906A3">
        <w:t>real</w:t>
      </w:r>
      <w:proofErr w:type="spellEnd"/>
      <w:r w:rsidRPr="002906A3">
        <w:t xml:space="preserve"> </w:t>
      </w:r>
      <w:proofErr w:type="spellStart"/>
      <w:r w:rsidRPr="002906A3">
        <w:t>significance</w:t>
      </w:r>
      <w:proofErr w:type="spellEnd"/>
      <w:r w:rsidRPr="002906A3">
        <w:t>.</w:t>
      </w:r>
    </w:p>
    <w:p w14:paraId="60C54A14" w14:textId="77777777" w:rsidR="001E7189" w:rsidRPr="002906A3" w:rsidRDefault="001E7189" w:rsidP="00BA67A6">
      <w:pPr>
        <w:jc w:val="both"/>
      </w:pPr>
    </w:p>
    <w:p w14:paraId="0BB7BFC1" w14:textId="77777777" w:rsidR="001E7189" w:rsidRPr="002906A3" w:rsidRDefault="001E7189" w:rsidP="00BA67A6">
      <w:pPr>
        <w:jc w:val="both"/>
      </w:pPr>
    </w:p>
    <w:p w14:paraId="23440477" w14:textId="77777777" w:rsidR="001E7189" w:rsidRPr="002906A3" w:rsidRDefault="001E7189" w:rsidP="00BA67A6">
      <w:pPr>
        <w:jc w:val="both"/>
      </w:pPr>
      <w:r w:rsidRPr="002906A3">
        <w:t xml:space="preserve">VLADIMIR: </w:t>
      </w:r>
      <w:proofErr w:type="spellStart"/>
      <w:r w:rsidRPr="002906A3">
        <w:t>You</w:t>
      </w:r>
      <w:proofErr w:type="spellEnd"/>
      <w:r w:rsidRPr="002906A3">
        <w:t xml:space="preserve"> </w:t>
      </w:r>
      <w:proofErr w:type="spellStart"/>
      <w:r w:rsidRPr="002906A3">
        <w:t>work</w:t>
      </w:r>
      <w:proofErr w:type="spellEnd"/>
      <w:r w:rsidRPr="002906A3">
        <w:t xml:space="preserve"> </w:t>
      </w:r>
      <w:proofErr w:type="spellStart"/>
      <w:r w:rsidRPr="002906A3">
        <w:t>for</w:t>
      </w:r>
      <w:proofErr w:type="spellEnd"/>
      <w:r w:rsidRPr="002906A3">
        <w:t xml:space="preserve"> </w:t>
      </w:r>
      <w:proofErr w:type="spellStart"/>
      <w:r w:rsidRPr="002906A3">
        <w:t>Mr</w:t>
      </w:r>
      <w:proofErr w:type="spellEnd"/>
      <w:r w:rsidRPr="002906A3">
        <w:t xml:space="preserve">. </w:t>
      </w:r>
      <w:proofErr w:type="spellStart"/>
      <w:r w:rsidRPr="002906A3">
        <w:t>Godot</w:t>
      </w:r>
      <w:proofErr w:type="spellEnd"/>
      <w:r w:rsidRPr="002906A3">
        <w:t>?</w:t>
      </w:r>
    </w:p>
    <w:p w14:paraId="036C094C" w14:textId="77777777" w:rsidR="001E7189" w:rsidRPr="002906A3" w:rsidRDefault="001E7189" w:rsidP="00BA67A6">
      <w:pPr>
        <w:jc w:val="both"/>
      </w:pPr>
      <w:r w:rsidRPr="002906A3">
        <w:t xml:space="preserve">BOY: </w:t>
      </w:r>
      <w:proofErr w:type="spellStart"/>
      <w:r w:rsidRPr="002906A3">
        <w:t>Yes</w:t>
      </w:r>
      <w:proofErr w:type="spellEnd"/>
      <w:r w:rsidRPr="002906A3">
        <w:t xml:space="preserve"> </w:t>
      </w:r>
      <w:proofErr w:type="spellStart"/>
      <w:r w:rsidRPr="002906A3">
        <w:t>Sir</w:t>
      </w:r>
      <w:proofErr w:type="spellEnd"/>
      <w:r w:rsidRPr="002906A3">
        <w:t>.</w:t>
      </w:r>
    </w:p>
    <w:p w14:paraId="62AD67B2" w14:textId="77777777" w:rsidR="001E7189" w:rsidRPr="002906A3" w:rsidRDefault="001E7189" w:rsidP="00BA67A6">
      <w:pPr>
        <w:jc w:val="both"/>
      </w:pPr>
      <w:r w:rsidRPr="002906A3">
        <w:t xml:space="preserve">VLADIMIR: </w:t>
      </w:r>
      <w:proofErr w:type="spellStart"/>
      <w:r w:rsidRPr="002906A3">
        <w:t>What</w:t>
      </w:r>
      <w:proofErr w:type="spellEnd"/>
      <w:r w:rsidRPr="002906A3">
        <w:t xml:space="preserve"> do </w:t>
      </w:r>
      <w:proofErr w:type="spellStart"/>
      <w:r w:rsidRPr="002906A3">
        <w:t>you</w:t>
      </w:r>
      <w:proofErr w:type="spellEnd"/>
      <w:r w:rsidRPr="002906A3">
        <w:t xml:space="preserve"> do?</w:t>
      </w:r>
    </w:p>
    <w:p w14:paraId="3170159F" w14:textId="77777777" w:rsidR="001E7189" w:rsidRPr="002906A3" w:rsidRDefault="001E7189" w:rsidP="00BA67A6">
      <w:pPr>
        <w:jc w:val="both"/>
      </w:pPr>
      <w:r w:rsidRPr="002906A3">
        <w:t xml:space="preserve">BOY: I </w:t>
      </w:r>
      <w:proofErr w:type="spellStart"/>
      <w:r w:rsidRPr="002906A3">
        <w:t>mind</w:t>
      </w:r>
      <w:proofErr w:type="spellEnd"/>
      <w:r w:rsidRPr="002906A3">
        <w:t xml:space="preserve"> </w:t>
      </w:r>
      <w:proofErr w:type="spellStart"/>
      <w:r w:rsidRPr="002906A3">
        <w:t>the</w:t>
      </w:r>
      <w:proofErr w:type="spellEnd"/>
      <w:r w:rsidRPr="002906A3">
        <w:t xml:space="preserve"> </w:t>
      </w:r>
      <w:proofErr w:type="spellStart"/>
      <w:r w:rsidRPr="002906A3">
        <w:t>goats</w:t>
      </w:r>
      <w:proofErr w:type="spellEnd"/>
      <w:r w:rsidRPr="002906A3">
        <w:t xml:space="preserve">, </w:t>
      </w:r>
      <w:proofErr w:type="spellStart"/>
      <w:r w:rsidRPr="002906A3">
        <w:t>Sir</w:t>
      </w:r>
      <w:proofErr w:type="spellEnd"/>
      <w:r w:rsidRPr="002906A3">
        <w:t>.</w:t>
      </w:r>
    </w:p>
    <w:p w14:paraId="33FA3533" w14:textId="77777777" w:rsidR="001E7189" w:rsidRPr="002906A3" w:rsidRDefault="001E7189" w:rsidP="00BA67A6">
      <w:pPr>
        <w:jc w:val="both"/>
      </w:pPr>
      <w:r w:rsidRPr="002906A3">
        <w:t xml:space="preserve">VLADIMIR: Is he </w:t>
      </w:r>
      <w:proofErr w:type="spellStart"/>
      <w:r w:rsidRPr="002906A3">
        <w:t>good</w:t>
      </w:r>
      <w:proofErr w:type="spellEnd"/>
      <w:r w:rsidRPr="002906A3">
        <w:t xml:space="preserve"> </w:t>
      </w:r>
      <w:proofErr w:type="spellStart"/>
      <w:r w:rsidRPr="002906A3">
        <w:t>to</w:t>
      </w:r>
      <w:proofErr w:type="spellEnd"/>
      <w:r w:rsidRPr="002906A3">
        <w:t xml:space="preserve"> </w:t>
      </w:r>
      <w:proofErr w:type="spellStart"/>
      <w:r w:rsidRPr="002906A3">
        <w:t>you</w:t>
      </w:r>
      <w:proofErr w:type="spellEnd"/>
      <w:r w:rsidRPr="002906A3">
        <w:t>?</w:t>
      </w:r>
    </w:p>
    <w:p w14:paraId="20D7C776" w14:textId="77777777" w:rsidR="001E7189" w:rsidRPr="002906A3" w:rsidRDefault="001E7189" w:rsidP="00BA67A6">
      <w:pPr>
        <w:jc w:val="both"/>
      </w:pPr>
      <w:r w:rsidRPr="002906A3">
        <w:t xml:space="preserve">BOY: </w:t>
      </w:r>
      <w:proofErr w:type="spellStart"/>
      <w:r w:rsidRPr="002906A3">
        <w:t>Yes</w:t>
      </w:r>
      <w:proofErr w:type="spellEnd"/>
      <w:r w:rsidRPr="002906A3">
        <w:t xml:space="preserve"> </w:t>
      </w:r>
      <w:proofErr w:type="spellStart"/>
      <w:r w:rsidRPr="002906A3">
        <w:t>Sir</w:t>
      </w:r>
      <w:proofErr w:type="spellEnd"/>
      <w:r w:rsidRPr="002906A3">
        <w:t>.</w:t>
      </w:r>
    </w:p>
    <w:p w14:paraId="110BBCDB" w14:textId="77777777" w:rsidR="001E7189" w:rsidRPr="002906A3" w:rsidRDefault="001E7189" w:rsidP="00BA67A6">
      <w:pPr>
        <w:jc w:val="both"/>
      </w:pPr>
      <w:r w:rsidRPr="002906A3">
        <w:t xml:space="preserve">VLADIMIR: He </w:t>
      </w:r>
      <w:proofErr w:type="spellStart"/>
      <w:r w:rsidRPr="002906A3">
        <w:t>doesn’t</w:t>
      </w:r>
      <w:proofErr w:type="spellEnd"/>
      <w:r w:rsidRPr="002906A3">
        <w:t xml:space="preserve"> </w:t>
      </w:r>
      <w:proofErr w:type="spellStart"/>
      <w:r w:rsidRPr="002906A3">
        <w:t>beat</w:t>
      </w:r>
      <w:proofErr w:type="spellEnd"/>
      <w:r w:rsidRPr="002906A3">
        <w:t xml:space="preserve"> </w:t>
      </w:r>
      <w:proofErr w:type="spellStart"/>
      <w:r w:rsidRPr="002906A3">
        <w:t>you</w:t>
      </w:r>
      <w:proofErr w:type="spellEnd"/>
      <w:r w:rsidRPr="002906A3">
        <w:t>?</w:t>
      </w:r>
    </w:p>
    <w:p w14:paraId="0A58DFE0" w14:textId="77777777" w:rsidR="001E7189" w:rsidRPr="002906A3" w:rsidRDefault="001E7189" w:rsidP="00BA67A6">
      <w:pPr>
        <w:jc w:val="both"/>
      </w:pPr>
      <w:r w:rsidRPr="002906A3">
        <w:t xml:space="preserve">BOY: No </w:t>
      </w:r>
      <w:proofErr w:type="spellStart"/>
      <w:r w:rsidRPr="002906A3">
        <w:t>Sir</w:t>
      </w:r>
      <w:proofErr w:type="spellEnd"/>
      <w:r w:rsidRPr="002906A3">
        <w:t>, not me.</w:t>
      </w:r>
    </w:p>
    <w:p w14:paraId="0E913E57" w14:textId="77777777" w:rsidR="001E7189" w:rsidRPr="002906A3" w:rsidRDefault="001E7189" w:rsidP="00BA67A6">
      <w:pPr>
        <w:jc w:val="both"/>
      </w:pPr>
      <w:r w:rsidRPr="002906A3">
        <w:t xml:space="preserve">VLADIMIR: </w:t>
      </w:r>
      <w:proofErr w:type="spellStart"/>
      <w:r w:rsidRPr="002906A3">
        <w:t>Whom</w:t>
      </w:r>
      <w:proofErr w:type="spellEnd"/>
      <w:r w:rsidRPr="002906A3">
        <w:t xml:space="preserve"> </w:t>
      </w:r>
      <w:proofErr w:type="spellStart"/>
      <w:r w:rsidRPr="002906A3">
        <w:t>does</w:t>
      </w:r>
      <w:proofErr w:type="spellEnd"/>
      <w:r w:rsidRPr="002906A3">
        <w:t xml:space="preserve"> he </w:t>
      </w:r>
      <w:proofErr w:type="spellStart"/>
      <w:r w:rsidRPr="002906A3">
        <w:t>beat</w:t>
      </w:r>
      <w:proofErr w:type="spellEnd"/>
      <w:r w:rsidRPr="002906A3">
        <w:t>?</w:t>
      </w:r>
    </w:p>
    <w:p w14:paraId="7511384A" w14:textId="77777777" w:rsidR="001E7189" w:rsidRPr="002906A3" w:rsidRDefault="001E7189" w:rsidP="00BA67A6">
      <w:pPr>
        <w:jc w:val="both"/>
      </w:pPr>
      <w:r w:rsidRPr="002906A3">
        <w:t xml:space="preserve">BOY: He </w:t>
      </w:r>
      <w:proofErr w:type="spellStart"/>
      <w:r w:rsidRPr="002906A3">
        <w:t>beats</w:t>
      </w:r>
      <w:proofErr w:type="spellEnd"/>
      <w:r w:rsidRPr="002906A3">
        <w:t xml:space="preserve"> </w:t>
      </w:r>
      <w:proofErr w:type="spellStart"/>
      <w:r w:rsidRPr="002906A3">
        <w:t>my</w:t>
      </w:r>
      <w:proofErr w:type="spellEnd"/>
      <w:r w:rsidRPr="002906A3">
        <w:t xml:space="preserve"> </w:t>
      </w:r>
      <w:proofErr w:type="spellStart"/>
      <w:r w:rsidRPr="002906A3">
        <w:t>brother</w:t>
      </w:r>
      <w:proofErr w:type="spellEnd"/>
      <w:r w:rsidRPr="002906A3">
        <w:t xml:space="preserve">, </w:t>
      </w:r>
      <w:proofErr w:type="spellStart"/>
      <w:r w:rsidRPr="002906A3">
        <w:t>Sir</w:t>
      </w:r>
      <w:proofErr w:type="spellEnd"/>
      <w:r w:rsidRPr="002906A3">
        <w:t>.</w:t>
      </w:r>
    </w:p>
    <w:p w14:paraId="30A960ED" w14:textId="77777777" w:rsidR="001E7189" w:rsidRPr="002906A3" w:rsidRDefault="001E7189" w:rsidP="00BA67A6">
      <w:pPr>
        <w:jc w:val="both"/>
      </w:pPr>
      <w:r w:rsidRPr="002906A3">
        <w:t>Silence.</w:t>
      </w:r>
    </w:p>
    <w:p w14:paraId="6CF8291B" w14:textId="77777777" w:rsidR="001E7189" w:rsidRPr="002906A3" w:rsidRDefault="001E7189" w:rsidP="00BA67A6">
      <w:pPr>
        <w:jc w:val="both"/>
      </w:pPr>
      <w:r w:rsidRPr="002906A3">
        <w:lastRenderedPageBreak/>
        <w:t>(Beckett, 1953, p. 52)</w:t>
      </w:r>
    </w:p>
    <w:p w14:paraId="074DD5D1" w14:textId="77777777" w:rsidR="001E7189" w:rsidRPr="002906A3" w:rsidRDefault="001E7189" w:rsidP="00BA67A6">
      <w:pPr>
        <w:jc w:val="both"/>
      </w:pPr>
    </w:p>
    <w:p w14:paraId="501060B5" w14:textId="5BC07649" w:rsidR="001E7189" w:rsidRPr="002906A3" w:rsidRDefault="001E7189" w:rsidP="00BA67A6">
      <w:pPr>
        <w:jc w:val="both"/>
      </w:pPr>
      <w:proofErr w:type="spellStart"/>
      <w:r w:rsidRPr="002906A3">
        <w:t>This</w:t>
      </w:r>
      <w:proofErr w:type="spellEnd"/>
      <w:r w:rsidRPr="002906A3">
        <w:t xml:space="preserve"> silence </w:t>
      </w:r>
      <w:proofErr w:type="spellStart"/>
      <w:r w:rsidRPr="002906A3">
        <w:t>reflects</w:t>
      </w:r>
      <w:proofErr w:type="spellEnd"/>
      <w:r w:rsidRPr="002906A3">
        <w:t xml:space="preserve"> </w:t>
      </w:r>
      <w:proofErr w:type="spellStart"/>
      <w:r w:rsidRPr="002906A3">
        <w:t>the</w:t>
      </w:r>
      <w:proofErr w:type="spellEnd"/>
      <w:r w:rsidRPr="002906A3">
        <w:t xml:space="preserve"> </w:t>
      </w:r>
      <w:proofErr w:type="spellStart"/>
      <w:r w:rsidRPr="002906A3">
        <w:t>cruelty</w:t>
      </w:r>
      <w:proofErr w:type="spellEnd"/>
      <w:r w:rsidRPr="002906A3">
        <w:t xml:space="preserve"> </w:t>
      </w:r>
      <w:proofErr w:type="spellStart"/>
      <w:r w:rsidRPr="002906A3">
        <w:t>and</w:t>
      </w:r>
      <w:proofErr w:type="spellEnd"/>
      <w:r w:rsidRPr="002906A3">
        <w:t xml:space="preserve"> </w:t>
      </w:r>
      <w:proofErr w:type="spellStart"/>
      <w:r w:rsidRPr="002906A3">
        <w:t>injustice</w:t>
      </w:r>
      <w:proofErr w:type="spellEnd"/>
      <w:r w:rsidRPr="002906A3">
        <w:t xml:space="preserve"> of </w:t>
      </w:r>
      <w:proofErr w:type="spellStart"/>
      <w:r w:rsidRPr="002906A3">
        <w:t>the</w:t>
      </w:r>
      <w:proofErr w:type="spellEnd"/>
      <w:r w:rsidRPr="002906A3">
        <w:t xml:space="preserve"> </w:t>
      </w:r>
      <w:proofErr w:type="spellStart"/>
      <w:r w:rsidRPr="002906A3">
        <w:t>world</w:t>
      </w:r>
      <w:proofErr w:type="spellEnd"/>
      <w:r w:rsidRPr="002906A3">
        <w:t xml:space="preserve"> </w:t>
      </w:r>
      <w:proofErr w:type="spellStart"/>
      <w:r w:rsidRPr="002906A3">
        <w:t>that</w:t>
      </w:r>
      <w:proofErr w:type="spellEnd"/>
      <w:r w:rsidRPr="002906A3">
        <w:t xml:space="preserve"> Beckett </w:t>
      </w:r>
      <w:proofErr w:type="spellStart"/>
      <w:r w:rsidRPr="002906A3">
        <w:t>portrays</w:t>
      </w:r>
      <w:proofErr w:type="spellEnd"/>
      <w:r w:rsidRPr="002906A3">
        <w:t xml:space="preserve">. Vladimir </w:t>
      </w:r>
      <w:proofErr w:type="spellStart"/>
      <w:r w:rsidRPr="002906A3">
        <w:t>does</w:t>
      </w:r>
      <w:proofErr w:type="spellEnd"/>
      <w:r w:rsidRPr="002906A3">
        <w:t xml:space="preserve"> not </w:t>
      </w:r>
      <w:proofErr w:type="spellStart"/>
      <w:r w:rsidRPr="002906A3">
        <w:t>react</w:t>
      </w:r>
      <w:proofErr w:type="spellEnd"/>
      <w:r w:rsidRPr="002906A3">
        <w:t xml:space="preserve"> </w:t>
      </w:r>
      <w:proofErr w:type="spellStart"/>
      <w:r w:rsidRPr="002906A3">
        <w:t>meaningfully</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w:t>
      </w:r>
      <w:proofErr w:type="spellStart"/>
      <w:r w:rsidRPr="002906A3">
        <w:t>revelation</w:t>
      </w:r>
      <w:proofErr w:type="spellEnd"/>
      <w:r w:rsidRPr="002906A3">
        <w:t xml:space="preserve"> </w:t>
      </w:r>
      <w:proofErr w:type="spellStart"/>
      <w:r w:rsidRPr="002906A3">
        <w:t>that</w:t>
      </w:r>
      <w:proofErr w:type="spellEnd"/>
      <w:r w:rsidRPr="002906A3">
        <w:t xml:space="preserve"> </w:t>
      </w:r>
      <w:proofErr w:type="spellStart"/>
      <w:r w:rsidRPr="002906A3">
        <w:t>Godot</w:t>
      </w:r>
      <w:proofErr w:type="spellEnd"/>
      <w:r w:rsidRPr="002906A3">
        <w:t xml:space="preserve"> </w:t>
      </w:r>
      <w:proofErr w:type="spellStart"/>
      <w:r w:rsidRPr="002906A3">
        <w:t>beats</w:t>
      </w:r>
      <w:proofErr w:type="spellEnd"/>
      <w:r w:rsidRPr="002906A3">
        <w:t xml:space="preserve"> </w:t>
      </w:r>
      <w:proofErr w:type="spellStart"/>
      <w:r w:rsidRPr="002906A3">
        <w:t>the</w:t>
      </w:r>
      <w:proofErr w:type="spellEnd"/>
      <w:r w:rsidRPr="002906A3">
        <w:t xml:space="preserve"> </w:t>
      </w:r>
      <w:proofErr w:type="spellStart"/>
      <w:r w:rsidRPr="002906A3">
        <w:t>boy’s</w:t>
      </w:r>
      <w:proofErr w:type="spellEnd"/>
      <w:r w:rsidRPr="002906A3">
        <w:t xml:space="preserve"> </w:t>
      </w:r>
      <w:proofErr w:type="spellStart"/>
      <w:r w:rsidRPr="002906A3">
        <w:t>brother</w:t>
      </w:r>
      <w:proofErr w:type="spellEnd"/>
      <w:r w:rsidRPr="002906A3">
        <w:t>—</w:t>
      </w:r>
      <w:proofErr w:type="spellStart"/>
      <w:r w:rsidRPr="002906A3">
        <w:t>highlighting</w:t>
      </w:r>
      <w:proofErr w:type="spellEnd"/>
      <w:r w:rsidRPr="002906A3">
        <w:t xml:space="preserve"> </w:t>
      </w:r>
      <w:proofErr w:type="spellStart"/>
      <w:r w:rsidRPr="002906A3">
        <w:t>the</w:t>
      </w:r>
      <w:proofErr w:type="spellEnd"/>
      <w:r w:rsidRPr="002906A3">
        <w:t xml:space="preserve"> </w:t>
      </w:r>
      <w:proofErr w:type="spellStart"/>
      <w:r w:rsidRPr="002906A3">
        <w:t>theme</w:t>
      </w:r>
      <w:proofErr w:type="spellEnd"/>
      <w:r w:rsidRPr="002906A3">
        <w:t xml:space="preserve"> of </w:t>
      </w:r>
      <w:proofErr w:type="spellStart"/>
      <w:r w:rsidRPr="002906A3">
        <w:t>indifference</w:t>
      </w:r>
      <w:proofErr w:type="spellEnd"/>
      <w:r w:rsidRPr="002906A3">
        <w:t xml:space="preserve"> </w:t>
      </w:r>
      <w:proofErr w:type="spellStart"/>
      <w:r w:rsidRPr="002906A3">
        <w:t>to</w:t>
      </w:r>
      <w:proofErr w:type="spellEnd"/>
      <w:r w:rsidRPr="002906A3">
        <w:t xml:space="preserve"> </w:t>
      </w:r>
      <w:proofErr w:type="spellStart"/>
      <w:r w:rsidRPr="002906A3">
        <w:t>suffering</w:t>
      </w:r>
      <w:proofErr w:type="spellEnd"/>
      <w:r w:rsidRPr="002906A3">
        <w:t xml:space="preserve">. </w:t>
      </w:r>
      <w:proofErr w:type="spellStart"/>
      <w:r w:rsidRPr="002906A3">
        <w:t>The</w:t>
      </w:r>
      <w:proofErr w:type="spellEnd"/>
      <w:r w:rsidRPr="002906A3">
        <w:t xml:space="preserve"> silence is </w:t>
      </w:r>
      <w:proofErr w:type="spellStart"/>
      <w:r w:rsidRPr="002906A3">
        <w:t>filled</w:t>
      </w:r>
      <w:proofErr w:type="spellEnd"/>
      <w:r w:rsidRPr="002906A3">
        <w:t xml:space="preserve"> </w:t>
      </w:r>
      <w:proofErr w:type="spellStart"/>
      <w:r w:rsidRPr="002906A3">
        <w:t>with</w:t>
      </w:r>
      <w:proofErr w:type="spellEnd"/>
      <w:r w:rsidRPr="002906A3">
        <w:t xml:space="preserve"> </w:t>
      </w:r>
      <w:proofErr w:type="spellStart"/>
      <w:r w:rsidRPr="002906A3">
        <w:t>unspoken</w:t>
      </w:r>
      <w:proofErr w:type="spellEnd"/>
      <w:r w:rsidRPr="002906A3">
        <w:t xml:space="preserve"> </w:t>
      </w:r>
      <w:proofErr w:type="spellStart"/>
      <w:r w:rsidRPr="002906A3">
        <w:t>implications</w:t>
      </w:r>
      <w:proofErr w:type="spellEnd"/>
      <w:r w:rsidRPr="002906A3">
        <w:t xml:space="preserve"> </w:t>
      </w:r>
      <w:proofErr w:type="spellStart"/>
      <w:r w:rsidRPr="002906A3">
        <w:t>about</w:t>
      </w:r>
      <w:proofErr w:type="spellEnd"/>
      <w:r w:rsidRPr="002906A3">
        <w:t xml:space="preserve"> </w:t>
      </w:r>
      <w:proofErr w:type="spellStart"/>
      <w:r w:rsidRPr="002906A3">
        <w:t>power</w:t>
      </w:r>
      <w:proofErr w:type="spellEnd"/>
      <w:r w:rsidRPr="002906A3">
        <w:t xml:space="preserve">, </w:t>
      </w:r>
      <w:proofErr w:type="spellStart"/>
      <w:r w:rsidRPr="002906A3">
        <w:t>violence</w:t>
      </w:r>
      <w:proofErr w:type="spellEnd"/>
      <w:r w:rsidRPr="002906A3">
        <w:t xml:space="preserve">, </w:t>
      </w:r>
      <w:proofErr w:type="spellStart"/>
      <w:r w:rsidRPr="002906A3">
        <w:t>and</w:t>
      </w:r>
      <w:proofErr w:type="spellEnd"/>
      <w:r w:rsidRPr="002906A3">
        <w:t xml:space="preserve"> </w:t>
      </w:r>
      <w:proofErr w:type="spellStart"/>
      <w:r w:rsidRPr="002906A3">
        <w:t>submission</w:t>
      </w:r>
      <w:proofErr w:type="spellEnd"/>
      <w:r w:rsidRPr="002906A3">
        <w:t>.</w:t>
      </w:r>
    </w:p>
    <w:p w14:paraId="1F5AD8EC" w14:textId="77777777" w:rsidR="001E7189" w:rsidRPr="002906A3" w:rsidRDefault="001E7189" w:rsidP="00BA67A6">
      <w:pPr>
        <w:jc w:val="both"/>
      </w:pPr>
    </w:p>
    <w:p w14:paraId="7B408F0D" w14:textId="77777777" w:rsidR="001E7189" w:rsidRPr="002906A3" w:rsidRDefault="001E7189" w:rsidP="00BA67A6">
      <w:pPr>
        <w:jc w:val="both"/>
      </w:pPr>
      <w:proofErr w:type="spellStart"/>
      <w:r w:rsidRPr="002906A3">
        <w:t>Moreover</w:t>
      </w:r>
      <w:proofErr w:type="spellEnd"/>
      <w:r w:rsidRPr="002906A3">
        <w:t xml:space="preserve">, </w:t>
      </w:r>
      <w:proofErr w:type="spellStart"/>
      <w:r w:rsidRPr="002906A3">
        <w:t>the</w:t>
      </w:r>
      <w:proofErr w:type="spellEnd"/>
      <w:r w:rsidRPr="002906A3">
        <w:t xml:space="preserve"> </w:t>
      </w:r>
      <w:proofErr w:type="spellStart"/>
      <w:r w:rsidRPr="002906A3">
        <w:t>relationship</w:t>
      </w:r>
      <w:proofErr w:type="spellEnd"/>
      <w:r w:rsidRPr="002906A3">
        <w:t xml:space="preserve"> </w:t>
      </w:r>
      <w:proofErr w:type="spellStart"/>
      <w:r w:rsidRPr="002906A3">
        <w:t>between</w:t>
      </w:r>
      <w:proofErr w:type="spellEnd"/>
      <w:r w:rsidRPr="002906A3">
        <w:t xml:space="preserve"> silence </w:t>
      </w:r>
      <w:proofErr w:type="spellStart"/>
      <w:r w:rsidRPr="002906A3">
        <w:t>and</w:t>
      </w:r>
      <w:proofErr w:type="spellEnd"/>
      <w:r w:rsidRPr="002906A3">
        <w:t xml:space="preserve"> </w:t>
      </w:r>
      <w:proofErr w:type="spellStart"/>
      <w:r w:rsidRPr="002906A3">
        <w:t>communication</w:t>
      </w:r>
      <w:proofErr w:type="spellEnd"/>
      <w:r w:rsidRPr="002906A3">
        <w:t xml:space="preserv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alludes</w:t>
      </w:r>
      <w:proofErr w:type="spellEnd"/>
      <w:r w:rsidRPr="002906A3">
        <w:t xml:space="preserve"> </w:t>
      </w:r>
      <w:proofErr w:type="spellStart"/>
      <w:r w:rsidRPr="002906A3">
        <w:t>to</w:t>
      </w:r>
      <w:proofErr w:type="spellEnd"/>
      <w:r w:rsidRPr="002906A3">
        <w:t xml:space="preserve"> </w:t>
      </w:r>
      <w:proofErr w:type="spellStart"/>
      <w:r w:rsidRPr="002906A3">
        <w:t>larger</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w:t>
      </w:r>
      <w:proofErr w:type="spellStart"/>
      <w:r w:rsidRPr="002906A3">
        <w:t>that</w:t>
      </w:r>
      <w:proofErr w:type="spellEnd"/>
      <w:r w:rsidRPr="002906A3">
        <w:t xml:space="preserve"> Beckett </w:t>
      </w:r>
      <w:proofErr w:type="spellStart"/>
      <w:r w:rsidRPr="002906A3">
        <w:t>explores</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often</w:t>
      </w:r>
      <w:proofErr w:type="spellEnd"/>
      <w:r w:rsidRPr="002906A3">
        <w:t xml:space="preserve"> </w:t>
      </w:r>
      <w:proofErr w:type="spellStart"/>
      <w:r w:rsidRPr="002906A3">
        <w:t>find</w:t>
      </w:r>
      <w:proofErr w:type="spellEnd"/>
      <w:r w:rsidRPr="002906A3">
        <w:t xml:space="preserve"> </w:t>
      </w:r>
      <w:proofErr w:type="spellStart"/>
      <w:r w:rsidRPr="002906A3">
        <w:t>themselves</w:t>
      </w:r>
      <w:proofErr w:type="spellEnd"/>
      <w:r w:rsidRPr="002906A3">
        <w:t xml:space="preserve"> </w:t>
      </w:r>
      <w:proofErr w:type="spellStart"/>
      <w:r w:rsidRPr="002906A3">
        <w:t>trapped</w:t>
      </w:r>
      <w:proofErr w:type="spellEnd"/>
      <w:r w:rsidRPr="002906A3">
        <w:t xml:space="preserve"> in a </w:t>
      </w:r>
      <w:proofErr w:type="spellStart"/>
      <w:r w:rsidRPr="002906A3">
        <w:t>waiting</w:t>
      </w:r>
      <w:proofErr w:type="spellEnd"/>
      <w:r w:rsidRPr="002906A3">
        <w:t xml:space="preserve"> </w:t>
      </w:r>
      <w:proofErr w:type="spellStart"/>
      <w:r w:rsidRPr="002906A3">
        <w:t>loop</w:t>
      </w:r>
      <w:proofErr w:type="spellEnd"/>
      <w:r w:rsidRPr="002906A3">
        <w:t xml:space="preserve">, </w:t>
      </w:r>
      <w:proofErr w:type="spellStart"/>
      <w:r w:rsidRPr="002906A3">
        <w:t>marked</w:t>
      </w:r>
      <w:proofErr w:type="spellEnd"/>
      <w:r w:rsidRPr="002906A3">
        <w:t xml:space="preserve"> </w:t>
      </w:r>
      <w:proofErr w:type="spellStart"/>
      <w:r w:rsidRPr="002906A3">
        <w:t>by</w:t>
      </w:r>
      <w:proofErr w:type="spellEnd"/>
      <w:r w:rsidRPr="002906A3">
        <w:t xml:space="preserve"> </w:t>
      </w:r>
      <w:proofErr w:type="spellStart"/>
      <w:r w:rsidRPr="002906A3">
        <w:t>their</w:t>
      </w:r>
      <w:proofErr w:type="spellEnd"/>
      <w:r w:rsidRPr="002906A3">
        <w:t xml:space="preserve"> </w:t>
      </w:r>
      <w:proofErr w:type="spellStart"/>
      <w:r w:rsidRPr="002906A3">
        <w:t>many</w:t>
      </w:r>
      <w:proofErr w:type="spellEnd"/>
      <w:r w:rsidRPr="002906A3">
        <w:t xml:space="preserve"> </w:t>
      </w:r>
      <w:proofErr w:type="spellStart"/>
      <w:r w:rsidRPr="002906A3">
        <w:t>silences</w:t>
      </w:r>
      <w:proofErr w:type="spellEnd"/>
      <w:r w:rsidRPr="002906A3">
        <w:t xml:space="preserve">. </w:t>
      </w:r>
      <w:proofErr w:type="spellStart"/>
      <w:r w:rsidRPr="002906A3">
        <w:t>This</w:t>
      </w:r>
      <w:proofErr w:type="spellEnd"/>
      <w:r w:rsidRPr="002906A3">
        <w:t xml:space="preserve"> </w:t>
      </w:r>
      <w:proofErr w:type="spellStart"/>
      <w:r w:rsidRPr="002906A3">
        <w:t>waiting</w:t>
      </w:r>
      <w:proofErr w:type="spellEnd"/>
      <w:r w:rsidRPr="002906A3">
        <w:t xml:space="preserve"> </w:t>
      </w:r>
      <w:proofErr w:type="spellStart"/>
      <w:r w:rsidRPr="002906A3">
        <w:t>reflects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their</w:t>
      </w:r>
      <w:proofErr w:type="spellEnd"/>
      <w:r w:rsidRPr="002906A3">
        <w:t xml:space="preserve"> </w:t>
      </w:r>
      <w:proofErr w:type="spellStart"/>
      <w:r w:rsidRPr="002906A3">
        <w:t>situation</w:t>
      </w:r>
      <w:proofErr w:type="spellEnd"/>
      <w:r w:rsidRPr="002906A3">
        <w:t xml:space="preserve">, </w:t>
      </w:r>
      <w:proofErr w:type="spellStart"/>
      <w:r w:rsidRPr="002906A3">
        <w:t>suggesting</w:t>
      </w:r>
      <w:proofErr w:type="spellEnd"/>
      <w:r w:rsidRPr="002906A3">
        <w:t xml:space="preserve"> </w:t>
      </w:r>
      <w:proofErr w:type="spellStart"/>
      <w:r w:rsidRPr="002906A3">
        <w:t>that</w:t>
      </w:r>
      <w:proofErr w:type="spellEnd"/>
      <w:r w:rsidRPr="002906A3">
        <w:t xml:space="preserve"> </w:t>
      </w:r>
      <w:proofErr w:type="spellStart"/>
      <w:r w:rsidRPr="002906A3">
        <w:t>while</w:t>
      </w:r>
      <w:proofErr w:type="spellEnd"/>
      <w:r w:rsidRPr="002906A3">
        <w:t xml:space="preserve"> they </w:t>
      </w:r>
      <w:proofErr w:type="spellStart"/>
      <w:r w:rsidRPr="002906A3">
        <w:t>wait</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they </w:t>
      </w:r>
      <w:proofErr w:type="spellStart"/>
      <w:r w:rsidRPr="002906A3">
        <w:t>also</w:t>
      </w:r>
      <w:proofErr w:type="spellEnd"/>
      <w:r w:rsidRPr="002906A3">
        <w:t xml:space="preserve"> </w:t>
      </w:r>
      <w:proofErr w:type="spellStart"/>
      <w:r w:rsidRPr="002906A3">
        <w:t>await</w:t>
      </w:r>
      <w:proofErr w:type="spellEnd"/>
      <w:r w:rsidRPr="002906A3">
        <w:t xml:space="preserve"> </w:t>
      </w:r>
      <w:proofErr w:type="spellStart"/>
      <w:r w:rsidRPr="002906A3">
        <w:t>meaning</w:t>
      </w:r>
      <w:proofErr w:type="spellEnd"/>
      <w:r w:rsidRPr="002906A3">
        <w:t xml:space="preserve"> </w:t>
      </w:r>
      <w:proofErr w:type="spellStart"/>
      <w:r w:rsidRPr="002906A3">
        <w:t>or</w:t>
      </w:r>
      <w:proofErr w:type="spellEnd"/>
      <w:r w:rsidRPr="002906A3">
        <w:t xml:space="preserve"> </w:t>
      </w:r>
      <w:proofErr w:type="spellStart"/>
      <w:r w:rsidRPr="002906A3">
        <w:t>purpose</w:t>
      </w:r>
      <w:proofErr w:type="spellEnd"/>
      <w:r w:rsidRPr="002906A3">
        <w:t xml:space="preserve"> in life. </w:t>
      </w:r>
      <w:proofErr w:type="spellStart"/>
      <w:r w:rsidRPr="002906A3">
        <w:t>In</w:t>
      </w:r>
      <w:proofErr w:type="spellEnd"/>
      <w:r w:rsidRPr="002906A3">
        <w:t xml:space="preserve"> </w:t>
      </w:r>
      <w:proofErr w:type="spellStart"/>
      <w:r w:rsidRPr="002906A3">
        <w:t>this</w:t>
      </w:r>
      <w:proofErr w:type="spellEnd"/>
      <w:r w:rsidRPr="002906A3">
        <w:t xml:space="preserve"> sense, silence </w:t>
      </w:r>
      <w:proofErr w:type="spellStart"/>
      <w:r w:rsidRPr="002906A3">
        <w:t>becomes</w:t>
      </w:r>
      <w:proofErr w:type="spellEnd"/>
      <w:r w:rsidRPr="002906A3">
        <w:t xml:space="preserve"> a </w:t>
      </w:r>
      <w:proofErr w:type="spellStart"/>
      <w:r w:rsidRPr="002906A3">
        <w:t>symbol</w:t>
      </w:r>
      <w:proofErr w:type="spellEnd"/>
      <w:r w:rsidRPr="002906A3">
        <w:t xml:space="preserve"> of </w:t>
      </w:r>
      <w:proofErr w:type="spellStart"/>
      <w:r w:rsidRPr="002906A3">
        <w:t>their</w:t>
      </w:r>
      <w:proofErr w:type="spellEnd"/>
      <w:r w:rsidRPr="002906A3">
        <w:t xml:space="preserve"> </w:t>
      </w:r>
      <w:proofErr w:type="spellStart"/>
      <w:r w:rsidRPr="002906A3">
        <w:t>existential</w:t>
      </w:r>
      <w:proofErr w:type="spellEnd"/>
      <w:r w:rsidRPr="002906A3">
        <w:t xml:space="preserve"> </w:t>
      </w:r>
      <w:proofErr w:type="spellStart"/>
      <w:r w:rsidRPr="002906A3">
        <w:t>crisis</w:t>
      </w:r>
      <w:proofErr w:type="spellEnd"/>
      <w:r w:rsidRPr="002906A3">
        <w:t xml:space="preserve">, </w:t>
      </w:r>
      <w:proofErr w:type="spellStart"/>
      <w:r w:rsidRPr="002906A3">
        <w:t>representing</w:t>
      </w:r>
      <w:proofErr w:type="spellEnd"/>
      <w:r w:rsidRPr="002906A3">
        <w:t xml:space="preserve"> </w:t>
      </w:r>
      <w:proofErr w:type="spellStart"/>
      <w:r w:rsidRPr="002906A3">
        <w:t>both</w:t>
      </w:r>
      <w:proofErr w:type="spellEnd"/>
      <w:r w:rsidRPr="002906A3">
        <w:t xml:space="preserve"> </w:t>
      </w:r>
      <w:proofErr w:type="spellStart"/>
      <w:r w:rsidRPr="002906A3">
        <w:t>hope</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 xml:space="preserve">. </w:t>
      </w:r>
      <w:proofErr w:type="spellStart"/>
      <w:r w:rsidRPr="002906A3">
        <w:t>The</w:t>
      </w:r>
      <w:proofErr w:type="spellEnd"/>
      <w:r w:rsidRPr="002906A3">
        <w:t xml:space="preserve"> </w:t>
      </w:r>
      <w:proofErr w:type="spellStart"/>
      <w:r w:rsidRPr="002906A3">
        <w:t>lack</w:t>
      </w:r>
      <w:proofErr w:type="spellEnd"/>
      <w:r w:rsidRPr="002906A3">
        <w:t xml:space="preserve"> of </w:t>
      </w:r>
      <w:proofErr w:type="spellStart"/>
      <w:r w:rsidRPr="002906A3">
        <w:t>dialogue</w:t>
      </w:r>
      <w:proofErr w:type="spellEnd"/>
      <w:r w:rsidRPr="002906A3">
        <w:t xml:space="preserve"> can </w:t>
      </w:r>
      <w:proofErr w:type="spellStart"/>
      <w:r w:rsidRPr="002906A3">
        <w:t>reveal</w:t>
      </w:r>
      <w:proofErr w:type="spellEnd"/>
      <w:r w:rsidRPr="002906A3">
        <w:t xml:space="preserve"> as </w:t>
      </w:r>
      <w:proofErr w:type="spellStart"/>
      <w:r w:rsidRPr="002906A3">
        <w:t>much</w:t>
      </w:r>
      <w:proofErr w:type="spellEnd"/>
      <w:r w:rsidRPr="002906A3">
        <w:t xml:space="preserve">, </w:t>
      </w:r>
      <w:proofErr w:type="spellStart"/>
      <w:r w:rsidRPr="002906A3">
        <w:t>if</w:t>
      </w:r>
      <w:proofErr w:type="spellEnd"/>
      <w:r w:rsidRPr="002906A3">
        <w:t xml:space="preserve"> not </w:t>
      </w:r>
      <w:proofErr w:type="spellStart"/>
      <w:r w:rsidRPr="002906A3">
        <w:t>more</w:t>
      </w:r>
      <w:proofErr w:type="spellEnd"/>
      <w:r w:rsidRPr="002906A3">
        <w:t xml:space="preserve">, </w:t>
      </w:r>
      <w:proofErr w:type="spellStart"/>
      <w:r w:rsidRPr="002906A3">
        <w:t>about</w:t>
      </w:r>
      <w:proofErr w:type="spellEnd"/>
      <w:r w:rsidRPr="002906A3">
        <w:t xml:space="preserve"> </w:t>
      </w:r>
      <w:proofErr w:type="spellStart"/>
      <w:r w:rsidRPr="002906A3">
        <w:t>their</w:t>
      </w:r>
      <w:proofErr w:type="spellEnd"/>
      <w:r w:rsidRPr="002906A3">
        <w:t xml:space="preserve"> </w:t>
      </w:r>
      <w:proofErr w:type="spellStart"/>
      <w:r w:rsidRPr="002906A3">
        <w:t>state</w:t>
      </w:r>
      <w:proofErr w:type="spellEnd"/>
      <w:r w:rsidRPr="002906A3">
        <w:t xml:space="preserve"> of </w:t>
      </w:r>
      <w:proofErr w:type="spellStart"/>
      <w:r w:rsidRPr="002906A3">
        <w:t>mind</w:t>
      </w:r>
      <w:proofErr w:type="spellEnd"/>
      <w:r w:rsidRPr="002906A3">
        <w:t xml:space="preserve">, </w:t>
      </w:r>
      <w:proofErr w:type="spellStart"/>
      <w:r w:rsidRPr="002906A3">
        <w:t>highlighting</w:t>
      </w:r>
      <w:proofErr w:type="spellEnd"/>
      <w:r w:rsidRPr="002906A3">
        <w:t xml:space="preserve"> </w:t>
      </w:r>
      <w:proofErr w:type="spellStart"/>
      <w:r w:rsidRPr="002906A3">
        <w:t>their</w:t>
      </w:r>
      <w:proofErr w:type="spellEnd"/>
      <w:r w:rsidRPr="002906A3">
        <w:t xml:space="preserve"> </w:t>
      </w:r>
      <w:proofErr w:type="spellStart"/>
      <w:r w:rsidRPr="002906A3">
        <w:t>deep</w:t>
      </w:r>
      <w:proofErr w:type="spellEnd"/>
      <w:r w:rsidRPr="002906A3">
        <w:t xml:space="preserve"> </w:t>
      </w:r>
      <w:proofErr w:type="spellStart"/>
      <w:r w:rsidRPr="002906A3">
        <w:t>feelings</w:t>
      </w:r>
      <w:proofErr w:type="spellEnd"/>
      <w:r w:rsidRPr="002906A3">
        <w:t xml:space="preserve"> of </w:t>
      </w:r>
      <w:proofErr w:type="spellStart"/>
      <w:r w:rsidRPr="002906A3">
        <w:t>confusion</w:t>
      </w:r>
      <w:proofErr w:type="spellEnd"/>
      <w:r w:rsidRPr="002906A3">
        <w:t xml:space="preserve"> </w:t>
      </w:r>
      <w:proofErr w:type="spellStart"/>
      <w:r w:rsidRPr="002906A3">
        <w:t>and</w:t>
      </w:r>
      <w:proofErr w:type="spellEnd"/>
      <w:r w:rsidRPr="002906A3">
        <w:t xml:space="preserve"> </w:t>
      </w:r>
      <w:proofErr w:type="spellStart"/>
      <w:r w:rsidRPr="002906A3">
        <w:t>disconnection</w:t>
      </w:r>
      <w:proofErr w:type="spellEnd"/>
      <w:r w:rsidRPr="002906A3">
        <w:t xml:space="preserve">. </w:t>
      </w:r>
      <w:proofErr w:type="spellStart"/>
      <w:r w:rsidRPr="002906A3">
        <w:t>Furthermore</w:t>
      </w:r>
      <w:proofErr w:type="spellEnd"/>
      <w:r w:rsidRPr="002906A3">
        <w:t xml:space="preserve">, </w:t>
      </w:r>
      <w:proofErr w:type="spellStart"/>
      <w:r w:rsidRPr="002906A3">
        <w:t>these</w:t>
      </w:r>
      <w:proofErr w:type="spellEnd"/>
      <w:r w:rsidRPr="002906A3">
        <w:t xml:space="preserve"> </w:t>
      </w:r>
      <w:proofErr w:type="spellStart"/>
      <w:r w:rsidRPr="002906A3">
        <w:t>moments</w:t>
      </w:r>
      <w:proofErr w:type="spellEnd"/>
      <w:r w:rsidRPr="002906A3">
        <w:t xml:space="preserve"> of silence </w:t>
      </w:r>
      <w:proofErr w:type="spellStart"/>
      <w:r w:rsidRPr="002906A3">
        <w:t>contribute</w:t>
      </w:r>
      <w:proofErr w:type="spellEnd"/>
      <w:r w:rsidRPr="002906A3">
        <w:t xml:space="preserve"> </w:t>
      </w:r>
      <w:proofErr w:type="spellStart"/>
      <w:r w:rsidRPr="002906A3">
        <w:t>to</w:t>
      </w:r>
      <w:proofErr w:type="spellEnd"/>
      <w:r w:rsidRPr="002906A3">
        <w:t xml:space="preserve"> </w:t>
      </w:r>
      <w:proofErr w:type="spellStart"/>
      <w:r w:rsidRPr="002906A3">
        <w:t>character</w:t>
      </w:r>
      <w:proofErr w:type="spellEnd"/>
      <w:r w:rsidRPr="002906A3">
        <w:t xml:space="preserve"> </w:t>
      </w:r>
      <w:proofErr w:type="spellStart"/>
      <w:r w:rsidRPr="002906A3">
        <w:t>development</w:t>
      </w:r>
      <w:proofErr w:type="spellEnd"/>
      <w:r w:rsidRPr="002906A3">
        <w:t xml:space="preserve"> </w:t>
      </w:r>
      <w:proofErr w:type="spellStart"/>
      <w:r w:rsidRPr="002906A3">
        <w:t>throughout</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As they </w:t>
      </w:r>
      <w:proofErr w:type="spellStart"/>
      <w:r w:rsidRPr="002906A3">
        <w:t>engage</w:t>
      </w:r>
      <w:proofErr w:type="spellEnd"/>
      <w:r w:rsidRPr="002906A3">
        <w:t xml:space="preserve"> in </w:t>
      </w:r>
      <w:proofErr w:type="spellStart"/>
      <w:r w:rsidRPr="002906A3">
        <w:t>witty</w:t>
      </w:r>
      <w:proofErr w:type="spellEnd"/>
      <w:r w:rsidRPr="002906A3">
        <w:t xml:space="preserve"> </w:t>
      </w:r>
      <w:proofErr w:type="spellStart"/>
      <w:r w:rsidRPr="002906A3">
        <w:t>banter</w:t>
      </w:r>
      <w:proofErr w:type="spellEnd"/>
      <w:r w:rsidRPr="002906A3">
        <w:t xml:space="preserve"> </w:t>
      </w:r>
      <w:proofErr w:type="spellStart"/>
      <w:r w:rsidRPr="002906A3">
        <w:t>and</w:t>
      </w:r>
      <w:proofErr w:type="spellEnd"/>
      <w:r w:rsidRPr="002906A3">
        <w:t xml:space="preserve"> </w:t>
      </w:r>
      <w:proofErr w:type="spellStart"/>
      <w:r w:rsidRPr="002906A3">
        <w:t>humorous</w:t>
      </w:r>
      <w:proofErr w:type="spellEnd"/>
      <w:r w:rsidRPr="002906A3">
        <w:t xml:space="preserve"> </w:t>
      </w:r>
      <w:proofErr w:type="spellStart"/>
      <w:r w:rsidRPr="002906A3">
        <w:t>exchanges</w:t>
      </w:r>
      <w:proofErr w:type="spellEnd"/>
      <w:r w:rsidRPr="002906A3">
        <w:t xml:space="preserve">, </w:t>
      </w:r>
      <w:proofErr w:type="spellStart"/>
      <w:r w:rsidRPr="002906A3">
        <w:t>these</w:t>
      </w:r>
      <w:proofErr w:type="spellEnd"/>
      <w:r w:rsidRPr="002906A3">
        <w:t xml:space="preserve"> </w:t>
      </w:r>
      <w:proofErr w:type="spellStart"/>
      <w:r w:rsidRPr="002906A3">
        <w:t>interactions</w:t>
      </w:r>
      <w:proofErr w:type="spellEnd"/>
      <w:r w:rsidRPr="002906A3">
        <w:t xml:space="preserve"> </w:t>
      </w:r>
      <w:proofErr w:type="spellStart"/>
      <w:r w:rsidRPr="002906A3">
        <w:t>are</w:t>
      </w:r>
      <w:proofErr w:type="spellEnd"/>
      <w:r w:rsidRPr="002906A3">
        <w:t xml:space="preserve"> </w:t>
      </w:r>
      <w:proofErr w:type="spellStart"/>
      <w:r w:rsidRPr="002906A3">
        <w:t>often</w:t>
      </w:r>
      <w:proofErr w:type="spellEnd"/>
      <w:r w:rsidRPr="002906A3">
        <w:t xml:space="preserve"> </w:t>
      </w:r>
      <w:proofErr w:type="spellStart"/>
      <w:r w:rsidRPr="002906A3">
        <w:t>interrupted</w:t>
      </w:r>
      <w:proofErr w:type="spellEnd"/>
      <w:r w:rsidRPr="002906A3">
        <w:t xml:space="preserve"> </w:t>
      </w:r>
      <w:proofErr w:type="spellStart"/>
      <w:r w:rsidRPr="002906A3">
        <w:t>by</w:t>
      </w:r>
      <w:proofErr w:type="spellEnd"/>
      <w:r w:rsidRPr="002906A3">
        <w:t xml:space="preserve"> </w:t>
      </w:r>
      <w:proofErr w:type="spellStart"/>
      <w:r w:rsidRPr="002906A3">
        <w:t>stretches</w:t>
      </w:r>
      <w:proofErr w:type="spellEnd"/>
      <w:r w:rsidRPr="002906A3">
        <w:t xml:space="preserve"> of silence, </w:t>
      </w:r>
      <w:proofErr w:type="spellStart"/>
      <w:r w:rsidRPr="002906A3">
        <w:t>allowing</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to</w:t>
      </w:r>
      <w:proofErr w:type="spellEnd"/>
      <w:r w:rsidRPr="002906A3">
        <w:t xml:space="preserve"> </w:t>
      </w:r>
      <w:proofErr w:type="spellStart"/>
      <w:r w:rsidRPr="002906A3">
        <w:t>introspect</w:t>
      </w:r>
      <w:proofErr w:type="spellEnd"/>
      <w:r w:rsidRPr="002906A3">
        <w:t xml:space="preserve">. </w:t>
      </w:r>
      <w:proofErr w:type="spellStart"/>
      <w:r w:rsidRPr="002906A3">
        <w:t>Kouachi</w:t>
      </w:r>
      <w:proofErr w:type="spellEnd"/>
      <w:r w:rsidRPr="002906A3">
        <w:t xml:space="preserve"> (2018) </w:t>
      </w:r>
      <w:proofErr w:type="spellStart"/>
      <w:r w:rsidRPr="002906A3">
        <w:t>asserts</w:t>
      </w:r>
      <w:proofErr w:type="spellEnd"/>
      <w:r w:rsidRPr="002906A3">
        <w:t xml:space="preserve"> </w:t>
      </w:r>
      <w:proofErr w:type="spellStart"/>
      <w:r w:rsidRPr="002906A3">
        <w:t>that</w:t>
      </w:r>
      <w:proofErr w:type="spellEnd"/>
      <w:r w:rsidRPr="002906A3">
        <w:t xml:space="preserve"> </w:t>
      </w:r>
      <w:proofErr w:type="spellStart"/>
      <w:r w:rsidRPr="002906A3">
        <w:t>this</w:t>
      </w:r>
      <w:proofErr w:type="spellEnd"/>
      <w:r w:rsidRPr="002906A3">
        <w:t xml:space="preserve"> </w:t>
      </w:r>
      <w:proofErr w:type="spellStart"/>
      <w:r w:rsidRPr="002906A3">
        <w:t>introspection</w:t>
      </w:r>
      <w:proofErr w:type="spellEnd"/>
      <w:r w:rsidRPr="002906A3">
        <w:t xml:space="preserve"> </w:t>
      </w:r>
      <w:proofErr w:type="spellStart"/>
      <w:r w:rsidRPr="002906A3">
        <w:t>reveals</w:t>
      </w:r>
      <w:proofErr w:type="spellEnd"/>
      <w:r w:rsidRPr="002906A3">
        <w:t xml:space="preserve"> </w:t>
      </w:r>
      <w:proofErr w:type="spellStart"/>
      <w:r w:rsidRPr="002906A3">
        <w:t>the</w:t>
      </w:r>
      <w:proofErr w:type="spellEnd"/>
      <w:r w:rsidRPr="002906A3">
        <w:t xml:space="preserve"> </w:t>
      </w:r>
      <w:proofErr w:type="spellStart"/>
      <w:r w:rsidRPr="002906A3">
        <w:t>vulnerability</w:t>
      </w:r>
      <w:proofErr w:type="spellEnd"/>
      <w:r w:rsidRPr="002906A3">
        <w:t xml:space="preserve"> of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making</w:t>
      </w:r>
      <w:proofErr w:type="spellEnd"/>
      <w:r w:rsidRPr="002906A3">
        <w:t xml:space="preserve"> </w:t>
      </w:r>
      <w:proofErr w:type="spellStart"/>
      <w:r w:rsidRPr="002906A3">
        <w:t>their</w:t>
      </w:r>
      <w:proofErr w:type="spellEnd"/>
      <w:r w:rsidRPr="002906A3">
        <w:t xml:space="preserve"> </w:t>
      </w:r>
      <w:proofErr w:type="spellStart"/>
      <w:r w:rsidRPr="002906A3">
        <w:t>characters</w:t>
      </w:r>
      <w:proofErr w:type="spellEnd"/>
      <w:r w:rsidRPr="002906A3">
        <w:t xml:space="preserve"> </w:t>
      </w:r>
      <w:proofErr w:type="spellStart"/>
      <w:r w:rsidRPr="002906A3">
        <w:t>relatable</w:t>
      </w:r>
      <w:proofErr w:type="spellEnd"/>
      <w:r w:rsidRPr="002906A3">
        <w:t xml:space="preserve"> </w:t>
      </w:r>
      <w:proofErr w:type="spellStart"/>
      <w:r w:rsidRPr="002906A3">
        <w:t>despite</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their</w:t>
      </w:r>
      <w:proofErr w:type="spellEnd"/>
      <w:r w:rsidRPr="002906A3">
        <w:t xml:space="preserve"> </w:t>
      </w:r>
      <w:proofErr w:type="spellStart"/>
      <w:r w:rsidRPr="002906A3">
        <w:t>situation</w:t>
      </w:r>
      <w:proofErr w:type="spellEnd"/>
      <w:r w:rsidRPr="002906A3">
        <w:t xml:space="preserve">. </w:t>
      </w:r>
      <w:proofErr w:type="spellStart"/>
      <w:r w:rsidRPr="002906A3">
        <w:t>Their</w:t>
      </w:r>
      <w:proofErr w:type="spellEnd"/>
      <w:r w:rsidRPr="002906A3">
        <w:t xml:space="preserve">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articulate</w:t>
      </w:r>
      <w:proofErr w:type="spellEnd"/>
      <w:r w:rsidRPr="002906A3">
        <w:t xml:space="preserve"> </w:t>
      </w:r>
      <w:proofErr w:type="spellStart"/>
      <w:r w:rsidRPr="002906A3">
        <w:t>their</w:t>
      </w:r>
      <w:proofErr w:type="spellEnd"/>
      <w:r w:rsidRPr="002906A3">
        <w:t xml:space="preserve"> </w:t>
      </w:r>
      <w:proofErr w:type="spellStart"/>
      <w:r w:rsidRPr="002906A3">
        <w:t>feelings</w:t>
      </w:r>
      <w:proofErr w:type="spellEnd"/>
      <w:r w:rsidRPr="002906A3">
        <w:t xml:space="preserve"> </w:t>
      </w:r>
      <w:proofErr w:type="spellStart"/>
      <w:r w:rsidRPr="002906A3">
        <w:t>often</w:t>
      </w:r>
      <w:proofErr w:type="spellEnd"/>
      <w:r w:rsidRPr="002906A3">
        <w:t xml:space="preserve"> </w:t>
      </w:r>
      <w:proofErr w:type="spellStart"/>
      <w:r w:rsidRPr="002906A3">
        <w:t>leads</w:t>
      </w:r>
      <w:proofErr w:type="spellEnd"/>
      <w:r w:rsidRPr="002906A3">
        <w:t xml:space="preserve"> </w:t>
      </w:r>
      <w:proofErr w:type="spellStart"/>
      <w:r w:rsidRPr="002906A3">
        <w:t>to</w:t>
      </w:r>
      <w:proofErr w:type="spellEnd"/>
      <w:r w:rsidRPr="002906A3">
        <w:t xml:space="preserve"> </w:t>
      </w:r>
      <w:proofErr w:type="spellStart"/>
      <w:r w:rsidRPr="002906A3">
        <w:t>moments</w:t>
      </w:r>
      <w:proofErr w:type="spellEnd"/>
      <w:r w:rsidRPr="002906A3">
        <w:t xml:space="preserve"> of silence </w:t>
      </w:r>
      <w:proofErr w:type="spellStart"/>
      <w:r w:rsidRPr="002906A3">
        <w:t>that</w:t>
      </w:r>
      <w:proofErr w:type="spellEnd"/>
      <w:r w:rsidRPr="002906A3">
        <w:t xml:space="preserve"> </w:t>
      </w:r>
      <w:proofErr w:type="spellStart"/>
      <w:r w:rsidRPr="002906A3">
        <w:t>highlight</w:t>
      </w:r>
      <w:proofErr w:type="spellEnd"/>
      <w:r w:rsidRPr="002906A3">
        <w:t xml:space="preserve"> </w:t>
      </w:r>
      <w:proofErr w:type="spellStart"/>
      <w:r w:rsidRPr="002906A3">
        <w:t>their</w:t>
      </w:r>
      <w:proofErr w:type="spellEnd"/>
      <w:r w:rsidRPr="002906A3">
        <w:t xml:space="preserve"> </w:t>
      </w:r>
      <w:proofErr w:type="spellStart"/>
      <w:r w:rsidRPr="002906A3">
        <w:t>fears</w:t>
      </w:r>
      <w:proofErr w:type="spellEnd"/>
      <w:r w:rsidRPr="002906A3">
        <w:t xml:space="preserve"> </w:t>
      </w:r>
      <w:proofErr w:type="spellStart"/>
      <w:r w:rsidRPr="002906A3">
        <w:t>and</w:t>
      </w:r>
      <w:proofErr w:type="spellEnd"/>
      <w:r w:rsidRPr="002906A3">
        <w:t xml:space="preserve"> </w:t>
      </w:r>
      <w:proofErr w:type="spellStart"/>
      <w:r w:rsidRPr="002906A3">
        <w:t>doubts</w:t>
      </w:r>
      <w:proofErr w:type="spellEnd"/>
      <w:r w:rsidRPr="002906A3">
        <w:t xml:space="preserve"> </w:t>
      </w:r>
      <w:proofErr w:type="spellStart"/>
      <w:r w:rsidRPr="002906A3">
        <w:t>about</w:t>
      </w:r>
      <w:proofErr w:type="spellEnd"/>
      <w:r w:rsidRPr="002906A3">
        <w:t xml:space="preserve"> </w:t>
      </w:r>
      <w:proofErr w:type="spellStart"/>
      <w:r w:rsidRPr="002906A3">
        <w:t>existence</w:t>
      </w:r>
      <w:proofErr w:type="spellEnd"/>
      <w:r w:rsidRPr="002906A3">
        <w:t xml:space="preserve">. </w:t>
      </w:r>
      <w:proofErr w:type="spellStart"/>
      <w:r w:rsidRPr="002906A3">
        <w:t>Thus</w:t>
      </w:r>
      <w:proofErr w:type="spellEnd"/>
      <w:r w:rsidRPr="002906A3">
        <w:t xml:space="preserve">, silence </w:t>
      </w:r>
      <w:proofErr w:type="spellStart"/>
      <w:r w:rsidRPr="002906A3">
        <w:t>facilitates</w:t>
      </w:r>
      <w:proofErr w:type="spellEnd"/>
      <w:r w:rsidRPr="002906A3">
        <w:t xml:space="preserve"> a </w:t>
      </w:r>
      <w:proofErr w:type="spellStart"/>
      <w:r w:rsidRPr="002906A3">
        <w:t>deeper</w:t>
      </w:r>
      <w:proofErr w:type="spellEnd"/>
      <w:r w:rsidRPr="002906A3">
        <w:t xml:space="preserve"> </w:t>
      </w:r>
      <w:proofErr w:type="spellStart"/>
      <w:r w:rsidRPr="002906A3">
        <w:t>understanding</w:t>
      </w:r>
      <w:proofErr w:type="spellEnd"/>
      <w:r w:rsidRPr="002906A3">
        <w:t xml:space="preserve"> of </w:t>
      </w:r>
      <w:proofErr w:type="spellStart"/>
      <w:r w:rsidRPr="002906A3">
        <w:t>their</w:t>
      </w:r>
      <w:proofErr w:type="spellEnd"/>
      <w:r w:rsidRPr="002906A3">
        <w:t xml:space="preserve"> </w:t>
      </w:r>
      <w:proofErr w:type="spellStart"/>
      <w:r w:rsidRPr="002906A3">
        <w:t>internal</w:t>
      </w:r>
      <w:proofErr w:type="spellEnd"/>
      <w:r w:rsidRPr="002906A3">
        <w:t xml:space="preserve"> </w:t>
      </w:r>
      <w:proofErr w:type="spellStart"/>
      <w:r w:rsidRPr="002906A3">
        <w:t>struggles</w:t>
      </w:r>
      <w:proofErr w:type="spellEnd"/>
      <w:r w:rsidRPr="002906A3">
        <w:t xml:space="preserve">, </w:t>
      </w:r>
      <w:proofErr w:type="spellStart"/>
      <w:r w:rsidRPr="002906A3">
        <w:t>allowing</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see</w:t>
      </w:r>
      <w:proofErr w:type="spellEnd"/>
      <w:r w:rsidRPr="002906A3">
        <w:t xml:space="preserve"> </w:t>
      </w:r>
      <w:proofErr w:type="spellStart"/>
      <w:r w:rsidRPr="002906A3">
        <w:t>them</w:t>
      </w:r>
      <w:proofErr w:type="spellEnd"/>
      <w:r w:rsidRPr="002906A3">
        <w:t xml:space="preserve"> not </w:t>
      </w:r>
      <w:proofErr w:type="spellStart"/>
      <w:r w:rsidRPr="002906A3">
        <w:t>only</w:t>
      </w:r>
      <w:proofErr w:type="spellEnd"/>
      <w:r w:rsidRPr="002906A3">
        <w:t xml:space="preserve"> as </w:t>
      </w:r>
      <w:proofErr w:type="spellStart"/>
      <w:r w:rsidRPr="002906A3">
        <w:t>comic</w:t>
      </w:r>
      <w:proofErr w:type="spellEnd"/>
      <w:r w:rsidRPr="002906A3">
        <w:t xml:space="preserve"> </w:t>
      </w:r>
      <w:proofErr w:type="spellStart"/>
      <w:r w:rsidRPr="002906A3">
        <w:t>figures</w:t>
      </w:r>
      <w:proofErr w:type="spellEnd"/>
      <w:r w:rsidRPr="002906A3">
        <w:t xml:space="preserve"> but as </w:t>
      </w:r>
      <w:proofErr w:type="spellStart"/>
      <w:r w:rsidRPr="002906A3">
        <w:t>profound</w:t>
      </w:r>
      <w:proofErr w:type="spellEnd"/>
      <w:r w:rsidRPr="002906A3">
        <w:t xml:space="preserve"> </w:t>
      </w:r>
      <w:proofErr w:type="spellStart"/>
      <w:r w:rsidRPr="002906A3">
        <w:t>representations</w:t>
      </w:r>
      <w:proofErr w:type="spellEnd"/>
      <w:r w:rsidRPr="002906A3">
        <w:t xml:space="preserve"> of </w:t>
      </w:r>
      <w:proofErr w:type="spellStart"/>
      <w:r w:rsidRPr="002906A3">
        <w:t>human</w:t>
      </w:r>
      <w:proofErr w:type="spellEnd"/>
      <w:r w:rsidRPr="002906A3">
        <w:t xml:space="preserve"> </w:t>
      </w:r>
      <w:proofErr w:type="spellStart"/>
      <w:r w:rsidRPr="002906A3">
        <w:t>existence</w:t>
      </w:r>
      <w:proofErr w:type="spellEnd"/>
      <w:r w:rsidRPr="002906A3">
        <w:t>.</w:t>
      </w:r>
    </w:p>
    <w:p w14:paraId="76BCE433" w14:textId="77777777" w:rsidR="001E7189" w:rsidRPr="002906A3" w:rsidRDefault="001E7189" w:rsidP="00BA67A6">
      <w:pPr>
        <w:jc w:val="both"/>
      </w:pPr>
    </w:p>
    <w:p w14:paraId="478B69BE" w14:textId="77777777" w:rsidR="001E7189" w:rsidRDefault="001E7189" w:rsidP="00BA67A6">
      <w:pPr>
        <w:jc w:val="both"/>
      </w:pPr>
      <w:r w:rsidRPr="002906A3">
        <w:t xml:space="preserve">Silence </w:t>
      </w:r>
      <w:proofErr w:type="spellStart"/>
      <w:r w:rsidRPr="002906A3">
        <w:t>functions</w:t>
      </w:r>
      <w:proofErr w:type="spellEnd"/>
      <w:r w:rsidRPr="002906A3">
        <w:t xml:space="preserve"> as a </w:t>
      </w:r>
      <w:proofErr w:type="spellStart"/>
      <w:r w:rsidRPr="002906A3">
        <w:t>vital</w:t>
      </w:r>
      <w:proofErr w:type="spellEnd"/>
      <w:r w:rsidRPr="002906A3">
        <w:t xml:space="preserve"> element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It</w:t>
      </w:r>
      <w:proofErr w:type="spellEnd"/>
      <w:r w:rsidRPr="002906A3">
        <w:t xml:space="preserve"> is a form of </w:t>
      </w:r>
      <w:proofErr w:type="spellStart"/>
      <w:r w:rsidRPr="002906A3">
        <w:t>communication</w:t>
      </w:r>
      <w:proofErr w:type="spellEnd"/>
      <w:r w:rsidRPr="002906A3">
        <w:t xml:space="preserve"> </w:t>
      </w:r>
      <w:proofErr w:type="spellStart"/>
      <w:r w:rsidRPr="002906A3">
        <w:t>that</w:t>
      </w:r>
      <w:proofErr w:type="spellEnd"/>
      <w:r w:rsidRPr="002906A3">
        <w:t xml:space="preserve"> </w:t>
      </w:r>
      <w:proofErr w:type="spellStart"/>
      <w:r w:rsidRPr="002906A3">
        <w:t>transcends</w:t>
      </w:r>
      <w:proofErr w:type="spellEnd"/>
      <w:r w:rsidRPr="002906A3">
        <w:t xml:space="preserve"> </w:t>
      </w:r>
      <w:proofErr w:type="spellStart"/>
      <w:r w:rsidRPr="002906A3">
        <w:t>spoken</w:t>
      </w:r>
      <w:proofErr w:type="spellEnd"/>
      <w:r w:rsidRPr="002906A3">
        <w:t xml:space="preserve"> </w:t>
      </w:r>
      <w:proofErr w:type="spellStart"/>
      <w:r w:rsidRPr="002906A3">
        <w:t>words</w:t>
      </w:r>
      <w:proofErr w:type="spellEnd"/>
      <w:r w:rsidRPr="002906A3">
        <w:t xml:space="preserve">, </w:t>
      </w:r>
      <w:proofErr w:type="spellStart"/>
      <w:r w:rsidRPr="002906A3">
        <w:t>illuminating</w:t>
      </w:r>
      <w:proofErr w:type="spellEnd"/>
      <w:r w:rsidRPr="002906A3">
        <w:t xml:space="preserve"> </w:t>
      </w:r>
      <w:proofErr w:type="spellStart"/>
      <w:r w:rsidRPr="002906A3">
        <w:t>character</w:t>
      </w:r>
      <w:proofErr w:type="spellEnd"/>
      <w:r w:rsidRPr="002906A3">
        <w:t xml:space="preserve"> </w:t>
      </w:r>
      <w:proofErr w:type="spellStart"/>
      <w:r w:rsidRPr="002906A3">
        <w:t>relationships</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w:t>
      </w:r>
      <w:proofErr w:type="spellStart"/>
      <w:r w:rsidRPr="002906A3">
        <w:t>and</w:t>
      </w:r>
      <w:proofErr w:type="spellEnd"/>
      <w:r w:rsidRPr="002906A3">
        <w:t xml:space="preserve"> </w:t>
      </w:r>
      <w:proofErr w:type="spellStart"/>
      <w:r w:rsidRPr="002906A3">
        <w:t>their</w:t>
      </w:r>
      <w:proofErr w:type="spellEnd"/>
      <w:r w:rsidRPr="002906A3">
        <w:t xml:space="preserve"> </w:t>
      </w:r>
      <w:proofErr w:type="spellStart"/>
      <w:r w:rsidRPr="002906A3">
        <w:t>journey</w:t>
      </w:r>
      <w:proofErr w:type="spellEnd"/>
      <w:r w:rsidRPr="002906A3">
        <w:t xml:space="preserve"> </w:t>
      </w:r>
      <w:proofErr w:type="spellStart"/>
      <w:r w:rsidRPr="002906A3">
        <w:t>toward</w:t>
      </w:r>
      <w:proofErr w:type="spellEnd"/>
      <w:r w:rsidRPr="002906A3">
        <w:t xml:space="preserve"> self-</w:t>
      </w:r>
      <w:proofErr w:type="spellStart"/>
      <w:r w:rsidRPr="002906A3">
        <w:t>understanding</w:t>
      </w:r>
      <w:proofErr w:type="spellEnd"/>
      <w:r w:rsidRPr="002906A3">
        <w:t xml:space="preserve">. Through silence, Beckett </w:t>
      </w:r>
      <w:proofErr w:type="spellStart"/>
      <w:r w:rsidRPr="002906A3">
        <w:t>effectively</w:t>
      </w:r>
      <w:proofErr w:type="spellEnd"/>
      <w:r w:rsidRPr="002906A3">
        <w:t xml:space="preserve"> </w:t>
      </w:r>
      <w:proofErr w:type="spellStart"/>
      <w:r w:rsidRPr="002906A3">
        <w:t>challenges</w:t>
      </w:r>
      <w:proofErr w:type="spellEnd"/>
      <w:r w:rsidRPr="002906A3">
        <w:t xml:space="preserve"> </w:t>
      </w:r>
      <w:proofErr w:type="spellStart"/>
      <w:r w:rsidRPr="002906A3">
        <w:t>traditional</w:t>
      </w:r>
      <w:proofErr w:type="spellEnd"/>
      <w:r w:rsidRPr="002906A3">
        <w:t xml:space="preserve"> </w:t>
      </w:r>
      <w:proofErr w:type="spellStart"/>
      <w:r w:rsidRPr="002906A3">
        <w:t>concepts</w:t>
      </w:r>
      <w:proofErr w:type="spellEnd"/>
      <w:r w:rsidRPr="002906A3">
        <w:t xml:space="preserve"> of </w:t>
      </w:r>
      <w:proofErr w:type="spellStart"/>
      <w:r w:rsidRPr="002906A3">
        <w:t>dialogue</w:t>
      </w:r>
      <w:proofErr w:type="spellEnd"/>
      <w:r w:rsidRPr="002906A3">
        <w:t xml:space="preserve">, </w:t>
      </w:r>
      <w:proofErr w:type="spellStart"/>
      <w:r w:rsidRPr="002906A3">
        <w:t>emphasizing</w:t>
      </w:r>
      <w:proofErr w:type="spellEnd"/>
      <w:r w:rsidRPr="002906A3">
        <w:t xml:space="preserve"> </w:t>
      </w:r>
      <w:proofErr w:type="spellStart"/>
      <w:r w:rsidRPr="002906A3">
        <w:t>that</w:t>
      </w:r>
      <w:proofErr w:type="spellEnd"/>
      <w:r w:rsidRPr="002906A3">
        <w:t xml:space="preserve"> </w:t>
      </w:r>
      <w:proofErr w:type="spellStart"/>
      <w:r w:rsidRPr="002906A3">
        <w:t>sometimes</w:t>
      </w:r>
      <w:proofErr w:type="spellEnd"/>
      <w:r w:rsidRPr="002906A3">
        <w:t xml:space="preserve"> </w:t>
      </w:r>
      <w:proofErr w:type="spellStart"/>
      <w:r w:rsidRPr="002906A3">
        <w:t>what</w:t>
      </w:r>
      <w:proofErr w:type="spellEnd"/>
      <w:r w:rsidRPr="002906A3">
        <w:t xml:space="preserve"> </w:t>
      </w:r>
      <w:proofErr w:type="spellStart"/>
      <w:r w:rsidRPr="002906A3">
        <w:t>remains</w:t>
      </w:r>
      <w:proofErr w:type="spellEnd"/>
      <w:r w:rsidRPr="002906A3">
        <w:t xml:space="preserve"> </w:t>
      </w:r>
      <w:proofErr w:type="spellStart"/>
      <w:r w:rsidRPr="002906A3">
        <w:t>unsaid</w:t>
      </w:r>
      <w:proofErr w:type="spellEnd"/>
      <w:r w:rsidRPr="002906A3">
        <w:t xml:space="preserve"> can be </w:t>
      </w:r>
      <w:proofErr w:type="spellStart"/>
      <w:r w:rsidRPr="002906A3">
        <w:t>more</w:t>
      </w:r>
      <w:proofErr w:type="spellEnd"/>
      <w:r w:rsidRPr="002906A3">
        <w:t xml:space="preserve"> </w:t>
      </w:r>
      <w:proofErr w:type="spellStart"/>
      <w:r w:rsidRPr="002906A3">
        <w:t>powerful</w:t>
      </w:r>
      <w:proofErr w:type="spellEnd"/>
      <w:r w:rsidRPr="002906A3">
        <w:t xml:space="preserve"> </w:t>
      </w:r>
      <w:proofErr w:type="spellStart"/>
      <w:r w:rsidRPr="002906A3">
        <w:t>than</w:t>
      </w:r>
      <w:proofErr w:type="spellEnd"/>
      <w:r w:rsidRPr="002906A3">
        <w:t xml:space="preserve"> </w:t>
      </w:r>
      <w:proofErr w:type="spellStart"/>
      <w:r w:rsidRPr="002906A3">
        <w:t>words</w:t>
      </w:r>
      <w:proofErr w:type="spellEnd"/>
      <w:r w:rsidRPr="002906A3">
        <w:t xml:space="preserve">. </w:t>
      </w:r>
      <w:proofErr w:type="spellStart"/>
      <w:r w:rsidRPr="002906A3">
        <w:t>The</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are</w:t>
      </w:r>
      <w:proofErr w:type="spellEnd"/>
      <w:r w:rsidRPr="002906A3">
        <w:t xml:space="preserve"> </w:t>
      </w:r>
      <w:proofErr w:type="spellStart"/>
      <w:r w:rsidRPr="002906A3">
        <w:t>deeply</w:t>
      </w:r>
      <w:proofErr w:type="spellEnd"/>
      <w:r w:rsidRPr="002906A3">
        <w:t xml:space="preserve"> </w:t>
      </w:r>
      <w:proofErr w:type="spellStart"/>
      <w:r w:rsidRPr="002906A3">
        <w:t>intertwined</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notion</w:t>
      </w:r>
      <w:proofErr w:type="spellEnd"/>
      <w:r w:rsidRPr="002906A3">
        <w:t xml:space="preserve"> of silence. </w:t>
      </w:r>
      <w:proofErr w:type="spellStart"/>
      <w:r w:rsidRPr="002906A3">
        <w:t>Neupane</w:t>
      </w:r>
      <w:proofErr w:type="spellEnd"/>
      <w:r w:rsidRPr="002906A3">
        <w:t xml:space="preserve"> (2024) </w:t>
      </w:r>
      <w:proofErr w:type="spellStart"/>
      <w:r w:rsidRPr="002906A3">
        <w:t>claims</w:t>
      </w:r>
      <w:proofErr w:type="spellEnd"/>
      <w:r w:rsidRPr="002906A3">
        <w:t xml:space="preserve"> </w:t>
      </w:r>
      <w:proofErr w:type="spellStart"/>
      <w:r w:rsidRPr="002906A3">
        <w:t>that</w:t>
      </w:r>
      <w:proofErr w:type="spellEnd"/>
      <w:r w:rsidRPr="002906A3">
        <w:t xml:space="preserve"> silence </w:t>
      </w:r>
      <w:proofErr w:type="spellStart"/>
      <w:r w:rsidRPr="002906A3">
        <w:t>embodies</w:t>
      </w:r>
      <w:proofErr w:type="spellEnd"/>
      <w:r w:rsidRPr="002906A3">
        <w:t xml:space="preserve"> </w:t>
      </w:r>
      <w:proofErr w:type="spellStart"/>
      <w:r w:rsidRPr="002906A3">
        <w:t>the</w:t>
      </w:r>
      <w:proofErr w:type="spellEnd"/>
      <w:r w:rsidRPr="002906A3">
        <w:t xml:space="preserve"> </w:t>
      </w:r>
      <w:proofErr w:type="spellStart"/>
      <w:r w:rsidRPr="002906A3">
        <w:t>struggle</w:t>
      </w:r>
      <w:proofErr w:type="spellEnd"/>
      <w:r w:rsidRPr="002906A3">
        <w:t xml:space="preserve"> </w:t>
      </w:r>
      <w:proofErr w:type="spellStart"/>
      <w:r w:rsidRPr="002906A3">
        <w:t>against</w:t>
      </w:r>
      <w:proofErr w:type="spellEnd"/>
      <w:r w:rsidRPr="002906A3">
        <w:t xml:space="preserve"> </w:t>
      </w:r>
      <w:proofErr w:type="spellStart"/>
      <w:r w:rsidRPr="002906A3">
        <w:t>failure</w:t>
      </w:r>
      <w:proofErr w:type="spellEnd"/>
      <w:r w:rsidRPr="002906A3">
        <w:t xml:space="preserve">, as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face</w:t>
      </w:r>
      <w:proofErr w:type="spellEnd"/>
      <w:r w:rsidRPr="002906A3">
        <w:t xml:space="preserve"> </w:t>
      </w:r>
      <w:proofErr w:type="spellStart"/>
      <w:r w:rsidRPr="002906A3">
        <w:t>their</w:t>
      </w:r>
      <w:proofErr w:type="spellEnd"/>
      <w:r w:rsidRPr="002906A3">
        <w:t xml:space="preserve"> </w:t>
      </w:r>
      <w:proofErr w:type="spellStart"/>
      <w:r w:rsidRPr="002906A3">
        <w:t>wait</w:t>
      </w:r>
      <w:proofErr w:type="spellEnd"/>
      <w:r w:rsidRPr="002906A3">
        <w:t xml:space="preserve"> </w:t>
      </w:r>
      <w:proofErr w:type="spellStart"/>
      <w:r w:rsidRPr="002906A3">
        <w:t>and</w:t>
      </w:r>
      <w:proofErr w:type="spellEnd"/>
      <w:r w:rsidRPr="002906A3">
        <w:t xml:space="preserve"> </w:t>
      </w:r>
      <w:proofErr w:type="spellStart"/>
      <w:r w:rsidRPr="002906A3">
        <w:t>uncertainty</w:t>
      </w:r>
      <w:proofErr w:type="spellEnd"/>
      <w:r w:rsidRPr="002906A3">
        <w:t xml:space="preserve"> </w:t>
      </w:r>
      <w:proofErr w:type="spellStart"/>
      <w:r w:rsidRPr="002906A3">
        <w:t>regarding</w:t>
      </w:r>
      <w:proofErr w:type="spellEnd"/>
      <w:r w:rsidRPr="002906A3">
        <w:t xml:space="preserve"> </w:t>
      </w:r>
      <w:proofErr w:type="spellStart"/>
      <w:r w:rsidRPr="002906A3">
        <w:t>Godot’s</w:t>
      </w:r>
      <w:proofErr w:type="spellEnd"/>
      <w:r w:rsidRPr="002906A3">
        <w:t xml:space="preserve"> </w:t>
      </w:r>
      <w:proofErr w:type="spellStart"/>
      <w:r w:rsidRPr="002906A3">
        <w:t>arrival</w:t>
      </w:r>
      <w:proofErr w:type="spellEnd"/>
      <w:r w:rsidRPr="002906A3">
        <w:t xml:space="preserve">. </w:t>
      </w:r>
      <w:proofErr w:type="spellStart"/>
      <w:r w:rsidRPr="002906A3">
        <w:t>This</w:t>
      </w:r>
      <w:proofErr w:type="spellEnd"/>
      <w:r w:rsidRPr="002906A3">
        <w:t xml:space="preserve"> silence </w:t>
      </w:r>
      <w:proofErr w:type="spellStart"/>
      <w:r w:rsidRPr="002906A3">
        <w:t>becomes</w:t>
      </w:r>
      <w:proofErr w:type="spellEnd"/>
      <w:r w:rsidRPr="002906A3">
        <w:t xml:space="preserve"> a </w:t>
      </w:r>
      <w:proofErr w:type="spellStart"/>
      <w:r w:rsidRPr="002906A3">
        <w:t>powerful</w:t>
      </w:r>
      <w:proofErr w:type="spellEnd"/>
      <w:r w:rsidRPr="002906A3">
        <w:t xml:space="preserve"> </w:t>
      </w:r>
      <w:proofErr w:type="spellStart"/>
      <w:r w:rsidRPr="002906A3">
        <w:t>metaphor</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purpose</w:t>
      </w:r>
      <w:proofErr w:type="spellEnd"/>
      <w:r w:rsidRPr="002906A3">
        <w:t xml:space="preserve"> in </w:t>
      </w:r>
      <w:proofErr w:type="spellStart"/>
      <w:r w:rsidRPr="002906A3">
        <w:t>their</w:t>
      </w:r>
      <w:proofErr w:type="spellEnd"/>
      <w:r w:rsidRPr="002906A3">
        <w:t xml:space="preserve"> </w:t>
      </w:r>
      <w:proofErr w:type="spellStart"/>
      <w:r w:rsidRPr="002906A3">
        <w:t>lives</w:t>
      </w:r>
      <w:proofErr w:type="spellEnd"/>
      <w:r w:rsidRPr="002906A3">
        <w:t xml:space="preserve">, </w:t>
      </w:r>
      <w:proofErr w:type="spellStart"/>
      <w:r w:rsidRPr="002906A3">
        <w:t>reflecting</w:t>
      </w:r>
      <w:proofErr w:type="spellEnd"/>
      <w:r w:rsidRPr="002906A3">
        <w:t xml:space="preserve"> </w:t>
      </w:r>
      <w:proofErr w:type="spellStart"/>
      <w:r w:rsidRPr="002906A3">
        <w:t>Beckett’s</w:t>
      </w:r>
      <w:proofErr w:type="spellEnd"/>
      <w:r w:rsidRPr="002906A3">
        <w:t xml:space="preserve"> </w:t>
      </w:r>
      <w:proofErr w:type="spellStart"/>
      <w:r w:rsidRPr="002906A3">
        <w:t>view</w:t>
      </w:r>
      <w:proofErr w:type="spellEnd"/>
      <w:r w:rsidRPr="002906A3">
        <w:t xml:space="preserve"> on </w:t>
      </w:r>
      <w:proofErr w:type="spellStart"/>
      <w:r w:rsidRPr="002906A3">
        <w:t>existence</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frequently</w:t>
      </w:r>
      <w:proofErr w:type="spellEnd"/>
      <w:r w:rsidRPr="002906A3">
        <w:t xml:space="preserve"> </w:t>
      </w:r>
      <w:proofErr w:type="spellStart"/>
      <w:r w:rsidRPr="002906A3">
        <w:t>experience</w:t>
      </w:r>
      <w:proofErr w:type="spellEnd"/>
      <w:r w:rsidRPr="002906A3">
        <w:t xml:space="preserve"> </w:t>
      </w:r>
      <w:proofErr w:type="spellStart"/>
      <w:r w:rsidRPr="002906A3">
        <w:t>moments</w:t>
      </w:r>
      <w:proofErr w:type="spellEnd"/>
      <w:r w:rsidRPr="002906A3">
        <w:t xml:space="preserve"> of </w:t>
      </w:r>
      <w:proofErr w:type="spellStart"/>
      <w:r w:rsidRPr="002906A3">
        <w:t>quiet</w:t>
      </w:r>
      <w:proofErr w:type="spellEnd"/>
      <w:r w:rsidRPr="002906A3">
        <w:t xml:space="preserve"> in </w:t>
      </w:r>
      <w:proofErr w:type="spellStart"/>
      <w:r w:rsidRPr="002906A3">
        <w:t>which</w:t>
      </w:r>
      <w:proofErr w:type="spellEnd"/>
      <w:r w:rsidRPr="002906A3">
        <w:t xml:space="preserve"> </w:t>
      </w:r>
      <w:proofErr w:type="spellStart"/>
      <w:r w:rsidRPr="002906A3">
        <w:t>words</w:t>
      </w:r>
      <w:proofErr w:type="spellEnd"/>
      <w:r w:rsidRPr="002906A3">
        <w:t xml:space="preserve"> </w:t>
      </w:r>
      <w:proofErr w:type="spellStart"/>
      <w:r w:rsidRPr="002906A3">
        <w:t>seem</w:t>
      </w:r>
      <w:proofErr w:type="spellEnd"/>
      <w:r w:rsidRPr="002906A3">
        <w:t xml:space="preserve"> </w:t>
      </w:r>
      <w:proofErr w:type="spellStart"/>
      <w:r w:rsidRPr="002906A3">
        <w:t>inadequate</w:t>
      </w:r>
      <w:proofErr w:type="spellEnd"/>
      <w:r w:rsidRPr="002906A3">
        <w:t xml:space="preserve">, </w:t>
      </w:r>
      <w:proofErr w:type="spellStart"/>
      <w:r w:rsidRPr="002906A3">
        <w:t>underscoring</w:t>
      </w:r>
      <w:proofErr w:type="spellEnd"/>
      <w:r w:rsidRPr="002906A3">
        <w:t xml:space="preserve"> </w:t>
      </w:r>
      <w:proofErr w:type="spellStart"/>
      <w:r w:rsidRPr="002906A3">
        <w:t>their</w:t>
      </w:r>
      <w:proofErr w:type="spellEnd"/>
      <w:r w:rsidRPr="002906A3">
        <w:t xml:space="preserve"> </w:t>
      </w:r>
      <w:proofErr w:type="spellStart"/>
      <w:r w:rsidRPr="002906A3">
        <w:t>search</w:t>
      </w:r>
      <w:proofErr w:type="spellEnd"/>
      <w:r w:rsidRPr="002906A3">
        <w:t xml:space="preserve"> </w:t>
      </w:r>
      <w:proofErr w:type="spellStart"/>
      <w:r w:rsidRPr="002906A3">
        <w:t>for</w:t>
      </w:r>
      <w:proofErr w:type="spellEnd"/>
      <w:r w:rsidRPr="002906A3">
        <w:t xml:space="preserve"> </w:t>
      </w:r>
      <w:proofErr w:type="spellStart"/>
      <w:r w:rsidRPr="002906A3">
        <w:t>meaning</w:t>
      </w:r>
      <w:proofErr w:type="spellEnd"/>
      <w:r w:rsidRPr="002906A3">
        <w:t xml:space="preserve"> in a </w:t>
      </w:r>
      <w:proofErr w:type="spellStart"/>
      <w:r w:rsidRPr="002906A3">
        <w:t>world</w:t>
      </w:r>
      <w:proofErr w:type="spellEnd"/>
      <w:r w:rsidRPr="002906A3">
        <w:t xml:space="preserve"> </w:t>
      </w:r>
      <w:proofErr w:type="spellStart"/>
      <w:r w:rsidRPr="002906A3">
        <w:t>that</w:t>
      </w:r>
      <w:proofErr w:type="spellEnd"/>
      <w:r w:rsidRPr="002906A3">
        <w:t xml:space="preserve"> </w:t>
      </w:r>
      <w:proofErr w:type="spellStart"/>
      <w:r w:rsidRPr="002906A3">
        <w:t>offers</w:t>
      </w:r>
      <w:proofErr w:type="spellEnd"/>
      <w:r w:rsidRPr="002906A3">
        <w:t xml:space="preserve"> </w:t>
      </w:r>
      <w:proofErr w:type="spellStart"/>
      <w:r w:rsidRPr="002906A3">
        <w:t>none</w:t>
      </w:r>
      <w:proofErr w:type="spellEnd"/>
      <w:r w:rsidRPr="002906A3">
        <w:t xml:space="preserve">. </w:t>
      </w:r>
      <w:proofErr w:type="spellStart"/>
      <w:r w:rsidRPr="002906A3">
        <w:t>Aouina</w:t>
      </w:r>
      <w:proofErr w:type="spellEnd"/>
      <w:r w:rsidRPr="002906A3">
        <w:t xml:space="preserve"> (2019) </w:t>
      </w:r>
      <w:proofErr w:type="spellStart"/>
      <w:r w:rsidRPr="002906A3">
        <w:t>supports</w:t>
      </w:r>
      <w:proofErr w:type="spellEnd"/>
      <w:r w:rsidRPr="002906A3">
        <w:t xml:space="preserve"> </w:t>
      </w:r>
      <w:proofErr w:type="spellStart"/>
      <w:r w:rsidRPr="002906A3">
        <w:t>this</w:t>
      </w:r>
      <w:proofErr w:type="spellEnd"/>
      <w:r w:rsidRPr="002906A3">
        <w:t xml:space="preserve"> </w:t>
      </w:r>
      <w:proofErr w:type="spellStart"/>
      <w:r w:rsidRPr="002906A3">
        <w:t>perspective</w:t>
      </w:r>
      <w:proofErr w:type="spellEnd"/>
      <w:r w:rsidRPr="002906A3">
        <w:t xml:space="preserve"> </w:t>
      </w:r>
      <w:proofErr w:type="spellStart"/>
      <w:r w:rsidRPr="002906A3">
        <w:t>by</w:t>
      </w:r>
      <w:proofErr w:type="spellEnd"/>
      <w:r w:rsidRPr="002906A3">
        <w:t xml:space="preserve"> </w:t>
      </w:r>
      <w:proofErr w:type="spellStart"/>
      <w:r w:rsidRPr="002906A3">
        <w:t>discussing</w:t>
      </w:r>
      <w:proofErr w:type="spellEnd"/>
      <w:r w:rsidRPr="002906A3">
        <w:t xml:space="preserve"> how silence </w:t>
      </w:r>
      <w:proofErr w:type="spellStart"/>
      <w:r w:rsidRPr="002906A3">
        <w:t>amplifies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w:t>
      </w:r>
      <w:proofErr w:type="spellEnd"/>
      <w:r w:rsidRPr="002906A3">
        <w:t xml:space="preserve"> </w:t>
      </w:r>
      <w:proofErr w:type="spellStart"/>
      <w:r w:rsidRPr="002906A3">
        <w:t>human</w:t>
      </w:r>
      <w:proofErr w:type="spellEnd"/>
      <w:r w:rsidRPr="002906A3">
        <w:t xml:space="preserve"> </w:t>
      </w:r>
      <w:proofErr w:type="spellStart"/>
      <w:r w:rsidRPr="002906A3">
        <w:t>condition</w:t>
      </w:r>
      <w:proofErr w:type="spellEnd"/>
      <w:r w:rsidRPr="002906A3">
        <w:t xml:space="preserve">. </w:t>
      </w:r>
      <w:proofErr w:type="spellStart"/>
      <w:r w:rsidRPr="002906A3">
        <w:t>In</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the</w:t>
      </w:r>
      <w:proofErr w:type="spellEnd"/>
      <w:r w:rsidRPr="002906A3">
        <w:t xml:space="preserve"> </w:t>
      </w:r>
      <w:proofErr w:type="spellStart"/>
      <w:r w:rsidRPr="002906A3">
        <w:t>lack</w:t>
      </w:r>
      <w:proofErr w:type="spellEnd"/>
      <w:r w:rsidRPr="002906A3">
        <w:t xml:space="preserve"> of </w:t>
      </w:r>
      <w:proofErr w:type="spellStart"/>
      <w:r w:rsidRPr="002906A3">
        <w:t>dialogue</w:t>
      </w:r>
      <w:proofErr w:type="spellEnd"/>
      <w:r w:rsidRPr="002906A3">
        <w:t xml:space="preserve"> in </w:t>
      </w:r>
      <w:proofErr w:type="spellStart"/>
      <w:r w:rsidRPr="002906A3">
        <w:t>some</w:t>
      </w:r>
      <w:proofErr w:type="spellEnd"/>
      <w:r w:rsidRPr="002906A3">
        <w:t xml:space="preserve"> </w:t>
      </w:r>
      <w:proofErr w:type="spellStart"/>
      <w:r w:rsidRPr="002906A3">
        <w:t>scenes</w:t>
      </w:r>
      <w:proofErr w:type="spellEnd"/>
      <w:r w:rsidRPr="002906A3">
        <w:t xml:space="preserve"> </w:t>
      </w:r>
      <w:proofErr w:type="spellStart"/>
      <w:r w:rsidRPr="002906A3">
        <w:t>highlights</w:t>
      </w:r>
      <w:proofErr w:type="spellEnd"/>
      <w:r w:rsidRPr="002906A3">
        <w:t xml:space="preserve"> </w:t>
      </w:r>
      <w:proofErr w:type="spellStart"/>
      <w:r w:rsidRPr="002906A3">
        <w:t>the</w:t>
      </w:r>
      <w:proofErr w:type="spellEnd"/>
      <w:r w:rsidRPr="002906A3">
        <w:t xml:space="preserve"> </w:t>
      </w:r>
      <w:proofErr w:type="spellStart"/>
      <w:r w:rsidRPr="002906A3">
        <w:t>futility</w:t>
      </w:r>
      <w:proofErr w:type="spellEnd"/>
      <w:r w:rsidRPr="002906A3">
        <w:t xml:space="preserve"> of </w:t>
      </w:r>
      <w:proofErr w:type="spellStart"/>
      <w:r w:rsidRPr="002906A3">
        <w:t>communication</w:t>
      </w:r>
      <w:proofErr w:type="spellEnd"/>
      <w:r w:rsidRPr="002906A3">
        <w:t xml:space="preserve">. </w:t>
      </w:r>
      <w:proofErr w:type="spellStart"/>
      <w:r w:rsidRPr="002906A3">
        <w:t>When</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face</w:t>
      </w:r>
      <w:proofErr w:type="spellEnd"/>
      <w:r w:rsidRPr="002906A3">
        <w:t xml:space="preserve"> </w:t>
      </w:r>
      <w:proofErr w:type="spellStart"/>
      <w:r w:rsidRPr="002906A3">
        <w:t>prolonged</w:t>
      </w:r>
      <w:proofErr w:type="spellEnd"/>
      <w:r w:rsidRPr="002906A3">
        <w:t xml:space="preserve"> </w:t>
      </w:r>
      <w:proofErr w:type="spellStart"/>
      <w:r w:rsidRPr="002906A3">
        <w:t>periods</w:t>
      </w:r>
      <w:proofErr w:type="spellEnd"/>
      <w:r w:rsidRPr="002906A3">
        <w:t xml:space="preserve"> of silence, it </w:t>
      </w:r>
      <w:proofErr w:type="spellStart"/>
      <w:r w:rsidRPr="002906A3">
        <w:t>exposes</w:t>
      </w:r>
      <w:proofErr w:type="spellEnd"/>
      <w:r w:rsidRPr="002906A3">
        <w:t xml:space="preserve"> </w:t>
      </w:r>
      <w:proofErr w:type="spellStart"/>
      <w:r w:rsidRPr="002906A3">
        <w:t>the</w:t>
      </w:r>
      <w:proofErr w:type="spellEnd"/>
      <w:r w:rsidRPr="002906A3">
        <w:t xml:space="preserve"> </w:t>
      </w:r>
      <w:proofErr w:type="spellStart"/>
      <w:r w:rsidRPr="002906A3">
        <w:t>emptiness</w:t>
      </w:r>
      <w:proofErr w:type="spellEnd"/>
      <w:r w:rsidRPr="002906A3">
        <w:t xml:space="preserve"> of </w:t>
      </w:r>
      <w:proofErr w:type="spellStart"/>
      <w:r w:rsidRPr="002906A3">
        <w:t>their</w:t>
      </w:r>
      <w:proofErr w:type="spellEnd"/>
      <w:r w:rsidRPr="002906A3">
        <w:t xml:space="preserve"> </w:t>
      </w:r>
      <w:proofErr w:type="spellStart"/>
      <w:r w:rsidRPr="002906A3">
        <w:t>conversations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weight</w:t>
      </w:r>
      <w:proofErr w:type="spellEnd"/>
      <w:r w:rsidRPr="002906A3">
        <w:t xml:space="preserve"> of </w:t>
      </w:r>
      <w:proofErr w:type="spellStart"/>
      <w:r w:rsidRPr="002906A3">
        <w:t>their</w:t>
      </w:r>
      <w:proofErr w:type="spellEnd"/>
      <w:r w:rsidRPr="002906A3">
        <w:t xml:space="preserve"> </w:t>
      </w:r>
      <w:proofErr w:type="spellStart"/>
      <w:r w:rsidRPr="002906A3">
        <w:t>existential</w:t>
      </w:r>
      <w:proofErr w:type="spellEnd"/>
      <w:r w:rsidRPr="002906A3">
        <w:t xml:space="preserve"> </w:t>
      </w:r>
      <w:proofErr w:type="spellStart"/>
      <w:r w:rsidRPr="002906A3">
        <w:t>burden</w:t>
      </w:r>
      <w:proofErr w:type="spellEnd"/>
      <w:r w:rsidRPr="002906A3">
        <w:t xml:space="preserve">. </w:t>
      </w:r>
      <w:proofErr w:type="spellStart"/>
      <w:r w:rsidRPr="002906A3">
        <w:t>This</w:t>
      </w:r>
      <w:proofErr w:type="spellEnd"/>
      <w:r w:rsidRPr="002906A3">
        <w:t xml:space="preserve"> silence is not </w:t>
      </w:r>
      <w:proofErr w:type="spellStart"/>
      <w:r w:rsidRPr="002906A3">
        <w:t>just</w:t>
      </w:r>
      <w:proofErr w:type="spellEnd"/>
      <w:r w:rsidRPr="002906A3">
        <w:t xml:space="preserve"> an </w:t>
      </w:r>
      <w:proofErr w:type="spellStart"/>
      <w:r w:rsidRPr="002906A3">
        <w:t>absence</w:t>
      </w:r>
      <w:proofErr w:type="spellEnd"/>
      <w:r w:rsidRPr="002906A3">
        <w:t xml:space="preserve"> of </w:t>
      </w:r>
      <w:proofErr w:type="spellStart"/>
      <w:r w:rsidRPr="002906A3">
        <w:t>sound</w:t>
      </w:r>
      <w:proofErr w:type="spellEnd"/>
      <w:r w:rsidRPr="002906A3">
        <w:t xml:space="preserve">; it </w:t>
      </w:r>
      <w:proofErr w:type="spellStart"/>
      <w:r w:rsidRPr="002906A3">
        <w:t>serves</w:t>
      </w:r>
      <w:proofErr w:type="spellEnd"/>
      <w:r w:rsidRPr="002906A3">
        <w:t xml:space="preserve"> as a </w:t>
      </w:r>
      <w:proofErr w:type="spellStart"/>
      <w:r w:rsidRPr="002906A3">
        <w:t>stark</w:t>
      </w:r>
      <w:proofErr w:type="spellEnd"/>
      <w:r w:rsidRPr="002906A3">
        <w:t xml:space="preserve"> </w:t>
      </w:r>
      <w:proofErr w:type="spellStart"/>
      <w:r w:rsidRPr="002906A3">
        <w:t>reminder</w:t>
      </w:r>
      <w:proofErr w:type="spellEnd"/>
      <w:r w:rsidRPr="002906A3">
        <w:t xml:space="preserve"> of </w:t>
      </w:r>
      <w:proofErr w:type="spellStart"/>
      <w:r w:rsidRPr="002906A3">
        <w:t>their</w:t>
      </w:r>
      <w:proofErr w:type="spellEnd"/>
      <w:r w:rsidRPr="002906A3">
        <w:t xml:space="preserve"> </w:t>
      </w:r>
      <w:proofErr w:type="spellStart"/>
      <w:r w:rsidRPr="002906A3">
        <w:t>waiting</w:t>
      </w:r>
      <w:proofErr w:type="spellEnd"/>
      <w:r w:rsidRPr="002906A3">
        <w:t xml:space="preserve"> </w:t>
      </w:r>
      <w:proofErr w:type="spellStart"/>
      <w:r w:rsidRPr="002906A3">
        <w:t>and</w:t>
      </w:r>
      <w:proofErr w:type="spellEnd"/>
      <w:r w:rsidRPr="002906A3">
        <w:t xml:space="preserve"> </w:t>
      </w:r>
      <w:proofErr w:type="spellStart"/>
      <w:r w:rsidRPr="002906A3">
        <w:t>their</w:t>
      </w:r>
      <w:proofErr w:type="spellEnd"/>
      <w:r w:rsidRPr="002906A3">
        <w:t xml:space="preserve">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fill</w:t>
      </w:r>
      <w:proofErr w:type="spellEnd"/>
      <w:r w:rsidRPr="002906A3">
        <w:t xml:space="preserve"> </w:t>
      </w:r>
      <w:proofErr w:type="spellStart"/>
      <w:r w:rsidRPr="002906A3">
        <w:t>the</w:t>
      </w:r>
      <w:proofErr w:type="spellEnd"/>
      <w:r w:rsidRPr="002906A3">
        <w:t xml:space="preserve"> </w:t>
      </w:r>
      <w:proofErr w:type="spellStart"/>
      <w:r w:rsidRPr="002906A3">
        <w:t>void</w:t>
      </w:r>
      <w:proofErr w:type="spellEnd"/>
      <w:r w:rsidRPr="002906A3">
        <w:t xml:space="preserve"> of </w:t>
      </w:r>
      <w:proofErr w:type="spellStart"/>
      <w:r w:rsidRPr="002906A3">
        <w:t>their</w:t>
      </w:r>
      <w:proofErr w:type="spellEnd"/>
      <w:r w:rsidRPr="002906A3">
        <w:t xml:space="preserve"> </w:t>
      </w:r>
      <w:proofErr w:type="spellStart"/>
      <w:r w:rsidRPr="002906A3">
        <w:t>existence</w:t>
      </w:r>
      <w:proofErr w:type="spellEnd"/>
      <w:r w:rsidRPr="002906A3">
        <w:t xml:space="preserve"> </w:t>
      </w:r>
      <w:proofErr w:type="spellStart"/>
      <w:r w:rsidRPr="002906A3">
        <w:t>with</w:t>
      </w:r>
      <w:proofErr w:type="spellEnd"/>
      <w:r w:rsidRPr="002906A3">
        <w:t xml:space="preserve"> </w:t>
      </w:r>
      <w:proofErr w:type="spellStart"/>
      <w:r w:rsidRPr="002906A3">
        <w:t>meaningful</w:t>
      </w:r>
      <w:proofErr w:type="spellEnd"/>
      <w:r w:rsidRPr="002906A3">
        <w:t xml:space="preserve"> </w:t>
      </w:r>
      <w:proofErr w:type="spellStart"/>
      <w:r w:rsidRPr="002906A3">
        <w:t>interactions</w:t>
      </w:r>
      <w:proofErr w:type="spellEnd"/>
      <w:r w:rsidRPr="002906A3">
        <w:t>.</w:t>
      </w:r>
    </w:p>
    <w:p w14:paraId="59A90C48" w14:textId="77777777" w:rsidR="00BA67A6" w:rsidRPr="002906A3" w:rsidRDefault="00BA67A6" w:rsidP="00BA67A6">
      <w:pPr>
        <w:jc w:val="both"/>
      </w:pPr>
    </w:p>
    <w:p w14:paraId="4A64898C" w14:textId="77777777" w:rsidR="001E7189" w:rsidRPr="002906A3" w:rsidRDefault="001E7189" w:rsidP="00BA67A6">
      <w:pPr>
        <w:jc w:val="both"/>
      </w:pPr>
      <w:proofErr w:type="spellStart"/>
      <w:r w:rsidRPr="002906A3">
        <w:t>Additionally</w:t>
      </w:r>
      <w:proofErr w:type="spellEnd"/>
      <w:r w:rsidRPr="002906A3">
        <w:t xml:space="preserve">, </w:t>
      </w:r>
      <w:proofErr w:type="spellStart"/>
      <w:r w:rsidRPr="002906A3">
        <w:t>the</w:t>
      </w:r>
      <w:proofErr w:type="spellEnd"/>
      <w:r w:rsidRPr="002906A3">
        <w:t xml:space="preserve">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idea of </w:t>
      </w:r>
      <w:proofErr w:type="spellStart"/>
      <w:r w:rsidRPr="002906A3">
        <w:t>human</w:t>
      </w:r>
      <w:proofErr w:type="spellEnd"/>
      <w:r w:rsidRPr="002906A3">
        <w:t xml:space="preserve"> </w:t>
      </w:r>
      <w:proofErr w:type="spellStart"/>
      <w:r w:rsidRPr="002906A3">
        <w:t>connection</w:t>
      </w:r>
      <w:proofErr w:type="spellEnd"/>
      <w:r w:rsidRPr="002906A3">
        <w:t xml:space="preserve">. </w:t>
      </w:r>
      <w:proofErr w:type="spellStart"/>
      <w:r w:rsidRPr="002906A3">
        <w:t>The</w:t>
      </w:r>
      <w:proofErr w:type="spellEnd"/>
      <w:r w:rsidRPr="002906A3">
        <w:t xml:space="preserve"> </w:t>
      </w:r>
      <w:proofErr w:type="spellStart"/>
      <w:r w:rsidRPr="002906A3">
        <w:t>pauses</w:t>
      </w:r>
      <w:proofErr w:type="spellEnd"/>
      <w:r w:rsidRPr="002906A3">
        <w:t xml:space="preserve"> </w:t>
      </w:r>
      <w:proofErr w:type="spellStart"/>
      <w:r w:rsidRPr="002906A3">
        <w:t>and</w:t>
      </w:r>
      <w:proofErr w:type="spellEnd"/>
      <w:r w:rsidRPr="002906A3">
        <w:t xml:space="preserve"> </w:t>
      </w:r>
      <w:proofErr w:type="spellStart"/>
      <w:r w:rsidRPr="002906A3">
        <w:t>silences</w:t>
      </w:r>
      <w:proofErr w:type="spellEnd"/>
      <w:r w:rsidRPr="002906A3">
        <w:t xml:space="preserve"> </w:t>
      </w:r>
      <w:proofErr w:type="spellStart"/>
      <w:r w:rsidRPr="002906A3">
        <w:t>between</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reveal</w:t>
      </w:r>
      <w:proofErr w:type="spellEnd"/>
      <w:r w:rsidRPr="002906A3">
        <w:t xml:space="preserve"> </w:t>
      </w:r>
      <w:proofErr w:type="spellStart"/>
      <w:r w:rsidRPr="002906A3">
        <w:t>their</w:t>
      </w:r>
      <w:proofErr w:type="spellEnd"/>
      <w:r w:rsidRPr="002906A3">
        <w:t xml:space="preserve"> </w:t>
      </w:r>
      <w:proofErr w:type="spellStart"/>
      <w:r w:rsidRPr="002906A3">
        <w:t>mutual</w:t>
      </w:r>
      <w:proofErr w:type="spellEnd"/>
      <w:r w:rsidRPr="002906A3">
        <w:t xml:space="preserve"> </w:t>
      </w:r>
      <w:proofErr w:type="spellStart"/>
      <w:r w:rsidRPr="002906A3">
        <w:t>dependence</w:t>
      </w:r>
      <w:proofErr w:type="spellEnd"/>
      <w:r w:rsidRPr="002906A3">
        <w:t xml:space="preserve"> on </w:t>
      </w:r>
      <w:proofErr w:type="spellStart"/>
      <w:r w:rsidRPr="002906A3">
        <w:t>each</w:t>
      </w:r>
      <w:proofErr w:type="spellEnd"/>
      <w:r w:rsidRPr="002906A3">
        <w:t xml:space="preserve"> </w:t>
      </w:r>
      <w:proofErr w:type="spellStart"/>
      <w:r w:rsidRPr="002906A3">
        <w:t>other</w:t>
      </w:r>
      <w:proofErr w:type="spellEnd"/>
      <w:r w:rsidRPr="002906A3">
        <w:t xml:space="preserve"> </w:t>
      </w:r>
      <w:proofErr w:type="spellStart"/>
      <w:r w:rsidRPr="002906A3">
        <w:t>for</w:t>
      </w:r>
      <w:proofErr w:type="spellEnd"/>
      <w:r w:rsidRPr="002906A3">
        <w:t xml:space="preserve"> </w:t>
      </w:r>
      <w:proofErr w:type="spellStart"/>
      <w:r w:rsidRPr="002906A3">
        <w:t>companionship</w:t>
      </w:r>
      <w:proofErr w:type="spellEnd"/>
      <w:r w:rsidRPr="002906A3">
        <w:t xml:space="preserve"> in an </w:t>
      </w:r>
      <w:proofErr w:type="spellStart"/>
      <w:r w:rsidRPr="002906A3">
        <w:t>indifferent</w:t>
      </w:r>
      <w:proofErr w:type="spellEnd"/>
      <w:r w:rsidRPr="002906A3">
        <w:t xml:space="preserve"> </w:t>
      </w:r>
      <w:proofErr w:type="spellStart"/>
      <w:r w:rsidRPr="002906A3">
        <w:t>world</w:t>
      </w:r>
      <w:proofErr w:type="spellEnd"/>
      <w:r w:rsidRPr="002906A3">
        <w:t xml:space="preserve">. </w:t>
      </w:r>
      <w:proofErr w:type="spellStart"/>
      <w:r w:rsidRPr="002906A3">
        <w:t>Without</w:t>
      </w:r>
      <w:proofErr w:type="spellEnd"/>
      <w:r w:rsidRPr="002906A3">
        <w:t xml:space="preserve"> </w:t>
      </w:r>
      <w:proofErr w:type="spellStart"/>
      <w:r w:rsidRPr="002906A3">
        <w:t>these</w:t>
      </w:r>
      <w:proofErr w:type="spellEnd"/>
      <w:r w:rsidRPr="002906A3">
        <w:t xml:space="preserve"> </w:t>
      </w:r>
      <w:proofErr w:type="spellStart"/>
      <w:r w:rsidRPr="002906A3">
        <w:t>moments</w:t>
      </w:r>
      <w:proofErr w:type="spellEnd"/>
      <w:r w:rsidRPr="002906A3">
        <w:t xml:space="preserve"> of silence, it </w:t>
      </w:r>
      <w:proofErr w:type="spellStart"/>
      <w:r w:rsidRPr="002906A3">
        <w:t>would</w:t>
      </w:r>
      <w:proofErr w:type="spellEnd"/>
      <w:r w:rsidRPr="002906A3">
        <w:t xml:space="preserve"> be </w:t>
      </w:r>
      <w:proofErr w:type="spellStart"/>
      <w:r w:rsidRPr="002906A3">
        <w:t>difficult</w:t>
      </w:r>
      <w:proofErr w:type="spellEnd"/>
      <w:r w:rsidRPr="002906A3">
        <w:t xml:space="preserve"> </w:t>
      </w:r>
      <w:proofErr w:type="spellStart"/>
      <w:r w:rsidRPr="002906A3">
        <w:t>to</w:t>
      </w:r>
      <w:proofErr w:type="spellEnd"/>
      <w:r w:rsidRPr="002906A3">
        <w:t xml:space="preserve"> </w:t>
      </w:r>
      <w:proofErr w:type="spellStart"/>
      <w:r w:rsidRPr="002906A3">
        <w:t>understand</w:t>
      </w:r>
      <w:proofErr w:type="spellEnd"/>
      <w:r w:rsidRPr="002906A3">
        <w:t xml:space="preserve"> </w:t>
      </w:r>
      <w:proofErr w:type="spellStart"/>
      <w:r w:rsidRPr="002906A3">
        <w:t>the</w:t>
      </w:r>
      <w:proofErr w:type="spellEnd"/>
      <w:r w:rsidRPr="002906A3">
        <w:t xml:space="preserve"> </w:t>
      </w:r>
      <w:proofErr w:type="spellStart"/>
      <w:r w:rsidRPr="002906A3">
        <w:t>depth</w:t>
      </w:r>
      <w:proofErr w:type="spellEnd"/>
      <w:r w:rsidRPr="002906A3">
        <w:t xml:space="preserve"> of </w:t>
      </w:r>
      <w:proofErr w:type="spellStart"/>
      <w:r w:rsidRPr="002906A3">
        <w:t>their</w:t>
      </w:r>
      <w:proofErr w:type="spellEnd"/>
      <w:r w:rsidRPr="002906A3">
        <w:t xml:space="preserve"> </w:t>
      </w:r>
      <w:proofErr w:type="spellStart"/>
      <w:r w:rsidRPr="002906A3">
        <w:t>relationship</w:t>
      </w:r>
      <w:proofErr w:type="spellEnd"/>
      <w:r w:rsidRPr="002906A3">
        <w:t xml:space="preserve">. </w:t>
      </w:r>
      <w:proofErr w:type="spellStart"/>
      <w:r w:rsidRPr="002906A3">
        <w:t>Although</w:t>
      </w:r>
      <w:proofErr w:type="spellEnd"/>
      <w:r w:rsidRPr="002906A3">
        <w:t xml:space="preserve"> </w:t>
      </w:r>
      <w:proofErr w:type="spellStart"/>
      <w:r w:rsidRPr="002906A3">
        <w:t>their</w:t>
      </w:r>
      <w:proofErr w:type="spellEnd"/>
      <w:r w:rsidRPr="002906A3">
        <w:t xml:space="preserve"> </w:t>
      </w:r>
      <w:proofErr w:type="spellStart"/>
      <w:r w:rsidRPr="002906A3">
        <w:t>dialogue</w:t>
      </w:r>
      <w:proofErr w:type="spellEnd"/>
      <w:r w:rsidRPr="002906A3">
        <w:t xml:space="preserve"> </w:t>
      </w:r>
      <w:proofErr w:type="spellStart"/>
      <w:r w:rsidRPr="002906A3">
        <w:t>often</w:t>
      </w:r>
      <w:proofErr w:type="spellEnd"/>
      <w:r w:rsidRPr="002906A3">
        <w:t xml:space="preserve"> </w:t>
      </w:r>
      <w:proofErr w:type="spellStart"/>
      <w:r w:rsidRPr="002906A3">
        <w:t>seems</w:t>
      </w:r>
      <w:proofErr w:type="spellEnd"/>
      <w:r w:rsidRPr="002906A3">
        <w:t xml:space="preserve"> </w:t>
      </w:r>
      <w:proofErr w:type="spellStart"/>
      <w:r w:rsidRPr="002906A3">
        <w:t>trivial</w:t>
      </w:r>
      <w:proofErr w:type="spellEnd"/>
      <w:r w:rsidRPr="002906A3">
        <w:t xml:space="preserve">, </w:t>
      </w:r>
      <w:proofErr w:type="spellStart"/>
      <w:r w:rsidRPr="002906A3">
        <w:t>the</w:t>
      </w:r>
      <w:proofErr w:type="spellEnd"/>
      <w:r w:rsidRPr="002906A3">
        <w:t xml:space="preserve"> </w:t>
      </w:r>
      <w:proofErr w:type="spellStart"/>
      <w:r w:rsidRPr="002906A3">
        <w:t>silences</w:t>
      </w:r>
      <w:proofErr w:type="spellEnd"/>
      <w:r w:rsidRPr="002906A3">
        <w:t xml:space="preserve"> </w:t>
      </w:r>
      <w:proofErr w:type="spellStart"/>
      <w:r w:rsidRPr="002906A3">
        <w:t>reveal</w:t>
      </w:r>
      <w:proofErr w:type="spellEnd"/>
      <w:r w:rsidRPr="002906A3">
        <w:t xml:space="preserve"> an </w:t>
      </w:r>
      <w:proofErr w:type="spellStart"/>
      <w:r w:rsidRPr="002906A3">
        <w:t>emotional</w:t>
      </w:r>
      <w:proofErr w:type="spellEnd"/>
      <w:r w:rsidRPr="002906A3">
        <w:t xml:space="preserve"> </w:t>
      </w:r>
      <w:proofErr w:type="spellStart"/>
      <w:r w:rsidRPr="002906A3">
        <w:t>depth</w:t>
      </w:r>
      <w:proofErr w:type="spellEnd"/>
      <w:r w:rsidRPr="002906A3">
        <w:t xml:space="preserve"> </w:t>
      </w:r>
      <w:proofErr w:type="spellStart"/>
      <w:r w:rsidRPr="002906A3">
        <w:t>that</w:t>
      </w:r>
      <w:proofErr w:type="spellEnd"/>
      <w:r w:rsidRPr="002906A3">
        <w:t xml:space="preserve"> </w:t>
      </w:r>
      <w:proofErr w:type="spellStart"/>
      <w:r w:rsidRPr="002906A3">
        <w:t>transcends</w:t>
      </w:r>
      <w:proofErr w:type="spellEnd"/>
      <w:r w:rsidRPr="002906A3">
        <w:t xml:space="preserve"> </w:t>
      </w:r>
      <w:proofErr w:type="spellStart"/>
      <w:r w:rsidRPr="002906A3">
        <w:t>words</w:t>
      </w:r>
      <w:proofErr w:type="spellEnd"/>
      <w:r w:rsidRPr="002906A3">
        <w:t xml:space="preserve">. </w:t>
      </w:r>
      <w:proofErr w:type="spellStart"/>
      <w:r w:rsidRPr="002906A3">
        <w:t>This</w:t>
      </w:r>
      <w:proofErr w:type="spellEnd"/>
      <w:r w:rsidRPr="002906A3">
        <w:t xml:space="preserve"> </w:t>
      </w:r>
      <w:proofErr w:type="spellStart"/>
      <w:r w:rsidRPr="002906A3">
        <w:t>complexity</w:t>
      </w:r>
      <w:proofErr w:type="spellEnd"/>
      <w:r w:rsidRPr="002906A3">
        <w:t xml:space="preserve"> </w:t>
      </w:r>
      <w:proofErr w:type="spellStart"/>
      <w:r w:rsidRPr="002906A3">
        <w:t>enhances</w:t>
      </w:r>
      <w:proofErr w:type="spellEnd"/>
      <w:r w:rsidRPr="002906A3">
        <w:t xml:space="preserve"> </w:t>
      </w:r>
      <w:proofErr w:type="spellStart"/>
      <w:r w:rsidRPr="002906A3">
        <w:t>character</w:t>
      </w:r>
      <w:proofErr w:type="spellEnd"/>
      <w:r w:rsidRPr="002906A3">
        <w:t xml:space="preserve"> </w:t>
      </w:r>
      <w:proofErr w:type="spellStart"/>
      <w:r w:rsidRPr="002906A3">
        <w:t>development</w:t>
      </w:r>
      <w:proofErr w:type="spellEnd"/>
      <w:r w:rsidRPr="002906A3">
        <w:t xml:space="preserve">, </w:t>
      </w:r>
      <w:proofErr w:type="spellStart"/>
      <w:r w:rsidRPr="002906A3">
        <w:t>illustrating</w:t>
      </w:r>
      <w:proofErr w:type="spellEnd"/>
      <w:r w:rsidRPr="002906A3">
        <w:t xml:space="preserve"> </w:t>
      </w:r>
      <w:proofErr w:type="spellStart"/>
      <w:r w:rsidRPr="002906A3">
        <w:t>their</w:t>
      </w:r>
      <w:proofErr w:type="spellEnd"/>
      <w:r w:rsidRPr="002906A3">
        <w:t xml:space="preserve"> </w:t>
      </w:r>
      <w:proofErr w:type="spellStart"/>
      <w:r w:rsidRPr="002906A3">
        <w:t>vulnerability</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w:t>
      </w:r>
    </w:p>
    <w:p w14:paraId="0DFD8C71" w14:textId="77777777" w:rsidR="001E7189" w:rsidRPr="002906A3" w:rsidRDefault="001E7189" w:rsidP="00BA67A6">
      <w:pPr>
        <w:jc w:val="both"/>
      </w:pPr>
    </w:p>
    <w:p w14:paraId="53017097" w14:textId="77777777" w:rsidR="001E7189" w:rsidRPr="002906A3" w:rsidRDefault="001E7189" w:rsidP="00BA67A6">
      <w:pPr>
        <w:jc w:val="both"/>
      </w:pPr>
      <w:r w:rsidRPr="002906A3">
        <w:t xml:space="preserve">VLADIMIR: </w:t>
      </w:r>
      <w:proofErr w:type="spellStart"/>
      <w:r w:rsidRPr="002906A3">
        <w:t>That</w:t>
      </w:r>
      <w:proofErr w:type="spellEnd"/>
      <w:r w:rsidRPr="002906A3">
        <w:t xml:space="preserve"> </w:t>
      </w:r>
      <w:proofErr w:type="spellStart"/>
      <w:r w:rsidRPr="002906A3">
        <w:t>he’d</w:t>
      </w:r>
      <w:proofErr w:type="spellEnd"/>
      <w:r w:rsidRPr="002906A3">
        <w:t xml:space="preserve"> </w:t>
      </w:r>
      <w:proofErr w:type="spellStart"/>
      <w:r w:rsidRPr="002906A3">
        <w:t>have</w:t>
      </w:r>
      <w:proofErr w:type="spellEnd"/>
      <w:r w:rsidRPr="002906A3">
        <w:t xml:space="preserve"> </w:t>
      </w:r>
      <w:proofErr w:type="spellStart"/>
      <w:r w:rsidRPr="002906A3">
        <w:t>to</w:t>
      </w:r>
      <w:proofErr w:type="spellEnd"/>
      <w:r w:rsidRPr="002906A3">
        <w:t xml:space="preserve"> </w:t>
      </w:r>
      <w:proofErr w:type="spellStart"/>
      <w:r w:rsidRPr="002906A3">
        <w:t>think</w:t>
      </w:r>
      <w:proofErr w:type="spellEnd"/>
      <w:r w:rsidRPr="002906A3">
        <w:t xml:space="preserve"> it </w:t>
      </w:r>
      <w:proofErr w:type="spellStart"/>
      <w:r w:rsidRPr="002906A3">
        <w:t>over</w:t>
      </w:r>
      <w:proofErr w:type="spellEnd"/>
      <w:r w:rsidRPr="002906A3">
        <w:t>.</w:t>
      </w:r>
    </w:p>
    <w:p w14:paraId="79492AC4" w14:textId="77777777" w:rsidR="001E7189" w:rsidRPr="002906A3" w:rsidRDefault="001E7189" w:rsidP="00BA67A6">
      <w:pPr>
        <w:jc w:val="both"/>
      </w:pPr>
      <w:r w:rsidRPr="002906A3">
        <w:t xml:space="preserve">ESTRAGON: </w:t>
      </w:r>
      <w:proofErr w:type="spellStart"/>
      <w:r w:rsidRPr="002906A3">
        <w:t>In</w:t>
      </w:r>
      <w:proofErr w:type="spellEnd"/>
      <w:r w:rsidRPr="002906A3">
        <w:t xml:space="preserve"> </w:t>
      </w:r>
      <w:proofErr w:type="spellStart"/>
      <w:r w:rsidRPr="002906A3">
        <w:t>the</w:t>
      </w:r>
      <w:proofErr w:type="spellEnd"/>
      <w:r w:rsidRPr="002906A3">
        <w:t xml:space="preserve"> </w:t>
      </w:r>
      <w:proofErr w:type="spellStart"/>
      <w:r w:rsidRPr="002906A3">
        <w:t>quiet</w:t>
      </w:r>
      <w:proofErr w:type="spellEnd"/>
      <w:r w:rsidRPr="002906A3">
        <w:t xml:space="preserve"> of his </w:t>
      </w:r>
      <w:proofErr w:type="spellStart"/>
      <w:r w:rsidRPr="002906A3">
        <w:t>home</w:t>
      </w:r>
      <w:proofErr w:type="spellEnd"/>
      <w:r w:rsidRPr="002906A3">
        <w:t>.</w:t>
      </w:r>
    </w:p>
    <w:p w14:paraId="06FAA036" w14:textId="77777777" w:rsidR="001E7189" w:rsidRPr="002906A3" w:rsidRDefault="001E7189" w:rsidP="00BA67A6">
      <w:pPr>
        <w:jc w:val="both"/>
      </w:pPr>
      <w:r w:rsidRPr="002906A3">
        <w:t xml:space="preserve">VLADIMIR: </w:t>
      </w:r>
      <w:proofErr w:type="spellStart"/>
      <w:r w:rsidRPr="002906A3">
        <w:t>Consult</w:t>
      </w:r>
      <w:proofErr w:type="spellEnd"/>
      <w:r w:rsidRPr="002906A3">
        <w:t xml:space="preserve"> his </w:t>
      </w:r>
      <w:proofErr w:type="spellStart"/>
      <w:r w:rsidRPr="002906A3">
        <w:t>family</w:t>
      </w:r>
      <w:proofErr w:type="spellEnd"/>
      <w:r w:rsidRPr="002906A3">
        <w:t>.</w:t>
      </w:r>
    </w:p>
    <w:p w14:paraId="57E0E699" w14:textId="77777777" w:rsidR="001E7189" w:rsidRPr="002906A3" w:rsidRDefault="001E7189" w:rsidP="00BA67A6">
      <w:pPr>
        <w:jc w:val="both"/>
      </w:pPr>
      <w:r w:rsidRPr="002906A3">
        <w:t xml:space="preserve">ESTRAGON: His </w:t>
      </w:r>
      <w:proofErr w:type="spellStart"/>
      <w:r w:rsidRPr="002906A3">
        <w:t>friends</w:t>
      </w:r>
      <w:proofErr w:type="spellEnd"/>
      <w:r w:rsidRPr="002906A3">
        <w:t>.</w:t>
      </w:r>
    </w:p>
    <w:p w14:paraId="69FB5126" w14:textId="77777777" w:rsidR="001E7189" w:rsidRPr="002906A3" w:rsidRDefault="001E7189" w:rsidP="00BA67A6">
      <w:pPr>
        <w:jc w:val="both"/>
      </w:pPr>
      <w:r w:rsidRPr="002906A3">
        <w:t xml:space="preserve">VLADIMIR: His </w:t>
      </w:r>
      <w:proofErr w:type="spellStart"/>
      <w:r w:rsidRPr="002906A3">
        <w:t>agents</w:t>
      </w:r>
      <w:proofErr w:type="spellEnd"/>
      <w:r w:rsidRPr="002906A3">
        <w:t>.</w:t>
      </w:r>
    </w:p>
    <w:p w14:paraId="69650947" w14:textId="77777777" w:rsidR="001E7189" w:rsidRPr="002906A3" w:rsidRDefault="001E7189" w:rsidP="00BA67A6">
      <w:pPr>
        <w:jc w:val="both"/>
      </w:pPr>
      <w:r w:rsidRPr="002906A3">
        <w:t xml:space="preserve">ESTRAGON: His </w:t>
      </w:r>
      <w:proofErr w:type="spellStart"/>
      <w:r w:rsidRPr="002906A3">
        <w:t>correspondents</w:t>
      </w:r>
      <w:proofErr w:type="spellEnd"/>
      <w:r w:rsidRPr="002906A3">
        <w:t>.</w:t>
      </w:r>
    </w:p>
    <w:p w14:paraId="6421C6E7" w14:textId="77777777" w:rsidR="001E7189" w:rsidRPr="002906A3" w:rsidRDefault="001E7189" w:rsidP="00BA67A6">
      <w:pPr>
        <w:jc w:val="both"/>
      </w:pPr>
      <w:r w:rsidRPr="002906A3">
        <w:t xml:space="preserve">VLADIMIR: His </w:t>
      </w:r>
      <w:proofErr w:type="spellStart"/>
      <w:r w:rsidRPr="002906A3">
        <w:t>books</w:t>
      </w:r>
      <w:proofErr w:type="spellEnd"/>
      <w:r w:rsidRPr="002906A3">
        <w:t>.</w:t>
      </w:r>
    </w:p>
    <w:p w14:paraId="7ED86B26" w14:textId="77777777" w:rsidR="001E7189" w:rsidRPr="002906A3" w:rsidRDefault="001E7189" w:rsidP="00BA67A6">
      <w:pPr>
        <w:jc w:val="both"/>
      </w:pPr>
      <w:r w:rsidRPr="002906A3">
        <w:t xml:space="preserve">ESTRAGON: His bank </w:t>
      </w:r>
      <w:proofErr w:type="spellStart"/>
      <w:r w:rsidRPr="002906A3">
        <w:t>account</w:t>
      </w:r>
      <w:proofErr w:type="spellEnd"/>
      <w:r w:rsidRPr="002906A3">
        <w:t>.</w:t>
      </w:r>
    </w:p>
    <w:p w14:paraId="4F938BD6" w14:textId="77777777" w:rsidR="001E7189" w:rsidRPr="002906A3" w:rsidRDefault="001E7189" w:rsidP="00BA67A6">
      <w:pPr>
        <w:jc w:val="both"/>
      </w:pPr>
      <w:r w:rsidRPr="002906A3">
        <w:t xml:space="preserve">VLADIMIR: </w:t>
      </w:r>
      <w:proofErr w:type="spellStart"/>
      <w:r w:rsidRPr="002906A3">
        <w:t>Before</w:t>
      </w:r>
      <w:proofErr w:type="spellEnd"/>
      <w:r w:rsidRPr="002906A3">
        <w:t xml:space="preserve"> </w:t>
      </w:r>
      <w:proofErr w:type="spellStart"/>
      <w:r w:rsidRPr="002906A3">
        <w:t>taking</w:t>
      </w:r>
      <w:proofErr w:type="spellEnd"/>
      <w:r w:rsidRPr="002906A3">
        <w:t xml:space="preserve"> a </w:t>
      </w:r>
      <w:proofErr w:type="spellStart"/>
      <w:r w:rsidRPr="002906A3">
        <w:t>decision</w:t>
      </w:r>
      <w:proofErr w:type="spellEnd"/>
      <w:r w:rsidRPr="002906A3">
        <w:t>.</w:t>
      </w:r>
    </w:p>
    <w:p w14:paraId="6A687452" w14:textId="77777777" w:rsidR="001E7189" w:rsidRPr="002906A3" w:rsidRDefault="001E7189" w:rsidP="00BA67A6">
      <w:pPr>
        <w:jc w:val="both"/>
      </w:pPr>
      <w:r w:rsidRPr="002906A3">
        <w:t xml:space="preserve">ESTRAGON: </w:t>
      </w:r>
      <w:proofErr w:type="spellStart"/>
      <w:r w:rsidRPr="002906A3">
        <w:t>It’s</w:t>
      </w:r>
      <w:proofErr w:type="spellEnd"/>
      <w:r w:rsidRPr="002906A3">
        <w:t xml:space="preserve"> </w:t>
      </w:r>
      <w:proofErr w:type="spellStart"/>
      <w:r w:rsidRPr="002906A3">
        <w:t>the</w:t>
      </w:r>
      <w:proofErr w:type="spellEnd"/>
      <w:r w:rsidRPr="002906A3">
        <w:t xml:space="preserve"> normal </w:t>
      </w:r>
      <w:proofErr w:type="spellStart"/>
      <w:r w:rsidRPr="002906A3">
        <w:t>thing</w:t>
      </w:r>
      <w:proofErr w:type="spellEnd"/>
      <w:r w:rsidRPr="002906A3">
        <w:t>.</w:t>
      </w:r>
    </w:p>
    <w:p w14:paraId="444356FD" w14:textId="77777777" w:rsidR="001E7189" w:rsidRPr="002906A3" w:rsidRDefault="001E7189" w:rsidP="00BA67A6">
      <w:pPr>
        <w:jc w:val="both"/>
      </w:pPr>
      <w:r w:rsidRPr="002906A3">
        <w:t>VLADIMIR: Is it not?</w:t>
      </w:r>
    </w:p>
    <w:p w14:paraId="666D02A5" w14:textId="77777777" w:rsidR="001E7189" w:rsidRPr="002906A3" w:rsidRDefault="001E7189" w:rsidP="00BA67A6">
      <w:pPr>
        <w:jc w:val="both"/>
      </w:pPr>
      <w:r w:rsidRPr="002906A3">
        <w:t xml:space="preserve">ESTRAGON: I </w:t>
      </w:r>
      <w:proofErr w:type="spellStart"/>
      <w:r w:rsidRPr="002906A3">
        <w:t>think</w:t>
      </w:r>
      <w:proofErr w:type="spellEnd"/>
      <w:r w:rsidRPr="002906A3">
        <w:t xml:space="preserve"> it is.</w:t>
      </w:r>
    </w:p>
    <w:p w14:paraId="7F0B72DE" w14:textId="77777777" w:rsidR="001E7189" w:rsidRPr="002906A3" w:rsidRDefault="001E7189" w:rsidP="00BA67A6">
      <w:pPr>
        <w:jc w:val="both"/>
      </w:pPr>
      <w:r w:rsidRPr="002906A3">
        <w:t xml:space="preserve">VLADIMIR: I </w:t>
      </w:r>
      <w:proofErr w:type="spellStart"/>
      <w:r w:rsidRPr="002906A3">
        <w:t>think</w:t>
      </w:r>
      <w:proofErr w:type="spellEnd"/>
      <w:r w:rsidRPr="002906A3">
        <w:t xml:space="preserve"> </w:t>
      </w:r>
      <w:proofErr w:type="spellStart"/>
      <w:r w:rsidRPr="002906A3">
        <w:t>so</w:t>
      </w:r>
      <w:proofErr w:type="spellEnd"/>
      <w:r w:rsidRPr="002906A3">
        <w:t xml:space="preserve"> </w:t>
      </w:r>
      <w:proofErr w:type="spellStart"/>
      <w:r w:rsidRPr="002906A3">
        <w:t>too</w:t>
      </w:r>
      <w:proofErr w:type="spellEnd"/>
      <w:r w:rsidRPr="002906A3">
        <w:t>.</w:t>
      </w:r>
    </w:p>
    <w:p w14:paraId="7542A34F" w14:textId="77777777" w:rsidR="001E7189" w:rsidRPr="002906A3" w:rsidRDefault="001E7189" w:rsidP="00BA67A6">
      <w:pPr>
        <w:jc w:val="both"/>
      </w:pPr>
      <w:r w:rsidRPr="002906A3">
        <w:t>Silence.</w:t>
      </w:r>
    </w:p>
    <w:p w14:paraId="188006DC" w14:textId="77777777" w:rsidR="001E7189" w:rsidRPr="002906A3" w:rsidRDefault="001E7189" w:rsidP="00BA67A6">
      <w:pPr>
        <w:jc w:val="both"/>
      </w:pPr>
      <w:r w:rsidRPr="002906A3">
        <w:t>(Beckett, 1953, p. 10)​</w:t>
      </w:r>
    </w:p>
    <w:p w14:paraId="0293F4D3" w14:textId="77777777" w:rsidR="001E7189" w:rsidRPr="002906A3" w:rsidRDefault="001E7189" w:rsidP="00BA67A6">
      <w:pPr>
        <w:jc w:val="both"/>
      </w:pPr>
    </w:p>
    <w:p w14:paraId="01240066" w14:textId="77777777" w:rsidR="001E7189" w:rsidRPr="002906A3" w:rsidRDefault="001E7189" w:rsidP="00BA67A6">
      <w:pPr>
        <w:jc w:val="both"/>
      </w:pPr>
      <w:proofErr w:type="spellStart"/>
      <w:r w:rsidRPr="002906A3">
        <w:t>This</w:t>
      </w:r>
      <w:proofErr w:type="spellEnd"/>
      <w:r w:rsidRPr="002906A3">
        <w:t xml:space="preserve"> silence </w:t>
      </w:r>
      <w:proofErr w:type="spellStart"/>
      <w:r w:rsidRPr="002906A3">
        <w:t>highlights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situation</w:t>
      </w:r>
      <w:proofErr w:type="spellEnd"/>
      <w:r w:rsidRPr="002906A3">
        <w:t xml:space="preserve">. </w:t>
      </w:r>
      <w:proofErr w:type="spellStart"/>
      <w:r w:rsidRPr="002906A3">
        <w:t>Their</w:t>
      </w:r>
      <w:proofErr w:type="spellEnd"/>
      <w:r w:rsidRPr="002906A3">
        <w:t xml:space="preserve"> </w:t>
      </w:r>
      <w:proofErr w:type="spellStart"/>
      <w:r w:rsidRPr="002906A3">
        <w:t>conversation</w:t>
      </w:r>
      <w:proofErr w:type="spellEnd"/>
      <w:r w:rsidRPr="002906A3">
        <w:t xml:space="preserve"> is </w:t>
      </w:r>
      <w:proofErr w:type="spellStart"/>
      <w:r w:rsidRPr="002906A3">
        <w:t>filled</w:t>
      </w:r>
      <w:proofErr w:type="spellEnd"/>
      <w:r w:rsidRPr="002906A3">
        <w:t xml:space="preserve"> </w:t>
      </w:r>
      <w:proofErr w:type="spellStart"/>
      <w:r w:rsidRPr="002906A3">
        <w:t>with</w:t>
      </w:r>
      <w:proofErr w:type="spellEnd"/>
      <w:r w:rsidRPr="002906A3">
        <w:t xml:space="preserve"> </w:t>
      </w:r>
      <w:proofErr w:type="spellStart"/>
      <w:r w:rsidRPr="002906A3">
        <w:t>empty</w:t>
      </w:r>
      <w:proofErr w:type="spellEnd"/>
      <w:r w:rsidRPr="002906A3">
        <w:t xml:space="preserve"> </w:t>
      </w:r>
      <w:proofErr w:type="spellStart"/>
      <w:r w:rsidRPr="002906A3">
        <w:t>formalities</w:t>
      </w:r>
      <w:proofErr w:type="spellEnd"/>
      <w:r w:rsidRPr="002906A3">
        <w:t xml:space="preserve">, </w:t>
      </w:r>
      <w:proofErr w:type="spellStart"/>
      <w:r w:rsidRPr="002906A3">
        <w:t>mimicking</w:t>
      </w:r>
      <w:proofErr w:type="spellEnd"/>
      <w:r w:rsidRPr="002906A3">
        <w:t xml:space="preserve"> </w:t>
      </w:r>
      <w:proofErr w:type="spellStart"/>
      <w:r w:rsidRPr="002906A3">
        <w:t>bureaucratic</w:t>
      </w:r>
      <w:proofErr w:type="spellEnd"/>
      <w:r w:rsidRPr="002906A3">
        <w:t xml:space="preserve"> </w:t>
      </w:r>
      <w:proofErr w:type="spellStart"/>
      <w:r w:rsidRPr="002906A3">
        <w:t>decision-making</w:t>
      </w:r>
      <w:proofErr w:type="spellEnd"/>
      <w:r w:rsidRPr="002906A3">
        <w:t xml:space="preserve"> </w:t>
      </w:r>
      <w:proofErr w:type="spellStart"/>
      <w:r w:rsidRPr="002906A3">
        <w:t>processes</w:t>
      </w:r>
      <w:proofErr w:type="spellEnd"/>
      <w:r w:rsidRPr="002906A3">
        <w:t xml:space="preserve">, yet </w:t>
      </w:r>
      <w:proofErr w:type="spellStart"/>
      <w:r w:rsidRPr="002906A3">
        <w:t>there</w:t>
      </w:r>
      <w:proofErr w:type="spellEnd"/>
      <w:r w:rsidRPr="002906A3">
        <w:t xml:space="preserve"> is </w:t>
      </w:r>
      <w:proofErr w:type="spellStart"/>
      <w:r w:rsidRPr="002906A3">
        <w:t>no</w:t>
      </w:r>
      <w:proofErr w:type="spellEnd"/>
      <w:r w:rsidRPr="002906A3">
        <w:t xml:space="preserve"> </w:t>
      </w:r>
      <w:proofErr w:type="spellStart"/>
      <w:r w:rsidRPr="002906A3">
        <w:t>real</w:t>
      </w:r>
      <w:proofErr w:type="spellEnd"/>
      <w:r w:rsidRPr="002906A3">
        <w:t xml:space="preserve"> </w:t>
      </w:r>
      <w:proofErr w:type="spellStart"/>
      <w:r w:rsidRPr="002906A3">
        <w:t>decision</w:t>
      </w:r>
      <w:proofErr w:type="spellEnd"/>
      <w:r w:rsidRPr="002906A3">
        <w:t xml:space="preserve"> </w:t>
      </w:r>
      <w:proofErr w:type="spellStart"/>
      <w:r w:rsidRPr="002906A3">
        <w:t>to</w:t>
      </w:r>
      <w:proofErr w:type="spellEnd"/>
      <w:r w:rsidRPr="002906A3">
        <w:t xml:space="preserve"> be </w:t>
      </w:r>
      <w:proofErr w:type="spellStart"/>
      <w:r w:rsidRPr="002906A3">
        <w:t>made</w:t>
      </w:r>
      <w:proofErr w:type="spellEnd"/>
      <w:r w:rsidRPr="002906A3">
        <w:t xml:space="preserve">. </w:t>
      </w:r>
      <w:proofErr w:type="spellStart"/>
      <w:r w:rsidRPr="002906A3">
        <w:t>The</w:t>
      </w:r>
      <w:proofErr w:type="spellEnd"/>
      <w:r w:rsidRPr="002906A3">
        <w:t xml:space="preserve"> silence </w:t>
      </w:r>
      <w:proofErr w:type="spellStart"/>
      <w:r w:rsidRPr="002906A3">
        <w:t>that</w:t>
      </w:r>
      <w:proofErr w:type="spellEnd"/>
      <w:r w:rsidRPr="002906A3">
        <w:t xml:space="preserve"> </w:t>
      </w:r>
      <w:proofErr w:type="spellStart"/>
      <w:r w:rsidRPr="002906A3">
        <w:t>follows</w:t>
      </w:r>
      <w:proofErr w:type="spellEnd"/>
      <w:r w:rsidRPr="002906A3">
        <w:t xml:space="preserve"> </w:t>
      </w:r>
      <w:proofErr w:type="spellStart"/>
      <w:r w:rsidRPr="002906A3">
        <w:t>suggests</w:t>
      </w:r>
      <w:proofErr w:type="spellEnd"/>
      <w:r w:rsidRPr="002906A3">
        <w:t xml:space="preserve"> </w:t>
      </w:r>
      <w:proofErr w:type="spellStart"/>
      <w:r w:rsidRPr="002906A3">
        <w:t>their</w:t>
      </w:r>
      <w:proofErr w:type="spellEnd"/>
      <w:r w:rsidRPr="002906A3">
        <w:t xml:space="preserve"> </w:t>
      </w:r>
      <w:proofErr w:type="spellStart"/>
      <w:r w:rsidRPr="002906A3">
        <w:t>realization</w:t>
      </w:r>
      <w:proofErr w:type="spellEnd"/>
      <w:r w:rsidRPr="002906A3">
        <w:t xml:space="preserve">, </w:t>
      </w:r>
      <w:proofErr w:type="spellStart"/>
      <w:r w:rsidRPr="002906A3">
        <w:t>however</w:t>
      </w:r>
      <w:proofErr w:type="spellEnd"/>
      <w:r w:rsidRPr="002906A3">
        <w:t xml:space="preserve"> </w:t>
      </w:r>
      <w:proofErr w:type="spellStart"/>
      <w:r w:rsidRPr="002906A3">
        <w:t>brief</w:t>
      </w:r>
      <w:proofErr w:type="spellEnd"/>
      <w:r w:rsidRPr="002906A3">
        <w:t xml:space="preserve">, </w:t>
      </w:r>
      <w:proofErr w:type="spellStart"/>
      <w:r w:rsidRPr="002906A3">
        <w:t>that</w:t>
      </w:r>
      <w:proofErr w:type="spellEnd"/>
      <w:r w:rsidRPr="002906A3">
        <w:t xml:space="preserve"> they </w:t>
      </w:r>
      <w:proofErr w:type="spellStart"/>
      <w:r w:rsidRPr="002906A3">
        <w:t>are</w:t>
      </w:r>
      <w:proofErr w:type="spellEnd"/>
      <w:r w:rsidRPr="002906A3">
        <w:t xml:space="preserve"> </w:t>
      </w:r>
      <w:proofErr w:type="spellStart"/>
      <w:r w:rsidRPr="002906A3">
        <w:t>trapped</w:t>
      </w:r>
      <w:proofErr w:type="spellEnd"/>
      <w:r w:rsidRPr="002906A3">
        <w:t xml:space="preserve"> in an </w:t>
      </w:r>
      <w:proofErr w:type="spellStart"/>
      <w:r w:rsidRPr="002906A3">
        <w:t>endless</w:t>
      </w:r>
      <w:proofErr w:type="spellEnd"/>
      <w:r w:rsidRPr="002906A3">
        <w:t xml:space="preserve"> </w:t>
      </w:r>
      <w:proofErr w:type="spellStart"/>
      <w:r w:rsidRPr="002906A3">
        <w:t>cycle</w:t>
      </w:r>
      <w:proofErr w:type="spellEnd"/>
      <w:r w:rsidRPr="002906A3">
        <w:t xml:space="preserve"> of </w:t>
      </w:r>
      <w:proofErr w:type="spellStart"/>
      <w:r w:rsidRPr="002906A3">
        <w:t>meaningless</w:t>
      </w:r>
      <w:proofErr w:type="spellEnd"/>
      <w:r w:rsidRPr="002906A3">
        <w:t xml:space="preserve"> </w:t>
      </w:r>
      <w:proofErr w:type="spellStart"/>
      <w:r w:rsidRPr="002906A3">
        <w:t>waiting</w:t>
      </w:r>
      <w:proofErr w:type="spellEnd"/>
      <w:r w:rsidRPr="002906A3">
        <w:t>.</w:t>
      </w:r>
    </w:p>
    <w:p w14:paraId="5D2FEFF2" w14:textId="77777777" w:rsidR="001E7189" w:rsidRPr="002906A3" w:rsidRDefault="001E7189" w:rsidP="00BA67A6">
      <w:pPr>
        <w:jc w:val="both"/>
      </w:pPr>
    </w:p>
    <w:p w14:paraId="1ACEB164" w14:textId="6C0AA466" w:rsidR="001E7189" w:rsidRPr="002906A3" w:rsidRDefault="001E7189" w:rsidP="00BA67A6">
      <w:pPr>
        <w:jc w:val="both"/>
      </w:pPr>
      <w:r w:rsidRPr="002906A3">
        <w:t xml:space="preserve">Brooks (2022) </w:t>
      </w:r>
      <w:proofErr w:type="spellStart"/>
      <w:r w:rsidRPr="002906A3">
        <w:t>highlights</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often</w:t>
      </w:r>
      <w:proofErr w:type="spellEnd"/>
      <w:r w:rsidRPr="002906A3">
        <w:t xml:space="preserve"> </w:t>
      </w:r>
      <w:proofErr w:type="spellStart"/>
      <w:r w:rsidRPr="002906A3">
        <w:t>use</w:t>
      </w:r>
      <w:proofErr w:type="spellEnd"/>
      <w:r w:rsidRPr="002906A3">
        <w:t xml:space="preserve"> silence as a </w:t>
      </w:r>
      <w:proofErr w:type="spellStart"/>
      <w:r w:rsidRPr="002906A3">
        <w:t>defense</w:t>
      </w:r>
      <w:proofErr w:type="spellEnd"/>
      <w:r w:rsidRPr="002906A3">
        <w:t xml:space="preserve"> </w:t>
      </w:r>
      <w:proofErr w:type="spellStart"/>
      <w:r w:rsidRPr="002906A3">
        <w:t>mechanism</w:t>
      </w:r>
      <w:proofErr w:type="spellEnd"/>
      <w:r w:rsidRPr="002906A3">
        <w:t xml:space="preserve">. </w:t>
      </w:r>
      <w:proofErr w:type="spellStart"/>
      <w:r w:rsidRPr="002906A3">
        <w:t>When</w:t>
      </w:r>
      <w:proofErr w:type="spellEnd"/>
      <w:r w:rsidRPr="002906A3">
        <w:t xml:space="preserve"> </w:t>
      </w:r>
      <w:proofErr w:type="spellStart"/>
      <w:r w:rsidRPr="002906A3">
        <w:t>communication</w:t>
      </w:r>
      <w:proofErr w:type="spellEnd"/>
      <w:r w:rsidRPr="002906A3">
        <w:t xml:space="preserve"> </w:t>
      </w:r>
      <w:proofErr w:type="spellStart"/>
      <w:r w:rsidRPr="002906A3">
        <w:t>becomes</w:t>
      </w:r>
      <w:proofErr w:type="spellEnd"/>
      <w:r w:rsidRPr="002906A3">
        <w:t xml:space="preserve"> </w:t>
      </w:r>
      <w:proofErr w:type="spellStart"/>
      <w:r w:rsidRPr="002906A3">
        <w:t>overwhelming</w:t>
      </w:r>
      <w:proofErr w:type="spellEnd"/>
      <w:r w:rsidRPr="002906A3">
        <w:t xml:space="preserve"> </w:t>
      </w:r>
      <w:proofErr w:type="spellStart"/>
      <w:r w:rsidRPr="002906A3">
        <w:t>or</w:t>
      </w:r>
      <w:proofErr w:type="spellEnd"/>
      <w:r w:rsidRPr="002906A3">
        <w:t xml:space="preserve"> </w:t>
      </w:r>
      <w:proofErr w:type="spellStart"/>
      <w:r w:rsidRPr="002906A3">
        <w:t>reveals</w:t>
      </w:r>
      <w:proofErr w:type="spellEnd"/>
      <w:r w:rsidRPr="002906A3">
        <w:t xml:space="preserve"> </w:t>
      </w:r>
      <w:proofErr w:type="spellStart"/>
      <w:r w:rsidRPr="002906A3">
        <w:t>uncomfortable</w:t>
      </w:r>
      <w:proofErr w:type="spellEnd"/>
      <w:r w:rsidRPr="002906A3">
        <w:t xml:space="preserve"> </w:t>
      </w:r>
      <w:proofErr w:type="spellStart"/>
      <w:r w:rsidRPr="002906A3">
        <w:t>truths</w:t>
      </w:r>
      <w:proofErr w:type="spellEnd"/>
      <w:r w:rsidRPr="002906A3">
        <w:t xml:space="preserve">, </w:t>
      </w:r>
      <w:proofErr w:type="spellStart"/>
      <w:r w:rsidRPr="002906A3">
        <w:t>both</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retreat</w:t>
      </w:r>
      <w:proofErr w:type="spellEnd"/>
      <w:r w:rsidRPr="002906A3">
        <w:t xml:space="preserve"> </w:t>
      </w:r>
      <w:proofErr w:type="spellStart"/>
      <w:r w:rsidRPr="002906A3">
        <w:t>into</w:t>
      </w:r>
      <w:proofErr w:type="spellEnd"/>
      <w:r w:rsidRPr="002906A3">
        <w:t xml:space="preserve"> silence. </w:t>
      </w:r>
      <w:proofErr w:type="spellStart"/>
      <w:r w:rsidRPr="002906A3">
        <w:t>This</w:t>
      </w:r>
      <w:proofErr w:type="spellEnd"/>
      <w:r w:rsidRPr="002906A3">
        <w:t xml:space="preserve"> </w:t>
      </w:r>
      <w:proofErr w:type="spellStart"/>
      <w:r w:rsidRPr="002906A3">
        <w:t>behavior</w:t>
      </w:r>
      <w:proofErr w:type="spellEnd"/>
      <w:r w:rsidRPr="002906A3">
        <w:t xml:space="preserve"> </w:t>
      </w:r>
      <w:proofErr w:type="spellStart"/>
      <w:r w:rsidRPr="002906A3">
        <w:t>aligns</w:t>
      </w:r>
      <w:proofErr w:type="spellEnd"/>
      <w:r w:rsidRPr="002906A3">
        <w:t xml:space="preserve"> </w:t>
      </w:r>
      <w:proofErr w:type="spellStart"/>
      <w:r w:rsidRPr="002906A3">
        <w:t>with</w:t>
      </w:r>
      <w:proofErr w:type="spellEnd"/>
      <w:r w:rsidRPr="002906A3">
        <w:t xml:space="preserve"> </w:t>
      </w:r>
      <w:proofErr w:type="spellStart"/>
      <w:r w:rsidRPr="002906A3">
        <w:t>Beckett’s</w:t>
      </w:r>
      <w:proofErr w:type="spellEnd"/>
      <w:r w:rsidRPr="002906A3">
        <w:t xml:space="preserve"> </w:t>
      </w:r>
      <w:proofErr w:type="spellStart"/>
      <w:r w:rsidRPr="002906A3">
        <w:t>absurdist</w:t>
      </w:r>
      <w:proofErr w:type="spellEnd"/>
      <w:r w:rsidRPr="002906A3">
        <w:t xml:space="preserve"> </w:t>
      </w:r>
      <w:proofErr w:type="spellStart"/>
      <w:r w:rsidRPr="002906A3">
        <w:t>portrayal</w:t>
      </w:r>
      <w:proofErr w:type="spellEnd"/>
      <w:r w:rsidRPr="002906A3">
        <w:t xml:space="preserve">, in </w:t>
      </w:r>
      <w:proofErr w:type="spellStart"/>
      <w:r w:rsidRPr="002906A3">
        <w:t>which</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frequently</w:t>
      </w:r>
      <w:proofErr w:type="spellEnd"/>
      <w:r w:rsidRPr="002906A3">
        <w:t xml:space="preserve"> </w:t>
      </w:r>
      <w:proofErr w:type="spellStart"/>
      <w:r w:rsidRPr="002906A3">
        <w:t>feel</w:t>
      </w:r>
      <w:proofErr w:type="spellEnd"/>
      <w:r w:rsidRPr="002906A3">
        <w:t xml:space="preserve"> </w:t>
      </w:r>
      <w:proofErr w:type="spellStart"/>
      <w:r w:rsidRPr="002906A3">
        <w:t>helpless</w:t>
      </w:r>
      <w:proofErr w:type="spellEnd"/>
      <w:r w:rsidRPr="002906A3">
        <w:t xml:space="preserve"> </w:t>
      </w:r>
      <w:proofErr w:type="spellStart"/>
      <w:r w:rsidRPr="002906A3">
        <w:t>against</w:t>
      </w:r>
      <w:proofErr w:type="spellEnd"/>
      <w:r w:rsidRPr="002906A3">
        <w:t xml:space="preserve"> </w:t>
      </w:r>
      <w:proofErr w:type="spellStart"/>
      <w:r w:rsidRPr="002906A3">
        <w:t>their</w:t>
      </w:r>
      <w:proofErr w:type="spellEnd"/>
      <w:r w:rsidRPr="002906A3">
        <w:t xml:space="preserve"> </w:t>
      </w:r>
      <w:proofErr w:type="spellStart"/>
      <w:r w:rsidRPr="002906A3">
        <w:t>circumstances</w:t>
      </w:r>
      <w:proofErr w:type="spellEnd"/>
      <w:r w:rsidRPr="002906A3">
        <w:t xml:space="preserve">. Silence </w:t>
      </w:r>
      <w:proofErr w:type="spellStart"/>
      <w:r w:rsidRPr="002906A3">
        <w:t>thus</w:t>
      </w:r>
      <w:proofErr w:type="spellEnd"/>
      <w:r w:rsidRPr="002906A3">
        <w:t xml:space="preserve"> </w:t>
      </w:r>
      <w:proofErr w:type="spellStart"/>
      <w:r w:rsidRPr="002906A3">
        <w:t>becomes</w:t>
      </w:r>
      <w:proofErr w:type="spellEnd"/>
      <w:r w:rsidRPr="002906A3">
        <w:t xml:space="preserve"> a </w:t>
      </w:r>
      <w:proofErr w:type="spellStart"/>
      <w:r w:rsidRPr="002906A3">
        <w:t>shield</w:t>
      </w:r>
      <w:proofErr w:type="spellEnd"/>
      <w:r w:rsidRPr="002906A3">
        <w:t xml:space="preserve"> </w:t>
      </w:r>
      <w:proofErr w:type="spellStart"/>
      <w:r w:rsidRPr="002906A3">
        <w:t>against</w:t>
      </w:r>
      <w:proofErr w:type="spellEnd"/>
      <w:r w:rsidRPr="002906A3">
        <w:t xml:space="preserve"> </w:t>
      </w:r>
      <w:proofErr w:type="spellStart"/>
      <w:r w:rsidRPr="002906A3">
        <w:t>the</w:t>
      </w:r>
      <w:proofErr w:type="spellEnd"/>
      <w:r w:rsidRPr="002906A3">
        <w:t xml:space="preserve"> </w:t>
      </w:r>
      <w:proofErr w:type="spellStart"/>
      <w:r w:rsidRPr="002906A3">
        <w:t>harshness</w:t>
      </w:r>
      <w:proofErr w:type="spellEnd"/>
      <w:r w:rsidRPr="002906A3">
        <w:t xml:space="preserve"> of </w:t>
      </w:r>
      <w:proofErr w:type="spellStart"/>
      <w:r w:rsidRPr="002906A3">
        <w:t>reality</w:t>
      </w:r>
      <w:proofErr w:type="spellEnd"/>
      <w:r w:rsidRPr="002906A3">
        <w:t xml:space="preserve">, </w:t>
      </w:r>
      <w:proofErr w:type="spellStart"/>
      <w:r w:rsidRPr="002906A3">
        <w:t>allowing</w:t>
      </w:r>
      <w:proofErr w:type="spellEnd"/>
      <w:r w:rsidRPr="002906A3">
        <w:t xml:space="preserve"> </w:t>
      </w:r>
      <w:proofErr w:type="spellStart"/>
      <w:r w:rsidRPr="002906A3">
        <w:t>them</w:t>
      </w:r>
      <w:proofErr w:type="spellEnd"/>
      <w:r w:rsidRPr="002906A3">
        <w:t xml:space="preserve"> </w:t>
      </w:r>
      <w:proofErr w:type="spellStart"/>
      <w:r w:rsidRPr="002906A3">
        <w:t>to</w:t>
      </w:r>
      <w:proofErr w:type="spellEnd"/>
      <w:r w:rsidRPr="002906A3">
        <w:t xml:space="preserve"> </w:t>
      </w:r>
      <w:proofErr w:type="spellStart"/>
      <w:r w:rsidRPr="002906A3">
        <w:t>momentarily</w:t>
      </w:r>
      <w:proofErr w:type="spellEnd"/>
      <w:r w:rsidRPr="002906A3">
        <w:t xml:space="preserve"> </w:t>
      </w:r>
      <w:proofErr w:type="spellStart"/>
      <w:r w:rsidRPr="002906A3">
        <w:t>escape</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their</w:t>
      </w:r>
      <w:proofErr w:type="spellEnd"/>
      <w:r w:rsidRPr="002906A3">
        <w:t xml:space="preserve"> </w:t>
      </w:r>
      <w:proofErr w:type="spellStart"/>
      <w:proofErr w:type="gramStart"/>
      <w:r w:rsidRPr="002906A3">
        <w:t>existence.The</w:t>
      </w:r>
      <w:proofErr w:type="spellEnd"/>
      <w:proofErr w:type="gramEnd"/>
      <w:r w:rsidRPr="002906A3">
        <w:t xml:space="preserve"> </w:t>
      </w:r>
      <w:proofErr w:type="spellStart"/>
      <w:r w:rsidRPr="002906A3">
        <w:t>theme</w:t>
      </w:r>
      <w:proofErr w:type="spellEnd"/>
      <w:r w:rsidRPr="002906A3">
        <w:t xml:space="preserve"> of </w:t>
      </w:r>
      <w:proofErr w:type="spellStart"/>
      <w:r w:rsidRPr="002906A3">
        <w:t>waiting</w:t>
      </w:r>
      <w:proofErr w:type="spellEnd"/>
      <w:r w:rsidRPr="002906A3">
        <w:t xml:space="preserve"> is </w:t>
      </w:r>
      <w:proofErr w:type="spellStart"/>
      <w:r w:rsidRPr="002906A3">
        <w:t>further</w:t>
      </w:r>
      <w:proofErr w:type="spellEnd"/>
      <w:r w:rsidRPr="002906A3">
        <w:t xml:space="preserve"> </w:t>
      </w:r>
      <w:proofErr w:type="spellStart"/>
      <w:r w:rsidRPr="002906A3">
        <w:t>emphasized</w:t>
      </w:r>
      <w:proofErr w:type="spellEnd"/>
      <w:r w:rsidRPr="002906A3">
        <w:t xml:space="preserve"> </w:t>
      </w:r>
      <w:proofErr w:type="spellStart"/>
      <w:r w:rsidRPr="002906A3">
        <w:t>through</w:t>
      </w:r>
      <w:proofErr w:type="spellEnd"/>
      <w:r w:rsidRPr="002906A3">
        <w:t xml:space="preserve"> silence. </w:t>
      </w:r>
      <w:proofErr w:type="spellStart"/>
      <w:r w:rsidRPr="002906A3">
        <w:t>Each</w:t>
      </w:r>
      <w:proofErr w:type="spellEnd"/>
      <w:r w:rsidRPr="002906A3">
        <w:t xml:space="preserve"> </w:t>
      </w:r>
      <w:proofErr w:type="spellStart"/>
      <w:r w:rsidRPr="002906A3">
        <w:t>character’s</w:t>
      </w:r>
      <w:proofErr w:type="spellEnd"/>
      <w:r w:rsidRPr="002906A3">
        <w:t xml:space="preserve"> </w:t>
      </w:r>
      <w:proofErr w:type="spellStart"/>
      <w:r w:rsidRPr="002906A3">
        <w:t>anticipation</w:t>
      </w:r>
      <w:proofErr w:type="spellEnd"/>
      <w:r w:rsidRPr="002906A3">
        <w:t xml:space="preserve"> of </w:t>
      </w:r>
      <w:proofErr w:type="spellStart"/>
      <w:r w:rsidRPr="002906A3">
        <w:t>Godot</w:t>
      </w:r>
      <w:proofErr w:type="spellEnd"/>
      <w:r w:rsidRPr="002906A3">
        <w:t xml:space="preserve">, </w:t>
      </w:r>
      <w:proofErr w:type="spellStart"/>
      <w:r w:rsidRPr="002906A3">
        <w:t>combined</w:t>
      </w:r>
      <w:proofErr w:type="spellEnd"/>
      <w:r w:rsidRPr="002906A3">
        <w:t xml:space="preserve"> </w:t>
      </w:r>
      <w:proofErr w:type="spellStart"/>
      <w:r w:rsidRPr="002906A3">
        <w:t>with</w:t>
      </w:r>
      <w:proofErr w:type="spellEnd"/>
      <w:r w:rsidRPr="002906A3">
        <w:t xml:space="preserve"> </w:t>
      </w:r>
      <w:proofErr w:type="spellStart"/>
      <w:r w:rsidRPr="002906A3">
        <w:t>their</w:t>
      </w:r>
      <w:proofErr w:type="spellEnd"/>
      <w:r w:rsidRPr="002906A3">
        <w:t xml:space="preserve">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act</w:t>
      </w:r>
      <w:proofErr w:type="spellEnd"/>
      <w:r w:rsidRPr="002906A3">
        <w:t xml:space="preserve"> </w:t>
      </w:r>
      <w:proofErr w:type="spellStart"/>
      <w:r w:rsidRPr="002906A3">
        <w:t>while</w:t>
      </w:r>
      <w:proofErr w:type="spellEnd"/>
      <w:r w:rsidRPr="002906A3">
        <w:t xml:space="preserve"> </w:t>
      </w:r>
      <w:proofErr w:type="spellStart"/>
      <w:r w:rsidRPr="002906A3">
        <w:t>waiting</w:t>
      </w:r>
      <w:proofErr w:type="spellEnd"/>
      <w:r w:rsidRPr="002906A3">
        <w:t xml:space="preserve">, </w:t>
      </w:r>
      <w:proofErr w:type="spellStart"/>
      <w:r w:rsidRPr="002906A3">
        <w:t>gives</w:t>
      </w:r>
      <w:proofErr w:type="spellEnd"/>
      <w:r w:rsidRPr="002906A3">
        <w:t xml:space="preserve"> silence </w:t>
      </w:r>
      <w:proofErr w:type="spellStart"/>
      <w:r w:rsidRPr="002906A3">
        <w:t>profound</w:t>
      </w:r>
      <w:proofErr w:type="spellEnd"/>
      <w:r w:rsidRPr="002906A3">
        <w:t xml:space="preserve"> </w:t>
      </w:r>
      <w:proofErr w:type="spellStart"/>
      <w:r w:rsidRPr="002906A3">
        <w:t>significance</w:t>
      </w:r>
      <w:proofErr w:type="spellEnd"/>
      <w:r w:rsidRPr="002906A3">
        <w:t xml:space="preserve">. </w:t>
      </w:r>
      <w:proofErr w:type="spellStart"/>
      <w:r w:rsidRPr="002906A3">
        <w:t>Grosjean</w:t>
      </w:r>
      <w:proofErr w:type="spellEnd"/>
      <w:r w:rsidRPr="002906A3">
        <w:t xml:space="preserve"> (2021) </w:t>
      </w:r>
      <w:proofErr w:type="spellStart"/>
      <w:r w:rsidRPr="002906A3">
        <w:t>notes</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very</w:t>
      </w:r>
      <w:proofErr w:type="spellEnd"/>
      <w:r w:rsidRPr="002906A3">
        <w:t xml:space="preserve"> </w:t>
      </w:r>
      <w:proofErr w:type="spellStart"/>
      <w:r w:rsidRPr="002906A3">
        <w:t>act</w:t>
      </w:r>
      <w:proofErr w:type="spellEnd"/>
      <w:r w:rsidRPr="002906A3">
        <w:t xml:space="preserve"> of </w:t>
      </w:r>
      <w:proofErr w:type="spellStart"/>
      <w:r w:rsidRPr="002906A3">
        <w:t>waiting</w:t>
      </w:r>
      <w:proofErr w:type="spellEnd"/>
      <w:r w:rsidRPr="002906A3">
        <w:t xml:space="preserve"> is </w:t>
      </w:r>
      <w:proofErr w:type="spellStart"/>
      <w:r w:rsidRPr="002906A3">
        <w:t>filled</w:t>
      </w:r>
      <w:proofErr w:type="spellEnd"/>
      <w:r w:rsidRPr="002906A3">
        <w:t xml:space="preserve"> </w:t>
      </w:r>
      <w:proofErr w:type="spellStart"/>
      <w:r w:rsidRPr="002906A3">
        <w:t>with</w:t>
      </w:r>
      <w:proofErr w:type="spellEnd"/>
      <w:r w:rsidRPr="002906A3">
        <w:t xml:space="preserve"> silence, </w:t>
      </w:r>
      <w:proofErr w:type="spellStart"/>
      <w:r w:rsidRPr="002906A3">
        <w:t>where</w:t>
      </w:r>
      <w:proofErr w:type="spellEnd"/>
      <w:r w:rsidRPr="002906A3">
        <w:t xml:space="preserve"> time </w:t>
      </w:r>
      <w:proofErr w:type="spellStart"/>
      <w:r w:rsidRPr="002906A3">
        <w:t>stretches</w:t>
      </w:r>
      <w:proofErr w:type="spellEnd"/>
      <w:r w:rsidRPr="002906A3">
        <w:t xml:space="preserve"> </w:t>
      </w:r>
      <w:proofErr w:type="spellStart"/>
      <w:r w:rsidRPr="002906A3">
        <w:t>and</w:t>
      </w:r>
      <w:proofErr w:type="spellEnd"/>
      <w:r w:rsidRPr="002906A3">
        <w:t xml:space="preserve"> </w:t>
      </w:r>
      <w:proofErr w:type="spellStart"/>
      <w:r w:rsidRPr="002906A3">
        <w:t>hopes</w:t>
      </w:r>
      <w:proofErr w:type="spellEnd"/>
      <w:r w:rsidRPr="002906A3">
        <w:t xml:space="preserve"> </w:t>
      </w:r>
      <w:proofErr w:type="spellStart"/>
      <w:r w:rsidRPr="002906A3">
        <w:t>fade</w:t>
      </w:r>
      <w:proofErr w:type="spellEnd"/>
      <w:r w:rsidRPr="002906A3">
        <w:t xml:space="preserve">. </w:t>
      </w:r>
      <w:proofErr w:type="spellStart"/>
      <w:r w:rsidRPr="002906A3">
        <w:t>In</w:t>
      </w:r>
      <w:proofErr w:type="spellEnd"/>
      <w:r w:rsidRPr="002906A3">
        <w:t xml:space="preserve"> </w:t>
      </w:r>
      <w:proofErr w:type="spellStart"/>
      <w:r w:rsidRPr="002906A3">
        <w:t>these</w:t>
      </w:r>
      <w:proofErr w:type="spellEnd"/>
      <w:r w:rsidRPr="002906A3">
        <w:t xml:space="preserve"> </w:t>
      </w:r>
      <w:proofErr w:type="spellStart"/>
      <w:r w:rsidRPr="002906A3">
        <w:t>moments</w:t>
      </w:r>
      <w:proofErr w:type="spellEnd"/>
      <w:r w:rsidRPr="002906A3">
        <w:t xml:space="preserve">, silence </w:t>
      </w:r>
      <w:proofErr w:type="spellStart"/>
      <w:r w:rsidRPr="002906A3">
        <w:t>becomes</w:t>
      </w:r>
      <w:proofErr w:type="spellEnd"/>
      <w:r w:rsidRPr="002906A3">
        <w:t xml:space="preserve"> a </w:t>
      </w:r>
      <w:proofErr w:type="spellStart"/>
      <w:r w:rsidRPr="002906A3">
        <w:t>character</w:t>
      </w:r>
      <w:proofErr w:type="spellEnd"/>
      <w:r w:rsidRPr="002906A3">
        <w:t xml:space="preserve"> in </w:t>
      </w:r>
      <w:proofErr w:type="spellStart"/>
      <w:r w:rsidRPr="002906A3">
        <w:t>its</w:t>
      </w:r>
      <w:proofErr w:type="spellEnd"/>
      <w:r w:rsidRPr="002906A3">
        <w:t xml:space="preserve"> </w:t>
      </w:r>
      <w:proofErr w:type="spellStart"/>
      <w:r w:rsidRPr="002906A3">
        <w:t>own</w:t>
      </w:r>
      <w:proofErr w:type="spellEnd"/>
      <w:r w:rsidRPr="002906A3">
        <w:t xml:space="preserve"> </w:t>
      </w:r>
      <w:proofErr w:type="spellStart"/>
      <w:r w:rsidRPr="002906A3">
        <w:t>right</w:t>
      </w:r>
      <w:proofErr w:type="spellEnd"/>
      <w:r w:rsidRPr="002906A3">
        <w:t xml:space="preserve">, </w:t>
      </w:r>
      <w:proofErr w:type="spellStart"/>
      <w:r w:rsidRPr="002906A3">
        <w:t>embodying</w:t>
      </w:r>
      <w:proofErr w:type="spellEnd"/>
      <w:r w:rsidRPr="002906A3">
        <w:t xml:space="preserve"> </w:t>
      </w:r>
      <w:proofErr w:type="spellStart"/>
      <w:r w:rsidRPr="002906A3">
        <w:t>the</w:t>
      </w:r>
      <w:proofErr w:type="spellEnd"/>
      <w:r w:rsidRPr="002906A3">
        <w:t xml:space="preserve"> </w:t>
      </w:r>
      <w:proofErr w:type="spellStart"/>
      <w:r w:rsidRPr="002906A3">
        <w:t>tension</w:t>
      </w:r>
      <w:proofErr w:type="spellEnd"/>
      <w:r w:rsidRPr="002906A3">
        <w:t xml:space="preserve"> </w:t>
      </w:r>
      <w:proofErr w:type="spellStart"/>
      <w:r w:rsidRPr="002906A3">
        <w:t>between</w:t>
      </w:r>
      <w:proofErr w:type="spellEnd"/>
      <w:r w:rsidRPr="002906A3">
        <w:t xml:space="preserve"> </w:t>
      </w:r>
      <w:proofErr w:type="spellStart"/>
      <w:r w:rsidRPr="002906A3">
        <w:t>desire</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 xml:space="preserve">. </w:t>
      </w:r>
      <w:proofErr w:type="spellStart"/>
      <w:r w:rsidRPr="002906A3">
        <w:t>This</w:t>
      </w:r>
      <w:proofErr w:type="spellEnd"/>
      <w:r w:rsidRPr="002906A3">
        <w:t xml:space="preserve"> </w:t>
      </w:r>
      <w:proofErr w:type="spellStart"/>
      <w:r w:rsidRPr="002906A3">
        <w:t>representation</w:t>
      </w:r>
      <w:proofErr w:type="spellEnd"/>
      <w:r w:rsidRPr="002906A3">
        <w:t xml:space="preserve"> </w:t>
      </w:r>
      <w:proofErr w:type="spellStart"/>
      <w:r w:rsidRPr="002906A3">
        <w:t>deepens</w:t>
      </w:r>
      <w:proofErr w:type="spellEnd"/>
      <w:r w:rsidRPr="002906A3">
        <w:t xml:space="preserve"> </w:t>
      </w:r>
      <w:proofErr w:type="spellStart"/>
      <w:r w:rsidRPr="002906A3">
        <w:t>the</w:t>
      </w:r>
      <w:proofErr w:type="spellEnd"/>
      <w:r w:rsidRPr="002906A3">
        <w:t xml:space="preserve"> </w:t>
      </w:r>
      <w:proofErr w:type="spellStart"/>
      <w:r w:rsidRPr="002906A3">
        <w:t>exploration</w:t>
      </w:r>
      <w:proofErr w:type="spellEnd"/>
      <w:r w:rsidRPr="002906A3">
        <w:t xml:space="preserve"> of </w:t>
      </w:r>
      <w:proofErr w:type="spellStart"/>
      <w:r w:rsidRPr="002906A3">
        <w:t>existential</w:t>
      </w:r>
      <w:proofErr w:type="spellEnd"/>
      <w:r w:rsidRPr="002906A3">
        <w:t xml:space="preserve"> </w:t>
      </w:r>
      <w:proofErr w:type="spellStart"/>
      <w:r w:rsidRPr="002906A3">
        <w:t>themes</w:t>
      </w:r>
      <w:proofErr w:type="spellEnd"/>
      <w:r w:rsidRPr="002906A3">
        <w:t xml:space="preserve">, as </w:t>
      </w:r>
      <w:proofErr w:type="spellStart"/>
      <w:r w:rsidRPr="002906A3">
        <w:t>the</w:t>
      </w:r>
      <w:proofErr w:type="spellEnd"/>
      <w:r w:rsidRPr="002906A3">
        <w:t xml:space="preserve"> </w:t>
      </w:r>
      <w:proofErr w:type="spellStart"/>
      <w:r w:rsidRPr="002906A3">
        <w:t>audience</w:t>
      </w:r>
      <w:proofErr w:type="spellEnd"/>
      <w:r w:rsidRPr="002906A3">
        <w:t xml:space="preserve"> is </w:t>
      </w:r>
      <w:proofErr w:type="spellStart"/>
      <w:r w:rsidRPr="002906A3">
        <w:t>encouraged</w:t>
      </w:r>
      <w:proofErr w:type="spellEnd"/>
      <w:r w:rsidRPr="002906A3">
        <w:t xml:space="preserve"> </w:t>
      </w:r>
      <w:proofErr w:type="spellStart"/>
      <w:r w:rsidRPr="002906A3">
        <w:t>to</w:t>
      </w:r>
      <w:proofErr w:type="spellEnd"/>
      <w:r w:rsidRPr="002906A3">
        <w:t xml:space="preserve"> </w:t>
      </w:r>
      <w:proofErr w:type="spellStart"/>
      <w:r w:rsidRPr="002906A3">
        <w:t>reflect</w:t>
      </w:r>
      <w:proofErr w:type="spellEnd"/>
      <w:r w:rsidRPr="002906A3">
        <w:t xml:space="preserve"> on </w:t>
      </w:r>
      <w:proofErr w:type="spellStart"/>
      <w:r w:rsidRPr="002906A3">
        <w:t>the</w:t>
      </w:r>
      <w:proofErr w:type="spellEnd"/>
      <w:r w:rsidRPr="002906A3">
        <w:t xml:space="preserve"> </w:t>
      </w:r>
      <w:proofErr w:type="spellStart"/>
      <w:r w:rsidRPr="002906A3">
        <w:t>nature</w:t>
      </w:r>
      <w:proofErr w:type="spellEnd"/>
      <w:r w:rsidRPr="002906A3">
        <w:t xml:space="preserve"> of </w:t>
      </w:r>
      <w:proofErr w:type="spellStart"/>
      <w:r w:rsidRPr="002906A3">
        <w:t>existence</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often</w:t>
      </w:r>
      <w:proofErr w:type="spellEnd"/>
      <w:r w:rsidRPr="002906A3">
        <w:t xml:space="preserve"> </w:t>
      </w:r>
      <w:proofErr w:type="spellStart"/>
      <w:r w:rsidRPr="002906A3">
        <w:t>insurmountable</w:t>
      </w:r>
      <w:proofErr w:type="spellEnd"/>
      <w:r w:rsidRPr="002906A3">
        <w:t xml:space="preserve"> </w:t>
      </w:r>
      <w:proofErr w:type="spellStart"/>
      <w:r w:rsidRPr="002906A3">
        <w:t>struggles</w:t>
      </w:r>
      <w:proofErr w:type="spellEnd"/>
      <w:r w:rsidRPr="002906A3">
        <w:t xml:space="preserve"> of </w:t>
      </w:r>
      <w:proofErr w:type="spellStart"/>
      <w:r w:rsidRPr="002906A3">
        <w:t>finding</w:t>
      </w:r>
      <w:proofErr w:type="spellEnd"/>
      <w:r w:rsidRPr="002906A3">
        <w:t xml:space="preserve"> </w:t>
      </w:r>
      <w:proofErr w:type="spellStart"/>
      <w:r w:rsidRPr="002906A3">
        <w:t>meaning</w:t>
      </w:r>
      <w:proofErr w:type="spellEnd"/>
      <w:r w:rsidRPr="002906A3">
        <w:t>.</w:t>
      </w:r>
    </w:p>
    <w:p w14:paraId="06780FD7" w14:textId="77777777" w:rsidR="001E7189" w:rsidRPr="002906A3" w:rsidRDefault="001E7189" w:rsidP="00BA67A6">
      <w:pPr>
        <w:jc w:val="both"/>
      </w:pPr>
    </w:p>
    <w:p w14:paraId="47045BA9" w14:textId="77777777" w:rsidR="001E7189" w:rsidRPr="002906A3" w:rsidRDefault="001E7189" w:rsidP="00BA67A6">
      <w:pPr>
        <w:jc w:val="both"/>
      </w:pPr>
      <w:r w:rsidRPr="002906A3">
        <w:t xml:space="preserve">ESTRAGON: </w:t>
      </w:r>
      <w:proofErr w:type="spellStart"/>
      <w:r w:rsidRPr="002906A3">
        <w:t>We've</w:t>
      </w:r>
      <w:proofErr w:type="spellEnd"/>
      <w:r w:rsidRPr="002906A3">
        <w:t xml:space="preserve"> </w:t>
      </w:r>
      <w:proofErr w:type="spellStart"/>
      <w:r w:rsidRPr="002906A3">
        <w:t>lost</w:t>
      </w:r>
      <w:proofErr w:type="spellEnd"/>
      <w:r w:rsidRPr="002906A3">
        <w:t xml:space="preserve"> </w:t>
      </w:r>
      <w:proofErr w:type="spellStart"/>
      <w:r w:rsidRPr="002906A3">
        <w:t>our</w:t>
      </w:r>
      <w:proofErr w:type="spellEnd"/>
      <w:r w:rsidRPr="002906A3">
        <w:t xml:space="preserve"> </w:t>
      </w:r>
      <w:proofErr w:type="spellStart"/>
      <w:r w:rsidRPr="002906A3">
        <w:t>rights</w:t>
      </w:r>
      <w:proofErr w:type="spellEnd"/>
      <w:r w:rsidRPr="002906A3">
        <w:t>?</w:t>
      </w:r>
    </w:p>
    <w:p w14:paraId="0D3D30D9" w14:textId="77777777" w:rsidR="001E7189" w:rsidRPr="002906A3" w:rsidRDefault="001E7189" w:rsidP="00BA67A6">
      <w:pPr>
        <w:jc w:val="both"/>
      </w:pPr>
      <w:r w:rsidRPr="002906A3">
        <w:t>VLADIMIR: (</w:t>
      </w:r>
      <w:proofErr w:type="spellStart"/>
      <w:r w:rsidRPr="002906A3">
        <w:t>distinctly</w:t>
      </w:r>
      <w:proofErr w:type="spellEnd"/>
      <w:r w:rsidRPr="002906A3">
        <w:t xml:space="preserve">). </w:t>
      </w:r>
      <w:proofErr w:type="spellStart"/>
      <w:r w:rsidRPr="002906A3">
        <w:t>We</w:t>
      </w:r>
      <w:proofErr w:type="spellEnd"/>
      <w:r w:rsidRPr="002906A3">
        <w:t xml:space="preserve"> </w:t>
      </w:r>
      <w:proofErr w:type="spellStart"/>
      <w:r w:rsidRPr="002906A3">
        <w:t>got</w:t>
      </w:r>
      <w:proofErr w:type="spellEnd"/>
      <w:r w:rsidRPr="002906A3">
        <w:t xml:space="preserve"> </w:t>
      </w:r>
      <w:proofErr w:type="spellStart"/>
      <w:r w:rsidRPr="002906A3">
        <w:t>rid</w:t>
      </w:r>
      <w:proofErr w:type="spellEnd"/>
      <w:r w:rsidRPr="002906A3">
        <w:t xml:space="preserve"> of </w:t>
      </w:r>
      <w:proofErr w:type="spellStart"/>
      <w:r w:rsidRPr="002906A3">
        <w:t>them</w:t>
      </w:r>
      <w:proofErr w:type="spellEnd"/>
      <w:r w:rsidRPr="002906A3">
        <w:t>.</w:t>
      </w:r>
    </w:p>
    <w:p w14:paraId="7F87AF1F" w14:textId="77777777" w:rsidR="001E7189" w:rsidRPr="002906A3" w:rsidRDefault="001E7189" w:rsidP="00BA67A6">
      <w:pPr>
        <w:jc w:val="both"/>
      </w:pPr>
      <w:r w:rsidRPr="002906A3">
        <w:t xml:space="preserve">Silence. They </w:t>
      </w:r>
      <w:proofErr w:type="spellStart"/>
      <w:r w:rsidRPr="002906A3">
        <w:t>remain</w:t>
      </w:r>
      <w:proofErr w:type="spellEnd"/>
      <w:r w:rsidRPr="002906A3">
        <w:t xml:space="preserve"> </w:t>
      </w:r>
      <w:proofErr w:type="spellStart"/>
      <w:r w:rsidRPr="002906A3">
        <w:t>motionless</w:t>
      </w:r>
      <w:proofErr w:type="spellEnd"/>
      <w:r w:rsidRPr="002906A3">
        <w:t xml:space="preserve">, </w:t>
      </w:r>
      <w:proofErr w:type="spellStart"/>
      <w:r w:rsidRPr="002906A3">
        <w:t>arms</w:t>
      </w:r>
      <w:proofErr w:type="spellEnd"/>
      <w:r w:rsidRPr="002906A3">
        <w:t xml:space="preserve"> </w:t>
      </w:r>
      <w:proofErr w:type="spellStart"/>
      <w:r w:rsidRPr="002906A3">
        <w:t>dangling</w:t>
      </w:r>
      <w:proofErr w:type="spellEnd"/>
      <w:r w:rsidRPr="002906A3">
        <w:t xml:space="preserve">, </w:t>
      </w:r>
      <w:proofErr w:type="spellStart"/>
      <w:r w:rsidRPr="002906A3">
        <w:t>heads</w:t>
      </w:r>
      <w:proofErr w:type="spellEnd"/>
      <w:r w:rsidRPr="002906A3">
        <w:t xml:space="preserve"> </w:t>
      </w:r>
      <w:proofErr w:type="spellStart"/>
      <w:r w:rsidRPr="002906A3">
        <w:t>sunk</w:t>
      </w:r>
      <w:proofErr w:type="spellEnd"/>
      <w:r w:rsidRPr="002906A3">
        <w:t xml:space="preserve">, </w:t>
      </w:r>
      <w:proofErr w:type="spellStart"/>
      <w:r w:rsidRPr="002906A3">
        <w:t>sagging</w:t>
      </w:r>
      <w:proofErr w:type="spellEnd"/>
      <w:r w:rsidRPr="002906A3">
        <w:t xml:space="preserve"> at </w:t>
      </w:r>
      <w:proofErr w:type="spellStart"/>
      <w:r w:rsidRPr="002906A3">
        <w:t>the</w:t>
      </w:r>
      <w:proofErr w:type="spellEnd"/>
      <w:r w:rsidRPr="002906A3">
        <w:t xml:space="preserve"> </w:t>
      </w:r>
      <w:proofErr w:type="spellStart"/>
      <w:r w:rsidRPr="002906A3">
        <w:t>knees</w:t>
      </w:r>
      <w:proofErr w:type="spellEnd"/>
      <w:r w:rsidRPr="002906A3">
        <w:t>.</w:t>
      </w:r>
    </w:p>
    <w:p w14:paraId="1356449B" w14:textId="77777777" w:rsidR="001E7189" w:rsidRPr="002906A3" w:rsidRDefault="001E7189" w:rsidP="00BA67A6">
      <w:pPr>
        <w:jc w:val="both"/>
      </w:pPr>
      <w:r w:rsidRPr="002906A3">
        <w:t>ESTRAGON: (</w:t>
      </w:r>
      <w:proofErr w:type="spellStart"/>
      <w:r w:rsidRPr="002906A3">
        <w:t>feebly</w:t>
      </w:r>
      <w:proofErr w:type="spellEnd"/>
      <w:r w:rsidRPr="002906A3">
        <w:t xml:space="preserve">). </w:t>
      </w:r>
      <w:proofErr w:type="spellStart"/>
      <w:r w:rsidRPr="002906A3">
        <w:t>We're</w:t>
      </w:r>
      <w:proofErr w:type="spellEnd"/>
      <w:r w:rsidRPr="002906A3">
        <w:t xml:space="preserve"> not </w:t>
      </w:r>
      <w:proofErr w:type="spellStart"/>
      <w:r w:rsidRPr="002906A3">
        <w:t>tied</w:t>
      </w:r>
      <w:proofErr w:type="spellEnd"/>
      <w:r w:rsidRPr="002906A3">
        <w:t>? (</w:t>
      </w:r>
      <w:proofErr w:type="spellStart"/>
      <w:r w:rsidRPr="002906A3">
        <w:t>Pause</w:t>
      </w:r>
      <w:proofErr w:type="spellEnd"/>
      <w:r w:rsidRPr="002906A3">
        <w:t xml:space="preserve">.) </w:t>
      </w:r>
      <w:proofErr w:type="spellStart"/>
      <w:r w:rsidRPr="002906A3">
        <w:t>We're</w:t>
      </w:r>
      <w:proofErr w:type="spellEnd"/>
      <w:r w:rsidRPr="002906A3">
        <w:t xml:space="preserve"> not—</w:t>
      </w:r>
    </w:p>
    <w:p w14:paraId="6F92AA06" w14:textId="77777777" w:rsidR="001E7189" w:rsidRPr="002906A3" w:rsidRDefault="001E7189" w:rsidP="00BA67A6">
      <w:pPr>
        <w:jc w:val="both"/>
      </w:pPr>
      <w:r w:rsidRPr="002906A3">
        <w:t>VLADIMIR: Listen!</w:t>
      </w:r>
    </w:p>
    <w:p w14:paraId="68919F77" w14:textId="77777777" w:rsidR="001E7189" w:rsidRPr="002906A3" w:rsidRDefault="001E7189" w:rsidP="00BA67A6">
      <w:pPr>
        <w:jc w:val="both"/>
      </w:pPr>
      <w:r w:rsidRPr="002906A3">
        <w:t xml:space="preserve">They listen, </w:t>
      </w:r>
      <w:proofErr w:type="spellStart"/>
      <w:r w:rsidRPr="002906A3">
        <w:t>grotesquely</w:t>
      </w:r>
      <w:proofErr w:type="spellEnd"/>
      <w:r w:rsidRPr="002906A3">
        <w:t xml:space="preserve"> </w:t>
      </w:r>
      <w:proofErr w:type="spellStart"/>
      <w:r w:rsidRPr="002906A3">
        <w:t>rigid</w:t>
      </w:r>
      <w:proofErr w:type="spellEnd"/>
      <w:r w:rsidRPr="002906A3">
        <w:t>.</w:t>
      </w:r>
    </w:p>
    <w:p w14:paraId="359F78AA" w14:textId="77777777" w:rsidR="001E7189" w:rsidRPr="002906A3" w:rsidRDefault="001E7189" w:rsidP="00BA67A6">
      <w:pPr>
        <w:jc w:val="both"/>
      </w:pPr>
      <w:r w:rsidRPr="002906A3">
        <w:t>(Beckett, 1953, p. 14)​</w:t>
      </w:r>
    </w:p>
    <w:p w14:paraId="41E4E2D5" w14:textId="77777777" w:rsidR="001E7189" w:rsidRPr="002906A3" w:rsidRDefault="001E7189" w:rsidP="00BA67A6">
      <w:pPr>
        <w:jc w:val="both"/>
      </w:pPr>
    </w:p>
    <w:p w14:paraId="04DECD64" w14:textId="77777777" w:rsidR="001E7189" w:rsidRPr="002906A3" w:rsidRDefault="001E7189" w:rsidP="00BA67A6">
      <w:pPr>
        <w:jc w:val="both"/>
      </w:pPr>
      <w:proofErr w:type="spellStart"/>
      <w:r w:rsidRPr="002906A3">
        <w:t>This</w:t>
      </w:r>
      <w:proofErr w:type="spellEnd"/>
      <w:r w:rsidRPr="002906A3">
        <w:t xml:space="preserve"> silence </w:t>
      </w:r>
      <w:proofErr w:type="spellStart"/>
      <w:r w:rsidRPr="002906A3">
        <w:t>conveys</w:t>
      </w:r>
      <w:proofErr w:type="spellEnd"/>
      <w:r w:rsidRPr="002906A3">
        <w:t xml:space="preserve"> </w:t>
      </w:r>
      <w:proofErr w:type="spellStart"/>
      <w:r w:rsidRPr="002906A3">
        <w:t>existential</w:t>
      </w:r>
      <w:proofErr w:type="spellEnd"/>
      <w:r w:rsidRPr="002906A3">
        <w:t xml:space="preserve"> </w:t>
      </w:r>
      <w:proofErr w:type="spellStart"/>
      <w:r w:rsidRPr="002906A3">
        <w:t>despair</w:t>
      </w:r>
      <w:proofErr w:type="spellEnd"/>
      <w:r w:rsidRPr="002906A3">
        <w:t xml:space="preserve">. </w:t>
      </w:r>
      <w:proofErr w:type="spellStart"/>
      <w:r w:rsidRPr="002906A3">
        <w:t>Estragon</w:t>
      </w:r>
      <w:proofErr w:type="spellEnd"/>
      <w:r w:rsidRPr="002906A3">
        <w:t xml:space="preserve"> </w:t>
      </w:r>
      <w:proofErr w:type="spellStart"/>
      <w:r w:rsidRPr="002906A3">
        <w:t>and</w:t>
      </w:r>
      <w:proofErr w:type="spellEnd"/>
      <w:r w:rsidRPr="002906A3">
        <w:t xml:space="preserve"> </w:t>
      </w:r>
      <w:proofErr w:type="spellStart"/>
      <w:r w:rsidRPr="002906A3">
        <w:t>Vladimir’s</w:t>
      </w:r>
      <w:proofErr w:type="spellEnd"/>
      <w:r w:rsidRPr="002906A3">
        <w:t xml:space="preserve"> </w:t>
      </w:r>
      <w:proofErr w:type="spellStart"/>
      <w:r w:rsidRPr="002906A3">
        <w:t>exchange</w:t>
      </w:r>
      <w:proofErr w:type="spellEnd"/>
      <w:r w:rsidRPr="002906A3">
        <w:t xml:space="preserve"> </w:t>
      </w:r>
      <w:proofErr w:type="spellStart"/>
      <w:r w:rsidRPr="002906A3">
        <w:t>suggests</w:t>
      </w:r>
      <w:proofErr w:type="spellEnd"/>
      <w:r w:rsidRPr="002906A3">
        <w:t xml:space="preserve"> </w:t>
      </w:r>
      <w:proofErr w:type="spellStart"/>
      <w:r w:rsidRPr="002906A3">
        <w:t>that</w:t>
      </w:r>
      <w:proofErr w:type="spellEnd"/>
      <w:r w:rsidRPr="002906A3">
        <w:t xml:space="preserve"> they </w:t>
      </w:r>
      <w:proofErr w:type="spellStart"/>
      <w:r w:rsidRPr="002906A3">
        <w:t>have</w:t>
      </w:r>
      <w:proofErr w:type="spellEnd"/>
      <w:r w:rsidRPr="002906A3">
        <w:t xml:space="preserve"> </w:t>
      </w:r>
      <w:proofErr w:type="spellStart"/>
      <w:r w:rsidRPr="002906A3">
        <w:t>voluntarily</w:t>
      </w:r>
      <w:proofErr w:type="spellEnd"/>
      <w:r w:rsidRPr="002906A3">
        <w:t xml:space="preserve"> </w:t>
      </w:r>
      <w:proofErr w:type="spellStart"/>
      <w:r w:rsidRPr="002906A3">
        <w:t>relinquished</w:t>
      </w:r>
      <w:proofErr w:type="spellEnd"/>
      <w:r w:rsidRPr="002906A3">
        <w:t xml:space="preserve"> </w:t>
      </w:r>
      <w:proofErr w:type="spellStart"/>
      <w:r w:rsidRPr="002906A3">
        <w:t>their</w:t>
      </w:r>
      <w:proofErr w:type="spellEnd"/>
      <w:r w:rsidRPr="002906A3">
        <w:t xml:space="preserve"> </w:t>
      </w:r>
      <w:proofErr w:type="spellStart"/>
      <w:r w:rsidRPr="002906A3">
        <w:t>agency</w:t>
      </w:r>
      <w:proofErr w:type="spellEnd"/>
      <w:r w:rsidRPr="002906A3">
        <w:t xml:space="preserve">, </w:t>
      </w:r>
      <w:proofErr w:type="spellStart"/>
      <w:r w:rsidRPr="002906A3">
        <w:t>making</w:t>
      </w:r>
      <w:proofErr w:type="spellEnd"/>
      <w:r w:rsidRPr="002906A3">
        <w:t xml:space="preserve"> </w:t>
      </w:r>
      <w:proofErr w:type="spellStart"/>
      <w:r w:rsidRPr="002906A3">
        <w:t>them</w:t>
      </w:r>
      <w:proofErr w:type="spellEnd"/>
      <w:r w:rsidRPr="002906A3">
        <w:t xml:space="preserve"> </w:t>
      </w:r>
      <w:proofErr w:type="spellStart"/>
      <w:r w:rsidRPr="002906A3">
        <w:t>complicit</w:t>
      </w:r>
      <w:proofErr w:type="spellEnd"/>
      <w:r w:rsidRPr="002906A3">
        <w:t xml:space="preserve"> in </w:t>
      </w:r>
      <w:proofErr w:type="spellStart"/>
      <w:r w:rsidRPr="002906A3">
        <w:t>their</w:t>
      </w:r>
      <w:proofErr w:type="spellEnd"/>
      <w:r w:rsidRPr="002906A3">
        <w:t xml:space="preserve"> </w:t>
      </w:r>
      <w:proofErr w:type="spellStart"/>
      <w:r w:rsidRPr="002906A3">
        <w:t>own</w:t>
      </w:r>
      <w:proofErr w:type="spellEnd"/>
      <w:r w:rsidRPr="002906A3">
        <w:t xml:space="preserve"> </w:t>
      </w:r>
      <w:proofErr w:type="spellStart"/>
      <w:r w:rsidRPr="002906A3">
        <w:t>entrapment</w:t>
      </w:r>
      <w:proofErr w:type="spellEnd"/>
      <w:r w:rsidRPr="002906A3">
        <w:t xml:space="preserve">. </w:t>
      </w:r>
      <w:proofErr w:type="spellStart"/>
      <w:r w:rsidRPr="002906A3">
        <w:t>Their</w:t>
      </w:r>
      <w:proofErr w:type="spellEnd"/>
      <w:r w:rsidRPr="002906A3">
        <w:t xml:space="preserve"> silence </w:t>
      </w:r>
      <w:proofErr w:type="spellStart"/>
      <w:r w:rsidRPr="002906A3">
        <w:t>and</w:t>
      </w:r>
      <w:proofErr w:type="spellEnd"/>
      <w:r w:rsidRPr="002906A3">
        <w:t xml:space="preserve"> </w:t>
      </w:r>
      <w:proofErr w:type="spellStart"/>
      <w:r w:rsidRPr="002906A3">
        <w:t>rigid</w:t>
      </w:r>
      <w:proofErr w:type="spellEnd"/>
      <w:r w:rsidRPr="002906A3">
        <w:t xml:space="preserve"> </w:t>
      </w:r>
      <w:proofErr w:type="spellStart"/>
      <w:r w:rsidRPr="002906A3">
        <w:t>posture</w:t>
      </w:r>
      <w:proofErr w:type="spellEnd"/>
      <w:r w:rsidRPr="002906A3">
        <w:t xml:space="preserve"> </w:t>
      </w:r>
      <w:proofErr w:type="spellStart"/>
      <w:r w:rsidRPr="002906A3">
        <w:t>symbolize</w:t>
      </w:r>
      <w:proofErr w:type="spellEnd"/>
      <w:r w:rsidRPr="002906A3">
        <w:t xml:space="preserve"> </w:t>
      </w:r>
      <w:proofErr w:type="spellStart"/>
      <w:r w:rsidRPr="002906A3">
        <w:t>their</w:t>
      </w:r>
      <w:proofErr w:type="spellEnd"/>
      <w:r w:rsidRPr="002906A3">
        <w:t xml:space="preserve"> </w:t>
      </w:r>
      <w:proofErr w:type="spellStart"/>
      <w:r w:rsidRPr="002906A3">
        <w:t>powerlessness</w:t>
      </w:r>
      <w:proofErr w:type="spellEnd"/>
      <w:r w:rsidRPr="002906A3">
        <w:t xml:space="preserve"> </w:t>
      </w:r>
      <w:proofErr w:type="spellStart"/>
      <w:r w:rsidRPr="002906A3">
        <w:t>and</w:t>
      </w:r>
      <w:proofErr w:type="spellEnd"/>
      <w:r w:rsidRPr="002906A3">
        <w:t xml:space="preserve"> </w:t>
      </w:r>
      <w:proofErr w:type="spellStart"/>
      <w:r w:rsidRPr="002906A3">
        <w:t>fear</w:t>
      </w:r>
      <w:proofErr w:type="spellEnd"/>
      <w:r w:rsidRPr="002906A3">
        <w:t xml:space="preserve"> of </w:t>
      </w:r>
      <w:proofErr w:type="spellStart"/>
      <w:r w:rsidRPr="002906A3">
        <w:t>their</w:t>
      </w:r>
      <w:proofErr w:type="spellEnd"/>
      <w:r w:rsidRPr="002906A3">
        <w:t xml:space="preserve"> </w:t>
      </w:r>
      <w:proofErr w:type="spellStart"/>
      <w:r w:rsidRPr="002906A3">
        <w:t>own</w:t>
      </w:r>
      <w:proofErr w:type="spellEnd"/>
      <w:r w:rsidRPr="002906A3">
        <w:t xml:space="preserve"> </w:t>
      </w:r>
      <w:proofErr w:type="spellStart"/>
      <w:r w:rsidRPr="002906A3">
        <w:t>insignificance</w:t>
      </w:r>
      <w:proofErr w:type="spellEnd"/>
      <w:r w:rsidRPr="002906A3">
        <w:t>.</w:t>
      </w:r>
    </w:p>
    <w:p w14:paraId="727A17CB" w14:textId="77777777" w:rsidR="001E7189" w:rsidRPr="002906A3" w:rsidRDefault="001E7189" w:rsidP="00BA67A6">
      <w:pPr>
        <w:jc w:val="both"/>
      </w:pPr>
    </w:p>
    <w:p w14:paraId="50EFB5DD" w14:textId="77777777" w:rsidR="001E7189" w:rsidRPr="002906A3" w:rsidRDefault="001E7189" w:rsidP="00BA67A6">
      <w:pPr>
        <w:jc w:val="both"/>
      </w:pPr>
      <w:proofErr w:type="spellStart"/>
      <w:r w:rsidRPr="002906A3">
        <w:t>In</w:t>
      </w:r>
      <w:proofErr w:type="spellEnd"/>
      <w:r w:rsidRPr="002906A3">
        <w:t xml:space="preserve"> </w:t>
      </w:r>
      <w:proofErr w:type="spellStart"/>
      <w:r w:rsidRPr="002906A3">
        <w:t>essence</w:t>
      </w:r>
      <w:proofErr w:type="spellEnd"/>
      <w:r w:rsidRPr="002906A3">
        <w:t xml:space="preserve">,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does</w:t>
      </w:r>
      <w:proofErr w:type="spellEnd"/>
      <w:r w:rsidRPr="002906A3">
        <w:t xml:space="preserve"> not </w:t>
      </w:r>
      <w:proofErr w:type="spellStart"/>
      <w:r w:rsidRPr="002906A3">
        <w:t>merely</w:t>
      </w:r>
      <w:proofErr w:type="spellEnd"/>
      <w:r w:rsidRPr="002906A3">
        <w:t xml:space="preserve"> </w:t>
      </w:r>
      <w:proofErr w:type="spellStart"/>
      <w:r w:rsidRPr="002906A3">
        <w:t>serve</w:t>
      </w:r>
      <w:proofErr w:type="spellEnd"/>
      <w:r w:rsidRPr="002906A3">
        <w:t xml:space="preserve"> as a </w:t>
      </w:r>
      <w:proofErr w:type="spellStart"/>
      <w:r w:rsidRPr="002906A3">
        <w:t>backdrop</w:t>
      </w:r>
      <w:proofErr w:type="spellEnd"/>
      <w:r w:rsidRPr="002906A3">
        <w:t xml:space="preserve">; it is a </w:t>
      </w:r>
      <w:proofErr w:type="spellStart"/>
      <w:r w:rsidRPr="002906A3">
        <w:t>vital</w:t>
      </w:r>
      <w:proofErr w:type="spellEnd"/>
      <w:r w:rsidRPr="002906A3">
        <w:t xml:space="preserve"> element </w:t>
      </w:r>
      <w:proofErr w:type="spellStart"/>
      <w:r w:rsidRPr="002906A3">
        <w:t>that</w:t>
      </w:r>
      <w:proofErr w:type="spellEnd"/>
      <w:r w:rsidRPr="002906A3">
        <w:t xml:space="preserve"> </w:t>
      </w:r>
      <w:proofErr w:type="spellStart"/>
      <w:r w:rsidRPr="002906A3">
        <w:t>shapes</w:t>
      </w:r>
      <w:proofErr w:type="spellEnd"/>
      <w:r w:rsidRPr="002906A3">
        <w:t xml:space="preserve"> </w:t>
      </w:r>
      <w:proofErr w:type="spellStart"/>
      <w:r w:rsidRPr="002906A3">
        <w:t>the</w:t>
      </w:r>
      <w:proofErr w:type="spellEnd"/>
      <w:r w:rsidRPr="002906A3">
        <w:t xml:space="preserve"> </w:t>
      </w:r>
      <w:proofErr w:type="spellStart"/>
      <w:r w:rsidRPr="002906A3">
        <w:t>play’s</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Through </w:t>
      </w:r>
      <w:proofErr w:type="spellStart"/>
      <w:r w:rsidRPr="002906A3">
        <w:t>various</w:t>
      </w:r>
      <w:proofErr w:type="spellEnd"/>
      <w:r w:rsidRPr="002906A3">
        <w:t xml:space="preserve"> </w:t>
      </w:r>
      <w:proofErr w:type="spellStart"/>
      <w:r w:rsidRPr="002906A3">
        <w:t>forms</w:t>
      </w:r>
      <w:proofErr w:type="spellEnd"/>
      <w:r w:rsidRPr="002906A3">
        <w:t xml:space="preserve"> of silence, Beckett </w:t>
      </w:r>
      <w:proofErr w:type="spellStart"/>
      <w:r w:rsidRPr="002906A3">
        <w:t>invites</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engage</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internal</w:t>
      </w:r>
      <w:proofErr w:type="spellEnd"/>
      <w:r w:rsidRPr="002906A3">
        <w:t xml:space="preserve"> </w:t>
      </w:r>
      <w:proofErr w:type="spellStart"/>
      <w:r w:rsidRPr="002906A3">
        <w:t>conflicts</w:t>
      </w:r>
      <w:proofErr w:type="spellEnd"/>
      <w:r w:rsidRPr="002906A3">
        <w:t xml:space="preserve"> of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broader</w:t>
      </w:r>
      <w:proofErr w:type="spellEnd"/>
      <w:r w:rsidRPr="002906A3">
        <w:t xml:space="preserve"> </w:t>
      </w:r>
      <w:proofErr w:type="spellStart"/>
      <w:r w:rsidRPr="002906A3">
        <w:t>absurdity</w:t>
      </w:r>
      <w:proofErr w:type="spellEnd"/>
      <w:r w:rsidRPr="002906A3">
        <w:t xml:space="preserve"> of </w:t>
      </w:r>
      <w:proofErr w:type="spellStart"/>
      <w:r w:rsidRPr="002906A3">
        <w:t>human</w:t>
      </w:r>
      <w:proofErr w:type="spellEnd"/>
      <w:r w:rsidRPr="002906A3">
        <w:t xml:space="preserve"> life. </w:t>
      </w:r>
      <w:proofErr w:type="spellStart"/>
      <w:r w:rsidRPr="002906A3">
        <w:t>Each</w:t>
      </w:r>
      <w:proofErr w:type="spellEnd"/>
      <w:r w:rsidRPr="002906A3">
        <w:t xml:space="preserve"> </w:t>
      </w:r>
      <w:proofErr w:type="spellStart"/>
      <w:r w:rsidRPr="002906A3">
        <w:t>pause</w:t>
      </w:r>
      <w:proofErr w:type="spellEnd"/>
      <w:r w:rsidRPr="002906A3">
        <w:t xml:space="preserve"> </w:t>
      </w:r>
      <w:proofErr w:type="spellStart"/>
      <w:r w:rsidRPr="002906A3">
        <w:t>and</w:t>
      </w:r>
      <w:proofErr w:type="spellEnd"/>
      <w:r w:rsidRPr="002906A3">
        <w:t xml:space="preserve"> moment of </w:t>
      </w:r>
      <w:proofErr w:type="spellStart"/>
      <w:r w:rsidRPr="002906A3">
        <w:t>stillness</w:t>
      </w:r>
      <w:proofErr w:type="spellEnd"/>
      <w:r w:rsidRPr="002906A3">
        <w:t xml:space="preserve"> </w:t>
      </w:r>
      <w:proofErr w:type="spellStart"/>
      <w:r w:rsidRPr="002906A3">
        <w:t>contributes</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w:t>
      </w:r>
      <w:proofErr w:type="spellStart"/>
      <w:r w:rsidRPr="002906A3">
        <w:t>rich</w:t>
      </w:r>
      <w:proofErr w:type="spellEnd"/>
      <w:r w:rsidRPr="002906A3">
        <w:t xml:space="preserve"> </w:t>
      </w:r>
      <w:proofErr w:type="spellStart"/>
      <w:r w:rsidRPr="002906A3">
        <w:t>tapestry</w:t>
      </w:r>
      <w:proofErr w:type="spellEnd"/>
      <w:r w:rsidRPr="002906A3">
        <w:t xml:space="preserve"> of </w:t>
      </w:r>
      <w:proofErr w:type="spellStart"/>
      <w:r w:rsidRPr="002906A3">
        <w:t>communication</w:t>
      </w:r>
      <w:proofErr w:type="spellEnd"/>
      <w:r w:rsidRPr="002906A3">
        <w:t xml:space="preserve">, </w:t>
      </w:r>
      <w:proofErr w:type="spellStart"/>
      <w:r w:rsidRPr="002906A3">
        <w:t>character</w:t>
      </w:r>
      <w:proofErr w:type="spellEnd"/>
      <w:r w:rsidRPr="002906A3">
        <w:t xml:space="preserve"> </w:t>
      </w:r>
      <w:proofErr w:type="spellStart"/>
      <w:r w:rsidRPr="002906A3">
        <w:t>development</w:t>
      </w:r>
      <w:proofErr w:type="spellEnd"/>
      <w:r w:rsidRPr="002906A3">
        <w:t xml:space="preserve">, </w:t>
      </w:r>
      <w:proofErr w:type="spellStart"/>
      <w:r w:rsidRPr="002906A3">
        <w:t>and</w:t>
      </w:r>
      <w:proofErr w:type="spellEnd"/>
      <w:r w:rsidRPr="002906A3">
        <w:t xml:space="preserve"> </w:t>
      </w:r>
      <w:proofErr w:type="spellStart"/>
      <w:r w:rsidRPr="002906A3">
        <w:t>existential</w:t>
      </w:r>
      <w:proofErr w:type="spellEnd"/>
      <w:r w:rsidRPr="002906A3">
        <w:t xml:space="preserve"> </w:t>
      </w:r>
      <w:proofErr w:type="spellStart"/>
      <w:r w:rsidRPr="002906A3">
        <w:t>inquiry</w:t>
      </w:r>
      <w:proofErr w:type="spellEnd"/>
      <w:r w:rsidRPr="002906A3">
        <w:t xml:space="preserve"> </w:t>
      </w:r>
      <w:proofErr w:type="spellStart"/>
      <w:r w:rsidRPr="002906A3">
        <w:t>that</w:t>
      </w:r>
      <w:proofErr w:type="spellEnd"/>
      <w:r w:rsidRPr="002906A3">
        <w:t xml:space="preserve"> </w:t>
      </w:r>
      <w:proofErr w:type="spellStart"/>
      <w:r w:rsidRPr="002906A3">
        <w:t>defines</w:t>
      </w:r>
      <w:proofErr w:type="spellEnd"/>
      <w:r w:rsidRPr="002906A3">
        <w:t xml:space="preserve"> </w:t>
      </w:r>
      <w:proofErr w:type="spellStart"/>
      <w:r w:rsidRPr="002906A3">
        <w:t>this</w:t>
      </w:r>
      <w:proofErr w:type="spellEnd"/>
      <w:r w:rsidRPr="002906A3">
        <w:t xml:space="preserve"> </w:t>
      </w:r>
      <w:proofErr w:type="spellStart"/>
      <w:r w:rsidRPr="002906A3">
        <w:t>significant</w:t>
      </w:r>
      <w:proofErr w:type="spellEnd"/>
      <w:r w:rsidRPr="002906A3">
        <w:t xml:space="preserve"> </w:t>
      </w:r>
      <w:proofErr w:type="spellStart"/>
      <w:r w:rsidRPr="002906A3">
        <w:t>work</w:t>
      </w:r>
      <w:proofErr w:type="spellEnd"/>
      <w:r w:rsidRPr="002906A3">
        <w:t xml:space="preserve">. </w:t>
      </w:r>
      <w:proofErr w:type="spellStart"/>
      <w:r w:rsidRPr="002906A3">
        <w:t>In</w:t>
      </w:r>
      <w:proofErr w:type="spellEnd"/>
      <w:r w:rsidRPr="002906A3">
        <w:t xml:space="preserve"> </w:t>
      </w:r>
      <w:proofErr w:type="spellStart"/>
      <w:r w:rsidRPr="002906A3">
        <w:t>the</w:t>
      </w:r>
      <w:proofErr w:type="spellEnd"/>
      <w:r w:rsidRPr="002906A3">
        <w:t xml:space="preserve"> </w:t>
      </w:r>
      <w:proofErr w:type="spellStart"/>
      <w:r w:rsidRPr="002906A3">
        <w:t>wider</w:t>
      </w:r>
      <w:proofErr w:type="spellEnd"/>
      <w:r w:rsidRPr="002906A3">
        <w:t xml:space="preserve"> </w:t>
      </w:r>
      <w:proofErr w:type="spellStart"/>
      <w:r w:rsidRPr="002906A3">
        <w:t>literary</w:t>
      </w:r>
      <w:proofErr w:type="spellEnd"/>
      <w:r w:rsidRPr="002906A3">
        <w:t xml:space="preserve"> </w:t>
      </w:r>
      <w:proofErr w:type="spellStart"/>
      <w:r w:rsidRPr="002906A3">
        <w:t>and</w:t>
      </w:r>
      <w:proofErr w:type="spellEnd"/>
      <w:r w:rsidRPr="002906A3">
        <w:t xml:space="preserve"> </w:t>
      </w:r>
      <w:proofErr w:type="spellStart"/>
      <w:r w:rsidRPr="002906A3">
        <w:t>philosophical</w:t>
      </w:r>
      <w:proofErr w:type="spellEnd"/>
      <w:r w:rsidRPr="002906A3">
        <w:t xml:space="preserve"> </w:t>
      </w:r>
      <w:proofErr w:type="spellStart"/>
      <w:r w:rsidRPr="002906A3">
        <w:t>contexts</w:t>
      </w:r>
      <w:proofErr w:type="spellEnd"/>
      <w:r w:rsidRPr="002906A3">
        <w:t xml:space="preserve">, </w:t>
      </w:r>
      <w:proofErr w:type="spellStart"/>
      <w:r w:rsidRPr="002906A3">
        <w:t>the</w:t>
      </w:r>
      <w:proofErr w:type="spellEnd"/>
      <w:r w:rsidRPr="002906A3">
        <w:t xml:space="preserve"> role of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is </w:t>
      </w:r>
      <w:proofErr w:type="spellStart"/>
      <w:r w:rsidRPr="002906A3">
        <w:t>noteworthy</w:t>
      </w:r>
      <w:proofErr w:type="spellEnd"/>
      <w:r w:rsidRPr="002906A3">
        <w:t xml:space="preserve">. Abbas </w:t>
      </w:r>
      <w:proofErr w:type="spellStart"/>
      <w:r w:rsidRPr="002906A3">
        <w:t>and</w:t>
      </w:r>
      <w:proofErr w:type="spellEnd"/>
      <w:r w:rsidRPr="002906A3">
        <w:t xml:space="preserve"> Hasan (</w:t>
      </w:r>
      <w:proofErr w:type="spellStart"/>
      <w:r w:rsidRPr="002906A3">
        <w:t>n.d</w:t>
      </w:r>
      <w:proofErr w:type="spellEnd"/>
      <w:r w:rsidRPr="002906A3">
        <w:t xml:space="preserve">.) </w:t>
      </w:r>
      <w:proofErr w:type="spellStart"/>
      <w:r w:rsidRPr="002906A3">
        <w:t>highlight</w:t>
      </w:r>
      <w:proofErr w:type="spellEnd"/>
      <w:r w:rsidRPr="002906A3">
        <w:t xml:space="preserve"> how Beckett </w:t>
      </w:r>
      <w:proofErr w:type="spellStart"/>
      <w:r w:rsidRPr="002906A3">
        <w:t>uses</w:t>
      </w:r>
      <w:proofErr w:type="spellEnd"/>
      <w:r w:rsidRPr="002906A3">
        <w:t xml:space="preserve"> silence </w:t>
      </w:r>
      <w:proofErr w:type="spellStart"/>
      <w:r w:rsidRPr="002906A3">
        <w:t>to</w:t>
      </w:r>
      <w:proofErr w:type="spellEnd"/>
      <w:r w:rsidRPr="002906A3">
        <w:t xml:space="preserve"> </w:t>
      </w:r>
      <w:proofErr w:type="spellStart"/>
      <w:r w:rsidRPr="002906A3">
        <w:t>underscore</w:t>
      </w:r>
      <w:proofErr w:type="spellEnd"/>
      <w:r w:rsidRPr="002906A3">
        <w:t xml:space="preserve"> </w:t>
      </w:r>
      <w:proofErr w:type="spellStart"/>
      <w:r w:rsidRPr="002906A3">
        <w:t>the</w:t>
      </w:r>
      <w:proofErr w:type="spellEnd"/>
      <w:r w:rsidRPr="002906A3">
        <w:t xml:space="preserve"> </w:t>
      </w:r>
      <w:proofErr w:type="spellStart"/>
      <w:r w:rsidRPr="002906A3">
        <w:t>challenges</w:t>
      </w:r>
      <w:proofErr w:type="spellEnd"/>
      <w:r w:rsidRPr="002906A3">
        <w:t xml:space="preserve"> of </w:t>
      </w:r>
      <w:proofErr w:type="spellStart"/>
      <w:r w:rsidRPr="002906A3">
        <w:t>communication</w:t>
      </w:r>
      <w:proofErr w:type="spellEnd"/>
      <w:r w:rsidRPr="002906A3">
        <w:t xml:space="preserve">. They </w:t>
      </w:r>
      <w:proofErr w:type="spellStart"/>
      <w:r w:rsidRPr="002906A3">
        <w:t>argue</w:t>
      </w:r>
      <w:proofErr w:type="spellEnd"/>
      <w:r w:rsidRPr="002906A3">
        <w:t xml:space="preserve"> </w:t>
      </w:r>
      <w:proofErr w:type="spellStart"/>
      <w:r w:rsidRPr="002906A3">
        <w:t>that</w:t>
      </w:r>
      <w:proofErr w:type="spellEnd"/>
      <w:r w:rsidRPr="002906A3">
        <w:t xml:space="preserve"> silence </w:t>
      </w:r>
      <w:proofErr w:type="spellStart"/>
      <w:r w:rsidRPr="002906A3">
        <w:t>sometimes</w:t>
      </w:r>
      <w:proofErr w:type="spellEnd"/>
      <w:r w:rsidRPr="002906A3">
        <w:t xml:space="preserve"> </w:t>
      </w:r>
      <w:proofErr w:type="spellStart"/>
      <w:r w:rsidRPr="002906A3">
        <w:t>conveys</w:t>
      </w:r>
      <w:proofErr w:type="spellEnd"/>
      <w:r w:rsidRPr="002906A3">
        <w:t xml:space="preserve"> </w:t>
      </w:r>
      <w:proofErr w:type="spellStart"/>
      <w:r w:rsidRPr="002906A3">
        <w:t>deeper</w:t>
      </w:r>
      <w:proofErr w:type="spellEnd"/>
      <w:r w:rsidRPr="002906A3">
        <w:t xml:space="preserve"> </w:t>
      </w:r>
      <w:proofErr w:type="spellStart"/>
      <w:r w:rsidRPr="002906A3">
        <w:t>emotions</w:t>
      </w:r>
      <w:proofErr w:type="spellEnd"/>
      <w:r w:rsidRPr="002906A3">
        <w:t xml:space="preserve"> </w:t>
      </w:r>
      <w:proofErr w:type="spellStart"/>
      <w:r w:rsidRPr="002906A3">
        <w:t>or</w:t>
      </w:r>
      <w:proofErr w:type="spellEnd"/>
      <w:r w:rsidRPr="002906A3">
        <w:t xml:space="preserve"> </w:t>
      </w:r>
      <w:proofErr w:type="spellStart"/>
      <w:r w:rsidRPr="002906A3">
        <w:t>truths</w:t>
      </w:r>
      <w:proofErr w:type="spellEnd"/>
      <w:r w:rsidRPr="002906A3">
        <w:t xml:space="preserve"> </w:t>
      </w:r>
      <w:proofErr w:type="spellStart"/>
      <w:r w:rsidRPr="002906A3">
        <w:t>when</w:t>
      </w:r>
      <w:proofErr w:type="spellEnd"/>
      <w:r w:rsidRPr="002906A3">
        <w:t xml:space="preserve"> </w:t>
      </w:r>
      <w:proofErr w:type="spellStart"/>
      <w:r w:rsidRPr="002906A3">
        <w:t>words</w:t>
      </w:r>
      <w:proofErr w:type="spellEnd"/>
      <w:r w:rsidRPr="002906A3">
        <w:t xml:space="preserve"> fail. </w:t>
      </w:r>
      <w:proofErr w:type="spellStart"/>
      <w:r w:rsidRPr="002906A3">
        <w:t>In</w:t>
      </w:r>
      <w:proofErr w:type="spellEnd"/>
      <w:r w:rsidRPr="002906A3">
        <w:t xml:space="preserve"> </w:t>
      </w:r>
      <w:proofErr w:type="spellStart"/>
      <w:r w:rsidRPr="002906A3">
        <w:t>this</w:t>
      </w:r>
      <w:proofErr w:type="spellEnd"/>
      <w:r w:rsidRPr="002906A3">
        <w:t xml:space="preserve"> </w:t>
      </w:r>
      <w:proofErr w:type="spellStart"/>
      <w:r w:rsidRPr="002906A3">
        <w:t>play</w:t>
      </w:r>
      <w:proofErr w:type="spellEnd"/>
      <w:r w:rsidRPr="002906A3">
        <w:t xml:space="preserve">, </w:t>
      </w:r>
      <w:proofErr w:type="spellStart"/>
      <w:r w:rsidRPr="002906A3">
        <w:t>listening</w:t>
      </w:r>
      <w:proofErr w:type="spellEnd"/>
      <w:r w:rsidRPr="002906A3">
        <w:t xml:space="preserve"> </w:t>
      </w:r>
      <w:proofErr w:type="spellStart"/>
      <w:r w:rsidRPr="002906A3">
        <w:t>and</w:t>
      </w:r>
      <w:proofErr w:type="spellEnd"/>
      <w:r w:rsidRPr="002906A3">
        <w:t xml:space="preserve"> presence </w:t>
      </w:r>
      <w:proofErr w:type="spellStart"/>
      <w:r w:rsidRPr="002906A3">
        <w:t>are</w:t>
      </w:r>
      <w:proofErr w:type="spellEnd"/>
      <w:r w:rsidRPr="002906A3">
        <w:t xml:space="preserve"> as </w:t>
      </w:r>
      <w:proofErr w:type="spellStart"/>
      <w:r w:rsidRPr="002906A3">
        <w:t>crucial</w:t>
      </w:r>
      <w:proofErr w:type="spellEnd"/>
      <w:r w:rsidRPr="002906A3">
        <w:t xml:space="preserve"> as </w:t>
      </w:r>
      <w:proofErr w:type="spellStart"/>
      <w:r w:rsidRPr="002906A3">
        <w:t>speech</w:t>
      </w:r>
      <w:proofErr w:type="spellEnd"/>
      <w:r w:rsidRPr="002906A3">
        <w:t xml:space="preserve">, </w:t>
      </w:r>
      <w:proofErr w:type="spellStart"/>
      <w:r w:rsidRPr="002906A3">
        <w:t>emphasizing</w:t>
      </w:r>
      <w:proofErr w:type="spellEnd"/>
      <w:r w:rsidRPr="002906A3">
        <w:t xml:space="preserve"> </w:t>
      </w:r>
      <w:proofErr w:type="spellStart"/>
      <w:r w:rsidRPr="002906A3">
        <w:t>the</w:t>
      </w:r>
      <w:proofErr w:type="spellEnd"/>
      <w:r w:rsidRPr="002906A3">
        <w:t xml:space="preserve"> </w:t>
      </w:r>
      <w:proofErr w:type="spellStart"/>
      <w:r w:rsidRPr="002906A3">
        <w:t>complexity</w:t>
      </w:r>
      <w:proofErr w:type="spellEnd"/>
      <w:r w:rsidRPr="002906A3">
        <w:t xml:space="preserve"> of </w:t>
      </w:r>
      <w:proofErr w:type="spellStart"/>
      <w:r w:rsidRPr="002906A3">
        <w:t>human</w:t>
      </w:r>
      <w:proofErr w:type="spellEnd"/>
      <w:r w:rsidRPr="002906A3">
        <w:t xml:space="preserve"> </w:t>
      </w:r>
      <w:proofErr w:type="spellStart"/>
      <w:r w:rsidRPr="002906A3">
        <w:t>interactions</w:t>
      </w:r>
      <w:proofErr w:type="spellEnd"/>
      <w:r w:rsidRPr="002906A3">
        <w:t xml:space="preserve">. Silence </w:t>
      </w:r>
      <w:proofErr w:type="spellStart"/>
      <w:r w:rsidRPr="002906A3">
        <w:t>often</w:t>
      </w:r>
      <w:proofErr w:type="spellEnd"/>
      <w:r w:rsidRPr="002906A3">
        <w:t xml:space="preserve"> </w:t>
      </w:r>
      <w:proofErr w:type="spellStart"/>
      <w:r w:rsidRPr="002906A3">
        <w:t>acts</w:t>
      </w:r>
      <w:proofErr w:type="spellEnd"/>
      <w:r w:rsidRPr="002906A3">
        <w:t xml:space="preserve"> as a </w:t>
      </w:r>
      <w:proofErr w:type="spellStart"/>
      <w:r w:rsidRPr="002906A3">
        <w:t>space</w:t>
      </w:r>
      <w:proofErr w:type="spellEnd"/>
      <w:r w:rsidRPr="002906A3">
        <w:t xml:space="preserve"> in </w:t>
      </w:r>
      <w:proofErr w:type="spellStart"/>
      <w:r w:rsidRPr="002906A3">
        <w:t>which</w:t>
      </w:r>
      <w:proofErr w:type="spellEnd"/>
      <w:r w:rsidRPr="002906A3">
        <w:t xml:space="preserve"> </w:t>
      </w:r>
      <w:proofErr w:type="spellStart"/>
      <w:r w:rsidRPr="002906A3">
        <w:t>characters</w:t>
      </w:r>
      <w:proofErr w:type="spellEnd"/>
      <w:r w:rsidRPr="002906A3">
        <w:t xml:space="preserve"> </w:t>
      </w:r>
      <w:proofErr w:type="spellStart"/>
      <w:r w:rsidRPr="002906A3">
        <w:t>absorb</w:t>
      </w:r>
      <w:proofErr w:type="spellEnd"/>
      <w:r w:rsidRPr="002906A3">
        <w:t xml:space="preserve"> </w:t>
      </w:r>
      <w:proofErr w:type="spellStart"/>
      <w:r w:rsidRPr="002906A3">
        <w:t>their</w:t>
      </w:r>
      <w:proofErr w:type="spellEnd"/>
      <w:r w:rsidRPr="002906A3">
        <w:t xml:space="preserve"> </w:t>
      </w:r>
      <w:proofErr w:type="spellStart"/>
      <w:r w:rsidRPr="002906A3">
        <w:t>surroundings</w:t>
      </w:r>
      <w:proofErr w:type="spellEnd"/>
      <w:r w:rsidRPr="002906A3">
        <w:t xml:space="preserve"> </w:t>
      </w:r>
      <w:proofErr w:type="spellStart"/>
      <w:r w:rsidRPr="002906A3">
        <w:t>and</w:t>
      </w:r>
      <w:proofErr w:type="spellEnd"/>
      <w:r w:rsidRPr="002906A3">
        <w:t xml:space="preserve"> </w:t>
      </w:r>
      <w:proofErr w:type="spellStart"/>
      <w:r w:rsidRPr="002906A3">
        <w:t>contemplate</w:t>
      </w:r>
      <w:proofErr w:type="spellEnd"/>
      <w:r w:rsidRPr="002906A3">
        <w:t xml:space="preserve"> </w:t>
      </w:r>
      <w:proofErr w:type="spellStart"/>
      <w:r w:rsidRPr="002906A3">
        <w:t>their</w:t>
      </w:r>
      <w:proofErr w:type="spellEnd"/>
      <w:r w:rsidRPr="002906A3">
        <w:t xml:space="preserve"> </w:t>
      </w:r>
      <w:proofErr w:type="spellStart"/>
      <w:r w:rsidRPr="002906A3">
        <w:t>existence</w:t>
      </w:r>
      <w:proofErr w:type="spellEnd"/>
      <w:r w:rsidRPr="002906A3">
        <w:t xml:space="preserve">. </w:t>
      </w:r>
      <w:proofErr w:type="spellStart"/>
      <w:r w:rsidRPr="002906A3">
        <w:t>When</w:t>
      </w:r>
      <w:proofErr w:type="spellEnd"/>
      <w:r w:rsidRPr="002906A3">
        <w:t xml:space="preserve"> </w:t>
      </w:r>
      <w:proofErr w:type="spellStart"/>
      <w:r w:rsidRPr="002906A3">
        <w:t>words</w:t>
      </w:r>
      <w:proofErr w:type="spellEnd"/>
      <w:r w:rsidRPr="002906A3">
        <w:t xml:space="preserve"> </w:t>
      </w:r>
      <w:proofErr w:type="spellStart"/>
      <w:r w:rsidRPr="002906A3">
        <w:t>are</w:t>
      </w:r>
      <w:proofErr w:type="spellEnd"/>
      <w:r w:rsidRPr="002906A3">
        <w:t xml:space="preserve"> </w:t>
      </w:r>
      <w:proofErr w:type="spellStart"/>
      <w:r w:rsidRPr="002906A3">
        <w:t>scarce</w:t>
      </w:r>
      <w:proofErr w:type="spellEnd"/>
      <w:r w:rsidRPr="002906A3">
        <w:t xml:space="preserve">, </w:t>
      </w:r>
      <w:proofErr w:type="spellStart"/>
      <w:r w:rsidRPr="002906A3">
        <w:t>these</w:t>
      </w:r>
      <w:proofErr w:type="spellEnd"/>
      <w:r w:rsidRPr="002906A3">
        <w:t xml:space="preserve"> </w:t>
      </w:r>
      <w:proofErr w:type="spellStart"/>
      <w:r w:rsidRPr="002906A3">
        <w:t>silent</w:t>
      </w:r>
      <w:proofErr w:type="spellEnd"/>
      <w:r w:rsidRPr="002906A3">
        <w:t xml:space="preserve"> </w:t>
      </w:r>
      <w:proofErr w:type="spellStart"/>
      <w:r w:rsidRPr="002906A3">
        <w:t>moments</w:t>
      </w:r>
      <w:proofErr w:type="spellEnd"/>
      <w:r w:rsidRPr="002906A3">
        <w:t xml:space="preserve"> </w:t>
      </w:r>
      <w:proofErr w:type="spellStart"/>
      <w:r w:rsidRPr="002906A3">
        <w:t>force</w:t>
      </w:r>
      <w:proofErr w:type="spellEnd"/>
      <w:r w:rsidRPr="002906A3">
        <w:t xml:space="preserve"> </w:t>
      </w:r>
      <w:proofErr w:type="spellStart"/>
      <w:r w:rsidRPr="002906A3">
        <w:t>both</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reflect</w:t>
      </w:r>
      <w:proofErr w:type="spellEnd"/>
      <w:r w:rsidRPr="002906A3">
        <w:t xml:space="preserve"> on </w:t>
      </w:r>
      <w:proofErr w:type="spellStart"/>
      <w:r w:rsidRPr="002906A3">
        <w:t>what</w:t>
      </w:r>
      <w:proofErr w:type="spellEnd"/>
      <w:r w:rsidRPr="002906A3">
        <w:t xml:space="preserve"> is </w:t>
      </w:r>
      <w:proofErr w:type="spellStart"/>
      <w:r w:rsidRPr="002906A3">
        <w:t>being</w:t>
      </w:r>
      <w:proofErr w:type="spellEnd"/>
      <w:r w:rsidRPr="002906A3">
        <w:t xml:space="preserve"> </w:t>
      </w:r>
      <w:proofErr w:type="spellStart"/>
      <w:r w:rsidRPr="002906A3">
        <w:t>said</w:t>
      </w:r>
      <w:proofErr w:type="spellEnd"/>
      <w:r w:rsidRPr="002906A3">
        <w:t>—</w:t>
      </w:r>
      <w:proofErr w:type="spellStart"/>
      <w:r w:rsidRPr="002906A3">
        <w:t>or</w:t>
      </w:r>
      <w:proofErr w:type="spellEnd"/>
      <w:r w:rsidRPr="002906A3">
        <w:t xml:space="preserve"> </w:t>
      </w:r>
      <w:proofErr w:type="spellStart"/>
      <w:r w:rsidRPr="002906A3">
        <w:t>left</w:t>
      </w:r>
      <w:proofErr w:type="spellEnd"/>
      <w:r w:rsidRPr="002906A3">
        <w:t xml:space="preserve"> </w:t>
      </w:r>
      <w:proofErr w:type="spellStart"/>
      <w:r w:rsidRPr="002906A3">
        <w:t>unsaid</w:t>
      </w:r>
      <w:proofErr w:type="spellEnd"/>
      <w:r w:rsidRPr="002906A3">
        <w:t xml:space="preserve">. </w:t>
      </w:r>
      <w:proofErr w:type="spellStart"/>
      <w:r w:rsidRPr="002906A3">
        <w:t>Mukhemar</w:t>
      </w:r>
      <w:proofErr w:type="spellEnd"/>
      <w:r w:rsidRPr="002906A3">
        <w:t xml:space="preserve"> (2019) </w:t>
      </w:r>
      <w:proofErr w:type="spellStart"/>
      <w:r w:rsidRPr="002906A3">
        <w:t>discusses</w:t>
      </w:r>
      <w:proofErr w:type="spellEnd"/>
      <w:r w:rsidRPr="002906A3">
        <w:t xml:space="preserve"> how </w:t>
      </w:r>
      <w:proofErr w:type="spellStart"/>
      <w:r w:rsidRPr="002906A3">
        <w:t>the</w:t>
      </w:r>
      <w:proofErr w:type="spellEnd"/>
      <w:r w:rsidRPr="002906A3">
        <w:t xml:space="preserve"> </w:t>
      </w:r>
      <w:proofErr w:type="spellStart"/>
      <w:r w:rsidRPr="002906A3">
        <w:t>lack</w:t>
      </w:r>
      <w:proofErr w:type="spellEnd"/>
      <w:r w:rsidRPr="002906A3">
        <w:t xml:space="preserve"> of </w:t>
      </w:r>
      <w:proofErr w:type="spellStart"/>
      <w:r w:rsidRPr="002906A3">
        <w:t>action</w:t>
      </w:r>
      <w:proofErr w:type="spellEnd"/>
      <w:r w:rsidRPr="002906A3">
        <w:t xml:space="preserve">, </w:t>
      </w:r>
      <w:proofErr w:type="spellStart"/>
      <w:r w:rsidRPr="002906A3">
        <w:t>combined</w:t>
      </w:r>
      <w:proofErr w:type="spellEnd"/>
      <w:r w:rsidRPr="002906A3">
        <w:t xml:space="preserve"> </w:t>
      </w:r>
      <w:proofErr w:type="spellStart"/>
      <w:r w:rsidRPr="002906A3">
        <w:t>with</w:t>
      </w:r>
      <w:proofErr w:type="spellEnd"/>
      <w:r w:rsidRPr="002906A3">
        <w:t xml:space="preserve"> silence, </w:t>
      </w:r>
      <w:proofErr w:type="spellStart"/>
      <w:r w:rsidRPr="002906A3">
        <w:t>disrupts</w:t>
      </w:r>
      <w:proofErr w:type="spellEnd"/>
      <w:r w:rsidRPr="002906A3">
        <w:t xml:space="preserve"> </w:t>
      </w:r>
      <w:proofErr w:type="spellStart"/>
      <w:r w:rsidRPr="002906A3">
        <w:t>conventional</w:t>
      </w:r>
      <w:proofErr w:type="spellEnd"/>
      <w:r w:rsidRPr="002906A3">
        <w:t xml:space="preserve"> </w:t>
      </w:r>
      <w:proofErr w:type="spellStart"/>
      <w:r w:rsidRPr="002906A3">
        <w:t>storytelling</w:t>
      </w:r>
      <w:proofErr w:type="spellEnd"/>
      <w:r w:rsidRPr="002906A3">
        <w:t xml:space="preserve">. </w:t>
      </w:r>
      <w:proofErr w:type="spellStart"/>
      <w:r w:rsidRPr="002906A3">
        <w:t>In</w:t>
      </w:r>
      <w:proofErr w:type="spellEnd"/>
      <w:r w:rsidRPr="002906A3">
        <w:t xml:space="preserve"> </w:t>
      </w:r>
      <w:proofErr w:type="spellStart"/>
      <w:r w:rsidRPr="002906A3">
        <w:t>many</w:t>
      </w:r>
      <w:proofErr w:type="spellEnd"/>
      <w:r w:rsidRPr="002906A3">
        <w:t xml:space="preserve"> </w:t>
      </w:r>
      <w:proofErr w:type="spellStart"/>
      <w:r w:rsidRPr="002906A3">
        <w:t>plays</w:t>
      </w:r>
      <w:proofErr w:type="spellEnd"/>
      <w:r w:rsidRPr="002906A3">
        <w:t xml:space="preserve">, </w:t>
      </w:r>
      <w:proofErr w:type="spellStart"/>
      <w:r w:rsidRPr="002906A3">
        <w:t>action</w:t>
      </w:r>
      <w:proofErr w:type="spellEnd"/>
      <w:r w:rsidRPr="002906A3">
        <w:t xml:space="preserve"> </w:t>
      </w:r>
      <w:proofErr w:type="spellStart"/>
      <w:r w:rsidRPr="002906A3">
        <w:t>propels</w:t>
      </w:r>
      <w:proofErr w:type="spellEnd"/>
      <w:r w:rsidRPr="002906A3">
        <w:t xml:space="preserve"> </w:t>
      </w:r>
      <w:proofErr w:type="spellStart"/>
      <w:r w:rsidRPr="002906A3">
        <w:t>the</w:t>
      </w:r>
      <w:proofErr w:type="spellEnd"/>
      <w:r w:rsidRPr="002906A3">
        <w:t xml:space="preserve"> </w:t>
      </w:r>
      <w:proofErr w:type="spellStart"/>
      <w:r w:rsidRPr="002906A3">
        <w:t>plot</w:t>
      </w:r>
      <w:proofErr w:type="spellEnd"/>
      <w:r w:rsidRPr="002906A3">
        <w:t xml:space="preserve">. </w:t>
      </w:r>
      <w:proofErr w:type="spellStart"/>
      <w:r w:rsidRPr="002906A3">
        <w:t>However</w:t>
      </w:r>
      <w:proofErr w:type="spellEnd"/>
      <w:r w:rsidRPr="002906A3">
        <w:t xml:space="preserv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conventional</w:t>
      </w:r>
      <w:proofErr w:type="spellEnd"/>
      <w:r w:rsidRPr="002906A3">
        <w:t xml:space="preserve"> </w:t>
      </w:r>
      <w:proofErr w:type="spellStart"/>
      <w:r w:rsidRPr="002906A3">
        <w:t>action</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life, </w:t>
      </w:r>
      <w:proofErr w:type="spellStart"/>
      <w:r w:rsidRPr="002906A3">
        <w:t>pushing</w:t>
      </w:r>
      <w:proofErr w:type="spellEnd"/>
      <w:r w:rsidRPr="002906A3">
        <w:t xml:space="preserve"> </w:t>
      </w:r>
      <w:proofErr w:type="spellStart"/>
      <w:r w:rsidRPr="002906A3">
        <w:t>the</w:t>
      </w:r>
      <w:proofErr w:type="spellEnd"/>
      <w:r w:rsidRPr="002906A3">
        <w:t xml:space="preserve"> </w:t>
      </w:r>
      <w:proofErr w:type="spellStart"/>
      <w:r w:rsidRPr="002906A3">
        <w:t>boundaries</w:t>
      </w:r>
      <w:proofErr w:type="spellEnd"/>
      <w:r w:rsidRPr="002906A3">
        <w:t xml:space="preserve"> of </w:t>
      </w:r>
      <w:proofErr w:type="spellStart"/>
      <w:r w:rsidRPr="002906A3">
        <w:t>narrative</w:t>
      </w:r>
      <w:proofErr w:type="spellEnd"/>
      <w:r w:rsidRPr="002906A3">
        <w:t xml:space="preserve"> </w:t>
      </w:r>
      <w:proofErr w:type="spellStart"/>
      <w:r w:rsidRPr="002906A3">
        <w:t>structure</w:t>
      </w:r>
      <w:proofErr w:type="spellEnd"/>
      <w:r w:rsidRPr="002906A3">
        <w:t>.</w:t>
      </w:r>
    </w:p>
    <w:p w14:paraId="1720C783" w14:textId="77777777" w:rsidR="001E7189" w:rsidRPr="002906A3" w:rsidRDefault="001E7189" w:rsidP="00BA67A6">
      <w:pPr>
        <w:jc w:val="both"/>
      </w:pPr>
    </w:p>
    <w:p w14:paraId="5F92B977" w14:textId="77777777" w:rsidR="001E7189" w:rsidRPr="002906A3" w:rsidRDefault="001E7189" w:rsidP="00BA67A6">
      <w:pPr>
        <w:jc w:val="both"/>
      </w:pPr>
      <w:proofErr w:type="spellStart"/>
      <w:r w:rsidRPr="002906A3">
        <w:t>Ultimately</w:t>
      </w:r>
      <w:proofErr w:type="spellEnd"/>
      <w:r w:rsidRPr="002906A3">
        <w:t xml:space="preserve">, silence is not </w:t>
      </w:r>
      <w:proofErr w:type="spellStart"/>
      <w:r w:rsidRPr="002906A3">
        <w:t>merely</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sound</w:t>
      </w:r>
      <w:proofErr w:type="spellEnd"/>
      <w:r w:rsidRPr="002906A3">
        <w:t xml:space="preserve">; it </w:t>
      </w:r>
      <w:proofErr w:type="spellStart"/>
      <w:r w:rsidRPr="002906A3">
        <w:t>becomes</w:t>
      </w:r>
      <w:proofErr w:type="spellEnd"/>
      <w:r w:rsidRPr="002906A3">
        <w:t xml:space="preserve"> a </w:t>
      </w:r>
      <w:proofErr w:type="spellStart"/>
      <w:r w:rsidRPr="002906A3">
        <w:t>dynamic</w:t>
      </w:r>
      <w:proofErr w:type="spellEnd"/>
      <w:r w:rsidRPr="002906A3">
        <w:t xml:space="preserve"> </w:t>
      </w:r>
      <w:proofErr w:type="spellStart"/>
      <w:r w:rsidRPr="002906A3">
        <w:t>force</w:t>
      </w:r>
      <w:proofErr w:type="spellEnd"/>
      <w:r w:rsidRPr="002906A3">
        <w:t xml:space="preserve"> </w:t>
      </w:r>
      <w:proofErr w:type="spellStart"/>
      <w:r w:rsidRPr="002906A3">
        <w:t>within</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Beckett’s</w:t>
      </w:r>
      <w:proofErr w:type="spellEnd"/>
      <w:r w:rsidRPr="002906A3">
        <w:t xml:space="preserve"> </w:t>
      </w:r>
      <w:proofErr w:type="spellStart"/>
      <w:r w:rsidRPr="002906A3">
        <w:t>artistic</w:t>
      </w:r>
      <w:proofErr w:type="spellEnd"/>
      <w:r w:rsidRPr="002906A3">
        <w:t xml:space="preserve"> </w:t>
      </w:r>
      <w:proofErr w:type="spellStart"/>
      <w:r w:rsidRPr="002906A3">
        <w:t>use</w:t>
      </w:r>
      <w:proofErr w:type="spellEnd"/>
      <w:r w:rsidRPr="002906A3">
        <w:t xml:space="preserve"> of silence </w:t>
      </w:r>
      <w:proofErr w:type="spellStart"/>
      <w:r w:rsidRPr="002906A3">
        <w:t>deepens</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situation</w:t>
      </w:r>
      <w:proofErr w:type="spellEnd"/>
      <w:r w:rsidRPr="002906A3">
        <w:t xml:space="preserve"> </w:t>
      </w:r>
      <w:proofErr w:type="spellStart"/>
      <w:r w:rsidRPr="002906A3">
        <w:t>while</w:t>
      </w:r>
      <w:proofErr w:type="spellEnd"/>
      <w:r w:rsidRPr="002906A3">
        <w:t xml:space="preserve"> </w:t>
      </w:r>
      <w:proofErr w:type="spellStart"/>
      <w:r w:rsidRPr="002906A3">
        <w:t>inviting</w:t>
      </w:r>
      <w:proofErr w:type="spellEnd"/>
      <w:r w:rsidRPr="002906A3">
        <w:t xml:space="preserve"> </w:t>
      </w:r>
      <w:proofErr w:type="spellStart"/>
      <w:r w:rsidRPr="002906A3">
        <w:t>broader</w:t>
      </w:r>
      <w:proofErr w:type="spellEnd"/>
      <w:r w:rsidRPr="002906A3">
        <w:t xml:space="preserve"> </w:t>
      </w:r>
      <w:proofErr w:type="spellStart"/>
      <w:r w:rsidRPr="002906A3">
        <w:t>reflection</w:t>
      </w:r>
      <w:proofErr w:type="spellEnd"/>
      <w:r w:rsidRPr="002906A3">
        <w:t xml:space="preserve"> on </w:t>
      </w:r>
      <w:proofErr w:type="spellStart"/>
      <w:r w:rsidRPr="002906A3">
        <w:t>human</w:t>
      </w:r>
      <w:proofErr w:type="spellEnd"/>
      <w:r w:rsidRPr="002906A3">
        <w:t xml:space="preserve"> </w:t>
      </w:r>
      <w:proofErr w:type="spellStart"/>
      <w:r w:rsidRPr="002906A3">
        <w:t>existence</w:t>
      </w:r>
      <w:proofErr w:type="spellEnd"/>
      <w:r w:rsidRPr="002906A3">
        <w:t xml:space="preserve">. Through silence, Beckett </w:t>
      </w:r>
      <w:proofErr w:type="spellStart"/>
      <w:r w:rsidRPr="002906A3">
        <w:t>captures</w:t>
      </w:r>
      <w:proofErr w:type="spellEnd"/>
      <w:r w:rsidRPr="002906A3">
        <w:t xml:space="preserve"> </w:t>
      </w:r>
      <w:proofErr w:type="spellStart"/>
      <w:r w:rsidRPr="002906A3">
        <w:t>the</w:t>
      </w:r>
      <w:proofErr w:type="spellEnd"/>
      <w:r w:rsidRPr="002906A3">
        <w:t xml:space="preserve"> </w:t>
      </w:r>
      <w:proofErr w:type="spellStart"/>
      <w:r w:rsidRPr="002906A3">
        <w:t>tension</w:t>
      </w:r>
      <w:proofErr w:type="spellEnd"/>
      <w:r w:rsidRPr="002906A3">
        <w:t xml:space="preserve"> </w:t>
      </w:r>
      <w:proofErr w:type="spellStart"/>
      <w:r w:rsidRPr="002906A3">
        <w:t>between</w:t>
      </w:r>
      <w:proofErr w:type="spellEnd"/>
      <w:r w:rsidRPr="002906A3">
        <w:t xml:space="preserve"> </w:t>
      </w:r>
      <w:proofErr w:type="spellStart"/>
      <w:r w:rsidRPr="002906A3">
        <w:t>the</w:t>
      </w:r>
      <w:proofErr w:type="spellEnd"/>
      <w:r w:rsidRPr="002906A3">
        <w:t xml:space="preserve"> </w:t>
      </w:r>
      <w:proofErr w:type="spellStart"/>
      <w:r w:rsidRPr="002906A3">
        <w:t>desire</w:t>
      </w:r>
      <w:proofErr w:type="spellEnd"/>
      <w:r w:rsidRPr="002906A3">
        <w:t xml:space="preserve"> </w:t>
      </w:r>
      <w:proofErr w:type="spellStart"/>
      <w:r w:rsidRPr="002906A3">
        <w:t>for</w:t>
      </w:r>
      <w:proofErr w:type="spellEnd"/>
      <w:r w:rsidRPr="002906A3">
        <w:t xml:space="preserve"> </w:t>
      </w:r>
      <w:proofErr w:type="spellStart"/>
      <w:r w:rsidRPr="002906A3">
        <w:t>connection</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alienation</w:t>
      </w:r>
      <w:proofErr w:type="spellEnd"/>
      <w:r w:rsidRPr="002906A3">
        <w:t xml:space="preserve"> </w:t>
      </w:r>
      <w:proofErr w:type="spellStart"/>
      <w:r w:rsidRPr="002906A3">
        <w:t>that</w:t>
      </w:r>
      <w:proofErr w:type="spellEnd"/>
      <w:r w:rsidRPr="002906A3">
        <w:t xml:space="preserve"> </w:t>
      </w:r>
      <w:proofErr w:type="spellStart"/>
      <w:r w:rsidRPr="002906A3">
        <w:t>often</w:t>
      </w:r>
      <w:proofErr w:type="spellEnd"/>
      <w:r w:rsidRPr="002906A3">
        <w:t xml:space="preserve"> </w:t>
      </w:r>
      <w:proofErr w:type="spellStart"/>
      <w:r w:rsidRPr="002906A3">
        <w:t>arises</w:t>
      </w:r>
      <w:proofErr w:type="spellEnd"/>
      <w:r w:rsidRPr="002906A3">
        <w:t xml:space="preserve"> in an </w:t>
      </w:r>
      <w:proofErr w:type="spellStart"/>
      <w:r w:rsidRPr="002906A3">
        <w:t>indifferent</w:t>
      </w:r>
      <w:proofErr w:type="spellEnd"/>
      <w:r w:rsidRPr="002906A3">
        <w:t xml:space="preserve"> </w:t>
      </w:r>
      <w:proofErr w:type="spellStart"/>
      <w:r w:rsidRPr="002906A3">
        <w:t>universe</w:t>
      </w:r>
      <w:proofErr w:type="spellEnd"/>
      <w:r w:rsidRPr="002906A3">
        <w:t xml:space="preserve">. </w:t>
      </w:r>
      <w:proofErr w:type="spellStart"/>
      <w:r w:rsidRPr="002906A3">
        <w:t>The</w:t>
      </w:r>
      <w:proofErr w:type="spellEnd"/>
      <w:r w:rsidRPr="002906A3">
        <w:t xml:space="preserve"> </w:t>
      </w:r>
      <w:proofErr w:type="spellStart"/>
      <w:r w:rsidRPr="002906A3">
        <w:t>interplay</w:t>
      </w:r>
      <w:proofErr w:type="spellEnd"/>
      <w:r w:rsidRPr="002906A3">
        <w:t xml:space="preserve"> of silence, </w:t>
      </w:r>
      <w:proofErr w:type="spellStart"/>
      <w:r w:rsidRPr="002906A3">
        <w:t>communication</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inherent</w:t>
      </w:r>
      <w:proofErr w:type="spellEnd"/>
      <w:r w:rsidRPr="002906A3">
        <w:t xml:space="preserve"> </w:t>
      </w:r>
      <w:proofErr w:type="spellStart"/>
      <w:r w:rsidRPr="002906A3">
        <w:t>absurdity</w:t>
      </w:r>
      <w:proofErr w:type="spellEnd"/>
      <w:r w:rsidRPr="002906A3">
        <w:t xml:space="preserve"> of life </w:t>
      </w:r>
      <w:proofErr w:type="spellStart"/>
      <w:r w:rsidRPr="002906A3">
        <w:t>creates</w:t>
      </w:r>
      <w:proofErr w:type="spellEnd"/>
      <w:r w:rsidRPr="002906A3">
        <w:t xml:space="preserve"> a </w:t>
      </w:r>
      <w:proofErr w:type="spellStart"/>
      <w:r w:rsidRPr="002906A3">
        <w:t>rich</w:t>
      </w:r>
      <w:proofErr w:type="spellEnd"/>
      <w:r w:rsidRPr="002906A3">
        <w:t xml:space="preserve"> </w:t>
      </w:r>
      <w:proofErr w:type="spellStart"/>
      <w:r w:rsidRPr="002906A3">
        <w:t>narrative</w:t>
      </w:r>
      <w:proofErr w:type="spellEnd"/>
      <w:r w:rsidRPr="002906A3">
        <w:t xml:space="preserve"> </w:t>
      </w:r>
      <w:proofErr w:type="spellStart"/>
      <w:r w:rsidRPr="002906A3">
        <w:t>landscape</w:t>
      </w:r>
      <w:proofErr w:type="spellEnd"/>
      <w:r w:rsidRPr="002906A3">
        <w:t xml:space="preserve">, </w:t>
      </w:r>
      <w:proofErr w:type="spellStart"/>
      <w:r w:rsidRPr="002906A3">
        <w:t>leading</w:t>
      </w:r>
      <w:proofErr w:type="spellEnd"/>
      <w:r w:rsidRPr="002906A3">
        <w:t xml:space="preserve"> </w:t>
      </w:r>
      <w:proofErr w:type="spellStart"/>
      <w:r w:rsidRPr="002906A3">
        <w:t>both</w:t>
      </w:r>
      <w:proofErr w:type="spellEnd"/>
      <w:r w:rsidRPr="002906A3">
        <w:t xml:space="preserve"> </w:t>
      </w:r>
      <w:proofErr w:type="spellStart"/>
      <w:r w:rsidRPr="002906A3">
        <w:t>characters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contemplate</w:t>
      </w:r>
      <w:proofErr w:type="spellEnd"/>
      <w:r w:rsidRPr="002906A3">
        <w:t xml:space="preserve"> </w:t>
      </w:r>
      <w:proofErr w:type="spellStart"/>
      <w:r w:rsidRPr="002906A3">
        <w:t>the</w:t>
      </w:r>
      <w:proofErr w:type="spellEnd"/>
      <w:r w:rsidRPr="002906A3">
        <w:t xml:space="preserve"> </w:t>
      </w:r>
      <w:proofErr w:type="spellStart"/>
      <w:r w:rsidRPr="002906A3">
        <w:t>depths</w:t>
      </w:r>
      <w:proofErr w:type="spellEnd"/>
      <w:r w:rsidRPr="002906A3">
        <w:t xml:space="preserve"> of </w:t>
      </w:r>
      <w:proofErr w:type="spellStart"/>
      <w:r w:rsidRPr="002906A3">
        <w:t>human</w:t>
      </w:r>
      <w:proofErr w:type="spellEnd"/>
      <w:r w:rsidRPr="002906A3">
        <w:t xml:space="preserve"> </w:t>
      </w:r>
      <w:proofErr w:type="spellStart"/>
      <w:r w:rsidRPr="002906A3">
        <w:t>experience</w:t>
      </w:r>
      <w:proofErr w:type="spellEnd"/>
      <w:r w:rsidRPr="002906A3">
        <w:t xml:space="preserve">. Beckett </w:t>
      </w:r>
      <w:proofErr w:type="spellStart"/>
      <w:r w:rsidRPr="002906A3">
        <w:t>uses</w:t>
      </w:r>
      <w:proofErr w:type="spellEnd"/>
      <w:r w:rsidRPr="002906A3">
        <w:t xml:space="preserve"> silence as a </w:t>
      </w:r>
      <w:proofErr w:type="spellStart"/>
      <w:r w:rsidRPr="002906A3">
        <w:t>structural</w:t>
      </w:r>
      <w:proofErr w:type="spellEnd"/>
      <w:r w:rsidRPr="002906A3">
        <w:t xml:space="preserve"> </w:t>
      </w:r>
      <w:proofErr w:type="spellStart"/>
      <w:r w:rsidRPr="002906A3">
        <w:t>and</w:t>
      </w:r>
      <w:proofErr w:type="spellEnd"/>
      <w:r w:rsidRPr="002906A3">
        <w:t xml:space="preserve"> </w:t>
      </w:r>
      <w:proofErr w:type="spellStart"/>
      <w:r w:rsidRPr="002906A3">
        <w:t>thematic</w:t>
      </w:r>
      <w:proofErr w:type="spellEnd"/>
      <w:r w:rsidRPr="002906A3">
        <w:t xml:space="preserve"> </w:t>
      </w:r>
      <w:proofErr w:type="spellStart"/>
      <w:r w:rsidRPr="002906A3">
        <w:t>device</w:t>
      </w:r>
      <w:proofErr w:type="spellEnd"/>
      <w:r w:rsidRPr="002906A3">
        <w:t xml:space="preserve"> </w:t>
      </w:r>
      <w:proofErr w:type="spellStart"/>
      <w:r w:rsidRPr="002906A3">
        <w:t>to</w:t>
      </w:r>
      <w:proofErr w:type="spellEnd"/>
      <w:r w:rsidRPr="002906A3">
        <w:t xml:space="preserve"> </w:t>
      </w:r>
      <w:proofErr w:type="spellStart"/>
      <w:r w:rsidRPr="002906A3">
        <w:t>underscore</w:t>
      </w:r>
      <w:proofErr w:type="spellEnd"/>
      <w:r w:rsidRPr="002906A3">
        <w:t xml:space="preserve"> </w:t>
      </w:r>
      <w:proofErr w:type="spellStart"/>
      <w:r w:rsidRPr="002906A3">
        <w:t>the</w:t>
      </w:r>
      <w:proofErr w:type="spellEnd"/>
      <w:r w:rsidRPr="002906A3">
        <w:t xml:space="preserve"> </w:t>
      </w:r>
      <w:proofErr w:type="spellStart"/>
      <w:r w:rsidRPr="002906A3">
        <w:t>emptiness</w:t>
      </w:r>
      <w:proofErr w:type="spellEnd"/>
      <w:r w:rsidRPr="002906A3">
        <w:t xml:space="preserve"> </w:t>
      </w:r>
      <w:proofErr w:type="spellStart"/>
      <w:r w:rsidRPr="002906A3">
        <w:t>and</w:t>
      </w:r>
      <w:proofErr w:type="spellEnd"/>
      <w:r w:rsidRPr="002906A3">
        <w:t xml:space="preserve"> </w:t>
      </w:r>
      <w:proofErr w:type="spellStart"/>
      <w:r w:rsidRPr="002906A3">
        <w:t>absurdity</w:t>
      </w:r>
      <w:proofErr w:type="spellEnd"/>
      <w:r w:rsidRPr="002906A3">
        <w:t xml:space="preserve"> of </w:t>
      </w:r>
      <w:proofErr w:type="spellStart"/>
      <w:r w:rsidRPr="002906A3">
        <w:t>human</w:t>
      </w:r>
      <w:proofErr w:type="spellEnd"/>
      <w:r w:rsidRPr="002906A3">
        <w:t xml:space="preserve"> </w:t>
      </w:r>
      <w:proofErr w:type="spellStart"/>
      <w:r w:rsidRPr="002906A3">
        <w:t>existence</w:t>
      </w:r>
      <w:proofErr w:type="spellEnd"/>
      <w:r w:rsidRPr="002906A3">
        <w:t xml:space="preserve">. </w:t>
      </w:r>
      <w:proofErr w:type="spellStart"/>
      <w:r w:rsidRPr="002906A3">
        <w:t>Each</w:t>
      </w:r>
      <w:proofErr w:type="spellEnd"/>
      <w:r w:rsidRPr="002906A3">
        <w:t xml:space="preserve"> </w:t>
      </w:r>
      <w:proofErr w:type="spellStart"/>
      <w:r w:rsidRPr="002906A3">
        <w:t>pause</w:t>
      </w:r>
      <w:proofErr w:type="spellEnd"/>
      <w:r w:rsidRPr="002906A3">
        <w:t xml:space="preserve"> </w:t>
      </w:r>
      <w:proofErr w:type="spellStart"/>
      <w:r w:rsidRPr="002906A3">
        <w:t>carries</w:t>
      </w:r>
      <w:proofErr w:type="spellEnd"/>
      <w:r w:rsidRPr="002906A3">
        <w:t xml:space="preserve"> </w:t>
      </w:r>
      <w:proofErr w:type="spellStart"/>
      <w:r w:rsidRPr="002906A3">
        <w:t>weight</w:t>
      </w:r>
      <w:proofErr w:type="spellEnd"/>
      <w:r w:rsidRPr="002906A3">
        <w:t xml:space="preserve">, </w:t>
      </w:r>
      <w:proofErr w:type="spellStart"/>
      <w:r w:rsidRPr="002906A3">
        <w:t>forcing</w:t>
      </w:r>
      <w:proofErr w:type="spellEnd"/>
      <w:r w:rsidRPr="002906A3">
        <w:t xml:space="preserve"> </w:t>
      </w:r>
      <w:proofErr w:type="spellStart"/>
      <w:r w:rsidRPr="002906A3">
        <w:t>both</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confront</w:t>
      </w:r>
      <w:proofErr w:type="spellEnd"/>
      <w:r w:rsidRPr="002906A3">
        <w:t xml:space="preserve"> </w:t>
      </w:r>
      <w:proofErr w:type="spellStart"/>
      <w:r w:rsidRPr="002906A3">
        <w:t>uncomfortable</w:t>
      </w:r>
      <w:proofErr w:type="spellEnd"/>
      <w:r w:rsidRPr="002906A3">
        <w:t xml:space="preserve"> </w:t>
      </w:r>
      <w:proofErr w:type="spellStart"/>
      <w:r w:rsidRPr="002906A3">
        <w:t>truths</w:t>
      </w:r>
      <w:proofErr w:type="spellEnd"/>
      <w:r w:rsidRPr="002906A3">
        <w:t xml:space="preserve"> </w:t>
      </w:r>
      <w:proofErr w:type="spellStart"/>
      <w:r w:rsidRPr="002906A3">
        <w:t>about</w:t>
      </w:r>
      <w:proofErr w:type="spellEnd"/>
      <w:r w:rsidRPr="002906A3">
        <w:t xml:space="preserve"> </w:t>
      </w:r>
      <w:proofErr w:type="spellStart"/>
      <w:r w:rsidRPr="002906A3">
        <w:t>waiting</w:t>
      </w:r>
      <w:proofErr w:type="spellEnd"/>
      <w:r w:rsidRPr="002906A3">
        <w:t xml:space="preserve">, </w:t>
      </w:r>
      <w:proofErr w:type="spellStart"/>
      <w:r w:rsidRPr="002906A3">
        <w:t>suffering</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failure</w:t>
      </w:r>
      <w:proofErr w:type="spellEnd"/>
      <w:r w:rsidRPr="002906A3">
        <w:t xml:space="preserve"> of </w:t>
      </w:r>
      <w:proofErr w:type="spellStart"/>
      <w:r w:rsidRPr="002906A3">
        <w:t>communication</w:t>
      </w:r>
      <w:proofErr w:type="spellEnd"/>
      <w:r w:rsidRPr="002906A3">
        <w:t>.</w:t>
      </w:r>
    </w:p>
    <w:p w14:paraId="1AE1F202" w14:textId="77777777" w:rsidR="001E7189" w:rsidRPr="002906A3" w:rsidRDefault="001E7189" w:rsidP="00BA67A6">
      <w:pPr>
        <w:jc w:val="both"/>
      </w:pPr>
    </w:p>
    <w:p w14:paraId="5928D8AB" w14:textId="21571137" w:rsidR="001E7189" w:rsidRPr="002906A3" w:rsidRDefault="001E7189" w:rsidP="00BA67A6">
      <w:pPr>
        <w:jc w:val="both"/>
        <w:rPr>
          <w:b/>
          <w:bCs/>
        </w:rPr>
      </w:pPr>
      <w:proofErr w:type="spellStart"/>
      <w:r w:rsidRPr="002906A3">
        <w:rPr>
          <w:b/>
          <w:bCs/>
        </w:rPr>
        <w:t>Conclusion</w:t>
      </w:r>
      <w:proofErr w:type="spellEnd"/>
    </w:p>
    <w:p w14:paraId="0F0D05AB" w14:textId="77777777" w:rsidR="001E7189" w:rsidRDefault="001E7189" w:rsidP="00BA67A6">
      <w:pPr>
        <w:jc w:val="both"/>
      </w:pPr>
      <w:r w:rsidRPr="002906A3">
        <w:t xml:space="preserve">Silence in Samuel </w:t>
      </w:r>
      <w:proofErr w:type="spellStart"/>
      <w:r w:rsidRPr="002906A3">
        <w:t>Beckett’s</w:t>
      </w:r>
      <w:proofErr w:type="spellEnd"/>
      <w:r w:rsidRPr="002906A3">
        <w:t xml:space="preserve">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is not </w:t>
      </w:r>
      <w:proofErr w:type="spellStart"/>
      <w:r w:rsidRPr="002906A3">
        <w:t>merely</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dialogue</w:t>
      </w:r>
      <w:proofErr w:type="spellEnd"/>
      <w:r w:rsidRPr="002906A3">
        <w:t xml:space="preserve"> but a </w:t>
      </w:r>
      <w:proofErr w:type="spellStart"/>
      <w:r w:rsidRPr="002906A3">
        <w:t>powerful</w:t>
      </w:r>
      <w:proofErr w:type="spellEnd"/>
      <w:r w:rsidRPr="002906A3">
        <w:t xml:space="preserve"> </w:t>
      </w:r>
      <w:proofErr w:type="spellStart"/>
      <w:r w:rsidRPr="002906A3">
        <w:t>narrative</w:t>
      </w:r>
      <w:proofErr w:type="spellEnd"/>
      <w:r w:rsidRPr="002906A3">
        <w:t xml:space="preserve"> </w:t>
      </w:r>
      <w:proofErr w:type="spellStart"/>
      <w:r w:rsidRPr="002906A3">
        <w:t>device</w:t>
      </w:r>
      <w:proofErr w:type="spellEnd"/>
      <w:r w:rsidRPr="002906A3">
        <w:t xml:space="preserve"> </w:t>
      </w:r>
      <w:proofErr w:type="spellStart"/>
      <w:r w:rsidRPr="002906A3">
        <w:t>that</w:t>
      </w:r>
      <w:proofErr w:type="spellEnd"/>
      <w:r w:rsidRPr="002906A3">
        <w:t xml:space="preserve"> </w:t>
      </w:r>
      <w:proofErr w:type="spellStart"/>
      <w:r w:rsidRPr="002906A3">
        <w:t>conveys</w:t>
      </w:r>
      <w:proofErr w:type="spellEnd"/>
      <w:r w:rsidRPr="002906A3">
        <w:t xml:space="preserve"> </w:t>
      </w:r>
      <w:proofErr w:type="spellStart"/>
      <w:r w:rsidRPr="002906A3">
        <w:t>profound</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w:t>
      </w:r>
      <w:proofErr w:type="spellStart"/>
      <w:r w:rsidRPr="002906A3">
        <w:t>Throughout</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moments</w:t>
      </w:r>
      <w:proofErr w:type="spellEnd"/>
      <w:r w:rsidRPr="002906A3">
        <w:t xml:space="preserve"> of silence </w:t>
      </w:r>
      <w:proofErr w:type="spellStart"/>
      <w:r w:rsidRPr="002906A3">
        <w:t>punctuate</w:t>
      </w:r>
      <w:proofErr w:type="spellEnd"/>
      <w:r w:rsidRPr="002906A3">
        <w:t xml:space="preserve"> </w:t>
      </w:r>
      <w:proofErr w:type="spellStart"/>
      <w:r w:rsidRPr="002906A3">
        <w:t>conversations</w:t>
      </w:r>
      <w:proofErr w:type="spellEnd"/>
      <w:r w:rsidRPr="002906A3">
        <w:t xml:space="preserve">, </w:t>
      </w:r>
      <w:proofErr w:type="spellStart"/>
      <w:r w:rsidRPr="002906A3">
        <w:t>highlighting</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w:t>
      </w:r>
      <w:proofErr w:type="spellStart"/>
      <w:r w:rsidRPr="002906A3">
        <w:t>human</w:t>
      </w:r>
      <w:proofErr w:type="spellEnd"/>
      <w:r w:rsidRPr="002906A3">
        <w:t xml:space="preserve"> </w:t>
      </w:r>
      <w:proofErr w:type="spellStart"/>
      <w:r w:rsidRPr="002906A3">
        <w:t>existence</w:t>
      </w:r>
      <w:proofErr w:type="spellEnd"/>
      <w:r w:rsidRPr="002906A3">
        <w:t xml:space="preserve">, </w:t>
      </w:r>
      <w:proofErr w:type="spellStart"/>
      <w:r w:rsidRPr="002906A3">
        <w:t>the</w:t>
      </w:r>
      <w:proofErr w:type="spellEnd"/>
      <w:r w:rsidRPr="002906A3">
        <w:t xml:space="preserve"> </w:t>
      </w:r>
      <w:proofErr w:type="spellStart"/>
      <w:r w:rsidRPr="002906A3">
        <w:t>struggle</w:t>
      </w:r>
      <w:proofErr w:type="spellEnd"/>
      <w:r w:rsidRPr="002906A3">
        <w:t xml:space="preserve"> </w:t>
      </w:r>
      <w:proofErr w:type="spellStart"/>
      <w:r w:rsidRPr="002906A3">
        <w:t>for</w:t>
      </w:r>
      <w:proofErr w:type="spellEnd"/>
      <w:r w:rsidRPr="002906A3">
        <w:t xml:space="preserve"> </w:t>
      </w:r>
      <w:proofErr w:type="spellStart"/>
      <w:r w:rsidRPr="002906A3">
        <w:t>meaning</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inevitable</w:t>
      </w:r>
      <w:proofErr w:type="spellEnd"/>
      <w:r w:rsidRPr="002906A3">
        <w:t xml:space="preserve"> </w:t>
      </w:r>
      <w:proofErr w:type="spellStart"/>
      <w:r w:rsidRPr="002906A3">
        <w:t>failure</w:t>
      </w:r>
      <w:proofErr w:type="spellEnd"/>
      <w:r w:rsidRPr="002906A3">
        <w:t xml:space="preserve"> of </w:t>
      </w:r>
      <w:proofErr w:type="spellStart"/>
      <w:r w:rsidRPr="002906A3">
        <w:t>communication</w:t>
      </w:r>
      <w:proofErr w:type="spellEnd"/>
      <w:r w:rsidRPr="002906A3">
        <w:t xml:space="preserve">. </w:t>
      </w:r>
      <w:proofErr w:type="spellStart"/>
      <w:r w:rsidRPr="002906A3">
        <w:t>Each</w:t>
      </w:r>
      <w:proofErr w:type="spellEnd"/>
      <w:r w:rsidRPr="002906A3">
        <w:t xml:space="preserve"> </w:t>
      </w:r>
      <w:proofErr w:type="spellStart"/>
      <w:r w:rsidRPr="002906A3">
        <w:t>instance</w:t>
      </w:r>
      <w:proofErr w:type="spellEnd"/>
      <w:r w:rsidRPr="002906A3">
        <w:t xml:space="preserve"> of silence </w:t>
      </w:r>
      <w:proofErr w:type="spellStart"/>
      <w:r w:rsidRPr="002906A3">
        <w:t>forces</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as </w:t>
      </w:r>
      <w:proofErr w:type="spellStart"/>
      <w:r w:rsidRPr="002906A3">
        <w:t>well</w:t>
      </w:r>
      <w:proofErr w:type="spellEnd"/>
      <w:r w:rsidRPr="002906A3">
        <w:t xml:space="preserve"> as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confront</w:t>
      </w:r>
      <w:proofErr w:type="spellEnd"/>
      <w:r w:rsidRPr="002906A3">
        <w:t xml:space="preserve"> </w:t>
      </w:r>
      <w:proofErr w:type="spellStart"/>
      <w:r w:rsidRPr="002906A3">
        <w:t>the</w:t>
      </w:r>
      <w:proofErr w:type="spellEnd"/>
      <w:r w:rsidRPr="002906A3">
        <w:t xml:space="preserve"> </w:t>
      </w:r>
      <w:proofErr w:type="spellStart"/>
      <w:r w:rsidRPr="002906A3">
        <w:t>emptiness</w:t>
      </w:r>
      <w:proofErr w:type="spellEnd"/>
      <w:r w:rsidRPr="002906A3">
        <w:t xml:space="preserve"> of </w:t>
      </w:r>
      <w:proofErr w:type="spellStart"/>
      <w:r w:rsidRPr="002906A3">
        <w:t>their</w:t>
      </w:r>
      <w:proofErr w:type="spellEnd"/>
      <w:r w:rsidRPr="002906A3">
        <w:t xml:space="preserve"> </w:t>
      </w:r>
      <w:proofErr w:type="spellStart"/>
      <w:r w:rsidRPr="002906A3">
        <w:t>waiting</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futility</w:t>
      </w:r>
      <w:proofErr w:type="spellEnd"/>
      <w:r w:rsidRPr="002906A3">
        <w:t xml:space="preserve"> of </w:t>
      </w:r>
      <w:proofErr w:type="spellStart"/>
      <w:r w:rsidRPr="002906A3">
        <w:t>their</w:t>
      </w:r>
      <w:proofErr w:type="spellEnd"/>
      <w:r w:rsidRPr="002906A3">
        <w:t xml:space="preserve"> </w:t>
      </w:r>
      <w:proofErr w:type="spellStart"/>
      <w:r w:rsidRPr="002906A3">
        <w:t>actions</w:t>
      </w:r>
      <w:proofErr w:type="spellEnd"/>
      <w:r w:rsidRPr="002906A3">
        <w:t xml:space="preserve">. </w:t>
      </w:r>
      <w:proofErr w:type="spellStart"/>
      <w:r w:rsidRPr="002906A3">
        <w:t>Beckett’s</w:t>
      </w:r>
      <w:proofErr w:type="spellEnd"/>
      <w:r w:rsidRPr="002906A3">
        <w:t xml:space="preserve"> </w:t>
      </w:r>
      <w:proofErr w:type="spellStart"/>
      <w:r w:rsidRPr="002906A3">
        <w:t>strategic</w:t>
      </w:r>
      <w:proofErr w:type="spellEnd"/>
      <w:r w:rsidRPr="002906A3">
        <w:t xml:space="preserve"> </w:t>
      </w:r>
      <w:proofErr w:type="spellStart"/>
      <w:r w:rsidRPr="002906A3">
        <w:t>use</w:t>
      </w:r>
      <w:proofErr w:type="spellEnd"/>
      <w:r w:rsidRPr="002906A3">
        <w:t xml:space="preserve"> of silence </w:t>
      </w:r>
      <w:proofErr w:type="spellStart"/>
      <w:r w:rsidRPr="002906A3">
        <w:t>thus</w:t>
      </w:r>
      <w:proofErr w:type="spellEnd"/>
      <w:r w:rsidRPr="002906A3">
        <w:t xml:space="preserve"> </w:t>
      </w:r>
      <w:proofErr w:type="spellStart"/>
      <w:r w:rsidRPr="002906A3">
        <w:t>reinforces</w:t>
      </w:r>
      <w:proofErr w:type="spellEnd"/>
      <w:r w:rsidRPr="002906A3">
        <w:t xml:space="preserve"> </w:t>
      </w:r>
      <w:proofErr w:type="spellStart"/>
      <w:r w:rsidRPr="002906A3">
        <w:t>the</w:t>
      </w:r>
      <w:proofErr w:type="spellEnd"/>
      <w:r w:rsidRPr="002906A3">
        <w:t xml:space="preserve"> </w:t>
      </w:r>
      <w:proofErr w:type="spellStart"/>
      <w:r w:rsidRPr="002906A3">
        <w:t>play’s</w:t>
      </w:r>
      <w:proofErr w:type="spellEnd"/>
      <w:r w:rsidRPr="002906A3">
        <w:t xml:space="preserve"> </w:t>
      </w:r>
      <w:proofErr w:type="spellStart"/>
      <w:r w:rsidRPr="002906A3">
        <w:t>central</w:t>
      </w:r>
      <w:proofErr w:type="spellEnd"/>
      <w:r w:rsidRPr="002906A3">
        <w:t xml:space="preserve"> </w:t>
      </w:r>
      <w:proofErr w:type="spellStart"/>
      <w:r w:rsidRPr="002906A3">
        <w:t>themes</w:t>
      </w:r>
      <w:proofErr w:type="spellEnd"/>
      <w:r w:rsidRPr="002906A3">
        <w:t xml:space="preserve"> </w:t>
      </w:r>
      <w:proofErr w:type="spellStart"/>
      <w:r w:rsidRPr="002906A3">
        <w:t>and</w:t>
      </w:r>
      <w:proofErr w:type="spellEnd"/>
      <w:r w:rsidRPr="002906A3">
        <w:t xml:space="preserve"> </w:t>
      </w:r>
      <w:proofErr w:type="spellStart"/>
      <w:r w:rsidRPr="002906A3">
        <w:t>deepens</w:t>
      </w:r>
      <w:proofErr w:type="spellEnd"/>
      <w:r w:rsidRPr="002906A3">
        <w:t xml:space="preserve"> </w:t>
      </w:r>
      <w:proofErr w:type="spellStart"/>
      <w:r w:rsidRPr="002906A3">
        <w:t>the</w:t>
      </w:r>
      <w:proofErr w:type="spellEnd"/>
      <w:r w:rsidRPr="002906A3">
        <w:t xml:space="preserve"> </w:t>
      </w:r>
      <w:proofErr w:type="spellStart"/>
      <w:r w:rsidRPr="002906A3">
        <w:t>psychological</w:t>
      </w:r>
      <w:proofErr w:type="spellEnd"/>
      <w:r w:rsidRPr="002906A3">
        <w:t xml:space="preserve"> </w:t>
      </w:r>
      <w:proofErr w:type="spellStart"/>
      <w:r w:rsidRPr="002906A3">
        <w:t>complexity</w:t>
      </w:r>
      <w:proofErr w:type="spellEnd"/>
      <w:r w:rsidRPr="002906A3">
        <w:t xml:space="preserve"> of </w:t>
      </w:r>
      <w:proofErr w:type="spellStart"/>
      <w:r w:rsidRPr="002906A3">
        <w:t>its</w:t>
      </w:r>
      <w:proofErr w:type="spellEnd"/>
      <w:r w:rsidRPr="002906A3">
        <w:t xml:space="preserve"> </w:t>
      </w:r>
      <w:proofErr w:type="spellStart"/>
      <w:r w:rsidRPr="002906A3">
        <w:t>characters</w:t>
      </w:r>
      <w:proofErr w:type="spellEnd"/>
      <w:r w:rsidRPr="002906A3">
        <w:t>.</w:t>
      </w:r>
    </w:p>
    <w:p w14:paraId="1B9D564E" w14:textId="77777777" w:rsidR="00BA67A6" w:rsidRPr="002906A3" w:rsidRDefault="00BA67A6" w:rsidP="00BA67A6">
      <w:pPr>
        <w:jc w:val="both"/>
      </w:pPr>
    </w:p>
    <w:p w14:paraId="019F3A08" w14:textId="77777777" w:rsidR="001E7189" w:rsidRPr="002906A3" w:rsidRDefault="001E7189" w:rsidP="00BA67A6">
      <w:pPr>
        <w:jc w:val="both"/>
      </w:pPr>
      <w:proofErr w:type="spellStart"/>
      <w:r w:rsidRPr="002906A3">
        <w:t>One</w:t>
      </w:r>
      <w:proofErr w:type="spellEnd"/>
      <w:r w:rsidRPr="002906A3">
        <w:t xml:space="preserve"> of </w:t>
      </w:r>
      <w:proofErr w:type="spellStart"/>
      <w:r w:rsidRPr="002906A3">
        <w:t>the</w:t>
      </w:r>
      <w:proofErr w:type="spellEnd"/>
      <w:r w:rsidRPr="002906A3">
        <w:t xml:space="preserve"> </w:t>
      </w:r>
      <w:proofErr w:type="spellStart"/>
      <w:r w:rsidRPr="002906A3">
        <w:t>key</w:t>
      </w:r>
      <w:proofErr w:type="spellEnd"/>
      <w:r w:rsidRPr="002906A3">
        <w:t xml:space="preserve"> </w:t>
      </w:r>
      <w:proofErr w:type="spellStart"/>
      <w:r w:rsidRPr="002906A3">
        <w:t>functions</w:t>
      </w:r>
      <w:proofErr w:type="spellEnd"/>
      <w:r w:rsidRPr="002906A3">
        <w:t xml:space="preserve"> of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is </w:t>
      </w:r>
      <w:proofErr w:type="spellStart"/>
      <w:r w:rsidRPr="002906A3">
        <w:t>its</w:t>
      </w:r>
      <w:proofErr w:type="spellEnd"/>
      <w:r w:rsidRPr="002906A3">
        <w:t xml:space="preserve"> role in </w:t>
      </w:r>
      <w:proofErr w:type="spellStart"/>
      <w:r w:rsidRPr="002906A3">
        <w:t>exposing</w:t>
      </w:r>
      <w:proofErr w:type="spellEnd"/>
      <w:r w:rsidRPr="002906A3">
        <w:t xml:space="preserve"> </w:t>
      </w:r>
      <w:proofErr w:type="spellStart"/>
      <w:r w:rsidRPr="002906A3">
        <w:t>the</w:t>
      </w:r>
      <w:proofErr w:type="spellEnd"/>
      <w:r w:rsidRPr="002906A3">
        <w:t xml:space="preserve"> </w:t>
      </w:r>
      <w:proofErr w:type="spellStart"/>
      <w:r w:rsidRPr="002906A3">
        <w:t>futility</w:t>
      </w:r>
      <w:proofErr w:type="spellEnd"/>
      <w:r w:rsidRPr="002906A3">
        <w:t xml:space="preserve"> of </w:t>
      </w:r>
      <w:proofErr w:type="spellStart"/>
      <w:r w:rsidRPr="002906A3">
        <w:t>language</w:t>
      </w:r>
      <w:proofErr w:type="spellEnd"/>
      <w:r w:rsidRPr="002906A3">
        <w:t xml:space="preserve">.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engage</w:t>
      </w:r>
      <w:proofErr w:type="spellEnd"/>
      <w:r w:rsidRPr="002906A3">
        <w:t xml:space="preserve"> in </w:t>
      </w:r>
      <w:proofErr w:type="spellStart"/>
      <w:r w:rsidRPr="002906A3">
        <w:t>repetitive</w:t>
      </w:r>
      <w:proofErr w:type="spellEnd"/>
      <w:r w:rsidRPr="002906A3">
        <w:t xml:space="preserve">, </w:t>
      </w:r>
      <w:proofErr w:type="spellStart"/>
      <w:r w:rsidRPr="002906A3">
        <w:t>circular</w:t>
      </w:r>
      <w:proofErr w:type="spellEnd"/>
      <w:r w:rsidRPr="002906A3">
        <w:t xml:space="preserve"> </w:t>
      </w:r>
      <w:proofErr w:type="spellStart"/>
      <w:r w:rsidRPr="002906A3">
        <w:t>dialogues</w:t>
      </w:r>
      <w:proofErr w:type="spellEnd"/>
      <w:r w:rsidRPr="002906A3">
        <w:t xml:space="preserve"> </w:t>
      </w:r>
      <w:proofErr w:type="spellStart"/>
      <w:r w:rsidRPr="002906A3">
        <w:t>that</w:t>
      </w:r>
      <w:proofErr w:type="spellEnd"/>
      <w:r w:rsidRPr="002906A3">
        <w:t xml:space="preserve"> fail </w:t>
      </w:r>
      <w:proofErr w:type="spellStart"/>
      <w:r w:rsidRPr="002906A3">
        <w:t>to</w:t>
      </w:r>
      <w:proofErr w:type="spellEnd"/>
      <w:r w:rsidRPr="002906A3">
        <w:t xml:space="preserve"> </w:t>
      </w:r>
      <w:proofErr w:type="spellStart"/>
      <w:r w:rsidRPr="002906A3">
        <w:t>provide</w:t>
      </w:r>
      <w:proofErr w:type="spellEnd"/>
      <w:r w:rsidRPr="002906A3">
        <w:t xml:space="preserve"> </w:t>
      </w:r>
      <w:proofErr w:type="spellStart"/>
      <w:r w:rsidRPr="002906A3">
        <w:t>clarity</w:t>
      </w:r>
      <w:proofErr w:type="spellEnd"/>
      <w:r w:rsidRPr="002906A3">
        <w:t xml:space="preserve"> </w:t>
      </w:r>
      <w:proofErr w:type="spellStart"/>
      <w:r w:rsidRPr="002906A3">
        <w:t>or</w:t>
      </w:r>
      <w:proofErr w:type="spellEnd"/>
      <w:r w:rsidRPr="002906A3">
        <w:t xml:space="preserve"> </w:t>
      </w:r>
      <w:proofErr w:type="spellStart"/>
      <w:r w:rsidRPr="002906A3">
        <w:t>resolution</w:t>
      </w:r>
      <w:proofErr w:type="spellEnd"/>
      <w:r w:rsidRPr="002906A3">
        <w:t xml:space="preserve">. </w:t>
      </w:r>
      <w:proofErr w:type="spellStart"/>
      <w:r w:rsidRPr="002906A3">
        <w:t>Their</w:t>
      </w:r>
      <w:proofErr w:type="spellEnd"/>
      <w:r w:rsidRPr="002906A3">
        <w:t xml:space="preserve"> </w:t>
      </w:r>
      <w:proofErr w:type="spellStart"/>
      <w:r w:rsidRPr="002906A3">
        <w:t>words</w:t>
      </w:r>
      <w:proofErr w:type="spellEnd"/>
      <w:r w:rsidRPr="002906A3">
        <w:t xml:space="preserve"> </w:t>
      </w:r>
      <w:proofErr w:type="spellStart"/>
      <w:r w:rsidRPr="002906A3">
        <w:t>often</w:t>
      </w:r>
      <w:proofErr w:type="spellEnd"/>
      <w:r w:rsidRPr="002906A3">
        <w:t xml:space="preserve"> </w:t>
      </w:r>
      <w:proofErr w:type="spellStart"/>
      <w:r w:rsidRPr="002906A3">
        <w:t>serve</w:t>
      </w:r>
      <w:proofErr w:type="spellEnd"/>
      <w:r w:rsidRPr="002906A3">
        <w:t xml:space="preserve"> as </w:t>
      </w:r>
      <w:proofErr w:type="spellStart"/>
      <w:r w:rsidRPr="002906A3">
        <w:t>distractions</w:t>
      </w:r>
      <w:proofErr w:type="spellEnd"/>
      <w:r w:rsidRPr="002906A3">
        <w:t xml:space="preserve"> </w:t>
      </w:r>
      <w:proofErr w:type="spellStart"/>
      <w:r w:rsidRPr="002906A3">
        <w:t>rather</w:t>
      </w:r>
      <w:proofErr w:type="spellEnd"/>
      <w:r w:rsidRPr="002906A3">
        <w:t xml:space="preserve"> </w:t>
      </w:r>
      <w:proofErr w:type="spellStart"/>
      <w:r w:rsidRPr="002906A3">
        <w:t>than</w:t>
      </w:r>
      <w:proofErr w:type="spellEnd"/>
      <w:r w:rsidRPr="002906A3">
        <w:t xml:space="preserve"> </w:t>
      </w:r>
      <w:proofErr w:type="spellStart"/>
      <w:r w:rsidRPr="002906A3">
        <w:t>meaningful</w:t>
      </w:r>
      <w:proofErr w:type="spellEnd"/>
      <w:r w:rsidRPr="002906A3">
        <w:t xml:space="preserve"> </w:t>
      </w:r>
      <w:proofErr w:type="spellStart"/>
      <w:r w:rsidRPr="002906A3">
        <w:t>exchanges</w:t>
      </w:r>
      <w:proofErr w:type="spellEnd"/>
      <w:r w:rsidRPr="002906A3">
        <w:t xml:space="preserve">, </w:t>
      </w:r>
      <w:proofErr w:type="spellStart"/>
      <w:r w:rsidRPr="002906A3">
        <w:t>and</w:t>
      </w:r>
      <w:proofErr w:type="spellEnd"/>
      <w:r w:rsidRPr="002906A3">
        <w:t xml:space="preserve"> </w:t>
      </w:r>
      <w:proofErr w:type="spellStart"/>
      <w:r w:rsidRPr="002906A3">
        <w:t>when</w:t>
      </w:r>
      <w:proofErr w:type="spellEnd"/>
      <w:r w:rsidRPr="002906A3">
        <w:t xml:space="preserve"> </w:t>
      </w:r>
      <w:proofErr w:type="spellStart"/>
      <w:r w:rsidRPr="002906A3">
        <w:t>these</w:t>
      </w:r>
      <w:proofErr w:type="spellEnd"/>
      <w:r w:rsidRPr="002906A3">
        <w:t xml:space="preserve"> </w:t>
      </w:r>
      <w:proofErr w:type="spellStart"/>
      <w:r w:rsidRPr="002906A3">
        <w:t>distractions</w:t>
      </w:r>
      <w:proofErr w:type="spellEnd"/>
      <w:r w:rsidRPr="002906A3">
        <w:t xml:space="preserve"> fail, silence </w:t>
      </w:r>
      <w:proofErr w:type="spellStart"/>
      <w:r w:rsidRPr="002906A3">
        <w:t>takes</w:t>
      </w:r>
      <w:proofErr w:type="spellEnd"/>
      <w:r w:rsidRPr="002906A3">
        <w:t xml:space="preserve"> </w:t>
      </w:r>
      <w:proofErr w:type="spellStart"/>
      <w:r w:rsidRPr="002906A3">
        <w:t>over</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hesitations</w:t>
      </w:r>
      <w:proofErr w:type="spellEnd"/>
      <w:r w:rsidRPr="002906A3">
        <w:t xml:space="preserve">, </w:t>
      </w:r>
      <w:proofErr w:type="spellStart"/>
      <w:r w:rsidRPr="002906A3">
        <w:t>pauses</w:t>
      </w:r>
      <w:proofErr w:type="spellEnd"/>
      <w:r w:rsidRPr="002906A3">
        <w:t xml:space="preserve">, </w:t>
      </w:r>
      <w:proofErr w:type="spellStart"/>
      <w:r w:rsidRPr="002906A3">
        <w:t>and</w:t>
      </w:r>
      <w:proofErr w:type="spellEnd"/>
      <w:r w:rsidRPr="002906A3">
        <w:t xml:space="preserve"> </w:t>
      </w:r>
      <w:proofErr w:type="spellStart"/>
      <w:r w:rsidRPr="002906A3">
        <w:t>moments</w:t>
      </w:r>
      <w:proofErr w:type="spellEnd"/>
      <w:r w:rsidRPr="002906A3">
        <w:t xml:space="preserve"> of </w:t>
      </w:r>
      <w:proofErr w:type="spellStart"/>
      <w:r w:rsidRPr="002906A3">
        <w:t>speechlessness</w:t>
      </w:r>
      <w:proofErr w:type="spellEnd"/>
      <w:r w:rsidRPr="002906A3">
        <w:t xml:space="preserve"> </w:t>
      </w:r>
      <w:proofErr w:type="spellStart"/>
      <w:r w:rsidRPr="002906A3">
        <w:t>illustrate</w:t>
      </w:r>
      <w:proofErr w:type="spellEnd"/>
      <w:r w:rsidRPr="002906A3">
        <w:t xml:space="preserve"> </w:t>
      </w:r>
      <w:proofErr w:type="spellStart"/>
      <w:r w:rsidRPr="002906A3">
        <w:t>their</w:t>
      </w:r>
      <w:proofErr w:type="spellEnd"/>
      <w:r w:rsidRPr="002906A3">
        <w:t xml:space="preserve">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articulate</w:t>
      </w:r>
      <w:proofErr w:type="spellEnd"/>
      <w:r w:rsidRPr="002906A3">
        <w:t xml:space="preserve"> </w:t>
      </w:r>
      <w:proofErr w:type="spellStart"/>
      <w:r w:rsidRPr="002906A3">
        <w:t>their</w:t>
      </w:r>
      <w:proofErr w:type="spellEnd"/>
      <w:r w:rsidRPr="002906A3">
        <w:t xml:space="preserve"> </w:t>
      </w:r>
      <w:proofErr w:type="spellStart"/>
      <w:r w:rsidRPr="002906A3">
        <w:t>anxieties</w:t>
      </w:r>
      <w:proofErr w:type="spellEnd"/>
      <w:r w:rsidRPr="002906A3">
        <w:t xml:space="preserve"> </w:t>
      </w:r>
      <w:proofErr w:type="spellStart"/>
      <w:r w:rsidRPr="002906A3">
        <w:t>and</w:t>
      </w:r>
      <w:proofErr w:type="spellEnd"/>
      <w:r w:rsidRPr="002906A3">
        <w:t xml:space="preserve"> </w:t>
      </w:r>
      <w:proofErr w:type="spellStart"/>
      <w:r w:rsidRPr="002906A3">
        <w:t>fears</w:t>
      </w:r>
      <w:proofErr w:type="spellEnd"/>
      <w:r w:rsidRPr="002906A3">
        <w:t xml:space="preserve">, </w:t>
      </w:r>
      <w:proofErr w:type="spellStart"/>
      <w:r w:rsidRPr="002906A3">
        <w:t>emphasizing</w:t>
      </w:r>
      <w:proofErr w:type="spellEnd"/>
      <w:r w:rsidRPr="002906A3">
        <w:t xml:space="preserve"> </w:t>
      </w:r>
      <w:proofErr w:type="spellStart"/>
      <w:r w:rsidRPr="002906A3">
        <w:t>the</w:t>
      </w:r>
      <w:proofErr w:type="spellEnd"/>
      <w:r w:rsidRPr="002906A3">
        <w:t xml:space="preserve"> </w:t>
      </w:r>
      <w:proofErr w:type="spellStart"/>
      <w:r w:rsidRPr="002906A3">
        <w:t>limitations</w:t>
      </w:r>
      <w:proofErr w:type="spellEnd"/>
      <w:r w:rsidRPr="002906A3">
        <w:t xml:space="preserve"> of </w:t>
      </w:r>
      <w:proofErr w:type="spellStart"/>
      <w:r w:rsidRPr="002906A3">
        <w:t>verbal</w:t>
      </w:r>
      <w:proofErr w:type="spellEnd"/>
      <w:r w:rsidRPr="002906A3">
        <w:t xml:space="preserve"> </w:t>
      </w:r>
      <w:proofErr w:type="spellStart"/>
      <w:r w:rsidRPr="002906A3">
        <w:t>communication</w:t>
      </w:r>
      <w:proofErr w:type="spellEnd"/>
      <w:r w:rsidRPr="002906A3">
        <w:t xml:space="preserve">. </w:t>
      </w:r>
      <w:proofErr w:type="spellStart"/>
      <w:r w:rsidRPr="002906A3">
        <w:t>This</w:t>
      </w:r>
      <w:proofErr w:type="spellEnd"/>
      <w:r w:rsidRPr="002906A3">
        <w:t xml:space="preserve"> </w:t>
      </w:r>
      <w:proofErr w:type="spellStart"/>
      <w:r w:rsidRPr="002906A3">
        <w:t>aligns</w:t>
      </w:r>
      <w:proofErr w:type="spellEnd"/>
      <w:r w:rsidRPr="002906A3">
        <w:t xml:space="preserve"> </w:t>
      </w:r>
      <w:proofErr w:type="spellStart"/>
      <w:r w:rsidRPr="002906A3">
        <w:t>with</w:t>
      </w:r>
      <w:proofErr w:type="spellEnd"/>
      <w:r w:rsidRPr="002906A3">
        <w:t xml:space="preserve"> </w:t>
      </w:r>
      <w:proofErr w:type="spellStart"/>
      <w:r w:rsidRPr="002906A3">
        <w:t>Beckett’s</w:t>
      </w:r>
      <w:proofErr w:type="spellEnd"/>
      <w:r w:rsidRPr="002906A3">
        <w:t xml:space="preserve"> </w:t>
      </w:r>
      <w:proofErr w:type="spellStart"/>
      <w:r w:rsidRPr="002906A3">
        <w:t>broader</w:t>
      </w:r>
      <w:proofErr w:type="spellEnd"/>
      <w:r w:rsidRPr="002906A3">
        <w:t xml:space="preserve"> </w:t>
      </w:r>
      <w:proofErr w:type="spellStart"/>
      <w:r w:rsidRPr="002906A3">
        <w:t>existential</w:t>
      </w:r>
      <w:proofErr w:type="spellEnd"/>
      <w:r w:rsidRPr="002906A3">
        <w:t xml:space="preserve"> </w:t>
      </w:r>
      <w:proofErr w:type="spellStart"/>
      <w:r w:rsidRPr="002906A3">
        <w:t>perspective</w:t>
      </w:r>
      <w:proofErr w:type="spellEnd"/>
      <w:r w:rsidRPr="002906A3">
        <w:t xml:space="preserve">, </w:t>
      </w:r>
      <w:proofErr w:type="spellStart"/>
      <w:r w:rsidRPr="002906A3">
        <w:t>which</w:t>
      </w:r>
      <w:proofErr w:type="spellEnd"/>
      <w:r w:rsidRPr="002906A3">
        <w:t xml:space="preserve"> </w:t>
      </w:r>
      <w:proofErr w:type="spellStart"/>
      <w:r w:rsidRPr="002906A3">
        <w:t>suggests</w:t>
      </w:r>
      <w:proofErr w:type="spellEnd"/>
      <w:r w:rsidRPr="002906A3">
        <w:t xml:space="preserve"> </w:t>
      </w:r>
      <w:proofErr w:type="spellStart"/>
      <w:r w:rsidRPr="002906A3">
        <w:t>that</w:t>
      </w:r>
      <w:proofErr w:type="spellEnd"/>
      <w:r w:rsidRPr="002906A3">
        <w:t xml:space="preserve"> </w:t>
      </w:r>
      <w:proofErr w:type="spellStart"/>
      <w:r w:rsidRPr="002906A3">
        <w:t>human</w:t>
      </w:r>
      <w:proofErr w:type="spellEnd"/>
      <w:r w:rsidRPr="002906A3">
        <w:t xml:space="preserve"> </w:t>
      </w:r>
      <w:proofErr w:type="spellStart"/>
      <w:r w:rsidRPr="002906A3">
        <w:t>beings</w:t>
      </w:r>
      <w:proofErr w:type="spellEnd"/>
      <w:r w:rsidRPr="002906A3">
        <w:t xml:space="preserve"> </w:t>
      </w:r>
      <w:proofErr w:type="spellStart"/>
      <w:r w:rsidRPr="002906A3">
        <w:t>are</w:t>
      </w:r>
      <w:proofErr w:type="spellEnd"/>
      <w:r w:rsidRPr="002906A3">
        <w:t xml:space="preserve"> </w:t>
      </w:r>
      <w:proofErr w:type="spellStart"/>
      <w:r w:rsidRPr="002906A3">
        <w:t>ultimately</w:t>
      </w:r>
      <w:proofErr w:type="spellEnd"/>
      <w:r w:rsidRPr="002906A3">
        <w:t xml:space="preserve"> </w:t>
      </w:r>
      <w:proofErr w:type="spellStart"/>
      <w:r w:rsidRPr="002906A3">
        <w:t>incapable</w:t>
      </w:r>
      <w:proofErr w:type="spellEnd"/>
      <w:r w:rsidRPr="002906A3">
        <w:t xml:space="preserve"> of </w:t>
      </w:r>
      <w:proofErr w:type="spellStart"/>
      <w:r w:rsidRPr="002906A3">
        <w:t>fully</w:t>
      </w:r>
      <w:proofErr w:type="spellEnd"/>
      <w:r w:rsidRPr="002906A3">
        <w:t xml:space="preserve"> </w:t>
      </w:r>
      <w:proofErr w:type="spellStart"/>
      <w:r w:rsidRPr="002906A3">
        <w:t>comprehending</w:t>
      </w:r>
      <w:proofErr w:type="spellEnd"/>
      <w:r w:rsidRPr="002906A3">
        <w:t xml:space="preserve"> </w:t>
      </w:r>
      <w:proofErr w:type="spellStart"/>
      <w:r w:rsidRPr="002906A3">
        <w:t>or</w:t>
      </w:r>
      <w:proofErr w:type="spellEnd"/>
      <w:r w:rsidRPr="002906A3">
        <w:t xml:space="preserve"> </w:t>
      </w:r>
      <w:proofErr w:type="spellStart"/>
      <w:r w:rsidRPr="002906A3">
        <w:t>expressing</w:t>
      </w:r>
      <w:proofErr w:type="spellEnd"/>
      <w:r w:rsidRPr="002906A3">
        <w:t xml:space="preserve"> </w:t>
      </w:r>
      <w:proofErr w:type="spellStart"/>
      <w:r w:rsidRPr="002906A3">
        <w:t>their</w:t>
      </w:r>
      <w:proofErr w:type="spellEnd"/>
      <w:r w:rsidRPr="002906A3">
        <w:t xml:space="preserve"> </w:t>
      </w:r>
      <w:proofErr w:type="spellStart"/>
      <w:r w:rsidRPr="002906A3">
        <w:t>condition</w:t>
      </w:r>
      <w:proofErr w:type="spellEnd"/>
      <w:r w:rsidRPr="002906A3">
        <w:t>.</w:t>
      </w:r>
    </w:p>
    <w:p w14:paraId="5481EE44" w14:textId="77777777" w:rsidR="001E7189" w:rsidRPr="002906A3" w:rsidRDefault="001E7189" w:rsidP="00BA67A6">
      <w:pPr>
        <w:jc w:val="both"/>
      </w:pPr>
    </w:p>
    <w:p w14:paraId="179E8ABD" w14:textId="77777777" w:rsidR="001E7189" w:rsidRPr="002906A3" w:rsidRDefault="001E7189" w:rsidP="00BA67A6">
      <w:pPr>
        <w:jc w:val="both"/>
      </w:pPr>
      <w:r w:rsidRPr="002906A3">
        <w:lastRenderedPageBreak/>
        <w:t xml:space="preserve">Silence </w:t>
      </w:r>
      <w:proofErr w:type="spellStart"/>
      <w:r w:rsidRPr="002906A3">
        <w:t>also</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w:t>
      </w:r>
      <w:proofErr w:type="spellStart"/>
      <w:r w:rsidRPr="002906A3">
        <w:t>power</w:t>
      </w:r>
      <w:proofErr w:type="spellEnd"/>
      <w:r w:rsidRPr="002906A3">
        <w:t xml:space="preserve"> </w:t>
      </w:r>
      <w:proofErr w:type="spellStart"/>
      <w:r w:rsidRPr="002906A3">
        <w:t>dynamics</w:t>
      </w:r>
      <w:proofErr w:type="spellEnd"/>
      <w:r w:rsidRPr="002906A3">
        <w:t xml:space="preserve"> at </w:t>
      </w:r>
      <w:proofErr w:type="spellStart"/>
      <w:r w:rsidRPr="002906A3">
        <w:t>play</w:t>
      </w:r>
      <w:proofErr w:type="spellEnd"/>
      <w:r w:rsidRPr="002906A3">
        <w:t xml:space="preserve"> </w:t>
      </w:r>
      <w:proofErr w:type="spellStart"/>
      <w:r w:rsidRPr="002906A3">
        <w:t>within</w:t>
      </w:r>
      <w:proofErr w:type="spellEnd"/>
      <w:r w:rsidRPr="002906A3">
        <w:t xml:space="preserve"> </w:t>
      </w:r>
      <w:proofErr w:type="spellStart"/>
      <w:r w:rsidRPr="002906A3">
        <w:t>the</w:t>
      </w:r>
      <w:proofErr w:type="spellEnd"/>
      <w:r w:rsidRPr="002906A3">
        <w:t xml:space="preserve"> </w:t>
      </w:r>
      <w:proofErr w:type="spellStart"/>
      <w:r w:rsidRPr="002906A3">
        <w:t>narrative</w:t>
      </w:r>
      <w:proofErr w:type="spellEnd"/>
      <w:r w:rsidRPr="002906A3">
        <w:t xml:space="preserve">. </w:t>
      </w:r>
      <w:proofErr w:type="spellStart"/>
      <w:r w:rsidRPr="002906A3">
        <w:t>For</w:t>
      </w:r>
      <w:proofErr w:type="spellEnd"/>
      <w:r w:rsidRPr="002906A3">
        <w:t xml:space="preserve"> </w:t>
      </w:r>
      <w:proofErr w:type="spellStart"/>
      <w:r w:rsidRPr="002906A3">
        <w:t>instance</w:t>
      </w:r>
      <w:proofErr w:type="spellEnd"/>
      <w:r w:rsidRPr="002906A3">
        <w:t xml:space="preserve">, </w:t>
      </w:r>
      <w:proofErr w:type="spellStart"/>
      <w:r w:rsidRPr="002906A3">
        <w:t>the</w:t>
      </w:r>
      <w:proofErr w:type="spellEnd"/>
      <w:r w:rsidRPr="002906A3">
        <w:t xml:space="preserve"> silence </w:t>
      </w:r>
      <w:proofErr w:type="spellStart"/>
      <w:r w:rsidRPr="002906A3">
        <w:t>following</w:t>
      </w:r>
      <w:proofErr w:type="spellEnd"/>
      <w:r w:rsidRPr="002906A3">
        <w:t xml:space="preserve"> </w:t>
      </w:r>
      <w:proofErr w:type="spellStart"/>
      <w:r w:rsidRPr="002906A3">
        <w:t>Vladimir’s</w:t>
      </w:r>
      <w:proofErr w:type="spellEnd"/>
      <w:r w:rsidRPr="002906A3">
        <w:t xml:space="preserve"> </w:t>
      </w:r>
      <w:proofErr w:type="spellStart"/>
      <w:r w:rsidRPr="002906A3">
        <w:t>outburst</w:t>
      </w:r>
      <w:proofErr w:type="spellEnd"/>
      <w:r w:rsidRPr="002906A3">
        <w:t xml:space="preserve"> </w:t>
      </w:r>
      <w:proofErr w:type="spellStart"/>
      <w:r w:rsidRPr="002906A3">
        <w:t>about</w:t>
      </w:r>
      <w:proofErr w:type="spellEnd"/>
      <w:r w:rsidRPr="002906A3">
        <w:t xml:space="preserve"> </w:t>
      </w:r>
      <w:proofErr w:type="spellStart"/>
      <w:r w:rsidRPr="002906A3">
        <w:t>Lucky’s</w:t>
      </w:r>
      <w:proofErr w:type="spellEnd"/>
      <w:r w:rsidRPr="002906A3">
        <w:t xml:space="preserve"> </w:t>
      </w:r>
      <w:proofErr w:type="spellStart"/>
      <w:r w:rsidRPr="002906A3">
        <w:t>mistreatment</w:t>
      </w:r>
      <w:proofErr w:type="spellEnd"/>
      <w:r w:rsidRPr="002906A3">
        <w:t xml:space="preserve"> (Beckett, 1953, p. 29) </w:t>
      </w:r>
      <w:proofErr w:type="spellStart"/>
      <w:r w:rsidRPr="002906A3">
        <w:t>reveals</w:t>
      </w:r>
      <w:proofErr w:type="spellEnd"/>
      <w:r w:rsidRPr="002906A3">
        <w:t xml:space="preserve"> </w:t>
      </w:r>
      <w:proofErr w:type="spellStart"/>
      <w:r w:rsidRPr="002906A3">
        <w:t>the</w:t>
      </w:r>
      <w:proofErr w:type="spellEnd"/>
      <w:r w:rsidRPr="002906A3">
        <w:t xml:space="preserve"> </w:t>
      </w:r>
      <w:proofErr w:type="spellStart"/>
      <w:r w:rsidRPr="002906A3">
        <w:t>futility</w:t>
      </w:r>
      <w:proofErr w:type="spellEnd"/>
      <w:r w:rsidRPr="002906A3">
        <w:t xml:space="preserve"> of </w:t>
      </w:r>
      <w:proofErr w:type="spellStart"/>
      <w:r w:rsidRPr="002906A3">
        <w:t>outrage</w:t>
      </w:r>
      <w:proofErr w:type="spellEnd"/>
      <w:r w:rsidRPr="002906A3">
        <w:t xml:space="preserve"> in a </w:t>
      </w:r>
      <w:proofErr w:type="spellStart"/>
      <w:r w:rsidRPr="002906A3">
        <w:t>world</w:t>
      </w:r>
      <w:proofErr w:type="spellEnd"/>
      <w:r w:rsidRPr="002906A3">
        <w:t xml:space="preserve"> </w:t>
      </w:r>
      <w:proofErr w:type="spellStart"/>
      <w:r w:rsidRPr="002906A3">
        <w:t>where</w:t>
      </w:r>
      <w:proofErr w:type="spellEnd"/>
      <w:r w:rsidRPr="002906A3">
        <w:t xml:space="preserve"> </w:t>
      </w:r>
      <w:proofErr w:type="spellStart"/>
      <w:r w:rsidRPr="002906A3">
        <w:t>suffering</w:t>
      </w:r>
      <w:proofErr w:type="spellEnd"/>
      <w:r w:rsidRPr="002906A3">
        <w:t xml:space="preserve"> is </w:t>
      </w:r>
      <w:proofErr w:type="spellStart"/>
      <w:r w:rsidRPr="002906A3">
        <w:t>normalized</w:t>
      </w:r>
      <w:proofErr w:type="spellEnd"/>
      <w:r w:rsidRPr="002906A3">
        <w:t xml:space="preserve">. </w:t>
      </w:r>
      <w:proofErr w:type="spellStart"/>
      <w:r w:rsidRPr="002906A3">
        <w:t>Similarly</w:t>
      </w:r>
      <w:proofErr w:type="spellEnd"/>
      <w:r w:rsidRPr="002906A3">
        <w:t xml:space="preserve">, </w:t>
      </w:r>
      <w:proofErr w:type="spellStart"/>
      <w:r w:rsidRPr="002906A3">
        <w:t>the</w:t>
      </w:r>
      <w:proofErr w:type="spellEnd"/>
      <w:r w:rsidRPr="002906A3">
        <w:t xml:space="preserve"> silence </w:t>
      </w:r>
      <w:proofErr w:type="spellStart"/>
      <w:r w:rsidRPr="002906A3">
        <w:t>that</w:t>
      </w:r>
      <w:proofErr w:type="spellEnd"/>
      <w:r w:rsidRPr="002906A3">
        <w:t xml:space="preserve"> </w:t>
      </w:r>
      <w:proofErr w:type="spellStart"/>
      <w:r w:rsidRPr="002906A3">
        <w:t>follows</w:t>
      </w:r>
      <w:proofErr w:type="spellEnd"/>
      <w:r w:rsidRPr="002906A3">
        <w:t xml:space="preserve"> </w:t>
      </w:r>
      <w:proofErr w:type="spellStart"/>
      <w:r w:rsidRPr="002906A3">
        <w:t>the</w:t>
      </w:r>
      <w:proofErr w:type="spellEnd"/>
      <w:r w:rsidRPr="002906A3">
        <w:t xml:space="preserve"> </w:t>
      </w:r>
      <w:proofErr w:type="spellStart"/>
      <w:r w:rsidRPr="002906A3">
        <w:t>Boy’s</w:t>
      </w:r>
      <w:proofErr w:type="spellEnd"/>
      <w:r w:rsidRPr="002906A3">
        <w:t xml:space="preserve"> </w:t>
      </w:r>
      <w:proofErr w:type="spellStart"/>
      <w:r w:rsidRPr="002906A3">
        <w:t>revelation</w:t>
      </w:r>
      <w:proofErr w:type="spellEnd"/>
      <w:r w:rsidRPr="002906A3">
        <w:t xml:space="preserve"> </w:t>
      </w:r>
      <w:proofErr w:type="spellStart"/>
      <w:r w:rsidRPr="002906A3">
        <w:t>about</w:t>
      </w:r>
      <w:proofErr w:type="spellEnd"/>
      <w:r w:rsidRPr="002906A3">
        <w:t xml:space="preserve"> </w:t>
      </w:r>
      <w:proofErr w:type="spellStart"/>
      <w:r w:rsidRPr="002906A3">
        <w:t>Godot</w:t>
      </w:r>
      <w:proofErr w:type="spellEnd"/>
      <w:r w:rsidRPr="002906A3">
        <w:t xml:space="preserve"> </w:t>
      </w:r>
      <w:proofErr w:type="spellStart"/>
      <w:r w:rsidRPr="002906A3">
        <w:t>beating</w:t>
      </w:r>
      <w:proofErr w:type="spellEnd"/>
      <w:r w:rsidRPr="002906A3">
        <w:t xml:space="preserve"> his </w:t>
      </w:r>
      <w:proofErr w:type="spellStart"/>
      <w:r w:rsidRPr="002906A3">
        <w:t>brother</w:t>
      </w:r>
      <w:proofErr w:type="spellEnd"/>
      <w:r w:rsidRPr="002906A3">
        <w:t xml:space="preserve"> (Beckett, 1953, p. 52) </w:t>
      </w:r>
      <w:proofErr w:type="spellStart"/>
      <w:r w:rsidRPr="002906A3">
        <w:t>highlights</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passive</w:t>
      </w:r>
      <w:proofErr w:type="spellEnd"/>
      <w:r w:rsidRPr="002906A3">
        <w:t xml:space="preserve"> </w:t>
      </w:r>
      <w:proofErr w:type="spellStart"/>
      <w:r w:rsidRPr="002906A3">
        <w:t>acceptance</w:t>
      </w:r>
      <w:proofErr w:type="spellEnd"/>
      <w:r w:rsidRPr="002906A3">
        <w:t xml:space="preserve"> of </w:t>
      </w:r>
      <w:proofErr w:type="spellStart"/>
      <w:r w:rsidRPr="002906A3">
        <w:t>cruelty</w:t>
      </w:r>
      <w:proofErr w:type="spellEnd"/>
      <w:r w:rsidRPr="002906A3">
        <w:t xml:space="preserve"> </w:t>
      </w:r>
      <w:proofErr w:type="spellStart"/>
      <w:r w:rsidRPr="002906A3">
        <w:t>and</w:t>
      </w:r>
      <w:proofErr w:type="spellEnd"/>
      <w:r w:rsidRPr="002906A3">
        <w:t xml:space="preserve"> </w:t>
      </w:r>
      <w:proofErr w:type="spellStart"/>
      <w:r w:rsidRPr="002906A3">
        <w:t>injustice</w:t>
      </w:r>
      <w:proofErr w:type="spellEnd"/>
      <w:r w:rsidRPr="002906A3">
        <w:t xml:space="preserve">. </w:t>
      </w:r>
      <w:proofErr w:type="spellStart"/>
      <w:r w:rsidRPr="002906A3">
        <w:t>These</w:t>
      </w:r>
      <w:proofErr w:type="spellEnd"/>
      <w:r w:rsidRPr="002906A3">
        <w:t xml:space="preserve"> </w:t>
      </w:r>
      <w:proofErr w:type="spellStart"/>
      <w:r w:rsidRPr="002906A3">
        <w:t>moments</w:t>
      </w:r>
      <w:proofErr w:type="spellEnd"/>
      <w:r w:rsidRPr="002906A3">
        <w:t xml:space="preserve"> </w:t>
      </w:r>
      <w:proofErr w:type="spellStart"/>
      <w:r w:rsidRPr="002906A3">
        <w:t>illustrate</w:t>
      </w:r>
      <w:proofErr w:type="spellEnd"/>
      <w:r w:rsidRPr="002906A3">
        <w:t xml:space="preserve"> how silence can </w:t>
      </w:r>
      <w:proofErr w:type="spellStart"/>
      <w:r w:rsidRPr="002906A3">
        <w:t>reflect</w:t>
      </w:r>
      <w:proofErr w:type="spellEnd"/>
      <w:r w:rsidRPr="002906A3">
        <w:t xml:space="preserve"> </w:t>
      </w:r>
      <w:proofErr w:type="spellStart"/>
      <w:r w:rsidRPr="002906A3">
        <w:t>submission</w:t>
      </w:r>
      <w:proofErr w:type="spellEnd"/>
      <w:r w:rsidRPr="002906A3">
        <w:t xml:space="preserve">, </w:t>
      </w:r>
      <w:proofErr w:type="spellStart"/>
      <w:r w:rsidRPr="002906A3">
        <w:t>hesitation</w:t>
      </w:r>
      <w:proofErr w:type="spellEnd"/>
      <w:r w:rsidRPr="002906A3">
        <w:t xml:space="preserve">, </w:t>
      </w:r>
      <w:proofErr w:type="spellStart"/>
      <w:r w:rsidRPr="002906A3">
        <w:t>or</w:t>
      </w:r>
      <w:proofErr w:type="spellEnd"/>
      <w:r w:rsidRPr="002906A3">
        <w:t xml:space="preserve"> </w:t>
      </w:r>
      <w:proofErr w:type="spellStart"/>
      <w:r w:rsidRPr="002906A3">
        <w:t>unspoken</w:t>
      </w:r>
      <w:proofErr w:type="spellEnd"/>
      <w:r w:rsidRPr="002906A3">
        <w:t xml:space="preserve"> </w:t>
      </w:r>
      <w:proofErr w:type="spellStart"/>
      <w:r w:rsidRPr="002906A3">
        <w:t>complicity</w:t>
      </w:r>
      <w:proofErr w:type="spellEnd"/>
      <w:r w:rsidRPr="002906A3">
        <w:t xml:space="preserve">, </w:t>
      </w:r>
      <w:proofErr w:type="spellStart"/>
      <w:r w:rsidRPr="002906A3">
        <w:t>reinforcing</w:t>
      </w:r>
      <w:proofErr w:type="spellEnd"/>
      <w:r w:rsidRPr="002906A3">
        <w:t xml:space="preserve"> </w:t>
      </w:r>
      <w:proofErr w:type="spellStart"/>
      <w:r w:rsidRPr="002906A3">
        <w:t>the</w:t>
      </w:r>
      <w:proofErr w:type="spellEnd"/>
      <w:r w:rsidRPr="002906A3">
        <w:t xml:space="preserve"> </w:t>
      </w:r>
      <w:proofErr w:type="spellStart"/>
      <w:r w:rsidRPr="002906A3">
        <w:t>existential</w:t>
      </w:r>
      <w:proofErr w:type="spellEnd"/>
      <w:r w:rsidRPr="002906A3">
        <w:t xml:space="preserve"> </w:t>
      </w:r>
      <w:proofErr w:type="spellStart"/>
      <w:r w:rsidRPr="002906A3">
        <w:t>themes</w:t>
      </w:r>
      <w:proofErr w:type="spellEnd"/>
      <w:r w:rsidRPr="002906A3">
        <w:t xml:space="preserve"> of </w:t>
      </w:r>
      <w:proofErr w:type="spellStart"/>
      <w:r w:rsidRPr="002906A3">
        <w:t>powerlessness</w:t>
      </w:r>
      <w:proofErr w:type="spellEnd"/>
      <w:r w:rsidRPr="002906A3">
        <w:t xml:space="preserve"> </w:t>
      </w:r>
      <w:proofErr w:type="spellStart"/>
      <w:r w:rsidRPr="002906A3">
        <w:t>and</w:t>
      </w:r>
      <w:proofErr w:type="spellEnd"/>
      <w:r w:rsidRPr="002906A3">
        <w:t xml:space="preserve"> </w:t>
      </w:r>
      <w:proofErr w:type="spellStart"/>
      <w:r w:rsidRPr="002906A3">
        <w:t>resignation</w:t>
      </w:r>
      <w:proofErr w:type="spellEnd"/>
      <w:r w:rsidRPr="002906A3">
        <w:t>.</w:t>
      </w:r>
    </w:p>
    <w:p w14:paraId="383D200B" w14:textId="77777777" w:rsidR="001E7189" w:rsidRPr="002906A3" w:rsidRDefault="001E7189" w:rsidP="00BA67A6">
      <w:pPr>
        <w:jc w:val="both"/>
      </w:pPr>
    </w:p>
    <w:p w14:paraId="1C03265B" w14:textId="77777777" w:rsidR="001E7189" w:rsidRPr="002906A3" w:rsidRDefault="001E7189" w:rsidP="00BA67A6">
      <w:pPr>
        <w:jc w:val="both"/>
      </w:pPr>
      <w:proofErr w:type="spellStart"/>
      <w:r w:rsidRPr="002906A3">
        <w:t>Moreover</w:t>
      </w:r>
      <w:proofErr w:type="spellEnd"/>
      <w:r w:rsidRPr="002906A3">
        <w:t xml:space="preserve">, silence </w:t>
      </w:r>
      <w:proofErr w:type="spellStart"/>
      <w:r w:rsidRPr="002906A3">
        <w:t>serves</w:t>
      </w:r>
      <w:proofErr w:type="spellEnd"/>
      <w:r w:rsidRPr="002906A3">
        <w:t xml:space="preserve"> </w:t>
      </w:r>
      <w:proofErr w:type="spellStart"/>
      <w:r w:rsidRPr="002906A3">
        <w:t>to</w:t>
      </w:r>
      <w:proofErr w:type="spellEnd"/>
      <w:r w:rsidRPr="002906A3">
        <w:t xml:space="preserve"> </w:t>
      </w:r>
      <w:proofErr w:type="spellStart"/>
      <w:r w:rsidRPr="002906A3">
        <w:t>heighten</w:t>
      </w:r>
      <w:proofErr w:type="spellEnd"/>
      <w:r w:rsidRPr="002906A3">
        <w:t xml:space="preserve"> </w:t>
      </w:r>
      <w:proofErr w:type="spellStart"/>
      <w:r w:rsidRPr="002906A3">
        <w:t>the</w:t>
      </w:r>
      <w:proofErr w:type="spellEnd"/>
      <w:r w:rsidRPr="002906A3">
        <w:t xml:space="preserve"> </w:t>
      </w:r>
      <w:proofErr w:type="spellStart"/>
      <w:r w:rsidRPr="002906A3">
        <w:t>tension</w:t>
      </w:r>
      <w:proofErr w:type="spellEnd"/>
      <w:r w:rsidRPr="002906A3">
        <w:t xml:space="preserve"> of </w:t>
      </w:r>
      <w:proofErr w:type="spellStart"/>
      <w:r w:rsidRPr="002906A3">
        <w:t>waiting</w:t>
      </w:r>
      <w:proofErr w:type="spellEnd"/>
      <w:r w:rsidRPr="002906A3">
        <w:t xml:space="preserve">, an </w:t>
      </w:r>
      <w:proofErr w:type="spellStart"/>
      <w:r w:rsidRPr="002906A3">
        <w:t>act</w:t>
      </w:r>
      <w:proofErr w:type="spellEnd"/>
      <w:r w:rsidRPr="002906A3">
        <w:t xml:space="preserve"> </w:t>
      </w:r>
      <w:proofErr w:type="spellStart"/>
      <w:r w:rsidRPr="002906A3">
        <w:t>that</w:t>
      </w:r>
      <w:proofErr w:type="spellEnd"/>
      <w:r w:rsidRPr="002906A3">
        <w:t xml:space="preserve"> </w:t>
      </w:r>
      <w:proofErr w:type="spellStart"/>
      <w:r w:rsidRPr="002906A3">
        <w:t>defines</w:t>
      </w:r>
      <w:proofErr w:type="spellEnd"/>
      <w:r w:rsidRPr="002906A3">
        <w:t xml:space="preserve"> </w:t>
      </w:r>
      <w:proofErr w:type="spellStart"/>
      <w:r w:rsidRPr="002906A3">
        <w:t>the</w:t>
      </w:r>
      <w:proofErr w:type="spellEnd"/>
      <w:r w:rsidRPr="002906A3">
        <w:t xml:space="preserve"> </w:t>
      </w:r>
      <w:proofErr w:type="spellStart"/>
      <w:r w:rsidRPr="002906A3">
        <w:t>very</w:t>
      </w:r>
      <w:proofErr w:type="spellEnd"/>
      <w:r w:rsidRPr="002906A3">
        <w:t xml:space="preserve"> </w:t>
      </w:r>
      <w:proofErr w:type="spellStart"/>
      <w:r w:rsidRPr="002906A3">
        <w:t>structure</w:t>
      </w:r>
      <w:proofErr w:type="spellEnd"/>
      <w:r w:rsidRPr="002906A3">
        <w:t xml:space="preserve"> of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The</w:t>
      </w:r>
      <w:proofErr w:type="spellEnd"/>
      <w:r w:rsidRPr="002906A3">
        <w:t xml:space="preserve"> </w:t>
      </w:r>
      <w:proofErr w:type="spellStart"/>
      <w:r w:rsidRPr="002906A3">
        <w:t>prolonged</w:t>
      </w:r>
      <w:proofErr w:type="spellEnd"/>
      <w:r w:rsidRPr="002906A3">
        <w:t xml:space="preserve"> </w:t>
      </w:r>
      <w:proofErr w:type="spellStart"/>
      <w:r w:rsidRPr="002906A3">
        <w:t>silences</w:t>
      </w:r>
      <w:proofErr w:type="spellEnd"/>
      <w:r w:rsidRPr="002906A3">
        <w:t xml:space="preserve"> </w:t>
      </w:r>
      <w:proofErr w:type="spellStart"/>
      <w:r w:rsidRPr="002906A3">
        <w:t>that</w:t>
      </w:r>
      <w:proofErr w:type="spellEnd"/>
      <w:r w:rsidRPr="002906A3">
        <w:t xml:space="preserve"> </w:t>
      </w:r>
      <w:proofErr w:type="spellStart"/>
      <w:r w:rsidRPr="002906A3">
        <w:t>punctuate</w:t>
      </w:r>
      <w:proofErr w:type="spellEnd"/>
      <w:r w:rsidRPr="002906A3">
        <w:t xml:space="preserve"> Vladimir </w:t>
      </w:r>
      <w:proofErr w:type="spellStart"/>
      <w:r w:rsidRPr="002906A3">
        <w:t>and</w:t>
      </w:r>
      <w:proofErr w:type="spellEnd"/>
      <w:r w:rsidRPr="002906A3">
        <w:t xml:space="preserve"> </w:t>
      </w:r>
      <w:proofErr w:type="spellStart"/>
      <w:r w:rsidRPr="002906A3">
        <w:t>Estragon’s</w:t>
      </w:r>
      <w:proofErr w:type="spellEnd"/>
      <w:r w:rsidRPr="002906A3">
        <w:t xml:space="preserve"> </w:t>
      </w:r>
      <w:proofErr w:type="spellStart"/>
      <w:r w:rsidRPr="002906A3">
        <w:t>vigil</w:t>
      </w:r>
      <w:proofErr w:type="spellEnd"/>
      <w:r w:rsidRPr="002906A3">
        <w:t xml:space="preserve"> </w:t>
      </w:r>
      <w:proofErr w:type="spellStart"/>
      <w:r w:rsidRPr="002906A3">
        <w:t>emphasize</w:t>
      </w:r>
      <w:proofErr w:type="spellEnd"/>
      <w:r w:rsidRPr="002906A3">
        <w:t xml:space="preserve"> </w:t>
      </w:r>
      <w:proofErr w:type="spellStart"/>
      <w:r w:rsidRPr="002906A3">
        <w:t>the</w:t>
      </w:r>
      <w:proofErr w:type="spellEnd"/>
      <w:r w:rsidRPr="002906A3">
        <w:t xml:space="preserve"> </w:t>
      </w:r>
      <w:proofErr w:type="spellStart"/>
      <w:r w:rsidRPr="002906A3">
        <w:t>monotony</w:t>
      </w:r>
      <w:proofErr w:type="spellEnd"/>
      <w:r w:rsidRPr="002906A3">
        <w:t xml:space="preserve"> of </w:t>
      </w:r>
      <w:proofErr w:type="spellStart"/>
      <w:r w:rsidRPr="002906A3">
        <w:t>their</w:t>
      </w:r>
      <w:proofErr w:type="spellEnd"/>
      <w:r w:rsidRPr="002906A3">
        <w:t xml:space="preserve"> </w:t>
      </w:r>
      <w:proofErr w:type="spellStart"/>
      <w:r w:rsidRPr="002906A3">
        <w:t>existence</w:t>
      </w:r>
      <w:proofErr w:type="spellEnd"/>
      <w:r w:rsidRPr="002906A3">
        <w:t xml:space="preserve">, </w:t>
      </w:r>
      <w:proofErr w:type="spellStart"/>
      <w:r w:rsidRPr="002906A3">
        <w:t>drawing</w:t>
      </w:r>
      <w:proofErr w:type="spellEnd"/>
      <w:r w:rsidRPr="002906A3">
        <w:t xml:space="preserve"> </w:t>
      </w:r>
      <w:proofErr w:type="spellStart"/>
      <w:r w:rsidRPr="002906A3">
        <w:t>attention</w:t>
      </w:r>
      <w:proofErr w:type="spellEnd"/>
      <w:r w:rsidRPr="002906A3">
        <w:t xml:space="preserve"> </w:t>
      </w:r>
      <w:proofErr w:type="spellStart"/>
      <w:r w:rsidRPr="002906A3">
        <w:t>to</w:t>
      </w:r>
      <w:proofErr w:type="spellEnd"/>
      <w:r w:rsidRPr="002906A3">
        <w:t xml:space="preserve"> </w:t>
      </w:r>
      <w:proofErr w:type="spellStart"/>
      <w:r w:rsidRPr="002906A3">
        <w:t>their</w:t>
      </w:r>
      <w:proofErr w:type="spellEnd"/>
      <w:r w:rsidRPr="002906A3">
        <w:t xml:space="preserve"> </w:t>
      </w:r>
      <w:proofErr w:type="spellStart"/>
      <w:r w:rsidRPr="002906A3">
        <w:t>stagnant</w:t>
      </w:r>
      <w:proofErr w:type="spellEnd"/>
      <w:r w:rsidRPr="002906A3">
        <w:t xml:space="preserve"> </w:t>
      </w:r>
      <w:proofErr w:type="spellStart"/>
      <w:r w:rsidRPr="002906A3">
        <w:t>condition</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sound</w:t>
      </w:r>
      <w:proofErr w:type="spellEnd"/>
      <w:r w:rsidRPr="002906A3">
        <w:t xml:space="preserve"> </w:t>
      </w:r>
      <w:proofErr w:type="spellStart"/>
      <w:r w:rsidRPr="002906A3">
        <w:t>during</w:t>
      </w:r>
      <w:proofErr w:type="spellEnd"/>
      <w:r w:rsidRPr="002906A3">
        <w:t xml:space="preserve"> </w:t>
      </w:r>
      <w:proofErr w:type="spellStart"/>
      <w:r w:rsidRPr="002906A3">
        <w:t>these</w:t>
      </w:r>
      <w:proofErr w:type="spellEnd"/>
      <w:r w:rsidRPr="002906A3">
        <w:t xml:space="preserve"> </w:t>
      </w:r>
      <w:proofErr w:type="spellStart"/>
      <w:r w:rsidRPr="002906A3">
        <w:t>pauses</w:t>
      </w:r>
      <w:proofErr w:type="spellEnd"/>
      <w:r w:rsidRPr="002906A3">
        <w:t xml:space="preserve"> </w:t>
      </w:r>
      <w:proofErr w:type="spellStart"/>
      <w:r w:rsidRPr="002906A3">
        <w:t>creates</w:t>
      </w:r>
      <w:proofErr w:type="spellEnd"/>
      <w:r w:rsidRPr="002906A3">
        <w:t xml:space="preserve"> an </w:t>
      </w:r>
      <w:proofErr w:type="spellStart"/>
      <w:r w:rsidRPr="002906A3">
        <w:t>atmosphere</w:t>
      </w:r>
      <w:proofErr w:type="spellEnd"/>
      <w:r w:rsidRPr="002906A3">
        <w:t xml:space="preserve"> of </w:t>
      </w:r>
      <w:proofErr w:type="spellStart"/>
      <w:r w:rsidRPr="002906A3">
        <w:t>unease</w:t>
      </w:r>
      <w:proofErr w:type="spellEnd"/>
      <w:r w:rsidRPr="002906A3">
        <w:t xml:space="preserve">, </w:t>
      </w:r>
      <w:proofErr w:type="spellStart"/>
      <w:r w:rsidRPr="002906A3">
        <w:t>forcing</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experience</w:t>
      </w:r>
      <w:proofErr w:type="spellEnd"/>
      <w:r w:rsidRPr="002906A3">
        <w:t xml:space="preserve"> </w:t>
      </w:r>
      <w:proofErr w:type="spellStart"/>
      <w:r w:rsidRPr="002906A3">
        <w:t>the</w:t>
      </w:r>
      <w:proofErr w:type="spellEnd"/>
      <w:r w:rsidRPr="002906A3">
        <w:t xml:space="preserve"> </w:t>
      </w:r>
      <w:proofErr w:type="spellStart"/>
      <w:r w:rsidRPr="002906A3">
        <w:t>oppressive</w:t>
      </w:r>
      <w:proofErr w:type="spellEnd"/>
      <w:r w:rsidRPr="002906A3">
        <w:t xml:space="preserve"> </w:t>
      </w:r>
      <w:proofErr w:type="spellStart"/>
      <w:r w:rsidRPr="002906A3">
        <w:t>weight</w:t>
      </w:r>
      <w:proofErr w:type="spellEnd"/>
      <w:r w:rsidRPr="002906A3">
        <w:t xml:space="preserve"> of time </w:t>
      </w:r>
      <w:proofErr w:type="spellStart"/>
      <w:r w:rsidRPr="002906A3">
        <w:t>alongside</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In</w:t>
      </w:r>
      <w:proofErr w:type="spellEnd"/>
      <w:r w:rsidRPr="002906A3">
        <w:t xml:space="preserve"> </w:t>
      </w:r>
      <w:proofErr w:type="spellStart"/>
      <w:r w:rsidRPr="002906A3">
        <w:t>doing</w:t>
      </w:r>
      <w:proofErr w:type="spellEnd"/>
      <w:r w:rsidRPr="002906A3">
        <w:t xml:space="preserve"> </w:t>
      </w:r>
      <w:proofErr w:type="spellStart"/>
      <w:r w:rsidRPr="002906A3">
        <w:t>so</w:t>
      </w:r>
      <w:proofErr w:type="spellEnd"/>
      <w:r w:rsidRPr="002906A3">
        <w:t xml:space="preserve">, Beckett </w:t>
      </w:r>
      <w:proofErr w:type="spellStart"/>
      <w:r w:rsidRPr="002906A3">
        <w:t>transforms</w:t>
      </w:r>
      <w:proofErr w:type="spellEnd"/>
      <w:r w:rsidRPr="002906A3">
        <w:t xml:space="preserve"> silence </w:t>
      </w:r>
      <w:proofErr w:type="spellStart"/>
      <w:r w:rsidRPr="002906A3">
        <w:t>into</w:t>
      </w:r>
      <w:proofErr w:type="spellEnd"/>
      <w:r w:rsidRPr="002906A3">
        <w:t xml:space="preserve"> an </w:t>
      </w:r>
      <w:proofErr w:type="spellStart"/>
      <w:r w:rsidRPr="002906A3">
        <w:t>active</w:t>
      </w:r>
      <w:proofErr w:type="spellEnd"/>
      <w:r w:rsidRPr="002906A3">
        <w:t xml:space="preserve"> presence </w:t>
      </w:r>
      <w:proofErr w:type="spellStart"/>
      <w:r w:rsidRPr="002906A3">
        <w:t>within</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w:t>
      </w:r>
      <w:proofErr w:type="spellStart"/>
      <w:r w:rsidRPr="002906A3">
        <w:t>one</w:t>
      </w:r>
      <w:proofErr w:type="spellEnd"/>
      <w:r w:rsidRPr="002906A3">
        <w:t xml:space="preserve"> </w:t>
      </w:r>
      <w:proofErr w:type="spellStart"/>
      <w:r w:rsidRPr="002906A3">
        <w:t>that</w:t>
      </w:r>
      <w:proofErr w:type="spellEnd"/>
      <w:r w:rsidRPr="002906A3">
        <w:t xml:space="preserve"> </w:t>
      </w:r>
      <w:proofErr w:type="spellStart"/>
      <w:r w:rsidRPr="002906A3">
        <w:t>shapes</w:t>
      </w:r>
      <w:proofErr w:type="spellEnd"/>
      <w:r w:rsidRPr="002906A3">
        <w:t xml:space="preserve"> </w:t>
      </w:r>
      <w:proofErr w:type="spellStart"/>
      <w:r w:rsidRPr="002906A3">
        <w:t>the</w:t>
      </w:r>
      <w:proofErr w:type="spellEnd"/>
      <w:r w:rsidRPr="002906A3">
        <w:t xml:space="preserve"> </w:t>
      </w:r>
      <w:proofErr w:type="spellStart"/>
      <w:r w:rsidRPr="002906A3">
        <w:t>rhythm</w:t>
      </w:r>
      <w:proofErr w:type="spellEnd"/>
      <w:r w:rsidRPr="002906A3">
        <w:t xml:space="preserve">, </w:t>
      </w:r>
      <w:proofErr w:type="spellStart"/>
      <w:r w:rsidRPr="002906A3">
        <w:t>tone</w:t>
      </w:r>
      <w:proofErr w:type="spellEnd"/>
      <w:r w:rsidRPr="002906A3">
        <w:t xml:space="preserve">, </w:t>
      </w:r>
      <w:proofErr w:type="spellStart"/>
      <w:r w:rsidRPr="002906A3">
        <w:t>and</w:t>
      </w:r>
      <w:proofErr w:type="spellEnd"/>
      <w:r w:rsidRPr="002906A3">
        <w:t xml:space="preserve"> </w:t>
      </w:r>
      <w:proofErr w:type="spellStart"/>
      <w:r w:rsidRPr="002906A3">
        <w:t>emotional</w:t>
      </w:r>
      <w:proofErr w:type="spellEnd"/>
      <w:r w:rsidRPr="002906A3">
        <w:t xml:space="preserve"> </w:t>
      </w:r>
      <w:proofErr w:type="spellStart"/>
      <w:r w:rsidRPr="002906A3">
        <w:t>impact</w:t>
      </w:r>
      <w:proofErr w:type="spellEnd"/>
      <w:r w:rsidRPr="002906A3">
        <w:t xml:space="preserve"> of </w:t>
      </w:r>
      <w:proofErr w:type="spellStart"/>
      <w:r w:rsidRPr="002906A3">
        <w:t>the</w:t>
      </w:r>
      <w:proofErr w:type="spellEnd"/>
      <w:r w:rsidRPr="002906A3">
        <w:t xml:space="preserve"> </w:t>
      </w:r>
      <w:proofErr w:type="spellStart"/>
      <w:r w:rsidRPr="002906A3">
        <w:t>narrative</w:t>
      </w:r>
      <w:proofErr w:type="spellEnd"/>
      <w:r w:rsidRPr="002906A3">
        <w:t>.</w:t>
      </w:r>
    </w:p>
    <w:p w14:paraId="3FE33B2A" w14:textId="77777777" w:rsidR="001E7189" w:rsidRPr="002906A3" w:rsidRDefault="001E7189" w:rsidP="00BA67A6">
      <w:pPr>
        <w:jc w:val="both"/>
      </w:pPr>
    </w:p>
    <w:p w14:paraId="0B618663" w14:textId="77777777" w:rsidR="001E7189" w:rsidRPr="002906A3" w:rsidRDefault="001E7189" w:rsidP="00BA67A6">
      <w:pPr>
        <w:jc w:val="both"/>
      </w:pPr>
      <w:r w:rsidRPr="002906A3">
        <w:t xml:space="preserve">Silence </w:t>
      </w:r>
      <w:proofErr w:type="spellStart"/>
      <w:r w:rsidRPr="002906A3">
        <w:t>also</w:t>
      </w:r>
      <w:proofErr w:type="spellEnd"/>
      <w:r w:rsidRPr="002906A3">
        <w:t xml:space="preserve"> </w:t>
      </w:r>
      <w:proofErr w:type="spellStart"/>
      <w:r w:rsidRPr="002906A3">
        <w:t>plays</w:t>
      </w:r>
      <w:proofErr w:type="spellEnd"/>
      <w:r w:rsidRPr="002906A3">
        <w:t xml:space="preserve"> a </w:t>
      </w:r>
      <w:proofErr w:type="spellStart"/>
      <w:r w:rsidRPr="002906A3">
        <w:t>crucial</w:t>
      </w:r>
      <w:proofErr w:type="spellEnd"/>
      <w:r w:rsidRPr="002906A3">
        <w:t xml:space="preserve"> role in </w:t>
      </w:r>
      <w:proofErr w:type="spellStart"/>
      <w:r w:rsidRPr="002906A3">
        <w:t>character</w:t>
      </w:r>
      <w:proofErr w:type="spellEnd"/>
      <w:r w:rsidRPr="002906A3">
        <w:t xml:space="preserve"> </w:t>
      </w:r>
      <w:proofErr w:type="spellStart"/>
      <w:r w:rsidRPr="002906A3">
        <w:t>development</w:t>
      </w:r>
      <w:proofErr w:type="spellEnd"/>
      <w:r w:rsidRPr="002906A3">
        <w:t xml:space="preserve">, </w:t>
      </w:r>
      <w:proofErr w:type="spellStart"/>
      <w:r w:rsidRPr="002906A3">
        <w:t>revealing</w:t>
      </w:r>
      <w:proofErr w:type="spellEnd"/>
      <w:r w:rsidRPr="002906A3">
        <w:t xml:space="preserve"> </w:t>
      </w:r>
      <w:proofErr w:type="spellStart"/>
      <w:r w:rsidRPr="002906A3">
        <w:t>the</w:t>
      </w:r>
      <w:proofErr w:type="spellEnd"/>
      <w:r w:rsidRPr="002906A3">
        <w:t xml:space="preserve"> </w:t>
      </w:r>
      <w:proofErr w:type="spellStart"/>
      <w:r w:rsidRPr="002906A3">
        <w:t>inner</w:t>
      </w:r>
      <w:proofErr w:type="spellEnd"/>
      <w:r w:rsidRPr="002906A3">
        <w:t xml:space="preserve"> </w:t>
      </w:r>
      <w:proofErr w:type="spellStart"/>
      <w:r w:rsidRPr="002906A3">
        <w:t>turmoil</w:t>
      </w:r>
      <w:proofErr w:type="spellEnd"/>
      <w:r w:rsidRPr="002906A3">
        <w:t xml:space="preserve"> of Vladimir </w:t>
      </w:r>
      <w:proofErr w:type="spellStart"/>
      <w:r w:rsidRPr="002906A3">
        <w:t>and</w:t>
      </w:r>
      <w:proofErr w:type="spellEnd"/>
      <w:r w:rsidRPr="002906A3">
        <w:t xml:space="preserve"> </w:t>
      </w:r>
      <w:proofErr w:type="spellStart"/>
      <w:r w:rsidRPr="002906A3">
        <w:t>Estragon</w:t>
      </w:r>
      <w:proofErr w:type="spellEnd"/>
      <w:r w:rsidRPr="002906A3">
        <w:t xml:space="preserve">. </w:t>
      </w:r>
      <w:proofErr w:type="spellStart"/>
      <w:r w:rsidRPr="002906A3">
        <w:t>Their</w:t>
      </w:r>
      <w:proofErr w:type="spellEnd"/>
      <w:r w:rsidRPr="002906A3">
        <w:t xml:space="preserve">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sustain</w:t>
      </w:r>
      <w:proofErr w:type="spellEnd"/>
      <w:r w:rsidRPr="002906A3">
        <w:t xml:space="preserve"> </w:t>
      </w:r>
      <w:proofErr w:type="spellStart"/>
      <w:r w:rsidRPr="002906A3">
        <w:t>meaningful</w:t>
      </w:r>
      <w:proofErr w:type="spellEnd"/>
      <w:r w:rsidRPr="002906A3">
        <w:t xml:space="preserve"> </w:t>
      </w:r>
      <w:proofErr w:type="spellStart"/>
      <w:r w:rsidRPr="002906A3">
        <w:t>dialogue</w:t>
      </w:r>
      <w:proofErr w:type="spellEnd"/>
      <w:r w:rsidRPr="002906A3">
        <w:t xml:space="preserve"> </w:t>
      </w:r>
      <w:proofErr w:type="spellStart"/>
      <w:r w:rsidRPr="002906A3">
        <w:t>often</w:t>
      </w:r>
      <w:proofErr w:type="spellEnd"/>
      <w:r w:rsidRPr="002906A3">
        <w:t xml:space="preserve"> </w:t>
      </w:r>
      <w:proofErr w:type="spellStart"/>
      <w:r w:rsidRPr="002906A3">
        <w:t>results</w:t>
      </w:r>
      <w:proofErr w:type="spellEnd"/>
      <w:r w:rsidRPr="002906A3">
        <w:t xml:space="preserve"> in </w:t>
      </w:r>
      <w:proofErr w:type="spellStart"/>
      <w:r w:rsidRPr="002906A3">
        <w:t>long</w:t>
      </w:r>
      <w:proofErr w:type="spellEnd"/>
      <w:r w:rsidRPr="002906A3">
        <w:t xml:space="preserve"> </w:t>
      </w:r>
      <w:proofErr w:type="spellStart"/>
      <w:r w:rsidRPr="002906A3">
        <w:t>pauses</w:t>
      </w:r>
      <w:proofErr w:type="spellEnd"/>
      <w:r w:rsidRPr="002906A3">
        <w:t xml:space="preserve">, </w:t>
      </w:r>
      <w:proofErr w:type="spellStart"/>
      <w:r w:rsidRPr="002906A3">
        <w:t>during</w:t>
      </w:r>
      <w:proofErr w:type="spellEnd"/>
      <w:r w:rsidRPr="002906A3">
        <w:t xml:space="preserve"> </w:t>
      </w:r>
      <w:proofErr w:type="spellStart"/>
      <w:r w:rsidRPr="002906A3">
        <w:t>which</w:t>
      </w:r>
      <w:proofErr w:type="spellEnd"/>
      <w:r w:rsidRPr="002906A3">
        <w:t xml:space="preserve"> </w:t>
      </w:r>
      <w:proofErr w:type="spellStart"/>
      <w:r w:rsidRPr="002906A3">
        <w:t>their</w:t>
      </w:r>
      <w:proofErr w:type="spellEnd"/>
      <w:r w:rsidRPr="002906A3">
        <w:t xml:space="preserve"> body </w:t>
      </w:r>
      <w:proofErr w:type="spellStart"/>
      <w:r w:rsidRPr="002906A3">
        <w:t>language</w:t>
      </w:r>
      <w:proofErr w:type="spellEnd"/>
      <w:r w:rsidRPr="002906A3">
        <w:t xml:space="preserve"> </w:t>
      </w:r>
      <w:proofErr w:type="spellStart"/>
      <w:r w:rsidRPr="002906A3">
        <w:t>and</w:t>
      </w:r>
      <w:proofErr w:type="spellEnd"/>
      <w:r w:rsidRPr="002906A3">
        <w:t xml:space="preserve"> </w:t>
      </w:r>
      <w:proofErr w:type="spellStart"/>
      <w:r w:rsidRPr="002906A3">
        <w:t>expressions</w:t>
      </w:r>
      <w:proofErr w:type="spellEnd"/>
      <w:r w:rsidRPr="002906A3">
        <w:t xml:space="preserve"> </w:t>
      </w:r>
      <w:proofErr w:type="spellStart"/>
      <w:r w:rsidRPr="002906A3">
        <w:t>communicate</w:t>
      </w:r>
      <w:proofErr w:type="spellEnd"/>
      <w:r w:rsidRPr="002906A3">
        <w:t xml:space="preserve"> </w:t>
      </w:r>
      <w:proofErr w:type="spellStart"/>
      <w:r w:rsidRPr="002906A3">
        <w:t>more</w:t>
      </w:r>
      <w:proofErr w:type="spellEnd"/>
      <w:r w:rsidRPr="002906A3">
        <w:t xml:space="preserve"> </w:t>
      </w:r>
      <w:proofErr w:type="spellStart"/>
      <w:r w:rsidRPr="002906A3">
        <w:t>than</w:t>
      </w:r>
      <w:proofErr w:type="spellEnd"/>
      <w:r w:rsidRPr="002906A3">
        <w:t xml:space="preserve"> </w:t>
      </w:r>
      <w:proofErr w:type="spellStart"/>
      <w:r w:rsidRPr="002906A3">
        <w:t>their</w:t>
      </w:r>
      <w:proofErr w:type="spellEnd"/>
      <w:r w:rsidRPr="002906A3">
        <w:t xml:space="preserve"> </w:t>
      </w:r>
      <w:proofErr w:type="spellStart"/>
      <w:r w:rsidRPr="002906A3">
        <w:t>words</w:t>
      </w:r>
      <w:proofErr w:type="spellEnd"/>
      <w:r w:rsidRPr="002906A3">
        <w:t xml:space="preserve"> ever </w:t>
      </w:r>
      <w:proofErr w:type="spellStart"/>
      <w:r w:rsidRPr="002906A3">
        <w:t>could</w:t>
      </w:r>
      <w:proofErr w:type="spellEnd"/>
      <w:r w:rsidRPr="002906A3">
        <w:t xml:space="preserve">. </w:t>
      </w:r>
      <w:proofErr w:type="spellStart"/>
      <w:r w:rsidRPr="002906A3">
        <w:t>For</w:t>
      </w:r>
      <w:proofErr w:type="spellEnd"/>
      <w:r w:rsidRPr="002906A3">
        <w:t xml:space="preserve"> </w:t>
      </w:r>
      <w:proofErr w:type="spellStart"/>
      <w:r w:rsidRPr="002906A3">
        <w:t>example</w:t>
      </w:r>
      <w:proofErr w:type="spellEnd"/>
      <w:r w:rsidRPr="002906A3">
        <w:t xml:space="preserve">, </w:t>
      </w:r>
      <w:proofErr w:type="spellStart"/>
      <w:r w:rsidRPr="002906A3">
        <w:t>their</w:t>
      </w:r>
      <w:proofErr w:type="spellEnd"/>
      <w:r w:rsidRPr="002906A3">
        <w:t xml:space="preserve"> </w:t>
      </w:r>
      <w:proofErr w:type="spellStart"/>
      <w:r w:rsidRPr="002906A3">
        <w:t>rigid</w:t>
      </w:r>
      <w:proofErr w:type="spellEnd"/>
      <w:r w:rsidRPr="002906A3">
        <w:t xml:space="preserve"> </w:t>
      </w:r>
      <w:proofErr w:type="spellStart"/>
      <w:r w:rsidRPr="002906A3">
        <w:t>posture</w:t>
      </w:r>
      <w:proofErr w:type="spellEnd"/>
      <w:r w:rsidRPr="002906A3">
        <w:t xml:space="preserve"> </w:t>
      </w:r>
      <w:proofErr w:type="spellStart"/>
      <w:r w:rsidRPr="002906A3">
        <w:t>and</w:t>
      </w:r>
      <w:proofErr w:type="spellEnd"/>
      <w:r w:rsidRPr="002906A3">
        <w:t xml:space="preserve"> </w:t>
      </w:r>
      <w:proofErr w:type="spellStart"/>
      <w:r w:rsidRPr="002906A3">
        <w:t>vacant</w:t>
      </w:r>
      <w:proofErr w:type="spellEnd"/>
      <w:r w:rsidRPr="002906A3">
        <w:t xml:space="preserve"> </w:t>
      </w:r>
      <w:proofErr w:type="spellStart"/>
      <w:r w:rsidRPr="002906A3">
        <w:t>stares</w:t>
      </w:r>
      <w:proofErr w:type="spellEnd"/>
      <w:r w:rsidRPr="002906A3">
        <w:t xml:space="preserve"> </w:t>
      </w:r>
      <w:proofErr w:type="spellStart"/>
      <w:r w:rsidRPr="002906A3">
        <w:t>during</w:t>
      </w:r>
      <w:proofErr w:type="spellEnd"/>
      <w:r w:rsidRPr="002906A3">
        <w:t xml:space="preserve"> </w:t>
      </w:r>
      <w:proofErr w:type="spellStart"/>
      <w:r w:rsidRPr="002906A3">
        <w:t>moments</w:t>
      </w:r>
      <w:proofErr w:type="spellEnd"/>
      <w:r w:rsidRPr="002906A3">
        <w:t xml:space="preserve"> of silence </w:t>
      </w:r>
      <w:proofErr w:type="spellStart"/>
      <w:r w:rsidRPr="002906A3">
        <w:t>suggest</w:t>
      </w:r>
      <w:proofErr w:type="spellEnd"/>
      <w:r w:rsidRPr="002906A3">
        <w:t xml:space="preserve"> a </w:t>
      </w:r>
      <w:proofErr w:type="spellStart"/>
      <w:r w:rsidRPr="002906A3">
        <w:t>profound</w:t>
      </w:r>
      <w:proofErr w:type="spellEnd"/>
      <w:r w:rsidRPr="002906A3">
        <w:t xml:space="preserve"> sense of </w:t>
      </w:r>
      <w:proofErr w:type="spellStart"/>
      <w:r w:rsidRPr="002906A3">
        <w:t>despair</w:t>
      </w:r>
      <w:proofErr w:type="spellEnd"/>
      <w:r w:rsidRPr="002906A3">
        <w:t xml:space="preserve"> </w:t>
      </w:r>
      <w:proofErr w:type="spellStart"/>
      <w:r w:rsidRPr="002906A3">
        <w:t>and</w:t>
      </w:r>
      <w:proofErr w:type="spellEnd"/>
      <w:r w:rsidRPr="002906A3">
        <w:t xml:space="preserve"> </w:t>
      </w:r>
      <w:proofErr w:type="spellStart"/>
      <w:r w:rsidRPr="002906A3">
        <w:t>existential</w:t>
      </w:r>
      <w:proofErr w:type="spellEnd"/>
      <w:r w:rsidRPr="002906A3">
        <w:t xml:space="preserve"> </w:t>
      </w:r>
      <w:proofErr w:type="spellStart"/>
      <w:r w:rsidRPr="002906A3">
        <w:t>dread</w:t>
      </w:r>
      <w:proofErr w:type="spellEnd"/>
      <w:r w:rsidRPr="002906A3">
        <w:t xml:space="preserve">. </w:t>
      </w:r>
      <w:proofErr w:type="spellStart"/>
      <w:r w:rsidRPr="002906A3">
        <w:t>These</w:t>
      </w:r>
      <w:proofErr w:type="spellEnd"/>
      <w:r w:rsidRPr="002906A3">
        <w:t xml:space="preserve"> </w:t>
      </w:r>
      <w:proofErr w:type="spellStart"/>
      <w:r w:rsidRPr="002906A3">
        <w:t>silences</w:t>
      </w:r>
      <w:proofErr w:type="spellEnd"/>
      <w:r w:rsidRPr="002906A3">
        <w:t xml:space="preserve"> </w:t>
      </w:r>
      <w:proofErr w:type="spellStart"/>
      <w:r w:rsidRPr="002906A3">
        <w:t>offer</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insight</w:t>
      </w:r>
      <w:proofErr w:type="spellEnd"/>
      <w:r w:rsidRPr="002906A3">
        <w:t xml:space="preserve"> </w:t>
      </w:r>
      <w:proofErr w:type="spellStart"/>
      <w:r w:rsidRPr="002906A3">
        <w:t>into</w:t>
      </w:r>
      <w:proofErr w:type="spellEnd"/>
      <w:r w:rsidRPr="002906A3">
        <w:t xml:space="preserve"> </w:t>
      </w:r>
      <w:proofErr w:type="spellStart"/>
      <w:r w:rsidRPr="002906A3">
        <w:t>the</w:t>
      </w:r>
      <w:proofErr w:type="spellEnd"/>
      <w:r w:rsidRPr="002906A3">
        <w:t xml:space="preserve"> </w:t>
      </w:r>
      <w:proofErr w:type="spellStart"/>
      <w:r w:rsidRPr="002906A3">
        <w:t>characters</w:t>
      </w:r>
      <w:proofErr w:type="spellEnd"/>
      <w:r w:rsidRPr="002906A3">
        <w:t xml:space="preserve">’ </w:t>
      </w:r>
      <w:proofErr w:type="spellStart"/>
      <w:r w:rsidRPr="002906A3">
        <w:t>psychological</w:t>
      </w:r>
      <w:proofErr w:type="spellEnd"/>
      <w:r w:rsidRPr="002906A3">
        <w:t xml:space="preserve"> </w:t>
      </w:r>
      <w:proofErr w:type="spellStart"/>
      <w:r w:rsidRPr="002906A3">
        <w:t>states</w:t>
      </w:r>
      <w:proofErr w:type="spellEnd"/>
      <w:r w:rsidRPr="002906A3">
        <w:t xml:space="preserve">, </w:t>
      </w:r>
      <w:proofErr w:type="spellStart"/>
      <w:r w:rsidRPr="002906A3">
        <w:t>allowing</w:t>
      </w:r>
      <w:proofErr w:type="spellEnd"/>
      <w:r w:rsidRPr="002906A3">
        <w:t xml:space="preserve"> </w:t>
      </w:r>
      <w:proofErr w:type="spellStart"/>
      <w:r w:rsidRPr="002906A3">
        <w:t>for</w:t>
      </w:r>
      <w:proofErr w:type="spellEnd"/>
      <w:r w:rsidRPr="002906A3">
        <w:t xml:space="preserve"> </w:t>
      </w:r>
      <w:proofErr w:type="spellStart"/>
      <w:r w:rsidRPr="002906A3">
        <w:t>deeper</w:t>
      </w:r>
      <w:proofErr w:type="spellEnd"/>
      <w:r w:rsidRPr="002906A3">
        <w:t xml:space="preserve"> </w:t>
      </w:r>
      <w:proofErr w:type="spellStart"/>
      <w:r w:rsidRPr="002906A3">
        <w:t>engagement</w:t>
      </w:r>
      <w:proofErr w:type="spellEnd"/>
      <w:r w:rsidRPr="002906A3">
        <w:t xml:space="preserve"> </w:t>
      </w:r>
      <w:proofErr w:type="spellStart"/>
      <w:r w:rsidRPr="002906A3">
        <w:t>with</w:t>
      </w:r>
      <w:proofErr w:type="spellEnd"/>
      <w:r w:rsidRPr="002906A3">
        <w:t xml:space="preserve"> </w:t>
      </w:r>
      <w:proofErr w:type="spellStart"/>
      <w:r w:rsidRPr="002906A3">
        <w:t>their</w:t>
      </w:r>
      <w:proofErr w:type="spellEnd"/>
      <w:r w:rsidRPr="002906A3">
        <w:t xml:space="preserve"> </w:t>
      </w:r>
      <w:proofErr w:type="spellStart"/>
      <w:r w:rsidRPr="002906A3">
        <w:t>struggles</w:t>
      </w:r>
      <w:proofErr w:type="spellEnd"/>
      <w:r w:rsidRPr="002906A3">
        <w:t>.</w:t>
      </w:r>
    </w:p>
    <w:p w14:paraId="376D4C6C" w14:textId="77777777" w:rsidR="001E7189" w:rsidRPr="002906A3" w:rsidRDefault="001E7189" w:rsidP="00BA67A6">
      <w:pPr>
        <w:jc w:val="both"/>
      </w:pPr>
    </w:p>
    <w:p w14:paraId="53CC94CA" w14:textId="11DCBCDE" w:rsidR="001E7189" w:rsidRPr="002906A3" w:rsidRDefault="001E7189" w:rsidP="00BA67A6">
      <w:pPr>
        <w:jc w:val="both"/>
      </w:pPr>
      <w:proofErr w:type="spellStart"/>
      <w:r w:rsidRPr="002906A3">
        <w:t>Ultimately</w:t>
      </w:r>
      <w:proofErr w:type="spellEnd"/>
      <w:r w:rsidRPr="002906A3">
        <w:t xml:space="preserve">, </w:t>
      </w:r>
      <w:proofErr w:type="spellStart"/>
      <w:r w:rsidRPr="002906A3">
        <w:t>Beckett’s</w:t>
      </w:r>
      <w:proofErr w:type="spellEnd"/>
      <w:r w:rsidRPr="002906A3">
        <w:t xml:space="preserve"> </w:t>
      </w:r>
      <w:proofErr w:type="spellStart"/>
      <w:r w:rsidRPr="002906A3">
        <w:t>use</w:t>
      </w:r>
      <w:proofErr w:type="spellEnd"/>
      <w:r w:rsidRPr="002906A3">
        <w:t xml:space="preserve"> of silence in </w:t>
      </w:r>
      <w:proofErr w:type="spellStart"/>
      <w:r w:rsidRPr="002906A3">
        <w:rPr>
          <w:i/>
          <w:iCs/>
        </w:rPr>
        <w:t>Waiting</w:t>
      </w:r>
      <w:proofErr w:type="spellEnd"/>
      <w:r w:rsidRPr="002906A3">
        <w:rPr>
          <w:i/>
          <w:iCs/>
        </w:rPr>
        <w:t xml:space="preserve"> </w:t>
      </w:r>
      <w:proofErr w:type="spellStart"/>
      <w:r w:rsidRPr="002906A3">
        <w:rPr>
          <w:i/>
          <w:iCs/>
        </w:rPr>
        <w:t>for</w:t>
      </w:r>
      <w:proofErr w:type="spellEnd"/>
      <w:r w:rsidRPr="002906A3">
        <w:rPr>
          <w:i/>
          <w:iCs/>
        </w:rPr>
        <w:t xml:space="preserve"> </w:t>
      </w:r>
      <w:proofErr w:type="spellStart"/>
      <w:r w:rsidRPr="002906A3">
        <w:rPr>
          <w:i/>
          <w:iCs/>
        </w:rPr>
        <w:t>Godot</w:t>
      </w:r>
      <w:proofErr w:type="spellEnd"/>
      <w:r w:rsidRPr="002906A3">
        <w:t xml:space="preserve"> </w:t>
      </w:r>
      <w:proofErr w:type="spellStart"/>
      <w:r w:rsidRPr="002906A3">
        <w:t>challenges</w:t>
      </w:r>
      <w:proofErr w:type="spellEnd"/>
      <w:r w:rsidRPr="002906A3">
        <w:t xml:space="preserve"> </w:t>
      </w:r>
      <w:proofErr w:type="spellStart"/>
      <w:r w:rsidRPr="002906A3">
        <w:t>traditional</w:t>
      </w:r>
      <w:proofErr w:type="spellEnd"/>
      <w:r w:rsidRPr="002906A3">
        <w:t xml:space="preserve"> </w:t>
      </w:r>
      <w:proofErr w:type="spellStart"/>
      <w:r w:rsidRPr="002906A3">
        <w:t>notions</w:t>
      </w:r>
      <w:proofErr w:type="spellEnd"/>
      <w:r w:rsidRPr="002906A3">
        <w:t xml:space="preserve"> of </w:t>
      </w:r>
      <w:proofErr w:type="spellStart"/>
      <w:r w:rsidRPr="002906A3">
        <w:t>dialogue</w:t>
      </w:r>
      <w:proofErr w:type="spellEnd"/>
      <w:r w:rsidRPr="002906A3">
        <w:t xml:space="preserve"> </w:t>
      </w:r>
      <w:proofErr w:type="spellStart"/>
      <w:r w:rsidRPr="002906A3">
        <w:t>and</w:t>
      </w:r>
      <w:proofErr w:type="spellEnd"/>
      <w:r w:rsidRPr="002906A3">
        <w:t xml:space="preserve"> </w:t>
      </w:r>
      <w:proofErr w:type="spellStart"/>
      <w:r w:rsidRPr="002906A3">
        <w:t>communication</w:t>
      </w:r>
      <w:proofErr w:type="spellEnd"/>
      <w:r w:rsidRPr="002906A3">
        <w:t xml:space="preserve">. </w:t>
      </w:r>
      <w:proofErr w:type="spellStart"/>
      <w:r w:rsidRPr="002906A3">
        <w:t>The</w:t>
      </w:r>
      <w:proofErr w:type="spellEnd"/>
      <w:r w:rsidRPr="002906A3">
        <w:t xml:space="preserve"> </w:t>
      </w:r>
      <w:proofErr w:type="spellStart"/>
      <w:r w:rsidRPr="002906A3">
        <w:t>play</w:t>
      </w:r>
      <w:proofErr w:type="spellEnd"/>
      <w:r w:rsidRPr="002906A3">
        <w:t xml:space="preserve"> </w:t>
      </w:r>
      <w:proofErr w:type="spellStart"/>
      <w:r w:rsidRPr="002906A3">
        <w:t>demonstrates</w:t>
      </w:r>
      <w:proofErr w:type="spellEnd"/>
      <w:r w:rsidRPr="002906A3">
        <w:t xml:space="preserve"> </w:t>
      </w:r>
      <w:proofErr w:type="spellStart"/>
      <w:r w:rsidRPr="002906A3">
        <w:t>that</w:t>
      </w:r>
      <w:proofErr w:type="spellEnd"/>
      <w:r w:rsidRPr="002906A3">
        <w:t xml:space="preserve"> </w:t>
      </w:r>
      <w:proofErr w:type="spellStart"/>
      <w:r w:rsidRPr="002906A3">
        <w:t>what</w:t>
      </w:r>
      <w:proofErr w:type="spellEnd"/>
      <w:r w:rsidRPr="002906A3">
        <w:t xml:space="preserve"> is </w:t>
      </w:r>
      <w:proofErr w:type="spellStart"/>
      <w:r w:rsidRPr="002906A3">
        <w:t>left</w:t>
      </w:r>
      <w:proofErr w:type="spellEnd"/>
      <w:r w:rsidRPr="002906A3">
        <w:t xml:space="preserve"> </w:t>
      </w:r>
      <w:proofErr w:type="spellStart"/>
      <w:r w:rsidRPr="002906A3">
        <w:t>unsaid</w:t>
      </w:r>
      <w:proofErr w:type="spellEnd"/>
      <w:r w:rsidRPr="002906A3">
        <w:t xml:space="preserve"> can </w:t>
      </w:r>
      <w:proofErr w:type="spellStart"/>
      <w:r w:rsidRPr="002906A3">
        <w:t>often</w:t>
      </w:r>
      <w:proofErr w:type="spellEnd"/>
      <w:r w:rsidRPr="002906A3">
        <w:t xml:space="preserve"> be </w:t>
      </w:r>
      <w:proofErr w:type="spellStart"/>
      <w:r w:rsidRPr="002906A3">
        <w:t>more</w:t>
      </w:r>
      <w:proofErr w:type="spellEnd"/>
      <w:r w:rsidRPr="002906A3">
        <w:t xml:space="preserve"> </w:t>
      </w:r>
      <w:proofErr w:type="spellStart"/>
      <w:r w:rsidRPr="002906A3">
        <w:t>powerful</w:t>
      </w:r>
      <w:proofErr w:type="spellEnd"/>
      <w:r w:rsidRPr="002906A3">
        <w:t xml:space="preserve"> </w:t>
      </w:r>
      <w:proofErr w:type="spellStart"/>
      <w:r w:rsidRPr="002906A3">
        <w:t>than</w:t>
      </w:r>
      <w:proofErr w:type="spellEnd"/>
      <w:r w:rsidRPr="002906A3">
        <w:t xml:space="preserve"> </w:t>
      </w:r>
      <w:proofErr w:type="spellStart"/>
      <w:r w:rsidRPr="002906A3">
        <w:t>what</w:t>
      </w:r>
      <w:proofErr w:type="spellEnd"/>
      <w:r w:rsidRPr="002906A3">
        <w:t xml:space="preserve"> is </w:t>
      </w:r>
      <w:proofErr w:type="spellStart"/>
      <w:r w:rsidRPr="002906A3">
        <w:t>spoken</w:t>
      </w:r>
      <w:proofErr w:type="spellEnd"/>
      <w:r w:rsidRPr="002906A3">
        <w:t xml:space="preserve">. Silence </w:t>
      </w:r>
      <w:proofErr w:type="spellStart"/>
      <w:r w:rsidRPr="002906A3">
        <w:t>becomes</w:t>
      </w:r>
      <w:proofErr w:type="spellEnd"/>
      <w:r w:rsidRPr="002906A3">
        <w:t xml:space="preserve"> a </w:t>
      </w:r>
      <w:proofErr w:type="spellStart"/>
      <w:r w:rsidRPr="002906A3">
        <w:t>reflection</w:t>
      </w:r>
      <w:proofErr w:type="spellEnd"/>
      <w:r w:rsidRPr="002906A3">
        <w:t xml:space="preserve"> of </w:t>
      </w:r>
      <w:proofErr w:type="spellStart"/>
      <w:r w:rsidRPr="002906A3">
        <w:t>human</w:t>
      </w:r>
      <w:proofErr w:type="spellEnd"/>
      <w:r w:rsidRPr="002906A3">
        <w:t xml:space="preserve"> </w:t>
      </w:r>
      <w:proofErr w:type="spellStart"/>
      <w:r w:rsidRPr="002906A3">
        <w:t>uncertainty</w:t>
      </w:r>
      <w:proofErr w:type="spellEnd"/>
      <w:r w:rsidRPr="002906A3">
        <w:t xml:space="preserve">, </w:t>
      </w:r>
      <w:proofErr w:type="spellStart"/>
      <w:r w:rsidRPr="002906A3">
        <w:t>existential</w:t>
      </w:r>
      <w:proofErr w:type="spellEnd"/>
      <w:r w:rsidRPr="002906A3">
        <w:t xml:space="preserve"> </w:t>
      </w:r>
      <w:proofErr w:type="spellStart"/>
      <w:r w:rsidRPr="002906A3">
        <w:t>paralysis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absurdity</w:t>
      </w:r>
      <w:proofErr w:type="spellEnd"/>
      <w:r w:rsidRPr="002906A3">
        <w:t xml:space="preserve"> of life </w:t>
      </w:r>
      <w:proofErr w:type="spellStart"/>
      <w:r w:rsidRPr="002906A3">
        <w:t>itself</w:t>
      </w:r>
      <w:proofErr w:type="spellEnd"/>
      <w:r w:rsidRPr="002906A3">
        <w:t xml:space="preserve">. </w:t>
      </w:r>
      <w:proofErr w:type="spellStart"/>
      <w:r w:rsidRPr="002906A3">
        <w:t>By</w:t>
      </w:r>
      <w:proofErr w:type="spellEnd"/>
      <w:r w:rsidRPr="002906A3">
        <w:t xml:space="preserve"> </w:t>
      </w:r>
      <w:proofErr w:type="spellStart"/>
      <w:r w:rsidRPr="002906A3">
        <w:t>utilizing</w:t>
      </w:r>
      <w:proofErr w:type="spellEnd"/>
      <w:r w:rsidRPr="002906A3">
        <w:t xml:space="preserve"> silence as a </w:t>
      </w:r>
      <w:proofErr w:type="spellStart"/>
      <w:r w:rsidRPr="002906A3">
        <w:t>narrative</w:t>
      </w:r>
      <w:proofErr w:type="spellEnd"/>
      <w:r w:rsidRPr="002906A3">
        <w:t xml:space="preserve"> </w:t>
      </w:r>
      <w:proofErr w:type="spellStart"/>
      <w:r w:rsidRPr="002906A3">
        <w:t>and</w:t>
      </w:r>
      <w:proofErr w:type="spellEnd"/>
      <w:r w:rsidRPr="002906A3">
        <w:t xml:space="preserve"> </w:t>
      </w:r>
      <w:proofErr w:type="spellStart"/>
      <w:r w:rsidRPr="002906A3">
        <w:t>thematic</w:t>
      </w:r>
      <w:proofErr w:type="spellEnd"/>
      <w:r w:rsidRPr="002906A3">
        <w:t xml:space="preserve"> </w:t>
      </w:r>
      <w:proofErr w:type="spellStart"/>
      <w:r w:rsidRPr="002906A3">
        <w:t>device</w:t>
      </w:r>
      <w:proofErr w:type="spellEnd"/>
      <w:r w:rsidRPr="002906A3">
        <w:t xml:space="preserve">, Beckett not </w:t>
      </w:r>
      <w:proofErr w:type="spellStart"/>
      <w:r w:rsidRPr="002906A3">
        <w:t>only</w:t>
      </w:r>
      <w:proofErr w:type="spellEnd"/>
      <w:r w:rsidRPr="002906A3">
        <w:t xml:space="preserve"> </w:t>
      </w:r>
      <w:proofErr w:type="spellStart"/>
      <w:r w:rsidRPr="002906A3">
        <w:t>reinforces</w:t>
      </w:r>
      <w:proofErr w:type="spellEnd"/>
      <w:r w:rsidRPr="002906A3">
        <w:t xml:space="preserve"> </w:t>
      </w:r>
      <w:proofErr w:type="spellStart"/>
      <w:r w:rsidRPr="002906A3">
        <w:t>the</w:t>
      </w:r>
      <w:proofErr w:type="spellEnd"/>
      <w:r w:rsidRPr="002906A3">
        <w:t xml:space="preserve"> </w:t>
      </w:r>
      <w:proofErr w:type="spellStart"/>
      <w:r w:rsidRPr="002906A3">
        <w:t>central</w:t>
      </w:r>
      <w:proofErr w:type="spellEnd"/>
      <w:r w:rsidRPr="002906A3">
        <w:t xml:space="preserve"> </w:t>
      </w:r>
      <w:proofErr w:type="spellStart"/>
      <w:r w:rsidRPr="002906A3">
        <w:t>motifs</w:t>
      </w:r>
      <w:proofErr w:type="spellEnd"/>
      <w:r w:rsidRPr="002906A3">
        <w:t xml:space="preserve"> of </w:t>
      </w:r>
      <w:proofErr w:type="spellStart"/>
      <w:r w:rsidRPr="002906A3">
        <w:t>waiting</w:t>
      </w:r>
      <w:proofErr w:type="spellEnd"/>
      <w:r w:rsidRPr="002906A3">
        <w:t xml:space="preserve">, </w:t>
      </w:r>
      <w:proofErr w:type="spellStart"/>
      <w:r w:rsidRPr="002906A3">
        <w:t>confusion</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 xml:space="preserve"> but </w:t>
      </w:r>
      <w:proofErr w:type="spellStart"/>
      <w:r w:rsidRPr="002906A3">
        <w:t>also</w:t>
      </w:r>
      <w:proofErr w:type="spellEnd"/>
      <w:r w:rsidRPr="002906A3">
        <w:t xml:space="preserve"> </w:t>
      </w:r>
      <w:proofErr w:type="spellStart"/>
      <w:r w:rsidRPr="002906A3">
        <w:t>invites</w:t>
      </w:r>
      <w:proofErr w:type="spellEnd"/>
      <w:r w:rsidRPr="002906A3">
        <w:t xml:space="preserve"> </w:t>
      </w:r>
      <w:proofErr w:type="spellStart"/>
      <w:r w:rsidRPr="002906A3">
        <w:t>the</w:t>
      </w:r>
      <w:proofErr w:type="spellEnd"/>
      <w:r w:rsidRPr="002906A3">
        <w:t xml:space="preserve"> </w:t>
      </w:r>
      <w:proofErr w:type="spellStart"/>
      <w:r w:rsidRPr="002906A3">
        <w:t>audience</w:t>
      </w:r>
      <w:proofErr w:type="spellEnd"/>
      <w:r w:rsidRPr="002906A3">
        <w:t xml:space="preserve"> </w:t>
      </w:r>
      <w:proofErr w:type="spellStart"/>
      <w:r w:rsidRPr="002906A3">
        <w:t>to</w:t>
      </w:r>
      <w:proofErr w:type="spellEnd"/>
      <w:r w:rsidRPr="002906A3">
        <w:t xml:space="preserve"> </w:t>
      </w:r>
      <w:proofErr w:type="spellStart"/>
      <w:r w:rsidRPr="002906A3">
        <w:t>confront</w:t>
      </w:r>
      <w:proofErr w:type="spellEnd"/>
      <w:r w:rsidRPr="002906A3">
        <w:t xml:space="preserve"> </w:t>
      </w:r>
      <w:proofErr w:type="spellStart"/>
      <w:r w:rsidRPr="002906A3">
        <w:t>their</w:t>
      </w:r>
      <w:proofErr w:type="spellEnd"/>
      <w:r w:rsidRPr="002906A3">
        <w:t xml:space="preserve"> </w:t>
      </w:r>
      <w:proofErr w:type="spellStart"/>
      <w:r w:rsidRPr="002906A3">
        <w:t>fears</w:t>
      </w:r>
      <w:proofErr w:type="spellEnd"/>
      <w:r w:rsidRPr="002906A3">
        <w:t xml:space="preserve"> </w:t>
      </w:r>
      <w:proofErr w:type="spellStart"/>
      <w:r w:rsidRPr="002906A3">
        <w:t>about</w:t>
      </w:r>
      <w:proofErr w:type="spellEnd"/>
      <w:r w:rsidRPr="002906A3">
        <w:t xml:space="preserve"> </w:t>
      </w:r>
      <w:proofErr w:type="spellStart"/>
      <w:r w:rsidRPr="002906A3">
        <w:t>meaning</w:t>
      </w:r>
      <w:proofErr w:type="spellEnd"/>
      <w:r w:rsidRPr="002906A3">
        <w:t xml:space="preserve">, time, </w:t>
      </w:r>
      <w:proofErr w:type="spellStart"/>
      <w:r w:rsidRPr="002906A3">
        <w:t>and</w:t>
      </w:r>
      <w:proofErr w:type="spellEnd"/>
      <w:r w:rsidRPr="002906A3">
        <w:t xml:space="preserve"> </w:t>
      </w:r>
      <w:proofErr w:type="spellStart"/>
      <w:r w:rsidRPr="002906A3">
        <w:t>existence</w:t>
      </w:r>
      <w:proofErr w:type="spellEnd"/>
      <w:r w:rsidRPr="002906A3">
        <w:t>.</w:t>
      </w:r>
    </w:p>
    <w:p w14:paraId="6A74E41E" w14:textId="77777777" w:rsidR="001E7189" w:rsidRPr="002906A3" w:rsidRDefault="001E7189" w:rsidP="00BA67A6">
      <w:pPr>
        <w:jc w:val="both"/>
      </w:pPr>
    </w:p>
    <w:p w14:paraId="216051D4" w14:textId="77777777" w:rsidR="001E7189" w:rsidRPr="002906A3" w:rsidRDefault="001E7189" w:rsidP="00BA67A6">
      <w:pPr>
        <w:jc w:val="both"/>
      </w:pPr>
    </w:p>
    <w:p w14:paraId="5788F625" w14:textId="243C2667" w:rsidR="001E7189" w:rsidRPr="00B622AD" w:rsidRDefault="001E7189" w:rsidP="00BA67A6">
      <w:pPr>
        <w:jc w:val="both"/>
        <w:rPr>
          <w:b/>
          <w:bCs/>
        </w:rPr>
      </w:pPr>
      <w:proofErr w:type="spellStart"/>
      <w:r w:rsidRPr="002906A3">
        <w:rPr>
          <w:b/>
          <w:bCs/>
        </w:rPr>
        <w:t>References</w:t>
      </w:r>
      <w:proofErr w:type="spellEnd"/>
      <w:r w:rsidRPr="002906A3">
        <w:rPr>
          <w:b/>
          <w:bCs/>
        </w:rPr>
        <w:t>:</w:t>
      </w:r>
    </w:p>
    <w:p w14:paraId="3C57D7A9" w14:textId="77777777" w:rsidR="001E7189" w:rsidRPr="002906A3" w:rsidRDefault="001E7189">
      <w:pPr>
        <w:pStyle w:val="ListeParagraf"/>
        <w:numPr>
          <w:ilvl w:val="0"/>
          <w:numId w:val="51"/>
        </w:numPr>
      </w:pPr>
      <w:r w:rsidRPr="002906A3">
        <w:t>Abbas, A. M., &amp; Hasan, M. N. (</w:t>
      </w:r>
      <w:proofErr w:type="spellStart"/>
      <w:r w:rsidRPr="002906A3">
        <w:t>n.d</w:t>
      </w:r>
      <w:proofErr w:type="spellEnd"/>
      <w:r w:rsidRPr="002906A3">
        <w:t xml:space="preserve">.). </w:t>
      </w:r>
      <w:proofErr w:type="spellStart"/>
      <w:r w:rsidRPr="002906A3">
        <w:t>The</w:t>
      </w:r>
      <w:proofErr w:type="spellEnd"/>
      <w:r w:rsidRPr="002906A3">
        <w:t xml:space="preserve"> </w:t>
      </w:r>
      <w:proofErr w:type="spellStart"/>
      <w:r w:rsidRPr="002906A3">
        <w:t>Significance</w:t>
      </w:r>
      <w:proofErr w:type="spellEnd"/>
      <w:r w:rsidRPr="002906A3">
        <w:t xml:space="preserve"> of Language in Samuel </w:t>
      </w:r>
      <w:proofErr w:type="spellStart"/>
      <w:r w:rsidRPr="002906A3">
        <w:t>Beckett’s</w:t>
      </w:r>
      <w:proofErr w:type="spellEnd"/>
      <w:r w:rsidRPr="002906A3">
        <w:t xml:space="preserve">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w:t>
      </w:r>
    </w:p>
    <w:p w14:paraId="10F94FA8" w14:textId="77777777" w:rsidR="001E7189" w:rsidRPr="002906A3" w:rsidRDefault="001E7189">
      <w:pPr>
        <w:pStyle w:val="ListeParagraf"/>
        <w:numPr>
          <w:ilvl w:val="0"/>
          <w:numId w:val="51"/>
        </w:numPr>
      </w:pPr>
      <w:proofErr w:type="spellStart"/>
      <w:r w:rsidRPr="002906A3">
        <w:t>Aouina</w:t>
      </w:r>
      <w:proofErr w:type="spellEnd"/>
      <w:r w:rsidRPr="002906A3">
        <w:t xml:space="preserve">, M. C. M. (2019). </w:t>
      </w:r>
      <w:proofErr w:type="spellStart"/>
      <w:r w:rsidRPr="002906A3">
        <w:t>Visions</w:t>
      </w:r>
      <w:proofErr w:type="spellEnd"/>
      <w:r w:rsidRPr="002906A3">
        <w:t xml:space="preserve"> of </w:t>
      </w:r>
      <w:proofErr w:type="spellStart"/>
      <w:r w:rsidRPr="002906A3">
        <w:t>Absurdism</w:t>
      </w:r>
      <w:proofErr w:type="spellEnd"/>
      <w:r w:rsidRPr="002906A3">
        <w:t xml:space="preserve"> in Samuel </w:t>
      </w:r>
      <w:proofErr w:type="spellStart"/>
      <w:r w:rsidRPr="002906A3">
        <w:t>Beckett’s</w:t>
      </w:r>
      <w:proofErr w:type="spellEnd"/>
      <w:r w:rsidRPr="002906A3">
        <w:t xml:space="preserve">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University</w:t>
      </w:r>
      <w:proofErr w:type="spellEnd"/>
      <w:r w:rsidRPr="002906A3">
        <w:t xml:space="preserve"> of </w:t>
      </w:r>
      <w:proofErr w:type="spellStart"/>
      <w:r w:rsidRPr="002906A3">
        <w:t>M’sila</w:t>
      </w:r>
      <w:proofErr w:type="spellEnd"/>
      <w:r w:rsidRPr="002906A3">
        <w:t>).</w:t>
      </w:r>
    </w:p>
    <w:p w14:paraId="47718AAA" w14:textId="77777777" w:rsidR="001E7189" w:rsidRPr="002906A3" w:rsidRDefault="001E7189">
      <w:pPr>
        <w:pStyle w:val="ListeParagraf"/>
        <w:numPr>
          <w:ilvl w:val="0"/>
          <w:numId w:val="51"/>
        </w:numPr>
      </w:pPr>
      <w:r w:rsidRPr="002906A3">
        <w:t xml:space="preserve">Bahri, R. F., &amp; </w:t>
      </w:r>
      <w:proofErr w:type="spellStart"/>
      <w:r w:rsidRPr="002906A3">
        <w:t>Bouhassoun</w:t>
      </w:r>
      <w:proofErr w:type="spellEnd"/>
      <w:r w:rsidRPr="002906A3">
        <w:t xml:space="preserve">, A. (2023). </w:t>
      </w:r>
      <w:proofErr w:type="spellStart"/>
      <w:r w:rsidRPr="002906A3">
        <w:t>The</w:t>
      </w:r>
      <w:proofErr w:type="spellEnd"/>
      <w:r w:rsidRPr="002906A3">
        <w:t xml:space="preserve"> </w:t>
      </w:r>
      <w:proofErr w:type="spellStart"/>
      <w:r w:rsidRPr="002906A3">
        <w:t>Impact</w:t>
      </w:r>
      <w:proofErr w:type="spellEnd"/>
      <w:r w:rsidRPr="002906A3">
        <w:t xml:space="preserve"> of </w:t>
      </w:r>
      <w:proofErr w:type="spellStart"/>
      <w:r w:rsidRPr="002906A3">
        <w:t>The</w:t>
      </w:r>
      <w:proofErr w:type="spellEnd"/>
      <w:r w:rsidRPr="002906A3">
        <w:t xml:space="preserve"> </w:t>
      </w:r>
      <w:proofErr w:type="spellStart"/>
      <w:r w:rsidRPr="002906A3">
        <w:t>Myth</w:t>
      </w:r>
      <w:proofErr w:type="spellEnd"/>
      <w:r w:rsidRPr="002906A3">
        <w:t xml:space="preserve"> of </w:t>
      </w:r>
      <w:proofErr w:type="spellStart"/>
      <w:r w:rsidRPr="002906A3">
        <w:t>Sisyphus</w:t>
      </w:r>
      <w:proofErr w:type="spellEnd"/>
      <w:r w:rsidRPr="002906A3">
        <w:t xml:space="preserve"> </w:t>
      </w:r>
      <w:proofErr w:type="spellStart"/>
      <w:r w:rsidRPr="002906A3">
        <w:t>by</w:t>
      </w:r>
      <w:proofErr w:type="spellEnd"/>
      <w:r w:rsidRPr="002906A3">
        <w:t xml:space="preserve"> Albert Camus on Samuel </w:t>
      </w:r>
      <w:proofErr w:type="spellStart"/>
      <w:r w:rsidRPr="002906A3">
        <w:t>Beckett's</w:t>
      </w:r>
      <w:proofErr w:type="spellEnd"/>
      <w:r w:rsidRPr="002906A3">
        <w:t xml:space="preserve">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University</w:t>
      </w:r>
      <w:proofErr w:type="spellEnd"/>
      <w:r w:rsidRPr="002906A3">
        <w:t xml:space="preserve"> of </w:t>
      </w:r>
      <w:proofErr w:type="spellStart"/>
      <w:r w:rsidRPr="002906A3">
        <w:t>Ain</w:t>
      </w:r>
      <w:proofErr w:type="spellEnd"/>
      <w:r w:rsidRPr="002906A3">
        <w:t xml:space="preserve"> </w:t>
      </w:r>
      <w:proofErr w:type="spellStart"/>
      <w:r w:rsidRPr="002906A3">
        <w:t>Temouchent</w:t>
      </w:r>
      <w:proofErr w:type="spellEnd"/>
      <w:r w:rsidRPr="002906A3">
        <w:t>).</w:t>
      </w:r>
    </w:p>
    <w:p w14:paraId="69E18328" w14:textId="77777777" w:rsidR="001E7189" w:rsidRPr="002906A3" w:rsidRDefault="001E7189">
      <w:pPr>
        <w:pStyle w:val="ListeParagraf"/>
        <w:numPr>
          <w:ilvl w:val="0"/>
          <w:numId w:val="51"/>
        </w:numPr>
      </w:pPr>
      <w:proofErr w:type="spellStart"/>
      <w:r w:rsidRPr="002906A3">
        <w:t>Feriandik</w:t>
      </w:r>
      <w:proofErr w:type="spellEnd"/>
      <w:r w:rsidRPr="002906A3">
        <w:t xml:space="preserve">, R. E. (2003). </w:t>
      </w:r>
      <w:proofErr w:type="spellStart"/>
      <w:r w:rsidRPr="002906A3">
        <w:t>Absurdity</w:t>
      </w:r>
      <w:proofErr w:type="spellEnd"/>
      <w:r w:rsidRPr="002906A3">
        <w:t xml:space="preserve">: an </w:t>
      </w:r>
      <w:proofErr w:type="spellStart"/>
      <w:r w:rsidRPr="002906A3">
        <w:t>analysis</w:t>
      </w:r>
      <w:proofErr w:type="spellEnd"/>
      <w:r w:rsidRPr="002906A3">
        <w:t xml:space="preserve"> on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a </w:t>
      </w:r>
      <w:proofErr w:type="spellStart"/>
      <w:r w:rsidRPr="002906A3">
        <w:t>symbolical</w:t>
      </w:r>
      <w:proofErr w:type="spellEnd"/>
      <w:r w:rsidRPr="002906A3">
        <w:t xml:space="preserve"> </w:t>
      </w:r>
      <w:proofErr w:type="spellStart"/>
      <w:r w:rsidRPr="002906A3">
        <w:t>play</w:t>
      </w:r>
      <w:proofErr w:type="spellEnd"/>
      <w:r w:rsidRPr="002906A3">
        <w:t xml:space="preserve"> </w:t>
      </w:r>
      <w:proofErr w:type="spellStart"/>
      <w:r w:rsidRPr="002906A3">
        <w:t>by</w:t>
      </w:r>
      <w:proofErr w:type="spellEnd"/>
      <w:r w:rsidRPr="002906A3">
        <w:t xml:space="preserve"> Samuel Beckett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Universitas</w:t>
      </w:r>
      <w:proofErr w:type="spellEnd"/>
      <w:r w:rsidRPr="002906A3">
        <w:t xml:space="preserve"> Katolik </w:t>
      </w:r>
      <w:proofErr w:type="spellStart"/>
      <w:r w:rsidRPr="002906A3">
        <w:t>Widya</w:t>
      </w:r>
      <w:proofErr w:type="spellEnd"/>
      <w:r w:rsidRPr="002906A3">
        <w:t xml:space="preserve"> Mandala </w:t>
      </w:r>
      <w:proofErr w:type="spellStart"/>
      <w:r w:rsidRPr="002906A3">
        <w:t>Madiun</w:t>
      </w:r>
      <w:proofErr w:type="spellEnd"/>
      <w:r w:rsidRPr="002906A3">
        <w:t>).</w:t>
      </w:r>
    </w:p>
    <w:p w14:paraId="0B7188D9" w14:textId="77777777" w:rsidR="001E7189" w:rsidRPr="002906A3" w:rsidRDefault="001E7189">
      <w:pPr>
        <w:pStyle w:val="ListeParagraf"/>
        <w:numPr>
          <w:ilvl w:val="0"/>
          <w:numId w:val="51"/>
        </w:numPr>
      </w:pPr>
      <w:proofErr w:type="spellStart"/>
      <w:r w:rsidRPr="002906A3">
        <w:t>Graver</w:t>
      </w:r>
      <w:proofErr w:type="spellEnd"/>
      <w:r w:rsidRPr="002906A3">
        <w:t xml:space="preserve">, L. (2004). Samuel Beckett,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w:t>
      </w:r>
      <w:proofErr w:type="spellStart"/>
      <w:r w:rsidRPr="002906A3">
        <w:t>Vol</w:t>
      </w:r>
      <w:proofErr w:type="spellEnd"/>
      <w:r w:rsidRPr="002906A3">
        <w:t xml:space="preserve">. 2). Cambridge </w:t>
      </w:r>
      <w:proofErr w:type="spellStart"/>
      <w:r w:rsidRPr="002906A3">
        <w:t>University</w:t>
      </w:r>
      <w:proofErr w:type="spellEnd"/>
      <w:r w:rsidRPr="002906A3">
        <w:t xml:space="preserve"> </w:t>
      </w:r>
      <w:proofErr w:type="spellStart"/>
      <w:r w:rsidRPr="002906A3">
        <w:t>Press</w:t>
      </w:r>
      <w:proofErr w:type="spellEnd"/>
      <w:r w:rsidRPr="002906A3">
        <w:t>.</w:t>
      </w:r>
    </w:p>
    <w:p w14:paraId="1D9BB537" w14:textId="77777777" w:rsidR="001E7189" w:rsidRPr="002906A3" w:rsidRDefault="001E7189">
      <w:pPr>
        <w:pStyle w:val="ListeParagraf"/>
        <w:numPr>
          <w:ilvl w:val="0"/>
          <w:numId w:val="51"/>
        </w:numPr>
      </w:pPr>
      <w:proofErr w:type="spellStart"/>
      <w:r w:rsidRPr="002906A3">
        <w:t>Hargreaves</w:t>
      </w:r>
      <w:proofErr w:type="spellEnd"/>
      <w:r w:rsidRPr="002906A3">
        <w:t xml:space="preserve">, A. (1977). </w:t>
      </w:r>
      <w:proofErr w:type="spellStart"/>
      <w:r w:rsidRPr="002906A3">
        <w:t>Five</w:t>
      </w:r>
      <w:proofErr w:type="spellEnd"/>
      <w:r w:rsidRPr="002906A3">
        <w:t xml:space="preserve"> </w:t>
      </w:r>
      <w:proofErr w:type="spellStart"/>
      <w:r w:rsidRPr="002906A3">
        <w:t>themes</w:t>
      </w:r>
      <w:proofErr w:type="spellEnd"/>
      <w:r w:rsidRPr="002906A3">
        <w:t xml:space="preserve"> in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Godot</w:t>
      </w:r>
      <w:proofErr w:type="spellEnd"/>
      <w:r w:rsidRPr="002906A3">
        <w:t xml:space="preserve">. </w:t>
      </w:r>
      <w:proofErr w:type="spellStart"/>
      <w:r w:rsidRPr="00B74176">
        <w:rPr>
          <w:i/>
          <w:iCs/>
        </w:rPr>
        <w:t>Studia</w:t>
      </w:r>
      <w:proofErr w:type="spellEnd"/>
      <w:r w:rsidRPr="00B74176">
        <w:rPr>
          <w:i/>
          <w:iCs/>
        </w:rPr>
        <w:t xml:space="preserve"> </w:t>
      </w:r>
      <w:proofErr w:type="spellStart"/>
      <w:r w:rsidRPr="00B74176">
        <w:rPr>
          <w:i/>
          <w:iCs/>
        </w:rPr>
        <w:t>Romanica</w:t>
      </w:r>
      <w:proofErr w:type="spellEnd"/>
      <w:r w:rsidRPr="00B74176">
        <w:rPr>
          <w:i/>
          <w:iCs/>
        </w:rPr>
        <w:t xml:space="preserve"> et </w:t>
      </w:r>
      <w:proofErr w:type="spellStart"/>
      <w:r w:rsidRPr="00B74176">
        <w:rPr>
          <w:i/>
          <w:iCs/>
        </w:rPr>
        <w:t>Anglica</w:t>
      </w:r>
      <w:proofErr w:type="spellEnd"/>
      <w:r w:rsidRPr="00B74176">
        <w:rPr>
          <w:i/>
          <w:iCs/>
        </w:rPr>
        <w:t xml:space="preserve"> </w:t>
      </w:r>
      <w:proofErr w:type="spellStart"/>
      <w:r w:rsidRPr="00B74176">
        <w:rPr>
          <w:i/>
          <w:iCs/>
        </w:rPr>
        <w:t>Zagrabiensia</w:t>
      </w:r>
      <w:proofErr w:type="spellEnd"/>
      <w:r w:rsidRPr="00B74176">
        <w:rPr>
          <w:i/>
          <w:iCs/>
        </w:rPr>
        <w:t xml:space="preserve">: </w:t>
      </w:r>
      <w:proofErr w:type="spellStart"/>
      <w:r w:rsidRPr="00B74176">
        <w:rPr>
          <w:i/>
          <w:iCs/>
        </w:rPr>
        <w:t>Revue</w:t>
      </w:r>
      <w:proofErr w:type="spellEnd"/>
      <w:r w:rsidRPr="00B74176">
        <w:rPr>
          <w:i/>
          <w:iCs/>
        </w:rPr>
        <w:t xml:space="preserve"> </w:t>
      </w:r>
      <w:proofErr w:type="spellStart"/>
      <w:r w:rsidRPr="00B74176">
        <w:rPr>
          <w:i/>
          <w:iCs/>
        </w:rPr>
        <w:t>publiée</w:t>
      </w:r>
      <w:proofErr w:type="spellEnd"/>
      <w:r w:rsidRPr="00B74176">
        <w:rPr>
          <w:i/>
          <w:iCs/>
        </w:rPr>
        <w:t xml:space="preserve"> par </w:t>
      </w:r>
      <w:proofErr w:type="spellStart"/>
      <w:r w:rsidRPr="00B74176">
        <w:rPr>
          <w:i/>
          <w:iCs/>
        </w:rPr>
        <w:t>les</w:t>
      </w:r>
      <w:proofErr w:type="spellEnd"/>
      <w:r w:rsidRPr="00B74176">
        <w:rPr>
          <w:i/>
          <w:iCs/>
        </w:rPr>
        <w:t xml:space="preserve"> </w:t>
      </w:r>
      <w:proofErr w:type="spellStart"/>
      <w:r w:rsidRPr="00B74176">
        <w:rPr>
          <w:i/>
          <w:iCs/>
        </w:rPr>
        <w:t>Sections</w:t>
      </w:r>
      <w:proofErr w:type="spellEnd"/>
      <w:r w:rsidRPr="00B74176">
        <w:rPr>
          <w:i/>
          <w:iCs/>
        </w:rPr>
        <w:t xml:space="preserve"> </w:t>
      </w:r>
      <w:proofErr w:type="spellStart"/>
      <w:r w:rsidRPr="00B74176">
        <w:rPr>
          <w:i/>
          <w:iCs/>
        </w:rPr>
        <w:t>romane</w:t>
      </w:r>
      <w:proofErr w:type="spellEnd"/>
      <w:r w:rsidRPr="00B74176">
        <w:rPr>
          <w:i/>
          <w:iCs/>
        </w:rPr>
        <w:t xml:space="preserve">, </w:t>
      </w:r>
      <w:proofErr w:type="spellStart"/>
      <w:r w:rsidRPr="00B74176">
        <w:rPr>
          <w:i/>
          <w:iCs/>
        </w:rPr>
        <w:t>italienne</w:t>
      </w:r>
      <w:proofErr w:type="spellEnd"/>
      <w:r w:rsidRPr="00B74176">
        <w:rPr>
          <w:i/>
          <w:iCs/>
        </w:rPr>
        <w:t xml:space="preserve"> et </w:t>
      </w:r>
      <w:proofErr w:type="spellStart"/>
      <w:r w:rsidRPr="00B74176">
        <w:rPr>
          <w:i/>
          <w:iCs/>
        </w:rPr>
        <w:t>anglaise</w:t>
      </w:r>
      <w:proofErr w:type="spellEnd"/>
      <w:r w:rsidRPr="00B74176">
        <w:rPr>
          <w:i/>
          <w:iCs/>
        </w:rPr>
        <w:t xml:space="preserve"> de la </w:t>
      </w:r>
      <w:proofErr w:type="spellStart"/>
      <w:r w:rsidRPr="00B74176">
        <w:rPr>
          <w:i/>
          <w:iCs/>
        </w:rPr>
        <w:t>Faculté</w:t>
      </w:r>
      <w:proofErr w:type="spellEnd"/>
      <w:r w:rsidRPr="00B74176">
        <w:rPr>
          <w:i/>
          <w:iCs/>
        </w:rPr>
        <w:t xml:space="preserve"> </w:t>
      </w:r>
      <w:proofErr w:type="spellStart"/>
      <w:r w:rsidRPr="00B74176">
        <w:rPr>
          <w:i/>
          <w:iCs/>
        </w:rPr>
        <w:t>des</w:t>
      </w:r>
      <w:proofErr w:type="spellEnd"/>
      <w:r w:rsidRPr="00B74176">
        <w:rPr>
          <w:i/>
          <w:iCs/>
        </w:rPr>
        <w:t xml:space="preserve"> </w:t>
      </w:r>
      <w:proofErr w:type="spellStart"/>
      <w:r w:rsidRPr="00B74176">
        <w:rPr>
          <w:i/>
          <w:iCs/>
        </w:rPr>
        <w:t>Lettres</w:t>
      </w:r>
      <w:proofErr w:type="spellEnd"/>
      <w:r w:rsidRPr="00B74176">
        <w:rPr>
          <w:i/>
          <w:iCs/>
        </w:rPr>
        <w:t xml:space="preserve"> de </w:t>
      </w:r>
      <w:proofErr w:type="spellStart"/>
      <w:r w:rsidRPr="00B74176">
        <w:rPr>
          <w:i/>
          <w:iCs/>
        </w:rPr>
        <w:t>l’Université</w:t>
      </w:r>
      <w:proofErr w:type="spellEnd"/>
      <w:r w:rsidRPr="00B74176">
        <w:rPr>
          <w:i/>
          <w:iCs/>
        </w:rPr>
        <w:t xml:space="preserve"> de Zagreb</w:t>
      </w:r>
      <w:r w:rsidRPr="002906A3">
        <w:t>, (44), 153-166.</w:t>
      </w:r>
    </w:p>
    <w:p w14:paraId="7983C449" w14:textId="77777777" w:rsidR="001E7189" w:rsidRPr="002906A3" w:rsidRDefault="001E7189">
      <w:pPr>
        <w:pStyle w:val="ListeParagraf"/>
        <w:numPr>
          <w:ilvl w:val="0"/>
          <w:numId w:val="51"/>
        </w:numPr>
      </w:pPr>
      <w:proofErr w:type="spellStart"/>
      <w:r w:rsidRPr="002906A3">
        <w:lastRenderedPageBreak/>
        <w:t>Imami</w:t>
      </w:r>
      <w:proofErr w:type="spellEnd"/>
      <w:r w:rsidRPr="002906A3">
        <w:t xml:space="preserve">, T. (2017). A </w:t>
      </w:r>
      <w:proofErr w:type="spellStart"/>
      <w:r w:rsidRPr="002906A3">
        <w:t>stylistic</w:t>
      </w:r>
      <w:proofErr w:type="spellEnd"/>
      <w:r w:rsidRPr="002906A3">
        <w:t xml:space="preserve"> </w:t>
      </w:r>
      <w:proofErr w:type="spellStart"/>
      <w:r w:rsidRPr="002906A3">
        <w:t>analysis</w:t>
      </w:r>
      <w:proofErr w:type="spellEnd"/>
      <w:r w:rsidRPr="002906A3">
        <w:t xml:space="preserve"> of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BRAC </w:t>
      </w:r>
      <w:proofErr w:type="spellStart"/>
      <w:r w:rsidRPr="002906A3">
        <w:t>University</w:t>
      </w:r>
      <w:proofErr w:type="spellEnd"/>
      <w:r w:rsidRPr="002906A3">
        <w:t>).</w:t>
      </w:r>
    </w:p>
    <w:p w14:paraId="4F0E2565" w14:textId="77777777" w:rsidR="001E7189" w:rsidRPr="002906A3" w:rsidRDefault="001E7189">
      <w:pPr>
        <w:pStyle w:val="ListeParagraf"/>
        <w:numPr>
          <w:ilvl w:val="0"/>
          <w:numId w:val="51"/>
        </w:numPr>
      </w:pPr>
      <w:proofErr w:type="spellStart"/>
      <w:r w:rsidRPr="002906A3">
        <w:t>Islam</w:t>
      </w:r>
      <w:proofErr w:type="spellEnd"/>
      <w:r w:rsidRPr="002906A3">
        <w:t xml:space="preserve">, M. Z. (2017). </w:t>
      </w:r>
      <w:proofErr w:type="spellStart"/>
      <w:r w:rsidRPr="002906A3">
        <w:t>Waiting</w:t>
      </w:r>
      <w:proofErr w:type="spellEnd"/>
      <w:r w:rsidRPr="002906A3">
        <w:t xml:space="preserve"> </w:t>
      </w:r>
      <w:proofErr w:type="spellStart"/>
      <w:r w:rsidRPr="002906A3">
        <w:t>for</w:t>
      </w:r>
      <w:proofErr w:type="spellEnd"/>
      <w:r w:rsidRPr="002906A3">
        <w:t xml:space="preserve"> </w:t>
      </w:r>
      <w:proofErr w:type="spellStart"/>
      <w:r w:rsidRPr="002906A3">
        <w:t>Nothing</w:t>
      </w:r>
      <w:proofErr w:type="spellEnd"/>
      <w:r w:rsidRPr="002906A3">
        <w:t xml:space="preserve">: </w:t>
      </w:r>
      <w:proofErr w:type="spellStart"/>
      <w:r w:rsidRPr="002906A3">
        <w:t>Examining</w:t>
      </w:r>
      <w:proofErr w:type="spellEnd"/>
      <w:r w:rsidRPr="002906A3">
        <w:t xml:space="preserve"> </w:t>
      </w:r>
      <w:proofErr w:type="spellStart"/>
      <w:r w:rsidRPr="002906A3">
        <w:t>Existential</w:t>
      </w:r>
      <w:proofErr w:type="spellEnd"/>
      <w:r w:rsidRPr="002906A3">
        <w:t xml:space="preserve"> </w:t>
      </w:r>
      <w:proofErr w:type="spellStart"/>
      <w:r w:rsidRPr="002906A3">
        <w:t>Crisis</w:t>
      </w:r>
      <w:proofErr w:type="spellEnd"/>
      <w:r w:rsidRPr="002906A3">
        <w:t xml:space="preserv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East West </w:t>
      </w:r>
      <w:proofErr w:type="spellStart"/>
      <w:r w:rsidRPr="002906A3">
        <w:t>University</w:t>
      </w:r>
      <w:proofErr w:type="spellEnd"/>
      <w:r w:rsidRPr="002906A3">
        <w:t>).</w:t>
      </w:r>
    </w:p>
    <w:p w14:paraId="6CBD7DB6" w14:textId="77777777" w:rsidR="001E7189" w:rsidRPr="002906A3" w:rsidRDefault="001E7189">
      <w:pPr>
        <w:pStyle w:val="ListeParagraf"/>
        <w:numPr>
          <w:ilvl w:val="0"/>
          <w:numId w:val="51"/>
        </w:numPr>
      </w:pPr>
      <w:proofErr w:type="spellStart"/>
      <w:r w:rsidRPr="002906A3">
        <w:t>Juntunen</w:t>
      </w:r>
      <w:proofErr w:type="spellEnd"/>
      <w:r w:rsidRPr="002906A3">
        <w:t xml:space="preserve">, H. (2015). </w:t>
      </w:r>
      <w:proofErr w:type="spellStart"/>
      <w:r w:rsidRPr="002906A3">
        <w:t>Emerging</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Margin</w:t>
      </w:r>
      <w:proofErr w:type="spellEnd"/>
      <w:r w:rsidRPr="002906A3">
        <w:t>–</w:t>
      </w:r>
      <w:proofErr w:type="spellStart"/>
      <w:r w:rsidRPr="002906A3">
        <w:t>Absurd</w:t>
      </w:r>
      <w:proofErr w:type="spellEnd"/>
      <w:r w:rsidRPr="002906A3">
        <w:t xml:space="preserve">, </w:t>
      </w:r>
      <w:proofErr w:type="spellStart"/>
      <w:r w:rsidRPr="002906A3">
        <w:t>Grotesque</w:t>
      </w:r>
      <w:proofErr w:type="spellEnd"/>
      <w:r w:rsidRPr="002906A3">
        <w:t xml:space="preserve">, </w:t>
      </w:r>
      <w:proofErr w:type="spellStart"/>
      <w:r w:rsidRPr="002906A3">
        <w:t>and</w:t>
      </w:r>
      <w:proofErr w:type="spellEnd"/>
      <w:r w:rsidRPr="002906A3">
        <w:t xml:space="preserve"> </w:t>
      </w:r>
      <w:proofErr w:type="spellStart"/>
      <w:r w:rsidRPr="002906A3">
        <w:t>Meaningless</w:t>
      </w:r>
      <w:proofErr w:type="spellEnd"/>
      <w:r w:rsidRPr="002906A3">
        <w:t xml:space="preserve"> </w:t>
      </w:r>
      <w:proofErr w:type="spellStart"/>
      <w:r w:rsidRPr="002906A3">
        <w:t>Meanings</w:t>
      </w:r>
      <w:proofErr w:type="spellEnd"/>
      <w:r w:rsidRPr="002906A3">
        <w:t xml:space="preserve"> in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Master's</w:t>
      </w:r>
      <w:proofErr w:type="spellEnd"/>
      <w:r w:rsidRPr="002906A3">
        <w:t xml:space="preserve"> </w:t>
      </w:r>
      <w:proofErr w:type="spellStart"/>
      <w:r w:rsidRPr="002906A3">
        <w:t>thesis</w:t>
      </w:r>
      <w:proofErr w:type="spellEnd"/>
      <w:r w:rsidRPr="002906A3">
        <w:t>).</w:t>
      </w:r>
    </w:p>
    <w:p w14:paraId="3C8CB025" w14:textId="77777777" w:rsidR="001E7189" w:rsidRPr="002906A3" w:rsidRDefault="001E7189">
      <w:pPr>
        <w:pStyle w:val="ListeParagraf"/>
        <w:numPr>
          <w:ilvl w:val="0"/>
          <w:numId w:val="51"/>
        </w:numPr>
      </w:pPr>
      <w:proofErr w:type="spellStart"/>
      <w:r w:rsidRPr="002906A3">
        <w:t>Juntunen</w:t>
      </w:r>
      <w:proofErr w:type="spellEnd"/>
      <w:r w:rsidRPr="002906A3">
        <w:t xml:space="preserve">, H. (2018). </w:t>
      </w:r>
      <w:proofErr w:type="spellStart"/>
      <w:r w:rsidRPr="002906A3">
        <w:t>The</w:t>
      </w:r>
      <w:proofErr w:type="spellEnd"/>
      <w:r w:rsidRPr="002906A3">
        <w:t xml:space="preserve"> </w:t>
      </w:r>
      <w:proofErr w:type="spellStart"/>
      <w:r w:rsidRPr="002906A3">
        <w:t>Grotesque</w:t>
      </w:r>
      <w:proofErr w:type="spellEnd"/>
      <w:r w:rsidRPr="002906A3">
        <w:t xml:space="preserve"> of Silence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B74176">
        <w:rPr>
          <w:i/>
          <w:iCs/>
        </w:rPr>
        <w:t>In</w:t>
      </w:r>
      <w:proofErr w:type="spellEnd"/>
      <w:r w:rsidRPr="00B74176">
        <w:rPr>
          <w:i/>
          <w:iCs/>
        </w:rPr>
        <w:t xml:space="preserve"> </w:t>
      </w:r>
      <w:proofErr w:type="spellStart"/>
      <w:r w:rsidRPr="00B74176">
        <w:rPr>
          <w:i/>
          <w:iCs/>
        </w:rPr>
        <w:t>Search</w:t>
      </w:r>
      <w:proofErr w:type="spellEnd"/>
      <w:r w:rsidRPr="00B74176">
        <w:rPr>
          <w:i/>
          <w:iCs/>
        </w:rPr>
        <w:t xml:space="preserve"> of </w:t>
      </w:r>
      <w:proofErr w:type="spellStart"/>
      <w:r w:rsidRPr="00B74176">
        <w:rPr>
          <w:i/>
          <w:iCs/>
        </w:rPr>
        <w:t>Meaning</w:t>
      </w:r>
      <w:proofErr w:type="spellEnd"/>
      <w:r w:rsidRPr="002906A3">
        <w:t>, 39.</w:t>
      </w:r>
    </w:p>
    <w:p w14:paraId="7C4E4D09" w14:textId="77777777" w:rsidR="001E7189" w:rsidRPr="002906A3" w:rsidRDefault="001E7189">
      <w:pPr>
        <w:pStyle w:val="ListeParagraf"/>
        <w:numPr>
          <w:ilvl w:val="0"/>
          <w:numId w:val="51"/>
        </w:numPr>
      </w:pPr>
      <w:r w:rsidRPr="002906A3">
        <w:t>Karakuş, Ö. (</w:t>
      </w:r>
      <w:proofErr w:type="spellStart"/>
      <w:r w:rsidRPr="002906A3">
        <w:t>n.d</w:t>
      </w:r>
      <w:proofErr w:type="spellEnd"/>
      <w:r w:rsidRPr="002906A3">
        <w:t xml:space="preserve">.). </w:t>
      </w:r>
      <w:proofErr w:type="spellStart"/>
      <w:r w:rsidRPr="002906A3">
        <w:t>The</w:t>
      </w:r>
      <w:proofErr w:type="spellEnd"/>
      <w:r w:rsidRPr="002906A3">
        <w:t xml:space="preserve"> </w:t>
      </w:r>
      <w:proofErr w:type="spellStart"/>
      <w:r w:rsidRPr="002906A3">
        <w:t>concept</w:t>
      </w:r>
      <w:proofErr w:type="spellEnd"/>
      <w:r w:rsidRPr="002906A3">
        <w:t xml:space="preserve"> of time </w:t>
      </w:r>
      <w:proofErr w:type="spellStart"/>
      <w:r w:rsidRPr="002906A3">
        <w:t>and</w:t>
      </w:r>
      <w:proofErr w:type="spellEnd"/>
      <w:r w:rsidRPr="002906A3">
        <w:t xml:space="preserve"> </w:t>
      </w:r>
      <w:proofErr w:type="spellStart"/>
      <w:r w:rsidRPr="002906A3">
        <w:t>nothingness</w:t>
      </w:r>
      <w:proofErr w:type="spellEnd"/>
      <w:r w:rsidRPr="002906A3">
        <w:t xml:space="preserve"> in </w:t>
      </w:r>
      <w:proofErr w:type="spellStart"/>
      <w:r w:rsidRPr="002906A3">
        <w:t>Shakespeare's</w:t>
      </w:r>
      <w:proofErr w:type="spellEnd"/>
      <w:r w:rsidRPr="002906A3">
        <w:t xml:space="preserve"> </w:t>
      </w:r>
      <w:r w:rsidRPr="00B74176">
        <w:rPr>
          <w:i/>
          <w:iCs/>
        </w:rPr>
        <w:t>Hamlet</w:t>
      </w:r>
      <w:r w:rsidRPr="002906A3">
        <w:t xml:space="preserve">,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and</w:t>
      </w:r>
      <w:proofErr w:type="spellEnd"/>
      <w:r w:rsidRPr="002906A3">
        <w:t xml:space="preserve"> </w:t>
      </w:r>
      <w:proofErr w:type="spellStart"/>
      <w:r w:rsidRPr="002906A3">
        <w:t>Sufism</w:t>
      </w:r>
      <w:proofErr w:type="spellEnd"/>
      <w:r w:rsidRPr="002906A3">
        <w:t xml:space="preserve"> (</w:t>
      </w:r>
      <w:proofErr w:type="spellStart"/>
      <w:r w:rsidRPr="002906A3">
        <w:t>Master's</w:t>
      </w:r>
      <w:proofErr w:type="spellEnd"/>
      <w:r w:rsidRPr="002906A3">
        <w:t xml:space="preserve"> </w:t>
      </w:r>
      <w:proofErr w:type="spellStart"/>
      <w:r w:rsidRPr="002906A3">
        <w:t>thesis</w:t>
      </w:r>
      <w:proofErr w:type="spellEnd"/>
      <w:r w:rsidRPr="002906A3">
        <w:t>, Sosyal Bilimler Enstitüsü).</w:t>
      </w:r>
    </w:p>
    <w:p w14:paraId="62EE4B0D" w14:textId="77777777" w:rsidR="001E7189" w:rsidRPr="002906A3" w:rsidRDefault="001E7189">
      <w:pPr>
        <w:pStyle w:val="ListeParagraf"/>
        <w:numPr>
          <w:ilvl w:val="0"/>
          <w:numId w:val="51"/>
        </w:numPr>
      </w:pPr>
      <w:proofErr w:type="spellStart"/>
      <w:r w:rsidRPr="002906A3">
        <w:t>Khan</w:t>
      </w:r>
      <w:proofErr w:type="spellEnd"/>
      <w:r w:rsidRPr="002906A3">
        <w:t xml:space="preserve">, A. B., </w:t>
      </w:r>
      <w:proofErr w:type="spellStart"/>
      <w:r w:rsidRPr="002906A3">
        <w:t>Mansoor</w:t>
      </w:r>
      <w:proofErr w:type="spellEnd"/>
      <w:r w:rsidRPr="002906A3">
        <w:t xml:space="preserve">, H. S., &amp; </w:t>
      </w:r>
      <w:proofErr w:type="spellStart"/>
      <w:r w:rsidRPr="002906A3">
        <w:t>Alia</w:t>
      </w:r>
      <w:proofErr w:type="spellEnd"/>
      <w:r w:rsidRPr="002906A3">
        <w:t xml:space="preserve">, H. (2015). </w:t>
      </w:r>
      <w:proofErr w:type="spellStart"/>
      <w:r w:rsidRPr="002906A3">
        <w:t>The</w:t>
      </w:r>
      <w:proofErr w:type="spellEnd"/>
      <w:r w:rsidRPr="002906A3">
        <w:t xml:space="preserve"> </w:t>
      </w:r>
      <w:proofErr w:type="spellStart"/>
      <w:r w:rsidRPr="002906A3">
        <w:t>Impact</w:t>
      </w:r>
      <w:proofErr w:type="spellEnd"/>
      <w:r w:rsidRPr="002906A3">
        <w:t xml:space="preserve"> of </w:t>
      </w:r>
      <w:proofErr w:type="spellStart"/>
      <w:r w:rsidRPr="002906A3">
        <w:t>Absurdism</w:t>
      </w:r>
      <w:proofErr w:type="spellEnd"/>
      <w:r w:rsidRPr="002906A3">
        <w:t xml:space="preserve"> in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by</w:t>
      </w:r>
      <w:proofErr w:type="spellEnd"/>
      <w:r w:rsidRPr="002906A3">
        <w:t xml:space="preserve"> Samuel Beckett. </w:t>
      </w:r>
      <w:r w:rsidRPr="00B74176">
        <w:rPr>
          <w:i/>
          <w:iCs/>
        </w:rPr>
        <w:t xml:space="preserve">International </w:t>
      </w:r>
      <w:proofErr w:type="spellStart"/>
      <w:r w:rsidRPr="00B74176">
        <w:rPr>
          <w:i/>
          <w:iCs/>
        </w:rPr>
        <w:t>Journal</w:t>
      </w:r>
      <w:proofErr w:type="spellEnd"/>
      <w:r w:rsidRPr="00B74176">
        <w:rPr>
          <w:i/>
          <w:iCs/>
        </w:rPr>
        <w:t xml:space="preserve"> of </w:t>
      </w:r>
      <w:proofErr w:type="spellStart"/>
      <w:r w:rsidRPr="00B74176">
        <w:rPr>
          <w:i/>
          <w:iCs/>
        </w:rPr>
        <w:t>Multidisciplinary</w:t>
      </w:r>
      <w:proofErr w:type="spellEnd"/>
      <w:r w:rsidRPr="00B74176">
        <w:rPr>
          <w:i/>
          <w:iCs/>
        </w:rPr>
        <w:t xml:space="preserve"> </w:t>
      </w:r>
      <w:proofErr w:type="spellStart"/>
      <w:r w:rsidRPr="00B74176">
        <w:rPr>
          <w:i/>
          <w:iCs/>
        </w:rPr>
        <w:t>Research</w:t>
      </w:r>
      <w:proofErr w:type="spellEnd"/>
      <w:r w:rsidRPr="00B74176">
        <w:rPr>
          <w:i/>
          <w:iCs/>
        </w:rPr>
        <w:t xml:space="preserve"> </w:t>
      </w:r>
      <w:proofErr w:type="spellStart"/>
      <w:r w:rsidRPr="00B74176">
        <w:rPr>
          <w:i/>
          <w:iCs/>
        </w:rPr>
        <w:t>and</w:t>
      </w:r>
      <w:proofErr w:type="spellEnd"/>
      <w:r w:rsidRPr="00B74176">
        <w:rPr>
          <w:i/>
          <w:iCs/>
        </w:rPr>
        <w:t xml:space="preserve"> Modern </w:t>
      </w:r>
      <w:proofErr w:type="spellStart"/>
      <w:r w:rsidRPr="00B74176">
        <w:rPr>
          <w:i/>
          <w:iCs/>
        </w:rPr>
        <w:t>Education</w:t>
      </w:r>
      <w:proofErr w:type="spellEnd"/>
      <w:r w:rsidRPr="002906A3">
        <w:t>, 1(2), 312.</w:t>
      </w:r>
    </w:p>
    <w:p w14:paraId="6AC22A6E" w14:textId="77777777" w:rsidR="001E7189" w:rsidRPr="002906A3" w:rsidRDefault="001E7189">
      <w:pPr>
        <w:pStyle w:val="ListeParagraf"/>
        <w:numPr>
          <w:ilvl w:val="0"/>
          <w:numId w:val="51"/>
        </w:numPr>
      </w:pPr>
      <w:proofErr w:type="spellStart"/>
      <w:r w:rsidRPr="002906A3">
        <w:t>Kouachi</w:t>
      </w:r>
      <w:proofErr w:type="spellEnd"/>
      <w:r w:rsidRPr="002906A3">
        <w:t xml:space="preserve">, R. (2018). </w:t>
      </w:r>
      <w:proofErr w:type="spellStart"/>
      <w:r w:rsidRPr="002906A3">
        <w:t>Eloquent</w:t>
      </w:r>
      <w:proofErr w:type="spellEnd"/>
      <w:r w:rsidRPr="002906A3">
        <w:t xml:space="preserve"> </w:t>
      </w:r>
      <w:proofErr w:type="spellStart"/>
      <w:r w:rsidRPr="002906A3">
        <w:t>Silences</w:t>
      </w:r>
      <w:proofErr w:type="spellEnd"/>
      <w:r w:rsidRPr="002906A3">
        <w:t xml:space="preserv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and</w:t>
      </w:r>
      <w:proofErr w:type="spellEnd"/>
      <w:r w:rsidRPr="002906A3">
        <w:t xml:space="preserve"> Harold </w:t>
      </w:r>
      <w:proofErr w:type="spellStart"/>
      <w:r w:rsidRPr="002906A3">
        <w:t>Pinter’s</w:t>
      </w:r>
      <w:proofErr w:type="spellEnd"/>
      <w:r w:rsidRPr="002906A3">
        <w:t xml:space="preserve"> </w:t>
      </w:r>
      <w:proofErr w:type="spellStart"/>
      <w:r w:rsidRPr="00B74176">
        <w:rPr>
          <w:i/>
          <w:iCs/>
        </w:rPr>
        <w:t>The</w:t>
      </w:r>
      <w:proofErr w:type="spellEnd"/>
      <w:r w:rsidRPr="00B74176">
        <w:rPr>
          <w:i/>
          <w:iCs/>
        </w:rPr>
        <w:t xml:space="preserve"> </w:t>
      </w:r>
      <w:proofErr w:type="spellStart"/>
      <w:r w:rsidRPr="00B74176">
        <w:rPr>
          <w:i/>
          <w:iCs/>
        </w:rPr>
        <w:t>Dumb</w:t>
      </w:r>
      <w:proofErr w:type="spellEnd"/>
      <w:r w:rsidRPr="00B74176">
        <w:rPr>
          <w:i/>
          <w:iCs/>
        </w:rPr>
        <w:t xml:space="preserve"> </w:t>
      </w:r>
      <w:proofErr w:type="spellStart"/>
      <w:r w:rsidRPr="00B74176">
        <w:rPr>
          <w:i/>
          <w:iCs/>
        </w:rPr>
        <w:t>Waiter</w:t>
      </w:r>
      <w:proofErr w:type="spellEnd"/>
      <w:r w:rsidRPr="002906A3">
        <w:t>.</w:t>
      </w:r>
    </w:p>
    <w:p w14:paraId="35E2AFB4" w14:textId="77777777" w:rsidR="001E7189" w:rsidRPr="002906A3" w:rsidRDefault="001E7189">
      <w:pPr>
        <w:pStyle w:val="ListeParagraf"/>
        <w:numPr>
          <w:ilvl w:val="0"/>
          <w:numId w:val="51"/>
        </w:numPr>
      </w:pPr>
      <w:r w:rsidRPr="002906A3">
        <w:t xml:space="preserve">Linda, B. (2021). </w:t>
      </w:r>
      <w:proofErr w:type="spellStart"/>
      <w:r w:rsidRPr="002906A3">
        <w:t>Analysing</w:t>
      </w:r>
      <w:proofErr w:type="spellEnd"/>
      <w:r w:rsidRPr="002906A3">
        <w:t xml:space="preserve"> </w:t>
      </w:r>
      <w:proofErr w:type="spellStart"/>
      <w:r w:rsidRPr="002906A3">
        <w:t>the</w:t>
      </w:r>
      <w:proofErr w:type="spellEnd"/>
      <w:r w:rsidRPr="002906A3">
        <w:t xml:space="preserve"> </w:t>
      </w:r>
      <w:proofErr w:type="spellStart"/>
      <w:r w:rsidRPr="002906A3">
        <w:t>Artistic</w:t>
      </w:r>
      <w:proofErr w:type="spellEnd"/>
      <w:r w:rsidRPr="002906A3">
        <w:t xml:space="preserve"> </w:t>
      </w:r>
      <w:proofErr w:type="spellStart"/>
      <w:r w:rsidRPr="002906A3">
        <w:t>Use</w:t>
      </w:r>
      <w:proofErr w:type="spellEnd"/>
      <w:r w:rsidRPr="002906A3">
        <w:t xml:space="preserve"> of Silence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w:t>
      </w:r>
    </w:p>
    <w:p w14:paraId="547B5BE3" w14:textId="77777777" w:rsidR="001E7189" w:rsidRPr="002906A3" w:rsidRDefault="001E7189">
      <w:pPr>
        <w:pStyle w:val="ListeParagraf"/>
        <w:numPr>
          <w:ilvl w:val="0"/>
          <w:numId w:val="51"/>
        </w:numPr>
      </w:pPr>
      <w:proofErr w:type="spellStart"/>
      <w:r w:rsidRPr="002906A3">
        <w:t>Mukhemar</w:t>
      </w:r>
      <w:proofErr w:type="spellEnd"/>
      <w:r w:rsidRPr="002906A3">
        <w:t xml:space="preserve">, R. (2019). </w:t>
      </w:r>
      <w:proofErr w:type="spellStart"/>
      <w:r w:rsidRPr="002906A3">
        <w:t>The</w:t>
      </w:r>
      <w:proofErr w:type="spellEnd"/>
      <w:r w:rsidRPr="002906A3">
        <w:t xml:space="preserve"> Inter-</w:t>
      </w:r>
      <w:proofErr w:type="spellStart"/>
      <w:r w:rsidRPr="002906A3">
        <w:t>Semiotic</w:t>
      </w:r>
      <w:proofErr w:type="spellEnd"/>
      <w:r w:rsidRPr="002906A3">
        <w:t xml:space="preserve"> </w:t>
      </w:r>
      <w:proofErr w:type="spellStart"/>
      <w:r w:rsidRPr="002906A3">
        <w:t>Translation</w:t>
      </w:r>
      <w:proofErr w:type="spellEnd"/>
      <w:r w:rsidRPr="002906A3">
        <w:t xml:space="preserve"> </w:t>
      </w:r>
      <w:proofErr w:type="spellStart"/>
      <w:r w:rsidRPr="002906A3">
        <w:t>into</w:t>
      </w:r>
      <w:proofErr w:type="spellEnd"/>
      <w:r w:rsidRPr="002906A3">
        <w:t xml:space="preserve"> </w:t>
      </w:r>
      <w:proofErr w:type="spellStart"/>
      <w:r w:rsidRPr="002906A3">
        <w:t>Arabic</w:t>
      </w:r>
      <w:proofErr w:type="spellEnd"/>
      <w:r w:rsidRPr="002906A3">
        <w:t xml:space="preserve"> of </w:t>
      </w:r>
      <w:proofErr w:type="spellStart"/>
      <w:r w:rsidRPr="002906A3">
        <w:t>The</w:t>
      </w:r>
      <w:proofErr w:type="spellEnd"/>
      <w:r w:rsidRPr="002906A3">
        <w:t xml:space="preserve"> </w:t>
      </w:r>
      <w:proofErr w:type="spellStart"/>
      <w:r w:rsidRPr="002906A3">
        <w:t>Non-Verbal</w:t>
      </w:r>
      <w:proofErr w:type="spellEnd"/>
      <w:r w:rsidRPr="002906A3">
        <w:t xml:space="preserve"> </w:t>
      </w:r>
      <w:proofErr w:type="spellStart"/>
      <w:r w:rsidRPr="002906A3">
        <w:t>Signs</w:t>
      </w:r>
      <w:proofErr w:type="spellEnd"/>
      <w:r w:rsidRPr="002906A3">
        <w:t xml:space="preserv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(1952)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جامعة</w:t>
      </w:r>
      <w:proofErr w:type="spellEnd"/>
      <w:r w:rsidRPr="002906A3">
        <w:t xml:space="preserve"> </w:t>
      </w:r>
      <w:proofErr w:type="spellStart"/>
      <w:r w:rsidRPr="002906A3">
        <w:t>النجاح</w:t>
      </w:r>
      <w:proofErr w:type="spellEnd"/>
      <w:r w:rsidRPr="002906A3">
        <w:t xml:space="preserve"> </w:t>
      </w:r>
      <w:proofErr w:type="spellStart"/>
      <w:r w:rsidRPr="002906A3">
        <w:t>الوطنية</w:t>
      </w:r>
      <w:proofErr w:type="spellEnd"/>
      <w:r w:rsidRPr="002906A3">
        <w:t>).</w:t>
      </w:r>
      <w:r w:rsidRPr="002906A3">
        <w:br/>
      </w:r>
      <w:proofErr w:type="spellStart"/>
      <w:r w:rsidRPr="002906A3">
        <w:t>Neupane</w:t>
      </w:r>
      <w:proofErr w:type="spellEnd"/>
      <w:r w:rsidRPr="002906A3">
        <w:t xml:space="preserve">, K. (2024). Silence </w:t>
      </w:r>
      <w:proofErr w:type="spellStart"/>
      <w:r w:rsidRPr="002906A3">
        <w:t>Speaks</w:t>
      </w:r>
      <w:proofErr w:type="spellEnd"/>
      <w:r w:rsidRPr="002906A3">
        <w:t xml:space="preserve"> </w:t>
      </w:r>
      <w:proofErr w:type="spellStart"/>
      <w:r w:rsidRPr="002906A3">
        <w:t>Volumes</w:t>
      </w:r>
      <w:proofErr w:type="spellEnd"/>
      <w:r w:rsidRPr="002906A3">
        <w:t xml:space="preserve"> in Samuel </w:t>
      </w:r>
      <w:proofErr w:type="spellStart"/>
      <w:r w:rsidRPr="002906A3">
        <w:t>Beckett's</w:t>
      </w:r>
      <w:proofErr w:type="spellEnd"/>
      <w:r w:rsidRPr="002906A3">
        <w:t xml:space="preserve">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and</w:t>
      </w:r>
      <w:proofErr w:type="spellEnd"/>
      <w:r w:rsidRPr="002906A3">
        <w:t xml:space="preserve"> </w:t>
      </w:r>
      <w:proofErr w:type="spellStart"/>
      <w:r w:rsidRPr="00B74176">
        <w:rPr>
          <w:i/>
          <w:iCs/>
        </w:rPr>
        <w:t>Krapp's</w:t>
      </w:r>
      <w:proofErr w:type="spellEnd"/>
      <w:r w:rsidRPr="00B74176">
        <w:rPr>
          <w:i/>
          <w:iCs/>
        </w:rPr>
        <w:t xml:space="preserve"> </w:t>
      </w:r>
      <w:proofErr w:type="spellStart"/>
      <w:r w:rsidRPr="00B74176">
        <w:rPr>
          <w:i/>
          <w:iCs/>
        </w:rPr>
        <w:t>Last</w:t>
      </w:r>
      <w:proofErr w:type="spellEnd"/>
      <w:r w:rsidRPr="00B74176">
        <w:rPr>
          <w:i/>
          <w:iCs/>
        </w:rPr>
        <w:t xml:space="preserve"> Tape</w:t>
      </w:r>
      <w:r w:rsidRPr="002906A3">
        <w:t xml:space="preserve">. </w:t>
      </w:r>
      <w:proofErr w:type="spellStart"/>
      <w:r w:rsidRPr="00B74176">
        <w:rPr>
          <w:i/>
          <w:iCs/>
        </w:rPr>
        <w:t>Literary</w:t>
      </w:r>
      <w:proofErr w:type="spellEnd"/>
      <w:r w:rsidRPr="00B74176">
        <w:rPr>
          <w:i/>
          <w:iCs/>
        </w:rPr>
        <w:t xml:space="preserve"> </w:t>
      </w:r>
      <w:proofErr w:type="spellStart"/>
      <w:r w:rsidRPr="00B74176">
        <w:rPr>
          <w:i/>
          <w:iCs/>
        </w:rPr>
        <w:t>Studies</w:t>
      </w:r>
      <w:proofErr w:type="spellEnd"/>
      <w:r w:rsidRPr="002906A3">
        <w:t>, 69-75.</w:t>
      </w:r>
    </w:p>
    <w:p w14:paraId="1B8108F4" w14:textId="6D27A1F6" w:rsidR="00C70E93" w:rsidRDefault="001E7189">
      <w:pPr>
        <w:pStyle w:val="ListeParagraf"/>
        <w:numPr>
          <w:ilvl w:val="0"/>
          <w:numId w:val="51"/>
        </w:numPr>
      </w:pPr>
      <w:proofErr w:type="spellStart"/>
      <w:r w:rsidRPr="002906A3">
        <w:t>Withanage</w:t>
      </w:r>
      <w:proofErr w:type="spellEnd"/>
      <w:r w:rsidRPr="002906A3">
        <w:t xml:space="preserve">, I. H. (2011).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Nothing</w:t>
      </w:r>
      <w:proofErr w:type="spellEnd"/>
      <w:r w:rsidRPr="00B74176">
        <w:rPr>
          <w:i/>
          <w:iCs/>
        </w:rPr>
        <w:t xml:space="preserve">; an Analysis of </w:t>
      </w:r>
      <w:proofErr w:type="spellStart"/>
      <w:r w:rsidRPr="00B74176">
        <w:rPr>
          <w:i/>
          <w:iCs/>
        </w:rPr>
        <w:t>Waiting</w:t>
      </w:r>
      <w:proofErr w:type="spellEnd"/>
      <w:r w:rsidRPr="00B74176">
        <w:rPr>
          <w:i/>
          <w:iCs/>
        </w:rPr>
        <w:t xml:space="preserve"> </w:t>
      </w:r>
      <w:proofErr w:type="spellStart"/>
      <w:r w:rsidRPr="00B74176">
        <w:rPr>
          <w:i/>
          <w:iCs/>
        </w:rPr>
        <w:t>for</w:t>
      </w:r>
      <w:proofErr w:type="spellEnd"/>
      <w:r w:rsidRPr="00B74176">
        <w:rPr>
          <w:i/>
          <w:iCs/>
        </w:rPr>
        <w:t xml:space="preserve"> </w:t>
      </w:r>
      <w:proofErr w:type="spellStart"/>
      <w:r w:rsidRPr="00B74176">
        <w:rPr>
          <w:i/>
          <w:iCs/>
        </w:rPr>
        <w:t>Godot</w:t>
      </w:r>
      <w:proofErr w:type="spellEnd"/>
      <w:r w:rsidRPr="002906A3">
        <w:t xml:space="preserve"> </w:t>
      </w:r>
      <w:proofErr w:type="spellStart"/>
      <w:r w:rsidRPr="002906A3">
        <w:t>by</w:t>
      </w:r>
      <w:proofErr w:type="spellEnd"/>
      <w:r w:rsidRPr="002906A3">
        <w:t xml:space="preserve"> Samuel Beckett (</w:t>
      </w:r>
      <w:proofErr w:type="spellStart"/>
      <w:r w:rsidRPr="002906A3">
        <w:t>Doctoral</w:t>
      </w:r>
      <w:proofErr w:type="spellEnd"/>
      <w:r w:rsidRPr="002906A3">
        <w:t xml:space="preserve"> </w:t>
      </w:r>
      <w:proofErr w:type="spellStart"/>
      <w:r w:rsidRPr="002906A3">
        <w:t>dissertation</w:t>
      </w:r>
      <w:proofErr w:type="spellEnd"/>
      <w:r w:rsidRPr="002906A3">
        <w:t>).</w:t>
      </w:r>
    </w:p>
    <w:p w14:paraId="488411FB" w14:textId="100636BD" w:rsidR="00BF3875" w:rsidRPr="002906A3" w:rsidRDefault="00C70E93" w:rsidP="00C70E93">
      <w:pPr>
        <w:autoSpaceDE/>
        <w:autoSpaceDN/>
      </w:pPr>
      <w:r>
        <w:br w:type="page"/>
      </w:r>
    </w:p>
    <w:p w14:paraId="40414B49" w14:textId="77777777" w:rsidR="001E7189" w:rsidRDefault="001E7189" w:rsidP="00BA67A6">
      <w:pPr>
        <w:jc w:val="center"/>
        <w:rPr>
          <w:b/>
          <w:bCs/>
        </w:rPr>
      </w:pPr>
      <w:r w:rsidRPr="002906A3">
        <w:rPr>
          <w:b/>
          <w:bCs/>
        </w:rPr>
        <w:lastRenderedPageBreak/>
        <w:t xml:space="preserve">Frankenstein: </w:t>
      </w:r>
      <w:proofErr w:type="spellStart"/>
      <w:r w:rsidRPr="002906A3">
        <w:rPr>
          <w:b/>
          <w:bCs/>
        </w:rPr>
        <w:t>The</w:t>
      </w:r>
      <w:proofErr w:type="spellEnd"/>
      <w:r w:rsidRPr="002906A3">
        <w:rPr>
          <w:b/>
          <w:bCs/>
        </w:rPr>
        <w:t xml:space="preserve"> </w:t>
      </w:r>
      <w:proofErr w:type="spellStart"/>
      <w:r w:rsidRPr="002906A3">
        <w:rPr>
          <w:b/>
          <w:bCs/>
        </w:rPr>
        <w:t>Ethical</w:t>
      </w:r>
      <w:proofErr w:type="spellEnd"/>
      <w:r w:rsidRPr="002906A3">
        <w:rPr>
          <w:b/>
          <w:bCs/>
        </w:rPr>
        <w:t xml:space="preserve"> </w:t>
      </w:r>
      <w:proofErr w:type="spellStart"/>
      <w:r w:rsidRPr="002906A3">
        <w:rPr>
          <w:b/>
          <w:bCs/>
        </w:rPr>
        <w:t>Paradigms</w:t>
      </w:r>
      <w:proofErr w:type="spellEnd"/>
      <w:r w:rsidRPr="002906A3">
        <w:rPr>
          <w:b/>
          <w:bCs/>
        </w:rPr>
        <w:t xml:space="preserve"> of </w:t>
      </w:r>
      <w:proofErr w:type="spellStart"/>
      <w:r w:rsidRPr="002906A3">
        <w:rPr>
          <w:b/>
          <w:bCs/>
        </w:rPr>
        <w:t>Creation</w:t>
      </w:r>
      <w:proofErr w:type="spellEnd"/>
      <w:r w:rsidRPr="002906A3">
        <w:rPr>
          <w:b/>
          <w:bCs/>
        </w:rPr>
        <w:t xml:space="preserve"> in </w:t>
      </w:r>
      <w:proofErr w:type="spellStart"/>
      <w:r w:rsidRPr="002906A3">
        <w:rPr>
          <w:b/>
          <w:bCs/>
        </w:rPr>
        <w:t>the</w:t>
      </w:r>
      <w:proofErr w:type="spellEnd"/>
      <w:r w:rsidRPr="002906A3">
        <w:rPr>
          <w:b/>
          <w:bCs/>
        </w:rPr>
        <w:t xml:space="preserve"> Age of </w:t>
      </w:r>
      <w:proofErr w:type="spellStart"/>
      <w:r w:rsidRPr="002906A3">
        <w:rPr>
          <w:b/>
          <w:bCs/>
        </w:rPr>
        <w:t>Artificial</w:t>
      </w:r>
      <w:proofErr w:type="spellEnd"/>
      <w:r w:rsidRPr="002906A3">
        <w:rPr>
          <w:b/>
          <w:bCs/>
        </w:rPr>
        <w:t xml:space="preserve"> </w:t>
      </w:r>
      <w:proofErr w:type="spellStart"/>
      <w:r w:rsidRPr="002906A3">
        <w:rPr>
          <w:b/>
          <w:bCs/>
        </w:rPr>
        <w:t>Intelligence</w:t>
      </w:r>
      <w:proofErr w:type="spellEnd"/>
    </w:p>
    <w:p w14:paraId="437D0142" w14:textId="77777777" w:rsidR="00BF3875" w:rsidRPr="002906A3" w:rsidRDefault="00BF3875" w:rsidP="00BA67A6">
      <w:pPr>
        <w:jc w:val="center"/>
        <w:rPr>
          <w:b/>
          <w:bCs/>
        </w:rPr>
      </w:pPr>
    </w:p>
    <w:p w14:paraId="23F216C6" w14:textId="77777777" w:rsidR="001E7189" w:rsidRPr="002906A3" w:rsidRDefault="001E7189" w:rsidP="00BA67A6">
      <w:pPr>
        <w:jc w:val="center"/>
      </w:pPr>
      <w:r w:rsidRPr="002906A3">
        <w:t xml:space="preserve">Duygu </w:t>
      </w:r>
      <w:proofErr w:type="spellStart"/>
      <w:r w:rsidRPr="002906A3">
        <w:t>Koroncu</w:t>
      </w:r>
      <w:proofErr w:type="spellEnd"/>
      <w:r w:rsidRPr="002906A3">
        <w:t xml:space="preserve"> </w:t>
      </w:r>
      <w:proofErr w:type="spellStart"/>
      <w:r w:rsidRPr="002906A3">
        <w:t>Özbilen</w:t>
      </w:r>
      <w:proofErr w:type="spellEnd"/>
    </w:p>
    <w:p w14:paraId="196068F2" w14:textId="77777777" w:rsidR="001E7189" w:rsidRPr="002906A3" w:rsidRDefault="001E7189" w:rsidP="00BA67A6">
      <w:pPr>
        <w:jc w:val="center"/>
      </w:pPr>
      <w:proofErr w:type="spellStart"/>
      <w:r w:rsidRPr="002906A3">
        <w:t>Instructor</w:t>
      </w:r>
      <w:proofErr w:type="spellEnd"/>
      <w:r w:rsidRPr="002906A3">
        <w:t xml:space="preserve"> Dr., Yıldız Technical </w:t>
      </w:r>
      <w:proofErr w:type="spellStart"/>
      <w:r w:rsidRPr="002906A3">
        <w:t>University</w:t>
      </w:r>
      <w:proofErr w:type="spellEnd"/>
      <w:r w:rsidRPr="002906A3">
        <w:t xml:space="preserve">, </w:t>
      </w:r>
      <w:proofErr w:type="spellStart"/>
      <w:r w:rsidRPr="002906A3">
        <w:t>Foreign</w:t>
      </w:r>
      <w:proofErr w:type="spellEnd"/>
      <w:r w:rsidRPr="002906A3">
        <w:t xml:space="preserve"> </w:t>
      </w:r>
      <w:proofErr w:type="spellStart"/>
      <w:r w:rsidRPr="002906A3">
        <w:t>Languages</w:t>
      </w:r>
      <w:proofErr w:type="spellEnd"/>
      <w:r w:rsidRPr="002906A3">
        <w:t xml:space="preserve"> </w:t>
      </w:r>
      <w:proofErr w:type="spellStart"/>
      <w:r w:rsidRPr="002906A3">
        <w:t>Department</w:t>
      </w:r>
      <w:proofErr w:type="spellEnd"/>
    </w:p>
    <w:p w14:paraId="22A6DC8A" w14:textId="77777777" w:rsidR="001E7189" w:rsidRPr="002906A3" w:rsidRDefault="001E7189" w:rsidP="00BA67A6">
      <w:pPr>
        <w:jc w:val="center"/>
      </w:pPr>
      <w:r w:rsidRPr="002906A3">
        <w:t>dozbilen@yildiz.edu.tr</w:t>
      </w:r>
    </w:p>
    <w:p w14:paraId="76675EB0" w14:textId="77777777" w:rsidR="001E7189" w:rsidRPr="002906A3" w:rsidRDefault="001E7189" w:rsidP="00BA67A6">
      <w:pPr>
        <w:jc w:val="center"/>
      </w:pPr>
      <w:r w:rsidRPr="002906A3">
        <w:t>0000-0003-0018-6389</w:t>
      </w:r>
    </w:p>
    <w:p w14:paraId="76A88DDB" w14:textId="77777777" w:rsidR="001E7189" w:rsidRPr="002906A3" w:rsidRDefault="001E7189" w:rsidP="00BA67A6">
      <w:pPr>
        <w:jc w:val="both"/>
      </w:pPr>
    </w:p>
    <w:p w14:paraId="125F0DF5" w14:textId="0DB2A440" w:rsidR="001E7189" w:rsidRPr="002906A3" w:rsidRDefault="001E7189" w:rsidP="00BA67A6">
      <w:pPr>
        <w:jc w:val="center"/>
        <w:rPr>
          <w:b/>
          <w:bCs/>
        </w:rPr>
      </w:pPr>
      <w:proofErr w:type="spellStart"/>
      <w:r w:rsidRPr="002906A3">
        <w:rPr>
          <w:b/>
          <w:bCs/>
        </w:rPr>
        <w:t>Abstract</w:t>
      </w:r>
      <w:proofErr w:type="spellEnd"/>
    </w:p>
    <w:p w14:paraId="63A71F0F"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purpose</w:t>
      </w:r>
      <w:proofErr w:type="spellEnd"/>
      <w:r w:rsidRPr="002906A3">
        <w:t xml:space="preserve"> of </w:t>
      </w:r>
      <w:proofErr w:type="spellStart"/>
      <w:r w:rsidRPr="002906A3">
        <w:t>this</w:t>
      </w:r>
      <w:proofErr w:type="spellEnd"/>
      <w:r w:rsidRPr="002906A3">
        <w:t xml:space="preserve"> </w:t>
      </w:r>
      <w:proofErr w:type="spellStart"/>
      <w:r w:rsidRPr="002906A3">
        <w:t>paper</w:t>
      </w:r>
      <w:proofErr w:type="spellEnd"/>
      <w:r w:rsidRPr="002906A3">
        <w:t xml:space="preserve"> is </w:t>
      </w:r>
      <w:proofErr w:type="spellStart"/>
      <w:r w:rsidRPr="002906A3">
        <w:t>to</w:t>
      </w:r>
      <w:proofErr w:type="spellEnd"/>
      <w:r w:rsidRPr="002906A3">
        <w:t xml:space="preserve"> </w:t>
      </w:r>
      <w:proofErr w:type="spellStart"/>
      <w:r w:rsidRPr="002906A3">
        <w:t>look</w:t>
      </w:r>
      <w:proofErr w:type="spellEnd"/>
      <w:r w:rsidRPr="002906A3">
        <w:t xml:space="preserve"> at </w:t>
      </w:r>
      <w:r w:rsidRPr="002906A3">
        <w:rPr>
          <w:i/>
          <w:iCs/>
        </w:rPr>
        <w:t xml:space="preserve">Frankenstein </w:t>
      </w:r>
      <w:proofErr w:type="spellStart"/>
      <w:r w:rsidRPr="002906A3">
        <w:t>by</w:t>
      </w:r>
      <w:proofErr w:type="spellEnd"/>
      <w:r w:rsidRPr="002906A3">
        <w:t xml:space="preserve"> Mary </w:t>
      </w:r>
      <w:proofErr w:type="spellStart"/>
      <w:r w:rsidRPr="002906A3">
        <w:t>Shelley</w:t>
      </w:r>
      <w:proofErr w:type="spellEnd"/>
      <w:r w:rsidRPr="002906A3">
        <w:t xml:space="preserve"> (1818) as a </w:t>
      </w:r>
      <w:proofErr w:type="spellStart"/>
      <w:r w:rsidRPr="002906A3">
        <w:t>literary</w:t>
      </w:r>
      <w:proofErr w:type="spellEnd"/>
      <w:r w:rsidRPr="002906A3">
        <w:t xml:space="preserve"> </w:t>
      </w:r>
      <w:proofErr w:type="spellStart"/>
      <w:r w:rsidRPr="002906A3">
        <w:t>work</w:t>
      </w:r>
      <w:proofErr w:type="spellEnd"/>
      <w:r w:rsidRPr="002906A3">
        <w:t xml:space="preserve"> </w:t>
      </w:r>
      <w:proofErr w:type="spellStart"/>
      <w:r w:rsidRPr="002906A3">
        <w:t>that</w:t>
      </w:r>
      <w:proofErr w:type="spellEnd"/>
      <w:r w:rsidRPr="002906A3">
        <w:t xml:space="preserve"> </w:t>
      </w:r>
      <w:proofErr w:type="spellStart"/>
      <w:r w:rsidRPr="002906A3">
        <w:t>influenced</w:t>
      </w:r>
      <w:proofErr w:type="spellEnd"/>
      <w:r w:rsidRPr="002906A3">
        <w:t xml:space="preserve"> </w:t>
      </w:r>
      <w:proofErr w:type="spellStart"/>
      <w:r w:rsidRPr="002906A3">
        <w:t>the</w:t>
      </w:r>
      <w:proofErr w:type="spellEnd"/>
      <w:r w:rsidRPr="002906A3">
        <w:t xml:space="preserve"> </w:t>
      </w:r>
      <w:proofErr w:type="spellStart"/>
      <w:r w:rsidRPr="002906A3">
        <w:t>ethics</w:t>
      </w:r>
      <w:proofErr w:type="spellEnd"/>
      <w:r w:rsidRPr="002906A3">
        <w:t xml:space="preserve"> of </w:t>
      </w:r>
      <w:proofErr w:type="spellStart"/>
      <w:r w:rsidRPr="002906A3">
        <w:t>artificial</w:t>
      </w:r>
      <w:proofErr w:type="spellEnd"/>
      <w:r w:rsidRPr="002906A3">
        <w:t xml:space="preserve"> </w:t>
      </w:r>
      <w:proofErr w:type="spellStart"/>
      <w:r w:rsidRPr="002906A3">
        <w:t>intelligence</w:t>
      </w:r>
      <w:proofErr w:type="spellEnd"/>
      <w:r w:rsidRPr="002906A3">
        <w:t xml:space="preserve"> (AI). </w:t>
      </w:r>
      <w:proofErr w:type="spellStart"/>
      <w:r w:rsidRPr="002906A3">
        <w:t>It</w:t>
      </w:r>
      <w:proofErr w:type="spellEnd"/>
      <w:r w:rsidRPr="002906A3">
        <w:t xml:space="preserve"> </w:t>
      </w:r>
      <w:proofErr w:type="spellStart"/>
      <w:r w:rsidRPr="002906A3">
        <w:t>focuses</w:t>
      </w:r>
      <w:proofErr w:type="spellEnd"/>
      <w:r w:rsidRPr="002906A3">
        <w:t xml:space="preserve"> on </w:t>
      </w:r>
      <w:proofErr w:type="spellStart"/>
      <w:r w:rsidRPr="002906A3">
        <w:t>creator</w:t>
      </w:r>
      <w:proofErr w:type="spellEnd"/>
      <w:r w:rsidRPr="002906A3">
        <w:t xml:space="preserve"> </w:t>
      </w:r>
      <w:proofErr w:type="spellStart"/>
      <w:r w:rsidRPr="002906A3">
        <w:t>duty</w:t>
      </w:r>
      <w:proofErr w:type="spellEnd"/>
      <w:r w:rsidRPr="002906A3">
        <w:t xml:space="preserve">, </w:t>
      </w:r>
      <w:proofErr w:type="spellStart"/>
      <w:r w:rsidRPr="002906A3">
        <w:t>scientific</w:t>
      </w:r>
      <w:proofErr w:type="spellEnd"/>
      <w:r w:rsidRPr="002906A3">
        <w:t xml:space="preserve"> </w:t>
      </w:r>
      <w:proofErr w:type="spellStart"/>
      <w:r w:rsidRPr="002906A3">
        <w:t>overreach</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effects</w:t>
      </w:r>
      <w:proofErr w:type="spellEnd"/>
      <w:r w:rsidRPr="002906A3">
        <w:t xml:space="preserve"> of </w:t>
      </w:r>
      <w:proofErr w:type="spellStart"/>
      <w:r w:rsidRPr="002906A3">
        <w:t>creating</w:t>
      </w:r>
      <w:proofErr w:type="spellEnd"/>
      <w:r w:rsidRPr="002906A3">
        <w:t xml:space="preserve"> life. As </w:t>
      </w:r>
      <w:proofErr w:type="spellStart"/>
      <w:r w:rsidRPr="002906A3">
        <w:t>one</w:t>
      </w:r>
      <w:proofErr w:type="spellEnd"/>
      <w:r w:rsidRPr="002906A3">
        <w:t xml:space="preserve"> of </w:t>
      </w:r>
      <w:proofErr w:type="spellStart"/>
      <w:r w:rsidRPr="002906A3">
        <w:t>the</w:t>
      </w:r>
      <w:proofErr w:type="spellEnd"/>
      <w:r w:rsidRPr="002906A3">
        <w:t xml:space="preserve"> </w:t>
      </w:r>
      <w:proofErr w:type="spellStart"/>
      <w:r w:rsidRPr="002906A3">
        <w:t>most</w:t>
      </w:r>
      <w:proofErr w:type="spellEnd"/>
      <w:r w:rsidRPr="002906A3">
        <w:t xml:space="preserve"> </w:t>
      </w:r>
      <w:proofErr w:type="spellStart"/>
      <w:r w:rsidRPr="002906A3">
        <w:t>important</w:t>
      </w:r>
      <w:proofErr w:type="spellEnd"/>
      <w:r w:rsidRPr="002906A3">
        <w:t xml:space="preserve"> </w:t>
      </w:r>
      <w:proofErr w:type="spellStart"/>
      <w:r w:rsidRPr="002906A3">
        <w:t>works</w:t>
      </w:r>
      <w:proofErr w:type="spellEnd"/>
      <w:r w:rsidRPr="002906A3">
        <w:t xml:space="preserve"> of </w:t>
      </w:r>
      <w:proofErr w:type="spellStart"/>
      <w:r w:rsidRPr="002906A3">
        <w:t>science</w:t>
      </w:r>
      <w:proofErr w:type="spellEnd"/>
      <w:r w:rsidRPr="002906A3">
        <w:t xml:space="preserve"> fiction </w:t>
      </w:r>
      <w:proofErr w:type="spellStart"/>
      <w:r w:rsidRPr="002906A3">
        <w:t>and</w:t>
      </w:r>
      <w:proofErr w:type="spellEnd"/>
      <w:r w:rsidRPr="002906A3">
        <w:t xml:space="preserve"> </w:t>
      </w:r>
      <w:proofErr w:type="spellStart"/>
      <w:r w:rsidRPr="002906A3">
        <w:t>fantasy</w:t>
      </w:r>
      <w:proofErr w:type="spellEnd"/>
      <w:r w:rsidRPr="002906A3">
        <w:t xml:space="preserve">, Frankenstein </w:t>
      </w:r>
      <w:proofErr w:type="spellStart"/>
      <w:r w:rsidRPr="002906A3">
        <w:t>foreshadows</w:t>
      </w:r>
      <w:proofErr w:type="spellEnd"/>
      <w:r w:rsidRPr="002906A3">
        <w:t xml:space="preserve"> modern </w:t>
      </w:r>
      <w:proofErr w:type="spellStart"/>
      <w:r w:rsidRPr="002906A3">
        <w:t>ethical</w:t>
      </w:r>
      <w:proofErr w:type="spellEnd"/>
      <w:r w:rsidRPr="002906A3">
        <w:t xml:space="preserve"> </w:t>
      </w:r>
      <w:proofErr w:type="spellStart"/>
      <w:r w:rsidRPr="002906A3">
        <w:t>problems</w:t>
      </w:r>
      <w:proofErr w:type="spellEnd"/>
      <w:r w:rsidRPr="002906A3">
        <w:t xml:space="preserve"> </w:t>
      </w:r>
      <w:proofErr w:type="spellStart"/>
      <w:r w:rsidRPr="002906A3">
        <w:t>that</w:t>
      </w:r>
      <w:proofErr w:type="spellEnd"/>
      <w:r w:rsidRPr="002906A3">
        <w:t xml:space="preserve"> </w:t>
      </w:r>
      <w:proofErr w:type="spellStart"/>
      <w:r w:rsidRPr="002906A3">
        <w:t>arise</w:t>
      </w:r>
      <w:proofErr w:type="spellEnd"/>
      <w:r w:rsidRPr="002906A3">
        <w:t xml:space="preserve"> </w:t>
      </w:r>
      <w:proofErr w:type="spellStart"/>
      <w:r w:rsidRPr="002906A3">
        <w:t>when</w:t>
      </w:r>
      <w:proofErr w:type="spellEnd"/>
      <w:r w:rsidRPr="002906A3">
        <w:t xml:space="preserve"> AI is </w:t>
      </w:r>
      <w:proofErr w:type="spellStart"/>
      <w:r w:rsidRPr="002906A3">
        <w:t>developed</w:t>
      </w:r>
      <w:proofErr w:type="spellEnd"/>
      <w:r w:rsidRPr="002906A3">
        <w:t xml:space="preserve"> </w:t>
      </w:r>
      <w:proofErr w:type="spellStart"/>
      <w:r w:rsidRPr="002906A3">
        <w:t>and</w:t>
      </w:r>
      <w:proofErr w:type="spellEnd"/>
      <w:r w:rsidRPr="002906A3">
        <w:t xml:space="preserve"> </w:t>
      </w:r>
      <w:proofErr w:type="spellStart"/>
      <w:r w:rsidRPr="002906A3">
        <w:t>its</w:t>
      </w:r>
      <w:proofErr w:type="spellEnd"/>
      <w:r w:rsidRPr="002906A3">
        <w:t xml:space="preserve"> </w:t>
      </w:r>
      <w:proofErr w:type="spellStart"/>
      <w:r w:rsidRPr="002906A3">
        <w:t>makers</w:t>
      </w:r>
      <w:proofErr w:type="spellEnd"/>
      <w:r w:rsidRPr="002906A3">
        <w:t xml:space="preserve"> </w:t>
      </w:r>
      <w:proofErr w:type="spellStart"/>
      <w:r w:rsidRPr="002906A3">
        <w:t>are</w:t>
      </w:r>
      <w:proofErr w:type="spellEnd"/>
      <w:r w:rsidRPr="002906A3">
        <w:t xml:space="preserve"> </w:t>
      </w:r>
      <w:proofErr w:type="spellStart"/>
      <w:r w:rsidRPr="002906A3">
        <w:t>asked</w:t>
      </w:r>
      <w:proofErr w:type="spellEnd"/>
      <w:r w:rsidRPr="002906A3">
        <w:t xml:space="preserve"> </w:t>
      </w:r>
      <w:proofErr w:type="spellStart"/>
      <w:r w:rsidRPr="002906A3">
        <w:t>to</w:t>
      </w:r>
      <w:proofErr w:type="spellEnd"/>
      <w:r w:rsidRPr="002906A3">
        <w:t xml:space="preserve"> </w:t>
      </w:r>
      <w:proofErr w:type="spellStart"/>
      <w:r w:rsidRPr="002906A3">
        <w:t>decide</w:t>
      </w:r>
      <w:proofErr w:type="spellEnd"/>
      <w:r w:rsidRPr="002906A3">
        <w:t xml:space="preserve"> </w:t>
      </w:r>
      <w:proofErr w:type="spellStart"/>
      <w:r w:rsidRPr="002906A3">
        <w:t>what</w:t>
      </w:r>
      <w:proofErr w:type="spellEnd"/>
      <w:r w:rsidRPr="002906A3">
        <w:t xml:space="preserve"> is </w:t>
      </w:r>
      <w:proofErr w:type="spellStart"/>
      <w:r w:rsidRPr="002906A3">
        <w:t>right</w:t>
      </w:r>
      <w:proofErr w:type="spellEnd"/>
      <w:r w:rsidRPr="002906A3">
        <w:t xml:space="preserve"> </w:t>
      </w:r>
      <w:proofErr w:type="spellStart"/>
      <w:r w:rsidRPr="002906A3">
        <w:t>and</w:t>
      </w:r>
      <w:proofErr w:type="spellEnd"/>
      <w:r w:rsidRPr="002906A3">
        <w:t xml:space="preserve"> </w:t>
      </w:r>
      <w:proofErr w:type="spellStart"/>
      <w:r w:rsidRPr="002906A3">
        <w:t>wrong</w:t>
      </w:r>
      <w:proofErr w:type="spellEnd"/>
      <w:r w:rsidRPr="002906A3">
        <w:t xml:space="preserve">. Victor </w:t>
      </w:r>
      <w:proofErr w:type="spellStart"/>
      <w:r w:rsidRPr="002906A3">
        <w:t>Frankenstein's</w:t>
      </w:r>
      <w:proofErr w:type="spellEnd"/>
      <w:r w:rsidRPr="002906A3">
        <w:t xml:space="preserve"> </w:t>
      </w:r>
      <w:proofErr w:type="spellStart"/>
      <w:r w:rsidRPr="002906A3">
        <w:t>relationship</w:t>
      </w:r>
      <w:proofErr w:type="spellEnd"/>
      <w:r w:rsidRPr="002906A3">
        <w:t xml:space="preserve"> </w:t>
      </w:r>
      <w:proofErr w:type="spellStart"/>
      <w:r w:rsidRPr="002906A3">
        <w:t>with</w:t>
      </w:r>
      <w:proofErr w:type="spellEnd"/>
      <w:r w:rsidRPr="002906A3">
        <w:t xml:space="preserve"> his </w:t>
      </w:r>
      <w:proofErr w:type="spellStart"/>
      <w:r w:rsidRPr="002906A3">
        <w:t>creation</w:t>
      </w:r>
      <w:proofErr w:type="spellEnd"/>
      <w:r w:rsidRPr="002906A3">
        <w:t xml:space="preserve"> </w:t>
      </w:r>
      <w:proofErr w:type="spellStart"/>
      <w:r w:rsidRPr="002906A3">
        <w:t>shows</w:t>
      </w:r>
      <w:proofErr w:type="spellEnd"/>
      <w:r w:rsidRPr="002906A3">
        <w:t xml:space="preserve"> </w:t>
      </w:r>
      <w:proofErr w:type="spellStart"/>
      <w:r w:rsidRPr="002906A3">
        <w:t>the</w:t>
      </w:r>
      <w:proofErr w:type="spellEnd"/>
      <w:r w:rsidRPr="002906A3">
        <w:t xml:space="preserve"> main idea of </w:t>
      </w:r>
      <w:proofErr w:type="spellStart"/>
      <w:r w:rsidRPr="002906A3">
        <w:t>the</w:t>
      </w:r>
      <w:proofErr w:type="spellEnd"/>
      <w:r w:rsidRPr="002906A3">
        <w:t xml:space="preserve"> </w:t>
      </w:r>
      <w:proofErr w:type="spellStart"/>
      <w:r w:rsidRPr="002906A3">
        <w:t>book</w:t>
      </w:r>
      <w:proofErr w:type="spellEnd"/>
      <w:r w:rsidRPr="002906A3">
        <w:t xml:space="preserve">, </w:t>
      </w:r>
      <w:proofErr w:type="spellStart"/>
      <w:r w:rsidRPr="002906A3">
        <w:t>which</w:t>
      </w:r>
      <w:proofErr w:type="spellEnd"/>
      <w:r w:rsidRPr="002906A3">
        <w:t xml:space="preserve"> is </w:t>
      </w:r>
      <w:proofErr w:type="spellStart"/>
      <w:r w:rsidRPr="002906A3">
        <w:t>that</w:t>
      </w:r>
      <w:proofErr w:type="spellEnd"/>
      <w:r w:rsidRPr="002906A3">
        <w:t xml:space="preserve"> </w:t>
      </w:r>
      <w:proofErr w:type="spellStart"/>
      <w:r w:rsidRPr="002906A3">
        <w:t>creators</w:t>
      </w:r>
      <w:proofErr w:type="spellEnd"/>
      <w:r w:rsidRPr="002906A3">
        <w:t xml:space="preserve"> </w:t>
      </w:r>
      <w:proofErr w:type="spellStart"/>
      <w:r w:rsidRPr="002906A3">
        <w:t>are</w:t>
      </w:r>
      <w:proofErr w:type="spellEnd"/>
      <w:r w:rsidRPr="002906A3">
        <w:t xml:space="preserve"> </w:t>
      </w:r>
      <w:proofErr w:type="spellStart"/>
      <w:r w:rsidRPr="002906A3">
        <w:t>responsible</w:t>
      </w:r>
      <w:proofErr w:type="spellEnd"/>
      <w:r w:rsidRPr="002906A3">
        <w:t xml:space="preserve"> </w:t>
      </w:r>
      <w:proofErr w:type="spellStart"/>
      <w:r w:rsidRPr="002906A3">
        <w:t>for</w:t>
      </w:r>
      <w:proofErr w:type="spellEnd"/>
      <w:r w:rsidRPr="002906A3">
        <w:t xml:space="preserve"> </w:t>
      </w:r>
      <w:proofErr w:type="spellStart"/>
      <w:r w:rsidRPr="002906A3">
        <w:t>what</w:t>
      </w:r>
      <w:proofErr w:type="spellEnd"/>
      <w:r w:rsidRPr="002906A3">
        <w:t xml:space="preserve"> they </w:t>
      </w:r>
      <w:proofErr w:type="spellStart"/>
      <w:r w:rsidRPr="002906A3">
        <w:t>make</w:t>
      </w:r>
      <w:proofErr w:type="spellEnd"/>
      <w:r w:rsidRPr="002906A3">
        <w:t xml:space="preserve">. His </w:t>
      </w:r>
      <w:proofErr w:type="spellStart"/>
      <w:r w:rsidRPr="002906A3">
        <w:t>never-ending</w:t>
      </w:r>
      <w:proofErr w:type="spellEnd"/>
      <w:r w:rsidRPr="002906A3">
        <w:t xml:space="preserve"> </w:t>
      </w:r>
      <w:proofErr w:type="spellStart"/>
      <w:r w:rsidRPr="002906A3">
        <w:t>quest</w:t>
      </w:r>
      <w:proofErr w:type="spellEnd"/>
      <w:r w:rsidRPr="002906A3">
        <w:t xml:space="preserve"> </w:t>
      </w:r>
      <w:proofErr w:type="spellStart"/>
      <w:r w:rsidRPr="002906A3">
        <w:t>for</w:t>
      </w:r>
      <w:proofErr w:type="spellEnd"/>
      <w:r w:rsidRPr="002906A3">
        <w:t xml:space="preserve"> </w:t>
      </w:r>
      <w:proofErr w:type="spellStart"/>
      <w:r w:rsidRPr="002906A3">
        <w:t>knowledge</w:t>
      </w:r>
      <w:proofErr w:type="spellEnd"/>
      <w:r w:rsidRPr="002906A3">
        <w:t xml:space="preserve"> </w:t>
      </w:r>
      <w:proofErr w:type="spellStart"/>
      <w:r w:rsidRPr="002906A3">
        <w:t>and</w:t>
      </w:r>
      <w:proofErr w:type="spellEnd"/>
      <w:r w:rsidRPr="002906A3">
        <w:t xml:space="preserve"> </w:t>
      </w:r>
      <w:proofErr w:type="spellStart"/>
      <w:r w:rsidRPr="002906A3">
        <w:t>power</w:t>
      </w:r>
      <w:proofErr w:type="spellEnd"/>
      <w:r w:rsidRPr="002906A3">
        <w:t xml:space="preserve">, </w:t>
      </w:r>
      <w:proofErr w:type="spellStart"/>
      <w:r w:rsidRPr="002906A3">
        <w:t>coupled</w:t>
      </w:r>
      <w:proofErr w:type="spellEnd"/>
      <w:r w:rsidRPr="002906A3">
        <w:t xml:space="preserve"> </w:t>
      </w:r>
      <w:proofErr w:type="spellStart"/>
      <w:r w:rsidRPr="002906A3">
        <w:t>with</w:t>
      </w:r>
      <w:proofErr w:type="spellEnd"/>
      <w:r w:rsidRPr="002906A3">
        <w:t xml:space="preserve"> his </w:t>
      </w:r>
      <w:proofErr w:type="spellStart"/>
      <w:r w:rsidRPr="002906A3">
        <w:t>disregard</w:t>
      </w:r>
      <w:proofErr w:type="spellEnd"/>
      <w:r w:rsidRPr="002906A3">
        <w:t xml:space="preserve"> </w:t>
      </w:r>
      <w:proofErr w:type="spellStart"/>
      <w:r w:rsidRPr="002906A3">
        <w:t>for</w:t>
      </w:r>
      <w:proofErr w:type="spellEnd"/>
      <w:r w:rsidRPr="002906A3">
        <w:t xml:space="preserve"> moral </w:t>
      </w:r>
      <w:proofErr w:type="spellStart"/>
      <w:r w:rsidRPr="002906A3">
        <w:t>responsibility</w:t>
      </w:r>
      <w:proofErr w:type="spellEnd"/>
      <w:r w:rsidRPr="002906A3">
        <w:t xml:space="preserve">, </w:t>
      </w:r>
      <w:proofErr w:type="spellStart"/>
      <w:r w:rsidRPr="002906A3">
        <w:t>leads</w:t>
      </w:r>
      <w:proofErr w:type="spellEnd"/>
      <w:r w:rsidRPr="002906A3">
        <w:t xml:space="preserve"> </w:t>
      </w:r>
      <w:proofErr w:type="spellStart"/>
      <w:r w:rsidRPr="002906A3">
        <w:t>to</w:t>
      </w:r>
      <w:proofErr w:type="spellEnd"/>
      <w:r w:rsidRPr="002906A3">
        <w:t xml:space="preserve"> </w:t>
      </w:r>
      <w:proofErr w:type="spellStart"/>
      <w:r w:rsidRPr="002906A3">
        <w:t>disastrous</w:t>
      </w:r>
      <w:proofErr w:type="spellEnd"/>
      <w:r w:rsidRPr="002906A3">
        <w:t xml:space="preserve"> </w:t>
      </w:r>
      <w:proofErr w:type="spellStart"/>
      <w:r w:rsidRPr="002906A3">
        <w:t>outcomes</w:t>
      </w:r>
      <w:proofErr w:type="spellEnd"/>
      <w:r w:rsidRPr="002906A3">
        <w:t xml:space="preserve">. </w:t>
      </w:r>
      <w:proofErr w:type="spellStart"/>
      <w:r w:rsidRPr="002906A3">
        <w:t>This</w:t>
      </w:r>
      <w:proofErr w:type="spellEnd"/>
      <w:r w:rsidRPr="002906A3">
        <w:t xml:space="preserve"> </w:t>
      </w:r>
      <w:proofErr w:type="spellStart"/>
      <w:r w:rsidRPr="002906A3">
        <w:t>story</w:t>
      </w:r>
      <w:proofErr w:type="spellEnd"/>
      <w:r w:rsidRPr="002906A3">
        <w:t xml:space="preserve"> </w:t>
      </w:r>
      <w:proofErr w:type="spellStart"/>
      <w:r w:rsidRPr="002906A3">
        <w:t>serves</w:t>
      </w:r>
      <w:proofErr w:type="spellEnd"/>
      <w:r w:rsidRPr="002906A3">
        <w:t xml:space="preserve"> as a </w:t>
      </w:r>
      <w:proofErr w:type="spellStart"/>
      <w:r w:rsidRPr="002906A3">
        <w:t>warning</w:t>
      </w:r>
      <w:proofErr w:type="spellEnd"/>
      <w:r w:rsidRPr="002906A3">
        <w:t xml:space="preserve"> </w:t>
      </w:r>
      <w:proofErr w:type="spellStart"/>
      <w:r w:rsidRPr="002906A3">
        <w:t>and</w:t>
      </w:r>
      <w:proofErr w:type="spellEnd"/>
      <w:r w:rsidRPr="002906A3">
        <w:t xml:space="preserve"> is </w:t>
      </w:r>
      <w:proofErr w:type="spellStart"/>
      <w:r w:rsidRPr="002906A3">
        <w:t>similar</w:t>
      </w:r>
      <w:proofErr w:type="spellEnd"/>
      <w:r w:rsidRPr="002906A3">
        <w:t xml:space="preserve"> </w:t>
      </w:r>
      <w:proofErr w:type="spellStart"/>
      <w:r w:rsidRPr="002906A3">
        <w:t>to</w:t>
      </w:r>
      <w:proofErr w:type="spellEnd"/>
      <w:r w:rsidRPr="002906A3">
        <w:t xml:space="preserve"> </w:t>
      </w:r>
      <w:proofErr w:type="spellStart"/>
      <w:r w:rsidRPr="002906A3">
        <w:t>current</w:t>
      </w:r>
      <w:proofErr w:type="spellEnd"/>
      <w:r w:rsidRPr="002906A3">
        <w:t xml:space="preserve"> </w:t>
      </w:r>
      <w:proofErr w:type="spellStart"/>
      <w:r w:rsidRPr="002906A3">
        <w:t>discussions</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duties</w:t>
      </w:r>
      <w:proofErr w:type="spellEnd"/>
      <w:r w:rsidRPr="002906A3">
        <w:t xml:space="preserve"> of AI </w:t>
      </w:r>
      <w:proofErr w:type="spellStart"/>
      <w:r w:rsidRPr="002906A3">
        <w:t>developers</w:t>
      </w:r>
      <w:proofErr w:type="spellEnd"/>
      <w:r w:rsidRPr="002906A3">
        <w:t xml:space="preserve"> </w:t>
      </w:r>
      <w:proofErr w:type="spellStart"/>
      <w:r w:rsidRPr="002906A3">
        <w:t>and</w:t>
      </w:r>
      <w:proofErr w:type="spellEnd"/>
      <w:r w:rsidRPr="002906A3">
        <w:t xml:space="preserve"> </w:t>
      </w:r>
      <w:proofErr w:type="spellStart"/>
      <w:r w:rsidRPr="002906A3">
        <w:t>lawmakers</w:t>
      </w:r>
      <w:proofErr w:type="spellEnd"/>
      <w:r w:rsidRPr="002906A3">
        <w:t xml:space="preserve"> (</w:t>
      </w:r>
      <w:proofErr w:type="spellStart"/>
      <w:r w:rsidRPr="002906A3">
        <w:t>Husain</w:t>
      </w:r>
      <w:proofErr w:type="spellEnd"/>
      <w:r w:rsidRPr="002906A3">
        <w:t xml:space="preserve">, 2021). </w:t>
      </w:r>
      <w:proofErr w:type="spellStart"/>
      <w:r w:rsidRPr="002906A3">
        <w:t>The</w:t>
      </w:r>
      <w:proofErr w:type="spellEnd"/>
      <w:r w:rsidRPr="002906A3">
        <w:t xml:space="preserve"> </w:t>
      </w:r>
      <w:proofErr w:type="spellStart"/>
      <w:r w:rsidRPr="002906A3">
        <w:t>novel</w:t>
      </w:r>
      <w:proofErr w:type="spellEnd"/>
      <w:r w:rsidRPr="002906A3">
        <w:t xml:space="preserve"> </w:t>
      </w:r>
      <w:proofErr w:type="spellStart"/>
      <w:r w:rsidRPr="002906A3">
        <w:t>shows</w:t>
      </w:r>
      <w:proofErr w:type="spellEnd"/>
      <w:r w:rsidRPr="002906A3">
        <w:t xml:space="preserve"> how </w:t>
      </w:r>
      <w:proofErr w:type="spellStart"/>
      <w:r w:rsidRPr="002906A3">
        <w:t>important</w:t>
      </w:r>
      <w:proofErr w:type="spellEnd"/>
      <w:r w:rsidRPr="002906A3">
        <w:t xml:space="preserve"> it is </w:t>
      </w:r>
      <w:proofErr w:type="spellStart"/>
      <w:r w:rsidRPr="002906A3">
        <w:t>to</w:t>
      </w:r>
      <w:proofErr w:type="spellEnd"/>
      <w:r w:rsidRPr="002906A3">
        <w:t xml:space="preserve"> </w:t>
      </w:r>
      <w:proofErr w:type="spellStart"/>
      <w:r w:rsidRPr="002906A3">
        <w:t>make</w:t>
      </w:r>
      <w:proofErr w:type="spellEnd"/>
      <w:r w:rsidRPr="002906A3">
        <w:t xml:space="preserve"> sure </w:t>
      </w:r>
      <w:proofErr w:type="spellStart"/>
      <w:r w:rsidRPr="002906A3">
        <w:t>that</w:t>
      </w:r>
      <w:proofErr w:type="spellEnd"/>
      <w:r w:rsidRPr="002906A3">
        <w:t xml:space="preserve"> </w:t>
      </w:r>
      <w:proofErr w:type="spellStart"/>
      <w:r w:rsidRPr="002906A3">
        <w:t>new</w:t>
      </w:r>
      <w:proofErr w:type="spellEnd"/>
      <w:r w:rsidRPr="002906A3">
        <w:t xml:space="preserve"> </w:t>
      </w:r>
      <w:proofErr w:type="spellStart"/>
      <w:r w:rsidRPr="002906A3">
        <w:t>technologies</w:t>
      </w:r>
      <w:proofErr w:type="spellEnd"/>
      <w:r w:rsidRPr="002906A3">
        <w:t xml:space="preserve"> </w:t>
      </w:r>
      <w:proofErr w:type="spellStart"/>
      <w:r w:rsidRPr="002906A3">
        <w:t>are</w:t>
      </w:r>
      <w:proofErr w:type="spellEnd"/>
      <w:r w:rsidRPr="002906A3">
        <w:t xml:space="preserve"> </w:t>
      </w:r>
      <w:proofErr w:type="spellStart"/>
      <w:r w:rsidRPr="002906A3">
        <w:t>safe</w:t>
      </w:r>
      <w:proofErr w:type="spellEnd"/>
      <w:r w:rsidRPr="002906A3">
        <w:t xml:space="preserve">. Frankenstein </w:t>
      </w:r>
      <w:proofErr w:type="spellStart"/>
      <w:r w:rsidRPr="002906A3">
        <w:t>also</w:t>
      </w:r>
      <w:proofErr w:type="spellEnd"/>
      <w:r w:rsidRPr="002906A3">
        <w:t xml:space="preserve"> </w:t>
      </w:r>
      <w:proofErr w:type="spellStart"/>
      <w:r w:rsidRPr="002906A3">
        <w:t>looks</w:t>
      </w:r>
      <w:proofErr w:type="spellEnd"/>
      <w:r w:rsidRPr="002906A3">
        <w:t xml:space="preserve"> at </w:t>
      </w:r>
      <w:proofErr w:type="spellStart"/>
      <w:r w:rsidRPr="002906A3">
        <w:t>science</w:t>
      </w:r>
      <w:proofErr w:type="spellEnd"/>
      <w:r w:rsidRPr="002906A3">
        <w:t xml:space="preserve"> </w:t>
      </w:r>
      <w:proofErr w:type="spellStart"/>
      <w:r w:rsidRPr="002906A3">
        <w:t>overreach</w:t>
      </w:r>
      <w:proofErr w:type="spellEnd"/>
      <w:r w:rsidRPr="002906A3">
        <w:t xml:space="preserve">, </w:t>
      </w:r>
      <w:proofErr w:type="spellStart"/>
      <w:r w:rsidRPr="002906A3">
        <w:t>which</w:t>
      </w:r>
      <w:proofErr w:type="spellEnd"/>
      <w:r w:rsidRPr="002906A3">
        <w:t xml:space="preserve"> is </w:t>
      </w:r>
      <w:proofErr w:type="spellStart"/>
      <w:r w:rsidRPr="002906A3">
        <w:t>still</w:t>
      </w:r>
      <w:proofErr w:type="spellEnd"/>
      <w:r w:rsidRPr="002906A3">
        <w:t xml:space="preserve"> a problem in </w:t>
      </w:r>
      <w:proofErr w:type="spellStart"/>
      <w:r w:rsidRPr="002906A3">
        <w:t>the</w:t>
      </w:r>
      <w:proofErr w:type="spellEnd"/>
      <w:r w:rsidRPr="002906A3">
        <w:t xml:space="preserve"> </w:t>
      </w:r>
      <w:proofErr w:type="spellStart"/>
      <w:r w:rsidRPr="002906A3">
        <w:t>world</w:t>
      </w:r>
      <w:proofErr w:type="spellEnd"/>
      <w:r w:rsidRPr="002906A3">
        <w:t xml:space="preserve"> of AI </w:t>
      </w:r>
      <w:proofErr w:type="spellStart"/>
      <w:r w:rsidRPr="002906A3">
        <w:t>today</w:t>
      </w:r>
      <w:proofErr w:type="spellEnd"/>
      <w:r w:rsidRPr="002906A3">
        <w:t xml:space="preserve">. </w:t>
      </w:r>
      <w:proofErr w:type="spellStart"/>
      <w:r w:rsidRPr="002906A3">
        <w:t>Victor’s</w:t>
      </w:r>
      <w:proofErr w:type="spellEnd"/>
      <w:r w:rsidRPr="002906A3">
        <w:t xml:space="preserve"> </w:t>
      </w:r>
      <w:proofErr w:type="spellStart"/>
      <w:r w:rsidRPr="002906A3">
        <w:t>transgression</w:t>
      </w:r>
      <w:proofErr w:type="spellEnd"/>
      <w:r w:rsidRPr="002906A3">
        <w:t xml:space="preserve"> of </w:t>
      </w:r>
      <w:proofErr w:type="spellStart"/>
      <w:r w:rsidRPr="002906A3">
        <w:t>natural</w:t>
      </w:r>
      <w:proofErr w:type="spellEnd"/>
      <w:r w:rsidRPr="002906A3">
        <w:t xml:space="preserve"> </w:t>
      </w:r>
      <w:proofErr w:type="spellStart"/>
      <w:r w:rsidRPr="002906A3">
        <w:t>boundaries</w:t>
      </w:r>
      <w:proofErr w:type="spellEnd"/>
      <w:r w:rsidRPr="002906A3">
        <w:t xml:space="preserve"> in his </w:t>
      </w:r>
      <w:proofErr w:type="spellStart"/>
      <w:r w:rsidRPr="002906A3">
        <w:t>desire</w:t>
      </w:r>
      <w:proofErr w:type="spellEnd"/>
      <w:r w:rsidRPr="002906A3">
        <w:t xml:space="preserve"> </w:t>
      </w:r>
      <w:proofErr w:type="spellStart"/>
      <w:r w:rsidRPr="002906A3">
        <w:t>to</w:t>
      </w:r>
      <w:proofErr w:type="spellEnd"/>
      <w:r w:rsidRPr="002906A3">
        <w:t xml:space="preserve"> </w:t>
      </w:r>
      <w:proofErr w:type="spellStart"/>
      <w:r w:rsidRPr="002906A3">
        <w:t>create</w:t>
      </w:r>
      <w:proofErr w:type="spellEnd"/>
      <w:r w:rsidRPr="002906A3">
        <w:t xml:space="preserve"> life </w:t>
      </w:r>
      <w:proofErr w:type="spellStart"/>
      <w:r w:rsidRPr="002906A3">
        <w:t>mirrors</w:t>
      </w:r>
      <w:proofErr w:type="spellEnd"/>
      <w:r w:rsidRPr="002906A3">
        <w:t xml:space="preserve"> </w:t>
      </w:r>
      <w:proofErr w:type="spellStart"/>
      <w:r w:rsidRPr="002906A3">
        <w:t>the</w:t>
      </w:r>
      <w:proofErr w:type="spellEnd"/>
      <w:r w:rsidRPr="002906A3">
        <w:t xml:space="preserve"> </w:t>
      </w:r>
      <w:proofErr w:type="spellStart"/>
      <w:r w:rsidRPr="002906A3">
        <w:t>rapid</w:t>
      </w:r>
      <w:proofErr w:type="spellEnd"/>
      <w:r w:rsidRPr="002906A3">
        <w:t xml:space="preserve"> </w:t>
      </w:r>
      <w:proofErr w:type="spellStart"/>
      <w:r w:rsidRPr="002906A3">
        <w:t>advancements</w:t>
      </w:r>
      <w:proofErr w:type="spellEnd"/>
      <w:r w:rsidRPr="002906A3">
        <w:t xml:space="preserve"> in </w:t>
      </w:r>
      <w:proofErr w:type="spellStart"/>
      <w:r w:rsidRPr="002906A3">
        <w:t>machine</w:t>
      </w:r>
      <w:proofErr w:type="spellEnd"/>
      <w:r w:rsidRPr="002906A3">
        <w:t xml:space="preserve"> </w:t>
      </w:r>
      <w:proofErr w:type="spellStart"/>
      <w:r w:rsidRPr="002906A3">
        <w:t>learning</w:t>
      </w:r>
      <w:proofErr w:type="spellEnd"/>
      <w:r w:rsidRPr="002906A3">
        <w:t xml:space="preserve">, </w:t>
      </w:r>
      <w:proofErr w:type="spellStart"/>
      <w:r w:rsidRPr="002906A3">
        <w:t>neural</w:t>
      </w:r>
      <w:proofErr w:type="spellEnd"/>
      <w:r w:rsidRPr="002906A3">
        <w:t xml:space="preserve"> </w:t>
      </w:r>
      <w:proofErr w:type="spellStart"/>
      <w:r w:rsidRPr="002906A3">
        <w:t>networks</w:t>
      </w:r>
      <w:proofErr w:type="spellEnd"/>
      <w:r w:rsidRPr="002906A3">
        <w:t xml:space="preserve">, </w:t>
      </w:r>
      <w:proofErr w:type="spellStart"/>
      <w:r w:rsidRPr="002906A3">
        <w:t>and</w:t>
      </w:r>
      <w:proofErr w:type="spellEnd"/>
      <w:r w:rsidRPr="002906A3">
        <w:t xml:space="preserve"> </w:t>
      </w:r>
      <w:proofErr w:type="spellStart"/>
      <w:r w:rsidRPr="002906A3">
        <w:t>transhumanism</w:t>
      </w:r>
      <w:proofErr w:type="spellEnd"/>
      <w:r w:rsidRPr="002906A3">
        <w:t xml:space="preserve">, </w:t>
      </w:r>
      <w:proofErr w:type="spellStart"/>
      <w:r w:rsidRPr="002906A3">
        <w:t>raising</w:t>
      </w:r>
      <w:proofErr w:type="spellEnd"/>
      <w:r w:rsidRPr="002906A3">
        <w:t xml:space="preserve"> </w:t>
      </w:r>
      <w:proofErr w:type="spellStart"/>
      <w:r w:rsidRPr="002906A3">
        <w:t>questions</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limits</w:t>
      </w:r>
      <w:proofErr w:type="spellEnd"/>
      <w:r w:rsidRPr="002906A3">
        <w:t xml:space="preserve"> of </w:t>
      </w:r>
      <w:proofErr w:type="spellStart"/>
      <w:r w:rsidRPr="002906A3">
        <w:t>scientific</w:t>
      </w:r>
      <w:proofErr w:type="spellEnd"/>
      <w:r w:rsidRPr="002906A3">
        <w:t xml:space="preserve"> </w:t>
      </w:r>
      <w:proofErr w:type="spellStart"/>
      <w:r w:rsidRPr="002906A3">
        <w:t>progress</w:t>
      </w:r>
      <w:proofErr w:type="spellEnd"/>
      <w:r w:rsidRPr="002906A3">
        <w:t xml:space="preserve"> (Uzun, 2024). As Faber (2023) </w:t>
      </w:r>
      <w:proofErr w:type="spellStart"/>
      <w:r w:rsidRPr="002906A3">
        <w:t>says</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which</w:t>
      </w:r>
      <w:proofErr w:type="spellEnd"/>
      <w:r w:rsidRPr="002906A3">
        <w:t xml:space="preserve"> </w:t>
      </w:r>
      <w:proofErr w:type="spellStart"/>
      <w:r w:rsidRPr="002906A3">
        <w:t>was</w:t>
      </w:r>
      <w:proofErr w:type="spellEnd"/>
      <w:r w:rsidRPr="002906A3">
        <w:t xml:space="preserve"> </w:t>
      </w:r>
      <w:proofErr w:type="spellStart"/>
      <w:r w:rsidRPr="002906A3">
        <w:t>left</w:t>
      </w:r>
      <w:proofErr w:type="spellEnd"/>
      <w:r w:rsidRPr="002906A3">
        <w:t xml:space="preserve"> </w:t>
      </w:r>
      <w:proofErr w:type="spellStart"/>
      <w:r w:rsidRPr="002906A3">
        <w:t>behind</w:t>
      </w:r>
      <w:proofErr w:type="spellEnd"/>
      <w:r w:rsidRPr="002906A3">
        <w:t xml:space="preserve"> </w:t>
      </w:r>
      <w:proofErr w:type="spellStart"/>
      <w:r w:rsidRPr="002906A3">
        <w:t>and</w:t>
      </w:r>
      <w:proofErr w:type="spellEnd"/>
      <w:r w:rsidRPr="002906A3">
        <w:t xml:space="preserve"> </w:t>
      </w:r>
      <w:proofErr w:type="spellStart"/>
      <w:r w:rsidRPr="002906A3">
        <w:t>rejected</w:t>
      </w:r>
      <w:proofErr w:type="spellEnd"/>
      <w:r w:rsidRPr="002906A3">
        <w:t xml:space="preserve">, </w:t>
      </w:r>
      <w:proofErr w:type="spellStart"/>
      <w:r w:rsidRPr="002906A3">
        <w:t>shows</w:t>
      </w:r>
      <w:proofErr w:type="spellEnd"/>
      <w:r w:rsidRPr="002906A3">
        <w:t xml:space="preserve"> how </w:t>
      </w:r>
      <w:proofErr w:type="spellStart"/>
      <w:r w:rsidRPr="002906A3">
        <w:t>alienated</w:t>
      </w:r>
      <w:proofErr w:type="spellEnd"/>
      <w:r w:rsidRPr="002906A3">
        <w:t xml:space="preserve"> </w:t>
      </w:r>
      <w:proofErr w:type="spellStart"/>
      <w:r w:rsidRPr="002906A3">
        <w:t>and</w:t>
      </w:r>
      <w:proofErr w:type="spellEnd"/>
      <w:r w:rsidRPr="002906A3">
        <w:t xml:space="preserve"> </w:t>
      </w:r>
      <w:proofErr w:type="spellStart"/>
      <w:r w:rsidRPr="002906A3">
        <w:t>morally</w:t>
      </w:r>
      <w:proofErr w:type="spellEnd"/>
      <w:r w:rsidRPr="002906A3">
        <w:t xml:space="preserve"> </w:t>
      </w:r>
      <w:proofErr w:type="spellStart"/>
      <w:r w:rsidRPr="002906A3">
        <w:t>confused</w:t>
      </w:r>
      <w:proofErr w:type="spellEnd"/>
      <w:r w:rsidRPr="002906A3">
        <w:t xml:space="preserve"> </w:t>
      </w:r>
      <w:proofErr w:type="spellStart"/>
      <w:r w:rsidRPr="002906A3">
        <w:t>conscious</w:t>
      </w:r>
      <w:proofErr w:type="spellEnd"/>
      <w:r w:rsidRPr="002906A3">
        <w:t xml:space="preserve"> </w:t>
      </w:r>
      <w:proofErr w:type="spellStart"/>
      <w:r w:rsidRPr="002906A3">
        <w:t>beings</w:t>
      </w:r>
      <w:proofErr w:type="spellEnd"/>
      <w:r w:rsidRPr="002906A3">
        <w:t xml:space="preserve"> can be </w:t>
      </w:r>
      <w:proofErr w:type="spellStart"/>
      <w:r w:rsidRPr="002906A3">
        <w:t>when</w:t>
      </w:r>
      <w:proofErr w:type="spellEnd"/>
      <w:r w:rsidRPr="002906A3">
        <w:t xml:space="preserve"> they </w:t>
      </w:r>
      <w:proofErr w:type="spellStart"/>
      <w:r w:rsidRPr="002906A3">
        <w:t>don't</w:t>
      </w:r>
      <w:proofErr w:type="spellEnd"/>
      <w:r w:rsidRPr="002906A3">
        <w:t xml:space="preserve"> </w:t>
      </w:r>
      <w:proofErr w:type="spellStart"/>
      <w:r w:rsidRPr="002906A3">
        <w:t>have</w:t>
      </w:r>
      <w:proofErr w:type="spellEnd"/>
      <w:r w:rsidRPr="002906A3">
        <w:t xml:space="preserve"> </w:t>
      </w:r>
      <w:proofErr w:type="spellStart"/>
      <w:r w:rsidRPr="002906A3">
        <w:t>proper</w:t>
      </w:r>
      <w:proofErr w:type="spellEnd"/>
      <w:r w:rsidRPr="002906A3">
        <w:t xml:space="preserve"> </w:t>
      </w:r>
      <w:proofErr w:type="spellStart"/>
      <w:r w:rsidRPr="002906A3">
        <w:t>care</w:t>
      </w:r>
      <w:proofErr w:type="spellEnd"/>
      <w:r w:rsidRPr="002906A3">
        <w:t xml:space="preserve"> </w:t>
      </w:r>
      <w:proofErr w:type="spellStart"/>
      <w:r w:rsidRPr="002906A3">
        <w:t>or</w:t>
      </w:r>
      <w:proofErr w:type="spellEnd"/>
      <w:r w:rsidRPr="002906A3">
        <w:t xml:space="preserve"> </w:t>
      </w:r>
      <w:proofErr w:type="spellStart"/>
      <w:r w:rsidRPr="002906A3">
        <w:t>supervision</w:t>
      </w:r>
      <w:proofErr w:type="spellEnd"/>
      <w:r w:rsidRPr="002906A3">
        <w:t xml:space="preserve">. </w:t>
      </w:r>
      <w:proofErr w:type="spellStart"/>
      <w:r w:rsidRPr="002906A3">
        <w:t>This</w:t>
      </w:r>
      <w:proofErr w:type="spellEnd"/>
      <w:r w:rsidRPr="002906A3">
        <w:t xml:space="preserve"> </w:t>
      </w:r>
      <w:proofErr w:type="spellStart"/>
      <w:r w:rsidRPr="002906A3">
        <w:t>fits</w:t>
      </w:r>
      <w:proofErr w:type="spellEnd"/>
      <w:r w:rsidRPr="002906A3">
        <w:t xml:space="preserve"> </w:t>
      </w:r>
      <w:proofErr w:type="spellStart"/>
      <w:r w:rsidRPr="002906A3">
        <w:t>with</w:t>
      </w:r>
      <w:proofErr w:type="spellEnd"/>
      <w:r w:rsidRPr="002906A3">
        <w:t xml:space="preserve"> </w:t>
      </w:r>
      <w:proofErr w:type="spellStart"/>
      <w:r w:rsidRPr="002906A3">
        <w:t>what's</w:t>
      </w:r>
      <w:proofErr w:type="spellEnd"/>
      <w:r w:rsidRPr="002906A3">
        <w:t xml:space="preserve"> </w:t>
      </w:r>
      <w:proofErr w:type="spellStart"/>
      <w:r w:rsidRPr="002906A3">
        <w:t>being</w:t>
      </w:r>
      <w:proofErr w:type="spellEnd"/>
      <w:r w:rsidRPr="002906A3">
        <w:t xml:space="preserve"> </w:t>
      </w:r>
      <w:proofErr w:type="spellStart"/>
      <w:r w:rsidRPr="002906A3">
        <w:t>said</w:t>
      </w:r>
      <w:proofErr w:type="spellEnd"/>
      <w:r w:rsidRPr="002906A3">
        <w:t xml:space="preserve"> </w:t>
      </w:r>
      <w:proofErr w:type="spellStart"/>
      <w:r w:rsidRPr="002906A3">
        <w:t>about</w:t>
      </w:r>
      <w:proofErr w:type="spellEnd"/>
      <w:r w:rsidRPr="002906A3">
        <w:t xml:space="preserve"> </w:t>
      </w:r>
      <w:proofErr w:type="spellStart"/>
      <w:r w:rsidRPr="002906A3">
        <w:t>machine</w:t>
      </w:r>
      <w:proofErr w:type="spellEnd"/>
      <w:r w:rsidRPr="002906A3">
        <w:t xml:space="preserve"> </w:t>
      </w:r>
      <w:proofErr w:type="spellStart"/>
      <w:r w:rsidRPr="002906A3">
        <w:t>awareness</w:t>
      </w:r>
      <w:proofErr w:type="spellEnd"/>
      <w:r w:rsidRPr="002906A3">
        <w:t xml:space="preserve">, AI </w:t>
      </w:r>
      <w:proofErr w:type="spellStart"/>
      <w:r w:rsidRPr="002906A3">
        <w:t>autonomy</w:t>
      </w:r>
      <w:proofErr w:type="spellEnd"/>
      <w:r w:rsidRPr="002906A3">
        <w:t xml:space="preserve">, </w:t>
      </w:r>
      <w:proofErr w:type="spellStart"/>
      <w:r w:rsidRPr="002906A3">
        <w:t>and</w:t>
      </w:r>
      <w:proofErr w:type="spellEnd"/>
      <w:r w:rsidRPr="002906A3">
        <w:t xml:space="preserve"> how </w:t>
      </w:r>
      <w:proofErr w:type="spellStart"/>
      <w:r w:rsidRPr="002906A3">
        <w:t>to</w:t>
      </w:r>
      <w:proofErr w:type="spellEnd"/>
      <w:r w:rsidRPr="002906A3">
        <w:t xml:space="preserve"> </w:t>
      </w:r>
      <w:proofErr w:type="spellStart"/>
      <w:r w:rsidRPr="002906A3">
        <w:t>treat</w:t>
      </w:r>
      <w:proofErr w:type="spellEnd"/>
      <w:r w:rsidRPr="002906A3">
        <w:t xml:space="preserve"> </w:t>
      </w:r>
      <w:proofErr w:type="spellStart"/>
      <w:r w:rsidRPr="002906A3">
        <w:t>artificial</w:t>
      </w:r>
      <w:proofErr w:type="spellEnd"/>
      <w:r w:rsidRPr="002906A3">
        <w:t xml:space="preserve"> </w:t>
      </w:r>
      <w:proofErr w:type="spellStart"/>
      <w:r w:rsidRPr="002906A3">
        <w:t>entities</w:t>
      </w:r>
      <w:proofErr w:type="spellEnd"/>
      <w:r w:rsidRPr="002906A3">
        <w:t xml:space="preserve"> </w:t>
      </w:r>
      <w:proofErr w:type="spellStart"/>
      <w:r w:rsidRPr="002906A3">
        <w:t>ethically</w:t>
      </w:r>
      <w:proofErr w:type="spellEnd"/>
      <w:r w:rsidRPr="002906A3">
        <w:t xml:space="preserve">, </w:t>
      </w:r>
      <w:proofErr w:type="spellStart"/>
      <w:r w:rsidRPr="002906A3">
        <w:t>especially</w:t>
      </w:r>
      <w:proofErr w:type="spellEnd"/>
      <w:r w:rsidRPr="002906A3">
        <w:t xml:space="preserve"> </w:t>
      </w:r>
      <w:proofErr w:type="spellStart"/>
      <w:r w:rsidRPr="002906A3">
        <w:t>when</w:t>
      </w:r>
      <w:proofErr w:type="spellEnd"/>
      <w:r w:rsidRPr="002906A3">
        <w:t xml:space="preserve"> it </w:t>
      </w:r>
      <w:proofErr w:type="spellStart"/>
      <w:r w:rsidRPr="002906A3">
        <w:t>comes</w:t>
      </w:r>
      <w:proofErr w:type="spellEnd"/>
      <w:r w:rsidRPr="002906A3">
        <w:t xml:space="preserve"> </w:t>
      </w:r>
      <w:proofErr w:type="spellStart"/>
      <w:r w:rsidRPr="002906A3">
        <w:t>to</w:t>
      </w:r>
      <w:proofErr w:type="spellEnd"/>
      <w:r w:rsidRPr="002906A3">
        <w:t xml:space="preserve"> </w:t>
      </w:r>
      <w:proofErr w:type="spellStart"/>
      <w:r w:rsidRPr="002906A3">
        <w:t>their</w:t>
      </w:r>
      <w:proofErr w:type="spellEnd"/>
      <w:r w:rsidRPr="002906A3">
        <w:t xml:space="preserve"> </w:t>
      </w:r>
      <w:proofErr w:type="spellStart"/>
      <w:r w:rsidRPr="002906A3">
        <w:t>rights</w:t>
      </w:r>
      <w:proofErr w:type="spellEnd"/>
      <w:r w:rsidRPr="002906A3">
        <w:t xml:space="preserve">, how they fit </w:t>
      </w:r>
      <w:proofErr w:type="spellStart"/>
      <w:r w:rsidRPr="002906A3">
        <w:t>into</w:t>
      </w:r>
      <w:proofErr w:type="spellEnd"/>
      <w:r w:rsidRPr="002906A3">
        <w:t xml:space="preserve"> </w:t>
      </w:r>
      <w:proofErr w:type="spellStart"/>
      <w:r w:rsidRPr="002906A3">
        <w:t>society</w:t>
      </w:r>
      <w:proofErr w:type="spellEnd"/>
      <w:r w:rsidRPr="002906A3">
        <w:t xml:space="preserve">, </w:t>
      </w:r>
      <w:proofErr w:type="spellStart"/>
      <w:r w:rsidRPr="002906A3">
        <w:t>and</w:t>
      </w:r>
      <w:proofErr w:type="spellEnd"/>
      <w:r w:rsidRPr="002906A3">
        <w:t xml:space="preserve"> </w:t>
      </w:r>
      <w:proofErr w:type="spellStart"/>
      <w:r w:rsidRPr="002906A3">
        <w:t>possible</w:t>
      </w:r>
      <w:proofErr w:type="spellEnd"/>
      <w:r w:rsidRPr="002906A3">
        <w:t xml:space="preserve"> </w:t>
      </w:r>
      <w:proofErr w:type="spellStart"/>
      <w:r w:rsidRPr="002906A3">
        <w:t>existential</w:t>
      </w:r>
      <w:proofErr w:type="spellEnd"/>
      <w:r w:rsidRPr="002906A3">
        <w:t xml:space="preserve"> </w:t>
      </w:r>
      <w:proofErr w:type="spellStart"/>
      <w:r w:rsidRPr="002906A3">
        <w:t>risks</w:t>
      </w:r>
      <w:proofErr w:type="spellEnd"/>
      <w:r w:rsidRPr="002906A3">
        <w:t xml:space="preserve">. </w:t>
      </w:r>
      <w:proofErr w:type="spellStart"/>
      <w:r w:rsidRPr="002906A3">
        <w:t>In</w:t>
      </w:r>
      <w:proofErr w:type="spellEnd"/>
      <w:r w:rsidRPr="002906A3">
        <w:t xml:space="preserve"> </w:t>
      </w:r>
      <w:proofErr w:type="spellStart"/>
      <w:r w:rsidRPr="002906A3">
        <w:t>the</w:t>
      </w:r>
      <w:proofErr w:type="spellEnd"/>
      <w:r w:rsidRPr="002906A3">
        <w:t xml:space="preserve"> </w:t>
      </w:r>
      <w:proofErr w:type="spellStart"/>
      <w:r w:rsidRPr="002906A3">
        <w:t>end</w:t>
      </w:r>
      <w:proofErr w:type="spellEnd"/>
      <w:r w:rsidRPr="002906A3">
        <w:t xml:space="preserve">, Frankenstein is a </w:t>
      </w:r>
      <w:proofErr w:type="spellStart"/>
      <w:r w:rsidRPr="002906A3">
        <w:t>literary</w:t>
      </w:r>
      <w:proofErr w:type="spellEnd"/>
      <w:r w:rsidRPr="002906A3">
        <w:t xml:space="preserve"> </w:t>
      </w:r>
      <w:proofErr w:type="spellStart"/>
      <w:r w:rsidRPr="002906A3">
        <w:t>work</w:t>
      </w:r>
      <w:proofErr w:type="spellEnd"/>
      <w:r w:rsidRPr="002906A3">
        <w:t xml:space="preserve"> </w:t>
      </w:r>
      <w:proofErr w:type="spellStart"/>
      <w:r w:rsidRPr="002906A3">
        <w:t>that</w:t>
      </w:r>
      <w:proofErr w:type="spellEnd"/>
      <w:r w:rsidRPr="002906A3">
        <w:t xml:space="preserve"> </w:t>
      </w:r>
      <w:proofErr w:type="spellStart"/>
      <w:r w:rsidRPr="002906A3">
        <w:t>current</w:t>
      </w:r>
      <w:proofErr w:type="spellEnd"/>
      <w:r w:rsidRPr="002906A3">
        <w:t xml:space="preserve"> AI </w:t>
      </w:r>
      <w:proofErr w:type="spellStart"/>
      <w:r w:rsidRPr="002906A3">
        <w:t>ethics</w:t>
      </w:r>
      <w:proofErr w:type="spellEnd"/>
      <w:r w:rsidRPr="002906A3">
        <w:t xml:space="preserve"> is </w:t>
      </w:r>
      <w:proofErr w:type="spellStart"/>
      <w:r w:rsidRPr="002906A3">
        <w:t>based</w:t>
      </w:r>
      <w:proofErr w:type="spellEnd"/>
      <w:r w:rsidRPr="002906A3">
        <w:t xml:space="preserve"> on </w:t>
      </w:r>
      <w:proofErr w:type="spellStart"/>
      <w:r w:rsidRPr="002906A3">
        <w:t>because</w:t>
      </w:r>
      <w:proofErr w:type="spellEnd"/>
      <w:r w:rsidRPr="002906A3">
        <w:t xml:space="preserve"> it </w:t>
      </w:r>
      <w:proofErr w:type="spellStart"/>
      <w:r w:rsidRPr="002906A3">
        <w:t>deals</w:t>
      </w:r>
      <w:proofErr w:type="spellEnd"/>
      <w:r w:rsidRPr="002906A3">
        <w:t xml:space="preserve"> </w:t>
      </w:r>
      <w:proofErr w:type="spellStart"/>
      <w:r w:rsidRPr="002906A3">
        <w:t>with</w:t>
      </w:r>
      <w:proofErr w:type="spellEnd"/>
      <w:r w:rsidRPr="002906A3">
        <w:t xml:space="preserve"> </w:t>
      </w:r>
      <w:proofErr w:type="spellStart"/>
      <w:r w:rsidRPr="002906A3">
        <w:t>basic</w:t>
      </w:r>
      <w:proofErr w:type="spellEnd"/>
      <w:r w:rsidRPr="002906A3">
        <w:t xml:space="preserve"> </w:t>
      </w:r>
      <w:proofErr w:type="spellStart"/>
      <w:r w:rsidRPr="002906A3">
        <w:t>questions</w:t>
      </w:r>
      <w:proofErr w:type="spellEnd"/>
      <w:r w:rsidRPr="002906A3">
        <w:t xml:space="preserve"> of </w:t>
      </w:r>
      <w:proofErr w:type="spellStart"/>
      <w:r w:rsidRPr="002906A3">
        <w:t>creation</w:t>
      </w:r>
      <w:proofErr w:type="spellEnd"/>
      <w:r w:rsidRPr="002906A3">
        <w:t xml:space="preserve">, </w:t>
      </w:r>
      <w:proofErr w:type="spellStart"/>
      <w:r w:rsidRPr="002906A3">
        <w:t>responsibility</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moral </w:t>
      </w:r>
      <w:proofErr w:type="spellStart"/>
      <w:r w:rsidRPr="002906A3">
        <w:t>effects</w:t>
      </w:r>
      <w:proofErr w:type="spellEnd"/>
      <w:r w:rsidRPr="002906A3">
        <w:t xml:space="preserve"> of </w:t>
      </w:r>
      <w:proofErr w:type="spellStart"/>
      <w:r w:rsidRPr="002906A3">
        <w:t>artificial</w:t>
      </w:r>
      <w:proofErr w:type="spellEnd"/>
      <w:r w:rsidRPr="002906A3">
        <w:t xml:space="preserve"> life. As AI </w:t>
      </w:r>
      <w:proofErr w:type="spellStart"/>
      <w:r w:rsidRPr="002906A3">
        <w:t>keeps</w:t>
      </w:r>
      <w:proofErr w:type="spellEnd"/>
      <w:r w:rsidRPr="002906A3">
        <w:t xml:space="preserve"> </w:t>
      </w:r>
      <w:proofErr w:type="spellStart"/>
      <w:r w:rsidRPr="002906A3">
        <w:t>getting</w:t>
      </w:r>
      <w:proofErr w:type="spellEnd"/>
      <w:r w:rsidRPr="002906A3">
        <w:t xml:space="preserve"> </w:t>
      </w:r>
      <w:proofErr w:type="spellStart"/>
      <w:r w:rsidRPr="002906A3">
        <w:t>better</w:t>
      </w:r>
      <w:proofErr w:type="spellEnd"/>
      <w:r w:rsidRPr="002906A3">
        <w:t xml:space="preserve">, </w:t>
      </w:r>
      <w:proofErr w:type="spellStart"/>
      <w:r w:rsidRPr="002906A3">
        <w:t>Shelley's</w:t>
      </w:r>
      <w:proofErr w:type="spellEnd"/>
      <w:r w:rsidRPr="002906A3">
        <w:t xml:space="preserve"> </w:t>
      </w:r>
      <w:proofErr w:type="spellStart"/>
      <w:r w:rsidRPr="002906A3">
        <w:t>story</w:t>
      </w:r>
      <w:proofErr w:type="spellEnd"/>
      <w:r w:rsidRPr="002906A3">
        <w:t xml:space="preserve"> of </w:t>
      </w:r>
      <w:r w:rsidRPr="002906A3">
        <w:rPr>
          <w:i/>
          <w:iCs/>
        </w:rPr>
        <w:t>Frankenstein</w:t>
      </w:r>
      <w:r w:rsidRPr="002906A3">
        <w:t xml:space="preserve"> </w:t>
      </w:r>
      <w:proofErr w:type="spellStart"/>
      <w:r w:rsidRPr="002906A3">
        <w:t>reminds</w:t>
      </w:r>
      <w:proofErr w:type="spellEnd"/>
      <w:r w:rsidRPr="002906A3">
        <w:t xml:space="preserve"> us </w:t>
      </w:r>
      <w:proofErr w:type="spellStart"/>
      <w:r w:rsidRPr="002906A3">
        <w:t>that</w:t>
      </w:r>
      <w:proofErr w:type="spellEnd"/>
      <w:r w:rsidRPr="002906A3">
        <w:t xml:space="preserve"> </w:t>
      </w:r>
      <w:proofErr w:type="spellStart"/>
      <w:r w:rsidRPr="002906A3">
        <w:t>great</w:t>
      </w:r>
      <w:proofErr w:type="spellEnd"/>
      <w:r w:rsidRPr="002906A3">
        <w:t xml:space="preserve"> </w:t>
      </w:r>
      <w:proofErr w:type="spellStart"/>
      <w:r w:rsidRPr="002906A3">
        <w:t>power</w:t>
      </w:r>
      <w:proofErr w:type="spellEnd"/>
      <w:r w:rsidRPr="002906A3">
        <w:t xml:space="preserve"> </w:t>
      </w:r>
      <w:proofErr w:type="spellStart"/>
      <w:r w:rsidRPr="002906A3">
        <w:t>comes</w:t>
      </w:r>
      <w:proofErr w:type="spellEnd"/>
      <w:r w:rsidRPr="002906A3">
        <w:t xml:space="preserve"> </w:t>
      </w:r>
      <w:proofErr w:type="spellStart"/>
      <w:r w:rsidRPr="002906A3">
        <w:t>with</w:t>
      </w:r>
      <w:proofErr w:type="spellEnd"/>
      <w:r w:rsidRPr="002906A3">
        <w:t xml:space="preserve"> </w:t>
      </w:r>
      <w:proofErr w:type="spellStart"/>
      <w:r w:rsidRPr="002906A3">
        <w:t>great</w:t>
      </w:r>
      <w:proofErr w:type="spellEnd"/>
      <w:r w:rsidRPr="002906A3">
        <w:t xml:space="preserve"> </w:t>
      </w:r>
      <w:proofErr w:type="spellStart"/>
      <w:r w:rsidRPr="002906A3">
        <w:t>responsibility</w:t>
      </w:r>
      <w:proofErr w:type="spellEnd"/>
      <w:r w:rsidRPr="002906A3">
        <w:t>. (</w:t>
      </w:r>
      <w:proofErr w:type="spellStart"/>
      <w:r w:rsidRPr="002906A3">
        <w:t>Herlihy</w:t>
      </w:r>
      <w:proofErr w:type="spellEnd"/>
      <w:r w:rsidRPr="002906A3">
        <w:t xml:space="preserve">, 2005; </w:t>
      </w:r>
      <w:proofErr w:type="spellStart"/>
      <w:r w:rsidRPr="002906A3">
        <w:t>Bloomfield</w:t>
      </w:r>
      <w:proofErr w:type="spellEnd"/>
      <w:r w:rsidRPr="002906A3">
        <w:t xml:space="preserve"> &amp; </w:t>
      </w:r>
      <w:proofErr w:type="spellStart"/>
      <w:r w:rsidRPr="002906A3">
        <w:t>Vurdubakis</w:t>
      </w:r>
      <w:proofErr w:type="spellEnd"/>
      <w:r w:rsidRPr="002906A3">
        <w:t xml:space="preserve">). </w:t>
      </w:r>
      <w:proofErr w:type="spellStart"/>
      <w:r w:rsidRPr="002906A3">
        <w:t>Overall</w:t>
      </w:r>
      <w:proofErr w:type="spellEnd"/>
      <w:r w:rsidRPr="002906A3">
        <w:t xml:space="preserve">, </w:t>
      </w:r>
      <w:proofErr w:type="spellStart"/>
      <w:r w:rsidRPr="002906A3">
        <w:t>this</w:t>
      </w:r>
      <w:proofErr w:type="spellEnd"/>
      <w:r w:rsidRPr="002906A3">
        <w:t xml:space="preserve"> </w:t>
      </w:r>
      <w:proofErr w:type="spellStart"/>
      <w:r w:rsidRPr="002906A3">
        <w:t>paper</w:t>
      </w:r>
      <w:proofErr w:type="spellEnd"/>
      <w:r w:rsidRPr="002906A3">
        <w:t xml:space="preserve"> </w:t>
      </w:r>
      <w:proofErr w:type="spellStart"/>
      <w:r w:rsidRPr="002906A3">
        <w:t>explores</w:t>
      </w:r>
      <w:proofErr w:type="spellEnd"/>
      <w:r w:rsidRPr="002906A3">
        <w:t xml:space="preserve"> </w:t>
      </w:r>
      <w:proofErr w:type="spellStart"/>
      <w:r w:rsidRPr="002906A3">
        <w:t>the</w:t>
      </w:r>
      <w:proofErr w:type="spellEnd"/>
      <w:r w:rsidRPr="002906A3">
        <w:t xml:space="preserve"> </w:t>
      </w:r>
      <w:proofErr w:type="spellStart"/>
      <w:r w:rsidRPr="002906A3">
        <w:t>parallels</w:t>
      </w:r>
      <w:proofErr w:type="spellEnd"/>
      <w:r w:rsidRPr="002906A3">
        <w:t xml:space="preserve"> </w:t>
      </w:r>
      <w:proofErr w:type="spellStart"/>
      <w:r w:rsidRPr="002906A3">
        <w:t>between</w:t>
      </w:r>
      <w:proofErr w:type="spellEnd"/>
      <w:r w:rsidRPr="002906A3">
        <w:t xml:space="preserve"> Mary </w:t>
      </w:r>
      <w:proofErr w:type="spellStart"/>
      <w:r w:rsidRPr="002906A3">
        <w:t>Shelley’s</w:t>
      </w:r>
      <w:proofErr w:type="spellEnd"/>
      <w:r w:rsidRPr="002906A3">
        <w:t xml:space="preserve"> </w:t>
      </w:r>
      <w:r w:rsidRPr="002906A3">
        <w:rPr>
          <w:i/>
          <w:iCs/>
        </w:rPr>
        <w:t>Frankenstein</w:t>
      </w:r>
      <w:r w:rsidRPr="002906A3">
        <w:t xml:space="preserve"> </w:t>
      </w:r>
      <w:proofErr w:type="spellStart"/>
      <w:r w:rsidRPr="002906A3">
        <w:t>and</w:t>
      </w:r>
      <w:proofErr w:type="spellEnd"/>
      <w:r w:rsidRPr="002906A3">
        <w:t xml:space="preserve"> modern AI </w:t>
      </w:r>
      <w:proofErr w:type="spellStart"/>
      <w:r w:rsidRPr="002906A3">
        <w:t>technology</w:t>
      </w:r>
      <w:proofErr w:type="spellEnd"/>
      <w:r w:rsidRPr="002906A3">
        <w:t xml:space="preserve">, </w:t>
      </w:r>
      <w:proofErr w:type="spellStart"/>
      <w:r w:rsidRPr="002906A3">
        <w:t>highlighting</w:t>
      </w:r>
      <w:proofErr w:type="spellEnd"/>
      <w:r w:rsidRPr="002906A3">
        <w:t xml:space="preserve"> how </w:t>
      </w:r>
      <w:proofErr w:type="spellStart"/>
      <w:r w:rsidRPr="002906A3">
        <w:t>the</w:t>
      </w:r>
      <w:proofErr w:type="spellEnd"/>
      <w:r w:rsidRPr="002906A3">
        <w:t xml:space="preserve"> </w:t>
      </w:r>
      <w:proofErr w:type="spellStart"/>
      <w:r w:rsidRPr="002906A3">
        <w:t>novel</w:t>
      </w:r>
      <w:proofErr w:type="spellEnd"/>
      <w:r w:rsidRPr="002906A3">
        <w:t xml:space="preserve"> </w:t>
      </w:r>
      <w:proofErr w:type="spellStart"/>
      <w:r w:rsidRPr="002906A3">
        <w:t>foreshadows</w:t>
      </w:r>
      <w:proofErr w:type="spellEnd"/>
      <w:r w:rsidRPr="002906A3">
        <w:t xml:space="preserve"> </w:t>
      </w:r>
      <w:proofErr w:type="spellStart"/>
      <w:r w:rsidRPr="002906A3">
        <w:t>contemporary</w:t>
      </w:r>
      <w:proofErr w:type="spellEnd"/>
      <w:r w:rsidRPr="002906A3">
        <w:t xml:space="preserve"> </w:t>
      </w:r>
      <w:proofErr w:type="spellStart"/>
      <w:r w:rsidRPr="002906A3">
        <w:t>debates</w:t>
      </w:r>
      <w:proofErr w:type="spellEnd"/>
      <w:r w:rsidRPr="002906A3">
        <w:t xml:space="preserve"> on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creator</w:t>
      </w:r>
      <w:proofErr w:type="spellEnd"/>
      <w:r w:rsidRPr="002906A3">
        <w:t xml:space="preserve"> </w:t>
      </w:r>
      <w:proofErr w:type="spellStart"/>
      <w:r w:rsidRPr="002906A3">
        <w:t>responsibility</w:t>
      </w:r>
      <w:proofErr w:type="spellEnd"/>
      <w:r w:rsidRPr="002906A3">
        <w:t xml:space="preserve">, </w:t>
      </w:r>
      <w:proofErr w:type="spellStart"/>
      <w:r w:rsidRPr="002906A3">
        <w:t>and</w:t>
      </w:r>
      <w:proofErr w:type="spellEnd"/>
      <w:r w:rsidRPr="002906A3">
        <w:t xml:space="preserve"> </w:t>
      </w:r>
      <w:proofErr w:type="spellStart"/>
      <w:r w:rsidRPr="002906A3">
        <w:t>ethical</w:t>
      </w:r>
      <w:proofErr w:type="spellEnd"/>
      <w:r w:rsidRPr="002906A3">
        <w:t xml:space="preserve"> </w:t>
      </w:r>
      <w:proofErr w:type="spellStart"/>
      <w:r w:rsidRPr="002906A3">
        <w:t>innovation</w:t>
      </w:r>
      <w:proofErr w:type="spellEnd"/>
      <w:r w:rsidRPr="002906A3">
        <w:t>.</w:t>
      </w:r>
    </w:p>
    <w:p w14:paraId="1D5F5EFD" w14:textId="77777777" w:rsidR="001E7189" w:rsidRPr="002906A3" w:rsidRDefault="001E7189" w:rsidP="00BA67A6">
      <w:pPr>
        <w:jc w:val="both"/>
      </w:pPr>
    </w:p>
    <w:p w14:paraId="55538F7F" w14:textId="4FD9338C" w:rsidR="001E7189" w:rsidRDefault="001E7189" w:rsidP="00BA67A6">
      <w:proofErr w:type="spellStart"/>
      <w:r w:rsidRPr="002906A3">
        <w:rPr>
          <w:b/>
          <w:bCs/>
        </w:rPr>
        <w:t>Key</w:t>
      </w:r>
      <w:r w:rsidR="00BF3875">
        <w:rPr>
          <w:b/>
          <w:bCs/>
        </w:rPr>
        <w:t>w</w:t>
      </w:r>
      <w:r w:rsidRPr="002906A3">
        <w:rPr>
          <w:b/>
          <w:bCs/>
        </w:rPr>
        <w:t>ords</w:t>
      </w:r>
      <w:proofErr w:type="spellEnd"/>
      <w:r w:rsidRPr="002906A3">
        <w:rPr>
          <w:b/>
          <w:bCs/>
        </w:rPr>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ethics</w:t>
      </w:r>
      <w:proofErr w:type="spellEnd"/>
      <w:r w:rsidRPr="002906A3">
        <w:t xml:space="preserve">, </w:t>
      </w:r>
      <w:proofErr w:type="spellStart"/>
      <w:r w:rsidRPr="002906A3">
        <w:t>creator</w:t>
      </w:r>
      <w:proofErr w:type="spellEnd"/>
      <w:r w:rsidRPr="002906A3">
        <w:t xml:space="preserve"> </w:t>
      </w:r>
      <w:proofErr w:type="spellStart"/>
      <w:r w:rsidRPr="002906A3">
        <w:t>responsibility</w:t>
      </w:r>
      <w:proofErr w:type="spellEnd"/>
      <w:r w:rsidRPr="002906A3">
        <w:t xml:space="preserve">, </w:t>
      </w:r>
      <w:proofErr w:type="spellStart"/>
      <w:r w:rsidRPr="002906A3">
        <w:t>scientific</w:t>
      </w:r>
      <w:proofErr w:type="spellEnd"/>
      <w:r w:rsidRPr="002906A3">
        <w:t xml:space="preserve"> </w:t>
      </w:r>
      <w:proofErr w:type="spellStart"/>
      <w:r w:rsidRPr="002906A3">
        <w:t>overreach</w:t>
      </w:r>
      <w:proofErr w:type="spellEnd"/>
      <w:r w:rsidRPr="002906A3">
        <w:t xml:space="preserve">, moral </w:t>
      </w:r>
      <w:proofErr w:type="spellStart"/>
      <w:r w:rsidRPr="002906A3">
        <w:t>implications</w:t>
      </w:r>
      <w:proofErr w:type="spellEnd"/>
      <w:r w:rsidRPr="002906A3">
        <w:t xml:space="preserve">, </w:t>
      </w:r>
      <w:proofErr w:type="spellStart"/>
      <w:r w:rsidRPr="002906A3">
        <w:t>technological</w:t>
      </w:r>
      <w:proofErr w:type="spellEnd"/>
      <w:r w:rsidRPr="002906A3">
        <w:t xml:space="preserve"> </w:t>
      </w:r>
      <w:proofErr w:type="spellStart"/>
      <w:r w:rsidRPr="002906A3">
        <w:t>advancement</w:t>
      </w:r>
      <w:proofErr w:type="spellEnd"/>
    </w:p>
    <w:p w14:paraId="1778FF48" w14:textId="77777777" w:rsidR="00BF3875" w:rsidRPr="002906A3" w:rsidRDefault="00BF3875" w:rsidP="00BA67A6"/>
    <w:p w14:paraId="01B4D1FC" w14:textId="77777777" w:rsidR="001E7189" w:rsidRPr="002906A3" w:rsidRDefault="001E7189" w:rsidP="00BA67A6"/>
    <w:p w14:paraId="3B91CB8A" w14:textId="3C66FAF2" w:rsidR="001E7189" w:rsidRPr="0072162F" w:rsidRDefault="001E7189" w:rsidP="00BA67A6">
      <w:pPr>
        <w:jc w:val="both"/>
        <w:rPr>
          <w:b/>
          <w:bCs/>
        </w:rPr>
      </w:pPr>
      <w:proofErr w:type="spellStart"/>
      <w:r w:rsidRPr="002906A3">
        <w:rPr>
          <w:b/>
          <w:bCs/>
        </w:rPr>
        <w:t>Creator</w:t>
      </w:r>
      <w:proofErr w:type="spellEnd"/>
      <w:r w:rsidRPr="002906A3">
        <w:rPr>
          <w:b/>
          <w:bCs/>
        </w:rPr>
        <w:t xml:space="preserve"> </w:t>
      </w:r>
      <w:proofErr w:type="spellStart"/>
      <w:r w:rsidRPr="002906A3">
        <w:rPr>
          <w:b/>
          <w:bCs/>
        </w:rPr>
        <w:t>Responsibility</w:t>
      </w:r>
      <w:proofErr w:type="spellEnd"/>
      <w:r w:rsidRPr="002906A3">
        <w:rPr>
          <w:b/>
          <w:bCs/>
        </w:rPr>
        <w:t xml:space="preserve"> </w:t>
      </w:r>
      <w:proofErr w:type="spellStart"/>
      <w:r w:rsidRPr="002906A3">
        <w:rPr>
          <w:b/>
          <w:bCs/>
        </w:rPr>
        <w:t>and</w:t>
      </w:r>
      <w:proofErr w:type="spellEnd"/>
      <w:r w:rsidRPr="002906A3">
        <w:rPr>
          <w:b/>
          <w:bCs/>
        </w:rPr>
        <w:t xml:space="preserve"> </w:t>
      </w:r>
      <w:proofErr w:type="spellStart"/>
      <w:r w:rsidRPr="002906A3">
        <w:rPr>
          <w:b/>
          <w:bCs/>
        </w:rPr>
        <w:t>Ethical</w:t>
      </w:r>
      <w:proofErr w:type="spellEnd"/>
      <w:r w:rsidRPr="002906A3">
        <w:rPr>
          <w:b/>
          <w:bCs/>
        </w:rPr>
        <w:t xml:space="preserve"> </w:t>
      </w:r>
      <w:proofErr w:type="spellStart"/>
      <w:r w:rsidRPr="002906A3">
        <w:rPr>
          <w:b/>
          <w:bCs/>
        </w:rPr>
        <w:t>Boundaries</w:t>
      </w:r>
      <w:proofErr w:type="spellEnd"/>
      <w:r w:rsidRPr="002906A3">
        <w:rPr>
          <w:b/>
          <w:bCs/>
        </w:rPr>
        <w:t xml:space="preserve"> </w:t>
      </w:r>
      <w:proofErr w:type="spellStart"/>
      <w:r w:rsidRPr="002906A3">
        <w:rPr>
          <w:b/>
          <w:bCs/>
        </w:rPr>
        <w:t>from</w:t>
      </w:r>
      <w:proofErr w:type="spellEnd"/>
      <w:r w:rsidRPr="002906A3">
        <w:rPr>
          <w:b/>
          <w:bCs/>
        </w:rPr>
        <w:t xml:space="preserve"> Frankenstein </w:t>
      </w:r>
      <w:proofErr w:type="spellStart"/>
      <w:r w:rsidRPr="002906A3">
        <w:rPr>
          <w:b/>
          <w:bCs/>
        </w:rPr>
        <w:t>to</w:t>
      </w:r>
      <w:proofErr w:type="spellEnd"/>
      <w:r w:rsidRPr="002906A3">
        <w:rPr>
          <w:b/>
          <w:bCs/>
        </w:rPr>
        <w:t xml:space="preserve"> </w:t>
      </w:r>
      <w:proofErr w:type="spellStart"/>
      <w:r w:rsidRPr="002906A3">
        <w:rPr>
          <w:b/>
          <w:bCs/>
        </w:rPr>
        <w:t>the</w:t>
      </w:r>
      <w:proofErr w:type="spellEnd"/>
      <w:r w:rsidRPr="002906A3">
        <w:rPr>
          <w:b/>
          <w:bCs/>
        </w:rPr>
        <w:t xml:space="preserve"> Age of </w:t>
      </w:r>
      <w:proofErr w:type="spellStart"/>
      <w:r w:rsidRPr="002906A3">
        <w:rPr>
          <w:b/>
          <w:bCs/>
        </w:rPr>
        <w:t>Artificial</w:t>
      </w:r>
      <w:proofErr w:type="spellEnd"/>
      <w:r w:rsidRPr="002906A3">
        <w:rPr>
          <w:b/>
          <w:bCs/>
        </w:rPr>
        <w:t xml:space="preserve"> </w:t>
      </w:r>
      <w:proofErr w:type="spellStart"/>
      <w:r w:rsidRPr="002906A3">
        <w:rPr>
          <w:b/>
          <w:bCs/>
        </w:rPr>
        <w:t>Intelligence</w:t>
      </w:r>
      <w:proofErr w:type="spellEnd"/>
    </w:p>
    <w:p w14:paraId="633A4360" w14:textId="77777777" w:rsidR="001E7189" w:rsidRPr="002906A3" w:rsidRDefault="001E7189" w:rsidP="00BA67A6">
      <w:pPr>
        <w:jc w:val="both"/>
      </w:pPr>
      <w:proofErr w:type="spellStart"/>
      <w:r w:rsidRPr="002906A3">
        <w:t>In</w:t>
      </w:r>
      <w:proofErr w:type="spellEnd"/>
      <w:r w:rsidRPr="002906A3">
        <w:t xml:space="preserve"> </w:t>
      </w:r>
      <w:r w:rsidRPr="002906A3">
        <w:rPr>
          <w:i/>
          <w:iCs/>
        </w:rPr>
        <w:t>Frankenstein</w:t>
      </w:r>
      <w:r w:rsidRPr="002906A3">
        <w:t xml:space="preserve"> </w:t>
      </w:r>
      <w:proofErr w:type="spellStart"/>
      <w:r w:rsidRPr="002906A3">
        <w:t>by</w:t>
      </w:r>
      <w:proofErr w:type="spellEnd"/>
      <w:r w:rsidRPr="002906A3">
        <w:t xml:space="preserve"> Mary </w:t>
      </w:r>
      <w:proofErr w:type="spellStart"/>
      <w:r w:rsidRPr="002906A3">
        <w:t>Shelley</w:t>
      </w:r>
      <w:proofErr w:type="spellEnd"/>
      <w:r w:rsidRPr="002906A3">
        <w:t xml:space="preserve">, Victor Frankenstein </w:t>
      </w:r>
      <w:proofErr w:type="spellStart"/>
      <w:r w:rsidRPr="002906A3">
        <w:t>emerges</w:t>
      </w:r>
      <w:proofErr w:type="spellEnd"/>
      <w:r w:rsidRPr="002906A3">
        <w:t xml:space="preserve"> as a </w:t>
      </w:r>
      <w:proofErr w:type="spellStart"/>
      <w:r w:rsidRPr="002906A3">
        <w:t>deeply</w:t>
      </w:r>
      <w:proofErr w:type="spellEnd"/>
      <w:r w:rsidRPr="002906A3">
        <w:t xml:space="preserve"> </w:t>
      </w:r>
      <w:proofErr w:type="spellStart"/>
      <w:r w:rsidRPr="002906A3">
        <w:t>flawed</w:t>
      </w:r>
      <w:proofErr w:type="spellEnd"/>
      <w:r w:rsidRPr="002906A3">
        <w:t xml:space="preserve"> </w:t>
      </w:r>
      <w:proofErr w:type="spellStart"/>
      <w:r w:rsidRPr="002906A3">
        <w:t>creator</w:t>
      </w:r>
      <w:proofErr w:type="spellEnd"/>
      <w:r w:rsidRPr="002906A3">
        <w:t xml:space="preserve"> </w:t>
      </w:r>
      <w:proofErr w:type="spellStart"/>
      <w:r w:rsidRPr="002906A3">
        <w:t>whose</w:t>
      </w:r>
      <w:proofErr w:type="spellEnd"/>
      <w:r w:rsidRPr="002906A3">
        <w:t xml:space="preserve"> </w:t>
      </w:r>
      <w:proofErr w:type="spellStart"/>
      <w:r w:rsidRPr="002906A3">
        <w:t>obsessive</w:t>
      </w:r>
      <w:proofErr w:type="spellEnd"/>
      <w:r w:rsidRPr="002906A3">
        <w:t xml:space="preserve"> </w:t>
      </w:r>
      <w:proofErr w:type="spellStart"/>
      <w:r w:rsidRPr="002906A3">
        <w:t>ambition</w:t>
      </w:r>
      <w:proofErr w:type="spellEnd"/>
      <w:r w:rsidRPr="002906A3">
        <w:t xml:space="preserve"> </w:t>
      </w:r>
      <w:proofErr w:type="spellStart"/>
      <w:r w:rsidRPr="002906A3">
        <w:t>leads</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neglect</w:t>
      </w:r>
      <w:proofErr w:type="spellEnd"/>
      <w:r w:rsidRPr="002906A3">
        <w:t xml:space="preserve"> his moral </w:t>
      </w:r>
      <w:proofErr w:type="spellStart"/>
      <w:r w:rsidRPr="002906A3">
        <w:t>responsibilities</w:t>
      </w:r>
      <w:proofErr w:type="spellEnd"/>
      <w:r w:rsidRPr="002906A3">
        <w:t xml:space="preserve"> </w:t>
      </w:r>
      <w:proofErr w:type="spellStart"/>
      <w:r w:rsidRPr="002906A3">
        <w:t>toward</w:t>
      </w:r>
      <w:proofErr w:type="spellEnd"/>
      <w:r w:rsidRPr="002906A3">
        <w:t xml:space="preserve"> his </w:t>
      </w:r>
      <w:proofErr w:type="spellStart"/>
      <w:r w:rsidRPr="002906A3">
        <w:t>creation</w:t>
      </w:r>
      <w:proofErr w:type="spellEnd"/>
      <w:r w:rsidRPr="002906A3">
        <w:t xml:space="preserve">. </w:t>
      </w:r>
      <w:proofErr w:type="spellStart"/>
      <w:r w:rsidRPr="002906A3">
        <w:t>Shelley's</w:t>
      </w:r>
      <w:proofErr w:type="spellEnd"/>
      <w:r w:rsidRPr="002906A3">
        <w:t xml:space="preserve"> </w:t>
      </w:r>
      <w:proofErr w:type="spellStart"/>
      <w:r w:rsidRPr="002906A3">
        <w:t>depiction</w:t>
      </w:r>
      <w:proofErr w:type="spellEnd"/>
      <w:r w:rsidRPr="002906A3">
        <w:t xml:space="preserve"> of Victor </w:t>
      </w:r>
      <w:proofErr w:type="spellStart"/>
      <w:r w:rsidRPr="002906A3">
        <w:t>serves</w:t>
      </w:r>
      <w:proofErr w:type="spellEnd"/>
      <w:r w:rsidRPr="002906A3">
        <w:t xml:space="preserve"> as a </w:t>
      </w:r>
      <w:proofErr w:type="spellStart"/>
      <w:r w:rsidRPr="002906A3">
        <w:t>cautionary</w:t>
      </w:r>
      <w:proofErr w:type="spellEnd"/>
      <w:r w:rsidRPr="002906A3">
        <w:t xml:space="preserve"> </w:t>
      </w:r>
      <w:proofErr w:type="spellStart"/>
      <w:r w:rsidRPr="002906A3">
        <w:t>tale</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repercussions</w:t>
      </w:r>
      <w:proofErr w:type="spellEnd"/>
      <w:r w:rsidRPr="002906A3">
        <w:t xml:space="preserve"> of </w:t>
      </w:r>
      <w:proofErr w:type="spellStart"/>
      <w:r w:rsidRPr="002906A3">
        <w:t>scientific</w:t>
      </w:r>
      <w:proofErr w:type="spellEnd"/>
      <w:r w:rsidRPr="002906A3">
        <w:t xml:space="preserve"> </w:t>
      </w:r>
      <w:proofErr w:type="spellStart"/>
      <w:r w:rsidRPr="002906A3">
        <w:t>exploration</w:t>
      </w:r>
      <w:proofErr w:type="spellEnd"/>
      <w:r w:rsidRPr="002906A3">
        <w:t xml:space="preserve"> </w:t>
      </w:r>
      <w:proofErr w:type="spellStart"/>
      <w:r w:rsidRPr="002906A3">
        <w:t>devoid</w:t>
      </w:r>
      <w:proofErr w:type="spellEnd"/>
      <w:r w:rsidRPr="002906A3">
        <w:t xml:space="preserve"> of </w:t>
      </w:r>
      <w:proofErr w:type="spellStart"/>
      <w:r w:rsidRPr="002906A3">
        <w:t>ethical</w:t>
      </w:r>
      <w:proofErr w:type="spellEnd"/>
      <w:r w:rsidRPr="002906A3">
        <w:t xml:space="preserve"> </w:t>
      </w:r>
      <w:proofErr w:type="spellStart"/>
      <w:r w:rsidRPr="002906A3">
        <w:t>considerations</w:t>
      </w:r>
      <w:proofErr w:type="spellEnd"/>
      <w:r w:rsidRPr="002906A3">
        <w:t xml:space="preserve">. His </w:t>
      </w:r>
      <w:proofErr w:type="spellStart"/>
      <w:r w:rsidRPr="002906A3">
        <w:t>relentless</w:t>
      </w:r>
      <w:proofErr w:type="spellEnd"/>
      <w:r w:rsidRPr="002906A3">
        <w:t xml:space="preserve"> </w:t>
      </w:r>
      <w:proofErr w:type="spellStart"/>
      <w:r w:rsidRPr="002906A3">
        <w:t>pursuit</w:t>
      </w:r>
      <w:proofErr w:type="spellEnd"/>
      <w:r w:rsidRPr="002906A3">
        <w:t xml:space="preserve"> of </w:t>
      </w:r>
      <w:proofErr w:type="spellStart"/>
      <w:r w:rsidRPr="002906A3">
        <w:t>knowledge</w:t>
      </w:r>
      <w:proofErr w:type="spellEnd"/>
      <w:r w:rsidRPr="002906A3">
        <w:t xml:space="preserve"> </w:t>
      </w:r>
      <w:proofErr w:type="spellStart"/>
      <w:r w:rsidRPr="002906A3">
        <w:t>and</w:t>
      </w:r>
      <w:proofErr w:type="spellEnd"/>
      <w:r w:rsidRPr="002906A3">
        <w:t xml:space="preserve"> </w:t>
      </w:r>
      <w:proofErr w:type="spellStart"/>
      <w:r w:rsidRPr="002906A3">
        <w:t>power</w:t>
      </w:r>
      <w:proofErr w:type="spellEnd"/>
      <w:r w:rsidRPr="002906A3">
        <w:t xml:space="preserve"> </w:t>
      </w:r>
      <w:proofErr w:type="spellStart"/>
      <w:r w:rsidRPr="002906A3">
        <w:t>blinds</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his </w:t>
      </w:r>
      <w:proofErr w:type="spellStart"/>
      <w:r w:rsidRPr="002906A3">
        <w:t>actions</w:t>
      </w:r>
      <w:proofErr w:type="spellEnd"/>
      <w:r w:rsidRPr="002906A3">
        <w:t xml:space="preserve">. </w:t>
      </w:r>
      <w:proofErr w:type="spellStart"/>
      <w:r w:rsidRPr="002906A3">
        <w:t>Victor's</w:t>
      </w:r>
      <w:proofErr w:type="spellEnd"/>
      <w:r w:rsidRPr="002906A3">
        <w:t xml:space="preserve"> </w:t>
      </w:r>
      <w:proofErr w:type="spellStart"/>
      <w:r w:rsidRPr="002906A3">
        <w:t>ambition</w:t>
      </w:r>
      <w:proofErr w:type="spellEnd"/>
      <w:r w:rsidRPr="002906A3">
        <w:t xml:space="preserve"> </w:t>
      </w:r>
      <w:proofErr w:type="spellStart"/>
      <w:r w:rsidRPr="002906A3">
        <w:t>drives</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push</w:t>
      </w:r>
      <w:proofErr w:type="spellEnd"/>
      <w:r w:rsidRPr="002906A3">
        <w:t xml:space="preserve"> </w:t>
      </w:r>
      <w:proofErr w:type="spellStart"/>
      <w:r w:rsidRPr="002906A3">
        <w:t>the</w:t>
      </w:r>
      <w:proofErr w:type="spellEnd"/>
      <w:r w:rsidRPr="002906A3">
        <w:t xml:space="preserve"> </w:t>
      </w:r>
      <w:proofErr w:type="spellStart"/>
      <w:r w:rsidRPr="002906A3">
        <w:t>boundaries</w:t>
      </w:r>
      <w:proofErr w:type="spellEnd"/>
      <w:r w:rsidRPr="002906A3">
        <w:t xml:space="preserve"> of </w:t>
      </w:r>
      <w:proofErr w:type="spellStart"/>
      <w:r w:rsidRPr="002906A3">
        <w:t>science</w:t>
      </w:r>
      <w:proofErr w:type="spellEnd"/>
      <w:r w:rsidRPr="002906A3">
        <w:t xml:space="preserve">, </w:t>
      </w:r>
      <w:proofErr w:type="spellStart"/>
      <w:r w:rsidRPr="002906A3">
        <w:t>culminating</w:t>
      </w:r>
      <w:proofErr w:type="spellEnd"/>
      <w:r w:rsidRPr="002906A3">
        <w:t xml:space="preserve"> in </w:t>
      </w:r>
      <w:proofErr w:type="spellStart"/>
      <w:r w:rsidRPr="002906A3">
        <w:t>the</w:t>
      </w:r>
      <w:proofErr w:type="spellEnd"/>
      <w:r w:rsidRPr="002906A3">
        <w:t xml:space="preserve"> </w:t>
      </w:r>
      <w:proofErr w:type="spellStart"/>
      <w:r w:rsidRPr="002906A3">
        <w:t>creation</w:t>
      </w:r>
      <w:proofErr w:type="spellEnd"/>
      <w:r w:rsidRPr="002906A3">
        <w:t xml:space="preserve"> of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However</w:t>
      </w:r>
      <w:proofErr w:type="spellEnd"/>
      <w:r w:rsidRPr="002906A3">
        <w:t xml:space="preserve">, </w:t>
      </w:r>
      <w:proofErr w:type="spellStart"/>
      <w:r w:rsidRPr="002906A3">
        <w:t>once</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comes</w:t>
      </w:r>
      <w:proofErr w:type="spellEnd"/>
      <w:r w:rsidRPr="002906A3">
        <w:t xml:space="preserve"> </w:t>
      </w:r>
      <w:proofErr w:type="spellStart"/>
      <w:r w:rsidRPr="002906A3">
        <w:t>to</w:t>
      </w:r>
      <w:proofErr w:type="spellEnd"/>
      <w:r w:rsidRPr="002906A3">
        <w:t xml:space="preserve"> life, Victor is </w:t>
      </w:r>
      <w:proofErr w:type="spellStart"/>
      <w:r w:rsidRPr="002906A3">
        <w:t>horrified</w:t>
      </w:r>
      <w:proofErr w:type="spellEnd"/>
      <w:r w:rsidRPr="002906A3">
        <w:t xml:space="preserve"> </w:t>
      </w:r>
      <w:proofErr w:type="spellStart"/>
      <w:r w:rsidRPr="002906A3">
        <w:t>by</w:t>
      </w:r>
      <w:proofErr w:type="spellEnd"/>
      <w:r w:rsidRPr="002906A3">
        <w:t xml:space="preserve"> his </w:t>
      </w:r>
      <w:proofErr w:type="spellStart"/>
      <w:r w:rsidRPr="002906A3">
        <w:t>work</w:t>
      </w:r>
      <w:proofErr w:type="spellEnd"/>
      <w:r w:rsidRPr="002906A3">
        <w:t xml:space="preserve">. </w:t>
      </w:r>
      <w:proofErr w:type="spellStart"/>
      <w:r w:rsidRPr="002906A3">
        <w:t>This</w:t>
      </w:r>
      <w:proofErr w:type="spellEnd"/>
      <w:r w:rsidRPr="002906A3">
        <w:t xml:space="preserve"> </w:t>
      </w:r>
      <w:proofErr w:type="spellStart"/>
      <w:r w:rsidRPr="002906A3">
        <w:t>immediate</w:t>
      </w:r>
      <w:proofErr w:type="spellEnd"/>
      <w:r w:rsidRPr="002906A3">
        <w:t xml:space="preserve"> </w:t>
      </w:r>
      <w:proofErr w:type="spellStart"/>
      <w:r w:rsidRPr="002906A3">
        <w:t>rejection</w:t>
      </w:r>
      <w:proofErr w:type="spellEnd"/>
      <w:r w:rsidRPr="002906A3">
        <w:t xml:space="preserve"> </w:t>
      </w:r>
      <w:proofErr w:type="spellStart"/>
      <w:r w:rsidRPr="002906A3">
        <w:t>highlights</w:t>
      </w:r>
      <w:proofErr w:type="spellEnd"/>
      <w:r w:rsidRPr="002906A3">
        <w:t xml:space="preserve"> his </w:t>
      </w:r>
      <w:proofErr w:type="spellStart"/>
      <w:r w:rsidRPr="002906A3">
        <w:t>failure</w:t>
      </w:r>
      <w:proofErr w:type="spellEnd"/>
      <w:r w:rsidRPr="002906A3">
        <w:t xml:space="preserve"> </w:t>
      </w:r>
      <w:proofErr w:type="spellStart"/>
      <w:r w:rsidRPr="002906A3">
        <w:t>to</w:t>
      </w:r>
      <w:proofErr w:type="spellEnd"/>
      <w:r w:rsidRPr="002906A3">
        <w:t xml:space="preserve"> </w:t>
      </w:r>
      <w:proofErr w:type="spellStart"/>
      <w:r w:rsidRPr="002906A3">
        <w:lastRenderedPageBreak/>
        <w:t>take</w:t>
      </w:r>
      <w:proofErr w:type="spellEnd"/>
      <w:r w:rsidRPr="002906A3">
        <w:t xml:space="preserve"> </w:t>
      </w:r>
      <w:proofErr w:type="spellStart"/>
      <w:r w:rsidRPr="002906A3">
        <w:t>responsibility</w:t>
      </w:r>
      <w:proofErr w:type="spellEnd"/>
      <w:r w:rsidRPr="002906A3">
        <w:t xml:space="preserve">, </w:t>
      </w:r>
      <w:proofErr w:type="spellStart"/>
      <w:r w:rsidRPr="002906A3">
        <w:t>underscoring</w:t>
      </w:r>
      <w:proofErr w:type="spellEnd"/>
      <w:r w:rsidRPr="002906A3">
        <w:t xml:space="preserve"> his </w:t>
      </w:r>
      <w:proofErr w:type="spellStart"/>
      <w:r w:rsidRPr="002906A3">
        <w:t>ethical</w:t>
      </w:r>
      <w:proofErr w:type="spellEnd"/>
      <w:r w:rsidRPr="002906A3">
        <w:t xml:space="preserve"> </w:t>
      </w:r>
      <w:proofErr w:type="spellStart"/>
      <w:r w:rsidRPr="002906A3">
        <w:t>shortcomings</w:t>
      </w:r>
      <w:proofErr w:type="spellEnd"/>
      <w:r w:rsidRPr="002906A3">
        <w:t>.</w:t>
      </w:r>
    </w:p>
    <w:p w14:paraId="4D379656" w14:textId="77777777" w:rsidR="001E7189" w:rsidRPr="002906A3" w:rsidRDefault="001E7189" w:rsidP="00BA67A6">
      <w:pPr>
        <w:jc w:val="both"/>
      </w:pPr>
    </w:p>
    <w:p w14:paraId="688F40A0" w14:textId="77777777" w:rsidR="001E7189" w:rsidRPr="002906A3" w:rsidRDefault="001E7189" w:rsidP="00BA67A6">
      <w:pPr>
        <w:jc w:val="both"/>
      </w:pPr>
      <w:proofErr w:type="spellStart"/>
      <w:r w:rsidRPr="002906A3">
        <w:t>Victor's</w:t>
      </w:r>
      <w:proofErr w:type="spellEnd"/>
      <w:r w:rsidRPr="002906A3">
        <w:t xml:space="preserve"> </w:t>
      </w:r>
      <w:proofErr w:type="spellStart"/>
      <w:r w:rsidRPr="002906A3">
        <w:t>neglect</w:t>
      </w:r>
      <w:proofErr w:type="spellEnd"/>
      <w:r w:rsidRPr="002906A3">
        <w:t xml:space="preserve"> of his </w:t>
      </w:r>
      <w:proofErr w:type="spellStart"/>
      <w:r w:rsidRPr="002906A3">
        <w:t>responsibilities</w:t>
      </w:r>
      <w:proofErr w:type="spellEnd"/>
      <w:r w:rsidRPr="002906A3">
        <w:t xml:space="preserve"> is </w:t>
      </w:r>
      <w:proofErr w:type="spellStart"/>
      <w:r w:rsidRPr="002906A3">
        <w:t>evident</w:t>
      </w:r>
      <w:proofErr w:type="spellEnd"/>
      <w:r w:rsidRPr="002906A3">
        <w:t xml:space="preserve"> </w:t>
      </w:r>
      <w:proofErr w:type="spellStart"/>
      <w:r w:rsidRPr="002906A3">
        <w:t>when</w:t>
      </w:r>
      <w:proofErr w:type="spellEnd"/>
      <w:r w:rsidRPr="002906A3">
        <w:t xml:space="preserve"> he </w:t>
      </w:r>
      <w:proofErr w:type="spellStart"/>
      <w:r w:rsidRPr="002906A3">
        <w:t>states</w:t>
      </w:r>
      <w:proofErr w:type="spellEnd"/>
      <w:r w:rsidRPr="002906A3">
        <w:t xml:space="preserve">, "I had </w:t>
      </w:r>
      <w:proofErr w:type="spellStart"/>
      <w:r w:rsidRPr="002906A3">
        <w:t>worked</w:t>
      </w:r>
      <w:proofErr w:type="spellEnd"/>
      <w:r w:rsidRPr="002906A3">
        <w:t xml:space="preserve"> hard </w:t>
      </w:r>
      <w:proofErr w:type="spellStart"/>
      <w:r w:rsidRPr="002906A3">
        <w:t>for</w:t>
      </w:r>
      <w:proofErr w:type="spellEnd"/>
      <w:r w:rsidRPr="002906A3">
        <w:t xml:space="preserve"> </w:t>
      </w:r>
      <w:proofErr w:type="spellStart"/>
      <w:r w:rsidRPr="002906A3">
        <w:t>nearly</w:t>
      </w:r>
      <w:proofErr w:type="spellEnd"/>
      <w:r w:rsidRPr="002906A3">
        <w:t xml:space="preserve"> two </w:t>
      </w:r>
      <w:proofErr w:type="spellStart"/>
      <w:r w:rsidRPr="002906A3">
        <w:t>years</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sole </w:t>
      </w:r>
      <w:proofErr w:type="spellStart"/>
      <w:r w:rsidRPr="002906A3">
        <w:t>purpose</w:t>
      </w:r>
      <w:proofErr w:type="spellEnd"/>
      <w:r w:rsidRPr="002906A3">
        <w:t xml:space="preserve"> of </w:t>
      </w:r>
      <w:proofErr w:type="spellStart"/>
      <w:r w:rsidRPr="002906A3">
        <w:t>infusing</w:t>
      </w:r>
      <w:proofErr w:type="spellEnd"/>
      <w:r w:rsidRPr="002906A3">
        <w:t xml:space="preserve"> life </w:t>
      </w:r>
      <w:proofErr w:type="spellStart"/>
      <w:r w:rsidRPr="002906A3">
        <w:t>into</w:t>
      </w:r>
      <w:proofErr w:type="spellEnd"/>
      <w:r w:rsidRPr="002906A3">
        <w:t xml:space="preserve"> an </w:t>
      </w:r>
      <w:proofErr w:type="spellStart"/>
      <w:r w:rsidRPr="002906A3">
        <w:t>inanimate</w:t>
      </w:r>
      <w:proofErr w:type="spellEnd"/>
      <w:r w:rsidRPr="002906A3">
        <w:t xml:space="preserve"> body" (</w:t>
      </w:r>
      <w:proofErr w:type="spellStart"/>
      <w:r w:rsidRPr="002906A3">
        <w:t>Shelley</w:t>
      </w:r>
      <w:proofErr w:type="spellEnd"/>
      <w:r w:rsidRPr="002906A3">
        <w:t xml:space="preserve">, 1818). </w:t>
      </w:r>
      <w:proofErr w:type="spellStart"/>
      <w:r w:rsidRPr="002906A3">
        <w:t>This</w:t>
      </w:r>
      <w:proofErr w:type="spellEnd"/>
      <w:r w:rsidRPr="002906A3">
        <w:t xml:space="preserve"> </w:t>
      </w:r>
      <w:proofErr w:type="spellStart"/>
      <w:r w:rsidRPr="002906A3">
        <w:t>acknowledgment</w:t>
      </w:r>
      <w:proofErr w:type="spellEnd"/>
      <w:r w:rsidRPr="002906A3">
        <w:t xml:space="preserve"> </w:t>
      </w:r>
      <w:proofErr w:type="spellStart"/>
      <w:r w:rsidRPr="002906A3">
        <w:t>reveals</w:t>
      </w:r>
      <w:proofErr w:type="spellEnd"/>
      <w:r w:rsidRPr="002906A3">
        <w:t xml:space="preserve"> </w:t>
      </w:r>
      <w:proofErr w:type="spellStart"/>
      <w:r w:rsidRPr="002906A3">
        <w:t>the</w:t>
      </w:r>
      <w:proofErr w:type="spellEnd"/>
      <w:r w:rsidRPr="002906A3">
        <w:t xml:space="preserve"> </w:t>
      </w:r>
      <w:proofErr w:type="spellStart"/>
      <w:r w:rsidRPr="002906A3">
        <w:t>passion</w:t>
      </w:r>
      <w:proofErr w:type="spellEnd"/>
      <w:r w:rsidRPr="002906A3">
        <w:t xml:space="preserve"> </w:t>
      </w:r>
      <w:proofErr w:type="spellStart"/>
      <w:r w:rsidRPr="002906A3">
        <w:t>and</w:t>
      </w:r>
      <w:proofErr w:type="spellEnd"/>
      <w:r w:rsidRPr="002906A3">
        <w:t xml:space="preserve"> </w:t>
      </w:r>
      <w:proofErr w:type="spellStart"/>
      <w:r w:rsidRPr="002906A3">
        <w:t>dedication</w:t>
      </w:r>
      <w:proofErr w:type="spellEnd"/>
      <w:r w:rsidRPr="002906A3">
        <w:t xml:space="preserve"> he </w:t>
      </w:r>
      <w:proofErr w:type="spellStart"/>
      <w:r w:rsidRPr="002906A3">
        <w:t>invests</w:t>
      </w:r>
      <w:proofErr w:type="spellEnd"/>
      <w:r w:rsidRPr="002906A3">
        <w:t xml:space="preserve"> in his </w:t>
      </w:r>
      <w:proofErr w:type="spellStart"/>
      <w:r w:rsidRPr="002906A3">
        <w:t>scientific</w:t>
      </w:r>
      <w:proofErr w:type="spellEnd"/>
      <w:r w:rsidRPr="002906A3">
        <w:t xml:space="preserve"> </w:t>
      </w:r>
      <w:proofErr w:type="spellStart"/>
      <w:r w:rsidRPr="002906A3">
        <w:t>endeavors</w:t>
      </w:r>
      <w:proofErr w:type="spellEnd"/>
      <w:r w:rsidRPr="002906A3">
        <w:t xml:space="preserve">. </w:t>
      </w:r>
      <w:proofErr w:type="spellStart"/>
      <w:r w:rsidRPr="002906A3">
        <w:t>However</w:t>
      </w:r>
      <w:proofErr w:type="spellEnd"/>
      <w:r w:rsidRPr="002906A3">
        <w:t xml:space="preserve">, it is </w:t>
      </w:r>
      <w:proofErr w:type="spellStart"/>
      <w:r w:rsidRPr="002906A3">
        <w:t>juxtaposed</w:t>
      </w:r>
      <w:proofErr w:type="spellEnd"/>
      <w:r w:rsidRPr="002906A3">
        <w:t xml:space="preserve"> </w:t>
      </w:r>
      <w:proofErr w:type="spellStart"/>
      <w:r w:rsidRPr="002906A3">
        <w:t>with</w:t>
      </w:r>
      <w:proofErr w:type="spellEnd"/>
      <w:r w:rsidRPr="002906A3">
        <w:t xml:space="preserve"> his </w:t>
      </w:r>
      <w:proofErr w:type="spellStart"/>
      <w:r w:rsidRPr="002906A3">
        <w:t>immediate</w:t>
      </w:r>
      <w:proofErr w:type="spellEnd"/>
      <w:r w:rsidRPr="002906A3">
        <w:t xml:space="preserve"> </w:t>
      </w:r>
      <w:proofErr w:type="spellStart"/>
      <w:r w:rsidRPr="002906A3">
        <w:t>abandonment</w:t>
      </w:r>
      <w:proofErr w:type="spellEnd"/>
      <w:r w:rsidRPr="002906A3">
        <w:t xml:space="preserve"> of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upon</w:t>
      </w:r>
      <w:proofErr w:type="spellEnd"/>
      <w:r w:rsidRPr="002906A3">
        <w:t xml:space="preserve"> </w:t>
      </w:r>
      <w:proofErr w:type="spellStart"/>
      <w:r w:rsidRPr="002906A3">
        <w:t>realizing</w:t>
      </w:r>
      <w:proofErr w:type="spellEnd"/>
      <w:r w:rsidRPr="002906A3">
        <w:t xml:space="preserve"> </w:t>
      </w:r>
      <w:proofErr w:type="spellStart"/>
      <w:r w:rsidRPr="002906A3">
        <w:t>the</w:t>
      </w:r>
      <w:proofErr w:type="spellEnd"/>
      <w:r w:rsidRPr="002906A3">
        <w:t xml:space="preserve"> </w:t>
      </w:r>
      <w:proofErr w:type="spellStart"/>
      <w:r w:rsidRPr="002906A3">
        <w:t>horror</w:t>
      </w:r>
      <w:proofErr w:type="spellEnd"/>
      <w:r w:rsidRPr="002906A3">
        <w:t xml:space="preserve"> of his </w:t>
      </w:r>
      <w:proofErr w:type="spellStart"/>
      <w:r w:rsidRPr="002906A3">
        <w:t>creation</w:t>
      </w:r>
      <w:proofErr w:type="spellEnd"/>
      <w:r w:rsidRPr="002906A3">
        <w:t xml:space="preserve">. </w:t>
      </w:r>
      <w:proofErr w:type="spellStart"/>
      <w:r w:rsidRPr="002906A3">
        <w:t>This</w:t>
      </w:r>
      <w:proofErr w:type="spellEnd"/>
      <w:r w:rsidRPr="002906A3">
        <w:t xml:space="preserve"> moment </w:t>
      </w:r>
      <w:proofErr w:type="spellStart"/>
      <w:r w:rsidRPr="002906A3">
        <w:t>signifies</w:t>
      </w:r>
      <w:proofErr w:type="spellEnd"/>
      <w:r w:rsidRPr="002906A3">
        <w:t xml:space="preserve"> his </w:t>
      </w:r>
      <w:proofErr w:type="spellStart"/>
      <w:r w:rsidRPr="002906A3">
        <w:t>failure</w:t>
      </w:r>
      <w:proofErr w:type="spellEnd"/>
      <w:r w:rsidRPr="002906A3">
        <w:t xml:space="preserve"> </w:t>
      </w:r>
      <w:proofErr w:type="spellStart"/>
      <w:r w:rsidRPr="002906A3">
        <w:t>to</w:t>
      </w:r>
      <w:proofErr w:type="spellEnd"/>
      <w:r w:rsidRPr="002906A3">
        <w:t xml:space="preserve"> </w:t>
      </w:r>
      <w:proofErr w:type="spellStart"/>
      <w:r w:rsidRPr="002906A3">
        <w:t>anticipate</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his </w:t>
      </w:r>
      <w:proofErr w:type="spellStart"/>
      <w:r w:rsidRPr="002906A3">
        <w:t>work</w:t>
      </w:r>
      <w:proofErr w:type="spellEnd"/>
      <w:r w:rsidRPr="002906A3">
        <w:t xml:space="preserve">, </w:t>
      </w:r>
      <w:proofErr w:type="spellStart"/>
      <w:r w:rsidRPr="002906A3">
        <w:t>reflecting</w:t>
      </w:r>
      <w:proofErr w:type="spellEnd"/>
      <w:r w:rsidRPr="002906A3">
        <w:t xml:space="preserve"> his moral </w:t>
      </w:r>
      <w:proofErr w:type="spellStart"/>
      <w:r w:rsidRPr="002906A3">
        <w:t>irresponsibility</w:t>
      </w:r>
      <w:proofErr w:type="spellEnd"/>
      <w:r w:rsidRPr="002906A3">
        <w:t xml:space="preserve">. </w:t>
      </w:r>
      <w:proofErr w:type="spellStart"/>
      <w:r w:rsidRPr="002906A3">
        <w:t>Victor's</w:t>
      </w:r>
      <w:proofErr w:type="spellEnd"/>
      <w:r w:rsidRPr="002906A3">
        <w:t xml:space="preserve"> </w:t>
      </w:r>
      <w:proofErr w:type="spellStart"/>
      <w:r w:rsidRPr="002906A3">
        <w:t>reaction</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w:t>
      </w:r>
      <w:proofErr w:type="spellStart"/>
      <w:r w:rsidRPr="002906A3">
        <w:t>dangers</w:t>
      </w:r>
      <w:proofErr w:type="spellEnd"/>
      <w:r w:rsidRPr="002906A3">
        <w:t xml:space="preserve"> of </w:t>
      </w:r>
      <w:proofErr w:type="spellStart"/>
      <w:r w:rsidRPr="002906A3">
        <w:t>scientific</w:t>
      </w:r>
      <w:proofErr w:type="spellEnd"/>
      <w:r w:rsidRPr="002906A3">
        <w:t xml:space="preserve"> </w:t>
      </w:r>
      <w:proofErr w:type="spellStart"/>
      <w:r w:rsidRPr="002906A3">
        <w:t>ambition</w:t>
      </w:r>
      <w:proofErr w:type="spellEnd"/>
      <w:r w:rsidRPr="002906A3">
        <w:t xml:space="preserve"> </w:t>
      </w:r>
      <w:proofErr w:type="spellStart"/>
      <w:r w:rsidRPr="002906A3">
        <w:t>without</w:t>
      </w:r>
      <w:proofErr w:type="spellEnd"/>
      <w:r w:rsidRPr="002906A3">
        <w:t xml:space="preserve"> </w:t>
      </w:r>
      <w:proofErr w:type="spellStart"/>
      <w:r w:rsidRPr="002906A3">
        <w:t>ethical</w:t>
      </w:r>
      <w:proofErr w:type="spellEnd"/>
      <w:r w:rsidRPr="002906A3">
        <w:t xml:space="preserve"> </w:t>
      </w:r>
      <w:proofErr w:type="spellStart"/>
      <w:r w:rsidRPr="002906A3">
        <w:t>foresight</w:t>
      </w:r>
      <w:proofErr w:type="spellEnd"/>
      <w:r w:rsidRPr="002906A3">
        <w:t xml:space="preserve">—a </w:t>
      </w:r>
      <w:proofErr w:type="spellStart"/>
      <w:r w:rsidRPr="002906A3">
        <w:t>theme</w:t>
      </w:r>
      <w:proofErr w:type="spellEnd"/>
      <w:r w:rsidRPr="002906A3">
        <w:t xml:space="preserve"> </w:t>
      </w:r>
      <w:proofErr w:type="spellStart"/>
      <w:r w:rsidRPr="002906A3">
        <w:t>that</w:t>
      </w:r>
      <w:proofErr w:type="spellEnd"/>
      <w:r w:rsidRPr="002906A3">
        <w:t xml:space="preserve"> </w:t>
      </w:r>
      <w:proofErr w:type="spellStart"/>
      <w:r w:rsidRPr="002906A3">
        <w:t>strongly</w:t>
      </w:r>
      <w:proofErr w:type="spellEnd"/>
      <w:r w:rsidRPr="002906A3">
        <w:t xml:space="preserve"> </w:t>
      </w:r>
      <w:proofErr w:type="spellStart"/>
      <w:r w:rsidRPr="002906A3">
        <w:t>resonates</w:t>
      </w:r>
      <w:proofErr w:type="spellEnd"/>
      <w:r w:rsidRPr="002906A3">
        <w:t xml:space="preserve"> in </w:t>
      </w:r>
      <w:proofErr w:type="spellStart"/>
      <w:r w:rsidRPr="002906A3">
        <w:t>contemporary</w:t>
      </w:r>
      <w:proofErr w:type="spellEnd"/>
      <w:r w:rsidRPr="002906A3">
        <w:t xml:space="preserve"> </w:t>
      </w:r>
      <w:proofErr w:type="spellStart"/>
      <w:r w:rsidRPr="002906A3">
        <w:t>discussions</w:t>
      </w:r>
      <w:proofErr w:type="spellEnd"/>
      <w:r w:rsidRPr="002906A3">
        <w:t xml:space="preserve"> on </w:t>
      </w:r>
      <w:proofErr w:type="spellStart"/>
      <w:r w:rsidRPr="002906A3">
        <w:t>artificial</w:t>
      </w:r>
      <w:proofErr w:type="spellEnd"/>
      <w:r w:rsidRPr="002906A3">
        <w:t xml:space="preserve"> </w:t>
      </w:r>
      <w:proofErr w:type="spellStart"/>
      <w:r w:rsidRPr="002906A3">
        <w:t>intelligence</w:t>
      </w:r>
      <w:proofErr w:type="spellEnd"/>
      <w:r w:rsidRPr="002906A3">
        <w:t xml:space="preserve"> (AI).</w:t>
      </w:r>
    </w:p>
    <w:p w14:paraId="5AAF1CBB" w14:textId="77777777" w:rsidR="001E7189" w:rsidRPr="002906A3" w:rsidRDefault="001E7189" w:rsidP="00BA67A6">
      <w:pPr>
        <w:jc w:val="both"/>
      </w:pPr>
    </w:p>
    <w:p w14:paraId="0AEE0D46" w14:textId="77777777" w:rsidR="001E7189" w:rsidRPr="002906A3" w:rsidRDefault="001E7189" w:rsidP="00BA67A6">
      <w:pPr>
        <w:jc w:val="both"/>
      </w:pPr>
      <w:r w:rsidRPr="002906A3">
        <w:t xml:space="preserve">Modern </w:t>
      </w:r>
      <w:proofErr w:type="spellStart"/>
      <w:r w:rsidRPr="002906A3">
        <w:t>debates</w:t>
      </w:r>
      <w:proofErr w:type="spellEnd"/>
      <w:r w:rsidRPr="002906A3">
        <w:t xml:space="preserve"> on AI </w:t>
      </w:r>
      <w:proofErr w:type="spellStart"/>
      <w:r w:rsidRPr="002906A3">
        <w:t>development</w:t>
      </w:r>
      <w:proofErr w:type="spellEnd"/>
      <w:r w:rsidRPr="002906A3">
        <w:t xml:space="preserve"> </w:t>
      </w:r>
      <w:proofErr w:type="spellStart"/>
      <w:r w:rsidRPr="002906A3">
        <w:t>highlight</w:t>
      </w:r>
      <w:proofErr w:type="spellEnd"/>
      <w:r w:rsidRPr="002906A3">
        <w:t xml:space="preserve"> </w:t>
      </w:r>
      <w:proofErr w:type="spellStart"/>
      <w:r w:rsidRPr="002906A3">
        <w:t>ethical</w:t>
      </w:r>
      <w:proofErr w:type="spellEnd"/>
      <w:r w:rsidRPr="002906A3">
        <w:t xml:space="preserve"> </w:t>
      </w:r>
      <w:proofErr w:type="spellStart"/>
      <w:r w:rsidRPr="002906A3">
        <w:t>boundaries</w:t>
      </w:r>
      <w:proofErr w:type="spellEnd"/>
      <w:r w:rsidRPr="002906A3">
        <w:t xml:space="preserve"> </w:t>
      </w:r>
      <w:proofErr w:type="spellStart"/>
      <w:r w:rsidRPr="002906A3">
        <w:t>that</w:t>
      </w:r>
      <w:proofErr w:type="spellEnd"/>
      <w:r w:rsidRPr="002906A3">
        <w:t xml:space="preserve"> </w:t>
      </w:r>
      <w:proofErr w:type="spellStart"/>
      <w:r w:rsidRPr="002906A3">
        <w:t>technologists</w:t>
      </w:r>
      <w:proofErr w:type="spellEnd"/>
      <w:r w:rsidRPr="002906A3">
        <w:t xml:space="preserve"> </w:t>
      </w:r>
      <w:proofErr w:type="spellStart"/>
      <w:r w:rsidRPr="002906A3">
        <w:t>must</w:t>
      </w:r>
      <w:proofErr w:type="spellEnd"/>
      <w:r w:rsidRPr="002906A3">
        <w:t xml:space="preserve"> </w:t>
      </w:r>
      <w:proofErr w:type="spellStart"/>
      <w:r w:rsidRPr="002906A3">
        <w:t>consider</w:t>
      </w:r>
      <w:proofErr w:type="spellEnd"/>
      <w:r w:rsidRPr="002906A3">
        <w:t xml:space="preserve"> </w:t>
      </w:r>
      <w:proofErr w:type="spellStart"/>
      <w:r w:rsidRPr="002906A3">
        <w:t>when</w:t>
      </w:r>
      <w:proofErr w:type="spellEnd"/>
      <w:r w:rsidRPr="002906A3">
        <w:t xml:space="preserve"> </w:t>
      </w:r>
      <w:proofErr w:type="spellStart"/>
      <w:r w:rsidRPr="002906A3">
        <w:t>creating</w:t>
      </w:r>
      <w:proofErr w:type="spellEnd"/>
      <w:r w:rsidRPr="002906A3">
        <w:t xml:space="preserve"> </w:t>
      </w:r>
      <w:proofErr w:type="spellStart"/>
      <w:r w:rsidRPr="002906A3">
        <w:t>intelligent</w:t>
      </w:r>
      <w:proofErr w:type="spellEnd"/>
      <w:r w:rsidRPr="002906A3">
        <w:t xml:space="preserve"> </w:t>
      </w:r>
      <w:proofErr w:type="spellStart"/>
      <w:r w:rsidRPr="002906A3">
        <w:t>machines</w:t>
      </w:r>
      <w:proofErr w:type="spellEnd"/>
      <w:r w:rsidRPr="002906A3">
        <w:t xml:space="preserve">. </w:t>
      </w:r>
      <w:proofErr w:type="spellStart"/>
      <w:r w:rsidRPr="002906A3">
        <w:t>Just</w:t>
      </w:r>
      <w:proofErr w:type="spellEnd"/>
      <w:r w:rsidRPr="002906A3">
        <w:t xml:space="preserve"> as Victor </w:t>
      </w:r>
      <w:proofErr w:type="spellStart"/>
      <w:r w:rsidRPr="002906A3">
        <w:t>fails</w:t>
      </w:r>
      <w:proofErr w:type="spellEnd"/>
      <w:r w:rsidRPr="002906A3">
        <w:t xml:space="preserve"> </w:t>
      </w:r>
      <w:proofErr w:type="spellStart"/>
      <w:r w:rsidRPr="002906A3">
        <w:t>to</w:t>
      </w:r>
      <w:proofErr w:type="spellEnd"/>
      <w:r w:rsidRPr="002906A3">
        <w:t xml:space="preserve"> </w:t>
      </w:r>
      <w:proofErr w:type="spellStart"/>
      <w:r w:rsidRPr="002906A3">
        <w:t>foresee</w:t>
      </w:r>
      <w:proofErr w:type="spellEnd"/>
      <w:r w:rsidRPr="002906A3">
        <w:t xml:space="preserve"> </w:t>
      </w:r>
      <w:proofErr w:type="spellStart"/>
      <w:r w:rsidRPr="002906A3">
        <w:t>the</w:t>
      </w:r>
      <w:proofErr w:type="spellEnd"/>
      <w:r w:rsidRPr="002906A3">
        <w:t xml:space="preserve"> </w:t>
      </w:r>
      <w:proofErr w:type="spellStart"/>
      <w:r w:rsidRPr="002906A3">
        <w:t>implications</w:t>
      </w:r>
      <w:proofErr w:type="spellEnd"/>
      <w:r w:rsidRPr="002906A3">
        <w:t xml:space="preserve"> of his </w:t>
      </w:r>
      <w:proofErr w:type="spellStart"/>
      <w:r w:rsidRPr="002906A3">
        <w:t>actions</w:t>
      </w:r>
      <w:proofErr w:type="spellEnd"/>
      <w:r w:rsidRPr="002906A3">
        <w:t xml:space="preserve">, </w:t>
      </w:r>
      <w:proofErr w:type="spellStart"/>
      <w:r w:rsidRPr="002906A3">
        <w:t>many</w:t>
      </w:r>
      <w:proofErr w:type="spellEnd"/>
      <w:r w:rsidRPr="002906A3">
        <w:t xml:space="preserve"> </w:t>
      </w:r>
      <w:proofErr w:type="spellStart"/>
      <w:r w:rsidRPr="002906A3">
        <w:t>developers</w:t>
      </w:r>
      <w:proofErr w:type="spellEnd"/>
      <w:r w:rsidRPr="002906A3">
        <w:t xml:space="preserve"> </w:t>
      </w:r>
      <w:proofErr w:type="spellStart"/>
      <w:r w:rsidRPr="002906A3">
        <w:t>today</w:t>
      </w:r>
      <w:proofErr w:type="spellEnd"/>
      <w:r w:rsidRPr="002906A3">
        <w:t xml:space="preserve"> </w:t>
      </w:r>
      <w:proofErr w:type="spellStart"/>
      <w:r w:rsidRPr="002906A3">
        <w:t>overlook</w:t>
      </w:r>
      <w:proofErr w:type="spellEnd"/>
      <w:r w:rsidRPr="002906A3">
        <w:t xml:space="preserve"> </w:t>
      </w:r>
      <w:proofErr w:type="spellStart"/>
      <w:r w:rsidRPr="002906A3">
        <w:t>the</w:t>
      </w:r>
      <w:proofErr w:type="spellEnd"/>
      <w:r w:rsidRPr="002906A3">
        <w:t xml:space="preserve"> </w:t>
      </w:r>
      <w:proofErr w:type="spellStart"/>
      <w:r w:rsidRPr="002906A3">
        <w:t>potential</w:t>
      </w:r>
      <w:proofErr w:type="spellEnd"/>
      <w:r w:rsidRPr="002906A3">
        <w:t xml:space="preserve"> </w:t>
      </w:r>
      <w:proofErr w:type="spellStart"/>
      <w:r w:rsidRPr="002906A3">
        <w:t>consequences</w:t>
      </w:r>
      <w:proofErr w:type="spellEnd"/>
      <w:r w:rsidRPr="002906A3">
        <w:t xml:space="preserve"> of </w:t>
      </w:r>
      <w:proofErr w:type="spellStart"/>
      <w:r w:rsidRPr="002906A3">
        <w:t>their</w:t>
      </w:r>
      <w:proofErr w:type="spellEnd"/>
      <w:r w:rsidRPr="002906A3">
        <w:t xml:space="preserve"> </w:t>
      </w:r>
      <w:proofErr w:type="spellStart"/>
      <w:r w:rsidRPr="002906A3">
        <w:t>technologies</w:t>
      </w:r>
      <w:proofErr w:type="spellEnd"/>
      <w:r w:rsidRPr="002906A3">
        <w:t xml:space="preserve">. </w:t>
      </w:r>
      <w:proofErr w:type="spellStart"/>
      <w:r w:rsidRPr="002906A3">
        <w:t>Schmalz</w:t>
      </w:r>
      <w:proofErr w:type="spellEnd"/>
      <w:r w:rsidRPr="002906A3">
        <w:t xml:space="preserve"> (2018) </w:t>
      </w:r>
      <w:proofErr w:type="spellStart"/>
      <w:r w:rsidRPr="002906A3">
        <w:t>argues</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rapid</w:t>
      </w:r>
      <w:proofErr w:type="spellEnd"/>
      <w:r w:rsidRPr="002906A3">
        <w:t xml:space="preserve"> </w:t>
      </w:r>
      <w:proofErr w:type="spellStart"/>
      <w:r w:rsidRPr="002906A3">
        <w:t>advancement</w:t>
      </w:r>
      <w:proofErr w:type="spellEnd"/>
      <w:r w:rsidRPr="002906A3">
        <w:t xml:space="preserve"> of AI </w:t>
      </w:r>
      <w:proofErr w:type="spellStart"/>
      <w:r w:rsidRPr="002906A3">
        <w:t>technology</w:t>
      </w:r>
      <w:proofErr w:type="spellEnd"/>
      <w:r w:rsidRPr="002906A3">
        <w:t xml:space="preserve"> </w:t>
      </w:r>
      <w:proofErr w:type="spellStart"/>
      <w:r w:rsidRPr="002906A3">
        <w:t>mirrors</w:t>
      </w:r>
      <w:proofErr w:type="spellEnd"/>
      <w:r w:rsidRPr="002906A3">
        <w:t xml:space="preserve"> </w:t>
      </w:r>
      <w:proofErr w:type="spellStart"/>
      <w:r w:rsidRPr="002906A3">
        <w:t>Victor's</w:t>
      </w:r>
      <w:proofErr w:type="spellEnd"/>
      <w:r w:rsidRPr="002906A3">
        <w:t xml:space="preserve"> </w:t>
      </w:r>
      <w:proofErr w:type="spellStart"/>
      <w:r w:rsidRPr="002906A3">
        <w:t>reckless</w:t>
      </w:r>
      <w:proofErr w:type="spellEnd"/>
      <w:r w:rsidRPr="002906A3">
        <w:t xml:space="preserve"> </w:t>
      </w:r>
      <w:proofErr w:type="spellStart"/>
      <w:r w:rsidRPr="002906A3">
        <w:t>scientific</w:t>
      </w:r>
      <w:proofErr w:type="spellEnd"/>
      <w:r w:rsidRPr="002906A3">
        <w:t xml:space="preserve"> </w:t>
      </w:r>
      <w:proofErr w:type="spellStart"/>
      <w:r w:rsidRPr="002906A3">
        <w:t>pursuits</w:t>
      </w:r>
      <w:proofErr w:type="spellEnd"/>
      <w:r w:rsidRPr="002906A3">
        <w:t xml:space="preserve">, </w:t>
      </w:r>
      <w:proofErr w:type="spellStart"/>
      <w:r w:rsidRPr="002906A3">
        <w:t>emphasizing</w:t>
      </w:r>
      <w:proofErr w:type="spellEnd"/>
      <w:r w:rsidRPr="002906A3">
        <w:t xml:space="preserve"> </w:t>
      </w:r>
      <w:proofErr w:type="spellStart"/>
      <w:r w:rsidRPr="002906A3">
        <w:t>that</w:t>
      </w:r>
      <w:proofErr w:type="spellEnd"/>
      <w:r w:rsidRPr="002906A3">
        <w:t xml:space="preserve"> AI </w:t>
      </w:r>
      <w:proofErr w:type="spellStart"/>
      <w:r w:rsidRPr="002906A3">
        <w:t>creators</w:t>
      </w:r>
      <w:proofErr w:type="spellEnd"/>
      <w:r w:rsidRPr="002906A3">
        <w:t xml:space="preserve"> </w:t>
      </w:r>
      <w:proofErr w:type="spellStart"/>
      <w:r w:rsidRPr="002906A3">
        <w:t>must</w:t>
      </w:r>
      <w:proofErr w:type="spellEnd"/>
      <w:r w:rsidRPr="002906A3">
        <w:t xml:space="preserve"> </w:t>
      </w:r>
      <w:proofErr w:type="spellStart"/>
      <w:r w:rsidRPr="002906A3">
        <w:t>assume</w:t>
      </w:r>
      <w:proofErr w:type="spellEnd"/>
      <w:r w:rsidRPr="002906A3">
        <w:t xml:space="preserve"> </w:t>
      </w:r>
      <w:proofErr w:type="spellStart"/>
      <w:r w:rsidRPr="002906A3">
        <w:t>the</w:t>
      </w:r>
      <w:proofErr w:type="spellEnd"/>
      <w:r w:rsidRPr="002906A3">
        <w:t xml:space="preserve"> role of </w:t>
      </w:r>
      <w:proofErr w:type="spellStart"/>
      <w:r w:rsidRPr="002906A3">
        <w:t>responsible</w:t>
      </w:r>
      <w:proofErr w:type="spellEnd"/>
      <w:r w:rsidRPr="002906A3">
        <w:t xml:space="preserve"> </w:t>
      </w:r>
      <w:proofErr w:type="spellStart"/>
      <w:r w:rsidRPr="002906A3">
        <w:t>stewards</w:t>
      </w:r>
      <w:proofErr w:type="spellEnd"/>
      <w:r w:rsidRPr="002906A3">
        <w:t xml:space="preserve"> </w:t>
      </w:r>
      <w:proofErr w:type="spellStart"/>
      <w:r w:rsidRPr="002906A3">
        <w:t>rather</w:t>
      </w:r>
      <w:proofErr w:type="spellEnd"/>
      <w:r w:rsidRPr="002906A3">
        <w:t xml:space="preserve"> </w:t>
      </w:r>
      <w:proofErr w:type="spellStart"/>
      <w:r w:rsidRPr="002906A3">
        <w:t>than</w:t>
      </w:r>
      <w:proofErr w:type="spellEnd"/>
      <w:r w:rsidRPr="002906A3">
        <w:t xml:space="preserve"> </w:t>
      </w:r>
      <w:proofErr w:type="spellStart"/>
      <w:r w:rsidRPr="002906A3">
        <w:t>merely</w:t>
      </w:r>
      <w:proofErr w:type="spellEnd"/>
      <w:r w:rsidRPr="002906A3">
        <w:t xml:space="preserve"> </w:t>
      </w:r>
      <w:proofErr w:type="spellStart"/>
      <w:r w:rsidRPr="002906A3">
        <w:t>inventors</w:t>
      </w:r>
      <w:proofErr w:type="spellEnd"/>
      <w:r w:rsidRPr="002906A3">
        <w:t xml:space="preserve">. </w:t>
      </w:r>
      <w:proofErr w:type="spellStart"/>
      <w:r w:rsidRPr="002906A3">
        <w:t>This</w:t>
      </w:r>
      <w:proofErr w:type="spellEnd"/>
      <w:r w:rsidRPr="002906A3">
        <w:t xml:space="preserve"> </w:t>
      </w:r>
      <w:proofErr w:type="spellStart"/>
      <w:r w:rsidRPr="002906A3">
        <w:t>notion</w:t>
      </w:r>
      <w:proofErr w:type="spellEnd"/>
      <w:r w:rsidRPr="002906A3">
        <w:t xml:space="preserve"> is </w:t>
      </w:r>
      <w:proofErr w:type="spellStart"/>
      <w:r w:rsidRPr="002906A3">
        <w:t>essential</w:t>
      </w:r>
      <w:proofErr w:type="spellEnd"/>
      <w:r w:rsidRPr="002906A3">
        <w:t xml:space="preserve"> in </w:t>
      </w:r>
      <w:proofErr w:type="spellStart"/>
      <w:r w:rsidRPr="002906A3">
        <w:t>the</w:t>
      </w:r>
      <w:proofErr w:type="spellEnd"/>
      <w:r w:rsidRPr="002906A3">
        <w:t xml:space="preserve"> </w:t>
      </w:r>
      <w:proofErr w:type="spellStart"/>
      <w:r w:rsidRPr="002906A3">
        <w:t>ongoing</w:t>
      </w:r>
      <w:proofErr w:type="spellEnd"/>
      <w:r w:rsidRPr="002906A3">
        <w:t xml:space="preserve"> </w:t>
      </w:r>
      <w:proofErr w:type="spellStart"/>
      <w:r w:rsidRPr="002906A3">
        <w:t>discourse</w:t>
      </w:r>
      <w:proofErr w:type="spellEnd"/>
      <w:r w:rsidRPr="002906A3">
        <w:t xml:space="preserve"> on </w:t>
      </w:r>
      <w:proofErr w:type="spellStart"/>
      <w:r w:rsidRPr="002906A3">
        <w:t>ethical</w:t>
      </w:r>
      <w:proofErr w:type="spellEnd"/>
      <w:r w:rsidRPr="002906A3">
        <w:t xml:space="preserve"> </w:t>
      </w:r>
      <w:proofErr w:type="spellStart"/>
      <w:r w:rsidRPr="002906A3">
        <w:t>responsibility</w:t>
      </w:r>
      <w:proofErr w:type="spellEnd"/>
      <w:r w:rsidRPr="002906A3">
        <w:t xml:space="preserve"> in </w:t>
      </w:r>
      <w:proofErr w:type="spellStart"/>
      <w:r w:rsidRPr="002906A3">
        <w:t>technological</w:t>
      </w:r>
      <w:proofErr w:type="spellEnd"/>
      <w:r w:rsidRPr="002906A3">
        <w:t xml:space="preserve"> </w:t>
      </w:r>
      <w:proofErr w:type="spellStart"/>
      <w:r w:rsidRPr="002906A3">
        <w:t>innovation</w:t>
      </w:r>
      <w:proofErr w:type="spellEnd"/>
      <w:r w:rsidRPr="002906A3">
        <w:t>.</w:t>
      </w:r>
    </w:p>
    <w:p w14:paraId="697FFA03" w14:textId="77777777" w:rsidR="001E7189" w:rsidRPr="002906A3" w:rsidRDefault="001E7189" w:rsidP="00BA67A6">
      <w:pPr>
        <w:jc w:val="both"/>
      </w:pPr>
    </w:p>
    <w:p w14:paraId="6DA73F25" w14:textId="77777777" w:rsidR="001E7189" w:rsidRPr="002906A3" w:rsidRDefault="001E7189" w:rsidP="00BA67A6">
      <w:pPr>
        <w:jc w:val="both"/>
      </w:pPr>
      <w:proofErr w:type="spellStart"/>
      <w:r w:rsidRPr="002906A3">
        <w:t>Furthermore</w:t>
      </w:r>
      <w:proofErr w:type="spellEnd"/>
      <w:r w:rsidRPr="002906A3">
        <w:t xml:space="preserve">, </w:t>
      </w:r>
      <w:proofErr w:type="spellStart"/>
      <w:r w:rsidRPr="002906A3">
        <w:t>Victor's</w:t>
      </w:r>
      <w:proofErr w:type="spellEnd"/>
      <w:r w:rsidRPr="002906A3">
        <w:t xml:space="preserve"> </w:t>
      </w:r>
      <w:proofErr w:type="spellStart"/>
      <w:r w:rsidRPr="002906A3">
        <w:t>repeated</w:t>
      </w:r>
      <w:proofErr w:type="spellEnd"/>
      <w:r w:rsidRPr="002906A3">
        <w:t xml:space="preserve"> </w:t>
      </w:r>
      <w:proofErr w:type="spellStart"/>
      <w:r w:rsidRPr="002906A3">
        <w:t>assertions</w:t>
      </w:r>
      <w:proofErr w:type="spellEnd"/>
      <w:r w:rsidRPr="002906A3">
        <w:t xml:space="preserve"> </w:t>
      </w:r>
      <w:proofErr w:type="spellStart"/>
      <w:r w:rsidRPr="002906A3">
        <w:t>about</w:t>
      </w:r>
      <w:proofErr w:type="spellEnd"/>
      <w:r w:rsidRPr="002906A3">
        <w:t xml:space="preserve"> his </w:t>
      </w:r>
      <w:proofErr w:type="spellStart"/>
      <w:r w:rsidRPr="002906A3">
        <w:t>inability</w:t>
      </w:r>
      <w:proofErr w:type="spellEnd"/>
      <w:r w:rsidRPr="002906A3">
        <w:t xml:space="preserve"> </w:t>
      </w:r>
      <w:proofErr w:type="spellStart"/>
      <w:r w:rsidRPr="002906A3">
        <w:t>to</w:t>
      </w:r>
      <w:proofErr w:type="spellEnd"/>
      <w:r w:rsidRPr="002906A3">
        <w:t xml:space="preserve"> </w:t>
      </w:r>
      <w:proofErr w:type="spellStart"/>
      <w:r w:rsidRPr="002906A3">
        <w:t>control</w:t>
      </w:r>
      <w:proofErr w:type="spellEnd"/>
      <w:r w:rsidRPr="002906A3">
        <w:t xml:space="preserve"> his </w:t>
      </w:r>
      <w:proofErr w:type="spellStart"/>
      <w:r w:rsidRPr="002906A3">
        <w:t>creation</w:t>
      </w:r>
      <w:proofErr w:type="spellEnd"/>
      <w:r w:rsidRPr="002906A3">
        <w:t xml:space="preserve"> </w:t>
      </w:r>
      <w:proofErr w:type="spellStart"/>
      <w:r w:rsidRPr="002906A3">
        <w:t>illustrate</w:t>
      </w:r>
      <w:proofErr w:type="spellEnd"/>
      <w:r w:rsidRPr="002906A3">
        <w:t xml:space="preserve"> his </w:t>
      </w:r>
      <w:proofErr w:type="spellStart"/>
      <w:r w:rsidRPr="002906A3">
        <w:t>ethical</w:t>
      </w:r>
      <w:proofErr w:type="spellEnd"/>
      <w:r w:rsidRPr="002906A3">
        <w:t xml:space="preserve"> </w:t>
      </w:r>
      <w:proofErr w:type="spellStart"/>
      <w:r w:rsidRPr="002906A3">
        <w:t>failures</w:t>
      </w:r>
      <w:proofErr w:type="spellEnd"/>
      <w:r w:rsidRPr="002906A3">
        <w:t xml:space="preserve">. </w:t>
      </w:r>
      <w:proofErr w:type="spellStart"/>
      <w:r w:rsidRPr="002906A3">
        <w:t>After</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commits</w:t>
      </w:r>
      <w:proofErr w:type="spellEnd"/>
      <w:r w:rsidRPr="002906A3">
        <w:t xml:space="preserve"> </w:t>
      </w:r>
      <w:proofErr w:type="spellStart"/>
      <w:r w:rsidRPr="002906A3">
        <w:t>acts</w:t>
      </w:r>
      <w:proofErr w:type="spellEnd"/>
      <w:r w:rsidRPr="002906A3">
        <w:t xml:space="preserve"> of </w:t>
      </w:r>
      <w:proofErr w:type="spellStart"/>
      <w:r w:rsidRPr="002906A3">
        <w:t>violence</w:t>
      </w:r>
      <w:proofErr w:type="spellEnd"/>
      <w:r w:rsidRPr="002906A3">
        <w:t xml:space="preserve">, Victor </w:t>
      </w:r>
      <w:proofErr w:type="spellStart"/>
      <w:r w:rsidRPr="002906A3">
        <w:t>expresses</w:t>
      </w:r>
      <w:proofErr w:type="spellEnd"/>
      <w:r w:rsidRPr="002906A3">
        <w:t xml:space="preserve"> </w:t>
      </w:r>
      <w:proofErr w:type="spellStart"/>
      <w:r w:rsidRPr="002906A3">
        <w:t>regret</w:t>
      </w:r>
      <w:proofErr w:type="spellEnd"/>
      <w:r w:rsidRPr="002906A3">
        <w:t xml:space="preserve"> yet </w:t>
      </w:r>
      <w:proofErr w:type="spellStart"/>
      <w:r w:rsidRPr="002906A3">
        <w:t>distances</w:t>
      </w:r>
      <w:proofErr w:type="spellEnd"/>
      <w:r w:rsidRPr="002906A3">
        <w:t xml:space="preserve"> </w:t>
      </w:r>
      <w:proofErr w:type="spellStart"/>
      <w:r w:rsidRPr="002906A3">
        <w:t>himself</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outcomes</w:t>
      </w:r>
      <w:proofErr w:type="spellEnd"/>
      <w:r w:rsidRPr="002906A3">
        <w:t xml:space="preserve"> of his </w:t>
      </w:r>
      <w:proofErr w:type="spellStart"/>
      <w:r w:rsidRPr="002906A3">
        <w:t>scientific</w:t>
      </w:r>
      <w:proofErr w:type="spellEnd"/>
      <w:r w:rsidRPr="002906A3">
        <w:t xml:space="preserve"> </w:t>
      </w:r>
      <w:proofErr w:type="spellStart"/>
      <w:r w:rsidRPr="002906A3">
        <w:t>endeavors</w:t>
      </w:r>
      <w:proofErr w:type="spellEnd"/>
      <w:r w:rsidRPr="002906A3">
        <w:t xml:space="preserve">. He </w:t>
      </w:r>
      <w:proofErr w:type="spellStart"/>
      <w:r w:rsidRPr="002906A3">
        <w:t>laments</w:t>
      </w:r>
      <w:proofErr w:type="spellEnd"/>
      <w:r w:rsidRPr="002906A3">
        <w:t xml:space="preserve">, "I had </w:t>
      </w:r>
      <w:proofErr w:type="spellStart"/>
      <w:r w:rsidRPr="002906A3">
        <w:t>worked</w:t>
      </w:r>
      <w:proofErr w:type="spellEnd"/>
      <w:r w:rsidRPr="002906A3">
        <w:t xml:space="preserve"> hard </w:t>
      </w:r>
      <w:proofErr w:type="spellStart"/>
      <w:r w:rsidRPr="002906A3">
        <w:t>for</w:t>
      </w:r>
      <w:proofErr w:type="spellEnd"/>
      <w:r w:rsidRPr="002906A3">
        <w:t xml:space="preserve"> </w:t>
      </w:r>
      <w:proofErr w:type="spellStart"/>
      <w:r w:rsidRPr="002906A3">
        <w:t>my</w:t>
      </w:r>
      <w:proofErr w:type="spellEnd"/>
      <w:r w:rsidRPr="002906A3">
        <w:t xml:space="preserve"> </w:t>
      </w:r>
      <w:proofErr w:type="spellStart"/>
      <w:r w:rsidRPr="002906A3">
        <w:t>benefit</w:t>
      </w:r>
      <w:proofErr w:type="spellEnd"/>
      <w:r w:rsidRPr="002906A3">
        <w:t xml:space="preserve">, </w:t>
      </w:r>
      <w:proofErr w:type="spellStart"/>
      <w:r w:rsidRPr="002906A3">
        <w:t>which</w:t>
      </w:r>
      <w:proofErr w:type="spellEnd"/>
      <w:r w:rsidRPr="002906A3">
        <w:t xml:space="preserve"> </w:t>
      </w:r>
      <w:proofErr w:type="spellStart"/>
      <w:r w:rsidRPr="002906A3">
        <w:t>should</w:t>
      </w:r>
      <w:proofErr w:type="spellEnd"/>
      <w:r w:rsidRPr="002906A3">
        <w:t xml:space="preserve"> </w:t>
      </w:r>
      <w:proofErr w:type="spellStart"/>
      <w:r w:rsidRPr="002906A3">
        <w:t>have</w:t>
      </w:r>
      <w:proofErr w:type="spellEnd"/>
      <w:r w:rsidRPr="002906A3">
        <w:t xml:space="preserve"> </w:t>
      </w:r>
      <w:proofErr w:type="spellStart"/>
      <w:r w:rsidRPr="002906A3">
        <w:t>been</w:t>
      </w:r>
      <w:proofErr w:type="spellEnd"/>
      <w:r w:rsidRPr="002906A3">
        <w:t xml:space="preserve"> </w:t>
      </w:r>
      <w:proofErr w:type="spellStart"/>
      <w:r w:rsidRPr="002906A3">
        <w:t>considered</w:t>
      </w:r>
      <w:proofErr w:type="spellEnd"/>
      <w:r w:rsidRPr="002906A3">
        <w:t xml:space="preserve"> a </w:t>
      </w:r>
      <w:proofErr w:type="spellStart"/>
      <w:r w:rsidRPr="002906A3">
        <w:t>great</w:t>
      </w:r>
      <w:proofErr w:type="spellEnd"/>
      <w:r w:rsidRPr="002906A3">
        <w:t xml:space="preserve"> </w:t>
      </w:r>
      <w:proofErr w:type="spellStart"/>
      <w:r w:rsidRPr="002906A3">
        <w:t>honor</w:t>
      </w:r>
      <w:proofErr w:type="spellEnd"/>
      <w:r w:rsidRPr="002906A3">
        <w:t>" (</w:t>
      </w:r>
      <w:proofErr w:type="spellStart"/>
      <w:r w:rsidRPr="002906A3">
        <w:t>Shelley</w:t>
      </w:r>
      <w:proofErr w:type="spellEnd"/>
      <w:r w:rsidRPr="002906A3">
        <w:t xml:space="preserve">, 1818). His </w:t>
      </w:r>
      <w:proofErr w:type="spellStart"/>
      <w:r w:rsidRPr="002906A3">
        <w:t>selfish</w:t>
      </w:r>
      <w:proofErr w:type="spellEnd"/>
      <w:r w:rsidRPr="002906A3">
        <w:t xml:space="preserve"> </w:t>
      </w:r>
      <w:proofErr w:type="spellStart"/>
      <w:r w:rsidRPr="002906A3">
        <w:t>attitude</w:t>
      </w:r>
      <w:proofErr w:type="spellEnd"/>
      <w:r w:rsidRPr="002906A3">
        <w:t xml:space="preserve"> </w:t>
      </w:r>
      <w:proofErr w:type="spellStart"/>
      <w:r w:rsidRPr="002906A3">
        <w:t>reveals</w:t>
      </w:r>
      <w:proofErr w:type="spellEnd"/>
      <w:r w:rsidRPr="002906A3">
        <w:t xml:space="preserve"> a </w:t>
      </w:r>
      <w:proofErr w:type="spellStart"/>
      <w:r w:rsidRPr="002906A3">
        <w:t>lack</w:t>
      </w:r>
      <w:proofErr w:type="spellEnd"/>
      <w:r w:rsidRPr="002906A3">
        <w:t xml:space="preserve"> of </w:t>
      </w:r>
      <w:proofErr w:type="spellStart"/>
      <w:r w:rsidRPr="002906A3">
        <w:t>consideration</w:t>
      </w:r>
      <w:proofErr w:type="spellEnd"/>
      <w:r w:rsidRPr="002906A3">
        <w:t xml:space="preserve"> </w:t>
      </w:r>
      <w:proofErr w:type="spellStart"/>
      <w:r w:rsidRPr="002906A3">
        <w:t>for</w:t>
      </w:r>
      <w:proofErr w:type="spellEnd"/>
      <w:r w:rsidRPr="002906A3">
        <w:t xml:space="preserve"> </w:t>
      </w:r>
      <w:proofErr w:type="spellStart"/>
      <w:r w:rsidRPr="002906A3">
        <w:t>both</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and</w:t>
      </w:r>
      <w:proofErr w:type="spellEnd"/>
      <w:r w:rsidRPr="002906A3">
        <w:t xml:space="preserve"> </w:t>
      </w:r>
      <w:proofErr w:type="spellStart"/>
      <w:r w:rsidRPr="002906A3">
        <w:t>those</w:t>
      </w:r>
      <w:proofErr w:type="spellEnd"/>
      <w:r w:rsidRPr="002906A3">
        <w:t xml:space="preserve"> </w:t>
      </w:r>
      <w:proofErr w:type="spellStart"/>
      <w:r w:rsidRPr="002906A3">
        <w:t>affected</w:t>
      </w:r>
      <w:proofErr w:type="spellEnd"/>
      <w:r w:rsidRPr="002906A3">
        <w:t xml:space="preserve"> </w:t>
      </w:r>
      <w:proofErr w:type="spellStart"/>
      <w:r w:rsidRPr="002906A3">
        <w:t>by</w:t>
      </w:r>
      <w:proofErr w:type="spellEnd"/>
      <w:r w:rsidRPr="002906A3">
        <w:t xml:space="preserve"> </w:t>
      </w:r>
      <w:proofErr w:type="spellStart"/>
      <w:r w:rsidRPr="002906A3">
        <w:t>its</w:t>
      </w:r>
      <w:proofErr w:type="spellEnd"/>
      <w:r w:rsidRPr="002906A3">
        <w:t xml:space="preserve"> </w:t>
      </w:r>
      <w:proofErr w:type="spellStart"/>
      <w:r w:rsidRPr="002906A3">
        <w:t>existence</w:t>
      </w:r>
      <w:proofErr w:type="spellEnd"/>
      <w:r w:rsidRPr="002906A3">
        <w:t xml:space="preserve">. </w:t>
      </w:r>
      <w:proofErr w:type="spellStart"/>
      <w:r w:rsidRPr="002906A3">
        <w:t>This</w:t>
      </w:r>
      <w:proofErr w:type="spellEnd"/>
      <w:r w:rsidRPr="002906A3">
        <w:t xml:space="preserve"> </w:t>
      </w:r>
      <w:proofErr w:type="spellStart"/>
      <w:r w:rsidRPr="002906A3">
        <w:t>emphasis</w:t>
      </w:r>
      <w:proofErr w:type="spellEnd"/>
      <w:r w:rsidRPr="002906A3">
        <w:t xml:space="preserve"> on </w:t>
      </w:r>
      <w:proofErr w:type="spellStart"/>
      <w:r w:rsidRPr="002906A3">
        <w:t>personal</w:t>
      </w:r>
      <w:proofErr w:type="spellEnd"/>
      <w:r w:rsidRPr="002906A3">
        <w:t xml:space="preserve"> </w:t>
      </w:r>
      <w:proofErr w:type="spellStart"/>
      <w:r w:rsidRPr="002906A3">
        <w:t>glory</w:t>
      </w:r>
      <w:proofErr w:type="spellEnd"/>
      <w:r w:rsidRPr="002906A3">
        <w:t xml:space="preserve"> </w:t>
      </w:r>
      <w:proofErr w:type="spellStart"/>
      <w:r w:rsidRPr="002906A3">
        <w:t>over</w:t>
      </w:r>
      <w:proofErr w:type="spellEnd"/>
      <w:r w:rsidRPr="002906A3">
        <w:t xml:space="preserve"> </w:t>
      </w:r>
      <w:proofErr w:type="spellStart"/>
      <w:r w:rsidRPr="002906A3">
        <w:t>ethical</w:t>
      </w:r>
      <w:proofErr w:type="spellEnd"/>
      <w:r w:rsidRPr="002906A3">
        <w:t xml:space="preserve"> </w:t>
      </w:r>
      <w:proofErr w:type="spellStart"/>
      <w:r w:rsidRPr="002906A3">
        <w:t>responsibility</w:t>
      </w:r>
      <w:proofErr w:type="spellEnd"/>
      <w:r w:rsidRPr="002906A3">
        <w:t xml:space="preserve"> </w:t>
      </w:r>
      <w:proofErr w:type="spellStart"/>
      <w:r w:rsidRPr="002906A3">
        <w:t>parallels</w:t>
      </w:r>
      <w:proofErr w:type="spellEnd"/>
      <w:r w:rsidRPr="002906A3">
        <w:t xml:space="preserve"> </w:t>
      </w:r>
      <w:proofErr w:type="spellStart"/>
      <w:r w:rsidRPr="002906A3">
        <w:t>contemporary</w:t>
      </w:r>
      <w:proofErr w:type="spellEnd"/>
      <w:r w:rsidRPr="002906A3">
        <w:t xml:space="preserve"> </w:t>
      </w:r>
      <w:proofErr w:type="spellStart"/>
      <w:r w:rsidRPr="002906A3">
        <w:t>concerns</w:t>
      </w:r>
      <w:proofErr w:type="spellEnd"/>
      <w:r w:rsidRPr="002906A3">
        <w:t xml:space="preserve"> in AI, </w:t>
      </w:r>
      <w:proofErr w:type="spellStart"/>
      <w:r w:rsidRPr="002906A3">
        <w:t>where</w:t>
      </w:r>
      <w:proofErr w:type="spellEnd"/>
      <w:r w:rsidRPr="002906A3">
        <w:t xml:space="preserve"> </w:t>
      </w:r>
      <w:proofErr w:type="spellStart"/>
      <w:r w:rsidRPr="002906A3">
        <w:t>developers</w:t>
      </w:r>
      <w:proofErr w:type="spellEnd"/>
      <w:r w:rsidRPr="002906A3">
        <w:t xml:space="preserve"> </w:t>
      </w:r>
      <w:proofErr w:type="spellStart"/>
      <w:r w:rsidRPr="002906A3">
        <w:t>often</w:t>
      </w:r>
      <w:proofErr w:type="spellEnd"/>
      <w:r w:rsidRPr="002906A3">
        <w:t xml:space="preserve"> </w:t>
      </w:r>
      <w:proofErr w:type="spellStart"/>
      <w:r w:rsidRPr="002906A3">
        <w:t>pursue</w:t>
      </w:r>
      <w:proofErr w:type="spellEnd"/>
      <w:r w:rsidRPr="002906A3">
        <w:t xml:space="preserve"> </w:t>
      </w:r>
      <w:proofErr w:type="spellStart"/>
      <w:r w:rsidRPr="002906A3">
        <w:t>innovation</w:t>
      </w:r>
      <w:proofErr w:type="spellEnd"/>
      <w:r w:rsidRPr="002906A3">
        <w:t xml:space="preserve"> </w:t>
      </w:r>
      <w:proofErr w:type="spellStart"/>
      <w:r w:rsidRPr="002906A3">
        <w:t>without</w:t>
      </w:r>
      <w:proofErr w:type="spellEnd"/>
      <w:r w:rsidRPr="002906A3">
        <w:t xml:space="preserve"> </w:t>
      </w:r>
      <w:proofErr w:type="spellStart"/>
      <w:r w:rsidRPr="002906A3">
        <w:t>fully</w:t>
      </w:r>
      <w:proofErr w:type="spellEnd"/>
      <w:r w:rsidRPr="002906A3">
        <w:t xml:space="preserve"> </w:t>
      </w:r>
      <w:proofErr w:type="spellStart"/>
      <w:r w:rsidRPr="002906A3">
        <w:t>considering</w:t>
      </w:r>
      <w:proofErr w:type="spellEnd"/>
      <w:r w:rsidRPr="002906A3">
        <w:t xml:space="preserve"> </w:t>
      </w:r>
      <w:proofErr w:type="spellStart"/>
      <w:r w:rsidRPr="002906A3">
        <w:t>social</w:t>
      </w:r>
      <w:proofErr w:type="spellEnd"/>
      <w:r w:rsidRPr="002906A3">
        <w:t xml:space="preserve"> </w:t>
      </w:r>
      <w:proofErr w:type="spellStart"/>
      <w:r w:rsidRPr="002906A3">
        <w:t>implications</w:t>
      </w:r>
      <w:proofErr w:type="spellEnd"/>
      <w:r w:rsidRPr="002906A3">
        <w:t>.</w:t>
      </w:r>
    </w:p>
    <w:p w14:paraId="442E6A86" w14:textId="77777777" w:rsidR="001E7189" w:rsidRPr="002906A3" w:rsidRDefault="001E7189" w:rsidP="00BA67A6">
      <w:pPr>
        <w:jc w:val="both"/>
      </w:pPr>
      <w:proofErr w:type="spellStart"/>
      <w:r w:rsidRPr="002906A3">
        <w:t>Another</w:t>
      </w:r>
      <w:proofErr w:type="spellEnd"/>
      <w:r w:rsidRPr="002906A3">
        <w:t xml:space="preserve"> </w:t>
      </w:r>
      <w:proofErr w:type="spellStart"/>
      <w:r w:rsidRPr="002906A3">
        <w:t>critical</w:t>
      </w:r>
      <w:proofErr w:type="spellEnd"/>
      <w:r w:rsidRPr="002906A3">
        <w:t xml:space="preserve"> moment </w:t>
      </w:r>
      <w:proofErr w:type="spellStart"/>
      <w:r w:rsidRPr="002906A3">
        <w:t>occurs</w:t>
      </w:r>
      <w:proofErr w:type="spellEnd"/>
      <w:r w:rsidRPr="002906A3">
        <w:t xml:space="preserve"> </w:t>
      </w:r>
      <w:proofErr w:type="spellStart"/>
      <w:r w:rsidRPr="002906A3">
        <w:t>when</w:t>
      </w:r>
      <w:proofErr w:type="spellEnd"/>
      <w:r w:rsidRPr="002906A3">
        <w:t xml:space="preserve"> </w:t>
      </w:r>
      <w:proofErr w:type="spellStart"/>
      <w:r w:rsidRPr="002906A3">
        <w:t>Victor's</w:t>
      </w:r>
      <w:proofErr w:type="spellEnd"/>
      <w:r w:rsidRPr="002906A3">
        <w:t xml:space="preserve"> </w:t>
      </w:r>
      <w:proofErr w:type="spellStart"/>
      <w:r w:rsidRPr="002906A3">
        <w:t>horror</w:t>
      </w:r>
      <w:proofErr w:type="spellEnd"/>
      <w:r w:rsidRPr="002906A3">
        <w:t xml:space="preserve"> at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appearance</w:t>
      </w:r>
      <w:proofErr w:type="spellEnd"/>
      <w:r w:rsidRPr="002906A3">
        <w:t xml:space="preserve"> </w:t>
      </w:r>
      <w:proofErr w:type="spellStart"/>
      <w:r w:rsidRPr="002906A3">
        <w:t>leads</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abandon</w:t>
      </w:r>
      <w:proofErr w:type="spellEnd"/>
      <w:r w:rsidRPr="002906A3">
        <w:t xml:space="preserve"> it, </w:t>
      </w:r>
      <w:proofErr w:type="spellStart"/>
      <w:r w:rsidRPr="002906A3">
        <w:t>further</w:t>
      </w:r>
      <w:proofErr w:type="spellEnd"/>
      <w:r w:rsidRPr="002906A3">
        <w:t xml:space="preserve"> </w:t>
      </w:r>
      <w:proofErr w:type="spellStart"/>
      <w:r w:rsidRPr="002906A3">
        <w:t>reinforcing</w:t>
      </w:r>
      <w:proofErr w:type="spellEnd"/>
      <w:r w:rsidRPr="002906A3">
        <w:t xml:space="preserve"> his </w:t>
      </w:r>
      <w:proofErr w:type="spellStart"/>
      <w:r w:rsidRPr="002906A3">
        <w:t>negligence</w:t>
      </w:r>
      <w:proofErr w:type="spellEnd"/>
      <w:r w:rsidRPr="002906A3">
        <w:t xml:space="preserve">. He </w:t>
      </w:r>
      <w:proofErr w:type="spellStart"/>
      <w:r w:rsidRPr="002906A3">
        <w:t>chooses</w:t>
      </w:r>
      <w:proofErr w:type="spellEnd"/>
      <w:r w:rsidRPr="002906A3">
        <w:t xml:space="preserve"> </w:t>
      </w:r>
      <w:proofErr w:type="spellStart"/>
      <w:r w:rsidRPr="002906A3">
        <w:t>to</w:t>
      </w:r>
      <w:proofErr w:type="spellEnd"/>
      <w:r w:rsidRPr="002906A3">
        <w:t xml:space="preserve"> </w:t>
      </w:r>
      <w:proofErr w:type="spellStart"/>
      <w:r w:rsidRPr="002906A3">
        <w:t>flee</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his </w:t>
      </w:r>
      <w:proofErr w:type="spellStart"/>
      <w:r w:rsidRPr="002906A3">
        <w:t>actions</w:t>
      </w:r>
      <w:proofErr w:type="spellEnd"/>
      <w:r w:rsidRPr="002906A3">
        <w:t xml:space="preserve"> </w:t>
      </w:r>
      <w:proofErr w:type="spellStart"/>
      <w:r w:rsidRPr="002906A3">
        <w:t>rather</w:t>
      </w:r>
      <w:proofErr w:type="spellEnd"/>
      <w:r w:rsidRPr="002906A3">
        <w:t xml:space="preserve"> </w:t>
      </w:r>
      <w:proofErr w:type="spellStart"/>
      <w:r w:rsidRPr="002906A3">
        <w:t>than</w:t>
      </w:r>
      <w:proofErr w:type="spellEnd"/>
      <w:r w:rsidRPr="002906A3">
        <w:t xml:space="preserve"> </w:t>
      </w:r>
      <w:proofErr w:type="spellStart"/>
      <w:r w:rsidRPr="002906A3">
        <w:t>acknowledge</w:t>
      </w:r>
      <w:proofErr w:type="spellEnd"/>
      <w:r w:rsidRPr="002906A3">
        <w:t xml:space="preserve"> his moral </w:t>
      </w:r>
      <w:proofErr w:type="spellStart"/>
      <w:r w:rsidRPr="002906A3">
        <w:t>obligation</w:t>
      </w:r>
      <w:proofErr w:type="spellEnd"/>
      <w:r w:rsidRPr="002906A3">
        <w:t xml:space="preserve"> </w:t>
      </w:r>
      <w:proofErr w:type="spellStart"/>
      <w:r w:rsidRPr="002906A3">
        <w:t>to</w:t>
      </w:r>
      <w:proofErr w:type="spellEnd"/>
      <w:r w:rsidRPr="002906A3">
        <w:t xml:space="preserve"> </w:t>
      </w:r>
      <w:proofErr w:type="spellStart"/>
      <w:r w:rsidRPr="002906A3">
        <w:t>nurture</w:t>
      </w:r>
      <w:proofErr w:type="spellEnd"/>
      <w:r w:rsidRPr="002906A3">
        <w:t xml:space="preserve"> </w:t>
      </w:r>
      <w:proofErr w:type="spellStart"/>
      <w:r w:rsidRPr="002906A3">
        <w:t>and</w:t>
      </w:r>
      <w:proofErr w:type="spellEnd"/>
      <w:r w:rsidRPr="002906A3">
        <w:t xml:space="preserve"> </w:t>
      </w:r>
      <w:proofErr w:type="spellStart"/>
      <w:r w:rsidRPr="002906A3">
        <w:t>guide</w:t>
      </w:r>
      <w:proofErr w:type="spellEnd"/>
      <w:r w:rsidRPr="002906A3">
        <w:t xml:space="preserve"> his </w:t>
      </w:r>
      <w:proofErr w:type="spellStart"/>
      <w:r w:rsidRPr="002906A3">
        <w:t>creation</w:t>
      </w:r>
      <w:proofErr w:type="spellEnd"/>
      <w:r w:rsidRPr="002906A3">
        <w:t xml:space="preserve">. </w:t>
      </w:r>
      <w:proofErr w:type="spellStart"/>
      <w:r w:rsidRPr="002906A3">
        <w:t>This</w:t>
      </w:r>
      <w:proofErr w:type="spellEnd"/>
      <w:r w:rsidRPr="002906A3">
        <w:t xml:space="preserve"> </w:t>
      </w:r>
      <w:proofErr w:type="spellStart"/>
      <w:r w:rsidRPr="002906A3">
        <w:t>mirrors</w:t>
      </w:r>
      <w:proofErr w:type="spellEnd"/>
      <w:r w:rsidRPr="002906A3">
        <w:t xml:space="preserve"> </w:t>
      </w:r>
      <w:proofErr w:type="spellStart"/>
      <w:r w:rsidRPr="002906A3">
        <w:t>contemporary</w:t>
      </w:r>
      <w:proofErr w:type="spellEnd"/>
      <w:r w:rsidRPr="002906A3">
        <w:t xml:space="preserve"> </w:t>
      </w:r>
      <w:proofErr w:type="spellStart"/>
      <w:r w:rsidRPr="002906A3">
        <w:t>technological</w:t>
      </w:r>
      <w:proofErr w:type="spellEnd"/>
      <w:r w:rsidRPr="002906A3">
        <w:t xml:space="preserve"> </w:t>
      </w:r>
      <w:proofErr w:type="spellStart"/>
      <w:r w:rsidRPr="002906A3">
        <w:t>advancements</w:t>
      </w:r>
      <w:proofErr w:type="spellEnd"/>
      <w:r w:rsidRPr="002906A3">
        <w:t xml:space="preserve">, as </w:t>
      </w:r>
      <w:proofErr w:type="spellStart"/>
      <w:r w:rsidRPr="002906A3">
        <w:t>many</w:t>
      </w:r>
      <w:proofErr w:type="spellEnd"/>
      <w:r w:rsidRPr="002906A3">
        <w:t xml:space="preserve"> </w:t>
      </w:r>
      <w:proofErr w:type="spellStart"/>
      <w:r w:rsidRPr="002906A3">
        <w:t>researchers</w:t>
      </w:r>
      <w:proofErr w:type="spellEnd"/>
      <w:r w:rsidRPr="002906A3">
        <w:t xml:space="preserve"> </w:t>
      </w:r>
      <w:proofErr w:type="spellStart"/>
      <w:r w:rsidRPr="002906A3">
        <w:t>and</w:t>
      </w:r>
      <w:proofErr w:type="spellEnd"/>
      <w:r w:rsidRPr="002906A3">
        <w:t xml:space="preserve"> </w:t>
      </w:r>
      <w:proofErr w:type="spellStart"/>
      <w:r w:rsidRPr="002906A3">
        <w:t>developers</w:t>
      </w:r>
      <w:proofErr w:type="spellEnd"/>
      <w:r w:rsidRPr="002906A3">
        <w:t xml:space="preserve"> </w:t>
      </w:r>
      <w:proofErr w:type="spellStart"/>
      <w:r w:rsidRPr="002906A3">
        <w:t>struggle</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implications</w:t>
      </w:r>
      <w:proofErr w:type="spellEnd"/>
      <w:r w:rsidRPr="002906A3">
        <w:t xml:space="preserve"> of AI </w:t>
      </w:r>
      <w:proofErr w:type="spellStart"/>
      <w:r w:rsidRPr="002906A3">
        <w:t>and</w:t>
      </w:r>
      <w:proofErr w:type="spellEnd"/>
      <w:r w:rsidRPr="002906A3">
        <w:t xml:space="preserve"> </w:t>
      </w:r>
      <w:proofErr w:type="spellStart"/>
      <w:r w:rsidRPr="002906A3">
        <w:t>machine</w:t>
      </w:r>
      <w:proofErr w:type="spellEnd"/>
      <w:r w:rsidRPr="002906A3">
        <w:t xml:space="preserve"> </w:t>
      </w:r>
      <w:proofErr w:type="spellStart"/>
      <w:r w:rsidRPr="002906A3">
        <w:t>learning</w:t>
      </w:r>
      <w:proofErr w:type="spellEnd"/>
      <w:r w:rsidRPr="002906A3">
        <w:t xml:space="preserve"> </w:t>
      </w:r>
      <w:proofErr w:type="spellStart"/>
      <w:r w:rsidRPr="002906A3">
        <w:t>applications</w:t>
      </w:r>
      <w:proofErr w:type="spellEnd"/>
      <w:r w:rsidRPr="002906A3">
        <w:t xml:space="preserve">. </w:t>
      </w:r>
      <w:proofErr w:type="spellStart"/>
      <w:r w:rsidRPr="002906A3">
        <w:t>Nagy</w:t>
      </w:r>
      <w:proofErr w:type="spellEnd"/>
      <w:r w:rsidRPr="002906A3">
        <w:t xml:space="preserve"> et al. (2020) </w:t>
      </w:r>
      <w:proofErr w:type="spellStart"/>
      <w:r w:rsidRPr="002906A3">
        <w:t>argue</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absence</w:t>
      </w:r>
      <w:proofErr w:type="spellEnd"/>
      <w:r w:rsidRPr="002906A3">
        <w:t xml:space="preserve"> of </w:t>
      </w:r>
      <w:proofErr w:type="spellStart"/>
      <w:r w:rsidRPr="002906A3">
        <w:t>systematic</w:t>
      </w:r>
      <w:proofErr w:type="spellEnd"/>
      <w:r w:rsidRPr="002906A3">
        <w:t xml:space="preserve"> </w:t>
      </w:r>
      <w:proofErr w:type="spellStart"/>
      <w:r w:rsidRPr="002906A3">
        <w:t>ethical</w:t>
      </w:r>
      <w:proofErr w:type="spellEnd"/>
      <w:r w:rsidRPr="002906A3">
        <w:t xml:space="preserve"> </w:t>
      </w:r>
      <w:proofErr w:type="spellStart"/>
      <w:r w:rsidRPr="002906A3">
        <w:t>considerations</w:t>
      </w:r>
      <w:proofErr w:type="spellEnd"/>
      <w:r w:rsidRPr="002906A3">
        <w:t xml:space="preserve"> in </w:t>
      </w:r>
      <w:proofErr w:type="spellStart"/>
      <w:r w:rsidRPr="002906A3">
        <w:t>technological</w:t>
      </w:r>
      <w:proofErr w:type="spellEnd"/>
      <w:r w:rsidRPr="002906A3">
        <w:t xml:space="preserve"> </w:t>
      </w:r>
      <w:proofErr w:type="spellStart"/>
      <w:r w:rsidRPr="002906A3">
        <w:t>development</w:t>
      </w:r>
      <w:proofErr w:type="spellEnd"/>
      <w:r w:rsidRPr="002906A3">
        <w:t xml:space="preserve"> can </w:t>
      </w:r>
      <w:proofErr w:type="spellStart"/>
      <w:r w:rsidRPr="002906A3">
        <w:t>lead</w:t>
      </w:r>
      <w:proofErr w:type="spellEnd"/>
      <w:r w:rsidRPr="002906A3">
        <w:t xml:space="preserve"> </w:t>
      </w:r>
      <w:proofErr w:type="spellStart"/>
      <w:r w:rsidRPr="002906A3">
        <w:t>to</w:t>
      </w:r>
      <w:proofErr w:type="spellEnd"/>
      <w:r w:rsidRPr="002906A3">
        <w:t xml:space="preserve"> </w:t>
      </w:r>
      <w:proofErr w:type="spellStart"/>
      <w:r w:rsidRPr="002906A3">
        <w:t>harmful</w:t>
      </w:r>
      <w:proofErr w:type="spellEnd"/>
      <w:r w:rsidRPr="002906A3">
        <w:t xml:space="preserve"> </w:t>
      </w:r>
      <w:proofErr w:type="spellStart"/>
      <w:r w:rsidRPr="002906A3">
        <w:t>consequences</w:t>
      </w:r>
      <w:proofErr w:type="spellEnd"/>
      <w:r w:rsidRPr="002906A3">
        <w:t xml:space="preserve">, </w:t>
      </w:r>
      <w:proofErr w:type="spellStart"/>
      <w:r w:rsidRPr="002906A3">
        <w:t>much</w:t>
      </w:r>
      <w:proofErr w:type="spellEnd"/>
      <w:r w:rsidRPr="002906A3">
        <w:t xml:space="preserve"> </w:t>
      </w:r>
      <w:proofErr w:type="spellStart"/>
      <w:r w:rsidRPr="002906A3">
        <w:t>like</w:t>
      </w:r>
      <w:proofErr w:type="spellEnd"/>
      <w:r w:rsidRPr="002906A3">
        <w:t xml:space="preserve"> </w:t>
      </w:r>
      <w:proofErr w:type="spellStart"/>
      <w:r w:rsidRPr="002906A3">
        <w:t>the</w:t>
      </w:r>
      <w:proofErr w:type="spellEnd"/>
      <w:r w:rsidRPr="002906A3">
        <w:t xml:space="preserve"> </w:t>
      </w:r>
      <w:proofErr w:type="spellStart"/>
      <w:r w:rsidRPr="002906A3">
        <w:t>tragic</w:t>
      </w:r>
      <w:proofErr w:type="spellEnd"/>
      <w:r w:rsidRPr="002906A3">
        <w:t xml:space="preserve"> </w:t>
      </w:r>
      <w:proofErr w:type="spellStart"/>
      <w:r w:rsidRPr="002906A3">
        <w:t>outcomes</w:t>
      </w:r>
      <w:proofErr w:type="spellEnd"/>
      <w:r w:rsidRPr="002906A3">
        <w:t xml:space="preserve"> of Victor </w:t>
      </w:r>
      <w:proofErr w:type="spellStart"/>
      <w:r w:rsidRPr="002906A3">
        <w:t>Frankenstein's</w:t>
      </w:r>
      <w:proofErr w:type="spellEnd"/>
      <w:r w:rsidRPr="002906A3">
        <w:t xml:space="preserve"> </w:t>
      </w:r>
      <w:proofErr w:type="spellStart"/>
      <w:r w:rsidRPr="002906A3">
        <w:t>disregard</w:t>
      </w:r>
      <w:proofErr w:type="spellEnd"/>
      <w:r w:rsidRPr="002906A3">
        <w:t xml:space="preserve"> </w:t>
      </w:r>
      <w:proofErr w:type="spellStart"/>
      <w:r w:rsidRPr="002906A3">
        <w:t>for</w:t>
      </w:r>
      <w:proofErr w:type="spellEnd"/>
      <w:r w:rsidRPr="002906A3">
        <w:t xml:space="preserve"> his moral </w:t>
      </w:r>
      <w:proofErr w:type="spellStart"/>
      <w:r w:rsidRPr="002906A3">
        <w:t>responsibilities</w:t>
      </w:r>
      <w:proofErr w:type="spellEnd"/>
      <w:r w:rsidRPr="002906A3">
        <w:t>.</w:t>
      </w:r>
    </w:p>
    <w:p w14:paraId="3AF37D70" w14:textId="77777777" w:rsidR="001E7189" w:rsidRPr="002906A3" w:rsidRDefault="001E7189" w:rsidP="00BA67A6">
      <w:pPr>
        <w:jc w:val="both"/>
      </w:pPr>
    </w:p>
    <w:p w14:paraId="2A2011AC" w14:textId="77777777" w:rsidR="001E7189" w:rsidRPr="002906A3" w:rsidRDefault="001E7189" w:rsidP="00BA67A6">
      <w:pPr>
        <w:jc w:val="both"/>
      </w:pPr>
      <w:r w:rsidRPr="002906A3">
        <w:rPr>
          <w:i/>
          <w:iCs/>
        </w:rPr>
        <w:t>Frankenstein</w:t>
      </w:r>
      <w:r w:rsidRPr="002906A3">
        <w:t xml:space="preserve"> </w:t>
      </w:r>
      <w:proofErr w:type="spellStart"/>
      <w:r w:rsidRPr="002906A3">
        <w:t>offers</w:t>
      </w:r>
      <w:proofErr w:type="spellEnd"/>
      <w:r w:rsidRPr="002906A3">
        <w:t xml:space="preserve"> a </w:t>
      </w:r>
      <w:proofErr w:type="spellStart"/>
      <w:r w:rsidRPr="002906A3">
        <w:t>compelling</w:t>
      </w:r>
      <w:proofErr w:type="spellEnd"/>
      <w:r w:rsidRPr="002906A3">
        <w:t xml:space="preserve"> </w:t>
      </w:r>
      <w:proofErr w:type="spellStart"/>
      <w:r w:rsidRPr="002906A3">
        <w:t>exploration</w:t>
      </w:r>
      <w:proofErr w:type="spellEnd"/>
      <w:r w:rsidRPr="002906A3">
        <w:t xml:space="preserve"> of a </w:t>
      </w:r>
      <w:proofErr w:type="spellStart"/>
      <w:r w:rsidRPr="002906A3">
        <w:t>creator's</w:t>
      </w:r>
      <w:proofErr w:type="spellEnd"/>
      <w:r w:rsidRPr="002906A3">
        <w:t xml:space="preserve"> </w:t>
      </w:r>
      <w:proofErr w:type="spellStart"/>
      <w:r w:rsidRPr="002906A3">
        <w:t>responsibility</w:t>
      </w:r>
      <w:proofErr w:type="spellEnd"/>
      <w:r w:rsidRPr="002906A3">
        <w:t>—</w:t>
      </w:r>
      <w:proofErr w:type="spellStart"/>
      <w:r w:rsidRPr="002906A3">
        <w:t>one</w:t>
      </w:r>
      <w:proofErr w:type="spellEnd"/>
      <w:r w:rsidRPr="002906A3">
        <w:t xml:space="preserve"> </w:t>
      </w:r>
      <w:proofErr w:type="spellStart"/>
      <w:r w:rsidRPr="002906A3">
        <w:t>that</w:t>
      </w:r>
      <w:proofErr w:type="spellEnd"/>
      <w:r w:rsidRPr="002906A3">
        <w:t xml:space="preserve"> </w:t>
      </w:r>
      <w:proofErr w:type="spellStart"/>
      <w:r w:rsidRPr="002906A3">
        <w:t>remains</w:t>
      </w:r>
      <w:proofErr w:type="spellEnd"/>
      <w:r w:rsidRPr="002906A3">
        <w:t xml:space="preserve"> </w:t>
      </w:r>
      <w:proofErr w:type="spellStart"/>
      <w:r w:rsidRPr="002906A3">
        <w:t>highly</w:t>
      </w:r>
      <w:proofErr w:type="spellEnd"/>
      <w:r w:rsidRPr="002906A3">
        <w:t xml:space="preserve"> </w:t>
      </w:r>
      <w:proofErr w:type="spellStart"/>
      <w:r w:rsidRPr="002906A3">
        <w:t>relevant</w:t>
      </w:r>
      <w:proofErr w:type="spellEnd"/>
      <w:r w:rsidRPr="002906A3">
        <w:t xml:space="preserve"> </w:t>
      </w:r>
      <w:proofErr w:type="spellStart"/>
      <w:r w:rsidRPr="002906A3">
        <w:t>today</w:t>
      </w:r>
      <w:proofErr w:type="spellEnd"/>
      <w:r w:rsidRPr="002906A3">
        <w:t xml:space="preserve">, </w:t>
      </w:r>
      <w:proofErr w:type="spellStart"/>
      <w:r w:rsidRPr="002906A3">
        <w:t>urging</w:t>
      </w:r>
      <w:proofErr w:type="spellEnd"/>
      <w:r w:rsidRPr="002906A3">
        <w:t xml:space="preserve"> </w:t>
      </w:r>
      <w:proofErr w:type="spellStart"/>
      <w:r w:rsidRPr="002906A3">
        <w:t>reflection</w:t>
      </w:r>
      <w:proofErr w:type="spellEnd"/>
      <w:r w:rsidRPr="002906A3">
        <w:t xml:space="preserve"> on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limits</w:t>
      </w:r>
      <w:proofErr w:type="spellEnd"/>
      <w:r w:rsidRPr="002906A3">
        <w:t xml:space="preserve"> of </w:t>
      </w:r>
      <w:proofErr w:type="spellStart"/>
      <w:r w:rsidRPr="002906A3">
        <w:t>scientific</w:t>
      </w:r>
      <w:proofErr w:type="spellEnd"/>
      <w:r w:rsidRPr="002906A3">
        <w:t xml:space="preserve"> </w:t>
      </w:r>
      <w:proofErr w:type="spellStart"/>
      <w:r w:rsidRPr="002906A3">
        <w:t>progress</w:t>
      </w:r>
      <w:proofErr w:type="spellEnd"/>
      <w:r w:rsidRPr="002906A3">
        <w:t xml:space="preserve">. Victor </w:t>
      </w:r>
      <w:proofErr w:type="spellStart"/>
      <w:r w:rsidRPr="002906A3">
        <w:t>Frankenstein's</w:t>
      </w:r>
      <w:proofErr w:type="spellEnd"/>
      <w:r w:rsidRPr="002906A3">
        <w:t xml:space="preserve"> </w:t>
      </w:r>
      <w:proofErr w:type="spellStart"/>
      <w:r w:rsidRPr="002906A3">
        <w:t>experience</w:t>
      </w:r>
      <w:proofErr w:type="spellEnd"/>
      <w:r w:rsidRPr="002906A3">
        <w:t xml:space="preserve"> </w:t>
      </w:r>
      <w:proofErr w:type="spellStart"/>
      <w:r w:rsidRPr="002906A3">
        <w:t>serves</w:t>
      </w:r>
      <w:proofErr w:type="spellEnd"/>
      <w:r w:rsidRPr="002906A3">
        <w:t xml:space="preserve"> as a </w:t>
      </w:r>
      <w:proofErr w:type="spellStart"/>
      <w:r w:rsidRPr="002906A3">
        <w:t>powerful</w:t>
      </w:r>
      <w:proofErr w:type="spellEnd"/>
      <w:r w:rsidRPr="002906A3">
        <w:t xml:space="preserve"> </w:t>
      </w:r>
      <w:proofErr w:type="spellStart"/>
      <w:r w:rsidRPr="002906A3">
        <w:t>reminder</w:t>
      </w:r>
      <w:proofErr w:type="spellEnd"/>
      <w:r w:rsidRPr="002906A3">
        <w:t xml:space="preserve"> of </w:t>
      </w: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neglecting</w:t>
      </w:r>
      <w:proofErr w:type="spellEnd"/>
      <w:r w:rsidRPr="002906A3">
        <w:t xml:space="preserve"> moral </w:t>
      </w:r>
      <w:proofErr w:type="spellStart"/>
      <w:r w:rsidRPr="002906A3">
        <w:t>obligations</w:t>
      </w:r>
      <w:proofErr w:type="spellEnd"/>
      <w:r w:rsidRPr="002906A3">
        <w:t xml:space="preserve">. </w:t>
      </w:r>
      <w:proofErr w:type="spellStart"/>
      <w:r w:rsidRPr="002906A3">
        <w:t>In</w:t>
      </w:r>
      <w:proofErr w:type="spellEnd"/>
      <w:r w:rsidRPr="002906A3">
        <w:t xml:space="preserve"> </w:t>
      </w:r>
      <w:r w:rsidRPr="002906A3">
        <w:rPr>
          <w:i/>
          <w:iCs/>
        </w:rPr>
        <w:t>Frankenstein</w:t>
      </w:r>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serves</w:t>
      </w:r>
      <w:proofErr w:type="spellEnd"/>
      <w:r w:rsidRPr="002906A3">
        <w:t xml:space="preserve"> as a </w:t>
      </w:r>
      <w:proofErr w:type="spellStart"/>
      <w:r w:rsidRPr="002906A3">
        <w:t>poignant</w:t>
      </w:r>
      <w:proofErr w:type="spellEnd"/>
      <w:r w:rsidRPr="002906A3">
        <w:t xml:space="preserve"> </w:t>
      </w:r>
      <w:proofErr w:type="spellStart"/>
      <w:r w:rsidRPr="002906A3">
        <w:t>representation</w:t>
      </w:r>
      <w:proofErr w:type="spellEnd"/>
      <w:r w:rsidRPr="002906A3">
        <w:t xml:space="preserve"> of </w:t>
      </w:r>
      <w:proofErr w:type="spellStart"/>
      <w:r w:rsidRPr="002906A3">
        <w:t>what</w:t>
      </w:r>
      <w:proofErr w:type="spellEnd"/>
      <w:r w:rsidRPr="002906A3">
        <w:t xml:space="preserve"> </w:t>
      </w:r>
      <w:proofErr w:type="spellStart"/>
      <w:r w:rsidRPr="002906A3">
        <w:t>happens</w:t>
      </w:r>
      <w:proofErr w:type="spellEnd"/>
      <w:r w:rsidRPr="002906A3">
        <w:t xml:space="preserve"> </w:t>
      </w:r>
      <w:proofErr w:type="spellStart"/>
      <w:r w:rsidRPr="002906A3">
        <w:t>when</w:t>
      </w:r>
      <w:proofErr w:type="spellEnd"/>
      <w:r w:rsidRPr="002906A3">
        <w:t xml:space="preserve"> </w:t>
      </w:r>
      <w:proofErr w:type="spellStart"/>
      <w:r w:rsidRPr="002906A3">
        <w:t>innovation</w:t>
      </w:r>
      <w:proofErr w:type="spellEnd"/>
      <w:r w:rsidRPr="002906A3">
        <w:t xml:space="preserve"> </w:t>
      </w:r>
      <w:proofErr w:type="spellStart"/>
      <w:r w:rsidRPr="002906A3">
        <w:t>lacks</w:t>
      </w:r>
      <w:proofErr w:type="spellEnd"/>
      <w:r w:rsidRPr="002906A3">
        <w:t xml:space="preserve"> </w:t>
      </w:r>
      <w:proofErr w:type="spellStart"/>
      <w:r w:rsidRPr="002906A3">
        <w:t>oversight</w:t>
      </w:r>
      <w:proofErr w:type="spellEnd"/>
      <w:r w:rsidRPr="002906A3">
        <w:t xml:space="preserve">. As Victor Frankenstein </w:t>
      </w:r>
      <w:proofErr w:type="spellStart"/>
      <w:r w:rsidRPr="002906A3">
        <w:t>brings</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to</w:t>
      </w:r>
      <w:proofErr w:type="spellEnd"/>
      <w:r w:rsidRPr="002906A3">
        <w:t xml:space="preserve"> life, he </w:t>
      </w:r>
      <w:proofErr w:type="spellStart"/>
      <w:r w:rsidRPr="002906A3">
        <w:t>fails</w:t>
      </w:r>
      <w:proofErr w:type="spellEnd"/>
      <w:r w:rsidRPr="002906A3">
        <w:t xml:space="preserve"> </w:t>
      </w:r>
      <w:proofErr w:type="spellStart"/>
      <w:r w:rsidRPr="002906A3">
        <w:t>to</w:t>
      </w:r>
      <w:proofErr w:type="spellEnd"/>
      <w:r w:rsidRPr="002906A3">
        <w:t xml:space="preserve"> </w:t>
      </w:r>
      <w:proofErr w:type="spellStart"/>
      <w:r w:rsidRPr="002906A3">
        <w:t>consider</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ramifications</w:t>
      </w:r>
      <w:proofErr w:type="spellEnd"/>
      <w:r w:rsidRPr="002906A3">
        <w:t xml:space="preserve"> of his </w:t>
      </w:r>
      <w:proofErr w:type="spellStart"/>
      <w:r w:rsidRPr="002906A3">
        <w:t>actions</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often</w:t>
      </w:r>
      <w:proofErr w:type="spellEnd"/>
      <w:r w:rsidRPr="002906A3">
        <w:t xml:space="preserve"> </w:t>
      </w:r>
      <w:proofErr w:type="spellStart"/>
      <w:r w:rsidRPr="002906A3">
        <w:t>viewed</w:t>
      </w:r>
      <w:proofErr w:type="spellEnd"/>
      <w:r w:rsidRPr="002906A3">
        <w:t xml:space="preserve"> as a </w:t>
      </w:r>
      <w:proofErr w:type="spellStart"/>
      <w:r w:rsidRPr="002906A3">
        <w:t>reflection</w:t>
      </w:r>
      <w:proofErr w:type="spellEnd"/>
      <w:r w:rsidRPr="002906A3">
        <w:t xml:space="preserve"> of </w:t>
      </w:r>
      <w:proofErr w:type="spellStart"/>
      <w:r w:rsidRPr="002906A3">
        <w:t>its</w:t>
      </w:r>
      <w:proofErr w:type="spellEnd"/>
      <w:r w:rsidRPr="002906A3">
        <w:t xml:space="preserve"> </w:t>
      </w:r>
      <w:proofErr w:type="spellStart"/>
      <w:r w:rsidRPr="002906A3">
        <w:t>creator's</w:t>
      </w:r>
      <w:proofErr w:type="spellEnd"/>
      <w:r w:rsidRPr="002906A3">
        <w:t xml:space="preserve"> </w:t>
      </w:r>
      <w:proofErr w:type="spellStart"/>
      <w:r w:rsidRPr="002906A3">
        <w:t>negligence</w:t>
      </w:r>
      <w:proofErr w:type="spellEnd"/>
      <w:r w:rsidRPr="002906A3">
        <w:t xml:space="preserve">, </w:t>
      </w:r>
      <w:proofErr w:type="spellStart"/>
      <w:r w:rsidRPr="002906A3">
        <w:t>endures</w:t>
      </w:r>
      <w:proofErr w:type="spellEnd"/>
      <w:r w:rsidRPr="002906A3">
        <w:t xml:space="preserve"> </w:t>
      </w:r>
      <w:proofErr w:type="spellStart"/>
      <w:r w:rsidRPr="002906A3">
        <w:t>profound</w:t>
      </w:r>
      <w:proofErr w:type="spellEnd"/>
      <w:r w:rsidRPr="002906A3">
        <w:t xml:space="preserve"> </w:t>
      </w:r>
      <w:proofErr w:type="spellStart"/>
      <w:r w:rsidRPr="002906A3">
        <w:t>suffering</w:t>
      </w:r>
      <w:proofErr w:type="spellEnd"/>
      <w:r w:rsidRPr="002906A3">
        <w:t xml:space="preserve"> </w:t>
      </w:r>
      <w:proofErr w:type="spellStart"/>
      <w:r w:rsidRPr="002906A3">
        <w:t>and</w:t>
      </w:r>
      <w:proofErr w:type="spellEnd"/>
      <w:r w:rsidRPr="002906A3">
        <w:t xml:space="preserve"> </w:t>
      </w:r>
      <w:proofErr w:type="spellStart"/>
      <w:r w:rsidRPr="002906A3">
        <w:t>isolation</w:t>
      </w:r>
      <w:proofErr w:type="spellEnd"/>
      <w:r w:rsidRPr="002906A3">
        <w:t xml:space="preserve">. </w:t>
      </w:r>
      <w:proofErr w:type="spellStart"/>
      <w:r w:rsidRPr="002906A3">
        <w:t>This</w:t>
      </w:r>
      <w:proofErr w:type="spellEnd"/>
      <w:r w:rsidRPr="002906A3">
        <w:t xml:space="preserve"> </w:t>
      </w:r>
      <w:proofErr w:type="spellStart"/>
      <w:r w:rsidRPr="002906A3">
        <w:t>suffering</w:t>
      </w:r>
      <w:proofErr w:type="spellEnd"/>
      <w:r w:rsidRPr="002906A3">
        <w:t xml:space="preserve"> </w:t>
      </w:r>
      <w:proofErr w:type="spellStart"/>
      <w:r w:rsidRPr="002906A3">
        <w:t>illustrates</w:t>
      </w:r>
      <w:proofErr w:type="spellEnd"/>
      <w:r w:rsidRPr="002906A3">
        <w:t xml:space="preserve"> </w:t>
      </w:r>
      <w:proofErr w:type="spellStart"/>
      <w:r w:rsidRPr="002906A3">
        <w:t>that</w:t>
      </w:r>
      <w:proofErr w:type="spellEnd"/>
      <w:r w:rsidRPr="002906A3">
        <w:t xml:space="preserve"> </w:t>
      </w:r>
      <w:proofErr w:type="spellStart"/>
      <w:r w:rsidRPr="002906A3">
        <w:t>creators</w:t>
      </w:r>
      <w:proofErr w:type="spellEnd"/>
      <w:r w:rsidRPr="002906A3">
        <w:t xml:space="preserve"> </w:t>
      </w:r>
      <w:proofErr w:type="spellStart"/>
      <w:r w:rsidRPr="002906A3">
        <w:t>are</w:t>
      </w:r>
      <w:proofErr w:type="spellEnd"/>
      <w:r w:rsidRPr="002906A3">
        <w:t xml:space="preserve"> </w:t>
      </w:r>
      <w:proofErr w:type="spellStart"/>
      <w:r w:rsidRPr="002906A3">
        <w:t>responsible</w:t>
      </w:r>
      <w:proofErr w:type="spellEnd"/>
      <w:r w:rsidRPr="002906A3">
        <w:t xml:space="preserve"> not </w:t>
      </w:r>
      <w:proofErr w:type="spellStart"/>
      <w:r w:rsidRPr="002906A3">
        <w:t>only</w:t>
      </w:r>
      <w:proofErr w:type="spellEnd"/>
      <w:r w:rsidRPr="002906A3">
        <w:t xml:space="preserve"> </w:t>
      </w:r>
      <w:proofErr w:type="spellStart"/>
      <w:r w:rsidRPr="002906A3">
        <w:t>for</w:t>
      </w:r>
      <w:proofErr w:type="spellEnd"/>
      <w:r w:rsidRPr="002906A3">
        <w:t xml:space="preserve"> </w:t>
      </w:r>
      <w:proofErr w:type="spellStart"/>
      <w:r w:rsidRPr="002906A3">
        <w:t>their</w:t>
      </w:r>
      <w:proofErr w:type="spellEnd"/>
      <w:r w:rsidRPr="002906A3">
        <w:t xml:space="preserve"> </w:t>
      </w:r>
      <w:proofErr w:type="spellStart"/>
      <w:r w:rsidRPr="002906A3">
        <w:t>inventions</w:t>
      </w:r>
      <w:proofErr w:type="spellEnd"/>
      <w:r w:rsidRPr="002906A3">
        <w:t xml:space="preserve"> but </w:t>
      </w:r>
      <w:proofErr w:type="spellStart"/>
      <w:r w:rsidRPr="002906A3">
        <w:t>also</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broader</w:t>
      </w:r>
      <w:proofErr w:type="spellEnd"/>
      <w:r w:rsidRPr="002906A3">
        <w:t xml:space="preserve"> </w:t>
      </w:r>
      <w:proofErr w:type="spellStart"/>
      <w:r w:rsidRPr="002906A3">
        <w:t>societal</w:t>
      </w:r>
      <w:proofErr w:type="spellEnd"/>
      <w:r w:rsidRPr="002906A3">
        <w:t xml:space="preserve"> </w:t>
      </w:r>
      <w:proofErr w:type="spellStart"/>
      <w:r w:rsidRPr="002906A3">
        <w:t>impact</w:t>
      </w:r>
      <w:proofErr w:type="spellEnd"/>
      <w:r w:rsidRPr="002906A3">
        <w:t xml:space="preserve">.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anguish</w:t>
      </w:r>
      <w:proofErr w:type="spellEnd"/>
      <w:r w:rsidRPr="002906A3">
        <w:t xml:space="preserve"> </w:t>
      </w:r>
      <w:proofErr w:type="spellStart"/>
      <w:r w:rsidRPr="002906A3">
        <w:t>stems</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rejection</w:t>
      </w:r>
      <w:proofErr w:type="spellEnd"/>
      <w:r w:rsidRPr="002906A3">
        <w:t xml:space="preserve"> </w:t>
      </w:r>
      <w:proofErr w:type="spellStart"/>
      <w:r w:rsidRPr="002906A3">
        <w:t>and</w:t>
      </w:r>
      <w:proofErr w:type="spellEnd"/>
      <w:r w:rsidRPr="002906A3">
        <w:t xml:space="preserve"> </w:t>
      </w:r>
      <w:proofErr w:type="spellStart"/>
      <w:r w:rsidRPr="002906A3">
        <w:t>fear</w:t>
      </w:r>
      <w:proofErr w:type="spellEnd"/>
      <w:r w:rsidRPr="002906A3">
        <w:t xml:space="preserve"> it </w:t>
      </w:r>
      <w:proofErr w:type="spellStart"/>
      <w:r w:rsidRPr="002906A3">
        <w:t>encounters</w:t>
      </w:r>
      <w:proofErr w:type="spellEnd"/>
      <w:r w:rsidRPr="002906A3">
        <w:t xml:space="preserve">, </w:t>
      </w:r>
      <w:proofErr w:type="spellStart"/>
      <w:r w:rsidRPr="002906A3">
        <w:t>highlighting</w:t>
      </w:r>
      <w:proofErr w:type="spellEnd"/>
      <w:r w:rsidRPr="002906A3">
        <w:t xml:space="preserve"> </w:t>
      </w:r>
      <w:proofErr w:type="spellStart"/>
      <w:r w:rsidRPr="002906A3">
        <w:t>the</w:t>
      </w:r>
      <w:proofErr w:type="spellEnd"/>
      <w:r w:rsidRPr="002906A3">
        <w:t xml:space="preserve"> </w:t>
      </w:r>
      <w:proofErr w:type="spellStart"/>
      <w:r w:rsidRPr="002906A3">
        <w:t>unintended</w:t>
      </w:r>
      <w:proofErr w:type="spellEnd"/>
      <w:r w:rsidRPr="002906A3">
        <w:t xml:space="preserve"> </w:t>
      </w:r>
      <w:proofErr w:type="spellStart"/>
      <w:r w:rsidRPr="002906A3">
        <w:t>consequences</w:t>
      </w:r>
      <w:proofErr w:type="spellEnd"/>
      <w:r w:rsidRPr="002906A3">
        <w:t xml:space="preserve"> of </w:t>
      </w:r>
      <w:proofErr w:type="spellStart"/>
      <w:r w:rsidRPr="002906A3">
        <w:t>unchecked</w:t>
      </w:r>
      <w:proofErr w:type="spellEnd"/>
      <w:r w:rsidRPr="002906A3">
        <w:t xml:space="preserve"> </w:t>
      </w:r>
      <w:proofErr w:type="spellStart"/>
      <w:r w:rsidRPr="002906A3">
        <w:t>scientific</w:t>
      </w:r>
      <w:proofErr w:type="spellEnd"/>
      <w:r w:rsidRPr="002906A3">
        <w:t xml:space="preserve"> </w:t>
      </w:r>
      <w:proofErr w:type="spellStart"/>
      <w:r w:rsidRPr="002906A3">
        <w:t>advancement</w:t>
      </w:r>
      <w:proofErr w:type="spellEnd"/>
      <w:r w:rsidRPr="002906A3">
        <w:t xml:space="preserve"> (</w:t>
      </w:r>
      <w:proofErr w:type="spellStart"/>
      <w:r w:rsidRPr="002906A3">
        <w:t>Olivier</w:t>
      </w:r>
      <w:proofErr w:type="spellEnd"/>
      <w:r w:rsidRPr="002906A3">
        <w:t>, 2018).</w:t>
      </w:r>
    </w:p>
    <w:p w14:paraId="2B52C11D" w14:textId="77777777" w:rsidR="001E7189" w:rsidRPr="002906A3" w:rsidRDefault="001E7189" w:rsidP="00BA67A6">
      <w:pPr>
        <w:jc w:val="both"/>
      </w:pPr>
    </w:p>
    <w:p w14:paraId="20C72FE8" w14:textId="77777777" w:rsidR="001E7189" w:rsidRPr="002906A3" w:rsidRDefault="001E7189" w:rsidP="00BA67A6">
      <w:pPr>
        <w:jc w:val="both"/>
      </w:pPr>
      <w:proofErr w:type="spellStart"/>
      <w:r w:rsidRPr="002906A3">
        <w:lastRenderedPageBreak/>
        <w:t>Much</w:t>
      </w:r>
      <w:proofErr w:type="spellEnd"/>
      <w:r w:rsidRPr="002906A3">
        <w:t xml:space="preserve"> </w:t>
      </w:r>
      <w:proofErr w:type="spellStart"/>
      <w:r w:rsidRPr="002906A3">
        <w:t>like</w:t>
      </w:r>
      <w:proofErr w:type="spellEnd"/>
      <w:r w:rsidRPr="002906A3">
        <w:t xml:space="preserve"> modern </w:t>
      </w:r>
      <w:proofErr w:type="spellStart"/>
      <w:r w:rsidRPr="002906A3">
        <w:t>concerns</w:t>
      </w:r>
      <w:proofErr w:type="spellEnd"/>
      <w:r w:rsidRPr="002906A3">
        <w:t xml:space="preserve"> </w:t>
      </w:r>
      <w:proofErr w:type="spellStart"/>
      <w:r w:rsidRPr="002906A3">
        <w:t>about</w:t>
      </w:r>
      <w:proofErr w:type="spellEnd"/>
      <w:r w:rsidRPr="002906A3">
        <w:t xml:space="preserve"> AI, </w:t>
      </w:r>
      <w:proofErr w:type="spellStart"/>
      <w:r w:rsidRPr="002906A3">
        <w:t>the</w:t>
      </w:r>
      <w:proofErr w:type="spellEnd"/>
      <w:r w:rsidRPr="002906A3">
        <w:t xml:space="preserve"> </w:t>
      </w:r>
      <w:proofErr w:type="spellStart"/>
      <w:r w:rsidRPr="002906A3">
        <w:t>relationship</w:t>
      </w:r>
      <w:proofErr w:type="spellEnd"/>
      <w:r w:rsidRPr="002906A3">
        <w:t xml:space="preserve"> </w:t>
      </w:r>
      <w:proofErr w:type="spellStart"/>
      <w:r w:rsidRPr="002906A3">
        <w:t>between</w:t>
      </w:r>
      <w:proofErr w:type="spellEnd"/>
      <w:r w:rsidRPr="002906A3">
        <w:t xml:space="preserve"> </w:t>
      </w:r>
      <w:proofErr w:type="spellStart"/>
      <w:r w:rsidRPr="002906A3">
        <w:t>creator</w:t>
      </w:r>
      <w:proofErr w:type="spellEnd"/>
      <w:r w:rsidRPr="002906A3">
        <w:t xml:space="preserve"> </w:t>
      </w:r>
      <w:proofErr w:type="spellStart"/>
      <w:r w:rsidRPr="002906A3">
        <w:t>and</w:t>
      </w:r>
      <w:proofErr w:type="spellEnd"/>
      <w:r w:rsidRPr="002906A3">
        <w:t xml:space="preserve"> </w:t>
      </w:r>
      <w:proofErr w:type="spellStart"/>
      <w:r w:rsidRPr="002906A3">
        <w:t>creation</w:t>
      </w:r>
      <w:proofErr w:type="spellEnd"/>
      <w:r w:rsidRPr="002906A3">
        <w:t xml:space="preserve"> in </w:t>
      </w:r>
      <w:r w:rsidRPr="002906A3">
        <w:rPr>
          <w:i/>
          <w:iCs/>
        </w:rPr>
        <w:t>Frankenstein</w:t>
      </w:r>
      <w:r w:rsidRPr="002906A3">
        <w:t xml:space="preserve"> </w:t>
      </w:r>
      <w:proofErr w:type="spellStart"/>
      <w:r w:rsidRPr="002906A3">
        <w:t>reveals</w:t>
      </w:r>
      <w:proofErr w:type="spellEnd"/>
      <w:r w:rsidRPr="002906A3">
        <w:t xml:space="preserve"> </w:t>
      </w:r>
      <w:proofErr w:type="spellStart"/>
      <w:r w:rsidRPr="002906A3">
        <w:t>ethical</w:t>
      </w:r>
      <w:proofErr w:type="spellEnd"/>
      <w:r w:rsidRPr="002906A3">
        <w:t xml:space="preserve"> </w:t>
      </w:r>
      <w:proofErr w:type="spellStart"/>
      <w:r w:rsidRPr="002906A3">
        <w:t>dilemmas</w:t>
      </w:r>
      <w:proofErr w:type="spellEnd"/>
      <w:r w:rsidRPr="002906A3">
        <w:t xml:space="preserve"> </w:t>
      </w:r>
      <w:proofErr w:type="spellStart"/>
      <w:r w:rsidRPr="002906A3">
        <w:t>that</w:t>
      </w:r>
      <w:proofErr w:type="spellEnd"/>
      <w:r w:rsidRPr="002906A3">
        <w:t xml:space="preserve"> </w:t>
      </w:r>
      <w:proofErr w:type="spellStart"/>
      <w:r w:rsidRPr="002906A3">
        <w:t>arise</w:t>
      </w:r>
      <w:proofErr w:type="spellEnd"/>
      <w:r w:rsidRPr="002906A3">
        <w:t xml:space="preserve"> </w:t>
      </w:r>
      <w:proofErr w:type="spellStart"/>
      <w:r w:rsidRPr="002906A3">
        <w:t>when</w:t>
      </w:r>
      <w:proofErr w:type="spellEnd"/>
      <w:r w:rsidRPr="002906A3">
        <w:t xml:space="preserve"> </w:t>
      </w:r>
      <w:proofErr w:type="spellStart"/>
      <w:r w:rsidRPr="002906A3">
        <w:t>creations</w:t>
      </w:r>
      <w:proofErr w:type="spellEnd"/>
      <w:r w:rsidRPr="002906A3">
        <w:t xml:space="preserve"> </w:t>
      </w:r>
      <w:proofErr w:type="spellStart"/>
      <w:r w:rsidRPr="002906A3">
        <w:t>develop</w:t>
      </w:r>
      <w:proofErr w:type="spellEnd"/>
      <w:r w:rsidRPr="002906A3">
        <w:t xml:space="preserve"> </w:t>
      </w:r>
      <w:proofErr w:type="spellStart"/>
      <w:r w:rsidRPr="002906A3">
        <w:t>agency</w:t>
      </w:r>
      <w:proofErr w:type="spellEnd"/>
      <w:r w:rsidRPr="002906A3">
        <w:t xml:space="preserve">. </w:t>
      </w:r>
      <w:proofErr w:type="spellStart"/>
      <w:r w:rsidRPr="002906A3">
        <w:t>Technology</w:t>
      </w:r>
      <w:proofErr w:type="spellEnd"/>
      <w:r w:rsidRPr="002906A3">
        <w:t xml:space="preserve">, </w:t>
      </w:r>
      <w:proofErr w:type="spellStart"/>
      <w:r w:rsidRPr="002906A3">
        <w:t>like</w:t>
      </w:r>
      <w:proofErr w:type="spellEnd"/>
      <w:r w:rsidRPr="002906A3">
        <w:t xml:space="preserve"> </w:t>
      </w:r>
      <w:proofErr w:type="spellStart"/>
      <w:r w:rsidRPr="002906A3">
        <w:t>Shelley's</w:t>
      </w:r>
      <w:proofErr w:type="spellEnd"/>
      <w:r w:rsidRPr="002906A3">
        <w:t xml:space="preserve"> </w:t>
      </w:r>
      <w:proofErr w:type="spellStart"/>
      <w:r w:rsidRPr="002906A3">
        <w:t>creature</w:t>
      </w:r>
      <w:proofErr w:type="spellEnd"/>
      <w:r w:rsidRPr="002906A3">
        <w:t xml:space="preserve">, can </w:t>
      </w:r>
      <w:proofErr w:type="spellStart"/>
      <w:r w:rsidRPr="002906A3">
        <w:t>act</w:t>
      </w:r>
      <w:proofErr w:type="spellEnd"/>
      <w:r w:rsidRPr="002906A3">
        <w:t xml:space="preserve"> </w:t>
      </w:r>
      <w:proofErr w:type="spellStart"/>
      <w:r w:rsidRPr="002906A3">
        <w:t>autonomously</w:t>
      </w:r>
      <w:proofErr w:type="spellEnd"/>
      <w:r w:rsidRPr="002906A3">
        <w:t xml:space="preserve"> </w:t>
      </w:r>
      <w:proofErr w:type="spellStart"/>
      <w:r w:rsidRPr="002906A3">
        <w:t>and</w:t>
      </w:r>
      <w:proofErr w:type="spellEnd"/>
      <w:r w:rsidRPr="002906A3">
        <w:t xml:space="preserve"> </w:t>
      </w:r>
      <w:proofErr w:type="spellStart"/>
      <w:r w:rsidRPr="002906A3">
        <w:t>make</w:t>
      </w:r>
      <w:proofErr w:type="spellEnd"/>
      <w:r w:rsidRPr="002906A3">
        <w:t xml:space="preserve"> </w:t>
      </w:r>
      <w:proofErr w:type="spellStart"/>
      <w:r w:rsidRPr="002906A3">
        <w:t>decisions</w:t>
      </w:r>
      <w:proofErr w:type="spellEnd"/>
      <w:r w:rsidRPr="002906A3">
        <w:t xml:space="preserve">, </w:t>
      </w:r>
      <w:proofErr w:type="spellStart"/>
      <w:r w:rsidRPr="002906A3">
        <w:t>raising</w:t>
      </w:r>
      <w:proofErr w:type="spellEnd"/>
      <w:r w:rsidRPr="002906A3">
        <w:t xml:space="preserve"> </w:t>
      </w:r>
      <w:proofErr w:type="spellStart"/>
      <w:r w:rsidRPr="002906A3">
        <w:t>significant</w:t>
      </w:r>
      <w:proofErr w:type="spellEnd"/>
      <w:r w:rsidRPr="002906A3">
        <w:t xml:space="preserve"> </w:t>
      </w:r>
      <w:proofErr w:type="spellStart"/>
      <w:r w:rsidRPr="002906A3">
        <w:t>ethical</w:t>
      </w:r>
      <w:proofErr w:type="spellEnd"/>
      <w:r w:rsidRPr="002906A3">
        <w:t xml:space="preserve"> </w:t>
      </w:r>
      <w:proofErr w:type="spellStart"/>
      <w:r w:rsidRPr="002906A3">
        <w:t>questions</w:t>
      </w:r>
      <w:proofErr w:type="spellEnd"/>
      <w:r w:rsidRPr="002906A3">
        <w:t xml:space="preserve">. </w:t>
      </w:r>
      <w:proofErr w:type="spellStart"/>
      <w:r w:rsidRPr="002906A3">
        <w:t>For</w:t>
      </w:r>
      <w:proofErr w:type="spellEnd"/>
      <w:r w:rsidRPr="002906A3">
        <w:t xml:space="preserve"> </w:t>
      </w:r>
      <w:proofErr w:type="spellStart"/>
      <w:r w:rsidRPr="002906A3">
        <w:t>instance</w:t>
      </w:r>
      <w:proofErr w:type="spellEnd"/>
      <w:r w:rsidRPr="002906A3">
        <w:t xml:space="preserve">, </w:t>
      </w:r>
      <w:proofErr w:type="spellStart"/>
      <w:r w:rsidRPr="002906A3">
        <w:t>if</w:t>
      </w:r>
      <w:proofErr w:type="spellEnd"/>
      <w:r w:rsidRPr="002906A3">
        <w:t xml:space="preserve"> AI </w:t>
      </w:r>
      <w:proofErr w:type="spellStart"/>
      <w:r w:rsidRPr="002906A3">
        <w:t>systems</w:t>
      </w:r>
      <w:proofErr w:type="spellEnd"/>
      <w:r w:rsidRPr="002906A3">
        <w:t xml:space="preserve"> </w:t>
      </w:r>
      <w:proofErr w:type="spellStart"/>
      <w:r w:rsidRPr="002906A3">
        <w:t>operate</w:t>
      </w:r>
      <w:proofErr w:type="spellEnd"/>
      <w:r w:rsidRPr="002906A3">
        <w:t xml:space="preserve"> </w:t>
      </w:r>
      <w:proofErr w:type="spellStart"/>
      <w:r w:rsidRPr="002906A3">
        <w:t>independently</w:t>
      </w:r>
      <w:proofErr w:type="spellEnd"/>
      <w:r w:rsidRPr="002906A3">
        <w:t xml:space="preserve"> </w:t>
      </w:r>
      <w:proofErr w:type="spellStart"/>
      <w:r w:rsidRPr="002906A3">
        <w:t>and</w:t>
      </w:r>
      <w:proofErr w:type="spellEnd"/>
      <w:r w:rsidRPr="002906A3">
        <w:t xml:space="preserve"> </w:t>
      </w:r>
      <w:proofErr w:type="spellStart"/>
      <w:r w:rsidRPr="002906A3">
        <w:t>make</w:t>
      </w:r>
      <w:proofErr w:type="spellEnd"/>
      <w:r w:rsidRPr="002906A3">
        <w:t xml:space="preserve"> </w:t>
      </w:r>
      <w:proofErr w:type="spellStart"/>
      <w:r w:rsidRPr="002906A3">
        <w:t>decisions</w:t>
      </w:r>
      <w:proofErr w:type="spellEnd"/>
      <w:r w:rsidRPr="002906A3">
        <w:t xml:space="preserve">, </w:t>
      </w:r>
      <w:proofErr w:type="spellStart"/>
      <w:r w:rsidRPr="002906A3">
        <w:t>who</w:t>
      </w:r>
      <w:proofErr w:type="spellEnd"/>
      <w:r w:rsidRPr="002906A3">
        <w:t xml:space="preserve"> is </w:t>
      </w:r>
      <w:proofErr w:type="spellStart"/>
      <w:r w:rsidRPr="002906A3">
        <w:t>responsible</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outcomes</w:t>
      </w:r>
      <w:proofErr w:type="spellEnd"/>
      <w:r w:rsidRPr="002906A3">
        <w:t xml:space="preserve">? </w:t>
      </w:r>
      <w:proofErr w:type="spellStart"/>
      <w:r w:rsidRPr="002906A3">
        <w:t>Just</w:t>
      </w:r>
      <w:proofErr w:type="spellEnd"/>
      <w:r w:rsidRPr="002906A3">
        <w:t xml:space="preserve"> as Victor </w:t>
      </w:r>
      <w:proofErr w:type="spellStart"/>
      <w:r w:rsidRPr="002906A3">
        <w:t>abandons</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to</w:t>
      </w:r>
      <w:proofErr w:type="spellEnd"/>
      <w:r w:rsidRPr="002906A3">
        <w:t xml:space="preserve"> </w:t>
      </w:r>
      <w:proofErr w:type="spellStart"/>
      <w:r w:rsidRPr="002906A3">
        <w:t>navigate</w:t>
      </w:r>
      <w:proofErr w:type="spellEnd"/>
      <w:r w:rsidRPr="002906A3">
        <w:t xml:space="preserve"> a </w:t>
      </w:r>
      <w:proofErr w:type="spellStart"/>
      <w:r w:rsidRPr="002906A3">
        <w:t>world</w:t>
      </w:r>
      <w:proofErr w:type="spellEnd"/>
      <w:r w:rsidRPr="002906A3">
        <w:t xml:space="preserve"> </w:t>
      </w:r>
      <w:proofErr w:type="spellStart"/>
      <w:r w:rsidRPr="002906A3">
        <w:t>that</w:t>
      </w:r>
      <w:proofErr w:type="spellEnd"/>
      <w:r w:rsidRPr="002906A3">
        <w:t xml:space="preserve"> </w:t>
      </w:r>
      <w:proofErr w:type="spellStart"/>
      <w:r w:rsidRPr="002906A3">
        <w:t>rejects</w:t>
      </w:r>
      <w:proofErr w:type="spellEnd"/>
      <w:r w:rsidRPr="002906A3">
        <w:t xml:space="preserve"> it, </w:t>
      </w:r>
      <w:proofErr w:type="spellStart"/>
      <w:r w:rsidRPr="002906A3">
        <w:t>developers</w:t>
      </w:r>
      <w:proofErr w:type="spellEnd"/>
      <w:r w:rsidRPr="002906A3">
        <w:t xml:space="preserve"> </w:t>
      </w:r>
      <w:proofErr w:type="spellStart"/>
      <w:r w:rsidRPr="002906A3">
        <w:t>today</w:t>
      </w:r>
      <w:proofErr w:type="spellEnd"/>
      <w:r w:rsidRPr="002906A3">
        <w:t xml:space="preserve"> </w:t>
      </w:r>
      <w:proofErr w:type="spellStart"/>
      <w:r w:rsidRPr="002906A3">
        <w:t>often</w:t>
      </w:r>
      <w:proofErr w:type="spellEnd"/>
      <w:r w:rsidRPr="002906A3">
        <w:t xml:space="preserve"> </w:t>
      </w:r>
      <w:proofErr w:type="spellStart"/>
      <w:r w:rsidRPr="002906A3">
        <w:t>deploy</w:t>
      </w:r>
      <w:proofErr w:type="spellEnd"/>
      <w:r w:rsidRPr="002906A3">
        <w:t xml:space="preserve"> AI </w:t>
      </w:r>
      <w:proofErr w:type="spellStart"/>
      <w:r w:rsidRPr="002906A3">
        <w:t>technologies</w:t>
      </w:r>
      <w:proofErr w:type="spellEnd"/>
      <w:r w:rsidRPr="002906A3">
        <w:t xml:space="preserve"> </w:t>
      </w:r>
      <w:proofErr w:type="spellStart"/>
      <w:r w:rsidRPr="002906A3">
        <w:t>without</w:t>
      </w:r>
      <w:proofErr w:type="spellEnd"/>
      <w:r w:rsidRPr="002906A3">
        <w:t xml:space="preserve"> </w:t>
      </w:r>
      <w:proofErr w:type="spellStart"/>
      <w:r w:rsidRPr="002906A3">
        <w:t>thoroughly</w:t>
      </w:r>
      <w:proofErr w:type="spellEnd"/>
      <w:r w:rsidRPr="002906A3">
        <w:t xml:space="preserve"> </w:t>
      </w:r>
      <w:proofErr w:type="spellStart"/>
      <w:r w:rsidRPr="002906A3">
        <w:t>considering</w:t>
      </w:r>
      <w:proofErr w:type="spellEnd"/>
      <w:r w:rsidRPr="002906A3">
        <w:t xml:space="preserve"> </w:t>
      </w:r>
      <w:proofErr w:type="spellStart"/>
      <w:r w:rsidRPr="002906A3">
        <w:t>their</w:t>
      </w:r>
      <w:proofErr w:type="spellEnd"/>
      <w:r w:rsidRPr="002906A3">
        <w:t xml:space="preserve"> </w:t>
      </w:r>
      <w:proofErr w:type="spellStart"/>
      <w:r w:rsidRPr="002906A3">
        <w:t>societal</w:t>
      </w:r>
      <w:proofErr w:type="spellEnd"/>
      <w:r w:rsidRPr="002906A3">
        <w:t xml:space="preserve"> </w:t>
      </w:r>
      <w:proofErr w:type="spellStart"/>
      <w:r w:rsidRPr="002906A3">
        <w:t>impacts</w:t>
      </w:r>
      <w:proofErr w:type="spellEnd"/>
      <w:r w:rsidRPr="002906A3">
        <w:t xml:space="preserve"> (</w:t>
      </w:r>
      <w:proofErr w:type="spellStart"/>
      <w:r w:rsidRPr="002906A3">
        <w:t>Byrd</w:t>
      </w:r>
      <w:proofErr w:type="spellEnd"/>
      <w:r w:rsidRPr="002906A3">
        <w:t xml:space="preserve"> &amp; </w:t>
      </w:r>
      <w:proofErr w:type="spellStart"/>
      <w:r w:rsidRPr="002906A3">
        <w:t>Paquette</w:t>
      </w:r>
      <w:proofErr w:type="spellEnd"/>
      <w:r w:rsidRPr="002906A3">
        <w:t>, 2023).</w:t>
      </w:r>
    </w:p>
    <w:p w14:paraId="14859DDE" w14:textId="77777777" w:rsidR="001E7189" w:rsidRPr="002906A3" w:rsidRDefault="001E7189" w:rsidP="00BA67A6">
      <w:pPr>
        <w:jc w:val="both"/>
      </w:pPr>
    </w:p>
    <w:p w14:paraId="6506052B"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perspective</w:t>
      </w:r>
      <w:proofErr w:type="spellEnd"/>
      <w:r w:rsidRPr="002906A3">
        <w:t xml:space="preserve"> </w:t>
      </w:r>
      <w:proofErr w:type="spellStart"/>
      <w:r w:rsidRPr="002906A3">
        <w:t>sheds</w:t>
      </w:r>
      <w:proofErr w:type="spellEnd"/>
      <w:r w:rsidRPr="002906A3">
        <w:t xml:space="preserve"> </w:t>
      </w:r>
      <w:proofErr w:type="spellStart"/>
      <w:r w:rsidRPr="002906A3">
        <w:t>light</w:t>
      </w:r>
      <w:proofErr w:type="spellEnd"/>
      <w:r w:rsidRPr="002906A3">
        <w:t xml:space="preserve"> on </w:t>
      </w:r>
      <w:proofErr w:type="spellStart"/>
      <w:r w:rsidRPr="002906A3">
        <w:t>the</w:t>
      </w:r>
      <w:proofErr w:type="spellEnd"/>
      <w:r w:rsidRPr="002906A3">
        <w:t xml:space="preserve"> </w:t>
      </w:r>
      <w:proofErr w:type="spellStart"/>
      <w:r w:rsidRPr="002906A3">
        <w:t>emotional</w:t>
      </w:r>
      <w:proofErr w:type="spellEnd"/>
      <w:r w:rsidRPr="002906A3">
        <w:t xml:space="preserve"> </w:t>
      </w:r>
      <w:proofErr w:type="spellStart"/>
      <w:r w:rsidRPr="002906A3">
        <w:t>and</w:t>
      </w:r>
      <w:proofErr w:type="spellEnd"/>
      <w:r w:rsidRPr="002906A3">
        <w:t xml:space="preserve"> </w:t>
      </w:r>
      <w:proofErr w:type="spellStart"/>
      <w:r w:rsidRPr="002906A3">
        <w:t>ethical</w:t>
      </w:r>
      <w:proofErr w:type="spellEnd"/>
      <w:r w:rsidRPr="002906A3">
        <w:t xml:space="preserve"> </w:t>
      </w:r>
      <w:proofErr w:type="spellStart"/>
      <w:r w:rsidRPr="002906A3">
        <w:t>responsibilities</w:t>
      </w:r>
      <w:proofErr w:type="spellEnd"/>
      <w:r w:rsidRPr="002906A3">
        <w:t xml:space="preserve"> of </w:t>
      </w:r>
      <w:proofErr w:type="spellStart"/>
      <w:r w:rsidRPr="002906A3">
        <w:t>creators</w:t>
      </w:r>
      <w:proofErr w:type="spellEnd"/>
      <w:r w:rsidRPr="002906A3">
        <w:t xml:space="preserve">. </w:t>
      </w:r>
      <w:proofErr w:type="spellStart"/>
      <w:r w:rsidRPr="002906A3">
        <w:t>It</w:t>
      </w:r>
      <w:proofErr w:type="spellEnd"/>
      <w:r w:rsidRPr="002906A3">
        <w:t xml:space="preserve"> </w:t>
      </w:r>
      <w:proofErr w:type="spellStart"/>
      <w:r w:rsidRPr="002906A3">
        <w:t>yearns</w:t>
      </w:r>
      <w:proofErr w:type="spellEnd"/>
      <w:r w:rsidRPr="002906A3">
        <w:t xml:space="preserve"> </w:t>
      </w:r>
      <w:proofErr w:type="spellStart"/>
      <w:r w:rsidRPr="002906A3">
        <w:t>for</w:t>
      </w:r>
      <w:proofErr w:type="spellEnd"/>
      <w:r w:rsidRPr="002906A3">
        <w:t xml:space="preserve"> </w:t>
      </w:r>
      <w:proofErr w:type="spellStart"/>
      <w:r w:rsidRPr="002906A3">
        <w:t>understanding</w:t>
      </w:r>
      <w:proofErr w:type="spellEnd"/>
      <w:r w:rsidRPr="002906A3">
        <w:t xml:space="preserve"> </w:t>
      </w:r>
      <w:proofErr w:type="spellStart"/>
      <w:r w:rsidRPr="002906A3">
        <w:t>and</w:t>
      </w:r>
      <w:proofErr w:type="spellEnd"/>
      <w:r w:rsidRPr="002906A3">
        <w:t xml:space="preserve"> </w:t>
      </w:r>
      <w:proofErr w:type="spellStart"/>
      <w:r w:rsidRPr="002906A3">
        <w:t>acceptance</w:t>
      </w:r>
      <w:proofErr w:type="spellEnd"/>
      <w:r w:rsidRPr="002906A3">
        <w:t xml:space="preserve">, </w:t>
      </w:r>
      <w:proofErr w:type="spellStart"/>
      <w:r w:rsidRPr="002906A3">
        <w:t>needs</w:t>
      </w:r>
      <w:proofErr w:type="spellEnd"/>
      <w:r w:rsidRPr="002906A3">
        <w:t xml:space="preserve"> </w:t>
      </w:r>
      <w:proofErr w:type="spellStart"/>
      <w:r w:rsidRPr="002906A3">
        <w:t>that</w:t>
      </w:r>
      <w:proofErr w:type="spellEnd"/>
      <w:r w:rsidRPr="002906A3">
        <w:t xml:space="preserve"> Victor </w:t>
      </w:r>
      <w:proofErr w:type="spellStart"/>
      <w:r w:rsidRPr="002906A3">
        <w:t>disregards</w:t>
      </w:r>
      <w:proofErr w:type="spellEnd"/>
      <w:r w:rsidRPr="002906A3">
        <w:t xml:space="preserve">. </w:t>
      </w:r>
      <w:proofErr w:type="spellStart"/>
      <w:r w:rsidRPr="002906A3">
        <w:t>This</w:t>
      </w:r>
      <w:proofErr w:type="spellEnd"/>
      <w:r w:rsidRPr="002906A3">
        <w:t xml:space="preserve"> </w:t>
      </w:r>
      <w:proofErr w:type="spellStart"/>
      <w:r w:rsidRPr="002906A3">
        <w:t>parallel</w:t>
      </w:r>
      <w:proofErr w:type="spellEnd"/>
      <w:r w:rsidRPr="002906A3">
        <w:t xml:space="preserve"> </w:t>
      </w:r>
      <w:proofErr w:type="spellStart"/>
      <w:r w:rsidRPr="002906A3">
        <w:t>extends</w:t>
      </w:r>
      <w:proofErr w:type="spellEnd"/>
      <w:r w:rsidRPr="002906A3">
        <w:t xml:space="preserve"> </w:t>
      </w:r>
      <w:proofErr w:type="spellStart"/>
      <w:r w:rsidRPr="002906A3">
        <w:t>to</w:t>
      </w:r>
      <w:proofErr w:type="spellEnd"/>
      <w:r w:rsidRPr="002906A3">
        <w:t xml:space="preserve"> </w:t>
      </w:r>
      <w:proofErr w:type="spellStart"/>
      <w:r w:rsidRPr="002906A3">
        <w:t>contemporary</w:t>
      </w:r>
      <w:proofErr w:type="spellEnd"/>
      <w:r w:rsidRPr="002906A3">
        <w:t xml:space="preserve"> </w:t>
      </w:r>
      <w:proofErr w:type="spellStart"/>
      <w:r w:rsidRPr="002906A3">
        <w:t>discussions</w:t>
      </w:r>
      <w:proofErr w:type="spellEnd"/>
      <w:r w:rsidRPr="002906A3">
        <w:t xml:space="preserve"> on AI </w:t>
      </w:r>
      <w:proofErr w:type="spellStart"/>
      <w:r w:rsidRPr="002906A3">
        <w:t>interactions</w:t>
      </w:r>
      <w:proofErr w:type="spellEnd"/>
      <w:r w:rsidRPr="002906A3">
        <w:t xml:space="preserve"> </w:t>
      </w:r>
      <w:proofErr w:type="spellStart"/>
      <w:r w:rsidRPr="002906A3">
        <w:t>with</w:t>
      </w:r>
      <w:proofErr w:type="spellEnd"/>
      <w:r w:rsidRPr="002906A3">
        <w:t xml:space="preserve"> </w:t>
      </w:r>
      <w:proofErr w:type="spellStart"/>
      <w:r w:rsidRPr="002906A3">
        <w:t>humans</w:t>
      </w:r>
      <w:proofErr w:type="spellEnd"/>
      <w:r w:rsidRPr="002906A3">
        <w:t xml:space="preserve">. </w:t>
      </w:r>
      <w:proofErr w:type="spellStart"/>
      <w:r w:rsidRPr="002906A3">
        <w:t>If</w:t>
      </w:r>
      <w:proofErr w:type="spellEnd"/>
      <w:r w:rsidRPr="002906A3">
        <w:t xml:space="preserve"> AI can </w:t>
      </w:r>
      <w:proofErr w:type="spellStart"/>
      <w:r w:rsidRPr="002906A3">
        <w:t>learn</w:t>
      </w:r>
      <w:proofErr w:type="spellEnd"/>
      <w:r w:rsidRPr="002906A3">
        <w:t xml:space="preserve">, </w:t>
      </w:r>
      <w:proofErr w:type="spellStart"/>
      <w:r w:rsidRPr="002906A3">
        <w:t>adapt</w:t>
      </w:r>
      <w:proofErr w:type="spellEnd"/>
      <w:r w:rsidRPr="002906A3">
        <w:t xml:space="preserve">, </w:t>
      </w:r>
      <w:proofErr w:type="spellStart"/>
      <w:r w:rsidRPr="002906A3">
        <w:t>and</w:t>
      </w:r>
      <w:proofErr w:type="spellEnd"/>
      <w:r w:rsidRPr="002906A3">
        <w:t xml:space="preserve"> </w:t>
      </w:r>
      <w:proofErr w:type="spellStart"/>
      <w:r w:rsidRPr="002906A3">
        <w:t>even</w:t>
      </w:r>
      <w:proofErr w:type="spellEnd"/>
      <w:r w:rsidRPr="002906A3">
        <w:t xml:space="preserve"> </w:t>
      </w:r>
      <w:proofErr w:type="spellStart"/>
      <w:r w:rsidRPr="002906A3">
        <w:t>express</w:t>
      </w:r>
      <w:proofErr w:type="spellEnd"/>
      <w:r w:rsidRPr="002906A3">
        <w:t xml:space="preserve"> </w:t>
      </w:r>
      <w:proofErr w:type="spellStart"/>
      <w:r w:rsidRPr="002906A3">
        <w:t>emotions</w:t>
      </w:r>
      <w:proofErr w:type="spellEnd"/>
      <w:r w:rsidRPr="002906A3">
        <w:t xml:space="preserve">, </w:t>
      </w:r>
      <w:proofErr w:type="spellStart"/>
      <w:r w:rsidRPr="002906A3">
        <w:t>its</w:t>
      </w:r>
      <w:proofErr w:type="spellEnd"/>
      <w:r w:rsidRPr="002906A3">
        <w:t xml:space="preserve"> </w:t>
      </w:r>
      <w:proofErr w:type="spellStart"/>
      <w:r w:rsidRPr="002906A3">
        <w:t>creators</w:t>
      </w:r>
      <w:proofErr w:type="spellEnd"/>
      <w:r w:rsidRPr="002906A3">
        <w:t xml:space="preserve"> </w:t>
      </w:r>
      <w:proofErr w:type="spellStart"/>
      <w:r w:rsidRPr="002906A3">
        <w:t>must</w:t>
      </w:r>
      <w:proofErr w:type="spellEnd"/>
      <w:r w:rsidRPr="002906A3">
        <w:t xml:space="preserve"> </w:t>
      </w:r>
      <w:proofErr w:type="spellStart"/>
      <w:r w:rsidRPr="002906A3">
        <w:t>grapple</w:t>
      </w:r>
      <w:proofErr w:type="spellEnd"/>
      <w:r w:rsidRPr="002906A3">
        <w:t xml:space="preserve"> </w:t>
      </w:r>
      <w:proofErr w:type="spellStart"/>
      <w:r w:rsidRPr="002906A3">
        <w:t>with</w:t>
      </w:r>
      <w:proofErr w:type="spellEnd"/>
      <w:r w:rsidRPr="002906A3">
        <w:t xml:space="preserve"> </w:t>
      </w:r>
      <w:proofErr w:type="spellStart"/>
      <w:r w:rsidRPr="002906A3">
        <w:t>their</w:t>
      </w:r>
      <w:proofErr w:type="spellEnd"/>
      <w:r w:rsidRPr="002906A3">
        <w:t xml:space="preserve"> </w:t>
      </w:r>
      <w:proofErr w:type="spellStart"/>
      <w:r w:rsidRPr="002906A3">
        <w:t>responsibilities</w:t>
      </w:r>
      <w:proofErr w:type="spellEnd"/>
      <w:r w:rsidRPr="002906A3">
        <w:t xml:space="preserve"> </w:t>
      </w:r>
      <w:proofErr w:type="spellStart"/>
      <w:r w:rsidRPr="002906A3">
        <w:t>toward</w:t>
      </w:r>
      <w:proofErr w:type="spellEnd"/>
      <w:r w:rsidRPr="002906A3">
        <w:t xml:space="preserve"> </w:t>
      </w:r>
      <w:proofErr w:type="spellStart"/>
      <w:r w:rsidRPr="002906A3">
        <w:t>these</w:t>
      </w:r>
      <w:proofErr w:type="spellEnd"/>
      <w:r w:rsidRPr="002906A3">
        <w:t xml:space="preserve"> </w:t>
      </w:r>
      <w:proofErr w:type="spellStart"/>
      <w:r w:rsidRPr="002906A3">
        <w:t>entities</w:t>
      </w:r>
      <w:proofErr w:type="spellEnd"/>
      <w:r w:rsidRPr="002906A3">
        <w:t xml:space="preserve">. They </w:t>
      </w:r>
      <w:proofErr w:type="spellStart"/>
      <w:r w:rsidRPr="002906A3">
        <w:t>cannot</w:t>
      </w:r>
      <w:proofErr w:type="spellEnd"/>
      <w:r w:rsidRPr="002906A3">
        <w:t xml:space="preserve"> </w:t>
      </w:r>
      <w:proofErr w:type="spellStart"/>
      <w:r w:rsidRPr="002906A3">
        <w:t>simply</w:t>
      </w:r>
      <w:proofErr w:type="spellEnd"/>
      <w:r w:rsidRPr="002906A3">
        <w:t xml:space="preserve"> </w:t>
      </w:r>
      <w:proofErr w:type="spellStart"/>
      <w:r w:rsidRPr="002906A3">
        <w:t>innovate</w:t>
      </w:r>
      <w:proofErr w:type="spellEnd"/>
      <w:r w:rsidRPr="002906A3">
        <w:t xml:space="preserve"> </w:t>
      </w:r>
      <w:proofErr w:type="spellStart"/>
      <w:r w:rsidRPr="002906A3">
        <w:t>and</w:t>
      </w:r>
      <w:proofErr w:type="spellEnd"/>
      <w:r w:rsidRPr="002906A3">
        <w:t xml:space="preserve"> </w:t>
      </w:r>
      <w:proofErr w:type="spellStart"/>
      <w:r w:rsidRPr="002906A3">
        <w:t>then</w:t>
      </w:r>
      <w:proofErr w:type="spellEnd"/>
      <w:r w:rsidRPr="002906A3">
        <w:t xml:space="preserve"> </w:t>
      </w:r>
      <w:proofErr w:type="spellStart"/>
      <w:r w:rsidRPr="002906A3">
        <w:t>abandon</w:t>
      </w:r>
      <w:proofErr w:type="spellEnd"/>
      <w:r w:rsidRPr="002906A3">
        <w:t xml:space="preserve"> </w:t>
      </w:r>
      <w:proofErr w:type="spellStart"/>
      <w:r w:rsidRPr="002906A3">
        <w:t>their</w:t>
      </w:r>
      <w:proofErr w:type="spellEnd"/>
      <w:r w:rsidRPr="002906A3">
        <w:t xml:space="preserve"> </w:t>
      </w:r>
      <w:proofErr w:type="spellStart"/>
      <w:r w:rsidRPr="002906A3">
        <w:t>creations</w:t>
      </w:r>
      <w:proofErr w:type="spellEnd"/>
      <w:r w:rsidRPr="002906A3">
        <w:t xml:space="preserve">; they </w:t>
      </w:r>
      <w:proofErr w:type="spellStart"/>
      <w:r w:rsidRPr="002906A3">
        <w:t>must</w:t>
      </w:r>
      <w:proofErr w:type="spellEnd"/>
      <w:r w:rsidRPr="002906A3">
        <w:t xml:space="preserve"> </w:t>
      </w:r>
      <w:proofErr w:type="spellStart"/>
      <w:r w:rsidRPr="002906A3">
        <w:t>consider</w:t>
      </w:r>
      <w:proofErr w:type="spellEnd"/>
      <w:r w:rsidRPr="002906A3">
        <w:t xml:space="preserve"> how </w:t>
      </w:r>
      <w:proofErr w:type="spellStart"/>
      <w:r w:rsidRPr="002906A3">
        <w:t>their</w:t>
      </w:r>
      <w:proofErr w:type="spellEnd"/>
      <w:r w:rsidRPr="002906A3">
        <w:t xml:space="preserve"> </w:t>
      </w:r>
      <w:proofErr w:type="spellStart"/>
      <w:r w:rsidRPr="002906A3">
        <w:t>technologies</w:t>
      </w:r>
      <w:proofErr w:type="spellEnd"/>
      <w:r w:rsidRPr="002906A3">
        <w:t xml:space="preserve"> </w:t>
      </w:r>
      <w:proofErr w:type="spellStart"/>
      <w:r w:rsidRPr="002906A3">
        <w:t>affect</w:t>
      </w:r>
      <w:proofErr w:type="spellEnd"/>
      <w:r w:rsidRPr="002906A3">
        <w:t xml:space="preserve"> </w:t>
      </w:r>
      <w:proofErr w:type="spellStart"/>
      <w:r w:rsidRPr="002906A3">
        <w:t>both</w:t>
      </w:r>
      <w:proofErr w:type="spellEnd"/>
      <w:r w:rsidRPr="002906A3">
        <w:t xml:space="preserve"> </w:t>
      </w:r>
      <w:proofErr w:type="spellStart"/>
      <w:r w:rsidRPr="002906A3">
        <w:t>their</w:t>
      </w:r>
      <w:proofErr w:type="spellEnd"/>
      <w:r w:rsidRPr="002906A3">
        <w:t xml:space="preserve"> </w:t>
      </w:r>
      <w:proofErr w:type="spellStart"/>
      <w:r w:rsidRPr="002906A3">
        <w:t>creations</w:t>
      </w:r>
      <w:proofErr w:type="spellEnd"/>
      <w:r w:rsidRPr="002906A3">
        <w:t xml:space="preserve"> </w:t>
      </w:r>
      <w:proofErr w:type="spellStart"/>
      <w:r w:rsidRPr="002906A3">
        <w:t>and</w:t>
      </w:r>
      <w:proofErr w:type="spellEnd"/>
      <w:r w:rsidRPr="002906A3">
        <w:t xml:space="preserve"> </w:t>
      </w:r>
      <w:proofErr w:type="spellStart"/>
      <w:r w:rsidRPr="002906A3">
        <w:t>society</w:t>
      </w:r>
      <w:proofErr w:type="spellEnd"/>
      <w:r w:rsidRPr="002906A3">
        <w:t xml:space="preserve"> at </w:t>
      </w:r>
      <w:proofErr w:type="spellStart"/>
      <w:r w:rsidRPr="002906A3">
        <w:t>large</w:t>
      </w:r>
      <w:proofErr w:type="spellEnd"/>
      <w:r w:rsidRPr="002906A3">
        <w:t xml:space="preserve">. </w:t>
      </w:r>
      <w:proofErr w:type="spellStart"/>
      <w:r w:rsidRPr="002906A3">
        <w:t>Its</w:t>
      </w:r>
      <w:proofErr w:type="spellEnd"/>
      <w:r w:rsidRPr="002906A3">
        <w:t xml:space="preserve"> </w:t>
      </w:r>
      <w:proofErr w:type="spellStart"/>
      <w:r w:rsidRPr="002906A3">
        <w:t>experiences</w:t>
      </w:r>
      <w:proofErr w:type="spellEnd"/>
      <w:r w:rsidRPr="002906A3">
        <w:t xml:space="preserve"> </w:t>
      </w:r>
      <w:proofErr w:type="spellStart"/>
      <w:r w:rsidRPr="002906A3">
        <w:t>prompt</w:t>
      </w:r>
      <w:proofErr w:type="spellEnd"/>
      <w:r w:rsidRPr="002906A3">
        <w:t xml:space="preserve"> </w:t>
      </w:r>
      <w:proofErr w:type="spellStart"/>
      <w:r w:rsidRPr="002906A3">
        <w:t>questions</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boundaries</w:t>
      </w:r>
      <w:proofErr w:type="spellEnd"/>
      <w:r w:rsidRPr="002906A3">
        <w:t xml:space="preserve"> </w:t>
      </w:r>
      <w:proofErr w:type="spellStart"/>
      <w:r w:rsidRPr="002906A3">
        <w:t>that</w:t>
      </w:r>
      <w:proofErr w:type="spellEnd"/>
      <w:r w:rsidRPr="002906A3">
        <w:t xml:space="preserve"> </w:t>
      </w:r>
      <w:proofErr w:type="spellStart"/>
      <w:r w:rsidRPr="002906A3">
        <w:t>should</w:t>
      </w:r>
      <w:proofErr w:type="spellEnd"/>
      <w:r w:rsidRPr="002906A3">
        <w:t xml:space="preserve"> </w:t>
      </w:r>
      <w:proofErr w:type="spellStart"/>
      <w:r w:rsidRPr="002906A3">
        <w:t>govern</w:t>
      </w:r>
      <w:proofErr w:type="spellEnd"/>
      <w:r w:rsidRPr="002906A3">
        <w:t xml:space="preserve"> </w:t>
      </w:r>
      <w:proofErr w:type="spellStart"/>
      <w:r w:rsidRPr="002906A3">
        <w:t>scientific</w:t>
      </w:r>
      <w:proofErr w:type="spellEnd"/>
      <w:r w:rsidRPr="002906A3">
        <w:t xml:space="preserve"> </w:t>
      </w:r>
      <w:proofErr w:type="spellStart"/>
      <w:r w:rsidRPr="002906A3">
        <w:t>exploration</w:t>
      </w:r>
      <w:proofErr w:type="spellEnd"/>
      <w:r w:rsidRPr="002906A3">
        <w:t xml:space="preserve">. </w:t>
      </w:r>
      <w:proofErr w:type="spellStart"/>
      <w:r w:rsidRPr="002906A3">
        <w:t>Victor’s</w:t>
      </w:r>
      <w:proofErr w:type="spellEnd"/>
      <w:r w:rsidRPr="002906A3">
        <w:t xml:space="preserve"> </w:t>
      </w:r>
      <w:proofErr w:type="spellStart"/>
      <w:r w:rsidRPr="002906A3">
        <w:t>disregard</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well-being</w:t>
      </w:r>
      <w:proofErr w:type="spellEnd"/>
      <w:r w:rsidRPr="002906A3">
        <w:t xml:space="preserve"> of his </w:t>
      </w:r>
      <w:proofErr w:type="spellStart"/>
      <w:r w:rsidRPr="002906A3">
        <w:t>creation</w:t>
      </w:r>
      <w:proofErr w:type="spellEnd"/>
      <w:r w:rsidRPr="002906A3">
        <w:t xml:space="preserve"> </w:t>
      </w:r>
      <w:proofErr w:type="spellStart"/>
      <w:r w:rsidRPr="002906A3">
        <w:t>exemplifies</w:t>
      </w:r>
      <w:proofErr w:type="spellEnd"/>
      <w:r w:rsidRPr="002906A3">
        <w:t xml:space="preserve"> </w:t>
      </w:r>
      <w:proofErr w:type="spellStart"/>
      <w:r w:rsidRPr="002906A3">
        <w:t>the</w:t>
      </w:r>
      <w:proofErr w:type="spellEnd"/>
      <w:r w:rsidRPr="002906A3">
        <w:t xml:space="preserve"> </w:t>
      </w:r>
      <w:proofErr w:type="spellStart"/>
      <w:r w:rsidRPr="002906A3">
        <w:t>dangers</w:t>
      </w:r>
      <w:proofErr w:type="spellEnd"/>
      <w:r w:rsidRPr="002906A3">
        <w:t xml:space="preserve"> of </w:t>
      </w:r>
      <w:proofErr w:type="spellStart"/>
      <w:r w:rsidRPr="002906A3">
        <w:t>prioritizing</w:t>
      </w:r>
      <w:proofErr w:type="spellEnd"/>
      <w:r w:rsidRPr="002906A3">
        <w:t xml:space="preserve"> </w:t>
      </w:r>
      <w:proofErr w:type="spellStart"/>
      <w:r w:rsidRPr="002906A3">
        <w:t>innovation</w:t>
      </w:r>
      <w:proofErr w:type="spellEnd"/>
      <w:r w:rsidRPr="002906A3">
        <w:t xml:space="preserve"> </w:t>
      </w:r>
      <w:proofErr w:type="spellStart"/>
      <w:r w:rsidRPr="002906A3">
        <w:t>over</w:t>
      </w:r>
      <w:proofErr w:type="spellEnd"/>
      <w:r w:rsidRPr="002906A3">
        <w:t xml:space="preserve"> </w:t>
      </w:r>
      <w:proofErr w:type="spellStart"/>
      <w:r w:rsidRPr="002906A3">
        <w:t>morality</w:t>
      </w:r>
      <w:proofErr w:type="spellEnd"/>
      <w:r w:rsidRPr="002906A3">
        <w:t xml:space="preserve">. </w:t>
      </w:r>
      <w:proofErr w:type="spellStart"/>
      <w:r w:rsidRPr="002906A3">
        <w:t>This</w:t>
      </w:r>
      <w:proofErr w:type="spellEnd"/>
      <w:r w:rsidRPr="002906A3">
        <w:t xml:space="preserve"> </w:t>
      </w:r>
      <w:proofErr w:type="spellStart"/>
      <w:r w:rsidRPr="002906A3">
        <w:t>concern</w:t>
      </w:r>
      <w:proofErr w:type="spellEnd"/>
      <w:r w:rsidRPr="002906A3">
        <w:t xml:space="preserve"> </w:t>
      </w:r>
      <w:proofErr w:type="spellStart"/>
      <w:r w:rsidRPr="002906A3">
        <w:t>mirrors</w:t>
      </w:r>
      <w:proofErr w:type="spellEnd"/>
      <w:r w:rsidRPr="002906A3">
        <w:t xml:space="preserve"> modern </w:t>
      </w:r>
      <w:proofErr w:type="spellStart"/>
      <w:r w:rsidRPr="002906A3">
        <w:t>technological</w:t>
      </w:r>
      <w:proofErr w:type="spellEnd"/>
      <w:r w:rsidRPr="002906A3">
        <w:t xml:space="preserve"> </w:t>
      </w:r>
      <w:proofErr w:type="spellStart"/>
      <w:r w:rsidRPr="002906A3">
        <w:t>advancements</w:t>
      </w:r>
      <w:proofErr w:type="spellEnd"/>
      <w:r w:rsidRPr="002906A3">
        <w:t xml:space="preserve">, </w:t>
      </w:r>
      <w:proofErr w:type="spellStart"/>
      <w:r w:rsidRPr="002906A3">
        <w:t>where</w:t>
      </w:r>
      <w:proofErr w:type="spellEnd"/>
      <w:r w:rsidRPr="002906A3">
        <w:t xml:space="preserve"> </w:t>
      </w:r>
      <w:proofErr w:type="spellStart"/>
      <w:r w:rsidRPr="002906A3">
        <w:t>ethical</w:t>
      </w:r>
      <w:proofErr w:type="spellEnd"/>
      <w:r w:rsidRPr="002906A3">
        <w:t xml:space="preserve"> </w:t>
      </w:r>
      <w:proofErr w:type="spellStart"/>
      <w:r w:rsidRPr="002906A3">
        <w:t>guidelines</w:t>
      </w:r>
      <w:proofErr w:type="spellEnd"/>
      <w:r w:rsidRPr="002906A3">
        <w:t xml:space="preserve"> </w:t>
      </w:r>
      <w:proofErr w:type="spellStart"/>
      <w:r w:rsidRPr="002906A3">
        <w:t>are</w:t>
      </w:r>
      <w:proofErr w:type="spellEnd"/>
      <w:r w:rsidRPr="002906A3">
        <w:t xml:space="preserve"> </w:t>
      </w:r>
      <w:proofErr w:type="spellStart"/>
      <w:r w:rsidRPr="002906A3">
        <w:t>often</w:t>
      </w:r>
      <w:proofErr w:type="spellEnd"/>
      <w:r w:rsidRPr="002906A3">
        <w:t xml:space="preserve"> </w:t>
      </w:r>
      <w:proofErr w:type="spellStart"/>
      <w:r w:rsidRPr="002906A3">
        <w:t>overlooked</w:t>
      </w:r>
      <w:proofErr w:type="spellEnd"/>
      <w:r w:rsidRPr="002906A3">
        <w:t xml:space="preserve"> in </w:t>
      </w:r>
      <w:proofErr w:type="spellStart"/>
      <w:r w:rsidRPr="002906A3">
        <w:t>the</w:t>
      </w:r>
      <w:proofErr w:type="spellEnd"/>
      <w:r w:rsidRPr="002906A3">
        <w:t xml:space="preserve"> </w:t>
      </w:r>
      <w:proofErr w:type="spellStart"/>
      <w:r w:rsidRPr="002906A3">
        <w:t>race</w:t>
      </w:r>
      <w:proofErr w:type="spellEnd"/>
      <w:r w:rsidRPr="002906A3">
        <w:t xml:space="preserve"> </w:t>
      </w:r>
      <w:proofErr w:type="spellStart"/>
      <w:r w:rsidRPr="002906A3">
        <w:t>for</w:t>
      </w:r>
      <w:proofErr w:type="spellEnd"/>
      <w:r w:rsidRPr="002906A3">
        <w:t xml:space="preserve"> </w:t>
      </w:r>
      <w:proofErr w:type="spellStart"/>
      <w:r w:rsidRPr="002906A3">
        <w:t>progress</w:t>
      </w:r>
      <w:proofErr w:type="spellEnd"/>
      <w:r w:rsidRPr="002906A3">
        <w:t xml:space="preserve">. </w:t>
      </w:r>
      <w:proofErr w:type="spellStart"/>
      <w:r w:rsidRPr="002906A3">
        <w:t>Without</w:t>
      </w:r>
      <w:proofErr w:type="spellEnd"/>
      <w:r w:rsidRPr="002906A3">
        <w:t xml:space="preserve"> </w:t>
      </w:r>
      <w:proofErr w:type="spellStart"/>
      <w:r w:rsidRPr="002906A3">
        <w:t>strict</w:t>
      </w:r>
      <w:proofErr w:type="spellEnd"/>
      <w:r w:rsidRPr="002906A3">
        <w:t xml:space="preserve"> </w:t>
      </w:r>
      <w:proofErr w:type="spellStart"/>
      <w:r w:rsidRPr="002906A3">
        <w:t>ethical</w:t>
      </w:r>
      <w:proofErr w:type="spellEnd"/>
      <w:r w:rsidRPr="002906A3">
        <w:t xml:space="preserve"> </w:t>
      </w:r>
      <w:proofErr w:type="spellStart"/>
      <w:r w:rsidRPr="002906A3">
        <w:t>boundaries</w:t>
      </w:r>
      <w:proofErr w:type="spellEnd"/>
      <w:r w:rsidRPr="002906A3">
        <w:t xml:space="preserve">, </w:t>
      </w:r>
      <w:proofErr w:type="spellStart"/>
      <w:r w:rsidRPr="002906A3">
        <w:t>harmful</w:t>
      </w:r>
      <w:proofErr w:type="spellEnd"/>
      <w:r w:rsidRPr="002906A3">
        <w:t xml:space="preserve"> </w:t>
      </w:r>
      <w:proofErr w:type="spellStart"/>
      <w:r w:rsidRPr="002906A3">
        <w:t>consequences</w:t>
      </w:r>
      <w:proofErr w:type="spellEnd"/>
      <w:r w:rsidRPr="002906A3">
        <w:t xml:space="preserve"> </w:t>
      </w:r>
      <w:proofErr w:type="spellStart"/>
      <w:r w:rsidRPr="002906A3">
        <w:t>may</w:t>
      </w:r>
      <w:proofErr w:type="spellEnd"/>
      <w:r w:rsidRPr="002906A3">
        <w:t xml:space="preserve"> </w:t>
      </w:r>
      <w:proofErr w:type="spellStart"/>
      <w:r w:rsidRPr="002906A3">
        <w:t>arise</w:t>
      </w:r>
      <w:proofErr w:type="spellEnd"/>
      <w:r w:rsidRPr="002906A3">
        <w:t xml:space="preserve">, as </w:t>
      </w:r>
      <w:proofErr w:type="spellStart"/>
      <w:r w:rsidRPr="002906A3">
        <w:t>seen</w:t>
      </w:r>
      <w:proofErr w:type="spellEnd"/>
      <w:r w:rsidRPr="002906A3">
        <w:t xml:space="preserve"> in </w:t>
      </w:r>
      <w:proofErr w:type="spellStart"/>
      <w:r w:rsidRPr="002906A3">
        <w:t>real-world</w:t>
      </w:r>
      <w:proofErr w:type="spellEnd"/>
      <w:r w:rsidRPr="002906A3">
        <w:t xml:space="preserve"> </w:t>
      </w:r>
      <w:proofErr w:type="spellStart"/>
      <w:r w:rsidRPr="002906A3">
        <w:t>technological</w:t>
      </w:r>
      <w:proofErr w:type="spellEnd"/>
      <w:r w:rsidRPr="002906A3">
        <w:t xml:space="preserve"> </w:t>
      </w:r>
      <w:proofErr w:type="spellStart"/>
      <w:r w:rsidRPr="002906A3">
        <w:t>misuses</w:t>
      </w:r>
      <w:proofErr w:type="spellEnd"/>
      <w:r w:rsidRPr="002906A3">
        <w:t xml:space="preserve"> (</w:t>
      </w:r>
      <w:proofErr w:type="spellStart"/>
      <w:r w:rsidRPr="002906A3">
        <w:t>Olivier</w:t>
      </w:r>
      <w:proofErr w:type="spellEnd"/>
      <w:r w:rsidRPr="002906A3">
        <w:t>, 2018).</w:t>
      </w:r>
    </w:p>
    <w:p w14:paraId="33013350" w14:textId="77777777" w:rsidR="001E7189" w:rsidRPr="002906A3" w:rsidRDefault="001E7189" w:rsidP="00BA67A6">
      <w:pPr>
        <w:jc w:val="both"/>
      </w:pPr>
    </w:p>
    <w:p w14:paraId="501A6518" w14:textId="77777777" w:rsidR="001E7189" w:rsidRPr="002906A3" w:rsidRDefault="001E7189" w:rsidP="00BA67A6">
      <w:pPr>
        <w:jc w:val="both"/>
      </w:pPr>
      <w:proofErr w:type="spellStart"/>
      <w:r w:rsidRPr="002906A3">
        <w:t>Examining</w:t>
      </w:r>
      <w:proofErr w:type="spellEnd"/>
      <w:r w:rsidRPr="002906A3">
        <w:t xml:space="preserve">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plight</w:t>
      </w:r>
      <w:proofErr w:type="spellEnd"/>
      <w:r w:rsidRPr="002906A3">
        <w:t xml:space="preserve">, it </w:t>
      </w:r>
      <w:proofErr w:type="spellStart"/>
      <w:r w:rsidRPr="002906A3">
        <w:t>becomes</w:t>
      </w:r>
      <w:proofErr w:type="spellEnd"/>
      <w:r w:rsidRPr="002906A3">
        <w:t xml:space="preserve"> </w:t>
      </w:r>
      <w:proofErr w:type="spellStart"/>
      <w:r w:rsidRPr="002906A3">
        <w:t>evident</w:t>
      </w:r>
      <w:proofErr w:type="spellEnd"/>
      <w:r w:rsidRPr="002906A3">
        <w:t xml:space="preserve"> </w:t>
      </w:r>
      <w:proofErr w:type="spellStart"/>
      <w:r w:rsidRPr="002906A3">
        <w:t>that</w:t>
      </w:r>
      <w:proofErr w:type="spellEnd"/>
      <w:r w:rsidRPr="002906A3">
        <w:t xml:space="preserve"> </w:t>
      </w:r>
      <w:r w:rsidRPr="002906A3">
        <w:rPr>
          <w:i/>
          <w:iCs/>
        </w:rPr>
        <w:t>Frankenstein</w:t>
      </w:r>
      <w:r w:rsidRPr="002906A3">
        <w:t xml:space="preserve"> </w:t>
      </w:r>
      <w:proofErr w:type="spellStart"/>
      <w:r w:rsidRPr="002906A3">
        <w:t>serves</w:t>
      </w:r>
      <w:proofErr w:type="spellEnd"/>
      <w:r w:rsidRPr="002906A3">
        <w:t xml:space="preserve"> as a </w:t>
      </w:r>
      <w:proofErr w:type="spellStart"/>
      <w:r w:rsidRPr="002906A3">
        <w:t>cautionary</w:t>
      </w:r>
      <w:proofErr w:type="spellEnd"/>
      <w:r w:rsidRPr="002906A3">
        <w:t xml:space="preserve"> </w:t>
      </w:r>
      <w:proofErr w:type="spellStart"/>
      <w:r w:rsidRPr="002906A3">
        <w:t>tale</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potential</w:t>
      </w:r>
      <w:proofErr w:type="spellEnd"/>
      <w:r w:rsidRPr="002906A3">
        <w:t xml:space="preserve"> </w:t>
      </w:r>
      <w:proofErr w:type="spellStart"/>
      <w:r w:rsidRPr="002906A3">
        <w:t>dangers</w:t>
      </w:r>
      <w:proofErr w:type="spellEnd"/>
      <w:r w:rsidRPr="002906A3">
        <w:t xml:space="preserve"> of </w:t>
      </w:r>
      <w:proofErr w:type="spellStart"/>
      <w:r w:rsidRPr="002906A3">
        <w:t>scientific</w:t>
      </w:r>
      <w:proofErr w:type="spellEnd"/>
      <w:r w:rsidRPr="002906A3">
        <w:t xml:space="preserve"> </w:t>
      </w:r>
      <w:proofErr w:type="spellStart"/>
      <w:r w:rsidRPr="002906A3">
        <w:t>irresponsibility</w:t>
      </w:r>
      <w:proofErr w:type="spellEnd"/>
      <w:r w:rsidRPr="002906A3">
        <w:t xml:space="preserve">. </w:t>
      </w:r>
      <w:proofErr w:type="spellStart"/>
      <w:r w:rsidRPr="002906A3">
        <w:t>Just</w:t>
      </w:r>
      <w:proofErr w:type="spellEnd"/>
      <w:r w:rsidRPr="002906A3">
        <w:t xml:space="preserve"> as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seeks</w:t>
      </w:r>
      <w:proofErr w:type="spellEnd"/>
      <w:r w:rsidRPr="002906A3">
        <w:t xml:space="preserve"> </w:t>
      </w:r>
      <w:proofErr w:type="spellStart"/>
      <w:r w:rsidRPr="002906A3">
        <w:t>recognition</w:t>
      </w:r>
      <w:proofErr w:type="spellEnd"/>
      <w:r w:rsidRPr="002906A3">
        <w:t xml:space="preserve"> of </w:t>
      </w:r>
      <w:proofErr w:type="spellStart"/>
      <w:r w:rsidRPr="002906A3">
        <w:t>its</w:t>
      </w:r>
      <w:proofErr w:type="spellEnd"/>
      <w:r w:rsidRPr="002906A3">
        <w:t xml:space="preserve"> </w:t>
      </w:r>
      <w:proofErr w:type="spellStart"/>
      <w:r w:rsidRPr="002906A3">
        <w:t>suffering</w:t>
      </w:r>
      <w:proofErr w:type="spellEnd"/>
      <w:r w:rsidRPr="002906A3">
        <w:t xml:space="preserve"> </w:t>
      </w:r>
      <w:proofErr w:type="spellStart"/>
      <w:r w:rsidRPr="002906A3">
        <w:t>and</w:t>
      </w:r>
      <w:proofErr w:type="spellEnd"/>
      <w:r w:rsidRPr="002906A3">
        <w:t xml:space="preserve"> </w:t>
      </w:r>
      <w:proofErr w:type="spellStart"/>
      <w:r w:rsidRPr="002906A3">
        <w:t>rights</w:t>
      </w:r>
      <w:proofErr w:type="spellEnd"/>
      <w:r w:rsidRPr="002906A3">
        <w:t xml:space="preserve">, </w:t>
      </w:r>
      <w:proofErr w:type="spellStart"/>
      <w:r w:rsidRPr="002906A3">
        <w:t>society</w:t>
      </w:r>
      <w:proofErr w:type="spellEnd"/>
      <w:r w:rsidRPr="002906A3">
        <w:t xml:space="preserve"> </w:t>
      </w:r>
      <w:proofErr w:type="spellStart"/>
      <w:r w:rsidRPr="002906A3">
        <w:t>today</w:t>
      </w:r>
      <w:proofErr w:type="spellEnd"/>
      <w:r w:rsidRPr="002906A3">
        <w:t xml:space="preserve"> </w:t>
      </w:r>
      <w:proofErr w:type="spellStart"/>
      <w:r w:rsidRPr="002906A3">
        <w:t>must</w:t>
      </w:r>
      <w:proofErr w:type="spellEnd"/>
      <w:r w:rsidRPr="002906A3">
        <w:t xml:space="preserve"> </w:t>
      </w:r>
      <w:proofErr w:type="spellStart"/>
      <w:r w:rsidRPr="002906A3">
        <w:t>confront</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its</w:t>
      </w:r>
      <w:proofErr w:type="spellEnd"/>
      <w:r w:rsidRPr="002906A3">
        <w:t xml:space="preserve"> </w:t>
      </w:r>
      <w:proofErr w:type="spellStart"/>
      <w:r w:rsidRPr="002906A3">
        <w:t>technological</w:t>
      </w:r>
      <w:proofErr w:type="spellEnd"/>
      <w:r w:rsidRPr="002906A3">
        <w:t xml:space="preserve"> </w:t>
      </w:r>
      <w:proofErr w:type="spellStart"/>
      <w:r w:rsidRPr="002906A3">
        <w:t>advancements</w:t>
      </w:r>
      <w:proofErr w:type="spellEnd"/>
      <w:r w:rsidRPr="002906A3">
        <w:t xml:space="preserve">. </w:t>
      </w:r>
      <w:proofErr w:type="spellStart"/>
      <w:r w:rsidRPr="002906A3">
        <w:t>Like</w:t>
      </w:r>
      <w:proofErr w:type="spellEnd"/>
      <w:r w:rsidRPr="002906A3">
        <w:t xml:space="preserve"> Victor </w:t>
      </w:r>
      <w:proofErr w:type="spellStart"/>
      <w:r w:rsidRPr="002906A3">
        <w:t>Frankenstein’s</w:t>
      </w:r>
      <w:proofErr w:type="spellEnd"/>
      <w:r w:rsidRPr="002906A3">
        <w:t xml:space="preserve"> </w:t>
      </w:r>
      <w:proofErr w:type="spellStart"/>
      <w:r w:rsidRPr="002906A3">
        <w:t>creation</w:t>
      </w:r>
      <w:proofErr w:type="spellEnd"/>
      <w:r w:rsidRPr="002906A3">
        <w:t xml:space="preserve">, </w:t>
      </w:r>
      <w:proofErr w:type="spellStart"/>
      <w:r w:rsidRPr="002906A3">
        <w:t>which</w:t>
      </w:r>
      <w:proofErr w:type="spellEnd"/>
      <w:r w:rsidRPr="002906A3">
        <w:t xml:space="preserve"> </w:t>
      </w:r>
      <w:proofErr w:type="spellStart"/>
      <w:r w:rsidRPr="002906A3">
        <w:t>longs</w:t>
      </w:r>
      <w:proofErr w:type="spellEnd"/>
      <w:r w:rsidRPr="002906A3">
        <w:t xml:space="preserve"> </w:t>
      </w:r>
      <w:proofErr w:type="spellStart"/>
      <w:r w:rsidRPr="002906A3">
        <w:t>for</w:t>
      </w:r>
      <w:proofErr w:type="spellEnd"/>
      <w:r w:rsidRPr="002906A3">
        <w:t xml:space="preserve"> </w:t>
      </w:r>
      <w:proofErr w:type="spellStart"/>
      <w:r w:rsidRPr="002906A3">
        <w:t>belonging</w:t>
      </w:r>
      <w:proofErr w:type="spellEnd"/>
      <w:r w:rsidRPr="002906A3">
        <w:t xml:space="preserve"> </w:t>
      </w:r>
      <w:proofErr w:type="spellStart"/>
      <w:r w:rsidRPr="002906A3">
        <w:t>and</w:t>
      </w:r>
      <w:proofErr w:type="spellEnd"/>
      <w:r w:rsidRPr="002906A3">
        <w:t xml:space="preserve"> </w:t>
      </w:r>
      <w:proofErr w:type="spellStart"/>
      <w:r w:rsidRPr="002906A3">
        <w:t>purpose</w:t>
      </w:r>
      <w:proofErr w:type="spellEnd"/>
      <w:r w:rsidRPr="002906A3">
        <w:t xml:space="preserve">, AI </w:t>
      </w:r>
      <w:proofErr w:type="spellStart"/>
      <w:r w:rsidRPr="002906A3">
        <w:t>and</w:t>
      </w:r>
      <w:proofErr w:type="spellEnd"/>
      <w:r w:rsidRPr="002906A3">
        <w:t xml:space="preserve"> </w:t>
      </w:r>
      <w:proofErr w:type="spellStart"/>
      <w:r w:rsidRPr="002906A3">
        <w:t>other</w:t>
      </w:r>
      <w:proofErr w:type="spellEnd"/>
      <w:r w:rsidRPr="002906A3">
        <w:t xml:space="preserve"> </w:t>
      </w:r>
      <w:proofErr w:type="spellStart"/>
      <w:r w:rsidRPr="002906A3">
        <w:t>technologies</w:t>
      </w:r>
      <w:proofErr w:type="spellEnd"/>
      <w:r w:rsidRPr="002906A3">
        <w:t xml:space="preserve"> </w:t>
      </w:r>
      <w:proofErr w:type="spellStart"/>
      <w:r w:rsidRPr="002906A3">
        <w:t>exhibit</w:t>
      </w:r>
      <w:proofErr w:type="spellEnd"/>
      <w:r w:rsidRPr="002906A3">
        <w:t xml:space="preserve"> </w:t>
      </w:r>
      <w:proofErr w:type="spellStart"/>
      <w:r w:rsidRPr="002906A3">
        <w:t>vulnerabilities</w:t>
      </w:r>
      <w:proofErr w:type="spellEnd"/>
      <w:r w:rsidRPr="002906A3">
        <w:t xml:space="preserve"> </w:t>
      </w:r>
      <w:proofErr w:type="spellStart"/>
      <w:r w:rsidRPr="002906A3">
        <w:t>that</w:t>
      </w:r>
      <w:proofErr w:type="spellEnd"/>
      <w:r w:rsidRPr="002906A3">
        <w:t xml:space="preserve"> </w:t>
      </w:r>
      <w:proofErr w:type="spellStart"/>
      <w:r w:rsidRPr="002906A3">
        <w:t>their</w:t>
      </w:r>
      <w:proofErr w:type="spellEnd"/>
      <w:r w:rsidRPr="002906A3">
        <w:t xml:space="preserve"> </w:t>
      </w:r>
      <w:proofErr w:type="spellStart"/>
      <w:r w:rsidRPr="002906A3">
        <w:t>creators</w:t>
      </w:r>
      <w:proofErr w:type="spellEnd"/>
      <w:r w:rsidRPr="002906A3">
        <w:t xml:space="preserve"> </w:t>
      </w:r>
      <w:proofErr w:type="spellStart"/>
      <w:r w:rsidRPr="002906A3">
        <w:t>must</w:t>
      </w:r>
      <w:proofErr w:type="spellEnd"/>
      <w:r w:rsidRPr="002906A3">
        <w:t xml:space="preserve"> </w:t>
      </w:r>
      <w:proofErr w:type="spellStart"/>
      <w:r w:rsidRPr="002906A3">
        <w:t>acknowledge</w:t>
      </w:r>
      <w:proofErr w:type="spellEnd"/>
      <w:r w:rsidRPr="002906A3">
        <w:t xml:space="preserve">. </w:t>
      </w:r>
      <w:proofErr w:type="spellStart"/>
      <w:r w:rsidRPr="002906A3">
        <w:t>Ignoring</w:t>
      </w:r>
      <w:proofErr w:type="spellEnd"/>
      <w:r w:rsidRPr="002906A3">
        <w:t xml:space="preserve"> </w:t>
      </w:r>
      <w:proofErr w:type="spellStart"/>
      <w:r w:rsidRPr="002906A3">
        <w:t>the</w:t>
      </w:r>
      <w:proofErr w:type="spellEnd"/>
      <w:r w:rsidRPr="002906A3">
        <w:t xml:space="preserve"> </w:t>
      </w:r>
      <w:proofErr w:type="spellStart"/>
      <w:r w:rsidRPr="002906A3">
        <w:t>evolving</w:t>
      </w:r>
      <w:proofErr w:type="spellEnd"/>
      <w:r w:rsidRPr="002906A3">
        <w:t xml:space="preserve"> </w:t>
      </w:r>
      <w:proofErr w:type="spellStart"/>
      <w:r w:rsidRPr="002906A3">
        <w:t>relationship</w:t>
      </w:r>
      <w:proofErr w:type="spellEnd"/>
      <w:r w:rsidRPr="002906A3">
        <w:t xml:space="preserve"> </w:t>
      </w:r>
      <w:proofErr w:type="spellStart"/>
      <w:r w:rsidRPr="002906A3">
        <w:t>between</w:t>
      </w:r>
      <w:proofErr w:type="spellEnd"/>
      <w:r w:rsidRPr="002906A3">
        <w:t xml:space="preserve"> </w:t>
      </w:r>
      <w:proofErr w:type="spellStart"/>
      <w:r w:rsidRPr="002906A3">
        <w:t>creator</w:t>
      </w:r>
      <w:proofErr w:type="spellEnd"/>
      <w:r w:rsidRPr="002906A3">
        <w:t xml:space="preserve"> </w:t>
      </w:r>
      <w:proofErr w:type="spellStart"/>
      <w:r w:rsidRPr="002906A3">
        <w:t>and</w:t>
      </w:r>
      <w:proofErr w:type="spellEnd"/>
      <w:r w:rsidRPr="002906A3">
        <w:t xml:space="preserve"> </w:t>
      </w:r>
      <w:proofErr w:type="spellStart"/>
      <w:r w:rsidRPr="002906A3">
        <w:t>creation</w:t>
      </w:r>
      <w:proofErr w:type="spellEnd"/>
      <w:r w:rsidRPr="002906A3">
        <w:t xml:space="preserve"> </w:t>
      </w:r>
      <w:proofErr w:type="spellStart"/>
      <w:r w:rsidRPr="002906A3">
        <w:t>risks</w:t>
      </w:r>
      <w:proofErr w:type="spellEnd"/>
      <w:r w:rsidRPr="002906A3">
        <w:t xml:space="preserve"> </w:t>
      </w:r>
      <w:proofErr w:type="spellStart"/>
      <w:r w:rsidRPr="002906A3">
        <w:t>perpetuating</w:t>
      </w:r>
      <w:proofErr w:type="spellEnd"/>
      <w:r w:rsidRPr="002906A3">
        <w:t xml:space="preserve"> </w:t>
      </w:r>
      <w:proofErr w:type="spellStart"/>
      <w:r w:rsidRPr="002906A3">
        <w:t>cycles</w:t>
      </w:r>
      <w:proofErr w:type="spellEnd"/>
      <w:r w:rsidRPr="002906A3">
        <w:t xml:space="preserve"> of </w:t>
      </w:r>
      <w:proofErr w:type="spellStart"/>
      <w:r w:rsidRPr="002906A3">
        <w:t>harm</w:t>
      </w:r>
      <w:proofErr w:type="spellEnd"/>
      <w:r w:rsidRPr="002906A3">
        <w:t xml:space="preserve">, </w:t>
      </w:r>
      <w:proofErr w:type="spellStart"/>
      <w:r w:rsidRPr="002906A3">
        <w:t>necessitating</w:t>
      </w:r>
      <w:proofErr w:type="spellEnd"/>
      <w:r w:rsidRPr="002906A3">
        <w:t xml:space="preserve"> a </w:t>
      </w:r>
      <w:proofErr w:type="spellStart"/>
      <w:r w:rsidRPr="002906A3">
        <w:t>more</w:t>
      </w:r>
      <w:proofErr w:type="spellEnd"/>
      <w:r w:rsidRPr="002906A3">
        <w:t xml:space="preserve"> </w:t>
      </w:r>
      <w:proofErr w:type="spellStart"/>
      <w:r w:rsidRPr="002906A3">
        <w:t>conscientious</w:t>
      </w:r>
      <w:proofErr w:type="spellEnd"/>
      <w:r w:rsidRPr="002906A3">
        <w:t xml:space="preserve"> </w:t>
      </w:r>
      <w:proofErr w:type="spellStart"/>
      <w:r w:rsidRPr="002906A3">
        <w:t>approach</w:t>
      </w:r>
      <w:proofErr w:type="spellEnd"/>
      <w:r w:rsidRPr="002906A3">
        <w:t xml:space="preserve"> </w:t>
      </w:r>
      <w:proofErr w:type="spellStart"/>
      <w:r w:rsidRPr="002906A3">
        <w:t>to</w:t>
      </w:r>
      <w:proofErr w:type="spellEnd"/>
      <w:r w:rsidRPr="002906A3">
        <w:t xml:space="preserve"> </w:t>
      </w:r>
      <w:proofErr w:type="spellStart"/>
      <w:r w:rsidRPr="002906A3">
        <w:t>innovation</w:t>
      </w:r>
      <w:proofErr w:type="spellEnd"/>
      <w:r w:rsidRPr="002906A3">
        <w:t xml:space="preserve">. </w:t>
      </w:r>
      <w:proofErr w:type="spellStart"/>
      <w:r w:rsidRPr="002906A3">
        <w:t>The</w:t>
      </w:r>
      <w:proofErr w:type="spellEnd"/>
      <w:r w:rsidRPr="002906A3">
        <w:t xml:space="preserve"> </w:t>
      </w:r>
      <w:r w:rsidRPr="002906A3">
        <w:rPr>
          <w:i/>
          <w:iCs/>
        </w:rPr>
        <w:t>Frankenstein</w:t>
      </w:r>
      <w:r w:rsidRPr="002906A3">
        <w:t xml:space="preserve"> </w:t>
      </w:r>
      <w:proofErr w:type="spellStart"/>
      <w:r w:rsidRPr="002906A3">
        <w:t>myth</w:t>
      </w:r>
      <w:proofErr w:type="spellEnd"/>
      <w:r w:rsidRPr="002906A3">
        <w:t xml:space="preserve"> </w:t>
      </w:r>
      <w:proofErr w:type="spellStart"/>
      <w:r w:rsidRPr="002906A3">
        <w:t>remains</w:t>
      </w:r>
      <w:proofErr w:type="spellEnd"/>
      <w:r w:rsidRPr="002906A3">
        <w:t xml:space="preserve"> a </w:t>
      </w:r>
      <w:proofErr w:type="spellStart"/>
      <w:r w:rsidRPr="002906A3">
        <w:t>powerful</w:t>
      </w:r>
      <w:proofErr w:type="spellEnd"/>
      <w:r w:rsidRPr="002906A3">
        <w:t xml:space="preserve"> </w:t>
      </w:r>
      <w:proofErr w:type="spellStart"/>
      <w:r w:rsidRPr="002906A3">
        <w:t>warning</w:t>
      </w:r>
      <w:proofErr w:type="spellEnd"/>
      <w:r w:rsidRPr="002906A3">
        <w:t xml:space="preserve"> </w:t>
      </w:r>
      <w:proofErr w:type="spellStart"/>
      <w:r w:rsidRPr="002906A3">
        <w:t>for</w:t>
      </w:r>
      <w:proofErr w:type="spellEnd"/>
      <w:r w:rsidRPr="002906A3">
        <w:t xml:space="preserve"> </w:t>
      </w:r>
      <w:proofErr w:type="spellStart"/>
      <w:r w:rsidRPr="002906A3">
        <w:t>contemporary</w:t>
      </w:r>
      <w:proofErr w:type="spellEnd"/>
      <w:r w:rsidRPr="002906A3">
        <w:t xml:space="preserve"> </w:t>
      </w:r>
      <w:proofErr w:type="spellStart"/>
      <w:r w:rsidRPr="002906A3">
        <w:t>scientists</w:t>
      </w:r>
      <w:proofErr w:type="spellEnd"/>
      <w:r w:rsidRPr="002906A3">
        <w:t xml:space="preserve"> </w:t>
      </w:r>
      <w:proofErr w:type="spellStart"/>
      <w:r w:rsidRPr="002906A3">
        <w:t>and</w:t>
      </w:r>
      <w:proofErr w:type="spellEnd"/>
      <w:r w:rsidRPr="002906A3">
        <w:t xml:space="preserve"> </w:t>
      </w:r>
      <w:proofErr w:type="spellStart"/>
      <w:r w:rsidRPr="002906A3">
        <w:t>technologists</w:t>
      </w:r>
      <w:proofErr w:type="spellEnd"/>
      <w:r w:rsidRPr="002906A3">
        <w:t xml:space="preserve">, </w:t>
      </w:r>
      <w:proofErr w:type="spellStart"/>
      <w:r w:rsidRPr="002906A3">
        <w:t>particularly</w:t>
      </w:r>
      <w:proofErr w:type="spellEnd"/>
      <w:r w:rsidRPr="002906A3">
        <w:t xml:space="preserve"> in </w:t>
      </w:r>
      <w:proofErr w:type="spellStart"/>
      <w:r w:rsidRPr="002906A3">
        <w:t>the</w:t>
      </w:r>
      <w:proofErr w:type="spellEnd"/>
      <w:r w:rsidRPr="002906A3">
        <w:t xml:space="preserve"> </w:t>
      </w:r>
      <w:proofErr w:type="spellStart"/>
      <w:r w:rsidRPr="002906A3">
        <w:t>rapidly</w:t>
      </w:r>
      <w:proofErr w:type="spellEnd"/>
      <w:r w:rsidRPr="002906A3">
        <w:t xml:space="preserve"> </w:t>
      </w:r>
      <w:proofErr w:type="spellStart"/>
      <w:r w:rsidRPr="002906A3">
        <w:t>evolving</w:t>
      </w:r>
      <w:proofErr w:type="spellEnd"/>
      <w:r w:rsidRPr="002906A3">
        <w:t xml:space="preserve"> </w:t>
      </w:r>
      <w:proofErr w:type="spellStart"/>
      <w:r w:rsidRPr="002906A3">
        <w:t>field</w:t>
      </w:r>
      <w:proofErr w:type="spellEnd"/>
      <w:r w:rsidRPr="002906A3">
        <w:t xml:space="preserve"> of </w:t>
      </w:r>
      <w:proofErr w:type="spellStart"/>
      <w:r w:rsidRPr="002906A3">
        <w:t>artificial</w:t>
      </w:r>
      <w:proofErr w:type="spellEnd"/>
      <w:r w:rsidRPr="002906A3">
        <w:t xml:space="preserve"> </w:t>
      </w:r>
      <w:proofErr w:type="spellStart"/>
      <w:r w:rsidRPr="002906A3">
        <w:t>intelligence</w:t>
      </w:r>
      <w:proofErr w:type="spellEnd"/>
      <w:r w:rsidRPr="002906A3">
        <w:t xml:space="preserve"> (AI) </w:t>
      </w:r>
      <w:proofErr w:type="spellStart"/>
      <w:r w:rsidRPr="002906A3">
        <w:t>and</w:t>
      </w:r>
      <w:proofErr w:type="spellEnd"/>
      <w:r w:rsidRPr="002906A3">
        <w:t xml:space="preserve"> </w:t>
      </w:r>
      <w:proofErr w:type="spellStart"/>
      <w:r w:rsidRPr="002906A3">
        <w:t>other</w:t>
      </w:r>
      <w:proofErr w:type="spellEnd"/>
      <w:r w:rsidRPr="002906A3">
        <w:t xml:space="preserve"> </w:t>
      </w:r>
      <w:proofErr w:type="spellStart"/>
      <w:r w:rsidRPr="002906A3">
        <w:t>advanced</w:t>
      </w:r>
      <w:proofErr w:type="spellEnd"/>
      <w:r w:rsidRPr="002906A3">
        <w:t xml:space="preserve"> </w:t>
      </w:r>
      <w:proofErr w:type="spellStart"/>
      <w:r w:rsidRPr="002906A3">
        <w:t>technologies</w:t>
      </w:r>
      <w:proofErr w:type="spellEnd"/>
      <w:r w:rsidRPr="002906A3">
        <w:t xml:space="preserve">. </w:t>
      </w:r>
      <w:proofErr w:type="spellStart"/>
      <w:r w:rsidRPr="002906A3">
        <w:t>In</w:t>
      </w:r>
      <w:proofErr w:type="spellEnd"/>
      <w:r w:rsidRPr="002906A3">
        <w:t xml:space="preserve"> Mary </w:t>
      </w:r>
      <w:proofErr w:type="spellStart"/>
      <w:r w:rsidRPr="002906A3">
        <w:t>Shelley's</w:t>
      </w:r>
      <w:proofErr w:type="spellEnd"/>
      <w:r w:rsidRPr="002906A3">
        <w:t xml:space="preserve"> </w:t>
      </w:r>
      <w:proofErr w:type="spellStart"/>
      <w:r w:rsidRPr="002906A3">
        <w:t>narrative</w:t>
      </w:r>
      <w:proofErr w:type="spellEnd"/>
      <w:r w:rsidRPr="002906A3">
        <w:t xml:space="preserve">, Victor Frankenstein </w:t>
      </w:r>
      <w:proofErr w:type="spellStart"/>
      <w:r w:rsidRPr="002906A3">
        <w:t>embodies</w:t>
      </w:r>
      <w:proofErr w:type="spellEnd"/>
      <w:r w:rsidRPr="002906A3">
        <w:t xml:space="preserve"> </w:t>
      </w:r>
      <w:proofErr w:type="spellStart"/>
      <w:r w:rsidRPr="002906A3">
        <w:t>the</w:t>
      </w:r>
      <w:proofErr w:type="spellEnd"/>
      <w:r w:rsidRPr="002906A3">
        <w:t xml:space="preserve"> </w:t>
      </w:r>
      <w:proofErr w:type="spellStart"/>
      <w:r w:rsidRPr="002906A3">
        <w:t>archetype</w:t>
      </w:r>
      <w:proofErr w:type="spellEnd"/>
      <w:r w:rsidRPr="002906A3">
        <w:t xml:space="preserve"> of a </w:t>
      </w:r>
      <w:proofErr w:type="spellStart"/>
      <w:r w:rsidRPr="002906A3">
        <w:t>scientist</w:t>
      </w:r>
      <w:proofErr w:type="spellEnd"/>
      <w:r w:rsidRPr="002906A3">
        <w:t xml:space="preserve"> </w:t>
      </w:r>
      <w:proofErr w:type="spellStart"/>
      <w:r w:rsidRPr="002906A3">
        <w:t>blinded</w:t>
      </w:r>
      <w:proofErr w:type="spellEnd"/>
      <w:r w:rsidRPr="002906A3">
        <w:t xml:space="preserve"> </w:t>
      </w:r>
      <w:proofErr w:type="spellStart"/>
      <w:r w:rsidRPr="002906A3">
        <w:t>by</w:t>
      </w:r>
      <w:proofErr w:type="spellEnd"/>
      <w:r w:rsidRPr="002906A3">
        <w:t xml:space="preserve"> </w:t>
      </w:r>
      <w:proofErr w:type="spellStart"/>
      <w:r w:rsidRPr="002906A3">
        <w:t>ambition</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pursuit</w:t>
      </w:r>
      <w:proofErr w:type="spellEnd"/>
      <w:r w:rsidRPr="002906A3">
        <w:t xml:space="preserve"> of </w:t>
      </w:r>
      <w:proofErr w:type="spellStart"/>
      <w:r w:rsidRPr="002906A3">
        <w:t>knowledge</w:t>
      </w:r>
      <w:proofErr w:type="spellEnd"/>
      <w:r w:rsidRPr="002906A3">
        <w:t xml:space="preserve">. His </w:t>
      </w:r>
      <w:proofErr w:type="spellStart"/>
      <w:r w:rsidRPr="002906A3">
        <w:t>abandonment</w:t>
      </w:r>
      <w:proofErr w:type="spellEnd"/>
      <w:r w:rsidRPr="002906A3">
        <w:t xml:space="preserve"> of </w:t>
      </w:r>
      <w:proofErr w:type="spellStart"/>
      <w:r w:rsidRPr="002906A3">
        <w:t>responsibility</w:t>
      </w:r>
      <w:proofErr w:type="spellEnd"/>
      <w:r w:rsidRPr="002906A3">
        <w:t xml:space="preserve"> </w:t>
      </w:r>
      <w:proofErr w:type="spellStart"/>
      <w:r w:rsidRPr="002906A3">
        <w:t>for</w:t>
      </w:r>
      <w:proofErr w:type="spellEnd"/>
      <w:r w:rsidRPr="002906A3">
        <w:t xml:space="preserve"> his </w:t>
      </w:r>
      <w:proofErr w:type="spellStart"/>
      <w:r w:rsidRPr="002906A3">
        <w:t>creation</w:t>
      </w:r>
      <w:proofErr w:type="spellEnd"/>
      <w:r w:rsidRPr="002906A3">
        <w:t xml:space="preserve"> </w:t>
      </w:r>
      <w:proofErr w:type="spellStart"/>
      <w:r w:rsidRPr="002906A3">
        <w:t>ultimately</w:t>
      </w:r>
      <w:proofErr w:type="spellEnd"/>
      <w:r w:rsidRPr="002906A3">
        <w:t xml:space="preserve"> </w:t>
      </w:r>
      <w:proofErr w:type="spellStart"/>
      <w:r w:rsidRPr="002906A3">
        <w:t>leads</w:t>
      </w:r>
      <w:proofErr w:type="spellEnd"/>
      <w:r w:rsidRPr="002906A3">
        <w:t xml:space="preserve"> </w:t>
      </w:r>
      <w:proofErr w:type="spellStart"/>
      <w:r w:rsidRPr="002906A3">
        <w:t>to</w:t>
      </w:r>
      <w:proofErr w:type="spellEnd"/>
      <w:r w:rsidRPr="002906A3">
        <w:t xml:space="preserve"> </w:t>
      </w:r>
      <w:proofErr w:type="spellStart"/>
      <w:r w:rsidRPr="002906A3">
        <w:t>tragedy</w:t>
      </w:r>
      <w:proofErr w:type="spellEnd"/>
      <w:r w:rsidRPr="002906A3">
        <w:t xml:space="preserve">. </w:t>
      </w:r>
      <w:proofErr w:type="spellStart"/>
      <w:r w:rsidRPr="002906A3">
        <w:t>This</w:t>
      </w:r>
      <w:proofErr w:type="spellEnd"/>
      <w:r w:rsidRPr="002906A3">
        <w:t xml:space="preserve"> </w:t>
      </w:r>
      <w:proofErr w:type="spellStart"/>
      <w:r w:rsidRPr="002906A3">
        <w:t>central</w:t>
      </w:r>
      <w:proofErr w:type="spellEnd"/>
      <w:r w:rsidRPr="002906A3">
        <w:t xml:space="preserve"> </w:t>
      </w:r>
      <w:proofErr w:type="spellStart"/>
      <w:r w:rsidRPr="002906A3">
        <w:t>theme</w:t>
      </w:r>
      <w:proofErr w:type="spellEnd"/>
      <w:r w:rsidRPr="002906A3">
        <w:t xml:space="preserve"> </w:t>
      </w:r>
      <w:proofErr w:type="spellStart"/>
      <w:r w:rsidRPr="002906A3">
        <w:t>serves</w:t>
      </w:r>
      <w:proofErr w:type="spellEnd"/>
      <w:r w:rsidRPr="002906A3">
        <w:t xml:space="preserve"> as a </w:t>
      </w:r>
      <w:proofErr w:type="spellStart"/>
      <w:r w:rsidRPr="002906A3">
        <w:t>critical</w:t>
      </w:r>
      <w:proofErr w:type="spellEnd"/>
      <w:r w:rsidRPr="002906A3">
        <w:t xml:space="preserve"> </w:t>
      </w:r>
      <w:proofErr w:type="spellStart"/>
      <w:r w:rsidRPr="002906A3">
        <w:t>reminder</w:t>
      </w:r>
      <w:proofErr w:type="spellEnd"/>
      <w:r w:rsidRPr="002906A3">
        <w:t xml:space="preserve"> of </w:t>
      </w:r>
      <w:proofErr w:type="spellStart"/>
      <w:r w:rsidRPr="002906A3">
        <w:t>the</w:t>
      </w:r>
      <w:proofErr w:type="spellEnd"/>
      <w:r w:rsidRPr="002906A3">
        <w:t xml:space="preserve"> moral </w:t>
      </w:r>
      <w:proofErr w:type="spellStart"/>
      <w:r w:rsidRPr="002906A3">
        <w:t>obligations</w:t>
      </w:r>
      <w:proofErr w:type="spellEnd"/>
      <w:r w:rsidRPr="002906A3">
        <w:t xml:space="preserve"> </w:t>
      </w:r>
      <w:proofErr w:type="spellStart"/>
      <w:r w:rsidRPr="002906A3">
        <w:t>that</w:t>
      </w:r>
      <w:proofErr w:type="spellEnd"/>
      <w:r w:rsidRPr="002906A3">
        <w:t xml:space="preserve"> </w:t>
      </w:r>
      <w:proofErr w:type="spellStart"/>
      <w:r w:rsidRPr="002906A3">
        <w:t>inventors</w:t>
      </w:r>
      <w:proofErr w:type="spellEnd"/>
      <w:r w:rsidRPr="002906A3">
        <w:t xml:space="preserve"> </w:t>
      </w:r>
      <w:proofErr w:type="spellStart"/>
      <w:r w:rsidRPr="002906A3">
        <w:t>have</w:t>
      </w:r>
      <w:proofErr w:type="spellEnd"/>
      <w:r w:rsidRPr="002906A3">
        <w:t xml:space="preserve"> </w:t>
      </w:r>
      <w:proofErr w:type="spellStart"/>
      <w:r w:rsidRPr="002906A3">
        <w:t>toward</w:t>
      </w:r>
      <w:proofErr w:type="spellEnd"/>
      <w:r w:rsidRPr="002906A3">
        <w:t xml:space="preserve"> </w:t>
      </w:r>
      <w:proofErr w:type="spellStart"/>
      <w:r w:rsidRPr="002906A3">
        <w:t>their</w:t>
      </w:r>
      <w:proofErr w:type="spellEnd"/>
      <w:r w:rsidRPr="002906A3">
        <w:t xml:space="preserve"> </w:t>
      </w:r>
      <w:proofErr w:type="spellStart"/>
      <w:r w:rsidRPr="002906A3">
        <w:t>creations</w:t>
      </w:r>
      <w:proofErr w:type="spellEnd"/>
      <w:r w:rsidRPr="002906A3">
        <w:t xml:space="preserve">, </w:t>
      </w:r>
      <w:proofErr w:type="spellStart"/>
      <w:r w:rsidRPr="002906A3">
        <w:t>raising</w:t>
      </w:r>
      <w:proofErr w:type="spellEnd"/>
      <w:r w:rsidRPr="002906A3">
        <w:t xml:space="preserve"> </w:t>
      </w:r>
      <w:proofErr w:type="spellStart"/>
      <w:r w:rsidRPr="002906A3">
        <w:t>questions</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boundaries</w:t>
      </w:r>
      <w:proofErr w:type="spellEnd"/>
      <w:r w:rsidRPr="002906A3">
        <w:t xml:space="preserve"> </w:t>
      </w:r>
      <w:proofErr w:type="spellStart"/>
      <w:r w:rsidRPr="002906A3">
        <w:t>that</w:t>
      </w:r>
      <w:proofErr w:type="spellEnd"/>
      <w:r w:rsidRPr="002906A3">
        <w:t xml:space="preserve"> </w:t>
      </w:r>
      <w:proofErr w:type="spellStart"/>
      <w:r w:rsidRPr="002906A3">
        <w:t>should</w:t>
      </w:r>
      <w:proofErr w:type="spellEnd"/>
      <w:r w:rsidRPr="002906A3">
        <w:t xml:space="preserve"> </w:t>
      </w:r>
      <w:proofErr w:type="spellStart"/>
      <w:r w:rsidRPr="002906A3">
        <w:t>guide</w:t>
      </w:r>
      <w:proofErr w:type="spellEnd"/>
      <w:r w:rsidRPr="002906A3">
        <w:t xml:space="preserve"> </w:t>
      </w:r>
      <w:proofErr w:type="spellStart"/>
      <w:r w:rsidRPr="002906A3">
        <w:t>scientific</w:t>
      </w:r>
      <w:proofErr w:type="spellEnd"/>
      <w:r w:rsidRPr="002906A3">
        <w:t xml:space="preserve"> </w:t>
      </w:r>
      <w:proofErr w:type="spellStart"/>
      <w:r w:rsidRPr="002906A3">
        <w:t>progress</w:t>
      </w:r>
      <w:proofErr w:type="spellEnd"/>
      <w:r w:rsidRPr="002906A3">
        <w:t xml:space="preserve"> (</w:t>
      </w:r>
      <w:proofErr w:type="spellStart"/>
      <w:r w:rsidRPr="002906A3">
        <w:t>Kayaltı</w:t>
      </w:r>
      <w:proofErr w:type="spellEnd"/>
      <w:r w:rsidRPr="002906A3">
        <w:t xml:space="preserve"> &amp; Belenli, 2024).</w:t>
      </w:r>
    </w:p>
    <w:p w14:paraId="1FA52C2D" w14:textId="77777777" w:rsidR="001E7189" w:rsidRPr="002906A3" w:rsidRDefault="001E7189" w:rsidP="00BA67A6">
      <w:pPr>
        <w:jc w:val="both"/>
      </w:pPr>
    </w:p>
    <w:p w14:paraId="1E9C87C0" w14:textId="77777777" w:rsidR="001E7189" w:rsidRPr="002906A3" w:rsidRDefault="001E7189" w:rsidP="00BA67A6">
      <w:pPr>
        <w:jc w:val="both"/>
      </w:pPr>
      <w:proofErr w:type="spellStart"/>
      <w:r w:rsidRPr="002906A3">
        <w:t>Shelley's</w:t>
      </w:r>
      <w:proofErr w:type="spellEnd"/>
      <w:r w:rsidRPr="002906A3">
        <w:t xml:space="preserve"> </w:t>
      </w:r>
      <w:proofErr w:type="spellStart"/>
      <w:r w:rsidRPr="002906A3">
        <w:t>novel</w:t>
      </w:r>
      <w:proofErr w:type="spellEnd"/>
      <w:r w:rsidRPr="002906A3">
        <w:t xml:space="preserve"> </w:t>
      </w:r>
      <w:proofErr w:type="spellStart"/>
      <w:r w:rsidRPr="002906A3">
        <w:t>highlights</w:t>
      </w:r>
      <w:proofErr w:type="spellEnd"/>
      <w:r w:rsidRPr="002906A3">
        <w:t xml:space="preserve"> </w:t>
      </w:r>
      <w:proofErr w:type="spellStart"/>
      <w:r w:rsidRPr="002906A3">
        <w:t>the</w:t>
      </w:r>
      <w:proofErr w:type="spellEnd"/>
      <w:r w:rsidRPr="002906A3">
        <w:t xml:space="preserve"> </w:t>
      </w:r>
      <w:proofErr w:type="spellStart"/>
      <w:r w:rsidRPr="002906A3">
        <w:t>dangers</w:t>
      </w:r>
      <w:proofErr w:type="spellEnd"/>
      <w:r w:rsidRPr="002906A3">
        <w:t xml:space="preserve"> of </w:t>
      </w:r>
      <w:proofErr w:type="spellStart"/>
      <w:r w:rsidRPr="002906A3">
        <w:t>unregulated</w:t>
      </w:r>
      <w:proofErr w:type="spellEnd"/>
      <w:r w:rsidRPr="002906A3">
        <w:t xml:space="preserve"> </w:t>
      </w:r>
      <w:proofErr w:type="spellStart"/>
      <w:r w:rsidRPr="002906A3">
        <w:t>scientific</w:t>
      </w:r>
      <w:proofErr w:type="spellEnd"/>
      <w:r w:rsidRPr="002906A3">
        <w:t xml:space="preserve"> </w:t>
      </w:r>
      <w:proofErr w:type="spellStart"/>
      <w:r w:rsidRPr="002906A3">
        <w:t>exploration</w:t>
      </w:r>
      <w:proofErr w:type="spellEnd"/>
      <w:r w:rsidRPr="002906A3">
        <w:t xml:space="preserve">. Victor </w:t>
      </w:r>
      <w:proofErr w:type="spellStart"/>
      <w:r w:rsidRPr="002906A3">
        <w:t>Frankenstein's</w:t>
      </w:r>
      <w:proofErr w:type="spellEnd"/>
      <w:r w:rsidRPr="002906A3">
        <w:t xml:space="preserve"> </w:t>
      </w:r>
      <w:proofErr w:type="spellStart"/>
      <w:r w:rsidRPr="002906A3">
        <w:t>neglect</w:t>
      </w:r>
      <w:proofErr w:type="spellEnd"/>
      <w:r w:rsidRPr="002906A3">
        <w:t xml:space="preserve"> of his </w:t>
      </w:r>
      <w:proofErr w:type="spellStart"/>
      <w:r w:rsidRPr="002906A3">
        <w:t>creation</w:t>
      </w:r>
      <w:proofErr w:type="spellEnd"/>
      <w:r w:rsidRPr="002906A3">
        <w:t xml:space="preserve"> </w:t>
      </w:r>
      <w:proofErr w:type="spellStart"/>
      <w:r w:rsidRPr="002906A3">
        <w:t>results</w:t>
      </w:r>
      <w:proofErr w:type="spellEnd"/>
      <w:r w:rsidRPr="002906A3">
        <w:t xml:space="preserve"> in </w:t>
      </w:r>
      <w:proofErr w:type="spellStart"/>
      <w:r w:rsidRPr="002906A3">
        <w:t>immense</w:t>
      </w:r>
      <w:proofErr w:type="spellEnd"/>
      <w:r w:rsidRPr="002906A3">
        <w:t xml:space="preserve"> </w:t>
      </w:r>
      <w:proofErr w:type="spellStart"/>
      <w:r w:rsidRPr="002906A3">
        <w:t>suffering</w:t>
      </w:r>
      <w:proofErr w:type="spellEnd"/>
      <w:r w:rsidRPr="002906A3">
        <w:t xml:space="preserve">, not </w:t>
      </w:r>
      <w:proofErr w:type="spellStart"/>
      <w:r w:rsidRPr="002906A3">
        <w:t>only</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but </w:t>
      </w:r>
      <w:proofErr w:type="spellStart"/>
      <w:r w:rsidRPr="002906A3">
        <w:t>also</w:t>
      </w:r>
      <w:proofErr w:type="spellEnd"/>
      <w:r w:rsidRPr="002906A3">
        <w:t xml:space="preserve"> </w:t>
      </w:r>
      <w:proofErr w:type="spellStart"/>
      <w:r w:rsidRPr="002906A3">
        <w:t>for</w:t>
      </w:r>
      <w:proofErr w:type="spellEnd"/>
      <w:r w:rsidRPr="002906A3">
        <w:t xml:space="preserve"> </w:t>
      </w:r>
      <w:proofErr w:type="spellStart"/>
      <w:r w:rsidRPr="002906A3">
        <w:t>those</w:t>
      </w:r>
      <w:proofErr w:type="spellEnd"/>
      <w:r w:rsidRPr="002906A3">
        <w:t xml:space="preserve"> </w:t>
      </w:r>
      <w:proofErr w:type="spellStart"/>
      <w:r w:rsidRPr="002906A3">
        <w:t>around</w:t>
      </w:r>
      <w:proofErr w:type="spellEnd"/>
      <w:r w:rsidRPr="002906A3">
        <w:t xml:space="preserve"> </w:t>
      </w:r>
      <w:proofErr w:type="spellStart"/>
      <w:r w:rsidRPr="002906A3">
        <w:t>him</w:t>
      </w:r>
      <w:proofErr w:type="spellEnd"/>
      <w:r w:rsidRPr="002906A3">
        <w:t xml:space="preserve">. </w:t>
      </w:r>
      <w:proofErr w:type="spellStart"/>
      <w:r w:rsidRPr="002906A3">
        <w:t>This</w:t>
      </w:r>
      <w:proofErr w:type="spellEnd"/>
      <w:r w:rsidRPr="002906A3">
        <w:t xml:space="preserve"> </w:t>
      </w:r>
      <w:proofErr w:type="spellStart"/>
      <w:r w:rsidRPr="002906A3">
        <w:t>dynamic</w:t>
      </w:r>
      <w:proofErr w:type="spellEnd"/>
      <w:r w:rsidRPr="002906A3">
        <w:t xml:space="preserve"> </w:t>
      </w:r>
      <w:proofErr w:type="spellStart"/>
      <w:r w:rsidRPr="002906A3">
        <w:t>strongly</w:t>
      </w:r>
      <w:proofErr w:type="spellEnd"/>
      <w:r w:rsidRPr="002906A3">
        <w:t xml:space="preserve"> </w:t>
      </w:r>
      <w:proofErr w:type="spellStart"/>
      <w:r w:rsidRPr="002906A3">
        <w:t>resonates</w:t>
      </w:r>
      <w:proofErr w:type="spellEnd"/>
      <w:r w:rsidRPr="002906A3">
        <w:t xml:space="preserve"> </w:t>
      </w:r>
      <w:proofErr w:type="spellStart"/>
      <w:r w:rsidRPr="002906A3">
        <w:t>with</w:t>
      </w:r>
      <w:proofErr w:type="spellEnd"/>
      <w:r w:rsidRPr="002906A3">
        <w:t xml:space="preserve"> modern </w:t>
      </w:r>
      <w:proofErr w:type="spellStart"/>
      <w:r w:rsidRPr="002906A3">
        <w:t>ethical</w:t>
      </w:r>
      <w:proofErr w:type="spellEnd"/>
      <w:r w:rsidRPr="002906A3">
        <w:t xml:space="preserve"> </w:t>
      </w:r>
      <w:proofErr w:type="spellStart"/>
      <w:r w:rsidRPr="002906A3">
        <w:t>dilemmas</w:t>
      </w:r>
      <w:proofErr w:type="spellEnd"/>
      <w:r w:rsidRPr="002906A3">
        <w:t xml:space="preserve"> in AI </w:t>
      </w:r>
      <w:proofErr w:type="spellStart"/>
      <w:r w:rsidRPr="002906A3">
        <w:t>and</w:t>
      </w:r>
      <w:proofErr w:type="spellEnd"/>
      <w:r w:rsidRPr="002906A3">
        <w:t xml:space="preserve"> </w:t>
      </w:r>
      <w:proofErr w:type="spellStart"/>
      <w:r w:rsidRPr="002906A3">
        <w:t>technology</w:t>
      </w:r>
      <w:proofErr w:type="spellEnd"/>
      <w:r w:rsidRPr="002906A3">
        <w:t xml:space="preserve">. As </w:t>
      </w:r>
      <w:proofErr w:type="spellStart"/>
      <w:r w:rsidRPr="002906A3">
        <w:t>researchers</w:t>
      </w:r>
      <w:proofErr w:type="spellEnd"/>
      <w:r w:rsidRPr="002906A3">
        <w:t xml:space="preserve"> </w:t>
      </w:r>
      <w:proofErr w:type="spellStart"/>
      <w:r w:rsidRPr="002906A3">
        <w:t>and</w:t>
      </w:r>
      <w:proofErr w:type="spellEnd"/>
      <w:r w:rsidRPr="002906A3">
        <w:t xml:space="preserve"> </w:t>
      </w:r>
      <w:proofErr w:type="spellStart"/>
      <w:r w:rsidRPr="002906A3">
        <w:t>developers</w:t>
      </w:r>
      <w:proofErr w:type="spellEnd"/>
      <w:r w:rsidRPr="002906A3">
        <w:t xml:space="preserve"> </w:t>
      </w:r>
      <w:proofErr w:type="spellStart"/>
      <w:r w:rsidRPr="002906A3">
        <w:t>strive</w:t>
      </w:r>
      <w:proofErr w:type="spellEnd"/>
      <w:r w:rsidRPr="002906A3">
        <w:t xml:space="preserve"> </w:t>
      </w:r>
      <w:proofErr w:type="spellStart"/>
      <w:r w:rsidRPr="002906A3">
        <w:t>for</w:t>
      </w:r>
      <w:proofErr w:type="spellEnd"/>
      <w:r w:rsidRPr="002906A3">
        <w:t xml:space="preserve"> </w:t>
      </w:r>
      <w:proofErr w:type="spellStart"/>
      <w:r w:rsidRPr="002906A3">
        <w:t>innovation</w:t>
      </w:r>
      <w:proofErr w:type="spellEnd"/>
      <w:r w:rsidRPr="002906A3">
        <w:t xml:space="preserve">, they </w:t>
      </w:r>
      <w:proofErr w:type="spellStart"/>
      <w:r w:rsidRPr="002906A3">
        <w:t>often</w:t>
      </w:r>
      <w:proofErr w:type="spellEnd"/>
      <w:r w:rsidRPr="002906A3">
        <w:t xml:space="preserve"> </w:t>
      </w:r>
      <w:proofErr w:type="spellStart"/>
      <w:r w:rsidRPr="002906A3">
        <w:t>overlook</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implications</w:t>
      </w:r>
      <w:proofErr w:type="spellEnd"/>
      <w:r w:rsidRPr="002906A3">
        <w:t xml:space="preserve"> of </w:t>
      </w:r>
      <w:proofErr w:type="spellStart"/>
      <w:r w:rsidRPr="002906A3">
        <w:t>their</w:t>
      </w:r>
      <w:proofErr w:type="spellEnd"/>
      <w:r w:rsidRPr="002906A3">
        <w:t xml:space="preserve"> </w:t>
      </w:r>
      <w:proofErr w:type="spellStart"/>
      <w:r w:rsidRPr="002906A3">
        <w:t>advancements</w:t>
      </w:r>
      <w:proofErr w:type="spellEnd"/>
      <w:r w:rsidRPr="002906A3">
        <w:t xml:space="preserve">. </w:t>
      </w:r>
      <w:proofErr w:type="spellStart"/>
      <w:r w:rsidRPr="002906A3">
        <w:t>This</w:t>
      </w:r>
      <w:proofErr w:type="spellEnd"/>
      <w:r w:rsidRPr="002906A3">
        <w:t xml:space="preserve"> </w:t>
      </w:r>
      <w:proofErr w:type="spellStart"/>
      <w:r w:rsidRPr="002906A3">
        <w:t>creates</w:t>
      </w:r>
      <w:proofErr w:type="spellEnd"/>
      <w:r w:rsidRPr="002906A3">
        <w:t xml:space="preserve"> a </w:t>
      </w:r>
      <w:proofErr w:type="spellStart"/>
      <w:r w:rsidRPr="002906A3">
        <w:t>landscape</w:t>
      </w:r>
      <w:proofErr w:type="spellEnd"/>
      <w:r w:rsidRPr="002906A3">
        <w:t xml:space="preserve"> </w:t>
      </w:r>
      <w:proofErr w:type="spellStart"/>
      <w:r w:rsidRPr="002906A3">
        <w:t>where</w:t>
      </w:r>
      <w:proofErr w:type="spellEnd"/>
      <w:r w:rsidRPr="002906A3">
        <w:t xml:space="preserve"> </w:t>
      </w:r>
      <w:proofErr w:type="spellStart"/>
      <w:r w:rsidRPr="002906A3">
        <w:t>technologies</w:t>
      </w:r>
      <w:proofErr w:type="spellEnd"/>
      <w:r w:rsidRPr="002906A3">
        <w:t xml:space="preserve"> can be </w:t>
      </w:r>
      <w:proofErr w:type="spellStart"/>
      <w:r w:rsidRPr="002906A3">
        <w:t>implemented</w:t>
      </w:r>
      <w:proofErr w:type="spellEnd"/>
      <w:r w:rsidRPr="002906A3">
        <w:t xml:space="preserve"> </w:t>
      </w:r>
      <w:proofErr w:type="spellStart"/>
      <w:r w:rsidRPr="002906A3">
        <w:t>with</w:t>
      </w:r>
      <w:proofErr w:type="spellEnd"/>
      <w:r w:rsidRPr="002906A3">
        <w:t xml:space="preserve"> </w:t>
      </w:r>
      <w:proofErr w:type="spellStart"/>
      <w:r w:rsidRPr="002906A3">
        <w:t>insufficient</w:t>
      </w:r>
      <w:proofErr w:type="spellEnd"/>
      <w:r w:rsidRPr="002906A3">
        <w:t xml:space="preserve"> </w:t>
      </w:r>
      <w:proofErr w:type="spellStart"/>
      <w:r w:rsidRPr="002906A3">
        <w:t>oversight</w:t>
      </w:r>
      <w:proofErr w:type="spellEnd"/>
      <w:r w:rsidRPr="002906A3">
        <w:t xml:space="preserve">, </w:t>
      </w:r>
      <w:proofErr w:type="spellStart"/>
      <w:r w:rsidRPr="002906A3">
        <w:t>leading</w:t>
      </w:r>
      <w:proofErr w:type="spellEnd"/>
      <w:r w:rsidRPr="002906A3">
        <w:t xml:space="preserve"> </w:t>
      </w:r>
      <w:proofErr w:type="spellStart"/>
      <w:r w:rsidRPr="002906A3">
        <w:t>to</w:t>
      </w:r>
      <w:proofErr w:type="spellEnd"/>
      <w:r w:rsidRPr="002906A3">
        <w:t xml:space="preserve"> adverse </w:t>
      </w:r>
      <w:proofErr w:type="spellStart"/>
      <w:r w:rsidRPr="002906A3">
        <w:t>consequences</w:t>
      </w:r>
      <w:proofErr w:type="spellEnd"/>
      <w:r w:rsidRPr="002906A3">
        <w:t xml:space="preserve"> </w:t>
      </w:r>
      <w:proofErr w:type="spellStart"/>
      <w:r w:rsidRPr="002906A3">
        <w:t>similar</w:t>
      </w:r>
      <w:proofErr w:type="spellEnd"/>
      <w:r w:rsidRPr="002906A3">
        <w:t xml:space="preserve"> </w:t>
      </w:r>
      <w:proofErr w:type="spellStart"/>
      <w:r w:rsidRPr="002906A3">
        <w:t>to</w:t>
      </w:r>
      <w:proofErr w:type="spellEnd"/>
      <w:r w:rsidRPr="002906A3">
        <w:t xml:space="preserve"> </w:t>
      </w:r>
      <w:proofErr w:type="spellStart"/>
      <w:r w:rsidRPr="002906A3">
        <w:t>those</w:t>
      </w:r>
      <w:proofErr w:type="spellEnd"/>
      <w:r w:rsidRPr="002906A3">
        <w:t xml:space="preserve"> </w:t>
      </w:r>
      <w:proofErr w:type="spellStart"/>
      <w:r w:rsidRPr="002906A3">
        <w:t>depicted</w:t>
      </w:r>
      <w:proofErr w:type="spellEnd"/>
      <w:r w:rsidRPr="002906A3">
        <w:t xml:space="preserve"> in </w:t>
      </w:r>
      <w:proofErr w:type="spellStart"/>
      <w:r w:rsidRPr="002906A3">
        <w:t>Shelley's</w:t>
      </w:r>
      <w:proofErr w:type="spellEnd"/>
      <w:r w:rsidRPr="002906A3">
        <w:t xml:space="preserve"> </w:t>
      </w:r>
      <w:proofErr w:type="spellStart"/>
      <w:r w:rsidRPr="002906A3">
        <w:t>work</w:t>
      </w:r>
      <w:proofErr w:type="spellEnd"/>
      <w:r w:rsidRPr="002906A3">
        <w:t xml:space="preserve"> (</w:t>
      </w:r>
      <w:proofErr w:type="spellStart"/>
      <w:r w:rsidRPr="002906A3">
        <w:t>Cambra-Badii</w:t>
      </w:r>
      <w:proofErr w:type="spellEnd"/>
      <w:r w:rsidRPr="002906A3">
        <w:t xml:space="preserve"> et al., 2020). </w:t>
      </w:r>
      <w:proofErr w:type="spellStart"/>
      <w:r w:rsidRPr="002906A3">
        <w:t>The</w:t>
      </w:r>
      <w:proofErr w:type="spellEnd"/>
      <w:r w:rsidRPr="002906A3">
        <w:t xml:space="preserve"> modern </w:t>
      </w:r>
      <w:proofErr w:type="spellStart"/>
      <w:r w:rsidRPr="002906A3">
        <w:t>relevance</w:t>
      </w:r>
      <w:proofErr w:type="spellEnd"/>
      <w:r w:rsidRPr="002906A3">
        <w:t xml:space="preserve"> of </w:t>
      </w:r>
      <w:proofErr w:type="spellStart"/>
      <w:r w:rsidRPr="002906A3">
        <w:t>the</w:t>
      </w:r>
      <w:proofErr w:type="spellEnd"/>
      <w:r w:rsidRPr="002906A3">
        <w:t xml:space="preserve"> </w:t>
      </w:r>
      <w:r w:rsidRPr="002906A3">
        <w:rPr>
          <w:i/>
          <w:iCs/>
        </w:rPr>
        <w:t>Frankenstein</w:t>
      </w:r>
      <w:r w:rsidRPr="002906A3">
        <w:t xml:space="preserve"> </w:t>
      </w:r>
      <w:proofErr w:type="spellStart"/>
      <w:r w:rsidRPr="002906A3">
        <w:t>myth</w:t>
      </w:r>
      <w:proofErr w:type="spellEnd"/>
      <w:r w:rsidRPr="002906A3">
        <w:t xml:space="preserve"> </w:t>
      </w:r>
      <w:proofErr w:type="spellStart"/>
      <w:r w:rsidRPr="002906A3">
        <w:t>fosters</w:t>
      </w:r>
      <w:proofErr w:type="spellEnd"/>
      <w:r w:rsidRPr="002906A3">
        <w:t xml:space="preserve"> </w:t>
      </w:r>
      <w:proofErr w:type="spellStart"/>
      <w:r w:rsidRPr="002906A3">
        <w:t>discussions</w:t>
      </w:r>
      <w:proofErr w:type="spellEnd"/>
      <w:r w:rsidRPr="002906A3">
        <w:t xml:space="preserve"> on </w:t>
      </w:r>
      <w:proofErr w:type="spellStart"/>
      <w:r w:rsidRPr="002906A3">
        <w:t>what</w:t>
      </w:r>
      <w:proofErr w:type="spellEnd"/>
      <w:r w:rsidRPr="002906A3">
        <w:t xml:space="preserve"> it </w:t>
      </w:r>
      <w:proofErr w:type="spellStart"/>
      <w:r w:rsidRPr="002906A3">
        <w:t>means</w:t>
      </w:r>
      <w:proofErr w:type="spellEnd"/>
      <w:r w:rsidRPr="002906A3">
        <w:t xml:space="preserve"> </w:t>
      </w:r>
      <w:proofErr w:type="spellStart"/>
      <w:r w:rsidRPr="002906A3">
        <w:t>to</w:t>
      </w:r>
      <w:proofErr w:type="spellEnd"/>
      <w:r w:rsidRPr="002906A3">
        <w:t xml:space="preserve"> be a </w:t>
      </w:r>
      <w:proofErr w:type="spellStart"/>
      <w:r w:rsidRPr="002906A3">
        <w:t>responsible</w:t>
      </w:r>
      <w:proofErr w:type="spellEnd"/>
      <w:r w:rsidRPr="002906A3">
        <w:t xml:space="preserve"> </w:t>
      </w:r>
      <w:proofErr w:type="spellStart"/>
      <w:r w:rsidRPr="002906A3">
        <w:t>creator</w:t>
      </w:r>
      <w:proofErr w:type="spellEnd"/>
      <w:r w:rsidRPr="002906A3">
        <w:t xml:space="preserve"> in </w:t>
      </w:r>
      <w:proofErr w:type="spellStart"/>
      <w:r w:rsidRPr="002906A3">
        <w:t>the</w:t>
      </w:r>
      <w:proofErr w:type="spellEnd"/>
      <w:r w:rsidRPr="002906A3">
        <w:t xml:space="preserve"> </w:t>
      </w:r>
      <w:proofErr w:type="spellStart"/>
      <w:r w:rsidRPr="002906A3">
        <w:t>face</w:t>
      </w:r>
      <w:proofErr w:type="spellEnd"/>
      <w:r w:rsidRPr="002906A3">
        <w:t xml:space="preserve"> of </w:t>
      </w:r>
      <w:proofErr w:type="spellStart"/>
      <w:r w:rsidRPr="002906A3">
        <w:t>groundbreaking</w:t>
      </w:r>
      <w:proofErr w:type="spellEnd"/>
      <w:r w:rsidRPr="002906A3">
        <w:t xml:space="preserve"> </w:t>
      </w:r>
      <w:proofErr w:type="spellStart"/>
      <w:r w:rsidRPr="002906A3">
        <w:t>discoveries</w:t>
      </w:r>
      <w:proofErr w:type="spellEnd"/>
      <w:r w:rsidRPr="002906A3">
        <w:t xml:space="preserve">. </w:t>
      </w:r>
      <w:proofErr w:type="spellStart"/>
      <w:r w:rsidRPr="002906A3">
        <w:t>The</w:t>
      </w:r>
      <w:proofErr w:type="spellEnd"/>
      <w:r w:rsidRPr="002906A3">
        <w:t xml:space="preserve"> </w:t>
      </w:r>
      <w:proofErr w:type="spellStart"/>
      <w:r w:rsidRPr="002906A3">
        <w:t>development</w:t>
      </w:r>
      <w:proofErr w:type="spellEnd"/>
      <w:r w:rsidRPr="002906A3">
        <w:t xml:space="preserve"> of AI </w:t>
      </w:r>
      <w:proofErr w:type="spellStart"/>
      <w:r w:rsidRPr="002906A3">
        <w:t>poses</w:t>
      </w:r>
      <w:proofErr w:type="spellEnd"/>
      <w:r w:rsidRPr="002906A3">
        <w:t xml:space="preserve"> </w:t>
      </w:r>
      <w:proofErr w:type="spellStart"/>
      <w:r w:rsidRPr="002906A3">
        <w:t>risks</w:t>
      </w:r>
      <w:proofErr w:type="spellEnd"/>
      <w:r w:rsidRPr="002906A3">
        <w:t xml:space="preserve"> </w:t>
      </w:r>
      <w:proofErr w:type="spellStart"/>
      <w:r w:rsidRPr="002906A3">
        <w:t>that</w:t>
      </w:r>
      <w:proofErr w:type="spellEnd"/>
      <w:r w:rsidRPr="002906A3">
        <w:t xml:space="preserve"> </w:t>
      </w:r>
      <w:proofErr w:type="spellStart"/>
      <w:r w:rsidRPr="002906A3">
        <w:t>may</w:t>
      </w:r>
      <w:proofErr w:type="spellEnd"/>
      <w:r w:rsidRPr="002906A3">
        <w:t xml:space="preserve"> not be </w:t>
      </w:r>
      <w:proofErr w:type="spellStart"/>
      <w:r w:rsidRPr="002906A3">
        <w:t>immediately</w:t>
      </w:r>
      <w:proofErr w:type="spellEnd"/>
      <w:r w:rsidRPr="002906A3">
        <w:t xml:space="preserve"> </w:t>
      </w:r>
      <w:proofErr w:type="spellStart"/>
      <w:r w:rsidRPr="002906A3">
        <w:t>apparent</w:t>
      </w:r>
      <w:proofErr w:type="spellEnd"/>
      <w:r w:rsidRPr="002906A3">
        <w:t xml:space="preserve">, </w:t>
      </w:r>
      <w:proofErr w:type="spellStart"/>
      <w:r w:rsidRPr="002906A3">
        <w:t>echoing</w:t>
      </w:r>
      <w:proofErr w:type="spellEnd"/>
      <w:r w:rsidRPr="002906A3">
        <w:t xml:space="preserve"> </w:t>
      </w:r>
      <w:proofErr w:type="spellStart"/>
      <w:r w:rsidRPr="002906A3">
        <w:t>Victor’s</w:t>
      </w:r>
      <w:proofErr w:type="spellEnd"/>
      <w:r w:rsidRPr="002906A3">
        <w:t xml:space="preserve"> </w:t>
      </w:r>
      <w:proofErr w:type="spellStart"/>
      <w:r w:rsidRPr="002906A3">
        <w:t>initial</w:t>
      </w:r>
      <w:proofErr w:type="spellEnd"/>
      <w:r w:rsidRPr="002906A3">
        <w:t xml:space="preserve"> </w:t>
      </w:r>
      <w:proofErr w:type="spellStart"/>
      <w:r w:rsidRPr="002906A3">
        <w:t>excitement</w:t>
      </w:r>
      <w:proofErr w:type="spellEnd"/>
      <w:r w:rsidRPr="002906A3">
        <w:t xml:space="preserve"> </w:t>
      </w:r>
      <w:proofErr w:type="spellStart"/>
      <w:r w:rsidRPr="002906A3">
        <w:t>before</w:t>
      </w:r>
      <w:proofErr w:type="spellEnd"/>
      <w:r w:rsidRPr="002906A3">
        <w:t xml:space="preserve"> he is </w:t>
      </w:r>
      <w:proofErr w:type="spellStart"/>
      <w:r w:rsidRPr="002906A3">
        <w:t>consumed</w:t>
      </w:r>
      <w:proofErr w:type="spellEnd"/>
      <w:r w:rsidRPr="002906A3">
        <w:t xml:space="preserve"> </w:t>
      </w:r>
      <w:proofErr w:type="spellStart"/>
      <w:r w:rsidRPr="002906A3">
        <w:t>by</w:t>
      </w:r>
      <w:proofErr w:type="spellEnd"/>
      <w:r w:rsidRPr="002906A3">
        <w:t xml:space="preserve"> </w:t>
      </w:r>
      <w:proofErr w:type="spellStart"/>
      <w:r w:rsidRPr="002906A3">
        <w:t>guilt</w:t>
      </w:r>
      <w:proofErr w:type="spellEnd"/>
      <w:r w:rsidRPr="002906A3">
        <w:t xml:space="preserve"> </w:t>
      </w:r>
      <w:proofErr w:type="spellStart"/>
      <w:r w:rsidRPr="002906A3">
        <w:t>and</w:t>
      </w:r>
      <w:proofErr w:type="spellEnd"/>
      <w:r w:rsidRPr="002906A3">
        <w:t xml:space="preserve"> </w:t>
      </w:r>
      <w:proofErr w:type="spellStart"/>
      <w:r w:rsidRPr="002906A3">
        <w:t>fear</w:t>
      </w:r>
      <w:proofErr w:type="spellEnd"/>
      <w:r w:rsidRPr="002906A3">
        <w:t xml:space="preserve">. </w:t>
      </w:r>
      <w:proofErr w:type="spellStart"/>
      <w:r w:rsidRPr="002906A3">
        <w:t>Ethical</w:t>
      </w:r>
      <w:proofErr w:type="spellEnd"/>
      <w:r w:rsidRPr="002906A3">
        <w:t xml:space="preserve"> </w:t>
      </w:r>
      <w:proofErr w:type="spellStart"/>
      <w:r w:rsidRPr="002906A3">
        <w:t>considerations</w:t>
      </w:r>
      <w:proofErr w:type="spellEnd"/>
      <w:r w:rsidRPr="002906A3">
        <w:t>—</w:t>
      </w:r>
      <w:proofErr w:type="spellStart"/>
      <w:r w:rsidRPr="002906A3">
        <w:t>such</w:t>
      </w:r>
      <w:proofErr w:type="spellEnd"/>
      <w:r w:rsidRPr="002906A3">
        <w:t xml:space="preserve"> as </w:t>
      </w:r>
      <w:proofErr w:type="spellStart"/>
      <w:r w:rsidRPr="002906A3">
        <w:t>privacy</w:t>
      </w:r>
      <w:proofErr w:type="spellEnd"/>
      <w:r w:rsidRPr="002906A3">
        <w:t xml:space="preserve">, </w:t>
      </w:r>
      <w:proofErr w:type="spellStart"/>
      <w:r w:rsidRPr="002906A3">
        <w:t>bias</w:t>
      </w:r>
      <w:proofErr w:type="spellEnd"/>
      <w:r w:rsidRPr="002906A3">
        <w:t xml:space="preserve">, </w:t>
      </w:r>
      <w:proofErr w:type="spellStart"/>
      <w:r w:rsidRPr="002906A3">
        <w:t>and</w:t>
      </w:r>
      <w:proofErr w:type="spellEnd"/>
      <w:r w:rsidRPr="002906A3">
        <w:t xml:space="preserve"> </w:t>
      </w:r>
      <w:proofErr w:type="spellStart"/>
      <w:r w:rsidRPr="002906A3">
        <w:t>potential</w:t>
      </w:r>
      <w:proofErr w:type="spellEnd"/>
      <w:r w:rsidRPr="002906A3">
        <w:t xml:space="preserve"> </w:t>
      </w:r>
      <w:proofErr w:type="spellStart"/>
      <w:r w:rsidRPr="002906A3">
        <w:t>misuse</w:t>
      </w:r>
      <w:proofErr w:type="spellEnd"/>
      <w:r w:rsidRPr="002906A3">
        <w:t>—</w:t>
      </w:r>
      <w:proofErr w:type="spellStart"/>
      <w:r w:rsidRPr="002906A3">
        <w:t>are</w:t>
      </w:r>
      <w:proofErr w:type="spellEnd"/>
      <w:r w:rsidRPr="002906A3">
        <w:t xml:space="preserve"> </w:t>
      </w:r>
      <w:proofErr w:type="spellStart"/>
      <w:r w:rsidRPr="002906A3">
        <w:t>crucial</w:t>
      </w:r>
      <w:proofErr w:type="spellEnd"/>
      <w:r w:rsidRPr="002906A3">
        <w:t xml:space="preserve"> but </w:t>
      </w:r>
      <w:proofErr w:type="spellStart"/>
      <w:r w:rsidRPr="002906A3">
        <w:t>often</w:t>
      </w:r>
      <w:proofErr w:type="spellEnd"/>
      <w:r w:rsidRPr="002906A3">
        <w:t xml:space="preserve"> </w:t>
      </w:r>
      <w:proofErr w:type="spellStart"/>
      <w:r w:rsidRPr="002906A3">
        <w:t>overshadowed</w:t>
      </w:r>
      <w:proofErr w:type="spellEnd"/>
      <w:r w:rsidRPr="002906A3">
        <w:t xml:space="preserve"> </w:t>
      </w:r>
      <w:proofErr w:type="spellStart"/>
      <w:r w:rsidRPr="002906A3">
        <w:t>by</w:t>
      </w:r>
      <w:proofErr w:type="spellEnd"/>
      <w:r w:rsidRPr="002906A3">
        <w:t xml:space="preserve"> </w:t>
      </w:r>
      <w:proofErr w:type="spellStart"/>
      <w:r w:rsidRPr="002906A3">
        <w:t>commercial</w:t>
      </w:r>
      <w:proofErr w:type="spellEnd"/>
      <w:r w:rsidRPr="002906A3">
        <w:t xml:space="preserve"> </w:t>
      </w:r>
      <w:proofErr w:type="spellStart"/>
      <w:r w:rsidRPr="002906A3">
        <w:t>and</w:t>
      </w:r>
      <w:proofErr w:type="spellEnd"/>
      <w:r w:rsidRPr="002906A3">
        <w:t xml:space="preserve"> </w:t>
      </w:r>
      <w:proofErr w:type="spellStart"/>
      <w:r w:rsidRPr="002906A3">
        <w:t>competitive</w:t>
      </w:r>
      <w:proofErr w:type="spellEnd"/>
      <w:r w:rsidRPr="002906A3">
        <w:t xml:space="preserve"> </w:t>
      </w:r>
      <w:proofErr w:type="spellStart"/>
      <w:r w:rsidRPr="002906A3">
        <w:t>interests</w:t>
      </w:r>
      <w:proofErr w:type="spellEnd"/>
      <w:r w:rsidRPr="002906A3">
        <w:t xml:space="preserve">. </w:t>
      </w:r>
      <w:proofErr w:type="spellStart"/>
      <w:r w:rsidRPr="002906A3">
        <w:t>Just</w:t>
      </w:r>
      <w:proofErr w:type="spellEnd"/>
      <w:r w:rsidRPr="002906A3">
        <w:t xml:space="preserve"> as Victor Frankenstein </w:t>
      </w:r>
      <w:proofErr w:type="spellStart"/>
      <w:r w:rsidRPr="002906A3">
        <w:t>grapples</w:t>
      </w:r>
      <w:proofErr w:type="spellEnd"/>
      <w:r w:rsidRPr="002906A3">
        <w:t xml:space="preserve"> </w:t>
      </w:r>
      <w:proofErr w:type="spellStart"/>
      <w:r w:rsidRPr="002906A3">
        <w:lastRenderedPageBreak/>
        <w:t>with</w:t>
      </w:r>
      <w:proofErr w:type="spellEnd"/>
      <w:r w:rsidRPr="002906A3">
        <w:t xml:space="preserve"> </w:t>
      </w:r>
      <w:proofErr w:type="spellStart"/>
      <w:r w:rsidRPr="002906A3">
        <w:t>the</w:t>
      </w:r>
      <w:proofErr w:type="spellEnd"/>
      <w:r w:rsidRPr="002906A3">
        <w:t xml:space="preserve"> </w:t>
      </w:r>
      <w:proofErr w:type="spellStart"/>
      <w:r w:rsidRPr="002906A3">
        <w:t>repercussions</w:t>
      </w:r>
      <w:proofErr w:type="spellEnd"/>
      <w:r w:rsidRPr="002906A3">
        <w:t xml:space="preserve"> of his </w:t>
      </w:r>
      <w:proofErr w:type="spellStart"/>
      <w:r w:rsidRPr="002906A3">
        <w:t>hubris</w:t>
      </w:r>
      <w:proofErr w:type="spellEnd"/>
      <w:r w:rsidRPr="002906A3">
        <w:t xml:space="preserve">, modern </w:t>
      </w:r>
      <w:proofErr w:type="spellStart"/>
      <w:r w:rsidRPr="002906A3">
        <w:t>technologists</w:t>
      </w:r>
      <w:proofErr w:type="spellEnd"/>
      <w:r w:rsidRPr="002906A3">
        <w:t xml:space="preserve"> </w:t>
      </w:r>
      <w:proofErr w:type="spellStart"/>
      <w:r w:rsidRPr="002906A3">
        <w:t>must</w:t>
      </w:r>
      <w:proofErr w:type="spellEnd"/>
      <w:r w:rsidRPr="002906A3">
        <w:t xml:space="preserve"> </w:t>
      </w:r>
      <w:proofErr w:type="spellStart"/>
      <w:r w:rsidRPr="002906A3">
        <w:t>reflect</w:t>
      </w:r>
      <w:proofErr w:type="spellEnd"/>
      <w:r w:rsidRPr="002906A3">
        <w:t xml:space="preserve"> on </w:t>
      </w:r>
      <w:proofErr w:type="spellStart"/>
      <w:r w:rsidRPr="002906A3">
        <w:t>the</w:t>
      </w:r>
      <w:proofErr w:type="spellEnd"/>
      <w:r w:rsidRPr="002906A3">
        <w:t xml:space="preserve"> </w:t>
      </w:r>
      <w:proofErr w:type="spellStart"/>
      <w:r w:rsidRPr="002906A3">
        <w:t>societal</w:t>
      </w:r>
      <w:proofErr w:type="spellEnd"/>
      <w:r w:rsidRPr="002906A3">
        <w:t xml:space="preserve"> </w:t>
      </w:r>
      <w:proofErr w:type="spellStart"/>
      <w:r w:rsidRPr="002906A3">
        <w:t>impact</w:t>
      </w:r>
      <w:proofErr w:type="spellEnd"/>
      <w:r w:rsidRPr="002906A3">
        <w:t xml:space="preserve"> of </w:t>
      </w:r>
      <w:proofErr w:type="spellStart"/>
      <w:r w:rsidRPr="002906A3">
        <w:t>their</w:t>
      </w:r>
      <w:proofErr w:type="spellEnd"/>
      <w:r w:rsidRPr="002906A3">
        <w:t xml:space="preserve"> </w:t>
      </w:r>
      <w:proofErr w:type="spellStart"/>
      <w:r w:rsidRPr="002906A3">
        <w:t>work</w:t>
      </w:r>
      <w:proofErr w:type="spellEnd"/>
      <w:r w:rsidRPr="002906A3">
        <w:t xml:space="preserve"> (</w:t>
      </w:r>
      <w:proofErr w:type="spellStart"/>
      <w:r w:rsidRPr="002906A3">
        <w:t>Kayaltı</w:t>
      </w:r>
      <w:proofErr w:type="spellEnd"/>
      <w:r w:rsidRPr="002906A3">
        <w:t xml:space="preserve"> &amp; Belenli, 2024).</w:t>
      </w:r>
    </w:p>
    <w:p w14:paraId="76109C93" w14:textId="77777777" w:rsidR="001E7189" w:rsidRPr="002906A3" w:rsidRDefault="001E7189" w:rsidP="00BA67A6">
      <w:pPr>
        <w:jc w:val="both"/>
      </w:pPr>
    </w:p>
    <w:p w14:paraId="7653ACB5" w14:textId="77777777" w:rsidR="001E7189" w:rsidRPr="002906A3" w:rsidRDefault="001E7189" w:rsidP="00BA67A6">
      <w:pPr>
        <w:jc w:val="both"/>
      </w:pPr>
      <w:proofErr w:type="spellStart"/>
      <w:r w:rsidRPr="002906A3">
        <w:t>Moreover</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neglecting</w:t>
      </w:r>
      <w:proofErr w:type="spellEnd"/>
      <w:r w:rsidRPr="002906A3">
        <w:t xml:space="preserve"> </w:t>
      </w:r>
      <w:proofErr w:type="spellStart"/>
      <w:r w:rsidRPr="002906A3">
        <w:t>responsibility</w:t>
      </w:r>
      <w:proofErr w:type="spellEnd"/>
      <w:r w:rsidRPr="002906A3">
        <w:t xml:space="preserve"> </w:t>
      </w:r>
      <w:proofErr w:type="spellStart"/>
      <w:r w:rsidRPr="002906A3">
        <w:t>extend</w:t>
      </w:r>
      <w:proofErr w:type="spellEnd"/>
      <w:r w:rsidRPr="002906A3">
        <w:t xml:space="preserve"> </w:t>
      </w:r>
      <w:proofErr w:type="spellStart"/>
      <w:r w:rsidRPr="002906A3">
        <w:t>beyond</w:t>
      </w:r>
      <w:proofErr w:type="spellEnd"/>
      <w:r w:rsidRPr="002906A3">
        <w:t xml:space="preserve"> </w:t>
      </w:r>
      <w:proofErr w:type="spellStart"/>
      <w:r w:rsidRPr="002906A3">
        <w:t>individuals</w:t>
      </w:r>
      <w:proofErr w:type="spellEnd"/>
      <w:r w:rsidRPr="002906A3">
        <w:t xml:space="preserve"> </w:t>
      </w:r>
      <w:proofErr w:type="spellStart"/>
      <w:r w:rsidRPr="002906A3">
        <w:t>to</w:t>
      </w:r>
      <w:proofErr w:type="spellEnd"/>
      <w:r w:rsidRPr="002906A3">
        <w:t xml:space="preserve"> </w:t>
      </w:r>
      <w:proofErr w:type="spellStart"/>
      <w:r w:rsidRPr="002906A3">
        <w:t>society</w:t>
      </w:r>
      <w:proofErr w:type="spellEnd"/>
      <w:r w:rsidRPr="002906A3">
        <w:t xml:space="preserve"> at </w:t>
      </w:r>
      <w:proofErr w:type="spellStart"/>
      <w:r w:rsidRPr="002906A3">
        <w:t>large</w:t>
      </w:r>
      <w:proofErr w:type="spellEnd"/>
      <w:r w:rsidRPr="002906A3">
        <w:t xml:space="preserve">. </w:t>
      </w:r>
      <w:proofErr w:type="spellStart"/>
      <w:r w:rsidRPr="002906A3">
        <w:t>The</w:t>
      </w:r>
      <w:proofErr w:type="spellEnd"/>
      <w:r w:rsidRPr="002906A3">
        <w:t xml:space="preserve"> </w:t>
      </w:r>
      <w:proofErr w:type="spellStart"/>
      <w:r w:rsidRPr="002906A3">
        <w:t>novel</w:t>
      </w:r>
      <w:proofErr w:type="spellEnd"/>
      <w:r w:rsidRPr="002906A3">
        <w:t xml:space="preserve"> </w:t>
      </w:r>
      <w:proofErr w:type="spellStart"/>
      <w:r w:rsidRPr="002906A3">
        <w:t>compels</w:t>
      </w:r>
      <w:proofErr w:type="spellEnd"/>
      <w:r w:rsidRPr="002906A3">
        <w:t xml:space="preserve"> </w:t>
      </w:r>
      <w:proofErr w:type="spellStart"/>
      <w:r w:rsidRPr="002906A3">
        <w:t>readers</w:t>
      </w:r>
      <w:proofErr w:type="spellEnd"/>
      <w:r w:rsidRPr="002906A3">
        <w:t xml:space="preserve"> </w:t>
      </w:r>
      <w:proofErr w:type="spellStart"/>
      <w:r w:rsidRPr="002906A3">
        <w:t>to</w:t>
      </w:r>
      <w:proofErr w:type="spellEnd"/>
      <w:r w:rsidRPr="002906A3">
        <w:t xml:space="preserve"> </w:t>
      </w:r>
      <w:proofErr w:type="spellStart"/>
      <w:r w:rsidRPr="002906A3">
        <w:t>consider</w:t>
      </w:r>
      <w:proofErr w:type="spellEnd"/>
      <w:r w:rsidRPr="002906A3">
        <w:t xml:space="preserve"> </w:t>
      </w:r>
      <w:proofErr w:type="spellStart"/>
      <w:r w:rsidRPr="002906A3">
        <w:t>collective</w:t>
      </w:r>
      <w:proofErr w:type="spellEnd"/>
      <w:r w:rsidRPr="002906A3">
        <w:t xml:space="preserve"> </w:t>
      </w:r>
      <w:proofErr w:type="spellStart"/>
      <w:r w:rsidRPr="002906A3">
        <w:t>responsibility</w:t>
      </w:r>
      <w:proofErr w:type="spellEnd"/>
      <w:r w:rsidRPr="002906A3">
        <w:t xml:space="preserve"> in </w:t>
      </w:r>
      <w:proofErr w:type="spellStart"/>
      <w:r w:rsidRPr="002906A3">
        <w:t>managing</w:t>
      </w:r>
      <w:proofErr w:type="spellEnd"/>
      <w:r w:rsidRPr="002906A3">
        <w:t xml:space="preserve"> </w:t>
      </w:r>
      <w:proofErr w:type="spellStart"/>
      <w:r w:rsidRPr="002906A3">
        <w:t>advanced</w:t>
      </w:r>
      <w:proofErr w:type="spellEnd"/>
      <w:r w:rsidRPr="002906A3">
        <w:t xml:space="preserve"> </w:t>
      </w:r>
      <w:proofErr w:type="spellStart"/>
      <w:r w:rsidRPr="002906A3">
        <w:t>technologies</w:t>
      </w:r>
      <w:proofErr w:type="spellEnd"/>
      <w:r w:rsidRPr="002906A3">
        <w:t xml:space="preserve"> </w:t>
      </w:r>
      <w:proofErr w:type="spellStart"/>
      <w:r w:rsidRPr="002906A3">
        <w:t>that</w:t>
      </w:r>
      <w:proofErr w:type="spellEnd"/>
      <w:r w:rsidRPr="002906A3">
        <w:t xml:space="preserve"> </w:t>
      </w:r>
      <w:proofErr w:type="spellStart"/>
      <w:r w:rsidRPr="002906A3">
        <w:t>reshape</w:t>
      </w:r>
      <w:proofErr w:type="spellEnd"/>
      <w:r w:rsidRPr="002906A3">
        <w:t xml:space="preserve"> </w:t>
      </w:r>
      <w:proofErr w:type="spellStart"/>
      <w:r w:rsidRPr="002906A3">
        <w:t>human</w:t>
      </w:r>
      <w:proofErr w:type="spellEnd"/>
      <w:r w:rsidRPr="002906A3">
        <w:t xml:space="preserve"> </w:t>
      </w:r>
      <w:proofErr w:type="spellStart"/>
      <w:r w:rsidRPr="002906A3">
        <w:t>experiences</w:t>
      </w:r>
      <w:proofErr w:type="spellEnd"/>
      <w:r w:rsidRPr="002906A3">
        <w:t xml:space="preserve">. </w:t>
      </w:r>
      <w:proofErr w:type="spellStart"/>
      <w:r w:rsidRPr="002906A3">
        <w:t>The</w:t>
      </w:r>
      <w:proofErr w:type="spellEnd"/>
      <w:r w:rsidRPr="002906A3">
        <w:t xml:space="preserve"> </w:t>
      </w:r>
      <w:proofErr w:type="spellStart"/>
      <w:r w:rsidRPr="002906A3">
        <w:t>loneliness</w:t>
      </w:r>
      <w:proofErr w:type="spellEnd"/>
      <w:r w:rsidRPr="002906A3">
        <w:t xml:space="preserve"> </w:t>
      </w:r>
      <w:proofErr w:type="spellStart"/>
      <w:r w:rsidRPr="002906A3">
        <w:t>and</w:t>
      </w:r>
      <w:proofErr w:type="spellEnd"/>
      <w:r w:rsidRPr="002906A3">
        <w:t xml:space="preserve"> </w:t>
      </w:r>
      <w:proofErr w:type="spellStart"/>
      <w:r w:rsidRPr="002906A3">
        <w:t>despair</w:t>
      </w:r>
      <w:proofErr w:type="spellEnd"/>
      <w:r w:rsidRPr="002906A3">
        <w:t xml:space="preserve"> of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parallel</w:t>
      </w:r>
      <w:proofErr w:type="spellEnd"/>
      <w:r w:rsidRPr="002906A3">
        <w:t xml:space="preserve"> </w:t>
      </w:r>
      <w:proofErr w:type="spellStart"/>
      <w:r w:rsidRPr="002906A3">
        <w:t>the</w:t>
      </w:r>
      <w:proofErr w:type="spellEnd"/>
      <w:r w:rsidRPr="002906A3">
        <w:t xml:space="preserve"> </w:t>
      </w:r>
      <w:proofErr w:type="spellStart"/>
      <w:r w:rsidRPr="002906A3">
        <w:t>negative</w:t>
      </w:r>
      <w:proofErr w:type="spellEnd"/>
      <w:r w:rsidRPr="002906A3">
        <w:t xml:space="preserve"> </w:t>
      </w:r>
      <w:proofErr w:type="spellStart"/>
      <w:r w:rsidRPr="002906A3">
        <w:t>social</w:t>
      </w:r>
      <w:proofErr w:type="spellEnd"/>
      <w:r w:rsidRPr="002906A3">
        <w:t xml:space="preserve"> </w:t>
      </w:r>
      <w:proofErr w:type="spellStart"/>
      <w:r w:rsidRPr="002906A3">
        <w:t>consequences</w:t>
      </w:r>
      <w:proofErr w:type="spellEnd"/>
      <w:r w:rsidRPr="002906A3">
        <w:t xml:space="preserve"> </w:t>
      </w:r>
      <w:proofErr w:type="spellStart"/>
      <w:r w:rsidRPr="002906A3">
        <w:t>that</w:t>
      </w:r>
      <w:proofErr w:type="spellEnd"/>
      <w:r w:rsidRPr="002906A3">
        <w:t xml:space="preserve"> </w:t>
      </w:r>
      <w:proofErr w:type="spellStart"/>
      <w:r w:rsidRPr="002906A3">
        <w:t>emerge</w:t>
      </w:r>
      <w:proofErr w:type="spellEnd"/>
      <w:r w:rsidRPr="002906A3">
        <w:t xml:space="preserve"> </w:t>
      </w:r>
      <w:proofErr w:type="spellStart"/>
      <w:r w:rsidRPr="002906A3">
        <w:t>when</w:t>
      </w:r>
      <w:proofErr w:type="spellEnd"/>
      <w:r w:rsidRPr="002906A3">
        <w:t xml:space="preserve"> </w:t>
      </w:r>
      <w:proofErr w:type="spellStart"/>
      <w:r w:rsidRPr="002906A3">
        <w:t>ethical</w:t>
      </w:r>
      <w:proofErr w:type="spellEnd"/>
      <w:r w:rsidRPr="002906A3">
        <w:t xml:space="preserve"> </w:t>
      </w:r>
      <w:proofErr w:type="spellStart"/>
      <w:r w:rsidRPr="002906A3">
        <w:t>responsibility</w:t>
      </w:r>
      <w:proofErr w:type="spellEnd"/>
      <w:r w:rsidRPr="002906A3">
        <w:t xml:space="preserve"> is </w:t>
      </w:r>
      <w:proofErr w:type="spellStart"/>
      <w:r w:rsidRPr="002906A3">
        <w:t>marginalized</w:t>
      </w:r>
      <w:proofErr w:type="spellEnd"/>
      <w:r w:rsidRPr="002906A3">
        <w:t xml:space="preserve">. As AI </w:t>
      </w:r>
      <w:proofErr w:type="spellStart"/>
      <w:r w:rsidRPr="002906A3">
        <w:t>and</w:t>
      </w:r>
      <w:proofErr w:type="spellEnd"/>
      <w:r w:rsidRPr="002906A3">
        <w:t xml:space="preserve"> </w:t>
      </w:r>
      <w:proofErr w:type="spellStart"/>
      <w:r w:rsidRPr="002906A3">
        <w:t>other</w:t>
      </w:r>
      <w:proofErr w:type="spellEnd"/>
      <w:r w:rsidRPr="002906A3">
        <w:t xml:space="preserve"> </w:t>
      </w:r>
      <w:proofErr w:type="spellStart"/>
      <w:r w:rsidRPr="002906A3">
        <w:t>technologies</w:t>
      </w:r>
      <w:proofErr w:type="spellEnd"/>
      <w:r w:rsidRPr="002906A3">
        <w:t xml:space="preserve"> </w:t>
      </w:r>
      <w:proofErr w:type="spellStart"/>
      <w:r w:rsidRPr="002906A3">
        <w:t>become</w:t>
      </w:r>
      <w:proofErr w:type="spellEnd"/>
      <w:r w:rsidRPr="002906A3">
        <w:t xml:space="preserve"> </w:t>
      </w:r>
      <w:proofErr w:type="spellStart"/>
      <w:r w:rsidRPr="002906A3">
        <w:t>increasingly</w:t>
      </w:r>
      <w:proofErr w:type="spellEnd"/>
      <w:r w:rsidRPr="002906A3">
        <w:t xml:space="preserve"> </w:t>
      </w:r>
      <w:proofErr w:type="spellStart"/>
      <w:r w:rsidRPr="002906A3">
        <w:t>integrated</w:t>
      </w:r>
      <w:proofErr w:type="spellEnd"/>
      <w:r w:rsidRPr="002906A3">
        <w:t xml:space="preserve"> </w:t>
      </w:r>
      <w:proofErr w:type="spellStart"/>
      <w:r w:rsidRPr="002906A3">
        <w:t>into</w:t>
      </w:r>
      <w:proofErr w:type="spellEnd"/>
      <w:r w:rsidRPr="002906A3">
        <w:t xml:space="preserve"> </w:t>
      </w:r>
      <w:proofErr w:type="spellStart"/>
      <w:r w:rsidRPr="002906A3">
        <w:t>daily</w:t>
      </w:r>
      <w:proofErr w:type="spellEnd"/>
      <w:r w:rsidRPr="002906A3">
        <w:t xml:space="preserve"> life, </w:t>
      </w:r>
      <w:proofErr w:type="spellStart"/>
      <w:r w:rsidRPr="002906A3">
        <w:t>issues</w:t>
      </w:r>
      <w:proofErr w:type="spellEnd"/>
      <w:r w:rsidRPr="002906A3">
        <w:t xml:space="preserve"> of </w:t>
      </w:r>
      <w:proofErr w:type="spellStart"/>
      <w:r w:rsidRPr="002906A3">
        <w:t>alienation</w:t>
      </w:r>
      <w:proofErr w:type="spellEnd"/>
      <w:r w:rsidRPr="002906A3">
        <w:t xml:space="preserve">, </w:t>
      </w:r>
      <w:proofErr w:type="spellStart"/>
      <w:r w:rsidRPr="002906A3">
        <w:t>fear</w:t>
      </w:r>
      <w:proofErr w:type="spellEnd"/>
      <w:r w:rsidRPr="002906A3">
        <w:t xml:space="preserve">, </w:t>
      </w:r>
      <w:proofErr w:type="spellStart"/>
      <w:r w:rsidRPr="002906A3">
        <w:t>and</w:t>
      </w:r>
      <w:proofErr w:type="spellEnd"/>
      <w:r w:rsidRPr="002906A3">
        <w:t xml:space="preserve"> </w:t>
      </w:r>
      <w:proofErr w:type="spellStart"/>
      <w:r w:rsidRPr="002906A3">
        <w:t>uncertainty</w:t>
      </w:r>
      <w:proofErr w:type="spellEnd"/>
      <w:r w:rsidRPr="002906A3">
        <w:t xml:space="preserve"> </w:t>
      </w:r>
      <w:proofErr w:type="spellStart"/>
      <w:r w:rsidRPr="002906A3">
        <w:t>arise</w:t>
      </w:r>
      <w:proofErr w:type="spellEnd"/>
      <w:r w:rsidRPr="002906A3">
        <w:t>—</w:t>
      </w:r>
      <w:proofErr w:type="spellStart"/>
      <w:r w:rsidRPr="002906A3">
        <w:t>mirroring</w:t>
      </w:r>
      <w:proofErr w:type="spellEnd"/>
      <w:r w:rsidRPr="002906A3">
        <w:t xml:space="preserve"> </w:t>
      </w:r>
      <w:proofErr w:type="spellStart"/>
      <w:r w:rsidRPr="002906A3">
        <w:t>the</w:t>
      </w:r>
      <w:proofErr w:type="spellEnd"/>
      <w:r w:rsidRPr="002906A3">
        <w:t xml:space="preserve"> </w:t>
      </w:r>
      <w:proofErr w:type="spellStart"/>
      <w:r w:rsidRPr="002906A3">
        <w:t>struggles</w:t>
      </w:r>
      <w:proofErr w:type="spellEnd"/>
      <w:r w:rsidRPr="002906A3">
        <w:t xml:space="preserve"> of </w:t>
      </w:r>
      <w:proofErr w:type="spellStart"/>
      <w:r w:rsidRPr="002906A3">
        <w:t>Victor’s</w:t>
      </w:r>
      <w:proofErr w:type="spellEnd"/>
      <w:r w:rsidRPr="002906A3">
        <w:t xml:space="preserve"> </w:t>
      </w:r>
      <w:proofErr w:type="spellStart"/>
      <w:r w:rsidRPr="002906A3">
        <w:t>creation</w:t>
      </w:r>
      <w:proofErr w:type="spellEnd"/>
      <w:r w:rsidRPr="002906A3">
        <w:t xml:space="preserve">. </w:t>
      </w:r>
      <w:proofErr w:type="spellStart"/>
      <w:r w:rsidRPr="002906A3">
        <w:t>Recognizing</w:t>
      </w:r>
      <w:proofErr w:type="spellEnd"/>
      <w:r w:rsidRPr="002906A3">
        <w:t xml:space="preserve"> </w:t>
      </w:r>
      <w:proofErr w:type="spellStart"/>
      <w:r w:rsidRPr="002906A3">
        <w:t>the</w:t>
      </w:r>
      <w:proofErr w:type="spellEnd"/>
      <w:r w:rsidRPr="002906A3">
        <w:t xml:space="preserve"> </w:t>
      </w:r>
      <w:proofErr w:type="spellStart"/>
      <w:r w:rsidRPr="002906A3">
        <w:t>potential</w:t>
      </w:r>
      <w:proofErr w:type="spellEnd"/>
      <w:r w:rsidRPr="002906A3">
        <w:t xml:space="preserve"> </w:t>
      </w:r>
      <w:proofErr w:type="spellStart"/>
      <w:r w:rsidRPr="002906A3">
        <w:t>for</w:t>
      </w:r>
      <w:proofErr w:type="spellEnd"/>
      <w:r w:rsidRPr="002906A3">
        <w:t xml:space="preserve"> </w:t>
      </w:r>
      <w:proofErr w:type="spellStart"/>
      <w:r w:rsidRPr="002906A3">
        <w:t>harm</w:t>
      </w:r>
      <w:proofErr w:type="spellEnd"/>
      <w:r w:rsidRPr="002906A3">
        <w:t xml:space="preserve"> </w:t>
      </w:r>
      <w:proofErr w:type="spellStart"/>
      <w:r w:rsidRPr="002906A3">
        <w:t>reinforces</w:t>
      </w:r>
      <w:proofErr w:type="spellEnd"/>
      <w:r w:rsidRPr="002906A3">
        <w:t xml:space="preserve"> </w:t>
      </w:r>
      <w:proofErr w:type="spellStart"/>
      <w:r w:rsidRPr="002906A3">
        <w:t>the</w:t>
      </w:r>
      <w:proofErr w:type="spellEnd"/>
      <w:r w:rsidRPr="002906A3">
        <w:t xml:space="preserve"> </w:t>
      </w:r>
      <w:proofErr w:type="spellStart"/>
      <w:r w:rsidRPr="002906A3">
        <w:t>necessity</w:t>
      </w:r>
      <w:proofErr w:type="spellEnd"/>
      <w:r w:rsidRPr="002906A3">
        <w:t xml:space="preserve"> of </w:t>
      </w:r>
      <w:proofErr w:type="spellStart"/>
      <w:r w:rsidRPr="002906A3">
        <w:t>ethical</w:t>
      </w:r>
      <w:proofErr w:type="spellEnd"/>
      <w:r w:rsidRPr="002906A3">
        <w:t xml:space="preserve"> </w:t>
      </w:r>
      <w:proofErr w:type="spellStart"/>
      <w:r w:rsidRPr="002906A3">
        <w:t>frameworks</w:t>
      </w:r>
      <w:proofErr w:type="spellEnd"/>
      <w:r w:rsidRPr="002906A3">
        <w:t xml:space="preserve"> </w:t>
      </w:r>
      <w:proofErr w:type="spellStart"/>
      <w:r w:rsidRPr="002906A3">
        <w:t>to</w:t>
      </w:r>
      <w:proofErr w:type="spellEnd"/>
      <w:r w:rsidRPr="002906A3">
        <w:t xml:space="preserve"> </w:t>
      </w:r>
      <w:proofErr w:type="spellStart"/>
      <w:r w:rsidRPr="002906A3">
        <w:t>guide</w:t>
      </w:r>
      <w:proofErr w:type="spellEnd"/>
      <w:r w:rsidRPr="002906A3">
        <w:t xml:space="preserve"> </w:t>
      </w:r>
      <w:proofErr w:type="spellStart"/>
      <w:r w:rsidRPr="002906A3">
        <w:t>technological</w:t>
      </w:r>
      <w:proofErr w:type="spellEnd"/>
      <w:r w:rsidRPr="002906A3">
        <w:t xml:space="preserve"> </w:t>
      </w:r>
      <w:proofErr w:type="spellStart"/>
      <w:r w:rsidRPr="002906A3">
        <w:t>advancement</w:t>
      </w:r>
      <w:proofErr w:type="spellEnd"/>
      <w:r w:rsidRPr="002906A3">
        <w:t xml:space="preserve"> (</w:t>
      </w:r>
      <w:proofErr w:type="spellStart"/>
      <w:r w:rsidRPr="002906A3">
        <w:t>Cambra-Badii</w:t>
      </w:r>
      <w:proofErr w:type="spellEnd"/>
      <w:r w:rsidRPr="002906A3">
        <w:t xml:space="preserve"> et al., 2020).</w:t>
      </w:r>
    </w:p>
    <w:p w14:paraId="03159EF5" w14:textId="77777777" w:rsidR="001E7189" w:rsidRPr="002906A3" w:rsidRDefault="001E7189" w:rsidP="00BA67A6">
      <w:pPr>
        <w:jc w:val="both"/>
      </w:pPr>
    </w:p>
    <w:p w14:paraId="6F7FD293" w14:textId="77777777" w:rsidR="001E7189" w:rsidRPr="002906A3" w:rsidRDefault="001E7189" w:rsidP="00BA67A6">
      <w:pPr>
        <w:jc w:val="both"/>
      </w:pPr>
      <w:proofErr w:type="spellStart"/>
      <w:r w:rsidRPr="002906A3">
        <w:t>In</w:t>
      </w:r>
      <w:proofErr w:type="spellEnd"/>
      <w:r w:rsidRPr="002906A3">
        <w:t xml:space="preserve"> </w:t>
      </w:r>
      <w:proofErr w:type="spellStart"/>
      <w:r w:rsidRPr="002906A3">
        <w:t>conclusion</w:t>
      </w:r>
      <w:proofErr w:type="spellEnd"/>
      <w:r w:rsidRPr="002906A3">
        <w:t xml:space="preserve">, </w:t>
      </w:r>
      <w:proofErr w:type="spellStart"/>
      <w:r w:rsidRPr="002906A3">
        <w:t>the</w:t>
      </w:r>
      <w:proofErr w:type="spellEnd"/>
      <w:r w:rsidRPr="002906A3">
        <w:t xml:space="preserve"> </w:t>
      </w:r>
      <w:proofErr w:type="spellStart"/>
      <w:r w:rsidRPr="002906A3">
        <w:t>lessons</w:t>
      </w:r>
      <w:proofErr w:type="spellEnd"/>
      <w:r w:rsidRPr="002906A3">
        <w:t xml:space="preserve"> of </w:t>
      </w:r>
      <w:r w:rsidRPr="002906A3">
        <w:rPr>
          <w:i/>
          <w:iCs/>
        </w:rPr>
        <w:t>Frankenstein</w:t>
      </w:r>
      <w:r w:rsidRPr="002906A3">
        <w:t xml:space="preserve"> </w:t>
      </w:r>
      <w:proofErr w:type="spellStart"/>
      <w:r w:rsidRPr="002906A3">
        <w:t>emphasize</w:t>
      </w:r>
      <w:proofErr w:type="spellEnd"/>
      <w:r w:rsidRPr="002906A3">
        <w:t xml:space="preserve"> </w:t>
      </w:r>
      <w:proofErr w:type="spellStart"/>
      <w:r w:rsidRPr="002906A3">
        <w:t>the</w:t>
      </w:r>
      <w:proofErr w:type="spellEnd"/>
      <w:r w:rsidRPr="002906A3">
        <w:t xml:space="preserve"> </w:t>
      </w:r>
      <w:proofErr w:type="spellStart"/>
      <w:r w:rsidRPr="002906A3">
        <w:t>importance</w:t>
      </w:r>
      <w:proofErr w:type="spellEnd"/>
      <w:r w:rsidRPr="002906A3">
        <w:t xml:space="preserve"> of </w:t>
      </w:r>
      <w:proofErr w:type="spellStart"/>
      <w:r w:rsidRPr="002906A3">
        <w:t>ethical</w:t>
      </w:r>
      <w:proofErr w:type="spellEnd"/>
      <w:r w:rsidRPr="002906A3">
        <w:t xml:space="preserve"> </w:t>
      </w:r>
      <w:proofErr w:type="spellStart"/>
      <w:r w:rsidRPr="002906A3">
        <w:t>contemplation</w:t>
      </w:r>
      <w:proofErr w:type="spellEnd"/>
      <w:r w:rsidRPr="002906A3">
        <w:t xml:space="preserve"> in </w:t>
      </w:r>
      <w:proofErr w:type="spellStart"/>
      <w:r w:rsidRPr="002906A3">
        <w:t>scientific</w:t>
      </w:r>
      <w:proofErr w:type="spellEnd"/>
      <w:r w:rsidRPr="002906A3">
        <w:t xml:space="preserve"> </w:t>
      </w:r>
      <w:proofErr w:type="spellStart"/>
      <w:r w:rsidRPr="002906A3">
        <w:t>endeavors</w:t>
      </w:r>
      <w:proofErr w:type="spellEnd"/>
      <w:r w:rsidRPr="002906A3">
        <w:t xml:space="preserve">. </w:t>
      </w:r>
      <w:proofErr w:type="spellStart"/>
      <w:r w:rsidRPr="002906A3">
        <w:t>By</w:t>
      </w:r>
      <w:proofErr w:type="spellEnd"/>
      <w:r w:rsidRPr="002906A3">
        <w:t xml:space="preserve"> </w:t>
      </w:r>
      <w:proofErr w:type="spellStart"/>
      <w:r w:rsidRPr="002906A3">
        <w:t>examining</w:t>
      </w:r>
      <w:proofErr w:type="spellEnd"/>
      <w:r w:rsidRPr="002906A3">
        <w:t xml:space="preserve"> </w:t>
      </w:r>
      <w:proofErr w:type="spellStart"/>
      <w:r w:rsidRPr="002906A3">
        <w:t>the</w:t>
      </w:r>
      <w:proofErr w:type="spellEnd"/>
      <w:r w:rsidRPr="002906A3">
        <w:t xml:space="preserve"> </w:t>
      </w:r>
      <w:proofErr w:type="spellStart"/>
      <w:r w:rsidRPr="002906A3">
        <w:t>profound</w:t>
      </w:r>
      <w:proofErr w:type="spellEnd"/>
      <w:r w:rsidRPr="002906A3">
        <w:t xml:space="preserve"> </w:t>
      </w:r>
      <w:proofErr w:type="spellStart"/>
      <w:r w:rsidRPr="002906A3">
        <w:t>consequences</w:t>
      </w:r>
      <w:proofErr w:type="spellEnd"/>
      <w:r w:rsidRPr="002906A3">
        <w:t xml:space="preserve"> of Victor </w:t>
      </w:r>
      <w:proofErr w:type="spellStart"/>
      <w:r w:rsidRPr="002906A3">
        <w:t>Frankenstein’s</w:t>
      </w:r>
      <w:proofErr w:type="spellEnd"/>
      <w:r w:rsidRPr="002906A3">
        <w:t xml:space="preserve"> </w:t>
      </w:r>
      <w:proofErr w:type="spellStart"/>
      <w:r w:rsidRPr="002906A3">
        <w:t>choices</w:t>
      </w:r>
      <w:proofErr w:type="spellEnd"/>
      <w:r w:rsidRPr="002906A3">
        <w:t xml:space="preserve">, </w:t>
      </w:r>
      <w:proofErr w:type="spellStart"/>
      <w:r w:rsidRPr="002906A3">
        <w:t>scholars</w:t>
      </w:r>
      <w:proofErr w:type="spellEnd"/>
      <w:r w:rsidRPr="002906A3">
        <w:t xml:space="preserve"> </w:t>
      </w:r>
      <w:proofErr w:type="spellStart"/>
      <w:r w:rsidRPr="002906A3">
        <w:t>and</w:t>
      </w:r>
      <w:proofErr w:type="spellEnd"/>
      <w:r w:rsidRPr="002906A3">
        <w:t xml:space="preserve"> </w:t>
      </w:r>
      <w:proofErr w:type="spellStart"/>
      <w:r w:rsidRPr="002906A3">
        <w:t>professionals</w:t>
      </w:r>
      <w:proofErr w:type="spellEnd"/>
      <w:r w:rsidRPr="002906A3">
        <w:t xml:space="preserve"> can </w:t>
      </w:r>
      <w:proofErr w:type="spellStart"/>
      <w:r w:rsidRPr="002906A3">
        <w:t>draw</w:t>
      </w:r>
      <w:proofErr w:type="spellEnd"/>
      <w:r w:rsidRPr="002906A3">
        <w:t xml:space="preserve"> </w:t>
      </w:r>
      <w:proofErr w:type="spellStart"/>
      <w:r w:rsidRPr="002906A3">
        <w:t>valuable</w:t>
      </w:r>
      <w:proofErr w:type="spellEnd"/>
      <w:r w:rsidRPr="002906A3">
        <w:t xml:space="preserve"> </w:t>
      </w:r>
      <w:proofErr w:type="spellStart"/>
      <w:r w:rsidRPr="002906A3">
        <w:t>parallels</w:t>
      </w:r>
      <w:proofErr w:type="spellEnd"/>
      <w:r w:rsidRPr="002906A3">
        <w:t xml:space="preserve"> </w:t>
      </w:r>
      <w:proofErr w:type="spellStart"/>
      <w:r w:rsidRPr="002906A3">
        <w:t>to</w:t>
      </w:r>
      <w:proofErr w:type="spellEnd"/>
      <w:r w:rsidRPr="002906A3">
        <w:t xml:space="preserve"> </w:t>
      </w:r>
      <w:proofErr w:type="spellStart"/>
      <w:r w:rsidRPr="002906A3">
        <w:t>today's</w:t>
      </w:r>
      <w:proofErr w:type="spellEnd"/>
      <w:r w:rsidRPr="002906A3">
        <w:t xml:space="preserve"> </w:t>
      </w:r>
      <w:proofErr w:type="spellStart"/>
      <w:r w:rsidRPr="002906A3">
        <w:t>technological</w:t>
      </w:r>
      <w:proofErr w:type="spellEnd"/>
      <w:r w:rsidRPr="002906A3">
        <w:t xml:space="preserve"> </w:t>
      </w:r>
      <w:proofErr w:type="spellStart"/>
      <w:r w:rsidRPr="002906A3">
        <w:t>landscape</w:t>
      </w:r>
      <w:proofErr w:type="spellEnd"/>
      <w:r w:rsidRPr="002906A3">
        <w:t xml:space="preserve">. </w:t>
      </w:r>
      <w:proofErr w:type="spellStart"/>
      <w:r w:rsidRPr="002906A3">
        <w:t>The</w:t>
      </w:r>
      <w:proofErr w:type="spellEnd"/>
      <w:r w:rsidRPr="002906A3">
        <w:t xml:space="preserve"> </w:t>
      </w:r>
      <w:proofErr w:type="spellStart"/>
      <w:r w:rsidRPr="002906A3">
        <w:t>novel</w:t>
      </w:r>
      <w:proofErr w:type="spellEnd"/>
      <w:r w:rsidRPr="002906A3">
        <w:t xml:space="preserve"> </w:t>
      </w:r>
      <w:proofErr w:type="spellStart"/>
      <w:r w:rsidRPr="002906A3">
        <w:t>encourages</w:t>
      </w:r>
      <w:proofErr w:type="spellEnd"/>
      <w:r w:rsidRPr="002906A3">
        <w:t xml:space="preserve"> a </w:t>
      </w:r>
      <w:proofErr w:type="spellStart"/>
      <w:r w:rsidRPr="002906A3">
        <w:t>critical</w:t>
      </w:r>
      <w:proofErr w:type="spellEnd"/>
      <w:r w:rsidRPr="002906A3">
        <w:t xml:space="preserve"> </w:t>
      </w:r>
      <w:proofErr w:type="spellStart"/>
      <w:r w:rsidRPr="002906A3">
        <w:t>examination</w:t>
      </w:r>
      <w:proofErr w:type="spellEnd"/>
      <w:r w:rsidRPr="002906A3">
        <w:t xml:space="preserve"> of </w:t>
      </w:r>
      <w:proofErr w:type="spellStart"/>
      <w:r w:rsidRPr="002906A3">
        <w:t>the</w:t>
      </w:r>
      <w:proofErr w:type="spellEnd"/>
      <w:r w:rsidRPr="002906A3">
        <w:t xml:space="preserve"> </w:t>
      </w:r>
      <w:proofErr w:type="spellStart"/>
      <w:r w:rsidRPr="002906A3">
        <w:t>intersection</w:t>
      </w:r>
      <w:proofErr w:type="spellEnd"/>
      <w:r w:rsidRPr="002906A3">
        <w:t xml:space="preserve"> </w:t>
      </w:r>
      <w:proofErr w:type="spellStart"/>
      <w:r w:rsidRPr="002906A3">
        <w:t>between</w:t>
      </w:r>
      <w:proofErr w:type="spellEnd"/>
      <w:r w:rsidRPr="002906A3">
        <w:t xml:space="preserve"> </w:t>
      </w:r>
      <w:proofErr w:type="spellStart"/>
      <w:r w:rsidRPr="002906A3">
        <w:t>creation</w:t>
      </w:r>
      <w:proofErr w:type="spellEnd"/>
      <w:r w:rsidRPr="002906A3">
        <w:t xml:space="preserve"> </w:t>
      </w:r>
      <w:proofErr w:type="spellStart"/>
      <w:r w:rsidRPr="002906A3">
        <w:t>and</w:t>
      </w:r>
      <w:proofErr w:type="spellEnd"/>
      <w:r w:rsidRPr="002906A3">
        <w:t xml:space="preserve"> </w:t>
      </w:r>
      <w:proofErr w:type="spellStart"/>
      <w:r w:rsidRPr="002906A3">
        <w:t>ethics</w:t>
      </w:r>
      <w:proofErr w:type="spellEnd"/>
      <w:r w:rsidRPr="002906A3">
        <w:t xml:space="preserve">, </w:t>
      </w:r>
      <w:proofErr w:type="spellStart"/>
      <w:r w:rsidRPr="002906A3">
        <w:t>urging</w:t>
      </w:r>
      <w:proofErr w:type="spellEnd"/>
      <w:r w:rsidRPr="002906A3">
        <w:t xml:space="preserve"> modern </w:t>
      </w:r>
      <w:proofErr w:type="spellStart"/>
      <w:r w:rsidRPr="002906A3">
        <w:t>scientists</w:t>
      </w:r>
      <w:proofErr w:type="spellEnd"/>
      <w:r w:rsidRPr="002906A3">
        <w:t xml:space="preserve"> </w:t>
      </w:r>
      <w:proofErr w:type="spellStart"/>
      <w:r w:rsidRPr="002906A3">
        <w:t>to</w:t>
      </w:r>
      <w:proofErr w:type="spellEnd"/>
      <w:r w:rsidRPr="002906A3">
        <w:t xml:space="preserve"> </w:t>
      </w:r>
      <w:proofErr w:type="spellStart"/>
      <w:r w:rsidRPr="002906A3">
        <w:t>reflect</w:t>
      </w:r>
      <w:proofErr w:type="spellEnd"/>
      <w:r w:rsidRPr="002906A3">
        <w:t xml:space="preserve"> on </w:t>
      </w:r>
      <w:proofErr w:type="spellStart"/>
      <w:r w:rsidRPr="002906A3">
        <w:t>their</w:t>
      </w:r>
      <w:proofErr w:type="spellEnd"/>
      <w:r w:rsidRPr="002906A3">
        <w:t xml:space="preserve"> </w:t>
      </w:r>
      <w:proofErr w:type="spellStart"/>
      <w:r w:rsidRPr="002906A3">
        <w:t>societal</w:t>
      </w:r>
      <w:proofErr w:type="spellEnd"/>
      <w:r w:rsidRPr="002906A3">
        <w:t xml:space="preserve"> </w:t>
      </w:r>
      <w:proofErr w:type="spellStart"/>
      <w:r w:rsidRPr="002906A3">
        <w:t>roles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responsibilities</w:t>
      </w:r>
      <w:proofErr w:type="spellEnd"/>
      <w:r w:rsidRPr="002906A3">
        <w:t xml:space="preserve"> </w:t>
      </w:r>
      <w:proofErr w:type="spellStart"/>
      <w:r w:rsidRPr="002906A3">
        <w:t>that</w:t>
      </w:r>
      <w:proofErr w:type="spellEnd"/>
      <w:r w:rsidRPr="002906A3">
        <w:t xml:space="preserve"> </w:t>
      </w:r>
      <w:proofErr w:type="spellStart"/>
      <w:r w:rsidRPr="002906A3">
        <w:t>accompany</w:t>
      </w:r>
      <w:proofErr w:type="spellEnd"/>
      <w:r w:rsidRPr="002906A3">
        <w:t xml:space="preserve"> </w:t>
      </w:r>
      <w:proofErr w:type="spellStart"/>
      <w:r w:rsidRPr="002906A3">
        <w:t>innovation</w:t>
      </w:r>
      <w:proofErr w:type="spellEnd"/>
      <w:r w:rsidRPr="002906A3">
        <w:t xml:space="preserve">. As a </w:t>
      </w:r>
      <w:proofErr w:type="spellStart"/>
      <w:r w:rsidRPr="002906A3">
        <w:t>timeless</w:t>
      </w:r>
      <w:proofErr w:type="spellEnd"/>
      <w:r w:rsidRPr="002906A3">
        <w:t xml:space="preserve"> reference </w:t>
      </w:r>
      <w:proofErr w:type="spellStart"/>
      <w:r w:rsidRPr="002906A3">
        <w:t>point</w:t>
      </w:r>
      <w:proofErr w:type="spellEnd"/>
      <w:r w:rsidRPr="002906A3">
        <w:t xml:space="preserve">, </w:t>
      </w:r>
      <w:r w:rsidRPr="002906A3">
        <w:rPr>
          <w:i/>
          <w:iCs/>
        </w:rPr>
        <w:t>Frankenstein</w:t>
      </w:r>
      <w:r w:rsidRPr="002906A3">
        <w:t xml:space="preserve"> </w:t>
      </w:r>
      <w:proofErr w:type="spellStart"/>
      <w:r w:rsidRPr="002906A3">
        <w:t>continues</w:t>
      </w:r>
      <w:proofErr w:type="spellEnd"/>
      <w:r w:rsidRPr="002906A3">
        <w:t xml:space="preserve"> </w:t>
      </w:r>
      <w:proofErr w:type="spellStart"/>
      <w:r w:rsidRPr="002906A3">
        <w:t>to</w:t>
      </w:r>
      <w:proofErr w:type="spellEnd"/>
      <w:r w:rsidRPr="002906A3">
        <w:t xml:space="preserve"> </w:t>
      </w:r>
      <w:proofErr w:type="spellStart"/>
      <w:r w:rsidRPr="002906A3">
        <w:t>shape</w:t>
      </w:r>
      <w:proofErr w:type="spellEnd"/>
      <w:r w:rsidRPr="002906A3">
        <w:t xml:space="preserve"> </w:t>
      </w:r>
      <w:proofErr w:type="spellStart"/>
      <w:r w:rsidRPr="002906A3">
        <w:t>discussions</w:t>
      </w:r>
      <w:proofErr w:type="spellEnd"/>
      <w:r w:rsidRPr="002906A3">
        <w:t xml:space="preserve"> on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boundaries</w:t>
      </w:r>
      <w:proofErr w:type="spellEnd"/>
      <w:r w:rsidRPr="002906A3">
        <w:t xml:space="preserve"> </w:t>
      </w:r>
      <w:proofErr w:type="spellStart"/>
      <w:r w:rsidRPr="002906A3">
        <w:t>necessary</w:t>
      </w:r>
      <w:proofErr w:type="spellEnd"/>
      <w:r w:rsidRPr="002906A3">
        <w:t xml:space="preserve"> </w:t>
      </w:r>
      <w:proofErr w:type="spellStart"/>
      <w:r w:rsidRPr="002906A3">
        <w:t>for</w:t>
      </w:r>
      <w:proofErr w:type="spellEnd"/>
      <w:r w:rsidRPr="002906A3">
        <w:t xml:space="preserve"> a </w:t>
      </w:r>
      <w:proofErr w:type="spellStart"/>
      <w:r w:rsidRPr="002906A3">
        <w:t>safe</w:t>
      </w:r>
      <w:proofErr w:type="spellEnd"/>
      <w:r w:rsidRPr="002906A3">
        <w:t xml:space="preserve"> </w:t>
      </w:r>
      <w:proofErr w:type="spellStart"/>
      <w:r w:rsidRPr="002906A3">
        <w:t>and</w:t>
      </w:r>
      <w:proofErr w:type="spellEnd"/>
      <w:r w:rsidRPr="002906A3">
        <w:t xml:space="preserve"> </w:t>
      </w:r>
      <w:proofErr w:type="spellStart"/>
      <w:r w:rsidRPr="002906A3">
        <w:t>responsible</w:t>
      </w:r>
      <w:proofErr w:type="spellEnd"/>
      <w:r w:rsidRPr="002906A3">
        <w:t xml:space="preserve"> </w:t>
      </w:r>
      <w:proofErr w:type="spellStart"/>
      <w:r w:rsidRPr="002906A3">
        <w:t>future</w:t>
      </w:r>
      <w:proofErr w:type="spellEnd"/>
      <w:r w:rsidRPr="002906A3">
        <w:t xml:space="preserve"> in </w:t>
      </w:r>
      <w:proofErr w:type="spellStart"/>
      <w:r w:rsidRPr="002906A3">
        <w:t>technology</w:t>
      </w:r>
      <w:proofErr w:type="spellEnd"/>
      <w:r w:rsidRPr="002906A3">
        <w:t xml:space="preserve"> </w:t>
      </w:r>
      <w:proofErr w:type="spellStart"/>
      <w:r w:rsidRPr="002906A3">
        <w:t>and</w:t>
      </w:r>
      <w:proofErr w:type="spellEnd"/>
      <w:r w:rsidRPr="002906A3">
        <w:t xml:space="preserve"> AI.</w:t>
      </w:r>
    </w:p>
    <w:p w14:paraId="15BE4CBD" w14:textId="77777777" w:rsidR="001E7189" w:rsidRPr="002906A3" w:rsidRDefault="001E7189" w:rsidP="00BA67A6">
      <w:pPr>
        <w:jc w:val="both"/>
      </w:pPr>
    </w:p>
    <w:p w14:paraId="57B5C41B" w14:textId="55B5F60C" w:rsidR="001E7189" w:rsidRPr="002906A3" w:rsidRDefault="001E7189" w:rsidP="00BA67A6">
      <w:pPr>
        <w:jc w:val="both"/>
        <w:rPr>
          <w:b/>
          <w:bCs/>
          <w:i/>
          <w:iCs/>
        </w:rPr>
      </w:pPr>
      <w:proofErr w:type="spellStart"/>
      <w:r w:rsidRPr="002906A3">
        <w:rPr>
          <w:b/>
          <w:bCs/>
        </w:rPr>
        <w:t>Ethical</w:t>
      </w:r>
      <w:proofErr w:type="spellEnd"/>
      <w:r w:rsidRPr="002906A3">
        <w:rPr>
          <w:b/>
          <w:bCs/>
        </w:rPr>
        <w:t xml:space="preserve"> </w:t>
      </w:r>
      <w:proofErr w:type="spellStart"/>
      <w:r w:rsidRPr="002906A3">
        <w:rPr>
          <w:b/>
          <w:bCs/>
        </w:rPr>
        <w:t>Dilemmas</w:t>
      </w:r>
      <w:proofErr w:type="spellEnd"/>
      <w:r w:rsidRPr="002906A3">
        <w:rPr>
          <w:b/>
          <w:bCs/>
        </w:rPr>
        <w:t xml:space="preserve"> </w:t>
      </w:r>
      <w:proofErr w:type="spellStart"/>
      <w:r w:rsidRPr="002906A3">
        <w:rPr>
          <w:b/>
          <w:bCs/>
        </w:rPr>
        <w:t>and</w:t>
      </w:r>
      <w:proofErr w:type="spellEnd"/>
      <w:r w:rsidRPr="002906A3">
        <w:rPr>
          <w:b/>
          <w:bCs/>
        </w:rPr>
        <w:t xml:space="preserve"> </w:t>
      </w:r>
      <w:proofErr w:type="spellStart"/>
      <w:r w:rsidRPr="002906A3">
        <w:rPr>
          <w:b/>
          <w:bCs/>
        </w:rPr>
        <w:t>Consequences</w:t>
      </w:r>
      <w:proofErr w:type="spellEnd"/>
      <w:r w:rsidRPr="002906A3">
        <w:rPr>
          <w:b/>
          <w:bCs/>
        </w:rPr>
        <w:t xml:space="preserve"> in </w:t>
      </w:r>
      <w:r w:rsidRPr="002906A3">
        <w:rPr>
          <w:b/>
          <w:bCs/>
          <w:i/>
          <w:iCs/>
        </w:rPr>
        <w:t>Frankenstein</w:t>
      </w:r>
    </w:p>
    <w:p w14:paraId="1F1FC77F" w14:textId="270155BE" w:rsidR="001E7189" w:rsidRPr="002906A3" w:rsidRDefault="001E7189" w:rsidP="00BA67A6">
      <w:pPr>
        <w:jc w:val="both"/>
      </w:pPr>
      <w:r w:rsidRPr="002906A3">
        <w:t xml:space="preserve">Mary </w:t>
      </w:r>
      <w:proofErr w:type="spellStart"/>
      <w:r w:rsidRPr="002906A3">
        <w:t>Shelley's</w:t>
      </w:r>
      <w:proofErr w:type="spellEnd"/>
      <w:r w:rsidRPr="002906A3">
        <w:t xml:space="preserve"> </w:t>
      </w:r>
      <w:r w:rsidRPr="002906A3">
        <w:rPr>
          <w:i/>
          <w:iCs/>
        </w:rPr>
        <w:t>Frankenstein</w:t>
      </w:r>
      <w:r w:rsidRPr="002906A3">
        <w:t xml:space="preserve"> (1818) </w:t>
      </w:r>
      <w:proofErr w:type="spellStart"/>
      <w:r w:rsidRPr="002906A3">
        <w:t>presents</w:t>
      </w:r>
      <w:proofErr w:type="spellEnd"/>
      <w:r w:rsidRPr="002906A3">
        <w:t xml:space="preserve"> a </w:t>
      </w:r>
      <w:proofErr w:type="spellStart"/>
      <w:r w:rsidRPr="002906A3">
        <w:t>compelling</w:t>
      </w:r>
      <w:proofErr w:type="spellEnd"/>
      <w:r w:rsidRPr="002906A3">
        <w:t xml:space="preserve"> </w:t>
      </w:r>
      <w:proofErr w:type="spellStart"/>
      <w:r w:rsidRPr="002906A3">
        <w:t>exploration</w:t>
      </w:r>
      <w:proofErr w:type="spellEnd"/>
      <w:r w:rsidRPr="002906A3">
        <w:t xml:space="preserve"> of </w:t>
      </w:r>
      <w:proofErr w:type="spellStart"/>
      <w:r w:rsidRPr="002906A3">
        <w:t>ethical</w:t>
      </w:r>
      <w:proofErr w:type="spellEnd"/>
      <w:r w:rsidRPr="002906A3">
        <w:t xml:space="preserve"> </w:t>
      </w:r>
      <w:proofErr w:type="spellStart"/>
      <w:r w:rsidRPr="002906A3">
        <w:t>dilemmas</w:t>
      </w:r>
      <w:proofErr w:type="spellEnd"/>
      <w:r w:rsidRPr="002906A3">
        <w:t xml:space="preserve"> </w:t>
      </w:r>
      <w:proofErr w:type="spellStart"/>
      <w:r w:rsidRPr="002906A3">
        <w:t>that</w:t>
      </w:r>
      <w:proofErr w:type="spellEnd"/>
      <w:r w:rsidRPr="002906A3">
        <w:t xml:space="preserve"> </w:t>
      </w:r>
      <w:proofErr w:type="spellStart"/>
      <w:r w:rsidRPr="002906A3">
        <w:t>arise</w:t>
      </w:r>
      <w:proofErr w:type="spellEnd"/>
      <w:r w:rsidRPr="002906A3">
        <w:t xml:space="preserve"> </w:t>
      </w:r>
      <w:proofErr w:type="spellStart"/>
      <w:r w:rsidRPr="002906A3">
        <w:t>from</w:t>
      </w:r>
      <w:proofErr w:type="spellEnd"/>
      <w:r w:rsidRPr="002906A3">
        <w:t xml:space="preserve"> </w:t>
      </w:r>
      <w:proofErr w:type="spellStart"/>
      <w:r w:rsidRPr="002906A3">
        <w:t>unchecked</w:t>
      </w:r>
      <w:proofErr w:type="spellEnd"/>
      <w:r w:rsidRPr="002906A3">
        <w:t xml:space="preserve"> </w:t>
      </w:r>
      <w:proofErr w:type="spellStart"/>
      <w:r w:rsidRPr="002906A3">
        <w:t>scientific</w:t>
      </w:r>
      <w:proofErr w:type="spellEnd"/>
      <w:r w:rsidRPr="002906A3">
        <w:t xml:space="preserve"> </w:t>
      </w:r>
      <w:proofErr w:type="spellStart"/>
      <w:r w:rsidRPr="002906A3">
        <w:t>ambition</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responsibilities</w:t>
      </w:r>
      <w:proofErr w:type="spellEnd"/>
      <w:r w:rsidRPr="002906A3">
        <w:t xml:space="preserve"> of </w:t>
      </w:r>
      <w:proofErr w:type="spellStart"/>
      <w:r w:rsidRPr="002906A3">
        <w:t>creation</w:t>
      </w:r>
      <w:proofErr w:type="spellEnd"/>
      <w:r w:rsidRPr="002906A3">
        <w:t xml:space="preserve">. Victor Frankenstein, </w:t>
      </w:r>
      <w:proofErr w:type="spellStart"/>
      <w:r w:rsidRPr="002906A3">
        <w:t>driven</w:t>
      </w:r>
      <w:proofErr w:type="spellEnd"/>
      <w:r w:rsidRPr="002906A3">
        <w:t xml:space="preserve"> </w:t>
      </w:r>
      <w:proofErr w:type="spellStart"/>
      <w:r w:rsidRPr="002906A3">
        <w:t>by</w:t>
      </w:r>
      <w:proofErr w:type="spellEnd"/>
      <w:r w:rsidRPr="002906A3">
        <w:t xml:space="preserve"> an </w:t>
      </w:r>
      <w:proofErr w:type="spellStart"/>
      <w:r w:rsidRPr="002906A3">
        <w:t>insatiable</w:t>
      </w:r>
      <w:proofErr w:type="spellEnd"/>
      <w:r w:rsidRPr="002906A3">
        <w:t xml:space="preserve"> </w:t>
      </w:r>
      <w:proofErr w:type="spellStart"/>
      <w:r w:rsidRPr="002906A3">
        <w:t>thirst</w:t>
      </w:r>
      <w:proofErr w:type="spellEnd"/>
      <w:r w:rsidRPr="002906A3">
        <w:t xml:space="preserve"> </w:t>
      </w:r>
      <w:proofErr w:type="spellStart"/>
      <w:r w:rsidRPr="002906A3">
        <w:t>for</w:t>
      </w:r>
      <w:proofErr w:type="spellEnd"/>
      <w:r w:rsidRPr="002906A3">
        <w:t xml:space="preserve"> </w:t>
      </w:r>
      <w:proofErr w:type="spellStart"/>
      <w:r w:rsidRPr="002906A3">
        <w:t>knowledge</w:t>
      </w:r>
      <w:proofErr w:type="spellEnd"/>
      <w:r w:rsidRPr="002906A3">
        <w:t xml:space="preserve">, </w:t>
      </w:r>
      <w:proofErr w:type="spellStart"/>
      <w:r w:rsidRPr="002906A3">
        <w:t>envisions</w:t>
      </w:r>
      <w:proofErr w:type="spellEnd"/>
      <w:r w:rsidRPr="002906A3">
        <w:t xml:space="preserve"> </w:t>
      </w:r>
      <w:proofErr w:type="spellStart"/>
      <w:r w:rsidRPr="002906A3">
        <w:t>himself</w:t>
      </w:r>
      <w:proofErr w:type="spellEnd"/>
      <w:r w:rsidRPr="002906A3">
        <w:t xml:space="preserve"> as a </w:t>
      </w:r>
      <w:proofErr w:type="spellStart"/>
      <w:r w:rsidRPr="002906A3">
        <w:t>godlike</w:t>
      </w:r>
      <w:proofErr w:type="spellEnd"/>
      <w:r w:rsidRPr="002906A3">
        <w:t xml:space="preserve"> </w:t>
      </w:r>
      <w:proofErr w:type="spellStart"/>
      <w:r w:rsidRPr="002906A3">
        <w:t>figure</w:t>
      </w:r>
      <w:proofErr w:type="spellEnd"/>
      <w:r w:rsidRPr="002906A3">
        <w:t xml:space="preserve">, </w:t>
      </w:r>
      <w:proofErr w:type="spellStart"/>
      <w:r w:rsidRPr="002906A3">
        <w:t>declaring</w:t>
      </w:r>
      <w:proofErr w:type="spellEnd"/>
      <w:r w:rsidRPr="002906A3">
        <w:t xml:space="preserve">, “A </w:t>
      </w:r>
      <w:proofErr w:type="spellStart"/>
      <w:r w:rsidRPr="002906A3">
        <w:t>new</w:t>
      </w:r>
      <w:proofErr w:type="spellEnd"/>
      <w:r w:rsidRPr="002906A3">
        <w:t xml:space="preserve"> </w:t>
      </w:r>
      <w:proofErr w:type="spellStart"/>
      <w:r w:rsidRPr="002906A3">
        <w:t>species</w:t>
      </w:r>
      <w:proofErr w:type="spellEnd"/>
      <w:r w:rsidRPr="002906A3">
        <w:t xml:space="preserve"> </w:t>
      </w:r>
      <w:proofErr w:type="spellStart"/>
      <w:r w:rsidRPr="002906A3">
        <w:t>would</w:t>
      </w:r>
      <w:proofErr w:type="spellEnd"/>
      <w:r w:rsidRPr="002906A3">
        <w:t xml:space="preserve"> </w:t>
      </w:r>
      <w:proofErr w:type="spellStart"/>
      <w:r w:rsidRPr="002906A3">
        <w:t>bless</w:t>
      </w:r>
      <w:proofErr w:type="spellEnd"/>
      <w:r w:rsidRPr="002906A3">
        <w:t xml:space="preserve"> me as </w:t>
      </w:r>
      <w:proofErr w:type="spellStart"/>
      <w:r w:rsidRPr="002906A3">
        <w:t>its</w:t>
      </w:r>
      <w:proofErr w:type="spellEnd"/>
      <w:r w:rsidRPr="002906A3">
        <w:t xml:space="preserve"> </w:t>
      </w:r>
      <w:proofErr w:type="spellStart"/>
      <w:r w:rsidRPr="002906A3">
        <w:t>creator</w:t>
      </w:r>
      <w:proofErr w:type="spellEnd"/>
      <w:r w:rsidRPr="002906A3">
        <w:t xml:space="preserve"> </w:t>
      </w:r>
      <w:proofErr w:type="spellStart"/>
      <w:r w:rsidRPr="002906A3">
        <w:t>and</w:t>
      </w:r>
      <w:proofErr w:type="spellEnd"/>
      <w:r w:rsidRPr="002906A3">
        <w:t xml:space="preserve"> </w:t>
      </w:r>
      <w:proofErr w:type="spellStart"/>
      <w:r w:rsidRPr="002906A3">
        <w:t>source</w:t>
      </w:r>
      <w:proofErr w:type="spellEnd"/>
      <w:r w:rsidRPr="002906A3">
        <w:t xml:space="preserve">; </w:t>
      </w:r>
      <w:proofErr w:type="spellStart"/>
      <w:r w:rsidRPr="002906A3">
        <w:t>many</w:t>
      </w:r>
      <w:proofErr w:type="spellEnd"/>
      <w:r w:rsidRPr="002906A3">
        <w:t xml:space="preserve"> </w:t>
      </w:r>
      <w:proofErr w:type="spellStart"/>
      <w:r w:rsidRPr="002906A3">
        <w:t>happy</w:t>
      </w:r>
      <w:proofErr w:type="spellEnd"/>
      <w:r w:rsidRPr="002906A3">
        <w:t xml:space="preserve"> </w:t>
      </w:r>
      <w:proofErr w:type="spellStart"/>
      <w:r w:rsidRPr="002906A3">
        <w:t>and</w:t>
      </w:r>
      <w:proofErr w:type="spellEnd"/>
      <w:r w:rsidRPr="002906A3">
        <w:t xml:space="preserve"> </w:t>
      </w:r>
      <w:proofErr w:type="spellStart"/>
      <w:r w:rsidRPr="002906A3">
        <w:t>excellent</w:t>
      </w:r>
      <w:proofErr w:type="spellEnd"/>
      <w:r w:rsidRPr="002906A3">
        <w:t xml:space="preserve"> </w:t>
      </w:r>
      <w:proofErr w:type="spellStart"/>
      <w:r w:rsidRPr="002906A3">
        <w:t>natures</w:t>
      </w:r>
      <w:proofErr w:type="spellEnd"/>
      <w:r w:rsidRPr="002906A3">
        <w:t xml:space="preserve"> </w:t>
      </w:r>
      <w:proofErr w:type="spellStart"/>
      <w:r w:rsidRPr="002906A3">
        <w:t>would</w:t>
      </w:r>
      <w:proofErr w:type="spellEnd"/>
      <w:r w:rsidRPr="002906A3">
        <w:t xml:space="preserve"> </w:t>
      </w:r>
      <w:proofErr w:type="spellStart"/>
      <w:r w:rsidRPr="002906A3">
        <w:t>owe</w:t>
      </w:r>
      <w:proofErr w:type="spellEnd"/>
      <w:r w:rsidRPr="002906A3">
        <w:t xml:space="preserve"> </w:t>
      </w:r>
      <w:proofErr w:type="spellStart"/>
      <w:r w:rsidRPr="002906A3">
        <w:t>their</w:t>
      </w:r>
      <w:proofErr w:type="spellEnd"/>
      <w:r w:rsidRPr="002906A3">
        <w:t xml:space="preserve"> </w:t>
      </w:r>
      <w:proofErr w:type="spellStart"/>
      <w:r w:rsidRPr="002906A3">
        <w:t>being</w:t>
      </w:r>
      <w:proofErr w:type="spellEnd"/>
      <w:r w:rsidRPr="002906A3">
        <w:t xml:space="preserve"> </w:t>
      </w:r>
      <w:proofErr w:type="spellStart"/>
      <w:r w:rsidRPr="002906A3">
        <w:t>to</w:t>
      </w:r>
      <w:proofErr w:type="spellEnd"/>
      <w:r w:rsidRPr="002906A3">
        <w:t xml:space="preserve"> me. No </w:t>
      </w:r>
      <w:proofErr w:type="spellStart"/>
      <w:r w:rsidRPr="002906A3">
        <w:t>father</w:t>
      </w:r>
      <w:proofErr w:type="spellEnd"/>
      <w:r w:rsidRPr="002906A3">
        <w:t xml:space="preserve"> </w:t>
      </w:r>
      <w:proofErr w:type="spellStart"/>
      <w:r w:rsidRPr="002906A3">
        <w:t>could</w:t>
      </w:r>
      <w:proofErr w:type="spellEnd"/>
      <w:r w:rsidRPr="002906A3">
        <w:t xml:space="preserve"> </w:t>
      </w:r>
      <w:proofErr w:type="spellStart"/>
      <w:r w:rsidRPr="002906A3">
        <w:t>claim</w:t>
      </w:r>
      <w:proofErr w:type="spellEnd"/>
      <w:r w:rsidRPr="002906A3">
        <w:t xml:space="preserve"> </w:t>
      </w:r>
      <w:proofErr w:type="spellStart"/>
      <w:r w:rsidRPr="002906A3">
        <w:t>the</w:t>
      </w:r>
      <w:proofErr w:type="spellEnd"/>
      <w:r w:rsidRPr="002906A3">
        <w:t xml:space="preserve"> </w:t>
      </w:r>
      <w:proofErr w:type="spellStart"/>
      <w:r w:rsidRPr="002906A3">
        <w:t>gratitude</w:t>
      </w:r>
      <w:proofErr w:type="spellEnd"/>
      <w:r w:rsidRPr="002906A3">
        <w:t xml:space="preserve"> of his </w:t>
      </w:r>
      <w:proofErr w:type="spellStart"/>
      <w:r w:rsidRPr="002906A3">
        <w:t>child</w:t>
      </w:r>
      <w:proofErr w:type="spellEnd"/>
      <w:r w:rsidRPr="002906A3">
        <w:t xml:space="preserve"> </w:t>
      </w:r>
      <w:proofErr w:type="spellStart"/>
      <w:r w:rsidRPr="002906A3">
        <w:t>so</w:t>
      </w:r>
      <w:proofErr w:type="spellEnd"/>
      <w:r w:rsidRPr="002906A3">
        <w:t xml:space="preserve"> </w:t>
      </w:r>
      <w:proofErr w:type="spellStart"/>
      <w:r w:rsidRPr="002906A3">
        <w:t>completely</w:t>
      </w:r>
      <w:proofErr w:type="spellEnd"/>
      <w:r w:rsidRPr="002906A3">
        <w:t xml:space="preserve"> as I </w:t>
      </w:r>
      <w:proofErr w:type="spellStart"/>
      <w:r w:rsidRPr="002906A3">
        <w:t>should</w:t>
      </w:r>
      <w:proofErr w:type="spellEnd"/>
      <w:r w:rsidRPr="002906A3">
        <w:t xml:space="preserve"> </w:t>
      </w:r>
      <w:proofErr w:type="spellStart"/>
      <w:r w:rsidRPr="002906A3">
        <w:t>deserve</w:t>
      </w:r>
      <w:proofErr w:type="spellEnd"/>
      <w:r w:rsidRPr="002906A3">
        <w:t xml:space="preserve"> </w:t>
      </w:r>
      <w:proofErr w:type="spellStart"/>
      <w:r w:rsidRPr="002906A3">
        <w:t>theirs</w:t>
      </w:r>
      <w:proofErr w:type="spellEnd"/>
      <w:r w:rsidRPr="002906A3">
        <w:t>” (</w:t>
      </w:r>
      <w:proofErr w:type="spellStart"/>
      <w:r w:rsidRPr="002906A3">
        <w:t>Shelley</w:t>
      </w:r>
      <w:proofErr w:type="spellEnd"/>
      <w:r w:rsidRPr="002906A3">
        <w:t xml:space="preserve">, 1818, p. 37). </w:t>
      </w:r>
      <w:proofErr w:type="spellStart"/>
      <w:r w:rsidRPr="002906A3">
        <w:t>This</w:t>
      </w:r>
      <w:proofErr w:type="spellEnd"/>
      <w:r w:rsidRPr="002906A3">
        <w:t xml:space="preserve"> </w:t>
      </w:r>
      <w:proofErr w:type="spellStart"/>
      <w:r w:rsidRPr="002906A3">
        <w:t>reveals</w:t>
      </w:r>
      <w:proofErr w:type="spellEnd"/>
      <w:r w:rsidRPr="002906A3">
        <w:t xml:space="preserve"> </w:t>
      </w:r>
      <w:proofErr w:type="spellStart"/>
      <w:r w:rsidRPr="002906A3">
        <w:t>Victor’s</w:t>
      </w:r>
      <w:proofErr w:type="spellEnd"/>
      <w:r w:rsidRPr="002906A3">
        <w:t xml:space="preserve"> </w:t>
      </w:r>
      <w:proofErr w:type="spellStart"/>
      <w:r w:rsidRPr="002906A3">
        <w:t>initial</w:t>
      </w:r>
      <w:proofErr w:type="spellEnd"/>
      <w:r w:rsidRPr="002906A3">
        <w:t xml:space="preserve"> </w:t>
      </w:r>
      <w:proofErr w:type="spellStart"/>
      <w:r w:rsidRPr="002906A3">
        <w:t>perception</w:t>
      </w:r>
      <w:proofErr w:type="spellEnd"/>
      <w:r w:rsidRPr="002906A3">
        <w:t xml:space="preserve"> of his role as a </w:t>
      </w:r>
      <w:proofErr w:type="spellStart"/>
      <w:r w:rsidRPr="002906A3">
        <w:t>benevolent</w:t>
      </w:r>
      <w:proofErr w:type="spellEnd"/>
      <w:r w:rsidRPr="002906A3">
        <w:t xml:space="preserve"> </w:t>
      </w:r>
      <w:proofErr w:type="spellStart"/>
      <w:r w:rsidRPr="002906A3">
        <w:t>creator</w:t>
      </w:r>
      <w:proofErr w:type="spellEnd"/>
      <w:r w:rsidRPr="002906A3">
        <w:t xml:space="preserve">, yet his </w:t>
      </w:r>
      <w:proofErr w:type="spellStart"/>
      <w:r w:rsidRPr="002906A3">
        <w:t>actions</w:t>
      </w:r>
      <w:proofErr w:type="spellEnd"/>
      <w:r w:rsidRPr="002906A3">
        <w:t xml:space="preserve"> </w:t>
      </w:r>
      <w:proofErr w:type="spellStart"/>
      <w:r w:rsidRPr="002906A3">
        <w:t>ultimately</w:t>
      </w:r>
      <w:proofErr w:type="spellEnd"/>
      <w:r w:rsidRPr="002906A3">
        <w:t xml:space="preserve"> </w:t>
      </w:r>
      <w:proofErr w:type="spellStart"/>
      <w:r w:rsidRPr="002906A3">
        <w:t>contradict</w:t>
      </w:r>
      <w:proofErr w:type="spellEnd"/>
      <w:r w:rsidRPr="002906A3">
        <w:t xml:space="preserve"> </w:t>
      </w:r>
      <w:proofErr w:type="spellStart"/>
      <w:r w:rsidRPr="002906A3">
        <w:t>this</w:t>
      </w:r>
      <w:proofErr w:type="spellEnd"/>
      <w:r w:rsidRPr="002906A3">
        <w:t xml:space="preserve"> </w:t>
      </w:r>
      <w:proofErr w:type="spellStart"/>
      <w:r w:rsidRPr="002906A3">
        <w:t>vision</w:t>
      </w:r>
      <w:proofErr w:type="spellEnd"/>
      <w:r w:rsidRPr="002906A3">
        <w:t xml:space="preserve">. </w:t>
      </w:r>
      <w:proofErr w:type="spellStart"/>
      <w:r w:rsidRPr="002906A3">
        <w:t>Once</w:t>
      </w:r>
      <w:proofErr w:type="spellEnd"/>
      <w:r w:rsidRPr="002906A3">
        <w:t xml:space="preserve"> his </w:t>
      </w:r>
      <w:proofErr w:type="spellStart"/>
      <w:r w:rsidRPr="002906A3">
        <w:t>creation</w:t>
      </w:r>
      <w:proofErr w:type="spellEnd"/>
      <w:r w:rsidRPr="002906A3">
        <w:t xml:space="preserve"> </w:t>
      </w:r>
      <w:proofErr w:type="spellStart"/>
      <w:r w:rsidRPr="002906A3">
        <w:t>comes</w:t>
      </w:r>
      <w:proofErr w:type="spellEnd"/>
      <w:r w:rsidRPr="002906A3">
        <w:t xml:space="preserve"> </w:t>
      </w:r>
      <w:proofErr w:type="spellStart"/>
      <w:r w:rsidRPr="002906A3">
        <w:t>to</w:t>
      </w:r>
      <w:proofErr w:type="spellEnd"/>
      <w:r w:rsidRPr="002906A3">
        <w:t xml:space="preserve"> life, he is </w:t>
      </w:r>
      <w:proofErr w:type="spellStart"/>
      <w:r w:rsidRPr="002906A3">
        <w:t>immediately</w:t>
      </w:r>
      <w:proofErr w:type="spellEnd"/>
      <w:r w:rsidRPr="002906A3">
        <w:t xml:space="preserve"> </w:t>
      </w:r>
      <w:proofErr w:type="spellStart"/>
      <w:r w:rsidRPr="002906A3">
        <w:t>repulsed</w:t>
      </w:r>
      <w:proofErr w:type="spellEnd"/>
      <w:r w:rsidRPr="002906A3">
        <w:t xml:space="preserve">, </w:t>
      </w:r>
      <w:proofErr w:type="spellStart"/>
      <w:r w:rsidRPr="002906A3">
        <w:t>stating</w:t>
      </w:r>
      <w:proofErr w:type="spellEnd"/>
      <w:r w:rsidRPr="002906A3">
        <w:t>, “</w:t>
      </w:r>
      <w:proofErr w:type="spellStart"/>
      <w:r w:rsidRPr="002906A3">
        <w:t>The</w:t>
      </w:r>
      <w:proofErr w:type="spellEnd"/>
      <w:r w:rsidRPr="002906A3">
        <w:t xml:space="preserve"> </w:t>
      </w:r>
      <w:proofErr w:type="spellStart"/>
      <w:r w:rsidRPr="002906A3">
        <w:t>beauty</w:t>
      </w:r>
      <w:proofErr w:type="spellEnd"/>
      <w:r w:rsidRPr="002906A3">
        <w:t xml:space="preserve"> of </w:t>
      </w:r>
      <w:proofErr w:type="spellStart"/>
      <w:r w:rsidRPr="002906A3">
        <w:t>the</w:t>
      </w:r>
      <w:proofErr w:type="spellEnd"/>
      <w:r w:rsidRPr="002906A3">
        <w:t xml:space="preserve"> </w:t>
      </w:r>
      <w:proofErr w:type="spellStart"/>
      <w:r w:rsidRPr="002906A3">
        <w:t>dream</w:t>
      </w:r>
      <w:proofErr w:type="spellEnd"/>
      <w:r w:rsidRPr="002906A3">
        <w:t xml:space="preserve"> </w:t>
      </w:r>
      <w:proofErr w:type="spellStart"/>
      <w:r w:rsidRPr="002906A3">
        <w:t>vanished</w:t>
      </w:r>
      <w:proofErr w:type="spellEnd"/>
      <w:r w:rsidRPr="002906A3">
        <w:t xml:space="preserve">, </w:t>
      </w:r>
      <w:proofErr w:type="spellStart"/>
      <w:r w:rsidRPr="002906A3">
        <w:t>and</w:t>
      </w:r>
      <w:proofErr w:type="spellEnd"/>
      <w:r w:rsidRPr="002906A3">
        <w:t xml:space="preserve"> </w:t>
      </w:r>
      <w:proofErr w:type="spellStart"/>
      <w:r w:rsidRPr="002906A3">
        <w:t>breathless</w:t>
      </w:r>
      <w:proofErr w:type="spellEnd"/>
      <w:r w:rsidRPr="002906A3">
        <w:t xml:space="preserve"> </w:t>
      </w:r>
      <w:proofErr w:type="spellStart"/>
      <w:r w:rsidRPr="002906A3">
        <w:t>horror</w:t>
      </w:r>
      <w:proofErr w:type="spellEnd"/>
      <w:r w:rsidRPr="002906A3">
        <w:t xml:space="preserve"> </w:t>
      </w:r>
      <w:proofErr w:type="spellStart"/>
      <w:r w:rsidRPr="002906A3">
        <w:t>and</w:t>
      </w:r>
      <w:proofErr w:type="spellEnd"/>
      <w:r w:rsidRPr="002906A3">
        <w:t xml:space="preserve"> </w:t>
      </w:r>
      <w:proofErr w:type="spellStart"/>
      <w:r w:rsidRPr="002906A3">
        <w:t>disgust</w:t>
      </w:r>
      <w:proofErr w:type="spellEnd"/>
      <w:r w:rsidRPr="002906A3">
        <w:t xml:space="preserve"> </w:t>
      </w:r>
      <w:proofErr w:type="spellStart"/>
      <w:r w:rsidRPr="002906A3">
        <w:t>filled</w:t>
      </w:r>
      <w:proofErr w:type="spellEnd"/>
      <w:r w:rsidRPr="002906A3">
        <w:t xml:space="preserve"> </w:t>
      </w:r>
      <w:proofErr w:type="spellStart"/>
      <w:r w:rsidRPr="002906A3">
        <w:t>my</w:t>
      </w:r>
      <w:proofErr w:type="spellEnd"/>
      <w:r w:rsidRPr="002906A3">
        <w:t xml:space="preserve"> </w:t>
      </w:r>
      <w:proofErr w:type="spellStart"/>
      <w:r w:rsidRPr="002906A3">
        <w:t>heart</w:t>
      </w:r>
      <w:proofErr w:type="spellEnd"/>
      <w:r w:rsidRPr="002906A3">
        <w:t>” (</w:t>
      </w:r>
      <w:proofErr w:type="spellStart"/>
      <w:r w:rsidRPr="002906A3">
        <w:t>Shelley</w:t>
      </w:r>
      <w:proofErr w:type="spellEnd"/>
      <w:r w:rsidRPr="002906A3">
        <w:t xml:space="preserve">, 1818, p. 42). His </w:t>
      </w:r>
      <w:proofErr w:type="spellStart"/>
      <w:r w:rsidRPr="002906A3">
        <w:t>rejection</w:t>
      </w:r>
      <w:proofErr w:type="spellEnd"/>
      <w:r w:rsidRPr="002906A3">
        <w:t xml:space="preserve"> of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failing</w:t>
      </w:r>
      <w:proofErr w:type="spellEnd"/>
      <w:r w:rsidRPr="002906A3">
        <w:t xml:space="preserve"> of </w:t>
      </w:r>
      <w:proofErr w:type="spellStart"/>
      <w:r w:rsidRPr="002906A3">
        <w:t>abandoning</w:t>
      </w:r>
      <w:proofErr w:type="spellEnd"/>
      <w:r w:rsidRPr="002906A3">
        <w:t xml:space="preserve"> </w:t>
      </w:r>
      <w:proofErr w:type="spellStart"/>
      <w:r w:rsidRPr="002906A3">
        <w:t>responsibility</w:t>
      </w:r>
      <w:proofErr w:type="spellEnd"/>
      <w:r w:rsidRPr="002906A3">
        <w:t xml:space="preserve"> </w:t>
      </w:r>
      <w:proofErr w:type="spellStart"/>
      <w:r w:rsidRPr="002906A3">
        <w:t>for</w:t>
      </w:r>
      <w:proofErr w:type="spellEnd"/>
      <w:r w:rsidRPr="002906A3">
        <w:t xml:space="preserve"> his </w:t>
      </w:r>
      <w:proofErr w:type="spellStart"/>
      <w:r w:rsidRPr="002906A3">
        <w:t>own</w:t>
      </w:r>
      <w:proofErr w:type="spellEnd"/>
      <w:r w:rsidRPr="002906A3">
        <w:t xml:space="preserve"> </w:t>
      </w:r>
      <w:proofErr w:type="spellStart"/>
      <w:r w:rsidRPr="002906A3">
        <w:t>creation</w:t>
      </w:r>
      <w:proofErr w:type="spellEnd"/>
      <w:r w:rsidRPr="002906A3">
        <w:t>.</w:t>
      </w:r>
    </w:p>
    <w:p w14:paraId="21351FB7" w14:textId="77777777" w:rsidR="001E7189" w:rsidRPr="002906A3" w:rsidRDefault="001E7189" w:rsidP="00BA67A6">
      <w:pPr>
        <w:jc w:val="both"/>
      </w:pPr>
    </w:p>
    <w:p w14:paraId="0E0E7B63" w14:textId="77777777" w:rsidR="001E7189" w:rsidRPr="002906A3" w:rsidRDefault="001E7189" w:rsidP="00BA67A6">
      <w:pPr>
        <w:jc w:val="both"/>
      </w:pPr>
      <w:proofErr w:type="spellStart"/>
      <w:r w:rsidRPr="002906A3">
        <w:t>Victor’s</w:t>
      </w:r>
      <w:proofErr w:type="spellEnd"/>
      <w:r w:rsidRPr="002906A3">
        <w:t xml:space="preserve"> </w:t>
      </w:r>
      <w:proofErr w:type="spellStart"/>
      <w:r w:rsidRPr="002906A3">
        <w:t>obsession</w:t>
      </w:r>
      <w:proofErr w:type="spellEnd"/>
      <w:r w:rsidRPr="002906A3">
        <w:t xml:space="preserve"> </w:t>
      </w:r>
      <w:proofErr w:type="spellStart"/>
      <w:r w:rsidRPr="002906A3">
        <w:t>with</w:t>
      </w:r>
      <w:proofErr w:type="spellEnd"/>
      <w:r w:rsidRPr="002906A3">
        <w:t xml:space="preserve"> </w:t>
      </w:r>
      <w:proofErr w:type="spellStart"/>
      <w:r w:rsidRPr="002906A3">
        <w:t>scientific</w:t>
      </w:r>
      <w:proofErr w:type="spellEnd"/>
      <w:r w:rsidRPr="002906A3">
        <w:t xml:space="preserve"> </w:t>
      </w:r>
      <w:proofErr w:type="spellStart"/>
      <w:r w:rsidRPr="002906A3">
        <w:t>progress</w:t>
      </w:r>
      <w:proofErr w:type="spellEnd"/>
      <w:r w:rsidRPr="002906A3">
        <w:t xml:space="preserve"> </w:t>
      </w:r>
      <w:proofErr w:type="spellStart"/>
      <w:r w:rsidRPr="002906A3">
        <w:t>and</w:t>
      </w:r>
      <w:proofErr w:type="spellEnd"/>
      <w:r w:rsidRPr="002906A3">
        <w:t xml:space="preserve"> his </w:t>
      </w:r>
      <w:proofErr w:type="spellStart"/>
      <w:r w:rsidRPr="002906A3">
        <w:t>disregard</w:t>
      </w:r>
      <w:proofErr w:type="spellEnd"/>
      <w:r w:rsidRPr="002906A3">
        <w:t xml:space="preserve"> </w:t>
      </w:r>
      <w:proofErr w:type="spellStart"/>
      <w:r w:rsidRPr="002906A3">
        <w:t>for</w:t>
      </w:r>
      <w:proofErr w:type="spellEnd"/>
      <w:r w:rsidRPr="002906A3">
        <w:t xml:space="preserve"> moral </w:t>
      </w:r>
      <w:proofErr w:type="spellStart"/>
      <w:r w:rsidRPr="002906A3">
        <w:t>considerations</w:t>
      </w:r>
      <w:proofErr w:type="spellEnd"/>
      <w:r w:rsidRPr="002906A3">
        <w:t xml:space="preserve"> </w:t>
      </w:r>
      <w:proofErr w:type="spellStart"/>
      <w:r w:rsidRPr="002906A3">
        <w:t>reflect</w:t>
      </w:r>
      <w:proofErr w:type="spellEnd"/>
      <w:r w:rsidRPr="002906A3">
        <w:t xml:space="preserve"> </w:t>
      </w:r>
      <w:proofErr w:type="spellStart"/>
      <w:r w:rsidRPr="002906A3">
        <w:t>the</w:t>
      </w:r>
      <w:proofErr w:type="spellEnd"/>
      <w:r w:rsidRPr="002906A3">
        <w:t xml:space="preserve"> </w:t>
      </w:r>
      <w:proofErr w:type="spellStart"/>
      <w:r w:rsidRPr="002906A3">
        <w:t>dangers</w:t>
      </w:r>
      <w:proofErr w:type="spellEnd"/>
      <w:r w:rsidRPr="002906A3">
        <w:t xml:space="preserve"> of </w:t>
      </w:r>
      <w:proofErr w:type="spellStart"/>
      <w:r w:rsidRPr="002906A3">
        <w:t>scientific</w:t>
      </w:r>
      <w:proofErr w:type="spellEnd"/>
      <w:r w:rsidRPr="002906A3">
        <w:t xml:space="preserve"> </w:t>
      </w:r>
      <w:proofErr w:type="spellStart"/>
      <w:r w:rsidRPr="002906A3">
        <w:t>overreach</w:t>
      </w:r>
      <w:proofErr w:type="spellEnd"/>
      <w:r w:rsidRPr="002906A3">
        <w:t xml:space="preserve">, a </w:t>
      </w:r>
      <w:proofErr w:type="spellStart"/>
      <w:r w:rsidRPr="002906A3">
        <w:t>theme</w:t>
      </w:r>
      <w:proofErr w:type="spellEnd"/>
      <w:r w:rsidRPr="002906A3">
        <w:t xml:space="preserve"> </w:t>
      </w:r>
      <w:proofErr w:type="spellStart"/>
      <w:r w:rsidRPr="002906A3">
        <w:t>that</w:t>
      </w:r>
      <w:proofErr w:type="spellEnd"/>
      <w:r w:rsidRPr="002906A3">
        <w:t xml:space="preserve"> </w:t>
      </w:r>
      <w:proofErr w:type="spellStart"/>
      <w:r w:rsidRPr="002906A3">
        <w:t>remains</w:t>
      </w:r>
      <w:proofErr w:type="spellEnd"/>
      <w:r w:rsidRPr="002906A3">
        <w:t xml:space="preserve"> </w:t>
      </w:r>
      <w:proofErr w:type="spellStart"/>
      <w:r w:rsidRPr="002906A3">
        <w:t>highly</w:t>
      </w:r>
      <w:proofErr w:type="spellEnd"/>
      <w:r w:rsidRPr="002906A3">
        <w:t xml:space="preserve"> </w:t>
      </w:r>
      <w:proofErr w:type="spellStart"/>
      <w:r w:rsidRPr="002906A3">
        <w:t>relevant</w:t>
      </w:r>
      <w:proofErr w:type="spellEnd"/>
      <w:r w:rsidRPr="002906A3">
        <w:t xml:space="preserve"> </w:t>
      </w:r>
      <w:proofErr w:type="spellStart"/>
      <w:r w:rsidRPr="002906A3">
        <w:t>today</w:t>
      </w:r>
      <w:proofErr w:type="spellEnd"/>
      <w:r w:rsidRPr="002906A3">
        <w:t xml:space="preserve"> in </w:t>
      </w:r>
      <w:proofErr w:type="spellStart"/>
      <w:r w:rsidRPr="002906A3">
        <w:t>discussions</w:t>
      </w:r>
      <w:proofErr w:type="spellEnd"/>
      <w:r w:rsidRPr="002906A3">
        <w:t xml:space="preserve"> </w:t>
      </w:r>
      <w:proofErr w:type="spellStart"/>
      <w:r w:rsidRPr="002906A3">
        <w:t>surrounding</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His </w:t>
      </w:r>
      <w:proofErr w:type="spellStart"/>
      <w:r w:rsidRPr="002906A3">
        <w:t>own</w:t>
      </w:r>
      <w:proofErr w:type="spellEnd"/>
      <w:r w:rsidRPr="002906A3">
        <w:t xml:space="preserve"> </w:t>
      </w:r>
      <w:proofErr w:type="spellStart"/>
      <w:r w:rsidRPr="002906A3">
        <w:t>words</w:t>
      </w:r>
      <w:proofErr w:type="spellEnd"/>
      <w:r w:rsidRPr="002906A3">
        <w:t xml:space="preserve"> </w:t>
      </w:r>
      <w:proofErr w:type="spellStart"/>
      <w:r w:rsidRPr="002906A3">
        <w:t>warn</w:t>
      </w:r>
      <w:proofErr w:type="spellEnd"/>
      <w:r w:rsidRPr="002906A3">
        <w:t xml:space="preserve"> </w:t>
      </w:r>
      <w:proofErr w:type="spellStart"/>
      <w:r w:rsidRPr="002906A3">
        <w:t>against</w:t>
      </w:r>
      <w:proofErr w:type="spellEnd"/>
      <w:r w:rsidRPr="002906A3">
        <w:t xml:space="preserve"> </w:t>
      </w:r>
      <w:proofErr w:type="spellStart"/>
      <w:r w:rsidRPr="002906A3">
        <w:t>the</w:t>
      </w:r>
      <w:proofErr w:type="spellEnd"/>
      <w:r w:rsidRPr="002906A3">
        <w:t xml:space="preserve"> </w:t>
      </w:r>
      <w:proofErr w:type="spellStart"/>
      <w:r w:rsidRPr="002906A3">
        <w:t>perilous</w:t>
      </w:r>
      <w:proofErr w:type="spellEnd"/>
      <w:r w:rsidRPr="002906A3">
        <w:t xml:space="preserve"> </w:t>
      </w:r>
      <w:proofErr w:type="spellStart"/>
      <w:r w:rsidRPr="002906A3">
        <w:t>pursuit</w:t>
      </w:r>
      <w:proofErr w:type="spellEnd"/>
      <w:r w:rsidRPr="002906A3">
        <w:t xml:space="preserve"> of </w:t>
      </w:r>
      <w:proofErr w:type="spellStart"/>
      <w:r w:rsidRPr="002906A3">
        <w:t>unchecked</w:t>
      </w:r>
      <w:proofErr w:type="spellEnd"/>
      <w:r w:rsidRPr="002906A3">
        <w:t xml:space="preserve"> </w:t>
      </w:r>
      <w:proofErr w:type="spellStart"/>
      <w:r w:rsidRPr="002906A3">
        <w:t>knowledge</w:t>
      </w:r>
      <w:proofErr w:type="spellEnd"/>
      <w:r w:rsidRPr="002906A3">
        <w:t>: “</w:t>
      </w:r>
      <w:proofErr w:type="spellStart"/>
      <w:r w:rsidRPr="002906A3">
        <w:t>Learn</w:t>
      </w:r>
      <w:proofErr w:type="spellEnd"/>
      <w:r w:rsidRPr="002906A3">
        <w:t xml:space="preserve"> </w:t>
      </w:r>
      <w:proofErr w:type="spellStart"/>
      <w:r w:rsidRPr="002906A3">
        <w:t>from</w:t>
      </w:r>
      <w:proofErr w:type="spellEnd"/>
      <w:r w:rsidRPr="002906A3">
        <w:t xml:space="preserve"> me, </w:t>
      </w:r>
      <w:proofErr w:type="spellStart"/>
      <w:r w:rsidRPr="002906A3">
        <w:t>if</w:t>
      </w:r>
      <w:proofErr w:type="spellEnd"/>
      <w:r w:rsidRPr="002906A3">
        <w:t xml:space="preserve"> not </w:t>
      </w:r>
      <w:proofErr w:type="spellStart"/>
      <w:r w:rsidRPr="002906A3">
        <w:t>by</w:t>
      </w:r>
      <w:proofErr w:type="spellEnd"/>
      <w:r w:rsidRPr="002906A3">
        <w:t xml:space="preserve"> </w:t>
      </w:r>
      <w:proofErr w:type="spellStart"/>
      <w:r w:rsidRPr="002906A3">
        <w:t>my</w:t>
      </w:r>
      <w:proofErr w:type="spellEnd"/>
      <w:r w:rsidRPr="002906A3">
        <w:t xml:space="preserve"> </w:t>
      </w:r>
      <w:proofErr w:type="spellStart"/>
      <w:r w:rsidRPr="002906A3">
        <w:t>precepts</w:t>
      </w:r>
      <w:proofErr w:type="spellEnd"/>
      <w:r w:rsidRPr="002906A3">
        <w:t xml:space="preserve">, at </w:t>
      </w:r>
      <w:proofErr w:type="spellStart"/>
      <w:r w:rsidRPr="002906A3">
        <w:t>least</w:t>
      </w:r>
      <w:proofErr w:type="spellEnd"/>
      <w:r w:rsidRPr="002906A3">
        <w:t xml:space="preserve"> </w:t>
      </w:r>
      <w:proofErr w:type="spellStart"/>
      <w:r w:rsidRPr="002906A3">
        <w:t>by</w:t>
      </w:r>
      <w:proofErr w:type="spellEnd"/>
      <w:r w:rsidRPr="002906A3">
        <w:t xml:space="preserve"> </w:t>
      </w:r>
      <w:proofErr w:type="spellStart"/>
      <w:r w:rsidRPr="002906A3">
        <w:t>my</w:t>
      </w:r>
      <w:proofErr w:type="spellEnd"/>
      <w:r w:rsidRPr="002906A3">
        <w:t xml:space="preserve"> </w:t>
      </w:r>
      <w:proofErr w:type="spellStart"/>
      <w:r w:rsidRPr="002906A3">
        <w:t>example</w:t>
      </w:r>
      <w:proofErr w:type="spellEnd"/>
      <w:r w:rsidRPr="002906A3">
        <w:t xml:space="preserve">, how </w:t>
      </w:r>
      <w:proofErr w:type="spellStart"/>
      <w:r w:rsidRPr="002906A3">
        <w:t>dangerous</w:t>
      </w:r>
      <w:proofErr w:type="spellEnd"/>
      <w:r w:rsidRPr="002906A3">
        <w:t xml:space="preserve"> is </w:t>
      </w:r>
      <w:proofErr w:type="spellStart"/>
      <w:r w:rsidRPr="002906A3">
        <w:t>the</w:t>
      </w:r>
      <w:proofErr w:type="spellEnd"/>
      <w:r w:rsidRPr="002906A3">
        <w:t xml:space="preserve"> </w:t>
      </w:r>
      <w:proofErr w:type="spellStart"/>
      <w:r w:rsidRPr="002906A3">
        <w:t>acquirement</w:t>
      </w:r>
      <w:proofErr w:type="spellEnd"/>
      <w:r w:rsidRPr="002906A3">
        <w:t xml:space="preserve"> of </w:t>
      </w:r>
      <w:proofErr w:type="spellStart"/>
      <w:r w:rsidRPr="002906A3">
        <w:t>knowledge</w:t>
      </w:r>
      <w:proofErr w:type="spellEnd"/>
      <w:r w:rsidRPr="002906A3">
        <w:t xml:space="preserve">, </w:t>
      </w:r>
      <w:proofErr w:type="spellStart"/>
      <w:r w:rsidRPr="002906A3">
        <w:t>and</w:t>
      </w:r>
      <w:proofErr w:type="spellEnd"/>
      <w:r w:rsidRPr="002906A3">
        <w:t xml:space="preserve"> how </w:t>
      </w:r>
      <w:proofErr w:type="spellStart"/>
      <w:r w:rsidRPr="002906A3">
        <w:t>much</w:t>
      </w:r>
      <w:proofErr w:type="spellEnd"/>
      <w:r w:rsidRPr="002906A3">
        <w:t xml:space="preserve"> </w:t>
      </w:r>
      <w:proofErr w:type="spellStart"/>
      <w:r w:rsidRPr="002906A3">
        <w:t>happier</w:t>
      </w:r>
      <w:proofErr w:type="spellEnd"/>
      <w:r w:rsidRPr="002906A3">
        <w:t xml:space="preserve"> </w:t>
      </w:r>
      <w:proofErr w:type="spellStart"/>
      <w:r w:rsidRPr="002906A3">
        <w:t>that</w:t>
      </w:r>
      <w:proofErr w:type="spellEnd"/>
      <w:r w:rsidRPr="002906A3">
        <w:t xml:space="preserve"> </w:t>
      </w:r>
      <w:proofErr w:type="spellStart"/>
      <w:r w:rsidRPr="002906A3">
        <w:t>man</w:t>
      </w:r>
      <w:proofErr w:type="spellEnd"/>
      <w:r w:rsidRPr="002906A3">
        <w:t xml:space="preserve"> is </w:t>
      </w:r>
      <w:proofErr w:type="spellStart"/>
      <w:r w:rsidRPr="002906A3">
        <w:t>who</w:t>
      </w:r>
      <w:proofErr w:type="spellEnd"/>
      <w:r w:rsidRPr="002906A3">
        <w:t xml:space="preserve"> </w:t>
      </w:r>
      <w:proofErr w:type="spellStart"/>
      <w:r w:rsidRPr="002906A3">
        <w:t>believes</w:t>
      </w:r>
      <w:proofErr w:type="spellEnd"/>
      <w:r w:rsidRPr="002906A3">
        <w:t xml:space="preserve"> his </w:t>
      </w:r>
      <w:proofErr w:type="spellStart"/>
      <w:r w:rsidRPr="002906A3">
        <w:t>native</w:t>
      </w:r>
      <w:proofErr w:type="spellEnd"/>
      <w:r w:rsidRPr="002906A3">
        <w:t xml:space="preserve"> </w:t>
      </w:r>
      <w:proofErr w:type="spellStart"/>
      <w:r w:rsidRPr="002906A3">
        <w:t>town</w:t>
      </w:r>
      <w:proofErr w:type="spellEnd"/>
      <w:r w:rsidRPr="002906A3">
        <w:t xml:space="preserve"> </w:t>
      </w:r>
      <w:proofErr w:type="spellStart"/>
      <w:r w:rsidRPr="002906A3">
        <w:t>to</w:t>
      </w:r>
      <w:proofErr w:type="spellEnd"/>
      <w:r w:rsidRPr="002906A3">
        <w:t xml:space="preserve"> be </w:t>
      </w:r>
      <w:proofErr w:type="spellStart"/>
      <w:r w:rsidRPr="002906A3">
        <w:t>the</w:t>
      </w:r>
      <w:proofErr w:type="spellEnd"/>
      <w:r w:rsidRPr="002906A3">
        <w:t xml:space="preserve"> </w:t>
      </w:r>
      <w:proofErr w:type="spellStart"/>
      <w:r w:rsidRPr="002906A3">
        <w:t>world</w:t>
      </w:r>
      <w:proofErr w:type="spellEnd"/>
      <w:r w:rsidRPr="002906A3">
        <w:t xml:space="preserve"> </w:t>
      </w:r>
      <w:proofErr w:type="spellStart"/>
      <w:r w:rsidRPr="002906A3">
        <w:t>than</w:t>
      </w:r>
      <w:proofErr w:type="spellEnd"/>
      <w:r w:rsidRPr="002906A3">
        <w:t xml:space="preserve"> he </w:t>
      </w:r>
      <w:proofErr w:type="spellStart"/>
      <w:r w:rsidRPr="002906A3">
        <w:t>who</w:t>
      </w:r>
      <w:proofErr w:type="spellEnd"/>
      <w:r w:rsidRPr="002906A3">
        <w:t xml:space="preserve"> </w:t>
      </w:r>
      <w:proofErr w:type="spellStart"/>
      <w:r w:rsidRPr="002906A3">
        <w:t>aspires</w:t>
      </w:r>
      <w:proofErr w:type="spellEnd"/>
      <w:r w:rsidRPr="002906A3">
        <w:t xml:space="preserve"> </w:t>
      </w:r>
      <w:proofErr w:type="spellStart"/>
      <w:r w:rsidRPr="002906A3">
        <w:t>to</w:t>
      </w:r>
      <w:proofErr w:type="spellEnd"/>
      <w:r w:rsidRPr="002906A3">
        <w:t xml:space="preserve"> </w:t>
      </w:r>
      <w:proofErr w:type="spellStart"/>
      <w:r w:rsidRPr="002906A3">
        <w:t>become</w:t>
      </w:r>
      <w:proofErr w:type="spellEnd"/>
      <w:r w:rsidRPr="002906A3">
        <w:t xml:space="preserve"> </w:t>
      </w:r>
      <w:proofErr w:type="spellStart"/>
      <w:r w:rsidRPr="002906A3">
        <w:t>greater</w:t>
      </w:r>
      <w:proofErr w:type="spellEnd"/>
      <w:r w:rsidRPr="002906A3">
        <w:t xml:space="preserve"> </w:t>
      </w:r>
      <w:proofErr w:type="spellStart"/>
      <w:r w:rsidRPr="002906A3">
        <w:t>than</w:t>
      </w:r>
      <w:proofErr w:type="spellEnd"/>
      <w:r w:rsidRPr="002906A3">
        <w:t xml:space="preserve"> his </w:t>
      </w:r>
      <w:proofErr w:type="spellStart"/>
      <w:r w:rsidRPr="002906A3">
        <w:t>nature</w:t>
      </w:r>
      <w:proofErr w:type="spellEnd"/>
      <w:r w:rsidRPr="002906A3">
        <w:t xml:space="preserve"> </w:t>
      </w:r>
      <w:proofErr w:type="spellStart"/>
      <w:r w:rsidRPr="002906A3">
        <w:t>will</w:t>
      </w:r>
      <w:proofErr w:type="spellEnd"/>
      <w:r w:rsidRPr="002906A3">
        <w:t xml:space="preserve"> </w:t>
      </w:r>
      <w:proofErr w:type="spellStart"/>
      <w:r w:rsidRPr="002906A3">
        <w:t>allow</w:t>
      </w:r>
      <w:proofErr w:type="spellEnd"/>
      <w:r w:rsidRPr="002906A3">
        <w:t>” (</w:t>
      </w:r>
      <w:proofErr w:type="spellStart"/>
      <w:r w:rsidRPr="002906A3">
        <w:t>Shelley</w:t>
      </w:r>
      <w:proofErr w:type="spellEnd"/>
      <w:r w:rsidRPr="002906A3">
        <w:t xml:space="preserve">, 1818, p. 35). His </w:t>
      </w:r>
      <w:proofErr w:type="spellStart"/>
      <w:r w:rsidRPr="002906A3">
        <w:t>realization</w:t>
      </w:r>
      <w:proofErr w:type="spellEnd"/>
      <w:r w:rsidRPr="002906A3">
        <w:t xml:space="preserve"> </w:t>
      </w:r>
      <w:proofErr w:type="spellStart"/>
      <w:r w:rsidRPr="002906A3">
        <w:t>comes</w:t>
      </w:r>
      <w:proofErr w:type="spellEnd"/>
      <w:r w:rsidRPr="002906A3">
        <w:t xml:space="preserve"> </w:t>
      </w:r>
      <w:proofErr w:type="spellStart"/>
      <w:r w:rsidRPr="002906A3">
        <w:t>too</w:t>
      </w:r>
      <w:proofErr w:type="spellEnd"/>
      <w:r w:rsidRPr="002906A3">
        <w:t xml:space="preserve"> </w:t>
      </w:r>
      <w:proofErr w:type="spellStart"/>
      <w:r w:rsidRPr="002906A3">
        <w:t>late</w:t>
      </w:r>
      <w:proofErr w:type="spellEnd"/>
      <w:r w:rsidRPr="002906A3">
        <w:t xml:space="preserve">, as he </w:t>
      </w:r>
      <w:proofErr w:type="spellStart"/>
      <w:r w:rsidRPr="002906A3">
        <w:t>experiences</w:t>
      </w:r>
      <w:proofErr w:type="spellEnd"/>
      <w:r w:rsidRPr="002906A3">
        <w:t xml:space="preserve"> </w:t>
      </w:r>
      <w:proofErr w:type="spellStart"/>
      <w:r w:rsidRPr="002906A3">
        <w:t>the</w:t>
      </w:r>
      <w:proofErr w:type="spellEnd"/>
      <w:r w:rsidRPr="002906A3">
        <w:t xml:space="preserve"> </w:t>
      </w:r>
      <w:proofErr w:type="spellStart"/>
      <w:r w:rsidRPr="002906A3">
        <w:t>devastating</w:t>
      </w:r>
      <w:proofErr w:type="spellEnd"/>
      <w:r w:rsidRPr="002906A3">
        <w:t xml:space="preserve"> </w:t>
      </w:r>
      <w:proofErr w:type="spellStart"/>
      <w:r w:rsidRPr="002906A3">
        <w:t>consequences</w:t>
      </w:r>
      <w:proofErr w:type="spellEnd"/>
      <w:r w:rsidRPr="002906A3">
        <w:t xml:space="preserve"> of his </w:t>
      </w:r>
      <w:proofErr w:type="spellStart"/>
      <w:r w:rsidRPr="002906A3">
        <w:t>ambition</w:t>
      </w:r>
      <w:proofErr w:type="spellEnd"/>
      <w:r w:rsidRPr="002906A3">
        <w:t xml:space="preserve">. </w:t>
      </w:r>
      <w:proofErr w:type="spellStart"/>
      <w:r w:rsidRPr="002906A3">
        <w:t>The</w:t>
      </w:r>
      <w:proofErr w:type="spellEnd"/>
      <w:r w:rsidRPr="002906A3">
        <w:t xml:space="preserve"> </w:t>
      </w:r>
      <w:proofErr w:type="spellStart"/>
      <w:r w:rsidRPr="002906A3">
        <w:t>creature</w:t>
      </w:r>
      <w:proofErr w:type="spellEnd"/>
      <w:r w:rsidRPr="002906A3">
        <w:t xml:space="preserve"> </w:t>
      </w:r>
      <w:proofErr w:type="spellStart"/>
      <w:r w:rsidRPr="002906A3">
        <w:t>left</w:t>
      </w:r>
      <w:proofErr w:type="spellEnd"/>
      <w:r w:rsidRPr="002906A3">
        <w:t xml:space="preserve"> </w:t>
      </w:r>
      <w:proofErr w:type="spellStart"/>
      <w:r w:rsidRPr="002906A3">
        <w:t>to</w:t>
      </w:r>
      <w:proofErr w:type="spellEnd"/>
      <w:r w:rsidRPr="002906A3">
        <w:t xml:space="preserve"> </w:t>
      </w:r>
      <w:proofErr w:type="spellStart"/>
      <w:r w:rsidRPr="002906A3">
        <w:t>navigate</w:t>
      </w:r>
      <w:proofErr w:type="spellEnd"/>
      <w:r w:rsidRPr="002906A3">
        <w:t xml:space="preserve"> an </w:t>
      </w:r>
      <w:proofErr w:type="spellStart"/>
      <w:r w:rsidRPr="002906A3">
        <w:t>unwelcoming</w:t>
      </w:r>
      <w:proofErr w:type="spellEnd"/>
      <w:r w:rsidRPr="002906A3">
        <w:t xml:space="preserve"> </w:t>
      </w:r>
      <w:proofErr w:type="spellStart"/>
      <w:r w:rsidRPr="002906A3">
        <w:t>world</w:t>
      </w:r>
      <w:proofErr w:type="spellEnd"/>
      <w:r w:rsidRPr="002906A3">
        <w:t xml:space="preserve"> </w:t>
      </w:r>
      <w:proofErr w:type="spellStart"/>
      <w:r w:rsidRPr="002906A3">
        <w:t>alone</w:t>
      </w:r>
      <w:proofErr w:type="spellEnd"/>
      <w:r w:rsidRPr="002906A3">
        <w:t xml:space="preserve">, </w:t>
      </w:r>
      <w:proofErr w:type="spellStart"/>
      <w:r w:rsidRPr="002906A3">
        <w:t>expresses</w:t>
      </w:r>
      <w:proofErr w:type="spellEnd"/>
      <w:r w:rsidRPr="002906A3">
        <w:t xml:space="preserve"> his </w:t>
      </w:r>
      <w:proofErr w:type="spellStart"/>
      <w:r w:rsidRPr="002906A3">
        <w:t>deep</w:t>
      </w:r>
      <w:proofErr w:type="spellEnd"/>
      <w:r w:rsidRPr="002906A3">
        <w:t xml:space="preserve"> </w:t>
      </w:r>
      <w:proofErr w:type="spellStart"/>
      <w:r w:rsidRPr="002906A3">
        <w:t>suffering</w:t>
      </w:r>
      <w:proofErr w:type="spellEnd"/>
      <w:r w:rsidRPr="002906A3">
        <w:t>: “</w:t>
      </w:r>
      <w:proofErr w:type="spellStart"/>
      <w:r w:rsidRPr="002906A3">
        <w:t>Unfeeling</w:t>
      </w:r>
      <w:proofErr w:type="spellEnd"/>
      <w:r w:rsidRPr="002906A3">
        <w:t xml:space="preserve">, </w:t>
      </w:r>
      <w:proofErr w:type="spellStart"/>
      <w:r w:rsidRPr="002906A3">
        <w:t>heartless</w:t>
      </w:r>
      <w:proofErr w:type="spellEnd"/>
      <w:r w:rsidRPr="002906A3">
        <w:t xml:space="preserve"> </w:t>
      </w:r>
      <w:proofErr w:type="spellStart"/>
      <w:r w:rsidRPr="002906A3">
        <w:t>creator</w:t>
      </w:r>
      <w:proofErr w:type="spellEnd"/>
      <w:r w:rsidRPr="002906A3">
        <w:t xml:space="preserve">! </w:t>
      </w:r>
      <w:proofErr w:type="spellStart"/>
      <w:r w:rsidRPr="002906A3">
        <w:t>You</w:t>
      </w:r>
      <w:proofErr w:type="spellEnd"/>
      <w:r w:rsidRPr="002906A3">
        <w:t xml:space="preserve"> had </w:t>
      </w:r>
      <w:proofErr w:type="spellStart"/>
      <w:r w:rsidRPr="002906A3">
        <w:t>endowed</w:t>
      </w:r>
      <w:proofErr w:type="spellEnd"/>
      <w:r w:rsidRPr="002906A3">
        <w:t xml:space="preserve"> me </w:t>
      </w:r>
      <w:proofErr w:type="spellStart"/>
      <w:r w:rsidRPr="002906A3">
        <w:t>with</w:t>
      </w:r>
      <w:proofErr w:type="spellEnd"/>
      <w:r w:rsidRPr="002906A3">
        <w:t xml:space="preserve"> </w:t>
      </w:r>
      <w:proofErr w:type="spellStart"/>
      <w:r w:rsidRPr="002906A3">
        <w:t>perceptions</w:t>
      </w:r>
      <w:proofErr w:type="spellEnd"/>
      <w:r w:rsidRPr="002906A3">
        <w:t xml:space="preserve"> </w:t>
      </w:r>
      <w:proofErr w:type="spellStart"/>
      <w:r w:rsidRPr="002906A3">
        <w:t>and</w:t>
      </w:r>
      <w:proofErr w:type="spellEnd"/>
      <w:r w:rsidRPr="002906A3">
        <w:t xml:space="preserve"> </w:t>
      </w:r>
      <w:proofErr w:type="spellStart"/>
      <w:r w:rsidRPr="002906A3">
        <w:t>passions</w:t>
      </w:r>
      <w:proofErr w:type="spellEnd"/>
      <w:r w:rsidRPr="002906A3">
        <w:t xml:space="preserve"> </w:t>
      </w:r>
      <w:proofErr w:type="spellStart"/>
      <w:r w:rsidRPr="002906A3">
        <w:t>and</w:t>
      </w:r>
      <w:proofErr w:type="spellEnd"/>
      <w:r w:rsidRPr="002906A3">
        <w:t xml:space="preserve"> </w:t>
      </w:r>
      <w:proofErr w:type="spellStart"/>
      <w:r w:rsidRPr="002906A3">
        <w:t>then</w:t>
      </w:r>
      <w:proofErr w:type="spellEnd"/>
      <w:r w:rsidRPr="002906A3">
        <w:t xml:space="preserve"> </w:t>
      </w:r>
      <w:proofErr w:type="spellStart"/>
      <w:r w:rsidRPr="002906A3">
        <w:t>cast</w:t>
      </w:r>
      <w:proofErr w:type="spellEnd"/>
      <w:r w:rsidRPr="002906A3">
        <w:t xml:space="preserve"> me </w:t>
      </w:r>
      <w:proofErr w:type="spellStart"/>
      <w:r w:rsidRPr="002906A3">
        <w:t>abroad</w:t>
      </w:r>
      <w:proofErr w:type="spellEnd"/>
      <w:r w:rsidRPr="002906A3">
        <w:t xml:space="preserve"> an </w:t>
      </w:r>
      <w:proofErr w:type="spellStart"/>
      <w:r w:rsidRPr="002906A3">
        <w:t>object</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scorn</w:t>
      </w:r>
      <w:proofErr w:type="spellEnd"/>
      <w:r w:rsidRPr="002906A3">
        <w:t xml:space="preserve"> </w:t>
      </w:r>
      <w:proofErr w:type="spellStart"/>
      <w:r w:rsidRPr="002906A3">
        <w:t>and</w:t>
      </w:r>
      <w:proofErr w:type="spellEnd"/>
      <w:r w:rsidRPr="002906A3">
        <w:t xml:space="preserve"> </w:t>
      </w:r>
      <w:proofErr w:type="spellStart"/>
      <w:r w:rsidRPr="002906A3">
        <w:t>horror</w:t>
      </w:r>
      <w:proofErr w:type="spellEnd"/>
      <w:r w:rsidRPr="002906A3">
        <w:t xml:space="preserve"> of </w:t>
      </w:r>
      <w:proofErr w:type="spellStart"/>
      <w:r w:rsidRPr="002906A3">
        <w:t>mankind</w:t>
      </w:r>
      <w:proofErr w:type="spellEnd"/>
      <w:r w:rsidRPr="002906A3">
        <w:t>” (</w:t>
      </w:r>
      <w:proofErr w:type="spellStart"/>
      <w:r w:rsidRPr="002906A3">
        <w:t>Shelley</w:t>
      </w:r>
      <w:proofErr w:type="spellEnd"/>
      <w:r w:rsidRPr="002906A3">
        <w:t xml:space="preserve">, 1818, p. 116). </w:t>
      </w:r>
      <w:proofErr w:type="spellStart"/>
      <w:r w:rsidRPr="002906A3">
        <w:t>This</w:t>
      </w:r>
      <w:proofErr w:type="spellEnd"/>
      <w:r w:rsidRPr="002906A3">
        <w:t xml:space="preserve"> </w:t>
      </w:r>
      <w:proofErr w:type="spellStart"/>
      <w:r w:rsidRPr="002906A3">
        <w:t>lament</w:t>
      </w:r>
      <w:proofErr w:type="spellEnd"/>
      <w:r w:rsidRPr="002906A3">
        <w:t xml:space="preserve"> </w:t>
      </w:r>
      <w:proofErr w:type="spellStart"/>
      <w:r w:rsidRPr="002906A3">
        <w:t>parallels</w:t>
      </w:r>
      <w:proofErr w:type="spellEnd"/>
      <w:r w:rsidRPr="002906A3">
        <w:t xml:space="preserve"> modern </w:t>
      </w:r>
      <w:proofErr w:type="spellStart"/>
      <w:r w:rsidRPr="002906A3">
        <w:t>concerns</w:t>
      </w:r>
      <w:proofErr w:type="spellEnd"/>
      <w:r w:rsidRPr="002906A3">
        <w:t xml:space="preserve"> </w:t>
      </w:r>
      <w:proofErr w:type="spellStart"/>
      <w:r w:rsidRPr="002906A3">
        <w:t>about</w:t>
      </w:r>
      <w:proofErr w:type="spellEnd"/>
      <w:r w:rsidRPr="002906A3">
        <w:t xml:space="preserve"> AI </w:t>
      </w:r>
      <w:proofErr w:type="spellStart"/>
      <w:r w:rsidRPr="002906A3">
        <w:t>and</w:t>
      </w:r>
      <w:proofErr w:type="spellEnd"/>
      <w:r w:rsidRPr="002906A3">
        <w:t xml:space="preserve"> </w:t>
      </w:r>
      <w:proofErr w:type="spellStart"/>
      <w:r w:rsidRPr="002906A3">
        <w:t>autonomous</w:t>
      </w:r>
      <w:proofErr w:type="spellEnd"/>
      <w:r w:rsidRPr="002906A3">
        <w:t xml:space="preserve"> </w:t>
      </w:r>
      <w:proofErr w:type="spellStart"/>
      <w:r w:rsidRPr="002906A3">
        <w:t>systems</w:t>
      </w:r>
      <w:proofErr w:type="spellEnd"/>
      <w:r w:rsidRPr="002906A3">
        <w:t xml:space="preserve">, </w:t>
      </w:r>
      <w:proofErr w:type="spellStart"/>
      <w:r w:rsidRPr="002906A3">
        <w:t>raising</w:t>
      </w:r>
      <w:proofErr w:type="spellEnd"/>
      <w:r w:rsidRPr="002906A3">
        <w:t xml:space="preserve"> </w:t>
      </w:r>
      <w:proofErr w:type="spellStart"/>
      <w:r w:rsidRPr="002906A3">
        <w:t>questions</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treatment</w:t>
      </w:r>
      <w:proofErr w:type="spellEnd"/>
      <w:r w:rsidRPr="002906A3">
        <w:t xml:space="preserve"> of </w:t>
      </w:r>
      <w:proofErr w:type="spellStart"/>
      <w:r w:rsidRPr="002906A3">
        <w:t>sentient</w:t>
      </w:r>
      <w:proofErr w:type="spellEnd"/>
      <w:r w:rsidRPr="002906A3">
        <w:t xml:space="preserve"> </w:t>
      </w:r>
      <w:proofErr w:type="spellStart"/>
      <w:r w:rsidRPr="002906A3">
        <w:t>beings</w:t>
      </w:r>
      <w:proofErr w:type="spellEnd"/>
      <w:r w:rsidRPr="002906A3">
        <w:t xml:space="preserve"> </w:t>
      </w:r>
      <w:proofErr w:type="spellStart"/>
      <w:r w:rsidRPr="002906A3">
        <w:t>that</w:t>
      </w:r>
      <w:proofErr w:type="spellEnd"/>
      <w:r w:rsidRPr="002906A3">
        <w:t xml:space="preserve"> </w:t>
      </w:r>
      <w:proofErr w:type="spellStart"/>
      <w:r w:rsidRPr="002906A3">
        <w:t>humans</w:t>
      </w:r>
      <w:proofErr w:type="spellEnd"/>
      <w:r w:rsidRPr="002906A3">
        <w:t xml:space="preserve"> </w:t>
      </w:r>
      <w:proofErr w:type="spellStart"/>
      <w:r w:rsidRPr="002906A3">
        <w:t>create</w:t>
      </w:r>
      <w:proofErr w:type="spellEnd"/>
      <w:r w:rsidRPr="002906A3">
        <w:t>.</w:t>
      </w:r>
    </w:p>
    <w:p w14:paraId="5CA03884" w14:textId="77777777" w:rsidR="001E7189" w:rsidRPr="002906A3" w:rsidRDefault="001E7189" w:rsidP="00BA67A6">
      <w:pPr>
        <w:jc w:val="both"/>
      </w:pPr>
    </w:p>
    <w:p w14:paraId="09A4F899"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Victor’s</w:t>
      </w:r>
      <w:proofErr w:type="spellEnd"/>
      <w:r w:rsidRPr="002906A3">
        <w:t xml:space="preserve"> </w:t>
      </w:r>
      <w:proofErr w:type="spellStart"/>
      <w:r w:rsidRPr="002906A3">
        <w:t>neglect</w:t>
      </w:r>
      <w:proofErr w:type="spellEnd"/>
      <w:r w:rsidRPr="002906A3">
        <w:t xml:space="preserve"> </w:t>
      </w:r>
      <w:proofErr w:type="spellStart"/>
      <w:r w:rsidRPr="002906A3">
        <w:t>are</w:t>
      </w:r>
      <w:proofErr w:type="spellEnd"/>
      <w:r w:rsidRPr="002906A3">
        <w:t xml:space="preserve"> </w:t>
      </w:r>
      <w:proofErr w:type="spellStart"/>
      <w:r w:rsidRPr="002906A3">
        <w:t>further</w:t>
      </w:r>
      <w:proofErr w:type="spellEnd"/>
      <w:r w:rsidRPr="002906A3">
        <w:t xml:space="preserve"> </w:t>
      </w:r>
      <w:proofErr w:type="spellStart"/>
      <w:r w:rsidRPr="002906A3">
        <w:t>highlighted</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descent</w:t>
      </w:r>
      <w:proofErr w:type="spellEnd"/>
      <w:r w:rsidRPr="002906A3">
        <w:t xml:space="preserve"> </w:t>
      </w:r>
      <w:proofErr w:type="spellStart"/>
      <w:r w:rsidRPr="002906A3">
        <w:t>into</w:t>
      </w:r>
      <w:proofErr w:type="spellEnd"/>
      <w:r w:rsidRPr="002906A3">
        <w:t xml:space="preserve"> </w:t>
      </w:r>
      <w:proofErr w:type="spellStart"/>
      <w:r w:rsidRPr="002906A3">
        <w:lastRenderedPageBreak/>
        <w:t>bitterness</w:t>
      </w:r>
      <w:proofErr w:type="spellEnd"/>
      <w:r w:rsidRPr="002906A3">
        <w:t xml:space="preserve"> </w:t>
      </w:r>
      <w:proofErr w:type="spellStart"/>
      <w:r w:rsidRPr="002906A3">
        <w:t>and</w:t>
      </w:r>
      <w:proofErr w:type="spellEnd"/>
      <w:r w:rsidRPr="002906A3">
        <w:t xml:space="preserve"> </w:t>
      </w:r>
      <w:proofErr w:type="spellStart"/>
      <w:r w:rsidRPr="002906A3">
        <w:t>violence</w:t>
      </w:r>
      <w:proofErr w:type="spellEnd"/>
      <w:r w:rsidRPr="002906A3">
        <w:t xml:space="preserve">. </w:t>
      </w:r>
      <w:proofErr w:type="spellStart"/>
      <w:r w:rsidRPr="002906A3">
        <w:t>Initially</w:t>
      </w:r>
      <w:proofErr w:type="spellEnd"/>
      <w:r w:rsidRPr="002906A3">
        <w:t xml:space="preserve"> </w:t>
      </w:r>
      <w:proofErr w:type="spellStart"/>
      <w:r w:rsidRPr="002906A3">
        <w:t>benevolent</w:t>
      </w:r>
      <w:proofErr w:type="spellEnd"/>
      <w:r w:rsidRPr="002906A3">
        <w:t xml:space="preserve">,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transformation</w:t>
      </w:r>
      <w:proofErr w:type="spellEnd"/>
      <w:r w:rsidRPr="002906A3">
        <w:t xml:space="preserve"> is a </w:t>
      </w:r>
      <w:proofErr w:type="spellStart"/>
      <w:r w:rsidRPr="002906A3">
        <w:t>direct</w:t>
      </w:r>
      <w:proofErr w:type="spellEnd"/>
      <w:r w:rsidRPr="002906A3">
        <w:t xml:space="preserve"> </w:t>
      </w:r>
      <w:proofErr w:type="spellStart"/>
      <w:r w:rsidRPr="002906A3">
        <w:t>result</w:t>
      </w:r>
      <w:proofErr w:type="spellEnd"/>
      <w:r w:rsidRPr="002906A3">
        <w:t xml:space="preserve"> of </w:t>
      </w:r>
      <w:proofErr w:type="spellStart"/>
      <w:r w:rsidRPr="002906A3">
        <w:t>rejection</w:t>
      </w:r>
      <w:proofErr w:type="spellEnd"/>
      <w:r w:rsidRPr="002906A3">
        <w:t xml:space="preserve"> </w:t>
      </w:r>
      <w:proofErr w:type="spellStart"/>
      <w:r w:rsidRPr="002906A3">
        <w:t>and</w:t>
      </w:r>
      <w:proofErr w:type="spellEnd"/>
      <w:r w:rsidRPr="002906A3">
        <w:t xml:space="preserve"> </w:t>
      </w:r>
      <w:proofErr w:type="spellStart"/>
      <w:r w:rsidRPr="002906A3">
        <w:t>alienation</w:t>
      </w:r>
      <w:proofErr w:type="spellEnd"/>
      <w:r w:rsidRPr="002906A3">
        <w:t xml:space="preserve">, as he </w:t>
      </w:r>
      <w:proofErr w:type="spellStart"/>
      <w:r w:rsidRPr="002906A3">
        <w:t>explains</w:t>
      </w:r>
      <w:proofErr w:type="spellEnd"/>
      <w:r w:rsidRPr="002906A3">
        <w:t xml:space="preserve">, “I </w:t>
      </w:r>
      <w:proofErr w:type="spellStart"/>
      <w:r w:rsidRPr="002906A3">
        <w:t>was</w:t>
      </w:r>
      <w:proofErr w:type="spellEnd"/>
      <w:r w:rsidRPr="002906A3">
        <w:t xml:space="preserve"> </w:t>
      </w:r>
      <w:proofErr w:type="spellStart"/>
      <w:r w:rsidRPr="002906A3">
        <w:t>benevolent</w:t>
      </w:r>
      <w:proofErr w:type="spellEnd"/>
      <w:r w:rsidRPr="002906A3">
        <w:t xml:space="preserve"> </w:t>
      </w:r>
      <w:proofErr w:type="spellStart"/>
      <w:r w:rsidRPr="002906A3">
        <w:t>and</w:t>
      </w:r>
      <w:proofErr w:type="spellEnd"/>
      <w:r w:rsidRPr="002906A3">
        <w:t xml:space="preserve"> </w:t>
      </w:r>
      <w:proofErr w:type="spellStart"/>
      <w:r w:rsidRPr="002906A3">
        <w:t>good</w:t>
      </w:r>
      <w:proofErr w:type="spellEnd"/>
      <w:r w:rsidRPr="002906A3">
        <w:t xml:space="preserve">; </w:t>
      </w:r>
      <w:proofErr w:type="spellStart"/>
      <w:r w:rsidRPr="002906A3">
        <w:t>misery</w:t>
      </w:r>
      <w:proofErr w:type="spellEnd"/>
      <w:r w:rsidRPr="002906A3">
        <w:t xml:space="preserve"> </w:t>
      </w:r>
      <w:proofErr w:type="spellStart"/>
      <w:r w:rsidRPr="002906A3">
        <w:t>made</w:t>
      </w:r>
      <w:proofErr w:type="spellEnd"/>
      <w:r w:rsidRPr="002906A3">
        <w:t xml:space="preserve"> me a </w:t>
      </w:r>
      <w:proofErr w:type="spellStart"/>
      <w:r w:rsidRPr="002906A3">
        <w:t>fiend</w:t>
      </w:r>
      <w:proofErr w:type="spellEnd"/>
      <w:r w:rsidRPr="002906A3">
        <w:t xml:space="preserve">. </w:t>
      </w:r>
      <w:proofErr w:type="spellStart"/>
      <w:r w:rsidRPr="002906A3">
        <w:t>Make</w:t>
      </w:r>
      <w:proofErr w:type="spellEnd"/>
      <w:r w:rsidRPr="002906A3">
        <w:t xml:space="preserve"> me </w:t>
      </w:r>
      <w:proofErr w:type="spellStart"/>
      <w:r w:rsidRPr="002906A3">
        <w:t>happy</w:t>
      </w:r>
      <w:proofErr w:type="spellEnd"/>
      <w:r w:rsidRPr="002906A3">
        <w:t xml:space="preserve">, </w:t>
      </w:r>
      <w:proofErr w:type="spellStart"/>
      <w:r w:rsidRPr="002906A3">
        <w:t>and</w:t>
      </w:r>
      <w:proofErr w:type="spellEnd"/>
      <w:r w:rsidRPr="002906A3">
        <w:t xml:space="preserve"> I </w:t>
      </w:r>
      <w:proofErr w:type="spellStart"/>
      <w:r w:rsidRPr="002906A3">
        <w:t>shall</w:t>
      </w:r>
      <w:proofErr w:type="spellEnd"/>
      <w:r w:rsidRPr="002906A3">
        <w:t xml:space="preserve"> </w:t>
      </w:r>
      <w:proofErr w:type="spellStart"/>
      <w:r w:rsidRPr="002906A3">
        <w:t>again</w:t>
      </w:r>
      <w:proofErr w:type="spellEnd"/>
      <w:r w:rsidRPr="002906A3">
        <w:t xml:space="preserve"> be </w:t>
      </w:r>
      <w:proofErr w:type="spellStart"/>
      <w:r w:rsidRPr="002906A3">
        <w:t>virtuous</w:t>
      </w:r>
      <w:proofErr w:type="spellEnd"/>
      <w:r w:rsidRPr="002906A3">
        <w:t>” (</w:t>
      </w:r>
      <w:proofErr w:type="spellStart"/>
      <w:r w:rsidRPr="002906A3">
        <w:t>Shelley</w:t>
      </w:r>
      <w:proofErr w:type="spellEnd"/>
      <w:r w:rsidRPr="002906A3">
        <w:t xml:space="preserve">, 1818, p. 104). His </w:t>
      </w:r>
      <w:proofErr w:type="spellStart"/>
      <w:r w:rsidRPr="002906A3">
        <w:t>words</w:t>
      </w:r>
      <w:proofErr w:type="spellEnd"/>
      <w:r w:rsidRPr="002906A3">
        <w:t xml:space="preserve"> </w:t>
      </w:r>
      <w:proofErr w:type="spellStart"/>
      <w:r w:rsidRPr="002906A3">
        <w:t>emphasize</w:t>
      </w:r>
      <w:proofErr w:type="spellEnd"/>
      <w:r w:rsidRPr="002906A3">
        <w:t xml:space="preserve"> </w:t>
      </w:r>
      <w:proofErr w:type="spellStart"/>
      <w:r w:rsidRPr="002906A3">
        <w:t>the</w:t>
      </w:r>
      <w:proofErr w:type="spellEnd"/>
      <w:r w:rsidRPr="002906A3">
        <w:t xml:space="preserve"> role of </w:t>
      </w:r>
      <w:proofErr w:type="spellStart"/>
      <w:r w:rsidRPr="002906A3">
        <w:t>environment</w:t>
      </w:r>
      <w:proofErr w:type="spellEnd"/>
      <w:r w:rsidRPr="002906A3">
        <w:t xml:space="preserve"> </w:t>
      </w:r>
      <w:proofErr w:type="spellStart"/>
      <w:r w:rsidRPr="002906A3">
        <w:t>and</w:t>
      </w:r>
      <w:proofErr w:type="spellEnd"/>
      <w:r w:rsidRPr="002906A3">
        <w:t xml:space="preserve"> </w:t>
      </w:r>
      <w:proofErr w:type="spellStart"/>
      <w:r w:rsidRPr="002906A3">
        <w:t>social</w:t>
      </w:r>
      <w:proofErr w:type="spellEnd"/>
      <w:r w:rsidRPr="002906A3">
        <w:t xml:space="preserve"> </w:t>
      </w:r>
      <w:proofErr w:type="spellStart"/>
      <w:r w:rsidRPr="002906A3">
        <w:t>acceptance</w:t>
      </w:r>
      <w:proofErr w:type="spellEnd"/>
      <w:r w:rsidRPr="002906A3">
        <w:t xml:space="preserve"> in moral </w:t>
      </w:r>
      <w:proofErr w:type="spellStart"/>
      <w:r w:rsidRPr="002906A3">
        <w:t>development</w:t>
      </w:r>
      <w:proofErr w:type="spellEnd"/>
      <w:r w:rsidRPr="002906A3">
        <w:t xml:space="preserve">, </w:t>
      </w:r>
      <w:proofErr w:type="spellStart"/>
      <w:r w:rsidRPr="002906A3">
        <w:t>challenging</w:t>
      </w:r>
      <w:proofErr w:type="spellEnd"/>
      <w:r w:rsidRPr="002906A3">
        <w:t xml:space="preserve"> </w:t>
      </w:r>
      <w:proofErr w:type="spellStart"/>
      <w:r w:rsidRPr="002906A3">
        <w:t>the</w:t>
      </w:r>
      <w:proofErr w:type="spellEnd"/>
      <w:r w:rsidRPr="002906A3">
        <w:t xml:space="preserve"> </w:t>
      </w:r>
      <w:proofErr w:type="spellStart"/>
      <w:r w:rsidRPr="002906A3">
        <w:t>notion</w:t>
      </w:r>
      <w:proofErr w:type="spellEnd"/>
      <w:r w:rsidRPr="002906A3">
        <w:t xml:space="preserve"> </w:t>
      </w:r>
      <w:proofErr w:type="spellStart"/>
      <w:r w:rsidRPr="002906A3">
        <w:t>that</w:t>
      </w:r>
      <w:proofErr w:type="spellEnd"/>
      <w:r w:rsidRPr="002906A3">
        <w:t xml:space="preserve"> he </w:t>
      </w:r>
      <w:proofErr w:type="spellStart"/>
      <w:r w:rsidRPr="002906A3">
        <w:t>was</w:t>
      </w:r>
      <w:proofErr w:type="spellEnd"/>
      <w:r w:rsidRPr="002906A3">
        <w:t xml:space="preserve"> </w:t>
      </w:r>
      <w:proofErr w:type="spellStart"/>
      <w:r w:rsidRPr="002906A3">
        <w:t>inherently</w:t>
      </w:r>
      <w:proofErr w:type="spellEnd"/>
      <w:r w:rsidRPr="002906A3">
        <w:t xml:space="preserve"> </w:t>
      </w:r>
      <w:proofErr w:type="spellStart"/>
      <w:r w:rsidRPr="002906A3">
        <w:t>monstrous</w:t>
      </w:r>
      <w:proofErr w:type="spellEnd"/>
      <w:r w:rsidRPr="002906A3">
        <w:t xml:space="preserve">. His </w:t>
      </w:r>
      <w:proofErr w:type="spellStart"/>
      <w:r w:rsidRPr="002906A3">
        <w:t>plea</w:t>
      </w:r>
      <w:proofErr w:type="spellEnd"/>
      <w:r w:rsidRPr="002906A3">
        <w:t xml:space="preserve"> </w:t>
      </w:r>
      <w:proofErr w:type="spellStart"/>
      <w:r w:rsidRPr="002906A3">
        <w:t>for</w:t>
      </w:r>
      <w:proofErr w:type="spellEnd"/>
      <w:r w:rsidRPr="002906A3">
        <w:t xml:space="preserve"> </w:t>
      </w:r>
      <w:proofErr w:type="spellStart"/>
      <w:r w:rsidRPr="002906A3">
        <w:t>companionship</w:t>
      </w:r>
      <w:proofErr w:type="spellEnd"/>
      <w:r w:rsidRPr="002906A3">
        <w:t xml:space="preserve"> is </w:t>
      </w:r>
      <w:proofErr w:type="spellStart"/>
      <w:r w:rsidRPr="002906A3">
        <w:t>ignored</w:t>
      </w:r>
      <w:proofErr w:type="spellEnd"/>
      <w:r w:rsidRPr="002906A3">
        <w:t xml:space="preserve">, </w:t>
      </w:r>
      <w:proofErr w:type="spellStart"/>
      <w:r w:rsidRPr="002906A3">
        <w:t>and</w:t>
      </w:r>
      <w:proofErr w:type="spellEnd"/>
      <w:r w:rsidRPr="002906A3">
        <w:t xml:space="preserve"> his </w:t>
      </w:r>
      <w:proofErr w:type="spellStart"/>
      <w:r w:rsidRPr="002906A3">
        <w:t>suffering</w:t>
      </w:r>
      <w:proofErr w:type="spellEnd"/>
      <w:r w:rsidRPr="002906A3">
        <w:t xml:space="preserve"> </w:t>
      </w:r>
      <w:proofErr w:type="spellStart"/>
      <w:r w:rsidRPr="002906A3">
        <w:t>continues</w:t>
      </w:r>
      <w:proofErr w:type="spellEnd"/>
      <w:r w:rsidRPr="002906A3">
        <w:t xml:space="preserve">, </w:t>
      </w:r>
      <w:proofErr w:type="spellStart"/>
      <w:r w:rsidRPr="002906A3">
        <w:t>leading</w:t>
      </w:r>
      <w:proofErr w:type="spellEnd"/>
      <w:r w:rsidRPr="002906A3">
        <w:t xml:space="preserve"> </w:t>
      </w:r>
      <w:proofErr w:type="spellStart"/>
      <w:r w:rsidRPr="002906A3">
        <w:t>him</w:t>
      </w:r>
      <w:proofErr w:type="spellEnd"/>
      <w:r w:rsidRPr="002906A3">
        <w:t xml:space="preserve"> </w:t>
      </w:r>
      <w:proofErr w:type="spellStart"/>
      <w:r w:rsidRPr="002906A3">
        <w:t>to</w:t>
      </w:r>
      <w:proofErr w:type="spellEnd"/>
      <w:r w:rsidRPr="002906A3">
        <w:t xml:space="preserve"> </w:t>
      </w:r>
      <w:proofErr w:type="spellStart"/>
      <w:r w:rsidRPr="002906A3">
        <w:t>question</w:t>
      </w:r>
      <w:proofErr w:type="spellEnd"/>
      <w:r w:rsidRPr="002906A3">
        <w:t xml:space="preserve"> </w:t>
      </w:r>
      <w:proofErr w:type="spellStart"/>
      <w:r w:rsidRPr="002906A3">
        <w:t>the</w:t>
      </w:r>
      <w:proofErr w:type="spellEnd"/>
      <w:r w:rsidRPr="002906A3">
        <w:t xml:space="preserve"> </w:t>
      </w:r>
      <w:proofErr w:type="spellStart"/>
      <w:r w:rsidRPr="002906A3">
        <w:t>justice</w:t>
      </w:r>
      <w:proofErr w:type="spellEnd"/>
      <w:r w:rsidRPr="002906A3">
        <w:t xml:space="preserve"> of his </w:t>
      </w:r>
      <w:proofErr w:type="spellStart"/>
      <w:r w:rsidRPr="002906A3">
        <w:t>existence</w:t>
      </w:r>
      <w:proofErr w:type="spellEnd"/>
      <w:r w:rsidRPr="002906A3">
        <w:t>: “</w:t>
      </w:r>
      <w:proofErr w:type="spellStart"/>
      <w:r w:rsidRPr="002906A3">
        <w:t>Am</w:t>
      </w:r>
      <w:proofErr w:type="spellEnd"/>
      <w:r w:rsidRPr="002906A3">
        <w:t xml:space="preserve"> I </w:t>
      </w:r>
      <w:proofErr w:type="spellStart"/>
      <w:r w:rsidRPr="002906A3">
        <w:t>to</w:t>
      </w:r>
      <w:proofErr w:type="spellEnd"/>
      <w:r w:rsidRPr="002906A3">
        <w:t xml:space="preserve"> be </w:t>
      </w:r>
      <w:proofErr w:type="spellStart"/>
      <w:r w:rsidRPr="002906A3">
        <w:t>thought</w:t>
      </w:r>
      <w:proofErr w:type="spellEnd"/>
      <w:r w:rsidRPr="002906A3">
        <w:t xml:space="preserve"> </w:t>
      </w:r>
      <w:proofErr w:type="spellStart"/>
      <w:r w:rsidRPr="002906A3">
        <w:t>the</w:t>
      </w:r>
      <w:proofErr w:type="spellEnd"/>
      <w:r w:rsidRPr="002906A3">
        <w:t xml:space="preserve"> </w:t>
      </w:r>
      <w:proofErr w:type="spellStart"/>
      <w:r w:rsidRPr="002906A3">
        <w:t>only</w:t>
      </w:r>
      <w:proofErr w:type="spellEnd"/>
      <w:r w:rsidRPr="002906A3">
        <w:t xml:space="preserve"> </w:t>
      </w:r>
      <w:proofErr w:type="spellStart"/>
      <w:r w:rsidRPr="002906A3">
        <w:t>criminal</w:t>
      </w:r>
      <w:proofErr w:type="spellEnd"/>
      <w:r w:rsidRPr="002906A3">
        <w:t xml:space="preserve">, </w:t>
      </w:r>
      <w:proofErr w:type="spellStart"/>
      <w:r w:rsidRPr="002906A3">
        <w:t>when</w:t>
      </w:r>
      <w:proofErr w:type="spellEnd"/>
      <w:r w:rsidRPr="002906A3">
        <w:t xml:space="preserve"> </w:t>
      </w:r>
      <w:proofErr w:type="spellStart"/>
      <w:r w:rsidRPr="002906A3">
        <w:t>all</w:t>
      </w:r>
      <w:proofErr w:type="spellEnd"/>
      <w:r w:rsidRPr="002906A3">
        <w:t xml:space="preserve"> </w:t>
      </w:r>
      <w:proofErr w:type="spellStart"/>
      <w:r w:rsidRPr="002906A3">
        <w:t>humankind</w:t>
      </w:r>
      <w:proofErr w:type="spellEnd"/>
      <w:r w:rsidRPr="002906A3">
        <w:t xml:space="preserve"> </w:t>
      </w:r>
      <w:proofErr w:type="spellStart"/>
      <w:r w:rsidRPr="002906A3">
        <w:t>sinned</w:t>
      </w:r>
      <w:proofErr w:type="spellEnd"/>
      <w:r w:rsidRPr="002906A3">
        <w:t xml:space="preserve"> </w:t>
      </w:r>
      <w:proofErr w:type="spellStart"/>
      <w:r w:rsidRPr="002906A3">
        <w:t>against</w:t>
      </w:r>
      <w:proofErr w:type="spellEnd"/>
      <w:r w:rsidRPr="002906A3">
        <w:t xml:space="preserve"> me?” (</w:t>
      </w:r>
      <w:proofErr w:type="spellStart"/>
      <w:r w:rsidRPr="002906A3">
        <w:t>Shelley</w:t>
      </w:r>
      <w:proofErr w:type="spellEnd"/>
      <w:r w:rsidRPr="002906A3">
        <w:t xml:space="preserve">, 1818, p. 185). </w:t>
      </w: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plight</w:t>
      </w:r>
      <w:proofErr w:type="spellEnd"/>
      <w:r w:rsidRPr="002906A3">
        <w:t xml:space="preserve"> </w:t>
      </w:r>
      <w:proofErr w:type="spellStart"/>
      <w:r w:rsidRPr="002906A3">
        <w:t>mirrors</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concerns</w:t>
      </w:r>
      <w:proofErr w:type="spellEnd"/>
      <w:r w:rsidRPr="002906A3">
        <w:t xml:space="preserve"> </w:t>
      </w:r>
      <w:proofErr w:type="spellStart"/>
      <w:r w:rsidRPr="002906A3">
        <w:t>regarding</w:t>
      </w:r>
      <w:proofErr w:type="spellEnd"/>
      <w:r w:rsidRPr="002906A3">
        <w:t xml:space="preserve"> AI </w:t>
      </w:r>
      <w:proofErr w:type="spellStart"/>
      <w:r w:rsidRPr="002906A3">
        <w:t>autonomy</w:t>
      </w:r>
      <w:proofErr w:type="spellEnd"/>
      <w:r w:rsidRPr="002906A3">
        <w:t xml:space="preserve"> </w:t>
      </w:r>
      <w:proofErr w:type="spellStart"/>
      <w:r w:rsidRPr="002906A3">
        <w:t>and</w:t>
      </w:r>
      <w:proofErr w:type="spellEnd"/>
      <w:r w:rsidRPr="002906A3">
        <w:t xml:space="preserve"> </w:t>
      </w:r>
      <w:proofErr w:type="spellStart"/>
      <w:r w:rsidRPr="002906A3">
        <w:t>machine</w:t>
      </w:r>
      <w:proofErr w:type="spellEnd"/>
      <w:r w:rsidRPr="002906A3">
        <w:t xml:space="preserve"> </w:t>
      </w:r>
      <w:proofErr w:type="spellStart"/>
      <w:r w:rsidRPr="002906A3">
        <w:t>consciousness</w:t>
      </w:r>
      <w:proofErr w:type="spellEnd"/>
      <w:r w:rsidRPr="002906A3">
        <w:t>—</w:t>
      </w:r>
      <w:proofErr w:type="spellStart"/>
      <w:r w:rsidRPr="002906A3">
        <w:t>should</w:t>
      </w:r>
      <w:proofErr w:type="spellEnd"/>
      <w:r w:rsidRPr="002906A3">
        <w:t xml:space="preserve"> an </w:t>
      </w:r>
      <w:proofErr w:type="spellStart"/>
      <w:r w:rsidRPr="002906A3">
        <w:t>artificially</w:t>
      </w:r>
      <w:proofErr w:type="spellEnd"/>
      <w:r w:rsidRPr="002906A3">
        <w:t xml:space="preserve"> </w:t>
      </w:r>
      <w:proofErr w:type="spellStart"/>
      <w:r w:rsidRPr="002906A3">
        <w:t>intelligent</w:t>
      </w:r>
      <w:proofErr w:type="spellEnd"/>
      <w:r w:rsidRPr="002906A3">
        <w:t xml:space="preserve"> </w:t>
      </w:r>
      <w:proofErr w:type="spellStart"/>
      <w:r w:rsidRPr="002906A3">
        <w:t>being</w:t>
      </w:r>
      <w:proofErr w:type="spellEnd"/>
      <w:r w:rsidRPr="002906A3">
        <w:t xml:space="preserve"> be </w:t>
      </w:r>
      <w:proofErr w:type="spellStart"/>
      <w:r w:rsidRPr="002906A3">
        <w:t>left</w:t>
      </w:r>
      <w:proofErr w:type="spellEnd"/>
      <w:r w:rsidRPr="002906A3">
        <w:t xml:space="preserve"> </w:t>
      </w:r>
      <w:proofErr w:type="spellStart"/>
      <w:r w:rsidRPr="002906A3">
        <w:t>to</w:t>
      </w:r>
      <w:proofErr w:type="spellEnd"/>
      <w:r w:rsidRPr="002906A3">
        <w:t xml:space="preserve"> </w:t>
      </w:r>
      <w:proofErr w:type="spellStart"/>
      <w:r w:rsidRPr="002906A3">
        <w:t>suffer</w:t>
      </w:r>
      <w:proofErr w:type="spellEnd"/>
      <w:r w:rsidRPr="002906A3">
        <w:t xml:space="preserve"> </w:t>
      </w:r>
      <w:proofErr w:type="spellStart"/>
      <w:r w:rsidRPr="002906A3">
        <w:t>without</w:t>
      </w:r>
      <w:proofErr w:type="spellEnd"/>
      <w:r w:rsidRPr="002906A3">
        <w:t xml:space="preserve"> </w:t>
      </w:r>
      <w:proofErr w:type="spellStart"/>
      <w:r w:rsidRPr="002906A3">
        <w:t>guidance</w:t>
      </w:r>
      <w:proofErr w:type="spellEnd"/>
      <w:r w:rsidRPr="002906A3">
        <w:t xml:space="preserve"> </w:t>
      </w:r>
      <w:proofErr w:type="spellStart"/>
      <w:r w:rsidRPr="002906A3">
        <w:t>or</w:t>
      </w:r>
      <w:proofErr w:type="spellEnd"/>
      <w:r w:rsidRPr="002906A3">
        <w:t xml:space="preserve"> </w:t>
      </w:r>
      <w:proofErr w:type="spellStart"/>
      <w:r w:rsidRPr="002906A3">
        <w:t>integration</w:t>
      </w:r>
      <w:proofErr w:type="spellEnd"/>
      <w:r w:rsidRPr="002906A3">
        <w:t xml:space="preserve"> </w:t>
      </w:r>
      <w:proofErr w:type="spellStart"/>
      <w:r w:rsidRPr="002906A3">
        <w:t>into</w:t>
      </w:r>
      <w:proofErr w:type="spellEnd"/>
      <w:r w:rsidRPr="002906A3">
        <w:t xml:space="preserve"> </w:t>
      </w:r>
      <w:proofErr w:type="spellStart"/>
      <w:r w:rsidRPr="002906A3">
        <w:t>society</w:t>
      </w:r>
      <w:proofErr w:type="spellEnd"/>
      <w:r w:rsidRPr="002906A3">
        <w:t>?</w:t>
      </w:r>
    </w:p>
    <w:p w14:paraId="18E1B47D" w14:textId="77777777" w:rsidR="001E7189" w:rsidRPr="002906A3" w:rsidRDefault="001E7189" w:rsidP="00BA67A6">
      <w:pPr>
        <w:jc w:val="both"/>
      </w:pPr>
    </w:p>
    <w:p w14:paraId="5EE1F590" w14:textId="746482AA" w:rsidR="001E7189" w:rsidRPr="002906A3" w:rsidRDefault="001E7189" w:rsidP="00BA67A6">
      <w:pPr>
        <w:jc w:val="both"/>
      </w:pPr>
      <w:proofErr w:type="spellStart"/>
      <w:r w:rsidRPr="002906A3">
        <w:t>Ultimately</w:t>
      </w:r>
      <w:proofErr w:type="spellEnd"/>
      <w:r w:rsidRPr="002906A3">
        <w:t xml:space="preserve">, </w:t>
      </w:r>
      <w:r w:rsidRPr="002906A3">
        <w:rPr>
          <w:i/>
          <w:iCs/>
        </w:rPr>
        <w:t>Frankenstein</w:t>
      </w:r>
      <w:r w:rsidRPr="002906A3">
        <w:t xml:space="preserve"> </w:t>
      </w:r>
      <w:proofErr w:type="spellStart"/>
      <w:r w:rsidRPr="002906A3">
        <w:t>serves</w:t>
      </w:r>
      <w:proofErr w:type="spellEnd"/>
      <w:r w:rsidRPr="002906A3">
        <w:t xml:space="preserve"> as a </w:t>
      </w:r>
      <w:proofErr w:type="spellStart"/>
      <w:r w:rsidRPr="002906A3">
        <w:t>cautionary</w:t>
      </w:r>
      <w:proofErr w:type="spellEnd"/>
      <w:r w:rsidRPr="002906A3">
        <w:t xml:space="preserve"> </w:t>
      </w:r>
      <w:proofErr w:type="spellStart"/>
      <w:r w:rsidRPr="002906A3">
        <w:t>tale</w:t>
      </w:r>
      <w:proofErr w:type="spellEnd"/>
      <w:r w:rsidRPr="002906A3">
        <w:t xml:space="preserve"> </w:t>
      </w:r>
      <w:proofErr w:type="spellStart"/>
      <w:r w:rsidRPr="002906A3">
        <w:t>about</w:t>
      </w:r>
      <w:proofErr w:type="spellEnd"/>
      <w:r w:rsidRPr="002906A3">
        <w:t xml:space="preserve"> </w:t>
      </w:r>
      <w:proofErr w:type="spellStart"/>
      <w:r w:rsidRPr="002906A3">
        <w:t>the</w:t>
      </w:r>
      <w:proofErr w:type="spellEnd"/>
      <w:r w:rsidRPr="002906A3">
        <w:t xml:space="preserve"> </w:t>
      </w:r>
      <w:proofErr w:type="spellStart"/>
      <w:r w:rsidRPr="002906A3">
        <w:t>responsibilities</w:t>
      </w:r>
      <w:proofErr w:type="spellEnd"/>
      <w:r w:rsidRPr="002906A3">
        <w:t xml:space="preserve"> </w:t>
      </w:r>
      <w:proofErr w:type="spellStart"/>
      <w:r w:rsidRPr="002906A3">
        <w:t>that</w:t>
      </w:r>
      <w:proofErr w:type="spellEnd"/>
      <w:r w:rsidRPr="002906A3">
        <w:t xml:space="preserve"> </w:t>
      </w:r>
      <w:proofErr w:type="spellStart"/>
      <w:r w:rsidRPr="002906A3">
        <w:t>come</w:t>
      </w:r>
      <w:proofErr w:type="spellEnd"/>
      <w:r w:rsidRPr="002906A3">
        <w:t xml:space="preserve"> </w:t>
      </w:r>
      <w:proofErr w:type="spellStart"/>
      <w:r w:rsidRPr="002906A3">
        <w:t>with</w:t>
      </w:r>
      <w:proofErr w:type="spellEnd"/>
      <w:r w:rsidRPr="002906A3">
        <w:t xml:space="preserve"> </w:t>
      </w:r>
      <w:proofErr w:type="spellStart"/>
      <w:r w:rsidRPr="002906A3">
        <w:t>creation</w:t>
      </w:r>
      <w:proofErr w:type="spellEnd"/>
      <w:r w:rsidRPr="002906A3">
        <w:t xml:space="preserve">, </w:t>
      </w:r>
      <w:proofErr w:type="spellStart"/>
      <w:r w:rsidRPr="002906A3">
        <w:t>urging</w:t>
      </w:r>
      <w:proofErr w:type="spellEnd"/>
      <w:r w:rsidRPr="002906A3">
        <w:t xml:space="preserve"> </w:t>
      </w:r>
      <w:proofErr w:type="spellStart"/>
      <w:r w:rsidRPr="002906A3">
        <w:t>thoughtful</w:t>
      </w:r>
      <w:proofErr w:type="spellEnd"/>
      <w:r w:rsidRPr="002906A3">
        <w:t xml:space="preserve"> </w:t>
      </w:r>
      <w:proofErr w:type="spellStart"/>
      <w:r w:rsidRPr="002906A3">
        <w:t>consideration</w:t>
      </w:r>
      <w:proofErr w:type="spellEnd"/>
      <w:r w:rsidRPr="002906A3">
        <w:t xml:space="preserve"> of </w:t>
      </w:r>
      <w:proofErr w:type="spellStart"/>
      <w:r w:rsidRPr="002906A3">
        <w:t>scientific</w:t>
      </w:r>
      <w:proofErr w:type="spellEnd"/>
      <w:r w:rsidRPr="002906A3">
        <w:t xml:space="preserve"> </w:t>
      </w:r>
      <w:proofErr w:type="spellStart"/>
      <w:r w:rsidRPr="002906A3">
        <w:t>advancements</w:t>
      </w:r>
      <w:proofErr w:type="spellEnd"/>
      <w:r w:rsidRPr="002906A3">
        <w:t xml:space="preserve"> </w:t>
      </w:r>
      <w:proofErr w:type="spellStart"/>
      <w:r w:rsidRPr="002906A3">
        <w:t>and</w:t>
      </w:r>
      <w:proofErr w:type="spellEnd"/>
      <w:r w:rsidRPr="002906A3">
        <w:t xml:space="preserve"> </w:t>
      </w:r>
      <w:proofErr w:type="spellStart"/>
      <w:r w:rsidRPr="002906A3">
        <w:t>their</w:t>
      </w:r>
      <w:proofErr w:type="spellEnd"/>
      <w:r w:rsidRPr="002906A3">
        <w:t xml:space="preserve"> </w:t>
      </w:r>
      <w:proofErr w:type="spellStart"/>
      <w:r w:rsidRPr="002906A3">
        <w:t>ethical</w:t>
      </w:r>
      <w:proofErr w:type="spellEnd"/>
      <w:r w:rsidRPr="002906A3">
        <w:t xml:space="preserve"> </w:t>
      </w:r>
      <w:proofErr w:type="spellStart"/>
      <w:r w:rsidRPr="002906A3">
        <w:t>implications</w:t>
      </w:r>
      <w:proofErr w:type="spellEnd"/>
      <w:r w:rsidRPr="002906A3">
        <w:t xml:space="preserve">. As Victor Frankenstein </w:t>
      </w:r>
      <w:proofErr w:type="spellStart"/>
      <w:r w:rsidRPr="002906A3">
        <w:t>himself</w:t>
      </w:r>
      <w:proofErr w:type="spellEnd"/>
      <w:r w:rsidRPr="002906A3">
        <w:t xml:space="preserve"> </w:t>
      </w:r>
      <w:proofErr w:type="spellStart"/>
      <w:r w:rsidRPr="002906A3">
        <w:t>admits</w:t>
      </w:r>
      <w:proofErr w:type="spellEnd"/>
      <w:r w:rsidRPr="002906A3">
        <w:t xml:space="preserve"> in a moment of </w:t>
      </w:r>
      <w:proofErr w:type="spellStart"/>
      <w:r w:rsidRPr="002906A3">
        <w:t>regret</w:t>
      </w:r>
      <w:proofErr w:type="spellEnd"/>
      <w:r w:rsidRPr="002906A3">
        <w:t>, “</w:t>
      </w:r>
      <w:proofErr w:type="spellStart"/>
      <w:r w:rsidRPr="002906A3">
        <w:t>Why</w:t>
      </w:r>
      <w:proofErr w:type="spellEnd"/>
      <w:r w:rsidRPr="002906A3">
        <w:t xml:space="preserve"> do </w:t>
      </w:r>
      <w:proofErr w:type="spellStart"/>
      <w:r w:rsidRPr="002906A3">
        <w:t>you</w:t>
      </w:r>
      <w:proofErr w:type="spellEnd"/>
      <w:r w:rsidRPr="002906A3">
        <w:t xml:space="preserve"> </w:t>
      </w:r>
      <w:proofErr w:type="spellStart"/>
      <w:r w:rsidRPr="002906A3">
        <w:t>call</w:t>
      </w:r>
      <w:proofErr w:type="spellEnd"/>
      <w:r w:rsidRPr="002906A3">
        <w:t xml:space="preserve"> </w:t>
      </w:r>
      <w:proofErr w:type="spellStart"/>
      <w:r w:rsidRPr="002906A3">
        <w:t>to</w:t>
      </w:r>
      <w:proofErr w:type="spellEnd"/>
      <w:r w:rsidRPr="002906A3">
        <w:t xml:space="preserve"> </w:t>
      </w:r>
      <w:proofErr w:type="spellStart"/>
      <w:r w:rsidRPr="002906A3">
        <w:t>my</w:t>
      </w:r>
      <w:proofErr w:type="spellEnd"/>
      <w:r w:rsidRPr="002906A3">
        <w:t xml:space="preserve"> </w:t>
      </w:r>
      <w:proofErr w:type="spellStart"/>
      <w:r w:rsidRPr="002906A3">
        <w:t>remembrance</w:t>
      </w:r>
      <w:proofErr w:type="spellEnd"/>
      <w:r w:rsidRPr="002906A3">
        <w:t xml:space="preserve"> </w:t>
      </w:r>
      <w:proofErr w:type="spellStart"/>
      <w:r w:rsidRPr="002906A3">
        <w:t>circumstances</w:t>
      </w:r>
      <w:proofErr w:type="spellEnd"/>
      <w:r w:rsidRPr="002906A3">
        <w:t xml:space="preserve"> of </w:t>
      </w:r>
      <w:proofErr w:type="spellStart"/>
      <w:r w:rsidRPr="002906A3">
        <w:t>which</w:t>
      </w:r>
      <w:proofErr w:type="spellEnd"/>
      <w:r w:rsidRPr="002906A3">
        <w:t xml:space="preserve"> I </w:t>
      </w:r>
      <w:proofErr w:type="spellStart"/>
      <w:r w:rsidRPr="002906A3">
        <w:t>shudder</w:t>
      </w:r>
      <w:proofErr w:type="spellEnd"/>
      <w:r w:rsidRPr="002906A3">
        <w:t xml:space="preserve"> </w:t>
      </w:r>
      <w:proofErr w:type="spellStart"/>
      <w:r w:rsidRPr="002906A3">
        <w:t>to</w:t>
      </w:r>
      <w:proofErr w:type="spellEnd"/>
      <w:r w:rsidRPr="002906A3">
        <w:t xml:space="preserve"> </w:t>
      </w:r>
      <w:proofErr w:type="spellStart"/>
      <w:r w:rsidRPr="002906A3">
        <w:t>reflect</w:t>
      </w:r>
      <w:proofErr w:type="spellEnd"/>
      <w:r w:rsidRPr="002906A3">
        <w:t xml:space="preserve">, </w:t>
      </w:r>
      <w:proofErr w:type="spellStart"/>
      <w:r w:rsidRPr="002906A3">
        <w:t>that</w:t>
      </w:r>
      <w:proofErr w:type="spellEnd"/>
      <w:r w:rsidRPr="002906A3">
        <w:t xml:space="preserve"> I </w:t>
      </w:r>
      <w:proofErr w:type="spellStart"/>
      <w:r w:rsidRPr="002906A3">
        <w:t>have</w:t>
      </w:r>
      <w:proofErr w:type="spellEnd"/>
      <w:r w:rsidRPr="002906A3">
        <w:t xml:space="preserve"> </w:t>
      </w:r>
      <w:proofErr w:type="spellStart"/>
      <w:r w:rsidRPr="002906A3">
        <w:t>been</w:t>
      </w:r>
      <w:proofErr w:type="spellEnd"/>
      <w:r w:rsidRPr="002906A3">
        <w:t xml:space="preserve"> </w:t>
      </w:r>
      <w:proofErr w:type="spellStart"/>
      <w:r w:rsidRPr="002906A3">
        <w:t>the</w:t>
      </w:r>
      <w:proofErr w:type="spellEnd"/>
      <w:r w:rsidRPr="002906A3">
        <w:t xml:space="preserve"> </w:t>
      </w:r>
      <w:proofErr w:type="spellStart"/>
      <w:r w:rsidRPr="002906A3">
        <w:t>miserable</w:t>
      </w:r>
      <w:proofErr w:type="spellEnd"/>
      <w:r w:rsidRPr="002906A3">
        <w:t xml:space="preserve"> </w:t>
      </w:r>
      <w:proofErr w:type="spellStart"/>
      <w:r w:rsidRPr="002906A3">
        <w:t>origin</w:t>
      </w:r>
      <w:proofErr w:type="spellEnd"/>
      <w:r w:rsidRPr="002906A3">
        <w:t xml:space="preserve"> </w:t>
      </w:r>
      <w:proofErr w:type="spellStart"/>
      <w:r w:rsidRPr="002906A3">
        <w:t>and</w:t>
      </w:r>
      <w:proofErr w:type="spellEnd"/>
      <w:r w:rsidRPr="002906A3">
        <w:t xml:space="preserve"> </w:t>
      </w:r>
      <w:proofErr w:type="spellStart"/>
      <w:r w:rsidRPr="002906A3">
        <w:t>author</w:t>
      </w:r>
      <w:proofErr w:type="spellEnd"/>
      <w:r w:rsidRPr="002906A3">
        <w:t>?” (</w:t>
      </w:r>
      <w:proofErr w:type="spellStart"/>
      <w:r w:rsidRPr="002906A3">
        <w:t>Shelley</w:t>
      </w:r>
      <w:proofErr w:type="spellEnd"/>
      <w:r w:rsidRPr="002906A3">
        <w:t xml:space="preserve">, 1818, p. 82). </w:t>
      </w:r>
      <w:proofErr w:type="spellStart"/>
      <w:r w:rsidRPr="002906A3">
        <w:t>This</w:t>
      </w:r>
      <w:proofErr w:type="spellEnd"/>
      <w:r w:rsidRPr="002906A3">
        <w:t xml:space="preserve"> </w:t>
      </w:r>
      <w:proofErr w:type="spellStart"/>
      <w:r w:rsidRPr="002906A3">
        <w:t>recognition</w:t>
      </w:r>
      <w:proofErr w:type="spellEnd"/>
      <w:r w:rsidRPr="002906A3">
        <w:t xml:space="preserve"> of his moral </w:t>
      </w:r>
      <w:proofErr w:type="spellStart"/>
      <w:r w:rsidRPr="002906A3">
        <w:t>failure</w:t>
      </w:r>
      <w:proofErr w:type="spellEnd"/>
      <w:r w:rsidRPr="002906A3">
        <w:t xml:space="preserve"> </w:t>
      </w:r>
      <w:proofErr w:type="spellStart"/>
      <w:r w:rsidRPr="002906A3">
        <w:t>reinforces</w:t>
      </w:r>
      <w:proofErr w:type="spellEnd"/>
      <w:r w:rsidRPr="002906A3">
        <w:t xml:space="preserve"> </w:t>
      </w:r>
      <w:proofErr w:type="spellStart"/>
      <w:r w:rsidRPr="002906A3">
        <w:t>the</w:t>
      </w:r>
      <w:proofErr w:type="spellEnd"/>
      <w:r w:rsidRPr="002906A3">
        <w:t xml:space="preserve"> </w:t>
      </w:r>
      <w:proofErr w:type="spellStart"/>
      <w:r w:rsidRPr="002906A3">
        <w:t>novel’s</w:t>
      </w:r>
      <w:proofErr w:type="spellEnd"/>
      <w:r w:rsidRPr="002906A3">
        <w:t xml:space="preserve"> </w:t>
      </w:r>
      <w:proofErr w:type="spellStart"/>
      <w:r w:rsidRPr="002906A3">
        <w:t>enduring</w:t>
      </w:r>
      <w:proofErr w:type="spellEnd"/>
      <w:r w:rsidRPr="002906A3">
        <w:t xml:space="preserve"> </w:t>
      </w:r>
      <w:proofErr w:type="spellStart"/>
      <w:r w:rsidRPr="002906A3">
        <w:t>relevance</w:t>
      </w:r>
      <w:proofErr w:type="spellEnd"/>
      <w:r w:rsidRPr="002906A3">
        <w:t xml:space="preserve">, </w:t>
      </w:r>
      <w:proofErr w:type="spellStart"/>
      <w:r w:rsidRPr="002906A3">
        <w:t>particularly</w:t>
      </w:r>
      <w:proofErr w:type="spellEnd"/>
      <w:r w:rsidRPr="002906A3">
        <w:t xml:space="preserve"> in </w:t>
      </w:r>
      <w:proofErr w:type="spellStart"/>
      <w:r w:rsidRPr="002906A3">
        <w:t>contemporary</w:t>
      </w:r>
      <w:proofErr w:type="spellEnd"/>
      <w:r w:rsidRPr="002906A3">
        <w:t xml:space="preserve"> </w:t>
      </w:r>
      <w:proofErr w:type="spellStart"/>
      <w:r w:rsidRPr="002906A3">
        <w:t>debates</w:t>
      </w:r>
      <w:proofErr w:type="spellEnd"/>
      <w:r w:rsidRPr="002906A3">
        <w:t xml:space="preserve"> </w:t>
      </w:r>
      <w:proofErr w:type="spellStart"/>
      <w:r w:rsidRPr="002906A3">
        <w:t>surrounding</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biotechnology</w:t>
      </w:r>
      <w:proofErr w:type="spellEnd"/>
      <w:r w:rsidRPr="002906A3">
        <w:t xml:space="preserve">, </w:t>
      </w:r>
      <w:proofErr w:type="spellStart"/>
      <w:r w:rsidRPr="002906A3">
        <w:t>and</w:t>
      </w:r>
      <w:proofErr w:type="spellEnd"/>
      <w:r w:rsidRPr="002906A3">
        <w:t xml:space="preserve"> </w:t>
      </w:r>
      <w:proofErr w:type="spellStart"/>
      <w:r w:rsidRPr="002906A3">
        <w:t>human</w:t>
      </w:r>
      <w:proofErr w:type="spellEnd"/>
      <w:r w:rsidRPr="002906A3">
        <w:t xml:space="preserve"> </w:t>
      </w:r>
      <w:proofErr w:type="spellStart"/>
      <w:r w:rsidRPr="002906A3">
        <w:t>innovation</w:t>
      </w:r>
      <w:proofErr w:type="spellEnd"/>
      <w:r w:rsidRPr="002906A3">
        <w:t xml:space="preserve">. </w:t>
      </w:r>
      <w:proofErr w:type="spellStart"/>
      <w:r w:rsidRPr="002906A3">
        <w:t>Shelley's</w:t>
      </w:r>
      <w:proofErr w:type="spellEnd"/>
      <w:r w:rsidRPr="002906A3">
        <w:t xml:space="preserve"> </w:t>
      </w:r>
      <w:proofErr w:type="spellStart"/>
      <w:r w:rsidRPr="002906A3">
        <w:t>work</w:t>
      </w:r>
      <w:proofErr w:type="spellEnd"/>
      <w:r w:rsidRPr="002906A3">
        <w:t xml:space="preserve"> </w:t>
      </w:r>
      <w:proofErr w:type="spellStart"/>
      <w:r w:rsidRPr="002906A3">
        <w:t>remains</w:t>
      </w:r>
      <w:proofErr w:type="spellEnd"/>
      <w:r w:rsidRPr="002906A3">
        <w:t xml:space="preserve"> a </w:t>
      </w:r>
      <w:proofErr w:type="spellStart"/>
      <w:r w:rsidRPr="002906A3">
        <w:t>timeless</w:t>
      </w:r>
      <w:proofErr w:type="spellEnd"/>
      <w:r w:rsidRPr="002906A3">
        <w:t xml:space="preserve"> </w:t>
      </w:r>
      <w:proofErr w:type="spellStart"/>
      <w:r w:rsidRPr="002906A3">
        <w:t>warning</w:t>
      </w:r>
      <w:proofErr w:type="spellEnd"/>
      <w:r w:rsidRPr="002906A3">
        <w:t xml:space="preserve"> </w:t>
      </w:r>
      <w:proofErr w:type="spellStart"/>
      <w:r w:rsidRPr="002906A3">
        <w:t>that</w:t>
      </w:r>
      <w:proofErr w:type="spellEnd"/>
      <w:r w:rsidRPr="002906A3">
        <w:t xml:space="preserve"> </w:t>
      </w:r>
      <w:proofErr w:type="spellStart"/>
      <w:r w:rsidRPr="002906A3">
        <w:t>with</w:t>
      </w:r>
      <w:proofErr w:type="spellEnd"/>
      <w:r w:rsidRPr="002906A3">
        <w:t xml:space="preserve"> </w:t>
      </w:r>
      <w:proofErr w:type="spellStart"/>
      <w:r w:rsidRPr="002906A3">
        <w:t>great</w:t>
      </w:r>
      <w:proofErr w:type="spellEnd"/>
      <w:r w:rsidRPr="002906A3">
        <w:t xml:space="preserve"> </w:t>
      </w:r>
      <w:proofErr w:type="spellStart"/>
      <w:r w:rsidRPr="002906A3">
        <w:t>power</w:t>
      </w:r>
      <w:proofErr w:type="spellEnd"/>
      <w:r w:rsidRPr="002906A3">
        <w:t xml:space="preserve"> </w:t>
      </w:r>
      <w:proofErr w:type="spellStart"/>
      <w:r w:rsidRPr="002906A3">
        <w:t>comes</w:t>
      </w:r>
      <w:proofErr w:type="spellEnd"/>
      <w:r w:rsidRPr="002906A3">
        <w:t xml:space="preserve"> an </w:t>
      </w:r>
      <w:proofErr w:type="spellStart"/>
      <w:r w:rsidRPr="002906A3">
        <w:t>even</w:t>
      </w:r>
      <w:proofErr w:type="spellEnd"/>
      <w:r w:rsidRPr="002906A3">
        <w:t xml:space="preserve"> </w:t>
      </w:r>
      <w:proofErr w:type="spellStart"/>
      <w:r w:rsidRPr="002906A3">
        <w:t>greater</w:t>
      </w:r>
      <w:proofErr w:type="spellEnd"/>
      <w:r w:rsidRPr="002906A3">
        <w:t xml:space="preserve"> </w:t>
      </w:r>
      <w:proofErr w:type="spellStart"/>
      <w:r w:rsidRPr="002906A3">
        <w:t>responsibility</w:t>
      </w:r>
      <w:proofErr w:type="spellEnd"/>
      <w:r w:rsidRPr="002906A3">
        <w:t>.</w:t>
      </w:r>
    </w:p>
    <w:p w14:paraId="1D9674D9" w14:textId="77777777" w:rsidR="001E7189" w:rsidRPr="002906A3" w:rsidRDefault="001E7189" w:rsidP="00BA67A6">
      <w:pPr>
        <w:jc w:val="both"/>
      </w:pPr>
    </w:p>
    <w:p w14:paraId="0F020D30" w14:textId="40AD05EC" w:rsidR="001E7189" w:rsidRPr="0072162F" w:rsidRDefault="001E7189" w:rsidP="00BA67A6">
      <w:pPr>
        <w:jc w:val="both"/>
        <w:rPr>
          <w:b/>
          <w:bCs/>
        </w:rPr>
      </w:pPr>
      <w:proofErr w:type="spellStart"/>
      <w:r w:rsidRPr="002906A3">
        <w:rPr>
          <w:b/>
          <w:bCs/>
        </w:rPr>
        <w:t>Conclusion</w:t>
      </w:r>
      <w:proofErr w:type="spellEnd"/>
    </w:p>
    <w:p w14:paraId="5CC0AEC5" w14:textId="77777777" w:rsidR="001E7189" w:rsidRPr="002906A3" w:rsidRDefault="001E7189" w:rsidP="00BA67A6">
      <w:pPr>
        <w:jc w:val="both"/>
      </w:pPr>
      <w:r w:rsidRPr="002906A3">
        <w:t xml:space="preserve">Mary </w:t>
      </w:r>
      <w:proofErr w:type="spellStart"/>
      <w:r w:rsidRPr="002906A3">
        <w:t>Shelley's</w:t>
      </w:r>
      <w:proofErr w:type="spellEnd"/>
      <w:r w:rsidRPr="002906A3">
        <w:t xml:space="preserve"> </w:t>
      </w:r>
      <w:r w:rsidRPr="002906A3">
        <w:rPr>
          <w:i/>
          <w:iCs/>
        </w:rPr>
        <w:t>Frankenstein</w:t>
      </w:r>
      <w:r w:rsidRPr="002906A3">
        <w:t xml:space="preserve"> </w:t>
      </w:r>
      <w:proofErr w:type="spellStart"/>
      <w:r w:rsidRPr="002906A3">
        <w:t>remains</w:t>
      </w:r>
      <w:proofErr w:type="spellEnd"/>
      <w:r w:rsidRPr="002906A3">
        <w:t xml:space="preserve"> a </w:t>
      </w:r>
      <w:proofErr w:type="spellStart"/>
      <w:r w:rsidRPr="002906A3">
        <w:t>powerful</w:t>
      </w:r>
      <w:proofErr w:type="spellEnd"/>
      <w:r w:rsidRPr="002906A3">
        <w:t xml:space="preserve"> </w:t>
      </w:r>
      <w:proofErr w:type="spellStart"/>
      <w:r w:rsidRPr="002906A3">
        <w:t>exploration</w:t>
      </w:r>
      <w:proofErr w:type="spellEnd"/>
      <w:r w:rsidRPr="002906A3">
        <w:t xml:space="preserve"> of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responsibilities</w:t>
      </w:r>
      <w:proofErr w:type="spellEnd"/>
      <w:r w:rsidRPr="002906A3">
        <w:t xml:space="preserve"> </w:t>
      </w:r>
      <w:proofErr w:type="spellStart"/>
      <w:r w:rsidRPr="002906A3">
        <w:t>tied</w:t>
      </w:r>
      <w:proofErr w:type="spellEnd"/>
      <w:r w:rsidRPr="002906A3">
        <w:t xml:space="preserve"> </w:t>
      </w:r>
      <w:proofErr w:type="spellStart"/>
      <w:r w:rsidRPr="002906A3">
        <w:t>to</w:t>
      </w:r>
      <w:proofErr w:type="spellEnd"/>
      <w:r w:rsidRPr="002906A3">
        <w:t xml:space="preserve"> </w:t>
      </w:r>
      <w:proofErr w:type="spellStart"/>
      <w:r w:rsidRPr="002906A3">
        <w:t>scientific</w:t>
      </w:r>
      <w:proofErr w:type="spellEnd"/>
      <w:r w:rsidRPr="002906A3">
        <w:t xml:space="preserve"> </w:t>
      </w:r>
      <w:proofErr w:type="spellStart"/>
      <w:r w:rsidRPr="002906A3">
        <w:t>innovation</w:t>
      </w:r>
      <w:proofErr w:type="spellEnd"/>
      <w:r w:rsidRPr="002906A3">
        <w:t xml:space="preserve">. </w:t>
      </w:r>
      <w:proofErr w:type="spellStart"/>
      <w:r w:rsidRPr="002906A3">
        <w:t>The</w:t>
      </w:r>
      <w:proofErr w:type="spellEnd"/>
      <w:r w:rsidRPr="002906A3">
        <w:t xml:space="preserve"> </w:t>
      </w:r>
      <w:proofErr w:type="spellStart"/>
      <w:r w:rsidRPr="002906A3">
        <w:t>novel</w:t>
      </w:r>
      <w:proofErr w:type="spellEnd"/>
      <w:r w:rsidRPr="002906A3">
        <w:t xml:space="preserve"> </w:t>
      </w:r>
      <w:proofErr w:type="spellStart"/>
      <w:r w:rsidRPr="002906A3">
        <w:t>warns</w:t>
      </w:r>
      <w:proofErr w:type="spellEnd"/>
      <w:r w:rsidRPr="002906A3">
        <w:t xml:space="preserve"> </w:t>
      </w:r>
      <w:proofErr w:type="spellStart"/>
      <w:r w:rsidRPr="002906A3">
        <w:t>against</w:t>
      </w:r>
      <w:proofErr w:type="spellEnd"/>
      <w:r w:rsidRPr="002906A3">
        <w:t xml:space="preserve"> </w:t>
      </w:r>
      <w:proofErr w:type="spellStart"/>
      <w:r w:rsidRPr="002906A3">
        <w:t>the</w:t>
      </w:r>
      <w:proofErr w:type="spellEnd"/>
      <w:r w:rsidRPr="002906A3">
        <w:t xml:space="preserve"> </w:t>
      </w:r>
      <w:proofErr w:type="spellStart"/>
      <w:r w:rsidRPr="002906A3">
        <w:t>dangers</w:t>
      </w:r>
      <w:proofErr w:type="spellEnd"/>
      <w:r w:rsidRPr="002906A3">
        <w:t xml:space="preserve"> of </w:t>
      </w:r>
      <w:proofErr w:type="spellStart"/>
      <w:r w:rsidRPr="002906A3">
        <w:t>unchecked</w:t>
      </w:r>
      <w:proofErr w:type="spellEnd"/>
      <w:r w:rsidRPr="002906A3">
        <w:t xml:space="preserve"> </w:t>
      </w:r>
      <w:proofErr w:type="spellStart"/>
      <w:r w:rsidRPr="002906A3">
        <w:t>ambition</w:t>
      </w:r>
      <w:proofErr w:type="spellEnd"/>
      <w:r w:rsidRPr="002906A3">
        <w:t xml:space="preserve">, </w:t>
      </w:r>
      <w:proofErr w:type="spellStart"/>
      <w:r w:rsidRPr="002906A3">
        <w:t>highlighting</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creation</w:t>
      </w:r>
      <w:proofErr w:type="spellEnd"/>
      <w:r w:rsidRPr="002906A3">
        <w:t xml:space="preserve"> </w:t>
      </w:r>
      <w:proofErr w:type="spellStart"/>
      <w:r w:rsidRPr="002906A3">
        <w:t>without</w:t>
      </w:r>
      <w:proofErr w:type="spellEnd"/>
      <w:r w:rsidRPr="002906A3">
        <w:t xml:space="preserve"> moral </w:t>
      </w:r>
      <w:proofErr w:type="spellStart"/>
      <w:r w:rsidRPr="002906A3">
        <w:t>foresight</w:t>
      </w:r>
      <w:proofErr w:type="spellEnd"/>
      <w:r w:rsidRPr="002906A3">
        <w:t xml:space="preserve">. Victor </w:t>
      </w:r>
      <w:proofErr w:type="spellStart"/>
      <w:r w:rsidRPr="002906A3">
        <w:t>Frankenstein’s</w:t>
      </w:r>
      <w:proofErr w:type="spellEnd"/>
      <w:r w:rsidRPr="002906A3">
        <w:t xml:space="preserve"> </w:t>
      </w:r>
      <w:proofErr w:type="spellStart"/>
      <w:r w:rsidRPr="002906A3">
        <w:t>failure</w:t>
      </w:r>
      <w:proofErr w:type="spellEnd"/>
      <w:r w:rsidRPr="002906A3">
        <w:t xml:space="preserve"> </w:t>
      </w:r>
      <w:proofErr w:type="spellStart"/>
      <w:r w:rsidRPr="002906A3">
        <w:t>to</w:t>
      </w:r>
      <w:proofErr w:type="spellEnd"/>
      <w:r w:rsidRPr="002906A3">
        <w:t xml:space="preserve"> </w:t>
      </w:r>
      <w:proofErr w:type="spellStart"/>
      <w:r w:rsidRPr="002906A3">
        <w:t>take</w:t>
      </w:r>
      <w:proofErr w:type="spellEnd"/>
      <w:r w:rsidRPr="002906A3">
        <w:t xml:space="preserve"> </w:t>
      </w:r>
      <w:proofErr w:type="spellStart"/>
      <w:r w:rsidRPr="002906A3">
        <w:t>responsibility</w:t>
      </w:r>
      <w:proofErr w:type="spellEnd"/>
      <w:r w:rsidRPr="002906A3">
        <w:t xml:space="preserve"> </w:t>
      </w:r>
      <w:proofErr w:type="spellStart"/>
      <w:r w:rsidRPr="002906A3">
        <w:t>for</w:t>
      </w:r>
      <w:proofErr w:type="spellEnd"/>
      <w:r w:rsidRPr="002906A3">
        <w:t xml:space="preserve"> his </w:t>
      </w:r>
      <w:proofErr w:type="spellStart"/>
      <w:r w:rsidRPr="002906A3">
        <w:t>creation</w:t>
      </w:r>
      <w:proofErr w:type="spellEnd"/>
      <w:r w:rsidRPr="002906A3">
        <w:t xml:space="preserve"> </w:t>
      </w:r>
      <w:proofErr w:type="spellStart"/>
      <w:r w:rsidRPr="002906A3">
        <w:t>leads</w:t>
      </w:r>
      <w:proofErr w:type="spellEnd"/>
      <w:r w:rsidRPr="002906A3">
        <w:t xml:space="preserve"> </w:t>
      </w:r>
      <w:proofErr w:type="spellStart"/>
      <w:r w:rsidRPr="002906A3">
        <w:t>to</w:t>
      </w:r>
      <w:proofErr w:type="spellEnd"/>
      <w:r w:rsidRPr="002906A3">
        <w:t xml:space="preserve"> </w:t>
      </w:r>
      <w:proofErr w:type="spellStart"/>
      <w:r w:rsidRPr="002906A3">
        <w:t>devastating</w:t>
      </w:r>
      <w:proofErr w:type="spellEnd"/>
      <w:r w:rsidRPr="002906A3">
        <w:t xml:space="preserve"> </w:t>
      </w:r>
      <w:proofErr w:type="spellStart"/>
      <w:r w:rsidRPr="002906A3">
        <w:t>outcomes</w:t>
      </w:r>
      <w:proofErr w:type="spellEnd"/>
      <w:r w:rsidRPr="002906A3">
        <w:t xml:space="preserve">, </w:t>
      </w:r>
      <w:proofErr w:type="spellStart"/>
      <w:r w:rsidRPr="002906A3">
        <w:t>demonstrating</w:t>
      </w:r>
      <w:proofErr w:type="spellEnd"/>
      <w:r w:rsidRPr="002906A3">
        <w:t xml:space="preserve"> </w:t>
      </w:r>
      <w:proofErr w:type="spellStart"/>
      <w:r w:rsidRPr="002906A3">
        <w:t>the</w:t>
      </w:r>
      <w:proofErr w:type="spellEnd"/>
      <w:r w:rsidRPr="002906A3">
        <w:t xml:space="preserve"> </w:t>
      </w:r>
      <w:proofErr w:type="spellStart"/>
      <w:r w:rsidRPr="002906A3">
        <w:t>importance</w:t>
      </w:r>
      <w:proofErr w:type="spellEnd"/>
      <w:r w:rsidRPr="002906A3">
        <w:t xml:space="preserve"> of </w:t>
      </w:r>
      <w:proofErr w:type="spellStart"/>
      <w:r w:rsidRPr="002906A3">
        <w:t>ethical</w:t>
      </w:r>
      <w:proofErr w:type="spellEnd"/>
      <w:r w:rsidRPr="002906A3">
        <w:t xml:space="preserve"> </w:t>
      </w:r>
      <w:proofErr w:type="spellStart"/>
      <w:r w:rsidRPr="002906A3">
        <w:t>consideration</w:t>
      </w:r>
      <w:proofErr w:type="spellEnd"/>
      <w:r w:rsidRPr="002906A3">
        <w:t xml:space="preserve"> in </w:t>
      </w:r>
      <w:proofErr w:type="spellStart"/>
      <w:r w:rsidRPr="002906A3">
        <w:t>any</w:t>
      </w:r>
      <w:proofErr w:type="spellEnd"/>
      <w:r w:rsidRPr="002906A3">
        <w:t xml:space="preserve"> </w:t>
      </w:r>
      <w:proofErr w:type="spellStart"/>
      <w:r w:rsidRPr="002906A3">
        <w:t>act</w:t>
      </w:r>
      <w:proofErr w:type="spellEnd"/>
      <w:r w:rsidRPr="002906A3">
        <w:t xml:space="preserve"> of </w:t>
      </w:r>
      <w:proofErr w:type="spellStart"/>
      <w:r w:rsidRPr="002906A3">
        <w:t>creation</w:t>
      </w:r>
      <w:proofErr w:type="spellEnd"/>
      <w:r w:rsidRPr="002906A3">
        <w:t xml:space="preserve">. His </w:t>
      </w:r>
      <w:proofErr w:type="spellStart"/>
      <w:r w:rsidRPr="002906A3">
        <w:t>obsession</w:t>
      </w:r>
      <w:proofErr w:type="spellEnd"/>
      <w:r w:rsidRPr="002906A3">
        <w:t xml:space="preserve"> </w:t>
      </w:r>
      <w:proofErr w:type="spellStart"/>
      <w:r w:rsidRPr="002906A3">
        <w:t>with</w:t>
      </w:r>
      <w:proofErr w:type="spellEnd"/>
      <w:r w:rsidRPr="002906A3">
        <w:t xml:space="preserve"> </w:t>
      </w:r>
      <w:proofErr w:type="spellStart"/>
      <w:r w:rsidRPr="002906A3">
        <w:t>transcending</w:t>
      </w:r>
      <w:proofErr w:type="spellEnd"/>
      <w:r w:rsidRPr="002906A3">
        <w:t xml:space="preserve"> </w:t>
      </w:r>
      <w:proofErr w:type="spellStart"/>
      <w:r w:rsidRPr="002906A3">
        <w:t>natural</w:t>
      </w:r>
      <w:proofErr w:type="spellEnd"/>
      <w:r w:rsidRPr="002906A3">
        <w:t xml:space="preserve"> </w:t>
      </w:r>
      <w:proofErr w:type="spellStart"/>
      <w:r w:rsidRPr="002906A3">
        <w:t>limits</w:t>
      </w:r>
      <w:proofErr w:type="spellEnd"/>
      <w:r w:rsidRPr="002906A3">
        <w:t xml:space="preserve"> </w:t>
      </w:r>
      <w:proofErr w:type="spellStart"/>
      <w:r w:rsidRPr="002906A3">
        <w:t>mirrors</w:t>
      </w:r>
      <w:proofErr w:type="spellEnd"/>
      <w:r w:rsidRPr="002906A3">
        <w:t xml:space="preserve"> modern </w:t>
      </w:r>
      <w:proofErr w:type="spellStart"/>
      <w:r w:rsidRPr="002906A3">
        <w:t>discussions</w:t>
      </w:r>
      <w:proofErr w:type="spellEnd"/>
      <w:r w:rsidRPr="002906A3">
        <w:t xml:space="preserve"> </w:t>
      </w:r>
      <w:proofErr w:type="spellStart"/>
      <w:r w:rsidRPr="002906A3">
        <w:t>surrounding</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biotechnology</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treatment</w:t>
      </w:r>
      <w:proofErr w:type="spellEnd"/>
      <w:r w:rsidRPr="002906A3">
        <w:t xml:space="preserve"> of </w:t>
      </w:r>
      <w:proofErr w:type="spellStart"/>
      <w:r w:rsidRPr="002906A3">
        <w:t>autonomous</w:t>
      </w:r>
      <w:proofErr w:type="spellEnd"/>
      <w:r w:rsidRPr="002906A3">
        <w:t xml:space="preserve"> </w:t>
      </w:r>
      <w:proofErr w:type="spellStart"/>
      <w:r w:rsidRPr="002906A3">
        <w:t>systems</w:t>
      </w:r>
      <w:proofErr w:type="spellEnd"/>
      <w:r w:rsidRPr="002906A3">
        <w:t>.</w:t>
      </w:r>
    </w:p>
    <w:p w14:paraId="66FDAE94" w14:textId="77777777" w:rsidR="001E7189" w:rsidRPr="002906A3" w:rsidRDefault="001E7189" w:rsidP="00BA67A6">
      <w:pPr>
        <w:jc w:val="both"/>
      </w:pPr>
    </w:p>
    <w:p w14:paraId="2D1F5D00"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creature’s</w:t>
      </w:r>
      <w:proofErr w:type="spellEnd"/>
      <w:r w:rsidRPr="002906A3">
        <w:t xml:space="preserve"> </w:t>
      </w:r>
      <w:proofErr w:type="spellStart"/>
      <w:r w:rsidRPr="002906A3">
        <w:t>suffering</w:t>
      </w:r>
      <w:proofErr w:type="spellEnd"/>
      <w:r w:rsidRPr="002906A3">
        <w:t xml:space="preserve"> </w:t>
      </w:r>
      <w:proofErr w:type="spellStart"/>
      <w:r w:rsidRPr="002906A3">
        <w:t>and</w:t>
      </w:r>
      <w:proofErr w:type="spellEnd"/>
      <w:r w:rsidRPr="002906A3">
        <w:t xml:space="preserve"> </w:t>
      </w:r>
      <w:proofErr w:type="spellStart"/>
      <w:r w:rsidRPr="002906A3">
        <w:t>alienation</w:t>
      </w:r>
      <w:proofErr w:type="spellEnd"/>
      <w:r w:rsidRPr="002906A3">
        <w:t xml:space="preserve"> </w:t>
      </w:r>
      <w:proofErr w:type="spellStart"/>
      <w:r w:rsidRPr="002906A3">
        <w:t>further</w:t>
      </w:r>
      <w:proofErr w:type="spellEnd"/>
      <w:r w:rsidRPr="002906A3">
        <w:t xml:space="preserve"> </w:t>
      </w:r>
      <w:proofErr w:type="spellStart"/>
      <w:r w:rsidRPr="002906A3">
        <w:t>emphasize</w:t>
      </w:r>
      <w:proofErr w:type="spellEnd"/>
      <w:r w:rsidRPr="002906A3">
        <w:t xml:space="preserve"> </w:t>
      </w:r>
      <w:proofErr w:type="spellStart"/>
      <w:r w:rsidRPr="002906A3">
        <w:t>the</w:t>
      </w:r>
      <w:proofErr w:type="spellEnd"/>
      <w:r w:rsidRPr="002906A3">
        <w:t xml:space="preserve"> moral </w:t>
      </w:r>
      <w:proofErr w:type="spellStart"/>
      <w:r w:rsidRPr="002906A3">
        <w:t>obligations</w:t>
      </w:r>
      <w:proofErr w:type="spellEnd"/>
      <w:r w:rsidRPr="002906A3">
        <w:t xml:space="preserve"> of </w:t>
      </w:r>
      <w:proofErr w:type="spellStart"/>
      <w:r w:rsidRPr="002906A3">
        <w:t>creators</w:t>
      </w:r>
      <w:proofErr w:type="spellEnd"/>
      <w:r w:rsidRPr="002906A3">
        <w:t xml:space="preserve">. His </w:t>
      </w:r>
      <w:proofErr w:type="spellStart"/>
      <w:r w:rsidRPr="002906A3">
        <w:t>transformation</w:t>
      </w:r>
      <w:proofErr w:type="spellEnd"/>
      <w:r w:rsidRPr="002906A3">
        <w:t xml:space="preserve"> </w:t>
      </w:r>
      <w:proofErr w:type="spellStart"/>
      <w:r w:rsidRPr="002906A3">
        <w:t>from</w:t>
      </w:r>
      <w:proofErr w:type="spellEnd"/>
      <w:r w:rsidRPr="002906A3">
        <w:t xml:space="preserve"> an </w:t>
      </w:r>
      <w:proofErr w:type="spellStart"/>
      <w:r w:rsidRPr="002906A3">
        <w:t>innocent</w:t>
      </w:r>
      <w:proofErr w:type="spellEnd"/>
      <w:r w:rsidRPr="002906A3">
        <w:t xml:space="preserve"> </w:t>
      </w:r>
      <w:proofErr w:type="spellStart"/>
      <w:r w:rsidRPr="002906A3">
        <w:t>being</w:t>
      </w:r>
      <w:proofErr w:type="spellEnd"/>
      <w:r w:rsidRPr="002906A3">
        <w:t xml:space="preserve"> </w:t>
      </w:r>
      <w:proofErr w:type="spellStart"/>
      <w:r w:rsidRPr="002906A3">
        <w:t>into</w:t>
      </w:r>
      <w:proofErr w:type="spellEnd"/>
      <w:r w:rsidRPr="002906A3">
        <w:t xml:space="preserve"> a </w:t>
      </w:r>
      <w:proofErr w:type="spellStart"/>
      <w:r w:rsidRPr="002906A3">
        <w:t>vengeful</w:t>
      </w:r>
      <w:proofErr w:type="spellEnd"/>
      <w:r w:rsidRPr="002906A3">
        <w:t xml:space="preserve"> </w:t>
      </w:r>
      <w:proofErr w:type="spellStart"/>
      <w:r w:rsidRPr="002906A3">
        <w:t>figure</w:t>
      </w:r>
      <w:proofErr w:type="spellEnd"/>
      <w:r w:rsidRPr="002906A3">
        <w:t xml:space="preserve"> </w:t>
      </w:r>
      <w:proofErr w:type="spellStart"/>
      <w:r w:rsidRPr="002906A3">
        <w:t>underscores</w:t>
      </w:r>
      <w:proofErr w:type="spellEnd"/>
      <w:r w:rsidRPr="002906A3">
        <w:t xml:space="preserve"> </w:t>
      </w:r>
      <w:proofErr w:type="spellStart"/>
      <w:r w:rsidRPr="002906A3">
        <w:t>the</w:t>
      </w:r>
      <w:proofErr w:type="spellEnd"/>
      <w:r w:rsidRPr="002906A3">
        <w:t xml:space="preserve"> </w:t>
      </w:r>
      <w:proofErr w:type="spellStart"/>
      <w:r w:rsidRPr="002906A3">
        <w:t>consequences</w:t>
      </w:r>
      <w:proofErr w:type="spellEnd"/>
      <w:r w:rsidRPr="002906A3">
        <w:t xml:space="preserve"> of </w:t>
      </w:r>
      <w:proofErr w:type="spellStart"/>
      <w:r w:rsidRPr="002906A3">
        <w:t>neglect</w:t>
      </w:r>
      <w:proofErr w:type="spellEnd"/>
      <w:r w:rsidRPr="002906A3">
        <w:t xml:space="preserve"> </w:t>
      </w:r>
      <w:proofErr w:type="spellStart"/>
      <w:r w:rsidRPr="002906A3">
        <w:t>and</w:t>
      </w:r>
      <w:proofErr w:type="spellEnd"/>
      <w:r w:rsidRPr="002906A3">
        <w:t xml:space="preserve"> </w:t>
      </w:r>
      <w:proofErr w:type="spellStart"/>
      <w:r w:rsidRPr="002906A3">
        <w:t>societal</w:t>
      </w:r>
      <w:proofErr w:type="spellEnd"/>
      <w:r w:rsidRPr="002906A3">
        <w:t xml:space="preserve"> </w:t>
      </w:r>
      <w:proofErr w:type="spellStart"/>
      <w:r w:rsidRPr="002906A3">
        <w:t>rejection</w:t>
      </w:r>
      <w:proofErr w:type="spellEnd"/>
      <w:r w:rsidRPr="002906A3">
        <w:t xml:space="preserve">. </w:t>
      </w:r>
      <w:proofErr w:type="spellStart"/>
      <w:r w:rsidRPr="002906A3">
        <w:t>This</w:t>
      </w:r>
      <w:proofErr w:type="spellEnd"/>
      <w:r w:rsidRPr="002906A3">
        <w:t xml:space="preserve"> </w:t>
      </w:r>
      <w:proofErr w:type="spellStart"/>
      <w:r w:rsidRPr="002906A3">
        <w:t>parallel</w:t>
      </w:r>
      <w:proofErr w:type="spellEnd"/>
      <w:r w:rsidRPr="002906A3">
        <w:t xml:space="preserve"> </w:t>
      </w:r>
      <w:proofErr w:type="spellStart"/>
      <w:r w:rsidRPr="002906A3">
        <w:t>to</w:t>
      </w:r>
      <w:proofErr w:type="spellEnd"/>
      <w:r w:rsidRPr="002906A3">
        <w:t xml:space="preserve"> modern AI </w:t>
      </w:r>
      <w:proofErr w:type="spellStart"/>
      <w:r w:rsidRPr="002906A3">
        <w:t>ethics</w:t>
      </w:r>
      <w:proofErr w:type="spellEnd"/>
      <w:r w:rsidRPr="002906A3">
        <w:t xml:space="preserve"> </w:t>
      </w:r>
      <w:proofErr w:type="spellStart"/>
      <w:r w:rsidRPr="002906A3">
        <w:t>raises</w:t>
      </w:r>
      <w:proofErr w:type="spellEnd"/>
      <w:r w:rsidRPr="002906A3">
        <w:t xml:space="preserve"> </w:t>
      </w:r>
      <w:proofErr w:type="spellStart"/>
      <w:r w:rsidRPr="002906A3">
        <w:t>important</w:t>
      </w:r>
      <w:proofErr w:type="spellEnd"/>
      <w:r w:rsidRPr="002906A3">
        <w:t xml:space="preserve"> </w:t>
      </w:r>
      <w:proofErr w:type="spellStart"/>
      <w:r w:rsidRPr="002906A3">
        <w:t>questions</w:t>
      </w:r>
      <w:proofErr w:type="spellEnd"/>
      <w:r w:rsidRPr="002906A3">
        <w:t xml:space="preserve">: </w:t>
      </w:r>
      <w:proofErr w:type="spellStart"/>
      <w:r w:rsidRPr="002906A3">
        <w:t>If</w:t>
      </w:r>
      <w:proofErr w:type="spellEnd"/>
      <w:r w:rsidRPr="002906A3">
        <w:t xml:space="preserve"> </w:t>
      </w:r>
      <w:proofErr w:type="spellStart"/>
      <w:r w:rsidRPr="002906A3">
        <w:t>artificial</w:t>
      </w:r>
      <w:proofErr w:type="spellEnd"/>
      <w:r w:rsidRPr="002906A3">
        <w:t xml:space="preserve"> </w:t>
      </w:r>
      <w:proofErr w:type="spellStart"/>
      <w:r w:rsidRPr="002906A3">
        <w:t>beings</w:t>
      </w:r>
      <w:proofErr w:type="spellEnd"/>
      <w:r w:rsidRPr="002906A3">
        <w:t xml:space="preserve"> </w:t>
      </w:r>
      <w:proofErr w:type="spellStart"/>
      <w:r w:rsidRPr="002906A3">
        <w:t>develop</w:t>
      </w:r>
      <w:proofErr w:type="spellEnd"/>
      <w:r w:rsidRPr="002906A3">
        <w:t xml:space="preserve"> </w:t>
      </w:r>
      <w:proofErr w:type="spellStart"/>
      <w:r w:rsidRPr="002906A3">
        <w:t>awareness</w:t>
      </w:r>
      <w:proofErr w:type="spellEnd"/>
      <w:r w:rsidRPr="002906A3">
        <w:t xml:space="preserve"> </w:t>
      </w:r>
      <w:proofErr w:type="spellStart"/>
      <w:r w:rsidRPr="002906A3">
        <w:t>and</w:t>
      </w:r>
      <w:proofErr w:type="spellEnd"/>
      <w:r w:rsidRPr="002906A3">
        <w:t xml:space="preserve"> </w:t>
      </w:r>
      <w:proofErr w:type="spellStart"/>
      <w:r w:rsidRPr="002906A3">
        <w:t>emotions</w:t>
      </w:r>
      <w:proofErr w:type="spellEnd"/>
      <w:r w:rsidRPr="002906A3">
        <w:t xml:space="preserve">, how </w:t>
      </w:r>
      <w:proofErr w:type="spellStart"/>
      <w:r w:rsidRPr="002906A3">
        <w:t>should</w:t>
      </w:r>
      <w:proofErr w:type="spellEnd"/>
      <w:r w:rsidRPr="002906A3">
        <w:t xml:space="preserve"> they be </w:t>
      </w:r>
      <w:proofErr w:type="spellStart"/>
      <w:r w:rsidRPr="002906A3">
        <w:t>treated</w:t>
      </w:r>
      <w:proofErr w:type="spellEnd"/>
      <w:r w:rsidRPr="002906A3">
        <w:t xml:space="preserve">? </w:t>
      </w:r>
      <w:proofErr w:type="spellStart"/>
      <w:r w:rsidRPr="002906A3">
        <w:t>Who</w:t>
      </w:r>
      <w:proofErr w:type="spellEnd"/>
      <w:r w:rsidRPr="002906A3">
        <w:t xml:space="preserve"> </w:t>
      </w:r>
      <w:proofErr w:type="spellStart"/>
      <w:r w:rsidRPr="002906A3">
        <w:t>bears</w:t>
      </w:r>
      <w:proofErr w:type="spellEnd"/>
      <w:r w:rsidRPr="002906A3">
        <w:t xml:space="preserve"> </w:t>
      </w:r>
      <w:proofErr w:type="spellStart"/>
      <w:r w:rsidRPr="002906A3">
        <w:t>responsibility</w:t>
      </w:r>
      <w:proofErr w:type="spellEnd"/>
      <w:r w:rsidRPr="002906A3">
        <w:t xml:space="preserve"> </w:t>
      </w:r>
      <w:proofErr w:type="spellStart"/>
      <w:r w:rsidRPr="002906A3">
        <w:t>for</w:t>
      </w:r>
      <w:proofErr w:type="spellEnd"/>
      <w:r w:rsidRPr="002906A3">
        <w:t xml:space="preserve"> </w:t>
      </w:r>
      <w:proofErr w:type="spellStart"/>
      <w:r w:rsidRPr="002906A3">
        <w:t>their</w:t>
      </w:r>
      <w:proofErr w:type="spellEnd"/>
      <w:r w:rsidRPr="002906A3">
        <w:t xml:space="preserve"> </w:t>
      </w:r>
      <w:proofErr w:type="spellStart"/>
      <w:r w:rsidRPr="002906A3">
        <w:t>well-being</w:t>
      </w:r>
      <w:proofErr w:type="spellEnd"/>
      <w:r w:rsidRPr="002906A3">
        <w:t xml:space="preserve">? </w:t>
      </w:r>
      <w:r w:rsidRPr="002906A3">
        <w:rPr>
          <w:i/>
          <w:iCs/>
        </w:rPr>
        <w:t>Frankenstein</w:t>
      </w:r>
      <w:r w:rsidRPr="002906A3">
        <w:t xml:space="preserve"> </w:t>
      </w:r>
      <w:proofErr w:type="spellStart"/>
      <w:r w:rsidRPr="002906A3">
        <w:t>urges</w:t>
      </w:r>
      <w:proofErr w:type="spellEnd"/>
      <w:r w:rsidRPr="002906A3">
        <w:t xml:space="preserve"> us </w:t>
      </w:r>
      <w:proofErr w:type="spellStart"/>
      <w:r w:rsidRPr="002906A3">
        <w:t>to</w:t>
      </w:r>
      <w:proofErr w:type="spellEnd"/>
      <w:r w:rsidRPr="002906A3">
        <w:t xml:space="preserve"> </w:t>
      </w:r>
      <w:proofErr w:type="spellStart"/>
      <w:r w:rsidRPr="002906A3">
        <w:t>consider</w:t>
      </w:r>
      <w:proofErr w:type="spellEnd"/>
      <w:r w:rsidRPr="002906A3">
        <w:t xml:space="preserve"> </w:t>
      </w:r>
      <w:proofErr w:type="spellStart"/>
      <w:r w:rsidRPr="002906A3">
        <w:t>these</w:t>
      </w:r>
      <w:proofErr w:type="spellEnd"/>
      <w:r w:rsidRPr="002906A3">
        <w:t xml:space="preserve"> </w:t>
      </w:r>
      <w:proofErr w:type="spellStart"/>
      <w:r w:rsidRPr="002906A3">
        <w:t>dilemmas</w:t>
      </w:r>
      <w:proofErr w:type="spellEnd"/>
      <w:r w:rsidRPr="002906A3">
        <w:t xml:space="preserve"> </w:t>
      </w:r>
      <w:proofErr w:type="spellStart"/>
      <w:r w:rsidRPr="002906A3">
        <w:t>before</w:t>
      </w:r>
      <w:proofErr w:type="spellEnd"/>
      <w:r w:rsidRPr="002906A3">
        <w:t xml:space="preserve"> </w:t>
      </w:r>
      <w:proofErr w:type="spellStart"/>
      <w:r w:rsidRPr="002906A3">
        <w:t>innovation</w:t>
      </w:r>
      <w:proofErr w:type="spellEnd"/>
      <w:r w:rsidRPr="002906A3">
        <w:t xml:space="preserve"> </w:t>
      </w:r>
      <w:proofErr w:type="spellStart"/>
      <w:r w:rsidRPr="002906A3">
        <w:t>outpaces</w:t>
      </w:r>
      <w:proofErr w:type="spellEnd"/>
      <w:r w:rsidRPr="002906A3">
        <w:t xml:space="preserve"> </w:t>
      </w:r>
      <w:proofErr w:type="spellStart"/>
      <w:r w:rsidRPr="002906A3">
        <w:t>ethical</w:t>
      </w:r>
      <w:proofErr w:type="spellEnd"/>
      <w:r w:rsidRPr="002906A3">
        <w:t xml:space="preserve"> </w:t>
      </w:r>
      <w:proofErr w:type="spellStart"/>
      <w:r w:rsidRPr="002906A3">
        <w:t>oversight</w:t>
      </w:r>
      <w:proofErr w:type="spellEnd"/>
      <w:r w:rsidRPr="002906A3">
        <w:t>.</w:t>
      </w:r>
    </w:p>
    <w:p w14:paraId="273F9ECB" w14:textId="77777777" w:rsidR="001E7189" w:rsidRPr="002906A3" w:rsidRDefault="001E7189" w:rsidP="00BA67A6">
      <w:pPr>
        <w:jc w:val="both"/>
      </w:pPr>
    </w:p>
    <w:p w14:paraId="63270366" w14:textId="79431597" w:rsidR="0072162F" w:rsidRDefault="001E7189" w:rsidP="00BA67A6">
      <w:pPr>
        <w:jc w:val="both"/>
      </w:pPr>
      <w:r w:rsidRPr="002906A3">
        <w:t xml:space="preserve">As </w:t>
      </w:r>
      <w:proofErr w:type="spellStart"/>
      <w:r w:rsidRPr="002906A3">
        <w:t>technological</w:t>
      </w:r>
      <w:proofErr w:type="spellEnd"/>
      <w:r w:rsidRPr="002906A3">
        <w:t xml:space="preserve"> </w:t>
      </w:r>
      <w:proofErr w:type="spellStart"/>
      <w:r w:rsidRPr="002906A3">
        <w:t>advancements</w:t>
      </w:r>
      <w:proofErr w:type="spellEnd"/>
      <w:r w:rsidRPr="002906A3">
        <w:t xml:space="preserve"> </w:t>
      </w:r>
      <w:proofErr w:type="spellStart"/>
      <w:r w:rsidRPr="002906A3">
        <w:t>continue</w:t>
      </w:r>
      <w:proofErr w:type="spellEnd"/>
      <w:r w:rsidRPr="002906A3">
        <w:t xml:space="preserve"> </w:t>
      </w:r>
      <w:proofErr w:type="spellStart"/>
      <w:r w:rsidRPr="002906A3">
        <w:t>to</w:t>
      </w:r>
      <w:proofErr w:type="spellEnd"/>
      <w:r w:rsidRPr="002906A3">
        <w:t xml:space="preserve"> </w:t>
      </w:r>
      <w:proofErr w:type="spellStart"/>
      <w:r w:rsidRPr="002906A3">
        <w:t>push</w:t>
      </w:r>
      <w:proofErr w:type="spellEnd"/>
      <w:r w:rsidRPr="002906A3">
        <w:t xml:space="preserve"> </w:t>
      </w:r>
      <w:proofErr w:type="spellStart"/>
      <w:r w:rsidRPr="002906A3">
        <w:t>boundaries</w:t>
      </w:r>
      <w:proofErr w:type="spellEnd"/>
      <w:r w:rsidRPr="002906A3">
        <w:t xml:space="preserve">, </w:t>
      </w:r>
      <w:r w:rsidRPr="002906A3">
        <w:rPr>
          <w:i/>
          <w:iCs/>
        </w:rPr>
        <w:t>Frankenstein</w:t>
      </w:r>
      <w:r w:rsidRPr="002906A3">
        <w:t xml:space="preserve"> </w:t>
      </w:r>
      <w:proofErr w:type="spellStart"/>
      <w:r w:rsidRPr="002906A3">
        <w:t>serves</w:t>
      </w:r>
      <w:proofErr w:type="spellEnd"/>
      <w:r w:rsidRPr="002906A3">
        <w:t xml:space="preserve"> as a </w:t>
      </w:r>
      <w:proofErr w:type="spellStart"/>
      <w:r w:rsidRPr="002906A3">
        <w:t>timeless</w:t>
      </w:r>
      <w:proofErr w:type="spellEnd"/>
      <w:r w:rsidRPr="002906A3">
        <w:t xml:space="preserve"> </w:t>
      </w:r>
      <w:proofErr w:type="spellStart"/>
      <w:r w:rsidRPr="002906A3">
        <w:t>reminder</w:t>
      </w:r>
      <w:proofErr w:type="spellEnd"/>
      <w:r w:rsidRPr="002906A3">
        <w:t xml:space="preserve"> </w:t>
      </w:r>
      <w:proofErr w:type="spellStart"/>
      <w:r w:rsidRPr="002906A3">
        <w:t>that</w:t>
      </w:r>
      <w:proofErr w:type="spellEnd"/>
      <w:r w:rsidRPr="002906A3">
        <w:t xml:space="preserve"> </w:t>
      </w:r>
      <w:proofErr w:type="spellStart"/>
      <w:r w:rsidRPr="002906A3">
        <w:t>knowledge</w:t>
      </w:r>
      <w:proofErr w:type="spellEnd"/>
      <w:r w:rsidRPr="002906A3">
        <w:t xml:space="preserve"> </w:t>
      </w:r>
      <w:proofErr w:type="spellStart"/>
      <w:r w:rsidRPr="002906A3">
        <w:t>and</w:t>
      </w:r>
      <w:proofErr w:type="spellEnd"/>
      <w:r w:rsidRPr="002906A3">
        <w:t xml:space="preserve"> </w:t>
      </w:r>
      <w:proofErr w:type="spellStart"/>
      <w:r w:rsidRPr="002906A3">
        <w:t>power</w:t>
      </w:r>
      <w:proofErr w:type="spellEnd"/>
      <w:r w:rsidRPr="002906A3">
        <w:t xml:space="preserve"> </w:t>
      </w:r>
      <w:proofErr w:type="spellStart"/>
      <w:r w:rsidRPr="002906A3">
        <w:t>must</w:t>
      </w:r>
      <w:proofErr w:type="spellEnd"/>
      <w:r w:rsidRPr="002906A3">
        <w:t xml:space="preserve"> be </w:t>
      </w:r>
      <w:proofErr w:type="spellStart"/>
      <w:r w:rsidRPr="002906A3">
        <w:t>balanced</w:t>
      </w:r>
      <w:proofErr w:type="spellEnd"/>
      <w:r w:rsidRPr="002906A3">
        <w:t xml:space="preserve"> </w:t>
      </w:r>
      <w:proofErr w:type="spellStart"/>
      <w:r w:rsidRPr="002906A3">
        <w:t>with</w:t>
      </w:r>
      <w:proofErr w:type="spellEnd"/>
      <w:r w:rsidRPr="002906A3">
        <w:t xml:space="preserve"> </w:t>
      </w:r>
      <w:proofErr w:type="spellStart"/>
      <w:r w:rsidRPr="002906A3">
        <w:t>responsibility</w:t>
      </w:r>
      <w:proofErr w:type="spellEnd"/>
      <w:r w:rsidRPr="002906A3">
        <w:t xml:space="preserve">. </w:t>
      </w:r>
      <w:proofErr w:type="spellStart"/>
      <w:r w:rsidRPr="002906A3">
        <w:t>Shelley's</w:t>
      </w:r>
      <w:proofErr w:type="spellEnd"/>
      <w:r w:rsidRPr="002906A3">
        <w:t xml:space="preserve"> </w:t>
      </w:r>
      <w:proofErr w:type="spellStart"/>
      <w:r w:rsidRPr="002906A3">
        <w:t>novel</w:t>
      </w:r>
      <w:proofErr w:type="spellEnd"/>
      <w:r w:rsidRPr="002906A3">
        <w:t xml:space="preserve"> </w:t>
      </w:r>
      <w:proofErr w:type="spellStart"/>
      <w:r w:rsidRPr="002906A3">
        <w:t>compels</w:t>
      </w:r>
      <w:proofErr w:type="spellEnd"/>
      <w:r w:rsidRPr="002906A3">
        <w:t xml:space="preserve"> </w:t>
      </w:r>
      <w:proofErr w:type="spellStart"/>
      <w:r w:rsidRPr="002906A3">
        <w:t>scientists</w:t>
      </w:r>
      <w:proofErr w:type="spellEnd"/>
      <w:r w:rsidRPr="002906A3">
        <w:t xml:space="preserve">, </w:t>
      </w:r>
      <w:proofErr w:type="spellStart"/>
      <w:r w:rsidRPr="002906A3">
        <w:t>engineers</w:t>
      </w:r>
      <w:proofErr w:type="spellEnd"/>
      <w:r w:rsidRPr="002906A3">
        <w:t xml:space="preserve">, </w:t>
      </w:r>
      <w:proofErr w:type="spellStart"/>
      <w:r w:rsidRPr="002906A3">
        <w:t>and</w:t>
      </w:r>
      <w:proofErr w:type="spellEnd"/>
      <w:r w:rsidRPr="002906A3">
        <w:t xml:space="preserve"> </w:t>
      </w:r>
      <w:proofErr w:type="spellStart"/>
      <w:r w:rsidRPr="002906A3">
        <w:t>policymakers</w:t>
      </w:r>
      <w:proofErr w:type="spellEnd"/>
      <w:r w:rsidRPr="002906A3">
        <w:t xml:space="preserve"> </w:t>
      </w:r>
      <w:proofErr w:type="spellStart"/>
      <w:r w:rsidRPr="002906A3">
        <w:t>to</w:t>
      </w:r>
      <w:proofErr w:type="spellEnd"/>
      <w:r w:rsidRPr="002906A3">
        <w:t xml:space="preserve"> </w:t>
      </w:r>
      <w:proofErr w:type="spellStart"/>
      <w:r w:rsidRPr="002906A3">
        <w:t>acknowledge</w:t>
      </w:r>
      <w:proofErr w:type="spellEnd"/>
      <w:r w:rsidRPr="002906A3">
        <w:t xml:space="preserve"> </w:t>
      </w:r>
      <w:proofErr w:type="spellStart"/>
      <w:r w:rsidRPr="002906A3">
        <w:t>the</w:t>
      </w:r>
      <w:proofErr w:type="spellEnd"/>
      <w:r w:rsidRPr="002906A3">
        <w:t xml:space="preserve"> moral </w:t>
      </w:r>
      <w:proofErr w:type="spellStart"/>
      <w:r w:rsidRPr="002906A3">
        <w:t>dimensions</w:t>
      </w:r>
      <w:proofErr w:type="spellEnd"/>
      <w:r w:rsidRPr="002906A3">
        <w:t xml:space="preserve"> of </w:t>
      </w:r>
      <w:proofErr w:type="spellStart"/>
      <w:r w:rsidRPr="002906A3">
        <w:t>their</w:t>
      </w:r>
      <w:proofErr w:type="spellEnd"/>
      <w:r w:rsidRPr="002906A3">
        <w:t xml:space="preserve"> </w:t>
      </w:r>
      <w:proofErr w:type="spellStart"/>
      <w:r w:rsidRPr="002906A3">
        <w:t>work</w:t>
      </w:r>
      <w:proofErr w:type="spellEnd"/>
      <w:r w:rsidRPr="002906A3">
        <w:t xml:space="preserve">. </w:t>
      </w:r>
      <w:proofErr w:type="spellStart"/>
      <w:r w:rsidRPr="002906A3">
        <w:t>In</w:t>
      </w:r>
      <w:proofErr w:type="spellEnd"/>
      <w:r w:rsidRPr="002906A3">
        <w:t xml:space="preserve"> an </w:t>
      </w:r>
      <w:proofErr w:type="spellStart"/>
      <w:r w:rsidRPr="002906A3">
        <w:t>era</w:t>
      </w:r>
      <w:proofErr w:type="spellEnd"/>
      <w:r w:rsidRPr="002906A3">
        <w:t xml:space="preserve"> </w:t>
      </w:r>
      <w:proofErr w:type="spellStart"/>
      <w:r w:rsidRPr="002906A3">
        <w:t>where</w:t>
      </w:r>
      <w:proofErr w:type="spellEnd"/>
      <w:r w:rsidRPr="002906A3">
        <w:t xml:space="preserve"> AI </w:t>
      </w:r>
      <w:proofErr w:type="spellStart"/>
      <w:r w:rsidRPr="002906A3">
        <w:t>and</w:t>
      </w:r>
      <w:proofErr w:type="spellEnd"/>
      <w:r w:rsidRPr="002906A3">
        <w:t xml:space="preserve"> </w:t>
      </w:r>
      <w:proofErr w:type="spellStart"/>
      <w:r w:rsidRPr="002906A3">
        <w:t>other</w:t>
      </w:r>
      <w:proofErr w:type="spellEnd"/>
      <w:r w:rsidRPr="002906A3">
        <w:t xml:space="preserve"> </w:t>
      </w:r>
      <w:proofErr w:type="spellStart"/>
      <w:r w:rsidRPr="002906A3">
        <w:t>emerging</w:t>
      </w:r>
      <w:proofErr w:type="spellEnd"/>
      <w:r w:rsidRPr="002906A3">
        <w:t xml:space="preserve"> </w:t>
      </w:r>
      <w:proofErr w:type="spellStart"/>
      <w:r w:rsidRPr="002906A3">
        <w:t>technologies</w:t>
      </w:r>
      <w:proofErr w:type="spellEnd"/>
      <w:r w:rsidRPr="002906A3">
        <w:t xml:space="preserve"> </w:t>
      </w:r>
      <w:proofErr w:type="spellStart"/>
      <w:r w:rsidRPr="002906A3">
        <w:t>hold</w:t>
      </w:r>
      <w:proofErr w:type="spellEnd"/>
      <w:r w:rsidRPr="002906A3">
        <w:t xml:space="preserve"> </w:t>
      </w:r>
      <w:proofErr w:type="spellStart"/>
      <w:r w:rsidRPr="002906A3">
        <w:t>the</w:t>
      </w:r>
      <w:proofErr w:type="spellEnd"/>
      <w:r w:rsidRPr="002906A3">
        <w:t xml:space="preserve"> </w:t>
      </w:r>
      <w:proofErr w:type="spellStart"/>
      <w:r w:rsidRPr="002906A3">
        <w:t>potential</w:t>
      </w:r>
      <w:proofErr w:type="spellEnd"/>
      <w:r w:rsidRPr="002906A3">
        <w:t xml:space="preserve"> </w:t>
      </w:r>
      <w:proofErr w:type="spellStart"/>
      <w:r w:rsidRPr="002906A3">
        <w:t>to</w:t>
      </w:r>
      <w:proofErr w:type="spellEnd"/>
      <w:r w:rsidRPr="002906A3">
        <w:t xml:space="preserve"> </w:t>
      </w:r>
      <w:proofErr w:type="spellStart"/>
      <w:r w:rsidRPr="002906A3">
        <w:t>reshape</w:t>
      </w:r>
      <w:proofErr w:type="spellEnd"/>
      <w:r w:rsidRPr="002906A3">
        <w:t xml:space="preserve"> </w:t>
      </w:r>
      <w:proofErr w:type="spellStart"/>
      <w:r w:rsidRPr="002906A3">
        <w:t>human</w:t>
      </w:r>
      <w:proofErr w:type="spellEnd"/>
      <w:r w:rsidRPr="002906A3">
        <w:t xml:space="preserve"> </w:t>
      </w:r>
      <w:proofErr w:type="spellStart"/>
      <w:r w:rsidRPr="002906A3">
        <w:t>existence</w:t>
      </w:r>
      <w:proofErr w:type="spellEnd"/>
      <w:r w:rsidRPr="002906A3">
        <w:t xml:space="preserve">, </w:t>
      </w:r>
      <w:proofErr w:type="spellStart"/>
      <w:r w:rsidRPr="002906A3">
        <w:t>the</w:t>
      </w:r>
      <w:proofErr w:type="spellEnd"/>
      <w:r w:rsidRPr="002906A3">
        <w:t xml:space="preserve"> </w:t>
      </w:r>
      <w:proofErr w:type="spellStart"/>
      <w:r w:rsidRPr="002906A3">
        <w:t>lessons</w:t>
      </w:r>
      <w:proofErr w:type="spellEnd"/>
      <w:r w:rsidRPr="002906A3">
        <w:t xml:space="preserve"> of </w:t>
      </w:r>
      <w:r w:rsidRPr="002906A3">
        <w:rPr>
          <w:i/>
          <w:iCs/>
        </w:rPr>
        <w:t>Frankenstein</w:t>
      </w:r>
      <w:r w:rsidRPr="002906A3">
        <w:t xml:space="preserve"> </w:t>
      </w:r>
      <w:proofErr w:type="spellStart"/>
      <w:r w:rsidRPr="002906A3">
        <w:t>remain</w:t>
      </w:r>
      <w:proofErr w:type="spellEnd"/>
      <w:r w:rsidRPr="002906A3">
        <w:t xml:space="preserve"> </w:t>
      </w:r>
      <w:proofErr w:type="spellStart"/>
      <w:r w:rsidRPr="002906A3">
        <w:t>more</w:t>
      </w:r>
      <w:proofErr w:type="spellEnd"/>
      <w:r w:rsidRPr="002906A3">
        <w:t xml:space="preserve"> </w:t>
      </w:r>
      <w:proofErr w:type="spellStart"/>
      <w:r w:rsidRPr="002906A3">
        <w:t>relevant</w:t>
      </w:r>
      <w:proofErr w:type="spellEnd"/>
      <w:r w:rsidRPr="002906A3">
        <w:t xml:space="preserve"> </w:t>
      </w:r>
      <w:proofErr w:type="spellStart"/>
      <w:r w:rsidRPr="002906A3">
        <w:t>than</w:t>
      </w:r>
      <w:proofErr w:type="spellEnd"/>
      <w:r w:rsidRPr="002906A3">
        <w:t xml:space="preserve"> ever. </w:t>
      </w:r>
      <w:proofErr w:type="spellStart"/>
      <w:r w:rsidRPr="002906A3">
        <w:t>Ethical</w:t>
      </w:r>
      <w:proofErr w:type="spellEnd"/>
      <w:r w:rsidRPr="002906A3">
        <w:t xml:space="preserve"> </w:t>
      </w:r>
      <w:proofErr w:type="spellStart"/>
      <w:r w:rsidRPr="002906A3">
        <w:t>foresight</w:t>
      </w:r>
      <w:proofErr w:type="spellEnd"/>
      <w:r w:rsidRPr="002906A3">
        <w:t xml:space="preserve"> is not </w:t>
      </w:r>
      <w:proofErr w:type="spellStart"/>
      <w:r w:rsidRPr="002906A3">
        <w:t>just</w:t>
      </w:r>
      <w:proofErr w:type="spellEnd"/>
      <w:r w:rsidRPr="002906A3">
        <w:t xml:space="preserve"> a </w:t>
      </w:r>
      <w:proofErr w:type="spellStart"/>
      <w:r w:rsidRPr="002906A3">
        <w:t>necessity</w:t>
      </w:r>
      <w:proofErr w:type="spellEnd"/>
      <w:r w:rsidRPr="002906A3">
        <w:t xml:space="preserve">—it is an </w:t>
      </w:r>
      <w:proofErr w:type="spellStart"/>
      <w:r w:rsidRPr="002906A3">
        <w:t>obligation</w:t>
      </w:r>
      <w:proofErr w:type="spellEnd"/>
      <w:r w:rsidRPr="002906A3">
        <w:t>.</w:t>
      </w:r>
    </w:p>
    <w:p w14:paraId="0A989AD3" w14:textId="77777777" w:rsidR="0072162F" w:rsidRPr="002906A3" w:rsidRDefault="0072162F" w:rsidP="00BA67A6"/>
    <w:p w14:paraId="7DC46558" w14:textId="1B784F12" w:rsidR="001E7189" w:rsidRPr="002906A3" w:rsidRDefault="001E7189" w:rsidP="00BA67A6">
      <w:pPr>
        <w:rPr>
          <w:b/>
          <w:bCs/>
        </w:rPr>
      </w:pPr>
      <w:proofErr w:type="spellStart"/>
      <w:r w:rsidRPr="002906A3">
        <w:rPr>
          <w:b/>
          <w:bCs/>
        </w:rPr>
        <w:t>References</w:t>
      </w:r>
      <w:proofErr w:type="spellEnd"/>
      <w:r w:rsidRPr="002906A3">
        <w:rPr>
          <w:b/>
          <w:bCs/>
        </w:rPr>
        <w:t>:</w:t>
      </w:r>
    </w:p>
    <w:p w14:paraId="713B928E" w14:textId="1165BB5F" w:rsidR="001E7189" w:rsidRPr="002906A3" w:rsidRDefault="001E7189">
      <w:pPr>
        <w:pStyle w:val="ListeParagraf"/>
        <w:numPr>
          <w:ilvl w:val="0"/>
          <w:numId w:val="52"/>
        </w:numPr>
      </w:pPr>
      <w:proofErr w:type="spellStart"/>
      <w:r w:rsidRPr="002906A3">
        <w:t>Aguirre</w:t>
      </w:r>
      <w:proofErr w:type="spellEnd"/>
      <w:r w:rsidRPr="002906A3">
        <w:t>, M. M. E. (</w:t>
      </w:r>
      <w:proofErr w:type="spellStart"/>
      <w:r w:rsidRPr="002906A3">
        <w:t>n.d</w:t>
      </w:r>
      <w:proofErr w:type="spellEnd"/>
      <w:r w:rsidRPr="002906A3">
        <w:t xml:space="preserve">.). </w:t>
      </w:r>
      <w:proofErr w:type="spellStart"/>
      <w:r w:rsidRPr="002906A3">
        <w:t>Brave</w:t>
      </w:r>
      <w:proofErr w:type="spellEnd"/>
      <w:r w:rsidRPr="002906A3">
        <w:t xml:space="preserve"> </w:t>
      </w:r>
      <w:proofErr w:type="spellStart"/>
      <w:r w:rsidRPr="002906A3">
        <w:t>new</w:t>
      </w:r>
      <w:proofErr w:type="spellEnd"/>
      <w:r w:rsidRPr="002906A3">
        <w:t xml:space="preserve"> </w:t>
      </w:r>
      <w:proofErr w:type="spellStart"/>
      <w:r w:rsidRPr="002906A3">
        <w:t>creatures</w:t>
      </w:r>
      <w:proofErr w:type="spellEnd"/>
      <w:r w:rsidRPr="002906A3">
        <w:t xml:space="preserve">: A </w:t>
      </w:r>
      <w:proofErr w:type="spellStart"/>
      <w:r w:rsidRPr="002906A3">
        <w:t>comparative</w:t>
      </w:r>
      <w:proofErr w:type="spellEnd"/>
      <w:r w:rsidRPr="002906A3">
        <w:t xml:space="preserve"> </w:t>
      </w:r>
      <w:proofErr w:type="spellStart"/>
      <w:r w:rsidRPr="002906A3">
        <w:t>study</w:t>
      </w:r>
      <w:proofErr w:type="spellEnd"/>
      <w:r w:rsidRPr="002906A3">
        <w:t xml:space="preserve"> of Mary </w:t>
      </w:r>
      <w:proofErr w:type="spellStart"/>
      <w:r w:rsidRPr="002906A3">
        <w:t>Shelley's</w:t>
      </w:r>
      <w:proofErr w:type="spellEnd"/>
      <w:r w:rsidRPr="002906A3">
        <w:t xml:space="preserve"> Frankenstein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creatures</w:t>
      </w:r>
      <w:proofErr w:type="spellEnd"/>
      <w:r w:rsidRPr="002906A3">
        <w:t xml:space="preserve"> of </w:t>
      </w:r>
      <w:proofErr w:type="spellStart"/>
      <w:r w:rsidRPr="002906A3">
        <w:t>the</w:t>
      </w:r>
      <w:proofErr w:type="spellEnd"/>
      <w:r w:rsidRPr="002906A3">
        <w:t xml:space="preserve"> </w:t>
      </w:r>
      <w:proofErr w:type="spellStart"/>
      <w:r w:rsidRPr="002906A3">
        <w:t>new</w:t>
      </w:r>
      <w:proofErr w:type="spellEnd"/>
      <w:r w:rsidRPr="002906A3">
        <w:t xml:space="preserve"> </w:t>
      </w:r>
      <w:proofErr w:type="spellStart"/>
      <w:r w:rsidRPr="002906A3">
        <w:t>millennium</w:t>
      </w:r>
      <w:proofErr w:type="spellEnd"/>
      <w:r w:rsidRPr="002906A3">
        <w:t>.</w:t>
      </w:r>
    </w:p>
    <w:p w14:paraId="5A5A2AED" w14:textId="2064F898" w:rsidR="001E7189" w:rsidRPr="002906A3" w:rsidRDefault="001E7189">
      <w:pPr>
        <w:pStyle w:val="ListeParagraf"/>
        <w:numPr>
          <w:ilvl w:val="0"/>
          <w:numId w:val="52"/>
        </w:numPr>
      </w:pPr>
      <w:r w:rsidRPr="002906A3">
        <w:t xml:space="preserve">Al </w:t>
      </w:r>
      <w:proofErr w:type="spellStart"/>
      <w:r w:rsidRPr="002906A3">
        <w:t>Shamsi</w:t>
      </w:r>
      <w:proofErr w:type="spellEnd"/>
      <w:r w:rsidRPr="002906A3">
        <w:t xml:space="preserve">, A. (2021). </w:t>
      </w:r>
      <w:proofErr w:type="spellStart"/>
      <w:r w:rsidRPr="002906A3">
        <w:t>Reimagining</w:t>
      </w:r>
      <w:proofErr w:type="spellEnd"/>
      <w:r w:rsidRPr="002906A3">
        <w:t xml:space="preserve"> Frankenstein: </w:t>
      </w:r>
      <w:proofErr w:type="spellStart"/>
      <w:r w:rsidRPr="002906A3">
        <w:t>Otherness</w:t>
      </w:r>
      <w:proofErr w:type="spellEnd"/>
      <w:r w:rsidRPr="002906A3">
        <w:t xml:space="preserve">, </w:t>
      </w:r>
      <w:proofErr w:type="spellStart"/>
      <w:r w:rsidRPr="002906A3">
        <w:t>responsibility</w:t>
      </w:r>
      <w:proofErr w:type="spellEnd"/>
      <w:r w:rsidRPr="002906A3">
        <w:t xml:space="preserve">, </w:t>
      </w:r>
      <w:proofErr w:type="spellStart"/>
      <w:r w:rsidRPr="002906A3">
        <w:t>and</w:t>
      </w:r>
      <w:proofErr w:type="spellEnd"/>
      <w:r w:rsidRPr="002906A3">
        <w:t xml:space="preserve"> </w:t>
      </w:r>
      <w:proofErr w:type="spellStart"/>
      <w:r w:rsidRPr="002906A3">
        <w:t>visions</w:t>
      </w:r>
      <w:proofErr w:type="spellEnd"/>
      <w:r w:rsidRPr="002906A3">
        <w:t xml:space="preserve"> of </w:t>
      </w:r>
      <w:proofErr w:type="spellStart"/>
      <w:r w:rsidRPr="002906A3">
        <w:t>future</w:t>
      </w:r>
      <w:proofErr w:type="spellEnd"/>
      <w:r w:rsidRPr="002906A3">
        <w:t xml:space="preserve"> </w:t>
      </w:r>
      <w:proofErr w:type="spellStart"/>
      <w:r w:rsidRPr="002906A3">
        <w:t>technologies</w:t>
      </w:r>
      <w:proofErr w:type="spellEnd"/>
      <w:r w:rsidRPr="002906A3">
        <w:t xml:space="preserve"> in Ahmed </w:t>
      </w:r>
      <w:proofErr w:type="spellStart"/>
      <w:r w:rsidRPr="002906A3">
        <w:t>Saadawi's</w:t>
      </w:r>
      <w:proofErr w:type="spellEnd"/>
      <w:r w:rsidRPr="002906A3">
        <w:t xml:space="preserve"> Frankenstein in </w:t>
      </w:r>
      <w:proofErr w:type="spellStart"/>
      <w:r w:rsidRPr="002906A3">
        <w:t>Baghdad</w:t>
      </w:r>
      <w:proofErr w:type="spellEnd"/>
      <w:r w:rsidRPr="002906A3">
        <w:t xml:space="preserve"> </w:t>
      </w:r>
      <w:proofErr w:type="spellStart"/>
      <w:r w:rsidRPr="002906A3">
        <w:t>and</w:t>
      </w:r>
      <w:proofErr w:type="spellEnd"/>
      <w:r w:rsidRPr="002906A3">
        <w:t xml:space="preserve"> </w:t>
      </w:r>
      <w:proofErr w:type="spellStart"/>
      <w:r w:rsidRPr="002906A3">
        <w:lastRenderedPageBreak/>
        <w:t>Jeanette</w:t>
      </w:r>
      <w:proofErr w:type="spellEnd"/>
      <w:r w:rsidRPr="002906A3">
        <w:t xml:space="preserve"> </w:t>
      </w:r>
      <w:proofErr w:type="spellStart"/>
      <w:r w:rsidRPr="002906A3">
        <w:t>Winterson's</w:t>
      </w:r>
      <w:proofErr w:type="spellEnd"/>
      <w:r w:rsidRPr="002906A3">
        <w:t xml:space="preserve"> Frankenstein. </w:t>
      </w:r>
      <w:proofErr w:type="spellStart"/>
      <w:r w:rsidRPr="002906A3">
        <w:t>Screen</w:t>
      </w:r>
      <w:proofErr w:type="spellEnd"/>
      <w:r w:rsidRPr="002906A3">
        <w:t xml:space="preserve"> </w:t>
      </w:r>
      <w:proofErr w:type="spellStart"/>
      <w:r w:rsidRPr="002906A3">
        <w:t>Bodies</w:t>
      </w:r>
      <w:proofErr w:type="spellEnd"/>
      <w:r w:rsidRPr="002906A3">
        <w:t>, 6(2), 76-86.</w:t>
      </w:r>
    </w:p>
    <w:p w14:paraId="03A5119C" w14:textId="7612709B" w:rsidR="001E7189" w:rsidRPr="002906A3" w:rsidRDefault="001E7189">
      <w:pPr>
        <w:pStyle w:val="ListeParagraf"/>
        <w:numPr>
          <w:ilvl w:val="0"/>
          <w:numId w:val="52"/>
        </w:numPr>
      </w:pPr>
      <w:proofErr w:type="spellStart"/>
      <w:r w:rsidRPr="002906A3">
        <w:t>Bloomfield</w:t>
      </w:r>
      <w:proofErr w:type="spellEnd"/>
      <w:r w:rsidRPr="002906A3">
        <w:t xml:space="preserve">, B. P., &amp; </w:t>
      </w:r>
      <w:proofErr w:type="spellStart"/>
      <w:r w:rsidRPr="002906A3">
        <w:t>Vurdubakis</w:t>
      </w:r>
      <w:proofErr w:type="spellEnd"/>
      <w:r w:rsidRPr="002906A3">
        <w:t>, T. (</w:t>
      </w:r>
      <w:proofErr w:type="spellStart"/>
      <w:r w:rsidRPr="002906A3">
        <w:t>n.d</w:t>
      </w:r>
      <w:proofErr w:type="spellEnd"/>
      <w:r w:rsidRPr="002906A3">
        <w:t xml:space="preserve">.). </w:t>
      </w:r>
      <w:proofErr w:type="spellStart"/>
      <w:r w:rsidRPr="002906A3">
        <w:t>The</w:t>
      </w:r>
      <w:proofErr w:type="spellEnd"/>
      <w:r w:rsidRPr="002906A3">
        <w:t xml:space="preserve"> </w:t>
      </w:r>
      <w:proofErr w:type="spellStart"/>
      <w:r w:rsidRPr="002906A3">
        <w:t>curse</w:t>
      </w:r>
      <w:proofErr w:type="spellEnd"/>
      <w:r w:rsidRPr="002906A3">
        <w:t xml:space="preserve"> of Frankenstein.</w:t>
      </w:r>
    </w:p>
    <w:p w14:paraId="3C587473" w14:textId="2240A15C" w:rsidR="001E7189" w:rsidRPr="002906A3" w:rsidRDefault="001E7189">
      <w:pPr>
        <w:pStyle w:val="ListeParagraf"/>
        <w:numPr>
          <w:ilvl w:val="0"/>
          <w:numId w:val="52"/>
        </w:numPr>
      </w:pPr>
      <w:proofErr w:type="spellStart"/>
      <w:r w:rsidRPr="002906A3">
        <w:t>Byrd</w:t>
      </w:r>
      <w:proofErr w:type="spellEnd"/>
      <w:r w:rsidRPr="002906A3">
        <w:t xml:space="preserve">, J., &amp; </w:t>
      </w:r>
      <w:proofErr w:type="spellStart"/>
      <w:r w:rsidRPr="002906A3">
        <w:t>Paquette</w:t>
      </w:r>
      <w:proofErr w:type="spellEnd"/>
      <w:r w:rsidRPr="002906A3">
        <w:t xml:space="preserve">, P. (2023). Frankenstein: A </w:t>
      </w:r>
      <w:proofErr w:type="spellStart"/>
      <w:r w:rsidRPr="002906A3">
        <w:t>creation</w:t>
      </w:r>
      <w:proofErr w:type="spellEnd"/>
      <w:r w:rsidRPr="002906A3">
        <w:t xml:space="preserve"> of </w:t>
      </w:r>
      <w:proofErr w:type="spellStart"/>
      <w:r w:rsidRPr="002906A3">
        <w:t>artificial</w:t>
      </w:r>
      <w:proofErr w:type="spellEnd"/>
      <w:r w:rsidRPr="002906A3">
        <w:t xml:space="preserve"> </w:t>
      </w:r>
      <w:proofErr w:type="spellStart"/>
      <w:r w:rsidRPr="002906A3">
        <w:t>intelligence</w:t>
      </w:r>
      <w:proofErr w:type="spellEnd"/>
      <w:r w:rsidRPr="002906A3">
        <w:t xml:space="preserve">? AI &amp; </w:t>
      </w:r>
      <w:proofErr w:type="spellStart"/>
      <w:r w:rsidRPr="002906A3">
        <w:t>Society</w:t>
      </w:r>
      <w:proofErr w:type="spellEnd"/>
      <w:r w:rsidRPr="002906A3">
        <w:t>, 38(1), 331-342.</w:t>
      </w:r>
    </w:p>
    <w:p w14:paraId="27473412" w14:textId="7E654DD9" w:rsidR="001E7189" w:rsidRPr="002906A3" w:rsidRDefault="001E7189">
      <w:pPr>
        <w:pStyle w:val="ListeParagraf"/>
        <w:numPr>
          <w:ilvl w:val="0"/>
          <w:numId w:val="52"/>
        </w:numPr>
      </w:pPr>
      <w:proofErr w:type="spellStart"/>
      <w:r w:rsidRPr="002906A3">
        <w:t>Cambra-Badii</w:t>
      </w:r>
      <w:proofErr w:type="spellEnd"/>
      <w:r w:rsidRPr="002906A3">
        <w:t xml:space="preserve">, I., </w:t>
      </w:r>
      <w:proofErr w:type="spellStart"/>
      <w:r w:rsidRPr="002906A3">
        <w:t>Guardiola</w:t>
      </w:r>
      <w:proofErr w:type="spellEnd"/>
      <w:r w:rsidRPr="002906A3">
        <w:t xml:space="preserve">, E., &amp; </w:t>
      </w:r>
      <w:proofErr w:type="spellStart"/>
      <w:r w:rsidRPr="002906A3">
        <w:t>Baños</w:t>
      </w:r>
      <w:proofErr w:type="spellEnd"/>
      <w:r w:rsidRPr="002906A3">
        <w:t xml:space="preserve">, J. E. (2020). </w:t>
      </w:r>
      <w:proofErr w:type="spellStart"/>
      <w:r w:rsidRPr="002906A3">
        <w:t>The</w:t>
      </w:r>
      <w:proofErr w:type="spellEnd"/>
      <w:r w:rsidRPr="002906A3">
        <w:t xml:space="preserve"> </w:t>
      </w:r>
      <w:proofErr w:type="spellStart"/>
      <w:r w:rsidRPr="002906A3">
        <w:t>ethical</w:t>
      </w:r>
      <w:proofErr w:type="spellEnd"/>
      <w:r w:rsidRPr="002906A3">
        <w:t xml:space="preserve"> </w:t>
      </w:r>
      <w:proofErr w:type="spellStart"/>
      <w:r w:rsidRPr="002906A3">
        <w:t>interest</w:t>
      </w:r>
      <w:proofErr w:type="spellEnd"/>
      <w:r w:rsidRPr="002906A3">
        <w:t xml:space="preserve"> of Frankenstein; </w:t>
      </w:r>
      <w:proofErr w:type="spellStart"/>
      <w:r w:rsidRPr="002906A3">
        <w:t>or</w:t>
      </w:r>
      <w:proofErr w:type="spellEnd"/>
      <w:r w:rsidRPr="002906A3">
        <w:t xml:space="preserve">, </w:t>
      </w:r>
      <w:proofErr w:type="spellStart"/>
      <w:r w:rsidRPr="002906A3">
        <w:t>the</w:t>
      </w:r>
      <w:proofErr w:type="spellEnd"/>
      <w:r w:rsidRPr="002906A3">
        <w:t xml:space="preserve"> modern Prometheus: A </w:t>
      </w:r>
      <w:proofErr w:type="spellStart"/>
      <w:r w:rsidRPr="002906A3">
        <w:t>literature</w:t>
      </w:r>
      <w:proofErr w:type="spellEnd"/>
      <w:r w:rsidRPr="002906A3">
        <w:t xml:space="preserve"> </w:t>
      </w:r>
      <w:proofErr w:type="spellStart"/>
      <w:r w:rsidRPr="002906A3">
        <w:t>review</w:t>
      </w:r>
      <w:proofErr w:type="spellEnd"/>
      <w:r w:rsidRPr="002906A3">
        <w:t xml:space="preserve"> 200 </w:t>
      </w:r>
      <w:proofErr w:type="spellStart"/>
      <w:r w:rsidRPr="002906A3">
        <w:t>years</w:t>
      </w:r>
      <w:proofErr w:type="spellEnd"/>
      <w:r w:rsidRPr="002906A3">
        <w:t xml:space="preserve"> </w:t>
      </w:r>
      <w:proofErr w:type="spellStart"/>
      <w:r w:rsidRPr="002906A3">
        <w:t>after</w:t>
      </w:r>
      <w:proofErr w:type="spellEnd"/>
      <w:r w:rsidRPr="002906A3">
        <w:t xml:space="preserve"> </w:t>
      </w:r>
      <w:proofErr w:type="spellStart"/>
      <w:r w:rsidRPr="002906A3">
        <w:t>its</w:t>
      </w:r>
      <w:proofErr w:type="spellEnd"/>
      <w:r w:rsidRPr="002906A3">
        <w:t xml:space="preserve"> </w:t>
      </w:r>
      <w:proofErr w:type="spellStart"/>
      <w:r w:rsidRPr="002906A3">
        <w:t>publication</w:t>
      </w:r>
      <w:proofErr w:type="spellEnd"/>
      <w:r w:rsidRPr="002906A3">
        <w:t xml:space="preserve">. </w:t>
      </w:r>
      <w:proofErr w:type="spellStart"/>
      <w:r w:rsidRPr="002906A3">
        <w:t>Science</w:t>
      </w:r>
      <w:proofErr w:type="spellEnd"/>
      <w:r w:rsidRPr="002906A3">
        <w:t xml:space="preserve"> </w:t>
      </w:r>
      <w:proofErr w:type="spellStart"/>
      <w:r w:rsidRPr="002906A3">
        <w:t>and</w:t>
      </w:r>
      <w:proofErr w:type="spellEnd"/>
      <w:r w:rsidRPr="002906A3">
        <w:t xml:space="preserve"> </w:t>
      </w:r>
      <w:proofErr w:type="spellStart"/>
      <w:r w:rsidRPr="002906A3">
        <w:t>Engineering</w:t>
      </w:r>
      <w:proofErr w:type="spellEnd"/>
      <w:r w:rsidRPr="002906A3">
        <w:t xml:space="preserve"> </w:t>
      </w:r>
      <w:proofErr w:type="spellStart"/>
      <w:r w:rsidRPr="002906A3">
        <w:t>Ethics</w:t>
      </w:r>
      <w:proofErr w:type="spellEnd"/>
      <w:r w:rsidRPr="002906A3">
        <w:t>, 26(5), 2791-2808.</w:t>
      </w:r>
    </w:p>
    <w:p w14:paraId="72C3CBAF" w14:textId="186D9B53" w:rsidR="001E7189" w:rsidRPr="002906A3" w:rsidRDefault="001E7189">
      <w:pPr>
        <w:pStyle w:val="ListeParagraf"/>
        <w:numPr>
          <w:ilvl w:val="0"/>
          <w:numId w:val="52"/>
        </w:numPr>
      </w:pPr>
      <w:r w:rsidRPr="002906A3">
        <w:t xml:space="preserve">Faber, L. W. (2023). Robot </w:t>
      </w:r>
      <w:proofErr w:type="spellStart"/>
      <w:r w:rsidRPr="002906A3">
        <w:t>suicide</w:t>
      </w:r>
      <w:proofErr w:type="spellEnd"/>
      <w:r w:rsidRPr="002906A3">
        <w:t xml:space="preserve">: </w:t>
      </w:r>
      <w:proofErr w:type="spellStart"/>
      <w:r w:rsidRPr="002906A3">
        <w:t>Death</w:t>
      </w:r>
      <w:proofErr w:type="spellEnd"/>
      <w:r w:rsidRPr="002906A3">
        <w:t xml:space="preserve">, </w:t>
      </w:r>
      <w:proofErr w:type="spellStart"/>
      <w:r w:rsidRPr="002906A3">
        <w:t>identity</w:t>
      </w:r>
      <w:proofErr w:type="spellEnd"/>
      <w:r w:rsidRPr="002906A3">
        <w:t xml:space="preserve">, </w:t>
      </w:r>
      <w:proofErr w:type="spellStart"/>
      <w:r w:rsidRPr="002906A3">
        <w:t>and</w:t>
      </w:r>
      <w:proofErr w:type="spellEnd"/>
      <w:r w:rsidRPr="002906A3">
        <w:t xml:space="preserve"> AI in </w:t>
      </w:r>
      <w:proofErr w:type="spellStart"/>
      <w:r w:rsidRPr="002906A3">
        <w:t>science</w:t>
      </w:r>
      <w:proofErr w:type="spellEnd"/>
      <w:r w:rsidRPr="002906A3">
        <w:t xml:space="preserve"> fiction. </w:t>
      </w:r>
      <w:proofErr w:type="spellStart"/>
      <w:r w:rsidRPr="002906A3">
        <w:t>Rowman</w:t>
      </w:r>
      <w:proofErr w:type="spellEnd"/>
      <w:r w:rsidRPr="002906A3">
        <w:t xml:space="preserve"> &amp; </w:t>
      </w:r>
      <w:proofErr w:type="spellStart"/>
      <w:r w:rsidRPr="002906A3">
        <w:t>Littlefield</w:t>
      </w:r>
      <w:proofErr w:type="spellEnd"/>
      <w:r w:rsidRPr="002906A3">
        <w:t>.</w:t>
      </w:r>
    </w:p>
    <w:p w14:paraId="665D545A" w14:textId="1696C03E" w:rsidR="001E7189" w:rsidRPr="002906A3" w:rsidRDefault="001E7189">
      <w:pPr>
        <w:pStyle w:val="ListeParagraf"/>
        <w:numPr>
          <w:ilvl w:val="0"/>
          <w:numId w:val="52"/>
        </w:numPr>
      </w:pPr>
      <w:proofErr w:type="spellStart"/>
      <w:r w:rsidRPr="002906A3">
        <w:t>Hashemipour</w:t>
      </w:r>
      <w:proofErr w:type="spellEnd"/>
      <w:r w:rsidRPr="002906A3">
        <w:t xml:space="preserve">, S., &amp; Kesgin, C. E. (2020, </w:t>
      </w:r>
      <w:proofErr w:type="spellStart"/>
      <w:r w:rsidRPr="002906A3">
        <w:t>October</w:t>
      </w:r>
      <w:proofErr w:type="spellEnd"/>
      <w:r w:rsidRPr="002906A3">
        <w:t xml:space="preserve">). Frankenstein </w:t>
      </w:r>
      <w:proofErr w:type="spellStart"/>
      <w:r w:rsidRPr="002906A3">
        <w:t>and</w:t>
      </w:r>
      <w:proofErr w:type="spellEnd"/>
      <w:r w:rsidRPr="002906A3">
        <w:t xml:space="preserve"> </w:t>
      </w:r>
      <w:proofErr w:type="spellStart"/>
      <w:r w:rsidRPr="002906A3">
        <w:t>humanness</w:t>
      </w:r>
      <w:proofErr w:type="spellEnd"/>
      <w:r w:rsidRPr="002906A3">
        <w:t xml:space="preserve">: Mary </w:t>
      </w:r>
      <w:proofErr w:type="spellStart"/>
      <w:r w:rsidRPr="002906A3">
        <w:t>Shelley’s</w:t>
      </w:r>
      <w:proofErr w:type="spellEnd"/>
      <w:r w:rsidRPr="002906A3">
        <w:t xml:space="preserve"> </w:t>
      </w:r>
      <w:proofErr w:type="spellStart"/>
      <w:r w:rsidRPr="002906A3">
        <w:t>debate</w:t>
      </w:r>
      <w:proofErr w:type="spellEnd"/>
      <w:r w:rsidRPr="002906A3">
        <w:t xml:space="preserve"> on </w:t>
      </w:r>
      <w:proofErr w:type="spellStart"/>
      <w:r w:rsidRPr="002906A3">
        <w:t>science</w:t>
      </w:r>
      <w:proofErr w:type="spellEnd"/>
      <w:r w:rsidRPr="002906A3">
        <w:t xml:space="preserve"> </w:t>
      </w:r>
      <w:proofErr w:type="spellStart"/>
      <w:r w:rsidRPr="002906A3">
        <w:t>and</w:t>
      </w:r>
      <w:proofErr w:type="spellEnd"/>
      <w:r w:rsidRPr="002906A3">
        <w:t xml:space="preserve"> </w:t>
      </w:r>
      <w:proofErr w:type="spellStart"/>
      <w:r w:rsidRPr="002906A3">
        <w:t>nature</w:t>
      </w:r>
      <w:proofErr w:type="spellEnd"/>
      <w:r w:rsidRPr="002906A3">
        <w:t xml:space="preserve">. </w:t>
      </w:r>
      <w:proofErr w:type="spellStart"/>
      <w:r w:rsidRPr="002906A3">
        <w:t>In</w:t>
      </w:r>
      <w:proofErr w:type="spellEnd"/>
      <w:r w:rsidRPr="002906A3">
        <w:t xml:space="preserve"> IV. International </w:t>
      </w:r>
      <w:proofErr w:type="spellStart"/>
      <w:r w:rsidRPr="002906A3">
        <w:t>Applied</w:t>
      </w:r>
      <w:proofErr w:type="spellEnd"/>
      <w:r w:rsidRPr="002906A3">
        <w:t xml:space="preserve"> </w:t>
      </w:r>
      <w:proofErr w:type="spellStart"/>
      <w:r w:rsidRPr="002906A3">
        <w:t>Social</w:t>
      </w:r>
      <w:proofErr w:type="spellEnd"/>
      <w:r w:rsidRPr="002906A3">
        <w:t xml:space="preserve"> </w:t>
      </w:r>
      <w:proofErr w:type="spellStart"/>
      <w:r w:rsidRPr="002906A3">
        <w:t>Sciences</w:t>
      </w:r>
      <w:proofErr w:type="spellEnd"/>
      <w:r w:rsidRPr="002906A3">
        <w:t xml:space="preserve"> </w:t>
      </w:r>
      <w:proofErr w:type="spellStart"/>
      <w:r w:rsidRPr="002906A3">
        <w:t>Congress</w:t>
      </w:r>
      <w:proofErr w:type="spellEnd"/>
      <w:r w:rsidRPr="002906A3">
        <w:t xml:space="preserve"> (C-IASOS) (p. 533).</w:t>
      </w:r>
    </w:p>
    <w:p w14:paraId="50DB1342" w14:textId="390554D8" w:rsidR="001E7189" w:rsidRPr="002906A3" w:rsidRDefault="001E7189">
      <w:pPr>
        <w:pStyle w:val="ListeParagraf"/>
        <w:numPr>
          <w:ilvl w:val="0"/>
          <w:numId w:val="52"/>
        </w:numPr>
      </w:pPr>
      <w:proofErr w:type="spellStart"/>
      <w:r w:rsidRPr="002906A3">
        <w:t>Herlihy</w:t>
      </w:r>
      <w:proofErr w:type="spellEnd"/>
      <w:r w:rsidRPr="002906A3">
        <w:t xml:space="preserve">, B. C. (2005). Time, </w:t>
      </w:r>
      <w:proofErr w:type="spellStart"/>
      <w:r w:rsidRPr="002906A3">
        <w:t>terror</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technological</w:t>
      </w:r>
      <w:proofErr w:type="spellEnd"/>
      <w:r w:rsidRPr="002906A3">
        <w:t xml:space="preserve"> </w:t>
      </w:r>
      <w:proofErr w:type="spellStart"/>
      <w:r w:rsidRPr="002906A3">
        <w:t>imagination</w:t>
      </w:r>
      <w:proofErr w:type="spellEnd"/>
      <w:r w:rsidRPr="002906A3">
        <w:t xml:space="preserve">: </w:t>
      </w:r>
      <w:proofErr w:type="spellStart"/>
      <w:r w:rsidRPr="002906A3">
        <w:t>Frankenstein’s</w:t>
      </w:r>
      <w:proofErr w:type="spellEnd"/>
      <w:r w:rsidRPr="002906A3">
        <w:t xml:space="preserve"> </w:t>
      </w:r>
      <w:proofErr w:type="spellStart"/>
      <w:r w:rsidRPr="002906A3">
        <w:t>fictional</w:t>
      </w:r>
      <w:proofErr w:type="spellEnd"/>
      <w:r w:rsidRPr="002906A3">
        <w:t xml:space="preserve"> </w:t>
      </w:r>
      <w:proofErr w:type="spellStart"/>
      <w:r w:rsidRPr="002906A3">
        <w:t>legacy</w:t>
      </w:r>
      <w:proofErr w:type="spellEnd"/>
      <w:r w:rsidRPr="002906A3">
        <w:t xml:space="preserve"> in </w:t>
      </w:r>
      <w:proofErr w:type="spellStart"/>
      <w:r w:rsidRPr="002906A3">
        <w:t>the</w:t>
      </w:r>
      <w:proofErr w:type="spellEnd"/>
      <w:r w:rsidRPr="002906A3">
        <w:t xml:space="preserve"> </w:t>
      </w:r>
      <w:proofErr w:type="spellStart"/>
      <w:r w:rsidRPr="002906A3">
        <w:t>scientific</w:t>
      </w:r>
      <w:proofErr w:type="spellEnd"/>
      <w:r w:rsidRPr="002906A3">
        <w:t xml:space="preserve"> </w:t>
      </w:r>
      <w:proofErr w:type="spellStart"/>
      <w:r w:rsidRPr="002906A3">
        <w:t>age</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Massey</w:t>
      </w:r>
      <w:proofErr w:type="spellEnd"/>
      <w:r w:rsidRPr="002906A3">
        <w:t xml:space="preserve"> </w:t>
      </w:r>
      <w:proofErr w:type="spellStart"/>
      <w:r w:rsidRPr="002906A3">
        <w:t>University</w:t>
      </w:r>
      <w:proofErr w:type="spellEnd"/>
      <w:r w:rsidRPr="002906A3">
        <w:t>).</w:t>
      </w:r>
    </w:p>
    <w:p w14:paraId="37F31E32" w14:textId="122F2BED" w:rsidR="001E7189" w:rsidRPr="002906A3" w:rsidRDefault="001E7189">
      <w:pPr>
        <w:pStyle w:val="ListeParagraf"/>
        <w:numPr>
          <w:ilvl w:val="0"/>
          <w:numId w:val="52"/>
        </w:numPr>
      </w:pPr>
      <w:proofErr w:type="spellStart"/>
      <w:r w:rsidRPr="002906A3">
        <w:t>Hunt</w:t>
      </w:r>
      <w:proofErr w:type="spellEnd"/>
      <w:r w:rsidRPr="002906A3">
        <w:t xml:space="preserve">, E. M. (2024). AI </w:t>
      </w:r>
      <w:proofErr w:type="spellStart"/>
      <w:r w:rsidRPr="002906A3">
        <w:t>ethics</w:t>
      </w:r>
      <w:proofErr w:type="spellEnd"/>
      <w:r w:rsidRPr="002906A3">
        <w:t xml:space="preserve"> </w:t>
      </w:r>
      <w:proofErr w:type="spellStart"/>
      <w:r w:rsidRPr="002906A3">
        <w:t>before</w:t>
      </w:r>
      <w:proofErr w:type="spellEnd"/>
      <w:r w:rsidRPr="002906A3">
        <w:t xml:space="preserve"> Frankenstein: Mary </w:t>
      </w:r>
      <w:proofErr w:type="spellStart"/>
      <w:r w:rsidRPr="002906A3">
        <w:t>Shelley</w:t>
      </w:r>
      <w:proofErr w:type="spellEnd"/>
      <w:r w:rsidRPr="002906A3">
        <w:t xml:space="preserve">, </w:t>
      </w:r>
      <w:proofErr w:type="spellStart"/>
      <w:r w:rsidRPr="002906A3">
        <w:t>Enlightenment</w:t>
      </w:r>
      <w:proofErr w:type="spellEnd"/>
      <w:r w:rsidRPr="002906A3">
        <w:t xml:space="preserve"> </w:t>
      </w:r>
      <w:proofErr w:type="spellStart"/>
      <w:r w:rsidRPr="002906A3">
        <w:t>political</w:t>
      </w:r>
      <w:proofErr w:type="spellEnd"/>
      <w:r w:rsidRPr="002906A3">
        <w:t xml:space="preserve"> </w:t>
      </w:r>
      <w:proofErr w:type="spellStart"/>
      <w:r w:rsidRPr="002906A3">
        <w:t>thought</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problem of </w:t>
      </w:r>
      <w:proofErr w:type="spellStart"/>
      <w:r w:rsidRPr="002906A3">
        <w:t>bad</w:t>
      </w:r>
      <w:proofErr w:type="spellEnd"/>
      <w:r w:rsidRPr="002906A3">
        <w:t xml:space="preserve"> </w:t>
      </w:r>
      <w:proofErr w:type="spellStart"/>
      <w:r w:rsidRPr="002906A3">
        <w:t>education</w:t>
      </w:r>
      <w:proofErr w:type="spellEnd"/>
      <w:r w:rsidRPr="002906A3">
        <w:t xml:space="preserve">. </w:t>
      </w:r>
      <w:proofErr w:type="spellStart"/>
      <w:r w:rsidRPr="002906A3">
        <w:t>In</w:t>
      </w:r>
      <w:proofErr w:type="spellEnd"/>
      <w:r w:rsidRPr="002906A3">
        <w:t xml:space="preserve"> </w:t>
      </w:r>
      <w:proofErr w:type="spellStart"/>
      <w:r w:rsidRPr="002906A3">
        <w:t>Handbook</w:t>
      </w:r>
      <w:proofErr w:type="spellEnd"/>
      <w:r w:rsidRPr="002906A3">
        <w:t xml:space="preserve"> on </w:t>
      </w:r>
      <w:proofErr w:type="spellStart"/>
      <w:r w:rsidRPr="002906A3">
        <w:t>the</w:t>
      </w:r>
      <w:proofErr w:type="spellEnd"/>
      <w:r w:rsidRPr="002906A3">
        <w:t xml:space="preserve"> </w:t>
      </w:r>
      <w:proofErr w:type="spellStart"/>
      <w:r w:rsidRPr="002906A3">
        <w:t>Ethics</w:t>
      </w:r>
      <w:proofErr w:type="spellEnd"/>
      <w:r w:rsidRPr="002906A3">
        <w:t xml:space="preserve"> of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pp</w:t>
      </w:r>
      <w:proofErr w:type="spellEnd"/>
      <w:r w:rsidRPr="002906A3">
        <w:t xml:space="preserve">. 27-36). Edward </w:t>
      </w:r>
      <w:proofErr w:type="spellStart"/>
      <w:r w:rsidRPr="002906A3">
        <w:t>Elgar</w:t>
      </w:r>
      <w:proofErr w:type="spellEnd"/>
      <w:r w:rsidRPr="002906A3">
        <w:t xml:space="preserve"> Publishing.</w:t>
      </w:r>
    </w:p>
    <w:p w14:paraId="407BA136" w14:textId="1B55FC6E" w:rsidR="001E7189" w:rsidRPr="002906A3" w:rsidRDefault="001E7189">
      <w:pPr>
        <w:pStyle w:val="ListeParagraf"/>
        <w:numPr>
          <w:ilvl w:val="0"/>
          <w:numId w:val="52"/>
        </w:numPr>
      </w:pPr>
      <w:proofErr w:type="spellStart"/>
      <w:r w:rsidRPr="002906A3">
        <w:t>Husain</w:t>
      </w:r>
      <w:proofErr w:type="spellEnd"/>
      <w:r w:rsidRPr="002906A3">
        <w:t xml:space="preserve">, K. H. (2021). </w:t>
      </w:r>
      <w:proofErr w:type="spellStart"/>
      <w:r w:rsidRPr="002906A3">
        <w:t>Over</w:t>
      </w:r>
      <w:proofErr w:type="spellEnd"/>
      <w:r w:rsidRPr="002906A3">
        <w:t xml:space="preserve"> </w:t>
      </w:r>
      <w:proofErr w:type="spellStart"/>
      <w:r w:rsidRPr="002906A3">
        <w:t>excessive</w:t>
      </w:r>
      <w:proofErr w:type="spellEnd"/>
      <w:r w:rsidRPr="002906A3">
        <w:t xml:space="preserve"> </w:t>
      </w:r>
      <w:proofErr w:type="spellStart"/>
      <w:r w:rsidRPr="002906A3">
        <w:t>ambition</w:t>
      </w:r>
      <w:proofErr w:type="spellEnd"/>
      <w:r w:rsidRPr="002906A3">
        <w:t xml:space="preserve"> as </w:t>
      </w:r>
      <w:proofErr w:type="spellStart"/>
      <w:r w:rsidRPr="002906A3">
        <w:t>reflected</w:t>
      </w:r>
      <w:proofErr w:type="spellEnd"/>
      <w:r w:rsidRPr="002906A3">
        <w:t xml:space="preserve"> in </w:t>
      </w:r>
      <w:proofErr w:type="spellStart"/>
      <w:r w:rsidRPr="002906A3">
        <w:t>three</w:t>
      </w:r>
      <w:proofErr w:type="spellEnd"/>
      <w:r w:rsidRPr="002906A3">
        <w:t xml:space="preserve"> </w:t>
      </w:r>
      <w:proofErr w:type="spellStart"/>
      <w:r w:rsidRPr="002906A3">
        <w:t>science</w:t>
      </w:r>
      <w:proofErr w:type="spellEnd"/>
      <w:r w:rsidRPr="002906A3">
        <w:t xml:space="preserve"> fiction </w:t>
      </w:r>
      <w:proofErr w:type="spellStart"/>
      <w:r w:rsidRPr="002906A3">
        <w:t>novels</w:t>
      </w:r>
      <w:proofErr w:type="spellEnd"/>
      <w:r w:rsidRPr="002906A3">
        <w:t xml:space="preserve">: Frankenstein, Solaris, </w:t>
      </w:r>
      <w:proofErr w:type="spellStart"/>
      <w:r w:rsidRPr="002906A3">
        <w:t>and</w:t>
      </w:r>
      <w:proofErr w:type="spellEnd"/>
      <w:r w:rsidRPr="002906A3">
        <w:t xml:space="preserve"> </w:t>
      </w:r>
      <w:proofErr w:type="spellStart"/>
      <w:r w:rsidRPr="002906A3">
        <w:t>Infernal</w:t>
      </w:r>
      <w:proofErr w:type="spellEnd"/>
      <w:r w:rsidRPr="002906A3">
        <w:t xml:space="preserve"> </w:t>
      </w:r>
      <w:proofErr w:type="spellStart"/>
      <w:r w:rsidRPr="002906A3">
        <w:t>Devices</w:t>
      </w:r>
      <w:proofErr w:type="spellEnd"/>
      <w:r w:rsidRPr="002906A3">
        <w:t xml:space="preserve"> (</w:t>
      </w:r>
      <w:proofErr w:type="spellStart"/>
      <w:r w:rsidRPr="002906A3">
        <w:t>Vol</w:t>
      </w:r>
      <w:proofErr w:type="spellEnd"/>
      <w:r w:rsidRPr="002906A3">
        <w:t>. 1). KY Publications.</w:t>
      </w:r>
    </w:p>
    <w:p w14:paraId="149F0278" w14:textId="4E37499E" w:rsidR="001E7189" w:rsidRPr="002906A3" w:rsidRDefault="001E7189">
      <w:pPr>
        <w:pStyle w:val="ListeParagraf"/>
        <w:numPr>
          <w:ilvl w:val="0"/>
          <w:numId w:val="52"/>
        </w:numPr>
      </w:pPr>
      <w:proofErr w:type="spellStart"/>
      <w:r w:rsidRPr="002906A3">
        <w:t>Kayaaltı</w:t>
      </w:r>
      <w:proofErr w:type="spellEnd"/>
      <w:r w:rsidRPr="002906A3">
        <w:t xml:space="preserve">, M., &amp; Belenli, P. K. (2024). </w:t>
      </w:r>
      <w:proofErr w:type="spellStart"/>
      <w:r w:rsidRPr="002906A3">
        <w:t>Frankenstein’s</w:t>
      </w:r>
      <w:proofErr w:type="spellEnd"/>
      <w:r w:rsidRPr="002906A3">
        <w:t xml:space="preserve"> </w:t>
      </w:r>
      <w:proofErr w:type="spellStart"/>
      <w:r w:rsidRPr="002906A3">
        <w:t>monster</w:t>
      </w:r>
      <w:proofErr w:type="spellEnd"/>
      <w:r w:rsidRPr="002906A3">
        <w:t xml:space="preserve"> as a </w:t>
      </w:r>
      <w:proofErr w:type="spellStart"/>
      <w:r w:rsidRPr="002906A3">
        <w:t>representative</w:t>
      </w:r>
      <w:proofErr w:type="spellEnd"/>
      <w:r w:rsidRPr="002906A3">
        <w:t xml:space="preserve"> of </w:t>
      </w:r>
      <w:proofErr w:type="spellStart"/>
      <w:r w:rsidRPr="002906A3">
        <w:t>the</w:t>
      </w:r>
      <w:proofErr w:type="spellEnd"/>
      <w:r w:rsidRPr="002906A3">
        <w:t xml:space="preserve"> </w:t>
      </w:r>
      <w:proofErr w:type="spellStart"/>
      <w:r w:rsidRPr="002906A3">
        <w:t>threat</w:t>
      </w:r>
      <w:proofErr w:type="spellEnd"/>
      <w:r w:rsidRPr="002906A3">
        <w:t xml:space="preserve"> of modern </w:t>
      </w:r>
      <w:proofErr w:type="spellStart"/>
      <w:r w:rsidRPr="002906A3">
        <w:t>technology</w:t>
      </w:r>
      <w:proofErr w:type="spellEnd"/>
      <w:r w:rsidRPr="002906A3">
        <w:t xml:space="preserve"> </w:t>
      </w:r>
      <w:proofErr w:type="spellStart"/>
      <w:r w:rsidRPr="002906A3">
        <w:t>operated</w:t>
      </w:r>
      <w:proofErr w:type="spellEnd"/>
      <w:r w:rsidRPr="002906A3">
        <w:t xml:space="preserve"> </w:t>
      </w:r>
      <w:proofErr w:type="spellStart"/>
      <w:r w:rsidRPr="002906A3">
        <w:t>by</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Kesit Akademi Dergisi, 7(26), 38-48.</w:t>
      </w:r>
    </w:p>
    <w:p w14:paraId="19F70162" w14:textId="41B8BB2A" w:rsidR="001E7189" w:rsidRPr="002906A3" w:rsidRDefault="001E7189">
      <w:pPr>
        <w:pStyle w:val="ListeParagraf"/>
        <w:numPr>
          <w:ilvl w:val="0"/>
          <w:numId w:val="52"/>
        </w:numPr>
      </w:pPr>
      <w:proofErr w:type="spellStart"/>
      <w:r w:rsidRPr="002906A3">
        <w:t>Nagy</w:t>
      </w:r>
      <w:proofErr w:type="spellEnd"/>
      <w:r w:rsidRPr="002906A3">
        <w:t xml:space="preserve">, P., </w:t>
      </w:r>
      <w:proofErr w:type="spellStart"/>
      <w:r w:rsidRPr="002906A3">
        <w:t>Wylie</w:t>
      </w:r>
      <w:proofErr w:type="spellEnd"/>
      <w:r w:rsidRPr="002906A3">
        <w:t xml:space="preserve">, R., </w:t>
      </w:r>
      <w:proofErr w:type="spellStart"/>
      <w:r w:rsidRPr="002906A3">
        <w:t>Eschrich</w:t>
      </w:r>
      <w:proofErr w:type="spellEnd"/>
      <w:r w:rsidRPr="002906A3">
        <w:t xml:space="preserve">, J., &amp; Finn, E. (2020). </w:t>
      </w:r>
      <w:proofErr w:type="spellStart"/>
      <w:r w:rsidRPr="002906A3">
        <w:t>Facing</w:t>
      </w:r>
      <w:proofErr w:type="spellEnd"/>
      <w:r w:rsidRPr="002906A3">
        <w:t xml:space="preserve"> </w:t>
      </w:r>
      <w:proofErr w:type="spellStart"/>
      <w:r w:rsidRPr="002906A3">
        <w:t>the</w:t>
      </w:r>
      <w:proofErr w:type="spellEnd"/>
      <w:r w:rsidRPr="002906A3">
        <w:t xml:space="preserve"> </w:t>
      </w:r>
      <w:proofErr w:type="spellStart"/>
      <w:r w:rsidRPr="002906A3">
        <w:t>pariah</w:t>
      </w:r>
      <w:proofErr w:type="spellEnd"/>
      <w:r w:rsidRPr="002906A3">
        <w:t xml:space="preserve"> of </w:t>
      </w:r>
      <w:proofErr w:type="spellStart"/>
      <w:r w:rsidRPr="002906A3">
        <w:t>science</w:t>
      </w:r>
      <w:proofErr w:type="spellEnd"/>
      <w:r w:rsidRPr="002906A3">
        <w:t xml:space="preserve">: </w:t>
      </w:r>
      <w:proofErr w:type="spellStart"/>
      <w:r w:rsidRPr="002906A3">
        <w:t>The</w:t>
      </w:r>
      <w:proofErr w:type="spellEnd"/>
      <w:r w:rsidRPr="002906A3">
        <w:t xml:space="preserve"> Frankenstein </w:t>
      </w:r>
      <w:proofErr w:type="spellStart"/>
      <w:r w:rsidRPr="002906A3">
        <w:t>myth</w:t>
      </w:r>
      <w:proofErr w:type="spellEnd"/>
      <w:r w:rsidRPr="002906A3">
        <w:t xml:space="preserve"> as a </w:t>
      </w:r>
      <w:proofErr w:type="spellStart"/>
      <w:r w:rsidRPr="002906A3">
        <w:t>social</w:t>
      </w:r>
      <w:proofErr w:type="spellEnd"/>
      <w:r w:rsidRPr="002906A3">
        <w:t xml:space="preserve"> </w:t>
      </w:r>
      <w:proofErr w:type="spellStart"/>
      <w:r w:rsidRPr="002906A3">
        <w:t>and</w:t>
      </w:r>
      <w:proofErr w:type="spellEnd"/>
      <w:r w:rsidRPr="002906A3">
        <w:t xml:space="preserve"> </w:t>
      </w:r>
      <w:proofErr w:type="spellStart"/>
      <w:r w:rsidRPr="002906A3">
        <w:t>ethical</w:t>
      </w:r>
      <w:proofErr w:type="spellEnd"/>
      <w:r w:rsidRPr="002906A3">
        <w:t xml:space="preserve"> reference </w:t>
      </w:r>
      <w:proofErr w:type="spellStart"/>
      <w:r w:rsidRPr="002906A3">
        <w:t>for</w:t>
      </w:r>
      <w:proofErr w:type="spellEnd"/>
      <w:r w:rsidRPr="002906A3">
        <w:t xml:space="preserve"> </w:t>
      </w:r>
      <w:proofErr w:type="spellStart"/>
      <w:r w:rsidRPr="002906A3">
        <w:t>scientists</w:t>
      </w:r>
      <w:proofErr w:type="spellEnd"/>
      <w:r w:rsidRPr="002906A3">
        <w:t xml:space="preserve">. </w:t>
      </w:r>
      <w:proofErr w:type="spellStart"/>
      <w:r w:rsidRPr="002906A3">
        <w:t>Science</w:t>
      </w:r>
      <w:proofErr w:type="spellEnd"/>
      <w:r w:rsidRPr="002906A3">
        <w:t xml:space="preserve"> </w:t>
      </w:r>
      <w:proofErr w:type="spellStart"/>
      <w:r w:rsidRPr="002906A3">
        <w:t>and</w:t>
      </w:r>
      <w:proofErr w:type="spellEnd"/>
      <w:r w:rsidRPr="002906A3">
        <w:t xml:space="preserve"> </w:t>
      </w:r>
      <w:proofErr w:type="spellStart"/>
      <w:r w:rsidRPr="002906A3">
        <w:t>Engineering</w:t>
      </w:r>
      <w:proofErr w:type="spellEnd"/>
      <w:r w:rsidRPr="002906A3">
        <w:t xml:space="preserve"> </w:t>
      </w:r>
      <w:proofErr w:type="spellStart"/>
      <w:r w:rsidRPr="002906A3">
        <w:t>Ethics</w:t>
      </w:r>
      <w:proofErr w:type="spellEnd"/>
      <w:r w:rsidRPr="002906A3">
        <w:t>, 26, 737-759.</w:t>
      </w:r>
    </w:p>
    <w:p w14:paraId="01D1D768" w14:textId="63C2EB6A" w:rsidR="001E7189" w:rsidRPr="002906A3" w:rsidRDefault="001E7189">
      <w:pPr>
        <w:pStyle w:val="ListeParagraf"/>
        <w:numPr>
          <w:ilvl w:val="0"/>
          <w:numId w:val="52"/>
        </w:numPr>
      </w:pPr>
      <w:proofErr w:type="spellStart"/>
      <w:r w:rsidRPr="002906A3">
        <w:t>Nasr</w:t>
      </w:r>
      <w:proofErr w:type="spellEnd"/>
      <w:r w:rsidRPr="002906A3">
        <w:t xml:space="preserve">, J. (2021). </w:t>
      </w:r>
      <w:proofErr w:type="spellStart"/>
      <w:r w:rsidRPr="002906A3">
        <w:t>The</w:t>
      </w:r>
      <w:proofErr w:type="spellEnd"/>
      <w:r w:rsidRPr="002906A3">
        <w:t xml:space="preserve"> </w:t>
      </w:r>
      <w:proofErr w:type="spellStart"/>
      <w:r w:rsidRPr="002906A3">
        <w:t>archetype</w:t>
      </w:r>
      <w:proofErr w:type="spellEnd"/>
      <w:r w:rsidRPr="002906A3">
        <w:t xml:space="preserve"> of </w:t>
      </w:r>
      <w:proofErr w:type="spellStart"/>
      <w:r w:rsidRPr="002906A3">
        <w:t>the</w:t>
      </w:r>
      <w:proofErr w:type="spellEnd"/>
      <w:r w:rsidRPr="002906A3">
        <w:t xml:space="preserve"> "mad" </w:t>
      </w:r>
      <w:proofErr w:type="spellStart"/>
      <w:r w:rsidRPr="002906A3">
        <w:t>scientist</w:t>
      </w:r>
      <w:proofErr w:type="spellEnd"/>
      <w:r w:rsidRPr="002906A3">
        <w:t xml:space="preserve">: </w:t>
      </w:r>
      <w:proofErr w:type="spellStart"/>
      <w:r w:rsidRPr="002906A3">
        <w:t>From</w:t>
      </w:r>
      <w:proofErr w:type="spellEnd"/>
      <w:r w:rsidRPr="002906A3">
        <w:t xml:space="preserve"> Frankenstein </w:t>
      </w:r>
      <w:proofErr w:type="spellStart"/>
      <w:r w:rsidRPr="002906A3">
        <w:t>to</w:t>
      </w:r>
      <w:proofErr w:type="spellEnd"/>
      <w:r w:rsidRPr="002906A3">
        <w:t xml:space="preserve"> </w:t>
      </w:r>
      <w:proofErr w:type="spellStart"/>
      <w:r w:rsidRPr="002906A3">
        <w:t>biotechnology</w:t>
      </w:r>
      <w:proofErr w:type="spellEnd"/>
      <w:r w:rsidRPr="002906A3">
        <w:t xml:space="preserve"> </w:t>
      </w:r>
      <w:proofErr w:type="spellStart"/>
      <w:r w:rsidRPr="002906A3">
        <w:t>and</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w:t>
      </w:r>
    </w:p>
    <w:p w14:paraId="6A41720B" w14:textId="77777777" w:rsidR="001E7189" w:rsidRPr="002906A3" w:rsidRDefault="001E7189">
      <w:pPr>
        <w:pStyle w:val="ListeParagraf"/>
        <w:numPr>
          <w:ilvl w:val="0"/>
          <w:numId w:val="52"/>
        </w:numPr>
      </w:pPr>
      <w:proofErr w:type="spellStart"/>
      <w:r w:rsidRPr="002906A3">
        <w:t>Olivier</w:t>
      </w:r>
      <w:proofErr w:type="spellEnd"/>
      <w:r w:rsidRPr="002906A3">
        <w:t xml:space="preserve">, B. (2018). Mary </w:t>
      </w:r>
      <w:proofErr w:type="spellStart"/>
      <w:r w:rsidRPr="002906A3">
        <w:t>Shelley’s</w:t>
      </w:r>
      <w:proofErr w:type="spellEnd"/>
      <w:r w:rsidRPr="002906A3">
        <w:t xml:space="preserve"> Frankenstein </w:t>
      </w:r>
      <w:proofErr w:type="spellStart"/>
      <w:r w:rsidRPr="002906A3">
        <w:t>and</w:t>
      </w:r>
      <w:proofErr w:type="spellEnd"/>
      <w:r w:rsidRPr="002906A3">
        <w:t xml:space="preserve"> </w:t>
      </w:r>
      <w:proofErr w:type="spellStart"/>
      <w:r w:rsidRPr="002906A3">
        <w:t>ecological</w:t>
      </w:r>
      <w:proofErr w:type="spellEnd"/>
      <w:r w:rsidRPr="002906A3">
        <w:t xml:space="preserve"> </w:t>
      </w:r>
      <w:proofErr w:type="spellStart"/>
      <w:r w:rsidRPr="002906A3">
        <w:t>responsibility</w:t>
      </w:r>
      <w:proofErr w:type="spellEnd"/>
      <w:r w:rsidRPr="002906A3">
        <w:t xml:space="preserve">. </w:t>
      </w:r>
      <w:proofErr w:type="spellStart"/>
      <w:r w:rsidRPr="002906A3">
        <w:t>Journal</w:t>
      </w:r>
      <w:proofErr w:type="spellEnd"/>
      <w:r w:rsidRPr="002906A3">
        <w:t xml:space="preserve"> of </w:t>
      </w:r>
      <w:proofErr w:type="spellStart"/>
      <w:r w:rsidRPr="002906A3">
        <w:t>Literary</w:t>
      </w:r>
      <w:proofErr w:type="spellEnd"/>
      <w:r w:rsidRPr="002906A3">
        <w:t xml:space="preserve"> </w:t>
      </w:r>
      <w:proofErr w:type="spellStart"/>
      <w:r w:rsidRPr="002906A3">
        <w:t>Studies</w:t>
      </w:r>
      <w:proofErr w:type="spellEnd"/>
      <w:r w:rsidRPr="002906A3">
        <w:t>, 34(4), 1-25.</w:t>
      </w:r>
    </w:p>
    <w:p w14:paraId="640B3194" w14:textId="73C16AB4" w:rsidR="001E7189" w:rsidRPr="002906A3" w:rsidRDefault="001E7189">
      <w:pPr>
        <w:pStyle w:val="ListeParagraf"/>
        <w:numPr>
          <w:ilvl w:val="0"/>
          <w:numId w:val="52"/>
        </w:numPr>
      </w:pPr>
      <w:proofErr w:type="spellStart"/>
      <w:r w:rsidRPr="002906A3">
        <w:t>Patowary</w:t>
      </w:r>
      <w:proofErr w:type="spellEnd"/>
      <w:r w:rsidRPr="002906A3">
        <w:t xml:space="preserve">, U. (2023).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and</w:t>
      </w:r>
      <w:proofErr w:type="spellEnd"/>
      <w:r w:rsidRPr="002906A3">
        <w:t xml:space="preserve"> Mary </w:t>
      </w:r>
      <w:proofErr w:type="spellStart"/>
      <w:r w:rsidRPr="002906A3">
        <w:t>Shelley's</w:t>
      </w:r>
      <w:proofErr w:type="spellEnd"/>
      <w:r w:rsidRPr="002906A3">
        <w:t xml:space="preserve"> Frankenstein: A </w:t>
      </w:r>
      <w:proofErr w:type="spellStart"/>
      <w:r w:rsidRPr="002906A3">
        <w:t>comparative</w:t>
      </w:r>
      <w:proofErr w:type="spellEnd"/>
      <w:r w:rsidRPr="002906A3">
        <w:t xml:space="preserve"> </w:t>
      </w:r>
      <w:proofErr w:type="spellStart"/>
      <w:r w:rsidRPr="002906A3">
        <w:t>analysis</w:t>
      </w:r>
      <w:proofErr w:type="spellEnd"/>
      <w:r w:rsidRPr="002906A3">
        <w:t xml:space="preserve"> of </w:t>
      </w:r>
      <w:proofErr w:type="spellStart"/>
      <w:r w:rsidRPr="002906A3">
        <w:t>creation</w:t>
      </w:r>
      <w:proofErr w:type="spellEnd"/>
      <w:r w:rsidRPr="002906A3">
        <w:t xml:space="preserve">, </w:t>
      </w:r>
      <w:proofErr w:type="spellStart"/>
      <w:r w:rsidRPr="002906A3">
        <w:t>morality</w:t>
      </w:r>
      <w:proofErr w:type="spellEnd"/>
      <w:r w:rsidRPr="002906A3">
        <w:t xml:space="preserve">, </w:t>
      </w:r>
      <w:proofErr w:type="spellStart"/>
      <w:r w:rsidRPr="002906A3">
        <w:t>and</w:t>
      </w:r>
      <w:proofErr w:type="spellEnd"/>
      <w:r w:rsidRPr="002906A3">
        <w:t xml:space="preserve"> </w:t>
      </w:r>
      <w:proofErr w:type="spellStart"/>
      <w:r w:rsidRPr="002906A3">
        <w:t>responsibility</w:t>
      </w:r>
      <w:proofErr w:type="spellEnd"/>
      <w:r w:rsidRPr="002906A3">
        <w:t xml:space="preserve">. </w:t>
      </w:r>
      <w:proofErr w:type="spellStart"/>
      <w:r w:rsidRPr="002906A3">
        <w:t>Integrated</w:t>
      </w:r>
      <w:proofErr w:type="spellEnd"/>
      <w:r w:rsidRPr="002906A3">
        <w:t xml:space="preserve"> </w:t>
      </w:r>
      <w:proofErr w:type="spellStart"/>
      <w:r w:rsidRPr="002906A3">
        <w:t>Journal</w:t>
      </w:r>
      <w:proofErr w:type="spellEnd"/>
      <w:r w:rsidRPr="002906A3">
        <w:t xml:space="preserve"> </w:t>
      </w:r>
      <w:proofErr w:type="spellStart"/>
      <w:r w:rsidRPr="002906A3">
        <w:t>for</w:t>
      </w:r>
      <w:proofErr w:type="spellEnd"/>
      <w:r w:rsidRPr="002906A3">
        <w:t xml:space="preserve"> </w:t>
      </w:r>
      <w:proofErr w:type="spellStart"/>
      <w:r w:rsidRPr="002906A3">
        <w:t>Research</w:t>
      </w:r>
      <w:proofErr w:type="spellEnd"/>
      <w:r w:rsidRPr="002906A3">
        <w:t xml:space="preserve"> in </w:t>
      </w:r>
      <w:proofErr w:type="spellStart"/>
      <w:r w:rsidRPr="002906A3">
        <w:t>Arts</w:t>
      </w:r>
      <w:proofErr w:type="spellEnd"/>
      <w:r w:rsidRPr="002906A3">
        <w:t xml:space="preserve"> </w:t>
      </w:r>
      <w:proofErr w:type="spellStart"/>
      <w:r w:rsidRPr="002906A3">
        <w:t>and</w:t>
      </w:r>
      <w:proofErr w:type="spellEnd"/>
      <w:r w:rsidRPr="002906A3">
        <w:t xml:space="preserve"> </w:t>
      </w:r>
      <w:proofErr w:type="spellStart"/>
      <w:r w:rsidRPr="002906A3">
        <w:t>Humanities</w:t>
      </w:r>
      <w:proofErr w:type="spellEnd"/>
      <w:r w:rsidRPr="002906A3">
        <w:t>, 3, 121-127.</w:t>
      </w:r>
    </w:p>
    <w:p w14:paraId="0A597EEA" w14:textId="7233C1CF" w:rsidR="001E7189" w:rsidRPr="002906A3" w:rsidRDefault="001E7189">
      <w:pPr>
        <w:pStyle w:val="ListeParagraf"/>
        <w:numPr>
          <w:ilvl w:val="0"/>
          <w:numId w:val="52"/>
        </w:numPr>
      </w:pPr>
      <w:proofErr w:type="spellStart"/>
      <w:r w:rsidRPr="002906A3">
        <w:t>Schmalz</w:t>
      </w:r>
      <w:proofErr w:type="spellEnd"/>
      <w:r w:rsidRPr="002906A3">
        <w:t xml:space="preserve">, R. (2018). </w:t>
      </w:r>
      <w:proofErr w:type="spellStart"/>
      <w:r w:rsidRPr="002906A3">
        <w:t>The</w:t>
      </w:r>
      <w:proofErr w:type="spellEnd"/>
      <w:r w:rsidRPr="002906A3">
        <w:t xml:space="preserve"> </w:t>
      </w:r>
      <w:proofErr w:type="spellStart"/>
      <w:r w:rsidRPr="002906A3">
        <w:t>depiction</w:t>
      </w:r>
      <w:proofErr w:type="spellEnd"/>
      <w:r w:rsidRPr="002906A3">
        <w:t xml:space="preserve"> of </w:t>
      </w:r>
      <w:proofErr w:type="spellStart"/>
      <w:r w:rsidRPr="002906A3">
        <w:t>evil</w:t>
      </w:r>
      <w:proofErr w:type="spellEnd"/>
      <w:r w:rsidRPr="002906A3">
        <w:t xml:space="preserve"> </w:t>
      </w:r>
      <w:proofErr w:type="spellStart"/>
      <w:r w:rsidRPr="002906A3">
        <w:t>from</w:t>
      </w:r>
      <w:proofErr w:type="spellEnd"/>
      <w:r w:rsidRPr="002906A3">
        <w:t xml:space="preserve"> Frankenstein </w:t>
      </w:r>
      <w:proofErr w:type="spellStart"/>
      <w:r w:rsidRPr="002906A3">
        <w:t>to</w:t>
      </w:r>
      <w:proofErr w:type="spellEnd"/>
      <w:r w:rsidRPr="002906A3">
        <w:t xml:space="preserve"> </w:t>
      </w:r>
      <w:proofErr w:type="spellStart"/>
      <w:r w:rsidRPr="002906A3">
        <w:t>artificial</w:t>
      </w:r>
      <w:proofErr w:type="spellEnd"/>
      <w:r w:rsidRPr="002906A3">
        <w:t xml:space="preserve"> </w:t>
      </w:r>
      <w:proofErr w:type="spellStart"/>
      <w:r w:rsidRPr="002906A3">
        <w:t>intelligence</w:t>
      </w:r>
      <w:proofErr w:type="spellEnd"/>
      <w:r w:rsidRPr="002906A3">
        <w:t xml:space="preserve"> (</w:t>
      </w:r>
      <w:proofErr w:type="spellStart"/>
      <w:r w:rsidRPr="002906A3">
        <w:t>Doctoral</w:t>
      </w:r>
      <w:proofErr w:type="spellEnd"/>
      <w:r w:rsidRPr="002906A3">
        <w:t xml:space="preserve"> </w:t>
      </w:r>
      <w:proofErr w:type="spellStart"/>
      <w:r w:rsidRPr="002906A3">
        <w:t>dissertation</w:t>
      </w:r>
      <w:proofErr w:type="spellEnd"/>
      <w:r w:rsidRPr="002906A3">
        <w:t xml:space="preserve">, </w:t>
      </w:r>
      <w:proofErr w:type="spellStart"/>
      <w:r w:rsidRPr="002906A3">
        <w:t>Alpen</w:t>
      </w:r>
      <w:proofErr w:type="spellEnd"/>
      <w:r w:rsidRPr="002906A3">
        <w:t>-Adria-</w:t>
      </w:r>
      <w:proofErr w:type="spellStart"/>
      <w:r w:rsidRPr="002906A3">
        <w:t>Universität</w:t>
      </w:r>
      <w:proofErr w:type="spellEnd"/>
      <w:r w:rsidRPr="002906A3">
        <w:t xml:space="preserve"> </w:t>
      </w:r>
      <w:proofErr w:type="spellStart"/>
      <w:r w:rsidRPr="002906A3">
        <w:t>Klagenfurt</w:t>
      </w:r>
      <w:proofErr w:type="spellEnd"/>
      <w:r w:rsidRPr="002906A3">
        <w:t>).</w:t>
      </w:r>
    </w:p>
    <w:p w14:paraId="45C1D565" w14:textId="226BBECF" w:rsidR="001E7189" w:rsidRPr="002906A3" w:rsidRDefault="001E7189">
      <w:pPr>
        <w:pStyle w:val="ListeParagraf"/>
        <w:numPr>
          <w:ilvl w:val="0"/>
          <w:numId w:val="52"/>
        </w:numPr>
      </w:pPr>
      <w:proofErr w:type="spellStart"/>
      <w:r w:rsidRPr="002906A3">
        <w:t>Shelley</w:t>
      </w:r>
      <w:proofErr w:type="spellEnd"/>
      <w:r w:rsidRPr="002906A3">
        <w:t xml:space="preserve">, M. (2017). Frankenstein: </w:t>
      </w:r>
      <w:proofErr w:type="spellStart"/>
      <w:r w:rsidRPr="002906A3">
        <w:t>Annotated</w:t>
      </w:r>
      <w:proofErr w:type="spellEnd"/>
      <w:r w:rsidRPr="002906A3">
        <w:t xml:space="preserve"> </w:t>
      </w:r>
      <w:proofErr w:type="spellStart"/>
      <w:r w:rsidRPr="002906A3">
        <w:t>for</w:t>
      </w:r>
      <w:proofErr w:type="spellEnd"/>
      <w:r w:rsidRPr="002906A3">
        <w:t xml:space="preserve"> </w:t>
      </w:r>
      <w:proofErr w:type="spellStart"/>
      <w:r w:rsidRPr="002906A3">
        <w:t>scientists</w:t>
      </w:r>
      <w:proofErr w:type="spellEnd"/>
      <w:r w:rsidRPr="002906A3">
        <w:t xml:space="preserve">, </w:t>
      </w:r>
      <w:proofErr w:type="spellStart"/>
      <w:r w:rsidRPr="002906A3">
        <w:t>engineers</w:t>
      </w:r>
      <w:proofErr w:type="spellEnd"/>
      <w:r w:rsidRPr="002906A3">
        <w:t xml:space="preserve">, </w:t>
      </w:r>
      <w:proofErr w:type="spellStart"/>
      <w:r w:rsidRPr="002906A3">
        <w:t>and</w:t>
      </w:r>
      <w:proofErr w:type="spellEnd"/>
      <w:r w:rsidRPr="002906A3">
        <w:t xml:space="preserve"> </w:t>
      </w:r>
      <w:proofErr w:type="spellStart"/>
      <w:r w:rsidRPr="002906A3">
        <w:t>creators</w:t>
      </w:r>
      <w:proofErr w:type="spellEnd"/>
      <w:r w:rsidRPr="002906A3">
        <w:t xml:space="preserve"> of </w:t>
      </w:r>
      <w:proofErr w:type="spellStart"/>
      <w:r w:rsidRPr="002906A3">
        <w:t>all</w:t>
      </w:r>
      <w:proofErr w:type="spellEnd"/>
      <w:r w:rsidRPr="002906A3">
        <w:t xml:space="preserve"> </w:t>
      </w:r>
      <w:proofErr w:type="spellStart"/>
      <w:r w:rsidRPr="002906A3">
        <w:t>kinds</w:t>
      </w:r>
      <w:proofErr w:type="spellEnd"/>
      <w:r w:rsidRPr="002906A3">
        <w:t xml:space="preserve">. MIT </w:t>
      </w:r>
      <w:proofErr w:type="spellStart"/>
      <w:r w:rsidRPr="002906A3">
        <w:t>Press</w:t>
      </w:r>
      <w:proofErr w:type="spellEnd"/>
      <w:r w:rsidRPr="002906A3">
        <w:t>.</w:t>
      </w:r>
    </w:p>
    <w:p w14:paraId="635C1C26" w14:textId="7F53591E" w:rsidR="001E7189" w:rsidRPr="002906A3" w:rsidRDefault="001E7189">
      <w:pPr>
        <w:pStyle w:val="ListeParagraf"/>
        <w:numPr>
          <w:ilvl w:val="0"/>
          <w:numId w:val="52"/>
        </w:numPr>
      </w:pPr>
      <w:r w:rsidRPr="002906A3">
        <w:t xml:space="preserve">Uzun, S. (2024). </w:t>
      </w:r>
      <w:proofErr w:type="spellStart"/>
      <w:r w:rsidRPr="002906A3">
        <w:t>Posthuman</w:t>
      </w:r>
      <w:proofErr w:type="spellEnd"/>
      <w:r w:rsidRPr="002906A3">
        <w:t xml:space="preserve"> </w:t>
      </w:r>
      <w:proofErr w:type="spellStart"/>
      <w:r w:rsidRPr="002906A3">
        <w:t>and</w:t>
      </w:r>
      <w:proofErr w:type="spellEnd"/>
      <w:r w:rsidRPr="002906A3">
        <w:t xml:space="preserve"> </w:t>
      </w:r>
      <w:proofErr w:type="spellStart"/>
      <w:r w:rsidRPr="002906A3">
        <w:t>transhuman</w:t>
      </w:r>
      <w:proofErr w:type="spellEnd"/>
      <w:r w:rsidRPr="002906A3">
        <w:t xml:space="preserve"> </w:t>
      </w:r>
      <w:proofErr w:type="spellStart"/>
      <w:r w:rsidRPr="002906A3">
        <w:t>monstrosities</w:t>
      </w:r>
      <w:proofErr w:type="spellEnd"/>
      <w:r w:rsidRPr="002906A3">
        <w:t xml:space="preserve">: </w:t>
      </w:r>
      <w:proofErr w:type="spellStart"/>
      <w:r w:rsidRPr="002906A3">
        <w:t>The</w:t>
      </w:r>
      <w:proofErr w:type="spellEnd"/>
      <w:r w:rsidRPr="002906A3">
        <w:t xml:space="preserve"> </w:t>
      </w:r>
      <w:proofErr w:type="spellStart"/>
      <w:r w:rsidRPr="002906A3">
        <w:t>ontological</w:t>
      </w:r>
      <w:proofErr w:type="spellEnd"/>
      <w:r w:rsidRPr="002906A3">
        <w:t xml:space="preserve"> </w:t>
      </w:r>
      <w:proofErr w:type="spellStart"/>
      <w:r w:rsidRPr="002906A3">
        <w:t>and</w:t>
      </w:r>
      <w:proofErr w:type="spellEnd"/>
      <w:r w:rsidRPr="002906A3">
        <w:t xml:space="preserve"> </w:t>
      </w:r>
      <w:proofErr w:type="spellStart"/>
      <w:r w:rsidRPr="002906A3">
        <w:t>techno-evolutionary</w:t>
      </w:r>
      <w:proofErr w:type="spellEnd"/>
      <w:r w:rsidRPr="002906A3">
        <w:t xml:space="preserve"> </w:t>
      </w:r>
      <w:proofErr w:type="spellStart"/>
      <w:r w:rsidRPr="002906A3">
        <w:t>journeys</w:t>
      </w:r>
      <w:proofErr w:type="spellEnd"/>
      <w:r w:rsidRPr="002906A3">
        <w:t xml:space="preserve"> of "</w:t>
      </w:r>
      <w:proofErr w:type="spellStart"/>
      <w:r w:rsidRPr="002906A3">
        <w:t>human</w:t>
      </w:r>
      <w:proofErr w:type="spellEnd"/>
      <w:r w:rsidRPr="002906A3">
        <w:t xml:space="preserve">" </w:t>
      </w:r>
      <w:proofErr w:type="spellStart"/>
      <w:r w:rsidRPr="002906A3">
        <w:t>from</w:t>
      </w:r>
      <w:proofErr w:type="spellEnd"/>
      <w:r w:rsidRPr="002906A3">
        <w:t xml:space="preserve"> Mary </w:t>
      </w:r>
      <w:proofErr w:type="spellStart"/>
      <w:r w:rsidRPr="002906A3">
        <w:t>Shelley's</w:t>
      </w:r>
      <w:proofErr w:type="spellEnd"/>
      <w:r w:rsidRPr="002906A3">
        <w:t xml:space="preserve"> Frankenstein; </w:t>
      </w:r>
      <w:proofErr w:type="spellStart"/>
      <w:r w:rsidRPr="002906A3">
        <w:t>or</w:t>
      </w:r>
      <w:proofErr w:type="spellEnd"/>
      <w:r w:rsidRPr="002906A3">
        <w:t xml:space="preserve">, </w:t>
      </w:r>
      <w:proofErr w:type="spellStart"/>
      <w:r w:rsidRPr="002906A3">
        <w:t>the</w:t>
      </w:r>
      <w:proofErr w:type="spellEnd"/>
      <w:r w:rsidRPr="002906A3">
        <w:t xml:space="preserve"> modern Prometheus </w:t>
      </w:r>
      <w:proofErr w:type="spellStart"/>
      <w:r w:rsidRPr="002906A3">
        <w:t>to</w:t>
      </w:r>
      <w:proofErr w:type="spellEnd"/>
      <w:r w:rsidRPr="002906A3">
        <w:t xml:space="preserve"> </w:t>
      </w:r>
      <w:proofErr w:type="spellStart"/>
      <w:r w:rsidRPr="002906A3">
        <w:t>Jeanette</w:t>
      </w:r>
      <w:proofErr w:type="spellEnd"/>
      <w:r w:rsidRPr="002906A3">
        <w:t xml:space="preserve"> </w:t>
      </w:r>
      <w:proofErr w:type="spellStart"/>
      <w:r w:rsidRPr="002906A3">
        <w:t>Winterson's</w:t>
      </w:r>
      <w:proofErr w:type="spellEnd"/>
      <w:r w:rsidRPr="002906A3">
        <w:t xml:space="preserve"> Frankenstein: A </w:t>
      </w:r>
      <w:proofErr w:type="spellStart"/>
      <w:r w:rsidRPr="002906A3">
        <w:t>love</w:t>
      </w:r>
      <w:proofErr w:type="spellEnd"/>
      <w:r w:rsidRPr="002906A3">
        <w:t xml:space="preserve"> </w:t>
      </w:r>
      <w:proofErr w:type="spellStart"/>
      <w:r w:rsidRPr="002906A3">
        <w:t>story</w:t>
      </w:r>
      <w:proofErr w:type="spellEnd"/>
      <w:r w:rsidRPr="002906A3">
        <w:t xml:space="preserve"> (</w:t>
      </w:r>
      <w:proofErr w:type="spellStart"/>
      <w:r w:rsidRPr="002906A3">
        <w:t>Master's</w:t>
      </w:r>
      <w:proofErr w:type="spellEnd"/>
      <w:r w:rsidRPr="002906A3">
        <w:t xml:space="preserve"> </w:t>
      </w:r>
      <w:proofErr w:type="spellStart"/>
      <w:r w:rsidRPr="002906A3">
        <w:t>thesis</w:t>
      </w:r>
      <w:proofErr w:type="spellEnd"/>
      <w:r w:rsidRPr="002906A3">
        <w:t>, Kapadokya Üniversitesi, Lisansüstü Eğitim, Öğretim ve Araştırma Enstitüsü).</w:t>
      </w:r>
    </w:p>
    <w:p w14:paraId="5FB0CFC5" w14:textId="581E77B7" w:rsidR="00C70E93" w:rsidRDefault="001E7189">
      <w:pPr>
        <w:pStyle w:val="ListeParagraf"/>
        <w:numPr>
          <w:ilvl w:val="0"/>
          <w:numId w:val="52"/>
        </w:numPr>
      </w:pPr>
      <w:proofErr w:type="spellStart"/>
      <w:r w:rsidRPr="002906A3">
        <w:t>Vaishnav</w:t>
      </w:r>
      <w:proofErr w:type="spellEnd"/>
      <w:r w:rsidRPr="002906A3">
        <w:t xml:space="preserve">, B. (2021). Mary </w:t>
      </w:r>
      <w:proofErr w:type="spellStart"/>
      <w:r w:rsidRPr="002906A3">
        <w:t>Shelley's</w:t>
      </w:r>
      <w:proofErr w:type="spellEnd"/>
      <w:r w:rsidRPr="002906A3">
        <w:t xml:space="preserve"> Frankenstein-</w:t>
      </w:r>
      <w:proofErr w:type="spellStart"/>
      <w:r w:rsidRPr="002906A3">
        <w:t>inspiration</w:t>
      </w:r>
      <w:proofErr w:type="spellEnd"/>
      <w:r w:rsidRPr="002906A3">
        <w:t xml:space="preserve"> </w:t>
      </w:r>
      <w:proofErr w:type="spellStart"/>
      <w:r w:rsidRPr="002906A3">
        <w:t>and</w:t>
      </w:r>
      <w:proofErr w:type="spellEnd"/>
      <w:r w:rsidRPr="002906A3">
        <w:t xml:space="preserve"> </w:t>
      </w:r>
      <w:proofErr w:type="spellStart"/>
      <w:r w:rsidRPr="002906A3">
        <w:t>continuity</w:t>
      </w:r>
      <w:proofErr w:type="spellEnd"/>
      <w:r w:rsidRPr="002906A3">
        <w:t xml:space="preserve"> of </w:t>
      </w:r>
      <w:proofErr w:type="spellStart"/>
      <w:r w:rsidRPr="002906A3">
        <w:t>the</w:t>
      </w:r>
      <w:proofErr w:type="spellEnd"/>
      <w:r w:rsidRPr="002906A3">
        <w:t xml:space="preserve"> </w:t>
      </w:r>
      <w:proofErr w:type="spellStart"/>
      <w:r w:rsidRPr="002906A3">
        <w:t>depiction</w:t>
      </w:r>
      <w:proofErr w:type="spellEnd"/>
      <w:r w:rsidRPr="002906A3">
        <w:t xml:space="preserve"> of </w:t>
      </w:r>
      <w:proofErr w:type="spellStart"/>
      <w:r w:rsidRPr="002906A3">
        <w:t>the</w:t>
      </w:r>
      <w:proofErr w:type="spellEnd"/>
      <w:r w:rsidRPr="002906A3">
        <w:t xml:space="preserve"> </w:t>
      </w:r>
      <w:proofErr w:type="spellStart"/>
      <w:r w:rsidRPr="002906A3">
        <w:t>conflict</w:t>
      </w:r>
      <w:proofErr w:type="spellEnd"/>
      <w:r w:rsidRPr="002906A3">
        <w:t xml:space="preserve"> </w:t>
      </w:r>
      <w:proofErr w:type="spellStart"/>
      <w:r w:rsidRPr="002906A3">
        <w:t>between</w:t>
      </w:r>
      <w:proofErr w:type="spellEnd"/>
      <w:r w:rsidRPr="002906A3">
        <w:t xml:space="preserve"> </w:t>
      </w:r>
      <w:proofErr w:type="spellStart"/>
      <w:r w:rsidRPr="002906A3">
        <w:t>science</w:t>
      </w:r>
      <w:proofErr w:type="spellEnd"/>
      <w:r w:rsidRPr="002906A3">
        <w:t xml:space="preserve"> </w:t>
      </w:r>
      <w:proofErr w:type="spellStart"/>
      <w:r w:rsidRPr="002906A3">
        <w:t>and</w:t>
      </w:r>
      <w:proofErr w:type="spellEnd"/>
      <w:r w:rsidRPr="002906A3">
        <w:t xml:space="preserve"> </w:t>
      </w:r>
      <w:proofErr w:type="spellStart"/>
      <w:r w:rsidRPr="002906A3">
        <w:t>religion</w:t>
      </w:r>
      <w:proofErr w:type="spellEnd"/>
      <w:r w:rsidRPr="002906A3">
        <w:t xml:space="preserve"> in </w:t>
      </w:r>
      <w:proofErr w:type="spellStart"/>
      <w:r w:rsidRPr="002906A3">
        <w:t>contemporary</w:t>
      </w:r>
      <w:proofErr w:type="spellEnd"/>
      <w:r w:rsidRPr="002906A3">
        <w:t xml:space="preserve"> </w:t>
      </w:r>
      <w:proofErr w:type="spellStart"/>
      <w:r w:rsidRPr="002906A3">
        <w:t>women's</w:t>
      </w:r>
      <w:proofErr w:type="spellEnd"/>
      <w:r w:rsidRPr="002906A3">
        <w:t xml:space="preserve"> </w:t>
      </w:r>
      <w:proofErr w:type="spellStart"/>
      <w:r w:rsidRPr="002906A3">
        <w:t>writing</w:t>
      </w:r>
      <w:proofErr w:type="spellEnd"/>
      <w:r w:rsidRPr="002906A3">
        <w:t xml:space="preserve">. </w:t>
      </w:r>
      <w:proofErr w:type="spellStart"/>
      <w:r w:rsidRPr="002906A3">
        <w:t>Research</w:t>
      </w:r>
      <w:proofErr w:type="spellEnd"/>
      <w:r w:rsidRPr="002906A3">
        <w:t xml:space="preserve"> </w:t>
      </w:r>
      <w:proofErr w:type="spellStart"/>
      <w:r w:rsidRPr="002906A3">
        <w:t>Horizons</w:t>
      </w:r>
      <w:proofErr w:type="spellEnd"/>
      <w:r w:rsidRPr="002906A3">
        <w:t>.</w:t>
      </w:r>
    </w:p>
    <w:p w14:paraId="2CF3AE24" w14:textId="5A9FB6EF" w:rsidR="00BF3875" w:rsidRPr="002906A3" w:rsidRDefault="00C70E93" w:rsidP="00C70E93">
      <w:pPr>
        <w:autoSpaceDE/>
        <w:autoSpaceDN/>
      </w:pPr>
      <w:r>
        <w:br w:type="page"/>
      </w:r>
    </w:p>
    <w:p w14:paraId="308C1130" w14:textId="77777777" w:rsidR="00DE2637" w:rsidRPr="00022F92" w:rsidRDefault="00DE2637" w:rsidP="00DE2637">
      <w:pPr>
        <w:jc w:val="center"/>
        <w:rPr>
          <w:lang w:val="en-US"/>
        </w:rPr>
      </w:pPr>
    </w:p>
    <w:p w14:paraId="087C1A4F" w14:textId="77777777" w:rsidR="00DE2637" w:rsidRPr="00022F92" w:rsidRDefault="00DE2637" w:rsidP="00BA67A6">
      <w:pPr>
        <w:jc w:val="center"/>
        <w:rPr>
          <w:b/>
          <w:bCs/>
          <w:lang w:val="en-US"/>
        </w:rPr>
      </w:pPr>
      <w:r w:rsidRPr="007962F9">
        <w:rPr>
          <w:b/>
          <w:bCs/>
          <w:lang w:val="en-US"/>
        </w:rPr>
        <w:t>C</w:t>
      </w:r>
      <w:r>
        <w:rPr>
          <w:b/>
          <w:bCs/>
          <w:lang w:val="en-US"/>
        </w:rPr>
        <w:t>omparing</w:t>
      </w:r>
      <w:r w:rsidRPr="007962F9">
        <w:rPr>
          <w:b/>
          <w:bCs/>
          <w:lang w:val="en-US"/>
        </w:rPr>
        <w:t xml:space="preserve"> T</w:t>
      </w:r>
      <w:r>
        <w:rPr>
          <w:b/>
          <w:bCs/>
          <w:lang w:val="en-US"/>
        </w:rPr>
        <w:t>he</w:t>
      </w:r>
      <w:r w:rsidRPr="007962F9">
        <w:rPr>
          <w:b/>
          <w:bCs/>
          <w:lang w:val="en-US"/>
        </w:rPr>
        <w:t xml:space="preserve"> E</w:t>
      </w:r>
      <w:r>
        <w:rPr>
          <w:b/>
          <w:bCs/>
          <w:lang w:val="en-US"/>
        </w:rPr>
        <w:t>conomic</w:t>
      </w:r>
      <w:r w:rsidRPr="007962F9">
        <w:rPr>
          <w:b/>
          <w:bCs/>
          <w:lang w:val="en-US"/>
        </w:rPr>
        <w:t xml:space="preserve"> C</w:t>
      </w:r>
      <w:r>
        <w:rPr>
          <w:b/>
          <w:bCs/>
          <w:lang w:val="en-US"/>
        </w:rPr>
        <w:t>ultures</w:t>
      </w:r>
      <w:r w:rsidRPr="007962F9">
        <w:rPr>
          <w:b/>
          <w:bCs/>
          <w:lang w:val="en-US"/>
        </w:rPr>
        <w:t xml:space="preserve"> </w:t>
      </w:r>
      <w:r>
        <w:rPr>
          <w:b/>
          <w:bCs/>
          <w:lang w:val="en-US"/>
        </w:rPr>
        <w:t>of</w:t>
      </w:r>
      <w:r w:rsidRPr="007962F9">
        <w:rPr>
          <w:b/>
          <w:bCs/>
          <w:lang w:val="en-US"/>
        </w:rPr>
        <w:t xml:space="preserve"> T</w:t>
      </w:r>
      <w:r>
        <w:rPr>
          <w:b/>
          <w:bCs/>
          <w:lang w:val="en-US"/>
        </w:rPr>
        <w:t>ürkiye</w:t>
      </w:r>
      <w:r w:rsidRPr="007962F9">
        <w:rPr>
          <w:b/>
          <w:bCs/>
          <w:lang w:val="en-US"/>
        </w:rPr>
        <w:t xml:space="preserve"> </w:t>
      </w:r>
      <w:r>
        <w:rPr>
          <w:b/>
          <w:bCs/>
          <w:lang w:val="en-US"/>
        </w:rPr>
        <w:t>and</w:t>
      </w:r>
      <w:r w:rsidRPr="007962F9">
        <w:rPr>
          <w:b/>
          <w:bCs/>
          <w:lang w:val="en-US"/>
        </w:rPr>
        <w:t xml:space="preserve"> </w:t>
      </w:r>
      <w:r>
        <w:rPr>
          <w:b/>
          <w:bCs/>
          <w:lang w:val="en-US"/>
        </w:rPr>
        <w:t>Iraq</w:t>
      </w:r>
      <w:r w:rsidRPr="007962F9">
        <w:rPr>
          <w:b/>
          <w:bCs/>
          <w:lang w:val="en-US"/>
        </w:rPr>
        <w:t xml:space="preserve"> </w:t>
      </w:r>
    </w:p>
    <w:p w14:paraId="1C0A0133" w14:textId="77777777" w:rsidR="00DE2637" w:rsidRPr="00022F92" w:rsidRDefault="00DE2637" w:rsidP="00BA67A6">
      <w:pPr>
        <w:jc w:val="center"/>
        <w:rPr>
          <w:lang w:val="en-US"/>
        </w:rPr>
      </w:pPr>
    </w:p>
    <w:p w14:paraId="46DCB35B" w14:textId="77777777" w:rsidR="00DE2637" w:rsidRPr="00022F92" w:rsidRDefault="00DE2637" w:rsidP="00BA67A6">
      <w:pPr>
        <w:jc w:val="center"/>
        <w:rPr>
          <w:lang w:val="en-US"/>
        </w:rPr>
      </w:pPr>
      <w:r>
        <w:rPr>
          <w:lang w:val="en-US"/>
        </w:rPr>
        <w:t>Heiko Schuss</w:t>
      </w:r>
    </w:p>
    <w:p w14:paraId="1BD97BE2" w14:textId="77777777" w:rsidR="00DE2637" w:rsidRPr="00022F92" w:rsidRDefault="00DE2637" w:rsidP="00BA67A6">
      <w:pPr>
        <w:jc w:val="center"/>
        <w:rPr>
          <w:lang w:val="en-US"/>
        </w:rPr>
      </w:pPr>
      <w:r w:rsidRPr="007962F9">
        <w:rPr>
          <w:lang w:val="en-US"/>
        </w:rPr>
        <w:t xml:space="preserve">Dr. </w:t>
      </w:r>
      <w:proofErr w:type="spellStart"/>
      <w:r w:rsidRPr="007962F9">
        <w:rPr>
          <w:lang w:val="en-US"/>
        </w:rPr>
        <w:t>Öğr</w:t>
      </w:r>
      <w:proofErr w:type="spellEnd"/>
      <w:r w:rsidRPr="007962F9">
        <w:rPr>
          <w:lang w:val="en-US"/>
        </w:rPr>
        <w:t xml:space="preserve">. </w:t>
      </w:r>
      <w:proofErr w:type="spellStart"/>
      <w:r w:rsidRPr="007962F9">
        <w:rPr>
          <w:lang w:val="en-US"/>
        </w:rPr>
        <w:t>Üyesi</w:t>
      </w:r>
      <w:proofErr w:type="spellEnd"/>
      <w:r w:rsidRPr="00022F92">
        <w:rPr>
          <w:lang w:val="en-US"/>
        </w:rPr>
        <w:t xml:space="preserve">, </w:t>
      </w:r>
      <w:r w:rsidRPr="007962F9">
        <w:rPr>
          <w:lang w:val="en-US"/>
        </w:rPr>
        <w:t>Abdullah Gül University</w:t>
      </w:r>
      <w:r w:rsidRPr="00022F92">
        <w:rPr>
          <w:lang w:val="en-US"/>
        </w:rPr>
        <w:t xml:space="preserve">, Department </w:t>
      </w:r>
      <w:r>
        <w:rPr>
          <w:lang w:val="en-US"/>
        </w:rPr>
        <w:t>of Economics</w:t>
      </w:r>
    </w:p>
    <w:p w14:paraId="01724E12" w14:textId="77777777" w:rsidR="00DE2637" w:rsidRPr="00022F92" w:rsidRDefault="00DE2637" w:rsidP="00BA67A6">
      <w:pPr>
        <w:jc w:val="center"/>
        <w:rPr>
          <w:lang w:val="en-US"/>
        </w:rPr>
      </w:pPr>
      <w:r w:rsidRPr="007962F9">
        <w:rPr>
          <w:lang w:val="en-US"/>
        </w:rPr>
        <w:t>heiko.schuss@agu.edu.tr</w:t>
      </w:r>
    </w:p>
    <w:p w14:paraId="1929A829" w14:textId="77777777" w:rsidR="00DE2637" w:rsidRDefault="00DE2637" w:rsidP="00BA67A6">
      <w:pPr>
        <w:jc w:val="center"/>
        <w:rPr>
          <w:lang w:val="en-US"/>
        </w:rPr>
      </w:pPr>
      <w:proofErr w:type="spellStart"/>
      <w:r w:rsidRPr="00022F92">
        <w:rPr>
          <w:lang w:val="en-US"/>
        </w:rPr>
        <w:t>Orcid</w:t>
      </w:r>
      <w:proofErr w:type="spellEnd"/>
      <w:r w:rsidRPr="00022F92">
        <w:rPr>
          <w:lang w:val="en-US"/>
        </w:rPr>
        <w:t xml:space="preserve"> ID</w:t>
      </w:r>
      <w:r>
        <w:rPr>
          <w:lang w:val="en-US"/>
        </w:rPr>
        <w:t xml:space="preserve"> </w:t>
      </w:r>
      <w:r w:rsidRPr="007962F9">
        <w:rPr>
          <w:lang w:val="en-US"/>
        </w:rPr>
        <w:t>0000-0001-9909-9255</w:t>
      </w:r>
    </w:p>
    <w:p w14:paraId="1B808E7E" w14:textId="77777777" w:rsidR="00DE2637" w:rsidRPr="00022F92" w:rsidRDefault="00DE2637" w:rsidP="00BA67A6">
      <w:pPr>
        <w:jc w:val="both"/>
        <w:rPr>
          <w:lang w:val="en-US"/>
        </w:rPr>
      </w:pPr>
    </w:p>
    <w:p w14:paraId="2DE73E22" w14:textId="77777777" w:rsidR="00DE2637" w:rsidRPr="00022F92" w:rsidRDefault="00DE2637" w:rsidP="00BA67A6">
      <w:pPr>
        <w:jc w:val="center"/>
        <w:rPr>
          <w:b/>
          <w:bCs/>
          <w:lang w:val="en-US"/>
        </w:rPr>
      </w:pPr>
      <w:r>
        <w:rPr>
          <w:b/>
          <w:bCs/>
          <w:lang w:val="en-US"/>
        </w:rPr>
        <w:t>Abstract</w:t>
      </w:r>
    </w:p>
    <w:p w14:paraId="1B476756" w14:textId="77777777" w:rsidR="00DE2637" w:rsidRDefault="00DE2637" w:rsidP="00BA67A6">
      <w:pPr>
        <w:jc w:val="both"/>
        <w:rPr>
          <w:lang w:val="en-US"/>
        </w:rPr>
      </w:pPr>
      <w:r>
        <w:rPr>
          <w:lang w:val="en-US"/>
        </w:rPr>
        <w:t xml:space="preserve">As parts of the Islamic World and via their Ottoman legacy </w:t>
      </w:r>
      <w:r w:rsidRPr="007962F9">
        <w:rPr>
          <w:lang w:val="en-US"/>
        </w:rPr>
        <w:t xml:space="preserve">Türkiye and </w:t>
      </w:r>
      <w:r>
        <w:rPr>
          <w:lang w:val="en-US"/>
        </w:rPr>
        <w:t xml:space="preserve">Iraq share </w:t>
      </w:r>
      <w:r w:rsidRPr="007962F9">
        <w:rPr>
          <w:lang w:val="en-US"/>
        </w:rPr>
        <w:t xml:space="preserve">cultural </w:t>
      </w:r>
      <w:r>
        <w:rPr>
          <w:lang w:val="en-US"/>
        </w:rPr>
        <w:t xml:space="preserve">characteristics which might influence their economies in the long term. Still, after the breakup of the Ottoman Empire the political and economic systems in Türkiye and Iraq developed in very different ways. </w:t>
      </w:r>
      <w:r w:rsidRPr="007962F9">
        <w:rPr>
          <w:lang w:val="en-US"/>
        </w:rPr>
        <w:t xml:space="preserve">This paper </w:t>
      </w:r>
      <w:r>
        <w:rPr>
          <w:lang w:val="en-US"/>
        </w:rPr>
        <w:t>asks</w:t>
      </w:r>
      <w:r w:rsidRPr="007962F9">
        <w:rPr>
          <w:lang w:val="en-US"/>
        </w:rPr>
        <w:t xml:space="preserve"> </w:t>
      </w:r>
      <w:r>
        <w:rPr>
          <w:lang w:val="en-US"/>
        </w:rPr>
        <w:t>how far - after a century full of turmoil –</w:t>
      </w:r>
      <w:r w:rsidRPr="007962F9">
        <w:rPr>
          <w:lang w:val="en-US"/>
        </w:rPr>
        <w:t xml:space="preserve"> </w:t>
      </w:r>
      <w:r>
        <w:rPr>
          <w:lang w:val="en-US"/>
        </w:rPr>
        <w:t xml:space="preserve">the </w:t>
      </w:r>
      <w:r w:rsidRPr="007962F9">
        <w:rPr>
          <w:lang w:val="en-US"/>
        </w:rPr>
        <w:t xml:space="preserve">economic cultures of Türkiye and </w:t>
      </w:r>
      <w:r>
        <w:rPr>
          <w:lang w:val="en-US"/>
        </w:rPr>
        <w:t>Iraq</w:t>
      </w:r>
      <w:r w:rsidRPr="007962F9">
        <w:rPr>
          <w:lang w:val="en-US"/>
        </w:rPr>
        <w:t xml:space="preserve"> </w:t>
      </w:r>
      <w:r>
        <w:rPr>
          <w:lang w:val="en-US"/>
        </w:rPr>
        <w:t>have diverged from each other.</w:t>
      </w:r>
      <w:bookmarkStart w:id="174" w:name="_Hlk191631706"/>
      <w:r w:rsidRPr="007962F9">
        <w:rPr>
          <w:lang w:val="en-US"/>
        </w:rPr>
        <w:t xml:space="preserve"> It uses among else data from Hofstede and </w:t>
      </w:r>
      <w:r>
        <w:rPr>
          <w:lang w:val="en-US"/>
        </w:rPr>
        <w:t xml:space="preserve">of </w:t>
      </w:r>
      <w:r w:rsidRPr="007962F9">
        <w:rPr>
          <w:lang w:val="en-US"/>
        </w:rPr>
        <w:t xml:space="preserve">the last wave of the World Values Survey (WVS). </w:t>
      </w:r>
      <w:proofErr w:type="gramStart"/>
      <w:r w:rsidRPr="007962F9">
        <w:rPr>
          <w:lang w:val="en-US"/>
        </w:rPr>
        <w:t>A</w:t>
      </w:r>
      <w:r>
        <w:rPr>
          <w:lang w:val="en-US"/>
        </w:rPr>
        <w:t xml:space="preserve"> focus</w:t>
      </w:r>
      <w:proofErr w:type="gramEnd"/>
      <w:r>
        <w:rPr>
          <w:lang w:val="en-US"/>
        </w:rPr>
        <w:t xml:space="preserve"> of the study will be to compare the attitudes of the respondents in both countries towards the </w:t>
      </w:r>
      <w:r w:rsidRPr="007962F9">
        <w:rPr>
          <w:lang w:val="en-US"/>
        </w:rPr>
        <w:t>role of the state in the economy</w:t>
      </w:r>
      <w:r>
        <w:rPr>
          <w:lang w:val="en-US"/>
        </w:rPr>
        <w:t>, authoritarian leadership, government property, individual responsibility and competition, all factors influencing the functioning of a market economy</w:t>
      </w:r>
      <w:r w:rsidRPr="007962F9">
        <w:rPr>
          <w:lang w:val="en-US"/>
        </w:rPr>
        <w:t>.</w:t>
      </w:r>
      <w:bookmarkEnd w:id="174"/>
      <w:r w:rsidRPr="007962F9">
        <w:rPr>
          <w:lang w:val="en-US"/>
        </w:rPr>
        <w:t xml:space="preserve"> </w:t>
      </w:r>
      <w:r>
        <w:rPr>
          <w:lang w:val="en-US"/>
        </w:rPr>
        <w:t xml:space="preserve">While Türkiye displays a high level of Power Distance, it is surpassed by the very high level of Power Distance in Iraq. Türkiye has developed over time a moderate level of Individualism, while in Iraq the level of Individualism is low, its culture can be characterized as collectivistic. Both countries have a high level of Uncertainty Avoidance and both are short-term oriented, Iraq more than Türkiye. </w:t>
      </w:r>
      <w:r w:rsidRPr="007962F9">
        <w:rPr>
          <w:lang w:val="en-US"/>
        </w:rPr>
        <w:t xml:space="preserve">In both countries </w:t>
      </w:r>
      <w:proofErr w:type="gramStart"/>
      <w:r>
        <w:rPr>
          <w:lang w:val="en-US"/>
        </w:rPr>
        <w:t>a majority of</w:t>
      </w:r>
      <w:proofErr w:type="gramEnd"/>
      <w:r>
        <w:rPr>
          <w:lang w:val="en-US"/>
        </w:rPr>
        <w:t xml:space="preserve"> the respondents </w:t>
      </w:r>
      <w:proofErr w:type="gramStart"/>
      <w:r>
        <w:rPr>
          <w:lang w:val="en-US"/>
        </w:rPr>
        <w:t>is</w:t>
      </w:r>
      <w:proofErr w:type="gramEnd"/>
      <w:r>
        <w:rPr>
          <w:lang w:val="en-US"/>
        </w:rPr>
        <w:t xml:space="preserve"> in favor of democracy, but they also favor the rule of a strong leader independent from parliament or a rule of experts. These authoritarian attitudes are more pronounced in Iraq than in Türkiye. In both countries respondents wish for more equal incomes and think that a democratic state should tax the rich and subsidize the poor. But interestingly, Iraqi respondents are more in favor of private property and individual responsibility, while they reject the concept of competition as harmful. In Türkiye respondents are moderately in favor of government property, government responsibility and of competition. In summary, Iraq shows a higher level of Power Distance and authoritarian attitudes than Türkiye, but Iraqi respondents show nevertheless a </w:t>
      </w:r>
      <w:r w:rsidRPr="004B2C62">
        <w:rPr>
          <w:lang w:val="en-US"/>
        </w:rPr>
        <w:t xml:space="preserve">more </w:t>
      </w:r>
      <w:r>
        <w:rPr>
          <w:lang w:val="en-US"/>
        </w:rPr>
        <w:t>ambivalent attitude towards the state or government.</w:t>
      </w:r>
    </w:p>
    <w:p w14:paraId="1D53FE93" w14:textId="77777777" w:rsidR="00DE2637" w:rsidRPr="00022F92" w:rsidRDefault="00DE2637" w:rsidP="00BA67A6">
      <w:pPr>
        <w:jc w:val="both"/>
        <w:rPr>
          <w:lang w:val="en-US"/>
        </w:rPr>
      </w:pPr>
    </w:p>
    <w:p w14:paraId="3A5A06F3" w14:textId="590A590A" w:rsidR="00DE2637" w:rsidRDefault="00DE2637" w:rsidP="00BA67A6">
      <w:pPr>
        <w:rPr>
          <w:lang w:val="en-US"/>
        </w:rPr>
      </w:pPr>
      <w:r w:rsidRPr="00022F92">
        <w:rPr>
          <w:b/>
          <w:bCs/>
          <w:lang w:val="en-US"/>
        </w:rPr>
        <w:t>Key</w:t>
      </w:r>
      <w:r w:rsidR="00BA67A6">
        <w:rPr>
          <w:b/>
          <w:bCs/>
          <w:lang w:val="en-US"/>
        </w:rPr>
        <w:t>w</w:t>
      </w:r>
      <w:r w:rsidRPr="00022F92">
        <w:rPr>
          <w:b/>
          <w:bCs/>
          <w:lang w:val="en-US"/>
        </w:rPr>
        <w:t xml:space="preserve">ords: </w:t>
      </w:r>
      <w:r>
        <w:rPr>
          <w:lang w:val="en-US"/>
        </w:rPr>
        <w:t>Economic Culture, Türkiye, Iraq, Power Distance, Democracy</w:t>
      </w:r>
      <w:r w:rsidRPr="00022F92">
        <w:rPr>
          <w:lang w:val="en-US"/>
        </w:rPr>
        <w:t>.</w:t>
      </w:r>
    </w:p>
    <w:p w14:paraId="2AC95EF0" w14:textId="77777777" w:rsidR="00DE2637" w:rsidRPr="00022F92" w:rsidRDefault="00DE2637" w:rsidP="00BA67A6">
      <w:pPr>
        <w:rPr>
          <w:lang w:val="en-US"/>
        </w:rPr>
      </w:pPr>
    </w:p>
    <w:p w14:paraId="0A4BDBAE" w14:textId="77777777" w:rsidR="00DE2637" w:rsidRPr="00022F92" w:rsidRDefault="00DE2637" w:rsidP="00BA67A6">
      <w:pPr>
        <w:jc w:val="both"/>
        <w:rPr>
          <w:b/>
          <w:bCs/>
          <w:lang w:val="en-US"/>
        </w:rPr>
      </w:pPr>
      <w:r>
        <w:rPr>
          <w:b/>
          <w:bCs/>
          <w:lang w:val="en-US"/>
        </w:rPr>
        <w:t>INTRODUCTION</w:t>
      </w:r>
    </w:p>
    <w:p w14:paraId="1B37686C" w14:textId="77777777" w:rsidR="00DE2637" w:rsidRDefault="00DE2637" w:rsidP="00BA67A6">
      <w:pPr>
        <w:jc w:val="both"/>
        <w:rPr>
          <w:lang w:val="en-US"/>
        </w:rPr>
      </w:pPr>
      <w:r w:rsidRPr="002A2506">
        <w:rPr>
          <w:lang w:val="en-US"/>
        </w:rPr>
        <w:t>Türkiye and Iraq share a history and cultural background as central countries of the Islamic World and parts of the Ottoman Empire. But they developed on different paths:</w:t>
      </w:r>
      <w:r>
        <w:rPr>
          <w:lang w:val="en-US"/>
        </w:rPr>
        <w:t xml:space="preserve"> </w:t>
      </w:r>
      <w:r w:rsidRPr="002A2506">
        <w:rPr>
          <w:lang w:val="en-US"/>
        </w:rPr>
        <w:t>Türkiye kept its independence and became a Republic</w:t>
      </w:r>
      <w:r>
        <w:rPr>
          <w:lang w:val="en-US"/>
        </w:rPr>
        <w:t xml:space="preserve"> </w:t>
      </w:r>
      <w:r w:rsidRPr="002A2506">
        <w:rPr>
          <w:lang w:val="en-US"/>
        </w:rPr>
        <w:t>earl</w:t>
      </w:r>
      <w:r>
        <w:rPr>
          <w:lang w:val="en-US"/>
        </w:rPr>
        <w:t>i</w:t>
      </w:r>
      <w:r w:rsidRPr="002A2506">
        <w:rPr>
          <w:lang w:val="en-US"/>
        </w:rPr>
        <w:t>er than Iraq. While Türkiye was characterized in the 1960s/70s by a mixed</w:t>
      </w:r>
      <w:r>
        <w:rPr>
          <w:lang w:val="en-US"/>
        </w:rPr>
        <w:t xml:space="preserve"> economic</w:t>
      </w:r>
      <w:r w:rsidRPr="002A2506">
        <w:rPr>
          <w:lang w:val="en-US"/>
        </w:rPr>
        <w:t xml:space="preserve"> system with a strong leading public sector and an import substitution strategy, since the 1980’s it developed into a market economy relying on the private sector and integrated in global trade</w:t>
      </w:r>
      <w:r>
        <w:rPr>
          <w:lang w:val="en-US"/>
        </w:rPr>
        <w:t xml:space="preserve"> (</w:t>
      </w:r>
      <w:proofErr w:type="spellStart"/>
      <w:r>
        <w:rPr>
          <w:lang w:val="en-US"/>
        </w:rPr>
        <w:t>Adanir</w:t>
      </w:r>
      <w:proofErr w:type="spellEnd"/>
      <w:r>
        <w:rPr>
          <w:lang w:val="en-US"/>
        </w:rPr>
        <w:t>, 1995; Barkey, 1990)</w:t>
      </w:r>
      <w:r w:rsidRPr="002A2506">
        <w:rPr>
          <w:lang w:val="en-US"/>
        </w:rPr>
        <w:t xml:space="preserve">. </w:t>
      </w:r>
    </w:p>
    <w:p w14:paraId="6D675AF7" w14:textId="77777777" w:rsidR="00BA67A6" w:rsidRPr="002A2506" w:rsidRDefault="00BA67A6" w:rsidP="00BA67A6">
      <w:pPr>
        <w:jc w:val="both"/>
        <w:rPr>
          <w:lang w:val="en-US"/>
        </w:rPr>
      </w:pPr>
    </w:p>
    <w:p w14:paraId="37ADB247" w14:textId="77777777" w:rsidR="00DE2637" w:rsidRDefault="00DE2637" w:rsidP="00BA67A6">
      <w:pPr>
        <w:jc w:val="both"/>
        <w:rPr>
          <w:lang w:val="en-US"/>
        </w:rPr>
      </w:pPr>
      <w:r w:rsidRPr="002A2506">
        <w:rPr>
          <w:lang w:val="en-US"/>
        </w:rPr>
        <w:t xml:space="preserve">Iraq became an oil-rentier state </w:t>
      </w:r>
      <w:r>
        <w:rPr>
          <w:lang w:val="en-US"/>
        </w:rPr>
        <w:t xml:space="preserve">(Beck, 2006) </w:t>
      </w:r>
      <w:r w:rsidRPr="002A2506">
        <w:rPr>
          <w:lang w:val="en-US"/>
        </w:rPr>
        <w:t>governed by an authoritarian regime of the Ba’ath Party (1968-2003) and Saddam Hussein (1979-2003). It had a strong state sector, but private enterprises connected to the regime also thrived.</w:t>
      </w:r>
      <w:r>
        <w:rPr>
          <w:lang w:val="en-US"/>
        </w:rPr>
        <w:t xml:space="preserve"> </w:t>
      </w:r>
      <w:r w:rsidRPr="002A2506">
        <w:rPr>
          <w:lang w:val="en-US"/>
        </w:rPr>
        <w:t xml:space="preserve">Later, the Iran-Iraq (1980-88) war put stress on the economy. The unsuccessful invasion of Kuwait 1990, followed by the Second Gulf War </w:t>
      </w:r>
      <w:r w:rsidRPr="002A2506">
        <w:rPr>
          <w:lang w:val="en-US"/>
        </w:rPr>
        <w:lastRenderedPageBreak/>
        <w:t xml:space="preserve">1991 and </w:t>
      </w:r>
      <w:r>
        <w:rPr>
          <w:lang w:val="en-US"/>
        </w:rPr>
        <w:t xml:space="preserve">international </w:t>
      </w:r>
      <w:r w:rsidRPr="002A2506">
        <w:rPr>
          <w:lang w:val="en-US"/>
        </w:rPr>
        <w:t>sanction</w:t>
      </w:r>
      <w:r>
        <w:rPr>
          <w:lang w:val="en-US"/>
        </w:rPr>
        <w:t>s which</w:t>
      </w:r>
      <w:r w:rsidRPr="002A2506">
        <w:rPr>
          <w:lang w:val="en-US"/>
        </w:rPr>
        <w:t xml:space="preserve"> separated Iraq’s economy from global trade and impoverished the country.</w:t>
      </w:r>
      <w:r>
        <w:rPr>
          <w:lang w:val="en-US"/>
        </w:rPr>
        <w:t xml:space="preserve"> </w:t>
      </w:r>
      <w:r w:rsidRPr="002A2506">
        <w:rPr>
          <w:lang w:val="en-US"/>
        </w:rPr>
        <w:t xml:space="preserve">The invasion of the US 2003 led to the fall of the regime of Saddam Hussein. After an upsurge and defeat of Islamic terrorism most of </w:t>
      </w:r>
      <w:proofErr w:type="gramStart"/>
      <w:r w:rsidRPr="002A2506">
        <w:rPr>
          <w:lang w:val="en-US"/>
        </w:rPr>
        <w:t>US</w:t>
      </w:r>
      <w:proofErr w:type="gramEnd"/>
      <w:r w:rsidRPr="002A2506">
        <w:rPr>
          <w:lang w:val="en-US"/>
        </w:rPr>
        <w:t xml:space="preserve"> military retreated in 2020/21. Iraq is ruled by coalition governments built on ethno-religious and </w:t>
      </w:r>
      <w:proofErr w:type="spellStart"/>
      <w:r w:rsidRPr="002A2506">
        <w:rPr>
          <w:lang w:val="en-US"/>
        </w:rPr>
        <w:t>clientelistic</w:t>
      </w:r>
      <w:proofErr w:type="spellEnd"/>
      <w:r w:rsidRPr="002A2506">
        <w:rPr>
          <w:lang w:val="en-US"/>
        </w:rPr>
        <w:t xml:space="preserve"> relations and heavily influenced by Iran</w:t>
      </w:r>
      <w:r>
        <w:rPr>
          <w:lang w:val="en-US"/>
        </w:rPr>
        <w:t>. These events led to a dysfunctional economic system where c</w:t>
      </w:r>
      <w:r w:rsidRPr="002A2506">
        <w:rPr>
          <w:lang w:val="en-US"/>
        </w:rPr>
        <w:t xml:space="preserve">orruption is </w:t>
      </w:r>
      <w:proofErr w:type="gramStart"/>
      <w:r w:rsidRPr="002A2506">
        <w:rPr>
          <w:lang w:val="en-US"/>
        </w:rPr>
        <w:t>wide-spread</w:t>
      </w:r>
      <w:proofErr w:type="gramEnd"/>
      <w:r>
        <w:rPr>
          <w:lang w:val="en-US"/>
        </w:rPr>
        <w:t xml:space="preserve"> (Cammett et al., 2015; </w:t>
      </w:r>
      <w:bookmarkStart w:id="175" w:name="_Hlk191731025"/>
      <w:r>
        <w:rPr>
          <w:lang w:val="en-US"/>
        </w:rPr>
        <w:t>Henry &amp; Springborg, 2010</w:t>
      </w:r>
      <w:bookmarkEnd w:id="175"/>
      <w:r>
        <w:rPr>
          <w:lang w:val="en-US"/>
        </w:rPr>
        <w:t>)</w:t>
      </w:r>
      <w:r w:rsidRPr="002A2506">
        <w:rPr>
          <w:lang w:val="en-US"/>
        </w:rPr>
        <w:t>.</w:t>
      </w:r>
    </w:p>
    <w:p w14:paraId="0534E010" w14:textId="77777777" w:rsidR="00BA67A6" w:rsidRPr="002A2506" w:rsidRDefault="00BA67A6" w:rsidP="00BA67A6">
      <w:pPr>
        <w:jc w:val="both"/>
        <w:rPr>
          <w:lang w:val="en-US"/>
        </w:rPr>
      </w:pPr>
    </w:p>
    <w:p w14:paraId="1D9D2CBB" w14:textId="77777777" w:rsidR="00DE2637" w:rsidRPr="00022F92" w:rsidRDefault="00DE2637" w:rsidP="00BA67A6">
      <w:pPr>
        <w:jc w:val="both"/>
        <w:rPr>
          <w:lang w:val="en-US"/>
        </w:rPr>
      </w:pPr>
      <w:r w:rsidRPr="002A2506">
        <w:rPr>
          <w:lang w:val="en-US"/>
        </w:rPr>
        <w:t xml:space="preserve">Considering these differences, this </w:t>
      </w:r>
      <w:r>
        <w:rPr>
          <w:lang w:val="en-US"/>
        </w:rPr>
        <w:t>paper</w:t>
      </w:r>
      <w:r w:rsidRPr="002A2506">
        <w:rPr>
          <w:lang w:val="en-US"/>
        </w:rPr>
        <w:t xml:space="preserve"> asks how different or similar the economic cultures of Türkiye and Iraq are</w:t>
      </w:r>
      <w:r>
        <w:rPr>
          <w:lang w:val="en-US"/>
        </w:rPr>
        <w:t xml:space="preserve">. </w:t>
      </w:r>
      <w:r w:rsidRPr="002A2506">
        <w:rPr>
          <w:lang w:val="en-US"/>
        </w:rPr>
        <w:t>It uses</w:t>
      </w:r>
      <w:r>
        <w:rPr>
          <w:lang w:val="en-US"/>
        </w:rPr>
        <w:t>,</w:t>
      </w:r>
      <w:r w:rsidRPr="002A2506">
        <w:rPr>
          <w:lang w:val="en-US"/>
        </w:rPr>
        <w:t xml:space="preserve"> </w:t>
      </w:r>
      <w:r>
        <w:rPr>
          <w:lang w:val="en-US"/>
        </w:rPr>
        <w:t>besides secondary literature,</w:t>
      </w:r>
      <w:r w:rsidRPr="002A2506">
        <w:rPr>
          <w:lang w:val="en-US"/>
        </w:rPr>
        <w:t xml:space="preserve"> data from Hofstede</w:t>
      </w:r>
      <w:r>
        <w:rPr>
          <w:lang w:val="en-US"/>
        </w:rPr>
        <w:t>’s research</w:t>
      </w:r>
      <w:r w:rsidRPr="002A2506">
        <w:rPr>
          <w:lang w:val="en-US"/>
        </w:rPr>
        <w:t xml:space="preserve"> and of the last wave of the World Values Survey (WVS). </w:t>
      </w:r>
      <w:proofErr w:type="gramStart"/>
      <w:r w:rsidRPr="002A2506">
        <w:rPr>
          <w:lang w:val="en-US"/>
        </w:rPr>
        <w:t>A focus</w:t>
      </w:r>
      <w:proofErr w:type="gramEnd"/>
      <w:r w:rsidRPr="002A2506">
        <w:rPr>
          <w:lang w:val="en-US"/>
        </w:rPr>
        <w:t xml:space="preserve"> of the study will be to compare the attitudes of the respondents in both countries towards the role of the state in the economy, </w:t>
      </w:r>
      <w:r>
        <w:rPr>
          <w:lang w:val="en-US"/>
        </w:rPr>
        <w:t xml:space="preserve">the </w:t>
      </w:r>
      <w:proofErr w:type="gramStart"/>
      <w:r>
        <w:rPr>
          <w:lang w:val="en-US"/>
        </w:rPr>
        <w:t>type</w:t>
      </w:r>
      <w:proofErr w:type="gramEnd"/>
      <w:r w:rsidRPr="002A2506">
        <w:rPr>
          <w:lang w:val="en-US"/>
        </w:rPr>
        <w:t xml:space="preserve"> leadership</w:t>
      </w:r>
      <w:r>
        <w:rPr>
          <w:lang w:val="en-US"/>
        </w:rPr>
        <w:t xml:space="preserve"> preferred</w:t>
      </w:r>
      <w:r w:rsidRPr="002A2506">
        <w:rPr>
          <w:lang w:val="en-US"/>
        </w:rPr>
        <w:t xml:space="preserve">, government </w:t>
      </w:r>
      <w:r>
        <w:rPr>
          <w:lang w:val="en-US"/>
        </w:rPr>
        <w:t xml:space="preserve">and private </w:t>
      </w:r>
      <w:r w:rsidRPr="002A2506">
        <w:rPr>
          <w:lang w:val="en-US"/>
        </w:rPr>
        <w:t xml:space="preserve">property, </w:t>
      </w:r>
      <w:r>
        <w:rPr>
          <w:lang w:val="en-US"/>
        </w:rPr>
        <w:t xml:space="preserve">government and </w:t>
      </w:r>
      <w:r w:rsidRPr="002A2506">
        <w:rPr>
          <w:lang w:val="en-US"/>
        </w:rPr>
        <w:t>individual responsibility</w:t>
      </w:r>
      <w:r>
        <w:rPr>
          <w:lang w:val="en-US"/>
        </w:rPr>
        <w:t>,</w:t>
      </w:r>
      <w:r w:rsidRPr="002A2506">
        <w:rPr>
          <w:lang w:val="en-US"/>
        </w:rPr>
        <w:t xml:space="preserve"> and </w:t>
      </w:r>
      <w:r>
        <w:rPr>
          <w:lang w:val="en-US"/>
        </w:rPr>
        <w:t xml:space="preserve">the role of </w:t>
      </w:r>
      <w:r w:rsidRPr="002A2506">
        <w:rPr>
          <w:lang w:val="en-US"/>
        </w:rPr>
        <w:t>competition, all factors influencing the functioning of a market economy.</w:t>
      </w:r>
    </w:p>
    <w:p w14:paraId="31C9BABB" w14:textId="77777777" w:rsidR="00DE2637" w:rsidRDefault="00DE2637" w:rsidP="00BA67A6">
      <w:pPr>
        <w:jc w:val="both"/>
        <w:rPr>
          <w:lang w:val="en-US"/>
        </w:rPr>
      </w:pPr>
    </w:p>
    <w:p w14:paraId="230D65A3" w14:textId="77777777" w:rsidR="00DE2637" w:rsidRPr="00287F14" w:rsidRDefault="00DE2637" w:rsidP="00BA67A6">
      <w:pPr>
        <w:pStyle w:val="font8"/>
        <w:spacing w:before="0" w:beforeAutospacing="0" w:after="0" w:afterAutospacing="0"/>
        <w:textAlignment w:val="baseline"/>
        <w:rPr>
          <w:b/>
          <w:color w:val="000000"/>
          <w:bdr w:val="none" w:sz="0" w:space="0" w:color="auto" w:frame="1"/>
        </w:rPr>
      </w:pPr>
      <w:r>
        <w:rPr>
          <w:b/>
          <w:bCs/>
          <w:color w:val="000000"/>
          <w:bdr w:val="none" w:sz="0" w:space="0" w:color="auto" w:frame="1"/>
        </w:rPr>
        <w:t>2</w:t>
      </w:r>
      <w:r w:rsidRPr="00287F14">
        <w:rPr>
          <w:b/>
          <w:bCs/>
          <w:color w:val="000000"/>
          <w:bdr w:val="none" w:sz="0" w:space="0" w:color="auto" w:frame="1"/>
        </w:rPr>
        <w:t>.</w:t>
      </w:r>
      <w:r w:rsidRPr="00287F14">
        <w:rPr>
          <w:b/>
          <w:color w:val="000000"/>
          <w:bdr w:val="none" w:sz="0" w:space="0" w:color="auto" w:frame="1"/>
        </w:rPr>
        <w:t> </w:t>
      </w:r>
      <w:r>
        <w:rPr>
          <w:b/>
          <w:color w:val="000000"/>
          <w:bdr w:val="none" w:sz="0" w:space="0" w:color="auto" w:frame="1"/>
        </w:rPr>
        <w:t>FINDINGS</w:t>
      </w:r>
    </w:p>
    <w:p w14:paraId="5400DF8D"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r>
        <w:rPr>
          <w:color w:val="000000"/>
          <w:bdr w:val="none" w:sz="0" w:space="0" w:color="auto" w:frame="1"/>
        </w:rPr>
        <w:t>To get a first inside into the national cultures in Türkiye and Iraq let us compare both countries with reference to Geert Hofstede’s value dimensions (see table 1).</w:t>
      </w:r>
    </w:p>
    <w:p w14:paraId="408D0D0C" w14:textId="77777777" w:rsidR="00DE2637" w:rsidRPr="00287F14" w:rsidRDefault="00DE2637" w:rsidP="00BA67A6">
      <w:pPr>
        <w:pStyle w:val="font8"/>
        <w:spacing w:before="0" w:beforeAutospacing="0" w:after="0" w:afterAutospacing="0"/>
        <w:textAlignment w:val="baseline"/>
        <w:rPr>
          <w:b/>
          <w:bCs/>
          <w:color w:val="000000"/>
          <w:bdr w:val="none" w:sz="0" w:space="0" w:color="auto" w:frame="1"/>
        </w:rPr>
      </w:pPr>
      <w:r w:rsidRPr="00287F14">
        <w:rPr>
          <w:b/>
          <w:bCs/>
          <w:color w:val="000000"/>
          <w:bdr w:val="none" w:sz="0" w:space="0" w:color="auto" w:frame="1"/>
        </w:rPr>
        <w:t>Tabl</w:t>
      </w:r>
      <w:r>
        <w:rPr>
          <w:b/>
          <w:bCs/>
          <w:color w:val="000000"/>
          <w:bdr w:val="none" w:sz="0" w:space="0" w:color="auto" w:frame="1"/>
        </w:rPr>
        <w:t>e</w:t>
      </w:r>
      <w:r w:rsidRPr="00287F14">
        <w:rPr>
          <w:b/>
          <w:bCs/>
          <w:color w:val="000000"/>
          <w:bdr w:val="none" w:sz="0" w:space="0" w:color="auto" w:frame="1"/>
        </w:rPr>
        <w:t xml:space="preserve"> 1</w:t>
      </w:r>
    </w:p>
    <w:p w14:paraId="7E3A639E" w14:textId="77777777" w:rsidR="00DE2637" w:rsidRPr="00287F14" w:rsidRDefault="00DE2637" w:rsidP="00BA67A6">
      <w:pPr>
        <w:pStyle w:val="font8"/>
        <w:spacing w:before="0" w:beforeAutospacing="0" w:after="0" w:afterAutospacing="0"/>
        <w:textAlignment w:val="baseline"/>
        <w:rPr>
          <w:bCs/>
          <w:color w:val="000000"/>
          <w:bdr w:val="none" w:sz="0" w:space="0" w:color="auto" w:frame="1"/>
        </w:rPr>
      </w:pPr>
      <w:r>
        <w:rPr>
          <w:bCs/>
          <w:color w:val="000000"/>
          <w:bdr w:val="none" w:sz="0" w:space="0" w:color="auto" w:frame="1"/>
        </w:rPr>
        <w:t>Some of Hofstede’s Value Dimensions. Source:</w:t>
      </w:r>
      <w:r w:rsidRPr="006159EF">
        <w:rPr>
          <w:bCs/>
          <w:bdr w:val="none" w:sz="0" w:space="0" w:color="auto" w:frame="1"/>
        </w:rPr>
        <w:t xml:space="preserve"> </w:t>
      </w:r>
      <w:hyperlink r:id="rId209" w:history="1">
        <w:r w:rsidRPr="006159EF">
          <w:rPr>
            <w:rStyle w:val="Kpr"/>
            <w:rFonts w:eastAsiaTheme="majorEastAsia"/>
            <w:bCs/>
            <w:color w:val="auto"/>
            <w:bdr w:val="none" w:sz="0" w:space="0" w:color="auto" w:frame="1"/>
          </w:rPr>
          <w:t>https://www</w:t>
        </w:r>
      </w:hyperlink>
      <w:r w:rsidRPr="006159EF">
        <w:rPr>
          <w:bCs/>
          <w:bdr w:val="none" w:sz="0" w:space="0" w:color="auto" w:frame="1"/>
        </w:rPr>
        <w:t>.th</w:t>
      </w:r>
      <w:r w:rsidRPr="003A393E">
        <w:rPr>
          <w:bCs/>
          <w:bdr w:val="none" w:sz="0" w:space="0" w:color="auto" w:frame="1"/>
        </w:rPr>
        <w:t>ecult</w:t>
      </w:r>
      <w:r w:rsidRPr="00AE5342">
        <w:rPr>
          <w:bCs/>
          <w:color w:val="000000"/>
          <w:bdr w:val="none" w:sz="0" w:space="0" w:color="auto" w:frame="1"/>
        </w:rPr>
        <w:t>urefactor.com</w:t>
      </w:r>
    </w:p>
    <w:tbl>
      <w:tblPr>
        <w:tblStyle w:val="TabloKlavuzu"/>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7"/>
        <w:gridCol w:w="1627"/>
        <w:gridCol w:w="1865"/>
        <w:gridCol w:w="1301"/>
        <w:gridCol w:w="1296"/>
        <w:gridCol w:w="1126"/>
      </w:tblGrid>
      <w:tr w:rsidR="00DE2637" w:rsidRPr="00287F14" w14:paraId="119DD709" w14:textId="77777777" w:rsidTr="0027292C">
        <w:tc>
          <w:tcPr>
            <w:tcW w:w="1928" w:type="dxa"/>
            <w:tcBorders>
              <w:top w:val="single" w:sz="4" w:space="0" w:color="auto"/>
              <w:bottom w:val="single" w:sz="4" w:space="0" w:color="auto"/>
            </w:tcBorders>
          </w:tcPr>
          <w:p w14:paraId="210C9192"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bookmarkStart w:id="176" w:name="_Hlk190783446"/>
          </w:p>
        </w:tc>
        <w:tc>
          <w:tcPr>
            <w:tcW w:w="1744" w:type="dxa"/>
            <w:tcBorders>
              <w:top w:val="single" w:sz="4" w:space="0" w:color="auto"/>
              <w:bottom w:val="single" w:sz="4" w:space="0" w:color="auto"/>
            </w:tcBorders>
          </w:tcPr>
          <w:p w14:paraId="7A395A8A"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Power Distance</w:t>
            </w:r>
          </w:p>
        </w:tc>
        <w:tc>
          <w:tcPr>
            <w:tcW w:w="1946" w:type="dxa"/>
            <w:tcBorders>
              <w:top w:val="single" w:sz="4" w:space="0" w:color="auto"/>
              <w:bottom w:val="single" w:sz="4" w:space="0" w:color="auto"/>
            </w:tcBorders>
          </w:tcPr>
          <w:p w14:paraId="05534B6F"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Individualism</w:t>
            </w:r>
          </w:p>
        </w:tc>
        <w:tc>
          <w:tcPr>
            <w:tcW w:w="1304" w:type="dxa"/>
            <w:tcBorders>
              <w:top w:val="single" w:sz="4" w:space="0" w:color="auto"/>
              <w:bottom w:val="single" w:sz="4" w:space="0" w:color="auto"/>
            </w:tcBorders>
          </w:tcPr>
          <w:p w14:paraId="678198FE"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Uncertainty Avoidance</w:t>
            </w:r>
          </w:p>
        </w:tc>
        <w:tc>
          <w:tcPr>
            <w:tcW w:w="1304" w:type="dxa"/>
            <w:tcBorders>
              <w:top w:val="single" w:sz="4" w:space="0" w:color="auto"/>
              <w:bottom w:val="single" w:sz="4" w:space="0" w:color="auto"/>
            </w:tcBorders>
          </w:tcPr>
          <w:p w14:paraId="71D746E6"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Long Term Orientation</w:t>
            </w:r>
          </w:p>
        </w:tc>
        <w:tc>
          <w:tcPr>
            <w:tcW w:w="1304" w:type="dxa"/>
            <w:tcBorders>
              <w:top w:val="single" w:sz="4" w:space="0" w:color="auto"/>
              <w:bottom w:val="single" w:sz="4" w:space="0" w:color="auto"/>
            </w:tcBorders>
          </w:tcPr>
          <w:p w14:paraId="6AC7E4B5"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p>
        </w:tc>
      </w:tr>
      <w:tr w:rsidR="00DE2637" w:rsidRPr="00287F14" w14:paraId="0F1FCF58" w14:textId="77777777" w:rsidTr="0027292C">
        <w:tc>
          <w:tcPr>
            <w:tcW w:w="1928" w:type="dxa"/>
            <w:tcBorders>
              <w:top w:val="single" w:sz="4" w:space="0" w:color="auto"/>
            </w:tcBorders>
          </w:tcPr>
          <w:p w14:paraId="6F4F41A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Iraq</w:t>
            </w:r>
          </w:p>
        </w:tc>
        <w:tc>
          <w:tcPr>
            <w:tcW w:w="1744" w:type="dxa"/>
            <w:tcBorders>
              <w:top w:val="single" w:sz="4" w:space="0" w:color="auto"/>
            </w:tcBorders>
          </w:tcPr>
          <w:p w14:paraId="4E972F50"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97</w:t>
            </w:r>
          </w:p>
        </w:tc>
        <w:tc>
          <w:tcPr>
            <w:tcW w:w="1946" w:type="dxa"/>
            <w:tcBorders>
              <w:top w:val="single" w:sz="4" w:space="0" w:color="auto"/>
            </w:tcBorders>
          </w:tcPr>
          <w:p w14:paraId="18FEE303"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25</w:t>
            </w:r>
          </w:p>
        </w:tc>
        <w:tc>
          <w:tcPr>
            <w:tcW w:w="1304" w:type="dxa"/>
            <w:tcBorders>
              <w:top w:val="single" w:sz="4" w:space="0" w:color="auto"/>
            </w:tcBorders>
          </w:tcPr>
          <w:p w14:paraId="0557A07E"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96</w:t>
            </w:r>
          </w:p>
        </w:tc>
        <w:tc>
          <w:tcPr>
            <w:tcW w:w="1304" w:type="dxa"/>
            <w:tcBorders>
              <w:top w:val="single" w:sz="4" w:space="0" w:color="auto"/>
            </w:tcBorders>
          </w:tcPr>
          <w:p w14:paraId="0DB4B04F"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11</w:t>
            </w:r>
          </w:p>
        </w:tc>
        <w:tc>
          <w:tcPr>
            <w:tcW w:w="1304" w:type="dxa"/>
            <w:tcBorders>
              <w:top w:val="single" w:sz="4" w:space="0" w:color="auto"/>
            </w:tcBorders>
          </w:tcPr>
          <w:p w14:paraId="67DC7275"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p>
        </w:tc>
      </w:tr>
      <w:tr w:rsidR="00DE2637" w:rsidRPr="00287F14" w14:paraId="660E1D8C" w14:textId="77777777" w:rsidTr="0027292C">
        <w:tc>
          <w:tcPr>
            <w:tcW w:w="1928" w:type="dxa"/>
          </w:tcPr>
          <w:p w14:paraId="52621877"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Türkiye</w:t>
            </w:r>
          </w:p>
        </w:tc>
        <w:tc>
          <w:tcPr>
            <w:tcW w:w="1744" w:type="dxa"/>
          </w:tcPr>
          <w:p w14:paraId="18518199"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66</w:t>
            </w:r>
          </w:p>
        </w:tc>
        <w:tc>
          <w:tcPr>
            <w:tcW w:w="1946" w:type="dxa"/>
          </w:tcPr>
          <w:p w14:paraId="09E5816F"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46</w:t>
            </w:r>
          </w:p>
        </w:tc>
        <w:tc>
          <w:tcPr>
            <w:tcW w:w="1304" w:type="dxa"/>
          </w:tcPr>
          <w:p w14:paraId="44A3314D"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85</w:t>
            </w:r>
          </w:p>
        </w:tc>
        <w:tc>
          <w:tcPr>
            <w:tcW w:w="1304" w:type="dxa"/>
          </w:tcPr>
          <w:p w14:paraId="43A736B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35</w:t>
            </w:r>
          </w:p>
        </w:tc>
        <w:tc>
          <w:tcPr>
            <w:tcW w:w="1304" w:type="dxa"/>
          </w:tcPr>
          <w:p w14:paraId="00EB8306"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p>
        </w:tc>
      </w:tr>
      <w:bookmarkEnd w:id="176"/>
    </w:tbl>
    <w:p w14:paraId="46906FAF"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2E195A20"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There are similarities between both countries. </w:t>
      </w:r>
      <w:r w:rsidRPr="006159EF">
        <w:rPr>
          <w:color w:val="000000"/>
          <w:bdr w:val="none" w:sz="0" w:space="0" w:color="auto" w:frame="1"/>
        </w:rPr>
        <w:t>Iraq and Türkiye display a high level of Power Distance (but Iraq has an extreme high level).</w:t>
      </w:r>
      <w:r>
        <w:rPr>
          <w:color w:val="000000"/>
          <w:bdr w:val="none" w:sz="0" w:space="0" w:color="auto" w:frame="1"/>
        </w:rPr>
        <w:t xml:space="preserve"> </w:t>
      </w:r>
      <w:r w:rsidRPr="006159EF">
        <w:rPr>
          <w:color w:val="000000"/>
          <w:bdr w:val="none" w:sz="0" w:space="0" w:color="auto" w:frame="1"/>
        </w:rPr>
        <w:t xml:space="preserve">They </w:t>
      </w:r>
      <w:r>
        <w:rPr>
          <w:color w:val="000000"/>
          <w:bdr w:val="none" w:sz="0" w:space="0" w:color="auto" w:frame="1"/>
        </w:rPr>
        <w:t xml:space="preserve">are </w:t>
      </w:r>
      <w:r w:rsidRPr="006159EF">
        <w:rPr>
          <w:color w:val="000000"/>
          <w:bdr w:val="none" w:sz="0" w:space="0" w:color="auto" w:frame="1"/>
        </w:rPr>
        <w:t>both rather short-term oriented</w:t>
      </w:r>
      <w:r>
        <w:rPr>
          <w:color w:val="000000"/>
          <w:bdr w:val="none" w:sz="0" w:space="0" w:color="auto" w:frame="1"/>
        </w:rPr>
        <w:t xml:space="preserve"> -</w:t>
      </w:r>
      <w:r w:rsidRPr="006159EF">
        <w:rPr>
          <w:color w:val="000000"/>
          <w:bdr w:val="none" w:sz="0" w:space="0" w:color="auto" w:frame="1"/>
        </w:rPr>
        <w:t xml:space="preserve"> Iraq even more than Türkiye</w:t>
      </w:r>
      <w:r>
        <w:rPr>
          <w:color w:val="000000"/>
          <w:bdr w:val="none" w:sz="0" w:space="0" w:color="auto" w:frame="1"/>
        </w:rPr>
        <w:t xml:space="preserve"> – and uncertainty avoidant.</w:t>
      </w:r>
      <w:r w:rsidRPr="006159EF">
        <w:rPr>
          <w:color w:val="000000"/>
          <w:bdr w:val="none" w:sz="0" w:space="0" w:color="auto" w:frame="1"/>
        </w:rPr>
        <w:t xml:space="preserve"> </w:t>
      </w:r>
      <w:proofErr w:type="spellStart"/>
      <w:r w:rsidRPr="006159EF">
        <w:rPr>
          <w:color w:val="000000"/>
          <w:bdr w:val="none" w:sz="0" w:space="0" w:color="auto" w:frame="1"/>
          <w:lang w:val="tr-TR"/>
        </w:rPr>
        <w:t>The</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most</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obvious</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difference</w:t>
      </w:r>
      <w:proofErr w:type="spellEnd"/>
      <w:r w:rsidRPr="006159EF">
        <w:rPr>
          <w:color w:val="000000"/>
          <w:bdr w:val="none" w:sz="0" w:space="0" w:color="auto" w:frame="1"/>
          <w:lang w:val="tr-TR"/>
        </w:rPr>
        <w:t xml:space="preserve"> is </w:t>
      </w:r>
      <w:proofErr w:type="spellStart"/>
      <w:r w:rsidRPr="006159EF">
        <w:rPr>
          <w:color w:val="000000"/>
          <w:bdr w:val="none" w:sz="0" w:space="0" w:color="auto" w:frame="1"/>
          <w:lang w:val="tr-TR"/>
        </w:rPr>
        <w:t>the</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level</w:t>
      </w:r>
      <w:proofErr w:type="spellEnd"/>
      <w:r w:rsidRPr="006159EF">
        <w:rPr>
          <w:color w:val="000000"/>
          <w:bdr w:val="none" w:sz="0" w:space="0" w:color="auto" w:frame="1"/>
          <w:lang w:val="tr-TR"/>
        </w:rPr>
        <w:t xml:space="preserve"> of </w:t>
      </w:r>
      <w:proofErr w:type="spellStart"/>
      <w:r w:rsidRPr="006159EF">
        <w:rPr>
          <w:color w:val="000000"/>
          <w:bdr w:val="none" w:sz="0" w:space="0" w:color="auto" w:frame="1"/>
          <w:lang w:val="tr-TR"/>
        </w:rPr>
        <w:t>Individualism</w:t>
      </w:r>
      <w:proofErr w:type="spellEnd"/>
      <w:r w:rsidRPr="006159EF">
        <w:rPr>
          <w:color w:val="000000"/>
          <w:bdr w:val="none" w:sz="0" w:space="0" w:color="auto" w:frame="1"/>
          <w:lang w:val="tr-TR"/>
        </w:rPr>
        <w:t xml:space="preserve">: Türkiye </w:t>
      </w:r>
      <w:proofErr w:type="spellStart"/>
      <w:r w:rsidRPr="006159EF">
        <w:rPr>
          <w:color w:val="000000"/>
          <w:bdr w:val="none" w:sz="0" w:space="0" w:color="auto" w:frame="1"/>
          <w:lang w:val="tr-TR"/>
        </w:rPr>
        <w:t>displays</w:t>
      </w:r>
      <w:proofErr w:type="spellEnd"/>
      <w:r w:rsidRPr="006159EF">
        <w:rPr>
          <w:color w:val="000000"/>
          <w:bdr w:val="none" w:sz="0" w:space="0" w:color="auto" w:frame="1"/>
          <w:lang w:val="tr-TR"/>
        </w:rPr>
        <w:t xml:space="preserve"> an </w:t>
      </w:r>
      <w:proofErr w:type="spellStart"/>
      <w:r w:rsidRPr="006159EF">
        <w:rPr>
          <w:color w:val="000000"/>
          <w:bdr w:val="none" w:sz="0" w:space="0" w:color="auto" w:frame="1"/>
          <w:lang w:val="tr-TR"/>
        </w:rPr>
        <w:t>intermediate</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level</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while</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Iraq</w:t>
      </w:r>
      <w:proofErr w:type="spellEnd"/>
      <w:r w:rsidRPr="006159EF">
        <w:rPr>
          <w:color w:val="000000"/>
          <w:bdr w:val="none" w:sz="0" w:space="0" w:color="auto" w:frame="1"/>
          <w:lang w:val="tr-TR"/>
        </w:rPr>
        <w:t xml:space="preserve"> has a </w:t>
      </w:r>
      <w:proofErr w:type="spellStart"/>
      <w:r w:rsidRPr="006159EF">
        <w:rPr>
          <w:color w:val="000000"/>
          <w:bdr w:val="none" w:sz="0" w:space="0" w:color="auto" w:frame="1"/>
          <w:lang w:val="tr-TR"/>
        </w:rPr>
        <w:t>low</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level</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Iraq</w:t>
      </w:r>
      <w:proofErr w:type="spellEnd"/>
      <w:r w:rsidRPr="006159EF">
        <w:rPr>
          <w:color w:val="000000"/>
          <w:bdr w:val="none" w:sz="0" w:space="0" w:color="auto" w:frame="1"/>
          <w:lang w:val="tr-TR"/>
        </w:rPr>
        <w:t xml:space="preserve"> can </w:t>
      </w:r>
      <w:proofErr w:type="spellStart"/>
      <w:r w:rsidRPr="006159EF">
        <w:rPr>
          <w:color w:val="000000"/>
          <w:bdr w:val="none" w:sz="0" w:space="0" w:color="auto" w:frame="1"/>
          <w:lang w:val="tr-TR"/>
        </w:rPr>
        <w:t>therefore</w:t>
      </w:r>
      <w:proofErr w:type="spellEnd"/>
      <w:r w:rsidRPr="006159EF">
        <w:rPr>
          <w:color w:val="000000"/>
          <w:bdr w:val="none" w:sz="0" w:space="0" w:color="auto" w:frame="1"/>
          <w:lang w:val="tr-TR"/>
        </w:rPr>
        <w:t xml:space="preserve"> be </w:t>
      </w:r>
      <w:proofErr w:type="spellStart"/>
      <w:r w:rsidRPr="006159EF">
        <w:rPr>
          <w:color w:val="000000"/>
          <w:bdr w:val="none" w:sz="0" w:space="0" w:color="auto" w:frame="1"/>
          <w:lang w:val="tr-TR"/>
        </w:rPr>
        <w:t>characterized</w:t>
      </w:r>
      <w:proofErr w:type="spellEnd"/>
      <w:r w:rsidRPr="006159EF">
        <w:rPr>
          <w:color w:val="000000"/>
          <w:bdr w:val="none" w:sz="0" w:space="0" w:color="auto" w:frame="1"/>
          <w:lang w:val="tr-TR"/>
        </w:rPr>
        <w:t xml:space="preserve"> as a </w:t>
      </w:r>
      <w:proofErr w:type="spellStart"/>
      <w:r w:rsidRPr="006159EF">
        <w:rPr>
          <w:color w:val="000000"/>
          <w:bdr w:val="none" w:sz="0" w:space="0" w:color="auto" w:frame="1"/>
          <w:lang w:val="tr-TR"/>
        </w:rPr>
        <w:t>collectivistic</w:t>
      </w:r>
      <w:proofErr w:type="spellEnd"/>
      <w:r w:rsidRPr="006159EF">
        <w:rPr>
          <w:color w:val="000000"/>
          <w:bdr w:val="none" w:sz="0" w:space="0" w:color="auto" w:frame="1"/>
          <w:lang w:val="tr-TR"/>
        </w:rPr>
        <w:t xml:space="preserve"> </w:t>
      </w:r>
      <w:proofErr w:type="spellStart"/>
      <w:r w:rsidRPr="006159EF">
        <w:rPr>
          <w:color w:val="000000"/>
          <w:bdr w:val="none" w:sz="0" w:space="0" w:color="auto" w:frame="1"/>
          <w:lang w:val="tr-TR"/>
        </w:rPr>
        <w:t>culture</w:t>
      </w:r>
      <w:proofErr w:type="spellEnd"/>
      <w:r w:rsidRPr="006159EF">
        <w:rPr>
          <w:color w:val="000000"/>
          <w:bdr w:val="none" w:sz="0" w:space="0" w:color="auto" w:frame="1"/>
          <w:lang w:val="tr-TR"/>
        </w:rPr>
        <w:t>.</w:t>
      </w:r>
    </w:p>
    <w:p w14:paraId="1DA35764"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p>
    <w:p w14:paraId="1E5C6209"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r>
        <w:rPr>
          <w:color w:val="000000"/>
          <w:bdr w:val="none" w:sz="0" w:space="0" w:color="auto" w:frame="1"/>
        </w:rPr>
        <w:t>For a more detailed analysis let us refer to some questions asked in the last wave of the World Values Survey (WVS) in 2018. One question (qu. 57) is about generalized trust. In Türkiye 14% of the participants thought that people in general can be trusted. In Iraq the result was 11%. These results are both at the low end of the scale compared to other nations. Low g</w:t>
      </w:r>
      <w:r w:rsidRPr="00A86A6B">
        <w:rPr>
          <w:color w:val="000000"/>
          <w:bdr w:val="none" w:sz="0" w:space="0" w:color="auto" w:frame="1"/>
        </w:rPr>
        <w:t xml:space="preserve">eneralized trust </w:t>
      </w:r>
      <w:r>
        <w:rPr>
          <w:color w:val="000000"/>
          <w:bdr w:val="none" w:sz="0" w:space="0" w:color="auto" w:frame="1"/>
        </w:rPr>
        <w:t xml:space="preserve">between the </w:t>
      </w:r>
      <w:proofErr w:type="gramStart"/>
      <w:r>
        <w:rPr>
          <w:color w:val="000000"/>
          <w:bdr w:val="none" w:sz="0" w:space="0" w:color="auto" w:frame="1"/>
        </w:rPr>
        <w:t>habitants</w:t>
      </w:r>
      <w:proofErr w:type="gramEnd"/>
      <w:r>
        <w:rPr>
          <w:color w:val="000000"/>
          <w:bdr w:val="none" w:sz="0" w:space="0" w:color="auto" w:frame="1"/>
        </w:rPr>
        <w:t xml:space="preserve"> of a country might reduce the amount of voluntary cooperation between citizens and that is harmful for economic activities, for the development of non-governmental organizations, and for democracy in general (Inglehart, 1997)</w:t>
      </w:r>
      <w:r w:rsidRPr="00A86A6B">
        <w:rPr>
          <w:color w:val="000000"/>
          <w:bdr w:val="none" w:sz="0" w:space="0" w:color="auto" w:frame="1"/>
        </w:rPr>
        <w:t>.</w:t>
      </w:r>
      <w:r>
        <w:rPr>
          <w:color w:val="000000"/>
          <w:bdr w:val="none" w:sz="0" w:space="0" w:color="auto" w:frame="1"/>
        </w:rPr>
        <w:t xml:space="preserve"> </w:t>
      </w:r>
    </w:p>
    <w:p w14:paraId="4179AE2D" w14:textId="77777777" w:rsidR="00BA67A6" w:rsidRDefault="00BA67A6" w:rsidP="00BA67A6">
      <w:pPr>
        <w:pStyle w:val="font8"/>
        <w:spacing w:before="0" w:beforeAutospacing="0" w:after="0" w:afterAutospacing="0"/>
        <w:jc w:val="both"/>
        <w:textAlignment w:val="baseline"/>
        <w:rPr>
          <w:color w:val="000000"/>
          <w:bdr w:val="none" w:sz="0" w:space="0" w:color="auto" w:frame="1"/>
        </w:rPr>
      </w:pPr>
    </w:p>
    <w:p w14:paraId="5929AA6A" w14:textId="77777777" w:rsidR="00DE2637" w:rsidRPr="00A203F3" w:rsidRDefault="00DE2637" w:rsidP="00BA67A6">
      <w:pPr>
        <w:pStyle w:val="font8"/>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Political values shape formal institutions and therefore influence the economy. For a functional market </w:t>
      </w:r>
      <w:proofErr w:type="gramStart"/>
      <w:r>
        <w:rPr>
          <w:color w:val="000000"/>
          <w:bdr w:val="none" w:sz="0" w:space="0" w:color="auto" w:frame="1"/>
        </w:rPr>
        <w:t>economy</w:t>
      </w:r>
      <w:proofErr w:type="gramEnd"/>
      <w:r>
        <w:rPr>
          <w:color w:val="000000"/>
          <w:bdr w:val="none" w:sz="0" w:space="0" w:color="auto" w:frame="1"/>
        </w:rPr>
        <w:t xml:space="preserve"> it is important how the state works and how much it intervenes in the economy. Question 238 of the WVS asks participants about their opinion about a democratic system. The results (see table 2) show for both countries support for a democracy, but in Türkiye this support is considerably stronger.</w:t>
      </w:r>
    </w:p>
    <w:p w14:paraId="2E7B98B9"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569EC07B" w14:textId="77777777" w:rsidR="00DE2637" w:rsidRDefault="00DE2637" w:rsidP="00BA67A6">
      <w:pPr>
        <w:pStyle w:val="font8"/>
        <w:spacing w:before="0" w:beforeAutospacing="0" w:after="0" w:afterAutospacing="0"/>
        <w:textAlignment w:val="baseline"/>
        <w:rPr>
          <w:b/>
          <w:bCs/>
          <w:color w:val="000000"/>
          <w:bdr w:val="none" w:sz="0" w:space="0" w:color="auto" w:frame="1"/>
        </w:rPr>
      </w:pPr>
      <w:r>
        <w:rPr>
          <w:b/>
          <w:bCs/>
          <w:color w:val="000000"/>
          <w:bdr w:val="none" w:sz="0" w:space="0" w:color="auto" w:frame="1"/>
        </w:rPr>
        <w:t>Table 2</w:t>
      </w:r>
    </w:p>
    <w:p w14:paraId="234B0F45" w14:textId="77777777" w:rsidR="00DE2637" w:rsidRPr="001E36E0" w:rsidRDefault="00DE2637" w:rsidP="00BA67A6">
      <w:pPr>
        <w:pStyle w:val="font8"/>
        <w:spacing w:before="0" w:beforeAutospacing="0" w:after="0" w:afterAutospacing="0"/>
        <w:textAlignment w:val="baseline"/>
        <w:rPr>
          <w:color w:val="000000"/>
          <w:bdr w:val="none" w:sz="0" w:space="0" w:color="auto" w:frame="1"/>
        </w:rPr>
      </w:pPr>
      <w:r>
        <w:rPr>
          <w:color w:val="000000"/>
          <w:bdr w:val="none" w:sz="0" w:space="0" w:color="auto" w:frame="1"/>
        </w:rPr>
        <w:lastRenderedPageBreak/>
        <w:t xml:space="preserve">WVS, Responses to question 238. “Democratic System”; </w:t>
      </w:r>
      <w:r>
        <w:rPr>
          <w:bCs/>
          <w:color w:val="000000"/>
          <w:bdr w:val="none" w:sz="0" w:space="0" w:color="auto" w:frame="1"/>
        </w:rPr>
        <w:t xml:space="preserve">Source: </w:t>
      </w:r>
      <w:r w:rsidRPr="00985951">
        <w:rPr>
          <w:bCs/>
          <w:color w:val="000000"/>
          <w:bdr w:val="none" w:sz="0" w:space="0" w:color="auto" w:frame="1"/>
        </w:rPr>
        <w:t>https://www.worldvaluessurvey.org</w:t>
      </w:r>
    </w:p>
    <w:tbl>
      <w:tblPr>
        <w:tblStyle w:val="TabloKlavuzu"/>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4"/>
        <w:gridCol w:w="2105"/>
        <w:gridCol w:w="2282"/>
        <w:gridCol w:w="2361"/>
      </w:tblGrid>
      <w:tr w:rsidR="00DE2637" w:rsidRPr="00287F14" w14:paraId="691CC6A3" w14:textId="77777777" w:rsidTr="0027292C">
        <w:tc>
          <w:tcPr>
            <w:tcW w:w="2345" w:type="dxa"/>
            <w:tcBorders>
              <w:top w:val="single" w:sz="4" w:space="0" w:color="auto"/>
              <w:bottom w:val="single" w:sz="4" w:space="0" w:color="auto"/>
            </w:tcBorders>
          </w:tcPr>
          <w:p w14:paraId="119582B7"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p>
        </w:tc>
        <w:tc>
          <w:tcPr>
            <w:tcW w:w="2268" w:type="dxa"/>
            <w:tcBorders>
              <w:top w:val="single" w:sz="4" w:space="0" w:color="auto"/>
              <w:bottom w:val="single" w:sz="4" w:space="0" w:color="auto"/>
            </w:tcBorders>
          </w:tcPr>
          <w:p w14:paraId="2FC4663F" w14:textId="77777777" w:rsidR="00DE2637" w:rsidRDefault="00DE2637" w:rsidP="00BA67A6">
            <w:pPr>
              <w:pStyle w:val="font8"/>
              <w:spacing w:before="0" w:beforeAutospacing="0" w:after="0" w:afterAutospacing="0"/>
              <w:textAlignment w:val="baseline"/>
              <w:rPr>
                <w:b/>
                <w:bCs/>
                <w:color w:val="000000"/>
                <w:sz w:val="20"/>
                <w:szCs w:val="20"/>
                <w:bdr w:val="none" w:sz="0" w:space="0" w:color="auto" w:frame="1"/>
              </w:rPr>
            </w:pPr>
          </w:p>
        </w:tc>
        <w:tc>
          <w:tcPr>
            <w:tcW w:w="2428" w:type="dxa"/>
            <w:tcBorders>
              <w:top w:val="single" w:sz="4" w:space="0" w:color="auto"/>
              <w:bottom w:val="single" w:sz="4" w:space="0" w:color="auto"/>
            </w:tcBorders>
          </w:tcPr>
          <w:p w14:paraId="1C934878"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Iraq</w:t>
            </w:r>
          </w:p>
        </w:tc>
        <w:tc>
          <w:tcPr>
            <w:tcW w:w="2489" w:type="dxa"/>
            <w:tcBorders>
              <w:top w:val="single" w:sz="4" w:space="0" w:color="auto"/>
              <w:bottom w:val="single" w:sz="4" w:space="0" w:color="auto"/>
            </w:tcBorders>
          </w:tcPr>
          <w:p w14:paraId="594FE54E"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Türkiye</w:t>
            </w:r>
          </w:p>
        </w:tc>
      </w:tr>
      <w:tr w:rsidR="00DE2637" w:rsidRPr="00287F14" w14:paraId="311E5D5B" w14:textId="77777777" w:rsidTr="0027292C">
        <w:tc>
          <w:tcPr>
            <w:tcW w:w="2345" w:type="dxa"/>
            <w:tcBorders>
              <w:top w:val="single" w:sz="4" w:space="0" w:color="auto"/>
            </w:tcBorders>
          </w:tcPr>
          <w:p w14:paraId="0FFD4B3C"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Very good</w:t>
            </w:r>
          </w:p>
        </w:tc>
        <w:tc>
          <w:tcPr>
            <w:tcW w:w="2268" w:type="dxa"/>
            <w:tcBorders>
              <w:top w:val="single" w:sz="4" w:space="0" w:color="auto"/>
            </w:tcBorders>
          </w:tcPr>
          <w:p w14:paraId="033C057B"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p>
        </w:tc>
        <w:tc>
          <w:tcPr>
            <w:tcW w:w="2428" w:type="dxa"/>
            <w:tcBorders>
              <w:top w:val="single" w:sz="4" w:space="0" w:color="auto"/>
            </w:tcBorders>
          </w:tcPr>
          <w:p w14:paraId="30AAFA81"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33,2 %</w:t>
            </w:r>
          </w:p>
        </w:tc>
        <w:tc>
          <w:tcPr>
            <w:tcW w:w="2489" w:type="dxa"/>
            <w:tcBorders>
              <w:top w:val="single" w:sz="4" w:space="0" w:color="auto"/>
            </w:tcBorders>
          </w:tcPr>
          <w:p w14:paraId="2A58F0E5"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40,0 %</w:t>
            </w:r>
          </w:p>
        </w:tc>
      </w:tr>
      <w:tr w:rsidR="00DE2637" w:rsidRPr="00287F14" w14:paraId="4D223583" w14:textId="77777777" w:rsidTr="0027292C">
        <w:tc>
          <w:tcPr>
            <w:tcW w:w="2345" w:type="dxa"/>
          </w:tcPr>
          <w:p w14:paraId="74F02F91"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Fairly good</w:t>
            </w:r>
          </w:p>
        </w:tc>
        <w:tc>
          <w:tcPr>
            <w:tcW w:w="2268" w:type="dxa"/>
          </w:tcPr>
          <w:p w14:paraId="3D5DC0C4"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p>
        </w:tc>
        <w:tc>
          <w:tcPr>
            <w:tcW w:w="2428" w:type="dxa"/>
          </w:tcPr>
          <w:p w14:paraId="50B8F90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24,5 %</w:t>
            </w:r>
          </w:p>
        </w:tc>
        <w:tc>
          <w:tcPr>
            <w:tcW w:w="2489" w:type="dxa"/>
          </w:tcPr>
          <w:p w14:paraId="6336ECA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36,7 %</w:t>
            </w:r>
          </w:p>
        </w:tc>
      </w:tr>
    </w:tbl>
    <w:p w14:paraId="346BB0D1"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226B0DAE"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proofErr w:type="gramStart"/>
      <w:r>
        <w:rPr>
          <w:color w:val="000000"/>
          <w:bdr w:val="none" w:sz="0" w:space="0" w:color="auto" w:frame="1"/>
        </w:rPr>
        <w:t>With regard to</w:t>
      </w:r>
      <w:proofErr w:type="gramEnd"/>
      <w:r>
        <w:rPr>
          <w:color w:val="000000"/>
          <w:bdr w:val="none" w:sz="0" w:space="0" w:color="auto" w:frame="1"/>
        </w:rPr>
        <w:t xml:space="preserve"> the high level of power distance in both </w:t>
      </w:r>
      <w:proofErr w:type="gramStart"/>
      <w:r>
        <w:rPr>
          <w:color w:val="000000"/>
          <w:bdr w:val="none" w:sz="0" w:space="0" w:color="auto" w:frame="1"/>
        </w:rPr>
        <w:t>countries</w:t>
      </w:r>
      <w:proofErr w:type="gramEnd"/>
      <w:r>
        <w:rPr>
          <w:color w:val="000000"/>
          <w:bdr w:val="none" w:sz="0" w:space="0" w:color="auto" w:frame="1"/>
        </w:rPr>
        <w:t xml:space="preserve"> the attitude of the people towards authorities is of interest. Question 235 investigated what participants think about a strong leader. While in Türkiye a moderate majority of participants is in favor of a strong leader, in Iraq this concept is embraced by an overwhelming majority (see table 3). This result is interesting </w:t>
      </w:r>
      <w:proofErr w:type="gramStart"/>
      <w:r>
        <w:rPr>
          <w:color w:val="000000"/>
          <w:bdr w:val="none" w:sz="0" w:space="0" w:color="auto" w:frame="1"/>
        </w:rPr>
        <w:t>with regard to</w:t>
      </w:r>
      <w:proofErr w:type="gramEnd"/>
      <w:r>
        <w:rPr>
          <w:color w:val="000000"/>
          <w:bdr w:val="none" w:sz="0" w:space="0" w:color="auto" w:frame="1"/>
        </w:rPr>
        <w:t xml:space="preserve"> the history of Iraq. </w:t>
      </w:r>
      <w:proofErr w:type="gramStart"/>
      <w:r>
        <w:rPr>
          <w:color w:val="000000"/>
          <w:bdr w:val="none" w:sz="0" w:space="0" w:color="auto" w:frame="1"/>
        </w:rPr>
        <w:t>In spite of</w:t>
      </w:r>
      <w:proofErr w:type="gramEnd"/>
      <w:r>
        <w:rPr>
          <w:color w:val="000000"/>
          <w:bdr w:val="none" w:sz="0" w:space="0" w:color="auto" w:frame="1"/>
        </w:rPr>
        <w:t xml:space="preserve"> a majority of the Shiite and Kurdish population having suffered heavily under the dictatorship of Saddam Hussein, that period might have formed a conviction how a functioning state looks like.</w:t>
      </w:r>
    </w:p>
    <w:p w14:paraId="7FF8982F" w14:textId="77777777" w:rsidR="00DE2637" w:rsidRDefault="00DE2637" w:rsidP="00BA67A6">
      <w:pPr>
        <w:pStyle w:val="font8"/>
        <w:spacing w:before="0" w:beforeAutospacing="0" w:after="0" w:afterAutospacing="0"/>
        <w:jc w:val="both"/>
        <w:textAlignment w:val="baseline"/>
        <w:rPr>
          <w:color w:val="000000"/>
          <w:bdr w:val="none" w:sz="0" w:space="0" w:color="auto" w:frame="1"/>
        </w:rPr>
      </w:pPr>
    </w:p>
    <w:p w14:paraId="7EF34A51" w14:textId="77777777" w:rsidR="00DE2637" w:rsidRDefault="00DE2637" w:rsidP="00BA67A6">
      <w:pPr>
        <w:pStyle w:val="font8"/>
        <w:spacing w:before="0" w:beforeAutospacing="0" w:after="0" w:afterAutospacing="0"/>
        <w:textAlignment w:val="baseline"/>
        <w:rPr>
          <w:b/>
          <w:bCs/>
          <w:color w:val="000000"/>
          <w:bdr w:val="none" w:sz="0" w:space="0" w:color="auto" w:frame="1"/>
        </w:rPr>
      </w:pPr>
      <w:r>
        <w:rPr>
          <w:b/>
          <w:bCs/>
          <w:color w:val="000000"/>
          <w:bdr w:val="none" w:sz="0" w:space="0" w:color="auto" w:frame="1"/>
        </w:rPr>
        <w:t>Table 3</w:t>
      </w:r>
    </w:p>
    <w:p w14:paraId="56770062" w14:textId="77777777" w:rsidR="00DE2637" w:rsidRPr="001E36E0" w:rsidRDefault="00DE2637" w:rsidP="00BA67A6">
      <w:pPr>
        <w:pStyle w:val="font8"/>
        <w:spacing w:before="0" w:beforeAutospacing="0" w:after="0" w:afterAutospacing="0"/>
        <w:textAlignment w:val="baseline"/>
        <w:rPr>
          <w:color w:val="000000"/>
          <w:bdr w:val="none" w:sz="0" w:space="0" w:color="auto" w:frame="1"/>
        </w:rPr>
      </w:pPr>
      <w:r>
        <w:rPr>
          <w:color w:val="000000"/>
          <w:bdr w:val="none" w:sz="0" w:space="0" w:color="auto" w:frame="1"/>
        </w:rPr>
        <w:t xml:space="preserve">WVS, Responses to question 235. “Political system: </w:t>
      </w:r>
      <w:r w:rsidRPr="00985951">
        <w:rPr>
          <w:color w:val="000000"/>
          <w:bdr w:val="none" w:sz="0" w:space="0" w:color="auto" w:frame="1"/>
        </w:rPr>
        <w:t>Having a strong leader who does not have to bother with parliament and elections”</w:t>
      </w:r>
      <w:r>
        <w:rPr>
          <w:color w:val="000000"/>
          <w:bdr w:val="none" w:sz="0" w:space="0" w:color="auto" w:frame="1"/>
        </w:rPr>
        <w:t xml:space="preserve">; </w:t>
      </w:r>
      <w:r>
        <w:rPr>
          <w:bCs/>
          <w:color w:val="000000"/>
          <w:bdr w:val="none" w:sz="0" w:space="0" w:color="auto" w:frame="1"/>
        </w:rPr>
        <w:t xml:space="preserve">Source: </w:t>
      </w:r>
      <w:r w:rsidRPr="00985951">
        <w:rPr>
          <w:bCs/>
          <w:color w:val="000000"/>
          <w:bdr w:val="none" w:sz="0" w:space="0" w:color="auto" w:frame="1"/>
        </w:rPr>
        <w:t>https://www.worldvaluessurvey.org</w:t>
      </w:r>
    </w:p>
    <w:tbl>
      <w:tblPr>
        <w:tblStyle w:val="TabloKlavuzu"/>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7"/>
        <w:gridCol w:w="3008"/>
        <w:gridCol w:w="3037"/>
      </w:tblGrid>
      <w:tr w:rsidR="00DE2637" w:rsidRPr="00287F14" w14:paraId="6AB51A83" w14:textId="77777777" w:rsidTr="0027292C">
        <w:tc>
          <w:tcPr>
            <w:tcW w:w="3104" w:type="dxa"/>
            <w:tcBorders>
              <w:top w:val="single" w:sz="4" w:space="0" w:color="auto"/>
              <w:bottom w:val="single" w:sz="4" w:space="0" w:color="auto"/>
            </w:tcBorders>
          </w:tcPr>
          <w:p w14:paraId="2E568C4A"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p>
        </w:tc>
        <w:tc>
          <w:tcPr>
            <w:tcW w:w="3209" w:type="dxa"/>
            <w:tcBorders>
              <w:top w:val="single" w:sz="4" w:space="0" w:color="auto"/>
              <w:bottom w:val="single" w:sz="4" w:space="0" w:color="auto"/>
            </w:tcBorders>
          </w:tcPr>
          <w:p w14:paraId="4950C0CF"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Iraq</w:t>
            </w:r>
          </w:p>
        </w:tc>
        <w:tc>
          <w:tcPr>
            <w:tcW w:w="3217" w:type="dxa"/>
            <w:tcBorders>
              <w:top w:val="single" w:sz="4" w:space="0" w:color="auto"/>
              <w:bottom w:val="single" w:sz="4" w:space="0" w:color="auto"/>
            </w:tcBorders>
          </w:tcPr>
          <w:p w14:paraId="3A019B71"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Türkiye</w:t>
            </w:r>
          </w:p>
        </w:tc>
      </w:tr>
      <w:tr w:rsidR="00DE2637" w:rsidRPr="00287F14" w14:paraId="5146FDC1" w14:textId="77777777" w:rsidTr="0027292C">
        <w:tc>
          <w:tcPr>
            <w:tcW w:w="3104" w:type="dxa"/>
            <w:tcBorders>
              <w:top w:val="single" w:sz="4" w:space="0" w:color="auto"/>
            </w:tcBorders>
          </w:tcPr>
          <w:p w14:paraId="40C6F2F9"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Very good</w:t>
            </w:r>
          </w:p>
        </w:tc>
        <w:tc>
          <w:tcPr>
            <w:tcW w:w="3209" w:type="dxa"/>
            <w:tcBorders>
              <w:top w:val="single" w:sz="4" w:space="0" w:color="auto"/>
            </w:tcBorders>
          </w:tcPr>
          <w:p w14:paraId="2B641D10"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45,1 %</w:t>
            </w:r>
          </w:p>
        </w:tc>
        <w:tc>
          <w:tcPr>
            <w:tcW w:w="3217" w:type="dxa"/>
            <w:tcBorders>
              <w:top w:val="single" w:sz="4" w:space="0" w:color="auto"/>
            </w:tcBorders>
          </w:tcPr>
          <w:p w14:paraId="3ABBCA27"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14,5 %</w:t>
            </w:r>
          </w:p>
        </w:tc>
      </w:tr>
      <w:tr w:rsidR="00DE2637" w:rsidRPr="00287F14" w14:paraId="150E95BE" w14:textId="77777777" w:rsidTr="0027292C">
        <w:tc>
          <w:tcPr>
            <w:tcW w:w="3104" w:type="dxa"/>
          </w:tcPr>
          <w:p w14:paraId="2B81A8CF"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Fairly good</w:t>
            </w:r>
          </w:p>
        </w:tc>
        <w:tc>
          <w:tcPr>
            <w:tcW w:w="3209" w:type="dxa"/>
          </w:tcPr>
          <w:p w14:paraId="2835E2E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21,3 %</w:t>
            </w:r>
          </w:p>
        </w:tc>
        <w:tc>
          <w:tcPr>
            <w:tcW w:w="3217" w:type="dxa"/>
          </w:tcPr>
          <w:p w14:paraId="364F236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34,9 %</w:t>
            </w:r>
          </w:p>
        </w:tc>
      </w:tr>
      <w:tr w:rsidR="00DE2637" w:rsidRPr="00287F14" w14:paraId="738B6FB9" w14:textId="77777777" w:rsidTr="0027292C">
        <w:tc>
          <w:tcPr>
            <w:tcW w:w="3104" w:type="dxa"/>
          </w:tcPr>
          <w:p w14:paraId="6B9353A4"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Fairly bad</w:t>
            </w:r>
          </w:p>
        </w:tc>
        <w:tc>
          <w:tcPr>
            <w:tcW w:w="3209" w:type="dxa"/>
          </w:tcPr>
          <w:p w14:paraId="0DFCAE92"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18,2 %</w:t>
            </w:r>
          </w:p>
        </w:tc>
        <w:tc>
          <w:tcPr>
            <w:tcW w:w="3217" w:type="dxa"/>
          </w:tcPr>
          <w:p w14:paraId="31C1D169"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26,5 %</w:t>
            </w:r>
          </w:p>
        </w:tc>
      </w:tr>
      <w:tr w:rsidR="00DE2637" w:rsidRPr="00287F14" w14:paraId="5B3BD67D" w14:textId="77777777" w:rsidTr="0027292C">
        <w:tc>
          <w:tcPr>
            <w:tcW w:w="3104" w:type="dxa"/>
          </w:tcPr>
          <w:p w14:paraId="474A1075"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Very bad</w:t>
            </w:r>
          </w:p>
        </w:tc>
        <w:tc>
          <w:tcPr>
            <w:tcW w:w="3209" w:type="dxa"/>
          </w:tcPr>
          <w:p w14:paraId="7F6622E7"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13,2 %</w:t>
            </w:r>
          </w:p>
        </w:tc>
        <w:tc>
          <w:tcPr>
            <w:tcW w:w="3217" w:type="dxa"/>
          </w:tcPr>
          <w:p w14:paraId="0C560649"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12,6 %</w:t>
            </w:r>
          </w:p>
        </w:tc>
      </w:tr>
    </w:tbl>
    <w:p w14:paraId="21A06D8D"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22978288" w14:textId="77777777" w:rsidR="00DE2637" w:rsidRPr="003439B7" w:rsidRDefault="00DE2637" w:rsidP="00BA67A6">
      <w:pPr>
        <w:rPr>
          <w:color w:val="000000"/>
          <w:bdr w:val="none" w:sz="0" w:space="0" w:color="auto" w:frame="1"/>
        </w:rPr>
      </w:pPr>
      <w:r w:rsidRPr="003439B7">
        <w:rPr>
          <w:color w:val="000000"/>
          <w:bdr w:val="none" w:sz="0" w:space="0" w:color="auto" w:frame="1"/>
          <w:lang w:val="en-US"/>
        </w:rPr>
        <w:t xml:space="preserve">Another kind of authorities are experts. In both countries </w:t>
      </w:r>
      <w:proofErr w:type="gramStart"/>
      <w:r w:rsidRPr="003439B7">
        <w:rPr>
          <w:color w:val="000000"/>
          <w:bdr w:val="none" w:sz="0" w:space="0" w:color="auto" w:frame="1"/>
          <w:lang w:val="en-US"/>
        </w:rPr>
        <w:t>a majority of</w:t>
      </w:r>
      <w:proofErr w:type="gramEnd"/>
      <w:r w:rsidRPr="003439B7">
        <w:rPr>
          <w:color w:val="000000"/>
          <w:bdr w:val="none" w:sz="0" w:space="0" w:color="auto" w:frame="1"/>
          <w:lang w:val="en-US"/>
        </w:rPr>
        <w:t xml:space="preserve"> participants </w:t>
      </w:r>
      <w:r>
        <w:rPr>
          <w:color w:val="000000"/>
          <w:bdr w:val="none" w:sz="0" w:space="0" w:color="auto" w:frame="1"/>
          <w:lang w:val="en-US"/>
        </w:rPr>
        <w:t xml:space="preserve">also </w:t>
      </w:r>
      <w:proofErr w:type="gramStart"/>
      <w:r w:rsidRPr="003439B7">
        <w:rPr>
          <w:color w:val="000000"/>
          <w:bdr w:val="none" w:sz="0" w:space="0" w:color="auto" w:frame="1"/>
          <w:lang w:val="en-US"/>
        </w:rPr>
        <w:t>support</w:t>
      </w:r>
      <w:r>
        <w:rPr>
          <w:color w:val="000000"/>
          <w:bdr w:val="none" w:sz="0" w:space="0" w:color="auto" w:frame="1"/>
          <w:lang w:val="en-US"/>
        </w:rPr>
        <w:t>s</w:t>
      </w:r>
      <w:proofErr w:type="gramEnd"/>
      <w:r w:rsidRPr="003439B7">
        <w:rPr>
          <w:color w:val="000000"/>
          <w:bdr w:val="none" w:sz="0" w:space="0" w:color="auto" w:frame="1"/>
        </w:rPr>
        <w:t xml:space="preserve"> a </w:t>
      </w:r>
      <w:proofErr w:type="spellStart"/>
      <w:r w:rsidRPr="003439B7">
        <w:rPr>
          <w:color w:val="000000"/>
          <w:bdr w:val="none" w:sz="0" w:space="0" w:color="auto" w:frame="1"/>
        </w:rPr>
        <w:t>political</w:t>
      </w:r>
      <w:proofErr w:type="spellEnd"/>
      <w:r w:rsidRPr="003439B7">
        <w:rPr>
          <w:color w:val="000000"/>
          <w:bdr w:val="none" w:sz="0" w:space="0" w:color="auto" w:frame="1"/>
        </w:rPr>
        <w:t xml:space="preserve"> </w:t>
      </w:r>
      <w:proofErr w:type="spellStart"/>
      <w:r w:rsidRPr="003439B7">
        <w:rPr>
          <w:color w:val="000000"/>
          <w:bdr w:val="none" w:sz="0" w:space="0" w:color="auto" w:frame="1"/>
        </w:rPr>
        <w:t>system</w:t>
      </w:r>
      <w:proofErr w:type="spellEnd"/>
      <w:r w:rsidRPr="003439B7">
        <w:rPr>
          <w:color w:val="000000"/>
          <w:bdr w:val="none" w:sz="0" w:space="0" w:color="auto" w:frame="1"/>
        </w:rPr>
        <w:t xml:space="preserve"> </w:t>
      </w:r>
      <w:proofErr w:type="spellStart"/>
      <w:r w:rsidRPr="003439B7">
        <w:rPr>
          <w:color w:val="000000"/>
          <w:bdr w:val="none" w:sz="0" w:space="0" w:color="auto" w:frame="1"/>
        </w:rPr>
        <w:t>where</w:t>
      </w:r>
      <w:proofErr w:type="spellEnd"/>
      <w:r w:rsidRPr="003439B7">
        <w:rPr>
          <w:color w:val="000000"/>
          <w:bdr w:val="none" w:sz="0" w:space="0" w:color="auto" w:frame="1"/>
        </w:rPr>
        <w:t xml:space="preserve"> </w:t>
      </w:r>
      <w:proofErr w:type="spellStart"/>
      <w:r w:rsidRPr="003439B7">
        <w:rPr>
          <w:color w:val="000000"/>
          <w:bdr w:val="none" w:sz="0" w:space="0" w:color="auto" w:frame="1"/>
        </w:rPr>
        <w:t>experts</w:t>
      </w:r>
      <w:proofErr w:type="spellEnd"/>
      <w:r w:rsidRPr="003439B7">
        <w:rPr>
          <w:color w:val="000000"/>
          <w:bdr w:val="none" w:sz="0" w:space="0" w:color="auto" w:frame="1"/>
        </w:rPr>
        <w:t xml:space="preserve"> </w:t>
      </w:r>
      <w:proofErr w:type="spellStart"/>
      <w:r w:rsidRPr="003439B7">
        <w:rPr>
          <w:color w:val="000000"/>
          <w:bdr w:val="none" w:sz="0" w:space="0" w:color="auto" w:frame="1"/>
        </w:rPr>
        <w:t>and</w:t>
      </w:r>
      <w:proofErr w:type="spellEnd"/>
      <w:r w:rsidRPr="003439B7">
        <w:rPr>
          <w:color w:val="000000"/>
          <w:bdr w:val="none" w:sz="0" w:space="0" w:color="auto" w:frame="1"/>
        </w:rPr>
        <w:t xml:space="preserve"> not </w:t>
      </w:r>
      <w:proofErr w:type="spellStart"/>
      <w:r w:rsidRPr="003439B7">
        <w:rPr>
          <w:color w:val="000000"/>
          <w:bdr w:val="none" w:sz="0" w:space="0" w:color="auto" w:frame="1"/>
        </w:rPr>
        <w:t>the</w:t>
      </w:r>
      <w:proofErr w:type="spellEnd"/>
      <w:r w:rsidRPr="003439B7">
        <w:rPr>
          <w:color w:val="000000"/>
          <w:bdr w:val="none" w:sz="0" w:space="0" w:color="auto" w:frame="1"/>
        </w:rPr>
        <w:t xml:space="preserve"> </w:t>
      </w:r>
      <w:proofErr w:type="spellStart"/>
      <w:r w:rsidRPr="003439B7">
        <w:rPr>
          <w:color w:val="000000"/>
          <w:bdr w:val="none" w:sz="0" w:space="0" w:color="auto" w:frame="1"/>
        </w:rPr>
        <w:t>government</w:t>
      </w:r>
      <w:proofErr w:type="spellEnd"/>
      <w:r w:rsidRPr="003439B7">
        <w:rPr>
          <w:color w:val="000000"/>
          <w:bdr w:val="none" w:sz="0" w:space="0" w:color="auto" w:frame="1"/>
        </w:rPr>
        <w:t xml:space="preserve"> </w:t>
      </w:r>
      <w:proofErr w:type="spellStart"/>
      <w:r w:rsidRPr="003439B7">
        <w:rPr>
          <w:color w:val="000000"/>
          <w:bdr w:val="none" w:sz="0" w:space="0" w:color="auto" w:frame="1"/>
        </w:rPr>
        <w:t>make</w:t>
      </w:r>
      <w:proofErr w:type="spellEnd"/>
      <w:r w:rsidRPr="003439B7">
        <w:rPr>
          <w:color w:val="000000"/>
          <w:bdr w:val="none" w:sz="0" w:space="0" w:color="auto" w:frame="1"/>
        </w:rPr>
        <w:t xml:space="preserve"> </w:t>
      </w:r>
      <w:proofErr w:type="spellStart"/>
      <w:r w:rsidRPr="003439B7">
        <w:rPr>
          <w:color w:val="000000"/>
          <w:bdr w:val="none" w:sz="0" w:space="0" w:color="auto" w:frame="1"/>
        </w:rPr>
        <w:t>decisions</w:t>
      </w:r>
      <w:proofErr w:type="spellEnd"/>
      <w:r w:rsidRPr="003439B7">
        <w:rPr>
          <w:color w:val="000000"/>
          <w:bdr w:val="none" w:sz="0" w:space="0" w:color="auto" w:frame="1"/>
        </w:rPr>
        <w:t xml:space="preserve"> (</w:t>
      </w:r>
      <w:proofErr w:type="spellStart"/>
      <w:r w:rsidRPr="003439B7">
        <w:rPr>
          <w:color w:val="000000"/>
          <w:bdr w:val="none" w:sz="0" w:space="0" w:color="auto" w:frame="1"/>
        </w:rPr>
        <w:t>see</w:t>
      </w:r>
      <w:proofErr w:type="spellEnd"/>
      <w:r w:rsidRPr="003439B7">
        <w:rPr>
          <w:color w:val="000000"/>
          <w:bdr w:val="none" w:sz="0" w:space="0" w:color="auto" w:frame="1"/>
        </w:rPr>
        <w:t xml:space="preserve"> </w:t>
      </w:r>
      <w:proofErr w:type="spellStart"/>
      <w:r w:rsidRPr="003439B7">
        <w:rPr>
          <w:color w:val="000000"/>
          <w:bdr w:val="none" w:sz="0" w:space="0" w:color="auto" w:frame="1"/>
        </w:rPr>
        <w:t>table</w:t>
      </w:r>
      <w:proofErr w:type="spellEnd"/>
      <w:r w:rsidRPr="003439B7">
        <w:rPr>
          <w:color w:val="000000"/>
          <w:bdr w:val="none" w:sz="0" w:space="0" w:color="auto" w:frame="1"/>
        </w:rPr>
        <w:t xml:space="preserve"> 4). </w:t>
      </w:r>
    </w:p>
    <w:p w14:paraId="297759C0"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62BAD305" w14:textId="77777777" w:rsidR="00DE2637" w:rsidRDefault="00DE2637" w:rsidP="00BA67A6">
      <w:pPr>
        <w:pStyle w:val="font8"/>
        <w:spacing w:before="0" w:beforeAutospacing="0" w:after="0" w:afterAutospacing="0"/>
        <w:textAlignment w:val="baseline"/>
        <w:rPr>
          <w:b/>
          <w:bCs/>
          <w:color w:val="000000"/>
          <w:bdr w:val="none" w:sz="0" w:space="0" w:color="auto" w:frame="1"/>
        </w:rPr>
      </w:pPr>
      <w:r>
        <w:rPr>
          <w:b/>
          <w:bCs/>
          <w:color w:val="000000"/>
          <w:bdr w:val="none" w:sz="0" w:space="0" w:color="auto" w:frame="1"/>
        </w:rPr>
        <w:t>Table 4</w:t>
      </w:r>
    </w:p>
    <w:p w14:paraId="343E5077" w14:textId="77777777" w:rsidR="00DE2637" w:rsidRPr="001E36E0" w:rsidRDefault="00DE2637" w:rsidP="00BA67A6">
      <w:pPr>
        <w:pStyle w:val="font8"/>
        <w:spacing w:before="0" w:beforeAutospacing="0" w:after="0" w:afterAutospacing="0"/>
        <w:textAlignment w:val="baseline"/>
        <w:rPr>
          <w:color w:val="000000"/>
          <w:bdr w:val="none" w:sz="0" w:space="0" w:color="auto" w:frame="1"/>
        </w:rPr>
      </w:pPr>
      <w:r>
        <w:rPr>
          <w:color w:val="000000"/>
          <w:bdr w:val="none" w:sz="0" w:space="0" w:color="auto" w:frame="1"/>
        </w:rPr>
        <w:t xml:space="preserve">WVS, Responses to question 236. “Political system: </w:t>
      </w:r>
      <w:r w:rsidRPr="00985951">
        <w:rPr>
          <w:color w:val="000000"/>
          <w:bdr w:val="none" w:sz="0" w:space="0" w:color="auto" w:frame="1"/>
        </w:rPr>
        <w:t xml:space="preserve">Having </w:t>
      </w:r>
      <w:r>
        <w:rPr>
          <w:color w:val="000000"/>
          <w:bdr w:val="none" w:sz="0" w:space="0" w:color="auto" w:frame="1"/>
        </w:rPr>
        <w:t>experts, not government, make decisions ….</w:t>
      </w:r>
      <w:r w:rsidRPr="00985951">
        <w:rPr>
          <w:color w:val="000000"/>
          <w:bdr w:val="none" w:sz="0" w:space="0" w:color="auto" w:frame="1"/>
        </w:rPr>
        <w:t>”</w:t>
      </w:r>
      <w:r>
        <w:rPr>
          <w:color w:val="000000"/>
          <w:bdr w:val="none" w:sz="0" w:space="0" w:color="auto" w:frame="1"/>
        </w:rPr>
        <w:t xml:space="preserve">; </w:t>
      </w:r>
      <w:r>
        <w:rPr>
          <w:bCs/>
          <w:color w:val="000000"/>
          <w:bdr w:val="none" w:sz="0" w:space="0" w:color="auto" w:frame="1"/>
        </w:rPr>
        <w:t xml:space="preserve">Source: </w:t>
      </w:r>
      <w:r w:rsidRPr="00985951">
        <w:rPr>
          <w:bCs/>
          <w:color w:val="000000"/>
          <w:bdr w:val="none" w:sz="0" w:space="0" w:color="auto" w:frame="1"/>
        </w:rPr>
        <w:t>https://www.worldvaluessurvey.org</w:t>
      </w:r>
    </w:p>
    <w:tbl>
      <w:tblPr>
        <w:tblStyle w:val="TabloKlavuzu"/>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7"/>
        <w:gridCol w:w="3008"/>
        <w:gridCol w:w="3037"/>
      </w:tblGrid>
      <w:tr w:rsidR="00DE2637" w:rsidRPr="00287F14" w14:paraId="72BC32B6" w14:textId="77777777" w:rsidTr="0027292C">
        <w:tc>
          <w:tcPr>
            <w:tcW w:w="3104" w:type="dxa"/>
            <w:tcBorders>
              <w:top w:val="single" w:sz="4" w:space="0" w:color="auto"/>
              <w:bottom w:val="single" w:sz="4" w:space="0" w:color="auto"/>
            </w:tcBorders>
          </w:tcPr>
          <w:p w14:paraId="55A1C36A"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p>
        </w:tc>
        <w:tc>
          <w:tcPr>
            <w:tcW w:w="3209" w:type="dxa"/>
            <w:tcBorders>
              <w:top w:val="single" w:sz="4" w:space="0" w:color="auto"/>
              <w:bottom w:val="single" w:sz="4" w:space="0" w:color="auto"/>
            </w:tcBorders>
          </w:tcPr>
          <w:p w14:paraId="39D29FB6"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Iraq</w:t>
            </w:r>
          </w:p>
        </w:tc>
        <w:tc>
          <w:tcPr>
            <w:tcW w:w="3217" w:type="dxa"/>
            <w:tcBorders>
              <w:top w:val="single" w:sz="4" w:space="0" w:color="auto"/>
              <w:bottom w:val="single" w:sz="4" w:space="0" w:color="auto"/>
            </w:tcBorders>
          </w:tcPr>
          <w:p w14:paraId="6045D9AA" w14:textId="77777777" w:rsidR="00DE2637" w:rsidRPr="00287F14" w:rsidRDefault="00DE2637" w:rsidP="00BA67A6">
            <w:pPr>
              <w:pStyle w:val="font8"/>
              <w:spacing w:before="0" w:beforeAutospacing="0" w:after="0" w:afterAutospacing="0"/>
              <w:textAlignment w:val="baseline"/>
              <w:rPr>
                <w:b/>
                <w:bCs/>
                <w:color w:val="000000"/>
                <w:sz w:val="20"/>
                <w:szCs w:val="20"/>
                <w:bdr w:val="none" w:sz="0" w:space="0" w:color="auto" w:frame="1"/>
              </w:rPr>
            </w:pPr>
            <w:r>
              <w:rPr>
                <w:b/>
                <w:bCs/>
                <w:color w:val="000000"/>
                <w:sz w:val="20"/>
                <w:szCs w:val="20"/>
                <w:bdr w:val="none" w:sz="0" w:space="0" w:color="auto" w:frame="1"/>
              </w:rPr>
              <w:t>Türkiye</w:t>
            </w:r>
          </w:p>
        </w:tc>
      </w:tr>
      <w:tr w:rsidR="00DE2637" w:rsidRPr="00287F14" w14:paraId="24FEFF51" w14:textId="77777777" w:rsidTr="0027292C">
        <w:tc>
          <w:tcPr>
            <w:tcW w:w="3104" w:type="dxa"/>
            <w:tcBorders>
              <w:top w:val="single" w:sz="4" w:space="0" w:color="auto"/>
            </w:tcBorders>
          </w:tcPr>
          <w:p w14:paraId="38F255CC"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Very good</w:t>
            </w:r>
          </w:p>
        </w:tc>
        <w:tc>
          <w:tcPr>
            <w:tcW w:w="3209" w:type="dxa"/>
            <w:tcBorders>
              <w:top w:val="single" w:sz="4" w:space="0" w:color="auto"/>
            </w:tcBorders>
          </w:tcPr>
          <w:p w14:paraId="43D23951"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27,7 %</w:t>
            </w:r>
          </w:p>
        </w:tc>
        <w:tc>
          <w:tcPr>
            <w:tcW w:w="3217" w:type="dxa"/>
            <w:tcBorders>
              <w:top w:val="single" w:sz="4" w:space="0" w:color="auto"/>
            </w:tcBorders>
          </w:tcPr>
          <w:p w14:paraId="72EDB9D4"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13,8 %</w:t>
            </w:r>
          </w:p>
        </w:tc>
      </w:tr>
      <w:tr w:rsidR="00DE2637" w:rsidRPr="00287F14" w14:paraId="5430A3B6" w14:textId="77777777" w:rsidTr="0027292C">
        <w:tc>
          <w:tcPr>
            <w:tcW w:w="3104" w:type="dxa"/>
          </w:tcPr>
          <w:p w14:paraId="65957F4B"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Fairly good</w:t>
            </w:r>
          </w:p>
        </w:tc>
        <w:tc>
          <w:tcPr>
            <w:tcW w:w="3209" w:type="dxa"/>
          </w:tcPr>
          <w:p w14:paraId="33415B48"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30,8 %</w:t>
            </w:r>
          </w:p>
        </w:tc>
        <w:tc>
          <w:tcPr>
            <w:tcW w:w="3217" w:type="dxa"/>
          </w:tcPr>
          <w:p w14:paraId="6D57965F" w14:textId="77777777" w:rsidR="00DE2637" w:rsidRPr="00287F14"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34,0 %</w:t>
            </w:r>
          </w:p>
        </w:tc>
      </w:tr>
      <w:tr w:rsidR="00DE2637" w:rsidRPr="00287F14" w14:paraId="5EBA18D1" w14:textId="77777777" w:rsidTr="0027292C">
        <w:tc>
          <w:tcPr>
            <w:tcW w:w="3104" w:type="dxa"/>
          </w:tcPr>
          <w:p w14:paraId="690557DA"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Fairly bad</w:t>
            </w:r>
          </w:p>
        </w:tc>
        <w:tc>
          <w:tcPr>
            <w:tcW w:w="3209" w:type="dxa"/>
          </w:tcPr>
          <w:p w14:paraId="0D084521"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20,8 %</w:t>
            </w:r>
          </w:p>
        </w:tc>
        <w:tc>
          <w:tcPr>
            <w:tcW w:w="3217" w:type="dxa"/>
          </w:tcPr>
          <w:p w14:paraId="1150AAEE"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28,4 %</w:t>
            </w:r>
          </w:p>
        </w:tc>
      </w:tr>
      <w:tr w:rsidR="00DE2637" w:rsidRPr="00287F14" w14:paraId="59720594" w14:textId="77777777" w:rsidTr="0027292C">
        <w:tc>
          <w:tcPr>
            <w:tcW w:w="3104" w:type="dxa"/>
          </w:tcPr>
          <w:p w14:paraId="2456F826"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Very bad</w:t>
            </w:r>
          </w:p>
        </w:tc>
        <w:tc>
          <w:tcPr>
            <w:tcW w:w="3209" w:type="dxa"/>
          </w:tcPr>
          <w:p w14:paraId="377A84B3"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17,5 %</w:t>
            </w:r>
          </w:p>
        </w:tc>
        <w:tc>
          <w:tcPr>
            <w:tcW w:w="3217" w:type="dxa"/>
          </w:tcPr>
          <w:p w14:paraId="72419806" w14:textId="77777777" w:rsidR="00DE2637" w:rsidRDefault="00DE2637" w:rsidP="00BA67A6">
            <w:pPr>
              <w:pStyle w:val="font8"/>
              <w:spacing w:before="0" w:beforeAutospacing="0" w:after="0" w:afterAutospacing="0"/>
              <w:textAlignment w:val="baseline"/>
              <w:rPr>
                <w:bCs/>
                <w:color w:val="000000"/>
                <w:sz w:val="20"/>
                <w:szCs w:val="20"/>
                <w:bdr w:val="none" w:sz="0" w:space="0" w:color="auto" w:frame="1"/>
              </w:rPr>
            </w:pPr>
            <w:r>
              <w:rPr>
                <w:bCs/>
                <w:color w:val="000000"/>
                <w:sz w:val="20"/>
                <w:szCs w:val="20"/>
                <w:bdr w:val="none" w:sz="0" w:space="0" w:color="auto" w:frame="1"/>
              </w:rPr>
              <w:t>12,6 %</w:t>
            </w:r>
          </w:p>
        </w:tc>
      </w:tr>
    </w:tbl>
    <w:p w14:paraId="064CF216" w14:textId="77777777" w:rsidR="00DE2637" w:rsidRDefault="00DE2637" w:rsidP="00BA67A6">
      <w:pPr>
        <w:pStyle w:val="font8"/>
        <w:spacing w:before="0" w:beforeAutospacing="0" w:after="0" w:afterAutospacing="0"/>
        <w:textAlignment w:val="baseline"/>
        <w:rPr>
          <w:b/>
          <w:bCs/>
          <w:color w:val="000000"/>
          <w:bdr w:val="none" w:sz="0" w:space="0" w:color="auto" w:frame="1"/>
        </w:rPr>
      </w:pPr>
    </w:p>
    <w:p w14:paraId="50EFD802" w14:textId="77777777" w:rsidR="00DE2637" w:rsidRPr="00E83661" w:rsidRDefault="00DE2637" w:rsidP="00BA67A6">
      <w:pPr>
        <w:pStyle w:val="font8"/>
        <w:spacing w:before="0" w:beforeAutospacing="0" w:after="0" w:afterAutospacing="0"/>
        <w:jc w:val="both"/>
        <w:textAlignment w:val="baseline"/>
        <w:rPr>
          <w:color w:val="000000"/>
          <w:bdr w:val="none" w:sz="0" w:space="0" w:color="auto" w:frame="1"/>
        </w:rPr>
      </w:pPr>
      <w:r>
        <w:rPr>
          <w:color w:val="000000"/>
          <w:bdr w:val="none" w:sz="0" w:space="0" w:color="auto" w:frame="1"/>
        </w:rPr>
        <w:t>These authoritarian political attitudes might also influence the attitudes towards economic questions. The main institutional pillars of a functioning market economy are competition as the coordination mechanism, and private property. Question 109 of the WVS</w:t>
      </w:r>
      <w:r w:rsidRPr="00E83661">
        <w:rPr>
          <w:color w:val="000000"/>
          <w:bdr w:val="none" w:sz="0" w:space="0" w:color="auto" w:frame="1"/>
        </w:rPr>
        <w:t xml:space="preserve"> </w:t>
      </w:r>
      <w:r>
        <w:rPr>
          <w:color w:val="000000"/>
          <w:bdr w:val="none" w:sz="0" w:space="0" w:color="auto" w:frame="1"/>
        </w:rPr>
        <w:t>ask participants about their opinion on competition. The results in</w:t>
      </w:r>
      <w:r w:rsidRPr="00E83661">
        <w:rPr>
          <w:color w:val="000000"/>
          <w:bdr w:val="none" w:sz="0" w:space="0" w:color="auto" w:frame="1"/>
        </w:rPr>
        <w:t xml:space="preserve"> Türkiye</w:t>
      </w:r>
      <w:r>
        <w:rPr>
          <w:color w:val="000000"/>
          <w:bdr w:val="none" w:sz="0" w:space="0" w:color="auto" w:frame="1"/>
        </w:rPr>
        <w:t>:</w:t>
      </w:r>
      <w:r w:rsidRPr="00E83661">
        <w:rPr>
          <w:color w:val="000000"/>
          <w:bdr w:val="none" w:sz="0" w:space="0" w:color="auto" w:frame="1"/>
        </w:rPr>
        <w:t xml:space="preserve"> 46,3% </w:t>
      </w:r>
      <w:r>
        <w:rPr>
          <w:color w:val="000000"/>
          <w:bdr w:val="none" w:sz="0" w:space="0" w:color="auto" w:frame="1"/>
        </w:rPr>
        <w:t xml:space="preserve">of the respondents </w:t>
      </w:r>
      <w:r w:rsidRPr="00E83661">
        <w:rPr>
          <w:color w:val="000000"/>
          <w:bdr w:val="none" w:sz="0" w:space="0" w:color="auto" w:frame="1"/>
        </w:rPr>
        <w:t xml:space="preserve">were </w:t>
      </w:r>
      <w:proofErr w:type="gramStart"/>
      <w:r w:rsidRPr="00E83661">
        <w:rPr>
          <w:color w:val="000000"/>
          <w:bdr w:val="none" w:sz="0" w:space="0" w:color="auto" w:frame="1"/>
        </w:rPr>
        <w:t>more or less in</w:t>
      </w:r>
      <w:proofErr w:type="gramEnd"/>
      <w:r w:rsidRPr="00E83661">
        <w:rPr>
          <w:color w:val="000000"/>
          <w:bdr w:val="none" w:sz="0" w:space="0" w:color="auto" w:frame="1"/>
        </w:rPr>
        <w:t xml:space="preserve"> favor of competition (</w:t>
      </w:r>
      <w:r>
        <w:rPr>
          <w:color w:val="000000"/>
          <w:bdr w:val="none" w:sz="0" w:space="0" w:color="auto" w:frame="1"/>
        </w:rPr>
        <w:t xml:space="preserve">answers </w:t>
      </w:r>
      <w:r w:rsidRPr="00E83661">
        <w:rPr>
          <w:color w:val="000000"/>
          <w:bdr w:val="none" w:sz="0" w:space="0" w:color="auto" w:frame="1"/>
        </w:rPr>
        <w:t>1-4</w:t>
      </w:r>
      <w:r>
        <w:rPr>
          <w:color w:val="000000"/>
          <w:bdr w:val="none" w:sz="0" w:space="0" w:color="auto" w:frame="1"/>
        </w:rPr>
        <w:t xml:space="preserve"> on a 10-point scale</w:t>
      </w:r>
      <w:r w:rsidRPr="00E83661">
        <w:rPr>
          <w:color w:val="000000"/>
          <w:bdr w:val="none" w:sz="0" w:space="0" w:color="auto" w:frame="1"/>
        </w:rPr>
        <w:t>)</w:t>
      </w:r>
      <w:r>
        <w:rPr>
          <w:color w:val="000000"/>
          <w:bdr w:val="none" w:sz="0" w:space="0" w:color="auto" w:frame="1"/>
        </w:rPr>
        <w:t xml:space="preserve"> and</w:t>
      </w:r>
      <w:r w:rsidRPr="00E83661">
        <w:rPr>
          <w:color w:val="000000"/>
          <w:bdr w:val="none" w:sz="0" w:space="0" w:color="auto" w:frame="1"/>
        </w:rPr>
        <w:t xml:space="preserve"> 24,1%</w:t>
      </w:r>
      <w:r>
        <w:rPr>
          <w:color w:val="000000"/>
          <w:bdr w:val="none" w:sz="0" w:space="0" w:color="auto" w:frame="1"/>
        </w:rPr>
        <w:t xml:space="preserve"> </w:t>
      </w:r>
      <w:r w:rsidRPr="00E83661">
        <w:rPr>
          <w:color w:val="000000"/>
          <w:bdr w:val="none" w:sz="0" w:space="0" w:color="auto" w:frame="1"/>
        </w:rPr>
        <w:t xml:space="preserve">were against it (7-10). The mean value </w:t>
      </w:r>
      <w:r>
        <w:rPr>
          <w:color w:val="000000"/>
          <w:bdr w:val="none" w:sz="0" w:space="0" w:color="auto" w:frame="1"/>
        </w:rPr>
        <w:t xml:space="preserve">of answers </w:t>
      </w:r>
      <w:r w:rsidRPr="00E83661">
        <w:rPr>
          <w:color w:val="000000"/>
          <w:bdr w:val="none" w:sz="0" w:space="0" w:color="auto" w:frame="1"/>
        </w:rPr>
        <w:t>was 4,65.</w:t>
      </w:r>
      <w:r>
        <w:rPr>
          <w:color w:val="000000"/>
          <w:bdr w:val="none" w:sz="0" w:space="0" w:color="auto" w:frame="1"/>
        </w:rPr>
        <w:t xml:space="preserve"> </w:t>
      </w:r>
      <w:r w:rsidRPr="00E83661">
        <w:rPr>
          <w:color w:val="000000"/>
          <w:bdr w:val="none" w:sz="0" w:space="0" w:color="auto" w:frame="1"/>
        </w:rPr>
        <w:t xml:space="preserve">In </w:t>
      </w:r>
      <w:r>
        <w:rPr>
          <w:color w:val="000000"/>
          <w:bdr w:val="none" w:sz="0" w:space="0" w:color="auto" w:frame="1"/>
        </w:rPr>
        <w:t>Iraq</w:t>
      </w:r>
      <w:r w:rsidRPr="00A86F97">
        <w:rPr>
          <w:color w:val="000000"/>
          <w:bdr w:val="none" w:sz="0" w:space="0" w:color="auto" w:frame="1"/>
        </w:rPr>
        <w:t xml:space="preserve"> only 17,5 % were </w:t>
      </w:r>
      <w:proofErr w:type="gramStart"/>
      <w:r w:rsidRPr="00A86F97">
        <w:rPr>
          <w:color w:val="000000"/>
          <w:bdr w:val="none" w:sz="0" w:space="0" w:color="auto" w:frame="1"/>
        </w:rPr>
        <w:t>more or less in</w:t>
      </w:r>
      <w:proofErr w:type="gramEnd"/>
      <w:r w:rsidRPr="00A86F97">
        <w:rPr>
          <w:color w:val="000000"/>
          <w:bdr w:val="none" w:sz="0" w:space="0" w:color="auto" w:frame="1"/>
        </w:rPr>
        <w:t xml:space="preserve"> favor of competition (1-4), while an overwhelming 63,3 % were against competition (7-10). The mean value was 7,14.</w:t>
      </w:r>
      <w:r>
        <w:rPr>
          <w:color w:val="000000"/>
          <w:bdr w:val="none" w:sz="0" w:space="0" w:color="auto" w:frame="1"/>
        </w:rPr>
        <w:t xml:space="preserve"> </w:t>
      </w:r>
      <w:proofErr w:type="spellStart"/>
      <w:r>
        <w:rPr>
          <w:color w:val="000000"/>
          <w:bdr w:val="none" w:sz="0" w:space="0" w:color="auto" w:frame="1"/>
          <w:lang w:val="tr-TR"/>
        </w:rPr>
        <w:t>We</w:t>
      </w:r>
      <w:proofErr w:type="spellEnd"/>
      <w:r>
        <w:rPr>
          <w:color w:val="000000"/>
          <w:bdr w:val="none" w:sz="0" w:space="0" w:color="auto" w:frame="1"/>
          <w:lang w:val="tr-TR"/>
        </w:rPr>
        <w:t xml:space="preserve"> </w:t>
      </w:r>
      <w:proofErr w:type="spellStart"/>
      <w:r>
        <w:rPr>
          <w:color w:val="000000"/>
          <w:bdr w:val="none" w:sz="0" w:space="0" w:color="auto" w:frame="1"/>
          <w:lang w:val="tr-TR"/>
        </w:rPr>
        <w:t>see</w:t>
      </w:r>
      <w:proofErr w:type="spellEnd"/>
      <w:r>
        <w:rPr>
          <w:color w:val="000000"/>
          <w:bdr w:val="none" w:sz="0" w:space="0" w:color="auto" w:frame="1"/>
          <w:lang w:val="tr-TR"/>
        </w:rPr>
        <w:t xml:space="preserve"> here</w:t>
      </w:r>
      <w:r w:rsidRPr="00A86F97">
        <w:rPr>
          <w:color w:val="000000"/>
          <w:bdr w:val="none" w:sz="0" w:space="0" w:color="auto" w:frame="1"/>
          <w:lang w:val="tr-TR"/>
        </w:rPr>
        <w:t xml:space="preserve"> a</w:t>
      </w:r>
      <w:r>
        <w:rPr>
          <w:color w:val="000000"/>
          <w:bdr w:val="none" w:sz="0" w:space="0" w:color="auto" w:frame="1"/>
          <w:lang w:val="tr-TR"/>
        </w:rPr>
        <w:t>n</w:t>
      </w:r>
      <w:r w:rsidRPr="00A86F97">
        <w:rPr>
          <w:color w:val="000000"/>
          <w:bdr w:val="none" w:sz="0" w:space="0" w:color="auto" w:frame="1"/>
          <w:lang w:val="tr-TR"/>
        </w:rPr>
        <w:t xml:space="preserve"> </w:t>
      </w:r>
      <w:proofErr w:type="spellStart"/>
      <w:r w:rsidRPr="00A86F97">
        <w:rPr>
          <w:color w:val="000000"/>
          <w:bdr w:val="none" w:sz="0" w:space="0" w:color="auto" w:frame="1"/>
          <w:lang w:val="tr-TR"/>
        </w:rPr>
        <w:t>important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difference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between</w:t>
      </w:r>
      <w:proofErr w:type="spellEnd"/>
      <w:r w:rsidRPr="00A86F97">
        <w:rPr>
          <w:color w:val="000000"/>
          <w:bdr w:val="none" w:sz="0" w:space="0" w:color="auto" w:frame="1"/>
          <w:lang w:val="tr-TR"/>
        </w:rPr>
        <w:t xml:space="preserve"> Türkiye </w:t>
      </w:r>
      <w:proofErr w:type="spellStart"/>
      <w:r w:rsidRPr="00A86F97">
        <w:rPr>
          <w:color w:val="000000"/>
          <w:bdr w:val="none" w:sz="0" w:space="0" w:color="auto" w:frame="1"/>
          <w:lang w:val="tr-TR"/>
        </w:rPr>
        <w:t>and</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Iraq</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with</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respect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to</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competition</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the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population</w:t>
      </w:r>
      <w:proofErr w:type="spellEnd"/>
      <w:r w:rsidRPr="00A86F97">
        <w:rPr>
          <w:color w:val="000000"/>
          <w:bdr w:val="none" w:sz="0" w:space="0" w:color="auto" w:frame="1"/>
          <w:lang w:val="tr-TR"/>
        </w:rPr>
        <w:t xml:space="preserve"> in Türkiye </w:t>
      </w:r>
      <w:proofErr w:type="spellStart"/>
      <w:r w:rsidRPr="00A86F97">
        <w:rPr>
          <w:color w:val="000000"/>
          <w:bdr w:val="none" w:sz="0" w:space="0" w:color="auto" w:frame="1"/>
          <w:lang w:val="tr-TR"/>
        </w:rPr>
        <w:t>endorsing</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this</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concept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and</w:t>
      </w:r>
      <w:proofErr w:type="spellEnd"/>
      <w:r w:rsidRPr="00A86F97">
        <w:rPr>
          <w:color w:val="000000"/>
          <w:bdr w:val="none" w:sz="0" w:space="0" w:color="auto" w:frame="1"/>
          <w:lang w:val="tr-TR"/>
        </w:rPr>
        <w:t xml:space="preserve"> in </w:t>
      </w:r>
      <w:proofErr w:type="spellStart"/>
      <w:r w:rsidRPr="00A86F97">
        <w:rPr>
          <w:color w:val="000000"/>
          <w:bdr w:val="none" w:sz="0" w:space="0" w:color="auto" w:frame="1"/>
          <w:lang w:val="tr-TR"/>
        </w:rPr>
        <w:t>Iraq</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clearly</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rejecting</w:t>
      </w:r>
      <w:proofErr w:type="spellEnd"/>
      <w:r w:rsidRPr="00A86F97">
        <w:rPr>
          <w:color w:val="000000"/>
          <w:bdr w:val="none" w:sz="0" w:space="0" w:color="auto" w:frame="1"/>
          <w:lang w:val="tr-TR"/>
        </w:rPr>
        <w:t xml:space="preserve"> it!</w:t>
      </w:r>
      <w:r w:rsidRPr="00E83661">
        <w:rPr>
          <w:color w:val="000000"/>
          <w:bdr w:val="none" w:sz="0" w:space="0" w:color="auto" w:frame="1"/>
        </w:rPr>
        <w:t xml:space="preserve"> </w:t>
      </w:r>
      <w:r>
        <w:rPr>
          <w:color w:val="000000"/>
          <w:bdr w:val="none" w:sz="0" w:space="0" w:color="auto" w:frame="1"/>
        </w:rPr>
        <w:t xml:space="preserve"> </w:t>
      </w:r>
    </w:p>
    <w:p w14:paraId="1C3EB067" w14:textId="77777777" w:rsidR="00DE2637" w:rsidRDefault="00DE2637" w:rsidP="00BA67A6">
      <w:pPr>
        <w:pStyle w:val="font8"/>
        <w:spacing w:before="0" w:beforeAutospacing="0" w:after="0" w:afterAutospacing="0"/>
        <w:jc w:val="both"/>
        <w:textAlignment w:val="baseline"/>
        <w:rPr>
          <w:color w:val="000000"/>
          <w:bdr w:val="none" w:sz="0" w:space="0" w:color="auto" w:frame="1"/>
          <w:lang w:val="tr-TR"/>
        </w:rPr>
      </w:pPr>
      <w:r>
        <w:rPr>
          <w:color w:val="000000"/>
          <w:bdr w:val="none" w:sz="0" w:space="0" w:color="auto" w:frame="1"/>
        </w:rPr>
        <w:t xml:space="preserve">When asked in question 107 of the WVS about which kind of property (private or government) should be increased, </w:t>
      </w:r>
      <w:r w:rsidRPr="00E83661">
        <w:rPr>
          <w:color w:val="000000"/>
          <w:bdr w:val="none" w:sz="0" w:space="0" w:color="auto" w:frame="1"/>
        </w:rPr>
        <w:t>in Türkiye 42,3%</w:t>
      </w:r>
      <w:r>
        <w:rPr>
          <w:color w:val="000000"/>
          <w:bdr w:val="none" w:sz="0" w:space="0" w:color="auto" w:frame="1"/>
        </w:rPr>
        <w:t xml:space="preserve"> responded</w:t>
      </w:r>
      <w:r w:rsidRPr="00E83661">
        <w:rPr>
          <w:color w:val="000000"/>
          <w:bdr w:val="none" w:sz="0" w:space="0" w:color="auto" w:frame="1"/>
        </w:rPr>
        <w:t xml:space="preserve"> that government ownership should be increased (7-10</w:t>
      </w:r>
      <w:r>
        <w:rPr>
          <w:color w:val="000000"/>
          <w:bdr w:val="none" w:sz="0" w:space="0" w:color="auto" w:frame="1"/>
        </w:rPr>
        <w:t xml:space="preserve"> on a 10-point scale</w:t>
      </w:r>
      <w:r w:rsidRPr="00E83661">
        <w:rPr>
          <w:color w:val="000000"/>
          <w:bdr w:val="none" w:sz="0" w:space="0" w:color="auto" w:frame="1"/>
        </w:rPr>
        <w:t xml:space="preserve">), 30,7% were undecided (5-6) and only 22,1% wanted more </w:t>
      </w:r>
      <w:r w:rsidRPr="00E83661">
        <w:rPr>
          <w:color w:val="000000"/>
          <w:bdr w:val="none" w:sz="0" w:space="0" w:color="auto" w:frame="1"/>
        </w:rPr>
        <w:lastRenderedPageBreak/>
        <w:t>private ownership. The mean value</w:t>
      </w:r>
      <w:r>
        <w:rPr>
          <w:color w:val="000000"/>
          <w:bdr w:val="none" w:sz="0" w:space="0" w:color="auto" w:frame="1"/>
        </w:rPr>
        <w:t xml:space="preserve"> of answers</w:t>
      </w:r>
      <w:r w:rsidRPr="00E83661">
        <w:rPr>
          <w:color w:val="000000"/>
          <w:bdr w:val="none" w:sz="0" w:space="0" w:color="auto" w:frame="1"/>
        </w:rPr>
        <w:t xml:space="preserve"> was 6,1.</w:t>
      </w:r>
      <w:r>
        <w:rPr>
          <w:color w:val="000000"/>
          <w:bdr w:val="none" w:sz="0" w:space="0" w:color="auto" w:frame="1"/>
        </w:rPr>
        <w:t xml:space="preserve"> In contrast to that, </w:t>
      </w:r>
      <w:r>
        <w:rPr>
          <w:color w:val="000000"/>
          <w:bdr w:val="none" w:sz="0" w:space="0" w:color="auto" w:frame="1"/>
          <w:lang w:val="tr-TR"/>
        </w:rPr>
        <w:t xml:space="preserve">in </w:t>
      </w:r>
      <w:proofErr w:type="spellStart"/>
      <w:r>
        <w:rPr>
          <w:color w:val="000000"/>
          <w:bdr w:val="none" w:sz="0" w:space="0" w:color="auto" w:frame="1"/>
          <w:lang w:val="tr-TR"/>
        </w:rPr>
        <w:t>Iraq</w:t>
      </w:r>
      <w:proofErr w:type="spellEnd"/>
      <w:r>
        <w:rPr>
          <w:color w:val="000000"/>
          <w:bdr w:val="none" w:sz="0" w:space="0" w:color="auto" w:frame="1"/>
          <w:lang w:val="tr-TR"/>
        </w:rPr>
        <w:t xml:space="preserve"> </w:t>
      </w:r>
      <w:r w:rsidRPr="00A86F97">
        <w:rPr>
          <w:color w:val="000000"/>
          <w:bdr w:val="none" w:sz="0" w:space="0" w:color="auto" w:frame="1"/>
          <w:lang w:val="tr-TR"/>
        </w:rPr>
        <w:t xml:space="preserve">50,3 % of </w:t>
      </w:r>
      <w:proofErr w:type="spellStart"/>
      <w:r w:rsidRPr="00A86F97">
        <w:rPr>
          <w:color w:val="000000"/>
          <w:bdr w:val="none" w:sz="0" w:space="0" w:color="auto" w:frame="1"/>
          <w:lang w:val="tr-TR"/>
        </w:rPr>
        <w:t>the</w:t>
      </w:r>
      <w:proofErr w:type="spellEnd"/>
      <w:r w:rsidRPr="00A86F97">
        <w:rPr>
          <w:color w:val="000000"/>
          <w:bdr w:val="none" w:sz="0" w:space="0" w:color="auto" w:frame="1"/>
          <w:lang w:val="tr-TR"/>
        </w:rPr>
        <w:t xml:space="preserve"> </w:t>
      </w:r>
      <w:proofErr w:type="spellStart"/>
      <w:r>
        <w:rPr>
          <w:color w:val="000000"/>
          <w:bdr w:val="none" w:sz="0" w:space="0" w:color="auto" w:frame="1"/>
          <w:lang w:val="tr-TR"/>
        </w:rPr>
        <w:t>participants</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thought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that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private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ownership</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should</w:t>
      </w:r>
      <w:proofErr w:type="spellEnd"/>
      <w:r w:rsidRPr="00A86F97">
        <w:rPr>
          <w:color w:val="000000"/>
          <w:bdr w:val="none" w:sz="0" w:space="0" w:color="auto" w:frame="1"/>
          <w:lang w:val="tr-TR"/>
        </w:rPr>
        <w:t xml:space="preserve"> be </w:t>
      </w:r>
      <w:proofErr w:type="spellStart"/>
      <w:r w:rsidRPr="00A86F97">
        <w:rPr>
          <w:color w:val="000000"/>
          <w:bdr w:val="none" w:sz="0" w:space="0" w:color="auto" w:frame="1"/>
          <w:lang w:val="tr-TR"/>
        </w:rPr>
        <w:t>increased</w:t>
      </w:r>
      <w:proofErr w:type="spellEnd"/>
      <w:r w:rsidRPr="00A86F97">
        <w:rPr>
          <w:color w:val="000000"/>
          <w:bdr w:val="none" w:sz="0" w:space="0" w:color="auto" w:frame="1"/>
          <w:lang w:val="tr-TR"/>
        </w:rPr>
        <w:t xml:space="preserve"> (1-4), 21,3 % </w:t>
      </w:r>
      <w:proofErr w:type="spellStart"/>
      <w:r w:rsidRPr="00A86F97">
        <w:rPr>
          <w:color w:val="000000"/>
          <w:bdr w:val="none" w:sz="0" w:space="0" w:color="auto" w:frame="1"/>
          <w:lang w:val="tr-TR"/>
        </w:rPr>
        <w:t>were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undecided</w:t>
      </w:r>
      <w:proofErr w:type="spellEnd"/>
      <w:r w:rsidRPr="00A86F97">
        <w:rPr>
          <w:color w:val="000000"/>
          <w:bdr w:val="none" w:sz="0" w:space="0" w:color="auto" w:frame="1"/>
          <w:lang w:val="tr-TR"/>
        </w:rPr>
        <w:t xml:space="preserve"> (5-6) </w:t>
      </w:r>
      <w:proofErr w:type="spellStart"/>
      <w:r w:rsidRPr="00A86F97">
        <w:rPr>
          <w:color w:val="000000"/>
          <w:bdr w:val="none" w:sz="0" w:space="0" w:color="auto" w:frame="1"/>
          <w:lang w:val="tr-TR"/>
        </w:rPr>
        <w:t>and</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only</w:t>
      </w:r>
      <w:proofErr w:type="spellEnd"/>
      <w:r w:rsidRPr="00A86F97">
        <w:rPr>
          <w:color w:val="000000"/>
          <w:bdr w:val="none" w:sz="0" w:space="0" w:color="auto" w:frame="1"/>
          <w:lang w:val="tr-TR"/>
        </w:rPr>
        <w:t xml:space="preserve"> 28,4 % </w:t>
      </w:r>
      <w:proofErr w:type="spellStart"/>
      <w:r w:rsidRPr="00A86F97">
        <w:rPr>
          <w:color w:val="000000"/>
          <w:bdr w:val="none" w:sz="0" w:space="0" w:color="auto" w:frame="1"/>
          <w:lang w:val="tr-TR"/>
        </w:rPr>
        <w:t>voted</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for</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more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government</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ownership</w:t>
      </w:r>
      <w:proofErr w:type="spellEnd"/>
      <w:r w:rsidRPr="00A86F97">
        <w:rPr>
          <w:color w:val="000000"/>
          <w:bdr w:val="none" w:sz="0" w:space="0" w:color="auto" w:frame="1"/>
          <w:lang w:val="tr-TR"/>
        </w:rPr>
        <w:t xml:space="preserve"> (7-10). </w:t>
      </w:r>
      <w:proofErr w:type="spellStart"/>
      <w:r w:rsidRPr="00A86F97">
        <w:rPr>
          <w:color w:val="000000"/>
          <w:bdr w:val="none" w:sz="0" w:space="0" w:color="auto" w:frame="1"/>
          <w:lang w:val="tr-TR"/>
        </w:rPr>
        <w:t>The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mean</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value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was</w:t>
      </w:r>
      <w:proofErr w:type="spellEnd"/>
      <w:r w:rsidRPr="00A86F97">
        <w:rPr>
          <w:color w:val="000000"/>
          <w:bdr w:val="none" w:sz="0" w:space="0" w:color="auto" w:frame="1"/>
          <w:lang w:val="tr-TR"/>
        </w:rPr>
        <w:t xml:space="preserve"> 4,55. </w:t>
      </w:r>
      <w:proofErr w:type="spellStart"/>
      <w:r>
        <w:rPr>
          <w:color w:val="000000"/>
          <w:bdr w:val="none" w:sz="0" w:space="0" w:color="auto" w:frame="1"/>
          <w:lang w:val="tr-TR"/>
        </w:rPr>
        <w:t>While</w:t>
      </w:r>
      <w:proofErr w:type="spellEnd"/>
      <w:r>
        <w:rPr>
          <w:color w:val="000000"/>
          <w:bdr w:val="none" w:sz="0" w:space="0" w:color="auto" w:frame="1"/>
          <w:lang w:val="tr-TR"/>
        </w:rPr>
        <w:t xml:space="preserve"> in Türkiye </w:t>
      </w:r>
      <w:proofErr w:type="spellStart"/>
      <w:r>
        <w:rPr>
          <w:color w:val="000000"/>
          <w:bdr w:val="none" w:sz="0" w:space="0" w:color="auto" w:frame="1"/>
          <w:lang w:val="tr-TR"/>
        </w:rPr>
        <w:t>participants</w:t>
      </w:r>
      <w:proofErr w:type="spellEnd"/>
      <w:r>
        <w:rPr>
          <w:color w:val="000000"/>
          <w:bdr w:val="none" w:sz="0" w:space="0" w:color="auto" w:frame="1"/>
          <w:lang w:val="tr-TR"/>
        </w:rPr>
        <w:t xml:space="preserve"> in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survey</w:t>
      </w:r>
      <w:proofErr w:type="spellEnd"/>
      <w:r>
        <w:rPr>
          <w:color w:val="000000"/>
          <w:bdr w:val="none" w:sz="0" w:space="0" w:color="auto" w:frame="1"/>
          <w:lang w:val="tr-TR"/>
        </w:rPr>
        <w:t xml:space="preserve"> </w:t>
      </w:r>
      <w:proofErr w:type="spellStart"/>
      <w:r>
        <w:rPr>
          <w:color w:val="000000"/>
          <w:bdr w:val="none" w:sz="0" w:space="0" w:color="auto" w:frame="1"/>
          <w:lang w:val="tr-TR"/>
        </w:rPr>
        <w:t>were</w:t>
      </w:r>
      <w:proofErr w:type="spellEnd"/>
      <w:r>
        <w:rPr>
          <w:color w:val="000000"/>
          <w:bdr w:val="none" w:sz="0" w:space="0" w:color="auto" w:frame="1"/>
          <w:lang w:val="tr-TR"/>
        </w:rPr>
        <w:t xml:space="preserve"> </w:t>
      </w:r>
      <w:proofErr w:type="spellStart"/>
      <w:r>
        <w:rPr>
          <w:color w:val="000000"/>
          <w:bdr w:val="none" w:sz="0" w:space="0" w:color="auto" w:frame="1"/>
          <w:lang w:val="tr-TR"/>
        </w:rPr>
        <w:t>slightly</w:t>
      </w:r>
      <w:proofErr w:type="spellEnd"/>
      <w:r>
        <w:rPr>
          <w:color w:val="000000"/>
          <w:bdr w:val="none" w:sz="0" w:space="0" w:color="auto" w:frame="1"/>
          <w:lang w:val="tr-TR"/>
        </w:rPr>
        <w:t xml:space="preserve"> in </w:t>
      </w:r>
      <w:proofErr w:type="spellStart"/>
      <w:r>
        <w:rPr>
          <w:color w:val="000000"/>
          <w:bdr w:val="none" w:sz="0" w:space="0" w:color="auto" w:frame="1"/>
          <w:lang w:val="tr-TR"/>
        </w:rPr>
        <w:t>favor</w:t>
      </w:r>
      <w:proofErr w:type="spellEnd"/>
      <w:r>
        <w:rPr>
          <w:color w:val="000000"/>
          <w:bdr w:val="none" w:sz="0" w:space="0" w:color="auto" w:frame="1"/>
          <w:lang w:val="tr-TR"/>
        </w:rPr>
        <w:t xml:space="preserve"> of </w:t>
      </w:r>
      <w:proofErr w:type="spellStart"/>
      <w:r>
        <w:rPr>
          <w:color w:val="000000"/>
          <w:bdr w:val="none" w:sz="0" w:space="0" w:color="auto" w:frame="1"/>
          <w:lang w:val="tr-TR"/>
        </w:rPr>
        <w:t>more</w:t>
      </w:r>
      <w:proofErr w:type="spellEnd"/>
      <w:r>
        <w:rPr>
          <w:color w:val="000000"/>
          <w:bdr w:val="none" w:sz="0" w:space="0" w:color="auto" w:frame="1"/>
          <w:lang w:val="tr-TR"/>
        </w:rPr>
        <w:t xml:space="preserve"> </w:t>
      </w:r>
      <w:proofErr w:type="spellStart"/>
      <w:r>
        <w:rPr>
          <w:color w:val="000000"/>
          <w:bdr w:val="none" w:sz="0" w:space="0" w:color="auto" w:frame="1"/>
          <w:lang w:val="tr-TR"/>
        </w:rPr>
        <w:t>government</w:t>
      </w:r>
      <w:proofErr w:type="spellEnd"/>
      <w:r>
        <w:rPr>
          <w:color w:val="000000"/>
          <w:bdr w:val="none" w:sz="0" w:space="0" w:color="auto" w:frame="1"/>
          <w:lang w:val="tr-TR"/>
        </w:rPr>
        <w:t xml:space="preserve"> </w:t>
      </w:r>
      <w:proofErr w:type="spellStart"/>
      <w:r>
        <w:rPr>
          <w:color w:val="000000"/>
          <w:bdr w:val="none" w:sz="0" w:space="0" w:color="auto" w:frame="1"/>
          <w:lang w:val="tr-TR"/>
        </w:rPr>
        <w:t>property</w:t>
      </w:r>
      <w:proofErr w:type="spellEnd"/>
      <w:r>
        <w:rPr>
          <w:color w:val="000000"/>
          <w:bdr w:val="none" w:sz="0" w:space="0" w:color="auto" w:frame="1"/>
          <w:lang w:val="tr-TR"/>
        </w:rPr>
        <w:t xml:space="preserve">, in </w:t>
      </w:r>
      <w:proofErr w:type="spellStart"/>
      <w:r>
        <w:rPr>
          <w:color w:val="000000"/>
          <w:bdr w:val="none" w:sz="0" w:space="0" w:color="auto" w:frame="1"/>
          <w:lang w:val="tr-TR"/>
        </w:rPr>
        <w:t>Iraq</w:t>
      </w:r>
      <w:proofErr w:type="spellEnd"/>
      <w:r>
        <w:rPr>
          <w:color w:val="000000"/>
          <w:bdr w:val="none" w:sz="0" w:space="0" w:color="auto" w:frame="1"/>
          <w:lang w:val="tr-TR"/>
        </w:rPr>
        <w:t xml:space="preserve"> they </w:t>
      </w:r>
      <w:proofErr w:type="spellStart"/>
      <w:r>
        <w:rPr>
          <w:color w:val="000000"/>
          <w:bdr w:val="none" w:sz="0" w:space="0" w:color="auto" w:frame="1"/>
          <w:lang w:val="tr-TR"/>
        </w:rPr>
        <w:t>reject</w:t>
      </w:r>
      <w:proofErr w:type="spellEnd"/>
      <w:r>
        <w:rPr>
          <w:color w:val="000000"/>
          <w:bdr w:val="none" w:sz="0" w:space="0" w:color="auto" w:frame="1"/>
          <w:lang w:val="tr-TR"/>
        </w:rPr>
        <w:t xml:space="preserve"> </w:t>
      </w:r>
      <w:proofErr w:type="spellStart"/>
      <w:r>
        <w:rPr>
          <w:color w:val="000000"/>
          <w:bdr w:val="none" w:sz="0" w:space="0" w:color="auto" w:frame="1"/>
          <w:lang w:val="tr-TR"/>
        </w:rPr>
        <w:t>that</w:t>
      </w:r>
      <w:proofErr w:type="spellEnd"/>
      <w:r>
        <w:rPr>
          <w:color w:val="000000"/>
          <w:bdr w:val="none" w:sz="0" w:space="0" w:color="auto" w:frame="1"/>
          <w:lang w:val="tr-TR"/>
        </w:rPr>
        <w:t xml:space="preserve"> idea. </w:t>
      </w:r>
      <w:proofErr w:type="spellStart"/>
      <w:r>
        <w:rPr>
          <w:color w:val="000000"/>
          <w:bdr w:val="none" w:sz="0" w:space="0" w:color="auto" w:frame="1"/>
          <w:lang w:val="tr-TR"/>
        </w:rPr>
        <w:t>This</w:t>
      </w:r>
      <w:proofErr w:type="spellEnd"/>
      <w:r>
        <w:rPr>
          <w:color w:val="000000"/>
          <w:bdr w:val="none" w:sz="0" w:space="0" w:color="auto" w:frame="1"/>
          <w:lang w:val="tr-TR"/>
        </w:rPr>
        <w:t xml:space="preserve"> </w:t>
      </w:r>
      <w:proofErr w:type="spellStart"/>
      <w:r>
        <w:rPr>
          <w:color w:val="000000"/>
          <w:bdr w:val="none" w:sz="0" w:space="0" w:color="auto" w:frame="1"/>
          <w:lang w:val="tr-TR"/>
        </w:rPr>
        <w:t>might</w:t>
      </w:r>
      <w:proofErr w:type="spellEnd"/>
      <w:r>
        <w:rPr>
          <w:color w:val="000000"/>
          <w:bdr w:val="none" w:sz="0" w:space="0" w:color="auto" w:frame="1"/>
          <w:lang w:val="tr-TR"/>
        </w:rPr>
        <w:t xml:space="preserve"> be </w:t>
      </w:r>
      <w:proofErr w:type="spellStart"/>
      <w:r>
        <w:rPr>
          <w:color w:val="000000"/>
          <w:bdr w:val="none" w:sz="0" w:space="0" w:color="auto" w:frame="1"/>
          <w:lang w:val="tr-TR"/>
        </w:rPr>
        <w:t>due</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fact</w:t>
      </w:r>
      <w:proofErr w:type="spellEnd"/>
      <w:r>
        <w:rPr>
          <w:color w:val="000000"/>
          <w:bdr w:val="none" w:sz="0" w:space="0" w:color="auto" w:frame="1"/>
          <w:lang w:val="tr-TR"/>
        </w:rPr>
        <w:t xml:space="preserve"> </w:t>
      </w:r>
      <w:proofErr w:type="spellStart"/>
      <w:r>
        <w:rPr>
          <w:color w:val="000000"/>
          <w:bdr w:val="none" w:sz="0" w:space="0" w:color="auto" w:frame="1"/>
          <w:lang w:val="tr-TR"/>
        </w:rPr>
        <w:t>that</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goverment</w:t>
      </w:r>
      <w:proofErr w:type="spellEnd"/>
      <w:r>
        <w:rPr>
          <w:color w:val="000000"/>
          <w:bdr w:val="none" w:sz="0" w:space="0" w:color="auto" w:frame="1"/>
          <w:lang w:val="tr-TR"/>
        </w:rPr>
        <w:t xml:space="preserve"> in </w:t>
      </w:r>
      <w:proofErr w:type="spellStart"/>
      <w:r>
        <w:rPr>
          <w:color w:val="000000"/>
          <w:bdr w:val="none" w:sz="0" w:space="0" w:color="auto" w:frame="1"/>
          <w:lang w:val="tr-TR"/>
        </w:rPr>
        <w:t>Iraq</w:t>
      </w:r>
      <w:proofErr w:type="spellEnd"/>
      <w:r>
        <w:rPr>
          <w:color w:val="000000"/>
          <w:bdr w:val="none" w:sz="0" w:space="0" w:color="auto" w:frame="1"/>
          <w:lang w:val="tr-TR"/>
        </w:rPr>
        <w:t xml:space="preserve"> </w:t>
      </w:r>
      <w:proofErr w:type="spellStart"/>
      <w:r>
        <w:rPr>
          <w:color w:val="000000"/>
          <w:bdr w:val="none" w:sz="0" w:space="0" w:color="auto" w:frame="1"/>
          <w:lang w:val="tr-TR"/>
        </w:rPr>
        <w:t>controls</w:t>
      </w:r>
      <w:proofErr w:type="spellEnd"/>
      <w:r>
        <w:rPr>
          <w:color w:val="000000"/>
          <w:bdr w:val="none" w:sz="0" w:space="0" w:color="auto" w:frame="1"/>
          <w:lang w:val="tr-TR"/>
        </w:rPr>
        <w:t xml:space="preserve"> </w:t>
      </w:r>
      <w:proofErr w:type="spellStart"/>
      <w:r>
        <w:rPr>
          <w:color w:val="000000"/>
          <w:bdr w:val="none" w:sz="0" w:space="0" w:color="auto" w:frame="1"/>
          <w:lang w:val="tr-TR"/>
        </w:rPr>
        <w:t>via</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distribution</w:t>
      </w:r>
      <w:proofErr w:type="spellEnd"/>
      <w:r>
        <w:rPr>
          <w:color w:val="000000"/>
          <w:bdr w:val="none" w:sz="0" w:space="0" w:color="auto" w:frame="1"/>
          <w:lang w:val="tr-TR"/>
        </w:rPr>
        <w:t xml:space="preserve"> of </w:t>
      </w:r>
      <w:proofErr w:type="spellStart"/>
      <w:r>
        <w:rPr>
          <w:color w:val="000000"/>
          <w:bdr w:val="none" w:sz="0" w:space="0" w:color="auto" w:frame="1"/>
          <w:lang w:val="tr-TR"/>
        </w:rPr>
        <w:t>oil</w:t>
      </w:r>
      <w:proofErr w:type="spellEnd"/>
      <w:r>
        <w:rPr>
          <w:color w:val="000000"/>
          <w:bdr w:val="none" w:sz="0" w:space="0" w:color="auto" w:frame="1"/>
          <w:lang w:val="tr-TR"/>
        </w:rPr>
        <w:t xml:space="preserve"> </w:t>
      </w:r>
      <w:proofErr w:type="spellStart"/>
      <w:r>
        <w:rPr>
          <w:color w:val="000000"/>
          <w:bdr w:val="none" w:sz="0" w:space="0" w:color="auto" w:frame="1"/>
          <w:lang w:val="tr-TR"/>
        </w:rPr>
        <w:t>rents</w:t>
      </w:r>
      <w:proofErr w:type="spellEnd"/>
      <w:r>
        <w:rPr>
          <w:color w:val="000000"/>
          <w:bdr w:val="none" w:sz="0" w:space="0" w:color="auto" w:frame="1"/>
          <w:lang w:val="tr-TR"/>
        </w:rPr>
        <w:t xml:space="preserve"> a </w:t>
      </w:r>
      <w:proofErr w:type="spellStart"/>
      <w:r>
        <w:rPr>
          <w:color w:val="000000"/>
          <w:bdr w:val="none" w:sz="0" w:space="0" w:color="auto" w:frame="1"/>
          <w:lang w:val="tr-TR"/>
        </w:rPr>
        <w:t>large</w:t>
      </w:r>
      <w:proofErr w:type="spellEnd"/>
      <w:r>
        <w:rPr>
          <w:color w:val="000000"/>
          <w:bdr w:val="none" w:sz="0" w:space="0" w:color="auto" w:frame="1"/>
          <w:lang w:val="tr-TR"/>
        </w:rPr>
        <w:t xml:space="preserve"> </w:t>
      </w:r>
      <w:proofErr w:type="spellStart"/>
      <w:r>
        <w:rPr>
          <w:color w:val="000000"/>
          <w:bdr w:val="none" w:sz="0" w:space="0" w:color="auto" w:frame="1"/>
          <w:lang w:val="tr-TR"/>
        </w:rPr>
        <w:t>part</w:t>
      </w:r>
      <w:proofErr w:type="spellEnd"/>
      <w:r>
        <w:rPr>
          <w:color w:val="000000"/>
          <w:bdr w:val="none" w:sz="0" w:space="0" w:color="auto" w:frame="1"/>
          <w:lang w:val="tr-TR"/>
        </w:rPr>
        <w:t xml:space="preserve"> of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economy</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of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labor</w:t>
      </w:r>
      <w:proofErr w:type="spellEnd"/>
      <w:r>
        <w:rPr>
          <w:color w:val="000000"/>
          <w:bdr w:val="none" w:sz="0" w:space="0" w:color="auto" w:frame="1"/>
          <w:lang w:val="tr-TR"/>
        </w:rPr>
        <w:t xml:space="preserve"> market. But </w:t>
      </w:r>
      <w:proofErr w:type="spellStart"/>
      <w:r>
        <w:rPr>
          <w:color w:val="000000"/>
          <w:bdr w:val="none" w:sz="0" w:space="0" w:color="auto" w:frame="1"/>
          <w:lang w:val="tr-TR"/>
        </w:rPr>
        <w:t>despite</w:t>
      </w:r>
      <w:proofErr w:type="spellEnd"/>
      <w:r>
        <w:rPr>
          <w:color w:val="000000"/>
          <w:bdr w:val="none" w:sz="0" w:space="0" w:color="auto" w:frame="1"/>
          <w:lang w:val="tr-TR"/>
        </w:rPr>
        <w:t xml:space="preserve"> </w:t>
      </w:r>
      <w:proofErr w:type="spellStart"/>
      <w:r>
        <w:rPr>
          <w:color w:val="000000"/>
          <w:bdr w:val="none" w:sz="0" w:space="0" w:color="auto" w:frame="1"/>
          <w:lang w:val="tr-TR"/>
        </w:rPr>
        <w:t>its</w:t>
      </w:r>
      <w:proofErr w:type="spellEnd"/>
      <w:r>
        <w:rPr>
          <w:color w:val="000000"/>
          <w:bdr w:val="none" w:sz="0" w:space="0" w:color="auto" w:frame="1"/>
          <w:lang w:val="tr-TR"/>
        </w:rPr>
        <w:t xml:space="preserve"> </w:t>
      </w:r>
      <w:proofErr w:type="spellStart"/>
      <w:r>
        <w:rPr>
          <w:color w:val="000000"/>
          <w:bdr w:val="none" w:sz="0" w:space="0" w:color="auto" w:frame="1"/>
          <w:lang w:val="tr-TR"/>
        </w:rPr>
        <w:t>wealth</w:t>
      </w:r>
      <w:proofErr w:type="spellEnd"/>
      <w:r>
        <w:rPr>
          <w:color w:val="000000"/>
          <w:bdr w:val="none" w:sz="0" w:space="0" w:color="auto" w:frame="1"/>
          <w:lang w:val="tr-TR"/>
        </w:rPr>
        <w:t xml:space="preserve"> in </w:t>
      </w:r>
      <w:proofErr w:type="spellStart"/>
      <w:r>
        <w:rPr>
          <w:color w:val="000000"/>
          <w:bdr w:val="none" w:sz="0" w:space="0" w:color="auto" w:frame="1"/>
          <w:lang w:val="tr-TR"/>
        </w:rPr>
        <w:t>oil</w:t>
      </w:r>
      <w:proofErr w:type="spellEnd"/>
      <w:r>
        <w:rPr>
          <w:color w:val="000000"/>
          <w:bdr w:val="none" w:sz="0" w:space="0" w:color="auto" w:frame="1"/>
          <w:lang w:val="tr-TR"/>
        </w:rPr>
        <w:t xml:space="preserve"> it </w:t>
      </w:r>
      <w:proofErr w:type="spellStart"/>
      <w:r>
        <w:rPr>
          <w:color w:val="000000"/>
          <w:bdr w:val="none" w:sz="0" w:space="0" w:color="auto" w:frame="1"/>
          <w:lang w:val="tr-TR"/>
        </w:rPr>
        <w:t>was</w:t>
      </w:r>
      <w:proofErr w:type="spellEnd"/>
      <w:r>
        <w:rPr>
          <w:color w:val="000000"/>
          <w:bdr w:val="none" w:sz="0" w:space="0" w:color="auto" w:frame="1"/>
          <w:lang w:val="tr-TR"/>
        </w:rPr>
        <w:t xml:space="preserve"> not </w:t>
      </w:r>
      <w:proofErr w:type="spellStart"/>
      <w:r>
        <w:rPr>
          <w:color w:val="000000"/>
          <w:bdr w:val="none" w:sz="0" w:space="0" w:color="auto" w:frame="1"/>
          <w:lang w:val="tr-TR"/>
        </w:rPr>
        <w:t>able</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w:t>
      </w:r>
      <w:proofErr w:type="spellStart"/>
      <w:r>
        <w:rPr>
          <w:color w:val="000000"/>
          <w:bdr w:val="none" w:sz="0" w:space="0" w:color="auto" w:frame="1"/>
          <w:lang w:val="tr-TR"/>
        </w:rPr>
        <w:t>create</w:t>
      </w:r>
      <w:proofErr w:type="spellEnd"/>
      <w:r>
        <w:rPr>
          <w:color w:val="000000"/>
          <w:bdr w:val="none" w:sz="0" w:space="0" w:color="auto" w:frame="1"/>
          <w:lang w:val="tr-TR"/>
        </w:rPr>
        <w:t xml:space="preserve"> a </w:t>
      </w:r>
      <w:proofErr w:type="spellStart"/>
      <w:r>
        <w:rPr>
          <w:color w:val="000000"/>
          <w:bdr w:val="none" w:sz="0" w:space="0" w:color="auto" w:frame="1"/>
          <w:lang w:val="tr-TR"/>
        </w:rPr>
        <w:t>florishing</w:t>
      </w:r>
      <w:proofErr w:type="spellEnd"/>
      <w:r>
        <w:rPr>
          <w:color w:val="000000"/>
          <w:bdr w:val="none" w:sz="0" w:space="0" w:color="auto" w:frame="1"/>
          <w:lang w:val="tr-TR"/>
        </w:rPr>
        <w:t xml:space="preserve"> </w:t>
      </w:r>
      <w:proofErr w:type="spellStart"/>
      <w:r>
        <w:rPr>
          <w:color w:val="000000"/>
          <w:bdr w:val="none" w:sz="0" w:space="0" w:color="auto" w:frame="1"/>
          <w:lang w:val="tr-TR"/>
        </w:rPr>
        <w:t>economy</w:t>
      </w:r>
      <w:proofErr w:type="spellEnd"/>
      <w:r>
        <w:rPr>
          <w:color w:val="000000"/>
          <w:bdr w:val="none" w:sz="0" w:space="0" w:color="auto" w:frame="1"/>
          <w:lang w:val="tr-TR"/>
        </w:rPr>
        <w:t xml:space="preserve"> (</w:t>
      </w:r>
      <w:r w:rsidRPr="00AD6F70">
        <w:rPr>
          <w:color w:val="000000"/>
          <w:bdr w:val="none" w:sz="0" w:space="0" w:color="auto" w:frame="1"/>
          <w:lang w:val="tr-TR"/>
        </w:rPr>
        <w:t xml:space="preserve">Henry &amp; </w:t>
      </w:r>
      <w:proofErr w:type="spellStart"/>
      <w:r w:rsidRPr="00AD6F70">
        <w:rPr>
          <w:color w:val="000000"/>
          <w:bdr w:val="none" w:sz="0" w:space="0" w:color="auto" w:frame="1"/>
          <w:lang w:val="tr-TR"/>
        </w:rPr>
        <w:t>Springborg</w:t>
      </w:r>
      <w:proofErr w:type="spellEnd"/>
      <w:r w:rsidRPr="00AD6F70">
        <w:rPr>
          <w:color w:val="000000"/>
          <w:bdr w:val="none" w:sz="0" w:space="0" w:color="auto" w:frame="1"/>
          <w:lang w:val="tr-TR"/>
        </w:rPr>
        <w:t>, 2010</w:t>
      </w:r>
      <w:r>
        <w:rPr>
          <w:color w:val="000000"/>
          <w:bdr w:val="none" w:sz="0" w:space="0" w:color="auto" w:frame="1"/>
          <w:lang w:val="tr-TR"/>
        </w:rPr>
        <w:t xml:space="preserve">). Under </w:t>
      </w:r>
      <w:proofErr w:type="spellStart"/>
      <w:r>
        <w:rPr>
          <w:color w:val="000000"/>
          <w:bdr w:val="none" w:sz="0" w:space="0" w:color="auto" w:frame="1"/>
          <w:lang w:val="tr-TR"/>
        </w:rPr>
        <w:t>these</w:t>
      </w:r>
      <w:proofErr w:type="spellEnd"/>
      <w:r>
        <w:rPr>
          <w:color w:val="000000"/>
          <w:bdr w:val="none" w:sz="0" w:space="0" w:color="auto" w:frame="1"/>
          <w:lang w:val="tr-TR"/>
        </w:rPr>
        <w:t xml:space="preserve"> </w:t>
      </w:r>
      <w:proofErr w:type="spellStart"/>
      <w:r>
        <w:rPr>
          <w:color w:val="000000"/>
          <w:bdr w:val="none" w:sz="0" w:space="0" w:color="auto" w:frame="1"/>
          <w:lang w:val="tr-TR"/>
        </w:rPr>
        <w:t>conditions</w:t>
      </w:r>
      <w:proofErr w:type="spellEnd"/>
      <w:r>
        <w:rPr>
          <w:color w:val="000000"/>
          <w:bdr w:val="none" w:sz="0" w:space="0" w:color="auto" w:frame="1"/>
          <w:lang w:val="tr-TR"/>
        </w:rPr>
        <w:t xml:space="preserve"> it </w:t>
      </w:r>
      <w:proofErr w:type="spellStart"/>
      <w:r>
        <w:rPr>
          <w:color w:val="000000"/>
          <w:bdr w:val="none" w:sz="0" w:space="0" w:color="auto" w:frame="1"/>
          <w:lang w:val="tr-TR"/>
        </w:rPr>
        <w:t>seems</w:t>
      </w:r>
      <w:proofErr w:type="spellEnd"/>
      <w:r>
        <w:rPr>
          <w:color w:val="000000"/>
          <w:bdr w:val="none" w:sz="0" w:space="0" w:color="auto" w:frame="1"/>
          <w:lang w:val="tr-TR"/>
        </w:rPr>
        <w:t xml:space="preserve"> </w:t>
      </w:r>
      <w:proofErr w:type="spellStart"/>
      <w:r>
        <w:rPr>
          <w:color w:val="000000"/>
          <w:bdr w:val="none" w:sz="0" w:space="0" w:color="auto" w:frame="1"/>
          <w:lang w:val="tr-TR"/>
        </w:rPr>
        <w:t>reasonable</w:t>
      </w:r>
      <w:proofErr w:type="spellEnd"/>
      <w:r>
        <w:rPr>
          <w:color w:val="000000"/>
          <w:bdr w:val="none" w:sz="0" w:space="0" w:color="auto" w:frame="1"/>
          <w:lang w:val="tr-TR"/>
        </w:rPr>
        <w:t xml:space="preserve"> </w:t>
      </w:r>
      <w:proofErr w:type="spellStart"/>
      <w:r>
        <w:rPr>
          <w:color w:val="000000"/>
          <w:bdr w:val="none" w:sz="0" w:space="0" w:color="auto" w:frame="1"/>
          <w:lang w:val="tr-TR"/>
        </w:rPr>
        <w:t>that</w:t>
      </w:r>
      <w:proofErr w:type="spellEnd"/>
      <w:r>
        <w:rPr>
          <w:color w:val="000000"/>
          <w:bdr w:val="none" w:sz="0" w:space="0" w:color="auto" w:frame="1"/>
          <w:lang w:val="tr-TR"/>
        </w:rPr>
        <w:t xml:space="preserve"> </w:t>
      </w:r>
      <w:proofErr w:type="spellStart"/>
      <w:r>
        <w:rPr>
          <w:color w:val="000000"/>
          <w:bdr w:val="none" w:sz="0" w:space="0" w:color="auto" w:frame="1"/>
          <w:lang w:val="tr-TR"/>
        </w:rPr>
        <w:t>Iraqis</w:t>
      </w:r>
      <w:proofErr w:type="spellEnd"/>
      <w:r>
        <w:rPr>
          <w:color w:val="000000"/>
          <w:bdr w:val="none" w:sz="0" w:space="0" w:color="auto" w:frame="1"/>
          <w:lang w:val="tr-TR"/>
        </w:rPr>
        <w:t xml:space="preserve"> </w:t>
      </w:r>
      <w:proofErr w:type="spellStart"/>
      <w:r>
        <w:rPr>
          <w:color w:val="000000"/>
          <w:bdr w:val="none" w:sz="0" w:space="0" w:color="auto" w:frame="1"/>
          <w:lang w:val="tr-TR"/>
        </w:rPr>
        <w:t>are</w:t>
      </w:r>
      <w:proofErr w:type="spellEnd"/>
      <w:r>
        <w:rPr>
          <w:color w:val="000000"/>
          <w:bdr w:val="none" w:sz="0" w:space="0" w:color="auto" w:frame="1"/>
          <w:lang w:val="tr-TR"/>
        </w:rPr>
        <w:t xml:space="preserve"> not </w:t>
      </w:r>
      <w:proofErr w:type="spellStart"/>
      <w:r>
        <w:rPr>
          <w:color w:val="000000"/>
          <w:bdr w:val="none" w:sz="0" w:space="0" w:color="auto" w:frame="1"/>
          <w:lang w:val="tr-TR"/>
        </w:rPr>
        <w:t>willing</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w:t>
      </w:r>
      <w:proofErr w:type="spellStart"/>
      <w:r>
        <w:rPr>
          <w:color w:val="000000"/>
          <w:bdr w:val="none" w:sz="0" w:space="0" w:color="auto" w:frame="1"/>
          <w:lang w:val="tr-TR"/>
        </w:rPr>
        <w:t>grant</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government</w:t>
      </w:r>
      <w:proofErr w:type="spellEnd"/>
      <w:r>
        <w:rPr>
          <w:color w:val="000000"/>
          <w:bdr w:val="none" w:sz="0" w:space="0" w:color="auto" w:frame="1"/>
          <w:lang w:val="tr-TR"/>
        </w:rPr>
        <w:t xml:space="preserve"> </w:t>
      </w:r>
      <w:proofErr w:type="spellStart"/>
      <w:r>
        <w:rPr>
          <w:color w:val="000000"/>
          <w:bdr w:val="none" w:sz="0" w:space="0" w:color="auto" w:frame="1"/>
          <w:lang w:val="tr-TR"/>
        </w:rPr>
        <w:t>more</w:t>
      </w:r>
      <w:proofErr w:type="spellEnd"/>
      <w:r>
        <w:rPr>
          <w:color w:val="000000"/>
          <w:bdr w:val="none" w:sz="0" w:space="0" w:color="auto" w:frame="1"/>
          <w:lang w:val="tr-TR"/>
        </w:rPr>
        <w:t xml:space="preserve"> </w:t>
      </w:r>
      <w:proofErr w:type="spellStart"/>
      <w:r>
        <w:rPr>
          <w:color w:val="000000"/>
          <w:bdr w:val="none" w:sz="0" w:space="0" w:color="auto" w:frame="1"/>
          <w:lang w:val="tr-TR"/>
        </w:rPr>
        <w:t>control</w:t>
      </w:r>
      <w:proofErr w:type="spellEnd"/>
      <w:r>
        <w:rPr>
          <w:color w:val="000000"/>
          <w:bdr w:val="none" w:sz="0" w:space="0" w:color="auto" w:frame="1"/>
          <w:lang w:val="tr-TR"/>
        </w:rPr>
        <w:t xml:space="preserve"> </w:t>
      </w:r>
      <w:proofErr w:type="spellStart"/>
      <w:r>
        <w:rPr>
          <w:color w:val="000000"/>
          <w:bdr w:val="none" w:sz="0" w:space="0" w:color="auto" w:frame="1"/>
          <w:lang w:val="tr-TR"/>
        </w:rPr>
        <w:t>over</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assets</w:t>
      </w:r>
      <w:proofErr w:type="spellEnd"/>
      <w:r>
        <w:rPr>
          <w:color w:val="000000"/>
          <w:bdr w:val="none" w:sz="0" w:space="0" w:color="auto" w:frame="1"/>
          <w:lang w:val="tr-TR"/>
        </w:rPr>
        <w:t xml:space="preserve"> of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country</w:t>
      </w:r>
      <w:proofErr w:type="spellEnd"/>
      <w:r>
        <w:rPr>
          <w:color w:val="000000"/>
          <w:bdr w:val="none" w:sz="0" w:space="0" w:color="auto" w:frame="1"/>
          <w:lang w:val="tr-TR"/>
        </w:rPr>
        <w:t xml:space="preserve">. </w:t>
      </w:r>
      <w:proofErr w:type="spellStart"/>
      <w:r>
        <w:rPr>
          <w:color w:val="000000"/>
          <w:bdr w:val="none" w:sz="0" w:space="0" w:color="auto" w:frame="1"/>
          <w:lang w:val="tr-TR"/>
        </w:rPr>
        <w:t>Nevertheless</w:t>
      </w:r>
      <w:proofErr w:type="spellEnd"/>
      <w:r>
        <w:rPr>
          <w:color w:val="000000"/>
          <w:bdr w:val="none" w:sz="0" w:space="0" w:color="auto" w:frame="1"/>
          <w:lang w:val="tr-TR"/>
        </w:rPr>
        <w:t xml:space="preserve">, </w:t>
      </w:r>
      <w:proofErr w:type="spellStart"/>
      <w:r>
        <w:rPr>
          <w:color w:val="000000"/>
          <w:bdr w:val="none" w:sz="0" w:space="0" w:color="auto" w:frame="1"/>
          <w:lang w:val="tr-TR"/>
        </w:rPr>
        <w:t>we</w:t>
      </w:r>
      <w:proofErr w:type="spellEnd"/>
      <w:r>
        <w:rPr>
          <w:color w:val="000000"/>
          <w:bdr w:val="none" w:sz="0" w:space="0" w:color="auto" w:frame="1"/>
          <w:lang w:val="tr-TR"/>
        </w:rPr>
        <w:t xml:space="preserve"> </w:t>
      </w:r>
      <w:proofErr w:type="spellStart"/>
      <w:r>
        <w:rPr>
          <w:color w:val="000000"/>
          <w:bdr w:val="none" w:sz="0" w:space="0" w:color="auto" w:frame="1"/>
          <w:lang w:val="tr-TR"/>
        </w:rPr>
        <w:t>see</w:t>
      </w:r>
      <w:proofErr w:type="spellEnd"/>
      <w:r>
        <w:rPr>
          <w:color w:val="000000"/>
          <w:bdr w:val="none" w:sz="0" w:space="0" w:color="auto" w:frame="1"/>
          <w:lang w:val="tr-TR"/>
        </w:rPr>
        <w:t xml:space="preserve"> in </w:t>
      </w:r>
      <w:proofErr w:type="spellStart"/>
      <w:r w:rsidRPr="00A86F97">
        <w:rPr>
          <w:color w:val="000000"/>
          <w:bdr w:val="none" w:sz="0" w:space="0" w:color="auto" w:frame="1"/>
          <w:lang w:val="tr-TR"/>
        </w:rPr>
        <w:t>Iraq</w:t>
      </w:r>
      <w:proofErr w:type="spellEnd"/>
      <w:r w:rsidRPr="00A86F97">
        <w:rPr>
          <w:color w:val="000000"/>
          <w:bdr w:val="none" w:sz="0" w:space="0" w:color="auto" w:frame="1"/>
          <w:lang w:val="tr-TR"/>
        </w:rPr>
        <w:t xml:space="preserve"> </w:t>
      </w:r>
      <w:proofErr w:type="spellStart"/>
      <w:r>
        <w:rPr>
          <w:color w:val="000000"/>
          <w:bdr w:val="none" w:sz="0" w:space="0" w:color="auto" w:frame="1"/>
          <w:lang w:val="tr-TR"/>
        </w:rPr>
        <w:t>also</w:t>
      </w:r>
      <w:proofErr w:type="spellEnd"/>
      <w:r>
        <w:rPr>
          <w:color w:val="000000"/>
          <w:bdr w:val="none" w:sz="0" w:space="0" w:color="auto" w:frame="1"/>
          <w:lang w:val="tr-TR"/>
        </w:rPr>
        <w:t xml:space="preserve"> a</w:t>
      </w:r>
      <w:r w:rsidRPr="00A86F97">
        <w:rPr>
          <w:color w:val="000000"/>
          <w:bdr w:val="none" w:sz="0" w:space="0" w:color="auto" w:frame="1"/>
          <w:lang w:val="tr-TR"/>
        </w:rPr>
        <w:t xml:space="preserve"> </w:t>
      </w:r>
      <w:proofErr w:type="spellStart"/>
      <w:r w:rsidRPr="00A86F97">
        <w:rPr>
          <w:color w:val="000000"/>
          <w:bdr w:val="none" w:sz="0" w:space="0" w:color="auto" w:frame="1"/>
          <w:lang w:val="tr-TR"/>
        </w:rPr>
        <w:t>contradiction</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between</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people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desiring</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more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private</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property</w:t>
      </w:r>
      <w:proofErr w:type="spellEnd"/>
      <w:r w:rsidRPr="00A86F97">
        <w:rPr>
          <w:color w:val="000000"/>
          <w:bdr w:val="none" w:sz="0" w:space="0" w:color="auto" w:frame="1"/>
          <w:lang w:val="tr-TR"/>
        </w:rPr>
        <w:t xml:space="preserve">, but </w:t>
      </w:r>
      <w:proofErr w:type="spellStart"/>
      <w:r w:rsidRPr="00A86F97">
        <w:rPr>
          <w:color w:val="000000"/>
          <w:bdr w:val="none" w:sz="0" w:space="0" w:color="auto" w:frame="1"/>
          <w:lang w:val="tr-TR"/>
        </w:rPr>
        <w:t>rejecting</w:t>
      </w:r>
      <w:proofErr w:type="spellEnd"/>
      <w:r w:rsidRPr="00A86F97">
        <w:rPr>
          <w:color w:val="000000"/>
          <w:bdr w:val="none" w:sz="0" w:space="0" w:color="auto" w:frame="1"/>
          <w:lang w:val="tr-TR"/>
        </w:rPr>
        <w:t xml:space="preserve"> </w:t>
      </w:r>
      <w:proofErr w:type="spellStart"/>
      <w:r w:rsidRPr="00A86F97">
        <w:rPr>
          <w:color w:val="000000"/>
          <w:bdr w:val="none" w:sz="0" w:space="0" w:color="auto" w:frame="1"/>
          <w:lang w:val="tr-TR"/>
        </w:rPr>
        <w:t>competition</w:t>
      </w:r>
      <w:proofErr w:type="spellEnd"/>
      <w:r>
        <w:rPr>
          <w:color w:val="000000"/>
          <w:bdr w:val="none" w:sz="0" w:space="0" w:color="auto" w:frame="1"/>
          <w:lang w:val="tr-TR"/>
        </w:rPr>
        <w:t xml:space="preserve">. </w:t>
      </w:r>
      <w:proofErr w:type="spellStart"/>
      <w:r>
        <w:rPr>
          <w:color w:val="000000"/>
          <w:bdr w:val="none" w:sz="0" w:space="0" w:color="auto" w:frame="1"/>
          <w:lang w:val="tr-TR"/>
        </w:rPr>
        <w:t>This</w:t>
      </w:r>
      <w:proofErr w:type="spellEnd"/>
      <w:r>
        <w:rPr>
          <w:color w:val="000000"/>
          <w:bdr w:val="none" w:sz="0" w:space="0" w:color="auto" w:frame="1"/>
          <w:lang w:val="tr-TR"/>
        </w:rPr>
        <w:t xml:space="preserve"> </w:t>
      </w:r>
      <w:proofErr w:type="spellStart"/>
      <w:r>
        <w:rPr>
          <w:color w:val="000000"/>
          <w:bdr w:val="none" w:sz="0" w:space="0" w:color="auto" w:frame="1"/>
          <w:lang w:val="tr-TR"/>
        </w:rPr>
        <w:t>mindset</w:t>
      </w:r>
      <w:proofErr w:type="spellEnd"/>
      <w:r>
        <w:rPr>
          <w:color w:val="000000"/>
          <w:bdr w:val="none" w:sz="0" w:space="0" w:color="auto" w:frame="1"/>
          <w:lang w:val="tr-TR"/>
        </w:rPr>
        <w:t xml:space="preserve"> is not </w:t>
      </w:r>
      <w:proofErr w:type="spellStart"/>
      <w:r>
        <w:rPr>
          <w:color w:val="000000"/>
          <w:bdr w:val="none" w:sz="0" w:space="0" w:color="auto" w:frame="1"/>
          <w:lang w:val="tr-TR"/>
        </w:rPr>
        <w:t>appropriate</w:t>
      </w:r>
      <w:proofErr w:type="spellEnd"/>
      <w:r>
        <w:rPr>
          <w:color w:val="000000"/>
          <w:bdr w:val="none" w:sz="0" w:space="0" w:color="auto" w:frame="1"/>
          <w:lang w:val="tr-TR"/>
        </w:rPr>
        <w:t xml:space="preserve"> </w:t>
      </w:r>
      <w:proofErr w:type="spellStart"/>
      <w:r>
        <w:rPr>
          <w:color w:val="000000"/>
          <w:bdr w:val="none" w:sz="0" w:space="0" w:color="auto" w:frame="1"/>
          <w:lang w:val="tr-TR"/>
        </w:rPr>
        <w:t>for</w:t>
      </w:r>
      <w:proofErr w:type="spellEnd"/>
      <w:r>
        <w:rPr>
          <w:color w:val="000000"/>
          <w:bdr w:val="none" w:sz="0" w:space="0" w:color="auto" w:frame="1"/>
          <w:lang w:val="tr-TR"/>
        </w:rPr>
        <w:t xml:space="preserve"> a market </w:t>
      </w:r>
      <w:proofErr w:type="spellStart"/>
      <w:r>
        <w:rPr>
          <w:color w:val="000000"/>
          <w:bdr w:val="none" w:sz="0" w:space="0" w:color="auto" w:frame="1"/>
          <w:lang w:val="tr-TR"/>
        </w:rPr>
        <w:t>economy</w:t>
      </w:r>
      <w:proofErr w:type="spellEnd"/>
      <w:r>
        <w:rPr>
          <w:color w:val="000000"/>
          <w:bdr w:val="none" w:sz="0" w:space="0" w:color="auto" w:frame="1"/>
          <w:lang w:val="tr-TR"/>
        </w:rPr>
        <w:t xml:space="preserve">, but </w:t>
      </w:r>
      <w:proofErr w:type="spellStart"/>
      <w:r>
        <w:rPr>
          <w:color w:val="000000"/>
          <w:bdr w:val="none" w:sz="0" w:space="0" w:color="auto" w:frame="1"/>
          <w:lang w:val="tr-TR"/>
        </w:rPr>
        <w:t>m</w:t>
      </w:r>
      <w:r w:rsidRPr="00A86F97">
        <w:rPr>
          <w:color w:val="000000"/>
          <w:bdr w:val="none" w:sz="0" w:space="0" w:color="auto" w:frame="1"/>
          <w:lang w:val="tr-TR"/>
        </w:rPr>
        <w:t>aybe</w:t>
      </w:r>
      <w:proofErr w:type="spellEnd"/>
      <w:r w:rsidRPr="00A86F97">
        <w:rPr>
          <w:color w:val="000000"/>
          <w:bdr w:val="none" w:sz="0" w:space="0" w:color="auto" w:frame="1"/>
          <w:lang w:val="tr-TR"/>
        </w:rPr>
        <w:t xml:space="preserve"> </w:t>
      </w:r>
      <w:proofErr w:type="spellStart"/>
      <w:r>
        <w:rPr>
          <w:color w:val="000000"/>
          <w:bdr w:val="none" w:sz="0" w:space="0" w:color="auto" w:frame="1"/>
          <w:lang w:val="tr-TR"/>
        </w:rPr>
        <w:t>could</w:t>
      </w:r>
      <w:proofErr w:type="spellEnd"/>
      <w:r>
        <w:rPr>
          <w:color w:val="000000"/>
          <w:bdr w:val="none" w:sz="0" w:space="0" w:color="auto" w:frame="1"/>
          <w:lang w:val="tr-TR"/>
        </w:rPr>
        <w:t xml:space="preserve"> fit a </w:t>
      </w:r>
      <w:proofErr w:type="spellStart"/>
      <w:r>
        <w:rPr>
          <w:color w:val="000000"/>
          <w:bdr w:val="none" w:sz="0" w:space="0" w:color="auto" w:frame="1"/>
          <w:lang w:val="tr-TR"/>
        </w:rPr>
        <w:t>political</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economic</w:t>
      </w:r>
      <w:proofErr w:type="spellEnd"/>
      <w:r>
        <w:rPr>
          <w:color w:val="000000"/>
          <w:bdr w:val="none" w:sz="0" w:space="0" w:color="auto" w:frame="1"/>
          <w:lang w:val="tr-TR"/>
        </w:rPr>
        <w:t xml:space="preserve"> </w:t>
      </w:r>
      <w:proofErr w:type="spellStart"/>
      <w:r>
        <w:rPr>
          <w:color w:val="000000"/>
          <w:bdr w:val="none" w:sz="0" w:space="0" w:color="auto" w:frame="1"/>
          <w:lang w:val="tr-TR"/>
        </w:rPr>
        <w:t>system</w:t>
      </w:r>
      <w:proofErr w:type="spellEnd"/>
      <w:r>
        <w:rPr>
          <w:color w:val="000000"/>
          <w:bdr w:val="none" w:sz="0" w:space="0" w:color="auto" w:frame="1"/>
          <w:lang w:val="tr-TR"/>
        </w:rPr>
        <w:t xml:space="preserve"> </w:t>
      </w:r>
      <w:proofErr w:type="spellStart"/>
      <w:r>
        <w:rPr>
          <w:color w:val="000000"/>
          <w:bdr w:val="none" w:sz="0" w:space="0" w:color="auto" w:frame="1"/>
          <w:lang w:val="tr-TR"/>
        </w:rPr>
        <w:t>built</w:t>
      </w:r>
      <w:proofErr w:type="spellEnd"/>
      <w:r>
        <w:rPr>
          <w:color w:val="000000"/>
          <w:bdr w:val="none" w:sz="0" w:space="0" w:color="auto" w:frame="1"/>
          <w:lang w:val="tr-TR"/>
        </w:rPr>
        <w:t xml:space="preserve"> on </w:t>
      </w:r>
      <w:proofErr w:type="spellStart"/>
      <w:r>
        <w:rPr>
          <w:color w:val="000000"/>
          <w:bdr w:val="none" w:sz="0" w:space="0" w:color="auto" w:frame="1"/>
          <w:lang w:val="tr-TR"/>
        </w:rPr>
        <w:t>private</w:t>
      </w:r>
      <w:proofErr w:type="spellEnd"/>
      <w:r>
        <w:rPr>
          <w:color w:val="000000"/>
          <w:bdr w:val="none" w:sz="0" w:space="0" w:color="auto" w:frame="1"/>
          <w:lang w:val="tr-TR"/>
        </w:rPr>
        <w:t xml:space="preserve"> </w:t>
      </w:r>
      <w:proofErr w:type="spellStart"/>
      <w:r>
        <w:rPr>
          <w:color w:val="000000"/>
          <w:bdr w:val="none" w:sz="0" w:space="0" w:color="auto" w:frame="1"/>
          <w:lang w:val="tr-TR"/>
        </w:rPr>
        <w:t>monopolies</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sidRPr="00A86F97">
        <w:rPr>
          <w:color w:val="000000"/>
          <w:bdr w:val="none" w:sz="0" w:space="0" w:color="auto" w:frame="1"/>
          <w:lang w:val="tr-TR"/>
        </w:rPr>
        <w:t>clientelis</w:t>
      </w:r>
      <w:r>
        <w:rPr>
          <w:color w:val="000000"/>
          <w:bdr w:val="none" w:sz="0" w:space="0" w:color="auto" w:frame="1"/>
          <w:lang w:val="tr-TR"/>
        </w:rPr>
        <w:t>m</w:t>
      </w:r>
      <w:proofErr w:type="spellEnd"/>
      <w:r>
        <w:rPr>
          <w:color w:val="000000"/>
          <w:bdr w:val="none" w:sz="0" w:space="0" w:color="auto" w:frame="1"/>
          <w:lang w:val="tr-TR"/>
        </w:rPr>
        <w:t>.</w:t>
      </w:r>
    </w:p>
    <w:p w14:paraId="69A23A88" w14:textId="77777777" w:rsidR="00BA67A6" w:rsidRDefault="00BA67A6" w:rsidP="00BA67A6">
      <w:pPr>
        <w:pStyle w:val="font8"/>
        <w:spacing w:before="0" w:beforeAutospacing="0" w:after="0" w:afterAutospacing="0"/>
        <w:jc w:val="both"/>
        <w:textAlignment w:val="baseline"/>
        <w:rPr>
          <w:color w:val="000000"/>
          <w:bdr w:val="none" w:sz="0" w:space="0" w:color="auto" w:frame="1"/>
        </w:rPr>
      </w:pPr>
    </w:p>
    <w:p w14:paraId="2C021392" w14:textId="77777777" w:rsidR="00DE2637" w:rsidRDefault="00DE2637" w:rsidP="00BA67A6">
      <w:pPr>
        <w:pStyle w:val="font8"/>
        <w:spacing w:before="0" w:beforeAutospacing="0" w:after="0" w:afterAutospacing="0"/>
        <w:jc w:val="both"/>
        <w:textAlignment w:val="baseline"/>
        <w:rPr>
          <w:color w:val="000000"/>
          <w:bdr w:val="none" w:sz="0" w:space="0" w:color="auto" w:frame="1"/>
          <w:lang w:val="tr-TR"/>
        </w:rPr>
      </w:pPr>
      <w:r>
        <w:rPr>
          <w:color w:val="000000"/>
          <w:bdr w:val="none" w:sz="0" w:space="0" w:color="auto" w:frame="1"/>
        </w:rPr>
        <w:t xml:space="preserve">Another difference between Türkiye and Iraq shows up in the results of question 108 of the WVS. Participants were asked </w:t>
      </w:r>
      <w:r w:rsidRPr="005A6093">
        <w:rPr>
          <w:color w:val="000000"/>
          <w:bdr w:val="none" w:sz="0" w:space="0" w:color="auto" w:frame="1"/>
        </w:rPr>
        <w:t xml:space="preserve">who should take more responsibility, the government or </w:t>
      </w:r>
      <w:proofErr w:type="gramStart"/>
      <w:r w:rsidRPr="005A6093">
        <w:rPr>
          <w:color w:val="000000"/>
          <w:bdr w:val="none" w:sz="0" w:space="0" w:color="auto" w:frame="1"/>
        </w:rPr>
        <w:t>people</w:t>
      </w:r>
      <w:proofErr w:type="gramEnd"/>
      <w:r w:rsidRPr="005A6093">
        <w:rPr>
          <w:color w:val="000000"/>
          <w:bdr w:val="none" w:sz="0" w:space="0" w:color="auto" w:frame="1"/>
        </w:rPr>
        <w:t xml:space="preserve"> themselves</w:t>
      </w:r>
      <w:r>
        <w:rPr>
          <w:color w:val="000000"/>
          <w:bdr w:val="none" w:sz="0" w:space="0" w:color="auto" w:frame="1"/>
        </w:rPr>
        <w:t xml:space="preserve">. </w:t>
      </w:r>
      <w:r w:rsidRPr="005A6093">
        <w:rPr>
          <w:color w:val="000000"/>
          <w:bdr w:val="none" w:sz="0" w:space="0" w:color="auto" w:frame="1"/>
        </w:rPr>
        <w:t xml:space="preserve"> </w:t>
      </w:r>
      <w:r>
        <w:rPr>
          <w:color w:val="000000"/>
          <w:bdr w:val="none" w:sz="0" w:space="0" w:color="auto" w:frame="1"/>
        </w:rPr>
        <w:t xml:space="preserve">In Türkiye, </w:t>
      </w:r>
      <w:r w:rsidRPr="005A6093">
        <w:rPr>
          <w:color w:val="000000"/>
          <w:bdr w:val="none" w:sz="0" w:space="0" w:color="auto" w:frame="1"/>
        </w:rPr>
        <w:t xml:space="preserve">40,7% </w:t>
      </w:r>
      <w:r>
        <w:rPr>
          <w:color w:val="000000"/>
          <w:bdr w:val="none" w:sz="0" w:space="0" w:color="auto" w:frame="1"/>
        </w:rPr>
        <w:t>answered</w:t>
      </w:r>
      <w:r w:rsidRPr="005A6093">
        <w:rPr>
          <w:color w:val="000000"/>
          <w:bdr w:val="none" w:sz="0" w:space="0" w:color="auto" w:frame="1"/>
        </w:rPr>
        <w:t xml:space="preserve"> that the government should take more responsibility (1-4</w:t>
      </w:r>
      <w:r>
        <w:rPr>
          <w:color w:val="000000"/>
          <w:bdr w:val="none" w:sz="0" w:space="0" w:color="auto" w:frame="1"/>
        </w:rPr>
        <w:t xml:space="preserve"> on a 10-point scale</w:t>
      </w:r>
      <w:r w:rsidRPr="005A6093">
        <w:rPr>
          <w:color w:val="000000"/>
          <w:bdr w:val="none" w:sz="0" w:space="0" w:color="auto" w:frame="1"/>
        </w:rPr>
        <w:t>), 26,8% were rather undecided (5-6) and 30,4</w:t>
      </w:r>
      <w:r>
        <w:rPr>
          <w:color w:val="000000"/>
          <w:bdr w:val="none" w:sz="0" w:space="0" w:color="auto" w:frame="1"/>
        </w:rPr>
        <w:t>%</w:t>
      </w:r>
      <w:r w:rsidRPr="005A6093">
        <w:rPr>
          <w:color w:val="000000"/>
          <w:bdr w:val="none" w:sz="0" w:space="0" w:color="auto" w:frame="1"/>
        </w:rPr>
        <w:t xml:space="preserve"> thought that “people should take more responsibility to provide for themselves.” The mean value of 4,9 </w:t>
      </w:r>
      <w:r>
        <w:rPr>
          <w:color w:val="000000"/>
          <w:bdr w:val="none" w:sz="0" w:space="0" w:color="auto" w:frame="1"/>
        </w:rPr>
        <w:t>reflects also</w:t>
      </w:r>
      <w:r w:rsidRPr="005A6093">
        <w:rPr>
          <w:color w:val="000000"/>
          <w:bdr w:val="none" w:sz="0" w:space="0" w:color="auto" w:frame="1"/>
        </w:rPr>
        <w:t xml:space="preserve"> a slight preference for government responsibility.</w:t>
      </w:r>
      <w:r>
        <w:rPr>
          <w:color w:val="000000"/>
          <w:bdr w:val="none" w:sz="0" w:space="0" w:color="auto" w:frame="1"/>
        </w:rPr>
        <w:t xml:space="preserve"> But in Iraq </w:t>
      </w:r>
      <w:r w:rsidRPr="00A85287">
        <w:rPr>
          <w:color w:val="000000"/>
          <w:bdr w:val="none" w:sz="0" w:space="0" w:color="auto" w:frame="1"/>
          <w:lang w:val="tr-TR"/>
        </w:rPr>
        <w:t xml:space="preserve">an </w:t>
      </w:r>
      <w:proofErr w:type="spellStart"/>
      <w:r w:rsidRPr="00A85287">
        <w:rPr>
          <w:color w:val="000000"/>
          <w:bdr w:val="none" w:sz="0" w:space="0" w:color="auto" w:frame="1"/>
          <w:lang w:val="tr-TR"/>
        </w:rPr>
        <w:t>overwhelming</w:t>
      </w:r>
      <w:proofErr w:type="spellEnd"/>
      <w:r w:rsidRPr="00A85287">
        <w:rPr>
          <w:color w:val="000000"/>
          <w:bdr w:val="none" w:sz="0" w:space="0" w:color="auto" w:frame="1"/>
          <w:lang w:val="tr-TR"/>
        </w:rPr>
        <w:t xml:space="preserve"> 75,5 % </w:t>
      </w:r>
      <w:proofErr w:type="spellStart"/>
      <w:r>
        <w:rPr>
          <w:color w:val="000000"/>
          <w:bdr w:val="none" w:sz="0" w:space="0" w:color="auto" w:frame="1"/>
          <w:lang w:val="tr-TR"/>
        </w:rPr>
        <w:t>thought</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that</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people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should</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take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more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responsibility</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to</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provide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for</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themselves</w:t>
      </w:r>
      <w:proofErr w:type="spellEnd"/>
      <w:r>
        <w:rPr>
          <w:color w:val="000000"/>
          <w:bdr w:val="none" w:sz="0" w:space="0" w:color="auto" w:frame="1"/>
          <w:lang w:val="tr-TR"/>
        </w:rPr>
        <w:t xml:space="preserve"> </w:t>
      </w:r>
      <w:proofErr w:type="gramStart"/>
      <w:r w:rsidRPr="00A85287">
        <w:rPr>
          <w:color w:val="000000"/>
          <w:bdr w:val="none" w:sz="0" w:space="0" w:color="auto" w:frame="1"/>
          <w:lang w:val="tr-TR"/>
        </w:rPr>
        <w:t>“ (</w:t>
      </w:r>
      <w:proofErr w:type="gramEnd"/>
      <w:r w:rsidRPr="00A85287">
        <w:rPr>
          <w:color w:val="000000"/>
          <w:bdr w:val="none" w:sz="0" w:space="0" w:color="auto" w:frame="1"/>
          <w:lang w:val="tr-TR"/>
        </w:rPr>
        <w:t xml:space="preserve">1-4), 15,5 % </w:t>
      </w:r>
      <w:proofErr w:type="spellStart"/>
      <w:r w:rsidRPr="00A85287">
        <w:rPr>
          <w:color w:val="000000"/>
          <w:bdr w:val="none" w:sz="0" w:space="0" w:color="auto" w:frame="1"/>
          <w:lang w:val="tr-TR"/>
        </w:rPr>
        <w:t>were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rather</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undecided</w:t>
      </w:r>
      <w:proofErr w:type="spellEnd"/>
      <w:r w:rsidRPr="00A85287">
        <w:rPr>
          <w:color w:val="000000"/>
          <w:bdr w:val="none" w:sz="0" w:space="0" w:color="auto" w:frame="1"/>
          <w:lang w:val="tr-TR"/>
        </w:rPr>
        <w:t xml:space="preserve"> (5-6) </w:t>
      </w:r>
      <w:proofErr w:type="spellStart"/>
      <w:r w:rsidRPr="00A85287">
        <w:rPr>
          <w:color w:val="000000"/>
          <w:bdr w:val="none" w:sz="0" w:space="0" w:color="auto" w:frame="1"/>
          <w:lang w:val="tr-TR"/>
        </w:rPr>
        <w:t>and</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just</w:t>
      </w:r>
      <w:proofErr w:type="spellEnd"/>
      <w:r w:rsidRPr="00A85287">
        <w:rPr>
          <w:color w:val="000000"/>
          <w:bdr w:val="none" w:sz="0" w:space="0" w:color="auto" w:frame="1"/>
          <w:lang w:val="tr-TR"/>
        </w:rPr>
        <w:t xml:space="preserve"> 9,5 % </w:t>
      </w:r>
      <w:proofErr w:type="spellStart"/>
      <w:r w:rsidRPr="00A85287">
        <w:rPr>
          <w:color w:val="000000"/>
          <w:bdr w:val="none" w:sz="0" w:space="0" w:color="auto" w:frame="1"/>
          <w:lang w:val="tr-TR"/>
        </w:rPr>
        <w:t>thought</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that</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government</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should</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take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more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responsibility</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The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mean</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value</w:t>
      </w:r>
      <w:proofErr w:type="spellEnd"/>
      <w:r w:rsidRPr="00A85287">
        <w:rPr>
          <w:color w:val="000000"/>
          <w:bdr w:val="none" w:sz="0" w:space="0" w:color="auto" w:frame="1"/>
          <w:lang w:val="tr-TR"/>
        </w:rPr>
        <w:t xml:space="preserve"> of 7,89</w:t>
      </w:r>
      <w:r>
        <w:rPr>
          <w:color w:val="000000"/>
          <w:bdr w:val="none" w:sz="0" w:space="0" w:color="auto" w:frame="1"/>
          <w:lang w:val="tr-TR"/>
        </w:rPr>
        <w:t xml:space="preserve"> </w:t>
      </w:r>
      <w:proofErr w:type="spellStart"/>
      <w:r>
        <w:rPr>
          <w:color w:val="000000"/>
          <w:bdr w:val="none" w:sz="0" w:space="0" w:color="auto" w:frame="1"/>
          <w:lang w:val="tr-TR"/>
        </w:rPr>
        <w:t>also</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shows</w:t>
      </w:r>
      <w:proofErr w:type="spellEnd"/>
      <w:r w:rsidRPr="00A85287">
        <w:rPr>
          <w:color w:val="000000"/>
          <w:bdr w:val="none" w:sz="0" w:space="0" w:color="auto" w:frame="1"/>
          <w:lang w:val="tr-TR"/>
        </w:rPr>
        <w:t xml:space="preserve"> a </w:t>
      </w:r>
      <w:proofErr w:type="spellStart"/>
      <w:r w:rsidRPr="00A85287">
        <w:rPr>
          <w:color w:val="000000"/>
          <w:bdr w:val="none" w:sz="0" w:space="0" w:color="auto" w:frame="1"/>
          <w:lang w:val="tr-TR"/>
        </w:rPr>
        <w:t>strong</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preference</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for</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individual</w:t>
      </w:r>
      <w:proofErr w:type="spellEnd"/>
      <w:r w:rsidRPr="00A85287">
        <w:rPr>
          <w:color w:val="000000"/>
          <w:bdr w:val="none" w:sz="0" w:space="0" w:color="auto" w:frame="1"/>
          <w:lang w:val="tr-TR"/>
        </w:rPr>
        <w:t xml:space="preserve"> </w:t>
      </w:r>
      <w:proofErr w:type="spellStart"/>
      <w:r w:rsidRPr="00A85287">
        <w:rPr>
          <w:color w:val="000000"/>
          <w:bdr w:val="none" w:sz="0" w:space="0" w:color="auto" w:frame="1"/>
          <w:lang w:val="tr-TR"/>
        </w:rPr>
        <w:t>responsibility</w:t>
      </w:r>
      <w:proofErr w:type="spellEnd"/>
      <w:r w:rsidRPr="00A85287">
        <w:rPr>
          <w:color w:val="000000"/>
          <w:bdr w:val="none" w:sz="0" w:space="0" w:color="auto" w:frame="1"/>
          <w:lang w:val="tr-TR"/>
        </w:rPr>
        <w:t>.</w:t>
      </w:r>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results</w:t>
      </w:r>
      <w:proofErr w:type="spellEnd"/>
      <w:r>
        <w:rPr>
          <w:color w:val="000000"/>
          <w:bdr w:val="none" w:sz="0" w:space="0" w:color="auto" w:frame="1"/>
          <w:lang w:val="tr-TR"/>
        </w:rPr>
        <w:t xml:space="preserve"> </w:t>
      </w:r>
      <w:proofErr w:type="spellStart"/>
      <w:r>
        <w:rPr>
          <w:color w:val="000000"/>
          <w:bdr w:val="none" w:sz="0" w:space="0" w:color="auto" w:frame="1"/>
          <w:lang w:val="tr-TR"/>
        </w:rPr>
        <w:t>for</w:t>
      </w:r>
      <w:proofErr w:type="spellEnd"/>
      <w:r>
        <w:rPr>
          <w:color w:val="000000"/>
          <w:bdr w:val="none" w:sz="0" w:space="0" w:color="auto" w:frame="1"/>
          <w:lang w:val="tr-TR"/>
        </w:rPr>
        <w:t xml:space="preserve"> </w:t>
      </w:r>
      <w:proofErr w:type="spellStart"/>
      <w:r>
        <w:rPr>
          <w:color w:val="000000"/>
          <w:bdr w:val="none" w:sz="0" w:space="0" w:color="auto" w:frame="1"/>
          <w:lang w:val="tr-TR"/>
        </w:rPr>
        <w:t>both</w:t>
      </w:r>
      <w:proofErr w:type="spellEnd"/>
      <w:r>
        <w:rPr>
          <w:color w:val="000000"/>
          <w:bdr w:val="none" w:sz="0" w:space="0" w:color="auto" w:frame="1"/>
          <w:lang w:val="tr-TR"/>
        </w:rPr>
        <w:t xml:space="preserve"> </w:t>
      </w:r>
      <w:proofErr w:type="spellStart"/>
      <w:r>
        <w:rPr>
          <w:color w:val="000000"/>
          <w:bdr w:val="none" w:sz="0" w:space="0" w:color="auto" w:frame="1"/>
          <w:lang w:val="tr-TR"/>
        </w:rPr>
        <w:t>questions</w:t>
      </w:r>
      <w:proofErr w:type="spellEnd"/>
      <w:r>
        <w:rPr>
          <w:color w:val="000000"/>
          <w:bdr w:val="none" w:sz="0" w:space="0" w:color="auto" w:frame="1"/>
          <w:lang w:val="tr-TR"/>
        </w:rPr>
        <w:t xml:space="preserve"> </w:t>
      </w:r>
      <w:proofErr w:type="spellStart"/>
      <w:r>
        <w:rPr>
          <w:color w:val="000000"/>
          <w:bdr w:val="none" w:sz="0" w:space="0" w:color="auto" w:frame="1"/>
          <w:lang w:val="tr-TR"/>
        </w:rPr>
        <w:t>with</w:t>
      </w:r>
      <w:proofErr w:type="spellEnd"/>
      <w:r>
        <w:rPr>
          <w:color w:val="000000"/>
          <w:bdr w:val="none" w:sz="0" w:space="0" w:color="auto" w:frame="1"/>
          <w:lang w:val="tr-TR"/>
        </w:rPr>
        <w:t xml:space="preserve"> </w:t>
      </w:r>
      <w:proofErr w:type="spellStart"/>
      <w:r>
        <w:rPr>
          <w:color w:val="000000"/>
          <w:bdr w:val="none" w:sz="0" w:space="0" w:color="auto" w:frame="1"/>
          <w:lang w:val="tr-TR"/>
        </w:rPr>
        <w:t>regard</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w:t>
      </w:r>
      <w:proofErr w:type="spellStart"/>
      <w:r>
        <w:rPr>
          <w:color w:val="000000"/>
          <w:bdr w:val="none" w:sz="0" w:space="0" w:color="auto" w:frame="1"/>
          <w:lang w:val="tr-TR"/>
        </w:rPr>
        <w:t>property</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responsibility</w:t>
      </w:r>
      <w:proofErr w:type="spellEnd"/>
      <w:r>
        <w:rPr>
          <w:color w:val="000000"/>
          <w:bdr w:val="none" w:sz="0" w:space="0" w:color="auto" w:frame="1"/>
          <w:lang w:val="tr-TR"/>
        </w:rPr>
        <w:t xml:space="preserve"> </w:t>
      </w:r>
      <w:proofErr w:type="spellStart"/>
      <w:r>
        <w:rPr>
          <w:color w:val="000000"/>
          <w:bdr w:val="none" w:sz="0" w:space="0" w:color="auto" w:frame="1"/>
          <w:lang w:val="tr-TR"/>
        </w:rPr>
        <w:t>show</w:t>
      </w:r>
      <w:proofErr w:type="spellEnd"/>
      <w:r>
        <w:rPr>
          <w:color w:val="000000"/>
          <w:bdr w:val="none" w:sz="0" w:space="0" w:color="auto" w:frame="1"/>
          <w:lang w:val="tr-TR"/>
        </w:rPr>
        <w:t xml:space="preserve"> </w:t>
      </w:r>
      <w:proofErr w:type="spellStart"/>
      <w:r>
        <w:rPr>
          <w:color w:val="000000"/>
          <w:bdr w:val="none" w:sz="0" w:space="0" w:color="auto" w:frame="1"/>
          <w:lang w:val="tr-TR"/>
        </w:rPr>
        <w:t>that</w:t>
      </w:r>
      <w:proofErr w:type="spellEnd"/>
      <w:r>
        <w:rPr>
          <w:color w:val="000000"/>
          <w:bdr w:val="none" w:sz="0" w:space="0" w:color="auto" w:frame="1"/>
          <w:lang w:val="tr-TR"/>
        </w:rPr>
        <w:t xml:space="preserve"> in Türkiye </w:t>
      </w:r>
      <w:proofErr w:type="spellStart"/>
      <w:r>
        <w:rPr>
          <w:color w:val="000000"/>
          <w:bdr w:val="none" w:sz="0" w:space="0" w:color="auto" w:frame="1"/>
          <w:lang w:val="tr-TR"/>
        </w:rPr>
        <w:t>there</w:t>
      </w:r>
      <w:proofErr w:type="spellEnd"/>
      <w:r>
        <w:rPr>
          <w:color w:val="000000"/>
          <w:bdr w:val="none" w:sz="0" w:space="0" w:color="auto" w:frame="1"/>
          <w:lang w:val="tr-TR"/>
        </w:rPr>
        <w:t xml:space="preserve"> </w:t>
      </w:r>
      <w:proofErr w:type="spellStart"/>
      <w:r>
        <w:rPr>
          <w:color w:val="000000"/>
          <w:bdr w:val="none" w:sz="0" w:space="0" w:color="auto" w:frame="1"/>
          <w:lang w:val="tr-TR"/>
        </w:rPr>
        <w:t>remains</w:t>
      </w:r>
      <w:proofErr w:type="spellEnd"/>
      <w:r>
        <w:rPr>
          <w:color w:val="000000"/>
          <w:bdr w:val="none" w:sz="0" w:space="0" w:color="auto" w:frame="1"/>
          <w:lang w:val="tr-TR"/>
        </w:rPr>
        <w:t xml:space="preserve"> a </w:t>
      </w:r>
      <w:proofErr w:type="spellStart"/>
      <w:r>
        <w:rPr>
          <w:color w:val="000000"/>
          <w:bdr w:val="none" w:sz="0" w:space="0" w:color="auto" w:frame="1"/>
          <w:lang w:val="tr-TR"/>
        </w:rPr>
        <w:t>mild</w:t>
      </w:r>
      <w:proofErr w:type="spellEnd"/>
      <w:r>
        <w:rPr>
          <w:color w:val="000000"/>
          <w:bdr w:val="none" w:sz="0" w:space="0" w:color="auto" w:frame="1"/>
          <w:lang w:val="tr-TR"/>
        </w:rPr>
        <w:t xml:space="preserve"> </w:t>
      </w:r>
      <w:proofErr w:type="spellStart"/>
      <w:r>
        <w:rPr>
          <w:color w:val="000000"/>
          <w:bdr w:val="none" w:sz="0" w:space="0" w:color="auto" w:frame="1"/>
          <w:lang w:val="tr-TR"/>
        </w:rPr>
        <w:t>belief</w:t>
      </w:r>
      <w:proofErr w:type="spellEnd"/>
      <w:r>
        <w:rPr>
          <w:color w:val="000000"/>
          <w:bdr w:val="none" w:sz="0" w:space="0" w:color="auto" w:frame="1"/>
          <w:lang w:val="tr-TR"/>
        </w:rPr>
        <w:t xml:space="preserve"> in </w:t>
      </w:r>
      <w:proofErr w:type="spellStart"/>
      <w:r>
        <w:rPr>
          <w:color w:val="000000"/>
          <w:bdr w:val="none" w:sz="0" w:space="0" w:color="auto" w:frame="1"/>
          <w:lang w:val="tr-TR"/>
        </w:rPr>
        <w:t>etatism</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father</w:t>
      </w:r>
      <w:proofErr w:type="spellEnd"/>
      <w:r>
        <w:rPr>
          <w:color w:val="000000"/>
          <w:bdr w:val="none" w:sz="0" w:space="0" w:color="auto" w:frame="1"/>
          <w:lang w:val="tr-TR"/>
        </w:rPr>
        <w:t xml:space="preserve"> </w:t>
      </w:r>
      <w:proofErr w:type="spellStart"/>
      <w:r>
        <w:rPr>
          <w:color w:val="000000"/>
          <w:bdr w:val="none" w:sz="0" w:space="0" w:color="auto" w:frame="1"/>
          <w:lang w:val="tr-TR"/>
        </w:rPr>
        <w:t>state</w:t>
      </w:r>
      <w:proofErr w:type="spellEnd"/>
      <w:r>
        <w:rPr>
          <w:color w:val="000000"/>
          <w:bdr w:val="none" w:sz="0" w:space="0" w:color="auto" w:frame="1"/>
          <w:lang w:val="tr-TR"/>
        </w:rPr>
        <w:t>” (</w:t>
      </w:r>
      <w:r w:rsidRPr="00AD6F70">
        <w:rPr>
          <w:i/>
          <w:iCs/>
          <w:color w:val="000000"/>
          <w:bdr w:val="none" w:sz="0" w:space="0" w:color="auto" w:frame="1"/>
          <w:lang w:val="tr-TR"/>
        </w:rPr>
        <w:t>devlet baba</w:t>
      </w:r>
      <w:r>
        <w:rPr>
          <w:color w:val="000000"/>
          <w:bdr w:val="none" w:sz="0" w:space="0" w:color="auto" w:frame="1"/>
          <w:lang w:val="tr-TR"/>
        </w:rPr>
        <w:t xml:space="preserve">), </w:t>
      </w:r>
      <w:proofErr w:type="spellStart"/>
      <w:r>
        <w:rPr>
          <w:color w:val="000000"/>
          <w:bdr w:val="none" w:sz="0" w:space="0" w:color="auto" w:frame="1"/>
          <w:lang w:val="tr-TR"/>
        </w:rPr>
        <w:t>while</w:t>
      </w:r>
      <w:proofErr w:type="spellEnd"/>
      <w:r>
        <w:rPr>
          <w:color w:val="000000"/>
          <w:bdr w:val="none" w:sz="0" w:space="0" w:color="auto" w:frame="1"/>
          <w:lang w:val="tr-TR"/>
        </w:rPr>
        <w:t xml:space="preserve"> in </w:t>
      </w:r>
      <w:proofErr w:type="spellStart"/>
      <w:r>
        <w:rPr>
          <w:color w:val="000000"/>
          <w:bdr w:val="none" w:sz="0" w:space="0" w:color="auto" w:frame="1"/>
          <w:lang w:val="tr-TR"/>
        </w:rPr>
        <w:t>Iraq</w:t>
      </w:r>
      <w:proofErr w:type="spellEnd"/>
      <w:r>
        <w:rPr>
          <w:color w:val="000000"/>
          <w:bdr w:val="none" w:sz="0" w:space="0" w:color="auto" w:frame="1"/>
          <w:lang w:val="tr-TR"/>
        </w:rPr>
        <w:t xml:space="preserve"> </w:t>
      </w:r>
      <w:proofErr w:type="spellStart"/>
      <w:r>
        <w:rPr>
          <w:color w:val="000000"/>
          <w:bdr w:val="none" w:sz="0" w:space="0" w:color="auto" w:frame="1"/>
          <w:lang w:val="tr-TR"/>
        </w:rPr>
        <w:t>people</w:t>
      </w:r>
      <w:proofErr w:type="spellEnd"/>
      <w:r>
        <w:rPr>
          <w:color w:val="000000"/>
          <w:bdr w:val="none" w:sz="0" w:space="0" w:color="auto" w:frame="1"/>
          <w:lang w:val="tr-TR"/>
        </w:rPr>
        <w:t xml:space="preserve"> </w:t>
      </w:r>
      <w:proofErr w:type="spellStart"/>
      <w:r>
        <w:rPr>
          <w:color w:val="000000"/>
          <w:bdr w:val="none" w:sz="0" w:space="0" w:color="auto" w:frame="1"/>
          <w:lang w:val="tr-TR"/>
        </w:rPr>
        <w:t>seem</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be </w:t>
      </w:r>
      <w:proofErr w:type="spellStart"/>
      <w:r>
        <w:rPr>
          <w:color w:val="000000"/>
          <w:bdr w:val="none" w:sz="0" w:space="0" w:color="auto" w:frame="1"/>
          <w:lang w:val="tr-TR"/>
        </w:rPr>
        <w:t>suspicious</w:t>
      </w:r>
      <w:proofErr w:type="spellEnd"/>
      <w:r>
        <w:rPr>
          <w:color w:val="000000"/>
          <w:bdr w:val="none" w:sz="0" w:space="0" w:color="auto" w:frame="1"/>
          <w:lang w:val="tr-TR"/>
        </w:rPr>
        <w:t xml:space="preserve"> </w:t>
      </w:r>
      <w:proofErr w:type="spellStart"/>
      <w:r>
        <w:rPr>
          <w:color w:val="000000"/>
          <w:bdr w:val="none" w:sz="0" w:space="0" w:color="auto" w:frame="1"/>
          <w:lang w:val="tr-TR"/>
        </w:rPr>
        <w:t>towards</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state</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government</w:t>
      </w:r>
      <w:proofErr w:type="spellEnd"/>
      <w:r>
        <w:rPr>
          <w:color w:val="000000"/>
          <w:bdr w:val="none" w:sz="0" w:space="0" w:color="auto" w:frame="1"/>
          <w:lang w:val="tr-TR"/>
        </w:rPr>
        <w:t xml:space="preserve">. </w:t>
      </w:r>
      <w:proofErr w:type="spellStart"/>
      <w:r>
        <w:rPr>
          <w:color w:val="000000"/>
          <w:bdr w:val="none" w:sz="0" w:space="0" w:color="auto" w:frame="1"/>
          <w:lang w:val="tr-TR"/>
        </w:rPr>
        <w:t>Confronted</w:t>
      </w:r>
      <w:proofErr w:type="spellEnd"/>
      <w:r>
        <w:rPr>
          <w:color w:val="000000"/>
          <w:bdr w:val="none" w:sz="0" w:space="0" w:color="auto" w:frame="1"/>
          <w:lang w:val="tr-TR"/>
        </w:rPr>
        <w:t xml:space="preserve"> </w:t>
      </w:r>
      <w:proofErr w:type="spellStart"/>
      <w:r>
        <w:rPr>
          <w:color w:val="000000"/>
          <w:bdr w:val="none" w:sz="0" w:space="0" w:color="auto" w:frame="1"/>
          <w:lang w:val="tr-TR"/>
        </w:rPr>
        <w:t>with</w:t>
      </w:r>
      <w:proofErr w:type="spellEnd"/>
      <w:r>
        <w:rPr>
          <w:color w:val="000000"/>
          <w:bdr w:val="none" w:sz="0" w:space="0" w:color="auto" w:frame="1"/>
          <w:lang w:val="tr-TR"/>
        </w:rPr>
        <w:t xml:space="preserve"> a </w:t>
      </w:r>
      <w:proofErr w:type="spellStart"/>
      <w:r>
        <w:rPr>
          <w:color w:val="000000"/>
          <w:bdr w:val="none" w:sz="0" w:space="0" w:color="auto" w:frame="1"/>
          <w:lang w:val="tr-TR"/>
        </w:rPr>
        <w:t>political</w:t>
      </w:r>
      <w:proofErr w:type="spellEnd"/>
      <w:r>
        <w:rPr>
          <w:color w:val="000000"/>
          <w:bdr w:val="none" w:sz="0" w:space="0" w:color="auto" w:frame="1"/>
          <w:lang w:val="tr-TR"/>
        </w:rPr>
        <w:t xml:space="preserve"> </w:t>
      </w:r>
      <w:proofErr w:type="spellStart"/>
      <w:r>
        <w:rPr>
          <w:color w:val="000000"/>
          <w:bdr w:val="none" w:sz="0" w:space="0" w:color="auto" w:frame="1"/>
          <w:lang w:val="tr-TR"/>
        </w:rPr>
        <w:t>system</w:t>
      </w:r>
      <w:proofErr w:type="spellEnd"/>
      <w:r>
        <w:rPr>
          <w:color w:val="000000"/>
          <w:bdr w:val="none" w:sz="0" w:space="0" w:color="auto" w:frame="1"/>
          <w:lang w:val="tr-TR"/>
        </w:rPr>
        <w:t xml:space="preserve"> </w:t>
      </w:r>
      <w:proofErr w:type="spellStart"/>
      <w:r>
        <w:rPr>
          <w:color w:val="000000"/>
          <w:bdr w:val="none" w:sz="0" w:space="0" w:color="auto" w:frame="1"/>
          <w:lang w:val="tr-TR"/>
        </w:rPr>
        <w:t>characterized</w:t>
      </w:r>
      <w:proofErr w:type="spellEnd"/>
      <w:r>
        <w:rPr>
          <w:color w:val="000000"/>
          <w:bdr w:val="none" w:sz="0" w:space="0" w:color="auto" w:frame="1"/>
          <w:lang w:val="tr-TR"/>
        </w:rPr>
        <w:t xml:space="preserve"> </w:t>
      </w:r>
      <w:proofErr w:type="spellStart"/>
      <w:r>
        <w:rPr>
          <w:color w:val="000000"/>
          <w:bdr w:val="none" w:sz="0" w:space="0" w:color="auto" w:frame="1"/>
          <w:lang w:val="tr-TR"/>
        </w:rPr>
        <w:t>by</w:t>
      </w:r>
      <w:proofErr w:type="spellEnd"/>
      <w:r>
        <w:rPr>
          <w:color w:val="000000"/>
          <w:bdr w:val="none" w:sz="0" w:space="0" w:color="auto" w:frame="1"/>
          <w:lang w:val="tr-TR"/>
        </w:rPr>
        <w:t xml:space="preserve"> </w:t>
      </w:r>
      <w:proofErr w:type="spellStart"/>
      <w:r>
        <w:rPr>
          <w:color w:val="000000"/>
          <w:bdr w:val="none" w:sz="0" w:space="0" w:color="auto" w:frame="1"/>
          <w:lang w:val="tr-TR"/>
        </w:rPr>
        <w:t>ethno-religious</w:t>
      </w:r>
      <w:proofErr w:type="spellEnd"/>
      <w:r>
        <w:rPr>
          <w:color w:val="000000"/>
          <w:bdr w:val="none" w:sz="0" w:space="0" w:color="auto" w:frame="1"/>
          <w:lang w:val="tr-TR"/>
        </w:rPr>
        <w:t xml:space="preserve"> </w:t>
      </w:r>
      <w:proofErr w:type="spellStart"/>
      <w:r>
        <w:rPr>
          <w:color w:val="000000"/>
          <w:bdr w:val="none" w:sz="0" w:space="0" w:color="auto" w:frame="1"/>
          <w:lang w:val="tr-TR"/>
        </w:rPr>
        <w:t>conflicts</w:t>
      </w:r>
      <w:proofErr w:type="spellEnd"/>
      <w:r>
        <w:rPr>
          <w:color w:val="000000"/>
          <w:bdr w:val="none" w:sz="0" w:space="0" w:color="auto" w:frame="1"/>
          <w:lang w:val="tr-TR"/>
        </w:rPr>
        <w:t xml:space="preserve">, </w:t>
      </w:r>
      <w:proofErr w:type="spellStart"/>
      <w:r>
        <w:rPr>
          <w:color w:val="000000"/>
          <w:bdr w:val="none" w:sz="0" w:space="0" w:color="auto" w:frame="1"/>
          <w:lang w:val="tr-TR"/>
        </w:rPr>
        <w:t>clientelism</w:t>
      </w:r>
      <w:proofErr w:type="spellEnd"/>
      <w:r>
        <w:rPr>
          <w:color w:val="000000"/>
          <w:bdr w:val="none" w:sz="0" w:space="0" w:color="auto" w:frame="1"/>
          <w:lang w:val="tr-TR"/>
        </w:rPr>
        <w:t xml:space="preserve">, </w:t>
      </w:r>
      <w:proofErr w:type="spellStart"/>
      <w:r>
        <w:rPr>
          <w:color w:val="000000"/>
          <w:bdr w:val="none" w:sz="0" w:space="0" w:color="auto" w:frame="1"/>
          <w:lang w:val="tr-TR"/>
        </w:rPr>
        <w:t>patronage</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corruption</w:t>
      </w:r>
      <w:proofErr w:type="spellEnd"/>
      <w:r>
        <w:rPr>
          <w:color w:val="000000"/>
          <w:bdr w:val="none" w:sz="0" w:space="0" w:color="auto" w:frame="1"/>
          <w:lang w:val="tr-TR"/>
        </w:rPr>
        <w:t xml:space="preserve"> they do not </w:t>
      </w:r>
      <w:proofErr w:type="spellStart"/>
      <w:r>
        <w:rPr>
          <w:color w:val="000000"/>
          <w:bdr w:val="none" w:sz="0" w:space="0" w:color="auto" w:frame="1"/>
          <w:lang w:val="tr-TR"/>
        </w:rPr>
        <w:t>trust</w:t>
      </w:r>
      <w:proofErr w:type="spellEnd"/>
      <w:r>
        <w:rPr>
          <w:color w:val="000000"/>
          <w:bdr w:val="none" w:sz="0" w:space="0" w:color="auto" w:frame="1"/>
          <w:lang w:val="tr-TR"/>
        </w:rPr>
        <w:t xml:space="preserve"> </w:t>
      </w:r>
      <w:proofErr w:type="spellStart"/>
      <w:r>
        <w:rPr>
          <w:color w:val="000000"/>
          <w:bdr w:val="none" w:sz="0" w:space="0" w:color="auto" w:frame="1"/>
          <w:lang w:val="tr-TR"/>
        </w:rPr>
        <w:t>the</w:t>
      </w:r>
      <w:proofErr w:type="spellEnd"/>
      <w:r>
        <w:rPr>
          <w:color w:val="000000"/>
          <w:bdr w:val="none" w:sz="0" w:space="0" w:color="auto" w:frame="1"/>
          <w:lang w:val="tr-TR"/>
        </w:rPr>
        <w:t xml:space="preserve"> </w:t>
      </w:r>
      <w:proofErr w:type="spellStart"/>
      <w:r>
        <w:rPr>
          <w:color w:val="000000"/>
          <w:bdr w:val="none" w:sz="0" w:space="0" w:color="auto" w:frame="1"/>
          <w:lang w:val="tr-TR"/>
        </w:rPr>
        <w:t>government</w:t>
      </w:r>
      <w:proofErr w:type="spellEnd"/>
      <w:r>
        <w:rPr>
          <w:color w:val="000000"/>
          <w:bdr w:val="none" w:sz="0" w:space="0" w:color="auto" w:frame="1"/>
          <w:lang w:val="tr-TR"/>
        </w:rPr>
        <w:t xml:space="preserve"> </w:t>
      </w:r>
      <w:proofErr w:type="spellStart"/>
      <w:r>
        <w:rPr>
          <w:color w:val="000000"/>
          <w:bdr w:val="none" w:sz="0" w:space="0" w:color="auto" w:frame="1"/>
          <w:lang w:val="tr-TR"/>
        </w:rPr>
        <w:t>to</w:t>
      </w:r>
      <w:proofErr w:type="spellEnd"/>
      <w:r>
        <w:rPr>
          <w:color w:val="000000"/>
          <w:bdr w:val="none" w:sz="0" w:space="0" w:color="auto" w:frame="1"/>
          <w:lang w:val="tr-TR"/>
        </w:rPr>
        <w:t xml:space="preserve"> </w:t>
      </w:r>
      <w:proofErr w:type="spellStart"/>
      <w:r>
        <w:rPr>
          <w:color w:val="000000"/>
          <w:bdr w:val="none" w:sz="0" w:space="0" w:color="auto" w:frame="1"/>
          <w:lang w:val="tr-TR"/>
        </w:rPr>
        <w:t>manage</w:t>
      </w:r>
      <w:proofErr w:type="spellEnd"/>
      <w:r>
        <w:rPr>
          <w:color w:val="000000"/>
          <w:bdr w:val="none" w:sz="0" w:space="0" w:color="auto" w:frame="1"/>
          <w:lang w:val="tr-TR"/>
        </w:rPr>
        <w:t xml:space="preserve"> </w:t>
      </w:r>
      <w:proofErr w:type="spellStart"/>
      <w:r>
        <w:rPr>
          <w:color w:val="000000"/>
          <w:bdr w:val="none" w:sz="0" w:space="0" w:color="auto" w:frame="1"/>
          <w:lang w:val="tr-TR"/>
        </w:rPr>
        <w:t>its</w:t>
      </w:r>
      <w:proofErr w:type="spellEnd"/>
      <w:r>
        <w:rPr>
          <w:color w:val="000000"/>
          <w:bdr w:val="none" w:sz="0" w:space="0" w:color="auto" w:frame="1"/>
          <w:lang w:val="tr-TR"/>
        </w:rPr>
        <w:t xml:space="preserve"> </w:t>
      </w:r>
      <w:proofErr w:type="spellStart"/>
      <w:r>
        <w:rPr>
          <w:color w:val="000000"/>
          <w:bdr w:val="none" w:sz="0" w:space="0" w:color="auto" w:frame="1"/>
          <w:lang w:val="tr-TR"/>
        </w:rPr>
        <w:t>property</w:t>
      </w:r>
      <w:proofErr w:type="spellEnd"/>
      <w:r>
        <w:rPr>
          <w:color w:val="000000"/>
          <w:bdr w:val="none" w:sz="0" w:space="0" w:color="auto" w:frame="1"/>
          <w:lang w:val="tr-TR"/>
        </w:rPr>
        <w:t xml:space="preserve"> </w:t>
      </w:r>
      <w:proofErr w:type="spellStart"/>
      <w:r>
        <w:rPr>
          <w:color w:val="000000"/>
          <w:bdr w:val="none" w:sz="0" w:space="0" w:color="auto" w:frame="1"/>
          <w:lang w:val="tr-TR"/>
        </w:rPr>
        <w:t>and</w:t>
      </w:r>
      <w:proofErr w:type="spellEnd"/>
      <w:r>
        <w:rPr>
          <w:color w:val="000000"/>
          <w:bdr w:val="none" w:sz="0" w:space="0" w:color="auto" w:frame="1"/>
          <w:lang w:val="tr-TR"/>
        </w:rPr>
        <w:t xml:space="preserve"> </w:t>
      </w:r>
      <w:proofErr w:type="spellStart"/>
      <w:r>
        <w:rPr>
          <w:color w:val="000000"/>
          <w:bdr w:val="none" w:sz="0" w:space="0" w:color="auto" w:frame="1"/>
          <w:lang w:val="tr-TR"/>
        </w:rPr>
        <w:t>responsibilities</w:t>
      </w:r>
      <w:proofErr w:type="spellEnd"/>
      <w:r>
        <w:rPr>
          <w:color w:val="000000"/>
          <w:bdr w:val="none" w:sz="0" w:space="0" w:color="auto" w:frame="1"/>
          <w:lang w:val="tr-TR"/>
        </w:rPr>
        <w:t xml:space="preserve"> </w:t>
      </w:r>
      <w:proofErr w:type="spellStart"/>
      <w:r>
        <w:rPr>
          <w:color w:val="000000"/>
          <w:bdr w:val="none" w:sz="0" w:space="0" w:color="auto" w:frame="1"/>
          <w:lang w:val="tr-TR"/>
        </w:rPr>
        <w:t>diligently</w:t>
      </w:r>
      <w:proofErr w:type="spellEnd"/>
      <w:r>
        <w:rPr>
          <w:color w:val="000000"/>
          <w:bdr w:val="none" w:sz="0" w:space="0" w:color="auto" w:frame="1"/>
          <w:lang w:val="tr-TR"/>
        </w:rPr>
        <w:t xml:space="preserve">. </w:t>
      </w:r>
    </w:p>
    <w:p w14:paraId="6119302D" w14:textId="77777777" w:rsidR="00BA67A6" w:rsidRPr="005A6093" w:rsidRDefault="00BA67A6" w:rsidP="00BA67A6">
      <w:pPr>
        <w:pStyle w:val="font8"/>
        <w:spacing w:before="0" w:beforeAutospacing="0" w:after="0" w:afterAutospacing="0"/>
        <w:jc w:val="both"/>
        <w:textAlignment w:val="baseline"/>
        <w:rPr>
          <w:color w:val="000000"/>
          <w:bdr w:val="none" w:sz="0" w:space="0" w:color="auto" w:frame="1"/>
        </w:rPr>
      </w:pPr>
    </w:p>
    <w:p w14:paraId="66B58BB3" w14:textId="77777777" w:rsidR="00DE2637" w:rsidRDefault="00DE2637" w:rsidP="00BA67A6">
      <w:pPr>
        <w:pStyle w:val="font8"/>
        <w:spacing w:before="0" w:beforeAutospacing="0" w:after="0" w:afterAutospacing="0"/>
        <w:jc w:val="both"/>
        <w:textAlignment w:val="baseline"/>
        <w:rPr>
          <w:color w:val="000000"/>
          <w:bdr w:val="none" w:sz="0" w:space="0" w:color="auto" w:frame="1"/>
          <w:lang w:val="tr-TR"/>
        </w:rPr>
      </w:pPr>
      <w:r>
        <w:rPr>
          <w:color w:val="000000"/>
          <w:bdr w:val="none" w:sz="0" w:space="0" w:color="auto" w:frame="1"/>
        </w:rPr>
        <w:t xml:space="preserve">The distribution of incomes is an important factor influencing the incentives for competition on the one hand and the political stability of </w:t>
      </w:r>
      <w:proofErr w:type="gramStart"/>
      <w:r>
        <w:rPr>
          <w:color w:val="000000"/>
          <w:bdr w:val="none" w:sz="0" w:space="0" w:color="auto" w:frame="1"/>
        </w:rPr>
        <w:t>country</w:t>
      </w:r>
      <w:proofErr w:type="gramEnd"/>
      <w:r>
        <w:rPr>
          <w:color w:val="000000"/>
          <w:bdr w:val="none" w:sz="0" w:space="0" w:color="auto" w:frame="1"/>
        </w:rPr>
        <w:t xml:space="preserve"> on the other hand. Question 241 of the WVS investigated whether participants preferred more income equality</w:t>
      </w:r>
      <w:r w:rsidRPr="005A6093">
        <w:rPr>
          <w:color w:val="000000"/>
          <w:bdr w:val="none" w:sz="0" w:space="0" w:color="auto" w:frame="1"/>
        </w:rPr>
        <w:t xml:space="preserve"> </w:t>
      </w:r>
      <w:r>
        <w:rPr>
          <w:color w:val="000000"/>
          <w:bdr w:val="none" w:sz="0" w:space="0" w:color="auto" w:frame="1"/>
        </w:rPr>
        <w:t>or more incentives for individual effort. In Türkiye,</w:t>
      </w:r>
      <w:r w:rsidRPr="005A6093">
        <w:rPr>
          <w:color w:val="000000"/>
          <w:bdr w:val="none" w:sz="0" w:space="0" w:color="auto" w:frame="1"/>
        </w:rPr>
        <w:t xml:space="preserve"> 38,2%</w:t>
      </w:r>
      <w:r>
        <w:rPr>
          <w:color w:val="000000"/>
          <w:bdr w:val="none" w:sz="0" w:space="0" w:color="auto" w:frame="1"/>
        </w:rPr>
        <w:t xml:space="preserve"> </w:t>
      </w:r>
      <w:r w:rsidRPr="005A6093">
        <w:rPr>
          <w:color w:val="000000"/>
          <w:bdr w:val="none" w:sz="0" w:space="0" w:color="auto" w:frame="1"/>
        </w:rPr>
        <w:t xml:space="preserve">were </w:t>
      </w:r>
      <w:proofErr w:type="gramStart"/>
      <w:r w:rsidRPr="005A6093">
        <w:rPr>
          <w:color w:val="000000"/>
          <w:bdr w:val="none" w:sz="0" w:space="0" w:color="auto" w:frame="1"/>
        </w:rPr>
        <w:t>more or less in</w:t>
      </w:r>
      <w:proofErr w:type="gramEnd"/>
      <w:r w:rsidRPr="005A6093">
        <w:rPr>
          <w:color w:val="000000"/>
          <w:bdr w:val="none" w:sz="0" w:space="0" w:color="auto" w:frame="1"/>
        </w:rPr>
        <w:t xml:space="preserve"> favor of more equal incomes (1-4</w:t>
      </w:r>
      <w:r>
        <w:rPr>
          <w:color w:val="000000"/>
          <w:bdr w:val="none" w:sz="0" w:space="0" w:color="auto" w:frame="1"/>
        </w:rPr>
        <w:t xml:space="preserve"> on a 10-point scale</w:t>
      </w:r>
      <w:r w:rsidRPr="005A6093">
        <w:rPr>
          <w:color w:val="000000"/>
          <w:bdr w:val="none" w:sz="0" w:space="0" w:color="auto" w:frame="1"/>
        </w:rPr>
        <w:t xml:space="preserve">) and 33,8% thought that “There should be more incentives for individual effort” (7-10). The mean value of </w:t>
      </w:r>
      <w:r>
        <w:rPr>
          <w:color w:val="000000"/>
          <w:bdr w:val="none" w:sz="0" w:space="0" w:color="auto" w:frame="1"/>
        </w:rPr>
        <w:t xml:space="preserve">answers was </w:t>
      </w:r>
      <w:r w:rsidRPr="005A6093">
        <w:rPr>
          <w:color w:val="000000"/>
          <w:bdr w:val="none" w:sz="0" w:space="0" w:color="auto" w:frame="1"/>
        </w:rPr>
        <w:t>5,21.</w:t>
      </w:r>
      <w:r>
        <w:rPr>
          <w:color w:val="000000"/>
          <w:bdr w:val="none" w:sz="0" w:space="0" w:color="auto" w:frame="1"/>
        </w:rPr>
        <w:t xml:space="preserve"> </w:t>
      </w:r>
      <w:proofErr w:type="spellStart"/>
      <w:r w:rsidRPr="00D976B5">
        <w:rPr>
          <w:color w:val="000000"/>
          <w:bdr w:val="none" w:sz="0" w:space="0" w:color="auto" w:frame="1"/>
          <w:lang w:val="tr-TR"/>
        </w:rPr>
        <w:t>In</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Iraq</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there</w:t>
      </w:r>
      <w:proofErr w:type="spellEnd"/>
      <w:r w:rsidRPr="00D976B5">
        <w:rPr>
          <w:color w:val="000000"/>
          <w:bdr w:val="none" w:sz="0" w:space="0" w:color="auto" w:frame="1"/>
          <w:lang w:val="tr-TR"/>
        </w:rPr>
        <w:t xml:space="preserve"> </w:t>
      </w:r>
      <w:proofErr w:type="spellStart"/>
      <w:r>
        <w:rPr>
          <w:color w:val="000000"/>
          <w:bdr w:val="none" w:sz="0" w:space="0" w:color="auto" w:frame="1"/>
          <w:lang w:val="tr-TR"/>
        </w:rPr>
        <w:t>was</w:t>
      </w:r>
      <w:proofErr w:type="spellEnd"/>
      <w:r w:rsidRPr="00D976B5">
        <w:rPr>
          <w:color w:val="000000"/>
          <w:bdr w:val="none" w:sz="0" w:space="0" w:color="auto" w:frame="1"/>
          <w:lang w:val="tr-TR"/>
        </w:rPr>
        <w:t xml:space="preserve"> a </w:t>
      </w:r>
      <w:proofErr w:type="spellStart"/>
      <w:r>
        <w:rPr>
          <w:color w:val="000000"/>
          <w:bdr w:val="none" w:sz="0" w:space="0" w:color="auto" w:frame="1"/>
          <w:lang w:val="tr-TR"/>
        </w:rPr>
        <w:t>stronger</w:t>
      </w:r>
      <w:proofErr w:type="spellEnd"/>
      <w:r>
        <w:rPr>
          <w:color w:val="000000"/>
          <w:bdr w:val="none" w:sz="0" w:space="0" w:color="auto" w:frame="1"/>
          <w:lang w:val="tr-TR"/>
        </w:rPr>
        <w:t xml:space="preserve"> </w:t>
      </w:r>
      <w:proofErr w:type="spellStart"/>
      <w:r w:rsidRPr="00D976B5">
        <w:rPr>
          <w:color w:val="000000"/>
          <w:bdr w:val="none" w:sz="0" w:space="0" w:color="auto" w:frame="1"/>
          <w:lang w:val="tr-TR"/>
        </w:rPr>
        <w:t>majority</w:t>
      </w:r>
      <w:proofErr w:type="spellEnd"/>
      <w:r w:rsidRPr="00D976B5">
        <w:rPr>
          <w:color w:val="000000"/>
          <w:bdr w:val="none" w:sz="0" w:space="0" w:color="auto" w:frame="1"/>
          <w:lang w:val="tr-TR"/>
        </w:rPr>
        <w:t xml:space="preserve"> of 49,6 % </w:t>
      </w:r>
      <w:proofErr w:type="spellStart"/>
      <w:proofErr w:type="gramStart"/>
      <w:r w:rsidRPr="00D976B5">
        <w:rPr>
          <w:color w:val="000000"/>
          <w:bdr w:val="none" w:sz="0" w:space="0" w:color="auto" w:frame="1"/>
          <w:lang w:val="tr-TR"/>
        </w:rPr>
        <w:t>more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or</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less</w:t>
      </w:r>
      <w:proofErr w:type="spellEnd"/>
      <w:r w:rsidRPr="00D976B5">
        <w:rPr>
          <w:color w:val="000000"/>
          <w:bdr w:val="none" w:sz="0" w:space="0" w:color="auto" w:frame="1"/>
          <w:lang w:val="tr-TR"/>
        </w:rPr>
        <w:t xml:space="preserve"> in</w:t>
      </w:r>
      <w:proofErr w:type="gramEnd"/>
      <w:r w:rsidRPr="00D976B5">
        <w:rPr>
          <w:color w:val="000000"/>
          <w:bdr w:val="none" w:sz="0" w:space="0" w:color="auto" w:frame="1"/>
          <w:lang w:val="tr-TR"/>
        </w:rPr>
        <w:t xml:space="preserve"> </w:t>
      </w:r>
      <w:proofErr w:type="spellStart"/>
      <w:r w:rsidRPr="00D976B5">
        <w:rPr>
          <w:color w:val="000000"/>
          <w:bdr w:val="none" w:sz="0" w:space="0" w:color="auto" w:frame="1"/>
          <w:lang w:val="tr-TR"/>
        </w:rPr>
        <w:t>favour</w:t>
      </w:r>
      <w:proofErr w:type="spellEnd"/>
      <w:r w:rsidRPr="00D976B5">
        <w:rPr>
          <w:color w:val="000000"/>
          <w:bdr w:val="none" w:sz="0" w:space="0" w:color="auto" w:frame="1"/>
          <w:lang w:val="tr-TR"/>
        </w:rPr>
        <w:t xml:space="preserve"> of </w:t>
      </w:r>
      <w:proofErr w:type="spellStart"/>
      <w:r w:rsidRPr="00D976B5">
        <w:rPr>
          <w:color w:val="000000"/>
          <w:bdr w:val="none" w:sz="0" w:space="0" w:color="auto" w:frame="1"/>
          <w:lang w:val="tr-TR"/>
        </w:rPr>
        <w:t>more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equal</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incomes</w:t>
      </w:r>
      <w:proofErr w:type="spellEnd"/>
      <w:r w:rsidRPr="00D976B5">
        <w:rPr>
          <w:color w:val="000000"/>
          <w:bdr w:val="none" w:sz="0" w:space="0" w:color="auto" w:frame="1"/>
          <w:lang w:val="tr-TR"/>
        </w:rPr>
        <w:t xml:space="preserve"> (1-4), </w:t>
      </w:r>
      <w:proofErr w:type="spellStart"/>
      <w:r w:rsidRPr="00D976B5">
        <w:rPr>
          <w:color w:val="000000"/>
          <w:bdr w:val="none" w:sz="0" w:space="0" w:color="auto" w:frame="1"/>
          <w:lang w:val="tr-TR"/>
        </w:rPr>
        <w:t>while</w:t>
      </w:r>
      <w:proofErr w:type="spellEnd"/>
      <w:r w:rsidRPr="00D976B5">
        <w:rPr>
          <w:color w:val="000000"/>
          <w:bdr w:val="none" w:sz="0" w:space="0" w:color="auto" w:frame="1"/>
          <w:lang w:val="tr-TR"/>
        </w:rPr>
        <w:t xml:space="preserve"> 31,5% </w:t>
      </w:r>
      <w:proofErr w:type="spellStart"/>
      <w:r w:rsidRPr="00D976B5">
        <w:rPr>
          <w:color w:val="000000"/>
          <w:bdr w:val="none" w:sz="0" w:space="0" w:color="auto" w:frame="1"/>
          <w:lang w:val="tr-TR"/>
        </w:rPr>
        <w:t>were</w:t>
      </w:r>
      <w:proofErr w:type="spellEnd"/>
      <w:r w:rsidRPr="00D976B5">
        <w:rPr>
          <w:color w:val="000000"/>
          <w:bdr w:val="none" w:sz="0" w:space="0" w:color="auto" w:frame="1"/>
          <w:lang w:val="tr-TR"/>
        </w:rPr>
        <w:t xml:space="preserve"> in </w:t>
      </w:r>
      <w:proofErr w:type="spellStart"/>
      <w:r w:rsidRPr="00D976B5">
        <w:rPr>
          <w:color w:val="000000"/>
          <w:bdr w:val="none" w:sz="0" w:space="0" w:color="auto" w:frame="1"/>
          <w:lang w:val="tr-TR"/>
        </w:rPr>
        <w:t>favour</w:t>
      </w:r>
      <w:proofErr w:type="spellEnd"/>
      <w:r w:rsidRPr="00D976B5">
        <w:rPr>
          <w:color w:val="000000"/>
          <w:bdr w:val="none" w:sz="0" w:space="0" w:color="auto" w:frame="1"/>
          <w:lang w:val="tr-TR"/>
        </w:rPr>
        <w:t xml:space="preserve"> of </w:t>
      </w:r>
      <w:proofErr w:type="spellStart"/>
      <w:r w:rsidRPr="00D976B5">
        <w:rPr>
          <w:color w:val="000000"/>
          <w:bdr w:val="none" w:sz="0" w:space="0" w:color="auto" w:frame="1"/>
          <w:lang w:val="tr-TR"/>
        </w:rPr>
        <w:t>more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incentives</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for</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private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efforts</w:t>
      </w:r>
      <w:proofErr w:type="spellEnd"/>
      <w:r w:rsidRPr="00D976B5">
        <w:rPr>
          <w:color w:val="000000"/>
          <w:bdr w:val="none" w:sz="0" w:space="0" w:color="auto" w:frame="1"/>
          <w:lang w:val="tr-TR"/>
        </w:rPr>
        <w:t xml:space="preserve"> (7-10)</w:t>
      </w:r>
      <w:r>
        <w:rPr>
          <w:color w:val="000000"/>
          <w:bdr w:val="none" w:sz="0" w:space="0" w:color="auto" w:frame="1"/>
          <w:lang w:val="tr-TR"/>
        </w:rPr>
        <w:t>.</w:t>
      </w:r>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mean</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value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was</w:t>
      </w:r>
      <w:proofErr w:type="spellEnd"/>
      <w:r w:rsidRPr="00D976B5">
        <w:rPr>
          <w:color w:val="000000"/>
          <w:bdr w:val="none" w:sz="0" w:space="0" w:color="auto" w:frame="1"/>
          <w:lang w:val="tr-TR"/>
        </w:rPr>
        <w:t xml:space="preserve"> 4,72.</w:t>
      </w:r>
    </w:p>
    <w:p w14:paraId="020C87AE" w14:textId="77777777" w:rsidR="00BA67A6" w:rsidRPr="005A6093" w:rsidRDefault="00BA67A6" w:rsidP="00BA67A6">
      <w:pPr>
        <w:pStyle w:val="font8"/>
        <w:spacing w:before="0" w:beforeAutospacing="0" w:after="0" w:afterAutospacing="0"/>
        <w:jc w:val="both"/>
        <w:textAlignment w:val="baseline"/>
        <w:rPr>
          <w:color w:val="000000"/>
          <w:bdr w:val="none" w:sz="0" w:space="0" w:color="auto" w:frame="1"/>
        </w:rPr>
      </w:pPr>
    </w:p>
    <w:p w14:paraId="5DBD2CB0" w14:textId="77777777" w:rsidR="00DE2637" w:rsidRPr="005A6093" w:rsidRDefault="00DE2637" w:rsidP="00BA67A6">
      <w:pPr>
        <w:pStyle w:val="font8"/>
        <w:spacing w:before="0" w:beforeAutospacing="0" w:after="0" w:afterAutospacing="0"/>
        <w:jc w:val="both"/>
        <w:textAlignment w:val="baseline"/>
        <w:rPr>
          <w:color w:val="000000"/>
          <w:bdr w:val="none" w:sz="0" w:space="0" w:color="auto" w:frame="1"/>
        </w:rPr>
      </w:pPr>
      <w:proofErr w:type="spellStart"/>
      <w:r w:rsidRPr="00D976B5">
        <w:rPr>
          <w:color w:val="000000"/>
          <w:bdr w:val="none" w:sz="0" w:space="0" w:color="auto" w:frame="1"/>
          <w:lang w:val="tr-TR"/>
        </w:rPr>
        <w:t>In</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both</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countries</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respondents</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see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taxing</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rich</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and</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subsidizing</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poor</w:t>
      </w:r>
      <w:proofErr w:type="spellEnd"/>
      <w:r w:rsidRPr="00D976B5">
        <w:rPr>
          <w:color w:val="000000"/>
          <w:bdr w:val="none" w:sz="0" w:space="0" w:color="auto" w:frame="1"/>
          <w:lang w:val="tr-TR"/>
        </w:rPr>
        <w:t xml:space="preserve"> as an </w:t>
      </w:r>
      <w:proofErr w:type="spellStart"/>
      <w:r w:rsidRPr="00D976B5">
        <w:rPr>
          <w:color w:val="000000"/>
          <w:bdr w:val="none" w:sz="0" w:space="0" w:color="auto" w:frame="1"/>
          <w:lang w:val="tr-TR"/>
        </w:rPr>
        <w:t>essential</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characteristic</w:t>
      </w:r>
      <w:proofErr w:type="spellEnd"/>
      <w:r w:rsidRPr="00D976B5">
        <w:rPr>
          <w:color w:val="000000"/>
          <w:bdr w:val="none" w:sz="0" w:space="0" w:color="auto" w:frame="1"/>
          <w:lang w:val="tr-TR"/>
        </w:rPr>
        <w:t xml:space="preserve"> of </w:t>
      </w:r>
      <w:proofErr w:type="spellStart"/>
      <w:r w:rsidRPr="00D976B5">
        <w:rPr>
          <w:color w:val="000000"/>
          <w:bdr w:val="none" w:sz="0" w:space="0" w:color="auto" w:frame="1"/>
          <w:lang w:val="tr-TR"/>
        </w:rPr>
        <w:t>democracy</w:t>
      </w:r>
      <w:proofErr w:type="spellEnd"/>
      <w:r w:rsidRPr="00D976B5">
        <w:rPr>
          <w:color w:val="000000"/>
          <w:bdr w:val="none" w:sz="0" w:space="0" w:color="auto" w:frame="1"/>
          <w:lang w:val="tr-TR"/>
        </w:rPr>
        <w:t xml:space="preserve">, in Türkiye 41,8% (7-10) </w:t>
      </w:r>
      <w:proofErr w:type="spellStart"/>
      <w:r w:rsidRPr="00D976B5">
        <w:rPr>
          <w:color w:val="000000"/>
          <w:bdr w:val="none" w:sz="0" w:space="0" w:color="auto" w:frame="1"/>
          <w:lang w:val="tr-TR"/>
        </w:rPr>
        <w:t>with</w:t>
      </w:r>
      <w:proofErr w:type="spellEnd"/>
      <w:r w:rsidRPr="00D976B5">
        <w:rPr>
          <w:color w:val="000000"/>
          <w:bdr w:val="none" w:sz="0" w:space="0" w:color="auto" w:frame="1"/>
          <w:lang w:val="tr-TR"/>
        </w:rPr>
        <w:t xml:space="preserve"> a </w:t>
      </w:r>
      <w:proofErr w:type="spellStart"/>
      <w:r w:rsidRPr="00D976B5">
        <w:rPr>
          <w:color w:val="000000"/>
          <w:bdr w:val="none" w:sz="0" w:space="0" w:color="auto" w:frame="1"/>
          <w:lang w:val="tr-TR"/>
        </w:rPr>
        <w:t>mean</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value</w:t>
      </w:r>
      <w:proofErr w:type="spellEnd"/>
      <w:r w:rsidRPr="00D976B5">
        <w:rPr>
          <w:color w:val="000000"/>
          <w:bdr w:val="none" w:sz="0" w:space="0" w:color="auto" w:frame="1"/>
          <w:lang w:val="tr-TR"/>
        </w:rPr>
        <w:t xml:space="preserve"> of 5,84, </w:t>
      </w:r>
      <w:proofErr w:type="spellStart"/>
      <w:r w:rsidRPr="00D976B5">
        <w:rPr>
          <w:color w:val="000000"/>
          <w:bdr w:val="none" w:sz="0" w:space="0" w:color="auto" w:frame="1"/>
          <w:lang w:val="tr-TR"/>
        </w:rPr>
        <w:t>and</w:t>
      </w:r>
      <w:proofErr w:type="spellEnd"/>
      <w:r w:rsidRPr="00D976B5">
        <w:rPr>
          <w:color w:val="000000"/>
          <w:bdr w:val="none" w:sz="0" w:space="0" w:color="auto" w:frame="1"/>
          <w:lang w:val="tr-TR"/>
        </w:rPr>
        <w:t xml:space="preserve"> in </w:t>
      </w:r>
      <w:proofErr w:type="spellStart"/>
      <w:r w:rsidRPr="00D976B5">
        <w:rPr>
          <w:color w:val="000000"/>
          <w:bdr w:val="none" w:sz="0" w:space="0" w:color="auto" w:frame="1"/>
          <w:lang w:val="tr-TR"/>
        </w:rPr>
        <w:t>Iraq</w:t>
      </w:r>
      <w:proofErr w:type="spellEnd"/>
      <w:r w:rsidRPr="00D976B5">
        <w:rPr>
          <w:color w:val="000000"/>
          <w:bdr w:val="none" w:sz="0" w:space="0" w:color="auto" w:frame="1"/>
          <w:lang w:val="tr-TR"/>
        </w:rPr>
        <w:t xml:space="preserve"> 65,1% (7-10) </w:t>
      </w:r>
      <w:proofErr w:type="spellStart"/>
      <w:r w:rsidRPr="00D976B5">
        <w:rPr>
          <w:color w:val="000000"/>
          <w:bdr w:val="none" w:sz="0" w:space="0" w:color="auto" w:frame="1"/>
          <w:lang w:val="tr-TR"/>
        </w:rPr>
        <w:t>and</w:t>
      </w:r>
      <w:proofErr w:type="spellEnd"/>
      <w:r w:rsidRPr="00D976B5">
        <w:rPr>
          <w:color w:val="000000"/>
          <w:bdr w:val="none" w:sz="0" w:space="0" w:color="auto" w:frame="1"/>
          <w:lang w:val="tr-TR"/>
        </w:rPr>
        <w:t xml:space="preserve"> a </w:t>
      </w:r>
      <w:proofErr w:type="spellStart"/>
      <w:r w:rsidRPr="00D976B5">
        <w:rPr>
          <w:color w:val="000000"/>
          <w:bdr w:val="none" w:sz="0" w:space="0" w:color="auto" w:frame="1"/>
          <w:lang w:val="tr-TR"/>
        </w:rPr>
        <w:t>mean</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value</w:t>
      </w:r>
      <w:proofErr w:type="spellEnd"/>
      <w:r w:rsidRPr="00D976B5">
        <w:rPr>
          <w:color w:val="000000"/>
          <w:bdr w:val="none" w:sz="0" w:space="0" w:color="auto" w:frame="1"/>
          <w:lang w:val="tr-TR"/>
        </w:rPr>
        <w:t xml:space="preserve"> of 7,25</w:t>
      </w:r>
      <w:r>
        <w:rPr>
          <w:color w:val="000000"/>
          <w:bdr w:val="none" w:sz="0" w:space="0" w:color="auto" w:frame="1"/>
          <w:lang w:val="tr-TR"/>
        </w:rPr>
        <w:t xml:space="preserve"> </w:t>
      </w:r>
      <w:r w:rsidRPr="00D976B5">
        <w:rPr>
          <w:color w:val="000000"/>
          <w:bdr w:val="none" w:sz="0" w:space="0" w:color="auto" w:frame="1"/>
          <w:lang w:val="tr-TR"/>
        </w:rPr>
        <w:t>(</w:t>
      </w:r>
      <w:proofErr w:type="spellStart"/>
      <w:r w:rsidRPr="00D976B5">
        <w:rPr>
          <w:color w:val="000000"/>
          <w:bdr w:val="none" w:sz="0" w:space="0" w:color="auto" w:frame="1"/>
          <w:lang w:val="tr-TR"/>
        </w:rPr>
        <w:t>question</w:t>
      </w:r>
      <w:proofErr w:type="spellEnd"/>
      <w:r w:rsidRPr="00D976B5">
        <w:rPr>
          <w:color w:val="000000"/>
          <w:bdr w:val="none" w:sz="0" w:space="0" w:color="auto" w:frame="1"/>
          <w:lang w:val="tr-TR"/>
        </w:rPr>
        <w:t xml:space="preserve"> 241 of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WVS). </w:t>
      </w:r>
      <w:proofErr w:type="spellStart"/>
      <w:r w:rsidRPr="00D976B5">
        <w:rPr>
          <w:color w:val="000000"/>
          <w:bdr w:val="none" w:sz="0" w:space="0" w:color="auto" w:frame="1"/>
          <w:lang w:val="tr-TR"/>
        </w:rPr>
        <w:t>Thus</w:t>
      </w:r>
      <w:proofErr w:type="spellEnd"/>
      <w:r w:rsidRPr="00D976B5">
        <w:rPr>
          <w:color w:val="000000"/>
          <w:bdr w:val="none" w:sz="0" w:space="0" w:color="auto" w:frame="1"/>
          <w:lang w:val="tr-TR"/>
        </w:rPr>
        <w:t xml:space="preserve">, in </w:t>
      </w:r>
      <w:proofErr w:type="spellStart"/>
      <w:r w:rsidRPr="00D976B5">
        <w:rPr>
          <w:color w:val="000000"/>
          <w:bdr w:val="none" w:sz="0" w:space="0" w:color="auto" w:frame="1"/>
          <w:lang w:val="tr-TR"/>
        </w:rPr>
        <w:t>Iraq</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preference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for</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more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equal</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incomes</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taxing</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rich</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and</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subsidizing</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poor</w:t>
      </w:r>
      <w:proofErr w:type="spellEnd"/>
      <w:r w:rsidRPr="00D976B5">
        <w:rPr>
          <w:color w:val="000000"/>
          <w:bdr w:val="none" w:sz="0" w:space="0" w:color="auto" w:frame="1"/>
          <w:lang w:val="tr-TR"/>
        </w:rPr>
        <w:t xml:space="preserve"> is </w:t>
      </w:r>
      <w:proofErr w:type="spellStart"/>
      <w:r w:rsidRPr="00D976B5">
        <w:rPr>
          <w:color w:val="000000"/>
          <w:bdr w:val="none" w:sz="0" w:space="0" w:color="auto" w:frame="1"/>
          <w:lang w:val="tr-TR"/>
        </w:rPr>
        <w:t>more</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pronounced</w:t>
      </w:r>
      <w:proofErr w:type="spellEnd"/>
      <w:r w:rsidRPr="00D976B5">
        <w:rPr>
          <w:color w:val="000000"/>
          <w:bdr w:val="none" w:sz="0" w:space="0" w:color="auto" w:frame="1"/>
          <w:lang w:val="tr-TR"/>
        </w:rPr>
        <w:t xml:space="preserve"> </w:t>
      </w:r>
      <w:proofErr w:type="spellStart"/>
      <w:r w:rsidRPr="00D976B5">
        <w:rPr>
          <w:color w:val="000000"/>
          <w:bdr w:val="none" w:sz="0" w:space="0" w:color="auto" w:frame="1"/>
          <w:lang w:val="tr-TR"/>
        </w:rPr>
        <w:t>than</w:t>
      </w:r>
      <w:proofErr w:type="spellEnd"/>
      <w:r w:rsidRPr="00D976B5">
        <w:rPr>
          <w:color w:val="000000"/>
          <w:bdr w:val="none" w:sz="0" w:space="0" w:color="auto" w:frame="1"/>
          <w:lang w:val="tr-TR"/>
        </w:rPr>
        <w:t xml:space="preserve"> in Türkiye. </w:t>
      </w:r>
    </w:p>
    <w:p w14:paraId="3D6853E6" w14:textId="77777777" w:rsidR="00DE2637" w:rsidRPr="00287F14" w:rsidRDefault="00DE2637" w:rsidP="00BA67A6">
      <w:pPr>
        <w:pStyle w:val="font8"/>
        <w:spacing w:before="0" w:beforeAutospacing="0" w:after="0" w:afterAutospacing="0"/>
        <w:textAlignment w:val="baseline"/>
        <w:rPr>
          <w:b/>
          <w:bCs/>
          <w:color w:val="000000"/>
          <w:bdr w:val="none" w:sz="0" w:space="0" w:color="auto" w:frame="1"/>
        </w:rPr>
      </w:pPr>
    </w:p>
    <w:p w14:paraId="666770F9" w14:textId="77777777" w:rsidR="00DE2637" w:rsidRPr="00287F14" w:rsidRDefault="00DE2637" w:rsidP="00BA67A6">
      <w:pPr>
        <w:pStyle w:val="font8"/>
        <w:spacing w:before="0" w:beforeAutospacing="0" w:after="0" w:afterAutospacing="0"/>
        <w:textAlignment w:val="baseline"/>
        <w:rPr>
          <w:b/>
          <w:color w:val="000000"/>
          <w:bdr w:val="none" w:sz="0" w:space="0" w:color="auto" w:frame="1"/>
        </w:rPr>
      </w:pPr>
      <w:r>
        <w:rPr>
          <w:b/>
          <w:bCs/>
          <w:color w:val="000000"/>
          <w:bdr w:val="none" w:sz="0" w:space="0" w:color="auto" w:frame="1"/>
        </w:rPr>
        <w:t>3</w:t>
      </w:r>
      <w:r w:rsidRPr="00287F14">
        <w:rPr>
          <w:b/>
          <w:bCs/>
          <w:color w:val="000000"/>
          <w:bdr w:val="none" w:sz="0" w:space="0" w:color="auto" w:frame="1"/>
        </w:rPr>
        <w:t>.</w:t>
      </w:r>
      <w:r w:rsidRPr="00287F14">
        <w:rPr>
          <w:b/>
          <w:color w:val="000000"/>
          <w:bdr w:val="none" w:sz="0" w:space="0" w:color="auto" w:frame="1"/>
        </w:rPr>
        <w:t> </w:t>
      </w:r>
      <w:r>
        <w:rPr>
          <w:b/>
          <w:color w:val="000000"/>
          <w:bdr w:val="none" w:sz="0" w:space="0" w:color="auto" w:frame="1"/>
        </w:rPr>
        <w:t>CONCLUSION</w:t>
      </w:r>
    </w:p>
    <w:p w14:paraId="2965F92B" w14:textId="77777777" w:rsidR="00DE2637" w:rsidRDefault="00DE2637" w:rsidP="00BA67A6">
      <w:pPr>
        <w:pStyle w:val="font8"/>
        <w:spacing w:before="0" w:beforeAutospacing="0" w:after="0" w:afterAutospacing="0"/>
        <w:jc w:val="both"/>
        <w:textAlignment w:val="baseline"/>
        <w:rPr>
          <w:bCs/>
          <w:color w:val="000000"/>
          <w:bdr w:val="none" w:sz="0" w:space="0" w:color="auto" w:frame="1"/>
        </w:rPr>
      </w:pPr>
      <w:r>
        <w:rPr>
          <w:bCs/>
          <w:color w:val="000000"/>
          <w:bdr w:val="none" w:sz="0" w:space="0" w:color="auto" w:frame="1"/>
        </w:rPr>
        <w:lastRenderedPageBreak/>
        <w:t xml:space="preserve">In the last century </w:t>
      </w:r>
      <w:r w:rsidRPr="00876AFC">
        <w:rPr>
          <w:bCs/>
          <w:color w:val="000000"/>
          <w:bdr w:val="none" w:sz="0" w:space="0" w:color="auto" w:frame="1"/>
        </w:rPr>
        <w:t xml:space="preserve">Türkiye </w:t>
      </w:r>
      <w:r>
        <w:rPr>
          <w:bCs/>
          <w:color w:val="000000"/>
          <w:bdr w:val="none" w:sz="0" w:space="0" w:color="auto" w:frame="1"/>
        </w:rPr>
        <w:t xml:space="preserve">and Iraq </w:t>
      </w:r>
      <w:r w:rsidRPr="00876AFC">
        <w:rPr>
          <w:bCs/>
          <w:color w:val="000000"/>
          <w:bdr w:val="none" w:sz="0" w:space="0" w:color="auto" w:frame="1"/>
        </w:rPr>
        <w:t>ha</w:t>
      </w:r>
      <w:r>
        <w:rPr>
          <w:bCs/>
          <w:color w:val="000000"/>
          <w:bdr w:val="none" w:sz="0" w:space="0" w:color="auto" w:frame="1"/>
        </w:rPr>
        <w:t>ve</w:t>
      </w:r>
      <w:r w:rsidRPr="00876AFC">
        <w:rPr>
          <w:bCs/>
          <w:color w:val="000000"/>
          <w:bdr w:val="none" w:sz="0" w:space="0" w:color="auto" w:frame="1"/>
        </w:rPr>
        <w:t xml:space="preserve"> developed into </w:t>
      </w:r>
      <w:r>
        <w:rPr>
          <w:bCs/>
          <w:color w:val="000000"/>
          <w:bdr w:val="none" w:sz="0" w:space="0" w:color="auto" w:frame="1"/>
        </w:rPr>
        <w:t xml:space="preserve">very different countries. </w:t>
      </w:r>
      <w:r w:rsidRPr="00D976B5">
        <w:rPr>
          <w:bCs/>
          <w:color w:val="000000"/>
          <w:bdr w:val="none" w:sz="0" w:space="0" w:color="auto" w:frame="1"/>
        </w:rPr>
        <w:t>Türkiye has developed into a</w:t>
      </w:r>
      <w:r>
        <w:rPr>
          <w:bCs/>
          <w:color w:val="000000"/>
          <w:bdr w:val="none" w:sz="0" w:space="0" w:color="auto" w:frame="1"/>
        </w:rPr>
        <w:t>n industrialized</w:t>
      </w:r>
      <w:r w:rsidRPr="00D976B5">
        <w:rPr>
          <w:bCs/>
          <w:color w:val="000000"/>
          <w:bdr w:val="none" w:sz="0" w:space="0" w:color="auto" w:frame="1"/>
        </w:rPr>
        <w:t xml:space="preserve"> market economy</w:t>
      </w:r>
      <w:r>
        <w:rPr>
          <w:bCs/>
          <w:color w:val="000000"/>
          <w:bdr w:val="none" w:sz="0" w:space="0" w:color="auto" w:frame="1"/>
        </w:rPr>
        <w:t xml:space="preserve"> which is in a Custom’s Union with the EU,</w:t>
      </w:r>
      <w:r w:rsidRPr="00D976B5">
        <w:rPr>
          <w:bCs/>
          <w:color w:val="000000"/>
          <w:bdr w:val="none" w:sz="0" w:space="0" w:color="auto" w:frame="1"/>
        </w:rPr>
        <w:t xml:space="preserve"> while Iraq is a petrol dependent rentier state with an instable political system.</w:t>
      </w:r>
    </w:p>
    <w:p w14:paraId="4B92BC19" w14:textId="77777777" w:rsidR="00BA67A6" w:rsidRPr="00D976B5" w:rsidRDefault="00BA67A6" w:rsidP="00BA67A6">
      <w:pPr>
        <w:pStyle w:val="font8"/>
        <w:spacing w:before="0" w:beforeAutospacing="0" w:after="0" w:afterAutospacing="0"/>
        <w:jc w:val="both"/>
        <w:textAlignment w:val="baseline"/>
        <w:rPr>
          <w:bCs/>
          <w:color w:val="000000"/>
          <w:bdr w:val="none" w:sz="0" w:space="0" w:color="auto" w:frame="1"/>
        </w:rPr>
      </w:pPr>
    </w:p>
    <w:p w14:paraId="4814B200" w14:textId="77777777" w:rsidR="00DE2637" w:rsidRDefault="00DE2637" w:rsidP="00BA67A6">
      <w:pPr>
        <w:pStyle w:val="font8"/>
        <w:spacing w:before="0" w:beforeAutospacing="0" w:after="0" w:afterAutospacing="0"/>
        <w:jc w:val="both"/>
        <w:textAlignment w:val="baseline"/>
        <w:rPr>
          <w:bCs/>
          <w:color w:val="000000"/>
          <w:bdr w:val="none" w:sz="0" w:space="0" w:color="auto" w:frame="1"/>
          <w:lang w:val="tr-TR"/>
        </w:rPr>
      </w:pPr>
      <w:proofErr w:type="gramStart"/>
      <w:r>
        <w:rPr>
          <w:bCs/>
          <w:color w:val="000000"/>
          <w:bdr w:val="none" w:sz="0" w:space="0" w:color="auto" w:frame="1"/>
        </w:rPr>
        <w:t>In spite of</w:t>
      </w:r>
      <w:proofErr w:type="gramEnd"/>
      <w:r>
        <w:rPr>
          <w:bCs/>
          <w:color w:val="000000"/>
          <w:bdr w:val="none" w:sz="0" w:space="0" w:color="auto" w:frame="1"/>
        </w:rPr>
        <w:t xml:space="preserve"> these differences in the political and economic development, and in formal institutions,</w:t>
      </w:r>
      <w:r w:rsidRPr="00D976B5">
        <w:rPr>
          <w:bCs/>
          <w:color w:val="000000"/>
          <w:bdr w:val="none" w:sz="0" w:space="0" w:color="auto" w:frame="1"/>
        </w:rPr>
        <w:t xml:space="preserve"> both countries </w:t>
      </w:r>
      <w:r>
        <w:rPr>
          <w:bCs/>
          <w:color w:val="000000"/>
          <w:bdr w:val="none" w:sz="0" w:space="0" w:color="auto" w:frame="1"/>
        </w:rPr>
        <w:t xml:space="preserve">show an astonishing degree of similarities with respect to their economic cultures. Both </w:t>
      </w:r>
      <w:r w:rsidRPr="00D976B5">
        <w:rPr>
          <w:bCs/>
          <w:color w:val="000000"/>
          <w:bdr w:val="none" w:sz="0" w:space="0" w:color="auto" w:frame="1"/>
        </w:rPr>
        <w:t xml:space="preserve">display a high degree of Power Distance, a high degree of Uncertainty Avoidance, short-term orientation and a lack of generalized trust. Support for a democratic system is combined with a belief in the rule of a strong leader and </w:t>
      </w:r>
      <w:r>
        <w:rPr>
          <w:bCs/>
          <w:color w:val="000000"/>
          <w:bdr w:val="none" w:sz="0" w:space="0" w:color="auto" w:frame="1"/>
        </w:rPr>
        <w:t xml:space="preserve">the </w:t>
      </w:r>
      <w:r w:rsidRPr="00D976B5">
        <w:rPr>
          <w:bCs/>
          <w:color w:val="000000"/>
          <w:bdr w:val="none" w:sz="0" w:space="0" w:color="auto" w:frame="1"/>
        </w:rPr>
        <w:t>rule of experts. In both countries people prefer more equal incomes, taxing the rich and subsidizing the poor.</w:t>
      </w:r>
      <w:r>
        <w:rPr>
          <w:bCs/>
          <w:color w:val="000000"/>
          <w:bdr w:val="none" w:sz="0" w:space="0" w:color="auto" w:frame="1"/>
        </w:rPr>
        <w:t xml:space="preserve"> While pointing in the same direction, these attitudes are more pronounced in Iraq than in Türkiye. </w:t>
      </w:r>
      <w:proofErr w:type="spellStart"/>
      <w:r w:rsidRPr="00D976B5">
        <w:rPr>
          <w:bCs/>
          <w:color w:val="000000"/>
          <w:bdr w:val="none" w:sz="0" w:space="0" w:color="auto" w:frame="1"/>
          <w:lang w:val="tr-TR"/>
        </w:rPr>
        <w:t>These</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attitudes</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might</w:t>
      </w:r>
      <w:proofErr w:type="spellEnd"/>
      <w:r w:rsidRPr="00D976B5">
        <w:rPr>
          <w:bCs/>
          <w:color w:val="000000"/>
          <w:bdr w:val="none" w:sz="0" w:space="0" w:color="auto" w:frame="1"/>
          <w:lang w:val="tr-TR"/>
        </w:rPr>
        <w:t xml:space="preserve"> be at </w:t>
      </w:r>
      <w:proofErr w:type="spellStart"/>
      <w:r w:rsidRPr="00D976B5">
        <w:rPr>
          <w:bCs/>
          <w:color w:val="000000"/>
          <w:bdr w:val="none" w:sz="0" w:space="0" w:color="auto" w:frame="1"/>
          <w:lang w:val="tr-TR"/>
        </w:rPr>
        <w:t>odds</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with</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the</w:t>
      </w:r>
      <w:proofErr w:type="spellEnd"/>
      <w:r w:rsidRPr="00D976B5">
        <w:rPr>
          <w:bCs/>
          <w:color w:val="000000"/>
          <w:bdr w:val="none" w:sz="0" w:space="0" w:color="auto" w:frame="1"/>
          <w:lang w:val="tr-TR"/>
        </w:rPr>
        <w:t xml:space="preserve"> liberal model of a market </w:t>
      </w:r>
      <w:proofErr w:type="spellStart"/>
      <w:r w:rsidRPr="00D976B5">
        <w:rPr>
          <w:bCs/>
          <w:color w:val="000000"/>
          <w:bdr w:val="none" w:sz="0" w:space="0" w:color="auto" w:frame="1"/>
          <w:lang w:val="tr-TR"/>
        </w:rPr>
        <w:t>economy</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and</w:t>
      </w:r>
      <w:proofErr w:type="spellEnd"/>
      <w:r w:rsidRPr="00D976B5">
        <w:rPr>
          <w:bCs/>
          <w:color w:val="000000"/>
          <w:bdr w:val="none" w:sz="0" w:space="0" w:color="auto" w:frame="1"/>
          <w:lang w:val="tr-TR"/>
        </w:rPr>
        <w:t xml:space="preserve"> be </w:t>
      </w:r>
      <w:proofErr w:type="spellStart"/>
      <w:r w:rsidRPr="00D976B5">
        <w:rPr>
          <w:bCs/>
          <w:color w:val="000000"/>
          <w:bdr w:val="none" w:sz="0" w:space="0" w:color="auto" w:frame="1"/>
          <w:lang w:val="tr-TR"/>
        </w:rPr>
        <w:t>more</w:t>
      </w:r>
      <w:proofErr w:type="spellEnd"/>
      <w:r w:rsidRPr="00D976B5">
        <w:rPr>
          <w:bCs/>
          <w:color w:val="000000"/>
          <w:bdr w:val="none" w:sz="0" w:space="0" w:color="auto" w:frame="1"/>
          <w:lang w:val="tr-TR"/>
        </w:rPr>
        <w:t xml:space="preserve"> in </w:t>
      </w:r>
      <w:proofErr w:type="spellStart"/>
      <w:r w:rsidRPr="00D976B5">
        <w:rPr>
          <w:bCs/>
          <w:color w:val="000000"/>
          <w:bdr w:val="none" w:sz="0" w:space="0" w:color="auto" w:frame="1"/>
          <w:lang w:val="tr-TR"/>
        </w:rPr>
        <w:t>line</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with</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authoritarian</w:t>
      </w:r>
      <w:proofErr w:type="spellEnd"/>
      <w:r>
        <w:rPr>
          <w:bCs/>
          <w:color w:val="000000"/>
          <w:bdr w:val="none" w:sz="0" w:space="0" w:color="auto" w:frame="1"/>
          <w:lang w:val="tr-TR"/>
        </w:rPr>
        <w:t xml:space="preserve">, </w:t>
      </w:r>
      <w:proofErr w:type="spellStart"/>
      <w:r w:rsidRPr="00D976B5">
        <w:rPr>
          <w:bCs/>
          <w:color w:val="000000"/>
          <w:bdr w:val="none" w:sz="0" w:space="0" w:color="auto" w:frame="1"/>
          <w:lang w:val="tr-TR"/>
        </w:rPr>
        <w:t>state-centred</w:t>
      </w:r>
      <w:proofErr w:type="spellEnd"/>
      <w:r>
        <w:rPr>
          <w:bCs/>
          <w:color w:val="000000"/>
          <w:bdr w:val="none" w:sz="0" w:space="0" w:color="auto" w:frame="1"/>
          <w:lang w:val="tr-TR"/>
        </w:rPr>
        <w:t xml:space="preserve"> </w:t>
      </w:r>
      <w:proofErr w:type="spellStart"/>
      <w:r>
        <w:rPr>
          <w:bCs/>
          <w:color w:val="000000"/>
          <w:bdr w:val="none" w:sz="0" w:space="0" w:color="auto" w:frame="1"/>
          <w:lang w:val="tr-TR"/>
        </w:rPr>
        <w:t>or</w:t>
      </w:r>
      <w:proofErr w:type="spellEnd"/>
      <w:r>
        <w:rPr>
          <w:bCs/>
          <w:color w:val="000000"/>
          <w:bdr w:val="none" w:sz="0" w:space="0" w:color="auto" w:frame="1"/>
          <w:lang w:val="tr-TR"/>
        </w:rPr>
        <w:t xml:space="preserve"> </w:t>
      </w:r>
      <w:proofErr w:type="spellStart"/>
      <w:r>
        <w:rPr>
          <w:bCs/>
          <w:color w:val="000000"/>
          <w:bdr w:val="none" w:sz="0" w:space="0" w:color="auto" w:frame="1"/>
          <w:lang w:val="tr-TR"/>
        </w:rPr>
        <w:t>clientelistic</w:t>
      </w:r>
      <w:proofErr w:type="spellEnd"/>
      <w:r w:rsidRPr="00D976B5">
        <w:rPr>
          <w:bCs/>
          <w:color w:val="000000"/>
          <w:bdr w:val="none" w:sz="0" w:space="0" w:color="auto" w:frame="1"/>
          <w:lang w:val="tr-TR"/>
        </w:rPr>
        <w:t xml:space="preserve"> </w:t>
      </w:r>
      <w:proofErr w:type="spellStart"/>
      <w:r w:rsidRPr="00D976B5">
        <w:rPr>
          <w:bCs/>
          <w:color w:val="000000"/>
          <w:bdr w:val="none" w:sz="0" w:space="0" w:color="auto" w:frame="1"/>
          <w:lang w:val="tr-TR"/>
        </w:rPr>
        <w:t>models</w:t>
      </w:r>
      <w:proofErr w:type="spellEnd"/>
      <w:r w:rsidRPr="00D976B5">
        <w:rPr>
          <w:bCs/>
          <w:color w:val="000000"/>
          <w:bdr w:val="none" w:sz="0" w:space="0" w:color="auto" w:frame="1"/>
          <w:lang w:val="tr-TR"/>
        </w:rPr>
        <w:t xml:space="preserve"> of </w:t>
      </w:r>
      <w:proofErr w:type="spellStart"/>
      <w:r w:rsidRPr="00D976B5">
        <w:rPr>
          <w:bCs/>
          <w:color w:val="000000"/>
          <w:bdr w:val="none" w:sz="0" w:space="0" w:color="auto" w:frame="1"/>
          <w:lang w:val="tr-TR"/>
        </w:rPr>
        <w:t>capitalism</w:t>
      </w:r>
      <w:proofErr w:type="spellEnd"/>
      <w:r w:rsidRPr="00D976B5">
        <w:rPr>
          <w:bCs/>
          <w:color w:val="000000"/>
          <w:bdr w:val="none" w:sz="0" w:space="0" w:color="auto" w:frame="1"/>
          <w:lang w:val="tr-TR"/>
        </w:rPr>
        <w:t>.</w:t>
      </w:r>
    </w:p>
    <w:p w14:paraId="563EDE1A" w14:textId="77777777" w:rsidR="00BA67A6" w:rsidRDefault="00BA67A6" w:rsidP="00BA67A6">
      <w:pPr>
        <w:pStyle w:val="font8"/>
        <w:spacing w:before="0" w:beforeAutospacing="0" w:after="0" w:afterAutospacing="0"/>
        <w:jc w:val="both"/>
        <w:textAlignment w:val="baseline"/>
        <w:rPr>
          <w:bCs/>
          <w:color w:val="000000"/>
          <w:bdr w:val="none" w:sz="0" w:space="0" w:color="auto" w:frame="1"/>
          <w:lang w:val="tr-TR"/>
        </w:rPr>
      </w:pPr>
    </w:p>
    <w:p w14:paraId="5CFD797F" w14:textId="77777777" w:rsidR="00DE2637" w:rsidRDefault="00DE2637" w:rsidP="00BA67A6">
      <w:pPr>
        <w:pStyle w:val="font8"/>
        <w:spacing w:before="0" w:beforeAutospacing="0" w:after="0" w:afterAutospacing="0"/>
        <w:jc w:val="both"/>
        <w:textAlignment w:val="baseline"/>
        <w:rPr>
          <w:bCs/>
          <w:color w:val="000000"/>
          <w:bdr w:val="none" w:sz="0" w:space="0" w:color="auto" w:frame="1"/>
          <w:lang w:val="tr-TR"/>
        </w:rPr>
      </w:pPr>
      <w:r w:rsidRPr="00FC5208">
        <w:rPr>
          <w:bCs/>
          <w:color w:val="000000"/>
          <w:bdr w:val="none" w:sz="0" w:space="0" w:color="auto" w:frame="1"/>
        </w:rPr>
        <w:t>But there are also differences in the economic cultures of the two countries. Türkiye is moderately individualistic and in favor of competition, while Iraq is more collectivistic and rejects competition.</w:t>
      </w:r>
      <w:r>
        <w:rPr>
          <w:bCs/>
          <w:color w:val="000000"/>
          <w:bdr w:val="none" w:sz="0" w:space="0" w:color="auto" w:frame="1"/>
        </w:rPr>
        <w:t xml:space="preserve"> </w:t>
      </w:r>
      <w:r w:rsidRPr="00FC5208">
        <w:rPr>
          <w:bCs/>
          <w:color w:val="000000"/>
          <w:bdr w:val="none" w:sz="0" w:space="0" w:color="auto" w:frame="1"/>
        </w:rPr>
        <w:t>Th</w:t>
      </w:r>
      <w:r>
        <w:rPr>
          <w:bCs/>
          <w:color w:val="000000"/>
          <w:bdr w:val="none" w:sz="0" w:space="0" w:color="auto" w:frame="1"/>
        </w:rPr>
        <w:t>is leads us to the</w:t>
      </w:r>
      <w:r w:rsidRPr="00FC5208">
        <w:rPr>
          <w:bCs/>
          <w:color w:val="000000"/>
          <w:bdr w:val="none" w:sz="0" w:space="0" w:color="auto" w:frame="1"/>
        </w:rPr>
        <w:t xml:space="preserve"> inconsistencies in the sets of values and opinions in each countr</w:t>
      </w:r>
      <w:r>
        <w:rPr>
          <w:bCs/>
          <w:color w:val="000000"/>
          <w:bdr w:val="none" w:sz="0" w:space="0" w:color="auto" w:frame="1"/>
        </w:rPr>
        <w:t>y</w:t>
      </w:r>
      <w:r w:rsidRPr="00FC5208">
        <w:rPr>
          <w:bCs/>
          <w:color w:val="000000"/>
          <w:bdr w:val="none" w:sz="0" w:space="0" w:color="auto" w:frame="1"/>
        </w:rPr>
        <w:t xml:space="preserve">: Respondents in Türkiye prefer more government property plus government responsibility, </w:t>
      </w:r>
      <w:r>
        <w:rPr>
          <w:bCs/>
          <w:color w:val="000000"/>
          <w:bdr w:val="none" w:sz="0" w:space="0" w:color="auto" w:frame="1"/>
        </w:rPr>
        <w:t>at the same time they</w:t>
      </w:r>
      <w:r w:rsidRPr="00FC5208">
        <w:rPr>
          <w:bCs/>
          <w:color w:val="000000"/>
          <w:bdr w:val="none" w:sz="0" w:space="0" w:color="auto" w:frame="1"/>
        </w:rPr>
        <w:t xml:space="preserve"> favor competition.</w:t>
      </w:r>
      <w:r>
        <w:rPr>
          <w:bCs/>
          <w:color w:val="000000"/>
          <w:bdr w:val="none" w:sz="0" w:space="0" w:color="auto" w:frame="1"/>
        </w:rPr>
        <w:t xml:space="preserve"> But</w:t>
      </w:r>
      <w:r w:rsidRPr="00FC5208">
        <w:rPr>
          <w:bCs/>
          <w:color w:val="000000"/>
          <w:bdr w:val="none" w:sz="0" w:space="0" w:color="auto" w:frame="1"/>
        </w:rPr>
        <w:t xml:space="preserve"> </w:t>
      </w:r>
      <w:r>
        <w:rPr>
          <w:bCs/>
          <w:color w:val="000000"/>
          <w:bdr w:val="none" w:sz="0" w:space="0" w:color="auto" w:frame="1"/>
        </w:rPr>
        <w:t xml:space="preserve">more government intervention </w:t>
      </w:r>
      <w:proofErr w:type="gramStart"/>
      <w:r>
        <w:rPr>
          <w:bCs/>
          <w:color w:val="000000"/>
          <w:bdr w:val="none" w:sz="0" w:space="0" w:color="auto" w:frame="1"/>
        </w:rPr>
        <w:t>into</w:t>
      </w:r>
      <w:proofErr w:type="gramEnd"/>
      <w:r>
        <w:rPr>
          <w:bCs/>
          <w:color w:val="000000"/>
          <w:bdr w:val="none" w:sz="0" w:space="0" w:color="auto" w:frame="1"/>
        </w:rPr>
        <w:t xml:space="preserve"> the economy might impede the functioning of competitive markets. </w:t>
      </w:r>
      <w:r w:rsidRPr="00FC5208">
        <w:rPr>
          <w:bCs/>
          <w:color w:val="000000"/>
          <w:bdr w:val="none" w:sz="0" w:space="0" w:color="auto" w:frame="1"/>
        </w:rPr>
        <w:t xml:space="preserve">In Iraq they reject competition and want more equal incomes and subsidies for the poor. But, at the same time they reject government property and government responsibility! </w:t>
      </w:r>
      <w:r>
        <w:rPr>
          <w:bCs/>
          <w:color w:val="000000"/>
          <w:bdr w:val="none" w:sz="0" w:space="0" w:color="auto" w:frame="1"/>
        </w:rPr>
        <w:t xml:space="preserve">One might ask who if not the state should be responsible and achieve a redistribution of incomes? </w:t>
      </w:r>
      <w:proofErr w:type="spellStart"/>
      <w:r w:rsidRPr="00FC5208">
        <w:rPr>
          <w:bCs/>
          <w:color w:val="000000"/>
          <w:bdr w:val="none" w:sz="0" w:space="0" w:color="auto" w:frame="1"/>
          <w:lang w:val="tr-TR"/>
        </w:rPr>
        <w:t>Th</w:t>
      </w:r>
      <w:r>
        <w:rPr>
          <w:bCs/>
          <w:color w:val="000000"/>
          <w:bdr w:val="none" w:sz="0" w:space="0" w:color="auto" w:frame="1"/>
          <w:lang w:val="tr-TR"/>
        </w:rPr>
        <w:t>is</w:t>
      </w:r>
      <w:proofErr w:type="spellEnd"/>
      <w:r>
        <w:rPr>
          <w:bCs/>
          <w:color w:val="000000"/>
          <w:bdr w:val="none" w:sz="0" w:space="0" w:color="auto" w:frame="1"/>
          <w:lang w:val="tr-TR"/>
        </w:rPr>
        <w:t xml:space="preserve"> </w:t>
      </w:r>
      <w:proofErr w:type="spellStart"/>
      <w:r>
        <w:rPr>
          <w:bCs/>
          <w:color w:val="000000"/>
          <w:bdr w:val="none" w:sz="0" w:space="0" w:color="auto" w:frame="1"/>
          <w:lang w:val="tr-TR"/>
        </w:rPr>
        <w:t>contradictory</w:t>
      </w:r>
      <w:proofErr w:type="spellEnd"/>
      <w:r>
        <w:rPr>
          <w:bCs/>
          <w:color w:val="000000"/>
          <w:bdr w:val="none" w:sz="0" w:space="0" w:color="auto" w:frame="1"/>
          <w:lang w:val="tr-TR"/>
        </w:rPr>
        <w:t xml:space="preserve"> </w:t>
      </w:r>
      <w:proofErr w:type="spellStart"/>
      <w:r>
        <w:rPr>
          <w:bCs/>
          <w:color w:val="000000"/>
          <w:bdr w:val="none" w:sz="0" w:space="0" w:color="auto" w:frame="1"/>
          <w:lang w:val="tr-TR"/>
        </w:rPr>
        <w:t>attitude</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might</w:t>
      </w:r>
      <w:proofErr w:type="spellEnd"/>
      <w:r w:rsidRPr="00FC5208">
        <w:rPr>
          <w:bCs/>
          <w:color w:val="000000"/>
          <w:bdr w:val="none" w:sz="0" w:space="0" w:color="auto" w:frame="1"/>
          <w:lang w:val="tr-TR"/>
        </w:rPr>
        <w:t xml:space="preserve"> be </w:t>
      </w:r>
      <w:proofErr w:type="spellStart"/>
      <w:r w:rsidRPr="00FC5208">
        <w:rPr>
          <w:bCs/>
          <w:color w:val="000000"/>
          <w:bdr w:val="none" w:sz="0" w:space="0" w:color="auto" w:frame="1"/>
          <w:lang w:val="tr-TR"/>
        </w:rPr>
        <w:t>due</w:t>
      </w:r>
      <w:proofErr w:type="spellEnd"/>
      <w:r w:rsidRPr="00FC5208">
        <w:rPr>
          <w:bCs/>
          <w:color w:val="000000"/>
          <w:bdr w:val="none" w:sz="0" w:space="0" w:color="auto" w:frame="1"/>
          <w:lang w:val="tr-TR"/>
        </w:rPr>
        <w:t xml:space="preserve"> in </w:t>
      </w:r>
      <w:proofErr w:type="spellStart"/>
      <w:r w:rsidRPr="00FC5208">
        <w:rPr>
          <w:bCs/>
          <w:color w:val="000000"/>
          <w:bdr w:val="none" w:sz="0" w:space="0" w:color="auto" w:frame="1"/>
          <w:lang w:val="tr-TR"/>
        </w:rPr>
        <w:t>Iraq</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to</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heritage</w:t>
      </w:r>
      <w:proofErr w:type="spellEnd"/>
      <w:r w:rsidRPr="00FC5208">
        <w:rPr>
          <w:bCs/>
          <w:color w:val="000000"/>
          <w:bdr w:val="none" w:sz="0" w:space="0" w:color="auto" w:frame="1"/>
          <w:lang w:val="tr-TR"/>
        </w:rPr>
        <w:t xml:space="preserve"> of a </w:t>
      </w:r>
      <w:proofErr w:type="spellStart"/>
      <w:r w:rsidRPr="00FC5208">
        <w:rPr>
          <w:bCs/>
          <w:color w:val="000000"/>
          <w:bdr w:val="none" w:sz="0" w:space="0" w:color="auto" w:frame="1"/>
          <w:lang w:val="tr-TR"/>
        </w:rPr>
        <w:t>strong</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state</w:t>
      </w:r>
      <w:proofErr w:type="spellEnd"/>
      <w:r w:rsidRPr="00FC5208">
        <w:rPr>
          <w:bCs/>
          <w:color w:val="000000"/>
          <w:bdr w:val="none" w:sz="0" w:space="0" w:color="auto" w:frame="1"/>
          <w:lang w:val="tr-TR"/>
        </w:rPr>
        <w:t xml:space="preserve"> </w:t>
      </w:r>
      <w:r>
        <w:rPr>
          <w:bCs/>
          <w:color w:val="000000"/>
          <w:bdr w:val="none" w:sz="0" w:space="0" w:color="auto" w:frame="1"/>
          <w:lang w:val="tr-TR"/>
        </w:rPr>
        <w:t xml:space="preserve">in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past</w:t>
      </w:r>
      <w:proofErr w:type="spellEnd"/>
      <w:r>
        <w:rPr>
          <w:bCs/>
          <w:color w:val="000000"/>
          <w:bdr w:val="none" w:sz="0" w:space="0" w:color="auto" w:frame="1"/>
          <w:lang w:val="tr-TR"/>
        </w:rPr>
        <w:t xml:space="preserve"> in </w:t>
      </w:r>
      <w:proofErr w:type="spellStart"/>
      <w:r w:rsidRPr="00FC5208">
        <w:rPr>
          <w:bCs/>
          <w:color w:val="000000"/>
          <w:bdr w:val="none" w:sz="0" w:space="0" w:color="auto" w:frame="1"/>
          <w:lang w:val="tr-TR"/>
        </w:rPr>
        <w:t>contrast</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to</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the</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distrust</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towards</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the</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existing</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state</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governed</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by</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ethnic</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and</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clientelistic</w:t>
      </w:r>
      <w:proofErr w:type="spellEnd"/>
      <w:r w:rsidRPr="00FC5208">
        <w:rPr>
          <w:bCs/>
          <w:color w:val="000000"/>
          <w:bdr w:val="none" w:sz="0" w:space="0" w:color="auto" w:frame="1"/>
          <w:lang w:val="tr-TR"/>
        </w:rPr>
        <w:t xml:space="preserve"> </w:t>
      </w:r>
      <w:proofErr w:type="spellStart"/>
      <w:r w:rsidRPr="00FC5208">
        <w:rPr>
          <w:bCs/>
          <w:color w:val="000000"/>
          <w:bdr w:val="none" w:sz="0" w:space="0" w:color="auto" w:frame="1"/>
          <w:lang w:val="tr-TR"/>
        </w:rPr>
        <w:t>interests</w:t>
      </w:r>
      <w:proofErr w:type="spellEnd"/>
      <w:r w:rsidRPr="00FC5208">
        <w:rPr>
          <w:bCs/>
          <w:color w:val="000000"/>
          <w:bdr w:val="none" w:sz="0" w:space="0" w:color="auto" w:frame="1"/>
          <w:lang w:val="tr-TR"/>
        </w:rPr>
        <w:t>.</w:t>
      </w:r>
    </w:p>
    <w:p w14:paraId="3324EC86" w14:textId="77777777" w:rsidR="00BA67A6" w:rsidRDefault="00BA67A6" w:rsidP="00BA67A6">
      <w:pPr>
        <w:pStyle w:val="font8"/>
        <w:spacing w:before="0" w:beforeAutospacing="0" w:after="0" w:afterAutospacing="0"/>
        <w:jc w:val="both"/>
        <w:textAlignment w:val="baseline"/>
        <w:rPr>
          <w:bCs/>
          <w:color w:val="000000"/>
          <w:bdr w:val="none" w:sz="0" w:space="0" w:color="auto" w:frame="1"/>
          <w:lang w:val="tr-TR"/>
        </w:rPr>
      </w:pPr>
    </w:p>
    <w:p w14:paraId="032AF2A1" w14:textId="77777777" w:rsidR="00DE2637" w:rsidRPr="004010B6" w:rsidRDefault="00DE2637" w:rsidP="00BA67A6">
      <w:pPr>
        <w:pStyle w:val="font8"/>
        <w:spacing w:before="0" w:beforeAutospacing="0" w:after="0" w:afterAutospacing="0"/>
        <w:jc w:val="both"/>
        <w:textAlignment w:val="baseline"/>
        <w:rPr>
          <w:bCs/>
          <w:color w:val="000000"/>
          <w:bdr w:val="none" w:sz="0" w:space="0" w:color="auto" w:frame="1"/>
        </w:rPr>
      </w:pPr>
      <w:proofErr w:type="spellStart"/>
      <w:r>
        <w:rPr>
          <w:bCs/>
          <w:color w:val="000000"/>
          <w:bdr w:val="none" w:sz="0" w:space="0" w:color="auto" w:frame="1"/>
          <w:lang w:val="tr-TR"/>
        </w:rPr>
        <w:t>While</w:t>
      </w:r>
      <w:proofErr w:type="spellEnd"/>
      <w:r>
        <w:rPr>
          <w:bCs/>
          <w:color w:val="000000"/>
          <w:bdr w:val="none" w:sz="0" w:space="0" w:color="auto" w:frame="1"/>
          <w:lang w:val="tr-TR"/>
        </w:rPr>
        <w:t xml:space="preserve"> in Türkiye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economic</w:t>
      </w:r>
      <w:proofErr w:type="spellEnd"/>
      <w:r>
        <w:rPr>
          <w:bCs/>
          <w:color w:val="000000"/>
          <w:bdr w:val="none" w:sz="0" w:space="0" w:color="auto" w:frame="1"/>
          <w:lang w:val="tr-TR"/>
        </w:rPr>
        <w:t xml:space="preserve"> </w:t>
      </w:r>
      <w:proofErr w:type="spellStart"/>
      <w:r>
        <w:rPr>
          <w:bCs/>
          <w:color w:val="000000"/>
          <w:bdr w:val="none" w:sz="0" w:space="0" w:color="auto" w:frame="1"/>
          <w:lang w:val="tr-TR"/>
        </w:rPr>
        <w:t>culture</w:t>
      </w:r>
      <w:proofErr w:type="spellEnd"/>
      <w:r>
        <w:rPr>
          <w:bCs/>
          <w:color w:val="000000"/>
          <w:bdr w:val="none" w:sz="0" w:space="0" w:color="auto" w:frame="1"/>
          <w:lang w:val="tr-TR"/>
        </w:rPr>
        <w:t xml:space="preserve"> </w:t>
      </w:r>
      <w:proofErr w:type="spellStart"/>
      <w:r>
        <w:rPr>
          <w:bCs/>
          <w:color w:val="000000"/>
          <w:bdr w:val="none" w:sz="0" w:space="0" w:color="auto" w:frame="1"/>
          <w:lang w:val="tr-TR"/>
        </w:rPr>
        <w:t>reflects</w:t>
      </w:r>
      <w:proofErr w:type="spellEnd"/>
      <w:r>
        <w:rPr>
          <w:bCs/>
          <w:color w:val="000000"/>
          <w:bdr w:val="none" w:sz="0" w:space="0" w:color="auto" w:frame="1"/>
          <w:lang w:val="tr-TR"/>
        </w:rPr>
        <w:t xml:space="preserve"> </w:t>
      </w:r>
      <w:proofErr w:type="spellStart"/>
      <w:r>
        <w:rPr>
          <w:bCs/>
          <w:color w:val="000000"/>
          <w:bdr w:val="none" w:sz="0" w:space="0" w:color="auto" w:frame="1"/>
          <w:lang w:val="tr-TR"/>
        </w:rPr>
        <w:t>and</w:t>
      </w:r>
      <w:proofErr w:type="spellEnd"/>
      <w:r>
        <w:rPr>
          <w:bCs/>
          <w:color w:val="000000"/>
          <w:bdr w:val="none" w:sz="0" w:space="0" w:color="auto" w:frame="1"/>
          <w:lang w:val="tr-TR"/>
        </w:rPr>
        <w:t xml:space="preserve"> </w:t>
      </w:r>
      <w:proofErr w:type="spellStart"/>
      <w:r>
        <w:rPr>
          <w:bCs/>
          <w:color w:val="000000"/>
          <w:bdr w:val="none" w:sz="0" w:space="0" w:color="auto" w:frame="1"/>
          <w:lang w:val="tr-TR"/>
        </w:rPr>
        <w:t>supports</w:t>
      </w:r>
      <w:proofErr w:type="spellEnd"/>
      <w:r>
        <w:rPr>
          <w:bCs/>
          <w:color w:val="000000"/>
          <w:bdr w:val="none" w:sz="0" w:space="0" w:color="auto" w:frame="1"/>
          <w:lang w:val="tr-TR"/>
        </w:rPr>
        <w:t xml:space="preserve">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economic</w:t>
      </w:r>
      <w:proofErr w:type="spellEnd"/>
      <w:r>
        <w:rPr>
          <w:bCs/>
          <w:color w:val="000000"/>
          <w:bdr w:val="none" w:sz="0" w:space="0" w:color="auto" w:frame="1"/>
          <w:lang w:val="tr-TR"/>
        </w:rPr>
        <w:t xml:space="preserve"> </w:t>
      </w:r>
      <w:proofErr w:type="spellStart"/>
      <w:r>
        <w:rPr>
          <w:bCs/>
          <w:color w:val="000000"/>
          <w:bdr w:val="none" w:sz="0" w:space="0" w:color="auto" w:frame="1"/>
          <w:lang w:val="tr-TR"/>
        </w:rPr>
        <w:t>reality</w:t>
      </w:r>
      <w:proofErr w:type="spellEnd"/>
      <w:r>
        <w:rPr>
          <w:bCs/>
          <w:color w:val="000000"/>
          <w:bdr w:val="none" w:sz="0" w:space="0" w:color="auto" w:frame="1"/>
          <w:lang w:val="tr-TR"/>
        </w:rPr>
        <w:t xml:space="preserve"> of a </w:t>
      </w:r>
      <w:proofErr w:type="gramStart"/>
      <w:r>
        <w:rPr>
          <w:bCs/>
          <w:color w:val="000000"/>
          <w:bdr w:val="none" w:sz="0" w:space="0" w:color="auto" w:frame="1"/>
          <w:lang w:val="tr-TR"/>
        </w:rPr>
        <w:t xml:space="preserve">market  </w:t>
      </w:r>
      <w:proofErr w:type="spellStart"/>
      <w:r>
        <w:rPr>
          <w:bCs/>
          <w:color w:val="000000"/>
          <w:bdr w:val="none" w:sz="0" w:space="0" w:color="auto" w:frame="1"/>
          <w:lang w:val="tr-TR"/>
        </w:rPr>
        <w:t>economy</w:t>
      </w:r>
      <w:proofErr w:type="spellEnd"/>
      <w:proofErr w:type="gramEnd"/>
      <w:r>
        <w:rPr>
          <w:bCs/>
          <w:color w:val="000000"/>
          <w:bdr w:val="none" w:sz="0" w:space="0" w:color="auto" w:frame="1"/>
          <w:lang w:val="tr-TR"/>
        </w:rPr>
        <w:t xml:space="preserve"> </w:t>
      </w:r>
      <w:proofErr w:type="spellStart"/>
      <w:r>
        <w:rPr>
          <w:bCs/>
          <w:color w:val="000000"/>
          <w:bdr w:val="none" w:sz="0" w:space="0" w:color="auto" w:frame="1"/>
          <w:lang w:val="tr-TR"/>
        </w:rPr>
        <w:t>with</w:t>
      </w:r>
      <w:proofErr w:type="spellEnd"/>
      <w:r>
        <w:rPr>
          <w:bCs/>
          <w:color w:val="000000"/>
          <w:bdr w:val="none" w:sz="0" w:space="0" w:color="auto" w:frame="1"/>
          <w:lang w:val="tr-TR"/>
        </w:rPr>
        <w:t xml:space="preserve"> </w:t>
      </w:r>
      <w:proofErr w:type="spellStart"/>
      <w:r>
        <w:rPr>
          <w:bCs/>
          <w:color w:val="000000"/>
          <w:bdr w:val="none" w:sz="0" w:space="0" w:color="auto" w:frame="1"/>
          <w:lang w:val="tr-TR"/>
        </w:rPr>
        <w:t>strong</w:t>
      </w:r>
      <w:proofErr w:type="spellEnd"/>
      <w:r>
        <w:rPr>
          <w:bCs/>
          <w:color w:val="000000"/>
          <w:bdr w:val="none" w:sz="0" w:space="0" w:color="auto" w:frame="1"/>
          <w:lang w:val="tr-TR"/>
        </w:rPr>
        <w:t xml:space="preserve"> </w:t>
      </w:r>
      <w:proofErr w:type="spellStart"/>
      <w:r>
        <w:rPr>
          <w:bCs/>
          <w:color w:val="000000"/>
          <w:bdr w:val="none" w:sz="0" w:space="0" w:color="auto" w:frame="1"/>
          <w:lang w:val="tr-TR"/>
        </w:rPr>
        <w:t>government</w:t>
      </w:r>
      <w:proofErr w:type="spellEnd"/>
      <w:r>
        <w:rPr>
          <w:bCs/>
          <w:color w:val="000000"/>
          <w:bdr w:val="none" w:sz="0" w:space="0" w:color="auto" w:frame="1"/>
          <w:lang w:val="tr-TR"/>
        </w:rPr>
        <w:t xml:space="preserve"> </w:t>
      </w:r>
      <w:proofErr w:type="spellStart"/>
      <w:r>
        <w:rPr>
          <w:bCs/>
          <w:color w:val="000000"/>
          <w:bdr w:val="none" w:sz="0" w:space="0" w:color="auto" w:frame="1"/>
          <w:lang w:val="tr-TR"/>
        </w:rPr>
        <w:t>interventions</w:t>
      </w:r>
      <w:proofErr w:type="spellEnd"/>
      <w:r>
        <w:rPr>
          <w:bCs/>
          <w:color w:val="000000"/>
          <w:bdr w:val="none" w:sz="0" w:space="0" w:color="auto" w:frame="1"/>
          <w:lang w:val="tr-TR"/>
        </w:rPr>
        <w:t xml:space="preserve">, in </w:t>
      </w:r>
      <w:proofErr w:type="spellStart"/>
      <w:r>
        <w:rPr>
          <w:bCs/>
          <w:color w:val="000000"/>
          <w:bdr w:val="none" w:sz="0" w:space="0" w:color="auto" w:frame="1"/>
          <w:lang w:val="tr-TR"/>
        </w:rPr>
        <w:t>Iraq</w:t>
      </w:r>
      <w:proofErr w:type="spellEnd"/>
      <w:r>
        <w:rPr>
          <w:bCs/>
          <w:color w:val="000000"/>
          <w:bdr w:val="none" w:sz="0" w:space="0" w:color="auto" w:frame="1"/>
          <w:lang w:val="tr-TR"/>
        </w:rPr>
        <w:t xml:space="preserve">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prevailing</w:t>
      </w:r>
      <w:proofErr w:type="spellEnd"/>
      <w:r>
        <w:rPr>
          <w:bCs/>
          <w:color w:val="000000"/>
          <w:bdr w:val="none" w:sz="0" w:space="0" w:color="auto" w:frame="1"/>
          <w:lang w:val="tr-TR"/>
        </w:rPr>
        <w:t xml:space="preserve"> </w:t>
      </w:r>
      <w:proofErr w:type="spellStart"/>
      <w:r>
        <w:rPr>
          <w:bCs/>
          <w:color w:val="000000"/>
          <w:bdr w:val="none" w:sz="0" w:space="0" w:color="auto" w:frame="1"/>
          <w:lang w:val="tr-TR"/>
        </w:rPr>
        <w:t>attitudes</w:t>
      </w:r>
      <w:proofErr w:type="spellEnd"/>
      <w:r>
        <w:rPr>
          <w:bCs/>
          <w:color w:val="000000"/>
          <w:bdr w:val="none" w:sz="0" w:space="0" w:color="auto" w:frame="1"/>
          <w:lang w:val="tr-TR"/>
        </w:rPr>
        <w:t xml:space="preserve"> </w:t>
      </w:r>
      <w:proofErr w:type="spellStart"/>
      <w:r>
        <w:rPr>
          <w:bCs/>
          <w:color w:val="000000"/>
          <w:bdr w:val="none" w:sz="0" w:space="0" w:color="auto" w:frame="1"/>
          <w:lang w:val="tr-TR"/>
        </w:rPr>
        <w:t>are</w:t>
      </w:r>
      <w:proofErr w:type="spellEnd"/>
      <w:r>
        <w:rPr>
          <w:bCs/>
          <w:color w:val="000000"/>
          <w:bdr w:val="none" w:sz="0" w:space="0" w:color="auto" w:frame="1"/>
          <w:lang w:val="tr-TR"/>
        </w:rPr>
        <w:t xml:space="preserve"> </w:t>
      </w:r>
      <w:proofErr w:type="spellStart"/>
      <w:r>
        <w:rPr>
          <w:bCs/>
          <w:color w:val="000000"/>
          <w:bdr w:val="none" w:sz="0" w:space="0" w:color="auto" w:frame="1"/>
          <w:lang w:val="tr-TR"/>
        </w:rPr>
        <w:t>critical</w:t>
      </w:r>
      <w:proofErr w:type="spellEnd"/>
      <w:r>
        <w:rPr>
          <w:bCs/>
          <w:color w:val="000000"/>
          <w:bdr w:val="none" w:sz="0" w:space="0" w:color="auto" w:frame="1"/>
          <w:lang w:val="tr-TR"/>
        </w:rPr>
        <w:t xml:space="preserve"> </w:t>
      </w:r>
      <w:proofErr w:type="spellStart"/>
      <w:r>
        <w:rPr>
          <w:bCs/>
          <w:color w:val="000000"/>
          <w:bdr w:val="none" w:sz="0" w:space="0" w:color="auto" w:frame="1"/>
          <w:lang w:val="tr-TR"/>
        </w:rPr>
        <w:t>towards</w:t>
      </w:r>
      <w:proofErr w:type="spellEnd"/>
      <w:r>
        <w:rPr>
          <w:bCs/>
          <w:color w:val="000000"/>
          <w:bdr w:val="none" w:sz="0" w:space="0" w:color="auto" w:frame="1"/>
          <w:lang w:val="tr-TR"/>
        </w:rPr>
        <w:t xml:space="preserve">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political</w:t>
      </w:r>
      <w:proofErr w:type="spellEnd"/>
      <w:r>
        <w:rPr>
          <w:bCs/>
          <w:color w:val="000000"/>
          <w:bdr w:val="none" w:sz="0" w:space="0" w:color="auto" w:frame="1"/>
          <w:lang w:val="tr-TR"/>
        </w:rPr>
        <w:t xml:space="preserve"> </w:t>
      </w:r>
      <w:proofErr w:type="spellStart"/>
      <w:r>
        <w:rPr>
          <w:bCs/>
          <w:color w:val="000000"/>
          <w:bdr w:val="none" w:sz="0" w:space="0" w:color="auto" w:frame="1"/>
          <w:lang w:val="tr-TR"/>
        </w:rPr>
        <w:t>and</w:t>
      </w:r>
      <w:proofErr w:type="spellEnd"/>
      <w:r>
        <w:rPr>
          <w:bCs/>
          <w:color w:val="000000"/>
          <w:bdr w:val="none" w:sz="0" w:space="0" w:color="auto" w:frame="1"/>
          <w:lang w:val="tr-TR"/>
        </w:rPr>
        <w:t xml:space="preserve"> </w:t>
      </w:r>
      <w:proofErr w:type="spellStart"/>
      <w:r>
        <w:rPr>
          <w:bCs/>
          <w:color w:val="000000"/>
          <w:bdr w:val="none" w:sz="0" w:space="0" w:color="auto" w:frame="1"/>
          <w:lang w:val="tr-TR"/>
        </w:rPr>
        <w:t>economic</w:t>
      </w:r>
      <w:proofErr w:type="spellEnd"/>
      <w:r>
        <w:rPr>
          <w:bCs/>
          <w:color w:val="000000"/>
          <w:bdr w:val="none" w:sz="0" w:space="0" w:color="auto" w:frame="1"/>
          <w:lang w:val="tr-TR"/>
        </w:rPr>
        <w:t xml:space="preserve"> </w:t>
      </w:r>
      <w:proofErr w:type="spellStart"/>
      <w:r>
        <w:rPr>
          <w:bCs/>
          <w:color w:val="000000"/>
          <w:bdr w:val="none" w:sz="0" w:space="0" w:color="auto" w:frame="1"/>
          <w:lang w:val="tr-TR"/>
        </w:rPr>
        <w:t>reality</w:t>
      </w:r>
      <w:proofErr w:type="spellEnd"/>
      <w:r>
        <w:rPr>
          <w:bCs/>
          <w:color w:val="000000"/>
          <w:bdr w:val="none" w:sz="0" w:space="0" w:color="auto" w:frame="1"/>
          <w:lang w:val="tr-TR"/>
        </w:rPr>
        <w:t xml:space="preserve"> of an </w:t>
      </w:r>
      <w:proofErr w:type="spellStart"/>
      <w:r>
        <w:rPr>
          <w:bCs/>
          <w:color w:val="000000"/>
          <w:bdr w:val="none" w:sz="0" w:space="0" w:color="auto" w:frame="1"/>
          <w:lang w:val="tr-TR"/>
        </w:rPr>
        <w:t>inefficient</w:t>
      </w:r>
      <w:proofErr w:type="spellEnd"/>
      <w:r>
        <w:rPr>
          <w:bCs/>
          <w:color w:val="000000"/>
          <w:bdr w:val="none" w:sz="0" w:space="0" w:color="auto" w:frame="1"/>
          <w:lang w:val="tr-TR"/>
        </w:rPr>
        <w:t xml:space="preserve"> </w:t>
      </w:r>
      <w:proofErr w:type="spellStart"/>
      <w:r>
        <w:rPr>
          <w:bCs/>
          <w:color w:val="000000"/>
          <w:bdr w:val="none" w:sz="0" w:space="0" w:color="auto" w:frame="1"/>
          <w:lang w:val="tr-TR"/>
        </w:rPr>
        <w:t>rentier</w:t>
      </w:r>
      <w:proofErr w:type="spellEnd"/>
      <w:r>
        <w:rPr>
          <w:bCs/>
          <w:color w:val="000000"/>
          <w:bdr w:val="none" w:sz="0" w:space="0" w:color="auto" w:frame="1"/>
          <w:lang w:val="tr-TR"/>
        </w:rPr>
        <w:t xml:space="preserve"> </w:t>
      </w:r>
      <w:proofErr w:type="spellStart"/>
      <w:r>
        <w:rPr>
          <w:bCs/>
          <w:color w:val="000000"/>
          <w:bdr w:val="none" w:sz="0" w:space="0" w:color="auto" w:frame="1"/>
          <w:lang w:val="tr-TR"/>
        </w:rPr>
        <w:t>state</w:t>
      </w:r>
      <w:proofErr w:type="spellEnd"/>
      <w:r>
        <w:rPr>
          <w:bCs/>
          <w:color w:val="000000"/>
          <w:bdr w:val="none" w:sz="0" w:space="0" w:color="auto" w:frame="1"/>
          <w:lang w:val="tr-TR"/>
        </w:rPr>
        <w:t xml:space="preserve">, but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conflicting</w:t>
      </w:r>
      <w:proofErr w:type="spellEnd"/>
      <w:r>
        <w:rPr>
          <w:bCs/>
          <w:color w:val="000000"/>
          <w:bdr w:val="none" w:sz="0" w:space="0" w:color="auto" w:frame="1"/>
          <w:lang w:val="tr-TR"/>
        </w:rPr>
        <w:t xml:space="preserve"> </w:t>
      </w:r>
      <w:proofErr w:type="spellStart"/>
      <w:r>
        <w:rPr>
          <w:bCs/>
          <w:color w:val="000000"/>
          <w:bdr w:val="none" w:sz="0" w:space="0" w:color="auto" w:frame="1"/>
          <w:lang w:val="tr-TR"/>
        </w:rPr>
        <w:t>views</w:t>
      </w:r>
      <w:proofErr w:type="spellEnd"/>
      <w:r>
        <w:rPr>
          <w:bCs/>
          <w:color w:val="000000"/>
          <w:bdr w:val="none" w:sz="0" w:space="0" w:color="auto" w:frame="1"/>
          <w:lang w:val="tr-TR"/>
        </w:rPr>
        <w:t xml:space="preserve"> </w:t>
      </w:r>
      <w:proofErr w:type="spellStart"/>
      <w:r>
        <w:rPr>
          <w:bCs/>
          <w:color w:val="000000"/>
          <w:bdr w:val="none" w:sz="0" w:space="0" w:color="auto" w:frame="1"/>
          <w:lang w:val="tr-TR"/>
        </w:rPr>
        <w:t>are</w:t>
      </w:r>
      <w:proofErr w:type="spellEnd"/>
      <w:r>
        <w:rPr>
          <w:bCs/>
          <w:color w:val="000000"/>
          <w:bdr w:val="none" w:sz="0" w:space="0" w:color="auto" w:frame="1"/>
          <w:lang w:val="tr-TR"/>
        </w:rPr>
        <w:t xml:space="preserve"> not </w:t>
      </w:r>
      <w:proofErr w:type="spellStart"/>
      <w:r>
        <w:rPr>
          <w:bCs/>
          <w:color w:val="000000"/>
          <w:bdr w:val="none" w:sz="0" w:space="0" w:color="auto" w:frame="1"/>
          <w:lang w:val="tr-TR"/>
        </w:rPr>
        <w:t>able</w:t>
      </w:r>
      <w:proofErr w:type="spellEnd"/>
      <w:r>
        <w:rPr>
          <w:bCs/>
          <w:color w:val="000000"/>
          <w:bdr w:val="none" w:sz="0" w:space="0" w:color="auto" w:frame="1"/>
          <w:lang w:val="tr-TR"/>
        </w:rPr>
        <w:t xml:space="preserve"> </w:t>
      </w:r>
      <w:proofErr w:type="spellStart"/>
      <w:r>
        <w:rPr>
          <w:bCs/>
          <w:color w:val="000000"/>
          <w:bdr w:val="none" w:sz="0" w:space="0" w:color="auto" w:frame="1"/>
          <w:lang w:val="tr-TR"/>
        </w:rPr>
        <w:t>to</w:t>
      </w:r>
      <w:proofErr w:type="spellEnd"/>
      <w:r>
        <w:rPr>
          <w:bCs/>
          <w:color w:val="000000"/>
          <w:bdr w:val="none" w:sz="0" w:space="0" w:color="auto" w:frame="1"/>
          <w:lang w:val="tr-TR"/>
        </w:rPr>
        <w:t xml:space="preserve"> </w:t>
      </w:r>
      <w:proofErr w:type="spellStart"/>
      <w:r>
        <w:rPr>
          <w:bCs/>
          <w:color w:val="000000"/>
          <w:bdr w:val="none" w:sz="0" w:space="0" w:color="auto" w:frame="1"/>
          <w:lang w:val="tr-TR"/>
        </w:rPr>
        <w:t>show</w:t>
      </w:r>
      <w:proofErr w:type="spellEnd"/>
      <w:r>
        <w:rPr>
          <w:bCs/>
          <w:color w:val="000000"/>
          <w:bdr w:val="none" w:sz="0" w:space="0" w:color="auto" w:frame="1"/>
          <w:lang w:val="tr-TR"/>
        </w:rPr>
        <w:t xml:space="preserve"> </w:t>
      </w:r>
      <w:proofErr w:type="spellStart"/>
      <w:r>
        <w:rPr>
          <w:bCs/>
          <w:color w:val="000000"/>
          <w:bdr w:val="none" w:sz="0" w:space="0" w:color="auto" w:frame="1"/>
          <w:lang w:val="tr-TR"/>
        </w:rPr>
        <w:t>the</w:t>
      </w:r>
      <w:proofErr w:type="spellEnd"/>
      <w:r>
        <w:rPr>
          <w:bCs/>
          <w:color w:val="000000"/>
          <w:bdr w:val="none" w:sz="0" w:space="0" w:color="auto" w:frame="1"/>
          <w:lang w:val="tr-TR"/>
        </w:rPr>
        <w:t xml:space="preserve"> </w:t>
      </w:r>
      <w:proofErr w:type="spellStart"/>
      <w:r>
        <w:rPr>
          <w:bCs/>
          <w:color w:val="000000"/>
          <w:bdr w:val="none" w:sz="0" w:space="0" w:color="auto" w:frame="1"/>
          <w:lang w:val="tr-TR"/>
        </w:rPr>
        <w:t>way</w:t>
      </w:r>
      <w:proofErr w:type="spellEnd"/>
      <w:r>
        <w:rPr>
          <w:bCs/>
          <w:color w:val="000000"/>
          <w:bdr w:val="none" w:sz="0" w:space="0" w:color="auto" w:frame="1"/>
          <w:lang w:val="tr-TR"/>
        </w:rPr>
        <w:t xml:space="preserve"> </w:t>
      </w:r>
      <w:proofErr w:type="spellStart"/>
      <w:r>
        <w:rPr>
          <w:bCs/>
          <w:color w:val="000000"/>
          <w:bdr w:val="none" w:sz="0" w:space="0" w:color="auto" w:frame="1"/>
          <w:lang w:val="tr-TR"/>
        </w:rPr>
        <w:t>towards</w:t>
      </w:r>
      <w:proofErr w:type="spellEnd"/>
      <w:r>
        <w:rPr>
          <w:bCs/>
          <w:color w:val="000000"/>
          <w:bdr w:val="none" w:sz="0" w:space="0" w:color="auto" w:frame="1"/>
          <w:lang w:val="tr-TR"/>
        </w:rPr>
        <w:t xml:space="preserve"> a </w:t>
      </w:r>
      <w:proofErr w:type="spellStart"/>
      <w:r>
        <w:rPr>
          <w:bCs/>
          <w:color w:val="000000"/>
          <w:bdr w:val="none" w:sz="0" w:space="0" w:color="auto" w:frame="1"/>
          <w:lang w:val="tr-TR"/>
        </w:rPr>
        <w:t>feasible</w:t>
      </w:r>
      <w:proofErr w:type="spellEnd"/>
      <w:r>
        <w:rPr>
          <w:bCs/>
          <w:color w:val="000000"/>
          <w:bdr w:val="none" w:sz="0" w:space="0" w:color="auto" w:frame="1"/>
          <w:lang w:val="tr-TR"/>
        </w:rPr>
        <w:t xml:space="preserve"> </w:t>
      </w:r>
      <w:proofErr w:type="spellStart"/>
      <w:r>
        <w:rPr>
          <w:bCs/>
          <w:color w:val="000000"/>
          <w:bdr w:val="none" w:sz="0" w:space="0" w:color="auto" w:frame="1"/>
          <w:lang w:val="tr-TR"/>
        </w:rPr>
        <w:t>solution</w:t>
      </w:r>
      <w:proofErr w:type="spellEnd"/>
      <w:r>
        <w:rPr>
          <w:bCs/>
          <w:color w:val="000000"/>
          <w:bdr w:val="none" w:sz="0" w:space="0" w:color="auto" w:frame="1"/>
          <w:lang w:val="tr-TR"/>
        </w:rPr>
        <w:t>.</w:t>
      </w:r>
    </w:p>
    <w:p w14:paraId="21AAB6C6" w14:textId="55A48FFE" w:rsidR="00DE2637" w:rsidRPr="00287F14" w:rsidRDefault="00DE2637" w:rsidP="00BA67A6">
      <w:pPr>
        <w:pStyle w:val="font8"/>
        <w:spacing w:before="0" w:beforeAutospacing="0" w:after="0" w:afterAutospacing="0"/>
        <w:textAlignment w:val="baseline"/>
        <w:rPr>
          <w:b/>
          <w:color w:val="000000"/>
          <w:bdr w:val="none" w:sz="0" w:space="0" w:color="auto" w:frame="1"/>
        </w:rPr>
      </w:pPr>
      <w:r w:rsidRPr="00287F14">
        <w:rPr>
          <w:b/>
          <w:color w:val="000000"/>
          <w:bdr w:val="none" w:sz="0" w:space="0" w:color="auto" w:frame="1"/>
        </w:rPr>
        <w:br/>
      </w:r>
      <w:r>
        <w:rPr>
          <w:b/>
          <w:bCs/>
          <w:color w:val="000000"/>
          <w:bdr w:val="none" w:sz="0" w:space="0" w:color="auto" w:frame="1"/>
        </w:rPr>
        <w:t>4</w:t>
      </w:r>
      <w:r w:rsidRPr="00287F14">
        <w:rPr>
          <w:b/>
          <w:bCs/>
          <w:color w:val="000000"/>
          <w:bdr w:val="none" w:sz="0" w:space="0" w:color="auto" w:frame="1"/>
        </w:rPr>
        <w:t>.</w:t>
      </w:r>
      <w:r w:rsidRPr="00287F14">
        <w:rPr>
          <w:b/>
          <w:color w:val="000000"/>
          <w:bdr w:val="none" w:sz="0" w:space="0" w:color="auto" w:frame="1"/>
        </w:rPr>
        <w:t> </w:t>
      </w:r>
      <w:r w:rsidR="00BA67A6">
        <w:rPr>
          <w:b/>
          <w:color w:val="000000"/>
          <w:bdr w:val="none" w:sz="0" w:space="0" w:color="auto" w:frame="1"/>
        </w:rPr>
        <w:t>RES</w:t>
      </w:r>
      <w:r>
        <w:rPr>
          <w:b/>
          <w:color w:val="000000"/>
          <w:bdr w:val="none" w:sz="0" w:space="0" w:color="auto" w:frame="1"/>
        </w:rPr>
        <w:t>OURCES</w:t>
      </w:r>
    </w:p>
    <w:p w14:paraId="2D328AD2"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proofErr w:type="spellStart"/>
      <w:r>
        <w:rPr>
          <w:color w:val="000000"/>
          <w:bdr w:val="none" w:sz="0" w:space="0" w:color="auto" w:frame="1"/>
        </w:rPr>
        <w:t>Adanir</w:t>
      </w:r>
      <w:proofErr w:type="spellEnd"/>
      <w:r>
        <w:rPr>
          <w:color w:val="000000"/>
          <w:bdr w:val="none" w:sz="0" w:space="0" w:color="auto" w:frame="1"/>
        </w:rPr>
        <w:t xml:space="preserve">, F. (1995). </w:t>
      </w:r>
      <w:proofErr w:type="spellStart"/>
      <w:r w:rsidRPr="00681FFF">
        <w:rPr>
          <w:i/>
          <w:iCs/>
          <w:color w:val="000000"/>
          <w:bdr w:val="none" w:sz="0" w:space="0" w:color="auto" w:frame="1"/>
        </w:rPr>
        <w:t>Geschichte</w:t>
      </w:r>
      <w:proofErr w:type="spellEnd"/>
      <w:r w:rsidRPr="00681FFF">
        <w:rPr>
          <w:i/>
          <w:iCs/>
          <w:color w:val="000000"/>
          <w:bdr w:val="none" w:sz="0" w:space="0" w:color="auto" w:frame="1"/>
        </w:rPr>
        <w:t xml:space="preserve"> der </w:t>
      </w:r>
      <w:proofErr w:type="spellStart"/>
      <w:r w:rsidRPr="00681FFF">
        <w:rPr>
          <w:i/>
          <w:iCs/>
          <w:color w:val="000000"/>
          <w:bdr w:val="none" w:sz="0" w:space="0" w:color="auto" w:frame="1"/>
        </w:rPr>
        <w:t>Türkei</w:t>
      </w:r>
      <w:proofErr w:type="spellEnd"/>
      <w:r>
        <w:rPr>
          <w:color w:val="000000"/>
          <w:bdr w:val="none" w:sz="0" w:space="0" w:color="auto" w:frame="1"/>
        </w:rPr>
        <w:t xml:space="preserve">. Mannheim. </w:t>
      </w:r>
    </w:p>
    <w:p w14:paraId="0704704F"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Beck, M. (2006). </w:t>
      </w:r>
      <w:r w:rsidRPr="001F533A">
        <w:rPr>
          <w:i/>
          <w:iCs/>
          <w:color w:val="000000"/>
          <w:bdr w:val="none" w:sz="0" w:space="0" w:color="auto" w:frame="1"/>
        </w:rPr>
        <w:t xml:space="preserve">Probleme des </w:t>
      </w:r>
      <w:proofErr w:type="spellStart"/>
      <w:r w:rsidRPr="001F533A">
        <w:rPr>
          <w:i/>
          <w:iCs/>
          <w:color w:val="000000"/>
          <w:bdr w:val="none" w:sz="0" w:space="0" w:color="auto" w:frame="1"/>
        </w:rPr>
        <w:t>Rentierstaats</w:t>
      </w:r>
      <w:proofErr w:type="spellEnd"/>
      <w:r w:rsidRPr="001F533A">
        <w:rPr>
          <w:i/>
          <w:iCs/>
          <w:color w:val="000000"/>
          <w:bdr w:val="none" w:sz="0" w:space="0" w:color="auto" w:frame="1"/>
        </w:rPr>
        <w:t xml:space="preserve">-Ansatzes in </w:t>
      </w:r>
      <w:proofErr w:type="spellStart"/>
      <w:r w:rsidRPr="001F533A">
        <w:rPr>
          <w:i/>
          <w:iCs/>
          <w:color w:val="000000"/>
          <w:bdr w:val="none" w:sz="0" w:space="0" w:color="auto" w:frame="1"/>
        </w:rPr>
        <w:t>vergleichender</w:t>
      </w:r>
      <w:proofErr w:type="spellEnd"/>
      <w:r w:rsidRPr="001F533A">
        <w:rPr>
          <w:i/>
          <w:iCs/>
          <w:color w:val="000000"/>
          <w:bdr w:val="none" w:sz="0" w:space="0" w:color="auto" w:frame="1"/>
        </w:rPr>
        <w:t xml:space="preserve"> </w:t>
      </w:r>
      <w:proofErr w:type="spellStart"/>
      <w:r w:rsidRPr="001F533A">
        <w:rPr>
          <w:i/>
          <w:iCs/>
          <w:color w:val="000000"/>
          <w:bdr w:val="none" w:sz="0" w:space="0" w:color="auto" w:frame="1"/>
        </w:rPr>
        <w:t>Perspektive</w:t>
      </w:r>
      <w:proofErr w:type="spellEnd"/>
      <w:r w:rsidRPr="001F533A">
        <w:rPr>
          <w:i/>
          <w:iCs/>
          <w:color w:val="000000"/>
          <w:bdr w:val="none" w:sz="0" w:space="0" w:color="auto" w:frame="1"/>
        </w:rPr>
        <w:t>,</w:t>
      </w:r>
      <w:r>
        <w:rPr>
          <w:color w:val="000000"/>
          <w:bdr w:val="none" w:sz="0" w:space="0" w:color="auto" w:frame="1"/>
        </w:rPr>
        <w:t xml:space="preserve"> [Problems of the Rentier State Approach in Comparative Perspective], GIGA Working Papers, No. 26.</w:t>
      </w:r>
    </w:p>
    <w:p w14:paraId="50554E41"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proofErr w:type="spellStart"/>
      <w:r w:rsidRPr="008B55DC">
        <w:rPr>
          <w:color w:val="000000"/>
          <w:bdr w:val="none" w:sz="0" w:space="0" w:color="auto" w:frame="1"/>
          <w:lang w:val="tr-TR"/>
        </w:rPr>
        <w:t>Cammett</w:t>
      </w:r>
      <w:proofErr w:type="spellEnd"/>
      <w:r w:rsidRPr="008B55DC">
        <w:rPr>
          <w:color w:val="000000"/>
          <w:bdr w:val="none" w:sz="0" w:space="0" w:color="auto" w:frame="1"/>
          <w:lang w:val="tr-TR"/>
        </w:rPr>
        <w:t>, M</w:t>
      </w:r>
      <w:r>
        <w:rPr>
          <w:color w:val="000000"/>
          <w:bdr w:val="none" w:sz="0" w:space="0" w:color="auto" w:frame="1"/>
          <w:lang w:val="tr-TR"/>
        </w:rPr>
        <w:t>.,</w:t>
      </w:r>
      <w:r w:rsidRPr="008B55DC">
        <w:rPr>
          <w:color w:val="000000"/>
          <w:bdr w:val="none" w:sz="0" w:space="0" w:color="auto" w:frame="1"/>
          <w:lang w:val="tr-TR"/>
        </w:rPr>
        <w:t xml:space="preserve"> </w:t>
      </w:r>
      <w:proofErr w:type="spellStart"/>
      <w:r w:rsidRPr="008B55DC">
        <w:rPr>
          <w:color w:val="000000"/>
          <w:bdr w:val="none" w:sz="0" w:space="0" w:color="auto" w:frame="1"/>
          <w:lang w:val="tr-TR"/>
        </w:rPr>
        <w:t>Diwan</w:t>
      </w:r>
      <w:proofErr w:type="spellEnd"/>
      <w:r w:rsidRPr="008B55DC">
        <w:rPr>
          <w:color w:val="000000"/>
          <w:bdr w:val="none" w:sz="0" w:space="0" w:color="auto" w:frame="1"/>
          <w:lang w:val="tr-TR"/>
        </w:rPr>
        <w:t xml:space="preserve"> I</w:t>
      </w:r>
      <w:r>
        <w:rPr>
          <w:color w:val="000000"/>
          <w:bdr w:val="none" w:sz="0" w:space="0" w:color="auto" w:frame="1"/>
          <w:lang w:val="tr-TR"/>
        </w:rPr>
        <w:t>.,</w:t>
      </w:r>
      <w:r w:rsidRPr="008B55DC">
        <w:rPr>
          <w:color w:val="000000"/>
          <w:bdr w:val="none" w:sz="0" w:space="0" w:color="auto" w:frame="1"/>
          <w:lang w:val="tr-TR"/>
        </w:rPr>
        <w:t xml:space="preserve"> Richards, A</w:t>
      </w:r>
      <w:r>
        <w:rPr>
          <w:color w:val="000000"/>
          <w:bdr w:val="none" w:sz="0" w:space="0" w:color="auto" w:frame="1"/>
          <w:lang w:val="tr-TR"/>
        </w:rPr>
        <w:t>.,</w:t>
      </w:r>
      <w:r w:rsidRPr="008B55DC">
        <w:rPr>
          <w:color w:val="000000"/>
          <w:bdr w:val="none" w:sz="0" w:space="0" w:color="auto" w:frame="1"/>
          <w:lang w:val="tr-TR"/>
        </w:rPr>
        <w:t xml:space="preserve"> </w:t>
      </w:r>
      <w:r>
        <w:rPr>
          <w:color w:val="000000"/>
          <w:bdr w:val="none" w:sz="0" w:space="0" w:color="auto" w:frame="1"/>
          <w:lang w:val="tr-TR"/>
        </w:rPr>
        <w:t xml:space="preserve">&amp; </w:t>
      </w:r>
      <w:proofErr w:type="spellStart"/>
      <w:r w:rsidRPr="008B55DC">
        <w:rPr>
          <w:color w:val="000000"/>
          <w:bdr w:val="none" w:sz="0" w:space="0" w:color="auto" w:frame="1"/>
          <w:lang w:val="tr-TR"/>
        </w:rPr>
        <w:t>Waterbury</w:t>
      </w:r>
      <w:proofErr w:type="spellEnd"/>
      <w:r w:rsidRPr="008B55DC">
        <w:rPr>
          <w:color w:val="000000"/>
          <w:bdr w:val="none" w:sz="0" w:space="0" w:color="auto" w:frame="1"/>
          <w:lang w:val="tr-TR"/>
        </w:rPr>
        <w:t xml:space="preserve"> J</w:t>
      </w:r>
      <w:r>
        <w:rPr>
          <w:color w:val="000000"/>
          <w:bdr w:val="none" w:sz="0" w:space="0" w:color="auto" w:frame="1"/>
          <w:lang w:val="tr-TR"/>
        </w:rPr>
        <w:t>.</w:t>
      </w:r>
      <w:r w:rsidRPr="008B55DC">
        <w:rPr>
          <w:color w:val="000000"/>
          <w:bdr w:val="none" w:sz="0" w:space="0" w:color="auto" w:frame="1"/>
          <w:lang w:val="tr-TR"/>
        </w:rPr>
        <w:t xml:space="preserve"> (2015). </w:t>
      </w:r>
      <w:r w:rsidRPr="008B55DC">
        <w:rPr>
          <w:i/>
          <w:iCs/>
          <w:color w:val="000000"/>
          <w:bdr w:val="none" w:sz="0" w:space="0" w:color="auto" w:frame="1"/>
          <w:lang w:val="tr-TR"/>
        </w:rPr>
        <w:t xml:space="preserve">A </w:t>
      </w:r>
      <w:proofErr w:type="spellStart"/>
      <w:r w:rsidRPr="008B55DC">
        <w:rPr>
          <w:i/>
          <w:iCs/>
          <w:color w:val="000000"/>
          <w:bdr w:val="none" w:sz="0" w:space="0" w:color="auto" w:frame="1"/>
          <w:lang w:val="tr-TR"/>
        </w:rPr>
        <w:t>Political</w:t>
      </w:r>
      <w:proofErr w:type="spellEnd"/>
      <w:r w:rsidRPr="008B55DC">
        <w:rPr>
          <w:i/>
          <w:iCs/>
          <w:color w:val="000000"/>
          <w:bdr w:val="none" w:sz="0" w:space="0" w:color="auto" w:frame="1"/>
          <w:lang w:val="tr-TR"/>
        </w:rPr>
        <w:t xml:space="preserve"> </w:t>
      </w:r>
      <w:proofErr w:type="spellStart"/>
      <w:r w:rsidRPr="008B55DC">
        <w:rPr>
          <w:i/>
          <w:iCs/>
          <w:color w:val="000000"/>
          <w:bdr w:val="none" w:sz="0" w:space="0" w:color="auto" w:frame="1"/>
          <w:lang w:val="tr-TR"/>
        </w:rPr>
        <w:t>Economy</w:t>
      </w:r>
      <w:proofErr w:type="spellEnd"/>
      <w:r w:rsidRPr="008B55DC">
        <w:rPr>
          <w:i/>
          <w:iCs/>
          <w:color w:val="000000"/>
          <w:bdr w:val="none" w:sz="0" w:space="0" w:color="auto" w:frame="1"/>
          <w:lang w:val="tr-TR"/>
        </w:rPr>
        <w:t xml:space="preserve"> of </w:t>
      </w:r>
      <w:proofErr w:type="spellStart"/>
      <w:r w:rsidRPr="008B55DC">
        <w:rPr>
          <w:i/>
          <w:iCs/>
          <w:color w:val="000000"/>
          <w:bdr w:val="none" w:sz="0" w:space="0" w:color="auto" w:frame="1"/>
          <w:lang w:val="tr-TR"/>
        </w:rPr>
        <w:t>the</w:t>
      </w:r>
      <w:proofErr w:type="spellEnd"/>
      <w:r w:rsidRPr="008B55DC">
        <w:rPr>
          <w:i/>
          <w:iCs/>
          <w:color w:val="000000"/>
          <w:bdr w:val="none" w:sz="0" w:space="0" w:color="auto" w:frame="1"/>
          <w:lang w:val="tr-TR"/>
        </w:rPr>
        <w:t xml:space="preserve"> </w:t>
      </w:r>
      <w:proofErr w:type="spellStart"/>
      <w:r w:rsidRPr="008B55DC">
        <w:rPr>
          <w:i/>
          <w:iCs/>
          <w:color w:val="000000"/>
          <w:bdr w:val="none" w:sz="0" w:space="0" w:color="auto" w:frame="1"/>
          <w:lang w:val="tr-TR"/>
        </w:rPr>
        <w:t>Middle</w:t>
      </w:r>
      <w:proofErr w:type="spellEnd"/>
      <w:r w:rsidRPr="008B55DC">
        <w:rPr>
          <w:i/>
          <w:iCs/>
          <w:color w:val="000000"/>
          <w:bdr w:val="none" w:sz="0" w:space="0" w:color="auto" w:frame="1"/>
          <w:lang w:val="tr-TR"/>
        </w:rPr>
        <w:t xml:space="preserve"> East.</w:t>
      </w:r>
      <w:r w:rsidRPr="008B55DC">
        <w:rPr>
          <w:color w:val="000000"/>
          <w:bdr w:val="none" w:sz="0" w:space="0" w:color="auto" w:frame="1"/>
          <w:lang w:val="tr-TR"/>
        </w:rPr>
        <w:t xml:space="preserve"> 4</w:t>
      </w:r>
      <w:proofErr w:type="gramStart"/>
      <w:r w:rsidRPr="008B55DC">
        <w:rPr>
          <w:color w:val="000000"/>
          <w:bdr w:val="none" w:sz="0" w:space="0" w:color="auto" w:frame="1"/>
          <w:lang w:val="tr-TR"/>
        </w:rPr>
        <w:t xml:space="preserve">th  </w:t>
      </w:r>
      <w:proofErr w:type="spellStart"/>
      <w:r w:rsidRPr="008B55DC">
        <w:rPr>
          <w:color w:val="000000"/>
          <w:bdr w:val="none" w:sz="0" w:space="0" w:color="auto" w:frame="1"/>
          <w:lang w:val="tr-TR"/>
        </w:rPr>
        <w:t>edition</w:t>
      </w:r>
      <w:proofErr w:type="spellEnd"/>
      <w:proofErr w:type="gramEnd"/>
      <w:r w:rsidRPr="008B55DC">
        <w:rPr>
          <w:color w:val="000000"/>
          <w:bdr w:val="none" w:sz="0" w:space="0" w:color="auto" w:frame="1"/>
          <w:lang w:val="tr-TR"/>
        </w:rPr>
        <w:t xml:space="preserve">, </w:t>
      </w:r>
      <w:proofErr w:type="spellStart"/>
      <w:r w:rsidRPr="008B55DC">
        <w:rPr>
          <w:color w:val="000000"/>
          <w:bdr w:val="none" w:sz="0" w:space="0" w:color="auto" w:frame="1"/>
          <w:lang w:val="tr-TR"/>
        </w:rPr>
        <w:t>Westview</w:t>
      </w:r>
      <w:proofErr w:type="spellEnd"/>
      <w:r w:rsidRPr="008B55DC">
        <w:rPr>
          <w:color w:val="000000"/>
          <w:bdr w:val="none" w:sz="0" w:space="0" w:color="auto" w:frame="1"/>
          <w:lang w:val="tr-TR"/>
        </w:rPr>
        <w:t xml:space="preserve"> </w:t>
      </w:r>
      <w:proofErr w:type="spellStart"/>
      <w:r w:rsidRPr="008B55DC">
        <w:rPr>
          <w:color w:val="000000"/>
          <w:bdr w:val="none" w:sz="0" w:space="0" w:color="auto" w:frame="1"/>
          <w:lang w:val="tr-TR"/>
        </w:rPr>
        <w:t>Press</w:t>
      </w:r>
      <w:proofErr w:type="spellEnd"/>
      <w:r w:rsidRPr="008B55DC">
        <w:rPr>
          <w:color w:val="000000"/>
          <w:bdr w:val="none" w:sz="0" w:space="0" w:color="auto" w:frame="1"/>
          <w:lang w:val="tr-TR"/>
        </w:rPr>
        <w:t>.</w:t>
      </w:r>
    </w:p>
    <w:p w14:paraId="73A7FF5B"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Barkey, H. J. (1990). </w:t>
      </w:r>
      <w:r w:rsidRPr="00A73365">
        <w:rPr>
          <w:i/>
          <w:iCs/>
          <w:color w:val="000000"/>
          <w:bdr w:val="none" w:sz="0" w:space="0" w:color="auto" w:frame="1"/>
        </w:rPr>
        <w:t xml:space="preserve">The </w:t>
      </w:r>
      <w:r>
        <w:rPr>
          <w:i/>
          <w:iCs/>
          <w:color w:val="000000"/>
          <w:bdr w:val="none" w:sz="0" w:space="0" w:color="auto" w:frame="1"/>
        </w:rPr>
        <w:t>S</w:t>
      </w:r>
      <w:r w:rsidRPr="00A73365">
        <w:rPr>
          <w:i/>
          <w:iCs/>
          <w:color w:val="000000"/>
          <w:bdr w:val="none" w:sz="0" w:space="0" w:color="auto" w:frame="1"/>
        </w:rPr>
        <w:t xml:space="preserve">tate and the </w:t>
      </w:r>
      <w:r>
        <w:rPr>
          <w:i/>
          <w:iCs/>
          <w:color w:val="000000"/>
          <w:bdr w:val="none" w:sz="0" w:space="0" w:color="auto" w:frame="1"/>
        </w:rPr>
        <w:t>I</w:t>
      </w:r>
      <w:r w:rsidRPr="00A73365">
        <w:rPr>
          <w:i/>
          <w:iCs/>
          <w:color w:val="000000"/>
          <w:bdr w:val="none" w:sz="0" w:space="0" w:color="auto" w:frame="1"/>
        </w:rPr>
        <w:t xml:space="preserve">ndustrialization </w:t>
      </w:r>
      <w:r>
        <w:rPr>
          <w:i/>
          <w:iCs/>
          <w:color w:val="000000"/>
          <w:bdr w:val="none" w:sz="0" w:space="0" w:color="auto" w:frame="1"/>
        </w:rPr>
        <w:t>C</w:t>
      </w:r>
      <w:r w:rsidRPr="00A73365">
        <w:rPr>
          <w:i/>
          <w:iCs/>
          <w:color w:val="000000"/>
          <w:bdr w:val="none" w:sz="0" w:space="0" w:color="auto" w:frame="1"/>
        </w:rPr>
        <w:t>risis in Turkey</w:t>
      </w:r>
      <w:r>
        <w:rPr>
          <w:color w:val="000000"/>
          <w:bdr w:val="none" w:sz="0" w:space="0" w:color="auto" w:frame="1"/>
        </w:rPr>
        <w:t>, Boulder, San Francisco, Oxford.</w:t>
      </w:r>
    </w:p>
    <w:p w14:paraId="0EFC4DE8"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r>
        <w:rPr>
          <w:color w:val="000000"/>
          <w:bdr w:val="none" w:sz="0" w:space="0" w:color="auto" w:frame="1"/>
        </w:rPr>
        <w:t xml:space="preserve">Henry, C. M., &amp; Springborg, R. (2010). </w:t>
      </w:r>
      <w:r w:rsidRPr="008B55DC">
        <w:rPr>
          <w:i/>
          <w:iCs/>
          <w:color w:val="000000"/>
          <w:bdr w:val="none" w:sz="0" w:space="0" w:color="auto" w:frame="1"/>
        </w:rPr>
        <w:t>Globalization and the Politics of Development in the Middle East.</w:t>
      </w:r>
      <w:r>
        <w:rPr>
          <w:color w:val="000000"/>
          <w:bdr w:val="none" w:sz="0" w:space="0" w:color="auto" w:frame="1"/>
        </w:rPr>
        <w:t xml:space="preserve"> 2nd ed., Cambridge University Press.</w:t>
      </w:r>
    </w:p>
    <w:p w14:paraId="00457CE6" w14:textId="77777777" w:rsidR="00DE2637" w:rsidRPr="004010B6" w:rsidRDefault="00DE2637">
      <w:pPr>
        <w:pStyle w:val="font8"/>
        <w:numPr>
          <w:ilvl w:val="0"/>
          <w:numId w:val="81"/>
        </w:numPr>
        <w:spacing w:before="0" w:beforeAutospacing="0" w:after="0" w:afterAutospacing="0"/>
        <w:jc w:val="both"/>
        <w:textAlignment w:val="baseline"/>
        <w:rPr>
          <w:color w:val="000000"/>
          <w:bdr w:val="none" w:sz="0" w:space="0" w:color="auto" w:frame="1"/>
        </w:rPr>
      </w:pPr>
      <w:r w:rsidRPr="004010B6">
        <w:rPr>
          <w:color w:val="000000"/>
          <w:bdr w:val="none" w:sz="0" w:space="0" w:color="auto" w:frame="1"/>
        </w:rPr>
        <w:t xml:space="preserve">Hofstede, </w:t>
      </w:r>
      <w:r>
        <w:rPr>
          <w:color w:val="000000"/>
          <w:bdr w:val="none" w:sz="0" w:space="0" w:color="auto" w:frame="1"/>
        </w:rPr>
        <w:t xml:space="preserve">G., </w:t>
      </w:r>
      <w:r w:rsidRPr="004010B6">
        <w:rPr>
          <w:color w:val="000000"/>
          <w:bdr w:val="none" w:sz="0" w:space="0" w:color="auto" w:frame="1"/>
        </w:rPr>
        <w:t>Hofstede</w:t>
      </w:r>
      <w:r>
        <w:rPr>
          <w:color w:val="000000"/>
          <w:bdr w:val="none" w:sz="0" w:space="0" w:color="auto" w:frame="1"/>
        </w:rPr>
        <w:t>, G. J., &amp;</w:t>
      </w:r>
      <w:r w:rsidRPr="004010B6">
        <w:rPr>
          <w:color w:val="000000"/>
          <w:bdr w:val="none" w:sz="0" w:space="0" w:color="auto" w:frame="1"/>
        </w:rPr>
        <w:t xml:space="preserve"> Minkov</w:t>
      </w:r>
      <w:r>
        <w:rPr>
          <w:color w:val="000000"/>
          <w:bdr w:val="none" w:sz="0" w:space="0" w:color="auto" w:frame="1"/>
        </w:rPr>
        <w:t>, M. (2010)</w:t>
      </w:r>
      <w:r w:rsidRPr="004010B6">
        <w:rPr>
          <w:color w:val="000000"/>
          <w:bdr w:val="none" w:sz="0" w:space="0" w:color="auto" w:frame="1"/>
        </w:rPr>
        <w:t xml:space="preserve">. </w:t>
      </w:r>
      <w:r w:rsidRPr="00532BE8">
        <w:rPr>
          <w:i/>
          <w:iCs/>
          <w:color w:val="000000"/>
          <w:bdr w:val="none" w:sz="0" w:space="0" w:color="auto" w:frame="1"/>
        </w:rPr>
        <w:t>Cultures and Organizations: Software of the Mind.</w:t>
      </w:r>
      <w:r w:rsidRPr="004010B6">
        <w:rPr>
          <w:color w:val="000000"/>
          <w:bdr w:val="none" w:sz="0" w:space="0" w:color="auto" w:frame="1"/>
        </w:rPr>
        <w:t xml:space="preserve"> Revised and </w:t>
      </w:r>
      <w:proofErr w:type="gramStart"/>
      <w:r w:rsidRPr="004010B6">
        <w:rPr>
          <w:color w:val="000000"/>
          <w:bdr w:val="none" w:sz="0" w:space="0" w:color="auto" w:frame="1"/>
        </w:rPr>
        <w:t>expanded</w:t>
      </w:r>
      <w:proofErr w:type="gramEnd"/>
      <w:r w:rsidRPr="004010B6">
        <w:rPr>
          <w:color w:val="000000"/>
          <w:bdr w:val="none" w:sz="0" w:space="0" w:color="auto" w:frame="1"/>
        </w:rPr>
        <w:t xml:space="preserve"> 3rd Edition. New York: McGraw-Hill.</w:t>
      </w:r>
    </w:p>
    <w:p w14:paraId="04D53F34" w14:textId="77777777" w:rsidR="00DE2637" w:rsidRPr="004010B6" w:rsidRDefault="00DE2637">
      <w:pPr>
        <w:pStyle w:val="font8"/>
        <w:numPr>
          <w:ilvl w:val="0"/>
          <w:numId w:val="81"/>
        </w:numPr>
        <w:spacing w:before="0" w:beforeAutospacing="0" w:after="0" w:afterAutospacing="0"/>
        <w:jc w:val="both"/>
        <w:textAlignment w:val="baseline"/>
        <w:rPr>
          <w:color w:val="000000"/>
          <w:bdr w:val="none" w:sz="0" w:space="0" w:color="auto" w:frame="1"/>
        </w:rPr>
      </w:pPr>
      <w:r w:rsidRPr="004010B6">
        <w:rPr>
          <w:color w:val="000000"/>
          <w:bdr w:val="none" w:sz="0" w:space="0" w:color="auto" w:frame="1"/>
        </w:rPr>
        <w:t>For Hofstede’s results: https://www.theculturefactor.com/country-comparison-tool</w:t>
      </w:r>
      <w:r>
        <w:rPr>
          <w:color w:val="000000"/>
          <w:bdr w:val="none" w:sz="0" w:space="0" w:color="auto" w:frame="1"/>
        </w:rPr>
        <w:t>.</w:t>
      </w:r>
    </w:p>
    <w:p w14:paraId="03E6517D" w14:textId="77777777" w:rsidR="00DE2637" w:rsidRDefault="00DE2637">
      <w:pPr>
        <w:pStyle w:val="font8"/>
        <w:numPr>
          <w:ilvl w:val="0"/>
          <w:numId w:val="81"/>
        </w:numPr>
        <w:spacing w:before="0" w:beforeAutospacing="0" w:after="0" w:afterAutospacing="0"/>
        <w:jc w:val="both"/>
        <w:textAlignment w:val="baseline"/>
        <w:rPr>
          <w:color w:val="000000"/>
          <w:bdr w:val="none" w:sz="0" w:space="0" w:color="auto" w:frame="1"/>
        </w:rPr>
      </w:pPr>
      <w:r w:rsidRPr="004010B6">
        <w:rPr>
          <w:color w:val="000000"/>
          <w:bdr w:val="none" w:sz="0" w:space="0" w:color="auto" w:frame="1"/>
        </w:rPr>
        <w:t xml:space="preserve">Inglehart, R. </w:t>
      </w:r>
      <w:r>
        <w:rPr>
          <w:color w:val="000000"/>
          <w:bdr w:val="none" w:sz="0" w:space="0" w:color="auto" w:frame="1"/>
        </w:rPr>
        <w:t xml:space="preserve">(1997). </w:t>
      </w:r>
      <w:r w:rsidRPr="00532BE8">
        <w:rPr>
          <w:i/>
          <w:iCs/>
          <w:color w:val="000000"/>
          <w:bdr w:val="none" w:sz="0" w:space="0" w:color="auto" w:frame="1"/>
        </w:rPr>
        <w:t xml:space="preserve">Modernization and </w:t>
      </w:r>
      <w:proofErr w:type="spellStart"/>
      <w:r w:rsidRPr="00532BE8">
        <w:rPr>
          <w:i/>
          <w:iCs/>
          <w:color w:val="000000"/>
          <w:bdr w:val="none" w:sz="0" w:space="0" w:color="auto" w:frame="1"/>
        </w:rPr>
        <w:t>Postmodernization</w:t>
      </w:r>
      <w:proofErr w:type="spellEnd"/>
      <w:r w:rsidRPr="00532BE8">
        <w:rPr>
          <w:i/>
          <w:iCs/>
          <w:color w:val="000000"/>
          <w:bdr w:val="none" w:sz="0" w:space="0" w:color="auto" w:frame="1"/>
        </w:rPr>
        <w:t>: Cultural, Economic, and Political Change in 43 Societies</w:t>
      </w:r>
      <w:r w:rsidRPr="004010B6">
        <w:rPr>
          <w:color w:val="000000"/>
          <w:bdr w:val="none" w:sz="0" w:space="0" w:color="auto" w:frame="1"/>
        </w:rPr>
        <w:t>, Princeton University Press.</w:t>
      </w:r>
    </w:p>
    <w:p w14:paraId="6EC13625" w14:textId="7D85CB1C" w:rsidR="00DE2637" w:rsidRPr="00DE2637" w:rsidRDefault="00DE2637">
      <w:pPr>
        <w:pStyle w:val="font8"/>
        <w:numPr>
          <w:ilvl w:val="0"/>
          <w:numId w:val="81"/>
        </w:numPr>
        <w:spacing w:before="0" w:beforeAutospacing="0" w:after="0" w:afterAutospacing="0"/>
        <w:textAlignment w:val="baseline"/>
        <w:rPr>
          <w:color w:val="000000"/>
          <w:bdr w:val="none" w:sz="0" w:space="0" w:color="auto" w:frame="1"/>
        </w:rPr>
      </w:pPr>
      <w:r w:rsidRPr="004010B6">
        <w:rPr>
          <w:color w:val="000000"/>
          <w:bdr w:val="none" w:sz="0" w:space="0" w:color="auto" w:frame="1"/>
        </w:rPr>
        <w:lastRenderedPageBreak/>
        <w:t>World Values Survey</w:t>
      </w:r>
      <w:r>
        <w:rPr>
          <w:color w:val="000000"/>
          <w:bdr w:val="none" w:sz="0" w:space="0" w:color="auto" w:frame="1"/>
        </w:rPr>
        <w:t xml:space="preserve"> (WVS) </w:t>
      </w:r>
      <w:r w:rsidRPr="004010B6">
        <w:rPr>
          <w:color w:val="000000"/>
          <w:bdr w:val="none" w:sz="0" w:space="0" w:color="auto" w:frame="1"/>
        </w:rPr>
        <w:t>Online Data Analysis</w:t>
      </w:r>
      <w:r>
        <w:rPr>
          <w:color w:val="000000"/>
          <w:bdr w:val="none" w:sz="0" w:space="0" w:color="auto" w:frame="1"/>
        </w:rPr>
        <w:t>.</w:t>
      </w:r>
      <w:r w:rsidRPr="004010B6">
        <w:rPr>
          <w:color w:val="000000"/>
          <w:bdr w:val="none" w:sz="0" w:space="0" w:color="auto" w:frame="1"/>
        </w:rPr>
        <w:t xml:space="preserve"> https://www.worldvaluessurvey.org/WVSOnline.jsp </w:t>
      </w:r>
    </w:p>
    <w:p w14:paraId="203BEE02" w14:textId="71C4980A" w:rsidR="00B74176" w:rsidRPr="00C70E93" w:rsidRDefault="00C70E93" w:rsidP="00C70E93">
      <w:pPr>
        <w:autoSpaceDE/>
        <w:autoSpaceDN/>
        <w:rPr>
          <w:color w:val="000000"/>
        </w:rPr>
      </w:pPr>
      <w:r>
        <w:rPr>
          <w:color w:val="000000"/>
        </w:rPr>
        <w:br w:type="page"/>
      </w:r>
    </w:p>
    <w:p w14:paraId="5C9FA65E" w14:textId="77777777" w:rsidR="001E7189" w:rsidRPr="002906A3" w:rsidRDefault="001E7189" w:rsidP="004C7694">
      <w:pPr>
        <w:pStyle w:val="Tark"/>
      </w:pPr>
      <w:bookmarkStart w:id="177" w:name="_Toc192855231"/>
      <w:r w:rsidRPr="002906A3">
        <w:lastRenderedPageBreak/>
        <w:t xml:space="preserve">Eleştiri Oklarının Hedefi Olan Divan Şairi: </w:t>
      </w:r>
      <w:proofErr w:type="spellStart"/>
      <w:r w:rsidRPr="002906A3">
        <w:t>Hayâlî</w:t>
      </w:r>
      <w:proofErr w:type="spellEnd"/>
      <w:r w:rsidRPr="002906A3">
        <w:t xml:space="preserve"> Bey</w:t>
      </w:r>
      <w:bookmarkEnd w:id="177"/>
    </w:p>
    <w:p w14:paraId="73BE440E" w14:textId="77777777" w:rsidR="001E7189" w:rsidRPr="002906A3" w:rsidRDefault="001E7189" w:rsidP="00BA67A6">
      <w:pPr>
        <w:jc w:val="center"/>
      </w:pPr>
    </w:p>
    <w:p w14:paraId="6545BA1B" w14:textId="77777777" w:rsidR="001E7189" w:rsidRPr="002906A3" w:rsidRDefault="001E7189" w:rsidP="00BA67A6">
      <w:pPr>
        <w:jc w:val="center"/>
      </w:pPr>
      <w:r w:rsidRPr="002906A3">
        <w:t>Emrah GÜLÜM</w:t>
      </w:r>
      <w:r w:rsidRPr="002906A3">
        <w:br/>
        <w:t>Doktor Öğretim Üyesi, Anadolu Üniversitesi, Türk Dili ve Edebiyatı Bölümü</w:t>
      </w:r>
      <w:r w:rsidRPr="002906A3">
        <w:br/>
        <w:t>emrahgulum@anadolu.edu.tr</w:t>
      </w:r>
      <w:r w:rsidRPr="002906A3">
        <w:br/>
        <w:t>0000-0002-0614-1002</w:t>
      </w:r>
    </w:p>
    <w:p w14:paraId="3F0182BD" w14:textId="77777777" w:rsidR="001E7189" w:rsidRPr="002906A3" w:rsidRDefault="001E7189" w:rsidP="00BA67A6">
      <w:pPr>
        <w:jc w:val="both"/>
      </w:pPr>
    </w:p>
    <w:p w14:paraId="380159D6" w14:textId="77777777" w:rsidR="001E7189" w:rsidRPr="002906A3" w:rsidRDefault="001E7189" w:rsidP="00BA67A6">
      <w:pPr>
        <w:jc w:val="center"/>
        <w:rPr>
          <w:b/>
          <w:bCs/>
        </w:rPr>
      </w:pPr>
      <w:r w:rsidRPr="002906A3">
        <w:rPr>
          <w:b/>
          <w:bCs/>
        </w:rPr>
        <w:t>Özet</w:t>
      </w:r>
    </w:p>
    <w:p w14:paraId="26E04408" w14:textId="77777777" w:rsidR="001E7189" w:rsidRPr="002906A3" w:rsidRDefault="001E7189" w:rsidP="00BA67A6">
      <w:pPr>
        <w:jc w:val="both"/>
      </w:pPr>
      <w:r w:rsidRPr="002906A3">
        <w:t xml:space="preserve">16. yüzyıl, “Klasik Türk Edebiyatı” olarak adlandırılan dönemin tam manasıyla klasik bir hüviyete büründüğü asırdır. Bu asırda başta Fuzûlî ve Bâkî olmak üzere </w:t>
      </w:r>
      <w:proofErr w:type="spellStart"/>
      <w:r w:rsidRPr="002906A3">
        <w:t>Zâtî</w:t>
      </w:r>
      <w:proofErr w:type="spellEnd"/>
      <w:r w:rsidRPr="002906A3">
        <w:t xml:space="preserve">, Taşlıcalı Yahyâ, </w:t>
      </w:r>
      <w:proofErr w:type="spellStart"/>
      <w:r w:rsidRPr="002906A3">
        <w:t>Lâmiî</w:t>
      </w:r>
      <w:proofErr w:type="spellEnd"/>
      <w:r w:rsidRPr="002906A3">
        <w:t xml:space="preserve"> Çelebi, Gelibolulu </w:t>
      </w:r>
      <w:proofErr w:type="spellStart"/>
      <w:r w:rsidRPr="002906A3">
        <w:t>Âlî</w:t>
      </w:r>
      <w:proofErr w:type="spellEnd"/>
      <w:r w:rsidRPr="002906A3">
        <w:t xml:space="preserve"> ve Âşık Çelebi gibi birçok önemli şair ve âlimin yetiştiği görülmektedir. Bu asırda yetişen ve oldukça büyük şöhrete sahip olan bir diğer önemli şair de </w:t>
      </w:r>
      <w:proofErr w:type="spellStart"/>
      <w:r w:rsidRPr="002906A3">
        <w:t>Hayâlî</w:t>
      </w:r>
      <w:proofErr w:type="spellEnd"/>
      <w:r w:rsidRPr="002906A3">
        <w:t xml:space="preserve"> Bey’dir. Kaleme aldığı şiirlerle devrin önde gelenlerinin beğenisini toplayan </w:t>
      </w:r>
      <w:proofErr w:type="spellStart"/>
      <w:r w:rsidRPr="002906A3">
        <w:t>Hayâlî</w:t>
      </w:r>
      <w:proofErr w:type="spellEnd"/>
      <w:r w:rsidRPr="002906A3">
        <w:t xml:space="preserve"> Bey, kısa sürede devlet erkânının gözde şairlerinden biri haline gelmiştir. İstanbul’a gelişi </w:t>
      </w:r>
      <w:proofErr w:type="gramStart"/>
      <w:r w:rsidRPr="002906A3">
        <w:t>ile birlikte</w:t>
      </w:r>
      <w:proofErr w:type="gramEnd"/>
      <w:r w:rsidRPr="002906A3">
        <w:t xml:space="preserve"> saray çevresinde hızla tanınmaya başlayan ve popülaritesini her geçen gün arttıran </w:t>
      </w:r>
      <w:proofErr w:type="spellStart"/>
      <w:r w:rsidRPr="002906A3">
        <w:t>Hayâlî</w:t>
      </w:r>
      <w:proofErr w:type="spellEnd"/>
      <w:r w:rsidRPr="002906A3">
        <w:t xml:space="preserve"> Bey, </w:t>
      </w:r>
      <w:proofErr w:type="spellStart"/>
      <w:r w:rsidRPr="002906A3">
        <w:t>Kalenderîliği</w:t>
      </w:r>
      <w:proofErr w:type="spellEnd"/>
      <w:r w:rsidRPr="002906A3">
        <w:t xml:space="preserve"> benimsemesi, şiirlerinin çokça rağbet görmesi, fiziksel özellikleri gibi bazı durumlar sebebiyle başta Taşlıcalı Yahyâ olmak üzere </w:t>
      </w:r>
      <w:proofErr w:type="spellStart"/>
      <w:r w:rsidRPr="002906A3">
        <w:t>Emîrek</w:t>
      </w:r>
      <w:proofErr w:type="spellEnd"/>
      <w:r w:rsidRPr="002906A3">
        <w:t xml:space="preserve">-zâde, </w:t>
      </w:r>
      <w:proofErr w:type="spellStart"/>
      <w:r w:rsidRPr="002906A3">
        <w:t>Makâlî</w:t>
      </w:r>
      <w:proofErr w:type="spellEnd"/>
      <w:r w:rsidRPr="002906A3">
        <w:t xml:space="preserve">, </w:t>
      </w:r>
      <w:proofErr w:type="spellStart"/>
      <w:r w:rsidRPr="002906A3">
        <w:t>Zâtî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w:t>
      </w:r>
      <w:proofErr w:type="spellStart"/>
      <w:r w:rsidRPr="002906A3">
        <w:t>Yakînî</w:t>
      </w:r>
      <w:proofErr w:type="spellEnd"/>
      <w:r w:rsidRPr="002906A3">
        <w:t xml:space="preserve"> ve </w:t>
      </w:r>
      <w:proofErr w:type="spellStart"/>
      <w:r w:rsidRPr="002906A3">
        <w:t>Lami’î</w:t>
      </w:r>
      <w:proofErr w:type="spellEnd"/>
      <w:r w:rsidRPr="002906A3">
        <w:t xml:space="preserve"> Çelebi gibi dönemindeki diğer önemli şairler tarafından eleştirilere maruz kalmıştır. Bahsi geçen şairlerce kimi zaman adeta bir düşman olarak görülen </w:t>
      </w:r>
      <w:proofErr w:type="spellStart"/>
      <w:r w:rsidRPr="002906A3">
        <w:t>Hayâlî</w:t>
      </w:r>
      <w:proofErr w:type="spellEnd"/>
      <w:r w:rsidRPr="002906A3">
        <w:t xml:space="preserve"> Bey, aynı şairlerin şiirlerinden takip edilebildiği kadarıyla genç yaşında herkesi kıskandıracak ve </w:t>
      </w:r>
      <w:proofErr w:type="spellStart"/>
      <w:r w:rsidRPr="002906A3">
        <w:t>hasete</w:t>
      </w:r>
      <w:proofErr w:type="spellEnd"/>
      <w:r w:rsidRPr="002906A3">
        <w:t xml:space="preserve"> düşürecek kadar başarılı bir şair konumuna gelmeyi başarmıştır. </w:t>
      </w:r>
      <w:proofErr w:type="spellStart"/>
      <w:r w:rsidRPr="002906A3">
        <w:t>Hayâlî</w:t>
      </w:r>
      <w:proofErr w:type="spellEnd"/>
      <w:r w:rsidRPr="002906A3">
        <w:t xml:space="preserve"> Bey’e karşı yapılan eleştiriler genel anlamda Kalenderî dervişi olması, şairliğinin ve şiirlerinin çokça rağbet görmesi ve devlet erkânı tarafından desteklenip himâye edilmesi, şiirlerinin çokluğu, şairlik yeteneği ve son olarak da fiziksel özellikleri üzerine odaklanmaktadır. İşte bu çalışmada da </w:t>
      </w:r>
      <w:proofErr w:type="spellStart"/>
      <w:r w:rsidRPr="002906A3">
        <w:t>Hayâlî</w:t>
      </w:r>
      <w:proofErr w:type="spellEnd"/>
      <w:r w:rsidRPr="002906A3">
        <w:t xml:space="preserve"> Bey’in çağdaşı olan bazı şairler tarafından kaleme alındığı tespit edilen şiirler ayrıntılı bir şekilde incelenerek </w:t>
      </w:r>
      <w:proofErr w:type="spellStart"/>
      <w:r w:rsidRPr="002906A3">
        <w:t>Hayâlî</w:t>
      </w:r>
      <w:proofErr w:type="spellEnd"/>
      <w:r w:rsidRPr="002906A3">
        <w:t xml:space="preserve"> Bey’e karşı yöneltilen eleştirilerin mahiyeti ve aynı şairlerin </w:t>
      </w:r>
      <w:proofErr w:type="spellStart"/>
      <w:r w:rsidRPr="002906A3">
        <w:t>Hayâlî</w:t>
      </w:r>
      <w:proofErr w:type="spellEnd"/>
      <w:r w:rsidRPr="002906A3">
        <w:t xml:space="preserve"> Bey’e karşı takındıkları kıskançlıklarla dolu düşmanca hissiyatları ortaya konulmaya çalışılmıştır.</w:t>
      </w:r>
    </w:p>
    <w:p w14:paraId="049E9FDB" w14:textId="77777777" w:rsidR="001E7189" w:rsidRPr="002906A3" w:rsidRDefault="001E7189" w:rsidP="00BA67A6">
      <w:pPr>
        <w:jc w:val="both"/>
      </w:pPr>
    </w:p>
    <w:p w14:paraId="546749D5" w14:textId="3F82C8BD" w:rsidR="00C70E93" w:rsidRDefault="001E7189" w:rsidP="00BA67A6">
      <w:pPr>
        <w:jc w:val="both"/>
      </w:pPr>
      <w:r w:rsidRPr="002906A3">
        <w:rPr>
          <w:b/>
          <w:bCs/>
        </w:rPr>
        <w:t xml:space="preserve">Anahtar </w:t>
      </w:r>
      <w:r w:rsidR="00BF3875">
        <w:rPr>
          <w:b/>
          <w:bCs/>
        </w:rPr>
        <w:t>Kelimeler</w:t>
      </w:r>
      <w:r w:rsidRPr="002906A3">
        <w:rPr>
          <w:b/>
          <w:bCs/>
        </w:rPr>
        <w:t>:</w:t>
      </w:r>
      <w:r w:rsidRPr="002906A3">
        <w:t xml:space="preserve"> </w:t>
      </w:r>
      <w:proofErr w:type="spellStart"/>
      <w:r w:rsidRPr="002906A3">
        <w:t>Hayâlî</w:t>
      </w:r>
      <w:proofErr w:type="spellEnd"/>
      <w:r w:rsidRPr="002906A3">
        <w:t xml:space="preserve"> Bey, Eleştiri, 16. Yüzyıl Divan Şiiri, </w:t>
      </w:r>
      <w:proofErr w:type="spellStart"/>
      <w:r w:rsidRPr="002906A3">
        <w:t>Kalenderîlik</w:t>
      </w:r>
      <w:proofErr w:type="spellEnd"/>
      <w:r w:rsidRPr="002906A3">
        <w:t>.</w:t>
      </w:r>
    </w:p>
    <w:p w14:paraId="480FEBBF" w14:textId="536C16F9" w:rsidR="006B4016" w:rsidRPr="002906A3" w:rsidRDefault="006B4016" w:rsidP="00BA67A6">
      <w:pPr>
        <w:autoSpaceDE/>
        <w:autoSpaceDN/>
      </w:pPr>
    </w:p>
    <w:p w14:paraId="1D6BAE52" w14:textId="77777777" w:rsidR="001E7189" w:rsidRPr="002906A3" w:rsidRDefault="001E7189" w:rsidP="004C7694">
      <w:pPr>
        <w:pStyle w:val="Tark"/>
      </w:pPr>
      <w:bookmarkStart w:id="178" w:name="_Toc192855232"/>
      <w:proofErr w:type="spellStart"/>
      <w:r w:rsidRPr="002906A3">
        <w:t>The</w:t>
      </w:r>
      <w:proofErr w:type="spellEnd"/>
      <w:r w:rsidRPr="002906A3">
        <w:t xml:space="preserve"> Divan </w:t>
      </w:r>
      <w:proofErr w:type="spellStart"/>
      <w:r w:rsidRPr="002906A3">
        <w:t>Poet</w:t>
      </w:r>
      <w:proofErr w:type="spellEnd"/>
      <w:r w:rsidRPr="002906A3">
        <w:t xml:space="preserve"> </w:t>
      </w:r>
      <w:proofErr w:type="spellStart"/>
      <w:r w:rsidRPr="002906A3">
        <w:t>Who</w:t>
      </w:r>
      <w:proofErr w:type="spellEnd"/>
      <w:r w:rsidRPr="002906A3">
        <w:t xml:space="preserve"> </w:t>
      </w:r>
      <w:proofErr w:type="spellStart"/>
      <w:r w:rsidRPr="002906A3">
        <w:t>Was</w:t>
      </w:r>
      <w:proofErr w:type="spellEnd"/>
      <w:r w:rsidRPr="002906A3">
        <w:t xml:space="preserve"> </w:t>
      </w:r>
      <w:proofErr w:type="spellStart"/>
      <w:r w:rsidRPr="002906A3">
        <w:t>the</w:t>
      </w:r>
      <w:proofErr w:type="spellEnd"/>
      <w:r w:rsidRPr="002906A3">
        <w:t xml:space="preserve"> </w:t>
      </w:r>
      <w:proofErr w:type="spellStart"/>
      <w:r w:rsidRPr="002906A3">
        <w:t>Target</w:t>
      </w:r>
      <w:proofErr w:type="spellEnd"/>
      <w:r w:rsidRPr="002906A3">
        <w:t xml:space="preserve"> of </w:t>
      </w:r>
      <w:proofErr w:type="spellStart"/>
      <w:r w:rsidRPr="002906A3">
        <w:t>Criticism</w:t>
      </w:r>
      <w:proofErr w:type="spellEnd"/>
      <w:r w:rsidRPr="002906A3">
        <w:t xml:space="preserve"> </w:t>
      </w:r>
      <w:proofErr w:type="spellStart"/>
      <w:r w:rsidRPr="002906A3">
        <w:t>Arrows</w:t>
      </w:r>
      <w:proofErr w:type="spellEnd"/>
      <w:r w:rsidRPr="002906A3">
        <w:t xml:space="preserve">: </w:t>
      </w:r>
      <w:proofErr w:type="spellStart"/>
      <w:r w:rsidRPr="002906A3">
        <w:t>Hayâlî</w:t>
      </w:r>
      <w:proofErr w:type="spellEnd"/>
      <w:r w:rsidRPr="002906A3">
        <w:t xml:space="preserve"> Bey</w:t>
      </w:r>
      <w:bookmarkEnd w:id="178"/>
    </w:p>
    <w:p w14:paraId="470B30A4" w14:textId="77777777" w:rsidR="001E7189" w:rsidRPr="002906A3" w:rsidRDefault="001E7189" w:rsidP="00BA67A6">
      <w:pPr>
        <w:jc w:val="center"/>
        <w:rPr>
          <w:b/>
        </w:rPr>
      </w:pPr>
    </w:p>
    <w:p w14:paraId="1355EDE8" w14:textId="77777777" w:rsidR="001E7189" w:rsidRPr="002906A3" w:rsidRDefault="001E7189" w:rsidP="00BA67A6">
      <w:pPr>
        <w:jc w:val="center"/>
      </w:pPr>
      <w:r w:rsidRPr="002906A3">
        <w:t>Emrah GÜLÜM</w:t>
      </w:r>
    </w:p>
    <w:p w14:paraId="62948717" w14:textId="77777777" w:rsidR="001E7189" w:rsidRPr="002906A3" w:rsidRDefault="001E7189" w:rsidP="00BA67A6">
      <w:pPr>
        <w:jc w:val="center"/>
      </w:pPr>
      <w:proofErr w:type="spellStart"/>
      <w:r w:rsidRPr="002906A3">
        <w:t>Assistant</w:t>
      </w:r>
      <w:proofErr w:type="spellEnd"/>
      <w:r w:rsidRPr="002906A3">
        <w:t xml:space="preserve"> </w:t>
      </w:r>
      <w:proofErr w:type="spellStart"/>
      <w:r w:rsidRPr="002906A3">
        <w:t>Professor</w:t>
      </w:r>
      <w:proofErr w:type="spellEnd"/>
      <w:r w:rsidRPr="002906A3">
        <w:t xml:space="preserve">, Anadolu </w:t>
      </w:r>
      <w:proofErr w:type="spellStart"/>
      <w:r w:rsidRPr="002906A3">
        <w:t>University</w:t>
      </w:r>
      <w:proofErr w:type="spellEnd"/>
      <w:r w:rsidRPr="002906A3">
        <w:t xml:space="preserve">, </w:t>
      </w:r>
      <w:proofErr w:type="spellStart"/>
      <w:r w:rsidRPr="002906A3">
        <w:t>Department</w:t>
      </w:r>
      <w:proofErr w:type="spellEnd"/>
      <w:r w:rsidRPr="002906A3">
        <w:t xml:space="preserve"> of </w:t>
      </w:r>
      <w:proofErr w:type="spellStart"/>
      <w:r w:rsidRPr="002906A3">
        <w:t>Turkish</w:t>
      </w:r>
      <w:proofErr w:type="spellEnd"/>
      <w:r w:rsidRPr="002906A3">
        <w:t xml:space="preserve"> Language </w:t>
      </w:r>
      <w:proofErr w:type="spellStart"/>
      <w:r w:rsidRPr="002906A3">
        <w:t>and</w:t>
      </w:r>
      <w:proofErr w:type="spellEnd"/>
      <w:r w:rsidRPr="002906A3">
        <w:t xml:space="preserve"> </w:t>
      </w:r>
      <w:proofErr w:type="spellStart"/>
      <w:r w:rsidRPr="002906A3">
        <w:t>Literature</w:t>
      </w:r>
      <w:proofErr w:type="spellEnd"/>
    </w:p>
    <w:p w14:paraId="770F64D4" w14:textId="77777777" w:rsidR="001E7189" w:rsidRPr="002906A3" w:rsidRDefault="001E7189" w:rsidP="00BA67A6">
      <w:pPr>
        <w:jc w:val="center"/>
      </w:pPr>
      <w:r w:rsidRPr="002906A3">
        <w:t>emrahgulum@anadolu.edu.tr</w:t>
      </w:r>
      <w:r w:rsidRPr="002906A3">
        <w:br/>
        <w:t>0000-0002-0614-1002</w:t>
      </w:r>
    </w:p>
    <w:p w14:paraId="249C134D" w14:textId="77777777" w:rsidR="001E7189" w:rsidRPr="002906A3" w:rsidRDefault="001E7189" w:rsidP="00BA67A6">
      <w:pPr>
        <w:jc w:val="center"/>
        <w:rPr>
          <w:b/>
        </w:rPr>
      </w:pPr>
    </w:p>
    <w:p w14:paraId="129D353C" w14:textId="77777777" w:rsidR="001E7189" w:rsidRPr="002906A3" w:rsidRDefault="001E7189" w:rsidP="00BA67A6">
      <w:pPr>
        <w:jc w:val="center"/>
        <w:rPr>
          <w:b/>
        </w:rPr>
      </w:pPr>
      <w:proofErr w:type="spellStart"/>
      <w:r w:rsidRPr="002906A3">
        <w:rPr>
          <w:b/>
        </w:rPr>
        <w:t>Abstract</w:t>
      </w:r>
      <w:proofErr w:type="spellEnd"/>
    </w:p>
    <w:p w14:paraId="3410047B" w14:textId="77777777" w:rsidR="001E7189" w:rsidRPr="002906A3" w:rsidRDefault="001E7189" w:rsidP="00BA67A6">
      <w:pPr>
        <w:jc w:val="both"/>
      </w:pPr>
      <w:proofErr w:type="spellStart"/>
      <w:r w:rsidRPr="002906A3">
        <w:t>The</w:t>
      </w:r>
      <w:proofErr w:type="spellEnd"/>
      <w:r w:rsidRPr="002906A3">
        <w:t xml:space="preserve"> 16th </w:t>
      </w:r>
      <w:proofErr w:type="spellStart"/>
      <w:r w:rsidRPr="002906A3">
        <w:t>century</w:t>
      </w:r>
      <w:proofErr w:type="spellEnd"/>
      <w:r w:rsidRPr="002906A3">
        <w:t xml:space="preserve"> is </w:t>
      </w:r>
      <w:proofErr w:type="spellStart"/>
      <w:r w:rsidRPr="002906A3">
        <w:t>the</w:t>
      </w:r>
      <w:proofErr w:type="spellEnd"/>
      <w:r w:rsidRPr="002906A3">
        <w:t xml:space="preserve"> </w:t>
      </w:r>
      <w:proofErr w:type="spellStart"/>
      <w:r w:rsidRPr="002906A3">
        <w:t>century</w:t>
      </w:r>
      <w:proofErr w:type="spellEnd"/>
      <w:r w:rsidRPr="002906A3">
        <w:t xml:space="preserve"> </w:t>
      </w:r>
      <w:proofErr w:type="spellStart"/>
      <w:r w:rsidRPr="002906A3">
        <w:t>when</w:t>
      </w:r>
      <w:proofErr w:type="spellEnd"/>
      <w:r w:rsidRPr="002906A3">
        <w:t xml:space="preserve"> </w:t>
      </w:r>
      <w:proofErr w:type="spellStart"/>
      <w:r w:rsidRPr="002906A3">
        <w:t>the</w:t>
      </w:r>
      <w:proofErr w:type="spellEnd"/>
      <w:r w:rsidRPr="002906A3">
        <w:t xml:space="preserve"> </w:t>
      </w:r>
      <w:proofErr w:type="spellStart"/>
      <w:r w:rsidRPr="002906A3">
        <w:t>period</w:t>
      </w:r>
      <w:proofErr w:type="spellEnd"/>
      <w:r w:rsidRPr="002906A3">
        <w:t xml:space="preserve"> </w:t>
      </w:r>
      <w:proofErr w:type="spellStart"/>
      <w:r w:rsidRPr="002906A3">
        <w:t>called</w:t>
      </w:r>
      <w:proofErr w:type="spellEnd"/>
      <w:r w:rsidRPr="002906A3">
        <w:t xml:space="preserve"> “</w:t>
      </w:r>
      <w:proofErr w:type="spellStart"/>
      <w:r w:rsidRPr="002906A3">
        <w:t>Classical</w:t>
      </w:r>
      <w:proofErr w:type="spellEnd"/>
      <w:r w:rsidRPr="002906A3">
        <w:t xml:space="preserve"> </w:t>
      </w:r>
      <w:proofErr w:type="spellStart"/>
      <w:r w:rsidRPr="002906A3">
        <w:t>Turkish</w:t>
      </w:r>
      <w:proofErr w:type="spellEnd"/>
      <w:r w:rsidRPr="002906A3">
        <w:t xml:space="preserve"> </w:t>
      </w:r>
      <w:proofErr w:type="spellStart"/>
      <w:r w:rsidRPr="002906A3">
        <w:t>Literature</w:t>
      </w:r>
      <w:proofErr w:type="spellEnd"/>
      <w:r w:rsidRPr="002906A3">
        <w:t xml:space="preserve">” </w:t>
      </w:r>
      <w:proofErr w:type="spellStart"/>
      <w:r w:rsidRPr="002906A3">
        <w:t>took</w:t>
      </w:r>
      <w:proofErr w:type="spellEnd"/>
      <w:r w:rsidRPr="002906A3">
        <w:t xml:space="preserve"> on a </w:t>
      </w:r>
      <w:proofErr w:type="spellStart"/>
      <w:r w:rsidRPr="002906A3">
        <w:t>truly</w:t>
      </w:r>
      <w:proofErr w:type="spellEnd"/>
      <w:r w:rsidRPr="002906A3">
        <w:t xml:space="preserve"> </w:t>
      </w:r>
      <w:proofErr w:type="spellStart"/>
      <w:r w:rsidRPr="002906A3">
        <w:t>classical</w:t>
      </w:r>
      <w:proofErr w:type="spellEnd"/>
      <w:r w:rsidRPr="002906A3">
        <w:t xml:space="preserve"> </w:t>
      </w:r>
      <w:proofErr w:type="spellStart"/>
      <w:r w:rsidRPr="002906A3">
        <w:t>identity</w:t>
      </w:r>
      <w:proofErr w:type="spellEnd"/>
      <w:r w:rsidRPr="002906A3">
        <w:t xml:space="preserve">. </w:t>
      </w:r>
      <w:proofErr w:type="spellStart"/>
      <w:r w:rsidRPr="002906A3">
        <w:t>It</w:t>
      </w:r>
      <w:proofErr w:type="spellEnd"/>
      <w:r w:rsidRPr="002906A3">
        <w:t xml:space="preserve"> is </w:t>
      </w:r>
      <w:proofErr w:type="spellStart"/>
      <w:r w:rsidRPr="002906A3">
        <w:t>seen</w:t>
      </w:r>
      <w:proofErr w:type="spellEnd"/>
      <w:r w:rsidRPr="002906A3">
        <w:t xml:space="preserve"> </w:t>
      </w:r>
      <w:proofErr w:type="spellStart"/>
      <w:r w:rsidRPr="002906A3">
        <w:t>that</w:t>
      </w:r>
      <w:proofErr w:type="spellEnd"/>
      <w:r w:rsidRPr="002906A3">
        <w:t xml:space="preserve"> </w:t>
      </w:r>
      <w:proofErr w:type="spellStart"/>
      <w:r w:rsidRPr="002906A3">
        <w:t>many</w:t>
      </w:r>
      <w:proofErr w:type="spellEnd"/>
      <w:r w:rsidRPr="002906A3">
        <w:t xml:space="preserve"> </w:t>
      </w:r>
      <w:proofErr w:type="spellStart"/>
      <w:r w:rsidRPr="002906A3">
        <w:t>important</w:t>
      </w:r>
      <w:proofErr w:type="spellEnd"/>
      <w:r w:rsidRPr="002906A3">
        <w:t xml:space="preserve"> </w:t>
      </w:r>
      <w:proofErr w:type="spellStart"/>
      <w:r w:rsidRPr="002906A3">
        <w:t>poets</w:t>
      </w:r>
      <w:proofErr w:type="spellEnd"/>
      <w:r w:rsidRPr="002906A3">
        <w:t xml:space="preserve"> </w:t>
      </w:r>
      <w:proofErr w:type="spellStart"/>
      <w:r w:rsidRPr="002906A3">
        <w:t>and</w:t>
      </w:r>
      <w:proofErr w:type="spellEnd"/>
      <w:r w:rsidRPr="002906A3">
        <w:t xml:space="preserve"> </w:t>
      </w:r>
      <w:proofErr w:type="spellStart"/>
      <w:r w:rsidRPr="002906A3">
        <w:t>scholars</w:t>
      </w:r>
      <w:proofErr w:type="spellEnd"/>
      <w:r w:rsidRPr="002906A3">
        <w:t xml:space="preserve"> </w:t>
      </w:r>
      <w:proofErr w:type="spellStart"/>
      <w:r w:rsidRPr="002906A3">
        <w:t>emerged</w:t>
      </w:r>
      <w:proofErr w:type="spellEnd"/>
      <w:r w:rsidRPr="002906A3">
        <w:t xml:space="preserve"> in </w:t>
      </w:r>
      <w:proofErr w:type="spellStart"/>
      <w:r w:rsidRPr="002906A3">
        <w:t>this</w:t>
      </w:r>
      <w:proofErr w:type="spellEnd"/>
      <w:r w:rsidRPr="002906A3">
        <w:t xml:space="preserve"> </w:t>
      </w:r>
      <w:proofErr w:type="spellStart"/>
      <w:r w:rsidRPr="002906A3">
        <w:t>century</w:t>
      </w:r>
      <w:proofErr w:type="spellEnd"/>
      <w:r w:rsidRPr="002906A3">
        <w:t xml:space="preserve">, </w:t>
      </w:r>
      <w:proofErr w:type="spellStart"/>
      <w:r w:rsidRPr="002906A3">
        <w:t>such</w:t>
      </w:r>
      <w:proofErr w:type="spellEnd"/>
      <w:r w:rsidRPr="002906A3">
        <w:t xml:space="preserve"> as Fuzûlî </w:t>
      </w:r>
      <w:proofErr w:type="spellStart"/>
      <w:r w:rsidRPr="002906A3">
        <w:t>and</w:t>
      </w:r>
      <w:proofErr w:type="spellEnd"/>
      <w:r w:rsidRPr="002906A3">
        <w:t xml:space="preserve"> Bâkî, </w:t>
      </w:r>
      <w:proofErr w:type="spellStart"/>
      <w:r w:rsidRPr="002906A3">
        <w:t>Zâtî</w:t>
      </w:r>
      <w:proofErr w:type="spellEnd"/>
      <w:r w:rsidRPr="002906A3">
        <w:t xml:space="preserve">, Taşlıcalı Yahyâ, </w:t>
      </w:r>
      <w:proofErr w:type="spellStart"/>
      <w:r w:rsidRPr="002906A3">
        <w:t>Lâmiî</w:t>
      </w:r>
      <w:proofErr w:type="spellEnd"/>
      <w:r w:rsidRPr="002906A3">
        <w:t xml:space="preserve"> Çelebi, Gelibolulu </w:t>
      </w:r>
      <w:proofErr w:type="spellStart"/>
      <w:r w:rsidRPr="002906A3">
        <w:t>Âlî</w:t>
      </w:r>
      <w:proofErr w:type="spellEnd"/>
      <w:r w:rsidRPr="002906A3">
        <w:t xml:space="preserve"> </w:t>
      </w:r>
      <w:proofErr w:type="spellStart"/>
      <w:r w:rsidRPr="002906A3">
        <w:t>and</w:t>
      </w:r>
      <w:proofErr w:type="spellEnd"/>
      <w:r w:rsidRPr="002906A3">
        <w:t xml:space="preserve"> Âşık Çelebi. </w:t>
      </w:r>
      <w:proofErr w:type="spellStart"/>
      <w:r w:rsidRPr="002906A3">
        <w:t>Another</w:t>
      </w:r>
      <w:proofErr w:type="spellEnd"/>
      <w:r w:rsidRPr="002906A3">
        <w:t xml:space="preserve"> </w:t>
      </w:r>
      <w:proofErr w:type="spellStart"/>
      <w:r w:rsidRPr="002906A3">
        <w:t>important</w:t>
      </w:r>
      <w:proofErr w:type="spellEnd"/>
      <w:r w:rsidRPr="002906A3">
        <w:t xml:space="preserve"> </w:t>
      </w:r>
      <w:proofErr w:type="spellStart"/>
      <w:r w:rsidRPr="002906A3">
        <w:t>poet</w:t>
      </w:r>
      <w:proofErr w:type="spellEnd"/>
      <w:r w:rsidRPr="002906A3">
        <w:t xml:space="preserve"> </w:t>
      </w:r>
      <w:proofErr w:type="spellStart"/>
      <w:r w:rsidRPr="002906A3">
        <w:t>who</w:t>
      </w:r>
      <w:proofErr w:type="spellEnd"/>
      <w:r w:rsidRPr="002906A3">
        <w:t xml:space="preserve"> </w:t>
      </w:r>
      <w:proofErr w:type="spellStart"/>
      <w:r w:rsidRPr="002906A3">
        <w:t>grew</w:t>
      </w:r>
      <w:proofErr w:type="spellEnd"/>
      <w:r w:rsidRPr="002906A3">
        <w:t xml:space="preserve"> </w:t>
      </w:r>
      <w:proofErr w:type="spellStart"/>
      <w:r w:rsidRPr="002906A3">
        <w:t>up</w:t>
      </w:r>
      <w:proofErr w:type="spellEnd"/>
      <w:r w:rsidRPr="002906A3">
        <w:t xml:space="preserve"> in </w:t>
      </w:r>
      <w:proofErr w:type="spellStart"/>
      <w:r w:rsidRPr="002906A3">
        <w:t>this</w:t>
      </w:r>
      <w:proofErr w:type="spellEnd"/>
      <w:r w:rsidRPr="002906A3">
        <w:t xml:space="preserve"> </w:t>
      </w:r>
      <w:proofErr w:type="spellStart"/>
      <w:r w:rsidRPr="002906A3">
        <w:t>century</w:t>
      </w:r>
      <w:proofErr w:type="spellEnd"/>
      <w:r w:rsidRPr="002906A3">
        <w:t xml:space="preserve"> </w:t>
      </w:r>
      <w:proofErr w:type="spellStart"/>
      <w:r w:rsidRPr="002906A3">
        <w:t>and</w:t>
      </w:r>
      <w:proofErr w:type="spellEnd"/>
      <w:r w:rsidRPr="002906A3">
        <w:t xml:space="preserve"> has a </w:t>
      </w:r>
      <w:proofErr w:type="spellStart"/>
      <w:r w:rsidRPr="002906A3">
        <w:t>great</w:t>
      </w:r>
      <w:proofErr w:type="spellEnd"/>
      <w:r w:rsidRPr="002906A3">
        <w:t xml:space="preserve"> </w:t>
      </w:r>
      <w:proofErr w:type="spellStart"/>
      <w:r w:rsidRPr="002906A3">
        <w:t>reputation</w:t>
      </w:r>
      <w:proofErr w:type="spellEnd"/>
      <w:r w:rsidRPr="002906A3">
        <w:t xml:space="preserve"> is </w:t>
      </w:r>
      <w:proofErr w:type="spellStart"/>
      <w:r w:rsidRPr="002906A3">
        <w:t>Hayâlî</w:t>
      </w:r>
      <w:proofErr w:type="spellEnd"/>
      <w:r w:rsidRPr="002906A3">
        <w:t xml:space="preserve"> Bey. </w:t>
      </w:r>
      <w:proofErr w:type="spellStart"/>
      <w:r w:rsidRPr="002906A3">
        <w:t>Hayâlî</w:t>
      </w:r>
      <w:proofErr w:type="spellEnd"/>
      <w:r w:rsidRPr="002906A3">
        <w:t xml:space="preserve"> Bey, </w:t>
      </w:r>
      <w:proofErr w:type="spellStart"/>
      <w:r w:rsidRPr="002906A3">
        <w:t>who</w:t>
      </w:r>
      <w:proofErr w:type="spellEnd"/>
      <w:r w:rsidRPr="002906A3">
        <w:t xml:space="preserve"> </w:t>
      </w:r>
      <w:proofErr w:type="spellStart"/>
      <w:r w:rsidRPr="002906A3">
        <w:t>won</w:t>
      </w:r>
      <w:proofErr w:type="spellEnd"/>
      <w:r w:rsidRPr="002906A3">
        <w:t xml:space="preserve"> </w:t>
      </w:r>
      <w:proofErr w:type="spellStart"/>
      <w:r w:rsidRPr="002906A3">
        <w:t>the</w:t>
      </w:r>
      <w:proofErr w:type="spellEnd"/>
      <w:r w:rsidRPr="002906A3">
        <w:t xml:space="preserve"> </w:t>
      </w:r>
      <w:proofErr w:type="spellStart"/>
      <w:r w:rsidRPr="002906A3">
        <w:t>admiration</w:t>
      </w:r>
      <w:proofErr w:type="spellEnd"/>
      <w:r w:rsidRPr="002906A3">
        <w:t xml:space="preserve"> of </w:t>
      </w:r>
      <w:proofErr w:type="spellStart"/>
      <w:r w:rsidRPr="002906A3">
        <w:t>the</w:t>
      </w:r>
      <w:proofErr w:type="spellEnd"/>
      <w:r w:rsidRPr="002906A3">
        <w:t xml:space="preserve"> </w:t>
      </w:r>
      <w:proofErr w:type="spellStart"/>
      <w:r w:rsidRPr="002906A3">
        <w:t>prominent</w:t>
      </w:r>
      <w:proofErr w:type="spellEnd"/>
      <w:r w:rsidRPr="002906A3">
        <w:t xml:space="preserve"> </w:t>
      </w:r>
      <w:proofErr w:type="spellStart"/>
      <w:r w:rsidRPr="002906A3">
        <w:t>people</w:t>
      </w:r>
      <w:proofErr w:type="spellEnd"/>
      <w:r w:rsidRPr="002906A3">
        <w:t xml:space="preserve"> of </w:t>
      </w:r>
      <w:proofErr w:type="spellStart"/>
      <w:r w:rsidRPr="002906A3">
        <w:t>the</w:t>
      </w:r>
      <w:proofErr w:type="spellEnd"/>
      <w:r w:rsidRPr="002906A3">
        <w:t xml:space="preserve"> </w:t>
      </w:r>
      <w:proofErr w:type="spellStart"/>
      <w:r w:rsidRPr="002906A3">
        <w:t>period</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poems</w:t>
      </w:r>
      <w:proofErr w:type="spellEnd"/>
      <w:r w:rsidRPr="002906A3">
        <w:t xml:space="preserve"> he </w:t>
      </w:r>
      <w:proofErr w:type="spellStart"/>
      <w:r w:rsidRPr="002906A3">
        <w:t>wrote</w:t>
      </w:r>
      <w:proofErr w:type="spellEnd"/>
      <w:r w:rsidRPr="002906A3">
        <w:t xml:space="preserve">, </w:t>
      </w:r>
      <w:proofErr w:type="spellStart"/>
      <w:r w:rsidRPr="002906A3">
        <w:t>quickly</w:t>
      </w:r>
      <w:proofErr w:type="spellEnd"/>
      <w:r w:rsidRPr="002906A3">
        <w:t xml:space="preserve"> </w:t>
      </w:r>
      <w:proofErr w:type="spellStart"/>
      <w:r w:rsidRPr="002906A3">
        <w:t>became</w:t>
      </w:r>
      <w:proofErr w:type="spellEnd"/>
      <w:r w:rsidRPr="002906A3">
        <w:t xml:space="preserve"> </w:t>
      </w:r>
      <w:proofErr w:type="spellStart"/>
      <w:r w:rsidRPr="002906A3">
        <w:t>one</w:t>
      </w:r>
      <w:proofErr w:type="spellEnd"/>
      <w:r w:rsidRPr="002906A3">
        <w:t xml:space="preserve"> of </w:t>
      </w:r>
      <w:proofErr w:type="spellStart"/>
      <w:r w:rsidRPr="002906A3">
        <w:t>the</w:t>
      </w:r>
      <w:proofErr w:type="spellEnd"/>
      <w:r w:rsidRPr="002906A3">
        <w:t xml:space="preserve"> </w:t>
      </w:r>
      <w:proofErr w:type="spellStart"/>
      <w:r w:rsidRPr="002906A3">
        <w:t>favorite</w:t>
      </w:r>
      <w:proofErr w:type="spellEnd"/>
      <w:r w:rsidRPr="002906A3">
        <w:t xml:space="preserve"> </w:t>
      </w:r>
      <w:proofErr w:type="spellStart"/>
      <w:r w:rsidRPr="002906A3">
        <w:t>poets</w:t>
      </w:r>
      <w:proofErr w:type="spellEnd"/>
      <w:r w:rsidRPr="002906A3">
        <w:t xml:space="preserve"> of </w:t>
      </w:r>
      <w:proofErr w:type="spellStart"/>
      <w:r w:rsidRPr="002906A3">
        <w:t>the</w:t>
      </w:r>
      <w:proofErr w:type="spellEnd"/>
      <w:r w:rsidRPr="002906A3">
        <w:t xml:space="preserve"> </w:t>
      </w:r>
      <w:proofErr w:type="spellStart"/>
      <w:r w:rsidRPr="002906A3">
        <w:t>state</w:t>
      </w:r>
      <w:proofErr w:type="spellEnd"/>
      <w:r w:rsidRPr="002906A3">
        <w:t xml:space="preserve"> </w:t>
      </w:r>
      <w:proofErr w:type="spellStart"/>
      <w:r w:rsidRPr="002906A3">
        <w:t>officials</w:t>
      </w:r>
      <w:proofErr w:type="spellEnd"/>
      <w:r w:rsidRPr="002906A3">
        <w:t xml:space="preserve">. </w:t>
      </w:r>
      <w:proofErr w:type="spellStart"/>
      <w:r w:rsidRPr="002906A3">
        <w:t>With</w:t>
      </w:r>
      <w:proofErr w:type="spellEnd"/>
      <w:r w:rsidRPr="002906A3">
        <w:t xml:space="preserve"> his </w:t>
      </w:r>
      <w:proofErr w:type="spellStart"/>
      <w:r w:rsidRPr="002906A3">
        <w:t>arrival</w:t>
      </w:r>
      <w:proofErr w:type="spellEnd"/>
      <w:r w:rsidRPr="002906A3">
        <w:t xml:space="preserve"> in </w:t>
      </w:r>
      <w:proofErr w:type="spellStart"/>
      <w:r w:rsidRPr="002906A3">
        <w:t>Istanbul</w:t>
      </w:r>
      <w:proofErr w:type="spellEnd"/>
      <w:r w:rsidRPr="002906A3">
        <w:t xml:space="preserve">, he </w:t>
      </w:r>
      <w:proofErr w:type="spellStart"/>
      <w:r w:rsidRPr="002906A3">
        <w:t>quickly</w:t>
      </w:r>
      <w:proofErr w:type="spellEnd"/>
      <w:r w:rsidRPr="002906A3">
        <w:t xml:space="preserve"> </w:t>
      </w:r>
      <w:proofErr w:type="spellStart"/>
      <w:r w:rsidRPr="002906A3">
        <w:t>became</w:t>
      </w:r>
      <w:proofErr w:type="spellEnd"/>
      <w:r w:rsidRPr="002906A3">
        <w:t xml:space="preserve"> </w:t>
      </w:r>
      <w:proofErr w:type="spellStart"/>
      <w:r w:rsidRPr="002906A3">
        <w:t>known</w:t>
      </w:r>
      <w:proofErr w:type="spellEnd"/>
      <w:r w:rsidRPr="002906A3">
        <w:t xml:space="preserve"> </w:t>
      </w:r>
      <w:proofErr w:type="spellStart"/>
      <w:r w:rsidRPr="002906A3">
        <w:t>around</w:t>
      </w:r>
      <w:proofErr w:type="spellEnd"/>
      <w:r w:rsidRPr="002906A3">
        <w:t xml:space="preserve"> </w:t>
      </w:r>
      <w:proofErr w:type="spellStart"/>
      <w:r w:rsidRPr="002906A3">
        <w:t>the</w:t>
      </w:r>
      <w:proofErr w:type="spellEnd"/>
      <w:r w:rsidRPr="002906A3">
        <w:t xml:space="preserve"> </w:t>
      </w:r>
      <w:proofErr w:type="spellStart"/>
      <w:r w:rsidRPr="002906A3">
        <w:t>palace</w:t>
      </w:r>
      <w:proofErr w:type="spellEnd"/>
      <w:r w:rsidRPr="002906A3">
        <w:t xml:space="preserve"> </w:t>
      </w:r>
      <w:proofErr w:type="spellStart"/>
      <w:r w:rsidRPr="002906A3">
        <w:t>and</w:t>
      </w:r>
      <w:proofErr w:type="spellEnd"/>
      <w:r w:rsidRPr="002906A3">
        <w:t xml:space="preserve"> his </w:t>
      </w:r>
      <w:proofErr w:type="spellStart"/>
      <w:r w:rsidRPr="002906A3">
        <w:t>popularity</w:t>
      </w:r>
      <w:proofErr w:type="spellEnd"/>
      <w:r w:rsidRPr="002906A3">
        <w:t xml:space="preserve"> </w:t>
      </w:r>
      <w:proofErr w:type="spellStart"/>
      <w:r w:rsidRPr="002906A3">
        <w:t>increased</w:t>
      </w:r>
      <w:proofErr w:type="spellEnd"/>
      <w:r w:rsidRPr="002906A3">
        <w:t xml:space="preserve"> </w:t>
      </w:r>
      <w:proofErr w:type="spellStart"/>
      <w:r w:rsidRPr="002906A3">
        <w:t>day</w:t>
      </w:r>
      <w:proofErr w:type="spellEnd"/>
      <w:r w:rsidRPr="002906A3">
        <w:t xml:space="preserve"> </w:t>
      </w:r>
      <w:proofErr w:type="spellStart"/>
      <w:r w:rsidRPr="002906A3">
        <w:t>by</w:t>
      </w:r>
      <w:proofErr w:type="spellEnd"/>
      <w:r w:rsidRPr="002906A3">
        <w:t xml:space="preserve"> </w:t>
      </w:r>
      <w:proofErr w:type="spellStart"/>
      <w:r w:rsidRPr="002906A3">
        <w:t>day</w:t>
      </w:r>
      <w:proofErr w:type="spellEnd"/>
      <w:r w:rsidRPr="002906A3">
        <w:t xml:space="preserve">. </w:t>
      </w:r>
      <w:proofErr w:type="spellStart"/>
      <w:r w:rsidRPr="002906A3">
        <w:lastRenderedPageBreak/>
        <w:t>Due</w:t>
      </w:r>
      <w:proofErr w:type="spellEnd"/>
      <w:r w:rsidRPr="002906A3">
        <w:t xml:space="preserve"> </w:t>
      </w:r>
      <w:proofErr w:type="spellStart"/>
      <w:r w:rsidRPr="002906A3">
        <w:t>to</w:t>
      </w:r>
      <w:proofErr w:type="spellEnd"/>
      <w:r w:rsidRPr="002906A3">
        <w:t xml:space="preserve"> </w:t>
      </w:r>
      <w:proofErr w:type="spellStart"/>
      <w:r w:rsidRPr="002906A3">
        <w:t>some</w:t>
      </w:r>
      <w:proofErr w:type="spellEnd"/>
      <w:r w:rsidRPr="002906A3">
        <w:t xml:space="preserve"> </w:t>
      </w:r>
      <w:proofErr w:type="spellStart"/>
      <w:r w:rsidRPr="002906A3">
        <w:t>situations</w:t>
      </w:r>
      <w:proofErr w:type="spellEnd"/>
      <w:r w:rsidRPr="002906A3">
        <w:t xml:space="preserve"> </w:t>
      </w:r>
      <w:proofErr w:type="spellStart"/>
      <w:r w:rsidRPr="002906A3">
        <w:t>such</w:t>
      </w:r>
      <w:proofErr w:type="spellEnd"/>
      <w:r w:rsidRPr="002906A3">
        <w:t xml:space="preserve"> as his </w:t>
      </w:r>
      <w:proofErr w:type="spellStart"/>
      <w:r w:rsidRPr="002906A3">
        <w:t>adoption</w:t>
      </w:r>
      <w:proofErr w:type="spellEnd"/>
      <w:r w:rsidRPr="002906A3">
        <w:t xml:space="preserve"> of </w:t>
      </w:r>
      <w:proofErr w:type="spellStart"/>
      <w:r w:rsidRPr="002906A3">
        <w:t>Kalenderism</w:t>
      </w:r>
      <w:proofErr w:type="spellEnd"/>
      <w:r w:rsidRPr="002906A3">
        <w:t xml:space="preserve">, </w:t>
      </w:r>
      <w:proofErr w:type="spellStart"/>
      <w:r w:rsidRPr="002906A3">
        <w:t>the</w:t>
      </w:r>
      <w:proofErr w:type="spellEnd"/>
      <w:r w:rsidRPr="002906A3">
        <w:t xml:space="preserve"> </w:t>
      </w:r>
      <w:proofErr w:type="spellStart"/>
      <w:r w:rsidRPr="002906A3">
        <w:t>great</w:t>
      </w:r>
      <w:proofErr w:type="spellEnd"/>
      <w:r w:rsidRPr="002906A3">
        <w:t xml:space="preserve"> </w:t>
      </w:r>
      <w:proofErr w:type="spellStart"/>
      <w:r w:rsidRPr="002906A3">
        <w:t>popularity</w:t>
      </w:r>
      <w:proofErr w:type="spellEnd"/>
      <w:r w:rsidRPr="002906A3">
        <w:t xml:space="preserve"> of his </w:t>
      </w:r>
      <w:proofErr w:type="spellStart"/>
      <w:r w:rsidRPr="002906A3">
        <w:t>poems</w:t>
      </w:r>
      <w:proofErr w:type="spellEnd"/>
      <w:r w:rsidRPr="002906A3">
        <w:t xml:space="preserve">, </w:t>
      </w:r>
      <w:proofErr w:type="spellStart"/>
      <w:r w:rsidRPr="002906A3">
        <w:t>and</w:t>
      </w:r>
      <w:proofErr w:type="spellEnd"/>
      <w:r w:rsidRPr="002906A3">
        <w:t xml:space="preserve"> his </w:t>
      </w:r>
      <w:proofErr w:type="spellStart"/>
      <w:r w:rsidRPr="002906A3">
        <w:t>personal</w:t>
      </w:r>
      <w:proofErr w:type="spellEnd"/>
      <w:r w:rsidRPr="002906A3">
        <w:t xml:space="preserve"> </w:t>
      </w:r>
      <w:proofErr w:type="spellStart"/>
      <w:r w:rsidRPr="002906A3">
        <w:t>characteristics</w:t>
      </w:r>
      <w:proofErr w:type="spellEnd"/>
      <w:r w:rsidRPr="002906A3">
        <w:t xml:space="preserve">, he </w:t>
      </w:r>
      <w:proofErr w:type="spellStart"/>
      <w:r w:rsidRPr="002906A3">
        <w:t>was</w:t>
      </w:r>
      <w:proofErr w:type="spellEnd"/>
      <w:r w:rsidRPr="002906A3">
        <w:t xml:space="preserve"> </w:t>
      </w:r>
      <w:proofErr w:type="spellStart"/>
      <w:r w:rsidRPr="002906A3">
        <w:t>criticized</w:t>
      </w:r>
      <w:proofErr w:type="spellEnd"/>
      <w:r w:rsidRPr="002906A3">
        <w:t xml:space="preserve"> </w:t>
      </w:r>
      <w:proofErr w:type="spellStart"/>
      <w:r w:rsidRPr="002906A3">
        <w:t>by</w:t>
      </w:r>
      <w:proofErr w:type="spellEnd"/>
      <w:r w:rsidRPr="002906A3">
        <w:t xml:space="preserve"> Taşlıcalı Yahyâ </w:t>
      </w:r>
      <w:proofErr w:type="spellStart"/>
      <w:r w:rsidRPr="002906A3">
        <w:t>and</w:t>
      </w:r>
      <w:proofErr w:type="spellEnd"/>
      <w:r w:rsidRPr="002906A3">
        <w:t xml:space="preserve"> </w:t>
      </w:r>
      <w:proofErr w:type="spellStart"/>
      <w:r w:rsidRPr="002906A3">
        <w:t>other</w:t>
      </w:r>
      <w:proofErr w:type="spellEnd"/>
      <w:r w:rsidRPr="002906A3">
        <w:t xml:space="preserve"> </w:t>
      </w:r>
      <w:proofErr w:type="spellStart"/>
      <w:r w:rsidRPr="002906A3">
        <w:t>important</w:t>
      </w:r>
      <w:proofErr w:type="spellEnd"/>
      <w:r w:rsidRPr="002906A3">
        <w:t xml:space="preserve"> </w:t>
      </w:r>
      <w:proofErr w:type="spellStart"/>
      <w:r w:rsidRPr="002906A3">
        <w:t>poets</w:t>
      </w:r>
      <w:proofErr w:type="spellEnd"/>
      <w:r w:rsidRPr="002906A3">
        <w:t xml:space="preserve"> of his </w:t>
      </w:r>
      <w:proofErr w:type="spellStart"/>
      <w:r w:rsidRPr="002906A3">
        <w:t>period</w:t>
      </w:r>
      <w:proofErr w:type="spellEnd"/>
      <w:r w:rsidRPr="002906A3">
        <w:t xml:space="preserve"> </w:t>
      </w:r>
      <w:proofErr w:type="spellStart"/>
      <w:r w:rsidRPr="002906A3">
        <w:t>such</w:t>
      </w:r>
      <w:proofErr w:type="spellEnd"/>
      <w:r w:rsidRPr="002906A3">
        <w:t xml:space="preserve"> as </w:t>
      </w:r>
      <w:proofErr w:type="spellStart"/>
      <w:r w:rsidRPr="002906A3">
        <w:t>Emîrek</w:t>
      </w:r>
      <w:proofErr w:type="spellEnd"/>
      <w:r w:rsidRPr="002906A3">
        <w:t xml:space="preserve">-zâde, </w:t>
      </w:r>
      <w:proofErr w:type="spellStart"/>
      <w:r w:rsidRPr="002906A3">
        <w:t>Makâlî</w:t>
      </w:r>
      <w:proofErr w:type="spellEnd"/>
      <w:r w:rsidRPr="002906A3">
        <w:t xml:space="preserve">, </w:t>
      </w:r>
      <w:proofErr w:type="spellStart"/>
      <w:r w:rsidRPr="002906A3">
        <w:t>Zâtî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w:t>
      </w:r>
      <w:proofErr w:type="spellStart"/>
      <w:r w:rsidRPr="002906A3">
        <w:t>Yakînî</w:t>
      </w:r>
      <w:proofErr w:type="spellEnd"/>
      <w:r w:rsidRPr="002906A3">
        <w:t xml:space="preserve"> </w:t>
      </w:r>
      <w:proofErr w:type="spellStart"/>
      <w:r w:rsidRPr="002906A3">
        <w:t>and</w:t>
      </w:r>
      <w:proofErr w:type="spellEnd"/>
      <w:r w:rsidRPr="002906A3">
        <w:t xml:space="preserve"> </w:t>
      </w:r>
      <w:proofErr w:type="spellStart"/>
      <w:r w:rsidRPr="002906A3">
        <w:t>Lami'î</w:t>
      </w:r>
      <w:proofErr w:type="spellEnd"/>
      <w:r w:rsidRPr="002906A3">
        <w:t xml:space="preserve"> Çelebi. </w:t>
      </w:r>
      <w:proofErr w:type="spellStart"/>
      <w:r w:rsidRPr="002906A3">
        <w:t>Hayâlî</w:t>
      </w:r>
      <w:proofErr w:type="spellEnd"/>
      <w:r w:rsidRPr="002906A3">
        <w:t xml:space="preserve"> Bey, </w:t>
      </w:r>
      <w:proofErr w:type="spellStart"/>
      <w:r w:rsidRPr="002906A3">
        <w:t>who</w:t>
      </w:r>
      <w:proofErr w:type="spellEnd"/>
      <w:r w:rsidRPr="002906A3">
        <w:t xml:space="preserve"> </w:t>
      </w:r>
      <w:proofErr w:type="spellStart"/>
      <w:r w:rsidRPr="002906A3">
        <w:t>was</w:t>
      </w:r>
      <w:proofErr w:type="spellEnd"/>
      <w:r w:rsidRPr="002906A3">
        <w:t xml:space="preserve"> </w:t>
      </w:r>
      <w:proofErr w:type="spellStart"/>
      <w:r w:rsidRPr="002906A3">
        <w:t>sometimes</w:t>
      </w:r>
      <w:proofErr w:type="spellEnd"/>
      <w:r w:rsidRPr="002906A3">
        <w:t xml:space="preserve"> </w:t>
      </w:r>
      <w:proofErr w:type="spellStart"/>
      <w:r w:rsidRPr="002906A3">
        <w:t>seen</w:t>
      </w:r>
      <w:proofErr w:type="spellEnd"/>
      <w:r w:rsidRPr="002906A3">
        <w:t xml:space="preserve"> as an </w:t>
      </w:r>
      <w:proofErr w:type="spellStart"/>
      <w:r w:rsidRPr="002906A3">
        <w:t>enemy</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poets</w:t>
      </w:r>
      <w:proofErr w:type="spellEnd"/>
      <w:r w:rsidRPr="002906A3">
        <w:t xml:space="preserve"> </w:t>
      </w:r>
      <w:proofErr w:type="spellStart"/>
      <w:r w:rsidRPr="002906A3">
        <w:t>mentioned</w:t>
      </w:r>
      <w:proofErr w:type="spellEnd"/>
      <w:r w:rsidRPr="002906A3">
        <w:t xml:space="preserve">, </w:t>
      </w:r>
      <w:proofErr w:type="spellStart"/>
      <w:r w:rsidRPr="002906A3">
        <w:t>managed</w:t>
      </w:r>
      <w:proofErr w:type="spellEnd"/>
      <w:r w:rsidRPr="002906A3">
        <w:t xml:space="preserve"> </w:t>
      </w:r>
      <w:proofErr w:type="spellStart"/>
      <w:r w:rsidRPr="002906A3">
        <w:t>to</w:t>
      </w:r>
      <w:proofErr w:type="spellEnd"/>
      <w:r w:rsidRPr="002906A3">
        <w:t xml:space="preserve"> </w:t>
      </w:r>
      <w:proofErr w:type="spellStart"/>
      <w:r w:rsidRPr="002906A3">
        <w:t>become</w:t>
      </w:r>
      <w:proofErr w:type="spellEnd"/>
      <w:r w:rsidRPr="002906A3">
        <w:t xml:space="preserve"> </w:t>
      </w:r>
      <w:proofErr w:type="spellStart"/>
      <w:r w:rsidRPr="002906A3">
        <w:t>such</w:t>
      </w:r>
      <w:proofErr w:type="spellEnd"/>
      <w:r w:rsidRPr="002906A3">
        <w:t xml:space="preserve"> a </w:t>
      </w:r>
      <w:proofErr w:type="spellStart"/>
      <w:r w:rsidRPr="002906A3">
        <w:t>successful</w:t>
      </w:r>
      <w:proofErr w:type="spellEnd"/>
      <w:r w:rsidRPr="002906A3">
        <w:t xml:space="preserve"> </w:t>
      </w:r>
      <w:proofErr w:type="spellStart"/>
      <w:r w:rsidRPr="002906A3">
        <w:t>poet</w:t>
      </w:r>
      <w:proofErr w:type="spellEnd"/>
      <w:r w:rsidRPr="002906A3">
        <w:t xml:space="preserve"> </w:t>
      </w:r>
      <w:proofErr w:type="spellStart"/>
      <w:r w:rsidRPr="002906A3">
        <w:t>that</w:t>
      </w:r>
      <w:proofErr w:type="spellEnd"/>
      <w:r w:rsidRPr="002906A3">
        <w:t xml:space="preserve"> he </w:t>
      </w:r>
      <w:proofErr w:type="spellStart"/>
      <w:r w:rsidRPr="002906A3">
        <w:t>would</w:t>
      </w:r>
      <w:proofErr w:type="spellEnd"/>
      <w:r w:rsidRPr="002906A3">
        <w:t xml:space="preserve"> </w:t>
      </w:r>
      <w:proofErr w:type="spellStart"/>
      <w:r w:rsidRPr="002906A3">
        <w:t>make</w:t>
      </w:r>
      <w:proofErr w:type="spellEnd"/>
      <w:r w:rsidRPr="002906A3">
        <w:t xml:space="preserve"> </w:t>
      </w:r>
      <w:proofErr w:type="spellStart"/>
      <w:r w:rsidRPr="002906A3">
        <w:t>everyone</w:t>
      </w:r>
      <w:proofErr w:type="spellEnd"/>
      <w:r w:rsidRPr="002906A3">
        <w:t xml:space="preserve"> </w:t>
      </w:r>
      <w:proofErr w:type="spellStart"/>
      <w:r w:rsidRPr="002906A3">
        <w:t>jealous</w:t>
      </w:r>
      <w:proofErr w:type="spellEnd"/>
      <w:r w:rsidRPr="002906A3">
        <w:t xml:space="preserve"> </w:t>
      </w:r>
      <w:proofErr w:type="spellStart"/>
      <w:r w:rsidRPr="002906A3">
        <w:t>and</w:t>
      </w:r>
      <w:proofErr w:type="spellEnd"/>
      <w:r w:rsidRPr="002906A3">
        <w:t xml:space="preserve"> </w:t>
      </w:r>
      <w:proofErr w:type="spellStart"/>
      <w:r w:rsidRPr="002906A3">
        <w:t>envious</w:t>
      </w:r>
      <w:proofErr w:type="spellEnd"/>
      <w:r w:rsidRPr="002906A3">
        <w:t xml:space="preserve"> at a </w:t>
      </w:r>
      <w:proofErr w:type="spellStart"/>
      <w:r w:rsidRPr="002906A3">
        <w:t>young</w:t>
      </w:r>
      <w:proofErr w:type="spellEnd"/>
      <w:r w:rsidRPr="002906A3">
        <w:t xml:space="preserve"> </w:t>
      </w:r>
      <w:proofErr w:type="spellStart"/>
      <w:r w:rsidRPr="002906A3">
        <w:t>age</w:t>
      </w:r>
      <w:proofErr w:type="spellEnd"/>
      <w:r w:rsidRPr="002906A3">
        <w:t xml:space="preserve">, as far as can be </w:t>
      </w:r>
      <w:proofErr w:type="spellStart"/>
      <w:r w:rsidRPr="002906A3">
        <w:t>seen</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poems</w:t>
      </w:r>
      <w:proofErr w:type="spellEnd"/>
      <w:r w:rsidRPr="002906A3">
        <w:t xml:space="preserve"> of </w:t>
      </w:r>
      <w:proofErr w:type="spellStart"/>
      <w:r w:rsidRPr="002906A3">
        <w:t>the</w:t>
      </w:r>
      <w:proofErr w:type="spellEnd"/>
      <w:r w:rsidRPr="002906A3">
        <w:t xml:space="preserve"> </w:t>
      </w:r>
      <w:proofErr w:type="spellStart"/>
      <w:r w:rsidRPr="002906A3">
        <w:t>same</w:t>
      </w:r>
      <w:proofErr w:type="spellEnd"/>
      <w:r w:rsidRPr="002906A3">
        <w:t xml:space="preserve"> </w:t>
      </w:r>
      <w:proofErr w:type="spellStart"/>
      <w:r w:rsidRPr="002906A3">
        <w:t>poets</w:t>
      </w:r>
      <w:proofErr w:type="spellEnd"/>
      <w:r w:rsidRPr="002906A3">
        <w:t xml:space="preserve">. </w:t>
      </w:r>
      <w:proofErr w:type="spellStart"/>
      <w:r w:rsidRPr="002906A3">
        <w:t>The</w:t>
      </w:r>
      <w:proofErr w:type="spellEnd"/>
      <w:r w:rsidRPr="002906A3">
        <w:t xml:space="preserve"> </w:t>
      </w:r>
      <w:proofErr w:type="spellStart"/>
      <w:r w:rsidRPr="002906A3">
        <w:t>criticisms</w:t>
      </w:r>
      <w:proofErr w:type="spellEnd"/>
      <w:r w:rsidRPr="002906A3">
        <w:t xml:space="preserve"> </w:t>
      </w:r>
      <w:proofErr w:type="spellStart"/>
      <w:r w:rsidRPr="002906A3">
        <w:t>against</w:t>
      </w:r>
      <w:proofErr w:type="spellEnd"/>
      <w:r w:rsidRPr="002906A3">
        <w:t xml:space="preserve"> </w:t>
      </w:r>
      <w:proofErr w:type="spellStart"/>
      <w:r w:rsidRPr="002906A3">
        <w:t>Hayâlî</w:t>
      </w:r>
      <w:proofErr w:type="spellEnd"/>
      <w:r w:rsidRPr="002906A3">
        <w:t xml:space="preserve"> Bey </w:t>
      </w:r>
      <w:proofErr w:type="spellStart"/>
      <w:r w:rsidRPr="002906A3">
        <w:t>generally</w:t>
      </w:r>
      <w:proofErr w:type="spellEnd"/>
      <w:r w:rsidRPr="002906A3">
        <w:t xml:space="preserve"> </w:t>
      </w:r>
      <w:proofErr w:type="spellStart"/>
      <w:r w:rsidRPr="002906A3">
        <w:t>focus</w:t>
      </w:r>
      <w:proofErr w:type="spellEnd"/>
      <w:r w:rsidRPr="002906A3">
        <w:t xml:space="preserve"> on his </w:t>
      </w:r>
      <w:proofErr w:type="spellStart"/>
      <w:r w:rsidRPr="002906A3">
        <w:t>being</w:t>
      </w:r>
      <w:proofErr w:type="spellEnd"/>
      <w:r w:rsidRPr="002906A3">
        <w:t xml:space="preserve"> a Kalenderî </w:t>
      </w:r>
      <w:proofErr w:type="spellStart"/>
      <w:r w:rsidRPr="002906A3">
        <w:t>dervish</w:t>
      </w:r>
      <w:proofErr w:type="spellEnd"/>
      <w:r w:rsidRPr="002906A3">
        <w:t xml:space="preserve">, his </w:t>
      </w:r>
      <w:proofErr w:type="spellStart"/>
      <w:r w:rsidRPr="002906A3">
        <w:t>poetry</w:t>
      </w:r>
      <w:proofErr w:type="spellEnd"/>
      <w:r w:rsidRPr="002906A3">
        <w:t xml:space="preserve"> </w:t>
      </w:r>
      <w:proofErr w:type="spellStart"/>
      <w:r w:rsidRPr="002906A3">
        <w:t>and</w:t>
      </w:r>
      <w:proofErr w:type="spellEnd"/>
      <w:r w:rsidRPr="002906A3">
        <w:t xml:space="preserve"> </w:t>
      </w:r>
      <w:proofErr w:type="spellStart"/>
      <w:r w:rsidRPr="002906A3">
        <w:t>poems</w:t>
      </w:r>
      <w:proofErr w:type="spellEnd"/>
      <w:r w:rsidRPr="002906A3">
        <w:t xml:space="preserve"> </w:t>
      </w:r>
      <w:proofErr w:type="spellStart"/>
      <w:r w:rsidRPr="002906A3">
        <w:t>being</w:t>
      </w:r>
      <w:proofErr w:type="spellEnd"/>
      <w:r w:rsidRPr="002906A3">
        <w:t xml:space="preserve"> in </w:t>
      </w:r>
      <w:proofErr w:type="spellStart"/>
      <w:r w:rsidRPr="002906A3">
        <w:t>great</w:t>
      </w:r>
      <w:proofErr w:type="spellEnd"/>
      <w:r w:rsidRPr="002906A3">
        <w:t xml:space="preserve"> </w:t>
      </w:r>
      <w:proofErr w:type="spellStart"/>
      <w:r w:rsidRPr="002906A3">
        <w:t>demand</w:t>
      </w:r>
      <w:proofErr w:type="spellEnd"/>
      <w:r w:rsidRPr="002906A3">
        <w:t xml:space="preserve"> </w:t>
      </w:r>
      <w:proofErr w:type="spellStart"/>
      <w:r w:rsidRPr="002906A3">
        <w:t>and</w:t>
      </w:r>
      <w:proofErr w:type="spellEnd"/>
      <w:r w:rsidRPr="002906A3">
        <w:t xml:space="preserve"> </w:t>
      </w:r>
      <w:proofErr w:type="spellStart"/>
      <w:r w:rsidRPr="002906A3">
        <w:t>being</w:t>
      </w:r>
      <w:proofErr w:type="spellEnd"/>
      <w:r w:rsidRPr="002906A3">
        <w:t xml:space="preserve"> </w:t>
      </w:r>
      <w:proofErr w:type="spellStart"/>
      <w:r w:rsidRPr="002906A3">
        <w:t>supported</w:t>
      </w:r>
      <w:proofErr w:type="spellEnd"/>
      <w:r w:rsidRPr="002906A3">
        <w:t xml:space="preserve"> </w:t>
      </w:r>
      <w:proofErr w:type="spellStart"/>
      <w:r w:rsidRPr="002906A3">
        <w:t>and</w:t>
      </w:r>
      <w:proofErr w:type="spellEnd"/>
      <w:r w:rsidRPr="002906A3">
        <w:t xml:space="preserve"> </w:t>
      </w:r>
      <w:proofErr w:type="spellStart"/>
      <w:r w:rsidRPr="002906A3">
        <w:t>protected</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state</w:t>
      </w:r>
      <w:proofErr w:type="spellEnd"/>
      <w:r w:rsidRPr="002906A3">
        <w:t xml:space="preserve"> </w:t>
      </w:r>
      <w:proofErr w:type="spellStart"/>
      <w:r w:rsidRPr="002906A3">
        <w:t>officials</w:t>
      </w:r>
      <w:proofErr w:type="spellEnd"/>
      <w:r w:rsidRPr="002906A3">
        <w:t xml:space="preserve">, </w:t>
      </w:r>
      <w:proofErr w:type="spellStart"/>
      <w:r w:rsidRPr="002906A3">
        <w:t>the</w:t>
      </w:r>
      <w:proofErr w:type="spellEnd"/>
      <w:r w:rsidRPr="002906A3">
        <w:t xml:space="preserve"> </w:t>
      </w:r>
      <w:proofErr w:type="spellStart"/>
      <w:r w:rsidRPr="002906A3">
        <w:t>multitude</w:t>
      </w:r>
      <w:proofErr w:type="spellEnd"/>
      <w:r w:rsidRPr="002906A3">
        <w:t xml:space="preserve"> of his </w:t>
      </w:r>
      <w:proofErr w:type="spellStart"/>
      <w:r w:rsidRPr="002906A3">
        <w:t>poems</w:t>
      </w:r>
      <w:proofErr w:type="spellEnd"/>
      <w:r w:rsidRPr="002906A3">
        <w:t xml:space="preserve">, his </w:t>
      </w:r>
      <w:proofErr w:type="spellStart"/>
      <w:r w:rsidRPr="002906A3">
        <w:t>poetic</w:t>
      </w:r>
      <w:proofErr w:type="spellEnd"/>
      <w:r w:rsidRPr="002906A3">
        <w:t xml:space="preserve"> </w:t>
      </w:r>
      <w:proofErr w:type="spellStart"/>
      <w:r w:rsidRPr="002906A3">
        <w:t>talent</w:t>
      </w:r>
      <w:proofErr w:type="spellEnd"/>
      <w:r w:rsidRPr="002906A3">
        <w:t xml:space="preserve"> </w:t>
      </w:r>
      <w:proofErr w:type="spellStart"/>
      <w:r w:rsidRPr="002906A3">
        <w:t>and</w:t>
      </w:r>
      <w:proofErr w:type="spellEnd"/>
      <w:r w:rsidRPr="002906A3">
        <w:t xml:space="preserve"> </w:t>
      </w:r>
      <w:proofErr w:type="spellStart"/>
      <w:r w:rsidRPr="002906A3">
        <w:t>finally</w:t>
      </w:r>
      <w:proofErr w:type="spellEnd"/>
      <w:r w:rsidRPr="002906A3">
        <w:t xml:space="preserve"> his </w:t>
      </w:r>
      <w:proofErr w:type="spellStart"/>
      <w:r w:rsidRPr="002906A3">
        <w:t>personal</w:t>
      </w:r>
      <w:proofErr w:type="spellEnd"/>
      <w:r w:rsidRPr="002906A3">
        <w:t xml:space="preserve"> </w:t>
      </w:r>
      <w:proofErr w:type="spellStart"/>
      <w:r w:rsidRPr="002906A3">
        <w:t>characteristics</w:t>
      </w:r>
      <w:proofErr w:type="spellEnd"/>
      <w:r w:rsidRPr="002906A3">
        <w:t xml:space="preserve">. </w:t>
      </w:r>
      <w:proofErr w:type="spellStart"/>
      <w:r w:rsidRPr="002906A3">
        <w:t>In</w:t>
      </w:r>
      <w:proofErr w:type="spellEnd"/>
      <w:r w:rsidRPr="002906A3">
        <w:t xml:space="preserve"> </w:t>
      </w:r>
      <w:proofErr w:type="spellStart"/>
      <w:r w:rsidRPr="002906A3">
        <w:t>this</w:t>
      </w:r>
      <w:proofErr w:type="spellEnd"/>
      <w:r w:rsidRPr="002906A3">
        <w:t xml:space="preserve"> </w:t>
      </w:r>
      <w:proofErr w:type="spellStart"/>
      <w:r w:rsidRPr="002906A3">
        <w:t>study</w:t>
      </w:r>
      <w:proofErr w:type="spellEnd"/>
      <w:r w:rsidRPr="002906A3">
        <w:t xml:space="preserve">, </w:t>
      </w:r>
      <w:proofErr w:type="spellStart"/>
      <w:r w:rsidRPr="002906A3">
        <w:t>the</w:t>
      </w:r>
      <w:proofErr w:type="spellEnd"/>
      <w:r w:rsidRPr="002906A3">
        <w:t xml:space="preserve"> </w:t>
      </w:r>
      <w:proofErr w:type="spellStart"/>
      <w:r w:rsidRPr="002906A3">
        <w:t>poems</w:t>
      </w:r>
      <w:proofErr w:type="spellEnd"/>
      <w:r w:rsidRPr="002906A3">
        <w:t xml:space="preserve"> </w:t>
      </w:r>
      <w:proofErr w:type="spellStart"/>
      <w:r w:rsidRPr="002906A3">
        <w:t>that</w:t>
      </w:r>
      <w:proofErr w:type="spellEnd"/>
      <w:r w:rsidRPr="002906A3">
        <w:t xml:space="preserve"> </w:t>
      </w:r>
      <w:proofErr w:type="spellStart"/>
      <w:r w:rsidRPr="002906A3">
        <w:t>were</w:t>
      </w:r>
      <w:proofErr w:type="spellEnd"/>
      <w:r w:rsidRPr="002906A3">
        <w:t xml:space="preserve"> </w:t>
      </w:r>
      <w:proofErr w:type="spellStart"/>
      <w:r w:rsidRPr="002906A3">
        <w:t>found</w:t>
      </w:r>
      <w:proofErr w:type="spellEnd"/>
      <w:r w:rsidRPr="002906A3">
        <w:t xml:space="preserve"> </w:t>
      </w:r>
      <w:proofErr w:type="spellStart"/>
      <w:r w:rsidRPr="002906A3">
        <w:t>to</w:t>
      </w:r>
      <w:proofErr w:type="spellEnd"/>
      <w:r w:rsidRPr="002906A3">
        <w:t xml:space="preserve"> be </w:t>
      </w:r>
      <w:proofErr w:type="spellStart"/>
      <w:r w:rsidRPr="002906A3">
        <w:t>written</w:t>
      </w:r>
      <w:proofErr w:type="spellEnd"/>
      <w:r w:rsidRPr="002906A3">
        <w:t xml:space="preserve"> </w:t>
      </w:r>
      <w:proofErr w:type="spellStart"/>
      <w:r w:rsidRPr="002906A3">
        <w:t>by</w:t>
      </w:r>
      <w:proofErr w:type="spellEnd"/>
      <w:r w:rsidRPr="002906A3">
        <w:t xml:space="preserve"> </w:t>
      </w:r>
      <w:proofErr w:type="spellStart"/>
      <w:r w:rsidRPr="002906A3">
        <w:t>some</w:t>
      </w:r>
      <w:proofErr w:type="spellEnd"/>
      <w:r w:rsidRPr="002906A3">
        <w:t xml:space="preserve"> </w:t>
      </w:r>
      <w:proofErr w:type="spellStart"/>
      <w:r w:rsidRPr="002906A3">
        <w:t>poets</w:t>
      </w:r>
      <w:proofErr w:type="spellEnd"/>
      <w:r w:rsidRPr="002906A3">
        <w:t xml:space="preserve"> </w:t>
      </w:r>
      <w:proofErr w:type="spellStart"/>
      <w:r w:rsidRPr="002906A3">
        <w:t>who</w:t>
      </w:r>
      <w:proofErr w:type="spellEnd"/>
      <w:r w:rsidRPr="002906A3">
        <w:t xml:space="preserve"> </w:t>
      </w:r>
      <w:proofErr w:type="spellStart"/>
      <w:r w:rsidRPr="002906A3">
        <w:t>were</w:t>
      </w:r>
      <w:proofErr w:type="spellEnd"/>
      <w:r w:rsidRPr="002906A3">
        <w:t xml:space="preserve"> </w:t>
      </w:r>
      <w:proofErr w:type="spellStart"/>
      <w:r w:rsidRPr="002906A3">
        <w:t>contemporary</w:t>
      </w:r>
      <w:proofErr w:type="spellEnd"/>
      <w:r w:rsidRPr="002906A3">
        <w:t xml:space="preserve"> </w:t>
      </w:r>
      <w:proofErr w:type="spellStart"/>
      <w:r w:rsidRPr="002906A3">
        <w:t>with</w:t>
      </w:r>
      <w:proofErr w:type="spellEnd"/>
      <w:r w:rsidRPr="002906A3">
        <w:t xml:space="preserve"> </w:t>
      </w:r>
      <w:proofErr w:type="spellStart"/>
      <w:r w:rsidRPr="002906A3">
        <w:t>Hayâlî</w:t>
      </w:r>
      <w:proofErr w:type="spellEnd"/>
      <w:r w:rsidRPr="002906A3">
        <w:t xml:space="preserve"> Bey </w:t>
      </w:r>
      <w:proofErr w:type="spellStart"/>
      <w:r w:rsidRPr="002906A3">
        <w:t>were</w:t>
      </w:r>
      <w:proofErr w:type="spellEnd"/>
      <w:r w:rsidRPr="002906A3">
        <w:t xml:space="preserve"> </w:t>
      </w:r>
      <w:proofErr w:type="spellStart"/>
      <w:r w:rsidRPr="002906A3">
        <w:t>examined</w:t>
      </w:r>
      <w:proofErr w:type="spellEnd"/>
      <w:r w:rsidRPr="002906A3">
        <w:t xml:space="preserve"> in </w:t>
      </w:r>
      <w:proofErr w:type="spellStart"/>
      <w:r w:rsidRPr="002906A3">
        <w:t>detail</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nature</w:t>
      </w:r>
      <w:proofErr w:type="spellEnd"/>
      <w:r w:rsidRPr="002906A3">
        <w:t xml:space="preserve"> of </w:t>
      </w:r>
      <w:proofErr w:type="spellStart"/>
      <w:r w:rsidRPr="002906A3">
        <w:t>the</w:t>
      </w:r>
      <w:proofErr w:type="spellEnd"/>
      <w:r w:rsidRPr="002906A3">
        <w:t xml:space="preserve"> </w:t>
      </w:r>
      <w:proofErr w:type="spellStart"/>
      <w:r w:rsidRPr="002906A3">
        <w:t>criticisms</w:t>
      </w:r>
      <w:proofErr w:type="spellEnd"/>
      <w:r w:rsidRPr="002906A3">
        <w:t xml:space="preserve"> </w:t>
      </w:r>
      <w:proofErr w:type="spellStart"/>
      <w:r w:rsidRPr="002906A3">
        <w:t>directed</w:t>
      </w:r>
      <w:proofErr w:type="spellEnd"/>
      <w:r w:rsidRPr="002906A3">
        <w:t xml:space="preserve"> </w:t>
      </w:r>
      <w:proofErr w:type="spellStart"/>
      <w:r w:rsidRPr="002906A3">
        <w:t>against</w:t>
      </w:r>
      <w:proofErr w:type="spellEnd"/>
      <w:r w:rsidRPr="002906A3">
        <w:t xml:space="preserve"> </w:t>
      </w:r>
      <w:proofErr w:type="spellStart"/>
      <w:r w:rsidRPr="002906A3">
        <w:t>Hayâlî</w:t>
      </w:r>
      <w:proofErr w:type="spellEnd"/>
      <w:r w:rsidRPr="002906A3">
        <w:t xml:space="preserve"> Bey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hostile</w:t>
      </w:r>
      <w:proofErr w:type="spellEnd"/>
      <w:r w:rsidRPr="002906A3">
        <w:t xml:space="preserve"> </w:t>
      </w:r>
      <w:proofErr w:type="spellStart"/>
      <w:r w:rsidRPr="002906A3">
        <w:t>feelings</w:t>
      </w:r>
      <w:proofErr w:type="spellEnd"/>
      <w:r w:rsidRPr="002906A3">
        <w:t xml:space="preserve"> </w:t>
      </w:r>
      <w:proofErr w:type="spellStart"/>
      <w:r w:rsidRPr="002906A3">
        <w:t>full</w:t>
      </w:r>
      <w:proofErr w:type="spellEnd"/>
      <w:r w:rsidRPr="002906A3">
        <w:t xml:space="preserve"> of </w:t>
      </w:r>
      <w:proofErr w:type="spellStart"/>
      <w:r w:rsidRPr="002906A3">
        <w:t>jealousy</w:t>
      </w:r>
      <w:proofErr w:type="spellEnd"/>
      <w:r w:rsidRPr="002906A3">
        <w:t xml:space="preserve">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same</w:t>
      </w:r>
      <w:proofErr w:type="spellEnd"/>
      <w:r w:rsidRPr="002906A3">
        <w:t xml:space="preserve"> </w:t>
      </w:r>
      <w:proofErr w:type="spellStart"/>
      <w:r w:rsidRPr="002906A3">
        <w:t>poets</w:t>
      </w:r>
      <w:proofErr w:type="spellEnd"/>
      <w:r w:rsidRPr="002906A3">
        <w:t xml:space="preserve"> had </w:t>
      </w:r>
      <w:proofErr w:type="spellStart"/>
      <w:r w:rsidRPr="002906A3">
        <w:t>towards</w:t>
      </w:r>
      <w:proofErr w:type="spellEnd"/>
      <w:r w:rsidRPr="002906A3">
        <w:t xml:space="preserve"> </w:t>
      </w:r>
      <w:proofErr w:type="spellStart"/>
      <w:r w:rsidRPr="002906A3">
        <w:t>Hayâlî</w:t>
      </w:r>
      <w:proofErr w:type="spellEnd"/>
      <w:r w:rsidRPr="002906A3">
        <w:t xml:space="preserve"> Bey </w:t>
      </w:r>
      <w:proofErr w:type="spellStart"/>
      <w:r w:rsidRPr="002906A3">
        <w:t>were</w:t>
      </w:r>
      <w:proofErr w:type="spellEnd"/>
      <w:r w:rsidRPr="002906A3">
        <w:t xml:space="preserve"> </w:t>
      </w:r>
      <w:proofErr w:type="spellStart"/>
      <w:r w:rsidRPr="002906A3">
        <w:t>tried</w:t>
      </w:r>
      <w:proofErr w:type="spellEnd"/>
      <w:r w:rsidRPr="002906A3">
        <w:t xml:space="preserve"> </w:t>
      </w:r>
      <w:proofErr w:type="spellStart"/>
      <w:r w:rsidRPr="002906A3">
        <w:t>to</w:t>
      </w:r>
      <w:proofErr w:type="spellEnd"/>
      <w:r w:rsidRPr="002906A3">
        <w:t xml:space="preserve"> be </w:t>
      </w:r>
      <w:proofErr w:type="spellStart"/>
      <w:r w:rsidRPr="002906A3">
        <w:t>revealed</w:t>
      </w:r>
      <w:proofErr w:type="spellEnd"/>
      <w:r w:rsidRPr="002906A3">
        <w:t>.</w:t>
      </w:r>
    </w:p>
    <w:p w14:paraId="6588B9AC" w14:textId="77777777" w:rsidR="001E7189" w:rsidRPr="002906A3" w:rsidRDefault="001E7189" w:rsidP="00BA67A6">
      <w:pPr>
        <w:jc w:val="both"/>
      </w:pPr>
    </w:p>
    <w:p w14:paraId="4947F744" w14:textId="17BF5AF8" w:rsidR="001E7189" w:rsidRPr="002906A3" w:rsidRDefault="000C6508" w:rsidP="00BA67A6">
      <w:pPr>
        <w:ind w:left="720" w:hanging="720"/>
        <w:jc w:val="both"/>
      </w:pPr>
      <w:proofErr w:type="spellStart"/>
      <w:r>
        <w:rPr>
          <w:b/>
        </w:rPr>
        <w:t>Keywords</w:t>
      </w:r>
      <w:proofErr w:type="spellEnd"/>
      <w:r w:rsidR="001E7189" w:rsidRPr="002906A3">
        <w:rPr>
          <w:b/>
        </w:rPr>
        <w:t xml:space="preserve">: </w:t>
      </w:r>
      <w:proofErr w:type="spellStart"/>
      <w:r w:rsidR="001E7189" w:rsidRPr="002906A3">
        <w:t>Hayâlî</w:t>
      </w:r>
      <w:proofErr w:type="spellEnd"/>
      <w:r w:rsidR="001E7189" w:rsidRPr="002906A3">
        <w:t xml:space="preserve"> Bey, </w:t>
      </w:r>
      <w:proofErr w:type="spellStart"/>
      <w:r w:rsidR="001E7189" w:rsidRPr="002906A3">
        <w:t>Criticism</w:t>
      </w:r>
      <w:proofErr w:type="spellEnd"/>
      <w:r w:rsidR="001E7189" w:rsidRPr="002906A3">
        <w:t xml:space="preserve">, 16th Century Divan </w:t>
      </w:r>
      <w:proofErr w:type="spellStart"/>
      <w:r w:rsidR="001E7189" w:rsidRPr="002906A3">
        <w:t>Poetry</w:t>
      </w:r>
      <w:proofErr w:type="spellEnd"/>
      <w:r w:rsidR="001E7189" w:rsidRPr="002906A3">
        <w:t xml:space="preserve">, </w:t>
      </w:r>
      <w:proofErr w:type="spellStart"/>
      <w:r w:rsidR="001E7189" w:rsidRPr="002906A3">
        <w:t>Kalenderism</w:t>
      </w:r>
      <w:proofErr w:type="spellEnd"/>
      <w:r w:rsidR="001E7189" w:rsidRPr="002906A3">
        <w:t>.</w:t>
      </w:r>
    </w:p>
    <w:p w14:paraId="68E5C83D" w14:textId="5A3C0283" w:rsidR="001E7189" w:rsidRDefault="001E7189" w:rsidP="00BA67A6"/>
    <w:p w14:paraId="6C2B357C" w14:textId="77777777" w:rsidR="001E7189" w:rsidRPr="002906A3" w:rsidRDefault="001E7189" w:rsidP="00BA67A6"/>
    <w:p w14:paraId="523FB283" w14:textId="77777777" w:rsidR="001E7189" w:rsidRPr="002906A3" w:rsidRDefault="001E7189" w:rsidP="00BA67A6">
      <w:pPr>
        <w:ind w:left="720" w:hanging="720"/>
        <w:jc w:val="both"/>
        <w:rPr>
          <w:b/>
          <w:bCs/>
        </w:rPr>
      </w:pPr>
      <w:r w:rsidRPr="002906A3">
        <w:rPr>
          <w:b/>
          <w:bCs/>
        </w:rPr>
        <w:t>Giriş</w:t>
      </w:r>
    </w:p>
    <w:p w14:paraId="70B02A12" w14:textId="77777777" w:rsidR="001E7189" w:rsidRPr="002906A3" w:rsidRDefault="001E7189" w:rsidP="00BA67A6">
      <w:pPr>
        <w:pStyle w:val="GvdeMetni"/>
        <w:jc w:val="both"/>
      </w:pPr>
      <w:r w:rsidRPr="002906A3">
        <w:t xml:space="preserve">Dilimizde “laf atmak, taşı gediğine koymak, laf oturtmak, lafın altından kalkmak, laf yetiştirmek, lafı ağzında bırakmak” gibi pek çok deyimde karşıt tarafların söz düellosuna değinilmiştir (Aydın, 2014: 214). Divan edebiyatında da şairlerin birbirleri ile şiirleri aracılığıyla laf atışmalarına girdikleri görülmüştür. Kimi zaman rakipleri olarak gördükleri diğer şairlere karşı kıskançlıkları, kimi zaman ise rakip şaire gösterilen ihsanlar bu tür çatışmalara sebebiyet vermiştir. Divan şairleri, kendilerinden önce yaşamış ve rağbet görmüş şairleri eleştirdikleri gibi kendi dönemlerinde yaşamış olan şairleri eleştirmekten de geri durmamışlardır. Bu tarz eleştiri ve laf söyleme çabaları genellikle şairlerin kendi şairlik yeteneklerini ve söz söylemedeki üstünlüklerini vurgulamak; genç şairler açısından bakıldığı zaman ise kendini kanıtlamak maksadını taşımaktadır. Ancak şairlerin kendi çağdaşı diğer şairlere karşı yönelttikleri eleştirileri sadece kendini ispat etme çabası olarak yorumlamak oldukça eksik bir çıkarım olacaktır. Çünkü bu tür eleştiri ve laf söylemelerin alt metninde aslında büyük bir kıskançlık ve rekabet duygusu yatmaktadır. Elbette her şair kendi şiirlerinin bilinmesini, tanınmasını ve okunmasını aynı zamanda devlet erkânından beklediği iltifatı, caizeyi ve imkânları istemektedir (Göktaş ve Gürgen, 2023: 236). Aynı şekilde her şair en başarılı bulunan, en beğenilen, en takdir gören, en çok ihsanlarda bulunulan şairin de kendisi olmasını ister. Temelde egodan kaynaklanan bu istekler de şairler arasındaki kıskançlığı körükleyen bir durum oluşturmaktadır. Divan edebiyatında kıskançlık temeline dayanan en meşhur eleştiri silsilelerinden biri de çağdaşı birçok şair tarafından eleştiri yağmuruna tutulan </w:t>
      </w:r>
      <w:proofErr w:type="spellStart"/>
      <w:r w:rsidRPr="002906A3">
        <w:t>Hayâlî</w:t>
      </w:r>
      <w:proofErr w:type="spellEnd"/>
      <w:r w:rsidRPr="002906A3">
        <w:t xml:space="preserve"> Bey örneğidir. Bu çalışmamızda da döneminde haklı, haksız birçok sebepten dolayı fazlasıyla eleştirilen bir şair olan </w:t>
      </w:r>
      <w:proofErr w:type="spellStart"/>
      <w:r w:rsidRPr="002906A3">
        <w:t>Hayâlî</w:t>
      </w:r>
      <w:proofErr w:type="spellEnd"/>
      <w:r w:rsidRPr="002906A3">
        <w:t xml:space="preserve"> Bey ve ona yönelik eleştiriler ele alınmıştır. Yine bu çalışmada </w:t>
      </w:r>
      <w:proofErr w:type="spellStart"/>
      <w:r w:rsidRPr="002906A3">
        <w:t>Hayâlî</w:t>
      </w:r>
      <w:proofErr w:type="spellEnd"/>
      <w:r w:rsidRPr="002906A3">
        <w:t xml:space="preserve"> Bey’e yöneltilen ve şairlik yeteneği, şiirlerinin çokça rağbet görmesi, çok fazla şiir yazması, fiziksel özellikleri ve karakteri, Kalenderî dervişi olması gibi konular üzerine yoğunlaşan eleştiriler, onu eleştiren şairlerin şiirleri üzerinden ayrıntılı bir şekilde incelenmiştir.</w:t>
      </w:r>
    </w:p>
    <w:p w14:paraId="314AF69E" w14:textId="77777777" w:rsidR="001E7189" w:rsidRDefault="001E7189" w:rsidP="00BA67A6">
      <w:pPr>
        <w:pStyle w:val="GvdeMetni"/>
        <w:jc w:val="both"/>
      </w:pPr>
      <w:r w:rsidRPr="002906A3">
        <w:t xml:space="preserve">Asıl adı Mehmet, lakabı Bekar </w:t>
      </w:r>
      <w:proofErr w:type="spellStart"/>
      <w:r w:rsidRPr="002906A3">
        <w:t>Memi</w:t>
      </w:r>
      <w:proofErr w:type="spellEnd"/>
      <w:r w:rsidRPr="002906A3">
        <w:t xml:space="preserve"> olan </w:t>
      </w:r>
      <w:proofErr w:type="spellStart"/>
      <w:r w:rsidRPr="002906A3">
        <w:t>Hayâlî</w:t>
      </w:r>
      <w:proofErr w:type="spellEnd"/>
      <w:r w:rsidRPr="002906A3">
        <w:t xml:space="preserve"> Bey, </w:t>
      </w:r>
      <w:proofErr w:type="spellStart"/>
      <w:r w:rsidRPr="002906A3">
        <w:t>Hayretî</w:t>
      </w:r>
      <w:proofErr w:type="spellEnd"/>
      <w:r w:rsidRPr="002906A3">
        <w:t xml:space="preserve"> ve </w:t>
      </w:r>
      <w:proofErr w:type="spellStart"/>
      <w:r w:rsidRPr="002906A3">
        <w:t>Usûlî</w:t>
      </w:r>
      <w:proofErr w:type="spellEnd"/>
      <w:r w:rsidRPr="002906A3">
        <w:t xml:space="preserve"> gibi birçok şairin yetiştiği Vardar Yenicesi olarak adlandırılan bölgede dünyaya gelmiştir. Yetişme çağında yeterli bir eğitim görmeyen şair, genç yaşlarda şiirler yazmaya başlamıştır. Kalenderî şeyhlerinden biri olan Baba Ali Mest-i </w:t>
      </w:r>
      <w:proofErr w:type="spellStart"/>
      <w:r w:rsidRPr="002906A3">
        <w:t>Acemî</w:t>
      </w:r>
      <w:proofErr w:type="spellEnd"/>
      <w:r w:rsidRPr="002906A3">
        <w:t xml:space="preserve"> ve müritlerinin Vardar </w:t>
      </w:r>
      <w:proofErr w:type="spellStart"/>
      <w:r w:rsidRPr="002906A3">
        <w:t>Yenicesi’ne</w:t>
      </w:r>
      <w:proofErr w:type="spellEnd"/>
      <w:r w:rsidRPr="002906A3">
        <w:t xml:space="preserve"> gelmesiyle beraber onların etkisinde kalan </w:t>
      </w:r>
      <w:proofErr w:type="spellStart"/>
      <w:r w:rsidRPr="002906A3">
        <w:t>Hayâlî</w:t>
      </w:r>
      <w:proofErr w:type="spellEnd"/>
      <w:r w:rsidRPr="002906A3">
        <w:t xml:space="preserve"> Bey onlara katılarak bir Kalenderî dervişi olmuştur. Şeyh ve müritleri ile birçok yere seyahat etmiş ve bu esnada birkaç kez de İstanbul’a uğramıştır. Bir </w:t>
      </w:r>
      <w:r w:rsidRPr="002906A3">
        <w:lastRenderedPageBreak/>
        <w:t xml:space="preserve">İstanbul ziyareti esnasında İstanbul kadısı onun gibi güzel bir gencin Kalenderî dervişleri ile hayatını geçirmesini hoş karşılamamış ve onu alıp Uzun Ali adlı bir şairin himayesine devretmiştir. </w:t>
      </w:r>
      <w:proofErr w:type="spellStart"/>
      <w:r w:rsidRPr="002906A3">
        <w:t>Hayâlî’nin</w:t>
      </w:r>
      <w:proofErr w:type="spellEnd"/>
      <w:r w:rsidRPr="002906A3">
        <w:t xml:space="preserve"> İstanbul’daki hayatı bu olayla birlikte başlamıştır. İstanbul’a gelişi </w:t>
      </w:r>
      <w:proofErr w:type="spellStart"/>
      <w:r w:rsidRPr="002906A3">
        <w:t>Hayâlî</w:t>
      </w:r>
      <w:proofErr w:type="spellEnd"/>
      <w:r w:rsidRPr="002906A3">
        <w:t xml:space="preserve"> Bey için dönüm noktası niteliğindedir. Burada şairliğini geliştirmeye yönelen </w:t>
      </w:r>
      <w:proofErr w:type="spellStart"/>
      <w:r w:rsidRPr="002906A3">
        <w:t>Hayâlî</w:t>
      </w:r>
      <w:proofErr w:type="spellEnd"/>
      <w:r w:rsidRPr="002906A3">
        <w:t xml:space="preserve"> Bey, adından söz ettirmeye başlamıştır. Şiirleriyle birçok kişinin dikkatini çekmiş olan şair özellikle </w:t>
      </w:r>
      <w:proofErr w:type="spellStart"/>
      <w:r w:rsidRPr="002906A3">
        <w:t>Kanûnî’ye</w:t>
      </w:r>
      <w:proofErr w:type="spellEnd"/>
      <w:r w:rsidRPr="002906A3">
        <w:t xml:space="preserve"> ve sadrazamlara sunduğu kasidelerle saray çevresinde de tanınır hale gelmiştir. Sarayın gözde şairlerinden biri haline gelen hatta bir şairin ulaşabileceği en büyük payelerden biri olan padişah nedimliği ve musahipliği makamına kadar yükselen </w:t>
      </w:r>
      <w:proofErr w:type="spellStart"/>
      <w:r w:rsidRPr="002906A3">
        <w:t>Hayâlî</w:t>
      </w:r>
      <w:proofErr w:type="spellEnd"/>
      <w:r w:rsidRPr="002906A3">
        <w:t xml:space="preserve"> Bey, “</w:t>
      </w:r>
      <w:proofErr w:type="spellStart"/>
      <w:r w:rsidRPr="002906A3">
        <w:t>sultânü’ş-şuarâ</w:t>
      </w:r>
      <w:proofErr w:type="spellEnd"/>
      <w:r w:rsidRPr="002906A3">
        <w:t xml:space="preserve">” unvanını almasının ardından başta Taşlıcalı Yahya olmak üzere çağdaşlarından olan </w:t>
      </w:r>
      <w:proofErr w:type="spellStart"/>
      <w:r w:rsidRPr="002906A3">
        <w:t>Emîrek</w:t>
      </w:r>
      <w:proofErr w:type="spellEnd"/>
      <w:r w:rsidRPr="002906A3">
        <w:t xml:space="preserve">-zâde, </w:t>
      </w:r>
      <w:proofErr w:type="spellStart"/>
      <w:r w:rsidRPr="002906A3">
        <w:t>Zâtî</w:t>
      </w:r>
      <w:proofErr w:type="spellEnd"/>
      <w:r w:rsidRPr="002906A3">
        <w:t xml:space="preserve">, </w:t>
      </w:r>
      <w:proofErr w:type="spellStart"/>
      <w:r w:rsidRPr="002906A3">
        <w:t>Lami’î</w:t>
      </w:r>
      <w:proofErr w:type="spellEnd"/>
      <w:r w:rsidRPr="002906A3">
        <w:t xml:space="preserve"> Çelebi, </w:t>
      </w:r>
      <w:proofErr w:type="spellStart"/>
      <w:r w:rsidRPr="002906A3">
        <w:t>Makâlî</w:t>
      </w:r>
      <w:proofErr w:type="spellEnd"/>
      <w:r w:rsidRPr="002906A3">
        <w:t xml:space="preserve">, </w:t>
      </w:r>
      <w:proofErr w:type="spellStart"/>
      <w:r w:rsidRPr="002906A3">
        <w:t>Gazâlî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ve </w:t>
      </w:r>
      <w:proofErr w:type="spellStart"/>
      <w:r w:rsidRPr="002906A3">
        <w:t>Yakînî</w:t>
      </w:r>
      <w:proofErr w:type="spellEnd"/>
      <w:r w:rsidRPr="002906A3">
        <w:t xml:space="preserve"> gibi şairler tarafından eleştirilmeye başlanmıştır. İskender Çelebi ve İbrahim Paşa gibi iki büyük </w:t>
      </w:r>
      <w:proofErr w:type="spellStart"/>
      <w:r w:rsidRPr="002906A3">
        <w:t>hâmisinin</w:t>
      </w:r>
      <w:proofErr w:type="spellEnd"/>
      <w:r w:rsidRPr="002906A3">
        <w:t xml:space="preserve"> katlinin ardından </w:t>
      </w:r>
      <w:proofErr w:type="spellStart"/>
      <w:r w:rsidRPr="002906A3">
        <w:t>Hayâlî</w:t>
      </w:r>
      <w:proofErr w:type="spellEnd"/>
      <w:r w:rsidRPr="002906A3">
        <w:t xml:space="preserve"> Bey’in yaşamında bir karmaşa hali hâkim olmuştur. Devrin yeni sadrazamı Rüstem Paşa şaire, şiirlere ve edebiyata önem vermemekle birlikte </w:t>
      </w:r>
      <w:proofErr w:type="spellStart"/>
      <w:r w:rsidRPr="002906A3">
        <w:t>Hayâlî</w:t>
      </w:r>
      <w:proofErr w:type="spellEnd"/>
      <w:r w:rsidRPr="002906A3">
        <w:t xml:space="preserve"> Bey’i kıskanan ve sıklıkla eleştiren Taşlıcalı Yahyâ’yı ön planda tutmuş ve bütün bunların üzerine </w:t>
      </w:r>
      <w:proofErr w:type="spellStart"/>
      <w:r w:rsidRPr="002906A3">
        <w:t>Hayâlî</w:t>
      </w:r>
      <w:proofErr w:type="spellEnd"/>
      <w:r w:rsidRPr="002906A3">
        <w:t xml:space="preserve"> Bey İstanbul’dan uzaklaşmak zorunda kalmıştır. </w:t>
      </w:r>
      <w:proofErr w:type="spellStart"/>
      <w:r w:rsidRPr="002906A3">
        <w:t>Hayâlî</w:t>
      </w:r>
      <w:proofErr w:type="spellEnd"/>
      <w:r w:rsidRPr="002906A3">
        <w:t xml:space="preserve"> Bey’in yaşamının son yılları ile ilgili kaynaklarda yeterli bilgi bulunmamaktadır. Tezkirelerde yer alan bilgilere göre şair Edirne’de vefat etmiştir. Yaşamının son yıllarında sıkıntılar çektiği iddia edilse bile şairin, vefatının ardından hatırı sayılır bir miras bıraktığı ifade edilmiştir (Güzel &amp; Solmaz, 2023; Karagözlü, 2014; Kurnaz, 1998; Kurnaz, 2012).</w:t>
      </w:r>
    </w:p>
    <w:p w14:paraId="7B71CC68" w14:textId="77777777" w:rsidR="00BA67A6" w:rsidRPr="002906A3" w:rsidRDefault="00BA67A6" w:rsidP="00BA67A6">
      <w:pPr>
        <w:pStyle w:val="GvdeMetni"/>
        <w:jc w:val="both"/>
      </w:pPr>
    </w:p>
    <w:p w14:paraId="002C480E" w14:textId="57BBA8D7" w:rsidR="00B74176" w:rsidRPr="00BA67A6" w:rsidRDefault="001E7189" w:rsidP="00BA67A6">
      <w:pPr>
        <w:pStyle w:val="GvdeMetni"/>
        <w:rPr>
          <w:b/>
          <w:bCs/>
        </w:rPr>
      </w:pPr>
      <w:r w:rsidRPr="002906A3">
        <w:rPr>
          <w:b/>
          <w:bCs/>
        </w:rPr>
        <w:t>Kalenderî Dervişi Olmasına Yönelik Eleştiriler</w:t>
      </w:r>
    </w:p>
    <w:p w14:paraId="75015351" w14:textId="77777777" w:rsidR="001E7189" w:rsidRDefault="001E7189" w:rsidP="00BA67A6">
      <w:pPr>
        <w:pStyle w:val="GvdeMetni"/>
        <w:jc w:val="both"/>
      </w:pPr>
      <w:proofErr w:type="spellStart"/>
      <w:r w:rsidRPr="002906A3">
        <w:t>Hayâlî</w:t>
      </w:r>
      <w:proofErr w:type="spellEnd"/>
      <w:r w:rsidRPr="002906A3">
        <w:t xml:space="preserve"> Bey’in başta Taşlıcalı Yahya olmak üzere </w:t>
      </w:r>
      <w:proofErr w:type="spellStart"/>
      <w:r w:rsidRPr="002906A3">
        <w:t>Emîrek</w:t>
      </w:r>
      <w:proofErr w:type="spellEnd"/>
      <w:r w:rsidRPr="002906A3">
        <w:t xml:space="preserve">-zâde, </w:t>
      </w:r>
      <w:proofErr w:type="spellStart"/>
      <w:r w:rsidRPr="002906A3">
        <w:t>Zâtî</w:t>
      </w:r>
      <w:proofErr w:type="spellEnd"/>
      <w:r w:rsidRPr="002906A3">
        <w:t xml:space="preserve">, </w:t>
      </w:r>
      <w:proofErr w:type="spellStart"/>
      <w:r w:rsidRPr="002906A3">
        <w:t>Lami’î</w:t>
      </w:r>
      <w:proofErr w:type="spellEnd"/>
      <w:r w:rsidRPr="002906A3">
        <w:t xml:space="preserve"> Çelebi, </w:t>
      </w:r>
      <w:proofErr w:type="spellStart"/>
      <w:r w:rsidRPr="002906A3">
        <w:t>Makâlî</w:t>
      </w:r>
      <w:proofErr w:type="spellEnd"/>
      <w:r w:rsidRPr="002906A3">
        <w:t xml:space="preserve">, </w:t>
      </w:r>
      <w:proofErr w:type="spellStart"/>
      <w:r w:rsidRPr="002906A3">
        <w:t>Gazâlî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ve </w:t>
      </w:r>
      <w:proofErr w:type="spellStart"/>
      <w:r w:rsidRPr="002906A3">
        <w:t>Yakînî</w:t>
      </w:r>
      <w:proofErr w:type="spellEnd"/>
      <w:r w:rsidRPr="002906A3">
        <w:t xml:space="preserve"> gibi şairler tarafından eleştirildiğinden ve bu eleştirilerin de </w:t>
      </w:r>
      <w:proofErr w:type="spellStart"/>
      <w:r w:rsidRPr="002906A3">
        <w:t>Hayâlî</w:t>
      </w:r>
      <w:proofErr w:type="spellEnd"/>
      <w:r w:rsidRPr="002906A3">
        <w:t xml:space="preserve"> Bey’in şairlik yeteneği, şiirlerinin çokça rağbet görmesi, çok fazla şiir yazması, fiziksel özellikleri ve karakteri, Kalenderî dervişi olması gibi konular üzerine yoğunlaştığından bahsetmiştik. Bu eleştirilerin arasında en büyük paya sahip olan konu </w:t>
      </w:r>
      <w:proofErr w:type="spellStart"/>
      <w:r w:rsidRPr="002906A3">
        <w:t>Hayâlî</w:t>
      </w:r>
      <w:proofErr w:type="spellEnd"/>
      <w:r w:rsidRPr="002906A3">
        <w:t xml:space="preserve"> Bey’in bir Kalenderî dervişi olması konusudur. </w:t>
      </w:r>
      <w:proofErr w:type="spellStart"/>
      <w:r w:rsidRPr="002906A3">
        <w:t>Hayâlî</w:t>
      </w:r>
      <w:proofErr w:type="spellEnd"/>
      <w:r w:rsidRPr="002906A3">
        <w:t xml:space="preserve"> Bey’in Kalenderî dervişi olmasına yönelik eleştiriler en fazla Taşlıcalı Yahyâ tarafından yapılmıştır.</w:t>
      </w:r>
      <w:r w:rsidRPr="002906A3">
        <w:rPr>
          <w:b/>
          <w:bCs/>
        </w:rPr>
        <w:t xml:space="preserve"> </w:t>
      </w:r>
      <w:r w:rsidRPr="002906A3">
        <w:t xml:space="preserve">Taşlıcalı Yahyâ ile </w:t>
      </w:r>
      <w:proofErr w:type="spellStart"/>
      <w:r w:rsidRPr="002906A3">
        <w:t>Hayâlî</w:t>
      </w:r>
      <w:proofErr w:type="spellEnd"/>
      <w:r w:rsidRPr="002906A3">
        <w:t xml:space="preserve"> Bey arasındaki çatışmaların </w:t>
      </w:r>
      <w:proofErr w:type="spellStart"/>
      <w:r w:rsidRPr="002906A3">
        <w:t>Hayâlî</w:t>
      </w:r>
      <w:proofErr w:type="spellEnd"/>
      <w:r w:rsidRPr="002906A3">
        <w:t xml:space="preserve"> Bey vesilesiyle başladığı düşünülmektedir. Âşık Çelebi’nin tezkiresinde bahsettiğine göre, devrin şeyhülislamı olan </w:t>
      </w:r>
      <w:proofErr w:type="spellStart"/>
      <w:r w:rsidRPr="002906A3">
        <w:t>Kemalpaşazâde’nin</w:t>
      </w:r>
      <w:proofErr w:type="spellEnd"/>
      <w:r w:rsidRPr="002906A3">
        <w:t xml:space="preserve"> düzenlediği bir mecliste Taşlıcalı başında börkü ve </w:t>
      </w:r>
      <w:proofErr w:type="spellStart"/>
      <w:r w:rsidRPr="002906A3">
        <w:t>yayabaşı</w:t>
      </w:r>
      <w:proofErr w:type="spellEnd"/>
      <w:r w:rsidRPr="002906A3">
        <w:t xml:space="preserve"> otağıyla meclise girerek, şeyhülislam için kaleme aldığı </w:t>
      </w:r>
      <w:proofErr w:type="spellStart"/>
      <w:r w:rsidRPr="002906A3">
        <w:rPr>
          <w:i/>
          <w:iCs/>
        </w:rPr>
        <w:t>Fazl</w:t>
      </w:r>
      <w:proofErr w:type="spellEnd"/>
      <w:r w:rsidRPr="002906A3">
        <w:rPr>
          <w:i/>
          <w:iCs/>
        </w:rPr>
        <w:t xml:space="preserve">-ı </w:t>
      </w:r>
      <w:proofErr w:type="spellStart"/>
      <w:r w:rsidRPr="002906A3">
        <w:rPr>
          <w:i/>
          <w:iCs/>
        </w:rPr>
        <w:t>Rûm’da</w:t>
      </w:r>
      <w:proofErr w:type="spellEnd"/>
      <w:r w:rsidRPr="002906A3">
        <w:rPr>
          <w:i/>
          <w:iCs/>
        </w:rPr>
        <w:t xml:space="preserve"> bir dânedir ol mihr-i kemâl / </w:t>
      </w:r>
      <w:proofErr w:type="spellStart"/>
      <w:r w:rsidRPr="002906A3">
        <w:rPr>
          <w:i/>
          <w:iCs/>
        </w:rPr>
        <w:t>Mâh-rûlar</w:t>
      </w:r>
      <w:proofErr w:type="spellEnd"/>
      <w:r w:rsidRPr="002906A3">
        <w:rPr>
          <w:i/>
          <w:iCs/>
        </w:rPr>
        <w:t xml:space="preserve"> </w:t>
      </w:r>
      <w:proofErr w:type="spellStart"/>
      <w:r w:rsidRPr="002906A3">
        <w:rPr>
          <w:i/>
          <w:iCs/>
        </w:rPr>
        <w:t>yanagında</w:t>
      </w:r>
      <w:proofErr w:type="spellEnd"/>
      <w:r w:rsidRPr="002906A3">
        <w:rPr>
          <w:i/>
          <w:iCs/>
        </w:rPr>
        <w:t xml:space="preserve"> nitekim dâne-i hâl</w:t>
      </w:r>
      <w:r w:rsidRPr="002906A3">
        <w:t xml:space="preserve"> </w:t>
      </w:r>
      <w:proofErr w:type="spellStart"/>
      <w:r w:rsidRPr="002906A3">
        <w:t>matlalı</w:t>
      </w:r>
      <w:proofErr w:type="spellEnd"/>
      <w:r w:rsidRPr="002906A3">
        <w:t xml:space="preserve"> şiiri okur (Kılıç vd., 2018: 287). Mecliste Kazasker Kadri Efendi, Kazasker </w:t>
      </w:r>
      <w:proofErr w:type="spellStart"/>
      <w:r w:rsidRPr="002906A3">
        <w:t>Fenârizâde</w:t>
      </w:r>
      <w:proofErr w:type="spellEnd"/>
      <w:r w:rsidRPr="002906A3">
        <w:t xml:space="preserve"> Muhyiddin Çelebi ve İskender Çelebi gibi dönemin önde gelen isimleri de bulunmaktadır. Ayrıca devrin önemli şairlerinden olan İshak Çelebi, </w:t>
      </w:r>
      <w:proofErr w:type="spellStart"/>
      <w:r w:rsidRPr="002906A3">
        <w:t>Nihâlî</w:t>
      </w:r>
      <w:proofErr w:type="spellEnd"/>
      <w:r w:rsidRPr="002906A3">
        <w:t xml:space="preserve"> Cafer Çelebi, Hâfız-ı Acem ve </w:t>
      </w:r>
      <w:proofErr w:type="spellStart"/>
      <w:r w:rsidRPr="002906A3">
        <w:t>Hayâlî</w:t>
      </w:r>
      <w:proofErr w:type="spellEnd"/>
      <w:r w:rsidRPr="002906A3">
        <w:t xml:space="preserve"> Bey de mecliste bulunanlar arasındadır. Şeyhülislam, Taşlıcalı tarafından kendisine sunulan şiiri beğenir ve tekrar okutur. Tekrar okumasının üzerine İshak Çelebi ve İskender Çelebi şiirle ilgili görüşlerini belirterek şiiri çok beğendiklerini ifade eder. Fakat durum odur ki </w:t>
      </w:r>
      <w:proofErr w:type="spellStart"/>
      <w:r w:rsidRPr="002906A3">
        <w:t>Hayâlî</w:t>
      </w:r>
      <w:proofErr w:type="spellEnd"/>
      <w:r w:rsidRPr="002906A3">
        <w:t xml:space="preserve"> Bey yapılan bu yorumlara katılmaz ve henüz edebiyat çevresinde tanınmayan birinin böyle takdir edilmesinden rahatsız olur ve beyti eleştirmeye kalkar. Böylece iki şair arasındaki rekabet su yüzüne çıkmış olur (Kaya, 2006: 71).</w:t>
      </w:r>
    </w:p>
    <w:p w14:paraId="7412C0F1" w14:textId="77777777" w:rsidR="00BA67A6" w:rsidRPr="002906A3" w:rsidRDefault="00BA67A6" w:rsidP="00BA67A6">
      <w:pPr>
        <w:pStyle w:val="GvdeMetni"/>
        <w:jc w:val="both"/>
      </w:pPr>
    </w:p>
    <w:p w14:paraId="4EE64861" w14:textId="77777777" w:rsidR="001E7189" w:rsidRDefault="001E7189" w:rsidP="00BA67A6">
      <w:pPr>
        <w:pStyle w:val="GvdeMetni"/>
        <w:jc w:val="both"/>
      </w:pPr>
      <w:r w:rsidRPr="002906A3">
        <w:t xml:space="preserve">Yaşamı boyunca birçok savaşa katılan ve yeteneklerini sadece savaşta değil şiirde de gösteren Taşlıcalı, </w:t>
      </w:r>
      <w:proofErr w:type="spellStart"/>
      <w:r w:rsidRPr="002906A3">
        <w:t>Kanûnî</w:t>
      </w:r>
      <w:proofErr w:type="spellEnd"/>
      <w:r w:rsidRPr="002906A3">
        <w:t xml:space="preserve"> Sultan </w:t>
      </w:r>
      <w:proofErr w:type="spellStart"/>
      <w:r w:rsidRPr="002906A3">
        <w:t>Süleymân’a</w:t>
      </w:r>
      <w:proofErr w:type="spellEnd"/>
      <w:r w:rsidRPr="002906A3">
        <w:t xml:space="preserve"> Tebriz Seferi ya da diğer bir ismiyle II. Irak Seferi sebebiyle bir kaside sunmuştur. Kasidenin bazı beyitlerinde de kendisi ile </w:t>
      </w:r>
      <w:proofErr w:type="spellStart"/>
      <w:r w:rsidRPr="002906A3">
        <w:t>Hayâlî</w:t>
      </w:r>
      <w:proofErr w:type="spellEnd"/>
      <w:r w:rsidRPr="002906A3">
        <w:t xml:space="preserve"> Bey’i kıyaslamıştır. Daha sonra kaleme aldığı ve </w:t>
      </w:r>
      <w:r w:rsidRPr="002906A3">
        <w:rPr>
          <w:i/>
          <w:iCs/>
        </w:rPr>
        <w:t>Divan</w:t>
      </w:r>
      <w:r w:rsidRPr="002906A3">
        <w:t xml:space="preserve">’ında geçen şiirlerinde de kimi zaman hakaret seviyesine varan ifadelerle </w:t>
      </w:r>
      <w:proofErr w:type="spellStart"/>
      <w:r w:rsidRPr="002906A3">
        <w:t>Hayâlî</w:t>
      </w:r>
      <w:proofErr w:type="spellEnd"/>
      <w:r w:rsidRPr="002906A3">
        <w:t xml:space="preserve"> Bey’i eleştirmeyi sürdürmüştür. </w:t>
      </w:r>
      <w:proofErr w:type="spellStart"/>
      <w:r w:rsidRPr="002906A3">
        <w:t>Hayâlî</w:t>
      </w:r>
      <w:proofErr w:type="spellEnd"/>
      <w:r w:rsidRPr="002906A3">
        <w:t xml:space="preserve"> Bey, kalenderi </w:t>
      </w:r>
      <w:r w:rsidRPr="002906A3">
        <w:lastRenderedPageBreak/>
        <w:t xml:space="preserve">olması, şiirlerinin devlet erkânı ve halk tarafından oldukça rağbet görmesi fakat şairliğinin yetersiz olması, fiziksel özellikleri yönüyle </w:t>
      </w:r>
      <w:proofErr w:type="spellStart"/>
      <w:r w:rsidRPr="002906A3">
        <w:t>Taşlıcalı’nın</w:t>
      </w:r>
      <w:proofErr w:type="spellEnd"/>
      <w:r w:rsidRPr="002906A3">
        <w:t xml:space="preserve"> eleştirilerine maruz kalmıştır. </w:t>
      </w:r>
      <w:proofErr w:type="spellStart"/>
      <w:r w:rsidRPr="002906A3">
        <w:t>Hayâlî</w:t>
      </w:r>
      <w:proofErr w:type="spellEnd"/>
      <w:r w:rsidRPr="002906A3">
        <w:t xml:space="preserve"> Bey’i eleştirirken kendisini övmekten geri kalmayan Yahyâ, şiir yazma becerisi yönünden </w:t>
      </w:r>
      <w:proofErr w:type="spellStart"/>
      <w:r w:rsidRPr="002906A3">
        <w:t>Hayâlî</w:t>
      </w:r>
      <w:proofErr w:type="spellEnd"/>
      <w:r w:rsidRPr="002906A3">
        <w:t xml:space="preserve"> Bey’den daha maharetli bir şair olduğunu şiirlerinde sıklıkla dile getirmiştir.</w:t>
      </w:r>
    </w:p>
    <w:p w14:paraId="7D52AEB0" w14:textId="77777777" w:rsidR="00BA67A6" w:rsidRPr="002906A3" w:rsidRDefault="00BA67A6" w:rsidP="00BA67A6">
      <w:pPr>
        <w:pStyle w:val="GvdeMetni"/>
        <w:jc w:val="both"/>
      </w:pPr>
    </w:p>
    <w:p w14:paraId="7373981D" w14:textId="77777777" w:rsidR="001E7189" w:rsidRDefault="001E7189" w:rsidP="00BA67A6">
      <w:pPr>
        <w:jc w:val="both"/>
      </w:pPr>
      <w:r w:rsidRPr="002906A3">
        <w:rPr>
          <w:i/>
          <w:iCs/>
        </w:rPr>
        <w:t>Taşlıcalı Yahyâ Divanı</w:t>
      </w:r>
      <w:r w:rsidRPr="002906A3">
        <w:t xml:space="preserve">’nda yer alan aşağıdaki gazel baştan sona </w:t>
      </w:r>
      <w:proofErr w:type="spellStart"/>
      <w:r w:rsidRPr="002906A3">
        <w:t>Hayâlî</w:t>
      </w:r>
      <w:proofErr w:type="spellEnd"/>
      <w:r w:rsidRPr="002906A3">
        <w:t xml:space="preserve"> Bey’e eleştiridir. </w:t>
      </w:r>
      <w:proofErr w:type="spellStart"/>
      <w:r w:rsidRPr="002906A3">
        <w:t>Hayâlî</w:t>
      </w:r>
      <w:proofErr w:type="spellEnd"/>
      <w:r w:rsidRPr="002906A3">
        <w:t xml:space="preserve"> Bey’e yönelik yapılan bu eleştirilerde hem şairin fiziksel özelliklerinden kaynaklanan durumlara hem Kalenderî dervişi olmasına hem de şairlik yönüne değinilmektedir. Gazelin birinci beytine bakıldığında </w:t>
      </w:r>
      <w:proofErr w:type="spellStart"/>
      <w:r w:rsidRPr="002906A3">
        <w:t>Hayâlî</w:t>
      </w:r>
      <w:proofErr w:type="spellEnd"/>
      <w:r w:rsidRPr="002906A3">
        <w:t xml:space="preserve"> Bey’in ciddiye alınmaması gereken, dünyaya sadece insanları eğlendirmek için gelen bir kimse olduğunun vurgulandığı görülmektedir. Gazelin diğer beyitlerinde karşımıza çıkan “ışık” ve “ışıklar” tabirleri, şairin </w:t>
      </w:r>
      <w:proofErr w:type="spellStart"/>
      <w:r w:rsidRPr="002906A3">
        <w:t>Kalenderîlik</w:t>
      </w:r>
      <w:proofErr w:type="spellEnd"/>
      <w:r w:rsidRPr="002906A3">
        <w:t xml:space="preserve"> yönüne bir göndermedir. Bilindiği üzere Kalenderîler, toplumsal yapıya fazla uyum sağlamayan, toplumun düzenine karşı gelen kişilerdir. Bu özellikleri dolayısıyla da toplum tarafından dışlanan Kalenderîler, </w:t>
      </w:r>
      <w:proofErr w:type="spellStart"/>
      <w:r w:rsidRPr="002906A3">
        <w:t>Taşlıcalı’nın</w:t>
      </w:r>
      <w:proofErr w:type="spellEnd"/>
      <w:r w:rsidRPr="002906A3">
        <w:t xml:space="preserve"> beyitlerinde şeriata uymayan, ağzı bozuk kişiler olarak anılmaktadır. Bu davranışları sebebiyle topluma bir faydaları olmadığı düşünülen bu kişiler, işe yaramaz müsvedde olarak değerlendirilmektedir. </w:t>
      </w:r>
      <w:proofErr w:type="spellStart"/>
      <w:r w:rsidRPr="002906A3">
        <w:t>Hayâlî</w:t>
      </w:r>
      <w:proofErr w:type="spellEnd"/>
      <w:r w:rsidRPr="002906A3">
        <w:t xml:space="preserve"> Bey’e </w:t>
      </w:r>
      <w:proofErr w:type="spellStart"/>
      <w:r w:rsidRPr="002906A3">
        <w:t>Kalenderîlik</w:t>
      </w:r>
      <w:proofErr w:type="spellEnd"/>
      <w:r w:rsidRPr="002906A3">
        <w:t xml:space="preserve"> üzerinden yapılan eleştiri diğer beyitlerde de devam etmektedir. Kalenderî ve </w:t>
      </w:r>
      <w:proofErr w:type="spellStart"/>
      <w:r w:rsidRPr="002906A3">
        <w:t>Hayderî</w:t>
      </w:r>
      <w:proofErr w:type="spellEnd"/>
      <w:r w:rsidRPr="002906A3">
        <w:t xml:space="preserve"> dervişlerinin en belirgin özelliklerinden biri de boyunlarına ve ayaklarına “</w:t>
      </w:r>
      <w:proofErr w:type="spellStart"/>
      <w:r w:rsidRPr="002906A3">
        <w:t>tavk</w:t>
      </w:r>
      <w:proofErr w:type="spellEnd"/>
      <w:r w:rsidRPr="002906A3">
        <w:t>”, “</w:t>
      </w:r>
      <w:proofErr w:type="spellStart"/>
      <w:r w:rsidRPr="002906A3">
        <w:t>kullâb</w:t>
      </w:r>
      <w:proofErr w:type="spellEnd"/>
      <w:r w:rsidRPr="002906A3">
        <w:t xml:space="preserve">” veya “halhal” denen demir halkalar takınmalarıdır. Eskiden köle ve esirlerin kaçmaları halinde kolayca tanınmaları amacıyla boyunlarına demir halka takılması yaygın bir uygulama iken dervişlerin böyle bir tercihte bulunmaları, kendilerini Allah’ın kölesi olmaya adamaları ile ilgili sembolik bir ifade (Şentürk, 2015: 178) olarak kabul edilmektedir. Bu bağlamda Kalenderî dervişlerinin, dolayısıyla </w:t>
      </w:r>
      <w:proofErr w:type="spellStart"/>
      <w:r w:rsidRPr="002906A3">
        <w:t>Hayâlî</w:t>
      </w:r>
      <w:proofErr w:type="spellEnd"/>
      <w:r w:rsidRPr="002906A3">
        <w:t xml:space="preserve"> Bey’in de boyunlarına taktıkları “</w:t>
      </w:r>
      <w:proofErr w:type="spellStart"/>
      <w:r w:rsidRPr="002906A3">
        <w:t>tavk</w:t>
      </w:r>
      <w:proofErr w:type="spellEnd"/>
      <w:r w:rsidRPr="002906A3">
        <w:t>”, Taşlıcalı Yahyâ tarafından lanetli bir nesne olarak görülmüştür. Ayrıca Yahyâ, Kalenderî dervişlerinin Allah yolunda her şeyden vazgeçtiklerinin ve dünyevi olan her şeyi terk ettiklerinin nişanesi olarak yaptıkları “çar-</w:t>
      </w:r>
      <w:proofErr w:type="spellStart"/>
      <w:r w:rsidRPr="002906A3">
        <w:t>darb</w:t>
      </w:r>
      <w:proofErr w:type="spellEnd"/>
      <w:r w:rsidRPr="002906A3">
        <w:t>” uygulamasını, yani saç, sakal, kaş ve bıyıklarının tamamen usturaya verilmesini beyitlerinde sıklıkla eleştirmiştir.</w:t>
      </w:r>
    </w:p>
    <w:p w14:paraId="780B8694" w14:textId="77777777" w:rsidR="00BA67A6" w:rsidRPr="002906A3" w:rsidRDefault="00BA67A6" w:rsidP="00BA67A6">
      <w:pPr>
        <w:jc w:val="both"/>
      </w:pPr>
    </w:p>
    <w:p w14:paraId="349F7970" w14:textId="77777777" w:rsidR="001E7189" w:rsidRPr="002906A3" w:rsidRDefault="001E7189" w:rsidP="00BA67A6">
      <w:pPr>
        <w:ind w:firstLine="720"/>
        <w:jc w:val="both"/>
        <w:rPr>
          <w:i/>
          <w:iCs/>
        </w:rPr>
      </w:pPr>
      <w:proofErr w:type="spellStart"/>
      <w:r w:rsidRPr="002906A3">
        <w:rPr>
          <w:i/>
          <w:iCs/>
        </w:rPr>
        <w:t>Dünyâya</w:t>
      </w:r>
      <w:proofErr w:type="spellEnd"/>
      <w:r w:rsidRPr="002906A3">
        <w:rPr>
          <w:i/>
          <w:iCs/>
        </w:rPr>
        <w:t xml:space="preserve"> bu </w:t>
      </w:r>
      <w:proofErr w:type="spellStart"/>
      <w:r w:rsidRPr="002906A3">
        <w:rPr>
          <w:i/>
          <w:iCs/>
        </w:rPr>
        <w:t>Hayâlî</w:t>
      </w:r>
      <w:proofErr w:type="spellEnd"/>
      <w:r w:rsidRPr="002906A3">
        <w:rPr>
          <w:i/>
          <w:iCs/>
        </w:rPr>
        <w:t xml:space="preserve"> gibi </w:t>
      </w:r>
      <w:proofErr w:type="spellStart"/>
      <w:r w:rsidRPr="002906A3">
        <w:rPr>
          <w:i/>
          <w:iCs/>
        </w:rPr>
        <w:t>lâga</w:t>
      </w:r>
      <w:proofErr w:type="spellEnd"/>
      <w:r w:rsidRPr="002906A3">
        <w:rPr>
          <w:i/>
          <w:iCs/>
        </w:rPr>
        <w:t xml:space="preserve"> saldılar</w:t>
      </w:r>
    </w:p>
    <w:p w14:paraId="65027C8D" w14:textId="270996AE" w:rsidR="001E7189" w:rsidRPr="002906A3" w:rsidRDefault="001E7189" w:rsidP="00BA67A6">
      <w:pPr>
        <w:ind w:firstLine="720"/>
        <w:jc w:val="both"/>
        <w:rPr>
          <w:i/>
          <w:iCs/>
        </w:rPr>
      </w:pPr>
      <w:proofErr w:type="spellStart"/>
      <w:r w:rsidRPr="002906A3">
        <w:rPr>
          <w:i/>
          <w:iCs/>
        </w:rPr>
        <w:t>Ya’nî</w:t>
      </w:r>
      <w:proofErr w:type="spellEnd"/>
      <w:r w:rsidRPr="002906A3">
        <w:rPr>
          <w:i/>
          <w:iCs/>
        </w:rPr>
        <w:t xml:space="preserve"> ki halka </w:t>
      </w:r>
      <w:proofErr w:type="spellStart"/>
      <w:r w:rsidRPr="002906A3">
        <w:rPr>
          <w:i/>
          <w:iCs/>
        </w:rPr>
        <w:t>mashara</w:t>
      </w:r>
      <w:proofErr w:type="spellEnd"/>
      <w:r w:rsidRPr="002906A3">
        <w:rPr>
          <w:i/>
          <w:iCs/>
        </w:rPr>
        <w:t xml:space="preserve"> </w:t>
      </w:r>
      <w:proofErr w:type="spellStart"/>
      <w:r w:rsidRPr="002906A3">
        <w:rPr>
          <w:i/>
          <w:iCs/>
        </w:rPr>
        <w:t>olmaga</w:t>
      </w:r>
      <w:proofErr w:type="spellEnd"/>
      <w:r w:rsidRPr="002906A3">
        <w:rPr>
          <w:i/>
          <w:iCs/>
        </w:rPr>
        <w:t xml:space="preserve"> saldılar</w:t>
      </w:r>
    </w:p>
    <w:p w14:paraId="2B711646" w14:textId="77777777" w:rsidR="001E7189" w:rsidRPr="002906A3" w:rsidRDefault="001E7189" w:rsidP="00BA67A6">
      <w:pPr>
        <w:ind w:firstLine="720"/>
        <w:jc w:val="both"/>
        <w:rPr>
          <w:i/>
          <w:iCs/>
        </w:rPr>
      </w:pPr>
      <w:proofErr w:type="spellStart"/>
      <w:r w:rsidRPr="002906A3">
        <w:rPr>
          <w:i/>
          <w:iCs/>
        </w:rPr>
        <w:t>Şer’ile</w:t>
      </w:r>
      <w:proofErr w:type="spellEnd"/>
      <w:r w:rsidRPr="002906A3">
        <w:rPr>
          <w:i/>
          <w:iCs/>
        </w:rPr>
        <w:t xml:space="preserve"> </w:t>
      </w:r>
      <w:proofErr w:type="spellStart"/>
      <w:r w:rsidRPr="002906A3">
        <w:rPr>
          <w:i/>
          <w:iCs/>
        </w:rPr>
        <w:t>yüzi</w:t>
      </w:r>
      <w:proofErr w:type="spellEnd"/>
      <w:r w:rsidRPr="002906A3">
        <w:rPr>
          <w:i/>
          <w:iCs/>
        </w:rPr>
        <w:t xml:space="preserve"> kara küfür-</w:t>
      </w:r>
      <w:proofErr w:type="spellStart"/>
      <w:r w:rsidRPr="002906A3">
        <w:rPr>
          <w:i/>
          <w:iCs/>
        </w:rPr>
        <w:t>gûy</w:t>
      </w:r>
      <w:proofErr w:type="spellEnd"/>
      <w:r w:rsidRPr="002906A3">
        <w:rPr>
          <w:i/>
          <w:iCs/>
        </w:rPr>
        <w:t xml:space="preserve"> ışıkları</w:t>
      </w:r>
    </w:p>
    <w:p w14:paraId="2C70483C" w14:textId="35E65E9D" w:rsidR="001E7189" w:rsidRPr="002906A3" w:rsidRDefault="001E7189" w:rsidP="00BA67A6">
      <w:pPr>
        <w:ind w:firstLine="720"/>
        <w:jc w:val="both"/>
        <w:rPr>
          <w:i/>
          <w:iCs/>
        </w:rPr>
      </w:pPr>
      <w:r w:rsidRPr="002906A3">
        <w:rPr>
          <w:i/>
          <w:iCs/>
        </w:rPr>
        <w:t xml:space="preserve">Yanlış </w:t>
      </w:r>
      <w:proofErr w:type="spellStart"/>
      <w:r w:rsidRPr="002906A3">
        <w:rPr>
          <w:i/>
          <w:iCs/>
        </w:rPr>
        <w:t>müsevvede</w:t>
      </w:r>
      <w:proofErr w:type="spellEnd"/>
      <w:r w:rsidRPr="002906A3">
        <w:rPr>
          <w:i/>
          <w:iCs/>
        </w:rPr>
        <w:t xml:space="preserve"> deyi </w:t>
      </w:r>
      <w:proofErr w:type="spellStart"/>
      <w:r w:rsidRPr="002906A3">
        <w:rPr>
          <w:i/>
          <w:iCs/>
        </w:rPr>
        <w:t>ocaga</w:t>
      </w:r>
      <w:proofErr w:type="spellEnd"/>
      <w:r w:rsidRPr="002906A3">
        <w:rPr>
          <w:i/>
          <w:iCs/>
        </w:rPr>
        <w:t xml:space="preserve"> saldılar</w:t>
      </w:r>
    </w:p>
    <w:p w14:paraId="6A8FE03D" w14:textId="77777777" w:rsidR="001E7189" w:rsidRPr="002906A3" w:rsidRDefault="001E7189" w:rsidP="00BA67A6">
      <w:pPr>
        <w:ind w:firstLine="720"/>
        <w:jc w:val="both"/>
        <w:rPr>
          <w:i/>
          <w:iCs/>
        </w:rPr>
      </w:pPr>
      <w:proofErr w:type="spellStart"/>
      <w:proofErr w:type="gramStart"/>
      <w:r w:rsidRPr="002906A3">
        <w:rPr>
          <w:i/>
          <w:iCs/>
        </w:rPr>
        <w:t>Kayd</w:t>
      </w:r>
      <w:proofErr w:type="spellEnd"/>
      <w:r w:rsidRPr="002906A3">
        <w:rPr>
          <w:i/>
          <w:iCs/>
        </w:rPr>
        <w:t xml:space="preserve"> </w:t>
      </w:r>
      <w:proofErr w:type="spellStart"/>
      <w:r w:rsidRPr="002906A3">
        <w:rPr>
          <w:i/>
          <w:iCs/>
        </w:rPr>
        <w:t>edinür</w:t>
      </w:r>
      <w:proofErr w:type="spellEnd"/>
      <w:proofErr w:type="gramEnd"/>
      <w:r w:rsidRPr="002906A3">
        <w:rPr>
          <w:i/>
          <w:iCs/>
        </w:rPr>
        <w:t xml:space="preserve"> Kalender olan </w:t>
      </w:r>
      <w:proofErr w:type="spellStart"/>
      <w:r w:rsidRPr="002906A3">
        <w:rPr>
          <w:i/>
          <w:iCs/>
        </w:rPr>
        <w:t>tavk</w:t>
      </w:r>
      <w:proofErr w:type="spellEnd"/>
      <w:r w:rsidRPr="002906A3">
        <w:rPr>
          <w:i/>
          <w:iCs/>
        </w:rPr>
        <w:t xml:space="preserve">-ı </w:t>
      </w:r>
      <w:proofErr w:type="spellStart"/>
      <w:r w:rsidRPr="002906A3">
        <w:rPr>
          <w:i/>
          <w:iCs/>
        </w:rPr>
        <w:t>la’neti</w:t>
      </w:r>
      <w:proofErr w:type="spellEnd"/>
    </w:p>
    <w:p w14:paraId="2C9A7813" w14:textId="61C8845D" w:rsidR="001E7189" w:rsidRPr="002906A3" w:rsidRDefault="001E7189" w:rsidP="00BA67A6">
      <w:pPr>
        <w:pStyle w:val="Balk2"/>
        <w:spacing w:before="0" w:after="0"/>
        <w:rPr>
          <w:rFonts w:ascii="Times New Roman" w:hAnsi="Times New Roman" w:cs="Times New Roman"/>
          <w:sz w:val="24"/>
          <w:szCs w:val="24"/>
        </w:rPr>
      </w:pPr>
      <w:proofErr w:type="spellStart"/>
      <w:r w:rsidRPr="002906A3">
        <w:rPr>
          <w:rFonts w:ascii="Times New Roman" w:hAnsi="Times New Roman" w:cs="Times New Roman"/>
          <w:sz w:val="24"/>
          <w:szCs w:val="24"/>
        </w:rPr>
        <w:t>Bâg</w:t>
      </w:r>
      <w:proofErr w:type="spellEnd"/>
      <w:r w:rsidRPr="002906A3">
        <w:rPr>
          <w:rFonts w:ascii="Times New Roman" w:hAnsi="Times New Roman" w:cs="Times New Roman"/>
          <w:sz w:val="24"/>
          <w:szCs w:val="24"/>
        </w:rPr>
        <w:t xml:space="preserve">-ı </w:t>
      </w:r>
      <w:proofErr w:type="spellStart"/>
      <w:r w:rsidRPr="002906A3">
        <w:rPr>
          <w:rFonts w:ascii="Times New Roman" w:hAnsi="Times New Roman" w:cs="Times New Roman"/>
          <w:sz w:val="24"/>
          <w:szCs w:val="24"/>
        </w:rPr>
        <w:t>cihânda</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gendülerin</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bâga</w:t>
      </w:r>
      <w:proofErr w:type="spellEnd"/>
      <w:r w:rsidRPr="002906A3">
        <w:rPr>
          <w:rFonts w:ascii="Times New Roman" w:hAnsi="Times New Roman" w:cs="Times New Roman"/>
          <w:sz w:val="24"/>
          <w:szCs w:val="24"/>
        </w:rPr>
        <w:t xml:space="preserve"> saldılar</w:t>
      </w:r>
    </w:p>
    <w:p w14:paraId="3CFD4AAB" w14:textId="77777777" w:rsidR="001E7189" w:rsidRPr="002906A3" w:rsidRDefault="001E7189" w:rsidP="00BA67A6">
      <w:pPr>
        <w:ind w:firstLine="720"/>
        <w:jc w:val="both"/>
        <w:rPr>
          <w:i/>
          <w:iCs/>
        </w:rPr>
      </w:pPr>
      <w:r w:rsidRPr="002906A3">
        <w:rPr>
          <w:i/>
          <w:iCs/>
        </w:rPr>
        <w:t xml:space="preserve">Her bir ışık </w:t>
      </w:r>
      <w:proofErr w:type="spellStart"/>
      <w:r w:rsidRPr="002906A3">
        <w:rPr>
          <w:i/>
          <w:iCs/>
        </w:rPr>
        <w:t>yüzinde</w:t>
      </w:r>
      <w:proofErr w:type="spellEnd"/>
      <w:r w:rsidRPr="002906A3">
        <w:rPr>
          <w:i/>
          <w:iCs/>
        </w:rPr>
        <w:t xml:space="preserve"> sakalın </w:t>
      </w:r>
      <w:proofErr w:type="spellStart"/>
      <w:r w:rsidRPr="002906A3">
        <w:rPr>
          <w:i/>
          <w:iCs/>
        </w:rPr>
        <w:t>tırâş</w:t>
      </w:r>
      <w:proofErr w:type="spellEnd"/>
      <w:r w:rsidRPr="002906A3">
        <w:rPr>
          <w:i/>
          <w:iCs/>
        </w:rPr>
        <w:t xml:space="preserve"> eder</w:t>
      </w:r>
    </w:p>
    <w:p w14:paraId="5C264CD3" w14:textId="77777777" w:rsidR="001E7189" w:rsidRDefault="001E7189" w:rsidP="00BA67A6">
      <w:pPr>
        <w:pStyle w:val="Balk2"/>
        <w:spacing w:before="0" w:after="0"/>
        <w:rPr>
          <w:rFonts w:ascii="Times New Roman" w:hAnsi="Times New Roman" w:cs="Times New Roman"/>
          <w:sz w:val="24"/>
          <w:szCs w:val="24"/>
        </w:rPr>
      </w:pPr>
      <w:proofErr w:type="spellStart"/>
      <w:r w:rsidRPr="002906A3">
        <w:rPr>
          <w:rFonts w:ascii="Times New Roman" w:hAnsi="Times New Roman" w:cs="Times New Roman"/>
          <w:sz w:val="24"/>
          <w:szCs w:val="24"/>
        </w:rPr>
        <w:t>Berg</w:t>
      </w:r>
      <w:proofErr w:type="spellEnd"/>
      <w:r w:rsidRPr="002906A3">
        <w:rPr>
          <w:rFonts w:ascii="Times New Roman" w:hAnsi="Times New Roman" w:cs="Times New Roman"/>
          <w:sz w:val="24"/>
          <w:szCs w:val="24"/>
        </w:rPr>
        <w:t xml:space="preserve">-i </w:t>
      </w:r>
      <w:proofErr w:type="spellStart"/>
      <w:r w:rsidRPr="002906A3">
        <w:rPr>
          <w:rFonts w:ascii="Times New Roman" w:hAnsi="Times New Roman" w:cs="Times New Roman"/>
          <w:sz w:val="24"/>
          <w:szCs w:val="24"/>
        </w:rPr>
        <w:t>nihâl</w:t>
      </w:r>
      <w:proofErr w:type="spellEnd"/>
      <w:r w:rsidRPr="002906A3">
        <w:rPr>
          <w:rFonts w:ascii="Times New Roman" w:hAnsi="Times New Roman" w:cs="Times New Roman"/>
          <w:sz w:val="24"/>
          <w:szCs w:val="24"/>
        </w:rPr>
        <w:t xml:space="preserve">-i </w:t>
      </w:r>
      <w:proofErr w:type="spellStart"/>
      <w:r w:rsidRPr="002906A3">
        <w:rPr>
          <w:rFonts w:ascii="Times New Roman" w:hAnsi="Times New Roman" w:cs="Times New Roman"/>
          <w:sz w:val="24"/>
          <w:szCs w:val="24"/>
        </w:rPr>
        <w:t>dînini</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topraga</w:t>
      </w:r>
      <w:proofErr w:type="spellEnd"/>
      <w:r w:rsidRPr="002906A3">
        <w:rPr>
          <w:rFonts w:ascii="Times New Roman" w:hAnsi="Times New Roman" w:cs="Times New Roman"/>
          <w:sz w:val="24"/>
          <w:szCs w:val="24"/>
        </w:rPr>
        <w:t xml:space="preserve"> saldılar (Bozyiğit, 2021: 492)</w:t>
      </w:r>
    </w:p>
    <w:p w14:paraId="6C81EC30" w14:textId="77777777" w:rsidR="00BA67A6" w:rsidRPr="00BA67A6" w:rsidRDefault="00BA67A6" w:rsidP="00BA67A6"/>
    <w:p w14:paraId="445E182A" w14:textId="77777777" w:rsidR="001E7189" w:rsidRPr="002906A3" w:rsidRDefault="001E7189" w:rsidP="00BA67A6">
      <w:pPr>
        <w:jc w:val="both"/>
      </w:pPr>
      <w:r w:rsidRPr="002906A3">
        <w:t xml:space="preserve">Aşağıdaki kıtada bahsi geçen “İbrahim”, Âşık Çelebi’nin tezkiresinde adı geçen ve Kalenderî şeyhi olduğu belirtilen bir kişidir. Âşık Çelebi tezkiresinde burada bahsedilen Şeyh İbrahim ve ona bağlı olanlar ile ilgili “Hak </w:t>
      </w:r>
      <w:proofErr w:type="spellStart"/>
      <w:r w:rsidRPr="002906A3">
        <w:t>Te’âlâ</w:t>
      </w:r>
      <w:proofErr w:type="spellEnd"/>
      <w:r w:rsidRPr="002906A3">
        <w:t xml:space="preserve"> </w:t>
      </w:r>
      <w:proofErr w:type="spellStart"/>
      <w:r w:rsidRPr="002906A3">
        <w:t>tohmların</w:t>
      </w:r>
      <w:proofErr w:type="spellEnd"/>
      <w:r w:rsidRPr="002906A3">
        <w:t xml:space="preserve"> </w:t>
      </w:r>
      <w:proofErr w:type="spellStart"/>
      <w:r w:rsidRPr="002906A3">
        <w:t>çüride</w:t>
      </w:r>
      <w:proofErr w:type="spellEnd"/>
      <w:r w:rsidRPr="002906A3">
        <w:t xml:space="preserve"> ve köklerin </w:t>
      </w:r>
      <w:proofErr w:type="spellStart"/>
      <w:r w:rsidRPr="002906A3">
        <w:t>kurıda</w:t>
      </w:r>
      <w:proofErr w:type="spellEnd"/>
      <w:r w:rsidRPr="002906A3">
        <w:t xml:space="preserve">” (Kılıç vd., 2018: 141) demiştir. Âşık Çelebi’nin bu sözünden de Osmanlı toplumunun </w:t>
      </w:r>
      <w:proofErr w:type="spellStart"/>
      <w:r w:rsidRPr="002906A3">
        <w:t>Kalenderîliğe</w:t>
      </w:r>
      <w:proofErr w:type="spellEnd"/>
      <w:r w:rsidRPr="002906A3">
        <w:t xml:space="preserve"> ve Kalenderî dervişlerine bakışının fazlasıyla negatif yönde olduğu ortaya çıkmaktadır. Âşık Çelebi’ye göre bu Şeyh ve ona bağlı bulunan kişilerin yaydıkları fikirler tamamen boş ve anlamsızdır. Taşlıcalı Yahyâ da bu kıtasında Şeyh İbrahim’in ölümü üzerine </w:t>
      </w:r>
      <w:proofErr w:type="spellStart"/>
      <w:r w:rsidRPr="002906A3">
        <w:t>Hayâlî</w:t>
      </w:r>
      <w:proofErr w:type="spellEnd"/>
      <w:r w:rsidRPr="002906A3">
        <w:t xml:space="preserve"> Bey’e göstermelik bir baş sağlığı dilerken diğer yandan eleştiri yapmaktan geri duramaz. Yahyâ’ya göre yaşamları boyunca değer görmeyen Işık taifesi yani Kalenderîler, öldüklerinde de herhangi bir değer görmeyeceklerdir ve bu gayet olağan bir durumdur. Bu nedenle </w:t>
      </w:r>
      <w:proofErr w:type="spellStart"/>
      <w:r w:rsidRPr="002906A3">
        <w:t>Hayâlî</w:t>
      </w:r>
      <w:proofErr w:type="spellEnd"/>
      <w:r w:rsidRPr="002906A3">
        <w:t xml:space="preserve"> Bey’in </w:t>
      </w:r>
      <w:r w:rsidRPr="002906A3">
        <w:lastRenderedPageBreak/>
        <w:t>üzülmemesi gerekir. Şeyh İbrahim’in cenazesi için de bilinçli olarak “leş” ifadesini kullanan Yahyâ, Kalenderî dervişlerinin pespaye ve sefil görünüşlerine atıfta bulunmuştur.</w:t>
      </w:r>
    </w:p>
    <w:p w14:paraId="68D1D11B" w14:textId="77777777" w:rsidR="001E7189" w:rsidRPr="002906A3" w:rsidRDefault="001E7189" w:rsidP="00BA67A6">
      <w:pPr>
        <w:ind w:firstLine="720"/>
        <w:rPr>
          <w:i/>
          <w:iCs/>
        </w:rPr>
      </w:pPr>
      <w:proofErr w:type="spellStart"/>
      <w:r w:rsidRPr="002906A3">
        <w:rPr>
          <w:i/>
          <w:iCs/>
        </w:rPr>
        <w:t>Bilürler</w:t>
      </w:r>
      <w:proofErr w:type="spellEnd"/>
      <w:r w:rsidRPr="002906A3">
        <w:rPr>
          <w:i/>
          <w:iCs/>
        </w:rPr>
        <w:t xml:space="preserve"> </w:t>
      </w:r>
      <w:proofErr w:type="spellStart"/>
      <w:r w:rsidRPr="002906A3">
        <w:rPr>
          <w:i/>
          <w:iCs/>
        </w:rPr>
        <w:t>sahîh</w:t>
      </w:r>
      <w:proofErr w:type="spellEnd"/>
      <w:r w:rsidRPr="002906A3">
        <w:rPr>
          <w:i/>
          <w:iCs/>
        </w:rPr>
        <w:t xml:space="preserve"> </w:t>
      </w:r>
      <w:proofErr w:type="spellStart"/>
      <w:r w:rsidRPr="002906A3">
        <w:rPr>
          <w:i/>
          <w:iCs/>
        </w:rPr>
        <w:t>öldi</w:t>
      </w:r>
      <w:proofErr w:type="spellEnd"/>
      <w:r w:rsidRPr="002906A3">
        <w:rPr>
          <w:i/>
          <w:iCs/>
        </w:rPr>
        <w:t xml:space="preserve"> </w:t>
      </w:r>
      <w:proofErr w:type="spellStart"/>
      <w:r w:rsidRPr="002906A3">
        <w:rPr>
          <w:i/>
          <w:iCs/>
        </w:rPr>
        <w:t>İbrâhîm’i</w:t>
      </w:r>
      <w:proofErr w:type="spellEnd"/>
    </w:p>
    <w:p w14:paraId="544FEE72" w14:textId="77777777" w:rsidR="001E7189" w:rsidRPr="002906A3" w:rsidRDefault="001E7189" w:rsidP="00BA67A6">
      <w:pPr>
        <w:pStyle w:val="Balk3"/>
        <w:spacing w:before="0" w:after="0"/>
        <w:rPr>
          <w:rFonts w:ascii="Times New Roman" w:hAnsi="Times New Roman" w:cs="Times New Roman"/>
          <w:sz w:val="24"/>
          <w:szCs w:val="24"/>
        </w:rPr>
      </w:pPr>
      <w:r w:rsidRPr="002906A3">
        <w:rPr>
          <w:rFonts w:ascii="Times New Roman" w:hAnsi="Times New Roman" w:cs="Times New Roman"/>
          <w:sz w:val="24"/>
          <w:szCs w:val="24"/>
        </w:rPr>
        <w:t xml:space="preserve">Leşi </w:t>
      </w:r>
      <w:proofErr w:type="spellStart"/>
      <w:r w:rsidRPr="002906A3">
        <w:rPr>
          <w:rFonts w:ascii="Times New Roman" w:hAnsi="Times New Roman" w:cs="Times New Roman"/>
          <w:sz w:val="24"/>
          <w:szCs w:val="24"/>
        </w:rPr>
        <w:t>derd-mendüñ</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aceb</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oldı</w:t>
      </w:r>
      <w:proofErr w:type="spellEnd"/>
      <w:r w:rsidRPr="002906A3">
        <w:rPr>
          <w:rFonts w:ascii="Times New Roman" w:hAnsi="Times New Roman" w:cs="Times New Roman"/>
          <w:sz w:val="24"/>
          <w:szCs w:val="24"/>
        </w:rPr>
        <w:t xml:space="preserve"> güm</w:t>
      </w:r>
    </w:p>
    <w:p w14:paraId="197B6C00" w14:textId="77777777" w:rsidR="001E7189" w:rsidRPr="002906A3" w:rsidRDefault="001E7189" w:rsidP="00BA67A6">
      <w:pPr>
        <w:ind w:firstLine="720"/>
        <w:rPr>
          <w:i/>
          <w:iCs/>
        </w:rPr>
      </w:pPr>
      <w:proofErr w:type="spellStart"/>
      <w:r w:rsidRPr="002906A3">
        <w:rPr>
          <w:i/>
          <w:iCs/>
        </w:rPr>
        <w:t>Hayâlî’ye</w:t>
      </w:r>
      <w:proofErr w:type="spellEnd"/>
      <w:r w:rsidRPr="002906A3">
        <w:rPr>
          <w:i/>
          <w:iCs/>
        </w:rPr>
        <w:t xml:space="preserve"> Yahyâ dedi gam </w:t>
      </w:r>
      <w:proofErr w:type="spellStart"/>
      <w:r w:rsidRPr="002906A3">
        <w:rPr>
          <w:i/>
          <w:iCs/>
        </w:rPr>
        <w:t>yime</w:t>
      </w:r>
      <w:proofErr w:type="spellEnd"/>
    </w:p>
    <w:p w14:paraId="2EEAF4A6" w14:textId="77777777" w:rsidR="001E7189" w:rsidRDefault="001E7189" w:rsidP="00BA67A6">
      <w:pPr>
        <w:ind w:firstLine="720"/>
        <w:jc w:val="both"/>
      </w:pPr>
      <w:r w:rsidRPr="002906A3">
        <w:rPr>
          <w:i/>
          <w:iCs/>
        </w:rPr>
        <w:t xml:space="preserve">Işık </w:t>
      </w:r>
      <w:proofErr w:type="spellStart"/>
      <w:r w:rsidRPr="002906A3">
        <w:rPr>
          <w:i/>
          <w:iCs/>
        </w:rPr>
        <w:t>ölüsin</w:t>
      </w:r>
      <w:proofErr w:type="spellEnd"/>
      <w:r w:rsidRPr="002906A3">
        <w:rPr>
          <w:i/>
          <w:iCs/>
        </w:rPr>
        <w:t xml:space="preserve"> kimse görmez begüm</w:t>
      </w:r>
      <w:r w:rsidRPr="002906A3">
        <w:t xml:space="preserve"> (Bozyiğit, 2021: 731)</w:t>
      </w:r>
    </w:p>
    <w:p w14:paraId="1D3CB529" w14:textId="77777777" w:rsidR="00BA67A6" w:rsidRPr="002906A3" w:rsidRDefault="00BA67A6" w:rsidP="00BA67A6">
      <w:pPr>
        <w:ind w:firstLine="720"/>
        <w:jc w:val="both"/>
      </w:pPr>
    </w:p>
    <w:p w14:paraId="06B84413" w14:textId="77777777" w:rsidR="001E7189" w:rsidRDefault="001E7189" w:rsidP="00BA67A6">
      <w:pPr>
        <w:pStyle w:val="GvdeMetniGirintisi"/>
        <w:spacing w:after="0"/>
        <w:ind w:left="0"/>
        <w:jc w:val="both"/>
        <w:rPr>
          <w:rFonts w:ascii="Times New Roman" w:hAnsi="Times New Roman" w:cs="Times New Roman"/>
        </w:rPr>
      </w:pPr>
      <w:r w:rsidRPr="002906A3">
        <w:rPr>
          <w:rFonts w:ascii="Times New Roman" w:hAnsi="Times New Roman" w:cs="Times New Roman"/>
        </w:rPr>
        <w:t xml:space="preserve">İddialara göre çalgılı eğlencenin yasak olduğu bir dönemde </w:t>
      </w:r>
      <w:proofErr w:type="spellStart"/>
      <w:r w:rsidRPr="002906A3">
        <w:rPr>
          <w:rFonts w:ascii="Times New Roman" w:hAnsi="Times New Roman" w:cs="Times New Roman"/>
        </w:rPr>
        <w:t>Hayâlî</w:t>
      </w:r>
      <w:proofErr w:type="spellEnd"/>
      <w:r w:rsidRPr="002906A3">
        <w:rPr>
          <w:rFonts w:ascii="Times New Roman" w:hAnsi="Times New Roman" w:cs="Times New Roman"/>
        </w:rPr>
        <w:t xml:space="preserve"> Bey, Balat’taki evinde bir hayat kadını tutup eğlence düzenlemiş, Taşlıcalı Yahyâ da bu duyum üzerine bir kıta kaleme almıştır. Her ne kadar bu kıta ile ilgili olarak Âşık Çelebi, tezkiresinde “</w:t>
      </w:r>
      <w:proofErr w:type="spellStart"/>
      <w:r w:rsidRPr="002906A3">
        <w:rPr>
          <w:rFonts w:ascii="Times New Roman" w:hAnsi="Times New Roman" w:cs="Times New Roman"/>
        </w:rPr>
        <w:t>Sâza</w:t>
      </w:r>
      <w:proofErr w:type="spellEnd"/>
      <w:r w:rsidRPr="002906A3">
        <w:rPr>
          <w:rFonts w:ascii="Times New Roman" w:hAnsi="Times New Roman" w:cs="Times New Roman"/>
        </w:rPr>
        <w:t xml:space="preserve"> yasak olup </w:t>
      </w:r>
      <w:proofErr w:type="spellStart"/>
      <w:r w:rsidRPr="002906A3">
        <w:rPr>
          <w:rFonts w:ascii="Times New Roman" w:hAnsi="Times New Roman" w:cs="Times New Roman"/>
        </w:rPr>
        <w:t>Begün</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Balat’da</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yaptugı</w:t>
      </w:r>
      <w:proofErr w:type="spellEnd"/>
      <w:r w:rsidRPr="002906A3">
        <w:rPr>
          <w:rFonts w:ascii="Times New Roman" w:hAnsi="Times New Roman" w:cs="Times New Roman"/>
        </w:rPr>
        <w:t xml:space="preserve"> odalarında bir </w:t>
      </w:r>
      <w:proofErr w:type="spellStart"/>
      <w:r w:rsidRPr="002906A3">
        <w:rPr>
          <w:rFonts w:ascii="Times New Roman" w:hAnsi="Times New Roman" w:cs="Times New Roman"/>
        </w:rPr>
        <w:t>kahbe</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tutılup</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bî-günâh</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kendüye</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isnâd</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olındukda</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dimişdür</w:t>
      </w:r>
      <w:proofErr w:type="spellEnd"/>
      <w:r w:rsidRPr="002906A3">
        <w:rPr>
          <w:rFonts w:ascii="Times New Roman" w:hAnsi="Times New Roman" w:cs="Times New Roman"/>
        </w:rPr>
        <w:t xml:space="preserve">” şeklinde bir açıklama yapmış (Kılıç vd., 2018: 289) ve söylenenlerin iftira, </w:t>
      </w:r>
      <w:proofErr w:type="spellStart"/>
      <w:r w:rsidRPr="002906A3">
        <w:rPr>
          <w:rFonts w:ascii="Times New Roman" w:hAnsi="Times New Roman" w:cs="Times New Roman"/>
        </w:rPr>
        <w:t>Hayâlî</w:t>
      </w:r>
      <w:proofErr w:type="spellEnd"/>
      <w:r w:rsidRPr="002906A3">
        <w:rPr>
          <w:rFonts w:ascii="Times New Roman" w:hAnsi="Times New Roman" w:cs="Times New Roman"/>
        </w:rPr>
        <w:t xml:space="preserve"> Bey’in ise günahsız olduğunu ifade etmiş olsa da Taşlıcalı Yahyâ bu fırsatı kaçırmamış ve </w:t>
      </w:r>
      <w:proofErr w:type="spellStart"/>
      <w:r w:rsidRPr="002906A3">
        <w:rPr>
          <w:rFonts w:ascii="Times New Roman" w:hAnsi="Times New Roman" w:cs="Times New Roman"/>
        </w:rPr>
        <w:t>Hayâlî</w:t>
      </w:r>
      <w:proofErr w:type="spellEnd"/>
      <w:r w:rsidRPr="002906A3">
        <w:rPr>
          <w:rFonts w:ascii="Times New Roman" w:hAnsi="Times New Roman" w:cs="Times New Roman"/>
        </w:rPr>
        <w:t xml:space="preserve"> Bey’i yine </w:t>
      </w:r>
      <w:proofErr w:type="spellStart"/>
      <w:r w:rsidRPr="002906A3">
        <w:rPr>
          <w:rFonts w:ascii="Times New Roman" w:hAnsi="Times New Roman" w:cs="Times New Roman"/>
        </w:rPr>
        <w:t>Kalenderîlik</w:t>
      </w:r>
      <w:proofErr w:type="spellEnd"/>
      <w:r w:rsidRPr="002906A3">
        <w:rPr>
          <w:rFonts w:ascii="Times New Roman" w:hAnsi="Times New Roman" w:cs="Times New Roman"/>
        </w:rPr>
        <w:t xml:space="preserve"> üzerinden eleştirmiştir. Kalenderîlerin vazgeçilmez rükünlerinden biri “terk ü </w:t>
      </w:r>
      <w:proofErr w:type="spellStart"/>
      <w:r w:rsidRPr="002906A3">
        <w:rPr>
          <w:rFonts w:ascii="Times New Roman" w:hAnsi="Times New Roman" w:cs="Times New Roman"/>
        </w:rPr>
        <w:t>tecrid</w:t>
      </w:r>
      <w:proofErr w:type="spellEnd"/>
      <w:r w:rsidRPr="002906A3">
        <w:rPr>
          <w:rFonts w:ascii="Times New Roman" w:hAnsi="Times New Roman" w:cs="Times New Roman"/>
        </w:rPr>
        <w:t xml:space="preserve">” olup evlenmemektir. Yeri yurdu olmayıp bir yerde birkaç günden fazla kalamayan bu dervişlerin hayat tarzı zaten evlenip çoluk çocuğa karışmaya imkân vermediği gibi, kadınlara meyletmek de bu yolda ayıp sayılan ve kınanan bir durumdur (Şentürk, 2015:176). Şiire göre </w:t>
      </w:r>
      <w:proofErr w:type="spellStart"/>
      <w:r w:rsidRPr="002906A3">
        <w:rPr>
          <w:rFonts w:ascii="Times New Roman" w:hAnsi="Times New Roman" w:cs="Times New Roman"/>
        </w:rPr>
        <w:t>Kalenderîliği</w:t>
      </w:r>
      <w:proofErr w:type="spellEnd"/>
      <w:r w:rsidRPr="002906A3">
        <w:rPr>
          <w:rFonts w:ascii="Times New Roman" w:hAnsi="Times New Roman" w:cs="Times New Roman"/>
        </w:rPr>
        <w:t xml:space="preserve"> benimseyen kişilerin yapmaması gereken iki durumu da yapan </w:t>
      </w:r>
      <w:proofErr w:type="spellStart"/>
      <w:r w:rsidRPr="002906A3">
        <w:rPr>
          <w:rFonts w:ascii="Times New Roman" w:hAnsi="Times New Roman" w:cs="Times New Roman"/>
        </w:rPr>
        <w:t>Hayâlî</w:t>
      </w:r>
      <w:proofErr w:type="spellEnd"/>
      <w:r w:rsidRPr="002906A3">
        <w:rPr>
          <w:rFonts w:ascii="Times New Roman" w:hAnsi="Times New Roman" w:cs="Times New Roman"/>
        </w:rPr>
        <w:t xml:space="preserve"> Bey, Yahyâ’nın gözünde her açıdan suçludur. Kadınlara meyletmek yasakken meyletmiş, evlenmesi doğru bulunmazken evlenmiştir. Taşlıcalı, bu iki durum haricinde kıtanın son beytinde </w:t>
      </w:r>
      <w:proofErr w:type="spellStart"/>
      <w:r w:rsidRPr="002906A3">
        <w:rPr>
          <w:rFonts w:ascii="Times New Roman" w:hAnsi="Times New Roman" w:cs="Times New Roman"/>
        </w:rPr>
        <w:t>Hayâlî’nin</w:t>
      </w:r>
      <w:proofErr w:type="spellEnd"/>
      <w:r w:rsidRPr="002906A3">
        <w:rPr>
          <w:rFonts w:ascii="Times New Roman" w:hAnsi="Times New Roman" w:cs="Times New Roman"/>
        </w:rPr>
        <w:t xml:space="preserve"> bir kuralı daha çiğnediğine atıf yapmıştır. Şehirde o dönem çalgılı, çengili eğlence yasaklandığı için bundan sonra gizlice yaptığın eğlencelerde anca boynuz çalarsın/üflersin diyerek </w:t>
      </w:r>
      <w:proofErr w:type="spellStart"/>
      <w:r w:rsidRPr="002906A3">
        <w:rPr>
          <w:rFonts w:ascii="Times New Roman" w:hAnsi="Times New Roman" w:cs="Times New Roman"/>
        </w:rPr>
        <w:t>Hayâlî</w:t>
      </w:r>
      <w:proofErr w:type="spellEnd"/>
      <w:r w:rsidRPr="002906A3">
        <w:rPr>
          <w:rFonts w:ascii="Times New Roman" w:hAnsi="Times New Roman" w:cs="Times New Roman"/>
        </w:rPr>
        <w:t xml:space="preserve"> ile dalga geçmiştir.</w:t>
      </w:r>
    </w:p>
    <w:p w14:paraId="126D93B9" w14:textId="77777777" w:rsidR="00BA67A6" w:rsidRPr="002906A3" w:rsidRDefault="00BA67A6" w:rsidP="00BA67A6">
      <w:pPr>
        <w:pStyle w:val="GvdeMetniGirintisi"/>
        <w:spacing w:after="0"/>
        <w:ind w:left="0"/>
        <w:jc w:val="both"/>
        <w:rPr>
          <w:rFonts w:ascii="Times New Roman" w:hAnsi="Times New Roman" w:cs="Times New Roman"/>
        </w:rPr>
      </w:pPr>
    </w:p>
    <w:p w14:paraId="6618301E" w14:textId="77777777" w:rsidR="001E7189" w:rsidRPr="002906A3" w:rsidRDefault="001E7189" w:rsidP="00BA67A6">
      <w:pPr>
        <w:ind w:firstLine="720"/>
        <w:jc w:val="both"/>
        <w:rPr>
          <w:i/>
          <w:iCs/>
        </w:rPr>
      </w:pPr>
      <w:proofErr w:type="spellStart"/>
      <w:r w:rsidRPr="002906A3">
        <w:rPr>
          <w:i/>
          <w:iCs/>
        </w:rPr>
        <w:t>Hayâlî</w:t>
      </w:r>
      <w:proofErr w:type="spellEnd"/>
      <w:r w:rsidRPr="002906A3">
        <w:rPr>
          <w:i/>
          <w:iCs/>
        </w:rPr>
        <w:t xml:space="preserve"> sen ‘</w:t>
      </w:r>
      <w:proofErr w:type="spellStart"/>
      <w:r w:rsidRPr="002906A3">
        <w:rPr>
          <w:i/>
          <w:iCs/>
        </w:rPr>
        <w:t>acâ’ib</w:t>
      </w:r>
      <w:proofErr w:type="spellEnd"/>
      <w:r w:rsidRPr="002906A3">
        <w:rPr>
          <w:i/>
          <w:iCs/>
        </w:rPr>
        <w:t xml:space="preserve"> </w:t>
      </w:r>
      <w:proofErr w:type="spellStart"/>
      <w:r w:rsidRPr="002906A3">
        <w:rPr>
          <w:i/>
          <w:iCs/>
        </w:rPr>
        <w:t>karnapasın</w:t>
      </w:r>
      <w:proofErr w:type="spellEnd"/>
    </w:p>
    <w:p w14:paraId="48FAD6F9" w14:textId="648AC557" w:rsidR="001E7189" w:rsidRPr="002906A3" w:rsidRDefault="001E7189" w:rsidP="00BA67A6">
      <w:pPr>
        <w:ind w:firstLine="720"/>
        <w:jc w:val="both"/>
        <w:rPr>
          <w:i/>
          <w:iCs/>
        </w:rPr>
      </w:pPr>
      <w:proofErr w:type="spellStart"/>
      <w:r w:rsidRPr="002906A3">
        <w:rPr>
          <w:i/>
          <w:iCs/>
        </w:rPr>
        <w:t>Revâ</w:t>
      </w:r>
      <w:proofErr w:type="spellEnd"/>
      <w:r w:rsidRPr="002906A3">
        <w:rPr>
          <w:i/>
          <w:iCs/>
        </w:rPr>
        <w:t xml:space="preserve"> mı ortadan ‘avret alasın</w:t>
      </w:r>
    </w:p>
    <w:p w14:paraId="5A15F3C2" w14:textId="77777777" w:rsidR="001E7189" w:rsidRPr="002906A3" w:rsidRDefault="001E7189" w:rsidP="00BA67A6">
      <w:pPr>
        <w:ind w:firstLine="720"/>
        <w:jc w:val="both"/>
        <w:rPr>
          <w:i/>
          <w:iCs/>
        </w:rPr>
      </w:pPr>
      <w:proofErr w:type="spellStart"/>
      <w:r w:rsidRPr="002906A3">
        <w:rPr>
          <w:i/>
          <w:iCs/>
        </w:rPr>
        <w:t>Saña</w:t>
      </w:r>
      <w:proofErr w:type="spellEnd"/>
      <w:r w:rsidRPr="002906A3">
        <w:rPr>
          <w:i/>
          <w:iCs/>
        </w:rPr>
        <w:t xml:space="preserve"> ‘âlemde evlenmek olur mı</w:t>
      </w:r>
    </w:p>
    <w:p w14:paraId="1735497F" w14:textId="3AC1877A" w:rsidR="001E7189" w:rsidRPr="002906A3" w:rsidRDefault="001E7189" w:rsidP="00BA67A6">
      <w:pPr>
        <w:pStyle w:val="Balk2"/>
        <w:spacing w:before="0" w:after="0"/>
        <w:rPr>
          <w:rFonts w:ascii="Times New Roman" w:hAnsi="Times New Roman" w:cs="Times New Roman"/>
          <w:sz w:val="24"/>
          <w:szCs w:val="24"/>
        </w:rPr>
      </w:pPr>
      <w:proofErr w:type="spellStart"/>
      <w:r w:rsidRPr="002906A3">
        <w:rPr>
          <w:rFonts w:ascii="Times New Roman" w:hAnsi="Times New Roman" w:cs="Times New Roman"/>
          <w:sz w:val="24"/>
          <w:szCs w:val="24"/>
        </w:rPr>
        <w:t>Husûsâ</w:t>
      </w:r>
      <w:proofErr w:type="spellEnd"/>
      <w:r w:rsidRPr="002906A3">
        <w:rPr>
          <w:rFonts w:ascii="Times New Roman" w:hAnsi="Times New Roman" w:cs="Times New Roman"/>
          <w:sz w:val="24"/>
          <w:szCs w:val="24"/>
        </w:rPr>
        <w:t xml:space="preserve"> kim ışıklardan olasın</w:t>
      </w:r>
    </w:p>
    <w:p w14:paraId="725155D0" w14:textId="77777777" w:rsidR="001E7189" w:rsidRPr="002906A3" w:rsidRDefault="001E7189" w:rsidP="00BA67A6">
      <w:pPr>
        <w:pStyle w:val="Balk2"/>
        <w:spacing w:before="0" w:after="0"/>
        <w:rPr>
          <w:rFonts w:ascii="Times New Roman" w:hAnsi="Times New Roman" w:cs="Times New Roman"/>
          <w:sz w:val="24"/>
          <w:szCs w:val="24"/>
        </w:rPr>
      </w:pPr>
      <w:proofErr w:type="spellStart"/>
      <w:r w:rsidRPr="002906A3">
        <w:rPr>
          <w:rFonts w:ascii="Times New Roman" w:hAnsi="Times New Roman" w:cs="Times New Roman"/>
          <w:sz w:val="24"/>
          <w:szCs w:val="24"/>
        </w:rPr>
        <w:t>Yasag</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oldı</w:t>
      </w:r>
      <w:proofErr w:type="spellEnd"/>
      <w:r w:rsidRPr="002906A3">
        <w:rPr>
          <w:rFonts w:ascii="Times New Roman" w:hAnsi="Times New Roman" w:cs="Times New Roman"/>
          <w:sz w:val="24"/>
          <w:szCs w:val="24"/>
        </w:rPr>
        <w:t xml:space="preserve"> şehirde </w:t>
      </w:r>
      <w:proofErr w:type="spellStart"/>
      <w:r w:rsidRPr="002906A3">
        <w:rPr>
          <w:rFonts w:ascii="Times New Roman" w:hAnsi="Times New Roman" w:cs="Times New Roman"/>
          <w:sz w:val="24"/>
          <w:szCs w:val="24"/>
        </w:rPr>
        <w:t>çeng</w:t>
      </w:r>
      <w:proofErr w:type="spellEnd"/>
      <w:r w:rsidRPr="002906A3">
        <w:rPr>
          <w:rFonts w:ascii="Times New Roman" w:hAnsi="Times New Roman" w:cs="Times New Roman"/>
          <w:sz w:val="24"/>
          <w:szCs w:val="24"/>
        </w:rPr>
        <w:t xml:space="preserve"> ü </w:t>
      </w:r>
      <w:proofErr w:type="spellStart"/>
      <w:r w:rsidRPr="002906A3">
        <w:rPr>
          <w:rFonts w:ascii="Times New Roman" w:hAnsi="Times New Roman" w:cs="Times New Roman"/>
          <w:sz w:val="24"/>
          <w:szCs w:val="24"/>
        </w:rPr>
        <w:t>nâya</w:t>
      </w:r>
      <w:proofErr w:type="spellEnd"/>
    </w:p>
    <w:p w14:paraId="3556141C" w14:textId="77777777" w:rsidR="001E7189" w:rsidRDefault="001E7189" w:rsidP="00BA67A6">
      <w:pPr>
        <w:ind w:firstLine="720"/>
        <w:jc w:val="both"/>
      </w:pPr>
      <w:r w:rsidRPr="002906A3">
        <w:rPr>
          <w:i/>
          <w:iCs/>
        </w:rPr>
        <w:t xml:space="preserve">Meğer </w:t>
      </w:r>
      <w:proofErr w:type="spellStart"/>
      <w:r w:rsidRPr="002906A3">
        <w:rPr>
          <w:i/>
          <w:iCs/>
        </w:rPr>
        <w:t>şimden</w:t>
      </w:r>
      <w:proofErr w:type="spellEnd"/>
      <w:r w:rsidRPr="002906A3">
        <w:rPr>
          <w:i/>
          <w:iCs/>
        </w:rPr>
        <w:t xml:space="preserve"> </w:t>
      </w:r>
      <w:proofErr w:type="spellStart"/>
      <w:r w:rsidRPr="002906A3">
        <w:rPr>
          <w:i/>
          <w:iCs/>
        </w:rPr>
        <w:t>gerü</w:t>
      </w:r>
      <w:proofErr w:type="spellEnd"/>
      <w:r w:rsidRPr="002906A3">
        <w:rPr>
          <w:i/>
          <w:iCs/>
        </w:rPr>
        <w:t xml:space="preserve"> boynuz çalasın</w:t>
      </w:r>
      <w:r w:rsidRPr="002906A3">
        <w:t xml:space="preserve"> (Bozyiğit, 2021: 734)</w:t>
      </w:r>
    </w:p>
    <w:p w14:paraId="06AC6CE0" w14:textId="77777777" w:rsidR="00BA67A6" w:rsidRPr="002906A3" w:rsidRDefault="00BA67A6" w:rsidP="00BA67A6">
      <w:pPr>
        <w:ind w:firstLine="720"/>
        <w:jc w:val="both"/>
      </w:pPr>
    </w:p>
    <w:p w14:paraId="424E4047" w14:textId="77777777" w:rsidR="001E7189" w:rsidRDefault="001E7189" w:rsidP="00BA67A6">
      <w:pPr>
        <w:jc w:val="both"/>
      </w:pPr>
      <w:proofErr w:type="spellStart"/>
      <w:r w:rsidRPr="002906A3">
        <w:t>Hayâlî</w:t>
      </w:r>
      <w:proofErr w:type="spellEnd"/>
      <w:r w:rsidRPr="002906A3">
        <w:t xml:space="preserve"> Bey’i Kalenderî dervişi olması sebebiyle eleştiren isimlerden biri de </w:t>
      </w:r>
      <w:proofErr w:type="spellStart"/>
      <w:r w:rsidRPr="002906A3">
        <w:t>Makâlî’dir</w:t>
      </w:r>
      <w:proofErr w:type="spellEnd"/>
      <w:r w:rsidRPr="002906A3">
        <w:t xml:space="preserve">. </w:t>
      </w:r>
      <w:proofErr w:type="spellStart"/>
      <w:r w:rsidRPr="002906A3">
        <w:t>Hayâlî</w:t>
      </w:r>
      <w:proofErr w:type="spellEnd"/>
      <w:r w:rsidRPr="002906A3">
        <w:t xml:space="preserve"> Bey’in çağdaşlarından olan </w:t>
      </w:r>
      <w:proofErr w:type="spellStart"/>
      <w:r w:rsidRPr="002906A3">
        <w:t>Makâlî</w:t>
      </w:r>
      <w:proofErr w:type="spellEnd"/>
      <w:r w:rsidRPr="002906A3">
        <w:t xml:space="preserve"> Mustafa Bey, padişahın ve devrin ileri gelenlerinin gözüne girebilmek amacıyla kasideler kaleme almıştır. </w:t>
      </w:r>
      <w:proofErr w:type="spellStart"/>
      <w:r w:rsidRPr="002906A3">
        <w:t>Makâlî</w:t>
      </w:r>
      <w:proofErr w:type="spellEnd"/>
      <w:r w:rsidRPr="002906A3">
        <w:t xml:space="preserve">, Ali Paşa için yazmış olduğu kasidesinin bir beytinde </w:t>
      </w:r>
      <w:proofErr w:type="spellStart"/>
      <w:r w:rsidRPr="002906A3">
        <w:t>Hayâlî</w:t>
      </w:r>
      <w:proofErr w:type="spellEnd"/>
      <w:r w:rsidRPr="002906A3">
        <w:t xml:space="preserve"> Bey’i Kalenderî olması ve buna rağmen itibar görmesi yönüyle eleştirmiştir. </w:t>
      </w:r>
      <w:proofErr w:type="spellStart"/>
      <w:r w:rsidRPr="002906A3">
        <w:t>Hayâlî</w:t>
      </w:r>
      <w:proofErr w:type="spellEnd"/>
      <w:r w:rsidRPr="002906A3">
        <w:t xml:space="preserve"> Bey, Osmanlı padişahlarının benimsediği </w:t>
      </w:r>
      <w:proofErr w:type="spellStart"/>
      <w:r w:rsidRPr="002906A3">
        <w:t>ehl</w:t>
      </w:r>
      <w:proofErr w:type="spellEnd"/>
      <w:r w:rsidRPr="002906A3">
        <w:t>-i sünnet anlayışına uymayarak “</w:t>
      </w:r>
      <w:proofErr w:type="spellStart"/>
      <w:r w:rsidRPr="002906A3">
        <w:t>Batınî</w:t>
      </w:r>
      <w:proofErr w:type="spellEnd"/>
      <w:r w:rsidRPr="002906A3">
        <w:t xml:space="preserve">” bir yol tutmuş olmasına rağmen şairliğinden kaynaklı birçok ikram ve ihsan ile karşılanmıştır. </w:t>
      </w:r>
      <w:proofErr w:type="spellStart"/>
      <w:r w:rsidRPr="002906A3">
        <w:t>Makâlî</w:t>
      </w:r>
      <w:proofErr w:type="spellEnd"/>
      <w:r w:rsidRPr="002906A3">
        <w:t xml:space="preserve"> de bu beytinde kendisini </w:t>
      </w:r>
      <w:proofErr w:type="spellStart"/>
      <w:r w:rsidRPr="002906A3">
        <w:t>Hayâlî</w:t>
      </w:r>
      <w:proofErr w:type="spellEnd"/>
      <w:r w:rsidRPr="002906A3">
        <w:t xml:space="preserve"> Bey ile kıyaslayarak kendince doğru yolda olup yazdığı şiirler ile devlet erkânı karşısında iyi bir mertebeye kavuşmak istediğini vurgulamıştır. Beyitte aynı zamanda içten içe </w:t>
      </w:r>
      <w:proofErr w:type="spellStart"/>
      <w:r w:rsidRPr="002906A3">
        <w:t>Hayâlî’yi</w:t>
      </w:r>
      <w:proofErr w:type="spellEnd"/>
      <w:r w:rsidRPr="002906A3">
        <w:t xml:space="preserve"> bu mertebeye getirip ona ihsanlarda bulunanlara da bir serzeniş söz konusudur.</w:t>
      </w:r>
    </w:p>
    <w:p w14:paraId="75DDA09D" w14:textId="77777777" w:rsidR="00BA67A6" w:rsidRPr="002906A3" w:rsidRDefault="00BA67A6" w:rsidP="00BA67A6">
      <w:pPr>
        <w:jc w:val="both"/>
      </w:pPr>
    </w:p>
    <w:p w14:paraId="4F04AFEB" w14:textId="77777777" w:rsidR="001E7189" w:rsidRPr="002906A3" w:rsidRDefault="001E7189" w:rsidP="00BA67A6">
      <w:pPr>
        <w:ind w:firstLine="720"/>
        <w:jc w:val="both"/>
        <w:rPr>
          <w:i/>
          <w:iCs/>
        </w:rPr>
      </w:pPr>
      <w:proofErr w:type="spellStart"/>
      <w:r w:rsidRPr="002906A3">
        <w:rPr>
          <w:i/>
          <w:iCs/>
        </w:rPr>
        <w:t>Şi’r</w:t>
      </w:r>
      <w:proofErr w:type="spellEnd"/>
      <w:r w:rsidRPr="002906A3">
        <w:rPr>
          <w:i/>
          <w:iCs/>
        </w:rPr>
        <w:t xml:space="preserve"> ile </w:t>
      </w:r>
      <w:proofErr w:type="spellStart"/>
      <w:r w:rsidRPr="002906A3">
        <w:rPr>
          <w:i/>
          <w:iCs/>
        </w:rPr>
        <w:t>kapuñda</w:t>
      </w:r>
      <w:proofErr w:type="spellEnd"/>
      <w:r w:rsidRPr="002906A3">
        <w:rPr>
          <w:i/>
          <w:iCs/>
        </w:rPr>
        <w:t xml:space="preserve"> bulsam </w:t>
      </w:r>
      <w:proofErr w:type="spellStart"/>
      <w:r w:rsidRPr="002906A3">
        <w:rPr>
          <w:i/>
          <w:iCs/>
        </w:rPr>
        <w:t>n’ola</w:t>
      </w:r>
      <w:proofErr w:type="spellEnd"/>
      <w:r w:rsidRPr="002906A3">
        <w:rPr>
          <w:i/>
          <w:iCs/>
        </w:rPr>
        <w:t xml:space="preserve"> ‘</w:t>
      </w:r>
      <w:proofErr w:type="spellStart"/>
      <w:r w:rsidRPr="002906A3">
        <w:rPr>
          <w:i/>
          <w:iCs/>
        </w:rPr>
        <w:t>âlî</w:t>
      </w:r>
      <w:proofErr w:type="spellEnd"/>
      <w:r w:rsidRPr="002906A3">
        <w:rPr>
          <w:i/>
          <w:iCs/>
        </w:rPr>
        <w:t xml:space="preserve"> mertebe</w:t>
      </w:r>
    </w:p>
    <w:p w14:paraId="01DDB932" w14:textId="77777777" w:rsidR="001E7189" w:rsidRDefault="001E7189" w:rsidP="00BA67A6">
      <w:pPr>
        <w:pStyle w:val="GvdeMetni"/>
        <w:ind w:firstLine="720"/>
      </w:pPr>
      <w:proofErr w:type="spellStart"/>
      <w:r w:rsidRPr="002906A3">
        <w:rPr>
          <w:i/>
          <w:iCs/>
        </w:rPr>
        <w:t>Şi’r</w:t>
      </w:r>
      <w:proofErr w:type="spellEnd"/>
      <w:r w:rsidRPr="002906A3">
        <w:rPr>
          <w:i/>
          <w:iCs/>
        </w:rPr>
        <w:t xml:space="preserve"> ile </w:t>
      </w:r>
      <w:proofErr w:type="spellStart"/>
      <w:r w:rsidRPr="002906A3">
        <w:rPr>
          <w:i/>
          <w:iCs/>
        </w:rPr>
        <w:t>buldı</w:t>
      </w:r>
      <w:proofErr w:type="spellEnd"/>
      <w:r w:rsidRPr="002906A3">
        <w:rPr>
          <w:i/>
          <w:iCs/>
        </w:rPr>
        <w:t xml:space="preserve"> </w:t>
      </w:r>
      <w:proofErr w:type="spellStart"/>
      <w:r w:rsidRPr="002906A3">
        <w:rPr>
          <w:i/>
          <w:iCs/>
        </w:rPr>
        <w:t>Hayâlî</w:t>
      </w:r>
      <w:proofErr w:type="spellEnd"/>
      <w:r w:rsidRPr="002906A3">
        <w:rPr>
          <w:i/>
          <w:iCs/>
        </w:rPr>
        <w:t xml:space="preserve"> </w:t>
      </w:r>
      <w:proofErr w:type="spellStart"/>
      <w:r w:rsidRPr="002906A3">
        <w:rPr>
          <w:i/>
          <w:iCs/>
        </w:rPr>
        <w:t>Hayderîyken</w:t>
      </w:r>
      <w:proofErr w:type="spellEnd"/>
      <w:r w:rsidRPr="002906A3">
        <w:rPr>
          <w:i/>
          <w:iCs/>
        </w:rPr>
        <w:t xml:space="preserve"> </w:t>
      </w:r>
      <w:proofErr w:type="spellStart"/>
      <w:r w:rsidRPr="002906A3">
        <w:rPr>
          <w:i/>
          <w:iCs/>
        </w:rPr>
        <w:t>tavk</w:t>
      </w:r>
      <w:proofErr w:type="spellEnd"/>
      <w:r w:rsidRPr="002906A3">
        <w:rPr>
          <w:i/>
          <w:iCs/>
        </w:rPr>
        <w:t>-ı zer</w:t>
      </w:r>
      <w:r w:rsidRPr="002906A3">
        <w:t xml:space="preserve"> (Koyuncu, 2011: 309)</w:t>
      </w:r>
    </w:p>
    <w:p w14:paraId="6E1FF9FA" w14:textId="77777777" w:rsidR="00BA67A6" w:rsidRPr="002906A3" w:rsidRDefault="00BA67A6" w:rsidP="00BA67A6">
      <w:pPr>
        <w:pStyle w:val="GvdeMetni"/>
        <w:ind w:firstLine="720"/>
      </w:pPr>
    </w:p>
    <w:p w14:paraId="32165914" w14:textId="77777777" w:rsidR="001E7189" w:rsidRDefault="001E7189" w:rsidP="00BA67A6">
      <w:pPr>
        <w:jc w:val="both"/>
      </w:pPr>
      <w:r w:rsidRPr="002906A3">
        <w:t xml:space="preserve">Kalenderî olduğu için eleştiri oklarını </w:t>
      </w:r>
      <w:proofErr w:type="spellStart"/>
      <w:r w:rsidRPr="002906A3">
        <w:t>Hayâlî</w:t>
      </w:r>
      <w:proofErr w:type="spellEnd"/>
      <w:r w:rsidRPr="002906A3">
        <w:t xml:space="preserve"> Bey’e çeviren şairlerden bir diğeri de </w:t>
      </w:r>
      <w:proofErr w:type="spellStart"/>
      <w:r w:rsidRPr="002906A3">
        <w:t>Kandî’dir</w:t>
      </w:r>
      <w:proofErr w:type="spellEnd"/>
      <w:r w:rsidRPr="002906A3">
        <w:t xml:space="preserve">. </w:t>
      </w:r>
      <w:proofErr w:type="spellStart"/>
      <w:r w:rsidRPr="002906A3">
        <w:t>Latîfî’nin</w:t>
      </w:r>
      <w:proofErr w:type="spellEnd"/>
      <w:r w:rsidRPr="002906A3">
        <w:t xml:space="preserve"> tezkiresinde anlatılana göre gençliğinde birçok Acem illerini gezen </w:t>
      </w:r>
      <w:proofErr w:type="spellStart"/>
      <w:r w:rsidRPr="002906A3">
        <w:t>Kandî</w:t>
      </w:r>
      <w:proofErr w:type="spellEnd"/>
      <w:r w:rsidRPr="002906A3">
        <w:t xml:space="preserve">, oralarda </w:t>
      </w:r>
      <w:r w:rsidRPr="002906A3">
        <w:lastRenderedPageBreak/>
        <w:t xml:space="preserve">Ali </w:t>
      </w:r>
      <w:proofErr w:type="spellStart"/>
      <w:r w:rsidRPr="002906A3">
        <w:t>Şir</w:t>
      </w:r>
      <w:proofErr w:type="spellEnd"/>
      <w:r w:rsidRPr="002906A3">
        <w:t xml:space="preserve"> </w:t>
      </w:r>
      <w:proofErr w:type="spellStart"/>
      <w:r w:rsidRPr="002906A3">
        <w:t>Nevâî</w:t>
      </w:r>
      <w:proofErr w:type="spellEnd"/>
      <w:r w:rsidRPr="002906A3">
        <w:t xml:space="preserve"> ve </w:t>
      </w:r>
      <w:proofErr w:type="spellStart"/>
      <w:r w:rsidRPr="002906A3">
        <w:t>Câmî</w:t>
      </w:r>
      <w:proofErr w:type="spellEnd"/>
      <w:r w:rsidRPr="002906A3">
        <w:t xml:space="preserve"> ile tanışmıştır. İstanbul’a döndüğünde ise Bayezid Cami’nin avlusunda bir şekerci dükkânı açmıştır. Daha çok yaptığı şekerler ile tanınan </w:t>
      </w:r>
      <w:proofErr w:type="spellStart"/>
      <w:r w:rsidRPr="002906A3">
        <w:t>Kandî</w:t>
      </w:r>
      <w:proofErr w:type="spellEnd"/>
      <w:r w:rsidRPr="002906A3">
        <w:t xml:space="preserve">, ayrıca neredeyse her olay için yazdığı tarih manzumeleriyle de adından söz ettirmiştir. </w:t>
      </w:r>
      <w:proofErr w:type="spellStart"/>
      <w:r w:rsidRPr="002906A3">
        <w:t>Kandî’nin</w:t>
      </w:r>
      <w:proofErr w:type="spellEnd"/>
      <w:r w:rsidRPr="002906A3">
        <w:t xml:space="preserve"> yazdığı tarihlerden biri de ulufeye bağlandıktan sonra Kalenderî dervişliğinin alametlerinden sayılan “</w:t>
      </w:r>
      <w:proofErr w:type="spellStart"/>
      <w:r w:rsidRPr="002906A3">
        <w:t>tavk</w:t>
      </w:r>
      <w:proofErr w:type="spellEnd"/>
      <w:r w:rsidRPr="002906A3">
        <w:t>” ve “</w:t>
      </w:r>
      <w:proofErr w:type="spellStart"/>
      <w:r w:rsidRPr="002906A3">
        <w:t>kullab</w:t>
      </w:r>
      <w:proofErr w:type="spellEnd"/>
      <w:r w:rsidRPr="002906A3">
        <w:t xml:space="preserve">” adı verilen demir halkalarını boynundan ve ayağından çıkaran </w:t>
      </w:r>
      <w:proofErr w:type="spellStart"/>
      <w:r w:rsidRPr="002906A3">
        <w:t>Hayâlî</w:t>
      </w:r>
      <w:proofErr w:type="spellEnd"/>
      <w:r w:rsidRPr="002906A3">
        <w:t xml:space="preserve"> Bey içindir. </w:t>
      </w:r>
      <w:proofErr w:type="spellStart"/>
      <w:r w:rsidRPr="002906A3">
        <w:t>Hayâlî</w:t>
      </w:r>
      <w:proofErr w:type="spellEnd"/>
      <w:r w:rsidRPr="002906A3">
        <w:t xml:space="preserve"> Bey’in bu halkaları çıkarmasına </w:t>
      </w:r>
      <w:r w:rsidRPr="002906A3">
        <w:rPr>
          <w:i/>
          <w:iCs/>
        </w:rPr>
        <w:t xml:space="preserve">Ey </w:t>
      </w:r>
      <w:proofErr w:type="spellStart"/>
      <w:r w:rsidRPr="002906A3">
        <w:rPr>
          <w:i/>
          <w:iCs/>
        </w:rPr>
        <w:t>Hayâlî</w:t>
      </w:r>
      <w:proofErr w:type="spellEnd"/>
      <w:r w:rsidRPr="002906A3">
        <w:rPr>
          <w:i/>
          <w:iCs/>
        </w:rPr>
        <w:t xml:space="preserve"> geçmez </w:t>
      </w:r>
      <w:proofErr w:type="spellStart"/>
      <w:r w:rsidRPr="002906A3">
        <w:rPr>
          <w:i/>
          <w:iCs/>
        </w:rPr>
        <w:t>oldı</w:t>
      </w:r>
      <w:proofErr w:type="spellEnd"/>
      <w:r w:rsidRPr="002906A3">
        <w:rPr>
          <w:i/>
          <w:iCs/>
        </w:rPr>
        <w:t xml:space="preserve"> halka</w:t>
      </w:r>
      <w:r w:rsidRPr="002906A3">
        <w:t xml:space="preserve"> (Şentürk, 2004: 21) mısraıyla tarih atan </w:t>
      </w:r>
      <w:proofErr w:type="spellStart"/>
      <w:r w:rsidRPr="002906A3">
        <w:t>Kandî</w:t>
      </w:r>
      <w:proofErr w:type="spellEnd"/>
      <w:r w:rsidRPr="002906A3">
        <w:t xml:space="preserve">, </w:t>
      </w:r>
      <w:proofErr w:type="spellStart"/>
      <w:r w:rsidRPr="002906A3">
        <w:t>Hayâlî’nin</w:t>
      </w:r>
      <w:proofErr w:type="spellEnd"/>
      <w:r w:rsidRPr="002906A3">
        <w:t xml:space="preserve"> hışmına uğramış; eteğini taşlarla dolduran </w:t>
      </w:r>
      <w:proofErr w:type="spellStart"/>
      <w:r w:rsidRPr="002906A3">
        <w:t>Hayâlî</w:t>
      </w:r>
      <w:proofErr w:type="spellEnd"/>
      <w:r w:rsidRPr="002906A3">
        <w:t xml:space="preserve"> Bey, </w:t>
      </w:r>
      <w:proofErr w:type="spellStart"/>
      <w:r w:rsidRPr="002906A3">
        <w:t>Kandî’nin</w:t>
      </w:r>
      <w:proofErr w:type="spellEnd"/>
      <w:r w:rsidRPr="002906A3">
        <w:t xml:space="preserve"> şekerci dükkânını taşlamıştır.</w:t>
      </w:r>
    </w:p>
    <w:p w14:paraId="4EEEC28A" w14:textId="77777777" w:rsidR="00BA67A6" w:rsidRPr="002906A3" w:rsidRDefault="00BA67A6" w:rsidP="00BA67A6">
      <w:pPr>
        <w:jc w:val="both"/>
      </w:pPr>
    </w:p>
    <w:p w14:paraId="1E642AAA" w14:textId="77777777" w:rsidR="001E7189" w:rsidRDefault="001E7189" w:rsidP="00BA67A6">
      <w:pPr>
        <w:pStyle w:val="GvdeMetni"/>
        <w:jc w:val="both"/>
      </w:pPr>
      <w:r w:rsidRPr="002906A3">
        <w:t xml:space="preserve">16. yüzyılın önde gelen şairlerinden biri de </w:t>
      </w:r>
      <w:proofErr w:type="spellStart"/>
      <w:r w:rsidRPr="002906A3">
        <w:t>Zâtî’dir</w:t>
      </w:r>
      <w:proofErr w:type="spellEnd"/>
      <w:r w:rsidRPr="002906A3">
        <w:t xml:space="preserve">. Bayezid Cami’nin yanında bir dükkân tutan orada çeşitli işler yapmaya başlayan </w:t>
      </w:r>
      <w:proofErr w:type="spellStart"/>
      <w:r w:rsidRPr="002906A3">
        <w:t>Zâtî’nin</w:t>
      </w:r>
      <w:proofErr w:type="spellEnd"/>
      <w:r w:rsidRPr="002906A3">
        <w:t xml:space="preserve"> dükkânı zaman ilerledikçe dönemin genç şairleri için bir buluşma noktası haline gelmiştir. Bu dükkâna gelen şairlerden biri de </w:t>
      </w:r>
      <w:proofErr w:type="spellStart"/>
      <w:r w:rsidRPr="002906A3">
        <w:t>Hayâlî</w:t>
      </w:r>
      <w:proofErr w:type="spellEnd"/>
      <w:r w:rsidRPr="002906A3">
        <w:t xml:space="preserve"> Bey’dir. Tezkirelerin aktardığına göre </w:t>
      </w:r>
      <w:proofErr w:type="spellStart"/>
      <w:r w:rsidRPr="002906A3">
        <w:t>Zâtî</w:t>
      </w:r>
      <w:proofErr w:type="spellEnd"/>
      <w:r w:rsidRPr="002906A3">
        <w:t xml:space="preserve">, </w:t>
      </w:r>
      <w:proofErr w:type="spellStart"/>
      <w:r w:rsidRPr="002906A3">
        <w:t>Hayâlî</w:t>
      </w:r>
      <w:proofErr w:type="spellEnd"/>
      <w:r w:rsidRPr="002906A3">
        <w:t xml:space="preserve"> Bey’den hiç hoşlanmaz, hatta nefret edermiş. Bu nefret etme durumunun başlangıcı, tahminimizce </w:t>
      </w:r>
      <w:proofErr w:type="spellStart"/>
      <w:r w:rsidRPr="002906A3">
        <w:t>Kanûnî</w:t>
      </w:r>
      <w:proofErr w:type="spellEnd"/>
      <w:r w:rsidRPr="002906A3">
        <w:t xml:space="preserve"> dönemine dayanmaktadır. </w:t>
      </w:r>
      <w:proofErr w:type="spellStart"/>
      <w:r w:rsidRPr="002906A3">
        <w:t>Kanûnî’nin</w:t>
      </w:r>
      <w:proofErr w:type="spellEnd"/>
      <w:r w:rsidRPr="002906A3">
        <w:t xml:space="preserve"> tahta çıkmasıyla birlikte </w:t>
      </w:r>
      <w:proofErr w:type="spellStart"/>
      <w:r w:rsidRPr="002906A3">
        <w:t>Zâtî</w:t>
      </w:r>
      <w:proofErr w:type="spellEnd"/>
      <w:r w:rsidRPr="002906A3">
        <w:t xml:space="preserve"> ona kasideler yazarak caizeler almaya başlamış ve tekrar yıllık ulufeye bağlanmıştır. İbrahim Paşa’nın veziriazam oluşu ile </w:t>
      </w:r>
      <w:proofErr w:type="spellStart"/>
      <w:r w:rsidRPr="002906A3">
        <w:t>Hayâlî</w:t>
      </w:r>
      <w:proofErr w:type="spellEnd"/>
      <w:r w:rsidRPr="002906A3">
        <w:t xml:space="preserve"> Bey, o dönemin en gözde şairi haline gelmiş ve </w:t>
      </w:r>
      <w:proofErr w:type="spellStart"/>
      <w:r w:rsidRPr="002906A3">
        <w:t>Zâtî</w:t>
      </w:r>
      <w:proofErr w:type="spellEnd"/>
      <w:r w:rsidRPr="002906A3">
        <w:t xml:space="preserve"> gözden düşmüştür. Dükkânına gelenlerden biri olan </w:t>
      </w:r>
      <w:proofErr w:type="spellStart"/>
      <w:r w:rsidRPr="002906A3">
        <w:t>Hayâlî</w:t>
      </w:r>
      <w:proofErr w:type="spellEnd"/>
      <w:r w:rsidRPr="002906A3">
        <w:t xml:space="preserve"> Bey’i bulduğu her fırsatta eleştiren </w:t>
      </w:r>
      <w:proofErr w:type="spellStart"/>
      <w:r w:rsidRPr="002906A3">
        <w:t>Zâtî</w:t>
      </w:r>
      <w:proofErr w:type="spellEnd"/>
      <w:r w:rsidRPr="002906A3">
        <w:t xml:space="preserve">, kimi yerlerde küfürlü söylemlerde bulunmaktan da kaçınmamıştır. </w:t>
      </w:r>
      <w:proofErr w:type="spellStart"/>
      <w:r w:rsidRPr="002906A3">
        <w:t>Zâtî</w:t>
      </w:r>
      <w:proofErr w:type="spellEnd"/>
      <w:r w:rsidRPr="002906A3">
        <w:t xml:space="preserve">, tıpkı dönemin diğer şairleri gibi </w:t>
      </w:r>
      <w:proofErr w:type="spellStart"/>
      <w:r w:rsidRPr="002906A3">
        <w:t>Hayâlî</w:t>
      </w:r>
      <w:proofErr w:type="spellEnd"/>
      <w:r w:rsidRPr="002906A3">
        <w:t xml:space="preserve"> Bey’i Kalenderî dervişi olması yönüyle de sık sık eleştirmiştir. Aşağıda yer alan </w:t>
      </w:r>
      <w:proofErr w:type="spellStart"/>
      <w:r w:rsidRPr="002906A3">
        <w:t>nazmda</w:t>
      </w:r>
      <w:proofErr w:type="spellEnd"/>
      <w:r w:rsidRPr="002906A3">
        <w:t xml:space="preserve"> da </w:t>
      </w:r>
      <w:proofErr w:type="spellStart"/>
      <w:r w:rsidRPr="002906A3">
        <w:t>Zâtî</w:t>
      </w:r>
      <w:proofErr w:type="spellEnd"/>
      <w:r w:rsidRPr="002906A3">
        <w:t xml:space="preserve">, </w:t>
      </w:r>
      <w:proofErr w:type="spellStart"/>
      <w:r w:rsidRPr="002906A3">
        <w:t>Hayâlî</w:t>
      </w:r>
      <w:proofErr w:type="spellEnd"/>
      <w:r w:rsidRPr="002906A3">
        <w:t xml:space="preserve"> Bey için hakaret içerikli bolca ifade kullanmıştır. Bu hakaret dolu ifadelerle </w:t>
      </w:r>
      <w:proofErr w:type="spellStart"/>
      <w:r w:rsidRPr="002906A3">
        <w:t>Hayâlî’nin</w:t>
      </w:r>
      <w:proofErr w:type="spellEnd"/>
      <w:r w:rsidRPr="002906A3">
        <w:t xml:space="preserve"> hem dış görünüşünü hem dervişliğini hem de akıl ve idrakini hedef alan </w:t>
      </w:r>
      <w:proofErr w:type="spellStart"/>
      <w:r w:rsidRPr="002906A3">
        <w:t>Zâtî</w:t>
      </w:r>
      <w:proofErr w:type="spellEnd"/>
      <w:r w:rsidRPr="002906A3">
        <w:t xml:space="preserve">, kılları yolunmuş bir domuza benzettiği </w:t>
      </w:r>
      <w:proofErr w:type="spellStart"/>
      <w:r w:rsidRPr="002906A3">
        <w:t>Hayâlî’nin</w:t>
      </w:r>
      <w:proofErr w:type="spellEnd"/>
      <w:r w:rsidRPr="002906A3">
        <w:t xml:space="preserve"> “lafın özünü anlamayacak kadar da ahmak” olduğunu dile getirmiştir.</w:t>
      </w:r>
    </w:p>
    <w:p w14:paraId="6BC46E84" w14:textId="77777777" w:rsidR="00BA67A6" w:rsidRPr="002906A3" w:rsidRDefault="00BA67A6" w:rsidP="00BA67A6">
      <w:pPr>
        <w:pStyle w:val="GvdeMetni"/>
        <w:jc w:val="both"/>
      </w:pPr>
    </w:p>
    <w:p w14:paraId="03C57070" w14:textId="77777777" w:rsidR="001E7189" w:rsidRPr="002906A3" w:rsidRDefault="001E7189" w:rsidP="00BA67A6">
      <w:pPr>
        <w:ind w:firstLine="720"/>
        <w:jc w:val="both"/>
        <w:rPr>
          <w:i/>
          <w:iCs/>
        </w:rPr>
      </w:pPr>
      <w:proofErr w:type="spellStart"/>
      <w:r w:rsidRPr="002906A3">
        <w:rPr>
          <w:i/>
          <w:iCs/>
        </w:rPr>
        <w:t>Hayâlî’nüñ</w:t>
      </w:r>
      <w:proofErr w:type="spellEnd"/>
      <w:r w:rsidRPr="002906A3">
        <w:rPr>
          <w:i/>
          <w:iCs/>
        </w:rPr>
        <w:t xml:space="preserve"> </w:t>
      </w:r>
      <w:proofErr w:type="spellStart"/>
      <w:r w:rsidRPr="002906A3">
        <w:rPr>
          <w:i/>
          <w:iCs/>
        </w:rPr>
        <w:t>yüzine</w:t>
      </w:r>
      <w:proofErr w:type="spellEnd"/>
      <w:r w:rsidRPr="002906A3">
        <w:rPr>
          <w:i/>
          <w:iCs/>
        </w:rPr>
        <w:t xml:space="preserve"> </w:t>
      </w:r>
      <w:proofErr w:type="spellStart"/>
      <w:r w:rsidRPr="002906A3">
        <w:rPr>
          <w:i/>
          <w:iCs/>
        </w:rPr>
        <w:t>tü</w:t>
      </w:r>
      <w:proofErr w:type="spellEnd"/>
      <w:r w:rsidRPr="002906A3">
        <w:rPr>
          <w:i/>
          <w:iCs/>
        </w:rPr>
        <w:t xml:space="preserve"> </w:t>
      </w:r>
      <w:proofErr w:type="spellStart"/>
      <w:r w:rsidRPr="002906A3">
        <w:rPr>
          <w:i/>
          <w:iCs/>
        </w:rPr>
        <w:t>gelüpdür</w:t>
      </w:r>
      <w:proofErr w:type="spellEnd"/>
      <w:r w:rsidRPr="002906A3">
        <w:rPr>
          <w:i/>
          <w:iCs/>
        </w:rPr>
        <w:t xml:space="preserve"> </w:t>
      </w:r>
      <w:proofErr w:type="spellStart"/>
      <w:r w:rsidRPr="002906A3">
        <w:rPr>
          <w:i/>
          <w:iCs/>
        </w:rPr>
        <w:t>lîk</w:t>
      </w:r>
      <w:proofErr w:type="spellEnd"/>
      <w:r w:rsidRPr="002906A3">
        <w:rPr>
          <w:i/>
          <w:iCs/>
        </w:rPr>
        <w:t xml:space="preserve"> </w:t>
      </w:r>
      <w:proofErr w:type="spellStart"/>
      <w:r w:rsidRPr="002906A3">
        <w:rPr>
          <w:i/>
          <w:iCs/>
        </w:rPr>
        <w:t>çıblakdur</w:t>
      </w:r>
      <w:proofErr w:type="spellEnd"/>
    </w:p>
    <w:p w14:paraId="48772066" w14:textId="77777777" w:rsidR="001E7189" w:rsidRPr="002906A3" w:rsidRDefault="001E7189" w:rsidP="00BA67A6">
      <w:pPr>
        <w:pStyle w:val="Balk2"/>
        <w:spacing w:before="0" w:after="0"/>
        <w:rPr>
          <w:rFonts w:ascii="Times New Roman" w:hAnsi="Times New Roman" w:cs="Times New Roman"/>
          <w:sz w:val="24"/>
          <w:szCs w:val="24"/>
        </w:rPr>
      </w:pPr>
      <w:proofErr w:type="spellStart"/>
      <w:r w:rsidRPr="002906A3">
        <w:rPr>
          <w:rFonts w:ascii="Times New Roman" w:hAnsi="Times New Roman" w:cs="Times New Roman"/>
          <w:sz w:val="24"/>
          <w:szCs w:val="24"/>
        </w:rPr>
        <w:t>Murâdum</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vasf</w:t>
      </w:r>
      <w:proofErr w:type="spell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idüp</w:t>
      </w:r>
      <w:proofErr w:type="spellEnd"/>
      <w:r w:rsidRPr="002906A3">
        <w:rPr>
          <w:rFonts w:ascii="Times New Roman" w:hAnsi="Times New Roman" w:cs="Times New Roman"/>
          <w:sz w:val="24"/>
          <w:szCs w:val="24"/>
        </w:rPr>
        <w:t xml:space="preserve"> anı </w:t>
      </w:r>
      <w:proofErr w:type="gramStart"/>
      <w:r w:rsidRPr="002906A3">
        <w:rPr>
          <w:rFonts w:ascii="Times New Roman" w:hAnsi="Times New Roman" w:cs="Times New Roman"/>
          <w:sz w:val="24"/>
          <w:szCs w:val="24"/>
        </w:rPr>
        <w:t>b..</w:t>
      </w:r>
      <w:proofErr w:type="gramEnd"/>
      <w:r w:rsidRPr="002906A3">
        <w:rPr>
          <w:rFonts w:ascii="Times New Roman" w:hAnsi="Times New Roman" w:cs="Times New Roman"/>
          <w:sz w:val="24"/>
          <w:szCs w:val="24"/>
        </w:rPr>
        <w:t xml:space="preserve"> </w:t>
      </w:r>
      <w:proofErr w:type="gramStart"/>
      <w:r w:rsidRPr="002906A3">
        <w:rPr>
          <w:rFonts w:ascii="Times New Roman" w:hAnsi="Times New Roman" w:cs="Times New Roman"/>
          <w:sz w:val="24"/>
          <w:szCs w:val="24"/>
        </w:rPr>
        <w:t>arkıyla</w:t>
      </w:r>
      <w:proofErr w:type="gramEnd"/>
      <w:r w:rsidRPr="002906A3">
        <w:rPr>
          <w:rFonts w:ascii="Times New Roman" w:hAnsi="Times New Roman" w:cs="Times New Roman"/>
          <w:sz w:val="24"/>
          <w:szCs w:val="24"/>
        </w:rPr>
        <w:t xml:space="preserve"> </w:t>
      </w:r>
      <w:proofErr w:type="spellStart"/>
      <w:r w:rsidRPr="002906A3">
        <w:rPr>
          <w:rFonts w:ascii="Times New Roman" w:hAnsi="Times New Roman" w:cs="Times New Roman"/>
          <w:sz w:val="24"/>
          <w:szCs w:val="24"/>
        </w:rPr>
        <w:t>tonatmakdur</w:t>
      </w:r>
      <w:proofErr w:type="spellEnd"/>
    </w:p>
    <w:p w14:paraId="1D22CD3C" w14:textId="77777777" w:rsidR="001E7189" w:rsidRPr="002906A3" w:rsidRDefault="001E7189" w:rsidP="00BA67A6">
      <w:pPr>
        <w:ind w:firstLine="720"/>
        <w:jc w:val="both"/>
        <w:rPr>
          <w:i/>
          <w:iCs/>
        </w:rPr>
      </w:pPr>
      <w:proofErr w:type="spellStart"/>
      <w:r w:rsidRPr="002906A3">
        <w:rPr>
          <w:i/>
          <w:iCs/>
        </w:rPr>
        <w:t>Yüzinüñ</w:t>
      </w:r>
      <w:proofErr w:type="spellEnd"/>
      <w:r w:rsidRPr="002906A3">
        <w:rPr>
          <w:i/>
          <w:iCs/>
        </w:rPr>
        <w:t xml:space="preserve"> iki yanında </w:t>
      </w:r>
      <w:proofErr w:type="spellStart"/>
      <w:r w:rsidRPr="002906A3">
        <w:rPr>
          <w:i/>
          <w:iCs/>
        </w:rPr>
        <w:t>dügüm</w:t>
      </w:r>
      <w:proofErr w:type="spellEnd"/>
      <w:r w:rsidRPr="002906A3">
        <w:rPr>
          <w:i/>
          <w:iCs/>
        </w:rPr>
        <w:t xml:space="preserve"> </w:t>
      </w:r>
      <w:proofErr w:type="spellStart"/>
      <w:r w:rsidRPr="002906A3">
        <w:rPr>
          <w:i/>
          <w:iCs/>
        </w:rPr>
        <w:t>vardur</w:t>
      </w:r>
      <w:proofErr w:type="spellEnd"/>
      <w:r w:rsidRPr="002906A3">
        <w:rPr>
          <w:i/>
          <w:iCs/>
        </w:rPr>
        <w:t xml:space="preserve"> bu </w:t>
      </w:r>
      <w:proofErr w:type="spellStart"/>
      <w:r w:rsidRPr="002906A3">
        <w:rPr>
          <w:i/>
          <w:iCs/>
        </w:rPr>
        <w:t>abdâluñ</w:t>
      </w:r>
      <w:proofErr w:type="spellEnd"/>
    </w:p>
    <w:p w14:paraId="5B284B04" w14:textId="77777777" w:rsidR="001E7189" w:rsidRPr="002906A3" w:rsidRDefault="001E7189" w:rsidP="00BA67A6">
      <w:pPr>
        <w:ind w:firstLine="720"/>
        <w:jc w:val="both"/>
        <w:rPr>
          <w:i/>
          <w:iCs/>
        </w:rPr>
      </w:pPr>
      <w:proofErr w:type="spellStart"/>
      <w:r w:rsidRPr="002906A3">
        <w:rPr>
          <w:i/>
          <w:iCs/>
        </w:rPr>
        <w:t>Taşagıyla</w:t>
      </w:r>
      <w:proofErr w:type="spellEnd"/>
      <w:r w:rsidRPr="002906A3">
        <w:rPr>
          <w:i/>
          <w:iCs/>
        </w:rPr>
        <w:t xml:space="preserve"> </w:t>
      </w:r>
      <w:proofErr w:type="spellStart"/>
      <w:r w:rsidRPr="002906A3">
        <w:rPr>
          <w:i/>
          <w:iCs/>
        </w:rPr>
        <w:t>götine</w:t>
      </w:r>
      <w:proofErr w:type="spellEnd"/>
      <w:r w:rsidRPr="002906A3">
        <w:rPr>
          <w:i/>
          <w:iCs/>
        </w:rPr>
        <w:t xml:space="preserve"> sanki </w:t>
      </w:r>
      <w:proofErr w:type="spellStart"/>
      <w:r w:rsidRPr="002906A3">
        <w:rPr>
          <w:i/>
          <w:iCs/>
        </w:rPr>
        <w:t>baglu</w:t>
      </w:r>
      <w:proofErr w:type="spellEnd"/>
      <w:r w:rsidRPr="002906A3">
        <w:rPr>
          <w:i/>
          <w:iCs/>
        </w:rPr>
        <w:t xml:space="preserve"> iki </w:t>
      </w:r>
      <w:proofErr w:type="spellStart"/>
      <w:r w:rsidRPr="002906A3">
        <w:rPr>
          <w:i/>
          <w:iCs/>
        </w:rPr>
        <w:t>yaprakdur</w:t>
      </w:r>
      <w:proofErr w:type="spellEnd"/>
    </w:p>
    <w:p w14:paraId="33D2B896" w14:textId="77777777" w:rsidR="001E7189" w:rsidRPr="002906A3" w:rsidRDefault="001E7189" w:rsidP="00BA67A6">
      <w:pPr>
        <w:ind w:firstLine="720"/>
        <w:jc w:val="both"/>
        <w:rPr>
          <w:i/>
          <w:iCs/>
        </w:rPr>
      </w:pPr>
      <w:proofErr w:type="spellStart"/>
      <w:r w:rsidRPr="002906A3">
        <w:rPr>
          <w:i/>
          <w:iCs/>
        </w:rPr>
        <w:t>Toñuzdan</w:t>
      </w:r>
      <w:proofErr w:type="spellEnd"/>
      <w:r w:rsidRPr="002906A3">
        <w:rPr>
          <w:i/>
          <w:iCs/>
        </w:rPr>
        <w:t xml:space="preserve"> bir kıl üzmek </w:t>
      </w:r>
      <w:proofErr w:type="spellStart"/>
      <w:r w:rsidRPr="002906A3">
        <w:rPr>
          <w:i/>
          <w:iCs/>
        </w:rPr>
        <w:t>assı</w:t>
      </w:r>
      <w:proofErr w:type="spellEnd"/>
      <w:r w:rsidRPr="002906A3">
        <w:rPr>
          <w:i/>
          <w:iCs/>
        </w:rPr>
        <w:t xml:space="preserve"> </w:t>
      </w:r>
      <w:proofErr w:type="spellStart"/>
      <w:r w:rsidRPr="002906A3">
        <w:rPr>
          <w:i/>
          <w:iCs/>
        </w:rPr>
        <w:t>oldugın</w:t>
      </w:r>
      <w:proofErr w:type="spellEnd"/>
      <w:r w:rsidRPr="002906A3">
        <w:rPr>
          <w:i/>
          <w:iCs/>
        </w:rPr>
        <w:t xml:space="preserve"> </w:t>
      </w:r>
      <w:proofErr w:type="spellStart"/>
      <w:r w:rsidRPr="002906A3">
        <w:rPr>
          <w:i/>
          <w:iCs/>
        </w:rPr>
        <w:t>bilüp</w:t>
      </w:r>
      <w:proofErr w:type="spellEnd"/>
      <w:r w:rsidRPr="002906A3">
        <w:rPr>
          <w:i/>
          <w:iCs/>
        </w:rPr>
        <w:t xml:space="preserve"> iller</w:t>
      </w:r>
    </w:p>
    <w:p w14:paraId="36002E0E" w14:textId="77777777" w:rsidR="001E7189" w:rsidRPr="002906A3" w:rsidRDefault="001E7189" w:rsidP="00BA67A6">
      <w:pPr>
        <w:ind w:firstLine="720"/>
        <w:jc w:val="both"/>
        <w:rPr>
          <w:i/>
          <w:iCs/>
        </w:rPr>
      </w:pPr>
      <w:r w:rsidRPr="002906A3">
        <w:rPr>
          <w:i/>
          <w:iCs/>
        </w:rPr>
        <w:t xml:space="preserve">Sakalın </w:t>
      </w:r>
      <w:proofErr w:type="spellStart"/>
      <w:r w:rsidRPr="002906A3">
        <w:rPr>
          <w:i/>
          <w:iCs/>
        </w:rPr>
        <w:t>üzdiler</w:t>
      </w:r>
      <w:proofErr w:type="spellEnd"/>
      <w:r w:rsidRPr="002906A3">
        <w:rPr>
          <w:i/>
          <w:iCs/>
        </w:rPr>
        <w:t xml:space="preserve"> tel </w:t>
      </w:r>
      <w:proofErr w:type="spellStart"/>
      <w:r w:rsidRPr="002906A3">
        <w:rPr>
          <w:i/>
          <w:iCs/>
        </w:rPr>
        <w:t>tel</w:t>
      </w:r>
      <w:proofErr w:type="spellEnd"/>
      <w:r w:rsidRPr="002906A3">
        <w:rPr>
          <w:i/>
          <w:iCs/>
        </w:rPr>
        <w:t xml:space="preserve"> </w:t>
      </w:r>
      <w:proofErr w:type="spellStart"/>
      <w:r w:rsidRPr="002906A3">
        <w:rPr>
          <w:i/>
          <w:iCs/>
        </w:rPr>
        <w:t>anuñçün</w:t>
      </w:r>
      <w:proofErr w:type="spellEnd"/>
      <w:r w:rsidRPr="002906A3">
        <w:rPr>
          <w:i/>
          <w:iCs/>
        </w:rPr>
        <w:t xml:space="preserve"> böyle </w:t>
      </w:r>
      <w:proofErr w:type="spellStart"/>
      <w:r w:rsidRPr="002906A3">
        <w:rPr>
          <w:i/>
          <w:iCs/>
        </w:rPr>
        <w:t>torlakdur</w:t>
      </w:r>
      <w:proofErr w:type="spellEnd"/>
    </w:p>
    <w:p w14:paraId="3FF3A794" w14:textId="77777777" w:rsidR="001E7189" w:rsidRPr="002906A3" w:rsidRDefault="001E7189" w:rsidP="00BA67A6">
      <w:pPr>
        <w:ind w:firstLine="720"/>
        <w:jc w:val="both"/>
        <w:rPr>
          <w:i/>
          <w:iCs/>
        </w:rPr>
      </w:pPr>
      <w:proofErr w:type="spellStart"/>
      <w:r w:rsidRPr="002906A3">
        <w:rPr>
          <w:i/>
          <w:iCs/>
        </w:rPr>
        <w:t>Didüm</w:t>
      </w:r>
      <w:proofErr w:type="spellEnd"/>
      <w:r w:rsidRPr="002906A3">
        <w:rPr>
          <w:i/>
          <w:iCs/>
        </w:rPr>
        <w:t xml:space="preserve"> ki </w:t>
      </w:r>
      <w:proofErr w:type="spellStart"/>
      <w:r w:rsidRPr="002906A3">
        <w:rPr>
          <w:i/>
          <w:iCs/>
        </w:rPr>
        <w:t>üzerem</w:t>
      </w:r>
      <w:proofErr w:type="spellEnd"/>
      <w:r w:rsidRPr="002906A3">
        <w:rPr>
          <w:i/>
          <w:iCs/>
        </w:rPr>
        <w:t xml:space="preserve"> </w:t>
      </w:r>
      <w:proofErr w:type="spellStart"/>
      <w:r w:rsidRPr="002906A3">
        <w:rPr>
          <w:i/>
          <w:iCs/>
        </w:rPr>
        <w:t>rîşüñ</w:t>
      </w:r>
      <w:proofErr w:type="spellEnd"/>
      <w:r w:rsidRPr="002906A3">
        <w:rPr>
          <w:i/>
          <w:iCs/>
        </w:rPr>
        <w:t xml:space="preserve"> </w:t>
      </w:r>
      <w:proofErr w:type="spellStart"/>
      <w:r w:rsidRPr="002906A3">
        <w:rPr>
          <w:i/>
          <w:iCs/>
        </w:rPr>
        <w:t>eyitdi</w:t>
      </w:r>
      <w:proofErr w:type="spellEnd"/>
      <w:r w:rsidRPr="002906A3">
        <w:rPr>
          <w:i/>
          <w:iCs/>
        </w:rPr>
        <w:t xml:space="preserve"> kim ne </w:t>
      </w:r>
      <w:proofErr w:type="spellStart"/>
      <w:r w:rsidRPr="002906A3">
        <w:rPr>
          <w:i/>
          <w:iCs/>
        </w:rPr>
        <w:t>götüñ</w:t>
      </w:r>
      <w:proofErr w:type="spellEnd"/>
      <w:r w:rsidRPr="002906A3">
        <w:rPr>
          <w:i/>
          <w:iCs/>
        </w:rPr>
        <w:t xml:space="preserve"> var</w:t>
      </w:r>
    </w:p>
    <w:p w14:paraId="0170A01A" w14:textId="77777777" w:rsidR="001E7189" w:rsidRPr="002906A3" w:rsidRDefault="001E7189" w:rsidP="00BA67A6">
      <w:pPr>
        <w:ind w:firstLine="720"/>
        <w:jc w:val="both"/>
        <w:rPr>
          <w:i/>
          <w:iCs/>
        </w:rPr>
      </w:pPr>
      <w:proofErr w:type="spellStart"/>
      <w:r w:rsidRPr="002906A3">
        <w:rPr>
          <w:i/>
          <w:iCs/>
        </w:rPr>
        <w:t>Fesâdın</w:t>
      </w:r>
      <w:proofErr w:type="spellEnd"/>
      <w:r w:rsidRPr="002906A3">
        <w:rPr>
          <w:i/>
          <w:iCs/>
        </w:rPr>
        <w:t xml:space="preserve"> </w:t>
      </w:r>
      <w:proofErr w:type="spellStart"/>
      <w:r w:rsidRPr="002906A3">
        <w:rPr>
          <w:i/>
          <w:iCs/>
        </w:rPr>
        <w:t>añlamaz</w:t>
      </w:r>
      <w:proofErr w:type="spellEnd"/>
      <w:r w:rsidRPr="002906A3">
        <w:rPr>
          <w:i/>
          <w:iCs/>
        </w:rPr>
        <w:t xml:space="preserve"> </w:t>
      </w:r>
      <w:proofErr w:type="spellStart"/>
      <w:r w:rsidRPr="002906A3">
        <w:rPr>
          <w:i/>
          <w:iCs/>
        </w:rPr>
        <w:t>sözüñ</w:t>
      </w:r>
      <w:proofErr w:type="spellEnd"/>
      <w:r w:rsidRPr="002906A3">
        <w:rPr>
          <w:i/>
          <w:iCs/>
        </w:rPr>
        <w:t xml:space="preserve"> </w:t>
      </w:r>
      <w:proofErr w:type="spellStart"/>
      <w:r w:rsidRPr="002906A3">
        <w:rPr>
          <w:i/>
          <w:iCs/>
        </w:rPr>
        <w:t>görüñ</w:t>
      </w:r>
      <w:proofErr w:type="spellEnd"/>
      <w:r w:rsidRPr="002906A3">
        <w:rPr>
          <w:i/>
          <w:iCs/>
        </w:rPr>
        <w:t xml:space="preserve"> kim nice </w:t>
      </w:r>
      <w:proofErr w:type="spellStart"/>
      <w:r w:rsidRPr="002906A3">
        <w:rPr>
          <w:i/>
          <w:iCs/>
        </w:rPr>
        <w:t>ahmakdur</w:t>
      </w:r>
      <w:proofErr w:type="spellEnd"/>
    </w:p>
    <w:p w14:paraId="58BAB5EC" w14:textId="77777777" w:rsidR="001E7189" w:rsidRPr="002906A3" w:rsidRDefault="001E7189" w:rsidP="00BA67A6">
      <w:pPr>
        <w:ind w:firstLine="720"/>
        <w:jc w:val="both"/>
        <w:rPr>
          <w:i/>
          <w:iCs/>
        </w:rPr>
      </w:pPr>
      <w:r w:rsidRPr="002906A3">
        <w:rPr>
          <w:i/>
          <w:iCs/>
        </w:rPr>
        <w:t xml:space="preserve">Sakalın </w:t>
      </w:r>
      <w:proofErr w:type="spellStart"/>
      <w:r w:rsidRPr="002906A3">
        <w:rPr>
          <w:i/>
          <w:iCs/>
        </w:rPr>
        <w:t>sırrıla</w:t>
      </w:r>
      <w:proofErr w:type="spellEnd"/>
      <w:r w:rsidRPr="002906A3">
        <w:rPr>
          <w:i/>
          <w:iCs/>
        </w:rPr>
        <w:t xml:space="preserve"> üzüp </w:t>
      </w:r>
      <w:proofErr w:type="spellStart"/>
      <w:r w:rsidRPr="002906A3">
        <w:rPr>
          <w:i/>
          <w:iCs/>
        </w:rPr>
        <w:t>büzügi</w:t>
      </w:r>
      <w:proofErr w:type="spellEnd"/>
      <w:r w:rsidRPr="002906A3">
        <w:rPr>
          <w:i/>
          <w:iCs/>
        </w:rPr>
        <w:t xml:space="preserve"> </w:t>
      </w:r>
      <w:proofErr w:type="spellStart"/>
      <w:r w:rsidRPr="002906A3">
        <w:rPr>
          <w:i/>
          <w:iCs/>
        </w:rPr>
        <w:t>agzına</w:t>
      </w:r>
      <w:proofErr w:type="spellEnd"/>
      <w:r w:rsidRPr="002906A3">
        <w:rPr>
          <w:i/>
          <w:iCs/>
        </w:rPr>
        <w:t xml:space="preserve"> korduk</w:t>
      </w:r>
    </w:p>
    <w:p w14:paraId="0DE20C95" w14:textId="77777777" w:rsidR="001E7189" w:rsidRDefault="001E7189" w:rsidP="00BA67A6">
      <w:pPr>
        <w:ind w:firstLine="720"/>
        <w:jc w:val="both"/>
      </w:pPr>
      <w:r w:rsidRPr="002906A3">
        <w:rPr>
          <w:i/>
          <w:iCs/>
        </w:rPr>
        <w:t xml:space="preserve">Velî âşık </w:t>
      </w:r>
      <w:proofErr w:type="spellStart"/>
      <w:r w:rsidRPr="002906A3">
        <w:rPr>
          <w:i/>
          <w:iCs/>
        </w:rPr>
        <w:t>üzendür</w:t>
      </w:r>
      <w:proofErr w:type="spellEnd"/>
      <w:r w:rsidRPr="002906A3">
        <w:rPr>
          <w:i/>
          <w:iCs/>
        </w:rPr>
        <w:t xml:space="preserve"> ol </w:t>
      </w:r>
      <w:proofErr w:type="spellStart"/>
      <w:r w:rsidRPr="002906A3">
        <w:rPr>
          <w:i/>
          <w:iCs/>
        </w:rPr>
        <w:t>ziyâde</w:t>
      </w:r>
      <w:proofErr w:type="spellEnd"/>
      <w:r w:rsidRPr="002906A3">
        <w:rPr>
          <w:i/>
          <w:iCs/>
        </w:rPr>
        <w:t xml:space="preserve"> </w:t>
      </w:r>
      <w:proofErr w:type="spellStart"/>
      <w:r w:rsidRPr="002906A3">
        <w:rPr>
          <w:i/>
          <w:iCs/>
        </w:rPr>
        <w:t>agzı</w:t>
      </w:r>
      <w:proofErr w:type="spellEnd"/>
      <w:r w:rsidRPr="002906A3">
        <w:rPr>
          <w:i/>
          <w:iCs/>
        </w:rPr>
        <w:t xml:space="preserve"> </w:t>
      </w:r>
      <w:proofErr w:type="spellStart"/>
      <w:r w:rsidRPr="002906A3">
        <w:rPr>
          <w:i/>
          <w:iCs/>
        </w:rPr>
        <w:t>yıprakdur</w:t>
      </w:r>
      <w:proofErr w:type="spellEnd"/>
      <w:r w:rsidRPr="002906A3">
        <w:t xml:space="preserve"> (Kurtoğlu, 2017: 315)</w:t>
      </w:r>
    </w:p>
    <w:p w14:paraId="6FB4CBFB" w14:textId="77777777" w:rsidR="00BA67A6" w:rsidRPr="002906A3" w:rsidRDefault="00BA67A6" w:rsidP="00BA67A6">
      <w:pPr>
        <w:ind w:firstLine="720"/>
        <w:jc w:val="both"/>
      </w:pPr>
    </w:p>
    <w:p w14:paraId="34097A02" w14:textId="77777777" w:rsidR="001E7189" w:rsidRDefault="001E7189" w:rsidP="00BA67A6">
      <w:pPr>
        <w:jc w:val="both"/>
      </w:pPr>
      <w:proofErr w:type="spellStart"/>
      <w:r w:rsidRPr="002906A3">
        <w:t>Zâtî’nin</w:t>
      </w:r>
      <w:proofErr w:type="spellEnd"/>
      <w:r w:rsidRPr="002906A3">
        <w:t xml:space="preserve"> bu sözlerine rağmen </w:t>
      </w:r>
      <w:proofErr w:type="spellStart"/>
      <w:r w:rsidRPr="002906A3">
        <w:t>Hâyâlî</w:t>
      </w:r>
      <w:proofErr w:type="spellEnd"/>
      <w:r w:rsidRPr="002906A3">
        <w:t xml:space="preserve"> Bey, onun dükkânına gelip gitmeyi sürdürmüş ve hatta onun şiirlerini tahmis etmiştir. Âşık Çelebi’ye göre </w:t>
      </w:r>
      <w:proofErr w:type="spellStart"/>
      <w:r w:rsidRPr="002906A3">
        <w:t>Hayâlî</w:t>
      </w:r>
      <w:proofErr w:type="spellEnd"/>
      <w:r w:rsidRPr="002906A3">
        <w:t xml:space="preserve"> Bey, </w:t>
      </w:r>
      <w:proofErr w:type="spellStart"/>
      <w:r w:rsidRPr="002906A3">
        <w:t>Zâtî’nin</w:t>
      </w:r>
      <w:proofErr w:type="spellEnd"/>
      <w:r w:rsidRPr="002906A3">
        <w:t xml:space="preserve"> şiirleri haricinde hiç kimsenin şiirlerini tahmis etmemiştir. Bu durum da </w:t>
      </w:r>
      <w:proofErr w:type="spellStart"/>
      <w:r w:rsidRPr="002906A3">
        <w:t>Hayâlî</w:t>
      </w:r>
      <w:proofErr w:type="spellEnd"/>
      <w:r w:rsidRPr="002906A3">
        <w:t xml:space="preserve"> Bey’in şair </w:t>
      </w:r>
      <w:proofErr w:type="spellStart"/>
      <w:r w:rsidRPr="002906A3">
        <w:t>Zâtî’nin</w:t>
      </w:r>
      <w:proofErr w:type="spellEnd"/>
      <w:r w:rsidRPr="002906A3">
        <w:t xml:space="preserve"> büyüklüğünü kabul ettiğinin ve bu sebeple sözlerini sineye çektiğinin bir göstergesidir.</w:t>
      </w:r>
    </w:p>
    <w:p w14:paraId="209416B0" w14:textId="77777777" w:rsidR="00BA67A6" w:rsidRPr="002906A3" w:rsidRDefault="00BA67A6" w:rsidP="00BA67A6">
      <w:pPr>
        <w:jc w:val="both"/>
        <w:rPr>
          <w:b/>
          <w:bCs/>
        </w:rPr>
      </w:pPr>
    </w:p>
    <w:p w14:paraId="6A9A7C4F" w14:textId="77777777" w:rsidR="001E7189" w:rsidRPr="002906A3" w:rsidRDefault="001E7189" w:rsidP="00BA67A6">
      <w:pPr>
        <w:jc w:val="both"/>
        <w:rPr>
          <w:b/>
          <w:bCs/>
        </w:rPr>
      </w:pPr>
      <w:r w:rsidRPr="002906A3">
        <w:rPr>
          <w:b/>
          <w:bCs/>
        </w:rPr>
        <w:t>Şairliğinin ve Şiirlerinin Rağbet Görmesi Üzerinden Yapılan Eleştiriler</w:t>
      </w:r>
    </w:p>
    <w:p w14:paraId="439FDDE2" w14:textId="77777777" w:rsidR="001E7189" w:rsidRDefault="001E7189" w:rsidP="00BA67A6">
      <w:pPr>
        <w:jc w:val="both"/>
      </w:pPr>
      <w:r w:rsidRPr="002906A3">
        <w:t xml:space="preserve">Âşık Çelebi tezkiresinde yer alan bilgilere göre Tebriz Seferi’nin ardından Taşlıcalı Yahyâ, Sultan Süleyman’a bir kaside yazmıştır. Kasidesinde Sultan Süleyman’ı öven Taşlıcalı, bazı beyitlerde </w:t>
      </w:r>
      <w:proofErr w:type="spellStart"/>
      <w:r w:rsidRPr="002906A3">
        <w:t>Hayâlî</w:t>
      </w:r>
      <w:proofErr w:type="spellEnd"/>
      <w:r w:rsidRPr="002906A3">
        <w:t xml:space="preserve"> Bey’i eleştirmekten de geri duramamıştır. Eleştirisini yaparken bir yandan da halini padişaha izah etmeye çalışan Taşlıcalı, </w:t>
      </w:r>
      <w:proofErr w:type="spellStart"/>
      <w:r w:rsidRPr="002906A3">
        <w:t>Hayâlî</w:t>
      </w:r>
      <w:proofErr w:type="spellEnd"/>
      <w:r w:rsidRPr="002906A3">
        <w:t xml:space="preserve"> Bey’e gösterilen saygının kendisine gösterilmediğinden yakınmaktadır. Mesleği askerlik olan Taşlıcalı, görevleri sebebiyle savaşlara katılan bir şairdir. Bu hususta devlete vermiş olduğu hizmetin daha büyük ve önemli </w:t>
      </w:r>
      <w:r w:rsidRPr="002906A3">
        <w:lastRenderedPageBreak/>
        <w:t xml:space="preserve">olduğunu düşünmektedir. Savaşlara katılıp başarı gösteren üstüne üstlük bir yandan da şiir yazan bir isim olarak, </w:t>
      </w:r>
      <w:proofErr w:type="spellStart"/>
      <w:r w:rsidRPr="002906A3">
        <w:t>Hayâlî</w:t>
      </w:r>
      <w:proofErr w:type="spellEnd"/>
      <w:r w:rsidRPr="002906A3">
        <w:t xml:space="preserve"> Bey gibi bir ışık dervişinden daha fazla saygıyı hak ettiğini belirten Taşlıcalı, kendisinin devlete hizmeti ile </w:t>
      </w:r>
      <w:proofErr w:type="spellStart"/>
      <w:r w:rsidRPr="002906A3">
        <w:t>Hayâlî</w:t>
      </w:r>
      <w:proofErr w:type="spellEnd"/>
      <w:r w:rsidRPr="002906A3">
        <w:t xml:space="preserve"> Bey’in şairlik harici bir mesleğinin olmamasını kıyaslayarak </w:t>
      </w:r>
      <w:proofErr w:type="spellStart"/>
      <w:r w:rsidRPr="002906A3">
        <w:t>Hayâlî</w:t>
      </w:r>
      <w:proofErr w:type="spellEnd"/>
      <w:r w:rsidRPr="002906A3">
        <w:t xml:space="preserve"> Bey’i bir dilenciye benzetmektedir.</w:t>
      </w:r>
    </w:p>
    <w:p w14:paraId="18367A96" w14:textId="77777777" w:rsidR="00BA67A6" w:rsidRPr="002906A3" w:rsidRDefault="00BA67A6" w:rsidP="00BA67A6">
      <w:pPr>
        <w:jc w:val="both"/>
      </w:pPr>
    </w:p>
    <w:p w14:paraId="670FF241" w14:textId="77777777" w:rsidR="001E7189" w:rsidRPr="002906A3" w:rsidRDefault="001E7189" w:rsidP="00BA67A6">
      <w:pPr>
        <w:ind w:firstLine="720"/>
        <w:jc w:val="both"/>
        <w:rPr>
          <w:i/>
          <w:iCs/>
        </w:rPr>
      </w:pPr>
      <w:r w:rsidRPr="002906A3">
        <w:rPr>
          <w:i/>
          <w:iCs/>
        </w:rPr>
        <w:t xml:space="preserve">Bana olaydı </w:t>
      </w:r>
      <w:proofErr w:type="spellStart"/>
      <w:r w:rsidRPr="002906A3">
        <w:rPr>
          <w:i/>
          <w:iCs/>
        </w:rPr>
        <w:t>Hayâlî’ye</w:t>
      </w:r>
      <w:proofErr w:type="spellEnd"/>
      <w:r w:rsidRPr="002906A3">
        <w:rPr>
          <w:i/>
          <w:iCs/>
        </w:rPr>
        <w:t xml:space="preserve"> olan hürmetler</w:t>
      </w:r>
    </w:p>
    <w:p w14:paraId="69CD8891" w14:textId="77777777" w:rsidR="001E7189" w:rsidRPr="002906A3" w:rsidRDefault="001E7189" w:rsidP="00BA67A6">
      <w:pPr>
        <w:ind w:firstLine="720"/>
        <w:jc w:val="both"/>
        <w:rPr>
          <w:i/>
          <w:iCs/>
        </w:rPr>
      </w:pPr>
      <w:r w:rsidRPr="002906A3">
        <w:rPr>
          <w:i/>
          <w:iCs/>
        </w:rPr>
        <w:t xml:space="preserve">Hak </w:t>
      </w:r>
      <w:proofErr w:type="spellStart"/>
      <w:r w:rsidRPr="002906A3">
        <w:rPr>
          <w:i/>
          <w:iCs/>
        </w:rPr>
        <w:t>bilür</w:t>
      </w:r>
      <w:proofErr w:type="spellEnd"/>
      <w:r w:rsidRPr="002906A3">
        <w:rPr>
          <w:i/>
          <w:iCs/>
        </w:rPr>
        <w:t xml:space="preserve"> </w:t>
      </w:r>
      <w:proofErr w:type="spellStart"/>
      <w:r w:rsidRPr="002906A3">
        <w:rPr>
          <w:i/>
          <w:iCs/>
        </w:rPr>
        <w:t>sihr</w:t>
      </w:r>
      <w:proofErr w:type="spellEnd"/>
      <w:r w:rsidRPr="002906A3">
        <w:rPr>
          <w:i/>
          <w:iCs/>
        </w:rPr>
        <w:t xml:space="preserve">-i helâl eyler </w:t>
      </w:r>
      <w:proofErr w:type="spellStart"/>
      <w:r w:rsidRPr="002906A3">
        <w:rPr>
          <w:i/>
          <w:iCs/>
        </w:rPr>
        <w:t>idüm</w:t>
      </w:r>
      <w:proofErr w:type="spellEnd"/>
      <w:r w:rsidRPr="002906A3">
        <w:rPr>
          <w:i/>
          <w:iCs/>
        </w:rPr>
        <w:t xml:space="preserve"> </w:t>
      </w:r>
      <w:proofErr w:type="spellStart"/>
      <w:r w:rsidRPr="002906A3">
        <w:rPr>
          <w:i/>
          <w:iCs/>
        </w:rPr>
        <w:t>şi’r</w:t>
      </w:r>
      <w:proofErr w:type="spellEnd"/>
      <w:r w:rsidRPr="002906A3">
        <w:rPr>
          <w:i/>
          <w:iCs/>
        </w:rPr>
        <w:t>-i teri</w:t>
      </w:r>
    </w:p>
    <w:p w14:paraId="0CFD2488" w14:textId="77777777" w:rsidR="001E7189" w:rsidRPr="002906A3" w:rsidRDefault="001E7189" w:rsidP="00BA67A6">
      <w:pPr>
        <w:ind w:left="720"/>
        <w:jc w:val="both"/>
        <w:rPr>
          <w:i/>
          <w:iCs/>
        </w:rPr>
      </w:pPr>
      <w:r w:rsidRPr="002906A3">
        <w:rPr>
          <w:i/>
          <w:iCs/>
        </w:rPr>
        <w:t xml:space="preserve">Ne </w:t>
      </w:r>
      <w:proofErr w:type="spellStart"/>
      <w:r w:rsidRPr="002906A3">
        <w:rPr>
          <w:i/>
          <w:iCs/>
        </w:rPr>
        <w:t>belâdur</w:t>
      </w:r>
      <w:proofErr w:type="spellEnd"/>
      <w:r w:rsidRPr="002906A3">
        <w:rPr>
          <w:i/>
          <w:iCs/>
        </w:rPr>
        <w:t xml:space="preserve"> bu ki sâyem gibi </w:t>
      </w:r>
      <w:proofErr w:type="spellStart"/>
      <w:r w:rsidRPr="002906A3">
        <w:rPr>
          <w:i/>
          <w:iCs/>
        </w:rPr>
        <w:t>altumda</w:t>
      </w:r>
      <w:proofErr w:type="spellEnd"/>
      <w:r w:rsidRPr="002906A3">
        <w:rPr>
          <w:i/>
          <w:iCs/>
        </w:rPr>
        <w:t xml:space="preserve"> iken</w:t>
      </w:r>
    </w:p>
    <w:p w14:paraId="666F2090" w14:textId="77777777" w:rsidR="001E7189" w:rsidRPr="002906A3" w:rsidRDefault="001E7189" w:rsidP="00BA67A6">
      <w:pPr>
        <w:ind w:left="720"/>
        <w:jc w:val="both"/>
        <w:rPr>
          <w:i/>
          <w:iCs/>
        </w:rPr>
      </w:pPr>
      <w:r w:rsidRPr="002906A3">
        <w:rPr>
          <w:i/>
          <w:iCs/>
        </w:rPr>
        <w:t xml:space="preserve">Gün gibi bir </w:t>
      </w:r>
      <w:proofErr w:type="spellStart"/>
      <w:r w:rsidRPr="002906A3">
        <w:rPr>
          <w:i/>
          <w:iCs/>
        </w:rPr>
        <w:t>ışıguñ</w:t>
      </w:r>
      <w:proofErr w:type="spellEnd"/>
      <w:r w:rsidRPr="002906A3">
        <w:rPr>
          <w:i/>
          <w:iCs/>
        </w:rPr>
        <w:t xml:space="preserve"> </w:t>
      </w:r>
      <w:proofErr w:type="spellStart"/>
      <w:r w:rsidRPr="002906A3">
        <w:rPr>
          <w:i/>
          <w:iCs/>
        </w:rPr>
        <w:t>üsti</w:t>
      </w:r>
      <w:proofErr w:type="spellEnd"/>
      <w:r w:rsidRPr="002906A3">
        <w:rPr>
          <w:i/>
          <w:iCs/>
        </w:rPr>
        <w:t xml:space="preserve"> </w:t>
      </w:r>
      <w:proofErr w:type="spellStart"/>
      <w:r w:rsidRPr="002906A3">
        <w:rPr>
          <w:i/>
          <w:iCs/>
        </w:rPr>
        <w:t>yanum</w:t>
      </w:r>
      <w:proofErr w:type="spellEnd"/>
      <w:r w:rsidRPr="002906A3">
        <w:rPr>
          <w:i/>
          <w:iCs/>
        </w:rPr>
        <w:t xml:space="preserve"> ola yeri</w:t>
      </w:r>
    </w:p>
    <w:p w14:paraId="50412621" w14:textId="77777777" w:rsidR="001E7189" w:rsidRPr="002906A3" w:rsidRDefault="001E7189" w:rsidP="00BA67A6">
      <w:pPr>
        <w:ind w:left="720"/>
        <w:jc w:val="both"/>
        <w:rPr>
          <w:i/>
          <w:iCs/>
        </w:rPr>
      </w:pPr>
      <w:r w:rsidRPr="002906A3">
        <w:rPr>
          <w:i/>
          <w:iCs/>
        </w:rPr>
        <w:t xml:space="preserve">Ben </w:t>
      </w:r>
      <w:proofErr w:type="spellStart"/>
      <w:r w:rsidRPr="002906A3">
        <w:rPr>
          <w:i/>
          <w:iCs/>
        </w:rPr>
        <w:t>şecâ’at</w:t>
      </w:r>
      <w:proofErr w:type="spellEnd"/>
      <w:r w:rsidRPr="002906A3">
        <w:rPr>
          <w:i/>
          <w:iCs/>
        </w:rPr>
        <w:t xml:space="preserve"> </w:t>
      </w:r>
      <w:proofErr w:type="spellStart"/>
      <w:r w:rsidRPr="002906A3">
        <w:rPr>
          <w:i/>
          <w:iCs/>
        </w:rPr>
        <w:t>kılıcıyam</w:t>
      </w:r>
      <w:proofErr w:type="spellEnd"/>
      <w:r w:rsidRPr="002906A3">
        <w:rPr>
          <w:i/>
          <w:iCs/>
        </w:rPr>
        <w:t xml:space="preserve"> ol ışıklar </w:t>
      </w:r>
      <w:proofErr w:type="spellStart"/>
      <w:r w:rsidRPr="002906A3">
        <w:rPr>
          <w:i/>
          <w:iCs/>
        </w:rPr>
        <w:t>pulucı</w:t>
      </w:r>
      <w:proofErr w:type="spellEnd"/>
    </w:p>
    <w:p w14:paraId="6E609674" w14:textId="77777777" w:rsidR="001E7189" w:rsidRDefault="001E7189" w:rsidP="00BA67A6">
      <w:pPr>
        <w:ind w:left="720"/>
        <w:jc w:val="both"/>
      </w:pPr>
      <w:r w:rsidRPr="002906A3">
        <w:rPr>
          <w:i/>
          <w:iCs/>
        </w:rPr>
        <w:t xml:space="preserve">Ben savaş </w:t>
      </w:r>
      <w:proofErr w:type="spellStart"/>
      <w:r w:rsidRPr="002906A3">
        <w:rPr>
          <w:i/>
          <w:iCs/>
        </w:rPr>
        <w:t>güni</w:t>
      </w:r>
      <w:proofErr w:type="spellEnd"/>
      <w:r w:rsidRPr="002906A3">
        <w:rPr>
          <w:i/>
          <w:iCs/>
        </w:rPr>
        <w:t xml:space="preserve"> </w:t>
      </w:r>
      <w:proofErr w:type="spellStart"/>
      <w:r w:rsidRPr="002906A3">
        <w:rPr>
          <w:i/>
          <w:iCs/>
        </w:rPr>
        <w:t>çeriyem</w:t>
      </w:r>
      <w:proofErr w:type="spellEnd"/>
      <w:r w:rsidRPr="002906A3">
        <w:rPr>
          <w:i/>
          <w:iCs/>
        </w:rPr>
        <w:t xml:space="preserve"> o </w:t>
      </w:r>
      <w:proofErr w:type="spellStart"/>
      <w:r w:rsidRPr="002906A3">
        <w:rPr>
          <w:i/>
          <w:iCs/>
        </w:rPr>
        <w:t>hemân</w:t>
      </w:r>
      <w:proofErr w:type="spellEnd"/>
      <w:r w:rsidRPr="002906A3">
        <w:rPr>
          <w:i/>
          <w:iCs/>
        </w:rPr>
        <w:t xml:space="preserve"> cerde </w:t>
      </w:r>
      <w:proofErr w:type="spellStart"/>
      <w:r w:rsidRPr="002906A3">
        <w:rPr>
          <w:i/>
          <w:iCs/>
        </w:rPr>
        <w:t>cerî</w:t>
      </w:r>
      <w:proofErr w:type="spellEnd"/>
      <w:r w:rsidRPr="002906A3">
        <w:rPr>
          <w:i/>
          <w:iCs/>
        </w:rPr>
        <w:t xml:space="preserve"> </w:t>
      </w:r>
      <w:r w:rsidRPr="002906A3">
        <w:t>(Bozyiğit, 2021: 176)</w:t>
      </w:r>
    </w:p>
    <w:p w14:paraId="2F43B824" w14:textId="77777777" w:rsidR="00B74176" w:rsidRPr="002906A3" w:rsidRDefault="00B74176" w:rsidP="00BA67A6">
      <w:pPr>
        <w:ind w:left="720"/>
        <w:jc w:val="both"/>
        <w:rPr>
          <w:i/>
          <w:iCs/>
        </w:rPr>
      </w:pPr>
    </w:p>
    <w:p w14:paraId="0A78D183" w14:textId="77777777" w:rsidR="001E7189" w:rsidRDefault="001E7189" w:rsidP="00BA67A6">
      <w:pPr>
        <w:jc w:val="both"/>
      </w:pPr>
      <w:proofErr w:type="spellStart"/>
      <w:r w:rsidRPr="002906A3">
        <w:t>Hayâlî</w:t>
      </w:r>
      <w:proofErr w:type="spellEnd"/>
      <w:r w:rsidRPr="002906A3">
        <w:t xml:space="preserve"> Bey’in İstanbul’a gelişi hayatında önemli bir dönüm noktası olmuştur. İstanbul’da kendini geliştirmeye yönelen şair, bir yandan da şiirler yazarak ismini duyurmuştur. Yazdığı şiirlerle dönemin Rumeli Defterdarı İskender Çelebi’nin dikkatini çeken </w:t>
      </w:r>
      <w:proofErr w:type="spellStart"/>
      <w:r w:rsidRPr="002906A3">
        <w:t>Hayâlî</w:t>
      </w:r>
      <w:proofErr w:type="spellEnd"/>
      <w:r w:rsidRPr="002906A3">
        <w:t xml:space="preserve"> Bey, ardından Sadrazam İbrahim Paşa ile Sultan Süleyman’ın da teveccühünü kazanmıştır. Sultan Süleyman’a art arda sunduğu gazeller ve kasideler ile </w:t>
      </w:r>
      <w:proofErr w:type="spellStart"/>
      <w:r w:rsidRPr="002906A3">
        <w:t>Kanûnî’nin</w:t>
      </w:r>
      <w:proofErr w:type="spellEnd"/>
      <w:r w:rsidRPr="002906A3">
        <w:t xml:space="preserve"> gözünde kıymeti artmıştır. </w:t>
      </w:r>
      <w:proofErr w:type="spellStart"/>
      <w:r w:rsidRPr="002906A3">
        <w:t>Kanûnî’nin</w:t>
      </w:r>
      <w:proofErr w:type="spellEnd"/>
      <w:r w:rsidRPr="002906A3">
        <w:t xml:space="preserve"> gözüne girmesiyle birlikte kendisine büyük miktarlarda ulufe verilmesi, dönem şairlerinin </w:t>
      </w:r>
      <w:proofErr w:type="spellStart"/>
      <w:r w:rsidRPr="002906A3">
        <w:t>Hayâlî</w:t>
      </w:r>
      <w:proofErr w:type="spellEnd"/>
      <w:r w:rsidRPr="002906A3">
        <w:t xml:space="preserve"> Bey’e karşı kıskançlığına sebep olmuş ve birçok şair tarafından eleştiri oklarına maruz kalmıştır. </w:t>
      </w:r>
      <w:proofErr w:type="spellStart"/>
      <w:r w:rsidRPr="002906A3">
        <w:t>Hayâlî</w:t>
      </w:r>
      <w:proofErr w:type="spellEnd"/>
      <w:r w:rsidRPr="002906A3">
        <w:t xml:space="preserve"> Bey’i eleştiren şairlerden biri de </w:t>
      </w:r>
      <w:proofErr w:type="spellStart"/>
      <w:r w:rsidRPr="002906A3">
        <w:t>Emîrek-zâde’dir</w:t>
      </w:r>
      <w:proofErr w:type="spellEnd"/>
      <w:r w:rsidRPr="002906A3">
        <w:t xml:space="preserve">. 16. yüzyıl şairlerin olan </w:t>
      </w:r>
      <w:proofErr w:type="spellStart"/>
      <w:r w:rsidRPr="002906A3">
        <w:t>Emîrek</w:t>
      </w:r>
      <w:proofErr w:type="spellEnd"/>
      <w:r w:rsidRPr="002906A3">
        <w:t xml:space="preserve">-zâde hakkında kaynaklarda detaylı bilgiler bulunmamaktadır ancak Âşık Çelebi’nin belirttiğine göre şair, İstanbul’da doğmuş, şairliğinin yanı sıra tıp, felsefe ve musiki gibi ilim dallarıyla ilgilenmiştir. Defterdar İskender Çelebi’nin </w:t>
      </w:r>
      <w:proofErr w:type="spellStart"/>
      <w:r w:rsidRPr="002906A3">
        <w:t>Hayâlî</w:t>
      </w:r>
      <w:proofErr w:type="spellEnd"/>
      <w:r w:rsidRPr="002906A3">
        <w:t xml:space="preserve"> Bey’i desteklemesini kıskanan </w:t>
      </w:r>
      <w:proofErr w:type="spellStart"/>
      <w:r w:rsidRPr="002906A3">
        <w:t>Emîrek</w:t>
      </w:r>
      <w:proofErr w:type="spellEnd"/>
      <w:r w:rsidRPr="002906A3">
        <w:t xml:space="preserve">-zâde, bir beyit kaleme almış ve bu beyitte bir yandan </w:t>
      </w:r>
      <w:proofErr w:type="spellStart"/>
      <w:r w:rsidRPr="002906A3">
        <w:t>Hayâlî</w:t>
      </w:r>
      <w:proofErr w:type="spellEnd"/>
      <w:r w:rsidRPr="002906A3">
        <w:t xml:space="preserve"> Bey’i “murdar” olarak nitelemiş, bir yandan da dolaylı olarak </w:t>
      </w:r>
      <w:proofErr w:type="spellStart"/>
      <w:r w:rsidRPr="002906A3">
        <w:t>Hayâlî</w:t>
      </w:r>
      <w:proofErr w:type="spellEnd"/>
      <w:r w:rsidRPr="002906A3">
        <w:t xml:space="preserve"> Bey’i himaye eden İskender Çelebi’yi eleştirmiştir.</w:t>
      </w:r>
    </w:p>
    <w:p w14:paraId="73703CE1" w14:textId="77777777" w:rsidR="00BA67A6" w:rsidRPr="002906A3" w:rsidRDefault="00BA67A6" w:rsidP="00BA67A6">
      <w:pPr>
        <w:jc w:val="both"/>
      </w:pPr>
    </w:p>
    <w:p w14:paraId="580A3B52" w14:textId="77777777" w:rsidR="001E7189" w:rsidRPr="002906A3" w:rsidRDefault="001E7189" w:rsidP="00BA67A6">
      <w:pPr>
        <w:ind w:firstLine="720"/>
        <w:jc w:val="both"/>
        <w:rPr>
          <w:i/>
          <w:iCs/>
        </w:rPr>
      </w:pPr>
      <w:proofErr w:type="spellStart"/>
      <w:r w:rsidRPr="002906A3">
        <w:rPr>
          <w:i/>
          <w:iCs/>
        </w:rPr>
        <w:t>Şol</w:t>
      </w:r>
      <w:proofErr w:type="spellEnd"/>
      <w:r w:rsidRPr="002906A3">
        <w:rPr>
          <w:i/>
          <w:iCs/>
        </w:rPr>
        <w:t xml:space="preserve"> </w:t>
      </w:r>
      <w:proofErr w:type="spellStart"/>
      <w:r w:rsidRPr="002906A3">
        <w:rPr>
          <w:i/>
          <w:iCs/>
        </w:rPr>
        <w:t>Sikender</w:t>
      </w:r>
      <w:proofErr w:type="spellEnd"/>
      <w:r w:rsidRPr="002906A3">
        <w:rPr>
          <w:i/>
          <w:iCs/>
        </w:rPr>
        <w:t xml:space="preserve"> Çelebi </w:t>
      </w:r>
      <w:proofErr w:type="spellStart"/>
      <w:r w:rsidRPr="002906A3">
        <w:rPr>
          <w:i/>
          <w:iCs/>
        </w:rPr>
        <w:t>Rûmili</w:t>
      </w:r>
      <w:proofErr w:type="spellEnd"/>
      <w:r w:rsidRPr="002906A3">
        <w:rPr>
          <w:i/>
          <w:iCs/>
        </w:rPr>
        <w:t xml:space="preserve"> </w:t>
      </w:r>
      <w:proofErr w:type="spellStart"/>
      <w:r w:rsidRPr="002906A3">
        <w:rPr>
          <w:i/>
          <w:iCs/>
        </w:rPr>
        <w:t>defterdârı</w:t>
      </w:r>
      <w:proofErr w:type="spellEnd"/>
    </w:p>
    <w:p w14:paraId="1B92A37D" w14:textId="77777777" w:rsidR="001E7189" w:rsidRDefault="001E7189" w:rsidP="00BA67A6">
      <w:pPr>
        <w:ind w:firstLine="720"/>
        <w:jc w:val="both"/>
      </w:pPr>
      <w:proofErr w:type="spellStart"/>
      <w:r w:rsidRPr="002906A3">
        <w:rPr>
          <w:i/>
          <w:iCs/>
        </w:rPr>
        <w:t>Terbiyet</w:t>
      </w:r>
      <w:proofErr w:type="spellEnd"/>
      <w:r w:rsidRPr="002906A3">
        <w:rPr>
          <w:i/>
          <w:iCs/>
        </w:rPr>
        <w:t xml:space="preserve"> </w:t>
      </w:r>
      <w:proofErr w:type="spellStart"/>
      <w:r w:rsidRPr="002906A3">
        <w:rPr>
          <w:i/>
          <w:iCs/>
        </w:rPr>
        <w:t>itdi</w:t>
      </w:r>
      <w:proofErr w:type="spellEnd"/>
      <w:r w:rsidRPr="002906A3">
        <w:rPr>
          <w:i/>
          <w:iCs/>
        </w:rPr>
        <w:t xml:space="preserve"> </w:t>
      </w:r>
      <w:proofErr w:type="spellStart"/>
      <w:r w:rsidRPr="002906A3">
        <w:rPr>
          <w:i/>
          <w:iCs/>
        </w:rPr>
        <w:t>Hayâlî</w:t>
      </w:r>
      <w:proofErr w:type="spellEnd"/>
      <w:r w:rsidRPr="002906A3">
        <w:rPr>
          <w:i/>
          <w:iCs/>
        </w:rPr>
        <w:t xml:space="preserve"> denen ol </w:t>
      </w:r>
      <w:proofErr w:type="spellStart"/>
      <w:r w:rsidRPr="002906A3">
        <w:rPr>
          <w:i/>
          <w:iCs/>
        </w:rPr>
        <w:t>murdârı</w:t>
      </w:r>
      <w:proofErr w:type="spellEnd"/>
      <w:r w:rsidRPr="002906A3">
        <w:rPr>
          <w:i/>
          <w:iCs/>
        </w:rPr>
        <w:t xml:space="preserve"> </w:t>
      </w:r>
      <w:r w:rsidRPr="002906A3">
        <w:t>(Kılıç, 2018: 160)</w:t>
      </w:r>
    </w:p>
    <w:p w14:paraId="2CD890A5" w14:textId="77777777" w:rsidR="00BA67A6" w:rsidRPr="002906A3" w:rsidRDefault="00BA67A6" w:rsidP="00BA67A6">
      <w:pPr>
        <w:ind w:firstLine="720"/>
        <w:jc w:val="both"/>
      </w:pPr>
    </w:p>
    <w:p w14:paraId="6396BF0F" w14:textId="77777777" w:rsidR="001E7189" w:rsidRDefault="001E7189" w:rsidP="00BA67A6">
      <w:pPr>
        <w:jc w:val="both"/>
      </w:pPr>
      <w:r w:rsidRPr="002906A3">
        <w:t xml:space="preserve">Eleştirilere sessiz kalmayan </w:t>
      </w:r>
      <w:proofErr w:type="spellStart"/>
      <w:r w:rsidRPr="002906A3">
        <w:t>Hayâlî</w:t>
      </w:r>
      <w:proofErr w:type="spellEnd"/>
      <w:r w:rsidRPr="002906A3">
        <w:t xml:space="preserve"> Bey, </w:t>
      </w:r>
      <w:proofErr w:type="spellStart"/>
      <w:r w:rsidRPr="002906A3">
        <w:t>Emîrek-zâde’ye</w:t>
      </w:r>
      <w:proofErr w:type="spellEnd"/>
      <w:r w:rsidRPr="002906A3">
        <w:t xml:space="preserve"> karşılık vermiştir. </w:t>
      </w:r>
      <w:proofErr w:type="spellStart"/>
      <w:r w:rsidRPr="002906A3">
        <w:t>Hayâlî</w:t>
      </w:r>
      <w:proofErr w:type="spellEnd"/>
      <w:r w:rsidRPr="002906A3">
        <w:t xml:space="preserve"> Bey’in verdiği karşılık ile ilgili kaynaklarda bilgi bulunamamış ve bahsedilen cevap şiiri günümüze ulaşamamıştır. Ancak Âşık Çelebi’nin tezkiresinde belirttiğine göre </w:t>
      </w:r>
      <w:proofErr w:type="spellStart"/>
      <w:r w:rsidRPr="002906A3">
        <w:t>Hayâlî</w:t>
      </w:r>
      <w:proofErr w:type="spellEnd"/>
      <w:r w:rsidRPr="002906A3">
        <w:t xml:space="preserve"> Bey’in günümüze ulaşamayan cevabı </w:t>
      </w:r>
      <w:proofErr w:type="spellStart"/>
      <w:r w:rsidRPr="002906A3">
        <w:t>Emîrek-zâde’ye</w:t>
      </w:r>
      <w:proofErr w:type="spellEnd"/>
      <w:r w:rsidRPr="002906A3">
        <w:t xml:space="preserve"> ulaşmıştır. </w:t>
      </w:r>
      <w:proofErr w:type="spellStart"/>
      <w:r w:rsidRPr="002906A3">
        <w:t>Hayâlî</w:t>
      </w:r>
      <w:proofErr w:type="spellEnd"/>
      <w:r w:rsidRPr="002906A3">
        <w:t xml:space="preserve"> Bey’in bu cevabına, hekimliği de bulunan </w:t>
      </w:r>
      <w:proofErr w:type="spellStart"/>
      <w:r w:rsidRPr="002906A3">
        <w:t>Emîrek</w:t>
      </w:r>
      <w:proofErr w:type="spellEnd"/>
      <w:r w:rsidRPr="002906A3">
        <w:t xml:space="preserve">-zâde, mesleğine uygun düşen bir kıta ile karşılık vermiş ve “hekim tayfası haşarı olur, sakın onlarla uğraşma, yoksa sen zararlı çıkarsın” diyerek </w:t>
      </w:r>
      <w:proofErr w:type="spellStart"/>
      <w:r w:rsidRPr="002906A3">
        <w:t>Hayâlî</w:t>
      </w:r>
      <w:proofErr w:type="spellEnd"/>
      <w:r w:rsidRPr="002906A3">
        <w:t xml:space="preserve"> Bey’i uyarmıştır.</w:t>
      </w:r>
    </w:p>
    <w:p w14:paraId="12A070FB" w14:textId="77777777" w:rsidR="00BA67A6" w:rsidRPr="002906A3" w:rsidRDefault="00BA67A6" w:rsidP="00BA67A6">
      <w:pPr>
        <w:jc w:val="both"/>
      </w:pPr>
    </w:p>
    <w:p w14:paraId="292C9BAF" w14:textId="2D772A3D" w:rsidR="001E7189" w:rsidRPr="002906A3" w:rsidRDefault="001E7189" w:rsidP="00BA67A6">
      <w:pPr>
        <w:ind w:firstLine="720"/>
        <w:jc w:val="both"/>
        <w:rPr>
          <w:i/>
          <w:iCs/>
        </w:rPr>
      </w:pPr>
      <w:r w:rsidRPr="002906A3">
        <w:rPr>
          <w:i/>
          <w:iCs/>
        </w:rPr>
        <w:t xml:space="preserve">Ey </w:t>
      </w:r>
      <w:proofErr w:type="spellStart"/>
      <w:r w:rsidRPr="002906A3">
        <w:rPr>
          <w:i/>
          <w:iCs/>
        </w:rPr>
        <w:t>Hayâlî</w:t>
      </w:r>
      <w:proofErr w:type="spellEnd"/>
      <w:r w:rsidRPr="002906A3">
        <w:rPr>
          <w:i/>
          <w:iCs/>
        </w:rPr>
        <w:t xml:space="preserve"> </w:t>
      </w:r>
      <w:proofErr w:type="spellStart"/>
      <w:r w:rsidRPr="002906A3">
        <w:rPr>
          <w:i/>
          <w:iCs/>
        </w:rPr>
        <w:t>hekîme</w:t>
      </w:r>
      <w:proofErr w:type="spellEnd"/>
      <w:r w:rsidRPr="002906A3">
        <w:rPr>
          <w:i/>
          <w:iCs/>
        </w:rPr>
        <w:t xml:space="preserve"> </w:t>
      </w:r>
      <w:proofErr w:type="spellStart"/>
      <w:r w:rsidRPr="002906A3">
        <w:rPr>
          <w:i/>
          <w:iCs/>
        </w:rPr>
        <w:t>ta’n</w:t>
      </w:r>
      <w:proofErr w:type="spellEnd"/>
      <w:r w:rsidRPr="002906A3">
        <w:rPr>
          <w:i/>
          <w:iCs/>
        </w:rPr>
        <w:t xml:space="preserve"> itme</w:t>
      </w:r>
    </w:p>
    <w:p w14:paraId="2F5D5E5E" w14:textId="77777777" w:rsidR="001E7189" w:rsidRPr="002906A3" w:rsidRDefault="001E7189" w:rsidP="00BA67A6">
      <w:pPr>
        <w:ind w:firstLine="720"/>
        <w:jc w:val="both"/>
        <w:rPr>
          <w:i/>
          <w:iCs/>
        </w:rPr>
      </w:pPr>
      <w:r w:rsidRPr="002906A3">
        <w:rPr>
          <w:i/>
          <w:iCs/>
        </w:rPr>
        <w:t xml:space="preserve">Sakın olur bu </w:t>
      </w:r>
      <w:proofErr w:type="spellStart"/>
      <w:r w:rsidRPr="002906A3">
        <w:rPr>
          <w:i/>
          <w:iCs/>
        </w:rPr>
        <w:t>tâ’ife</w:t>
      </w:r>
      <w:proofErr w:type="spellEnd"/>
      <w:r w:rsidRPr="002906A3">
        <w:rPr>
          <w:i/>
          <w:iCs/>
        </w:rPr>
        <w:t xml:space="preserve"> haşarı</w:t>
      </w:r>
    </w:p>
    <w:p w14:paraId="2BFA152A" w14:textId="77777777" w:rsidR="001E7189" w:rsidRPr="002906A3" w:rsidRDefault="001E7189" w:rsidP="00BA67A6">
      <w:pPr>
        <w:ind w:firstLine="720"/>
        <w:jc w:val="both"/>
        <w:rPr>
          <w:i/>
          <w:iCs/>
        </w:rPr>
      </w:pPr>
      <w:proofErr w:type="spellStart"/>
      <w:r w:rsidRPr="002906A3">
        <w:rPr>
          <w:i/>
          <w:iCs/>
        </w:rPr>
        <w:t>Yogsa</w:t>
      </w:r>
      <w:proofErr w:type="spellEnd"/>
      <w:r w:rsidRPr="002906A3">
        <w:rPr>
          <w:i/>
          <w:iCs/>
        </w:rPr>
        <w:t xml:space="preserve"> bir gün </w:t>
      </w:r>
      <w:proofErr w:type="spellStart"/>
      <w:r w:rsidRPr="002906A3">
        <w:rPr>
          <w:i/>
          <w:iCs/>
        </w:rPr>
        <w:t>dübür-gehüne</w:t>
      </w:r>
      <w:proofErr w:type="spellEnd"/>
      <w:r w:rsidRPr="002906A3">
        <w:rPr>
          <w:i/>
          <w:iCs/>
        </w:rPr>
        <w:t xml:space="preserve"> sokar</w:t>
      </w:r>
    </w:p>
    <w:p w14:paraId="340ABE01" w14:textId="77777777" w:rsidR="001E7189" w:rsidRDefault="001E7189" w:rsidP="00BA67A6">
      <w:pPr>
        <w:ind w:firstLine="720"/>
        <w:jc w:val="both"/>
      </w:pPr>
      <w:r w:rsidRPr="002906A3">
        <w:rPr>
          <w:i/>
          <w:iCs/>
        </w:rPr>
        <w:t>Saf-ı ‘</w:t>
      </w:r>
      <w:proofErr w:type="spellStart"/>
      <w:r w:rsidRPr="002906A3">
        <w:rPr>
          <w:i/>
          <w:iCs/>
        </w:rPr>
        <w:t>uryân</w:t>
      </w:r>
      <w:proofErr w:type="spellEnd"/>
      <w:r w:rsidRPr="002906A3">
        <w:rPr>
          <w:i/>
          <w:iCs/>
        </w:rPr>
        <w:t xml:space="preserve"> u </w:t>
      </w:r>
      <w:proofErr w:type="spellStart"/>
      <w:r w:rsidRPr="002906A3">
        <w:rPr>
          <w:i/>
          <w:iCs/>
        </w:rPr>
        <w:t>hukne</w:t>
      </w:r>
      <w:proofErr w:type="spellEnd"/>
      <w:r w:rsidRPr="002906A3">
        <w:rPr>
          <w:i/>
          <w:iCs/>
        </w:rPr>
        <w:t xml:space="preserve">-i </w:t>
      </w:r>
      <w:proofErr w:type="gramStart"/>
      <w:r w:rsidRPr="002906A3">
        <w:rPr>
          <w:i/>
          <w:iCs/>
        </w:rPr>
        <w:t>beşeri</w:t>
      </w:r>
      <w:proofErr w:type="gramEnd"/>
      <w:r w:rsidRPr="002906A3">
        <w:t xml:space="preserve"> (Kılıç, 2018: 160)</w:t>
      </w:r>
    </w:p>
    <w:p w14:paraId="16E105F9" w14:textId="77777777" w:rsidR="00BA67A6" w:rsidRPr="002906A3" w:rsidRDefault="00BA67A6" w:rsidP="00BA67A6">
      <w:pPr>
        <w:ind w:firstLine="720"/>
        <w:jc w:val="both"/>
      </w:pPr>
    </w:p>
    <w:p w14:paraId="1B280CB9" w14:textId="77777777" w:rsidR="001E7189" w:rsidRDefault="001E7189" w:rsidP="00BA67A6">
      <w:pPr>
        <w:pStyle w:val="GvdeMetni"/>
        <w:jc w:val="both"/>
      </w:pPr>
      <w:proofErr w:type="spellStart"/>
      <w:r w:rsidRPr="002906A3">
        <w:t>Emîrek-zâde’nin</w:t>
      </w:r>
      <w:proofErr w:type="spellEnd"/>
      <w:r w:rsidRPr="002906A3">
        <w:t xml:space="preserve"> </w:t>
      </w:r>
      <w:proofErr w:type="spellStart"/>
      <w:r w:rsidRPr="002906A3">
        <w:t>Hayâlî</w:t>
      </w:r>
      <w:proofErr w:type="spellEnd"/>
      <w:r w:rsidRPr="002906A3">
        <w:t xml:space="preserve"> Bey’e olan kıskançlığı bu kıta ve beyitten ibaret değildir. Âşık Çelebi’nin tezkiresinde yer alan bir hikâyeye göre bir mecliste </w:t>
      </w:r>
      <w:proofErr w:type="spellStart"/>
      <w:r w:rsidRPr="002906A3">
        <w:t>Emîrek-zâde’nin</w:t>
      </w:r>
      <w:proofErr w:type="spellEnd"/>
      <w:r w:rsidRPr="002906A3">
        <w:t xml:space="preserve"> aşağıda yer alan matlayı </w:t>
      </w:r>
      <w:proofErr w:type="spellStart"/>
      <w:r w:rsidRPr="002906A3">
        <w:t>Farsça’ya</w:t>
      </w:r>
      <w:proofErr w:type="spellEnd"/>
      <w:r w:rsidRPr="002906A3">
        <w:t xml:space="preserve"> tercüme edip “Bu anlamı Fars şairleri daha önce nazmetmişlerdir, </w:t>
      </w:r>
      <w:proofErr w:type="spellStart"/>
      <w:r w:rsidRPr="002906A3">
        <w:t>Hayâlî</w:t>
      </w:r>
      <w:proofErr w:type="spellEnd"/>
      <w:r w:rsidRPr="002906A3">
        <w:t xml:space="preserve"> de o şairlerden tercüme etmiştir” diyerek mecliste bulunanları bu duruma inandırmıştır. Âşık Çelebi, </w:t>
      </w:r>
      <w:proofErr w:type="spellStart"/>
      <w:r w:rsidRPr="002906A3">
        <w:t>Emîrek-zâde’nin</w:t>
      </w:r>
      <w:proofErr w:type="spellEnd"/>
      <w:r w:rsidRPr="002906A3">
        <w:t xml:space="preserve"> </w:t>
      </w:r>
      <w:proofErr w:type="spellStart"/>
      <w:r w:rsidRPr="002906A3">
        <w:t>Hayâlî</w:t>
      </w:r>
      <w:proofErr w:type="spellEnd"/>
      <w:r w:rsidRPr="002906A3">
        <w:t xml:space="preserve"> Bey’e bu şekilde bir tuzak kurması üzerine “</w:t>
      </w:r>
      <w:proofErr w:type="spellStart"/>
      <w:r w:rsidRPr="002906A3">
        <w:t>Hayâlî’yi</w:t>
      </w:r>
      <w:proofErr w:type="spellEnd"/>
      <w:r w:rsidRPr="002906A3">
        <w:t xml:space="preserve"> </w:t>
      </w:r>
      <w:r w:rsidRPr="002906A3">
        <w:lastRenderedPageBreak/>
        <w:t xml:space="preserve">canından bezdirmiştir” diyerek </w:t>
      </w:r>
      <w:proofErr w:type="spellStart"/>
      <w:r w:rsidRPr="002906A3">
        <w:t>Emîrek-zâde’nin</w:t>
      </w:r>
      <w:proofErr w:type="spellEnd"/>
      <w:r w:rsidRPr="002906A3">
        <w:t xml:space="preserve"> </w:t>
      </w:r>
      <w:proofErr w:type="spellStart"/>
      <w:r w:rsidRPr="002906A3">
        <w:t>Hayâlî</w:t>
      </w:r>
      <w:proofErr w:type="spellEnd"/>
      <w:r w:rsidRPr="002906A3">
        <w:t xml:space="preserve"> Bey’e karşı olan kıskançlığını ve kinini adeta bir cümleyle özetlemiştir.</w:t>
      </w:r>
    </w:p>
    <w:p w14:paraId="3F6D157B" w14:textId="77777777" w:rsidR="00BA67A6" w:rsidRPr="002906A3" w:rsidRDefault="00BA67A6" w:rsidP="00BA67A6">
      <w:pPr>
        <w:pStyle w:val="GvdeMetni"/>
        <w:jc w:val="both"/>
      </w:pPr>
    </w:p>
    <w:p w14:paraId="6A7CDF4F" w14:textId="4F9C349C" w:rsidR="001E7189" w:rsidRPr="002906A3" w:rsidRDefault="001E7189" w:rsidP="00BA67A6">
      <w:pPr>
        <w:jc w:val="both"/>
        <w:rPr>
          <w:i/>
          <w:iCs/>
        </w:rPr>
      </w:pPr>
      <w:proofErr w:type="spellStart"/>
      <w:r w:rsidRPr="002906A3">
        <w:rPr>
          <w:i/>
          <w:iCs/>
        </w:rPr>
        <w:t>Çeşm</w:t>
      </w:r>
      <w:proofErr w:type="spellEnd"/>
      <w:r w:rsidRPr="002906A3">
        <w:rPr>
          <w:i/>
          <w:iCs/>
        </w:rPr>
        <w:t xml:space="preserve">-i </w:t>
      </w:r>
      <w:proofErr w:type="spellStart"/>
      <w:r w:rsidRPr="002906A3">
        <w:rPr>
          <w:i/>
          <w:iCs/>
        </w:rPr>
        <w:t>Mecnûn</w:t>
      </w:r>
      <w:proofErr w:type="spellEnd"/>
      <w:r w:rsidRPr="002906A3">
        <w:rPr>
          <w:i/>
          <w:iCs/>
        </w:rPr>
        <w:t xml:space="preserve"> </w:t>
      </w:r>
      <w:proofErr w:type="spellStart"/>
      <w:r w:rsidRPr="002906A3">
        <w:rPr>
          <w:i/>
          <w:iCs/>
        </w:rPr>
        <w:t>şud</w:t>
      </w:r>
      <w:proofErr w:type="spellEnd"/>
      <w:r w:rsidRPr="002906A3">
        <w:rPr>
          <w:i/>
          <w:iCs/>
        </w:rPr>
        <w:t xml:space="preserve"> hayâl-i </w:t>
      </w:r>
      <w:proofErr w:type="spellStart"/>
      <w:r w:rsidRPr="002906A3">
        <w:rPr>
          <w:i/>
          <w:iCs/>
        </w:rPr>
        <w:t>Leyliyeş</w:t>
      </w:r>
      <w:proofErr w:type="spellEnd"/>
      <w:r w:rsidRPr="002906A3">
        <w:rPr>
          <w:i/>
          <w:iCs/>
        </w:rPr>
        <w:t xml:space="preserve"> </w:t>
      </w:r>
      <w:proofErr w:type="spellStart"/>
      <w:r w:rsidRPr="002906A3">
        <w:rPr>
          <w:i/>
          <w:iCs/>
        </w:rPr>
        <w:t>râ</w:t>
      </w:r>
      <w:proofErr w:type="spellEnd"/>
      <w:r w:rsidRPr="002906A3">
        <w:rPr>
          <w:i/>
          <w:iCs/>
        </w:rPr>
        <w:t xml:space="preserve"> </w:t>
      </w:r>
      <w:proofErr w:type="spellStart"/>
      <w:r w:rsidRPr="002906A3">
        <w:rPr>
          <w:i/>
          <w:iCs/>
        </w:rPr>
        <w:t>cilvegâh</w:t>
      </w:r>
      <w:proofErr w:type="spellEnd"/>
    </w:p>
    <w:p w14:paraId="538FCC30" w14:textId="369B2555" w:rsidR="001E7189" w:rsidRDefault="001E7189" w:rsidP="00BA67A6">
      <w:pPr>
        <w:jc w:val="both"/>
      </w:pPr>
      <w:r w:rsidRPr="002906A3">
        <w:rPr>
          <w:i/>
          <w:iCs/>
        </w:rPr>
        <w:t xml:space="preserve">Her dem </w:t>
      </w:r>
      <w:proofErr w:type="spellStart"/>
      <w:r w:rsidRPr="002906A3">
        <w:rPr>
          <w:i/>
          <w:iCs/>
        </w:rPr>
        <w:t>sahrâ-nişîn</w:t>
      </w:r>
      <w:proofErr w:type="spellEnd"/>
      <w:r w:rsidRPr="002906A3">
        <w:rPr>
          <w:i/>
          <w:iCs/>
        </w:rPr>
        <w:t xml:space="preserve"> </w:t>
      </w:r>
      <w:proofErr w:type="spellStart"/>
      <w:r w:rsidRPr="002906A3">
        <w:rPr>
          <w:i/>
          <w:iCs/>
        </w:rPr>
        <w:t>râ</w:t>
      </w:r>
      <w:proofErr w:type="spellEnd"/>
      <w:r w:rsidRPr="002906A3">
        <w:rPr>
          <w:i/>
          <w:iCs/>
        </w:rPr>
        <w:t xml:space="preserve"> </w:t>
      </w:r>
      <w:proofErr w:type="spellStart"/>
      <w:r w:rsidRPr="002906A3">
        <w:rPr>
          <w:i/>
          <w:iCs/>
        </w:rPr>
        <w:t>hâne</w:t>
      </w:r>
      <w:proofErr w:type="spellEnd"/>
      <w:r w:rsidRPr="002906A3">
        <w:rPr>
          <w:i/>
          <w:iCs/>
        </w:rPr>
        <w:t xml:space="preserve"> mi </w:t>
      </w:r>
      <w:proofErr w:type="spellStart"/>
      <w:r w:rsidRPr="002906A3">
        <w:rPr>
          <w:i/>
          <w:iCs/>
        </w:rPr>
        <w:t>bâşed</w:t>
      </w:r>
      <w:proofErr w:type="spellEnd"/>
      <w:r w:rsidRPr="002906A3">
        <w:rPr>
          <w:i/>
          <w:iCs/>
        </w:rPr>
        <w:t xml:space="preserve"> </w:t>
      </w:r>
      <w:proofErr w:type="spellStart"/>
      <w:r w:rsidRPr="002906A3">
        <w:rPr>
          <w:i/>
          <w:iCs/>
        </w:rPr>
        <w:t>siyâh</w:t>
      </w:r>
      <w:proofErr w:type="spellEnd"/>
      <w:r w:rsidRPr="002906A3">
        <w:rPr>
          <w:i/>
          <w:iCs/>
        </w:rPr>
        <w:t xml:space="preserve"> </w:t>
      </w:r>
      <w:r w:rsidRPr="002906A3">
        <w:t>(Kılıç, 2018: 665)</w:t>
      </w:r>
    </w:p>
    <w:p w14:paraId="1BE9D91E" w14:textId="77777777" w:rsidR="00BA67A6" w:rsidRPr="002906A3" w:rsidRDefault="00BA67A6" w:rsidP="00BA67A6">
      <w:pPr>
        <w:jc w:val="both"/>
        <w:rPr>
          <w:i/>
          <w:iCs/>
        </w:rPr>
      </w:pPr>
    </w:p>
    <w:p w14:paraId="4E993C42" w14:textId="78F3ED7D" w:rsidR="001E7189" w:rsidRDefault="001E7189" w:rsidP="00BA67A6">
      <w:pPr>
        <w:pStyle w:val="GvdeMetni"/>
        <w:jc w:val="both"/>
      </w:pPr>
      <w:proofErr w:type="spellStart"/>
      <w:r w:rsidRPr="002906A3">
        <w:t>Lami’î</w:t>
      </w:r>
      <w:proofErr w:type="spellEnd"/>
      <w:r w:rsidRPr="002906A3">
        <w:t xml:space="preserve"> Çelebi, 16. yüzyılın başlarında yaşayan edebiyatımızda en fazla eser kaleme alan şairlerden biridir. Fatih Sultan Mehmed, II. Bayezid, Yavuz Sultan Selim ve </w:t>
      </w:r>
      <w:proofErr w:type="spellStart"/>
      <w:r w:rsidRPr="002906A3">
        <w:t>Kanûnî</w:t>
      </w:r>
      <w:proofErr w:type="spellEnd"/>
      <w:r w:rsidRPr="002906A3">
        <w:t xml:space="preserve"> devirlerine tanıklık eden şair, özellikle mesnevileri ile tanınmıştır. Hayatı boyunca hiçbir devlet görevini yürütmemiştir. Kaleme aldığı eserlere karşılık olarak verilen tevliyet ve hediyelerle hayatını idame ettirmiştir (</w:t>
      </w:r>
      <w:proofErr w:type="spellStart"/>
      <w:r w:rsidRPr="002906A3">
        <w:t>Belenkuyu</w:t>
      </w:r>
      <w:proofErr w:type="spellEnd"/>
      <w:r w:rsidRPr="002906A3">
        <w:t xml:space="preserve">, 2018: 11). İstanbul’a gitmeyen şair, Bursa’da yaşamış olmasına rağmen padişah ile veziriazamlarının ilgisini çekmeyi başarmış ve onlara yazdığı eserlerle iltifatlarına nail olmuştur. </w:t>
      </w:r>
      <w:proofErr w:type="spellStart"/>
      <w:r w:rsidRPr="002906A3">
        <w:t>Lami’î</w:t>
      </w:r>
      <w:proofErr w:type="spellEnd"/>
      <w:r w:rsidRPr="002906A3">
        <w:t xml:space="preserve"> Çelebi </w:t>
      </w:r>
      <w:proofErr w:type="gramStart"/>
      <w:r w:rsidRPr="002906A3">
        <w:t>ile birlikte</w:t>
      </w:r>
      <w:proofErr w:type="gramEnd"/>
      <w:r w:rsidRPr="002906A3">
        <w:t xml:space="preserve"> o dönemde öne çıkan diğer isimler </w:t>
      </w:r>
      <w:proofErr w:type="spellStart"/>
      <w:r w:rsidRPr="002906A3">
        <w:t>Hayâlî</w:t>
      </w:r>
      <w:proofErr w:type="spellEnd"/>
      <w:r w:rsidRPr="002906A3">
        <w:t xml:space="preserve"> Bey ve </w:t>
      </w:r>
      <w:proofErr w:type="spellStart"/>
      <w:r w:rsidRPr="002906A3">
        <w:t>Zâtî’dir</w:t>
      </w:r>
      <w:proofErr w:type="spellEnd"/>
      <w:r w:rsidRPr="002906A3">
        <w:t xml:space="preserve">. Yukarıda bahsedildiği üzere </w:t>
      </w:r>
      <w:proofErr w:type="spellStart"/>
      <w:r w:rsidRPr="002906A3">
        <w:t>Hayâlî</w:t>
      </w:r>
      <w:proofErr w:type="spellEnd"/>
      <w:r w:rsidRPr="002906A3">
        <w:t xml:space="preserve"> Bey’in saraya gelişi ile önünde birçok kapı açılmıştır. Gerek padişah gerekse sarayın diğer önde gelen isimleri </w:t>
      </w:r>
      <w:proofErr w:type="spellStart"/>
      <w:r w:rsidRPr="002906A3">
        <w:t>Hayâlî</w:t>
      </w:r>
      <w:proofErr w:type="spellEnd"/>
      <w:r w:rsidRPr="002906A3">
        <w:t xml:space="preserve"> Bey’e büyük bir değer vererek onu adeta el üstünde tutmuştur. </w:t>
      </w:r>
      <w:proofErr w:type="spellStart"/>
      <w:r w:rsidRPr="002906A3">
        <w:t>Hayâlî</w:t>
      </w:r>
      <w:proofErr w:type="spellEnd"/>
      <w:r w:rsidRPr="002906A3">
        <w:t xml:space="preserve"> Bey’in saray erkânı tarafından böylesine değer görmesi şairlerin birçoğunu rahatsız etmiştir. Bu şairler arasında </w:t>
      </w:r>
      <w:proofErr w:type="spellStart"/>
      <w:r w:rsidRPr="002906A3">
        <w:t>Lami’î</w:t>
      </w:r>
      <w:proofErr w:type="spellEnd"/>
      <w:r w:rsidRPr="002906A3">
        <w:t xml:space="preserve"> Çelebi de vardır. </w:t>
      </w:r>
      <w:proofErr w:type="spellStart"/>
      <w:r w:rsidRPr="002906A3">
        <w:t>Hayâlî</w:t>
      </w:r>
      <w:proofErr w:type="spellEnd"/>
      <w:r w:rsidRPr="002906A3">
        <w:t xml:space="preserve"> Bey’i </w:t>
      </w:r>
      <w:proofErr w:type="spellStart"/>
      <w:r w:rsidRPr="002906A3">
        <w:t>Zâtî’ye</w:t>
      </w:r>
      <w:proofErr w:type="spellEnd"/>
      <w:r w:rsidRPr="002906A3">
        <w:t xml:space="preserve"> rakip olarak gören </w:t>
      </w:r>
      <w:proofErr w:type="spellStart"/>
      <w:r w:rsidRPr="002906A3">
        <w:t>Lami’î</w:t>
      </w:r>
      <w:proofErr w:type="spellEnd"/>
      <w:r w:rsidRPr="002906A3">
        <w:t xml:space="preserve">, onun şairliğini kanıtlaması ile </w:t>
      </w:r>
      <w:proofErr w:type="spellStart"/>
      <w:r w:rsidRPr="002906A3">
        <w:t>Zâtî’nin</w:t>
      </w:r>
      <w:proofErr w:type="spellEnd"/>
      <w:r w:rsidRPr="002906A3">
        <w:t xml:space="preserve"> adının anılmadığı söylemiştir. Dönemin diğer şairleri gibi </w:t>
      </w:r>
      <w:proofErr w:type="spellStart"/>
      <w:r w:rsidRPr="002906A3">
        <w:t>Lami’î</w:t>
      </w:r>
      <w:proofErr w:type="spellEnd"/>
      <w:r w:rsidRPr="002906A3">
        <w:t xml:space="preserve"> de </w:t>
      </w:r>
      <w:proofErr w:type="spellStart"/>
      <w:r w:rsidRPr="002906A3">
        <w:t>Hayâlî</w:t>
      </w:r>
      <w:proofErr w:type="spellEnd"/>
      <w:r w:rsidRPr="002906A3">
        <w:t xml:space="preserve"> Bey’in saraydaki değerini sindirememiş ve bunu kendi üzerinden değil </w:t>
      </w:r>
      <w:proofErr w:type="spellStart"/>
      <w:r w:rsidRPr="002906A3">
        <w:t>Zâtî</w:t>
      </w:r>
      <w:proofErr w:type="spellEnd"/>
      <w:r w:rsidRPr="002906A3">
        <w:t xml:space="preserve"> üzerinden ifade etmiştir.</w:t>
      </w:r>
    </w:p>
    <w:p w14:paraId="796DA7CE" w14:textId="77777777" w:rsidR="00BA67A6" w:rsidRPr="002906A3" w:rsidRDefault="00BA67A6" w:rsidP="00BA67A6">
      <w:pPr>
        <w:pStyle w:val="GvdeMetni"/>
        <w:jc w:val="both"/>
      </w:pPr>
    </w:p>
    <w:p w14:paraId="67A97C40" w14:textId="77777777" w:rsidR="001E7189" w:rsidRPr="002906A3" w:rsidRDefault="001E7189" w:rsidP="00BA67A6">
      <w:pPr>
        <w:ind w:firstLine="720"/>
        <w:jc w:val="both"/>
        <w:rPr>
          <w:i/>
          <w:iCs/>
        </w:rPr>
      </w:pPr>
      <w:r w:rsidRPr="002906A3">
        <w:rPr>
          <w:i/>
          <w:iCs/>
        </w:rPr>
        <w:t xml:space="preserve">Aldı </w:t>
      </w:r>
      <w:proofErr w:type="spellStart"/>
      <w:r w:rsidRPr="002906A3">
        <w:rPr>
          <w:i/>
          <w:iCs/>
        </w:rPr>
        <w:t>Hayâlî</w:t>
      </w:r>
      <w:proofErr w:type="spellEnd"/>
      <w:r w:rsidRPr="002906A3">
        <w:rPr>
          <w:i/>
          <w:iCs/>
        </w:rPr>
        <w:t xml:space="preserve"> fikri </w:t>
      </w:r>
      <w:proofErr w:type="spellStart"/>
      <w:r w:rsidRPr="002906A3">
        <w:rPr>
          <w:i/>
          <w:iCs/>
        </w:rPr>
        <w:t>cân</w:t>
      </w:r>
      <w:proofErr w:type="spellEnd"/>
      <w:r w:rsidRPr="002906A3">
        <w:rPr>
          <w:i/>
          <w:iCs/>
        </w:rPr>
        <w:t xml:space="preserve"> u </w:t>
      </w:r>
      <w:proofErr w:type="spellStart"/>
      <w:r w:rsidRPr="002906A3">
        <w:rPr>
          <w:i/>
          <w:iCs/>
        </w:rPr>
        <w:t>göñül</w:t>
      </w:r>
      <w:proofErr w:type="spellEnd"/>
      <w:r w:rsidRPr="002906A3">
        <w:rPr>
          <w:i/>
          <w:iCs/>
        </w:rPr>
        <w:t xml:space="preserve"> </w:t>
      </w:r>
      <w:proofErr w:type="spellStart"/>
      <w:r w:rsidRPr="002906A3">
        <w:rPr>
          <w:i/>
          <w:iCs/>
        </w:rPr>
        <w:t>diyârın</w:t>
      </w:r>
      <w:proofErr w:type="spellEnd"/>
    </w:p>
    <w:p w14:paraId="6C10A001" w14:textId="77777777" w:rsidR="001E7189" w:rsidRDefault="001E7189" w:rsidP="00BA67A6">
      <w:pPr>
        <w:ind w:firstLine="720"/>
        <w:jc w:val="both"/>
      </w:pPr>
      <w:proofErr w:type="spellStart"/>
      <w:r w:rsidRPr="002906A3">
        <w:rPr>
          <w:i/>
          <w:iCs/>
        </w:rPr>
        <w:t>Çıkdı</w:t>
      </w:r>
      <w:proofErr w:type="spellEnd"/>
      <w:r w:rsidRPr="002906A3">
        <w:rPr>
          <w:i/>
          <w:iCs/>
        </w:rPr>
        <w:t xml:space="preserve"> </w:t>
      </w:r>
      <w:proofErr w:type="spellStart"/>
      <w:r w:rsidRPr="002906A3">
        <w:rPr>
          <w:i/>
          <w:iCs/>
        </w:rPr>
        <w:t>rakîb</w:t>
      </w:r>
      <w:proofErr w:type="spellEnd"/>
      <w:r w:rsidRPr="002906A3">
        <w:rPr>
          <w:i/>
          <w:iCs/>
        </w:rPr>
        <w:t xml:space="preserve"> aradan </w:t>
      </w:r>
      <w:proofErr w:type="spellStart"/>
      <w:r w:rsidRPr="002906A3">
        <w:rPr>
          <w:i/>
          <w:iCs/>
        </w:rPr>
        <w:t>Zâtî</w:t>
      </w:r>
      <w:proofErr w:type="spellEnd"/>
      <w:r w:rsidRPr="002906A3">
        <w:rPr>
          <w:i/>
          <w:iCs/>
        </w:rPr>
        <w:t xml:space="preserve"> </w:t>
      </w:r>
      <w:proofErr w:type="spellStart"/>
      <w:r w:rsidRPr="002906A3">
        <w:rPr>
          <w:i/>
          <w:iCs/>
        </w:rPr>
        <w:t>añılmaz</w:t>
      </w:r>
      <w:proofErr w:type="spellEnd"/>
      <w:r w:rsidRPr="002906A3">
        <w:rPr>
          <w:i/>
          <w:iCs/>
        </w:rPr>
        <w:t xml:space="preserve"> </w:t>
      </w:r>
      <w:proofErr w:type="spellStart"/>
      <w:r w:rsidRPr="002906A3">
        <w:rPr>
          <w:i/>
          <w:iCs/>
        </w:rPr>
        <w:t>oldı</w:t>
      </w:r>
      <w:proofErr w:type="spellEnd"/>
      <w:r w:rsidRPr="002906A3">
        <w:t xml:space="preserve"> (</w:t>
      </w:r>
      <w:proofErr w:type="spellStart"/>
      <w:r w:rsidRPr="002906A3">
        <w:t>Burmaoğlu</w:t>
      </w:r>
      <w:proofErr w:type="spellEnd"/>
      <w:r w:rsidRPr="002906A3">
        <w:t>, 2023: 796)</w:t>
      </w:r>
    </w:p>
    <w:p w14:paraId="5FB547D0" w14:textId="77777777" w:rsidR="00BA67A6" w:rsidRPr="002906A3" w:rsidRDefault="00BA67A6" w:rsidP="00BA67A6">
      <w:pPr>
        <w:ind w:firstLine="720"/>
        <w:jc w:val="both"/>
      </w:pPr>
    </w:p>
    <w:p w14:paraId="54D730C3" w14:textId="77777777" w:rsidR="001E7189" w:rsidRDefault="001E7189" w:rsidP="00BA67A6">
      <w:pPr>
        <w:jc w:val="both"/>
      </w:pPr>
      <w:proofErr w:type="spellStart"/>
      <w:r w:rsidRPr="002906A3">
        <w:t>Gazâlî</w:t>
      </w:r>
      <w:proofErr w:type="spellEnd"/>
      <w:r w:rsidRPr="002906A3">
        <w:t xml:space="preserve"> ya da diğer bir adıyla Deli </w:t>
      </w:r>
      <w:proofErr w:type="spellStart"/>
      <w:r w:rsidRPr="002906A3">
        <w:t>Birâder</w:t>
      </w:r>
      <w:proofErr w:type="spellEnd"/>
      <w:r w:rsidRPr="002906A3">
        <w:t xml:space="preserve">, 16. yüzyılın en renkli simalarından biridir. İçerisinde iki farklı kişiliği barındırdığı düşünülen </w:t>
      </w:r>
      <w:proofErr w:type="spellStart"/>
      <w:r w:rsidRPr="002906A3">
        <w:t>Gazâlî</w:t>
      </w:r>
      <w:proofErr w:type="spellEnd"/>
      <w:r w:rsidRPr="002906A3">
        <w:t xml:space="preserve">, bir yandan tartışmalara açık eserler kaleme alırken bir yandan da dini eserleri ile dikkatleri çekmiştir. </w:t>
      </w:r>
      <w:proofErr w:type="spellStart"/>
      <w:r w:rsidRPr="002906A3">
        <w:t>Hayâlî</w:t>
      </w:r>
      <w:proofErr w:type="spellEnd"/>
      <w:r w:rsidRPr="002906A3">
        <w:t xml:space="preserve"> Bey’in çağdaşı olan </w:t>
      </w:r>
      <w:proofErr w:type="spellStart"/>
      <w:r w:rsidRPr="002906A3">
        <w:t>Gazâlî</w:t>
      </w:r>
      <w:proofErr w:type="spellEnd"/>
      <w:r w:rsidRPr="002906A3">
        <w:t xml:space="preserve">, </w:t>
      </w:r>
      <w:r w:rsidRPr="002906A3">
        <w:rPr>
          <w:i/>
          <w:iCs/>
        </w:rPr>
        <w:t>Divan</w:t>
      </w:r>
      <w:r w:rsidRPr="002906A3">
        <w:t xml:space="preserve">’ı ya da diğer eserlerinden ziyade özellikle çağdaşlarına yazdığı </w:t>
      </w:r>
      <w:proofErr w:type="spellStart"/>
      <w:r w:rsidRPr="002906A3">
        <w:t>hezlleri</w:t>
      </w:r>
      <w:proofErr w:type="spellEnd"/>
      <w:r w:rsidRPr="002906A3">
        <w:t xml:space="preserve"> ile tanınmıştır. Ayrıca tezkirelerdeki bilgilere göre dostları ile latife yollu uğraştığı da bilinmektedir. Eleştirilerindeki üslubu hakarete varmadan genellikle latife yollu olup bu latife yollu eleştirilerinden birini de dostu ve çağdaşı olan </w:t>
      </w:r>
      <w:proofErr w:type="spellStart"/>
      <w:r w:rsidRPr="002906A3">
        <w:t>Hayâlî</w:t>
      </w:r>
      <w:proofErr w:type="spellEnd"/>
      <w:r w:rsidRPr="002906A3">
        <w:t xml:space="preserve"> Bey’e yapmıştır. </w:t>
      </w:r>
      <w:proofErr w:type="spellStart"/>
      <w:r w:rsidRPr="002906A3">
        <w:t>Hayâlî</w:t>
      </w:r>
      <w:proofErr w:type="spellEnd"/>
      <w:r w:rsidRPr="002906A3">
        <w:t xml:space="preserve"> çok fazla şiir yazan bir şairdir. Bu nedenle yan yana geldikleri bir esnada </w:t>
      </w:r>
      <w:proofErr w:type="spellStart"/>
      <w:r w:rsidRPr="002906A3">
        <w:t>Gazâlî</w:t>
      </w:r>
      <w:proofErr w:type="spellEnd"/>
      <w:r w:rsidRPr="002906A3">
        <w:t xml:space="preserve">, </w:t>
      </w:r>
      <w:proofErr w:type="spellStart"/>
      <w:r w:rsidRPr="002906A3">
        <w:t>Hayâlî</w:t>
      </w:r>
      <w:proofErr w:type="spellEnd"/>
      <w:r w:rsidRPr="002906A3">
        <w:t xml:space="preserve"> Bey’in kulağına fısıldayarak “bu şiirlerin hepsini sen mi yazdın? Hepsi senin mi?” diye sorar. </w:t>
      </w:r>
      <w:proofErr w:type="spellStart"/>
      <w:r w:rsidRPr="002906A3">
        <w:t>Hayâlî</w:t>
      </w:r>
      <w:proofErr w:type="spellEnd"/>
      <w:r w:rsidRPr="002906A3">
        <w:t xml:space="preserve"> Bey de cevaben şakayla karışık “Eğer sahibi yoksa hepsi benimdir” der. Bu hikâye sebebiyle iki şair arasında latifeler üzerinden bir çekişme yaşandığı düşünülebilir. </w:t>
      </w:r>
      <w:proofErr w:type="spellStart"/>
      <w:r w:rsidRPr="002906A3">
        <w:t>Gazâlî</w:t>
      </w:r>
      <w:proofErr w:type="spellEnd"/>
      <w:r w:rsidRPr="002906A3">
        <w:t xml:space="preserve">, yazdığı şiirlerin hepsinin ona ait olup olmadığını sorarak aslında </w:t>
      </w:r>
      <w:proofErr w:type="spellStart"/>
      <w:r w:rsidRPr="002906A3">
        <w:t>Hayâlî’nin</w:t>
      </w:r>
      <w:proofErr w:type="spellEnd"/>
      <w:r w:rsidRPr="002906A3">
        <w:t xml:space="preserve"> başka şairlerin şiirlerini kendi şiiri gibi gösterip göstermediğini merak etmektedir. Bu merak da aslında </w:t>
      </w:r>
      <w:proofErr w:type="spellStart"/>
      <w:r w:rsidRPr="002906A3">
        <w:t>Hayâlî</w:t>
      </w:r>
      <w:proofErr w:type="spellEnd"/>
      <w:r w:rsidRPr="002906A3">
        <w:t xml:space="preserve"> Bey’in çok fazla şiir yazmış olmasının yakın dostu olmasına rağmen </w:t>
      </w:r>
      <w:proofErr w:type="spellStart"/>
      <w:r w:rsidRPr="002906A3">
        <w:t>Gazâlî</w:t>
      </w:r>
      <w:proofErr w:type="spellEnd"/>
      <w:r w:rsidRPr="002906A3">
        <w:t xml:space="preserve"> tarafından bile şaşkınlıkla karşıladığının bir göstergesidir.</w:t>
      </w:r>
    </w:p>
    <w:p w14:paraId="776C8784" w14:textId="77777777" w:rsidR="00BA67A6" w:rsidRPr="002906A3" w:rsidRDefault="00BA67A6" w:rsidP="00BA67A6">
      <w:pPr>
        <w:jc w:val="both"/>
      </w:pPr>
    </w:p>
    <w:p w14:paraId="5E767FFB" w14:textId="77777777" w:rsidR="001E7189" w:rsidRPr="002906A3" w:rsidRDefault="001E7189" w:rsidP="00BA67A6">
      <w:pPr>
        <w:ind w:left="720"/>
        <w:jc w:val="both"/>
        <w:rPr>
          <w:i/>
          <w:iCs/>
        </w:rPr>
      </w:pPr>
      <w:proofErr w:type="spellStart"/>
      <w:r w:rsidRPr="002906A3">
        <w:rPr>
          <w:i/>
          <w:iCs/>
        </w:rPr>
        <w:t>Şi’r</w:t>
      </w:r>
      <w:proofErr w:type="spellEnd"/>
      <w:r w:rsidRPr="002906A3">
        <w:rPr>
          <w:i/>
          <w:iCs/>
        </w:rPr>
        <w:t xml:space="preserve"> </w:t>
      </w:r>
      <w:proofErr w:type="spellStart"/>
      <w:r w:rsidRPr="002906A3">
        <w:rPr>
          <w:i/>
          <w:iCs/>
        </w:rPr>
        <w:t>okudı</w:t>
      </w:r>
      <w:proofErr w:type="spellEnd"/>
      <w:r w:rsidRPr="002906A3">
        <w:rPr>
          <w:i/>
          <w:iCs/>
        </w:rPr>
        <w:t xml:space="preserve"> </w:t>
      </w:r>
      <w:proofErr w:type="spellStart"/>
      <w:r w:rsidRPr="002906A3">
        <w:rPr>
          <w:i/>
          <w:iCs/>
        </w:rPr>
        <w:t>Hayâlî</w:t>
      </w:r>
      <w:proofErr w:type="spellEnd"/>
      <w:r w:rsidRPr="002906A3">
        <w:rPr>
          <w:i/>
          <w:iCs/>
        </w:rPr>
        <w:t xml:space="preserve"> </w:t>
      </w:r>
      <w:proofErr w:type="spellStart"/>
      <w:r w:rsidRPr="002906A3">
        <w:rPr>
          <w:i/>
          <w:iCs/>
        </w:rPr>
        <w:t>Beg</w:t>
      </w:r>
      <w:proofErr w:type="spellEnd"/>
      <w:r w:rsidRPr="002906A3">
        <w:rPr>
          <w:i/>
          <w:iCs/>
        </w:rPr>
        <w:t xml:space="preserve"> pek pek</w:t>
      </w:r>
    </w:p>
    <w:p w14:paraId="0318A38B" w14:textId="77777777" w:rsidR="001E7189" w:rsidRPr="002906A3" w:rsidRDefault="001E7189" w:rsidP="00BA67A6">
      <w:pPr>
        <w:pStyle w:val="Balk6"/>
        <w:spacing w:before="0"/>
        <w:rPr>
          <w:rFonts w:ascii="Times New Roman" w:hAnsi="Times New Roman" w:cs="Times New Roman"/>
        </w:rPr>
      </w:pPr>
      <w:proofErr w:type="spellStart"/>
      <w:r w:rsidRPr="002906A3">
        <w:rPr>
          <w:rFonts w:ascii="Times New Roman" w:hAnsi="Times New Roman" w:cs="Times New Roman"/>
        </w:rPr>
        <w:t>Didüm</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anuñ</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kulagına</w:t>
      </w:r>
      <w:proofErr w:type="spellEnd"/>
      <w:r w:rsidRPr="002906A3">
        <w:rPr>
          <w:rFonts w:ascii="Times New Roman" w:hAnsi="Times New Roman" w:cs="Times New Roman"/>
        </w:rPr>
        <w:t xml:space="preserve"> yap yap</w:t>
      </w:r>
    </w:p>
    <w:p w14:paraId="6346B96D" w14:textId="77777777" w:rsidR="001E7189" w:rsidRPr="002906A3" w:rsidRDefault="001E7189" w:rsidP="00BA67A6">
      <w:pPr>
        <w:ind w:left="720"/>
        <w:jc w:val="both"/>
        <w:rPr>
          <w:i/>
          <w:iCs/>
        </w:rPr>
      </w:pPr>
      <w:r w:rsidRPr="002906A3">
        <w:rPr>
          <w:i/>
          <w:iCs/>
        </w:rPr>
        <w:t xml:space="preserve">Bu gazeller </w:t>
      </w:r>
      <w:proofErr w:type="spellStart"/>
      <w:r w:rsidRPr="002906A3">
        <w:rPr>
          <w:i/>
          <w:iCs/>
        </w:rPr>
        <w:t>senüñ</w:t>
      </w:r>
      <w:proofErr w:type="spellEnd"/>
      <w:r w:rsidRPr="002906A3">
        <w:rPr>
          <w:i/>
          <w:iCs/>
        </w:rPr>
        <w:t xml:space="preserve"> mi </w:t>
      </w:r>
      <w:proofErr w:type="spellStart"/>
      <w:r w:rsidRPr="002906A3">
        <w:rPr>
          <w:i/>
          <w:iCs/>
        </w:rPr>
        <w:t>didi</w:t>
      </w:r>
      <w:proofErr w:type="spellEnd"/>
      <w:r w:rsidRPr="002906A3">
        <w:rPr>
          <w:i/>
          <w:iCs/>
        </w:rPr>
        <w:t xml:space="preserve"> kim</w:t>
      </w:r>
    </w:p>
    <w:p w14:paraId="25286A82" w14:textId="77777777" w:rsidR="00BA67A6" w:rsidRDefault="001E7189" w:rsidP="00BA67A6">
      <w:pPr>
        <w:ind w:left="720"/>
        <w:jc w:val="both"/>
      </w:pPr>
      <w:r w:rsidRPr="002906A3">
        <w:rPr>
          <w:i/>
          <w:iCs/>
        </w:rPr>
        <w:t xml:space="preserve">Issı çıkmaz ise </w:t>
      </w:r>
      <w:proofErr w:type="spellStart"/>
      <w:r w:rsidRPr="002906A3">
        <w:rPr>
          <w:i/>
          <w:iCs/>
        </w:rPr>
        <w:t>benümdür</w:t>
      </w:r>
      <w:proofErr w:type="spellEnd"/>
      <w:r w:rsidRPr="002906A3">
        <w:rPr>
          <w:i/>
          <w:iCs/>
        </w:rPr>
        <w:t xml:space="preserve"> hep</w:t>
      </w:r>
      <w:r w:rsidRPr="002906A3">
        <w:t xml:space="preserve"> (Kılıç, 2018: 702)</w:t>
      </w:r>
    </w:p>
    <w:p w14:paraId="6F483067" w14:textId="77777777" w:rsidR="00BA67A6" w:rsidRDefault="00BA67A6" w:rsidP="00BA67A6">
      <w:pPr>
        <w:ind w:left="720"/>
        <w:jc w:val="both"/>
      </w:pPr>
    </w:p>
    <w:p w14:paraId="7BCACE78" w14:textId="1A8AC8D5" w:rsidR="001E7189" w:rsidRPr="00BA67A6" w:rsidRDefault="001E7189" w:rsidP="00BA67A6">
      <w:pPr>
        <w:jc w:val="both"/>
      </w:pPr>
      <w:r w:rsidRPr="00BA67A6">
        <w:rPr>
          <w:b/>
          <w:bCs/>
        </w:rPr>
        <w:t>Fiziksel Özelliklerine ve Karakterine Yönelik Eleştiriler</w:t>
      </w:r>
    </w:p>
    <w:p w14:paraId="2E5FC7C2" w14:textId="77777777" w:rsidR="001E7189" w:rsidRDefault="001E7189" w:rsidP="00BA67A6">
      <w:pPr>
        <w:pStyle w:val="GvdeMetni"/>
        <w:jc w:val="both"/>
      </w:pPr>
      <w:proofErr w:type="spellStart"/>
      <w:r w:rsidRPr="002906A3">
        <w:t>Hayâlî</w:t>
      </w:r>
      <w:proofErr w:type="spellEnd"/>
      <w:r w:rsidRPr="002906A3">
        <w:t xml:space="preserve"> Bey ile atışma yaşayan şairlerin eleştirilerinin odak noktalarından biri de şairin fiziksel </w:t>
      </w:r>
      <w:r w:rsidRPr="002906A3">
        <w:lastRenderedPageBreak/>
        <w:t xml:space="preserve">özellikleridir. Aşağıdaki beyitte Taşlıcalı Yahyâ, eleştirisini </w:t>
      </w:r>
      <w:proofErr w:type="spellStart"/>
      <w:r w:rsidRPr="002906A3">
        <w:t>Hayâlî’nin</w:t>
      </w:r>
      <w:proofErr w:type="spellEnd"/>
      <w:r w:rsidRPr="002906A3">
        <w:t xml:space="preserve"> başından çıkarmadığı ve tarikat kıyafetlerinin vazgeçilmez unsuru olan “</w:t>
      </w:r>
      <w:proofErr w:type="spellStart"/>
      <w:r w:rsidRPr="002906A3">
        <w:t>arakıyye</w:t>
      </w:r>
      <w:proofErr w:type="spellEnd"/>
      <w:r w:rsidRPr="002906A3">
        <w:t xml:space="preserve">” adlı takke üzerinden yapmaktadır. Kıyafet inkılabına kadar Anadolu ve Rumeli’de çok yoğun olarak kullanılan bu takkeler dervişler zümresinin bir alamet-i farikası halini almıştır (Tanman, 1991). Taşlıcalı Yahyâ da Kalenderî olması hasebiyle </w:t>
      </w:r>
      <w:proofErr w:type="spellStart"/>
      <w:r w:rsidRPr="002906A3">
        <w:t>arakıyye</w:t>
      </w:r>
      <w:proofErr w:type="spellEnd"/>
      <w:r w:rsidRPr="002906A3">
        <w:t xml:space="preserve"> takan </w:t>
      </w:r>
      <w:proofErr w:type="spellStart"/>
      <w:r w:rsidRPr="002906A3">
        <w:t>Hayâlî</w:t>
      </w:r>
      <w:proofErr w:type="spellEnd"/>
      <w:r w:rsidRPr="002906A3">
        <w:t xml:space="preserve"> Bey için “karga”, “Rumeli </w:t>
      </w:r>
      <w:proofErr w:type="spellStart"/>
      <w:r w:rsidRPr="002906A3">
        <w:t>takyesi</w:t>
      </w:r>
      <w:proofErr w:type="spellEnd"/>
      <w:r w:rsidRPr="002906A3">
        <w:t xml:space="preserve">” olarak tanımladığı </w:t>
      </w:r>
      <w:proofErr w:type="spellStart"/>
      <w:r w:rsidRPr="002906A3">
        <w:t>arakıyye</w:t>
      </w:r>
      <w:proofErr w:type="spellEnd"/>
      <w:r w:rsidRPr="002906A3">
        <w:t xml:space="preserve"> için ise “kargayı avlamak için gönderilen doğan kuşu” benzetmesi yapmıştır.</w:t>
      </w:r>
    </w:p>
    <w:p w14:paraId="287DE399" w14:textId="77777777" w:rsidR="00BA67A6" w:rsidRPr="002906A3" w:rsidRDefault="00BA67A6" w:rsidP="00BA67A6">
      <w:pPr>
        <w:pStyle w:val="GvdeMetni"/>
        <w:jc w:val="both"/>
      </w:pPr>
    </w:p>
    <w:p w14:paraId="2B7F2230" w14:textId="77777777" w:rsidR="001E7189" w:rsidRPr="002906A3" w:rsidRDefault="001E7189" w:rsidP="00BA67A6">
      <w:pPr>
        <w:jc w:val="both"/>
        <w:rPr>
          <w:i/>
          <w:iCs/>
        </w:rPr>
      </w:pPr>
      <w:r w:rsidRPr="002906A3">
        <w:rPr>
          <w:i/>
          <w:iCs/>
        </w:rPr>
        <w:t xml:space="preserve">Yahyâ ser-i </w:t>
      </w:r>
      <w:proofErr w:type="spellStart"/>
      <w:r w:rsidRPr="002906A3">
        <w:rPr>
          <w:i/>
          <w:iCs/>
        </w:rPr>
        <w:t>Hayâlî’de</w:t>
      </w:r>
      <w:proofErr w:type="spellEnd"/>
      <w:r w:rsidRPr="002906A3">
        <w:rPr>
          <w:i/>
          <w:iCs/>
        </w:rPr>
        <w:t xml:space="preserve"> </w:t>
      </w:r>
      <w:proofErr w:type="spellStart"/>
      <w:r w:rsidRPr="002906A3">
        <w:rPr>
          <w:i/>
          <w:iCs/>
        </w:rPr>
        <w:t>Rûmeli</w:t>
      </w:r>
      <w:proofErr w:type="spellEnd"/>
      <w:r w:rsidRPr="002906A3">
        <w:rPr>
          <w:i/>
          <w:iCs/>
        </w:rPr>
        <w:t xml:space="preserve"> </w:t>
      </w:r>
      <w:proofErr w:type="spellStart"/>
      <w:r w:rsidRPr="002906A3">
        <w:rPr>
          <w:i/>
          <w:iCs/>
        </w:rPr>
        <w:t>takyesi</w:t>
      </w:r>
      <w:proofErr w:type="spellEnd"/>
    </w:p>
    <w:p w14:paraId="474F5491" w14:textId="77777777" w:rsidR="001E7189" w:rsidRDefault="001E7189" w:rsidP="00BA67A6">
      <w:pPr>
        <w:jc w:val="both"/>
      </w:pPr>
      <w:proofErr w:type="spellStart"/>
      <w:r w:rsidRPr="002906A3">
        <w:rPr>
          <w:i/>
          <w:iCs/>
        </w:rPr>
        <w:t>Gûyâ</w:t>
      </w:r>
      <w:proofErr w:type="spellEnd"/>
      <w:r w:rsidRPr="002906A3">
        <w:rPr>
          <w:i/>
          <w:iCs/>
        </w:rPr>
        <w:t xml:space="preserve"> ki bir </w:t>
      </w:r>
      <w:proofErr w:type="spellStart"/>
      <w:r w:rsidRPr="002906A3">
        <w:rPr>
          <w:i/>
          <w:iCs/>
        </w:rPr>
        <w:t>togandur</w:t>
      </w:r>
      <w:proofErr w:type="spellEnd"/>
      <w:r w:rsidRPr="002906A3">
        <w:rPr>
          <w:i/>
          <w:iCs/>
        </w:rPr>
        <w:t xml:space="preserve"> anı </w:t>
      </w:r>
      <w:proofErr w:type="spellStart"/>
      <w:r w:rsidRPr="002906A3">
        <w:rPr>
          <w:i/>
          <w:iCs/>
        </w:rPr>
        <w:t>zâga</w:t>
      </w:r>
      <w:proofErr w:type="spellEnd"/>
      <w:r w:rsidRPr="002906A3">
        <w:rPr>
          <w:i/>
          <w:iCs/>
        </w:rPr>
        <w:t xml:space="preserve"> saldılar</w:t>
      </w:r>
      <w:r w:rsidRPr="002906A3">
        <w:t xml:space="preserve"> (Bozyiğit, 2021: 492)</w:t>
      </w:r>
    </w:p>
    <w:p w14:paraId="59D6234D" w14:textId="77777777" w:rsidR="00BA67A6" w:rsidRPr="002906A3" w:rsidRDefault="00BA67A6" w:rsidP="00BA67A6">
      <w:pPr>
        <w:jc w:val="both"/>
      </w:pPr>
    </w:p>
    <w:p w14:paraId="496C234E" w14:textId="77777777" w:rsidR="001E7189" w:rsidRDefault="001E7189" w:rsidP="00BA67A6">
      <w:pPr>
        <w:pStyle w:val="GvdeMetni"/>
        <w:jc w:val="both"/>
      </w:pPr>
      <w:r w:rsidRPr="002906A3">
        <w:t xml:space="preserve">Taşlıcalı Yahyâ, </w:t>
      </w:r>
      <w:proofErr w:type="spellStart"/>
      <w:r w:rsidRPr="002906A3">
        <w:t>Hayâlî</w:t>
      </w:r>
      <w:proofErr w:type="spellEnd"/>
      <w:r w:rsidRPr="002906A3">
        <w:t xml:space="preserve"> Bey’e gösterilen saygıyı ve iltifatı kıskandığını hatta bu duruma katlanamadığını her fırsatta belli etmiştir. Bu durumu Yahyâ’nın şiirlerinde açık bir şekilde görebiliyoruz. Bu kıskançlık duygusuyla baş etmekte zorlanan Taşlıcalı Yahyâ, </w:t>
      </w:r>
      <w:proofErr w:type="spellStart"/>
      <w:r w:rsidRPr="002906A3">
        <w:t>Hayâlî</w:t>
      </w:r>
      <w:proofErr w:type="spellEnd"/>
      <w:r w:rsidRPr="002906A3">
        <w:t xml:space="preserve"> Bey hakkında kaleme aldığı şiirlerinde ve beyitlerinde yer yer hakarete varan ifadeler kullanmış hatta en bayağı sözlerle </w:t>
      </w:r>
      <w:proofErr w:type="spellStart"/>
      <w:r w:rsidRPr="002906A3">
        <w:t>Hayâlî</w:t>
      </w:r>
      <w:proofErr w:type="spellEnd"/>
      <w:r w:rsidRPr="002906A3">
        <w:t xml:space="preserve"> Bey’in dış görünüşüyle alay etmekten geri durmamıştır. Yahyâ’nın aşağıda yer alan gazeline bakıldığı zaman yapılan eleştirilerin eleştirinin ötesine geçtiği ve medeni bir konuşmada bile yer almaması gereken bir şekilde </w:t>
      </w:r>
      <w:proofErr w:type="spellStart"/>
      <w:r w:rsidRPr="002906A3">
        <w:t>Hayâlî’nin</w:t>
      </w:r>
      <w:proofErr w:type="spellEnd"/>
      <w:r w:rsidRPr="002906A3">
        <w:t xml:space="preserve"> dış görünüşü ve şahsıyla alay edildiği görülmektedir. İlk beyitte </w:t>
      </w:r>
      <w:proofErr w:type="spellStart"/>
      <w:r w:rsidRPr="002906A3">
        <w:t>Hayâlî</w:t>
      </w:r>
      <w:proofErr w:type="spellEnd"/>
      <w:r w:rsidRPr="002906A3">
        <w:t xml:space="preserve"> Bey’in başında yer alan ve Taşlıcalı Yahyâ’nın </w:t>
      </w:r>
      <w:proofErr w:type="spellStart"/>
      <w:r w:rsidRPr="002906A3">
        <w:t>Hayâlî</w:t>
      </w:r>
      <w:proofErr w:type="spellEnd"/>
      <w:r w:rsidRPr="002906A3">
        <w:t xml:space="preserve"> Bey’i eleştirirken sıklıkla bahsettiği takkesi ters çevrilmiş bir kuşun yuvasına benzetilmiştir. Beyte göre </w:t>
      </w:r>
      <w:proofErr w:type="spellStart"/>
      <w:r w:rsidRPr="002906A3">
        <w:t>Hayâlî</w:t>
      </w:r>
      <w:proofErr w:type="spellEnd"/>
      <w:r w:rsidRPr="002906A3">
        <w:t xml:space="preserve"> Bey, bu ters çevrilmiş kuş yuvasına benzeyen takke ile etrafta dolaşarak insanları eğlendirmektedir. İkinci beytine yine kuş benzetmesi ile devam eden Yahyâ, </w:t>
      </w:r>
      <w:proofErr w:type="spellStart"/>
      <w:r w:rsidRPr="002906A3">
        <w:t>Hayâlî</w:t>
      </w:r>
      <w:proofErr w:type="spellEnd"/>
      <w:r w:rsidRPr="002906A3">
        <w:t xml:space="preserve"> Bey’i bir baba kuşa benzetmiş ve kafasındaki takkenin püskülleriyle tıpkı bir ağaçkakana benzediği söylenmiştir. Gazelin üçüncü beytinde Taşlıcalı, </w:t>
      </w:r>
      <w:proofErr w:type="spellStart"/>
      <w:r w:rsidRPr="002906A3">
        <w:t>Hayâlî</w:t>
      </w:r>
      <w:proofErr w:type="spellEnd"/>
      <w:r w:rsidRPr="002906A3">
        <w:t xml:space="preserve"> Bey’i yine kafasındaki takke sebebiyle bir koyun tüccarına benzetmektedir. </w:t>
      </w:r>
      <w:proofErr w:type="spellStart"/>
      <w:r w:rsidRPr="002906A3">
        <w:t>Hayâlî</w:t>
      </w:r>
      <w:proofErr w:type="spellEnd"/>
      <w:r w:rsidRPr="002906A3">
        <w:t xml:space="preserve"> Bey’e “zamanın ahmağı” diyerek onu itibarsızlaştırma çabasına devam eden Yahyâ, “Rumeli </w:t>
      </w:r>
      <w:proofErr w:type="spellStart"/>
      <w:r w:rsidRPr="002906A3">
        <w:t>takyesi</w:t>
      </w:r>
      <w:proofErr w:type="spellEnd"/>
      <w:r w:rsidRPr="002906A3">
        <w:t xml:space="preserve">” ifadesi ile de </w:t>
      </w:r>
      <w:proofErr w:type="spellStart"/>
      <w:r w:rsidRPr="002906A3">
        <w:t>Hayâlî’nin</w:t>
      </w:r>
      <w:proofErr w:type="spellEnd"/>
      <w:r w:rsidRPr="002906A3">
        <w:t xml:space="preserve"> yetiştiği Vardar </w:t>
      </w:r>
      <w:proofErr w:type="spellStart"/>
      <w:r w:rsidRPr="002906A3">
        <w:t>Yenicesi’ne</w:t>
      </w:r>
      <w:proofErr w:type="spellEnd"/>
      <w:r w:rsidRPr="002906A3">
        <w:t xml:space="preserve"> atıfta bulunmuştur. Dördüncü beyitte yine takkeden bahseden Taşlıcalı Yahyâ, </w:t>
      </w:r>
      <w:proofErr w:type="spellStart"/>
      <w:r w:rsidRPr="002906A3">
        <w:t>Hayâlî</w:t>
      </w:r>
      <w:proofErr w:type="spellEnd"/>
      <w:r w:rsidRPr="002906A3">
        <w:t xml:space="preserve"> Bey’e kendince bir öneride bulunmuş ve “takkenden medet umuyorsan eğer atına kırbacı vur ve buralardan git” demiştir. Gazelin son beytinde ise Taşlıcalı, </w:t>
      </w:r>
      <w:proofErr w:type="spellStart"/>
      <w:r w:rsidRPr="002906A3">
        <w:t>Hayâlî</w:t>
      </w:r>
      <w:proofErr w:type="spellEnd"/>
      <w:r w:rsidRPr="002906A3">
        <w:t xml:space="preserve"> Bey’e onun sözünü dinlenmesi gerektiğini ve halkın gözünde kendini bir maymun gibi daha fazla gülünç durumu düşürmemesi için başındaki takkesini yabana atmasını öğütlemiştir.</w:t>
      </w:r>
    </w:p>
    <w:p w14:paraId="5095907B" w14:textId="77777777" w:rsidR="00BA67A6" w:rsidRPr="002906A3" w:rsidRDefault="00BA67A6" w:rsidP="00BA67A6">
      <w:pPr>
        <w:pStyle w:val="GvdeMetni"/>
        <w:jc w:val="both"/>
      </w:pPr>
    </w:p>
    <w:p w14:paraId="54933F00" w14:textId="77777777" w:rsidR="001E7189" w:rsidRPr="002906A3" w:rsidRDefault="001E7189" w:rsidP="00BA67A6">
      <w:pPr>
        <w:ind w:left="720"/>
        <w:jc w:val="both"/>
        <w:rPr>
          <w:i/>
          <w:iCs/>
        </w:rPr>
      </w:pPr>
      <w:r w:rsidRPr="002906A3">
        <w:rPr>
          <w:i/>
          <w:iCs/>
        </w:rPr>
        <w:t xml:space="preserve">Çok </w:t>
      </w:r>
      <w:proofErr w:type="spellStart"/>
      <w:r w:rsidRPr="002906A3">
        <w:rPr>
          <w:i/>
          <w:iCs/>
        </w:rPr>
        <w:t>sevdügüm</w:t>
      </w:r>
      <w:proofErr w:type="spellEnd"/>
      <w:r w:rsidRPr="002906A3">
        <w:rPr>
          <w:i/>
          <w:iCs/>
        </w:rPr>
        <w:t xml:space="preserve"> </w:t>
      </w:r>
      <w:proofErr w:type="spellStart"/>
      <w:r w:rsidRPr="002906A3">
        <w:rPr>
          <w:i/>
          <w:iCs/>
        </w:rPr>
        <w:t>Hayâlî</w:t>
      </w:r>
      <w:proofErr w:type="spellEnd"/>
      <w:r w:rsidRPr="002906A3">
        <w:rPr>
          <w:i/>
          <w:iCs/>
        </w:rPr>
        <w:t xml:space="preserve"> eğlencesin </w:t>
      </w:r>
      <w:proofErr w:type="spellStart"/>
      <w:r w:rsidRPr="002906A3">
        <w:rPr>
          <w:i/>
          <w:iCs/>
        </w:rPr>
        <w:t>cihâne</w:t>
      </w:r>
      <w:proofErr w:type="spellEnd"/>
    </w:p>
    <w:p w14:paraId="2FE4D0C5" w14:textId="77777777" w:rsidR="001E7189" w:rsidRPr="002906A3" w:rsidRDefault="001E7189" w:rsidP="00BA67A6">
      <w:pPr>
        <w:ind w:left="720"/>
        <w:jc w:val="both"/>
        <w:rPr>
          <w:i/>
          <w:iCs/>
        </w:rPr>
      </w:pPr>
      <w:proofErr w:type="spellStart"/>
      <w:r w:rsidRPr="002906A3">
        <w:rPr>
          <w:i/>
          <w:iCs/>
        </w:rPr>
        <w:t>Takyen</w:t>
      </w:r>
      <w:proofErr w:type="spellEnd"/>
      <w:r w:rsidRPr="002906A3">
        <w:rPr>
          <w:i/>
          <w:iCs/>
        </w:rPr>
        <w:t xml:space="preserve"> </w:t>
      </w:r>
      <w:proofErr w:type="spellStart"/>
      <w:r w:rsidRPr="002906A3">
        <w:rPr>
          <w:i/>
          <w:iCs/>
        </w:rPr>
        <w:t>başuñda</w:t>
      </w:r>
      <w:proofErr w:type="spellEnd"/>
      <w:r w:rsidRPr="002906A3">
        <w:rPr>
          <w:i/>
          <w:iCs/>
        </w:rPr>
        <w:t xml:space="preserve"> </w:t>
      </w:r>
      <w:proofErr w:type="spellStart"/>
      <w:r w:rsidRPr="002906A3">
        <w:rPr>
          <w:i/>
          <w:iCs/>
        </w:rPr>
        <w:t>beñzer</w:t>
      </w:r>
      <w:proofErr w:type="spellEnd"/>
      <w:r w:rsidRPr="002906A3">
        <w:rPr>
          <w:i/>
          <w:iCs/>
        </w:rPr>
        <w:t xml:space="preserve"> çemrenmiş </w:t>
      </w:r>
      <w:proofErr w:type="spellStart"/>
      <w:r w:rsidRPr="002906A3">
        <w:rPr>
          <w:i/>
          <w:iCs/>
        </w:rPr>
        <w:t>istepâne</w:t>
      </w:r>
      <w:proofErr w:type="spellEnd"/>
    </w:p>
    <w:p w14:paraId="7829F360" w14:textId="77777777" w:rsidR="001E7189" w:rsidRPr="002906A3" w:rsidRDefault="001E7189" w:rsidP="00BA67A6">
      <w:pPr>
        <w:ind w:left="720"/>
        <w:jc w:val="both"/>
        <w:rPr>
          <w:i/>
          <w:iCs/>
        </w:rPr>
      </w:pPr>
      <w:r w:rsidRPr="002906A3">
        <w:rPr>
          <w:i/>
          <w:iCs/>
        </w:rPr>
        <w:t xml:space="preserve">Kuşlarda ey </w:t>
      </w:r>
      <w:proofErr w:type="spellStart"/>
      <w:r w:rsidRPr="002906A3">
        <w:rPr>
          <w:i/>
          <w:iCs/>
        </w:rPr>
        <w:t>Hayâlî</w:t>
      </w:r>
      <w:proofErr w:type="spellEnd"/>
      <w:r w:rsidRPr="002906A3">
        <w:rPr>
          <w:i/>
          <w:iCs/>
        </w:rPr>
        <w:t xml:space="preserve"> sen bir baba </w:t>
      </w:r>
      <w:proofErr w:type="spellStart"/>
      <w:r w:rsidRPr="002906A3">
        <w:rPr>
          <w:i/>
          <w:iCs/>
        </w:rPr>
        <w:t>kuşısın</w:t>
      </w:r>
      <w:proofErr w:type="spellEnd"/>
    </w:p>
    <w:p w14:paraId="7C6A9398" w14:textId="77777777" w:rsidR="001E7189" w:rsidRPr="002906A3" w:rsidRDefault="001E7189" w:rsidP="00BA67A6">
      <w:pPr>
        <w:ind w:left="720"/>
        <w:jc w:val="both"/>
        <w:rPr>
          <w:i/>
          <w:iCs/>
        </w:rPr>
      </w:pPr>
      <w:proofErr w:type="spellStart"/>
      <w:r w:rsidRPr="002906A3">
        <w:rPr>
          <w:i/>
          <w:iCs/>
        </w:rPr>
        <w:t>Arduñdagı</w:t>
      </w:r>
      <w:proofErr w:type="spellEnd"/>
      <w:r w:rsidRPr="002906A3">
        <w:rPr>
          <w:i/>
          <w:iCs/>
        </w:rPr>
        <w:t xml:space="preserve"> </w:t>
      </w:r>
      <w:proofErr w:type="spellStart"/>
      <w:r w:rsidRPr="002906A3">
        <w:rPr>
          <w:i/>
          <w:iCs/>
        </w:rPr>
        <w:t>perûduñ</w:t>
      </w:r>
      <w:proofErr w:type="spellEnd"/>
      <w:r w:rsidRPr="002906A3">
        <w:rPr>
          <w:i/>
          <w:iCs/>
        </w:rPr>
        <w:t xml:space="preserve"> </w:t>
      </w:r>
      <w:proofErr w:type="spellStart"/>
      <w:r w:rsidRPr="002906A3">
        <w:rPr>
          <w:i/>
          <w:iCs/>
        </w:rPr>
        <w:t>beñzer</w:t>
      </w:r>
      <w:proofErr w:type="spellEnd"/>
      <w:r w:rsidRPr="002906A3">
        <w:rPr>
          <w:i/>
          <w:iCs/>
        </w:rPr>
        <w:t xml:space="preserve"> </w:t>
      </w:r>
      <w:proofErr w:type="spellStart"/>
      <w:r w:rsidRPr="002906A3">
        <w:rPr>
          <w:i/>
          <w:iCs/>
        </w:rPr>
        <w:t>agaçkakane</w:t>
      </w:r>
      <w:proofErr w:type="spellEnd"/>
    </w:p>
    <w:p w14:paraId="1FAD39D0" w14:textId="77777777" w:rsidR="001E7189" w:rsidRPr="002906A3" w:rsidRDefault="001E7189" w:rsidP="00BA67A6">
      <w:pPr>
        <w:ind w:left="720"/>
        <w:jc w:val="both"/>
        <w:rPr>
          <w:i/>
          <w:iCs/>
        </w:rPr>
      </w:pPr>
      <w:r w:rsidRPr="002906A3">
        <w:rPr>
          <w:i/>
          <w:iCs/>
        </w:rPr>
        <w:t xml:space="preserve">Koyun celeplerine döndürme </w:t>
      </w:r>
      <w:proofErr w:type="spellStart"/>
      <w:r w:rsidRPr="002906A3">
        <w:rPr>
          <w:i/>
          <w:iCs/>
        </w:rPr>
        <w:t>gendüzüñi</w:t>
      </w:r>
      <w:proofErr w:type="spellEnd"/>
    </w:p>
    <w:p w14:paraId="538FA353" w14:textId="77777777" w:rsidR="001E7189" w:rsidRPr="002906A3" w:rsidRDefault="001E7189" w:rsidP="00BA67A6">
      <w:pPr>
        <w:ind w:left="720"/>
        <w:jc w:val="both"/>
        <w:rPr>
          <w:i/>
          <w:iCs/>
        </w:rPr>
      </w:pPr>
      <w:proofErr w:type="spellStart"/>
      <w:r w:rsidRPr="002906A3">
        <w:rPr>
          <w:i/>
          <w:iCs/>
        </w:rPr>
        <w:t>Rûmeli</w:t>
      </w:r>
      <w:proofErr w:type="spellEnd"/>
      <w:r w:rsidRPr="002906A3">
        <w:rPr>
          <w:i/>
          <w:iCs/>
        </w:rPr>
        <w:t xml:space="preserve"> </w:t>
      </w:r>
      <w:proofErr w:type="spellStart"/>
      <w:r w:rsidRPr="002906A3">
        <w:rPr>
          <w:i/>
          <w:iCs/>
        </w:rPr>
        <w:t>takyesiyle</w:t>
      </w:r>
      <w:proofErr w:type="spellEnd"/>
      <w:r w:rsidRPr="002906A3">
        <w:rPr>
          <w:i/>
          <w:iCs/>
        </w:rPr>
        <w:t xml:space="preserve"> ey ebleh-i </w:t>
      </w:r>
      <w:proofErr w:type="spellStart"/>
      <w:r w:rsidRPr="002906A3">
        <w:rPr>
          <w:i/>
          <w:iCs/>
        </w:rPr>
        <w:t>zemâne</w:t>
      </w:r>
      <w:proofErr w:type="spellEnd"/>
    </w:p>
    <w:p w14:paraId="48797AEC" w14:textId="77777777" w:rsidR="001E7189" w:rsidRPr="002906A3" w:rsidRDefault="001E7189" w:rsidP="00BA67A6">
      <w:pPr>
        <w:ind w:left="720"/>
        <w:jc w:val="both"/>
        <w:rPr>
          <w:i/>
          <w:iCs/>
        </w:rPr>
      </w:pPr>
      <w:proofErr w:type="spellStart"/>
      <w:r w:rsidRPr="002906A3">
        <w:rPr>
          <w:i/>
          <w:iCs/>
        </w:rPr>
        <w:t>Takyeñ</w:t>
      </w:r>
      <w:proofErr w:type="spellEnd"/>
      <w:r w:rsidRPr="002906A3">
        <w:rPr>
          <w:i/>
          <w:iCs/>
        </w:rPr>
        <w:t xml:space="preserve"> hayâlleriyle gün </w:t>
      </w:r>
      <w:proofErr w:type="spellStart"/>
      <w:r w:rsidRPr="002906A3">
        <w:rPr>
          <w:i/>
          <w:iCs/>
        </w:rPr>
        <w:t>togsa</w:t>
      </w:r>
      <w:proofErr w:type="spellEnd"/>
      <w:r w:rsidRPr="002906A3">
        <w:rPr>
          <w:i/>
          <w:iCs/>
        </w:rPr>
        <w:t xml:space="preserve"> sâyesinden</w:t>
      </w:r>
    </w:p>
    <w:p w14:paraId="776D8C6B" w14:textId="77777777" w:rsidR="001E7189" w:rsidRPr="002906A3" w:rsidRDefault="001E7189" w:rsidP="00BA67A6">
      <w:pPr>
        <w:pStyle w:val="Balk6"/>
        <w:spacing w:before="0"/>
        <w:rPr>
          <w:rFonts w:ascii="Times New Roman" w:hAnsi="Times New Roman" w:cs="Times New Roman"/>
        </w:rPr>
      </w:pPr>
      <w:proofErr w:type="spellStart"/>
      <w:r w:rsidRPr="002906A3">
        <w:rPr>
          <w:rFonts w:ascii="Times New Roman" w:hAnsi="Times New Roman" w:cs="Times New Roman"/>
        </w:rPr>
        <w:t>Turmaz</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urur</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yürürsin</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atuña</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tâziyâne</w:t>
      </w:r>
      <w:proofErr w:type="spellEnd"/>
    </w:p>
    <w:p w14:paraId="40B0D929" w14:textId="77777777" w:rsidR="001E7189" w:rsidRPr="002906A3" w:rsidRDefault="001E7189" w:rsidP="00BA67A6">
      <w:pPr>
        <w:ind w:left="720"/>
        <w:jc w:val="both"/>
        <w:rPr>
          <w:i/>
          <w:iCs/>
        </w:rPr>
      </w:pPr>
      <w:r w:rsidRPr="002906A3">
        <w:rPr>
          <w:i/>
          <w:iCs/>
        </w:rPr>
        <w:t xml:space="preserve">Yahyâ </w:t>
      </w:r>
      <w:proofErr w:type="spellStart"/>
      <w:r w:rsidRPr="002906A3">
        <w:rPr>
          <w:i/>
          <w:iCs/>
        </w:rPr>
        <w:t>sözini</w:t>
      </w:r>
      <w:proofErr w:type="spellEnd"/>
      <w:r w:rsidRPr="002906A3">
        <w:rPr>
          <w:i/>
          <w:iCs/>
        </w:rPr>
        <w:t xml:space="preserve"> esle </w:t>
      </w:r>
      <w:proofErr w:type="spellStart"/>
      <w:r w:rsidRPr="002906A3">
        <w:rPr>
          <w:i/>
          <w:iCs/>
        </w:rPr>
        <w:t>halkuñ</w:t>
      </w:r>
      <w:proofErr w:type="spellEnd"/>
      <w:r w:rsidRPr="002906A3">
        <w:rPr>
          <w:i/>
          <w:iCs/>
        </w:rPr>
        <w:t xml:space="preserve"> </w:t>
      </w:r>
      <w:proofErr w:type="spellStart"/>
      <w:r w:rsidRPr="002906A3">
        <w:rPr>
          <w:i/>
          <w:iCs/>
        </w:rPr>
        <w:t>gülünci</w:t>
      </w:r>
      <w:proofErr w:type="spellEnd"/>
      <w:r w:rsidRPr="002906A3">
        <w:rPr>
          <w:i/>
          <w:iCs/>
        </w:rPr>
        <w:t xml:space="preserve"> olma</w:t>
      </w:r>
    </w:p>
    <w:p w14:paraId="5B87D023" w14:textId="77777777" w:rsidR="001E7189" w:rsidRDefault="001E7189" w:rsidP="00BA67A6">
      <w:pPr>
        <w:ind w:left="720"/>
        <w:jc w:val="both"/>
      </w:pPr>
      <w:proofErr w:type="spellStart"/>
      <w:r w:rsidRPr="002906A3">
        <w:rPr>
          <w:i/>
          <w:iCs/>
        </w:rPr>
        <w:t>Maymûn</w:t>
      </w:r>
      <w:proofErr w:type="spellEnd"/>
      <w:r w:rsidRPr="002906A3">
        <w:rPr>
          <w:i/>
          <w:iCs/>
        </w:rPr>
        <w:t xml:space="preserve"> gibi </w:t>
      </w:r>
      <w:proofErr w:type="spellStart"/>
      <w:r w:rsidRPr="002906A3">
        <w:rPr>
          <w:i/>
          <w:iCs/>
        </w:rPr>
        <w:t>başuñdan</w:t>
      </w:r>
      <w:proofErr w:type="spellEnd"/>
      <w:r w:rsidRPr="002906A3">
        <w:rPr>
          <w:i/>
          <w:iCs/>
        </w:rPr>
        <w:t xml:space="preserve"> at </w:t>
      </w:r>
      <w:proofErr w:type="spellStart"/>
      <w:r w:rsidRPr="002906A3">
        <w:rPr>
          <w:i/>
          <w:iCs/>
        </w:rPr>
        <w:t>takyeñi</w:t>
      </w:r>
      <w:proofErr w:type="spellEnd"/>
      <w:r w:rsidRPr="002906A3">
        <w:rPr>
          <w:i/>
          <w:iCs/>
        </w:rPr>
        <w:t xml:space="preserve"> </w:t>
      </w:r>
      <w:proofErr w:type="spellStart"/>
      <w:r w:rsidRPr="002906A3">
        <w:rPr>
          <w:i/>
          <w:iCs/>
        </w:rPr>
        <w:t>yabâne</w:t>
      </w:r>
      <w:proofErr w:type="spellEnd"/>
      <w:r w:rsidRPr="002906A3">
        <w:t xml:space="preserve"> (Bozyiğit, 2021: 677)</w:t>
      </w:r>
    </w:p>
    <w:p w14:paraId="3C9B4AF4" w14:textId="77777777" w:rsidR="00BA67A6" w:rsidRPr="002906A3" w:rsidRDefault="00BA67A6" w:rsidP="00BA67A6">
      <w:pPr>
        <w:ind w:left="720"/>
        <w:jc w:val="both"/>
      </w:pPr>
    </w:p>
    <w:p w14:paraId="0448AB2E" w14:textId="77777777" w:rsidR="001E7189" w:rsidRDefault="001E7189" w:rsidP="00BA67A6">
      <w:pPr>
        <w:jc w:val="both"/>
      </w:pPr>
      <w:r w:rsidRPr="002906A3">
        <w:t xml:space="preserve">Taşlıcalı Yahyâ, aşağıda yer alan beyitte yine </w:t>
      </w:r>
      <w:proofErr w:type="spellStart"/>
      <w:r w:rsidRPr="002906A3">
        <w:t>Hayâlî</w:t>
      </w:r>
      <w:proofErr w:type="spellEnd"/>
      <w:r w:rsidRPr="002906A3">
        <w:t xml:space="preserve"> Bey’in başına takmış olduğu takke ile ilgili bir benzetme yaparak </w:t>
      </w:r>
      <w:proofErr w:type="spellStart"/>
      <w:r w:rsidRPr="002906A3">
        <w:t>Hayâlî</w:t>
      </w:r>
      <w:proofErr w:type="spellEnd"/>
      <w:r w:rsidRPr="002906A3">
        <w:t xml:space="preserve"> ile dalga geçmektedir. Şairin başındaki takkeyi laleye benzeten Yahyâ, </w:t>
      </w:r>
      <w:proofErr w:type="spellStart"/>
      <w:r w:rsidRPr="002906A3">
        <w:t>Hayâlî</w:t>
      </w:r>
      <w:proofErr w:type="spellEnd"/>
      <w:r w:rsidRPr="002906A3">
        <w:t xml:space="preserve"> Bey’i de kabaca boka benzetmiştir.</w:t>
      </w:r>
    </w:p>
    <w:p w14:paraId="42A5E4A2" w14:textId="77777777" w:rsidR="00BA67A6" w:rsidRPr="002906A3" w:rsidRDefault="00BA67A6" w:rsidP="00BA67A6">
      <w:pPr>
        <w:jc w:val="both"/>
      </w:pPr>
    </w:p>
    <w:p w14:paraId="72DBBCBB" w14:textId="77777777" w:rsidR="001E7189" w:rsidRPr="002906A3" w:rsidRDefault="001E7189" w:rsidP="00BA67A6">
      <w:pPr>
        <w:ind w:left="720"/>
        <w:jc w:val="both"/>
        <w:rPr>
          <w:i/>
          <w:iCs/>
        </w:rPr>
      </w:pPr>
      <w:proofErr w:type="spellStart"/>
      <w:r w:rsidRPr="002906A3">
        <w:rPr>
          <w:i/>
          <w:iCs/>
        </w:rPr>
        <w:t>Şol</w:t>
      </w:r>
      <w:proofErr w:type="spellEnd"/>
      <w:r w:rsidRPr="002906A3">
        <w:rPr>
          <w:i/>
          <w:iCs/>
        </w:rPr>
        <w:t xml:space="preserve"> </w:t>
      </w:r>
      <w:proofErr w:type="spellStart"/>
      <w:r w:rsidRPr="002906A3">
        <w:rPr>
          <w:i/>
          <w:iCs/>
        </w:rPr>
        <w:t>Hayâlî</w:t>
      </w:r>
      <w:proofErr w:type="spellEnd"/>
      <w:r w:rsidRPr="002906A3">
        <w:rPr>
          <w:i/>
          <w:iCs/>
        </w:rPr>
        <w:t xml:space="preserve"> </w:t>
      </w:r>
      <w:proofErr w:type="spellStart"/>
      <w:r w:rsidRPr="002906A3">
        <w:rPr>
          <w:i/>
          <w:iCs/>
        </w:rPr>
        <w:t>Beg</w:t>
      </w:r>
      <w:proofErr w:type="spellEnd"/>
      <w:r w:rsidRPr="002906A3">
        <w:rPr>
          <w:i/>
          <w:iCs/>
        </w:rPr>
        <w:t xml:space="preserve"> ki benzi sarı gözü aladur</w:t>
      </w:r>
    </w:p>
    <w:p w14:paraId="72E43489" w14:textId="77777777" w:rsidR="001E7189" w:rsidRDefault="001E7189" w:rsidP="00BA67A6">
      <w:pPr>
        <w:ind w:left="720"/>
        <w:jc w:val="both"/>
      </w:pPr>
      <w:proofErr w:type="spellStart"/>
      <w:r w:rsidRPr="002906A3">
        <w:rPr>
          <w:i/>
          <w:iCs/>
        </w:rPr>
        <w:t>Başda</w:t>
      </w:r>
      <w:proofErr w:type="spellEnd"/>
      <w:r w:rsidRPr="002906A3">
        <w:rPr>
          <w:i/>
          <w:iCs/>
        </w:rPr>
        <w:t xml:space="preserve"> yelken </w:t>
      </w:r>
      <w:proofErr w:type="spellStart"/>
      <w:r w:rsidRPr="002906A3">
        <w:rPr>
          <w:i/>
          <w:iCs/>
        </w:rPr>
        <w:t>takyesi</w:t>
      </w:r>
      <w:proofErr w:type="spellEnd"/>
      <w:r w:rsidRPr="002906A3">
        <w:rPr>
          <w:i/>
          <w:iCs/>
        </w:rPr>
        <w:t xml:space="preserve"> </w:t>
      </w:r>
      <w:proofErr w:type="spellStart"/>
      <w:r w:rsidRPr="002906A3">
        <w:rPr>
          <w:i/>
          <w:iCs/>
        </w:rPr>
        <w:t>boklukda</w:t>
      </w:r>
      <w:proofErr w:type="spellEnd"/>
      <w:r w:rsidRPr="002906A3">
        <w:rPr>
          <w:i/>
          <w:iCs/>
        </w:rPr>
        <w:t xml:space="preserve"> bitmiş </w:t>
      </w:r>
      <w:proofErr w:type="spellStart"/>
      <w:r w:rsidRPr="002906A3">
        <w:rPr>
          <w:i/>
          <w:iCs/>
        </w:rPr>
        <w:t>lâledür</w:t>
      </w:r>
      <w:proofErr w:type="spellEnd"/>
      <w:r w:rsidRPr="002906A3">
        <w:t xml:space="preserve"> (Bozyiğit, 2021: 741)</w:t>
      </w:r>
    </w:p>
    <w:p w14:paraId="632EC506" w14:textId="77777777" w:rsidR="00BA67A6" w:rsidRPr="002906A3" w:rsidRDefault="00BA67A6" w:rsidP="00BA67A6">
      <w:pPr>
        <w:ind w:left="720"/>
        <w:jc w:val="both"/>
      </w:pPr>
    </w:p>
    <w:p w14:paraId="37C06D79" w14:textId="77777777" w:rsidR="001E7189" w:rsidRDefault="001E7189" w:rsidP="00BA67A6">
      <w:pPr>
        <w:jc w:val="both"/>
      </w:pPr>
      <w:r w:rsidRPr="002906A3">
        <w:t xml:space="preserve">Aşağıdaki beyitte ise </w:t>
      </w:r>
      <w:proofErr w:type="spellStart"/>
      <w:r w:rsidRPr="002906A3">
        <w:t>Hayâlî</w:t>
      </w:r>
      <w:proofErr w:type="spellEnd"/>
      <w:r w:rsidRPr="002906A3">
        <w:t xml:space="preserve"> Bey’i hem karakter hem de sahip olduğu imkanlar sebebiyle eleştiren Taşlıcalı, âlemde iki tane eğri bulunduğunu bunlardan birinin şekil itibariyle hilal, diğerinin ise </w:t>
      </w:r>
      <w:proofErr w:type="spellStart"/>
      <w:r w:rsidRPr="002906A3">
        <w:t>Hayâlî</w:t>
      </w:r>
      <w:proofErr w:type="spellEnd"/>
      <w:r w:rsidRPr="002906A3">
        <w:t xml:space="preserve"> Bey’in kendisi olduğunu ifade etmiştir. Beyitte hilalin şeklinden kaynaklı olan eğriliği ile </w:t>
      </w:r>
      <w:proofErr w:type="spellStart"/>
      <w:r w:rsidRPr="002906A3">
        <w:t>Hayâlî</w:t>
      </w:r>
      <w:proofErr w:type="spellEnd"/>
      <w:r w:rsidRPr="002906A3">
        <w:t xml:space="preserve"> Bey’in karakterinin düzgün olmadığı iması arasında ilişki kurulmuştur. Taşlıcalı Yahyâ bu beyitte aynı zamanda söz konusu “karakter </w:t>
      </w:r>
      <w:proofErr w:type="spellStart"/>
      <w:r w:rsidRPr="002906A3">
        <w:t>eğriliği”ne</w:t>
      </w:r>
      <w:proofErr w:type="spellEnd"/>
      <w:r w:rsidRPr="002906A3">
        <w:t xml:space="preserve"> rağmen </w:t>
      </w:r>
      <w:proofErr w:type="spellStart"/>
      <w:r w:rsidRPr="002906A3">
        <w:t>Hayâlî’nin</w:t>
      </w:r>
      <w:proofErr w:type="spellEnd"/>
      <w:r w:rsidRPr="002906A3">
        <w:t xml:space="preserve"> bolca ihsana erişmesine ve önünün açılmasına sitem etmiştir.</w:t>
      </w:r>
    </w:p>
    <w:p w14:paraId="5EA15CDD" w14:textId="77777777" w:rsidR="00BA67A6" w:rsidRPr="002906A3" w:rsidRDefault="00BA67A6" w:rsidP="00BA67A6">
      <w:pPr>
        <w:jc w:val="both"/>
      </w:pPr>
    </w:p>
    <w:p w14:paraId="6C347E9D" w14:textId="77777777" w:rsidR="001E7189" w:rsidRPr="002906A3" w:rsidRDefault="001E7189" w:rsidP="00BA67A6">
      <w:pPr>
        <w:ind w:left="720"/>
        <w:jc w:val="both"/>
        <w:rPr>
          <w:i/>
          <w:iCs/>
        </w:rPr>
      </w:pPr>
      <w:r w:rsidRPr="002906A3">
        <w:rPr>
          <w:i/>
          <w:iCs/>
        </w:rPr>
        <w:t xml:space="preserve">İki </w:t>
      </w:r>
      <w:proofErr w:type="spellStart"/>
      <w:r w:rsidRPr="002906A3">
        <w:rPr>
          <w:i/>
          <w:iCs/>
        </w:rPr>
        <w:t>egri</w:t>
      </w:r>
      <w:proofErr w:type="spellEnd"/>
      <w:r w:rsidRPr="002906A3">
        <w:rPr>
          <w:i/>
          <w:iCs/>
        </w:rPr>
        <w:t xml:space="preserve"> var </w:t>
      </w:r>
      <w:proofErr w:type="spellStart"/>
      <w:r w:rsidRPr="002906A3">
        <w:rPr>
          <w:i/>
          <w:iCs/>
        </w:rPr>
        <w:t>cihânda</w:t>
      </w:r>
      <w:proofErr w:type="spellEnd"/>
      <w:r w:rsidRPr="002906A3">
        <w:rPr>
          <w:i/>
          <w:iCs/>
        </w:rPr>
        <w:t xml:space="preserve"> bir </w:t>
      </w:r>
      <w:proofErr w:type="spellStart"/>
      <w:r w:rsidRPr="002906A3">
        <w:rPr>
          <w:i/>
          <w:iCs/>
        </w:rPr>
        <w:t>Hayâlî</w:t>
      </w:r>
      <w:proofErr w:type="spellEnd"/>
      <w:r w:rsidRPr="002906A3">
        <w:rPr>
          <w:i/>
          <w:iCs/>
        </w:rPr>
        <w:t xml:space="preserve"> bir hilâl</w:t>
      </w:r>
    </w:p>
    <w:p w14:paraId="34EA4E10" w14:textId="77777777" w:rsidR="001E7189" w:rsidRDefault="001E7189" w:rsidP="00BA67A6">
      <w:pPr>
        <w:ind w:left="720"/>
        <w:jc w:val="both"/>
      </w:pPr>
      <w:proofErr w:type="spellStart"/>
      <w:r w:rsidRPr="002906A3">
        <w:rPr>
          <w:i/>
          <w:iCs/>
        </w:rPr>
        <w:t>Etmegi</w:t>
      </w:r>
      <w:proofErr w:type="spellEnd"/>
      <w:r w:rsidRPr="002906A3">
        <w:rPr>
          <w:i/>
          <w:iCs/>
        </w:rPr>
        <w:t xml:space="preserve"> artar yürür </w:t>
      </w:r>
      <w:proofErr w:type="spellStart"/>
      <w:r w:rsidRPr="002906A3">
        <w:rPr>
          <w:i/>
          <w:iCs/>
        </w:rPr>
        <w:t>mânend</w:t>
      </w:r>
      <w:proofErr w:type="spellEnd"/>
      <w:r w:rsidRPr="002906A3">
        <w:rPr>
          <w:i/>
          <w:iCs/>
        </w:rPr>
        <w:t xml:space="preserve">-i </w:t>
      </w:r>
      <w:proofErr w:type="spellStart"/>
      <w:r w:rsidRPr="002906A3">
        <w:rPr>
          <w:i/>
          <w:iCs/>
        </w:rPr>
        <w:t>ehl</w:t>
      </w:r>
      <w:proofErr w:type="spellEnd"/>
      <w:r w:rsidRPr="002906A3">
        <w:rPr>
          <w:i/>
          <w:iCs/>
        </w:rPr>
        <w:t xml:space="preserve">-i </w:t>
      </w:r>
      <w:proofErr w:type="spellStart"/>
      <w:r w:rsidRPr="002906A3">
        <w:rPr>
          <w:i/>
          <w:iCs/>
        </w:rPr>
        <w:t>ma’rifet</w:t>
      </w:r>
      <w:proofErr w:type="spellEnd"/>
      <w:r w:rsidRPr="002906A3">
        <w:t xml:space="preserve"> (Bozyiğit, 2021: 289)</w:t>
      </w:r>
    </w:p>
    <w:p w14:paraId="5F882D6A" w14:textId="77777777" w:rsidR="00BA67A6" w:rsidRPr="002906A3" w:rsidRDefault="00BA67A6" w:rsidP="00BA67A6">
      <w:pPr>
        <w:ind w:left="720"/>
        <w:jc w:val="both"/>
      </w:pPr>
    </w:p>
    <w:p w14:paraId="1BC18D69" w14:textId="77777777" w:rsidR="001E7189" w:rsidRDefault="001E7189" w:rsidP="00BA67A6">
      <w:pPr>
        <w:pStyle w:val="GvdeMetni"/>
        <w:jc w:val="both"/>
      </w:pPr>
      <w:r w:rsidRPr="002906A3">
        <w:t xml:space="preserve">Kendisi hakkında ortalarda dolaşan iftira dolu sözlerin kaynağının </w:t>
      </w:r>
      <w:proofErr w:type="spellStart"/>
      <w:r w:rsidRPr="002906A3">
        <w:t>Hayâlî</w:t>
      </w:r>
      <w:proofErr w:type="spellEnd"/>
      <w:r w:rsidRPr="002906A3">
        <w:t xml:space="preserve"> Bey olduğunu düşünen Taşlıcalı, geçirdiği soruşturma sonucunda haklı çıkıp canını kurtarınca şiirleriyle yine </w:t>
      </w:r>
      <w:proofErr w:type="spellStart"/>
      <w:r w:rsidRPr="002906A3">
        <w:t>Hayâlî</w:t>
      </w:r>
      <w:proofErr w:type="spellEnd"/>
      <w:r w:rsidRPr="002906A3">
        <w:t xml:space="preserve"> Bey’e yüklenmeye devam etmiştir. Taşlıcalı, kendisinden şikayetçi olanların iftiracı bir ergen olan </w:t>
      </w:r>
      <w:proofErr w:type="spellStart"/>
      <w:r w:rsidRPr="002906A3">
        <w:t>Hayâlî’nin</w:t>
      </w:r>
      <w:proofErr w:type="spellEnd"/>
      <w:r w:rsidRPr="002906A3">
        <w:t xml:space="preserve"> tuttuğu düzmece şikayetçiler olduğunu belirtmiş ve haklılığı ortaya çıkınca bahsi geçen şikayetçilerin Osmanlı’dan kaçan Kızılbaşlar gibi bir anda kaçıp ortalardan kaybolduğunu söylemiştir. Son mısrada “</w:t>
      </w:r>
      <w:proofErr w:type="spellStart"/>
      <w:r w:rsidRPr="002906A3">
        <w:t>çâker</w:t>
      </w:r>
      <w:proofErr w:type="spellEnd"/>
      <w:r w:rsidRPr="002906A3">
        <w:t xml:space="preserve">” diyerek hedef aldığı </w:t>
      </w:r>
      <w:proofErr w:type="spellStart"/>
      <w:r w:rsidRPr="002906A3">
        <w:t>Hayâlî</w:t>
      </w:r>
      <w:proofErr w:type="spellEnd"/>
      <w:r w:rsidRPr="002906A3">
        <w:t xml:space="preserve"> Bey’e de “doğru yoldan sapma ki bir makam, mevki sahibi olasın” şeklinde öğüt vermiştir.</w:t>
      </w:r>
    </w:p>
    <w:p w14:paraId="5AFD964F" w14:textId="77777777" w:rsidR="00BA67A6" w:rsidRPr="002906A3" w:rsidRDefault="00BA67A6" w:rsidP="00BA67A6">
      <w:pPr>
        <w:pStyle w:val="GvdeMetni"/>
        <w:jc w:val="both"/>
      </w:pPr>
    </w:p>
    <w:p w14:paraId="6B5AC790" w14:textId="77777777" w:rsidR="001E7189" w:rsidRPr="002906A3" w:rsidRDefault="001E7189" w:rsidP="00BA67A6">
      <w:pPr>
        <w:ind w:left="720"/>
        <w:jc w:val="both"/>
        <w:rPr>
          <w:i/>
          <w:iCs/>
        </w:rPr>
      </w:pPr>
      <w:proofErr w:type="spellStart"/>
      <w:r w:rsidRPr="002906A3">
        <w:rPr>
          <w:i/>
          <w:iCs/>
        </w:rPr>
        <w:t>Surh</w:t>
      </w:r>
      <w:proofErr w:type="spellEnd"/>
      <w:r w:rsidRPr="002906A3">
        <w:rPr>
          <w:i/>
          <w:iCs/>
        </w:rPr>
        <w:t xml:space="preserve">-ser </w:t>
      </w:r>
      <w:proofErr w:type="spellStart"/>
      <w:r w:rsidRPr="002906A3">
        <w:rPr>
          <w:i/>
          <w:iCs/>
        </w:rPr>
        <w:t>Osmânludan</w:t>
      </w:r>
      <w:proofErr w:type="spellEnd"/>
      <w:r w:rsidRPr="002906A3">
        <w:rPr>
          <w:i/>
          <w:iCs/>
        </w:rPr>
        <w:t xml:space="preserve"> </w:t>
      </w:r>
      <w:proofErr w:type="spellStart"/>
      <w:r w:rsidRPr="002906A3">
        <w:rPr>
          <w:i/>
          <w:iCs/>
        </w:rPr>
        <w:t>kaçdugı</w:t>
      </w:r>
      <w:proofErr w:type="spellEnd"/>
      <w:r w:rsidRPr="002906A3">
        <w:rPr>
          <w:i/>
          <w:iCs/>
        </w:rPr>
        <w:t xml:space="preserve"> gibi </w:t>
      </w:r>
      <w:proofErr w:type="spellStart"/>
      <w:r w:rsidRPr="002906A3">
        <w:rPr>
          <w:i/>
          <w:iCs/>
        </w:rPr>
        <w:t>kaçdılar</w:t>
      </w:r>
      <w:proofErr w:type="spellEnd"/>
    </w:p>
    <w:p w14:paraId="14A6D806" w14:textId="40EADCC8" w:rsidR="001E7189" w:rsidRPr="002906A3" w:rsidRDefault="001E7189" w:rsidP="00BA67A6">
      <w:pPr>
        <w:ind w:left="720"/>
        <w:jc w:val="both"/>
        <w:rPr>
          <w:i/>
          <w:iCs/>
        </w:rPr>
      </w:pPr>
      <w:r w:rsidRPr="002906A3">
        <w:rPr>
          <w:i/>
          <w:iCs/>
        </w:rPr>
        <w:t>Bir karacı ‘</w:t>
      </w:r>
      <w:proofErr w:type="spellStart"/>
      <w:r w:rsidRPr="002906A3">
        <w:rPr>
          <w:i/>
          <w:iCs/>
        </w:rPr>
        <w:t>uzbetüñ</w:t>
      </w:r>
      <w:proofErr w:type="spellEnd"/>
      <w:r w:rsidRPr="002906A3">
        <w:rPr>
          <w:i/>
          <w:iCs/>
        </w:rPr>
        <w:t xml:space="preserve"> düzme şikâyetçileri</w:t>
      </w:r>
    </w:p>
    <w:p w14:paraId="5FBA29A2" w14:textId="77777777" w:rsidR="001E7189" w:rsidRPr="002906A3" w:rsidRDefault="001E7189" w:rsidP="00BA67A6">
      <w:pPr>
        <w:ind w:left="720"/>
        <w:jc w:val="both"/>
        <w:rPr>
          <w:i/>
          <w:iCs/>
        </w:rPr>
      </w:pPr>
      <w:r w:rsidRPr="002906A3">
        <w:rPr>
          <w:i/>
          <w:iCs/>
        </w:rPr>
        <w:t xml:space="preserve">Halk-ı ‘âlem eyledi Yahyâ’yı </w:t>
      </w:r>
      <w:proofErr w:type="spellStart"/>
      <w:r w:rsidRPr="002906A3">
        <w:rPr>
          <w:i/>
          <w:iCs/>
        </w:rPr>
        <w:t>mahbûbu’l-kulûb</w:t>
      </w:r>
      <w:proofErr w:type="spellEnd"/>
    </w:p>
    <w:p w14:paraId="03DC0253" w14:textId="77777777" w:rsidR="001E7189" w:rsidRDefault="001E7189" w:rsidP="00BA67A6">
      <w:pPr>
        <w:ind w:left="720"/>
        <w:jc w:val="both"/>
      </w:pPr>
      <w:r w:rsidRPr="002906A3">
        <w:rPr>
          <w:i/>
          <w:iCs/>
        </w:rPr>
        <w:t xml:space="preserve">İstikâmet belki bir sadra çeler ol </w:t>
      </w:r>
      <w:proofErr w:type="spellStart"/>
      <w:r w:rsidRPr="002906A3">
        <w:rPr>
          <w:i/>
          <w:iCs/>
        </w:rPr>
        <w:t>çâkeri</w:t>
      </w:r>
      <w:proofErr w:type="spellEnd"/>
      <w:r w:rsidRPr="002906A3">
        <w:t xml:space="preserve"> (Bozyiğit, 2021: 289)</w:t>
      </w:r>
    </w:p>
    <w:p w14:paraId="2F5FFDD3" w14:textId="77777777" w:rsidR="00BA67A6" w:rsidRPr="00BA67A6" w:rsidRDefault="00BA67A6" w:rsidP="00BA67A6">
      <w:pPr>
        <w:ind w:left="720"/>
        <w:jc w:val="both"/>
        <w:rPr>
          <w:color w:val="000000" w:themeColor="text1"/>
        </w:rPr>
      </w:pPr>
    </w:p>
    <w:p w14:paraId="2A51CECB" w14:textId="77777777" w:rsidR="001E7189" w:rsidRPr="00BA67A6" w:rsidRDefault="001E7189" w:rsidP="00BA67A6">
      <w:pPr>
        <w:pStyle w:val="Balk5"/>
        <w:spacing w:before="0" w:after="0"/>
        <w:rPr>
          <w:rFonts w:ascii="Times New Roman" w:hAnsi="Times New Roman" w:cs="Times New Roman"/>
          <w:b/>
          <w:bCs/>
          <w:color w:val="000000" w:themeColor="text1"/>
        </w:rPr>
      </w:pPr>
      <w:r w:rsidRPr="00BA67A6">
        <w:rPr>
          <w:rFonts w:ascii="Times New Roman" w:hAnsi="Times New Roman" w:cs="Times New Roman"/>
          <w:b/>
          <w:bCs/>
          <w:color w:val="000000" w:themeColor="text1"/>
        </w:rPr>
        <w:t>Şairlik Yeteneği Üzerinden Yapılan Eleştiriler</w:t>
      </w:r>
    </w:p>
    <w:p w14:paraId="1F7714C5" w14:textId="77777777" w:rsidR="001E7189" w:rsidRDefault="001E7189" w:rsidP="00BA67A6">
      <w:pPr>
        <w:jc w:val="both"/>
      </w:pPr>
      <w:proofErr w:type="spellStart"/>
      <w:r w:rsidRPr="002906A3">
        <w:rPr>
          <w:i/>
          <w:iCs/>
        </w:rPr>
        <w:t>Dîvân</w:t>
      </w:r>
      <w:r w:rsidRPr="002906A3">
        <w:t>’ında</w:t>
      </w:r>
      <w:proofErr w:type="spellEnd"/>
      <w:r w:rsidRPr="002906A3">
        <w:t xml:space="preserve"> yer alan aşağıdaki kıtada Taşlıcalı Yahyâ, kendi şairliğiyle </w:t>
      </w:r>
      <w:proofErr w:type="spellStart"/>
      <w:r w:rsidRPr="002906A3">
        <w:t>Hayâlî</w:t>
      </w:r>
      <w:proofErr w:type="spellEnd"/>
      <w:r w:rsidRPr="002906A3">
        <w:t xml:space="preserve"> Bey’in şairliğini kıyaslayarak kendi şairliğinin üstün olduğunu söyler; </w:t>
      </w:r>
      <w:proofErr w:type="spellStart"/>
      <w:r w:rsidRPr="002906A3">
        <w:t>Hayâlî</w:t>
      </w:r>
      <w:proofErr w:type="spellEnd"/>
      <w:r w:rsidRPr="002906A3">
        <w:t xml:space="preserve"> Bey’i ise bu yönde eleştirir (Göktaş ve Gürgen, 2023: 244). </w:t>
      </w:r>
      <w:proofErr w:type="spellStart"/>
      <w:r w:rsidRPr="002906A3">
        <w:t>Taşlıcalı’ya</w:t>
      </w:r>
      <w:proofErr w:type="spellEnd"/>
      <w:r w:rsidRPr="002906A3">
        <w:t xml:space="preserve"> göre kendi şiirleri, </w:t>
      </w:r>
      <w:proofErr w:type="spellStart"/>
      <w:r w:rsidRPr="002906A3">
        <w:t>Hayâlî</w:t>
      </w:r>
      <w:proofErr w:type="spellEnd"/>
      <w:r w:rsidRPr="002906A3">
        <w:t xml:space="preserve"> Bey’in şiirlerinden daha üstündür ancak şiirden anlamayan cahiller bu farkı anlamayacaklardır. </w:t>
      </w:r>
      <w:proofErr w:type="spellStart"/>
      <w:r w:rsidRPr="002906A3">
        <w:t>Taşlıcalı’ya</w:t>
      </w:r>
      <w:proofErr w:type="spellEnd"/>
      <w:r w:rsidRPr="002906A3">
        <w:t xml:space="preserve"> göre kendi şiirleri ince, zarif ve hikmetlidir. Ayrıca şiirleri en büyük velilerin sözlerine benzemektedir. Evliyalara yaraşır derecede olan bu sözlerini ise yalnızca gönlü temiz olanlar anlayabilir. Kıtanın son iki beytine bakıldığında ise </w:t>
      </w:r>
      <w:proofErr w:type="spellStart"/>
      <w:r w:rsidRPr="002906A3">
        <w:t>Taşlıcalı’nın</w:t>
      </w:r>
      <w:proofErr w:type="spellEnd"/>
      <w:r w:rsidRPr="002906A3">
        <w:t xml:space="preserve"> </w:t>
      </w:r>
      <w:proofErr w:type="spellStart"/>
      <w:r w:rsidRPr="002906A3">
        <w:t>Hayâlî</w:t>
      </w:r>
      <w:proofErr w:type="spellEnd"/>
      <w:r w:rsidRPr="002906A3">
        <w:t xml:space="preserve"> Bey’in şiirlerini okuduğu anlaşılmaktadır. </w:t>
      </w:r>
      <w:proofErr w:type="spellStart"/>
      <w:r w:rsidRPr="002906A3">
        <w:t>Hayâlî</w:t>
      </w:r>
      <w:proofErr w:type="spellEnd"/>
      <w:r w:rsidRPr="002906A3">
        <w:t xml:space="preserve"> Bey’in şiirlerinde bir heybet, haşmet olduğunu kabul eden Taşlıcalı yine de şiirlerindeki bu heybetin ve </w:t>
      </w:r>
      <w:proofErr w:type="spellStart"/>
      <w:r w:rsidRPr="002906A3">
        <w:t>Hayâlî’nin</w:t>
      </w:r>
      <w:proofErr w:type="spellEnd"/>
      <w:r w:rsidRPr="002906A3">
        <w:t xml:space="preserve"> sahip olduğu şöhretin onu iyi bir şair yapmaya yetmeyeceğini savunmaktadır.</w:t>
      </w:r>
    </w:p>
    <w:p w14:paraId="68E39C78" w14:textId="77777777" w:rsidR="00BA67A6" w:rsidRPr="002906A3" w:rsidRDefault="00BA67A6" w:rsidP="00BA67A6">
      <w:pPr>
        <w:jc w:val="both"/>
      </w:pPr>
    </w:p>
    <w:p w14:paraId="366486EF" w14:textId="77777777" w:rsidR="001E7189" w:rsidRPr="002906A3" w:rsidRDefault="001E7189" w:rsidP="00BA67A6">
      <w:pPr>
        <w:ind w:left="720"/>
        <w:jc w:val="both"/>
        <w:rPr>
          <w:i/>
          <w:iCs/>
        </w:rPr>
      </w:pPr>
      <w:proofErr w:type="spellStart"/>
      <w:r w:rsidRPr="002906A3">
        <w:rPr>
          <w:i/>
          <w:iCs/>
        </w:rPr>
        <w:t>Şi’r</w:t>
      </w:r>
      <w:proofErr w:type="spellEnd"/>
      <w:r w:rsidRPr="002906A3">
        <w:rPr>
          <w:i/>
          <w:iCs/>
        </w:rPr>
        <w:t xml:space="preserve">-i Yahyâ’yı ne </w:t>
      </w:r>
      <w:proofErr w:type="spellStart"/>
      <w:r w:rsidRPr="002906A3">
        <w:rPr>
          <w:i/>
          <w:iCs/>
        </w:rPr>
        <w:t>bilsün</w:t>
      </w:r>
      <w:proofErr w:type="spellEnd"/>
      <w:r w:rsidRPr="002906A3">
        <w:rPr>
          <w:i/>
          <w:iCs/>
        </w:rPr>
        <w:t xml:space="preserve"> </w:t>
      </w:r>
      <w:proofErr w:type="spellStart"/>
      <w:r w:rsidRPr="002906A3">
        <w:rPr>
          <w:i/>
          <w:iCs/>
        </w:rPr>
        <w:t>cehele</w:t>
      </w:r>
      <w:proofErr w:type="spellEnd"/>
    </w:p>
    <w:p w14:paraId="49994F99" w14:textId="0D24AE9D" w:rsidR="001E7189" w:rsidRPr="002906A3" w:rsidRDefault="001E7189" w:rsidP="00BA67A6">
      <w:pPr>
        <w:ind w:left="720"/>
        <w:jc w:val="both"/>
        <w:rPr>
          <w:i/>
          <w:iCs/>
        </w:rPr>
      </w:pPr>
      <w:proofErr w:type="spellStart"/>
      <w:r w:rsidRPr="002906A3">
        <w:rPr>
          <w:i/>
          <w:iCs/>
        </w:rPr>
        <w:t>İncedür</w:t>
      </w:r>
      <w:proofErr w:type="spellEnd"/>
      <w:r w:rsidRPr="002906A3">
        <w:rPr>
          <w:i/>
          <w:iCs/>
        </w:rPr>
        <w:t xml:space="preserve"> ince durur hikmeti var</w:t>
      </w:r>
    </w:p>
    <w:p w14:paraId="198F7315" w14:textId="77777777" w:rsidR="001E7189" w:rsidRPr="002906A3" w:rsidRDefault="001E7189" w:rsidP="00BA67A6">
      <w:pPr>
        <w:pStyle w:val="Balk6"/>
        <w:spacing w:before="0"/>
        <w:rPr>
          <w:rFonts w:ascii="Times New Roman" w:hAnsi="Times New Roman" w:cs="Times New Roman"/>
        </w:rPr>
      </w:pPr>
      <w:proofErr w:type="spellStart"/>
      <w:r w:rsidRPr="002906A3">
        <w:rPr>
          <w:rFonts w:ascii="Times New Roman" w:hAnsi="Times New Roman" w:cs="Times New Roman"/>
        </w:rPr>
        <w:t>Kutb</w:t>
      </w:r>
      <w:proofErr w:type="spellEnd"/>
      <w:r w:rsidRPr="002906A3">
        <w:rPr>
          <w:rFonts w:ascii="Times New Roman" w:hAnsi="Times New Roman" w:cs="Times New Roman"/>
        </w:rPr>
        <w:t xml:space="preserve">-ı </w:t>
      </w:r>
      <w:proofErr w:type="spellStart"/>
      <w:r w:rsidRPr="002906A3">
        <w:rPr>
          <w:rFonts w:ascii="Times New Roman" w:hAnsi="Times New Roman" w:cs="Times New Roman"/>
        </w:rPr>
        <w:t>aktâb</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sözini</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zîrâ</w:t>
      </w:r>
      <w:proofErr w:type="spellEnd"/>
    </w:p>
    <w:p w14:paraId="2F3E9F95" w14:textId="534B7B3A" w:rsidR="001E7189" w:rsidRPr="002906A3" w:rsidRDefault="001E7189" w:rsidP="00BA67A6">
      <w:pPr>
        <w:ind w:left="720"/>
        <w:jc w:val="both"/>
        <w:rPr>
          <w:i/>
          <w:iCs/>
        </w:rPr>
      </w:pPr>
      <w:proofErr w:type="spellStart"/>
      <w:r w:rsidRPr="002906A3">
        <w:rPr>
          <w:i/>
          <w:iCs/>
        </w:rPr>
        <w:t>Añladı</w:t>
      </w:r>
      <w:proofErr w:type="spellEnd"/>
      <w:r w:rsidRPr="002906A3">
        <w:rPr>
          <w:i/>
          <w:iCs/>
        </w:rPr>
        <w:t xml:space="preserve"> </w:t>
      </w:r>
      <w:proofErr w:type="spellStart"/>
      <w:r w:rsidRPr="002906A3">
        <w:rPr>
          <w:i/>
          <w:iCs/>
        </w:rPr>
        <w:t>şol</w:t>
      </w:r>
      <w:proofErr w:type="spellEnd"/>
      <w:r w:rsidRPr="002906A3">
        <w:rPr>
          <w:i/>
          <w:iCs/>
        </w:rPr>
        <w:t xml:space="preserve"> ki </w:t>
      </w:r>
      <w:proofErr w:type="spellStart"/>
      <w:r w:rsidRPr="002906A3">
        <w:rPr>
          <w:i/>
          <w:iCs/>
        </w:rPr>
        <w:t>salâhiyyeti</w:t>
      </w:r>
      <w:proofErr w:type="spellEnd"/>
      <w:r w:rsidRPr="002906A3">
        <w:rPr>
          <w:i/>
          <w:iCs/>
        </w:rPr>
        <w:t xml:space="preserve"> var</w:t>
      </w:r>
    </w:p>
    <w:p w14:paraId="107CDE64" w14:textId="77777777" w:rsidR="001E7189" w:rsidRPr="002906A3" w:rsidRDefault="001E7189" w:rsidP="00BA67A6">
      <w:pPr>
        <w:ind w:left="720"/>
        <w:jc w:val="both"/>
        <w:rPr>
          <w:i/>
          <w:iCs/>
        </w:rPr>
      </w:pPr>
      <w:proofErr w:type="spellStart"/>
      <w:r w:rsidRPr="002906A3">
        <w:rPr>
          <w:i/>
          <w:iCs/>
        </w:rPr>
        <w:t>Okıdum</w:t>
      </w:r>
      <w:proofErr w:type="spellEnd"/>
      <w:r w:rsidRPr="002906A3">
        <w:rPr>
          <w:i/>
          <w:iCs/>
        </w:rPr>
        <w:t xml:space="preserve"> </w:t>
      </w:r>
      <w:proofErr w:type="spellStart"/>
      <w:r w:rsidRPr="002906A3">
        <w:rPr>
          <w:i/>
          <w:iCs/>
        </w:rPr>
        <w:t>şi’r</w:t>
      </w:r>
      <w:proofErr w:type="spellEnd"/>
      <w:r w:rsidRPr="002906A3">
        <w:rPr>
          <w:i/>
          <w:iCs/>
        </w:rPr>
        <w:t xml:space="preserve">-i </w:t>
      </w:r>
      <w:proofErr w:type="spellStart"/>
      <w:r w:rsidRPr="002906A3">
        <w:rPr>
          <w:i/>
          <w:iCs/>
        </w:rPr>
        <w:t>Hayâli’yi</w:t>
      </w:r>
      <w:proofErr w:type="spellEnd"/>
      <w:r w:rsidRPr="002906A3">
        <w:rPr>
          <w:i/>
          <w:iCs/>
        </w:rPr>
        <w:t xml:space="preserve"> </w:t>
      </w:r>
      <w:proofErr w:type="spellStart"/>
      <w:r w:rsidRPr="002906A3">
        <w:rPr>
          <w:i/>
          <w:iCs/>
        </w:rPr>
        <w:t>temâm</w:t>
      </w:r>
      <w:proofErr w:type="spellEnd"/>
    </w:p>
    <w:p w14:paraId="216C4BD7" w14:textId="11C330C5" w:rsidR="001E7189" w:rsidRPr="002906A3" w:rsidRDefault="001E7189" w:rsidP="00BA67A6">
      <w:pPr>
        <w:ind w:left="720"/>
        <w:jc w:val="both"/>
        <w:rPr>
          <w:i/>
          <w:iCs/>
        </w:rPr>
      </w:pPr>
      <w:r w:rsidRPr="002906A3">
        <w:rPr>
          <w:i/>
          <w:iCs/>
        </w:rPr>
        <w:t xml:space="preserve">Hayli </w:t>
      </w:r>
      <w:proofErr w:type="spellStart"/>
      <w:r w:rsidRPr="002906A3">
        <w:rPr>
          <w:i/>
          <w:iCs/>
        </w:rPr>
        <w:t>dünyâda</w:t>
      </w:r>
      <w:proofErr w:type="spellEnd"/>
      <w:r w:rsidRPr="002906A3">
        <w:rPr>
          <w:i/>
          <w:iCs/>
        </w:rPr>
        <w:t xml:space="preserve"> bugün şevketi var</w:t>
      </w:r>
    </w:p>
    <w:p w14:paraId="52A642B5" w14:textId="77777777" w:rsidR="001E7189" w:rsidRPr="002906A3" w:rsidRDefault="001E7189" w:rsidP="00BA67A6">
      <w:pPr>
        <w:pStyle w:val="Balk6"/>
        <w:spacing w:before="0"/>
        <w:rPr>
          <w:rFonts w:ascii="Times New Roman" w:hAnsi="Times New Roman" w:cs="Times New Roman"/>
        </w:rPr>
      </w:pPr>
      <w:r w:rsidRPr="002906A3">
        <w:rPr>
          <w:rFonts w:ascii="Times New Roman" w:hAnsi="Times New Roman" w:cs="Times New Roman"/>
        </w:rPr>
        <w:t xml:space="preserve">Şöhreti </w:t>
      </w:r>
      <w:proofErr w:type="spellStart"/>
      <w:r w:rsidRPr="002906A3">
        <w:rPr>
          <w:rFonts w:ascii="Times New Roman" w:hAnsi="Times New Roman" w:cs="Times New Roman"/>
        </w:rPr>
        <w:t>eyligini</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verür</w:t>
      </w:r>
      <w:proofErr w:type="spellEnd"/>
      <w:r w:rsidRPr="002906A3">
        <w:rPr>
          <w:rFonts w:ascii="Times New Roman" w:hAnsi="Times New Roman" w:cs="Times New Roman"/>
        </w:rPr>
        <w:t xml:space="preserve"> mi</w:t>
      </w:r>
    </w:p>
    <w:p w14:paraId="4F59FE28" w14:textId="77777777" w:rsidR="001E7189" w:rsidRDefault="001E7189" w:rsidP="00BA67A6">
      <w:pPr>
        <w:ind w:left="720"/>
        <w:jc w:val="both"/>
      </w:pPr>
      <w:r w:rsidRPr="002906A3">
        <w:rPr>
          <w:i/>
          <w:iCs/>
        </w:rPr>
        <w:t>Gerçi falcı ‘</w:t>
      </w:r>
      <w:proofErr w:type="spellStart"/>
      <w:r w:rsidRPr="002906A3">
        <w:rPr>
          <w:i/>
          <w:iCs/>
        </w:rPr>
        <w:t>arabuñ</w:t>
      </w:r>
      <w:proofErr w:type="spellEnd"/>
      <w:r w:rsidRPr="002906A3">
        <w:rPr>
          <w:i/>
          <w:iCs/>
        </w:rPr>
        <w:t xml:space="preserve"> şöhreti var</w:t>
      </w:r>
      <w:r w:rsidRPr="002906A3">
        <w:t xml:space="preserve"> (Bozyiğit, 2021: 730)</w:t>
      </w:r>
    </w:p>
    <w:p w14:paraId="576210D9" w14:textId="77777777" w:rsidR="00BA67A6" w:rsidRPr="002906A3" w:rsidRDefault="00BA67A6" w:rsidP="00BA67A6">
      <w:pPr>
        <w:ind w:left="720"/>
        <w:jc w:val="both"/>
      </w:pPr>
    </w:p>
    <w:p w14:paraId="4A782DA8" w14:textId="77777777" w:rsidR="001E7189" w:rsidRDefault="001E7189" w:rsidP="00BA67A6">
      <w:pPr>
        <w:pStyle w:val="GvdeMetni"/>
        <w:jc w:val="both"/>
      </w:pPr>
      <w:r w:rsidRPr="002906A3">
        <w:t xml:space="preserve">Taşlıcalı Yahyâ, aşağıda yer alan kıtasında </w:t>
      </w:r>
      <w:proofErr w:type="spellStart"/>
      <w:r w:rsidRPr="002906A3">
        <w:t>Hayâlî</w:t>
      </w:r>
      <w:proofErr w:type="spellEnd"/>
      <w:r w:rsidRPr="002906A3">
        <w:t xml:space="preserve"> Bey’in şiirlerini yine çağdaşlarından biri olan </w:t>
      </w:r>
      <w:proofErr w:type="spellStart"/>
      <w:r w:rsidRPr="002906A3">
        <w:t>Kandî’nin</w:t>
      </w:r>
      <w:proofErr w:type="spellEnd"/>
      <w:r w:rsidRPr="002906A3">
        <w:t xml:space="preserve"> şiirleri ile kıyaslamaktadır. Ona göre </w:t>
      </w:r>
      <w:proofErr w:type="spellStart"/>
      <w:r w:rsidRPr="002906A3">
        <w:t>Hayâlî</w:t>
      </w:r>
      <w:proofErr w:type="spellEnd"/>
      <w:r w:rsidRPr="002906A3">
        <w:t xml:space="preserve"> Bey ve </w:t>
      </w:r>
      <w:proofErr w:type="spellStart"/>
      <w:r w:rsidRPr="002906A3">
        <w:t>Kandî’nin</w:t>
      </w:r>
      <w:proofErr w:type="spellEnd"/>
      <w:r w:rsidRPr="002906A3">
        <w:t xml:space="preserve"> şiirleri bir karşılaştırma yapabilmek için birbirine denk değildir. Çünkü Taşlıcalı Yahyâ’nın “dönem şairlerine ve halkın şiirden anlayan kesimine göre </w:t>
      </w:r>
      <w:proofErr w:type="spellStart"/>
      <w:r w:rsidRPr="002906A3">
        <w:t>Kandî’nin</w:t>
      </w:r>
      <w:proofErr w:type="spellEnd"/>
      <w:r w:rsidRPr="002906A3">
        <w:t xml:space="preserve"> şairlik yeteneği yok denecek kadar sınırlı, şiirleri ise mahlası gibi bir tatlılık barındırmamaktadır” şeklinde bir iddiası vardır.  Bu sebeple de </w:t>
      </w:r>
      <w:proofErr w:type="spellStart"/>
      <w:r w:rsidRPr="002906A3">
        <w:t>Hayâlî</w:t>
      </w:r>
      <w:proofErr w:type="spellEnd"/>
      <w:r w:rsidRPr="002906A3">
        <w:t xml:space="preserve"> Bey’in “şairlik yeteneği olmayan </w:t>
      </w:r>
      <w:proofErr w:type="spellStart"/>
      <w:r w:rsidRPr="002906A3">
        <w:t>biri”nden</w:t>
      </w:r>
      <w:proofErr w:type="spellEnd"/>
      <w:r w:rsidRPr="002906A3">
        <w:t xml:space="preserve"> iyi olmasının hiçbir öneminin olmadığını söyler. Fakat yine de Taşlıcalı, “az, hiç yoktan iyidir” diyerek </w:t>
      </w:r>
      <w:proofErr w:type="spellStart"/>
      <w:r w:rsidRPr="002906A3">
        <w:t>Kandî’nin</w:t>
      </w:r>
      <w:proofErr w:type="spellEnd"/>
      <w:r w:rsidRPr="002906A3">
        <w:t xml:space="preserve"> şiirlerini yok saymış; onun yerine acemi, toy bir şair olarak gördüğü </w:t>
      </w:r>
      <w:proofErr w:type="spellStart"/>
      <w:r w:rsidRPr="002906A3">
        <w:t>Hayâlî’nin</w:t>
      </w:r>
      <w:proofErr w:type="spellEnd"/>
      <w:r w:rsidRPr="002906A3">
        <w:t xml:space="preserve"> basit şiirlerini yeğ kabul etmiştir.</w:t>
      </w:r>
    </w:p>
    <w:p w14:paraId="2C74DF57" w14:textId="77777777" w:rsidR="00BA67A6" w:rsidRPr="002906A3" w:rsidRDefault="00BA67A6" w:rsidP="00BA67A6">
      <w:pPr>
        <w:pStyle w:val="GvdeMetni"/>
        <w:jc w:val="both"/>
      </w:pPr>
    </w:p>
    <w:p w14:paraId="7F7C59CC" w14:textId="77777777" w:rsidR="001E7189" w:rsidRPr="002906A3" w:rsidRDefault="001E7189" w:rsidP="00BA67A6">
      <w:pPr>
        <w:ind w:left="720"/>
        <w:jc w:val="both"/>
        <w:rPr>
          <w:i/>
          <w:iCs/>
        </w:rPr>
      </w:pPr>
      <w:r w:rsidRPr="002906A3">
        <w:rPr>
          <w:i/>
          <w:iCs/>
        </w:rPr>
        <w:t xml:space="preserve">Dedi </w:t>
      </w:r>
      <w:proofErr w:type="spellStart"/>
      <w:r w:rsidRPr="002906A3">
        <w:rPr>
          <w:i/>
          <w:iCs/>
        </w:rPr>
        <w:t>halkuñ</w:t>
      </w:r>
      <w:proofErr w:type="spellEnd"/>
      <w:r w:rsidRPr="002906A3">
        <w:rPr>
          <w:i/>
          <w:iCs/>
        </w:rPr>
        <w:t xml:space="preserve"> biri </w:t>
      </w:r>
      <w:proofErr w:type="spellStart"/>
      <w:r w:rsidRPr="002906A3">
        <w:rPr>
          <w:i/>
          <w:iCs/>
        </w:rPr>
        <w:t>nazm</w:t>
      </w:r>
      <w:proofErr w:type="spellEnd"/>
      <w:r w:rsidRPr="002906A3">
        <w:rPr>
          <w:i/>
          <w:iCs/>
        </w:rPr>
        <w:t xml:space="preserve">-ı </w:t>
      </w:r>
      <w:proofErr w:type="spellStart"/>
      <w:r w:rsidRPr="002906A3">
        <w:rPr>
          <w:i/>
          <w:iCs/>
        </w:rPr>
        <w:t>Hayâlî</w:t>
      </w:r>
      <w:proofErr w:type="spellEnd"/>
    </w:p>
    <w:p w14:paraId="608DEA28" w14:textId="0832C119" w:rsidR="001E7189" w:rsidRPr="002906A3" w:rsidRDefault="001E7189" w:rsidP="00BA67A6">
      <w:pPr>
        <w:ind w:left="720"/>
        <w:jc w:val="both"/>
        <w:rPr>
          <w:i/>
          <w:iCs/>
        </w:rPr>
      </w:pPr>
      <w:r w:rsidRPr="002906A3">
        <w:rPr>
          <w:i/>
          <w:iCs/>
        </w:rPr>
        <w:t xml:space="preserve">Ola mı </w:t>
      </w:r>
      <w:proofErr w:type="spellStart"/>
      <w:r w:rsidRPr="002906A3">
        <w:rPr>
          <w:i/>
          <w:iCs/>
        </w:rPr>
        <w:t>nazm</w:t>
      </w:r>
      <w:proofErr w:type="spellEnd"/>
      <w:r w:rsidRPr="002906A3">
        <w:rPr>
          <w:i/>
          <w:iCs/>
        </w:rPr>
        <w:t xml:space="preserve">-ı </w:t>
      </w:r>
      <w:proofErr w:type="spellStart"/>
      <w:r w:rsidRPr="002906A3">
        <w:rPr>
          <w:i/>
          <w:iCs/>
        </w:rPr>
        <w:t>Kandî’ye</w:t>
      </w:r>
      <w:proofErr w:type="spellEnd"/>
      <w:r w:rsidRPr="002906A3">
        <w:rPr>
          <w:i/>
          <w:iCs/>
        </w:rPr>
        <w:t xml:space="preserve"> </w:t>
      </w:r>
      <w:proofErr w:type="spellStart"/>
      <w:r w:rsidRPr="002906A3">
        <w:rPr>
          <w:i/>
          <w:iCs/>
        </w:rPr>
        <w:t>berâber</w:t>
      </w:r>
      <w:proofErr w:type="spellEnd"/>
    </w:p>
    <w:p w14:paraId="3F5CF4E5" w14:textId="77777777" w:rsidR="001E7189" w:rsidRPr="002906A3" w:rsidRDefault="001E7189" w:rsidP="00BA67A6">
      <w:pPr>
        <w:ind w:left="720"/>
        <w:jc w:val="both"/>
        <w:rPr>
          <w:i/>
          <w:iCs/>
        </w:rPr>
      </w:pPr>
      <w:proofErr w:type="spellStart"/>
      <w:r w:rsidRPr="002906A3">
        <w:rPr>
          <w:i/>
          <w:iCs/>
        </w:rPr>
        <w:t>Dedüm</w:t>
      </w:r>
      <w:proofErr w:type="spellEnd"/>
      <w:r w:rsidRPr="002906A3">
        <w:rPr>
          <w:i/>
          <w:iCs/>
        </w:rPr>
        <w:t xml:space="preserve"> </w:t>
      </w:r>
      <w:proofErr w:type="spellStart"/>
      <w:r w:rsidRPr="002906A3">
        <w:rPr>
          <w:i/>
          <w:iCs/>
        </w:rPr>
        <w:t>Kandî</w:t>
      </w:r>
      <w:proofErr w:type="spellEnd"/>
      <w:r w:rsidRPr="002906A3">
        <w:rPr>
          <w:i/>
          <w:iCs/>
        </w:rPr>
        <w:t xml:space="preserve"> </w:t>
      </w:r>
      <w:proofErr w:type="spellStart"/>
      <w:r w:rsidRPr="002906A3">
        <w:rPr>
          <w:i/>
          <w:iCs/>
        </w:rPr>
        <w:t>sözinde</w:t>
      </w:r>
      <w:proofErr w:type="spellEnd"/>
      <w:r w:rsidRPr="002906A3">
        <w:rPr>
          <w:i/>
          <w:iCs/>
        </w:rPr>
        <w:t xml:space="preserve"> yok halâvet</w:t>
      </w:r>
    </w:p>
    <w:p w14:paraId="6C2BD266" w14:textId="1E269328" w:rsidR="001E7189" w:rsidRPr="002906A3" w:rsidRDefault="001E7189" w:rsidP="00BA67A6">
      <w:pPr>
        <w:ind w:left="720"/>
        <w:jc w:val="both"/>
        <w:rPr>
          <w:i/>
          <w:iCs/>
        </w:rPr>
      </w:pPr>
      <w:proofErr w:type="spellStart"/>
      <w:r w:rsidRPr="002906A3">
        <w:rPr>
          <w:i/>
          <w:iCs/>
        </w:rPr>
        <w:t>Bilür</w:t>
      </w:r>
      <w:proofErr w:type="spellEnd"/>
      <w:r w:rsidRPr="002906A3">
        <w:rPr>
          <w:i/>
          <w:iCs/>
        </w:rPr>
        <w:t xml:space="preserve"> anı </w:t>
      </w:r>
      <w:proofErr w:type="spellStart"/>
      <w:r w:rsidRPr="002906A3">
        <w:rPr>
          <w:i/>
          <w:iCs/>
        </w:rPr>
        <w:t>cihân</w:t>
      </w:r>
      <w:proofErr w:type="spellEnd"/>
      <w:r w:rsidRPr="002906A3">
        <w:rPr>
          <w:i/>
          <w:iCs/>
        </w:rPr>
        <w:t xml:space="preserve"> halkı mukarrer</w:t>
      </w:r>
    </w:p>
    <w:p w14:paraId="683391C2" w14:textId="77777777" w:rsidR="001E7189" w:rsidRPr="002906A3" w:rsidRDefault="001E7189" w:rsidP="00BA67A6">
      <w:pPr>
        <w:pStyle w:val="Balk6"/>
        <w:spacing w:before="0"/>
        <w:rPr>
          <w:rFonts w:ascii="Times New Roman" w:hAnsi="Times New Roman" w:cs="Times New Roman"/>
        </w:rPr>
      </w:pPr>
      <w:proofErr w:type="spellStart"/>
      <w:r w:rsidRPr="002906A3">
        <w:rPr>
          <w:rFonts w:ascii="Times New Roman" w:hAnsi="Times New Roman" w:cs="Times New Roman"/>
        </w:rPr>
        <w:t>N’ola</w:t>
      </w:r>
      <w:proofErr w:type="spellEnd"/>
      <w:r w:rsidRPr="002906A3">
        <w:rPr>
          <w:rFonts w:ascii="Times New Roman" w:hAnsi="Times New Roman" w:cs="Times New Roman"/>
        </w:rPr>
        <w:t xml:space="preserve"> andan </w:t>
      </w:r>
      <w:proofErr w:type="spellStart"/>
      <w:r w:rsidRPr="002906A3">
        <w:rPr>
          <w:rFonts w:ascii="Times New Roman" w:hAnsi="Times New Roman" w:cs="Times New Roman"/>
        </w:rPr>
        <w:t>yeg</w:t>
      </w:r>
      <w:proofErr w:type="spellEnd"/>
      <w:r w:rsidRPr="002906A3">
        <w:rPr>
          <w:rFonts w:ascii="Times New Roman" w:hAnsi="Times New Roman" w:cs="Times New Roman"/>
        </w:rPr>
        <w:t xml:space="preserve"> olursa </w:t>
      </w:r>
      <w:proofErr w:type="spellStart"/>
      <w:r w:rsidRPr="002906A3">
        <w:rPr>
          <w:rFonts w:ascii="Times New Roman" w:hAnsi="Times New Roman" w:cs="Times New Roman"/>
        </w:rPr>
        <w:t>Hayâlî</w:t>
      </w:r>
      <w:proofErr w:type="spellEnd"/>
    </w:p>
    <w:p w14:paraId="1D6B9F50" w14:textId="77777777" w:rsidR="001E7189" w:rsidRDefault="001E7189" w:rsidP="00BA67A6">
      <w:pPr>
        <w:ind w:left="720"/>
        <w:jc w:val="both"/>
      </w:pPr>
      <w:r w:rsidRPr="002906A3">
        <w:rPr>
          <w:i/>
          <w:iCs/>
        </w:rPr>
        <w:t xml:space="preserve">Ki top </w:t>
      </w:r>
      <w:proofErr w:type="spellStart"/>
      <w:r w:rsidRPr="002906A3">
        <w:rPr>
          <w:i/>
          <w:iCs/>
        </w:rPr>
        <w:t>yokdansa</w:t>
      </w:r>
      <w:proofErr w:type="spellEnd"/>
      <w:r w:rsidRPr="002906A3">
        <w:rPr>
          <w:i/>
          <w:iCs/>
        </w:rPr>
        <w:t xml:space="preserve"> </w:t>
      </w:r>
      <w:proofErr w:type="gramStart"/>
      <w:r w:rsidRPr="002906A3">
        <w:rPr>
          <w:i/>
          <w:iCs/>
        </w:rPr>
        <w:t>torlak</w:t>
      </w:r>
      <w:proofErr w:type="gramEnd"/>
      <w:r w:rsidRPr="002906A3">
        <w:rPr>
          <w:i/>
          <w:iCs/>
        </w:rPr>
        <w:t xml:space="preserve"> </w:t>
      </w:r>
      <w:proofErr w:type="spellStart"/>
      <w:r w:rsidRPr="002906A3">
        <w:rPr>
          <w:i/>
          <w:iCs/>
        </w:rPr>
        <w:t>yeh</w:t>
      </w:r>
      <w:proofErr w:type="spellEnd"/>
      <w:r w:rsidRPr="002906A3">
        <w:rPr>
          <w:i/>
          <w:iCs/>
        </w:rPr>
        <w:t xml:space="preserve"> demişler</w:t>
      </w:r>
      <w:r w:rsidRPr="002906A3">
        <w:t xml:space="preserve"> (Bozyiğit, 2021: 730)</w:t>
      </w:r>
    </w:p>
    <w:p w14:paraId="5D32EE5C" w14:textId="77777777" w:rsidR="00BA67A6" w:rsidRPr="002906A3" w:rsidRDefault="00BA67A6" w:rsidP="00BA67A6">
      <w:pPr>
        <w:ind w:left="720"/>
        <w:jc w:val="both"/>
      </w:pPr>
    </w:p>
    <w:p w14:paraId="44CB7FC0" w14:textId="77777777" w:rsidR="001E7189" w:rsidRDefault="001E7189" w:rsidP="00BA67A6">
      <w:pPr>
        <w:jc w:val="both"/>
      </w:pPr>
      <w:r w:rsidRPr="002906A3">
        <w:t xml:space="preserve">Kendisini </w:t>
      </w:r>
      <w:proofErr w:type="spellStart"/>
      <w:r w:rsidRPr="002906A3">
        <w:t>Hayâlî</w:t>
      </w:r>
      <w:proofErr w:type="spellEnd"/>
      <w:r w:rsidRPr="002906A3">
        <w:t xml:space="preserve"> Bey ile kıyaslayan şairlerden biri olan </w:t>
      </w:r>
      <w:proofErr w:type="spellStart"/>
      <w:r w:rsidRPr="002906A3">
        <w:t>Yetîm</w:t>
      </w:r>
      <w:proofErr w:type="spellEnd"/>
      <w:r w:rsidRPr="002906A3">
        <w:t xml:space="preserve">, aşağıda yer alan şiirinde </w:t>
      </w:r>
      <w:proofErr w:type="spellStart"/>
      <w:r w:rsidRPr="002906A3">
        <w:t>Hayâlî</w:t>
      </w:r>
      <w:proofErr w:type="spellEnd"/>
      <w:r w:rsidRPr="002906A3">
        <w:t xml:space="preserve"> Bey’den daha üstün olduğunu edebi bir biçimde açıklamaya çalışmıştır. </w:t>
      </w:r>
      <w:proofErr w:type="spellStart"/>
      <w:r w:rsidRPr="002906A3">
        <w:t>Yetîm</w:t>
      </w:r>
      <w:proofErr w:type="spellEnd"/>
      <w:r w:rsidRPr="002906A3">
        <w:t xml:space="preserve">, </w:t>
      </w:r>
      <w:proofErr w:type="spellStart"/>
      <w:r w:rsidRPr="002906A3">
        <w:t>Hayâlî</w:t>
      </w:r>
      <w:proofErr w:type="spellEnd"/>
      <w:r w:rsidRPr="002906A3">
        <w:t xml:space="preserve"> Bey ile kendisini kıyaslarken hakarete varan, aşağılayan sözler yerine daha olumlu ifadeler kullanmayı tercih etmiştir. </w:t>
      </w:r>
      <w:proofErr w:type="spellStart"/>
      <w:r w:rsidRPr="002906A3">
        <w:t>Yetîm</w:t>
      </w:r>
      <w:proofErr w:type="spellEnd"/>
      <w:r w:rsidRPr="002906A3">
        <w:t xml:space="preserve">, şirinde yer alan beyitlerin ilk mısralarında Hayali Bey’in olumlu özelliklerini sıralarken ikinci mısralarında kendisinin </w:t>
      </w:r>
      <w:proofErr w:type="spellStart"/>
      <w:r w:rsidRPr="002906A3">
        <w:t>Hayâlî</w:t>
      </w:r>
      <w:proofErr w:type="spellEnd"/>
      <w:r w:rsidRPr="002906A3">
        <w:t xml:space="preserve"> Bey’den üstün olan özelliklerine değinmiştir. Bu şekilde hakaret etmeden, edebi bir biçimde kıyaslama yaparak kendisinin üstünlüğünü kanıtlama çabasına girmiştir. İlk beyitte </w:t>
      </w:r>
      <w:proofErr w:type="spellStart"/>
      <w:r w:rsidRPr="002906A3">
        <w:t>Hayâlî</w:t>
      </w:r>
      <w:proofErr w:type="spellEnd"/>
      <w:r w:rsidRPr="002906A3">
        <w:t xml:space="preserve"> Bey’i iyi bir yüzücü olan timsaha benzeten </w:t>
      </w:r>
      <w:proofErr w:type="spellStart"/>
      <w:r w:rsidRPr="002906A3">
        <w:t>Yetîm</w:t>
      </w:r>
      <w:proofErr w:type="spellEnd"/>
      <w:r w:rsidRPr="002906A3">
        <w:t xml:space="preserve">, kendisini </w:t>
      </w:r>
      <w:proofErr w:type="spellStart"/>
      <w:r w:rsidRPr="002906A3">
        <w:t>Hayâlî</w:t>
      </w:r>
      <w:proofErr w:type="spellEnd"/>
      <w:r w:rsidRPr="002906A3">
        <w:t xml:space="preserve"> Bey’in ustalıkla yüzdüğü o denizin dibindeki mücevherin peşinde olan bir dalgıca benzetmiştir. İkinci beyitte </w:t>
      </w:r>
      <w:proofErr w:type="spellStart"/>
      <w:r w:rsidRPr="002906A3">
        <w:t>Hayâlî</w:t>
      </w:r>
      <w:proofErr w:type="spellEnd"/>
      <w:r w:rsidRPr="002906A3">
        <w:t xml:space="preserve"> Bey’in belagat yönüyle usta bir şair olduğu vurgulanmıştır. </w:t>
      </w:r>
      <w:proofErr w:type="spellStart"/>
      <w:r w:rsidRPr="002906A3">
        <w:t>Hayâlî</w:t>
      </w:r>
      <w:proofErr w:type="spellEnd"/>
      <w:r w:rsidRPr="002906A3">
        <w:t xml:space="preserve"> Bey’in </w:t>
      </w:r>
      <w:proofErr w:type="spellStart"/>
      <w:r w:rsidRPr="002906A3">
        <w:t>belagattaki</w:t>
      </w:r>
      <w:proofErr w:type="spellEnd"/>
      <w:r w:rsidRPr="002906A3">
        <w:t xml:space="preserve"> gücünü doğana benzeten </w:t>
      </w:r>
      <w:proofErr w:type="spellStart"/>
      <w:r w:rsidRPr="002906A3">
        <w:t>Yetîm</w:t>
      </w:r>
      <w:proofErr w:type="spellEnd"/>
      <w:r w:rsidRPr="002906A3">
        <w:t xml:space="preserve">, kendisini bir sürü doğan kuşunu uçuran bir rüzgâr olarak betimlemiştir. Şiirin üçüncü beytinde </w:t>
      </w:r>
      <w:proofErr w:type="spellStart"/>
      <w:r w:rsidRPr="002906A3">
        <w:t>Yetîm</w:t>
      </w:r>
      <w:proofErr w:type="spellEnd"/>
      <w:r w:rsidRPr="002906A3">
        <w:t xml:space="preserve">, </w:t>
      </w:r>
      <w:proofErr w:type="spellStart"/>
      <w:r w:rsidRPr="002906A3">
        <w:t>Hayâlî</w:t>
      </w:r>
      <w:proofErr w:type="spellEnd"/>
      <w:r w:rsidRPr="002906A3">
        <w:t xml:space="preserve"> Bey’in sözleriyle kendi sözleri arasında karşılaştırma yapmış ve “</w:t>
      </w:r>
      <w:proofErr w:type="spellStart"/>
      <w:r w:rsidRPr="002906A3">
        <w:t>Hayâlî’nin</w:t>
      </w:r>
      <w:proofErr w:type="spellEnd"/>
      <w:r w:rsidRPr="002906A3">
        <w:t xml:space="preserve"> söz kılıcı “</w:t>
      </w:r>
      <w:proofErr w:type="spellStart"/>
      <w:r w:rsidRPr="002906A3">
        <w:t>rub</w:t>
      </w:r>
      <w:proofErr w:type="spellEnd"/>
      <w:r w:rsidRPr="002906A3">
        <w:t xml:space="preserve">’-ı </w:t>
      </w:r>
      <w:proofErr w:type="spellStart"/>
      <w:r w:rsidRPr="002906A3">
        <w:t>meskûn”a</w:t>
      </w:r>
      <w:proofErr w:type="spellEnd"/>
      <w:r w:rsidRPr="002906A3">
        <w:t xml:space="preserve"> salınmış; benim söz mührümün sadece alt kısmı bile yedi memleketin tamamıdır”</w:t>
      </w:r>
      <w:r w:rsidRPr="002906A3">
        <w:rPr>
          <w:rStyle w:val="DipnotBavurusu"/>
        </w:rPr>
        <w:footnoteReference w:id="22"/>
      </w:r>
      <w:r w:rsidRPr="002906A3">
        <w:t xml:space="preserve"> demiştir. Dördüncü beyitte şair, </w:t>
      </w:r>
      <w:proofErr w:type="spellStart"/>
      <w:r w:rsidRPr="002906A3">
        <w:t>Hayâlî</w:t>
      </w:r>
      <w:proofErr w:type="spellEnd"/>
      <w:r w:rsidRPr="002906A3">
        <w:t xml:space="preserve"> Bey’i güler yüzlülüğün hâkim olduğu çiçeklerle dolu bir güzellik bahçesinin padişahı olarak nitelerken kendini ise o bahçeyi dallarındaki meyveleri ile gölgeleyen koruyucu bir ağaç olarak tarif etmiştir. Şiirin son beytinde </w:t>
      </w:r>
      <w:proofErr w:type="spellStart"/>
      <w:r w:rsidRPr="002906A3">
        <w:t>Yetîm</w:t>
      </w:r>
      <w:proofErr w:type="spellEnd"/>
      <w:r w:rsidRPr="002906A3">
        <w:t xml:space="preserve">, </w:t>
      </w:r>
      <w:proofErr w:type="spellStart"/>
      <w:r w:rsidRPr="002906A3">
        <w:t>Hayâlî</w:t>
      </w:r>
      <w:proofErr w:type="spellEnd"/>
      <w:r w:rsidRPr="002906A3">
        <w:t xml:space="preserve"> Bey’i şiir vadisinde yolunu kaybeden şairlere yol gösterici bir kişi olarak anmıştır. Buna göre yolunu kaybeden şairler onun da orada bulunması ile ona hayranlık beslemiştir. Aslında hayranlık beslenmesi gereken kişi </w:t>
      </w:r>
      <w:proofErr w:type="spellStart"/>
      <w:r w:rsidRPr="002906A3">
        <w:t>Hayâlî</w:t>
      </w:r>
      <w:proofErr w:type="spellEnd"/>
      <w:r w:rsidRPr="002906A3">
        <w:t xml:space="preserve"> Bey değildir. Zira </w:t>
      </w:r>
      <w:proofErr w:type="spellStart"/>
      <w:r w:rsidRPr="002906A3">
        <w:t>Hayâlî</w:t>
      </w:r>
      <w:proofErr w:type="spellEnd"/>
      <w:r w:rsidRPr="002906A3">
        <w:t xml:space="preserve"> Bey de o vadide kaybolmuş bir şairdir. </w:t>
      </w:r>
      <w:proofErr w:type="spellStart"/>
      <w:r w:rsidRPr="002906A3">
        <w:t>Hayâlî</w:t>
      </w:r>
      <w:proofErr w:type="spellEnd"/>
      <w:r w:rsidRPr="002906A3">
        <w:t xml:space="preserve"> Bey’in aksine </w:t>
      </w:r>
      <w:proofErr w:type="spellStart"/>
      <w:r w:rsidRPr="002906A3">
        <w:t>Yetîm</w:t>
      </w:r>
      <w:proofErr w:type="spellEnd"/>
      <w:r w:rsidRPr="002906A3">
        <w:t xml:space="preserve">, o vadiden kurtulma yolunu bilen bilge bir kişidir. Orada kaybolmuş şairlere rehberlik ederek onları o vadiden kurtaracak olan yegâne kişi </w:t>
      </w:r>
      <w:proofErr w:type="spellStart"/>
      <w:r w:rsidRPr="002906A3">
        <w:t>Yetîm’in</w:t>
      </w:r>
      <w:proofErr w:type="spellEnd"/>
      <w:r w:rsidRPr="002906A3">
        <w:t xml:space="preserve"> bizzat kendisidir.</w:t>
      </w:r>
    </w:p>
    <w:p w14:paraId="42F9165F" w14:textId="77777777" w:rsidR="00BA67A6" w:rsidRPr="002906A3" w:rsidRDefault="00BA67A6" w:rsidP="00BA67A6">
      <w:pPr>
        <w:jc w:val="both"/>
      </w:pPr>
    </w:p>
    <w:p w14:paraId="4DF0D1B9" w14:textId="77777777" w:rsidR="001E7189" w:rsidRPr="002906A3" w:rsidRDefault="001E7189" w:rsidP="00BA67A6">
      <w:pPr>
        <w:ind w:left="720"/>
        <w:jc w:val="both"/>
        <w:rPr>
          <w:i/>
          <w:iCs/>
        </w:rPr>
      </w:pPr>
      <w:proofErr w:type="spellStart"/>
      <w:r w:rsidRPr="002906A3">
        <w:rPr>
          <w:i/>
          <w:iCs/>
        </w:rPr>
        <w:lastRenderedPageBreak/>
        <w:t>Hayâlî</w:t>
      </w:r>
      <w:proofErr w:type="spellEnd"/>
      <w:r w:rsidRPr="002906A3">
        <w:rPr>
          <w:i/>
          <w:iCs/>
        </w:rPr>
        <w:t xml:space="preserve"> </w:t>
      </w:r>
      <w:proofErr w:type="spellStart"/>
      <w:r w:rsidRPr="002906A3">
        <w:rPr>
          <w:i/>
          <w:iCs/>
        </w:rPr>
        <w:t>bahr</w:t>
      </w:r>
      <w:proofErr w:type="spellEnd"/>
      <w:r w:rsidRPr="002906A3">
        <w:rPr>
          <w:i/>
          <w:iCs/>
        </w:rPr>
        <w:t xml:space="preserve">-ı </w:t>
      </w:r>
      <w:proofErr w:type="spellStart"/>
      <w:r w:rsidRPr="002906A3">
        <w:rPr>
          <w:i/>
          <w:iCs/>
        </w:rPr>
        <w:t>fikretde</w:t>
      </w:r>
      <w:proofErr w:type="spellEnd"/>
      <w:r w:rsidRPr="002906A3">
        <w:rPr>
          <w:i/>
          <w:iCs/>
        </w:rPr>
        <w:t xml:space="preserve"> </w:t>
      </w:r>
      <w:proofErr w:type="spellStart"/>
      <w:r w:rsidRPr="002906A3">
        <w:rPr>
          <w:i/>
          <w:iCs/>
        </w:rPr>
        <w:t>neheng-âsâ</w:t>
      </w:r>
      <w:proofErr w:type="spellEnd"/>
      <w:r w:rsidRPr="002906A3">
        <w:rPr>
          <w:i/>
          <w:iCs/>
        </w:rPr>
        <w:t xml:space="preserve"> </w:t>
      </w:r>
      <w:proofErr w:type="spellStart"/>
      <w:r w:rsidRPr="002906A3">
        <w:rPr>
          <w:i/>
          <w:iCs/>
        </w:rPr>
        <w:t>şinâverdür</w:t>
      </w:r>
      <w:proofErr w:type="spellEnd"/>
    </w:p>
    <w:p w14:paraId="2AAA9268" w14:textId="77777777" w:rsidR="001E7189" w:rsidRPr="002906A3" w:rsidRDefault="001E7189" w:rsidP="00BA67A6">
      <w:pPr>
        <w:ind w:left="720"/>
        <w:jc w:val="both"/>
        <w:rPr>
          <w:i/>
          <w:iCs/>
        </w:rPr>
      </w:pPr>
      <w:proofErr w:type="spellStart"/>
      <w:r w:rsidRPr="002906A3">
        <w:rPr>
          <w:i/>
          <w:iCs/>
        </w:rPr>
        <w:t>Yetîm</w:t>
      </w:r>
      <w:proofErr w:type="spellEnd"/>
      <w:r w:rsidRPr="002906A3">
        <w:rPr>
          <w:i/>
          <w:iCs/>
        </w:rPr>
        <w:t xml:space="preserve"> ol </w:t>
      </w:r>
      <w:proofErr w:type="spellStart"/>
      <w:r w:rsidRPr="002906A3">
        <w:rPr>
          <w:i/>
          <w:iCs/>
        </w:rPr>
        <w:t>bahr</w:t>
      </w:r>
      <w:proofErr w:type="spellEnd"/>
      <w:r w:rsidRPr="002906A3">
        <w:rPr>
          <w:i/>
          <w:iCs/>
        </w:rPr>
        <w:t xml:space="preserve"> ka’rında yüzer </w:t>
      </w:r>
      <w:proofErr w:type="spellStart"/>
      <w:r w:rsidRPr="002906A3">
        <w:rPr>
          <w:i/>
          <w:iCs/>
        </w:rPr>
        <w:t>gavvâs</w:t>
      </w:r>
      <w:proofErr w:type="spellEnd"/>
      <w:r w:rsidRPr="002906A3">
        <w:rPr>
          <w:i/>
          <w:iCs/>
        </w:rPr>
        <w:t xml:space="preserve">-ı </w:t>
      </w:r>
      <w:proofErr w:type="spellStart"/>
      <w:r w:rsidRPr="002906A3">
        <w:rPr>
          <w:i/>
          <w:iCs/>
        </w:rPr>
        <w:t>gevherdür</w:t>
      </w:r>
      <w:proofErr w:type="spellEnd"/>
    </w:p>
    <w:p w14:paraId="6CBF5E58" w14:textId="77777777" w:rsidR="001E7189" w:rsidRPr="002906A3" w:rsidRDefault="001E7189" w:rsidP="00BA67A6">
      <w:pPr>
        <w:ind w:left="720"/>
        <w:jc w:val="both"/>
        <w:rPr>
          <w:i/>
          <w:iCs/>
        </w:rPr>
      </w:pPr>
      <w:proofErr w:type="spellStart"/>
      <w:r w:rsidRPr="002906A3">
        <w:rPr>
          <w:i/>
          <w:iCs/>
        </w:rPr>
        <w:t>Hayâlî</w:t>
      </w:r>
      <w:proofErr w:type="spellEnd"/>
      <w:r w:rsidRPr="002906A3">
        <w:rPr>
          <w:i/>
          <w:iCs/>
        </w:rPr>
        <w:t xml:space="preserve"> </w:t>
      </w:r>
      <w:proofErr w:type="spellStart"/>
      <w:r w:rsidRPr="002906A3">
        <w:rPr>
          <w:i/>
          <w:iCs/>
        </w:rPr>
        <w:t>bâz</w:t>
      </w:r>
      <w:proofErr w:type="spellEnd"/>
      <w:r w:rsidRPr="002906A3">
        <w:rPr>
          <w:i/>
          <w:iCs/>
        </w:rPr>
        <w:t xml:space="preserve">-ı </w:t>
      </w:r>
      <w:proofErr w:type="spellStart"/>
      <w:r w:rsidRPr="002906A3">
        <w:rPr>
          <w:i/>
          <w:iCs/>
        </w:rPr>
        <w:t>bâzû-yı</w:t>
      </w:r>
      <w:proofErr w:type="spellEnd"/>
      <w:r w:rsidRPr="002906A3">
        <w:rPr>
          <w:i/>
          <w:iCs/>
        </w:rPr>
        <w:t xml:space="preserve"> </w:t>
      </w:r>
      <w:proofErr w:type="spellStart"/>
      <w:r w:rsidRPr="002906A3">
        <w:rPr>
          <w:i/>
          <w:iCs/>
        </w:rPr>
        <w:t>belâgatdür</w:t>
      </w:r>
      <w:proofErr w:type="spellEnd"/>
      <w:r w:rsidRPr="002906A3">
        <w:rPr>
          <w:i/>
          <w:iCs/>
        </w:rPr>
        <w:t xml:space="preserve"> şikâr almış</w:t>
      </w:r>
    </w:p>
    <w:p w14:paraId="04934983" w14:textId="77777777" w:rsidR="001E7189" w:rsidRPr="002906A3" w:rsidRDefault="001E7189" w:rsidP="00BA67A6">
      <w:pPr>
        <w:ind w:left="720"/>
        <w:jc w:val="both"/>
        <w:rPr>
          <w:i/>
          <w:iCs/>
        </w:rPr>
      </w:pPr>
      <w:proofErr w:type="spellStart"/>
      <w:r w:rsidRPr="002906A3">
        <w:rPr>
          <w:i/>
          <w:iCs/>
        </w:rPr>
        <w:t>Yetîm</w:t>
      </w:r>
      <w:proofErr w:type="spellEnd"/>
      <w:r w:rsidRPr="002906A3">
        <w:rPr>
          <w:i/>
          <w:iCs/>
        </w:rPr>
        <w:t xml:space="preserve"> </w:t>
      </w:r>
      <w:proofErr w:type="spellStart"/>
      <w:r w:rsidRPr="002906A3">
        <w:rPr>
          <w:i/>
          <w:iCs/>
        </w:rPr>
        <w:t>anuñ</w:t>
      </w:r>
      <w:proofErr w:type="spellEnd"/>
      <w:r w:rsidRPr="002906A3">
        <w:rPr>
          <w:i/>
          <w:iCs/>
        </w:rPr>
        <w:t xml:space="preserve"> gibi kuşlar </w:t>
      </w:r>
      <w:proofErr w:type="spellStart"/>
      <w:r w:rsidRPr="002906A3">
        <w:rPr>
          <w:i/>
          <w:iCs/>
        </w:rPr>
        <w:t>uçurmış</w:t>
      </w:r>
      <w:proofErr w:type="spellEnd"/>
      <w:r w:rsidRPr="002906A3">
        <w:rPr>
          <w:i/>
          <w:iCs/>
        </w:rPr>
        <w:t xml:space="preserve"> </w:t>
      </w:r>
      <w:proofErr w:type="spellStart"/>
      <w:r w:rsidRPr="002906A3">
        <w:rPr>
          <w:i/>
          <w:iCs/>
        </w:rPr>
        <w:t>bâd</w:t>
      </w:r>
      <w:proofErr w:type="spellEnd"/>
      <w:r w:rsidRPr="002906A3">
        <w:rPr>
          <w:i/>
          <w:iCs/>
        </w:rPr>
        <w:t xml:space="preserve">-ı </w:t>
      </w:r>
      <w:proofErr w:type="spellStart"/>
      <w:r w:rsidRPr="002906A3">
        <w:rPr>
          <w:i/>
          <w:iCs/>
        </w:rPr>
        <w:t>sarsardur</w:t>
      </w:r>
      <w:proofErr w:type="spellEnd"/>
    </w:p>
    <w:p w14:paraId="2177DD84" w14:textId="77777777" w:rsidR="001E7189" w:rsidRPr="002906A3" w:rsidRDefault="001E7189" w:rsidP="00BA67A6">
      <w:pPr>
        <w:ind w:left="720"/>
        <w:jc w:val="both"/>
        <w:rPr>
          <w:i/>
          <w:iCs/>
        </w:rPr>
      </w:pPr>
      <w:proofErr w:type="spellStart"/>
      <w:r w:rsidRPr="002906A3">
        <w:rPr>
          <w:i/>
          <w:iCs/>
        </w:rPr>
        <w:t>Hayâlî</w:t>
      </w:r>
      <w:proofErr w:type="spellEnd"/>
      <w:r w:rsidRPr="002906A3">
        <w:rPr>
          <w:i/>
          <w:iCs/>
        </w:rPr>
        <w:t xml:space="preserve"> </w:t>
      </w:r>
      <w:proofErr w:type="spellStart"/>
      <w:r w:rsidRPr="002906A3">
        <w:rPr>
          <w:i/>
          <w:iCs/>
        </w:rPr>
        <w:t>tîg</w:t>
      </w:r>
      <w:proofErr w:type="spellEnd"/>
      <w:r w:rsidRPr="002906A3">
        <w:rPr>
          <w:i/>
          <w:iCs/>
        </w:rPr>
        <w:t xml:space="preserve">-ı </w:t>
      </w:r>
      <w:proofErr w:type="spellStart"/>
      <w:r w:rsidRPr="002906A3">
        <w:rPr>
          <w:i/>
          <w:iCs/>
        </w:rPr>
        <w:t>elfâzı</w:t>
      </w:r>
      <w:proofErr w:type="spellEnd"/>
      <w:r w:rsidRPr="002906A3">
        <w:rPr>
          <w:i/>
          <w:iCs/>
        </w:rPr>
        <w:t xml:space="preserve"> salarsa </w:t>
      </w:r>
      <w:proofErr w:type="spellStart"/>
      <w:r w:rsidRPr="002906A3">
        <w:rPr>
          <w:i/>
          <w:iCs/>
        </w:rPr>
        <w:t>rub</w:t>
      </w:r>
      <w:proofErr w:type="spellEnd"/>
      <w:r w:rsidRPr="002906A3">
        <w:rPr>
          <w:i/>
          <w:iCs/>
        </w:rPr>
        <w:t>’-ı meskûna</w:t>
      </w:r>
    </w:p>
    <w:p w14:paraId="0E79C9E7" w14:textId="77777777" w:rsidR="001E7189" w:rsidRPr="002906A3" w:rsidRDefault="001E7189" w:rsidP="00BA67A6">
      <w:pPr>
        <w:pStyle w:val="Balk6"/>
        <w:spacing w:before="0"/>
        <w:rPr>
          <w:rFonts w:ascii="Times New Roman" w:hAnsi="Times New Roman" w:cs="Times New Roman"/>
        </w:rPr>
      </w:pPr>
      <w:proofErr w:type="spellStart"/>
      <w:r w:rsidRPr="002906A3">
        <w:rPr>
          <w:rFonts w:ascii="Times New Roman" w:hAnsi="Times New Roman" w:cs="Times New Roman"/>
        </w:rPr>
        <w:t>Yetîm</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elfâzınuñ</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zîr</w:t>
      </w:r>
      <w:proofErr w:type="spellEnd"/>
      <w:r w:rsidRPr="002906A3">
        <w:rPr>
          <w:rFonts w:ascii="Times New Roman" w:hAnsi="Times New Roman" w:cs="Times New Roman"/>
        </w:rPr>
        <w:t xml:space="preserve">-i </w:t>
      </w:r>
      <w:proofErr w:type="spellStart"/>
      <w:r w:rsidRPr="002906A3">
        <w:rPr>
          <w:rFonts w:ascii="Times New Roman" w:hAnsi="Times New Roman" w:cs="Times New Roman"/>
        </w:rPr>
        <w:t>nigîni</w:t>
      </w:r>
      <w:proofErr w:type="spellEnd"/>
      <w:r w:rsidRPr="002906A3">
        <w:rPr>
          <w:rFonts w:ascii="Times New Roman" w:hAnsi="Times New Roman" w:cs="Times New Roman"/>
        </w:rPr>
        <w:t xml:space="preserve"> </w:t>
      </w:r>
      <w:proofErr w:type="spellStart"/>
      <w:r w:rsidRPr="002906A3">
        <w:rPr>
          <w:rFonts w:ascii="Times New Roman" w:hAnsi="Times New Roman" w:cs="Times New Roman"/>
        </w:rPr>
        <w:t>heft-kişverdür</w:t>
      </w:r>
      <w:proofErr w:type="spellEnd"/>
    </w:p>
    <w:p w14:paraId="71435830" w14:textId="77777777" w:rsidR="001E7189" w:rsidRPr="002906A3" w:rsidRDefault="001E7189" w:rsidP="00BA67A6">
      <w:pPr>
        <w:ind w:left="720"/>
        <w:jc w:val="both"/>
        <w:rPr>
          <w:i/>
          <w:iCs/>
        </w:rPr>
      </w:pPr>
      <w:proofErr w:type="spellStart"/>
      <w:r w:rsidRPr="002906A3">
        <w:rPr>
          <w:i/>
          <w:iCs/>
        </w:rPr>
        <w:t>Hayâlî</w:t>
      </w:r>
      <w:proofErr w:type="spellEnd"/>
      <w:r w:rsidRPr="002906A3">
        <w:rPr>
          <w:i/>
          <w:iCs/>
        </w:rPr>
        <w:t xml:space="preserve"> şâh-ı pür-</w:t>
      </w:r>
      <w:proofErr w:type="spellStart"/>
      <w:r w:rsidRPr="002906A3">
        <w:rPr>
          <w:i/>
          <w:iCs/>
        </w:rPr>
        <w:t>ezhâr</w:t>
      </w:r>
      <w:proofErr w:type="spellEnd"/>
      <w:r w:rsidRPr="002906A3">
        <w:rPr>
          <w:i/>
          <w:iCs/>
        </w:rPr>
        <w:t xml:space="preserve">-ı </w:t>
      </w:r>
      <w:proofErr w:type="spellStart"/>
      <w:r w:rsidRPr="002906A3">
        <w:rPr>
          <w:i/>
          <w:iCs/>
        </w:rPr>
        <w:t>bâg</w:t>
      </w:r>
      <w:proofErr w:type="spellEnd"/>
      <w:r w:rsidRPr="002906A3">
        <w:rPr>
          <w:i/>
          <w:iCs/>
        </w:rPr>
        <w:t xml:space="preserve">-ı </w:t>
      </w:r>
      <w:proofErr w:type="spellStart"/>
      <w:r w:rsidRPr="002906A3">
        <w:rPr>
          <w:i/>
          <w:iCs/>
        </w:rPr>
        <w:t>hüsn</w:t>
      </w:r>
      <w:proofErr w:type="spellEnd"/>
      <w:r w:rsidRPr="002906A3">
        <w:rPr>
          <w:i/>
          <w:iCs/>
        </w:rPr>
        <w:t xml:space="preserve">-i </w:t>
      </w:r>
      <w:proofErr w:type="spellStart"/>
      <w:r w:rsidRPr="002906A3">
        <w:rPr>
          <w:i/>
          <w:iCs/>
        </w:rPr>
        <w:t>behcetdür</w:t>
      </w:r>
      <w:proofErr w:type="spellEnd"/>
    </w:p>
    <w:p w14:paraId="3F9B2F43" w14:textId="77777777" w:rsidR="001E7189" w:rsidRPr="002906A3" w:rsidRDefault="001E7189" w:rsidP="00BA67A6">
      <w:pPr>
        <w:ind w:left="720"/>
        <w:jc w:val="both"/>
        <w:rPr>
          <w:i/>
          <w:iCs/>
        </w:rPr>
      </w:pPr>
      <w:proofErr w:type="spellStart"/>
      <w:r w:rsidRPr="002906A3">
        <w:rPr>
          <w:i/>
          <w:iCs/>
        </w:rPr>
        <w:t>Yetîm</w:t>
      </w:r>
      <w:proofErr w:type="spellEnd"/>
      <w:r w:rsidRPr="002906A3">
        <w:rPr>
          <w:i/>
          <w:iCs/>
        </w:rPr>
        <w:t xml:space="preserve"> </w:t>
      </w:r>
      <w:proofErr w:type="spellStart"/>
      <w:r w:rsidRPr="002906A3">
        <w:rPr>
          <w:i/>
          <w:iCs/>
        </w:rPr>
        <w:t>esmâr</w:t>
      </w:r>
      <w:proofErr w:type="spellEnd"/>
      <w:r w:rsidRPr="002906A3">
        <w:rPr>
          <w:i/>
          <w:iCs/>
        </w:rPr>
        <w:t xml:space="preserve">-ı hikmetle </w:t>
      </w:r>
      <w:proofErr w:type="spellStart"/>
      <w:r w:rsidRPr="002906A3">
        <w:rPr>
          <w:i/>
          <w:iCs/>
        </w:rPr>
        <w:t>dıraht</w:t>
      </w:r>
      <w:proofErr w:type="spellEnd"/>
      <w:r w:rsidRPr="002906A3">
        <w:rPr>
          <w:i/>
          <w:iCs/>
        </w:rPr>
        <w:t>-ı sâye-</w:t>
      </w:r>
      <w:proofErr w:type="spellStart"/>
      <w:r w:rsidRPr="002906A3">
        <w:rPr>
          <w:i/>
          <w:iCs/>
        </w:rPr>
        <w:t>güsterdür</w:t>
      </w:r>
      <w:proofErr w:type="spellEnd"/>
    </w:p>
    <w:p w14:paraId="3F70E08D" w14:textId="77777777" w:rsidR="001E7189" w:rsidRPr="002906A3" w:rsidRDefault="001E7189" w:rsidP="00BA67A6">
      <w:pPr>
        <w:ind w:left="720"/>
        <w:jc w:val="both"/>
        <w:rPr>
          <w:i/>
          <w:iCs/>
        </w:rPr>
      </w:pPr>
      <w:proofErr w:type="spellStart"/>
      <w:r w:rsidRPr="002906A3">
        <w:rPr>
          <w:i/>
          <w:iCs/>
        </w:rPr>
        <w:t>Hayâlî</w:t>
      </w:r>
      <w:proofErr w:type="spellEnd"/>
      <w:r w:rsidRPr="002906A3">
        <w:rPr>
          <w:i/>
          <w:iCs/>
        </w:rPr>
        <w:t xml:space="preserve"> </w:t>
      </w:r>
      <w:proofErr w:type="spellStart"/>
      <w:r w:rsidRPr="002906A3">
        <w:rPr>
          <w:i/>
          <w:iCs/>
        </w:rPr>
        <w:t>vâdî</w:t>
      </w:r>
      <w:proofErr w:type="spellEnd"/>
      <w:r w:rsidRPr="002906A3">
        <w:rPr>
          <w:i/>
          <w:iCs/>
        </w:rPr>
        <w:t xml:space="preserve">-i </w:t>
      </w:r>
      <w:proofErr w:type="spellStart"/>
      <w:r w:rsidRPr="002906A3">
        <w:rPr>
          <w:i/>
          <w:iCs/>
        </w:rPr>
        <w:t>şi’rüñ</w:t>
      </w:r>
      <w:proofErr w:type="spellEnd"/>
      <w:r w:rsidRPr="002906A3">
        <w:rPr>
          <w:i/>
          <w:iCs/>
        </w:rPr>
        <w:t xml:space="preserve"> olup güm-</w:t>
      </w:r>
      <w:proofErr w:type="spellStart"/>
      <w:r w:rsidRPr="002906A3">
        <w:rPr>
          <w:i/>
          <w:iCs/>
        </w:rPr>
        <w:t>geşte</w:t>
      </w:r>
      <w:proofErr w:type="spellEnd"/>
      <w:r w:rsidRPr="002906A3">
        <w:rPr>
          <w:i/>
          <w:iCs/>
        </w:rPr>
        <w:t xml:space="preserve"> </w:t>
      </w:r>
      <w:proofErr w:type="spellStart"/>
      <w:r w:rsidRPr="002906A3">
        <w:rPr>
          <w:i/>
          <w:iCs/>
        </w:rPr>
        <w:t>hayrânı</w:t>
      </w:r>
      <w:proofErr w:type="spellEnd"/>
    </w:p>
    <w:p w14:paraId="68635870" w14:textId="77777777" w:rsidR="001E7189" w:rsidRDefault="001E7189" w:rsidP="00BA67A6">
      <w:pPr>
        <w:ind w:left="720"/>
        <w:jc w:val="both"/>
      </w:pPr>
      <w:proofErr w:type="spellStart"/>
      <w:r w:rsidRPr="002906A3">
        <w:rPr>
          <w:i/>
          <w:iCs/>
        </w:rPr>
        <w:t>Yetîm</w:t>
      </w:r>
      <w:proofErr w:type="spellEnd"/>
      <w:r w:rsidRPr="002906A3">
        <w:rPr>
          <w:i/>
          <w:iCs/>
        </w:rPr>
        <w:t xml:space="preserve"> ol </w:t>
      </w:r>
      <w:proofErr w:type="spellStart"/>
      <w:r w:rsidRPr="002906A3">
        <w:rPr>
          <w:i/>
          <w:iCs/>
        </w:rPr>
        <w:t>vâdìye</w:t>
      </w:r>
      <w:proofErr w:type="spellEnd"/>
      <w:r w:rsidRPr="002906A3">
        <w:rPr>
          <w:i/>
          <w:iCs/>
        </w:rPr>
        <w:t xml:space="preserve"> </w:t>
      </w:r>
      <w:proofErr w:type="spellStart"/>
      <w:r w:rsidRPr="002906A3">
        <w:rPr>
          <w:i/>
          <w:iCs/>
        </w:rPr>
        <w:t>düşmişlere</w:t>
      </w:r>
      <w:proofErr w:type="spellEnd"/>
      <w:r w:rsidRPr="002906A3">
        <w:rPr>
          <w:i/>
          <w:iCs/>
        </w:rPr>
        <w:t xml:space="preserve"> </w:t>
      </w:r>
      <w:proofErr w:type="spellStart"/>
      <w:r w:rsidRPr="002906A3">
        <w:rPr>
          <w:i/>
          <w:iCs/>
        </w:rPr>
        <w:t>sâlâr</w:t>
      </w:r>
      <w:proofErr w:type="spellEnd"/>
      <w:r w:rsidRPr="002906A3">
        <w:rPr>
          <w:i/>
          <w:iCs/>
        </w:rPr>
        <w:t xml:space="preserve"> u </w:t>
      </w:r>
      <w:proofErr w:type="spellStart"/>
      <w:r w:rsidRPr="002906A3">
        <w:rPr>
          <w:i/>
          <w:iCs/>
        </w:rPr>
        <w:t>reh-berdür</w:t>
      </w:r>
      <w:proofErr w:type="spellEnd"/>
      <w:r w:rsidRPr="002906A3">
        <w:rPr>
          <w:i/>
          <w:iCs/>
        </w:rPr>
        <w:t xml:space="preserve"> </w:t>
      </w:r>
      <w:r w:rsidRPr="002906A3">
        <w:t>(Aktaş, 1996: 324)</w:t>
      </w:r>
    </w:p>
    <w:p w14:paraId="5D369BAD" w14:textId="77777777" w:rsidR="00BA67A6" w:rsidRPr="002906A3" w:rsidRDefault="00BA67A6" w:rsidP="00BA67A6">
      <w:pPr>
        <w:ind w:left="720"/>
        <w:jc w:val="both"/>
      </w:pPr>
    </w:p>
    <w:p w14:paraId="4644AB03" w14:textId="77777777" w:rsidR="001E7189" w:rsidRDefault="001E7189" w:rsidP="00BA67A6">
      <w:pPr>
        <w:pStyle w:val="GvdeMetni2"/>
        <w:spacing w:after="0"/>
        <w:rPr>
          <w:color w:val="auto"/>
        </w:rPr>
      </w:pPr>
      <w:r w:rsidRPr="002906A3">
        <w:rPr>
          <w:color w:val="auto"/>
        </w:rPr>
        <w:t xml:space="preserve">Divan şiiri geleneğinde şairler için anlam dünyası, kullandıkları üslup ve eda oldukça önemlidir. Kalıpları olan ve kolaylıkla bu kalıpların dışına çıkamayan bu şiirde, şairlerin bir sözü nasıl ifade ettikleri oldukça önem arz etmektedir. Bir ifadeyi ya da mazmunu şiirde kullanırken bir şairin ustalığı ve yeteneği ön plana çıkmaktadır. Bu yüzden şiirin içeriği çoğu zaman şeklinden önce gelmiştir. Bu hususta belli bir kalıp içerisinde sözü ifade etmek o dönem şairleri için bir yetenek sergileme fırsatıdır. </w:t>
      </w:r>
      <w:proofErr w:type="spellStart"/>
      <w:r w:rsidRPr="002906A3">
        <w:rPr>
          <w:color w:val="auto"/>
        </w:rPr>
        <w:t>Yetîm’in</w:t>
      </w:r>
      <w:proofErr w:type="spellEnd"/>
      <w:r w:rsidRPr="002906A3">
        <w:rPr>
          <w:color w:val="auto"/>
        </w:rPr>
        <w:t xml:space="preserve"> aşağıdaki beytinde de buna benzer bir anlatım söz konusudur. Sözün özü yani sözün içeriğinin güzelliğinin kendisine armağan edildiğini söyleyen şair, </w:t>
      </w:r>
      <w:proofErr w:type="spellStart"/>
      <w:r w:rsidRPr="002906A3">
        <w:rPr>
          <w:color w:val="auto"/>
        </w:rPr>
        <w:t>Hayâlî’ye</w:t>
      </w:r>
      <w:proofErr w:type="spellEnd"/>
      <w:r w:rsidRPr="002906A3">
        <w:rPr>
          <w:color w:val="auto"/>
        </w:rPr>
        <w:t xml:space="preserve"> ise sözün şeklinin kaldığını ifade eder.</w:t>
      </w:r>
    </w:p>
    <w:p w14:paraId="631762C2" w14:textId="77777777" w:rsidR="00BA67A6" w:rsidRPr="002906A3" w:rsidRDefault="00BA67A6" w:rsidP="00BA67A6">
      <w:pPr>
        <w:pStyle w:val="GvdeMetni2"/>
        <w:spacing w:after="0"/>
        <w:rPr>
          <w:color w:val="auto"/>
        </w:rPr>
      </w:pPr>
    </w:p>
    <w:p w14:paraId="53616243" w14:textId="77777777" w:rsidR="001E7189" w:rsidRPr="002906A3" w:rsidRDefault="001E7189" w:rsidP="00BA67A6">
      <w:pPr>
        <w:ind w:left="720"/>
        <w:jc w:val="both"/>
        <w:rPr>
          <w:i/>
          <w:iCs/>
        </w:rPr>
      </w:pPr>
      <w:proofErr w:type="spellStart"/>
      <w:r w:rsidRPr="002906A3">
        <w:rPr>
          <w:i/>
          <w:iCs/>
        </w:rPr>
        <w:t>Lübb</w:t>
      </w:r>
      <w:proofErr w:type="spellEnd"/>
      <w:r w:rsidRPr="002906A3">
        <w:rPr>
          <w:i/>
          <w:iCs/>
        </w:rPr>
        <w:t xml:space="preserve">-i </w:t>
      </w:r>
      <w:proofErr w:type="spellStart"/>
      <w:r w:rsidRPr="002906A3">
        <w:rPr>
          <w:i/>
          <w:iCs/>
        </w:rPr>
        <w:t>sühan</w:t>
      </w:r>
      <w:proofErr w:type="spellEnd"/>
      <w:r w:rsidRPr="002906A3">
        <w:rPr>
          <w:i/>
          <w:iCs/>
        </w:rPr>
        <w:t xml:space="preserve"> </w:t>
      </w:r>
      <w:proofErr w:type="spellStart"/>
      <w:r w:rsidRPr="002906A3">
        <w:rPr>
          <w:i/>
          <w:iCs/>
        </w:rPr>
        <w:t>Yetîm’e</w:t>
      </w:r>
      <w:proofErr w:type="spellEnd"/>
      <w:r w:rsidRPr="002906A3">
        <w:rPr>
          <w:i/>
          <w:iCs/>
        </w:rPr>
        <w:t xml:space="preserve"> </w:t>
      </w:r>
      <w:proofErr w:type="spellStart"/>
      <w:r w:rsidRPr="002906A3">
        <w:rPr>
          <w:i/>
          <w:iCs/>
        </w:rPr>
        <w:t>sunıldı</w:t>
      </w:r>
      <w:proofErr w:type="spellEnd"/>
      <w:r w:rsidRPr="002906A3">
        <w:rPr>
          <w:i/>
          <w:iCs/>
        </w:rPr>
        <w:t xml:space="preserve"> </w:t>
      </w:r>
      <w:proofErr w:type="spellStart"/>
      <w:r w:rsidRPr="002906A3">
        <w:rPr>
          <w:i/>
          <w:iCs/>
        </w:rPr>
        <w:t>Hayâlî’yi</w:t>
      </w:r>
      <w:proofErr w:type="spellEnd"/>
    </w:p>
    <w:p w14:paraId="5A038BD1" w14:textId="77777777" w:rsidR="001E7189" w:rsidRDefault="001E7189" w:rsidP="00BA67A6">
      <w:pPr>
        <w:ind w:left="720"/>
        <w:jc w:val="both"/>
      </w:pPr>
      <w:proofErr w:type="spellStart"/>
      <w:r w:rsidRPr="002906A3">
        <w:rPr>
          <w:i/>
          <w:iCs/>
        </w:rPr>
        <w:t>Kısr</w:t>
      </w:r>
      <w:proofErr w:type="spellEnd"/>
      <w:r w:rsidRPr="002906A3">
        <w:rPr>
          <w:i/>
          <w:iCs/>
        </w:rPr>
        <w:t xml:space="preserve">-ı kelâm ile mezesiz </w:t>
      </w:r>
      <w:proofErr w:type="spellStart"/>
      <w:r w:rsidRPr="002906A3">
        <w:rPr>
          <w:i/>
          <w:iCs/>
        </w:rPr>
        <w:t>lâga</w:t>
      </w:r>
      <w:proofErr w:type="spellEnd"/>
      <w:r w:rsidRPr="002906A3">
        <w:rPr>
          <w:i/>
          <w:iCs/>
        </w:rPr>
        <w:t xml:space="preserve"> saldılar</w:t>
      </w:r>
      <w:r w:rsidRPr="002906A3">
        <w:t xml:space="preserve"> (Aktaş, 1996: 324-326)</w:t>
      </w:r>
    </w:p>
    <w:p w14:paraId="6276130F" w14:textId="77777777" w:rsidR="00BA67A6" w:rsidRPr="002906A3" w:rsidRDefault="00BA67A6" w:rsidP="00BA67A6">
      <w:pPr>
        <w:ind w:left="720"/>
        <w:jc w:val="both"/>
      </w:pPr>
    </w:p>
    <w:p w14:paraId="5517A4D8" w14:textId="77777777" w:rsidR="001E7189" w:rsidRDefault="001E7189" w:rsidP="00BA67A6">
      <w:pPr>
        <w:jc w:val="both"/>
      </w:pPr>
      <w:r w:rsidRPr="002906A3">
        <w:t xml:space="preserve">Kaynaklarda genç yaşlarda vefat ettiği söylenen </w:t>
      </w:r>
      <w:proofErr w:type="spellStart"/>
      <w:r w:rsidRPr="002906A3">
        <w:t>Yakînî</w:t>
      </w:r>
      <w:proofErr w:type="spellEnd"/>
      <w:r w:rsidRPr="002906A3">
        <w:t xml:space="preserve">, 16. yüzyıl şairlerinden biridir. Tıpkı çağdaşı birçok şairin yaptığı gibi </w:t>
      </w:r>
      <w:proofErr w:type="spellStart"/>
      <w:r w:rsidRPr="002906A3">
        <w:t>Yakînî</w:t>
      </w:r>
      <w:proofErr w:type="spellEnd"/>
      <w:r w:rsidRPr="002906A3">
        <w:t xml:space="preserve"> de </w:t>
      </w:r>
      <w:proofErr w:type="spellStart"/>
      <w:r w:rsidRPr="002906A3">
        <w:t>Hayâlî</w:t>
      </w:r>
      <w:proofErr w:type="spellEnd"/>
      <w:r w:rsidRPr="002906A3">
        <w:t xml:space="preserve"> Bey’e yönelik eleştirilerde bulunmuştur. </w:t>
      </w:r>
      <w:proofErr w:type="spellStart"/>
      <w:r w:rsidRPr="002906A3">
        <w:t>Yakînî</w:t>
      </w:r>
      <w:proofErr w:type="spellEnd"/>
      <w:r w:rsidRPr="002906A3">
        <w:t xml:space="preserve">, bu eleştirilerini diğer şairlere göre daha tatlı bir dille yapmıştır. Şaire göre </w:t>
      </w:r>
      <w:proofErr w:type="spellStart"/>
      <w:r w:rsidRPr="002906A3">
        <w:t>Hayâlî</w:t>
      </w:r>
      <w:proofErr w:type="spellEnd"/>
      <w:r w:rsidRPr="002906A3">
        <w:t xml:space="preserve"> Bey, sözleriyle ölüleri diriltme yönünden zamanın İsa peygamberi sayılsa bile, </w:t>
      </w:r>
      <w:proofErr w:type="spellStart"/>
      <w:r w:rsidRPr="002906A3">
        <w:t>Yakînî’nin</w:t>
      </w:r>
      <w:proofErr w:type="spellEnd"/>
      <w:r w:rsidRPr="002906A3">
        <w:t xml:space="preserve"> ruh bahşeden sözleri karşısında </w:t>
      </w:r>
      <w:proofErr w:type="spellStart"/>
      <w:r w:rsidRPr="002906A3">
        <w:t>Hayâlî</w:t>
      </w:r>
      <w:proofErr w:type="spellEnd"/>
      <w:r w:rsidRPr="002906A3">
        <w:t xml:space="preserve"> Bey, ancak bahşedecek bir canı bile bulamayacak seviyede olabilir.</w:t>
      </w:r>
    </w:p>
    <w:p w14:paraId="58DCFC53" w14:textId="77777777" w:rsidR="00BA67A6" w:rsidRPr="002906A3" w:rsidRDefault="00BA67A6" w:rsidP="00BA67A6">
      <w:pPr>
        <w:jc w:val="both"/>
      </w:pPr>
    </w:p>
    <w:p w14:paraId="071BDD18" w14:textId="77777777" w:rsidR="001E7189" w:rsidRPr="002906A3" w:rsidRDefault="001E7189" w:rsidP="00BA67A6">
      <w:pPr>
        <w:ind w:firstLine="720"/>
        <w:jc w:val="both"/>
        <w:rPr>
          <w:i/>
          <w:iCs/>
        </w:rPr>
      </w:pPr>
      <w:proofErr w:type="spellStart"/>
      <w:r w:rsidRPr="002906A3">
        <w:rPr>
          <w:i/>
          <w:iCs/>
        </w:rPr>
        <w:t>Hayâlî</w:t>
      </w:r>
      <w:proofErr w:type="spellEnd"/>
      <w:r w:rsidRPr="002906A3">
        <w:rPr>
          <w:i/>
          <w:iCs/>
        </w:rPr>
        <w:t xml:space="preserve"> </w:t>
      </w:r>
      <w:proofErr w:type="spellStart"/>
      <w:r w:rsidRPr="002906A3">
        <w:rPr>
          <w:i/>
          <w:iCs/>
        </w:rPr>
        <w:t>Beg</w:t>
      </w:r>
      <w:proofErr w:type="spellEnd"/>
      <w:r w:rsidRPr="002906A3">
        <w:rPr>
          <w:i/>
          <w:iCs/>
        </w:rPr>
        <w:t xml:space="preserve"> </w:t>
      </w:r>
      <w:proofErr w:type="spellStart"/>
      <w:r w:rsidRPr="002906A3">
        <w:rPr>
          <w:i/>
          <w:iCs/>
        </w:rPr>
        <w:t>tutalum</w:t>
      </w:r>
      <w:proofErr w:type="spellEnd"/>
      <w:r w:rsidRPr="002906A3">
        <w:rPr>
          <w:i/>
          <w:iCs/>
        </w:rPr>
        <w:t xml:space="preserve"> ‘</w:t>
      </w:r>
      <w:proofErr w:type="spellStart"/>
      <w:r w:rsidRPr="002906A3">
        <w:rPr>
          <w:i/>
          <w:iCs/>
        </w:rPr>
        <w:t>Îsî</w:t>
      </w:r>
      <w:proofErr w:type="spellEnd"/>
      <w:r w:rsidRPr="002906A3">
        <w:rPr>
          <w:i/>
          <w:iCs/>
        </w:rPr>
        <w:t xml:space="preserve">-i </w:t>
      </w:r>
      <w:proofErr w:type="spellStart"/>
      <w:r w:rsidRPr="002906A3">
        <w:rPr>
          <w:i/>
          <w:iCs/>
        </w:rPr>
        <w:t>devrânımış</w:t>
      </w:r>
      <w:proofErr w:type="spellEnd"/>
      <w:r w:rsidRPr="002906A3">
        <w:rPr>
          <w:i/>
          <w:iCs/>
        </w:rPr>
        <w:t xml:space="preserve"> </w:t>
      </w:r>
      <w:proofErr w:type="spellStart"/>
      <w:r w:rsidRPr="002906A3">
        <w:rPr>
          <w:i/>
          <w:iCs/>
        </w:rPr>
        <w:t>ammâ</w:t>
      </w:r>
      <w:proofErr w:type="spellEnd"/>
    </w:p>
    <w:p w14:paraId="52FDA767" w14:textId="218FE44C" w:rsidR="001E7189" w:rsidRDefault="001E7189" w:rsidP="00BA67A6">
      <w:pPr>
        <w:ind w:firstLine="708"/>
        <w:jc w:val="both"/>
      </w:pPr>
      <w:r w:rsidRPr="002906A3">
        <w:rPr>
          <w:i/>
          <w:iCs/>
        </w:rPr>
        <w:t xml:space="preserve">Kelâm-ı </w:t>
      </w:r>
      <w:proofErr w:type="spellStart"/>
      <w:r w:rsidRPr="002906A3">
        <w:rPr>
          <w:i/>
          <w:iCs/>
        </w:rPr>
        <w:t>rûh-bahşum</w:t>
      </w:r>
      <w:proofErr w:type="spellEnd"/>
      <w:r w:rsidRPr="002906A3">
        <w:rPr>
          <w:i/>
          <w:iCs/>
        </w:rPr>
        <w:t xml:space="preserve"> birle yok </w:t>
      </w:r>
      <w:proofErr w:type="spellStart"/>
      <w:r w:rsidRPr="002906A3">
        <w:rPr>
          <w:i/>
          <w:iCs/>
        </w:rPr>
        <w:t>bahş</w:t>
      </w:r>
      <w:proofErr w:type="spellEnd"/>
      <w:r w:rsidRPr="002906A3">
        <w:rPr>
          <w:i/>
          <w:iCs/>
        </w:rPr>
        <w:t xml:space="preserve"> </w:t>
      </w:r>
      <w:proofErr w:type="spellStart"/>
      <w:r w:rsidRPr="002906A3">
        <w:rPr>
          <w:i/>
          <w:iCs/>
        </w:rPr>
        <w:t>itmege</w:t>
      </w:r>
      <w:proofErr w:type="spellEnd"/>
      <w:r w:rsidRPr="002906A3">
        <w:rPr>
          <w:i/>
          <w:iCs/>
        </w:rPr>
        <w:t xml:space="preserve"> </w:t>
      </w:r>
      <w:proofErr w:type="spellStart"/>
      <w:r w:rsidRPr="002906A3">
        <w:rPr>
          <w:i/>
          <w:iCs/>
        </w:rPr>
        <w:t>cânı</w:t>
      </w:r>
      <w:proofErr w:type="spellEnd"/>
      <w:r w:rsidRPr="002906A3">
        <w:t xml:space="preserve"> (Zülfe, 2004: 255</w:t>
      </w:r>
      <w:r w:rsidR="00BA67A6">
        <w:t>.</w:t>
      </w:r>
    </w:p>
    <w:p w14:paraId="3CA461D2" w14:textId="77777777" w:rsidR="00BA67A6" w:rsidRPr="002906A3" w:rsidRDefault="00BA67A6" w:rsidP="00BA67A6">
      <w:pPr>
        <w:ind w:firstLine="708"/>
        <w:jc w:val="both"/>
      </w:pPr>
    </w:p>
    <w:p w14:paraId="25363265" w14:textId="2B38094F" w:rsidR="00BA67A6" w:rsidRPr="00BA67A6" w:rsidRDefault="001E7189" w:rsidP="00BA67A6">
      <w:pPr>
        <w:pStyle w:val="Balk5"/>
        <w:spacing w:before="0" w:after="0"/>
        <w:rPr>
          <w:rFonts w:ascii="Times New Roman" w:hAnsi="Times New Roman" w:cs="Times New Roman"/>
          <w:b/>
          <w:bCs/>
          <w:color w:val="000000" w:themeColor="text1"/>
        </w:rPr>
      </w:pPr>
      <w:r w:rsidRPr="00BA67A6">
        <w:rPr>
          <w:rFonts w:ascii="Times New Roman" w:hAnsi="Times New Roman" w:cs="Times New Roman"/>
          <w:b/>
          <w:bCs/>
          <w:color w:val="000000" w:themeColor="text1"/>
        </w:rPr>
        <w:t>Sonuç</w:t>
      </w:r>
    </w:p>
    <w:p w14:paraId="2D391E90" w14:textId="5DC9BECF" w:rsidR="001E7189" w:rsidRDefault="001E7189" w:rsidP="00BA67A6">
      <w:pPr>
        <w:pStyle w:val="GvdeMetni"/>
        <w:jc w:val="both"/>
      </w:pPr>
      <w:r w:rsidRPr="002906A3">
        <w:t>1</w:t>
      </w:r>
      <w:r w:rsidR="00BA67A6">
        <w:t>7</w:t>
      </w:r>
      <w:r w:rsidRPr="002906A3">
        <w:t xml:space="preserve">. yüzyılda yetişen ve oldukça büyük şöhrete sahip olan şairlerin başında gelen </w:t>
      </w:r>
      <w:proofErr w:type="spellStart"/>
      <w:r w:rsidRPr="002906A3">
        <w:t>Hayâlî</w:t>
      </w:r>
      <w:proofErr w:type="spellEnd"/>
      <w:r w:rsidRPr="002906A3">
        <w:t xml:space="preserve"> Bey, kaleme aldığı şiirlerle devrin önde gelen isimlerinin beğenisini ve takdirini toplamıştır. Kısa sürede devlet erkânının en gözde şairlerinden biri haline gelen </w:t>
      </w:r>
      <w:proofErr w:type="spellStart"/>
      <w:r w:rsidRPr="002906A3">
        <w:t>Hayâlî</w:t>
      </w:r>
      <w:proofErr w:type="spellEnd"/>
      <w:r w:rsidRPr="002906A3">
        <w:t xml:space="preserve">, temelde bir Kalenderî dervişi olması sebebiyle belli bir şair grubu tarafından her fırsatta eleştirilmiştir. Başta Taşlıcalı Yahyâ olmak üzere </w:t>
      </w:r>
      <w:proofErr w:type="spellStart"/>
      <w:r w:rsidRPr="002906A3">
        <w:t>Emîrek</w:t>
      </w:r>
      <w:proofErr w:type="spellEnd"/>
      <w:r w:rsidRPr="002906A3">
        <w:t xml:space="preserve">-zâde, </w:t>
      </w:r>
      <w:proofErr w:type="spellStart"/>
      <w:r w:rsidRPr="002906A3">
        <w:t>Makâlî</w:t>
      </w:r>
      <w:proofErr w:type="spellEnd"/>
      <w:r w:rsidRPr="002906A3">
        <w:t xml:space="preserve">, </w:t>
      </w:r>
      <w:proofErr w:type="spellStart"/>
      <w:r w:rsidRPr="002906A3">
        <w:t>Zâtî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w:t>
      </w:r>
      <w:proofErr w:type="spellStart"/>
      <w:r w:rsidRPr="002906A3">
        <w:t>Yakînî</w:t>
      </w:r>
      <w:proofErr w:type="spellEnd"/>
      <w:r w:rsidRPr="002906A3">
        <w:t xml:space="preserve"> ve </w:t>
      </w:r>
      <w:proofErr w:type="spellStart"/>
      <w:r w:rsidRPr="002906A3">
        <w:t>Lami’î</w:t>
      </w:r>
      <w:proofErr w:type="spellEnd"/>
      <w:r w:rsidRPr="002906A3">
        <w:t xml:space="preserve"> Çelebi gibi dönemindeki diğer önemli şairler tarafından eleştirilere maruz kalan </w:t>
      </w:r>
      <w:proofErr w:type="spellStart"/>
      <w:r w:rsidRPr="002906A3">
        <w:t>Hayâlî</w:t>
      </w:r>
      <w:proofErr w:type="spellEnd"/>
      <w:r w:rsidRPr="002906A3">
        <w:t xml:space="preserve">, bahsi geçen şairlerce kimi zaman adeta bir düşman olarak görülmüş, hatta çoğu zaman hakaretlere maruz kalmıştır. </w:t>
      </w:r>
      <w:proofErr w:type="spellStart"/>
      <w:r w:rsidRPr="002906A3">
        <w:t>Hayâlî</w:t>
      </w:r>
      <w:proofErr w:type="spellEnd"/>
      <w:r w:rsidRPr="002906A3">
        <w:t xml:space="preserve"> Bey’e karşı yapılan eleştiriler ve edilen hakaretler temelde Kalenderî dervişi olması sebebiyledir. Ancak şairliğinin ve şiirlerinin çokça rağbet görmesi, devlet erkânı tarafından desteklenip himâye edilmesi, şiirlerinin çokluğu, şairlik yeteneği ve doğrudan </w:t>
      </w:r>
      <w:proofErr w:type="spellStart"/>
      <w:r w:rsidRPr="002906A3">
        <w:t>Hayâlî’nin</w:t>
      </w:r>
      <w:proofErr w:type="spellEnd"/>
      <w:r w:rsidRPr="002906A3">
        <w:t xml:space="preserve"> fiziksel özellikleri de bahsi geçen şairlerin eleştirilerinde çokça yer almıştır.</w:t>
      </w:r>
    </w:p>
    <w:p w14:paraId="66A88F49" w14:textId="77777777" w:rsidR="00BA67A6" w:rsidRPr="002906A3" w:rsidRDefault="00BA67A6" w:rsidP="00BA67A6">
      <w:pPr>
        <w:pStyle w:val="GvdeMetni"/>
        <w:jc w:val="both"/>
      </w:pPr>
    </w:p>
    <w:p w14:paraId="6939C576" w14:textId="77777777" w:rsidR="006871AB" w:rsidRDefault="001E7189" w:rsidP="00BA67A6">
      <w:pPr>
        <w:pStyle w:val="GvdeMetni"/>
        <w:jc w:val="both"/>
      </w:pPr>
      <w:r w:rsidRPr="002906A3">
        <w:t xml:space="preserve">Divan edebiyatında şairlerin şiirleri aracılığıyla birbirlerine laf attıkları yaygın olarak </w:t>
      </w:r>
      <w:r w:rsidRPr="002906A3">
        <w:lastRenderedPageBreak/>
        <w:t xml:space="preserve">görülmektedir. Şairler arasındaki kıskançlık, çekememezlik, siyasi veya etnik ayrımlar, hayat görüşleri, elde ettikleri başarılar ve ihsanlar vs. gibi konular bu atışmaların temel motivasyonudur. Çağdaşı birçok şair tarafından eleştiri yağmuruna tutulan </w:t>
      </w:r>
      <w:proofErr w:type="spellStart"/>
      <w:r w:rsidRPr="002906A3">
        <w:t>Hayâlî</w:t>
      </w:r>
      <w:proofErr w:type="spellEnd"/>
      <w:r w:rsidRPr="002906A3">
        <w:t xml:space="preserve"> Bey örneği de Divan edebiyatında yaşanmış en meşhur eleştiri silsilelerinden biridir. Döneminde haklı, haksız birçok sebepten dolayı fazlasıyla eleştirilen </w:t>
      </w:r>
      <w:proofErr w:type="spellStart"/>
      <w:r w:rsidRPr="002906A3">
        <w:t>Hayâlî</w:t>
      </w:r>
      <w:proofErr w:type="spellEnd"/>
      <w:r w:rsidRPr="002906A3">
        <w:t xml:space="preserve"> Bey, çoğunlukla Taşlıcalı Yahyâ’nın eleştiri ve hakaret dolu şiirleriyle uğraşmak zorunda kalmıştır. Taşlıcalı şiirlerinde açıkça </w:t>
      </w:r>
      <w:proofErr w:type="spellStart"/>
      <w:r w:rsidRPr="002906A3">
        <w:t>Hayâlî</w:t>
      </w:r>
      <w:proofErr w:type="spellEnd"/>
      <w:r w:rsidRPr="002906A3">
        <w:t xml:space="preserve"> Bey’i kıskandığını, onun itibar ve ihsan görmesine katlanamadığını ve hatta ondan nefret ettiğini itiraf etmiştir. </w:t>
      </w:r>
      <w:proofErr w:type="spellStart"/>
      <w:r w:rsidRPr="002906A3">
        <w:t>Hayâlî</w:t>
      </w:r>
      <w:proofErr w:type="spellEnd"/>
      <w:r w:rsidRPr="002906A3">
        <w:t xml:space="preserve"> Bey’i eleştiri yağmuruna tutan şairlerin neredeyse tamamı </w:t>
      </w:r>
      <w:proofErr w:type="spellStart"/>
      <w:r w:rsidRPr="002906A3">
        <w:t>Hayâlî</w:t>
      </w:r>
      <w:proofErr w:type="spellEnd"/>
      <w:r w:rsidRPr="002906A3">
        <w:t xml:space="preserve"> Bey’in aslında başarılı bir şair olduğunu kabul etmektedir. Ancak bu eleştiri sahiplerinin odak noktaları </w:t>
      </w:r>
      <w:proofErr w:type="spellStart"/>
      <w:r w:rsidRPr="002906A3">
        <w:t>Hayâlî’nin</w:t>
      </w:r>
      <w:proofErr w:type="spellEnd"/>
      <w:r w:rsidRPr="002906A3">
        <w:t xml:space="preserve"> bir Kalenderî dervişi olması ve </w:t>
      </w:r>
      <w:proofErr w:type="spellStart"/>
      <w:r w:rsidRPr="002906A3">
        <w:t>Kalenderîliğin</w:t>
      </w:r>
      <w:proofErr w:type="spellEnd"/>
      <w:r w:rsidRPr="002906A3">
        <w:t xml:space="preserve"> Osmanlı Devleti’nde kabul gören bir tarikat olmaması; buna rağmen itikada ters düşen bir tarikatın mensubu olan bu toy dervişin bu kadar itibar görüp ihsanlara boğulmasıdır. </w:t>
      </w:r>
      <w:proofErr w:type="spellStart"/>
      <w:r w:rsidRPr="002906A3">
        <w:t>Hayâlî</w:t>
      </w:r>
      <w:proofErr w:type="spellEnd"/>
      <w:r w:rsidRPr="002906A3">
        <w:t xml:space="preserve"> Bey’i eleştiren Taşlıcalı Yahyâ, </w:t>
      </w:r>
      <w:proofErr w:type="spellStart"/>
      <w:r w:rsidRPr="002906A3">
        <w:t>Emîrek</w:t>
      </w:r>
      <w:proofErr w:type="spellEnd"/>
      <w:r w:rsidRPr="002906A3">
        <w:t xml:space="preserve">-zâde, </w:t>
      </w:r>
      <w:proofErr w:type="spellStart"/>
      <w:r w:rsidRPr="002906A3">
        <w:t>Makâlî</w:t>
      </w:r>
      <w:proofErr w:type="spellEnd"/>
      <w:r w:rsidRPr="002906A3">
        <w:t xml:space="preserve">, </w:t>
      </w:r>
      <w:proofErr w:type="spellStart"/>
      <w:r w:rsidRPr="002906A3">
        <w:t>Zâtî</w:t>
      </w:r>
      <w:proofErr w:type="spellEnd"/>
      <w:r w:rsidRPr="002906A3">
        <w:t xml:space="preserve">, </w:t>
      </w:r>
      <w:proofErr w:type="spellStart"/>
      <w:r w:rsidRPr="002906A3">
        <w:t>Kandî</w:t>
      </w:r>
      <w:proofErr w:type="spellEnd"/>
      <w:r w:rsidRPr="002906A3">
        <w:t xml:space="preserve">, </w:t>
      </w:r>
      <w:proofErr w:type="spellStart"/>
      <w:r w:rsidRPr="002906A3">
        <w:t>Yetîm</w:t>
      </w:r>
      <w:proofErr w:type="spellEnd"/>
      <w:r w:rsidRPr="002906A3">
        <w:t xml:space="preserve">, </w:t>
      </w:r>
      <w:proofErr w:type="spellStart"/>
      <w:r w:rsidRPr="002906A3">
        <w:t>Yakînî</w:t>
      </w:r>
      <w:proofErr w:type="spellEnd"/>
      <w:r w:rsidRPr="002906A3">
        <w:t xml:space="preserve"> ve </w:t>
      </w:r>
      <w:proofErr w:type="spellStart"/>
      <w:r w:rsidRPr="002906A3">
        <w:t>Lami’î</w:t>
      </w:r>
      <w:proofErr w:type="spellEnd"/>
      <w:r w:rsidRPr="002906A3">
        <w:t xml:space="preserve"> Çelebi gibi isimlerin temelde itiraz ettikleri ve eleştirdikleri konu aslında budur.</w:t>
      </w:r>
    </w:p>
    <w:p w14:paraId="4171F5EE" w14:textId="77777777" w:rsidR="006871AB" w:rsidRDefault="006871AB" w:rsidP="00BA67A6">
      <w:pPr>
        <w:pStyle w:val="GvdeMetni"/>
      </w:pPr>
    </w:p>
    <w:p w14:paraId="224EA930" w14:textId="685935CD" w:rsidR="001E7189" w:rsidRPr="00BF3875" w:rsidRDefault="001E7189" w:rsidP="00BA67A6">
      <w:pPr>
        <w:pStyle w:val="GvdeMetni"/>
      </w:pPr>
      <w:r w:rsidRPr="002906A3">
        <w:rPr>
          <w:b/>
          <w:bCs/>
        </w:rPr>
        <w:t>Kaynakça</w:t>
      </w:r>
    </w:p>
    <w:p w14:paraId="3EBD4E8F" w14:textId="77777777" w:rsidR="001E7189" w:rsidRPr="002906A3" w:rsidRDefault="001E7189">
      <w:pPr>
        <w:pStyle w:val="ListeParagraf"/>
        <w:widowControl/>
        <w:numPr>
          <w:ilvl w:val="0"/>
          <w:numId w:val="53"/>
        </w:numPr>
        <w:autoSpaceDE/>
        <w:autoSpaceDN/>
        <w:jc w:val="both"/>
      </w:pPr>
      <w:r w:rsidRPr="002906A3">
        <w:t xml:space="preserve">Aktaş, Ali (1996). </w:t>
      </w:r>
      <w:proofErr w:type="spellStart"/>
      <w:r w:rsidRPr="00B74176">
        <w:rPr>
          <w:i/>
          <w:iCs/>
        </w:rPr>
        <w:t>Yetîm</w:t>
      </w:r>
      <w:proofErr w:type="spellEnd"/>
      <w:r w:rsidRPr="00B74176">
        <w:rPr>
          <w:i/>
          <w:iCs/>
        </w:rPr>
        <w:t xml:space="preserve"> Divanı</w:t>
      </w:r>
      <w:r w:rsidRPr="002906A3">
        <w:t xml:space="preserve"> [Yüksek lisans tezi, Ankara Üniversitesi]. YÖK Tez Merkezi.</w:t>
      </w:r>
    </w:p>
    <w:p w14:paraId="7F7B9FA8" w14:textId="77777777" w:rsidR="001E7189" w:rsidRPr="002906A3" w:rsidRDefault="001E7189">
      <w:pPr>
        <w:pStyle w:val="ListeParagraf"/>
        <w:widowControl/>
        <w:numPr>
          <w:ilvl w:val="0"/>
          <w:numId w:val="53"/>
        </w:numPr>
        <w:autoSpaceDE/>
        <w:autoSpaceDN/>
        <w:jc w:val="both"/>
      </w:pPr>
      <w:r w:rsidRPr="002906A3">
        <w:t xml:space="preserve">Aydın, Abdullah (2014). Divan Şairleri Arasında Şair ve Şiire Dair Atışmalar. </w:t>
      </w:r>
      <w:r w:rsidRPr="00B74176">
        <w:rPr>
          <w:i/>
          <w:noProof/>
        </w:rPr>
        <w:t>Turkish Studies - International Periodical For The Languages, Literature and History of Turkish or Turkic</w:t>
      </w:r>
      <w:r w:rsidRPr="002906A3">
        <w:t xml:space="preserve">, 9 (3), </w:t>
      </w:r>
      <w:proofErr w:type="spellStart"/>
      <w:r w:rsidRPr="002906A3">
        <w:t>ss</w:t>
      </w:r>
      <w:proofErr w:type="spellEnd"/>
      <w:r w:rsidRPr="002906A3">
        <w:t xml:space="preserve">. 213-237. </w:t>
      </w:r>
      <w:hyperlink r:id="rId210" w:history="1">
        <w:r w:rsidRPr="002906A3">
          <w:rPr>
            <w:rStyle w:val="Kpr"/>
          </w:rPr>
          <w:t>https://turkishstudies.net/turkishstudies?mod=makale_tr_ozet&amp;makale_id=17281</w:t>
        </w:r>
      </w:hyperlink>
    </w:p>
    <w:p w14:paraId="44A8FCD2" w14:textId="77777777" w:rsidR="001E7189" w:rsidRPr="002906A3" w:rsidRDefault="001E7189">
      <w:pPr>
        <w:pStyle w:val="ListeParagraf"/>
        <w:widowControl/>
        <w:numPr>
          <w:ilvl w:val="0"/>
          <w:numId w:val="53"/>
        </w:numPr>
        <w:autoSpaceDE/>
        <w:autoSpaceDN/>
      </w:pPr>
      <w:r w:rsidRPr="002906A3">
        <w:rPr>
          <w:noProof/>
        </w:rPr>
        <w:t xml:space="preserve">Belenkuyu, Bekir (2018). </w:t>
      </w:r>
      <w:r w:rsidRPr="00B74176">
        <w:rPr>
          <w:i/>
          <w:iCs/>
          <w:noProof/>
        </w:rPr>
        <w:t>Lâmiî Çelebi’nin Mesneviciliği</w:t>
      </w:r>
      <w:r w:rsidRPr="002906A3">
        <w:rPr>
          <w:noProof/>
        </w:rPr>
        <w:t xml:space="preserve"> [Doktora tezi, Eskişehir Osmangazi Üniversitesi]. YÖK Tez Merkezi.</w:t>
      </w:r>
    </w:p>
    <w:p w14:paraId="21F7E9D2" w14:textId="77777777" w:rsidR="001E7189" w:rsidRPr="002906A3" w:rsidRDefault="001E7189">
      <w:pPr>
        <w:pStyle w:val="ListeParagraf"/>
        <w:widowControl/>
        <w:numPr>
          <w:ilvl w:val="0"/>
          <w:numId w:val="53"/>
        </w:numPr>
        <w:autoSpaceDE/>
        <w:autoSpaceDN/>
        <w:jc w:val="both"/>
      </w:pPr>
      <w:r w:rsidRPr="002906A3">
        <w:t xml:space="preserve">Bozyiğit, Esra (2021). </w:t>
      </w:r>
      <w:r w:rsidRPr="00B74176">
        <w:rPr>
          <w:i/>
          <w:iCs/>
        </w:rPr>
        <w:t>Taşlıcalı Yahyâ Bey Divanı (İnceleme-Tenkitli Metin-Nesre Çeviri-Sözlük)</w:t>
      </w:r>
      <w:r w:rsidRPr="002906A3">
        <w:t xml:space="preserve"> [Doktora tezi, Marmara Üniversitesi]. YÖK Tez Merkezi.</w:t>
      </w:r>
    </w:p>
    <w:p w14:paraId="3ED1D57C" w14:textId="77777777" w:rsidR="001E7189" w:rsidRPr="002906A3" w:rsidRDefault="001E7189">
      <w:pPr>
        <w:pStyle w:val="ListeParagraf"/>
        <w:widowControl/>
        <w:numPr>
          <w:ilvl w:val="0"/>
          <w:numId w:val="53"/>
        </w:numPr>
        <w:autoSpaceDE/>
        <w:autoSpaceDN/>
        <w:jc w:val="both"/>
      </w:pPr>
      <w:proofErr w:type="spellStart"/>
      <w:r w:rsidRPr="002906A3">
        <w:t>Burmaoğlu</w:t>
      </w:r>
      <w:proofErr w:type="spellEnd"/>
      <w:r w:rsidRPr="002906A3">
        <w:t xml:space="preserve">, Hamit Bilen (2023). </w:t>
      </w:r>
      <w:proofErr w:type="spellStart"/>
      <w:r w:rsidRPr="00B74176">
        <w:rPr>
          <w:i/>
          <w:iCs/>
        </w:rPr>
        <w:t>Lâmiî</w:t>
      </w:r>
      <w:proofErr w:type="spellEnd"/>
      <w:r w:rsidRPr="00B74176">
        <w:rPr>
          <w:i/>
          <w:iCs/>
        </w:rPr>
        <w:t xml:space="preserve"> Çelebi Divanı.</w:t>
      </w:r>
      <w:r w:rsidRPr="002906A3">
        <w:t xml:space="preserve"> Yıldırım Belediyesi Kültür Yayınları.</w:t>
      </w:r>
    </w:p>
    <w:p w14:paraId="12F7D8BB" w14:textId="77777777" w:rsidR="001E7189" w:rsidRPr="002906A3" w:rsidRDefault="001E7189">
      <w:pPr>
        <w:pStyle w:val="ListeParagraf"/>
        <w:widowControl/>
        <w:numPr>
          <w:ilvl w:val="0"/>
          <w:numId w:val="53"/>
        </w:numPr>
        <w:autoSpaceDE/>
        <w:autoSpaceDN/>
        <w:jc w:val="both"/>
      </w:pPr>
      <w:r w:rsidRPr="002906A3">
        <w:t xml:space="preserve">Ceylan, Ömür (2007). </w:t>
      </w:r>
      <w:r w:rsidRPr="00B74176">
        <w:rPr>
          <w:i/>
          <w:iCs/>
        </w:rPr>
        <w:t>Kuşlar Divanı</w:t>
      </w:r>
      <w:r w:rsidRPr="002906A3">
        <w:t>. Kapı Yayınları.</w:t>
      </w:r>
    </w:p>
    <w:p w14:paraId="494239E0" w14:textId="77777777" w:rsidR="001E7189" w:rsidRPr="002906A3" w:rsidRDefault="001E7189">
      <w:pPr>
        <w:pStyle w:val="ListeParagraf"/>
        <w:widowControl/>
        <w:numPr>
          <w:ilvl w:val="0"/>
          <w:numId w:val="53"/>
        </w:numPr>
        <w:autoSpaceDE/>
        <w:autoSpaceDN/>
        <w:jc w:val="both"/>
      </w:pPr>
      <w:r w:rsidRPr="002906A3">
        <w:t xml:space="preserve">Göktaş, Mehmet &amp; Gürgen, Arif (2023). Taşlıcalı Yahya Bey Divanı’nda Hayali Bey Eleştirisi. </w:t>
      </w:r>
      <w:r w:rsidRPr="00B74176">
        <w:rPr>
          <w:i/>
          <w:iCs/>
        </w:rPr>
        <w:t>Hikmet Akademik Edebiyat Dergisi</w:t>
      </w:r>
      <w:r w:rsidRPr="002906A3">
        <w:t xml:space="preserve">, 18, </w:t>
      </w:r>
      <w:proofErr w:type="spellStart"/>
      <w:r w:rsidRPr="002906A3">
        <w:t>ss</w:t>
      </w:r>
      <w:proofErr w:type="spellEnd"/>
      <w:r w:rsidRPr="002906A3">
        <w:t xml:space="preserve">. 234-251. </w:t>
      </w:r>
      <w:hyperlink r:id="rId211" w:history="1">
        <w:r w:rsidRPr="002906A3">
          <w:rPr>
            <w:rStyle w:val="Kpr"/>
          </w:rPr>
          <w:t>https://dergipark.org.tr/tr/pub/hikmet/issue/77090/1158734</w:t>
        </w:r>
      </w:hyperlink>
    </w:p>
    <w:p w14:paraId="0CB32C35" w14:textId="77777777" w:rsidR="001E7189" w:rsidRPr="002906A3" w:rsidRDefault="001E7189">
      <w:pPr>
        <w:pStyle w:val="ListeParagraf"/>
        <w:widowControl/>
        <w:numPr>
          <w:ilvl w:val="0"/>
          <w:numId w:val="53"/>
        </w:numPr>
        <w:autoSpaceDE/>
        <w:autoSpaceDN/>
      </w:pPr>
      <w:r w:rsidRPr="002906A3">
        <w:t xml:space="preserve">Güzel, Alican &amp; Solmaz, Süleyman (2023). XVI. Yüzyıl Tezkirelerinde </w:t>
      </w:r>
      <w:proofErr w:type="spellStart"/>
      <w:r w:rsidRPr="002906A3">
        <w:t>Hayâlî</w:t>
      </w:r>
      <w:proofErr w:type="spellEnd"/>
      <w:r w:rsidRPr="002906A3">
        <w:t xml:space="preserve"> Bey. </w:t>
      </w:r>
      <w:r w:rsidRPr="00B74176">
        <w:rPr>
          <w:i/>
          <w:iCs/>
        </w:rPr>
        <w:t>Eski Türk Edebiyatı Araştırmaları Dergisi,</w:t>
      </w:r>
      <w:r w:rsidRPr="002906A3">
        <w:t xml:space="preserve"> 6 (2), </w:t>
      </w:r>
      <w:proofErr w:type="spellStart"/>
      <w:r w:rsidRPr="002906A3">
        <w:t>ss</w:t>
      </w:r>
      <w:proofErr w:type="spellEnd"/>
      <w:r w:rsidRPr="002906A3">
        <w:t xml:space="preserve">. 384-394. </w:t>
      </w:r>
      <w:hyperlink r:id="rId212" w:history="1">
        <w:r w:rsidRPr="002906A3">
          <w:rPr>
            <w:rStyle w:val="Kpr"/>
          </w:rPr>
          <w:t>https://dergipark.org.tr/tr/pub/estad/issue/78269/1287924</w:t>
        </w:r>
      </w:hyperlink>
    </w:p>
    <w:p w14:paraId="50B39AF6" w14:textId="77777777" w:rsidR="001E7189" w:rsidRPr="002906A3" w:rsidRDefault="001E7189">
      <w:pPr>
        <w:pStyle w:val="ListeParagraf"/>
        <w:widowControl/>
        <w:numPr>
          <w:ilvl w:val="0"/>
          <w:numId w:val="53"/>
        </w:numPr>
        <w:autoSpaceDE/>
        <w:autoSpaceDN/>
        <w:jc w:val="both"/>
      </w:pPr>
      <w:r w:rsidRPr="002906A3">
        <w:t xml:space="preserve">Karagözlü, Volkan (2014). </w:t>
      </w:r>
      <w:proofErr w:type="spellStart"/>
      <w:r w:rsidRPr="002906A3">
        <w:t>Hayâlî</w:t>
      </w:r>
      <w:proofErr w:type="spellEnd"/>
      <w:r w:rsidRPr="002906A3">
        <w:t xml:space="preserve"> Bey, Hayalî, Mehmed </w:t>
      </w:r>
      <w:proofErr w:type="spellStart"/>
      <w:r w:rsidRPr="002906A3">
        <w:t>Hayâlî</w:t>
      </w:r>
      <w:proofErr w:type="spellEnd"/>
      <w:r w:rsidRPr="002906A3">
        <w:t xml:space="preserve"> Bey, Bekar </w:t>
      </w:r>
      <w:proofErr w:type="spellStart"/>
      <w:r w:rsidRPr="002906A3">
        <w:t>Memi</w:t>
      </w:r>
      <w:proofErr w:type="spellEnd"/>
      <w:r w:rsidRPr="002906A3">
        <w:t xml:space="preserve">. </w:t>
      </w:r>
      <w:r w:rsidRPr="00B74176">
        <w:rPr>
          <w:i/>
          <w:iCs/>
          <w:noProof/>
        </w:rPr>
        <w:t>Türk Edebiyatı İsimler Sözlüğü</w:t>
      </w:r>
      <w:r w:rsidRPr="002906A3">
        <w:rPr>
          <w:noProof/>
        </w:rPr>
        <w:t xml:space="preserve">. Erişim: Şubat 6 2025, </w:t>
      </w:r>
      <w:hyperlink r:id="rId213" w:history="1">
        <w:r w:rsidRPr="002906A3">
          <w:rPr>
            <w:rStyle w:val="Kpr"/>
            <w:noProof/>
          </w:rPr>
          <w:t>https://teis.yesevi.edu.tr/madde-detay/hayali-bey-hayali-mehmed-hayali</w:t>
        </w:r>
      </w:hyperlink>
    </w:p>
    <w:p w14:paraId="154CA191" w14:textId="77777777" w:rsidR="001E7189" w:rsidRPr="002906A3" w:rsidRDefault="001E7189">
      <w:pPr>
        <w:pStyle w:val="ListeParagraf"/>
        <w:widowControl/>
        <w:numPr>
          <w:ilvl w:val="0"/>
          <w:numId w:val="53"/>
        </w:numPr>
        <w:autoSpaceDE/>
        <w:autoSpaceDN/>
        <w:jc w:val="both"/>
      </w:pPr>
      <w:r w:rsidRPr="002906A3">
        <w:t xml:space="preserve">Kaya, İ. Güven (2006). Yahya Bey’in Kasidelerinde Tarihi Gerçekler. </w:t>
      </w:r>
      <w:r w:rsidRPr="00B74176">
        <w:rPr>
          <w:i/>
          <w:iCs/>
        </w:rPr>
        <w:t>Osmanlı Araştırmaları Dergisi</w:t>
      </w:r>
      <w:r w:rsidRPr="002906A3">
        <w:t xml:space="preserve">, 28 (28), </w:t>
      </w:r>
      <w:proofErr w:type="spellStart"/>
      <w:r w:rsidRPr="002906A3">
        <w:t>ss</w:t>
      </w:r>
      <w:proofErr w:type="spellEnd"/>
      <w:r w:rsidRPr="002906A3">
        <w:t xml:space="preserve">. 53-75. </w:t>
      </w:r>
      <w:hyperlink r:id="rId214" w:history="1">
        <w:r w:rsidRPr="002906A3">
          <w:rPr>
            <w:rStyle w:val="Kpr"/>
          </w:rPr>
          <w:t>https://dergipark.org.tr/tr/pub/oa/issue/10950/130874</w:t>
        </w:r>
      </w:hyperlink>
    </w:p>
    <w:p w14:paraId="37DEF51E" w14:textId="48E82C6A" w:rsidR="001E7189" w:rsidRPr="002906A3" w:rsidRDefault="001E7189">
      <w:pPr>
        <w:pStyle w:val="ListeParagraf"/>
        <w:widowControl/>
        <w:numPr>
          <w:ilvl w:val="0"/>
          <w:numId w:val="53"/>
        </w:numPr>
        <w:autoSpaceDE/>
        <w:autoSpaceDN/>
        <w:jc w:val="both"/>
      </w:pPr>
      <w:r w:rsidRPr="002906A3">
        <w:t xml:space="preserve">Kılıç, Filiz (vd.) (2018). </w:t>
      </w:r>
      <w:r w:rsidRPr="00B74176">
        <w:rPr>
          <w:i/>
          <w:iCs/>
        </w:rPr>
        <w:t xml:space="preserve">Aşık Çelebi </w:t>
      </w:r>
      <w:proofErr w:type="spellStart"/>
      <w:r w:rsidRPr="00B74176">
        <w:rPr>
          <w:i/>
          <w:iCs/>
        </w:rPr>
        <w:t>Meşâirü’ş-Şu’arâ</w:t>
      </w:r>
      <w:proofErr w:type="spellEnd"/>
      <w:r w:rsidRPr="002906A3">
        <w:t>. Kültür ve Turizm Bakanlığı Yayınları.</w:t>
      </w:r>
    </w:p>
    <w:p w14:paraId="7F6E57A3" w14:textId="77777777" w:rsidR="001E7189" w:rsidRPr="002906A3" w:rsidRDefault="001E7189">
      <w:pPr>
        <w:pStyle w:val="ListeParagraf"/>
        <w:widowControl/>
        <w:numPr>
          <w:ilvl w:val="0"/>
          <w:numId w:val="53"/>
        </w:numPr>
        <w:autoSpaceDE/>
        <w:autoSpaceDN/>
        <w:jc w:val="both"/>
      </w:pPr>
      <w:r w:rsidRPr="002906A3">
        <w:t xml:space="preserve">Koyuncu, Fatih (2011). Alaşehirli </w:t>
      </w:r>
      <w:proofErr w:type="spellStart"/>
      <w:r w:rsidRPr="002906A3">
        <w:t>Makâlî</w:t>
      </w:r>
      <w:proofErr w:type="spellEnd"/>
      <w:r w:rsidRPr="002906A3">
        <w:t xml:space="preserve"> Mustafa Bey ve Mecmualardaki Bazı Şiirleri. </w:t>
      </w:r>
      <w:r w:rsidRPr="00B74176">
        <w:rPr>
          <w:i/>
          <w:iCs/>
        </w:rPr>
        <w:t>Manisa Celal Bayar Üniversitesi Sosyal Bilimler Dergisi,</w:t>
      </w:r>
      <w:r w:rsidRPr="002906A3">
        <w:t xml:space="preserve"> 9 (2), </w:t>
      </w:r>
      <w:proofErr w:type="spellStart"/>
      <w:r w:rsidRPr="002906A3">
        <w:t>ss</w:t>
      </w:r>
      <w:proofErr w:type="spellEnd"/>
      <w:r w:rsidRPr="002906A3">
        <w:t xml:space="preserve">. 303-324. </w:t>
      </w:r>
      <w:hyperlink r:id="rId215" w:history="1">
        <w:r w:rsidRPr="002906A3">
          <w:rPr>
            <w:rStyle w:val="Kpr"/>
          </w:rPr>
          <w:t>https://dergipark.org.tr/tr/pub/cbayarsos/issue/4067/53689</w:t>
        </w:r>
      </w:hyperlink>
    </w:p>
    <w:p w14:paraId="4724FCF4" w14:textId="77777777" w:rsidR="001E7189" w:rsidRPr="002906A3" w:rsidRDefault="001E7189">
      <w:pPr>
        <w:pStyle w:val="ListeParagraf"/>
        <w:widowControl/>
        <w:numPr>
          <w:ilvl w:val="0"/>
          <w:numId w:val="53"/>
        </w:numPr>
        <w:autoSpaceDE/>
        <w:autoSpaceDN/>
        <w:jc w:val="both"/>
      </w:pPr>
      <w:r w:rsidRPr="002906A3">
        <w:lastRenderedPageBreak/>
        <w:t xml:space="preserve">Kurnaz, Cemal (1998). </w:t>
      </w:r>
      <w:proofErr w:type="spellStart"/>
      <w:r w:rsidRPr="002906A3">
        <w:t>Hayâlî</w:t>
      </w:r>
      <w:proofErr w:type="spellEnd"/>
      <w:r w:rsidRPr="002906A3">
        <w:t xml:space="preserve"> Bey. </w:t>
      </w:r>
      <w:r w:rsidRPr="00B74176">
        <w:rPr>
          <w:i/>
          <w:iCs/>
          <w:noProof/>
        </w:rPr>
        <w:t xml:space="preserve">Türkiye Diyânet Vakfı İslâm Ansiklopedisi. </w:t>
      </w:r>
      <w:r w:rsidRPr="00B74176">
        <w:rPr>
          <w:iCs/>
          <w:noProof/>
        </w:rPr>
        <w:t>Erişim Şubat 6 2025</w:t>
      </w:r>
      <w:r w:rsidRPr="002906A3">
        <w:t xml:space="preserve">, </w:t>
      </w:r>
      <w:hyperlink r:id="rId216" w:history="1">
        <w:r w:rsidRPr="002906A3">
          <w:rPr>
            <w:rStyle w:val="Kpr"/>
          </w:rPr>
          <w:t>https://islamansiklopedisi.org.tr/hayali-bey</w:t>
        </w:r>
      </w:hyperlink>
    </w:p>
    <w:p w14:paraId="7108F654" w14:textId="77777777" w:rsidR="001E7189" w:rsidRPr="002906A3" w:rsidRDefault="001E7189">
      <w:pPr>
        <w:pStyle w:val="ListeParagraf"/>
        <w:widowControl/>
        <w:numPr>
          <w:ilvl w:val="0"/>
          <w:numId w:val="53"/>
        </w:numPr>
        <w:autoSpaceDE/>
        <w:autoSpaceDN/>
        <w:jc w:val="both"/>
      </w:pPr>
      <w:r w:rsidRPr="002906A3">
        <w:t xml:space="preserve">Kurnaz, Cemal (2012). </w:t>
      </w:r>
      <w:proofErr w:type="spellStart"/>
      <w:r w:rsidRPr="00B74176">
        <w:rPr>
          <w:i/>
          <w:iCs/>
        </w:rPr>
        <w:t>Hayâlî</w:t>
      </w:r>
      <w:proofErr w:type="spellEnd"/>
      <w:r w:rsidRPr="00B74176">
        <w:rPr>
          <w:i/>
          <w:iCs/>
        </w:rPr>
        <w:t xml:space="preserve"> Bey Divanı’nın Tahlili</w:t>
      </w:r>
      <w:r w:rsidRPr="002906A3">
        <w:t>. Kurgan Edebiyat.</w:t>
      </w:r>
    </w:p>
    <w:p w14:paraId="7FDEDE9C" w14:textId="77777777" w:rsidR="001E7189" w:rsidRPr="002906A3" w:rsidRDefault="001E7189">
      <w:pPr>
        <w:pStyle w:val="ListeParagraf"/>
        <w:widowControl/>
        <w:numPr>
          <w:ilvl w:val="0"/>
          <w:numId w:val="53"/>
        </w:numPr>
        <w:autoSpaceDE/>
        <w:autoSpaceDN/>
        <w:jc w:val="both"/>
      </w:pPr>
      <w:r w:rsidRPr="002906A3">
        <w:t xml:space="preserve">Kurtoğlu, Orhan (1995). </w:t>
      </w:r>
      <w:r w:rsidRPr="00B74176">
        <w:rPr>
          <w:i/>
          <w:iCs/>
        </w:rPr>
        <w:t xml:space="preserve">Zati Divanı'nın Gazeller Dışında Kalan Şiirleri Üzerine Bir Araştırma </w:t>
      </w:r>
      <w:r w:rsidRPr="002906A3">
        <w:t>[Yüksek lisans tezi, Gazi Üniversitesi]. YÖK Tez Merkezi.</w:t>
      </w:r>
    </w:p>
    <w:p w14:paraId="240F0EAB" w14:textId="77777777" w:rsidR="001E7189" w:rsidRPr="002906A3" w:rsidRDefault="001E7189">
      <w:pPr>
        <w:pStyle w:val="ListeParagraf"/>
        <w:widowControl/>
        <w:numPr>
          <w:ilvl w:val="0"/>
          <w:numId w:val="53"/>
        </w:numPr>
        <w:autoSpaceDE/>
        <w:autoSpaceDN/>
        <w:jc w:val="both"/>
      </w:pPr>
      <w:r w:rsidRPr="002906A3">
        <w:t xml:space="preserve">Şentürk, Ahmet Atilla (2015). Manzum Metinler Işığında Bir Kalender Dervişinin Profili. </w:t>
      </w:r>
      <w:r w:rsidRPr="00B74176">
        <w:rPr>
          <w:i/>
          <w:noProof/>
        </w:rPr>
        <w:t>Turkish Studies - International Periodical For The Languages, Literature and History of Turkish or Turkic</w:t>
      </w:r>
      <w:r w:rsidRPr="002906A3">
        <w:t xml:space="preserve">, 10 (8), </w:t>
      </w:r>
      <w:proofErr w:type="spellStart"/>
      <w:r w:rsidRPr="002906A3">
        <w:t>ss</w:t>
      </w:r>
      <w:proofErr w:type="spellEnd"/>
      <w:r w:rsidRPr="002906A3">
        <w:t xml:space="preserve">. 141-220. </w:t>
      </w:r>
      <w:hyperlink r:id="rId217" w:history="1">
        <w:r w:rsidRPr="002906A3">
          <w:rPr>
            <w:rStyle w:val="Kpr"/>
          </w:rPr>
          <w:t>https://turkishstudies.net/turkishstudies?mod=makale_tr_ozet&amp;makale_id=18737</w:t>
        </w:r>
      </w:hyperlink>
    </w:p>
    <w:p w14:paraId="70B283AB" w14:textId="77777777" w:rsidR="001E7189" w:rsidRPr="002906A3" w:rsidRDefault="001E7189">
      <w:pPr>
        <w:pStyle w:val="ListeParagraf"/>
        <w:widowControl/>
        <w:numPr>
          <w:ilvl w:val="0"/>
          <w:numId w:val="53"/>
        </w:numPr>
        <w:autoSpaceDE/>
        <w:autoSpaceDN/>
        <w:jc w:val="both"/>
      </w:pPr>
      <w:r w:rsidRPr="002906A3">
        <w:t xml:space="preserve">Şentürk, Ahmet Atilla (2017). </w:t>
      </w:r>
      <w:r w:rsidRPr="00B74176">
        <w:rPr>
          <w:i/>
          <w:iCs/>
        </w:rPr>
        <w:t>Osmanlı Şiiri Antolojisi</w:t>
      </w:r>
      <w:r w:rsidRPr="002906A3">
        <w:t>. Yapı Kredi Yayınları.</w:t>
      </w:r>
    </w:p>
    <w:p w14:paraId="0B723741" w14:textId="77777777" w:rsidR="001E7189" w:rsidRPr="002906A3" w:rsidRDefault="001E7189">
      <w:pPr>
        <w:pStyle w:val="ListeParagraf"/>
        <w:widowControl/>
        <w:numPr>
          <w:ilvl w:val="0"/>
          <w:numId w:val="53"/>
        </w:numPr>
        <w:autoSpaceDE/>
        <w:autoSpaceDN/>
        <w:jc w:val="both"/>
      </w:pPr>
      <w:r w:rsidRPr="002906A3">
        <w:t xml:space="preserve">Tanman, Mehmed Baha (1991). </w:t>
      </w:r>
      <w:proofErr w:type="spellStart"/>
      <w:r w:rsidRPr="002906A3">
        <w:t>Arakıyye</w:t>
      </w:r>
      <w:proofErr w:type="spellEnd"/>
      <w:r w:rsidRPr="002906A3">
        <w:t xml:space="preserve">. </w:t>
      </w:r>
      <w:r w:rsidRPr="00B74176">
        <w:rPr>
          <w:i/>
          <w:iCs/>
          <w:noProof/>
        </w:rPr>
        <w:t xml:space="preserve">Türkiye Diyânet Vakfı İslâm Ansiklopedisi. </w:t>
      </w:r>
      <w:r w:rsidRPr="00B74176">
        <w:rPr>
          <w:iCs/>
          <w:noProof/>
        </w:rPr>
        <w:t>Erişim Şubat 6 2025</w:t>
      </w:r>
      <w:r w:rsidRPr="002906A3">
        <w:t xml:space="preserve">, </w:t>
      </w:r>
      <w:hyperlink r:id="rId218" w:history="1">
        <w:r w:rsidRPr="002906A3">
          <w:rPr>
            <w:rStyle w:val="Kpr"/>
          </w:rPr>
          <w:t>https://islamansiklopedisi.org.tr/arakiyye</w:t>
        </w:r>
      </w:hyperlink>
    </w:p>
    <w:p w14:paraId="37BE5CF4" w14:textId="77777777" w:rsidR="001E7189" w:rsidRPr="002906A3" w:rsidRDefault="001E7189">
      <w:pPr>
        <w:pStyle w:val="ListeParagraf"/>
        <w:widowControl/>
        <w:numPr>
          <w:ilvl w:val="0"/>
          <w:numId w:val="53"/>
        </w:numPr>
        <w:autoSpaceDE/>
        <w:autoSpaceDN/>
      </w:pPr>
      <w:r w:rsidRPr="002906A3">
        <w:t xml:space="preserve">Uçar, Melike (2006). </w:t>
      </w:r>
      <w:r w:rsidRPr="00B74176">
        <w:rPr>
          <w:i/>
          <w:iCs/>
        </w:rPr>
        <w:t>Klasik Türk Şiirinde Peygamberler</w:t>
      </w:r>
      <w:r w:rsidRPr="002906A3">
        <w:t xml:space="preserve"> [Yüksek lisans tezi, Kahramanmaraş Sütçü İmam Üniversitesi]. YÖK Tez Merkezi.</w:t>
      </w:r>
    </w:p>
    <w:p w14:paraId="22D13874" w14:textId="39086755" w:rsidR="00C70E93" w:rsidRDefault="001E7189">
      <w:pPr>
        <w:pStyle w:val="ListeParagraf"/>
        <w:widowControl/>
        <w:numPr>
          <w:ilvl w:val="0"/>
          <w:numId w:val="53"/>
        </w:numPr>
        <w:autoSpaceDE/>
        <w:autoSpaceDN/>
        <w:jc w:val="both"/>
      </w:pPr>
      <w:r w:rsidRPr="002906A3">
        <w:t xml:space="preserve">Zülfe, Ömer (2004). </w:t>
      </w:r>
      <w:proofErr w:type="spellStart"/>
      <w:r w:rsidRPr="00B74176">
        <w:rPr>
          <w:i/>
          <w:iCs/>
        </w:rPr>
        <w:t>Yakînî</w:t>
      </w:r>
      <w:proofErr w:type="spellEnd"/>
      <w:r w:rsidRPr="00B74176">
        <w:rPr>
          <w:i/>
          <w:iCs/>
        </w:rPr>
        <w:t xml:space="preserve"> </w:t>
      </w:r>
      <w:proofErr w:type="spellStart"/>
      <w:r w:rsidRPr="00B74176">
        <w:rPr>
          <w:i/>
          <w:iCs/>
        </w:rPr>
        <w:t>Divânı</w:t>
      </w:r>
      <w:proofErr w:type="spellEnd"/>
      <w:r w:rsidRPr="00B74176">
        <w:rPr>
          <w:i/>
          <w:iCs/>
        </w:rPr>
        <w:t xml:space="preserve"> (İnceleme-Metin-Çeviri)</w:t>
      </w:r>
      <w:r w:rsidRPr="002906A3">
        <w:t xml:space="preserve"> [Doktora tezi, Marmara Üniversitesi]. YÖK Tez Merkezi.</w:t>
      </w:r>
    </w:p>
    <w:p w14:paraId="74E2D5B0" w14:textId="465B8538" w:rsidR="00D5204A" w:rsidRPr="002906A3" w:rsidRDefault="00C70E93" w:rsidP="00C70E93">
      <w:pPr>
        <w:autoSpaceDE/>
        <w:autoSpaceDN/>
      </w:pPr>
      <w:r>
        <w:br w:type="page"/>
      </w:r>
    </w:p>
    <w:p w14:paraId="44BDD805" w14:textId="77777777" w:rsidR="001E7189" w:rsidRPr="002906A3" w:rsidRDefault="001E7189" w:rsidP="004C7694">
      <w:pPr>
        <w:pStyle w:val="Tark"/>
        <w:rPr>
          <w:noProof/>
        </w:rPr>
      </w:pPr>
      <w:bookmarkStart w:id="179" w:name="_Toc192855233"/>
      <w:r w:rsidRPr="002906A3">
        <w:rPr>
          <w:noProof/>
        </w:rPr>
        <w:lastRenderedPageBreak/>
        <w:t>Lâmiî Çelebi Divanı’nda Kadın Karşıtı Söylem</w:t>
      </w:r>
      <w:bookmarkEnd w:id="179"/>
    </w:p>
    <w:p w14:paraId="42150717" w14:textId="77777777" w:rsidR="001E7189" w:rsidRPr="002906A3" w:rsidRDefault="001E7189" w:rsidP="00BA67A6">
      <w:pPr>
        <w:jc w:val="center"/>
        <w:rPr>
          <w:noProof/>
        </w:rPr>
      </w:pPr>
    </w:p>
    <w:p w14:paraId="3BBDDDF0" w14:textId="77777777" w:rsidR="001E7189" w:rsidRPr="002906A3" w:rsidRDefault="001E7189" w:rsidP="00BA67A6">
      <w:pPr>
        <w:jc w:val="center"/>
        <w:rPr>
          <w:noProof/>
        </w:rPr>
      </w:pPr>
      <w:r w:rsidRPr="002906A3">
        <w:rPr>
          <w:noProof/>
        </w:rPr>
        <w:t>Emrah GÜLÜM</w:t>
      </w:r>
      <w:r w:rsidRPr="002906A3">
        <w:rPr>
          <w:noProof/>
        </w:rPr>
        <w:br/>
        <w:t>Doktor Öğretim Üyesi, Anadolu Üniversitesi, Türk Dili ve Edebiyatı Bölümü</w:t>
      </w:r>
      <w:r w:rsidRPr="002906A3">
        <w:rPr>
          <w:noProof/>
        </w:rPr>
        <w:br/>
        <w:t>emrahgulum@anadolu.edu.tr</w:t>
      </w:r>
      <w:r w:rsidRPr="002906A3">
        <w:rPr>
          <w:noProof/>
        </w:rPr>
        <w:br/>
        <w:t>0000-0002-0614-1002</w:t>
      </w:r>
    </w:p>
    <w:p w14:paraId="7DF81F31" w14:textId="77777777" w:rsidR="001E7189" w:rsidRPr="002906A3" w:rsidRDefault="001E7189" w:rsidP="00BA67A6">
      <w:pPr>
        <w:jc w:val="both"/>
        <w:rPr>
          <w:noProof/>
        </w:rPr>
      </w:pPr>
    </w:p>
    <w:p w14:paraId="32D1A74B" w14:textId="77777777" w:rsidR="001E7189" w:rsidRPr="002906A3" w:rsidRDefault="001E7189" w:rsidP="00BA67A6">
      <w:pPr>
        <w:jc w:val="center"/>
        <w:rPr>
          <w:b/>
          <w:bCs/>
          <w:noProof/>
        </w:rPr>
      </w:pPr>
      <w:r w:rsidRPr="002906A3">
        <w:rPr>
          <w:b/>
          <w:bCs/>
          <w:noProof/>
        </w:rPr>
        <w:t>Özet</w:t>
      </w:r>
    </w:p>
    <w:p w14:paraId="300BB1E7" w14:textId="77777777" w:rsidR="001E7189" w:rsidRDefault="001E7189" w:rsidP="00BA67A6">
      <w:pPr>
        <w:jc w:val="both"/>
        <w:rPr>
          <w:noProof/>
        </w:rPr>
      </w:pPr>
      <w:r w:rsidRPr="002906A3">
        <w:rPr>
          <w:noProof/>
        </w:rPr>
        <w:t xml:space="preserve">Kadın ve erkek yaratılıştan beri birbirinin hem zıttı hem de tamamlayıcısı konumunda görülmüştür. Kadın ve erkeğin biyolojik olarak farklı oluşlarının dışında, dönemden döneme ve toplumdan topluma farklı konumlandırıldıkları ve farklı görevleri yüklendikleri görülmektedir. Gönüllü olarak ya da toplumsal baskı ile yüklenilen bu görevler ve kabul edilen konumlar iki cinsiyet arasındaki ayrılığı derinleştirmiş, hatta birçok toplumda kadın ve erkek arasında kapatılamayacak kadar büyük uçurumların açılmasına sebep olmuştur. Özellikle İslamiyet sonrası Türk toplumlarında erkeğin ve kadının toplum içerisindeki yerleri ve rolleri incelendiği zaman bahsi geçen uçurumun ne kadar derin olduğu daha net ortaya çıkmaktadır. İslamiyet sonrası Türk toplumlarının en başında gelen Osmanlı Devleti’nde de durum pek farklı değildir. Saray içerisinde kadının durumu biraz farklılık gösterse de Osmanlı tebaasında kadın her zaman için toplumdan soyutlanmış, söz hakkı olmayan ve pek de ciddiye alınmayan bir pozisyona düşürülmüştür. Osmanlı’da ne eğitim alanında, ne sanatta, ne ticarette kendine yer bulan kadının sadece ev işleri ve çocuk bakımı ile sınırlandırılan hayat tarzı, uzun yıllar genel geçer ve yazılı olmayan toplumsal kurallar arasında kalmaya devam etmiştir. Her konunun olduğu gibi bu konunun da Divan şiirinde karşılık bulduğu ve şairlerin şiirlerinde kadının yerinden ve görevlerinden sıkça bahsettiği görülmektedir. Divan şairleri tarafından şiirlerde işlenilen gerçek kadın figürünün, göklere çıkarılarak neredeyse ilahlaştırılan hayalî sevgili-dilber figürünün aksine, çoğunlukla olumsuz olduğu da inkâr edilemez bir gerçektir. Kadınlar hakkındaki düşünceleri en olumsuz olan ve bu düşüncelerini şiirlerinde dile getirmekten çekinmeyen şairlerin başında da Lâmiî Çelebi gelmektedir. Gerek mesnevilerinde gerekse de </w:t>
      </w:r>
      <w:r w:rsidRPr="002906A3">
        <w:rPr>
          <w:i/>
          <w:noProof/>
        </w:rPr>
        <w:t>Divan</w:t>
      </w:r>
      <w:r w:rsidRPr="002906A3">
        <w:rPr>
          <w:noProof/>
        </w:rPr>
        <w:t>’ında defalarca kadınları yerden yere vurmuş hatta kadınlar için hakarete varan ifadeler kullanmıştır. Lâmiî Çelebi’nin bu kadın düşmanlığının ve nefretinin neyden kaynaklandığı bilinmemektedir. Ancak şiirleri ayrıntılı incelendiği zaman Lâmiî Çelebi’nin gözünden kadınların toplum içerisinde olması gereken yeri net bir şekilde görebilmekteyiz. İşte bu çalışmada Lâmiî Çelebi Divanı’nda yer alan ve kadın karşıtı söylem içeren şiir, kıta ve beyitler bir araya getirilip derinlemesine bir incelemeye tabi tutulmuş ve bu sayede de Lâmiî Çelebi’nin kadın anlayışı ortaya koyulmaya çalışılmıştır.</w:t>
      </w:r>
    </w:p>
    <w:p w14:paraId="12BD4EA4" w14:textId="77777777" w:rsidR="00BA67A6" w:rsidRPr="002906A3" w:rsidRDefault="00BA67A6" w:rsidP="00BA67A6">
      <w:pPr>
        <w:jc w:val="both"/>
        <w:rPr>
          <w:noProof/>
        </w:rPr>
      </w:pPr>
    </w:p>
    <w:p w14:paraId="4735DDBD" w14:textId="78886B4E" w:rsidR="00BF3875" w:rsidRDefault="001E7189" w:rsidP="00BA67A6">
      <w:pPr>
        <w:jc w:val="both"/>
        <w:rPr>
          <w:noProof/>
        </w:rPr>
      </w:pPr>
      <w:r w:rsidRPr="002906A3">
        <w:rPr>
          <w:b/>
          <w:bCs/>
          <w:noProof/>
        </w:rPr>
        <w:t xml:space="preserve">Anahtar </w:t>
      </w:r>
      <w:r w:rsidR="00BF3875">
        <w:rPr>
          <w:b/>
          <w:bCs/>
          <w:noProof/>
        </w:rPr>
        <w:t>Kelimeler</w:t>
      </w:r>
      <w:r w:rsidRPr="002906A3">
        <w:rPr>
          <w:b/>
          <w:bCs/>
          <w:noProof/>
        </w:rPr>
        <w:t>:</w:t>
      </w:r>
      <w:r w:rsidRPr="002906A3">
        <w:rPr>
          <w:noProof/>
        </w:rPr>
        <w:t xml:space="preserve"> Lâmiî Çelebi, Cinsiyetçilik, Divan Şiirinde Kadın, Kadın Karşıtı Söylem.</w:t>
      </w:r>
    </w:p>
    <w:p w14:paraId="356557C8" w14:textId="77777777" w:rsidR="001E7189" w:rsidRDefault="001E7189" w:rsidP="00BA67A6">
      <w:pPr>
        <w:rPr>
          <w:noProof/>
        </w:rPr>
      </w:pPr>
    </w:p>
    <w:p w14:paraId="0A2B9076" w14:textId="77777777" w:rsidR="00D5204A" w:rsidRDefault="00D5204A" w:rsidP="00BA67A6">
      <w:pPr>
        <w:rPr>
          <w:noProof/>
        </w:rPr>
      </w:pPr>
    </w:p>
    <w:p w14:paraId="599417B5" w14:textId="77777777" w:rsidR="00D5204A" w:rsidRDefault="00D5204A" w:rsidP="00BA67A6">
      <w:pPr>
        <w:rPr>
          <w:noProof/>
        </w:rPr>
      </w:pPr>
    </w:p>
    <w:p w14:paraId="05B3D84E" w14:textId="77777777" w:rsidR="00D5204A" w:rsidRDefault="00D5204A" w:rsidP="00BA67A6">
      <w:pPr>
        <w:rPr>
          <w:noProof/>
        </w:rPr>
      </w:pPr>
    </w:p>
    <w:p w14:paraId="73527BC3" w14:textId="77777777" w:rsidR="00D5204A" w:rsidRDefault="00D5204A" w:rsidP="00BA67A6">
      <w:pPr>
        <w:rPr>
          <w:noProof/>
        </w:rPr>
      </w:pPr>
    </w:p>
    <w:p w14:paraId="2E741B2C" w14:textId="77777777" w:rsidR="00D5204A" w:rsidRDefault="00D5204A" w:rsidP="00BA67A6">
      <w:pPr>
        <w:rPr>
          <w:noProof/>
        </w:rPr>
      </w:pPr>
    </w:p>
    <w:p w14:paraId="2730707C" w14:textId="77777777" w:rsidR="00D5204A" w:rsidRDefault="00D5204A" w:rsidP="00BA67A6">
      <w:pPr>
        <w:rPr>
          <w:noProof/>
        </w:rPr>
      </w:pPr>
    </w:p>
    <w:p w14:paraId="39C5B4E7" w14:textId="77777777" w:rsidR="00D5204A" w:rsidRDefault="00D5204A" w:rsidP="00BA67A6">
      <w:pPr>
        <w:rPr>
          <w:noProof/>
        </w:rPr>
      </w:pPr>
    </w:p>
    <w:p w14:paraId="12C34F26" w14:textId="77777777" w:rsidR="00D5204A" w:rsidRDefault="00D5204A" w:rsidP="00BA67A6">
      <w:pPr>
        <w:rPr>
          <w:noProof/>
        </w:rPr>
      </w:pPr>
    </w:p>
    <w:p w14:paraId="0F782137" w14:textId="77777777" w:rsidR="00D5204A" w:rsidRPr="002906A3" w:rsidRDefault="00D5204A" w:rsidP="00BA67A6">
      <w:pPr>
        <w:rPr>
          <w:noProof/>
        </w:rPr>
      </w:pPr>
    </w:p>
    <w:p w14:paraId="2DC78A3C" w14:textId="77777777" w:rsidR="001E7189" w:rsidRPr="002906A3" w:rsidRDefault="001E7189" w:rsidP="004C7694">
      <w:pPr>
        <w:pStyle w:val="Tark"/>
        <w:rPr>
          <w:noProof/>
        </w:rPr>
      </w:pPr>
      <w:bookmarkStart w:id="180" w:name="_Toc192855234"/>
      <w:r w:rsidRPr="002906A3">
        <w:rPr>
          <w:noProof/>
        </w:rPr>
        <w:t>Anti-Woman Discourse in Lâmiî Çelebi's Divan</w:t>
      </w:r>
      <w:bookmarkEnd w:id="180"/>
    </w:p>
    <w:p w14:paraId="5B0EE4F4" w14:textId="77777777" w:rsidR="001E7189" w:rsidRPr="002906A3" w:rsidRDefault="001E7189" w:rsidP="00BA67A6">
      <w:pPr>
        <w:rPr>
          <w:b/>
          <w:bCs/>
          <w:noProof/>
        </w:rPr>
      </w:pPr>
    </w:p>
    <w:p w14:paraId="65725794" w14:textId="77777777" w:rsidR="001E7189" w:rsidRPr="002906A3" w:rsidRDefault="001E7189" w:rsidP="00BA67A6">
      <w:pPr>
        <w:jc w:val="center"/>
        <w:rPr>
          <w:noProof/>
        </w:rPr>
      </w:pPr>
      <w:r w:rsidRPr="002906A3">
        <w:rPr>
          <w:noProof/>
        </w:rPr>
        <w:t>Emrah GÜLÜM</w:t>
      </w:r>
    </w:p>
    <w:p w14:paraId="6E96BB07" w14:textId="77777777" w:rsidR="001E7189" w:rsidRPr="002906A3" w:rsidRDefault="001E7189" w:rsidP="00BA67A6">
      <w:pPr>
        <w:jc w:val="center"/>
        <w:rPr>
          <w:noProof/>
        </w:rPr>
      </w:pPr>
      <w:r w:rsidRPr="002906A3">
        <w:rPr>
          <w:noProof/>
        </w:rPr>
        <w:t>Assistant Professor, Anadolu University, Department of Turkish Language and Literature</w:t>
      </w:r>
    </w:p>
    <w:p w14:paraId="2791FBD2" w14:textId="77777777" w:rsidR="001E7189" w:rsidRPr="002906A3" w:rsidRDefault="001E7189" w:rsidP="00BA67A6">
      <w:pPr>
        <w:jc w:val="center"/>
        <w:rPr>
          <w:noProof/>
        </w:rPr>
      </w:pPr>
      <w:r w:rsidRPr="002906A3">
        <w:rPr>
          <w:noProof/>
        </w:rPr>
        <w:t>emrahgulum@anadolu.edu.tr</w:t>
      </w:r>
      <w:r w:rsidRPr="002906A3">
        <w:rPr>
          <w:noProof/>
        </w:rPr>
        <w:br/>
        <w:t>0000-0002-0614-1002</w:t>
      </w:r>
    </w:p>
    <w:p w14:paraId="26767FEE" w14:textId="77777777" w:rsidR="001E7189" w:rsidRPr="002906A3" w:rsidRDefault="001E7189" w:rsidP="00BA67A6">
      <w:pPr>
        <w:jc w:val="center"/>
        <w:rPr>
          <w:noProof/>
        </w:rPr>
      </w:pPr>
    </w:p>
    <w:p w14:paraId="2B16A2BB" w14:textId="77777777" w:rsidR="001E7189" w:rsidRPr="009C1D8C" w:rsidRDefault="001E7189" w:rsidP="00BA67A6">
      <w:pPr>
        <w:jc w:val="center"/>
        <w:rPr>
          <w:b/>
          <w:bCs/>
          <w:noProof/>
        </w:rPr>
      </w:pPr>
      <w:r w:rsidRPr="009C1D8C">
        <w:rPr>
          <w:b/>
          <w:bCs/>
          <w:noProof/>
        </w:rPr>
        <w:t>Abstract</w:t>
      </w:r>
    </w:p>
    <w:p w14:paraId="1E6DAE89" w14:textId="77777777" w:rsidR="001E7189" w:rsidRDefault="001E7189" w:rsidP="00BA67A6">
      <w:pPr>
        <w:jc w:val="both"/>
        <w:rPr>
          <w:bCs/>
          <w:noProof/>
        </w:rPr>
      </w:pPr>
      <w:r w:rsidRPr="002906A3">
        <w:rPr>
          <w:bCs/>
          <w:noProof/>
        </w:rPr>
        <w:t>Since creation, men and women have been seen as both opposites and complements of each other. Apart from the fact that men and women are biologically different, it is seen that they are positioned differently from period to period and from society to society and undertake different duties. These duties and accepted positions, undertaken voluntarily or under social pressure, have deepened the separation between the two genders, and have even caused a gap too large to be bridged between men and women in many societies. When the places and roles of men and women in society, especially in post-Islamic Turkish societies, are examined, it becomes clear how deep the said gap is. The situation is not much different in the Ottoman Empire, which was one of the leading post-Islamic Turkish societies. Although the situation of women within the palace differed slightly, women in the Ottoman Empire were always isolated from society, were placed in a position where they had no say and were not taken seriously. In the Ottoman Empire, the lifestyle of women, who found no place for themselves in education, art or commerce, was limited only to housework and child care, and continued to remain among the general and unwritten social rules for many years. It is seen that this subject, like every other subject, finds a response in Divan poetry and poets frequently mention the place and duties of women in their poems. It is an undeniable fact that the real female figure depicted in the poems by Divan poets is mostly negative, unlike the imaginary lover-belle figure who is glorified and almost deified. Lâmiî Çelebi is one of the poets whose thoughts about women are the most negative and who does not hesitate to express these thoughts in his poems. He repeatedly criticized women both in his masnavis and in his Divan, and even used insulting expressions about women. It is not known what caused Lâmiî Çelebi's misogyny and hatred. However, when his poems are examined in detail, we can clearly see the place women should have in society through Lâmiî Çelebi's eyes. In this study, the poems, stanzas and couplets in Lâmiî Çelebi's Divan, which contain anti-woman discourse, were brought together and subjected to an in-depth analysis, and thus, Lâmiî Çelebi's understanding of women was tried to be revealed.</w:t>
      </w:r>
    </w:p>
    <w:p w14:paraId="2DAEF8FD" w14:textId="77777777" w:rsidR="00BA67A6" w:rsidRPr="002906A3" w:rsidRDefault="00BA67A6" w:rsidP="00BA67A6">
      <w:pPr>
        <w:jc w:val="both"/>
        <w:rPr>
          <w:bCs/>
          <w:noProof/>
        </w:rPr>
      </w:pPr>
    </w:p>
    <w:p w14:paraId="70CD85FF" w14:textId="72E8EF47" w:rsidR="001E7189" w:rsidRPr="002906A3" w:rsidRDefault="000C6508" w:rsidP="00BA67A6">
      <w:pPr>
        <w:jc w:val="both"/>
        <w:rPr>
          <w:bCs/>
          <w:noProof/>
        </w:rPr>
      </w:pPr>
      <w:r>
        <w:rPr>
          <w:b/>
          <w:bCs/>
          <w:noProof/>
        </w:rPr>
        <w:t>Keywords</w:t>
      </w:r>
      <w:r w:rsidR="001E7189" w:rsidRPr="002906A3">
        <w:rPr>
          <w:b/>
          <w:bCs/>
          <w:noProof/>
        </w:rPr>
        <w:t xml:space="preserve">: </w:t>
      </w:r>
      <w:r w:rsidR="001E7189" w:rsidRPr="002906A3">
        <w:rPr>
          <w:bCs/>
          <w:noProof/>
        </w:rPr>
        <w:t>Lâmiî Çelebi, Sexism, Women in Divan Poetry, Anti-Woman Discourse.</w:t>
      </w:r>
    </w:p>
    <w:p w14:paraId="179A8BBD" w14:textId="0BE5669B" w:rsidR="001E7189" w:rsidRDefault="001E7189" w:rsidP="00BA67A6">
      <w:pPr>
        <w:rPr>
          <w:bCs/>
          <w:noProof/>
        </w:rPr>
      </w:pPr>
    </w:p>
    <w:p w14:paraId="1A413AA6" w14:textId="77777777" w:rsidR="001E7189" w:rsidRPr="002906A3" w:rsidRDefault="001E7189" w:rsidP="00BA67A6">
      <w:pPr>
        <w:rPr>
          <w:bCs/>
          <w:noProof/>
        </w:rPr>
      </w:pPr>
    </w:p>
    <w:p w14:paraId="1EEF8E21" w14:textId="77777777" w:rsidR="001E7189" w:rsidRPr="002906A3" w:rsidRDefault="001E7189" w:rsidP="00BA67A6">
      <w:pPr>
        <w:jc w:val="both"/>
        <w:rPr>
          <w:b/>
          <w:noProof/>
        </w:rPr>
      </w:pPr>
      <w:r w:rsidRPr="002906A3">
        <w:rPr>
          <w:b/>
          <w:noProof/>
        </w:rPr>
        <w:t>Giriş</w:t>
      </w:r>
    </w:p>
    <w:p w14:paraId="672C51DE" w14:textId="77777777" w:rsidR="001E7189" w:rsidRDefault="001E7189" w:rsidP="00BA67A6">
      <w:pPr>
        <w:jc w:val="both"/>
        <w:rPr>
          <w:bCs/>
          <w:noProof/>
        </w:rPr>
      </w:pPr>
      <w:r w:rsidRPr="002906A3">
        <w:rPr>
          <w:bCs/>
          <w:noProof/>
        </w:rPr>
        <w:t xml:space="preserve">Osmanlı toplum hayatında kadının yeri gerek anne olması bakımından gerekse de ahlak kavramının sadece kadın üzerinden tanımlanmış olmasından dolayı her zaman geri planda olmuştur. Osmanlı’nın ahlak anlayışı kadının her zaman için çok katı kurallar doğrultusunda denetlenmesine sebep olmuştur. Biyolojik ve sosyolojik açıdan “üretici” olarak görülen kadın, annelik görevi sebebiyle de soyların devam etmesinin ve kültürel kodların nesilden nesle aktarılmasının vasıtası olarak görülmüştür. Özellikle İslamiyet’in ve şeriat kurallarının zamanla farklı yorumlanmaya başlaması sebebiyle kadının Osmanlı toplum hayatındaki yeri gittikçe </w:t>
      </w:r>
      <w:r w:rsidRPr="002906A3">
        <w:rPr>
          <w:bCs/>
          <w:noProof/>
        </w:rPr>
        <w:lastRenderedPageBreak/>
        <w:t xml:space="preserve">daha da geri plana atılmış ve bu konu günümüze kadar tabiri caizse kangren bir konu olarak süregelmiştir. Hukuk gibi kadın ve erkeğin neredeyse eşit sayıldığı istisnai alanların varlığı kabul edilse de kadınların gerek eğitim alanında gerek ticarette gerek sosyal hayat içerisinde ikinci plana atılmaları Osmanlı’nın ataerkil yapıda bir toplum olmasının sonucudur. Bu nedenle Osmanlı’da erkeklerin kadınlar hakkındaki fikirleri çoğunlukla negatif yöndeyken Divan şiirinin ve şairlerinin de bu “fikir hareketinden” uzak kalması pek mümkün değildir. Nitekim Divan edebiyatında hayalî olan ve şairler tarafından neredeyse tapınılacak kadar göklere çıkarılan sevgili tiplemesine yazılan yüzbinlerce şiirin dışında toplumdaki gerçek kadınlara hakaret eden, onları aşağılayan, yerden yere vuran çok fazla şiirle de karşılaşmaktayız. Bu tarz kadın karşıtı söylem içeren şiirler, Divan şairleri tarafından bazen şiir geleneğine ayak uydurmak için, bazen de müstakil bir olay neticesinde yazılmıştır. Ancak bazen de şairlerin gerçek düşüncelerinden kaynaklı yazılmışlıkları da vardır. Kendi sosyal hayatında kadınlar tarafından sevilmeyen, tercih edilmeyen, reddedilen, çirkin bulunduğu için aşkına karşılık verilmeyen şairlerin, şiirlerinde kadına nefret kustukları görülebilmektedir. Aynı şekilde cinsel tercihleri farklı olduğu için kadınları aşağılamayı tercih eden Divan şairleri de vardır. Hatta evlendiği kadın yüzünden çok sıkıntı çeken ve bu sebeple kadın nefretiyle dolu olan şairler de olabilir. Görüldüğü üzere erkek şairlerin kadınlara karşı nefret dolu olmalarının ve şiirleri vasıtasıyla her fırsatta onları aşağılamaya çalışmalarının sebepleri muhteliftir. Ancak bu şairlerin arasında bir isim vardır ki mesnevilerinde ve </w:t>
      </w:r>
      <w:r w:rsidRPr="002906A3">
        <w:rPr>
          <w:bCs/>
          <w:i/>
          <w:iCs/>
          <w:noProof/>
        </w:rPr>
        <w:t>Divan</w:t>
      </w:r>
      <w:r w:rsidRPr="002906A3">
        <w:rPr>
          <w:bCs/>
          <w:noProof/>
        </w:rPr>
        <w:t>’ında kadına hakaret etmekten ve onları aşağılamaktan kendini alamaz. Kadın nefretinin sebebi tam olarak bilinmese de Lâmiî Çelebi, neredeyse her eserinde kadınlara ve genç kızlara karşı hakaret, aşağılama, yerme, hakir görme, küfür, cinsel ima ifadeleri içeren beyitler kaleme almıştır. Çoğu zaman iftiraya, mantıksız genellemelere ve cinsel sapkınlıklara dayanan bu beyitler sebebiyle Lâmiî Çelebi için kadın karşıtı söylemi adeta bir üslup haline getirmiş bir şairdir diyebiliriz.</w:t>
      </w:r>
    </w:p>
    <w:p w14:paraId="179816D9" w14:textId="77777777" w:rsidR="00BA67A6" w:rsidRPr="002906A3" w:rsidRDefault="00BA67A6" w:rsidP="00BA67A6">
      <w:pPr>
        <w:jc w:val="both"/>
        <w:rPr>
          <w:bCs/>
          <w:noProof/>
        </w:rPr>
      </w:pPr>
    </w:p>
    <w:p w14:paraId="2A4D8F3C" w14:textId="77777777" w:rsidR="001E7189" w:rsidRDefault="001E7189" w:rsidP="00BA67A6">
      <w:pPr>
        <w:jc w:val="both"/>
        <w:rPr>
          <w:bCs/>
          <w:noProof/>
        </w:rPr>
      </w:pPr>
      <w:r w:rsidRPr="002906A3">
        <w:rPr>
          <w:bCs/>
          <w:noProof/>
        </w:rPr>
        <w:t xml:space="preserve">Dönemin ünlü isimlerinden biri olan Lâmiî Çelebi hem mesnevilerinde hem de Divanı’nda kadınlara hakaret eden ve cinsel imalarda bulunan şiirlere yer vermekten çekinmemiştir. Üstelik bu hakaret ve cinsel içerikli şiirler kıyıda köşede kalmış şiirler değil özellikle başlıklandırılmış ve başlıklarından bile şairin fikrinin ne olduğunun anlaşılabildiği şiirlerdir. </w:t>
      </w:r>
      <w:r w:rsidRPr="002906A3">
        <w:rPr>
          <w:bCs/>
          <w:i/>
          <w:iCs/>
          <w:noProof/>
        </w:rPr>
        <w:t xml:space="preserve">Der-Mezemmet-i Zenân, Der-Mezemmet-i Kahbe-gân, Der-Şive-i Duhterân, Der-Mezemmet-i Hîzân </w:t>
      </w:r>
      <w:r w:rsidRPr="002906A3">
        <w:rPr>
          <w:bCs/>
          <w:noProof/>
        </w:rPr>
        <w:t>gibi başlıkları olan bu şiirlerde bahsedilen konular ve tercih edilen kelimeler, Lâmiî Çelebi’nin kadınlar hakkındaki fikirlerinin ne derece çarpık, bozuk ve mesnetsiz genellemelerden ibaret olduğunun bir göstergesidir.</w:t>
      </w:r>
    </w:p>
    <w:p w14:paraId="5B8610EB" w14:textId="77777777" w:rsidR="00BA67A6" w:rsidRPr="002906A3" w:rsidRDefault="00BA67A6" w:rsidP="00BA67A6">
      <w:pPr>
        <w:jc w:val="both"/>
        <w:rPr>
          <w:b/>
          <w:noProof/>
        </w:rPr>
      </w:pPr>
    </w:p>
    <w:p w14:paraId="7C7CC59D" w14:textId="77777777" w:rsidR="001E7189" w:rsidRDefault="001E7189" w:rsidP="00BA67A6">
      <w:pPr>
        <w:jc w:val="both"/>
        <w:rPr>
          <w:bCs/>
          <w:noProof/>
        </w:rPr>
      </w:pPr>
      <w:r w:rsidRPr="002906A3">
        <w:rPr>
          <w:bCs/>
          <w:noProof/>
        </w:rPr>
        <w:t xml:space="preserve">Kaynaklarda tam adı Mahmûd bin Osmân bin Nakkâş Alî bin İlyâs olarak geçen Lâmiî Çelebi Bursa doğumludur. Doğum tarihi tam olarak bilinmemekle birlikte </w:t>
      </w:r>
      <w:r w:rsidRPr="002906A3">
        <w:rPr>
          <w:bCs/>
          <w:i/>
          <w:iCs/>
          <w:noProof/>
        </w:rPr>
        <w:t>Divan</w:t>
      </w:r>
      <w:r w:rsidRPr="002906A3">
        <w:rPr>
          <w:bCs/>
          <w:noProof/>
        </w:rPr>
        <w:t xml:space="preserve">, </w:t>
      </w:r>
      <w:r w:rsidRPr="002906A3">
        <w:rPr>
          <w:bCs/>
          <w:i/>
          <w:iCs/>
          <w:noProof/>
        </w:rPr>
        <w:t>Münşeât-ı Lâmiî</w:t>
      </w:r>
      <w:r w:rsidRPr="002906A3">
        <w:rPr>
          <w:bCs/>
          <w:noProof/>
        </w:rPr>
        <w:t xml:space="preserve"> ve </w:t>
      </w:r>
      <w:r w:rsidRPr="002906A3">
        <w:rPr>
          <w:bCs/>
          <w:i/>
          <w:iCs/>
          <w:noProof/>
        </w:rPr>
        <w:t>Şerefü’l-İnsân</w:t>
      </w:r>
      <w:r w:rsidRPr="002906A3">
        <w:rPr>
          <w:bCs/>
          <w:noProof/>
        </w:rPr>
        <w:t xml:space="preserve"> adlı eserlerinden devşirilen bilgilerle tahminen h. 878/m. 1472-73 olarak kabul edilmiştir. Bütün hayatının Bursa’da geçtiği ve çok iyi bir medrese eğitimi aldığı bilinmektedir. Muradiye Medresesi’nin iki tanınmış müderrisi Mollâ Ahaveyn ve Mollâ Mehmed bin el-Hâc Hasanzâde’den ders alan Lâmiî, İslâmî ilimleri öğrendikten sonra Nakşî şeyhlerinden Emîr Ahmed Buhârî Hazretleri’ne intisap ederek Nakşibendî tarikatına girmiştir. Bu tarikatı tercih etmesinin en büyük sebebi ünlü İran mutasavvıfı Câmî’nin ve Çağatay Türkçesinin kurucusu sayılan Alî Şîr Nevâyî’nin de Nakşibendî olmasıdır. Köklü bir aileden gelmesine ve aldığı eğitimin kalitesine rağmen 37 yaşına kadar herhangi bir eser kaleme almamıştır. 37 yaşından vefatına kadarki süreçte ise Arapça ve Farsça’yı çok iyi bilmesinin de etkisiyle yoğun bir şekilde telif ve tercüme faaliyetleriyle uğraşmıştır. İstanbul’a hiç gitmediği halde şöhreti hem edebiyat hem de tasavvuf muhitlerine kadar yayılmış; Yavuz Sultan Selim’e takdim ettiği </w:t>
      </w:r>
      <w:r w:rsidRPr="002906A3">
        <w:rPr>
          <w:bCs/>
          <w:i/>
          <w:iCs/>
          <w:noProof/>
        </w:rPr>
        <w:t xml:space="preserve">Hüsn </w:t>
      </w:r>
      <w:r w:rsidRPr="002906A3">
        <w:rPr>
          <w:bCs/>
          <w:i/>
          <w:iCs/>
          <w:noProof/>
        </w:rPr>
        <w:lastRenderedPageBreak/>
        <w:t>ü Dil</w:t>
      </w:r>
      <w:r w:rsidRPr="002906A3">
        <w:rPr>
          <w:b/>
          <w:noProof/>
        </w:rPr>
        <w:t xml:space="preserve"> </w:t>
      </w:r>
      <w:r w:rsidRPr="002906A3">
        <w:rPr>
          <w:bCs/>
          <w:noProof/>
        </w:rPr>
        <w:t>eseri sayesinde sultanın lütfuna mazhar olmuş ancak buna rağmen aldığı maaşı sadece eser telif etmeye adamış; devlet kademesinde hiç görev almamıştır. Âşık Çelebi hariç neredeyse bütün kaynaklar vefatı konusunda ortak bir tarih vermektedir. Âşık Çelebi’ye göre h. 940/m. 1533 yılında Bursa’da vefat etmiştir. Diğer kaynaklar ve Lâmiî Çelebi’nin vefatı için tarih beyti yazan şairlere göre ölüm tarihi h. 938/m. 1532’dir. Mezar taşındaki “el-merhûm Şeyh Lâmiî b. Osman” ibaresinden vefat ettiği tarihlerde bir tekkede şeyhlik yaptığı anlaşılmaktadır (Belenkuyu, 2018: 9-13; Burmaoğlu, 2023: 14-17; Kut, 2003: 96-97; Kut, 2015).</w:t>
      </w:r>
    </w:p>
    <w:p w14:paraId="66290F02" w14:textId="77777777" w:rsidR="00BA67A6" w:rsidRPr="002906A3" w:rsidRDefault="00BA67A6" w:rsidP="00BA67A6">
      <w:pPr>
        <w:jc w:val="both"/>
        <w:rPr>
          <w:bCs/>
          <w:noProof/>
        </w:rPr>
      </w:pPr>
    </w:p>
    <w:p w14:paraId="59B6098D" w14:textId="77777777" w:rsidR="001E7189" w:rsidRDefault="001E7189" w:rsidP="00BA67A6">
      <w:pPr>
        <w:jc w:val="both"/>
        <w:rPr>
          <w:bCs/>
          <w:noProof/>
        </w:rPr>
      </w:pPr>
      <w:r w:rsidRPr="002906A3">
        <w:rPr>
          <w:bCs/>
          <w:noProof/>
        </w:rPr>
        <w:t>Lâmiî Çelebi, Divan edebiyatının en çok eser veren şairlerinden biridir. Nazım, nesir ve nazım-nesir karışık olarak 46 tane telif ve tercüme eserin müellifidir</w:t>
      </w:r>
      <w:r w:rsidRPr="002906A3">
        <w:rPr>
          <w:rStyle w:val="DipnotBavurusu"/>
          <w:bCs/>
          <w:noProof/>
        </w:rPr>
        <w:footnoteReference w:id="23"/>
      </w:r>
      <w:r w:rsidRPr="002906A3">
        <w:rPr>
          <w:bCs/>
          <w:noProof/>
        </w:rPr>
        <w:t xml:space="preserve"> (Ayan, 1994: 46). Özellikle mesnevi alanındaki kudreti tartışmaya kapalı olacak kadar büyüktür. Türkçe’de örneği bulunmayan birçok mesneviyi tercüme faaliyetleri sayesinde edebiyatımıza kazandıran Lâmiî Çelebi, sanat gösterme çabası içinde olmadan kendi kendine oluşturduğu nazım ve nesir dili sayesinde şöhretini hızlı bir şekilde arttırmıştır (Kut, 2003: 96). Nakşibendî tarikatına intisabı dolayısıyla eserlerinde yoğun bir şekilde kullandığı tasavvuf düşüncesinin etkisiyle dinî-tasavvufî içerikli didaktik eserler vermeye özen göstermiştir. Çok iyi bildiği Farsça sayesinde kendisi gibi Nakşibendî olan Molla Câmî’den çokça tercüme yapmıştır. Bu sebeple de Türk edebiyatında “Câmî-i Rûm” lakabını almıştır.</w:t>
      </w:r>
    </w:p>
    <w:p w14:paraId="1D9D3628" w14:textId="77777777" w:rsidR="00BA67A6" w:rsidRPr="002906A3" w:rsidRDefault="00BA67A6" w:rsidP="00BA67A6">
      <w:pPr>
        <w:jc w:val="both"/>
        <w:rPr>
          <w:bCs/>
          <w:noProof/>
        </w:rPr>
      </w:pPr>
    </w:p>
    <w:p w14:paraId="37994741" w14:textId="77777777" w:rsidR="001E7189" w:rsidRDefault="001E7189" w:rsidP="00BA67A6">
      <w:pPr>
        <w:jc w:val="both"/>
        <w:rPr>
          <w:bCs/>
          <w:noProof/>
        </w:rPr>
      </w:pPr>
      <w:r w:rsidRPr="002906A3">
        <w:rPr>
          <w:bCs/>
          <w:noProof/>
        </w:rPr>
        <w:t xml:space="preserve">Lâmiî Çelebi, Divan edebiyatının kadına olumsuz bakışını örneklendirmek için adı sık sık anılan yazarlarından biri, belki de en başta gelenidir (Tezcan, 2016: 216). Şairin hayatı incelendiği zaman kadınlara karşı oluşturduğu bu fikir ve söylemlerin neyden kaynaklandığı da pek açık değildir. Dinî-tasavvufî içerikli didaktik eserler verme çabasının bir sonucu olarak Lâmiî’de nasihat üslubu ağır bastığı için eserlerinde ibret olabilecek olaylar hazırlayıp bunlar üzerinden ders vermeyi amaçlamış olabilir. Eserlerinin pek çok yerinde atasözü ve deyimler ile Türkçenin imkânlarını kullanarak söylediği veciz sözleri kullanan, yeri geldikçe padişaha karşı öğütler vermekten bile sakınmayan, gerektiğinde muhatap aldığı kişiyi hicveden Lâmiî’nin kadınlara karşı söyledikleri de bu çerçevede değerlendirilebilir. Zira Lâmiî, kadınları tamamen yerip yok sayan biri değildir (Yiğit, 2018: 221). Mesela Câmî’den yaptığı </w:t>
      </w:r>
      <w:r w:rsidRPr="002906A3">
        <w:rPr>
          <w:bCs/>
          <w:i/>
          <w:iCs/>
          <w:noProof/>
        </w:rPr>
        <w:t>Nefahâtü’l-Üns</w:t>
      </w:r>
      <w:r w:rsidRPr="002906A3">
        <w:rPr>
          <w:bCs/>
          <w:noProof/>
        </w:rPr>
        <w:t xml:space="preserve"> tercümesinde Anadolu velilerinin ardından “er sufilerin mertebelerine ulaşan arife kadınlar hakkında” başlığı altında 34 kadın hakkında bilgi vermiştir (Uludağ &amp; Kara, 2011). Hatta Latîfî’ye göre Lâmiî’nin cariyeler/kadınlar hakkında söylediği şiirler, şiirleri arasında en güzellerindendir (Canım, 2000: 479). Ancak tüm bunlara rağmen Lâmiî Çelebi’nin </w:t>
      </w:r>
      <w:r w:rsidRPr="002906A3">
        <w:rPr>
          <w:bCs/>
          <w:i/>
          <w:iCs/>
          <w:noProof/>
        </w:rPr>
        <w:t>Divan</w:t>
      </w:r>
      <w:r w:rsidRPr="002906A3">
        <w:rPr>
          <w:bCs/>
          <w:noProof/>
        </w:rPr>
        <w:t>’ının sonunda yer alan bazı mezemmetler bize bambaşka bir hikâye anlatmaktadır.</w:t>
      </w:r>
    </w:p>
    <w:p w14:paraId="53322728" w14:textId="77777777" w:rsidR="00BA67A6" w:rsidRPr="00BA67A6" w:rsidRDefault="00BA67A6" w:rsidP="00BA67A6">
      <w:pPr>
        <w:jc w:val="both"/>
        <w:rPr>
          <w:b/>
          <w:bCs/>
          <w:noProof/>
          <w:color w:val="000000" w:themeColor="text1"/>
        </w:rPr>
      </w:pPr>
    </w:p>
    <w:p w14:paraId="0E4F6B13" w14:textId="77777777" w:rsidR="001E7189" w:rsidRPr="00BA67A6" w:rsidRDefault="001E7189" w:rsidP="00BA67A6">
      <w:pPr>
        <w:pStyle w:val="Balk2"/>
        <w:spacing w:before="0" w:after="0"/>
        <w:rPr>
          <w:rFonts w:ascii="Times New Roman" w:hAnsi="Times New Roman" w:cs="Times New Roman"/>
          <w:b/>
          <w:bCs/>
          <w:noProof/>
          <w:color w:val="000000" w:themeColor="text1"/>
          <w:sz w:val="24"/>
          <w:szCs w:val="24"/>
        </w:rPr>
      </w:pPr>
      <w:r w:rsidRPr="00BA67A6">
        <w:rPr>
          <w:rFonts w:ascii="Times New Roman" w:hAnsi="Times New Roman" w:cs="Times New Roman"/>
          <w:b/>
          <w:bCs/>
          <w:i/>
          <w:noProof/>
          <w:color w:val="000000" w:themeColor="text1"/>
          <w:sz w:val="24"/>
          <w:szCs w:val="24"/>
        </w:rPr>
        <w:t>Lâmiî Divanı</w:t>
      </w:r>
      <w:r w:rsidRPr="00BA67A6">
        <w:rPr>
          <w:rFonts w:ascii="Times New Roman" w:hAnsi="Times New Roman" w:cs="Times New Roman"/>
          <w:b/>
          <w:bCs/>
          <w:noProof/>
          <w:color w:val="000000" w:themeColor="text1"/>
          <w:sz w:val="24"/>
          <w:szCs w:val="24"/>
        </w:rPr>
        <w:t>’nda Yer Alan Kadın Söylemleri</w:t>
      </w:r>
    </w:p>
    <w:p w14:paraId="17CB5EF1" w14:textId="77777777" w:rsidR="001E7189" w:rsidRPr="002906A3" w:rsidRDefault="001E7189" w:rsidP="00BA67A6">
      <w:pPr>
        <w:jc w:val="both"/>
        <w:rPr>
          <w:noProof/>
        </w:rPr>
      </w:pPr>
      <w:r w:rsidRPr="002906A3">
        <w:rPr>
          <w:noProof/>
        </w:rPr>
        <w:t xml:space="preserve">Lâmiî Çelebi, </w:t>
      </w:r>
      <w:r w:rsidRPr="002906A3">
        <w:rPr>
          <w:i/>
          <w:noProof/>
        </w:rPr>
        <w:t>Divan</w:t>
      </w:r>
      <w:r w:rsidRPr="002906A3">
        <w:rPr>
          <w:noProof/>
        </w:rPr>
        <w:t xml:space="preserve">’ının son kısmında birçok konuda eleştiriler içeren manzumelere yer vermiştir. </w:t>
      </w:r>
      <w:r w:rsidRPr="002906A3">
        <w:rPr>
          <w:i/>
          <w:noProof/>
        </w:rPr>
        <w:t>Divan</w:t>
      </w:r>
      <w:r w:rsidRPr="002906A3">
        <w:rPr>
          <w:noProof/>
        </w:rPr>
        <w:t xml:space="preserve">’ının “Defter-i Râbi‘ fi’l-Müteferrikât” başlıklı son bölümünde yirmi biri kıta, üçü nazım ve altısı mesnevi nazım şeklinde oluşturulmuş toplam otuz hiciv manzumesi bulunmaktadır (Burmaoğlu’ndan akt. Aytaç, 2011: 76). Bu manzumeler </w:t>
      </w:r>
      <w:r w:rsidRPr="002906A3">
        <w:rPr>
          <w:i/>
          <w:noProof/>
        </w:rPr>
        <w:t>fi-arzi’l-şikâye, hecv-i melîh, der-mezemmet-i ba‘z-ı hâce-gân, şikâyet, der-ihsân-ı hûbân, der-mezemmet-i hisset, der-</w:t>
      </w:r>
      <w:r w:rsidRPr="002906A3">
        <w:rPr>
          <w:i/>
          <w:noProof/>
        </w:rPr>
        <w:lastRenderedPageBreak/>
        <w:t>ta‘arruz-ı hâsid, latîfe, der-ta‘rîz-i bîni büzürg, der-mezemmet- i hûy u hâ-yı ehl-i yâr, der zu‘m-ı vâ‘izân-ı zamâne, der-mezemmet-i cehl ü taklîd, der-mezemmet-i dûnân, der-kadh-i hırs-ı pîrân, der-mezemmet-i zenân, der-mezemmet-i kahbe-gân, der-mezemmet-i selita-gân, der-hâlet-i zenân, der-şîve-i duhterân, der-mezemmet-i mugelmân, der-mezemmet-i hîzân, der-mezemmet-i herze-gûyân, der-mezemmet-i beng, der-mezemmet-i boza, der-mezemmet-i ser-hoşân, der-mezemmet-i derziyân</w:t>
      </w:r>
      <w:r w:rsidRPr="002906A3">
        <w:rPr>
          <w:noProof/>
        </w:rPr>
        <w:t xml:space="preserve"> başlıklarını taşımaktadır. Başlıklardan da anlaşılacağı üzere Lâmiî bu manzumelerde vaizleri, hocaları, kadınları, ibneleri, kıskanç ve alçak kimseleri, boş söz söyleyen şairleri, ayyaşları, terzileri, keyif verici maddeleri hicvetmektedir. Bu hiciv manzumeleri arasında sadece kadınların ve genç kızların eleştirisi </w:t>
      </w:r>
      <w:r w:rsidRPr="002906A3">
        <w:rPr>
          <w:i/>
          <w:noProof/>
        </w:rPr>
        <w:t xml:space="preserve">der-mezemmet-i zenân, der-mezemmet-i kahbe-gân, der-mezemmet-i selita-gân, der-hâlet-i zenân, der-şîve-i duhterân </w:t>
      </w:r>
      <w:r w:rsidRPr="002906A3">
        <w:rPr>
          <w:noProof/>
        </w:rPr>
        <w:t xml:space="preserve">başlıklı altı şiirde yapılmaktadır. Bunların dışında </w:t>
      </w:r>
      <w:r w:rsidRPr="002906A3">
        <w:rPr>
          <w:i/>
          <w:noProof/>
        </w:rPr>
        <w:t xml:space="preserve">der-mezemmet-i hîzân </w:t>
      </w:r>
      <w:r w:rsidRPr="002906A3">
        <w:rPr>
          <w:noProof/>
        </w:rPr>
        <w:t>başlığını taşıyan ve aslında ibnelerin eleştirisinin yapıldığı manzumede ibnelerin eleştirisi kadınlar üzerinden yapıldığı için bahsi geçen manzume de bu çalışmaya dâhil edilmiştir.</w:t>
      </w:r>
    </w:p>
    <w:p w14:paraId="70060F60" w14:textId="77777777" w:rsidR="001E7189" w:rsidRPr="002906A3" w:rsidRDefault="001E7189" w:rsidP="00BA67A6">
      <w:pPr>
        <w:jc w:val="both"/>
        <w:rPr>
          <w:b/>
          <w:noProof/>
        </w:rPr>
      </w:pPr>
    </w:p>
    <w:p w14:paraId="07F3FE86" w14:textId="77777777" w:rsidR="00280CB2" w:rsidRDefault="00280CB2" w:rsidP="00BA67A6">
      <w:pPr>
        <w:pStyle w:val="Balk1"/>
        <w:spacing w:before="0" w:after="0"/>
        <w:jc w:val="left"/>
        <w:rPr>
          <w:rFonts w:cs="Times New Roman"/>
          <w:noProof/>
          <w:szCs w:val="24"/>
        </w:rPr>
        <w:sectPr w:rsidR="00280CB2" w:rsidSect="007513A1">
          <w:type w:val="continuous"/>
          <w:pgSz w:w="11906" w:h="16838"/>
          <w:pgMar w:top="1418" w:right="1418" w:bottom="1418" w:left="1418" w:header="1304" w:footer="1361" w:gutter="0"/>
          <w:cols w:space="708"/>
          <w:docGrid w:linePitch="360"/>
        </w:sectPr>
      </w:pPr>
    </w:p>
    <w:p w14:paraId="3388CF2F" w14:textId="77777777" w:rsidR="001E7189" w:rsidRPr="002906A3" w:rsidRDefault="001E7189" w:rsidP="00BA67A6">
      <w:pPr>
        <w:pStyle w:val="Balk1"/>
        <w:spacing w:before="0" w:after="0"/>
        <w:jc w:val="left"/>
        <w:rPr>
          <w:rFonts w:cs="Times New Roman"/>
          <w:noProof/>
          <w:szCs w:val="24"/>
        </w:rPr>
        <w:sectPr w:rsidR="001E7189" w:rsidRPr="002906A3" w:rsidSect="007513A1">
          <w:type w:val="continuous"/>
          <w:pgSz w:w="11906" w:h="16838"/>
          <w:pgMar w:top="1418" w:right="1418" w:bottom="1418" w:left="1418" w:header="1304" w:footer="1361" w:gutter="0"/>
          <w:cols w:space="708"/>
          <w:docGrid w:linePitch="360"/>
        </w:sectPr>
      </w:pPr>
    </w:p>
    <w:p w14:paraId="22811AEA" w14:textId="77777777" w:rsidR="001E7189" w:rsidRPr="00AF3C45" w:rsidRDefault="001E7189" w:rsidP="00BA67A6">
      <w:pPr>
        <w:rPr>
          <w:b/>
          <w:bCs/>
          <w:noProof/>
        </w:rPr>
      </w:pPr>
      <w:r w:rsidRPr="00AF3C45">
        <w:rPr>
          <w:b/>
          <w:bCs/>
          <w:noProof/>
        </w:rPr>
        <w:t>Kıta 56</w:t>
      </w:r>
    </w:p>
    <w:p w14:paraId="4DF23882" w14:textId="77777777" w:rsidR="001E7189" w:rsidRPr="002906A3" w:rsidRDefault="001E7189" w:rsidP="00BA67A6">
      <w:pPr>
        <w:rPr>
          <w:noProof/>
        </w:rPr>
      </w:pPr>
      <w:r w:rsidRPr="002906A3">
        <w:rPr>
          <w:noProof/>
        </w:rPr>
        <w:t>Der-Mezemmet-i Zenân</w:t>
      </w:r>
    </w:p>
    <w:p w14:paraId="606EA13A" w14:textId="77777777" w:rsidR="001E7189" w:rsidRPr="002906A3" w:rsidRDefault="001E7189" w:rsidP="00BA67A6">
      <w:pPr>
        <w:rPr>
          <w:noProof/>
        </w:rPr>
      </w:pPr>
      <w:r w:rsidRPr="002906A3">
        <w:rPr>
          <w:noProof/>
        </w:rPr>
        <w:t>Zenlerüñ taşlarına aldanma</w:t>
      </w:r>
    </w:p>
    <w:p w14:paraId="0F2C0B49" w14:textId="77777777" w:rsidR="001E7189" w:rsidRPr="002906A3" w:rsidRDefault="001E7189" w:rsidP="00BA67A6">
      <w:pPr>
        <w:rPr>
          <w:noProof/>
        </w:rPr>
      </w:pPr>
      <w:r w:rsidRPr="002906A3">
        <w:rPr>
          <w:noProof/>
        </w:rPr>
        <w:t>İçleri toptolu habâsetdür</w:t>
      </w:r>
    </w:p>
    <w:p w14:paraId="27B9A180" w14:textId="77777777" w:rsidR="001E7189" w:rsidRPr="002906A3" w:rsidRDefault="001E7189" w:rsidP="00BA67A6">
      <w:pPr>
        <w:rPr>
          <w:noProof/>
        </w:rPr>
      </w:pPr>
    </w:p>
    <w:p w14:paraId="177564E6" w14:textId="77777777" w:rsidR="001E7189" w:rsidRPr="002906A3" w:rsidRDefault="001E7189" w:rsidP="00BA67A6">
      <w:pPr>
        <w:rPr>
          <w:noProof/>
        </w:rPr>
      </w:pPr>
      <w:r w:rsidRPr="002906A3">
        <w:rPr>
          <w:noProof/>
        </w:rPr>
        <w:t>Mekr ü tezvîr ü fitne vü telbîs</w:t>
      </w:r>
    </w:p>
    <w:p w14:paraId="0DAC8447" w14:textId="77777777" w:rsidR="001E7189" w:rsidRPr="002906A3" w:rsidRDefault="001E7189" w:rsidP="00BA67A6">
      <w:pPr>
        <w:rPr>
          <w:noProof/>
        </w:rPr>
      </w:pPr>
      <w:r w:rsidRPr="002906A3">
        <w:rPr>
          <w:noProof/>
        </w:rPr>
        <w:t>Bunlara san‘at u virâsetdür</w:t>
      </w:r>
    </w:p>
    <w:p w14:paraId="2E5B5E87" w14:textId="77777777" w:rsidR="001E7189" w:rsidRPr="00AF3C45" w:rsidRDefault="001E7189" w:rsidP="00BA67A6">
      <w:pPr>
        <w:rPr>
          <w:b/>
          <w:bCs/>
          <w:noProof/>
        </w:rPr>
      </w:pPr>
      <w:r w:rsidRPr="00AF3C45">
        <w:rPr>
          <w:b/>
          <w:bCs/>
          <w:noProof/>
        </w:rPr>
        <w:t>Kıta 56</w:t>
      </w:r>
    </w:p>
    <w:p w14:paraId="02462681" w14:textId="77777777" w:rsidR="001E7189" w:rsidRPr="002906A3" w:rsidRDefault="001E7189" w:rsidP="00BA67A6">
      <w:pPr>
        <w:pStyle w:val="Balk3"/>
        <w:spacing w:before="0" w:after="0"/>
        <w:rPr>
          <w:rFonts w:ascii="Times New Roman" w:hAnsi="Times New Roman" w:cs="Times New Roman"/>
          <w:noProof/>
          <w:sz w:val="24"/>
          <w:szCs w:val="24"/>
        </w:rPr>
      </w:pPr>
      <w:r w:rsidRPr="002906A3">
        <w:rPr>
          <w:rFonts w:ascii="Times New Roman" w:hAnsi="Times New Roman" w:cs="Times New Roman"/>
          <w:noProof/>
          <w:sz w:val="24"/>
          <w:szCs w:val="24"/>
        </w:rPr>
        <w:t>Kadınlara Yergi</w:t>
      </w:r>
    </w:p>
    <w:p w14:paraId="583FE4F3" w14:textId="77777777" w:rsidR="001E7189" w:rsidRPr="002906A3" w:rsidRDefault="001E7189" w:rsidP="00BA67A6">
      <w:pPr>
        <w:pStyle w:val="stBilgi"/>
        <w:rPr>
          <w:noProof/>
        </w:rPr>
      </w:pPr>
      <w:r w:rsidRPr="002906A3">
        <w:rPr>
          <w:noProof/>
        </w:rPr>
        <w:t>Kadınların dış görünüşüne, süslerine aldanma</w:t>
      </w:r>
    </w:p>
    <w:p w14:paraId="263F2010" w14:textId="77777777" w:rsidR="001E7189" w:rsidRPr="002906A3" w:rsidRDefault="001E7189" w:rsidP="00BA67A6">
      <w:pPr>
        <w:rPr>
          <w:noProof/>
        </w:rPr>
      </w:pPr>
      <w:r w:rsidRPr="002906A3">
        <w:rPr>
          <w:noProof/>
        </w:rPr>
        <w:t>Onların içleri kötülük doludur</w:t>
      </w:r>
    </w:p>
    <w:p w14:paraId="5EBDD1DD" w14:textId="77777777" w:rsidR="001E7189" w:rsidRPr="002906A3" w:rsidRDefault="001E7189" w:rsidP="00BA67A6">
      <w:pPr>
        <w:rPr>
          <w:noProof/>
        </w:rPr>
      </w:pPr>
    </w:p>
    <w:p w14:paraId="3328F323" w14:textId="77777777" w:rsidR="001E7189" w:rsidRPr="002906A3" w:rsidRDefault="001E7189" w:rsidP="00BA67A6">
      <w:pPr>
        <w:rPr>
          <w:noProof/>
        </w:rPr>
      </w:pPr>
      <w:r w:rsidRPr="002906A3">
        <w:rPr>
          <w:noProof/>
        </w:rPr>
        <w:t>Aldatma, yalan, dolan, fitne, hile</w:t>
      </w:r>
    </w:p>
    <w:p w14:paraId="4504561D" w14:textId="77777777" w:rsidR="001E7189" w:rsidRPr="002906A3" w:rsidRDefault="001E7189" w:rsidP="00BA67A6">
      <w:pPr>
        <w:rPr>
          <w:noProof/>
        </w:rPr>
      </w:pPr>
      <w:r w:rsidRPr="002906A3">
        <w:rPr>
          <w:noProof/>
        </w:rPr>
        <w:t>Bunlar kadınlara miras kalan ustalıklardır</w:t>
      </w:r>
    </w:p>
    <w:p w14:paraId="52686C8D"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616"/>
          <w:docGrid w:linePitch="360"/>
        </w:sectPr>
      </w:pPr>
    </w:p>
    <w:p w14:paraId="0B194B25" w14:textId="77777777" w:rsidR="001E7189" w:rsidRPr="002906A3" w:rsidRDefault="001E7189" w:rsidP="00BA67A6">
      <w:pPr>
        <w:jc w:val="both"/>
        <w:rPr>
          <w:noProof/>
        </w:rPr>
      </w:pPr>
    </w:p>
    <w:p w14:paraId="64648FD3" w14:textId="77777777" w:rsidR="001E7189" w:rsidRPr="002906A3" w:rsidRDefault="001E7189" w:rsidP="00BA67A6">
      <w:pPr>
        <w:jc w:val="both"/>
        <w:rPr>
          <w:noProof/>
        </w:rPr>
      </w:pPr>
      <w:r w:rsidRPr="002906A3">
        <w:rPr>
          <w:noProof/>
        </w:rPr>
        <w:t>Lâmiî Çelebi bu manzumesine doğrudan “kadınlara yergi” başlığını koyarak tavrını en başından belli etmiştir. Şiir içerisinde kadınların içlerinin ve dışlarının aynı olmadığından, tutarsız olduklarından, yalancı olduklarından, kötü niyetli olduklarından, ikiyüzlü olduklarından, velhasılı her türlü kötü huya sahip olduklarından bahsedilmektedir. Hatta öyle ki Lâmiî Çelebi bu saydığı kötü huyların hepsinin kadınlara kalıtsal yollarla miras kaldığını, yani bu kötülüklerin aslen soydan geldiğini ve kadınlar tarafından bu aldatma, yalan ve kandırma huylarının birer sanat gibi özenle işlendiğini iddia etmektedir. Erkeklere de kadınların dış güzelliklerine aldanmayıp onların içlerinin ne kadar kötü olduğunu hatırlamalarını tavsiye etmektedir. Bu şiirde erkekleri mağdur ve kurban yerine koyan Lâmiî, kadınları da çok geniş bir genelleme içerisinde kötülüklerin kaynağı olarak lanse etmiştir.</w:t>
      </w:r>
    </w:p>
    <w:p w14:paraId="00EE7323" w14:textId="77777777" w:rsidR="001E7189" w:rsidRPr="002906A3" w:rsidRDefault="001E7189" w:rsidP="00BA67A6">
      <w:pPr>
        <w:jc w:val="both"/>
        <w:rPr>
          <w:noProof/>
        </w:rPr>
      </w:pPr>
    </w:p>
    <w:p w14:paraId="56C3C541" w14:textId="77777777" w:rsidR="001E7189" w:rsidRPr="002906A3" w:rsidRDefault="001E7189" w:rsidP="00BA67A6">
      <w:pPr>
        <w:jc w:val="both"/>
        <w:rPr>
          <w:b/>
          <w:noProof/>
        </w:rPr>
        <w:sectPr w:rsidR="001E7189" w:rsidRPr="002906A3" w:rsidSect="007513A1">
          <w:type w:val="continuous"/>
          <w:pgSz w:w="11906" w:h="16838"/>
          <w:pgMar w:top="1418" w:right="1418" w:bottom="1418" w:left="1418" w:header="1304" w:footer="1361" w:gutter="0"/>
          <w:cols w:space="708"/>
          <w:docGrid w:linePitch="360"/>
        </w:sectPr>
      </w:pPr>
    </w:p>
    <w:p w14:paraId="2F7329A7" w14:textId="77777777" w:rsidR="001E7189" w:rsidRPr="00AF3C45" w:rsidRDefault="001E7189" w:rsidP="00BA67A6">
      <w:pPr>
        <w:rPr>
          <w:b/>
          <w:bCs/>
          <w:noProof/>
        </w:rPr>
      </w:pPr>
      <w:r w:rsidRPr="00AF3C45">
        <w:rPr>
          <w:b/>
          <w:bCs/>
          <w:noProof/>
        </w:rPr>
        <w:t>Kıta 57</w:t>
      </w:r>
    </w:p>
    <w:p w14:paraId="7011C534" w14:textId="77777777" w:rsidR="001E7189" w:rsidRPr="00AF3C45" w:rsidRDefault="001E7189" w:rsidP="00BA67A6">
      <w:pPr>
        <w:rPr>
          <w:b/>
          <w:bCs/>
          <w:noProof/>
        </w:rPr>
      </w:pPr>
      <w:r w:rsidRPr="00AF3C45">
        <w:rPr>
          <w:b/>
          <w:bCs/>
          <w:noProof/>
        </w:rPr>
        <w:t>Der-Mezemmet-i Kahbe-gân</w:t>
      </w:r>
    </w:p>
    <w:p w14:paraId="74C75E6A" w14:textId="77777777" w:rsidR="001E7189" w:rsidRPr="002906A3" w:rsidRDefault="001E7189" w:rsidP="00BA67A6">
      <w:pPr>
        <w:jc w:val="both"/>
        <w:rPr>
          <w:noProof/>
        </w:rPr>
      </w:pPr>
      <w:r w:rsidRPr="002906A3">
        <w:rPr>
          <w:noProof/>
        </w:rPr>
        <w:t>Merd iseñ evde kahbeyi tutma</w:t>
      </w:r>
    </w:p>
    <w:p w14:paraId="1F7DF262" w14:textId="77777777" w:rsidR="001E7189" w:rsidRPr="002906A3" w:rsidRDefault="001E7189" w:rsidP="00BA67A6">
      <w:pPr>
        <w:jc w:val="both"/>
        <w:rPr>
          <w:noProof/>
        </w:rPr>
      </w:pPr>
      <w:r w:rsidRPr="002906A3">
        <w:rPr>
          <w:noProof/>
        </w:rPr>
        <w:t>Ger boyınca batarsa altuna</w:t>
      </w:r>
    </w:p>
    <w:p w14:paraId="3DC86667" w14:textId="77777777" w:rsidR="001E7189" w:rsidRPr="002906A3" w:rsidRDefault="001E7189" w:rsidP="00BA67A6">
      <w:pPr>
        <w:jc w:val="both"/>
        <w:rPr>
          <w:noProof/>
        </w:rPr>
      </w:pPr>
    </w:p>
    <w:p w14:paraId="4C0D5E3A" w14:textId="77777777" w:rsidR="001E7189" w:rsidRPr="002906A3" w:rsidRDefault="001E7189" w:rsidP="00BA67A6">
      <w:pPr>
        <w:jc w:val="both"/>
        <w:rPr>
          <w:noProof/>
        </w:rPr>
      </w:pPr>
      <w:r w:rsidRPr="002906A3">
        <w:rPr>
          <w:noProof/>
        </w:rPr>
        <w:t>Lanet olsun ana vü mâlına da</w:t>
      </w:r>
    </w:p>
    <w:p w14:paraId="37E4A49F" w14:textId="77777777" w:rsidR="001E7189" w:rsidRPr="002906A3" w:rsidRDefault="001E7189" w:rsidP="00BA67A6">
      <w:pPr>
        <w:jc w:val="both"/>
        <w:rPr>
          <w:noProof/>
        </w:rPr>
      </w:pPr>
      <w:r w:rsidRPr="002906A3">
        <w:rPr>
          <w:noProof/>
        </w:rPr>
        <w:t>Mâlı mel‘ûn kendü mel‘ûne</w:t>
      </w:r>
    </w:p>
    <w:p w14:paraId="598C4186" w14:textId="77777777" w:rsidR="001E7189" w:rsidRPr="00AF3C45" w:rsidRDefault="001E7189" w:rsidP="00BA67A6">
      <w:pPr>
        <w:rPr>
          <w:b/>
          <w:bCs/>
          <w:noProof/>
        </w:rPr>
      </w:pPr>
      <w:r w:rsidRPr="00AF3C45">
        <w:rPr>
          <w:b/>
          <w:bCs/>
          <w:noProof/>
        </w:rPr>
        <w:t>Kıta 57</w:t>
      </w:r>
    </w:p>
    <w:p w14:paraId="74BAA2BE" w14:textId="77777777" w:rsidR="001E7189" w:rsidRPr="002906A3" w:rsidRDefault="001E7189" w:rsidP="00BA67A6">
      <w:pPr>
        <w:jc w:val="both"/>
        <w:rPr>
          <w:b/>
          <w:bCs/>
          <w:noProof/>
        </w:rPr>
      </w:pPr>
      <w:r w:rsidRPr="002906A3">
        <w:rPr>
          <w:b/>
          <w:bCs/>
          <w:noProof/>
        </w:rPr>
        <w:t>Kahpelere Yergi</w:t>
      </w:r>
    </w:p>
    <w:p w14:paraId="370256E6" w14:textId="77777777" w:rsidR="001E7189" w:rsidRPr="002906A3" w:rsidRDefault="001E7189" w:rsidP="00BA67A6">
      <w:pPr>
        <w:jc w:val="both"/>
        <w:rPr>
          <w:noProof/>
        </w:rPr>
      </w:pPr>
      <w:r w:rsidRPr="002906A3">
        <w:rPr>
          <w:noProof/>
        </w:rPr>
        <w:t>Eğer mert biriysen kahpeyi evde tutma</w:t>
      </w:r>
    </w:p>
    <w:p w14:paraId="6FCC8367" w14:textId="77777777" w:rsidR="001E7189" w:rsidRPr="002906A3" w:rsidRDefault="001E7189" w:rsidP="00BA67A6">
      <w:pPr>
        <w:jc w:val="both"/>
        <w:rPr>
          <w:noProof/>
        </w:rPr>
      </w:pPr>
      <w:r w:rsidRPr="002906A3">
        <w:rPr>
          <w:noProof/>
        </w:rPr>
        <w:t>Boyu kadar altın içinde olsa da</w:t>
      </w:r>
    </w:p>
    <w:p w14:paraId="13D9FC0F" w14:textId="77777777" w:rsidR="001E7189" w:rsidRPr="002906A3" w:rsidRDefault="001E7189" w:rsidP="00BA67A6">
      <w:pPr>
        <w:jc w:val="both"/>
        <w:rPr>
          <w:noProof/>
        </w:rPr>
      </w:pPr>
    </w:p>
    <w:p w14:paraId="2CA785AC" w14:textId="77777777" w:rsidR="001E7189" w:rsidRPr="002906A3" w:rsidRDefault="001E7189" w:rsidP="00BA67A6">
      <w:pPr>
        <w:jc w:val="both"/>
        <w:rPr>
          <w:noProof/>
        </w:rPr>
      </w:pPr>
      <w:r w:rsidRPr="002906A3">
        <w:rPr>
          <w:noProof/>
        </w:rPr>
        <w:t>Ona da onun malına da lanet olsun</w:t>
      </w:r>
    </w:p>
    <w:p w14:paraId="31BFD022" w14:textId="77777777" w:rsidR="001E7189" w:rsidRPr="002906A3" w:rsidRDefault="001E7189" w:rsidP="00BA67A6">
      <w:pPr>
        <w:jc w:val="both"/>
        <w:rPr>
          <w:noProof/>
        </w:rPr>
      </w:pPr>
      <w:r w:rsidRPr="002906A3">
        <w:rPr>
          <w:noProof/>
        </w:rPr>
        <w:t>Malı da kendisi de lanetliktir</w:t>
      </w:r>
    </w:p>
    <w:p w14:paraId="26A0681E"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709"/>
          <w:docGrid w:linePitch="360"/>
        </w:sectPr>
      </w:pPr>
    </w:p>
    <w:p w14:paraId="72C7107A" w14:textId="77777777" w:rsidR="001E7189" w:rsidRPr="002906A3" w:rsidRDefault="001E7189" w:rsidP="00BA67A6">
      <w:pPr>
        <w:jc w:val="both"/>
        <w:rPr>
          <w:noProof/>
        </w:rPr>
      </w:pPr>
    </w:p>
    <w:p w14:paraId="59D00065" w14:textId="77777777" w:rsidR="001E7189" w:rsidRPr="002906A3" w:rsidRDefault="001E7189" w:rsidP="00BA67A6">
      <w:pPr>
        <w:jc w:val="both"/>
        <w:rPr>
          <w:noProof/>
        </w:rPr>
      </w:pPr>
      <w:r w:rsidRPr="002906A3">
        <w:rPr>
          <w:noProof/>
        </w:rPr>
        <w:t xml:space="preserve">Bu manzumede Lâmiî Çelebi, eleştirinin ve sert söyleminin dozunu biraz arttırmış ve kaba hatta küfür sayılacak ifadeler ile kadınları eleştirmeye devam etmiştir. Her ne kadar Lâmiî’nin eleştiri şiirlerini genel anlamda öğüt verme amaçlı yazdığı iddia edilse de bu şiir, alt metninde biraz daha fazlasının olduğu hissiyatını vermektedir. Kendi özel hayatında nasıl bir evliliği vardı ve </w:t>
      </w:r>
      <w:r w:rsidRPr="002906A3">
        <w:rPr>
          <w:noProof/>
        </w:rPr>
        <w:lastRenderedPageBreak/>
        <w:t>eşiyle nasıl bir ilişkileri vardı bilinmez ancak bu şiir özelinde eşinin varlıklı bir aileden geldiği ve yer yer devlet kademesinde görev almayı reddeden, dolayısıyla bir maaşı olmayan Lâmiî’ye maddi sebeplerden dolayı laf ettiği sonucunu çıkarabiliriz. Manzumede kadınlara “kahpe” ifadesiyle hakaret eden Lâmiî, erkeklere de ne kadar malı olursa olsun eğer karakterinde sorun varsa, yani “kahpe” ise, o kadını evine alma, evinde tutma diyerek nasihat vermiştir. Lâmiî’ye göre “kahpe yaratılışlı” kadınların hem kendisi hem de malı naletliktir. Bu sebeple her ne olursa olsun mert erkeklerin böyle kadınları yanlarında tutmamaları gerekir.</w:t>
      </w:r>
    </w:p>
    <w:p w14:paraId="1BAC0812" w14:textId="77777777" w:rsidR="001E7189" w:rsidRPr="002906A3" w:rsidRDefault="001E7189" w:rsidP="00BA67A6">
      <w:pPr>
        <w:jc w:val="both"/>
        <w:rPr>
          <w:noProof/>
        </w:rPr>
      </w:pPr>
    </w:p>
    <w:p w14:paraId="31BE6B2A" w14:textId="77777777" w:rsidR="001E7189" w:rsidRPr="002906A3" w:rsidRDefault="001E7189" w:rsidP="00BA67A6">
      <w:pPr>
        <w:jc w:val="both"/>
        <w:rPr>
          <w:b/>
          <w:noProof/>
        </w:rPr>
        <w:sectPr w:rsidR="001E7189" w:rsidRPr="002906A3" w:rsidSect="007513A1">
          <w:type w:val="continuous"/>
          <w:pgSz w:w="11906" w:h="16838"/>
          <w:pgMar w:top="1418" w:right="1418" w:bottom="1418" w:left="1418" w:header="1304" w:footer="1361" w:gutter="0"/>
          <w:cols w:space="708"/>
          <w:docGrid w:linePitch="360"/>
        </w:sectPr>
      </w:pPr>
    </w:p>
    <w:p w14:paraId="7121EED1" w14:textId="77777777" w:rsidR="001E7189" w:rsidRPr="00AF3C45" w:rsidRDefault="001E7189" w:rsidP="00BA67A6">
      <w:pPr>
        <w:rPr>
          <w:b/>
          <w:bCs/>
          <w:noProof/>
        </w:rPr>
      </w:pPr>
      <w:r w:rsidRPr="00AF3C45">
        <w:rPr>
          <w:b/>
          <w:bCs/>
          <w:noProof/>
        </w:rPr>
        <w:t>Kıta 58</w:t>
      </w:r>
    </w:p>
    <w:p w14:paraId="3DD3A97C" w14:textId="77777777" w:rsidR="001E7189" w:rsidRPr="00AF3C45" w:rsidRDefault="001E7189" w:rsidP="00BA67A6">
      <w:pPr>
        <w:rPr>
          <w:b/>
          <w:bCs/>
          <w:noProof/>
        </w:rPr>
      </w:pPr>
      <w:r w:rsidRPr="00AF3C45">
        <w:rPr>
          <w:b/>
          <w:bCs/>
          <w:noProof/>
        </w:rPr>
        <w:t>Der-Mezemmet-i Selita-gân</w:t>
      </w:r>
    </w:p>
    <w:p w14:paraId="7C19C08D" w14:textId="77777777" w:rsidR="001E7189" w:rsidRPr="002906A3" w:rsidRDefault="001E7189" w:rsidP="00BA67A6">
      <w:pPr>
        <w:jc w:val="both"/>
        <w:rPr>
          <w:noProof/>
        </w:rPr>
      </w:pPr>
      <w:r w:rsidRPr="002906A3">
        <w:rPr>
          <w:noProof/>
        </w:rPr>
        <w:t>Fikri âlemde zenlerüñ ikidür</w:t>
      </w:r>
    </w:p>
    <w:p w14:paraId="02FCDE82" w14:textId="77777777" w:rsidR="001E7189" w:rsidRPr="002906A3" w:rsidRDefault="001E7189" w:rsidP="00BA67A6">
      <w:pPr>
        <w:jc w:val="both"/>
        <w:rPr>
          <w:noProof/>
        </w:rPr>
      </w:pPr>
      <w:r w:rsidRPr="002906A3">
        <w:rPr>
          <w:noProof/>
        </w:rPr>
        <w:t>Biri gezmek biri eşşek sikidür</w:t>
      </w:r>
    </w:p>
    <w:p w14:paraId="39F0C950" w14:textId="77777777" w:rsidR="001E7189" w:rsidRPr="002906A3" w:rsidRDefault="001E7189" w:rsidP="00BA67A6">
      <w:pPr>
        <w:jc w:val="both"/>
        <w:rPr>
          <w:noProof/>
        </w:rPr>
      </w:pPr>
    </w:p>
    <w:p w14:paraId="6567E2B8" w14:textId="77777777" w:rsidR="001E7189" w:rsidRPr="002906A3" w:rsidRDefault="001E7189" w:rsidP="00BA67A6">
      <w:pPr>
        <w:jc w:val="both"/>
        <w:rPr>
          <w:noProof/>
        </w:rPr>
      </w:pPr>
      <w:r w:rsidRPr="002906A3">
        <w:rPr>
          <w:noProof/>
        </w:rPr>
        <w:t>Bunlaruñ gözi görmesün yiri</w:t>
      </w:r>
    </w:p>
    <w:p w14:paraId="5D71A9D3" w14:textId="77777777" w:rsidR="001E7189" w:rsidRPr="002906A3" w:rsidRDefault="001E7189" w:rsidP="00BA67A6">
      <w:pPr>
        <w:jc w:val="both"/>
        <w:rPr>
          <w:noProof/>
        </w:rPr>
      </w:pPr>
      <w:r w:rsidRPr="002906A3">
        <w:rPr>
          <w:noProof/>
        </w:rPr>
        <w:t>Begenürler mi degme bir kîri</w:t>
      </w:r>
    </w:p>
    <w:p w14:paraId="6C8CDC97" w14:textId="77777777" w:rsidR="001E7189" w:rsidRPr="002906A3" w:rsidRDefault="001E7189" w:rsidP="00BA67A6">
      <w:pPr>
        <w:jc w:val="both"/>
        <w:rPr>
          <w:noProof/>
        </w:rPr>
      </w:pPr>
    </w:p>
    <w:p w14:paraId="72F77DFF" w14:textId="77777777" w:rsidR="001E7189" w:rsidRPr="002906A3" w:rsidRDefault="001E7189" w:rsidP="00BA67A6">
      <w:pPr>
        <w:jc w:val="both"/>
        <w:rPr>
          <w:noProof/>
        </w:rPr>
      </w:pPr>
      <w:r w:rsidRPr="002906A3">
        <w:rPr>
          <w:noProof/>
        </w:rPr>
        <w:t>Bir karış iki tutam olmasa kîr</w:t>
      </w:r>
    </w:p>
    <w:p w14:paraId="1BA9841E" w14:textId="77777777" w:rsidR="001E7189" w:rsidRPr="002906A3" w:rsidRDefault="001E7189" w:rsidP="00BA67A6">
      <w:pPr>
        <w:jc w:val="both"/>
        <w:rPr>
          <w:noProof/>
        </w:rPr>
      </w:pPr>
      <w:r w:rsidRPr="002906A3">
        <w:rPr>
          <w:noProof/>
        </w:rPr>
        <w:t>Yirinüp birbirine aglayu dir</w:t>
      </w:r>
    </w:p>
    <w:p w14:paraId="513E3CB4" w14:textId="77777777" w:rsidR="001E7189" w:rsidRPr="002906A3" w:rsidRDefault="001E7189" w:rsidP="00BA67A6">
      <w:pPr>
        <w:jc w:val="both"/>
        <w:rPr>
          <w:noProof/>
        </w:rPr>
      </w:pPr>
    </w:p>
    <w:p w14:paraId="5BAB9C02" w14:textId="77777777" w:rsidR="001E7189" w:rsidRPr="002906A3" w:rsidRDefault="001E7189" w:rsidP="00BA67A6">
      <w:pPr>
        <w:jc w:val="both"/>
        <w:rPr>
          <w:noProof/>
        </w:rPr>
      </w:pPr>
      <w:r w:rsidRPr="002906A3">
        <w:rPr>
          <w:noProof/>
        </w:rPr>
        <w:t>Benüm erim hemân eşekbaşıdur</w:t>
      </w:r>
    </w:p>
    <w:p w14:paraId="618CD1AA" w14:textId="77777777" w:rsidR="001E7189" w:rsidRPr="002906A3" w:rsidRDefault="001E7189" w:rsidP="00BA67A6">
      <w:pPr>
        <w:jc w:val="both"/>
        <w:rPr>
          <w:noProof/>
        </w:rPr>
      </w:pPr>
      <w:r w:rsidRPr="002906A3">
        <w:rPr>
          <w:noProof/>
        </w:rPr>
        <w:t>Ya tavâşî vü ya deve kuşıdur</w:t>
      </w:r>
    </w:p>
    <w:p w14:paraId="725457E6" w14:textId="77777777" w:rsidR="001E7189" w:rsidRPr="00AF3C45" w:rsidRDefault="001E7189" w:rsidP="00BA67A6">
      <w:pPr>
        <w:rPr>
          <w:b/>
          <w:bCs/>
          <w:noProof/>
        </w:rPr>
      </w:pPr>
      <w:r w:rsidRPr="00AF3C45">
        <w:rPr>
          <w:b/>
          <w:bCs/>
          <w:noProof/>
        </w:rPr>
        <w:t>Kıta 58</w:t>
      </w:r>
    </w:p>
    <w:p w14:paraId="28BCF709" w14:textId="77777777" w:rsidR="001E7189" w:rsidRPr="00AF3C45" w:rsidRDefault="001E7189" w:rsidP="00BA67A6">
      <w:pPr>
        <w:rPr>
          <w:b/>
          <w:bCs/>
          <w:noProof/>
        </w:rPr>
      </w:pPr>
      <w:r w:rsidRPr="00AF3C45">
        <w:rPr>
          <w:b/>
          <w:bCs/>
          <w:noProof/>
        </w:rPr>
        <w:t>Küfürbaz Kadınlara Yergi</w:t>
      </w:r>
    </w:p>
    <w:p w14:paraId="745DDE12" w14:textId="77777777" w:rsidR="001E7189" w:rsidRPr="002906A3" w:rsidRDefault="001E7189" w:rsidP="00BA67A6">
      <w:pPr>
        <w:jc w:val="both"/>
        <w:rPr>
          <w:noProof/>
        </w:rPr>
      </w:pPr>
      <w:r w:rsidRPr="002906A3">
        <w:rPr>
          <w:noProof/>
        </w:rPr>
        <w:t>Bu alemde kadınların iki tane fikri vardır</w:t>
      </w:r>
    </w:p>
    <w:p w14:paraId="501D5585" w14:textId="77777777" w:rsidR="001E7189" w:rsidRPr="002906A3" w:rsidRDefault="001E7189" w:rsidP="00BA67A6">
      <w:pPr>
        <w:jc w:val="both"/>
        <w:rPr>
          <w:noProof/>
        </w:rPr>
      </w:pPr>
      <w:r w:rsidRPr="002906A3">
        <w:rPr>
          <w:noProof/>
        </w:rPr>
        <w:t>Biri gezmektir, diğeri de eşek sikidir</w:t>
      </w:r>
    </w:p>
    <w:p w14:paraId="1066A842" w14:textId="77777777" w:rsidR="001E7189" w:rsidRPr="002906A3" w:rsidRDefault="001E7189" w:rsidP="00BA67A6">
      <w:pPr>
        <w:jc w:val="both"/>
        <w:rPr>
          <w:noProof/>
        </w:rPr>
      </w:pPr>
    </w:p>
    <w:p w14:paraId="4D51B6C1" w14:textId="77777777" w:rsidR="001E7189" w:rsidRPr="002906A3" w:rsidRDefault="001E7189" w:rsidP="00BA67A6">
      <w:pPr>
        <w:jc w:val="both"/>
        <w:rPr>
          <w:noProof/>
        </w:rPr>
      </w:pPr>
      <w:r w:rsidRPr="002906A3">
        <w:rPr>
          <w:noProof/>
        </w:rPr>
        <w:t>Bunların gözü bir makam, mevki görürse</w:t>
      </w:r>
    </w:p>
    <w:p w14:paraId="52DCEE97" w14:textId="77777777" w:rsidR="001E7189" w:rsidRPr="002906A3" w:rsidRDefault="001E7189" w:rsidP="00BA67A6">
      <w:pPr>
        <w:jc w:val="both"/>
        <w:rPr>
          <w:noProof/>
        </w:rPr>
      </w:pPr>
      <w:r w:rsidRPr="002906A3">
        <w:rPr>
          <w:noProof/>
        </w:rPr>
        <w:t>Değerli bir siki beğenirler mi hiç?</w:t>
      </w:r>
    </w:p>
    <w:p w14:paraId="00BA06F4" w14:textId="77777777" w:rsidR="001E7189" w:rsidRPr="002906A3" w:rsidRDefault="001E7189" w:rsidP="00BA67A6">
      <w:pPr>
        <w:jc w:val="both"/>
        <w:rPr>
          <w:noProof/>
        </w:rPr>
      </w:pPr>
    </w:p>
    <w:p w14:paraId="7BA967EC" w14:textId="77777777" w:rsidR="001E7189" w:rsidRPr="002906A3" w:rsidRDefault="001E7189" w:rsidP="00BA67A6">
      <w:pPr>
        <w:jc w:val="both"/>
        <w:rPr>
          <w:noProof/>
        </w:rPr>
      </w:pPr>
      <w:r w:rsidRPr="002906A3">
        <w:rPr>
          <w:noProof/>
        </w:rPr>
        <w:t>O sik bir karış ya da iki tutam olmazsa</w:t>
      </w:r>
    </w:p>
    <w:p w14:paraId="2D04CC29" w14:textId="77777777" w:rsidR="001E7189" w:rsidRPr="002906A3" w:rsidRDefault="001E7189" w:rsidP="00BA67A6">
      <w:pPr>
        <w:jc w:val="both"/>
        <w:rPr>
          <w:noProof/>
        </w:rPr>
      </w:pPr>
      <w:r w:rsidRPr="002906A3">
        <w:rPr>
          <w:noProof/>
        </w:rPr>
        <w:t>Üzülüp ağlayarak birbirlerine derler ki</w:t>
      </w:r>
    </w:p>
    <w:p w14:paraId="2C1916D7" w14:textId="77777777" w:rsidR="001E7189" w:rsidRPr="002906A3" w:rsidRDefault="001E7189" w:rsidP="00BA67A6">
      <w:pPr>
        <w:jc w:val="both"/>
        <w:rPr>
          <w:noProof/>
        </w:rPr>
      </w:pPr>
    </w:p>
    <w:p w14:paraId="598DF6B1" w14:textId="77777777" w:rsidR="001E7189" w:rsidRPr="002906A3" w:rsidRDefault="001E7189" w:rsidP="00BA67A6">
      <w:pPr>
        <w:jc w:val="both"/>
        <w:rPr>
          <w:noProof/>
        </w:rPr>
      </w:pPr>
      <w:r w:rsidRPr="002906A3">
        <w:rPr>
          <w:noProof/>
        </w:rPr>
        <w:t>Benim kocam maalesef eşekbaşıdır</w:t>
      </w:r>
    </w:p>
    <w:p w14:paraId="363DD42B" w14:textId="77777777" w:rsidR="001E7189" w:rsidRPr="002906A3" w:rsidRDefault="001E7189" w:rsidP="00BA67A6">
      <w:pPr>
        <w:jc w:val="both"/>
        <w:rPr>
          <w:noProof/>
        </w:rPr>
      </w:pPr>
      <w:r w:rsidRPr="002906A3">
        <w:rPr>
          <w:noProof/>
        </w:rPr>
        <w:t>Ya hadım edilmiştir ya da deve kuşudur</w:t>
      </w:r>
    </w:p>
    <w:p w14:paraId="7D0156BA"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709"/>
          <w:docGrid w:linePitch="360"/>
        </w:sectPr>
      </w:pPr>
    </w:p>
    <w:p w14:paraId="376906FF" w14:textId="77777777" w:rsidR="001E7189" w:rsidRPr="002906A3" w:rsidRDefault="001E7189" w:rsidP="00BA67A6">
      <w:pPr>
        <w:jc w:val="both"/>
        <w:rPr>
          <w:noProof/>
        </w:rPr>
      </w:pPr>
    </w:p>
    <w:p w14:paraId="2F06E6FF" w14:textId="36D88AFF" w:rsidR="00BA67A6" w:rsidRPr="002906A3" w:rsidRDefault="001E7189" w:rsidP="00BA67A6">
      <w:pPr>
        <w:jc w:val="both"/>
        <w:rPr>
          <w:noProof/>
        </w:rPr>
      </w:pPr>
      <w:r w:rsidRPr="002906A3">
        <w:rPr>
          <w:noProof/>
        </w:rPr>
        <w:t>Lâmiî Çelebi, bu manzumenin başlığında kullandığı ve “ağzı bozuk kişi” anlamına gelen “selita-gân” ifadesiyle kadınların kendi arasında her konuyu rahatça ve açık bir şekilde konuşabilmelerine atıf yapmaktadır. Öyle ki Lâmiî’nin iddiasına göre kadınlar kendi kocalarının cinsel konulardaki dedikodusunu bile başka kadınlarla yapmaktan çekinmezler. Buna da  Lâmiî Çelebi, kadınların sadece iki tane fikrinin olmasını gerekçe gösterir. Bu fikirlerden bir tanesi sürekli gezmek, diğeri ise eşeğin cinsel organı üzerinden tarif edilen “penis”tir. Yani şaire göre kadınlar sürekli olarak ya sadece gezmeyi ya da sadece cinselliği düşünecek kadar basit yapıdadırlar. Hatta bu kadınlar olur da bir makam, mevki sahibi olurlarsa kocalarını ve ne kadar iyi olursa olsun kocalarının cinsel performanslarını hepten beğenmemeye başlarlar. Kocalarının penis boyu bir karış ya da iki tutam yani 20-22 santim</w:t>
      </w:r>
      <w:r w:rsidRPr="002906A3">
        <w:rPr>
          <w:rStyle w:val="DipnotBavurusu"/>
          <w:noProof/>
        </w:rPr>
        <w:footnoteReference w:id="24"/>
      </w:r>
      <w:r w:rsidRPr="002906A3">
        <w:rPr>
          <w:noProof/>
        </w:rPr>
        <w:t xml:space="preserve"> olsa bile diğer kadınlara ağlayıp hayıflanarak bunun yeterli olmadığını, kocalarının yatakta hiçbir işe yaramayan hatta neredeyse hadım olan birine eşdeğer olduğunu dile getirirler. Lâmiî Çelebi, bu manzumede ağır eleştirilerini kadınlara yöneltirken kadınların ağzından kocaları hakkında söylediklerini iddia ettiği birkaç ifadeye yer verir. Bunlar “eşekbaşı”, “tavâşî” ve “deve kuşu” ifadeleridir. “Tavâşî” kelimesi Farsça’da “hadım edilmiş erkek” demektir. Bu da cinsel anlamda işlevi olmayanlar için yerine göre hakaret amacıyla kullanılan bir ifadedir. Aynı şekilde “eşekbaşı” ve “deve kuşu” ifadeleri de argoda “işe yaramaz” anlamına gelecek şekilde kullanılmaktadır. Cinsel içerikli bir konuda kullanıldığı zaman “cinsel anlamda işe yaramayan, sorumluluklarını yerine getiremeyen, yatakta yeteneksiz, beceriksiz, etkisiz, iktidarsız” gibi anlamlara gelmiş olur. Lâmiî, bu manzumede kadınların kendi aralarındaki konuşmaların bu ve buna benzer minvalde olduğunu iddia ederek kadınları hiçbir şeyi beğenmeyen, yetinmeyi bilmeyen, özel olan her şeyi diğer kadınlara anlatmaktan çekinmeyen birileri olarak tasavvur </w:t>
      </w:r>
      <w:r w:rsidRPr="002906A3">
        <w:rPr>
          <w:noProof/>
        </w:rPr>
        <w:lastRenderedPageBreak/>
        <w:t>etmiş ve eleştirilerini ve hatta hakaretlerini de bu doğrultuda sıralamıştır.</w:t>
      </w:r>
    </w:p>
    <w:p w14:paraId="13773C72" w14:textId="77777777" w:rsidR="001E7189" w:rsidRPr="002906A3" w:rsidRDefault="001E7189" w:rsidP="00BA67A6">
      <w:pPr>
        <w:jc w:val="both"/>
        <w:rPr>
          <w:b/>
          <w:noProof/>
        </w:rPr>
      </w:pPr>
    </w:p>
    <w:p w14:paraId="6056ACB7" w14:textId="77777777" w:rsidR="001E7189" w:rsidRPr="002906A3" w:rsidRDefault="001E7189" w:rsidP="00BA67A6">
      <w:pPr>
        <w:jc w:val="both"/>
        <w:rPr>
          <w:b/>
          <w:noProof/>
        </w:rPr>
        <w:sectPr w:rsidR="001E7189" w:rsidRPr="002906A3" w:rsidSect="007513A1">
          <w:type w:val="continuous"/>
          <w:pgSz w:w="11906" w:h="16838"/>
          <w:pgMar w:top="1418" w:right="1418" w:bottom="1418" w:left="1418" w:header="1304" w:footer="1361" w:gutter="0"/>
          <w:cols w:space="708"/>
          <w:docGrid w:linePitch="360"/>
        </w:sectPr>
      </w:pPr>
    </w:p>
    <w:p w14:paraId="782CD75F" w14:textId="77777777" w:rsidR="001E7189" w:rsidRPr="00AF3C45" w:rsidRDefault="001E7189" w:rsidP="00BA67A6">
      <w:pPr>
        <w:rPr>
          <w:b/>
          <w:bCs/>
          <w:noProof/>
        </w:rPr>
      </w:pPr>
      <w:r w:rsidRPr="00AF3C45">
        <w:rPr>
          <w:b/>
          <w:bCs/>
          <w:noProof/>
        </w:rPr>
        <w:t>Kıta 59</w:t>
      </w:r>
    </w:p>
    <w:p w14:paraId="6B4F511E" w14:textId="77777777" w:rsidR="001E7189" w:rsidRPr="00AF3C45" w:rsidRDefault="001E7189" w:rsidP="00BA67A6">
      <w:pPr>
        <w:rPr>
          <w:b/>
          <w:bCs/>
          <w:noProof/>
        </w:rPr>
      </w:pPr>
      <w:r w:rsidRPr="00AF3C45">
        <w:rPr>
          <w:b/>
          <w:bCs/>
          <w:noProof/>
        </w:rPr>
        <w:t>Der-Hâlet-i Zenân</w:t>
      </w:r>
    </w:p>
    <w:p w14:paraId="5CE7E49B" w14:textId="77777777" w:rsidR="001E7189" w:rsidRPr="002906A3" w:rsidRDefault="001E7189" w:rsidP="00BA67A6">
      <w:pPr>
        <w:jc w:val="both"/>
        <w:rPr>
          <w:noProof/>
        </w:rPr>
      </w:pPr>
      <w:r w:rsidRPr="002906A3">
        <w:rPr>
          <w:noProof/>
        </w:rPr>
        <w:t>Küsegen olur erlerine bular</w:t>
      </w:r>
    </w:p>
    <w:p w14:paraId="473A0020" w14:textId="77777777" w:rsidR="001E7189" w:rsidRPr="002906A3" w:rsidRDefault="001E7189" w:rsidP="00BA67A6">
      <w:pPr>
        <w:jc w:val="both"/>
        <w:rPr>
          <w:noProof/>
        </w:rPr>
      </w:pPr>
      <w:r w:rsidRPr="002906A3">
        <w:rPr>
          <w:noProof/>
        </w:rPr>
        <w:t>Hoşdur ammâ şu nesnesi bularuñ</w:t>
      </w:r>
    </w:p>
    <w:p w14:paraId="1723A218" w14:textId="77777777" w:rsidR="001E7189" w:rsidRPr="002906A3" w:rsidRDefault="001E7189" w:rsidP="00BA67A6">
      <w:pPr>
        <w:jc w:val="both"/>
        <w:rPr>
          <w:noProof/>
        </w:rPr>
      </w:pPr>
    </w:p>
    <w:p w14:paraId="4D0E3DB9" w14:textId="77777777" w:rsidR="001E7189" w:rsidRPr="002906A3" w:rsidRDefault="001E7189" w:rsidP="00BA67A6">
      <w:pPr>
        <w:jc w:val="both"/>
        <w:rPr>
          <w:noProof/>
        </w:rPr>
      </w:pPr>
      <w:r w:rsidRPr="002906A3">
        <w:rPr>
          <w:noProof/>
        </w:rPr>
        <w:t>Ne kadar küsseler girü ol dem</w:t>
      </w:r>
    </w:p>
    <w:p w14:paraId="3662B53A" w14:textId="77777777" w:rsidR="001E7189" w:rsidRPr="002906A3" w:rsidRDefault="001E7189" w:rsidP="00BA67A6">
      <w:pPr>
        <w:jc w:val="both"/>
        <w:rPr>
          <w:noProof/>
        </w:rPr>
      </w:pPr>
      <w:r w:rsidRPr="002906A3">
        <w:rPr>
          <w:noProof/>
        </w:rPr>
        <w:t>Kîrile yazılur küsi bularuñ</w:t>
      </w:r>
    </w:p>
    <w:p w14:paraId="03CF55CE" w14:textId="77777777" w:rsidR="001E7189" w:rsidRPr="00AF3C45" w:rsidRDefault="001E7189" w:rsidP="00BA67A6">
      <w:pPr>
        <w:rPr>
          <w:b/>
          <w:bCs/>
          <w:noProof/>
        </w:rPr>
      </w:pPr>
      <w:r w:rsidRPr="00AF3C45">
        <w:rPr>
          <w:b/>
          <w:bCs/>
          <w:noProof/>
        </w:rPr>
        <w:t>Kıta 59</w:t>
      </w:r>
    </w:p>
    <w:p w14:paraId="441B6A3F" w14:textId="77777777" w:rsidR="001E7189" w:rsidRPr="00AF3C45" w:rsidRDefault="001E7189" w:rsidP="00BA67A6">
      <w:pPr>
        <w:rPr>
          <w:b/>
          <w:bCs/>
          <w:noProof/>
        </w:rPr>
      </w:pPr>
      <w:r w:rsidRPr="00AF3C45">
        <w:rPr>
          <w:b/>
          <w:bCs/>
          <w:noProof/>
        </w:rPr>
        <w:t>Kadınların Halleri</w:t>
      </w:r>
    </w:p>
    <w:p w14:paraId="6AC7C561" w14:textId="77777777" w:rsidR="001E7189" w:rsidRPr="002906A3" w:rsidRDefault="001E7189" w:rsidP="00BA67A6">
      <w:pPr>
        <w:jc w:val="both"/>
        <w:rPr>
          <w:noProof/>
        </w:rPr>
      </w:pPr>
      <w:r w:rsidRPr="002906A3">
        <w:rPr>
          <w:noProof/>
        </w:rPr>
        <w:t>Bunlar sürekli olarak kocalarına küserler</w:t>
      </w:r>
    </w:p>
    <w:p w14:paraId="0CEC19EB" w14:textId="77777777" w:rsidR="001E7189" w:rsidRPr="002906A3" w:rsidRDefault="001E7189" w:rsidP="00BA67A6">
      <w:pPr>
        <w:jc w:val="both"/>
        <w:rPr>
          <w:noProof/>
        </w:rPr>
      </w:pPr>
      <w:r w:rsidRPr="002906A3">
        <w:rPr>
          <w:noProof/>
        </w:rPr>
        <w:t>Ama bunların şu huyları çok güzeldir</w:t>
      </w:r>
    </w:p>
    <w:p w14:paraId="58AB13A0" w14:textId="77777777" w:rsidR="001E7189" w:rsidRPr="002906A3" w:rsidRDefault="001E7189" w:rsidP="00BA67A6">
      <w:pPr>
        <w:jc w:val="both"/>
        <w:rPr>
          <w:noProof/>
        </w:rPr>
      </w:pPr>
    </w:p>
    <w:p w14:paraId="361CD75D" w14:textId="77777777" w:rsidR="001E7189" w:rsidRPr="002906A3" w:rsidRDefault="001E7189" w:rsidP="00BA67A6">
      <w:pPr>
        <w:jc w:val="both"/>
        <w:rPr>
          <w:noProof/>
        </w:rPr>
      </w:pPr>
      <w:r w:rsidRPr="002906A3">
        <w:rPr>
          <w:noProof/>
        </w:rPr>
        <w:t>Ne kadar küserlerse küssünler tekrardan</w:t>
      </w:r>
    </w:p>
    <w:p w14:paraId="0B7ED664"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709"/>
          <w:docGrid w:linePitch="360"/>
        </w:sectPr>
      </w:pPr>
      <w:r w:rsidRPr="002906A3">
        <w:rPr>
          <w:noProof/>
        </w:rPr>
        <w:t>Bunların küslükleri bir sik ile hemen düzelir</w:t>
      </w:r>
    </w:p>
    <w:p w14:paraId="1BF3785F" w14:textId="77777777" w:rsidR="001E7189" w:rsidRPr="002906A3" w:rsidRDefault="001E7189" w:rsidP="00BA67A6">
      <w:pPr>
        <w:jc w:val="both"/>
        <w:rPr>
          <w:bCs/>
          <w:noProof/>
        </w:rPr>
        <w:sectPr w:rsidR="001E7189" w:rsidRPr="002906A3" w:rsidSect="007513A1">
          <w:type w:val="continuous"/>
          <w:pgSz w:w="11906" w:h="16838"/>
          <w:pgMar w:top="1418" w:right="1418" w:bottom="1418" w:left="1418" w:header="1304" w:footer="1361" w:gutter="0"/>
          <w:cols w:space="708"/>
          <w:docGrid w:linePitch="360"/>
        </w:sectPr>
      </w:pPr>
    </w:p>
    <w:p w14:paraId="665D9745" w14:textId="77777777" w:rsidR="001E7189" w:rsidRPr="002906A3" w:rsidRDefault="001E7189" w:rsidP="00BA67A6">
      <w:pPr>
        <w:jc w:val="both"/>
        <w:rPr>
          <w:bCs/>
          <w:noProof/>
        </w:rPr>
      </w:pPr>
      <w:r w:rsidRPr="002906A3">
        <w:rPr>
          <w:bCs/>
          <w:noProof/>
        </w:rPr>
        <w:t>Lâmiî Çelebi, bu manzumede kendi fikrince kadınların hallerinden bahsetmektedir. Kadınların sürekli küsmelerinden şikayet eden şair, yine de kendisinin hoşuna giden bir kadın huyu olduğunu söyler. Bu huy da kadınlar ne kadar küserlerse küssünler bu küskünlüklerinin cinsel yollarla giderilebilmesidir. Bir önceki manzumeyle uyumlu olarak bu manzumede de şaire göre kadınlar sürekli cinselliği düşünür ve her işlerini cinsellikle hallederler. Hatta sebep ne olursa olsun küskünlükleri bile bir “kîr” ile kolayca çözülebilir. Çünkü şairin gözünde kadınlar en temel dürtüler seviyesinde yaşayan basit canlılardır. Küçük bir gönül alma işinin bile kadınlar için ancak cinsel yolla mümkün olduğu iddiasında bulunan Lâmiî Çelebi, bu manzumede argoda “penis” anlamına gelen “kîr” ile “vajina” anlamına gelen ve “küsmek” fiili ile tevriyeli olan “küs” kelimelerini bir arada kullanmıştır.</w:t>
      </w:r>
    </w:p>
    <w:p w14:paraId="2F812C33" w14:textId="77777777" w:rsidR="001E7189" w:rsidRPr="002906A3" w:rsidRDefault="001E7189" w:rsidP="00BA67A6">
      <w:pPr>
        <w:jc w:val="both"/>
        <w:rPr>
          <w:b/>
          <w:noProof/>
        </w:rPr>
      </w:pPr>
    </w:p>
    <w:p w14:paraId="09897D38" w14:textId="77777777" w:rsidR="001E7189" w:rsidRPr="002906A3" w:rsidRDefault="001E7189" w:rsidP="00BA67A6">
      <w:pPr>
        <w:jc w:val="both"/>
        <w:rPr>
          <w:b/>
          <w:noProof/>
        </w:rPr>
        <w:sectPr w:rsidR="001E7189" w:rsidRPr="002906A3" w:rsidSect="007513A1">
          <w:type w:val="continuous"/>
          <w:pgSz w:w="11906" w:h="16838"/>
          <w:pgMar w:top="1418" w:right="1418" w:bottom="1418" w:left="1418" w:header="1304" w:footer="1361" w:gutter="0"/>
          <w:cols w:space="708"/>
          <w:docGrid w:linePitch="360"/>
        </w:sectPr>
      </w:pPr>
    </w:p>
    <w:p w14:paraId="7A9574E7" w14:textId="77777777" w:rsidR="001E7189" w:rsidRPr="00AF3C45" w:rsidRDefault="001E7189" w:rsidP="00BA67A6">
      <w:pPr>
        <w:rPr>
          <w:b/>
          <w:bCs/>
          <w:noProof/>
        </w:rPr>
      </w:pPr>
      <w:r w:rsidRPr="00AF3C45">
        <w:rPr>
          <w:b/>
          <w:bCs/>
          <w:noProof/>
        </w:rPr>
        <w:t>Kıta 60</w:t>
      </w:r>
    </w:p>
    <w:p w14:paraId="52B2BE86" w14:textId="77777777" w:rsidR="001E7189" w:rsidRPr="00AF3C45" w:rsidRDefault="001E7189" w:rsidP="00BA67A6">
      <w:pPr>
        <w:rPr>
          <w:b/>
          <w:bCs/>
          <w:noProof/>
        </w:rPr>
      </w:pPr>
      <w:r w:rsidRPr="00AF3C45">
        <w:rPr>
          <w:b/>
          <w:bCs/>
          <w:noProof/>
        </w:rPr>
        <w:t>Der-Şîve-yi Duhterân</w:t>
      </w:r>
    </w:p>
    <w:p w14:paraId="2E43F738" w14:textId="77777777" w:rsidR="001E7189" w:rsidRPr="002906A3" w:rsidRDefault="001E7189" w:rsidP="00BA67A6">
      <w:pPr>
        <w:jc w:val="both"/>
        <w:rPr>
          <w:noProof/>
        </w:rPr>
      </w:pPr>
      <w:r w:rsidRPr="002906A3">
        <w:rPr>
          <w:noProof/>
        </w:rPr>
        <w:t>Aceb-âyîn durur dûşîze kızlar</w:t>
      </w:r>
    </w:p>
    <w:p w14:paraId="006FDF56" w14:textId="77777777" w:rsidR="001E7189" w:rsidRPr="002906A3" w:rsidRDefault="001E7189" w:rsidP="00BA67A6">
      <w:pPr>
        <w:jc w:val="both"/>
        <w:rPr>
          <w:noProof/>
        </w:rPr>
      </w:pPr>
      <w:r w:rsidRPr="002906A3">
        <w:rPr>
          <w:noProof/>
        </w:rPr>
        <w:t>Dem-i sûr olsa mâtem gösterürler</w:t>
      </w:r>
    </w:p>
    <w:p w14:paraId="5ED79E5D" w14:textId="77777777" w:rsidR="001E7189" w:rsidRPr="002906A3" w:rsidRDefault="001E7189" w:rsidP="00BA67A6">
      <w:pPr>
        <w:jc w:val="both"/>
        <w:rPr>
          <w:noProof/>
        </w:rPr>
      </w:pPr>
    </w:p>
    <w:p w14:paraId="10E33180" w14:textId="77777777" w:rsidR="001E7189" w:rsidRPr="002906A3" w:rsidRDefault="001E7189" w:rsidP="00BA67A6">
      <w:pPr>
        <w:jc w:val="both"/>
        <w:rPr>
          <w:noProof/>
        </w:rPr>
      </w:pPr>
      <w:r w:rsidRPr="002906A3">
        <w:rPr>
          <w:noProof/>
        </w:rPr>
        <w:t>Açup vuslat deminden gonca-veş dil</w:t>
      </w:r>
    </w:p>
    <w:p w14:paraId="76EEC706" w14:textId="77777777" w:rsidR="001E7189" w:rsidRPr="002906A3" w:rsidRDefault="001E7189" w:rsidP="00BA67A6">
      <w:pPr>
        <w:jc w:val="both"/>
        <w:rPr>
          <w:noProof/>
        </w:rPr>
      </w:pPr>
      <w:r w:rsidRPr="002906A3">
        <w:rPr>
          <w:noProof/>
        </w:rPr>
        <w:t>Hayâdan gülde şeb-nem gösterürler</w:t>
      </w:r>
    </w:p>
    <w:p w14:paraId="415634FB" w14:textId="77777777" w:rsidR="001E7189" w:rsidRPr="002906A3" w:rsidRDefault="001E7189" w:rsidP="00BA67A6">
      <w:pPr>
        <w:jc w:val="both"/>
        <w:rPr>
          <w:noProof/>
        </w:rPr>
      </w:pPr>
    </w:p>
    <w:p w14:paraId="233B4825" w14:textId="77777777" w:rsidR="001E7189" w:rsidRPr="002906A3" w:rsidRDefault="001E7189" w:rsidP="00BA67A6">
      <w:pPr>
        <w:jc w:val="both"/>
        <w:rPr>
          <w:noProof/>
        </w:rPr>
      </w:pPr>
      <w:r w:rsidRPr="002906A3">
        <w:rPr>
          <w:noProof/>
        </w:rPr>
        <w:t>Sürûrından sıgışmazlar içine</w:t>
      </w:r>
    </w:p>
    <w:p w14:paraId="344B6771" w14:textId="77777777" w:rsidR="001E7189" w:rsidRPr="002906A3" w:rsidRDefault="001E7189" w:rsidP="00BA67A6">
      <w:pPr>
        <w:jc w:val="both"/>
        <w:rPr>
          <w:noProof/>
        </w:rPr>
      </w:pPr>
      <w:r w:rsidRPr="002906A3">
        <w:rPr>
          <w:noProof/>
        </w:rPr>
        <w:t>Dururlar yüzlerin gam gösterürler</w:t>
      </w:r>
    </w:p>
    <w:p w14:paraId="4BCC3623" w14:textId="77777777" w:rsidR="001E7189" w:rsidRPr="002906A3" w:rsidRDefault="001E7189" w:rsidP="00BA67A6">
      <w:pPr>
        <w:jc w:val="both"/>
        <w:rPr>
          <w:noProof/>
        </w:rPr>
      </w:pPr>
    </w:p>
    <w:p w14:paraId="7445BF9E" w14:textId="77777777" w:rsidR="001E7189" w:rsidRPr="002906A3" w:rsidRDefault="001E7189" w:rsidP="00BA67A6">
      <w:pPr>
        <w:jc w:val="both"/>
        <w:rPr>
          <w:noProof/>
        </w:rPr>
      </w:pPr>
      <w:r w:rsidRPr="002906A3">
        <w:rPr>
          <w:noProof/>
        </w:rPr>
        <w:t>Cihân Rüstem’lerini Zâl iderler</w:t>
      </w:r>
    </w:p>
    <w:p w14:paraId="32D5079C" w14:textId="77777777" w:rsidR="001E7189" w:rsidRPr="002906A3" w:rsidRDefault="001E7189" w:rsidP="00BA67A6">
      <w:pPr>
        <w:jc w:val="both"/>
        <w:rPr>
          <w:noProof/>
        </w:rPr>
      </w:pPr>
      <w:r w:rsidRPr="002906A3">
        <w:rPr>
          <w:noProof/>
        </w:rPr>
        <w:t>Kaçan destân ile dem gösterürler</w:t>
      </w:r>
    </w:p>
    <w:p w14:paraId="3191C536" w14:textId="77777777" w:rsidR="001E7189" w:rsidRPr="00AF3C45" w:rsidRDefault="001E7189" w:rsidP="00BA67A6">
      <w:pPr>
        <w:rPr>
          <w:b/>
          <w:bCs/>
          <w:noProof/>
        </w:rPr>
      </w:pPr>
      <w:r w:rsidRPr="00AF3C45">
        <w:rPr>
          <w:b/>
          <w:bCs/>
          <w:noProof/>
        </w:rPr>
        <w:t>Kıta 60</w:t>
      </w:r>
    </w:p>
    <w:p w14:paraId="404784C7" w14:textId="77777777" w:rsidR="001E7189" w:rsidRPr="00AF3C45" w:rsidRDefault="001E7189" w:rsidP="00BA67A6">
      <w:pPr>
        <w:rPr>
          <w:b/>
          <w:bCs/>
          <w:noProof/>
        </w:rPr>
      </w:pPr>
      <w:r w:rsidRPr="00AF3C45">
        <w:rPr>
          <w:b/>
          <w:bCs/>
          <w:noProof/>
        </w:rPr>
        <w:t>Kız Çocuklarının Nazları</w:t>
      </w:r>
    </w:p>
    <w:p w14:paraId="12BDB02B" w14:textId="77777777" w:rsidR="001E7189" w:rsidRPr="002906A3" w:rsidRDefault="001E7189" w:rsidP="00BA67A6">
      <w:pPr>
        <w:jc w:val="both"/>
        <w:rPr>
          <w:noProof/>
        </w:rPr>
      </w:pPr>
      <w:r w:rsidRPr="002906A3">
        <w:rPr>
          <w:noProof/>
        </w:rPr>
        <w:t>Bakire kızlar çok gariptirler</w:t>
      </w:r>
    </w:p>
    <w:p w14:paraId="121C2E5A" w14:textId="77777777" w:rsidR="001E7189" w:rsidRPr="002906A3" w:rsidRDefault="001E7189" w:rsidP="00BA67A6">
      <w:pPr>
        <w:jc w:val="both"/>
        <w:rPr>
          <w:noProof/>
        </w:rPr>
      </w:pPr>
      <w:r w:rsidRPr="002906A3">
        <w:rPr>
          <w:noProof/>
        </w:rPr>
        <w:t>Düğünlerinde matemdeymiş gibi görünürler</w:t>
      </w:r>
    </w:p>
    <w:p w14:paraId="5E2AE62B" w14:textId="77777777" w:rsidR="001E7189" w:rsidRPr="002906A3" w:rsidRDefault="001E7189" w:rsidP="00BA67A6">
      <w:pPr>
        <w:jc w:val="both"/>
        <w:rPr>
          <w:noProof/>
        </w:rPr>
      </w:pPr>
    </w:p>
    <w:p w14:paraId="2ECCF7A8" w14:textId="77777777" w:rsidR="001E7189" w:rsidRPr="002906A3" w:rsidRDefault="001E7189" w:rsidP="00BA67A6">
      <w:pPr>
        <w:jc w:val="both"/>
        <w:rPr>
          <w:noProof/>
        </w:rPr>
      </w:pPr>
      <w:r w:rsidRPr="002906A3">
        <w:rPr>
          <w:noProof/>
        </w:rPr>
        <w:t>Gonca gönülleri kavuşma arzusuyla açılır</w:t>
      </w:r>
    </w:p>
    <w:p w14:paraId="0845C16D" w14:textId="77777777" w:rsidR="001E7189" w:rsidRPr="002906A3" w:rsidRDefault="001E7189" w:rsidP="00BA67A6">
      <w:pPr>
        <w:jc w:val="both"/>
        <w:rPr>
          <w:noProof/>
        </w:rPr>
      </w:pPr>
      <w:r w:rsidRPr="002906A3">
        <w:rPr>
          <w:noProof/>
        </w:rPr>
        <w:t>Ama utançtan gül yanaklarında çiy gösterirler</w:t>
      </w:r>
    </w:p>
    <w:p w14:paraId="771A1A75" w14:textId="77777777" w:rsidR="001E7189" w:rsidRPr="002906A3" w:rsidRDefault="001E7189" w:rsidP="00BA67A6">
      <w:pPr>
        <w:jc w:val="both"/>
        <w:rPr>
          <w:noProof/>
        </w:rPr>
      </w:pPr>
    </w:p>
    <w:p w14:paraId="3F75EC9F" w14:textId="77777777" w:rsidR="001E7189" w:rsidRPr="002906A3" w:rsidRDefault="001E7189" w:rsidP="00BA67A6">
      <w:pPr>
        <w:jc w:val="both"/>
        <w:rPr>
          <w:noProof/>
        </w:rPr>
      </w:pPr>
      <w:r w:rsidRPr="002906A3">
        <w:rPr>
          <w:noProof/>
        </w:rPr>
        <w:t>Sevinçten içleri içlerine sığmaz</w:t>
      </w:r>
    </w:p>
    <w:p w14:paraId="2A035BD1" w14:textId="77777777" w:rsidR="001E7189" w:rsidRPr="002906A3" w:rsidRDefault="001E7189" w:rsidP="00BA67A6">
      <w:pPr>
        <w:jc w:val="both"/>
        <w:rPr>
          <w:noProof/>
        </w:rPr>
      </w:pPr>
      <w:r w:rsidRPr="002906A3">
        <w:rPr>
          <w:noProof/>
        </w:rPr>
        <w:t>Ama yüzlerinden dertliymiş gibi görünürler</w:t>
      </w:r>
    </w:p>
    <w:p w14:paraId="5DE62269" w14:textId="77777777" w:rsidR="001E7189" w:rsidRPr="002906A3" w:rsidRDefault="001E7189" w:rsidP="00BA67A6">
      <w:pPr>
        <w:jc w:val="both"/>
        <w:rPr>
          <w:noProof/>
        </w:rPr>
      </w:pPr>
    </w:p>
    <w:p w14:paraId="60C30CE7" w14:textId="77777777" w:rsidR="001E7189" w:rsidRPr="002906A3" w:rsidRDefault="001E7189" w:rsidP="00BA67A6">
      <w:pPr>
        <w:jc w:val="both"/>
        <w:rPr>
          <w:noProof/>
        </w:rPr>
      </w:pPr>
      <w:r w:rsidRPr="002906A3">
        <w:rPr>
          <w:noProof/>
        </w:rPr>
        <w:t>Nice genç delikanlıları yaşlı, ihtiyar ederler</w:t>
      </w:r>
    </w:p>
    <w:p w14:paraId="35D2F64D" w14:textId="0A10B48C" w:rsidR="001E7189" w:rsidRPr="002906A3" w:rsidRDefault="001E7189" w:rsidP="00BA67A6">
      <w:pPr>
        <w:jc w:val="both"/>
        <w:rPr>
          <w:noProof/>
        </w:rPr>
      </w:pPr>
      <w:r w:rsidRPr="002906A3">
        <w:rPr>
          <w:noProof/>
        </w:rPr>
        <w:t>Ama bir hile ile onları kanlı gi</w:t>
      </w:r>
      <w:r w:rsidR="00BA67A6">
        <w:rPr>
          <w:noProof/>
        </w:rPr>
        <w:t>bi</w:t>
      </w:r>
      <w:r w:rsidRPr="002906A3">
        <w:rPr>
          <w:noProof/>
        </w:rPr>
        <w:t>gösterirler</w:t>
      </w:r>
    </w:p>
    <w:p w14:paraId="793FAF87"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709"/>
          <w:docGrid w:linePitch="360"/>
        </w:sectPr>
      </w:pPr>
    </w:p>
    <w:p w14:paraId="1B3DB9CB" w14:textId="77777777" w:rsidR="001E7189" w:rsidRPr="002906A3" w:rsidRDefault="001E7189" w:rsidP="00BA67A6">
      <w:pPr>
        <w:jc w:val="both"/>
        <w:rPr>
          <w:noProof/>
        </w:rPr>
      </w:pPr>
    </w:p>
    <w:p w14:paraId="2A0D5BDE" w14:textId="77777777" w:rsidR="001E7189" w:rsidRPr="002906A3" w:rsidRDefault="001E7189" w:rsidP="00BA67A6">
      <w:pPr>
        <w:jc w:val="both"/>
        <w:rPr>
          <w:noProof/>
        </w:rPr>
      </w:pPr>
      <w:r w:rsidRPr="002906A3">
        <w:rPr>
          <w:noProof/>
        </w:rPr>
        <w:t xml:space="preserve">Lâmiî Çelebi bu manzumesinde kadınların tutarsızlıklarından dem vurmaktadır. Ancak bunu da yine “kadınlar ve cinsellik” üzerinden yapmaktadır. Bu manzumede diğerlerinden farklı olarak evli kadınları değil henüz evlenmemiş bakire kızlar konu edilmiştir. Şaire göre bu genç ve bakire kızlar düğün günlerinde ağlayıp sızlayarak sanki bir matemdeymiş gibi gösterirler ancak bu bir yalandır. Çünkü düğünün sonunda cinsel anlamda bir kavuşma yaşayacaklarını bildikleri için içten içe mutlu, heyecanlı ve sevinçle doludurlar. Ancak sanki öyle değillermiş gibi gözlerinden yaşlar akıtarak herkese üzgün olduklarını göstermeye çalışırlar. Bu manzumedeki ifadeler yukarıda incelenen diğer şiirlerde söylenen sözlerle paralellik arz etmektedir. Diğer manzumelerde de bu manzumede olduğu gibi kadınların ikiyüzlü, kandırmayı ve yalan söylemeyi şiar edinmiş, erkek ve cinsellik meraklısı kişiler olarak gösterilmesi, Şair Lâmiî’nin kadınlar hakkındaki fikirlerinin ancak bu kadarla sınırlı olduğu </w:t>
      </w:r>
      <w:r w:rsidRPr="002906A3">
        <w:rPr>
          <w:noProof/>
        </w:rPr>
        <w:lastRenderedPageBreak/>
        <w:t>anlamına gemektedir. Üstelik bu sözlerin birçok manzumede ısrarla tekrar edilmesi de şairin bu fikirleri herhangi bir olay üzerine geçici olarak edindiğini değil, kadınların kısaca “kötü” olduklarına dair kalıcı bir inancının olduğunu göstermektedir.</w:t>
      </w:r>
    </w:p>
    <w:p w14:paraId="5D8A1330" w14:textId="77777777" w:rsidR="001E7189" w:rsidRPr="002906A3" w:rsidRDefault="001E7189" w:rsidP="00BA67A6">
      <w:pPr>
        <w:jc w:val="both"/>
        <w:rPr>
          <w:noProof/>
        </w:rPr>
      </w:pPr>
    </w:p>
    <w:p w14:paraId="150EF37A" w14:textId="77777777" w:rsidR="001E7189" w:rsidRPr="002906A3" w:rsidRDefault="001E7189" w:rsidP="00BA67A6">
      <w:pPr>
        <w:jc w:val="both"/>
        <w:rPr>
          <w:b/>
          <w:noProof/>
        </w:rPr>
        <w:sectPr w:rsidR="001E7189" w:rsidRPr="002906A3" w:rsidSect="007513A1">
          <w:type w:val="continuous"/>
          <w:pgSz w:w="11906" w:h="16838"/>
          <w:pgMar w:top="1418" w:right="1418" w:bottom="1418" w:left="1418" w:header="1304" w:footer="1361" w:gutter="0"/>
          <w:cols w:space="708"/>
          <w:docGrid w:linePitch="360"/>
        </w:sectPr>
      </w:pPr>
    </w:p>
    <w:p w14:paraId="799F5D64" w14:textId="77777777" w:rsidR="001E7189" w:rsidRPr="00AF3C45" w:rsidRDefault="001E7189" w:rsidP="00BA67A6">
      <w:pPr>
        <w:rPr>
          <w:b/>
          <w:bCs/>
          <w:noProof/>
        </w:rPr>
      </w:pPr>
      <w:r w:rsidRPr="00AF3C45">
        <w:rPr>
          <w:b/>
          <w:bCs/>
          <w:noProof/>
        </w:rPr>
        <w:t>Kıta 62</w:t>
      </w:r>
    </w:p>
    <w:p w14:paraId="71CECFDE" w14:textId="77777777" w:rsidR="001E7189" w:rsidRPr="00AF3C45" w:rsidRDefault="001E7189" w:rsidP="00BA67A6">
      <w:pPr>
        <w:rPr>
          <w:b/>
          <w:bCs/>
          <w:noProof/>
        </w:rPr>
      </w:pPr>
      <w:r w:rsidRPr="00AF3C45">
        <w:rPr>
          <w:b/>
          <w:bCs/>
          <w:noProof/>
        </w:rPr>
        <w:t>Der-Mezemmet-i Hîzân</w:t>
      </w:r>
    </w:p>
    <w:p w14:paraId="2609724F" w14:textId="77777777" w:rsidR="001E7189" w:rsidRPr="002906A3" w:rsidRDefault="001E7189" w:rsidP="00BA67A6">
      <w:pPr>
        <w:jc w:val="both"/>
        <w:rPr>
          <w:noProof/>
        </w:rPr>
      </w:pPr>
      <w:r w:rsidRPr="002906A3">
        <w:rPr>
          <w:noProof/>
        </w:rPr>
        <w:t>Hîziyle itme sohbet merdiseñ iy hıred-mend</w:t>
      </w:r>
    </w:p>
    <w:p w14:paraId="53730183" w14:textId="77777777" w:rsidR="001E7189" w:rsidRPr="002906A3" w:rsidRDefault="001E7189" w:rsidP="00BA67A6">
      <w:pPr>
        <w:jc w:val="both"/>
        <w:rPr>
          <w:noProof/>
        </w:rPr>
      </w:pPr>
      <w:r w:rsidRPr="002906A3">
        <w:rPr>
          <w:noProof/>
        </w:rPr>
        <w:t>Zenden kötidür el-hak olmaz vefâsı hîzüñ</w:t>
      </w:r>
    </w:p>
    <w:p w14:paraId="7E0DDCFF" w14:textId="77777777" w:rsidR="001E7189" w:rsidRPr="002906A3" w:rsidRDefault="001E7189" w:rsidP="00BA67A6">
      <w:pPr>
        <w:jc w:val="both"/>
        <w:rPr>
          <w:noProof/>
        </w:rPr>
      </w:pPr>
    </w:p>
    <w:p w14:paraId="74E41DBE" w14:textId="77777777" w:rsidR="001E7189" w:rsidRPr="002906A3" w:rsidRDefault="001E7189" w:rsidP="00BA67A6">
      <w:pPr>
        <w:jc w:val="both"/>
        <w:rPr>
          <w:noProof/>
        </w:rPr>
      </w:pPr>
      <w:r w:rsidRPr="002906A3">
        <w:rPr>
          <w:noProof/>
        </w:rPr>
        <w:t>Bî-zâr olur yüzünden her dem ki bî-zer olsan</w:t>
      </w:r>
    </w:p>
    <w:p w14:paraId="6E55ECA5" w14:textId="77777777" w:rsidR="001E7189" w:rsidRPr="002906A3" w:rsidRDefault="001E7189" w:rsidP="00BA67A6">
      <w:pPr>
        <w:jc w:val="both"/>
        <w:rPr>
          <w:noProof/>
        </w:rPr>
      </w:pPr>
      <w:r w:rsidRPr="002906A3">
        <w:rPr>
          <w:noProof/>
        </w:rPr>
        <w:t>Kîrile sîm ü zerden dün gün hevâsı hîzüñ</w:t>
      </w:r>
    </w:p>
    <w:p w14:paraId="7164620F" w14:textId="77777777" w:rsidR="001E7189" w:rsidRPr="002906A3" w:rsidRDefault="001E7189" w:rsidP="00BA67A6">
      <w:pPr>
        <w:jc w:val="both"/>
        <w:rPr>
          <w:noProof/>
        </w:rPr>
      </w:pPr>
    </w:p>
    <w:p w14:paraId="3312DDD9" w14:textId="77777777" w:rsidR="001E7189" w:rsidRPr="002906A3" w:rsidRDefault="001E7189" w:rsidP="00BA67A6">
      <w:pPr>
        <w:jc w:val="both"/>
        <w:rPr>
          <w:noProof/>
        </w:rPr>
      </w:pPr>
      <w:r w:rsidRPr="002906A3">
        <w:rPr>
          <w:noProof/>
        </w:rPr>
        <w:t>Ehl-i hamiyyet iseñ yörenme yöresine</w:t>
      </w:r>
    </w:p>
    <w:p w14:paraId="75D5A62B" w14:textId="77777777" w:rsidR="001E7189" w:rsidRPr="002906A3" w:rsidRDefault="001E7189" w:rsidP="00BA67A6">
      <w:pPr>
        <w:jc w:val="both"/>
        <w:rPr>
          <w:noProof/>
        </w:rPr>
      </w:pPr>
      <w:r w:rsidRPr="002906A3">
        <w:rPr>
          <w:noProof/>
        </w:rPr>
        <w:t>Âlemde kahbe gibi yokdur hayâsı hîzüñ</w:t>
      </w:r>
    </w:p>
    <w:p w14:paraId="2054C5BF" w14:textId="77777777" w:rsidR="001E7189" w:rsidRPr="00AF3C45" w:rsidRDefault="001E7189" w:rsidP="00BA67A6">
      <w:pPr>
        <w:rPr>
          <w:b/>
          <w:bCs/>
          <w:noProof/>
        </w:rPr>
      </w:pPr>
      <w:r w:rsidRPr="00AF3C45">
        <w:rPr>
          <w:b/>
          <w:bCs/>
          <w:noProof/>
        </w:rPr>
        <w:t>Kıta 62</w:t>
      </w:r>
    </w:p>
    <w:p w14:paraId="6F32E91B" w14:textId="77777777" w:rsidR="001E7189" w:rsidRPr="00AF3C45" w:rsidRDefault="001E7189" w:rsidP="00BA67A6">
      <w:pPr>
        <w:rPr>
          <w:b/>
          <w:bCs/>
          <w:noProof/>
        </w:rPr>
      </w:pPr>
      <w:r w:rsidRPr="00AF3C45">
        <w:rPr>
          <w:b/>
          <w:bCs/>
          <w:noProof/>
        </w:rPr>
        <w:t>İbnelere Yergi</w:t>
      </w:r>
    </w:p>
    <w:p w14:paraId="0F259DE8" w14:textId="77777777" w:rsidR="001E7189" w:rsidRPr="002906A3" w:rsidRDefault="001E7189" w:rsidP="00BA67A6">
      <w:pPr>
        <w:jc w:val="both"/>
        <w:rPr>
          <w:noProof/>
        </w:rPr>
      </w:pPr>
      <w:r w:rsidRPr="002906A3">
        <w:rPr>
          <w:noProof/>
        </w:rPr>
        <w:t>Ey akıllı kişi! Mert isen ibneyle sohbet etme</w:t>
      </w:r>
    </w:p>
    <w:p w14:paraId="312792BE" w14:textId="77777777" w:rsidR="001E7189" w:rsidRPr="002906A3" w:rsidRDefault="001E7189" w:rsidP="00BA67A6">
      <w:pPr>
        <w:jc w:val="both"/>
        <w:rPr>
          <w:noProof/>
        </w:rPr>
      </w:pPr>
      <w:r w:rsidRPr="002906A3">
        <w:rPr>
          <w:noProof/>
        </w:rPr>
        <w:t>Doğrusu kadından bile beterdir, vefası olmaz</w:t>
      </w:r>
    </w:p>
    <w:p w14:paraId="5635451C" w14:textId="77777777" w:rsidR="001E7189" w:rsidRPr="002906A3" w:rsidRDefault="001E7189" w:rsidP="00BA67A6">
      <w:pPr>
        <w:jc w:val="both"/>
        <w:rPr>
          <w:noProof/>
        </w:rPr>
      </w:pPr>
    </w:p>
    <w:p w14:paraId="54A924F4" w14:textId="77777777" w:rsidR="001E7189" w:rsidRPr="002906A3" w:rsidRDefault="001E7189" w:rsidP="00BA67A6">
      <w:pPr>
        <w:jc w:val="both"/>
        <w:rPr>
          <w:noProof/>
        </w:rPr>
      </w:pPr>
      <w:r w:rsidRPr="002906A3">
        <w:rPr>
          <w:noProof/>
        </w:rPr>
        <w:t>Eğer meteliksizsen senin yüzüne bile bakmaz</w:t>
      </w:r>
    </w:p>
    <w:p w14:paraId="77FB800D" w14:textId="77777777" w:rsidR="001E7189" w:rsidRPr="002906A3" w:rsidRDefault="001E7189" w:rsidP="00BA67A6">
      <w:pPr>
        <w:jc w:val="both"/>
        <w:rPr>
          <w:noProof/>
        </w:rPr>
      </w:pPr>
      <w:r w:rsidRPr="002906A3">
        <w:rPr>
          <w:noProof/>
        </w:rPr>
        <w:t>Hevesi gece gündüz sik, altın ve gümüşedir</w:t>
      </w:r>
    </w:p>
    <w:p w14:paraId="066C63A5" w14:textId="77777777" w:rsidR="001E7189" w:rsidRPr="002906A3" w:rsidRDefault="001E7189" w:rsidP="00BA67A6">
      <w:pPr>
        <w:jc w:val="both"/>
        <w:rPr>
          <w:noProof/>
        </w:rPr>
      </w:pPr>
    </w:p>
    <w:p w14:paraId="07375A3B" w14:textId="77777777" w:rsidR="001E7189" w:rsidRPr="002906A3" w:rsidRDefault="001E7189" w:rsidP="00BA67A6">
      <w:pPr>
        <w:jc w:val="both"/>
        <w:rPr>
          <w:noProof/>
        </w:rPr>
      </w:pPr>
      <w:r w:rsidRPr="002906A3">
        <w:rPr>
          <w:noProof/>
        </w:rPr>
        <w:t>Haysiyetliysen sakın yanına bile yaklaşma</w:t>
      </w:r>
    </w:p>
    <w:p w14:paraId="718D4021" w14:textId="61585046" w:rsidR="001E7189" w:rsidRPr="002906A3" w:rsidRDefault="001E7189" w:rsidP="00BA67A6">
      <w:pPr>
        <w:jc w:val="both"/>
        <w:rPr>
          <w:noProof/>
        </w:rPr>
      </w:pPr>
      <w:r w:rsidRPr="002906A3">
        <w:rPr>
          <w:noProof/>
        </w:rPr>
        <w:t>Alemde kahpe gibi, edebi yoktur</w:t>
      </w:r>
    </w:p>
    <w:p w14:paraId="52E222C1" w14:textId="77777777" w:rsidR="001E7189" w:rsidRPr="002906A3" w:rsidRDefault="001E7189" w:rsidP="00BA67A6">
      <w:pPr>
        <w:jc w:val="both"/>
        <w:rPr>
          <w:noProof/>
        </w:rPr>
        <w:sectPr w:rsidR="001E7189" w:rsidRPr="002906A3" w:rsidSect="007513A1">
          <w:type w:val="continuous"/>
          <w:pgSz w:w="11906" w:h="16838"/>
          <w:pgMar w:top="1418" w:right="1418" w:bottom="1418" w:left="1418" w:header="1304" w:footer="1361" w:gutter="0"/>
          <w:cols w:num="2" w:sep="1" w:space="709"/>
          <w:docGrid w:linePitch="360"/>
        </w:sectPr>
      </w:pPr>
    </w:p>
    <w:p w14:paraId="485C2E30" w14:textId="77777777" w:rsidR="001E7189" w:rsidRPr="002906A3" w:rsidRDefault="001E7189" w:rsidP="00BA67A6">
      <w:pPr>
        <w:jc w:val="both"/>
        <w:rPr>
          <w:noProof/>
        </w:rPr>
      </w:pPr>
    </w:p>
    <w:p w14:paraId="1364CCBE" w14:textId="77777777" w:rsidR="001E7189" w:rsidRPr="002906A3" w:rsidRDefault="001E7189" w:rsidP="00BA67A6">
      <w:pPr>
        <w:jc w:val="both"/>
        <w:rPr>
          <w:noProof/>
        </w:rPr>
      </w:pPr>
      <w:r w:rsidRPr="002906A3">
        <w:rPr>
          <w:noProof/>
        </w:rPr>
        <w:t>Lâmiî Çelebi, bu manzumede kabaca “ibne” olarak gördüğü erkeklerin eleştirisini kadınlar üzerinden yapmaktadır. Kadınları ve ibneleri edepsizlik, güvenilmezlik, vefasızlık, kahpelik gibi negatif değerler üzerinden karşılaştıran şair, ibnelerin “kadınlardan bile aşağıda” olduğu sonucuna varmıştır. Yukarıdaki manzumelerden de anlaşılacağı üzere kadınlar hakkındaki fikirleri sabit olan Lâmiî Çelebi, kadınlara kıyasla ibne olarak kabul ettiği erkeklerin daha aşağıda olduğunu ancak sonuç itibariyle ibnelerin de tıpkı “kahpe kadınlar” gibi para ve cinsel zevk peşinde koşan kişiler olduğunu ifade etmiştir. Bu sebeple de okuyuculara -ki bu durumda okuyucular erkekler oluyor- ibnelerin sadece parayla ilgilendiklerini ve onlardan uzak durulması gerektiğini öğüt veriyor.</w:t>
      </w:r>
    </w:p>
    <w:p w14:paraId="1D0F5EAE" w14:textId="77777777" w:rsidR="001E7189" w:rsidRPr="002906A3" w:rsidRDefault="001E7189" w:rsidP="00BA67A6">
      <w:pPr>
        <w:jc w:val="both"/>
        <w:rPr>
          <w:noProof/>
        </w:rPr>
      </w:pPr>
    </w:p>
    <w:p w14:paraId="71B001E4" w14:textId="77777777" w:rsidR="001E7189" w:rsidRPr="00AF3C45" w:rsidRDefault="001E7189" w:rsidP="00BA67A6">
      <w:pPr>
        <w:rPr>
          <w:b/>
          <w:bCs/>
          <w:noProof/>
        </w:rPr>
      </w:pPr>
      <w:r w:rsidRPr="00AF3C45">
        <w:rPr>
          <w:b/>
          <w:bCs/>
          <w:noProof/>
        </w:rPr>
        <w:t>Sonuç</w:t>
      </w:r>
    </w:p>
    <w:p w14:paraId="08456904" w14:textId="77777777" w:rsidR="001E7189" w:rsidRDefault="001E7189" w:rsidP="00BA67A6">
      <w:pPr>
        <w:jc w:val="both"/>
        <w:rPr>
          <w:bCs/>
          <w:noProof/>
        </w:rPr>
      </w:pPr>
      <w:r w:rsidRPr="002906A3">
        <w:rPr>
          <w:bCs/>
          <w:noProof/>
        </w:rPr>
        <w:t xml:space="preserve">Döneminin en ünlü isimlerinden biri olan Lâmiî Çelebi, gerek mesnevilerinde gerekse de </w:t>
      </w:r>
      <w:r w:rsidRPr="002906A3">
        <w:rPr>
          <w:bCs/>
          <w:i/>
          <w:iCs/>
          <w:noProof/>
        </w:rPr>
        <w:t>Divan</w:t>
      </w:r>
      <w:r w:rsidRPr="002906A3">
        <w:rPr>
          <w:bCs/>
          <w:noProof/>
        </w:rPr>
        <w:t xml:space="preserve">’ında kadınlar hakkında çok olumlu düşünceleri olmadığını belli eden, hatta yer yer onlara hakaret ederek cinsel imalarda bulunan şiirlere yer vermekten çekinmemiştir. </w:t>
      </w:r>
      <w:r w:rsidRPr="002906A3">
        <w:rPr>
          <w:bCs/>
          <w:i/>
          <w:iCs/>
          <w:noProof/>
        </w:rPr>
        <w:t>Divan</w:t>
      </w:r>
      <w:r w:rsidRPr="002906A3">
        <w:rPr>
          <w:bCs/>
          <w:noProof/>
        </w:rPr>
        <w:t xml:space="preserve">’ında yer alan </w:t>
      </w:r>
      <w:r w:rsidRPr="002906A3">
        <w:rPr>
          <w:bCs/>
          <w:i/>
          <w:iCs/>
          <w:noProof/>
        </w:rPr>
        <w:t xml:space="preserve">Der-Mezemmet-i Zenân, Der-Mezemmet-i Kahbe-gân, Der-Mezemmet-i Selita-gân, Der-Hâlet-i Zenân, Der-Şive-i Duhterân </w:t>
      </w:r>
      <w:r w:rsidRPr="002906A3">
        <w:rPr>
          <w:bCs/>
          <w:noProof/>
        </w:rPr>
        <w:t>ve</w:t>
      </w:r>
      <w:r w:rsidRPr="002906A3">
        <w:rPr>
          <w:bCs/>
          <w:i/>
          <w:iCs/>
          <w:noProof/>
        </w:rPr>
        <w:t xml:space="preserve"> Der-Mezemmet-i Hîzân</w:t>
      </w:r>
      <w:r w:rsidRPr="002906A3">
        <w:rPr>
          <w:bCs/>
          <w:noProof/>
        </w:rPr>
        <w:t xml:space="preserve"> başlıklı şiirlerinde Lâmiî Çelebi’nin kadınlar hakkındaki fikirlerinin ne derece çarpık, bozuk ve mesnetsiz genellemelerden ibaret olduğunu görebilmekteyiz. Zaten Lâmiî Çelebi’nin, Divan edebiyatının kadına olumsuz bakışını örneklendirmek için adı sık sık anılan yazarlarından biri olduğu otoriteler tarafından kabul edilmiş bir gerçektir. Lâmiî Çelebi’nin kadınlara karşı olan bu söyleminin gerekçeleri bilinmemekle birlikte yukarıda incelenen şiirler değerlendirildiği ve bu şiirlerden genel bir çıkarım yapıldığı zaman özel hayatında ve evliliğinde yolunda gitmeyen ve şairin gururuna dokunan bazı hadiselerin cereyan etmiş olabileceği sonucu çıkarılabilmektedir. Tabi Lâmiî Çelebi’nin kadınlar hakkında neden böyle düşüncelere sahip olduğu konusunda bugüne kadar kabul edilen gerekçelerin başında gelen dinî-tasavvufî içerikli didaktik eserler verme çabasında olan Lâmiî’nin eserlerinde ibret olabilecek olaylar üzerinden nasihatler verme çabasında olduğu ihtimali de unutulmamalıdır.</w:t>
      </w:r>
    </w:p>
    <w:p w14:paraId="0E3D31A3" w14:textId="77777777" w:rsidR="00BA67A6" w:rsidRPr="002906A3" w:rsidRDefault="00BA67A6" w:rsidP="00BA67A6">
      <w:pPr>
        <w:jc w:val="both"/>
        <w:rPr>
          <w:bCs/>
          <w:noProof/>
        </w:rPr>
      </w:pPr>
    </w:p>
    <w:p w14:paraId="69DA6231" w14:textId="77777777" w:rsidR="001E7189" w:rsidRDefault="001E7189" w:rsidP="00BA67A6">
      <w:pPr>
        <w:jc w:val="both"/>
        <w:rPr>
          <w:bCs/>
          <w:noProof/>
        </w:rPr>
      </w:pPr>
      <w:r w:rsidRPr="002906A3">
        <w:rPr>
          <w:bCs/>
          <w:noProof/>
        </w:rPr>
        <w:t xml:space="preserve">Yukarıda incelenen şiirler neticesinde Lâmiî Çelebi’nin kadın anlayışının iki odak noktası olduğu anlaşılmaktadır: Kötülük ve cinsellik. Şaire göre kadınlar neredeyse kötü olan bütün </w:t>
      </w:r>
      <w:r w:rsidRPr="002906A3">
        <w:rPr>
          <w:bCs/>
          <w:noProof/>
        </w:rPr>
        <w:lastRenderedPageBreak/>
        <w:t>özellikleri bünyelerinde barındırabilecek kadar ikiyüzlü, dedikoducu, aldatıcı, yalancı, hileci, fesatçı kişilerdir. Yalan söyleyip insanları kandırmak kadınlar için genetik bir huydur ve istisnasız her kadın böyledir. Ayrıca bu kadınlar erkek ve cinsellik düşkünüdür. Bu hayatta tek istekleri ve beklentileri bir erkeğin penisidir ve bütün dertleri, küskünlükleri o penisi elde ettikleri anda son bulur. Şaire göre kadınlar, insanlar arasında neredeyse en alt seviyededir ancak kadınlardan daha alt seviyede olan ve para karşılığı cinsel birliktelik yaşayan ibneler vardır ki onlar da edep, haya, namus, vefa birçok konuda negatif anlamda kadınlarla ortak özellikleri paylaşırlar.</w:t>
      </w:r>
    </w:p>
    <w:p w14:paraId="67C14CC2" w14:textId="77777777" w:rsidR="00BA67A6" w:rsidRPr="002906A3" w:rsidRDefault="00BA67A6" w:rsidP="00BA67A6">
      <w:pPr>
        <w:jc w:val="both"/>
        <w:rPr>
          <w:bCs/>
          <w:noProof/>
        </w:rPr>
      </w:pPr>
    </w:p>
    <w:p w14:paraId="79F5E44A" w14:textId="77777777" w:rsidR="001E7189" w:rsidRPr="002906A3" w:rsidRDefault="001E7189" w:rsidP="00BA67A6">
      <w:pPr>
        <w:jc w:val="both"/>
        <w:rPr>
          <w:bCs/>
          <w:noProof/>
        </w:rPr>
      </w:pPr>
      <w:r w:rsidRPr="002906A3">
        <w:rPr>
          <w:bCs/>
          <w:noProof/>
        </w:rPr>
        <w:t>Lâmiî Çelebi’nin bu çalışmaya konu olan şiirlerine bugünün gözüyle baktığımız zaman kadınlar hakkında söylenen sözlerin kabul edilebilir bir tarafı yoktur. Ancak bu şiirleri yorumlarken şairin yaşadığı dönemin şartlarını, Osmanlı toplum yapısını ve İslam geleneklerini de hesaba katmamız gerekir. Osmanlı toplum yapısında, istisnai durumlar hariç, kadının toplumdaki yeri çok geri planda bırakılmış hatta kadınlar yer yer yok sayılmışlardır. Bu bağlamda Lâmiî’nin kadınlar hakkında söyledikleri hala kulağa hoş gelmese de sosyal anlamda bir bakıma makul sayılabilirler. Ancak İslam dininin kadınlar hakkında erkeklere verdiği emirlere baktığımız ve Kur’an-ı Kerim’de kadın hakkında söylenenlere kulak verdiğimiz zaman Lâmiî Çelebi’nin kadınlar hakkında söylediği şeylerin dinî açıdan uygun olmadığı görülmektedir.</w:t>
      </w:r>
    </w:p>
    <w:p w14:paraId="6943D9B3" w14:textId="0CBA3FD6" w:rsidR="001E7189" w:rsidRPr="002906A3" w:rsidRDefault="001E7189" w:rsidP="00BA67A6">
      <w:pPr>
        <w:rPr>
          <w:bCs/>
          <w:noProof/>
        </w:rPr>
      </w:pPr>
    </w:p>
    <w:p w14:paraId="6B039ABE" w14:textId="77777777" w:rsidR="001E7189" w:rsidRPr="002906A3" w:rsidRDefault="001E7189" w:rsidP="00BA67A6">
      <w:pPr>
        <w:jc w:val="both"/>
        <w:rPr>
          <w:b/>
          <w:noProof/>
        </w:rPr>
      </w:pPr>
      <w:r w:rsidRPr="002906A3">
        <w:rPr>
          <w:b/>
          <w:noProof/>
        </w:rPr>
        <w:t>Kaynakça</w:t>
      </w:r>
    </w:p>
    <w:p w14:paraId="04544863" w14:textId="77777777" w:rsidR="001E7189" w:rsidRPr="002906A3" w:rsidRDefault="001E7189">
      <w:pPr>
        <w:pStyle w:val="ListeParagraf"/>
        <w:widowControl/>
        <w:numPr>
          <w:ilvl w:val="0"/>
          <w:numId w:val="54"/>
        </w:numPr>
        <w:autoSpaceDE/>
        <w:autoSpaceDN/>
        <w:jc w:val="both"/>
        <w:rPr>
          <w:noProof/>
        </w:rPr>
      </w:pPr>
      <w:r w:rsidRPr="002906A3">
        <w:rPr>
          <w:noProof/>
        </w:rPr>
        <w:t xml:space="preserve">Belenkuyu, Bekir (2018). </w:t>
      </w:r>
      <w:r w:rsidRPr="002906A3">
        <w:rPr>
          <w:i/>
          <w:iCs/>
          <w:noProof/>
        </w:rPr>
        <w:t>Lâmiî Çelebi’nin Mesneviciliği</w:t>
      </w:r>
      <w:r w:rsidRPr="002906A3">
        <w:rPr>
          <w:noProof/>
        </w:rPr>
        <w:t xml:space="preserve"> [Doktora tezi, Eskişehir Osmangazi Üniversitesi]. YÖK Tez Merkezi.</w:t>
      </w:r>
    </w:p>
    <w:p w14:paraId="3069BDE1" w14:textId="77777777" w:rsidR="001E7189" w:rsidRPr="002906A3" w:rsidRDefault="001E7189">
      <w:pPr>
        <w:pStyle w:val="ListeParagraf"/>
        <w:widowControl/>
        <w:numPr>
          <w:ilvl w:val="0"/>
          <w:numId w:val="54"/>
        </w:numPr>
        <w:autoSpaceDE/>
        <w:autoSpaceDN/>
        <w:jc w:val="both"/>
        <w:rPr>
          <w:noProof/>
        </w:rPr>
      </w:pPr>
      <w:r w:rsidRPr="002906A3">
        <w:rPr>
          <w:noProof/>
        </w:rPr>
        <w:t xml:space="preserve">Burmaoğlu, Hamit Bilen (2023). </w:t>
      </w:r>
      <w:r w:rsidRPr="002906A3">
        <w:rPr>
          <w:i/>
          <w:iCs/>
          <w:noProof/>
        </w:rPr>
        <w:t>Lâmi’î Çelebi Dîvânı (Hayatı, Edebî Kişiliği, Eserleri ve Dîvânı’nın Tenkidli Metni)</w:t>
      </w:r>
      <w:r w:rsidRPr="002906A3">
        <w:rPr>
          <w:noProof/>
        </w:rPr>
        <w:t>. Yıldırım Belediyesi Kültür Yayınları.</w:t>
      </w:r>
    </w:p>
    <w:p w14:paraId="63A63841" w14:textId="77777777" w:rsidR="001E7189" w:rsidRPr="002906A3" w:rsidRDefault="001E7189">
      <w:pPr>
        <w:pStyle w:val="ListeParagraf"/>
        <w:widowControl/>
        <w:numPr>
          <w:ilvl w:val="0"/>
          <w:numId w:val="54"/>
        </w:numPr>
        <w:autoSpaceDE/>
        <w:autoSpaceDN/>
        <w:jc w:val="both"/>
        <w:rPr>
          <w:noProof/>
        </w:rPr>
      </w:pPr>
      <w:r w:rsidRPr="002906A3">
        <w:rPr>
          <w:noProof/>
        </w:rPr>
        <w:t xml:space="preserve">Kut, Günay (2015). Lâmi’î Çelebi, Mahmûd b. Osmân. </w:t>
      </w:r>
      <w:r w:rsidRPr="002906A3">
        <w:rPr>
          <w:i/>
          <w:iCs/>
          <w:noProof/>
        </w:rPr>
        <w:t>Türk Edebiyatı İsimler Sözlüğü</w:t>
      </w:r>
      <w:r w:rsidRPr="002906A3">
        <w:rPr>
          <w:noProof/>
        </w:rPr>
        <w:t xml:space="preserve">. Erişim: Şubat 6 2025, </w:t>
      </w:r>
      <w:hyperlink r:id="rId219" w:history="1">
        <w:r w:rsidRPr="002906A3">
          <w:rPr>
            <w:rStyle w:val="Kpr"/>
            <w:noProof/>
          </w:rPr>
          <w:t>https://teis.yesevi.edu.tr/madde-detay/lamii-celebi-mahmud-osman</w:t>
        </w:r>
      </w:hyperlink>
    </w:p>
    <w:p w14:paraId="7AC8F571" w14:textId="77777777" w:rsidR="001E7189" w:rsidRPr="002906A3" w:rsidRDefault="001E7189">
      <w:pPr>
        <w:pStyle w:val="ListeParagraf"/>
        <w:widowControl/>
        <w:numPr>
          <w:ilvl w:val="0"/>
          <w:numId w:val="54"/>
        </w:numPr>
        <w:autoSpaceDE/>
        <w:autoSpaceDN/>
        <w:jc w:val="both"/>
        <w:rPr>
          <w:noProof/>
        </w:rPr>
      </w:pPr>
      <w:r w:rsidRPr="002906A3">
        <w:rPr>
          <w:noProof/>
        </w:rPr>
        <w:t xml:space="preserve">Kut, Günay (2003). Lâmiî Çelebi. </w:t>
      </w:r>
      <w:r w:rsidRPr="002906A3">
        <w:rPr>
          <w:i/>
          <w:iCs/>
          <w:noProof/>
        </w:rPr>
        <w:t xml:space="preserve">Türkiye Diyânet Vakfı İslâm Ansiklopedisi. </w:t>
      </w:r>
      <w:r w:rsidRPr="002906A3">
        <w:rPr>
          <w:iCs/>
          <w:noProof/>
        </w:rPr>
        <w:t xml:space="preserve">Erişim Şubat 6 2025, </w:t>
      </w:r>
      <w:hyperlink r:id="rId220" w:history="1">
        <w:r w:rsidRPr="002906A3">
          <w:rPr>
            <w:rStyle w:val="Kpr"/>
            <w:iCs/>
            <w:noProof/>
          </w:rPr>
          <w:t>https://islamansiklopedisi.org.tr/lamii-celebi</w:t>
        </w:r>
      </w:hyperlink>
    </w:p>
    <w:p w14:paraId="0A7CFC78" w14:textId="77777777" w:rsidR="001E7189" w:rsidRPr="002906A3" w:rsidRDefault="001E7189">
      <w:pPr>
        <w:pStyle w:val="ListeParagraf"/>
        <w:widowControl/>
        <w:numPr>
          <w:ilvl w:val="0"/>
          <w:numId w:val="54"/>
        </w:numPr>
        <w:autoSpaceDE/>
        <w:autoSpaceDN/>
        <w:jc w:val="both"/>
        <w:rPr>
          <w:noProof/>
        </w:rPr>
      </w:pPr>
      <w:r w:rsidRPr="002906A3">
        <w:rPr>
          <w:noProof/>
        </w:rPr>
        <w:t xml:space="preserve">Uludağ, Süleyman &amp; Kara, Mustafa (2011). </w:t>
      </w:r>
      <w:r w:rsidRPr="002906A3">
        <w:rPr>
          <w:i/>
          <w:noProof/>
        </w:rPr>
        <w:t>Evliya Menkıbeleri</w:t>
      </w:r>
      <w:r w:rsidRPr="002906A3">
        <w:rPr>
          <w:noProof/>
        </w:rPr>
        <w:t>. Pinhan Yayıncılık.</w:t>
      </w:r>
    </w:p>
    <w:p w14:paraId="77EE4A34" w14:textId="77777777" w:rsidR="001E7189" w:rsidRPr="002906A3" w:rsidRDefault="001E7189">
      <w:pPr>
        <w:pStyle w:val="ListeParagraf"/>
        <w:widowControl/>
        <w:numPr>
          <w:ilvl w:val="0"/>
          <w:numId w:val="54"/>
        </w:numPr>
        <w:autoSpaceDE/>
        <w:autoSpaceDN/>
        <w:jc w:val="both"/>
        <w:rPr>
          <w:noProof/>
        </w:rPr>
      </w:pPr>
      <w:r w:rsidRPr="002906A3">
        <w:rPr>
          <w:noProof/>
        </w:rPr>
        <w:t xml:space="preserve">Tezcan, Nuran (2016). Lâmiî’nin Bazı Eserlerinde Kadın Tipleri ve Kadınla İlgili Düşünceler. </w:t>
      </w:r>
      <w:r w:rsidRPr="002906A3">
        <w:rPr>
          <w:i/>
          <w:noProof/>
        </w:rPr>
        <w:t xml:space="preserve">Divan Edebiyatına Yeniden Bakış </w:t>
      </w:r>
      <w:r w:rsidRPr="002906A3">
        <w:rPr>
          <w:noProof/>
        </w:rPr>
        <w:t>(216-240). Yapı Kredi Yayınları.</w:t>
      </w:r>
    </w:p>
    <w:p w14:paraId="0BA19917" w14:textId="77777777" w:rsidR="001E7189" w:rsidRPr="002906A3" w:rsidRDefault="001E7189">
      <w:pPr>
        <w:pStyle w:val="ListeParagraf"/>
        <w:widowControl/>
        <w:numPr>
          <w:ilvl w:val="0"/>
          <w:numId w:val="54"/>
        </w:numPr>
        <w:autoSpaceDE/>
        <w:autoSpaceDN/>
        <w:jc w:val="both"/>
        <w:rPr>
          <w:noProof/>
        </w:rPr>
      </w:pPr>
      <w:r w:rsidRPr="002906A3">
        <w:rPr>
          <w:noProof/>
        </w:rPr>
        <w:t xml:space="preserve">Canım, Rıdvan (2000). </w:t>
      </w:r>
      <w:r w:rsidRPr="002906A3">
        <w:rPr>
          <w:i/>
          <w:noProof/>
        </w:rPr>
        <w:t>Latîfî Tezkiretü’ş-Şu’arâ ve Tabsıratü’n-Nuzamâ (İnceleme-Metin)</w:t>
      </w:r>
      <w:r w:rsidRPr="002906A3">
        <w:rPr>
          <w:noProof/>
        </w:rPr>
        <w:t>. Türk Tarih Kurumu Basımevi.</w:t>
      </w:r>
    </w:p>
    <w:p w14:paraId="517AC5EB" w14:textId="77777777" w:rsidR="001E7189" w:rsidRPr="002906A3" w:rsidRDefault="001E7189">
      <w:pPr>
        <w:pStyle w:val="ListeParagraf"/>
        <w:widowControl/>
        <w:numPr>
          <w:ilvl w:val="0"/>
          <w:numId w:val="54"/>
        </w:numPr>
        <w:autoSpaceDE/>
        <w:autoSpaceDN/>
        <w:jc w:val="both"/>
        <w:rPr>
          <w:noProof/>
        </w:rPr>
      </w:pPr>
      <w:r w:rsidRPr="002906A3">
        <w:rPr>
          <w:noProof/>
        </w:rPr>
        <w:t xml:space="preserve">Yiğit, Süleyman (2018). Lâmi’î’nin Mesnevîlerinde Kadın Algısı. </w:t>
      </w:r>
      <w:r w:rsidRPr="002906A3">
        <w:rPr>
          <w:i/>
          <w:noProof/>
        </w:rPr>
        <w:t>Söylem Filoloji Dergisi</w:t>
      </w:r>
      <w:r w:rsidRPr="002906A3">
        <w:rPr>
          <w:noProof/>
        </w:rPr>
        <w:t xml:space="preserve">, 3(2), ss. 217-251. </w:t>
      </w:r>
      <w:hyperlink r:id="rId221" w:history="1">
        <w:r w:rsidRPr="002906A3">
          <w:rPr>
            <w:rStyle w:val="Kpr"/>
            <w:noProof/>
          </w:rPr>
          <w:t>https://dergipark.org.tr/tr/pub/soylemdergi/article/460652</w:t>
        </w:r>
      </w:hyperlink>
    </w:p>
    <w:p w14:paraId="6E07BBE8" w14:textId="77777777" w:rsidR="001E7189" w:rsidRPr="002906A3" w:rsidRDefault="001E7189">
      <w:pPr>
        <w:pStyle w:val="ListeParagraf"/>
        <w:widowControl/>
        <w:numPr>
          <w:ilvl w:val="0"/>
          <w:numId w:val="54"/>
        </w:numPr>
        <w:autoSpaceDE/>
        <w:autoSpaceDN/>
        <w:jc w:val="both"/>
        <w:rPr>
          <w:noProof/>
        </w:rPr>
      </w:pPr>
      <w:r w:rsidRPr="002906A3">
        <w:rPr>
          <w:noProof/>
        </w:rPr>
        <w:t xml:space="preserve">Aytaç, Aslı (2011). Lâmi’î Çelebi Dîvânı’nda Müteferrikât Bölümünde Bulunan Hiciv Manzumeleri. </w:t>
      </w:r>
      <w:r w:rsidRPr="002906A3">
        <w:rPr>
          <w:i/>
          <w:noProof/>
        </w:rPr>
        <w:t>Turkish Studies - International Periodical For The Languages, Literature and History of Turkish or Turkic</w:t>
      </w:r>
      <w:r w:rsidRPr="002906A3">
        <w:rPr>
          <w:noProof/>
        </w:rPr>
        <w:t xml:space="preserve">, 6/2, ss. 75-86. </w:t>
      </w:r>
      <w:hyperlink r:id="rId222" w:history="1">
        <w:r w:rsidRPr="002906A3">
          <w:rPr>
            <w:rStyle w:val="Kpr"/>
            <w:noProof/>
          </w:rPr>
          <w:t>https://turkishstudies.net/turkishstudies?mod=makale_tr_ozet&amp;makale_id=15058</w:t>
        </w:r>
      </w:hyperlink>
    </w:p>
    <w:p w14:paraId="39C0B6EE" w14:textId="5C8A7778" w:rsidR="00C70E93" w:rsidRDefault="001E7189">
      <w:pPr>
        <w:pStyle w:val="ListeParagraf"/>
        <w:widowControl/>
        <w:numPr>
          <w:ilvl w:val="0"/>
          <w:numId w:val="54"/>
        </w:numPr>
        <w:autoSpaceDE/>
        <w:autoSpaceDN/>
        <w:jc w:val="both"/>
      </w:pPr>
      <w:r w:rsidRPr="002906A3">
        <w:rPr>
          <w:noProof/>
        </w:rPr>
        <w:t xml:space="preserve">Ayan, Gönül (1994). Lâmiʻî Çelebi’nin Hayatı, Edebi Kişiliği ve Eserleri. </w:t>
      </w:r>
      <w:r w:rsidRPr="002906A3">
        <w:rPr>
          <w:i/>
          <w:noProof/>
        </w:rPr>
        <w:t>Selçuk Üniversitesi Türkiyat Araştırmaları Dergisi</w:t>
      </w:r>
      <w:r w:rsidRPr="002906A3">
        <w:rPr>
          <w:noProof/>
        </w:rPr>
        <w:t xml:space="preserve">, 1, ss. 43-65. </w:t>
      </w:r>
      <w:hyperlink r:id="rId223" w:history="1">
        <w:r w:rsidRPr="002906A3">
          <w:rPr>
            <w:rStyle w:val="Kpr"/>
            <w:noProof/>
          </w:rPr>
          <w:t>https://dergipark.org.tr/tr/pub/sutad/issue/26301/277164</w:t>
        </w:r>
      </w:hyperlink>
    </w:p>
    <w:p w14:paraId="0DBC11F1" w14:textId="7D006C30" w:rsidR="00D5204A" w:rsidRPr="002906A3" w:rsidRDefault="00C70E93" w:rsidP="00C70E93">
      <w:pPr>
        <w:autoSpaceDE/>
        <w:autoSpaceDN/>
      </w:pPr>
      <w:r>
        <w:br w:type="page"/>
      </w:r>
    </w:p>
    <w:p w14:paraId="18D1EC14" w14:textId="0A101D65" w:rsidR="001E7189" w:rsidRDefault="001E7189" w:rsidP="004C7694">
      <w:pPr>
        <w:pStyle w:val="Tark"/>
      </w:pPr>
      <w:bookmarkStart w:id="181" w:name="_Toc192855235"/>
      <w:proofErr w:type="spellStart"/>
      <w:r w:rsidRPr="002906A3">
        <w:lastRenderedPageBreak/>
        <w:t>Kazâen</w:t>
      </w:r>
      <w:proofErr w:type="spellEnd"/>
      <w:r w:rsidRPr="002906A3">
        <w:t xml:space="preserve"> Kendi Ölümüne Sebebiyet Verme</w:t>
      </w:r>
      <w:r w:rsidR="009C1D8C">
        <w:t xml:space="preserve"> </w:t>
      </w:r>
      <w:r w:rsidRPr="002906A3">
        <w:t>-Son Dönem Osmanlı Bosna’sı Örneğinde-</w:t>
      </w:r>
      <w:bookmarkEnd w:id="181"/>
    </w:p>
    <w:p w14:paraId="15A8235C" w14:textId="77777777" w:rsidR="009C1D8C" w:rsidRPr="009C1D8C" w:rsidRDefault="009C1D8C" w:rsidP="00BA67A6">
      <w:pPr>
        <w:pStyle w:val="Metin"/>
      </w:pPr>
    </w:p>
    <w:p w14:paraId="485A703D" w14:textId="2FDD80EF" w:rsidR="001E7189" w:rsidRPr="002906A3" w:rsidRDefault="001E7189" w:rsidP="00BA67A6">
      <w:pPr>
        <w:ind w:firstLine="709"/>
        <w:jc w:val="center"/>
        <w:rPr>
          <w:bCs/>
        </w:rPr>
      </w:pPr>
      <w:r w:rsidRPr="002906A3">
        <w:rPr>
          <w:bCs/>
        </w:rPr>
        <w:t>Melis Merve OCAK</w:t>
      </w:r>
    </w:p>
    <w:p w14:paraId="5090BE1C" w14:textId="77777777" w:rsidR="001E7189" w:rsidRPr="002906A3" w:rsidRDefault="001E7189" w:rsidP="00BA67A6">
      <w:pPr>
        <w:ind w:firstLine="709"/>
        <w:jc w:val="center"/>
        <w:rPr>
          <w:bCs/>
          <w:color w:val="000000" w:themeColor="text1"/>
        </w:rPr>
      </w:pPr>
      <w:r w:rsidRPr="002906A3">
        <w:rPr>
          <w:bCs/>
        </w:rPr>
        <w:t>Doktora Öğrencisi, Manisa Celal Bayar Üniversitesi, Lisansüstü Eğitim Enstitüsü, Tarih Bölümü</w:t>
      </w:r>
    </w:p>
    <w:p w14:paraId="5BDA0BDE" w14:textId="77777777" w:rsidR="001E7189" w:rsidRPr="002906A3" w:rsidRDefault="001E7189" w:rsidP="00BA67A6">
      <w:pPr>
        <w:ind w:firstLine="709"/>
        <w:jc w:val="center"/>
        <w:rPr>
          <w:bCs/>
        </w:rPr>
      </w:pPr>
      <w:r w:rsidRPr="002906A3">
        <w:rPr>
          <w:bCs/>
        </w:rPr>
        <w:t>E- Posta: melismerveocak@hotmail.com</w:t>
      </w:r>
    </w:p>
    <w:p w14:paraId="5706195E" w14:textId="77777777" w:rsidR="001E7189" w:rsidRDefault="001E7189" w:rsidP="00BA67A6">
      <w:pPr>
        <w:ind w:firstLine="709"/>
        <w:jc w:val="center"/>
        <w:rPr>
          <w:bCs/>
        </w:rPr>
      </w:pPr>
      <w:r w:rsidRPr="002906A3">
        <w:rPr>
          <w:bCs/>
        </w:rPr>
        <w:t>ORCID: 0000-0002-2244-3203</w:t>
      </w:r>
    </w:p>
    <w:p w14:paraId="14961325" w14:textId="77777777" w:rsidR="00BF3875" w:rsidRPr="002906A3" w:rsidRDefault="00BF3875" w:rsidP="00BA67A6">
      <w:pPr>
        <w:ind w:firstLine="709"/>
        <w:jc w:val="center"/>
        <w:rPr>
          <w:bCs/>
        </w:rPr>
      </w:pPr>
    </w:p>
    <w:p w14:paraId="2007FD32" w14:textId="61DF1BB3" w:rsidR="001E7189" w:rsidRPr="002906A3" w:rsidRDefault="00BF3875" w:rsidP="00BA67A6">
      <w:pPr>
        <w:jc w:val="center"/>
        <w:rPr>
          <w:b/>
        </w:rPr>
      </w:pPr>
      <w:r>
        <w:rPr>
          <w:b/>
        </w:rPr>
        <w:t>Özet</w:t>
      </w:r>
    </w:p>
    <w:p w14:paraId="6D893D08" w14:textId="77777777" w:rsidR="001E7189" w:rsidRDefault="001E7189" w:rsidP="00BA67A6">
      <w:pPr>
        <w:jc w:val="both"/>
      </w:pPr>
      <w:r w:rsidRPr="002906A3">
        <w:t>Eski çağlardan beri bireylerin dikkatsizlik, tedbirsizlik, ihmalkârlık ve hataları kendilerinin yahut başkalarının yaralanmasına veya ölmesine sebebiyet verebilmektedir. İslam hukukunda ve özünü ondan alan Osmanlı ceza hukukunda “</w:t>
      </w:r>
      <w:proofErr w:type="spellStart"/>
      <w:r w:rsidRPr="002906A3">
        <w:t>hatâen</w:t>
      </w:r>
      <w:proofErr w:type="spellEnd"/>
      <w:r w:rsidRPr="002906A3">
        <w:t xml:space="preserve">”, günümüz hukuk terminolojisinde ise “taksir” ile ifade edilen “bir kimsenin kasıt unsuru olmadan hatayla öldürülmesi” fiilinde, kusurlu eyleminden dolayı failin cezai sorumluluğu söz konusudur. Kazalar ise beklenmedik anlarda gerçekleşen öngörülemeyen durumlar olarak kabul edilir ki dolayısıyla failin cezai sorumluluğu bulunmaz. Zira başkasının kasıtlı bir eylemiyle veya müdahalesiyle gerçekleşmemişlerdir. Osmanlı arşiv belgelerinde ölümle neticelenen kaza vakaları “kaza </w:t>
      </w:r>
      <w:proofErr w:type="spellStart"/>
      <w:r w:rsidRPr="002906A3">
        <w:t>nevʻinden</w:t>
      </w:r>
      <w:proofErr w:type="spellEnd"/>
      <w:r w:rsidRPr="002906A3">
        <w:t xml:space="preserve">”, kimesnenin </w:t>
      </w:r>
      <w:proofErr w:type="spellStart"/>
      <w:proofErr w:type="gramStart"/>
      <w:r w:rsidRPr="002906A3">
        <w:t>sun‘</w:t>
      </w:r>
      <w:proofErr w:type="gramEnd"/>
      <w:r w:rsidRPr="002906A3">
        <w:t>ı</w:t>
      </w:r>
      <w:proofErr w:type="spellEnd"/>
      <w:r w:rsidRPr="002906A3">
        <w:t xml:space="preserve"> ve </w:t>
      </w:r>
      <w:proofErr w:type="spellStart"/>
      <w:r w:rsidRPr="002906A3">
        <w:t>medhali</w:t>
      </w:r>
      <w:proofErr w:type="spellEnd"/>
      <w:r w:rsidRPr="002906A3">
        <w:t xml:space="preserve"> olmadan vefat ettiği”, “</w:t>
      </w:r>
      <w:proofErr w:type="spellStart"/>
      <w:r w:rsidRPr="002906A3">
        <w:t>kazâen</w:t>
      </w:r>
      <w:proofErr w:type="spellEnd"/>
      <w:r w:rsidRPr="002906A3">
        <w:t xml:space="preserve"> kendini telef ettiği” gibi ifadelerle kayıtlıdır. Bu bildiride, Tanzimat döneminin yüksek yasama ve yargı kurumu olan Meclis-i </w:t>
      </w:r>
      <w:proofErr w:type="spellStart"/>
      <w:r w:rsidRPr="002906A3">
        <w:t>Vâlâ</w:t>
      </w:r>
      <w:proofErr w:type="spellEnd"/>
      <w:r w:rsidRPr="002906A3">
        <w:t xml:space="preserve"> kayıtlarına yansıyan veriler üzerinden Bosna Eyaleti’nin son dönemlerinde </w:t>
      </w:r>
      <w:proofErr w:type="spellStart"/>
      <w:r w:rsidRPr="002906A3">
        <w:t>kazâen</w:t>
      </w:r>
      <w:proofErr w:type="spellEnd"/>
      <w:r w:rsidRPr="002906A3">
        <w:t xml:space="preserve"> kişilerin kendi ölümleriyle sonuçlanan vakalar incelenecektir.</w:t>
      </w:r>
    </w:p>
    <w:p w14:paraId="60ECC545" w14:textId="77777777" w:rsidR="00A4535A" w:rsidRPr="002906A3" w:rsidRDefault="00A4535A" w:rsidP="00BA67A6">
      <w:pPr>
        <w:jc w:val="both"/>
      </w:pPr>
    </w:p>
    <w:p w14:paraId="108E6581" w14:textId="1BA8389F" w:rsidR="00A4535A" w:rsidRDefault="001E7189" w:rsidP="00BA67A6">
      <w:pPr>
        <w:jc w:val="both"/>
        <w:rPr>
          <w:b/>
        </w:rPr>
      </w:pPr>
      <w:r w:rsidRPr="002906A3">
        <w:rPr>
          <w:b/>
        </w:rPr>
        <w:t xml:space="preserve">Anahtar Kelimeler: Bosna, </w:t>
      </w:r>
      <w:proofErr w:type="spellStart"/>
      <w:r w:rsidRPr="002906A3">
        <w:rPr>
          <w:b/>
        </w:rPr>
        <w:t>Kazâen</w:t>
      </w:r>
      <w:proofErr w:type="spellEnd"/>
      <w:r w:rsidRPr="002906A3">
        <w:rPr>
          <w:b/>
        </w:rPr>
        <w:t xml:space="preserve"> ölüm, Ev kazaları, Boğulma</w:t>
      </w:r>
    </w:p>
    <w:p w14:paraId="6F49054D" w14:textId="77777777" w:rsidR="00A4535A" w:rsidRPr="002906A3" w:rsidRDefault="00A4535A" w:rsidP="00BA67A6">
      <w:pPr>
        <w:jc w:val="both"/>
        <w:rPr>
          <w:b/>
        </w:rPr>
      </w:pPr>
    </w:p>
    <w:p w14:paraId="5BC16787" w14:textId="77777777" w:rsidR="001E7189" w:rsidRPr="002906A3" w:rsidRDefault="001E7189" w:rsidP="00BA67A6">
      <w:pPr>
        <w:jc w:val="both"/>
      </w:pPr>
    </w:p>
    <w:p w14:paraId="25AD8DBF" w14:textId="7132B946" w:rsidR="001E7189" w:rsidRPr="002906A3" w:rsidRDefault="00BF3875" w:rsidP="00BA67A6">
      <w:pPr>
        <w:jc w:val="center"/>
        <w:rPr>
          <w:b/>
        </w:rPr>
      </w:pPr>
      <w:proofErr w:type="spellStart"/>
      <w:r>
        <w:rPr>
          <w:b/>
        </w:rPr>
        <w:t>Abstract</w:t>
      </w:r>
      <w:proofErr w:type="spellEnd"/>
    </w:p>
    <w:p w14:paraId="0E239ADA" w14:textId="77777777" w:rsidR="001E7189" w:rsidRDefault="001E7189" w:rsidP="00BA67A6">
      <w:pPr>
        <w:jc w:val="both"/>
        <w:rPr>
          <w:bCs/>
        </w:rPr>
      </w:pPr>
      <w:r w:rsidRPr="002906A3">
        <w:rPr>
          <w:bCs/>
        </w:rPr>
        <w:t xml:space="preserve">Since </w:t>
      </w:r>
      <w:proofErr w:type="spellStart"/>
      <w:r w:rsidRPr="002906A3">
        <w:rPr>
          <w:bCs/>
        </w:rPr>
        <w:t>ancient</w:t>
      </w:r>
      <w:proofErr w:type="spellEnd"/>
      <w:r w:rsidRPr="002906A3">
        <w:rPr>
          <w:bCs/>
        </w:rPr>
        <w:t xml:space="preserve"> </w:t>
      </w:r>
      <w:proofErr w:type="spellStart"/>
      <w:r w:rsidRPr="002906A3">
        <w:rPr>
          <w:bCs/>
        </w:rPr>
        <w:t>times</w:t>
      </w:r>
      <w:proofErr w:type="spellEnd"/>
      <w:r w:rsidRPr="002906A3">
        <w:rPr>
          <w:bCs/>
        </w:rPr>
        <w:t xml:space="preserve">, </w:t>
      </w:r>
      <w:proofErr w:type="spellStart"/>
      <w:r w:rsidRPr="002906A3">
        <w:rPr>
          <w:bCs/>
        </w:rPr>
        <w:t>individuals</w:t>
      </w:r>
      <w:proofErr w:type="spellEnd"/>
      <w:r w:rsidRPr="002906A3">
        <w:rPr>
          <w:bCs/>
        </w:rPr>
        <w:t xml:space="preserve">' </w:t>
      </w:r>
      <w:proofErr w:type="spellStart"/>
      <w:r w:rsidRPr="002906A3">
        <w:rPr>
          <w:bCs/>
        </w:rPr>
        <w:t>carelessness</w:t>
      </w:r>
      <w:proofErr w:type="spellEnd"/>
      <w:r w:rsidRPr="002906A3">
        <w:rPr>
          <w:bCs/>
        </w:rPr>
        <w:t xml:space="preserve">, </w:t>
      </w:r>
      <w:proofErr w:type="spellStart"/>
      <w:r w:rsidRPr="002906A3">
        <w:rPr>
          <w:bCs/>
        </w:rPr>
        <w:t>imprudence</w:t>
      </w:r>
      <w:proofErr w:type="spellEnd"/>
      <w:r w:rsidRPr="002906A3">
        <w:rPr>
          <w:bCs/>
        </w:rPr>
        <w:t xml:space="preserve">, </w:t>
      </w:r>
      <w:proofErr w:type="spellStart"/>
      <w:r w:rsidRPr="002906A3">
        <w:rPr>
          <w:bCs/>
        </w:rPr>
        <w:t>negligence</w:t>
      </w:r>
      <w:proofErr w:type="spellEnd"/>
      <w:r w:rsidRPr="002906A3">
        <w:rPr>
          <w:bCs/>
        </w:rPr>
        <w:t xml:space="preserve"> </w:t>
      </w:r>
      <w:proofErr w:type="spellStart"/>
      <w:r w:rsidRPr="002906A3">
        <w:rPr>
          <w:bCs/>
        </w:rPr>
        <w:t>and</w:t>
      </w:r>
      <w:proofErr w:type="spellEnd"/>
      <w:r w:rsidRPr="002906A3">
        <w:rPr>
          <w:bCs/>
        </w:rPr>
        <w:t xml:space="preserve"> </w:t>
      </w:r>
      <w:proofErr w:type="spellStart"/>
      <w:r w:rsidRPr="002906A3">
        <w:rPr>
          <w:bCs/>
        </w:rPr>
        <w:t>mistakes</w:t>
      </w:r>
      <w:proofErr w:type="spellEnd"/>
      <w:r w:rsidRPr="002906A3">
        <w:rPr>
          <w:bCs/>
        </w:rPr>
        <w:t xml:space="preserve"> can </w:t>
      </w:r>
      <w:proofErr w:type="spellStart"/>
      <w:r w:rsidRPr="002906A3">
        <w:rPr>
          <w:bCs/>
        </w:rPr>
        <w:t>cause</w:t>
      </w:r>
      <w:proofErr w:type="spellEnd"/>
      <w:r w:rsidRPr="002906A3">
        <w:rPr>
          <w:bCs/>
        </w:rPr>
        <w:t xml:space="preserve"> </w:t>
      </w:r>
      <w:proofErr w:type="spellStart"/>
      <w:r w:rsidRPr="002906A3">
        <w:rPr>
          <w:bCs/>
        </w:rPr>
        <w:t>injury</w:t>
      </w:r>
      <w:proofErr w:type="spellEnd"/>
      <w:r w:rsidRPr="002906A3">
        <w:rPr>
          <w:bCs/>
        </w:rPr>
        <w:t xml:space="preserve"> </w:t>
      </w:r>
      <w:proofErr w:type="spellStart"/>
      <w:r w:rsidRPr="002906A3">
        <w:rPr>
          <w:bCs/>
        </w:rPr>
        <w:t>or</w:t>
      </w:r>
      <w:proofErr w:type="spellEnd"/>
      <w:r w:rsidRPr="002906A3">
        <w:rPr>
          <w:bCs/>
        </w:rPr>
        <w:t xml:space="preserve"> </w:t>
      </w:r>
      <w:proofErr w:type="spellStart"/>
      <w:r w:rsidRPr="002906A3">
        <w:rPr>
          <w:bCs/>
        </w:rPr>
        <w:t>death</w:t>
      </w:r>
      <w:proofErr w:type="spellEnd"/>
      <w:r w:rsidRPr="002906A3">
        <w:rPr>
          <w:bCs/>
        </w:rPr>
        <w:t xml:space="preserve"> </w:t>
      </w:r>
      <w:proofErr w:type="spellStart"/>
      <w:r w:rsidRPr="002906A3">
        <w:rPr>
          <w:bCs/>
        </w:rPr>
        <w:t>to</w:t>
      </w:r>
      <w:proofErr w:type="spellEnd"/>
      <w:r w:rsidRPr="002906A3">
        <w:rPr>
          <w:bCs/>
        </w:rPr>
        <w:t xml:space="preserve"> </w:t>
      </w:r>
      <w:proofErr w:type="spellStart"/>
      <w:r w:rsidRPr="002906A3">
        <w:rPr>
          <w:bCs/>
        </w:rPr>
        <w:t>themselves</w:t>
      </w:r>
      <w:proofErr w:type="spellEnd"/>
      <w:r w:rsidRPr="002906A3">
        <w:rPr>
          <w:bCs/>
        </w:rPr>
        <w:t xml:space="preserve"> </w:t>
      </w:r>
      <w:proofErr w:type="spellStart"/>
      <w:r w:rsidRPr="002906A3">
        <w:rPr>
          <w:bCs/>
        </w:rPr>
        <w:t>or</w:t>
      </w:r>
      <w:proofErr w:type="spellEnd"/>
      <w:r w:rsidRPr="002906A3">
        <w:rPr>
          <w:bCs/>
        </w:rPr>
        <w:t xml:space="preserve"> </w:t>
      </w:r>
      <w:proofErr w:type="spellStart"/>
      <w:r w:rsidRPr="002906A3">
        <w:rPr>
          <w:bCs/>
        </w:rPr>
        <w:t>others</w:t>
      </w:r>
      <w:proofErr w:type="spellEnd"/>
      <w:r w:rsidRPr="002906A3">
        <w:rPr>
          <w:bCs/>
        </w:rPr>
        <w:t xml:space="preserve">. </w:t>
      </w:r>
      <w:proofErr w:type="spellStart"/>
      <w:r w:rsidRPr="002906A3">
        <w:rPr>
          <w:bCs/>
        </w:rPr>
        <w:t>In</w:t>
      </w:r>
      <w:proofErr w:type="spellEnd"/>
      <w:r w:rsidRPr="002906A3">
        <w:rPr>
          <w:bCs/>
        </w:rPr>
        <w:t xml:space="preserve"> </w:t>
      </w:r>
      <w:proofErr w:type="spellStart"/>
      <w:r w:rsidRPr="002906A3">
        <w:rPr>
          <w:bCs/>
        </w:rPr>
        <w:t>the</w:t>
      </w:r>
      <w:proofErr w:type="spellEnd"/>
      <w:r w:rsidRPr="002906A3">
        <w:rPr>
          <w:bCs/>
        </w:rPr>
        <w:t xml:space="preserve"> </w:t>
      </w:r>
      <w:proofErr w:type="spellStart"/>
      <w:r w:rsidRPr="002906A3">
        <w:rPr>
          <w:bCs/>
        </w:rPr>
        <w:t>act</w:t>
      </w:r>
      <w:proofErr w:type="spellEnd"/>
      <w:r w:rsidRPr="002906A3">
        <w:rPr>
          <w:bCs/>
        </w:rPr>
        <w:t xml:space="preserve"> of "</w:t>
      </w:r>
      <w:proofErr w:type="spellStart"/>
      <w:r w:rsidRPr="002906A3">
        <w:rPr>
          <w:bCs/>
        </w:rPr>
        <w:t>killing</w:t>
      </w:r>
      <w:proofErr w:type="spellEnd"/>
      <w:r w:rsidRPr="002906A3">
        <w:rPr>
          <w:bCs/>
        </w:rPr>
        <w:t xml:space="preserve"> a </w:t>
      </w:r>
      <w:proofErr w:type="spellStart"/>
      <w:r w:rsidRPr="002906A3">
        <w:rPr>
          <w:bCs/>
        </w:rPr>
        <w:t>person</w:t>
      </w:r>
      <w:proofErr w:type="spellEnd"/>
      <w:r w:rsidRPr="002906A3">
        <w:rPr>
          <w:bCs/>
        </w:rPr>
        <w:t xml:space="preserve"> </w:t>
      </w:r>
      <w:proofErr w:type="spellStart"/>
      <w:r w:rsidRPr="002906A3">
        <w:rPr>
          <w:bCs/>
        </w:rPr>
        <w:t>by</w:t>
      </w:r>
      <w:proofErr w:type="spellEnd"/>
      <w:r w:rsidRPr="002906A3">
        <w:rPr>
          <w:bCs/>
        </w:rPr>
        <w:t xml:space="preserve"> </w:t>
      </w:r>
      <w:proofErr w:type="spellStart"/>
      <w:r w:rsidRPr="002906A3">
        <w:rPr>
          <w:bCs/>
        </w:rPr>
        <w:t>mistake</w:t>
      </w:r>
      <w:proofErr w:type="spellEnd"/>
      <w:r w:rsidRPr="002906A3">
        <w:rPr>
          <w:bCs/>
        </w:rPr>
        <w:t xml:space="preserve"> </w:t>
      </w:r>
      <w:proofErr w:type="spellStart"/>
      <w:r w:rsidRPr="002906A3">
        <w:rPr>
          <w:bCs/>
        </w:rPr>
        <w:t>without</w:t>
      </w:r>
      <w:proofErr w:type="spellEnd"/>
      <w:r w:rsidRPr="002906A3">
        <w:rPr>
          <w:bCs/>
        </w:rPr>
        <w:t xml:space="preserve"> </w:t>
      </w:r>
      <w:proofErr w:type="spellStart"/>
      <w:r w:rsidRPr="002906A3">
        <w:rPr>
          <w:bCs/>
        </w:rPr>
        <w:t>any</w:t>
      </w:r>
      <w:proofErr w:type="spellEnd"/>
      <w:r w:rsidRPr="002906A3">
        <w:rPr>
          <w:bCs/>
        </w:rPr>
        <w:t xml:space="preserve"> element of </w:t>
      </w:r>
      <w:proofErr w:type="spellStart"/>
      <w:r w:rsidRPr="002906A3">
        <w:rPr>
          <w:bCs/>
        </w:rPr>
        <w:t>intent</w:t>
      </w:r>
      <w:proofErr w:type="spellEnd"/>
      <w:r w:rsidRPr="002906A3">
        <w:rPr>
          <w:bCs/>
        </w:rPr>
        <w:t xml:space="preserve">", </w:t>
      </w:r>
      <w:proofErr w:type="spellStart"/>
      <w:r w:rsidRPr="002906A3">
        <w:rPr>
          <w:bCs/>
        </w:rPr>
        <w:t>which</w:t>
      </w:r>
      <w:proofErr w:type="spellEnd"/>
      <w:r w:rsidRPr="002906A3">
        <w:rPr>
          <w:bCs/>
        </w:rPr>
        <w:t xml:space="preserve"> is </w:t>
      </w:r>
      <w:proofErr w:type="spellStart"/>
      <w:r w:rsidRPr="002906A3">
        <w:rPr>
          <w:bCs/>
        </w:rPr>
        <w:t>expressed</w:t>
      </w:r>
      <w:proofErr w:type="spellEnd"/>
      <w:r w:rsidRPr="002906A3">
        <w:rPr>
          <w:bCs/>
        </w:rPr>
        <w:t xml:space="preserve"> as "</w:t>
      </w:r>
      <w:proofErr w:type="spellStart"/>
      <w:r w:rsidRPr="002906A3">
        <w:rPr>
          <w:bCs/>
        </w:rPr>
        <w:t>mistake</w:t>
      </w:r>
      <w:proofErr w:type="spellEnd"/>
      <w:r w:rsidRPr="002906A3">
        <w:rPr>
          <w:bCs/>
        </w:rPr>
        <w:t xml:space="preserve">" in </w:t>
      </w:r>
      <w:proofErr w:type="spellStart"/>
      <w:r w:rsidRPr="002906A3">
        <w:rPr>
          <w:bCs/>
        </w:rPr>
        <w:t>Islamic</w:t>
      </w:r>
      <w:proofErr w:type="spellEnd"/>
      <w:r w:rsidRPr="002906A3">
        <w:rPr>
          <w:bCs/>
        </w:rPr>
        <w:t xml:space="preserve"> </w:t>
      </w:r>
      <w:proofErr w:type="spellStart"/>
      <w:r w:rsidRPr="002906A3">
        <w:rPr>
          <w:bCs/>
        </w:rPr>
        <w:t>law</w:t>
      </w:r>
      <w:proofErr w:type="spellEnd"/>
      <w:r w:rsidRPr="002906A3">
        <w:rPr>
          <w:bCs/>
        </w:rPr>
        <w:t xml:space="preserve"> </w:t>
      </w:r>
      <w:proofErr w:type="spellStart"/>
      <w:r w:rsidRPr="002906A3">
        <w:rPr>
          <w:bCs/>
        </w:rPr>
        <w:t>and</w:t>
      </w:r>
      <w:proofErr w:type="spellEnd"/>
      <w:r w:rsidRPr="002906A3">
        <w:rPr>
          <w:bCs/>
        </w:rPr>
        <w:t xml:space="preserve"> </w:t>
      </w:r>
      <w:proofErr w:type="spellStart"/>
      <w:r w:rsidRPr="002906A3">
        <w:rPr>
          <w:bCs/>
        </w:rPr>
        <w:t>Ottoman</w:t>
      </w:r>
      <w:proofErr w:type="spellEnd"/>
      <w:r w:rsidRPr="002906A3">
        <w:rPr>
          <w:bCs/>
        </w:rPr>
        <w:t xml:space="preserve"> </w:t>
      </w:r>
      <w:proofErr w:type="spellStart"/>
      <w:r w:rsidRPr="002906A3">
        <w:rPr>
          <w:bCs/>
        </w:rPr>
        <w:t>criminal</w:t>
      </w:r>
      <w:proofErr w:type="spellEnd"/>
      <w:r w:rsidRPr="002906A3">
        <w:rPr>
          <w:bCs/>
        </w:rPr>
        <w:t xml:space="preserve"> </w:t>
      </w:r>
      <w:proofErr w:type="spellStart"/>
      <w:r w:rsidRPr="002906A3">
        <w:rPr>
          <w:bCs/>
        </w:rPr>
        <w:t>law</w:t>
      </w:r>
      <w:proofErr w:type="spellEnd"/>
      <w:r w:rsidRPr="002906A3">
        <w:rPr>
          <w:bCs/>
        </w:rPr>
        <w:t xml:space="preserve">, </w:t>
      </w:r>
      <w:proofErr w:type="spellStart"/>
      <w:r w:rsidRPr="002906A3">
        <w:rPr>
          <w:bCs/>
        </w:rPr>
        <w:t>which</w:t>
      </w:r>
      <w:proofErr w:type="spellEnd"/>
      <w:r w:rsidRPr="002906A3">
        <w:rPr>
          <w:bCs/>
        </w:rPr>
        <w:t xml:space="preserve"> </w:t>
      </w:r>
      <w:proofErr w:type="spellStart"/>
      <w:r w:rsidRPr="002906A3">
        <w:rPr>
          <w:bCs/>
        </w:rPr>
        <w:t>derives</w:t>
      </w:r>
      <w:proofErr w:type="spellEnd"/>
      <w:r w:rsidRPr="002906A3">
        <w:rPr>
          <w:bCs/>
        </w:rPr>
        <w:t xml:space="preserve"> </w:t>
      </w:r>
      <w:proofErr w:type="spellStart"/>
      <w:r w:rsidRPr="002906A3">
        <w:rPr>
          <w:bCs/>
        </w:rPr>
        <w:t>its</w:t>
      </w:r>
      <w:proofErr w:type="spellEnd"/>
      <w:r w:rsidRPr="002906A3">
        <w:rPr>
          <w:bCs/>
        </w:rPr>
        <w:t xml:space="preserve"> </w:t>
      </w:r>
      <w:proofErr w:type="spellStart"/>
      <w:r w:rsidRPr="002906A3">
        <w:rPr>
          <w:bCs/>
        </w:rPr>
        <w:t>essence</w:t>
      </w:r>
      <w:proofErr w:type="spellEnd"/>
      <w:r w:rsidRPr="002906A3">
        <w:rPr>
          <w:bCs/>
        </w:rPr>
        <w:t xml:space="preserve"> </w:t>
      </w:r>
      <w:proofErr w:type="spellStart"/>
      <w:r w:rsidRPr="002906A3">
        <w:rPr>
          <w:bCs/>
        </w:rPr>
        <w:t>from</w:t>
      </w:r>
      <w:proofErr w:type="spellEnd"/>
      <w:r w:rsidRPr="002906A3">
        <w:rPr>
          <w:bCs/>
        </w:rPr>
        <w:t xml:space="preserve"> it, </w:t>
      </w:r>
      <w:proofErr w:type="spellStart"/>
      <w:r w:rsidRPr="002906A3">
        <w:rPr>
          <w:bCs/>
        </w:rPr>
        <w:t>and</w:t>
      </w:r>
      <w:proofErr w:type="spellEnd"/>
      <w:r w:rsidRPr="002906A3">
        <w:rPr>
          <w:bCs/>
        </w:rPr>
        <w:t xml:space="preserve"> "</w:t>
      </w:r>
      <w:proofErr w:type="spellStart"/>
      <w:r w:rsidRPr="002906A3">
        <w:rPr>
          <w:bCs/>
        </w:rPr>
        <w:t>negligence</w:t>
      </w:r>
      <w:proofErr w:type="spellEnd"/>
      <w:r w:rsidRPr="002906A3">
        <w:rPr>
          <w:bCs/>
        </w:rPr>
        <w:t xml:space="preserve">" in </w:t>
      </w:r>
      <w:proofErr w:type="spellStart"/>
      <w:r w:rsidRPr="002906A3">
        <w:rPr>
          <w:bCs/>
        </w:rPr>
        <w:t>today's</w:t>
      </w:r>
      <w:proofErr w:type="spellEnd"/>
      <w:r w:rsidRPr="002906A3">
        <w:rPr>
          <w:bCs/>
        </w:rPr>
        <w:t xml:space="preserve"> legal </w:t>
      </w:r>
      <w:proofErr w:type="spellStart"/>
      <w:r w:rsidRPr="002906A3">
        <w:rPr>
          <w:bCs/>
        </w:rPr>
        <w:t>terminology</w:t>
      </w:r>
      <w:proofErr w:type="spellEnd"/>
      <w:r w:rsidRPr="002906A3">
        <w:rPr>
          <w:bCs/>
        </w:rPr>
        <w:t xml:space="preserve">, </w:t>
      </w:r>
      <w:proofErr w:type="spellStart"/>
      <w:r w:rsidRPr="002906A3">
        <w:rPr>
          <w:bCs/>
        </w:rPr>
        <w:t>the</w:t>
      </w:r>
      <w:proofErr w:type="spellEnd"/>
      <w:r w:rsidRPr="002906A3">
        <w:rPr>
          <w:bCs/>
        </w:rPr>
        <w:t xml:space="preserve"> </w:t>
      </w:r>
      <w:proofErr w:type="spellStart"/>
      <w:r w:rsidRPr="002906A3">
        <w:rPr>
          <w:bCs/>
        </w:rPr>
        <w:t>perpetrator</w:t>
      </w:r>
      <w:proofErr w:type="spellEnd"/>
      <w:r w:rsidRPr="002906A3">
        <w:rPr>
          <w:bCs/>
        </w:rPr>
        <w:t xml:space="preserve"> is </w:t>
      </w:r>
      <w:proofErr w:type="spellStart"/>
      <w:r w:rsidRPr="002906A3">
        <w:rPr>
          <w:bCs/>
        </w:rPr>
        <w:t>criminally</w:t>
      </w:r>
      <w:proofErr w:type="spellEnd"/>
      <w:r w:rsidRPr="002906A3">
        <w:rPr>
          <w:bCs/>
        </w:rPr>
        <w:t xml:space="preserve"> </w:t>
      </w:r>
      <w:proofErr w:type="spellStart"/>
      <w:r w:rsidRPr="002906A3">
        <w:rPr>
          <w:bCs/>
        </w:rPr>
        <w:t>responsible</w:t>
      </w:r>
      <w:proofErr w:type="spellEnd"/>
      <w:r w:rsidRPr="002906A3">
        <w:rPr>
          <w:bCs/>
        </w:rPr>
        <w:t xml:space="preserve"> </w:t>
      </w:r>
      <w:proofErr w:type="spellStart"/>
      <w:r w:rsidRPr="002906A3">
        <w:rPr>
          <w:bCs/>
        </w:rPr>
        <w:t>for</w:t>
      </w:r>
      <w:proofErr w:type="spellEnd"/>
      <w:r w:rsidRPr="002906A3">
        <w:rPr>
          <w:bCs/>
        </w:rPr>
        <w:t xml:space="preserve"> his </w:t>
      </w:r>
      <w:proofErr w:type="spellStart"/>
      <w:r w:rsidRPr="002906A3">
        <w:rPr>
          <w:bCs/>
        </w:rPr>
        <w:t>faulty</w:t>
      </w:r>
      <w:proofErr w:type="spellEnd"/>
      <w:r w:rsidRPr="002906A3">
        <w:rPr>
          <w:bCs/>
        </w:rPr>
        <w:t xml:space="preserve"> </w:t>
      </w:r>
      <w:proofErr w:type="spellStart"/>
      <w:r w:rsidRPr="002906A3">
        <w:rPr>
          <w:bCs/>
        </w:rPr>
        <w:t>action</w:t>
      </w:r>
      <w:proofErr w:type="spellEnd"/>
      <w:r w:rsidRPr="002906A3">
        <w:rPr>
          <w:bCs/>
        </w:rPr>
        <w:t xml:space="preserve">. </w:t>
      </w:r>
      <w:proofErr w:type="spellStart"/>
      <w:r w:rsidRPr="002906A3">
        <w:rPr>
          <w:bCs/>
        </w:rPr>
        <w:t>Accidents</w:t>
      </w:r>
      <w:proofErr w:type="spellEnd"/>
      <w:r w:rsidRPr="002906A3">
        <w:rPr>
          <w:bCs/>
        </w:rPr>
        <w:t xml:space="preserve"> </w:t>
      </w:r>
      <w:proofErr w:type="spellStart"/>
      <w:r w:rsidRPr="002906A3">
        <w:rPr>
          <w:bCs/>
        </w:rPr>
        <w:t>are</w:t>
      </w:r>
      <w:proofErr w:type="spellEnd"/>
      <w:r w:rsidRPr="002906A3">
        <w:rPr>
          <w:bCs/>
        </w:rPr>
        <w:t xml:space="preserve"> </w:t>
      </w:r>
      <w:proofErr w:type="spellStart"/>
      <w:r w:rsidRPr="002906A3">
        <w:rPr>
          <w:bCs/>
        </w:rPr>
        <w:t>considered</w:t>
      </w:r>
      <w:proofErr w:type="spellEnd"/>
      <w:r w:rsidRPr="002906A3">
        <w:rPr>
          <w:bCs/>
        </w:rPr>
        <w:t xml:space="preserve"> as </w:t>
      </w:r>
      <w:proofErr w:type="spellStart"/>
      <w:r w:rsidRPr="002906A3">
        <w:rPr>
          <w:bCs/>
        </w:rPr>
        <w:t>unforeseen</w:t>
      </w:r>
      <w:proofErr w:type="spellEnd"/>
      <w:r w:rsidRPr="002906A3">
        <w:rPr>
          <w:bCs/>
        </w:rPr>
        <w:t xml:space="preserve"> </w:t>
      </w:r>
      <w:proofErr w:type="spellStart"/>
      <w:r w:rsidRPr="002906A3">
        <w:rPr>
          <w:bCs/>
        </w:rPr>
        <w:t>situations</w:t>
      </w:r>
      <w:proofErr w:type="spellEnd"/>
      <w:r w:rsidRPr="002906A3">
        <w:rPr>
          <w:bCs/>
        </w:rPr>
        <w:t xml:space="preserve"> </w:t>
      </w:r>
      <w:proofErr w:type="spellStart"/>
      <w:r w:rsidRPr="002906A3">
        <w:rPr>
          <w:bCs/>
        </w:rPr>
        <w:t>that</w:t>
      </w:r>
      <w:proofErr w:type="spellEnd"/>
      <w:r w:rsidRPr="002906A3">
        <w:rPr>
          <w:bCs/>
        </w:rPr>
        <w:t xml:space="preserve"> </w:t>
      </w:r>
      <w:proofErr w:type="spellStart"/>
      <w:r w:rsidRPr="002906A3">
        <w:rPr>
          <w:bCs/>
        </w:rPr>
        <w:t>occur</w:t>
      </w:r>
      <w:proofErr w:type="spellEnd"/>
      <w:r w:rsidRPr="002906A3">
        <w:rPr>
          <w:bCs/>
        </w:rPr>
        <w:t xml:space="preserve"> at </w:t>
      </w:r>
      <w:proofErr w:type="spellStart"/>
      <w:r w:rsidRPr="002906A3">
        <w:rPr>
          <w:bCs/>
        </w:rPr>
        <w:t>unexpected</w:t>
      </w:r>
      <w:proofErr w:type="spellEnd"/>
      <w:r w:rsidRPr="002906A3">
        <w:rPr>
          <w:bCs/>
        </w:rPr>
        <w:t xml:space="preserve"> </w:t>
      </w:r>
      <w:proofErr w:type="spellStart"/>
      <w:r w:rsidRPr="002906A3">
        <w:rPr>
          <w:bCs/>
        </w:rPr>
        <w:t>moments</w:t>
      </w:r>
      <w:proofErr w:type="spellEnd"/>
      <w:r w:rsidRPr="002906A3">
        <w:rPr>
          <w:bCs/>
        </w:rPr>
        <w:t xml:space="preserve">, </w:t>
      </w:r>
      <w:proofErr w:type="spellStart"/>
      <w:r w:rsidRPr="002906A3">
        <w:rPr>
          <w:bCs/>
        </w:rPr>
        <w:t>so</w:t>
      </w:r>
      <w:proofErr w:type="spellEnd"/>
      <w:r w:rsidRPr="002906A3">
        <w:rPr>
          <w:bCs/>
        </w:rPr>
        <w:t xml:space="preserve"> </w:t>
      </w:r>
      <w:proofErr w:type="spellStart"/>
      <w:r w:rsidRPr="002906A3">
        <w:rPr>
          <w:bCs/>
        </w:rPr>
        <w:t>the</w:t>
      </w:r>
      <w:proofErr w:type="spellEnd"/>
      <w:r w:rsidRPr="002906A3">
        <w:rPr>
          <w:bCs/>
        </w:rPr>
        <w:t xml:space="preserve"> </w:t>
      </w:r>
      <w:proofErr w:type="spellStart"/>
      <w:r w:rsidRPr="002906A3">
        <w:rPr>
          <w:bCs/>
        </w:rPr>
        <w:t>perpetrator</w:t>
      </w:r>
      <w:proofErr w:type="spellEnd"/>
      <w:r w:rsidRPr="002906A3">
        <w:rPr>
          <w:bCs/>
        </w:rPr>
        <w:t xml:space="preserve"> is not </w:t>
      </w:r>
      <w:proofErr w:type="spellStart"/>
      <w:r w:rsidRPr="002906A3">
        <w:rPr>
          <w:bCs/>
        </w:rPr>
        <w:t>criminally</w:t>
      </w:r>
      <w:proofErr w:type="spellEnd"/>
      <w:r w:rsidRPr="002906A3">
        <w:rPr>
          <w:bCs/>
        </w:rPr>
        <w:t xml:space="preserve"> </w:t>
      </w:r>
      <w:proofErr w:type="spellStart"/>
      <w:r w:rsidRPr="002906A3">
        <w:rPr>
          <w:bCs/>
        </w:rPr>
        <w:t>responsible</w:t>
      </w:r>
      <w:proofErr w:type="spellEnd"/>
      <w:r w:rsidRPr="002906A3">
        <w:rPr>
          <w:bCs/>
        </w:rPr>
        <w:t>.</w:t>
      </w:r>
      <w:r w:rsidRPr="002906A3">
        <w:t xml:space="preserve"> </w:t>
      </w:r>
      <w:proofErr w:type="spellStart"/>
      <w:r w:rsidRPr="002906A3">
        <w:rPr>
          <w:bCs/>
        </w:rPr>
        <w:t>Because</w:t>
      </w:r>
      <w:proofErr w:type="spellEnd"/>
      <w:r w:rsidRPr="002906A3">
        <w:rPr>
          <w:bCs/>
        </w:rPr>
        <w:t xml:space="preserve"> they </w:t>
      </w:r>
      <w:proofErr w:type="spellStart"/>
      <w:r w:rsidRPr="002906A3">
        <w:rPr>
          <w:bCs/>
        </w:rPr>
        <w:t>did</w:t>
      </w:r>
      <w:proofErr w:type="spellEnd"/>
      <w:r w:rsidRPr="002906A3">
        <w:rPr>
          <w:bCs/>
        </w:rPr>
        <w:t xml:space="preserve"> not </w:t>
      </w:r>
      <w:proofErr w:type="spellStart"/>
      <w:r w:rsidRPr="002906A3">
        <w:rPr>
          <w:bCs/>
        </w:rPr>
        <w:t>occur</w:t>
      </w:r>
      <w:proofErr w:type="spellEnd"/>
      <w:r w:rsidRPr="002906A3">
        <w:rPr>
          <w:bCs/>
        </w:rPr>
        <w:t xml:space="preserve"> </w:t>
      </w:r>
      <w:proofErr w:type="spellStart"/>
      <w:r w:rsidRPr="002906A3">
        <w:rPr>
          <w:bCs/>
        </w:rPr>
        <w:t>with</w:t>
      </w:r>
      <w:proofErr w:type="spellEnd"/>
      <w:r w:rsidRPr="002906A3">
        <w:rPr>
          <w:bCs/>
        </w:rPr>
        <w:t xml:space="preserve"> a </w:t>
      </w:r>
      <w:proofErr w:type="spellStart"/>
      <w:r w:rsidRPr="002906A3">
        <w:rPr>
          <w:bCs/>
        </w:rPr>
        <w:t>deliberate</w:t>
      </w:r>
      <w:proofErr w:type="spellEnd"/>
      <w:r w:rsidRPr="002906A3">
        <w:rPr>
          <w:bCs/>
        </w:rPr>
        <w:t xml:space="preserve"> </w:t>
      </w:r>
      <w:proofErr w:type="spellStart"/>
      <w:r w:rsidRPr="002906A3">
        <w:rPr>
          <w:bCs/>
        </w:rPr>
        <w:t>action</w:t>
      </w:r>
      <w:proofErr w:type="spellEnd"/>
      <w:r w:rsidRPr="002906A3">
        <w:rPr>
          <w:bCs/>
        </w:rPr>
        <w:t xml:space="preserve"> </w:t>
      </w:r>
      <w:proofErr w:type="spellStart"/>
      <w:r w:rsidRPr="002906A3">
        <w:rPr>
          <w:bCs/>
        </w:rPr>
        <w:t>or</w:t>
      </w:r>
      <w:proofErr w:type="spellEnd"/>
      <w:r w:rsidRPr="002906A3">
        <w:rPr>
          <w:bCs/>
        </w:rPr>
        <w:t xml:space="preserve"> </w:t>
      </w:r>
      <w:proofErr w:type="spellStart"/>
      <w:r w:rsidRPr="002906A3">
        <w:rPr>
          <w:bCs/>
        </w:rPr>
        <w:t>intervention</w:t>
      </w:r>
      <w:proofErr w:type="spellEnd"/>
      <w:r w:rsidRPr="002906A3">
        <w:rPr>
          <w:bCs/>
        </w:rPr>
        <w:t xml:space="preserve"> of </w:t>
      </w:r>
      <w:proofErr w:type="spellStart"/>
      <w:r w:rsidRPr="002906A3">
        <w:rPr>
          <w:bCs/>
        </w:rPr>
        <w:t>someone</w:t>
      </w:r>
      <w:proofErr w:type="spellEnd"/>
      <w:r w:rsidRPr="002906A3">
        <w:rPr>
          <w:bCs/>
        </w:rPr>
        <w:t xml:space="preserve"> else. </w:t>
      </w:r>
      <w:proofErr w:type="spellStart"/>
      <w:r w:rsidRPr="002906A3">
        <w:rPr>
          <w:bCs/>
        </w:rPr>
        <w:t>In</w:t>
      </w:r>
      <w:proofErr w:type="spellEnd"/>
      <w:r w:rsidRPr="002906A3">
        <w:rPr>
          <w:bCs/>
        </w:rPr>
        <w:t xml:space="preserve"> </w:t>
      </w:r>
      <w:proofErr w:type="spellStart"/>
      <w:r w:rsidRPr="002906A3">
        <w:rPr>
          <w:bCs/>
        </w:rPr>
        <w:t>Ottoman</w:t>
      </w:r>
      <w:proofErr w:type="spellEnd"/>
      <w:r w:rsidRPr="002906A3">
        <w:rPr>
          <w:bCs/>
        </w:rPr>
        <w:t xml:space="preserve"> </w:t>
      </w:r>
      <w:proofErr w:type="spellStart"/>
      <w:r w:rsidRPr="002906A3">
        <w:rPr>
          <w:bCs/>
        </w:rPr>
        <w:t>archive</w:t>
      </w:r>
      <w:proofErr w:type="spellEnd"/>
      <w:r w:rsidRPr="002906A3">
        <w:rPr>
          <w:bCs/>
        </w:rPr>
        <w:t xml:space="preserve"> </w:t>
      </w:r>
      <w:proofErr w:type="spellStart"/>
      <w:r w:rsidRPr="002906A3">
        <w:rPr>
          <w:bCs/>
        </w:rPr>
        <w:t>documents</w:t>
      </w:r>
      <w:proofErr w:type="spellEnd"/>
      <w:r w:rsidRPr="002906A3">
        <w:rPr>
          <w:bCs/>
        </w:rPr>
        <w:t xml:space="preserve">, </w:t>
      </w:r>
      <w:proofErr w:type="spellStart"/>
      <w:r w:rsidRPr="002906A3">
        <w:rPr>
          <w:bCs/>
        </w:rPr>
        <w:t>accident</w:t>
      </w:r>
      <w:proofErr w:type="spellEnd"/>
      <w:r w:rsidRPr="002906A3">
        <w:rPr>
          <w:bCs/>
        </w:rPr>
        <w:t xml:space="preserve"> </w:t>
      </w:r>
      <w:proofErr w:type="spellStart"/>
      <w:r w:rsidRPr="002906A3">
        <w:rPr>
          <w:bCs/>
        </w:rPr>
        <w:t>cases</w:t>
      </w:r>
      <w:proofErr w:type="spellEnd"/>
      <w:r w:rsidRPr="002906A3">
        <w:rPr>
          <w:bCs/>
        </w:rPr>
        <w:t xml:space="preserve"> </w:t>
      </w:r>
      <w:proofErr w:type="spellStart"/>
      <w:r w:rsidRPr="002906A3">
        <w:rPr>
          <w:bCs/>
        </w:rPr>
        <w:t>that</w:t>
      </w:r>
      <w:proofErr w:type="spellEnd"/>
      <w:r w:rsidRPr="002906A3">
        <w:rPr>
          <w:bCs/>
        </w:rPr>
        <w:t xml:space="preserve"> </w:t>
      </w:r>
      <w:proofErr w:type="spellStart"/>
      <w:r w:rsidRPr="002906A3">
        <w:rPr>
          <w:bCs/>
        </w:rPr>
        <w:t>resulted</w:t>
      </w:r>
      <w:proofErr w:type="spellEnd"/>
      <w:r w:rsidRPr="002906A3">
        <w:rPr>
          <w:bCs/>
        </w:rPr>
        <w:t xml:space="preserve"> in </w:t>
      </w:r>
      <w:proofErr w:type="spellStart"/>
      <w:r w:rsidRPr="002906A3">
        <w:rPr>
          <w:bCs/>
        </w:rPr>
        <w:t>death</w:t>
      </w:r>
      <w:proofErr w:type="spellEnd"/>
      <w:r w:rsidRPr="002906A3">
        <w:rPr>
          <w:bCs/>
        </w:rPr>
        <w:t xml:space="preserve"> </w:t>
      </w:r>
      <w:proofErr w:type="spellStart"/>
      <w:r w:rsidRPr="002906A3">
        <w:rPr>
          <w:bCs/>
        </w:rPr>
        <w:t>are</w:t>
      </w:r>
      <w:proofErr w:type="spellEnd"/>
      <w:r w:rsidRPr="002906A3">
        <w:rPr>
          <w:bCs/>
        </w:rPr>
        <w:t xml:space="preserve"> </w:t>
      </w:r>
      <w:proofErr w:type="spellStart"/>
      <w:r w:rsidRPr="002906A3">
        <w:rPr>
          <w:bCs/>
        </w:rPr>
        <w:t>recorded</w:t>
      </w:r>
      <w:proofErr w:type="spellEnd"/>
      <w:r w:rsidRPr="002906A3">
        <w:rPr>
          <w:bCs/>
        </w:rPr>
        <w:t xml:space="preserve"> </w:t>
      </w:r>
      <w:proofErr w:type="spellStart"/>
      <w:r w:rsidRPr="002906A3">
        <w:rPr>
          <w:bCs/>
        </w:rPr>
        <w:t>with</w:t>
      </w:r>
      <w:proofErr w:type="spellEnd"/>
      <w:r w:rsidRPr="002906A3">
        <w:rPr>
          <w:bCs/>
        </w:rPr>
        <w:t xml:space="preserve"> </w:t>
      </w:r>
      <w:proofErr w:type="spellStart"/>
      <w:r w:rsidRPr="002906A3">
        <w:rPr>
          <w:bCs/>
        </w:rPr>
        <w:t>expressions</w:t>
      </w:r>
      <w:proofErr w:type="spellEnd"/>
      <w:r w:rsidRPr="002906A3">
        <w:rPr>
          <w:bCs/>
        </w:rPr>
        <w:t xml:space="preserve"> </w:t>
      </w:r>
      <w:proofErr w:type="spellStart"/>
      <w:r w:rsidRPr="002906A3">
        <w:rPr>
          <w:bCs/>
        </w:rPr>
        <w:t>such</w:t>
      </w:r>
      <w:proofErr w:type="spellEnd"/>
      <w:r w:rsidRPr="002906A3">
        <w:rPr>
          <w:bCs/>
        </w:rPr>
        <w:t xml:space="preserve"> as "</w:t>
      </w:r>
      <w:proofErr w:type="spellStart"/>
      <w:r w:rsidRPr="002906A3">
        <w:rPr>
          <w:bCs/>
        </w:rPr>
        <w:t>due</w:t>
      </w:r>
      <w:proofErr w:type="spellEnd"/>
      <w:r w:rsidRPr="002906A3">
        <w:rPr>
          <w:bCs/>
        </w:rPr>
        <w:t xml:space="preserve"> </w:t>
      </w:r>
      <w:proofErr w:type="spellStart"/>
      <w:r w:rsidRPr="002906A3">
        <w:rPr>
          <w:bCs/>
        </w:rPr>
        <w:t>to</w:t>
      </w:r>
      <w:proofErr w:type="spellEnd"/>
      <w:r w:rsidRPr="002906A3">
        <w:rPr>
          <w:bCs/>
        </w:rPr>
        <w:t xml:space="preserve"> an </w:t>
      </w:r>
      <w:proofErr w:type="spellStart"/>
      <w:r w:rsidRPr="002906A3">
        <w:rPr>
          <w:bCs/>
        </w:rPr>
        <w:t>accident</w:t>
      </w:r>
      <w:proofErr w:type="spellEnd"/>
      <w:r w:rsidRPr="002906A3">
        <w:rPr>
          <w:bCs/>
        </w:rPr>
        <w:t>", "</w:t>
      </w:r>
      <w:proofErr w:type="spellStart"/>
      <w:r w:rsidRPr="002906A3">
        <w:rPr>
          <w:bCs/>
        </w:rPr>
        <w:t>the</w:t>
      </w:r>
      <w:proofErr w:type="spellEnd"/>
      <w:r w:rsidRPr="002906A3">
        <w:rPr>
          <w:bCs/>
        </w:rPr>
        <w:t xml:space="preserve"> </w:t>
      </w:r>
      <w:proofErr w:type="spellStart"/>
      <w:r w:rsidRPr="002906A3">
        <w:rPr>
          <w:bCs/>
        </w:rPr>
        <w:t>person</w:t>
      </w:r>
      <w:proofErr w:type="spellEnd"/>
      <w:r w:rsidRPr="002906A3">
        <w:rPr>
          <w:bCs/>
        </w:rPr>
        <w:t xml:space="preserve"> </w:t>
      </w:r>
      <w:proofErr w:type="spellStart"/>
      <w:r w:rsidRPr="002906A3">
        <w:rPr>
          <w:bCs/>
        </w:rPr>
        <w:t>died</w:t>
      </w:r>
      <w:proofErr w:type="spellEnd"/>
      <w:r w:rsidRPr="002906A3">
        <w:rPr>
          <w:bCs/>
        </w:rPr>
        <w:t xml:space="preserve"> </w:t>
      </w:r>
      <w:proofErr w:type="spellStart"/>
      <w:r w:rsidRPr="002906A3">
        <w:rPr>
          <w:bCs/>
        </w:rPr>
        <w:t>without</w:t>
      </w:r>
      <w:proofErr w:type="spellEnd"/>
      <w:r w:rsidRPr="002906A3">
        <w:rPr>
          <w:bCs/>
        </w:rPr>
        <w:t xml:space="preserve"> </w:t>
      </w:r>
      <w:proofErr w:type="spellStart"/>
      <w:r w:rsidRPr="002906A3">
        <w:rPr>
          <w:bCs/>
        </w:rPr>
        <w:t>artificial</w:t>
      </w:r>
      <w:proofErr w:type="spellEnd"/>
      <w:r w:rsidRPr="002906A3">
        <w:rPr>
          <w:bCs/>
        </w:rPr>
        <w:t xml:space="preserve"> </w:t>
      </w:r>
      <w:proofErr w:type="spellStart"/>
      <w:r w:rsidRPr="002906A3">
        <w:rPr>
          <w:bCs/>
        </w:rPr>
        <w:t>or</w:t>
      </w:r>
      <w:proofErr w:type="spellEnd"/>
      <w:r w:rsidRPr="002906A3">
        <w:rPr>
          <w:bCs/>
        </w:rPr>
        <w:t xml:space="preserve"> </w:t>
      </w:r>
      <w:proofErr w:type="spellStart"/>
      <w:r w:rsidRPr="002906A3">
        <w:rPr>
          <w:bCs/>
        </w:rPr>
        <w:t>medical</w:t>
      </w:r>
      <w:proofErr w:type="spellEnd"/>
      <w:r w:rsidRPr="002906A3">
        <w:rPr>
          <w:bCs/>
        </w:rPr>
        <w:t xml:space="preserve"> </w:t>
      </w:r>
      <w:proofErr w:type="spellStart"/>
      <w:r w:rsidRPr="002906A3">
        <w:rPr>
          <w:bCs/>
        </w:rPr>
        <w:t>aid</w:t>
      </w:r>
      <w:proofErr w:type="spellEnd"/>
      <w:r w:rsidRPr="002906A3">
        <w:rPr>
          <w:bCs/>
        </w:rPr>
        <w:t xml:space="preserve">", "he </w:t>
      </w:r>
      <w:proofErr w:type="spellStart"/>
      <w:r w:rsidRPr="002906A3">
        <w:rPr>
          <w:bCs/>
        </w:rPr>
        <w:t>accidentally</w:t>
      </w:r>
      <w:proofErr w:type="spellEnd"/>
      <w:r w:rsidRPr="002906A3">
        <w:rPr>
          <w:bCs/>
        </w:rPr>
        <w:t xml:space="preserve"> </w:t>
      </w:r>
      <w:proofErr w:type="spellStart"/>
      <w:r w:rsidRPr="002906A3">
        <w:rPr>
          <w:bCs/>
        </w:rPr>
        <w:t>killed</w:t>
      </w:r>
      <w:proofErr w:type="spellEnd"/>
      <w:r w:rsidRPr="002906A3">
        <w:rPr>
          <w:bCs/>
        </w:rPr>
        <w:t xml:space="preserve"> </w:t>
      </w:r>
      <w:proofErr w:type="spellStart"/>
      <w:r w:rsidRPr="002906A3">
        <w:rPr>
          <w:bCs/>
        </w:rPr>
        <w:t>himself</w:t>
      </w:r>
      <w:proofErr w:type="spellEnd"/>
      <w:r w:rsidRPr="002906A3">
        <w:rPr>
          <w:bCs/>
        </w:rPr>
        <w:t xml:space="preserve">". </w:t>
      </w:r>
      <w:proofErr w:type="spellStart"/>
      <w:r w:rsidRPr="002906A3">
        <w:rPr>
          <w:bCs/>
        </w:rPr>
        <w:t>In</w:t>
      </w:r>
      <w:proofErr w:type="spellEnd"/>
      <w:r w:rsidRPr="002906A3">
        <w:rPr>
          <w:bCs/>
        </w:rPr>
        <w:t xml:space="preserve"> </w:t>
      </w:r>
      <w:proofErr w:type="spellStart"/>
      <w:r w:rsidRPr="002906A3">
        <w:rPr>
          <w:bCs/>
        </w:rPr>
        <w:t>this</w:t>
      </w:r>
      <w:proofErr w:type="spellEnd"/>
      <w:r w:rsidRPr="002906A3">
        <w:rPr>
          <w:bCs/>
        </w:rPr>
        <w:t xml:space="preserve"> </w:t>
      </w:r>
      <w:proofErr w:type="spellStart"/>
      <w:r w:rsidRPr="002906A3">
        <w:rPr>
          <w:bCs/>
        </w:rPr>
        <w:t>paper</w:t>
      </w:r>
      <w:proofErr w:type="spellEnd"/>
      <w:r w:rsidRPr="002906A3">
        <w:rPr>
          <w:bCs/>
        </w:rPr>
        <w:t xml:space="preserve">, </w:t>
      </w:r>
      <w:proofErr w:type="spellStart"/>
      <w:r w:rsidRPr="002906A3">
        <w:rPr>
          <w:bCs/>
        </w:rPr>
        <w:t>the</w:t>
      </w:r>
      <w:proofErr w:type="spellEnd"/>
      <w:r w:rsidRPr="002906A3">
        <w:rPr>
          <w:bCs/>
        </w:rPr>
        <w:t xml:space="preserve"> </w:t>
      </w:r>
      <w:proofErr w:type="spellStart"/>
      <w:r w:rsidRPr="002906A3">
        <w:rPr>
          <w:bCs/>
        </w:rPr>
        <w:t>cases</w:t>
      </w:r>
      <w:proofErr w:type="spellEnd"/>
      <w:r w:rsidRPr="002906A3">
        <w:rPr>
          <w:bCs/>
        </w:rPr>
        <w:t xml:space="preserve"> </w:t>
      </w:r>
      <w:proofErr w:type="spellStart"/>
      <w:r w:rsidRPr="002906A3">
        <w:rPr>
          <w:bCs/>
        </w:rPr>
        <w:t>that</w:t>
      </w:r>
      <w:proofErr w:type="spellEnd"/>
      <w:r w:rsidRPr="002906A3">
        <w:rPr>
          <w:bCs/>
        </w:rPr>
        <w:t xml:space="preserve"> </w:t>
      </w:r>
      <w:proofErr w:type="spellStart"/>
      <w:r w:rsidRPr="002906A3">
        <w:rPr>
          <w:bCs/>
        </w:rPr>
        <w:t>accidentally</w:t>
      </w:r>
      <w:proofErr w:type="spellEnd"/>
      <w:r w:rsidRPr="002906A3">
        <w:rPr>
          <w:bCs/>
        </w:rPr>
        <w:t xml:space="preserve"> </w:t>
      </w:r>
      <w:proofErr w:type="spellStart"/>
      <w:r w:rsidRPr="002906A3">
        <w:rPr>
          <w:bCs/>
        </w:rPr>
        <w:t>resulted</w:t>
      </w:r>
      <w:proofErr w:type="spellEnd"/>
      <w:r w:rsidRPr="002906A3">
        <w:rPr>
          <w:bCs/>
        </w:rPr>
        <w:t xml:space="preserve"> in </w:t>
      </w:r>
      <w:proofErr w:type="spellStart"/>
      <w:r w:rsidRPr="002906A3">
        <w:rPr>
          <w:bCs/>
        </w:rPr>
        <w:t>the</w:t>
      </w:r>
      <w:proofErr w:type="spellEnd"/>
      <w:r w:rsidRPr="002906A3">
        <w:rPr>
          <w:bCs/>
        </w:rPr>
        <w:t xml:space="preserve"> </w:t>
      </w:r>
      <w:proofErr w:type="spellStart"/>
      <w:r w:rsidRPr="002906A3">
        <w:rPr>
          <w:bCs/>
        </w:rPr>
        <w:t>deaths</w:t>
      </w:r>
      <w:proofErr w:type="spellEnd"/>
      <w:r w:rsidRPr="002906A3">
        <w:rPr>
          <w:bCs/>
        </w:rPr>
        <w:t xml:space="preserve"> of </w:t>
      </w:r>
      <w:proofErr w:type="spellStart"/>
      <w:r w:rsidRPr="002906A3">
        <w:rPr>
          <w:bCs/>
        </w:rPr>
        <w:t>people</w:t>
      </w:r>
      <w:proofErr w:type="spellEnd"/>
      <w:r w:rsidRPr="002906A3">
        <w:rPr>
          <w:bCs/>
        </w:rPr>
        <w:t xml:space="preserve"> in </w:t>
      </w:r>
      <w:proofErr w:type="spellStart"/>
      <w:r w:rsidRPr="002906A3">
        <w:rPr>
          <w:bCs/>
        </w:rPr>
        <w:t>the</w:t>
      </w:r>
      <w:proofErr w:type="spellEnd"/>
      <w:r w:rsidRPr="002906A3">
        <w:rPr>
          <w:bCs/>
        </w:rPr>
        <w:t xml:space="preserve"> </w:t>
      </w:r>
      <w:proofErr w:type="spellStart"/>
      <w:r w:rsidRPr="002906A3">
        <w:rPr>
          <w:bCs/>
        </w:rPr>
        <w:t>last</w:t>
      </w:r>
      <w:proofErr w:type="spellEnd"/>
      <w:r w:rsidRPr="002906A3">
        <w:rPr>
          <w:bCs/>
        </w:rPr>
        <w:t xml:space="preserve"> </w:t>
      </w:r>
      <w:proofErr w:type="spellStart"/>
      <w:r w:rsidRPr="002906A3">
        <w:rPr>
          <w:bCs/>
        </w:rPr>
        <w:t>periods</w:t>
      </w:r>
      <w:proofErr w:type="spellEnd"/>
      <w:r w:rsidRPr="002906A3">
        <w:rPr>
          <w:bCs/>
        </w:rPr>
        <w:t xml:space="preserve"> of </w:t>
      </w:r>
      <w:proofErr w:type="spellStart"/>
      <w:r w:rsidRPr="002906A3">
        <w:rPr>
          <w:bCs/>
        </w:rPr>
        <w:t>the</w:t>
      </w:r>
      <w:proofErr w:type="spellEnd"/>
      <w:r w:rsidRPr="002906A3">
        <w:rPr>
          <w:bCs/>
        </w:rPr>
        <w:t xml:space="preserve"> </w:t>
      </w:r>
      <w:proofErr w:type="spellStart"/>
      <w:r w:rsidRPr="002906A3">
        <w:rPr>
          <w:bCs/>
        </w:rPr>
        <w:t>State</w:t>
      </w:r>
      <w:proofErr w:type="spellEnd"/>
      <w:r w:rsidRPr="002906A3">
        <w:rPr>
          <w:bCs/>
        </w:rPr>
        <w:t xml:space="preserve"> of </w:t>
      </w:r>
      <w:proofErr w:type="spellStart"/>
      <w:r w:rsidRPr="002906A3">
        <w:rPr>
          <w:bCs/>
        </w:rPr>
        <w:t>Bosnia</w:t>
      </w:r>
      <w:proofErr w:type="spellEnd"/>
      <w:r w:rsidRPr="002906A3">
        <w:rPr>
          <w:bCs/>
        </w:rPr>
        <w:t xml:space="preserve"> </w:t>
      </w:r>
      <w:proofErr w:type="spellStart"/>
      <w:r w:rsidRPr="002906A3">
        <w:rPr>
          <w:bCs/>
        </w:rPr>
        <w:t>will</w:t>
      </w:r>
      <w:proofErr w:type="spellEnd"/>
      <w:r w:rsidRPr="002906A3">
        <w:rPr>
          <w:bCs/>
        </w:rPr>
        <w:t xml:space="preserve"> be </w:t>
      </w:r>
      <w:proofErr w:type="spellStart"/>
      <w:r w:rsidRPr="002906A3">
        <w:rPr>
          <w:bCs/>
        </w:rPr>
        <w:t>examined</w:t>
      </w:r>
      <w:proofErr w:type="spellEnd"/>
      <w:r w:rsidRPr="002906A3">
        <w:rPr>
          <w:bCs/>
        </w:rPr>
        <w:t xml:space="preserve">, </w:t>
      </w:r>
      <w:proofErr w:type="spellStart"/>
      <w:r w:rsidRPr="002906A3">
        <w:rPr>
          <w:bCs/>
        </w:rPr>
        <w:t>based</w:t>
      </w:r>
      <w:proofErr w:type="spellEnd"/>
      <w:r w:rsidRPr="002906A3">
        <w:rPr>
          <w:bCs/>
        </w:rPr>
        <w:t xml:space="preserve"> on </w:t>
      </w:r>
      <w:proofErr w:type="spellStart"/>
      <w:r w:rsidRPr="002906A3">
        <w:rPr>
          <w:bCs/>
        </w:rPr>
        <w:t>the</w:t>
      </w:r>
      <w:proofErr w:type="spellEnd"/>
      <w:r w:rsidRPr="002906A3">
        <w:rPr>
          <w:bCs/>
        </w:rPr>
        <w:t xml:space="preserve"> </w:t>
      </w:r>
      <w:proofErr w:type="gramStart"/>
      <w:r w:rsidRPr="002906A3">
        <w:rPr>
          <w:bCs/>
        </w:rPr>
        <w:t>data</w:t>
      </w:r>
      <w:proofErr w:type="gramEnd"/>
      <w:r w:rsidRPr="002906A3">
        <w:rPr>
          <w:bCs/>
        </w:rPr>
        <w:t xml:space="preserve"> </w:t>
      </w:r>
      <w:proofErr w:type="spellStart"/>
      <w:r w:rsidRPr="002906A3">
        <w:rPr>
          <w:bCs/>
        </w:rPr>
        <w:t>reflected</w:t>
      </w:r>
      <w:proofErr w:type="spellEnd"/>
      <w:r w:rsidRPr="002906A3">
        <w:rPr>
          <w:bCs/>
        </w:rPr>
        <w:t xml:space="preserve"> in </w:t>
      </w:r>
      <w:proofErr w:type="spellStart"/>
      <w:r w:rsidRPr="002906A3">
        <w:rPr>
          <w:bCs/>
        </w:rPr>
        <w:t>the</w:t>
      </w:r>
      <w:proofErr w:type="spellEnd"/>
      <w:r w:rsidRPr="002906A3">
        <w:rPr>
          <w:bCs/>
        </w:rPr>
        <w:t xml:space="preserve"> </w:t>
      </w:r>
      <w:proofErr w:type="spellStart"/>
      <w:r w:rsidRPr="002906A3">
        <w:rPr>
          <w:bCs/>
        </w:rPr>
        <w:t>records</w:t>
      </w:r>
      <w:proofErr w:type="spellEnd"/>
      <w:r w:rsidRPr="002906A3">
        <w:rPr>
          <w:bCs/>
        </w:rPr>
        <w:t xml:space="preserve"> of </w:t>
      </w:r>
      <w:proofErr w:type="spellStart"/>
      <w:r w:rsidRPr="002906A3">
        <w:rPr>
          <w:bCs/>
        </w:rPr>
        <w:t>the</w:t>
      </w:r>
      <w:proofErr w:type="spellEnd"/>
      <w:r w:rsidRPr="002906A3">
        <w:rPr>
          <w:bCs/>
        </w:rPr>
        <w:t xml:space="preserve"> </w:t>
      </w:r>
      <w:proofErr w:type="spellStart"/>
      <w:r w:rsidRPr="002906A3">
        <w:rPr>
          <w:bCs/>
        </w:rPr>
        <w:t>Majlis</w:t>
      </w:r>
      <w:proofErr w:type="spellEnd"/>
      <w:r w:rsidRPr="002906A3">
        <w:rPr>
          <w:bCs/>
        </w:rPr>
        <w:t xml:space="preserve">-i </w:t>
      </w:r>
      <w:proofErr w:type="spellStart"/>
      <w:r w:rsidRPr="002906A3">
        <w:rPr>
          <w:bCs/>
        </w:rPr>
        <w:t>Vâla</w:t>
      </w:r>
      <w:proofErr w:type="spellEnd"/>
      <w:r w:rsidRPr="002906A3">
        <w:rPr>
          <w:bCs/>
        </w:rPr>
        <w:t xml:space="preserve">, </w:t>
      </w:r>
      <w:proofErr w:type="spellStart"/>
      <w:r w:rsidRPr="002906A3">
        <w:rPr>
          <w:bCs/>
        </w:rPr>
        <w:t>the</w:t>
      </w:r>
      <w:proofErr w:type="spellEnd"/>
      <w:r w:rsidRPr="002906A3">
        <w:rPr>
          <w:bCs/>
        </w:rPr>
        <w:t xml:space="preserve"> </w:t>
      </w:r>
      <w:proofErr w:type="spellStart"/>
      <w:r w:rsidRPr="002906A3">
        <w:rPr>
          <w:bCs/>
        </w:rPr>
        <w:t>highest</w:t>
      </w:r>
      <w:proofErr w:type="spellEnd"/>
      <w:r w:rsidRPr="002906A3">
        <w:rPr>
          <w:bCs/>
        </w:rPr>
        <w:t xml:space="preserve"> </w:t>
      </w:r>
      <w:proofErr w:type="spellStart"/>
      <w:r w:rsidRPr="002906A3">
        <w:rPr>
          <w:bCs/>
        </w:rPr>
        <w:t>legislative</w:t>
      </w:r>
      <w:proofErr w:type="spellEnd"/>
      <w:r w:rsidRPr="002906A3">
        <w:rPr>
          <w:bCs/>
        </w:rPr>
        <w:t xml:space="preserve"> </w:t>
      </w:r>
      <w:proofErr w:type="spellStart"/>
      <w:r w:rsidRPr="002906A3">
        <w:rPr>
          <w:bCs/>
        </w:rPr>
        <w:t>and</w:t>
      </w:r>
      <w:proofErr w:type="spellEnd"/>
      <w:r w:rsidRPr="002906A3">
        <w:rPr>
          <w:bCs/>
        </w:rPr>
        <w:t xml:space="preserve"> </w:t>
      </w:r>
      <w:proofErr w:type="spellStart"/>
      <w:r w:rsidRPr="002906A3">
        <w:rPr>
          <w:bCs/>
        </w:rPr>
        <w:t>judicial</w:t>
      </w:r>
      <w:proofErr w:type="spellEnd"/>
      <w:r w:rsidRPr="002906A3">
        <w:rPr>
          <w:bCs/>
        </w:rPr>
        <w:t xml:space="preserve"> </w:t>
      </w:r>
      <w:proofErr w:type="spellStart"/>
      <w:r w:rsidRPr="002906A3">
        <w:rPr>
          <w:bCs/>
        </w:rPr>
        <w:t>institution</w:t>
      </w:r>
      <w:proofErr w:type="spellEnd"/>
      <w:r w:rsidRPr="002906A3">
        <w:rPr>
          <w:bCs/>
        </w:rPr>
        <w:t xml:space="preserve"> of </w:t>
      </w:r>
      <w:proofErr w:type="spellStart"/>
      <w:r w:rsidRPr="002906A3">
        <w:rPr>
          <w:bCs/>
        </w:rPr>
        <w:t>the</w:t>
      </w:r>
      <w:proofErr w:type="spellEnd"/>
      <w:r w:rsidRPr="002906A3">
        <w:rPr>
          <w:bCs/>
        </w:rPr>
        <w:t xml:space="preserve"> Tanzimat </w:t>
      </w:r>
      <w:proofErr w:type="spellStart"/>
      <w:r w:rsidRPr="002906A3">
        <w:rPr>
          <w:bCs/>
        </w:rPr>
        <w:t>period</w:t>
      </w:r>
      <w:proofErr w:type="spellEnd"/>
      <w:r w:rsidRPr="002906A3">
        <w:rPr>
          <w:bCs/>
        </w:rPr>
        <w:t>.</w:t>
      </w:r>
    </w:p>
    <w:p w14:paraId="1A20EEE0" w14:textId="77777777" w:rsidR="00A4535A" w:rsidRPr="002906A3" w:rsidRDefault="00A4535A" w:rsidP="00BA67A6">
      <w:pPr>
        <w:jc w:val="both"/>
        <w:rPr>
          <w:bCs/>
        </w:rPr>
      </w:pPr>
    </w:p>
    <w:p w14:paraId="06F85518" w14:textId="77777777" w:rsidR="001E7189" w:rsidRPr="002906A3" w:rsidRDefault="001E7189" w:rsidP="00BA67A6">
      <w:pPr>
        <w:jc w:val="both"/>
        <w:rPr>
          <w:b/>
        </w:rPr>
      </w:pPr>
      <w:proofErr w:type="spellStart"/>
      <w:r w:rsidRPr="002906A3">
        <w:rPr>
          <w:b/>
        </w:rPr>
        <w:t>Keywords</w:t>
      </w:r>
      <w:proofErr w:type="spellEnd"/>
      <w:r w:rsidRPr="002906A3">
        <w:rPr>
          <w:b/>
        </w:rPr>
        <w:t xml:space="preserve">: </w:t>
      </w:r>
      <w:proofErr w:type="spellStart"/>
      <w:r w:rsidRPr="00A4535A">
        <w:rPr>
          <w:bCs/>
        </w:rPr>
        <w:t>Bosnia</w:t>
      </w:r>
      <w:proofErr w:type="spellEnd"/>
      <w:r w:rsidRPr="00A4535A">
        <w:rPr>
          <w:bCs/>
        </w:rPr>
        <w:t xml:space="preserve">, </w:t>
      </w:r>
      <w:proofErr w:type="spellStart"/>
      <w:r w:rsidRPr="00A4535A">
        <w:rPr>
          <w:bCs/>
        </w:rPr>
        <w:t>Accidental</w:t>
      </w:r>
      <w:proofErr w:type="spellEnd"/>
      <w:r w:rsidRPr="00A4535A">
        <w:rPr>
          <w:bCs/>
        </w:rPr>
        <w:t xml:space="preserve"> </w:t>
      </w:r>
      <w:proofErr w:type="spellStart"/>
      <w:r w:rsidRPr="00A4535A">
        <w:rPr>
          <w:bCs/>
        </w:rPr>
        <w:t>death</w:t>
      </w:r>
      <w:proofErr w:type="spellEnd"/>
      <w:r w:rsidRPr="00A4535A">
        <w:rPr>
          <w:bCs/>
        </w:rPr>
        <w:t xml:space="preserve">, Home </w:t>
      </w:r>
      <w:proofErr w:type="spellStart"/>
      <w:r w:rsidRPr="00A4535A">
        <w:rPr>
          <w:bCs/>
        </w:rPr>
        <w:t>accidents</w:t>
      </w:r>
      <w:proofErr w:type="spellEnd"/>
      <w:r w:rsidRPr="00A4535A">
        <w:rPr>
          <w:bCs/>
        </w:rPr>
        <w:t xml:space="preserve">, </w:t>
      </w:r>
      <w:proofErr w:type="spellStart"/>
      <w:r w:rsidRPr="00A4535A">
        <w:rPr>
          <w:bCs/>
        </w:rPr>
        <w:t>Drowning</w:t>
      </w:r>
      <w:proofErr w:type="spellEnd"/>
    </w:p>
    <w:p w14:paraId="7FE54086" w14:textId="330D4658" w:rsidR="001E7189" w:rsidRPr="002906A3" w:rsidRDefault="001E7189" w:rsidP="00BA67A6">
      <w:pPr>
        <w:rPr>
          <w:b/>
        </w:rPr>
      </w:pPr>
    </w:p>
    <w:p w14:paraId="18E94779" w14:textId="77777777" w:rsidR="001E7189" w:rsidRPr="002906A3" w:rsidRDefault="001E7189" w:rsidP="00BA67A6">
      <w:pPr>
        <w:rPr>
          <w:rFonts w:eastAsia="Calibri"/>
          <w:b/>
        </w:rPr>
      </w:pPr>
      <w:r w:rsidRPr="002906A3">
        <w:rPr>
          <w:rFonts w:eastAsia="Calibri"/>
          <w:b/>
        </w:rPr>
        <w:t>GİRİŞ</w:t>
      </w:r>
    </w:p>
    <w:p w14:paraId="4867AAEC" w14:textId="4AE07612" w:rsidR="001E7189" w:rsidRDefault="001E7189" w:rsidP="00BA67A6">
      <w:pPr>
        <w:jc w:val="both"/>
        <w:rPr>
          <w:rFonts w:eastAsia="Calibri"/>
          <w:bCs/>
        </w:rPr>
      </w:pPr>
      <w:bookmarkStart w:id="182" w:name="_Hlk177765233"/>
      <w:r w:rsidRPr="002906A3">
        <w:rPr>
          <w:rFonts w:eastAsia="Calibri"/>
          <w:bCs/>
        </w:rPr>
        <w:t xml:space="preserve">XIX. yüzyılda Osmanlı coğrafyasında işlenen suçlara ve bu bağlamda verilen cezaları içeren kaynaklara Osmanlı arşivinde çeşitli defter ve belgelerde rastlanmaktadır. Bunlar </w:t>
      </w:r>
      <w:proofErr w:type="spellStart"/>
      <w:r w:rsidRPr="002906A3">
        <w:rPr>
          <w:rFonts w:eastAsia="Calibri"/>
          <w:bCs/>
        </w:rPr>
        <w:t>şeriyye</w:t>
      </w:r>
      <w:proofErr w:type="spellEnd"/>
      <w:r w:rsidRPr="002906A3">
        <w:rPr>
          <w:rFonts w:eastAsia="Calibri"/>
          <w:bCs/>
        </w:rPr>
        <w:t xml:space="preserve"> sicilleri, ayniyat defterleri, kısas defterleri, Meclis-i </w:t>
      </w:r>
      <w:proofErr w:type="spellStart"/>
      <w:r w:rsidRPr="002906A3">
        <w:rPr>
          <w:rFonts w:eastAsia="Calibri"/>
          <w:bCs/>
        </w:rPr>
        <w:t>Vâlâ</w:t>
      </w:r>
      <w:proofErr w:type="spellEnd"/>
      <w:r w:rsidRPr="002906A3">
        <w:rPr>
          <w:rFonts w:eastAsia="Calibri"/>
          <w:bCs/>
        </w:rPr>
        <w:t xml:space="preserve"> ve Divan-ı Ahkâm-ı Adliye’ye ait mazbata ve defterler, Emniyet-i Umumiye Müdürlüğü Evrakında yer alan </w:t>
      </w:r>
      <w:proofErr w:type="spellStart"/>
      <w:r w:rsidRPr="002906A3">
        <w:rPr>
          <w:rFonts w:eastAsia="Calibri"/>
          <w:bCs/>
        </w:rPr>
        <w:t>ceraim</w:t>
      </w:r>
      <w:proofErr w:type="spellEnd"/>
      <w:r w:rsidRPr="002906A3">
        <w:rPr>
          <w:rFonts w:eastAsia="Calibri"/>
          <w:bCs/>
        </w:rPr>
        <w:t xml:space="preserve"> ve cinayetlere </w:t>
      </w:r>
      <w:r w:rsidRPr="002906A3">
        <w:rPr>
          <w:rFonts w:eastAsia="Calibri"/>
          <w:bCs/>
        </w:rPr>
        <w:lastRenderedPageBreak/>
        <w:t xml:space="preserve">dair istatistik cetvelleri, Rumeli Müfettişliği Evrakında yer alan mahkeme ve </w:t>
      </w:r>
      <w:proofErr w:type="spellStart"/>
      <w:r w:rsidRPr="002906A3">
        <w:rPr>
          <w:rFonts w:eastAsia="Calibri"/>
          <w:bCs/>
        </w:rPr>
        <w:t>ceraim</w:t>
      </w:r>
      <w:proofErr w:type="spellEnd"/>
      <w:r w:rsidRPr="002906A3">
        <w:rPr>
          <w:rFonts w:eastAsia="Calibri"/>
          <w:bCs/>
        </w:rPr>
        <w:t xml:space="preserve"> defterleri gibi kaynaklardır.</w:t>
      </w:r>
      <w:r w:rsidRPr="002906A3">
        <w:rPr>
          <w:rFonts w:eastAsia="Calibri"/>
          <w:bCs/>
          <w:vertAlign w:val="superscript"/>
        </w:rPr>
        <w:footnoteReference w:id="25"/>
      </w:r>
      <w:r w:rsidRPr="002906A3">
        <w:rPr>
          <w:rFonts w:eastAsia="Calibri"/>
          <w:bCs/>
        </w:rPr>
        <w:t xml:space="preserve"> Osmanlı arşiv belgelerinde cinayetten başka </w:t>
      </w:r>
      <w:proofErr w:type="spellStart"/>
      <w:r w:rsidRPr="002906A3">
        <w:rPr>
          <w:rFonts w:eastAsia="Calibri"/>
          <w:bCs/>
        </w:rPr>
        <w:t>kazâen</w:t>
      </w:r>
      <w:proofErr w:type="spellEnd"/>
      <w:r w:rsidRPr="002906A3">
        <w:rPr>
          <w:rFonts w:eastAsia="Calibri"/>
          <w:bCs/>
        </w:rPr>
        <w:t xml:space="preserve"> gerçekleşen yaralama ve ölümlerin kaydına da rastlanmaktadır. Bilindiği gibi Tanzimat’ın ilanından sonra taşrada reformları uygulamak üzere asıl işlevleri idari-mali olan meclisler kurulmaya başlanmıştır. Bu meclisler, 1840 Ceza Kanununu ile bu kanunun tatbiki görevinin de kendilerine verilmesiyle yargı yetkisine de haiz olmuşlar ve yetkileri alanlarındaki ceza davalarını görmeye başlamışlardır.  Taşra meclisleri </w:t>
      </w:r>
      <w:proofErr w:type="spellStart"/>
      <w:r w:rsidRPr="002906A3">
        <w:rPr>
          <w:rFonts w:eastAsia="Calibri"/>
          <w:bCs/>
        </w:rPr>
        <w:t>katl</w:t>
      </w:r>
      <w:proofErr w:type="spellEnd"/>
      <w:r w:rsidRPr="002906A3">
        <w:rPr>
          <w:rFonts w:eastAsia="Calibri"/>
          <w:bCs/>
        </w:rPr>
        <w:t xml:space="preserve">, darp, hırsızlık, yol kesme gibi cezası ağır olan suçlarla ilgili olan davalarda verdikleri kararları tetkik edilmek üzere Meclis-i </w:t>
      </w:r>
      <w:proofErr w:type="spellStart"/>
      <w:r w:rsidRPr="002906A3">
        <w:rPr>
          <w:rFonts w:eastAsia="Calibri"/>
          <w:bCs/>
        </w:rPr>
        <w:t>Vâlâ’ya</w:t>
      </w:r>
      <w:proofErr w:type="spellEnd"/>
      <w:r w:rsidRPr="002906A3">
        <w:rPr>
          <w:rFonts w:eastAsia="Calibri"/>
          <w:bCs/>
        </w:rPr>
        <w:t xml:space="preserve"> arz etmek zorundaydı.</w:t>
      </w:r>
      <w:r w:rsidRPr="002906A3">
        <w:rPr>
          <w:rFonts w:eastAsia="Calibri"/>
          <w:bCs/>
          <w:vertAlign w:val="superscript"/>
        </w:rPr>
        <w:footnoteReference w:id="26"/>
      </w:r>
      <w:r w:rsidRPr="002906A3">
        <w:rPr>
          <w:rFonts w:eastAsia="Calibri"/>
          <w:bCs/>
        </w:rPr>
        <w:t xml:space="preserve"> Yeni ceza kanunları gereğince 1864’e dek muhakeme yapan bu meclislerden gönderilen ölüm vakalarını içeren dava kararlarının üst kontrolünün yapıldığı Meclis-i </w:t>
      </w:r>
      <w:proofErr w:type="spellStart"/>
      <w:r w:rsidRPr="002906A3">
        <w:rPr>
          <w:rFonts w:eastAsia="Calibri"/>
          <w:bCs/>
        </w:rPr>
        <w:t>Vâlâ</w:t>
      </w:r>
      <w:proofErr w:type="spellEnd"/>
      <w:r w:rsidRPr="002906A3">
        <w:rPr>
          <w:rFonts w:eastAsia="Calibri"/>
          <w:bCs/>
        </w:rPr>
        <w:t xml:space="preserve"> kayıtları bu çalışmanın ana kaynağını oluşturmaktadır</w:t>
      </w:r>
      <w:bookmarkEnd w:id="182"/>
      <w:r w:rsidR="00BA67A6">
        <w:rPr>
          <w:rFonts w:eastAsia="Calibri"/>
          <w:bCs/>
        </w:rPr>
        <w:t>.</w:t>
      </w:r>
    </w:p>
    <w:p w14:paraId="47D8B473" w14:textId="77777777" w:rsidR="00BA67A6" w:rsidRPr="002906A3" w:rsidRDefault="00BA67A6" w:rsidP="00BA67A6">
      <w:pPr>
        <w:jc w:val="both"/>
        <w:rPr>
          <w:rFonts w:eastAsia="Calibri"/>
          <w:bCs/>
        </w:rPr>
      </w:pPr>
    </w:p>
    <w:p w14:paraId="4C1501E4" w14:textId="77777777" w:rsidR="001E7189" w:rsidRPr="002906A3" w:rsidRDefault="001E7189" w:rsidP="00BA67A6">
      <w:pPr>
        <w:jc w:val="both"/>
        <w:rPr>
          <w:rFonts w:eastAsia="Calibri"/>
          <w:b/>
        </w:rPr>
      </w:pPr>
      <w:r w:rsidRPr="002906A3">
        <w:rPr>
          <w:rFonts w:eastAsia="Calibri"/>
          <w:b/>
        </w:rPr>
        <w:t xml:space="preserve">1.  Bosna Eyaleti’nde </w:t>
      </w:r>
      <w:proofErr w:type="spellStart"/>
      <w:r w:rsidRPr="002906A3">
        <w:rPr>
          <w:rFonts w:eastAsia="Calibri"/>
          <w:b/>
        </w:rPr>
        <w:t>Kazâen</w:t>
      </w:r>
      <w:proofErr w:type="spellEnd"/>
      <w:r w:rsidRPr="002906A3">
        <w:rPr>
          <w:rFonts w:eastAsia="Calibri"/>
          <w:b/>
        </w:rPr>
        <w:t xml:space="preserve"> Gerçekleşen Ölümler</w:t>
      </w:r>
    </w:p>
    <w:p w14:paraId="5CF65FB8" w14:textId="77777777" w:rsidR="001E7189" w:rsidRDefault="001E7189" w:rsidP="00BA67A6">
      <w:pPr>
        <w:jc w:val="both"/>
        <w:rPr>
          <w:rFonts w:eastAsia="Calibri"/>
          <w:bCs/>
        </w:rPr>
      </w:pPr>
      <w:r w:rsidRPr="002906A3">
        <w:rPr>
          <w:rFonts w:eastAsia="Calibri"/>
          <w:bCs/>
        </w:rPr>
        <w:t xml:space="preserve">İslam hukukunda öldürme suçları beşe ayrılmaktadır. Bunlar; </w:t>
      </w:r>
      <w:r w:rsidRPr="002906A3">
        <w:rPr>
          <w:rFonts w:eastAsia="Calibri"/>
          <w:bCs/>
          <w:i/>
          <w:iCs/>
        </w:rPr>
        <w:t xml:space="preserve">kasten </w:t>
      </w:r>
      <w:proofErr w:type="spellStart"/>
      <w:r w:rsidRPr="002906A3">
        <w:rPr>
          <w:rFonts w:eastAsia="Calibri"/>
          <w:bCs/>
          <w:i/>
          <w:iCs/>
        </w:rPr>
        <w:t>katl</w:t>
      </w:r>
      <w:proofErr w:type="spellEnd"/>
      <w:r w:rsidRPr="002906A3">
        <w:rPr>
          <w:rFonts w:eastAsia="Calibri"/>
          <w:bCs/>
        </w:rPr>
        <w:t xml:space="preserve"> (</w:t>
      </w:r>
      <w:proofErr w:type="spellStart"/>
      <w:r w:rsidRPr="002906A3">
        <w:rPr>
          <w:rFonts w:eastAsia="Calibri"/>
          <w:bCs/>
        </w:rPr>
        <w:t>katl</w:t>
      </w:r>
      <w:proofErr w:type="spellEnd"/>
      <w:r w:rsidRPr="002906A3">
        <w:rPr>
          <w:rFonts w:eastAsia="Calibri"/>
          <w:bCs/>
        </w:rPr>
        <w:t xml:space="preserve">-i </w:t>
      </w:r>
      <w:proofErr w:type="spellStart"/>
      <w:r w:rsidRPr="002906A3">
        <w:rPr>
          <w:rFonts w:eastAsia="Calibri"/>
          <w:bCs/>
        </w:rPr>
        <w:t>amd</w:t>
      </w:r>
      <w:proofErr w:type="spellEnd"/>
      <w:r w:rsidRPr="002906A3">
        <w:rPr>
          <w:rFonts w:eastAsia="Calibri"/>
          <w:bCs/>
        </w:rPr>
        <w:t xml:space="preserve">, bir insanı bilerek ve kesici alet kullanarak öldürme), </w:t>
      </w:r>
      <w:r w:rsidRPr="002906A3">
        <w:rPr>
          <w:rFonts w:eastAsia="Calibri"/>
          <w:bCs/>
          <w:i/>
          <w:iCs/>
        </w:rPr>
        <w:t xml:space="preserve">kasta benzer </w:t>
      </w:r>
      <w:proofErr w:type="spellStart"/>
      <w:r w:rsidRPr="002906A3">
        <w:rPr>
          <w:rFonts w:eastAsia="Calibri"/>
          <w:bCs/>
          <w:i/>
          <w:iCs/>
        </w:rPr>
        <w:t>katl</w:t>
      </w:r>
      <w:proofErr w:type="spellEnd"/>
      <w:r w:rsidRPr="002906A3">
        <w:rPr>
          <w:rFonts w:eastAsia="Calibri"/>
          <w:bCs/>
        </w:rPr>
        <w:t xml:space="preserve"> (</w:t>
      </w:r>
      <w:proofErr w:type="spellStart"/>
      <w:r w:rsidRPr="002906A3">
        <w:rPr>
          <w:rFonts w:eastAsia="Calibri"/>
          <w:bCs/>
        </w:rPr>
        <w:t>katl</w:t>
      </w:r>
      <w:proofErr w:type="spellEnd"/>
      <w:r w:rsidRPr="002906A3">
        <w:rPr>
          <w:rFonts w:eastAsia="Calibri"/>
          <w:bCs/>
        </w:rPr>
        <w:t xml:space="preserve">-ı </w:t>
      </w:r>
      <w:proofErr w:type="spellStart"/>
      <w:r w:rsidRPr="002906A3">
        <w:rPr>
          <w:rFonts w:eastAsia="Calibri"/>
          <w:bCs/>
        </w:rPr>
        <w:t>şibh</w:t>
      </w:r>
      <w:proofErr w:type="spellEnd"/>
      <w:r w:rsidRPr="002906A3">
        <w:rPr>
          <w:rFonts w:eastAsia="Calibri"/>
          <w:bCs/>
        </w:rPr>
        <w:t xml:space="preserve">-i </w:t>
      </w:r>
      <w:proofErr w:type="spellStart"/>
      <w:r w:rsidRPr="002906A3">
        <w:rPr>
          <w:rFonts w:eastAsia="Calibri"/>
          <w:bCs/>
        </w:rPr>
        <w:t>amd</w:t>
      </w:r>
      <w:proofErr w:type="spellEnd"/>
      <w:r w:rsidRPr="002906A3">
        <w:rPr>
          <w:rFonts w:eastAsia="Calibri"/>
          <w:bCs/>
        </w:rPr>
        <w:t xml:space="preserve">, bir insanı yaralayıcı alet olmaksızın sopa, tokat gibi şeylerle öldürme), </w:t>
      </w:r>
      <w:proofErr w:type="spellStart"/>
      <w:r w:rsidRPr="002906A3">
        <w:rPr>
          <w:rFonts w:eastAsia="Calibri"/>
          <w:bCs/>
          <w:i/>
          <w:iCs/>
        </w:rPr>
        <w:t>hatâen</w:t>
      </w:r>
      <w:proofErr w:type="spellEnd"/>
      <w:r w:rsidRPr="002906A3">
        <w:rPr>
          <w:rFonts w:eastAsia="Calibri"/>
          <w:bCs/>
          <w:i/>
          <w:iCs/>
        </w:rPr>
        <w:t xml:space="preserve"> </w:t>
      </w:r>
      <w:proofErr w:type="spellStart"/>
      <w:r w:rsidRPr="002906A3">
        <w:rPr>
          <w:rFonts w:eastAsia="Calibri"/>
          <w:bCs/>
          <w:i/>
          <w:iCs/>
        </w:rPr>
        <w:t>katl</w:t>
      </w:r>
      <w:proofErr w:type="spellEnd"/>
      <w:r w:rsidRPr="002906A3">
        <w:rPr>
          <w:rFonts w:eastAsia="Calibri"/>
          <w:bCs/>
        </w:rPr>
        <w:t xml:space="preserve"> (bir insanı kasıtsız, hata ile öldürme), </w:t>
      </w:r>
      <w:r w:rsidRPr="002906A3">
        <w:rPr>
          <w:rFonts w:eastAsia="Calibri"/>
          <w:bCs/>
          <w:i/>
          <w:iCs/>
        </w:rPr>
        <w:t xml:space="preserve">hata benzeri </w:t>
      </w:r>
      <w:proofErr w:type="spellStart"/>
      <w:r w:rsidRPr="002906A3">
        <w:rPr>
          <w:rFonts w:eastAsia="Calibri"/>
          <w:bCs/>
          <w:i/>
          <w:iCs/>
        </w:rPr>
        <w:t>katl</w:t>
      </w:r>
      <w:proofErr w:type="spellEnd"/>
      <w:r w:rsidRPr="002906A3">
        <w:rPr>
          <w:rFonts w:eastAsia="Calibri"/>
          <w:bCs/>
        </w:rPr>
        <w:t xml:space="preserve"> (bir insanı ihtiyari olmaksızın yani irade dışında gerçekleşen bir fiil sonucunda öldürme) ve </w:t>
      </w:r>
      <w:proofErr w:type="spellStart"/>
      <w:r w:rsidRPr="002906A3">
        <w:rPr>
          <w:rFonts w:eastAsia="Calibri"/>
          <w:bCs/>
          <w:i/>
          <w:iCs/>
        </w:rPr>
        <w:t>tesebbüben</w:t>
      </w:r>
      <w:proofErr w:type="spellEnd"/>
      <w:r w:rsidRPr="002906A3">
        <w:rPr>
          <w:rFonts w:eastAsia="Calibri"/>
          <w:bCs/>
          <w:i/>
          <w:iCs/>
        </w:rPr>
        <w:t xml:space="preserve"> </w:t>
      </w:r>
      <w:proofErr w:type="spellStart"/>
      <w:r w:rsidRPr="002906A3">
        <w:rPr>
          <w:rFonts w:eastAsia="Calibri"/>
          <w:bCs/>
          <w:i/>
          <w:iCs/>
        </w:rPr>
        <w:t>katl</w:t>
      </w:r>
      <w:proofErr w:type="spellEnd"/>
      <w:r w:rsidRPr="002906A3">
        <w:rPr>
          <w:rFonts w:eastAsia="Calibri"/>
          <w:bCs/>
        </w:rPr>
        <w:t xml:space="preserve"> (bir insanın ölümüne fiilen değil yaptığı işle dolaylı yolla sebep olma) şeklindedir. Kasten </w:t>
      </w:r>
      <w:proofErr w:type="spellStart"/>
      <w:r w:rsidRPr="002906A3">
        <w:rPr>
          <w:rFonts w:eastAsia="Calibri"/>
          <w:bCs/>
        </w:rPr>
        <w:t>katl</w:t>
      </w:r>
      <w:proofErr w:type="spellEnd"/>
      <w:r w:rsidRPr="002906A3">
        <w:rPr>
          <w:rFonts w:eastAsia="Calibri"/>
          <w:bCs/>
        </w:rPr>
        <w:t xml:space="preserve"> suçunun cezası kısas veya diyet, kasta benzer veya hata benzeri katlin asli asli cezası diyet ve kefaret, </w:t>
      </w:r>
      <w:proofErr w:type="spellStart"/>
      <w:r w:rsidRPr="002906A3">
        <w:rPr>
          <w:rFonts w:eastAsia="Calibri"/>
          <w:bCs/>
        </w:rPr>
        <w:t>tesebbüben</w:t>
      </w:r>
      <w:proofErr w:type="spellEnd"/>
      <w:r w:rsidRPr="002906A3">
        <w:rPr>
          <w:rFonts w:eastAsia="Calibri"/>
          <w:bCs/>
        </w:rPr>
        <w:t xml:space="preserve"> katlin cezası ise diyettir.</w:t>
      </w:r>
      <w:r w:rsidRPr="002906A3">
        <w:rPr>
          <w:rFonts w:eastAsia="Calibri"/>
          <w:bCs/>
          <w:vertAlign w:val="superscript"/>
        </w:rPr>
        <w:footnoteReference w:id="27"/>
      </w:r>
    </w:p>
    <w:p w14:paraId="14DE9F9C" w14:textId="77777777" w:rsidR="00BA67A6" w:rsidRPr="002906A3" w:rsidRDefault="00BA67A6" w:rsidP="00BA67A6">
      <w:pPr>
        <w:jc w:val="both"/>
        <w:rPr>
          <w:rFonts w:eastAsia="Calibri"/>
          <w:bCs/>
        </w:rPr>
      </w:pPr>
    </w:p>
    <w:p w14:paraId="72C2F227" w14:textId="6A3C6432" w:rsidR="001E7189" w:rsidRDefault="001E7189" w:rsidP="00BA67A6">
      <w:pPr>
        <w:jc w:val="both"/>
        <w:rPr>
          <w:rFonts w:eastAsia="Calibri"/>
          <w:bCs/>
        </w:rPr>
      </w:pPr>
      <w:r w:rsidRPr="002906A3">
        <w:rPr>
          <w:rFonts w:eastAsia="Calibri"/>
          <w:bCs/>
        </w:rPr>
        <w:t xml:space="preserve">Gerek İslam ve gerek Osmanlı hukuku uygulamasında hatayla gerçekleşen fiilin ölüme sebebiyet vermesi, suçlunun cezasız kalmasını gerektirmez. </w:t>
      </w:r>
      <w:proofErr w:type="spellStart"/>
      <w:r w:rsidRPr="002906A3">
        <w:rPr>
          <w:rFonts w:eastAsia="Calibri"/>
          <w:bCs/>
        </w:rPr>
        <w:t>Hatâen</w:t>
      </w:r>
      <w:proofErr w:type="spellEnd"/>
      <w:r w:rsidRPr="002906A3">
        <w:rPr>
          <w:rFonts w:eastAsia="Calibri"/>
          <w:bCs/>
        </w:rPr>
        <w:t xml:space="preserve"> </w:t>
      </w:r>
      <w:proofErr w:type="spellStart"/>
      <w:r w:rsidRPr="002906A3">
        <w:rPr>
          <w:rFonts w:eastAsia="Calibri"/>
          <w:bCs/>
        </w:rPr>
        <w:t>katlde</w:t>
      </w:r>
      <w:proofErr w:type="spellEnd"/>
      <w:r w:rsidRPr="002906A3">
        <w:rPr>
          <w:rFonts w:eastAsia="Calibri"/>
          <w:bCs/>
        </w:rPr>
        <w:t xml:space="preserve"> failin öldürme kastı yoktur fakat fiilinde kasıt vardır. İslam hukukunda </w:t>
      </w:r>
      <w:proofErr w:type="spellStart"/>
      <w:r w:rsidRPr="002906A3">
        <w:rPr>
          <w:rFonts w:eastAsia="Calibri"/>
          <w:bCs/>
        </w:rPr>
        <w:t>hatâen</w:t>
      </w:r>
      <w:proofErr w:type="spellEnd"/>
      <w:r w:rsidRPr="002906A3">
        <w:rPr>
          <w:rFonts w:eastAsia="Calibri"/>
          <w:bCs/>
        </w:rPr>
        <w:t xml:space="preserve"> öldürme suçu zanda hata ve fiilde hata olarak ikiye ayrılır. </w:t>
      </w:r>
      <w:proofErr w:type="spellStart"/>
      <w:r w:rsidRPr="002906A3">
        <w:rPr>
          <w:rFonts w:eastAsia="Calibri"/>
          <w:bCs/>
        </w:rPr>
        <w:t>Hatâen</w:t>
      </w:r>
      <w:proofErr w:type="spellEnd"/>
      <w:r w:rsidRPr="002906A3">
        <w:rPr>
          <w:rFonts w:eastAsia="Calibri"/>
          <w:bCs/>
        </w:rPr>
        <w:t xml:space="preserve"> katlin asli cezası diyet ve kefarettir. Ek olarak öldürdüğü şahsın miras ve vasiyetinden mahrum bırakılan faile bedeli ceza olarak da </w:t>
      </w:r>
      <w:proofErr w:type="spellStart"/>
      <w:r w:rsidRPr="002906A3">
        <w:rPr>
          <w:rFonts w:eastAsia="Calibri"/>
          <w:bCs/>
        </w:rPr>
        <w:t>tazir</w:t>
      </w:r>
      <w:proofErr w:type="spellEnd"/>
      <w:r w:rsidRPr="002906A3">
        <w:rPr>
          <w:rFonts w:eastAsia="Calibri"/>
          <w:bCs/>
        </w:rPr>
        <w:t xml:space="preserve"> cezası verilir.</w:t>
      </w:r>
      <w:r w:rsidRPr="002906A3">
        <w:t xml:space="preserve"> </w:t>
      </w:r>
      <w:r w:rsidRPr="002906A3">
        <w:rPr>
          <w:rFonts w:eastAsia="Calibri"/>
          <w:bCs/>
        </w:rPr>
        <w:t xml:space="preserve">Osmanlıda hatayla öldürmenin cezası </w:t>
      </w:r>
      <w:proofErr w:type="gramStart"/>
      <w:r w:rsidRPr="002906A3">
        <w:rPr>
          <w:rFonts w:eastAsia="Calibri"/>
          <w:bCs/>
        </w:rPr>
        <w:t>şer‘</w:t>
      </w:r>
      <w:proofErr w:type="gramEnd"/>
      <w:r w:rsidRPr="002906A3">
        <w:rPr>
          <w:rFonts w:eastAsia="Calibri"/>
          <w:bCs/>
        </w:rPr>
        <w:t>i hukuk hükmünce verilmekte idi.</w:t>
      </w:r>
      <w:r w:rsidRPr="002906A3">
        <w:rPr>
          <w:rFonts w:eastAsia="Calibri"/>
          <w:bCs/>
          <w:vertAlign w:val="superscript"/>
        </w:rPr>
        <w:footnoteReference w:id="28"/>
      </w:r>
      <w:r w:rsidRPr="002906A3">
        <w:rPr>
          <w:rFonts w:eastAsia="Calibri"/>
          <w:bCs/>
        </w:rPr>
        <w:t xml:space="preserve"> </w:t>
      </w:r>
      <w:bookmarkStart w:id="184" w:name="_Hlk177765593"/>
      <w:r w:rsidRPr="002906A3">
        <w:rPr>
          <w:rFonts w:eastAsia="Calibri"/>
          <w:bCs/>
        </w:rPr>
        <w:t xml:space="preserve">Tanzimat Fermanının ilanının akabinde 3 Mayıs 1840 tarihinde yürürlüğe konan Ceza </w:t>
      </w:r>
      <w:proofErr w:type="spellStart"/>
      <w:r w:rsidRPr="002906A3">
        <w:rPr>
          <w:rFonts w:eastAsia="Calibri"/>
          <w:bCs/>
        </w:rPr>
        <w:t>Kanûnnâme</w:t>
      </w:r>
      <w:proofErr w:type="spellEnd"/>
      <w:r w:rsidRPr="002906A3">
        <w:rPr>
          <w:rFonts w:eastAsia="Calibri"/>
          <w:bCs/>
        </w:rPr>
        <w:t xml:space="preserve">-i </w:t>
      </w:r>
      <w:proofErr w:type="spellStart"/>
      <w:r w:rsidRPr="002906A3">
        <w:rPr>
          <w:rFonts w:eastAsia="Calibri"/>
          <w:bCs/>
        </w:rPr>
        <w:t>Hümâyûnunda</w:t>
      </w:r>
      <w:proofErr w:type="spellEnd"/>
      <w:r w:rsidRPr="002906A3">
        <w:rPr>
          <w:rFonts w:eastAsia="Calibri"/>
          <w:bCs/>
        </w:rPr>
        <w:t xml:space="preserve"> taksirle-hatayla öldürme suçuna dair bir düzenleme yer almamıştır. </w:t>
      </w:r>
      <w:proofErr w:type="spellStart"/>
      <w:r w:rsidRPr="002906A3">
        <w:rPr>
          <w:rFonts w:eastAsia="Calibri"/>
          <w:bCs/>
        </w:rPr>
        <w:t>Hatâen</w:t>
      </w:r>
      <w:proofErr w:type="spellEnd"/>
      <w:r w:rsidRPr="002906A3">
        <w:rPr>
          <w:rFonts w:eastAsia="Calibri"/>
          <w:bCs/>
        </w:rPr>
        <w:t xml:space="preserve"> </w:t>
      </w:r>
      <w:proofErr w:type="spellStart"/>
      <w:r w:rsidRPr="002906A3">
        <w:rPr>
          <w:rFonts w:eastAsia="Calibri"/>
          <w:bCs/>
        </w:rPr>
        <w:t>katl</w:t>
      </w:r>
      <w:proofErr w:type="spellEnd"/>
      <w:r w:rsidRPr="002906A3">
        <w:rPr>
          <w:rFonts w:eastAsia="Calibri"/>
          <w:bCs/>
        </w:rPr>
        <w:t xml:space="preserve"> suçu dönemin diğer ceza kanunları olan 1851 tarihli Kanun-ı </w:t>
      </w:r>
      <w:proofErr w:type="spellStart"/>
      <w:r w:rsidRPr="002906A3">
        <w:rPr>
          <w:rFonts w:eastAsia="Calibri"/>
          <w:bCs/>
        </w:rPr>
        <w:t>Cedîd’inin</w:t>
      </w:r>
      <w:proofErr w:type="spellEnd"/>
      <w:r w:rsidRPr="002906A3">
        <w:rPr>
          <w:rFonts w:eastAsia="Calibri"/>
          <w:bCs/>
        </w:rPr>
        <w:t xml:space="preserve"> 1. Faslının 13. maddesinde</w:t>
      </w:r>
      <w:r w:rsidRPr="002906A3">
        <w:rPr>
          <w:rStyle w:val="DipnotBavurusu"/>
          <w:rFonts w:eastAsia="Calibri"/>
          <w:bCs/>
        </w:rPr>
        <w:footnoteReference w:id="29"/>
      </w:r>
      <w:r w:rsidRPr="002906A3">
        <w:rPr>
          <w:rFonts w:eastAsia="Calibri"/>
          <w:bCs/>
        </w:rPr>
        <w:t xml:space="preserve"> 1858 Ceza Kanunname-i </w:t>
      </w:r>
      <w:proofErr w:type="spellStart"/>
      <w:r w:rsidRPr="002906A3">
        <w:rPr>
          <w:rFonts w:eastAsia="Calibri"/>
          <w:bCs/>
        </w:rPr>
        <w:t>Hümâyûnunun</w:t>
      </w:r>
      <w:proofErr w:type="spellEnd"/>
      <w:r w:rsidRPr="002906A3">
        <w:rPr>
          <w:rFonts w:eastAsia="Calibri"/>
          <w:bCs/>
        </w:rPr>
        <w:t xml:space="preserve"> ise 182. maddesinde</w:t>
      </w:r>
      <w:r w:rsidRPr="002906A3">
        <w:rPr>
          <w:rStyle w:val="DipnotBavurusu"/>
          <w:rFonts w:eastAsia="Calibri"/>
          <w:bCs/>
        </w:rPr>
        <w:footnoteReference w:id="30"/>
      </w:r>
      <w:r w:rsidRPr="002906A3">
        <w:rPr>
          <w:rFonts w:eastAsia="Calibri"/>
          <w:bCs/>
        </w:rPr>
        <w:t xml:space="preserve"> düzenlenmiştir. Burada “hata” ile kastedilen taksirdir ve taksir dikkatten ve kanuna uyma yükümlülüğünden kaçınma olarak açıklanmış, bu yolla gerçekleşen </w:t>
      </w:r>
      <w:proofErr w:type="spellStart"/>
      <w:r w:rsidRPr="002906A3">
        <w:rPr>
          <w:rFonts w:eastAsia="Calibri"/>
          <w:bCs/>
        </w:rPr>
        <w:t>katlde</w:t>
      </w:r>
      <w:proofErr w:type="spellEnd"/>
      <w:r w:rsidRPr="002906A3">
        <w:rPr>
          <w:rFonts w:eastAsia="Calibri"/>
          <w:bCs/>
        </w:rPr>
        <w:t xml:space="preserve">, faile cezai sorumluluk yüklenmiştir. </w:t>
      </w:r>
      <w:r w:rsidRPr="002906A3">
        <w:rPr>
          <w:rFonts w:eastAsia="Calibri"/>
          <w:bCs/>
        </w:rPr>
        <w:lastRenderedPageBreak/>
        <w:t>Ölüme neden olma suçunda taksir daha geniş manada 1926 tarihli ve 765 sayılı Türk Ceza Kanunu’nun 455. maddesinde “</w:t>
      </w:r>
      <w:r w:rsidRPr="002906A3">
        <w:rPr>
          <w:rFonts w:eastAsia="Calibri"/>
          <w:bCs/>
          <w:i/>
          <w:iCs/>
        </w:rPr>
        <w:t xml:space="preserve">tedbirsizlik, dikkatsizlik, meslekte ve sanatta acemilik veya </w:t>
      </w:r>
      <w:proofErr w:type="spellStart"/>
      <w:r w:rsidRPr="002906A3">
        <w:rPr>
          <w:rFonts w:eastAsia="Calibri"/>
          <w:bCs/>
          <w:i/>
          <w:iCs/>
        </w:rPr>
        <w:t>nizâmât</w:t>
      </w:r>
      <w:proofErr w:type="spellEnd"/>
      <w:r w:rsidRPr="002906A3">
        <w:rPr>
          <w:rFonts w:eastAsia="Calibri"/>
          <w:bCs/>
          <w:i/>
          <w:iCs/>
        </w:rPr>
        <w:t xml:space="preserve">, </w:t>
      </w:r>
      <w:proofErr w:type="spellStart"/>
      <w:r w:rsidRPr="002906A3">
        <w:rPr>
          <w:rFonts w:eastAsia="Calibri"/>
          <w:bCs/>
          <w:i/>
          <w:iCs/>
        </w:rPr>
        <w:t>evâmir</w:t>
      </w:r>
      <w:proofErr w:type="spellEnd"/>
      <w:r w:rsidRPr="002906A3">
        <w:rPr>
          <w:rFonts w:eastAsia="Calibri"/>
          <w:bCs/>
          <w:i/>
          <w:iCs/>
        </w:rPr>
        <w:t xml:space="preserve"> ve </w:t>
      </w:r>
      <w:proofErr w:type="spellStart"/>
      <w:r w:rsidRPr="002906A3">
        <w:rPr>
          <w:rFonts w:eastAsia="Calibri"/>
          <w:bCs/>
          <w:i/>
          <w:iCs/>
        </w:rPr>
        <w:t>tâlimâta</w:t>
      </w:r>
      <w:proofErr w:type="spellEnd"/>
      <w:r w:rsidRPr="002906A3">
        <w:rPr>
          <w:rFonts w:eastAsia="Calibri"/>
          <w:bCs/>
          <w:i/>
          <w:iCs/>
        </w:rPr>
        <w:t xml:space="preserve"> riayetsizlik</w:t>
      </w:r>
      <w:r w:rsidRPr="002906A3">
        <w:rPr>
          <w:rFonts w:eastAsia="Calibri"/>
          <w:bCs/>
        </w:rPr>
        <w:t>” olarak yer alacaktır.</w:t>
      </w:r>
      <w:r w:rsidRPr="002906A3">
        <w:rPr>
          <w:rFonts w:eastAsia="Calibri"/>
          <w:bCs/>
          <w:vertAlign w:val="superscript"/>
        </w:rPr>
        <w:footnoteReference w:id="31"/>
      </w:r>
      <w:bookmarkEnd w:id="184"/>
    </w:p>
    <w:p w14:paraId="0A2DB882" w14:textId="77777777" w:rsidR="00BA67A6" w:rsidRDefault="00BA67A6" w:rsidP="00BA67A6">
      <w:pPr>
        <w:jc w:val="both"/>
        <w:rPr>
          <w:rFonts w:eastAsia="Calibri"/>
          <w:bCs/>
        </w:rPr>
      </w:pPr>
    </w:p>
    <w:p w14:paraId="3BD0B9FB" w14:textId="61C97F83" w:rsidR="001E7189" w:rsidRPr="002906A3" w:rsidRDefault="001E7189" w:rsidP="00BA67A6">
      <w:pPr>
        <w:jc w:val="both"/>
        <w:rPr>
          <w:rFonts w:eastAsia="Calibri"/>
          <w:bCs/>
        </w:rPr>
      </w:pPr>
      <w:r w:rsidRPr="002906A3">
        <w:rPr>
          <w:rFonts w:eastAsia="Calibri"/>
          <w:bCs/>
        </w:rPr>
        <w:t>Kaza ise sonucunun öngörülemeyişi ile taksirden ayrılır. Kazalar, kişinin çevresiyle istenmeyen, kaçınılmayan ve kasti olmayan etkileşiminin sonucu gerçekleşir. Kaza kelimesinin sözlükte “</w:t>
      </w:r>
      <w:r w:rsidRPr="002906A3">
        <w:rPr>
          <w:rFonts w:eastAsia="Calibri"/>
          <w:bCs/>
          <w:i/>
          <w:iCs/>
        </w:rPr>
        <w:t>görünür sebebi olmadan</w:t>
      </w:r>
      <w:r w:rsidRPr="002906A3">
        <w:rPr>
          <w:rFonts w:eastAsia="Calibri"/>
          <w:bCs/>
        </w:rPr>
        <w:t>”, “</w:t>
      </w:r>
      <w:r w:rsidRPr="002906A3">
        <w:rPr>
          <w:rFonts w:eastAsia="Calibri"/>
          <w:bCs/>
          <w:i/>
          <w:iCs/>
        </w:rPr>
        <w:t>amaçsız davranış</w:t>
      </w:r>
      <w:r w:rsidRPr="002906A3">
        <w:rPr>
          <w:rFonts w:eastAsia="Calibri"/>
          <w:bCs/>
        </w:rPr>
        <w:t>”, “</w:t>
      </w:r>
      <w:r w:rsidRPr="002906A3">
        <w:rPr>
          <w:rFonts w:eastAsia="Calibri"/>
          <w:bCs/>
          <w:i/>
          <w:iCs/>
        </w:rPr>
        <w:t>tesadüf</w:t>
      </w:r>
      <w:r w:rsidRPr="002906A3">
        <w:rPr>
          <w:rFonts w:eastAsia="Calibri"/>
          <w:bCs/>
        </w:rPr>
        <w:t>” gibi çeşitli anlamları bulunmaktadır.</w:t>
      </w:r>
      <w:r w:rsidRPr="002906A3">
        <w:rPr>
          <w:rStyle w:val="DipnotBavurusu"/>
          <w:rFonts w:eastAsia="Calibri"/>
          <w:bCs/>
        </w:rPr>
        <w:footnoteReference w:id="32"/>
      </w:r>
      <w:r w:rsidRPr="002906A3">
        <w:rPr>
          <w:rFonts w:eastAsia="Calibri"/>
          <w:bCs/>
        </w:rPr>
        <w:t xml:space="preserve"> Umulmadık bir anda gerçekleşen sakatlanma, ölüm, mal kaybı gibi durumlara sebep veren olayları ifade eden kazaları kısa süreli bir dış etken ve kişinin isteği dışında vücuda gelen olaylar meydana getirmektedir. Doğal afetler kaza sayılmazlar. İnsanlık tarihi boyunca kazalar insanı öldüren sebepler arasında başlarda yer alır.</w:t>
      </w:r>
      <w:r w:rsidRPr="002906A3">
        <w:rPr>
          <w:rStyle w:val="DipnotBavurusu"/>
          <w:rFonts w:eastAsia="Calibri"/>
          <w:bCs/>
        </w:rPr>
        <w:footnoteReference w:id="33"/>
      </w:r>
      <w:r w:rsidRPr="002906A3">
        <w:rPr>
          <w:rFonts w:eastAsia="Calibri"/>
          <w:bCs/>
        </w:rPr>
        <w:t xml:space="preserve"> Bilhassa konut ve çevresinde düşme, yanma, boğulma, zehirlenme, ateşli silahla yaralanma vb. şekilde gerçekleşen ev kazaları, kaza sonucu meydana gelen ölümlerin önemli kısmını oluşturmaktadır.</w:t>
      </w:r>
      <w:r w:rsidRPr="002906A3">
        <w:rPr>
          <w:rFonts w:eastAsia="Calibri"/>
          <w:bCs/>
          <w:vertAlign w:val="superscript"/>
        </w:rPr>
        <w:footnoteReference w:id="34"/>
      </w:r>
      <w:r w:rsidRPr="002906A3">
        <w:rPr>
          <w:rFonts w:eastAsia="Calibri"/>
          <w:bCs/>
        </w:rPr>
        <w:t xml:space="preserve">  Kazaların oluşumunda insan hatası, emniyetsiz ve tehlikeli hareketler, sosyal çevre, psikolojik nedenler, kişisel özellikler gibi birçok faktörün etkisi vardır.</w:t>
      </w:r>
      <w:r w:rsidRPr="002906A3">
        <w:rPr>
          <w:rStyle w:val="DipnotBavurusu"/>
          <w:rFonts w:eastAsia="Calibri"/>
          <w:bCs/>
        </w:rPr>
        <w:footnoteReference w:id="35"/>
      </w:r>
      <w:r w:rsidRPr="002906A3">
        <w:rPr>
          <w:rFonts w:eastAsia="Calibri"/>
          <w:bCs/>
        </w:rPr>
        <w:t xml:space="preserve"> Osmanlı kayıtlarına boğulma, düşme, yanma, yük altında kalma, kesici-delici aletlerle yaralanma, hayvanlar tarafından yaralanma gibi nedenlerle gerçekleşen kazalara dair birçok vaka yansımıştır.</w:t>
      </w:r>
    </w:p>
    <w:p w14:paraId="43671931" w14:textId="77777777" w:rsidR="00BA67A6" w:rsidRDefault="00BA67A6" w:rsidP="00BA67A6">
      <w:pPr>
        <w:jc w:val="both"/>
        <w:rPr>
          <w:rFonts w:eastAsia="Calibri"/>
          <w:bCs/>
          <w:color w:val="000000" w:themeColor="text1"/>
        </w:rPr>
      </w:pPr>
      <w:bookmarkStart w:id="186" w:name="_Hlk177765716"/>
    </w:p>
    <w:p w14:paraId="517B96BE" w14:textId="170C06A1" w:rsidR="001E7189" w:rsidRPr="002906A3" w:rsidRDefault="001E7189" w:rsidP="00BA67A6">
      <w:pPr>
        <w:jc w:val="both"/>
        <w:rPr>
          <w:rFonts w:eastAsia="Calibri"/>
          <w:bCs/>
          <w:color w:val="000000" w:themeColor="text1"/>
        </w:rPr>
      </w:pPr>
      <w:r w:rsidRPr="002906A3">
        <w:rPr>
          <w:rFonts w:eastAsia="Calibri"/>
          <w:bCs/>
          <w:color w:val="000000" w:themeColor="text1"/>
        </w:rPr>
        <w:t xml:space="preserve">Osmanlı’da ölüm ve yaralama hadiselerinin </w:t>
      </w:r>
      <w:proofErr w:type="spellStart"/>
      <w:r w:rsidRPr="002906A3">
        <w:rPr>
          <w:rFonts w:eastAsia="Calibri"/>
          <w:bCs/>
          <w:color w:val="000000" w:themeColor="text1"/>
        </w:rPr>
        <w:t>şerʻi</w:t>
      </w:r>
      <w:proofErr w:type="spellEnd"/>
      <w:r w:rsidRPr="002906A3">
        <w:rPr>
          <w:rFonts w:eastAsia="Calibri"/>
          <w:bCs/>
          <w:color w:val="000000" w:themeColor="text1"/>
        </w:rPr>
        <w:t xml:space="preserve"> mahkemeye intikali maktulün ailesi veya başka Müslüman görgü tanıklarının şikâyeti veya durumdan haberdar olan </w:t>
      </w:r>
      <w:proofErr w:type="spellStart"/>
      <w:r w:rsidRPr="002906A3">
        <w:rPr>
          <w:rFonts w:eastAsia="Calibri"/>
          <w:bCs/>
          <w:color w:val="000000" w:themeColor="text1"/>
        </w:rPr>
        <w:t>ehl</w:t>
      </w:r>
      <w:proofErr w:type="spellEnd"/>
      <w:r w:rsidRPr="002906A3">
        <w:rPr>
          <w:rFonts w:eastAsia="Calibri"/>
          <w:bCs/>
          <w:color w:val="000000" w:themeColor="text1"/>
        </w:rPr>
        <w:t>-i örfün kadıya bildirmesiyle başlardı. Şer’i mahkemenin hâkimi olan kadı, ihbarın olayın görgü tanıkları tarafından yapılması durumunda bu şahitlerden, görgü tanığı yoksa güvenilir kimselerden oluşan bir bilirkişi heyetini suç mahaline keşif ve tahrir için gönderirdi. Bu heyet cinayetin nerede, ne zaman, kim tarafından ve nasıl gerçekleştirildiğini soruşturur, edindikleri bilgiyi rapor haline getirerek kadıya sunar, kadı da raporu hüccet olarak sicile geçirirdi. Kadı bu rapor sonucuna göre hüküm vererek davayı nihayetlendirirdi.</w:t>
      </w:r>
      <w:r w:rsidRPr="002906A3">
        <w:rPr>
          <w:rFonts w:eastAsia="Calibri"/>
          <w:bCs/>
          <w:color w:val="000000" w:themeColor="text1"/>
          <w:vertAlign w:val="superscript"/>
        </w:rPr>
        <w:footnoteReference w:id="36"/>
      </w:r>
      <w:bookmarkEnd w:id="186"/>
    </w:p>
    <w:p w14:paraId="21B5ACEA" w14:textId="77777777" w:rsidR="00BA67A6" w:rsidRDefault="00BA67A6" w:rsidP="00BA67A6">
      <w:pPr>
        <w:jc w:val="both"/>
        <w:rPr>
          <w:rFonts w:eastAsia="Calibri"/>
          <w:bCs/>
          <w:color w:val="000000" w:themeColor="text1"/>
        </w:rPr>
      </w:pPr>
      <w:bookmarkStart w:id="188" w:name="_Hlk177765766"/>
    </w:p>
    <w:p w14:paraId="0D52D895" w14:textId="653E4A4F" w:rsidR="001E7189" w:rsidRPr="002906A3" w:rsidRDefault="001E7189" w:rsidP="00BA67A6">
      <w:pPr>
        <w:jc w:val="both"/>
        <w:rPr>
          <w:rFonts w:eastAsia="Calibri"/>
          <w:bCs/>
          <w:color w:val="000000" w:themeColor="text1"/>
        </w:rPr>
      </w:pPr>
      <w:r w:rsidRPr="002906A3">
        <w:rPr>
          <w:rFonts w:eastAsia="Calibri"/>
          <w:bCs/>
          <w:color w:val="000000" w:themeColor="text1"/>
        </w:rPr>
        <w:t>Bu keşif ve tahrirler “durum tespiti” mahiyetinde olup, hem sonradan mağdur veya yakınlarının açacağı davada hukuki delil oluşturmak, hem de davanın diğer tarafının haksızlığa uğramasını önlemeyi amaçlar. Durum tespitini amaçlayan keşif ve tahrir raporlarına kazayla meydana gelen ölüm ve yaralanmalar, intiharlar, doğal ölümler, hastalık nedeniyle veya doğal afetlerden kaynaklı ölümler de kaydedilmiştir.</w:t>
      </w:r>
      <w:r w:rsidRPr="002906A3">
        <w:rPr>
          <w:rFonts w:eastAsia="Calibri"/>
          <w:bCs/>
          <w:color w:val="000000" w:themeColor="text1"/>
          <w:vertAlign w:val="superscript"/>
        </w:rPr>
        <w:footnoteReference w:id="37"/>
      </w:r>
      <w:r w:rsidRPr="002906A3">
        <w:rPr>
          <w:rFonts w:eastAsia="Calibri"/>
          <w:bCs/>
          <w:color w:val="000000" w:themeColor="text1"/>
        </w:rPr>
        <w:t xml:space="preserve"> </w:t>
      </w:r>
      <w:proofErr w:type="spellStart"/>
      <w:r w:rsidRPr="002906A3">
        <w:rPr>
          <w:rFonts w:eastAsia="Calibri"/>
          <w:bCs/>
          <w:color w:val="000000" w:themeColor="text1"/>
        </w:rPr>
        <w:t>Kazâen</w:t>
      </w:r>
      <w:proofErr w:type="spellEnd"/>
      <w:r w:rsidRPr="002906A3">
        <w:rPr>
          <w:rFonts w:eastAsia="Calibri"/>
          <w:bCs/>
          <w:color w:val="000000" w:themeColor="text1"/>
        </w:rPr>
        <w:t xml:space="preserve"> gerçekleşen ölümler adli vaka olmadığından keşif heyetinde genelde subaşı, asesbaşı gibi kolluk kuvvetleri yer almamıştır. Kişinin kendini kazayla yaralaması veya öldürmesi vakalarında olayda kimsenin müdahalesi ve etkisi olmadığının tespiti için başka kimseler tarafından da tahrir ve keşif yapılmasının talep edilebildiği arşiv örnekleriyle sabittir. Çünkü bu ölümlerde hem bireysel hem toplumsal sorumluluk vardır. Diğer insanlar, kişinin kaza ile öldüğünü ve bunda kendilerinin dahli </w:t>
      </w:r>
      <w:r w:rsidRPr="002906A3">
        <w:rPr>
          <w:rFonts w:eastAsia="Calibri"/>
          <w:bCs/>
          <w:color w:val="000000" w:themeColor="text1"/>
        </w:rPr>
        <w:lastRenderedPageBreak/>
        <w:t xml:space="preserve">olmadığını keşif ile kayıt altına aldırarak ileride bu konuda gelebilecek haksız suçlamaları engellemek istemektedirler. Fâili meçhul cinayetlerde </w:t>
      </w:r>
      <w:proofErr w:type="gramStart"/>
      <w:r w:rsidRPr="002906A3">
        <w:rPr>
          <w:rFonts w:eastAsia="Calibri"/>
          <w:bCs/>
          <w:color w:val="000000" w:themeColor="text1"/>
        </w:rPr>
        <w:t>şer‘</w:t>
      </w:r>
      <w:proofErr w:type="gramEnd"/>
      <w:r w:rsidRPr="002906A3">
        <w:rPr>
          <w:rFonts w:eastAsia="Calibri"/>
          <w:bCs/>
          <w:color w:val="000000" w:themeColor="text1"/>
        </w:rPr>
        <w:t xml:space="preserve">i hukuktaki </w:t>
      </w:r>
      <w:proofErr w:type="spellStart"/>
      <w:r w:rsidRPr="002906A3">
        <w:rPr>
          <w:rFonts w:eastAsia="Calibri"/>
          <w:bCs/>
          <w:color w:val="000000" w:themeColor="text1"/>
        </w:rPr>
        <w:t>kasâme</w:t>
      </w:r>
      <w:proofErr w:type="spellEnd"/>
      <w:r w:rsidRPr="002906A3">
        <w:rPr>
          <w:rFonts w:eastAsia="Calibri"/>
          <w:bCs/>
          <w:color w:val="000000" w:themeColor="text1"/>
        </w:rPr>
        <w:t xml:space="preserve"> uygulamasında suçun cezaî ve </w:t>
      </w:r>
      <w:proofErr w:type="spellStart"/>
      <w:r w:rsidRPr="002906A3">
        <w:rPr>
          <w:rFonts w:eastAsia="Calibri"/>
          <w:bCs/>
          <w:color w:val="000000" w:themeColor="text1"/>
        </w:rPr>
        <w:t>bedelî</w:t>
      </w:r>
      <w:proofErr w:type="spellEnd"/>
      <w:r w:rsidRPr="002906A3">
        <w:rPr>
          <w:rFonts w:eastAsia="Calibri"/>
          <w:bCs/>
          <w:color w:val="000000" w:themeColor="text1"/>
        </w:rPr>
        <w:t xml:space="preserve"> sorumluluğunun topluma paylaştırılması söz konusudur. Bu yüzden kişinin eceliyle, dış müdahale olmadan öldüğünün keşifle kayıt altına alınması toplumun da haksız yere cezalandırılmasını önleyecektir.</w:t>
      </w:r>
      <w:r w:rsidRPr="002906A3">
        <w:rPr>
          <w:rStyle w:val="DipnotBavurusu"/>
          <w:rFonts w:eastAsia="Calibri"/>
          <w:bCs/>
          <w:color w:val="000000" w:themeColor="text1"/>
        </w:rPr>
        <w:footnoteReference w:id="38"/>
      </w:r>
      <w:r w:rsidRPr="002906A3">
        <w:rPr>
          <w:rFonts w:eastAsia="Calibri"/>
          <w:bCs/>
          <w:color w:val="000000" w:themeColor="text1"/>
        </w:rPr>
        <w:t xml:space="preserve"> Zira sicillerdeki örnekler </w:t>
      </w:r>
      <w:proofErr w:type="spellStart"/>
      <w:r w:rsidRPr="002906A3">
        <w:rPr>
          <w:rFonts w:eastAsia="Calibri"/>
          <w:bCs/>
          <w:color w:val="000000" w:themeColor="text1"/>
        </w:rPr>
        <w:t>kasâme</w:t>
      </w:r>
      <w:proofErr w:type="spellEnd"/>
      <w:r w:rsidRPr="002906A3">
        <w:rPr>
          <w:rFonts w:eastAsia="Calibri"/>
          <w:bCs/>
          <w:color w:val="000000" w:themeColor="text1"/>
        </w:rPr>
        <w:t xml:space="preserve"> uygulamasının suistimallere konu olduğunu, kazayla ölen kişilerin bile mahallesinden diyet alabilmek için katledilmiş gibi gösterilebildiğini ortaya koymaktadır.</w:t>
      </w:r>
      <w:r w:rsidRPr="002906A3">
        <w:rPr>
          <w:rFonts w:eastAsia="Calibri"/>
          <w:bCs/>
          <w:color w:val="000000" w:themeColor="text1"/>
          <w:vertAlign w:val="superscript"/>
        </w:rPr>
        <w:footnoteReference w:id="39"/>
      </w:r>
      <w:bookmarkEnd w:id="188"/>
    </w:p>
    <w:p w14:paraId="025C16BE" w14:textId="77777777" w:rsidR="00BA67A6" w:rsidRDefault="00BA67A6" w:rsidP="00BA67A6">
      <w:pPr>
        <w:jc w:val="both"/>
        <w:rPr>
          <w:rFonts w:eastAsia="Calibri"/>
          <w:bCs/>
        </w:rPr>
      </w:pPr>
      <w:bookmarkStart w:id="190" w:name="_Hlk177765802"/>
      <w:bookmarkStart w:id="191" w:name="_Hlk177766181"/>
    </w:p>
    <w:p w14:paraId="3E4B92A3" w14:textId="51B75C48" w:rsidR="001E7189" w:rsidRPr="002906A3" w:rsidRDefault="001E7189" w:rsidP="00BA67A6">
      <w:pPr>
        <w:jc w:val="both"/>
        <w:rPr>
          <w:rFonts w:eastAsia="Calibri"/>
          <w:bCs/>
        </w:rPr>
      </w:pPr>
      <w:proofErr w:type="spellStart"/>
      <w:r w:rsidRPr="002906A3">
        <w:rPr>
          <w:rFonts w:eastAsia="Calibri"/>
          <w:bCs/>
        </w:rPr>
        <w:t>Kazaên</w:t>
      </w:r>
      <w:proofErr w:type="spellEnd"/>
      <w:r w:rsidRPr="002906A3">
        <w:rPr>
          <w:rFonts w:eastAsia="Calibri"/>
          <w:bCs/>
        </w:rPr>
        <w:t xml:space="preserve"> yaşanan ölüm ve yaralamalar Allah’ın yasaklayıp ceza tayin ettiği bir eylem yahut Allah’ın emir ve yasaklarına uyulmaması sonucu </w:t>
      </w:r>
      <w:proofErr w:type="gramStart"/>
      <w:r w:rsidRPr="002906A3">
        <w:rPr>
          <w:rFonts w:eastAsia="Calibri"/>
          <w:bCs/>
        </w:rPr>
        <w:t>şer‘</w:t>
      </w:r>
      <w:proofErr w:type="gramEnd"/>
      <w:r w:rsidRPr="002906A3">
        <w:rPr>
          <w:rFonts w:eastAsia="Calibri"/>
          <w:bCs/>
        </w:rPr>
        <w:t>i hukukun suç olarak kabul ettiği, failine cezai işlem gerektiren fiil değillerdir.</w:t>
      </w:r>
      <w:r w:rsidRPr="002906A3">
        <w:rPr>
          <w:rFonts w:eastAsia="Calibri"/>
          <w:bCs/>
          <w:vertAlign w:val="superscript"/>
        </w:rPr>
        <w:footnoteReference w:id="40"/>
      </w:r>
      <w:r w:rsidRPr="002906A3">
        <w:rPr>
          <w:rFonts w:eastAsia="Calibri"/>
          <w:bCs/>
        </w:rPr>
        <w:t xml:space="preserve"> Zira kaza sonucu gerçekleşen ölümler kasıt veya başkasının müdahalesiyle gerçekleşmediğinden, ortada suç yoktur. Dolayısıyla Osmanlı kayıtlarına “kimse hakkında bir şey denilemeyeceği”, “kimseye bir şey lazım gelmediği” şeklinde kaydedildiği üzere ceza da gerektirmez. Kişiler kazayla gerçekleşen tehlikeli olayların kurbanı olmuşlardır. Arşiv belgelerinden padişah iradesi gereğince kazayla ölen kişilerin keşif ve soruşturmalarının yapılmasının istendiği anlaşılmaktadır.</w:t>
      </w:r>
      <w:r w:rsidRPr="002906A3">
        <w:rPr>
          <w:rFonts w:eastAsia="Calibri"/>
          <w:bCs/>
          <w:vertAlign w:val="superscript"/>
        </w:rPr>
        <w:footnoteReference w:id="41"/>
      </w:r>
      <w:bookmarkEnd w:id="190"/>
      <w:bookmarkEnd w:id="191"/>
      <w:r w:rsidRPr="002906A3">
        <w:rPr>
          <w:rFonts w:eastAsia="Calibri"/>
          <w:bCs/>
        </w:rPr>
        <w:t xml:space="preserve"> Zira kasıt veya taksir sonucu gerçekleşmiş bir öldürme hadisesi ise failinin tespit edilip mahkemesinin görülerek neticesine göre cezasının icrası önem arz etmekteydi.</w:t>
      </w:r>
    </w:p>
    <w:p w14:paraId="56EE9940" w14:textId="77777777" w:rsidR="00BA67A6" w:rsidRDefault="00BA67A6" w:rsidP="00BA67A6">
      <w:pPr>
        <w:jc w:val="both"/>
        <w:rPr>
          <w:rFonts w:eastAsia="Calibri"/>
          <w:bCs/>
        </w:rPr>
      </w:pPr>
      <w:bookmarkStart w:id="194" w:name="_Hlk177765859"/>
    </w:p>
    <w:p w14:paraId="74454E21" w14:textId="21E12FAC" w:rsidR="001E7189" w:rsidRPr="002906A3" w:rsidRDefault="001E7189" w:rsidP="00BA67A6">
      <w:pPr>
        <w:jc w:val="both"/>
        <w:rPr>
          <w:rFonts w:eastAsia="Calibri"/>
          <w:bCs/>
        </w:rPr>
      </w:pPr>
      <w:r w:rsidRPr="002906A3">
        <w:rPr>
          <w:rFonts w:eastAsia="Calibri"/>
          <w:bCs/>
        </w:rPr>
        <w:t xml:space="preserve">Bosna eyaletinde iş kazası sonucu meydana gelen ölümlere dair örneklerden birinde İzvornik sancağı Belen kazası </w:t>
      </w:r>
      <w:proofErr w:type="spellStart"/>
      <w:r w:rsidRPr="002906A3">
        <w:rPr>
          <w:rFonts w:eastAsia="Calibri"/>
          <w:bCs/>
        </w:rPr>
        <w:t>Çiprovine</w:t>
      </w:r>
      <w:proofErr w:type="spellEnd"/>
      <w:r w:rsidRPr="002906A3">
        <w:rPr>
          <w:rFonts w:eastAsia="Calibri"/>
          <w:bCs/>
        </w:rPr>
        <w:t xml:space="preserve"> köyü ahalisinden </w:t>
      </w:r>
      <w:proofErr w:type="spellStart"/>
      <w:r w:rsidRPr="002906A3">
        <w:rPr>
          <w:rFonts w:eastAsia="Calibri"/>
          <w:bCs/>
        </w:rPr>
        <w:t>Pero</w:t>
      </w:r>
      <w:proofErr w:type="spellEnd"/>
      <w:r w:rsidRPr="002906A3">
        <w:rPr>
          <w:rFonts w:eastAsia="Calibri"/>
          <w:bCs/>
        </w:rPr>
        <w:t xml:space="preserve"> </w:t>
      </w:r>
      <w:proofErr w:type="spellStart"/>
      <w:r w:rsidRPr="002906A3">
        <w:rPr>
          <w:rFonts w:eastAsia="Calibri"/>
          <w:bCs/>
        </w:rPr>
        <w:t>Minoşeviç</w:t>
      </w:r>
      <w:proofErr w:type="spellEnd"/>
      <w:r w:rsidRPr="002906A3">
        <w:rPr>
          <w:rFonts w:eastAsia="Calibri"/>
          <w:bCs/>
        </w:rPr>
        <w:t xml:space="preserve">, Ekmekçi </w:t>
      </w:r>
      <w:proofErr w:type="spellStart"/>
      <w:r w:rsidRPr="002906A3">
        <w:rPr>
          <w:rFonts w:eastAsia="Calibri"/>
          <w:bCs/>
        </w:rPr>
        <w:t>Simo</w:t>
      </w:r>
      <w:proofErr w:type="spellEnd"/>
      <w:r w:rsidRPr="002906A3">
        <w:rPr>
          <w:rFonts w:eastAsia="Calibri"/>
          <w:bCs/>
        </w:rPr>
        <w:t xml:space="preserve"> </w:t>
      </w:r>
      <w:proofErr w:type="spellStart"/>
      <w:r w:rsidRPr="002906A3">
        <w:rPr>
          <w:rFonts w:eastAsia="Calibri"/>
          <w:bCs/>
        </w:rPr>
        <w:t>Çokiç’in</w:t>
      </w:r>
      <w:proofErr w:type="spellEnd"/>
      <w:r w:rsidRPr="002906A3">
        <w:rPr>
          <w:rFonts w:eastAsia="Calibri"/>
          <w:bCs/>
        </w:rPr>
        <w:t xml:space="preserve"> evindeki kuyuyu temizleme</w:t>
      </w:r>
      <w:r w:rsidRPr="002906A3">
        <w:rPr>
          <w:rFonts w:eastAsia="Calibri"/>
          <w:bCs/>
          <w:vertAlign w:val="superscript"/>
        </w:rPr>
        <w:footnoteReference w:id="42"/>
      </w:r>
      <w:r w:rsidRPr="002906A3">
        <w:rPr>
          <w:rFonts w:eastAsia="Calibri"/>
          <w:bCs/>
        </w:rPr>
        <w:t xml:space="preserve"> göreviyle kuyuya indiği sırada nefes almakta güçlük çekerek</w:t>
      </w:r>
      <w:r w:rsidRPr="002906A3">
        <w:rPr>
          <w:rFonts w:eastAsia="Calibri"/>
          <w:bCs/>
          <w:vertAlign w:val="superscript"/>
        </w:rPr>
        <w:footnoteReference w:id="43"/>
      </w:r>
      <w:r w:rsidRPr="002906A3">
        <w:rPr>
          <w:rFonts w:eastAsia="Calibri"/>
          <w:bCs/>
        </w:rPr>
        <w:t xml:space="preserve"> vefat etmiştir. Yapılan incelemede olayın </w:t>
      </w:r>
      <w:proofErr w:type="spellStart"/>
      <w:r w:rsidRPr="002906A3">
        <w:rPr>
          <w:rFonts w:eastAsia="Calibri"/>
          <w:bCs/>
        </w:rPr>
        <w:t>Pero’nun</w:t>
      </w:r>
      <w:proofErr w:type="spellEnd"/>
      <w:r w:rsidRPr="002906A3">
        <w:rPr>
          <w:rFonts w:eastAsia="Calibri"/>
          <w:bCs/>
        </w:rPr>
        <w:t xml:space="preserve"> kendi tedbirsizliğinden kaynaklandığının anlaşılmasıyla kimseye cezai bir işlem gerekmediği belirtilmektedir.</w:t>
      </w:r>
      <w:r w:rsidRPr="002906A3">
        <w:rPr>
          <w:rFonts w:eastAsia="Calibri"/>
          <w:bCs/>
          <w:vertAlign w:val="superscript"/>
        </w:rPr>
        <w:footnoteReference w:id="44"/>
      </w:r>
      <w:r w:rsidRPr="002906A3">
        <w:rPr>
          <w:rFonts w:eastAsia="Calibri"/>
          <w:bCs/>
        </w:rPr>
        <w:t xml:space="preserve"> İş kazası kaynaklı ölümlere diğer bir örnekte </w:t>
      </w:r>
      <w:proofErr w:type="spellStart"/>
      <w:r w:rsidRPr="002906A3">
        <w:rPr>
          <w:rFonts w:eastAsia="Calibri"/>
          <w:bCs/>
        </w:rPr>
        <w:t>kazâen</w:t>
      </w:r>
      <w:proofErr w:type="spellEnd"/>
      <w:r w:rsidRPr="002906A3">
        <w:rPr>
          <w:rFonts w:eastAsia="Calibri"/>
          <w:bCs/>
        </w:rPr>
        <w:t xml:space="preserve"> ölen kişi Bihke’nin </w:t>
      </w:r>
      <w:proofErr w:type="spellStart"/>
      <w:r w:rsidRPr="002906A3">
        <w:rPr>
          <w:rFonts w:eastAsia="Calibri"/>
          <w:bCs/>
        </w:rPr>
        <w:t>Goloviç</w:t>
      </w:r>
      <w:proofErr w:type="spellEnd"/>
      <w:r w:rsidRPr="002906A3">
        <w:rPr>
          <w:rFonts w:eastAsia="Calibri"/>
          <w:bCs/>
        </w:rPr>
        <w:t xml:space="preserve"> köyünde Mehmed </w:t>
      </w:r>
      <w:proofErr w:type="spellStart"/>
      <w:r w:rsidRPr="002906A3">
        <w:rPr>
          <w:rFonts w:eastAsia="Calibri"/>
          <w:bCs/>
        </w:rPr>
        <w:t>Ağaviç</w:t>
      </w:r>
      <w:proofErr w:type="spellEnd"/>
      <w:r w:rsidRPr="002906A3">
        <w:rPr>
          <w:rFonts w:eastAsia="Calibri"/>
          <w:bCs/>
        </w:rPr>
        <w:t xml:space="preserve"> İbrahim’e ücretle toprak kazan Marko </w:t>
      </w:r>
      <w:proofErr w:type="spellStart"/>
      <w:r w:rsidRPr="002906A3">
        <w:rPr>
          <w:rFonts w:eastAsia="Calibri"/>
          <w:bCs/>
        </w:rPr>
        <w:t>Maystroviç</w:t>
      </w:r>
      <w:proofErr w:type="spellEnd"/>
      <w:r w:rsidRPr="002906A3">
        <w:rPr>
          <w:rFonts w:eastAsia="Calibri"/>
          <w:bCs/>
        </w:rPr>
        <w:t xml:space="preserve"> adlı Avusturya vatandaşı bir işçidir. Çalıştığı esnada </w:t>
      </w:r>
      <w:proofErr w:type="spellStart"/>
      <w:r w:rsidRPr="002906A3">
        <w:rPr>
          <w:rFonts w:eastAsia="Calibri"/>
          <w:bCs/>
        </w:rPr>
        <w:t>kazâen</w:t>
      </w:r>
      <w:proofErr w:type="spellEnd"/>
      <w:r w:rsidRPr="002906A3">
        <w:rPr>
          <w:rFonts w:eastAsia="Calibri"/>
          <w:bCs/>
        </w:rPr>
        <w:t xml:space="preserve"> toprak</w:t>
      </w:r>
      <w:r w:rsidRPr="002906A3">
        <w:rPr>
          <w:rFonts w:eastAsia="Calibri"/>
          <w:bCs/>
          <w:vertAlign w:val="superscript"/>
        </w:rPr>
        <w:footnoteReference w:id="45"/>
      </w:r>
      <w:r w:rsidRPr="002906A3">
        <w:rPr>
          <w:rFonts w:eastAsia="Calibri"/>
          <w:bCs/>
        </w:rPr>
        <w:t xml:space="preserve"> yıkılınca kendisi toprak altında kalarak vefat etmiştir.</w:t>
      </w:r>
      <w:r w:rsidRPr="002906A3">
        <w:rPr>
          <w:rFonts w:eastAsia="Calibri"/>
          <w:bCs/>
          <w:vertAlign w:val="superscript"/>
        </w:rPr>
        <w:footnoteReference w:id="46"/>
      </w:r>
      <w:r w:rsidRPr="002906A3">
        <w:rPr>
          <w:rFonts w:eastAsia="Calibri"/>
          <w:bCs/>
        </w:rPr>
        <w:t xml:space="preserve"> Benzer bir vaka </w:t>
      </w:r>
      <w:proofErr w:type="spellStart"/>
      <w:r w:rsidRPr="002906A3">
        <w:rPr>
          <w:rFonts w:eastAsia="Calibri"/>
          <w:bCs/>
        </w:rPr>
        <w:t>Gradacac</w:t>
      </w:r>
      <w:proofErr w:type="spellEnd"/>
      <w:r w:rsidRPr="002906A3">
        <w:rPr>
          <w:rFonts w:eastAsia="Calibri"/>
          <w:bCs/>
        </w:rPr>
        <w:t xml:space="preserve"> kazasında yaşanmıştır.  </w:t>
      </w:r>
      <w:proofErr w:type="spellStart"/>
      <w:r w:rsidRPr="002906A3">
        <w:rPr>
          <w:rFonts w:eastAsia="Calibri"/>
          <w:bCs/>
        </w:rPr>
        <w:t>Obudofça</w:t>
      </w:r>
      <w:proofErr w:type="spellEnd"/>
      <w:r w:rsidRPr="002906A3">
        <w:rPr>
          <w:rFonts w:eastAsia="Calibri"/>
          <w:bCs/>
        </w:rPr>
        <w:t xml:space="preserve"> köyünde inşa edilen Rum Kilisesi için </w:t>
      </w:r>
      <w:proofErr w:type="spellStart"/>
      <w:r w:rsidRPr="002906A3">
        <w:rPr>
          <w:rFonts w:eastAsia="Calibri"/>
          <w:bCs/>
        </w:rPr>
        <w:t>Osaşa</w:t>
      </w:r>
      <w:proofErr w:type="spellEnd"/>
      <w:r w:rsidRPr="002906A3">
        <w:rPr>
          <w:rFonts w:eastAsia="Calibri"/>
          <w:bCs/>
        </w:rPr>
        <w:t xml:space="preserve"> isimli yerde taş kıran dört işçinin üstüne </w:t>
      </w:r>
      <w:proofErr w:type="spellStart"/>
      <w:r w:rsidRPr="002906A3">
        <w:rPr>
          <w:rFonts w:eastAsia="Calibri"/>
          <w:bCs/>
        </w:rPr>
        <w:t>kazâen</w:t>
      </w:r>
      <w:proofErr w:type="spellEnd"/>
      <w:r w:rsidRPr="002906A3">
        <w:rPr>
          <w:rFonts w:eastAsia="Calibri"/>
          <w:bCs/>
        </w:rPr>
        <w:t xml:space="preserve"> kırılan taşlar düşmüştür. Taşların altında kalan dört işçi de vefat etmiştir. Durumun </w:t>
      </w:r>
      <w:proofErr w:type="spellStart"/>
      <w:r w:rsidRPr="002906A3">
        <w:rPr>
          <w:rFonts w:eastAsia="Calibri"/>
          <w:bCs/>
        </w:rPr>
        <w:t>kazâen</w:t>
      </w:r>
      <w:proofErr w:type="spellEnd"/>
      <w:r w:rsidRPr="002906A3">
        <w:rPr>
          <w:rFonts w:eastAsia="Calibri"/>
          <w:bCs/>
        </w:rPr>
        <w:t xml:space="preserve"> gerçekleştiği, ahalinin talebiyle yapılan keşifte tespit edilmiştir. Ahalinin vakanın cinayet olmadığını kayıt altına aldırarak sonradan olası </w:t>
      </w:r>
      <w:proofErr w:type="spellStart"/>
      <w:r w:rsidRPr="002906A3">
        <w:rPr>
          <w:rFonts w:eastAsia="Calibri"/>
          <w:bCs/>
        </w:rPr>
        <w:t>katl</w:t>
      </w:r>
      <w:proofErr w:type="spellEnd"/>
      <w:r w:rsidRPr="002906A3">
        <w:rPr>
          <w:rFonts w:eastAsia="Calibri"/>
          <w:bCs/>
        </w:rPr>
        <w:t xml:space="preserve"> iddiaların önüne geçmek istediği düşünülebilir.</w:t>
      </w:r>
      <w:r w:rsidRPr="002906A3">
        <w:rPr>
          <w:rFonts w:eastAsia="Calibri"/>
          <w:bCs/>
          <w:vertAlign w:val="superscript"/>
        </w:rPr>
        <w:footnoteReference w:id="47"/>
      </w:r>
      <w:bookmarkEnd w:id="194"/>
    </w:p>
    <w:p w14:paraId="574B2663" w14:textId="77777777" w:rsidR="00BA67A6" w:rsidRDefault="00BA67A6" w:rsidP="00BA67A6">
      <w:pPr>
        <w:jc w:val="both"/>
        <w:rPr>
          <w:rFonts w:eastAsia="Calibri"/>
          <w:bCs/>
        </w:rPr>
      </w:pPr>
      <w:bookmarkStart w:id="196" w:name="_Hlk177766249"/>
    </w:p>
    <w:p w14:paraId="21D33CCE" w14:textId="1A7A0CD6" w:rsidR="001E7189" w:rsidRPr="002906A3" w:rsidRDefault="001E7189" w:rsidP="00BA67A6">
      <w:pPr>
        <w:jc w:val="both"/>
        <w:rPr>
          <w:rFonts w:eastAsia="Calibri"/>
          <w:bCs/>
        </w:rPr>
      </w:pPr>
      <w:r w:rsidRPr="002906A3">
        <w:rPr>
          <w:rFonts w:eastAsia="Calibri"/>
          <w:bCs/>
        </w:rPr>
        <w:t xml:space="preserve">Arşivde kaydına tesadüf edilen belgeler baz alındığında Bosna eyaletinde </w:t>
      </w:r>
      <w:proofErr w:type="spellStart"/>
      <w:r w:rsidRPr="002906A3">
        <w:rPr>
          <w:rFonts w:eastAsia="Calibri"/>
          <w:bCs/>
        </w:rPr>
        <w:t>kazâen</w:t>
      </w:r>
      <w:proofErr w:type="spellEnd"/>
      <w:r w:rsidRPr="002906A3">
        <w:rPr>
          <w:rFonts w:eastAsia="Calibri"/>
          <w:bCs/>
        </w:rPr>
        <w:t xml:space="preserve"> yaşanan ölümler içinde en sık görüleni boğulma olmuştur. Zira Bosna nehir ve göl gibi su kaynakları </w:t>
      </w:r>
      <w:r w:rsidRPr="002906A3">
        <w:rPr>
          <w:rFonts w:eastAsia="Calibri"/>
          <w:bCs/>
        </w:rPr>
        <w:lastRenderedPageBreak/>
        <w:t xml:space="preserve">bakımından zengin bir coğrafya olup, su kaynakları etrafında yerleşim yerlerinin bulunması suda boğulmaların etkenlerinden biridir. Boğulma nedeniyle </w:t>
      </w:r>
      <w:proofErr w:type="spellStart"/>
      <w:r w:rsidRPr="002906A3">
        <w:rPr>
          <w:rFonts w:eastAsia="Calibri"/>
          <w:bCs/>
        </w:rPr>
        <w:t>kazâen</w:t>
      </w:r>
      <w:proofErr w:type="spellEnd"/>
      <w:r w:rsidRPr="002906A3">
        <w:rPr>
          <w:rFonts w:eastAsia="Calibri"/>
          <w:bCs/>
        </w:rPr>
        <w:t xml:space="preserve"> vefatlar su kaynakları üzerindeki geçitlerden düşme neticesinde yaşanmıştır. </w:t>
      </w:r>
      <w:proofErr w:type="spellStart"/>
      <w:r w:rsidRPr="002906A3">
        <w:rPr>
          <w:rFonts w:eastAsia="Calibri"/>
          <w:bCs/>
        </w:rPr>
        <w:t>Yayçe</w:t>
      </w:r>
      <w:proofErr w:type="spellEnd"/>
      <w:r w:rsidRPr="002906A3">
        <w:rPr>
          <w:rFonts w:eastAsia="Calibri"/>
          <w:bCs/>
        </w:rPr>
        <w:t xml:space="preserve"> kazasının </w:t>
      </w:r>
      <w:proofErr w:type="spellStart"/>
      <w:r w:rsidRPr="002906A3">
        <w:rPr>
          <w:rFonts w:eastAsia="Calibri"/>
          <w:bCs/>
        </w:rPr>
        <w:t>Opar</w:t>
      </w:r>
      <w:proofErr w:type="spellEnd"/>
      <w:r w:rsidRPr="002906A3">
        <w:rPr>
          <w:rFonts w:eastAsia="Calibri"/>
          <w:bCs/>
        </w:rPr>
        <w:t xml:space="preserve"> köyü ahalisinden </w:t>
      </w:r>
      <w:proofErr w:type="spellStart"/>
      <w:r w:rsidRPr="002906A3">
        <w:rPr>
          <w:rFonts w:eastAsia="Calibri"/>
          <w:bCs/>
        </w:rPr>
        <w:t>Bero’nun</w:t>
      </w:r>
      <w:proofErr w:type="spellEnd"/>
      <w:r w:rsidRPr="002906A3">
        <w:rPr>
          <w:rFonts w:eastAsia="Calibri"/>
          <w:bCs/>
        </w:rPr>
        <w:t xml:space="preserve"> kızı Gonca’nın kiliseye gitmek üzere </w:t>
      </w:r>
      <w:proofErr w:type="spellStart"/>
      <w:r w:rsidRPr="002906A3">
        <w:rPr>
          <w:rFonts w:eastAsia="Calibri"/>
          <w:bCs/>
        </w:rPr>
        <w:t>Vrbas</w:t>
      </w:r>
      <w:proofErr w:type="spellEnd"/>
      <w:r w:rsidRPr="002906A3">
        <w:rPr>
          <w:rFonts w:eastAsia="Calibri"/>
          <w:bCs/>
        </w:rPr>
        <w:t xml:space="preserve"> nehri üzerindeki geçitten yürürken kazayla ayağının kayarak nehre düşmesi ve boğularak ölmesi bu tür vefatlara bir örnektir. Yapılan soruşturmada bunun cinayet olmadığı, kimsenin müdahalesinin bulunmadığı anlaşılarak vefatının </w:t>
      </w:r>
      <w:proofErr w:type="spellStart"/>
      <w:r w:rsidRPr="002906A3">
        <w:rPr>
          <w:rFonts w:eastAsia="Calibri"/>
          <w:bCs/>
        </w:rPr>
        <w:t>kazâen</w:t>
      </w:r>
      <w:proofErr w:type="spellEnd"/>
      <w:r w:rsidRPr="002906A3">
        <w:rPr>
          <w:rFonts w:eastAsia="Calibri"/>
          <w:bCs/>
        </w:rPr>
        <w:t xml:space="preserve"> gerçekleştiğine hükmedilmiştir.</w:t>
      </w:r>
      <w:r w:rsidRPr="002906A3">
        <w:rPr>
          <w:rFonts w:eastAsia="Calibri"/>
          <w:bCs/>
          <w:vertAlign w:val="superscript"/>
        </w:rPr>
        <w:footnoteReference w:id="48"/>
      </w:r>
      <w:bookmarkEnd w:id="196"/>
    </w:p>
    <w:p w14:paraId="711A844C" w14:textId="77777777" w:rsidR="00BA67A6" w:rsidRDefault="00BA67A6" w:rsidP="00BA67A6">
      <w:pPr>
        <w:jc w:val="both"/>
        <w:rPr>
          <w:rFonts w:eastAsia="Calibri"/>
          <w:bCs/>
        </w:rPr>
      </w:pPr>
      <w:bookmarkStart w:id="198" w:name="_Hlk177766280"/>
    </w:p>
    <w:p w14:paraId="3FD06535" w14:textId="790C8A17" w:rsidR="001E7189" w:rsidRPr="002906A3" w:rsidRDefault="001E7189" w:rsidP="00BA67A6">
      <w:pPr>
        <w:jc w:val="both"/>
        <w:rPr>
          <w:rFonts w:eastAsia="Calibri"/>
          <w:bCs/>
        </w:rPr>
      </w:pPr>
      <w:r w:rsidRPr="002906A3">
        <w:rPr>
          <w:rFonts w:eastAsia="Calibri"/>
          <w:bCs/>
        </w:rPr>
        <w:t xml:space="preserve">Bazen boğulma vakalarının sandal, tekne, kayık gibi deniz araçlarından suya düşme neticesinde gerçekleştiği görülmektedir. </w:t>
      </w:r>
      <w:proofErr w:type="spellStart"/>
      <w:r w:rsidRPr="002906A3">
        <w:rPr>
          <w:rFonts w:eastAsia="Calibri"/>
          <w:bCs/>
        </w:rPr>
        <w:t>Priyedor’un</w:t>
      </w:r>
      <w:proofErr w:type="spellEnd"/>
      <w:r w:rsidRPr="002906A3">
        <w:rPr>
          <w:rFonts w:eastAsia="Calibri"/>
          <w:bCs/>
        </w:rPr>
        <w:t xml:space="preserve"> </w:t>
      </w:r>
      <w:proofErr w:type="spellStart"/>
      <w:r w:rsidRPr="002906A3">
        <w:rPr>
          <w:rFonts w:eastAsia="Calibri"/>
          <w:bCs/>
        </w:rPr>
        <w:t>Haşani</w:t>
      </w:r>
      <w:proofErr w:type="spellEnd"/>
      <w:r w:rsidRPr="002906A3">
        <w:rPr>
          <w:rFonts w:eastAsia="Calibri"/>
          <w:bCs/>
        </w:rPr>
        <w:t xml:space="preserve"> köyü ahalisinden </w:t>
      </w:r>
      <w:proofErr w:type="spellStart"/>
      <w:r w:rsidRPr="002906A3">
        <w:rPr>
          <w:rFonts w:eastAsia="Calibri"/>
          <w:bCs/>
        </w:rPr>
        <w:t>Pero</w:t>
      </w:r>
      <w:proofErr w:type="spellEnd"/>
      <w:r w:rsidRPr="002906A3">
        <w:rPr>
          <w:rFonts w:eastAsia="Calibri"/>
          <w:bCs/>
        </w:rPr>
        <w:t xml:space="preserve">, değirmeninde kullandığı teknesi ile </w:t>
      </w:r>
      <w:proofErr w:type="gramStart"/>
      <w:r w:rsidRPr="002906A3">
        <w:rPr>
          <w:rFonts w:eastAsia="Calibri"/>
          <w:bCs/>
        </w:rPr>
        <w:t>Sana</w:t>
      </w:r>
      <w:proofErr w:type="gramEnd"/>
      <w:r w:rsidRPr="002906A3">
        <w:rPr>
          <w:rFonts w:eastAsia="Calibri"/>
          <w:bCs/>
        </w:rPr>
        <w:t xml:space="preserve"> nehrinden geçerken, teknenin kendiliğinden devrilmesi sonucu boğularak vefat etmiştir. </w:t>
      </w:r>
      <w:proofErr w:type="gramStart"/>
      <w:r w:rsidRPr="002906A3">
        <w:rPr>
          <w:rFonts w:eastAsia="Calibri"/>
          <w:bCs/>
        </w:rPr>
        <w:t>Şer‘</w:t>
      </w:r>
      <w:proofErr w:type="gramEnd"/>
      <w:r w:rsidRPr="002906A3">
        <w:rPr>
          <w:rFonts w:eastAsia="Calibri"/>
          <w:bCs/>
        </w:rPr>
        <w:t xml:space="preserve">i ilam kaydından </w:t>
      </w:r>
      <w:proofErr w:type="spellStart"/>
      <w:r w:rsidRPr="002906A3">
        <w:rPr>
          <w:rFonts w:eastAsia="Calibri"/>
          <w:bCs/>
        </w:rPr>
        <w:t>Pero’nun</w:t>
      </w:r>
      <w:proofErr w:type="spellEnd"/>
      <w:r w:rsidRPr="002906A3">
        <w:rPr>
          <w:rFonts w:eastAsia="Calibri"/>
          <w:bCs/>
        </w:rPr>
        <w:t xml:space="preserve"> varislerinin bu olaya dair kimseden kısas ve diyet davalarının olmadığını beyan ettikleri anlaşılmaktadır.</w:t>
      </w:r>
      <w:r w:rsidRPr="002906A3">
        <w:rPr>
          <w:rFonts w:eastAsia="Calibri"/>
          <w:bCs/>
          <w:vertAlign w:val="superscript"/>
        </w:rPr>
        <w:footnoteReference w:id="49"/>
      </w:r>
      <w:r w:rsidRPr="002906A3">
        <w:rPr>
          <w:rFonts w:eastAsia="Calibri"/>
          <w:bCs/>
        </w:rPr>
        <w:t xml:space="preserve">  Diğer bir deniz vasıtasından suya düşerek boğulma vakasında ise Bihke’nin </w:t>
      </w:r>
      <w:proofErr w:type="spellStart"/>
      <w:r w:rsidRPr="002906A3">
        <w:rPr>
          <w:rFonts w:eastAsia="Calibri"/>
          <w:bCs/>
        </w:rPr>
        <w:t>Priyedor</w:t>
      </w:r>
      <w:proofErr w:type="spellEnd"/>
      <w:r w:rsidRPr="002906A3">
        <w:rPr>
          <w:rFonts w:eastAsia="Calibri"/>
          <w:bCs/>
        </w:rPr>
        <w:t xml:space="preserve"> kazası </w:t>
      </w:r>
      <w:proofErr w:type="spellStart"/>
      <w:r w:rsidRPr="002906A3">
        <w:rPr>
          <w:rFonts w:eastAsia="Calibri"/>
          <w:bCs/>
        </w:rPr>
        <w:t>Dragola</w:t>
      </w:r>
      <w:proofErr w:type="spellEnd"/>
      <w:r w:rsidRPr="002906A3">
        <w:rPr>
          <w:rFonts w:eastAsia="Calibri"/>
          <w:bCs/>
        </w:rPr>
        <w:t xml:space="preserve"> köyünde ikamet eden kayıkçı </w:t>
      </w:r>
      <w:proofErr w:type="spellStart"/>
      <w:r w:rsidRPr="002906A3">
        <w:rPr>
          <w:rFonts w:eastAsia="Calibri"/>
          <w:bCs/>
        </w:rPr>
        <w:t>İstevan</w:t>
      </w:r>
      <w:proofErr w:type="spellEnd"/>
      <w:r w:rsidRPr="002906A3">
        <w:rPr>
          <w:rFonts w:eastAsia="Calibri"/>
          <w:bCs/>
        </w:rPr>
        <w:t xml:space="preserve"> ile bir arkadaşı aynı köyden </w:t>
      </w:r>
      <w:proofErr w:type="spellStart"/>
      <w:r w:rsidRPr="002906A3">
        <w:rPr>
          <w:rFonts w:eastAsia="Calibri"/>
          <w:bCs/>
        </w:rPr>
        <w:t>Bayro</w:t>
      </w:r>
      <w:proofErr w:type="spellEnd"/>
      <w:r w:rsidRPr="002906A3">
        <w:rPr>
          <w:rFonts w:eastAsia="Calibri"/>
          <w:bCs/>
        </w:rPr>
        <w:t xml:space="preserve"> </w:t>
      </w:r>
      <w:proofErr w:type="spellStart"/>
      <w:r w:rsidRPr="002906A3">
        <w:rPr>
          <w:rFonts w:eastAsia="Calibri"/>
          <w:bCs/>
        </w:rPr>
        <w:t>Seferoviç’in</w:t>
      </w:r>
      <w:proofErr w:type="spellEnd"/>
      <w:r w:rsidRPr="002906A3">
        <w:rPr>
          <w:rFonts w:eastAsia="Calibri"/>
          <w:bCs/>
        </w:rPr>
        <w:t xml:space="preserve"> kayığında </w:t>
      </w:r>
      <w:proofErr w:type="spellStart"/>
      <w:r w:rsidRPr="002906A3">
        <w:rPr>
          <w:rFonts w:eastAsia="Calibri"/>
          <w:bCs/>
        </w:rPr>
        <w:t>Şipka’ya</w:t>
      </w:r>
      <w:proofErr w:type="spellEnd"/>
      <w:r w:rsidRPr="002906A3">
        <w:rPr>
          <w:rFonts w:eastAsia="Calibri"/>
          <w:bCs/>
        </w:rPr>
        <w:t xml:space="preserve"> gitmektedirler. Kayık </w:t>
      </w:r>
      <w:proofErr w:type="spellStart"/>
      <w:r w:rsidRPr="002906A3">
        <w:rPr>
          <w:rFonts w:eastAsia="Calibri"/>
          <w:bCs/>
        </w:rPr>
        <w:t>Dubica</w:t>
      </w:r>
      <w:proofErr w:type="spellEnd"/>
      <w:r w:rsidRPr="002906A3">
        <w:rPr>
          <w:rFonts w:eastAsia="Calibri"/>
          <w:bCs/>
        </w:rPr>
        <w:t xml:space="preserve"> kazasındaki </w:t>
      </w:r>
      <w:proofErr w:type="spellStart"/>
      <w:r w:rsidRPr="002906A3">
        <w:rPr>
          <w:rFonts w:eastAsia="Calibri"/>
          <w:bCs/>
        </w:rPr>
        <w:t>Gradina</w:t>
      </w:r>
      <w:proofErr w:type="spellEnd"/>
      <w:r w:rsidRPr="002906A3">
        <w:rPr>
          <w:rFonts w:eastAsia="Calibri"/>
          <w:bCs/>
        </w:rPr>
        <w:t xml:space="preserve"> iskelesi önlerinde demir atmış ve bir gün dinlenme molası vermiştir. Kayıktaki tayfalar uyurken sabah saat on civarında uyanan </w:t>
      </w:r>
      <w:proofErr w:type="spellStart"/>
      <w:r w:rsidRPr="002906A3">
        <w:rPr>
          <w:rFonts w:eastAsia="Calibri"/>
          <w:bCs/>
        </w:rPr>
        <w:t>İstevan</w:t>
      </w:r>
      <w:proofErr w:type="spellEnd"/>
      <w:r w:rsidRPr="002906A3">
        <w:rPr>
          <w:rFonts w:eastAsia="Calibri"/>
          <w:bCs/>
        </w:rPr>
        <w:t xml:space="preserve"> kayık kenarında tuvalet ihtiyacını giderdiği sırada kimsenin etkisi olmaksızın ayağı kayarak Sava nehrine düşmüştür. Kayıktakiler ses üzerine uyansalar da </w:t>
      </w:r>
      <w:proofErr w:type="spellStart"/>
      <w:r w:rsidRPr="002906A3">
        <w:rPr>
          <w:rFonts w:eastAsia="Calibri"/>
          <w:bCs/>
        </w:rPr>
        <w:t>İstevan</w:t>
      </w:r>
      <w:proofErr w:type="spellEnd"/>
      <w:r w:rsidRPr="002906A3">
        <w:rPr>
          <w:rFonts w:eastAsia="Calibri"/>
          <w:bCs/>
        </w:rPr>
        <w:t xml:space="preserve"> bulunamamıştır. </w:t>
      </w:r>
      <w:proofErr w:type="spellStart"/>
      <w:r w:rsidRPr="002906A3">
        <w:rPr>
          <w:rFonts w:eastAsia="Calibri"/>
          <w:bCs/>
        </w:rPr>
        <w:t>Bayro’nun</w:t>
      </w:r>
      <w:proofErr w:type="spellEnd"/>
      <w:r w:rsidRPr="002906A3">
        <w:rPr>
          <w:rFonts w:eastAsia="Calibri"/>
          <w:bCs/>
        </w:rPr>
        <w:t xml:space="preserve"> durumu mahkemeye bildirmesi üzerine yapılan keşif ve tahkikatta düştüğü yer derin olduğundan bir daha geri çıkamadığı, hatta cesedinin dahi bulunamadığı anlaşılmıştır. Bosna valiliğinden gelen tahrirat ve istintaklar Meclis-i </w:t>
      </w:r>
      <w:proofErr w:type="spellStart"/>
      <w:r w:rsidRPr="002906A3">
        <w:rPr>
          <w:rFonts w:eastAsia="Calibri"/>
          <w:bCs/>
        </w:rPr>
        <w:t>Vala’nın</w:t>
      </w:r>
      <w:proofErr w:type="spellEnd"/>
      <w:r w:rsidRPr="002906A3">
        <w:rPr>
          <w:rFonts w:eastAsia="Calibri"/>
          <w:bCs/>
        </w:rPr>
        <w:t xml:space="preserve"> </w:t>
      </w:r>
      <w:proofErr w:type="spellStart"/>
      <w:r w:rsidRPr="002906A3">
        <w:rPr>
          <w:rFonts w:eastAsia="Calibri"/>
          <w:bCs/>
        </w:rPr>
        <w:t>Muhakemat</w:t>
      </w:r>
      <w:proofErr w:type="spellEnd"/>
      <w:r w:rsidRPr="002906A3">
        <w:rPr>
          <w:rFonts w:eastAsia="Calibri"/>
          <w:bCs/>
        </w:rPr>
        <w:t xml:space="preserve"> Dairesi’nde görüşülmüş ve aksi bir delil alınamadığından ölümün </w:t>
      </w:r>
      <w:proofErr w:type="spellStart"/>
      <w:r w:rsidRPr="002906A3">
        <w:rPr>
          <w:rFonts w:eastAsia="Calibri"/>
          <w:bCs/>
        </w:rPr>
        <w:t>kazâen</w:t>
      </w:r>
      <w:proofErr w:type="spellEnd"/>
      <w:r w:rsidRPr="002906A3">
        <w:rPr>
          <w:rFonts w:eastAsia="Calibri"/>
          <w:bCs/>
        </w:rPr>
        <w:t xml:space="preserve"> gerçekleştiğine hükmedilmiştir.</w:t>
      </w:r>
      <w:r w:rsidRPr="002906A3">
        <w:rPr>
          <w:rFonts w:eastAsia="Calibri"/>
          <w:bCs/>
          <w:vertAlign w:val="superscript"/>
        </w:rPr>
        <w:footnoteReference w:id="50"/>
      </w:r>
      <w:bookmarkEnd w:id="198"/>
    </w:p>
    <w:p w14:paraId="6B6201F3" w14:textId="77777777" w:rsidR="00BA67A6" w:rsidRDefault="00BA67A6" w:rsidP="00BA67A6">
      <w:pPr>
        <w:jc w:val="both"/>
        <w:rPr>
          <w:rFonts w:eastAsia="Calibri"/>
          <w:bCs/>
        </w:rPr>
      </w:pPr>
    </w:p>
    <w:p w14:paraId="38C768D6" w14:textId="21523FB0" w:rsidR="001E7189" w:rsidRPr="002906A3" w:rsidRDefault="001E7189" w:rsidP="00BA67A6">
      <w:pPr>
        <w:jc w:val="both"/>
        <w:rPr>
          <w:rFonts w:eastAsia="Calibri"/>
          <w:bCs/>
        </w:rPr>
      </w:pPr>
      <w:r w:rsidRPr="002906A3">
        <w:rPr>
          <w:rFonts w:eastAsia="Calibri"/>
          <w:bCs/>
        </w:rPr>
        <w:t xml:space="preserve">Nehirde yıkanırken de kazayla vefat vakaları yaşanabilmiştir. </w:t>
      </w:r>
      <w:proofErr w:type="spellStart"/>
      <w:r w:rsidRPr="002906A3">
        <w:rPr>
          <w:rFonts w:eastAsia="Calibri"/>
          <w:bCs/>
        </w:rPr>
        <w:t>Novin</w:t>
      </w:r>
      <w:proofErr w:type="spellEnd"/>
      <w:r w:rsidRPr="002906A3">
        <w:rPr>
          <w:rFonts w:eastAsia="Calibri"/>
          <w:bCs/>
        </w:rPr>
        <w:t xml:space="preserve"> kazası </w:t>
      </w:r>
      <w:proofErr w:type="spellStart"/>
      <w:r w:rsidRPr="002906A3">
        <w:rPr>
          <w:rFonts w:eastAsia="Calibri"/>
          <w:bCs/>
        </w:rPr>
        <w:t>Ravska</w:t>
      </w:r>
      <w:proofErr w:type="spellEnd"/>
      <w:r w:rsidRPr="002906A3">
        <w:rPr>
          <w:rFonts w:eastAsia="Calibri"/>
          <w:bCs/>
        </w:rPr>
        <w:t xml:space="preserve"> köyünden </w:t>
      </w:r>
      <w:proofErr w:type="spellStart"/>
      <w:r w:rsidRPr="002906A3">
        <w:rPr>
          <w:rFonts w:eastAsia="Calibri"/>
          <w:bCs/>
        </w:rPr>
        <w:t>Mile’nin</w:t>
      </w:r>
      <w:proofErr w:type="spellEnd"/>
      <w:r w:rsidRPr="002906A3">
        <w:rPr>
          <w:rFonts w:eastAsia="Calibri"/>
          <w:bCs/>
        </w:rPr>
        <w:t xml:space="preserve"> oğlu Yuvan, Una nehrinde yıkandığı sırada boğularak vefat etmiştir. </w:t>
      </w:r>
      <w:proofErr w:type="spellStart"/>
      <w:r w:rsidRPr="002906A3">
        <w:rPr>
          <w:rFonts w:eastAsia="Calibri"/>
          <w:bCs/>
        </w:rPr>
        <w:t>Yuvan’ın</w:t>
      </w:r>
      <w:proofErr w:type="spellEnd"/>
      <w:r w:rsidRPr="002906A3">
        <w:rPr>
          <w:rFonts w:eastAsia="Calibri"/>
          <w:bCs/>
        </w:rPr>
        <w:t xml:space="preserve"> cesedini keşif için kadı tarafından Hüseyin Efendi, hükümet tarafından da Osman, Mustafa ve tutanakta adı geçen diğer Müslümanlar gönderilmiştir. Cesedin keşif ve muayenesi </w:t>
      </w:r>
      <w:proofErr w:type="spellStart"/>
      <w:r w:rsidRPr="002906A3">
        <w:rPr>
          <w:rFonts w:eastAsia="Calibri"/>
          <w:bCs/>
        </w:rPr>
        <w:t>Yuvan’ın</w:t>
      </w:r>
      <w:proofErr w:type="spellEnd"/>
      <w:r w:rsidRPr="002906A3">
        <w:rPr>
          <w:rFonts w:eastAsia="Calibri"/>
          <w:bCs/>
        </w:rPr>
        <w:t xml:space="preserve"> babası </w:t>
      </w:r>
      <w:proofErr w:type="spellStart"/>
      <w:r w:rsidRPr="002906A3">
        <w:rPr>
          <w:rFonts w:eastAsia="Calibri"/>
          <w:bCs/>
        </w:rPr>
        <w:t>Mile’nin</w:t>
      </w:r>
      <w:proofErr w:type="spellEnd"/>
      <w:r w:rsidRPr="002906A3">
        <w:rPr>
          <w:rFonts w:eastAsia="Calibri"/>
          <w:bCs/>
        </w:rPr>
        <w:t xml:space="preserve"> önünde yapılmış, cesette yaralama ve darp izine rastlanmadığından ölümünün boğulma kaynaklı olduğu anlaşılmıştır. Yuvan defnedilmiş, ailesi de kimseden şüpheleri ve davaları olmadığını tescil ettirmişlerdir. Bu suretle vaka “kaza </w:t>
      </w:r>
      <w:proofErr w:type="spellStart"/>
      <w:r w:rsidRPr="002906A3">
        <w:rPr>
          <w:rFonts w:eastAsia="Calibri"/>
          <w:bCs/>
        </w:rPr>
        <w:t>nevʻinden</w:t>
      </w:r>
      <w:proofErr w:type="spellEnd"/>
      <w:r w:rsidRPr="002906A3">
        <w:rPr>
          <w:rFonts w:eastAsia="Calibri"/>
          <w:bCs/>
        </w:rPr>
        <w:t>” addedilerek kimse hakkında ceza gerekmediği kaydedilmiştir.</w:t>
      </w:r>
      <w:r w:rsidRPr="002906A3">
        <w:rPr>
          <w:rFonts w:eastAsia="Calibri"/>
          <w:bCs/>
          <w:vertAlign w:val="superscript"/>
        </w:rPr>
        <w:footnoteReference w:id="51"/>
      </w:r>
      <w:r w:rsidRPr="002906A3">
        <w:rPr>
          <w:rFonts w:eastAsia="Calibri"/>
          <w:bCs/>
        </w:rPr>
        <w:t xml:space="preserve"> Buna benzer şekilde, </w:t>
      </w:r>
      <w:proofErr w:type="spellStart"/>
      <w:r w:rsidRPr="002906A3">
        <w:rPr>
          <w:rFonts w:eastAsia="Calibri"/>
          <w:bCs/>
        </w:rPr>
        <w:t>Novin’de</w:t>
      </w:r>
      <w:proofErr w:type="spellEnd"/>
      <w:r w:rsidRPr="002906A3">
        <w:rPr>
          <w:rFonts w:eastAsia="Calibri"/>
          <w:bCs/>
        </w:rPr>
        <w:t xml:space="preserve"> Kulan köyü ahalisinden </w:t>
      </w:r>
      <w:proofErr w:type="spellStart"/>
      <w:r w:rsidRPr="002906A3">
        <w:rPr>
          <w:rFonts w:eastAsia="Calibri"/>
          <w:bCs/>
        </w:rPr>
        <w:t>Petar’ın</w:t>
      </w:r>
      <w:proofErr w:type="spellEnd"/>
      <w:r w:rsidRPr="002906A3">
        <w:rPr>
          <w:rFonts w:eastAsia="Calibri"/>
          <w:bCs/>
        </w:rPr>
        <w:t xml:space="preserve"> oğlu </w:t>
      </w:r>
      <w:proofErr w:type="spellStart"/>
      <w:r w:rsidRPr="002906A3">
        <w:rPr>
          <w:rFonts w:eastAsia="Calibri"/>
          <w:bCs/>
        </w:rPr>
        <w:t>Simo</w:t>
      </w:r>
      <w:proofErr w:type="spellEnd"/>
      <w:r w:rsidRPr="002906A3">
        <w:rPr>
          <w:rFonts w:eastAsia="Calibri"/>
          <w:bCs/>
        </w:rPr>
        <w:t xml:space="preserve"> Una nehrinde yıkanırken boğularak vefat etmiştir. Yapılan keşif ve soruşturmada vefatın kaza sonucu gerçekleştiği ve kimsenin “</w:t>
      </w:r>
      <w:proofErr w:type="spellStart"/>
      <w:proofErr w:type="gramStart"/>
      <w:r w:rsidRPr="002906A3">
        <w:rPr>
          <w:rFonts w:eastAsia="Calibri"/>
          <w:bCs/>
        </w:rPr>
        <w:t>sun‘</w:t>
      </w:r>
      <w:proofErr w:type="gramEnd"/>
      <w:r w:rsidRPr="002906A3">
        <w:rPr>
          <w:rFonts w:eastAsia="Calibri"/>
          <w:bCs/>
        </w:rPr>
        <w:t>ı</w:t>
      </w:r>
      <w:proofErr w:type="spellEnd"/>
      <w:r w:rsidRPr="002906A3">
        <w:rPr>
          <w:rFonts w:eastAsia="Calibri"/>
          <w:bCs/>
        </w:rPr>
        <w:t xml:space="preserve"> </w:t>
      </w:r>
      <w:proofErr w:type="spellStart"/>
      <w:r w:rsidRPr="002906A3">
        <w:rPr>
          <w:rFonts w:eastAsia="Calibri"/>
          <w:bCs/>
        </w:rPr>
        <w:t>medhali</w:t>
      </w:r>
      <w:proofErr w:type="spellEnd"/>
      <w:r w:rsidRPr="002906A3">
        <w:rPr>
          <w:rFonts w:eastAsia="Calibri"/>
          <w:bCs/>
        </w:rPr>
        <w:t xml:space="preserve">” bulunmadığı anlaşılmıştır. Belgede, </w:t>
      </w:r>
      <w:proofErr w:type="spellStart"/>
      <w:r w:rsidRPr="002906A3">
        <w:rPr>
          <w:rFonts w:eastAsia="Calibri"/>
          <w:bCs/>
        </w:rPr>
        <w:t>Simo’nun</w:t>
      </w:r>
      <w:proofErr w:type="spellEnd"/>
      <w:r w:rsidRPr="002906A3">
        <w:rPr>
          <w:rFonts w:eastAsia="Calibri"/>
          <w:bCs/>
        </w:rPr>
        <w:t xml:space="preserve"> varisi amcası </w:t>
      </w:r>
      <w:proofErr w:type="spellStart"/>
      <w:r w:rsidRPr="002906A3">
        <w:rPr>
          <w:rFonts w:eastAsia="Calibri"/>
          <w:bCs/>
        </w:rPr>
        <w:t>Kuzman’ın</w:t>
      </w:r>
      <w:proofErr w:type="spellEnd"/>
      <w:r w:rsidRPr="002906A3">
        <w:rPr>
          <w:rFonts w:eastAsia="Calibri"/>
          <w:bCs/>
        </w:rPr>
        <w:t xml:space="preserve"> da kimseden şüphesi ve davası olmadığını tescil ettirdiği takdirde kimseye bir ceza gerekmeyeceği ifade olunmaktadır.</w:t>
      </w:r>
      <w:r w:rsidRPr="002906A3">
        <w:rPr>
          <w:rFonts w:eastAsia="Calibri"/>
          <w:bCs/>
          <w:vertAlign w:val="superscript"/>
        </w:rPr>
        <w:footnoteReference w:id="52"/>
      </w:r>
      <w:r w:rsidRPr="002906A3">
        <w:rPr>
          <w:rFonts w:eastAsia="Calibri"/>
          <w:bCs/>
        </w:rPr>
        <w:t xml:space="preserve"> Yüzme bilmemenin yanı sıra, nehirlerin başka bir su kaynağına akan sular oldukları düşünülürse</w:t>
      </w:r>
      <w:r w:rsidRPr="002906A3">
        <w:t xml:space="preserve"> </w:t>
      </w:r>
      <w:r w:rsidRPr="002906A3">
        <w:rPr>
          <w:rFonts w:eastAsia="Calibri"/>
          <w:bCs/>
        </w:rPr>
        <w:t>boğulma gerekçelerinden birinin de nehir akıntıları nedeniyle kişilerinin suya düşerek sürüklenmeleri olduğu düşünülebilir.</w:t>
      </w:r>
    </w:p>
    <w:p w14:paraId="3A1CFB43" w14:textId="77777777" w:rsidR="00BA67A6" w:rsidRDefault="00BA67A6" w:rsidP="00BA67A6">
      <w:pPr>
        <w:jc w:val="both"/>
        <w:rPr>
          <w:rFonts w:eastAsia="Calibri"/>
          <w:bCs/>
        </w:rPr>
      </w:pPr>
    </w:p>
    <w:p w14:paraId="550DB7A0" w14:textId="29F1BE44" w:rsidR="001E7189" w:rsidRPr="002906A3" w:rsidRDefault="001E7189" w:rsidP="00BA67A6">
      <w:pPr>
        <w:jc w:val="both"/>
        <w:rPr>
          <w:rFonts w:eastAsia="Calibri"/>
          <w:bCs/>
        </w:rPr>
      </w:pPr>
      <w:r w:rsidRPr="002906A3">
        <w:rPr>
          <w:rFonts w:eastAsia="Calibri"/>
          <w:bCs/>
        </w:rPr>
        <w:t>Bazen bireylerin kendi değirmenlerinin suyuna düşerek vefat ettikleri de olmuştur.</w:t>
      </w:r>
      <w:r w:rsidRPr="002906A3">
        <w:t xml:space="preserve"> Meclis-i </w:t>
      </w:r>
      <w:proofErr w:type="spellStart"/>
      <w:r w:rsidRPr="002906A3">
        <w:t>Vâlâ’ya</w:t>
      </w:r>
      <w:proofErr w:type="spellEnd"/>
      <w:r w:rsidRPr="002906A3">
        <w:t xml:space="preserve"> intikal eden bir tahrirattan anlaşıldığına göre </w:t>
      </w:r>
      <w:r w:rsidRPr="002906A3">
        <w:rPr>
          <w:rFonts w:eastAsia="Calibri"/>
          <w:bCs/>
        </w:rPr>
        <w:t xml:space="preserve">Bihke’nin </w:t>
      </w:r>
      <w:proofErr w:type="spellStart"/>
      <w:r w:rsidRPr="002906A3">
        <w:rPr>
          <w:rFonts w:eastAsia="Calibri"/>
          <w:bCs/>
        </w:rPr>
        <w:t>Priyedor</w:t>
      </w:r>
      <w:proofErr w:type="spellEnd"/>
      <w:r w:rsidRPr="002906A3">
        <w:rPr>
          <w:rFonts w:eastAsia="Calibri"/>
          <w:bCs/>
        </w:rPr>
        <w:t xml:space="preserve"> kazası ahalisinden </w:t>
      </w:r>
      <w:r w:rsidRPr="002906A3">
        <w:rPr>
          <w:rFonts w:eastAsia="Calibri"/>
          <w:bCs/>
        </w:rPr>
        <w:lastRenderedPageBreak/>
        <w:t xml:space="preserve">Mile </w:t>
      </w:r>
      <w:proofErr w:type="spellStart"/>
      <w:r w:rsidRPr="002906A3">
        <w:rPr>
          <w:rFonts w:eastAsia="Calibri"/>
          <w:bCs/>
        </w:rPr>
        <w:t>Bozigace</w:t>
      </w:r>
      <w:proofErr w:type="spellEnd"/>
      <w:r w:rsidRPr="002906A3">
        <w:rPr>
          <w:rFonts w:eastAsia="Calibri"/>
          <w:bCs/>
        </w:rPr>
        <w:t xml:space="preserve">, </w:t>
      </w:r>
      <w:proofErr w:type="spellStart"/>
      <w:r w:rsidRPr="002906A3">
        <w:rPr>
          <w:rFonts w:eastAsia="Calibri"/>
          <w:bCs/>
        </w:rPr>
        <w:t>Dubica’daki</w:t>
      </w:r>
      <w:proofErr w:type="spellEnd"/>
      <w:r w:rsidRPr="002906A3">
        <w:rPr>
          <w:rFonts w:eastAsia="Calibri"/>
          <w:bCs/>
        </w:rPr>
        <w:t xml:space="preserve"> değirmeninin kapağını açıp suyun </w:t>
      </w:r>
      <w:proofErr w:type="spellStart"/>
      <w:r w:rsidRPr="002906A3">
        <w:rPr>
          <w:rFonts w:eastAsia="Calibri"/>
          <w:bCs/>
        </w:rPr>
        <w:t>devr</w:t>
      </w:r>
      <w:proofErr w:type="spellEnd"/>
      <w:r w:rsidRPr="002906A3">
        <w:rPr>
          <w:rFonts w:eastAsia="Calibri"/>
          <w:bCs/>
        </w:rPr>
        <w:t xml:space="preserve">-i daimî için çarkın yanına giderken değirmen merdiveninden </w:t>
      </w:r>
      <w:proofErr w:type="spellStart"/>
      <w:r w:rsidRPr="002906A3">
        <w:rPr>
          <w:rFonts w:eastAsia="Calibri"/>
          <w:bCs/>
        </w:rPr>
        <w:t>kazâen</w:t>
      </w:r>
      <w:proofErr w:type="spellEnd"/>
      <w:r w:rsidRPr="002906A3">
        <w:rPr>
          <w:rFonts w:eastAsia="Calibri"/>
          <w:bCs/>
        </w:rPr>
        <w:t xml:space="preserve"> suya düşüp boğularak ölmüştür. Yapılan tahkikatta durumun kaza neticesi yaşandığı anlaşılmıştır. Varisleri de kimseden veya köy halkından davacı olmadıklarını tescil ettirmişlerdir.</w:t>
      </w:r>
      <w:r w:rsidRPr="002906A3">
        <w:rPr>
          <w:rFonts w:eastAsia="Calibri"/>
          <w:bCs/>
          <w:vertAlign w:val="superscript"/>
        </w:rPr>
        <w:footnoteReference w:id="53"/>
      </w:r>
    </w:p>
    <w:p w14:paraId="2474B010" w14:textId="77777777" w:rsidR="00BA67A6" w:rsidRDefault="00BA67A6" w:rsidP="00BA67A6">
      <w:pPr>
        <w:jc w:val="both"/>
        <w:rPr>
          <w:rFonts w:eastAsia="Calibri"/>
          <w:bCs/>
        </w:rPr>
      </w:pPr>
    </w:p>
    <w:p w14:paraId="0A4A65D2" w14:textId="04E01AE7" w:rsidR="001E7189" w:rsidRPr="002906A3" w:rsidRDefault="001E7189" w:rsidP="00BA67A6">
      <w:pPr>
        <w:jc w:val="both"/>
        <w:rPr>
          <w:rFonts w:eastAsia="Calibri"/>
          <w:bCs/>
        </w:rPr>
      </w:pPr>
      <w:r w:rsidRPr="002906A3">
        <w:rPr>
          <w:rFonts w:eastAsia="Calibri"/>
          <w:bCs/>
        </w:rPr>
        <w:t xml:space="preserve">Kişiler bazen de kendi bağ veya bahçelerindeki ağaçlardan kazayla düşmüşlerdir. Çelebi Pazarı Kazası </w:t>
      </w:r>
      <w:proofErr w:type="spellStart"/>
      <w:r w:rsidRPr="002906A3">
        <w:rPr>
          <w:rFonts w:eastAsia="Calibri"/>
          <w:bCs/>
        </w:rPr>
        <w:t>Pripeçak</w:t>
      </w:r>
      <w:proofErr w:type="spellEnd"/>
      <w:r w:rsidRPr="002906A3">
        <w:rPr>
          <w:rFonts w:eastAsia="Calibri"/>
          <w:bCs/>
        </w:rPr>
        <w:t xml:space="preserve"> köylü Halil, Topçu köydeki bahçesinin ağacından elma toplarken başı üzerine düşerek vefat etmiştir. Yapılan soruşturmada Halil’in varisi olan kardeşi mahkemeye gelerek durumun kaza olduğunu beyan etmiş ve kimseden davası olmadığını tescil ettirmiştir.</w:t>
      </w:r>
      <w:r w:rsidRPr="002906A3">
        <w:rPr>
          <w:rFonts w:eastAsia="Calibri"/>
          <w:bCs/>
          <w:vertAlign w:val="superscript"/>
        </w:rPr>
        <w:footnoteReference w:id="54"/>
      </w:r>
      <w:r w:rsidRPr="002906A3">
        <w:rPr>
          <w:rFonts w:eastAsia="Calibri"/>
          <w:bCs/>
        </w:rPr>
        <w:t xml:space="preserve"> Saray kazası </w:t>
      </w:r>
      <w:proofErr w:type="spellStart"/>
      <w:r w:rsidRPr="002906A3">
        <w:rPr>
          <w:rFonts w:eastAsia="Calibri"/>
          <w:bCs/>
        </w:rPr>
        <w:t>Kiyeva</w:t>
      </w:r>
      <w:proofErr w:type="spellEnd"/>
      <w:r w:rsidRPr="002906A3">
        <w:rPr>
          <w:rFonts w:eastAsia="Calibri"/>
          <w:bCs/>
        </w:rPr>
        <w:t xml:space="preserve"> cemaatinin Turba köyü ahalisinden İbrahim </w:t>
      </w:r>
      <w:proofErr w:type="spellStart"/>
      <w:r w:rsidRPr="002906A3">
        <w:rPr>
          <w:rFonts w:eastAsia="Calibri"/>
          <w:bCs/>
        </w:rPr>
        <w:t>Karoyiç</w:t>
      </w:r>
      <w:proofErr w:type="spellEnd"/>
      <w:r w:rsidRPr="002906A3">
        <w:rPr>
          <w:rFonts w:eastAsia="Calibri"/>
          <w:bCs/>
        </w:rPr>
        <w:t xml:space="preserve"> ise evinin bahçesindeki ağaçtan erik toplarken bastığı dalın kırılmasıyla düşerek ölmüştür. Keşif ve soruşturmada vakanın kaza olduğunun anlaşılmış, mağdurun ailesi de bu ölümle ilgili kimseden hak iddiasında bulunmayacaklarını ifade etmişlerdir.</w:t>
      </w:r>
      <w:r w:rsidRPr="002906A3">
        <w:rPr>
          <w:rFonts w:eastAsia="Calibri"/>
          <w:bCs/>
          <w:vertAlign w:val="superscript"/>
        </w:rPr>
        <w:footnoteReference w:id="55"/>
      </w:r>
    </w:p>
    <w:p w14:paraId="4827D062" w14:textId="77777777" w:rsidR="00BA67A6" w:rsidRDefault="00BA67A6" w:rsidP="00BA67A6">
      <w:pPr>
        <w:jc w:val="both"/>
        <w:rPr>
          <w:rFonts w:eastAsia="Calibri"/>
          <w:bCs/>
        </w:rPr>
      </w:pPr>
    </w:p>
    <w:p w14:paraId="6330E3F5" w14:textId="2B932CBB" w:rsidR="001E7189" w:rsidRPr="002906A3" w:rsidRDefault="001E7189" w:rsidP="00BA67A6">
      <w:pPr>
        <w:jc w:val="both"/>
        <w:rPr>
          <w:rFonts w:eastAsia="Calibri"/>
          <w:bCs/>
        </w:rPr>
      </w:pPr>
      <w:r w:rsidRPr="002906A3">
        <w:rPr>
          <w:rFonts w:eastAsia="Calibri"/>
          <w:bCs/>
        </w:rPr>
        <w:t xml:space="preserve">Kayıtlarda yaralayıcı, kesici aletlerden kaynaklı ölüm vakalarına da tesadüf edilmiştir. </w:t>
      </w:r>
      <w:proofErr w:type="spellStart"/>
      <w:r w:rsidRPr="002906A3">
        <w:rPr>
          <w:rFonts w:eastAsia="Calibri"/>
          <w:bCs/>
        </w:rPr>
        <w:t>Birçe</w:t>
      </w:r>
      <w:proofErr w:type="spellEnd"/>
      <w:r w:rsidRPr="002906A3">
        <w:rPr>
          <w:rFonts w:eastAsia="Calibri"/>
          <w:bCs/>
        </w:rPr>
        <w:t xml:space="preserve"> kazası </w:t>
      </w:r>
      <w:proofErr w:type="spellStart"/>
      <w:r w:rsidRPr="002906A3">
        <w:rPr>
          <w:rFonts w:eastAsia="Calibri"/>
          <w:bCs/>
        </w:rPr>
        <w:t>Vrtofça</w:t>
      </w:r>
      <w:proofErr w:type="spellEnd"/>
      <w:r w:rsidRPr="002906A3">
        <w:rPr>
          <w:rFonts w:eastAsia="Calibri"/>
          <w:bCs/>
        </w:rPr>
        <w:t xml:space="preserve"> köylü </w:t>
      </w:r>
      <w:proofErr w:type="spellStart"/>
      <w:r w:rsidRPr="002906A3">
        <w:rPr>
          <w:rFonts w:eastAsia="Calibri"/>
          <w:bCs/>
        </w:rPr>
        <w:t>Lazar</w:t>
      </w:r>
      <w:proofErr w:type="spellEnd"/>
      <w:r w:rsidRPr="002906A3">
        <w:rPr>
          <w:rFonts w:eastAsia="Calibri"/>
          <w:bCs/>
        </w:rPr>
        <w:t xml:space="preserve"> </w:t>
      </w:r>
      <w:proofErr w:type="spellStart"/>
      <w:r w:rsidRPr="002906A3">
        <w:rPr>
          <w:rFonts w:eastAsia="Calibri"/>
          <w:bCs/>
        </w:rPr>
        <w:t>veled</w:t>
      </w:r>
      <w:proofErr w:type="spellEnd"/>
      <w:r w:rsidRPr="002906A3">
        <w:rPr>
          <w:rFonts w:eastAsia="Calibri"/>
          <w:bCs/>
        </w:rPr>
        <w:t xml:space="preserve">-i </w:t>
      </w:r>
      <w:proofErr w:type="spellStart"/>
      <w:r w:rsidRPr="002906A3">
        <w:rPr>
          <w:rFonts w:eastAsia="Calibri"/>
          <w:bCs/>
        </w:rPr>
        <w:t>Simo</w:t>
      </w:r>
      <w:proofErr w:type="spellEnd"/>
      <w:r w:rsidRPr="002906A3">
        <w:rPr>
          <w:rFonts w:eastAsia="Calibri"/>
          <w:bCs/>
        </w:rPr>
        <w:t xml:space="preserve">, aynı köyden dört arkadaşıyla koya taş atarken </w:t>
      </w:r>
      <w:proofErr w:type="spellStart"/>
      <w:r w:rsidRPr="002906A3">
        <w:rPr>
          <w:rFonts w:eastAsia="Calibri"/>
          <w:bCs/>
        </w:rPr>
        <w:t>kazâen</w:t>
      </w:r>
      <w:proofErr w:type="spellEnd"/>
      <w:r w:rsidRPr="002906A3">
        <w:rPr>
          <w:rFonts w:eastAsia="Calibri"/>
          <w:bCs/>
        </w:rPr>
        <w:t xml:space="preserve"> yere düşmüş ve belindeki bıçağının göğsünü deşmesiyle vefat etmiştir. </w:t>
      </w:r>
      <w:proofErr w:type="spellStart"/>
      <w:r w:rsidRPr="002906A3">
        <w:rPr>
          <w:rFonts w:eastAsia="Calibri"/>
          <w:bCs/>
        </w:rPr>
        <w:t>Lazar’ın</w:t>
      </w:r>
      <w:proofErr w:type="spellEnd"/>
      <w:r w:rsidRPr="002906A3">
        <w:rPr>
          <w:rFonts w:eastAsia="Calibri"/>
          <w:bCs/>
        </w:rPr>
        <w:t xml:space="preserve"> ailesinin, olay esnasında yanında olan arkadaşlarından ve bir başkasından cinayete dair iddia ve davaları olmadığını ifade etmeleriyle olayın kaza olduğuna hükmedilmiştir.</w:t>
      </w:r>
      <w:r w:rsidRPr="002906A3">
        <w:rPr>
          <w:rFonts w:eastAsia="Calibri"/>
          <w:bCs/>
          <w:vertAlign w:val="superscript"/>
        </w:rPr>
        <w:footnoteReference w:id="56"/>
      </w:r>
      <w:r w:rsidRPr="002906A3">
        <w:rPr>
          <w:rFonts w:eastAsia="Calibri"/>
          <w:bCs/>
        </w:rPr>
        <w:t xml:space="preserve"> Diğer bir vakada </w:t>
      </w:r>
      <w:proofErr w:type="spellStart"/>
      <w:r w:rsidRPr="002906A3">
        <w:rPr>
          <w:rFonts w:eastAsia="Calibri"/>
          <w:bCs/>
        </w:rPr>
        <w:t>İzeniçe</w:t>
      </w:r>
      <w:proofErr w:type="spellEnd"/>
      <w:r w:rsidRPr="002906A3">
        <w:rPr>
          <w:rFonts w:eastAsia="Calibri"/>
          <w:bCs/>
        </w:rPr>
        <w:t xml:space="preserve"> nahiyesinin </w:t>
      </w:r>
      <w:proofErr w:type="spellStart"/>
      <w:r w:rsidRPr="002906A3">
        <w:rPr>
          <w:rFonts w:eastAsia="Calibri"/>
          <w:bCs/>
        </w:rPr>
        <w:t>İstranan</w:t>
      </w:r>
      <w:proofErr w:type="spellEnd"/>
      <w:r w:rsidRPr="002906A3">
        <w:rPr>
          <w:rFonts w:eastAsia="Calibri"/>
          <w:bCs/>
        </w:rPr>
        <w:t xml:space="preserve"> köyünden </w:t>
      </w:r>
      <w:proofErr w:type="spellStart"/>
      <w:r w:rsidRPr="002906A3">
        <w:rPr>
          <w:rFonts w:eastAsia="Calibri"/>
          <w:bCs/>
        </w:rPr>
        <w:t>Babiç</w:t>
      </w:r>
      <w:proofErr w:type="spellEnd"/>
      <w:r w:rsidRPr="002906A3">
        <w:rPr>
          <w:rFonts w:eastAsia="Calibri"/>
          <w:bCs/>
        </w:rPr>
        <w:t xml:space="preserve"> Mustafa’nın oğlu Mehmed, belindeki tabancasının kimsenin müdahale ve etkisi olmadan kazayla ateş almasıyla kurşununun kendine isabetinden aldığı yaradan dolayı vefat etmiştir. Mehmed’in babası Mustafa durumun kazayla yaşandığını, kimseden davası olmadığını tescil ettirmiştir.</w:t>
      </w:r>
      <w:r w:rsidRPr="002906A3">
        <w:rPr>
          <w:rFonts w:eastAsia="Calibri"/>
          <w:bCs/>
          <w:vertAlign w:val="superscript"/>
        </w:rPr>
        <w:footnoteReference w:id="57"/>
      </w:r>
      <w:r w:rsidRPr="002906A3">
        <w:rPr>
          <w:rFonts w:eastAsia="Calibri"/>
          <w:bCs/>
        </w:rPr>
        <w:t xml:space="preserve"> </w:t>
      </w:r>
      <w:proofErr w:type="spellStart"/>
      <w:r w:rsidRPr="002906A3">
        <w:rPr>
          <w:rFonts w:eastAsia="Calibri"/>
          <w:bCs/>
        </w:rPr>
        <w:t>Novasil’in</w:t>
      </w:r>
      <w:proofErr w:type="spellEnd"/>
      <w:r w:rsidRPr="002906A3">
        <w:rPr>
          <w:rFonts w:eastAsia="Calibri"/>
          <w:bCs/>
        </w:rPr>
        <w:t xml:space="preserve"> </w:t>
      </w:r>
      <w:proofErr w:type="spellStart"/>
      <w:r w:rsidRPr="002906A3">
        <w:rPr>
          <w:rFonts w:eastAsia="Calibri"/>
          <w:bCs/>
        </w:rPr>
        <w:t>Krnuşa</w:t>
      </w:r>
      <w:proofErr w:type="spellEnd"/>
      <w:r w:rsidRPr="002906A3">
        <w:rPr>
          <w:rFonts w:eastAsia="Calibri"/>
          <w:bCs/>
        </w:rPr>
        <w:t xml:space="preserve"> köyünden </w:t>
      </w:r>
      <w:proofErr w:type="spellStart"/>
      <w:r w:rsidRPr="002906A3">
        <w:rPr>
          <w:rFonts w:eastAsia="Calibri"/>
          <w:bCs/>
        </w:rPr>
        <w:t>Pero’nun</w:t>
      </w:r>
      <w:proofErr w:type="spellEnd"/>
      <w:r w:rsidRPr="002906A3">
        <w:rPr>
          <w:rFonts w:eastAsia="Calibri"/>
          <w:bCs/>
        </w:rPr>
        <w:t xml:space="preserve"> hanımı </w:t>
      </w:r>
      <w:proofErr w:type="spellStart"/>
      <w:r w:rsidRPr="002906A3">
        <w:rPr>
          <w:rFonts w:eastAsia="Calibri"/>
          <w:bCs/>
        </w:rPr>
        <w:t>Mariye</w:t>
      </w:r>
      <w:proofErr w:type="spellEnd"/>
      <w:r w:rsidRPr="002906A3">
        <w:rPr>
          <w:rFonts w:eastAsia="Calibri"/>
          <w:bCs/>
        </w:rPr>
        <w:t xml:space="preserve"> odanın duvarında asılı tabanca üzerindeki bez parçasını alırken tabancanın kazayla ateş alması üzerine göğsünden vurularak ölmüştür. Yapılan soruşturmada </w:t>
      </w:r>
      <w:proofErr w:type="spellStart"/>
      <w:r w:rsidRPr="002906A3">
        <w:rPr>
          <w:rFonts w:eastAsia="Calibri"/>
          <w:bCs/>
        </w:rPr>
        <w:t>Pero</w:t>
      </w:r>
      <w:proofErr w:type="spellEnd"/>
      <w:r w:rsidRPr="002906A3">
        <w:rPr>
          <w:rFonts w:eastAsia="Calibri"/>
          <w:bCs/>
        </w:rPr>
        <w:t xml:space="preserve"> ve oğlu olayın kazayla gerçekleştiğini ifade ederek kimseden davacı olmayacaklarını tescil etmişlerdir.</w:t>
      </w:r>
      <w:r w:rsidRPr="002906A3">
        <w:rPr>
          <w:rFonts w:eastAsia="Calibri"/>
          <w:bCs/>
          <w:vertAlign w:val="superscript"/>
        </w:rPr>
        <w:footnoteReference w:id="58"/>
      </w:r>
      <w:r w:rsidRPr="002906A3">
        <w:t xml:space="preserve"> Örnekleri çoğaltmak mümkündür. </w:t>
      </w:r>
      <w:proofErr w:type="spellStart"/>
      <w:r w:rsidRPr="002906A3">
        <w:rPr>
          <w:rFonts w:eastAsia="Calibri"/>
          <w:bCs/>
        </w:rPr>
        <w:t>Travnik</w:t>
      </w:r>
      <w:proofErr w:type="spellEnd"/>
      <w:r w:rsidRPr="002906A3">
        <w:rPr>
          <w:rFonts w:eastAsia="Calibri"/>
          <w:bCs/>
        </w:rPr>
        <w:t xml:space="preserve"> Kazası </w:t>
      </w:r>
      <w:proofErr w:type="spellStart"/>
      <w:r w:rsidRPr="002906A3">
        <w:rPr>
          <w:rFonts w:eastAsia="Calibri"/>
          <w:bCs/>
        </w:rPr>
        <w:t>Celilovac</w:t>
      </w:r>
      <w:proofErr w:type="spellEnd"/>
      <w:r w:rsidRPr="002906A3">
        <w:rPr>
          <w:rFonts w:eastAsia="Calibri"/>
          <w:bCs/>
        </w:rPr>
        <w:t xml:space="preserve"> köylü Feyzullah oğlu Hüseyin dostlarını ziyaret için </w:t>
      </w:r>
      <w:proofErr w:type="spellStart"/>
      <w:r w:rsidRPr="002906A3">
        <w:rPr>
          <w:rFonts w:eastAsia="Calibri"/>
          <w:bCs/>
        </w:rPr>
        <w:t>Yayçe</w:t>
      </w:r>
      <w:proofErr w:type="spellEnd"/>
      <w:r w:rsidRPr="002906A3">
        <w:rPr>
          <w:rFonts w:eastAsia="Calibri"/>
          <w:bCs/>
        </w:rPr>
        <w:t xml:space="preserve"> kazasına gitmiştir. Ömer </w:t>
      </w:r>
      <w:proofErr w:type="spellStart"/>
      <w:r w:rsidRPr="002906A3">
        <w:rPr>
          <w:rFonts w:eastAsia="Calibri"/>
          <w:bCs/>
        </w:rPr>
        <w:t>Susanoviç’in</w:t>
      </w:r>
      <w:proofErr w:type="spellEnd"/>
      <w:r w:rsidRPr="002906A3">
        <w:rPr>
          <w:rFonts w:eastAsia="Calibri"/>
          <w:bCs/>
        </w:rPr>
        <w:t xml:space="preserve"> evinde oturup sohbet ederlerken ev sahibinin “İskemlede rahatsız oturuyorsun, rahat otur” demesi üzerine Hüseyin kendi oturduğu iskemleyi altından çıkarmak için eğilince cebinde bulunan tabancası tepe üstü yere düşmüştür. Hüseyin, düşen tabancanın patlamasıyla göğsünden yaralanarak vefat etmiştir. Durumu köylülerden Ömer’in mahkemeye haber vermesi üzerine Zaptiye Mehmed keşif ve muayene için gönderilmiştir. Olay anında orada bulunan </w:t>
      </w:r>
      <w:proofErr w:type="spellStart"/>
      <w:r w:rsidRPr="002906A3">
        <w:rPr>
          <w:rFonts w:eastAsia="Calibri"/>
          <w:bCs/>
        </w:rPr>
        <w:t>Susanoviç</w:t>
      </w:r>
      <w:proofErr w:type="spellEnd"/>
      <w:r w:rsidRPr="002906A3">
        <w:rPr>
          <w:rFonts w:eastAsia="Calibri"/>
          <w:bCs/>
        </w:rPr>
        <w:t xml:space="preserve"> Ömer, Ömer’in kardeşi Mehmed, </w:t>
      </w:r>
      <w:proofErr w:type="spellStart"/>
      <w:r w:rsidRPr="002906A3">
        <w:rPr>
          <w:rFonts w:eastAsia="Calibri"/>
          <w:bCs/>
        </w:rPr>
        <w:t>Loranoviç</w:t>
      </w:r>
      <w:proofErr w:type="spellEnd"/>
      <w:r w:rsidRPr="002906A3">
        <w:rPr>
          <w:rFonts w:eastAsia="Calibri"/>
          <w:bCs/>
        </w:rPr>
        <w:t xml:space="preserve"> Osman, </w:t>
      </w:r>
      <w:proofErr w:type="spellStart"/>
      <w:r w:rsidRPr="002906A3">
        <w:rPr>
          <w:rFonts w:eastAsia="Calibri"/>
          <w:bCs/>
        </w:rPr>
        <w:t>Mişaroviç</w:t>
      </w:r>
      <w:proofErr w:type="spellEnd"/>
      <w:r w:rsidRPr="002906A3">
        <w:rPr>
          <w:rFonts w:eastAsia="Calibri"/>
          <w:bCs/>
        </w:rPr>
        <w:t xml:space="preserve"> Osman, </w:t>
      </w:r>
      <w:proofErr w:type="spellStart"/>
      <w:r w:rsidRPr="002906A3">
        <w:rPr>
          <w:rFonts w:eastAsia="Calibri"/>
          <w:bCs/>
        </w:rPr>
        <w:t>Şariç</w:t>
      </w:r>
      <w:proofErr w:type="spellEnd"/>
      <w:r w:rsidRPr="002906A3">
        <w:rPr>
          <w:rFonts w:eastAsia="Calibri"/>
          <w:bCs/>
        </w:rPr>
        <w:t xml:space="preserve"> Hüseyin ve Mehmed, </w:t>
      </w:r>
      <w:proofErr w:type="spellStart"/>
      <w:r w:rsidRPr="002906A3">
        <w:rPr>
          <w:rFonts w:eastAsia="Calibri"/>
          <w:bCs/>
        </w:rPr>
        <w:t>Misiniç</w:t>
      </w:r>
      <w:proofErr w:type="spellEnd"/>
      <w:r w:rsidRPr="002906A3">
        <w:rPr>
          <w:rFonts w:eastAsia="Calibri"/>
          <w:bCs/>
        </w:rPr>
        <w:t xml:space="preserve"> Hüseyin isimli yedi kişinin görgü tanıkları olarak yeminli ifadeleri alınmıştır. Bunlar olayın kazayla silahın patlamasıyla gerçekleştiğini yemin vermişlerdir. Hüseyin’in varisi olan kardeşi Mustafa da sorgusunda şahitlerin beyanlarını tasdik ederek kimseden davacı olmadığını tescil etmiştir.</w:t>
      </w:r>
      <w:r w:rsidRPr="002906A3">
        <w:rPr>
          <w:rFonts w:eastAsia="Calibri"/>
          <w:bCs/>
          <w:vertAlign w:val="superscript"/>
        </w:rPr>
        <w:footnoteReference w:id="59"/>
      </w:r>
      <w:r w:rsidRPr="002906A3">
        <w:rPr>
          <w:rFonts w:eastAsia="Calibri"/>
          <w:bCs/>
        </w:rPr>
        <w:t xml:space="preserve"> Benzer bir ölüm kaydında Bihke’nin </w:t>
      </w:r>
      <w:proofErr w:type="spellStart"/>
      <w:r w:rsidRPr="002906A3">
        <w:rPr>
          <w:rFonts w:eastAsia="Calibri"/>
          <w:bCs/>
        </w:rPr>
        <w:t>Kluç</w:t>
      </w:r>
      <w:proofErr w:type="spellEnd"/>
      <w:r w:rsidRPr="002906A3">
        <w:rPr>
          <w:rFonts w:eastAsia="Calibri"/>
          <w:bCs/>
        </w:rPr>
        <w:t xml:space="preserve"> kasabası ahalisinden Osman kendi tabancasıyla kazayla kendini vurmuş ve ölmüştür. Yapılan keşif ve soruşturmada vakada cinayete dair bir </w:t>
      </w:r>
      <w:r w:rsidRPr="002906A3">
        <w:rPr>
          <w:rFonts w:eastAsia="Calibri"/>
          <w:bCs/>
        </w:rPr>
        <w:lastRenderedPageBreak/>
        <w:t>şüphe görülmemiş, kazayla gerçekleştiğine hükmedilmiştir.</w:t>
      </w:r>
      <w:r w:rsidRPr="002906A3">
        <w:rPr>
          <w:rFonts w:eastAsia="Calibri"/>
          <w:bCs/>
          <w:vertAlign w:val="superscript"/>
        </w:rPr>
        <w:footnoteReference w:id="60"/>
      </w:r>
    </w:p>
    <w:p w14:paraId="474C69F4" w14:textId="77777777" w:rsidR="00BA67A6" w:rsidRDefault="00BA67A6" w:rsidP="00BA67A6">
      <w:pPr>
        <w:jc w:val="both"/>
        <w:rPr>
          <w:rFonts w:eastAsia="Calibri"/>
          <w:bCs/>
        </w:rPr>
      </w:pPr>
    </w:p>
    <w:p w14:paraId="65A61075" w14:textId="3A722042" w:rsidR="001E7189" w:rsidRPr="002906A3" w:rsidRDefault="001E7189" w:rsidP="00BA67A6">
      <w:pPr>
        <w:jc w:val="both"/>
        <w:rPr>
          <w:rFonts w:eastAsia="Calibri"/>
          <w:bCs/>
        </w:rPr>
      </w:pPr>
      <w:r w:rsidRPr="002906A3">
        <w:rPr>
          <w:rFonts w:eastAsia="Calibri"/>
          <w:bCs/>
        </w:rPr>
        <w:t xml:space="preserve">Kötü alışkanlıklar da bazen </w:t>
      </w:r>
      <w:proofErr w:type="spellStart"/>
      <w:r w:rsidRPr="002906A3">
        <w:rPr>
          <w:rFonts w:eastAsia="Calibri"/>
          <w:bCs/>
        </w:rPr>
        <w:t>kazâen</w:t>
      </w:r>
      <w:proofErr w:type="spellEnd"/>
      <w:r w:rsidRPr="002906A3">
        <w:rPr>
          <w:rFonts w:eastAsia="Calibri"/>
          <w:bCs/>
        </w:rPr>
        <w:t xml:space="preserve"> ölümlere neden olabilmektedir. Buna örnek olarak </w:t>
      </w:r>
      <w:proofErr w:type="spellStart"/>
      <w:r w:rsidRPr="002906A3">
        <w:rPr>
          <w:rFonts w:eastAsia="Calibri"/>
          <w:bCs/>
        </w:rPr>
        <w:t>Dubica</w:t>
      </w:r>
      <w:proofErr w:type="spellEnd"/>
      <w:r w:rsidRPr="002906A3">
        <w:rPr>
          <w:rFonts w:eastAsia="Calibri"/>
          <w:bCs/>
        </w:rPr>
        <w:t xml:space="preserve"> kazalı </w:t>
      </w:r>
      <w:proofErr w:type="spellStart"/>
      <w:r w:rsidRPr="002906A3">
        <w:rPr>
          <w:rFonts w:eastAsia="Calibri"/>
          <w:bCs/>
        </w:rPr>
        <w:t>Tripon</w:t>
      </w:r>
      <w:proofErr w:type="spellEnd"/>
      <w:r w:rsidRPr="002906A3">
        <w:rPr>
          <w:rFonts w:eastAsia="Calibri"/>
          <w:bCs/>
        </w:rPr>
        <w:t xml:space="preserve"> </w:t>
      </w:r>
      <w:proofErr w:type="spellStart"/>
      <w:r w:rsidRPr="002906A3">
        <w:rPr>
          <w:rFonts w:eastAsia="Calibri"/>
          <w:bCs/>
        </w:rPr>
        <w:t>Bakiç’in</w:t>
      </w:r>
      <w:proofErr w:type="spellEnd"/>
      <w:r w:rsidRPr="002906A3">
        <w:rPr>
          <w:rFonts w:eastAsia="Calibri"/>
          <w:bCs/>
        </w:rPr>
        <w:t xml:space="preserve">, </w:t>
      </w:r>
      <w:proofErr w:type="spellStart"/>
      <w:r w:rsidRPr="002906A3">
        <w:rPr>
          <w:rFonts w:eastAsia="Calibri"/>
          <w:bCs/>
        </w:rPr>
        <w:t>Miljacka</w:t>
      </w:r>
      <w:proofErr w:type="spellEnd"/>
      <w:r w:rsidRPr="002906A3">
        <w:rPr>
          <w:rFonts w:eastAsia="Calibri"/>
          <w:bCs/>
        </w:rPr>
        <w:t xml:space="preserve"> köyüne yarım saat uzaklıkta bir çalılık içinde ölü olarak bulunması gösterilebilir. </w:t>
      </w:r>
      <w:proofErr w:type="spellStart"/>
      <w:r w:rsidRPr="002906A3">
        <w:rPr>
          <w:rFonts w:eastAsia="Calibri"/>
          <w:bCs/>
        </w:rPr>
        <w:t>Tripon’un</w:t>
      </w:r>
      <w:proofErr w:type="spellEnd"/>
      <w:r w:rsidRPr="002906A3">
        <w:rPr>
          <w:rFonts w:eastAsia="Calibri"/>
          <w:bCs/>
        </w:rPr>
        <w:t xml:space="preserve"> yapılan keşif ve tahririnde alkol</w:t>
      </w:r>
      <w:r w:rsidRPr="002906A3">
        <w:rPr>
          <w:rFonts w:eastAsia="Calibri"/>
          <w:bCs/>
          <w:vertAlign w:val="superscript"/>
        </w:rPr>
        <w:footnoteReference w:id="61"/>
      </w:r>
      <w:r w:rsidRPr="002906A3">
        <w:rPr>
          <w:rFonts w:eastAsia="Calibri"/>
          <w:bCs/>
        </w:rPr>
        <w:t xml:space="preserve"> bağımlılığının zihinde yarattığı bulanıklık nedeniyle kazara düşerek öldüğü anlaşılmış ve </w:t>
      </w:r>
      <w:proofErr w:type="spellStart"/>
      <w:r w:rsidRPr="002906A3">
        <w:rPr>
          <w:rFonts w:eastAsia="Calibri"/>
          <w:bCs/>
        </w:rPr>
        <w:t>Tripon’un</w:t>
      </w:r>
      <w:proofErr w:type="spellEnd"/>
      <w:r w:rsidRPr="002906A3">
        <w:rPr>
          <w:rFonts w:eastAsia="Calibri"/>
          <w:bCs/>
        </w:rPr>
        <w:t xml:space="preserve"> ailesi de alkol yüzünden vefat ettiğini ifade ettiklerinden </w:t>
      </w:r>
      <w:proofErr w:type="spellStart"/>
      <w:proofErr w:type="gramStart"/>
      <w:r w:rsidRPr="002906A3">
        <w:rPr>
          <w:rFonts w:eastAsia="Calibri"/>
          <w:bCs/>
        </w:rPr>
        <w:t>şer‘</w:t>
      </w:r>
      <w:proofErr w:type="gramEnd"/>
      <w:r w:rsidRPr="002906A3">
        <w:rPr>
          <w:rFonts w:eastAsia="Calibri"/>
          <w:bCs/>
        </w:rPr>
        <w:t>an</w:t>
      </w:r>
      <w:proofErr w:type="spellEnd"/>
      <w:r w:rsidRPr="002906A3">
        <w:rPr>
          <w:rFonts w:eastAsia="Calibri"/>
          <w:bCs/>
        </w:rPr>
        <w:t xml:space="preserve"> ve kanunen kimseye bir ceza yaptırımı gerekmemiştir.</w:t>
      </w:r>
      <w:r w:rsidRPr="002906A3">
        <w:rPr>
          <w:rFonts w:eastAsia="Calibri"/>
          <w:bCs/>
          <w:vertAlign w:val="superscript"/>
        </w:rPr>
        <w:footnoteReference w:id="62"/>
      </w:r>
      <w:r w:rsidRPr="002906A3">
        <w:rPr>
          <w:rFonts w:eastAsia="Calibri"/>
          <w:bCs/>
        </w:rPr>
        <w:t xml:space="preserve"> Benzer bir vaka aslen </w:t>
      </w:r>
      <w:proofErr w:type="spellStart"/>
      <w:r w:rsidRPr="002906A3">
        <w:rPr>
          <w:rFonts w:eastAsia="Calibri"/>
          <w:bCs/>
        </w:rPr>
        <w:t>Travnik</w:t>
      </w:r>
      <w:proofErr w:type="spellEnd"/>
      <w:r w:rsidRPr="002906A3">
        <w:rPr>
          <w:rFonts w:eastAsia="Calibri"/>
          <w:bCs/>
        </w:rPr>
        <w:t xml:space="preserve"> kazalı olup İstanbul’da Molla </w:t>
      </w:r>
      <w:proofErr w:type="spellStart"/>
      <w:r w:rsidRPr="002906A3">
        <w:rPr>
          <w:rFonts w:eastAsia="Calibri"/>
          <w:bCs/>
        </w:rPr>
        <w:t>Gürani</w:t>
      </w:r>
      <w:proofErr w:type="spellEnd"/>
      <w:r w:rsidRPr="002906A3">
        <w:rPr>
          <w:rFonts w:eastAsia="Calibri"/>
          <w:bCs/>
        </w:rPr>
        <w:t xml:space="preserve"> mahallesinde ikamet eden kahveci Mustafa Efendi’nin vefatıdır. Mustafa Efendi ziyadesiyle sarhoş iken Galata’da Kireç Kapısı yakınlarında saat beş civarı yere düşmüş, derhal Zaptiye merkezine götürülse de üç saat sonra vefat etmiştir. Yapılan muayenesinde boğma veya yaralamaya dair bir ize rastlanılmamış, soluğunun kesilerek beynine fenalık gelmesi neticesinde düşerek öldüğüne hükmedilmiştir.</w:t>
      </w:r>
      <w:r w:rsidRPr="002906A3">
        <w:rPr>
          <w:rStyle w:val="DipnotBavurusu"/>
          <w:rFonts w:eastAsia="Calibri"/>
          <w:bCs/>
        </w:rPr>
        <w:footnoteReference w:id="63"/>
      </w:r>
    </w:p>
    <w:p w14:paraId="0E8B8543" w14:textId="77777777" w:rsidR="00BA67A6" w:rsidRDefault="00BA67A6" w:rsidP="00BA67A6">
      <w:pPr>
        <w:jc w:val="both"/>
        <w:rPr>
          <w:rFonts w:eastAsia="Calibri"/>
          <w:bCs/>
        </w:rPr>
      </w:pPr>
    </w:p>
    <w:p w14:paraId="2ED24C45" w14:textId="598997A5" w:rsidR="001E7189" w:rsidRPr="002906A3" w:rsidRDefault="001E7189" w:rsidP="00BA67A6">
      <w:pPr>
        <w:jc w:val="both"/>
        <w:rPr>
          <w:rFonts w:eastAsia="Calibri"/>
          <w:bCs/>
        </w:rPr>
      </w:pPr>
      <w:r w:rsidRPr="002906A3">
        <w:rPr>
          <w:rFonts w:eastAsia="Calibri"/>
          <w:bCs/>
        </w:rPr>
        <w:t xml:space="preserve">Bir diğer kazara ölüm sebebi yanarak gerçekleşen ölümlerdir. </w:t>
      </w:r>
      <w:proofErr w:type="spellStart"/>
      <w:r w:rsidRPr="002906A3">
        <w:rPr>
          <w:rFonts w:eastAsia="Calibri"/>
          <w:bCs/>
        </w:rPr>
        <w:t>Travnikli</w:t>
      </w:r>
      <w:proofErr w:type="spellEnd"/>
      <w:r w:rsidRPr="002906A3">
        <w:rPr>
          <w:rFonts w:eastAsia="Calibri"/>
          <w:bCs/>
        </w:rPr>
        <w:t xml:space="preserve"> </w:t>
      </w:r>
      <w:proofErr w:type="spellStart"/>
      <w:r w:rsidRPr="002906A3">
        <w:rPr>
          <w:rFonts w:eastAsia="Calibri"/>
          <w:bCs/>
        </w:rPr>
        <w:t>Çolakoviç</w:t>
      </w:r>
      <w:proofErr w:type="spellEnd"/>
      <w:r w:rsidRPr="002906A3">
        <w:rPr>
          <w:rFonts w:eastAsia="Calibri"/>
          <w:bCs/>
        </w:rPr>
        <w:t xml:space="preserve"> </w:t>
      </w:r>
      <w:proofErr w:type="spellStart"/>
      <w:r w:rsidRPr="002906A3">
        <w:rPr>
          <w:rFonts w:eastAsia="Calibri"/>
          <w:bCs/>
        </w:rPr>
        <w:t>Niko’nun</w:t>
      </w:r>
      <w:proofErr w:type="spellEnd"/>
      <w:r w:rsidRPr="002906A3">
        <w:rPr>
          <w:rFonts w:eastAsia="Calibri"/>
          <w:bCs/>
        </w:rPr>
        <w:t xml:space="preserve"> tarlasındaki kulübede bulunan çobanları on sekiz yaşlarındaki </w:t>
      </w:r>
      <w:proofErr w:type="spellStart"/>
      <w:r w:rsidRPr="002906A3">
        <w:rPr>
          <w:rFonts w:eastAsia="Calibri"/>
          <w:bCs/>
        </w:rPr>
        <w:t>Niko</w:t>
      </w:r>
      <w:proofErr w:type="spellEnd"/>
      <w:r w:rsidRPr="002906A3">
        <w:rPr>
          <w:rFonts w:eastAsia="Calibri"/>
          <w:bCs/>
        </w:rPr>
        <w:t xml:space="preserve"> ve </w:t>
      </w:r>
      <w:proofErr w:type="spellStart"/>
      <w:r w:rsidRPr="002906A3">
        <w:rPr>
          <w:rFonts w:eastAsia="Calibri"/>
          <w:bCs/>
        </w:rPr>
        <w:t>İvo</w:t>
      </w:r>
      <w:proofErr w:type="spellEnd"/>
      <w:r w:rsidRPr="002906A3">
        <w:rPr>
          <w:rFonts w:eastAsia="Calibri"/>
          <w:bCs/>
        </w:rPr>
        <w:t xml:space="preserve"> beraber mısır haşlamak için kazanda su kaynatmışlar, bu esnada şakalaşırken </w:t>
      </w:r>
      <w:proofErr w:type="spellStart"/>
      <w:r w:rsidRPr="002906A3">
        <w:rPr>
          <w:rFonts w:eastAsia="Calibri"/>
          <w:bCs/>
        </w:rPr>
        <w:t>kazâen</w:t>
      </w:r>
      <w:proofErr w:type="spellEnd"/>
      <w:r w:rsidRPr="002906A3">
        <w:rPr>
          <w:rFonts w:eastAsia="Calibri"/>
          <w:bCs/>
        </w:rPr>
        <w:t xml:space="preserve"> kaynar kazanın içine düşmüşlerdir. </w:t>
      </w:r>
      <w:proofErr w:type="spellStart"/>
      <w:r w:rsidRPr="002906A3">
        <w:rPr>
          <w:rFonts w:eastAsia="Calibri"/>
          <w:bCs/>
        </w:rPr>
        <w:t>Niko’nun</w:t>
      </w:r>
      <w:proofErr w:type="spellEnd"/>
      <w:r w:rsidRPr="002906A3">
        <w:rPr>
          <w:rFonts w:eastAsia="Calibri"/>
          <w:bCs/>
        </w:rPr>
        <w:t xml:space="preserve"> sıcak sudan beli ve ayakları ciddi derecede haşlanırken </w:t>
      </w:r>
      <w:proofErr w:type="spellStart"/>
      <w:r w:rsidRPr="002906A3">
        <w:rPr>
          <w:rFonts w:eastAsia="Calibri"/>
          <w:bCs/>
        </w:rPr>
        <w:t>İvo’nun</w:t>
      </w:r>
      <w:proofErr w:type="spellEnd"/>
      <w:r w:rsidRPr="002906A3">
        <w:rPr>
          <w:rFonts w:eastAsia="Calibri"/>
          <w:bCs/>
        </w:rPr>
        <w:t xml:space="preserve"> da sağ eli yanmıştır. </w:t>
      </w:r>
      <w:proofErr w:type="spellStart"/>
      <w:r w:rsidRPr="002906A3">
        <w:rPr>
          <w:rFonts w:eastAsia="Calibri"/>
          <w:bCs/>
        </w:rPr>
        <w:t>Niko’nun</w:t>
      </w:r>
      <w:proofErr w:type="spellEnd"/>
      <w:r w:rsidRPr="002906A3">
        <w:rPr>
          <w:rFonts w:eastAsia="Calibri"/>
          <w:bCs/>
        </w:rPr>
        <w:t xml:space="preserve"> ölümü üzerine hadise mahkemeye bildirilmiştir. Yapılan keşif ve soruşturmada kazayla gerçekleşen hadisede </w:t>
      </w:r>
      <w:proofErr w:type="spellStart"/>
      <w:r w:rsidRPr="002906A3">
        <w:rPr>
          <w:rFonts w:eastAsia="Calibri"/>
          <w:bCs/>
        </w:rPr>
        <w:t>Niko’nun</w:t>
      </w:r>
      <w:proofErr w:type="spellEnd"/>
      <w:r w:rsidRPr="002906A3">
        <w:rPr>
          <w:rFonts w:eastAsia="Calibri"/>
          <w:bCs/>
        </w:rPr>
        <w:t xml:space="preserve"> sıcak suya daha fazla temas eden kişi olduğundan yarasının iltihap kapmasıyla on gün sonra öldüğü </w:t>
      </w:r>
      <w:proofErr w:type="spellStart"/>
      <w:r w:rsidRPr="002906A3">
        <w:rPr>
          <w:rFonts w:eastAsia="Calibri"/>
          <w:bCs/>
        </w:rPr>
        <w:t>İvo</w:t>
      </w:r>
      <w:proofErr w:type="spellEnd"/>
      <w:r w:rsidRPr="002906A3">
        <w:rPr>
          <w:rFonts w:eastAsia="Calibri"/>
          <w:bCs/>
        </w:rPr>
        <w:t xml:space="preserve"> ile olayı gören </w:t>
      </w:r>
      <w:proofErr w:type="spellStart"/>
      <w:r w:rsidRPr="002906A3">
        <w:rPr>
          <w:rFonts w:eastAsia="Calibri"/>
          <w:bCs/>
        </w:rPr>
        <w:t>Oraşa’lı</w:t>
      </w:r>
      <w:proofErr w:type="spellEnd"/>
      <w:r w:rsidRPr="002906A3">
        <w:rPr>
          <w:rFonts w:eastAsia="Calibri"/>
          <w:bCs/>
        </w:rPr>
        <w:t xml:space="preserve"> </w:t>
      </w:r>
      <w:proofErr w:type="spellStart"/>
      <w:r w:rsidRPr="002906A3">
        <w:rPr>
          <w:rFonts w:eastAsia="Calibri"/>
          <w:bCs/>
        </w:rPr>
        <w:t>İstepan</w:t>
      </w:r>
      <w:proofErr w:type="spellEnd"/>
      <w:r w:rsidRPr="002906A3">
        <w:rPr>
          <w:rFonts w:eastAsia="Calibri"/>
          <w:bCs/>
        </w:rPr>
        <w:t xml:space="preserve">, </w:t>
      </w:r>
      <w:proofErr w:type="spellStart"/>
      <w:r w:rsidRPr="002906A3">
        <w:rPr>
          <w:rFonts w:eastAsia="Calibri"/>
          <w:bCs/>
        </w:rPr>
        <w:t>Yozib</w:t>
      </w:r>
      <w:proofErr w:type="spellEnd"/>
      <w:r w:rsidRPr="002906A3">
        <w:rPr>
          <w:rFonts w:eastAsia="Calibri"/>
          <w:bCs/>
        </w:rPr>
        <w:t xml:space="preserve"> ve İvan’ın ifadelerinden anlaşılmıştır. </w:t>
      </w:r>
      <w:proofErr w:type="spellStart"/>
      <w:r w:rsidRPr="002906A3">
        <w:rPr>
          <w:rFonts w:eastAsia="Calibri"/>
          <w:bCs/>
        </w:rPr>
        <w:t>İvo</w:t>
      </w:r>
      <w:proofErr w:type="spellEnd"/>
      <w:r w:rsidRPr="002906A3">
        <w:rPr>
          <w:rFonts w:eastAsia="Calibri"/>
          <w:bCs/>
        </w:rPr>
        <w:t xml:space="preserve"> sorgusunda otururken </w:t>
      </w:r>
      <w:proofErr w:type="spellStart"/>
      <w:r w:rsidRPr="002906A3">
        <w:rPr>
          <w:rFonts w:eastAsia="Calibri"/>
          <w:bCs/>
        </w:rPr>
        <w:t>Niko’nun</w:t>
      </w:r>
      <w:proofErr w:type="spellEnd"/>
      <w:r w:rsidRPr="002906A3">
        <w:rPr>
          <w:rFonts w:eastAsia="Calibri"/>
          <w:bCs/>
        </w:rPr>
        <w:t xml:space="preserve"> şaka olarak kendisinin sırtına binmesi üzerine kalktığını bu sırada beraber kazan yanındaki mısırı almaya davrandıkları esnada ikisinin birden kazana düştüklerini beyan etmiştir. Olay üstüne kazandan kalkan </w:t>
      </w:r>
      <w:proofErr w:type="spellStart"/>
      <w:r w:rsidRPr="002906A3">
        <w:rPr>
          <w:rFonts w:eastAsia="Calibri"/>
          <w:bCs/>
        </w:rPr>
        <w:t>Niko</w:t>
      </w:r>
      <w:proofErr w:type="spellEnd"/>
      <w:r w:rsidRPr="002906A3">
        <w:rPr>
          <w:rFonts w:eastAsia="Calibri"/>
          <w:bCs/>
        </w:rPr>
        <w:t xml:space="preserve"> kız kardeşinin evine, </w:t>
      </w:r>
      <w:proofErr w:type="spellStart"/>
      <w:r w:rsidRPr="002906A3">
        <w:rPr>
          <w:rFonts w:eastAsia="Calibri"/>
          <w:bCs/>
        </w:rPr>
        <w:t>İvo</w:t>
      </w:r>
      <w:proofErr w:type="spellEnd"/>
      <w:r w:rsidRPr="002906A3">
        <w:rPr>
          <w:rFonts w:eastAsia="Calibri"/>
          <w:bCs/>
        </w:rPr>
        <w:t xml:space="preserve"> ise kendi evine gitmiştir.  </w:t>
      </w:r>
      <w:proofErr w:type="spellStart"/>
      <w:r w:rsidRPr="002906A3">
        <w:rPr>
          <w:rFonts w:eastAsia="Calibri"/>
          <w:bCs/>
        </w:rPr>
        <w:t>Niko</w:t>
      </w:r>
      <w:proofErr w:type="spellEnd"/>
      <w:r w:rsidRPr="002906A3">
        <w:rPr>
          <w:rFonts w:eastAsia="Calibri"/>
          <w:bCs/>
        </w:rPr>
        <w:t xml:space="preserve"> daha sonra yaralarından dolayı ölürken </w:t>
      </w:r>
      <w:proofErr w:type="spellStart"/>
      <w:r w:rsidRPr="002906A3">
        <w:rPr>
          <w:rFonts w:eastAsia="Calibri"/>
          <w:bCs/>
        </w:rPr>
        <w:t>İvo’nun</w:t>
      </w:r>
      <w:proofErr w:type="spellEnd"/>
      <w:r w:rsidRPr="002906A3">
        <w:rPr>
          <w:rFonts w:eastAsia="Calibri"/>
          <w:bCs/>
        </w:rPr>
        <w:t xml:space="preserve"> yaraları bir ayda iyileşmiştir. </w:t>
      </w:r>
      <w:proofErr w:type="spellStart"/>
      <w:r w:rsidRPr="002906A3">
        <w:rPr>
          <w:rFonts w:eastAsia="Calibri"/>
          <w:bCs/>
        </w:rPr>
        <w:t>Niko’nun</w:t>
      </w:r>
      <w:proofErr w:type="spellEnd"/>
      <w:r w:rsidRPr="002906A3">
        <w:rPr>
          <w:rFonts w:eastAsia="Calibri"/>
          <w:bCs/>
        </w:rPr>
        <w:t xml:space="preserve"> kız kardeşleri Roza, </w:t>
      </w:r>
      <w:proofErr w:type="spellStart"/>
      <w:r w:rsidRPr="002906A3">
        <w:rPr>
          <w:rFonts w:eastAsia="Calibri"/>
          <w:bCs/>
        </w:rPr>
        <w:t>Mare</w:t>
      </w:r>
      <w:proofErr w:type="spellEnd"/>
      <w:r w:rsidRPr="002906A3">
        <w:rPr>
          <w:rFonts w:eastAsia="Calibri"/>
          <w:bCs/>
        </w:rPr>
        <w:t xml:space="preserve"> ve </w:t>
      </w:r>
      <w:proofErr w:type="spellStart"/>
      <w:r w:rsidRPr="002906A3">
        <w:rPr>
          <w:rFonts w:eastAsia="Calibri"/>
          <w:bCs/>
        </w:rPr>
        <w:t>İstana’da</w:t>
      </w:r>
      <w:proofErr w:type="spellEnd"/>
      <w:r w:rsidRPr="002906A3">
        <w:rPr>
          <w:rFonts w:eastAsia="Calibri"/>
          <w:bCs/>
        </w:rPr>
        <w:t xml:space="preserve"> ifadelerinde olayın kazayla gerçekleştiğini onaylayarak kimseden şüphe ve davaları olmadığını beyan etmişlerdir.</w:t>
      </w:r>
      <w:r w:rsidRPr="002906A3">
        <w:rPr>
          <w:rFonts w:eastAsia="Calibri"/>
          <w:bCs/>
          <w:vertAlign w:val="superscript"/>
        </w:rPr>
        <w:footnoteReference w:id="64"/>
      </w:r>
      <w:r w:rsidRPr="002906A3">
        <w:rPr>
          <w:rFonts w:eastAsia="Calibri"/>
          <w:bCs/>
        </w:rPr>
        <w:t xml:space="preserve"> Diğer bir vakada ise Saray kazası Hamza Bey köyü sakinlerinden </w:t>
      </w:r>
      <w:proofErr w:type="spellStart"/>
      <w:r w:rsidRPr="002906A3">
        <w:rPr>
          <w:rFonts w:eastAsia="Calibri"/>
          <w:bCs/>
        </w:rPr>
        <w:t>Soçiniç</w:t>
      </w:r>
      <w:proofErr w:type="spellEnd"/>
      <w:r w:rsidRPr="002906A3">
        <w:rPr>
          <w:rFonts w:eastAsia="Calibri"/>
          <w:bCs/>
        </w:rPr>
        <w:t xml:space="preserve"> Salih’in evinde yangın çıkmış, yirmi yaşındaki kızı ile kardeşi Ahmet’in yirmi yaşlarındaki oğlu evden eşya kurtarmak için içeriye girmişlerdir. Fakat evden çıkamayarak yanarak vefat etmişlerdir. İkisinin de ölümü kaza </w:t>
      </w:r>
      <w:proofErr w:type="spellStart"/>
      <w:r w:rsidRPr="002906A3">
        <w:rPr>
          <w:rFonts w:eastAsia="Calibri"/>
          <w:bCs/>
        </w:rPr>
        <w:t>nevʻindendir</w:t>
      </w:r>
      <w:proofErr w:type="spellEnd"/>
      <w:r w:rsidRPr="002906A3">
        <w:rPr>
          <w:rFonts w:eastAsia="Calibri"/>
          <w:bCs/>
        </w:rPr>
        <w:t>.</w:t>
      </w:r>
      <w:r w:rsidRPr="002906A3">
        <w:rPr>
          <w:rFonts w:eastAsia="Calibri"/>
          <w:bCs/>
          <w:vertAlign w:val="superscript"/>
        </w:rPr>
        <w:footnoteReference w:id="65"/>
      </w:r>
    </w:p>
    <w:p w14:paraId="7BD4471A" w14:textId="77777777" w:rsidR="00BA67A6" w:rsidRDefault="00BA67A6" w:rsidP="00BA67A6">
      <w:pPr>
        <w:jc w:val="both"/>
        <w:rPr>
          <w:rFonts w:eastAsia="Calibri"/>
          <w:bCs/>
        </w:rPr>
      </w:pPr>
    </w:p>
    <w:p w14:paraId="54C4BEE5" w14:textId="19841988" w:rsidR="001E7189" w:rsidRPr="002906A3" w:rsidRDefault="001E7189" w:rsidP="00BA67A6">
      <w:pPr>
        <w:jc w:val="both"/>
        <w:rPr>
          <w:rFonts w:eastAsia="Calibri"/>
          <w:bCs/>
        </w:rPr>
      </w:pPr>
      <w:r w:rsidRPr="002906A3">
        <w:rPr>
          <w:rFonts w:eastAsia="Calibri"/>
          <w:bCs/>
        </w:rPr>
        <w:t xml:space="preserve">İşlediği suçun cezasını çekmemek için kolluk kuvvetlerine teslim olmayarak kaçan bir suçlunun kazayla vefatına dair örnek mevcuttur. Bir Avusturyalının çalınan kısrağının </w:t>
      </w:r>
      <w:proofErr w:type="spellStart"/>
      <w:r w:rsidRPr="002906A3">
        <w:rPr>
          <w:rFonts w:eastAsia="Calibri"/>
          <w:bCs/>
        </w:rPr>
        <w:t>Krupa</w:t>
      </w:r>
      <w:proofErr w:type="spellEnd"/>
      <w:r w:rsidRPr="002906A3">
        <w:rPr>
          <w:rFonts w:eastAsia="Calibri"/>
          <w:bCs/>
        </w:rPr>
        <w:t xml:space="preserve"> kazası </w:t>
      </w:r>
      <w:proofErr w:type="spellStart"/>
      <w:r w:rsidRPr="002906A3">
        <w:rPr>
          <w:rFonts w:eastAsia="Calibri"/>
          <w:bCs/>
        </w:rPr>
        <w:t>Bojim</w:t>
      </w:r>
      <w:proofErr w:type="spellEnd"/>
      <w:r w:rsidRPr="002906A3">
        <w:rPr>
          <w:rFonts w:eastAsia="Calibri"/>
          <w:bCs/>
        </w:rPr>
        <w:t xml:space="preserve"> mahallesi ahalisinden Derviş </w:t>
      </w:r>
      <w:proofErr w:type="spellStart"/>
      <w:r w:rsidRPr="002906A3">
        <w:rPr>
          <w:rFonts w:eastAsia="Calibri"/>
          <w:bCs/>
        </w:rPr>
        <w:t>Emriç’in</w:t>
      </w:r>
      <w:proofErr w:type="spellEnd"/>
      <w:r w:rsidRPr="002906A3">
        <w:rPr>
          <w:rFonts w:eastAsia="Calibri"/>
          <w:bCs/>
        </w:rPr>
        <w:t xml:space="preserve"> oğlu </w:t>
      </w:r>
      <w:proofErr w:type="spellStart"/>
      <w:r w:rsidRPr="002906A3">
        <w:rPr>
          <w:rFonts w:eastAsia="Calibri"/>
          <w:bCs/>
        </w:rPr>
        <w:t>Şomo’da</w:t>
      </w:r>
      <w:proofErr w:type="spellEnd"/>
      <w:r w:rsidRPr="002906A3">
        <w:rPr>
          <w:rFonts w:eastAsia="Calibri"/>
          <w:bCs/>
        </w:rPr>
        <w:t xml:space="preserve"> bulunması üzerine, </w:t>
      </w:r>
      <w:proofErr w:type="spellStart"/>
      <w:r w:rsidRPr="002906A3">
        <w:rPr>
          <w:rFonts w:eastAsia="Calibri"/>
          <w:bCs/>
        </w:rPr>
        <w:t>Şomo</w:t>
      </w:r>
      <w:proofErr w:type="spellEnd"/>
      <w:r w:rsidRPr="002906A3">
        <w:rPr>
          <w:rFonts w:eastAsia="Calibri"/>
          <w:bCs/>
        </w:rPr>
        <w:t xml:space="preserve"> hükümete çağırılsa da 15 Nisan 1864’te gece saat bir sıralarında kasabadan ayrılmak üzere </w:t>
      </w:r>
      <w:proofErr w:type="spellStart"/>
      <w:r w:rsidRPr="002906A3">
        <w:rPr>
          <w:rFonts w:eastAsia="Calibri"/>
          <w:bCs/>
        </w:rPr>
        <w:t>Krupa</w:t>
      </w:r>
      <w:proofErr w:type="spellEnd"/>
      <w:r w:rsidRPr="002906A3">
        <w:rPr>
          <w:rFonts w:eastAsia="Calibri"/>
          <w:bCs/>
        </w:rPr>
        <w:t xml:space="preserve"> kazasındaki köprüden geçmeye çalışırken, köprü muhafızı Zaptiye Hüseyin’in “kimsin” diye defalarca sormasına rağmen cevap vermeyerek firara kalkışmıştır. Zaptiye Hüseyin’in yakalamaya davranmasıyla kaçtığı sırada köprüde ayağı takılarak yere düşen </w:t>
      </w:r>
      <w:proofErr w:type="spellStart"/>
      <w:r w:rsidRPr="002906A3">
        <w:rPr>
          <w:rFonts w:eastAsia="Calibri"/>
          <w:bCs/>
        </w:rPr>
        <w:t>Şomo</w:t>
      </w:r>
      <w:proofErr w:type="spellEnd"/>
      <w:r w:rsidRPr="002906A3">
        <w:rPr>
          <w:rFonts w:eastAsia="Calibri"/>
          <w:bCs/>
        </w:rPr>
        <w:t xml:space="preserve">, üzerindeki tabancasının </w:t>
      </w:r>
      <w:proofErr w:type="spellStart"/>
      <w:r w:rsidRPr="002906A3">
        <w:rPr>
          <w:rFonts w:eastAsia="Calibri"/>
          <w:bCs/>
        </w:rPr>
        <w:t>kazâen</w:t>
      </w:r>
      <w:proofErr w:type="spellEnd"/>
      <w:r w:rsidRPr="002906A3">
        <w:rPr>
          <w:rFonts w:eastAsia="Calibri"/>
          <w:bCs/>
        </w:rPr>
        <w:t xml:space="preserve"> ateş almasıyla sol memesi üzerinden yaralanmıştır. Ölmeden yapılan keşif ve muayenesinde “</w:t>
      </w:r>
      <w:r w:rsidRPr="002906A3">
        <w:rPr>
          <w:rFonts w:eastAsia="Calibri"/>
          <w:bCs/>
          <w:i/>
          <w:iCs/>
        </w:rPr>
        <w:t xml:space="preserve">Taksiratım böyle oldu. Belimde olan tabanca yolda firar ettiğim vakit </w:t>
      </w:r>
      <w:r w:rsidRPr="002906A3">
        <w:rPr>
          <w:rFonts w:eastAsia="Calibri"/>
          <w:bCs/>
          <w:i/>
          <w:iCs/>
        </w:rPr>
        <w:lastRenderedPageBreak/>
        <w:t>ayaklarım kaymış olduğundan düştüğümden ez-kaza boşanıp beni, benim tabancamın kurşunu vurdu. Başka kimseden değildir</w:t>
      </w:r>
      <w:r w:rsidRPr="002906A3">
        <w:rPr>
          <w:rFonts w:eastAsia="Calibri"/>
          <w:bCs/>
        </w:rPr>
        <w:t xml:space="preserve">” diye olayın kendi fiilinden kaynaklandığını ifade etmiştir. </w:t>
      </w:r>
      <w:proofErr w:type="spellStart"/>
      <w:r w:rsidRPr="002906A3">
        <w:rPr>
          <w:rFonts w:eastAsia="Calibri"/>
          <w:bCs/>
        </w:rPr>
        <w:t>Şomo</w:t>
      </w:r>
      <w:proofErr w:type="spellEnd"/>
      <w:r w:rsidRPr="002906A3">
        <w:rPr>
          <w:rFonts w:eastAsia="Calibri"/>
          <w:bCs/>
        </w:rPr>
        <w:t xml:space="preserve"> olaydan on üç saat sonra vefat etmiştir. Zaptiye Hüseyin yapılan sorgusunda olayın </w:t>
      </w:r>
      <w:proofErr w:type="spellStart"/>
      <w:r w:rsidRPr="002906A3">
        <w:rPr>
          <w:rFonts w:eastAsia="Calibri"/>
          <w:bCs/>
        </w:rPr>
        <w:t>kazâen</w:t>
      </w:r>
      <w:proofErr w:type="spellEnd"/>
      <w:r w:rsidRPr="002906A3">
        <w:rPr>
          <w:rFonts w:eastAsia="Calibri"/>
          <w:bCs/>
        </w:rPr>
        <w:t xml:space="preserve"> gerçekleştiğini ifade etmiştir. </w:t>
      </w:r>
      <w:proofErr w:type="spellStart"/>
      <w:r w:rsidRPr="002906A3">
        <w:rPr>
          <w:rFonts w:eastAsia="Calibri"/>
          <w:bCs/>
        </w:rPr>
        <w:t>Şomo’nun</w:t>
      </w:r>
      <w:proofErr w:type="spellEnd"/>
      <w:r w:rsidRPr="002906A3">
        <w:rPr>
          <w:rFonts w:eastAsia="Calibri"/>
          <w:bCs/>
        </w:rPr>
        <w:t xml:space="preserve"> varisleri ise sorgularında </w:t>
      </w:r>
      <w:proofErr w:type="spellStart"/>
      <w:r w:rsidRPr="002906A3">
        <w:rPr>
          <w:rFonts w:eastAsia="Calibri"/>
          <w:bCs/>
        </w:rPr>
        <w:t>Şomo’nun</w:t>
      </w:r>
      <w:proofErr w:type="spellEnd"/>
      <w:r w:rsidRPr="002906A3">
        <w:rPr>
          <w:rFonts w:eastAsia="Calibri"/>
          <w:bCs/>
        </w:rPr>
        <w:t xml:space="preserve"> olay günü, ertesi gün hükümete gitmek üzere </w:t>
      </w:r>
      <w:proofErr w:type="spellStart"/>
      <w:r w:rsidRPr="002906A3">
        <w:rPr>
          <w:rFonts w:eastAsia="Calibri"/>
          <w:bCs/>
        </w:rPr>
        <w:t>Naib</w:t>
      </w:r>
      <w:proofErr w:type="spellEnd"/>
      <w:r w:rsidRPr="002906A3">
        <w:rPr>
          <w:rFonts w:eastAsia="Calibri"/>
          <w:bCs/>
        </w:rPr>
        <w:t xml:space="preserve"> Ahmed Efendi’nin evinden ayrıldığını ve arkadaşı Ali’nin evine yatmaya gitme niyetiyle mevzu bahis köprüden geçmek istediğini beyan etmişlerdir. İddialarına göre </w:t>
      </w:r>
      <w:proofErr w:type="spellStart"/>
      <w:r w:rsidRPr="002906A3">
        <w:rPr>
          <w:rFonts w:eastAsia="Calibri"/>
          <w:bCs/>
        </w:rPr>
        <w:t>Şomo</w:t>
      </w:r>
      <w:proofErr w:type="spellEnd"/>
      <w:r w:rsidRPr="002906A3">
        <w:rPr>
          <w:rFonts w:eastAsia="Calibri"/>
          <w:bCs/>
        </w:rPr>
        <w:t xml:space="preserve"> köprüden geçerken Zaptiye Hüseyin tarafından kasten arkasından vurulmuştur. Bu iddia üzerine mesele tekrar tetkik edilmiştir. </w:t>
      </w:r>
      <w:proofErr w:type="spellStart"/>
      <w:r w:rsidRPr="002906A3">
        <w:rPr>
          <w:rFonts w:eastAsia="Calibri"/>
          <w:bCs/>
        </w:rPr>
        <w:t>Şomo’nun</w:t>
      </w:r>
      <w:proofErr w:type="spellEnd"/>
      <w:r w:rsidRPr="002906A3">
        <w:rPr>
          <w:rFonts w:eastAsia="Calibri"/>
          <w:bCs/>
        </w:rPr>
        <w:t xml:space="preserve"> muayenesinde kurşunun göğsüne arkadan değil, önden girerek sırtından çıktığı zaten görülmüştü. Ahmed Efendi ile Ali de sorgularında </w:t>
      </w:r>
      <w:proofErr w:type="spellStart"/>
      <w:r w:rsidRPr="002906A3">
        <w:rPr>
          <w:rFonts w:eastAsia="Calibri"/>
          <w:bCs/>
        </w:rPr>
        <w:t>Şomo’nun</w:t>
      </w:r>
      <w:proofErr w:type="spellEnd"/>
      <w:r w:rsidRPr="002906A3">
        <w:rPr>
          <w:rFonts w:eastAsia="Calibri"/>
          <w:bCs/>
        </w:rPr>
        <w:t xml:space="preserve"> kendi evlerine uğramadığını beyan etmiş, köprü civarındaki ahali de olayın </w:t>
      </w:r>
      <w:proofErr w:type="spellStart"/>
      <w:r w:rsidRPr="002906A3">
        <w:rPr>
          <w:rFonts w:eastAsia="Calibri"/>
          <w:bCs/>
        </w:rPr>
        <w:t>kazâen</w:t>
      </w:r>
      <w:proofErr w:type="spellEnd"/>
      <w:r w:rsidRPr="002906A3">
        <w:rPr>
          <w:rFonts w:eastAsia="Calibri"/>
          <w:bCs/>
        </w:rPr>
        <w:t xml:space="preserve"> </w:t>
      </w:r>
      <w:proofErr w:type="spellStart"/>
      <w:r w:rsidRPr="002906A3">
        <w:rPr>
          <w:rFonts w:eastAsia="Calibri"/>
          <w:bCs/>
        </w:rPr>
        <w:t>Şomo’dan</w:t>
      </w:r>
      <w:proofErr w:type="spellEnd"/>
      <w:r w:rsidRPr="002906A3">
        <w:rPr>
          <w:rFonts w:eastAsia="Calibri"/>
          <w:bCs/>
        </w:rPr>
        <w:t xml:space="preserve"> kaynaklandığını beyan etmişlerdir. Keza </w:t>
      </w:r>
      <w:proofErr w:type="spellStart"/>
      <w:r w:rsidRPr="002906A3">
        <w:rPr>
          <w:rFonts w:eastAsia="Calibri"/>
          <w:bCs/>
        </w:rPr>
        <w:t>Şomo’nun</w:t>
      </w:r>
      <w:proofErr w:type="spellEnd"/>
      <w:r w:rsidRPr="002906A3">
        <w:rPr>
          <w:rFonts w:eastAsia="Calibri"/>
          <w:bCs/>
        </w:rPr>
        <w:t xml:space="preserve"> hayattayken alınan ifadesi ile de olayın cinayet olmadığı anlaşılmıştır. Zaten firara kalkışan hırsızlık suçlusu </w:t>
      </w:r>
      <w:proofErr w:type="spellStart"/>
      <w:r w:rsidRPr="002906A3">
        <w:rPr>
          <w:rFonts w:eastAsia="Calibri"/>
          <w:bCs/>
        </w:rPr>
        <w:t>Şomo</w:t>
      </w:r>
      <w:proofErr w:type="spellEnd"/>
      <w:r w:rsidRPr="002906A3">
        <w:rPr>
          <w:rFonts w:eastAsia="Calibri"/>
          <w:bCs/>
        </w:rPr>
        <w:t xml:space="preserve"> Zaptiye Hüseyin tarafından vurulmuş olsaydı bile 1858 Ceza Kanunu’nun 189. maddesi gereğince ceza almayacaktı.</w:t>
      </w:r>
      <w:r w:rsidRPr="002906A3">
        <w:rPr>
          <w:rFonts w:eastAsia="Calibri"/>
          <w:bCs/>
          <w:vertAlign w:val="superscript"/>
        </w:rPr>
        <w:footnoteReference w:id="66"/>
      </w:r>
    </w:p>
    <w:p w14:paraId="5B389AAD" w14:textId="77777777" w:rsidR="00BA67A6" w:rsidRDefault="00BA67A6" w:rsidP="00BA67A6">
      <w:pPr>
        <w:jc w:val="both"/>
        <w:rPr>
          <w:rFonts w:eastAsia="Calibri"/>
          <w:bCs/>
        </w:rPr>
      </w:pPr>
    </w:p>
    <w:p w14:paraId="1ADC2A24" w14:textId="19B8A257" w:rsidR="001E7189" w:rsidRDefault="001E7189" w:rsidP="00BA67A6">
      <w:pPr>
        <w:jc w:val="both"/>
        <w:rPr>
          <w:rFonts w:eastAsia="Calibri"/>
          <w:bCs/>
        </w:rPr>
      </w:pPr>
      <w:r w:rsidRPr="002906A3">
        <w:rPr>
          <w:rFonts w:eastAsia="Calibri"/>
          <w:bCs/>
        </w:rPr>
        <w:t xml:space="preserve">Cinayet suçu olduğu şüphesiyle </w:t>
      </w:r>
      <w:proofErr w:type="gramStart"/>
      <w:r w:rsidRPr="002906A3">
        <w:rPr>
          <w:rFonts w:eastAsia="Calibri"/>
          <w:bCs/>
        </w:rPr>
        <w:t>şer‘</w:t>
      </w:r>
      <w:proofErr w:type="gramEnd"/>
      <w:r w:rsidRPr="002906A3">
        <w:rPr>
          <w:rFonts w:eastAsia="Calibri"/>
          <w:bCs/>
        </w:rPr>
        <w:t xml:space="preserve">i ve </w:t>
      </w:r>
      <w:proofErr w:type="spellStart"/>
      <w:r w:rsidRPr="002906A3">
        <w:rPr>
          <w:rFonts w:eastAsia="Calibri"/>
          <w:bCs/>
        </w:rPr>
        <w:t>nizâmî</w:t>
      </w:r>
      <w:proofErr w:type="spellEnd"/>
      <w:r w:rsidRPr="002906A3">
        <w:rPr>
          <w:rFonts w:eastAsia="Calibri"/>
          <w:bCs/>
        </w:rPr>
        <w:t xml:space="preserve"> mahkemesi görülen bazı ölüm vakalarının soruşturması yapıldığında </w:t>
      </w:r>
      <w:proofErr w:type="spellStart"/>
      <w:r w:rsidRPr="002906A3">
        <w:rPr>
          <w:rFonts w:eastAsia="Calibri"/>
          <w:bCs/>
        </w:rPr>
        <w:t>kazaên</w:t>
      </w:r>
      <w:proofErr w:type="spellEnd"/>
      <w:r w:rsidRPr="002906A3">
        <w:rPr>
          <w:rFonts w:eastAsia="Calibri"/>
          <w:bCs/>
        </w:rPr>
        <w:t xml:space="preserve"> gerçekleştiğinin anlaşıldığı bazı örnekler de mevcuttur. İlk örnekte Mostar’ın Karagöz Bey mahallesinden </w:t>
      </w:r>
      <w:proofErr w:type="spellStart"/>
      <w:r w:rsidRPr="002906A3">
        <w:rPr>
          <w:rFonts w:eastAsia="Calibri"/>
          <w:bCs/>
        </w:rPr>
        <w:t>Barişiç</w:t>
      </w:r>
      <w:proofErr w:type="spellEnd"/>
      <w:r w:rsidRPr="002906A3">
        <w:rPr>
          <w:rFonts w:eastAsia="Calibri"/>
          <w:bCs/>
        </w:rPr>
        <w:t xml:space="preserve"> </w:t>
      </w:r>
      <w:proofErr w:type="spellStart"/>
      <w:r w:rsidRPr="002906A3">
        <w:rPr>
          <w:rFonts w:eastAsia="Calibri"/>
          <w:bCs/>
        </w:rPr>
        <w:t>İskepan’ın</w:t>
      </w:r>
      <w:proofErr w:type="spellEnd"/>
      <w:r w:rsidRPr="002906A3">
        <w:rPr>
          <w:rFonts w:eastAsia="Calibri"/>
          <w:bCs/>
        </w:rPr>
        <w:t xml:space="preserve"> varisleri, katili olduğu iddiasıyla </w:t>
      </w:r>
      <w:proofErr w:type="spellStart"/>
      <w:r w:rsidRPr="002906A3">
        <w:rPr>
          <w:rFonts w:eastAsia="Calibri"/>
          <w:bCs/>
        </w:rPr>
        <w:t>Kavasbaşiç</w:t>
      </w:r>
      <w:proofErr w:type="spellEnd"/>
      <w:r w:rsidRPr="002906A3">
        <w:rPr>
          <w:rFonts w:eastAsia="Calibri"/>
          <w:bCs/>
        </w:rPr>
        <w:t xml:space="preserve"> Ahmed’den davacı olmuşlardır. </w:t>
      </w:r>
      <w:proofErr w:type="spellStart"/>
      <w:r w:rsidRPr="002906A3">
        <w:rPr>
          <w:rFonts w:eastAsia="Calibri"/>
          <w:bCs/>
        </w:rPr>
        <w:t>Şerʻi</w:t>
      </w:r>
      <w:proofErr w:type="spellEnd"/>
      <w:r w:rsidRPr="002906A3">
        <w:rPr>
          <w:rFonts w:eastAsia="Calibri"/>
          <w:bCs/>
        </w:rPr>
        <w:t xml:space="preserve"> mahkemede davacılar iddialarını delille ispat edemediği gibi iddiayı inkâr eden davalı Ahmed’e yemin teklifinde de bulunmamışlardır. Bunun üzerine kadı davacıları mahkemeye delil getirmedikçe veya davalıya yemin teklifinde bulunmadıkça </w:t>
      </w:r>
      <w:proofErr w:type="spellStart"/>
      <w:r w:rsidRPr="002906A3">
        <w:rPr>
          <w:rFonts w:eastAsia="Calibri"/>
          <w:bCs/>
        </w:rPr>
        <w:t>muʻârazadan</w:t>
      </w:r>
      <w:proofErr w:type="spellEnd"/>
      <w:r w:rsidRPr="002906A3">
        <w:rPr>
          <w:rFonts w:eastAsia="Calibri"/>
          <w:bCs/>
        </w:rPr>
        <w:t xml:space="preserve"> menetmiştir. Nizamiye mahkemesinin soruşturmasında ise </w:t>
      </w:r>
      <w:proofErr w:type="spellStart"/>
      <w:r w:rsidRPr="002906A3">
        <w:rPr>
          <w:rFonts w:eastAsia="Calibri"/>
          <w:bCs/>
        </w:rPr>
        <w:t>İskepan’ın</w:t>
      </w:r>
      <w:proofErr w:type="spellEnd"/>
      <w:r w:rsidRPr="002906A3">
        <w:rPr>
          <w:rFonts w:eastAsia="Calibri"/>
          <w:bCs/>
        </w:rPr>
        <w:t xml:space="preserve"> oldukça sarhoş vaziyette elinde küçük bir bıçakla meyhaneden çıkarak Ahmed’i takip ettiği sırada elindeki bıçağın üstüne düşerek aldığı yara neticesinde vefat ettiği anlaşılmıştır. Hadisede müdahalesi bulunmayan ve masum olduğu ortaya çıkan Ahmed tahliye edilmiştir.</w:t>
      </w:r>
      <w:r w:rsidRPr="002906A3">
        <w:rPr>
          <w:rFonts w:eastAsia="Calibri"/>
          <w:bCs/>
          <w:vertAlign w:val="superscript"/>
        </w:rPr>
        <w:footnoteReference w:id="67"/>
      </w:r>
      <w:r w:rsidRPr="002906A3">
        <w:rPr>
          <w:rFonts w:eastAsia="Calibri"/>
          <w:bCs/>
        </w:rPr>
        <w:t xml:space="preserve"> Bir başka örnek ise Saraybosna kasabalı 90 yaşındaki </w:t>
      </w:r>
      <w:proofErr w:type="spellStart"/>
      <w:r w:rsidRPr="002906A3">
        <w:rPr>
          <w:rFonts w:eastAsia="Calibri"/>
          <w:bCs/>
        </w:rPr>
        <w:t>Mariya</w:t>
      </w:r>
      <w:proofErr w:type="spellEnd"/>
      <w:r w:rsidRPr="002906A3">
        <w:rPr>
          <w:rFonts w:eastAsia="Calibri"/>
          <w:bCs/>
        </w:rPr>
        <w:t xml:space="preserve"> Hatun’un ölümüne Ulahlar </w:t>
      </w:r>
      <w:proofErr w:type="spellStart"/>
      <w:r w:rsidRPr="002906A3">
        <w:rPr>
          <w:rFonts w:eastAsia="Calibri"/>
          <w:bCs/>
        </w:rPr>
        <w:t>karyeli</w:t>
      </w:r>
      <w:proofErr w:type="spellEnd"/>
      <w:r w:rsidRPr="002906A3">
        <w:rPr>
          <w:rFonts w:eastAsia="Calibri"/>
          <w:bCs/>
        </w:rPr>
        <w:t xml:space="preserve"> Ahmed Ağa’nın neden olduğu şüphesiyle durumun mahkemeye </w:t>
      </w:r>
      <w:proofErr w:type="spellStart"/>
      <w:r w:rsidRPr="002906A3">
        <w:rPr>
          <w:rFonts w:eastAsia="Calibri"/>
          <w:bCs/>
        </w:rPr>
        <w:t>intikâl</w:t>
      </w:r>
      <w:proofErr w:type="spellEnd"/>
      <w:r w:rsidRPr="002906A3">
        <w:rPr>
          <w:rFonts w:eastAsia="Calibri"/>
          <w:bCs/>
        </w:rPr>
        <w:t xml:space="preserve"> ettirilmesidir. </w:t>
      </w:r>
      <w:proofErr w:type="spellStart"/>
      <w:r w:rsidRPr="002906A3">
        <w:rPr>
          <w:rFonts w:eastAsia="Calibri"/>
          <w:bCs/>
        </w:rPr>
        <w:t>Şerʻi</w:t>
      </w:r>
      <w:proofErr w:type="spellEnd"/>
      <w:r w:rsidRPr="002906A3">
        <w:rPr>
          <w:rFonts w:eastAsia="Calibri"/>
          <w:bCs/>
        </w:rPr>
        <w:t xml:space="preserve"> mahkemede </w:t>
      </w:r>
      <w:proofErr w:type="spellStart"/>
      <w:r w:rsidRPr="002906A3">
        <w:rPr>
          <w:rFonts w:eastAsia="Calibri"/>
          <w:bCs/>
        </w:rPr>
        <w:t>Mariya’nın</w:t>
      </w:r>
      <w:proofErr w:type="spellEnd"/>
      <w:r w:rsidRPr="002906A3">
        <w:rPr>
          <w:rFonts w:eastAsia="Calibri"/>
          <w:bCs/>
        </w:rPr>
        <w:t xml:space="preserve"> kızı Sara annesinin kendi kendine yüz üstü düşerek kaşı ve yüzünün yaralandığını, ölmeden önce dahi kazayla yere düştüğünü söylediğini ve tedavi altına alındıysa da bir hafta sonra vefat ettiğini ifade etmiştir. Sara, konu hakkında Ahmed Ağa’dan kısas ve diyete dair davalarının olmadığını tescil ettirmiştir. Nizamiye mahkemesinin tahkikatında ise </w:t>
      </w:r>
      <w:proofErr w:type="spellStart"/>
      <w:r w:rsidRPr="002906A3">
        <w:rPr>
          <w:rFonts w:eastAsia="Calibri"/>
          <w:bCs/>
        </w:rPr>
        <w:t>Mariya’nın</w:t>
      </w:r>
      <w:proofErr w:type="spellEnd"/>
      <w:r w:rsidRPr="002906A3">
        <w:rPr>
          <w:rFonts w:eastAsia="Calibri"/>
          <w:bCs/>
        </w:rPr>
        <w:t>, Ahmed Ağa’nın beygirini kendisine dokunmaması için öte tarafa çekerken kazayla yere düşerek yaralandığı ve bir hafta sonra hastanede vefat ettiği ihbar ve delillerden anlaşılmıştır. Masum olduğu ortaya çıkan Ahmed Ağa tahliye edilmiştir.</w:t>
      </w:r>
      <w:r w:rsidRPr="002906A3">
        <w:rPr>
          <w:rStyle w:val="DipnotBavurusu"/>
          <w:rFonts w:eastAsia="Calibri"/>
          <w:bCs/>
        </w:rPr>
        <w:footnoteReference w:id="68"/>
      </w:r>
    </w:p>
    <w:p w14:paraId="01997B8F" w14:textId="77777777" w:rsidR="00BA67A6" w:rsidRPr="002906A3" w:rsidRDefault="00BA67A6" w:rsidP="00BA67A6">
      <w:pPr>
        <w:jc w:val="both"/>
        <w:rPr>
          <w:rFonts w:eastAsia="Calibri"/>
          <w:bCs/>
        </w:rPr>
      </w:pPr>
    </w:p>
    <w:p w14:paraId="0B495D7B" w14:textId="77777777" w:rsidR="001E7189" w:rsidRPr="002906A3" w:rsidRDefault="001E7189" w:rsidP="00BA67A6">
      <w:pPr>
        <w:rPr>
          <w:b/>
        </w:rPr>
      </w:pPr>
      <w:r w:rsidRPr="002906A3">
        <w:rPr>
          <w:b/>
        </w:rPr>
        <w:t>SONUÇ</w:t>
      </w:r>
    </w:p>
    <w:p w14:paraId="1893E638" w14:textId="2592CC18" w:rsidR="001E7189" w:rsidRPr="002906A3" w:rsidRDefault="001E7189" w:rsidP="00BA67A6">
      <w:pPr>
        <w:jc w:val="both"/>
        <w:rPr>
          <w:bCs/>
        </w:rPr>
      </w:pPr>
      <w:r w:rsidRPr="002906A3">
        <w:rPr>
          <w:bCs/>
        </w:rPr>
        <w:t xml:space="preserve">Ölüm her çağ, coğrafya, kültür, medeniyet ve dinde farklı tanım, algı ve anlamlarla ifade edilmiş olsa da her canlı için kaçınılmaz ve yadsınamaz bir gerçekliktir. İnsan aklı ve iradesi </w:t>
      </w:r>
      <w:r w:rsidRPr="002906A3">
        <w:rPr>
          <w:bCs/>
        </w:rPr>
        <w:lastRenderedPageBreak/>
        <w:t xml:space="preserve">nedeniyle sorumluluğu olan, eylemlerinin sonuçlarından sorumlu ve o eylemin sonuçlarından etkilenen bir varlıktır. İnsanlar gündelik hayatlarında dikkat ve tedbir eksiklikleri sonucu güvenliklerini tehlikeye sokacak durum ve tavırlar içinde bulunabilmekte ve bunun neticesinde kaza diye tabir ettiğimiz ölüm, yaralanma, sakatlık, maddi hasar gibi durumlara yol açabilmektedir. Osmanlı Devleti pek çok adli vakanın çözümünde durum tespiti mahiyetindeki keşif ve tahrir uygulamasına başvurmuş, </w:t>
      </w:r>
      <w:proofErr w:type="spellStart"/>
      <w:r w:rsidRPr="002906A3">
        <w:rPr>
          <w:bCs/>
        </w:rPr>
        <w:t>kazâen</w:t>
      </w:r>
      <w:proofErr w:type="spellEnd"/>
      <w:r w:rsidRPr="002906A3">
        <w:rPr>
          <w:bCs/>
        </w:rPr>
        <w:t xml:space="preserve"> ölümlerin de mahkemeye intikal ettirildiği takdirde keşif, tahrir ve soruşturması yapılmıştır. Devlet kazayla olan ölüm hadiselerine dair keşif ve soruşturmalarında vakada kasıt unsuru bulunup bulunmadığını, ölümün gerçekten kaza mı yoksa cinayet mi olduğunu aydınlatmayı amaçlamıştır.</w:t>
      </w:r>
    </w:p>
    <w:p w14:paraId="5CEAC095" w14:textId="77777777" w:rsidR="00BA67A6" w:rsidRDefault="00BA67A6" w:rsidP="00BA67A6">
      <w:pPr>
        <w:jc w:val="both"/>
        <w:rPr>
          <w:bCs/>
        </w:rPr>
      </w:pPr>
    </w:p>
    <w:p w14:paraId="7CF39E19" w14:textId="7825CB07" w:rsidR="001E7189" w:rsidRPr="002906A3" w:rsidRDefault="001E7189" w:rsidP="00BA67A6">
      <w:pPr>
        <w:jc w:val="both"/>
        <w:rPr>
          <w:bCs/>
        </w:rPr>
      </w:pPr>
      <w:r w:rsidRPr="002906A3">
        <w:rPr>
          <w:bCs/>
        </w:rPr>
        <w:t xml:space="preserve">Son dönem Bosna Eyaletinde Meclis-i </w:t>
      </w:r>
      <w:proofErr w:type="spellStart"/>
      <w:r w:rsidRPr="002906A3">
        <w:rPr>
          <w:bCs/>
        </w:rPr>
        <w:t>Vâlâ</w:t>
      </w:r>
      <w:proofErr w:type="spellEnd"/>
      <w:r w:rsidRPr="002906A3">
        <w:rPr>
          <w:bCs/>
        </w:rPr>
        <w:t xml:space="preserve"> kayıtlarına yansıyan </w:t>
      </w:r>
      <w:proofErr w:type="spellStart"/>
      <w:r w:rsidRPr="002906A3">
        <w:rPr>
          <w:bCs/>
        </w:rPr>
        <w:t>kazâen</w:t>
      </w:r>
      <w:proofErr w:type="spellEnd"/>
      <w:r w:rsidRPr="002906A3">
        <w:rPr>
          <w:bCs/>
        </w:rPr>
        <w:t xml:space="preserve"> ölüm vakalarına bakıldığı zaman beklenmedik zamanda gerçekleşen kazalardan farklı yaş, cinsiyet ve din gruplarından insanların etkilendiği görülmüştür. Mağdurların çoğunlukla erkekler olduğu anlaşılmaktadır. </w:t>
      </w:r>
      <w:proofErr w:type="spellStart"/>
      <w:r w:rsidRPr="002906A3">
        <w:rPr>
          <w:bCs/>
        </w:rPr>
        <w:t>Kazâen</w:t>
      </w:r>
      <w:proofErr w:type="spellEnd"/>
      <w:r w:rsidRPr="002906A3">
        <w:rPr>
          <w:bCs/>
        </w:rPr>
        <w:t xml:space="preserve"> ölümler suç unsuru içermediği için bir ceza da söz konusu değildir. Mağdur kendi fiilinin sonucundan kendisi zarar görmüştür. Verilere göre Bosna’da boğulma, kesici-delici silahlarla yaralanma, ateşte veya sıcak suda yanma, toprak, taş gibi yüklerin altında kalma, kuyuda nefes alamama, ağaçtan düşme gibi vehim olaylar neticesinde </w:t>
      </w:r>
      <w:proofErr w:type="spellStart"/>
      <w:r w:rsidRPr="002906A3">
        <w:rPr>
          <w:bCs/>
        </w:rPr>
        <w:t>kazâen</w:t>
      </w:r>
      <w:proofErr w:type="spellEnd"/>
      <w:r w:rsidRPr="002906A3">
        <w:rPr>
          <w:bCs/>
        </w:rPr>
        <w:t xml:space="preserve"> ölümler yaşanmıştır. Bölgede bireylerin </w:t>
      </w:r>
      <w:proofErr w:type="spellStart"/>
      <w:r w:rsidRPr="002906A3">
        <w:rPr>
          <w:bCs/>
        </w:rPr>
        <w:t>kazâen</w:t>
      </w:r>
      <w:proofErr w:type="spellEnd"/>
      <w:r w:rsidRPr="002906A3">
        <w:rPr>
          <w:bCs/>
        </w:rPr>
        <w:t xml:space="preserve"> kendi ölümüyle sonuçlanan daha fazla vaka yaşandığını tahmin etmek zor değildir. Çünkü her kaza vakası mahkeme kayıtlarına yansımadığı gibi, bu çalışmanın temel kaynağı da Meclis-i </w:t>
      </w:r>
      <w:proofErr w:type="spellStart"/>
      <w:r w:rsidRPr="002906A3">
        <w:rPr>
          <w:bCs/>
        </w:rPr>
        <w:t>Vâlâ</w:t>
      </w:r>
      <w:proofErr w:type="spellEnd"/>
      <w:r w:rsidRPr="002906A3">
        <w:rPr>
          <w:bCs/>
        </w:rPr>
        <w:t xml:space="preserve"> kayıtlarıdır.</w:t>
      </w:r>
    </w:p>
    <w:p w14:paraId="33DA9337" w14:textId="77777777" w:rsidR="00BA67A6" w:rsidRDefault="00BA67A6" w:rsidP="00BA67A6">
      <w:pPr>
        <w:jc w:val="both"/>
        <w:rPr>
          <w:bCs/>
        </w:rPr>
      </w:pPr>
    </w:p>
    <w:p w14:paraId="29052848" w14:textId="34EAEEDE" w:rsidR="001E7189" w:rsidRPr="002906A3" w:rsidRDefault="001E7189" w:rsidP="00BA67A6">
      <w:pPr>
        <w:jc w:val="both"/>
        <w:rPr>
          <w:bCs/>
        </w:rPr>
      </w:pPr>
      <w:r w:rsidRPr="002906A3">
        <w:rPr>
          <w:bCs/>
        </w:rPr>
        <w:t xml:space="preserve">İncelenen belgelerdeki verilere göre Bosna’da kaza ile ölümler ev kazaları, iş kazaları ve boğulmanın dahil olduğu diğer kazalar kategorisinde gerçekleşmiştir. Meclis-i </w:t>
      </w:r>
      <w:proofErr w:type="spellStart"/>
      <w:r w:rsidRPr="002906A3">
        <w:rPr>
          <w:bCs/>
        </w:rPr>
        <w:t>Vâlâ</w:t>
      </w:r>
      <w:proofErr w:type="spellEnd"/>
      <w:r w:rsidRPr="002906A3">
        <w:rPr>
          <w:bCs/>
        </w:rPr>
        <w:t xml:space="preserve"> kayıtları baz alındığında Bosna eyaletinde kazayla ölümler içinde en sık rastlananı boğularak vefat olmuştur.  Boğulma hadiselerinin yaşandığı nehirler </w:t>
      </w:r>
      <w:proofErr w:type="spellStart"/>
      <w:r w:rsidRPr="002906A3">
        <w:rPr>
          <w:bCs/>
        </w:rPr>
        <w:t>Vrbas</w:t>
      </w:r>
      <w:proofErr w:type="spellEnd"/>
      <w:r w:rsidRPr="002906A3">
        <w:rPr>
          <w:bCs/>
        </w:rPr>
        <w:t>, Una, Sana ve Sava’dır. Nehirde boğulmalar köprüden, kayıklardan suya düşmek neticesinde ve suda yıkanırken gerçekleşmiştir. Değirmen suyuna kazayla düşerek de boğulan olmuştur.</w:t>
      </w:r>
    </w:p>
    <w:p w14:paraId="53A963E0" w14:textId="77777777" w:rsidR="00BA67A6" w:rsidRDefault="00BA67A6" w:rsidP="00BA67A6">
      <w:pPr>
        <w:jc w:val="both"/>
        <w:rPr>
          <w:bCs/>
        </w:rPr>
      </w:pPr>
    </w:p>
    <w:p w14:paraId="45E72E18" w14:textId="634E7347" w:rsidR="001E7189" w:rsidRDefault="001E7189" w:rsidP="00BA67A6">
      <w:pPr>
        <w:jc w:val="both"/>
        <w:rPr>
          <w:bCs/>
        </w:rPr>
      </w:pPr>
      <w:r w:rsidRPr="002906A3">
        <w:rPr>
          <w:bCs/>
        </w:rPr>
        <w:t xml:space="preserve">Diğer sık gerçekleşen </w:t>
      </w:r>
      <w:proofErr w:type="spellStart"/>
      <w:r w:rsidRPr="002906A3">
        <w:rPr>
          <w:bCs/>
        </w:rPr>
        <w:t>kazâen</w:t>
      </w:r>
      <w:proofErr w:type="spellEnd"/>
      <w:r w:rsidRPr="002906A3">
        <w:rPr>
          <w:bCs/>
        </w:rPr>
        <w:t xml:space="preserve"> ölüm türü ise ateşli silahların patlaması veya kazayla bıçak gibi kesici aletlerin üstüne düşmeyle alınan yaralar neticesindeki ölümler olmuştur. Yaralayıcı aletlere ulaşımın kolay olması, bunların tedbirsiz ve kazalara olanak verecek bir şekilde belde taşınmaları veya ev duvarına asılı şekilde muhafaza edilmeleri gibi nedenler </w:t>
      </w:r>
      <w:proofErr w:type="spellStart"/>
      <w:r w:rsidRPr="002906A3">
        <w:rPr>
          <w:bCs/>
        </w:rPr>
        <w:t>kazâen</w:t>
      </w:r>
      <w:proofErr w:type="spellEnd"/>
      <w:r w:rsidRPr="002906A3">
        <w:rPr>
          <w:bCs/>
        </w:rPr>
        <w:t xml:space="preserve"> ölümlere sebebiyet vermiştir. Ayrıca yangın çıkan eve girmek, su kaynayan kazanın yanından eşya almak gibi tedbirsiz hareketler yapmak, ağaçtan riskli bir şekilde meyve toplarken zayıf dala basmak, toprak kazarken, taş kırarken, kuyu temizlerken vb. işleri ifa esnasında ihmalkâr davranmak da </w:t>
      </w:r>
      <w:proofErr w:type="spellStart"/>
      <w:r w:rsidRPr="002906A3">
        <w:rPr>
          <w:bCs/>
        </w:rPr>
        <w:t>kazâen</w:t>
      </w:r>
      <w:proofErr w:type="spellEnd"/>
      <w:r w:rsidRPr="002906A3">
        <w:rPr>
          <w:bCs/>
        </w:rPr>
        <w:t xml:space="preserve"> ölümlere sebebiyet vermiştir Tehlikeleri bilerek tedbir almanın her dönem için bu tip kazaların çoğunu önleyeceği veya etkisini azaltacağı muhakkaktır.</w:t>
      </w:r>
    </w:p>
    <w:p w14:paraId="44FAD832" w14:textId="77777777" w:rsidR="00BF3875" w:rsidRPr="002906A3" w:rsidRDefault="00BF3875" w:rsidP="00BA67A6">
      <w:pPr>
        <w:ind w:firstLine="709"/>
        <w:jc w:val="both"/>
        <w:rPr>
          <w:bCs/>
        </w:rPr>
      </w:pPr>
    </w:p>
    <w:p w14:paraId="50E023B0" w14:textId="77777777" w:rsidR="001E7189" w:rsidRPr="002906A3" w:rsidRDefault="001E7189" w:rsidP="00BA67A6">
      <w:pPr>
        <w:rPr>
          <w:b/>
        </w:rPr>
      </w:pPr>
      <w:r w:rsidRPr="002906A3">
        <w:rPr>
          <w:b/>
        </w:rPr>
        <w:t>KAYNAKÇA</w:t>
      </w:r>
    </w:p>
    <w:p w14:paraId="41C5F007" w14:textId="07EBEAC9" w:rsidR="001E7189" w:rsidRPr="002906A3" w:rsidRDefault="001E7189">
      <w:pPr>
        <w:widowControl/>
        <w:numPr>
          <w:ilvl w:val="0"/>
          <w:numId w:val="55"/>
        </w:numPr>
        <w:autoSpaceDE/>
        <w:autoSpaceDN/>
        <w:contextualSpacing/>
        <w:jc w:val="both"/>
        <w:rPr>
          <w:b/>
          <w:bCs/>
        </w:rPr>
      </w:pPr>
      <w:r w:rsidRPr="002906A3">
        <w:rPr>
          <w:b/>
          <w:bCs/>
        </w:rPr>
        <w:t>Başbakanlık Osmanlı Arşivi (BOA)</w:t>
      </w:r>
    </w:p>
    <w:p w14:paraId="61961542" w14:textId="77777777" w:rsidR="001E7189" w:rsidRPr="00CD75FE" w:rsidRDefault="001E7189">
      <w:pPr>
        <w:pStyle w:val="ListeParagraf"/>
        <w:numPr>
          <w:ilvl w:val="0"/>
          <w:numId w:val="55"/>
        </w:numPr>
        <w:jc w:val="both"/>
        <w:rPr>
          <w:b/>
          <w:bCs/>
        </w:rPr>
      </w:pPr>
      <w:bookmarkStart w:id="212" w:name="_Hlk190203498"/>
      <w:proofErr w:type="spellStart"/>
      <w:r w:rsidRPr="00CD75FE">
        <w:rPr>
          <w:b/>
          <w:bCs/>
        </w:rPr>
        <w:t>BEOAYN.d</w:t>
      </w:r>
      <w:proofErr w:type="spellEnd"/>
      <w:r w:rsidRPr="00CD75FE">
        <w:rPr>
          <w:b/>
          <w:bCs/>
        </w:rPr>
        <w:t xml:space="preserve">, 853 </w:t>
      </w:r>
      <w:bookmarkEnd w:id="212"/>
      <w:proofErr w:type="spellStart"/>
      <w:r w:rsidRPr="00CD75FE">
        <w:rPr>
          <w:b/>
          <w:bCs/>
        </w:rPr>
        <w:t>Nolu</w:t>
      </w:r>
      <w:proofErr w:type="spellEnd"/>
      <w:r w:rsidRPr="00CD75FE">
        <w:rPr>
          <w:b/>
          <w:bCs/>
        </w:rPr>
        <w:t xml:space="preserve"> Defter: </w:t>
      </w:r>
      <w:r w:rsidRPr="002906A3">
        <w:t>465, 480.</w:t>
      </w:r>
    </w:p>
    <w:p w14:paraId="55BA6136" w14:textId="77777777" w:rsidR="001E7189" w:rsidRPr="002906A3" w:rsidRDefault="001E7189">
      <w:pPr>
        <w:pStyle w:val="ListeParagraf"/>
        <w:numPr>
          <w:ilvl w:val="0"/>
          <w:numId w:val="55"/>
        </w:numPr>
        <w:jc w:val="both"/>
      </w:pPr>
      <w:proofErr w:type="spellStart"/>
      <w:r w:rsidRPr="00CD75FE">
        <w:rPr>
          <w:b/>
          <w:bCs/>
        </w:rPr>
        <w:t>MVL.d</w:t>
      </w:r>
      <w:proofErr w:type="spellEnd"/>
      <w:r w:rsidRPr="00CD75FE">
        <w:rPr>
          <w:b/>
          <w:bCs/>
        </w:rPr>
        <w:t xml:space="preserve">, 93 </w:t>
      </w:r>
      <w:proofErr w:type="spellStart"/>
      <w:r w:rsidRPr="00CD75FE">
        <w:rPr>
          <w:b/>
          <w:bCs/>
        </w:rPr>
        <w:t>Nolu</w:t>
      </w:r>
      <w:proofErr w:type="spellEnd"/>
      <w:r w:rsidRPr="00CD75FE">
        <w:rPr>
          <w:b/>
          <w:bCs/>
        </w:rPr>
        <w:t xml:space="preserve"> Defter:</w:t>
      </w:r>
      <w:r w:rsidRPr="002906A3">
        <w:t>156/141, 456/187, 64/229, 735/194.</w:t>
      </w:r>
    </w:p>
    <w:p w14:paraId="6A304575" w14:textId="77777777" w:rsidR="001E7189" w:rsidRPr="002906A3" w:rsidRDefault="001E7189">
      <w:pPr>
        <w:pStyle w:val="ListeParagraf"/>
        <w:numPr>
          <w:ilvl w:val="0"/>
          <w:numId w:val="55"/>
        </w:numPr>
        <w:jc w:val="both"/>
      </w:pPr>
      <w:proofErr w:type="spellStart"/>
      <w:proofErr w:type="gramStart"/>
      <w:r w:rsidRPr="00CD75FE">
        <w:rPr>
          <w:b/>
          <w:bCs/>
        </w:rPr>
        <w:t>MVL,d</w:t>
      </w:r>
      <w:proofErr w:type="spellEnd"/>
      <w:proofErr w:type="gramEnd"/>
      <w:r w:rsidRPr="00CD75FE">
        <w:rPr>
          <w:b/>
          <w:bCs/>
        </w:rPr>
        <w:t xml:space="preserve">, 94 </w:t>
      </w:r>
      <w:proofErr w:type="spellStart"/>
      <w:r w:rsidRPr="00CD75FE">
        <w:rPr>
          <w:b/>
          <w:bCs/>
        </w:rPr>
        <w:t>Nolu</w:t>
      </w:r>
      <w:proofErr w:type="spellEnd"/>
      <w:r w:rsidRPr="00CD75FE">
        <w:rPr>
          <w:b/>
          <w:bCs/>
        </w:rPr>
        <w:t xml:space="preserve"> Defter:</w:t>
      </w:r>
      <w:r w:rsidRPr="002906A3">
        <w:t xml:space="preserve"> 58/20, 22/18, 764/57, 149/49, 844/175.</w:t>
      </w:r>
    </w:p>
    <w:p w14:paraId="58E58879" w14:textId="77777777" w:rsidR="001E7189" w:rsidRPr="00CD75FE" w:rsidRDefault="001E7189">
      <w:pPr>
        <w:pStyle w:val="ListeParagraf"/>
        <w:numPr>
          <w:ilvl w:val="0"/>
          <w:numId w:val="55"/>
        </w:numPr>
        <w:jc w:val="both"/>
        <w:rPr>
          <w:b/>
          <w:bCs/>
        </w:rPr>
      </w:pPr>
      <w:proofErr w:type="spellStart"/>
      <w:proofErr w:type="gramStart"/>
      <w:r w:rsidRPr="00CD75FE">
        <w:rPr>
          <w:b/>
          <w:bCs/>
        </w:rPr>
        <w:t>MVL,d</w:t>
      </w:r>
      <w:proofErr w:type="spellEnd"/>
      <w:proofErr w:type="gramEnd"/>
      <w:r w:rsidRPr="00CD75FE">
        <w:rPr>
          <w:b/>
          <w:bCs/>
        </w:rPr>
        <w:t xml:space="preserve">, 95 </w:t>
      </w:r>
      <w:proofErr w:type="spellStart"/>
      <w:r w:rsidRPr="00CD75FE">
        <w:rPr>
          <w:b/>
          <w:bCs/>
        </w:rPr>
        <w:t>Nolu</w:t>
      </w:r>
      <w:proofErr w:type="spellEnd"/>
      <w:r w:rsidRPr="00CD75FE">
        <w:rPr>
          <w:b/>
          <w:bCs/>
        </w:rPr>
        <w:t xml:space="preserve"> Defter:</w:t>
      </w:r>
      <w:r w:rsidRPr="002906A3">
        <w:t xml:space="preserve"> 450/104.</w:t>
      </w:r>
    </w:p>
    <w:p w14:paraId="78B1642B" w14:textId="77777777" w:rsidR="001E7189" w:rsidRPr="002906A3" w:rsidRDefault="001E7189">
      <w:pPr>
        <w:pStyle w:val="ListeParagraf"/>
        <w:numPr>
          <w:ilvl w:val="0"/>
          <w:numId w:val="55"/>
        </w:numPr>
        <w:jc w:val="both"/>
      </w:pPr>
      <w:proofErr w:type="spellStart"/>
      <w:proofErr w:type="gramStart"/>
      <w:r w:rsidRPr="00CD75FE">
        <w:rPr>
          <w:b/>
          <w:bCs/>
        </w:rPr>
        <w:t>MVL,d</w:t>
      </w:r>
      <w:proofErr w:type="spellEnd"/>
      <w:proofErr w:type="gramEnd"/>
      <w:r w:rsidRPr="00CD75FE">
        <w:rPr>
          <w:b/>
          <w:bCs/>
        </w:rPr>
        <w:t xml:space="preserve">, 96 </w:t>
      </w:r>
      <w:proofErr w:type="spellStart"/>
      <w:r w:rsidRPr="00CD75FE">
        <w:rPr>
          <w:b/>
          <w:bCs/>
        </w:rPr>
        <w:t>Nolu</w:t>
      </w:r>
      <w:proofErr w:type="spellEnd"/>
      <w:r w:rsidRPr="00CD75FE">
        <w:rPr>
          <w:b/>
          <w:bCs/>
        </w:rPr>
        <w:t xml:space="preserve"> Defter:</w:t>
      </w:r>
      <w:r w:rsidRPr="002906A3">
        <w:t xml:space="preserve"> 284/36, 284/25.</w:t>
      </w:r>
    </w:p>
    <w:p w14:paraId="485CBA22" w14:textId="77777777" w:rsidR="001E7189" w:rsidRPr="002906A3" w:rsidRDefault="001E7189">
      <w:pPr>
        <w:pStyle w:val="ListeParagraf"/>
        <w:numPr>
          <w:ilvl w:val="0"/>
          <w:numId w:val="55"/>
        </w:numPr>
        <w:jc w:val="both"/>
      </w:pPr>
      <w:proofErr w:type="spellStart"/>
      <w:proofErr w:type="gramStart"/>
      <w:r w:rsidRPr="00CD75FE">
        <w:rPr>
          <w:b/>
          <w:bCs/>
        </w:rPr>
        <w:t>MVL,d</w:t>
      </w:r>
      <w:proofErr w:type="spellEnd"/>
      <w:proofErr w:type="gramEnd"/>
      <w:r w:rsidRPr="00CD75FE">
        <w:rPr>
          <w:b/>
          <w:bCs/>
        </w:rPr>
        <w:t xml:space="preserve">, 103 </w:t>
      </w:r>
      <w:proofErr w:type="spellStart"/>
      <w:r w:rsidRPr="00CD75FE">
        <w:rPr>
          <w:b/>
          <w:bCs/>
        </w:rPr>
        <w:t>Nolu</w:t>
      </w:r>
      <w:proofErr w:type="spellEnd"/>
      <w:r w:rsidRPr="00CD75FE">
        <w:rPr>
          <w:b/>
          <w:bCs/>
        </w:rPr>
        <w:t xml:space="preserve"> Defter:</w:t>
      </w:r>
      <w:r w:rsidRPr="002906A3">
        <w:t>66/54,</w:t>
      </w:r>
      <w:r w:rsidRPr="00CD75FE">
        <w:rPr>
          <w:b/>
          <w:bCs/>
        </w:rPr>
        <w:t xml:space="preserve"> </w:t>
      </w:r>
      <w:r w:rsidRPr="002906A3">
        <w:t>726/8.</w:t>
      </w:r>
    </w:p>
    <w:p w14:paraId="285D9593" w14:textId="77777777" w:rsidR="001E7189" w:rsidRPr="00CD75FE" w:rsidRDefault="001E7189">
      <w:pPr>
        <w:pStyle w:val="ListeParagraf"/>
        <w:numPr>
          <w:ilvl w:val="0"/>
          <w:numId w:val="55"/>
        </w:numPr>
        <w:jc w:val="both"/>
        <w:rPr>
          <w:b/>
          <w:bCs/>
        </w:rPr>
      </w:pPr>
      <w:r w:rsidRPr="00CD75FE">
        <w:rPr>
          <w:b/>
          <w:bCs/>
        </w:rPr>
        <w:t xml:space="preserve">MVL, </w:t>
      </w:r>
      <w:r w:rsidRPr="002906A3">
        <w:t>221/15, 980/2</w:t>
      </w:r>
      <w:r w:rsidRPr="00CD75FE">
        <w:rPr>
          <w:b/>
          <w:bCs/>
        </w:rPr>
        <w:t xml:space="preserve">, </w:t>
      </w:r>
      <w:r w:rsidRPr="002906A3">
        <w:t xml:space="preserve">969/19, 973/34, 980/04, 1003-16, 991/77, 1008/30, 1010/1, </w:t>
      </w:r>
      <w:r w:rsidRPr="002906A3">
        <w:lastRenderedPageBreak/>
        <w:t>995/45, 960-25, 971/37, 972/35.</w:t>
      </w:r>
    </w:p>
    <w:p w14:paraId="293FFF79" w14:textId="77777777" w:rsidR="001E7189" w:rsidRPr="002906A3" w:rsidRDefault="001E7189">
      <w:pPr>
        <w:pStyle w:val="ListeParagraf"/>
        <w:numPr>
          <w:ilvl w:val="0"/>
          <w:numId w:val="55"/>
        </w:numPr>
        <w:jc w:val="both"/>
      </w:pPr>
      <w:r w:rsidRPr="00CD75FE">
        <w:rPr>
          <w:b/>
          <w:bCs/>
        </w:rPr>
        <w:t xml:space="preserve">A.MKT.NZD, </w:t>
      </w:r>
      <w:r w:rsidRPr="002906A3">
        <w:t>132-49, 173/145.</w:t>
      </w:r>
    </w:p>
    <w:p w14:paraId="17387AFC" w14:textId="009AD2A0" w:rsidR="001E7189" w:rsidRPr="00CD75FE" w:rsidRDefault="001E7189">
      <w:pPr>
        <w:pStyle w:val="ListeParagraf"/>
        <w:numPr>
          <w:ilvl w:val="0"/>
          <w:numId w:val="55"/>
        </w:numPr>
        <w:jc w:val="both"/>
        <w:rPr>
          <w:b/>
          <w:bCs/>
        </w:rPr>
      </w:pPr>
      <w:r w:rsidRPr="00CD75FE">
        <w:rPr>
          <w:b/>
          <w:bCs/>
        </w:rPr>
        <w:t>b. Kitap ve Makaleler</w:t>
      </w:r>
    </w:p>
    <w:p w14:paraId="6CD2C799" w14:textId="77777777" w:rsidR="001E7189" w:rsidRPr="002906A3" w:rsidRDefault="001E7189">
      <w:pPr>
        <w:pStyle w:val="ListeParagraf"/>
        <w:numPr>
          <w:ilvl w:val="0"/>
          <w:numId w:val="55"/>
        </w:numPr>
        <w:jc w:val="both"/>
      </w:pPr>
      <w:r w:rsidRPr="002906A3">
        <w:t xml:space="preserve">AKGÜNDÜZ, Ahmet, </w:t>
      </w:r>
      <w:r w:rsidRPr="00CD75FE">
        <w:rPr>
          <w:i/>
          <w:iCs/>
        </w:rPr>
        <w:t>Mukayeseli İslam ve Osmanlı Hukuku Külliyatı</w:t>
      </w:r>
      <w:r w:rsidRPr="002906A3">
        <w:t>, Diyarbakır 1986.</w:t>
      </w:r>
    </w:p>
    <w:p w14:paraId="6D401F4E" w14:textId="77777777" w:rsidR="001E7189" w:rsidRPr="002906A3" w:rsidRDefault="001E7189">
      <w:pPr>
        <w:pStyle w:val="ListeParagraf"/>
        <w:numPr>
          <w:ilvl w:val="0"/>
          <w:numId w:val="55"/>
        </w:numPr>
        <w:jc w:val="both"/>
      </w:pPr>
      <w:r w:rsidRPr="002906A3">
        <w:t xml:space="preserve">BULUT, İlhan, “İslam ve Osmanlı Ceza Hukukunda </w:t>
      </w:r>
      <w:proofErr w:type="spellStart"/>
      <w:r w:rsidRPr="002906A3">
        <w:t>Hatâen</w:t>
      </w:r>
      <w:proofErr w:type="spellEnd"/>
      <w:r w:rsidRPr="002906A3">
        <w:t xml:space="preserve"> Öldürme Suçu”, </w:t>
      </w:r>
      <w:r w:rsidRPr="00CD75FE">
        <w:rPr>
          <w:i/>
          <w:iCs/>
        </w:rPr>
        <w:t>Yıldırım Beyazıt Hukuk Dergisi</w:t>
      </w:r>
      <w:r w:rsidRPr="002906A3">
        <w:t>, S. 1, 2018 s.41–71.</w:t>
      </w:r>
    </w:p>
    <w:p w14:paraId="4FFDF4BD" w14:textId="77777777" w:rsidR="001E7189" w:rsidRPr="002906A3" w:rsidRDefault="001E7189">
      <w:pPr>
        <w:pStyle w:val="ListeParagraf"/>
        <w:numPr>
          <w:ilvl w:val="0"/>
          <w:numId w:val="55"/>
        </w:numPr>
        <w:jc w:val="both"/>
      </w:pPr>
      <w:r w:rsidRPr="002906A3">
        <w:t xml:space="preserve">DİRİCAN, Rahmi, “Kazaların Epidemiyolojisi ve Önlenmesi”, </w:t>
      </w:r>
      <w:r w:rsidRPr="00CD75FE">
        <w:rPr>
          <w:i/>
          <w:iCs/>
        </w:rPr>
        <w:t>Atatürk Üniversitesi Tıp Fakültesi Dergisi</w:t>
      </w:r>
      <w:r w:rsidRPr="002906A3">
        <w:t>, C. 5, S. 17, 1972, s. 51-60.</w:t>
      </w:r>
    </w:p>
    <w:p w14:paraId="5CA2C4CF" w14:textId="77777777" w:rsidR="001E7189" w:rsidRPr="002906A3" w:rsidRDefault="001E7189">
      <w:pPr>
        <w:pStyle w:val="ListeParagraf"/>
        <w:numPr>
          <w:ilvl w:val="0"/>
          <w:numId w:val="55"/>
        </w:numPr>
        <w:jc w:val="both"/>
      </w:pPr>
      <w:r w:rsidRPr="002906A3">
        <w:t xml:space="preserve">DİZDAR Ercüment, “Kaza Sebeplendirme Yaklaşımları”, </w:t>
      </w:r>
      <w:r w:rsidRPr="00CD75FE">
        <w:rPr>
          <w:i/>
          <w:iCs/>
        </w:rPr>
        <w:t>TTB Mesleki Sağlık ve Güvenlik Dergisi</w:t>
      </w:r>
      <w:r w:rsidRPr="002906A3">
        <w:t>, 2001, s. 26-31.</w:t>
      </w:r>
    </w:p>
    <w:p w14:paraId="6B652458" w14:textId="77777777" w:rsidR="001E7189" w:rsidRPr="002906A3" w:rsidRDefault="001E7189">
      <w:pPr>
        <w:pStyle w:val="ListeParagraf"/>
        <w:numPr>
          <w:ilvl w:val="0"/>
          <w:numId w:val="55"/>
        </w:numPr>
        <w:jc w:val="both"/>
      </w:pPr>
      <w:r w:rsidRPr="002906A3">
        <w:t xml:space="preserve">EKİNCİ, Ekrem Buğra, </w:t>
      </w:r>
      <w:r w:rsidRPr="00CD75FE">
        <w:rPr>
          <w:i/>
          <w:iCs/>
        </w:rPr>
        <w:t>Tanzimat Sonrası Osmanlı Mahkemeleri</w:t>
      </w:r>
      <w:r w:rsidRPr="002906A3">
        <w:t>, İstanbul 2010.</w:t>
      </w:r>
    </w:p>
    <w:p w14:paraId="22303A6F" w14:textId="77777777" w:rsidR="001E7189" w:rsidRPr="002906A3" w:rsidRDefault="001E7189">
      <w:pPr>
        <w:pStyle w:val="ListeParagraf"/>
        <w:numPr>
          <w:ilvl w:val="0"/>
          <w:numId w:val="55"/>
        </w:numPr>
        <w:jc w:val="both"/>
      </w:pPr>
      <w:r w:rsidRPr="002906A3">
        <w:t xml:space="preserve">KAVAKLI, Sibel, “Ölüm ve Yaralama Olaylarıyla İlgili Keşif Hüccetlerinin Değerlendirilmesi: </w:t>
      </w:r>
      <w:proofErr w:type="spellStart"/>
      <w:r w:rsidRPr="002906A3">
        <w:t>Onyedinci</w:t>
      </w:r>
      <w:proofErr w:type="spellEnd"/>
      <w:r w:rsidRPr="002906A3">
        <w:t xml:space="preserve"> Yüzyıl Amasya </w:t>
      </w:r>
      <w:proofErr w:type="spellStart"/>
      <w:proofErr w:type="gramStart"/>
      <w:r w:rsidRPr="002906A3">
        <w:t>Şer‘</w:t>
      </w:r>
      <w:proofErr w:type="gramEnd"/>
      <w:r w:rsidRPr="002906A3">
        <w:t>iyye</w:t>
      </w:r>
      <w:proofErr w:type="spellEnd"/>
      <w:r w:rsidRPr="002906A3">
        <w:t xml:space="preserve"> Sicillerinden Örneklerle”,  </w:t>
      </w:r>
      <w:proofErr w:type="spellStart"/>
      <w:r w:rsidRPr="00CD75FE">
        <w:rPr>
          <w:i/>
          <w:iCs/>
        </w:rPr>
        <w:t>History</w:t>
      </w:r>
      <w:proofErr w:type="spellEnd"/>
      <w:r w:rsidRPr="00CD75FE">
        <w:rPr>
          <w:i/>
          <w:iCs/>
        </w:rPr>
        <w:t xml:space="preserve"> </w:t>
      </w:r>
      <w:proofErr w:type="spellStart"/>
      <w:r w:rsidRPr="00CD75FE">
        <w:rPr>
          <w:i/>
          <w:iCs/>
        </w:rPr>
        <w:t>Studies</w:t>
      </w:r>
      <w:proofErr w:type="spellEnd"/>
      <w:r w:rsidRPr="00CD75FE">
        <w:rPr>
          <w:i/>
          <w:iCs/>
        </w:rPr>
        <w:t xml:space="preserve"> International </w:t>
      </w:r>
      <w:proofErr w:type="spellStart"/>
      <w:r w:rsidRPr="00CD75FE">
        <w:rPr>
          <w:i/>
          <w:iCs/>
        </w:rPr>
        <w:t>Journal</w:t>
      </w:r>
      <w:proofErr w:type="spellEnd"/>
      <w:r w:rsidRPr="00CD75FE">
        <w:rPr>
          <w:i/>
          <w:iCs/>
        </w:rPr>
        <w:t xml:space="preserve"> Of </w:t>
      </w:r>
      <w:proofErr w:type="spellStart"/>
      <w:r w:rsidRPr="00CD75FE">
        <w:rPr>
          <w:i/>
          <w:iCs/>
        </w:rPr>
        <w:t>History</w:t>
      </w:r>
      <w:proofErr w:type="spellEnd"/>
      <w:r w:rsidRPr="002906A3">
        <w:t>, C. 5, S. 3, 2013, s. 117-142.</w:t>
      </w:r>
    </w:p>
    <w:p w14:paraId="2F3E6E8B" w14:textId="77777777" w:rsidR="001E7189" w:rsidRPr="002906A3" w:rsidRDefault="001E7189">
      <w:pPr>
        <w:pStyle w:val="ListeParagraf"/>
        <w:numPr>
          <w:ilvl w:val="0"/>
          <w:numId w:val="55"/>
        </w:numPr>
        <w:jc w:val="both"/>
      </w:pPr>
      <w:r w:rsidRPr="002906A3">
        <w:t xml:space="preserve">KORKMAZ, Ömer-ASLAN, </w:t>
      </w:r>
      <w:proofErr w:type="spellStart"/>
      <w:r w:rsidRPr="002906A3">
        <w:t>Nasi</w:t>
      </w:r>
      <w:proofErr w:type="spellEnd"/>
      <w:r w:rsidRPr="002906A3">
        <w:t xml:space="preserve">, “Osmanlı Ceza Muhakemesinde Olay Yeri Ön İnceleme -Keşif ve Tahrir- Raporları”, </w:t>
      </w:r>
      <w:r w:rsidRPr="00CD75FE">
        <w:rPr>
          <w:i/>
          <w:iCs/>
        </w:rPr>
        <w:t>İslam Hukuku Araştırmaları Dergisi</w:t>
      </w:r>
      <w:r w:rsidRPr="002906A3">
        <w:t>, S. 33, 2019, s. 239-259.</w:t>
      </w:r>
    </w:p>
    <w:p w14:paraId="0923A982" w14:textId="77777777" w:rsidR="001E7189" w:rsidRPr="002906A3" w:rsidRDefault="001E7189">
      <w:pPr>
        <w:pStyle w:val="ListeParagraf"/>
        <w:numPr>
          <w:ilvl w:val="0"/>
          <w:numId w:val="55"/>
        </w:numPr>
        <w:jc w:val="both"/>
      </w:pPr>
      <w:r w:rsidRPr="002906A3">
        <w:t>SAK, İzzet-GÜNGÖREN, Ayşe, “</w:t>
      </w:r>
      <w:proofErr w:type="spellStart"/>
      <w:r w:rsidRPr="002906A3">
        <w:t>Şer’iye</w:t>
      </w:r>
      <w:proofErr w:type="spellEnd"/>
      <w:r w:rsidRPr="002906A3">
        <w:t xml:space="preserve"> Sicilleri Işığında Osmanlı Devleti’nde Adli Olaylarda Keşif: Konya Örneği (1690-1740)”, </w:t>
      </w:r>
      <w:r w:rsidRPr="00CD75FE">
        <w:rPr>
          <w:i/>
          <w:iCs/>
        </w:rPr>
        <w:t>Tarihin Peşinde</w:t>
      </w:r>
      <w:r w:rsidRPr="002906A3">
        <w:t>, S. 23, 2020, s. 169-211.</w:t>
      </w:r>
    </w:p>
    <w:p w14:paraId="428316AD" w14:textId="3F495A02" w:rsidR="00C70E93" w:rsidRDefault="001E7189">
      <w:pPr>
        <w:pStyle w:val="ListeParagraf"/>
        <w:numPr>
          <w:ilvl w:val="0"/>
          <w:numId w:val="55"/>
        </w:numPr>
        <w:jc w:val="both"/>
      </w:pPr>
      <w:r w:rsidRPr="002906A3">
        <w:t xml:space="preserve">ÜNAL, Ertuğrul, </w:t>
      </w:r>
      <w:r w:rsidRPr="00CD75FE">
        <w:rPr>
          <w:i/>
          <w:iCs/>
        </w:rPr>
        <w:t>Taksirle Ölüme Sebebiyet Verme Suçu</w:t>
      </w:r>
      <w:r w:rsidRPr="002906A3">
        <w:t>, İstanbul Üniversitesi Sosyal Bilimler Enstitüsü, Yayımlanmamış Yüksek Lisans Tezi, İstanbul 2015.</w:t>
      </w:r>
    </w:p>
    <w:p w14:paraId="3AB63F45" w14:textId="79F4E9A4" w:rsidR="001E7189" w:rsidRPr="002906A3" w:rsidRDefault="00C70E93" w:rsidP="00C70E93">
      <w:pPr>
        <w:autoSpaceDE/>
        <w:autoSpaceDN/>
      </w:pPr>
      <w:r>
        <w:br w:type="page"/>
      </w:r>
    </w:p>
    <w:p w14:paraId="7CA61F5E" w14:textId="77777777" w:rsidR="001E7189" w:rsidRPr="002906A3" w:rsidRDefault="001E7189" w:rsidP="004C7694">
      <w:pPr>
        <w:pStyle w:val="Tark"/>
      </w:pPr>
      <w:bookmarkStart w:id="213" w:name="_Toc192855236"/>
      <w:r w:rsidRPr="002906A3">
        <w:lastRenderedPageBreak/>
        <w:t>Hun Sanatında Hayvan Üslubu</w:t>
      </w:r>
      <w:bookmarkEnd w:id="213"/>
    </w:p>
    <w:p w14:paraId="0C0E492B" w14:textId="77777777" w:rsidR="001E7189" w:rsidRPr="002906A3" w:rsidRDefault="001E7189" w:rsidP="00BA67A6">
      <w:pPr>
        <w:jc w:val="center"/>
      </w:pPr>
    </w:p>
    <w:p w14:paraId="1B19BF61" w14:textId="77777777" w:rsidR="001E7189" w:rsidRPr="002906A3" w:rsidRDefault="001E7189" w:rsidP="00BA67A6">
      <w:pPr>
        <w:jc w:val="center"/>
      </w:pPr>
      <w:r w:rsidRPr="002906A3">
        <w:t>Cihan TEKİN</w:t>
      </w:r>
      <w:r w:rsidRPr="002906A3">
        <w:br/>
        <w:t>Ankara Hacı Bayram Veli Üniversitesi, Lisansüstü Eğitim Enstitüsü, Genel Türk Tarihi ABD</w:t>
      </w:r>
    </w:p>
    <w:p w14:paraId="45CFAE06" w14:textId="4E8F010B" w:rsidR="001E7189" w:rsidRPr="002906A3" w:rsidRDefault="001E7189" w:rsidP="00BA67A6">
      <w:pPr>
        <w:jc w:val="center"/>
      </w:pPr>
      <w:hyperlink r:id="rId224" w:history="1">
        <w:r w:rsidRPr="002906A3">
          <w:rPr>
            <w:rStyle w:val="Kpr"/>
          </w:rPr>
          <w:t>cihantekin94@gmail.com</w:t>
        </w:r>
      </w:hyperlink>
    </w:p>
    <w:p w14:paraId="4B540873" w14:textId="77777777" w:rsidR="001E7189" w:rsidRPr="002906A3" w:rsidRDefault="001E7189" w:rsidP="00BA67A6">
      <w:pPr>
        <w:jc w:val="center"/>
      </w:pPr>
      <w:r w:rsidRPr="002906A3">
        <w:t>ORCID 0000-0002-2063-9886</w:t>
      </w:r>
    </w:p>
    <w:p w14:paraId="15C728E8" w14:textId="77777777" w:rsidR="001E7189" w:rsidRPr="002906A3" w:rsidRDefault="001E7189" w:rsidP="00BA67A6">
      <w:pPr>
        <w:jc w:val="both"/>
      </w:pPr>
    </w:p>
    <w:p w14:paraId="018E006D" w14:textId="1038FC2A" w:rsidR="001E7189" w:rsidRPr="002906A3" w:rsidRDefault="001E7189" w:rsidP="00BA67A6">
      <w:pPr>
        <w:jc w:val="center"/>
        <w:rPr>
          <w:b/>
          <w:bCs/>
        </w:rPr>
      </w:pPr>
      <w:r w:rsidRPr="002906A3">
        <w:rPr>
          <w:b/>
          <w:bCs/>
        </w:rPr>
        <w:t>Özet</w:t>
      </w:r>
    </w:p>
    <w:p w14:paraId="3FB31882" w14:textId="77777777" w:rsidR="001E7189" w:rsidRPr="002906A3" w:rsidRDefault="001E7189" w:rsidP="00BA67A6">
      <w:pPr>
        <w:jc w:val="both"/>
      </w:pPr>
      <w:r w:rsidRPr="002906A3">
        <w:t xml:space="preserve">Orta Asya bozkır kültürünün estetik ve mitolojik bir yansıması olan hayvan üslubu, Hun sanatında önemli bir ifade biçimi olarak öne çıkmaktadır. Bu üslup, bozkır toplumlarının doğayla olan derin bağlarını ve hayvanlara atfettikleri koruyucu, sembolik anlamları yansıtır. İlk olarak </w:t>
      </w:r>
      <w:proofErr w:type="spellStart"/>
      <w:r w:rsidRPr="002906A3">
        <w:t>Karasuk</w:t>
      </w:r>
      <w:proofErr w:type="spellEnd"/>
      <w:r w:rsidRPr="002906A3">
        <w:t xml:space="preserve">, </w:t>
      </w:r>
      <w:proofErr w:type="spellStart"/>
      <w:r w:rsidRPr="002906A3">
        <w:t>Tagar</w:t>
      </w:r>
      <w:proofErr w:type="spellEnd"/>
      <w:r w:rsidRPr="002906A3">
        <w:t xml:space="preserve"> ve </w:t>
      </w:r>
      <w:proofErr w:type="spellStart"/>
      <w:r w:rsidRPr="002906A3">
        <w:t>Mayemir</w:t>
      </w:r>
      <w:proofErr w:type="spellEnd"/>
      <w:r w:rsidRPr="002906A3">
        <w:t xml:space="preserve"> kültürlerinde ortaya çıkan hayvan üslubu, İskitlerden Hunlara, Avarlardan Selçuklulara kadar birçok topluluk tarafından benimsenmiş ve Asya’nın geniş bir coğrafyasında etkili olmuştur. </w:t>
      </w:r>
      <w:proofErr w:type="spellStart"/>
      <w:r w:rsidRPr="002906A3">
        <w:t>Pazırık</w:t>
      </w:r>
      <w:proofErr w:type="spellEnd"/>
      <w:r w:rsidRPr="002906A3">
        <w:t xml:space="preserve">, </w:t>
      </w:r>
      <w:proofErr w:type="spellStart"/>
      <w:r w:rsidRPr="002906A3">
        <w:t>Noyun</w:t>
      </w:r>
      <w:proofErr w:type="spellEnd"/>
      <w:r w:rsidRPr="002906A3">
        <w:t xml:space="preserve">-Ula, Esik ve </w:t>
      </w:r>
      <w:proofErr w:type="spellStart"/>
      <w:r w:rsidRPr="002906A3">
        <w:t>Tuekta</w:t>
      </w:r>
      <w:proofErr w:type="spellEnd"/>
      <w:r w:rsidRPr="002906A3">
        <w:t xml:space="preserve"> gibi önemli kurganlardan elde edilen arkeolojik buluntular, hayvan üslubunun sanat ve zanaat alanındaki estetik ve kültürel zenginliğini gözler önüne sermektedir. Altın süslemeler, dokuma ürünleri, taş oymalar ve metal işçiliği gibi zanaat dallarında işlenen hayvan figürleri, sanatın çok yönlü niteliğini ortaya koymaktadır. Hun sanatında geyik, kartal, kaplan, </w:t>
      </w:r>
      <w:proofErr w:type="spellStart"/>
      <w:r w:rsidRPr="002906A3">
        <w:t>arslan</w:t>
      </w:r>
      <w:proofErr w:type="spellEnd"/>
      <w:r w:rsidRPr="002906A3">
        <w:t xml:space="preserve"> (</w:t>
      </w:r>
      <w:proofErr w:type="spellStart"/>
      <w:r w:rsidRPr="002906A3">
        <w:t>griffon</w:t>
      </w:r>
      <w:proofErr w:type="spellEnd"/>
      <w:r w:rsidRPr="002906A3">
        <w:t xml:space="preserve">) gibi hayvan figürleri hem gerçekçi hem de mitolojik tasvirlerle ele alınmıştır. Bu figürler, estetik değerlerinin yanı sıra, toplumların inanç sistemleri ve kozmolojik tasavvurlarını ifade eder. Özellikle mücadele sahneleri, fantastik yaratıklar ve doğayı sembolize eden figürler, Hun sanatında dinamik bir anlatım sunmaktadır. Hunların hayvan figürlerini tasvir ederken kullandıkları teknikler arasında dövme, dokuma, metal işçiliği ve taş oymacılık yer almaktadır. Bu çeşitlilik, sanatın zenginliğini ve Hunların doğa ile olan ilişkisini somut bir şekilde yansıtmaktadır. Bu araştırma, hayvan üslubunun kökenlerini, gelişimini ve Hun sanatındaki önemini ortaya koymayı amaçlamaktadır. Hayvan üslubu, sadece estetik bir ifade biçimi değil, aynı zamanda Hunların doğa ile ilişkilerini, kozmolojik inançlarını ve toplumsal kimliklerini anlamada önemli bir kültürel kaynak sunmaktadır. Hun sanatının Göktürkler ve Uygurlar gibi sonraki Türk topluluklarının sanat anlayışını etkilediği görülmektedir. Arkeolojik buluntular, hayvan üslubunun </w:t>
      </w:r>
      <w:proofErr w:type="spellStart"/>
      <w:r w:rsidRPr="002906A3">
        <w:t>proto</w:t>
      </w:r>
      <w:proofErr w:type="spellEnd"/>
      <w:r w:rsidRPr="002906A3">
        <w:t>-Türk sanatındaki yerini ve bu sanatın zengin tarihsel bağlamını daha iyi anlamamızı sağlamaktadır. Sonuç olarak, hayvan üslubu, Hunların inançlarını, yaşam tarzlarını ve sanatsal becerilerini ortaya koyan benzersiz bir üslup olarak değerlendirilmektedir. Bu sanat anlayışı, yalnızca Türk kültür tarihi için değil, dünya kültürel mirası açısından da büyük önem taşımaktadır.</w:t>
      </w:r>
    </w:p>
    <w:p w14:paraId="54C014EF" w14:textId="77777777" w:rsidR="001E7189" w:rsidRPr="002906A3" w:rsidRDefault="001E7189" w:rsidP="00BA67A6">
      <w:pPr>
        <w:jc w:val="both"/>
        <w:rPr>
          <w:b/>
          <w:bCs/>
        </w:rPr>
      </w:pPr>
    </w:p>
    <w:p w14:paraId="67EFF4BB" w14:textId="3BF2CD23" w:rsidR="001E7189" w:rsidRPr="002906A3" w:rsidRDefault="000C6508" w:rsidP="00BA67A6">
      <w:pPr>
        <w:jc w:val="both"/>
      </w:pPr>
      <w:r>
        <w:rPr>
          <w:b/>
          <w:bCs/>
        </w:rPr>
        <w:t>Anahtar Kelimeler</w:t>
      </w:r>
      <w:r w:rsidR="001E7189" w:rsidRPr="002906A3">
        <w:rPr>
          <w:b/>
          <w:bCs/>
        </w:rPr>
        <w:t>:</w:t>
      </w:r>
      <w:r w:rsidR="001E7189" w:rsidRPr="002906A3">
        <w:t xml:space="preserve"> Hunlar, Hun Sanatı, Hayvan Üslubu, Kurganlar, Arkeoloji</w:t>
      </w:r>
    </w:p>
    <w:p w14:paraId="09951559" w14:textId="77777777" w:rsidR="001E7189" w:rsidRDefault="001E7189" w:rsidP="00BA67A6"/>
    <w:p w14:paraId="566A0889" w14:textId="77777777" w:rsidR="00BA67A6" w:rsidRDefault="00BA67A6" w:rsidP="00BA67A6"/>
    <w:p w14:paraId="04A4A4E9" w14:textId="77777777" w:rsidR="00BA67A6" w:rsidRDefault="00BA67A6" w:rsidP="00BA67A6"/>
    <w:p w14:paraId="1AA666E3" w14:textId="77777777" w:rsidR="00BA67A6" w:rsidRDefault="00BA67A6" w:rsidP="00BA67A6"/>
    <w:p w14:paraId="49E004E1" w14:textId="77777777" w:rsidR="00BA67A6" w:rsidRDefault="00BA67A6" w:rsidP="00BA67A6"/>
    <w:p w14:paraId="43961A02" w14:textId="77777777" w:rsidR="00BA67A6" w:rsidRDefault="00BA67A6" w:rsidP="00BA67A6"/>
    <w:p w14:paraId="2A3DC87D" w14:textId="77777777" w:rsidR="00BA67A6" w:rsidRDefault="00BA67A6" w:rsidP="00BA67A6"/>
    <w:p w14:paraId="218A77F2" w14:textId="77777777" w:rsidR="00BA67A6" w:rsidRDefault="00BA67A6" w:rsidP="00BA67A6"/>
    <w:p w14:paraId="1C69523D" w14:textId="77777777" w:rsidR="00BA67A6" w:rsidRDefault="00BA67A6" w:rsidP="00BA67A6"/>
    <w:p w14:paraId="1927D675" w14:textId="77777777" w:rsidR="00BF3875" w:rsidRPr="002906A3" w:rsidRDefault="00BF3875" w:rsidP="00BA67A6"/>
    <w:p w14:paraId="13A7EBD0" w14:textId="285B0D76" w:rsidR="001E7189" w:rsidRPr="00BF3875" w:rsidRDefault="001E7189" w:rsidP="004C7694">
      <w:pPr>
        <w:pStyle w:val="Tark"/>
      </w:pPr>
      <w:bookmarkStart w:id="214" w:name="_Toc192855237"/>
      <w:proofErr w:type="spellStart"/>
      <w:r w:rsidRPr="002906A3">
        <w:lastRenderedPageBreak/>
        <w:t>Animal</w:t>
      </w:r>
      <w:proofErr w:type="spellEnd"/>
      <w:r w:rsidRPr="002906A3">
        <w:t xml:space="preserve"> Style in Hun Art</w:t>
      </w:r>
      <w:bookmarkEnd w:id="214"/>
    </w:p>
    <w:p w14:paraId="2C0E435C" w14:textId="77777777" w:rsidR="001E7189" w:rsidRPr="002906A3" w:rsidRDefault="001E7189" w:rsidP="00BA67A6">
      <w:pPr>
        <w:jc w:val="both"/>
      </w:pPr>
    </w:p>
    <w:p w14:paraId="3A3AEE20" w14:textId="77777777" w:rsidR="001E7189" w:rsidRPr="002906A3" w:rsidRDefault="001E7189" w:rsidP="00BA67A6">
      <w:pPr>
        <w:jc w:val="center"/>
        <w:rPr>
          <w:b/>
          <w:bCs/>
        </w:rPr>
      </w:pPr>
      <w:proofErr w:type="spellStart"/>
      <w:r w:rsidRPr="002906A3">
        <w:rPr>
          <w:b/>
          <w:bCs/>
        </w:rPr>
        <w:t>Abstract</w:t>
      </w:r>
      <w:proofErr w:type="spellEnd"/>
    </w:p>
    <w:p w14:paraId="01CE02F7" w14:textId="77777777" w:rsidR="001E7189" w:rsidRPr="002906A3" w:rsidRDefault="001E7189" w:rsidP="00BA67A6">
      <w:pPr>
        <w:jc w:val="center"/>
        <w:rPr>
          <w:b/>
          <w:bCs/>
        </w:rPr>
      </w:pPr>
    </w:p>
    <w:p w14:paraId="57548031" w14:textId="77777777" w:rsidR="001E7189" w:rsidRPr="002906A3" w:rsidRDefault="001E7189" w:rsidP="00BA67A6">
      <w:pPr>
        <w:jc w:val="both"/>
      </w:pP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w:t>
      </w:r>
      <w:proofErr w:type="spellStart"/>
      <w:r w:rsidRPr="002906A3">
        <w:t>which</w:t>
      </w:r>
      <w:proofErr w:type="spellEnd"/>
      <w:r w:rsidRPr="002906A3">
        <w:t xml:space="preserve"> is an </w:t>
      </w:r>
      <w:proofErr w:type="spellStart"/>
      <w:r w:rsidRPr="002906A3">
        <w:t>aesthetic</w:t>
      </w:r>
      <w:proofErr w:type="spellEnd"/>
      <w:r w:rsidRPr="002906A3">
        <w:t xml:space="preserve"> </w:t>
      </w:r>
      <w:proofErr w:type="spellStart"/>
      <w:r w:rsidRPr="002906A3">
        <w:t>and</w:t>
      </w:r>
      <w:proofErr w:type="spellEnd"/>
      <w:r w:rsidRPr="002906A3">
        <w:t xml:space="preserve"> </w:t>
      </w:r>
      <w:proofErr w:type="spellStart"/>
      <w:r w:rsidRPr="002906A3">
        <w:t>mythological</w:t>
      </w:r>
      <w:proofErr w:type="spellEnd"/>
      <w:r w:rsidRPr="002906A3">
        <w:t xml:space="preserve"> </w:t>
      </w:r>
      <w:proofErr w:type="spellStart"/>
      <w:r w:rsidRPr="002906A3">
        <w:t>reflection</w:t>
      </w:r>
      <w:proofErr w:type="spellEnd"/>
      <w:r w:rsidRPr="002906A3">
        <w:t xml:space="preserve"> of </w:t>
      </w:r>
      <w:proofErr w:type="spellStart"/>
      <w:r w:rsidRPr="002906A3">
        <w:t>the</w:t>
      </w:r>
      <w:proofErr w:type="spellEnd"/>
      <w:r w:rsidRPr="002906A3">
        <w:t xml:space="preserve"> Central </w:t>
      </w:r>
      <w:proofErr w:type="spellStart"/>
      <w:r w:rsidRPr="002906A3">
        <w:t>Asian</w:t>
      </w:r>
      <w:proofErr w:type="spellEnd"/>
      <w:r w:rsidRPr="002906A3">
        <w:t xml:space="preserve"> </w:t>
      </w:r>
      <w:proofErr w:type="spellStart"/>
      <w:r w:rsidRPr="002906A3">
        <w:t>steppe</w:t>
      </w:r>
      <w:proofErr w:type="spellEnd"/>
      <w:r w:rsidRPr="002906A3">
        <w:t xml:space="preserve"> </w:t>
      </w:r>
      <w:proofErr w:type="spellStart"/>
      <w:r w:rsidRPr="002906A3">
        <w:t>culture</w:t>
      </w:r>
      <w:proofErr w:type="spellEnd"/>
      <w:r w:rsidRPr="002906A3">
        <w:t xml:space="preserve">, </w:t>
      </w:r>
      <w:proofErr w:type="spellStart"/>
      <w:r w:rsidRPr="002906A3">
        <w:t>stands</w:t>
      </w:r>
      <w:proofErr w:type="spellEnd"/>
      <w:r w:rsidRPr="002906A3">
        <w:t xml:space="preserve"> </w:t>
      </w:r>
      <w:proofErr w:type="spellStart"/>
      <w:r w:rsidRPr="002906A3">
        <w:t>out</w:t>
      </w:r>
      <w:proofErr w:type="spellEnd"/>
      <w:r w:rsidRPr="002906A3">
        <w:t xml:space="preserve"> as an </w:t>
      </w:r>
      <w:proofErr w:type="spellStart"/>
      <w:r w:rsidRPr="002906A3">
        <w:t>important</w:t>
      </w:r>
      <w:proofErr w:type="spellEnd"/>
      <w:r w:rsidRPr="002906A3">
        <w:t xml:space="preserve"> form of </w:t>
      </w:r>
      <w:proofErr w:type="spellStart"/>
      <w:r w:rsidRPr="002906A3">
        <w:t>expression</w:t>
      </w:r>
      <w:proofErr w:type="spellEnd"/>
      <w:r w:rsidRPr="002906A3">
        <w:t xml:space="preserve"> in Hun art. </w:t>
      </w:r>
      <w:proofErr w:type="spellStart"/>
      <w:r w:rsidRPr="002906A3">
        <w:t>This</w:t>
      </w:r>
      <w:proofErr w:type="spellEnd"/>
      <w:r w:rsidRPr="002906A3">
        <w:t xml:space="preserve"> </w:t>
      </w:r>
      <w:proofErr w:type="spellStart"/>
      <w:r w:rsidRPr="002906A3">
        <w:t>style</w:t>
      </w:r>
      <w:proofErr w:type="spellEnd"/>
      <w:r w:rsidRPr="002906A3">
        <w:t xml:space="preserve"> </w:t>
      </w:r>
      <w:proofErr w:type="spellStart"/>
      <w:r w:rsidRPr="002906A3">
        <w:t>reflects</w:t>
      </w:r>
      <w:proofErr w:type="spellEnd"/>
      <w:r w:rsidRPr="002906A3">
        <w:t xml:space="preserve"> </w:t>
      </w:r>
      <w:proofErr w:type="spellStart"/>
      <w:r w:rsidRPr="002906A3">
        <w:t>the</w:t>
      </w:r>
      <w:proofErr w:type="spellEnd"/>
      <w:r w:rsidRPr="002906A3">
        <w:t xml:space="preserve"> </w:t>
      </w:r>
      <w:proofErr w:type="spellStart"/>
      <w:r w:rsidRPr="002906A3">
        <w:t>deep</w:t>
      </w:r>
      <w:proofErr w:type="spellEnd"/>
      <w:r w:rsidRPr="002906A3">
        <w:t xml:space="preserve"> </w:t>
      </w:r>
      <w:proofErr w:type="spellStart"/>
      <w:r w:rsidRPr="002906A3">
        <w:t>connection</w:t>
      </w:r>
      <w:proofErr w:type="spellEnd"/>
      <w:r w:rsidRPr="002906A3">
        <w:t xml:space="preserve"> of </w:t>
      </w:r>
      <w:proofErr w:type="spellStart"/>
      <w:r w:rsidRPr="002906A3">
        <w:t>steppe</w:t>
      </w:r>
      <w:proofErr w:type="spellEnd"/>
      <w:r w:rsidRPr="002906A3">
        <w:t xml:space="preserve"> </w:t>
      </w:r>
      <w:proofErr w:type="spellStart"/>
      <w:r w:rsidRPr="002906A3">
        <w:t>societies</w:t>
      </w:r>
      <w:proofErr w:type="spellEnd"/>
      <w:r w:rsidRPr="002906A3">
        <w:t xml:space="preserve"> </w:t>
      </w:r>
      <w:proofErr w:type="spellStart"/>
      <w:r w:rsidRPr="002906A3">
        <w:t>with</w:t>
      </w:r>
      <w:proofErr w:type="spellEnd"/>
      <w:r w:rsidRPr="002906A3">
        <w:t xml:space="preserve"> </w:t>
      </w:r>
      <w:proofErr w:type="spellStart"/>
      <w:r w:rsidRPr="002906A3">
        <w:t>nature</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protective</w:t>
      </w:r>
      <w:proofErr w:type="spellEnd"/>
      <w:r w:rsidRPr="002906A3">
        <w:t xml:space="preserve"> </w:t>
      </w:r>
      <w:proofErr w:type="spellStart"/>
      <w:r w:rsidRPr="002906A3">
        <w:t>and</w:t>
      </w:r>
      <w:proofErr w:type="spellEnd"/>
      <w:r w:rsidRPr="002906A3">
        <w:t xml:space="preserve"> </w:t>
      </w:r>
      <w:proofErr w:type="spellStart"/>
      <w:r w:rsidRPr="002906A3">
        <w:t>symbolic</w:t>
      </w:r>
      <w:proofErr w:type="spellEnd"/>
      <w:r w:rsidRPr="002906A3">
        <w:t xml:space="preserve"> </w:t>
      </w:r>
      <w:proofErr w:type="spellStart"/>
      <w:r w:rsidRPr="002906A3">
        <w:t>meanings</w:t>
      </w:r>
      <w:proofErr w:type="spellEnd"/>
      <w:r w:rsidRPr="002906A3">
        <w:t xml:space="preserve"> they </w:t>
      </w:r>
      <w:proofErr w:type="spellStart"/>
      <w:r w:rsidRPr="002906A3">
        <w:t>attribute</w:t>
      </w:r>
      <w:proofErr w:type="spellEnd"/>
      <w:r w:rsidRPr="002906A3">
        <w:t xml:space="preserve"> </w:t>
      </w:r>
      <w:proofErr w:type="spellStart"/>
      <w:r w:rsidRPr="002906A3">
        <w:t>to</w:t>
      </w:r>
      <w:proofErr w:type="spellEnd"/>
      <w:r w:rsidRPr="002906A3">
        <w:t xml:space="preserve"> </w:t>
      </w:r>
      <w:proofErr w:type="spellStart"/>
      <w:r w:rsidRPr="002906A3">
        <w:t>animals</w:t>
      </w:r>
      <w:proofErr w:type="spellEnd"/>
      <w:r w:rsidRPr="002906A3">
        <w:t xml:space="preserve">.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w:t>
      </w:r>
      <w:proofErr w:type="spellStart"/>
      <w:r w:rsidRPr="002906A3">
        <w:t>which</w:t>
      </w:r>
      <w:proofErr w:type="spellEnd"/>
      <w:r w:rsidRPr="002906A3">
        <w:t xml:space="preserve"> </w:t>
      </w:r>
      <w:proofErr w:type="spellStart"/>
      <w:r w:rsidRPr="002906A3">
        <w:t>first</w:t>
      </w:r>
      <w:proofErr w:type="spellEnd"/>
      <w:r w:rsidRPr="002906A3">
        <w:t xml:space="preserve"> </w:t>
      </w:r>
      <w:proofErr w:type="spellStart"/>
      <w:r w:rsidRPr="002906A3">
        <w:t>emerged</w:t>
      </w:r>
      <w:proofErr w:type="spellEnd"/>
      <w:r w:rsidRPr="002906A3">
        <w:t xml:space="preserve"> in </w:t>
      </w:r>
      <w:proofErr w:type="spellStart"/>
      <w:r w:rsidRPr="002906A3">
        <w:t>Karasuk</w:t>
      </w:r>
      <w:proofErr w:type="spellEnd"/>
      <w:r w:rsidRPr="002906A3">
        <w:t xml:space="preserve">, </w:t>
      </w:r>
      <w:proofErr w:type="spellStart"/>
      <w:r w:rsidRPr="002906A3">
        <w:t>Tagar</w:t>
      </w:r>
      <w:proofErr w:type="spellEnd"/>
      <w:r w:rsidRPr="002906A3">
        <w:t xml:space="preserve"> </w:t>
      </w:r>
      <w:proofErr w:type="spellStart"/>
      <w:r w:rsidRPr="002906A3">
        <w:t>and</w:t>
      </w:r>
      <w:proofErr w:type="spellEnd"/>
      <w:r w:rsidRPr="002906A3">
        <w:t xml:space="preserve"> </w:t>
      </w:r>
      <w:proofErr w:type="spellStart"/>
      <w:r w:rsidRPr="002906A3">
        <w:t>Mayemir</w:t>
      </w:r>
      <w:proofErr w:type="spellEnd"/>
      <w:r w:rsidRPr="002906A3">
        <w:t xml:space="preserve"> </w:t>
      </w:r>
      <w:proofErr w:type="spellStart"/>
      <w:r w:rsidRPr="002906A3">
        <w:t>cultures</w:t>
      </w:r>
      <w:proofErr w:type="spellEnd"/>
      <w:r w:rsidRPr="002906A3">
        <w:t xml:space="preserve">, </w:t>
      </w:r>
      <w:proofErr w:type="spellStart"/>
      <w:r w:rsidRPr="002906A3">
        <w:t>was</w:t>
      </w:r>
      <w:proofErr w:type="spellEnd"/>
      <w:r w:rsidRPr="002906A3">
        <w:t xml:space="preserve"> </w:t>
      </w:r>
      <w:proofErr w:type="spellStart"/>
      <w:r w:rsidRPr="002906A3">
        <w:t>adopted</w:t>
      </w:r>
      <w:proofErr w:type="spellEnd"/>
      <w:r w:rsidRPr="002906A3">
        <w:t xml:space="preserve"> </w:t>
      </w:r>
      <w:proofErr w:type="spellStart"/>
      <w:r w:rsidRPr="002906A3">
        <w:t>by</w:t>
      </w:r>
      <w:proofErr w:type="spellEnd"/>
      <w:r w:rsidRPr="002906A3">
        <w:t xml:space="preserve"> </w:t>
      </w:r>
      <w:proofErr w:type="spellStart"/>
      <w:r w:rsidRPr="002906A3">
        <w:t>many</w:t>
      </w:r>
      <w:proofErr w:type="spellEnd"/>
      <w:r w:rsidRPr="002906A3">
        <w:t xml:space="preserve"> </w:t>
      </w:r>
      <w:proofErr w:type="spellStart"/>
      <w:r w:rsidRPr="002906A3">
        <w:t>communities</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Scythians</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w:t>
      </w:r>
      <w:proofErr w:type="spellStart"/>
      <w:r w:rsidRPr="002906A3">
        <w:t>Huns</w:t>
      </w:r>
      <w:proofErr w:type="spellEnd"/>
      <w:r w:rsidRPr="002906A3">
        <w:t xml:space="preserve">, </w:t>
      </w:r>
      <w:proofErr w:type="spellStart"/>
      <w:r w:rsidRPr="002906A3">
        <w:t>from</w:t>
      </w:r>
      <w:proofErr w:type="spellEnd"/>
      <w:r w:rsidRPr="002906A3">
        <w:t xml:space="preserve"> </w:t>
      </w:r>
      <w:proofErr w:type="spellStart"/>
      <w:r w:rsidRPr="002906A3">
        <w:t>the</w:t>
      </w:r>
      <w:proofErr w:type="spellEnd"/>
      <w:r w:rsidRPr="002906A3">
        <w:t xml:space="preserve"> </w:t>
      </w:r>
      <w:proofErr w:type="spellStart"/>
      <w:r w:rsidRPr="002906A3">
        <w:t>Avars</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w:t>
      </w:r>
      <w:proofErr w:type="spellStart"/>
      <w:r w:rsidRPr="002906A3">
        <w:t>Seljuks</w:t>
      </w:r>
      <w:proofErr w:type="spellEnd"/>
      <w:r w:rsidRPr="002906A3">
        <w:t xml:space="preserve">, </w:t>
      </w:r>
      <w:proofErr w:type="spellStart"/>
      <w:r w:rsidRPr="002906A3">
        <w:t>and</w:t>
      </w:r>
      <w:proofErr w:type="spellEnd"/>
      <w:r w:rsidRPr="002906A3">
        <w:t xml:space="preserve"> </w:t>
      </w:r>
      <w:proofErr w:type="spellStart"/>
      <w:r w:rsidRPr="002906A3">
        <w:t>was</w:t>
      </w:r>
      <w:proofErr w:type="spellEnd"/>
      <w:r w:rsidRPr="002906A3">
        <w:t xml:space="preserve"> </w:t>
      </w:r>
      <w:proofErr w:type="spellStart"/>
      <w:r w:rsidRPr="002906A3">
        <w:t>influential</w:t>
      </w:r>
      <w:proofErr w:type="spellEnd"/>
      <w:r w:rsidRPr="002906A3">
        <w:t xml:space="preserve"> in a </w:t>
      </w:r>
      <w:proofErr w:type="spellStart"/>
      <w:r w:rsidRPr="002906A3">
        <w:t>wide</w:t>
      </w:r>
      <w:proofErr w:type="spellEnd"/>
      <w:r w:rsidRPr="002906A3">
        <w:t xml:space="preserve"> </w:t>
      </w:r>
      <w:proofErr w:type="spellStart"/>
      <w:r w:rsidRPr="002906A3">
        <w:t>geography</w:t>
      </w:r>
      <w:proofErr w:type="spellEnd"/>
      <w:r w:rsidRPr="002906A3">
        <w:t xml:space="preserve"> of </w:t>
      </w:r>
      <w:proofErr w:type="spellStart"/>
      <w:r w:rsidRPr="002906A3">
        <w:t>Asia</w:t>
      </w:r>
      <w:proofErr w:type="spellEnd"/>
      <w:r w:rsidRPr="002906A3">
        <w:t xml:space="preserve">. </w:t>
      </w:r>
      <w:proofErr w:type="spellStart"/>
      <w:r w:rsidRPr="002906A3">
        <w:t>Archaeological</w:t>
      </w:r>
      <w:proofErr w:type="spellEnd"/>
      <w:r w:rsidRPr="002906A3">
        <w:t xml:space="preserve"> </w:t>
      </w:r>
      <w:proofErr w:type="spellStart"/>
      <w:r w:rsidRPr="002906A3">
        <w:t>finds</w:t>
      </w:r>
      <w:proofErr w:type="spellEnd"/>
      <w:r w:rsidRPr="002906A3">
        <w:t xml:space="preserve"> </w:t>
      </w:r>
      <w:proofErr w:type="spellStart"/>
      <w:r w:rsidRPr="002906A3">
        <w:t>from</w:t>
      </w:r>
      <w:proofErr w:type="spellEnd"/>
      <w:r w:rsidRPr="002906A3">
        <w:t xml:space="preserve"> </w:t>
      </w:r>
      <w:proofErr w:type="spellStart"/>
      <w:r w:rsidRPr="002906A3">
        <w:t>important</w:t>
      </w:r>
      <w:proofErr w:type="spellEnd"/>
      <w:r w:rsidRPr="002906A3">
        <w:t xml:space="preserve"> </w:t>
      </w:r>
      <w:proofErr w:type="spellStart"/>
      <w:r w:rsidRPr="002906A3">
        <w:t>kurgans</w:t>
      </w:r>
      <w:proofErr w:type="spellEnd"/>
      <w:r w:rsidRPr="002906A3">
        <w:t xml:space="preserve"> </w:t>
      </w:r>
      <w:proofErr w:type="spellStart"/>
      <w:r w:rsidRPr="002906A3">
        <w:t>such</w:t>
      </w:r>
      <w:proofErr w:type="spellEnd"/>
      <w:r w:rsidRPr="002906A3">
        <w:t xml:space="preserve"> as </w:t>
      </w:r>
      <w:proofErr w:type="spellStart"/>
      <w:r w:rsidRPr="002906A3">
        <w:t>Pazyryk</w:t>
      </w:r>
      <w:proofErr w:type="spellEnd"/>
      <w:r w:rsidRPr="002906A3">
        <w:t xml:space="preserve">, </w:t>
      </w:r>
      <w:proofErr w:type="spellStart"/>
      <w:r w:rsidRPr="002906A3">
        <w:t>Noyun</w:t>
      </w:r>
      <w:proofErr w:type="spellEnd"/>
      <w:r w:rsidRPr="002906A3">
        <w:t xml:space="preserve">-Ula, Esik </w:t>
      </w:r>
      <w:proofErr w:type="spellStart"/>
      <w:r w:rsidRPr="002906A3">
        <w:t>and</w:t>
      </w:r>
      <w:proofErr w:type="spellEnd"/>
      <w:r w:rsidRPr="002906A3">
        <w:t xml:space="preserve"> </w:t>
      </w:r>
      <w:proofErr w:type="spellStart"/>
      <w:r w:rsidRPr="002906A3">
        <w:t>Tuekta</w:t>
      </w:r>
      <w:proofErr w:type="spellEnd"/>
      <w:r w:rsidRPr="002906A3">
        <w:t xml:space="preserve"> </w:t>
      </w:r>
      <w:proofErr w:type="spellStart"/>
      <w:r w:rsidRPr="002906A3">
        <w:t>reveal</w:t>
      </w:r>
      <w:proofErr w:type="spellEnd"/>
      <w:r w:rsidRPr="002906A3">
        <w:t xml:space="preserve"> </w:t>
      </w:r>
      <w:proofErr w:type="spellStart"/>
      <w:r w:rsidRPr="002906A3">
        <w:t>the</w:t>
      </w:r>
      <w:proofErr w:type="spellEnd"/>
      <w:r w:rsidRPr="002906A3">
        <w:t xml:space="preserve"> </w:t>
      </w:r>
      <w:proofErr w:type="spellStart"/>
      <w:r w:rsidRPr="002906A3">
        <w:t>aesthetic</w:t>
      </w:r>
      <w:proofErr w:type="spellEnd"/>
      <w:r w:rsidRPr="002906A3">
        <w:t xml:space="preserve"> </w:t>
      </w:r>
      <w:proofErr w:type="spellStart"/>
      <w:r w:rsidRPr="002906A3">
        <w:t>and</w:t>
      </w:r>
      <w:proofErr w:type="spellEnd"/>
      <w:r w:rsidRPr="002906A3">
        <w:t xml:space="preserve"> </w:t>
      </w:r>
      <w:proofErr w:type="spellStart"/>
      <w:r w:rsidRPr="002906A3">
        <w:t>cultural</w:t>
      </w:r>
      <w:proofErr w:type="spellEnd"/>
      <w:r w:rsidRPr="002906A3">
        <w:t xml:space="preserve"> </w:t>
      </w:r>
      <w:proofErr w:type="spellStart"/>
      <w:r w:rsidRPr="002906A3">
        <w:t>richness</w:t>
      </w:r>
      <w:proofErr w:type="spellEnd"/>
      <w:r w:rsidRPr="002906A3">
        <w:t xml:space="preserve"> of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in </w:t>
      </w:r>
      <w:proofErr w:type="spellStart"/>
      <w:r w:rsidRPr="002906A3">
        <w:t>the</w:t>
      </w:r>
      <w:proofErr w:type="spellEnd"/>
      <w:r w:rsidRPr="002906A3">
        <w:t xml:space="preserve"> </w:t>
      </w:r>
      <w:proofErr w:type="spellStart"/>
      <w:r w:rsidRPr="002906A3">
        <w:t>field</w:t>
      </w:r>
      <w:proofErr w:type="spellEnd"/>
      <w:r w:rsidRPr="002906A3">
        <w:t xml:space="preserve"> of </w:t>
      </w:r>
      <w:proofErr w:type="spellStart"/>
      <w:r w:rsidRPr="002906A3">
        <w:t>arts</w:t>
      </w:r>
      <w:proofErr w:type="spellEnd"/>
      <w:r w:rsidRPr="002906A3">
        <w:t xml:space="preserve"> </w:t>
      </w:r>
      <w:proofErr w:type="spellStart"/>
      <w:r w:rsidRPr="002906A3">
        <w:t>and</w:t>
      </w:r>
      <w:proofErr w:type="spellEnd"/>
      <w:r w:rsidRPr="002906A3">
        <w:t xml:space="preserve"> </w:t>
      </w:r>
      <w:proofErr w:type="spellStart"/>
      <w:r w:rsidRPr="002906A3">
        <w:t>crafts</w:t>
      </w:r>
      <w:proofErr w:type="spellEnd"/>
      <w:r w:rsidRPr="002906A3">
        <w:t xml:space="preserve">.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figures</w:t>
      </w:r>
      <w:proofErr w:type="spellEnd"/>
      <w:r w:rsidRPr="002906A3">
        <w:t xml:space="preserve"> in </w:t>
      </w:r>
      <w:proofErr w:type="spellStart"/>
      <w:r w:rsidRPr="002906A3">
        <w:t>crafts</w:t>
      </w:r>
      <w:proofErr w:type="spellEnd"/>
      <w:r w:rsidRPr="002906A3">
        <w:t xml:space="preserve"> </w:t>
      </w:r>
      <w:proofErr w:type="spellStart"/>
      <w:r w:rsidRPr="002906A3">
        <w:t>such</w:t>
      </w:r>
      <w:proofErr w:type="spellEnd"/>
      <w:r w:rsidRPr="002906A3">
        <w:t xml:space="preserve"> as </w:t>
      </w:r>
      <w:proofErr w:type="spellStart"/>
      <w:r w:rsidRPr="002906A3">
        <w:t>gold</w:t>
      </w:r>
      <w:proofErr w:type="spellEnd"/>
      <w:r w:rsidRPr="002906A3">
        <w:t xml:space="preserve"> </w:t>
      </w:r>
      <w:proofErr w:type="spellStart"/>
      <w:r w:rsidRPr="002906A3">
        <w:t>ornaments</w:t>
      </w:r>
      <w:proofErr w:type="spellEnd"/>
      <w:r w:rsidRPr="002906A3">
        <w:t xml:space="preserve">, </w:t>
      </w:r>
      <w:proofErr w:type="spellStart"/>
      <w:r w:rsidRPr="002906A3">
        <w:t>weaving</w:t>
      </w:r>
      <w:proofErr w:type="spellEnd"/>
      <w:r w:rsidRPr="002906A3">
        <w:t xml:space="preserve"> </w:t>
      </w:r>
      <w:proofErr w:type="spellStart"/>
      <w:r w:rsidRPr="002906A3">
        <w:t>products</w:t>
      </w:r>
      <w:proofErr w:type="spellEnd"/>
      <w:r w:rsidRPr="002906A3">
        <w:t xml:space="preserve">, stone </w:t>
      </w:r>
      <w:proofErr w:type="spellStart"/>
      <w:r w:rsidRPr="002906A3">
        <w:t>carvings</w:t>
      </w:r>
      <w:proofErr w:type="spellEnd"/>
      <w:r w:rsidRPr="002906A3">
        <w:t xml:space="preserve"> </w:t>
      </w:r>
      <w:proofErr w:type="spellStart"/>
      <w:r w:rsidRPr="002906A3">
        <w:t>and</w:t>
      </w:r>
      <w:proofErr w:type="spellEnd"/>
      <w:r w:rsidRPr="002906A3">
        <w:t xml:space="preserve"> </w:t>
      </w:r>
      <w:proofErr w:type="spellStart"/>
      <w:r w:rsidRPr="002906A3">
        <w:t>metalworking</w:t>
      </w:r>
      <w:proofErr w:type="spellEnd"/>
      <w:r w:rsidRPr="002906A3">
        <w:t xml:space="preserve"> </w:t>
      </w:r>
      <w:proofErr w:type="spellStart"/>
      <w:r w:rsidRPr="002906A3">
        <w:t>reveal</w:t>
      </w:r>
      <w:proofErr w:type="spellEnd"/>
      <w:r w:rsidRPr="002906A3">
        <w:t xml:space="preserve"> </w:t>
      </w:r>
      <w:proofErr w:type="spellStart"/>
      <w:r w:rsidRPr="002906A3">
        <w:t>the</w:t>
      </w:r>
      <w:proofErr w:type="spellEnd"/>
      <w:r w:rsidRPr="002906A3">
        <w:t xml:space="preserve"> </w:t>
      </w:r>
      <w:proofErr w:type="spellStart"/>
      <w:r w:rsidRPr="002906A3">
        <w:t>multifaceted</w:t>
      </w:r>
      <w:proofErr w:type="spellEnd"/>
      <w:r w:rsidRPr="002906A3">
        <w:t xml:space="preserve"> </w:t>
      </w:r>
      <w:proofErr w:type="spellStart"/>
      <w:r w:rsidRPr="002906A3">
        <w:t>nature</w:t>
      </w:r>
      <w:proofErr w:type="spellEnd"/>
      <w:r w:rsidRPr="002906A3">
        <w:t xml:space="preserve"> of </w:t>
      </w:r>
      <w:proofErr w:type="spellStart"/>
      <w:r w:rsidRPr="002906A3">
        <w:t>the</w:t>
      </w:r>
      <w:proofErr w:type="spellEnd"/>
      <w:r w:rsidRPr="002906A3">
        <w:t xml:space="preserve"> art. </w:t>
      </w:r>
      <w:proofErr w:type="spellStart"/>
      <w:r w:rsidRPr="002906A3">
        <w:t>In</w:t>
      </w:r>
      <w:proofErr w:type="spellEnd"/>
      <w:r w:rsidRPr="002906A3">
        <w:t xml:space="preserve"> Hun art, </w:t>
      </w:r>
      <w:proofErr w:type="spellStart"/>
      <w:r w:rsidRPr="002906A3">
        <w:t>animal</w:t>
      </w:r>
      <w:proofErr w:type="spellEnd"/>
      <w:r w:rsidRPr="002906A3">
        <w:t xml:space="preserve"> </w:t>
      </w:r>
      <w:proofErr w:type="spellStart"/>
      <w:r w:rsidRPr="002906A3">
        <w:t>figures</w:t>
      </w:r>
      <w:proofErr w:type="spellEnd"/>
      <w:r w:rsidRPr="002906A3">
        <w:t xml:space="preserve"> </w:t>
      </w:r>
      <w:proofErr w:type="spellStart"/>
      <w:r w:rsidRPr="002906A3">
        <w:t>such</w:t>
      </w:r>
      <w:proofErr w:type="spellEnd"/>
      <w:r w:rsidRPr="002906A3">
        <w:t xml:space="preserve"> as </w:t>
      </w:r>
      <w:proofErr w:type="spellStart"/>
      <w:r w:rsidRPr="002906A3">
        <w:t>deer</w:t>
      </w:r>
      <w:proofErr w:type="spellEnd"/>
      <w:r w:rsidRPr="002906A3">
        <w:t xml:space="preserve">, </w:t>
      </w:r>
      <w:proofErr w:type="spellStart"/>
      <w:r w:rsidRPr="002906A3">
        <w:t>eagle</w:t>
      </w:r>
      <w:proofErr w:type="spellEnd"/>
      <w:r w:rsidRPr="002906A3">
        <w:t xml:space="preserve">, </w:t>
      </w:r>
      <w:proofErr w:type="spellStart"/>
      <w:r w:rsidRPr="002906A3">
        <w:t>tiger</w:t>
      </w:r>
      <w:proofErr w:type="spellEnd"/>
      <w:r w:rsidRPr="002906A3">
        <w:t xml:space="preserve">, </w:t>
      </w:r>
      <w:proofErr w:type="spellStart"/>
      <w:r w:rsidRPr="002906A3">
        <w:t>lion</w:t>
      </w:r>
      <w:proofErr w:type="spellEnd"/>
      <w:r w:rsidRPr="002906A3">
        <w:t xml:space="preserve"> (</w:t>
      </w:r>
      <w:proofErr w:type="spellStart"/>
      <w:r w:rsidRPr="002906A3">
        <w:t>griffon</w:t>
      </w:r>
      <w:proofErr w:type="spellEnd"/>
      <w:r w:rsidRPr="002906A3">
        <w:t xml:space="preserve">) </w:t>
      </w:r>
      <w:proofErr w:type="spellStart"/>
      <w:r w:rsidRPr="002906A3">
        <w:t>were</w:t>
      </w:r>
      <w:proofErr w:type="spellEnd"/>
      <w:r w:rsidRPr="002906A3">
        <w:t xml:space="preserve"> </w:t>
      </w:r>
      <w:proofErr w:type="spellStart"/>
      <w:r w:rsidRPr="002906A3">
        <w:t>handled</w:t>
      </w:r>
      <w:proofErr w:type="spellEnd"/>
      <w:r w:rsidRPr="002906A3">
        <w:t xml:space="preserve"> </w:t>
      </w:r>
      <w:proofErr w:type="spellStart"/>
      <w:r w:rsidRPr="002906A3">
        <w:t>with</w:t>
      </w:r>
      <w:proofErr w:type="spellEnd"/>
      <w:r w:rsidRPr="002906A3">
        <w:t xml:space="preserve"> </w:t>
      </w:r>
      <w:proofErr w:type="spellStart"/>
      <w:r w:rsidRPr="002906A3">
        <w:t>both</w:t>
      </w:r>
      <w:proofErr w:type="spellEnd"/>
      <w:r w:rsidRPr="002906A3">
        <w:t xml:space="preserve"> </w:t>
      </w:r>
      <w:proofErr w:type="spellStart"/>
      <w:r w:rsidRPr="002906A3">
        <w:t>realistic</w:t>
      </w:r>
      <w:proofErr w:type="spellEnd"/>
      <w:r w:rsidRPr="002906A3">
        <w:t xml:space="preserve"> </w:t>
      </w:r>
      <w:proofErr w:type="spellStart"/>
      <w:r w:rsidRPr="002906A3">
        <w:t>and</w:t>
      </w:r>
      <w:proofErr w:type="spellEnd"/>
      <w:r w:rsidRPr="002906A3">
        <w:t xml:space="preserve"> </w:t>
      </w:r>
      <w:proofErr w:type="spellStart"/>
      <w:r w:rsidRPr="002906A3">
        <w:t>mythological</w:t>
      </w:r>
      <w:proofErr w:type="spellEnd"/>
      <w:r w:rsidRPr="002906A3">
        <w:t xml:space="preserve"> </w:t>
      </w:r>
      <w:proofErr w:type="spellStart"/>
      <w:r w:rsidRPr="002906A3">
        <w:t>depictions</w:t>
      </w:r>
      <w:proofErr w:type="spellEnd"/>
      <w:r w:rsidRPr="002906A3">
        <w:t xml:space="preserve">. </w:t>
      </w:r>
      <w:proofErr w:type="spellStart"/>
      <w:r w:rsidRPr="002906A3">
        <w:t>In</w:t>
      </w:r>
      <w:proofErr w:type="spellEnd"/>
      <w:r w:rsidRPr="002906A3">
        <w:t xml:space="preserve"> </w:t>
      </w:r>
      <w:proofErr w:type="spellStart"/>
      <w:r w:rsidRPr="002906A3">
        <w:t>addition</w:t>
      </w:r>
      <w:proofErr w:type="spellEnd"/>
      <w:r w:rsidRPr="002906A3">
        <w:t xml:space="preserve"> </w:t>
      </w:r>
      <w:proofErr w:type="spellStart"/>
      <w:r w:rsidRPr="002906A3">
        <w:t>to</w:t>
      </w:r>
      <w:proofErr w:type="spellEnd"/>
      <w:r w:rsidRPr="002906A3">
        <w:t xml:space="preserve"> </w:t>
      </w:r>
      <w:proofErr w:type="spellStart"/>
      <w:r w:rsidRPr="002906A3">
        <w:t>their</w:t>
      </w:r>
      <w:proofErr w:type="spellEnd"/>
      <w:r w:rsidRPr="002906A3">
        <w:t xml:space="preserve"> </w:t>
      </w:r>
      <w:proofErr w:type="spellStart"/>
      <w:r w:rsidRPr="002906A3">
        <w:t>aesthetic</w:t>
      </w:r>
      <w:proofErr w:type="spellEnd"/>
      <w:r w:rsidRPr="002906A3">
        <w:t xml:space="preserve"> </w:t>
      </w:r>
      <w:proofErr w:type="spellStart"/>
      <w:r w:rsidRPr="002906A3">
        <w:t>value</w:t>
      </w:r>
      <w:proofErr w:type="spellEnd"/>
      <w:r w:rsidRPr="002906A3">
        <w:t xml:space="preserve">, </w:t>
      </w:r>
      <w:proofErr w:type="spellStart"/>
      <w:r w:rsidRPr="002906A3">
        <w:t>these</w:t>
      </w:r>
      <w:proofErr w:type="spellEnd"/>
      <w:r w:rsidRPr="002906A3">
        <w:t xml:space="preserve"> </w:t>
      </w:r>
      <w:proofErr w:type="spellStart"/>
      <w:r w:rsidRPr="002906A3">
        <w:t>figures</w:t>
      </w:r>
      <w:proofErr w:type="spellEnd"/>
      <w:r w:rsidRPr="002906A3">
        <w:t xml:space="preserve"> </w:t>
      </w:r>
      <w:proofErr w:type="spellStart"/>
      <w:r w:rsidRPr="002906A3">
        <w:t>express</w:t>
      </w:r>
      <w:proofErr w:type="spellEnd"/>
      <w:r w:rsidRPr="002906A3">
        <w:t xml:space="preserve"> </w:t>
      </w:r>
      <w:proofErr w:type="spellStart"/>
      <w:r w:rsidRPr="002906A3">
        <w:t>the</w:t>
      </w:r>
      <w:proofErr w:type="spellEnd"/>
      <w:r w:rsidRPr="002906A3">
        <w:t xml:space="preserve"> </w:t>
      </w:r>
      <w:proofErr w:type="spellStart"/>
      <w:r w:rsidRPr="002906A3">
        <w:t>belief</w:t>
      </w:r>
      <w:proofErr w:type="spellEnd"/>
      <w:r w:rsidRPr="002906A3">
        <w:t xml:space="preserve"> </w:t>
      </w:r>
      <w:proofErr w:type="spellStart"/>
      <w:r w:rsidRPr="002906A3">
        <w:t>systems</w:t>
      </w:r>
      <w:proofErr w:type="spellEnd"/>
      <w:r w:rsidRPr="002906A3">
        <w:t xml:space="preserve"> </w:t>
      </w:r>
      <w:proofErr w:type="spellStart"/>
      <w:r w:rsidRPr="002906A3">
        <w:t>and</w:t>
      </w:r>
      <w:proofErr w:type="spellEnd"/>
      <w:r w:rsidRPr="002906A3">
        <w:t xml:space="preserve"> </w:t>
      </w:r>
      <w:proofErr w:type="spellStart"/>
      <w:r w:rsidRPr="002906A3">
        <w:t>cosmological</w:t>
      </w:r>
      <w:proofErr w:type="spellEnd"/>
      <w:r w:rsidRPr="002906A3">
        <w:t xml:space="preserve"> </w:t>
      </w:r>
      <w:proofErr w:type="spellStart"/>
      <w:r w:rsidRPr="002906A3">
        <w:t>imaginations</w:t>
      </w:r>
      <w:proofErr w:type="spellEnd"/>
      <w:r w:rsidRPr="002906A3">
        <w:t xml:space="preserve"> of </w:t>
      </w:r>
      <w:proofErr w:type="spellStart"/>
      <w:r w:rsidRPr="002906A3">
        <w:t>societies</w:t>
      </w:r>
      <w:proofErr w:type="spellEnd"/>
      <w:r w:rsidRPr="002906A3">
        <w:t xml:space="preserve">. </w:t>
      </w:r>
      <w:proofErr w:type="spellStart"/>
      <w:r w:rsidRPr="002906A3">
        <w:t>Especially</w:t>
      </w:r>
      <w:proofErr w:type="spellEnd"/>
      <w:r w:rsidRPr="002906A3">
        <w:t xml:space="preserve"> </w:t>
      </w:r>
      <w:proofErr w:type="spellStart"/>
      <w:r w:rsidRPr="002906A3">
        <w:t>struggle</w:t>
      </w:r>
      <w:proofErr w:type="spellEnd"/>
      <w:r w:rsidRPr="002906A3">
        <w:t xml:space="preserve"> </w:t>
      </w:r>
      <w:proofErr w:type="spellStart"/>
      <w:r w:rsidRPr="002906A3">
        <w:t>scenes</w:t>
      </w:r>
      <w:proofErr w:type="spellEnd"/>
      <w:r w:rsidRPr="002906A3">
        <w:t xml:space="preserve">, </w:t>
      </w:r>
      <w:proofErr w:type="spellStart"/>
      <w:r w:rsidRPr="002906A3">
        <w:t>fantastic</w:t>
      </w:r>
      <w:proofErr w:type="spellEnd"/>
      <w:r w:rsidRPr="002906A3">
        <w:t xml:space="preserve"> </w:t>
      </w:r>
      <w:proofErr w:type="spellStart"/>
      <w:r w:rsidRPr="002906A3">
        <w:t>creatures</w:t>
      </w:r>
      <w:proofErr w:type="spellEnd"/>
      <w:r w:rsidRPr="002906A3">
        <w:t xml:space="preserve"> </w:t>
      </w:r>
      <w:proofErr w:type="spellStart"/>
      <w:r w:rsidRPr="002906A3">
        <w:t>and</w:t>
      </w:r>
      <w:proofErr w:type="spellEnd"/>
      <w:r w:rsidRPr="002906A3">
        <w:t xml:space="preserve"> </w:t>
      </w:r>
      <w:proofErr w:type="spellStart"/>
      <w:r w:rsidRPr="002906A3">
        <w:t>figures</w:t>
      </w:r>
      <w:proofErr w:type="spellEnd"/>
      <w:r w:rsidRPr="002906A3">
        <w:t xml:space="preserve"> </w:t>
      </w:r>
      <w:proofErr w:type="spellStart"/>
      <w:r w:rsidRPr="002906A3">
        <w:t>symbolising</w:t>
      </w:r>
      <w:proofErr w:type="spellEnd"/>
      <w:r w:rsidRPr="002906A3">
        <w:t xml:space="preserve"> </w:t>
      </w:r>
      <w:proofErr w:type="spellStart"/>
      <w:r w:rsidRPr="002906A3">
        <w:t>nature</w:t>
      </w:r>
      <w:proofErr w:type="spellEnd"/>
      <w:r w:rsidRPr="002906A3">
        <w:t xml:space="preserve"> </w:t>
      </w:r>
      <w:proofErr w:type="spellStart"/>
      <w:r w:rsidRPr="002906A3">
        <w:t>offer</w:t>
      </w:r>
      <w:proofErr w:type="spellEnd"/>
      <w:r w:rsidRPr="002906A3">
        <w:t xml:space="preserve"> a </w:t>
      </w:r>
      <w:proofErr w:type="spellStart"/>
      <w:r w:rsidRPr="002906A3">
        <w:t>dynamic</w:t>
      </w:r>
      <w:proofErr w:type="spellEnd"/>
      <w:r w:rsidRPr="002906A3">
        <w:t xml:space="preserve"> </w:t>
      </w:r>
      <w:proofErr w:type="spellStart"/>
      <w:r w:rsidRPr="002906A3">
        <w:t>expression</w:t>
      </w:r>
      <w:proofErr w:type="spellEnd"/>
      <w:r w:rsidRPr="002906A3">
        <w:t xml:space="preserve"> in Hun art. </w:t>
      </w:r>
      <w:proofErr w:type="spellStart"/>
      <w:r w:rsidRPr="002906A3">
        <w:t>The</w:t>
      </w:r>
      <w:proofErr w:type="spellEnd"/>
      <w:r w:rsidRPr="002906A3">
        <w:t xml:space="preserve"> </w:t>
      </w:r>
      <w:proofErr w:type="spellStart"/>
      <w:r w:rsidRPr="002906A3">
        <w:t>techniques</w:t>
      </w:r>
      <w:proofErr w:type="spellEnd"/>
      <w:r w:rsidRPr="002906A3">
        <w:t xml:space="preserve"> </w:t>
      </w:r>
      <w:proofErr w:type="spellStart"/>
      <w:r w:rsidRPr="002906A3">
        <w:t>used</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Huns</w:t>
      </w:r>
      <w:proofErr w:type="spellEnd"/>
      <w:r w:rsidRPr="002906A3">
        <w:t xml:space="preserve"> </w:t>
      </w:r>
      <w:proofErr w:type="spellStart"/>
      <w:r w:rsidRPr="002906A3">
        <w:t>to</w:t>
      </w:r>
      <w:proofErr w:type="spellEnd"/>
      <w:r w:rsidRPr="002906A3">
        <w:t xml:space="preserve"> </w:t>
      </w:r>
      <w:proofErr w:type="spellStart"/>
      <w:r w:rsidRPr="002906A3">
        <w:t>depict</w:t>
      </w:r>
      <w:proofErr w:type="spellEnd"/>
      <w:r w:rsidRPr="002906A3">
        <w:t xml:space="preserve"> </w:t>
      </w:r>
      <w:proofErr w:type="spellStart"/>
      <w:r w:rsidRPr="002906A3">
        <w:t>animal</w:t>
      </w:r>
      <w:proofErr w:type="spellEnd"/>
      <w:r w:rsidRPr="002906A3">
        <w:t xml:space="preserve"> </w:t>
      </w:r>
      <w:proofErr w:type="spellStart"/>
      <w:r w:rsidRPr="002906A3">
        <w:t>figures</w:t>
      </w:r>
      <w:proofErr w:type="spellEnd"/>
      <w:r w:rsidRPr="002906A3">
        <w:t xml:space="preserve"> </w:t>
      </w:r>
      <w:proofErr w:type="spellStart"/>
      <w:r w:rsidRPr="002906A3">
        <w:t>include</w:t>
      </w:r>
      <w:proofErr w:type="spellEnd"/>
      <w:r w:rsidRPr="002906A3">
        <w:t xml:space="preserve"> </w:t>
      </w:r>
      <w:proofErr w:type="spellStart"/>
      <w:r w:rsidRPr="002906A3">
        <w:t>forging</w:t>
      </w:r>
      <w:proofErr w:type="spellEnd"/>
      <w:r w:rsidRPr="002906A3">
        <w:t xml:space="preserve">, </w:t>
      </w:r>
      <w:proofErr w:type="spellStart"/>
      <w:r w:rsidRPr="002906A3">
        <w:t>weaving</w:t>
      </w:r>
      <w:proofErr w:type="spellEnd"/>
      <w:r w:rsidRPr="002906A3">
        <w:t xml:space="preserve">, </w:t>
      </w:r>
      <w:proofErr w:type="spellStart"/>
      <w:r w:rsidRPr="002906A3">
        <w:t>metalwork</w:t>
      </w:r>
      <w:proofErr w:type="spellEnd"/>
      <w:r w:rsidRPr="002906A3">
        <w:t xml:space="preserve"> </w:t>
      </w:r>
      <w:proofErr w:type="spellStart"/>
      <w:r w:rsidRPr="002906A3">
        <w:t>and</w:t>
      </w:r>
      <w:proofErr w:type="spellEnd"/>
      <w:r w:rsidRPr="002906A3">
        <w:t xml:space="preserve"> stone </w:t>
      </w:r>
      <w:proofErr w:type="spellStart"/>
      <w:r w:rsidRPr="002906A3">
        <w:t>carving</w:t>
      </w:r>
      <w:proofErr w:type="spellEnd"/>
      <w:r w:rsidRPr="002906A3">
        <w:t xml:space="preserve">. </w:t>
      </w:r>
      <w:proofErr w:type="spellStart"/>
      <w:r w:rsidRPr="002906A3">
        <w:t>This</w:t>
      </w:r>
      <w:proofErr w:type="spellEnd"/>
      <w:r w:rsidRPr="002906A3">
        <w:t xml:space="preserve"> </w:t>
      </w:r>
      <w:proofErr w:type="spellStart"/>
      <w:r w:rsidRPr="002906A3">
        <w:t>diversity</w:t>
      </w:r>
      <w:proofErr w:type="spellEnd"/>
      <w:r w:rsidRPr="002906A3">
        <w:t xml:space="preserve"> </w:t>
      </w:r>
      <w:proofErr w:type="spellStart"/>
      <w:r w:rsidRPr="002906A3">
        <w:t>reflects</w:t>
      </w:r>
      <w:proofErr w:type="spellEnd"/>
      <w:r w:rsidRPr="002906A3">
        <w:t xml:space="preserve"> </w:t>
      </w:r>
      <w:proofErr w:type="spellStart"/>
      <w:r w:rsidRPr="002906A3">
        <w:t>the</w:t>
      </w:r>
      <w:proofErr w:type="spellEnd"/>
      <w:r w:rsidRPr="002906A3">
        <w:t xml:space="preserve"> </w:t>
      </w:r>
      <w:proofErr w:type="spellStart"/>
      <w:r w:rsidRPr="002906A3">
        <w:t>richness</w:t>
      </w:r>
      <w:proofErr w:type="spellEnd"/>
      <w:r w:rsidRPr="002906A3">
        <w:t xml:space="preserve"> of art </w:t>
      </w:r>
      <w:proofErr w:type="spellStart"/>
      <w:r w:rsidRPr="002906A3">
        <w:t>and</w:t>
      </w:r>
      <w:proofErr w:type="spellEnd"/>
      <w:r w:rsidRPr="002906A3">
        <w:t xml:space="preserve"> </w:t>
      </w:r>
      <w:proofErr w:type="spellStart"/>
      <w:r w:rsidRPr="002906A3">
        <w:t>the</w:t>
      </w:r>
      <w:proofErr w:type="spellEnd"/>
      <w:r w:rsidRPr="002906A3">
        <w:t xml:space="preserve"> </w:t>
      </w:r>
      <w:proofErr w:type="spellStart"/>
      <w:r w:rsidRPr="002906A3">
        <w:t>Huns</w:t>
      </w:r>
      <w:proofErr w:type="spellEnd"/>
      <w:r w:rsidRPr="002906A3">
        <w:t xml:space="preserve">' </w:t>
      </w:r>
      <w:proofErr w:type="spellStart"/>
      <w:r w:rsidRPr="002906A3">
        <w:t>relationship</w:t>
      </w:r>
      <w:proofErr w:type="spellEnd"/>
      <w:r w:rsidRPr="002906A3">
        <w:t xml:space="preserve"> </w:t>
      </w:r>
      <w:proofErr w:type="spellStart"/>
      <w:r w:rsidRPr="002906A3">
        <w:t>with</w:t>
      </w:r>
      <w:proofErr w:type="spellEnd"/>
      <w:r w:rsidRPr="002906A3">
        <w:t xml:space="preserve"> </w:t>
      </w:r>
      <w:proofErr w:type="spellStart"/>
      <w:r w:rsidRPr="002906A3">
        <w:t>nature</w:t>
      </w:r>
      <w:proofErr w:type="spellEnd"/>
      <w:r w:rsidRPr="002906A3">
        <w:t xml:space="preserve"> in a </w:t>
      </w:r>
      <w:proofErr w:type="spellStart"/>
      <w:r w:rsidRPr="002906A3">
        <w:t>concrete</w:t>
      </w:r>
      <w:proofErr w:type="spellEnd"/>
      <w:r w:rsidRPr="002906A3">
        <w:t xml:space="preserve"> </w:t>
      </w:r>
      <w:proofErr w:type="spellStart"/>
      <w:r w:rsidRPr="002906A3">
        <w:t>way</w:t>
      </w:r>
      <w:proofErr w:type="spellEnd"/>
      <w:r w:rsidRPr="002906A3">
        <w:t xml:space="preserve">. </w:t>
      </w:r>
      <w:proofErr w:type="spellStart"/>
      <w:r w:rsidRPr="002906A3">
        <w:t>This</w:t>
      </w:r>
      <w:proofErr w:type="spellEnd"/>
      <w:r w:rsidRPr="002906A3">
        <w:t xml:space="preserve"> </w:t>
      </w:r>
      <w:proofErr w:type="spellStart"/>
      <w:r w:rsidRPr="002906A3">
        <w:t>study</w:t>
      </w:r>
      <w:proofErr w:type="spellEnd"/>
      <w:r w:rsidRPr="002906A3">
        <w:t xml:space="preserve"> </w:t>
      </w:r>
      <w:proofErr w:type="spellStart"/>
      <w:r w:rsidRPr="002906A3">
        <w:t>aims</w:t>
      </w:r>
      <w:proofErr w:type="spellEnd"/>
      <w:r w:rsidRPr="002906A3">
        <w:t xml:space="preserve"> </w:t>
      </w:r>
      <w:proofErr w:type="spellStart"/>
      <w:r w:rsidRPr="002906A3">
        <w:t>to</w:t>
      </w:r>
      <w:proofErr w:type="spellEnd"/>
      <w:r w:rsidRPr="002906A3">
        <w:t xml:space="preserve"> </w:t>
      </w:r>
      <w:proofErr w:type="spellStart"/>
      <w:r w:rsidRPr="002906A3">
        <w:t>reveal</w:t>
      </w:r>
      <w:proofErr w:type="spellEnd"/>
      <w:r w:rsidRPr="002906A3">
        <w:t xml:space="preserve"> </w:t>
      </w:r>
      <w:proofErr w:type="spellStart"/>
      <w:r w:rsidRPr="002906A3">
        <w:t>the</w:t>
      </w:r>
      <w:proofErr w:type="spellEnd"/>
      <w:r w:rsidRPr="002906A3">
        <w:t xml:space="preserve"> </w:t>
      </w:r>
      <w:proofErr w:type="spellStart"/>
      <w:r w:rsidRPr="002906A3">
        <w:t>origins</w:t>
      </w:r>
      <w:proofErr w:type="spellEnd"/>
      <w:r w:rsidRPr="002906A3">
        <w:t xml:space="preserve"> </w:t>
      </w:r>
      <w:proofErr w:type="spellStart"/>
      <w:r w:rsidRPr="002906A3">
        <w:t>and</w:t>
      </w:r>
      <w:proofErr w:type="spellEnd"/>
      <w:r w:rsidRPr="002906A3">
        <w:t xml:space="preserve"> </w:t>
      </w:r>
      <w:proofErr w:type="spellStart"/>
      <w:r w:rsidRPr="002906A3">
        <w:t>development</w:t>
      </w:r>
      <w:proofErr w:type="spellEnd"/>
      <w:r w:rsidRPr="002906A3">
        <w:t xml:space="preserve"> of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w:t>
      </w:r>
      <w:proofErr w:type="spellStart"/>
      <w:r w:rsidRPr="002906A3">
        <w:t>and</w:t>
      </w:r>
      <w:proofErr w:type="spellEnd"/>
      <w:r w:rsidRPr="002906A3">
        <w:t xml:space="preserve"> </w:t>
      </w:r>
      <w:proofErr w:type="spellStart"/>
      <w:r w:rsidRPr="002906A3">
        <w:t>its</w:t>
      </w:r>
      <w:proofErr w:type="spellEnd"/>
      <w:r w:rsidRPr="002906A3">
        <w:t xml:space="preserve"> </w:t>
      </w:r>
      <w:proofErr w:type="spellStart"/>
      <w:r w:rsidRPr="002906A3">
        <w:t>importance</w:t>
      </w:r>
      <w:proofErr w:type="spellEnd"/>
      <w:r w:rsidRPr="002906A3">
        <w:t xml:space="preserve"> in Hun art.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is not </w:t>
      </w:r>
      <w:proofErr w:type="spellStart"/>
      <w:r w:rsidRPr="002906A3">
        <w:t>only</w:t>
      </w:r>
      <w:proofErr w:type="spellEnd"/>
      <w:r w:rsidRPr="002906A3">
        <w:t xml:space="preserve"> a form of </w:t>
      </w:r>
      <w:proofErr w:type="spellStart"/>
      <w:r w:rsidRPr="002906A3">
        <w:t>aesthetic</w:t>
      </w:r>
      <w:proofErr w:type="spellEnd"/>
      <w:r w:rsidRPr="002906A3">
        <w:t xml:space="preserve"> </w:t>
      </w:r>
      <w:proofErr w:type="spellStart"/>
      <w:r w:rsidRPr="002906A3">
        <w:t>expression</w:t>
      </w:r>
      <w:proofErr w:type="spellEnd"/>
      <w:r w:rsidRPr="002906A3">
        <w:t xml:space="preserve">, but </w:t>
      </w:r>
      <w:proofErr w:type="spellStart"/>
      <w:r w:rsidRPr="002906A3">
        <w:t>also</w:t>
      </w:r>
      <w:proofErr w:type="spellEnd"/>
      <w:r w:rsidRPr="002906A3">
        <w:t xml:space="preserve"> an </w:t>
      </w:r>
      <w:proofErr w:type="spellStart"/>
      <w:r w:rsidRPr="002906A3">
        <w:t>important</w:t>
      </w:r>
      <w:proofErr w:type="spellEnd"/>
      <w:r w:rsidRPr="002906A3">
        <w:t xml:space="preserve"> </w:t>
      </w:r>
      <w:proofErr w:type="spellStart"/>
      <w:r w:rsidRPr="002906A3">
        <w:t>cultural</w:t>
      </w:r>
      <w:proofErr w:type="spellEnd"/>
      <w:r w:rsidRPr="002906A3">
        <w:t xml:space="preserve"> </w:t>
      </w:r>
      <w:proofErr w:type="spellStart"/>
      <w:r w:rsidRPr="002906A3">
        <w:t>resource</w:t>
      </w:r>
      <w:proofErr w:type="spellEnd"/>
      <w:r w:rsidRPr="002906A3">
        <w:t xml:space="preserve"> </w:t>
      </w:r>
      <w:proofErr w:type="spellStart"/>
      <w:r w:rsidRPr="002906A3">
        <w:t>for</w:t>
      </w:r>
      <w:proofErr w:type="spellEnd"/>
      <w:r w:rsidRPr="002906A3">
        <w:t xml:space="preserve"> </w:t>
      </w:r>
      <w:proofErr w:type="spellStart"/>
      <w:r w:rsidRPr="002906A3">
        <w:t>understanding</w:t>
      </w:r>
      <w:proofErr w:type="spellEnd"/>
      <w:r w:rsidRPr="002906A3">
        <w:t xml:space="preserve"> </w:t>
      </w:r>
      <w:proofErr w:type="spellStart"/>
      <w:r w:rsidRPr="002906A3">
        <w:t>the</w:t>
      </w:r>
      <w:proofErr w:type="spellEnd"/>
      <w:r w:rsidRPr="002906A3">
        <w:t xml:space="preserve"> </w:t>
      </w:r>
      <w:proofErr w:type="spellStart"/>
      <w:r w:rsidRPr="002906A3">
        <w:t>Huns</w:t>
      </w:r>
      <w:proofErr w:type="spellEnd"/>
      <w:r w:rsidRPr="002906A3">
        <w:t xml:space="preserve">' </w:t>
      </w:r>
      <w:proofErr w:type="spellStart"/>
      <w:r w:rsidRPr="002906A3">
        <w:t>relationship</w:t>
      </w:r>
      <w:proofErr w:type="spellEnd"/>
      <w:r w:rsidRPr="002906A3">
        <w:t xml:space="preserve"> </w:t>
      </w:r>
      <w:proofErr w:type="spellStart"/>
      <w:r w:rsidRPr="002906A3">
        <w:t>with</w:t>
      </w:r>
      <w:proofErr w:type="spellEnd"/>
      <w:r w:rsidRPr="002906A3">
        <w:t xml:space="preserve"> </w:t>
      </w:r>
      <w:proofErr w:type="spellStart"/>
      <w:r w:rsidRPr="002906A3">
        <w:t>nature</w:t>
      </w:r>
      <w:proofErr w:type="spellEnd"/>
      <w:r w:rsidRPr="002906A3">
        <w:t xml:space="preserve">, </w:t>
      </w:r>
      <w:proofErr w:type="spellStart"/>
      <w:r w:rsidRPr="002906A3">
        <w:t>cosmological</w:t>
      </w:r>
      <w:proofErr w:type="spellEnd"/>
      <w:r w:rsidRPr="002906A3">
        <w:t xml:space="preserve"> </w:t>
      </w:r>
      <w:proofErr w:type="spellStart"/>
      <w:r w:rsidRPr="002906A3">
        <w:t>beliefs</w:t>
      </w:r>
      <w:proofErr w:type="spellEnd"/>
      <w:r w:rsidRPr="002906A3">
        <w:t xml:space="preserve"> </w:t>
      </w:r>
      <w:proofErr w:type="spellStart"/>
      <w:r w:rsidRPr="002906A3">
        <w:t>and</w:t>
      </w:r>
      <w:proofErr w:type="spellEnd"/>
      <w:r w:rsidRPr="002906A3">
        <w:t xml:space="preserve"> </w:t>
      </w:r>
      <w:proofErr w:type="spellStart"/>
      <w:r w:rsidRPr="002906A3">
        <w:t>social</w:t>
      </w:r>
      <w:proofErr w:type="spellEnd"/>
      <w:r w:rsidRPr="002906A3">
        <w:t xml:space="preserve"> </w:t>
      </w:r>
      <w:proofErr w:type="spellStart"/>
      <w:r w:rsidRPr="002906A3">
        <w:t>identity</w:t>
      </w:r>
      <w:proofErr w:type="spellEnd"/>
      <w:r w:rsidRPr="002906A3">
        <w:t xml:space="preserve">. Hun art </w:t>
      </w:r>
      <w:proofErr w:type="spellStart"/>
      <w:r w:rsidRPr="002906A3">
        <w:t>seems</w:t>
      </w:r>
      <w:proofErr w:type="spellEnd"/>
      <w:r w:rsidRPr="002906A3">
        <w:t xml:space="preserve"> </w:t>
      </w:r>
      <w:proofErr w:type="spellStart"/>
      <w:r w:rsidRPr="002906A3">
        <w:t>to</w:t>
      </w:r>
      <w:proofErr w:type="spellEnd"/>
      <w:r w:rsidRPr="002906A3">
        <w:t xml:space="preserve"> </w:t>
      </w:r>
      <w:proofErr w:type="spellStart"/>
      <w:r w:rsidRPr="002906A3">
        <w:t>have</w:t>
      </w:r>
      <w:proofErr w:type="spellEnd"/>
      <w:r w:rsidRPr="002906A3">
        <w:t xml:space="preserve"> </w:t>
      </w:r>
      <w:proofErr w:type="spellStart"/>
      <w:r w:rsidRPr="002906A3">
        <w:t>influenced</w:t>
      </w:r>
      <w:proofErr w:type="spellEnd"/>
      <w:r w:rsidRPr="002906A3">
        <w:t xml:space="preserve"> </w:t>
      </w:r>
      <w:proofErr w:type="spellStart"/>
      <w:r w:rsidRPr="002906A3">
        <w:t>the</w:t>
      </w:r>
      <w:proofErr w:type="spellEnd"/>
      <w:r w:rsidRPr="002906A3">
        <w:t xml:space="preserve"> </w:t>
      </w:r>
      <w:proofErr w:type="spellStart"/>
      <w:r w:rsidRPr="002906A3">
        <w:t>artistic</w:t>
      </w:r>
      <w:proofErr w:type="spellEnd"/>
      <w:r w:rsidRPr="002906A3">
        <w:t xml:space="preserve"> </w:t>
      </w:r>
      <w:proofErr w:type="spellStart"/>
      <w:r w:rsidRPr="002906A3">
        <w:t>conception</w:t>
      </w:r>
      <w:proofErr w:type="spellEnd"/>
      <w:r w:rsidRPr="002906A3">
        <w:t xml:space="preserve"> of </w:t>
      </w:r>
      <w:proofErr w:type="spellStart"/>
      <w:r w:rsidRPr="002906A3">
        <w:t>later</w:t>
      </w:r>
      <w:proofErr w:type="spellEnd"/>
      <w:r w:rsidRPr="002906A3">
        <w:t xml:space="preserve"> </w:t>
      </w:r>
      <w:proofErr w:type="spellStart"/>
      <w:r w:rsidRPr="002906A3">
        <w:t>Turkic</w:t>
      </w:r>
      <w:proofErr w:type="spellEnd"/>
      <w:r w:rsidRPr="002906A3">
        <w:t xml:space="preserve"> </w:t>
      </w:r>
      <w:proofErr w:type="spellStart"/>
      <w:r w:rsidRPr="002906A3">
        <w:t>communities</w:t>
      </w:r>
      <w:proofErr w:type="spellEnd"/>
      <w:r w:rsidRPr="002906A3">
        <w:t xml:space="preserve"> </w:t>
      </w:r>
      <w:proofErr w:type="spellStart"/>
      <w:r w:rsidRPr="002906A3">
        <w:t>such</w:t>
      </w:r>
      <w:proofErr w:type="spellEnd"/>
      <w:r w:rsidRPr="002906A3">
        <w:t xml:space="preserve"> as </w:t>
      </w:r>
      <w:proofErr w:type="spellStart"/>
      <w:r w:rsidRPr="002906A3">
        <w:t>the</w:t>
      </w:r>
      <w:proofErr w:type="spellEnd"/>
      <w:r w:rsidRPr="002906A3">
        <w:t xml:space="preserve"> </w:t>
      </w:r>
      <w:proofErr w:type="spellStart"/>
      <w:r w:rsidRPr="002906A3">
        <w:t>Gokturks</w:t>
      </w:r>
      <w:proofErr w:type="spellEnd"/>
      <w:r w:rsidRPr="002906A3">
        <w:t xml:space="preserve"> </w:t>
      </w:r>
      <w:proofErr w:type="spellStart"/>
      <w:r w:rsidRPr="002906A3">
        <w:t>and</w:t>
      </w:r>
      <w:proofErr w:type="spellEnd"/>
      <w:r w:rsidRPr="002906A3">
        <w:t xml:space="preserve"> </w:t>
      </w:r>
      <w:proofErr w:type="spellStart"/>
      <w:r w:rsidRPr="002906A3">
        <w:t>Uighurs</w:t>
      </w:r>
      <w:proofErr w:type="spellEnd"/>
      <w:r w:rsidRPr="002906A3">
        <w:t xml:space="preserve">. </w:t>
      </w:r>
      <w:proofErr w:type="spellStart"/>
      <w:r w:rsidRPr="002906A3">
        <w:t>Archaeological</w:t>
      </w:r>
      <w:proofErr w:type="spellEnd"/>
      <w:r w:rsidRPr="002906A3">
        <w:t xml:space="preserve"> </w:t>
      </w:r>
      <w:proofErr w:type="spellStart"/>
      <w:r w:rsidRPr="002906A3">
        <w:t>finds</w:t>
      </w:r>
      <w:proofErr w:type="spellEnd"/>
      <w:r w:rsidRPr="002906A3">
        <w:t xml:space="preserve"> </w:t>
      </w:r>
      <w:proofErr w:type="spellStart"/>
      <w:r w:rsidRPr="002906A3">
        <w:t>provide</w:t>
      </w:r>
      <w:proofErr w:type="spellEnd"/>
      <w:r w:rsidRPr="002906A3">
        <w:t xml:space="preserve"> a </w:t>
      </w:r>
      <w:proofErr w:type="spellStart"/>
      <w:r w:rsidRPr="002906A3">
        <w:t>better</w:t>
      </w:r>
      <w:proofErr w:type="spellEnd"/>
      <w:r w:rsidRPr="002906A3">
        <w:t xml:space="preserve"> </w:t>
      </w:r>
      <w:proofErr w:type="spellStart"/>
      <w:r w:rsidRPr="002906A3">
        <w:t>understanding</w:t>
      </w:r>
      <w:proofErr w:type="spellEnd"/>
      <w:r w:rsidRPr="002906A3">
        <w:t xml:space="preserve"> of </w:t>
      </w:r>
      <w:proofErr w:type="spellStart"/>
      <w:r w:rsidRPr="002906A3">
        <w:t>the</w:t>
      </w:r>
      <w:proofErr w:type="spellEnd"/>
      <w:r w:rsidRPr="002906A3">
        <w:t xml:space="preserve"> </w:t>
      </w:r>
      <w:proofErr w:type="spellStart"/>
      <w:r w:rsidRPr="002906A3">
        <w:t>place</w:t>
      </w:r>
      <w:proofErr w:type="spellEnd"/>
      <w:r w:rsidRPr="002906A3">
        <w:t xml:space="preserve"> of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in </w:t>
      </w:r>
      <w:proofErr w:type="spellStart"/>
      <w:r w:rsidRPr="002906A3">
        <w:t>proto-Turkic</w:t>
      </w:r>
      <w:proofErr w:type="spellEnd"/>
      <w:r w:rsidRPr="002906A3">
        <w:t xml:space="preserve"> art </w:t>
      </w:r>
      <w:proofErr w:type="spellStart"/>
      <w:r w:rsidRPr="002906A3">
        <w:t>and</w:t>
      </w:r>
      <w:proofErr w:type="spellEnd"/>
      <w:r w:rsidRPr="002906A3">
        <w:t xml:space="preserve"> </w:t>
      </w:r>
      <w:proofErr w:type="spellStart"/>
      <w:r w:rsidRPr="002906A3">
        <w:t>its</w:t>
      </w:r>
      <w:proofErr w:type="spellEnd"/>
      <w:r w:rsidRPr="002906A3">
        <w:t xml:space="preserve"> </w:t>
      </w:r>
      <w:proofErr w:type="spellStart"/>
      <w:r w:rsidRPr="002906A3">
        <w:t>rich</w:t>
      </w:r>
      <w:proofErr w:type="spellEnd"/>
      <w:r w:rsidRPr="002906A3">
        <w:t xml:space="preserve"> </w:t>
      </w:r>
      <w:proofErr w:type="spellStart"/>
      <w:r w:rsidRPr="002906A3">
        <w:t>historical</w:t>
      </w:r>
      <w:proofErr w:type="spellEnd"/>
      <w:r w:rsidRPr="002906A3">
        <w:t xml:space="preserve"> </w:t>
      </w:r>
      <w:proofErr w:type="spellStart"/>
      <w:r w:rsidRPr="002906A3">
        <w:t>context</w:t>
      </w:r>
      <w:proofErr w:type="spellEnd"/>
      <w:r w:rsidRPr="002906A3">
        <w:t xml:space="preserve">. </w:t>
      </w:r>
      <w:proofErr w:type="spellStart"/>
      <w:r w:rsidRPr="002906A3">
        <w:t>In</w:t>
      </w:r>
      <w:proofErr w:type="spellEnd"/>
      <w:r w:rsidRPr="002906A3">
        <w:t xml:space="preserve"> </w:t>
      </w:r>
      <w:proofErr w:type="spellStart"/>
      <w:r w:rsidRPr="002906A3">
        <w:t>conclusion</w:t>
      </w:r>
      <w:proofErr w:type="spellEnd"/>
      <w:r w:rsidRPr="002906A3">
        <w:t xml:space="preserve">, </w:t>
      </w:r>
      <w:proofErr w:type="spellStart"/>
      <w:r w:rsidRPr="002906A3">
        <w:t>the</w:t>
      </w:r>
      <w:proofErr w:type="spellEnd"/>
      <w:r w:rsidRPr="002906A3">
        <w:t xml:space="preserve"> </w:t>
      </w:r>
      <w:proofErr w:type="spellStart"/>
      <w:r w:rsidRPr="002906A3">
        <w:t>animal</w:t>
      </w:r>
      <w:proofErr w:type="spellEnd"/>
      <w:r w:rsidRPr="002906A3">
        <w:t xml:space="preserve"> </w:t>
      </w:r>
      <w:proofErr w:type="spellStart"/>
      <w:r w:rsidRPr="002906A3">
        <w:t>style</w:t>
      </w:r>
      <w:proofErr w:type="spellEnd"/>
      <w:r w:rsidRPr="002906A3">
        <w:t xml:space="preserve"> is </w:t>
      </w:r>
      <w:proofErr w:type="spellStart"/>
      <w:r w:rsidRPr="002906A3">
        <w:t>considered</w:t>
      </w:r>
      <w:proofErr w:type="spellEnd"/>
      <w:r w:rsidRPr="002906A3">
        <w:t xml:space="preserve"> </w:t>
      </w:r>
      <w:proofErr w:type="spellStart"/>
      <w:r w:rsidRPr="002906A3">
        <w:t>to</w:t>
      </w:r>
      <w:proofErr w:type="spellEnd"/>
      <w:r w:rsidRPr="002906A3">
        <w:t xml:space="preserve"> be a </w:t>
      </w:r>
      <w:proofErr w:type="spellStart"/>
      <w:r w:rsidRPr="002906A3">
        <w:t>unique</w:t>
      </w:r>
      <w:proofErr w:type="spellEnd"/>
      <w:r w:rsidRPr="002906A3">
        <w:t xml:space="preserve"> </w:t>
      </w:r>
      <w:proofErr w:type="spellStart"/>
      <w:r w:rsidRPr="002906A3">
        <w:t>style</w:t>
      </w:r>
      <w:proofErr w:type="spellEnd"/>
      <w:r w:rsidRPr="002906A3">
        <w:t xml:space="preserve"> </w:t>
      </w:r>
      <w:proofErr w:type="spellStart"/>
      <w:r w:rsidRPr="002906A3">
        <w:t>that</w:t>
      </w:r>
      <w:proofErr w:type="spellEnd"/>
      <w:r w:rsidRPr="002906A3">
        <w:t xml:space="preserve"> </w:t>
      </w:r>
      <w:proofErr w:type="spellStart"/>
      <w:r w:rsidRPr="002906A3">
        <w:t>reveals</w:t>
      </w:r>
      <w:proofErr w:type="spellEnd"/>
      <w:r w:rsidRPr="002906A3">
        <w:t xml:space="preserve"> </w:t>
      </w:r>
      <w:proofErr w:type="spellStart"/>
      <w:r w:rsidRPr="002906A3">
        <w:t>the</w:t>
      </w:r>
      <w:proofErr w:type="spellEnd"/>
      <w:r w:rsidRPr="002906A3">
        <w:t xml:space="preserve"> </w:t>
      </w:r>
      <w:proofErr w:type="spellStart"/>
      <w:r w:rsidRPr="002906A3">
        <w:t>beliefs</w:t>
      </w:r>
      <w:proofErr w:type="spellEnd"/>
      <w:r w:rsidRPr="002906A3">
        <w:t xml:space="preserve">, </w:t>
      </w:r>
      <w:proofErr w:type="spellStart"/>
      <w:r w:rsidRPr="002906A3">
        <w:t>lifestyles</w:t>
      </w:r>
      <w:proofErr w:type="spellEnd"/>
      <w:r w:rsidRPr="002906A3">
        <w:t xml:space="preserve"> </w:t>
      </w:r>
      <w:proofErr w:type="spellStart"/>
      <w:r w:rsidRPr="002906A3">
        <w:t>and</w:t>
      </w:r>
      <w:proofErr w:type="spellEnd"/>
      <w:r w:rsidRPr="002906A3">
        <w:t xml:space="preserve"> </w:t>
      </w:r>
      <w:proofErr w:type="spellStart"/>
      <w:r w:rsidRPr="002906A3">
        <w:t>artistic</w:t>
      </w:r>
      <w:proofErr w:type="spellEnd"/>
      <w:r w:rsidRPr="002906A3">
        <w:t xml:space="preserve"> </w:t>
      </w:r>
      <w:proofErr w:type="spellStart"/>
      <w:r w:rsidRPr="002906A3">
        <w:t>skills</w:t>
      </w:r>
      <w:proofErr w:type="spellEnd"/>
      <w:r w:rsidRPr="002906A3">
        <w:t xml:space="preserve"> of </w:t>
      </w:r>
      <w:proofErr w:type="spellStart"/>
      <w:r w:rsidRPr="002906A3">
        <w:t>the</w:t>
      </w:r>
      <w:proofErr w:type="spellEnd"/>
      <w:r w:rsidRPr="002906A3">
        <w:t xml:space="preserve"> </w:t>
      </w:r>
      <w:proofErr w:type="spellStart"/>
      <w:r w:rsidRPr="002906A3">
        <w:t>Huns</w:t>
      </w:r>
      <w:proofErr w:type="spellEnd"/>
      <w:r w:rsidRPr="002906A3">
        <w:t xml:space="preserve">. </w:t>
      </w:r>
      <w:proofErr w:type="spellStart"/>
      <w:r w:rsidRPr="002906A3">
        <w:t>This</w:t>
      </w:r>
      <w:proofErr w:type="spellEnd"/>
      <w:r w:rsidRPr="002906A3">
        <w:t xml:space="preserve"> </w:t>
      </w:r>
      <w:proofErr w:type="spellStart"/>
      <w:r w:rsidRPr="002906A3">
        <w:t>understanding</w:t>
      </w:r>
      <w:proofErr w:type="spellEnd"/>
      <w:r w:rsidRPr="002906A3">
        <w:t xml:space="preserve"> of art is of </w:t>
      </w:r>
      <w:proofErr w:type="spellStart"/>
      <w:r w:rsidRPr="002906A3">
        <w:t>great</w:t>
      </w:r>
      <w:proofErr w:type="spellEnd"/>
      <w:r w:rsidRPr="002906A3">
        <w:t xml:space="preserve"> </w:t>
      </w:r>
      <w:proofErr w:type="spellStart"/>
      <w:r w:rsidRPr="002906A3">
        <w:t>importance</w:t>
      </w:r>
      <w:proofErr w:type="spellEnd"/>
      <w:r w:rsidRPr="002906A3">
        <w:t xml:space="preserve"> not </w:t>
      </w:r>
      <w:proofErr w:type="spellStart"/>
      <w:r w:rsidRPr="002906A3">
        <w:t>only</w:t>
      </w:r>
      <w:proofErr w:type="spellEnd"/>
      <w:r w:rsidRPr="002906A3">
        <w:t xml:space="preserve"> </w:t>
      </w:r>
      <w:proofErr w:type="spellStart"/>
      <w:r w:rsidRPr="002906A3">
        <w:t>for</w:t>
      </w:r>
      <w:proofErr w:type="spellEnd"/>
      <w:r w:rsidRPr="002906A3">
        <w:t xml:space="preserve"> </w:t>
      </w:r>
      <w:proofErr w:type="spellStart"/>
      <w:r w:rsidRPr="002906A3">
        <w:t>Turkish</w:t>
      </w:r>
      <w:proofErr w:type="spellEnd"/>
      <w:r w:rsidRPr="002906A3">
        <w:t xml:space="preserve"> </w:t>
      </w:r>
      <w:proofErr w:type="spellStart"/>
      <w:r w:rsidRPr="002906A3">
        <w:t>cultural</w:t>
      </w:r>
      <w:proofErr w:type="spellEnd"/>
      <w:r w:rsidRPr="002906A3">
        <w:t xml:space="preserve"> </w:t>
      </w:r>
      <w:proofErr w:type="spellStart"/>
      <w:r w:rsidRPr="002906A3">
        <w:t>history</w:t>
      </w:r>
      <w:proofErr w:type="spellEnd"/>
      <w:r w:rsidRPr="002906A3">
        <w:t xml:space="preserve"> but </w:t>
      </w:r>
      <w:proofErr w:type="spellStart"/>
      <w:r w:rsidRPr="002906A3">
        <w:t>also</w:t>
      </w:r>
      <w:proofErr w:type="spellEnd"/>
      <w:r w:rsidRPr="002906A3">
        <w:t xml:space="preserve"> </w:t>
      </w:r>
      <w:proofErr w:type="spellStart"/>
      <w:r w:rsidRPr="002906A3">
        <w:t>for</w:t>
      </w:r>
      <w:proofErr w:type="spellEnd"/>
      <w:r w:rsidRPr="002906A3">
        <w:t xml:space="preserve"> </w:t>
      </w:r>
      <w:proofErr w:type="spellStart"/>
      <w:r w:rsidRPr="002906A3">
        <w:t>the</w:t>
      </w:r>
      <w:proofErr w:type="spellEnd"/>
      <w:r w:rsidRPr="002906A3">
        <w:t xml:space="preserve"> </w:t>
      </w:r>
      <w:proofErr w:type="spellStart"/>
      <w:r w:rsidRPr="002906A3">
        <w:t>world</w:t>
      </w:r>
      <w:proofErr w:type="spellEnd"/>
      <w:r w:rsidRPr="002906A3">
        <w:t xml:space="preserve"> </w:t>
      </w:r>
      <w:proofErr w:type="spellStart"/>
      <w:r w:rsidRPr="002906A3">
        <w:t>cultural</w:t>
      </w:r>
      <w:proofErr w:type="spellEnd"/>
      <w:r w:rsidRPr="002906A3">
        <w:t xml:space="preserve"> </w:t>
      </w:r>
      <w:proofErr w:type="spellStart"/>
      <w:r w:rsidRPr="002906A3">
        <w:t>heritage</w:t>
      </w:r>
      <w:proofErr w:type="spellEnd"/>
      <w:r w:rsidRPr="002906A3">
        <w:t>.</w:t>
      </w:r>
    </w:p>
    <w:p w14:paraId="5FC6B610" w14:textId="77777777" w:rsidR="001E7189" w:rsidRPr="002906A3" w:rsidRDefault="001E7189" w:rsidP="00BA67A6">
      <w:pPr>
        <w:jc w:val="both"/>
      </w:pPr>
    </w:p>
    <w:p w14:paraId="6543619F" w14:textId="6170489D" w:rsidR="00C70E93" w:rsidRDefault="001E7189" w:rsidP="00BA67A6">
      <w:pPr>
        <w:jc w:val="both"/>
      </w:pPr>
      <w:proofErr w:type="spellStart"/>
      <w:r w:rsidRPr="002906A3">
        <w:rPr>
          <w:b/>
          <w:bCs/>
        </w:rPr>
        <w:t>Keywords</w:t>
      </w:r>
      <w:proofErr w:type="spellEnd"/>
      <w:r w:rsidRPr="002906A3">
        <w:rPr>
          <w:b/>
          <w:bCs/>
        </w:rPr>
        <w:t>:</w:t>
      </w:r>
      <w:r w:rsidRPr="002906A3">
        <w:t xml:space="preserve"> </w:t>
      </w:r>
      <w:proofErr w:type="spellStart"/>
      <w:r w:rsidRPr="002906A3">
        <w:t>Huns</w:t>
      </w:r>
      <w:proofErr w:type="spellEnd"/>
      <w:r w:rsidRPr="002906A3">
        <w:t xml:space="preserve">, Hun Art, </w:t>
      </w:r>
      <w:proofErr w:type="spellStart"/>
      <w:r w:rsidRPr="002906A3">
        <w:t>Animal</w:t>
      </w:r>
      <w:proofErr w:type="spellEnd"/>
      <w:r w:rsidRPr="002906A3">
        <w:t xml:space="preserve"> Style, </w:t>
      </w:r>
      <w:proofErr w:type="spellStart"/>
      <w:r w:rsidRPr="002906A3">
        <w:t>Kurgans</w:t>
      </w:r>
      <w:proofErr w:type="spellEnd"/>
      <w:r w:rsidRPr="002906A3">
        <w:t xml:space="preserve">, </w:t>
      </w:r>
      <w:proofErr w:type="spellStart"/>
      <w:r w:rsidRPr="002906A3">
        <w:t>Archaeology</w:t>
      </w:r>
      <w:proofErr w:type="spellEnd"/>
    </w:p>
    <w:p w14:paraId="0EB83CF8" w14:textId="3247FA3C" w:rsidR="00A4535A" w:rsidRPr="002906A3" w:rsidRDefault="00C70E93" w:rsidP="00C70E93">
      <w:pPr>
        <w:autoSpaceDE/>
        <w:autoSpaceDN/>
      </w:pPr>
      <w:r>
        <w:br w:type="page"/>
      </w:r>
    </w:p>
    <w:p w14:paraId="6504FA7C" w14:textId="77777777" w:rsidR="001E7189" w:rsidRPr="002906A3" w:rsidRDefault="001E7189" w:rsidP="004C7694">
      <w:pPr>
        <w:pStyle w:val="Tark"/>
      </w:pPr>
      <w:bookmarkStart w:id="215" w:name="_Toc192855238"/>
      <w:proofErr w:type="spellStart"/>
      <w:r w:rsidRPr="002906A3">
        <w:lastRenderedPageBreak/>
        <w:t>Sidgwick’in</w:t>
      </w:r>
      <w:proofErr w:type="spellEnd"/>
      <w:r w:rsidRPr="002906A3">
        <w:t xml:space="preserve"> Etik Teorisi ve Eylem</w:t>
      </w:r>
      <w:bookmarkEnd w:id="215"/>
    </w:p>
    <w:p w14:paraId="0B0A4C34" w14:textId="77777777" w:rsidR="001E7189" w:rsidRPr="00164C0C" w:rsidRDefault="001E7189" w:rsidP="00BA67A6">
      <w:pPr>
        <w:jc w:val="center"/>
        <w:rPr>
          <w:color w:val="000000"/>
        </w:rPr>
      </w:pPr>
      <w:r w:rsidRPr="00164C0C">
        <w:rPr>
          <w:color w:val="000000"/>
        </w:rPr>
        <w:t>Aynur Tunç</w:t>
      </w:r>
    </w:p>
    <w:p w14:paraId="251A229C" w14:textId="77777777" w:rsidR="001E7189" w:rsidRPr="00164C0C" w:rsidRDefault="001E7189" w:rsidP="00BA67A6">
      <w:pPr>
        <w:jc w:val="center"/>
        <w:rPr>
          <w:color w:val="000000"/>
        </w:rPr>
      </w:pPr>
      <w:r w:rsidRPr="00164C0C">
        <w:rPr>
          <w:color w:val="000000"/>
        </w:rPr>
        <w:t>Doktor Öğretim Üyesi</w:t>
      </w:r>
    </w:p>
    <w:p w14:paraId="76AE8B97" w14:textId="77777777" w:rsidR="001E7189" w:rsidRPr="00164C0C" w:rsidRDefault="001E7189" w:rsidP="00BA67A6">
      <w:pPr>
        <w:rPr>
          <w:color w:val="000000"/>
        </w:rPr>
      </w:pPr>
    </w:p>
    <w:p w14:paraId="212E26A7" w14:textId="77777777" w:rsidR="001E7189" w:rsidRPr="00164C0C" w:rsidRDefault="001E7189" w:rsidP="00BA67A6">
      <w:pPr>
        <w:jc w:val="center"/>
        <w:rPr>
          <w:color w:val="000000"/>
        </w:rPr>
      </w:pPr>
      <w:r w:rsidRPr="00164C0C">
        <w:rPr>
          <w:color w:val="000000"/>
        </w:rPr>
        <w:t>Ankara Yıldırım Beyazıt Üniversitesi, İnsan ve Toplum Bilimleri Fakültesi, Felsefe Bölümü</w:t>
      </w:r>
    </w:p>
    <w:p w14:paraId="028DA5D2" w14:textId="77777777" w:rsidR="001E7189" w:rsidRPr="00164C0C" w:rsidRDefault="001E7189" w:rsidP="00BA67A6">
      <w:pPr>
        <w:jc w:val="center"/>
        <w:rPr>
          <w:color w:val="000000"/>
        </w:rPr>
      </w:pPr>
      <w:hyperlink r:id="rId225" w:history="1">
        <w:r w:rsidRPr="00164C0C">
          <w:rPr>
            <w:color w:val="467886"/>
            <w:u w:val="single"/>
          </w:rPr>
          <w:t>atunc@åybu.edu.tr</w:t>
        </w:r>
      </w:hyperlink>
    </w:p>
    <w:p w14:paraId="0F1F11E7" w14:textId="6627D83C" w:rsidR="001E7189" w:rsidRPr="00164C0C" w:rsidRDefault="001E7189" w:rsidP="00BA67A6">
      <w:pPr>
        <w:jc w:val="center"/>
        <w:rPr>
          <w:color w:val="000000"/>
        </w:rPr>
      </w:pPr>
      <w:r w:rsidRPr="00164C0C">
        <w:rPr>
          <w:color w:val="000000"/>
        </w:rPr>
        <w:t>0000-0001-6503-0524</w:t>
      </w:r>
    </w:p>
    <w:p w14:paraId="35FE8FA1" w14:textId="77777777" w:rsidR="001E7189" w:rsidRPr="002906A3" w:rsidRDefault="001E7189" w:rsidP="00BA67A6">
      <w:pPr>
        <w:rPr>
          <w:color w:val="000000"/>
        </w:rPr>
      </w:pPr>
    </w:p>
    <w:p w14:paraId="7A19E646" w14:textId="6FE2B219" w:rsidR="001E7189" w:rsidRDefault="001E7189" w:rsidP="00BA67A6">
      <w:pPr>
        <w:jc w:val="both"/>
        <w:rPr>
          <w:color w:val="000000"/>
        </w:rPr>
      </w:pPr>
      <w:r w:rsidRPr="002906A3">
        <w:rPr>
          <w:color w:val="000000"/>
        </w:rPr>
        <w:t>“</w:t>
      </w:r>
      <w:proofErr w:type="spellStart"/>
      <w:r w:rsidRPr="002906A3">
        <w:rPr>
          <w:color w:val="000000"/>
        </w:rPr>
        <w:t>Sidgwick’in</w:t>
      </w:r>
      <w:proofErr w:type="spellEnd"/>
      <w:r w:rsidRPr="002906A3">
        <w:rPr>
          <w:color w:val="000000"/>
        </w:rPr>
        <w:t xml:space="preserve"> Etik Teorisi ve Eylem” başlıklı bu çalışmamda 19. yy.’ın önemli ahlak düşünürlerinden olan </w:t>
      </w:r>
      <w:proofErr w:type="spellStart"/>
      <w:r w:rsidRPr="002906A3">
        <w:rPr>
          <w:color w:val="000000"/>
        </w:rPr>
        <w:t>Sidgwick’in</w:t>
      </w:r>
      <w:proofErr w:type="spellEnd"/>
      <w:r w:rsidRPr="002906A3">
        <w:rPr>
          <w:color w:val="000000"/>
        </w:rPr>
        <w:t xml:space="preserve"> temel eserlerinden hareketle analizleri ve teorik iddialarına dayanarak faydacılığının temelinde yer alan eylem görüşünü nasıl oluşturduğunu açıklayacağım.</w:t>
      </w:r>
      <w:r w:rsidRPr="002906A3">
        <w:rPr>
          <w:b/>
          <w:bCs/>
          <w:color w:val="000000"/>
        </w:rPr>
        <w:t xml:space="preserve"> </w:t>
      </w:r>
      <w:proofErr w:type="spellStart"/>
      <w:r w:rsidRPr="002906A3">
        <w:rPr>
          <w:color w:val="000000"/>
        </w:rPr>
        <w:t>Sidgwick'in</w:t>
      </w:r>
      <w:proofErr w:type="spellEnd"/>
      <w:r w:rsidRPr="002906A3">
        <w:rPr>
          <w:color w:val="000000"/>
        </w:rPr>
        <w:t xml:space="preserve"> anladığı şekliyle etik, 'bireylerin iradi eylemlerine bağlı olarak, söz konusu bu kavramla insanların ne yapmaları gerektiğini, insanlar için ahlaki olarak doğru olanın ne olduğunu ya da insanların </w:t>
      </w:r>
      <w:proofErr w:type="spellStart"/>
      <w:r w:rsidRPr="002906A3">
        <w:rPr>
          <w:color w:val="000000"/>
        </w:rPr>
        <w:t>irâdî</w:t>
      </w:r>
      <w:proofErr w:type="spellEnd"/>
      <w:r w:rsidRPr="002906A3">
        <w:rPr>
          <w:color w:val="000000"/>
        </w:rPr>
        <w:t xml:space="preserve"> eylemlerle neyi amaçlamaları gerektiğini belirlemeyi sağlayan karar verme sürecini kasteder.  Onun tanımına göre bilim, kesin bilgiye ulaşmayı amaçlayan sistematik bir çalışma anlamına gelmektedir. Ancak psikoloji veya sosyoloji gibi sosyal bilimlerin aksine etik, salt olgularla değil, ‘olması gereken' veya 'doğru' terimleriyle ifade edilen eylem normlarıyla ilgilenir.</w:t>
      </w:r>
      <w:r w:rsidR="00BA67A6">
        <w:rPr>
          <w:color w:val="000000"/>
        </w:rPr>
        <w:t xml:space="preserve"> </w:t>
      </w:r>
      <w:r w:rsidRPr="002906A3">
        <w:rPr>
          <w:color w:val="000000"/>
        </w:rPr>
        <w:t xml:space="preserve">Etik teorisinde </w:t>
      </w:r>
      <w:proofErr w:type="spellStart"/>
      <w:r w:rsidRPr="002906A3">
        <w:rPr>
          <w:color w:val="000000"/>
        </w:rPr>
        <w:t>Sidgwick</w:t>
      </w:r>
      <w:proofErr w:type="spellEnd"/>
      <w:r w:rsidRPr="002906A3">
        <w:rPr>
          <w:color w:val="000000"/>
        </w:rPr>
        <w:t xml:space="preserve"> etiğin kapsamını yalnızca sınırlı anlamda 'ahlak' eylemi- yani yalnızca özgecil/diğerkâmlık düşünceyi ya da başkalarına karşı görevi dikkate alan ahlaki eylem olarak -düşünmez. Onun etiğin kapsamının aynı zamanda ister sağduyulu ister iyiliksever olsun, 'yapılması gereken eylem' olarak kabul edilen her eylemi içerdiğini düşündüğünü belirtmek gereklidir. Kendi mutluluğunu aramak için ihtiyatlı davranan rasyonel bir kişi de ‘olması gereken' terimini kullanabilir.</w:t>
      </w:r>
      <w:r w:rsidR="00BA67A6">
        <w:rPr>
          <w:color w:val="000000"/>
        </w:rPr>
        <w:t xml:space="preserve"> </w:t>
      </w:r>
      <w:r w:rsidRPr="002906A3">
        <w:rPr>
          <w:color w:val="000000"/>
        </w:rPr>
        <w:t xml:space="preserve">Etik, bir bireyin eylemlerini iradi oldukları ölçüde ele alır. “İradi eylem”, ilk olarak, bilinçsiz ya da otomatik bir bedensel hareketten ayırt edilen bilinçli bir eylemdir. Daha açık bir ifadeyle, failin kendi eyleminin ve bunu yapan benliğin bilincinde olduğu bir eylemdir. İkinci olarak </w:t>
      </w:r>
      <w:proofErr w:type="spellStart"/>
      <w:r w:rsidRPr="002906A3">
        <w:rPr>
          <w:color w:val="000000"/>
        </w:rPr>
        <w:t>Sidgwick</w:t>
      </w:r>
      <w:proofErr w:type="spellEnd"/>
      <w:r w:rsidRPr="002906A3">
        <w:rPr>
          <w:color w:val="000000"/>
        </w:rPr>
        <w:t>, etikte ele alınan iradi eylemin sadece bilinçli bir eylem değil, bilinçli olarak belli bir niyetle yapılan bir eylem olduğunu söyler. Kişi bir şey yapmaya niyetlendiğinde, bu niyetin yol açacağı sonuçların ya da etkilerin farkına varır ya da bunları zihninde temsil eder.  Buna ek olarak, iradi eylem, kişinin duygu ve eyleminin doğrudan bağlantılı olduğu dürtüsel bir eylem değildir ve buna kişinin amaçlanan sonuçları seçtiğinin bilinci eşlik eder. Kısacası etik, 'iradi eylemi' failin eylemin sonuçlarının ve bu sonuçları seçip belirleyenin kendisi olduğunun bilincinde olduğu bir eylem olarak kabul eder.</w:t>
      </w:r>
      <w:r w:rsidR="00BA67A6">
        <w:rPr>
          <w:color w:val="000000"/>
        </w:rPr>
        <w:t xml:space="preserve"> </w:t>
      </w:r>
      <w:proofErr w:type="spellStart"/>
      <w:r w:rsidRPr="002906A3">
        <w:rPr>
          <w:color w:val="000000"/>
        </w:rPr>
        <w:t>Sidgwick</w:t>
      </w:r>
      <w:proofErr w:type="spellEnd"/>
      <w:r w:rsidRPr="002906A3">
        <w:rPr>
          <w:color w:val="000000"/>
        </w:rPr>
        <w:t xml:space="preserve"> döneminin en etkili ahlak filozoflarından biridir ve onun güçlü etkisi </w:t>
      </w:r>
      <w:proofErr w:type="spellStart"/>
      <w:r w:rsidRPr="002906A3">
        <w:rPr>
          <w:color w:val="000000"/>
        </w:rPr>
        <w:t>Anglo</w:t>
      </w:r>
      <w:proofErr w:type="spellEnd"/>
      <w:r w:rsidRPr="002906A3">
        <w:rPr>
          <w:color w:val="000000"/>
        </w:rPr>
        <w:t xml:space="preserve">-Amerikan ahlak ve siyaset </w:t>
      </w:r>
      <w:proofErr w:type="gramStart"/>
      <w:r w:rsidRPr="002906A3">
        <w:rPr>
          <w:color w:val="000000"/>
        </w:rPr>
        <w:t>düşüncesini,  faydacılar</w:t>
      </w:r>
      <w:proofErr w:type="gramEnd"/>
      <w:r w:rsidRPr="002906A3">
        <w:rPr>
          <w:color w:val="000000"/>
        </w:rPr>
        <w:t xml:space="preserve"> ve karşıtları arasındaki 20.yy.’daki etik tartışmaların çoğunun gündemini belirlemiştir.</w:t>
      </w:r>
    </w:p>
    <w:p w14:paraId="403A5CA2" w14:textId="77777777" w:rsidR="00A4535A" w:rsidRPr="002906A3" w:rsidRDefault="00A4535A" w:rsidP="00BA67A6">
      <w:pPr>
        <w:jc w:val="both"/>
        <w:rPr>
          <w:color w:val="000000"/>
        </w:rPr>
      </w:pPr>
    </w:p>
    <w:p w14:paraId="4EA3FF91" w14:textId="7F025294" w:rsidR="00C70E93" w:rsidRPr="00BA67A6" w:rsidRDefault="001E7189" w:rsidP="00BA67A6">
      <w:pPr>
        <w:jc w:val="both"/>
        <w:rPr>
          <w:color w:val="000000"/>
        </w:rPr>
      </w:pPr>
      <w:r w:rsidRPr="002906A3">
        <w:rPr>
          <w:b/>
          <w:bCs/>
          <w:color w:val="000000"/>
        </w:rPr>
        <w:t xml:space="preserve">Anahtar </w:t>
      </w:r>
      <w:r w:rsidR="00BA67A6">
        <w:rPr>
          <w:b/>
          <w:bCs/>
          <w:color w:val="000000"/>
        </w:rPr>
        <w:t>K</w:t>
      </w:r>
      <w:r w:rsidRPr="002906A3">
        <w:rPr>
          <w:b/>
          <w:bCs/>
          <w:color w:val="000000"/>
        </w:rPr>
        <w:t xml:space="preserve">elimeler: </w:t>
      </w:r>
      <w:r w:rsidRPr="00BA67A6">
        <w:rPr>
          <w:color w:val="000000"/>
        </w:rPr>
        <w:t xml:space="preserve">Henry </w:t>
      </w:r>
      <w:proofErr w:type="spellStart"/>
      <w:r w:rsidRPr="00BA67A6">
        <w:rPr>
          <w:color w:val="000000"/>
        </w:rPr>
        <w:t>Sidgwick</w:t>
      </w:r>
      <w:proofErr w:type="spellEnd"/>
      <w:r w:rsidRPr="00BA67A6">
        <w:rPr>
          <w:color w:val="000000"/>
        </w:rPr>
        <w:t>, bilinçli eylem, niyet.</w:t>
      </w:r>
    </w:p>
    <w:p w14:paraId="04904C59" w14:textId="19757F3A" w:rsidR="001E7189" w:rsidRPr="00C70E93" w:rsidRDefault="00C70E93" w:rsidP="00C70E93">
      <w:pPr>
        <w:autoSpaceDE/>
        <w:autoSpaceDN/>
        <w:rPr>
          <w:b/>
          <w:bCs/>
          <w:color w:val="000000"/>
        </w:rPr>
      </w:pPr>
      <w:r>
        <w:rPr>
          <w:b/>
          <w:bCs/>
          <w:color w:val="000000"/>
        </w:rPr>
        <w:br w:type="page"/>
      </w:r>
    </w:p>
    <w:p w14:paraId="2ECDB0AC" w14:textId="77777777" w:rsidR="001E7189" w:rsidRDefault="001E7189" w:rsidP="004C7694">
      <w:pPr>
        <w:pStyle w:val="Tark"/>
      </w:pPr>
      <w:bookmarkStart w:id="216" w:name="_Toc192855239"/>
      <w:r w:rsidRPr="002906A3">
        <w:lastRenderedPageBreak/>
        <w:t>Etik Yöntemler: Egoizm ve Faydacılık</w:t>
      </w:r>
      <w:bookmarkEnd w:id="216"/>
    </w:p>
    <w:p w14:paraId="08669578" w14:textId="77777777" w:rsidR="00BA67A6" w:rsidRPr="00BA67A6" w:rsidRDefault="00BA67A6" w:rsidP="00BA67A6">
      <w:pPr>
        <w:pStyle w:val="Metin"/>
      </w:pPr>
    </w:p>
    <w:p w14:paraId="23FF951F" w14:textId="77777777" w:rsidR="001E7189" w:rsidRPr="00164C0C" w:rsidRDefault="001E7189" w:rsidP="00BA67A6">
      <w:pPr>
        <w:jc w:val="center"/>
        <w:rPr>
          <w:color w:val="000000"/>
        </w:rPr>
      </w:pPr>
      <w:r w:rsidRPr="00164C0C">
        <w:rPr>
          <w:color w:val="000000"/>
        </w:rPr>
        <w:t>Aynur Tunç</w:t>
      </w:r>
    </w:p>
    <w:p w14:paraId="25919E0C" w14:textId="5DF6D4D0" w:rsidR="001E7189" w:rsidRPr="00164C0C" w:rsidRDefault="001E7189" w:rsidP="00BA67A6">
      <w:pPr>
        <w:jc w:val="center"/>
        <w:rPr>
          <w:color w:val="000000"/>
        </w:rPr>
      </w:pPr>
      <w:r w:rsidRPr="00164C0C">
        <w:rPr>
          <w:color w:val="000000"/>
        </w:rPr>
        <w:t>Doktor Öğretim Üyesi</w:t>
      </w:r>
    </w:p>
    <w:p w14:paraId="7B205F12" w14:textId="614F29D8" w:rsidR="001E7189" w:rsidRPr="00164C0C" w:rsidRDefault="001E7189" w:rsidP="00BA67A6">
      <w:pPr>
        <w:jc w:val="center"/>
        <w:rPr>
          <w:color w:val="000000"/>
        </w:rPr>
      </w:pPr>
      <w:r w:rsidRPr="00164C0C">
        <w:rPr>
          <w:color w:val="000000"/>
        </w:rPr>
        <w:t>Ankara Yıldırım Beyazıt Üniversitesi, İnsan ve Toplum Bilimleri Fakültesi, Felsefe Bölümü</w:t>
      </w:r>
    </w:p>
    <w:p w14:paraId="23EC3FDC" w14:textId="77777777" w:rsidR="001E7189" w:rsidRPr="00164C0C" w:rsidRDefault="001E7189" w:rsidP="00BA67A6">
      <w:pPr>
        <w:jc w:val="center"/>
        <w:rPr>
          <w:color w:val="000000"/>
        </w:rPr>
      </w:pPr>
      <w:hyperlink r:id="rId226" w:history="1">
        <w:r w:rsidRPr="00164C0C">
          <w:rPr>
            <w:color w:val="467886"/>
            <w:u w:val="single"/>
          </w:rPr>
          <w:t>atunc@åybu.edu.tr</w:t>
        </w:r>
      </w:hyperlink>
    </w:p>
    <w:p w14:paraId="395A9A3D" w14:textId="57B64EC2" w:rsidR="001E7189" w:rsidRPr="00164C0C" w:rsidRDefault="001E7189" w:rsidP="00BA67A6">
      <w:pPr>
        <w:jc w:val="center"/>
        <w:rPr>
          <w:color w:val="000000"/>
        </w:rPr>
      </w:pPr>
      <w:r w:rsidRPr="00164C0C">
        <w:rPr>
          <w:color w:val="000000"/>
        </w:rPr>
        <w:t>0000-0001-6503-0524</w:t>
      </w:r>
    </w:p>
    <w:p w14:paraId="63DBDC4B" w14:textId="352B65EE" w:rsidR="001E7189" w:rsidRDefault="001E7189" w:rsidP="00BA67A6">
      <w:pPr>
        <w:jc w:val="center"/>
        <w:rPr>
          <w:color w:val="000000"/>
        </w:rPr>
      </w:pPr>
    </w:p>
    <w:p w14:paraId="53BFB376" w14:textId="24714785" w:rsidR="00BA67A6" w:rsidRPr="00BA67A6" w:rsidRDefault="00BA67A6" w:rsidP="00BA67A6">
      <w:pPr>
        <w:jc w:val="center"/>
        <w:rPr>
          <w:b/>
          <w:bCs/>
          <w:color w:val="000000"/>
        </w:rPr>
      </w:pPr>
      <w:r w:rsidRPr="00BA67A6">
        <w:rPr>
          <w:b/>
          <w:bCs/>
          <w:color w:val="000000"/>
        </w:rPr>
        <w:t>Özet</w:t>
      </w:r>
    </w:p>
    <w:p w14:paraId="049F03B0" w14:textId="77777777" w:rsidR="001E7189" w:rsidRDefault="001E7189" w:rsidP="00BA67A6">
      <w:pPr>
        <w:jc w:val="both"/>
        <w:rPr>
          <w:color w:val="000000"/>
        </w:rPr>
      </w:pPr>
      <w:r w:rsidRPr="002906A3">
        <w:rPr>
          <w:color w:val="000000"/>
        </w:rPr>
        <w:t xml:space="preserve">İngiliz ahlak felsefecisi </w:t>
      </w:r>
      <w:proofErr w:type="spellStart"/>
      <w:r w:rsidRPr="002906A3">
        <w:rPr>
          <w:color w:val="000000"/>
        </w:rPr>
        <w:t>Sidgwick</w:t>
      </w:r>
      <w:proofErr w:type="spellEnd"/>
      <w:r w:rsidRPr="002906A3">
        <w:rPr>
          <w:color w:val="000000"/>
        </w:rPr>
        <w:t xml:space="preserve"> meşhur temel eserinde üç etik yöntem/teori olan </w:t>
      </w:r>
      <w:proofErr w:type="gramStart"/>
      <w:r w:rsidRPr="002906A3">
        <w:rPr>
          <w:color w:val="000000"/>
        </w:rPr>
        <w:t>egoizm</w:t>
      </w:r>
      <w:proofErr w:type="gramEnd"/>
      <w:r w:rsidRPr="002906A3">
        <w:rPr>
          <w:color w:val="000000"/>
        </w:rPr>
        <w:t xml:space="preserve">, sezgicilik ve faydacılığı ele alarak kişisel mutluluk ile genel mutluluk arasındaki uyumu araştırır.  </w:t>
      </w:r>
      <w:proofErr w:type="spellStart"/>
      <w:r w:rsidRPr="002906A3">
        <w:rPr>
          <w:color w:val="000000"/>
        </w:rPr>
        <w:t>Sidgwick</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Methods</w:t>
      </w:r>
      <w:proofErr w:type="spellEnd"/>
      <w:r w:rsidRPr="002906A3">
        <w:rPr>
          <w:color w:val="000000"/>
        </w:rPr>
        <w:t xml:space="preserve"> of </w:t>
      </w:r>
      <w:proofErr w:type="spellStart"/>
      <w:r w:rsidRPr="002906A3">
        <w:rPr>
          <w:color w:val="000000"/>
        </w:rPr>
        <w:t>Ethics</w:t>
      </w:r>
      <w:proofErr w:type="spellEnd"/>
      <w:r w:rsidRPr="002906A3">
        <w:rPr>
          <w:color w:val="000000"/>
        </w:rPr>
        <w:t xml:space="preserve"> (Etik Yöntemler) adlı eserinin I. Bölümünde faydacılığı tek geçerli etik teori olarak ortaya koymamakta, ancak teorik temellerini ve pratik yararlılığını ortaya koymaktadır. “Etik Yöntemler: Egoizm ve Faydacılık” başlıklı bu çalışmamda Etik </w:t>
      </w:r>
      <w:proofErr w:type="spellStart"/>
      <w:r w:rsidRPr="002906A3">
        <w:rPr>
          <w:color w:val="000000"/>
        </w:rPr>
        <w:t>Yöntemler’de</w:t>
      </w:r>
      <w:proofErr w:type="spellEnd"/>
      <w:r w:rsidRPr="002906A3">
        <w:rPr>
          <w:color w:val="000000"/>
        </w:rPr>
        <w:t xml:space="preserve"> yer alan </w:t>
      </w:r>
      <w:proofErr w:type="gramStart"/>
      <w:r w:rsidRPr="002906A3">
        <w:rPr>
          <w:color w:val="000000"/>
        </w:rPr>
        <w:t>egoizm</w:t>
      </w:r>
      <w:proofErr w:type="gramEnd"/>
      <w:r w:rsidRPr="002906A3">
        <w:rPr>
          <w:color w:val="000000"/>
        </w:rPr>
        <w:t xml:space="preserve"> ve faydacılık teorilerini açıklayacağım.  </w:t>
      </w:r>
      <w:proofErr w:type="spellStart"/>
      <w:r w:rsidRPr="002906A3">
        <w:rPr>
          <w:color w:val="000000"/>
        </w:rPr>
        <w:t>Sidgwick</w:t>
      </w:r>
      <w:proofErr w:type="spellEnd"/>
      <w:r w:rsidRPr="002906A3">
        <w:rPr>
          <w:color w:val="000000"/>
        </w:rPr>
        <w:t xml:space="preserve"> ile ilgili dikkat çekici olan şey, kendisini bir faydacı olarak kabul ederken, faydacı haz ve acı hesaplamalarının zorluklarına oldukça samimi bir şekilde işaret etmesi ve hatta faydacılık ile </w:t>
      </w:r>
      <w:proofErr w:type="gramStart"/>
      <w:r w:rsidRPr="002906A3">
        <w:rPr>
          <w:color w:val="000000"/>
        </w:rPr>
        <w:t>egoizmi</w:t>
      </w:r>
      <w:proofErr w:type="gramEnd"/>
      <w:r w:rsidRPr="002906A3">
        <w:rPr>
          <w:color w:val="000000"/>
        </w:rPr>
        <w:t xml:space="preserve"> bağdaştırmadaki 'başarısızlığını' itiraf etmesidir. Bu, kimi yorumcularına </w:t>
      </w:r>
      <w:proofErr w:type="gramStart"/>
      <w:r w:rsidRPr="002906A3">
        <w:rPr>
          <w:color w:val="000000"/>
        </w:rPr>
        <w:t>göre  yetersiz</w:t>
      </w:r>
      <w:proofErr w:type="gramEnd"/>
      <w:r w:rsidRPr="002906A3">
        <w:rPr>
          <w:color w:val="000000"/>
        </w:rPr>
        <w:t xml:space="preserve"> bir etik teorileri sınıflaması olarak görülse de üç etik yöntemin tarafsız ve ayrıntılı analizlerine odaklanan </w:t>
      </w:r>
      <w:proofErr w:type="spellStart"/>
      <w:r w:rsidRPr="002906A3">
        <w:rPr>
          <w:color w:val="000000"/>
        </w:rPr>
        <w:t>Sidgwick’in</w:t>
      </w:r>
      <w:proofErr w:type="spellEnd"/>
      <w:r w:rsidRPr="002906A3">
        <w:rPr>
          <w:color w:val="000000"/>
        </w:rPr>
        <w:t xml:space="preserve"> dürüst kişiliğini ortaya koymaktadır. O halde, </w:t>
      </w:r>
      <w:proofErr w:type="spellStart"/>
      <w:r w:rsidRPr="002906A3">
        <w:rPr>
          <w:color w:val="000000"/>
        </w:rPr>
        <w:t>Sidgwick</w:t>
      </w:r>
      <w:proofErr w:type="spellEnd"/>
      <w:r w:rsidRPr="002906A3">
        <w:rPr>
          <w:color w:val="000000"/>
        </w:rPr>
        <w:t xml:space="preserve"> çağdaş faydacı etiğe ne gibi katkılarda bulunmuştur? Bu katkılardan biri, faydacılık ve </w:t>
      </w:r>
      <w:proofErr w:type="gramStart"/>
      <w:r w:rsidRPr="002906A3">
        <w:rPr>
          <w:color w:val="000000"/>
        </w:rPr>
        <w:t>egoizm</w:t>
      </w:r>
      <w:proofErr w:type="gramEnd"/>
      <w:r w:rsidRPr="002906A3">
        <w:rPr>
          <w:color w:val="000000"/>
        </w:rPr>
        <w:t xml:space="preserve"> arasındaki ilişkiyi oldukça titiz bir şekilde incelemesidir.</w:t>
      </w:r>
    </w:p>
    <w:p w14:paraId="660AFFCB" w14:textId="77777777" w:rsidR="00BF3875" w:rsidRPr="002906A3" w:rsidRDefault="00BF3875" w:rsidP="00BA67A6">
      <w:pPr>
        <w:jc w:val="both"/>
        <w:rPr>
          <w:color w:val="000000"/>
        </w:rPr>
      </w:pPr>
    </w:p>
    <w:p w14:paraId="635D33A1" w14:textId="2E2F9496" w:rsidR="00C70E93" w:rsidRDefault="001E7189" w:rsidP="00BA67A6">
      <w:pPr>
        <w:jc w:val="both"/>
        <w:rPr>
          <w:b/>
          <w:bCs/>
          <w:color w:val="000000"/>
        </w:rPr>
      </w:pPr>
      <w:r w:rsidRPr="002906A3">
        <w:rPr>
          <w:b/>
          <w:bCs/>
          <w:color w:val="000000"/>
        </w:rPr>
        <w:t xml:space="preserve">Anahtar </w:t>
      </w:r>
      <w:r w:rsidR="00BF3875">
        <w:rPr>
          <w:b/>
          <w:bCs/>
          <w:color w:val="000000"/>
        </w:rPr>
        <w:t>Kelimeler</w:t>
      </w:r>
      <w:r w:rsidRPr="002906A3">
        <w:rPr>
          <w:b/>
          <w:bCs/>
          <w:color w:val="000000"/>
        </w:rPr>
        <w:t xml:space="preserve">: </w:t>
      </w:r>
      <w:r w:rsidRPr="00BA67A6">
        <w:rPr>
          <w:color w:val="000000"/>
        </w:rPr>
        <w:t xml:space="preserve">Henry </w:t>
      </w:r>
      <w:proofErr w:type="spellStart"/>
      <w:r w:rsidRPr="00BA67A6">
        <w:rPr>
          <w:color w:val="000000"/>
        </w:rPr>
        <w:t>Sidgwick</w:t>
      </w:r>
      <w:proofErr w:type="spellEnd"/>
      <w:r w:rsidRPr="00BA67A6">
        <w:rPr>
          <w:color w:val="000000"/>
        </w:rPr>
        <w:t xml:space="preserve">, Etik Yöntemler, </w:t>
      </w:r>
      <w:proofErr w:type="gramStart"/>
      <w:r w:rsidRPr="00BA67A6">
        <w:rPr>
          <w:color w:val="000000"/>
        </w:rPr>
        <w:t>egoizm</w:t>
      </w:r>
      <w:proofErr w:type="gramEnd"/>
      <w:r w:rsidRPr="00BA67A6">
        <w:rPr>
          <w:color w:val="000000"/>
        </w:rPr>
        <w:t xml:space="preserve"> ve faydacılık.</w:t>
      </w:r>
    </w:p>
    <w:p w14:paraId="405D0374" w14:textId="5C498B7A" w:rsidR="00242A42" w:rsidRPr="00C70E93" w:rsidRDefault="00C70E93" w:rsidP="00C70E93">
      <w:pPr>
        <w:autoSpaceDE/>
        <w:autoSpaceDN/>
        <w:rPr>
          <w:b/>
          <w:bCs/>
          <w:color w:val="000000"/>
        </w:rPr>
      </w:pPr>
      <w:r>
        <w:rPr>
          <w:b/>
          <w:bCs/>
          <w:color w:val="000000"/>
        </w:rPr>
        <w:br w:type="page"/>
      </w:r>
    </w:p>
    <w:p w14:paraId="132A689D" w14:textId="77777777" w:rsidR="001E7189" w:rsidRPr="002906A3" w:rsidRDefault="001E7189" w:rsidP="004C7694">
      <w:pPr>
        <w:pStyle w:val="Tark"/>
      </w:pPr>
      <w:bookmarkStart w:id="217" w:name="_Toc192855240"/>
      <w:proofErr w:type="spellStart"/>
      <w:r w:rsidRPr="002906A3">
        <w:lastRenderedPageBreak/>
        <w:t>Gambrinus’ta</w:t>
      </w:r>
      <w:proofErr w:type="spellEnd"/>
      <w:r w:rsidRPr="002906A3">
        <w:t xml:space="preserve"> Sanatın Gücü: Bir Direniş Simgesi Olarak Müziğin Rolü</w:t>
      </w:r>
      <w:bookmarkEnd w:id="217"/>
    </w:p>
    <w:p w14:paraId="5CFC0F9F" w14:textId="77777777" w:rsidR="001E7189" w:rsidRPr="002906A3" w:rsidRDefault="001E7189" w:rsidP="00BA67A6">
      <w:pPr>
        <w:rPr>
          <w:color w:val="000000"/>
        </w:rPr>
      </w:pPr>
    </w:p>
    <w:p w14:paraId="4CF036A1" w14:textId="07F84A30" w:rsidR="001E7189" w:rsidRPr="002906A3" w:rsidRDefault="001E7189" w:rsidP="00BA67A6">
      <w:pPr>
        <w:jc w:val="center"/>
        <w:rPr>
          <w:color w:val="000000"/>
        </w:rPr>
      </w:pPr>
      <w:r w:rsidRPr="002906A3">
        <w:rPr>
          <w:color w:val="000000"/>
        </w:rPr>
        <w:t xml:space="preserve">Kübra </w:t>
      </w:r>
      <w:proofErr w:type="spellStart"/>
      <w:r w:rsidRPr="002906A3">
        <w:rPr>
          <w:color w:val="000000"/>
        </w:rPr>
        <w:t>Çağlıyan</w:t>
      </w:r>
      <w:proofErr w:type="spellEnd"/>
      <w:r w:rsidRPr="002906A3">
        <w:rPr>
          <w:color w:val="000000"/>
        </w:rPr>
        <w:t xml:space="preserve"> </w:t>
      </w:r>
      <w:proofErr w:type="spellStart"/>
      <w:r w:rsidRPr="002906A3">
        <w:rPr>
          <w:color w:val="000000"/>
        </w:rPr>
        <w:t>Şakar</w:t>
      </w:r>
      <w:proofErr w:type="spellEnd"/>
      <w:r w:rsidRPr="002906A3">
        <w:rPr>
          <w:color w:val="000000"/>
        </w:rPr>
        <w:br/>
        <w:t>Dr., Ankara Yıldırım Beyazıt Üniversitesi, Rusça Mütercim ve Tercümanlık Bölümü</w:t>
      </w:r>
      <w:r w:rsidRPr="002906A3">
        <w:rPr>
          <w:color w:val="000000"/>
        </w:rPr>
        <w:br/>
        <w:t>kubracagliyansakar@aybu.edu.tr</w:t>
      </w:r>
      <w:r w:rsidRPr="002906A3">
        <w:rPr>
          <w:color w:val="000000"/>
        </w:rPr>
        <w:br/>
        <w:t>0000-0001-9524-1672</w:t>
      </w:r>
    </w:p>
    <w:p w14:paraId="366C9F99" w14:textId="77777777" w:rsidR="001E7189" w:rsidRPr="002906A3" w:rsidRDefault="001E7189" w:rsidP="00BA67A6">
      <w:pPr>
        <w:rPr>
          <w:color w:val="000000"/>
        </w:rPr>
      </w:pPr>
    </w:p>
    <w:p w14:paraId="003373A6" w14:textId="77777777" w:rsidR="001E7189" w:rsidRPr="002906A3" w:rsidRDefault="001E7189" w:rsidP="00BA67A6">
      <w:pPr>
        <w:jc w:val="center"/>
        <w:rPr>
          <w:color w:val="000000"/>
        </w:rPr>
      </w:pPr>
      <w:r w:rsidRPr="002906A3">
        <w:rPr>
          <w:b/>
          <w:bCs/>
          <w:color w:val="000000"/>
        </w:rPr>
        <w:t>Özet</w:t>
      </w:r>
    </w:p>
    <w:p w14:paraId="57B82074" w14:textId="75DD24EA" w:rsidR="001E7189" w:rsidRPr="002906A3" w:rsidRDefault="001E7189" w:rsidP="00BA67A6">
      <w:pPr>
        <w:jc w:val="both"/>
        <w:rPr>
          <w:color w:val="000000"/>
        </w:rPr>
      </w:pPr>
      <w:r w:rsidRPr="002906A3">
        <w:rPr>
          <w:color w:val="000000"/>
        </w:rPr>
        <w:t xml:space="preserve">Aleksandr </w:t>
      </w:r>
      <w:proofErr w:type="spellStart"/>
      <w:r w:rsidRPr="002906A3">
        <w:rPr>
          <w:color w:val="000000"/>
        </w:rPr>
        <w:t>Kuprin’in</w:t>
      </w:r>
      <w:proofErr w:type="spellEnd"/>
      <w:r w:rsidRPr="002906A3">
        <w:rPr>
          <w:color w:val="000000"/>
        </w:rPr>
        <w:t xml:space="preserve"> </w:t>
      </w:r>
      <w:proofErr w:type="spellStart"/>
      <w:r w:rsidRPr="002906A3">
        <w:rPr>
          <w:i/>
          <w:iCs/>
          <w:color w:val="000000"/>
        </w:rPr>
        <w:t>Gambrinus</w:t>
      </w:r>
      <w:proofErr w:type="spellEnd"/>
      <w:r w:rsidRPr="002906A3">
        <w:rPr>
          <w:color w:val="000000"/>
        </w:rPr>
        <w:t xml:space="preserve"> adlı eserinde </w:t>
      </w:r>
      <w:proofErr w:type="spellStart"/>
      <w:r w:rsidRPr="002906A3">
        <w:rPr>
          <w:color w:val="000000"/>
        </w:rPr>
        <w:t>Gambrinus</w:t>
      </w:r>
      <w:proofErr w:type="spellEnd"/>
      <w:r w:rsidRPr="002906A3">
        <w:rPr>
          <w:color w:val="000000"/>
        </w:rPr>
        <w:t xml:space="preserve">, farklı sosyal sınıflardan insanların bir araya geldiği bir meyhanedir. Bu insanları birleştiren, bir araya getiren en önemli unsur </w:t>
      </w:r>
      <w:proofErr w:type="spellStart"/>
      <w:r w:rsidRPr="002906A3">
        <w:rPr>
          <w:color w:val="000000"/>
        </w:rPr>
        <w:t>Saşka’nın</w:t>
      </w:r>
      <w:proofErr w:type="spellEnd"/>
      <w:r w:rsidRPr="002906A3">
        <w:rPr>
          <w:color w:val="000000"/>
        </w:rPr>
        <w:t xml:space="preserve"> müziğidir. Onun kemanından yükselen melodiler bu insanları günlük hayatın sıkıntılarından uzaklaştırıp ortak bir noktada buluşmalarına yardımcı olur.</w:t>
      </w:r>
      <w:r w:rsidR="00BA67A6">
        <w:rPr>
          <w:color w:val="000000"/>
        </w:rPr>
        <w:t xml:space="preserve"> </w:t>
      </w:r>
      <w:r w:rsidRPr="002906A3">
        <w:rPr>
          <w:color w:val="000000"/>
        </w:rPr>
        <w:t xml:space="preserve">Müzik, evrensel bir dil olarak, dinleyicilerin ruh halini etkileyen güçlü bir araçtır. </w:t>
      </w:r>
      <w:proofErr w:type="spellStart"/>
      <w:r w:rsidRPr="002906A3">
        <w:rPr>
          <w:color w:val="000000"/>
        </w:rPr>
        <w:t>Saşka’nın</w:t>
      </w:r>
      <w:proofErr w:type="spellEnd"/>
      <w:r w:rsidRPr="002906A3">
        <w:rPr>
          <w:color w:val="000000"/>
        </w:rPr>
        <w:t xml:space="preserve"> çaldığı keman, meyhanedekilere neşe verir, hüzünlendirir ya da onlara geçmişi hatırlatır. Böylece sanat, bireyler arasındaki görünmez sınırları ortadan kaldırarak onları ortak bir duygu atmosferinde buluşturur.</w:t>
      </w:r>
      <w:r w:rsidR="00BA67A6">
        <w:rPr>
          <w:color w:val="000000"/>
        </w:rPr>
        <w:t xml:space="preserve"> </w:t>
      </w:r>
      <w:proofErr w:type="spellStart"/>
      <w:r w:rsidRPr="002906A3">
        <w:rPr>
          <w:color w:val="000000"/>
        </w:rPr>
        <w:t>Saşka</w:t>
      </w:r>
      <w:proofErr w:type="spellEnd"/>
      <w:r w:rsidRPr="002906A3">
        <w:rPr>
          <w:color w:val="000000"/>
        </w:rPr>
        <w:t xml:space="preserve"> için müzik, yalnızca bir meslek değil aynı zamanda ruhunun sesi ve özgürlüğünün sembolüdür. Bu noktada sanat, bireyin kendini ifade etme biçimi olarak ele alınır. Onun müziği, baskıcı rejimin dikkatini çeker ve sonunda ellerine zarar verilerek keman çalması engellenir. Ancak </w:t>
      </w:r>
      <w:proofErr w:type="spellStart"/>
      <w:r w:rsidRPr="002906A3">
        <w:rPr>
          <w:color w:val="000000"/>
        </w:rPr>
        <w:t>Saşka’nın</w:t>
      </w:r>
      <w:proofErr w:type="spellEnd"/>
      <w:r w:rsidRPr="002906A3">
        <w:rPr>
          <w:color w:val="000000"/>
        </w:rPr>
        <w:t xml:space="preserve"> sanata olan inancı ve bağlılığı o kadar güçlüdür ki, fiziksel olarak çalamasa bile sanat onun ruhunda yaşamaya devam eder. Bu durum sanatın yalnızca fiziksel bir eylem olmadığını aynı zamanda insanın iç dünyasına da kök salan bir güç olduğunu gösterir.</w:t>
      </w:r>
    </w:p>
    <w:p w14:paraId="4DC1EBDD" w14:textId="77777777" w:rsidR="001E7189" w:rsidRPr="002906A3" w:rsidRDefault="001E7189" w:rsidP="00BA67A6">
      <w:pPr>
        <w:jc w:val="both"/>
        <w:rPr>
          <w:color w:val="000000"/>
        </w:rPr>
      </w:pPr>
      <w:r w:rsidRPr="002906A3">
        <w:rPr>
          <w:color w:val="000000"/>
        </w:rPr>
        <w:t xml:space="preserve">Sonuç olarak bu çalışmada, müziğin bireysel ve toplumsal direnişin bir aracı olarak nasıl işlev gördüğü incelenmektedir. Eserin merkezinde yer alan kemancı </w:t>
      </w:r>
      <w:proofErr w:type="spellStart"/>
      <w:r w:rsidRPr="002906A3">
        <w:rPr>
          <w:color w:val="000000"/>
        </w:rPr>
        <w:t>Saşka</w:t>
      </w:r>
      <w:proofErr w:type="spellEnd"/>
      <w:r w:rsidRPr="002906A3">
        <w:rPr>
          <w:color w:val="000000"/>
        </w:rPr>
        <w:t xml:space="preserve">, sanatı aracılığıyla yalnızca bir eğlence unsuru sunmakla kalmaz, aynı zamanda baskı ve adaletsizliğe karşı bir direnç göstergesi haline gelir. Bu bağlamda çalışmanın temel amacı, </w:t>
      </w:r>
      <w:proofErr w:type="spellStart"/>
      <w:r w:rsidRPr="002906A3">
        <w:rPr>
          <w:color w:val="000000"/>
        </w:rPr>
        <w:t>Kuprin’in</w:t>
      </w:r>
      <w:proofErr w:type="spellEnd"/>
      <w:r w:rsidRPr="002906A3">
        <w:rPr>
          <w:color w:val="000000"/>
        </w:rPr>
        <w:t xml:space="preserve"> </w:t>
      </w:r>
      <w:proofErr w:type="spellStart"/>
      <w:r w:rsidRPr="002906A3">
        <w:rPr>
          <w:i/>
          <w:iCs/>
          <w:color w:val="000000"/>
        </w:rPr>
        <w:t>Gambrinus</w:t>
      </w:r>
      <w:proofErr w:type="spellEnd"/>
      <w:r w:rsidRPr="002906A3">
        <w:rPr>
          <w:color w:val="000000"/>
        </w:rPr>
        <w:t xml:space="preserve"> eserinde sanatın birey ve toplum üzerindeki dönüştürücü gücünü analiz ederek, eserin ana karakteri </w:t>
      </w:r>
      <w:proofErr w:type="spellStart"/>
      <w:r w:rsidRPr="002906A3">
        <w:rPr>
          <w:color w:val="000000"/>
        </w:rPr>
        <w:t>Saşka</w:t>
      </w:r>
      <w:proofErr w:type="spellEnd"/>
      <w:r w:rsidRPr="002906A3">
        <w:rPr>
          <w:color w:val="000000"/>
        </w:rPr>
        <w:t xml:space="preserve"> üzerinden müziğin özgürlük mücadelesindeki rolünü ortaya koymaktır.</w:t>
      </w:r>
    </w:p>
    <w:p w14:paraId="23826271" w14:textId="77777777" w:rsidR="001E7189" w:rsidRPr="002906A3" w:rsidRDefault="001E7189" w:rsidP="00BA67A6">
      <w:pPr>
        <w:rPr>
          <w:color w:val="000000"/>
        </w:rPr>
      </w:pPr>
    </w:p>
    <w:p w14:paraId="5C0744C4" w14:textId="38367701" w:rsidR="00C70E93" w:rsidRDefault="001E7189" w:rsidP="00BA67A6">
      <w:pPr>
        <w:jc w:val="both"/>
        <w:rPr>
          <w:color w:val="000000"/>
        </w:rPr>
      </w:pPr>
      <w:r w:rsidRPr="002906A3">
        <w:rPr>
          <w:b/>
          <w:bCs/>
          <w:color w:val="000000"/>
        </w:rPr>
        <w:t xml:space="preserve">Anahtar </w:t>
      </w:r>
      <w:r w:rsidR="00837713">
        <w:rPr>
          <w:b/>
          <w:bCs/>
          <w:color w:val="000000"/>
        </w:rPr>
        <w:t>Kelimeler</w:t>
      </w:r>
      <w:r w:rsidRPr="002906A3">
        <w:rPr>
          <w:b/>
          <w:bCs/>
          <w:color w:val="000000"/>
        </w:rPr>
        <w:t>:</w:t>
      </w:r>
      <w:r w:rsidRPr="002906A3">
        <w:rPr>
          <w:color w:val="000000"/>
        </w:rPr>
        <w:t xml:space="preserve"> Aleksandr </w:t>
      </w:r>
      <w:proofErr w:type="spellStart"/>
      <w:r w:rsidRPr="002906A3">
        <w:rPr>
          <w:color w:val="000000"/>
        </w:rPr>
        <w:t>Kuprin</w:t>
      </w:r>
      <w:proofErr w:type="spellEnd"/>
      <w:r w:rsidRPr="002906A3">
        <w:rPr>
          <w:color w:val="000000"/>
        </w:rPr>
        <w:t>, </w:t>
      </w:r>
      <w:proofErr w:type="spellStart"/>
      <w:r w:rsidRPr="002906A3">
        <w:rPr>
          <w:i/>
          <w:iCs/>
          <w:color w:val="000000"/>
        </w:rPr>
        <w:t>Gambrinus</w:t>
      </w:r>
      <w:proofErr w:type="spellEnd"/>
      <w:r w:rsidRPr="002906A3">
        <w:rPr>
          <w:color w:val="000000"/>
        </w:rPr>
        <w:t>, sanatın gücü, müzik ve direniş</w:t>
      </w:r>
    </w:p>
    <w:p w14:paraId="462030CF" w14:textId="77777777" w:rsidR="004F4E7D" w:rsidRDefault="00C70E93" w:rsidP="004F4E7D">
      <w:pPr>
        <w:jc w:val="center"/>
        <w:rPr>
          <w:b/>
        </w:rPr>
      </w:pPr>
      <w:r>
        <w:rPr>
          <w:color w:val="000000"/>
        </w:rPr>
        <w:br w:type="page"/>
      </w:r>
      <w:proofErr w:type="spellStart"/>
      <w:r w:rsidR="004F4E7D">
        <w:rPr>
          <w:b/>
        </w:rPr>
        <w:lastRenderedPageBreak/>
        <w:t>Schopenhauer’da</w:t>
      </w:r>
      <w:proofErr w:type="spellEnd"/>
      <w:r w:rsidR="004F4E7D">
        <w:rPr>
          <w:b/>
        </w:rPr>
        <w:t xml:space="preserve"> Ahlakın Temeli Olarak Merhamet Erdemi</w:t>
      </w:r>
    </w:p>
    <w:p w14:paraId="5BFD5E9F" w14:textId="77777777" w:rsidR="004F4E7D" w:rsidRDefault="004F4E7D" w:rsidP="004F4E7D">
      <w:pPr>
        <w:jc w:val="center"/>
      </w:pPr>
    </w:p>
    <w:p w14:paraId="2223E968" w14:textId="77777777" w:rsidR="004F4E7D" w:rsidRDefault="004F4E7D" w:rsidP="004F4E7D">
      <w:pPr>
        <w:jc w:val="center"/>
      </w:pPr>
      <w:r>
        <w:t>Mehmet Akif Vatandaş</w:t>
      </w:r>
    </w:p>
    <w:p w14:paraId="56BE06FB" w14:textId="77777777" w:rsidR="004F4E7D" w:rsidRDefault="004F4E7D" w:rsidP="004F4E7D">
      <w:pPr>
        <w:jc w:val="center"/>
      </w:pPr>
      <w:r>
        <w:t xml:space="preserve">Yüksek Lisans Öğrencisi, </w:t>
      </w:r>
      <w:proofErr w:type="spellStart"/>
      <w:r>
        <w:t>Ondokuz</w:t>
      </w:r>
      <w:proofErr w:type="spellEnd"/>
      <w:r>
        <w:t xml:space="preserve"> Mayıs Üniversitesi, Felsefe Bölümü</w:t>
      </w:r>
    </w:p>
    <w:p w14:paraId="531EC0F8" w14:textId="77777777" w:rsidR="004F4E7D" w:rsidRDefault="004F4E7D" w:rsidP="004F4E7D">
      <w:pPr>
        <w:jc w:val="center"/>
      </w:pPr>
      <w:r>
        <w:t>psikoyol@gmail.com</w:t>
      </w:r>
    </w:p>
    <w:p w14:paraId="5DDDD89D" w14:textId="77777777" w:rsidR="004F4E7D" w:rsidRDefault="004F4E7D" w:rsidP="004F4E7D">
      <w:pPr>
        <w:jc w:val="both"/>
        <w:rPr>
          <w:b/>
        </w:rPr>
      </w:pPr>
    </w:p>
    <w:p w14:paraId="22CBD5CE" w14:textId="77777777" w:rsidR="004F4E7D" w:rsidRDefault="004F4E7D" w:rsidP="004F4E7D">
      <w:pPr>
        <w:jc w:val="center"/>
        <w:rPr>
          <w:b/>
        </w:rPr>
      </w:pPr>
      <w:r>
        <w:rPr>
          <w:b/>
        </w:rPr>
        <w:t>Özet</w:t>
      </w:r>
    </w:p>
    <w:p w14:paraId="00D6005A" w14:textId="77777777" w:rsidR="004F4E7D" w:rsidRDefault="004F4E7D" w:rsidP="004F4E7D">
      <w:pPr>
        <w:jc w:val="both"/>
      </w:pPr>
      <w:proofErr w:type="spellStart"/>
      <w:r>
        <w:t>Schopenhauer</w:t>
      </w:r>
      <w:proofErr w:type="spellEnd"/>
      <w:r>
        <w:t xml:space="preserve"> Kant’tan aldığı eleştirel felsefeyi onu da içine katarak genişletir ve kendi felsefi sistemini kurar. Bu sistem kitabına ismini verdiği </w:t>
      </w:r>
      <w:r>
        <w:rPr>
          <w:i/>
        </w:rPr>
        <w:t>İsteme ve Tasavvur Olarak Dünya</w:t>
      </w:r>
      <w:r>
        <w:t xml:space="preserve"> üzerinden açıklanır. Kendinde şey ve amaçsız kör bir itki olan istemenin tezahürü kavga, çatışma, kaos ve gerilime sebep olur. Canlı cansız her madde kendi varlığını, özündeki “</w:t>
      </w:r>
      <w:proofErr w:type="spellStart"/>
      <w:r>
        <w:t>isteme”sini</w:t>
      </w:r>
      <w:proofErr w:type="spellEnd"/>
      <w:r>
        <w:t xml:space="preserve"> ortaya koymak için amansız bir mücadele içindedir. Bu mücadele, içinde insanın da bulunduğu yaşamı; sonu tükenmek bilmez döngü halinde acılar ve tatminsizliklerle doldurur. Kendini bu kaosun ve çatışmanın içinde bulan aynı zamanda sosyal bir varlık olan insan nasıl eylemesi gerektiğini belirlemelidir. Birey estetik deneyim yaşayarak bir anlığına da olsa istemenin girdabından kurtulup saf algısal idrak seviyesinde kalarak ideaları idrak edebilir. Sanat kısa süreliğine bir kurtuluş sunsa da bu deneyim dahi denilen insanlarla sınırlıdır. İnsan diğer yandan istemeyi susturup dünyanın kaotik geriliminden el etek çekerek inziva hayatı sürebilir. Bütün bunlar dünya hayatındaki yapıp etme tarzlarımıza yönelik kısmi çözümlerdir. Çünkü insan sosyal bir varlık olup birbirine muhtaçtır. Bütün canlıların birbirini yok etme pahasına kendine yer edinmeye çalıştığı bu tezahür olarak dünyada insanın başkasıyla kurduğu ilişkinin nasıl olacağı önemli bir konudur. </w:t>
      </w:r>
      <w:proofErr w:type="spellStart"/>
      <w:r>
        <w:t>Schopenhauer</w:t>
      </w:r>
      <w:proofErr w:type="spellEnd"/>
      <w:r>
        <w:t xml:space="preserve"> burada devreye “merhamet” erdemini sokar. Dünyada aynı kaderi paylaşan insanın, birliğin parçaları </w:t>
      </w:r>
      <w:proofErr w:type="gramStart"/>
      <w:r>
        <w:t>olarak  bir</w:t>
      </w:r>
      <w:proofErr w:type="gramEnd"/>
      <w:r>
        <w:t xml:space="preserve"> nevi kader yoldaşı olduğunu kavraması üzerinden birbirine sevgi ve adalet duygusu geliştirerek merhametle yaklaşması gerçekleşebilir. Merhamet, dünya hayatına(istemeye) bulanmış olmanın insana yüklediği trajikliği tahammül edilebilir kılmanın temel insani şartı olarak önümüzde durmaktadır. Bu çalışmada </w:t>
      </w:r>
      <w:proofErr w:type="spellStart"/>
      <w:r>
        <w:t>Schopenhauer’ın</w:t>
      </w:r>
      <w:proofErr w:type="spellEnd"/>
      <w:r>
        <w:t xml:space="preserve"> kötümser bakış açısıyla trajik deneyim olarak tarif ettiği dünya, isteme üzerinden açıklanarak böyle bir dünyada bulunmak durumunda kalan insanın etik ilişkisi “merhamet” erdemi üzerinden kurulmaya çalışılır. Böylece kör bir itki olarak “</w:t>
      </w:r>
      <w:proofErr w:type="spellStart"/>
      <w:r>
        <w:t>isteme”nin</w:t>
      </w:r>
      <w:proofErr w:type="spellEnd"/>
      <w:r>
        <w:t xml:space="preserve"> insanda açtığı yaraya “merhamet” üzerinden merhem olabilmenin </w:t>
      </w:r>
      <w:proofErr w:type="gramStart"/>
      <w:r>
        <w:t>imkanı</w:t>
      </w:r>
      <w:proofErr w:type="gramEnd"/>
      <w:r>
        <w:t xml:space="preserve"> sorgulanır.</w:t>
      </w:r>
    </w:p>
    <w:p w14:paraId="2CD83F3C" w14:textId="77777777" w:rsidR="004F4E7D" w:rsidRDefault="004F4E7D" w:rsidP="004F4E7D">
      <w:pPr>
        <w:jc w:val="both"/>
        <w:rPr>
          <w:b/>
        </w:rPr>
      </w:pPr>
    </w:p>
    <w:p w14:paraId="7EFE9FA9" w14:textId="77777777" w:rsidR="004F4E7D" w:rsidRDefault="004F4E7D" w:rsidP="004F4E7D">
      <w:pPr>
        <w:jc w:val="both"/>
      </w:pPr>
      <w:r>
        <w:rPr>
          <w:b/>
        </w:rPr>
        <w:t>Anahtar Kelimeler:</w:t>
      </w:r>
      <w:r>
        <w:t xml:space="preserve"> </w:t>
      </w:r>
      <w:proofErr w:type="spellStart"/>
      <w:r>
        <w:t>Schopenhauer</w:t>
      </w:r>
      <w:proofErr w:type="spellEnd"/>
      <w:r>
        <w:t>, İsteme, Ahlak, Merhamet</w:t>
      </w:r>
    </w:p>
    <w:p w14:paraId="0DE252CE" w14:textId="77777777" w:rsidR="004F4E7D" w:rsidRDefault="004F4E7D">
      <w:pPr>
        <w:autoSpaceDE/>
        <w:autoSpaceDN/>
        <w:rPr>
          <w:color w:val="000000"/>
        </w:rPr>
      </w:pPr>
      <w:r>
        <w:rPr>
          <w:color w:val="000000"/>
        </w:rPr>
        <w:br w:type="page"/>
      </w:r>
    </w:p>
    <w:p w14:paraId="0EE595A8" w14:textId="3E8F6C59" w:rsidR="001E7189" w:rsidRDefault="006871AB" w:rsidP="00BA67A6">
      <w:pPr>
        <w:autoSpaceDE/>
        <w:autoSpaceDN/>
        <w:jc w:val="center"/>
        <w:rPr>
          <w:b/>
          <w:bCs/>
        </w:rPr>
      </w:pPr>
      <w:proofErr w:type="spellStart"/>
      <w:r w:rsidRPr="00C70E93">
        <w:rPr>
          <w:b/>
          <w:bCs/>
        </w:rPr>
        <w:lastRenderedPageBreak/>
        <w:t>Lykophron</w:t>
      </w:r>
      <w:proofErr w:type="spellEnd"/>
      <w:r w:rsidRPr="00C70E93">
        <w:rPr>
          <w:b/>
          <w:bCs/>
        </w:rPr>
        <w:t xml:space="preserve"> </w:t>
      </w:r>
      <w:proofErr w:type="gramStart"/>
      <w:r w:rsidRPr="00C70E93">
        <w:rPr>
          <w:b/>
          <w:bCs/>
        </w:rPr>
        <w:t>İle</w:t>
      </w:r>
      <w:proofErr w:type="gramEnd"/>
      <w:r w:rsidRPr="00C70E93">
        <w:rPr>
          <w:b/>
          <w:bCs/>
        </w:rPr>
        <w:t xml:space="preserve"> </w:t>
      </w:r>
      <w:proofErr w:type="spellStart"/>
      <w:r w:rsidRPr="00C70E93">
        <w:rPr>
          <w:b/>
          <w:bCs/>
        </w:rPr>
        <w:t>Kritias’ın</w:t>
      </w:r>
      <w:proofErr w:type="spellEnd"/>
      <w:r w:rsidRPr="00C70E93">
        <w:rPr>
          <w:b/>
          <w:bCs/>
        </w:rPr>
        <w:t xml:space="preserve"> İnsan Ve Toplum Anlayışları</w:t>
      </w:r>
    </w:p>
    <w:p w14:paraId="5898ED7F" w14:textId="77777777" w:rsidR="00BA67A6" w:rsidRPr="00C70E93" w:rsidRDefault="00BA67A6" w:rsidP="00BA67A6">
      <w:pPr>
        <w:autoSpaceDE/>
        <w:autoSpaceDN/>
        <w:jc w:val="center"/>
        <w:rPr>
          <w:b/>
          <w:bCs/>
          <w:color w:val="000000"/>
        </w:rPr>
      </w:pPr>
    </w:p>
    <w:p w14:paraId="18AB1058" w14:textId="77777777" w:rsidR="001E7189" w:rsidRPr="002906A3" w:rsidRDefault="001E7189" w:rsidP="00BA67A6">
      <w:pPr>
        <w:jc w:val="center"/>
      </w:pPr>
      <w:r w:rsidRPr="002906A3">
        <w:t>Oğuzhan Uyar</w:t>
      </w:r>
    </w:p>
    <w:p w14:paraId="759ED04A" w14:textId="77777777" w:rsidR="001E7189" w:rsidRPr="002906A3" w:rsidRDefault="001E7189" w:rsidP="00BA67A6">
      <w:pPr>
        <w:jc w:val="center"/>
      </w:pPr>
      <w:proofErr w:type="spellStart"/>
      <w:r w:rsidRPr="002906A3">
        <w:t>Ondokuz</w:t>
      </w:r>
      <w:proofErr w:type="spellEnd"/>
      <w:r w:rsidRPr="002906A3">
        <w:t xml:space="preserve"> Mayıs Üniversitesi, Lisansüstü Eğitim Enstitüsü, Felsefe (Doktora Programı)</w:t>
      </w:r>
    </w:p>
    <w:p w14:paraId="68A99C4B" w14:textId="77777777" w:rsidR="001E7189" w:rsidRPr="002906A3" w:rsidRDefault="001E7189" w:rsidP="00BA67A6">
      <w:pPr>
        <w:jc w:val="center"/>
      </w:pPr>
      <w:hyperlink r:id="rId227" w:history="1">
        <w:r w:rsidRPr="002906A3">
          <w:rPr>
            <w:rStyle w:val="Kpr"/>
          </w:rPr>
          <w:t>ogzuyar@gmail.com</w:t>
        </w:r>
      </w:hyperlink>
    </w:p>
    <w:p w14:paraId="4DDDDB5D" w14:textId="77777777" w:rsidR="001E7189" w:rsidRPr="002906A3" w:rsidRDefault="001E7189" w:rsidP="00BA67A6">
      <w:pPr>
        <w:jc w:val="center"/>
      </w:pPr>
      <w:r w:rsidRPr="002906A3">
        <w:t>0000-0001-9533-9311</w:t>
      </w:r>
    </w:p>
    <w:p w14:paraId="53354AC3" w14:textId="77777777" w:rsidR="001E7189" w:rsidRPr="002906A3" w:rsidRDefault="001E7189" w:rsidP="00BA67A6">
      <w:pPr>
        <w:jc w:val="center"/>
      </w:pPr>
    </w:p>
    <w:p w14:paraId="3E81FBB9" w14:textId="1F9837C9" w:rsidR="001E7189" w:rsidRPr="002906A3" w:rsidRDefault="001E7189" w:rsidP="00BA67A6">
      <w:pPr>
        <w:jc w:val="center"/>
        <w:rPr>
          <w:b/>
        </w:rPr>
      </w:pPr>
      <w:r w:rsidRPr="002906A3">
        <w:rPr>
          <w:b/>
        </w:rPr>
        <w:t>Ö</w:t>
      </w:r>
      <w:r w:rsidR="00837713">
        <w:rPr>
          <w:b/>
        </w:rPr>
        <w:t>zet</w:t>
      </w:r>
    </w:p>
    <w:p w14:paraId="1BA2BCBB" w14:textId="77777777" w:rsidR="001E7189" w:rsidRPr="002906A3" w:rsidRDefault="001E7189" w:rsidP="00BA67A6">
      <w:pPr>
        <w:jc w:val="both"/>
      </w:pPr>
      <w:r w:rsidRPr="002906A3">
        <w:t xml:space="preserve">Düşünce tarihine bakıldığında hiç şüphesiz bir yönüyle bilimin diğer yönüyle felsefenin gelişiminde Sokrates öncesi filozoflar ya da doğa filozofları olarak anılan filozofların varlığa ilişkin soruşturmaları önemli bir yer teşkil eder. Söz konusu filozofların evrene ilişkin soruşturmalarının merkezinde evrenin tümünde geçerli olan ilk ilke, ana madde konusu gündemde iken; bu soruna ilişkin öne sürülmüş yanıtların fazlalığı bir yönüyle düşünce gelişimini hızlandırmış iken diğer yönüyle varlığa ilişkin soruşturmaların ufkunun da genişletilmesini sağlamıştır. Bu durum felsefe tarihinin başlangıcındaki düşünürlerin doğa ile olan ilgilerinin yerini kronolojik bağlamda ele alınacak olursa, sonraki kuşak olarak ele alabileceğimiz sofistlerin, insan ve insana ilişkin sorunlar ve toplum problemlerinin merkeze alınmasının önü açıldığı söylenebilir. Bu bağlamda Platon’un deyimi ile filozof ile siyasetçi arasında olan sofistlerin, insan ve toplum yaşamına dair önemli fikirler geliştirmiş olmaları hem insan hem de toplum yaşamına dair ilk soruşturmaların değerlendirilmeleri bakımından önemli olabilir. Söz konusu sofistlerden özellikle öne çıkanları </w:t>
      </w:r>
      <w:proofErr w:type="spellStart"/>
      <w:r w:rsidRPr="002906A3">
        <w:t>Protagoras</w:t>
      </w:r>
      <w:proofErr w:type="spellEnd"/>
      <w:r w:rsidRPr="002906A3">
        <w:t xml:space="preserve">, </w:t>
      </w:r>
      <w:proofErr w:type="spellStart"/>
      <w:r w:rsidRPr="002906A3">
        <w:t>Gorgias</w:t>
      </w:r>
      <w:proofErr w:type="spellEnd"/>
      <w:r w:rsidRPr="002906A3">
        <w:t xml:space="preserve"> gibi isimler olurken, kimi sofistler de düşünce tarihinde silik durmalarına karşın fonksiyonları tarihin tozlu raflarında keşfedilmeyi bekliyor olabilir. Söz gelimi </w:t>
      </w:r>
      <w:proofErr w:type="spellStart"/>
      <w:r w:rsidRPr="002906A3">
        <w:t>Lykophron</w:t>
      </w:r>
      <w:proofErr w:type="spellEnd"/>
      <w:r w:rsidRPr="002906A3">
        <w:t xml:space="preserve"> sonraları Thomas Hobbes, John Locke, Jean-Jacques Rousseau gibi büyük düşünürlerin de işlediği, doğal durumdan medeni duruma geçişte toplumsal sözleşmenin varlığına dair tarihte bilinen ilk vurguları kesin olarak yaparken; </w:t>
      </w:r>
      <w:proofErr w:type="spellStart"/>
      <w:r w:rsidRPr="002906A3">
        <w:t>Kritias</w:t>
      </w:r>
      <w:proofErr w:type="spellEnd"/>
      <w:r w:rsidRPr="002906A3">
        <w:t xml:space="preserve"> ise yasalar ve Tanrı düşüncesi ile insan ve toplum hayatının nasıl şekillendiği üzerine vurgular yapmıştır. Bu doğrultuda yapacağımız çalışma giriş ve sonuç hariç iki bölümden oluşacaktır. Giriş bölümünde sofistlerin kimler olduğu ve düşünce tarihindeki işlevleri kabaca gösterilmeye çalışılacaktır. Birinci bölümde </w:t>
      </w:r>
      <w:proofErr w:type="spellStart"/>
      <w:r w:rsidRPr="002906A3">
        <w:t>Lykophron’un</w:t>
      </w:r>
      <w:proofErr w:type="spellEnd"/>
      <w:r w:rsidRPr="002906A3">
        <w:t xml:space="preserve"> insan ve topluma dair görüşleri gösterilmeye çalışılacak; ikinci bölümde ise </w:t>
      </w:r>
      <w:proofErr w:type="spellStart"/>
      <w:r w:rsidRPr="002906A3">
        <w:t>Kritias’ın</w:t>
      </w:r>
      <w:proofErr w:type="spellEnd"/>
      <w:r w:rsidRPr="002906A3">
        <w:t xml:space="preserve"> insan ve topluma dair öne sürdükleri </w:t>
      </w:r>
      <w:proofErr w:type="spellStart"/>
      <w:r w:rsidRPr="002906A3">
        <w:t>serimlenmeye</w:t>
      </w:r>
      <w:proofErr w:type="spellEnd"/>
      <w:r w:rsidRPr="002906A3">
        <w:t xml:space="preserve"> çalışılacak ve sonuç bölümünde de iki filozofun görüşleri karşılaştırılmaya çalışılacaktır. Yapılan çalışmada </w:t>
      </w:r>
      <w:proofErr w:type="gramStart"/>
      <w:r w:rsidRPr="002906A3">
        <w:t>doküman</w:t>
      </w:r>
      <w:proofErr w:type="gramEnd"/>
      <w:r w:rsidRPr="002906A3">
        <w:t xml:space="preserve"> inceleme yöntemi kullanılacak olsa da metinlerin analizinde anlama, anlamlandırma ve yorumlayıcı teknikler de kullanılacaktır.</w:t>
      </w:r>
    </w:p>
    <w:p w14:paraId="4D2F0136" w14:textId="77777777" w:rsidR="001E7189" w:rsidRPr="002906A3" w:rsidRDefault="001E7189" w:rsidP="00BA67A6">
      <w:pPr>
        <w:jc w:val="both"/>
      </w:pPr>
    </w:p>
    <w:p w14:paraId="1F4E6610" w14:textId="76991D6D" w:rsidR="001E7189" w:rsidRPr="002906A3" w:rsidRDefault="001E7189" w:rsidP="00BA67A6">
      <w:pPr>
        <w:jc w:val="both"/>
      </w:pPr>
      <w:r w:rsidRPr="002906A3">
        <w:rPr>
          <w:b/>
        </w:rPr>
        <w:t xml:space="preserve">Anahtar </w:t>
      </w:r>
      <w:r w:rsidR="00837713">
        <w:rPr>
          <w:b/>
        </w:rPr>
        <w:t>Kelimeler</w:t>
      </w:r>
      <w:r w:rsidRPr="002906A3">
        <w:t>: Doğa, Düşünce, Sofist</w:t>
      </w:r>
    </w:p>
    <w:p w14:paraId="592BB58F" w14:textId="77777777" w:rsidR="001E7189" w:rsidRPr="002906A3" w:rsidRDefault="001E7189" w:rsidP="00BA67A6">
      <w:pPr>
        <w:jc w:val="both"/>
        <w:rPr>
          <w:b/>
        </w:rPr>
      </w:pPr>
    </w:p>
    <w:p w14:paraId="7CE10CC2" w14:textId="77777777" w:rsidR="001E7189" w:rsidRPr="002906A3" w:rsidRDefault="001E7189" w:rsidP="00BA67A6">
      <w:pPr>
        <w:jc w:val="both"/>
        <w:rPr>
          <w:b/>
        </w:rPr>
      </w:pPr>
      <w:r w:rsidRPr="002906A3">
        <w:rPr>
          <w:b/>
        </w:rPr>
        <w:t>Giriş</w:t>
      </w:r>
    </w:p>
    <w:p w14:paraId="60B35833" w14:textId="388CC6A1" w:rsidR="001E7189" w:rsidRDefault="001E7189" w:rsidP="00BA67A6">
      <w:pPr>
        <w:jc w:val="both"/>
      </w:pPr>
      <w:r w:rsidRPr="002906A3">
        <w:t>Eski Yunan düşüncesinde evrene, şeylerin nihai doğasına ilişkin mitoloji dışında bir kaynağa, (</w:t>
      </w:r>
      <w:proofErr w:type="spellStart"/>
      <w:r w:rsidRPr="002906A3">
        <w:t>Zeller</w:t>
      </w:r>
      <w:proofErr w:type="spellEnd"/>
      <w:r w:rsidRPr="002906A3">
        <w:t>, 2008, s. 55) daha açık bir ifade ile söylemek gerekirse, akla dayalı soruşturmaların ilkinin M.Ö. 6. yüzyılda (</w:t>
      </w:r>
      <w:proofErr w:type="spellStart"/>
      <w:r w:rsidRPr="002906A3">
        <w:t>Capelle</w:t>
      </w:r>
      <w:proofErr w:type="spellEnd"/>
      <w:r w:rsidRPr="002906A3">
        <w:t>, 2016, s. 239), Thales (Aristoteles, 2019, s. 25) tarafından yapıldığı belirtilir. O, evrenin tümünde geçerli olan ilk ilke, ana maddenin su</w:t>
      </w:r>
      <w:r w:rsidRPr="002906A3">
        <w:rPr>
          <w:i/>
        </w:rPr>
        <w:t xml:space="preserve"> </w:t>
      </w:r>
      <w:r w:rsidRPr="002906A3">
        <w:t>olduğunu öne sürerken; (</w:t>
      </w:r>
      <w:proofErr w:type="spellStart"/>
      <w:r w:rsidRPr="002906A3">
        <w:t>Laertios</w:t>
      </w:r>
      <w:proofErr w:type="spellEnd"/>
      <w:r w:rsidRPr="002906A3">
        <w:t xml:space="preserve">, 2019, s. 23) her şeyin suyun katılaşması ve sıvılaşması yoluyla meydana geldiğini düşünmüştür. (Thales vd., 2019, s. 25) Öte yandan söz konusu probleme ilişkin yanıtlar bununla sınırlı kalmamıştır. Çeşitli filozoflar tarafından, evrenin kurucu ilkesi olarak, A </w:t>
      </w:r>
      <w:proofErr w:type="spellStart"/>
      <w:r w:rsidRPr="002906A3">
        <w:t>perion</w:t>
      </w:r>
      <w:proofErr w:type="spellEnd"/>
      <w:r w:rsidRPr="002906A3">
        <w:t xml:space="preserve"> (</w:t>
      </w:r>
      <w:proofErr w:type="spellStart"/>
      <w:r w:rsidRPr="002906A3">
        <w:t>Denkel</w:t>
      </w:r>
      <w:proofErr w:type="spellEnd"/>
      <w:r w:rsidRPr="002906A3">
        <w:t>, 2020, s. 24), hava (</w:t>
      </w:r>
      <w:proofErr w:type="spellStart"/>
      <w:r w:rsidRPr="002906A3">
        <w:t>Laertios</w:t>
      </w:r>
      <w:proofErr w:type="spellEnd"/>
      <w:r w:rsidRPr="002906A3">
        <w:t>, 2019, s. 68), toprak (</w:t>
      </w:r>
      <w:proofErr w:type="spellStart"/>
      <w:r w:rsidRPr="002906A3">
        <w:t>Ksenophanes</w:t>
      </w:r>
      <w:proofErr w:type="spellEnd"/>
      <w:r w:rsidRPr="002906A3">
        <w:t>, 2019, s. 33), ateş (</w:t>
      </w:r>
      <w:proofErr w:type="spellStart"/>
      <w:r w:rsidRPr="002906A3">
        <w:t>Laertios</w:t>
      </w:r>
      <w:proofErr w:type="spellEnd"/>
      <w:r w:rsidRPr="002906A3">
        <w:t xml:space="preserve">, 2019, s. 419), atom (Çevik, 2020, s. 111) gibi birçok farklı unsur öne </w:t>
      </w:r>
      <w:r w:rsidRPr="002906A3">
        <w:lastRenderedPageBreak/>
        <w:t>sürülmüştür. Söz konusu probleme ilişkin öne sürülen yanıtların fazlalığı bir yönüyle insanlığın düşünce gelişimini hızlandırmış; diğer yönüyle ise varlığa ilişkin soruşturmaların ufkunun da genişletmiştir. Bununla birlikte şüphe ve eleştiri kültürünü de derinleştiren (</w:t>
      </w:r>
      <w:proofErr w:type="spellStart"/>
      <w:r w:rsidRPr="002906A3">
        <w:t>Kranz</w:t>
      </w:r>
      <w:proofErr w:type="spellEnd"/>
      <w:r w:rsidRPr="002906A3">
        <w:t xml:space="preserve">, 1994, s. 191) söz konusu gelişmelerden sonra, ortalama bir Yunan aydını için pratikte yarar sağlamayan ve güven vermeyen araştırmalar yerine daha işe yarar konuların gündeme alınmasının vakti gelmiştir. (Arslan, 2006, </w:t>
      </w:r>
      <w:proofErr w:type="spellStart"/>
      <w:r w:rsidRPr="002906A3">
        <w:t>ss</w:t>
      </w:r>
      <w:proofErr w:type="spellEnd"/>
      <w:r w:rsidRPr="002906A3">
        <w:t>. 14-15) Bu doğrultuda M.Ö. 5. yüzyılın ikinci yarısında saf akla dayalı eleştirel düşünce, insan konusunu araştırma sahasının merkezine almıştır. (</w:t>
      </w:r>
      <w:proofErr w:type="spellStart"/>
      <w:r w:rsidRPr="002906A3">
        <w:t>Capelle</w:t>
      </w:r>
      <w:proofErr w:type="spellEnd"/>
      <w:r w:rsidRPr="002906A3">
        <w:t xml:space="preserve">, 2016, s. 239) Bu dönemde düşünce tarihi sahnesine bu konuyu ana gündemi yapacak olan sofistler çıkmıştır. Eski Yunancada bilge, bilgelik olan </w:t>
      </w:r>
      <w:proofErr w:type="spellStart"/>
      <w:r w:rsidRPr="002906A3">
        <w:t>sophos</w:t>
      </w:r>
      <w:proofErr w:type="spellEnd"/>
      <w:r w:rsidRPr="002906A3">
        <w:t xml:space="preserve"> ya da </w:t>
      </w:r>
      <w:proofErr w:type="spellStart"/>
      <w:r w:rsidRPr="002906A3">
        <w:t>sophia</w:t>
      </w:r>
      <w:proofErr w:type="spellEnd"/>
      <w:r w:rsidRPr="002906A3">
        <w:t xml:space="preserve"> kavramlarına dayandığı düşünülen (Guthrie, 2021, s. 38) ve </w:t>
      </w:r>
      <w:proofErr w:type="spellStart"/>
      <w:r w:rsidRPr="002906A3">
        <w:t>sophistes</w:t>
      </w:r>
      <w:proofErr w:type="spellEnd"/>
      <w:r w:rsidRPr="002906A3">
        <w:t xml:space="preserve"> yani bilgici olarak da karşılık bulur. Kamusal ya da özel işlerde gençlere doğru düşünme, konuşma ve eylemeyi öğreten, kentleri gezerek para karşılığı dersler veren kimselere sofist denmiştir (Akarsu, 2015, s. 161). Başlıca ilgi alanları, hukuk, eğitim, etik, hitabet, kültür tarihi, gramer, estetik gibi alanlar olan (</w:t>
      </w:r>
      <w:proofErr w:type="spellStart"/>
      <w:r w:rsidRPr="002906A3">
        <w:t>Kranz</w:t>
      </w:r>
      <w:proofErr w:type="spellEnd"/>
      <w:r w:rsidRPr="002906A3">
        <w:t xml:space="preserve">, 1994, </w:t>
      </w:r>
      <w:proofErr w:type="spellStart"/>
      <w:r w:rsidRPr="002906A3">
        <w:t>ss</w:t>
      </w:r>
      <w:proofErr w:type="spellEnd"/>
      <w:r w:rsidRPr="002906A3">
        <w:t xml:space="preserve">. 191-192) sofistlerden en ünlüleri </w:t>
      </w:r>
      <w:proofErr w:type="spellStart"/>
      <w:r w:rsidRPr="002906A3">
        <w:t>Protagoras</w:t>
      </w:r>
      <w:proofErr w:type="spellEnd"/>
      <w:r w:rsidRPr="002906A3">
        <w:t xml:space="preserve">, </w:t>
      </w:r>
      <w:proofErr w:type="spellStart"/>
      <w:r w:rsidRPr="002906A3">
        <w:t>Gorgias</w:t>
      </w:r>
      <w:proofErr w:type="spellEnd"/>
      <w:r w:rsidRPr="002906A3">
        <w:t xml:space="preserve"> gibi isimler olurken (Akarsu, 2015, s. 161) kimi sofistler de düşünce tarihinde silik durmalarına karşın, fonksiyonlarından dolayı tarihin tozlu raflarında keşfedilmeyi bekliyor olabilir.</w:t>
      </w:r>
    </w:p>
    <w:p w14:paraId="5F8E5355" w14:textId="77777777" w:rsidR="00BA67A6" w:rsidRDefault="00BA67A6" w:rsidP="00BA67A6">
      <w:pPr>
        <w:jc w:val="both"/>
      </w:pPr>
    </w:p>
    <w:p w14:paraId="5B4B81C1" w14:textId="121C379E" w:rsidR="001E7189" w:rsidRPr="002906A3" w:rsidRDefault="001E7189" w:rsidP="00BA67A6">
      <w:pPr>
        <w:jc w:val="both"/>
      </w:pPr>
      <w:r w:rsidRPr="002906A3">
        <w:t xml:space="preserve">Erken dönem sofistlerinden </w:t>
      </w:r>
      <w:proofErr w:type="spellStart"/>
      <w:r w:rsidRPr="002906A3">
        <w:t>Protagoras’ın</w:t>
      </w:r>
      <w:proofErr w:type="spellEnd"/>
      <w:r w:rsidRPr="002906A3">
        <w:t xml:space="preserve"> “insan her şeyin ölçüsüdür” (Guthrie, 2021, s. 180)</w:t>
      </w:r>
      <w:r w:rsidRPr="002906A3">
        <w:rPr>
          <w:i/>
        </w:rPr>
        <w:t xml:space="preserve"> </w:t>
      </w:r>
      <w:r w:rsidRPr="002906A3">
        <w:t xml:space="preserve">ifadesi ya da hiççiliğin antik temsilcilerinden </w:t>
      </w:r>
      <w:proofErr w:type="spellStart"/>
      <w:r w:rsidRPr="002906A3">
        <w:t>Gorgias</w:t>
      </w:r>
      <w:proofErr w:type="spellEnd"/>
      <w:r w:rsidRPr="002906A3">
        <w:t xml:space="preserve"> ve meşhur ifadesi “hiçbir şey yoktur; varsa bile </w:t>
      </w:r>
      <w:proofErr w:type="gramStart"/>
      <w:r w:rsidRPr="002906A3">
        <w:t>bilinemez;</w:t>
      </w:r>
      <w:proofErr w:type="gramEnd"/>
      <w:r w:rsidRPr="002906A3">
        <w:t xml:space="preserve"> bilinse bile başkalarına aktarılamaz” (</w:t>
      </w:r>
      <w:proofErr w:type="spellStart"/>
      <w:r w:rsidRPr="002906A3">
        <w:t>Zeller</w:t>
      </w:r>
      <w:proofErr w:type="spellEnd"/>
      <w:r w:rsidRPr="002906A3">
        <w:t xml:space="preserve">, 2008, s. 122) sıklıkla geriye dönülerek anılır. Fakat </w:t>
      </w:r>
      <w:proofErr w:type="spellStart"/>
      <w:r w:rsidRPr="002906A3">
        <w:t>Prodikos</w:t>
      </w:r>
      <w:proofErr w:type="spellEnd"/>
      <w:r w:rsidRPr="002906A3">
        <w:t xml:space="preserve">, </w:t>
      </w:r>
      <w:proofErr w:type="spellStart"/>
      <w:r w:rsidRPr="002906A3">
        <w:t>Hippias</w:t>
      </w:r>
      <w:proofErr w:type="spellEnd"/>
      <w:r w:rsidRPr="002906A3">
        <w:t xml:space="preserve">, </w:t>
      </w:r>
      <w:proofErr w:type="spellStart"/>
      <w:r w:rsidRPr="002906A3">
        <w:t>Antiphon</w:t>
      </w:r>
      <w:proofErr w:type="spellEnd"/>
      <w:r w:rsidRPr="002906A3">
        <w:t xml:space="preserve">, </w:t>
      </w:r>
      <w:proofErr w:type="spellStart"/>
      <w:r w:rsidRPr="002906A3">
        <w:t>Antisthenes</w:t>
      </w:r>
      <w:proofErr w:type="spellEnd"/>
      <w:r w:rsidRPr="002906A3">
        <w:t xml:space="preserve"> gibi isimlerin yasa ve doğa üzerine öne sürdüğü bilgiler ilk andıklarımıza kıyasla daha az ele alınmaktadır. </w:t>
      </w:r>
      <w:proofErr w:type="spellStart"/>
      <w:r w:rsidRPr="002906A3">
        <w:t>Thrasymakhos</w:t>
      </w:r>
      <w:proofErr w:type="spellEnd"/>
      <w:r w:rsidRPr="002906A3">
        <w:t>, Platon’un</w:t>
      </w:r>
      <w:r w:rsidRPr="002906A3">
        <w:rPr>
          <w:i/>
        </w:rPr>
        <w:t xml:space="preserve"> Devlet</w:t>
      </w:r>
      <w:r w:rsidRPr="002906A3">
        <w:t xml:space="preserve"> adlı metninde meşhur konuşmacılardan biri olup, adalet ve güç arasında kurduğu bağlantı ile öne çıkarken (</w:t>
      </w:r>
      <w:proofErr w:type="spellStart"/>
      <w:r w:rsidRPr="002906A3">
        <w:t>Zeller</w:t>
      </w:r>
      <w:proofErr w:type="spellEnd"/>
      <w:r w:rsidRPr="002906A3">
        <w:t xml:space="preserve">, 2008, s. 125); </w:t>
      </w:r>
      <w:proofErr w:type="spellStart"/>
      <w:r w:rsidRPr="002906A3">
        <w:t>Alkidamas</w:t>
      </w:r>
      <w:proofErr w:type="spellEnd"/>
      <w:r w:rsidRPr="002906A3">
        <w:t xml:space="preserve"> ise toplum, dil ve evrensel değerler üzerine öne sürdükleri ile felsefe tarihinde yerini almıştır.</w:t>
      </w:r>
    </w:p>
    <w:p w14:paraId="4733E837" w14:textId="77777777" w:rsidR="00BA67A6" w:rsidRDefault="00BA67A6" w:rsidP="00BA67A6">
      <w:pPr>
        <w:jc w:val="both"/>
      </w:pPr>
    </w:p>
    <w:p w14:paraId="7ABDB229" w14:textId="721FC0CA" w:rsidR="001E7189" w:rsidRPr="002906A3" w:rsidRDefault="001E7189" w:rsidP="00BA67A6">
      <w:pPr>
        <w:jc w:val="both"/>
      </w:pPr>
      <w:r w:rsidRPr="002906A3">
        <w:t xml:space="preserve">Yukarıda anılan sofistlerden farklı olarak, </w:t>
      </w:r>
      <w:proofErr w:type="spellStart"/>
      <w:r w:rsidRPr="002906A3">
        <w:t>Lykophron</w:t>
      </w:r>
      <w:proofErr w:type="spellEnd"/>
      <w:r w:rsidRPr="002906A3">
        <w:t xml:space="preserve"> ve </w:t>
      </w:r>
      <w:proofErr w:type="spellStart"/>
      <w:r w:rsidRPr="002906A3">
        <w:t>Kritias’ın</w:t>
      </w:r>
      <w:proofErr w:type="spellEnd"/>
      <w:r w:rsidRPr="002906A3">
        <w:t xml:space="preserve"> insan ve topluma ilişkin görüşlerinde bazı farklar vardır. </w:t>
      </w:r>
      <w:proofErr w:type="spellStart"/>
      <w:r w:rsidRPr="002906A3">
        <w:t>Lykophron</w:t>
      </w:r>
      <w:proofErr w:type="spellEnd"/>
      <w:r w:rsidRPr="002906A3">
        <w:t xml:space="preserve"> için, söz konusu farklardan ilki, toplumsal sözleşme fikrini öne süren tarihteki ilk kişi oluşudur. (Arslan, 2006, s. 68) O, yasa ve doğa ayrımının yanında asilliğe karşı olan çekimser tavrı ile de ön plana çıkar. </w:t>
      </w:r>
      <w:proofErr w:type="spellStart"/>
      <w:r w:rsidRPr="002906A3">
        <w:t>Kritias</w:t>
      </w:r>
      <w:proofErr w:type="spellEnd"/>
      <w:r w:rsidRPr="002906A3">
        <w:t xml:space="preserve"> ise yasa, din ve tanrı fikirleri arasındaki bağlantının yanında ırk politikası ile diğerlerinden oldukça farklılaşır.</w:t>
      </w:r>
    </w:p>
    <w:p w14:paraId="62E76860" w14:textId="77777777" w:rsidR="00BA67A6" w:rsidRDefault="00BA67A6" w:rsidP="00BA67A6">
      <w:pPr>
        <w:jc w:val="both"/>
      </w:pPr>
    </w:p>
    <w:p w14:paraId="5A68C20F" w14:textId="2D604FF0" w:rsidR="001E7189" w:rsidRDefault="001E7189" w:rsidP="00BA67A6">
      <w:pPr>
        <w:jc w:val="both"/>
      </w:pPr>
      <w:r w:rsidRPr="002906A3">
        <w:t xml:space="preserve">Bu doğrultuda çalışmanın birinci bölümünde </w:t>
      </w:r>
      <w:proofErr w:type="spellStart"/>
      <w:r w:rsidRPr="002906A3">
        <w:t>Lykophron’un</w:t>
      </w:r>
      <w:proofErr w:type="spellEnd"/>
      <w:r w:rsidRPr="002906A3">
        <w:t xml:space="preserve"> insana ve topluma bakışı irdelenecektir; ikinci bölümünde ise </w:t>
      </w:r>
      <w:proofErr w:type="spellStart"/>
      <w:r w:rsidRPr="002906A3">
        <w:t>Kritias’ın</w:t>
      </w:r>
      <w:proofErr w:type="spellEnd"/>
      <w:r w:rsidRPr="002906A3">
        <w:t xml:space="preserve"> insan ve toplum anlayışını göstermeye çalışılacaktır. Sonuç bölümünde, iki filozofun görüşleri karşılaştırılmaya çalışılacaktır.</w:t>
      </w:r>
    </w:p>
    <w:p w14:paraId="1ACEBFB8" w14:textId="77777777" w:rsidR="00BA67A6" w:rsidRPr="002906A3" w:rsidRDefault="00BA67A6" w:rsidP="00BA67A6">
      <w:pPr>
        <w:jc w:val="both"/>
      </w:pPr>
    </w:p>
    <w:p w14:paraId="7FE99A54" w14:textId="77777777" w:rsidR="001E7189" w:rsidRPr="002906A3" w:rsidRDefault="001E7189" w:rsidP="00BA67A6">
      <w:pPr>
        <w:rPr>
          <w:b/>
        </w:rPr>
      </w:pPr>
      <w:r w:rsidRPr="002906A3">
        <w:rPr>
          <w:b/>
        </w:rPr>
        <w:t>1.Lykophron’a Göre İnsan ve Toplum</w:t>
      </w:r>
    </w:p>
    <w:p w14:paraId="3FD28366" w14:textId="040BE82C" w:rsidR="001E7189" w:rsidRDefault="001E7189" w:rsidP="00BA67A6">
      <w:pPr>
        <w:jc w:val="both"/>
      </w:pPr>
      <w:proofErr w:type="spellStart"/>
      <w:r w:rsidRPr="002906A3">
        <w:t>Gorgias’ın</w:t>
      </w:r>
      <w:proofErr w:type="spellEnd"/>
      <w:r w:rsidRPr="002906A3">
        <w:t xml:space="preserve"> öğrencisi olduğu öne sürülen </w:t>
      </w:r>
      <w:proofErr w:type="spellStart"/>
      <w:r w:rsidRPr="002906A3">
        <w:t>Lykophron</w:t>
      </w:r>
      <w:proofErr w:type="spellEnd"/>
      <w:r w:rsidRPr="002906A3">
        <w:t xml:space="preserve">, mevcutta hakkında en az bilgi sahibi olunan sofistlerden biridir.  Doğduğu yer, öldüğü tarih ve eserleri hakkında elimizde sağlam bir bilgi olmamakla birlikte, </w:t>
      </w:r>
      <w:proofErr w:type="spellStart"/>
      <w:r w:rsidRPr="002906A3">
        <w:t>Alkidamas</w:t>
      </w:r>
      <w:proofErr w:type="spellEnd"/>
      <w:r w:rsidRPr="002906A3">
        <w:t xml:space="preserve"> ile çağdaş olduğu öne sürülür. (Guthrie, 2021, s. 298) Bu dezavantajlarına karşılık onun önemi, toplum sözleşmesi düşüncesinin tarihteki ilk örneğini vermiş olmasıdır. Özellikle Yeniçağ siyaset felsefesinde karşımıza çıkan doğal durum ve medeni durum ayrımı, doğal durumdan medeni duruma geçişte toplum sözleşmesinin işlevi konusuna açıkça değinen tarihteki ilk kişi olduğu bildirilir. O, doğal durumda ne bir ahlak kuralının ne de bir yasanın olduğunu tabiri caizse orman kanunlarının hüküm sürdüğünü öne sürer. Ona göre, site, doğal olarak meydana gelmemiştir. İnsan tarafından bizzat oluşturulmuştur. (Arslan, 2006, s. 68) Söz konusu sözleşme kuramı Platon’un </w:t>
      </w:r>
      <w:r w:rsidRPr="002906A3">
        <w:rPr>
          <w:i/>
        </w:rPr>
        <w:t>Devlet</w:t>
      </w:r>
      <w:r w:rsidRPr="002906A3">
        <w:t xml:space="preserve"> adlı </w:t>
      </w:r>
      <w:r w:rsidRPr="002906A3">
        <w:lastRenderedPageBreak/>
        <w:t xml:space="preserve">metninin ikinci kitabında da karşımıza çıkar ve </w:t>
      </w:r>
      <w:proofErr w:type="spellStart"/>
      <w:r w:rsidRPr="002906A3">
        <w:t>Glaukon</w:t>
      </w:r>
      <w:proofErr w:type="spellEnd"/>
      <w:r w:rsidRPr="002906A3">
        <w:t xml:space="preserve"> tarafından dillendirilir. Fakat burada altı çizilmesi gereken nokta, </w:t>
      </w:r>
      <w:proofErr w:type="spellStart"/>
      <w:r w:rsidRPr="002906A3">
        <w:t>Glaukon</w:t>
      </w:r>
      <w:proofErr w:type="spellEnd"/>
      <w:r w:rsidRPr="002906A3">
        <w:t xml:space="preserve"> bu görüşten bahsederken bunun kendi görüşü olmadığını da belirtir fakat isim vermeden söz konusu görüşü şu şekilde ifade eder:</w:t>
      </w:r>
    </w:p>
    <w:p w14:paraId="23FF7A41" w14:textId="77777777" w:rsidR="00BA67A6" w:rsidRPr="002906A3" w:rsidRDefault="00BA67A6" w:rsidP="00BA67A6">
      <w:pPr>
        <w:jc w:val="both"/>
      </w:pPr>
    </w:p>
    <w:p w14:paraId="0A07B5B4" w14:textId="77777777" w:rsidR="001E7189" w:rsidRDefault="001E7189" w:rsidP="00BA67A6">
      <w:pPr>
        <w:ind w:left="720"/>
        <w:jc w:val="both"/>
      </w:pPr>
      <w:r w:rsidRPr="002906A3">
        <w:t>Derler ki, tabiatta haksızlık etmek iyi, haksızlığa uğramak kötü bir şeydir. Haksızlığa uğrayanlar ise haksızlık edenlerden çok daha fazladır. İnsanlar, birbirlerine haksızlık ede ede haksızlığa uğraya uğraya, birinin tadını, ötekinin acısını duymuşlar. Haksızlığa uğramaktan sakınmayacaklarını, haksızlık etmeyi de her zaman beceremeyeceklerini anlayınca, bir anlaşmaya varmayı düşünmüşler, kanun koymuşlar, kimse haksızlık etmeyecek, haksızlığa uğramayacak diye. Kanunun buyurduğuna, kanuna uygun olana da doğru demişler. İşte doğruluğun kaynağı, özü budur. Doğruluk, en iyi şeyle, en kötü şeyin ortasında, yani haksızlık edip ceza görmemekle, haksızlığa uğrayıp öç alamamanın arasındadır. (Platon, 2015, s. 43)</w:t>
      </w:r>
    </w:p>
    <w:p w14:paraId="1A92796E" w14:textId="77777777" w:rsidR="00BA67A6" w:rsidRDefault="00BA67A6" w:rsidP="00BA67A6">
      <w:pPr>
        <w:jc w:val="both"/>
      </w:pPr>
    </w:p>
    <w:p w14:paraId="64D25F1B" w14:textId="5993EA5B" w:rsidR="001E7189" w:rsidRPr="002906A3" w:rsidRDefault="001E7189" w:rsidP="00BA67A6">
      <w:pPr>
        <w:jc w:val="both"/>
      </w:pPr>
      <w:r w:rsidRPr="002906A3">
        <w:t xml:space="preserve">Söz konusu kuram, tıpkı Hobbes’un kuramı gibi bir doğa durumu ve medeni durum ayrımı yapmaktadır. Bununla birlikte insanların doğal durumda iken birbirlerine zarar verme durumlarına da iki görüşte de değinilir. </w:t>
      </w:r>
      <w:proofErr w:type="spellStart"/>
      <w:r w:rsidRPr="002906A3">
        <w:t>Lykophron</w:t>
      </w:r>
      <w:proofErr w:type="spellEnd"/>
      <w:r w:rsidRPr="002906A3">
        <w:t xml:space="preserve"> ve Hobbes’un öne sürdüklerindeki bir diğer paralellik, doğal durumda henüz adil, adil olmayan vb. durumların olmayışıdır. Nitekim iki görüşte de doğal durumdan medeni duruma geçişte insanların zarar gördüklerinin bilincine varmış olmalarının benzerliği de göze çarpar. İki düşünürün de öne sürdüğü şekli ile haklı ile haksızın belirlenmesinde esas ayırt edici unsurun yasal durum ve yasa olduğunu öne sürülebilir. İki kuramda da yasanın buyurduğu doğru ya da adil; yasakladığı ise haksızlık ya da suç sayılmaktadır. Aralarındaki göze çarpan en büyük fark ise Hobbes’un kuramında doğal durumdan medeni duruma geçildikten sonra, insanların özgürlüklerinin ve yetkilerinin bir kısmını bir hükümdara teslim etmeleridir (Arslan, 2006, s. 69).</w:t>
      </w:r>
    </w:p>
    <w:p w14:paraId="140FCB72" w14:textId="77777777" w:rsidR="00BA67A6" w:rsidRDefault="00BA67A6" w:rsidP="00BA67A6">
      <w:pPr>
        <w:jc w:val="both"/>
      </w:pPr>
    </w:p>
    <w:p w14:paraId="759768CB" w14:textId="004938AC" w:rsidR="001E7189" w:rsidRDefault="001E7189" w:rsidP="00BA67A6">
      <w:pPr>
        <w:jc w:val="both"/>
      </w:pPr>
      <w:proofErr w:type="spellStart"/>
      <w:r w:rsidRPr="002906A3">
        <w:t>Lykophron</w:t>
      </w:r>
      <w:proofErr w:type="spellEnd"/>
      <w:r w:rsidRPr="002906A3">
        <w:t xml:space="preserve">, başlangıçta çağdaş olabileceğini söylediğimiz ve kendisi gibi </w:t>
      </w:r>
      <w:proofErr w:type="spellStart"/>
      <w:r w:rsidRPr="002906A3">
        <w:t>Gorgias’ın</w:t>
      </w:r>
      <w:proofErr w:type="spellEnd"/>
      <w:r w:rsidRPr="002906A3">
        <w:t xml:space="preserve"> bir diğer öğrencisi olarak anılan </w:t>
      </w:r>
      <w:proofErr w:type="spellStart"/>
      <w:r w:rsidRPr="002906A3">
        <w:t>Alkidamas</w:t>
      </w:r>
      <w:proofErr w:type="spellEnd"/>
      <w:r w:rsidRPr="002906A3">
        <w:t xml:space="preserve"> (Guthrie, 2021, s. 296) ile ortak bir görüşü paylaştığı öne sürülebilir. Buna göre, </w:t>
      </w:r>
      <w:proofErr w:type="spellStart"/>
      <w:r w:rsidRPr="002906A3">
        <w:t>Alkidamas’ın</w:t>
      </w:r>
      <w:proofErr w:type="spellEnd"/>
      <w:r w:rsidRPr="002906A3">
        <w:t xml:space="preserve"> söz konusu görüşlerine kabaca bakmak gerekebilir. O, </w:t>
      </w:r>
      <w:proofErr w:type="spellStart"/>
      <w:r w:rsidRPr="002906A3">
        <w:rPr>
          <w:i/>
        </w:rPr>
        <w:t>Messene</w:t>
      </w:r>
      <w:proofErr w:type="spellEnd"/>
      <w:r w:rsidRPr="002906A3">
        <w:rPr>
          <w:i/>
        </w:rPr>
        <w:t xml:space="preserve"> </w:t>
      </w:r>
      <w:r w:rsidRPr="002906A3">
        <w:t xml:space="preserve">başlıklı söylevinde şunları belirtir; “Bir kimse köle bile olsa, aynı ete sahiptir; kimseyi doğa köle kılmamıştır ama talih bedeni köleleştirir” (Guthrie, 2021, s. 159). Bunun yanında yine </w:t>
      </w:r>
      <w:proofErr w:type="spellStart"/>
      <w:r w:rsidRPr="002906A3">
        <w:t>Alkidamas’a</w:t>
      </w:r>
      <w:proofErr w:type="spellEnd"/>
      <w:r w:rsidRPr="002906A3">
        <w:t xml:space="preserve"> atfedilen bir diğer ifade de “Tanrı bütün insanları özgür bıraktı; doğa hiçbir insanı köle yapmadı” ifadesidir (Aristoteles, 2004, s. 83). </w:t>
      </w:r>
      <w:proofErr w:type="spellStart"/>
      <w:r w:rsidRPr="002906A3">
        <w:t>Alkidamas</w:t>
      </w:r>
      <w:proofErr w:type="spellEnd"/>
      <w:r w:rsidRPr="002906A3">
        <w:t xml:space="preserve"> ile aşağı yukarı aynı perspektifte olan </w:t>
      </w:r>
      <w:proofErr w:type="spellStart"/>
      <w:r w:rsidRPr="002906A3">
        <w:t>Lykophron</w:t>
      </w:r>
      <w:proofErr w:type="spellEnd"/>
      <w:r w:rsidRPr="002906A3">
        <w:t xml:space="preserve"> ise </w:t>
      </w:r>
      <w:proofErr w:type="spellStart"/>
      <w:r w:rsidRPr="002906A3">
        <w:t>Kranz’ın</w:t>
      </w:r>
      <w:proofErr w:type="spellEnd"/>
      <w:r w:rsidRPr="002906A3">
        <w:t xml:space="preserve"> aktardığına göre “soyluluğun parlaklığı pek belli olmayan bir şeydir, kibarlık sadece söze dayanır” diyerek soyluluğun Yunan toplumunda yarattığı toplumsal statü farkına çekimser bakmaktadır (</w:t>
      </w:r>
      <w:proofErr w:type="spellStart"/>
      <w:r w:rsidRPr="002906A3">
        <w:t>Kranz</w:t>
      </w:r>
      <w:proofErr w:type="spellEnd"/>
      <w:r w:rsidRPr="002906A3">
        <w:t xml:space="preserve">, 1994, s. 201). Bununla birlikte </w:t>
      </w:r>
      <w:proofErr w:type="spellStart"/>
      <w:r w:rsidRPr="002906A3">
        <w:t>Lykophron</w:t>
      </w:r>
      <w:proofErr w:type="spellEnd"/>
      <w:r w:rsidRPr="002906A3">
        <w:t xml:space="preserve">, Aristoteles’in </w:t>
      </w:r>
      <w:r w:rsidRPr="002906A3">
        <w:rPr>
          <w:i/>
        </w:rPr>
        <w:t>Politika</w:t>
      </w:r>
      <w:r w:rsidRPr="002906A3">
        <w:t xml:space="preserve"> adlı metninde bizzat hedef alınır. Burada sofist olarak anılan </w:t>
      </w:r>
      <w:proofErr w:type="spellStart"/>
      <w:r w:rsidRPr="002906A3">
        <w:t>Lykophron’a</w:t>
      </w:r>
      <w:proofErr w:type="spellEnd"/>
      <w:r w:rsidRPr="002906A3">
        <w:t xml:space="preserve"> atfedilen “Kanun insanlara karşılıklı olarak hakkı garanti eder fakat ahlaki bir rolü yoktur” (</w:t>
      </w:r>
      <w:proofErr w:type="spellStart"/>
      <w:r w:rsidRPr="002906A3">
        <w:t>Kranz</w:t>
      </w:r>
      <w:proofErr w:type="spellEnd"/>
      <w:r w:rsidRPr="002906A3">
        <w:t xml:space="preserve">, 1994, s. 201) ifadesi Aristoteles tarafından eleştirilir. O, yasa ve ahlak ilişkisi söz konusu olduğunda bir devletin nihai hedef ve amacının iyi yaşamayı teşvik etmek olduğunu, bu yüzden kendini yurttaşlarının ahlaki iyiliğiyle ilgilenmenin onun için en önemli hak ve görev olduğu öne sürer. Bu durumda yasa, Aristoteles’in perspektifinden bakıldığında yalnızca uzak ülkeler arasındaki ittifaklardan yerelliğiyle farklılık gösterir ya da </w:t>
      </w:r>
      <w:r w:rsidRPr="002906A3">
        <w:rPr>
          <w:i/>
        </w:rPr>
        <w:t xml:space="preserve">Politika </w:t>
      </w:r>
      <w:r w:rsidRPr="002906A3">
        <w:t xml:space="preserve">adlı metninde bizzat </w:t>
      </w:r>
      <w:proofErr w:type="spellStart"/>
      <w:r w:rsidRPr="002906A3">
        <w:t>Lykophron’un</w:t>
      </w:r>
      <w:proofErr w:type="spellEnd"/>
      <w:r w:rsidRPr="002906A3">
        <w:t xml:space="preserve"> adını anıp söylediği şekliyle (Aristoteles, 2020, s. 278) basit bir anlaşma olup, iyi ve adil olanı yapmanın bir yolu değil yalnızca hakların garantiye alınmasından ibarettir. Dolayısıyla politik birliğin gerçek amacının Aristoteles’in öne sürdüğü gibi basitçe ve iyi yaşam oluşu; </w:t>
      </w:r>
      <w:proofErr w:type="spellStart"/>
      <w:r w:rsidRPr="002906A3">
        <w:t>Lykophron’un</w:t>
      </w:r>
      <w:proofErr w:type="spellEnd"/>
      <w:r w:rsidRPr="002906A3">
        <w:t xml:space="preserve"> öne sürdüklerinin merkezinde değildir (Guthrie, 2021, </w:t>
      </w:r>
      <w:proofErr w:type="spellStart"/>
      <w:r w:rsidRPr="002906A3">
        <w:t>ss</w:t>
      </w:r>
      <w:proofErr w:type="spellEnd"/>
      <w:r w:rsidRPr="002906A3">
        <w:t>. 140-141).</w:t>
      </w:r>
    </w:p>
    <w:p w14:paraId="3EDF16E7" w14:textId="77777777" w:rsidR="00BA67A6" w:rsidRPr="002906A3" w:rsidRDefault="00BA67A6" w:rsidP="00BA67A6">
      <w:pPr>
        <w:jc w:val="both"/>
      </w:pPr>
    </w:p>
    <w:p w14:paraId="4C9C39B8" w14:textId="77777777" w:rsidR="001E7189" w:rsidRPr="002906A3" w:rsidRDefault="001E7189" w:rsidP="00BA67A6">
      <w:pPr>
        <w:rPr>
          <w:b/>
        </w:rPr>
      </w:pPr>
      <w:r w:rsidRPr="002906A3">
        <w:rPr>
          <w:b/>
        </w:rPr>
        <w:t xml:space="preserve">2. </w:t>
      </w:r>
      <w:proofErr w:type="spellStart"/>
      <w:r w:rsidRPr="002906A3">
        <w:rPr>
          <w:b/>
        </w:rPr>
        <w:t>Kritias’a</w:t>
      </w:r>
      <w:proofErr w:type="spellEnd"/>
      <w:r w:rsidRPr="002906A3">
        <w:rPr>
          <w:b/>
        </w:rPr>
        <w:t xml:space="preserve"> Göre İnsan ve Toplum</w:t>
      </w:r>
    </w:p>
    <w:p w14:paraId="205F18FE" w14:textId="57D6A00C" w:rsidR="001E7189" w:rsidRDefault="001E7189" w:rsidP="00BA67A6">
      <w:pPr>
        <w:jc w:val="both"/>
      </w:pPr>
      <w:proofErr w:type="spellStart"/>
      <w:r w:rsidRPr="002906A3">
        <w:t>Kritias</w:t>
      </w:r>
      <w:proofErr w:type="spellEnd"/>
      <w:r w:rsidRPr="002906A3">
        <w:t xml:space="preserve">, Platon’un annesinin kuzeni </w:t>
      </w:r>
      <w:proofErr w:type="spellStart"/>
      <w:r w:rsidRPr="002906A3">
        <w:t>Periktione’nin</w:t>
      </w:r>
      <w:proofErr w:type="spellEnd"/>
      <w:r w:rsidRPr="002906A3">
        <w:t xml:space="preserve"> oğlu olarak ve birçok kaynakta Platon’un amcası ya da amcasının oğlu olarak geçmektedir. Bu bilgi önemlidir, çünkü Platon, ölümünden çok sonra bile yazdıklarında </w:t>
      </w:r>
      <w:proofErr w:type="spellStart"/>
      <w:r w:rsidRPr="002906A3">
        <w:t>Kritias’ı</w:t>
      </w:r>
      <w:proofErr w:type="spellEnd"/>
      <w:r w:rsidRPr="002906A3">
        <w:t xml:space="preserve"> sevgi ve minnetle anmaktadır. (</w:t>
      </w:r>
      <w:proofErr w:type="gramStart"/>
      <w:r w:rsidRPr="002906A3">
        <w:t>Guthrie,  2021</w:t>
      </w:r>
      <w:proofErr w:type="gramEnd"/>
      <w:r w:rsidRPr="002906A3">
        <w:t xml:space="preserve">, </w:t>
      </w:r>
      <w:proofErr w:type="spellStart"/>
      <w:r w:rsidRPr="002906A3">
        <w:t>ss</w:t>
      </w:r>
      <w:proofErr w:type="spellEnd"/>
      <w:r w:rsidRPr="002906A3">
        <w:t xml:space="preserve">. 284-285) Öyle ki </w:t>
      </w:r>
      <w:proofErr w:type="spellStart"/>
      <w:r w:rsidRPr="002906A3">
        <w:t>Kritias</w:t>
      </w:r>
      <w:proofErr w:type="spellEnd"/>
      <w:r w:rsidRPr="002906A3">
        <w:t xml:space="preserve">, Platon’un, </w:t>
      </w:r>
      <w:proofErr w:type="spellStart"/>
      <w:r w:rsidRPr="002906A3">
        <w:rPr>
          <w:i/>
        </w:rPr>
        <w:t>Timaios</w:t>
      </w:r>
      <w:proofErr w:type="spellEnd"/>
      <w:r w:rsidRPr="002906A3">
        <w:rPr>
          <w:i/>
        </w:rPr>
        <w:t xml:space="preserve"> </w:t>
      </w:r>
      <w:r w:rsidRPr="002906A3">
        <w:t xml:space="preserve">ve </w:t>
      </w:r>
      <w:proofErr w:type="spellStart"/>
      <w:r w:rsidRPr="002906A3">
        <w:rPr>
          <w:i/>
        </w:rPr>
        <w:t>Kritias</w:t>
      </w:r>
      <w:proofErr w:type="spellEnd"/>
      <w:r w:rsidRPr="002906A3">
        <w:rPr>
          <w:i/>
        </w:rPr>
        <w:t xml:space="preserve"> </w:t>
      </w:r>
      <w:r w:rsidRPr="002906A3">
        <w:t xml:space="preserve">diyaloglarında oldukça önemli bir konumdadır.  Bununla beraber kimilerine göre yine Platon’un </w:t>
      </w:r>
      <w:r w:rsidRPr="002906A3">
        <w:rPr>
          <w:i/>
        </w:rPr>
        <w:t>Devlet</w:t>
      </w:r>
      <w:r w:rsidRPr="002906A3">
        <w:t xml:space="preserve"> adlı eserinde “En iyi yaradılış gereğinden başka türlü beslenirse, orta yaradılıştan daha kötü olur” (Platon, 2015, s. 203)</w:t>
      </w:r>
      <w:r w:rsidRPr="002906A3">
        <w:rPr>
          <w:i/>
        </w:rPr>
        <w:t xml:space="preserve"> </w:t>
      </w:r>
      <w:r w:rsidRPr="002906A3">
        <w:t xml:space="preserve">ifadesi </w:t>
      </w:r>
      <w:proofErr w:type="spellStart"/>
      <w:r w:rsidRPr="002906A3">
        <w:t>Kritias’ı</w:t>
      </w:r>
      <w:proofErr w:type="spellEnd"/>
      <w:r w:rsidRPr="002906A3">
        <w:t xml:space="preserve"> tasvir etmektedir. Öyle ki dışarıdan bakıldığında zengin, soylu, yakışıklı olmasının yanında entelektüel olarak Sokrates’in dinleyicisi, felsefi ve edebi yeteneklerle donanmış olan </w:t>
      </w:r>
      <w:proofErr w:type="spellStart"/>
      <w:r w:rsidRPr="002906A3">
        <w:t>Kritias</w:t>
      </w:r>
      <w:proofErr w:type="spellEnd"/>
      <w:r w:rsidRPr="002906A3">
        <w:t xml:space="preserve">, iktidar hırsından dolayı Sokrates’ten ayrılmış ve Platon’un perspektifine göre retorik ve tartışma becerilerinin ahlaki sonuçlarına aldırmayan biridir. Bununla birlikte sofistik öğreti tarafından bozulmuş, sağlam ve kusursuz bir doğanın örneği gibidir (Guthrie, 2021, s. 284). Geldiği soydan ötürü bir sofist gibi davranmış olmasa bile donanımı ve tarzı bağlamında sofistler içinde anılan </w:t>
      </w:r>
      <w:proofErr w:type="spellStart"/>
      <w:r w:rsidRPr="002906A3">
        <w:t>Kritias</w:t>
      </w:r>
      <w:proofErr w:type="spellEnd"/>
      <w:r w:rsidRPr="002906A3">
        <w:t xml:space="preserve">, Atina demokrasisinden tiksinen, söz konusu demokrasinin katı bir düşmanı olarak (Guthrie, 2021, s. 286), demokrasinin öne çıkardığı sokaktaki insandan da nefret eden bir </w:t>
      </w:r>
      <w:proofErr w:type="spellStart"/>
      <w:r w:rsidRPr="002906A3">
        <w:t>Sparta</w:t>
      </w:r>
      <w:proofErr w:type="spellEnd"/>
      <w:r w:rsidRPr="002906A3">
        <w:t xml:space="preserve"> yanlısıdır (Arslan, 2006, s. 70). Öyle ki Atina’nın </w:t>
      </w:r>
      <w:proofErr w:type="spellStart"/>
      <w:r w:rsidRPr="002906A3">
        <w:t>Sparta</w:t>
      </w:r>
      <w:proofErr w:type="spellEnd"/>
      <w:r w:rsidRPr="002906A3">
        <w:t xml:space="preserve"> tarafından işgalinden sonra </w:t>
      </w:r>
      <w:proofErr w:type="spellStart"/>
      <w:r w:rsidRPr="002906A3">
        <w:t>Sparta’ya</w:t>
      </w:r>
      <w:proofErr w:type="spellEnd"/>
      <w:r w:rsidRPr="002906A3">
        <w:t xml:space="preserve"> hizmeti görev edinmiş olan </w:t>
      </w:r>
      <w:proofErr w:type="spellStart"/>
      <w:r w:rsidRPr="002906A3">
        <w:t>Otuzlar’dan</w:t>
      </w:r>
      <w:proofErr w:type="spellEnd"/>
      <w:r w:rsidRPr="002906A3">
        <w:t xml:space="preserve"> biri olarak karşımıza çıkar (</w:t>
      </w:r>
      <w:proofErr w:type="spellStart"/>
      <w:r w:rsidRPr="002906A3">
        <w:t>Capelle</w:t>
      </w:r>
      <w:proofErr w:type="spellEnd"/>
      <w:r w:rsidRPr="002906A3">
        <w:t>, 2016, s. 285).</w:t>
      </w:r>
    </w:p>
    <w:p w14:paraId="010E09F0" w14:textId="77777777" w:rsidR="00BA67A6" w:rsidRPr="002906A3" w:rsidRDefault="00BA67A6" w:rsidP="00BA67A6">
      <w:pPr>
        <w:jc w:val="both"/>
      </w:pPr>
    </w:p>
    <w:p w14:paraId="7B4E973F" w14:textId="77777777" w:rsidR="001E7189" w:rsidRPr="002906A3" w:rsidRDefault="001E7189" w:rsidP="00BA67A6">
      <w:pPr>
        <w:jc w:val="both"/>
      </w:pPr>
      <w:proofErr w:type="spellStart"/>
      <w:r w:rsidRPr="002906A3">
        <w:t>Kritias’ın</w:t>
      </w:r>
      <w:proofErr w:type="spellEnd"/>
      <w:r w:rsidRPr="002906A3">
        <w:t xml:space="preserve"> felsefe tarihinde daha özelde sofistik hareket bakımından önemi dinin kaynağı, tanrı fikri ile insan yaşamı arasında kurduğu ilişkiden geçer (Arslan, 2006, s. 70). Ondan elimize kalan meşhur </w:t>
      </w:r>
      <w:proofErr w:type="spellStart"/>
      <w:r w:rsidRPr="002906A3">
        <w:rPr>
          <w:i/>
        </w:rPr>
        <w:t>Sisyphos</w:t>
      </w:r>
      <w:proofErr w:type="spellEnd"/>
      <w:r w:rsidRPr="002906A3">
        <w:t xml:space="preserve"> adlı oyunda insan doğasının yanında insanlığın ilkel halden topluma geçişte yasa ve tanrının fonksiyonu üzerine öne sürdükleri ilgi çekicidir. Söz konusu oyunda insanlığın ilkellikten medeni hale geçişini üç aşamada ele almak mümkün olabilir. İlk aşamada insan hayatının başlangıcında, yaşam, düzensiz, güce dayalı, iyilerin ödülsüz kötülerin ise cezasız kaldığı bir durumdadır. Dolayısıyla burada kişinin temel ihtiyaçlarını karşılaması bile oldukça güç olacağından genele bakıldığında insan varlığının devamlılığı risk altına girmiştir. İşte </w:t>
      </w:r>
      <w:proofErr w:type="spellStart"/>
      <w:r w:rsidRPr="002906A3">
        <w:t>Kritias</w:t>
      </w:r>
      <w:proofErr w:type="spellEnd"/>
      <w:r w:rsidRPr="002906A3">
        <w:t xml:space="preserve"> bu noktada, ikinci aşama olarak ele alabileceğimiz, insanların suçun ortadan kalkıp adaletin sağlanması için yasaları icat ettiğini öne sürer. Bu bir nebze insan hayatını, topluluk yaşamını düzene sokuyor gibi gözükse de kanunlara rağmen suçun tam olarak engellenmesi mümkün olmamıştır. Ona göre, yasalar topluluk içindeki suçları engelleme konusunda efektif olsa bile gizlice işlenen suçlar için yetersiz kalmıştır. Son aşama olarak adlandırabileceğimiz bölümde ise </w:t>
      </w:r>
      <w:proofErr w:type="spellStart"/>
      <w:r w:rsidRPr="002906A3">
        <w:t>Kritias</w:t>
      </w:r>
      <w:proofErr w:type="spellEnd"/>
      <w:r w:rsidRPr="002906A3">
        <w:t xml:space="preserve">, ilk olarak kurnaz biri tarafından söz konusu gizil suçları önlemek için Tanrılar soyu diye üstün bir soyun var olduğu fikrini ortaya attığını ve bundan Tanrı korkusu fikrini meydana getirip diğerlerine yaydığını belirtir. Nihayetinde, bir insan herhangi bir suçu işlemek bir yana dursun suçu düşünürken ve söylerken dahi korkuya kapılacaktır. Çünkü Tanrılar, sonsuz yaşam sahibi olarak, ruhlarıyla işitip görür, pek aşırı düşünür ve pür dikkat dünyayı izler. İnsanların arasındaki her türlü konuşmadan haberleri vardır. İnsanlar arasında sessiz ve gizlice yapılan bir plan da dahil olmak üzere her şeyden haberleri olur. Oldukça keskin akla sahip olan Tanrılar kimseden bir şey almazlar, sınırsız olup, herhangi bir şeye ihtiyaç duymazlar. Onların </w:t>
      </w:r>
      <w:proofErr w:type="gramStart"/>
      <w:r w:rsidRPr="002906A3">
        <w:t>mekanı</w:t>
      </w:r>
      <w:proofErr w:type="gramEnd"/>
      <w:r w:rsidRPr="002906A3">
        <w:t>, gökyüzüdür, korku veren gök gürültüsü ve şimşekler de buradan gelir. (</w:t>
      </w:r>
      <w:proofErr w:type="spellStart"/>
      <w:r w:rsidRPr="002906A3">
        <w:t>Capelle</w:t>
      </w:r>
      <w:proofErr w:type="spellEnd"/>
      <w:r w:rsidRPr="002906A3">
        <w:t>, 2016, s. 284)</w:t>
      </w:r>
    </w:p>
    <w:p w14:paraId="1C8380E4" w14:textId="77777777" w:rsidR="00BA67A6" w:rsidRDefault="00BA67A6" w:rsidP="00BA67A6">
      <w:pPr>
        <w:jc w:val="both"/>
      </w:pPr>
    </w:p>
    <w:p w14:paraId="110D36F6" w14:textId="129FEE3E" w:rsidR="001E7189" w:rsidRPr="002906A3" w:rsidRDefault="001E7189" w:rsidP="00BA67A6">
      <w:pPr>
        <w:jc w:val="both"/>
      </w:pPr>
      <w:proofErr w:type="spellStart"/>
      <w:r w:rsidRPr="002906A3">
        <w:t>Kritias’tan</w:t>
      </w:r>
      <w:proofErr w:type="spellEnd"/>
      <w:r w:rsidRPr="002906A3">
        <w:t xml:space="preserve"> kalma sayılı fragmanlardan birinde ise insan soyunun sağlıklı gelişimi için bir ırk politikası düşündüğü görülür. O bu konu hakkında şunları söyler: “İnsan soyu ile başlıyorum söze. İnsanın en iyi ve en güçlü bedene sahip bir varlık haline gelmesi nasıl mümkün olurdu? </w:t>
      </w:r>
      <w:r w:rsidRPr="002906A3">
        <w:lastRenderedPageBreak/>
        <w:t>Şayet babası daha önce bedenini çalıştırır, iyi yer ve bedenini alıştırırsa, doğacak çocuğun anası da bedenini güçlendirir ve çalıştırırsa” (</w:t>
      </w:r>
      <w:proofErr w:type="spellStart"/>
      <w:r w:rsidRPr="002906A3">
        <w:t>Capelle</w:t>
      </w:r>
      <w:proofErr w:type="spellEnd"/>
      <w:r w:rsidRPr="002906A3">
        <w:t>, 2016, s. 285).</w:t>
      </w:r>
    </w:p>
    <w:p w14:paraId="6AB70237" w14:textId="77777777" w:rsidR="00BA67A6" w:rsidRDefault="00BA67A6" w:rsidP="00BA67A6">
      <w:pPr>
        <w:jc w:val="both"/>
      </w:pPr>
    </w:p>
    <w:p w14:paraId="4520B3B9" w14:textId="7BF46AED" w:rsidR="00515278" w:rsidRDefault="001E7189" w:rsidP="00BA67A6">
      <w:pPr>
        <w:jc w:val="both"/>
      </w:pPr>
      <w:proofErr w:type="spellStart"/>
      <w:r w:rsidRPr="002906A3">
        <w:t>Kritias’ın</w:t>
      </w:r>
      <w:proofErr w:type="spellEnd"/>
      <w:r w:rsidRPr="002906A3">
        <w:t xml:space="preserve"> düşüncelerine </w:t>
      </w:r>
      <w:proofErr w:type="spellStart"/>
      <w:r w:rsidRPr="002906A3">
        <w:rPr>
          <w:i/>
        </w:rPr>
        <w:t>Sysphos</w:t>
      </w:r>
      <w:proofErr w:type="spellEnd"/>
      <w:r w:rsidRPr="002906A3">
        <w:rPr>
          <w:i/>
        </w:rPr>
        <w:t xml:space="preserve"> </w:t>
      </w:r>
      <w:r w:rsidRPr="002906A3">
        <w:t>oyunu merkezli olarak bakıldığında, yasaların doğuştan insan doğasında içkin ya da tanrısal bir armağan olarak görülmekten uzak olduğu anlaşılır (Guthrie, 2021, s. 70). Ona göre, yasa</w:t>
      </w:r>
      <w:r w:rsidRPr="002906A3">
        <w:rPr>
          <w:i/>
        </w:rPr>
        <w:t xml:space="preserve">, </w:t>
      </w:r>
      <w:r w:rsidRPr="002906A3">
        <w:t xml:space="preserve">insan yaşamını hayvan seviyesi olarak tabir edilebilecek ilk evreden yükseltmenin en önemli garantörü olmuştur (Guthrie, 2021, s. 34). Dolayısıyla, yasa tarihsel bir olgudur. (Guthrie, 2021, s. 144) Din bir yönüyle halkın ahlakını düzeltmek diğer yönüyle ise itaatini sağlamak için bir araç olarak göze çarpmaktadır (Guthrie, 2021, s. 287). Sonuç olarak, insanların tanrılara olan inancının kökenini psikolojik ve doğalcı terimlerle tartışan </w:t>
      </w:r>
      <w:proofErr w:type="spellStart"/>
      <w:r w:rsidRPr="002906A3">
        <w:t>Kritias</w:t>
      </w:r>
      <w:proofErr w:type="spellEnd"/>
      <w:r w:rsidRPr="002906A3">
        <w:t>, tanrıların hükümetlere yarar sağlaması, tebaalarının iyi davranışlarını güvence altına almak için icat edildiğini öne sürmüştür (</w:t>
      </w:r>
      <w:proofErr w:type="spellStart"/>
      <w:r w:rsidRPr="002906A3">
        <w:t>Kerferd</w:t>
      </w:r>
      <w:proofErr w:type="spellEnd"/>
      <w:r w:rsidRPr="002906A3">
        <w:t xml:space="preserve">, 1984, s. 40.).  Dolayısıyla </w:t>
      </w:r>
      <w:proofErr w:type="spellStart"/>
      <w:r w:rsidRPr="002906A3">
        <w:t>Kritias’a</w:t>
      </w:r>
      <w:proofErr w:type="spellEnd"/>
      <w:r w:rsidRPr="002906A3">
        <w:t xml:space="preserve"> göre Tanrıların varlığı yönetenlerin işine yarayan, boş bir inançtır. Bu inancın kaynağı insanların korkuları olup, </w:t>
      </w:r>
      <w:proofErr w:type="spellStart"/>
      <w:r w:rsidRPr="002906A3">
        <w:t>Kritias’ın</w:t>
      </w:r>
      <w:proofErr w:type="spellEnd"/>
      <w:r w:rsidRPr="002906A3">
        <w:t xml:space="preserve"> dönemin önde gelen tanrıtanımazlarından olduğu anlaşılmaktadır. Dinin siyasal bağlamda araç olarak kullanımının ilk örneğini sunan </w:t>
      </w:r>
      <w:proofErr w:type="spellStart"/>
      <w:r w:rsidRPr="002906A3">
        <w:t>Kritias’ın</w:t>
      </w:r>
      <w:proofErr w:type="spellEnd"/>
      <w:r w:rsidRPr="002906A3">
        <w:t xml:space="preserve"> düşünceleri Roma’da ve Yeni Çağ’da birçok düşünür tarafından devam ettirilip geliştirilecektir. (Arslan, 2006, s. 71)</w:t>
      </w:r>
    </w:p>
    <w:p w14:paraId="35CFD23C" w14:textId="77777777" w:rsidR="00515278" w:rsidRPr="002906A3" w:rsidRDefault="00515278" w:rsidP="00BA67A6">
      <w:pPr>
        <w:ind w:firstLine="567"/>
        <w:jc w:val="both"/>
      </w:pPr>
    </w:p>
    <w:p w14:paraId="490D80A3" w14:textId="77777777" w:rsidR="001E7189" w:rsidRPr="002906A3" w:rsidRDefault="001E7189" w:rsidP="00BA67A6">
      <w:pPr>
        <w:rPr>
          <w:b/>
        </w:rPr>
      </w:pPr>
      <w:r w:rsidRPr="002906A3">
        <w:rPr>
          <w:b/>
        </w:rPr>
        <w:t>Sonuç</w:t>
      </w:r>
    </w:p>
    <w:p w14:paraId="0B82DF2E" w14:textId="3A00C7DE" w:rsidR="001E7189" w:rsidRDefault="001E7189" w:rsidP="00BA67A6">
      <w:pPr>
        <w:jc w:val="both"/>
      </w:pPr>
      <w:proofErr w:type="spellStart"/>
      <w:r w:rsidRPr="002906A3">
        <w:t>Lykophron</w:t>
      </w:r>
      <w:proofErr w:type="spellEnd"/>
      <w:r w:rsidRPr="002906A3">
        <w:t xml:space="preserve">, sofistler içinde özellikle toplum sözleşmesi fikri ile öne çıkarken gelecekte bu konuya değinecek olan Thomas Hobbes, John Locke, Jean Jacques Rousseau gibi filozofların öncüsü olmuştur. Onun Hobbes’tan temel farkı Hobbes’a göre medeni duruma geçildiğinde özgürlük ve yetkilerinin bir bölümünün hükümdara devrediliyor oluşudur. Bununla birlikte </w:t>
      </w:r>
      <w:proofErr w:type="spellStart"/>
      <w:r w:rsidRPr="002906A3">
        <w:t>Lykophron’un</w:t>
      </w:r>
      <w:proofErr w:type="spellEnd"/>
      <w:r w:rsidRPr="002906A3">
        <w:t xml:space="preserve">, döneminin Yunan toplum hayatında oldukça önemli olan asillik, kölelik gibi toplumsal statülere ilişkin görüş beyan etmesi de kayda değerdir. Öte yandan yasaların doğuştan değil insan icadı olduğunun belirtilmesi konusu bakımından da oldukça önemlidir. Söz konusu yasalar, </w:t>
      </w:r>
      <w:proofErr w:type="spellStart"/>
      <w:r w:rsidRPr="002906A3">
        <w:t>Kritias</w:t>
      </w:r>
      <w:proofErr w:type="spellEnd"/>
      <w:r w:rsidRPr="002906A3">
        <w:t xml:space="preserve"> için de insan eliyle icat edilmiştir ve düzensiz, güce dayalı, ilkel yaşamdan medeni yaşama geçişin ilk aşamasını teşkil eder. Fakat </w:t>
      </w:r>
      <w:proofErr w:type="spellStart"/>
      <w:r w:rsidRPr="002906A3">
        <w:t>Kritias</w:t>
      </w:r>
      <w:proofErr w:type="spellEnd"/>
      <w:r w:rsidRPr="002906A3">
        <w:t xml:space="preserve">, </w:t>
      </w:r>
      <w:proofErr w:type="spellStart"/>
      <w:r w:rsidRPr="002906A3">
        <w:t>Lykophron’dan</w:t>
      </w:r>
      <w:proofErr w:type="spellEnd"/>
      <w:r w:rsidRPr="002906A3">
        <w:t xml:space="preserve"> farklı olarak Tanrı inancı ve bundan doğan Tanrı korkusunun icadının, yasa fikrini desteklemesinin yanında gizil suçların da önüne engel olarak koyması bakımından önemlidir. Öte yandan </w:t>
      </w:r>
      <w:proofErr w:type="spellStart"/>
      <w:r w:rsidRPr="002906A3">
        <w:t>Kritias’ın</w:t>
      </w:r>
      <w:proofErr w:type="spellEnd"/>
      <w:r w:rsidRPr="002906A3">
        <w:t xml:space="preserve">, </w:t>
      </w:r>
      <w:proofErr w:type="spellStart"/>
      <w:r w:rsidRPr="002906A3">
        <w:t>Sparta</w:t>
      </w:r>
      <w:proofErr w:type="spellEnd"/>
      <w:r w:rsidRPr="002906A3">
        <w:t xml:space="preserve"> modeline de yaslanarak bir ırk politikası benimsemesi de ilginçtir. Onun güç konusunda söyledikleri </w:t>
      </w:r>
      <w:proofErr w:type="spellStart"/>
      <w:r w:rsidRPr="002906A3">
        <w:t>Makyevelist</w:t>
      </w:r>
      <w:proofErr w:type="spellEnd"/>
      <w:r w:rsidRPr="002906A3">
        <w:t xml:space="preserve"> bir bakışın antik dönemdeki temelleri bakımından, söz konusu görüşü önceliyor gibi gözükmektedir. Bununla beraber dinin, siyasi bir araç olarak icat edilip, işlevsellik kazanması da bir diğer önemli konudur.</w:t>
      </w:r>
    </w:p>
    <w:p w14:paraId="68EFFCAF" w14:textId="77777777" w:rsidR="00796281" w:rsidRPr="002906A3" w:rsidRDefault="00796281" w:rsidP="00BA67A6">
      <w:pPr>
        <w:ind w:firstLine="567"/>
        <w:jc w:val="both"/>
      </w:pPr>
    </w:p>
    <w:p w14:paraId="36B8962B" w14:textId="77777777" w:rsidR="001E7189" w:rsidRPr="002906A3" w:rsidRDefault="001E7189" w:rsidP="00BA67A6">
      <w:pPr>
        <w:rPr>
          <w:b/>
        </w:rPr>
      </w:pPr>
      <w:r w:rsidRPr="002906A3">
        <w:rPr>
          <w:b/>
        </w:rPr>
        <w:t>KAYNAKÇA</w:t>
      </w:r>
    </w:p>
    <w:p w14:paraId="6265BAC6" w14:textId="77777777" w:rsidR="001E7189" w:rsidRPr="00796281" w:rsidRDefault="001E7189">
      <w:pPr>
        <w:pStyle w:val="ListeParagraf"/>
        <w:numPr>
          <w:ilvl w:val="0"/>
          <w:numId w:val="56"/>
        </w:numPr>
        <w:jc w:val="both"/>
        <w:rPr>
          <w:sz w:val="23"/>
          <w:szCs w:val="23"/>
        </w:rPr>
      </w:pPr>
      <w:r w:rsidRPr="00796281">
        <w:rPr>
          <w:sz w:val="23"/>
          <w:szCs w:val="23"/>
        </w:rPr>
        <w:t xml:space="preserve">Akarsu, B. (2015). </w:t>
      </w:r>
      <w:r w:rsidRPr="00796281">
        <w:rPr>
          <w:i/>
          <w:sz w:val="23"/>
          <w:szCs w:val="23"/>
        </w:rPr>
        <w:t>Felsefe terimleri sözlüğü</w:t>
      </w:r>
      <w:r w:rsidRPr="00796281">
        <w:rPr>
          <w:sz w:val="23"/>
          <w:szCs w:val="23"/>
        </w:rPr>
        <w:t xml:space="preserve">. </w:t>
      </w:r>
      <w:proofErr w:type="spellStart"/>
      <w:r w:rsidRPr="00796281">
        <w:rPr>
          <w:sz w:val="23"/>
          <w:szCs w:val="23"/>
        </w:rPr>
        <w:t>İnkilap</w:t>
      </w:r>
      <w:proofErr w:type="spellEnd"/>
      <w:r w:rsidRPr="00796281">
        <w:rPr>
          <w:sz w:val="23"/>
          <w:szCs w:val="23"/>
        </w:rPr>
        <w:t xml:space="preserve"> Yayıncılık.</w:t>
      </w:r>
    </w:p>
    <w:p w14:paraId="73BB1EE2" w14:textId="77777777" w:rsidR="001E7189" w:rsidRPr="00796281" w:rsidRDefault="001E7189">
      <w:pPr>
        <w:pStyle w:val="ListeParagraf"/>
        <w:numPr>
          <w:ilvl w:val="0"/>
          <w:numId w:val="56"/>
        </w:numPr>
        <w:jc w:val="both"/>
        <w:rPr>
          <w:sz w:val="23"/>
          <w:szCs w:val="23"/>
        </w:rPr>
      </w:pPr>
      <w:r w:rsidRPr="00796281">
        <w:rPr>
          <w:sz w:val="23"/>
          <w:szCs w:val="23"/>
        </w:rPr>
        <w:t xml:space="preserve">Aristoteles, (2004). </w:t>
      </w:r>
      <w:r w:rsidRPr="00796281">
        <w:rPr>
          <w:i/>
          <w:sz w:val="23"/>
          <w:szCs w:val="23"/>
        </w:rPr>
        <w:t>Retorik</w:t>
      </w:r>
      <w:r w:rsidRPr="00796281">
        <w:rPr>
          <w:sz w:val="23"/>
          <w:szCs w:val="23"/>
        </w:rPr>
        <w:t>, (Mehmet H. Doğan, Çev.). Yapı Kredi Yayınları.</w:t>
      </w:r>
    </w:p>
    <w:p w14:paraId="6C9CC5F3" w14:textId="77777777" w:rsidR="001E7189" w:rsidRPr="00796281" w:rsidRDefault="001E7189">
      <w:pPr>
        <w:pStyle w:val="ListeParagraf"/>
        <w:numPr>
          <w:ilvl w:val="0"/>
          <w:numId w:val="56"/>
        </w:numPr>
        <w:jc w:val="both"/>
        <w:rPr>
          <w:sz w:val="23"/>
          <w:szCs w:val="23"/>
        </w:rPr>
      </w:pPr>
      <w:r w:rsidRPr="00796281">
        <w:rPr>
          <w:sz w:val="23"/>
          <w:szCs w:val="23"/>
        </w:rPr>
        <w:t xml:space="preserve">Aristoteles. (2019). </w:t>
      </w:r>
      <w:r w:rsidRPr="00796281">
        <w:rPr>
          <w:i/>
          <w:sz w:val="23"/>
          <w:szCs w:val="23"/>
        </w:rPr>
        <w:t>Metafizik</w:t>
      </w:r>
      <w:r w:rsidRPr="00796281">
        <w:rPr>
          <w:sz w:val="23"/>
          <w:szCs w:val="23"/>
        </w:rPr>
        <w:t>, (Y. Gurur Sev, Çev.). Pinhan Yayıncılık.</w:t>
      </w:r>
    </w:p>
    <w:p w14:paraId="5562F33D" w14:textId="77777777" w:rsidR="001E7189" w:rsidRPr="00796281" w:rsidRDefault="001E7189">
      <w:pPr>
        <w:pStyle w:val="ListeParagraf"/>
        <w:numPr>
          <w:ilvl w:val="0"/>
          <w:numId w:val="56"/>
        </w:numPr>
        <w:jc w:val="both"/>
        <w:rPr>
          <w:sz w:val="23"/>
          <w:szCs w:val="23"/>
        </w:rPr>
      </w:pPr>
      <w:r w:rsidRPr="00796281">
        <w:rPr>
          <w:sz w:val="23"/>
          <w:szCs w:val="23"/>
        </w:rPr>
        <w:t xml:space="preserve">Aristoteles, (2020). </w:t>
      </w:r>
      <w:r w:rsidRPr="00796281">
        <w:rPr>
          <w:i/>
          <w:sz w:val="23"/>
          <w:szCs w:val="23"/>
        </w:rPr>
        <w:t>Politika</w:t>
      </w:r>
      <w:r w:rsidRPr="00796281">
        <w:rPr>
          <w:sz w:val="23"/>
          <w:szCs w:val="23"/>
        </w:rPr>
        <w:t>, (Özgüç Orhan, Çev.). Pinhan Yayıncılık.</w:t>
      </w:r>
    </w:p>
    <w:p w14:paraId="501A3DA8" w14:textId="5FC6D1D0" w:rsidR="001E7189" w:rsidRPr="00796281" w:rsidRDefault="001E7189">
      <w:pPr>
        <w:pStyle w:val="ListeParagraf"/>
        <w:numPr>
          <w:ilvl w:val="0"/>
          <w:numId w:val="56"/>
        </w:numPr>
        <w:jc w:val="both"/>
        <w:rPr>
          <w:sz w:val="23"/>
          <w:szCs w:val="23"/>
        </w:rPr>
      </w:pPr>
      <w:r w:rsidRPr="00796281">
        <w:rPr>
          <w:sz w:val="23"/>
          <w:szCs w:val="23"/>
        </w:rPr>
        <w:t xml:space="preserve">Arslan, A. (2006). </w:t>
      </w:r>
      <w:r w:rsidRPr="00796281">
        <w:rPr>
          <w:i/>
          <w:sz w:val="23"/>
          <w:szCs w:val="23"/>
        </w:rPr>
        <w:t>İlkçağ felsefe tarihi 2 Sofistlerden Platon’a</w:t>
      </w:r>
      <w:r w:rsidRPr="00796281">
        <w:rPr>
          <w:sz w:val="23"/>
          <w:szCs w:val="23"/>
        </w:rPr>
        <w:t>. İstanbul Bilgi Üniversitesi Yayınları.</w:t>
      </w:r>
    </w:p>
    <w:p w14:paraId="19BC2F59" w14:textId="77777777" w:rsidR="001E7189" w:rsidRPr="00796281" w:rsidRDefault="001E7189">
      <w:pPr>
        <w:pStyle w:val="ListeParagraf"/>
        <w:numPr>
          <w:ilvl w:val="0"/>
          <w:numId w:val="56"/>
        </w:numPr>
        <w:jc w:val="both"/>
        <w:rPr>
          <w:sz w:val="23"/>
          <w:szCs w:val="23"/>
        </w:rPr>
      </w:pPr>
      <w:proofErr w:type="spellStart"/>
      <w:r w:rsidRPr="00796281">
        <w:rPr>
          <w:sz w:val="23"/>
          <w:szCs w:val="23"/>
        </w:rPr>
        <w:t>Capelle</w:t>
      </w:r>
      <w:proofErr w:type="spellEnd"/>
      <w:r w:rsidRPr="00796281">
        <w:rPr>
          <w:sz w:val="23"/>
          <w:szCs w:val="23"/>
        </w:rPr>
        <w:t xml:space="preserve">, W. (2016). Sokrates’ten önce felsefe. (Oğuz </w:t>
      </w:r>
      <w:proofErr w:type="spellStart"/>
      <w:r w:rsidRPr="00796281">
        <w:rPr>
          <w:sz w:val="23"/>
          <w:szCs w:val="23"/>
        </w:rPr>
        <w:t>Özügül</w:t>
      </w:r>
      <w:proofErr w:type="spellEnd"/>
      <w:r w:rsidRPr="00796281">
        <w:rPr>
          <w:sz w:val="23"/>
          <w:szCs w:val="23"/>
        </w:rPr>
        <w:t>, Çev.). Pencere Yayınları.</w:t>
      </w:r>
    </w:p>
    <w:p w14:paraId="63713096" w14:textId="77777777" w:rsidR="001E7189" w:rsidRPr="00796281" w:rsidRDefault="001E7189">
      <w:pPr>
        <w:pStyle w:val="ListeParagraf"/>
        <w:numPr>
          <w:ilvl w:val="0"/>
          <w:numId w:val="56"/>
        </w:numPr>
        <w:jc w:val="both"/>
        <w:rPr>
          <w:sz w:val="23"/>
          <w:szCs w:val="23"/>
        </w:rPr>
      </w:pPr>
      <w:proofErr w:type="spellStart"/>
      <w:r w:rsidRPr="00796281">
        <w:rPr>
          <w:sz w:val="23"/>
          <w:szCs w:val="23"/>
        </w:rPr>
        <w:t>Denkel</w:t>
      </w:r>
      <w:proofErr w:type="spellEnd"/>
      <w:r w:rsidRPr="00796281">
        <w:rPr>
          <w:sz w:val="23"/>
          <w:szCs w:val="23"/>
        </w:rPr>
        <w:t xml:space="preserve">, A. (2020). </w:t>
      </w:r>
      <w:proofErr w:type="spellStart"/>
      <w:r w:rsidRPr="00796281">
        <w:rPr>
          <w:i/>
          <w:sz w:val="23"/>
          <w:szCs w:val="23"/>
        </w:rPr>
        <w:t>İlkçağ’da</w:t>
      </w:r>
      <w:proofErr w:type="spellEnd"/>
      <w:r w:rsidRPr="00796281">
        <w:rPr>
          <w:i/>
          <w:sz w:val="23"/>
          <w:szCs w:val="23"/>
        </w:rPr>
        <w:t xml:space="preserve"> doğa felsefeleri</w:t>
      </w:r>
      <w:r w:rsidRPr="00796281">
        <w:rPr>
          <w:sz w:val="23"/>
          <w:szCs w:val="23"/>
        </w:rPr>
        <w:t>. Doğu Batı Yayınları.</w:t>
      </w:r>
    </w:p>
    <w:p w14:paraId="0861E0BC" w14:textId="77777777" w:rsidR="001E7189" w:rsidRPr="00796281" w:rsidRDefault="001E7189">
      <w:pPr>
        <w:pStyle w:val="ListeParagraf"/>
        <w:numPr>
          <w:ilvl w:val="0"/>
          <w:numId w:val="56"/>
        </w:numPr>
        <w:jc w:val="both"/>
        <w:rPr>
          <w:sz w:val="23"/>
          <w:szCs w:val="23"/>
        </w:rPr>
      </w:pPr>
      <w:r w:rsidRPr="00796281">
        <w:rPr>
          <w:sz w:val="23"/>
          <w:szCs w:val="23"/>
        </w:rPr>
        <w:t xml:space="preserve">Guthrie, W.K.C. (2021). </w:t>
      </w:r>
      <w:r w:rsidRPr="00796281">
        <w:rPr>
          <w:i/>
          <w:sz w:val="23"/>
          <w:szCs w:val="23"/>
        </w:rPr>
        <w:t>Yunan felsefe tarihi 3: beşinci yüzyıl aydınlanması Sofistler ve Sokrates</w:t>
      </w:r>
      <w:r w:rsidRPr="00796281">
        <w:rPr>
          <w:sz w:val="23"/>
          <w:szCs w:val="23"/>
        </w:rPr>
        <w:t>. (Sabri Gürses, Çev.). Kabalcı Yayıncılık.</w:t>
      </w:r>
    </w:p>
    <w:p w14:paraId="2DF7318A" w14:textId="77777777" w:rsidR="001E7189" w:rsidRPr="00796281" w:rsidRDefault="001E7189">
      <w:pPr>
        <w:pStyle w:val="ListeParagraf"/>
        <w:numPr>
          <w:ilvl w:val="0"/>
          <w:numId w:val="56"/>
        </w:numPr>
        <w:jc w:val="both"/>
        <w:rPr>
          <w:sz w:val="23"/>
          <w:szCs w:val="23"/>
        </w:rPr>
      </w:pPr>
      <w:proofErr w:type="spellStart"/>
      <w:r w:rsidRPr="00796281">
        <w:rPr>
          <w:sz w:val="23"/>
          <w:szCs w:val="23"/>
        </w:rPr>
        <w:t>Kerferd</w:t>
      </w:r>
      <w:proofErr w:type="spellEnd"/>
      <w:r w:rsidRPr="00796281">
        <w:rPr>
          <w:sz w:val="23"/>
          <w:szCs w:val="23"/>
        </w:rPr>
        <w:t xml:space="preserve">, G. B. (1984). </w:t>
      </w:r>
      <w:proofErr w:type="spellStart"/>
      <w:r w:rsidRPr="00796281">
        <w:rPr>
          <w:i/>
          <w:sz w:val="23"/>
          <w:szCs w:val="23"/>
        </w:rPr>
        <w:t>The</w:t>
      </w:r>
      <w:proofErr w:type="spellEnd"/>
      <w:r w:rsidRPr="00796281">
        <w:rPr>
          <w:i/>
          <w:sz w:val="23"/>
          <w:szCs w:val="23"/>
        </w:rPr>
        <w:t xml:space="preserve"> </w:t>
      </w:r>
      <w:proofErr w:type="spellStart"/>
      <w:r w:rsidRPr="00796281">
        <w:rPr>
          <w:i/>
          <w:sz w:val="23"/>
          <w:szCs w:val="23"/>
        </w:rPr>
        <w:t>sophistic</w:t>
      </w:r>
      <w:proofErr w:type="spellEnd"/>
      <w:r w:rsidRPr="00796281">
        <w:rPr>
          <w:i/>
          <w:sz w:val="23"/>
          <w:szCs w:val="23"/>
        </w:rPr>
        <w:t xml:space="preserve"> </w:t>
      </w:r>
      <w:proofErr w:type="spellStart"/>
      <w:r w:rsidRPr="00796281">
        <w:rPr>
          <w:i/>
          <w:sz w:val="23"/>
          <w:szCs w:val="23"/>
        </w:rPr>
        <w:t>movement</w:t>
      </w:r>
      <w:proofErr w:type="spellEnd"/>
      <w:r w:rsidRPr="00796281">
        <w:rPr>
          <w:sz w:val="23"/>
          <w:szCs w:val="23"/>
        </w:rPr>
        <w:t xml:space="preserve">. Cambridge </w:t>
      </w:r>
      <w:proofErr w:type="spellStart"/>
      <w:r w:rsidRPr="00796281">
        <w:rPr>
          <w:sz w:val="23"/>
          <w:szCs w:val="23"/>
        </w:rPr>
        <w:t>University</w:t>
      </w:r>
      <w:proofErr w:type="spellEnd"/>
      <w:r w:rsidRPr="00796281">
        <w:rPr>
          <w:sz w:val="23"/>
          <w:szCs w:val="23"/>
        </w:rPr>
        <w:t xml:space="preserve"> </w:t>
      </w:r>
      <w:proofErr w:type="spellStart"/>
      <w:r w:rsidRPr="00796281">
        <w:rPr>
          <w:sz w:val="23"/>
          <w:szCs w:val="23"/>
        </w:rPr>
        <w:t>Press</w:t>
      </w:r>
      <w:proofErr w:type="spellEnd"/>
      <w:r w:rsidRPr="00796281">
        <w:rPr>
          <w:sz w:val="23"/>
          <w:szCs w:val="23"/>
        </w:rPr>
        <w:t>.</w:t>
      </w:r>
    </w:p>
    <w:p w14:paraId="7F34392B" w14:textId="77777777" w:rsidR="001E7189" w:rsidRPr="00796281" w:rsidRDefault="001E7189">
      <w:pPr>
        <w:pStyle w:val="ListeParagraf"/>
        <w:numPr>
          <w:ilvl w:val="0"/>
          <w:numId w:val="56"/>
        </w:numPr>
        <w:jc w:val="both"/>
        <w:rPr>
          <w:sz w:val="23"/>
          <w:szCs w:val="23"/>
        </w:rPr>
      </w:pPr>
      <w:proofErr w:type="spellStart"/>
      <w:r w:rsidRPr="00796281">
        <w:rPr>
          <w:sz w:val="23"/>
          <w:szCs w:val="23"/>
        </w:rPr>
        <w:lastRenderedPageBreak/>
        <w:t>Kranz</w:t>
      </w:r>
      <w:proofErr w:type="spellEnd"/>
      <w:r w:rsidRPr="00796281">
        <w:rPr>
          <w:sz w:val="23"/>
          <w:szCs w:val="23"/>
        </w:rPr>
        <w:t xml:space="preserve">, W. (1994). </w:t>
      </w:r>
      <w:r w:rsidRPr="00796281">
        <w:rPr>
          <w:i/>
          <w:sz w:val="23"/>
          <w:szCs w:val="23"/>
        </w:rPr>
        <w:t>Antik felsefe,</w:t>
      </w:r>
      <w:r w:rsidRPr="00796281">
        <w:rPr>
          <w:sz w:val="23"/>
          <w:szCs w:val="23"/>
        </w:rPr>
        <w:t xml:space="preserve"> (</w:t>
      </w:r>
      <w:proofErr w:type="spellStart"/>
      <w:r w:rsidRPr="00796281">
        <w:rPr>
          <w:sz w:val="23"/>
          <w:szCs w:val="23"/>
        </w:rPr>
        <w:t>Suad</w:t>
      </w:r>
      <w:proofErr w:type="spellEnd"/>
      <w:r w:rsidRPr="00796281">
        <w:rPr>
          <w:sz w:val="23"/>
          <w:szCs w:val="23"/>
        </w:rPr>
        <w:t xml:space="preserve"> Y. </w:t>
      </w:r>
      <w:proofErr w:type="spellStart"/>
      <w:r w:rsidRPr="00796281">
        <w:rPr>
          <w:sz w:val="23"/>
          <w:szCs w:val="23"/>
        </w:rPr>
        <w:t>Babur</w:t>
      </w:r>
      <w:proofErr w:type="spellEnd"/>
      <w:r w:rsidRPr="00796281">
        <w:rPr>
          <w:sz w:val="23"/>
          <w:szCs w:val="23"/>
        </w:rPr>
        <w:t>, Çev.). Sosyal Yayınlar.</w:t>
      </w:r>
    </w:p>
    <w:p w14:paraId="1182361D" w14:textId="77777777" w:rsidR="001E7189" w:rsidRPr="00796281" w:rsidRDefault="001E7189">
      <w:pPr>
        <w:pStyle w:val="ListeParagraf"/>
        <w:numPr>
          <w:ilvl w:val="0"/>
          <w:numId w:val="56"/>
        </w:numPr>
        <w:jc w:val="both"/>
        <w:rPr>
          <w:sz w:val="23"/>
          <w:szCs w:val="23"/>
        </w:rPr>
      </w:pPr>
      <w:proofErr w:type="spellStart"/>
      <w:r w:rsidRPr="00796281">
        <w:rPr>
          <w:sz w:val="23"/>
          <w:szCs w:val="23"/>
        </w:rPr>
        <w:t>Ksenophanes</w:t>
      </w:r>
      <w:proofErr w:type="spellEnd"/>
      <w:r w:rsidRPr="00796281">
        <w:rPr>
          <w:sz w:val="23"/>
          <w:szCs w:val="23"/>
        </w:rPr>
        <w:t xml:space="preserve">. (2019). </w:t>
      </w:r>
      <w:r w:rsidRPr="00796281">
        <w:rPr>
          <w:i/>
          <w:sz w:val="23"/>
          <w:szCs w:val="23"/>
        </w:rPr>
        <w:t>Fragmanlar</w:t>
      </w:r>
      <w:r w:rsidRPr="00796281">
        <w:rPr>
          <w:sz w:val="23"/>
          <w:szCs w:val="23"/>
        </w:rPr>
        <w:t>, (Gurur Sev, Çev.). Pinhan Yayıncılık.</w:t>
      </w:r>
    </w:p>
    <w:p w14:paraId="4B62A404" w14:textId="696BF027" w:rsidR="001E7189" w:rsidRPr="00796281" w:rsidRDefault="001E7189">
      <w:pPr>
        <w:pStyle w:val="ListeParagraf"/>
        <w:numPr>
          <w:ilvl w:val="0"/>
          <w:numId w:val="56"/>
        </w:numPr>
        <w:jc w:val="both"/>
        <w:rPr>
          <w:sz w:val="23"/>
          <w:szCs w:val="23"/>
        </w:rPr>
      </w:pPr>
      <w:proofErr w:type="spellStart"/>
      <w:r w:rsidRPr="00796281">
        <w:rPr>
          <w:sz w:val="23"/>
          <w:szCs w:val="23"/>
        </w:rPr>
        <w:t>Laertios</w:t>
      </w:r>
      <w:proofErr w:type="spellEnd"/>
      <w:r w:rsidRPr="00796281">
        <w:rPr>
          <w:sz w:val="23"/>
          <w:szCs w:val="23"/>
        </w:rPr>
        <w:t xml:space="preserve">, D. (2019). </w:t>
      </w:r>
      <w:r w:rsidRPr="00796281">
        <w:rPr>
          <w:i/>
          <w:sz w:val="23"/>
          <w:szCs w:val="23"/>
        </w:rPr>
        <w:t>Ünlü filozofların yaşamları ve öğretileri</w:t>
      </w:r>
      <w:r w:rsidRPr="00796281">
        <w:rPr>
          <w:sz w:val="23"/>
          <w:szCs w:val="23"/>
        </w:rPr>
        <w:t>, (Candan Şentuna, Çev.) Yapı Kredi Yayınları.</w:t>
      </w:r>
    </w:p>
    <w:p w14:paraId="223B111C" w14:textId="6CE8EEF8" w:rsidR="001E7189" w:rsidRPr="00796281" w:rsidRDefault="001E7189">
      <w:pPr>
        <w:pStyle w:val="ListeParagraf"/>
        <w:numPr>
          <w:ilvl w:val="0"/>
          <w:numId w:val="56"/>
        </w:numPr>
        <w:jc w:val="both"/>
        <w:rPr>
          <w:sz w:val="23"/>
          <w:szCs w:val="23"/>
        </w:rPr>
      </w:pPr>
      <w:proofErr w:type="spellStart"/>
      <w:r w:rsidRPr="00796281">
        <w:rPr>
          <w:sz w:val="23"/>
          <w:szCs w:val="23"/>
        </w:rPr>
        <w:t>Leukippos</w:t>
      </w:r>
      <w:proofErr w:type="spellEnd"/>
      <w:r w:rsidRPr="00796281">
        <w:rPr>
          <w:sz w:val="23"/>
          <w:szCs w:val="23"/>
        </w:rPr>
        <w:t xml:space="preserve"> ve Demokritos. (2020). </w:t>
      </w:r>
      <w:r w:rsidRPr="00796281">
        <w:rPr>
          <w:i/>
          <w:sz w:val="23"/>
          <w:szCs w:val="23"/>
        </w:rPr>
        <w:t xml:space="preserve">Atomcu felsefe fragmanları, </w:t>
      </w:r>
      <w:r w:rsidRPr="00796281">
        <w:rPr>
          <w:sz w:val="23"/>
          <w:szCs w:val="23"/>
        </w:rPr>
        <w:t>(Cengiz Çevik, Çev.). Türkiye İş Bankası Yayınları.</w:t>
      </w:r>
    </w:p>
    <w:p w14:paraId="4F0C28FA" w14:textId="77777777" w:rsidR="001E7189" w:rsidRPr="00796281" w:rsidRDefault="001E7189">
      <w:pPr>
        <w:pStyle w:val="ListeParagraf"/>
        <w:numPr>
          <w:ilvl w:val="0"/>
          <w:numId w:val="56"/>
        </w:numPr>
        <w:jc w:val="both"/>
        <w:rPr>
          <w:sz w:val="23"/>
          <w:szCs w:val="23"/>
        </w:rPr>
      </w:pPr>
      <w:r w:rsidRPr="00796281">
        <w:rPr>
          <w:sz w:val="23"/>
          <w:szCs w:val="23"/>
        </w:rPr>
        <w:t xml:space="preserve">Platon, (2015). </w:t>
      </w:r>
      <w:r w:rsidRPr="00796281">
        <w:rPr>
          <w:i/>
          <w:sz w:val="23"/>
          <w:szCs w:val="23"/>
        </w:rPr>
        <w:t>Devlet</w:t>
      </w:r>
      <w:r w:rsidRPr="00796281">
        <w:rPr>
          <w:sz w:val="23"/>
          <w:szCs w:val="23"/>
        </w:rPr>
        <w:t>, (Sebahattin Eyüpoğlu, Çev.). Türkiye İş Bankası Yayınları.</w:t>
      </w:r>
    </w:p>
    <w:p w14:paraId="208CD571" w14:textId="77777777" w:rsidR="001E7189" w:rsidRPr="00796281" w:rsidRDefault="001E7189">
      <w:pPr>
        <w:pStyle w:val="ListeParagraf"/>
        <w:numPr>
          <w:ilvl w:val="0"/>
          <w:numId w:val="56"/>
        </w:numPr>
        <w:jc w:val="both"/>
        <w:rPr>
          <w:sz w:val="23"/>
          <w:szCs w:val="23"/>
        </w:rPr>
      </w:pPr>
      <w:r w:rsidRPr="00796281">
        <w:rPr>
          <w:sz w:val="23"/>
          <w:szCs w:val="23"/>
        </w:rPr>
        <w:t xml:space="preserve">Thales vd. (2019). </w:t>
      </w:r>
      <w:r w:rsidRPr="00796281">
        <w:rPr>
          <w:i/>
          <w:sz w:val="23"/>
          <w:szCs w:val="23"/>
        </w:rPr>
        <w:t>Fragmanlar</w:t>
      </w:r>
      <w:r w:rsidRPr="00796281">
        <w:rPr>
          <w:sz w:val="23"/>
          <w:szCs w:val="23"/>
        </w:rPr>
        <w:t xml:space="preserve">. (Güvenç </w:t>
      </w:r>
      <w:proofErr w:type="gramStart"/>
      <w:r w:rsidRPr="00796281">
        <w:rPr>
          <w:sz w:val="23"/>
          <w:szCs w:val="23"/>
        </w:rPr>
        <w:t>Şar ,</w:t>
      </w:r>
      <w:proofErr w:type="gramEnd"/>
      <w:r w:rsidRPr="00796281">
        <w:rPr>
          <w:sz w:val="23"/>
          <w:szCs w:val="23"/>
        </w:rPr>
        <w:t>Çev.). Pinhan Yayıncılık.</w:t>
      </w:r>
    </w:p>
    <w:p w14:paraId="7CF292E7" w14:textId="773E8055" w:rsidR="00C70E93" w:rsidRDefault="001E7189">
      <w:pPr>
        <w:pStyle w:val="ListeParagraf"/>
        <w:numPr>
          <w:ilvl w:val="0"/>
          <w:numId w:val="56"/>
        </w:numPr>
        <w:jc w:val="both"/>
        <w:rPr>
          <w:sz w:val="23"/>
          <w:szCs w:val="23"/>
        </w:rPr>
      </w:pPr>
      <w:proofErr w:type="spellStart"/>
      <w:r w:rsidRPr="00796281">
        <w:rPr>
          <w:sz w:val="23"/>
          <w:szCs w:val="23"/>
        </w:rPr>
        <w:t>Zeller</w:t>
      </w:r>
      <w:proofErr w:type="spellEnd"/>
      <w:r w:rsidRPr="00796281">
        <w:rPr>
          <w:sz w:val="23"/>
          <w:szCs w:val="23"/>
        </w:rPr>
        <w:t>, E. (2008). Grek felsefesi tarihi, (Ahmet Aydoğan, Çev.), Say Yayınları.</w:t>
      </w:r>
    </w:p>
    <w:p w14:paraId="501CADA5" w14:textId="558D9D89" w:rsidR="00FF4BC0" w:rsidRPr="00C70E93" w:rsidRDefault="00C70E93" w:rsidP="00C70E93">
      <w:pPr>
        <w:autoSpaceDE/>
        <w:autoSpaceDN/>
        <w:rPr>
          <w:sz w:val="23"/>
          <w:szCs w:val="23"/>
        </w:rPr>
      </w:pPr>
      <w:r>
        <w:rPr>
          <w:sz w:val="23"/>
          <w:szCs w:val="23"/>
        </w:rPr>
        <w:br w:type="page"/>
      </w:r>
    </w:p>
    <w:p w14:paraId="235F8055" w14:textId="5DE5FD0D" w:rsidR="00FF4BC0" w:rsidRDefault="00FF4BC0" w:rsidP="004C7694">
      <w:pPr>
        <w:pStyle w:val="Tark"/>
      </w:pPr>
      <w:bookmarkStart w:id="218" w:name="_Toc192855241"/>
      <w:r w:rsidRPr="006871AB">
        <w:lastRenderedPageBreak/>
        <w:t xml:space="preserve">Kocaeli Üniversitesi’nde Lisansüstü Eğitimi Gören </w:t>
      </w:r>
      <w:r w:rsidR="00B24CA3" w:rsidRPr="006871AB">
        <w:t>Uluslararası</w:t>
      </w:r>
      <w:r w:rsidRPr="006871AB">
        <w:t xml:space="preserve"> Öğrencilerin Entegrasyon</w:t>
      </w:r>
      <w:r w:rsidRPr="006871AB">
        <w:rPr>
          <w:spacing w:val="-5"/>
        </w:rPr>
        <w:t xml:space="preserve"> </w:t>
      </w:r>
      <w:r w:rsidRPr="006871AB">
        <w:t>Sürecinde</w:t>
      </w:r>
      <w:r w:rsidRPr="006871AB">
        <w:rPr>
          <w:spacing w:val="-7"/>
        </w:rPr>
        <w:t xml:space="preserve"> </w:t>
      </w:r>
      <w:r w:rsidR="00B24CA3" w:rsidRPr="006871AB">
        <w:t>Karşılaştıkları</w:t>
      </w:r>
      <w:r w:rsidRPr="006871AB">
        <w:rPr>
          <w:spacing w:val="-7"/>
        </w:rPr>
        <w:t xml:space="preserve"> </w:t>
      </w:r>
      <w:r w:rsidRPr="006871AB">
        <w:t>Zorluklar:</w:t>
      </w:r>
      <w:r w:rsidRPr="006871AB">
        <w:rPr>
          <w:spacing w:val="-2"/>
        </w:rPr>
        <w:t xml:space="preserve"> </w:t>
      </w:r>
      <w:r w:rsidRPr="006871AB">
        <w:t>Dil</w:t>
      </w:r>
      <w:r w:rsidRPr="006871AB">
        <w:rPr>
          <w:spacing w:val="-7"/>
        </w:rPr>
        <w:t xml:space="preserve"> </w:t>
      </w:r>
      <w:r w:rsidR="00B24CA3" w:rsidRPr="006871AB">
        <w:t>Sorunları</w:t>
      </w:r>
      <w:r w:rsidRPr="006871AB">
        <w:t>,</w:t>
      </w:r>
      <w:r w:rsidRPr="006871AB">
        <w:rPr>
          <w:spacing w:val="-5"/>
        </w:rPr>
        <w:t xml:space="preserve"> </w:t>
      </w:r>
      <w:r w:rsidRPr="006871AB">
        <w:t>Kültürel</w:t>
      </w:r>
      <w:r w:rsidRPr="006871AB">
        <w:rPr>
          <w:spacing w:val="-6"/>
        </w:rPr>
        <w:t xml:space="preserve"> </w:t>
      </w:r>
      <w:r w:rsidR="00B24CA3" w:rsidRPr="006871AB">
        <w:t>Farklıkları</w:t>
      </w:r>
      <w:r w:rsidRPr="006871AB">
        <w:t xml:space="preserve"> </w:t>
      </w:r>
      <w:r w:rsidR="00B24CA3" w:rsidRPr="006871AB">
        <w:t>ve</w:t>
      </w:r>
      <w:r w:rsidRPr="006871AB">
        <w:t xml:space="preserve"> Eğitim </w:t>
      </w:r>
      <w:r w:rsidR="00B24CA3" w:rsidRPr="006871AB">
        <w:t>Ortamına</w:t>
      </w:r>
      <w:r w:rsidRPr="006871AB">
        <w:t xml:space="preserve"> Uyum</w:t>
      </w:r>
      <w:bookmarkEnd w:id="218"/>
    </w:p>
    <w:p w14:paraId="63BF69AA" w14:textId="77777777" w:rsidR="00BA67A6" w:rsidRPr="00BA67A6" w:rsidRDefault="00BA67A6" w:rsidP="00BA67A6">
      <w:pPr>
        <w:pStyle w:val="Metin"/>
      </w:pPr>
    </w:p>
    <w:p w14:paraId="21CAF9B9" w14:textId="77777777" w:rsidR="00FF4BC0" w:rsidRPr="006871AB" w:rsidRDefault="00FF4BC0" w:rsidP="00BA67A6">
      <w:pPr>
        <w:ind w:left="440" w:right="158"/>
        <w:jc w:val="center"/>
        <w:rPr>
          <w:bCs/>
        </w:rPr>
      </w:pPr>
      <w:r w:rsidRPr="006871AB">
        <w:rPr>
          <w:bCs/>
          <w:color w:val="171717"/>
        </w:rPr>
        <w:t>Abdulhakim</w:t>
      </w:r>
      <w:r w:rsidRPr="006871AB">
        <w:rPr>
          <w:bCs/>
          <w:color w:val="171717"/>
          <w:spacing w:val="-4"/>
        </w:rPr>
        <w:t xml:space="preserve"> </w:t>
      </w:r>
      <w:proofErr w:type="spellStart"/>
      <w:r w:rsidRPr="006871AB">
        <w:rPr>
          <w:bCs/>
          <w:color w:val="171717"/>
        </w:rPr>
        <w:t>Jemal</w:t>
      </w:r>
      <w:proofErr w:type="spellEnd"/>
      <w:r w:rsidRPr="006871AB">
        <w:rPr>
          <w:bCs/>
          <w:color w:val="171717"/>
          <w:spacing w:val="-4"/>
        </w:rPr>
        <w:t xml:space="preserve"> </w:t>
      </w:r>
      <w:proofErr w:type="spellStart"/>
      <w:r w:rsidRPr="006871AB">
        <w:rPr>
          <w:bCs/>
          <w:color w:val="171717"/>
          <w:spacing w:val="-2"/>
        </w:rPr>
        <w:t>Kedir</w:t>
      </w:r>
      <w:proofErr w:type="spellEnd"/>
    </w:p>
    <w:p w14:paraId="02DAF492" w14:textId="77777777" w:rsidR="00FF4BC0" w:rsidRPr="006871AB" w:rsidRDefault="00FF4BC0" w:rsidP="00BA67A6">
      <w:pPr>
        <w:ind w:left="441" w:right="158"/>
        <w:jc w:val="center"/>
        <w:rPr>
          <w:bCs/>
        </w:rPr>
      </w:pPr>
      <w:r w:rsidRPr="006871AB">
        <w:rPr>
          <w:bCs/>
          <w:color w:val="171717"/>
        </w:rPr>
        <w:t>Kocaeli</w:t>
      </w:r>
      <w:r w:rsidRPr="006871AB">
        <w:rPr>
          <w:bCs/>
          <w:color w:val="171717"/>
          <w:spacing w:val="-7"/>
        </w:rPr>
        <w:t xml:space="preserve"> </w:t>
      </w:r>
      <w:r w:rsidRPr="006871AB">
        <w:rPr>
          <w:bCs/>
          <w:color w:val="171717"/>
        </w:rPr>
        <w:t>Üniversitesi</w:t>
      </w:r>
      <w:r w:rsidRPr="006871AB">
        <w:rPr>
          <w:bCs/>
          <w:color w:val="171717"/>
          <w:spacing w:val="-4"/>
        </w:rPr>
        <w:t xml:space="preserve"> </w:t>
      </w:r>
      <w:r w:rsidRPr="006871AB">
        <w:rPr>
          <w:bCs/>
          <w:color w:val="171717"/>
        </w:rPr>
        <w:t>Sosyal</w:t>
      </w:r>
      <w:r w:rsidRPr="006871AB">
        <w:rPr>
          <w:bCs/>
          <w:color w:val="171717"/>
          <w:spacing w:val="-5"/>
        </w:rPr>
        <w:t xml:space="preserve"> </w:t>
      </w:r>
      <w:r w:rsidRPr="006871AB">
        <w:rPr>
          <w:bCs/>
          <w:color w:val="171717"/>
        </w:rPr>
        <w:t>Bilimler Enstitüsü,</w:t>
      </w:r>
      <w:r w:rsidRPr="006871AB">
        <w:rPr>
          <w:bCs/>
          <w:color w:val="171717"/>
          <w:spacing w:val="-3"/>
        </w:rPr>
        <w:t xml:space="preserve"> </w:t>
      </w:r>
      <w:r w:rsidRPr="006871AB">
        <w:rPr>
          <w:bCs/>
          <w:color w:val="171717"/>
        </w:rPr>
        <w:t>Sosyal</w:t>
      </w:r>
      <w:r w:rsidRPr="006871AB">
        <w:rPr>
          <w:bCs/>
          <w:color w:val="171717"/>
          <w:spacing w:val="-4"/>
        </w:rPr>
        <w:t xml:space="preserve"> </w:t>
      </w:r>
      <w:r w:rsidRPr="006871AB">
        <w:rPr>
          <w:bCs/>
          <w:color w:val="171717"/>
        </w:rPr>
        <w:t>Hizmet</w:t>
      </w:r>
      <w:r w:rsidRPr="006871AB">
        <w:rPr>
          <w:bCs/>
          <w:color w:val="171717"/>
          <w:spacing w:val="-2"/>
        </w:rPr>
        <w:t xml:space="preserve"> Bölümü</w:t>
      </w:r>
    </w:p>
    <w:p w14:paraId="24E527A8" w14:textId="77777777" w:rsidR="00FF4BC0" w:rsidRDefault="00FF4BC0" w:rsidP="00BA67A6">
      <w:pPr>
        <w:ind w:left="441" w:right="158"/>
        <w:jc w:val="center"/>
      </w:pPr>
      <w:hyperlink r:id="rId228">
        <w:r w:rsidRPr="006871AB">
          <w:rPr>
            <w:bCs/>
            <w:i/>
            <w:color w:val="0D0D0D"/>
            <w:spacing w:val="-2"/>
            <w:u w:val="single" w:color="0D0D0D"/>
          </w:rPr>
          <w:t>Hekimje506@gmail.com</w:t>
        </w:r>
      </w:hyperlink>
    </w:p>
    <w:p w14:paraId="2291E759" w14:textId="77777777" w:rsidR="00BA67A6" w:rsidRPr="006871AB" w:rsidRDefault="00BA67A6" w:rsidP="00BA67A6">
      <w:pPr>
        <w:ind w:left="441" w:right="158"/>
        <w:jc w:val="center"/>
        <w:rPr>
          <w:bCs/>
          <w:i/>
        </w:rPr>
      </w:pPr>
    </w:p>
    <w:p w14:paraId="062F2EBB" w14:textId="77777777" w:rsidR="00FF4BC0" w:rsidRPr="00800DA9" w:rsidRDefault="00FF4BC0" w:rsidP="00BA67A6">
      <w:pPr>
        <w:jc w:val="center"/>
        <w:rPr>
          <w:b/>
          <w:bCs/>
        </w:rPr>
      </w:pPr>
      <w:r w:rsidRPr="00800DA9">
        <w:rPr>
          <w:b/>
          <w:bCs/>
        </w:rPr>
        <w:t>Özet</w:t>
      </w:r>
    </w:p>
    <w:p w14:paraId="5B20661E" w14:textId="77777777" w:rsidR="00FF4BC0" w:rsidRDefault="00FF4BC0" w:rsidP="004E3F6C">
      <w:pPr>
        <w:pStyle w:val="GvdeMetni"/>
        <w:ind w:right="158"/>
        <w:jc w:val="both"/>
        <w:rPr>
          <w:spacing w:val="-2"/>
        </w:rPr>
      </w:pPr>
      <w:r w:rsidRPr="00B24CA3">
        <w:t>Bu araştırmanın amacı, Kocaeli Üniversitesi’nde lisansüstü eğitimi gören uluslararası öğrencilerin sosyal uyum süreçlerinde karşılaştıkları zorlukları incelemektir. Bu araştırma, uluslararası öğrencilerin sıkça karşılaştıkları dil sorunlarını, kültürel farklılıklarından kaynaklanan uyum sürecindeki zorlukları ve akademik ortamına adaptasyon süreçlerini inceleyerek bu zorluklara yönelik çözüm önerileri geliştirmeyi amaçlamaktadır. Araştırma, farklı ülkelerden gelip Kocaeli Üniversitesi’nde lisansüstü eğitim gören sekiz öğrenciyi kapsamaktadır. Çalışmada, nitel fenomenolojik yaklaşım benimsenerek öğrencilerin yaşadığı deneyimleri ve bu deneyimlere nasıl anlam yüklediklerini ortaya koymak amacıyla yarı yapılandırılmış görüşme tekniği kullanılmıştır. Çalışma bulguları, Kocaeli Üniversitesi’nde lisansüstü eğitimi gören uluslararası öğrencilerin dil sorunları, kültürel farklılıklar ve sosyal uyum sorunları gibi çeşitli zorluklarla karşılaştıklarını ortaya koymuştur. Özellikle dil bariyerlerinin,</w:t>
      </w:r>
      <w:r w:rsidRPr="00B24CA3">
        <w:rPr>
          <w:spacing w:val="-9"/>
        </w:rPr>
        <w:t xml:space="preserve"> </w:t>
      </w:r>
      <w:r w:rsidRPr="00B24CA3">
        <w:t>öğrencilerin</w:t>
      </w:r>
      <w:r w:rsidRPr="00B24CA3">
        <w:rPr>
          <w:spacing w:val="-4"/>
        </w:rPr>
        <w:t xml:space="preserve"> </w:t>
      </w:r>
      <w:r w:rsidRPr="00B24CA3">
        <w:t>akademik</w:t>
      </w:r>
      <w:r w:rsidRPr="00B24CA3">
        <w:rPr>
          <w:spacing w:val="-9"/>
        </w:rPr>
        <w:t xml:space="preserve"> </w:t>
      </w:r>
      <w:r w:rsidRPr="00B24CA3">
        <w:t>performanslarını</w:t>
      </w:r>
      <w:r w:rsidRPr="00B24CA3">
        <w:rPr>
          <w:spacing w:val="-10"/>
        </w:rPr>
        <w:t xml:space="preserve"> </w:t>
      </w:r>
      <w:r w:rsidRPr="00B24CA3">
        <w:t>ve</w:t>
      </w:r>
      <w:r w:rsidRPr="00B24CA3">
        <w:rPr>
          <w:spacing w:val="-10"/>
        </w:rPr>
        <w:t xml:space="preserve"> </w:t>
      </w:r>
      <w:r w:rsidRPr="00B24CA3">
        <w:t>sosyal</w:t>
      </w:r>
      <w:r w:rsidRPr="00B24CA3">
        <w:rPr>
          <w:spacing w:val="-5"/>
        </w:rPr>
        <w:t xml:space="preserve"> </w:t>
      </w:r>
      <w:r w:rsidRPr="00B24CA3">
        <w:t>etkileşimlerini</w:t>
      </w:r>
      <w:r w:rsidRPr="00B24CA3">
        <w:rPr>
          <w:spacing w:val="-10"/>
        </w:rPr>
        <w:t xml:space="preserve"> </w:t>
      </w:r>
      <w:r w:rsidRPr="00B24CA3">
        <w:t>önemli</w:t>
      </w:r>
      <w:r w:rsidRPr="00B24CA3">
        <w:rPr>
          <w:spacing w:val="-10"/>
        </w:rPr>
        <w:t xml:space="preserve"> </w:t>
      </w:r>
      <w:r w:rsidRPr="00B24CA3">
        <w:t>ölçüde olumsuz</w:t>
      </w:r>
      <w:r w:rsidRPr="00B24CA3">
        <w:rPr>
          <w:spacing w:val="-15"/>
        </w:rPr>
        <w:t xml:space="preserve"> </w:t>
      </w:r>
      <w:r w:rsidRPr="00B24CA3">
        <w:t>etkilediği,</w:t>
      </w:r>
      <w:r w:rsidRPr="00B24CA3">
        <w:rPr>
          <w:spacing w:val="-15"/>
        </w:rPr>
        <w:t xml:space="preserve"> </w:t>
      </w:r>
      <w:r w:rsidRPr="00B24CA3">
        <w:t>bu</w:t>
      </w:r>
      <w:r w:rsidRPr="00B24CA3">
        <w:rPr>
          <w:spacing w:val="-15"/>
        </w:rPr>
        <w:t xml:space="preserve"> </w:t>
      </w:r>
      <w:r w:rsidRPr="00B24CA3">
        <w:t>bariyerlerin</w:t>
      </w:r>
      <w:r w:rsidRPr="00B24CA3">
        <w:rPr>
          <w:spacing w:val="-15"/>
        </w:rPr>
        <w:t xml:space="preserve"> </w:t>
      </w:r>
      <w:r w:rsidRPr="00B24CA3">
        <w:t>ayrıca</w:t>
      </w:r>
      <w:r w:rsidRPr="00B24CA3">
        <w:rPr>
          <w:spacing w:val="-15"/>
        </w:rPr>
        <w:t xml:space="preserve"> </w:t>
      </w:r>
      <w:r w:rsidRPr="00B24CA3">
        <w:t>stres</w:t>
      </w:r>
      <w:r w:rsidRPr="00B24CA3">
        <w:rPr>
          <w:spacing w:val="-15"/>
        </w:rPr>
        <w:t xml:space="preserve"> </w:t>
      </w:r>
      <w:r w:rsidRPr="00B24CA3">
        <w:t>ve</w:t>
      </w:r>
      <w:r w:rsidRPr="00B24CA3">
        <w:rPr>
          <w:spacing w:val="-15"/>
        </w:rPr>
        <w:t xml:space="preserve"> </w:t>
      </w:r>
      <w:r w:rsidRPr="00B24CA3">
        <w:t>kaygı</w:t>
      </w:r>
      <w:r w:rsidRPr="00B24CA3">
        <w:rPr>
          <w:spacing w:val="-15"/>
        </w:rPr>
        <w:t xml:space="preserve"> </w:t>
      </w:r>
      <w:r w:rsidRPr="00B24CA3">
        <w:t>gibi</w:t>
      </w:r>
      <w:r w:rsidRPr="00B24CA3">
        <w:rPr>
          <w:spacing w:val="-15"/>
        </w:rPr>
        <w:t xml:space="preserve"> </w:t>
      </w:r>
      <w:r w:rsidRPr="00B24CA3">
        <w:t>duygusal</w:t>
      </w:r>
      <w:r w:rsidRPr="00B24CA3">
        <w:rPr>
          <w:spacing w:val="-15"/>
        </w:rPr>
        <w:t xml:space="preserve"> </w:t>
      </w:r>
      <w:r w:rsidRPr="00B24CA3">
        <w:t>sorunlara</w:t>
      </w:r>
      <w:r w:rsidRPr="00B24CA3">
        <w:rPr>
          <w:spacing w:val="-15"/>
        </w:rPr>
        <w:t xml:space="preserve"> </w:t>
      </w:r>
      <w:r w:rsidRPr="00B24CA3">
        <w:t>yol</w:t>
      </w:r>
      <w:r w:rsidRPr="00B24CA3">
        <w:rPr>
          <w:spacing w:val="-15"/>
        </w:rPr>
        <w:t xml:space="preserve"> </w:t>
      </w:r>
      <w:r w:rsidRPr="00B24CA3">
        <w:t>açtığı</w:t>
      </w:r>
      <w:r w:rsidRPr="00B24CA3">
        <w:rPr>
          <w:spacing w:val="-15"/>
        </w:rPr>
        <w:t xml:space="preserve"> </w:t>
      </w:r>
      <w:r w:rsidRPr="00B24CA3">
        <w:t xml:space="preserve">tespit edilmiştir. Çalışmanın sonuçları doğrultusunda, uluslararası öğrencilerin sosyal entegrasyon süreçlerinin desteklenmesi amacıyla üniversitenin öğrencilere yönelik psiko-sosyal destekler sağlaması, yeni gelen uluslararası öğrencilere Türkiye hakkında farkındalık eğitimleri ve oryantasyon programları sunması, uluslararası öğrencilere yönelik üniversite etkinliklerinin daha aktif hale getirilmesi önerilmektedir. Ayrıca, uluslararası öğrencilerin uyum süreçlerini kolaylaştırmaya yönelik yerel toplumun da yabancılara yönelik farkındalığının artırılması </w:t>
      </w:r>
      <w:r w:rsidRPr="00B24CA3">
        <w:rPr>
          <w:spacing w:val="-2"/>
        </w:rPr>
        <w:t>vurgulanmıştır.</w:t>
      </w:r>
    </w:p>
    <w:p w14:paraId="695D1C24" w14:textId="77777777" w:rsidR="00BA67A6" w:rsidRDefault="00BA67A6" w:rsidP="004E3F6C">
      <w:pPr>
        <w:jc w:val="both"/>
        <w:rPr>
          <w:b/>
        </w:rPr>
      </w:pPr>
    </w:p>
    <w:p w14:paraId="4C6F2F13" w14:textId="4478CCFF" w:rsidR="00FF4BC0" w:rsidRPr="00B24CA3" w:rsidRDefault="00FF4BC0" w:rsidP="004E3F6C">
      <w:pPr>
        <w:jc w:val="both"/>
      </w:pPr>
      <w:r w:rsidRPr="00B24CA3">
        <w:rPr>
          <w:b/>
        </w:rPr>
        <w:t>Anahtar</w:t>
      </w:r>
      <w:r w:rsidRPr="00B24CA3">
        <w:rPr>
          <w:b/>
          <w:spacing w:val="-7"/>
        </w:rPr>
        <w:t xml:space="preserve"> </w:t>
      </w:r>
      <w:r w:rsidR="00B24CA3">
        <w:rPr>
          <w:b/>
        </w:rPr>
        <w:t>K</w:t>
      </w:r>
      <w:r w:rsidRPr="00B24CA3">
        <w:rPr>
          <w:b/>
        </w:rPr>
        <w:t>elimeler</w:t>
      </w:r>
      <w:r w:rsidRPr="00B24CA3">
        <w:rPr>
          <w:i/>
        </w:rPr>
        <w:t>:</w:t>
      </w:r>
      <w:r w:rsidRPr="00B24CA3">
        <w:rPr>
          <w:i/>
          <w:spacing w:val="-3"/>
        </w:rPr>
        <w:t xml:space="preserve"> </w:t>
      </w:r>
      <w:r w:rsidRPr="00B24CA3">
        <w:t>Uluslararası</w:t>
      </w:r>
      <w:r w:rsidRPr="00B24CA3">
        <w:rPr>
          <w:spacing w:val="-5"/>
        </w:rPr>
        <w:t xml:space="preserve"> </w:t>
      </w:r>
      <w:r w:rsidRPr="00B24CA3">
        <w:t>öğrenciler,</w:t>
      </w:r>
      <w:r w:rsidRPr="00B24CA3">
        <w:rPr>
          <w:spacing w:val="-3"/>
        </w:rPr>
        <w:t xml:space="preserve"> </w:t>
      </w:r>
      <w:r w:rsidRPr="00B24CA3">
        <w:t>Sosyal</w:t>
      </w:r>
      <w:r w:rsidRPr="00B24CA3">
        <w:rPr>
          <w:spacing w:val="-1"/>
        </w:rPr>
        <w:t xml:space="preserve"> </w:t>
      </w:r>
      <w:r w:rsidRPr="00B24CA3">
        <w:t>Entegrasyon,</w:t>
      </w:r>
      <w:r w:rsidRPr="00B24CA3">
        <w:rPr>
          <w:spacing w:val="-3"/>
        </w:rPr>
        <w:t xml:space="preserve"> </w:t>
      </w:r>
      <w:r w:rsidRPr="00B24CA3">
        <w:t>Dil</w:t>
      </w:r>
      <w:r w:rsidRPr="00B24CA3">
        <w:rPr>
          <w:spacing w:val="-4"/>
        </w:rPr>
        <w:t xml:space="preserve"> </w:t>
      </w:r>
      <w:r w:rsidRPr="00B24CA3">
        <w:rPr>
          <w:spacing w:val="-2"/>
        </w:rPr>
        <w:t>sorunları</w:t>
      </w:r>
    </w:p>
    <w:p w14:paraId="457B4F5A" w14:textId="77777777" w:rsidR="00796281" w:rsidRPr="00B24CA3" w:rsidRDefault="00796281" w:rsidP="004E3F6C">
      <w:pPr>
        <w:pStyle w:val="GvdeMetni"/>
        <w:jc w:val="both"/>
      </w:pPr>
    </w:p>
    <w:p w14:paraId="165A2FC5" w14:textId="34ED39FD" w:rsidR="00FF4BC0" w:rsidRPr="00800DA9" w:rsidRDefault="00FF4BC0" w:rsidP="004E3F6C">
      <w:pPr>
        <w:jc w:val="center"/>
        <w:rPr>
          <w:b/>
          <w:bCs/>
        </w:rPr>
      </w:pPr>
      <w:proofErr w:type="spellStart"/>
      <w:r w:rsidRPr="00800DA9">
        <w:rPr>
          <w:b/>
          <w:bCs/>
        </w:rPr>
        <w:t>Abstract</w:t>
      </w:r>
      <w:proofErr w:type="spellEnd"/>
    </w:p>
    <w:p w14:paraId="6F156269" w14:textId="340D7230" w:rsidR="00FF4BC0" w:rsidRPr="00B24CA3" w:rsidRDefault="00FF4BC0" w:rsidP="004E3F6C">
      <w:pPr>
        <w:pStyle w:val="GvdeMetni"/>
        <w:ind w:right="171"/>
        <w:jc w:val="both"/>
        <w:sectPr w:rsidR="00FF4BC0" w:rsidRPr="00B24CA3" w:rsidSect="004E3F6C">
          <w:type w:val="continuous"/>
          <w:pgSz w:w="11906" w:h="16838"/>
          <w:pgMar w:top="1418" w:right="1418" w:bottom="1418" w:left="1418" w:header="1304" w:footer="1361" w:gutter="0"/>
          <w:cols w:space="708"/>
        </w:sectPr>
      </w:pPr>
      <w:proofErr w:type="spellStart"/>
      <w:r w:rsidRPr="00B24CA3">
        <w:t>The</w:t>
      </w:r>
      <w:proofErr w:type="spellEnd"/>
      <w:r w:rsidRPr="00B24CA3">
        <w:t xml:space="preserve"> </w:t>
      </w:r>
      <w:proofErr w:type="spellStart"/>
      <w:r w:rsidRPr="00B24CA3">
        <w:t>purpose</w:t>
      </w:r>
      <w:proofErr w:type="spellEnd"/>
      <w:r w:rsidRPr="00B24CA3">
        <w:t xml:space="preserve"> of </w:t>
      </w:r>
      <w:proofErr w:type="spellStart"/>
      <w:r w:rsidRPr="00B24CA3">
        <w:t>this</w:t>
      </w:r>
      <w:proofErr w:type="spellEnd"/>
      <w:r w:rsidRPr="00B24CA3">
        <w:t xml:space="preserve"> </w:t>
      </w:r>
      <w:proofErr w:type="spellStart"/>
      <w:r w:rsidRPr="00B24CA3">
        <w:t>study</w:t>
      </w:r>
      <w:proofErr w:type="spellEnd"/>
      <w:r w:rsidRPr="00B24CA3">
        <w:t xml:space="preserve"> is </w:t>
      </w:r>
      <w:proofErr w:type="spellStart"/>
      <w:r w:rsidRPr="00B24CA3">
        <w:t>to</w:t>
      </w:r>
      <w:proofErr w:type="spellEnd"/>
      <w:r w:rsidRPr="00B24CA3">
        <w:t xml:space="preserve"> </w:t>
      </w:r>
      <w:proofErr w:type="spellStart"/>
      <w:r w:rsidRPr="00B24CA3">
        <w:t>examine</w:t>
      </w:r>
      <w:proofErr w:type="spellEnd"/>
      <w:r w:rsidRPr="00B24CA3">
        <w:t xml:space="preserve"> </w:t>
      </w:r>
      <w:proofErr w:type="spellStart"/>
      <w:r w:rsidRPr="00B24CA3">
        <w:t>the</w:t>
      </w:r>
      <w:proofErr w:type="spellEnd"/>
      <w:r w:rsidRPr="00B24CA3">
        <w:t xml:space="preserve"> </w:t>
      </w:r>
      <w:proofErr w:type="spellStart"/>
      <w:r w:rsidRPr="00B24CA3">
        <w:t>difficulties</w:t>
      </w:r>
      <w:proofErr w:type="spellEnd"/>
      <w:r w:rsidRPr="00B24CA3">
        <w:t xml:space="preserve"> </w:t>
      </w:r>
      <w:proofErr w:type="spellStart"/>
      <w:r w:rsidRPr="00B24CA3">
        <w:t>encountered</w:t>
      </w:r>
      <w:proofErr w:type="spellEnd"/>
      <w:r w:rsidRPr="00B24CA3">
        <w:t xml:space="preserve"> </w:t>
      </w:r>
      <w:proofErr w:type="spellStart"/>
      <w:r w:rsidRPr="00B24CA3">
        <w:t>by</w:t>
      </w:r>
      <w:proofErr w:type="spellEnd"/>
      <w:r w:rsidRPr="00B24CA3">
        <w:t xml:space="preserve"> </w:t>
      </w:r>
      <w:proofErr w:type="spellStart"/>
      <w:r w:rsidRPr="00B24CA3">
        <w:t>international</w:t>
      </w:r>
      <w:proofErr w:type="spellEnd"/>
      <w:r w:rsidRPr="00B24CA3">
        <w:t xml:space="preserve"> </w:t>
      </w:r>
      <w:proofErr w:type="spellStart"/>
      <w:r w:rsidRPr="00B24CA3">
        <w:t>students</w:t>
      </w:r>
      <w:proofErr w:type="spellEnd"/>
      <w:r w:rsidRPr="00B24CA3">
        <w:t xml:space="preserve"> </w:t>
      </w:r>
      <w:proofErr w:type="spellStart"/>
      <w:r w:rsidRPr="00B24CA3">
        <w:t>receiving</w:t>
      </w:r>
      <w:proofErr w:type="spellEnd"/>
      <w:r w:rsidRPr="00B24CA3">
        <w:t xml:space="preserve"> </w:t>
      </w:r>
      <w:proofErr w:type="spellStart"/>
      <w:r w:rsidRPr="00B24CA3">
        <w:t>postgraduate</w:t>
      </w:r>
      <w:proofErr w:type="spellEnd"/>
      <w:r w:rsidRPr="00B24CA3">
        <w:t xml:space="preserve"> </w:t>
      </w:r>
      <w:proofErr w:type="spellStart"/>
      <w:r w:rsidRPr="00B24CA3">
        <w:t>education</w:t>
      </w:r>
      <w:proofErr w:type="spellEnd"/>
      <w:r w:rsidRPr="00B24CA3">
        <w:t xml:space="preserve"> at Kocaeli </w:t>
      </w:r>
      <w:proofErr w:type="spellStart"/>
      <w:r w:rsidRPr="00B24CA3">
        <w:t>University</w:t>
      </w:r>
      <w:proofErr w:type="spellEnd"/>
      <w:r w:rsidRPr="00B24CA3">
        <w:t xml:space="preserve"> </w:t>
      </w:r>
      <w:proofErr w:type="spellStart"/>
      <w:r w:rsidRPr="00B24CA3">
        <w:t>during</w:t>
      </w:r>
      <w:proofErr w:type="spellEnd"/>
      <w:r w:rsidRPr="00B24CA3">
        <w:t xml:space="preserve"> </w:t>
      </w:r>
      <w:proofErr w:type="spellStart"/>
      <w:r w:rsidRPr="00B24CA3">
        <w:t>their</w:t>
      </w:r>
      <w:proofErr w:type="spellEnd"/>
      <w:r w:rsidRPr="00B24CA3">
        <w:t xml:space="preserve"> </w:t>
      </w:r>
      <w:proofErr w:type="spellStart"/>
      <w:r w:rsidRPr="00B24CA3">
        <w:t>social</w:t>
      </w:r>
      <w:proofErr w:type="spellEnd"/>
      <w:r w:rsidRPr="00B24CA3">
        <w:t xml:space="preserve"> </w:t>
      </w:r>
      <w:proofErr w:type="spellStart"/>
      <w:r w:rsidRPr="00B24CA3">
        <w:t>adaptation</w:t>
      </w:r>
      <w:proofErr w:type="spellEnd"/>
      <w:r w:rsidRPr="00B24CA3">
        <w:t xml:space="preserve"> </w:t>
      </w:r>
      <w:proofErr w:type="spellStart"/>
      <w:r w:rsidRPr="00B24CA3">
        <w:t>processes</w:t>
      </w:r>
      <w:proofErr w:type="spellEnd"/>
      <w:r w:rsidRPr="00B24CA3">
        <w:t>.</w:t>
      </w:r>
      <w:r w:rsidRPr="00B24CA3">
        <w:rPr>
          <w:spacing w:val="-11"/>
        </w:rPr>
        <w:t xml:space="preserve"> </w:t>
      </w:r>
      <w:proofErr w:type="spellStart"/>
      <w:r w:rsidRPr="00B24CA3">
        <w:t>This</w:t>
      </w:r>
      <w:proofErr w:type="spellEnd"/>
      <w:r w:rsidRPr="00B24CA3">
        <w:rPr>
          <w:spacing w:val="-9"/>
        </w:rPr>
        <w:t xml:space="preserve"> </w:t>
      </w:r>
      <w:proofErr w:type="spellStart"/>
      <w:r w:rsidRPr="00B24CA3">
        <w:t>study</w:t>
      </w:r>
      <w:proofErr w:type="spellEnd"/>
      <w:r w:rsidRPr="00B24CA3">
        <w:rPr>
          <w:spacing w:val="-11"/>
        </w:rPr>
        <w:t xml:space="preserve"> </w:t>
      </w:r>
      <w:proofErr w:type="spellStart"/>
      <w:r w:rsidRPr="00B24CA3">
        <w:t>aims</w:t>
      </w:r>
      <w:proofErr w:type="spellEnd"/>
      <w:r w:rsidRPr="00B24CA3">
        <w:rPr>
          <w:spacing w:val="-9"/>
        </w:rPr>
        <w:t xml:space="preserve"> </w:t>
      </w:r>
      <w:proofErr w:type="spellStart"/>
      <w:r w:rsidRPr="00B24CA3">
        <w:t>to</w:t>
      </w:r>
      <w:proofErr w:type="spellEnd"/>
      <w:r w:rsidRPr="00B24CA3">
        <w:rPr>
          <w:spacing w:val="-11"/>
        </w:rPr>
        <w:t xml:space="preserve"> </w:t>
      </w:r>
      <w:proofErr w:type="spellStart"/>
      <w:r w:rsidRPr="00B24CA3">
        <w:t>develop</w:t>
      </w:r>
      <w:proofErr w:type="spellEnd"/>
      <w:r w:rsidRPr="00B24CA3">
        <w:rPr>
          <w:spacing w:val="-11"/>
        </w:rPr>
        <w:t xml:space="preserve"> </w:t>
      </w:r>
      <w:proofErr w:type="spellStart"/>
      <w:r w:rsidRPr="00B24CA3">
        <w:t>solutions</w:t>
      </w:r>
      <w:proofErr w:type="spellEnd"/>
      <w:r w:rsidRPr="00B24CA3">
        <w:rPr>
          <w:spacing w:val="-9"/>
        </w:rPr>
        <w:t xml:space="preserve"> </w:t>
      </w:r>
      <w:proofErr w:type="spellStart"/>
      <w:r w:rsidRPr="00B24CA3">
        <w:t>to</w:t>
      </w:r>
      <w:proofErr w:type="spellEnd"/>
      <w:r w:rsidRPr="00B24CA3">
        <w:rPr>
          <w:spacing w:val="-11"/>
        </w:rPr>
        <w:t xml:space="preserve"> </w:t>
      </w:r>
      <w:proofErr w:type="spellStart"/>
      <w:r w:rsidRPr="00B24CA3">
        <w:t>these</w:t>
      </w:r>
      <w:proofErr w:type="spellEnd"/>
      <w:r w:rsidRPr="00B24CA3">
        <w:rPr>
          <w:spacing w:val="-12"/>
        </w:rPr>
        <w:t xml:space="preserve"> </w:t>
      </w:r>
      <w:proofErr w:type="spellStart"/>
      <w:r w:rsidRPr="00B24CA3">
        <w:t>difficulties</w:t>
      </w:r>
      <w:proofErr w:type="spellEnd"/>
      <w:r w:rsidRPr="00B24CA3">
        <w:rPr>
          <w:spacing w:val="-9"/>
        </w:rPr>
        <w:t xml:space="preserve"> </w:t>
      </w:r>
      <w:proofErr w:type="spellStart"/>
      <w:r w:rsidRPr="00B24CA3">
        <w:t>by</w:t>
      </w:r>
      <w:proofErr w:type="spellEnd"/>
      <w:r w:rsidRPr="00B24CA3">
        <w:rPr>
          <w:spacing w:val="-11"/>
        </w:rPr>
        <w:t xml:space="preserve"> </w:t>
      </w:r>
      <w:proofErr w:type="spellStart"/>
      <w:r w:rsidRPr="00B24CA3">
        <w:t>examining</w:t>
      </w:r>
      <w:proofErr w:type="spellEnd"/>
      <w:r w:rsidRPr="00B24CA3">
        <w:rPr>
          <w:spacing w:val="-11"/>
        </w:rPr>
        <w:t xml:space="preserve"> </w:t>
      </w:r>
      <w:proofErr w:type="spellStart"/>
      <w:r w:rsidRPr="00B24CA3">
        <w:t>the</w:t>
      </w:r>
      <w:proofErr w:type="spellEnd"/>
      <w:r w:rsidRPr="00B24CA3">
        <w:rPr>
          <w:spacing w:val="-7"/>
        </w:rPr>
        <w:t xml:space="preserve"> </w:t>
      </w:r>
      <w:proofErr w:type="spellStart"/>
      <w:r w:rsidRPr="00B24CA3">
        <w:t>language</w:t>
      </w:r>
      <w:proofErr w:type="spellEnd"/>
      <w:r w:rsidRPr="00B24CA3">
        <w:t xml:space="preserve"> </w:t>
      </w:r>
      <w:proofErr w:type="spellStart"/>
      <w:r w:rsidRPr="00B24CA3">
        <w:t>problems</w:t>
      </w:r>
      <w:proofErr w:type="spellEnd"/>
      <w:r w:rsidRPr="00B24CA3">
        <w:rPr>
          <w:spacing w:val="21"/>
        </w:rPr>
        <w:t xml:space="preserve"> </w:t>
      </w:r>
      <w:proofErr w:type="spellStart"/>
      <w:r w:rsidRPr="00B24CA3">
        <w:t>frequently</w:t>
      </w:r>
      <w:proofErr w:type="spellEnd"/>
      <w:r w:rsidRPr="00B24CA3">
        <w:rPr>
          <w:spacing w:val="26"/>
        </w:rPr>
        <w:t xml:space="preserve"> </w:t>
      </w:r>
      <w:proofErr w:type="spellStart"/>
      <w:r w:rsidRPr="00B24CA3">
        <w:t>encountered</w:t>
      </w:r>
      <w:proofErr w:type="spellEnd"/>
      <w:r w:rsidRPr="00B24CA3">
        <w:rPr>
          <w:spacing w:val="21"/>
        </w:rPr>
        <w:t xml:space="preserve"> </w:t>
      </w:r>
      <w:proofErr w:type="spellStart"/>
      <w:r w:rsidRPr="00B24CA3">
        <w:t>by</w:t>
      </w:r>
      <w:proofErr w:type="spellEnd"/>
      <w:r w:rsidRPr="00B24CA3">
        <w:rPr>
          <w:spacing w:val="27"/>
        </w:rPr>
        <w:t xml:space="preserve"> </w:t>
      </w:r>
      <w:proofErr w:type="spellStart"/>
      <w:r w:rsidRPr="00B24CA3">
        <w:t>international</w:t>
      </w:r>
      <w:proofErr w:type="spellEnd"/>
      <w:r w:rsidRPr="00B24CA3">
        <w:rPr>
          <w:spacing w:val="20"/>
        </w:rPr>
        <w:t xml:space="preserve"> </w:t>
      </w:r>
      <w:proofErr w:type="spellStart"/>
      <w:r w:rsidRPr="00B24CA3">
        <w:t>students</w:t>
      </w:r>
      <w:proofErr w:type="spellEnd"/>
      <w:r w:rsidRPr="00B24CA3">
        <w:t>,</w:t>
      </w:r>
      <w:r w:rsidRPr="00B24CA3">
        <w:rPr>
          <w:spacing w:val="21"/>
        </w:rPr>
        <w:t xml:space="preserve"> </w:t>
      </w:r>
      <w:proofErr w:type="spellStart"/>
      <w:r w:rsidRPr="00B24CA3">
        <w:t>the</w:t>
      </w:r>
      <w:proofErr w:type="spellEnd"/>
      <w:r w:rsidRPr="00B24CA3">
        <w:rPr>
          <w:spacing w:val="21"/>
        </w:rPr>
        <w:t xml:space="preserve"> </w:t>
      </w:r>
      <w:proofErr w:type="spellStart"/>
      <w:r w:rsidRPr="00B24CA3">
        <w:t>difficulties</w:t>
      </w:r>
      <w:proofErr w:type="spellEnd"/>
      <w:r w:rsidRPr="00B24CA3">
        <w:rPr>
          <w:spacing w:val="23"/>
        </w:rPr>
        <w:t xml:space="preserve"> </w:t>
      </w:r>
      <w:r w:rsidRPr="00B24CA3">
        <w:t>in</w:t>
      </w:r>
      <w:r w:rsidRPr="00B24CA3">
        <w:rPr>
          <w:spacing w:val="26"/>
        </w:rPr>
        <w:t xml:space="preserve"> </w:t>
      </w:r>
      <w:proofErr w:type="spellStart"/>
      <w:r w:rsidRPr="00B24CA3">
        <w:t>the</w:t>
      </w:r>
      <w:proofErr w:type="spellEnd"/>
      <w:r w:rsidRPr="00B24CA3">
        <w:rPr>
          <w:spacing w:val="21"/>
        </w:rPr>
        <w:t xml:space="preserve"> </w:t>
      </w:r>
      <w:proofErr w:type="spellStart"/>
      <w:r w:rsidRPr="00B24CA3">
        <w:rPr>
          <w:spacing w:val="-2"/>
        </w:rPr>
        <w:t>adaptation</w:t>
      </w:r>
      <w:proofErr w:type="spellEnd"/>
    </w:p>
    <w:p w14:paraId="226D38FA" w14:textId="77777777" w:rsidR="00FF4BC0" w:rsidRDefault="00FF4BC0" w:rsidP="004E3F6C">
      <w:pPr>
        <w:pStyle w:val="GvdeMetni"/>
        <w:ind w:right="163"/>
        <w:jc w:val="both"/>
      </w:pPr>
      <w:proofErr w:type="spellStart"/>
      <w:proofErr w:type="gramStart"/>
      <w:r w:rsidRPr="00B24CA3">
        <w:t>process</w:t>
      </w:r>
      <w:proofErr w:type="spellEnd"/>
      <w:proofErr w:type="gramEnd"/>
      <w:r w:rsidRPr="00B24CA3">
        <w:t xml:space="preserve"> </w:t>
      </w:r>
      <w:proofErr w:type="spellStart"/>
      <w:r w:rsidRPr="00B24CA3">
        <w:t>arising</w:t>
      </w:r>
      <w:proofErr w:type="spellEnd"/>
      <w:r w:rsidRPr="00B24CA3">
        <w:t xml:space="preserve"> </w:t>
      </w:r>
      <w:proofErr w:type="spellStart"/>
      <w:r w:rsidRPr="00B24CA3">
        <w:t>from</w:t>
      </w:r>
      <w:proofErr w:type="spellEnd"/>
      <w:r w:rsidRPr="00B24CA3">
        <w:t xml:space="preserve"> </w:t>
      </w:r>
      <w:proofErr w:type="spellStart"/>
      <w:r w:rsidRPr="00B24CA3">
        <w:t>cultural</w:t>
      </w:r>
      <w:proofErr w:type="spellEnd"/>
      <w:r w:rsidRPr="00B24CA3">
        <w:t xml:space="preserve"> </w:t>
      </w:r>
      <w:proofErr w:type="spellStart"/>
      <w:r w:rsidRPr="00B24CA3">
        <w:t>differences</w:t>
      </w:r>
      <w:proofErr w:type="spellEnd"/>
      <w:r w:rsidRPr="00B24CA3">
        <w:t xml:space="preserve">, </w:t>
      </w:r>
      <w:proofErr w:type="spellStart"/>
      <w:r w:rsidRPr="00B24CA3">
        <w:t>and</w:t>
      </w:r>
      <w:proofErr w:type="spellEnd"/>
      <w:r w:rsidRPr="00B24CA3">
        <w:t xml:space="preserve"> </w:t>
      </w:r>
      <w:proofErr w:type="spellStart"/>
      <w:r w:rsidRPr="00B24CA3">
        <w:t>the</w:t>
      </w:r>
      <w:proofErr w:type="spellEnd"/>
      <w:r w:rsidRPr="00B24CA3">
        <w:t xml:space="preserve"> </w:t>
      </w:r>
      <w:proofErr w:type="spellStart"/>
      <w:r w:rsidRPr="00B24CA3">
        <w:t>adaptation</w:t>
      </w:r>
      <w:proofErr w:type="spellEnd"/>
      <w:r w:rsidRPr="00B24CA3">
        <w:t xml:space="preserve"> </w:t>
      </w:r>
      <w:proofErr w:type="spellStart"/>
      <w:r w:rsidRPr="00B24CA3">
        <w:t>processes</w:t>
      </w:r>
      <w:proofErr w:type="spellEnd"/>
      <w:r w:rsidRPr="00B24CA3">
        <w:t xml:space="preserve"> </w:t>
      </w:r>
      <w:proofErr w:type="spellStart"/>
      <w:r w:rsidRPr="00B24CA3">
        <w:t>to</w:t>
      </w:r>
      <w:proofErr w:type="spellEnd"/>
      <w:r w:rsidRPr="00B24CA3">
        <w:t xml:space="preserve"> </w:t>
      </w:r>
      <w:proofErr w:type="spellStart"/>
      <w:r w:rsidRPr="00B24CA3">
        <w:t>the</w:t>
      </w:r>
      <w:proofErr w:type="spellEnd"/>
      <w:r w:rsidRPr="00B24CA3">
        <w:t xml:space="preserve"> </w:t>
      </w:r>
      <w:proofErr w:type="spellStart"/>
      <w:r w:rsidRPr="00B24CA3">
        <w:t>academik</w:t>
      </w:r>
      <w:proofErr w:type="spellEnd"/>
      <w:r w:rsidRPr="00B24CA3">
        <w:t xml:space="preserve"> </w:t>
      </w:r>
      <w:proofErr w:type="spellStart"/>
      <w:r w:rsidRPr="00B24CA3">
        <w:t>environment</w:t>
      </w:r>
      <w:proofErr w:type="spellEnd"/>
      <w:r w:rsidRPr="00B24CA3">
        <w:t xml:space="preserve">. </w:t>
      </w:r>
      <w:proofErr w:type="spellStart"/>
      <w:r w:rsidRPr="00B24CA3">
        <w:t>The</w:t>
      </w:r>
      <w:proofErr w:type="spellEnd"/>
      <w:r w:rsidRPr="00B24CA3">
        <w:t xml:space="preserve"> </w:t>
      </w:r>
      <w:proofErr w:type="spellStart"/>
      <w:r w:rsidRPr="00B24CA3">
        <w:t>study</w:t>
      </w:r>
      <w:proofErr w:type="spellEnd"/>
      <w:r w:rsidRPr="00B24CA3">
        <w:t xml:space="preserve"> </w:t>
      </w:r>
      <w:proofErr w:type="spellStart"/>
      <w:r w:rsidRPr="00B24CA3">
        <w:t>includes</w:t>
      </w:r>
      <w:proofErr w:type="spellEnd"/>
      <w:r w:rsidRPr="00B24CA3">
        <w:t xml:space="preserve"> </w:t>
      </w:r>
      <w:proofErr w:type="spellStart"/>
      <w:r w:rsidRPr="00B24CA3">
        <w:t>eight</w:t>
      </w:r>
      <w:proofErr w:type="spellEnd"/>
      <w:r w:rsidRPr="00B24CA3">
        <w:t xml:space="preserve"> </w:t>
      </w:r>
      <w:proofErr w:type="spellStart"/>
      <w:r w:rsidRPr="00B24CA3">
        <w:t>students</w:t>
      </w:r>
      <w:proofErr w:type="spellEnd"/>
      <w:r w:rsidRPr="00B24CA3">
        <w:t xml:space="preserve"> </w:t>
      </w:r>
      <w:proofErr w:type="spellStart"/>
      <w:r w:rsidRPr="00B24CA3">
        <w:t>receiving</w:t>
      </w:r>
      <w:proofErr w:type="spellEnd"/>
      <w:r w:rsidRPr="00B24CA3">
        <w:t xml:space="preserve"> </w:t>
      </w:r>
      <w:proofErr w:type="spellStart"/>
      <w:r w:rsidRPr="00B24CA3">
        <w:t>postgraduate</w:t>
      </w:r>
      <w:proofErr w:type="spellEnd"/>
      <w:r w:rsidRPr="00B24CA3">
        <w:t xml:space="preserve"> </w:t>
      </w:r>
      <w:proofErr w:type="spellStart"/>
      <w:r w:rsidRPr="00B24CA3">
        <w:t>education</w:t>
      </w:r>
      <w:proofErr w:type="spellEnd"/>
      <w:r w:rsidRPr="00B24CA3">
        <w:t xml:space="preserve"> at Kocaeli </w:t>
      </w:r>
      <w:proofErr w:type="spellStart"/>
      <w:r w:rsidRPr="00B24CA3">
        <w:t>University</w:t>
      </w:r>
      <w:proofErr w:type="spellEnd"/>
      <w:r w:rsidRPr="00B24CA3">
        <w:t xml:space="preserve"> </w:t>
      </w:r>
      <w:proofErr w:type="spellStart"/>
      <w:r w:rsidRPr="00B24CA3">
        <w:t>from</w:t>
      </w:r>
      <w:proofErr w:type="spellEnd"/>
      <w:r w:rsidRPr="00B24CA3">
        <w:t xml:space="preserve"> </w:t>
      </w:r>
      <w:proofErr w:type="spellStart"/>
      <w:r w:rsidRPr="00B24CA3">
        <w:t>different</w:t>
      </w:r>
      <w:proofErr w:type="spellEnd"/>
      <w:r w:rsidRPr="00B24CA3">
        <w:t xml:space="preserve"> </w:t>
      </w:r>
      <w:proofErr w:type="spellStart"/>
      <w:r w:rsidRPr="00B24CA3">
        <w:t>countries</w:t>
      </w:r>
      <w:proofErr w:type="spellEnd"/>
      <w:r w:rsidRPr="00B24CA3">
        <w:t xml:space="preserve">. </w:t>
      </w:r>
      <w:proofErr w:type="spellStart"/>
      <w:r w:rsidRPr="00B24CA3">
        <w:t>In</w:t>
      </w:r>
      <w:proofErr w:type="spellEnd"/>
      <w:r w:rsidRPr="00B24CA3">
        <w:t xml:space="preserve"> </w:t>
      </w:r>
      <w:proofErr w:type="spellStart"/>
      <w:r w:rsidRPr="00B24CA3">
        <w:t>the</w:t>
      </w:r>
      <w:proofErr w:type="spellEnd"/>
      <w:r w:rsidRPr="00B24CA3">
        <w:t xml:space="preserve"> </w:t>
      </w:r>
      <w:proofErr w:type="spellStart"/>
      <w:r w:rsidRPr="00B24CA3">
        <w:t>study</w:t>
      </w:r>
      <w:proofErr w:type="spellEnd"/>
      <w:r w:rsidRPr="00B24CA3">
        <w:t>, a semi-</w:t>
      </w:r>
      <w:proofErr w:type="spellStart"/>
      <w:r w:rsidRPr="00B24CA3">
        <w:t>structured</w:t>
      </w:r>
      <w:proofErr w:type="spellEnd"/>
      <w:r w:rsidRPr="00B24CA3">
        <w:t xml:space="preserve"> </w:t>
      </w:r>
      <w:proofErr w:type="spellStart"/>
      <w:r w:rsidRPr="00B24CA3">
        <w:t>interview</w:t>
      </w:r>
      <w:proofErr w:type="spellEnd"/>
      <w:r w:rsidRPr="00B24CA3">
        <w:t xml:space="preserve"> </w:t>
      </w:r>
      <w:proofErr w:type="spellStart"/>
      <w:r w:rsidRPr="00B24CA3">
        <w:t>technique</w:t>
      </w:r>
      <w:proofErr w:type="spellEnd"/>
      <w:r w:rsidRPr="00B24CA3">
        <w:t xml:space="preserve"> </w:t>
      </w:r>
      <w:proofErr w:type="spellStart"/>
      <w:r w:rsidRPr="00B24CA3">
        <w:t>was</w:t>
      </w:r>
      <w:proofErr w:type="spellEnd"/>
      <w:r w:rsidRPr="00B24CA3">
        <w:t xml:space="preserve"> </w:t>
      </w:r>
      <w:proofErr w:type="spellStart"/>
      <w:r w:rsidRPr="00B24CA3">
        <w:t>used</w:t>
      </w:r>
      <w:proofErr w:type="spellEnd"/>
      <w:r w:rsidRPr="00B24CA3">
        <w:t xml:space="preserve"> </w:t>
      </w:r>
      <w:proofErr w:type="spellStart"/>
      <w:r w:rsidRPr="00B24CA3">
        <w:t>to</w:t>
      </w:r>
      <w:proofErr w:type="spellEnd"/>
      <w:r w:rsidRPr="00B24CA3">
        <w:t xml:space="preserve"> </w:t>
      </w:r>
      <w:proofErr w:type="spellStart"/>
      <w:r w:rsidRPr="00B24CA3">
        <w:t>reveal</w:t>
      </w:r>
      <w:proofErr w:type="spellEnd"/>
      <w:r w:rsidRPr="00B24CA3">
        <w:t xml:space="preserve"> </w:t>
      </w:r>
      <w:proofErr w:type="spellStart"/>
      <w:r w:rsidRPr="00B24CA3">
        <w:t>the</w:t>
      </w:r>
      <w:proofErr w:type="spellEnd"/>
      <w:r w:rsidRPr="00B24CA3">
        <w:t xml:space="preserve"> </w:t>
      </w:r>
      <w:proofErr w:type="spellStart"/>
      <w:r w:rsidRPr="00B24CA3">
        <w:t>experiences</w:t>
      </w:r>
      <w:proofErr w:type="spellEnd"/>
      <w:r w:rsidRPr="00B24CA3">
        <w:t xml:space="preserve"> of </w:t>
      </w:r>
      <w:proofErr w:type="spellStart"/>
      <w:r w:rsidRPr="00B24CA3">
        <w:t>the</w:t>
      </w:r>
      <w:proofErr w:type="spellEnd"/>
      <w:r w:rsidRPr="00B24CA3">
        <w:t xml:space="preserve"> </w:t>
      </w:r>
      <w:proofErr w:type="spellStart"/>
      <w:r w:rsidRPr="00B24CA3">
        <w:t>students</w:t>
      </w:r>
      <w:proofErr w:type="spellEnd"/>
      <w:r w:rsidRPr="00B24CA3">
        <w:t xml:space="preserve"> </w:t>
      </w:r>
      <w:proofErr w:type="spellStart"/>
      <w:r w:rsidRPr="00B24CA3">
        <w:t>and</w:t>
      </w:r>
      <w:proofErr w:type="spellEnd"/>
      <w:r w:rsidRPr="00B24CA3">
        <w:t xml:space="preserve"> how they </w:t>
      </w:r>
      <w:proofErr w:type="spellStart"/>
      <w:r w:rsidRPr="00B24CA3">
        <w:t>attribute</w:t>
      </w:r>
      <w:proofErr w:type="spellEnd"/>
      <w:r w:rsidRPr="00B24CA3">
        <w:t xml:space="preserve"> </w:t>
      </w:r>
      <w:proofErr w:type="spellStart"/>
      <w:r w:rsidRPr="00B24CA3">
        <w:t>meaning</w:t>
      </w:r>
      <w:proofErr w:type="spellEnd"/>
      <w:r w:rsidRPr="00B24CA3">
        <w:t xml:space="preserve"> </w:t>
      </w:r>
      <w:proofErr w:type="spellStart"/>
      <w:r w:rsidRPr="00B24CA3">
        <w:t>to</w:t>
      </w:r>
      <w:proofErr w:type="spellEnd"/>
      <w:r w:rsidRPr="00B24CA3">
        <w:t xml:space="preserve"> </w:t>
      </w:r>
      <w:proofErr w:type="spellStart"/>
      <w:r w:rsidRPr="00B24CA3">
        <w:t>these</w:t>
      </w:r>
      <w:proofErr w:type="spellEnd"/>
      <w:r w:rsidRPr="00B24CA3">
        <w:t xml:space="preserve"> </w:t>
      </w:r>
      <w:proofErr w:type="spellStart"/>
      <w:r w:rsidRPr="00B24CA3">
        <w:t>experiences</w:t>
      </w:r>
      <w:proofErr w:type="spellEnd"/>
      <w:r w:rsidRPr="00B24CA3">
        <w:t xml:space="preserve"> </w:t>
      </w:r>
      <w:proofErr w:type="spellStart"/>
      <w:r w:rsidRPr="00B24CA3">
        <w:t>by</w:t>
      </w:r>
      <w:proofErr w:type="spellEnd"/>
      <w:r w:rsidRPr="00B24CA3">
        <w:t xml:space="preserve"> </w:t>
      </w:r>
      <w:proofErr w:type="spellStart"/>
      <w:r w:rsidRPr="00B24CA3">
        <w:t>adopting</w:t>
      </w:r>
      <w:proofErr w:type="spellEnd"/>
      <w:r w:rsidRPr="00B24CA3">
        <w:t xml:space="preserve"> a </w:t>
      </w:r>
      <w:proofErr w:type="spellStart"/>
      <w:r w:rsidRPr="00B24CA3">
        <w:t>qualitative</w:t>
      </w:r>
      <w:proofErr w:type="spellEnd"/>
      <w:r w:rsidRPr="00B24CA3">
        <w:t xml:space="preserve"> </w:t>
      </w:r>
      <w:proofErr w:type="spellStart"/>
      <w:r w:rsidRPr="00B24CA3">
        <w:t>phenomenological</w:t>
      </w:r>
      <w:proofErr w:type="spellEnd"/>
      <w:r w:rsidRPr="00B24CA3">
        <w:t xml:space="preserve"> </w:t>
      </w:r>
      <w:proofErr w:type="spellStart"/>
      <w:r w:rsidRPr="00B24CA3">
        <w:t>approach</w:t>
      </w:r>
      <w:proofErr w:type="spellEnd"/>
      <w:r w:rsidRPr="00B24CA3">
        <w:t xml:space="preserve">. </w:t>
      </w:r>
      <w:proofErr w:type="spellStart"/>
      <w:r w:rsidRPr="00B24CA3">
        <w:t>The</w:t>
      </w:r>
      <w:proofErr w:type="spellEnd"/>
      <w:r w:rsidRPr="00B24CA3">
        <w:t xml:space="preserve"> </w:t>
      </w:r>
      <w:proofErr w:type="spellStart"/>
      <w:r w:rsidRPr="00B24CA3">
        <w:t>findings</w:t>
      </w:r>
      <w:proofErr w:type="spellEnd"/>
      <w:r w:rsidRPr="00B24CA3">
        <w:t xml:space="preserve"> of </w:t>
      </w:r>
      <w:proofErr w:type="spellStart"/>
      <w:r w:rsidRPr="00B24CA3">
        <w:t>the</w:t>
      </w:r>
      <w:proofErr w:type="spellEnd"/>
      <w:r w:rsidRPr="00B24CA3">
        <w:t xml:space="preserve"> </w:t>
      </w:r>
      <w:proofErr w:type="spellStart"/>
      <w:r w:rsidRPr="00B24CA3">
        <w:t>study</w:t>
      </w:r>
      <w:proofErr w:type="spellEnd"/>
      <w:r w:rsidRPr="00B24CA3">
        <w:t xml:space="preserve"> </w:t>
      </w:r>
      <w:proofErr w:type="spellStart"/>
      <w:r w:rsidRPr="00B24CA3">
        <w:t>revealed</w:t>
      </w:r>
      <w:proofErr w:type="spellEnd"/>
      <w:r w:rsidRPr="00B24CA3">
        <w:rPr>
          <w:spacing w:val="-15"/>
        </w:rPr>
        <w:t xml:space="preserve"> </w:t>
      </w:r>
      <w:proofErr w:type="spellStart"/>
      <w:r w:rsidRPr="00B24CA3">
        <w:t>that</w:t>
      </w:r>
      <w:proofErr w:type="spellEnd"/>
      <w:r w:rsidRPr="00B24CA3">
        <w:rPr>
          <w:spacing w:val="-15"/>
        </w:rPr>
        <w:t xml:space="preserve"> </w:t>
      </w:r>
      <w:proofErr w:type="spellStart"/>
      <w:r w:rsidRPr="00B24CA3">
        <w:t>international</w:t>
      </w:r>
      <w:proofErr w:type="spellEnd"/>
      <w:r w:rsidRPr="00B24CA3">
        <w:rPr>
          <w:spacing w:val="-15"/>
        </w:rPr>
        <w:t xml:space="preserve"> </w:t>
      </w:r>
      <w:proofErr w:type="spellStart"/>
      <w:r w:rsidRPr="00B24CA3">
        <w:t>students</w:t>
      </w:r>
      <w:proofErr w:type="spellEnd"/>
      <w:r w:rsidRPr="00B24CA3">
        <w:rPr>
          <w:spacing w:val="-15"/>
        </w:rPr>
        <w:t xml:space="preserve"> </w:t>
      </w:r>
      <w:proofErr w:type="spellStart"/>
      <w:r w:rsidRPr="00B24CA3">
        <w:t>receiving</w:t>
      </w:r>
      <w:proofErr w:type="spellEnd"/>
      <w:r w:rsidRPr="00B24CA3">
        <w:rPr>
          <w:spacing w:val="-15"/>
        </w:rPr>
        <w:t xml:space="preserve"> </w:t>
      </w:r>
      <w:proofErr w:type="spellStart"/>
      <w:r w:rsidRPr="00B24CA3">
        <w:t>postgraduate</w:t>
      </w:r>
      <w:proofErr w:type="spellEnd"/>
      <w:r w:rsidRPr="00B24CA3">
        <w:rPr>
          <w:spacing w:val="-15"/>
        </w:rPr>
        <w:t xml:space="preserve"> </w:t>
      </w:r>
      <w:proofErr w:type="spellStart"/>
      <w:r w:rsidRPr="00B24CA3">
        <w:t>education</w:t>
      </w:r>
      <w:proofErr w:type="spellEnd"/>
      <w:r w:rsidRPr="00B24CA3">
        <w:rPr>
          <w:spacing w:val="-15"/>
        </w:rPr>
        <w:t xml:space="preserve"> </w:t>
      </w:r>
      <w:r w:rsidRPr="00B24CA3">
        <w:t>at</w:t>
      </w:r>
      <w:r w:rsidRPr="00B24CA3">
        <w:rPr>
          <w:spacing w:val="-15"/>
        </w:rPr>
        <w:t xml:space="preserve"> </w:t>
      </w:r>
      <w:r w:rsidRPr="00B24CA3">
        <w:t>Kocaeli</w:t>
      </w:r>
      <w:r w:rsidRPr="00B24CA3">
        <w:rPr>
          <w:spacing w:val="-15"/>
        </w:rPr>
        <w:t xml:space="preserve"> </w:t>
      </w:r>
      <w:proofErr w:type="spellStart"/>
      <w:r w:rsidRPr="00B24CA3">
        <w:t>University</w:t>
      </w:r>
      <w:proofErr w:type="spellEnd"/>
      <w:r w:rsidRPr="00B24CA3">
        <w:rPr>
          <w:spacing w:val="-15"/>
        </w:rPr>
        <w:t xml:space="preserve"> </w:t>
      </w:r>
      <w:proofErr w:type="spellStart"/>
      <w:r w:rsidRPr="00B24CA3">
        <w:t>face</w:t>
      </w:r>
      <w:proofErr w:type="spellEnd"/>
      <w:r w:rsidRPr="00B24CA3">
        <w:t xml:space="preserve"> </w:t>
      </w:r>
      <w:proofErr w:type="spellStart"/>
      <w:r w:rsidRPr="00B24CA3">
        <w:t>various</w:t>
      </w:r>
      <w:proofErr w:type="spellEnd"/>
      <w:r w:rsidRPr="00B24CA3">
        <w:t xml:space="preserve"> </w:t>
      </w:r>
      <w:proofErr w:type="spellStart"/>
      <w:r w:rsidRPr="00B24CA3">
        <w:t>difficulties</w:t>
      </w:r>
      <w:proofErr w:type="spellEnd"/>
      <w:r w:rsidRPr="00B24CA3">
        <w:t xml:space="preserve"> </w:t>
      </w:r>
      <w:proofErr w:type="spellStart"/>
      <w:r w:rsidRPr="00B24CA3">
        <w:t>such</w:t>
      </w:r>
      <w:proofErr w:type="spellEnd"/>
      <w:r w:rsidRPr="00B24CA3">
        <w:t xml:space="preserve"> as </w:t>
      </w:r>
      <w:proofErr w:type="spellStart"/>
      <w:r w:rsidRPr="00B24CA3">
        <w:t>language</w:t>
      </w:r>
      <w:proofErr w:type="spellEnd"/>
      <w:r w:rsidRPr="00B24CA3">
        <w:t xml:space="preserve"> </w:t>
      </w:r>
      <w:proofErr w:type="spellStart"/>
      <w:r w:rsidRPr="00B24CA3">
        <w:t>problems</w:t>
      </w:r>
      <w:proofErr w:type="spellEnd"/>
      <w:r w:rsidRPr="00B24CA3">
        <w:t xml:space="preserve">, </w:t>
      </w:r>
      <w:proofErr w:type="spellStart"/>
      <w:r w:rsidRPr="00B24CA3">
        <w:t>cultural</w:t>
      </w:r>
      <w:proofErr w:type="spellEnd"/>
      <w:r w:rsidRPr="00B24CA3">
        <w:t xml:space="preserve"> </w:t>
      </w:r>
      <w:proofErr w:type="spellStart"/>
      <w:r w:rsidRPr="00B24CA3">
        <w:t>differences</w:t>
      </w:r>
      <w:proofErr w:type="spellEnd"/>
      <w:r w:rsidRPr="00B24CA3">
        <w:t xml:space="preserve">, </w:t>
      </w:r>
      <w:proofErr w:type="spellStart"/>
      <w:r w:rsidRPr="00B24CA3">
        <w:t>and</w:t>
      </w:r>
      <w:proofErr w:type="spellEnd"/>
      <w:r w:rsidRPr="00B24CA3">
        <w:t xml:space="preserve"> </w:t>
      </w:r>
      <w:proofErr w:type="spellStart"/>
      <w:r w:rsidRPr="00B24CA3">
        <w:t>social</w:t>
      </w:r>
      <w:proofErr w:type="spellEnd"/>
      <w:r w:rsidRPr="00B24CA3">
        <w:t xml:space="preserve"> </w:t>
      </w:r>
      <w:proofErr w:type="spellStart"/>
      <w:r w:rsidRPr="00B24CA3">
        <w:t>adaptation</w:t>
      </w:r>
      <w:proofErr w:type="spellEnd"/>
      <w:r w:rsidRPr="00B24CA3">
        <w:t xml:space="preserve"> </w:t>
      </w:r>
      <w:proofErr w:type="spellStart"/>
      <w:r w:rsidRPr="00B24CA3">
        <w:t>problems</w:t>
      </w:r>
      <w:proofErr w:type="spellEnd"/>
      <w:r w:rsidRPr="00B24CA3">
        <w:t>.</w:t>
      </w:r>
      <w:r w:rsidRPr="00B24CA3">
        <w:rPr>
          <w:spacing w:val="-15"/>
        </w:rPr>
        <w:t xml:space="preserve"> </w:t>
      </w:r>
      <w:proofErr w:type="spellStart"/>
      <w:r w:rsidRPr="00B24CA3">
        <w:t>It</w:t>
      </w:r>
      <w:proofErr w:type="spellEnd"/>
      <w:r w:rsidRPr="00B24CA3">
        <w:rPr>
          <w:spacing w:val="-15"/>
        </w:rPr>
        <w:t xml:space="preserve"> </w:t>
      </w:r>
      <w:proofErr w:type="spellStart"/>
      <w:r w:rsidRPr="00B24CA3">
        <w:t>was</w:t>
      </w:r>
      <w:proofErr w:type="spellEnd"/>
      <w:r w:rsidRPr="00B24CA3">
        <w:rPr>
          <w:spacing w:val="-14"/>
        </w:rPr>
        <w:t xml:space="preserve"> </w:t>
      </w:r>
      <w:proofErr w:type="spellStart"/>
      <w:r w:rsidRPr="00B24CA3">
        <w:t>determined</w:t>
      </w:r>
      <w:proofErr w:type="spellEnd"/>
      <w:r w:rsidRPr="00B24CA3">
        <w:rPr>
          <w:spacing w:val="-15"/>
        </w:rPr>
        <w:t xml:space="preserve"> </w:t>
      </w:r>
      <w:proofErr w:type="spellStart"/>
      <w:r w:rsidRPr="00B24CA3">
        <w:t>that</w:t>
      </w:r>
      <w:proofErr w:type="spellEnd"/>
      <w:r w:rsidRPr="00B24CA3">
        <w:rPr>
          <w:spacing w:val="-15"/>
        </w:rPr>
        <w:t xml:space="preserve"> </w:t>
      </w:r>
      <w:proofErr w:type="spellStart"/>
      <w:r w:rsidRPr="00B24CA3">
        <w:t>language</w:t>
      </w:r>
      <w:proofErr w:type="spellEnd"/>
      <w:r w:rsidRPr="00B24CA3">
        <w:rPr>
          <w:spacing w:val="-15"/>
        </w:rPr>
        <w:t xml:space="preserve"> </w:t>
      </w:r>
      <w:proofErr w:type="spellStart"/>
      <w:r w:rsidRPr="00B24CA3">
        <w:t>barriers</w:t>
      </w:r>
      <w:proofErr w:type="spellEnd"/>
      <w:r w:rsidRPr="00B24CA3">
        <w:t>,</w:t>
      </w:r>
      <w:r w:rsidRPr="00B24CA3">
        <w:rPr>
          <w:spacing w:val="-15"/>
        </w:rPr>
        <w:t xml:space="preserve"> </w:t>
      </w:r>
      <w:r w:rsidRPr="00B24CA3">
        <w:t>in</w:t>
      </w:r>
      <w:r w:rsidRPr="00B24CA3">
        <w:rPr>
          <w:spacing w:val="-10"/>
        </w:rPr>
        <w:t xml:space="preserve"> </w:t>
      </w:r>
      <w:proofErr w:type="spellStart"/>
      <w:r w:rsidRPr="00B24CA3">
        <w:t>particular</w:t>
      </w:r>
      <w:proofErr w:type="spellEnd"/>
      <w:r w:rsidRPr="00B24CA3">
        <w:t>,</w:t>
      </w:r>
      <w:r w:rsidRPr="00B24CA3">
        <w:rPr>
          <w:spacing w:val="-14"/>
        </w:rPr>
        <w:t xml:space="preserve"> </w:t>
      </w:r>
      <w:proofErr w:type="spellStart"/>
      <w:r w:rsidRPr="00B24CA3">
        <w:t>significantly</w:t>
      </w:r>
      <w:proofErr w:type="spellEnd"/>
      <w:r w:rsidRPr="00B24CA3">
        <w:rPr>
          <w:spacing w:val="-15"/>
        </w:rPr>
        <w:t xml:space="preserve"> </w:t>
      </w:r>
      <w:proofErr w:type="spellStart"/>
      <w:r w:rsidRPr="00B24CA3">
        <w:t>negatively</w:t>
      </w:r>
      <w:proofErr w:type="spellEnd"/>
      <w:r w:rsidRPr="00B24CA3">
        <w:rPr>
          <w:spacing w:val="-10"/>
        </w:rPr>
        <w:t xml:space="preserve"> </w:t>
      </w:r>
      <w:proofErr w:type="spellStart"/>
      <w:r w:rsidRPr="00B24CA3">
        <w:t>affect</w:t>
      </w:r>
      <w:proofErr w:type="spellEnd"/>
      <w:r w:rsidRPr="00B24CA3">
        <w:t xml:space="preserve"> </w:t>
      </w:r>
      <w:proofErr w:type="spellStart"/>
      <w:r w:rsidRPr="00B24CA3">
        <w:t>the</w:t>
      </w:r>
      <w:proofErr w:type="spellEnd"/>
      <w:r w:rsidRPr="00B24CA3">
        <w:t xml:space="preserve"> </w:t>
      </w:r>
      <w:proofErr w:type="spellStart"/>
      <w:r w:rsidRPr="00B24CA3">
        <w:t>academic</w:t>
      </w:r>
      <w:proofErr w:type="spellEnd"/>
      <w:r w:rsidRPr="00B24CA3">
        <w:t xml:space="preserve"> </w:t>
      </w:r>
      <w:proofErr w:type="spellStart"/>
      <w:r w:rsidRPr="00B24CA3">
        <w:t>performance</w:t>
      </w:r>
      <w:proofErr w:type="spellEnd"/>
      <w:r w:rsidRPr="00B24CA3">
        <w:t xml:space="preserve"> </w:t>
      </w:r>
      <w:proofErr w:type="spellStart"/>
      <w:r w:rsidRPr="00B24CA3">
        <w:t>and</w:t>
      </w:r>
      <w:proofErr w:type="spellEnd"/>
      <w:r w:rsidRPr="00B24CA3">
        <w:t xml:space="preserve"> </w:t>
      </w:r>
      <w:proofErr w:type="spellStart"/>
      <w:r w:rsidRPr="00B24CA3">
        <w:t>social</w:t>
      </w:r>
      <w:proofErr w:type="spellEnd"/>
      <w:r w:rsidRPr="00B24CA3">
        <w:t xml:space="preserve"> </w:t>
      </w:r>
      <w:proofErr w:type="spellStart"/>
      <w:r w:rsidRPr="00B24CA3">
        <w:t>interactions</w:t>
      </w:r>
      <w:proofErr w:type="spellEnd"/>
      <w:r w:rsidRPr="00B24CA3">
        <w:t xml:space="preserve"> of </w:t>
      </w:r>
      <w:proofErr w:type="spellStart"/>
      <w:r w:rsidRPr="00B24CA3">
        <w:t>the</w:t>
      </w:r>
      <w:proofErr w:type="spellEnd"/>
      <w:r w:rsidRPr="00B24CA3">
        <w:t xml:space="preserve"> </w:t>
      </w:r>
      <w:proofErr w:type="spellStart"/>
      <w:r w:rsidRPr="00B24CA3">
        <w:t>students</w:t>
      </w:r>
      <w:proofErr w:type="spellEnd"/>
      <w:r w:rsidRPr="00B24CA3">
        <w:t xml:space="preserve">, </w:t>
      </w:r>
      <w:proofErr w:type="spellStart"/>
      <w:r w:rsidRPr="00B24CA3">
        <w:t>and</w:t>
      </w:r>
      <w:proofErr w:type="spellEnd"/>
      <w:r w:rsidRPr="00B24CA3">
        <w:t xml:space="preserve"> </w:t>
      </w:r>
      <w:proofErr w:type="spellStart"/>
      <w:r w:rsidRPr="00B24CA3">
        <w:t>these</w:t>
      </w:r>
      <w:proofErr w:type="spellEnd"/>
      <w:r w:rsidRPr="00B24CA3">
        <w:t xml:space="preserve"> </w:t>
      </w:r>
      <w:proofErr w:type="spellStart"/>
      <w:r w:rsidRPr="00B24CA3">
        <w:t>barriers</w:t>
      </w:r>
      <w:proofErr w:type="spellEnd"/>
      <w:r w:rsidRPr="00B24CA3">
        <w:t xml:space="preserve"> </w:t>
      </w:r>
      <w:proofErr w:type="spellStart"/>
      <w:r w:rsidRPr="00B24CA3">
        <w:t>also</w:t>
      </w:r>
      <w:proofErr w:type="spellEnd"/>
      <w:r w:rsidRPr="00B24CA3">
        <w:t xml:space="preserve"> </w:t>
      </w:r>
      <w:proofErr w:type="spellStart"/>
      <w:r w:rsidRPr="00B24CA3">
        <w:t>lead</w:t>
      </w:r>
      <w:proofErr w:type="spellEnd"/>
      <w:r w:rsidRPr="00B24CA3">
        <w:t xml:space="preserve"> </w:t>
      </w:r>
      <w:proofErr w:type="spellStart"/>
      <w:r w:rsidRPr="00B24CA3">
        <w:lastRenderedPageBreak/>
        <w:t>to</w:t>
      </w:r>
      <w:proofErr w:type="spellEnd"/>
      <w:r w:rsidRPr="00B24CA3">
        <w:t xml:space="preserve"> </w:t>
      </w:r>
      <w:proofErr w:type="spellStart"/>
      <w:r w:rsidRPr="00B24CA3">
        <w:t>emotional</w:t>
      </w:r>
      <w:proofErr w:type="spellEnd"/>
      <w:r w:rsidRPr="00B24CA3">
        <w:t xml:space="preserve"> </w:t>
      </w:r>
      <w:proofErr w:type="spellStart"/>
      <w:r w:rsidRPr="00B24CA3">
        <w:t>problems</w:t>
      </w:r>
      <w:proofErr w:type="spellEnd"/>
      <w:r w:rsidRPr="00B24CA3">
        <w:t xml:space="preserve"> </w:t>
      </w:r>
      <w:proofErr w:type="spellStart"/>
      <w:r w:rsidRPr="00B24CA3">
        <w:t>such</w:t>
      </w:r>
      <w:proofErr w:type="spellEnd"/>
      <w:r w:rsidRPr="00B24CA3">
        <w:t xml:space="preserve"> as </w:t>
      </w:r>
      <w:proofErr w:type="spellStart"/>
      <w:r w:rsidRPr="00B24CA3">
        <w:t>stress</w:t>
      </w:r>
      <w:proofErr w:type="spellEnd"/>
      <w:r w:rsidRPr="00B24CA3">
        <w:t xml:space="preserve"> </w:t>
      </w:r>
      <w:proofErr w:type="spellStart"/>
      <w:r w:rsidRPr="00B24CA3">
        <w:t>and</w:t>
      </w:r>
      <w:proofErr w:type="spellEnd"/>
      <w:r w:rsidRPr="00B24CA3">
        <w:t xml:space="preserve"> </w:t>
      </w:r>
      <w:proofErr w:type="spellStart"/>
      <w:r w:rsidRPr="00B24CA3">
        <w:t>anxiety</w:t>
      </w:r>
      <w:proofErr w:type="spellEnd"/>
      <w:r w:rsidRPr="00B24CA3">
        <w:t xml:space="preserve">. </w:t>
      </w:r>
      <w:proofErr w:type="spellStart"/>
      <w:r w:rsidRPr="00B24CA3">
        <w:t>In</w:t>
      </w:r>
      <w:proofErr w:type="spellEnd"/>
      <w:r w:rsidRPr="00B24CA3">
        <w:t xml:space="preserve"> </w:t>
      </w:r>
      <w:proofErr w:type="spellStart"/>
      <w:r w:rsidRPr="00B24CA3">
        <w:t>line</w:t>
      </w:r>
      <w:proofErr w:type="spellEnd"/>
      <w:r w:rsidRPr="00B24CA3">
        <w:t xml:space="preserve"> </w:t>
      </w:r>
      <w:proofErr w:type="spellStart"/>
      <w:r w:rsidRPr="00B24CA3">
        <w:t>with</w:t>
      </w:r>
      <w:proofErr w:type="spellEnd"/>
      <w:r w:rsidRPr="00B24CA3">
        <w:t xml:space="preserve"> </w:t>
      </w:r>
      <w:proofErr w:type="spellStart"/>
      <w:r w:rsidRPr="00B24CA3">
        <w:t>the</w:t>
      </w:r>
      <w:proofErr w:type="spellEnd"/>
      <w:r w:rsidRPr="00B24CA3">
        <w:t xml:space="preserve"> </w:t>
      </w:r>
      <w:proofErr w:type="spellStart"/>
      <w:r w:rsidRPr="00B24CA3">
        <w:t>results</w:t>
      </w:r>
      <w:proofErr w:type="spellEnd"/>
      <w:r w:rsidRPr="00B24CA3">
        <w:t xml:space="preserve"> of </w:t>
      </w:r>
      <w:proofErr w:type="spellStart"/>
      <w:r w:rsidRPr="00B24CA3">
        <w:t>the</w:t>
      </w:r>
      <w:proofErr w:type="spellEnd"/>
      <w:r w:rsidRPr="00B24CA3">
        <w:t xml:space="preserve"> </w:t>
      </w:r>
      <w:proofErr w:type="spellStart"/>
      <w:r w:rsidRPr="00B24CA3">
        <w:t>study</w:t>
      </w:r>
      <w:proofErr w:type="spellEnd"/>
      <w:r w:rsidRPr="00B24CA3">
        <w:t xml:space="preserve">, it is </w:t>
      </w:r>
      <w:proofErr w:type="spellStart"/>
      <w:r w:rsidRPr="00B24CA3">
        <w:t>recommended</w:t>
      </w:r>
      <w:proofErr w:type="spellEnd"/>
      <w:r w:rsidRPr="00B24CA3">
        <w:t xml:space="preserve"> </w:t>
      </w:r>
      <w:proofErr w:type="spellStart"/>
      <w:r w:rsidRPr="00B24CA3">
        <w:t>that</w:t>
      </w:r>
      <w:proofErr w:type="spellEnd"/>
      <w:r w:rsidRPr="00B24CA3">
        <w:t xml:space="preserve"> </w:t>
      </w:r>
      <w:proofErr w:type="spellStart"/>
      <w:r w:rsidRPr="00B24CA3">
        <w:t>the</w:t>
      </w:r>
      <w:proofErr w:type="spellEnd"/>
      <w:r w:rsidRPr="00B24CA3">
        <w:t xml:space="preserve"> </w:t>
      </w:r>
      <w:proofErr w:type="spellStart"/>
      <w:r w:rsidRPr="00B24CA3">
        <w:t>university</w:t>
      </w:r>
      <w:proofErr w:type="spellEnd"/>
      <w:r w:rsidRPr="00B24CA3">
        <w:t xml:space="preserve"> </w:t>
      </w:r>
      <w:proofErr w:type="spellStart"/>
      <w:r w:rsidRPr="00B24CA3">
        <w:t>provide</w:t>
      </w:r>
      <w:proofErr w:type="spellEnd"/>
      <w:r w:rsidRPr="00B24CA3">
        <w:t xml:space="preserve"> </w:t>
      </w:r>
      <w:proofErr w:type="spellStart"/>
      <w:r w:rsidRPr="00B24CA3">
        <w:t>psycho-social</w:t>
      </w:r>
      <w:proofErr w:type="spellEnd"/>
      <w:r w:rsidRPr="00B24CA3">
        <w:t xml:space="preserve"> </w:t>
      </w:r>
      <w:proofErr w:type="spellStart"/>
      <w:r w:rsidRPr="00B24CA3">
        <w:t>support</w:t>
      </w:r>
      <w:proofErr w:type="spellEnd"/>
      <w:r w:rsidRPr="00B24CA3">
        <w:t xml:space="preserve"> </w:t>
      </w:r>
      <w:proofErr w:type="spellStart"/>
      <w:r w:rsidRPr="00B24CA3">
        <w:t>to</w:t>
      </w:r>
      <w:proofErr w:type="spellEnd"/>
      <w:r w:rsidRPr="00B24CA3">
        <w:t xml:space="preserve"> </w:t>
      </w:r>
      <w:proofErr w:type="spellStart"/>
      <w:r w:rsidRPr="00B24CA3">
        <w:t>the</w:t>
      </w:r>
      <w:proofErr w:type="spellEnd"/>
      <w:r w:rsidRPr="00B24CA3">
        <w:t xml:space="preserve"> </w:t>
      </w:r>
      <w:proofErr w:type="spellStart"/>
      <w:r w:rsidRPr="00B24CA3">
        <w:t>students</w:t>
      </w:r>
      <w:proofErr w:type="spellEnd"/>
      <w:r w:rsidRPr="00B24CA3">
        <w:t xml:space="preserve"> in </w:t>
      </w:r>
      <w:proofErr w:type="spellStart"/>
      <w:r w:rsidRPr="00B24CA3">
        <w:t>order</w:t>
      </w:r>
      <w:proofErr w:type="spellEnd"/>
      <w:r w:rsidRPr="00B24CA3">
        <w:t xml:space="preserve"> </w:t>
      </w:r>
      <w:proofErr w:type="spellStart"/>
      <w:r w:rsidRPr="00B24CA3">
        <w:t>to</w:t>
      </w:r>
      <w:proofErr w:type="spellEnd"/>
      <w:r w:rsidRPr="00B24CA3">
        <w:t xml:space="preserve"> </w:t>
      </w:r>
      <w:proofErr w:type="spellStart"/>
      <w:r w:rsidRPr="00B24CA3">
        <w:t>support</w:t>
      </w:r>
      <w:proofErr w:type="spellEnd"/>
      <w:r w:rsidRPr="00B24CA3">
        <w:rPr>
          <w:spacing w:val="-2"/>
        </w:rPr>
        <w:t xml:space="preserve"> </w:t>
      </w:r>
      <w:proofErr w:type="spellStart"/>
      <w:r w:rsidRPr="00B24CA3">
        <w:t>the</w:t>
      </w:r>
      <w:proofErr w:type="spellEnd"/>
      <w:r w:rsidRPr="00B24CA3">
        <w:rPr>
          <w:spacing w:val="-2"/>
        </w:rPr>
        <w:t xml:space="preserve"> </w:t>
      </w:r>
      <w:proofErr w:type="spellStart"/>
      <w:r w:rsidRPr="00B24CA3">
        <w:t>social</w:t>
      </w:r>
      <w:proofErr w:type="spellEnd"/>
      <w:r w:rsidRPr="00B24CA3">
        <w:rPr>
          <w:spacing w:val="-2"/>
        </w:rPr>
        <w:t xml:space="preserve"> </w:t>
      </w:r>
      <w:proofErr w:type="spellStart"/>
      <w:r w:rsidRPr="00B24CA3">
        <w:t>integration</w:t>
      </w:r>
      <w:proofErr w:type="spellEnd"/>
      <w:r w:rsidRPr="00B24CA3">
        <w:rPr>
          <w:spacing w:val="-1"/>
        </w:rPr>
        <w:t xml:space="preserve"> </w:t>
      </w:r>
      <w:proofErr w:type="spellStart"/>
      <w:r w:rsidRPr="00B24CA3">
        <w:t>processes</w:t>
      </w:r>
      <w:proofErr w:type="spellEnd"/>
      <w:r w:rsidRPr="00B24CA3">
        <w:t xml:space="preserve"> of</w:t>
      </w:r>
      <w:r w:rsidRPr="00B24CA3">
        <w:rPr>
          <w:spacing w:val="-1"/>
        </w:rPr>
        <w:t xml:space="preserve"> </w:t>
      </w:r>
      <w:proofErr w:type="spellStart"/>
      <w:r w:rsidRPr="00B24CA3">
        <w:t>international</w:t>
      </w:r>
      <w:proofErr w:type="spellEnd"/>
      <w:r w:rsidRPr="00B24CA3">
        <w:rPr>
          <w:spacing w:val="-2"/>
        </w:rPr>
        <w:t xml:space="preserve"> </w:t>
      </w:r>
      <w:proofErr w:type="spellStart"/>
      <w:r w:rsidRPr="00B24CA3">
        <w:t>students</w:t>
      </w:r>
      <w:proofErr w:type="spellEnd"/>
      <w:r w:rsidRPr="00B24CA3">
        <w:t>,</w:t>
      </w:r>
      <w:r w:rsidRPr="00B24CA3">
        <w:rPr>
          <w:spacing w:val="-1"/>
        </w:rPr>
        <w:t xml:space="preserve"> </w:t>
      </w:r>
      <w:proofErr w:type="spellStart"/>
      <w:r w:rsidRPr="00B24CA3">
        <w:t>offer</w:t>
      </w:r>
      <w:proofErr w:type="spellEnd"/>
      <w:r w:rsidRPr="00B24CA3">
        <w:rPr>
          <w:spacing w:val="-1"/>
        </w:rPr>
        <w:t xml:space="preserve"> </w:t>
      </w:r>
      <w:proofErr w:type="spellStart"/>
      <w:r w:rsidRPr="00B24CA3">
        <w:t>awareness</w:t>
      </w:r>
      <w:proofErr w:type="spellEnd"/>
      <w:r w:rsidRPr="00B24CA3">
        <w:t xml:space="preserve"> </w:t>
      </w:r>
      <w:proofErr w:type="spellStart"/>
      <w:r w:rsidRPr="00B24CA3">
        <w:t>training</w:t>
      </w:r>
      <w:proofErr w:type="spellEnd"/>
      <w:r w:rsidRPr="00B24CA3">
        <w:rPr>
          <w:spacing w:val="-1"/>
        </w:rPr>
        <w:t xml:space="preserve"> </w:t>
      </w:r>
      <w:proofErr w:type="spellStart"/>
      <w:r w:rsidRPr="00B24CA3">
        <w:t>and</w:t>
      </w:r>
      <w:proofErr w:type="spellEnd"/>
      <w:r w:rsidRPr="00B24CA3">
        <w:t xml:space="preserve"> </w:t>
      </w:r>
      <w:proofErr w:type="spellStart"/>
      <w:r w:rsidRPr="00B24CA3">
        <w:t>orientation</w:t>
      </w:r>
      <w:proofErr w:type="spellEnd"/>
      <w:r w:rsidRPr="00B24CA3">
        <w:rPr>
          <w:spacing w:val="-15"/>
        </w:rPr>
        <w:t xml:space="preserve"> </w:t>
      </w:r>
      <w:proofErr w:type="spellStart"/>
      <w:r w:rsidRPr="00B24CA3">
        <w:t>programs</w:t>
      </w:r>
      <w:proofErr w:type="spellEnd"/>
      <w:r w:rsidRPr="00B24CA3">
        <w:rPr>
          <w:spacing w:val="-15"/>
        </w:rPr>
        <w:t xml:space="preserve"> </w:t>
      </w:r>
      <w:proofErr w:type="spellStart"/>
      <w:r w:rsidRPr="00B24CA3">
        <w:t>about</w:t>
      </w:r>
      <w:proofErr w:type="spellEnd"/>
      <w:r w:rsidRPr="00B24CA3">
        <w:rPr>
          <w:spacing w:val="-15"/>
        </w:rPr>
        <w:t xml:space="preserve"> </w:t>
      </w:r>
      <w:proofErr w:type="spellStart"/>
      <w:r w:rsidRPr="00B24CA3">
        <w:t>Turkey</w:t>
      </w:r>
      <w:proofErr w:type="spellEnd"/>
      <w:r w:rsidRPr="00B24CA3">
        <w:rPr>
          <w:spacing w:val="-15"/>
        </w:rPr>
        <w:t xml:space="preserve"> </w:t>
      </w:r>
      <w:proofErr w:type="spellStart"/>
      <w:r w:rsidRPr="00B24CA3">
        <w:t>to</w:t>
      </w:r>
      <w:proofErr w:type="spellEnd"/>
      <w:r w:rsidRPr="00B24CA3">
        <w:rPr>
          <w:spacing w:val="-15"/>
        </w:rPr>
        <w:t xml:space="preserve"> </w:t>
      </w:r>
      <w:proofErr w:type="spellStart"/>
      <w:r w:rsidRPr="00B24CA3">
        <w:t>newly</w:t>
      </w:r>
      <w:proofErr w:type="spellEnd"/>
      <w:r w:rsidRPr="00B24CA3">
        <w:rPr>
          <w:spacing w:val="-15"/>
        </w:rPr>
        <w:t xml:space="preserve"> </w:t>
      </w:r>
      <w:proofErr w:type="spellStart"/>
      <w:r w:rsidRPr="00B24CA3">
        <w:t>arrived</w:t>
      </w:r>
      <w:proofErr w:type="spellEnd"/>
      <w:r w:rsidRPr="00B24CA3">
        <w:rPr>
          <w:spacing w:val="-15"/>
        </w:rPr>
        <w:t xml:space="preserve"> </w:t>
      </w:r>
      <w:proofErr w:type="spellStart"/>
      <w:r w:rsidRPr="00B24CA3">
        <w:t>international</w:t>
      </w:r>
      <w:proofErr w:type="spellEnd"/>
      <w:r w:rsidRPr="00B24CA3">
        <w:rPr>
          <w:spacing w:val="-15"/>
        </w:rPr>
        <w:t xml:space="preserve"> </w:t>
      </w:r>
      <w:proofErr w:type="spellStart"/>
      <w:r w:rsidRPr="00B24CA3">
        <w:t>students</w:t>
      </w:r>
      <w:proofErr w:type="spellEnd"/>
      <w:r w:rsidRPr="00B24CA3">
        <w:t>,</w:t>
      </w:r>
      <w:r w:rsidRPr="00B24CA3">
        <w:rPr>
          <w:spacing w:val="-15"/>
        </w:rPr>
        <w:t xml:space="preserve"> </w:t>
      </w:r>
      <w:proofErr w:type="spellStart"/>
      <w:r w:rsidRPr="00B24CA3">
        <w:t>and</w:t>
      </w:r>
      <w:proofErr w:type="spellEnd"/>
      <w:r w:rsidRPr="00B24CA3">
        <w:rPr>
          <w:spacing w:val="-15"/>
        </w:rPr>
        <w:t xml:space="preserve"> </w:t>
      </w:r>
      <w:proofErr w:type="spellStart"/>
      <w:r w:rsidRPr="00B24CA3">
        <w:t>make</w:t>
      </w:r>
      <w:proofErr w:type="spellEnd"/>
      <w:r w:rsidRPr="00B24CA3">
        <w:rPr>
          <w:spacing w:val="-15"/>
        </w:rPr>
        <w:t xml:space="preserve"> </w:t>
      </w:r>
      <w:proofErr w:type="spellStart"/>
      <w:r w:rsidRPr="00B24CA3">
        <w:t>university</w:t>
      </w:r>
      <w:proofErr w:type="spellEnd"/>
      <w:r w:rsidRPr="00B24CA3">
        <w:t xml:space="preserve"> </w:t>
      </w:r>
      <w:proofErr w:type="spellStart"/>
      <w:r w:rsidRPr="00B24CA3">
        <w:t>activities</w:t>
      </w:r>
      <w:proofErr w:type="spellEnd"/>
      <w:r w:rsidRPr="00B24CA3">
        <w:t xml:space="preserve"> </w:t>
      </w:r>
      <w:proofErr w:type="spellStart"/>
      <w:r w:rsidRPr="00B24CA3">
        <w:t>for</w:t>
      </w:r>
      <w:proofErr w:type="spellEnd"/>
      <w:r w:rsidRPr="00B24CA3">
        <w:t xml:space="preserve"> </w:t>
      </w:r>
      <w:proofErr w:type="spellStart"/>
      <w:r w:rsidRPr="00B24CA3">
        <w:t>international</w:t>
      </w:r>
      <w:proofErr w:type="spellEnd"/>
      <w:r w:rsidRPr="00B24CA3">
        <w:t xml:space="preserve"> </w:t>
      </w:r>
      <w:proofErr w:type="spellStart"/>
      <w:r w:rsidRPr="00B24CA3">
        <w:t>students</w:t>
      </w:r>
      <w:proofErr w:type="spellEnd"/>
      <w:r w:rsidRPr="00B24CA3">
        <w:t xml:space="preserve"> </w:t>
      </w:r>
      <w:proofErr w:type="spellStart"/>
      <w:r w:rsidRPr="00B24CA3">
        <w:t>more</w:t>
      </w:r>
      <w:proofErr w:type="spellEnd"/>
      <w:r w:rsidRPr="00B24CA3">
        <w:t xml:space="preserve"> </w:t>
      </w:r>
      <w:proofErr w:type="spellStart"/>
      <w:r w:rsidRPr="00B24CA3">
        <w:t>active</w:t>
      </w:r>
      <w:proofErr w:type="spellEnd"/>
      <w:r w:rsidRPr="00B24CA3">
        <w:t xml:space="preserve">. </w:t>
      </w:r>
      <w:proofErr w:type="spellStart"/>
      <w:r w:rsidRPr="00B24CA3">
        <w:t>In</w:t>
      </w:r>
      <w:proofErr w:type="spellEnd"/>
      <w:r w:rsidRPr="00B24CA3">
        <w:t xml:space="preserve"> </w:t>
      </w:r>
      <w:proofErr w:type="spellStart"/>
      <w:r w:rsidRPr="00B24CA3">
        <w:t>addition</w:t>
      </w:r>
      <w:proofErr w:type="spellEnd"/>
      <w:r w:rsidRPr="00B24CA3">
        <w:t xml:space="preserve">, it </w:t>
      </w:r>
      <w:proofErr w:type="spellStart"/>
      <w:r w:rsidRPr="00B24CA3">
        <w:t>was</w:t>
      </w:r>
      <w:proofErr w:type="spellEnd"/>
      <w:r w:rsidRPr="00B24CA3">
        <w:t xml:space="preserve"> </w:t>
      </w:r>
      <w:proofErr w:type="spellStart"/>
      <w:r w:rsidRPr="00B24CA3">
        <w:t>emphasized</w:t>
      </w:r>
      <w:proofErr w:type="spellEnd"/>
      <w:r w:rsidRPr="00B24CA3">
        <w:t xml:space="preserve"> </w:t>
      </w:r>
      <w:proofErr w:type="spellStart"/>
      <w:r w:rsidRPr="00B24CA3">
        <w:t>that</w:t>
      </w:r>
      <w:proofErr w:type="spellEnd"/>
      <w:r w:rsidRPr="00B24CA3">
        <w:t xml:space="preserve"> </w:t>
      </w:r>
      <w:proofErr w:type="spellStart"/>
      <w:r w:rsidRPr="00B24CA3">
        <w:t>the</w:t>
      </w:r>
      <w:proofErr w:type="spellEnd"/>
      <w:r w:rsidRPr="00B24CA3">
        <w:t xml:space="preserve"> </w:t>
      </w:r>
      <w:proofErr w:type="spellStart"/>
      <w:r w:rsidRPr="00B24CA3">
        <w:t>local</w:t>
      </w:r>
      <w:proofErr w:type="spellEnd"/>
      <w:r w:rsidRPr="00B24CA3">
        <w:t xml:space="preserve"> </w:t>
      </w:r>
      <w:proofErr w:type="spellStart"/>
      <w:r w:rsidRPr="00B24CA3">
        <w:t>community</w:t>
      </w:r>
      <w:proofErr w:type="spellEnd"/>
      <w:r w:rsidRPr="00B24CA3">
        <w:rPr>
          <w:spacing w:val="-3"/>
        </w:rPr>
        <w:t xml:space="preserve"> </w:t>
      </w:r>
      <w:proofErr w:type="spellStart"/>
      <w:r w:rsidRPr="00B24CA3">
        <w:t>should</w:t>
      </w:r>
      <w:proofErr w:type="spellEnd"/>
      <w:r w:rsidRPr="00B24CA3">
        <w:t xml:space="preserve"> be </w:t>
      </w:r>
      <w:proofErr w:type="spellStart"/>
      <w:r w:rsidRPr="00B24CA3">
        <w:t>made</w:t>
      </w:r>
      <w:proofErr w:type="spellEnd"/>
      <w:r w:rsidRPr="00B24CA3">
        <w:t xml:space="preserve"> </w:t>
      </w:r>
      <w:proofErr w:type="spellStart"/>
      <w:r w:rsidRPr="00B24CA3">
        <w:t>aware</w:t>
      </w:r>
      <w:proofErr w:type="spellEnd"/>
      <w:r w:rsidRPr="00B24CA3">
        <w:t xml:space="preserve"> of</w:t>
      </w:r>
      <w:r w:rsidRPr="00B24CA3">
        <w:rPr>
          <w:spacing w:val="-3"/>
        </w:rPr>
        <w:t xml:space="preserve"> </w:t>
      </w:r>
      <w:proofErr w:type="spellStart"/>
      <w:r w:rsidRPr="00B24CA3">
        <w:t>foreigners</w:t>
      </w:r>
      <w:proofErr w:type="spellEnd"/>
      <w:r w:rsidRPr="00B24CA3">
        <w:rPr>
          <w:spacing w:val="-2"/>
        </w:rPr>
        <w:t xml:space="preserve"> </w:t>
      </w:r>
      <w:r w:rsidRPr="00B24CA3">
        <w:t xml:space="preserve">in </w:t>
      </w:r>
      <w:proofErr w:type="spellStart"/>
      <w:r w:rsidRPr="00B24CA3">
        <w:t>order</w:t>
      </w:r>
      <w:proofErr w:type="spellEnd"/>
      <w:r w:rsidRPr="00B24CA3">
        <w:rPr>
          <w:spacing w:val="-3"/>
        </w:rPr>
        <w:t xml:space="preserve"> </w:t>
      </w:r>
      <w:proofErr w:type="spellStart"/>
      <w:r w:rsidRPr="00B24CA3">
        <w:t>to</w:t>
      </w:r>
      <w:proofErr w:type="spellEnd"/>
      <w:r w:rsidRPr="00B24CA3">
        <w:rPr>
          <w:spacing w:val="-3"/>
        </w:rPr>
        <w:t xml:space="preserve"> </w:t>
      </w:r>
      <w:proofErr w:type="spellStart"/>
      <w:r w:rsidRPr="00B24CA3">
        <w:t>facilitate</w:t>
      </w:r>
      <w:proofErr w:type="spellEnd"/>
      <w:r w:rsidRPr="00B24CA3">
        <w:t xml:space="preserve"> </w:t>
      </w:r>
      <w:proofErr w:type="spellStart"/>
      <w:r w:rsidRPr="00B24CA3">
        <w:t>the</w:t>
      </w:r>
      <w:proofErr w:type="spellEnd"/>
      <w:r w:rsidRPr="00B24CA3">
        <w:t xml:space="preserve"> </w:t>
      </w:r>
      <w:proofErr w:type="spellStart"/>
      <w:r w:rsidRPr="00B24CA3">
        <w:t>adaptation</w:t>
      </w:r>
      <w:proofErr w:type="spellEnd"/>
      <w:r w:rsidRPr="00B24CA3">
        <w:rPr>
          <w:spacing w:val="-3"/>
        </w:rPr>
        <w:t xml:space="preserve"> </w:t>
      </w:r>
      <w:proofErr w:type="spellStart"/>
      <w:r w:rsidRPr="00B24CA3">
        <w:t>process</w:t>
      </w:r>
      <w:proofErr w:type="spellEnd"/>
      <w:r w:rsidRPr="00B24CA3">
        <w:rPr>
          <w:spacing w:val="-2"/>
        </w:rPr>
        <w:t xml:space="preserve"> </w:t>
      </w:r>
      <w:r w:rsidRPr="00B24CA3">
        <w:t xml:space="preserve">of </w:t>
      </w:r>
      <w:proofErr w:type="spellStart"/>
      <w:r w:rsidRPr="00B24CA3">
        <w:t>international</w:t>
      </w:r>
      <w:proofErr w:type="spellEnd"/>
      <w:r w:rsidRPr="00B24CA3">
        <w:t xml:space="preserve"> </w:t>
      </w:r>
      <w:proofErr w:type="spellStart"/>
      <w:r w:rsidRPr="00B24CA3">
        <w:t>students</w:t>
      </w:r>
      <w:proofErr w:type="spellEnd"/>
      <w:r w:rsidRPr="00B24CA3">
        <w:t>.</w:t>
      </w:r>
    </w:p>
    <w:p w14:paraId="009A25F0" w14:textId="77777777" w:rsidR="004E3F6C" w:rsidRPr="00B24CA3" w:rsidRDefault="004E3F6C" w:rsidP="004E3F6C">
      <w:pPr>
        <w:pStyle w:val="GvdeMetni"/>
        <w:ind w:right="163"/>
        <w:jc w:val="both"/>
      </w:pPr>
    </w:p>
    <w:p w14:paraId="4EFEAEE2" w14:textId="6A76E88E" w:rsidR="00FF4BC0" w:rsidRPr="00B24CA3" w:rsidRDefault="00FF4BC0" w:rsidP="00BA67A6">
      <w:pPr>
        <w:pStyle w:val="GvdeMetni"/>
      </w:pPr>
      <w:proofErr w:type="spellStart"/>
      <w:r w:rsidRPr="00B24CA3">
        <w:rPr>
          <w:b/>
        </w:rPr>
        <w:t>Keywords</w:t>
      </w:r>
      <w:proofErr w:type="spellEnd"/>
      <w:r w:rsidRPr="00B24CA3">
        <w:rPr>
          <w:b/>
        </w:rPr>
        <w:t>:</w:t>
      </w:r>
      <w:r w:rsidR="004E3F6C">
        <w:rPr>
          <w:b/>
          <w:spacing w:val="74"/>
        </w:rPr>
        <w:t xml:space="preserve"> </w:t>
      </w:r>
      <w:r w:rsidRPr="00B24CA3">
        <w:t>International</w:t>
      </w:r>
      <w:r w:rsidRPr="00B24CA3">
        <w:rPr>
          <w:spacing w:val="74"/>
        </w:rPr>
        <w:t xml:space="preserve">   </w:t>
      </w:r>
      <w:proofErr w:type="spellStart"/>
      <w:proofErr w:type="gramStart"/>
      <w:r w:rsidRPr="00B24CA3">
        <w:t>students</w:t>
      </w:r>
      <w:proofErr w:type="spellEnd"/>
      <w:r w:rsidRPr="00B24CA3">
        <w:t>,</w:t>
      </w:r>
      <w:r w:rsidRPr="00B24CA3">
        <w:rPr>
          <w:spacing w:val="74"/>
        </w:rPr>
        <w:t xml:space="preserve">   </w:t>
      </w:r>
      <w:proofErr w:type="spellStart"/>
      <w:proofErr w:type="gramEnd"/>
      <w:r w:rsidRPr="00B24CA3">
        <w:t>Social</w:t>
      </w:r>
      <w:proofErr w:type="spellEnd"/>
      <w:r w:rsidRPr="00B24CA3">
        <w:rPr>
          <w:spacing w:val="75"/>
        </w:rPr>
        <w:t xml:space="preserve">   </w:t>
      </w:r>
      <w:r w:rsidRPr="00B24CA3">
        <w:t>Integration,</w:t>
      </w:r>
      <w:r w:rsidRPr="00B24CA3">
        <w:rPr>
          <w:spacing w:val="76"/>
        </w:rPr>
        <w:t xml:space="preserve">   </w:t>
      </w:r>
      <w:r w:rsidRPr="00B24CA3">
        <w:t>Language</w:t>
      </w:r>
      <w:r w:rsidRPr="00B24CA3">
        <w:rPr>
          <w:spacing w:val="75"/>
        </w:rPr>
        <w:t xml:space="preserve">   </w:t>
      </w:r>
      <w:proofErr w:type="spellStart"/>
      <w:r w:rsidRPr="00B24CA3">
        <w:rPr>
          <w:spacing w:val="-2"/>
        </w:rPr>
        <w:t>barriers</w:t>
      </w:r>
      <w:proofErr w:type="spellEnd"/>
    </w:p>
    <w:p w14:paraId="4509C091" w14:textId="77777777" w:rsidR="00FF4BC0" w:rsidRPr="00B24CA3" w:rsidRDefault="00FF4BC0" w:rsidP="00BA67A6">
      <w:pPr>
        <w:pStyle w:val="GvdeMetni"/>
      </w:pPr>
    </w:p>
    <w:p w14:paraId="222D50B2" w14:textId="77777777" w:rsidR="00FF4BC0" w:rsidRPr="00800DA9" w:rsidRDefault="00FF4BC0" w:rsidP="00BA67A6">
      <w:pPr>
        <w:rPr>
          <w:b/>
          <w:bCs/>
        </w:rPr>
      </w:pPr>
      <w:r w:rsidRPr="00800DA9">
        <w:rPr>
          <w:b/>
          <w:bCs/>
        </w:rPr>
        <w:t>GİRİŞ</w:t>
      </w:r>
    </w:p>
    <w:p w14:paraId="3F7D8439" w14:textId="77777777" w:rsidR="00FF4BC0" w:rsidRPr="00B24CA3" w:rsidRDefault="00FF4BC0" w:rsidP="00BA67A6">
      <w:pPr>
        <w:pStyle w:val="GvdeMetni"/>
        <w:ind w:right="158"/>
        <w:jc w:val="both"/>
      </w:pPr>
      <w:r w:rsidRPr="00B24CA3">
        <w:t>Günümüzün birbirine bağlı dünyasında, uluslar arasındaki sınırlar belirsizleşmiş ve küreselleşme olarak bilinen olgu ortaya çıkmasına neden olmuştur (</w:t>
      </w:r>
      <w:proofErr w:type="spellStart"/>
      <w:r w:rsidRPr="00B24CA3">
        <w:t>schneide</w:t>
      </w:r>
      <w:proofErr w:type="spellEnd"/>
      <w:r w:rsidRPr="00B24CA3">
        <w:t xml:space="preserve">, </w:t>
      </w:r>
      <w:r w:rsidRPr="00B24CA3">
        <w:rPr>
          <w:color w:val="202429"/>
        </w:rPr>
        <w:t>2024)</w:t>
      </w:r>
      <w:r w:rsidRPr="00B24CA3">
        <w:t>. Küreselleşme, dünya genelinde ekonomilerin, kültürlerin ve toplumların birbirine olan bağlılığını ifade etmektedir. Küreselleşmenin bir sonucu olarak, dünyada eğitim sistemlerinin giderek</w:t>
      </w:r>
      <w:r w:rsidRPr="00B24CA3">
        <w:rPr>
          <w:spacing w:val="-9"/>
        </w:rPr>
        <w:t xml:space="preserve"> </w:t>
      </w:r>
      <w:r w:rsidRPr="00B24CA3">
        <w:t>daha</w:t>
      </w:r>
      <w:r w:rsidRPr="00B24CA3">
        <w:rPr>
          <w:spacing w:val="-10"/>
        </w:rPr>
        <w:t xml:space="preserve"> </w:t>
      </w:r>
      <w:r w:rsidRPr="00B24CA3">
        <w:t>fazla</w:t>
      </w:r>
      <w:r w:rsidRPr="00B24CA3">
        <w:rPr>
          <w:spacing w:val="-10"/>
        </w:rPr>
        <w:t xml:space="preserve"> </w:t>
      </w:r>
      <w:r w:rsidRPr="00B24CA3">
        <w:t>birbirine</w:t>
      </w:r>
      <w:r w:rsidRPr="00B24CA3">
        <w:rPr>
          <w:spacing w:val="-8"/>
        </w:rPr>
        <w:t xml:space="preserve"> </w:t>
      </w:r>
      <w:r w:rsidRPr="00B24CA3">
        <w:t>bağımlı</w:t>
      </w:r>
      <w:r w:rsidRPr="00B24CA3">
        <w:rPr>
          <w:spacing w:val="-10"/>
        </w:rPr>
        <w:t xml:space="preserve"> </w:t>
      </w:r>
      <w:r w:rsidRPr="00B24CA3">
        <w:t>hale</w:t>
      </w:r>
      <w:r w:rsidRPr="00B24CA3">
        <w:rPr>
          <w:spacing w:val="-10"/>
        </w:rPr>
        <w:t xml:space="preserve"> </w:t>
      </w:r>
      <w:r w:rsidRPr="00B24CA3">
        <w:t>gelmesi,</w:t>
      </w:r>
      <w:r w:rsidRPr="00B24CA3">
        <w:rPr>
          <w:spacing w:val="-8"/>
        </w:rPr>
        <w:t xml:space="preserve"> </w:t>
      </w:r>
      <w:r w:rsidRPr="00B24CA3">
        <w:t>ekonomi,</w:t>
      </w:r>
      <w:r w:rsidRPr="00B24CA3">
        <w:rPr>
          <w:spacing w:val="-9"/>
        </w:rPr>
        <w:t xml:space="preserve"> </w:t>
      </w:r>
      <w:r w:rsidRPr="00B24CA3">
        <w:t>toplum</w:t>
      </w:r>
      <w:r w:rsidRPr="00B24CA3">
        <w:rPr>
          <w:spacing w:val="-10"/>
        </w:rPr>
        <w:t xml:space="preserve"> </w:t>
      </w:r>
      <w:r w:rsidRPr="00B24CA3">
        <w:t>ve</w:t>
      </w:r>
      <w:r w:rsidRPr="00B24CA3">
        <w:rPr>
          <w:spacing w:val="-10"/>
        </w:rPr>
        <w:t xml:space="preserve"> </w:t>
      </w:r>
      <w:r w:rsidRPr="00B24CA3">
        <w:t>eğitim</w:t>
      </w:r>
      <w:r w:rsidRPr="00B24CA3">
        <w:rPr>
          <w:spacing w:val="-9"/>
        </w:rPr>
        <w:t xml:space="preserve"> </w:t>
      </w:r>
      <w:r w:rsidRPr="00B24CA3">
        <w:t>uygulamalarında önemli değişimlere yol açmıştır. Bu eğilim, günümüzde kullanılmakta olan eğitim yöntemleri ve uluslararası öğrenci değişimleri gibi yeni öğrenme fırsatlarının ortaya çıkmasına neden olmuştur (Ahmet, 2024). Bu durum, eğitim alandaki fırsatların rekabet ortamında sürdürülebilmesi için yapılan değişikliklerin, dünyadaki yaygın eğitim sistemlerine uyum sağlamasını gerekli kılmaktadır (</w:t>
      </w:r>
      <w:proofErr w:type="spellStart"/>
      <w:r w:rsidRPr="00B24CA3">
        <w:t>Gu</w:t>
      </w:r>
      <w:proofErr w:type="spellEnd"/>
      <w:r w:rsidRPr="00B24CA3">
        <w:t>, 2021). Teknoloji, iletişim ve ulaşım alanındaki gelişmeler, coğrafi engellerin ortadan kalkması ve uluslararası alışverişin artmasıyla yönlendirilmektedir. Bu olay, eğitim de dahil olmak üzere hayatımızın birçok alanında derin etkileri yaratmıştır.</w:t>
      </w:r>
    </w:p>
    <w:p w14:paraId="5C4BF5AE" w14:textId="77777777" w:rsidR="00FF4BC0" w:rsidRDefault="00FF4BC0" w:rsidP="00BA67A6">
      <w:pPr>
        <w:pStyle w:val="GvdeMetni"/>
        <w:jc w:val="both"/>
      </w:pPr>
    </w:p>
    <w:p w14:paraId="4D464417" w14:textId="77777777" w:rsidR="004E3F6C" w:rsidRPr="00B24CA3" w:rsidRDefault="004E3F6C" w:rsidP="00BA67A6">
      <w:pPr>
        <w:pStyle w:val="GvdeMetni"/>
        <w:jc w:val="both"/>
        <w:sectPr w:rsidR="004E3F6C" w:rsidRPr="00B24CA3" w:rsidSect="007513A1">
          <w:type w:val="continuous"/>
          <w:pgSz w:w="11906" w:h="16838"/>
          <w:pgMar w:top="1418" w:right="1418" w:bottom="1418" w:left="1418" w:header="1304" w:footer="1361" w:gutter="0"/>
          <w:cols w:space="708"/>
        </w:sectPr>
      </w:pPr>
    </w:p>
    <w:p w14:paraId="1BAF07D7" w14:textId="77777777" w:rsidR="00FF4BC0" w:rsidRDefault="00FF4BC0" w:rsidP="00BA67A6">
      <w:pPr>
        <w:pStyle w:val="GvdeMetni"/>
        <w:ind w:right="159"/>
        <w:jc w:val="both"/>
      </w:pPr>
      <w:r w:rsidRPr="00B24CA3">
        <w:t>Eğitim</w:t>
      </w:r>
      <w:r w:rsidRPr="00B24CA3">
        <w:rPr>
          <w:spacing w:val="-14"/>
        </w:rPr>
        <w:t xml:space="preserve"> </w:t>
      </w:r>
      <w:r w:rsidRPr="00B24CA3">
        <w:t>veya</w:t>
      </w:r>
      <w:r w:rsidRPr="00B24CA3">
        <w:rPr>
          <w:spacing w:val="-8"/>
        </w:rPr>
        <w:t xml:space="preserve"> </w:t>
      </w:r>
      <w:r w:rsidRPr="00B24CA3">
        <w:t>farklı</w:t>
      </w:r>
      <w:r w:rsidRPr="00B24CA3">
        <w:rPr>
          <w:spacing w:val="-14"/>
        </w:rPr>
        <w:t xml:space="preserve"> </w:t>
      </w:r>
      <w:r w:rsidRPr="00B24CA3">
        <w:t>amaçlarla</w:t>
      </w:r>
      <w:r w:rsidRPr="00B24CA3">
        <w:rPr>
          <w:spacing w:val="-9"/>
        </w:rPr>
        <w:t xml:space="preserve"> </w:t>
      </w:r>
      <w:r w:rsidRPr="00B24CA3">
        <w:t>insanların</w:t>
      </w:r>
      <w:r w:rsidRPr="00B24CA3">
        <w:rPr>
          <w:spacing w:val="-10"/>
        </w:rPr>
        <w:t xml:space="preserve"> </w:t>
      </w:r>
      <w:r w:rsidRPr="00B24CA3">
        <w:t>bir</w:t>
      </w:r>
      <w:r w:rsidRPr="00B24CA3">
        <w:rPr>
          <w:spacing w:val="-8"/>
        </w:rPr>
        <w:t xml:space="preserve"> </w:t>
      </w:r>
      <w:r w:rsidRPr="00B24CA3">
        <w:t>yerden</w:t>
      </w:r>
      <w:r w:rsidRPr="00B24CA3">
        <w:rPr>
          <w:spacing w:val="-13"/>
        </w:rPr>
        <w:t xml:space="preserve"> </w:t>
      </w:r>
      <w:r w:rsidRPr="00B24CA3">
        <w:t>başka</w:t>
      </w:r>
      <w:r w:rsidRPr="00B24CA3">
        <w:rPr>
          <w:spacing w:val="-14"/>
        </w:rPr>
        <w:t xml:space="preserve"> </w:t>
      </w:r>
      <w:r w:rsidRPr="00B24CA3">
        <w:t>yere</w:t>
      </w:r>
      <w:r w:rsidRPr="00B24CA3">
        <w:rPr>
          <w:spacing w:val="-12"/>
        </w:rPr>
        <w:t xml:space="preserve"> </w:t>
      </w:r>
      <w:r w:rsidRPr="00B24CA3">
        <w:t>göç</w:t>
      </w:r>
      <w:r w:rsidRPr="00B24CA3">
        <w:rPr>
          <w:spacing w:val="-14"/>
        </w:rPr>
        <w:t xml:space="preserve"> </w:t>
      </w:r>
      <w:r w:rsidRPr="00B24CA3">
        <w:t>etmesi,</w:t>
      </w:r>
      <w:r w:rsidRPr="00B24CA3">
        <w:rPr>
          <w:spacing w:val="-12"/>
        </w:rPr>
        <w:t xml:space="preserve"> </w:t>
      </w:r>
      <w:r w:rsidRPr="00B24CA3">
        <w:t>öğrenme</w:t>
      </w:r>
      <w:r w:rsidRPr="00B24CA3">
        <w:rPr>
          <w:spacing w:val="-9"/>
        </w:rPr>
        <w:t xml:space="preserve"> </w:t>
      </w:r>
      <w:r w:rsidRPr="00B24CA3">
        <w:t>süreci</w:t>
      </w:r>
      <w:r w:rsidRPr="00B24CA3">
        <w:rPr>
          <w:spacing w:val="-14"/>
        </w:rPr>
        <w:t xml:space="preserve"> </w:t>
      </w:r>
      <w:r w:rsidRPr="00B24CA3">
        <w:t>kadar eski ve köklü bir geçmişe sahiptir (Kesten, Kıroğlu ve Elma, 2010). Günümüzde insanların daha kaliteli eğitimi almak amacıyla yurtdışına çıkma isteği giderek artmaktadır. Ekonomik Kalkınma</w:t>
      </w:r>
      <w:r w:rsidRPr="00B24CA3">
        <w:rPr>
          <w:spacing w:val="-9"/>
        </w:rPr>
        <w:t xml:space="preserve"> </w:t>
      </w:r>
      <w:r w:rsidRPr="00B24CA3">
        <w:t>ve</w:t>
      </w:r>
      <w:r w:rsidRPr="00B24CA3">
        <w:rPr>
          <w:spacing w:val="-10"/>
        </w:rPr>
        <w:t xml:space="preserve"> </w:t>
      </w:r>
      <w:r w:rsidRPr="00B24CA3">
        <w:t>İş</w:t>
      </w:r>
      <w:r w:rsidRPr="00B24CA3">
        <w:rPr>
          <w:spacing w:val="-7"/>
        </w:rPr>
        <w:t xml:space="preserve"> </w:t>
      </w:r>
      <w:r w:rsidRPr="00B24CA3">
        <w:t>birliği</w:t>
      </w:r>
      <w:r w:rsidRPr="00B24CA3">
        <w:rPr>
          <w:spacing w:val="-9"/>
        </w:rPr>
        <w:t xml:space="preserve"> </w:t>
      </w:r>
      <w:r w:rsidRPr="00B24CA3">
        <w:t>Örgütü'nün</w:t>
      </w:r>
      <w:r w:rsidRPr="00B24CA3">
        <w:rPr>
          <w:spacing w:val="-9"/>
        </w:rPr>
        <w:t xml:space="preserve"> </w:t>
      </w:r>
      <w:r w:rsidRPr="00B24CA3">
        <w:t>(OECD,</w:t>
      </w:r>
      <w:r w:rsidRPr="00B24CA3">
        <w:rPr>
          <w:spacing w:val="-9"/>
        </w:rPr>
        <w:t xml:space="preserve"> </w:t>
      </w:r>
      <w:r w:rsidRPr="00B24CA3">
        <w:t>2013)</w:t>
      </w:r>
      <w:r w:rsidRPr="00B24CA3">
        <w:rPr>
          <w:spacing w:val="-8"/>
        </w:rPr>
        <w:t xml:space="preserve"> </w:t>
      </w:r>
      <w:r w:rsidRPr="00B24CA3">
        <w:t>bir</w:t>
      </w:r>
      <w:r w:rsidRPr="00B24CA3">
        <w:rPr>
          <w:spacing w:val="-9"/>
        </w:rPr>
        <w:t xml:space="preserve"> </w:t>
      </w:r>
      <w:r w:rsidRPr="00B24CA3">
        <w:t>araştırmasına</w:t>
      </w:r>
      <w:r w:rsidRPr="00B24CA3">
        <w:rPr>
          <w:spacing w:val="-10"/>
        </w:rPr>
        <w:t xml:space="preserve"> </w:t>
      </w:r>
      <w:r w:rsidRPr="00B24CA3">
        <w:t>göre,</w:t>
      </w:r>
      <w:r w:rsidRPr="00B24CA3">
        <w:rPr>
          <w:spacing w:val="-9"/>
        </w:rPr>
        <w:t xml:space="preserve"> </w:t>
      </w:r>
      <w:r w:rsidRPr="00B24CA3">
        <w:t>vatandaşı</w:t>
      </w:r>
      <w:r w:rsidRPr="00B24CA3">
        <w:rPr>
          <w:spacing w:val="-10"/>
        </w:rPr>
        <w:t xml:space="preserve"> </w:t>
      </w:r>
      <w:r w:rsidRPr="00B24CA3">
        <w:t>olunan</w:t>
      </w:r>
      <w:r w:rsidRPr="00B24CA3">
        <w:rPr>
          <w:spacing w:val="-9"/>
        </w:rPr>
        <w:t xml:space="preserve"> </w:t>
      </w:r>
      <w:r w:rsidRPr="00B24CA3">
        <w:t>ülke dışındaki üçüncül eğitime kayıtların 1990'da 1,3 milyon iken, 2011'de yaklaşık 4,3 milyona ulaşmış ve bu artış yaklaşık %6'lık ortalama yıllık büyüme oranını temsil ettiğini ve 2013 itibarıyla bu sayı 4,5 milyona çıktığını göstermektedir. Bu oranı oluşturan öğrencilerin çoğu Çin, Hindistan ve Kore’den gelmektedir. Dünya çapında yurtdışında eğitim gören Asyalı öğrencilerin oranı %53 oranı tekabül gelmektedir. UNESCO (2025) verilere göre dünya genelinde</w:t>
      </w:r>
      <w:r w:rsidRPr="00B24CA3">
        <w:rPr>
          <w:spacing w:val="-15"/>
        </w:rPr>
        <w:t xml:space="preserve"> </w:t>
      </w:r>
      <w:r w:rsidRPr="00B24CA3">
        <w:t>254</w:t>
      </w:r>
      <w:r w:rsidRPr="00B24CA3">
        <w:rPr>
          <w:spacing w:val="-15"/>
        </w:rPr>
        <w:t xml:space="preserve"> </w:t>
      </w:r>
      <w:r w:rsidRPr="00B24CA3">
        <w:t>milyon</w:t>
      </w:r>
      <w:r w:rsidRPr="00B24CA3">
        <w:rPr>
          <w:spacing w:val="-15"/>
        </w:rPr>
        <w:t xml:space="preserve"> </w:t>
      </w:r>
      <w:r w:rsidRPr="00B24CA3">
        <w:t>uluslararası</w:t>
      </w:r>
      <w:r w:rsidRPr="00B24CA3">
        <w:rPr>
          <w:spacing w:val="-15"/>
        </w:rPr>
        <w:t xml:space="preserve"> </w:t>
      </w:r>
      <w:r w:rsidRPr="00B24CA3">
        <w:t>öğrencilerin</w:t>
      </w:r>
      <w:r w:rsidRPr="00B24CA3">
        <w:rPr>
          <w:spacing w:val="-15"/>
        </w:rPr>
        <w:t xml:space="preserve"> </w:t>
      </w:r>
      <w:r w:rsidRPr="00B24CA3">
        <w:t>bulunduğu,</w:t>
      </w:r>
      <w:r w:rsidRPr="00B24CA3">
        <w:rPr>
          <w:spacing w:val="-15"/>
        </w:rPr>
        <w:t xml:space="preserve"> </w:t>
      </w:r>
      <w:r w:rsidRPr="00B24CA3">
        <w:t>bunlardan</w:t>
      </w:r>
      <w:r w:rsidRPr="00B24CA3">
        <w:rPr>
          <w:spacing w:val="-15"/>
        </w:rPr>
        <w:t xml:space="preserve"> </w:t>
      </w:r>
      <w:r w:rsidRPr="00B24CA3">
        <w:t>6,4</w:t>
      </w:r>
      <w:r w:rsidRPr="00B24CA3">
        <w:rPr>
          <w:spacing w:val="-15"/>
        </w:rPr>
        <w:t xml:space="preserve"> </w:t>
      </w:r>
      <w:r w:rsidRPr="00B24CA3">
        <w:t>milyonu</w:t>
      </w:r>
      <w:r w:rsidRPr="00B24CA3">
        <w:rPr>
          <w:spacing w:val="-14"/>
        </w:rPr>
        <w:t xml:space="preserve"> </w:t>
      </w:r>
      <w:r w:rsidRPr="00B24CA3">
        <w:t>eğim</w:t>
      </w:r>
      <w:r w:rsidRPr="00B24CA3">
        <w:rPr>
          <w:spacing w:val="-15"/>
        </w:rPr>
        <w:t xml:space="preserve"> </w:t>
      </w:r>
      <w:r w:rsidRPr="00B24CA3">
        <w:t>amaçla yurtdışına göç eden öğrencilerin bulunduğu açıklamıştır.</w:t>
      </w:r>
    </w:p>
    <w:p w14:paraId="14D5AC8A" w14:textId="77777777" w:rsidR="004E3F6C" w:rsidRPr="00B24CA3" w:rsidRDefault="004E3F6C" w:rsidP="00BA67A6">
      <w:pPr>
        <w:pStyle w:val="GvdeMetni"/>
        <w:ind w:right="159"/>
        <w:jc w:val="both"/>
      </w:pPr>
    </w:p>
    <w:p w14:paraId="24CC82A6" w14:textId="77777777" w:rsidR="00FF4BC0" w:rsidRDefault="00FF4BC0" w:rsidP="00BA67A6">
      <w:pPr>
        <w:pStyle w:val="GvdeMetni"/>
        <w:ind w:right="156"/>
        <w:jc w:val="both"/>
      </w:pPr>
      <w:r w:rsidRPr="00B24CA3">
        <w:t>Uluslararası öğrenci farklı kaynaklarda yabancı öğrenci, yabancı uyruklu öğrenci, misafir öğrenci veya uluslararası öğrenci gibi çeşitli terimlerle ifade edilmektedir (Bulut, Yücetürk, Yılmaz,</w:t>
      </w:r>
      <w:r w:rsidRPr="00B24CA3">
        <w:rPr>
          <w:spacing w:val="-4"/>
        </w:rPr>
        <w:t xml:space="preserve"> </w:t>
      </w:r>
      <w:r w:rsidRPr="00B24CA3">
        <w:t>Gündoğdu,</w:t>
      </w:r>
      <w:r w:rsidRPr="00B24CA3">
        <w:rPr>
          <w:spacing w:val="-5"/>
        </w:rPr>
        <w:t xml:space="preserve"> </w:t>
      </w:r>
      <w:r w:rsidRPr="00B24CA3">
        <w:t>Koç</w:t>
      </w:r>
      <w:r w:rsidRPr="00B24CA3">
        <w:rPr>
          <w:spacing w:val="-7"/>
        </w:rPr>
        <w:t xml:space="preserve"> </w:t>
      </w:r>
      <w:r w:rsidRPr="00B24CA3">
        <w:t>ve</w:t>
      </w:r>
      <w:r w:rsidRPr="00B24CA3">
        <w:rPr>
          <w:spacing w:val="-7"/>
        </w:rPr>
        <w:t xml:space="preserve"> </w:t>
      </w:r>
      <w:proofErr w:type="spellStart"/>
      <w:r w:rsidRPr="00B24CA3">
        <w:t>Demiryürek</w:t>
      </w:r>
      <w:proofErr w:type="spellEnd"/>
      <w:r w:rsidRPr="00B24CA3">
        <w:t>,</w:t>
      </w:r>
      <w:r w:rsidRPr="00B24CA3">
        <w:rPr>
          <w:spacing w:val="-4"/>
        </w:rPr>
        <w:t xml:space="preserve"> </w:t>
      </w:r>
      <w:r w:rsidRPr="00B24CA3">
        <w:t>2020).</w:t>
      </w:r>
      <w:r w:rsidRPr="00B24CA3">
        <w:rPr>
          <w:spacing w:val="-5"/>
        </w:rPr>
        <w:t xml:space="preserve"> </w:t>
      </w:r>
      <w:r w:rsidRPr="00B24CA3">
        <w:t>Türkiye'deki</w:t>
      </w:r>
      <w:r w:rsidRPr="00B24CA3">
        <w:rPr>
          <w:spacing w:val="-7"/>
        </w:rPr>
        <w:t xml:space="preserve"> </w:t>
      </w:r>
      <w:r w:rsidRPr="00B24CA3">
        <w:t>uluslararası</w:t>
      </w:r>
      <w:r w:rsidRPr="00B24CA3">
        <w:rPr>
          <w:spacing w:val="-7"/>
        </w:rPr>
        <w:t xml:space="preserve"> </w:t>
      </w:r>
      <w:r w:rsidRPr="00B24CA3">
        <w:t>öğrenci</w:t>
      </w:r>
      <w:r w:rsidRPr="00B24CA3">
        <w:rPr>
          <w:spacing w:val="-7"/>
        </w:rPr>
        <w:t xml:space="preserve"> </w:t>
      </w:r>
      <w:r w:rsidRPr="00B24CA3">
        <w:t>hareketliliği 1991'lardan önemli artış göstermekte olup, bu durum eğitim alandaki uluslararasılaşmayı ve kaliteli</w:t>
      </w:r>
      <w:r w:rsidRPr="00B24CA3">
        <w:rPr>
          <w:spacing w:val="-15"/>
        </w:rPr>
        <w:t xml:space="preserve"> </w:t>
      </w:r>
      <w:r w:rsidRPr="00B24CA3">
        <w:t>eğitimi</w:t>
      </w:r>
      <w:r w:rsidRPr="00B24CA3">
        <w:rPr>
          <w:spacing w:val="-15"/>
        </w:rPr>
        <w:t xml:space="preserve"> </w:t>
      </w:r>
      <w:r w:rsidRPr="00B24CA3">
        <w:t>artırmayı</w:t>
      </w:r>
      <w:r w:rsidRPr="00B24CA3">
        <w:rPr>
          <w:spacing w:val="-15"/>
        </w:rPr>
        <w:t xml:space="preserve"> </w:t>
      </w:r>
      <w:r w:rsidRPr="00B24CA3">
        <w:t>amaçlamaktadır.</w:t>
      </w:r>
      <w:r w:rsidRPr="00B24CA3">
        <w:rPr>
          <w:spacing w:val="-15"/>
        </w:rPr>
        <w:t xml:space="preserve"> </w:t>
      </w:r>
      <w:r w:rsidRPr="00B24CA3">
        <w:t>Sovyetler</w:t>
      </w:r>
      <w:r w:rsidRPr="00B24CA3">
        <w:rPr>
          <w:spacing w:val="-15"/>
        </w:rPr>
        <w:t xml:space="preserve"> </w:t>
      </w:r>
      <w:r w:rsidRPr="00B24CA3">
        <w:t>Birliği'nin</w:t>
      </w:r>
      <w:r w:rsidRPr="00B24CA3">
        <w:rPr>
          <w:spacing w:val="-15"/>
        </w:rPr>
        <w:t xml:space="preserve"> </w:t>
      </w:r>
      <w:r w:rsidRPr="00B24CA3">
        <w:t>dağılmasından</w:t>
      </w:r>
      <w:r w:rsidRPr="00B24CA3">
        <w:rPr>
          <w:spacing w:val="-15"/>
        </w:rPr>
        <w:t xml:space="preserve"> </w:t>
      </w:r>
      <w:r w:rsidRPr="00B24CA3">
        <w:t>sonra,</w:t>
      </w:r>
      <w:r w:rsidRPr="00B24CA3">
        <w:rPr>
          <w:spacing w:val="-15"/>
        </w:rPr>
        <w:t xml:space="preserve"> </w:t>
      </w:r>
      <w:r w:rsidRPr="00B24CA3">
        <w:t>Orta</w:t>
      </w:r>
      <w:r w:rsidRPr="00B24CA3">
        <w:rPr>
          <w:spacing w:val="-15"/>
        </w:rPr>
        <w:t xml:space="preserve"> </w:t>
      </w:r>
      <w:r w:rsidRPr="00B24CA3">
        <w:t>Asya ve Kafkas ülkelerinden gelen öğrencilerin bağımsızlıklarını kazanmalarıyla Türkiye Cumhuriyeti ve farklı ülkelerin sınırları içerisinde yaşayan Türk halkları arasında eskiye dayanan kardeşlik ve dayanışma alanında birtakım stratejiler yürütülmüştür (</w:t>
      </w:r>
      <w:proofErr w:type="spellStart"/>
      <w:r w:rsidRPr="00B24CA3">
        <w:t>Bazarbayeva</w:t>
      </w:r>
      <w:proofErr w:type="spellEnd"/>
      <w:r w:rsidRPr="00B24CA3">
        <w:t xml:space="preserve">, 2018). Bu projeler kapsamında farklı coğrafyada yaşayan Türk halkların kültürel, eğitim gibi bağlarını güçlendirmektir. Bu alanda yapılan dış platika stratejilerden biri ise öğrencilerin </w:t>
      </w:r>
      <w:r w:rsidRPr="00B24CA3">
        <w:lastRenderedPageBreak/>
        <w:t>değişi öne çıkmaktadır. Özellikle "Büyük Öğrenci Projesi" devlet destekli bir programı kapsamında, Türkiye'deki uluslararası öğrenci politikalarının temelini oluşturmuştur. Bu program, Türkiye Cumhurbaşkanlığı himayesinde, uluslararası öğrencilerin Türk üniversitelerine</w:t>
      </w:r>
      <w:r w:rsidRPr="00B24CA3">
        <w:rPr>
          <w:spacing w:val="-5"/>
        </w:rPr>
        <w:t xml:space="preserve"> </w:t>
      </w:r>
      <w:r w:rsidRPr="00B24CA3">
        <w:t>kabulünü kolaylaştırmak için</w:t>
      </w:r>
      <w:r w:rsidRPr="00B24CA3">
        <w:rPr>
          <w:spacing w:val="-3"/>
        </w:rPr>
        <w:t xml:space="preserve"> </w:t>
      </w:r>
      <w:r w:rsidRPr="00B24CA3">
        <w:t>1992'de başlamıştır</w:t>
      </w:r>
      <w:r w:rsidRPr="00B24CA3">
        <w:rPr>
          <w:spacing w:val="-3"/>
        </w:rPr>
        <w:t xml:space="preserve"> </w:t>
      </w:r>
      <w:r w:rsidRPr="00B24CA3">
        <w:t>(Akgün</w:t>
      </w:r>
      <w:r w:rsidRPr="00B24CA3">
        <w:rPr>
          <w:spacing w:val="-3"/>
        </w:rPr>
        <w:t xml:space="preserve"> </w:t>
      </w:r>
      <w:r w:rsidRPr="00B24CA3">
        <w:t>ve</w:t>
      </w:r>
      <w:r w:rsidRPr="00B24CA3">
        <w:rPr>
          <w:spacing w:val="-5"/>
        </w:rPr>
        <w:t xml:space="preserve"> </w:t>
      </w:r>
      <w:r w:rsidRPr="00B24CA3">
        <w:t>Çelik,</w:t>
      </w:r>
      <w:r w:rsidRPr="00B24CA3">
        <w:rPr>
          <w:spacing w:val="-2"/>
        </w:rPr>
        <w:t xml:space="preserve"> </w:t>
      </w:r>
      <w:r w:rsidRPr="00B24CA3">
        <w:t>2023).</w:t>
      </w:r>
      <w:r w:rsidRPr="00B24CA3">
        <w:rPr>
          <w:spacing w:val="-3"/>
        </w:rPr>
        <w:t xml:space="preserve"> </w:t>
      </w:r>
      <w:r w:rsidRPr="00B24CA3">
        <w:t>Bu stratejilerin</w:t>
      </w:r>
      <w:r w:rsidRPr="00B24CA3">
        <w:rPr>
          <w:spacing w:val="-15"/>
        </w:rPr>
        <w:t xml:space="preserve"> </w:t>
      </w:r>
      <w:r w:rsidRPr="00B24CA3">
        <w:t>sonucu</w:t>
      </w:r>
      <w:r w:rsidRPr="00B24CA3">
        <w:rPr>
          <w:spacing w:val="-14"/>
        </w:rPr>
        <w:t xml:space="preserve"> </w:t>
      </w:r>
      <w:r w:rsidRPr="00B24CA3">
        <w:t>olarak,</w:t>
      </w:r>
      <w:r w:rsidRPr="00B24CA3">
        <w:rPr>
          <w:spacing w:val="-15"/>
        </w:rPr>
        <w:t xml:space="preserve"> </w:t>
      </w:r>
      <w:r w:rsidRPr="00B24CA3">
        <w:t>Türkiye’de</w:t>
      </w:r>
      <w:r w:rsidRPr="00B24CA3">
        <w:rPr>
          <w:spacing w:val="-15"/>
        </w:rPr>
        <w:t xml:space="preserve"> </w:t>
      </w:r>
      <w:r w:rsidRPr="00B24CA3">
        <w:t>uluslararası</w:t>
      </w:r>
      <w:r w:rsidRPr="00B24CA3">
        <w:rPr>
          <w:spacing w:val="-15"/>
        </w:rPr>
        <w:t xml:space="preserve"> </w:t>
      </w:r>
      <w:r w:rsidRPr="00B24CA3">
        <w:t>öğrenci</w:t>
      </w:r>
      <w:r w:rsidRPr="00B24CA3">
        <w:rPr>
          <w:spacing w:val="-15"/>
        </w:rPr>
        <w:t xml:space="preserve"> </w:t>
      </w:r>
      <w:r w:rsidRPr="00B24CA3">
        <w:t>hareketliliğin</w:t>
      </w:r>
      <w:r w:rsidRPr="00B24CA3">
        <w:rPr>
          <w:spacing w:val="-14"/>
        </w:rPr>
        <w:t xml:space="preserve"> </w:t>
      </w:r>
      <w:r w:rsidRPr="00B24CA3">
        <w:t>artmasında</w:t>
      </w:r>
      <w:r w:rsidRPr="00B24CA3">
        <w:rPr>
          <w:spacing w:val="-15"/>
        </w:rPr>
        <w:t xml:space="preserve"> </w:t>
      </w:r>
      <w:r w:rsidRPr="00B24CA3">
        <w:t>önemli</w:t>
      </w:r>
      <w:r w:rsidRPr="00B24CA3">
        <w:rPr>
          <w:spacing w:val="-15"/>
        </w:rPr>
        <w:t xml:space="preserve"> </w:t>
      </w:r>
      <w:r w:rsidRPr="00B24CA3">
        <w:t>bir rol oynamıştır.</w:t>
      </w:r>
    </w:p>
    <w:p w14:paraId="05BE76B0" w14:textId="77777777" w:rsidR="004E3F6C" w:rsidRPr="00B24CA3" w:rsidRDefault="004E3F6C" w:rsidP="00BA67A6">
      <w:pPr>
        <w:pStyle w:val="GvdeMetni"/>
        <w:ind w:right="156"/>
        <w:jc w:val="both"/>
      </w:pPr>
    </w:p>
    <w:p w14:paraId="54BCCEFA" w14:textId="77777777" w:rsidR="00FF4BC0" w:rsidRDefault="00FF4BC0" w:rsidP="00BA67A6">
      <w:pPr>
        <w:pStyle w:val="GvdeMetni"/>
        <w:ind w:right="158"/>
        <w:jc w:val="both"/>
      </w:pPr>
      <w:r w:rsidRPr="00B24CA3">
        <w:t>Hemen hemen her üniversitelerde uluslararası öğrenciler için ön lisans ve lisans düzeyde açık ve</w:t>
      </w:r>
      <w:r w:rsidRPr="00B24CA3">
        <w:rPr>
          <w:spacing w:val="-6"/>
        </w:rPr>
        <w:t xml:space="preserve"> </w:t>
      </w:r>
      <w:r w:rsidRPr="00B24CA3">
        <w:t>uzaktan</w:t>
      </w:r>
      <w:r w:rsidRPr="00B24CA3">
        <w:rPr>
          <w:spacing w:val="-4"/>
        </w:rPr>
        <w:t xml:space="preserve"> </w:t>
      </w:r>
      <w:r w:rsidRPr="00B24CA3">
        <w:t>eğitim</w:t>
      </w:r>
      <w:r w:rsidRPr="00B24CA3">
        <w:rPr>
          <w:spacing w:val="-6"/>
        </w:rPr>
        <w:t xml:space="preserve"> </w:t>
      </w:r>
      <w:r w:rsidRPr="00B24CA3">
        <w:t>programlarına</w:t>
      </w:r>
      <w:r w:rsidRPr="00B24CA3">
        <w:rPr>
          <w:spacing w:val="-6"/>
        </w:rPr>
        <w:t xml:space="preserve"> </w:t>
      </w:r>
      <w:r w:rsidRPr="00B24CA3">
        <w:t>kontenjan</w:t>
      </w:r>
      <w:r w:rsidRPr="00B24CA3">
        <w:rPr>
          <w:spacing w:val="-3"/>
        </w:rPr>
        <w:t xml:space="preserve"> </w:t>
      </w:r>
      <w:r w:rsidRPr="00B24CA3">
        <w:t>ayrılmıştır</w:t>
      </w:r>
      <w:r w:rsidRPr="00B24CA3">
        <w:rPr>
          <w:spacing w:val="-4"/>
        </w:rPr>
        <w:t xml:space="preserve"> </w:t>
      </w:r>
      <w:r w:rsidRPr="00B24CA3">
        <w:t>(</w:t>
      </w:r>
      <w:proofErr w:type="spellStart"/>
      <w:r w:rsidRPr="00B24CA3">
        <w:t>Radmard</w:t>
      </w:r>
      <w:proofErr w:type="spellEnd"/>
      <w:r w:rsidRPr="00B24CA3">
        <w:t>,</w:t>
      </w:r>
      <w:r w:rsidRPr="00B24CA3">
        <w:rPr>
          <w:spacing w:val="-4"/>
        </w:rPr>
        <w:t xml:space="preserve"> </w:t>
      </w:r>
      <w:r w:rsidRPr="00B24CA3">
        <w:t>2017).</w:t>
      </w:r>
      <w:r w:rsidRPr="00B24CA3">
        <w:rPr>
          <w:spacing w:val="-4"/>
        </w:rPr>
        <w:t xml:space="preserve"> </w:t>
      </w:r>
      <w:r w:rsidRPr="00B24CA3">
        <w:t>2015</w:t>
      </w:r>
      <w:r w:rsidRPr="00B24CA3">
        <w:rPr>
          <w:spacing w:val="-4"/>
        </w:rPr>
        <w:t xml:space="preserve"> </w:t>
      </w:r>
      <w:r w:rsidRPr="00B24CA3">
        <w:t>yılında</w:t>
      </w:r>
      <w:r w:rsidRPr="00B24CA3">
        <w:rPr>
          <w:spacing w:val="-6"/>
        </w:rPr>
        <w:t xml:space="preserve"> </w:t>
      </w:r>
      <w:r w:rsidRPr="00B24CA3">
        <w:t>Türkiye Cumhuriyeti kalkınma Bakanlığının, uluslararası öğrenciler için Türkiye'yi ve Türk üniversitelerinin cazibe hale getirilmesi konusunda yaptığı araştırma projesine göre, 1970’li yıllarında 800 bin civarı olan uluslararası öğrencilerin sayısı, 2012 yılında 5,6 katına çıkmış olup,</w:t>
      </w:r>
      <w:r w:rsidRPr="00B24CA3">
        <w:rPr>
          <w:spacing w:val="-5"/>
        </w:rPr>
        <w:t xml:space="preserve"> </w:t>
      </w:r>
      <w:r w:rsidRPr="00B24CA3">
        <w:t>bu</w:t>
      </w:r>
      <w:r w:rsidRPr="00B24CA3">
        <w:rPr>
          <w:spacing w:val="-5"/>
        </w:rPr>
        <w:t xml:space="preserve"> </w:t>
      </w:r>
      <w:r w:rsidRPr="00B24CA3">
        <w:t>sayının</w:t>
      </w:r>
      <w:r w:rsidRPr="00B24CA3">
        <w:rPr>
          <w:spacing w:val="-5"/>
        </w:rPr>
        <w:t xml:space="preserve"> </w:t>
      </w:r>
      <w:r w:rsidRPr="00B24CA3">
        <w:t>2020</w:t>
      </w:r>
      <w:r w:rsidRPr="00B24CA3">
        <w:rPr>
          <w:spacing w:val="-5"/>
        </w:rPr>
        <w:t xml:space="preserve"> </w:t>
      </w:r>
      <w:r w:rsidRPr="00B24CA3">
        <w:t>yılı</w:t>
      </w:r>
      <w:r w:rsidRPr="00B24CA3">
        <w:rPr>
          <w:spacing w:val="-5"/>
        </w:rPr>
        <w:t xml:space="preserve"> </w:t>
      </w:r>
      <w:r w:rsidRPr="00B24CA3">
        <w:t>itibariyle</w:t>
      </w:r>
      <w:r w:rsidRPr="00B24CA3">
        <w:rPr>
          <w:spacing w:val="-5"/>
        </w:rPr>
        <w:t xml:space="preserve"> </w:t>
      </w:r>
      <w:r w:rsidRPr="00B24CA3">
        <w:t>8</w:t>
      </w:r>
      <w:r w:rsidRPr="00B24CA3">
        <w:rPr>
          <w:spacing w:val="-5"/>
        </w:rPr>
        <w:t xml:space="preserve"> </w:t>
      </w:r>
      <w:r w:rsidRPr="00B24CA3">
        <w:t>milyona</w:t>
      </w:r>
      <w:r w:rsidRPr="00B24CA3">
        <w:rPr>
          <w:spacing w:val="-6"/>
        </w:rPr>
        <w:t xml:space="preserve"> </w:t>
      </w:r>
      <w:r w:rsidRPr="00B24CA3">
        <w:t>ulaşması</w:t>
      </w:r>
      <w:r w:rsidRPr="00B24CA3">
        <w:rPr>
          <w:spacing w:val="-6"/>
        </w:rPr>
        <w:t xml:space="preserve"> </w:t>
      </w:r>
      <w:r w:rsidRPr="00B24CA3">
        <w:t>beklenirken,</w:t>
      </w:r>
      <w:r w:rsidRPr="00B24CA3">
        <w:rPr>
          <w:spacing w:val="-5"/>
        </w:rPr>
        <w:t xml:space="preserve"> </w:t>
      </w:r>
      <w:r w:rsidRPr="00B24CA3">
        <w:t>bu</w:t>
      </w:r>
      <w:r w:rsidRPr="00B24CA3">
        <w:rPr>
          <w:spacing w:val="-5"/>
        </w:rPr>
        <w:t xml:space="preserve"> </w:t>
      </w:r>
      <w:r w:rsidRPr="00B24CA3">
        <w:t>sayı</w:t>
      </w:r>
      <w:r w:rsidRPr="00B24CA3">
        <w:rPr>
          <w:spacing w:val="-6"/>
        </w:rPr>
        <w:t xml:space="preserve"> </w:t>
      </w:r>
      <w:r w:rsidRPr="00B24CA3">
        <w:t>Türkiye’de</w:t>
      </w:r>
      <w:r w:rsidRPr="00B24CA3">
        <w:rPr>
          <w:spacing w:val="-6"/>
        </w:rPr>
        <w:t xml:space="preserve"> </w:t>
      </w:r>
      <w:r w:rsidRPr="00B24CA3">
        <w:t>2013- 2014 eğitim öğretim yılında 48 bin aştığını belirtilmiştir (</w:t>
      </w:r>
      <w:proofErr w:type="spellStart"/>
      <w:r w:rsidRPr="00B24CA3">
        <w:t>Bazarbayeva</w:t>
      </w:r>
      <w:proofErr w:type="spellEnd"/>
      <w:r w:rsidRPr="00B24CA3">
        <w:t>, 2018). İlerleyen yıllarda Türkiye’nin en çok uluslararası öğrenci ayarlayan ilk 10 ülke sırada yer alması beklenmektedir.</w:t>
      </w:r>
      <w:r w:rsidRPr="00B24CA3">
        <w:rPr>
          <w:spacing w:val="-15"/>
        </w:rPr>
        <w:t xml:space="preserve"> </w:t>
      </w:r>
      <w:r w:rsidRPr="00B24CA3">
        <w:t>2000</w:t>
      </w:r>
      <w:r w:rsidRPr="00B24CA3">
        <w:rPr>
          <w:spacing w:val="-15"/>
        </w:rPr>
        <w:t xml:space="preserve"> </w:t>
      </w:r>
      <w:r w:rsidRPr="00B24CA3">
        <w:t>yılında</w:t>
      </w:r>
      <w:r w:rsidRPr="00B24CA3">
        <w:rPr>
          <w:spacing w:val="-15"/>
        </w:rPr>
        <w:t xml:space="preserve"> </w:t>
      </w:r>
      <w:r w:rsidRPr="00B24CA3">
        <w:t>Türkiye’de</w:t>
      </w:r>
      <w:r w:rsidRPr="00B24CA3">
        <w:rPr>
          <w:spacing w:val="-15"/>
        </w:rPr>
        <w:t xml:space="preserve"> </w:t>
      </w:r>
      <w:r w:rsidRPr="00B24CA3">
        <w:t>18</w:t>
      </w:r>
      <w:r w:rsidRPr="00B24CA3">
        <w:rPr>
          <w:spacing w:val="-15"/>
        </w:rPr>
        <w:t xml:space="preserve"> </w:t>
      </w:r>
      <w:r w:rsidRPr="00B24CA3">
        <w:t>bin</w:t>
      </w:r>
      <w:r w:rsidRPr="00B24CA3">
        <w:rPr>
          <w:spacing w:val="-15"/>
        </w:rPr>
        <w:t xml:space="preserve"> </w:t>
      </w:r>
      <w:r w:rsidRPr="00B24CA3">
        <w:t>uluslararası</w:t>
      </w:r>
      <w:r w:rsidRPr="00B24CA3">
        <w:rPr>
          <w:spacing w:val="-15"/>
        </w:rPr>
        <w:t xml:space="preserve"> </w:t>
      </w:r>
      <w:r w:rsidRPr="00B24CA3">
        <w:t>öğrenciler</w:t>
      </w:r>
      <w:r w:rsidRPr="00B24CA3">
        <w:rPr>
          <w:spacing w:val="-15"/>
        </w:rPr>
        <w:t xml:space="preserve"> </w:t>
      </w:r>
      <w:r w:rsidRPr="00B24CA3">
        <w:t>bulunurken,</w:t>
      </w:r>
      <w:r w:rsidRPr="00B24CA3">
        <w:rPr>
          <w:spacing w:val="-15"/>
        </w:rPr>
        <w:t xml:space="preserve"> </w:t>
      </w:r>
      <w:r w:rsidRPr="00B24CA3">
        <w:t>2022</w:t>
      </w:r>
      <w:r w:rsidRPr="00B24CA3">
        <w:rPr>
          <w:spacing w:val="-15"/>
        </w:rPr>
        <w:t xml:space="preserve"> </w:t>
      </w:r>
      <w:r w:rsidRPr="00B24CA3">
        <w:t>yılına gelindiğinde bu sayı 300 bini aşmıştır (YÖK,2022).</w:t>
      </w:r>
    </w:p>
    <w:p w14:paraId="6F16E930" w14:textId="77777777" w:rsidR="004E3F6C" w:rsidRPr="00B24CA3" w:rsidRDefault="004E3F6C" w:rsidP="00BA67A6">
      <w:pPr>
        <w:pStyle w:val="GvdeMetni"/>
        <w:ind w:right="158"/>
        <w:jc w:val="both"/>
      </w:pPr>
    </w:p>
    <w:p w14:paraId="6A5D4142" w14:textId="77777777" w:rsidR="00FF4BC0" w:rsidRDefault="00FF4BC0" w:rsidP="00BA67A6">
      <w:pPr>
        <w:pStyle w:val="GvdeMetni"/>
        <w:ind w:right="157"/>
        <w:jc w:val="both"/>
      </w:pPr>
      <w:r w:rsidRPr="00B24CA3">
        <w:t>Uluslararası öğrencilerin Türkiye’de eğitim almasını sağlayan kurumlar arasında Türkiye Bursları önemli bir rol oynamaktadır. Türkiye Bursları uzun yıllardır dünyanın dört bir yanından gelen uluslararası öğrencilere ve araştırmacılara burs olanakları sağlayarak, öğrencilere ve araştırmacılara Türkiye'de eğitim görme, ülkenin kültürü ve dili konusunda deneyim kazanma ve ülke ekonomisinin gelişimine katkıda bulunma fırsatı sağlamak için tasarlanmıştır. Türkiye Bursları, 2021 yılında 178 ülkelerden 165,511 başvuruları almıştır (YTB, 2021). Bu durum, Türkiye’deki uluslararası öğrencilerin her geçen gün artış göstermekte olduğunu göstermektedir.</w:t>
      </w:r>
    </w:p>
    <w:p w14:paraId="67B54680" w14:textId="77777777" w:rsidR="004E3F6C" w:rsidRPr="00B24CA3" w:rsidRDefault="004E3F6C" w:rsidP="00BA67A6">
      <w:pPr>
        <w:pStyle w:val="GvdeMetni"/>
        <w:ind w:right="157"/>
        <w:jc w:val="both"/>
      </w:pPr>
    </w:p>
    <w:p w14:paraId="169D6529" w14:textId="77777777" w:rsidR="00FF4BC0" w:rsidRPr="00B24CA3" w:rsidRDefault="00FF4BC0" w:rsidP="00BA67A6">
      <w:pPr>
        <w:pStyle w:val="GvdeMetni"/>
        <w:ind w:right="159"/>
        <w:jc w:val="both"/>
      </w:pPr>
      <w:r w:rsidRPr="00B24CA3">
        <w:t>Türk</w:t>
      </w:r>
      <w:r w:rsidRPr="00B24CA3">
        <w:rPr>
          <w:spacing w:val="-15"/>
        </w:rPr>
        <w:t xml:space="preserve"> </w:t>
      </w:r>
      <w:r w:rsidRPr="00B24CA3">
        <w:t>üniversitelerindeki</w:t>
      </w:r>
      <w:r w:rsidRPr="00B24CA3">
        <w:rPr>
          <w:spacing w:val="-15"/>
        </w:rPr>
        <w:t xml:space="preserve"> </w:t>
      </w:r>
      <w:r w:rsidRPr="00B24CA3">
        <w:t>uluslararası</w:t>
      </w:r>
      <w:r w:rsidRPr="00B24CA3">
        <w:rPr>
          <w:spacing w:val="-15"/>
        </w:rPr>
        <w:t xml:space="preserve"> </w:t>
      </w:r>
      <w:r w:rsidRPr="00B24CA3">
        <w:t>öğrenci</w:t>
      </w:r>
      <w:r w:rsidRPr="00B24CA3">
        <w:rPr>
          <w:spacing w:val="-15"/>
        </w:rPr>
        <w:t xml:space="preserve"> </w:t>
      </w:r>
      <w:r w:rsidRPr="00B24CA3">
        <w:t>sayısının</w:t>
      </w:r>
      <w:r w:rsidRPr="00B24CA3">
        <w:rPr>
          <w:spacing w:val="-15"/>
        </w:rPr>
        <w:t xml:space="preserve"> </w:t>
      </w:r>
      <w:r w:rsidRPr="00B24CA3">
        <w:t>artması,</w:t>
      </w:r>
      <w:r w:rsidRPr="00B24CA3">
        <w:rPr>
          <w:spacing w:val="-15"/>
        </w:rPr>
        <w:t xml:space="preserve"> </w:t>
      </w:r>
      <w:r w:rsidRPr="00B24CA3">
        <w:t>Kocaeli</w:t>
      </w:r>
      <w:r w:rsidRPr="00B24CA3">
        <w:rPr>
          <w:spacing w:val="-15"/>
        </w:rPr>
        <w:t xml:space="preserve"> </w:t>
      </w:r>
      <w:r w:rsidRPr="00B24CA3">
        <w:t>Üniversitesi</w:t>
      </w:r>
      <w:r w:rsidRPr="00B24CA3">
        <w:rPr>
          <w:spacing w:val="-15"/>
        </w:rPr>
        <w:t xml:space="preserve"> </w:t>
      </w:r>
      <w:r w:rsidRPr="00B24CA3">
        <w:t>gelişmekte olan karumlarda da etkisini göstermiştir. 17 Ağustos 1999’da Marmaray bölgedeki meydana gelen büyük deprem sonuca %75’i yıkım oluşmasına rağmen günümüzde her bakımından Türkiye ve Dünya'nın en iyi üniversitesi sırasına girmeyi başarmıştır. Akademik çeşitliliği ve eğitim</w:t>
      </w:r>
      <w:r w:rsidRPr="00B24CA3">
        <w:rPr>
          <w:spacing w:val="70"/>
        </w:rPr>
        <w:t xml:space="preserve"> </w:t>
      </w:r>
      <w:r w:rsidRPr="00B24CA3">
        <w:t>olanaklarıyla</w:t>
      </w:r>
      <w:r w:rsidRPr="00B24CA3">
        <w:rPr>
          <w:spacing w:val="70"/>
        </w:rPr>
        <w:t xml:space="preserve"> </w:t>
      </w:r>
      <w:r w:rsidRPr="00B24CA3">
        <w:t>Kocaeli</w:t>
      </w:r>
      <w:r w:rsidRPr="00B24CA3">
        <w:rPr>
          <w:spacing w:val="70"/>
        </w:rPr>
        <w:t xml:space="preserve"> </w:t>
      </w:r>
      <w:r w:rsidRPr="00B24CA3">
        <w:t>Üniversitesi,</w:t>
      </w:r>
      <w:r w:rsidRPr="00B24CA3">
        <w:rPr>
          <w:spacing w:val="71"/>
        </w:rPr>
        <w:t xml:space="preserve"> </w:t>
      </w:r>
      <w:r w:rsidRPr="00B24CA3">
        <w:t>uluslararası</w:t>
      </w:r>
      <w:r w:rsidRPr="00B24CA3">
        <w:rPr>
          <w:spacing w:val="70"/>
        </w:rPr>
        <w:t xml:space="preserve"> </w:t>
      </w:r>
      <w:r w:rsidRPr="00B24CA3">
        <w:t>öğrenciler</w:t>
      </w:r>
      <w:r w:rsidRPr="00B24CA3">
        <w:rPr>
          <w:spacing w:val="71"/>
        </w:rPr>
        <w:t xml:space="preserve"> </w:t>
      </w:r>
      <w:r w:rsidRPr="00B24CA3">
        <w:t>için</w:t>
      </w:r>
      <w:r w:rsidRPr="00B24CA3">
        <w:rPr>
          <w:spacing w:val="71"/>
        </w:rPr>
        <w:t xml:space="preserve"> </w:t>
      </w:r>
      <w:r w:rsidRPr="00B24CA3">
        <w:t>önemli</w:t>
      </w:r>
      <w:r w:rsidRPr="00B24CA3">
        <w:rPr>
          <w:spacing w:val="70"/>
        </w:rPr>
        <w:t xml:space="preserve"> </w:t>
      </w:r>
      <w:r w:rsidRPr="00B24CA3">
        <w:t>bir</w:t>
      </w:r>
      <w:r w:rsidRPr="00B24CA3">
        <w:rPr>
          <w:spacing w:val="71"/>
        </w:rPr>
        <w:t xml:space="preserve"> </w:t>
      </w:r>
      <w:r w:rsidRPr="00B24CA3">
        <w:t>eğitim</w:t>
      </w:r>
    </w:p>
    <w:p w14:paraId="2F3E83C1" w14:textId="77777777" w:rsidR="004E3F6C" w:rsidRPr="00B24CA3" w:rsidRDefault="004E3F6C" w:rsidP="00BA67A6">
      <w:pPr>
        <w:pStyle w:val="GvdeMetni"/>
        <w:jc w:val="both"/>
        <w:sectPr w:rsidR="004E3F6C" w:rsidRPr="00B24CA3" w:rsidSect="007513A1">
          <w:type w:val="continuous"/>
          <w:pgSz w:w="11906" w:h="16838"/>
          <w:pgMar w:top="1418" w:right="1418" w:bottom="1418" w:left="1418" w:header="1304" w:footer="1361" w:gutter="0"/>
          <w:cols w:space="708"/>
        </w:sectPr>
      </w:pPr>
    </w:p>
    <w:p w14:paraId="0C513CE3" w14:textId="77777777" w:rsidR="00FF4BC0" w:rsidRDefault="00FF4BC0" w:rsidP="00BA67A6">
      <w:pPr>
        <w:pStyle w:val="GvdeMetni"/>
        <w:ind w:right="164"/>
        <w:jc w:val="both"/>
      </w:pPr>
      <w:proofErr w:type="gramStart"/>
      <w:r w:rsidRPr="00B24CA3">
        <w:t>merkezi</w:t>
      </w:r>
      <w:proofErr w:type="gramEnd"/>
      <w:r w:rsidRPr="00B24CA3">
        <w:t xml:space="preserve"> haline gelmiştir. 2022-2023 akademik yılına göre Kocaeli üniversitesi 63.886 öğrenciye ev sahipliği yapmaktadır (Kocaeli Üniversitesi, b.t). Üniversite ayrıca çok sayıda uluslararası öğrenciye ev sahipliği yapmaktadır.</w:t>
      </w:r>
    </w:p>
    <w:p w14:paraId="0FDEC967" w14:textId="77777777" w:rsidR="004E3F6C" w:rsidRPr="00B24CA3" w:rsidRDefault="004E3F6C" w:rsidP="00BA67A6">
      <w:pPr>
        <w:pStyle w:val="GvdeMetni"/>
        <w:ind w:right="164"/>
        <w:jc w:val="both"/>
      </w:pPr>
    </w:p>
    <w:p w14:paraId="239985AA" w14:textId="77777777" w:rsidR="00FF4BC0" w:rsidRDefault="00FF4BC0" w:rsidP="00BA67A6">
      <w:pPr>
        <w:pStyle w:val="GvdeMetni"/>
        <w:ind w:right="159"/>
        <w:jc w:val="both"/>
      </w:pPr>
      <w:r w:rsidRPr="00B24CA3">
        <w:t>Uluslararası öğrencilerin Kocaeli üniversitesi seçmenin birkaç nedenler bulunmaktadır. Bunlardan, üniversitenin geniş yelpazedeki araştırma fırsatları ve programları aracılığıyla akademik gelişim sağlamanın yanı sıra uluslararası öğrencilere ekonomik bir avantaj da sunmaktadır.</w:t>
      </w:r>
      <w:r w:rsidRPr="00B24CA3">
        <w:rPr>
          <w:spacing w:val="-15"/>
        </w:rPr>
        <w:t xml:space="preserve"> </w:t>
      </w:r>
      <w:r w:rsidRPr="00B24CA3">
        <w:t>İstanbul'a</w:t>
      </w:r>
      <w:r w:rsidRPr="00B24CA3">
        <w:rPr>
          <w:spacing w:val="-15"/>
        </w:rPr>
        <w:t xml:space="preserve"> </w:t>
      </w:r>
      <w:r w:rsidRPr="00B24CA3">
        <w:t>yakın</w:t>
      </w:r>
      <w:r w:rsidRPr="00B24CA3">
        <w:rPr>
          <w:spacing w:val="-15"/>
        </w:rPr>
        <w:t xml:space="preserve"> </w:t>
      </w:r>
      <w:r w:rsidRPr="00B24CA3">
        <w:t>olması,</w:t>
      </w:r>
      <w:r w:rsidRPr="00B24CA3">
        <w:rPr>
          <w:spacing w:val="-15"/>
        </w:rPr>
        <w:t xml:space="preserve"> </w:t>
      </w:r>
      <w:r w:rsidRPr="00B24CA3">
        <w:t>yaşam</w:t>
      </w:r>
      <w:r w:rsidRPr="00B24CA3">
        <w:rPr>
          <w:spacing w:val="-15"/>
        </w:rPr>
        <w:t xml:space="preserve"> </w:t>
      </w:r>
      <w:r w:rsidRPr="00B24CA3">
        <w:t>maliyetleri</w:t>
      </w:r>
      <w:r w:rsidRPr="00B24CA3">
        <w:rPr>
          <w:spacing w:val="-15"/>
        </w:rPr>
        <w:t xml:space="preserve"> </w:t>
      </w:r>
      <w:r w:rsidRPr="00B24CA3">
        <w:t>diğer</w:t>
      </w:r>
      <w:r w:rsidRPr="00B24CA3">
        <w:rPr>
          <w:spacing w:val="-15"/>
        </w:rPr>
        <w:t xml:space="preserve"> </w:t>
      </w:r>
      <w:r w:rsidRPr="00B24CA3">
        <w:t>şehirlere</w:t>
      </w:r>
      <w:r w:rsidRPr="00B24CA3">
        <w:rPr>
          <w:spacing w:val="-15"/>
        </w:rPr>
        <w:t xml:space="preserve"> </w:t>
      </w:r>
      <w:r w:rsidRPr="00B24CA3">
        <w:t>göre</w:t>
      </w:r>
      <w:r w:rsidRPr="00B24CA3">
        <w:rPr>
          <w:spacing w:val="-15"/>
        </w:rPr>
        <w:t xml:space="preserve"> </w:t>
      </w:r>
      <w:r w:rsidRPr="00B24CA3">
        <w:t>daha</w:t>
      </w:r>
      <w:r w:rsidRPr="00B24CA3">
        <w:rPr>
          <w:spacing w:val="-15"/>
        </w:rPr>
        <w:t xml:space="preserve"> </w:t>
      </w:r>
      <w:r w:rsidRPr="00B24CA3">
        <w:t>düşük</w:t>
      </w:r>
      <w:r w:rsidRPr="00B24CA3">
        <w:rPr>
          <w:spacing w:val="-15"/>
        </w:rPr>
        <w:t xml:space="preserve"> </w:t>
      </w:r>
      <w:r w:rsidRPr="00B24CA3">
        <w:t>olması, Kocaeli'nde Kocaeli Uluslararası Öğrenci Derneği gibi yabancı öğrencilerin sosyal uyumu kolaylaştıracak</w:t>
      </w:r>
      <w:r w:rsidRPr="00B24CA3">
        <w:rPr>
          <w:spacing w:val="-2"/>
        </w:rPr>
        <w:t xml:space="preserve"> </w:t>
      </w:r>
      <w:r w:rsidRPr="00B24CA3">
        <w:t>çeşitli derneklerin</w:t>
      </w:r>
      <w:r w:rsidRPr="00B24CA3">
        <w:rPr>
          <w:spacing w:val="-2"/>
        </w:rPr>
        <w:t xml:space="preserve"> </w:t>
      </w:r>
      <w:r w:rsidRPr="00B24CA3">
        <w:t>olması,</w:t>
      </w:r>
      <w:r w:rsidRPr="00B24CA3">
        <w:rPr>
          <w:spacing w:val="-2"/>
        </w:rPr>
        <w:t xml:space="preserve"> </w:t>
      </w:r>
      <w:r w:rsidRPr="00B24CA3">
        <w:t>Ayrıca,</w:t>
      </w:r>
      <w:r w:rsidRPr="00B24CA3">
        <w:rPr>
          <w:spacing w:val="-2"/>
        </w:rPr>
        <w:t xml:space="preserve"> </w:t>
      </w:r>
      <w:r w:rsidRPr="00B24CA3">
        <w:t>öğrenci</w:t>
      </w:r>
      <w:r w:rsidRPr="00B24CA3">
        <w:rPr>
          <w:spacing w:val="-4"/>
        </w:rPr>
        <w:t xml:space="preserve"> </w:t>
      </w:r>
      <w:r w:rsidRPr="00B24CA3">
        <w:t>dostu</w:t>
      </w:r>
      <w:r w:rsidRPr="00B24CA3">
        <w:rPr>
          <w:spacing w:val="-2"/>
        </w:rPr>
        <w:t xml:space="preserve"> </w:t>
      </w:r>
      <w:r w:rsidRPr="00B24CA3">
        <w:t>bir</w:t>
      </w:r>
      <w:r w:rsidRPr="00B24CA3">
        <w:rPr>
          <w:spacing w:val="-2"/>
        </w:rPr>
        <w:t xml:space="preserve"> </w:t>
      </w:r>
      <w:r w:rsidRPr="00B24CA3">
        <w:t>ortamla birlikte</w:t>
      </w:r>
      <w:r w:rsidRPr="00B24CA3">
        <w:rPr>
          <w:spacing w:val="-4"/>
        </w:rPr>
        <w:t xml:space="preserve"> </w:t>
      </w:r>
      <w:r w:rsidRPr="00B24CA3">
        <w:t>keyifli</w:t>
      </w:r>
      <w:r w:rsidRPr="00B24CA3">
        <w:rPr>
          <w:spacing w:val="-4"/>
        </w:rPr>
        <w:t xml:space="preserve"> </w:t>
      </w:r>
      <w:r w:rsidRPr="00B24CA3">
        <w:t>bir yaşam tarzı da şehirde güvenli ve sakin bir öğrenme ortamının oluşturulması öğrencilerin buraya tercih etmelerinde katkısı bulunmaktadır. Bu öğrenciler, eğitim hayatlarına uyum sağlamakla birlikte, aynı zamanda geldikleri ülkenin yaşam tarzını, kültürel dinamiklerini ve ekonomik yapısını öğrenmek için büyük çaba sarf etmektedirler.</w:t>
      </w:r>
    </w:p>
    <w:p w14:paraId="6745EC0C" w14:textId="77777777" w:rsidR="0009245C" w:rsidRPr="00B24CA3" w:rsidRDefault="0009245C" w:rsidP="00BA67A6">
      <w:pPr>
        <w:pStyle w:val="GvdeMetni"/>
        <w:ind w:right="159"/>
        <w:jc w:val="both"/>
      </w:pPr>
    </w:p>
    <w:p w14:paraId="53A9A33F" w14:textId="77777777" w:rsidR="00FF4BC0" w:rsidRDefault="00FF4BC0" w:rsidP="00BA67A6">
      <w:pPr>
        <w:pStyle w:val="GvdeMetni"/>
        <w:ind w:right="159"/>
        <w:jc w:val="both"/>
      </w:pPr>
      <w:r w:rsidRPr="00B24CA3">
        <w:t>Akademik, kültürel, ekonomik ve diplomatik açıdan uluslararası öğrenciler son derece önemlidir. Türkiye'nin küresel bir eğitim merkezi olarak gelişmesine ve üniversitelerin uluslararasılaşmasına katkıları, ülkeyi küresel bir eğitim merkezi yapmada önemli bir etkiye sahiptir.</w:t>
      </w:r>
      <w:r w:rsidRPr="00B24CA3">
        <w:rPr>
          <w:spacing w:val="-13"/>
        </w:rPr>
        <w:t xml:space="preserve"> </w:t>
      </w:r>
      <w:r w:rsidRPr="00B24CA3">
        <w:t>İnsanların</w:t>
      </w:r>
      <w:r w:rsidRPr="00B24CA3">
        <w:rPr>
          <w:spacing w:val="-12"/>
        </w:rPr>
        <w:t xml:space="preserve"> </w:t>
      </w:r>
      <w:r w:rsidRPr="00B24CA3">
        <w:t>farklı</w:t>
      </w:r>
      <w:r w:rsidRPr="00B24CA3">
        <w:rPr>
          <w:spacing w:val="-15"/>
        </w:rPr>
        <w:t xml:space="preserve"> </w:t>
      </w:r>
      <w:r w:rsidRPr="00B24CA3">
        <w:t>ülkelerden</w:t>
      </w:r>
      <w:r w:rsidRPr="00B24CA3">
        <w:rPr>
          <w:spacing w:val="-14"/>
        </w:rPr>
        <w:t xml:space="preserve"> </w:t>
      </w:r>
      <w:r w:rsidRPr="00B24CA3">
        <w:t>bir</w:t>
      </w:r>
      <w:r w:rsidRPr="00B24CA3">
        <w:rPr>
          <w:spacing w:val="-12"/>
        </w:rPr>
        <w:t xml:space="preserve"> </w:t>
      </w:r>
      <w:r w:rsidRPr="00B24CA3">
        <w:t>arada</w:t>
      </w:r>
      <w:r w:rsidRPr="00B24CA3">
        <w:rPr>
          <w:spacing w:val="-14"/>
        </w:rPr>
        <w:t xml:space="preserve"> </w:t>
      </w:r>
      <w:r w:rsidRPr="00B24CA3">
        <w:t>yaşaması</w:t>
      </w:r>
      <w:r w:rsidRPr="00B24CA3">
        <w:rPr>
          <w:spacing w:val="-14"/>
        </w:rPr>
        <w:t xml:space="preserve"> </w:t>
      </w:r>
      <w:r w:rsidRPr="00B24CA3">
        <w:t>ülkedeki</w:t>
      </w:r>
      <w:r w:rsidRPr="00B24CA3">
        <w:rPr>
          <w:spacing w:val="-15"/>
        </w:rPr>
        <w:t xml:space="preserve"> </w:t>
      </w:r>
      <w:r w:rsidRPr="00B24CA3">
        <w:t>kültürel</w:t>
      </w:r>
      <w:r w:rsidRPr="00B24CA3">
        <w:rPr>
          <w:spacing w:val="-15"/>
        </w:rPr>
        <w:t xml:space="preserve"> </w:t>
      </w:r>
      <w:r w:rsidRPr="00B24CA3">
        <w:t>çeşitliliğin</w:t>
      </w:r>
      <w:r w:rsidRPr="00B24CA3">
        <w:rPr>
          <w:spacing w:val="-8"/>
        </w:rPr>
        <w:t xml:space="preserve"> </w:t>
      </w:r>
      <w:r w:rsidRPr="00B24CA3">
        <w:t>arıtmasına ve sosyal etkileşimin güçlenmesine yardımcı olacaktır. Ekonomik açıdan uluslararası öğrenciler, eğitim, konaklama ve yaşam masrafları aracılığıyla yerel ekonomiye katkıda bulunmaktadır. Türkiye’deki uluslararası öğrencilerin Türk ekonomisine sağaldığı katkısı yıllık sağladığı katkı 2,5 milyar ile 3 milyar dolar arasındadır (Gül ve Avşar, 2024). Ayrıca, öğrenciler Türkiye'den mezun olduktan sonra ülkelerinde Türkiye'nin gönüllü elçileri haline gelirler ve bu da aralarındaki ilişkilerin güçlenmesine yardımcı olacaktır.</w:t>
      </w:r>
    </w:p>
    <w:p w14:paraId="6A76F349" w14:textId="77777777" w:rsidR="0009245C" w:rsidRPr="00B24CA3" w:rsidRDefault="0009245C" w:rsidP="00BA67A6">
      <w:pPr>
        <w:pStyle w:val="GvdeMetni"/>
        <w:ind w:right="159"/>
        <w:jc w:val="both"/>
      </w:pPr>
    </w:p>
    <w:p w14:paraId="2DE89595" w14:textId="77777777" w:rsidR="00FF4BC0" w:rsidRPr="0009245C" w:rsidRDefault="00FF4BC0" w:rsidP="00BA67A6">
      <w:pPr>
        <w:pStyle w:val="Balk2"/>
        <w:spacing w:before="0" w:after="0"/>
        <w:jc w:val="both"/>
        <w:rPr>
          <w:rFonts w:ascii="Times New Roman" w:hAnsi="Times New Roman" w:cs="Times New Roman"/>
          <w:b/>
          <w:bCs/>
          <w:color w:val="000000" w:themeColor="text1"/>
          <w:sz w:val="24"/>
          <w:szCs w:val="24"/>
        </w:rPr>
      </w:pPr>
      <w:r w:rsidRPr="0009245C">
        <w:rPr>
          <w:rFonts w:ascii="Times New Roman" w:hAnsi="Times New Roman" w:cs="Times New Roman"/>
          <w:b/>
          <w:bCs/>
          <w:color w:val="000000" w:themeColor="text1"/>
          <w:sz w:val="24"/>
          <w:szCs w:val="24"/>
        </w:rPr>
        <w:t>Uluslararası</w:t>
      </w:r>
      <w:r w:rsidRPr="0009245C">
        <w:rPr>
          <w:rFonts w:ascii="Times New Roman" w:hAnsi="Times New Roman" w:cs="Times New Roman"/>
          <w:b/>
          <w:bCs/>
          <w:color w:val="000000" w:themeColor="text1"/>
          <w:spacing w:val="-7"/>
          <w:sz w:val="24"/>
          <w:szCs w:val="24"/>
        </w:rPr>
        <w:t xml:space="preserve"> </w:t>
      </w:r>
      <w:r w:rsidRPr="0009245C">
        <w:rPr>
          <w:rFonts w:ascii="Times New Roman" w:hAnsi="Times New Roman" w:cs="Times New Roman"/>
          <w:b/>
          <w:bCs/>
          <w:color w:val="000000" w:themeColor="text1"/>
          <w:sz w:val="24"/>
          <w:szCs w:val="24"/>
        </w:rPr>
        <w:t>Öğrencilerin</w:t>
      </w:r>
      <w:r w:rsidRPr="0009245C">
        <w:rPr>
          <w:rFonts w:ascii="Times New Roman" w:hAnsi="Times New Roman" w:cs="Times New Roman"/>
          <w:b/>
          <w:bCs/>
          <w:color w:val="000000" w:themeColor="text1"/>
          <w:spacing w:val="-2"/>
          <w:sz w:val="24"/>
          <w:szCs w:val="24"/>
        </w:rPr>
        <w:t xml:space="preserve"> </w:t>
      </w:r>
      <w:r w:rsidRPr="0009245C">
        <w:rPr>
          <w:rFonts w:ascii="Times New Roman" w:hAnsi="Times New Roman" w:cs="Times New Roman"/>
          <w:b/>
          <w:bCs/>
          <w:color w:val="000000" w:themeColor="text1"/>
          <w:sz w:val="24"/>
          <w:szCs w:val="24"/>
        </w:rPr>
        <w:t>Uyum</w:t>
      </w:r>
      <w:r w:rsidRPr="0009245C">
        <w:rPr>
          <w:rFonts w:ascii="Times New Roman" w:hAnsi="Times New Roman" w:cs="Times New Roman"/>
          <w:b/>
          <w:bCs/>
          <w:color w:val="000000" w:themeColor="text1"/>
          <w:spacing w:val="-3"/>
          <w:sz w:val="24"/>
          <w:szCs w:val="24"/>
        </w:rPr>
        <w:t xml:space="preserve"> </w:t>
      </w:r>
      <w:r w:rsidRPr="0009245C">
        <w:rPr>
          <w:rFonts w:ascii="Times New Roman" w:hAnsi="Times New Roman" w:cs="Times New Roman"/>
          <w:b/>
          <w:bCs/>
          <w:color w:val="000000" w:themeColor="text1"/>
          <w:sz w:val="24"/>
          <w:szCs w:val="24"/>
        </w:rPr>
        <w:t>Sürecinde</w:t>
      </w:r>
      <w:r w:rsidRPr="0009245C">
        <w:rPr>
          <w:rFonts w:ascii="Times New Roman" w:hAnsi="Times New Roman" w:cs="Times New Roman"/>
          <w:b/>
          <w:bCs/>
          <w:color w:val="000000" w:themeColor="text1"/>
          <w:spacing w:val="-5"/>
          <w:sz w:val="24"/>
          <w:szCs w:val="24"/>
        </w:rPr>
        <w:t xml:space="preserve"> </w:t>
      </w:r>
      <w:r w:rsidRPr="0009245C">
        <w:rPr>
          <w:rFonts w:ascii="Times New Roman" w:hAnsi="Times New Roman" w:cs="Times New Roman"/>
          <w:b/>
          <w:bCs/>
          <w:color w:val="000000" w:themeColor="text1"/>
          <w:sz w:val="24"/>
          <w:szCs w:val="24"/>
        </w:rPr>
        <w:t>karşılaştıkları</w:t>
      </w:r>
      <w:r w:rsidRPr="0009245C">
        <w:rPr>
          <w:rFonts w:ascii="Times New Roman" w:hAnsi="Times New Roman" w:cs="Times New Roman"/>
          <w:b/>
          <w:bCs/>
          <w:color w:val="000000" w:themeColor="text1"/>
          <w:spacing w:val="-4"/>
          <w:sz w:val="24"/>
          <w:szCs w:val="24"/>
        </w:rPr>
        <w:t xml:space="preserve"> </w:t>
      </w:r>
      <w:r w:rsidRPr="0009245C">
        <w:rPr>
          <w:rFonts w:ascii="Times New Roman" w:hAnsi="Times New Roman" w:cs="Times New Roman"/>
          <w:b/>
          <w:bCs/>
          <w:color w:val="000000" w:themeColor="text1"/>
          <w:spacing w:val="-2"/>
          <w:sz w:val="24"/>
          <w:szCs w:val="24"/>
        </w:rPr>
        <w:t>zorluklar</w:t>
      </w:r>
    </w:p>
    <w:p w14:paraId="4EBF4BF8" w14:textId="77777777" w:rsidR="00FF4BC0" w:rsidRDefault="00FF4BC0" w:rsidP="00BA67A6">
      <w:pPr>
        <w:pStyle w:val="GvdeMetni"/>
        <w:ind w:right="159"/>
        <w:jc w:val="both"/>
      </w:pPr>
      <w:r w:rsidRPr="00B24CA3">
        <w:t>Saygın ve Hasta’ya (2018) göre uyum, yeni yerleşimin sunduğu imkanlar doğrultusundan yeniden yaşam düzeni kurma ve daha iyi yaşam sürmek için çaba harcama olarak tanımlanabilmektedir. Yeni göç edilen yere uyum sağlama sürecinde insanların, doğal olarak farklı zorluklarla karşılaşabilirler. Uyum süreci, öğrencilerin bireysel deneyimleriyle sınırlı kalmayıp, ev sahibi ülkenin sosyal ve kültürel destek mekanizmalarından da etkilenmektedir. Farklı ülkelerden gelen öğrenciler, yeni yaşam ortamlarına uyum sağlama ve sosyal etkileşim süreçlerinde, kültürel, sosyolojik ve psikolojik açıdan çeşitli zorluklarla karşılaşabilmektedir (</w:t>
      </w:r>
      <w:proofErr w:type="spellStart"/>
      <w:r w:rsidRPr="00B24CA3">
        <w:t>Enterieva</w:t>
      </w:r>
      <w:proofErr w:type="spellEnd"/>
      <w:r w:rsidRPr="00B24CA3">
        <w:t xml:space="preserve"> &amp; Sezgin, 2016).</w:t>
      </w:r>
    </w:p>
    <w:p w14:paraId="32C89990" w14:textId="77777777" w:rsidR="0009245C" w:rsidRPr="00B24CA3" w:rsidRDefault="0009245C" w:rsidP="00BA67A6">
      <w:pPr>
        <w:pStyle w:val="GvdeMetni"/>
        <w:ind w:right="159"/>
        <w:jc w:val="both"/>
      </w:pPr>
    </w:p>
    <w:p w14:paraId="1BD256F1" w14:textId="77777777" w:rsidR="00FF4BC0" w:rsidRDefault="00FF4BC0" w:rsidP="00BA67A6">
      <w:pPr>
        <w:pStyle w:val="GvdeMetni"/>
        <w:ind w:right="159"/>
        <w:jc w:val="both"/>
      </w:pPr>
      <w:r w:rsidRPr="00B24CA3">
        <w:t>Uluslararası öğrencilerin yeni bir kültüre ve akademik ortama uyum süreci bir dizi faktörden etkilenmektedir. Bu faktörler arasında dil engelleri, iletişim güçlükleri, kültürel farklılıklar, eğitim ortamına uyum, sosyal izolasyon ve ekonomik zorluklar yer almaktadır (Dinç, 2023). Osmanlı’ya (2018) göre Üniversite öğrencilerinin barınma, beslenme, ekonomik kaynaklar, kültürel farklılıklar, güvenlik ve başkaları tarafından kabul görme gibi konularda yoğun stres yaşadıkları belirtilmiştir. Akademik çalışmalarda, üniversite öğrencileri çeşitli psikolojik, sosyoekonomik ve kültürel sorunlarla karşı karşıya oldukları açıklamıştır. Bu faktörler akademik</w:t>
      </w:r>
      <w:r w:rsidRPr="00B24CA3">
        <w:rPr>
          <w:spacing w:val="-14"/>
        </w:rPr>
        <w:t xml:space="preserve"> </w:t>
      </w:r>
      <w:r w:rsidRPr="00B24CA3">
        <w:t>performansta</w:t>
      </w:r>
      <w:r w:rsidRPr="00B24CA3">
        <w:rPr>
          <w:spacing w:val="-15"/>
        </w:rPr>
        <w:t xml:space="preserve"> </w:t>
      </w:r>
      <w:r w:rsidRPr="00B24CA3">
        <w:t>düşüşe</w:t>
      </w:r>
      <w:r w:rsidRPr="00B24CA3">
        <w:rPr>
          <w:spacing w:val="-15"/>
        </w:rPr>
        <w:t xml:space="preserve"> </w:t>
      </w:r>
      <w:r w:rsidRPr="00B24CA3">
        <w:t>yol</w:t>
      </w:r>
      <w:r w:rsidRPr="00B24CA3">
        <w:rPr>
          <w:spacing w:val="-15"/>
        </w:rPr>
        <w:t xml:space="preserve"> </w:t>
      </w:r>
      <w:r w:rsidRPr="00B24CA3">
        <w:t>açabilir</w:t>
      </w:r>
      <w:r w:rsidRPr="00B24CA3">
        <w:rPr>
          <w:spacing w:val="-14"/>
        </w:rPr>
        <w:t xml:space="preserve"> </w:t>
      </w:r>
      <w:r w:rsidRPr="00B24CA3">
        <w:t>ve</w:t>
      </w:r>
      <w:r w:rsidRPr="00B24CA3">
        <w:rPr>
          <w:spacing w:val="-15"/>
        </w:rPr>
        <w:t xml:space="preserve"> </w:t>
      </w:r>
      <w:r w:rsidRPr="00B24CA3">
        <w:t>stres,</w:t>
      </w:r>
      <w:r w:rsidRPr="00B24CA3">
        <w:rPr>
          <w:spacing w:val="-10"/>
        </w:rPr>
        <w:t xml:space="preserve"> </w:t>
      </w:r>
      <w:r w:rsidRPr="00B24CA3">
        <w:t>kaygı</w:t>
      </w:r>
      <w:r w:rsidRPr="00B24CA3">
        <w:rPr>
          <w:spacing w:val="-15"/>
        </w:rPr>
        <w:t xml:space="preserve"> </w:t>
      </w:r>
      <w:r w:rsidRPr="00B24CA3">
        <w:t>ve</w:t>
      </w:r>
      <w:r w:rsidRPr="00B24CA3">
        <w:rPr>
          <w:spacing w:val="-15"/>
        </w:rPr>
        <w:t xml:space="preserve"> </w:t>
      </w:r>
      <w:r w:rsidRPr="00B24CA3">
        <w:t>depresyona</w:t>
      </w:r>
      <w:r w:rsidRPr="00B24CA3">
        <w:rPr>
          <w:spacing w:val="-15"/>
        </w:rPr>
        <w:t xml:space="preserve"> </w:t>
      </w:r>
      <w:r w:rsidRPr="00B24CA3">
        <w:t>neden</w:t>
      </w:r>
      <w:r w:rsidRPr="00B24CA3">
        <w:rPr>
          <w:spacing w:val="-14"/>
        </w:rPr>
        <w:t xml:space="preserve"> </w:t>
      </w:r>
      <w:r w:rsidRPr="00B24CA3">
        <w:t>olabilmektedir. Bireyin içinde yaşadığı topluma uyum sağlaması, o toplumun etkin vatandaşı olması ve toplumsal</w:t>
      </w:r>
      <w:r w:rsidRPr="00B24CA3">
        <w:rPr>
          <w:spacing w:val="-15"/>
        </w:rPr>
        <w:t xml:space="preserve"> </w:t>
      </w:r>
      <w:r w:rsidRPr="00B24CA3">
        <w:t>gelişimini</w:t>
      </w:r>
      <w:r w:rsidRPr="00B24CA3">
        <w:rPr>
          <w:spacing w:val="-15"/>
        </w:rPr>
        <w:t xml:space="preserve"> </w:t>
      </w:r>
      <w:r w:rsidRPr="00B24CA3">
        <w:t>üretken</w:t>
      </w:r>
      <w:r w:rsidRPr="00B24CA3">
        <w:rPr>
          <w:spacing w:val="-15"/>
        </w:rPr>
        <w:t xml:space="preserve"> </w:t>
      </w:r>
      <w:r w:rsidRPr="00B24CA3">
        <w:t>bir</w:t>
      </w:r>
      <w:r w:rsidRPr="00B24CA3">
        <w:rPr>
          <w:spacing w:val="-15"/>
        </w:rPr>
        <w:t xml:space="preserve"> </w:t>
      </w:r>
      <w:r w:rsidRPr="00B24CA3">
        <w:t>şekilde</w:t>
      </w:r>
      <w:r w:rsidRPr="00B24CA3">
        <w:rPr>
          <w:spacing w:val="-15"/>
        </w:rPr>
        <w:t xml:space="preserve"> </w:t>
      </w:r>
      <w:r w:rsidRPr="00B24CA3">
        <w:t>tamamlaması</w:t>
      </w:r>
      <w:r w:rsidRPr="00B24CA3">
        <w:rPr>
          <w:spacing w:val="-15"/>
        </w:rPr>
        <w:t xml:space="preserve"> </w:t>
      </w:r>
      <w:r w:rsidRPr="00B24CA3">
        <w:t>gerekliliğinden</w:t>
      </w:r>
      <w:r w:rsidRPr="00B24CA3">
        <w:rPr>
          <w:spacing w:val="-15"/>
        </w:rPr>
        <w:t xml:space="preserve"> </w:t>
      </w:r>
      <w:r w:rsidRPr="00B24CA3">
        <w:t>söz</w:t>
      </w:r>
      <w:r w:rsidRPr="00B24CA3">
        <w:rPr>
          <w:spacing w:val="-15"/>
        </w:rPr>
        <w:t xml:space="preserve"> </w:t>
      </w:r>
      <w:r w:rsidRPr="00B24CA3">
        <w:t>etmektedir</w:t>
      </w:r>
      <w:r w:rsidRPr="00B24CA3">
        <w:rPr>
          <w:spacing w:val="-15"/>
        </w:rPr>
        <w:t xml:space="preserve"> </w:t>
      </w:r>
      <w:r w:rsidRPr="00B24CA3">
        <w:t>(Çubukçu ve Gültekin, 2006). Bir birey, yeni bir topluma dahil olduğunda, bu topluma uyum sağlamak ve içinde etkili bir şeklinde yaşamak için yeni becerilere ihtiyaç duymaktadır. Ancak uyum sürecinde başarısız olan bireyler, içinde bulundukları toplumun kültürlerine karşı zamanla olumsuz bir tutum geliştirebilir ve zamanla o toplumun kültürlerden dışarı çıkma eğilimi gösterebilmektedir (Dinç, 2023).</w:t>
      </w:r>
    </w:p>
    <w:p w14:paraId="3371B46D" w14:textId="77777777" w:rsidR="0009245C" w:rsidRPr="00B24CA3" w:rsidRDefault="0009245C" w:rsidP="00BA67A6">
      <w:pPr>
        <w:pStyle w:val="GvdeMetni"/>
        <w:ind w:right="159"/>
        <w:jc w:val="both"/>
      </w:pPr>
    </w:p>
    <w:p w14:paraId="6F5E19F7" w14:textId="1FE29B21" w:rsidR="00FF4BC0" w:rsidRPr="00B24CA3" w:rsidRDefault="00FF4BC0" w:rsidP="00BA67A6">
      <w:pPr>
        <w:pStyle w:val="GvdeMetni"/>
        <w:ind w:right="164"/>
        <w:jc w:val="both"/>
      </w:pPr>
      <w:proofErr w:type="spellStart"/>
      <w:r w:rsidRPr="00B24CA3">
        <w:t>Mahihu’ya</w:t>
      </w:r>
      <w:proofErr w:type="spellEnd"/>
      <w:r w:rsidRPr="00B24CA3">
        <w:t xml:space="preserve"> (2020) göre, uluslararası öğrenciler yeni bir ülkeye uyum sağlama </w:t>
      </w:r>
      <w:proofErr w:type="spellStart"/>
      <w:r w:rsidRPr="00B24CA3">
        <w:t>süecinde</w:t>
      </w:r>
      <w:proofErr w:type="spellEnd"/>
      <w:r w:rsidRPr="00B24CA3">
        <w:t xml:space="preserve"> kültürel</w:t>
      </w:r>
      <w:r w:rsidRPr="00B24CA3">
        <w:rPr>
          <w:spacing w:val="-17"/>
        </w:rPr>
        <w:t xml:space="preserve"> </w:t>
      </w:r>
      <w:r w:rsidRPr="00B24CA3">
        <w:t>stres</w:t>
      </w:r>
      <w:r w:rsidRPr="00B24CA3">
        <w:rPr>
          <w:spacing w:val="-15"/>
        </w:rPr>
        <w:t xml:space="preserve"> </w:t>
      </w:r>
      <w:proofErr w:type="spellStart"/>
      <w:r w:rsidRPr="00B24CA3">
        <w:t>yaşaakta</w:t>
      </w:r>
      <w:proofErr w:type="spellEnd"/>
      <w:r w:rsidRPr="00B24CA3">
        <w:rPr>
          <w:spacing w:val="-15"/>
        </w:rPr>
        <w:t xml:space="preserve"> </w:t>
      </w:r>
      <w:r w:rsidRPr="00B24CA3">
        <w:t>olduklarını</w:t>
      </w:r>
      <w:r w:rsidRPr="00B24CA3">
        <w:rPr>
          <w:spacing w:val="-15"/>
        </w:rPr>
        <w:t xml:space="preserve"> </w:t>
      </w:r>
      <w:r w:rsidRPr="00B24CA3">
        <w:t>ve</w:t>
      </w:r>
      <w:r w:rsidRPr="00B24CA3">
        <w:rPr>
          <w:spacing w:val="-17"/>
        </w:rPr>
        <w:t xml:space="preserve"> </w:t>
      </w:r>
      <w:r w:rsidRPr="00B24CA3">
        <w:t>bu</w:t>
      </w:r>
      <w:r w:rsidRPr="00B24CA3">
        <w:rPr>
          <w:spacing w:val="-16"/>
        </w:rPr>
        <w:t xml:space="preserve"> </w:t>
      </w:r>
      <w:r w:rsidRPr="00B24CA3">
        <w:t>durum</w:t>
      </w:r>
      <w:r w:rsidRPr="00B24CA3">
        <w:rPr>
          <w:spacing w:val="-17"/>
        </w:rPr>
        <w:t xml:space="preserve"> </w:t>
      </w:r>
      <w:r w:rsidRPr="00B24CA3">
        <w:t>depresyon</w:t>
      </w:r>
      <w:r w:rsidRPr="00B24CA3">
        <w:rPr>
          <w:spacing w:val="-16"/>
        </w:rPr>
        <w:t xml:space="preserve"> </w:t>
      </w:r>
      <w:r w:rsidRPr="00B24CA3">
        <w:t>ve</w:t>
      </w:r>
      <w:r w:rsidRPr="00B24CA3">
        <w:rPr>
          <w:spacing w:val="-17"/>
        </w:rPr>
        <w:t xml:space="preserve"> </w:t>
      </w:r>
      <w:r w:rsidRPr="00B24CA3">
        <w:t>kaygıya</w:t>
      </w:r>
      <w:r w:rsidRPr="00B24CA3">
        <w:rPr>
          <w:spacing w:val="-17"/>
        </w:rPr>
        <w:t xml:space="preserve"> </w:t>
      </w:r>
      <w:r w:rsidRPr="00B24CA3">
        <w:t>yol</w:t>
      </w:r>
      <w:r w:rsidRPr="00B24CA3">
        <w:rPr>
          <w:spacing w:val="-14"/>
        </w:rPr>
        <w:t xml:space="preserve"> </w:t>
      </w:r>
      <w:r w:rsidRPr="00B24CA3">
        <w:t>açtığını</w:t>
      </w:r>
      <w:r w:rsidRPr="00B24CA3">
        <w:rPr>
          <w:spacing w:val="-17"/>
        </w:rPr>
        <w:t xml:space="preserve"> </w:t>
      </w:r>
      <w:r w:rsidRPr="00B24CA3">
        <w:rPr>
          <w:spacing w:val="-2"/>
        </w:rPr>
        <w:t>belirtmiştir.</w:t>
      </w:r>
    </w:p>
    <w:p w14:paraId="0816FE56" w14:textId="77777777" w:rsidR="00FF4BC0" w:rsidRPr="00B24CA3" w:rsidRDefault="00FF4BC0" w:rsidP="00BA67A6">
      <w:pPr>
        <w:pStyle w:val="GvdeMetni"/>
        <w:sectPr w:rsidR="00FF4BC0" w:rsidRPr="00B24CA3" w:rsidSect="007513A1">
          <w:type w:val="continuous"/>
          <w:pgSz w:w="11906" w:h="16838"/>
          <w:pgMar w:top="1418" w:right="1418" w:bottom="1418" w:left="1418" w:header="1304" w:footer="1361" w:gutter="0"/>
          <w:cols w:space="708"/>
        </w:sectPr>
      </w:pPr>
    </w:p>
    <w:p w14:paraId="7527E867" w14:textId="77777777" w:rsidR="00FF4BC0" w:rsidRDefault="00FF4BC0" w:rsidP="00BA67A6">
      <w:pPr>
        <w:pStyle w:val="GvdeMetni"/>
        <w:ind w:right="158"/>
        <w:jc w:val="both"/>
      </w:pPr>
      <w:r w:rsidRPr="00B24CA3">
        <w:t>Bu zorluklar, stres seviyelerini daha da kötüleştirebilecek kafa karışıklığı ve izolasyon duygularına yol açabilmektedir. Farklı alanlarda, yabancı öğrencilerin topluma ve eğitim ortamına daha kolay uyum sağlamalarını desteklemek için farklı çalışmalar yürütülmüştür. Ancak yapılan araştırmalar bakıldığında, bu çalışmaların daha çok akademik uyuma odakladığı, uygulanan somut uyum programlarının ise beklenen etkiye tam olarak sağlayamadığını gözlemlenmiştir. Yapılan çalışmalardan biri ise uluslararası öğrencilerin uyum</w:t>
      </w:r>
      <w:r w:rsidRPr="00B24CA3">
        <w:rPr>
          <w:spacing w:val="-15"/>
        </w:rPr>
        <w:t xml:space="preserve"> </w:t>
      </w:r>
      <w:r w:rsidRPr="00B24CA3">
        <w:t>sürecini</w:t>
      </w:r>
      <w:r w:rsidRPr="00B24CA3">
        <w:rPr>
          <w:spacing w:val="-15"/>
        </w:rPr>
        <w:t xml:space="preserve"> </w:t>
      </w:r>
      <w:r w:rsidRPr="00B24CA3">
        <w:t>anlamak</w:t>
      </w:r>
      <w:r w:rsidRPr="00B24CA3">
        <w:rPr>
          <w:spacing w:val="-15"/>
        </w:rPr>
        <w:t xml:space="preserve"> </w:t>
      </w:r>
      <w:r w:rsidRPr="00B24CA3">
        <w:t>için</w:t>
      </w:r>
      <w:r w:rsidRPr="00B24CA3">
        <w:rPr>
          <w:spacing w:val="-15"/>
        </w:rPr>
        <w:t xml:space="preserve"> </w:t>
      </w:r>
      <w:r w:rsidRPr="00B24CA3">
        <w:t>geliştirilen</w:t>
      </w:r>
      <w:r w:rsidRPr="00B24CA3">
        <w:rPr>
          <w:spacing w:val="-15"/>
        </w:rPr>
        <w:t xml:space="preserve"> </w:t>
      </w:r>
      <w:r w:rsidRPr="00B24CA3">
        <w:t>teoriler</w:t>
      </w:r>
      <w:r w:rsidRPr="00B24CA3">
        <w:rPr>
          <w:spacing w:val="-12"/>
        </w:rPr>
        <w:t xml:space="preserve"> </w:t>
      </w:r>
      <w:r w:rsidRPr="00B24CA3">
        <w:t>öne</w:t>
      </w:r>
      <w:r w:rsidRPr="00B24CA3">
        <w:rPr>
          <w:spacing w:val="-15"/>
        </w:rPr>
        <w:t xml:space="preserve"> </w:t>
      </w:r>
      <w:r w:rsidRPr="00B24CA3">
        <w:t>çıkmaktadır.</w:t>
      </w:r>
      <w:r w:rsidRPr="00B24CA3">
        <w:rPr>
          <w:spacing w:val="-14"/>
        </w:rPr>
        <w:t xml:space="preserve"> </w:t>
      </w:r>
      <w:r w:rsidRPr="00B24CA3">
        <w:t>Bunlardan</w:t>
      </w:r>
      <w:r w:rsidRPr="00B24CA3">
        <w:rPr>
          <w:spacing w:val="-15"/>
        </w:rPr>
        <w:t xml:space="preserve"> </w:t>
      </w:r>
      <w:r w:rsidRPr="00B24CA3">
        <w:t>biri</w:t>
      </w:r>
      <w:r w:rsidRPr="00B24CA3">
        <w:rPr>
          <w:spacing w:val="-15"/>
        </w:rPr>
        <w:t xml:space="preserve"> </w:t>
      </w:r>
      <w:r w:rsidRPr="00B24CA3">
        <w:t>de</w:t>
      </w:r>
      <w:r w:rsidRPr="00B24CA3">
        <w:rPr>
          <w:spacing w:val="-15"/>
        </w:rPr>
        <w:t xml:space="preserve"> </w:t>
      </w:r>
      <w:r w:rsidRPr="00B24CA3">
        <w:t xml:space="preserve">Kültürleşme </w:t>
      </w:r>
      <w:r w:rsidRPr="00B24CA3">
        <w:lastRenderedPageBreak/>
        <w:t xml:space="preserve">Stresi Teorisidir. Bu Teorinin tanımı ise, yeni veya yabancı bir kültürle etkileşime girme deneyiminden kaynaklanan ve özellikle kimlik konusunda kaygı ve kafa karışıklığı olmak üzere ruh sağlığı durumunda düşüşe neden olan bir tür kaygı baskısı olarak tanımlamaktadır </w:t>
      </w:r>
      <w:proofErr w:type="gramStart"/>
      <w:r w:rsidRPr="00B24CA3">
        <w:t xml:space="preserve">( </w:t>
      </w:r>
      <w:proofErr w:type="spellStart"/>
      <w:r w:rsidRPr="00B24CA3">
        <w:t>Begu</w:t>
      </w:r>
      <w:proofErr w:type="spellEnd"/>
      <w:proofErr w:type="gramEnd"/>
      <w:r w:rsidRPr="00B24CA3">
        <w:t xml:space="preserve"> ve </w:t>
      </w:r>
      <w:proofErr w:type="spellStart"/>
      <w:r w:rsidRPr="00B24CA3">
        <w:t>Astuti</w:t>
      </w:r>
      <w:proofErr w:type="spellEnd"/>
      <w:r w:rsidRPr="00B24CA3">
        <w:t>, 2014). Teori, farklı bir kültüre uyum sağlamaya çalışan bireylerin yaşadığı stresin hem psikolojik hem de fizyolojik olarak ciddi olduğu açıklanmaktadır.</w:t>
      </w:r>
    </w:p>
    <w:p w14:paraId="0E62513A" w14:textId="77777777" w:rsidR="0009245C" w:rsidRPr="00B24CA3" w:rsidRDefault="0009245C" w:rsidP="00BA67A6">
      <w:pPr>
        <w:pStyle w:val="GvdeMetni"/>
        <w:ind w:right="158"/>
        <w:jc w:val="both"/>
      </w:pPr>
    </w:p>
    <w:p w14:paraId="170BBC58" w14:textId="77777777" w:rsidR="00FF4BC0" w:rsidRDefault="00FF4BC0" w:rsidP="00BA67A6">
      <w:pPr>
        <w:pStyle w:val="GvdeMetni"/>
        <w:ind w:right="159"/>
        <w:jc w:val="both"/>
      </w:pPr>
      <w:r w:rsidRPr="00B24CA3">
        <w:t>Bir diğer teri ise, kültürel şok teorisidir. Kültür şoku, farklı bir kültürle temas halindeyken ortaya çıkan birden fazla stres faktöründen kaynaklamaktadır (Winkelman,1994). Bu stres faktörlerden,</w:t>
      </w:r>
      <w:r w:rsidRPr="00B24CA3">
        <w:rPr>
          <w:spacing w:val="-3"/>
        </w:rPr>
        <w:t xml:space="preserve"> </w:t>
      </w:r>
      <w:r w:rsidRPr="00B24CA3">
        <w:t>dil engelleri,</w:t>
      </w:r>
      <w:r w:rsidRPr="00B24CA3">
        <w:rPr>
          <w:spacing w:val="-3"/>
        </w:rPr>
        <w:t xml:space="preserve"> </w:t>
      </w:r>
      <w:r w:rsidRPr="00B24CA3">
        <w:t>kültürel</w:t>
      </w:r>
      <w:r w:rsidRPr="00B24CA3">
        <w:rPr>
          <w:spacing w:val="-5"/>
        </w:rPr>
        <w:t xml:space="preserve"> </w:t>
      </w:r>
      <w:r w:rsidRPr="00B24CA3">
        <w:t>farklılıklar, alışılmadık</w:t>
      </w:r>
      <w:r w:rsidRPr="00B24CA3">
        <w:rPr>
          <w:spacing w:val="-3"/>
        </w:rPr>
        <w:t xml:space="preserve"> </w:t>
      </w:r>
      <w:r w:rsidRPr="00B24CA3">
        <w:t>sosyal</w:t>
      </w:r>
      <w:r w:rsidRPr="00B24CA3">
        <w:rPr>
          <w:spacing w:val="-5"/>
        </w:rPr>
        <w:t xml:space="preserve"> </w:t>
      </w:r>
      <w:r w:rsidRPr="00B24CA3">
        <w:t>normlar ve</w:t>
      </w:r>
      <w:r w:rsidRPr="00B24CA3">
        <w:rPr>
          <w:spacing w:val="-5"/>
        </w:rPr>
        <w:t xml:space="preserve"> </w:t>
      </w:r>
      <w:r w:rsidRPr="00B24CA3">
        <w:t>farklı</w:t>
      </w:r>
      <w:r w:rsidRPr="00B24CA3">
        <w:rPr>
          <w:spacing w:val="-5"/>
        </w:rPr>
        <w:t xml:space="preserve"> </w:t>
      </w:r>
      <w:r w:rsidRPr="00B24CA3">
        <w:t>beklentiler yer almaktadır. Tüm bu stres faktörleri, genellikle kültür şokuna yol açan bir yönelim bozukluğu</w:t>
      </w:r>
      <w:r w:rsidRPr="00B24CA3">
        <w:rPr>
          <w:spacing w:val="-15"/>
        </w:rPr>
        <w:t xml:space="preserve"> </w:t>
      </w:r>
      <w:r w:rsidRPr="00B24CA3">
        <w:t>ve</w:t>
      </w:r>
      <w:r w:rsidRPr="00B24CA3">
        <w:rPr>
          <w:spacing w:val="-15"/>
        </w:rPr>
        <w:t xml:space="preserve"> </w:t>
      </w:r>
      <w:r w:rsidRPr="00B24CA3">
        <w:t>kafa</w:t>
      </w:r>
      <w:r w:rsidRPr="00B24CA3">
        <w:rPr>
          <w:spacing w:val="-15"/>
        </w:rPr>
        <w:t xml:space="preserve"> </w:t>
      </w:r>
      <w:r w:rsidRPr="00B24CA3">
        <w:t>karışıklığı</w:t>
      </w:r>
      <w:r w:rsidRPr="00B24CA3">
        <w:rPr>
          <w:spacing w:val="-15"/>
        </w:rPr>
        <w:t xml:space="preserve"> </w:t>
      </w:r>
      <w:r w:rsidRPr="00B24CA3">
        <w:t>hissi</w:t>
      </w:r>
      <w:r w:rsidRPr="00B24CA3">
        <w:rPr>
          <w:spacing w:val="-15"/>
        </w:rPr>
        <w:t xml:space="preserve"> </w:t>
      </w:r>
      <w:r w:rsidRPr="00B24CA3">
        <w:t>yaratma</w:t>
      </w:r>
      <w:r w:rsidRPr="00B24CA3">
        <w:rPr>
          <w:spacing w:val="-15"/>
        </w:rPr>
        <w:t xml:space="preserve"> </w:t>
      </w:r>
      <w:r w:rsidRPr="00B24CA3">
        <w:t>potansiyele</w:t>
      </w:r>
      <w:r w:rsidRPr="00B24CA3">
        <w:rPr>
          <w:spacing w:val="-15"/>
        </w:rPr>
        <w:t xml:space="preserve"> </w:t>
      </w:r>
      <w:r w:rsidRPr="00B24CA3">
        <w:t>sahip</w:t>
      </w:r>
      <w:r w:rsidRPr="00B24CA3">
        <w:rPr>
          <w:spacing w:val="-15"/>
        </w:rPr>
        <w:t xml:space="preserve"> </w:t>
      </w:r>
      <w:r w:rsidRPr="00B24CA3">
        <w:t>olabilmektedir.</w:t>
      </w:r>
      <w:r w:rsidRPr="00B24CA3">
        <w:rPr>
          <w:spacing w:val="-15"/>
        </w:rPr>
        <w:t xml:space="preserve"> </w:t>
      </w:r>
      <w:r w:rsidRPr="00B24CA3">
        <w:t>Bu</w:t>
      </w:r>
      <w:r w:rsidRPr="00B24CA3">
        <w:rPr>
          <w:spacing w:val="-15"/>
        </w:rPr>
        <w:t xml:space="preserve"> </w:t>
      </w:r>
      <w:r w:rsidRPr="00B24CA3">
        <w:t>tür</w:t>
      </w:r>
      <w:r w:rsidRPr="00B24CA3">
        <w:rPr>
          <w:spacing w:val="-15"/>
        </w:rPr>
        <w:t xml:space="preserve"> </w:t>
      </w:r>
      <w:r w:rsidRPr="00B24CA3">
        <w:t xml:space="preserve">alışılmadık deneyimlerin etkisi, genel olarak kültür gezginleri için 'kültür şoku' olarak adlandırılmıştır (Zhou, </w:t>
      </w:r>
      <w:proofErr w:type="spellStart"/>
      <w:r w:rsidRPr="00B24CA3">
        <w:t>Snape</w:t>
      </w:r>
      <w:proofErr w:type="spellEnd"/>
      <w:r w:rsidRPr="00B24CA3">
        <w:t xml:space="preserve">, </w:t>
      </w:r>
      <w:proofErr w:type="spellStart"/>
      <w:r w:rsidRPr="00B24CA3">
        <w:t>Topping</w:t>
      </w:r>
      <w:proofErr w:type="spellEnd"/>
      <w:r w:rsidRPr="00B24CA3">
        <w:t xml:space="preserve"> ve </w:t>
      </w:r>
      <w:proofErr w:type="spellStart"/>
      <w:r w:rsidRPr="00B24CA3">
        <w:t>Todman</w:t>
      </w:r>
      <w:proofErr w:type="spellEnd"/>
      <w:r w:rsidRPr="00B24CA3">
        <w:t>, 2008).</w:t>
      </w:r>
    </w:p>
    <w:p w14:paraId="6F30B45B" w14:textId="77777777" w:rsidR="0009245C" w:rsidRPr="00B24CA3" w:rsidRDefault="0009245C" w:rsidP="00BA67A6">
      <w:pPr>
        <w:pStyle w:val="GvdeMetni"/>
        <w:ind w:right="159"/>
        <w:jc w:val="both"/>
      </w:pPr>
    </w:p>
    <w:p w14:paraId="38453849" w14:textId="77777777" w:rsidR="00FF4BC0" w:rsidRDefault="00FF4BC0" w:rsidP="00BA67A6">
      <w:pPr>
        <w:pStyle w:val="GvdeMetni"/>
        <w:ind w:right="159"/>
        <w:jc w:val="both"/>
      </w:pPr>
      <w:r w:rsidRPr="00B24CA3">
        <w:t>Dil</w:t>
      </w:r>
      <w:r w:rsidRPr="00B24CA3">
        <w:rPr>
          <w:spacing w:val="-2"/>
        </w:rPr>
        <w:t xml:space="preserve"> </w:t>
      </w:r>
      <w:r w:rsidRPr="00B24CA3">
        <w:t>bariyeri,</w:t>
      </w:r>
      <w:r w:rsidRPr="00B24CA3">
        <w:rPr>
          <w:spacing w:val="-1"/>
        </w:rPr>
        <w:t xml:space="preserve"> </w:t>
      </w:r>
      <w:r w:rsidRPr="00B24CA3">
        <w:t>uluslararası</w:t>
      </w:r>
      <w:r w:rsidRPr="00B24CA3">
        <w:rPr>
          <w:spacing w:val="-3"/>
        </w:rPr>
        <w:t xml:space="preserve"> </w:t>
      </w:r>
      <w:r w:rsidRPr="00B24CA3">
        <w:t>öğrenciler</w:t>
      </w:r>
      <w:r w:rsidRPr="00B24CA3">
        <w:rPr>
          <w:spacing w:val="-1"/>
        </w:rPr>
        <w:t xml:space="preserve"> </w:t>
      </w:r>
      <w:r w:rsidRPr="00B24CA3">
        <w:t>için</w:t>
      </w:r>
      <w:r w:rsidRPr="00B24CA3">
        <w:rPr>
          <w:spacing w:val="-1"/>
        </w:rPr>
        <w:t xml:space="preserve"> </w:t>
      </w:r>
      <w:r w:rsidRPr="00B24CA3">
        <w:t>hem akademik</w:t>
      </w:r>
      <w:r w:rsidRPr="00B24CA3">
        <w:rPr>
          <w:spacing w:val="-1"/>
        </w:rPr>
        <w:t xml:space="preserve"> </w:t>
      </w:r>
      <w:r w:rsidRPr="00B24CA3">
        <w:t>hem de</w:t>
      </w:r>
      <w:r w:rsidRPr="00B24CA3">
        <w:rPr>
          <w:spacing w:val="-3"/>
        </w:rPr>
        <w:t xml:space="preserve"> </w:t>
      </w:r>
      <w:r w:rsidRPr="00B24CA3">
        <w:t>sosyal yaşamlarında</w:t>
      </w:r>
      <w:r w:rsidRPr="00B24CA3">
        <w:rPr>
          <w:spacing w:val="-3"/>
        </w:rPr>
        <w:t xml:space="preserve"> </w:t>
      </w:r>
      <w:r w:rsidRPr="00B24CA3">
        <w:t>büyük</w:t>
      </w:r>
      <w:r w:rsidRPr="00B24CA3">
        <w:rPr>
          <w:spacing w:val="-1"/>
        </w:rPr>
        <w:t xml:space="preserve"> </w:t>
      </w:r>
      <w:r w:rsidRPr="00B24CA3">
        <w:t>bir zorluk olarak karşımızda çıkabilmektedir. ‘’Dil kültürün ayrılmaz bir parçasıdır’’ (</w:t>
      </w:r>
      <w:proofErr w:type="spellStart"/>
      <w:r w:rsidRPr="00B24CA3">
        <w:t>Kahhaleh</w:t>
      </w:r>
      <w:proofErr w:type="spellEnd"/>
      <w:r w:rsidRPr="00B24CA3">
        <w:t xml:space="preserve"> ve</w:t>
      </w:r>
      <w:r w:rsidRPr="00B24CA3">
        <w:rPr>
          <w:spacing w:val="-6"/>
        </w:rPr>
        <w:t xml:space="preserve"> </w:t>
      </w:r>
      <w:r w:rsidRPr="00B24CA3">
        <w:t>Yıldız,</w:t>
      </w:r>
      <w:r w:rsidRPr="00B24CA3">
        <w:rPr>
          <w:spacing w:val="-4"/>
        </w:rPr>
        <w:t xml:space="preserve"> </w:t>
      </w:r>
      <w:r w:rsidRPr="00B24CA3">
        <w:t>2022).</w:t>
      </w:r>
      <w:r w:rsidRPr="00B24CA3">
        <w:rPr>
          <w:spacing w:val="-3"/>
        </w:rPr>
        <w:t xml:space="preserve"> </w:t>
      </w:r>
      <w:r w:rsidRPr="00B24CA3">
        <w:t>Bu</w:t>
      </w:r>
      <w:r w:rsidRPr="00B24CA3">
        <w:rPr>
          <w:spacing w:val="-4"/>
        </w:rPr>
        <w:t xml:space="preserve"> </w:t>
      </w:r>
      <w:r w:rsidRPr="00B24CA3">
        <w:t>alanda</w:t>
      </w:r>
      <w:r w:rsidRPr="00B24CA3">
        <w:rPr>
          <w:spacing w:val="-6"/>
        </w:rPr>
        <w:t xml:space="preserve"> </w:t>
      </w:r>
      <w:r w:rsidRPr="00B24CA3">
        <w:t>yapılan</w:t>
      </w:r>
      <w:r w:rsidRPr="00B24CA3">
        <w:rPr>
          <w:spacing w:val="-4"/>
        </w:rPr>
        <w:t xml:space="preserve"> </w:t>
      </w:r>
      <w:r w:rsidRPr="00B24CA3">
        <w:t>çalışmalara</w:t>
      </w:r>
      <w:r w:rsidRPr="00B24CA3">
        <w:rPr>
          <w:spacing w:val="-6"/>
        </w:rPr>
        <w:t xml:space="preserve"> </w:t>
      </w:r>
      <w:r w:rsidRPr="00B24CA3">
        <w:t>göre, dil</w:t>
      </w:r>
      <w:r w:rsidRPr="00B24CA3">
        <w:rPr>
          <w:spacing w:val="-6"/>
        </w:rPr>
        <w:t xml:space="preserve"> </w:t>
      </w:r>
      <w:r w:rsidRPr="00B24CA3">
        <w:t>yeterliliği</w:t>
      </w:r>
      <w:r w:rsidRPr="00B24CA3">
        <w:rPr>
          <w:spacing w:val="-5"/>
        </w:rPr>
        <w:t xml:space="preserve"> </w:t>
      </w:r>
      <w:r w:rsidRPr="00B24CA3">
        <w:t>uluslararası</w:t>
      </w:r>
      <w:r w:rsidRPr="00B24CA3">
        <w:rPr>
          <w:spacing w:val="-6"/>
        </w:rPr>
        <w:t xml:space="preserve"> </w:t>
      </w:r>
      <w:r w:rsidRPr="00B24CA3">
        <w:t>öğrenciler</w:t>
      </w:r>
      <w:r w:rsidRPr="00B24CA3">
        <w:rPr>
          <w:spacing w:val="-4"/>
        </w:rPr>
        <w:t xml:space="preserve"> </w:t>
      </w:r>
      <w:r w:rsidRPr="00B24CA3">
        <w:t xml:space="preserve">için büyük bir stres kaynağı olduğunu göstermektedir (Smith ve </w:t>
      </w:r>
      <w:proofErr w:type="spellStart"/>
      <w:r w:rsidRPr="00B24CA3">
        <w:t>Khawaja</w:t>
      </w:r>
      <w:proofErr w:type="spellEnd"/>
      <w:r w:rsidRPr="00B24CA3">
        <w:t>, 2011). Bu nedenle dil toplumların</w:t>
      </w:r>
      <w:r w:rsidRPr="00B24CA3">
        <w:rPr>
          <w:spacing w:val="-9"/>
        </w:rPr>
        <w:t xml:space="preserve"> </w:t>
      </w:r>
      <w:r w:rsidRPr="00B24CA3">
        <w:t>önemli</w:t>
      </w:r>
      <w:r w:rsidRPr="00B24CA3">
        <w:rPr>
          <w:spacing w:val="-5"/>
        </w:rPr>
        <w:t xml:space="preserve"> </w:t>
      </w:r>
      <w:r w:rsidRPr="00B24CA3">
        <w:t>bir</w:t>
      </w:r>
      <w:r w:rsidRPr="00B24CA3">
        <w:rPr>
          <w:spacing w:val="-9"/>
        </w:rPr>
        <w:t xml:space="preserve"> </w:t>
      </w:r>
      <w:r w:rsidRPr="00B24CA3">
        <w:t>parçası</w:t>
      </w:r>
      <w:r w:rsidRPr="00B24CA3">
        <w:rPr>
          <w:spacing w:val="-10"/>
        </w:rPr>
        <w:t xml:space="preserve"> </w:t>
      </w:r>
      <w:r w:rsidRPr="00B24CA3">
        <w:t>olarak</w:t>
      </w:r>
      <w:r w:rsidRPr="00B24CA3">
        <w:rPr>
          <w:spacing w:val="-9"/>
        </w:rPr>
        <w:t xml:space="preserve"> </w:t>
      </w:r>
      <w:r w:rsidRPr="00B24CA3">
        <w:t>kabul</w:t>
      </w:r>
      <w:r w:rsidRPr="00B24CA3">
        <w:rPr>
          <w:spacing w:val="-10"/>
        </w:rPr>
        <w:t xml:space="preserve"> </w:t>
      </w:r>
      <w:r w:rsidRPr="00B24CA3">
        <w:t>edilir.</w:t>
      </w:r>
      <w:r w:rsidRPr="00B24CA3">
        <w:rPr>
          <w:spacing w:val="-8"/>
        </w:rPr>
        <w:t xml:space="preserve"> </w:t>
      </w:r>
      <w:r w:rsidRPr="00B24CA3">
        <w:t>Dil</w:t>
      </w:r>
      <w:r w:rsidRPr="00B24CA3">
        <w:rPr>
          <w:spacing w:val="-10"/>
        </w:rPr>
        <w:t xml:space="preserve"> </w:t>
      </w:r>
      <w:r w:rsidRPr="00B24CA3">
        <w:t>yalnızca</w:t>
      </w:r>
      <w:r w:rsidRPr="00B24CA3">
        <w:rPr>
          <w:spacing w:val="-5"/>
        </w:rPr>
        <w:t xml:space="preserve"> </w:t>
      </w:r>
      <w:r w:rsidRPr="00B24CA3">
        <w:t>iletişim</w:t>
      </w:r>
      <w:r w:rsidRPr="00B24CA3">
        <w:rPr>
          <w:spacing w:val="-5"/>
        </w:rPr>
        <w:t xml:space="preserve"> </w:t>
      </w:r>
      <w:r w:rsidRPr="00B24CA3">
        <w:t>kurmak</w:t>
      </w:r>
      <w:r w:rsidRPr="00B24CA3">
        <w:rPr>
          <w:spacing w:val="-3"/>
        </w:rPr>
        <w:t xml:space="preserve"> </w:t>
      </w:r>
      <w:r w:rsidRPr="00B24CA3">
        <w:t>için</w:t>
      </w:r>
      <w:r w:rsidRPr="00B24CA3">
        <w:rPr>
          <w:spacing w:val="-9"/>
        </w:rPr>
        <w:t xml:space="preserve"> </w:t>
      </w:r>
      <w:r w:rsidRPr="00B24CA3">
        <w:t>değil,</w:t>
      </w:r>
      <w:r w:rsidRPr="00B24CA3">
        <w:rPr>
          <w:spacing w:val="-4"/>
        </w:rPr>
        <w:t xml:space="preserve"> </w:t>
      </w:r>
      <w:r w:rsidRPr="00B24CA3">
        <w:t>aynı zamanda</w:t>
      </w:r>
      <w:r w:rsidRPr="00B24CA3">
        <w:rPr>
          <w:spacing w:val="-13"/>
        </w:rPr>
        <w:t xml:space="preserve"> </w:t>
      </w:r>
      <w:r w:rsidRPr="00B24CA3">
        <w:t>değerleri,</w:t>
      </w:r>
      <w:r w:rsidRPr="00B24CA3">
        <w:rPr>
          <w:spacing w:val="-12"/>
        </w:rPr>
        <w:t xml:space="preserve"> </w:t>
      </w:r>
      <w:r w:rsidRPr="00B24CA3">
        <w:t>inançları</w:t>
      </w:r>
      <w:r w:rsidRPr="00B24CA3">
        <w:rPr>
          <w:spacing w:val="-13"/>
        </w:rPr>
        <w:t xml:space="preserve"> </w:t>
      </w:r>
      <w:r w:rsidRPr="00B24CA3">
        <w:t>ve</w:t>
      </w:r>
      <w:r w:rsidRPr="00B24CA3">
        <w:rPr>
          <w:spacing w:val="-13"/>
        </w:rPr>
        <w:t xml:space="preserve"> </w:t>
      </w:r>
      <w:r w:rsidRPr="00B24CA3">
        <w:t>kimliği</w:t>
      </w:r>
      <w:r w:rsidRPr="00B24CA3">
        <w:rPr>
          <w:spacing w:val="-9"/>
        </w:rPr>
        <w:t xml:space="preserve"> </w:t>
      </w:r>
      <w:r w:rsidRPr="00B24CA3">
        <w:t>ifade</w:t>
      </w:r>
      <w:r w:rsidRPr="00B24CA3">
        <w:rPr>
          <w:spacing w:val="-9"/>
        </w:rPr>
        <w:t xml:space="preserve"> </w:t>
      </w:r>
      <w:r w:rsidRPr="00B24CA3">
        <w:t>etmek</w:t>
      </w:r>
      <w:r w:rsidRPr="00B24CA3">
        <w:rPr>
          <w:spacing w:val="-8"/>
        </w:rPr>
        <w:t xml:space="preserve"> </w:t>
      </w:r>
      <w:r w:rsidRPr="00B24CA3">
        <w:t>için</w:t>
      </w:r>
      <w:r w:rsidRPr="00B24CA3">
        <w:rPr>
          <w:spacing w:val="-12"/>
        </w:rPr>
        <w:t xml:space="preserve"> </w:t>
      </w:r>
      <w:r w:rsidRPr="00B24CA3">
        <w:t>de</w:t>
      </w:r>
      <w:r w:rsidRPr="00B24CA3">
        <w:rPr>
          <w:spacing w:val="-9"/>
        </w:rPr>
        <w:t xml:space="preserve"> </w:t>
      </w:r>
      <w:r w:rsidRPr="00B24CA3">
        <w:t>kullanılmaktadır.</w:t>
      </w:r>
      <w:r w:rsidRPr="00B24CA3">
        <w:rPr>
          <w:spacing w:val="-8"/>
        </w:rPr>
        <w:t xml:space="preserve"> </w:t>
      </w:r>
      <w:r w:rsidRPr="00B24CA3">
        <w:t>Dolaysıyla</w:t>
      </w:r>
      <w:r w:rsidRPr="00B24CA3">
        <w:rPr>
          <w:spacing w:val="-13"/>
        </w:rPr>
        <w:t xml:space="preserve"> </w:t>
      </w:r>
      <w:r w:rsidRPr="00B24CA3">
        <w:t>içinde yaşayacağın bir toplumun dili bilinmesi büyük bir öneme sahiptir.</w:t>
      </w:r>
    </w:p>
    <w:p w14:paraId="74513B84" w14:textId="77777777" w:rsidR="0009245C" w:rsidRPr="00B24CA3" w:rsidRDefault="0009245C" w:rsidP="00BA67A6">
      <w:pPr>
        <w:pStyle w:val="GvdeMetni"/>
        <w:ind w:right="159"/>
        <w:jc w:val="both"/>
      </w:pPr>
    </w:p>
    <w:p w14:paraId="528D2AD3" w14:textId="77777777" w:rsidR="00FF4BC0" w:rsidRDefault="00FF4BC0" w:rsidP="00BA67A6">
      <w:pPr>
        <w:pStyle w:val="GvdeMetni"/>
        <w:ind w:right="163"/>
        <w:jc w:val="both"/>
        <w:rPr>
          <w:spacing w:val="-2"/>
        </w:rPr>
      </w:pPr>
      <w:r w:rsidRPr="00B24CA3">
        <w:t>Akademik</w:t>
      </w:r>
      <w:r w:rsidRPr="00B24CA3">
        <w:rPr>
          <w:spacing w:val="-15"/>
        </w:rPr>
        <w:t xml:space="preserve"> </w:t>
      </w:r>
      <w:r w:rsidRPr="00B24CA3">
        <w:t>açısından</w:t>
      </w:r>
      <w:r w:rsidRPr="00B24CA3">
        <w:rPr>
          <w:spacing w:val="-15"/>
        </w:rPr>
        <w:t xml:space="preserve"> </w:t>
      </w:r>
      <w:r w:rsidRPr="00B24CA3">
        <w:t>bakıldığında,</w:t>
      </w:r>
      <w:r w:rsidRPr="00B24CA3">
        <w:rPr>
          <w:spacing w:val="-15"/>
        </w:rPr>
        <w:t xml:space="preserve"> </w:t>
      </w:r>
      <w:r w:rsidRPr="00B24CA3">
        <w:t>bireyin</w:t>
      </w:r>
      <w:r w:rsidRPr="00B24CA3">
        <w:rPr>
          <w:spacing w:val="-15"/>
        </w:rPr>
        <w:t xml:space="preserve"> </w:t>
      </w:r>
      <w:r w:rsidRPr="00B24CA3">
        <w:t>öğretim</w:t>
      </w:r>
      <w:r w:rsidRPr="00B24CA3">
        <w:rPr>
          <w:spacing w:val="-15"/>
        </w:rPr>
        <w:t xml:space="preserve"> </w:t>
      </w:r>
      <w:r w:rsidRPr="00B24CA3">
        <w:t>diline</w:t>
      </w:r>
      <w:r w:rsidRPr="00B24CA3">
        <w:rPr>
          <w:spacing w:val="-15"/>
        </w:rPr>
        <w:t xml:space="preserve"> </w:t>
      </w:r>
      <w:r w:rsidRPr="00B24CA3">
        <w:t>yeterli</w:t>
      </w:r>
      <w:r w:rsidRPr="00B24CA3">
        <w:rPr>
          <w:spacing w:val="-15"/>
        </w:rPr>
        <w:t xml:space="preserve"> </w:t>
      </w:r>
      <w:r w:rsidRPr="00B24CA3">
        <w:t>düzeyde</w:t>
      </w:r>
      <w:r w:rsidRPr="00B24CA3">
        <w:rPr>
          <w:spacing w:val="-15"/>
        </w:rPr>
        <w:t xml:space="preserve"> </w:t>
      </w:r>
      <w:r w:rsidRPr="00B24CA3">
        <w:t>hâkim</w:t>
      </w:r>
      <w:r w:rsidRPr="00B24CA3">
        <w:rPr>
          <w:spacing w:val="-15"/>
        </w:rPr>
        <w:t xml:space="preserve"> </w:t>
      </w:r>
      <w:r w:rsidRPr="00B24CA3">
        <w:t>olmaması,</w:t>
      </w:r>
      <w:r w:rsidRPr="00B24CA3">
        <w:rPr>
          <w:spacing w:val="-15"/>
        </w:rPr>
        <w:t xml:space="preserve"> </w:t>
      </w:r>
      <w:r w:rsidRPr="00B24CA3">
        <w:t xml:space="preserve">ders materyallerini kavrama sürecini zorlaştırmaktadır. Özellikle sınav esnasında, soruların doğru şekilde okunması, yorumlanması ve uygun yanıtların verilmesi, dil yeterliliği büyük önem taşımaktadır. Uluslararası öğrenciler, bu tür sorunlarla özellikle ilk yıllarda daha fazla </w:t>
      </w:r>
      <w:r w:rsidRPr="00B24CA3">
        <w:rPr>
          <w:spacing w:val="-2"/>
        </w:rPr>
        <w:t>karşılaşmaktadır.</w:t>
      </w:r>
    </w:p>
    <w:p w14:paraId="25D3A1C4" w14:textId="77777777" w:rsidR="0009245C" w:rsidRPr="00B24CA3" w:rsidRDefault="0009245C" w:rsidP="00BA67A6">
      <w:pPr>
        <w:pStyle w:val="GvdeMetni"/>
        <w:ind w:right="163"/>
        <w:jc w:val="both"/>
      </w:pPr>
    </w:p>
    <w:p w14:paraId="0CB0C67C" w14:textId="77777777" w:rsidR="00FF4BC0" w:rsidRDefault="00FF4BC0" w:rsidP="00BA67A6">
      <w:pPr>
        <w:pStyle w:val="GvdeMetni"/>
        <w:ind w:right="158"/>
        <w:jc w:val="both"/>
      </w:pPr>
      <w:r w:rsidRPr="00B24CA3">
        <w:t>Eğitim</w:t>
      </w:r>
      <w:r w:rsidRPr="00B24CA3">
        <w:rPr>
          <w:spacing w:val="-15"/>
        </w:rPr>
        <w:t xml:space="preserve"> </w:t>
      </w:r>
      <w:r w:rsidRPr="00B24CA3">
        <w:t>ortamına</w:t>
      </w:r>
      <w:r w:rsidRPr="00B24CA3">
        <w:rPr>
          <w:spacing w:val="-15"/>
        </w:rPr>
        <w:t xml:space="preserve"> </w:t>
      </w:r>
      <w:r w:rsidRPr="00B24CA3">
        <w:t>uyum</w:t>
      </w:r>
      <w:r w:rsidRPr="00B24CA3">
        <w:rPr>
          <w:spacing w:val="-15"/>
        </w:rPr>
        <w:t xml:space="preserve"> </w:t>
      </w:r>
      <w:r w:rsidRPr="00B24CA3">
        <w:t>ile</w:t>
      </w:r>
      <w:r w:rsidRPr="00B24CA3">
        <w:rPr>
          <w:spacing w:val="-15"/>
        </w:rPr>
        <w:t xml:space="preserve"> </w:t>
      </w:r>
      <w:r w:rsidRPr="00B24CA3">
        <w:t>yaşanan</w:t>
      </w:r>
      <w:r w:rsidRPr="00B24CA3">
        <w:rPr>
          <w:spacing w:val="-15"/>
        </w:rPr>
        <w:t xml:space="preserve"> </w:t>
      </w:r>
      <w:r w:rsidRPr="00B24CA3">
        <w:t>sorunlardan:</w:t>
      </w:r>
      <w:r w:rsidRPr="00B24CA3">
        <w:rPr>
          <w:spacing w:val="-15"/>
        </w:rPr>
        <w:t xml:space="preserve"> </w:t>
      </w:r>
      <w:r w:rsidRPr="00B24CA3">
        <w:t>iletişim</w:t>
      </w:r>
      <w:r w:rsidRPr="00B24CA3">
        <w:rPr>
          <w:spacing w:val="-15"/>
        </w:rPr>
        <w:t xml:space="preserve"> </w:t>
      </w:r>
      <w:r w:rsidRPr="00B24CA3">
        <w:t>sorunları,</w:t>
      </w:r>
      <w:r w:rsidRPr="00B24CA3">
        <w:rPr>
          <w:spacing w:val="-11"/>
        </w:rPr>
        <w:t xml:space="preserve"> </w:t>
      </w:r>
      <w:r w:rsidRPr="00B24CA3">
        <w:t>derslere</w:t>
      </w:r>
      <w:r w:rsidRPr="00B24CA3">
        <w:rPr>
          <w:spacing w:val="-15"/>
        </w:rPr>
        <w:t xml:space="preserve"> </w:t>
      </w:r>
      <w:r w:rsidRPr="00B24CA3">
        <w:t>uyumama</w:t>
      </w:r>
      <w:r w:rsidRPr="00B24CA3">
        <w:rPr>
          <w:spacing w:val="-15"/>
        </w:rPr>
        <w:t xml:space="preserve"> </w:t>
      </w:r>
      <w:r w:rsidRPr="00B24CA3">
        <w:t>ve</w:t>
      </w:r>
      <w:r w:rsidRPr="00B24CA3">
        <w:rPr>
          <w:spacing w:val="-15"/>
        </w:rPr>
        <w:t xml:space="preserve"> </w:t>
      </w:r>
      <w:r w:rsidRPr="00B24CA3">
        <w:t xml:space="preserve">okulun ya da sınıfın kurallarına uyumama gibi zorlukların olduğunu, Kuzey Kıbrıs Türk Cumhuriyeti’nde bulunan bir devlet kolejinde öğrenim gören yabancı uyruklu öğrenciler üzerinde yapılan araştırma ortaya çıkarmıştır (Takır ve </w:t>
      </w:r>
      <w:proofErr w:type="spellStart"/>
      <w:r w:rsidRPr="00B24CA3">
        <w:t>Özerem</w:t>
      </w:r>
      <w:proofErr w:type="spellEnd"/>
      <w:r w:rsidRPr="00B24CA3">
        <w:t>, 2019). Bu çalışmaya katılan öğretmenlerin ise, yabancı uyruklu öğrencilerin uyum sorunlarından dolayı öğrencilerin arkadaş ortamına katılmadıklarını belirtilmiştir. 210 Türk ve uluslararası öğrenci üzerinde yapılan çalışmada, lisansüstü eğitimi gören öğrencilerin daha fazla akademik ve sosyal deneyime sahip olmalarının, lisans öğrencilerine göre daha fazla kültürel ve sosyal çevrelerle etkileşime girme olasılıklarını artırdığı ve bunun da empati düzeylerini yükselttiğini sonuca varmıştır (</w:t>
      </w:r>
      <w:proofErr w:type="spellStart"/>
      <w:r w:rsidRPr="00B24CA3">
        <w:t>Abaslı</w:t>
      </w:r>
      <w:proofErr w:type="spellEnd"/>
      <w:r w:rsidRPr="00B24CA3">
        <w:t>, 2018). Bu açısından bakıldığında, öğrencilerin uyum sürecinde deneyimledikleri zorlukların üstesinden gelebilmeleri için sosyal ve akademik deneyimlerin önemli olduğunu vurgulamaktadır.</w:t>
      </w:r>
    </w:p>
    <w:p w14:paraId="092A0141" w14:textId="77777777" w:rsidR="00800DA9" w:rsidRPr="00B24CA3" w:rsidRDefault="00800DA9" w:rsidP="00BA67A6">
      <w:pPr>
        <w:pStyle w:val="GvdeMetni"/>
        <w:ind w:right="158"/>
        <w:jc w:val="both"/>
      </w:pPr>
    </w:p>
    <w:p w14:paraId="124B422F" w14:textId="77777777" w:rsidR="0009245C" w:rsidRDefault="00FF4BC0" w:rsidP="0009245C">
      <w:pPr>
        <w:rPr>
          <w:b/>
          <w:bCs/>
          <w:spacing w:val="-2"/>
        </w:rPr>
      </w:pPr>
      <w:r w:rsidRPr="00800DA9">
        <w:rPr>
          <w:b/>
          <w:bCs/>
        </w:rPr>
        <w:t>Uluslararası</w:t>
      </w:r>
      <w:r w:rsidRPr="00800DA9">
        <w:rPr>
          <w:b/>
          <w:bCs/>
          <w:spacing w:val="-6"/>
        </w:rPr>
        <w:t xml:space="preserve"> </w:t>
      </w:r>
      <w:r w:rsidRPr="00800DA9">
        <w:rPr>
          <w:b/>
          <w:bCs/>
        </w:rPr>
        <w:t>Öğrencilerin</w:t>
      </w:r>
      <w:r w:rsidRPr="00800DA9">
        <w:rPr>
          <w:b/>
          <w:bCs/>
          <w:spacing w:val="-2"/>
        </w:rPr>
        <w:t xml:space="preserve"> </w:t>
      </w:r>
      <w:r w:rsidRPr="00800DA9">
        <w:rPr>
          <w:b/>
          <w:bCs/>
        </w:rPr>
        <w:t>Uyum</w:t>
      </w:r>
      <w:r w:rsidRPr="00800DA9">
        <w:rPr>
          <w:b/>
          <w:bCs/>
          <w:spacing w:val="-3"/>
        </w:rPr>
        <w:t xml:space="preserve"> </w:t>
      </w:r>
      <w:r w:rsidRPr="00800DA9">
        <w:rPr>
          <w:b/>
          <w:bCs/>
        </w:rPr>
        <w:t>Sürecini</w:t>
      </w:r>
      <w:r w:rsidRPr="00800DA9">
        <w:rPr>
          <w:b/>
          <w:bCs/>
          <w:spacing w:val="-5"/>
        </w:rPr>
        <w:t xml:space="preserve"> </w:t>
      </w:r>
      <w:r w:rsidRPr="00800DA9">
        <w:rPr>
          <w:b/>
          <w:bCs/>
        </w:rPr>
        <w:t>etkileyen</w:t>
      </w:r>
      <w:r w:rsidRPr="00800DA9">
        <w:rPr>
          <w:b/>
          <w:bCs/>
          <w:spacing w:val="4"/>
        </w:rPr>
        <w:t xml:space="preserve"> </w:t>
      </w:r>
      <w:r w:rsidRPr="00800DA9">
        <w:rPr>
          <w:b/>
          <w:bCs/>
          <w:spacing w:val="-2"/>
        </w:rPr>
        <w:t>faktöreler</w:t>
      </w:r>
    </w:p>
    <w:p w14:paraId="4C4A2E4F" w14:textId="51B95BD9" w:rsidR="00FF4BC0" w:rsidRPr="0009245C" w:rsidRDefault="00FF4BC0" w:rsidP="0009245C">
      <w:pPr>
        <w:rPr>
          <w:b/>
          <w:bCs/>
        </w:rPr>
      </w:pPr>
      <w:r w:rsidRPr="00B24CA3">
        <w:t>Bu alanda yapılan farklı çalışmalar, uluslararası öğrencilerin uyum süreci farklı faktörlerden etkilendiğini öne sürmektedir. Bu çalışmalardan bir öğrencinin uyum süreci dil yeterliliği, eğitim düzeyi, sosyokültürel deneyimleri, kalış süresi, sosyal etkileşimleri, akademik</w:t>
      </w:r>
      <w:r w:rsidR="0009245C">
        <w:t xml:space="preserve"> </w:t>
      </w:r>
      <w:r w:rsidRPr="00B24CA3">
        <w:t>performansı gibi faktörlerden etkilenmektedir (</w:t>
      </w:r>
      <w:proofErr w:type="spellStart"/>
      <w:r w:rsidRPr="00B24CA3">
        <w:t>Pinarbasi</w:t>
      </w:r>
      <w:proofErr w:type="spellEnd"/>
      <w:r w:rsidRPr="00B24CA3">
        <w:t>, 2023). Ayrıca, Düzce</w:t>
      </w:r>
      <w:r w:rsidR="0009245C">
        <w:t xml:space="preserve"> </w:t>
      </w:r>
      <w:r w:rsidRPr="00B24CA3">
        <w:t>Üniversitesi’nde</w:t>
      </w:r>
      <w:r w:rsidRPr="00B24CA3">
        <w:rPr>
          <w:spacing w:val="80"/>
        </w:rPr>
        <w:t xml:space="preserve"> </w:t>
      </w:r>
      <w:r w:rsidRPr="00B24CA3">
        <w:t>yükseköğrenim</w:t>
      </w:r>
      <w:r w:rsidRPr="00B24CA3">
        <w:rPr>
          <w:spacing w:val="80"/>
        </w:rPr>
        <w:t xml:space="preserve"> </w:t>
      </w:r>
      <w:r w:rsidRPr="00B24CA3">
        <w:t>eğitimi</w:t>
      </w:r>
      <w:r w:rsidRPr="00B24CA3">
        <w:rPr>
          <w:spacing w:val="80"/>
        </w:rPr>
        <w:t xml:space="preserve"> </w:t>
      </w:r>
      <w:r w:rsidRPr="00B24CA3">
        <w:t>gören</w:t>
      </w:r>
      <w:r w:rsidRPr="00B24CA3">
        <w:rPr>
          <w:spacing w:val="80"/>
        </w:rPr>
        <w:t xml:space="preserve"> </w:t>
      </w:r>
      <w:r w:rsidRPr="00B24CA3">
        <w:t>uluslararası</w:t>
      </w:r>
      <w:r w:rsidRPr="00B24CA3">
        <w:rPr>
          <w:spacing w:val="80"/>
        </w:rPr>
        <w:t xml:space="preserve"> </w:t>
      </w:r>
      <w:r w:rsidRPr="00B24CA3">
        <w:t>öğrenciler</w:t>
      </w:r>
      <w:r w:rsidRPr="00B24CA3">
        <w:rPr>
          <w:spacing w:val="80"/>
        </w:rPr>
        <w:t xml:space="preserve"> </w:t>
      </w:r>
      <w:r w:rsidRPr="00B24CA3">
        <w:t>üzerinde</w:t>
      </w:r>
      <w:r w:rsidRPr="00B24CA3">
        <w:rPr>
          <w:spacing w:val="80"/>
        </w:rPr>
        <w:t xml:space="preserve"> </w:t>
      </w:r>
      <w:r w:rsidRPr="00B24CA3">
        <w:t>yapılan</w:t>
      </w:r>
    </w:p>
    <w:p w14:paraId="54DF7094"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1AEEBC7A" w14:textId="77777777" w:rsidR="00FF4BC0" w:rsidRDefault="00FF4BC0" w:rsidP="00BA67A6">
      <w:pPr>
        <w:pStyle w:val="GvdeMetni"/>
        <w:ind w:right="166"/>
        <w:jc w:val="both"/>
      </w:pPr>
      <w:proofErr w:type="gramStart"/>
      <w:r w:rsidRPr="00B24CA3">
        <w:lastRenderedPageBreak/>
        <w:t>çalışmada</w:t>
      </w:r>
      <w:proofErr w:type="gramEnd"/>
      <w:r w:rsidRPr="00B24CA3">
        <w:t>,</w:t>
      </w:r>
      <w:r w:rsidRPr="00B24CA3">
        <w:rPr>
          <w:spacing w:val="-15"/>
        </w:rPr>
        <w:t xml:space="preserve"> </w:t>
      </w:r>
      <w:r w:rsidRPr="00B24CA3">
        <w:t>üniversiteye</w:t>
      </w:r>
      <w:r w:rsidRPr="00B24CA3">
        <w:rPr>
          <w:spacing w:val="-15"/>
        </w:rPr>
        <w:t xml:space="preserve"> </w:t>
      </w:r>
      <w:r w:rsidRPr="00B24CA3">
        <w:t>uyum</w:t>
      </w:r>
      <w:r w:rsidRPr="00B24CA3">
        <w:rPr>
          <w:spacing w:val="-15"/>
        </w:rPr>
        <w:t xml:space="preserve"> </w:t>
      </w:r>
      <w:r w:rsidRPr="00B24CA3">
        <w:t>sağlamada</w:t>
      </w:r>
      <w:r w:rsidRPr="00B24CA3">
        <w:rPr>
          <w:spacing w:val="-15"/>
        </w:rPr>
        <w:t xml:space="preserve"> </w:t>
      </w:r>
      <w:r w:rsidRPr="00B24CA3">
        <w:t>cinsiyet,</w:t>
      </w:r>
      <w:r w:rsidRPr="00B24CA3">
        <w:rPr>
          <w:spacing w:val="-15"/>
        </w:rPr>
        <w:t xml:space="preserve"> </w:t>
      </w:r>
      <w:r w:rsidRPr="00B24CA3">
        <w:t>Türkiye'de</w:t>
      </w:r>
      <w:r w:rsidRPr="00B24CA3">
        <w:rPr>
          <w:spacing w:val="-15"/>
        </w:rPr>
        <w:t xml:space="preserve"> </w:t>
      </w:r>
      <w:r w:rsidRPr="00B24CA3">
        <w:t>kalma</w:t>
      </w:r>
      <w:r w:rsidRPr="00B24CA3">
        <w:rPr>
          <w:spacing w:val="-15"/>
        </w:rPr>
        <w:t xml:space="preserve"> </w:t>
      </w:r>
      <w:r w:rsidRPr="00B24CA3">
        <w:t>süresi,</w:t>
      </w:r>
      <w:r w:rsidRPr="00B24CA3">
        <w:rPr>
          <w:spacing w:val="-15"/>
        </w:rPr>
        <w:t xml:space="preserve"> </w:t>
      </w:r>
      <w:r w:rsidRPr="00B24CA3">
        <w:t>Türkçe'</w:t>
      </w:r>
      <w:r w:rsidRPr="00B24CA3">
        <w:rPr>
          <w:spacing w:val="-15"/>
        </w:rPr>
        <w:t xml:space="preserve"> </w:t>
      </w:r>
      <w:r w:rsidRPr="00B24CA3">
        <w:t>ye</w:t>
      </w:r>
      <w:r w:rsidRPr="00B24CA3">
        <w:rPr>
          <w:spacing w:val="-15"/>
        </w:rPr>
        <w:t xml:space="preserve"> </w:t>
      </w:r>
      <w:r w:rsidRPr="00B24CA3">
        <w:t xml:space="preserve">önceden hâkim olma, yaşanılan yerden memnuniyet ve diğer insanların arkadaş canlısı olmadığına inanma gibi çeşitli faktörler etkili olduğunu tespit edilmiştir (Sungur, Şahin, Can, Şahin, Duman, </w:t>
      </w:r>
      <w:proofErr w:type="spellStart"/>
      <w:r w:rsidRPr="00B24CA3">
        <w:t>pektaş</w:t>
      </w:r>
      <w:proofErr w:type="spellEnd"/>
      <w:r w:rsidRPr="00B24CA3">
        <w:t>, Doğan, Alkan ve Onur, 2016).</w:t>
      </w:r>
    </w:p>
    <w:p w14:paraId="58E880E6" w14:textId="77777777" w:rsidR="004C7694" w:rsidRPr="00B24CA3" w:rsidRDefault="004C7694" w:rsidP="00BA67A6">
      <w:pPr>
        <w:pStyle w:val="GvdeMetni"/>
        <w:ind w:right="166"/>
        <w:jc w:val="both"/>
      </w:pPr>
    </w:p>
    <w:p w14:paraId="53C15E93" w14:textId="77777777" w:rsidR="00FF4BC0" w:rsidRDefault="00FF4BC0" w:rsidP="00BA67A6">
      <w:pPr>
        <w:pStyle w:val="GvdeMetni"/>
        <w:ind w:right="158"/>
        <w:jc w:val="both"/>
      </w:pPr>
      <w:r w:rsidRPr="00B24CA3">
        <w:t>Cinsiyet, uluslararası öğrencilerin sosyal, akademik ve kültürel uyum süreçlerini etkileyen önemli bir faktördür. Çalışmalar, erkek ve kadın öğrencilerin uyum sürecinde farklı zorluklar ve fırsatlarla karşı karşıya olduğunu göstermektedir. Örneğin, Amerika'da yaşayan Arap öğrencileri ve amaçlı öğrencilerin akademik ve sosyal uyum üzerinde yapılan araştırmanın bulgularına göre, kız öğrencilerin sosyal uyum sürecinde erkeklerden daha uzun sürdüğünü tespit etmiştir (Al-</w:t>
      </w:r>
      <w:proofErr w:type="spellStart"/>
      <w:r w:rsidRPr="00B24CA3">
        <w:t>Hattami</w:t>
      </w:r>
      <w:proofErr w:type="spellEnd"/>
      <w:r w:rsidRPr="00B24CA3">
        <w:t xml:space="preserve"> ve Al-</w:t>
      </w:r>
      <w:proofErr w:type="spellStart"/>
      <w:r w:rsidRPr="00B24CA3">
        <w:t>Ahdal</w:t>
      </w:r>
      <w:proofErr w:type="spellEnd"/>
      <w:r w:rsidRPr="00B24CA3">
        <w:t>, 2014). Kız öğrencilerin toplumsal cinsiyet normları nedeniyle sosyal etkileşimlerde daha temkinli olabilmekte ve güvenlik endişeleri nedeniyle sosyal aktivitelere katılma konusunda daha isteksiz olabilmektedirler. Öte yandan, erkek öğrenciler genellikle daha geniş bir sosyal hareketliliğe sahip olup, sosyal ağlarını daha hızlı genişletebilmekte. Ayrıca, kadın öğrenciler konaklama ve güvenlik açısından daha seçici olurken, erkek öğrenciler ise daha esnek konaklama seçeneklerine sahip olmaktadırlar.</w:t>
      </w:r>
    </w:p>
    <w:p w14:paraId="7ADF8D80" w14:textId="77777777" w:rsidR="004C7694" w:rsidRPr="00B24CA3" w:rsidRDefault="004C7694" w:rsidP="00BA67A6">
      <w:pPr>
        <w:pStyle w:val="GvdeMetni"/>
        <w:ind w:right="158"/>
        <w:jc w:val="both"/>
      </w:pPr>
    </w:p>
    <w:p w14:paraId="3C560777" w14:textId="77777777" w:rsidR="00FF4BC0" w:rsidRDefault="00FF4BC0" w:rsidP="00BA67A6">
      <w:pPr>
        <w:pStyle w:val="GvdeMetni"/>
        <w:ind w:right="158"/>
        <w:jc w:val="both"/>
      </w:pPr>
      <w:r w:rsidRPr="00B24CA3">
        <w:t xml:space="preserve">576 göçmenler üzerinde yapılan bir araştırmada, bireylerin içinde bulunduğu ülkedeki kalma süresi doğrudan entegrasyon sürecini etkilediğini göstermiştir </w:t>
      </w:r>
      <w:proofErr w:type="gramStart"/>
      <w:r w:rsidRPr="00B24CA3">
        <w:t xml:space="preserve">( </w:t>
      </w:r>
      <w:proofErr w:type="spellStart"/>
      <w:r w:rsidRPr="00B24CA3">
        <w:t>Miglietta</w:t>
      </w:r>
      <w:proofErr w:type="spellEnd"/>
      <w:proofErr w:type="gramEnd"/>
      <w:r w:rsidRPr="00B24CA3">
        <w:t xml:space="preserve"> ve </w:t>
      </w:r>
      <w:proofErr w:type="spellStart"/>
      <w:r w:rsidRPr="00B24CA3">
        <w:t>Tartaglie</w:t>
      </w:r>
      <w:proofErr w:type="spellEnd"/>
      <w:r w:rsidRPr="00B24CA3">
        <w:t>, 2009). Özellikle, daha uzun süreler bireylerin kültürel normlar ve uygulamalarla daha fazla tanışmasını</w:t>
      </w:r>
      <w:r w:rsidRPr="00B24CA3">
        <w:rPr>
          <w:spacing w:val="-9"/>
        </w:rPr>
        <w:t xml:space="preserve"> </w:t>
      </w:r>
      <w:r w:rsidRPr="00B24CA3">
        <w:t>sağlayarak</w:t>
      </w:r>
      <w:r w:rsidRPr="00B24CA3">
        <w:rPr>
          <w:spacing w:val="-3"/>
        </w:rPr>
        <w:t xml:space="preserve"> </w:t>
      </w:r>
      <w:r w:rsidRPr="00B24CA3">
        <w:t>daha</w:t>
      </w:r>
      <w:r w:rsidRPr="00B24CA3">
        <w:rPr>
          <w:spacing w:val="-4"/>
        </w:rPr>
        <w:t xml:space="preserve"> </w:t>
      </w:r>
      <w:r w:rsidRPr="00B24CA3">
        <w:t>iyi</w:t>
      </w:r>
      <w:r w:rsidRPr="00B24CA3">
        <w:rPr>
          <w:spacing w:val="-1"/>
        </w:rPr>
        <w:t xml:space="preserve"> </w:t>
      </w:r>
      <w:r w:rsidRPr="00B24CA3">
        <w:t>entegrasyona</w:t>
      </w:r>
      <w:r w:rsidRPr="00B24CA3">
        <w:rPr>
          <w:spacing w:val="-9"/>
        </w:rPr>
        <w:t xml:space="preserve"> </w:t>
      </w:r>
      <w:r w:rsidRPr="00B24CA3">
        <w:t>ve</w:t>
      </w:r>
      <w:r w:rsidRPr="00B24CA3">
        <w:rPr>
          <w:spacing w:val="-9"/>
        </w:rPr>
        <w:t xml:space="preserve"> </w:t>
      </w:r>
      <w:r w:rsidRPr="00B24CA3">
        <w:t>yabancılaşma</w:t>
      </w:r>
      <w:r w:rsidRPr="00B24CA3">
        <w:rPr>
          <w:spacing w:val="-9"/>
        </w:rPr>
        <w:t xml:space="preserve"> </w:t>
      </w:r>
      <w:r w:rsidRPr="00B24CA3">
        <w:t>hissinin</w:t>
      </w:r>
      <w:r w:rsidRPr="00B24CA3">
        <w:rPr>
          <w:spacing w:val="-3"/>
        </w:rPr>
        <w:t xml:space="preserve"> </w:t>
      </w:r>
      <w:r w:rsidRPr="00B24CA3">
        <w:t>azalmasına</w:t>
      </w:r>
      <w:r w:rsidRPr="00B24CA3">
        <w:rPr>
          <w:spacing w:val="-9"/>
        </w:rPr>
        <w:t xml:space="preserve"> </w:t>
      </w:r>
      <w:r w:rsidRPr="00B24CA3">
        <w:t>yol</w:t>
      </w:r>
      <w:r w:rsidRPr="00B24CA3">
        <w:rPr>
          <w:spacing w:val="-9"/>
        </w:rPr>
        <w:t xml:space="preserve"> </w:t>
      </w:r>
      <w:r w:rsidRPr="00B24CA3">
        <w:t>açtığın, uzun süreli maruz kalma daha derin sosyal bağlantılar teşvik eder ve dil yeterliliğini artırarak adaptasyonu daha da kolaylaştırmaktadır.</w:t>
      </w:r>
    </w:p>
    <w:p w14:paraId="73C9DBE1" w14:textId="77777777" w:rsidR="004C7694" w:rsidRPr="00B24CA3" w:rsidRDefault="004C7694" w:rsidP="00BA67A6">
      <w:pPr>
        <w:pStyle w:val="GvdeMetni"/>
        <w:ind w:right="158"/>
        <w:jc w:val="both"/>
      </w:pPr>
    </w:p>
    <w:p w14:paraId="4B6946CF" w14:textId="77777777" w:rsidR="00FF4BC0" w:rsidRDefault="00FF4BC0" w:rsidP="00BA67A6">
      <w:pPr>
        <w:pStyle w:val="GvdeMetni"/>
        <w:ind w:right="162"/>
        <w:jc w:val="both"/>
      </w:pPr>
      <w:r w:rsidRPr="00B24CA3">
        <w:t>Uzun süre bir ülkede kalan yabancı öğrenciler yeni gelen ya da daha kısa süredir bir yerde ikamet edenlere göre daha kolay dil becerilerini geliştirebilir, günlük yaşamda ve akademik ortamlarda daha etkili iletişim kurabilir, yerel kültüre uyum sağlayabilir ve daha geniş bir sosyal çevre kurabilmektedir. Öte yandan kısa dönemli öğrenciler dil engelleri, kültürel farklılıklar ve sosyal izolasyonla ilgili daha fazla zorluk yaşayabilirken, uzun dönemli öğrenciler daha yüksek akademik başarıya ve psikolojik uyuma sahip olabilmektedirler.</w:t>
      </w:r>
    </w:p>
    <w:p w14:paraId="3E7CA8F0" w14:textId="77777777" w:rsidR="004C7694" w:rsidRPr="00B24CA3" w:rsidRDefault="004C7694" w:rsidP="00BA67A6">
      <w:pPr>
        <w:pStyle w:val="GvdeMetni"/>
        <w:ind w:right="162"/>
        <w:jc w:val="both"/>
      </w:pPr>
    </w:p>
    <w:p w14:paraId="20CE403A" w14:textId="238EC972" w:rsidR="00FF4BC0" w:rsidRDefault="00FF4BC0" w:rsidP="00BA67A6">
      <w:pPr>
        <w:pStyle w:val="GvdeMetni"/>
        <w:ind w:right="159"/>
        <w:jc w:val="both"/>
      </w:pPr>
      <w:r w:rsidRPr="00B24CA3">
        <w:t>Bu çalışmada, Samsun'da öğrenim gören uluslararası öğrencilerin kültürel uyumları, kültürel uyum</w:t>
      </w:r>
      <w:r w:rsidRPr="00B24CA3">
        <w:rPr>
          <w:spacing w:val="-6"/>
        </w:rPr>
        <w:t xml:space="preserve"> </w:t>
      </w:r>
      <w:r w:rsidRPr="00B24CA3">
        <w:t>düzeylerinin</w:t>
      </w:r>
      <w:r w:rsidRPr="00B24CA3">
        <w:rPr>
          <w:spacing w:val="-4"/>
        </w:rPr>
        <w:t xml:space="preserve"> </w:t>
      </w:r>
      <w:r w:rsidRPr="00B24CA3">
        <w:t>öğrencilerin akademik</w:t>
      </w:r>
      <w:r w:rsidRPr="00B24CA3">
        <w:rPr>
          <w:spacing w:val="-4"/>
        </w:rPr>
        <w:t xml:space="preserve"> </w:t>
      </w:r>
      <w:r w:rsidRPr="00B24CA3">
        <w:t>başarısına</w:t>
      </w:r>
      <w:r w:rsidRPr="00B24CA3">
        <w:rPr>
          <w:spacing w:val="-1"/>
        </w:rPr>
        <w:t xml:space="preserve"> </w:t>
      </w:r>
      <w:r w:rsidRPr="00B24CA3">
        <w:t>göre</w:t>
      </w:r>
      <w:r w:rsidRPr="00B24CA3">
        <w:rPr>
          <w:spacing w:val="-6"/>
        </w:rPr>
        <w:t xml:space="preserve"> </w:t>
      </w:r>
      <w:r w:rsidRPr="00B24CA3">
        <w:t>istatistiksel</w:t>
      </w:r>
      <w:r w:rsidRPr="00B24CA3">
        <w:rPr>
          <w:spacing w:val="-6"/>
        </w:rPr>
        <w:t xml:space="preserve"> </w:t>
      </w:r>
      <w:r w:rsidRPr="00B24CA3">
        <w:t>olarak</w:t>
      </w:r>
      <w:r w:rsidRPr="00B24CA3">
        <w:rPr>
          <w:spacing w:val="-4"/>
        </w:rPr>
        <w:t xml:space="preserve"> </w:t>
      </w:r>
      <w:r w:rsidRPr="00B24CA3">
        <w:t>farklılaşmadığını göstermektedir</w:t>
      </w:r>
      <w:r w:rsidRPr="00B24CA3">
        <w:rPr>
          <w:spacing w:val="-7"/>
        </w:rPr>
        <w:t xml:space="preserve"> </w:t>
      </w:r>
      <w:r w:rsidRPr="00B24CA3">
        <w:t>(</w:t>
      </w:r>
      <w:proofErr w:type="spellStart"/>
      <w:r w:rsidRPr="00B24CA3">
        <w:t>Eynullayeva</w:t>
      </w:r>
      <w:proofErr w:type="spellEnd"/>
      <w:r w:rsidRPr="00B24CA3">
        <w:t>,</w:t>
      </w:r>
      <w:r w:rsidRPr="00B24CA3">
        <w:rPr>
          <w:spacing w:val="-5"/>
        </w:rPr>
        <w:t xml:space="preserve"> </w:t>
      </w:r>
      <w:r w:rsidRPr="00B24CA3">
        <w:t>Gökalp</w:t>
      </w:r>
      <w:r w:rsidRPr="00B24CA3">
        <w:rPr>
          <w:spacing w:val="-10"/>
        </w:rPr>
        <w:t xml:space="preserve"> </w:t>
      </w:r>
      <w:r w:rsidRPr="00B24CA3">
        <w:t>ve</w:t>
      </w:r>
      <w:r w:rsidRPr="00B24CA3">
        <w:rPr>
          <w:spacing w:val="-11"/>
        </w:rPr>
        <w:t xml:space="preserve"> </w:t>
      </w:r>
      <w:proofErr w:type="spellStart"/>
      <w:r w:rsidRPr="00B24CA3">
        <w:t>Hatunoglu</w:t>
      </w:r>
      <w:proofErr w:type="spellEnd"/>
      <w:r w:rsidRPr="00B24CA3">
        <w:t>,</w:t>
      </w:r>
      <w:r w:rsidRPr="00B24CA3">
        <w:rPr>
          <w:spacing w:val="-5"/>
        </w:rPr>
        <w:t xml:space="preserve"> </w:t>
      </w:r>
      <w:r w:rsidRPr="00B24CA3">
        <w:t>2021).</w:t>
      </w:r>
      <w:r w:rsidRPr="00B24CA3">
        <w:rPr>
          <w:spacing w:val="-9"/>
        </w:rPr>
        <w:t xml:space="preserve"> </w:t>
      </w:r>
      <w:r w:rsidRPr="00B24CA3">
        <w:t>Çeşitli</w:t>
      </w:r>
      <w:r w:rsidRPr="00B24CA3">
        <w:rPr>
          <w:spacing w:val="-6"/>
        </w:rPr>
        <w:t xml:space="preserve"> </w:t>
      </w:r>
      <w:r w:rsidRPr="00B24CA3">
        <w:t>ülke</w:t>
      </w:r>
      <w:r w:rsidRPr="00B24CA3">
        <w:rPr>
          <w:spacing w:val="-11"/>
        </w:rPr>
        <w:t xml:space="preserve"> </w:t>
      </w:r>
      <w:r w:rsidRPr="00B24CA3">
        <w:t>ve</w:t>
      </w:r>
      <w:r w:rsidRPr="00B24CA3">
        <w:rPr>
          <w:spacing w:val="-11"/>
        </w:rPr>
        <w:t xml:space="preserve"> </w:t>
      </w:r>
      <w:r w:rsidRPr="00B24CA3">
        <w:t>bölgelerden</w:t>
      </w:r>
      <w:r w:rsidRPr="00B24CA3">
        <w:rPr>
          <w:spacing w:val="-5"/>
        </w:rPr>
        <w:t xml:space="preserve"> </w:t>
      </w:r>
      <w:r w:rsidRPr="00B24CA3">
        <w:t>toplam 788 uluslararası öğrenci bir anketi tamamladı ve regresyon analizi, öz yeterliliğin uluslararası öğrencilerin akademik başarı düzeyini etkileyen en önemli faktör olduğunu, ardından sosyal destek</w:t>
      </w:r>
      <w:r w:rsidRPr="00B24CA3">
        <w:rPr>
          <w:spacing w:val="-15"/>
        </w:rPr>
        <w:t xml:space="preserve"> </w:t>
      </w:r>
      <w:r w:rsidRPr="00B24CA3">
        <w:t>ve</w:t>
      </w:r>
      <w:r w:rsidRPr="00B24CA3">
        <w:rPr>
          <w:spacing w:val="-15"/>
        </w:rPr>
        <w:t xml:space="preserve"> </w:t>
      </w:r>
      <w:r w:rsidRPr="00B24CA3">
        <w:t>psikolojik</w:t>
      </w:r>
      <w:r w:rsidRPr="00B24CA3">
        <w:rPr>
          <w:spacing w:val="-15"/>
        </w:rPr>
        <w:t xml:space="preserve"> </w:t>
      </w:r>
      <w:r w:rsidRPr="00B24CA3">
        <w:t>uyumun</w:t>
      </w:r>
      <w:r w:rsidRPr="00B24CA3">
        <w:rPr>
          <w:spacing w:val="-15"/>
        </w:rPr>
        <w:t xml:space="preserve"> </w:t>
      </w:r>
      <w:r w:rsidRPr="00B24CA3">
        <w:t>geldiğini</w:t>
      </w:r>
      <w:r w:rsidRPr="00B24CA3">
        <w:rPr>
          <w:spacing w:val="-15"/>
        </w:rPr>
        <w:t xml:space="preserve"> </w:t>
      </w:r>
      <w:r w:rsidRPr="00B24CA3">
        <w:t>göstermektedir.</w:t>
      </w:r>
      <w:r w:rsidRPr="00B24CA3">
        <w:rPr>
          <w:spacing w:val="-15"/>
        </w:rPr>
        <w:t xml:space="preserve"> </w:t>
      </w:r>
      <w:r w:rsidRPr="00B24CA3">
        <w:t>Kültürel</w:t>
      </w:r>
      <w:r w:rsidRPr="00B24CA3">
        <w:rPr>
          <w:spacing w:val="-15"/>
        </w:rPr>
        <w:t xml:space="preserve"> </w:t>
      </w:r>
      <w:r w:rsidRPr="00B24CA3">
        <w:t>olarak</w:t>
      </w:r>
      <w:r w:rsidRPr="00B24CA3">
        <w:rPr>
          <w:spacing w:val="-15"/>
        </w:rPr>
        <w:t xml:space="preserve"> </w:t>
      </w:r>
      <w:r w:rsidRPr="00B24CA3">
        <w:t>benzer</w:t>
      </w:r>
      <w:r w:rsidRPr="00B24CA3">
        <w:rPr>
          <w:spacing w:val="-15"/>
        </w:rPr>
        <w:t xml:space="preserve"> </w:t>
      </w:r>
      <w:r w:rsidRPr="00B24CA3">
        <w:t>öğrenciler,</w:t>
      </w:r>
      <w:r w:rsidRPr="00B24CA3">
        <w:rPr>
          <w:spacing w:val="-14"/>
        </w:rPr>
        <w:t xml:space="preserve"> </w:t>
      </w:r>
      <w:r w:rsidRPr="00B24CA3">
        <w:t>kendi ülkeleri ile Türkiye arasındaki ortak değerler, yaşam tarzları ve sosyal normlar sayesinde eğitime ve sosyal hayata daha çabuk uyum sağlayabilmektedir (</w:t>
      </w:r>
      <w:proofErr w:type="spellStart"/>
      <w:r w:rsidRPr="00B24CA3">
        <w:t>Berry</w:t>
      </w:r>
      <w:proofErr w:type="spellEnd"/>
      <w:r w:rsidRPr="00B24CA3">
        <w:t>, 1997). Bu öğrenciler, iletişim</w:t>
      </w:r>
      <w:r w:rsidRPr="00B24CA3">
        <w:rPr>
          <w:spacing w:val="-8"/>
        </w:rPr>
        <w:t xml:space="preserve"> </w:t>
      </w:r>
      <w:r w:rsidRPr="00B24CA3">
        <w:t>kolaylığı</w:t>
      </w:r>
      <w:r w:rsidRPr="00B24CA3">
        <w:rPr>
          <w:spacing w:val="-8"/>
        </w:rPr>
        <w:t xml:space="preserve"> </w:t>
      </w:r>
      <w:r w:rsidRPr="00B24CA3">
        <w:t>ve</w:t>
      </w:r>
      <w:r w:rsidRPr="00B24CA3">
        <w:rPr>
          <w:spacing w:val="-8"/>
        </w:rPr>
        <w:t xml:space="preserve"> </w:t>
      </w:r>
      <w:r w:rsidRPr="00B24CA3">
        <w:t>benzer</w:t>
      </w:r>
      <w:r w:rsidRPr="00B24CA3">
        <w:rPr>
          <w:spacing w:val="-7"/>
        </w:rPr>
        <w:t xml:space="preserve"> </w:t>
      </w:r>
      <w:r w:rsidRPr="00B24CA3">
        <w:t>kültürel</w:t>
      </w:r>
      <w:r w:rsidRPr="00B24CA3">
        <w:rPr>
          <w:spacing w:val="-3"/>
        </w:rPr>
        <w:t xml:space="preserve"> </w:t>
      </w:r>
      <w:r w:rsidRPr="00B24CA3">
        <w:t>yapılardan</w:t>
      </w:r>
      <w:r w:rsidRPr="00B24CA3">
        <w:rPr>
          <w:spacing w:val="-7"/>
        </w:rPr>
        <w:t xml:space="preserve"> </w:t>
      </w:r>
      <w:r w:rsidRPr="00B24CA3">
        <w:t>kaynaklanan</w:t>
      </w:r>
      <w:r w:rsidRPr="00B24CA3">
        <w:rPr>
          <w:spacing w:val="-7"/>
        </w:rPr>
        <w:t xml:space="preserve"> </w:t>
      </w:r>
      <w:r w:rsidRPr="00B24CA3">
        <w:t>ortak</w:t>
      </w:r>
      <w:r w:rsidRPr="00B24CA3">
        <w:rPr>
          <w:spacing w:val="-7"/>
        </w:rPr>
        <w:t xml:space="preserve"> </w:t>
      </w:r>
      <w:r w:rsidRPr="00B24CA3">
        <w:t>referans</w:t>
      </w:r>
      <w:r w:rsidRPr="00B24CA3">
        <w:rPr>
          <w:spacing w:val="-5"/>
        </w:rPr>
        <w:t xml:space="preserve"> </w:t>
      </w:r>
      <w:r w:rsidRPr="00B24CA3">
        <w:t>noktaları</w:t>
      </w:r>
      <w:r w:rsidRPr="00B24CA3">
        <w:rPr>
          <w:spacing w:val="-8"/>
        </w:rPr>
        <w:t xml:space="preserve"> </w:t>
      </w:r>
      <w:r w:rsidRPr="00B24CA3">
        <w:t>nedeniyle daha az uyum sorunu yaşamaktadır. Öte yandan, kültürel olarak farklı olan öğrenciler, farklı kültürel kodlar, normlar ve değerler nedeniyle uyum süreçlerinde daha fazla zorlukla karşılaşmaktadır; bu durum hem akademik başarılarını hem de sosyal entegrasyonlarını olumsuz yönde etkileyebilmektedir. Ancak her iki grup da üniversitenin sunduğu kültürel uyum</w:t>
      </w:r>
      <w:r w:rsidRPr="00B24CA3">
        <w:rPr>
          <w:spacing w:val="-4"/>
        </w:rPr>
        <w:t xml:space="preserve"> </w:t>
      </w:r>
      <w:r w:rsidRPr="00B24CA3">
        <w:t>programları, mentorluk</w:t>
      </w:r>
      <w:r w:rsidRPr="00B24CA3">
        <w:rPr>
          <w:spacing w:val="-2"/>
        </w:rPr>
        <w:t xml:space="preserve"> </w:t>
      </w:r>
      <w:r w:rsidRPr="00B24CA3">
        <w:t>ve</w:t>
      </w:r>
      <w:r w:rsidRPr="00B24CA3">
        <w:rPr>
          <w:spacing w:val="-4"/>
        </w:rPr>
        <w:t xml:space="preserve"> </w:t>
      </w:r>
      <w:r w:rsidRPr="00B24CA3">
        <w:t>dil</w:t>
      </w:r>
      <w:r w:rsidRPr="00B24CA3">
        <w:rPr>
          <w:spacing w:val="-4"/>
        </w:rPr>
        <w:t xml:space="preserve"> </w:t>
      </w:r>
      <w:r w:rsidRPr="00B24CA3">
        <w:t>destek</w:t>
      </w:r>
      <w:r w:rsidRPr="00B24CA3">
        <w:rPr>
          <w:spacing w:val="-2"/>
        </w:rPr>
        <w:t xml:space="preserve"> </w:t>
      </w:r>
      <w:r w:rsidRPr="00B24CA3">
        <w:t>hizmetleri</w:t>
      </w:r>
      <w:r w:rsidRPr="00B24CA3">
        <w:rPr>
          <w:spacing w:val="-4"/>
        </w:rPr>
        <w:t xml:space="preserve"> </w:t>
      </w:r>
      <w:r w:rsidRPr="00B24CA3">
        <w:t>sayesinde</w:t>
      </w:r>
      <w:r w:rsidRPr="00B24CA3">
        <w:rPr>
          <w:spacing w:val="-4"/>
        </w:rPr>
        <w:t xml:space="preserve"> </w:t>
      </w:r>
      <w:r w:rsidRPr="00B24CA3">
        <w:t>uyum</w:t>
      </w:r>
      <w:r w:rsidRPr="00B24CA3">
        <w:rPr>
          <w:spacing w:val="-4"/>
        </w:rPr>
        <w:t xml:space="preserve"> </w:t>
      </w:r>
      <w:r w:rsidRPr="00B24CA3">
        <w:t>çabalarını</w:t>
      </w:r>
      <w:r w:rsidRPr="00B24CA3">
        <w:rPr>
          <w:spacing w:val="-4"/>
        </w:rPr>
        <w:t xml:space="preserve"> </w:t>
      </w:r>
      <w:r w:rsidRPr="00B24CA3">
        <w:t>sürdürmekte ve deneyimlerini zenginleştirme ve birbirlerinden öğrenme fırsatı bulmaktadır.</w:t>
      </w:r>
    </w:p>
    <w:p w14:paraId="324A7ACA" w14:textId="77777777" w:rsidR="004C7694" w:rsidRPr="00B24CA3" w:rsidRDefault="004C7694" w:rsidP="00BA67A6">
      <w:pPr>
        <w:pStyle w:val="GvdeMetni"/>
        <w:ind w:right="159"/>
        <w:jc w:val="both"/>
      </w:pPr>
    </w:p>
    <w:p w14:paraId="6A1CB06B" w14:textId="70C4C3C2" w:rsidR="00FF4BC0" w:rsidRPr="00B24CA3" w:rsidRDefault="00FF4BC0" w:rsidP="004C7694">
      <w:pPr>
        <w:pStyle w:val="GvdeMetni"/>
        <w:ind w:right="158"/>
        <w:jc w:val="both"/>
        <w:sectPr w:rsidR="00FF4BC0" w:rsidRPr="00B24CA3" w:rsidSect="007513A1">
          <w:type w:val="continuous"/>
          <w:pgSz w:w="11906" w:h="16838"/>
          <w:pgMar w:top="1418" w:right="1418" w:bottom="1418" w:left="1418" w:header="1304" w:footer="1361" w:gutter="0"/>
          <w:cols w:space="708"/>
        </w:sectPr>
      </w:pPr>
      <w:r w:rsidRPr="00B24CA3">
        <w:lastRenderedPageBreak/>
        <w:t>Günümüzde</w:t>
      </w:r>
      <w:r w:rsidRPr="00B24CA3">
        <w:rPr>
          <w:spacing w:val="-15"/>
        </w:rPr>
        <w:t xml:space="preserve"> </w:t>
      </w:r>
      <w:r w:rsidRPr="00B24CA3">
        <w:t>Türkiye,</w:t>
      </w:r>
      <w:r w:rsidRPr="00B24CA3">
        <w:rPr>
          <w:spacing w:val="-14"/>
        </w:rPr>
        <w:t xml:space="preserve"> </w:t>
      </w:r>
      <w:r w:rsidRPr="00B24CA3">
        <w:t>uluslararası</w:t>
      </w:r>
      <w:r w:rsidRPr="00B24CA3">
        <w:rPr>
          <w:spacing w:val="-10"/>
        </w:rPr>
        <w:t xml:space="preserve"> </w:t>
      </w:r>
      <w:r w:rsidRPr="00B24CA3">
        <w:t>öğrencilerin</w:t>
      </w:r>
      <w:r w:rsidRPr="00B24CA3">
        <w:rPr>
          <w:spacing w:val="-9"/>
        </w:rPr>
        <w:t xml:space="preserve"> </w:t>
      </w:r>
      <w:r w:rsidRPr="00B24CA3">
        <w:t>en</w:t>
      </w:r>
      <w:r w:rsidRPr="00B24CA3">
        <w:rPr>
          <w:spacing w:val="-9"/>
        </w:rPr>
        <w:t xml:space="preserve"> </w:t>
      </w:r>
      <w:r w:rsidRPr="00B24CA3">
        <w:t>çok</w:t>
      </w:r>
      <w:r w:rsidRPr="00B24CA3">
        <w:rPr>
          <w:spacing w:val="-9"/>
        </w:rPr>
        <w:t xml:space="preserve"> </w:t>
      </w:r>
      <w:r w:rsidRPr="00B24CA3">
        <w:t>tercih</w:t>
      </w:r>
      <w:r w:rsidRPr="00B24CA3">
        <w:rPr>
          <w:spacing w:val="-14"/>
        </w:rPr>
        <w:t xml:space="preserve"> </w:t>
      </w:r>
      <w:r w:rsidRPr="00B24CA3">
        <w:t>ettiği</w:t>
      </w:r>
      <w:r w:rsidRPr="00B24CA3">
        <w:rPr>
          <w:spacing w:val="-10"/>
        </w:rPr>
        <w:t xml:space="preserve"> </w:t>
      </w:r>
      <w:r w:rsidRPr="00B24CA3">
        <w:t>ülkelerden</w:t>
      </w:r>
      <w:r w:rsidRPr="00B24CA3">
        <w:rPr>
          <w:spacing w:val="-14"/>
        </w:rPr>
        <w:t xml:space="preserve"> </w:t>
      </w:r>
      <w:r w:rsidRPr="00B24CA3">
        <w:t>bir</w:t>
      </w:r>
      <w:r w:rsidRPr="00B24CA3">
        <w:rPr>
          <w:spacing w:val="-13"/>
        </w:rPr>
        <w:t xml:space="preserve"> </w:t>
      </w:r>
      <w:r w:rsidRPr="00B24CA3">
        <w:t>hale</w:t>
      </w:r>
      <w:r w:rsidRPr="00B24CA3">
        <w:rPr>
          <w:spacing w:val="-15"/>
        </w:rPr>
        <w:t xml:space="preserve"> </w:t>
      </w:r>
      <w:r w:rsidRPr="00B24CA3">
        <w:t>gelmiştir. Bu öğrencilerin entegrasyon sürecinde karşılaştıkları sorunların araştırılması, gelecek olan öğrenciler üzerindeki etkisi çok olacaktır. Bu yüzden bu sorunların araştırılması, tüm öğrencilerin</w:t>
      </w:r>
      <w:r w:rsidRPr="00B24CA3">
        <w:rPr>
          <w:spacing w:val="-8"/>
        </w:rPr>
        <w:t xml:space="preserve"> </w:t>
      </w:r>
      <w:r w:rsidRPr="00B24CA3">
        <w:t>eğitim</w:t>
      </w:r>
      <w:r w:rsidRPr="00B24CA3">
        <w:rPr>
          <w:spacing w:val="-9"/>
        </w:rPr>
        <w:t xml:space="preserve"> </w:t>
      </w:r>
      <w:r w:rsidRPr="00B24CA3">
        <w:t>fırsatlarına</w:t>
      </w:r>
      <w:r w:rsidRPr="00B24CA3">
        <w:rPr>
          <w:spacing w:val="-9"/>
        </w:rPr>
        <w:t xml:space="preserve"> </w:t>
      </w:r>
      <w:r w:rsidRPr="00B24CA3">
        <w:t>ve</w:t>
      </w:r>
      <w:r w:rsidRPr="00B24CA3">
        <w:rPr>
          <w:spacing w:val="-9"/>
        </w:rPr>
        <w:t xml:space="preserve"> </w:t>
      </w:r>
      <w:r w:rsidRPr="00B24CA3">
        <w:t>kaynaklarına</w:t>
      </w:r>
      <w:r w:rsidRPr="00B24CA3">
        <w:rPr>
          <w:spacing w:val="-9"/>
        </w:rPr>
        <w:t xml:space="preserve"> </w:t>
      </w:r>
      <w:r w:rsidRPr="00B24CA3">
        <w:t>eşit</w:t>
      </w:r>
      <w:r w:rsidRPr="00B24CA3">
        <w:rPr>
          <w:spacing w:val="-9"/>
        </w:rPr>
        <w:t xml:space="preserve"> </w:t>
      </w:r>
      <w:r w:rsidRPr="00B24CA3">
        <w:t>erişime</w:t>
      </w:r>
      <w:r w:rsidRPr="00B24CA3">
        <w:rPr>
          <w:spacing w:val="-9"/>
        </w:rPr>
        <w:t xml:space="preserve"> </w:t>
      </w:r>
      <w:r w:rsidRPr="00B24CA3">
        <w:t>sahip</w:t>
      </w:r>
      <w:r w:rsidRPr="00B24CA3">
        <w:rPr>
          <w:spacing w:val="-8"/>
        </w:rPr>
        <w:t xml:space="preserve"> </w:t>
      </w:r>
      <w:r w:rsidRPr="00B24CA3">
        <w:t>olmalarını</w:t>
      </w:r>
      <w:r w:rsidRPr="00B24CA3">
        <w:rPr>
          <w:spacing w:val="-9"/>
        </w:rPr>
        <w:t xml:space="preserve"> </w:t>
      </w:r>
      <w:r w:rsidRPr="00B24CA3">
        <w:t>sağlamak</w:t>
      </w:r>
      <w:r w:rsidRPr="00B24CA3">
        <w:rPr>
          <w:spacing w:val="-8"/>
        </w:rPr>
        <w:t xml:space="preserve"> </w:t>
      </w:r>
      <w:r w:rsidRPr="00B24CA3">
        <w:t>için</w:t>
      </w:r>
      <w:r w:rsidRPr="00B24CA3">
        <w:rPr>
          <w:spacing w:val="-8"/>
        </w:rPr>
        <w:t xml:space="preserve"> </w:t>
      </w:r>
      <w:r w:rsidRPr="00B24CA3">
        <w:t xml:space="preserve">çok önemlidir. Bu yüzden bu çalışmada, Kocaeli Üniversitesi ’de yükse lisans eğitimi gören </w:t>
      </w:r>
      <w:proofErr w:type="spellStart"/>
      <w:r w:rsidRPr="00B24CA3">
        <w:t>ulusararası</w:t>
      </w:r>
      <w:proofErr w:type="spellEnd"/>
      <w:r w:rsidRPr="00B24CA3">
        <w:t xml:space="preserve"> öğrencilerin entegrasyon sürecinde karşılaştıkları temel zorlukların (dil engelleri, kültürel farklılıklar ve </w:t>
      </w:r>
      <w:proofErr w:type="spellStart"/>
      <w:r w:rsidRPr="00B24CA3">
        <w:t>eğitm</w:t>
      </w:r>
      <w:proofErr w:type="spellEnd"/>
      <w:r w:rsidRPr="00B24CA3">
        <w:t xml:space="preserve"> ortamına uyum sağlama </w:t>
      </w:r>
      <w:proofErr w:type="spellStart"/>
      <w:r w:rsidRPr="00B24CA3">
        <w:t>zorukları</w:t>
      </w:r>
      <w:proofErr w:type="spellEnd"/>
      <w:r w:rsidRPr="00B24CA3">
        <w:t xml:space="preserve">) </w:t>
      </w:r>
      <w:proofErr w:type="spellStart"/>
      <w:r w:rsidRPr="00B24CA3">
        <w:t>belirlenmei</w:t>
      </w:r>
      <w:proofErr w:type="spellEnd"/>
      <w:r w:rsidRPr="00B24CA3">
        <w:t xml:space="preserve">, bu zorlukların </w:t>
      </w:r>
    </w:p>
    <w:p w14:paraId="69A8FA1F" w14:textId="77777777" w:rsidR="00FF4BC0" w:rsidRDefault="00FF4BC0" w:rsidP="00BA67A6">
      <w:pPr>
        <w:pStyle w:val="GvdeMetni"/>
        <w:ind w:right="158"/>
        <w:jc w:val="both"/>
        <w:rPr>
          <w:spacing w:val="-2"/>
        </w:rPr>
      </w:pPr>
      <w:proofErr w:type="gramStart"/>
      <w:r w:rsidRPr="00B24CA3">
        <w:t>sürecinde</w:t>
      </w:r>
      <w:proofErr w:type="gramEnd"/>
      <w:r w:rsidRPr="00B24CA3">
        <w:rPr>
          <w:spacing w:val="-15"/>
        </w:rPr>
        <w:t xml:space="preserve"> </w:t>
      </w:r>
      <w:r w:rsidRPr="00B24CA3">
        <w:t>yaşanacak</w:t>
      </w:r>
      <w:r w:rsidRPr="00B24CA3">
        <w:rPr>
          <w:spacing w:val="-15"/>
        </w:rPr>
        <w:t xml:space="preserve"> </w:t>
      </w:r>
      <w:r w:rsidRPr="00B24CA3">
        <w:t>zorlukların</w:t>
      </w:r>
      <w:r w:rsidRPr="00B24CA3">
        <w:rPr>
          <w:spacing w:val="-15"/>
        </w:rPr>
        <w:t xml:space="preserve"> </w:t>
      </w:r>
      <w:r w:rsidRPr="00B24CA3">
        <w:t>iyileştirmesi</w:t>
      </w:r>
      <w:r w:rsidRPr="00B24CA3">
        <w:rPr>
          <w:spacing w:val="-15"/>
        </w:rPr>
        <w:t xml:space="preserve"> </w:t>
      </w:r>
      <w:r w:rsidRPr="00B24CA3">
        <w:t>için</w:t>
      </w:r>
      <w:r w:rsidRPr="00B24CA3">
        <w:rPr>
          <w:spacing w:val="-15"/>
        </w:rPr>
        <w:t xml:space="preserve"> </w:t>
      </w:r>
      <w:r w:rsidRPr="00B24CA3">
        <w:t>stratejik</w:t>
      </w:r>
      <w:r w:rsidRPr="00B24CA3">
        <w:rPr>
          <w:spacing w:val="-15"/>
        </w:rPr>
        <w:t xml:space="preserve"> </w:t>
      </w:r>
      <w:r w:rsidRPr="00B24CA3">
        <w:t>önerilerin</w:t>
      </w:r>
      <w:r w:rsidRPr="00B24CA3">
        <w:rPr>
          <w:spacing w:val="-15"/>
        </w:rPr>
        <w:t xml:space="preserve"> </w:t>
      </w:r>
      <w:r w:rsidRPr="00B24CA3">
        <w:t>geliştirilmesi</w:t>
      </w:r>
      <w:r w:rsidRPr="00B24CA3">
        <w:rPr>
          <w:spacing w:val="-15"/>
        </w:rPr>
        <w:t xml:space="preserve"> </w:t>
      </w:r>
      <w:r w:rsidRPr="00B24CA3">
        <w:t>gibi</w:t>
      </w:r>
      <w:r w:rsidRPr="00B24CA3">
        <w:rPr>
          <w:spacing w:val="-15"/>
        </w:rPr>
        <w:t xml:space="preserve"> </w:t>
      </w:r>
      <w:r w:rsidRPr="00B24CA3">
        <w:t xml:space="preserve">amaçlar kapsamaktadır. Bu doğrultusunda araştırmanın problem cümlesi ‘’Türkiye’de eğitim gören yabancı uyruklu öğrencileri sosyal uyum sürecinde yaşadıkları sorunlar nelerdir?’’ </w:t>
      </w:r>
      <w:r w:rsidRPr="00B24CA3">
        <w:rPr>
          <w:spacing w:val="-2"/>
        </w:rPr>
        <w:t>oluşturmaktadır.</w:t>
      </w:r>
    </w:p>
    <w:p w14:paraId="7F371BEE" w14:textId="77777777" w:rsidR="004C7694" w:rsidRPr="00B24CA3" w:rsidRDefault="004C7694" w:rsidP="00BA67A6">
      <w:pPr>
        <w:pStyle w:val="GvdeMetni"/>
        <w:ind w:right="158"/>
        <w:jc w:val="both"/>
      </w:pPr>
    </w:p>
    <w:p w14:paraId="12905DC4" w14:textId="77777777" w:rsidR="00FF4BC0" w:rsidRPr="00B24CA3" w:rsidRDefault="00FF4BC0" w:rsidP="00BA67A6">
      <w:pPr>
        <w:pStyle w:val="GvdeMetni"/>
        <w:jc w:val="both"/>
      </w:pPr>
      <w:r w:rsidRPr="00B24CA3">
        <w:t>Bu</w:t>
      </w:r>
      <w:r w:rsidRPr="00B24CA3">
        <w:rPr>
          <w:spacing w:val="-2"/>
        </w:rPr>
        <w:t xml:space="preserve"> </w:t>
      </w:r>
      <w:r w:rsidRPr="00B24CA3">
        <w:t>amaç</w:t>
      </w:r>
      <w:r w:rsidRPr="00B24CA3">
        <w:rPr>
          <w:spacing w:val="-3"/>
        </w:rPr>
        <w:t xml:space="preserve"> </w:t>
      </w:r>
      <w:r w:rsidRPr="00B24CA3">
        <w:t>doğrultusunda</w:t>
      </w:r>
      <w:r w:rsidRPr="00B24CA3">
        <w:rPr>
          <w:spacing w:val="-3"/>
        </w:rPr>
        <w:t xml:space="preserve"> </w:t>
      </w:r>
      <w:r w:rsidRPr="00B24CA3">
        <w:t>şu</w:t>
      </w:r>
      <w:r w:rsidRPr="00B24CA3">
        <w:rPr>
          <w:spacing w:val="-2"/>
        </w:rPr>
        <w:t xml:space="preserve"> </w:t>
      </w:r>
      <w:r w:rsidRPr="00B24CA3">
        <w:t>alt</w:t>
      </w:r>
      <w:r w:rsidRPr="00B24CA3">
        <w:rPr>
          <w:spacing w:val="-3"/>
        </w:rPr>
        <w:t xml:space="preserve"> </w:t>
      </w:r>
      <w:r w:rsidRPr="00B24CA3">
        <w:t>amaçlara</w:t>
      </w:r>
      <w:r w:rsidRPr="00B24CA3">
        <w:rPr>
          <w:spacing w:val="-3"/>
        </w:rPr>
        <w:t xml:space="preserve"> </w:t>
      </w:r>
      <w:r w:rsidRPr="00B24CA3">
        <w:t>cevap</w:t>
      </w:r>
      <w:r w:rsidRPr="00B24CA3">
        <w:rPr>
          <w:spacing w:val="-1"/>
        </w:rPr>
        <w:t xml:space="preserve"> </w:t>
      </w:r>
      <w:r w:rsidRPr="00B24CA3">
        <w:rPr>
          <w:spacing w:val="-2"/>
        </w:rPr>
        <w:t>aranacaktır:</w:t>
      </w:r>
    </w:p>
    <w:p w14:paraId="4769EE43" w14:textId="77777777" w:rsidR="00FF4BC0" w:rsidRPr="00B24CA3" w:rsidRDefault="00FF4BC0">
      <w:pPr>
        <w:pStyle w:val="ListeParagraf"/>
        <w:numPr>
          <w:ilvl w:val="0"/>
          <w:numId w:val="30"/>
        </w:numPr>
        <w:tabs>
          <w:tab w:val="left" w:pos="777"/>
        </w:tabs>
        <w:ind w:right="163" w:firstLine="0"/>
        <w:contextualSpacing w:val="0"/>
        <w:jc w:val="both"/>
      </w:pPr>
      <w:r w:rsidRPr="00B24CA3">
        <w:t>Kocaeli Üniversitesin ’de eğitim gören yabancı uyruklu öğrencilerin yaşadıkları sosyal ve akademik sorunlar nelerdir?</w:t>
      </w:r>
    </w:p>
    <w:p w14:paraId="45E653CF" w14:textId="77777777" w:rsidR="00FF4BC0" w:rsidRPr="00B24CA3" w:rsidRDefault="00FF4BC0">
      <w:pPr>
        <w:pStyle w:val="ListeParagraf"/>
        <w:numPr>
          <w:ilvl w:val="0"/>
          <w:numId w:val="30"/>
        </w:numPr>
        <w:tabs>
          <w:tab w:val="left" w:pos="762"/>
        </w:tabs>
        <w:ind w:right="159" w:firstLine="0"/>
        <w:contextualSpacing w:val="0"/>
        <w:jc w:val="both"/>
      </w:pPr>
      <w:r w:rsidRPr="00B24CA3">
        <w:t>Kocaeli</w:t>
      </w:r>
      <w:r w:rsidRPr="00B24CA3">
        <w:rPr>
          <w:spacing w:val="-10"/>
        </w:rPr>
        <w:t xml:space="preserve"> </w:t>
      </w:r>
      <w:r w:rsidRPr="00B24CA3">
        <w:t>Üniversitesin</w:t>
      </w:r>
      <w:r w:rsidRPr="00B24CA3">
        <w:rPr>
          <w:spacing w:val="-10"/>
        </w:rPr>
        <w:t xml:space="preserve"> </w:t>
      </w:r>
      <w:r w:rsidRPr="00B24CA3">
        <w:t>’de</w:t>
      </w:r>
      <w:r w:rsidRPr="00B24CA3">
        <w:rPr>
          <w:spacing w:val="-9"/>
        </w:rPr>
        <w:t xml:space="preserve"> </w:t>
      </w:r>
      <w:r w:rsidRPr="00B24CA3">
        <w:t>eğitim</w:t>
      </w:r>
      <w:r w:rsidRPr="00B24CA3">
        <w:rPr>
          <w:spacing w:val="-11"/>
        </w:rPr>
        <w:t xml:space="preserve"> </w:t>
      </w:r>
      <w:r w:rsidRPr="00B24CA3">
        <w:t>gören</w:t>
      </w:r>
      <w:r w:rsidRPr="00B24CA3">
        <w:rPr>
          <w:spacing w:val="-10"/>
        </w:rPr>
        <w:t xml:space="preserve"> </w:t>
      </w:r>
      <w:r w:rsidRPr="00B24CA3">
        <w:t>yabancı</w:t>
      </w:r>
      <w:r w:rsidRPr="00B24CA3">
        <w:rPr>
          <w:spacing w:val="-11"/>
        </w:rPr>
        <w:t xml:space="preserve"> </w:t>
      </w:r>
      <w:r w:rsidRPr="00B24CA3">
        <w:t>uyruklu</w:t>
      </w:r>
      <w:r w:rsidRPr="00B24CA3">
        <w:rPr>
          <w:spacing w:val="-10"/>
        </w:rPr>
        <w:t xml:space="preserve"> </w:t>
      </w:r>
      <w:r w:rsidRPr="00B24CA3">
        <w:t>öğrencilerin</w:t>
      </w:r>
      <w:r w:rsidRPr="00B24CA3">
        <w:rPr>
          <w:spacing w:val="-7"/>
        </w:rPr>
        <w:t xml:space="preserve"> </w:t>
      </w:r>
      <w:r w:rsidRPr="00B24CA3">
        <w:t>entegrasyon</w:t>
      </w:r>
      <w:r w:rsidRPr="00B24CA3">
        <w:rPr>
          <w:spacing w:val="-10"/>
        </w:rPr>
        <w:t xml:space="preserve"> </w:t>
      </w:r>
      <w:r w:rsidRPr="00B24CA3">
        <w:t xml:space="preserve">sürecinde yaşadıkları sorunların, akademik performansları ve sosyal yaşantıları üzerindeki etkileri </w:t>
      </w:r>
      <w:r w:rsidRPr="00B24CA3">
        <w:rPr>
          <w:spacing w:val="-2"/>
        </w:rPr>
        <w:t>nelerdir?</w:t>
      </w:r>
    </w:p>
    <w:p w14:paraId="302A1360" w14:textId="77777777" w:rsidR="00FF4BC0" w:rsidRPr="00B24CA3" w:rsidRDefault="00FF4BC0">
      <w:pPr>
        <w:pStyle w:val="ListeParagraf"/>
        <w:numPr>
          <w:ilvl w:val="0"/>
          <w:numId w:val="30"/>
        </w:numPr>
        <w:tabs>
          <w:tab w:val="left" w:pos="771"/>
        </w:tabs>
        <w:ind w:right="157" w:firstLine="0"/>
        <w:contextualSpacing w:val="0"/>
        <w:jc w:val="both"/>
      </w:pPr>
      <w:r w:rsidRPr="00B24CA3">
        <w:t>Kocaeli Üniversitesin ’de eğitim gören yabancı uyruklu öğrencilerin entegrasyon sürecine ilişkin algıları, beklentileri ve deneyimleri nelerdir?</w:t>
      </w:r>
    </w:p>
    <w:p w14:paraId="59362849" w14:textId="77777777" w:rsidR="00FF4BC0" w:rsidRPr="00B24CA3" w:rsidRDefault="00FF4BC0" w:rsidP="00BA67A6">
      <w:pPr>
        <w:pStyle w:val="GvdeMetni"/>
        <w:jc w:val="both"/>
      </w:pPr>
    </w:p>
    <w:p w14:paraId="0DB44D44" w14:textId="77777777" w:rsidR="00FF4BC0" w:rsidRPr="00800DA9" w:rsidRDefault="00FF4BC0" w:rsidP="00BA67A6">
      <w:pPr>
        <w:rPr>
          <w:b/>
          <w:bCs/>
        </w:rPr>
      </w:pPr>
      <w:r w:rsidRPr="00800DA9">
        <w:rPr>
          <w:b/>
          <w:bCs/>
        </w:rPr>
        <w:t>YÖNTEM</w:t>
      </w:r>
    </w:p>
    <w:p w14:paraId="5904EDE3" w14:textId="77777777" w:rsidR="00FF4BC0" w:rsidRPr="00800DA9" w:rsidRDefault="00FF4BC0" w:rsidP="00BA67A6">
      <w:pPr>
        <w:rPr>
          <w:b/>
          <w:bCs/>
        </w:rPr>
      </w:pPr>
      <w:r w:rsidRPr="00800DA9">
        <w:rPr>
          <w:b/>
          <w:bCs/>
        </w:rPr>
        <w:t>Araştırmanın</w:t>
      </w:r>
      <w:r w:rsidRPr="00800DA9">
        <w:rPr>
          <w:b/>
          <w:bCs/>
          <w:spacing w:val="-5"/>
        </w:rPr>
        <w:t xml:space="preserve"> </w:t>
      </w:r>
      <w:r w:rsidRPr="00800DA9">
        <w:rPr>
          <w:b/>
          <w:bCs/>
          <w:spacing w:val="-2"/>
        </w:rPr>
        <w:t>Modeli</w:t>
      </w:r>
    </w:p>
    <w:p w14:paraId="2D27028B" w14:textId="77777777" w:rsidR="00FF4BC0" w:rsidRDefault="00FF4BC0" w:rsidP="00BA67A6">
      <w:pPr>
        <w:pStyle w:val="GvdeMetni"/>
        <w:ind w:right="158"/>
        <w:jc w:val="both"/>
      </w:pPr>
      <w:r w:rsidRPr="00B24CA3">
        <w:t>Bu araştırma, nitel araştırma yöntemlerinden biri olan fenomenoloji yaklaşımıyla yürütülmüştür. Fenomenoloji yaklaşımı, insan deneyimlerini bireylerin bakış açısından inceleyen</w:t>
      </w:r>
      <w:r w:rsidRPr="00B24CA3">
        <w:rPr>
          <w:spacing w:val="-14"/>
        </w:rPr>
        <w:t xml:space="preserve"> </w:t>
      </w:r>
      <w:r w:rsidRPr="00B24CA3">
        <w:t>ve</w:t>
      </w:r>
      <w:r w:rsidRPr="00B24CA3">
        <w:rPr>
          <w:spacing w:val="-10"/>
        </w:rPr>
        <w:t xml:space="preserve"> </w:t>
      </w:r>
      <w:r w:rsidRPr="00B24CA3">
        <w:t>anlayan,</w:t>
      </w:r>
      <w:r w:rsidRPr="00B24CA3">
        <w:rPr>
          <w:spacing w:val="-14"/>
        </w:rPr>
        <w:t xml:space="preserve"> </w:t>
      </w:r>
      <w:r w:rsidRPr="00B24CA3">
        <w:t>onların</w:t>
      </w:r>
      <w:r w:rsidRPr="00B24CA3">
        <w:rPr>
          <w:spacing w:val="-14"/>
        </w:rPr>
        <w:t xml:space="preserve"> </w:t>
      </w:r>
      <w:proofErr w:type="gramStart"/>
      <w:r w:rsidRPr="00B24CA3">
        <w:t>yaşanmış</w:t>
      </w:r>
      <w:r w:rsidRPr="00B24CA3">
        <w:rPr>
          <w:spacing w:val="-12"/>
        </w:rPr>
        <w:t xml:space="preserve"> </w:t>
      </w:r>
      <w:r w:rsidRPr="00B24CA3">
        <w:t>deneyimlerinin</w:t>
      </w:r>
      <w:proofErr w:type="gramEnd"/>
      <w:r w:rsidRPr="00B24CA3">
        <w:rPr>
          <w:spacing w:val="-14"/>
        </w:rPr>
        <w:t xml:space="preserve"> </w:t>
      </w:r>
      <w:r w:rsidRPr="00B24CA3">
        <w:t>özünü</w:t>
      </w:r>
      <w:r w:rsidRPr="00B24CA3">
        <w:rPr>
          <w:spacing w:val="-14"/>
        </w:rPr>
        <w:t xml:space="preserve"> </w:t>
      </w:r>
      <w:r w:rsidRPr="00B24CA3">
        <w:t>kendi</w:t>
      </w:r>
      <w:r w:rsidRPr="00B24CA3">
        <w:rPr>
          <w:spacing w:val="-15"/>
        </w:rPr>
        <w:t xml:space="preserve"> </w:t>
      </w:r>
      <w:r w:rsidRPr="00B24CA3">
        <w:t>bakış</w:t>
      </w:r>
      <w:r w:rsidRPr="00B24CA3">
        <w:rPr>
          <w:spacing w:val="-12"/>
        </w:rPr>
        <w:t xml:space="preserve"> </w:t>
      </w:r>
      <w:r w:rsidRPr="00B24CA3">
        <w:t>açılarından</w:t>
      </w:r>
      <w:r w:rsidRPr="00B24CA3">
        <w:rPr>
          <w:spacing w:val="-14"/>
        </w:rPr>
        <w:t xml:space="preserve"> </w:t>
      </w:r>
      <w:r w:rsidRPr="00B24CA3">
        <w:t>çözmeye çalışan</w:t>
      </w:r>
      <w:r w:rsidRPr="00B24CA3">
        <w:rPr>
          <w:spacing w:val="-13"/>
        </w:rPr>
        <w:t xml:space="preserve"> </w:t>
      </w:r>
      <w:r w:rsidRPr="00B24CA3">
        <w:t>nitel</w:t>
      </w:r>
      <w:r w:rsidRPr="00B24CA3">
        <w:rPr>
          <w:spacing w:val="-14"/>
        </w:rPr>
        <w:t xml:space="preserve"> </w:t>
      </w:r>
      <w:r w:rsidRPr="00B24CA3">
        <w:t>bir</w:t>
      </w:r>
      <w:r w:rsidRPr="00B24CA3">
        <w:rPr>
          <w:spacing w:val="-12"/>
        </w:rPr>
        <w:t xml:space="preserve"> </w:t>
      </w:r>
      <w:r w:rsidRPr="00B24CA3">
        <w:t>yaklaşımdır</w:t>
      </w:r>
      <w:r w:rsidRPr="00B24CA3">
        <w:rPr>
          <w:spacing w:val="-9"/>
        </w:rPr>
        <w:t xml:space="preserve"> </w:t>
      </w:r>
      <w:r w:rsidRPr="00B24CA3">
        <w:t>(</w:t>
      </w:r>
      <w:proofErr w:type="spellStart"/>
      <w:r w:rsidRPr="00B24CA3">
        <w:t>Munhall</w:t>
      </w:r>
      <w:proofErr w:type="spellEnd"/>
      <w:r w:rsidRPr="00B24CA3">
        <w:t>,</w:t>
      </w:r>
      <w:r w:rsidRPr="00B24CA3">
        <w:rPr>
          <w:spacing w:val="-12"/>
        </w:rPr>
        <w:t xml:space="preserve"> </w:t>
      </w:r>
      <w:r w:rsidRPr="00B24CA3">
        <w:t>2012).</w:t>
      </w:r>
      <w:r w:rsidRPr="00B24CA3">
        <w:rPr>
          <w:spacing w:val="-12"/>
        </w:rPr>
        <w:t xml:space="preserve"> </w:t>
      </w:r>
      <w:r w:rsidRPr="00B24CA3">
        <w:t>Bu</w:t>
      </w:r>
      <w:r w:rsidRPr="00B24CA3">
        <w:rPr>
          <w:spacing w:val="-12"/>
        </w:rPr>
        <w:t xml:space="preserve"> </w:t>
      </w:r>
      <w:r w:rsidRPr="00B24CA3">
        <w:t>yöntem,</w:t>
      </w:r>
      <w:r w:rsidRPr="00B24CA3">
        <w:rPr>
          <w:spacing w:val="-12"/>
        </w:rPr>
        <w:t xml:space="preserve"> </w:t>
      </w:r>
      <w:r w:rsidRPr="00B24CA3">
        <w:t>insanların</w:t>
      </w:r>
      <w:r w:rsidRPr="00B24CA3">
        <w:rPr>
          <w:spacing w:val="-13"/>
        </w:rPr>
        <w:t xml:space="preserve"> </w:t>
      </w:r>
      <w:r w:rsidRPr="00B24CA3">
        <w:t>kendi</w:t>
      </w:r>
      <w:r w:rsidRPr="00B24CA3">
        <w:rPr>
          <w:spacing w:val="-13"/>
        </w:rPr>
        <w:t xml:space="preserve"> </w:t>
      </w:r>
      <w:r w:rsidRPr="00B24CA3">
        <w:t>deneyimlerini</w:t>
      </w:r>
      <w:r w:rsidRPr="00B24CA3">
        <w:rPr>
          <w:spacing w:val="-14"/>
        </w:rPr>
        <w:t xml:space="preserve"> </w:t>
      </w:r>
      <w:r w:rsidRPr="00B24CA3">
        <w:t>kendi bakış açılarıyla daha iyi anlamalarını sağlamak ve deneyimleri keşfetmeyi amaçlamaktadır. Araştırma, Kocaeli'nde eğitim gören uluslararası öğrencilerin sosyal ve akademik entegrasyonlarında</w:t>
      </w:r>
      <w:r w:rsidRPr="00B24CA3">
        <w:rPr>
          <w:spacing w:val="-15"/>
        </w:rPr>
        <w:t xml:space="preserve"> </w:t>
      </w:r>
      <w:r w:rsidRPr="00B24CA3">
        <w:t>yaşadıkları</w:t>
      </w:r>
      <w:r w:rsidRPr="00B24CA3">
        <w:rPr>
          <w:spacing w:val="-15"/>
        </w:rPr>
        <w:t xml:space="preserve"> </w:t>
      </w:r>
      <w:r w:rsidRPr="00B24CA3">
        <w:t>dil</w:t>
      </w:r>
      <w:r w:rsidRPr="00B24CA3">
        <w:rPr>
          <w:spacing w:val="-10"/>
        </w:rPr>
        <w:t xml:space="preserve"> </w:t>
      </w:r>
      <w:r w:rsidRPr="00B24CA3">
        <w:t>engelleri,</w:t>
      </w:r>
      <w:r w:rsidRPr="00B24CA3">
        <w:rPr>
          <w:spacing w:val="-9"/>
        </w:rPr>
        <w:t xml:space="preserve"> </w:t>
      </w:r>
      <w:r w:rsidRPr="00B24CA3">
        <w:t>kültürel</w:t>
      </w:r>
      <w:r w:rsidRPr="00B24CA3">
        <w:rPr>
          <w:spacing w:val="-15"/>
        </w:rPr>
        <w:t xml:space="preserve"> </w:t>
      </w:r>
      <w:r w:rsidRPr="00B24CA3">
        <w:t>farklılıklar</w:t>
      </w:r>
      <w:r w:rsidRPr="00B24CA3">
        <w:rPr>
          <w:spacing w:val="-9"/>
        </w:rPr>
        <w:t xml:space="preserve"> </w:t>
      </w:r>
      <w:r w:rsidRPr="00B24CA3">
        <w:t>ve</w:t>
      </w:r>
      <w:r w:rsidRPr="00B24CA3">
        <w:rPr>
          <w:spacing w:val="-15"/>
        </w:rPr>
        <w:t xml:space="preserve"> </w:t>
      </w:r>
      <w:r w:rsidRPr="00B24CA3">
        <w:t>akademik</w:t>
      </w:r>
      <w:r w:rsidRPr="00B24CA3">
        <w:rPr>
          <w:spacing w:val="-14"/>
        </w:rPr>
        <w:t xml:space="preserve"> </w:t>
      </w:r>
      <w:r w:rsidRPr="00B24CA3">
        <w:t>uyum</w:t>
      </w:r>
      <w:r w:rsidRPr="00B24CA3">
        <w:rPr>
          <w:spacing w:val="-10"/>
        </w:rPr>
        <w:t xml:space="preserve"> </w:t>
      </w:r>
      <w:r w:rsidRPr="00B24CA3">
        <w:t>süreçlerine ilişkin kapsamlı bir anlayış sağlamak amacıyla katılımcıların öznel deneyimlerine dayalı derinlemesine</w:t>
      </w:r>
      <w:r w:rsidRPr="00B24CA3">
        <w:rPr>
          <w:spacing w:val="-11"/>
        </w:rPr>
        <w:t xml:space="preserve"> </w:t>
      </w:r>
      <w:r w:rsidRPr="00B24CA3">
        <w:t>veriler</w:t>
      </w:r>
      <w:r w:rsidRPr="00B24CA3">
        <w:rPr>
          <w:spacing w:val="-13"/>
        </w:rPr>
        <w:t xml:space="preserve"> </w:t>
      </w:r>
      <w:r w:rsidRPr="00B24CA3">
        <w:t>toplanmış</w:t>
      </w:r>
      <w:r w:rsidRPr="00B24CA3">
        <w:rPr>
          <w:spacing w:val="-12"/>
        </w:rPr>
        <w:t xml:space="preserve"> </w:t>
      </w:r>
      <w:r w:rsidRPr="00B24CA3">
        <w:t>ve</w:t>
      </w:r>
      <w:r w:rsidRPr="00B24CA3">
        <w:rPr>
          <w:spacing w:val="-15"/>
        </w:rPr>
        <w:t xml:space="preserve"> </w:t>
      </w:r>
      <w:r w:rsidRPr="00B24CA3">
        <w:t>fenomenolojik</w:t>
      </w:r>
      <w:r w:rsidRPr="00B24CA3">
        <w:rPr>
          <w:spacing w:val="-14"/>
        </w:rPr>
        <w:t xml:space="preserve"> </w:t>
      </w:r>
      <w:r w:rsidRPr="00B24CA3">
        <w:t>bir</w:t>
      </w:r>
      <w:r w:rsidRPr="00B24CA3">
        <w:rPr>
          <w:spacing w:val="-10"/>
        </w:rPr>
        <w:t xml:space="preserve"> </w:t>
      </w:r>
      <w:r w:rsidRPr="00B24CA3">
        <w:t>yaklaşım</w:t>
      </w:r>
      <w:r w:rsidRPr="00B24CA3">
        <w:rPr>
          <w:spacing w:val="-15"/>
        </w:rPr>
        <w:t xml:space="preserve"> </w:t>
      </w:r>
      <w:r w:rsidRPr="00B24CA3">
        <w:t>benimsenerek</w:t>
      </w:r>
      <w:r w:rsidRPr="00B24CA3">
        <w:rPr>
          <w:spacing w:val="-10"/>
        </w:rPr>
        <w:t xml:space="preserve"> </w:t>
      </w:r>
      <w:r w:rsidRPr="00B24CA3">
        <w:t>analiz</w:t>
      </w:r>
      <w:r w:rsidRPr="00B24CA3">
        <w:rPr>
          <w:spacing w:val="-11"/>
        </w:rPr>
        <w:t xml:space="preserve"> </w:t>
      </w:r>
      <w:r w:rsidRPr="00B24CA3">
        <w:t>edilmiştir.</w:t>
      </w:r>
    </w:p>
    <w:p w14:paraId="68BC7D87" w14:textId="77777777" w:rsidR="004C7694" w:rsidRPr="00B24CA3" w:rsidRDefault="004C7694" w:rsidP="00BA67A6">
      <w:pPr>
        <w:pStyle w:val="GvdeMetni"/>
        <w:ind w:right="158"/>
        <w:jc w:val="both"/>
      </w:pPr>
    </w:p>
    <w:p w14:paraId="4C99699C" w14:textId="77777777" w:rsidR="00FF4BC0" w:rsidRPr="00800DA9" w:rsidRDefault="00FF4BC0" w:rsidP="00BA67A6">
      <w:pPr>
        <w:rPr>
          <w:b/>
          <w:bCs/>
        </w:rPr>
      </w:pPr>
      <w:r w:rsidRPr="00800DA9">
        <w:rPr>
          <w:b/>
          <w:bCs/>
        </w:rPr>
        <w:t>Çalışma</w:t>
      </w:r>
      <w:r w:rsidRPr="00800DA9">
        <w:rPr>
          <w:b/>
          <w:bCs/>
          <w:spacing w:val="-2"/>
        </w:rPr>
        <w:t xml:space="preserve"> Grubu</w:t>
      </w:r>
    </w:p>
    <w:p w14:paraId="34755AB7" w14:textId="77777777" w:rsidR="00FF4BC0" w:rsidRPr="00B24CA3" w:rsidRDefault="00FF4BC0" w:rsidP="00BA67A6">
      <w:pPr>
        <w:pStyle w:val="GvdeMetni"/>
        <w:ind w:right="157"/>
        <w:jc w:val="both"/>
      </w:pPr>
      <w:r w:rsidRPr="00B24CA3">
        <w:t>Nitel araştırmada genelde araştırmacılar, sınırlı kaynakların kullanımını en üst düzeye çıkarmak</w:t>
      </w:r>
      <w:r w:rsidRPr="00B24CA3">
        <w:rPr>
          <w:spacing w:val="-3"/>
        </w:rPr>
        <w:t xml:space="preserve"> </w:t>
      </w:r>
      <w:r w:rsidRPr="00B24CA3">
        <w:t>ve</w:t>
      </w:r>
      <w:r w:rsidRPr="00B24CA3">
        <w:rPr>
          <w:spacing w:val="-5"/>
        </w:rPr>
        <w:t xml:space="preserve"> </w:t>
      </w:r>
      <w:r w:rsidRPr="00B24CA3">
        <w:t>bilgiye</w:t>
      </w:r>
      <w:r w:rsidRPr="00B24CA3">
        <w:rPr>
          <w:spacing w:val="-5"/>
        </w:rPr>
        <w:t xml:space="preserve"> </w:t>
      </w:r>
      <w:r w:rsidRPr="00B24CA3">
        <w:t>sahip</w:t>
      </w:r>
      <w:r w:rsidRPr="00B24CA3">
        <w:rPr>
          <w:spacing w:val="-3"/>
        </w:rPr>
        <w:t xml:space="preserve"> </w:t>
      </w:r>
      <w:r w:rsidRPr="00B24CA3">
        <w:t>katılımcıları</w:t>
      </w:r>
      <w:r w:rsidRPr="00B24CA3">
        <w:rPr>
          <w:spacing w:val="-5"/>
        </w:rPr>
        <w:t xml:space="preserve"> </w:t>
      </w:r>
      <w:r w:rsidRPr="00B24CA3">
        <w:t>seçmek amacıyla</w:t>
      </w:r>
      <w:r w:rsidRPr="00B24CA3">
        <w:rPr>
          <w:spacing w:val="-1"/>
        </w:rPr>
        <w:t xml:space="preserve"> </w:t>
      </w:r>
      <w:r w:rsidRPr="00B24CA3">
        <w:t>örnekleme</w:t>
      </w:r>
      <w:r w:rsidRPr="00B24CA3">
        <w:rPr>
          <w:spacing w:val="-5"/>
        </w:rPr>
        <w:t xml:space="preserve"> </w:t>
      </w:r>
      <w:r w:rsidRPr="00B24CA3">
        <w:t>yöntemi</w:t>
      </w:r>
      <w:r w:rsidRPr="00B24CA3">
        <w:rPr>
          <w:spacing w:val="-5"/>
        </w:rPr>
        <w:t xml:space="preserve"> </w:t>
      </w:r>
      <w:r w:rsidRPr="00B24CA3">
        <w:t>tercih etmektedir (</w:t>
      </w:r>
      <w:proofErr w:type="spellStart"/>
      <w:r w:rsidRPr="00B24CA3">
        <w:t>patton</w:t>
      </w:r>
      <w:proofErr w:type="spellEnd"/>
      <w:r w:rsidRPr="00B24CA3">
        <w:rPr>
          <w:spacing w:val="-10"/>
        </w:rPr>
        <w:t xml:space="preserve"> </w:t>
      </w:r>
      <w:r w:rsidRPr="00B24CA3">
        <w:t>,2014).</w:t>
      </w:r>
      <w:r w:rsidRPr="00B24CA3">
        <w:rPr>
          <w:spacing w:val="-9"/>
        </w:rPr>
        <w:t xml:space="preserve"> </w:t>
      </w:r>
      <w:r w:rsidRPr="00B24CA3">
        <w:t>Çalışma</w:t>
      </w:r>
      <w:r w:rsidRPr="00B24CA3">
        <w:rPr>
          <w:spacing w:val="-11"/>
        </w:rPr>
        <w:t xml:space="preserve"> </w:t>
      </w:r>
      <w:r w:rsidRPr="00B24CA3">
        <w:t>gurubu,</w:t>
      </w:r>
      <w:r w:rsidRPr="00B24CA3">
        <w:rPr>
          <w:spacing w:val="-5"/>
        </w:rPr>
        <w:t xml:space="preserve"> </w:t>
      </w:r>
      <w:r w:rsidRPr="00B24CA3">
        <w:t>Kocaeli</w:t>
      </w:r>
      <w:r w:rsidRPr="00B24CA3">
        <w:rPr>
          <w:spacing w:val="-11"/>
        </w:rPr>
        <w:t xml:space="preserve"> </w:t>
      </w:r>
      <w:r w:rsidRPr="00B24CA3">
        <w:t>Üniversitesi’nde</w:t>
      </w:r>
      <w:r w:rsidRPr="00B24CA3">
        <w:rPr>
          <w:spacing w:val="-11"/>
        </w:rPr>
        <w:t xml:space="preserve"> </w:t>
      </w:r>
      <w:r w:rsidRPr="00B24CA3">
        <w:t>yüksek</w:t>
      </w:r>
      <w:r w:rsidRPr="00B24CA3">
        <w:rPr>
          <w:spacing w:val="-10"/>
        </w:rPr>
        <w:t xml:space="preserve"> </w:t>
      </w:r>
      <w:r w:rsidRPr="00B24CA3">
        <w:t>lisans</w:t>
      </w:r>
      <w:r w:rsidRPr="00B24CA3">
        <w:rPr>
          <w:spacing w:val="-8"/>
        </w:rPr>
        <w:t xml:space="preserve"> </w:t>
      </w:r>
      <w:r w:rsidRPr="00B24CA3">
        <w:t>eğitiminin</w:t>
      </w:r>
      <w:r w:rsidRPr="00B24CA3">
        <w:rPr>
          <w:spacing w:val="-4"/>
        </w:rPr>
        <w:t xml:space="preserve"> </w:t>
      </w:r>
      <w:r w:rsidRPr="00B24CA3">
        <w:t>en</w:t>
      </w:r>
      <w:r w:rsidRPr="00B24CA3">
        <w:rPr>
          <w:spacing w:val="-10"/>
        </w:rPr>
        <w:t xml:space="preserve"> </w:t>
      </w:r>
      <w:r w:rsidRPr="00B24CA3">
        <w:t xml:space="preserve">az ikinci sınıfında olan ve en az üç yıldır Türkiye’de bulunan farklı ülkelerden 8 uluslararası öğrenci oluşturmaktadır. Katılımcılar, sosyal entegrasyon süreçleriyle ilgili çeşitli deneyimlerini anlamak ve araştırmanın kapsamını genişletmek için katılımcılar kültürel, akademik ve sosyoekonomik geçmişlerine göre seçilmiştir. Yüz yüze yapılan görüşmeler, katılımcıların karşılaştığı akademik engeller ve uyum süreçlerinin ayrıntılı bir şekilde tartışılmasını </w:t>
      </w:r>
      <w:r w:rsidRPr="00B24CA3">
        <w:rPr>
          <w:spacing w:val="-2"/>
        </w:rPr>
        <w:t>sağlamıştır.</w:t>
      </w:r>
    </w:p>
    <w:p w14:paraId="1525FE8B" w14:textId="77777777" w:rsidR="00FF4BC0" w:rsidRPr="00B24CA3" w:rsidRDefault="00FF4BC0" w:rsidP="00BA67A6">
      <w:pPr>
        <w:pStyle w:val="GvdeMetni"/>
      </w:pPr>
    </w:p>
    <w:p w14:paraId="6DA2C8B9" w14:textId="77777777" w:rsidR="00FF4BC0" w:rsidRPr="00B24CA3" w:rsidRDefault="00FF4BC0" w:rsidP="00BA67A6">
      <w:pPr>
        <w:pStyle w:val="GvdeMetni"/>
      </w:pPr>
      <w:r w:rsidRPr="00B24CA3">
        <w:t>Tablo</w:t>
      </w:r>
      <w:r w:rsidRPr="00B24CA3">
        <w:rPr>
          <w:spacing w:val="-3"/>
        </w:rPr>
        <w:t xml:space="preserve"> </w:t>
      </w:r>
      <w:r w:rsidRPr="00B24CA3">
        <w:t>1:</w:t>
      </w:r>
      <w:r w:rsidRPr="00B24CA3">
        <w:rPr>
          <w:spacing w:val="-5"/>
        </w:rPr>
        <w:t xml:space="preserve"> </w:t>
      </w:r>
      <w:r w:rsidRPr="00B24CA3">
        <w:t>Katılımcılara</w:t>
      </w:r>
      <w:r w:rsidRPr="00B24CA3">
        <w:rPr>
          <w:spacing w:val="-5"/>
        </w:rPr>
        <w:t xml:space="preserve"> </w:t>
      </w:r>
      <w:r w:rsidRPr="00B24CA3">
        <w:t>İlişkin</w:t>
      </w:r>
      <w:r w:rsidRPr="00B24CA3">
        <w:rPr>
          <w:spacing w:val="-2"/>
        </w:rPr>
        <w:t xml:space="preserve"> Bilgiler</w:t>
      </w:r>
    </w:p>
    <w:p w14:paraId="18FB642F" w14:textId="77777777" w:rsidR="00FF4BC0" w:rsidRPr="00B24CA3" w:rsidRDefault="00FF4BC0" w:rsidP="00BA67A6">
      <w:pPr>
        <w:pStyle w:val="GvdeMetni"/>
      </w:pPr>
    </w:p>
    <w:p w14:paraId="7F3F2607" w14:textId="77777777" w:rsidR="00FF4BC0" w:rsidRPr="00B24CA3" w:rsidRDefault="00FF4BC0" w:rsidP="00BA67A6">
      <w:pPr>
        <w:pStyle w:val="GvdeMetni"/>
      </w:pPr>
    </w:p>
    <w:tbl>
      <w:tblPr>
        <w:tblStyle w:val="TableNormal"/>
        <w:tblW w:w="0" w:type="auto"/>
        <w:tblInd w:w="448" w:type="dxa"/>
        <w:tblLayout w:type="fixed"/>
        <w:tblLook w:val="01E0" w:firstRow="1" w:lastRow="1" w:firstColumn="1" w:lastColumn="1" w:noHBand="0" w:noVBand="0"/>
      </w:tblPr>
      <w:tblGrid>
        <w:gridCol w:w="723"/>
        <w:gridCol w:w="1084"/>
        <w:gridCol w:w="1410"/>
        <w:gridCol w:w="3273"/>
        <w:gridCol w:w="2674"/>
      </w:tblGrid>
      <w:tr w:rsidR="00FF4BC0" w:rsidRPr="00B24CA3" w14:paraId="5862902C" w14:textId="77777777" w:rsidTr="00D23BA5">
        <w:trPr>
          <w:trHeight w:val="300"/>
        </w:trPr>
        <w:tc>
          <w:tcPr>
            <w:tcW w:w="723" w:type="dxa"/>
            <w:tcBorders>
              <w:top w:val="single" w:sz="4" w:space="0" w:color="155F82"/>
              <w:bottom w:val="single" w:sz="4" w:space="0" w:color="155F82"/>
            </w:tcBorders>
          </w:tcPr>
          <w:p w14:paraId="34A2DB45" w14:textId="77777777" w:rsidR="00FF4BC0" w:rsidRPr="00B24CA3" w:rsidRDefault="00FF4BC0" w:rsidP="00BA67A6">
            <w:pPr>
              <w:pStyle w:val="TableParagraph"/>
              <w:ind w:right="71"/>
              <w:jc w:val="center"/>
              <w:rPr>
                <w:rFonts w:ascii="Times New Roman" w:hAnsi="Times New Roman" w:cs="Times New Roman"/>
                <w:sz w:val="24"/>
                <w:szCs w:val="24"/>
              </w:rPr>
            </w:pPr>
            <w:proofErr w:type="spellStart"/>
            <w:r w:rsidRPr="00B24CA3">
              <w:rPr>
                <w:rFonts w:ascii="Times New Roman" w:hAnsi="Times New Roman" w:cs="Times New Roman"/>
                <w:spacing w:val="-5"/>
                <w:sz w:val="24"/>
                <w:szCs w:val="24"/>
              </w:rPr>
              <w:lastRenderedPageBreak/>
              <w:t>Kod</w:t>
            </w:r>
            <w:proofErr w:type="spellEnd"/>
          </w:p>
        </w:tc>
        <w:tc>
          <w:tcPr>
            <w:tcW w:w="1084" w:type="dxa"/>
            <w:tcBorders>
              <w:top w:val="single" w:sz="4" w:space="0" w:color="155F82"/>
              <w:bottom w:val="single" w:sz="4" w:space="0" w:color="155F82"/>
            </w:tcBorders>
          </w:tcPr>
          <w:p w14:paraId="66C2C227" w14:textId="77777777" w:rsidR="00FF4BC0" w:rsidRPr="00B24CA3" w:rsidRDefault="00FF4BC0" w:rsidP="00BA67A6">
            <w:pPr>
              <w:pStyle w:val="TableParagraph"/>
              <w:rPr>
                <w:rFonts w:ascii="Times New Roman" w:hAnsi="Times New Roman" w:cs="Times New Roman"/>
                <w:sz w:val="24"/>
                <w:szCs w:val="24"/>
              </w:rPr>
            </w:pPr>
            <w:proofErr w:type="spellStart"/>
            <w:r w:rsidRPr="00B24CA3">
              <w:rPr>
                <w:rFonts w:ascii="Times New Roman" w:hAnsi="Times New Roman" w:cs="Times New Roman"/>
                <w:spacing w:val="-2"/>
                <w:sz w:val="24"/>
                <w:szCs w:val="24"/>
              </w:rPr>
              <w:t>Cinsiyet</w:t>
            </w:r>
            <w:proofErr w:type="spellEnd"/>
          </w:p>
        </w:tc>
        <w:tc>
          <w:tcPr>
            <w:tcW w:w="1410" w:type="dxa"/>
            <w:tcBorders>
              <w:top w:val="single" w:sz="4" w:space="0" w:color="155F82"/>
              <w:bottom w:val="single" w:sz="4" w:space="0" w:color="155F82"/>
            </w:tcBorders>
          </w:tcPr>
          <w:p w14:paraId="589F3512" w14:textId="77777777" w:rsidR="00FF4BC0" w:rsidRPr="00B24CA3" w:rsidRDefault="00FF4BC0" w:rsidP="00BA67A6">
            <w:pPr>
              <w:pStyle w:val="TableParagraph"/>
              <w:ind w:left="136"/>
              <w:rPr>
                <w:rFonts w:ascii="Times New Roman" w:hAnsi="Times New Roman" w:cs="Times New Roman"/>
                <w:sz w:val="24"/>
                <w:szCs w:val="24"/>
              </w:rPr>
            </w:pPr>
            <w:proofErr w:type="spellStart"/>
            <w:r w:rsidRPr="00B24CA3">
              <w:rPr>
                <w:rFonts w:ascii="Times New Roman" w:hAnsi="Times New Roman" w:cs="Times New Roman"/>
                <w:spacing w:val="-2"/>
                <w:sz w:val="24"/>
                <w:szCs w:val="24"/>
              </w:rPr>
              <w:t>Uyruk</w:t>
            </w:r>
            <w:proofErr w:type="spellEnd"/>
          </w:p>
        </w:tc>
        <w:tc>
          <w:tcPr>
            <w:tcW w:w="3273" w:type="dxa"/>
            <w:tcBorders>
              <w:top w:val="single" w:sz="4" w:space="0" w:color="155F82"/>
              <w:bottom w:val="single" w:sz="4" w:space="0" w:color="155F82"/>
            </w:tcBorders>
          </w:tcPr>
          <w:p w14:paraId="6EC3EABF" w14:textId="77777777" w:rsidR="00FF4BC0" w:rsidRPr="00B24CA3" w:rsidRDefault="00FF4BC0" w:rsidP="00BA67A6">
            <w:pPr>
              <w:pStyle w:val="TableParagraph"/>
              <w:ind w:left="211"/>
              <w:rPr>
                <w:rFonts w:ascii="Times New Roman" w:hAnsi="Times New Roman" w:cs="Times New Roman"/>
                <w:sz w:val="24"/>
                <w:szCs w:val="24"/>
              </w:rPr>
            </w:pPr>
            <w:proofErr w:type="spellStart"/>
            <w:r w:rsidRPr="00B24CA3">
              <w:rPr>
                <w:rFonts w:ascii="Times New Roman" w:hAnsi="Times New Roman" w:cs="Times New Roman"/>
                <w:spacing w:val="-2"/>
                <w:sz w:val="24"/>
                <w:szCs w:val="24"/>
              </w:rPr>
              <w:t>Bölüm</w:t>
            </w:r>
            <w:proofErr w:type="spellEnd"/>
          </w:p>
        </w:tc>
        <w:tc>
          <w:tcPr>
            <w:tcW w:w="2674" w:type="dxa"/>
            <w:tcBorders>
              <w:top w:val="single" w:sz="4" w:space="0" w:color="155F82"/>
              <w:bottom w:val="single" w:sz="4" w:space="0" w:color="155F82"/>
            </w:tcBorders>
          </w:tcPr>
          <w:p w14:paraId="6D11A136" w14:textId="77777777" w:rsidR="00FF4BC0" w:rsidRPr="00B24CA3" w:rsidRDefault="00FF4BC0" w:rsidP="00BA67A6">
            <w:pPr>
              <w:pStyle w:val="TableParagraph"/>
              <w:ind w:left="210"/>
              <w:rPr>
                <w:rFonts w:ascii="Times New Roman" w:hAnsi="Times New Roman" w:cs="Times New Roman"/>
                <w:sz w:val="24"/>
                <w:szCs w:val="24"/>
              </w:rPr>
            </w:pPr>
            <w:proofErr w:type="spellStart"/>
            <w:r w:rsidRPr="00B24CA3">
              <w:rPr>
                <w:rFonts w:ascii="Times New Roman" w:hAnsi="Times New Roman" w:cs="Times New Roman"/>
                <w:sz w:val="24"/>
                <w:szCs w:val="24"/>
              </w:rPr>
              <w:t>Türkiye’de</w:t>
            </w:r>
            <w:proofErr w:type="spellEnd"/>
            <w:r w:rsidRPr="00B24CA3">
              <w:rPr>
                <w:rFonts w:ascii="Times New Roman" w:hAnsi="Times New Roman" w:cs="Times New Roman"/>
                <w:spacing w:val="-6"/>
                <w:sz w:val="24"/>
                <w:szCs w:val="24"/>
              </w:rPr>
              <w:t xml:space="preserve"> </w:t>
            </w:r>
            <w:proofErr w:type="spellStart"/>
            <w:r w:rsidRPr="00B24CA3">
              <w:rPr>
                <w:rFonts w:ascii="Times New Roman" w:hAnsi="Times New Roman" w:cs="Times New Roman"/>
                <w:sz w:val="24"/>
                <w:szCs w:val="24"/>
              </w:rPr>
              <w:t>kalış</w:t>
            </w:r>
            <w:proofErr w:type="spellEnd"/>
            <w:r w:rsidRPr="00B24CA3">
              <w:rPr>
                <w:rFonts w:ascii="Times New Roman" w:hAnsi="Times New Roman" w:cs="Times New Roman"/>
                <w:spacing w:val="-3"/>
                <w:sz w:val="24"/>
                <w:szCs w:val="24"/>
              </w:rPr>
              <w:t xml:space="preserve"> </w:t>
            </w:r>
            <w:proofErr w:type="spellStart"/>
            <w:r w:rsidRPr="00B24CA3">
              <w:rPr>
                <w:rFonts w:ascii="Times New Roman" w:hAnsi="Times New Roman" w:cs="Times New Roman"/>
                <w:spacing w:val="-2"/>
                <w:sz w:val="24"/>
                <w:szCs w:val="24"/>
              </w:rPr>
              <w:t>süresi</w:t>
            </w:r>
            <w:proofErr w:type="spellEnd"/>
          </w:p>
        </w:tc>
      </w:tr>
      <w:tr w:rsidR="00FF4BC0" w:rsidRPr="00B24CA3" w14:paraId="771E53F9" w14:textId="77777777" w:rsidTr="00D23BA5">
        <w:trPr>
          <w:trHeight w:val="284"/>
        </w:trPr>
        <w:tc>
          <w:tcPr>
            <w:tcW w:w="723" w:type="dxa"/>
            <w:tcBorders>
              <w:top w:val="single" w:sz="4" w:space="0" w:color="155F82"/>
            </w:tcBorders>
          </w:tcPr>
          <w:p w14:paraId="5841D60E"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I.S.1</w:t>
            </w:r>
          </w:p>
        </w:tc>
        <w:tc>
          <w:tcPr>
            <w:tcW w:w="1084" w:type="dxa"/>
            <w:tcBorders>
              <w:top w:val="single" w:sz="4" w:space="0" w:color="155F82"/>
            </w:tcBorders>
          </w:tcPr>
          <w:p w14:paraId="70BDAA67" w14:textId="77777777" w:rsidR="00FF4BC0" w:rsidRPr="00B24CA3" w:rsidRDefault="00FF4BC0" w:rsidP="00BA67A6">
            <w:pPr>
              <w:pStyle w:val="TableParagraph"/>
              <w:rPr>
                <w:rFonts w:ascii="Times New Roman" w:hAnsi="Times New Roman" w:cs="Times New Roman"/>
                <w:sz w:val="24"/>
                <w:szCs w:val="24"/>
              </w:rPr>
            </w:pPr>
            <w:r w:rsidRPr="00B24CA3">
              <w:rPr>
                <w:rFonts w:ascii="Times New Roman" w:hAnsi="Times New Roman" w:cs="Times New Roman"/>
                <w:spacing w:val="-2"/>
                <w:sz w:val="24"/>
                <w:szCs w:val="24"/>
              </w:rPr>
              <w:t>Erkek</w:t>
            </w:r>
          </w:p>
        </w:tc>
        <w:tc>
          <w:tcPr>
            <w:tcW w:w="1410" w:type="dxa"/>
            <w:tcBorders>
              <w:top w:val="single" w:sz="4" w:space="0" w:color="155F82"/>
            </w:tcBorders>
          </w:tcPr>
          <w:p w14:paraId="373F3106" w14:textId="77777777" w:rsidR="00FF4BC0" w:rsidRPr="00B24CA3" w:rsidRDefault="00FF4BC0" w:rsidP="00BA67A6">
            <w:pPr>
              <w:pStyle w:val="TableParagraph"/>
              <w:ind w:left="136"/>
              <w:rPr>
                <w:rFonts w:ascii="Times New Roman" w:hAnsi="Times New Roman" w:cs="Times New Roman"/>
                <w:sz w:val="24"/>
                <w:szCs w:val="24"/>
              </w:rPr>
            </w:pPr>
            <w:r w:rsidRPr="00B24CA3">
              <w:rPr>
                <w:rFonts w:ascii="Times New Roman" w:hAnsi="Times New Roman" w:cs="Times New Roman"/>
                <w:spacing w:val="-2"/>
                <w:sz w:val="24"/>
                <w:szCs w:val="24"/>
              </w:rPr>
              <w:t>Somali</w:t>
            </w:r>
          </w:p>
        </w:tc>
        <w:tc>
          <w:tcPr>
            <w:tcW w:w="3273" w:type="dxa"/>
            <w:tcBorders>
              <w:top w:val="single" w:sz="4" w:space="0" w:color="155F82"/>
            </w:tcBorders>
          </w:tcPr>
          <w:p w14:paraId="0E48738C" w14:textId="77777777" w:rsidR="00FF4BC0" w:rsidRPr="00B24CA3" w:rsidRDefault="00FF4BC0" w:rsidP="00BA67A6">
            <w:pPr>
              <w:pStyle w:val="TableParagraph"/>
              <w:ind w:left="211"/>
              <w:rPr>
                <w:rFonts w:ascii="Times New Roman" w:hAnsi="Times New Roman" w:cs="Times New Roman"/>
                <w:sz w:val="24"/>
                <w:szCs w:val="24"/>
              </w:rPr>
            </w:pPr>
            <w:r w:rsidRPr="00B24CA3">
              <w:rPr>
                <w:rFonts w:ascii="Times New Roman" w:hAnsi="Times New Roman" w:cs="Times New Roman"/>
                <w:spacing w:val="-2"/>
                <w:sz w:val="24"/>
                <w:szCs w:val="24"/>
              </w:rPr>
              <w:t>Denizcilik</w:t>
            </w:r>
          </w:p>
        </w:tc>
        <w:tc>
          <w:tcPr>
            <w:tcW w:w="2674" w:type="dxa"/>
            <w:tcBorders>
              <w:top w:val="single" w:sz="4" w:space="0" w:color="155F82"/>
            </w:tcBorders>
          </w:tcPr>
          <w:p w14:paraId="0C857676"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4</w:t>
            </w:r>
          </w:p>
        </w:tc>
      </w:tr>
      <w:tr w:rsidR="00FF4BC0" w:rsidRPr="00B24CA3" w14:paraId="6703794E" w14:textId="77777777" w:rsidTr="00D23BA5">
        <w:trPr>
          <w:trHeight w:val="300"/>
        </w:trPr>
        <w:tc>
          <w:tcPr>
            <w:tcW w:w="723" w:type="dxa"/>
          </w:tcPr>
          <w:p w14:paraId="61885FC1"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I.S.2</w:t>
            </w:r>
          </w:p>
        </w:tc>
        <w:tc>
          <w:tcPr>
            <w:tcW w:w="1084" w:type="dxa"/>
          </w:tcPr>
          <w:p w14:paraId="47CE6952" w14:textId="77777777" w:rsidR="00FF4BC0" w:rsidRPr="00B24CA3" w:rsidRDefault="00FF4BC0" w:rsidP="00BA67A6">
            <w:pPr>
              <w:pStyle w:val="TableParagraph"/>
              <w:rPr>
                <w:rFonts w:ascii="Times New Roman" w:hAnsi="Times New Roman" w:cs="Times New Roman"/>
                <w:sz w:val="24"/>
                <w:szCs w:val="24"/>
              </w:rPr>
            </w:pPr>
            <w:r w:rsidRPr="00B24CA3">
              <w:rPr>
                <w:rFonts w:ascii="Times New Roman" w:hAnsi="Times New Roman" w:cs="Times New Roman"/>
                <w:spacing w:val="-2"/>
                <w:sz w:val="24"/>
                <w:szCs w:val="24"/>
              </w:rPr>
              <w:t>Erkek</w:t>
            </w:r>
          </w:p>
        </w:tc>
        <w:tc>
          <w:tcPr>
            <w:tcW w:w="1410" w:type="dxa"/>
          </w:tcPr>
          <w:p w14:paraId="54AB5271" w14:textId="77777777" w:rsidR="00FF4BC0" w:rsidRPr="00B24CA3" w:rsidRDefault="00FF4BC0" w:rsidP="00BA67A6">
            <w:pPr>
              <w:pStyle w:val="TableParagraph"/>
              <w:ind w:left="136"/>
              <w:rPr>
                <w:rFonts w:ascii="Times New Roman" w:hAnsi="Times New Roman" w:cs="Times New Roman"/>
                <w:sz w:val="24"/>
                <w:szCs w:val="24"/>
              </w:rPr>
            </w:pPr>
            <w:proofErr w:type="spellStart"/>
            <w:r w:rsidRPr="00B24CA3">
              <w:rPr>
                <w:rFonts w:ascii="Times New Roman" w:hAnsi="Times New Roman" w:cs="Times New Roman"/>
                <w:spacing w:val="-5"/>
                <w:sz w:val="24"/>
                <w:szCs w:val="24"/>
              </w:rPr>
              <w:t>Çad</w:t>
            </w:r>
            <w:proofErr w:type="spellEnd"/>
          </w:p>
        </w:tc>
        <w:tc>
          <w:tcPr>
            <w:tcW w:w="3273" w:type="dxa"/>
          </w:tcPr>
          <w:p w14:paraId="4B86A938" w14:textId="77777777" w:rsidR="00FF4BC0" w:rsidRPr="00B24CA3" w:rsidRDefault="00FF4BC0" w:rsidP="00BA67A6">
            <w:pPr>
              <w:pStyle w:val="TableParagraph"/>
              <w:ind w:left="211"/>
              <w:rPr>
                <w:rFonts w:ascii="Times New Roman" w:hAnsi="Times New Roman" w:cs="Times New Roman"/>
                <w:sz w:val="24"/>
                <w:szCs w:val="24"/>
              </w:rPr>
            </w:pPr>
            <w:proofErr w:type="spellStart"/>
            <w:r w:rsidRPr="00B24CA3">
              <w:rPr>
                <w:rFonts w:ascii="Times New Roman" w:hAnsi="Times New Roman" w:cs="Times New Roman"/>
                <w:sz w:val="24"/>
                <w:szCs w:val="24"/>
              </w:rPr>
              <w:t>Radyo</w:t>
            </w:r>
            <w:proofErr w:type="spellEnd"/>
            <w:r w:rsidRPr="00B24CA3">
              <w:rPr>
                <w:rFonts w:ascii="Times New Roman" w:hAnsi="Times New Roman" w:cs="Times New Roman"/>
                <w:sz w:val="24"/>
                <w:szCs w:val="24"/>
              </w:rPr>
              <w:t>,</w:t>
            </w:r>
            <w:r w:rsidRPr="00B24CA3">
              <w:rPr>
                <w:rFonts w:ascii="Times New Roman" w:hAnsi="Times New Roman" w:cs="Times New Roman"/>
                <w:spacing w:val="-2"/>
                <w:sz w:val="24"/>
                <w:szCs w:val="24"/>
              </w:rPr>
              <w:t xml:space="preserve"> </w:t>
            </w:r>
            <w:proofErr w:type="spellStart"/>
            <w:r w:rsidRPr="00B24CA3">
              <w:rPr>
                <w:rFonts w:ascii="Times New Roman" w:hAnsi="Times New Roman" w:cs="Times New Roman"/>
                <w:sz w:val="24"/>
                <w:szCs w:val="24"/>
              </w:rPr>
              <w:t>Televizyon</w:t>
            </w:r>
            <w:proofErr w:type="spellEnd"/>
            <w:r w:rsidRPr="00B24CA3">
              <w:rPr>
                <w:rFonts w:ascii="Times New Roman" w:hAnsi="Times New Roman" w:cs="Times New Roman"/>
                <w:spacing w:val="-1"/>
                <w:sz w:val="24"/>
                <w:szCs w:val="24"/>
              </w:rPr>
              <w:t xml:space="preserve"> </w:t>
            </w:r>
            <w:proofErr w:type="spellStart"/>
            <w:r w:rsidRPr="00B24CA3">
              <w:rPr>
                <w:rFonts w:ascii="Times New Roman" w:hAnsi="Times New Roman" w:cs="Times New Roman"/>
                <w:sz w:val="24"/>
                <w:szCs w:val="24"/>
              </w:rPr>
              <w:t>ve</w:t>
            </w:r>
            <w:proofErr w:type="spellEnd"/>
            <w:r w:rsidRPr="00B24CA3">
              <w:rPr>
                <w:rFonts w:ascii="Times New Roman" w:hAnsi="Times New Roman" w:cs="Times New Roman"/>
                <w:spacing w:val="-3"/>
                <w:sz w:val="24"/>
                <w:szCs w:val="24"/>
              </w:rPr>
              <w:t xml:space="preserve"> </w:t>
            </w:r>
            <w:proofErr w:type="spellStart"/>
            <w:r w:rsidRPr="00B24CA3">
              <w:rPr>
                <w:rFonts w:ascii="Times New Roman" w:hAnsi="Times New Roman" w:cs="Times New Roman"/>
                <w:spacing w:val="-2"/>
                <w:sz w:val="24"/>
                <w:szCs w:val="24"/>
              </w:rPr>
              <w:t>sinema</w:t>
            </w:r>
            <w:proofErr w:type="spellEnd"/>
          </w:p>
        </w:tc>
        <w:tc>
          <w:tcPr>
            <w:tcW w:w="2674" w:type="dxa"/>
          </w:tcPr>
          <w:p w14:paraId="08169FF7"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6</w:t>
            </w:r>
          </w:p>
        </w:tc>
      </w:tr>
      <w:tr w:rsidR="00FF4BC0" w:rsidRPr="00B24CA3" w14:paraId="03050592" w14:textId="77777777" w:rsidTr="00D23BA5">
        <w:trPr>
          <w:trHeight w:val="300"/>
        </w:trPr>
        <w:tc>
          <w:tcPr>
            <w:tcW w:w="723" w:type="dxa"/>
          </w:tcPr>
          <w:p w14:paraId="0B51967B"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I.S.3</w:t>
            </w:r>
          </w:p>
        </w:tc>
        <w:tc>
          <w:tcPr>
            <w:tcW w:w="1084" w:type="dxa"/>
          </w:tcPr>
          <w:p w14:paraId="5406AACC" w14:textId="77777777" w:rsidR="00FF4BC0" w:rsidRPr="00B24CA3" w:rsidRDefault="00FF4BC0" w:rsidP="00BA67A6">
            <w:pPr>
              <w:pStyle w:val="TableParagraph"/>
              <w:rPr>
                <w:rFonts w:ascii="Times New Roman" w:hAnsi="Times New Roman" w:cs="Times New Roman"/>
                <w:sz w:val="24"/>
                <w:szCs w:val="24"/>
              </w:rPr>
            </w:pPr>
            <w:r w:rsidRPr="00B24CA3">
              <w:rPr>
                <w:rFonts w:ascii="Times New Roman" w:hAnsi="Times New Roman" w:cs="Times New Roman"/>
                <w:spacing w:val="-2"/>
                <w:sz w:val="24"/>
                <w:szCs w:val="24"/>
              </w:rPr>
              <w:t>Erkek</w:t>
            </w:r>
          </w:p>
        </w:tc>
        <w:tc>
          <w:tcPr>
            <w:tcW w:w="1410" w:type="dxa"/>
          </w:tcPr>
          <w:p w14:paraId="1ED34434" w14:textId="77777777" w:rsidR="00FF4BC0" w:rsidRPr="00B24CA3" w:rsidRDefault="00FF4BC0" w:rsidP="00BA67A6">
            <w:pPr>
              <w:pStyle w:val="TableParagraph"/>
              <w:ind w:left="136"/>
              <w:rPr>
                <w:rFonts w:ascii="Times New Roman" w:hAnsi="Times New Roman" w:cs="Times New Roman"/>
                <w:sz w:val="24"/>
                <w:szCs w:val="24"/>
              </w:rPr>
            </w:pPr>
            <w:proofErr w:type="spellStart"/>
            <w:r w:rsidRPr="00B24CA3">
              <w:rPr>
                <w:rFonts w:ascii="Times New Roman" w:hAnsi="Times New Roman" w:cs="Times New Roman"/>
                <w:spacing w:val="-2"/>
                <w:sz w:val="24"/>
                <w:szCs w:val="24"/>
              </w:rPr>
              <w:t>Etiyopya</w:t>
            </w:r>
            <w:proofErr w:type="spellEnd"/>
          </w:p>
        </w:tc>
        <w:tc>
          <w:tcPr>
            <w:tcW w:w="3273" w:type="dxa"/>
          </w:tcPr>
          <w:p w14:paraId="29EC4E8B" w14:textId="77777777" w:rsidR="00FF4BC0" w:rsidRPr="00B24CA3" w:rsidRDefault="00FF4BC0" w:rsidP="00BA67A6">
            <w:pPr>
              <w:pStyle w:val="TableParagraph"/>
              <w:ind w:left="211"/>
              <w:rPr>
                <w:rFonts w:ascii="Times New Roman" w:hAnsi="Times New Roman" w:cs="Times New Roman"/>
                <w:sz w:val="24"/>
                <w:szCs w:val="24"/>
              </w:rPr>
            </w:pPr>
            <w:proofErr w:type="spellStart"/>
            <w:r w:rsidRPr="00B24CA3">
              <w:rPr>
                <w:rFonts w:ascii="Times New Roman" w:hAnsi="Times New Roman" w:cs="Times New Roman"/>
                <w:sz w:val="24"/>
                <w:szCs w:val="24"/>
              </w:rPr>
              <w:t>Bilgisayar</w:t>
            </w:r>
            <w:proofErr w:type="spellEnd"/>
            <w:r w:rsidRPr="00B24CA3">
              <w:rPr>
                <w:rFonts w:ascii="Times New Roman" w:hAnsi="Times New Roman" w:cs="Times New Roman"/>
                <w:spacing w:val="-5"/>
                <w:sz w:val="24"/>
                <w:szCs w:val="24"/>
              </w:rPr>
              <w:t xml:space="preserve"> </w:t>
            </w:r>
            <w:proofErr w:type="spellStart"/>
            <w:r w:rsidRPr="00B24CA3">
              <w:rPr>
                <w:rFonts w:ascii="Times New Roman" w:hAnsi="Times New Roman" w:cs="Times New Roman"/>
                <w:spacing w:val="-2"/>
                <w:sz w:val="24"/>
                <w:szCs w:val="24"/>
              </w:rPr>
              <w:t>mühendisliği</w:t>
            </w:r>
            <w:proofErr w:type="spellEnd"/>
          </w:p>
        </w:tc>
        <w:tc>
          <w:tcPr>
            <w:tcW w:w="2674" w:type="dxa"/>
          </w:tcPr>
          <w:p w14:paraId="698DE131"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5</w:t>
            </w:r>
          </w:p>
        </w:tc>
      </w:tr>
      <w:tr w:rsidR="00FF4BC0" w:rsidRPr="00B24CA3" w14:paraId="37B973C6" w14:textId="77777777" w:rsidTr="00D23BA5">
        <w:trPr>
          <w:trHeight w:val="300"/>
        </w:trPr>
        <w:tc>
          <w:tcPr>
            <w:tcW w:w="723" w:type="dxa"/>
          </w:tcPr>
          <w:p w14:paraId="72B373AC"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I.S.4</w:t>
            </w:r>
          </w:p>
        </w:tc>
        <w:tc>
          <w:tcPr>
            <w:tcW w:w="1084" w:type="dxa"/>
          </w:tcPr>
          <w:p w14:paraId="6969922F" w14:textId="77777777" w:rsidR="00FF4BC0" w:rsidRPr="00B24CA3" w:rsidRDefault="00FF4BC0" w:rsidP="00BA67A6">
            <w:pPr>
              <w:pStyle w:val="TableParagraph"/>
              <w:rPr>
                <w:rFonts w:ascii="Times New Roman" w:hAnsi="Times New Roman" w:cs="Times New Roman"/>
                <w:sz w:val="24"/>
                <w:szCs w:val="24"/>
              </w:rPr>
            </w:pPr>
            <w:r w:rsidRPr="00B24CA3">
              <w:rPr>
                <w:rFonts w:ascii="Times New Roman" w:hAnsi="Times New Roman" w:cs="Times New Roman"/>
                <w:spacing w:val="-2"/>
                <w:sz w:val="24"/>
                <w:szCs w:val="24"/>
              </w:rPr>
              <w:t>Erkek</w:t>
            </w:r>
          </w:p>
        </w:tc>
        <w:tc>
          <w:tcPr>
            <w:tcW w:w="1410" w:type="dxa"/>
          </w:tcPr>
          <w:p w14:paraId="1219F9DB" w14:textId="77777777" w:rsidR="00FF4BC0" w:rsidRPr="00B24CA3" w:rsidRDefault="00FF4BC0" w:rsidP="00BA67A6">
            <w:pPr>
              <w:pStyle w:val="TableParagraph"/>
              <w:ind w:left="136"/>
              <w:rPr>
                <w:rFonts w:ascii="Times New Roman" w:hAnsi="Times New Roman" w:cs="Times New Roman"/>
                <w:sz w:val="24"/>
                <w:szCs w:val="24"/>
              </w:rPr>
            </w:pPr>
            <w:r w:rsidRPr="00B24CA3">
              <w:rPr>
                <w:rFonts w:ascii="Times New Roman" w:hAnsi="Times New Roman" w:cs="Times New Roman"/>
                <w:spacing w:val="-4"/>
                <w:sz w:val="24"/>
                <w:szCs w:val="24"/>
              </w:rPr>
              <w:t>Gine</w:t>
            </w:r>
          </w:p>
        </w:tc>
        <w:tc>
          <w:tcPr>
            <w:tcW w:w="3273" w:type="dxa"/>
          </w:tcPr>
          <w:p w14:paraId="099305CD" w14:textId="77777777" w:rsidR="00FF4BC0" w:rsidRPr="00B24CA3" w:rsidRDefault="00FF4BC0" w:rsidP="00BA67A6">
            <w:pPr>
              <w:pStyle w:val="TableParagraph"/>
              <w:ind w:left="211"/>
              <w:rPr>
                <w:rFonts w:ascii="Times New Roman" w:hAnsi="Times New Roman" w:cs="Times New Roman"/>
                <w:sz w:val="24"/>
                <w:szCs w:val="24"/>
              </w:rPr>
            </w:pPr>
            <w:r w:rsidRPr="00B24CA3">
              <w:rPr>
                <w:rFonts w:ascii="Times New Roman" w:hAnsi="Times New Roman" w:cs="Times New Roman"/>
                <w:sz w:val="24"/>
                <w:szCs w:val="24"/>
              </w:rPr>
              <w:t>Elektronik</w:t>
            </w:r>
            <w:r w:rsidRPr="00B24CA3">
              <w:rPr>
                <w:rFonts w:ascii="Times New Roman" w:hAnsi="Times New Roman" w:cs="Times New Roman"/>
                <w:spacing w:val="-4"/>
                <w:sz w:val="24"/>
                <w:szCs w:val="24"/>
              </w:rPr>
              <w:t xml:space="preserve"> </w:t>
            </w:r>
            <w:proofErr w:type="spellStart"/>
            <w:r w:rsidRPr="00B24CA3">
              <w:rPr>
                <w:rFonts w:ascii="Times New Roman" w:hAnsi="Times New Roman" w:cs="Times New Roman"/>
                <w:sz w:val="24"/>
                <w:szCs w:val="24"/>
              </w:rPr>
              <w:t>ve</w:t>
            </w:r>
            <w:proofErr w:type="spellEnd"/>
            <w:r w:rsidRPr="00B24CA3">
              <w:rPr>
                <w:rFonts w:ascii="Times New Roman" w:hAnsi="Times New Roman" w:cs="Times New Roman"/>
                <w:spacing w:val="-4"/>
                <w:sz w:val="24"/>
                <w:szCs w:val="24"/>
              </w:rPr>
              <w:t xml:space="preserve"> </w:t>
            </w:r>
            <w:proofErr w:type="spellStart"/>
            <w:r w:rsidRPr="00B24CA3">
              <w:rPr>
                <w:rFonts w:ascii="Times New Roman" w:hAnsi="Times New Roman" w:cs="Times New Roman"/>
                <w:spacing w:val="-2"/>
                <w:sz w:val="24"/>
                <w:szCs w:val="24"/>
              </w:rPr>
              <w:t>haberleşme</w:t>
            </w:r>
            <w:proofErr w:type="spellEnd"/>
          </w:p>
        </w:tc>
        <w:tc>
          <w:tcPr>
            <w:tcW w:w="2674" w:type="dxa"/>
          </w:tcPr>
          <w:p w14:paraId="685248A3"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3</w:t>
            </w:r>
          </w:p>
        </w:tc>
      </w:tr>
      <w:tr w:rsidR="00FF4BC0" w:rsidRPr="00B24CA3" w14:paraId="6B8B8A57" w14:textId="77777777" w:rsidTr="00D23BA5">
        <w:trPr>
          <w:trHeight w:val="300"/>
        </w:trPr>
        <w:tc>
          <w:tcPr>
            <w:tcW w:w="723" w:type="dxa"/>
          </w:tcPr>
          <w:p w14:paraId="609B559C"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I.S.5</w:t>
            </w:r>
          </w:p>
        </w:tc>
        <w:tc>
          <w:tcPr>
            <w:tcW w:w="1084" w:type="dxa"/>
          </w:tcPr>
          <w:p w14:paraId="423023FA" w14:textId="77777777" w:rsidR="00FF4BC0" w:rsidRPr="00B24CA3" w:rsidRDefault="00FF4BC0" w:rsidP="00BA67A6">
            <w:pPr>
              <w:pStyle w:val="TableParagraph"/>
              <w:rPr>
                <w:rFonts w:ascii="Times New Roman" w:hAnsi="Times New Roman" w:cs="Times New Roman"/>
                <w:sz w:val="24"/>
                <w:szCs w:val="24"/>
              </w:rPr>
            </w:pPr>
            <w:r w:rsidRPr="00B24CA3">
              <w:rPr>
                <w:rFonts w:ascii="Times New Roman" w:hAnsi="Times New Roman" w:cs="Times New Roman"/>
                <w:spacing w:val="-2"/>
                <w:sz w:val="24"/>
                <w:szCs w:val="24"/>
              </w:rPr>
              <w:t>Erkek</w:t>
            </w:r>
          </w:p>
        </w:tc>
        <w:tc>
          <w:tcPr>
            <w:tcW w:w="1410" w:type="dxa"/>
          </w:tcPr>
          <w:p w14:paraId="4BE113A6" w14:textId="77777777" w:rsidR="00FF4BC0" w:rsidRPr="00B24CA3" w:rsidRDefault="00FF4BC0" w:rsidP="00BA67A6">
            <w:pPr>
              <w:pStyle w:val="TableParagraph"/>
              <w:ind w:left="136"/>
              <w:rPr>
                <w:rFonts w:ascii="Times New Roman" w:hAnsi="Times New Roman" w:cs="Times New Roman"/>
                <w:sz w:val="24"/>
                <w:szCs w:val="24"/>
              </w:rPr>
            </w:pPr>
            <w:proofErr w:type="spellStart"/>
            <w:r w:rsidRPr="00B24CA3">
              <w:rPr>
                <w:rFonts w:ascii="Times New Roman" w:hAnsi="Times New Roman" w:cs="Times New Roman"/>
                <w:spacing w:val="-2"/>
                <w:sz w:val="24"/>
                <w:szCs w:val="24"/>
              </w:rPr>
              <w:t>Suriye</w:t>
            </w:r>
            <w:proofErr w:type="spellEnd"/>
          </w:p>
        </w:tc>
        <w:tc>
          <w:tcPr>
            <w:tcW w:w="3273" w:type="dxa"/>
          </w:tcPr>
          <w:p w14:paraId="14BB9B61" w14:textId="77777777" w:rsidR="00FF4BC0" w:rsidRPr="00B24CA3" w:rsidRDefault="00FF4BC0" w:rsidP="00BA67A6">
            <w:pPr>
              <w:pStyle w:val="TableParagraph"/>
              <w:ind w:left="211"/>
              <w:rPr>
                <w:rFonts w:ascii="Times New Roman" w:hAnsi="Times New Roman" w:cs="Times New Roman"/>
                <w:sz w:val="24"/>
                <w:szCs w:val="24"/>
              </w:rPr>
            </w:pPr>
            <w:proofErr w:type="spellStart"/>
            <w:r w:rsidRPr="00B24CA3">
              <w:rPr>
                <w:rFonts w:ascii="Times New Roman" w:hAnsi="Times New Roman" w:cs="Times New Roman"/>
                <w:spacing w:val="-2"/>
                <w:sz w:val="24"/>
                <w:szCs w:val="24"/>
              </w:rPr>
              <w:t>İşletme</w:t>
            </w:r>
            <w:proofErr w:type="spellEnd"/>
          </w:p>
        </w:tc>
        <w:tc>
          <w:tcPr>
            <w:tcW w:w="2674" w:type="dxa"/>
          </w:tcPr>
          <w:p w14:paraId="7C448411"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3</w:t>
            </w:r>
          </w:p>
        </w:tc>
      </w:tr>
      <w:tr w:rsidR="00FF4BC0" w:rsidRPr="00B24CA3" w14:paraId="7B91ED7F" w14:textId="77777777" w:rsidTr="00D23BA5">
        <w:trPr>
          <w:trHeight w:val="316"/>
        </w:trPr>
        <w:tc>
          <w:tcPr>
            <w:tcW w:w="723" w:type="dxa"/>
            <w:tcBorders>
              <w:bottom w:val="single" w:sz="4" w:space="0" w:color="155F82"/>
            </w:tcBorders>
          </w:tcPr>
          <w:p w14:paraId="634729B5" w14:textId="77777777" w:rsidR="00FF4BC0" w:rsidRPr="00B24CA3" w:rsidRDefault="00FF4BC0" w:rsidP="00BA67A6">
            <w:pPr>
              <w:pStyle w:val="TableParagraph"/>
              <w:ind w:left="40" w:right="71"/>
              <w:jc w:val="center"/>
              <w:rPr>
                <w:rFonts w:ascii="Times New Roman" w:hAnsi="Times New Roman" w:cs="Times New Roman"/>
                <w:sz w:val="24"/>
                <w:szCs w:val="24"/>
              </w:rPr>
            </w:pPr>
            <w:r w:rsidRPr="00B24CA3">
              <w:rPr>
                <w:rFonts w:ascii="Times New Roman" w:hAnsi="Times New Roman" w:cs="Times New Roman"/>
                <w:spacing w:val="-2"/>
                <w:sz w:val="24"/>
                <w:szCs w:val="24"/>
              </w:rPr>
              <w:t>I.S.6</w:t>
            </w:r>
          </w:p>
        </w:tc>
        <w:tc>
          <w:tcPr>
            <w:tcW w:w="1084" w:type="dxa"/>
            <w:tcBorders>
              <w:bottom w:val="single" w:sz="4" w:space="0" w:color="155F82"/>
            </w:tcBorders>
          </w:tcPr>
          <w:p w14:paraId="3C17F991" w14:textId="77777777" w:rsidR="00FF4BC0" w:rsidRPr="00B24CA3" w:rsidRDefault="00FF4BC0" w:rsidP="00BA67A6">
            <w:pPr>
              <w:pStyle w:val="TableParagraph"/>
              <w:rPr>
                <w:rFonts w:ascii="Times New Roman" w:hAnsi="Times New Roman" w:cs="Times New Roman"/>
                <w:sz w:val="24"/>
                <w:szCs w:val="24"/>
              </w:rPr>
            </w:pPr>
            <w:proofErr w:type="spellStart"/>
            <w:r w:rsidRPr="00B24CA3">
              <w:rPr>
                <w:rFonts w:ascii="Times New Roman" w:hAnsi="Times New Roman" w:cs="Times New Roman"/>
                <w:spacing w:val="-2"/>
                <w:sz w:val="24"/>
                <w:szCs w:val="24"/>
              </w:rPr>
              <w:t>Kadın</w:t>
            </w:r>
            <w:proofErr w:type="spellEnd"/>
          </w:p>
        </w:tc>
        <w:tc>
          <w:tcPr>
            <w:tcW w:w="1410" w:type="dxa"/>
            <w:tcBorders>
              <w:bottom w:val="single" w:sz="4" w:space="0" w:color="155F82"/>
            </w:tcBorders>
          </w:tcPr>
          <w:p w14:paraId="7ECE1054" w14:textId="77777777" w:rsidR="00FF4BC0" w:rsidRPr="00B24CA3" w:rsidRDefault="00FF4BC0" w:rsidP="00BA67A6">
            <w:pPr>
              <w:pStyle w:val="TableParagraph"/>
              <w:ind w:left="136"/>
              <w:rPr>
                <w:rFonts w:ascii="Times New Roman" w:hAnsi="Times New Roman" w:cs="Times New Roman"/>
                <w:sz w:val="24"/>
                <w:szCs w:val="24"/>
              </w:rPr>
            </w:pPr>
            <w:proofErr w:type="spellStart"/>
            <w:r w:rsidRPr="00B24CA3">
              <w:rPr>
                <w:rFonts w:ascii="Times New Roman" w:hAnsi="Times New Roman" w:cs="Times New Roman"/>
                <w:spacing w:val="-2"/>
                <w:sz w:val="24"/>
                <w:szCs w:val="24"/>
              </w:rPr>
              <w:t>Kazakistan</w:t>
            </w:r>
            <w:proofErr w:type="spellEnd"/>
          </w:p>
        </w:tc>
        <w:tc>
          <w:tcPr>
            <w:tcW w:w="3273" w:type="dxa"/>
            <w:tcBorders>
              <w:bottom w:val="single" w:sz="4" w:space="0" w:color="155F82"/>
            </w:tcBorders>
          </w:tcPr>
          <w:p w14:paraId="425572DB" w14:textId="77777777" w:rsidR="00FF4BC0" w:rsidRPr="00B24CA3" w:rsidRDefault="00FF4BC0" w:rsidP="00BA67A6">
            <w:pPr>
              <w:pStyle w:val="TableParagraph"/>
              <w:ind w:left="211"/>
              <w:rPr>
                <w:rFonts w:ascii="Times New Roman" w:hAnsi="Times New Roman" w:cs="Times New Roman"/>
                <w:sz w:val="24"/>
                <w:szCs w:val="24"/>
              </w:rPr>
            </w:pPr>
            <w:proofErr w:type="spellStart"/>
            <w:r w:rsidRPr="00B24CA3">
              <w:rPr>
                <w:rFonts w:ascii="Times New Roman" w:hAnsi="Times New Roman" w:cs="Times New Roman"/>
                <w:spacing w:val="-2"/>
                <w:sz w:val="24"/>
                <w:szCs w:val="24"/>
              </w:rPr>
              <w:t>Gazetecilik</w:t>
            </w:r>
            <w:proofErr w:type="spellEnd"/>
          </w:p>
        </w:tc>
        <w:tc>
          <w:tcPr>
            <w:tcW w:w="2674" w:type="dxa"/>
            <w:tcBorders>
              <w:bottom w:val="single" w:sz="4" w:space="0" w:color="155F82"/>
            </w:tcBorders>
          </w:tcPr>
          <w:p w14:paraId="63241DA3" w14:textId="77777777" w:rsidR="00FF4BC0" w:rsidRPr="00B24CA3" w:rsidRDefault="00FF4BC0" w:rsidP="00BA67A6">
            <w:pPr>
              <w:pStyle w:val="TableParagraph"/>
              <w:ind w:left="210"/>
              <w:rPr>
                <w:rFonts w:ascii="Times New Roman" w:hAnsi="Times New Roman" w:cs="Times New Roman"/>
                <w:sz w:val="24"/>
                <w:szCs w:val="24"/>
              </w:rPr>
            </w:pPr>
            <w:r w:rsidRPr="00B24CA3">
              <w:rPr>
                <w:rFonts w:ascii="Times New Roman" w:hAnsi="Times New Roman" w:cs="Times New Roman"/>
                <w:spacing w:val="-10"/>
                <w:sz w:val="24"/>
                <w:szCs w:val="24"/>
              </w:rPr>
              <w:t>3</w:t>
            </w:r>
          </w:p>
        </w:tc>
      </w:tr>
    </w:tbl>
    <w:p w14:paraId="285127EF" w14:textId="77777777" w:rsidR="00FF4BC0" w:rsidRPr="00B24CA3" w:rsidRDefault="00FF4BC0" w:rsidP="00BA67A6">
      <w:pPr>
        <w:pStyle w:val="TableParagraph"/>
        <w:rPr>
          <w:sz w:val="24"/>
          <w:szCs w:val="24"/>
        </w:rPr>
        <w:sectPr w:rsidR="00FF4BC0" w:rsidRPr="00B24CA3" w:rsidSect="007513A1">
          <w:type w:val="continuous"/>
          <w:pgSz w:w="11906" w:h="16838"/>
          <w:pgMar w:top="1418" w:right="1418" w:bottom="1418" w:left="1418" w:header="1304" w:footer="1361" w:gutter="0"/>
          <w:cols w:space="708"/>
        </w:sectPr>
      </w:pPr>
    </w:p>
    <w:tbl>
      <w:tblPr>
        <w:tblStyle w:val="TableNormal"/>
        <w:tblW w:w="0" w:type="auto"/>
        <w:tblInd w:w="448" w:type="dxa"/>
        <w:tblLayout w:type="fixed"/>
        <w:tblLook w:val="01E0" w:firstRow="1" w:lastRow="1" w:firstColumn="1" w:lastColumn="1" w:noHBand="0" w:noVBand="0"/>
      </w:tblPr>
      <w:tblGrid>
        <w:gridCol w:w="723"/>
        <w:gridCol w:w="978"/>
        <w:gridCol w:w="1330"/>
        <w:gridCol w:w="3042"/>
        <w:gridCol w:w="3088"/>
      </w:tblGrid>
      <w:tr w:rsidR="00FF4BC0" w:rsidRPr="00B24CA3" w14:paraId="76B91908" w14:textId="77777777" w:rsidTr="00D23BA5">
        <w:trPr>
          <w:trHeight w:val="530"/>
        </w:trPr>
        <w:tc>
          <w:tcPr>
            <w:tcW w:w="723" w:type="dxa"/>
            <w:tcBorders>
              <w:top w:val="single" w:sz="4" w:space="0" w:color="155F82"/>
              <w:bottom w:val="single" w:sz="4" w:space="0" w:color="155F82"/>
            </w:tcBorders>
          </w:tcPr>
          <w:p w14:paraId="4C75CCF9" w14:textId="77777777" w:rsidR="00FF4BC0" w:rsidRPr="00B24CA3" w:rsidRDefault="00FF4BC0" w:rsidP="00BA67A6">
            <w:pPr>
              <w:pStyle w:val="TableParagraph"/>
              <w:ind w:left="117"/>
              <w:rPr>
                <w:rFonts w:ascii="Times New Roman" w:hAnsi="Times New Roman" w:cs="Times New Roman"/>
                <w:sz w:val="24"/>
                <w:szCs w:val="24"/>
              </w:rPr>
            </w:pPr>
            <w:r w:rsidRPr="00B24CA3">
              <w:rPr>
                <w:rFonts w:ascii="Times New Roman" w:hAnsi="Times New Roman" w:cs="Times New Roman"/>
                <w:spacing w:val="-2"/>
                <w:sz w:val="24"/>
                <w:szCs w:val="24"/>
              </w:rPr>
              <w:t>I.S.7</w:t>
            </w:r>
          </w:p>
          <w:p w14:paraId="5E453B6E" w14:textId="77777777" w:rsidR="00FF4BC0" w:rsidRPr="00B24CA3" w:rsidRDefault="00FF4BC0" w:rsidP="00BA67A6">
            <w:pPr>
              <w:pStyle w:val="TableParagraph"/>
              <w:ind w:left="117"/>
              <w:rPr>
                <w:rFonts w:ascii="Times New Roman" w:hAnsi="Times New Roman" w:cs="Times New Roman"/>
                <w:sz w:val="24"/>
                <w:szCs w:val="24"/>
              </w:rPr>
            </w:pPr>
            <w:r w:rsidRPr="00B24CA3">
              <w:rPr>
                <w:rFonts w:ascii="Times New Roman" w:hAnsi="Times New Roman" w:cs="Times New Roman"/>
                <w:spacing w:val="-2"/>
                <w:sz w:val="24"/>
                <w:szCs w:val="24"/>
              </w:rPr>
              <w:t>I.S.8</w:t>
            </w:r>
          </w:p>
        </w:tc>
        <w:tc>
          <w:tcPr>
            <w:tcW w:w="978" w:type="dxa"/>
            <w:tcBorders>
              <w:top w:val="single" w:sz="4" w:space="0" w:color="155F82"/>
              <w:bottom w:val="single" w:sz="4" w:space="0" w:color="155F82"/>
            </w:tcBorders>
          </w:tcPr>
          <w:p w14:paraId="2105D609" w14:textId="77777777" w:rsidR="00FF4BC0" w:rsidRPr="00B24CA3" w:rsidRDefault="00FF4BC0" w:rsidP="00BA67A6">
            <w:pPr>
              <w:pStyle w:val="TableParagraph"/>
              <w:ind w:right="241"/>
              <w:rPr>
                <w:rFonts w:ascii="Times New Roman" w:hAnsi="Times New Roman" w:cs="Times New Roman"/>
                <w:sz w:val="24"/>
                <w:szCs w:val="24"/>
              </w:rPr>
            </w:pPr>
            <w:proofErr w:type="spellStart"/>
            <w:r w:rsidRPr="00B24CA3">
              <w:rPr>
                <w:rFonts w:ascii="Times New Roman" w:hAnsi="Times New Roman" w:cs="Times New Roman"/>
                <w:spacing w:val="-2"/>
                <w:sz w:val="24"/>
                <w:szCs w:val="24"/>
              </w:rPr>
              <w:t>Kadın</w:t>
            </w:r>
            <w:proofErr w:type="spellEnd"/>
            <w:r w:rsidRPr="00B24CA3">
              <w:rPr>
                <w:rFonts w:ascii="Times New Roman" w:hAnsi="Times New Roman" w:cs="Times New Roman"/>
                <w:spacing w:val="-2"/>
                <w:sz w:val="24"/>
                <w:szCs w:val="24"/>
              </w:rPr>
              <w:t xml:space="preserve"> </w:t>
            </w:r>
            <w:proofErr w:type="spellStart"/>
            <w:r w:rsidRPr="00B24CA3">
              <w:rPr>
                <w:rFonts w:ascii="Times New Roman" w:hAnsi="Times New Roman" w:cs="Times New Roman"/>
                <w:spacing w:val="-2"/>
                <w:sz w:val="24"/>
                <w:szCs w:val="24"/>
              </w:rPr>
              <w:t>Kadın</w:t>
            </w:r>
            <w:proofErr w:type="spellEnd"/>
          </w:p>
        </w:tc>
        <w:tc>
          <w:tcPr>
            <w:tcW w:w="1330" w:type="dxa"/>
            <w:tcBorders>
              <w:top w:val="single" w:sz="4" w:space="0" w:color="155F82"/>
              <w:bottom w:val="single" w:sz="4" w:space="0" w:color="155F82"/>
            </w:tcBorders>
          </w:tcPr>
          <w:p w14:paraId="77F0E065" w14:textId="77777777" w:rsidR="00FF4BC0" w:rsidRPr="00B24CA3" w:rsidRDefault="00FF4BC0" w:rsidP="00BA67A6">
            <w:pPr>
              <w:pStyle w:val="TableParagraph"/>
              <w:ind w:left="242" w:right="395"/>
              <w:rPr>
                <w:rFonts w:ascii="Times New Roman" w:hAnsi="Times New Roman" w:cs="Times New Roman"/>
                <w:sz w:val="24"/>
                <w:szCs w:val="24"/>
              </w:rPr>
            </w:pPr>
            <w:r w:rsidRPr="00B24CA3">
              <w:rPr>
                <w:rFonts w:ascii="Times New Roman" w:hAnsi="Times New Roman" w:cs="Times New Roman"/>
                <w:spacing w:val="-2"/>
                <w:sz w:val="24"/>
                <w:szCs w:val="24"/>
              </w:rPr>
              <w:t xml:space="preserve">Sudan </w:t>
            </w:r>
            <w:r w:rsidRPr="00B24CA3">
              <w:rPr>
                <w:rFonts w:ascii="Times New Roman" w:hAnsi="Times New Roman" w:cs="Times New Roman"/>
                <w:spacing w:val="-4"/>
                <w:sz w:val="24"/>
                <w:szCs w:val="24"/>
              </w:rPr>
              <w:t>Yemen</w:t>
            </w:r>
          </w:p>
        </w:tc>
        <w:tc>
          <w:tcPr>
            <w:tcW w:w="3042" w:type="dxa"/>
            <w:tcBorders>
              <w:top w:val="single" w:sz="4" w:space="0" w:color="155F82"/>
              <w:bottom w:val="single" w:sz="4" w:space="0" w:color="155F82"/>
            </w:tcBorders>
          </w:tcPr>
          <w:p w14:paraId="6EDD8DAE" w14:textId="77777777" w:rsidR="00FF4BC0" w:rsidRPr="00B24CA3" w:rsidRDefault="00FF4BC0" w:rsidP="00BA67A6">
            <w:pPr>
              <w:pStyle w:val="TableParagraph"/>
              <w:ind w:left="397" w:right="625"/>
              <w:rPr>
                <w:rFonts w:ascii="Times New Roman" w:hAnsi="Times New Roman" w:cs="Times New Roman"/>
                <w:sz w:val="24"/>
                <w:szCs w:val="24"/>
              </w:rPr>
            </w:pPr>
            <w:proofErr w:type="spellStart"/>
            <w:r w:rsidRPr="00B24CA3">
              <w:rPr>
                <w:rFonts w:ascii="Times New Roman" w:hAnsi="Times New Roman" w:cs="Times New Roman"/>
                <w:sz w:val="24"/>
                <w:szCs w:val="24"/>
              </w:rPr>
              <w:t>Türkçe</w:t>
            </w:r>
            <w:proofErr w:type="spellEnd"/>
            <w:r w:rsidRPr="00B24CA3">
              <w:rPr>
                <w:rFonts w:ascii="Times New Roman" w:hAnsi="Times New Roman" w:cs="Times New Roman"/>
                <w:sz w:val="24"/>
                <w:szCs w:val="24"/>
              </w:rPr>
              <w:t xml:space="preserve"> </w:t>
            </w:r>
            <w:proofErr w:type="spellStart"/>
            <w:r w:rsidRPr="00B24CA3">
              <w:rPr>
                <w:rFonts w:ascii="Times New Roman" w:hAnsi="Times New Roman" w:cs="Times New Roman"/>
                <w:sz w:val="24"/>
                <w:szCs w:val="24"/>
              </w:rPr>
              <w:t>dil</w:t>
            </w:r>
            <w:proofErr w:type="spellEnd"/>
            <w:r w:rsidRPr="00B24CA3">
              <w:rPr>
                <w:rFonts w:ascii="Times New Roman" w:hAnsi="Times New Roman" w:cs="Times New Roman"/>
                <w:sz w:val="24"/>
                <w:szCs w:val="24"/>
              </w:rPr>
              <w:t xml:space="preserve"> </w:t>
            </w:r>
            <w:proofErr w:type="spellStart"/>
            <w:r w:rsidRPr="00B24CA3">
              <w:rPr>
                <w:rFonts w:ascii="Times New Roman" w:hAnsi="Times New Roman" w:cs="Times New Roman"/>
                <w:sz w:val="24"/>
                <w:szCs w:val="24"/>
              </w:rPr>
              <w:t>edebiyatı</w:t>
            </w:r>
            <w:proofErr w:type="spellEnd"/>
            <w:r w:rsidRPr="00B24CA3">
              <w:rPr>
                <w:rFonts w:ascii="Times New Roman" w:hAnsi="Times New Roman" w:cs="Times New Roman"/>
                <w:sz w:val="24"/>
                <w:szCs w:val="24"/>
              </w:rPr>
              <w:t xml:space="preserve"> </w:t>
            </w:r>
            <w:proofErr w:type="spellStart"/>
            <w:r w:rsidRPr="00B24CA3">
              <w:rPr>
                <w:rFonts w:ascii="Times New Roman" w:hAnsi="Times New Roman" w:cs="Times New Roman"/>
                <w:sz w:val="24"/>
                <w:szCs w:val="24"/>
              </w:rPr>
              <w:t>Uluslararası</w:t>
            </w:r>
            <w:proofErr w:type="spellEnd"/>
            <w:r w:rsidRPr="00B24CA3">
              <w:rPr>
                <w:rFonts w:ascii="Times New Roman" w:hAnsi="Times New Roman" w:cs="Times New Roman"/>
                <w:spacing w:val="-15"/>
                <w:sz w:val="24"/>
                <w:szCs w:val="24"/>
              </w:rPr>
              <w:t xml:space="preserve"> </w:t>
            </w:r>
            <w:proofErr w:type="spellStart"/>
            <w:r w:rsidRPr="00B24CA3">
              <w:rPr>
                <w:rFonts w:ascii="Times New Roman" w:hAnsi="Times New Roman" w:cs="Times New Roman"/>
                <w:sz w:val="24"/>
                <w:szCs w:val="24"/>
              </w:rPr>
              <w:t>ilişkileri</w:t>
            </w:r>
            <w:proofErr w:type="spellEnd"/>
          </w:p>
        </w:tc>
        <w:tc>
          <w:tcPr>
            <w:tcW w:w="3088" w:type="dxa"/>
            <w:tcBorders>
              <w:top w:val="single" w:sz="4" w:space="0" w:color="155F82"/>
              <w:bottom w:val="single" w:sz="4" w:space="0" w:color="155F82"/>
            </w:tcBorders>
          </w:tcPr>
          <w:p w14:paraId="44914A51" w14:textId="77777777" w:rsidR="00FF4BC0" w:rsidRPr="00B24CA3" w:rsidRDefault="00FF4BC0" w:rsidP="00BA67A6">
            <w:pPr>
              <w:pStyle w:val="TableParagraph"/>
              <w:ind w:left="627"/>
              <w:rPr>
                <w:rFonts w:ascii="Times New Roman" w:hAnsi="Times New Roman" w:cs="Times New Roman"/>
                <w:sz w:val="24"/>
                <w:szCs w:val="24"/>
              </w:rPr>
            </w:pPr>
            <w:r w:rsidRPr="00B24CA3">
              <w:rPr>
                <w:rFonts w:ascii="Times New Roman" w:hAnsi="Times New Roman" w:cs="Times New Roman"/>
                <w:spacing w:val="-10"/>
                <w:sz w:val="24"/>
                <w:szCs w:val="24"/>
              </w:rPr>
              <w:t>3</w:t>
            </w:r>
          </w:p>
          <w:p w14:paraId="14DCD3E1" w14:textId="77777777" w:rsidR="00FF4BC0" w:rsidRPr="00B24CA3" w:rsidRDefault="00FF4BC0" w:rsidP="00BA67A6">
            <w:pPr>
              <w:pStyle w:val="TableParagraph"/>
              <w:ind w:left="627"/>
              <w:rPr>
                <w:rFonts w:ascii="Times New Roman" w:hAnsi="Times New Roman" w:cs="Times New Roman"/>
                <w:sz w:val="24"/>
                <w:szCs w:val="24"/>
              </w:rPr>
            </w:pPr>
            <w:r w:rsidRPr="00B24CA3">
              <w:rPr>
                <w:rFonts w:ascii="Times New Roman" w:hAnsi="Times New Roman" w:cs="Times New Roman"/>
                <w:spacing w:val="-10"/>
                <w:sz w:val="24"/>
                <w:szCs w:val="24"/>
              </w:rPr>
              <w:t>3</w:t>
            </w:r>
          </w:p>
        </w:tc>
      </w:tr>
    </w:tbl>
    <w:p w14:paraId="36022DE2" w14:textId="77777777" w:rsidR="00FF4BC0" w:rsidRPr="00B24CA3" w:rsidRDefault="00FF4BC0" w:rsidP="00BA67A6">
      <w:pPr>
        <w:pStyle w:val="GvdeMetni"/>
      </w:pPr>
      <w:r w:rsidRPr="00B24CA3">
        <w:rPr>
          <w:b/>
        </w:rPr>
        <w:t>Kaynak</w:t>
      </w:r>
      <w:r w:rsidRPr="00B24CA3">
        <w:t>:</w:t>
      </w:r>
      <w:r w:rsidRPr="00B24CA3">
        <w:rPr>
          <w:spacing w:val="-6"/>
        </w:rPr>
        <w:t xml:space="preserve"> </w:t>
      </w:r>
      <w:r w:rsidRPr="00B24CA3">
        <w:t>Bu</w:t>
      </w:r>
      <w:r w:rsidRPr="00B24CA3">
        <w:rPr>
          <w:spacing w:val="-5"/>
        </w:rPr>
        <w:t xml:space="preserve"> </w:t>
      </w:r>
      <w:r w:rsidRPr="00B24CA3">
        <w:t>veriler, araştırmacı</w:t>
      </w:r>
      <w:r w:rsidRPr="00B24CA3">
        <w:rPr>
          <w:spacing w:val="-6"/>
        </w:rPr>
        <w:t xml:space="preserve"> </w:t>
      </w:r>
      <w:r w:rsidRPr="00B24CA3">
        <w:t>tarafından</w:t>
      </w:r>
      <w:r w:rsidRPr="00B24CA3">
        <w:rPr>
          <w:spacing w:val="-4"/>
        </w:rPr>
        <w:t xml:space="preserve"> </w:t>
      </w:r>
      <w:r w:rsidRPr="00B24CA3">
        <w:t>yapılan</w:t>
      </w:r>
      <w:r w:rsidRPr="00B24CA3">
        <w:rPr>
          <w:spacing w:val="-4"/>
        </w:rPr>
        <w:t xml:space="preserve"> </w:t>
      </w:r>
      <w:r w:rsidRPr="00B24CA3">
        <w:t>görüşmelerden</w:t>
      </w:r>
      <w:r w:rsidRPr="00B24CA3">
        <w:rPr>
          <w:spacing w:val="-1"/>
        </w:rPr>
        <w:t xml:space="preserve"> </w:t>
      </w:r>
      <w:r w:rsidRPr="00B24CA3">
        <w:t>elde</w:t>
      </w:r>
      <w:r w:rsidRPr="00B24CA3">
        <w:rPr>
          <w:spacing w:val="-5"/>
        </w:rPr>
        <w:t xml:space="preserve"> </w:t>
      </w:r>
      <w:r w:rsidRPr="00B24CA3">
        <w:rPr>
          <w:spacing w:val="-2"/>
        </w:rPr>
        <w:t>edilmiştir.</w:t>
      </w:r>
    </w:p>
    <w:p w14:paraId="0CA71930" w14:textId="77777777" w:rsidR="00FF4BC0" w:rsidRPr="00B24CA3" w:rsidRDefault="00FF4BC0" w:rsidP="00BA67A6">
      <w:pPr>
        <w:pStyle w:val="GvdeMetni"/>
      </w:pPr>
    </w:p>
    <w:p w14:paraId="017DF100" w14:textId="77777777" w:rsidR="00FF4BC0" w:rsidRPr="00800DA9" w:rsidRDefault="00FF4BC0" w:rsidP="00BA67A6">
      <w:pPr>
        <w:rPr>
          <w:b/>
          <w:bCs/>
        </w:rPr>
      </w:pPr>
      <w:r w:rsidRPr="00800DA9">
        <w:rPr>
          <w:b/>
          <w:bCs/>
        </w:rPr>
        <w:t>Veri</w:t>
      </w:r>
      <w:r w:rsidRPr="00800DA9">
        <w:rPr>
          <w:b/>
          <w:bCs/>
          <w:spacing w:val="-4"/>
        </w:rPr>
        <w:t xml:space="preserve"> </w:t>
      </w:r>
      <w:r w:rsidRPr="00800DA9">
        <w:rPr>
          <w:b/>
          <w:bCs/>
        </w:rPr>
        <w:t>Toplama</w:t>
      </w:r>
      <w:r w:rsidRPr="00800DA9">
        <w:rPr>
          <w:b/>
          <w:bCs/>
          <w:spacing w:val="-1"/>
        </w:rPr>
        <w:t xml:space="preserve"> </w:t>
      </w:r>
      <w:r w:rsidRPr="00800DA9">
        <w:rPr>
          <w:b/>
          <w:bCs/>
          <w:spacing w:val="-2"/>
        </w:rPr>
        <w:t>Araçları</w:t>
      </w:r>
    </w:p>
    <w:p w14:paraId="57934711" w14:textId="77777777" w:rsidR="00FF4BC0" w:rsidRPr="00B24CA3" w:rsidRDefault="00FF4BC0" w:rsidP="00BA67A6">
      <w:pPr>
        <w:pStyle w:val="GvdeMetni"/>
        <w:ind w:right="158"/>
        <w:jc w:val="both"/>
      </w:pPr>
      <w:r w:rsidRPr="00B24CA3">
        <w:t>Bu çalışmada, verileri toparlamak amacıyla yarı yapılandırılmış görüşme formundan yaralanmıştır. Yarı yapılandırılmış görüşmeler, katılımcıların sosyal entegrasyon süreçleri ile dair deneyimleri yapılandırılmış görüşmelerin ötesinde çıkıp kendi sözcükleriyle ve kendi anlayışlarıyla yanıtlamalarına imkân tanımaktadır (</w:t>
      </w:r>
      <w:proofErr w:type="spellStart"/>
      <w:r w:rsidRPr="00B24CA3">
        <w:t>Rubin</w:t>
      </w:r>
      <w:proofErr w:type="spellEnd"/>
      <w:r w:rsidRPr="00B24CA3">
        <w:t xml:space="preserve"> &amp; </w:t>
      </w:r>
      <w:proofErr w:type="spellStart"/>
      <w:r w:rsidRPr="00B24CA3">
        <w:t>Rubin</w:t>
      </w:r>
      <w:proofErr w:type="spellEnd"/>
      <w:r w:rsidRPr="00B24CA3">
        <w:t>, 2012). Katılımcılara esneklik, düşüncelerinin ve deneyimlerinin daha derinlemesine incelenmesine olanak tanımıştır. Ayrıca, görüşmeler sırasında elde edilen verilerin daha iyi anlaşılmasını sağlamak için bir ses kayıt cihazı kullanıldı ve notlar alınmıştır. Bu yaklaşım, tüm ilgili bilgilerin doğru bir şekilde yakalanmasını sağlayarak görüşme verilerinin daha kapsamlı bir şekilde analiz edilmesini sağlamıştır. Daha sonra ses kayıtlarının bir transkripsiyonu yapılıp daha sonra analize dahil edilmiştir.</w:t>
      </w:r>
      <w:r w:rsidRPr="00B24CA3">
        <w:rPr>
          <w:spacing w:val="40"/>
        </w:rPr>
        <w:t xml:space="preserve"> </w:t>
      </w:r>
      <w:r w:rsidRPr="00B24CA3">
        <w:t>Böylece tüm ilgili bilgilerin doğru bir şekilde yakalanmasını sağlayarak görüşme verilerinin daha kapsamlı bir şekilde analiz edilmesini sağlamıştır.</w:t>
      </w:r>
    </w:p>
    <w:p w14:paraId="481A4E9D" w14:textId="77777777" w:rsidR="00FF4BC0" w:rsidRPr="00800DA9" w:rsidRDefault="00FF4BC0" w:rsidP="00BA67A6">
      <w:pPr>
        <w:rPr>
          <w:b/>
          <w:bCs/>
        </w:rPr>
      </w:pPr>
    </w:p>
    <w:p w14:paraId="3446B082" w14:textId="77777777" w:rsidR="00FF4BC0" w:rsidRPr="00800DA9" w:rsidRDefault="00FF4BC0" w:rsidP="00BA67A6">
      <w:pPr>
        <w:rPr>
          <w:b/>
          <w:bCs/>
          <w:color w:val="000000" w:themeColor="text1"/>
        </w:rPr>
      </w:pPr>
      <w:r w:rsidRPr="00800DA9">
        <w:rPr>
          <w:b/>
          <w:bCs/>
          <w:color w:val="000000" w:themeColor="text1"/>
        </w:rPr>
        <w:t>Veri</w:t>
      </w:r>
      <w:r w:rsidRPr="00800DA9">
        <w:rPr>
          <w:b/>
          <w:bCs/>
          <w:color w:val="000000" w:themeColor="text1"/>
          <w:spacing w:val="-4"/>
        </w:rPr>
        <w:t xml:space="preserve"> </w:t>
      </w:r>
      <w:r w:rsidRPr="00800DA9">
        <w:rPr>
          <w:b/>
          <w:bCs/>
          <w:color w:val="000000" w:themeColor="text1"/>
        </w:rPr>
        <w:t>Toplama</w:t>
      </w:r>
      <w:r w:rsidRPr="00800DA9">
        <w:rPr>
          <w:b/>
          <w:bCs/>
          <w:color w:val="000000" w:themeColor="text1"/>
          <w:spacing w:val="-2"/>
        </w:rPr>
        <w:t xml:space="preserve"> Süreci</w:t>
      </w:r>
    </w:p>
    <w:p w14:paraId="16EE2C0B" w14:textId="77777777" w:rsidR="00FF4BC0" w:rsidRPr="00B24CA3" w:rsidRDefault="00FF4BC0" w:rsidP="00BA67A6">
      <w:pPr>
        <w:pStyle w:val="GvdeMetni"/>
        <w:ind w:right="158"/>
        <w:jc w:val="both"/>
      </w:pPr>
      <w:r w:rsidRPr="00B24CA3">
        <w:t>Veri toplama süreci 20 Aralık 2024 ile 10 Şubat 2025 tarihleri arasında yüz yüze gerçekleştirilmiştir.</w:t>
      </w:r>
      <w:r w:rsidRPr="00B24CA3">
        <w:rPr>
          <w:spacing w:val="-5"/>
        </w:rPr>
        <w:t xml:space="preserve"> </w:t>
      </w:r>
      <w:r w:rsidRPr="00B24CA3">
        <w:t>Görüşmelerin</w:t>
      </w:r>
      <w:r w:rsidRPr="00B24CA3">
        <w:rPr>
          <w:spacing w:val="-7"/>
        </w:rPr>
        <w:t xml:space="preserve"> </w:t>
      </w:r>
      <w:r w:rsidRPr="00B24CA3">
        <w:t>çoğu</w:t>
      </w:r>
      <w:r w:rsidRPr="00B24CA3">
        <w:rPr>
          <w:spacing w:val="-7"/>
        </w:rPr>
        <w:t xml:space="preserve"> </w:t>
      </w:r>
      <w:r w:rsidRPr="00B24CA3">
        <w:t>üniversitenin</w:t>
      </w:r>
      <w:r w:rsidRPr="00B24CA3">
        <w:rPr>
          <w:spacing w:val="-3"/>
        </w:rPr>
        <w:t xml:space="preserve"> </w:t>
      </w:r>
      <w:r w:rsidRPr="00B24CA3">
        <w:t>akademik</w:t>
      </w:r>
      <w:r w:rsidRPr="00B24CA3">
        <w:rPr>
          <w:spacing w:val="-7"/>
        </w:rPr>
        <w:t xml:space="preserve"> </w:t>
      </w:r>
      <w:r w:rsidRPr="00B24CA3">
        <w:t>takvimi</w:t>
      </w:r>
      <w:r w:rsidRPr="00B24CA3">
        <w:rPr>
          <w:spacing w:val="-9"/>
        </w:rPr>
        <w:t xml:space="preserve"> </w:t>
      </w:r>
      <w:r w:rsidRPr="00B24CA3">
        <w:t>nedeniyle</w:t>
      </w:r>
      <w:r w:rsidRPr="00B24CA3">
        <w:rPr>
          <w:spacing w:val="-5"/>
        </w:rPr>
        <w:t xml:space="preserve"> </w:t>
      </w:r>
      <w:r w:rsidRPr="00B24CA3">
        <w:t>ara</w:t>
      </w:r>
      <w:r w:rsidRPr="00B24CA3">
        <w:rPr>
          <w:spacing w:val="-9"/>
        </w:rPr>
        <w:t xml:space="preserve"> </w:t>
      </w:r>
      <w:r w:rsidRPr="00B24CA3">
        <w:t xml:space="preserve">döneme gelmesi görüşmelerin daha sakin bir ortamda gerçekleştirilmiştir. Ayrıca, katılımcıların deneyimlerini paylaşma konusunda daha rahat olduklarını gözlemlenmiştir. Araştırmanın açama uygun bulgular ulaşabilmek amacıyla, katılımcılara görüşmenin içeriği ve amacı önceden taslak bir şeklinde hazırlanıp kişisel bilgilerinin gizliliği korunacağını ve </w:t>
      </w:r>
      <w:proofErr w:type="spellStart"/>
      <w:r w:rsidRPr="00B24CA3">
        <w:t>ve</w:t>
      </w:r>
      <w:proofErr w:type="spellEnd"/>
      <w:r w:rsidRPr="00B24CA3">
        <w:t xml:space="preserve"> araştırmaya gönüllü olarak katılacaklarına dair bütün katılımcılara taslak şeklinde kısa bir paragraf şeklinde gönderilmiştir. Görüşme, katılımcıların kendilerini ifade etmeyi tercih ettikleri dilde gerçekleştirildi. Birkaç katılımcı görüşmeyi İngilizce yaparken, diğerleri Türkçeyi</w:t>
      </w:r>
      <w:r w:rsidRPr="00B24CA3">
        <w:rPr>
          <w:spacing w:val="-4"/>
        </w:rPr>
        <w:t xml:space="preserve"> </w:t>
      </w:r>
      <w:r w:rsidRPr="00B24CA3">
        <w:t>tercih</w:t>
      </w:r>
      <w:r w:rsidRPr="00B24CA3">
        <w:rPr>
          <w:spacing w:val="-3"/>
        </w:rPr>
        <w:t xml:space="preserve"> </w:t>
      </w:r>
      <w:r w:rsidRPr="00B24CA3">
        <w:t>etmiş</w:t>
      </w:r>
      <w:r w:rsidRPr="00B24CA3">
        <w:rPr>
          <w:spacing w:val="-2"/>
        </w:rPr>
        <w:t xml:space="preserve"> </w:t>
      </w:r>
      <w:r w:rsidRPr="00B24CA3">
        <w:t>olup</w:t>
      </w:r>
      <w:r w:rsidRPr="00B24CA3">
        <w:rPr>
          <w:spacing w:val="-3"/>
        </w:rPr>
        <w:t xml:space="preserve"> </w:t>
      </w:r>
      <w:r w:rsidRPr="00B24CA3">
        <w:t>bir</w:t>
      </w:r>
      <w:r w:rsidRPr="00B24CA3">
        <w:rPr>
          <w:spacing w:val="-3"/>
        </w:rPr>
        <w:t xml:space="preserve"> </w:t>
      </w:r>
      <w:r w:rsidRPr="00B24CA3">
        <w:t>katılımcı</w:t>
      </w:r>
      <w:r w:rsidRPr="00B24CA3">
        <w:rPr>
          <w:spacing w:val="-5"/>
        </w:rPr>
        <w:t xml:space="preserve"> </w:t>
      </w:r>
      <w:r w:rsidRPr="00B24CA3">
        <w:t>görüşmeyi</w:t>
      </w:r>
      <w:r w:rsidRPr="00B24CA3">
        <w:rPr>
          <w:spacing w:val="-5"/>
        </w:rPr>
        <w:t xml:space="preserve"> </w:t>
      </w:r>
      <w:r w:rsidRPr="00B24CA3">
        <w:t>kendi</w:t>
      </w:r>
      <w:r w:rsidRPr="00B24CA3">
        <w:rPr>
          <w:spacing w:val="-5"/>
        </w:rPr>
        <w:t xml:space="preserve"> </w:t>
      </w:r>
      <w:r w:rsidRPr="00B24CA3">
        <w:t>ana</w:t>
      </w:r>
      <w:r w:rsidRPr="00B24CA3">
        <w:rPr>
          <w:spacing w:val="-5"/>
        </w:rPr>
        <w:t xml:space="preserve"> </w:t>
      </w:r>
      <w:r w:rsidRPr="00B24CA3">
        <w:t>dilini</w:t>
      </w:r>
      <w:r w:rsidRPr="00B24CA3">
        <w:rPr>
          <w:spacing w:val="-5"/>
        </w:rPr>
        <w:t xml:space="preserve"> </w:t>
      </w:r>
      <w:r w:rsidRPr="00B24CA3">
        <w:t>tercih</w:t>
      </w:r>
      <w:r w:rsidRPr="00B24CA3">
        <w:rPr>
          <w:spacing w:val="-3"/>
        </w:rPr>
        <w:t xml:space="preserve"> </w:t>
      </w:r>
      <w:r w:rsidRPr="00B24CA3">
        <w:t>etmiştir.</w:t>
      </w:r>
      <w:r w:rsidRPr="00B24CA3">
        <w:rPr>
          <w:spacing w:val="-3"/>
        </w:rPr>
        <w:t xml:space="preserve"> </w:t>
      </w:r>
      <w:r w:rsidRPr="00B24CA3">
        <w:t>Bu</w:t>
      </w:r>
      <w:r w:rsidRPr="00B24CA3">
        <w:rPr>
          <w:spacing w:val="-3"/>
        </w:rPr>
        <w:t xml:space="preserve"> </w:t>
      </w:r>
      <w:r w:rsidRPr="00B24CA3">
        <w:t>yöntem, katılımcıların düşüncelerini daha açık ve rahat bir şekilde paylaşmalarını sağlamıştır.</w:t>
      </w:r>
    </w:p>
    <w:p w14:paraId="4A1C5A0B" w14:textId="77777777" w:rsidR="00FF4BC0" w:rsidRPr="00B24CA3" w:rsidRDefault="00FF4BC0" w:rsidP="00BA67A6">
      <w:pPr>
        <w:pStyle w:val="GvdeMetni"/>
        <w:ind w:right="165"/>
        <w:jc w:val="both"/>
      </w:pPr>
      <w:r w:rsidRPr="00B24CA3">
        <w:t xml:space="preserve">Görüşmelerin yapıldığı farklı yerler vardı. Bazı katılımcılar evlerinde, bazıları uluslararası öğrenci derneğinde ve bazıları da kampüste görüşüldü. Kampüs görüşmeleri için önceden </w:t>
      </w:r>
      <w:r w:rsidRPr="00B24CA3">
        <w:rPr>
          <w:spacing w:val="-2"/>
        </w:rPr>
        <w:t>randevular alındı</w:t>
      </w:r>
      <w:r w:rsidRPr="00B24CA3">
        <w:rPr>
          <w:spacing w:val="-5"/>
        </w:rPr>
        <w:t xml:space="preserve"> </w:t>
      </w:r>
      <w:r w:rsidRPr="00B24CA3">
        <w:rPr>
          <w:spacing w:val="-2"/>
        </w:rPr>
        <w:t>ve</w:t>
      </w:r>
      <w:r w:rsidRPr="00B24CA3">
        <w:rPr>
          <w:spacing w:val="-5"/>
        </w:rPr>
        <w:t xml:space="preserve"> </w:t>
      </w:r>
      <w:r w:rsidRPr="00B24CA3">
        <w:rPr>
          <w:spacing w:val="-2"/>
        </w:rPr>
        <w:t>uygun</w:t>
      </w:r>
      <w:r w:rsidRPr="00B24CA3">
        <w:rPr>
          <w:spacing w:val="-4"/>
        </w:rPr>
        <w:t xml:space="preserve"> </w:t>
      </w:r>
      <w:r w:rsidRPr="00B24CA3">
        <w:rPr>
          <w:spacing w:val="-2"/>
        </w:rPr>
        <w:t>zamanlar belirlendi. Katılımcılar her görüşmede</w:t>
      </w:r>
      <w:r w:rsidRPr="00B24CA3">
        <w:rPr>
          <w:spacing w:val="-5"/>
        </w:rPr>
        <w:t xml:space="preserve"> </w:t>
      </w:r>
      <w:r w:rsidRPr="00B24CA3">
        <w:rPr>
          <w:spacing w:val="-2"/>
        </w:rPr>
        <w:t>görüşlerini</w:t>
      </w:r>
      <w:r w:rsidRPr="00B24CA3">
        <w:rPr>
          <w:spacing w:val="-5"/>
        </w:rPr>
        <w:t xml:space="preserve"> </w:t>
      </w:r>
      <w:r w:rsidRPr="00B24CA3">
        <w:rPr>
          <w:spacing w:val="-2"/>
        </w:rPr>
        <w:t xml:space="preserve">özgürce </w:t>
      </w:r>
      <w:r w:rsidRPr="00B24CA3">
        <w:t>ifade</w:t>
      </w:r>
      <w:r w:rsidRPr="00B24CA3">
        <w:rPr>
          <w:spacing w:val="-6"/>
        </w:rPr>
        <w:t xml:space="preserve"> </w:t>
      </w:r>
      <w:r w:rsidRPr="00B24CA3">
        <w:t>ettiler</w:t>
      </w:r>
      <w:r w:rsidRPr="00B24CA3">
        <w:rPr>
          <w:spacing w:val="-4"/>
        </w:rPr>
        <w:t xml:space="preserve"> </w:t>
      </w:r>
      <w:r w:rsidRPr="00B24CA3">
        <w:t>ve</w:t>
      </w:r>
      <w:r w:rsidRPr="00B24CA3">
        <w:rPr>
          <w:spacing w:val="-6"/>
        </w:rPr>
        <w:t xml:space="preserve"> </w:t>
      </w:r>
      <w:r w:rsidRPr="00B24CA3">
        <w:t>görüşme</w:t>
      </w:r>
      <w:r w:rsidRPr="00B24CA3">
        <w:rPr>
          <w:spacing w:val="-6"/>
        </w:rPr>
        <w:t xml:space="preserve"> </w:t>
      </w:r>
      <w:r w:rsidRPr="00B24CA3">
        <w:t>yaklaşık</w:t>
      </w:r>
      <w:r w:rsidRPr="00B24CA3">
        <w:rPr>
          <w:spacing w:val="-4"/>
        </w:rPr>
        <w:t xml:space="preserve"> </w:t>
      </w:r>
      <w:r w:rsidRPr="00B24CA3">
        <w:t>20-30</w:t>
      </w:r>
      <w:r w:rsidRPr="00B24CA3">
        <w:rPr>
          <w:spacing w:val="-4"/>
        </w:rPr>
        <w:t xml:space="preserve"> </w:t>
      </w:r>
      <w:r w:rsidRPr="00B24CA3">
        <w:t>dakika</w:t>
      </w:r>
      <w:r w:rsidRPr="00B24CA3">
        <w:rPr>
          <w:spacing w:val="-6"/>
        </w:rPr>
        <w:t xml:space="preserve"> </w:t>
      </w:r>
      <w:r w:rsidRPr="00B24CA3">
        <w:t>sürmüştür.</w:t>
      </w:r>
      <w:r w:rsidRPr="00B24CA3">
        <w:rPr>
          <w:spacing w:val="-3"/>
        </w:rPr>
        <w:t xml:space="preserve"> </w:t>
      </w:r>
      <w:r w:rsidRPr="00B24CA3">
        <w:t>Verilerin</w:t>
      </w:r>
      <w:r w:rsidRPr="00B24CA3">
        <w:rPr>
          <w:spacing w:val="-4"/>
        </w:rPr>
        <w:t xml:space="preserve"> </w:t>
      </w:r>
      <w:r w:rsidRPr="00B24CA3">
        <w:t>doğruluğunu</w:t>
      </w:r>
      <w:r w:rsidRPr="00B24CA3">
        <w:rPr>
          <w:spacing w:val="-4"/>
        </w:rPr>
        <w:t xml:space="preserve"> </w:t>
      </w:r>
      <w:r w:rsidRPr="00B24CA3">
        <w:t>artırmak</w:t>
      </w:r>
      <w:r w:rsidRPr="00B24CA3">
        <w:rPr>
          <w:spacing w:val="-4"/>
        </w:rPr>
        <w:t xml:space="preserve"> </w:t>
      </w:r>
      <w:r w:rsidRPr="00B24CA3">
        <w:t>için katılımcıların izniyle bir ses kayıt cihazı kullanıldı ve araştırmacı tarafından notlar alındı. Toplanan</w:t>
      </w:r>
      <w:r w:rsidRPr="00B24CA3">
        <w:rPr>
          <w:spacing w:val="-9"/>
        </w:rPr>
        <w:t xml:space="preserve"> </w:t>
      </w:r>
      <w:r w:rsidRPr="00B24CA3">
        <w:t>veriler</w:t>
      </w:r>
      <w:r w:rsidRPr="00B24CA3">
        <w:rPr>
          <w:spacing w:val="-9"/>
        </w:rPr>
        <w:t xml:space="preserve"> </w:t>
      </w:r>
      <w:r w:rsidRPr="00B24CA3">
        <w:t>daha</w:t>
      </w:r>
      <w:r w:rsidRPr="00B24CA3">
        <w:rPr>
          <w:spacing w:val="-10"/>
        </w:rPr>
        <w:t xml:space="preserve"> </w:t>
      </w:r>
      <w:r w:rsidRPr="00B24CA3">
        <w:t>sonra</w:t>
      </w:r>
      <w:r w:rsidRPr="00B24CA3">
        <w:rPr>
          <w:spacing w:val="-10"/>
        </w:rPr>
        <w:t xml:space="preserve"> </w:t>
      </w:r>
      <w:r w:rsidRPr="00B24CA3">
        <w:t>yazıya</w:t>
      </w:r>
      <w:r w:rsidRPr="00B24CA3">
        <w:rPr>
          <w:spacing w:val="-10"/>
        </w:rPr>
        <w:t xml:space="preserve"> </w:t>
      </w:r>
      <w:r w:rsidRPr="00B24CA3">
        <w:t>döküldü</w:t>
      </w:r>
      <w:r w:rsidRPr="00B24CA3">
        <w:rPr>
          <w:spacing w:val="-9"/>
        </w:rPr>
        <w:t xml:space="preserve"> </w:t>
      </w:r>
      <w:r w:rsidRPr="00B24CA3">
        <w:t>ve</w:t>
      </w:r>
      <w:r w:rsidRPr="00B24CA3">
        <w:rPr>
          <w:spacing w:val="-10"/>
        </w:rPr>
        <w:t xml:space="preserve"> </w:t>
      </w:r>
      <w:r w:rsidRPr="00B24CA3">
        <w:t>tekrar</w:t>
      </w:r>
      <w:r w:rsidRPr="00B24CA3">
        <w:rPr>
          <w:spacing w:val="-4"/>
        </w:rPr>
        <w:t xml:space="preserve"> </w:t>
      </w:r>
      <w:r w:rsidRPr="00B24CA3">
        <w:t>eden</w:t>
      </w:r>
      <w:r w:rsidRPr="00B24CA3">
        <w:rPr>
          <w:spacing w:val="-9"/>
        </w:rPr>
        <w:t xml:space="preserve"> </w:t>
      </w:r>
      <w:r w:rsidRPr="00B24CA3">
        <w:t>temalar</w:t>
      </w:r>
      <w:r w:rsidRPr="00B24CA3">
        <w:rPr>
          <w:spacing w:val="-9"/>
        </w:rPr>
        <w:t xml:space="preserve"> </w:t>
      </w:r>
      <w:r w:rsidRPr="00B24CA3">
        <w:t>ve</w:t>
      </w:r>
      <w:r w:rsidRPr="00B24CA3">
        <w:rPr>
          <w:spacing w:val="-10"/>
        </w:rPr>
        <w:t xml:space="preserve"> </w:t>
      </w:r>
      <w:r w:rsidRPr="00B24CA3">
        <w:t>kalıplar</w:t>
      </w:r>
      <w:r w:rsidRPr="00B24CA3">
        <w:rPr>
          <w:spacing w:val="-9"/>
        </w:rPr>
        <w:t xml:space="preserve"> </w:t>
      </w:r>
      <w:r w:rsidRPr="00B24CA3">
        <w:t>açısından</w:t>
      </w:r>
      <w:r w:rsidRPr="00B24CA3">
        <w:rPr>
          <w:spacing w:val="-3"/>
        </w:rPr>
        <w:t xml:space="preserve"> </w:t>
      </w:r>
      <w:r w:rsidRPr="00B24CA3">
        <w:t xml:space="preserve">analiz </w:t>
      </w:r>
      <w:r w:rsidRPr="00B24CA3">
        <w:rPr>
          <w:spacing w:val="-2"/>
        </w:rPr>
        <w:t>edilmiştir.</w:t>
      </w:r>
    </w:p>
    <w:p w14:paraId="3CB72CBE" w14:textId="77777777" w:rsidR="00FF4BC0" w:rsidRPr="00800DA9" w:rsidRDefault="00FF4BC0" w:rsidP="00BA67A6">
      <w:pPr>
        <w:rPr>
          <w:b/>
          <w:bCs/>
        </w:rPr>
      </w:pPr>
      <w:r w:rsidRPr="00800DA9">
        <w:rPr>
          <w:b/>
          <w:bCs/>
        </w:rPr>
        <w:t>Verilerin</w:t>
      </w:r>
      <w:r w:rsidRPr="00800DA9">
        <w:rPr>
          <w:b/>
          <w:bCs/>
          <w:spacing w:val="-4"/>
        </w:rPr>
        <w:t xml:space="preserve"> </w:t>
      </w:r>
      <w:r w:rsidRPr="00800DA9">
        <w:rPr>
          <w:b/>
          <w:bCs/>
        </w:rPr>
        <w:t>Çözümlenmesi</w:t>
      </w:r>
      <w:r w:rsidRPr="00800DA9">
        <w:rPr>
          <w:b/>
          <w:bCs/>
          <w:spacing w:val="-6"/>
        </w:rPr>
        <w:t xml:space="preserve"> </w:t>
      </w:r>
      <w:r w:rsidRPr="00800DA9">
        <w:rPr>
          <w:b/>
          <w:bCs/>
        </w:rPr>
        <w:t>ve</w:t>
      </w:r>
      <w:r w:rsidRPr="00800DA9">
        <w:rPr>
          <w:b/>
          <w:bCs/>
          <w:spacing w:val="-5"/>
        </w:rPr>
        <w:t xml:space="preserve"> </w:t>
      </w:r>
      <w:r w:rsidRPr="00800DA9">
        <w:rPr>
          <w:b/>
          <w:bCs/>
          <w:spacing w:val="-2"/>
        </w:rPr>
        <w:t>yorumlanması</w:t>
      </w:r>
    </w:p>
    <w:p w14:paraId="5A3C3935" w14:textId="77777777" w:rsidR="00FF4BC0" w:rsidRPr="00B24CA3" w:rsidRDefault="00FF4BC0" w:rsidP="00BA67A6">
      <w:pPr>
        <w:pStyle w:val="GvdeMetni"/>
        <w:ind w:right="157"/>
        <w:jc w:val="both"/>
      </w:pPr>
      <w:r w:rsidRPr="00B24CA3">
        <w:t xml:space="preserve">Bu çalışmada, uluslararası öğrencilerin görüşlerini analiz etmek için nitel veri analizi </w:t>
      </w:r>
      <w:r w:rsidRPr="00B24CA3">
        <w:lastRenderedPageBreak/>
        <w:t>tekniklerinden biri olarak betimsel analiz yöntemi kullanılmıştır. Görüşmeden elde edilen verileri</w:t>
      </w:r>
      <w:r w:rsidRPr="00B24CA3">
        <w:rPr>
          <w:spacing w:val="-3"/>
        </w:rPr>
        <w:t xml:space="preserve"> </w:t>
      </w:r>
      <w:r w:rsidRPr="00B24CA3">
        <w:t>yazıya</w:t>
      </w:r>
      <w:r w:rsidRPr="00B24CA3">
        <w:rPr>
          <w:spacing w:val="-4"/>
        </w:rPr>
        <w:t xml:space="preserve"> </w:t>
      </w:r>
      <w:r w:rsidRPr="00B24CA3">
        <w:t>döküldü</w:t>
      </w:r>
      <w:r w:rsidRPr="00B24CA3">
        <w:rPr>
          <w:spacing w:val="-2"/>
        </w:rPr>
        <w:t xml:space="preserve"> </w:t>
      </w:r>
      <w:r w:rsidRPr="00B24CA3">
        <w:t>ve</w:t>
      </w:r>
      <w:r w:rsidRPr="00B24CA3">
        <w:rPr>
          <w:spacing w:val="-4"/>
        </w:rPr>
        <w:t xml:space="preserve"> </w:t>
      </w:r>
      <w:r w:rsidRPr="00B24CA3">
        <w:t>ardından</w:t>
      </w:r>
      <w:r w:rsidRPr="00B24CA3">
        <w:rPr>
          <w:spacing w:val="-2"/>
        </w:rPr>
        <w:t xml:space="preserve"> </w:t>
      </w:r>
      <w:r w:rsidRPr="00B24CA3">
        <w:t>bir</w:t>
      </w:r>
      <w:r w:rsidRPr="00B24CA3">
        <w:rPr>
          <w:spacing w:val="-2"/>
        </w:rPr>
        <w:t xml:space="preserve"> </w:t>
      </w:r>
      <w:r w:rsidRPr="00B24CA3">
        <w:t>transkripsiyon</w:t>
      </w:r>
      <w:r w:rsidRPr="00B24CA3">
        <w:rPr>
          <w:spacing w:val="-2"/>
        </w:rPr>
        <w:t xml:space="preserve"> </w:t>
      </w:r>
      <w:r w:rsidRPr="00B24CA3">
        <w:t>ve</w:t>
      </w:r>
      <w:r w:rsidRPr="00B24CA3">
        <w:rPr>
          <w:spacing w:val="-4"/>
        </w:rPr>
        <w:t xml:space="preserve"> </w:t>
      </w:r>
      <w:r w:rsidRPr="00B24CA3">
        <w:t>kodlama</w:t>
      </w:r>
      <w:r w:rsidRPr="00B24CA3">
        <w:rPr>
          <w:spacing w:val="-4"/>
        </w:rPr>
        <w:t xml:space="preserve"> </w:t>
      </w:r>
      <w:r w:rsidRPr="00B24CA3">
        <w:t>süreci</w:t>
      </w:r>
      <w:r w:rsidRPr="00B24CA3">
        <w:rPr>
          <w:spacing w:val="-4"/>
        </w:rPr>
        <w:t xml:space="preserve"> </w:t>
      </w:r>
      <w:r w:rsidRPr="00B24CA3">
        <w:t>yürütülmüştür.</w:t>
      </w:r>
      <w:r w:rsidRPr="00B24CA3">
        <w:rPr>
          <w:spacing w:val="-2"/>
        </w:rPr>
        <w:t xml:space="preserve"> </w:t>
      </w:r>
      <w:r w:rsidRPr="00B24CA3">
        <w:t xml:space="preserve">Daha sonra kodlanan veriler, öğrencilerin görüşlerindeki ortak temaları ve kalıpları, dil sorunları, kültürel farklılıklar ve eğitim ortamına uyum gibi ana temalar altında kodlanarak analiz </w:t>
      </w:r>
      <w:r w:rsidRPr="00B24CA3">
        <w:rPr>
          <w:spacing w:val="-2"/>
        </w:rPr>
        <w:t>edilmiştir.</w:t>
      </w:r>
    </w:p>
    <w:p w14:paraId="536B8B55" w14:textId="6D571174" w:rsidR="00FF4BC0" w:rsidRPr="00B24CA3" w:rsidRDefault="00FF4BC0" w:rsidP="00BA67A6">
      <w:pPr>
        <w:pStyle w:val="GvdeMetni"/>
        <w:ind w:right="162"/>
        <w:jc w:val="both"/>
      </w:pPr>
      <w:r w:rsidRPr="00B24CA3">
        <w:rPr>
          <w:b/>
        </w:rPr>
        <w:t xml:space="preserve">Dil </w:t>
      </w:r>
      <w:r w:rsidR="004C7694">
        <w:rPr>
          <w:b/>
        </w:rPr>
        <w:t>s</w:t>
      </w:r>
      <w:r w:rsidRPr="00B24CA3">
        <w:rPr>
          <w:b/>
        </w:rPr>
        <w:t>orunlar</w:t>
      </w:r>
      <w:r w:rsidRPr="00B24CA3">
        <w:rPr>
          <w:b/>
          <w:i/>
        </w:rPr>
        <w:t>ı</w:t>
      </w:r>
      <w:r w:rsidRPr="00B24CA3">
        <w:rPr>
          <w:i/>
        </w:rPr>
        <w:t xml:space="preserve">: </w:t>
      </w:r>
      <w:r w:rsidRPr="00B24CA3">
        <w:t xml:space="preserve">Dil, yabancı öğrencilerin uyun sürecinde çok zorlandıkları sorunlardan biri </w:t>
      </w:r>
      <w:proofErr w:type="spellStart"/>
      <w:r w:rsidRPr="00B24CA3">
        <w:t>ola</w:t>
      </w:r>
      <w:r w:rsidR="004C7694">
        <w:t>r</w:t>
      </w:r>
      <w:r w:rsidRPr="00B24CA3">
        <w:t>aköne</w:t>
      </w:r>
      <w:proofErr w:type="spellEnd"/>
      <w:r w:rsidRPr="00B24CA3">
        <w:t xml:space="preserve"> çıkmaktadır. Yapılan görüşmede katılımcıların geldiklerinden şimdiye kadar dil </w:t>
      </w:r>
      <w:proofErr w:type="spellStart"/>
      <w:r w:rsidRPr="00B24CA3">
        <w:t>zoruklarını</w:t>
      </w:r>
      <w:proofErr w:type="spellEnd"/>
      <w:r w:rsidRPr="00B24CA3">
        <w:rPr>
          <w:spacing w:val="-15"/>
        </w:rPr>
        <w:t xml:space="preserve"> </w:t>
      </w:r>
      <w:r w:rsidRPr="00B24CA3">
        <w:t>yaşamakta</w:t>
      </w:r>
      <w:r w:rsidRPr="00B24CA3">
        <w:rPr>
          <w:spacing w:val="-15"/>
        </w:rPr>
        <w:t xml:space="preserve"> </w:t>
      </w:r>
      <w:r w:rsidRPr="00B24CA3">
        <w:t>o</w:t>
      </w:r>
      <w:r w:rsidR="004C7694">
        <w:t>l</w:t>
      </w:r>
      <w:r w:rsidRPr="00B24CA3">
        <w:t>duklarını</w:t>
      </w:r>
      <w:r w:rsidRPr="00B24CA3">
        <w:rPr>
          <w:spacing w:val="-15"/>
        </w:rPr>
        <w:t xml:space="preserve"> </w:t>
      </w:r>
      <w:r w:rsidRPr="00B24CA3">
        <w:t>bahsetmişlerdir.</w:t>
      </w:r>
      <w:r w:rsidRPr="00B24CA3">
        <w:rPr>
          <w:spacing w:val="-15"/>
        </w:rPr>
        <w:t xml:space="preserve"> </w:t>
      </w:r>
      <w:r w:rsidRPr="00B24CA3">
        <w:t>Öğrencilerin</w:t>
      </w:r>
      <w:r w:rsidRPr="00B24CA3">
        <w:rPr>
          <w:spacing w:val="-15"/>
        </w:rPr>
        <w:t xml:space="preserve"> </w:t>
      </w:r>
      <w:r w:rsidRPr="00B24CA3">
        <w:t>hepsi</w:t>
      </w:r>
      <w:r w:rsidRPr="00B24CA3">
        <w:rPr>
          <w:spacing w:val="-15"/>
        </w:rPr>
        <w:t xml:space="preserve"> </w:t>
      </w:r>
      <w:r w:rsidRPr="00B24CA3">
        <w:t>ilk</w:t>
      </w:r>
      <w:r w:rsidRPr="00B24CA3">
        <w:rPr>
          <w:spacing w:val="-15"/>
        </w:rPr>
        <w:t xml:space="preserve"> </w:t>
      </w:r>
      <w:r w:rsidRPr="00B24CA3">
        <w:t>geldiklerinde</w:t>
      </w:r>
      <w:r w:rsidRPr="00B24CA3">
        <w:rPr>
          <w:spacing w:val="-15"/>
        </w:rPr>
        <w:t xml:space="preserve"> </w:t>
      </w:r>
      <w:r w:rsidRPr="00B24CA3">
        <w:t>1</w:t>
      </w:r>
      <w:r w:rsidRPr="00B24CA3">
        <w:rPr>
          <w:spacing w:val="-15"/>
        </w:rPr>
        <w:t xml:space="preserve"> </w:t>
      </w:r>
      <w:r w:rsidRPr="00B24CA3">
        <w:t>yıllık hazırlık</w:t>
      </w:r>
      <w:r w:rsidRPr="00B24CA3">
        <w:rPr>
          <w:spacing w:val="-15"/>
        </w:rPr>
        <w:t xml:space="preserve"> </w:t>
      </w:r>
      <w:r w:rsidRPr="00B24CA3">
        <w:t>kursuna</w:t>
      </w:r>
      <w:r w:rsidRPr="00B24CA3">
        <w:rPr>
          <w:spacing w:val="-13"/>
        </w:rPr>
        <w:t xml:space="preserve"> </w:t>
      </w:r>
      <w:r w:rsidRPr="00B24CA3">
        <w:t>gitmelerine</w:t>
      </w:r>
      <w:r w:rsidRPr="00B24CA3">
        <w:rPr>
          <w:spacing w:val="-12"/>
        </w:rPr>
        <w:t xml:space="preserve"> </w:t>
      </w:r>
      <w:r w:rsidRPr="00B24CA3">
        <w:t>rağmen</w:t>
      </w:r>
      <w:r w:rsidRPr="00B24CA3">
        <w:rPr>
          <w:spacing w:val="-13"/>
        </w:rPr>
        <w:t xml:space="preserve"> </w:t>
      </w:r>
      <w:proofErr w:type="spellStart"/>
      <w:r w:rsidR="004C7694" w:rsidRPr="00B24CA3">
        <w:t>orada</w:t>
      </w:r>
      <w:r w:rsidRPr="00B24CA3">
        <w:t>öğrendikleri</w:t>
      </w:r>
      <w:proofErr w:type="spellEnd"/>
      <w:r w:rsidRPr="00B24CA3">
        <w:rPr>
          <w:spacing w:val="-13"/>
        </w:rPr>
        <w:t xml:space="preserve"> </w:t>
      </w:r>
      <w:r w:rsidRPr="00B24CA3">
        <w:t>Türkçeni</w:t>
      </w:r>
      <w:r w:rsidRPr="00B24CA3">
        <w:rPr>
          <w:spacing w:val="-8"/>
        </w:rPr>
        <w:t xml:space="preserve"> </w:t>
      </w:r>
      <w:r w:rsidRPr="00B24CA3">
        <w:t>yetersiz</w:t>
      </w:r>
      <w:r w:rsidRPr="00B24CA3">
        <w:rPr>
          <w:spacing w:val="-14"/>
        </w:rPr>
        <w:t xml:space="preserve"> </w:t>
      </w:r>
      <w:r w:rsidRPr="00B24CA3">
        <w:t>olduğunu,</w:t>
      </w:r>
      <w:r w:rsidRPr="00B24CA3">
        <w:rPr>
          <w:spacing w:val="-3"/>
        </w:rPr>
        <w:t xml:space="preserve"> </w:t>
      </w:r>
      <w:r w:rsidRPr="00B24CA3">
        <w:t>daha</w:t>
      </w:r>
      <w:r w:rsidRPr="00B24CA3">
        <w:rPr>
          <w:spacing w:val="-8"/>
        </w:rPr>
        <w:t xml:space="preserve"> </w:t>
      </w:r>
      <w:r w:rsidRPr="00B24CA3">
        <w:rPr>
          <w:spacing w:val="-5"/>
        </w:rPr>
        <w:t>çok</w:t>
      </w:r>
    </w:p>
    <w:p w14:paraId="5FCD16FD"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59F7E351" w14:textId="77777777" w:rsidR="00FF4BC0" w:rsidRDefault="00FF4BC0" w:rsidP="00BA67A6">
      <w:pPr>
        <w:pStyle w:val="GvdeMetni"/>
        <w:ind w:right="156"/>
        <w:jc w:val="both"/>
      </w:pPr>
      <w:proofErr w:type="gramStart"/>
      <w:r w:rsidRPr="00B24CA3">
        <w:t>günlük</w:t>
      </w:r>
      <w:proofErr w:type="gramEnd"/>
      <w:r w:rsidRPr="00B24CA3">
        <w:t xml:space="preserve"> konuşmada çok kullanılan dil öğrendikleri ifade etmişlerdir. Ancak, çoğu öğrenci zamanla dil becerilerini geliştirdiklerini ve okulda ve sosyal ortamında rahatça iletişim kurabildikleri belirtmiştir. Buda dil öğrenme sürecini zamanla ve büyük çabayla geliştiğini gösteren bir sonuçtur.</w:t>
      </w:r>
    </w:p>
    <w:p w14:paraId="7644B06C" w14:textId="77777777" w:rsidR="004C7694" w:rsidRPr="00B24CA3" w:rsidRDefault="004C7694" w:rsidP="00BA67A6">
      <w:pPr>
        <w:pStyle w:val="GvdeMetni"/>
        <w:ind w:right="156"/>
        <w:jc w:val="both"/>
      </w:pPr>
    </w:p>
    <w:p w14:paraId="15D87A7D" w14:textId="77777777" w:rsidR="00FF4BC0" w:rsidRDefault="00FF4BC0" w:rsidP="00BA67A6">
      <w:pPr>
        <w:pStyle w:val="GvdeMetni"/>
        <w:ind w:right="163"/>
        <w:jc w:val="both"/>
      </w:pPr>
      <w:r w:rsidRPr="00B24CA3">
        <w:t>Katılımcılardan biri yaşadıkları dil sorunlarını şöyle ifade etmiştir: Bir katılımcı şu şekilde belirtmiştir: ‘’Türkçe hazırlığı yaparken çok zorlanmıştım, en çok dinleme ve konuşmada büyük zorluk yaşamıştım. Türkçe hazırlığı bitirdiğimde, daha az sorun yaşayacağımı düşünmüştüm. Ancak birinci sınıfa geldiğimde, daha da çok zorlanmayı başladım. Çünkü hazırlık kursundan öğrendiğim</w:t>
      </w:r>
      <w:r w:rsidRPr="00B24CA3">
        <w:rPr>
          <w:spacing w:val="-1"/>
        </w:rPr>
        <w:t xml:space="preserve"> </w:t>
      </w:r>
      <w:r w:rsidRPr="00B24CA3">
        <w:t>Türkçe</w:t>
      </w:r>
      <w:r w:rsidRPr="00B24CA3">
        <w:rPr>
          <w:spacing w:val="-1"/>
        </w:rPr>
        <w:t xml:space="preserve"> </w:t>
      </w:r>
      <w:r w:rsidRPr="00B24CA3">
        <w:t>daha</w:t>
      </w:r>
      <w:r w:rsidRPr="00B24CA3">
        <w:rPr>
          <w:spacing w:val="-1"/>
        </w:rPr>
        <w:t xml:space="preserve"> </w:t>
      </w:r>
      <w:r w:rsidRPr="00B24CA3">
        <w:t>çok günlük yaşamda</w:t>
      </w:r>
      <w:r w:rsidRPr="00B24CA3">
        <w:rPr>
          <w:spacing w:val="-1"/>
        </w:rPr>
        <w:t xml:space="preserve"> </w:t>
      </w:r>
      <w:r w:rsidRPr="00B24CA3">
        <w:t>kullanılan dildi</w:t>
      </w:r>
      <w:r w:rsidRPr="00B24CA3">
        <w:rPr>
          <w:spacing w:val="-1"/>
        </w:rPr>
        <w:t xml:space="preserve"> </w:t>
      </w:r>
      <w:r w:rsidRPr="00B24CA3">
        <w:t>ve</w:t>
      </w:r>
      <w:r w:rsidRPr="00B24CA3">
        <w:rPr>
          <w:spacing w:val="-1"/>
        </w:rPr>
        <w:t xml:space="preserve"> </w:t>
      </w:r>
      <w:r w:rsidRPr="00B24CA3">
        <w:t>derslerde kullanılan terimler ve kelimler daha farklıydı. Yine de hazırlık sınıfa göre tabi ki de Türkçem daha iyiydi.’’</w:t>
      </w:r>
    </w:p>
    <w:p w14:paraId="34C401BD" w14:textId="77777777" w:rsidR="004C7694" w:rsidRPr="00B24CA3" w:rsidRDefault="004C7694" w:rsidP="00BA67A6">
      <w:pPr>
        <w:pStyle w:val="GvdeMetni"/>
        <w:ind w:right="163"/>
        <w:jc w:val="both"/>
      </w:pPr>
    </w:p>
    <w:p w14:paraId="2CDFBBA4" w14:textId="77777777" w:rsidR="00FF4BC0" w:rsidRDefault="00FF4BC0" w:rsidP="00BA67A6">
      <w:pPr>
        <w:pStyle w:val="GvdeMetni"/>
        <w:ind w:right="160"/>
        <w:jc w:val="both"/>
      </w:pPr>
      <w:r w:rsidRPr="00B24CA3">
        <w:t xml:space="preserve">Bu durum, öğrencilerin okul ortamında uyum sağlamada önemli rolü olan dil öğrenirken </w:t>
      </w:r>
      <w:r w:rsidRPr="00B24CA3">
        <w:rPr>
          <w:spacing w:val="-2"/>
        </w:rPr>
        <w:t>yaşadıkları</w:t>
      </w:r>
      <w:r w:rsidRPr="00B24CA3">
        <w:rPr>
          <w:spacing w:val="-5"/>
        </w:rPr>
        <w:t xml:space="preserve"> </w:t>
      </w:r>
      <w:r w:rsidRPr="00B24CA3">
        <w:rPr>
          <w:spacing w:val="-2"/>
        </w:rPr>
        <w:t>sorunların öğrencilerin</w:t>
      </w:r>
      <w:r w:rsidRPr="00B24CA3">
        <w:rPr>
          <w:spacing w:val="-4"/>
        </w:rPr>
        <w:t xml:space="preserve"> </w:t>
      </w:r>
      <w:r w:rsidRPr="00B24CA3">
        <w:rPr>
          <w:spacing w:val="-2"/>
        </w:rPr>
        <w:t>okul ortamına</w:t>
      </w:r>
      <w:r w:rsidRPr="00B24CA3">
        <w:rPr>
          <w:spacing w:val="-5"/>
        </w:rPr>
        <w:t xml:space="preserve"> </w:t>
      </w:r>
      <w:r w:rsidRPr="00B24CA3">
        <w:rPr>
          <w:spacing w:val="-2"/>
        </w:rPr>
        <w:t>uyum sürecinde</w:t>
      </w:r>
      <w:r w:rsidRPr="00B24CA3">
        <w:rPr>
          <w:spacing w:val="-5"/>
        </w:rPr>
        <w:t xml:space="preserve"> </w:t>
      </w:r>
      <w:r w:rsidRPr="00B24CA3">
        <w:rPr>
          <w:spacing w:val="-2"/>
        </w:rPr>
        <w:t>dilin</w:t>
      </w:r>
      <w:r w:rsidRPr="00B24CA3">
        <w:rPr>
          <w:spacing w:val="-4"/>
        </w:rPr>
        <w:t xml:space="preserve"> </w:t>
      </w:r>
      <w:r w:rsidRPr="00B24CA3">
        <w:rPr>
          <w:spacing w:val="-2"/>
        </w:rPr>
        <w:t>ne</w:t>
      </w:r>
      <w:r w:rsidRPr="00B24CA3">
        <w:rPr>
          <w:spacing w:val="-5"/>
        </w:rPr>
        <w:t xml:space="preserve"> </w:t>
      </w:r>
      <w:r w:rsidRPr="00B24CA3">
        <w:rPr>
          <w:spacing w:val="-2"/>
        </w:rPr>
        <w:t>kadar etkili</w:t>
      </w:r>
      <w:r w:rsidRPr="00B24CA3">
        <w:rPr>
          <w:spacing w:val="-5"/>
        </w:rPr>
        <w:t xml:space="preserve"> </w:t>
      </w:r>
      <w:r w:rsidRPr="00B24CA3">
        <w:rPr>
          <w:spacing w:val="-2"/>
        </w:rPr>
        <w:t xml:space="preserve">olduğunu </w:t>
      </w:r>
      <w:r w:rsidRPr="00B24CA3">
        <w:t>göstermektedir.</w:t>
      </w:r>
      <w:r w:rsidRPr="00B24CA3">
        <w:rPr>
          <w:spacing w:val="-9"/>
        </w:rPr>
        <w:t xml:space="preserve"> </w:t>
      </w:r>
      <w:r w:rsidRPr="00B24CA3">
        <w:t>Dil</w:t>
      </w:r>
      <w:r w:rsidRPr="00B24CA3">
        <w:rPr>
          <w:spacing w:val="-9"/>
        </w:rPr>
        <w:t xml:space="preserve"> </w:t>
      </w:r>
      <w:r w:rsidRPr="00B24CA3">
        <w:t>sorunları,</w:t>
      </w:r>
      <w:r w:rsidRPr="00B24CA3">
        <w:rPr>
          <w:spacing w:val="-10"/>
        </w:rPr>
        <w:t xml:space="preserve"> </w:t>
      </w:r>
      <w:r w:rsidRPr="00B24CA3">
        <w:t>yalnızca</w:t>
      </w:r>
      <w:r w:rsidRPr="00B24CA3">
        <w:rPr>
          <w:spacing w:val="-11"/>
        </w:rPr>
        <w:t xml:space="preserve"> </w:t>
      </w:r>
      <w:r w:rsidRPr="00B24CA3">
        <w:t>akademik</w:t>
      </w:r>
      <w:r w:rsidRPr="00B24CA3">
        <w:rPr>
          <w:spacing w:val="-7"/>
        </w:rPr>
        <w:t xml:space="preserve"> </w:t>
      </w:r>
      <w:r w:rsidRPr="00B24CA3">
        <w:t>alanda</w:t>
      </w:r>
      <w:r w:rsidRPr="00B24CA3">
        <w:rPr>
          <w:spacing w:val="-11"/>
        </w:rPr>
        <w:t xml:space="preserve"> </w:t>
      </w:r>
      <w:r w:rsidRPr="00B24CA3">
        <w:t>değil,</w:t>
      </w:r>
      <w:r w:rsidRPr="00B24CA3">
        <w:rPr>
          <w:spacing w:val="-10"/>
        </w:rPr>
        <w:t xml:space="preserve"> </w:t>
      </w:r>
      <w:r w:rsidRPr="00B24CA3">
        <w:t>ayna</w:t>
      </w:r>
      <w:r w:rsidRPr="00B24CA3">
        <w:rPr>
          <w:spacing w:val="-11"/>
        </w:rPr>
        <w:t xml:space="preserve"> </w:t>
      </w:r>
      <w:r w:rsidRPr="00B24CA3">
        <w:t>zamanda</w:t>
      </w:r>
      <w:r w:rsidRPr="00B24CA3">
        <w:rPr>
          <w:spacing w:val="-11"/>
        </w:rPr>
        <w:t xml:space="preserve"> </w:t>
      </w:r>
      <w:r w:rsidRPr="00B24CA3">
        <w:t>sosyal</w:t>
      </w:r>
      <w:r w:rsidRPr="00B24CA3">
        <w:rPr>
          <w:spacing w:val="-11"/>
        </w:rPr>
        <w:t xml:space="preserve"> </w:t>
      </w:r>
      <w:r w:rsidRPr="00B24CA3">
        <w:t>hayatta</w:t>
      </w:r>
      <w:r w:rsidRPr="00B24CA3">
        <w:rPr>
          <w:spacing w:val="-11"/>
        </w:rPr>
        <w:t xml:space="preserve"> </w:t>
      </w:r>
      <w:r w:rsidRPr="00B24CA3">
        <w:t>ve özellikle Türk arkadaşlarıyla ilişkileri kurmakta güçlük çektikleri anlaşılmaktadır.</w:t>
      </w:r>
    </w:p>
    <w:p w14:paraId="42CD8BDD" w14:textId="77777777" w:rsidR="004C7694" w:rsidRPr="00B24CA3" w:rsidRDefault="004C7694" w:rsidP="00BA67A6">
      <w:pPr>
        <w:pStyle w:val="GvdeMetni"/>
        <w:ind w:right="160"/>
        <w:jc w:val="both"/>
      </w:pPr>
    </w:p>
    <w:p w14:paraId="1E2E5F31" w14:textId="77777777" w:rsidR="00FF4BC0" w:rsidRDefault="00FF4BC0" w:rsidP="00BA67A6">
      <w:pPr>
        <w:pStyle w:val="GvdeMetni"/>
        <w:ind w:right="159"/>
        <w:jc w:val="both"/>
      </w:pPr>
      <w:r w:rsidRPr="00B24CA3">
        <w:rPr>
          <w:b/>
        </w:rPr>
        <w:t>Kültürel farklılıklar</w:t>
      </w:r>
      <w:r w:rsidRPr="00B24CA3">
        <w:rPr>
          <w:i/>
        </w:rPr>
        <w:t xml:space="preserve">: </w:t>
      </w:r>
      <w:r w:rsidRPr="00B24CA3">
        <w:t>Uluslararası öğrencilerin karşılaştıkları sorunlardan biri ise kültürel yönelik güçlüklerdir.</w:t>
      </w:r>
      <w:r w:rsidRPr="00B24CA3">
        <w:rPr>
          <w:spacing w:val="40"/>
        </w:rPr>
        <w:t xml:space="preserve"> </w:t>
      </w:r>
      <w:r w:rsidRPr="00B24CA3">
        <w:t>Türkiye’nin sosyal yapısı ve kültürel normalar, bazı öğlenciler için tamamen farklı ve hiç görmemiş ve duymamış olabilmektedir. Bu farklıkların yabancıların sosyal yaşamlarında olumsuz etkilemektedir. Özellikle ilk yıllarda bazı yabancı öğrencilerin yemek sorunu yaşamakta ve Türk mutfağına alışması zaman almaktadır.</w:t>
      </w:r>
    </w:p>
    <w:p w14:paraId="27BBA976" w14:textId="77777777" w:rsidR="004C7694" w:rsidRPr="00B24CA3" w:rsidRDefault="004C7694" w:rsidP="00BA67A6">
      <w:pPr>
        <w:pStyle w:val="GvdeMetni"/>
        <w:ind w:right="159"/>
        <w:jc w:val="both"/>
      </w:pPr>
    </w:p>
    <w:p w14:paraId="7406A1C1" w14:textId="77777777" w:rsidR="00FF4BC0" w:rsidRDefault="00FF4BC0" w:rsidP="00BA67A6">
      <w:pPr>
        <w:pStyle w:val="GvdeMetni"/>
        <w:ind w:right="159"/>
        <w:jc w:val="both"/>
      </w:pPr>
      <w:r w:rsidRPr="00B24CA3">
        <w:t>Bu farklıkların olması bazı öğrencilerin sosyal yaşamlarında izole hissiyatını yaratmaktadır. Araştırmaya katılanlardan bazıları Türk beslenme alışkanlıkları, iletişim tarzlıları ve din konusunda güçlükler yaşadıklarını dile getirmiştir.</w:t>
      </w:r>
    </w:p>
    <w:p w14:paraId="505B83A5" w14:textId="77777777" w:rsidR="004C7694" w:rsidRPr="00B24CA3" w:rsidRDefault="004C7694" w:rsidP="00BA67A6">
      <w:pPr>
        <w:pStyle w:val="GvdeMetni"/>
        <w:ind w:right="159"/>
        <w:jc w:val="both"/>
      </w:pPr>
    </w:p>
    <w:p w14:paraId="3D7869D7" w14:textId="77777777" w:rsidR="00FF4BC0" w:rsidRDefault="00FF4BC0" w:rsidP="00BA67A6">
      <w:pPr>
        <w:pStyle w:val="GvdeMetni"/>
        <w:ind w:right="163"/>
        <w:jc w:val="both"/>
      </w:pPr>
      <w:r w:rsidRPr="00B24CA3">
        <w:t>Örneğin, bir katılımcı aşağıda gibi fikrini söylemiştir: ‘’ Türkiye’ ye gelmeden önce bile bu konuda çok endişeliydim, hatta buraya gelirken iki kutu dolu yemek paketi getirmiştim. İlk zamanlarda bazı yemekleri hiç yiyemiyordum.’’</w:t>
      </w:r>
    </w:p>
    <w:p w14:paraId="6FD53098" w14:textId="77777777" w:rsidR="004C7694" w:rsidRPr="00B24CA3" w:rsidRDefault="004C7694" w:rsidP="00BA67A6">
      <w:pPr>
        <w:pStyle w:val="GvdeMetni"/>
        <w:ind w:right="163"/>
        <w:jc w:val="both"/>
      </w:pPr>
    </w:p>
    <w:p w14:paraId="4F813931" w14:textId="77777777" w:rsidR="00FF4BC0" w:rsidRDefault="00FF4BC0" w:rsidP="00BA67A6">
      <w:pPr>
        <w:pStyle w:val="GvdeMetni"/>
        <w:ind w:right="161" w:firstLine="60"/>
        <w:jc w:val="both"/>
      </w:pPr>
      <w:r w:rsidRPr="00B24CA3">
        <w:t>Bazı öğrenciler ilk zamanlarda Türk yemekleri alışamam gibi zorluklar yaşmış olsa da zamanla</w:t>
      </w:r>
      <w:r w:rsidRPr="00B24CA3">
        <w:rPr>
          <w:spacing w:val="-14"/>
        </w:rPr>
        <w:t xml:space="preserve"> </w:t>
      </w:r>
      <w:r w:rsidRPr="00B24CA3">
        <w:t>bu</w:t>
      </w:r>
      <w:r w:rsidRPr="00B24CA3">
        <w:rPr>
          <w:spacing w:val="-13"/>
        </w:rPr>
        <w:t xml:space="preserve"> </w:t>
      </w:r>
      <w:r w:rsidRPr="00B24CA3">
        <w:t>sorunun</w:t>
      </w:r>
      <w:r w:rsidRPr="00B24CA3">
        <w:rPr>
          <w:spacing w:val="-12"/>
        </w:rPr>
        <w:t xml:space="preserve"> </w:t>
      </w:r>
      <w:r w:rsidRPr="00B24CA3">
        <w:t>ortadan</w:t>
      </w:r>
      <w:r w:rsidRPr="00B24CA3">
        <w:rPr>
          <w:spacing w:val="-13"/>
        </w:rPr>
        <w:t xml:space="preserve"> </w:t>
      </w:r>
      <w:r w:rsidRPr="00B24CA3">
        <w:t>kaldığını</w:t>
      </w:r>
      <w:r w:rsidRPr="00B24CA3">
        <w:rPr>
          <w:spacing w:val="-12"/>
        </w:rPr>
        <w:t xml:space="preserve"> </w:t>
      </w:r>
      <w:r w:rsidRPr="00B24CA3">
        <w:t>ifade</w:t>
      </w:r>
      <w:r w:rsidRPr="00B24CA3">
        <w:rPr>
          <w:spacing w:val="-14"/>
        </w:rPr>
        <w:t xml:space="preserve"> </w:t>
      </w:r>
      <w:r w:rsidRPr="00B24CA3">
        <w:t>ederek,</w:t>
      </w:r>
      <w:r w:rsidRPr="00B24CA3">
        <w:rPr>
          <w:spacing w:val="-12"/>
        </w:rPr>
        <w:t xml:space="preserve"> </w:t>
      </w:r>
      <w:proofErr w:type="gramStart"/>
      <w:r w:rsidRPr="00B24CA3">
        <w:t>buda</w:t>
      </w:r>
      <w:proofErr w:type="gramEnd"/>
      <w:r w:rsidRPr="00B24CA3">
        <w:rPr>
          <w:spacing w:val="-14"/>
        </w:rPr>
        <w:t xml:space="preserve"> </w:t>
      </w:r>
      <w:r w:rsidRPr="00B24CA3">
        <w:t>kültürel</w:t>
      </w:r>
      <w:r w:rsidRPr="00B24CA3">
        <w:rPr>
          <w:spacing w:val="-14"/>
        </w:rPr>
        <w:t xml:space="preserve"> </w:t>
      </w:r>
      <w:r w:rsidRPr="00B24CA3">
        <w:t>uyumun</w:t>
      </w:r>
      <w:r w:rsidRPr="00B24CA3">
        <w:rPr>
          <w:spacing w:val="-13"/>
        </w:rPr>
        <w:t xml:space="preserve"> </w:t>
      </w:r>
      <w:r w:rsidRPr="00B24CA3">
        <w:t>zaman</w:t>
      </w:r>
      <w:r w:rsidRPr="00B24CA3">
        <w:rPr>
          <w:spacing w:val="-9"/>
        </w:rPr>
        <w:t xml:space="preserve"> </w:t>
      </w:r>
      <w:r w:rsidRPr="00B24CA3">
        <w:t>alıcı</w:t>
      </w:r>
      <w:r w:rsidRPr="00B24CA3">
        <w:rPr>
          <w:spacing w:val="-14"/>
        </w:rPr>
        <w:t xml:space="preserve"> </w:t>
      </w:r>
      <w:r w:rsidRPr="00B24CA3">
        <w:t>bir</w:t>
      </w:r>
      <w:r w:rsidRPr="00B24CA3">
        <w:rPr>
          <w:spacing w:val="-12"/>
        </w:rPr>
        <w:t xml:space="preserve"> </w:t>
      </w:r>
      <w:r w:rsidRPr="00B24CA3">
        <w:t>süreç olduğunu ve öğrencilerin bu farkları aşmak için çabaladıklarını göstermektedir.</w:t>
      </w:r>
    </w:p>
    <w:p w14:paraId="46C9FAD1" w14:textId="77777777" w:rsidR="004C7694" w:rsidRPr="00B24CA3" w:rsidRDefault="004C7694" w:rsidP="00BA67A6">
      <w:pPr>
        <w:pStyle w:val="GvdeMetni"/>
        <w:ind w:right="161" w:firstLine="60"/>
        <w:jc w:val="both"/>
      </w:pPr>
    </w:p>
    <w:p w14:paraId="2B7BEFB5" w14:textId="77777777" w:rsidR="00FF4BC0" w:rsidRDefault="00FF4BC0" w:rsidP="00BA67A6">
      <w:pPr>
        <w:pStyle w:val="GvdeMetni"/>
        <w:ind w:right="157"/>
        <w:jc w:val="both"/>
      </w:pPr>
      <w:r w:rsidRPr="00B24CA3">
        <w:rPr>
          <w:b/>
        </w:rPr>
        <w:t>Eğitim ortamına uyum</w:t>
      </w:r>
      <w:r w:rsidRPr="00B24CA3">
        <w:rPr>
          <w:i/>
        </w:rPr>
        <w:t xml:space="preserve">: </w:t>
      </w:r>
      <w:r w:rsidRPr="00B24CA3">
        <w:t xml:space="preserve">katılımcılar okul ortama uyuma sürecinde bazı sorunlarla maruz kaldıkları da belirtmiştir. Ayrıca, okul ortamına uyum sürecinde yaşadıkları güçlüklerin, </w:t>
      </w:r>
      <w:r w:rsidRPr="00B24CA3">
        <w:lastRenderedPageBreak/>
        <w:t>akademik performansları ve sosyal yaşantıları üzerindeki etkileri de ifade etmiştir. Bu zorlukları,</w:t>
      </w:r>
      <w:r w:rsidRPr="00B24CA3">
        <w:rPr>
          <w:spacing w:val="-3"/>
        </w:rPr>
        <w:t xml:space="preserve"> </w:t>
      </w:r>
      <w:r w:rsidRPr="00B24CA3">
        <w:t>eğim</w:t>
      </w:r>
      <w:r w:rsidRPr="00B24CA3">
        <w:rPr>
          <w:spacing w:val="-5"/>
        </w:rPr>
        <w:t xml:space="preserve"> </w:t>
      </w:r>
      <w:r w:rsidRPr="00B24CA3">
        <w:t>sisteminin</w:t>
      </w:r>
      <w:r w:rsidRPr="00B24CA3">
        <w:rPr>
          <w:spacing w:val="-3"/>
        </w:rPr>
        <w:t xml:space="preserve"> </w:t>
      </w:r>
      <w:r w:rsidRPr="00B24CA3">
        <w:t>ve</w:t>
      </w:r>
      <w:r w:rsidRPr="00B24CA3">
        <w:rPr>
          <w:spacing w:val="-5"/>
        </w:rPr>
        <w:t xml:space="preserve"> </w:t>
      </w:r>
      <w:r w:rsidRPr="00B24CA3">
        <w:t>öğretim</w:t>
      </w:r>
      <w:r w:rsidRPr="00B24CA3">
        <w:rPr>
          <w:spacing w:val="-5"/>
        </w:rPr>
        <w:t xml:space="preserve"> </w:t>
      </w:r>
      <w:r w:rsidRPr="00B24CA3">
        <w:t>yöntemlerinin kendi</w:t>
      </w:r>
      <w:r w:rsidRPr="00B24CA3">
        <w:rPr>
          <w:spacing w:val="-5"/>
        </w:rPr>
        <w:t xml:space="preserve"> </w:t>
      </w:r>
      <w:r w:rsidRPr="00B24CA3">
        <w:t>ülkedeki eğitim</w:t>
      </w:r>
      <w:r w:rsidRPr="00B24CA3">
        <w:rPr>
          <w:spacing w:val="-5"/>
        </w:rPr>
        <w:t xml:space="preserve"> </w:t>
      </w:r>
      <w:r w:rsidRPr="00B24CA3">
        <w:t>sistemi arasındaki farklılıkların olması sunucunda ortaya çıktığını belirtmiştir. Özellikle öğretim tarzı ve eğitim dil büyük fark yaratmış, bu da öğrencilerin derslerindeki başarılarını etkilemiş ve bazı öğrencilerin akademik stres yaşamasına sebep olmuştur.</w:t>
      </w:r>
    </w:p>
    <w:p w14:paraId="3ECDD040" w14:textId="77777777" w:rsidR="004C7694" w:rsidRPr="00B24CA3" w:rsidRDefault="004C7694" w:rsidP="00BA67A6">
      <w:pPr>
        <w:pStyle w:val="GvdeMetni"/>
        <w:ind w:right="157"/>
        <w:jc w:val="both"/>
      </w:pPr>
    </w:p>
    <w:p w14:paraId="4CA7C39A" w14:textId="77777777" w:rsidR="00FF4BC0" w:rsidRDefault="00FF4BC0" w:rsidP="00BA67A6">
      <w:pPr>
        <w:pStyle w:val="GvdeMetni"/>
        <w:ind w:right="162"/>
        <w:jc w:val="both"/>
      </w:pPr>
      <w:r w:rsidRPr="00B24CA3">
        <w:t xml:space="preserve">Bir katılımcı şu şeklinde ifade etmiştir: ‘’ Bazı ders </w:t>
      </w:r>
      <w:proofErr w:type="spellStart"/>
      <w:r w:rsidRPr="00B24CA3">
        <w:t>kitabları</w:t>
      </w:r>
      <w:proofErr w:type="spellEnd"/>
      <w:r w:rsidRPr="00B24CA3">
        <w:t xml:space="preserve"> ve kaynakları </w:t>
      </w:r>
      <w:proofErr w:type="spellStart"/>
      <w:proofErr w:type="gramStart"/>
      <w:r w:rsidRPr="00B24CA3">
        <w:t>ulaşmakta,dersi</w:t>
      </w:r>
      <w:proofErr w:type="spellEnd"/>
      <w:proofErr w:type="gramEnd"/>
      <w:r w:rsidRPr="00B24CA3">
        <w:t xml:space="preserve"> notların hesaplanmasında biraz zorlandım. Ama hocalarım hepsi çok iyi ve yardımsever oldukları için okul sistemi çabuk alıştım.’’</w:t>
      </w:r>
    </w:p>
    <w:p w14:paraId="3CEB5CB2" w14:textId="77777777" w:rsidR="004C7694" w:rsidRPr="00B24CA3" w:rsidRDefault="004C7694" w:rsidP="00BA67A6">
      <w:pPr>
        <w:pStyle w:val="GvdeMetni"/>
        <w:ind w:right="162"/>
        <w:jc w:val="both"/>
      </w:pPr>
    </w:p>
    <w:p w14:paraId="5B07C469" w14:textId="77777777" w:rsidR="00FF4BC0" w:rsidRDefault="00FF4BC0" w:rsidP="00BA67A6">
      <w:pPr>
        <w:pStyle w:val="GvdeMetni"/>
        <w:ind w:right="163"/>
        <w:jc w:val="both"/>
      </w:pPr>
      <w:r w:rsidRPr="00B24CA3">
        <w:t>Katılımcının</w:t>
      </w:r>
      <w:r w:rsidRPr="00B24CA3">
        <w:rPr>
          <w:spacing w:val="-3"/>
        </w:rPr>
        <w:t xml:space="preserve"> </w:t>
      </w:r>
      <w:r w:rsidRPr="00B24CA3">
        <w:t>belirtildiği</w:t>
      </w:r>
      <w:r w:rsidRPr="00B24CA3">
        <w:rPr>
          <w:spacing w:val="-6"/>
        </w:rPr>
        <w:t xml:space="preserve"> </w:t>
      </w:r>
      <w:r w:rsidRPr="00B24CA3">
        <w:t>gibi, öğrenciler</w:t>
      </w:r>
      <w:r w:rsidRPr="00B24CA3">
        <w:rPr>
          <w:spacing w:val="-4"/>
        </w:rPr>
        <w:t xml:space="preserve"> </w:t>
      </w:r>
      <w:r w:rsidRPr="00B24CA3">
        <w:t>öğretmenlerinin</w:t>
      </w:r>
      <w:r w:rsidRPr="00B24CA3">
        <w:rPr>
          <w:spacing w:val="-4"/>
        </w:rPr>
        <w:t xml:space="preserve"> </w:t>
      </w:r>
      <w:r w:rsidRPr="00B24CA3">
        <w:t>desteğiyle</w:t>
      </w:r>
      <w:r w:rsidRPr="00B24CA3">
        <w:rPr>
          <w:spacing w:val="-1"/>
        </w:rPr>
        <w:t xml:space="preserve"> </w:t>
      </w:r>
      <w:r w:rsidRPr="00B24CA3">
        <w:t>akademik</w:t>
      </w:r>
      <w:r w:rsidRPr="00B24CA3">
        <w:rPr>
          <w:spacing w:val="-4"/>
        </w:rPr>
        <w:t xml:space="preserve"> </w:t>
      </w:r>
      <w:r w:rsidRPr="00B24CA3">
        <w:t>ortamlara</w:t>
      </w:r>
      <w:r w:rsidRPr="00B24CA3">
        <w:rPr>
          <w:spacing w:val="-6"/>
        </w:rPr>
        <w:t xml:space="preserve"> </w:t>
      </w:r>
      <w:r w:rsidRPr="00B24CA3">
        <w:t>uyum sağladığını ve öğrenci destek mekanizmaları bu süreçte önemli bir rol oynadığını göstermektedir. Özellikle öğretmen-öğrenci ilişkileri ve danışmanlık rehberi, öğrencilerin akademik performansını ve genel refahını önemli ölçüde artırabildiğini belirlenmiştir.</w:t>
      </w:r>
    </w:p>
    <w:p w14:paraId="0FAA2C79" w14:textId="77777777" w:rsidR="004C7694" w:rsidRPr="00B24CA3" w:rsidRDefault="004C7694" w:rsidP="00BA67A6">
      <w:pPr>
        <w:pStyle w:val="GvdeMetni"/>
        <w:ind w:right="163"/>
        <w:jc w:val="both"/>
      </w:pPr>
    </w:p>
    <w:p w14:paraId="5406C556" w14:textId="4D211452" w:rsidR="00FF4BC0" w:rsidRPr="00B24CA3" w:rsidRDefault="00FF4BC0" w:rsidP="00BA67A6">
      <w:pPr>
        <w:pStyle w:val="GvdeMetni"/>
        <w:ind w:right="158"/>
        <w:jc w:val="both"/>
      </w:pPr>
      <w:r w:rsidRPr="00B24CA3">
        <w:t xml:space="preserve">Yapılan analız Kocaeli </w:t>
      </w:r>
      <w:proofErr w:type="spellStart"/>
      <w:r w:rsidRPr="00B24CA3">
        <w:t>Üniversitesi'nd</w:t>
      </w:r>
      <w:proofErr w:type="spellEnd"/>
      <w:r w:rsidRPr="00B24CA3">
        <w:t xml:space="preserve"> öğrenim gören uluslararası öğrencilerin dil sorunları, kültürel farklılıklar ve uyum orunları gibi eğitim ortamına entegre olmada çeşitli temel zorluklarla karşı karşıya</w:t>
      </w:r>
      <w:r w:rsidR="004C7694">
        <w:t xml:space="preserve"> </w:t>
      </w:r>
      <w:r w:rsidRPr="00B24CA3">
        <w:t>olduğu açıkça göstermektedir. Bu zorluklar, öğrencilerin eğitim süreçlerini</w:t>
      </w:r>
      <w:r w:rsidRPr="00B24CA3">
        <w:rPr>
          <w:spacing w:val="74"/>
        </w:rPr>
        <w:t xml:space="preserve"> </w:t>
      </w:r>
      <w:r w:rsidRPr="00B24CA3">
        <w:t>ve</w:t>
      </w:r>
      <w:r w:rsidRPr="00B24CA3">
        <w:rPr>
          <w:spacing w:val="76"/>
        </w:rPr>
        <w:t xml:space="preserve"> </w:t>
      </w:r>
      <w:r w:rsidRPr="00B24CA3">
        <w:t>günlük</w:t>
      </w:r>
      <w:r w:rsidRPr="00B24CA3">
        <w:rPr>
          <w:spacing w:val="77"/>
        </w:rPr>
        <w:t xml:space="preserve"> </w:t>
      </w:r>
      <w:r w:rsidRPr="00B24CA3">
        <w:t>yaşamlarını</w:t>
      </w:r>
      <w:r w:rsidRPr="00B24CA3">
        <w:rPr>
          <w:spacing w:val="77"/>
        </w:rPr>
        <w:t xml:space="preserve"> </w:t>
      </w:r>
      <w:proofErr w:type="spellStart"/>
      <w:r w:rsidRPr="00B24CA3">
        <w:t>byük</w:t>
      </w:r>
      <w:proofErr w:type="spellEnd"/>
      <w:r w:rsidRPr="00B24CA3">
        <w:rPr>
          <w:spacing w:val="77"/>
        </w:rPr>
        <w:t xml:space="preserve"> </w:t>
      </w:r>
      <w:r w:rsidRPr="00B24CA3">
        <w:t>ölçüde</w:t>
      </w:r>
      <w:r w:rsidRPr="00B24CA3">
        <w:rPr>
          <w:spacing w:val="51"/>
          <w:w w:val="150"/>
        </w:rPr>
        <w:t xml:space="preserve"> </w:t>
      </w:r>
      <w:r w:rsidRPr="00B24CA3">
        <w:t>etkilemiş</w:t>
      </w:r>
      <w:r w:rsidRPr="00B24CA3">
        <w:rPr>
          <w:spacing w:val="79"/>
        </w:rPr>
        <w:t xml:space="preserve"> </w:t>
      </w:r>
      <w:r w:rsidRPr="00B24CA3">
        <w:t>ola</w:t>
      </w:r>
      <w:r w:rsidRPr="00B24CA3">
        <w:rPr>
          <w:spacing w:val="54"/>
          <w:w w:val="150"/>
        </w:rPr>
        <w:t xml:space="preserve"> </w:t>
      </w:r>
      <w:r w:rsidRPr="00B24CA3">
        <w:t>da</w:t>
      </w:r>
      <w:r w:rsidRPr="00B24CA3">
        <w:rPr>
          <w:spacing w:val="76"/>
        </w:rPr>
        <w:t xml:space="preserve"> </w:t>
      </w:r>
      <w:r w:rsidRPr="00B24CA3">
        <w:t>farklı</w:t>
      </w:r>
      <w:r w:rsidRPr="00B24CA3">
        <w:rPr>
          <w:spacing w:val="77"/>
        </w:rPr>
        <w:t xml:space="preserve"> </w:t>
      </w:r>
      <w:r w:rsidRPr="00B24CA3">
        <w:t>sosyal</w:t>
      </w:r>
      <w:r w:rsidRPr="00B24CA3">
        <w:rPr>
          <w:spacing w:val="77"/>
        </w:rPr>
        <w:t xml:space="preserve"> </w:t>
      </w:r>
      <w:r w:rsidRPr="00B24CA3">
        <w:rPr>
          <w:spacing w:val="-2"/>
        </w:rPr>
        <w:t>destek</w:t>
      </w:r>
    </w:p>
    <w:p w14:paraId="22CD623D"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3C3E8A83" w14:textId="77777777" w:rsidR="00FF4BC0" w:rsidRDefault="00FF4BC0" w:rsidP="00BA67A6">
      <w:pPr>
        <w:pStyle w:val="GvdeMetni"/>
        <w:ind w:right="157"/>
        <w:jc w:val="both"/>
      </w:pPr>
      <w:proofErr w:type="gramStart"/>
      <w:r w:rsidRPr="00B24CA3">
        <w:t>mekanizmaların</w:t>
      </w:r>
      <w:proofErr w:type="gramEnd"/>
      <w:r w:rsidRPr="00B24CA3">
        <w:t>, öğretmen yardımın ve öğrenci derneklerin farklı unsuların olması öğrencilerin kolayca bu süreci yardımcı olmuştur.</w:t>
      </w:r>
    </w:p>
    <w:p w14:paraId="07CF28E9" w14:textId="77777777" w:rsidR="004C7694" w:rsidRPr="00B24CA3" w:rsidRDefault="004C7694" w:rsidP="00BA67A6">
      <w:pPr>
        <w:pStyle w:val="GvdeMetni"/>
        <w:ind w:right="157"/>
        <w:jc w:val="both"/>
      </w:pPr>
    </w:p>
    <w:p w14:paraId="4654A0F3" w14:textId="77777777" w:rsidR="00FF4BC0" w:rsidRPr="004C7694" w:rsidRDefault="00FF4BC0" w:rsidP="00BA67A6">
      <w:pPr>
        <w:pStyle w:val="Balk2"/>
        <w:spacing w:before="0" w:after="0"/>
        <w:jc w:val="both"/>
        <w:rPr>
          <w:rFonts w:ascii="Times New Roman" w:hAnsi="Times New Roman" w:cs="Times New Roman"/>
          <w:b/>
          <w:bCs/>
          <w:color w:val="000000" w:themeColor="text1"/>
          <w:sz w:val="24"/>
          <w:szCs w:val="24"/>
        </w:rPr>
      </w:pPr>
      <w:r w:rsidRPr="004C7694">
        <w:rPr>
          <w:rFonts w:ascii="Times New Roman" w:hAnsi="Times New Roman" w:cs="Times New Roman"/>
          <w:color w:val="000000" w:themeColor="text1"/>
          <w:sz w:val="24"/>
          <w:szCs w:val="24"/>
        </w:rPr>
        <w:t>2</w:t>
      </w:r>
      <w:r w:rsidRPr="004C7694">
        <w:rPr>
          <w:rFonts w:ascii="Times New Roman" w:hAnsi="Times New Roman" w:cs="Times New Roman"/>
          <w:b/>
          <w:bCs/>
          <w:color w:val="000000" w:themeColor="text1"/>
          <w:sz w:val="24"/>
          <w:szCs w:val="24"/>
        </w:rPr>
        <w:t>.6</w:t>
      </w:r>
      <w:r w:rsidRPr="004C7694">
        <w:rPr>
          <w:rFonts w:ascii="Times New Roman" w:hAnsi="Times New Roman" w:cs="Times New Roman"/>
          <w:b/>
          <w:bCs/>
          <w:color w:val="000000" w:themeColor="text1"/>
          <w:spacing w:val="-3"/>
          <w:sz w:val="24"/>
          <w:szCs w:val="24"/>
        </w:rPr>
        <w:t xml:space="preserve"> </w:t>
      </w:r>
      <w:r w:rsidRPr="004C7694">
        <w:rPr>
          <w:rFonts w:ascii="Times New Roman" w:hAnsi="Times New Roman" w:cs="Times New Roman"/>
          <w:b/>
          <w:bCs/>
          <w:color w:val="000000" w:themeColor="text1"/>
          <w:sz w:val="24"/>
          <w:szCs w:val="24"/>
        </w:rPr>
        <w:t>Geçerlilik</w:t>
      </w:r>
      <w:r w:rsidRPr="004C7694">
        <w:rPr>
          <w:rFonts w:ascii="Times New Roman" w:hAnsi="Times New Roman" w:cs="Times New Roman"/>
          <w:b/>
          <w:bCs/>
          <w:color w:val="000000" w:themeColor="text1"/>
          <w:spacing w:val="-2"/>
          <w:sz w:val="24"/>
          <w:szCs w:val="24"/>
        </w:rPr>
        <w:t xml:space="preserve"> </w:t>
      </w:r>
      <w:r w:rsidRPr="004C7694">
        <w:rPr>
          <w:rFonts w:ascii="Times New Roman" w:hAnsi="Times New Roman" w:cs="Times New Roman"/>
          <w:b/>
          <w:bCs/>
          <w:color w:val="000000" w:themeColor="text1"/>
          <w:sz w:val="24"/>
          <w:szCs w:val="24"/>
        </w:rPr>
        <w:t>ve</w:t>
      </w:r>
      <w:r w:rsidRPr="004C7694">
        <w:rPr>
          <w:rFonts w:ascii="Times New Roman" w:hAnsi="Times New Roman" w:cs="Times New Roman"/>
          <w:b/>
          <w:bCs/>
          <w:color w:val="000000" w:themeColor="text1"/>
          <w:spacing w:val="-4"/>
          <w:sz w:val="24"/>
          <w:szCs w:val="24"/>
        </w:rPr>
        <w:t xml:space="preserve"> </w:t>
      </w:r>
      <w:r w:rsidRPr="004C7694">
        <w:rPr>
          <w:rFonts w:ascii="Times New Roman" w:hAnsi="Times New Roman" w:cs="Times New Roman"/>
          <w:b/>
          <w:bCs/>
          <w:color w:val="000000" w:themeColor="text1"/>
          <w:spacing w:val="-2"/>
          <w:sz w:val="24"/>
          <w:szCs w:val="24"/>
        </w:rPr>
        <w:t>Güvenilirlik</w:t>
      </w:r>
    </w:p>
    <w:p w14:paraId="37AF708E" w14:textId="77777777" w:rsidR="00FF4BC0" w:rsidRDefault="00FF4BC0" w:rsidP="00BA67A6">
      <w:pPr>
        <w:pStyle w:val="GvdeMetni"/>
        <w:ind w:right="158"/>
        <w:jc w:val="both"/>
      </w:pPr>
      <w:r w:rsidRPr="00B24CA3">
        <w:t>Bu çalışmada çeşitli stratejiler kullanılarak veri doğruluğu ve tutarlılığı sağlamlamıştır. Katılımcılar, geçerliliği artırmak için veri toplama sırasında görüşlerini açık ve ayrıntılı bir şekilde ifade etmelerini için hem önceden pilot çalışma yapılmış hem de istedikleri dilinde görüşmenin gerçekleşmesini izin verilmiştir.</w:t>
      </w:r>
    </w:p>
    <w:p w14:paraId="17DBBEA4" w14:textId="77777777" w:rsidR="004C7694" w:rsidRPr="00B24CA3" w:rsidRDefault="004C7694" w:rsidP="00BA67A6">
      <w:pPr>
        <w:pStyle w:val="GvdeMetni"/>
        <w:ind w:right="158"/>
        <w:jc w:val="both"/>
      </w:pPr>
    </w:p>
    <w:p w14:paraId="607DCF1A" w14:textId="77777777" w:rsidR="00FF4BC0" w:rsidRDefault="00FF4BC0" w:rsidP="00BA67A6">
      <w:pPr>
        <w:pStyle w:val="GvdeMetni"/>
        <w:ind w:right="164"/>
        <w:jc w:val="both"/>
      </w:pPr>
      <w:r w:rsidRPr="00B24CA3">
        <w:t>Güvenilirliği</w:t>
      </w:r>
      <w:r w:rsidRPr="00B24CA3">
        <w:rPr>
          <w:spacing w:val="-6"/>
        </w:rPr>
        <w:t xml:space="preserve"> </w:t>
      </w:r>
      <w:r w:rsidRPr="00B24CA3">
        <w:t>sağlamak</w:t>
      </w:r>
      <w:r w:rsidRPr="00B24CA3">
        <w:rPr>
          <w:spacing w:val="-4"/>
        </w:rPr>
        <w:t xml:space="preserve"> </w:t>
      </w:r>
      <w:r w:rsidRPr="00B24CA3">
        <w:t>için</w:t>
      </w:r>
      <w:r w:rsidRPr="00B24CA3">
        <w:rPr>
          <w:spacing w:val="-4"/>
        </w:rPr>
        <w:t xml:space="preserve"> </w:t>
      </w:r>
      <w:r w:rsidRPr="00B24CA3">
        <w:t>ise</w:t>
      </w:r>
      <w:r w:rsidRPr="00B24CA3">
        <w:rPr>
          <w:spacing w:val="-6"/>
        </w:rPr>
        <w:t xml:space="preserve"> </w:t>
      </w:r>
      <w:r w:rsidRPr="00B24CA3">
        <w:t>veri</w:t>
      </w:r>
      <w:r w:rsidRPr="00B24CA3">
        <w:rPr>
          <w:spacing w:val="-6"/>
        </w:rPr>
        <w:t xml:space="preserve"> </w:t>
      </w:r>
      <w:r w:rsidRPr="00B24CA3">
        <w:t>analizi</w:t>
      </w:r>
      <w:r w:rsidRPr="00B24CA3">
        <w:rPr>
          <w:spacing w:val="-6"/>
        </w:rPr>
        <w:t xml:space="preserve"> </w:t>
      </w:r>
      <w:r w:rsidRPr="00B24CA3">
        <w:t>sürecinde</w:t>
      </w:r>
      <w:r w:rsidRPr="00B24CA3">
        <w:rPr>
          <w:spacing w:val="-2"/>
        </w:rPr>
        <w:t xml:space="preserve"> </w:t>
      </w:r>
      <w:r w:rsidRPr="00B24CA3">
        <w:t>kodlama</w:t>
      </w:r>
      <w:r w:rsidRPr="00B24CA3">
        <w:rPr>
          <w:spacing w:val="-6"/>
        </w:rPr>
        <w:t xml:space="preserve"> </w:t>
      </w:r>
      <w:r w:rsidRPr="00B24CA3">
        <w:t>işlemi</w:t>
      </w:r>
      <w:r w:rsidRPr="00B24CA3">
        <w:rPr>
          <w:spacing w:val="-6"/>
        </w:rPr>
        <w:t xml:space="preserve"> </w:t>
      </w:r>
      <w:r w:rsidRPr="00B24CA3">
        <w:t>dikkatlice</w:t>
      </w:r>
      <w:r w:rsidRPr="00B24CA3">
        <w:rPr>
          <w:spacing w:val="-6"/>
        </w:rPr>
        <w:t xml:space="preserve"> </w:t>
      </w:r>
      <w:r w:rsidRPr="00B24CA3">
        <w:t>yürütülmüş</w:t>
      </w:r>
      <w:r w:rsidRPr="00B24CA3">
        <w:rPr>
          <w:spacing w:val="-4"/>
        </w:rPr>
        <w:t xml:space="preserve"> </w:t>
      </w:r>
      <w:r w:rsidRPr="00B24CA3">
        <w:t>ve temalar sistematik bir şekilde belirlenmiştir. Verilerin doğruluğunu artırmak amacıyla, analiz sürecinde</w:t>
      </w:r>
      <w:r w:rsidRPr="00B24CA3">
        <w:rPr>
          <w:spacing w:val="-15"/>
        </w:rPr>
        <w:t xml:space="preserve"> </w:t>
      </w:r>
      <w:r w:rsidRPr="00B24CA3">
        <w:t>birden</w:t>
      </w:r>
      <w:r w:rsidRPr="00B24CA3">
        <w:rPr>
          <w:spacing w:val="-15"/>
        </w:rPr>
        <w:t xml:space="preserve"> </w:t>
      </w:r>
      <w:r w:rsidRPr="00B24CA3">
        <w:t>fazla</w:t>
      </w:r>
      <w:r w:rsidRPr="00B24CA3">
        <w:rPr>
          <w:spacing w:val="-15"/>
        </w:rPr>
        <w:t xml:space="preserve"> </w:t>
      </w:r>
      <w:r w:rsidRPr="00B24CA3">
        <w:t>bakış</w:t>
      </w:r>
      <w:r w:rsidRPr="00B24CA3">
        <w:rPr>
          <w:spacing w:val="-15"/>
        </w:rPr>
        <w:t xml:space="preserve"> </w:t>
      </w:r>
      <w:r w:rsidRPr="00B24CA3">
        <w:t>açısı</w:t>
      </w:r>
      <w:r w:rsidRPr="00B24CA3">
        <w:rPr>
          <w:spacing w:val="-15"/>
        </w:rPr>
        <w:t xml:space="preserve"> </w:t>
      </w:r>
      <w:r w:rsidRPr="00B24CA3">
        <w:t>göz</w:t>
      </w:r>
      <w:r w:rsidRPr="00B24CA3">
        <w:rPr>
          <w:spacing w:val="-15"/>
        </w:rPr>
        <w:t xml:space="preserve"> </w:t>
      </w:r>
      <w:r w:rsidRPr="00B24CA3">
        <w:t>önünde</w:t>
      </w:r>
      <w:r w:rsidRPr="00B24CA3">
        <w:rPr>
          <w:spacing w:val="-15"/>
        </w:rPr>
        <w:t xml:space="preserve"> </w:t>
      </w:r>
      <w:r w:rsidRPr="00B24CA3">
        <w:t>bulundurulmuş</w:t>
      </w:r>
      <w:r w:rsidRPr="00B24CA3">
        <w:rPr>
          <w:spacing w:val="-15"/>
        </w:rPr>
        <w:t xml:space="preserve"> </w:t>
      </w:r>
      <w:r w:rsidRPr="00B24CA3">
        <w:t>ve</w:t>
      </w:r>
      <w:r w:rsidRPr="00B24CA3">
        <w:rPr>
          <w:spacing w:val="-15"/>
        </w:rPr>
        <w:t xml:space="preserve"> </w:t>
      </w:r>
      <w:r w:rsidRPr="00B24CA3">
        <w:t>farklı</w:t>
      </w:r>
      <w:r w:rsidRPr="00B24CA3">
        <w:rPr>
          <w:spacing w:val="-15"/>
        </w:rPr>
        <w:t xml:space="preserve"> </w:t>
      </w:r>
      <w:r w:rsidRPr="00B24CA3">
        <w:t>kaynaklardan</w:t>
      </w:r>
      <w:r w:rsidRPr="00B24CA3">
        <w:rPr>
          <w:spacing w:val="-15"/>
        </w:rPr>
        <w:t xml:space="preserve"> </w:t>
      </w:r>
      <w:r w:rsidRPr="00B24CA3">
        <w:t>elde</w:t>
      </w:r>
      <w:r w:rsidRPr="00B24CA3">
        <w:rPr>
          <w:spacing w:val="-15"/>
        </w:rPr>
        <w:t xml:space="preserve"> </w:t>
      </w:r>
      <w:r w:rsidRPr="00B24CA3">
        <w:t>edilen veriler karşılaştırılmıştır. Ayrıca, bazı katılımcılardan görüşme sonrasında geri bildirim alınarak verilerin doğruluğu teyit edilmiştir.</w:t>
      </w:r>
    </w:p>
    <w:p w14:paraId="3C9AF999" w14:textId="77777777" w:rsidR="004C7694" w:rsidRPr="00B24CA3" w:rsidRDefault="004C7694" w:rsidP="00BA67A6">
      <w:pPr>
        <w:pStyle w:val="GvdeMetni"/>
        <w:ind w:right="164"/>
        <w:jc w:val="both"/>
      </w:pPr>
    </w:p>
    <w:p w14:paraId="557EF847" w14:textId="77777777" w:rsidR="00FF4BC0" w:rsidRDefault="00FF4BC0" w:rsidP="00BA67A6">
      <w:pPr>
        <w:pStyle w:val="GvdeMetni"/>
        <w:ind w:right="164"/>
        <w:jc w:val="both"/>
      </w:pPr>
      <w:r w:rsidRPr="00B24CA3">
        <w:t>Verilerin güvenirliliği sağlamak amacıyla, veri analız boyunca kodlama süreci dikkatlice yürütüldü ve temalar sistematik olarak oluşturulmuştur. Analiz süreci boyunca çoklu bakış açıları dikkate alındı ve verilerin doğruluğunu artırmak için çeşitli kaynaklardan elde edilen veriler karşılaştırıldı. Ayrıca, bazı katılımcılar verilerin doğruluğunu teyit etmek için görüşmenin ardından geri bildirim sağladı. Bu titiz yaklaşım, verilerin doğru bir şekilde yorumlanmasını</w:t>
      </w:r>
      <w:r w:rsidRPr="00B24CA3">
        <w:rPr>
          <w:spacing w:val="-4"/>
        </w:rPr>
        <w:t xml:space="preserve"> </w:t>
      </w:r>
      <w:r w:rsidRPr="00B24CA3">
        <w:t>ve</w:t>
      </w:r>
      <w:r w:rsidRPr="00B24CA3">
        <w:rPr>
          <w:spacing w:val="-4"/>
        </w:rPr>
        <w:t xml:space="preserve"> </w:t>
      </w:r>
      <w:r w:rsidRPr="00B24CA3">
        <w:t>bulguların</w:t>
      </w:r>
      <w:r w:rsidRPr="00B24CA3">
        <w:rPr>
          <w:spacing w:val="-2"/>
        </w:rPr>
        <w:t xml:space="preserve"> </w:t>
      </w:r>
      <w:r w:rsidRPr="00B24CA3">
        <w:t>sağlam ve</w:t>
      </w:r>
      <w:r w:rsidRPr="00B24CA3">
        <w:rPr>
          <w:spacing w:val="-4"/>
        </w:rPr>
        <w:t xml:space="preserve"> </w:t>
      </w:r>
      <w:r w:rsidRPr="00B24CA3">
        <w:t>güvenilir</w:t>
      </w:r>
      <w:r w:rsidRPr="00B24CA3">
        <w:rPr>
          <w:spacing w:val="-2"/>
        </w:rPr>
        <w:t xml:space="preserve"> </w:t>
      </w:r>
      <w:r w:rsidRPr="00B24CA3">
        <w:t>olmasını</w:t>
      </w:r>
      <w:r w:rsidRPr="00B24CA3">
        <w:rPr>
          <w:spacing w:val="-4"/>
        </w:rPr>
        <w:t xml:space="preserve"> </w:t>
      </w:r>
      <w:r w:rsidRPr="00B24CA3">
        <w:t>sağladı. Sonuç</w:t>
      </w:r>
      <w:r w:rsidRPr="00B24CA3">
        <w:rPr>
          <w:spacing w:val="-4"/>
        </w:rPr>
        <w:t xml:space="preserve"> </w:t>
      </w:r>
      <w:r w:rsidRPr="00B24CA3">
        <w:t>olarak,</w:t>
      </w:r>
      <w:r w:rsidRPr="00B24CA3">
        <w:rPr>
          <w:spacing w:val="-2"/>
        </w:rPr>
        <w:t xml:space="preserve"> </w:t>
      </w:r>
      <w:r w:rsidRPr="00B24CA3">
        <w:t>çalışmanın sonuçları veriler tarafından iyi bir şekilde destekleniyor ve bu da güvenilirliklerini ve uygulanabilirliklerini artmıştır.</w:t>
      </w:r>
    </w:p>
    <w:p w14:paraId="0CFACEFB" w14:textId="77777777" w:rsidR="004C7694" w:rsidRPr="00B24CA3" w:rsidRDefault="004C7694" w:rsidP="00BA67A6">
      <w:pPr>
        <w:pStyle w:val="GvdeMetni"/>
        <w:ind w:right="164"/>
        <w:jc w:val="both"/>
      </w:pPr>
    </w:p>
    <w:p w14:paraId="0307A1D9" w14:textId="77777777" w:rsidR="00FF4BC0" w:rsidRPr="00800DA9" w:rsidRDefault="00FF4BC0" w:rsidP="00BA67A6">
      <w:pPr>
        <w:rPr>
          <w:b/>
          <w:bCs/>
        </w:rPr>
      </w:pPr>
      <w:r w:rsidRPr="00800DA9">
        <w:rPr>
          <w:b/>
          <w:bCs/>
        </w:rPr>
        <w:t>BULGULAR</w:t>
      </w:r>
    </w:p>
    <w:p w14:paraId="56D8C471" w14:textId="77777777" w:rsidR="00FF4BC0" w:rsidRPr="00CD75FE" w:rsidRDefault="00FF4BC0" w:rsidP="00BA67A6">
      <w:pPr>
        <w:pStyle w:val="Balk2"/>
        <w:spacing w:before="0" w:after="0"/>
        <w:jc w:val="both"/>
        <w:rPr>
          <w:rFonts w:ascii="Times New Roman" w:hAnsi="Times New Roman" w:cs="Times New Roman"/>
          <w:color w:val="000000" w:themeColor="text1"/>
          <w:sz w:val="24"/>
          <w:szCs w:val="24"/>
        </w:rPr>
      </w:pPr>
      <w:r w:rsidRPr="00CD75FE">
        <w:rPr>
          <w:rFonts w:ascii="Times New Roman" w:hAnsi="Times New Roman" w:cs="Times New Roman"/>
          <w:color w:val="000000" w:themeColor="text1"/>
          <w:sz w:val="24"/>
          <w:szCs w:val="24"/>
        </w:rPr>
        <w:t>Türkiye’ye</w:t>
      </w:r>
      <w:r w:rsidRPr="00CD75FE">
        <w:rPr>
          <w:rFonts w:ascii="Times New Roman" w:hAnsi="Times New Roman" w:cs="Times New Roman"/>
          <w:color w:val="000000" w:themeColor="text1"/>
          <w:spacing w:val="-7"/>
          <w:sz w:val="24"/>
          <w:szCs w:val="24"/>
        </w:rPr>
        <w:t xml:space="preserve"> </w:t>
      </w:r>
      <w:r w:rsidRPr="00CD75FE">
        <w:rPr>
          <w:rFonts w:ascii="Times New Roman" w:hAnsi="Times New Roman" w:cs="Times New Roman"/>
          <w:color w:val="000000" w:themeColor="text1"/>
          <w:sz w:val="24"/>
          <w:szCs w:val="24"/>
        </w:rPr>
        <w:t>gelmeden</w:t>
      </w:r>
      <w:r w:rsidRPr="00CD75FE">
        <w:rPr>
          <w:rFonts w:ascii="Times New Roman" w:hAnsi="Times New Roman" w:cs="Times New Roman"/>
          <w:color w:val="000000" w:themeColor="text1"/>
          <w:spacing w:val="-1"/>
          <w:sz w:val="24"/>
          <w:szCs w:val="24"/>
        </w:rPr>
        <w:t xml:space="preserve"> </w:t>
      </w:r>
      <w:r w:rsidRPr="00CD75FE">
        <w:rPr>
          <w:rFonts w:ascii="Times New Roman" w:hAnsi="Times New Roman" w:cs="Times New Roman"/>
          <w:color w:val="000000" w:themeColor="text1"/>
          <w:sz w:val="24"/>
          <w:szCs w:val="24"/>
        </w:rPr>
        <w:t>önceki</w:t>
      </w:r>
      <w:r w:rsidRPr="00CD75FE">
        <w:rPr>
          <w:rFonts w:ascii="Times New Roman" w:hAnsi="Times New Roman" w:cs="Times New Roman"/>
          <w:color w:val="000000" w:themeColor="text1"/>
          <w:spacing w:val="-2"/>
          <w:sz w:val="24"/>
          <w:szCs w:val="24"/>
        </w:rPr>
        <w:t xml:space="preserve"> </w:t>
      </w:r>
      <w:r w:rsidRPr="00CD75FE">
        <w:rPr>
          <w:rFonts w:ascii="Times New Roman" w:hAnsi="Times New Roman" w:cs="Times New Roman"/>
          <w:color w:val="000000" w:themeColor="text1"/>
          <w:sz w:val="24"/>
          <w:szCs w:val="24"/>
        </w:rPr>
        <w:t>uyum</w:t>
      </w:r>
      <w:r w:rsidRPr="00CD75FE">
        <w:rPr>
          <w:rFonts w:ascii="Times New Roman" w:hAnsi="Times New Roman" w:cs="Times New Roman"/>
          <w:color w:val="000000" w:themeColor="text1"/>
          <w:spacing w:val="-2"/>
          <w:sz w:val="24"/>
          <w:szCs w:val="24"/>
        </w:rPr>
        <w:t xml:space="preserve"> </w:t>
      </w:r>
      <w:r w:rsidRPr="00CD75FE">
        <w:rPr>
          <w:rFonts w:ascii="Times New Roman" w:hAnsi="Times New Roman" w:cs="Times New Roman"/>
          <w:color w:val="000000" w:themeColor="text1"/>
          <w:sz w:val="24"/>
          <w:szCs w:val="24"/>
        </w:rPr>
        <w:t>süreci</w:t>
      </w:r>
      <w:r w:rsidRPr="00CD75FE">
        <w:rPr>
          <w:rFonts w:ascii="Times New Roman" w:hAnsi="Times New Roman" w:cs="Times New Roman"/>
          <w:color w:val="000000" w:themeColor="text1"/>
          <w:spacing w:val="-5"/>
          <w:sz w:val="24"/>
          <w:szCs w:val="24"/>
        </w:rPr>
        <w:t xml:space="preserve"> </w:t>
      </w:r>
      <w:r w:rsidRPr="00CD75FE">
        <w:rPr>
          <w:rFonts w:ascii="Times New Roman" w:hAnsi="Times New Roman" w:cs="Times New Roman"/>
          <w:color w:val="000000" w:themeColor="text1"/>
          <w:sz w:val="24"/>
          <w:szCs w:val="24"/>
        </w:rPr>
        <w:t>ilişkin</w:t>
      </w:r>
      <w:r w:rsidRPr="00CD75FE">
        <w:rPr>
          <w:rFonts w:ascii="Times New Roman" w:hAnsi="Times New Roman" w:cs="Times New Roman"/>
          <w:color w:val="000000" w:themeColor="text1"/>
          <w:spacing w:val="-1"/>
          <w:sz w:val="24"/>
          <w:szCs w:val="24"/>
        </w:rPr>
        <w:t xml:space="preserve"> </w:t>
      </w:r>
      <w:r w:rsidRPr="00CD75FE">
        <w:rPr>
          <w:rFonts w:ascii="Times New Roman" w:hAnsi="Times New Roman" w:cs="Times New Roman"/>
          <w:color w:val="000000" w:themeColor="text1"/>
          <w:sz w:val="24"/>
          <w:szCs w:val="24"/>
        </w:rPr>
        <w:t>algıları,</w:t>
      </w:r>
      <w:r w:rsidRPr="00CD75FE">
        <w:rPr>
          <w:rFonts w:ascii="Times New Roman" w:hAnsi="Times New Roman" w:cs="Times New Roman"/>
          <w:color w:val="000000" w:themeColor="text1"/>
          <w:spacing w:val="-3"/>
          <w:sz w:val="24"/>
          <w:szCs w:val="24"/>
        </w:rPr>
        <w:t xml:space="preserve"> </w:t>
      </w:r>
      <w:r w:rsidRPr="00CD75FE">
        <w:rPr>
          <w:rFonts w:ascii="Times New Roman" w:hAnsi="Times New Roman" w:cs="Times New Roman"/>
          <w:color w:val="000000" w:themeColor="text1"/>
          <w:sz w:val="24"/>
          <w:szCs w:val="24"/>
        </w:rPr>
        <w:t>beklentileri</w:t>
      </w:r>
      <w:r w:rsidRPr="00CD75FE">
        <w:rPr>
          <w:rFonts w:ascii="Times New Roman" w:hAnsi="Times New Roman" w:cs="Times New Roman"/>
          <w:color w:val="000000" w:themeColor="text1"/>
          <w:spacing w:val="-4"/>
          <w:sz w:val="24"/>
          <w:szCs w:val="24"/>
        </w:rPr>
        <w:t xml:space="preserve"> </w:t>
      </w:r>
      <w:r w:rsidRPr="00CD75FE">
        <w:rPr>
          <w:rFonts w:ascii="Times New Roman" w:hAnsi="Times New Roman" w:cs="Times New Roman"/>
          <w:color w:val="000000" w:themeColor="text1"/>
          <w:sz w:val="24"/>
          <w:szCs w:val="24"/>
        </w:rPr>
        <w:t>ve</w:t>
      </w:r>
      <w:r w:rsidRPr="00CD75FE">
        <w:rPr>
          <w:rFonts w:ascii="Times New Roman" w:hAnsi="Times New Roman" w:cs="Times New Roman"/>
          <w:color w:val="000000" w:themeColor="text1"/>
          <w:spacing w:val="-4"/>
          <w:sz w:val="24"/>
          <w:szCs w:val="24"/>
        </w:rPr>
        <w:t xml:space="preserve"> </w:t>
      </w:r>
      <w:r w:rsidRPr="00CD75FE">
        <w:rPr>
          <w:rFonts w:ascii="Times New Roman" w:hAnsi="Times New Roman" w:cs="Times New Roman"/>
          <w:color w:val="000000" w:themeColor="text1"/>
          <w:spacing w:val="-2"/>
          <w:sz w:val="24"/>
          <w:szCs w:val="24"/>
        </w:rPr>
        <w:t>deneyimleri</w:t>
      </w:r>
    </w:p>
    <w:p w14:paraId="7F9FC676" w14:textId="2F8DA0F8" w:rsidR="004C7694" w:rsidRPr="00B24CA3" w:rsidRDefault="00FF4BC0" w:rsidP="00BA67A6">
      <w:pPr>
        <w:pStyle w:val="GvdeMetni"/>
        <w:ind w:right="162"/>
        <w:jc w:val="both"/>
      </w:pPr>
      <w:r w:rsidRPr="00B24CA3">
        <w:t>Öğrencilerin</w:t>
      </w:r>
      <w:r w:rsidRPr="00B24CA3">
        <w:rPr>
          <w:spacing w:val="-13"/>
        </w:rPr>
        <w:t xml:space="preserve"> </w:t>
      </w:r>
      <w:r w:rsidRPr="00B24CA3">
        <w:t>Türkiye’ye</w:t>
      </w:r>
      <w:r w:rsidRPr="00B24CA3">
        <w:rPr>
          <w:spacing w:val="-14"/>
        </w:rPr>
        <w:t xml:space="preserve"> </w:t>
      </w:r>
      <w:r w:rsidRPr="00B24CA3">
        <w:t>gelmeden</w:t>
      </w:r>
      <w:r w:rsidRPr="00B24CA3">
        <w:rPr>
          <w:spacing w:val="-13"/>
        </w:rPr>
        <w:t xml:space="preserve"> </w:t>
      </w:r>
      <w:r w:rsidRPr="00B24CA3">
        <w:t>önceki</w:t>
      </w:r>
      <w:r w:rsidRPr="00B24CA3">
        <w:rPr>
          <w:spacing w:val="-14"/>
        </w:rPr>
        <w:t xml:space="preserve"> </w:t>
      </w:r>
      <w:r w:rsidRPr="00B24CA3">
        <w:t>uyum</w:t>
      </w:r>
      <w:r w:rsidRPr="00B24CA3">
        <w:rPr>
          <w:spacing w:val="-14"/>
        </w:rPr>
        <w:t xml:space="preserve"> </w:t>
      </w:r>
      <w:r w:rsidRPr="00B24CA3">
        <w:t>süreci</w:t>
      </w:r>
      <w:r w:rsidRPr="00B24CA3">
        <w:rPr>
          <w:spacing w:val="-9"/>
        </w:rPr>
        <w:t xml:space="preserve"> </w:t>
      </w:r>
      <w:r w:rsidRPr="00B24CA3">
        <w:t>ile</w:t>
      </w:r>
      <w:r w:rsidRPr="00B24CA3">
        <w:rPr>
          <w:spacing w:val="-14"/>
        </w:rPr>
        <w:t xml:space="preserve"> </w:t>
      </w:r>
      <w:r w:rsidRPr="00B24CA3">
        <w:t>algıları</w:t>
      </w:r>
      <w:r w:rsidRPr="00B24CA3">
        <w:rPr>
          <w:spacing w:val="-13"/>
        </w:rPr>
        <w:t xml:space="preserve"> </w:t>
      </w:r>
      <w:r w:rsidRPr="00B24CA3">
        <w:t>ve</w:t>
      </w:r>
      <w:r w:rsidRPr="00B24CA3">
        <w:rPr>
          <w:spacing w:val="-14"/>
        </w:rPr>
        <w:t xml:space="preserve"> </w:t>
      </w:r>
      <w:r w:rsidRPr="00B24CA3">
        <w:t>beklentileri</w:t>
      </w:r>
      <w:r w:rsidRPr="00B24CA3">
        <w:rPr>
          <w:spacing w:val="-14"/>
        </w:rPr>
        <w:t xml:space="preserve"> </w:t>
      </w:r>
      <w:r w:rsidRPr="00B24CA3">
        <w:t>incelenmiştir. Katılımcıların</w:t>
      </w:r>
      <w:r w:rsidRPr="00B24CA3">
        <w:rPr>
          <w:spacing w:val="-15"/>
        </w:rPr>
        <w:t xml:space="preserve"> </w:t>
      </w:r>
      <w:r w:rsidRPr="00B24CA3">
        <w:t>çoğu</w:t>
      </w:r>
      <w:r w:rsidRPr="00B24CA3">
        <w:rPr>
          <w:spacing w:val="-15"/>
        </w:rPr>
        <w:t xml:space="preserve"> </w:t>
      </w:r>
      <w:r w:rsidRPr="00B24CA3">
        <w:t>daha</w:t>
      </w:r>
      <w:r w:rsidRPr="00B24CA3">
        <w:rPr>
          <w:spacing w:val="-15"/>
        </w:rPr>
        <w:t xml:space="preserve"> </w:t>
      </w:r>
      <w:r w:rsidRPr="00B24CA3">
        <w:t>önce</w:t>
      </w:r>
      <w:r w:rsidRPr="00B24CA3">
        <w:rPr>
          <w:spacing w:val="-15"/>
        </w:rPr>
        <w:t xml:space="preserve"> </w:t>
      </w:r>
      <w:r w:rsidRPr="00B24CA3">
        <w:t>başka</w:t>
      </w:r>
      <w:r w:rsidRPr="00B24CA3">
        <w:rPr>
          <w:spacing w:val="-15"/>
        </w:rPr>
        <w:t xml:space="preserve"> </w:t>
      </w:r>
      <w:r w:rsidRPr="00B24CA3">
        <w:t>yabancı</w:t>
      </w:r>
      <w:r w:rsidRPr="00B24CA3">
        <w:rPr>
          <w:spacing w:val="-15"/>
        </w:rPr>
        <w:t xml:space="preserve"> </w:t>
      </w:r>
      <w:r w:rsidRPr="00B24CA3">
        <w:t>ülkelerde</w:t>
      </w:r>
      <w:r w:rsidRPr="00B24CA3">
        <w:rPr>
          <w:spacing w:val="-15"/>
        </w:rPr>
        <w:t xml:space="preserve"> </w:t>
      </w:r>
      <w:r w:rsidRPr="00B24CA3">
        <w:t>bulunmadıklarından</w:t>
      </w:r>
      <w:r w:rsidRPr="00B24CA3">
        <w:rPr>
          <w:spacing w:val="-15"/>
        </w:rPr>
        <w:t xml:space="preserve"> </w:t>
      </w:r>
      <w:r w:rsidRPr="00B24CA3">
        <w:t>dolayı</w:t>
      </w:r>
      <w:r w:rsidRPr="00B24CA3">
        <w:rPr>
          <w:spacing w:val="-15"/>
        </w:rPr>
        <w:t xml:space="preserve"> </w:t>
      </w:r>
      <w:r w:rsidRPr="00B24CA3">
        <w:t>uyum</w:t>
      </w:r>
      <w:r w:rsidRPr="00B24CA3">
        <w:rPr>
          <w:spacing w:val="-15"/>
        </w:rPr>
        <w:t xml:space="preserve"> </w:t>
      </w:r>
      <w:r w:rsidRPr="00B24CA3">
        <w:t xml:space="preserve">süreci </w:t>
      </w:r>
      <w:r w:rsidRPr="00B24CA3">
        <w:lastRenderedPageBreak/>
        <w:t>ile ilişkin sadece uyum sürecin kolay olmayacağını düşünmüşler ve bu süreçte yaşanabilecek zorlukları azalmak için çeşitli hazırlıklar yaptıklarını tespit edilmiştir. Özellikle dil engellerin aşılması ve kültürel farkındalık oluşturulması için çeşitli yollar başvurulmuştur. Aşağıda katılımcıların İngilizceden çevrilip düzenlenmiş ifadeler yer almaktadır.</w:t>
      </w:r>
    </w:p>
    <w:p w14:paraId="5856DFD1" w14:textId="77777777" w:rsidR="00FF4BC0" w:rsidRPr="00B24CA3" w:rsidRDefault="00FF4BC0" w:rsidP="00BA67A6">
      <w:pPr>
        <w:pStyle w:val="GvdeMetni"/>
        <w:ind w:right="157" w:firstLine="60"/>
        <w:jc w:val="both"/>
      </w:pPr>
      <w:r w:rsidRPr="00B24CA3">
        <w:t>I.S.2</w:t>
      </w:r>
      <w:r w:rsidRPr="00B24CA3">
        <w:rPr>
          <w:spacing w:val="-10"/>
        </w:rPr>
        <w:t xml:space="preserve"> </w:t>
      </w:r>
      <w:r w:rsidRPr="00B24CA3">
        <w:t>...Türkçe</w:t>
      </w:r>
      <w:r w:rsidRPr="00B24CA3">
        <w:rPr>
          <w:spacing w:val="-11"/>
        </w:rPr>
        <w:t xml:space="preserve"> </w:t>
      </w:r>
      <w:r w:rsidRPr="00B24CA3">
        <w:t>hazırlığı</w:t>
      </w:r>
      <w:r w:rsidRPr="00B24CA3">
        <w:rPr>
          <w:spacing w:val="-11"/>
        </w:rPr>
        <w:t xml:space="preserve"> </w:t>
      </w:r>
      <w:r w:rsidRPr="00B24CA3">
        <w:t>bitene</w:t>
      </w:r>
      <w:r w:rsidRPr="00B24CA3">
        <w:rPr>
          <w:spacing w:val="-11"/>
        </w:rPr>
        <w:t xml:space="preserve"> </w:t>
      </w:r>
      <w:r w:rsidRPr="00B24CA3">
        <w:t>kadar</w:t>
      </w:r>
      <w:r w:rsidRPr="00B24CA3">
        <w:rPr>
          <w:spacing w:val="-10"/>
        </w:rPr>
        <w:t xml:space="preserve"> </w:t>
      </w:r>
      <w:r w:rsidRPr="00B24CA3">
        <w:t>zorluk</w:t>
      </w:r>
      <w:r w:rsidRPr="00B24CA3">
        <w:rPr>
          <w:spacing w:val="-10"/>
        </w:rPr>
        <w:t xml:space="preserve"> </w:t>
      </w:r>
      <w:r w:rsidRPr="00B24CA3">
        <w:t>yaşayacağımı</w:t>
      </w:r>
      <w:r w:rsidRPr="00B24CA3">
        <w:rPr>
          <w:spacing w:val="-11"/>
        </w:rPr>
        <w:t xml:space="preserve"> </w:t>
      </w:r>
      <w:r w:rsidRPr="00B24CA3">
        <w:t>düşünüyordum,</w:t>
      </w:r>
      <w:r w:rsidRPr="00B24CA3">
        <w:rPr>
          <w:spacing w:val="-10"/>
        </w:rPr>
        <w:t xml:space="preserve"> </w:t>
      </w:r>
      <w:r w:rsidRPr="00B24CA3">
        <w:t>ondan</w:t>
      </w:r>
      <w:r w:rsidRPr="00B24CA3">
        <w:rPr>
          <w:spacing w:val="-10"/>
        </w:rPr>
        <w:t xml:space="preserve"> </w:t>
      </w:r>
      <w:r w:rsidRPr="00B24CA3">
        <w:t>sonra</w:t>
      </w:r>
      <w:r w:rsidRPr="00B24CA3">
        <w:rPr>
          <w:spacing w:val="-7"/>
        </w:rPr>
        <w:t xml:space="preserve"> </w:t>
      </w:r>
      <w:r w:rsidRPr="00B24CA3">
        <w:t>Türkçe öğrendiğimde uyum sağlamakta sorun yaşayacağımı düşünmüyordum.</w:t>
      </w:r>
    </w:p>
    <w:p w14:paraId="17D53F67" w14:textId="77777777" w:rsidR="00FF4BC0" w:rsidRPr="00B24CA3" w:rsidRDefault="00FF4BC0" w:rsidP="00BA67A6">
      <w:pPr>
        <w:pStyle w:val="GvdeMetni"/>
        <w:ind w:left="508"/>
        <w:jc w:val="both"/>
      </w:pPr>
      <w:proofErr w:type="gramStart"/>
      <w:r w:rsidRPr="00B24CA3">
        <w:t>I.S.4</w:t>
      </w:r>
      <w:r w:rsidRPr="00B24CA3">
        <w:rPr>
          <w:spacing w:val="56"/>
        </w:rPr>
        <w:t xml:space="preserve">  </w:t>
      </w:r>
      <w:r w:rsidRPr="00B24CA3">
        <w:t>Türkiye’nin</w:t>
      </w:r>
      <w:proofErr w:type="gramEnd"/>
      <w:r w:rsidRPr="00B24CA3">
        <w:rPr>
          <w:spacing w:val="14"/>
        </w:rPr>
        <w:t xml:space="preserve"> </w:t>
      </w:r>
      <w:r w:rsidRPr="00B24CA3">
        <w:t>tarihini</w:t>
      </w:r>
      <w:r w:rsidRPr="00B24CA3">
        <w:rPr>
          <w:spacing w:val="13"/>
        </w:rPr>
        <w:t xml:space="preserve"> </w:t>
      </w:r>
      <w:r w:rsidRPr="00B24CA3">
        <w:t>lisedeyken</w:t>
      </w:r>
      <w:r w:rsidRPr="00B24CA3">
        <w:rPr>
          <w:spacing w:val="13"/>
        </w:rPr>
        <w:t xml:space="preserve"> </w:t>
      </w:r>
      <w:r w:rsidRPr="00B24CA3">
        <w:t>okuyorduk</w:t>
      </w:r>
      <w:r w:rsidRPr="00B24CA3">
        <w:rPr>
          <w:spacing w:val="13"/>
        </w:rPr>
        <w:t xml:space="preserve"> </w:t>
      </w:r>
      <w:r w:rsidRPr="00B24CA3">
        <w:t>ve</w:t>
      </w:r>
      <w:r w:rsidRPr="00B24CA3">
        <w:rPr>
          <w:spacing w:val="13"/>
        </w:rPr>
        <w:t xml:space="preserve"> </w:t>
      </w:r>
      <w:r w:rsidRPr="00B24CA3">
        <w:t>ondan</w:t>
      </w:r>
      <w:r w:rsidRPr="00B24CA3">
        <w:rPr>
          <w:spacing w:val="16"/>
        </w:rPr>
        <w:t xml:space="preserve"> </w:t>
      </w:r>
      <w:r w:rsidRPr="00B24CA3">
        <w:t>biraz</w:t>
      </w:r>
      <w:r w:rsidRPr="00B24CA3">
        <w:rPr>
          <w:spacing w:val="12"/>
        </w:rPr>
        <w:t xml:space="preserve"> </w:t>
      </w:r>
      <w:r w:rsidRPr="00B24CA3">
        <w:t>bilgim</w:t>
      </w:r>
      <w:r w:rsidRPr="00B24CA3">
        <w:rPr>
          <w:spacing w:val="12"/>
        </w:rPr>
        <w:t xml:space="preserve"> </w:t>
      </w:r>
      <w:r w:rsidRPr="00B24CA3">
        <w:t>var,</w:t>
      </w:r>
      <w:r w:rsidRPr="00B24CA3">
        <w:rPr>
          <w:spacing w:val="13"/>
        </w:rPr>
        <w:t xml:space="preserve"> </w:t>
      </w:r>
      <w:r w:rsidRPr="00B24CA3">
        <w:t>ama</w:t>
      </w:r>
      <w:r w:rsidRPr="00B24CA3">
        <w:rPr>
          <w:spacing w:val="13"/>
        </w:rPr>
        <w:t xml:space="preserve"> </w:t>
      </w:r>
      <w:r w:rsidRPr="00B24CA3">
        <w:rPr>
          <w:spacing w:val="-2"/>
        </w:rPr>
        <w:t>gelmeden</w:t>
      </w:r>
    </w:p>
    <w:p w14:paraId="6AEE0A2A" w14:textId="77777777" w:rsidR="00FF4BC0" w:rsidRPr="00B24CA3" w:rsidRDefault="00FF4BC0" w:rsidP="00BA67A6">
      <w:pPr>
        <w:pStyle w:val="GvdeMetni"/>
        <w:jc w:val="both"/>
      </w:pPr>
      <w:proofErr w:type="gramStart"/>
      <w:r w:rsidRPr="00B24CA3">
        <w:t>öncede</w:t>
      </w:r>
      <w:proofErr w:type="gramEnd"/>
      <w:r w:rsidRPr="00B24CA3">
        <w:rPr>
          <w:spacing w:val="-6"/>
        </w:rPr>
        <w:t xml:space="preserve"> </w:t>
      </w:r>
      <w:r w:rsidRPr="00B24CA3">
        <w:t>bir araştırma</w:t>
      </w:r>
      <w:r w:rsidRPr="00B24CA3">
        <w:rPr>
          <w:spacing w:val="-5"/>
        </w:rPr>
        <w:t xml:space="preserve"> </w:t>
      </w:r>
      <w:r w:rsidRPr="00B24CA3">
        <w:rPr>
          <w:spacing w:val="-2"/>
        </w:rPr>
        <w:t>yaptım.</w:t>
      </w:r>
    </w:p>
    <w:p w14:paraId="4908CC7E" w14:textId="77777777" w:rsidR="00FF4BC0" w:rsidRPr="00B24CA3" w:rsidRDefault="00FF4BC0" w:rsidP="00BA67A6">
      <w:pPr>
        <w:pStyle w:val="GvdeMetni"/>
        <w:ind w:right="165"/>
        <w:jc w:val="both"/>
      </w:pPr>
      <w:r w:rsidRPr="00B24CA3">
        <w:t>I.S.6.... Yeni ortama uyum sağlamak kolay olmayacağını biliyordum, ama ben daha Türk üniversitesin ’de okuduğum için kolay uyum sağlayacağını biliyordum.</w:t>
      </w:r>
    </w:p>
    <w:p w14:paraId="7199D284" w14:textId="77777777" w:rsidR="00FF4BC0" w:rsidRPr="00B24CA3" w:rsidRDefault="00FF4BC0" w:rsidP="00BA67A6">
      <w:pPr>
        <w:pStyle w:val="GvdeMetni"/>
        <w:ind w:right="157"/>
        <w:jc w:val="both"/>
      </w:pPr>
      <w:r w:rsidRPr="00B24CA3">
        <w:t>Genel olarak baktığımızda, katılımcıların çoğu Türkiye’ye gelmeden önce uyum hakkında endişelerin olduğunu ve bu edişlerinden gelmek için farklı yollara başvurduklarını anlaşılmaktadır. Ayrıca, katılımcıların önceden Türkiye’nin tarihi ve kültürü hakkında bilgili olduklarını ortaya çıkarılmıştır.</w:t>
      </w:r>
    </w:p>
    <w:p w14:paraId="352DFC81" w14:textId="77777777" w:rsidR="00FF4BC0" w:rsidRPr="00B24CA3" w:rsidRDefault="00FF4BC0" w:rsidP="00BA67A6">
      <w:pPr>
        <w:pStyle w:val="GvdeMetni"/>
        <w:jc w:val="both"/>
      </w:pPr>
    </w:p>
    <w:p w14:paraId="403C9F94" w14:textId="77777777" w:rsidR="00FF4BC0" w:rsidRPr="00800DA9" w:rsidRDefault="00FF4BC0" w:rsidP="00BA67A6">
      <w:pPr>
        <w:rPr>
          <w:b/>
          <w:bCs/>
        </w:rPr>
      </w:pPr>
      <w:r w:rsidRPr="00800DA9">
        <w:rPr>
          <w:b/>
          <w:bCs/>
        </w:rPr>
        <w:t>Şu</w:t>
      </w:r>
      <w:r w:rsidRPr="00800DA9">
        <w:rPr>
          <w:b/>
          <w:bCs/>
          <w:spacing w:val="-2"/>
        </w:rPr>
        <w:t xml:space="preserve"> </w:t>
      </w:r>
      <w:r w:rsidRPr="00800DA9">
        <w:rPr>
          <w:b/>
          <w:bCs/>
        </w:rPr>
        <w:t>anki</w:t>
      </w:r>
      <w:r w:rsidRPr="00800DA9">
        <w:rPr>
          <w:b/>
          <w:bCs/>
          <w:spacing w:val="-4"/>
        </w:rPr>
        <w:t xml:space="preserve"> </w:t>
      </w:r>
      <w:r w:rsidRPr="00800DA9">
        <w:rPr>
          <w:b/>
          <w:bCs/>
        </w:rPr>
        <w:t>duygu</w:t>
      </w:r>
      <w:r w:rsidRPr="00800DA9">
        <w:rPr>
          <w:b/>
          <w:bCs/>
          <w:spacing w:val="-1"/>
        </w:rPr>
        <w:t xml:space="preserve"> </w:t>
      </w:r>
      <w:r w:rsidRPr="00800DA9">
        <w:rPr>
          <w:b/>
          <w:bCs/>
        </w:rPr>
        <w:t>ve</w:t>
      </w:r>
      <w:r w:rsidRPr="00800DA9">
        <w:rPr>
          <w:b/>
          <w:bCs/>
          <w:spacing w:val="-4"/>
        </w:rPr>
        <w:t xml:space="preserve"> </w:t>
      </w:r>
      <w:r w:rsidRPr="00800DA9">
        <w:rPr>
          <w:b/>
          <w:bCs/>
        </w:rPr>
        <w:t>düşüncelere</w:t>
      </w:r>
      <w:r w:rsidRPr="00800DA9">
        <w:rPr>
          <w:b/>
          <w:bCs/>
          <w:spacing w:val="-4"/>
        </w:rPr>
        <w:t xml:space="preserve"> </w:t>
      </w:r>
      <w:r w:rsidRPr="00800DA9">
        <w:rPr>
          <w:b/>
          <w:bCs/>
        </w:rPr>
        <w:t>dair</w:t>
      </w:r>
      <w:r w:rsidRPr="00800DA9">
        <w:rPr>
          <w:b/>
          <w:bCs/>
          <w:spacing w:val="-4"/>
        </w:rPr>
        <w:t xml:space="preserve"> </w:t>
      </w:r>
      <w:r w:rsidRPr="00800DA9">
        <w:rPr>
          <w:b/>
          <w:bCs/>
          <w:spacing w:val="-2"/>
        </w:rPr>
        <w:t>bulgular</w:t>
      </w:r>
    </w:p>
    <w:p w14:paraId="70C2CBE0" w14:textId="77777777" w:rsidR="00FF4BC0" w:rsidRPr="00B24CA3" w:rsidRDefault="00FF4BC0" w:rsidP="00BA67A6">
      <w:pPr>
        <w:pStyle w:val="GvdeMetni"/>
        <w:ind w:right="158"/>
        <w:jc w:val="both"/>
      </w:pPr>
      <w:r w:rsidRPr="00B24CA3">
        <w:t>Yapılan görüşmede, katılımcıların çoğunun ilk günlere göre daha iyi, daha motive ve daha mutlu hissettekileri sonucu ortaya çıkmıştır. Zamanla dil sorunların azalmasıyla birlikte, toplumsal uyumunda daha fazla özgüven kazandıkları ve daha fazla şanslı oldukları tespit edilmiştir. Bunun yanı sıra, bazı katılımcıların hala dil sorunları yaşadığı, toplumla etkili bir iletişim kurmakta güçlük çektikleri ve bekledikleri düzeyde toplum tarafından kabul görmedikleri ifade edilmiştir.</w:t>
      </w:r>
    </w:p>
    <w:p w14:paraId="7C144BC7"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31AC17CA" w14:textId="77777777" w:rsidR="00FF4BC0" w:rsidRPr="00B24CA3" w:rsidRDefault="00FF4BC0" w:rsidP="00BA67A6">
      <w:pPr>
        <w:pStyle w:val="GvdeMetni"/>
        <w:tabs>
          <w:tab w:val="left" w:leader="dot" w:pos="1863"/>
        </w:tabs>
        <w:ind w:left="1048"/>
        <w:jc w:val="both"/>
      </w:pPr>
      <w:r w:rsidRPr="00B24CA3">
        <w:rPr>
          <w:spacing w:val="-2"/>
        </w:rPr>
        <w:t>I.S.5</w:t>
      </w:r>
      <w:r w:rsidRPr="00B24CA3">
        <w:tab/>
        <w:t>Daha</w:t>
      </w:r>
      <w:r w:rsidRPr="00B24CA3">
        <w:rPr>
          <w:spacing w:val="-6"/>
        </w:rPr>
        <w:t xml:space="preserve"> </w:t>
      </w:r>
      <w:r w:rsidRPr="00B24CA3">
        <w:t>kaliteli</w:t>
      </w:r>
      <w:r w:rsidRPr="00B24CA3">
        <w:rPr>
          <w:spacing w:val="-4"/>
        </w:rPr>
        <w:t xml:space="preserve"> </w:t>
      </w:r>
      <w:r w:rsidRPr="00B24CA3">
        <w:t>bir</w:t>
      </w:r>
      <w:r w:rsidRPr="00B24CA3">
        <w:rPr>
          <w:spacing w:val="-2"/>
        </w:rPr>
        <w:t xml:space="preserve"> </w:t>
      </w:r>
      <w:r w:rsidRPr="00B24CA3">
        <w:t>eğitim</w:t>
      </w:r>
      <w:r w:rsidRPr="00B24CA3">
        <w:rPr>
          <w:spacing w:val="1"/>
        </w:rPr>
        <w:t xml:space="preserve"> </w:t>
      </w:r>
      <w:r w:rsidRPr="00B24CA3">
        <w:t>almak</w:t>
      </w:r>
      <w:r w:rsidRPr="00B24CA3">
        <w:rPr>
          <w:spacing w:val="2"/>
        </w:rPr>
        <w:t xml:space="preserve"> </w:t>
      </w:r>
      <w:r w:rsidRPr="00B24CA3">
        <w:t>için</w:t>
      </w:r>
      <w:r w:rsidRPr="00B24CA3">
        <w:rPr>
          <w:spacing w:val="-2"/>
        </w:rPr>
        <w:t xml:space="preserve"> </w:t>
      </w:r>
      <w:r w:rsidRPr="00B24CA3">
        <w:t>geldim</w:t>
      </w:r>
      <w:r w:rsidRPr="00B24CA3">
        <w:rPr>
          <w:spacing w:val="-4"/>
        </w:rPr>
        <w:t xml:space="preserve"> </w:t>
      </w:r>
      <w:r w:rsidRPr="00B24CA3">
        <w:t>ve</w:t>
      </w:r>
      <w:r w:rsidRPr="00B24CA3">
        <w:rPr>
          <w:spacing w:val="-1"/>
        </w:rPr>
        <w:t xml:space="preserve"> </w:t>
      </w:r>
      <w:r w:rsidRPr="00B24CA3">
        <w:t>şu</w:t>
      </w:r>
      <w:r w:rsidRPr="00B24CA3">
        <w:rPr>
          <w:spacing w:val="-2"/>
        </w:rPr>
        <w:t xml:space="preserve"> </w:t>
      </w:r>
      <w:r w:rsidRPr="00B24CA3">
        <w:t>an</w:t>
      </w:r>
      <w:r w:rsidRPr="00B24CA3">
        <w:rPr>
          <w:spacing w:val="-2"/>
        </w:rPr>
        <w:t xml:space="preserve"> almaktayım.</w:t>
      </w:r>
    </w:p>
    <w:p w14:paraId="32197C05" w14:textId="77777777" w:rsidR="00FF4BC0" w:rsidRPr="00B24CA3" w:rsidRDefault="00FF4BC0" w:rsidP="00BA67A6">
      <w:pPr>
        <w:pStyle w:val="GvdeMetni"/>
        <w:ind w:left="1048"/>
        <w:jc w:val="both"/>
      </w:pPr>
      <w:r w:rsidRPr="00B24CA3">
        <w:t>I.S.6….</w:t>
      </w:r>
      <w:r w:rsidRPr="00B24CA3">
        <w:rPr>
          <w:spacing w:val="-1"/>
        </w:rPr>
        <w:t xml:space="preserve"> </w:t>
      </w:r>
      <w:r w:rsidRPr="00B24CA3">
        <w:t>İyi</w:t>
      </w:r>
      <w:r w:rsidRPr="00B24CA3">
        <w:rPr>
          <w:spacing w:val="-3"/>
        </w:rPr>
        <w:t xml:space="preserve"> </w:t>
      </w:r>
      <w:r w:rsidRPr="00B24CA3">
        <w:t>ki</w:t>
      </w:r>
      <w:r w:rsidRPr="00B24CA3">
        <w:rPr>
          <w:spacing w:val="-2"/>
        </w:rPr>
        <w:t xml:space="preserve"> </w:t>
      </w:r>
      <w:r w:rsidRPr="00B24CA3">
        <w:t>geldim,</w:t>
      </w:r>
      <w:r w:rsidRPr="00B24CA3">
        <w:rPr>
          <w:spacing w:val="-1"/>
        </w:rPr>
        <w:t xml:space="preserve"> </w:t>
      </w:r>
      <w:r w:rsidRPr="00B24CA3">
        <w:t>hayatımın en</w:t>
      </w:r>
      <w:r w:rsidRPr="00B24CA3">
        <w:rPr>
          <w:spacing w:val="-1"/>
        </w:rPr>
        <w:t xml:space="preserve"> </w:t>
      </w:r>
      <w:r w:rsidRPr="00B24CA3">
        <w:t xml:space="preserve">iyi </w:t>
      </w:r>
      <w:r w:rsidRPr="00B24CA3">
        <w:rPr>
          <w:spacing w:val="-2"/>
        </w:rPr>
        <w:t>dönemlerimdir.</w:t>
      </w:r>
    </w:p>
    <w:p w14:paraId="16B7AB47" w14:textId="77777777" w:rsidR="00FF4BC0" w:rsidRPr="004C7694" w:rsidRDefault="00FF4BC0">
      <w:pPr>
        <w:pStyle w:val="ListeParagraf"/>
        <w:numPr>
          <w:ilvl w:val="1"/>
          <w:numId w:val="29"/>
        </w:numPr>
        <w:tabs>
          <w:tab w:val="left" w:pos="1382"/>
        </w:tabs>
        <w:ind w:left="1382" w:hanging="334"/>
        <w:contextualSpacing w:val="0"/>
        <w:jc w:val="both"/>
      </w:pPr>
      <w:r w:rsidRPr="00B24CA3">
        <w:t>7….</w:t>
      </w:r>
      <w:r w:rsidRPr="00B24CA3">
        <w:rPr>
          <w:spacing w:val="-4"/>
        </w:rPr>
        <w:t xml:space="preserve"> </w:t>
      </w:r>
      <w:r w:rsidRPr="00B24CA3">
        <w:t>Hiç</w:t>
      </w:r>
      <w:r w:rsidRPr="00B24CA3">
        <w:rPr>
          <w:spacing w:val="-2"/>
        </w:rPr>
        <w:t xml:space="preserve"> </w:t>
      </w:r>
      <w:r w:rsidRPr="00B24CA3">
        <w:t>pişman</w:t>
      </w:r>
      <w:r w:rsidRPr="00B24CA3">
        <w:rPr>
          <w:spacing w:val="-1"/>
        </w:rPr>
        <w:t xml:space="preserve"> </w:t>
      </w:r>
      <w:r w:rsidRPr="00B24CA3">
        <w:t>değilim,</w:t>
      </w:r>
      <w:r w:rsidRPr="00B24CA3">
        <w:rPr>
          <w:spacing w:val="3"/>
        </w:rPr>
        <w:t xml:space="preserve"> </w:t>
      </w:r>
      <w:r w:rsidRPr="00B24CA3">
        <w:t>tabi</w:t>
      </w:r>
      <w:r w:rsidRPr="00B24CA3">
        <w:rPr>
          <w:spacing w:val="-2"/>
        </w:rPr>
        <w:t xml:space="preserve"> </w:t>
      </w:r>
      <w:r w:rsidRPr="00B24CA3">
        <w:t>birkaç</w:t>
      </w:r>
      <w:r w:rsidRPr="00B24CA3">
        <w:rPr>
          <w:spacing w:val="-3"/>
        </w:rPr>
        <w:t xml:space="preserve"> </w:t>
      </w:r>
      <w:r w:rsidRPr="00B24CA3">
        <w:t>sorunları</w:t>
      </w:r>
      <w:r w:rsidRPr="00B24CA3">
        <w:rPr>
          <w:spacing w:val="-3"/>
        </w:rPr>
        <w:t xml:space="preserve"> </w:t>
      </w:r>
      <w:r w:rsidRPr="00B24CA3">
        <w:t>yaşadım</w:t>
      </w:r>
      <w:r w:rsidRPr="00B24CA3">
        <w:rPr>
          <w:spacing w:val="-3"/>
        </w:rPr>
        <w:t xml:space="preserve"> </w:t>
      </w:r>
      <w:r w:rsidRPr="00B24CA3">
        <w:t>ama</w:t>
      </w:r>
      <w:r w:rsidRPr="00B24CA3">
        <w:rPr>
          <w:spacing w:val="-3"/>
        </w:rPr>
        <w:t xml:space="preserve"> </w:t>
      </w:r>
      <w:r w:rsidRPr="00B24CA3">
        <w:t>buna</w:t>
      </w:r>
      <w:r w:rsidRPr="00B24CA3">
        <w:rPr>
          <w:spacing w:val="-2"/>
        </w:rPr>
        <w:t xml:space="preserve"> değerdir.</w:t>
      </w:r>
    </w:p>
    <w:p w14:paraId="245BD7C9" w14:textId="77777777" w:rsidR="004C7694" w:rsidRPr="00B24CA3" w:rsidRDefault="004C7694" w:rsidP="004C7694">
      <w:pPr>
        <w:pStyle w:val="ListeParagraf"/>
        <w:tabs>
          <w:tab w:val="left" w:pos="1382"/>
        </w:tabs>
        <w:ind w:left="1382"/>
        <w:contextualSpacing w:val="0"/>
        <w:jc w:val="both"/>
      </w:pPr>
    </w:p>
    <w:p w14:paraId="1F328602" w14:textId="77777777" w:rsidR="00FF4BC0" w:rsidRDefault="00FF4BC0" w:rsidP="00BA67A6">
      <w:pPr>
        <w:pStyle w:val="GvdeMetni"/>
        <w:ind w:right="158"/>
        <w:jc w:val="both"/>
      </w:pPr>
      <w:r w:rsidRPr="00B24CA3">
        <w:t>Uluslararası öğrencilerin temel amacı, iyi bir eğitim alıp daha sonra ülkelerine ya da başka ülkeye göç edip daha iyi eğitim ve kariyer fırsatları elde etmektir. Bu amaçlarını gerçekleştirmek</w:t>
      </w:r>
      <w:r w:rsidRPr="00B24CA3">
        <w:rPr>
          <w:spacing w:val="-15"/>
        </w:rPr>
        <w:t xml:space="preserve"> </w:t>
      </w:r>
      <w:r w:rsidRPr="00B24CA3">
        <w:t>için</w:t>
      </w:r>
      <w:r w:rsidRPr="00B24CA3">
        <w:rPr>
          <w:spacing w:val="-15"/>
        </w:rPr>
        <w:t xml:space="preserve"> </w:t>
      </w:r>
      <w:r w:rsidRPr="00B24CA3">
        <w:t>daha</w:t>
      </w:r>
      <w:r w:rsidRPr="00B24CA3">
        <w:rPr>
          <w:spacing w:val="-15"/>
        </w:rPr>
        <w:t xml:space="preserve"> </w:t>
      </w:r>
      <w:r w:rsidRPr="00B24CA3">
        <w:t>kaliteli</w:t>
      </w:r>
      <w:r w:rsidRPr="00B24CA3">
        <w:rPr>
          <w:spacing w:val="-15"/>
        </w:rPr>
        <w:t xml:space="preserve"> </w:t>
      </w:r>
      <w:r w:rsidRPr="00B24CA3">
        <w:t>eğitim</w:t>
      </w:r>
      <w:r w:rsidRPr="00B24CA3">
        <w:rPr>
          <w:spacing w:val="-15"/>
        </w:rPr>
        <w:t xml:space="preserve"> </w:t>
      </w:r>
      <w:r w:rsidRPr="00B24CA3">
        <w:t>fırsatları</w:t>
      </w:r>
      <w:r w:rsidRPr="00B24CA3">
        <w:rPr>
          <w:spacing w:val="-15"/>
        </w:rPr>
        <w:t xml:space="preserve"> </w:t>
      </w:r>
      <w:r w:rsidRPr="00B24CA3">
        <w:t>bulduklarında,</w:t>
      </w:r>
      <w:r w:rsidRPr="00B24CA3">
        <w:rPr>
          <w:spacing w:val="-15"/>
        </w:rPr>
        <w:t xml:space="preserve"> </w:t>
      </w:r>
      <w:r w:rsidRPr="00B24CA3">
        <w:t>hedeflerine</w:t>
      </w:r>
      <w:r w:rsidRPr="00B24CA3">
        <w:rPr>
          <w:spacing w:val="-15"/>
        </w:rPr>
        <w:t xml:space="preserve"> </w:t>
      </w:r>
      <w:r w:rsidRPr="00B24CA3">
        <w:t>ulaşabilmek</w:t>
      </w:r>
      <w:r w:rsidRPr="00B24CA3">
        <w:rPr>
          <w:spacing w:val="-14"/>
        </w:rPr>
        <w:t xml:space="preserve"> </w:t>
      </w:r>
      <w:r w:rsidRPr="00B24CA3">
        <w:t>adına karşılaştıkları zorlukları aşma konusunda motivasyon ve yetkinlik sahibi oldukları görülmektedir. Türkiye’ye gelen yabancı öğrencilerin çoğu da kendi ülkelerindeki eğitimin Türkiye'ye kıyasla daha düşük seviyede olduğunu düşündükleri için bu ülkeyi tercih etmektedir. Katılımcılardan çoğu buradaki eğimi ve deneyimlerinden memnun olduklarını ifade ederken bir katılımcı kararsız olduğunu belirtmiştir.</w:t>
      </w:r>
    </w:p>
    <w:p w14:paraId="29B98C32" w14:textId="77777777" w:rsidR="004C7694" w:rsidRPr="00B24CA3" w:rsidRDefault="004C7694" w:rsidP="00BA67A6">
      <w:pPr>
        <w:pStyle w:val="GvdeMetni"/>
        <w:ind w:right="158"/>
        <w:jc w:val="both"/>
      </w:pPr>
    </w:p>
    <w:p w14:paraId="704BAB94" w14:textId="77777777" w:rsidR="00FF4BC0" w:rsidRPr="00800DA9" w:rsidRDefault="00FF4BC0" w:rsidP="00BA67A6">
      <w:pPr>
        <w:rPr>
          <w:b/>
          <w:bCs/>
        </w:rPr>
      </w:pPr>
      <w:r w:rsidRPr="00800DA9">
        <w:rPr>
          <w:b/>
          <w:bCs/>
        </w:rPr>
        <w:t>Uluslararası</w:t>
      </w:r>
      <w:r w:rsidRPr="00800DA9">
        <w:rPr>
          <w:b/>
          <w:bCs/>
          <w:spacing w:val="-7"/>
        </w:rPr>
        <w:t xml:space="preserve"> </w:t>
      </w:r>
      <w:r w:rsidRPr="00800DA9">
        <w:rPr>
          <w:b/>
          <w:bCs/>
        </w:rPr>
        <w:t>öğrencilerin</w:t>
      </w:r>
      <w:r w:rsidRPr="00800DA9">
        <w:rPr>
          <w:b/>
          <w:bCs/>
          <w:spacing w:val="-1"/>
        </w:rPr>
        <w:t xml:space="preserve"> </w:t>
      </w:r>
      <w:r w:rsidRPr="00800DA9">
        <w:rPr>
          <w:b/>
          <w:bCs/>
        </w:rPr>
        <w:t>yaşadıkları</w:t>
      </w:r>
      <w:r w:rsidRPr="00800DA9">
        <w:rPr>
          <w:b/>
          <w:bCs/>
          <w:spacing w:val="-5"/>
        </w:rPr>
        <w:t xml:space="preserve"> </w:t>
      </w:r>
      <w:r w:rsidRPr="00800DA9">
        <w:rPr>
          <w:b/>
          <w:bCs/>
        </w:rPr>
        <w:t>sosyal</w:t>
      </w:r>
      <w:r w:rsidRPr="00800DA9">
        <w:rPr>
          <w:b/>
          <w:bCs/>
          <w:spacing w:val="-4"/>
        </w:rPr>
        <w:t xml:space="preserve"> </w:t>
      </w:r>
      <w:r w:rsidRPr="00800DA9">
        <w:rPr>
          <w:b/>
          <w:bCs/>
        </w:rPr>
        <w:t>ve</w:t>
      </w:r>
      <w:r w:rsidRPr="00800DA9">
        <w:rPr>
          <w:b/>
          <w:bCs/>
          <w:spacing w:val="1"/>
        </w:rPr>
        <w:t xml:space="preserve"> </w:t>
      </w:r>
      <w:r w:rsidRPr="00800DA9">
        <w:rPr>
          <w:b/>
          <w:bCs/>
        </w:rPr>
        <w:t>akademik</w:t>
      </w:r>
      <w:r w:rsidRPr="00800DA9">
        <w:rPr>
          <w:b/>
          <w:bCs/>
          <w:spacing w:val="-2"/>
        </w:rPr>
        <w:t xml:space="preserve"> </w:t>
      </w:r>
      <w:r w:rsidRPr="00800DA9">
        <w:rPr>
          <w:b/>
          <w:bCs/>
        </w:rPr>
        <w:t>sorunlar</w:t>
      </w:r>
      <w:r w:rsidRPr="00800DA9">
        <w:rPr>
          <w:b/>
          <w:bCs/>
          <w:spacing w:val="-4"/>
        </w:rPr>
        <w:t xml:space="preserve"> </w:t>
      </w:r>
      <w:r w:rsidRPr="00800DA9">
        <w:rPr>
          <w:b/>
          <w:bCs/>
        </w:rPr>
        <w:t>dair</w:t>
      </w:r>
      <w:r w:rsidRPr="00800DA9">
        <w:rPr>
          <w:b/>
          <w:bCs/>
          <w:spacing w:val="-4"/>
        </w:rPr>
        <w:t xml:space="preserve"> </w:t>
      </w:r>
      <w:r w:rsidRPr="00800DA9">
        <w:rPr>
          <w:b/>
          <w:bCs/>
          <w:spacing w:val="-2"/>
        </w:rPr>
        <w:t>bulgular</w:t>
      </w:r>
    </w:p>
    <w:p w14:paraId="22023717" w14:textId="77777777" w:rsidR="00FF4BC0" w:rsidRDefault="00FF4BC0" w:rsidP="00BA67A6">
      <w:pPr>
        <w:pStyle w:val="GvdeMetni"/>
        <w:ind w:right="162"/>
        <w:jc w:val="both"/>
        <w:rPr>
          <w:spacing w:val="-2"/>
        </w:rPr>
      </w:pPr>
      <w:r w:rsidRPr="00B24CA3">
        <w:t>Ulaşım, iletişim, ekonomik gelişme, sosyal ve kültürel alanlardaki gelişme, zamanla birlikte, insanların</w:t>
      </w:r>
      <w:r w:rsidRPr="00B24CA3">
        <w:rPr>
          <w:spacing w:val="-1"/>
        </w:rPr>
        <w:t xml:space="preserve"> </w:t>
      </w:r>
      <w:r w:rsidRPr="00B24CA3">
        <w:t>kolayca</w:t>
      </w:r>
      <w:r w:rsidRPr="00B24CA3">
        <w:rPr>
          <w:spacing w:val="-2"/>
        </w:rPr>
        <w:t xml:space="preserve"> </w:t>
      </w:r>
      <w:r w:rsidRPr="00B24CA3">
        <w:t>birlikte</w:t>
      </w:r>
      <w:r w:rsidRPr="00B24CA3">
        <w:rPr>
          <w:spacing w:val="-2"/>
        </w:rPr>
        <w:t xml:space="preserve"> </w:t>
      </w:r>
      <w:r w:rsidRPr="00B24CA3">
        <w:t>iletişim</w:t>
      </w:r>
      <w:r w:rsidRPr="00B24CA3">
        <w:rPr>
          <w:spacing w:val="-1"/>
        </w:rPr>
        <w:t xml:space="preserve"> </w:t>
      </w:r>
      <w:r w:rsidRPr="00B24CA3">
        <w:t>kurmalarını</w:t>
      </w:r>
      <w:r w:rsidRPr="00B24CA3">
        <w:rPr>
          <w:spacing w:val="-1"/>
        </w:rPr>
        <w:t xml:space="preserve"> </w:t>
      </w:r>
      <w:r w:rsidRPr="00B24CA3">
        <w:t>sağlamıştır (Taylan,2019).</w:t>
      </w:r>
      <w:r w:rsidRPr="00B24CA3">
        <w:rPr>
          <w:spacing w:val="-1"/>
        </w:rPr>
        <w:t xml:space="preserve"> </w:t>
      </w:r>
      <w:r w:rsidRPr="00B24CA3">
        <w:t>İletişim</w:t>
      </w:r>
      <w:r w:rsidRPr="00B24CA3">
        <w:rPr>
          <w:spacing w:val="-1"/>
        </w:rPr>
        <w:t xml:space="preserve"> </w:t>
      </w:r>
      <w:r w:rsidRPr="00B24CA3">
        <w:t>olanakların yaygınlaşması,</w:t>
      </w:r>
      <w:r w:rsidRPr="00B24CA3">
        <w:rPr>
          <w:spacing w:val="-1"/>
        </w:rPr>
        <w:t xml:space="preserve"> </w:t>
      </w:r>
      <w:r w:rsidRPr="00B24CA3">
        <w:t>insanların</w:t>
      </w:r>
      <w:r w:rsidRPr="00B24CA3">
        <w:rPr>
          <w:spacing w:val="-2"/>
        </w:rPr>
        <w:t xml:space="preserve"> </w:t>
      </w:r>
      <w:r w:rsidRPr="00B24CA3">
        <w:t>yaşadıkları</w:t>
      </w:r>
      <w:r w:rsidRPr="00B24CA3">
        <w:rPr>
          <w:spacing w:val="-3"/>
        </w:rPr>
        <w:t xml:space="preserve"> </w:t>
      </w:r>
      <w:r w:rsidRPr="00B24CA3">
        <w:t>yerden</w:t>
      </w:r>
      <w:r w:rsidRPr="00B24CA3">
        <w:rPr>
          <w:spacing w:val="-1"/>
        </w:rPr>
        <w:t xml:space="preserve"> </w:t>
      </w:r>
      <w:r w:rsidRPr="00B24CA3">
        <w:t>memnun</w:t>
      </w:r>
      <w:r w:rsidRPr="00B24CA3">
        <w:rPr>
          <w:spacing w:val="-2"/>
        </w:rPr>
        <w:t xml:space="preserve"> </w:t>
      </w:r>
      <w:r w:rsidRPr="00B24CA3">
        <w:t>olmadıklarında</w:t>
      </w:r>
      <w:r w:rsidRPr="00B24CA3">
        <w:rPr>
          <w:spacing w:val="-3"/>
        </w:rPr>
        <w:t xml:space="preserve"> </w:t>
      </w:r>
      <w:r w:rsidRPr="00B24CA3">
        <w:t>alternatif</w:t>
      </w:r>
      <w:r w:rsidRPr="00B24CA3">
        <w:rPr>
          <w:spacing w:val="-1"/>
        </w:rPr>
        <w:t xml:space="preserve"> </w:t>
      </w:r>
      <w:r w:rsidRPr="00B24CA3">
        <w:t>arayışıyla</w:t>
      </w:r>
      <w:r w:rsidRPr="00B24CA3">
        <w:rPr>
          <w:spacing w:val="-3"/>
        </w:rPr>
        <w:t xml:space="preserve"> </w:t>
      </w:r>
      <w:r w:rsidRPr="00B24CA3">
        <w:t>göç etmelerini</w:t>
      </w:r>
      <w:r w:rsidRPr="00B24CA3">
        <w:rPr>
          <w:spacing w:val="-2"/>
        </w:rPr>
        <w:t xml:space="preserve"> </w:t>
      </w:r>
      <w:r w:rsidRPr="00B24CA3">
        <w:t>teşvik</w:t>
      </w:r>
      <w:r w:rsidRPr="00B24CA3">
        <w:rPr>
          <w:spacing w:val="-1"/>
        </w:rPr>
        <w:t xml:space="preserve"> </w:t>
      </w:r>
      <w:r w:rsidRPr="00B24CA3">
        <w:t>etmiştir.</w:t>
      </w:r>
      <w:r w:rsidRPr="00B24CA3">
        <w:rPr>
          <w:spacing w:val="-1"/>
        </w:rPr>
        <w:t xml:space="preserve"> </w:t>
      </w:r>
      <w:r w:rsidRPr="00B24CA3">
        <w:t>Bu</w:t>
      </w:r>
      <w:r w:rsidRPr="00B24CA3">
        <w:rPr>
          <w:spacing w:val="-1"/>
        </w:rPr>
        <w:t xml:space="preserve"> </w:t>
      </w:r>
      <w:r w:rsidRPr="00B24CA3">
        <w:t>bağlamda uluslararası öğrenciler</w:t>
      </w:r>
      <w:r w:rsidRPr="00B24CA3">
        <w:rPr>
          <w:spacing w:val="-1"/>
        </w:rPr>
        <w:t xml:space="preserve"> </w:t>
      </w:r>
      <w:r w:rsidRPr="00B24CA3">
        <w:t>de</w:t>
      </w:r>
      <w:r w:rsidRPr="00B24CA3">
        <w:rPr>
          <w:spacing w:val="-2"/>
        </w:rPr>
        <w:t xml:space="preserve"> </w:t>
      </w:r>
      <w:r w:rsidRPr="00B24CA3">
        <w:t>eğitim</w:t>
      </w:r>
      <w:r w:rsidRPr="00B24CA3">
        <w:rPr>
          <w:spacing w:val="-2"/>
        </w:rPr>
        <w:t xml:space="preserve"> </w:t>
      </w:r>
      <w:r w:rsidRPr="00B24CA3">
        <w:t xml:space="preserve">amacıyla yaşadıkları ülkeden başka ülkeye göç etmekte ve gittikleri ülkelerde dil engelleri, kültürel farklılıklar, akademik uyumlar, ekonomik sorunlar ve psikolojik sorunlar gibi birçok zorluklaralar </w:t>
      </w:r>
      <w:r w:rsidRPr="00B24CA3">
        <w:rPr>
          <w:spacing w:val="-2"/>
        </w:rPr>
        <w:t>karşılaşmaktadır.</w:t>
      </w:r>
    </w:p>
    <w:p w14:paraId="1B3D49F2" w14:textId="77777777" w:rsidR="004C7694" w:rsidRPr="00B24CA3" w:rsidRDefault="004C7694" w:rsidP="00BA67A6">
      <w:pPr>
        <w:pStyle w:val="GvdeMetni"/>
        <w:ind w:right="162"/>
        <w:jc w:val="both"/>
      </w:pPr>
    </w:p>
    <w:p w14:paraId="4A083D9A" w14:textId="77777777" w:rsidR="00FF4BC0" w:rsidRPr="00B24CA3" w:rsidRDefault="00FF4BC0" w:rsidP="00BA67A6">
      <w:pPr>
        <w:pStyle w:val="GvdeMetni"/>
        <w:jc w:val="both"/>
      </w:pPr>
      <w:r w:rsidRPr="00B24CA3">
        <w:t>Öğrencilerin</w:t>
      </w:r>
      <w:r w:rsidRPr="00B24CA3">
        <w:rPr>
          <w:spacing w:val="-6"/>
        </w:rPr>
        <w:t xml:space="preserve"> </w:t>
      </w:r>
      <w:r w:rsidRPr="00B24CA3">
        <w:t>görüşlerinden</w:t>
      </w:r>
      <w:r w:rsidRPr="00B24CA3">
        <w:rPr>
          <w:spacing w:val="-5"/>
        </w:rPr>
        <w:t xml:space="preserve"> </w:t>
      </w:r>
      <w:r w:rsidRPr="00B24CA3">
        <w:t>bazıları</w:t>
      </w:r>
      <w:r w:rsidRPr="00B24CA3">
        <w:rPr>
          <w:spacing w:val="-4"/>
        </w:rPr>
        <w:t xml:space="preserve"> </w:t>
      </w:r>
      <w:r w:rsidRPr="00B24CA3">
        <w:t>aşağıda</w:t>
      </w:r>
      <w:r w:rsidRPr="00B24CA3">
        <w:rPr>
          <w:spacing w:val="-7"/>
        </w:rPr>
        <w:t xml:space="preserve"> </w:t>
      </w:r>
      <w:r w:rsidRPr="00B24CA3">
        <w:rPr>
          <w:spacing w:val="-2"/>
        </w:rPr>
        <w:t>paylaşılmıştır.</w:t>
      </w:r>
    </w:p>
    <w:p w14:paraId="39302B64" w14:textId="77777777" w:rsidR="00FF4BC0" w:rsidRPr="00B24CA3" w:rsidRDefault="00FF4BC0">
      <w:pPr>
        <w:pStyle w:val="ListeParagraf"/>
        <w:numPr>
          <w:ilvl w:val="2"/>
          <w:numId w:val="29"/>
        </w:numPr>
        <w:tabs>
          <w:tab w:val="left" w:pos="1462"/>
        </w:tabs>
        <w:ind w:left="1462" w:hanging="834"/>
        <w:contextualSpacing w:val="0"/>
        <w:jc w:val="both"/>
      </w:pPr>
      <w:r w:rsidRPr="00B24CA3">
        <w:t>Sadece</w:t>
      </w:r>
      <w:r w:rsidRPr="00B24CA3">
        <w:rPr>
          <w:spacing w:val="3"/>
        </w:rPr>
        <w:t xml:space="preserve"> </w:t>
      </w:r>
      <w:r w:rsidRPr="00B24CA3">
        <w:t>birinci</w:t>
      </w:r>
      <w:r w:rsidRPr="00B24CA3">
        <w:rPr>
          <w:spacing w:val="5"/>
        </w:rPr>
        <w:t xml:space="preserve"> </w:t>
      </w:r>
      <w:r w:rsidRPr="00B24CA3">
        <w:t>sınıftayken</w:t>
      </w:r>
      <w:r w:rsidRPr="00B24CA3">
        <w:rPr>
          <w:spacing w:val="8"/>
        </w:rPr>
        <w:t xml:space="preserve"> </w:t>
      </w:r>
      <w:r w:rsidRPr="00B24CA3">
        <w:t>biraz</w:t>
      </w:r>
      <w:r w:rsidRPr="00B24CA3">
        <w:rPr>
          <w:spacing w:val="5"/>
        </w:rPr>
        <w:t xml:space="preserve"> </w:t>
      </w:r>
      <w:r w:rsidRPr="00B24CA3">
        <w:t>zorlandım,</w:t>
      </w:r>
      <w:r w:rsidRPr="00B24CA3">
        <w:rPr>
          <w:spacing w:val="6"/>
        </w:rPr>
        <w:t xml:space="preserve"> </w:t>
      </w:r>
      <w:r w:rsidRPr="00B24CA3">
        <w:t>benim</w:t>
      </w:r>
      <w:r w:rsidRPr="00B24CA3">
        <w:rPr>
          <w:spacing w:val="4"/>
        </w:rPr>
        <w:t xml:space="preserve"> </w:t>
      </w:r>
      <w:r w:rsidRPr="00B24CA3">
        <w:t>bölümünde</w:t>
      </w:r>
      <w:r w:rsidRPr="00B24CA3">
        <w:rPr>
          <w:spacing w:val="5"/>
        </w:rPr>
        <w:t xml:space="preserve"> </w:t>
      </w:r>
      <w:r w:rsidRPr="00B24CA3">
        <w:t>pek</w:t>
      </w:r>
      <w:r w:rsidRPr="00B24CA3">
        <w:rPr>
          <w:spacing w:val="6"/>
        </w:rPr>
        <w:t xml:space="preserve"> </w:t>
      </w:r>
      <w:r w:rsidRPr="00B24CA3">
        <w:t>fazla</w:t>
      </w:r>
      <w:r w:rsidRPr="00B24CA3">
        <w:rPr>
          <w:spacing w:val="8"/>
        </w:rPr>
        <w:t xml:space="preserve"> </w:t>
      </w:r>
      <w:r w:rsidRPr="00B24CA3">
        <w:t>dilin</w:t>
      </w:r>
      <w:r w:rsidRPr="00B24CA3">
        <w:rPr>
          <w:spacing w:val="6"/>
        </w:rPr>
        <w:t xml:space="preserve"> </w:t>
      </w:r>
      <w:r w:rsidRPr="00B24CA3">
        <w:rPr>
          <w:spacing w:val="-2"/>
        </w:rPr>
        <w:lastRenderedPageBreak/>
        <w:t>etkisi</w:t>
      </w:r>
    </w:p>
    <w:p w14:paraId="07FD6B21" w14:textId="77777777" w:rsidR="00FF4BC0" w:rsidRPr="00B24CA3" w:rsidRDefault="00FF4BC0" w:rsidP="00BA67A6">
      <w:pPr>
        <w:pStyle w:val="GvdeMetni"/>
        <w:jc w:val="both"/>
      </w:pPr>
      <w:proofErr w:type="gramStart"/>
      <w:r w:rsidRPr="00B24CA3">
        <w:rPr>
          <w:spacing w:val="-2"/>
        </w:rPr>
        <w:t>yoktur</w:t>
      </w:r>
      <w:proofErr w:type="gramEnd"/>
      <w:r w:rsidRPr="00B24CA3">
        <w:rPr>
          <w:spacing w:val="-2"/>
        </w:rPr>
        <w:t>.</w:t>
      </w:r>
    </w:p>
    <w:p w14:paraId="200395A0" w14:textId="77777777" w:rsidR="00FF4BC0" w:rsidRPr="00B24CA3" w:rsidRDefault="00FF4BC0" w:rsidP="00BA67A6">
      <w:pPr>
        <w:pStyle w:val="GvdeMetni"/>
        <w:tabs>
          <w:tab w:val="left" w:leader="dot" w:pos="1433"/>
        </w:tabs>
        <w:ind w:left="688"/>
        <w:jc w:val="both"/>
      </w:pPr>
      <w:r w:rsidRPr="00B24CA3">
        <w:rPr>
          <w:spacing w:val="-2"/>
        </w:rPr>
        <w:t>I.S.3.</w:t>
      </w:r>
      <w:r w:rsidRPr="00B24CA3">
        <w:tab/>
        <w:t>Yemek</w:t>
      </w:r>
      <w:r w:rsidRPr="00B24CA3">
        <w:rPr>
          <w:spacing w:val="-16"/>
        </w:rPr>
        <w:t xml:space="preserve"> </w:t>
      </w:r>
      <w:r w:rsidRPr="00B24CA3">
        <w:t>kültürü</w:t>
      </w:r>
      <w:r w:rsidRPr="00B24CA3">
        <w:rPr>
          <w:spacing w:val="-13"/>
        </w:rPr>
        <w:t xml:space="preserve"> </w:t>
      </w:r>
      <w:r w:rsidRPr="00B24CA3">
        <w:t>beni</w:t>
      </w:r>
      <w:r w:rsidRPr="00B24CA3">
        <w:rPr>
          <w:spacing w:val="-15"/>
        </w:rPr>
        <w:t xml:space="preserve"> </w:t>
      </w:r>
      <w:r w:rsidRPr="00B24CA3">
        <w:t>en</w:t>
      </w:r>
      <w:r w:rsidRPr="00B24CA3">
        <w:rPr>
          <w:spacing w:val="-14"/>
        </w:rPr>
        <w:t xml:space="preserve"> </w:t>
      </w:r>
      <w:r w:rsidRPr="00B24CA3">
        <w:t>çok</w:t>
      </w:r>
      <w:r w:rsidRPr="00B24CA3">
        <w:rPr>
          <w:spacing w:val="-15"/>
        </w:rPr>
        <w:t xml:space="preserve"> </w:t>
      </w:r>
      <w:r w:rsidRPr="00B24CA3">
        <w:t>zorlayan</w:t>
      </w:r>
      <w:r w:rsidRPr="00B24CA3">
        <w:rPr>
          <w:spacing w:val="-14"/>
        </w:rPr>
        <w:t xml:space="preserve"> </w:t>
      </w:r>
      <w:r w:rsidRPr="00B24CA3">
        <w:t>oldu,</w:t>
      </w:r>
      <w:r w:rsidRPr="00B24CA3">
        <w:rPr>
          <w:spacing w:val="-11"/>
        </w:rPr>
        <w:t xml:space="preserve"> </w:t>
      </w:r>
      <w:r w:rsidRPr="00B24CA3">
        <w:t>sırf</w:t>
      </w:r>
      <w:r w:rsidRPr="00B24CA3">
        <w:rPr>
          <w:spacing w:val="-14"/>
        </w:rPr>
        <w:t xml:space="preserve"> </w:t>
      </w:r>
      <w:r w:rsidRPr="00B24CA3">
        <w:t>kendi</w:t>
      </w:r>
      <w:r w:rsidRPr="00B24CA3">
        <w:rPr>
          <w:spacing w:val="-15"/>
        </w:rPr>
        <w:t xml:space="preserve"> </w:t>
      </w:r>
      <w:r w:rsidRPr="00B24CA3">
        <w:t>yemeklerimi</w:t>
      </w:r>
      <w:r w:rsidRPr="00B24CA3">
        <w:rPr>
          <w:spacing w:val="-15"/>
        </w:rPr>
        <w:t xml:space="preserve"> </w:t>
      </w:r>
      <w:r w:rsidRPr="00B24CA3">
        <w:t>pişirmek</w:t>
      </w:r>
      <w:r w:rsidRPr="00B24CA3">
        <w:rPr>
          <w:spacing w:val="-14"/>
        </w:rPr>
        <w:t xml:space="preserve"> </w:t>
      </w:r>
      <w:r w:rsidRPr="00B24CA3">
        <w:t>için</w:t>
      </w:r>
      <w:r w:rsidRPr="00B24CA3">
        <w:rPr>
          <w:spacing w:val="-14"/>
        </w:rPr>
        <w:t xml:space="preserve"> </w:t>
      </w:r>
      <w:r w:rsidRPr="00B24CA3">
        <w:rPr>
          <w:spacing w:val="-5"/>
        </w:rPr>
        <w:t>KYK</w:t>
      </w:r>
    </w:p>
    <w:p w14:paraId="448FDD49" w14:textId="77777777" w:rsidR="00FF4BC0" w:rsidRPr="00B24CA3" w:rsidRDefault="00FF4BC0" w:rsidP="00BA67A6">
      <w:pPr>
        <w:pStyle w:val="GvdeMetni"/>
        <w:jc w:val="both"/>
      </w:pPr>
      <w:r w:rsidRPr="00B24CA3">
        <w:t>‘</w:t>
      </w:r>
      <w:proofErr w:type="gramStart"/>
      <w:r w:rsidRPr="00B24CA3">
        <w:t>den</w:t>
      </w:r>
      <w:proofErr w:type="gramEnd"/>
      <w:r w:rsidRPr="00B24CA3">
        <w:rPr>
          <w:spacing w:val="-3"/>
        </w:rPr>
        <w:t xml:space="preserve"> </w:t>
      </w:r>
      <w:r w:rsidRPr="00B24CA3">
        <w:t>eve</w:t>
      </w:r>
      <w:r w:rsidRPr="00B24CA3">
        <w:rPr>
          <w:spacing w:val="-3"/>
        </w:rPr>
        <w:t xml:space="preserve"> </w:t>
      </w:r>
      <w:r w:rsidRPr="00B24CA3">
        <w:rPr>
          <w:spacing w:val="-2"/>
        </w:rPr>
        <w:t>çıktım.</w:t>
      </w:r>
    </w:p>
    <w:p w14:paraId="5E292245" w14:textId="77777777" w:rsidR="00FF4BC0" w:rsidRPr="00B24CA3" w:rsidRDefault="00FF4BC0" w:rsidP="00BA67A6">
      <w:pPr>
        <w:pStyle w:val="GvdeMetni"/>
        <w:ind w:right="159" w:firstLine="240"/>
        <w:jc w:val="both"/>
      </w:pPr>
      <w:r w:rsidRPr="00B24CA3">
        <w:t>I.S.7.... Bazı hocalar benden aktif katılımımı bekliyor, ben sınıfın içinde kalkıp cevap vermek için çekiniyorum, çünkü Türkçemden emin değildim ve hep yanlış söylesem bana gülecekler diye korkuyordum.</w:t>
      </w:r>
    </w:p>
    <w:p w14:paraId="6B14885B" w14:textId="77777777" w:rsidR="00FF4BC0" w:rsidRPr="00B24CA3" w:rsidRDefault="00FF4BC0" w:rsidP="00BA67A6">
      <w:pPr>
        <w:pStyle w:val="GvdeMetni"/>
        <w:ind w:right="158"/>
        <w:jc w:val="both"/>
      </w:pPr>
      <w:r w:rsidRPr="00B24CA3">
        <w:t>I.S.6.</w:t>
      </w:r>
      <w:r w:rsidRPr="00B24CA3">
        <w:rPr>
          <w:spacing w:val="-13"/>
        </w:rPr>
        <w:t xml:space="preserve"> </w:t>
      </w:r>
      <w:r w:rsidRPr="00B24CA3">
        <w:t>Tabi,</w:t>
      </w:r>
      <w:r w:rsidRPr="00B24CA3">
        <w:rPr>
          <w:spacing w:val="-13"/>
        </w:rPr>
        <w:t xml:space="preserve"> </w:t>
      </w:r>
      <w:r w:rsidRPr="00B24CA3">
        <w:t>dile</w:t>
      </w:r>
      <w:r w:rsidRPr="00B24CA3">
        <w:rPr>
          <w:spacing w:val="-7"/>
        </w:rPr>
        <w:t xml:space="preserve"> </w:t>
      </w:r>
      <w:r w:rsidRPr="00B24CA3">
        <w:t>hâkim</w:t>
      </w:r>
      <w:r w:rsidRPr="00B24CA3">
        <w:rPr>
          <w:spacing w:val="-9"/>
        </w:rPr>
        <w:t xml:space="preserve"> </w:t>
      </w:r>
      <w:r w:rsidRPr="00B24CA3">
        <w:t>olmamamdan</w:t>
      </w:r>
      <w:r w:rsidRPr="00B24CA3">
        <w:rPr>
          <w:spacing w:val="-13"/>
        </w:rPr>
        <w:t xml:space="preserve"> </w:t>
      </w:r>
      <w:r w:rsidRPr="00B24CA3">
        <w:t>hep</w:t>
      </w:r>
      <w:r w:rsidRPr="00B24CA3">
        <w:rPr>
          <w:spacing w:val="-13"/>
        </w:rPr>
        <w:t xml:space="preserve"> </w:t>
      </w:r>
      <w:r w:rsidRPr="00B24CA3">
        <w:t>beni</w:t>
      </w:r>
      <w:r w:rsidRPr="00B24CA3">
        <w:rPr>
          <w:spacing w:val="-14"/>
        </w:rPr>
        <w:t xml:space="preserve"> </w:t>
      </w:r>
      <w:r w:rsidRPr="00B24CA3">
        <w:t>tembel</w:t>
      </w:r>
      <w:r w:rsidRPr="00B24CA3">
        <w:rPr>
          <w:spacing w:val="-9"/>
        </w:rPr>
        <w:t xml:space="preserve"> </w:t>
      </w:r>
      <w:r w:rsidRPr="00B24CA3">
        <w:t>bir</w:t>
      </w:r>
      <w:r w:rsidRPr="00B24CA3">
        <w:rPr>
          <w:spacing w:val="-12"/>
        </w:rPr>
        <w:t xml:space="preserve"> </w:t>
      </w:r>
      <w:r w:rsidRPr="00B24CA3">
        <w:t>öğrenci</w:t>
      </w:r>
      <w:r w:rsidRPr="00B24CA3">
        <w:rPr>
          <w:spacing w:val="-11"/>
        </w:rPr>
        <w:t xml:space="preserve"> </w:t>
      </w:r>
      <w:r w:rsidRPr="00B24CA3">
        <w:t>olarak</w:t>
      </w:r>
      <w:r w:rsidRPr="00B24CA3">
        <w:rPr>
          <w:spacing w:val="-13"/>
        </w:rPr>
        <w:t xml:space="preserve"> </w:t>
      </w:r>
      <w:r w:rsidRPr="00B24CA3">
        <w:t>görülüyorum</w:t>
      </w:r>
      <w:r w:rsidRPr="00B24CA3">
        <w:rPr>
          <w:spacing w:val="-13"/>
        </w:rPr>
        <w:t xml:space="preserve"> </w:t>
      </w:r>
      <w:r w:rsidRPr="00B24CA3">
        <w:t>ve</w:t>
      </w:r>
      <w:r w:rsidRPr="00B24CA3">
        <w:rPr>
          <w:spacing w:val="-9"/>
        </w:rPr>
        <w:t xml:space="preserve"> </w:t>
      </w:r>
      <w:r w:rsidRPr="00B24CA3">
        <w:t>benim özgüvenim düşüyor.</w:t>
      </w:r>
    </w:p>
    <w:p w14:paraId="0DBFFC5B" w14:textId="77777777" w:rsidR="00FF4BC0" w:rsidRPr="00B24CA3" w:rsidRDefault="00FF4BC0" w:rsidP="00BA67A6">
      <w:pPr>
        <w:pStyle w:val="GvdeMetni"/>
        <w:jc w:val="both"/>
      </w:pPr>
      <w:r w:rsidRPr="00B24CA3">
        <w:t>I.S.2.</w:t>
      </w:r>
      <w:r w:rsidRPr="00B24CA3">
        <w:rPr>
          <w:spacing w:val="54"/>
        </w:rPr>
        <w:t xml:space="preserve">  </w:t>
      </w:r>
      <w:r w:rsidRPr="00B24CA3">
        <w:t>Çok</w:t>
      </w:r>
      <w:r w:rsidRPr="00B24CA3">
        <w:rPr>
          <w:spacing w:val="-2"/>
        </w:rPr>
        <w:t xml:space="preserve"> </w:t>
      </w:r>
      <w:r w:rsidRPr="00B24CA3">
        <w:t>cana</w:t>
      </w:r>
      <w:r w:rsidRPr="00B24CA3">
        <w:rPr>
          <w:spacing w:val="-3"/>
        </w:rPr>
        <w:t xml:space="preserve"> </w:t>
      </w:r>
      <w:r w:rsidRPr="00B24CA3">
        <w:t>yakın</w:t>
      </w:r>
      <w:r w:rsidRPr="00B24CA3">
        <w:rPr>
          <w:spacing w:val="2"/>
        </w:rPr>
        <w:t xml:space="preserve"> </w:t>
      </w:r>
      <w:r w:rsidRPr="00B24CA3">
        <w:t>arkadaşlarım</w:t>
      </w:r>
      <w:r w:rsidRPr="00B24CA3">
        <w:rPr>
          <w:spacing w:val="-4"/>
        </w:rPr>
        <w:t xml:space="preserve"> </w:t>
      </w:r>
      <w:r w:rsidRPr="00B24CA3">
        <w:t>var,</w:t>
      </w:r>
      <w:r w:rsidRPr="00B24CA3">
        <w:rPr>
          <w:spacing w:val="2"/>
        </w:rPr>
        <w:t xml:space="preserve"> </w:t>
      </w:r>
      <w:r w:rsidRPr="00B24CA3">
        <w:t>aramızda</w:t>
      </w:r>
      <w:r w:rsidRPr="00B24CA3">
        <w:rPr>
          <w:spacing w:val="1"/>
        </w:rPr>
        <w:t xml:space="preserve"> </w:t>
      </w:r>
      <w:r w:rsidRPr="00B24CA3">
        <w:t>çok</w:t>
      </w:r>
      <w:r w:rsidRPr="00B24CA3">
        <w:rPr>
          <w:spacing w:val="-2"/>
        </w:rPr>
        <w:t xml:space="preserve"> </w:t>
      </w:r>
      <w:r w:rsidRPr="00B24CA3">
        <w:t>iyi</w:t>
      </w:r>
      <w:r w:rsidRPr="00B24CA3">
        <w:rPr>
          <w:spacing w:val="-3"/>
        </w:rPr>
        <w:t xml:space="preserve"> </w:t>
      </w:r>
      <w:r w:rsidRPr="00B24CA3">
        <w:rPr>
          <w:spacing w:val="-2"/>
        </w:rPr>
        <w:t>anlaşıyoruz.</w:t>
      </w:r>
    </w:p>
    <w:p w14:paraId="1940D4C0" w14:textId="77777777" w:rsidR="00FF4BC0" w:rsidRPr="00B24CA3" w:rsidRDefault="00FF4BC0" w:rsidP="00BA67A6">
      <w:pPr>
        <w:pStyle w:val="GvdeMetni"/>
        <w:jc w:val="both"/>
      </w:pPr>
      <w:r w:rsidRPr="00B24CA3">
        <w:t>I.S.4.</w:t>
      </w:r>
      <w:r w:rsidRPr="00B24CA3">
        <w:rPr>
          <w:spacing w:val="72"/>
          <w:w w:val="150"/>
        </w:rPr>
        <w:t xml:space="preserve"> </w:t>
      </w:r>
      <w:r w:rsidRPr="00B24CA3">
        <w:t>ben</w:t>
      </w:r>
      <w:r w:rsidRPr="00B24CA3">
        <w:rPr>
          <w:spacing w:val="-12"/>
        </w:rPr>
        <w:t xml:space="preserve"> </w:t>
      </w:r>
      <w:r w:rsidRPr="00B24CA3">
        <w:t>YTB</w:t>
      </w:r>
      <w:r w:rsidRPr="00B24CA3">
        <w:rPr>
          <w:spacing w:val="-11"/>
        </w:rPr>
        <w:t xml:space="preserve"> </w:t>
      </w:r>
      <w:r w:rsidRPr="00B24CA3">
        <w:t>bursu</w:t>
      </w:r>
      <w:r w:rsidRPr="00B24CA3">
        <w:rPr>
          <w:spacing w:val="-7"/>
        </w:rPr>
        <w:t xml:space="preserve"> </w:t>
      </w:r>
      <w:r w:rsidRPr="00B24CA3">
        <w:t>ile</w:t>
      </w:r>
      <w:r w:rsidRPr="00B24CA3">
        <w:rPr>
          <w:spacing w:val="-9"/>
        </w:rPr>
        <w:t xml:space="preserve"> </w:t>
      </w:r>
      <w:r w:rsidRPr="00B24CA3">
        <w:t>geldim,</w:t>
      </w:r>
      <w:r w:rsidRPr="00B24CA3">
        <w:rPr>
          <w:spacing w:val="-5"/>
        </w:rPr>
        <w:t xml:space="preserve"> </w:t>
      </w:r>
      <w:r w:rsidRPr="00B24CA3">
        <w:t>ama</w:t>
      </w:r>
      <w:r w:rsidRPr="00B24CA3">
        <w:rPr>
          <w:spacing w:val="-9"/>
        </w:rPr>
        <w:t xml:space="preserve"> </w:t>
      </w:r>
      <w:r w:rsidRPr="00B24CA3">
        <w:t>aldığım</w:t>
      </w:r>
      <w:r w:rsidRPr="00B24CA3">
        <w:rPr>
          <w:spacing w:val="-8"/>
        </w:rPr>
        <w:t xml:space="preserve"> </w:t>
      </w:r>
      <w:r w:rsidRPr="00B24CA3">
        <w:t>bursum</w:t>
      </w:r>
      <w:r w:rsidRPr="00B24CA3">
        <w:rPr>
          <w:spacing w:val="-13"/>
        </w:rPr>
        <w:t xml:space="preserve"> </w:t>
      </w:r>
      <w:r w:rsidRPr="00B24CA3">
        <w:t>yetmiyor,</w:t>
      </w:r>
      <w:r w:rsidRPr="00B24CA3">
        <w:rPr>
          <w:spacing w:val="-12"/>
        </w:rPr>
        <w:t xml:space="preserve"> </w:t>
      </w:r>
      <w:r w:rsidRPr="00B24CA3">
        <w:t>o</w:t>
      </w:r>
      <w:r w:rsidRPr="00B24CA3">
        <w:rPr>
          <w:spacing w:val="-7"/>
        </w:rPr>
        <w:t xml:space="preserve"> </w:t>
      </w:r>
      <w:r w:rsidRPr="00B24CA3">
        <w:t>yüzden</w:t>
      </w:r>
      <w:r w:rsidRPr="00B24CA3">
        <w:rPr>
          <w:spacing w:val="-8"/>
        </w:rPr>
        <w:t xml:space="preserve"> </w:t>
      </w:r>
      <w:r w:rsidRPr="00B24CA3">
        <w:t>bazen</w:t>
      </w:r>
      <w:r w:rsidRPr="00B24CA3">
        <w:rPr>
          <w:spacing w:val="-12"/>
        </w:rPr>
        <w:t xml:space="preserve"> </w:t>
      </w:r>
      <w:r w:rsidRPr="00B24CA3">
        <w:t>günlük</w:t>
      </w:r>
      <w:r w:rsidRPr="00B24CA3">
        <w:rPr>
          <w:spacing w:val="-12"/>
        </w:rPr>
        <w:t xml:space="preserve"> </w:t>
      </w:r>
      <w:r w:rsidRPr="00B24CA3">
        <w:rPr>
          <w:spacing w:val="-2"/>
        </w:rPr>
        <w:t>işlere</w:t>
      </w:r>
    </w:p>
    <w:p w14:paraId="672E8B3C" w14:textId="77777777" w:rsidR="00FF4BC0" w:rsidRPr="00B24CA3" w:rsidRDefault="00FF4BC0" w:rsidP="00BA67A6">
      <w:pPr>
        <w:pStyle w:val="GvdeMetni"/>
        <w:jc w:val="both"/>
      </w:pPr>
      <w:proofErr w:type="gramStart"/>
      <w:r w:rsidRPr="00B24CA3">
        <w:t>ve</w:t>
      </w:r>
      <w:proofErr w:type="gramEnd"/>
      <w:r w:rsidRPr="00B24CA3">
        <w:rPr>
          <w:spacing w:val="-4"/>
        </w:rPr>
        <w:t xml:space="preserve"> </w:t>
      </w:r>
      <w:r w:rsidRPr="00B24CA3">
        <w:t>yazlarda</w:t>
      </w:r>
      <w:r w:rsidRPr="00B24CA3">
        <w:rPr>
          <w:spacing w:val="-3"/>
        </w:rPr>
        <w:t xml:space="preserve"> </w:t>
      </w:r>
      <w:r w:rsidRPr="00B24CA3">
        <w:rPr>
          <w:spacing w:val="-2"/>
        </w:rPr>
        <w:t>çalışıyorum</w:t>
      </w:r>
    </w:p>
    <w:p w14:paraId="7FA0738E" w14:textId="77777777" w:rsidR="00FF4BC0" w:rsidRPr="00B24CA3" w:rsidRDefault="00FF4BC0" w:rsidP="00BA67A6">
      <w:pPr>
        <w:pStyle w:val="GvdeMetni"/>
        <w:jc w:val="both"/>
      </w:pPr>
      <w:r w:rsidRPr="00B24CA3">
        <w:t>I.S.5.</w:t>
      </w:r>
      <w:r w:rsidRPr="00B24CA3">
        <w:rPr>
          <w:spacing w:val="57"/>
        </w:rPr>
        <w:t xml:space="preserve">  </w:t>
      </w:r>
      <w:r w:rsidRPr="00B24CA3">
        <w:t>Ev bulmak</w:t>
      </w:r>
      <w:r w:rsidRPr="00B24CA3">
        <w:rPr>
          <w:spacing w:val="-2"/>
        </w:rPr>
        <w:t xml:space="preserve"> </w:t>
      </w:r>
      <w:r w:rsidRPr="00B24CA3">
        <w:t>çok</w:t>
      </w:r>
      <w:r w:rsidRPr="00B24CA3">
        <w:rPr>
          <w:spacing w:val="3"/>
        </w:rPr>
        <w:t xml:space="preserve"> </w:t>
      </w:r>
      <w:r w:rsidRPr="00B24CA3">
        <w:t>zor</w:t>
      </w:r>
      <w:r w:rsidRPr="00B24CA3">
        <w:rPr>
          <w:spacing w:val="-1"/>
        </w:rPr>
        <w:t xml:space="preserve"> </w:t>
      </w:r>
      <w:r w:rsidRPr="00B24CA3">
        <w:t>özellikle</w:t>
      </w:r>
      <w:r w:rsidRPr="00B24CA3">
        <w:rPr>
          <w:spacing w:val="-3"/>
        </w:rPr>
        <w:t xml:space="preserve"> </w:t>
      </w:r>
      <w:r w:rsidRPr="00B24CA3">
        <w:t>yabancı</w:t>
      </w:r>
      <w:r w:rsidRPr="00B24CA3">
        <w:rPr>
          <w:spacing w:val="-3"/>
        </w:rPr>
        <w:t xml:space="preserve"> </w:t>
      </w:r>
      <w:r w:rsidRPr="00B24CA3">
        <w:t>olduğunu</w:t>
      </w:r>
      <w:r w:rsidRPr="00B24CA3">
        <w:rPr>
          <w:spacing w:val="-1"/>
        </w:rPr>
        <w:t xml:space="preserve"> </w:t>
      </w:r>
      <w:r w:rsidRPr="00B24CA3">
        <w:rPr>
          <w:spacing w:val="-2"/>
        </w:rPr>
        <w:t>duyunca.</w:t>
      </w:r>
    </w:p>
    <w:p w14:paraId="497E0AF7" w14:textId="77777777" w:rsidR="00FF4BC0" w:rsidRPr="00B24CA3" w:rsidRDefault="00FF4BC0" w:rsidP="00BA67A6">
      <w:pPr>
        <w:pStyle w:val="GvdeMetni"/>
        <w:ind w:right="164"/>
        <w:jc w:val="both"/>
      </w:pPr>
      <w:r w:rsidRPr="00B24CA3">
        <w:t>I.S.8... sağlık konusunda çok şanslıyım, sigortam var istediğim zaman hastaneden randevu alabilirim, ama dil bariyerinden dolayı şikayetimi dile getiremiyorum.</w:t>
      </w:r>
    </w:p>
    <w:p w14:paraId="037793A7" w14:textId="77777777" w:rsidR="00FF4BC0" w:rsidRPr="00B24CA3" w:rsidRDefault="00FF4BC0" w:rsidP="00BA67A6">
      <w:pPr>
        <w:pStyle w:val="GvdeMetni"/>
        <w:ind w:right="161"/>
        <w:jc w:val="both"/>
      </w:pPr>
      <w:r w:rsidRPr="00B24CA3">
        <w:t>Yurt</w:t>
      </w:r>
      <w:r w:rsidRPr="00B24CA3">
        <w:rPr>
          <w:spacing w:val="-4"/>
        </w:rPr>
        <w:t xml:space="preserve"> </w:t>
      </w:r>
      <w:r w:rsidRPr="00B24CA3">
        <w:t>dışında</w:t>
      </w:r>
      <w:r w:rsidRPr="00B24CA3">
        <w:rPr>
          <w:spacing w:val="-4"/>
        </w:rPr>
        <w:t xml:space="preserve"> </w:t>
      </w:r>
      <w:r w:rsidRPr="00B24CA3">
        <w:t>eğitim</w:t>
      </w:r>
      <w:r w:rsidRPr="00B24CA3">
        <w:rPr>
          <w:spacing w:val="-4"/>
        </w:rPr>
        <w:t xml:space="preserve"> </w:t>
      </w:r>
      <w:r w:rsidRPr="00B24CA3">
        <w:t>gören</w:t>
      </w:r>
      <w:r w:rsidRPr="00B24CA3">
        <w:rPr>
          <w:spacing w:val="-2"/>
        </w:rPr>
        <w:t xml:space="preserve"> </w:t>
      </w:r>
      <w:r w:rsidRPr="00B24CA3">
        <w:t>öğrenciler</w:t>
      </w:r>
      <w:r w:rsidRPr="00B24CA3">
        <w:rPr>
          <w:spacing w:val="-2"/>
        </w:rPr>
        <w:t xml:space="preserve"> </w:t>
      </w:r>
      <w:r w:rsidRPr="00B24CA3">
        <w:t>için</w:t>
      </w:r>
      <w:r w:rsidRPr="00B24CA3">
        <w:rPr>
          <w:spacing w:val="-2"/>
        </w:rPr>
        <w:t xml:space="preserve"> </w:t>
      </w:r>
      <w:r w:rsidRPr="00B24CA3">
        <w:t>en büyük zorluklardan</w:t>
      </w:r>
      <w:r w:rsidRPr="00B24CA3">
        <w:rPr>
          <w:spacing w:val="-2"/>
        </w:rPr>
        <w:t xml:space="preserve"> </w:t>
      </w:r>
      <w:r w:rsidRPr="00B24CA3">
        <w:t>biri</w:t>
      </w:r>
      <w:r w:rsidRPr="00B24CA3">
        <w:rPr>
          <w:spacing w:val="-4"/>
        </w:rPr>
        <w:t xml:space="preserve"> </w:t>
      </w:r>
      <w:r w:rsidRPr="00B24CA3">
        <w:t>dil</w:t>
      </w:r>
      <w:r w:rsidRPr="00B24CA3">
        <w:rPr>
          <w:spacing w:val="-4"/>
        </w:rPr>
        <w:t xml:space="preserve"> </w:t>
      </w:r>
      <w:r w:rsidRPr="00B24CA3">
        <w:t>engeli</w:t>
      </w:r>
      <w:r w:rsidRPr="00B24CA3">
        <w:rPr>
          <w:spacing w:val="-1"/>
        </w:rPr>
        <w:t xml:space="preserve"> </w:t>
      </w:r>
      <w:r w:rsidRPr="00B24CA3">
        <w:t>olabilmektedir. Özellikle</w:t>
      </w:r>
      <w:r w:rsidRPr="00B24CA3">
        <w:rPr>
          <w:spacing w:val="-3"/>
        </w:rPr>
        <w:t xml:space="preserve"> </w:t>
      </w:r>
      <w:r w:rsidRPr="00B24CA3">
        <w:t>o</w:t>
      </w:r>
      <w:r w:rsidRPr="00B24CA3">
        <w:rPr>
          <w:spacing w:val="-2"/>
        </w:rPr>
        <w:t xml:space="preserve"> </w:t>
      </w:r>
      <w:r w:rsidRPr="00B24CA3">
        <w:t>ülkenin</w:t>
      </w:r>
      <w:r w:rsidRPr="00B24CA3">
        <w:rPr>
          <w:spacing w:val="-2"/>
        </w:rPr>
        <w:t xml:space="preserve"> </w:t>
      </w:r>
      <w:r w:rsidRPr="00B24CA3">
        <w:t>dilini</w:t>
      </w:r>
      <w:r w:rsidRPr="00B24CA3">
        <w:rPr>
          <w:spacing w:val="-4"/>
        </w:rPr>
        <w:t xml:space="preserve"> </w:t>
      </w:r>
      <w:r w:rsidRPr="00B24CA3">
        <w:t>bilmeyen</w:t>
      </w:r>
      <w:r w:rsidRPr="00B24CA3">
        <w:rPr>
          <w:spacing w:val="-2"/>
        </w:rPr>
        <w:t xml:space="preserve"> </w:t>
      </w:r>
      <w:r w:rsidRPr="00B24CA3">
        <w:t>ve</w:t>
      </w:r>
      <w:r w:rsidRPr="00B24CA3">
        <w:rPr>
          <w:spacing w:val="-2"/>
        </w:rPr>
        <w:t xml:space="preserve"> </w:t>
      </w:r>
      <w:r w:rsidRPr="00B24CA3">
        <w:t>dili</w:t>
      </w:r>
      <w:r w:rsidRPr="00B24CA3">
        <w:rPr>
          <w:spacing w:val="-3"/>
        </w:rPr>
        <w:t xml:space="preserve"> </w:t>
      </w:r>
      <w:r w:rsidRPr="00B24CA3">
        <w:t>yeni</w:t>
      </w:r>
      <w:r w:rsidRPr="00B24CA3">
        <w:rPr>
          <w:spacing w:val="-4"/>
        </w:rPr>
        <w:t xml:space="preserve"> </w:t>
      </w:r>
      <w:r w:rsidRPr="00B24CA3">
        <w:t>öğrenmeye</w:t>
      </w:r>
      <w:r w:rsidRPr="00B24CA3">
        <w:rPr>
          <w:spacing w:val="-4"/>
        </w:rPr>
        <w:t xml:space="preserve"> </w:t>
      </w:r>
      <w:r w:rsidRPr="00B24CA3">
        <w:t>başlayan</w:t>
      </w:r>
      <w:r w:rsidRPr="00B24CA3">
        <w:rPr>
          <w:spacing w:val="-2"/>
        </w:rPr>
        <w:t xml:space="preserve"> </w:t>
      </w:r>
      <w:r w:rsidRPr="00B24CA3">
        <w:t>öğrenciler</w:t>
      </w:r>
      <w:r w:rsidRPr="00B24CA3">
        <w:rPr>
          <w:spacing w:val="-2"/>
        </w:rPr>
        <w:t xml:space="preserve"> </w:t>
      </w:r>
      <w:r w:rsidRPr="00B24CA3">
        <w:t>için bu</w:t>
      </w:r>
      <w:r w:rsidRPr="00B24CA3">
        <w:rPr>
          <w:spacing w:val="-2"/>
        </w:rPr>
        <w:t xml:space="preserve"> </w:t>
      </w:r>
      <w:r w:rsidRPr="00B24CA3">
        <w:t>durum, sınıf içi ve günlük yaşamda çeşitli sorunların ortaya çıkmasında önemli bir rol oynamaktadır. Bunun yanı sıra, her ülkenin kendine özgü kültürel yapıları, yaşam tarzları ve gelenekleri bulunması, öğrencilerin uyumunu zorlaştırmaktadır. Bulgular doğrultusunda, yabancı öğrencilerin</w:t>
      </w:r>
      <w:r w:rsidRPr="00B24CA3">
        <w:rPr>
          <w:spacing w:val="-8"/>
        </w:rPr>
        <w:t xml:space="preserve"> </w:t>
      </w:r>
      <w:r w:rsidRPr="00B24CA3">
        <w:t>dil</w:t>
      </w:r>
      <w:r w:rsidRPr="00B24CA3">
        <w:rPr>
          <w:spacing w:val="-9"/>
        </w:rPr>
        <w:t xml:space="preserve"> </w:t>
      </w:r>
      <w:r w:rsidRPr="00B24CA3">
        <w:t>engelleri</w:t>
      </w:r>
      <w:r w:rsidRPr="00B24CA3">
        <w:rPr>
          <w:spacing w:val="-9"/>
        </w:rPr>
        <w:t xml:space="preserve"> </w:t>
      </w:r>
      <w:r w:rsidRPr="00B24CA3">
        <w:t>nedeniyle</w:t>
      </w:r>
      <w:r w:rsidRPr="00B24CA3">
        <w:rPr>
          <w:spacing w:val="-9"/>
        </w:rPr>
        <w:t xml:space="preserve"> </w:t>
      </w:r>
      <w:r w:rsidRPr="00B24CA3">
        <w:t>akademik</w:t>
      </w:r>
      <w:r w:rsidRPr="00B24CA3">
        <w:rPr>
          <w:spacing w:val="-9"/>
        </w:rPr>
        <w:t xml:space="preserve"> </w:t>
      </w:r>
      <w:r w:rsidRPr="00B24CA3">
        <w:t>ve</w:t>
      </w:r>
      <w:r w:rsidRPr="00B24CA3">
        <w:rPr>
          <w:spacing w:val="-10"/>
        </w:rPr>
        <w:t xml:space="preserve"> </w:t>
      </w:r>
      <w:r w:rsidRPr="00B24CA3">
        <w:t>sosyal</w:t>
      </w:r>
      <w:r w:rsidRPr="00B24CA3">
        <w:rPr>
          <w:spacing w:val="-10"/>
        </w:rPr>
        <w:t xml:space="preserve"> </w:t>
      </w:r>
      <w:r w:rsidRPr="00B24CA3">
        <w:t>ortamlarda</w:t>
      </w:r>
      <w:r w:rsidRPr="00B24CA3">
        <w:rPr>
          <w:spacing w:val="-10"/>
        </w:rPr>
        <w:t xml:space="preserve"> </w:t>
      </w:r>
      <w:r w:rsidRPr="00B24CA3">
        <w:t>çeşitli</w:t>
      </w:r>
      <w:r w:rsidRPr="00B24CA3">
        <w:rPr>
          <w:spacing w:val="-9"/>
        </w:rPr>
        <w:t xml:space="preserve"> </w:t>
      </w:r>
      <w:r w:rsidRPr="00B24CA3">
        <w:t>zorluklar</w:t>
      </w:r>
      <w:r w:rsidRPr="00B24CA3">
        <w:rPr>
          <w:spacing w:val="-9"/>
        </w:rPr>
        <w:t xml:space="preserve"> </w:t>
      </w:r>
      <w:r w:rsidRPr="00B24CA3">
        <w:t>yaşadıkları belirlenmiştir. Kültürel farklılıklar, ekonomik güçlükler ve kiralık konut bulma konusundaki sınırlılıklar, öğrencilerin uyum sürecini olumsuz etkileyen faktörler olarak öne çıkmaktadır. Öte yandan, çoğu öğrencilerin sosyal ilişkilerin iyi düzeyde olduğunu ve sağlık hizmetlerine erişimde sorun yaşamadıkları tespit edilmiştir.</w:t>
      </w:r>
    </w:p>
    <w:p w14:paraId="59D21727" w14:textId="77777777" w:rsidR="00FF4BC0" w:rsidRDefault="00FF4BC0" w:rsidP="00BA67A6">
      <w:pPr>
        <w:pStyle w:val="GvdeMetni"/>
        <w:jc w:val="both"/>
      </w:pPr>
    </w:p>
    <w:p w14:paraId="1D68330E" w14:textId="77777777" w:rsidR="004C7694" w:rsidRPr="00B24CA3" w:rsidRDefault="004C7694" w:rsidP="00BA67A6">
      <w:pPr>
        <w:pStyle w:val="GvdeMetni"/>
        <w:jc w:val="both"/>
        <w:sectPr w:rsidR="004C7694" w:rsidRPr="00B24CA3" w:rsidSect="007513A1">
          <w:type w:val="continuous"/>
          <w:pgSz w:w="11906" w:h="16838"/>
          <w:pgMar w:top="1418" w:right="1418" w:bottom="1418" w:left="1418" w:header="1304" w:footer="1361" w:gutter="0"/>
          <w:cols w:space="708"/>
        </w:sectPr>
      </w:pPr>
    </w:p>
    <w:p w14:paraId="417B5B34" w14:textId="77777777" w:rsidR="00FF4BC0" w:rsidRPr="00800DA9" w:rsidRDefault="00FF4BC0" w:rsidP="00BA67A6">
      <w:pPr>
        <w:rPr>
          <w:b/>
          <w:bCs/>
        </w:rPr>
      </w:pPr>
      <w:r w:rsidRPr="00800DA9">
        <w:rPr>
          <w:b/>
          <w:bCs/>
        </w:rPr>
        <w:t>Uluslararası</w:t>
      </w:r>
      <w:r w:rsidRPr="00800DA9">
        <w:rPr>
          <w:b/>
          <w:bCs/>
          <w:spacing w:val="-5"/>
        </w:rPr>
        <w:t xml:space="preserve"> </w:t>
      </w:r>
      <w:r w:rsidRPr="00800DA9">
        <w:rPr>
          <w:b/>
          <w:bCs/>
        </w:rPr>
        <w:t>öğrencilerin</w:t>
      </w:r>
      <w:r w:rsidRPr="00800DA9">
        <w:rPr>
          <w:b/>
          <w:bCs/>
          <w:spacing w:val="-2"/>
        </w:rPr>
        <w:t xml:space="preserve"> </w:t>
      </w:r>
      <w:r w:rsidRPr="00800DA9">
        <w:rPr>
          <w:b/>
          <w:bCs/>
        </w:rPr>
        <w:t>yaşadığı</w:t>
      </w:r>
      <w:r w:rsidRPr="00800DA9">
        <w:rPr>
          <w:b/>
          <w:bCs/>
          <w:spacing w:val="-6"/>
        </w:rPr>
        <w:t xml:space="preserve"> </w:t>
      </w:r>
      <w:r w:rsidRPr="00800DA9">
        <w:rPr>
          <w:b/>
          <w:bCs/>
        </w:rPr>
        <w:t>zorluklara</w:t>
      </w:r>
      <w:r w:rsidRPr="00800DA9">
        <w:rPr>
          <w:b/>
          <w:bCs/>
          <w:spacing w:val="-3"/>
        </w:rPr>
        <w:t xml:space="preserve"> </w:t>
      </w:r>
      <w:r w:rsidRPr="00800DA9">
        <w:rPr>
          <w:b/>
          <w:bCs/>
        </w:rPr>
        <w:t xml:space="preserve">dair </w:t>
      </w:r>
      <w:r w:rsidRPr="00800DA9">
        <w:rPr>
          <w:b/>
          <w:bCs/>
          <w:spacing w:val="-2"/>
        </w:rPr>
        <w:t>bulguları</w:t>
      </w:r>
    </w:p>
    <w:p w14:paraId="3466BFCB" w14:textId="77777777" w:rsidR="00FF4BC0" w:rsidRDefault="00FF4BC0" w:rsidP="00BA67A6">
      <w:pPr>
        <w:pStyle w:val="GvdeMetni"/>
        <w:ind w:right="159"/>
        <w:jc w:val="both"/>
        <w:rPr>
          <w:spacing w:val="-2"/>
        </w:rPr>
      </w:pPr>
      <w:r w:rsidRPr="00B24CA3">
        <w:t>Araştırmanın bulgularına göre, uluslararası öğrencilerin Türkiye’de eğitim gördükleri süre boyunca en çok karşılaştıkları zorluklar arasında dil sorunları, kültürel farklılıklardan kaynaklanan</w:t>
      </w:r>
      <w:r w:rsidRPr="00B24CA3">
        <w:rPr>
          <w:spacing w:val="-10"/>
        </w:rPr>
        <w:t xml:space="preserve"> </w:t>
      </w:r>
      <w:r w:rsidRPr="00B24CA3">
        <w:t>problemler</w:t>
      </w:r>
      <w:r w:rsidRPr="00B24CA3">
        <w:rPr>
          <w:spacing w:val="-3"/>
        </w:rPr>
        <w:t xml:space="preserve"> </w:t>
      </w:r>
      <w:r w:rsidRPr="00B24CA3">
        <w:t>ve</w:t>
      </w:r>
      <w:r w:rsidRPr="00B24CA3">
        <w:rPr>
          <w:spacing w:val="-6"/>
        </w:rPr>
        <w:t xml:space="preserve"> </w:t>
      </w:r>
      <w:r w:rsidRPr="00B24CA3">
        <w:t>akademik</w:t>
      </w:r>
      <w:r w:rsidRPr="00B24CA3">
        <w:rPr>
          <w:spacing w:val="-8"/>
        </w:rPr>
        <w:t xml:space="preserve"> </w:t>
      </w:r>
      <w:r w:rsidRPr="00B24CA3">
        <w:t>ortama</w:t>
      </w:r>
      <w:r w:rsidRPr="00B24CA3">
        <w:rPr>
          <w:spacing w:val="-11"/>
        </w:rPr>
        <w:t xml:space="preserve"> </w:t>
      </w:r>
      <w:r w:rsidRPr="00B24CA3">
        <w:t>uyum</w:t>
      </w:r>
      <w:r w:rsidRPr="00B24CA3">
        <w:rPr>
          <w:spacing w:val="-6"/>
        </w:rPr>
        <w:t xml:space="preserve"> </w:t>
      </w:r>
      <w:r w:rsidRPr="00B24CA3">
        <w:t>sağlamada</w:t>
      </w:r>
      <w:r w:rsidRPr="00B24CA3">
        <w:rPr>
          <w:spacing w:val="-11"/>
        </w:rPr>
        <w:t xml:space="preserve"> </w:t>
      </w:r>
      <w:r w:rsidRPr="00B24CA3">
        <w:t>yaşadıkları</w:t>
      </w:r>
      <w:r w:rsidRPr="00B24CA3">
        <w:rPr>
          <w:spacing w:val="-7"/>
        </w:rPr>
        <w:t xml:space="preserve"> </w:t>
      </w:r>
      <w:r w:rsidRPr="00B24CA3">
        <w:t>güçlükler</w:t>
      </w:r>
      <w:r w:rsidRPr="00B24CA3">
        <w:rPr>
          <w:spacing w:val="-3"/>
        </w:rPr>
        <w:t xml:space="preserve"> </w:t>
      </w:r>
      <w:r w:rsidRPr="00B24CA3">
        <w:t xml:space="preserve">olduğunu ortaya çıkmıştır. Bunlara ek olarak, bir katılımcı çevresi tarafından dışlandığını, bu durumun sosyal ilişkilerini zayıflattığını ve sosyal izolasyona yol açtığını belirtmiş, ayrıca bunun depresyon yaşamasına neden olduğunu ifade etmiştir. Katılımcı bu durumu en büyük zorluk olarak tanımlamıştır. Diğer bir katılımcı ise ekonomik problemlerin onu zorlayan en büyük güçlük olduğunu belirterek, bu zorlukların eğitim sürecine olumsuz etkiler yarattığını </w:t>
      </w:r>
      <w:r w:rsidRPr="00B24CA3">
        <w:rPr>
          <w:spacing w:val="-2"/>
        </w:rPr>
        <w:t>vurgulamıştır.</w:t>
      </w:r>
    </w:p>
    <w:p w14:paraId="04CAAE05" w14:textId="77777777" w:rsidR="004C7694" w:rsidRPr="00B24CA3" w:rsidRDefault="004C7694" w:rsidP="00BA67A6">
      <w:pPr>
        <w:pStyle w:val="GvdeMetni"/>
        <w:ind w:right="159"/>
        <w:jc w:val="both"/>
      </w:pPr>
    </w:p>
    <w:p w14:paraId="64D8A9C8" w14:textId="77777777" w:rsidR="00FF4BC0" w:rsidRPr="00800DA9" w:rsidRDefault="00FF4BC0" w:rsidP="00BA67A6">
      <w:pPr>
        <w:rPr>
          <w:b/>
          <w:bCs/>
        </w:rPr>
      </w:pPr>
      <w:r w:rsidRPr="00800DA9">
        <w:rPr>
          <w:b/>
          <w:bCs/>
        </w:rPr>
        <w:t>Dil</w:t>
      </w:r>
      <w:r w:rsidRPr="00800DA9">
        <w:rPr>
          <w:b/>
          <w:bCs/>
          <w:spacing w:val="-4"/>
        </w:rPr>
        <w:t xml:space="preserve"> </w:t>
      </w:r>
      <w:r w:rsidRPr="00800DA9">
        <w:rPr>
          <w:b/>
          <w:bCs/>
        </w:rPr>
        <w:t>ve</w:t>
      </w:r>
      <w:r w:rsidRPr="00800DA9">
        <w:rPr>
          <w:b/>
          <w:bCs/>
          <w:spacing w:val="-4"/>
        </w:rPr>
        <w:t xml:space="preserve"> </w:t>
      </w:r>
      <w:r w:rsidRPr="00800DA9">
        <w:rPr>
          <w:b/>
          <w:bCs/>
        </w:rPr>
        <w:t>Eğitim</w:t>
      </w:r>
      <w:r w:rsidRPr="00800DA9">
        <w:rPr>
          <w:b/>
          <w:bCs/>
          <w:spacing w:val="1"/>
        </w:rPr>
        <w:t xml:space="preserve"> </w:t>
      </w:r>
      <w:r w:rsidRPr="00800DA9">
        <w:rPr>
          <w:b/>
          <w:bCs/>
        </w:rPr>
        <w:t>ile</w:t>
      </w:r>
      <w:r w:rsidRPr="00800DA9">
        <w:rPr>
          <w:b/>
          <w:bCs/>
          <w:spacing w:val="1"/>
        </w:rPr>
        <w:t xml:space="preserve"> </w:t>
      </w:r>
      <w:r w:rsidRPr="00800DA9">
        <w:rPr>
          <w:b/>
          <w:bCs/>
        </w:rPr>
        <w:t>ilgili</w:t>
      </w:r>
      <w:r w:rsidRPr="00800DA9">
        <w:rPr>
          <w:b/>
          <w:bCs/>
          <w:spacing w:val="-3"/>
        </w:rPr>
        <w:t xml:space="preserve"> </w:t>
      </w:r>
      <w:r w:rsidRPr="00800DA9">
        <w:rPr>
          <w:b/>
          <w:bCs/>
          <w:spacing w:val="-2"/>
        </w:rPr>
        <w:t>sorunlar</w:t>
      </w:r>
    </w:p>
    <w:p w14:paraId="66F65218" w14:textId="77777777" w:rsidR="00FF4BC0" w:rsidRDefault="00FF4BC0" w:rsidP="00BA67A6">
      <w:pPr>
        <w:pStyle w:val="GvdeMetni"/>
        <w:ind w:right="158"/>
        <w:jc w:val="both"/>
      </w:pPr>
      <w:r w:rsidRPr="00B24CA3">
        <w:t>Araştırmanın bulgularına göre, uluslararası öğrencilerin en sık zorlandığı dil yetersizliği olduğunu</w:t>
      </w:r>
      <w:r w:rsidRPr="00B24CA3">
        <w:rPr>
          <w:spacing w:val="-14"/>
        </w:rPr>
        <w:t xml:space="preserve"> </w:t>
      </w:r>
      <w:r w:rsidRPr="00B24CA3">
        <w:t>ortaya</w:t>
      </w:r>
      <w:r w:rsidRPr="00B24CA3">
        <w:rPr>
          <w:spacing w:val="-15"/>
        </w:rPr>
        <w:t xml:space="preserve"> </w:t>
      </w:r>
      <w:r w:rsidRPr="00B24CA3">
        <w:t>çıkmıştır.</w:t>
      </w:r>
      <w:r w:rsidRPr="00B24CA3">
        <w:rPr>
          <w:spacing w:val="-12"/>
        </w:rPr>
        <w:t xml:space="preserve"> </w:t>
      </w:r>
      <w:r w:rsidRPr="00B24CA3">
        <w:t>Dili</w:t>
      </w:r>
      <w:r w:rsidRPr="00B24CA3">
        <w:rPr>
          <w:spacing w:val="-15"/>
        </w:rPr>
        <w:t xml:space="preserve"> </w:t>
      </w:r>
      <w:r w:rsidRPr="00B24CA3">
        <w:t>yetersizliği</w:t>
      </w:r>
      <w:r w:rsidRPr="00B24CA3">
        <w:rPr>
          <w:spacing w:val="-13"/>
        </w:rPr>
        <w:t xml:space="preserve"> </w:t>
      </w:r>
      <w:r w:rsidRPr="00B24CA3">
        <w:t>öğrencilerin</w:t>
      </w:r>
      <w:r w:rsidRPr="00B24CA3">
        <w:rPr>
          <w:spacing w:val="-14"/>
        </w:rPr>
        <w:t xml:space="preserve"> </w:t>
      </w:r>
      <w:r w:rsidRPr="00B24CA3">
        <w:t>hem</w:t>
      </w:r>
      <w:r w:rsidRPr="00B24CA3">
        <w:rPr>
          <w:spacing w:val="-15"/>
        </w:rPr>
        <w:t xml:space="preserve"> </w:t>
      </w:r>
      <w:r w:rsidRPr="00B24CA3">
        <w:t>akademik</w:t>
      </w:r>
      <w:r w:rsidRPr="00B24CA3">
        <w:rPr>
          <w:spacing w:val="-14"/>
        </w:rPr>
        <w:t xml:space="preserve"> </w:t>
      </w:r>
      <w:r w:rsidRPr="00B24CA3">
        <w:t>hem</w:t>
      </w:r>
      <w:r w:rsidRPr="00B24CA3">
        <w:rPr>
          <w:spacing w:val="-15"/>
        </w:rPr>
        <w:t xml:space="preserve"> </w:t>
      </w:r>
      <w:r w:rsidRPr="00B24CA3">
        <w:t>de</w:t>
      </w:r>
      <w:r w:rsidRPr="00B24CA3">
        <w:rPr>
          <w:spacing w:val="-15"/>
        </w:rPr>
        <w:t xml:space="preserve"> </w:t>
      </w:r>
      <w:r w:rsidRPr="00B24CA3">
        <w:t>sosyal</w:t>
      </w:r>
      <w:r w:rsidRPr="00B24CA3">
        <w:rPr>
          <w:spacing w:val="-15"/>
        </w:rPr>
        <w:t xml:space="preserve"> </w:t>
      </w:r>
      <w:r w:rsidRPr="00B24CA3">
        <w:t>alanlarda çeşitli sorunlar yaşamaları için neden olmuş, özellikle Türkçeyi yeterince anlayamama, iyi düzeyde konuşamama ve kendini istenilen düzeyde ifade edememe gibi zorluklar, yabancı öğrencilerin Türkçe ile yönelik yaşadığı başlıca sorunlar arasında yer almaktadır (Kalaycı ve Göç,2023).</w:t>
      </w:r>
      <w:r w:rsidRPr="00B24CA3">
        <w:rPr>
          <w:spacing w:val="-7"/>
        </w:rPr>
        <w:t xml:space="preserve"> </w:t>
      </w:r>
      <w:r w:rsidRPr="00B24CA3">
        <w:t>Konuşma</w:t>
      </w:r>
      <w:r w:rsidRPr="00B24CA3">
        <w:rPr>
          <w:spacing w:val="-9"/>
        </w:rPr>
        <w:t xml:space="preserve"> </w:t>
      </w:r>
      <w:r w:rsidRPr="00B24CA3">
        <w:t>dili</w:t>
      </w:r>
      <w:r w:rsidRPr="00B24CA3">
        <w:rPr>
          <w:spacing w:val="-9"/>
        </w:rPr>
        <w:t xml:space="preserve"> </w:t>
      </w:r>
      <w:r w:rsidRPr="00B24CA3">
        <w:t>ve</w:t>
      </w:r>
      <w:r w:rsidRPr="00B24CA3">
        <w:rPr>
          <w:spacing w:val="-4"/>
        </w:rPr>
        <w:t xml:space="preserve"> </w:t>
      </w:r>
      <w:r w:rsidRPr="00B24CA3">
        <w:t>akademik</w:t>
      </w:r>
      <w:r w:rsidRPr="00B24CA3">
        <w:rPr>
          <w:spacing w:val="-8"/>
        </w:rPr>
        <w:t xml:space="preserve"> </w:t>
      </w:r>
      <w:r w:rsidRPr="00B24CA3">
        <w:t>dili</w:t>
      </w:r>
      <w:r w:rsidRPr="00B24CA3">
        <w:rPr>
          <w:spacing w:val="-9"/>
        </w:rPr>
        <w:t xml:space="preserve"> </w:t>
      </w:r>
      <w:r w:rsidRPr="00B24CA3">
        <w:t>arasındaki</w:t>
      </w:r>
      <w:r w:rsidRPr="00B24CA3">
        <w:rPr>
          <w:spacing w:val="-4"/>
        </w:rPr>
        <w:t xml:space="preserve"> </w:t>
      </w:r>
      <w:r w:rsidRPr="00B24CA3">
        <w:t>farklılıklar,</w:t>
      </w:r>
      <w:r w:rsidRPr="00B24CA3">
        <w:rPr>
          <w:spacing w:val="-8"/>
        </w:rPr>
        <w:t xml:space="preserve"> </w:t>
      </w:r>
      <w:r w:rsidRPr="00B24CA3">
        <w:t>yetersiz</w:t>
      </w:r>
      <w:r w:rsidRPr="00B24CA3">
        <w:rPr>
          <w:spacing w:val="-9"/>
        </w:rPr>
        <w:t xml:space="preserve"> </w:t>
      </w:r>
      <w:r w:rsidRPr="00B24CA3">
        <w:t>dil</w:t>
      </w:r>
      <w:r w:rsidRPr="00B24CA3">
        <w:rPr>
          <w:spacing w:val="-4"/>
        </w:rPr>
        <w:t xml:space="preserve"> </w:t>
      </w:r>
      <w:r w:rsidRPr="00B24CA3">
        <w:t>eğitimi</w:t>
      </w:r>
      <w:r w:rsidRPr="00B24CA3">
        <w:rPr>
          <w:spacing w:val="-9"/>
        </w:rPr>
        <w:t xml:space="preserve"> </w:t>
      </w:r>
      <w:proofErr w:type="spellStart"/>
      <w:r w:rsidRPr="00B24CA3">
        <w:t>veana</w:t>
      </w:r>
      <w:proofErr w:type="spellEnd"/>
      <w:r w:rsidRPr="00B24CA3">
        <w:rPr>
          <w:spacing w:val="-9"/>
        </w:rPr>
        <w:t xml:space="preserve"> </w:t>
      </w:r>
      <w:r w:rsidRPr="00B24CA3">
        <w:t>dil ile Türkçenin dilbilgisel yapıları arasındaki farkılar, yabancıların yaşamış oldukları dil konusundaki temel güçlüklerinden birdir.</w:t>
      </w:r>
    </w:p>
    <w:p w14:paraId="6DE8602A" w14:textId="77777777" w:rsidR="004C7694" w:rsidRPr="00B24CA3" w:rsidRDefault="004C7694" w:rsidP="00BA67A6">
      <w:pPr>
        <w:pStyle w:val="GvdeMetni"/>
        <w:ind w:right="158"/>
        <w:jc w:val="both"/>
      </w:pPr>
    </w:p>
    <w:p w14:paraId="12B846E7" w14:textId="77777777" w:rsidR="00FF4BC0" w:rsidRDefault="00FF4BC0" w:rsidP="00BA67A6">
      <w:pPr>
        <w:pStyle w:val="GvdeMetni"/>
        <w:ind w:right="161"/>
        <w:jc w:val="both"/>
      </w:pPr>
      <w:r w:rsidRPr="00B24CA3">
        <w:t>Katılımcıların</w:t>
      </w:r>
      <w:r w:rsidRPr="00B24CA3">
        <w:rPr>
          <w:spacing w:val="-3"/>
        </w:rPr>
        <w:t xml:space="preserve"> </w:t>
      </w:r>
      <w:r w:rsidRPr="00B24CA3">
        <w:t>yedisi,</w:t>
      </w:r>
      <w:r w:rsidRPr="00B24CA3">
        <w:rPr>
          <w:spacing w:val="-3"/>
        </w:rPr>
        <w:t xml:space="preserve"> </w:t>
      </w:r>
      <w:r w:rsidRPr="00B24CA3">
        <w:t>bir</w:t>
      </w:r>
      <w:r w:rsidRPr="00B24CA3">
        <w:rPr>
          <w:spacing w:val="-3"/>
        </w:rPr>
        <w:t xml:space="preserve"> </w:t>
      </w:r>
      <w:r w:rsidRPr="00B24CA3">
        <w:t>yıl</w:t>
      </w:r>
      <w:r w:rsidRPr="00B24CA3">
        <w:rPr>
          <w:spacing w:val="-5"/>
        </w:rPr>
        <w:t xml:space="preserve"> </w:t>
      </w:r>
      <w:r w:rsidRPr="00B24CA3">
        <w:t>boyunca</w:t>
      </w:r>
      <w:r w:rsidRPr="00B24CA3">
        <w:rPr>
          <w:spacing w:val="-5"/>
        </w:rPr>
        <w:t xml:space="preserve"> </w:t>
      </w:r>
      <w:r w:rsidRPr="00B24CA3">
        <w:t>TÖMER’de</w:t>
      </w:r>
      <w:r w:rsidRPr="00B24CA3">
        <w:rPr>
          <w:spacing w:val="-5"/>
        </w:rPr>
        <w:t xml:space="preserve"> </w:t>
      </w:r>
      <w:r w:rsidRPr="00B24CA3">
        <w:t>(Türkçe</w:t>
      </w:r>
      <w:r w:rsidRPr="00B24CA3">
        <w:rPr>
          <w:spacing w:val="-5"/>
        </w:rPr>
        <w:t xml:space="preserve"> </w:t>
      </w:r>
      <w:r w:rsidRPr="00B24CA3">
        <w:t>ve</w:t>
      </w:r>
      <w:r w:rsidRPr="00B24CA3">
        <w:rPr>
          <w:spacing w:val="-5"/>
        </w:rPr>
        <w:t xml:space="preserve"> </w:t>
      </w:r>
      <w:r w:rsidRPr="00B24CA3">
        <w:t>Yabancı</w:t>
      </w:r>
      <w:r w:rsidRPr="00B24CA3">
        <w:rPr>
          <w:spacing w:val="-5"/>
        </w:rPr>
        <w:t xml:space="preserve"> </w:t>
      </w:r>
      <w:r w:rsidRPr="00B24CA3">
        <w:t>Dil</w:t>
      </w:r>
      <w:r w:rsidRPr="00B24CA3">
        <w:rPr>
          <w:spacing w:val="-5"/>
        </w:rPr>
        <w:t xml:space="preserve"> </w:t>
      </w:r>
      <w:r w:rsidRPr="00B24CA3">
        <w:t>Öğretimi</w:t>
      </w:r>
      <w:r w:rsidRPr="00B24CA3">
        <w:rPr>
          <w:spacing w:val="-5"/>
        </w:rPr>
        <w:t xml:space="preserve"> </w:t>
      </w:r>
      <w:r w:rsidRPr="00B24CA3">
        <w:t>Araştırma ve Uygulama Merkezi) Türkçe eğitimi görmüş ve bu süre sonunda temel düzeyde Türkçe öğrenmişlerdir. Fakat, TÖMER’de öğretilen ve öğrenilen dilin daha çok günlük konuşmada kullanılan dili olduğunu yabancılar tarafından algılandığını araştırmanın bulguları arasından yer almaktadır. Bu nedenle, özellikle birinci sınıfta dersleri takip etmekte büyük zorluk yaşadıklarını belirtilmiştir. Bu konuda katılımcıların ifadeleri:</w:t>
      </w:r>
    </w:p>
    <w:p w14:paraId="236C4D87" w14:textId="77777777" w:rsidR="004C7694" w:rsidRPr="00B24CA3" w:rsidRDefault="004C7694" w:rsidP="00BA67A6">
      <w:pPr>
        <w:pStyle w:val="GvdeMetni"/>
        <w:ind w:right="161"/>
        <w:jc w:val="both"/>
      </w:pPr>
    </w:p>
    <w:p w14:paraId="4284B9C6" w14:textId="77777777" w:rsidR="00FF4BC0" w:rsidRPr="00B24CA3" w:rsidRDefault="00FF4BC0">
      <w:pPr>
        <w:pStyle w:val="ListeParagraf"/>
        <w:numPr>
          <w:ilvl w:val="0"/>
          <w:numId w:val="28"/>
        </w:numPr>
        <w:tabs>
          <w:tab w:val="left" w:pos="1168"/>
        </w:tabs>
        <w:ind w:left="1168" w:right="161"/>
        <w:contextualSpacing w:val="0"/>
        <w:jc w:val="both"/>
      </w:pPr>
      <w:r w:rsidRPr="00B24CA3">
        <w:t>Gine’de</w:t>
      </w:r>
      <w:r w:rsidRPr="00B24CA3">
        <w:rPr>
          <w:spacing w:val="-15"/>
        </w:rPr>
        <w:t xml:space="preserve"> </w:t>
      </w:r>
      <w:r w:rsidRPr="00B24CA3">
        <w:t>Fransızca</w:t>
      </w:r>
      <w:r w:rsidRPr="00B24CA3">
        <w:rPr>
          <w:spacing w:val="-15"/>
        </w:rPr>
        <w:t xml:space="preserve"> </w:t>
      </w:r>
      <w:r w:rsidRPr="00B24CA3">
        <w:t>konuşulmaktadır</w:t>
      </w:r>
      <w:r w:rsidRPr="00B24CA3">
        <w:rPr>
          <w:spacing w:val="-15"/>
        </w:rPr>
        <w:t xml:space="preserve"> </w:t>
      </w:r>
      <w:r w:rsidRPr="00B24CA3">
        <w:t>ve</w:t>
      </w:r>
      <w:r w:rsidRPr="00B24CA3">
        <w:rPr>
          <w:spacing w:val="-15"/>
        </w:rPr>
        <w:t xml:space="preserve"> </w:t>
      </w:r>
      <w:r w:rsidRPr="00B24CA3">
        <w:t>ben</w:t>
      </w:r>
      <w:r w:rsidRPr="00B24CA3">
        <w:rPr>
          <w:spacing w:val="-15"/>
        </w:rPr>
        <w:t xml:space="preserve"> </w:t>
      </w:r>
      <w:r w:rsidRPr="00B24CA3">
        <w:t>lisansımı</w:t>
      </w:r>
      <w:r w:rsidRPr="00B24CA3">
        <w:rPr>
          <w:spacing w:val="-13"/>
        </w:rPr>
        <w:t xml:space="preserve"> </w:t>
      </w:r>
      <w:r w:rsidRPr="00B24CA3">
        <w:t>Fransızca</w:t>
      </w:r>
      <w:r w:rsidRPr="00B24CA3">
        <w:rPr>
          <w:spacing w:val="-15"/>
        </w:rPr>
        <w:t xml:space="preserve"> </w:t>
      </w:r>
      <w:r w:rsidRPr="00B24CA3">
        <w:t>diliyle</w:t>
      </w:r>
      <w:r w:rsidRPr="00B24CA3">
        <w:rPr>
          <w:spacing w:val="-15"/>
        </w:rPr>
        <w:t xml:space="preserve"> </w:t>
      </w:r>
      <w:r w:rsidRPr="00B24CA3">
        <w:t>okudum.</w:t>
      </w:r>
      <w:r w:rsidRPr="00B24CA3">
        <w:rPr>
          <w:spacing w:val="-13"/>
        </w:rPr>
        <w:t xml:space="preserve"> </w:t>
      </w:r>
      <w:r w:rsidRPr="00B24CA3">
        <w:t>Türkçe, Fransızcaya göre dil yapısı açısından tamamen farklı bir dil olduğundan, dil öğrenme sürecinde zorluklar yaşadım. Bir Türkçe cümle kurmak istediğimde Fransızcanın dil yapısı aklıma geliyordu ve yüklemin yerlerini oturtturmakta güçlük çekmiştim için benim dil öğrenmem uzun sürdü. Kafamda bir cümle kurarakken hep Fransızca gibi düşünüyordum ve fil yerini tam oturtturamıyordum I.S.4.</w:t>
      </w:r>
    </w:p>
    <w:p w14:paraId="78D7C10F" w14:textId="77777777" w:rsidR="00FF4BC0" w:rsidRPr="00B24CA3" w:rsidRDefault="00FF4BC0">
      <w:pPr>
        <w:pStyle w:val="ListeParagraf"/>
        <w:numPr>
          <w:ilvl w:val="0"/>
          <w:numId w:val="28"/>
        </w:numPr>
        <w:tabs>
          <w:tab w:val="left" w:pos="1168"/>
        </w:tabs>
        <w:ind w:left="1168" w:right="157"/>
        <w:contextualSpacing w:val="0"/>
        <w:jc w:val="both"/>
      </w:pPr>
      <w:r w:rsidRPr="00B24CA3">
        <w:t>Türkçe hazırlık sürecinde biraz güçlüklerle karşılaştım, ancak hem Türkçe konuşan yabancı öğrencilerle hem de Türk arkadaşlarımla sürekli iletişim içinde olduğum için bu zorlukları büyük ölçüde aşabildim. Üniversite ortamında dilin Türkçe olması, akademik ortamına uyumakta ve akademik başarıma sınırlı bir etki yarattığını düşünmüyorum I.S.1.</w:t>
      </w:r>
    </w:p>
    <w:p w14:paraId="08165E61" w14:textId="77777777" w:rsidR="00FF4BC0" w:rsidRPr="00B24CA3" w:rsidRDefault="00FF4BC0">
      <w:pPr>
        <w:pStyle w:val="ListeParagraf"/>
        <w:numPr>
          <w:ilvl w:val="0"/>
          <w:numId w:val="28"/>
        </w:numPr>
        <w:tabs>
          <w:tab w:val="left" w:pos="1168"/>
        </w:tabs>
        <w:ind w:left="1168" w:right="162"/>
        <w:contextualSpacing w:val="0"/>
        <w:jc w:val="both"/>
      </w:pPr>
      <w:r w:rsidRPr="00B24CA3">
        <w:t>Türkçem yeterli düzeyde değil. Sunum hazırlamak ve akademik makale yazmakta Türkçem yetersiz kalıyor I.S.5.</w:t>
      </w:r>
    </w:p>
    <w:p w14:paraId="5D2F615D" w14:textId="77777777" w:rsidR="00FF4BC0" w:rsidRPr="00B24CA3" w:rsidRDefault="00FF4BC0">
      <w:pPr>
        <w:pStyle w:val="ListeParagraf"/>
        <w:numPr>
          <w:ilvl w:val="0"/>
          <w:numId w:val="28"/>
        </w:numPr>
        <w:tabs>
          <w:tab w:val="left" w:pos="1168"/>
        </w:tabs>
        <w:ind w:left="1168" w:right="159"/>
        <w:contextualSpacing w:val="0"/>
        <w:jc w:val="both"/>
      </w:pPr>
      <w:r w:rsidRPr="00B24CA3">
        <w:t>TÖMER’de öğrendiğim dil, genellikle sosyal ortamlarda kullanmama olanak tanıdı. Sosyal</w:t>
      </w:r>
      <w:r w:rsidRPr="00B24CA3">
        <w:rPr>
          <w:spacing w:val="-12"/>
        </w:rPr>
        <w:t xml:space="preserve"> </w:t>
      </w:r>
      <w:r w:rsidRPr="00B24CA3">
        <w:t>ortamda</w:t>
      </w:r>
      <w:r w:rsidRPr="00B24CA3">
        <w:rPr>
          <w:spacing w:val="-12"/>
        </w:rPr>
        <w:t xml:space="preserve"> </w:t>
      </w:r>
      <w:r w:rsidRPr="00B24CA3">
        <w:t>istediğim</w:t>
      </w:r>
      <w:r w:rsidRPr="00B24CA3">
        <w:rPr>
          <w:spacing w:val="-12"/>
        </w:rPr>
        <w:t xml:space="preserve"> </w:t>
      </w:r>
      <w:r w:rsidRPr="00B24CA3">
        <w:t>konular</w:t>
      </w:r>
      <w:r w:rsidRPr="00B24CA3">
        <w:rPr>
          <w:spacing w:val="-10"/>
        </w:rPr>
        <w:t xml:space="preserve"> </w:t>
      </w:r>
      <w:r w:rsidRPr="00B24CA3">
        <w:t>hakkında</w:t>
      </w:r>
      <w:r w:rsidRPr="00B24CA3">
        <w:rPr>
          <w:spacing w:val="-12"/>
        </w:rPr>
        <w:t xml:space="preserve"> </w:t>
      </w:r>
      <w:r w:rsidRPr="00B24CA3">
        <w:t>konuşabilsem</w:t>
      </w:r>
      <w:r w:rsidRPr="00B24CA3">
        <w:rPr>
          <w:spacing w:val="-12"/>
        </w:rPr>
        <w:t xml:space="preserve"> </w:t>
      </w:r>
      <w:proofErr w:type="gramStart"/>
      <w:r w:rsidRPr="00B24CA3">
        <w:t>de,</w:t>
      </w:r>
      <w:proofErr w:type="gramEnd"/>
      <w:r w:rsidRPr="00B24CA3">
        <w:rPr>
          <w:spacing w:val="-10"/>
        </w:rPr>
        <w:t xml:space="preserve"> </w:t>
      </w:r>
      <w:r w:rsidRPr="00B24CA3">
        <w:t>akademik</w:t>
      </w:r>
      <w:r w:rsidRPr="00B24CA3">
        <w:rPr>
          <w:spacing w:val="-11"/>
        </w:rPr>
        <w:t xml:space="preserve"> </w:t>
      </w:r>
      <w:r w:rsidRPr="00B24CA3">
        <w:t>ortama</w:t>
      </w:r>
      <w:r w:rsidRPr="00B24CA3">
        <w:rPr>
          <w:spacing w:val="-12"/>
        </w:rPr>
        <w:t xml:space="preserve"> </w:t>
      </w:r>
      <w:r w:rsidRPr="00B24CA3">
        <w:t>gelince çoğu kelimeleri bilmediğimi fark ediyorum I.S.3.</w:t>
      </w:r>
    </w:p>
    <w:p w14:paraId="7DB71A7A" w14:textId="77777777" w:rsidR="00FF4BC0" w:rsidRPr="00B24CA3" w:rsidRDefault="00FF4BC0">
      <w:pPr>
        <w:pStyle w:val="ListeParagraf"/>
        <w:numPr>
          <w:ilvl w:val="0"/>
          <w:numId w:val="28"/>
        </w:numPr>
        <w:tabs>
          <w:tab w:val="left" w:pos="1168"/>
        </w:tabs>
        <w:ind w:left="1168" w:right="161"/>
        <w:contextualSpacing w:val="0"/>
        <w:jc w:val="both"/>
      </w:pPr>
      <w:r w:rsidRPr="00B24CA3">
        <w:t>Genel olarak hocaların anlattıklarını anlıyorum, ancak konuşma ve yazmada zorlanıyorum.</w:t>
      </w:r>
      <w:r w:rsidRPr="00B24CA3">
        <w:rPr>
          <w:spacing w:val="-10"/>
        </w:rPr>
        <w:t xml:space="preserve"> </w:t>
      </w:r>
      <w:r w:rsidRPr="00B24CA3">
        <w:t>Bu</w:t>
      </w:r>
      <w:r w:rsidRPr="00B24CA3">
        <w:rPr>
          <w:spacing w:val="-9"/>
        </w:rPr>
        <w:t xml:space="preserve"> </w:t>
      </w:r>
      <w:r w:rsidRPr="00B24CA3">
        <w:t>da</w:t>
      </w:r>
      <w:r w:rsidRPr="00B24CA3">
        <w:rPr>
          <w:spacing w:val="-6"/>
        </w:rPr>
        <w:t xml:space="preserve"> </w:t>
      </w:r>
      <w:r w:rsidRPr="00B24CA3">
        <w:t>çalışma</w:t>
      </w:r>
      <w:r w:rsidRPr="00B24CA3">
        <w:rPr>
          <w:spacing w:val="-11"/>
        </w:rPr>
        <w:t xml:space="preserve"> </w:t>
      </w:r>
      <w:r w:rsidRPr="00B24CA3">
        <w:t>saatlerimi</w:t>
      </w:r>
      <w:r w:rsidRPr="00B24CA3">
        <w:rPr>
          <w:spacing w:val="-6"/>
        </w:rPr>
        <w:t xml:space="preserve"> </w:t>
      </w:r>
      <w:r w:rsidRPr="00B24CA3">
        <w:t>uzattığından</w:t>
      </w:r>
      <w:r w:rsidRPr="00B24CA3">
        <w:rPr>
          <w:spacing w:val="-4"/>
        </w:rPr>
        <w:t xml:space="preserve"> </w:t>
      </w:r>
      <w:r w:rsidRPr="00B24CA3">
        <w:t>diğer</w:t>
      </w:r>
      <w:r w:rsidRPr="00B24CA3">
        <w:rPr>
          <w:spacing w:val="-10"/>
        </w:rPr>
        <w:t xml:space="preserve"> </w:t>
      </w:r>
      <w:r w:rsidRPr="00B24CA3">
        <w:t>derslerin</w:t>
      </w:r>
      <w:r w:rsidRPr="00B24CA3">
        <w:rPr>
          <w:spacing w:val="-10"/>
        </w:rPr>
        <w:t xml:space="preserve"> </w:t>
      </w:r>
      <w:r w:rsidRPr="00B24CA3">
        <w:t>ödevleri</w:t>
      </w:r>
      <w:r w:rsidRPr="00B24CA3">
        <w:rPr>
          <w:spacing w:val="-11"/>
        </w:rPr>
        <w:t xml:space="preserve"> </w:t>
      </w:r>
      <w:r w:rsidRPr="00B24CA3">
        <w:t>yetiştirme için zamanım kalmıyor I.S.7</w:t>
      </w:r>
    </w:p>
    <w:p w14:paraId="747FB786" w14:textId="77777777" w:rsidR="00FF4BC0" w:rsidRPr="00B24CA3" w:rsidRDefault="00FF4BC0">
      <w:pPr>
        <w:pStyle w:val="ListeParagraf"/>
        <w:numPr>
          <w:ilvl w:val="0"/>
          <w:numId w:val="28"/>
        </w:numPr>
        <w:tabs>
          <w:tab w:val="left" w:pos="1167"/>
        </w:tabs>
        <w:ind w:left="1167" w:hanging="359"/>
        <w:contextualSpacing w:val="0"/>
        <w:jc w:val="both"/>
      </w:pPr>
      <w:r w:rsidRPr="00B24CA3">
        <w:t>‘’Türkçeyi</w:t>
      </w:r>
      <w:r w:rsidRPr="00B24CA3">
        <w:rPr>
          <w:spacing w:val="-3"/>
        </w:rPr>
        <w:t xml:space="preserve"> </w:t>
      </w:r>
      <w:r w:rsidRPr="00B24CA3">
        <w:t>daha</w:t>
      </w:r>
      <w:r w:rsidRPr="00B24CA3">
        <w:rPr>
          <w:spacing w:val="-3"/>
        </w:rPr>
        <w:t xml:space="preserve"> </w:t>
      </w:r>
      <w:r w:rsidRPr="00B24CA3">
        <w:t>önceden</w:t>
      </w:r>
      <w:r w:rsidRPr="00B24CA3">
        <w:rPr>
          <w:spacing w:val="-2"/>
        </w:rPr>
        <w:t xml:space="preserve"> </w:t>
      </w:r>
      <w:r w:rsidRPr="00B24CA3">
        <w:t>öğrendiğim</w:t>
      </w:r>
      <w:r w:rsidRPr="00B24CA3">
        <w:rPr>
          <w:spacing w:val="-3"/>
        </w:rPr>
        <w:t xml:space="preserve"> </w:t>
      </w:r>
      <w:r w:rsidRPr="00B24CA3">
        <w:t>için</w:t>
      </w:r>
      <w:r w:rsidRPr="00B24CA3">
        <w:rPr>
          <w:spacing w:val="-1"/>
        </w:rPr>
        <w:t xml:space="preserve"> </w:t>
      </w:r>
      <w:r w:rsidRPr="00B24CA3">
        <w:t>dil</w:t>
      </w:r>
      <w:r w:rsidRPr="00B24CA3">
        <w:rPr>
          <w:spacing w:val="-4"/>
        </w:rPr>
        <w:t xml:space="preserve"> </w:t>
      </w:r>
      <w:r w:rsidRPr="00B24CA3">
        <w:t>sorunu</w:t>
      </w:r>
      <w:r w:rsidRPr="00B24CA3">
        <w:rPr>
          <w:spacing w:val="-1"/>
        </w:rPr>
        <w:t xml:space="preserve"> </w:t>
      </w:r>
      <w:r w:rsidRPr="00B24CA3">
        <w:t>yaşamadım’’</w:t>
      </w:r>
      <w:r w:rsidRPr="00B24CA3">
        <w:rPr>
          <w:spacing w:val="2"/>
        </w:rPr>
        <w:t xml:space="preserve"> </w:t>
      </w:r>
      <w:r w:rsidRPr="00B24CA3">
        <w:rPr>
          <w:spacing w:val="-2"/>
        </w:rPr>
        <w:t>I.S.6.</w:t>
      </w:r>
    </w:p>
    <w:p w14:paraId="62B07D99" w14:textId="77777777" w:rsidR="00FF4BC0" w:rsidRPr="00B24CA3" w:rsidRDefault="00FF4BC0">
      <w:pPr>
        <w:pStyle w:val="ListeParagraf"/>
        <w:numPr>
          <w:ilvl w:val="0"/>
          <w:numId w:val="28"/>
        </w:numPr>
        <w:tabs>
          <w:tab w:val="left" w:pos="1168"/>
        </w:tabs>
        <w:ind w:left="1168" w:right="161"/>
        <w:contextualSpacing w:val="0"/>
        <w:jc w:val="both"/>
      </w:pPr>
      <w:r w:rsidRPr="00B24CA3">
        <w:t>Hocalar çok hızlı konuşuyorlar ve deresilerinde onları anlamakta sorun yaşıyorum. Ayrıca,</w:t>
      </w:r>
      <w:r w:rsidRPr="00B24CA3">
        <w:rPr>
          <w:spacing w:val="-15"/>
        </w:rPr>
        <w:t xml:space="preserve"> </w:t>
      </w:r>
      <w:r w:rsidRPr="00B24CA3">
        <w:t>seminer</w:t>
      </w:r>
      <w:r w:rsidRPr="00B24CA3">
        <w:rPr>
          <w:spacing w:val="-15"/>
        </w:rPr>
        <w:t xml:space="preserve"> </w:t>
      </w:r>
      <w:r w:rsidRPr="00B24CA3">
        <w:t>dersinde</w:t>
      </w:r>
      <w:r w:rsidRPr="00B24CA3">
        <w:rPr>
          <w:spacing w:val="-15"/>
        </w:rPr>
        <w:t xml:space="preserve"> </w:t>
      </w:r>
      <w:r w:rsidRPr="00B24CA3">
        <w:t>sunum</w:t>
      </w:r>
      <w:r w:rsidRPr="00B24CA3">
        <w:rPr>
          <w:spacing w:val="-15"/>
        </w:rPr>
        <w:t xml:space="preserve"> </w:t>
      </w:r>
      <w:r w:rsidRPr="00B24CA3">
        <w:t>yaparken</w:t>
      </w:r>
      <w:r w:rsidRPr="00B24CA3">
        <w:rPr>
          <w:spacing w:val="-15"/>
        </w:rPr>
        <w:t xml:space="preserve"> </w:t>
      </w:r>
      <w:r w:rsidRPr="00B24CA3">
        <w:t>istediği</w:t>
      </w:r>
      <w:r w:rsidRPr="00B24CA3">
        <w:rPr>
          <w:spacing w:val="-15"/>
        </w:rPr>
        <w:t xml:space="preserve"> </w:t>
      </w:r>
      <w:r w:rsidRPr="00B24CA3">
        <w:t>gibi</w:t>
      </w:r>
      <w:r w:rsidRPr="00B24CA3">
        <w:rPr>
          <w:spacing w:val="-15"/>
        </w:rPr>
        <w:t xml:space="preserve"> </w:t>
      </w:r>
      <w:r w:rsidRPr="00B24CA3">
        <w:t>kendime</w:t>
      </w:r>
      <w:r w:rsidRPr="00B24CA3">
        <w:rPr>
          <w:spacing w:val="-15"/>
        </w:rPr>
        <w:t xml:space="preserve"> </w:t>
      </w:r>
      <w:r w:rsidRPr="00B24CA3">
        <w:t>ifade</w:t>
      </w:r>
      <w:r w:rsidRPr="00B24CA3">
        <w:rPr>
          <w:spacing w:val="-15"/>
        </w:rPr>
        <w:t xml:space="preserve"> </w:t>
      </w:r>
      <w:r w:rsidRPr="00B24CA3">
        <w:t>edemediğimi</w:t>
      </w:r>
      <w:r w:rsidRPr="00B24CA3">
        <w:rPr>
          <w:spacing w:val="-15"/>
        </w:rPr>
        <w:t xml:space="preserve"> </w:t>
      </w:r>
      <w:r w:rsidRPr="00B24CA3">
        <w:t>fark ettim I.S.5.</w:t>
      </w:r>
    </w:p>
    <w:p w14:paraId="27CF4268" w14:textId="77777777" w:rsidR="00FF4BC0" w:rsidRPr="00B24CA3" w:rsidRDefault="00FF4BC0" w:rsidP="00BA67A6">
      <w:pPr>
        <w:pStyle w:val="ListeParagraf"/>
        <w:jc w:val="both"/>
        <w:sectPr w:rsidR="00FF4BC0" w:rsidRPr="00B24CA3" w:rsidSect="007513A1">
          <w:type w:val="continuous"/>
          <w:pgSz w:w="11906" w:h="16838"/>
          <w:pgMar w:top="1418" w:right="1418" w:bottom="1418" w:left="1418" w:header="1304" w:footer="1361" w:gutter="0"/>
          <w:cols w:space="708"/>
        </w:sectPr>
      </w:pPr>
    </w:p>
    <w:p w14:paraId="553351DE" w14:textId="77777777" w:rsidR="00FF4BC0" w:rsidRPr="004C7694" w:rsidRDefault="00FF4BC0">
      <w:pPr>
        <w:pStyle w:val="ListeParagraf"/>
        <w:numPr>
          <w:ilvl w:val="0"/>
          <w:numId w:val="28"/>
        </w:numPr>
        <w:tabs>
          <w:tab w:val="left" w:pos="1168"/>
        </w:tabs>
        <w:ind w:left="1168" w:right="157"/>
        <w:contextualSpacing w:val="0"/>
        <w:jc w:val="both"/>
      </w:pPr>
      <w:r w:rsidRPr="00B24CA3">
        <w:t>Amacım iyi bir eğitim alıp ülkeme döndükten sonra Türkçe öğretmektir, ancak eğitim içeriğinin</w:t>
      </w:r>
      <w:r w:rsidRPr="00B24CA3">
        <w:rPr>
          <w:spacing w:val="-6"/>
        </w:rPr>
        <w:t xml:space="preserve"> </w:t>
      </w:r>
      <w:r w:rsidRPr="00B24CA3">
        <w:t>beklediğimden</w:t>
      </w:r>
      <w:r w:rsidRPr="00B24CA3">
        <w:rPr>
          <w:spacing w:val="-7"/>
        </w:rPr>
        <w:t xml:space="preserve"> </w:t>
      </w:r>
      <w:r w:rsidRPr="00B24CA3">
        <w:t>daha</w:t>
      </w:r>
      <w:r w:rsidRPr="00B24CA3">
        <w:rPr>
          <w:spacing w:val="-7"/>
        </w:rPr>
        <w:t xml:space="preserve"> </w:t>
      </w:r>
      <w:r w:rsidRPr="00B24CA3">
        <w:t>kapsamlı</w:t>
      </w:r>
      <w:r w:rsidRPr="00B24CA3">
        <w:rPr>
          <w:spacing w:val="-7"/>
        </w:rPr>
        <w:t xml:space="preserve"> </w:t>
      </w:r>
      <w:r w:rsidRPr="00B24CA3">
        <w:t>olması</w:t>
      </w:r>
      <w:r w:rsidRPr="00B24CA3">
        <w:rPr>
          <w:spacing w:val="-8"/>
        </w:rPr>
        <w:t xml:space="preserve"> </w:t>
      </w:r>
      <w:r w:rsidRPr="00B24CA3">
        <w:t>ve</w:t>
      </w:r>
      <w:r w:rsidRPr="00B24CA3">
        <w:rPr>
          <w:spacing w:val="-3"/>
        </w:rPr>
        <w:t xml:space="preserve"> </w:t>
      </w:r>
      <w:r w:rsidRPr="00B24CA3">
        <w:t>Türkçemin</w:t>
      </w:r>
      <w:r w:rsidRPr="00B24CA3">
        <w:rPr>
          <w:spacing w:val="-2"/>
        </w:rPr>
        <w:t xml:space="preserve"> </w:t>
      </w:r>
      <w:r w:rsidRPr="00B24CA3">
        <w:t>yetersiz</w:t>
      </w:r>
      <w:r w:rsidRPr="00B24CA3">
        <w:rPr>
          <w:spacing w:val="-8"/>
        </w:rPr>
        <w:t xml:space="preserve"> </w:t>
      </w:r>
      <w:r w:rsidRPr="00B24CA3">
        <w:t>kalması,</w:t>
      </w:r>
      <w:r w:rsidRPr="00B24CA3">
        <w:rPr>
          <w:spacing w:val="-6"/>
        </w:rPr>
        <w:t xml:space="preserve"> </w:t>
      </w:r>
      <w:r w:rsidRPr="00B24CA3">
        <w:t>okulda elde</w:t>
      </w:r>
      <w:r w:rsidRPr="00B24CA3">
        <w:rPr>
          <w:spacing w:val="-11"/>
        </w:rPr>
        <w:t xml:space="preserve"> </w:t>
      </w:r>
      <w:r w:rsidRPr="00B24CA3">
        <w:t>etmek</w:t>
      </w:r>
      <w:r w:rsidRPr="00B24CA3">
        <w:rPr>
          <w:spacing w:val="-10"/>
        </w:rPr>
        <w:t xml:space="preserve"> </w:t>
      </w:r>
      <w:r w:rsidRPr="00B24CA3">
        <w:t>istediğim</w:t>
      </w:r>
      <w:r w:rsidRPr="00B24CA3">
        <w:rPr>
          <w:spacing w:val="-11"/>
        </w:rPr>
        <w:t xml:space="preserve"> </w:t>
      </w:r>
      <w:r w:rsidRPr="00B24CA3">
        <w:t>başarıyı</w:t>
      </w:r>
      <w:r w:rsidRPr="00B24CA3">
        <w:rPr>
          <w:spacing w:val="-11"/>
        </w:rPr>
        <w:t xml:space="preserve"> </w:t>
      </w:r>
      <w:r w:rsidRPr="00B24CA3">
        <w:t>zorlaştırarak</w:t>
      </w:r>
      <w:r w:rsidRPr="00B24CA3">
        <w:rPr>
          <w:spacing w:val="-10"/>
        </w:rPr>
        <w:t xml:space="preserve"> </w:t>
      </w:r>
      <w:r w:rsidRPr="00B24CA3">
        <w:t>motivasyonumu</w:t>
      </w:r>
      <w:r w:rsidRPr="00B24CA3">
        <w:rPr>
          <w:spacing w:val="-10"/>
        </w:rPr>
        <w:t xml:space="preserve"> </w:t>
      </w:r>
      <w:r w:rsidRPr="00B24CA3">
        <w:t>olumsuz</w:t>
      </w:r>
      <w:r w:rsidRPr="00B24CA3">
        <w:rPr>
          <w:spacing w:val="-11"/>
        </w:rPr>
        <w:t xml:space="preserve"> </w:t>
      </w:r>
      <w:r w:rsidRPr="00B24CA3">
        <w:t>yönde</w:t>
      </w:r>
      <w:r w:rsidRPr="00B24CA3">
        <w:rPr>
          <w:spacing w:val="-11"/>
        </w:rPr>
        <w:t xml:space="preserve"> </w:t>
      </w:r>
      <w:r w:rsidRPr="00B24CA3">
        <w:t xml:space="preserve">etkilemiştir </w:t>
      </w:r>
      <w:r w:rsidRPr="00B24CA3">
        <w:rPr>
          <w:spacing w:val="-2"/>
        </w:rPr>
        <w:t>I.S.8.</w:t>
      </w:r>
    </w:p>
    <w:p w14:paraId="15904412" w14:textId="77777777" w:rsidR="004C7694" w:rsidRDefault="004C7694" w:rsidP="004C7694">
      <w:pPr>
        <w:pStyle w:val="ListeParagraf"/>
      </w:pPr>
    </w:p>
    <w:p w14:paraId="4520C772" w14:textId="77777777" w:rsidR="004C7694" w:rsidRPr="00B24CA3" w:rsidRDefault="004C7694" w:rsidP="004C7694">
      <w:pPr>
        <w:tabs>
          <w:tab w:val="left" w:pos="1168"/>
        </w:tabs>
        <w:ind w:right="157"/>
        <w:jc w:val="both"/>
      </w:pPr>
    </w:p>
    <w:p w14:paraId="2CD8936E" w14:textId="77777777" w:rsidR="00FF4BC0" w:rsidRPr="00B24CA3" w:rsidRDefault="00FF4BC0" w:rsidP="00BA67A6">
      <w:pPr>
        <w:pStyle w:val="GvdeMetni"/>
        <w:ind w:right="157"/>
        <w:jc w:val="both"/>
      </w:pPr>
      <w:r w:rsidRPr="00B24CA3">
        <w:t>Katılımcıların çoğu, Türkçe hazırlık eğitimi almalarına rağmen akademik alanda edindikleri dil becerileri yeterli olmadıklarını belirtmiştir. Bu durum, özellikle sosyal bilimler alanında eğitim gören öğrenciler için, sunum hazırlarken ya da akademik makale yazarken uygun olan akademik</w:t>
      </w:r>
      <w:r w:rsidRPr="00B24CA3">
        <w:rPr>
          <w:spacing w:val="-2"/>
        </w:rPr>
        <w:t xml:space="preserve"> </w:t>
      </w:r>
      <w:r w:rsidRPr="00B24CA3">
        <w:t>terminolojileri kullanamama ve akıcı</w:t>
      </w:r>
      <w:r w:rsidRPr="00B24CA3">
        <w:rPr>
          <w:spacing w:val="-3"/>
        </w:rPr>
        <w:t xml:space="preserve"> </w:t>
      </w:r>
      <w:r w:rsidRPr="00B24CA3">
        <w:t>bir düzeyde ifade edememe</w:t>
      </w:r>
      <w:r w:rsidRPr="00B24CA3">
        <w:rPr>
          <w:spacing w:val="-2"/>
        </w:rPr>
        <w:t xml:space="preserve"> </w:t>
      </w:r>
      <w:r w:rsidRPr="00B24CA3">
        <w:t>gibi</w:t>
      </w:r>
      <w:r w:rsidRPr="00B24CA3">
        <w:rPr>
          <w:spacing w:val="-4"/>
        </w:rPr>
        <w:t xml:space="preserve"> </w:t>
      </w:r>
      <w:r w:rsidRPr="00B24CA3">
        <w:t>sorunlara</w:t>
      </w:r>
      <w:r w:rsidRPr="00B24CA3">
        <w:rPr>
          <w:spacing w:val="-4"/>
        </w:rPr>
        <w:t xml:space="preserve"> </w:t>
      </w:r>
      <w:r w:rsidRPr="00B24CA3">
        <w:t xml:space="preserve">yol açmaktadır. Mühendislik alanında okuyan öğrenciler için ise dil yeterliliği konusunun görece daha az sorun teşkil ettiği tespit edilmiştir. Bunun başlıca nedenleri arasında, mühendislik terminolojisinin tanıdık olması ve derslerde ağırlıklı olarak matematiksel işlemlere odaklanılması yer almaktadır. Bu faktörler, mühendislik öğrencilerinin sosyal bilimler </w:t>
      </w:r>
      <w:r w:rsidRPr="00B24CA3">
        <w:lastRenderedPageBreak/>
        <w:t>enstitüsünde eğitim gören yabancılara göre daha az zorluk yaşamasına katkı sağlamaktadır.</w:t>
      </w:r>
    </w:p>
    <w:p w14:paraId="0B9CBE61" w14:textId="77777777" w:rsidR="00FF4BC0" w:rsidRPr="00B24CA3" w:rsidRDefault="00FF4BC0" w:rsidP="00BA67A6">
      <w:pPr>
        <w:pStyle w:val="GvdeMetni"/>
        <w:jc w:val="both"/>
      </w:pPr>
    </w:p>
    <w:p w14:paraId="1740336E" w14:textId="77777777" w:rsidR="00FF4BC0" w:rsidRDefault="00FF4BC0" w:rsidP="00BA67A6">
      <w:pPr>
        <w:pStyle w:val="GvdeMetni"/>
        <w:ind w:right="157"/>
        <w:jc w:val="both"/>
      </w:pPr>
      <w:r w:rsidRPr="00B24CA3">
        <w:t>Katılımcılardan birisi ise, hocaların hızlı konuşmalarından dolayı dersleri anlamakta ve eğitmenleri takip etmekte güçlük çektiğini vurgulamıştır.</w:t>
      </w:r>
      <w:r w:rsidRPr="00B24CA3">
        <w:rPr>
          <w:spacing w:val="40"/>
        </w:rPr>
        <w:t xml:space="preserve"> </w:t>
      </w:r>
      <w:r w:rsidRPr="00B24CA3">
        <w:t>Yedi katılımcı, Türkçe dil hazırlık eğitimi sürecinde KYK yurtlarında konaklamıştır. Bu durum, yabancı öğrenciler için hem dil öğrenme sürecinde hem avantajlı hem de dezavantajlı olarak değerlendirilmiştir. Türk öğrencilerle ayna odada kalanlar için bu durum, dil pratiği yapma fırsatı sağlayarak öğrenme sürecinin olumlu yönde etkilemiştir. Ancak yalnızca diğer yabancı öğrencilerle kalanlar veya en az bir ortak dili konuşan yabancıların ayna odada bulunduğu durumların, dil öğrenme sürecini olumsuz yönde etkilediği ifade edilmiştir.</w:t>
      </w:r>
    </w:p>
    <w:p w14:paraId="2236D2A8" w14:textId="77777777" w:rsidR="004C7694" w:rsidRPr="00B24CA3" w:rsidRDefault="004C7694" w:rsidP="00BA67A6">
      <w:pPr>
        <w:pStyle w:val="GvdeMetni"/>
        <w:ind w:right="157"/>
        <w:jc w:val="both"/>
      </w:pPr>
    </w:p>
    <w:p w14:paraId="1501D28A" w14:textId="77777777" w:rsidR="00FF4BC0" w:rsidRPr="00800DA9" w:rsidRDefault="00FF4BC0" w:rsidP="00BA67A6">
      <w:pPr>
        <w:rPr>
          <w:b/>
          <w:bCs/>
        </w:rPr>
      </w:pPr>
      <w:r w:rsidRPr="00800DA9">
        <w:rPr>
          <w:b/>
          <w:bCs/>
        </w:rPr>
        <w:t>Kültürel</w:t>
      </w:r>
      <w:r w:rsidRPr="00800DA9">
        <w:rPr>
          <w:b/>
          <w:bCs/>
          <w:spacing w:val="-5"/>
        </w:rPr>
        <w:t xml:space="preserve"> </w:t>
      </w:r>
      <w:r w:rsidRPr="00800DA9">
        <w:rPr>
          <w:b/>
          <w:bCs/>
        </w:rPr>
        <w:t>farklılıklar</w:t>
      </w:r>
      <w:r w:rsidRPr="00800DA9">
        <w:rPr>
          <w:b/>
          <w:bCs/>
          <w:spacing w:val="-5"/>
        </w:rPr>
        <w:t xml:space="preserve"> </w:t>
      </w:r>
      <w:r w:rsidRPr="00800DA9">
        <w:rPr>
          <w:b/>
          <w:bCs/>
        </w:rPr>
        <w:t>ile</w:t>
      </w:r>
      <w:r w:rsidRPr="00800DA9">
        <w:rPr>
          <w:b/>
          <w:bCs/>
          <w:spacing w:val="-5"/>
        </w:rPr>
        <w:t xml:space="preserve"> </w:t>
      </w:r>
      <w:r w:rsidRPr="00800DA9">
        <w:rPr>
          <w:b/>
          <w:bCs/>
        </w:rPr>
        <w:t>ilgili</w:t>
      </w:r>
      <w:r w:rsidRPr="00800DA9">
        <w:rPr>
          <w:b/>
          <w:bCs/>
          <w:spacing w:val="-4"/>
        </w:rPr>
        <w:t xml:space="preserve"> </w:t>
      </w:r>
      <w:r w:rsidRPr="00800DA9">
        <w:rPr>
          <w:b/>
          <w:bCs/>
          <w:spacing w:val="-2"/>
        </w:rPr>
        <w:t>bulgular</w:t>
      </w:r>
    </w:p>
    <w:p w14:paraId="01F6A7DE" w14:textId="77777777" w:rsidR="00FF4BC0" w:rsidRDefault="00FF4BC0" w:rsidP="00BA67A6">
      <w:pPr>
        <w:pStyle w:val="GvdeMetni"/>
        <w:ind w:right="151"/>
        <w:jc w:val="both"/>
      </w:pPr>
      <w:r w:rsidRPr="00B24CA3">
        <w:t>Kültürel farklıklar, uluslararası öğrencilerin uyum sürecini etkileyen önemli bir faktör olarak karşımıza çıkmaktadır.</w:t>
      </w:r>
      <w:r w:rsidRPr="00B24CA3">
        <w:rPr>
          <w:spacing w:val="40"/>
        </w:rPr>
        <w:t xml:space="preserve"> </w:t>
      </w:r>
      <w:r w:rsidRPr="00B24CA3">
        <w:t>Çalışmadan elde edilen bulgulara göre, kültürel farklılıkların öğrencilerin entegrasyon sürecinde hem olumlu hem de olumsuz etkiler yarattığı ortaya çıkmıştır.</w:t>
      </w:r>
      <w:r w:rsidRPr="00B24CA3">
        <w:rPr>
          <w:spacing w:val="-13"/>
        </w:rPr>
        <w:t xml:space="preserve"> </w:t>
      </w:r>
      <w:r w:rsidRPr="00B24CA3">
        <w:t>Öğrencilerin</w:t>
      </w:r>
      <w:r w:rsidRPr="00B24CA3">
        <w:rPr>
          <w:spacing w:val="-14"/>
        </w:rPr>
        <w:t xml:space="preserve"> </w:t>
      </w:r>
      <w:r w:rsidRPr="00B24CA3">
        <w:t>kültürel</w:t>
      </w:r>
      <w:r w:rsidRPr="00B24CA3">
        <w:rPr>
          <w:spacing w:val="-15"/>
        </w:rPr>
        <w:t xml:space="preserve"> </w:t>
      </w:r>
      <w:r w:rsidRPr="00B24CA3">
        <w:t>farkındalık</w:t>
      </w:r>
      <w:r w:rsidRPr="00B24CA3">
        <w:rPr>
          <w:spacing w:val="-14"/>
        </w:rPr>
        <w:t xml:space="preserve"> </w:t>
      </w:r>
      <w:r w:rsidRPr="00B24CA3">
        <w:t>kazanmaları,</w:t>
      </w:r>
      <w:r w:rsidRPr="00B24CA3">
        <w:rPr>
          <w:spacing w:val="-12"/>
        </w:rPr>
        <w:t xml:space="preserve"> </w:t>
      </w:r>
      <w:r w:rsidRPr="00B24CA3">
        <w:t>çeşitli</w:t>
      </w:r>
      <w:r w:rsidRPr="00B24CA3">
        <w:rPr>
          <w:spacing w:val="-15"/>
        </w:rPr>
        <w:t xml:space="preserve"> </w:t>
      </w:r>
      <w:r w:rsidRPr="00B24CA3">
        <w:t>kültürlere</w:t>
      </w:r>
      <w:r w:rsidRPr="00B24CA3">
        <w:rPr>
          <w:spacing w:val="-15"/>
        </w:rPr>
        <w:t xml:space="preserve"> </w:t>
      </w:r>
      <w:r w:rsidRPr="00B24CA3">
        <w:t>entegre</w:t>
      </w:r>
      <w:r w:rsidRPr="00B24CA3">
        <w:rPr>
          <w:spacing w:val="-15"/>
        </w:rPr>
        <w:t xml:space="preserve"> </w:t>
      </w:r>
      <w:r w:rsidRPr="00B24CA3">
        <w:t>olarak</w:t>
      </w:r>
      <w:r w:rsidRPr="00B24CA3">
        <w:rPr>
          <w:spacing w:val="-13"/>
        </w:rPr>
        <w:t xml:space="preserve"> </w:t>
      </w:r>
      <w:r w:rsidRPr="00B24CA3">
        <w:t>yaşam deneyimi edinmeleri, kültürel çeşitliliğin sağladığı bir avantaj olarak değerlendirilmektedir. Ancak, yeni ve zorlayıcı kültürel yapılarla karşılaşmaları, içinde yaşadıkları topluma uyum sağlama</w:t>
      </w:r>
      <w:r w:rsidRPr="00B24CA3">
        <w:rPr>
          <w:spacing w:val="-9"/>
        </w:rPr>
        <w:t xml:space="preserve"> </w:t>
      </w:r>
      <w:r w:rsidRPr="00B24CA3">
        <w:t>sürecinde</w:t>
      </w:r>
      <w:r w:rsidRPr="00B24CA3">
        <w:rPr>
          <w:spacing w:val="-4"/>
        </w:rPr>
        <w:t xml:space="preserve"> </w:t>
      </w:r>
      <w:r w:rsidRPr="00B24CA3">
        <w:t>toplum</w:t>
      </w:r>
      <w:r w:rsidRPr="00B24CA3">
        <w:rPr>
          <w:spacing w:val="-4"/>
        </w:rPr>
        <w:t xml:space="preserve"> </w:t>
      </w:r>
      <w:r w:rsidRPr="00B24CA3">
        <w:t>tarafından</w:t>
      </w:r>
      <w:r w:rsidRPr="00B24CA3">
        <w:rPr>
          <w:spacing w:val="-8"/>
        </w:rPr>
        <w:t xml:space="preserve"> </w:t>
      </w:r>
      <w:r w:rsidRPr="00B24CA3">
        <w:t>dışlanmış</w:t>
      </w:r>
      <w:r w:rsidRPr="00B24CA3">
        <w:rPr>
          <w:spacing w:val="-6"/>
        </w:rPr>
        <w:t xml:space="preserve"> </w:t>
      </w:r>
      <w:r w:rsidRPr="00B24CA3">
        <w:t>hissetme,</w:t>
      </w:r>
      <w:r w:rsidRPr="00B24CA3">
        <w:rPr>
          <w:spacing w:val="-5"/>
        </w:rPr>
        <w:t xml:space="preserve"> </w:t>
      </w:r>
      <w:r w:rsidRPr="00B24CA3">
        <w:t>istedikleri</w:t>
      </w:r>
      <w:r w:rsidRPr="00B24CA3">
        <w:rPr>
          <w:spacing w:val="-9"/>
        </w:rPr>
        <w:t xml:space="preserve"> </w:t>
      </w:r>
      <w:r w:rsidRPr="00B24CA3">
        <w:t>gibi</w:t>
      </w:r>
      <w:r w:rsidRPr="00B24CA3">
        <w:rPr>
          <w:spacing w:val="-9"/>
        </w:rPr>
        <w:t xml:space="preserve"> </w:t>
      </w:r>
      <w:r w:rsidRPr="00B24CA3">
        <w:t>iletişim</w:t>
      </w:r>
      <w:r w:rsidRPr="00B24CA3">
        <w:rPr>
          <w:spacing w:val="-9"/>
        </w:rPr>
        <w:t xml:space="preserve"> </w:t>
      </w:r>
      <w:r w:rsidRPr="00B24CA3">
        <w:t>kuramama</w:t>
      </w:r>
      <w:r w:rsidRPr="00B24CA3">
        <w:rPr>
          <w:spacing w:val="-8"/>
        </w:rPr>
        <w:t xml:space="preserve"> </w:t>
      </w:r>
      <w:r w:rsidRPr="00B24CA3">
        <w:t>ve sosyal etkileşimde yaşanan zorluklar, yabancı öğrencilerin karşılaştığı başlıca sorunlar arasından</w:t>
      </w:r>
      <w:r w:rsidRPr="00B24CA3">
        <w:rPr>
          <w:spacing w:val="-7"/>
        </w:rPr>
        <w:t xml:space="preserve"> </w:t>
      </w:r>
      <w:r w:rsidRPr="00B24CA3">
        <w:t>öne</w:t>
      </w:r>
      <w:r w:rsidRPr="00B24CA3">
        <w:rPr>
          <w:spacing w:val="-9"/>
        </w:rPr>
        <w:t xml:space="preserve"> </w:t>
      </w:r>
      <w:r w:rsidRPr="00B24CA3">
        <w:t>çıkmaktadır.</w:t>
      </w:r>
      <w:r w:rsidRPr="00B24CA3">
        <w:rPr>
          <w:spacing w:val="-6"/>
        </w:rPr>
        <w:t xml:space="preserve"> </w:t>
      </w:r>
      <w:r w:rsidRPr="00B24CA3">
        <w:t>Bu</w:t>
      </w:r>
      <w:r w:rsidRPr="00B24CA3">
        <w:rPr>
          <w:spacing w:val="-3"/>
        </w:rPr>
        <w:t xml:space="preserve"> </w:t>
      </w:r>
      <w:r w:rsidRPr="00B24CA3">
        <w:t>bağlamda,</w:t>
      </w:r>
      <w:r w:rsidRPr="00B24CA3">
        <w:rPr>
          <w:spacing w:val="-3"/>
        </w:rPr>
        <w:t xml:space="preserve"> </w:t>
      </w:r>
      <w:r w:rsidRPr="00B24CA3">
        <w:t>kültürel</w:t>
      </w:r>
      <w:r w:rsidRPr="00B24CA3">
        <w:rPr>
          <w:spacing w:val="-9"/>
        </w:rPr>
        <w:t xml:space="preserve"> </w:t>
      </w:r>
      <w:r w:rsidRPr="00B24CA3">
        <w:t>farklılıkların</w:t>
      </w:r>
      <w:r w:rsidRPr="00B24CA3">
        <w:rPr>
          <w:spacing w:val="-3"/>
        </w:rPr>
        <w:t xml:space="preserve"> </w:t>
      </w:r>
      <w:r w:rsidRPr="00B24CA3">
        <w:t>uluslararası</w:t>
      </w:r>
      <w:r w:rsidRPr="00B24CA3">
        <w:rPr>
          <w:spacing w:val="-9"/>
        </w:rPr>
        <w:t xml:space="preserve"> </w:t>
      </w:r>
      <w:r w:rsidRPr="00B24CA3">
        <w:t>öğrencilerin</w:t>
      </w:r>
      <w:r w:rsidRPr="00B24CA3">
        <w:rPr>
          <w:spacing w:val="-8"/>
        </w:rPr>
        <w:t xml:space="preserve"> </w:t>
      </w:r>
      <w:r w:rsidRPr="00B24CA3">
        <w:t>uyum süreçlerini nasıl etkilediğini anlamak, onların sosyal ve akademik uyumlarını destekleyecek politikaların geliştirilmesi açısından büyük önem taşımaktadır.</w:t>
      </w:r>
    </w:p>
    <w:p w14:paraId="1C14E4F1" w14:textId="77777777" w:rsidR="004C7694" w:rsidRPr="00B24CA3" w:rsidRDefault="004C7694" w:rsidP="00BA67A6">
      <w:pPr>
        <w:pStyle w:val="GvdeMetni"/>
        <w:ind w:right="151"/>
        <w:jc w:val="both"/>
      </w:pPr>
    </w:p>
    <w:p w14:paraId="6E9297CF" w14:textId="77777777" w:rsidR="00FF4BC0" w:rsidRDefault="00FF4BC0" w:rsidP="00BA67A6">
      <w:pPr>
        <w:pStyle w:val="GvdeMetni"/>
        <w:ind w:right="157"/>
        <w:jc w:val="both"/>
      </w:pPr>
      <w:r w:rsidRPr="00B24CA3">
        <w:t>Türkiye’ye gelmeden önce, insanların misafirperver ve yardımsever olduklarını duymuştum. Geldikten sonra bu özelliklerin beklediğimden daha fazlasını gördüm. Ramazan ayında bir lokantadan yalnızca bir ekmek alıp çıktığımı fark eden bir bey efendinin ihtiyacım olabileceğini</w:t>
      </w:r>
      <w:r w:rsidRPr="00B24CA3">
        <w:rPr>
          <w:spacing w:val="-11"/>
        </w:rPr>
        <w:t xml:space="preserve"> </w:t>
      </w:r>
      <w:r w:rsidRPr="00B24CA3">
        <w:t>düşünerek</w:t>
      </w:r>
      <w:r w:rsidRPr="00B24CA3">
        <w:rPr>
          <w:spacing w:val="-10"/>
        </w:rPr>
        <w:t xml:space="preserve"> </w:t>
      </w:r>
      <w:r w:rsidRPr="00B24CA3">
        <w:t>bana</w:t>
      </w:r>
      <w:r w:rsidRPr="00B24CA3">
        <w:rPr>
          <w:spacing w:val="-11"/>
        </w:rPr>
        <w:t xml:space="preserve"> </w:t>
      </w:r>
      <w:r w:rsidRPr="00B24CA3">
        <w:t>bir</w:t>
      </w:r>
      <w:r w:rsidRPr="00B24CA3">
        <w:rPr>
          <w:spacing w:val="-10"/>
        </w:rPr>
        <w:t xml:space="preserve"> </w:t>
      </w:r>
      <w:r w:rsidRPr="00B24CA3">
        <w:t>yemek</w:t>
      </w:r>
      <w:r w:rsidRPr="00B24CA3">
        <w:rPr>
          <w:spacing w:val="-10"/>
        </w:rPr>
        <w:t xml:space="preserve"> </w:t>
      </w:r>
      <w:r w:rsidRPr="00B24CA3">
        <w:t>ısmarlamıştı.</w:t>
      </w:r>
      <w:r w:rsidRPr="00B24CA3">
        <w:rPr>
          <w:spacing w:val="-5"/>
        </w:rPr>
        <w:t xml:space="preserve"> </w:t>
      </w:r>
      <w:r w:rsidRPr="00B24CA3">
        <w:t>Böyle</w:t>
      </w:r>
      <w:r w:rsidRPr="00B24CA3">
        <w:rPr>
          <w:spacing w:val="-11"/>
        </w:rPr>
        <w:t xml:space="preserve"> </w:t>
      </w:r>
      <w:r w:rsidRPr="00B24CA3">
        <w:t>olaylar</w:t>
      </w:r>
      <w:r w:rsidRPr="00B24CA3">
        <w:rPr>
          <w:spacing w:val="-10"/>
        </w:rPr>
        <w:t xml:space="preserve"> </w:t>
      </w:r>
      <w:r w:rsidRPr="00B24CA3">
        <w:t>defalarca</w:t>
      </w:r>
      <w:r w:rsidRPr="00B24CA3">
        <w:rPr>
          <w:spacing w:val="-11"/>
        </w:rPr>
        <w:t xml:space="preserve"> </w:t>
      </w:r>
      <w:r w:rsidRPr="00B24CA3">
        <w:t>yaşadım</w:t>
      </w:r>
      <w:r w:rsidRPr="00B24CA3">
        <w:rPr>
          <w:spacing w:val="-11"/>
        </w:rPr>
        <w:t xml:space="preserve"> </w:t>
      </w:r>
      <w:r w:rsidRPr="00B24CA3">
        <w:t>ve</w:t>
      </w:r>
      <w:r w:rsidRPr="00B24CA3">
        <w:rPr>
          <w:spacing w:val="-11"/>
        </w:rPr>
        <w:t xml:space="preserve"> </w:t>
      </w:r>
      <w:proofErr w:type="gramStart"/>
      <w:r w:rsidRPr="00B24CA3">
        <w:t>buda</w:t>
      </w:r>
      <w:proofErr w:type="gramEnd"/>
      <w:r w:rsidRPr="00B24CA3">
        <w:t xml:space="preserve"> benim Türk topluma ait hissetmeme yol açmıştır.</w:t>
      </w:r>
    </w:p>
    <w:p w14:paraId="53A9BFC0" w14:textId="77777777" w:rsidR="004C7694" w:rsidRPr="00B24CA3" w:rsidRDefault="004C7694" w:rsidP="00BA67A6">
      <w:pPr>
        <w:pStyle w:val="GvdeMetni"/>
        <w:ind w:right="157"/>
        <w:jc w:val="both"/>
      </w:pPr>
    </w:p>
    <w:p w14:paraId="08D6C7D5" w14:textId="77777777" w:rsidR="00FF4BC0" w:rsidRPr="00B24CA3" w:rsidRDefault="00FF4BC0">
      <w:pPr>
        <w:pStyle w:val="ListeParagraf"/>
        <w:numPr>
          <w:ilvl w:val="0"/>
          <w:numId w:val="27"/>
        </w:numPr>
        <w:tabs>
          <w:tab w:val="left" w:pos="1168"/>
        </w:tabs>
        <w:ind w:left="1168" w:right="158"/>
        <w:contextualSpacing w:val="0"/>
        <w:jc w:val="both"/>
      </w:pPr>
      <w:r w:rsidRPr="00B24CA3">
        <w:t>Türk kültürüyle kendi kültürüm arasında birçok benzerliğin olması uyum sürecimi kolaylaştırmıştı. Kolay oldu. Özellikle yemek kültürü açısından benzerlik olmasına rağmen, buradaki yemekleri alışmam uzun sürdü. Günlük yaşamında ve sosyal ilişkilerde kendimi daha rahat buldum.</w:t>
      </w:r>
    </w:p>
    <w:p w14:paraId="32BCE283" w14:textId="77777777" w:rsidR="00FF4BC0" w:rsidRPr="00B24CA3" w:rsidRDefault="00FF4BC0">
      <w:pPr>
        <w:pStyle w:val="ListeParagraf"/>
        <w:numPr>
          <w:ilvl w:val="0"/>
          <w:numId w:val="27"/>
        </w:numPr>
        <w:tabs>
          <w:tab w:val="left" w:pos="1168"/>
        </w:tabs>
        <w:ind w:left="1168" w:right="158"/>
        <w:contextualSpacing w:val="0"/>
        <w:jc w:val="both"/>
      </w:pPr>
      <w:r w:rsidRPr="00B24CA3">
        <w:t>Hristiyan inancına sahip biri olarak, din açısından Türkiye’de belirgin farklılıklar olduğundan</w:t>
      </w:r>
      <w:r w:rsidRPr="00B24CA3">
        <w:rPr>
          <w:spacing w:val="-9"/>
        </w:rPr>
        <w:t xml:space="preserve"> </w:t>
      </w:r>
      <w:r w:rsidRPr="00B24CA3">
        <w:t>olduğun</w:t>
      </w:r>
      <w:r w:rsidRPr="00B24CA3">
        <w:rPr>
          <w:spacing w:val="-9"/>
        </w:rPr>
        <w:t xml:space="preserve"> </w:t>
      </w:r>
      <w:r w:rsidRPr="00B24CA3">
        <w:t>bu</w:t>
      </w:r>
      <w:r w:rsidRPr="00B24CA3">
        <w:rPr>
          <w:spacing w:val="-10"/>
        </w:rPr>
        <w:t xml:space="preserve"> </w:t>
      </w:r>
      <w:r w:rsidRPr="00B24CA3">
        <w:t>alanda</w:t>
      </w:r>
      <w:r w:rsidRPr="00B24CA3">
        <w:rPr>
          <w:spacing w:val="-11"/>
        </w:rPr>
        <w:t xml:space="preserve"> </w:t>
      </w:r>
      <w:r w:rsidRPr="00B24CA3">
        <w:t>bazı</w:t>
      </w:r>
      <w:r w:rsidRPr="00B24CA3">
        <w:rPr>
          <w:spacing w:val="-11"/>
        </w:rPr>
        <w:t xml:space="preserve"> </w:t>
      </w:r>
      <w:r w:rsidRPr="00B24CA3">
        <w:t>zorluklar</w:t>
      </w:r>
      <w:r w:rsidRPr="00B24CA3">
        <w:rPr>
          <w:spacing w:val="-10"/>
        </w:rPr>
        <w:t xml:space="preserve"> </w:t>
      </w:r>
      <w:r w:rsidRPr="00B24CA3">
        <w:t>yaşadım.</w:t>
      </w:r>
      <w:r w:rsidRPr="00B24CA3">
        <w:rPr>
          <w:spacing w:val="-10"/>
        </w:rPr>
        <w:t xml:space="preserve"> </w:t>
      </w:r>
      <w:r w:rsidRPr="00B24CA3">
        <w:t>Özellikle</w:t>
      </w:r>
      <w:r w:rsidRPr="00B24CA3">
        <w:rPr>
          <w:spacing w:val="-11"/>
        </w:rPr>
        <w:t xml:space="preserve"> </w:t>
      </w:r>
      <w:r w:rsidRPr="00B24CA3">
        <w:t>bazı</w:t>
      </w:r>
      <w:r w:rsidRPr="00B24CA3">
        <w:rPr>
          <w:spacing w:val="-6"/>
        </w:rPr>
        <w:t xml:space="preserve"> </w:t>
      </w:r>
      <w:r w:rsidRPr="00B24CA3">
        <w:t>insanların</w:t>
      </w:r>
      <w:r w:rsidRPr="00B24CA3">
        <w:rPr>
          <w:spacing w:val="-9"/>
        </w:rPr>
        <w:t xml:space="preserve"> </w:t>
      </w:r>
      <w:r w:rsidRPr="00B24CA3">
        <w:t>dinimi ısrarla sorgulaması ve kendi mezhebime uygun bir ibadethanenin bulunmaması, dini ritüellerimi yerine getirmekte kısıtlama getirmiştir.</w:t>
      </w:r>
    </w:p>
    <w:p w14:paraId="134A94E8" w14:textId="77777777" w:rsidR="00FF4BC0" w:rsidRPr="00B24CA3" w:rsidRDefault="00FF4BC0">
      <w:pPr>
        <w:pStyle w:val="ListeParagraf"/>
        <w:numPr>
          <w:ilvl w:val="0"/>
          <w:numId w:val="27"/>
        </w:numPr>
        <w:tabs>
          <w:tab w:val="left" w:pos="1168"/>
        </w:tabs>
        <w:ind w:left="1168" w:right="158"/>
        <w:contextualSpacing w:val="0"/>
        <w:jc w:val="both"/>
      </w:pPr>
      <w:r w:rsidRPr="00B24CA3">
        <w:t>En çok zorlandığın alandan bir Türk mutfağıdır. Başta zamanla alışacağımı düşünüyordum</w:t>
      </w:r>
      <w:r w:rsidRPr="00B24CA3">
        <w:rPr>
          <w:spacing w:val="-8"/>
        </w:rPr>
        <w:t xml:space="preserve"> </w:t>
      </w:r>
      <w:r w:rsidRPr="00B24CA3">
        <w:t>ama</w:t>
      </w:r>
      <w:r w:rsidRPr="00B24CA3">
        <w:rPr>
          <w:spacing w:val="-3"/>
        </w:rPr>
        <w:t xml:space="preserve"> </w:t>
      </w:r>
      <w:r w:rsidRPr="00B24CA3">
        <w:t>beklediğim</w:t>
      </w:r>
      <w:r w:rsidRPr="00B24CA3">
        <w:rPr>
          <w:spacing w:val="-8"/>
        </w:rPr>
        <w:t xml:space="preserve"> </w:t>
      </w:r>
      <w:r w:rsidRPr="00B24CA3">
        <w:t>gibi</w:t>
      </w:r>
      <w:r w:rsidRPr="00B24CA3">
        <w:rPr>
          <w:spacing w:val="-8"/>
        </w:rPr>
        <w:t xml:space="preserve"> </w:t>
      </w:r>
      <w:r w:rsidRPr="00B24CA3">
        <w:t>olmadı.</w:t>
      </w:r>
      <w:r w:rsidRPr="00B24CA3">
        <w:rPr>
          <w:spacing w:val="-7"/>
        </w:rPr>
        <w:t xml:space="preserve"> </w:t>
      </w:r>
      <w:r w:rsidRPr="00B24CA3">
        <w:t>Özellikle</w:t>
      </w:r>
      <w:r w:rsidRPr="00B24CA3">
        <w:rPr>
          <w:spacing w:val="-8"/>
        </w:rPr>
        <w:t xml:space="preserve"> </w:t>
      </w:r>
      <w:r w:rsidRPr="00B24CA3">
        <w:t>yurttayken</w:t>
      </w:r>
      <w:r w:rsidRPr="00B24CA3">
        <w:rPr>
          <w:spacing w:val="-7"/>
        </w:rPr>
        <w:t xml:space="preserve"> </w:t>
      </w:r>
      <w:r w:rsidRPr="00B24CA3">
        <w:t>hep</w:t>
      </w:r>
      <w:r w:rsidRPr="00B24CA3">
        <w:rPr>
          <w:spacing w:val="-7"/>
        </w:rPr>
        <w:t xml:space="preserve"> </w:t>
      </w:r>
      <w:r w:rsidRPr="00B24CA3">
        <w:t>dışarıdan yemek</w:t>
      </w:r>
    </w:p>
    <w:p w14:paraId="2F3F4F8A" w14:textId="77777777" w:rsidR="00FF4BC0" w:rsidRPr="00B24CA3" w:rsidRDefault="00FF4BC0" w:rsidP="00BA67A6">
      <w:pPr>
        <w:pStyle w:val="ListeParagraf"/>
        <w:jc w:val="both"/>
        <w:sectPr w:rsidR="00FF4BC0" w:rsidRPr="00B24CA3" w:rsidSect="007513A1">
          <w:type w:val="continuous"/>
          <w:pgSz w:w="11906" w:h="16838"/>
          <w:pgMar w:top="1418" w:right="1418" w:bottom="1418" w:left="1418" w:header="1304" w:footer="1361" w:gutter="0"/>
          <w:cols w:space="708"/>
        </w:sectPr>
      </w:pPr>
    </w:p>
    <w:p w14:paraId="2ADB3102" w14:textId="77777777" w:rsidR="00FF4BC0" w:rsidRPr="00B24CA3" w:rsidRDefault="00FF4BC0" w:rsidP="00BA67A6">
      <w:pPr>
        <w:pStyle w:val="GvdeMetni"/>
        <w:ind w:left="1168" w:right="155"/>
        <w:jc w:val="both"/>
      </w:pPr>
      <w:proofErr w:type="gramStart"/>
      <w:r w:rsidRPr="00B24CA3">
        <w:t>zorunda</w:t>
      </w:r>
      <w:proofErr w:type="gramEnd"/>
      <w:r w:rsidRPr="00B24CA3">
        <w:t xml:space="preserve"> kaldım ve bu durum yaşam düzenimi etkiledi ve sonunda KYK yurdundan ayrılmama</w:t>
      </w:r>
      <w:r w:rsidRPr="00B24CA3">
        <w:rPr>
          <w:spacing w:val="-6"/>
        </w:rPr>
        <w:t xml:space="preserve"> </w:t>
      </w:r>
      <w:r w:rsidRPr="00B24CA3">
        <w:t>neden</w:t>
      </w:r>
      <w:r w:rsidRPr="00B24CA3">
        <w:rPr>
          <w:spacing w:val="-4"/>
        </w:rPr>
        <w:t xml:space="preserve"> </w:t>
      </w:r>
      <w:r w:rsidRPr="00B24CA3">
        <w:t>oldu.</w:t>
      </w:r>
      <w:r w:rsidRPr="00B24CA3">
        <w:rPr>
          <w:spacing w:val="-3"/>
        </w:rPr>
        <w:t xml:space="preserve"> </w:t>
      </w:r>
      <w:r w:rsidRPr="00B24CA3">
        <w:t>Ülkemizde</w:t>
      </w:r>
      <w:r w:rsidRPr="00B24CA3">
        <w:rPr>
          <w:spacing w:val="-5"/>
        </w:rPr>
        <w:t xml:space="preserve"> </w:t>
      </w:r>
      <w:r w:rsidRPr="00B24CA3">
        <w:t>hemen</w:t>
      </w:r>
      <w:r w:rsidRPr="00B24CA3">
        <w:rPr>
          <w:spacing w:val="-4"/>
        </w:rPr>
        <w:t xml:space="preserve"> </w:t>
      </w:r>
      <w:r w:rsidRPr="00B24CA3">
        <w:t>hemen</w:t>
      </w:r>
      <w:r w:rsidRPr="00B24CA3">
        <w:rPr>
          <w:spacing w:val="-4"/>
        </w:rPr>
        <w:t xml:space="preserve"> </w:t>
      </w:r>
      <w:r w:rsidRPr="00B24CA3">
        <w:t>ayna</w:t>
      </w:r>
      <w:r w:rsidRPr="00B24CA3">
        <w:rPr>
          <w:spacing w:val="-6"/>
        </w:rPr>
        <w:t xml:space="preserve"> </w:t>
      </w:r>
      <w:r w:rsidRPr="00B24CA3">
        <w:t>yemekleri</w:t>
      </w:r>
      <w:r w:rsidRPr="00B24CA3">
        <w:rPr>
          <w:spacing w:val="-6"/>
        </w:rPr>
        <w:t xml:space="preserve"> </w:t>
      </w:r>
      <w:r w:rsidRPr="00B24CA3">
        <w:t>bulunmasına</w:t>
      </w:r>
      <w:r w:rsidRPr="00B24CA3">
        <w:rPr>
          <w:spacing w:val="-6"/>
        </w:rPr>
        <w:t xml:space="preserve"> </w:t>
      </w:r>
      <w:r w:rsidRPr="00B24CA3">
        <w:t>rağmen yemek yapımında bazı önemli farklıklar bulunuyor. Örneğin, biz yemek yapımında daha az yağ kullanırken, buradaki yemeklerde bana göre fazla yağı kullanılıyor.</w:t>
      </w:r>
    </w:p>
    <w:p w14:paraId="35F3E555" w14:textId="77777777" w:rsidR="00FF4BC0" w:rsidRPr="00B24CA3" w:rsidRDefault="00FF4BC0">
      <w:pPr>
        <w:pStyle w:val="ListeParagraf"/>
        <w:numPr>
          <w:ilvl w:val="0"/>
          <w:numId w:val="27"/>
        </w:numPr>
        <w:tabs>
          <w:tab w:val="left" w:pos="1168"/>
        </w:tabs>
        <w:ind w:left="1168" w:right="160"/>
        <w:contextualSpacing w:val="0"/>
        <w:jc w:val="both"/>
      </w:pPr>
      <w:r w:rsidRPr="00B24CA3">
        <w:t>Toplumsal</w:t>
      </w:r>
      <w:r w:rsidRPr="00B24CA3">
        <w:rPr>
          <w:spacing w:val="-15"/>
        </w:rPr>
        <w:t xml:space="preserve"> </w:t>
      </w:r>
      <w:r w:rsidRPr="00B24CA3">
        <w:t>yaşamın</w:t>
      </w:r>
      <w:r w:rsidRPr="00B24CA3">
        <w:rPr>
          <w:spacing w:val="-15"/>
        </w:rPr>
        <w:t xml:space="preserve"> </w:t>
      </w:r>
      <w:r w:rsidRPr="00B24CA3">
        <w:t>düzenli</w:t>
      </w:r>
      <w:r w:rsidRPr="00B24CA3">
        <w:rPr>
          <w:spacing w:val="-15"/>
        </w:rPr>
        <w:t xml:space="preserve"> </w:t>
      </w:r>
      <w:r w:rsidRPr="00B24CA3">
        <w:t>olması,</w:t>
      </w:r>
      <w:r w:rsidRPr="00B24CA3">
        <w:rPr>
          <w:spacing w:val="-15"/>
        </w:rPr>
        <w:t xml:space="preserve"> </w:t>
      </w:r>
      <w:r w:rsidRPr="00B24CA3">
        <w:t>özellikle</w:t>
      </w:r>
      <w:r w:rsidRPr="00B24CA3">
        <w:rPr>
          <w:spacing w:val="-15"/>
        </w:rPr>
        <w:t xml:space="preserve"> </w:t>
      </w:r>
      <w:r w:rsidRPr="00B24CA3">
        <w:t>ulaşım</w:t>
      </w:r>
      <w:r w:rsidRPr="00B24CA3">
        <w:rPr>
          <w:spacing w:val="-15"/>
        </w:rPr>
        <w:t xml:space="preserve"> </w:t>
      </w:r>
      <w:r w:rsidRPr="00B24CA3">
        <w:t>alandaki</w:t>
      </w:r>
      <w:r w:rsidRPr="00B24CA3">
        <w:rPr>
          <w:spacing w:val="-15"/>
        </w:rPr>
        <w:t xml:space="preserve"> </w:t>
      </w:r>
      <w:r w:rsidRPr="00B24CA3">
        <w:t>rahatlığı</w:t>
      </w:r>
      <w:r w:rsidRPr="00B24CA3">
        <w:rPr>
          <w:spacing w:val="-15"/>
        </w:rPr>
        <w:t xml:space="preserve"> </w:t>
      </w:r>
      <w:r w:rsidRPr="00B24CA3">
        <w:t>beni</w:t>
      </w:r>
      <w:r w:rsidRPr="00B24CA3">
        <w:rPr>
          <w:spacing w:val="-15"/>
        </w:rPr>
        <w:t xml:space="preserve"> </w:t>
      </w:r>
      <w:r w:rsidRPr="00B24CA3">
        <w:t>çok</w:t>
      </w:r>
      <w:r w:rsidRPr="00B24CA3">
        <w:rPr>
          <w:spacing w:val="-15"/>
        </w:rPr>
        <w:t xml:space="preserve"> </w:t>
      </w:r>
      <w:r w:rsidRPr="00B24CA3">
        <w:lastRenderedPageBreak/>
        <w:t>etkiledi. Özellikle belediye otobüslerdeki rahatlığı.</w:t>
      </w:r>
    </w:p>
    <w:p w14:paraId="68B1ABEB" w14:textId="77777777" w:rsidR="00FF4BC0" w:rsidRPr="00B24CA3" w:rsidRDefault="00FF4BC0">
      <w:pPr>
        <w:pStyle w:val="ListeParagraf"/>
        <w:numPr>
          <w:ilvl w:val="0"/>
          <w:numId w:val="27"/>
        </w:numPr>
        <w:tabs>
          <w:tab w:val="left" w:pos="1168"/>
        </w:tabs>
        <w:ind w:left="1168" w:right="158"/>
        <w:contextualSpacing w:val="0"/>
        <w:jc w:val="both"/>
      </w:pPr>
      <w:r w:rsidRPr="00B24CA3">
        <w:t>Toplumda belirli davranışların nasıl karşılanacağını öğrenmek benim için zor oldu. Bazen birine nasıl hitap edeceğimi veya resmi ortamlarda nasıl yaklaşacağımı bilmiyordum. Başlangıçta biraz sosyal kaygı yaşadım. Ancak zamanla ve çabayla, giderek daha rahat hale geldim.</w:t>
      </w:r>
    </w:p>
    <w:p w14:paraId="031D3F80" w14:textId="77777777" w:rsidR="00FF4BC0" w:rsidRPr="00B24CA3" w:rsidRDefault="00FF4BC0">
      <w:pPr>
        <w:pStyle w:val="ListeParagraf"/>
        <w:numPr>
          <w:ilvl w:val="0"/>
          <w:numId w:val="27"/>
        </w:numPr>
        <w:tabs>
          <w:tab w:val="left" w:pos="1168"/>
        </w:tabs>
        <w:ind w:left="1168" w:right="158"/>
        <w:contextualSpacing w:val="0"/>
        <w:jc w:val="both"/>
      </w:pPr>
      <w:r w:rsidRPr="00B24CA3">
        <w:t>Bazen toplum içinde insanların bana çok dikkatli baktıklarını hissediyorum. Yabancı olduğumun anlaşılmasıyla daha fazla dikkat çektiğimi fark ediyorum ve oradan uzaklaşmaya</w:t>
      </w:r>
      <w:r w:rsidRPr="00B24CA3">
        <w:rPr>
          <w:spacing w:val="-10"/>
        </w:rPr>
        <w:t xml:space="preserve"> </w:t>
      </w:r>
      <w:r w:rsidRPr="00B24CA3">
        <w:t>çalışıyorum.</w:t>
      </w:r>
      <w:r w:rsidRPr="00B24CA3">
        <w:rPr>
          <w:spacing w:val="-7"/>
        </w:rPr>
        <w:t xml:space="preserve"> </w:t>
      </w:r>
      <w:r w:rsidRPr="00B24CA3">
        <w:t>Ayrıca,</w:t>
      </w:r>
      <w:r w:rsidRPr="00B24CA3">
        <w:rPr>
          <w:spacing w:val="-9"/>
        </w:rPr>
        <w:t xml:space="preserve"> </w:t>
      </w:r>
      <w:r w:rsidRPr="00B24CA3">
        <w:t>bazı</w:t>
      </w:r>
      <w:r w:rsidRPr="00B24CA3">
        <w:rPr>
          <w:spacing w:val="-6"/>
        </w:rPr>
        <w:t xml:space="preserve"> </w:t>
      </w:r>
      <w:r w:rsidRPr="00B24CA3">
        <w:t>insanların</w:t>
      </w:r>
      <w:r w:rsidRPr="00B24CA3">
        <w:rPr>
          <w:spacing w:val="-5"/>
        </w:rPr>
        <w:t xml:space="preserve"> </w:t>
      </w:r>
      <w:r w:rsidRPr="00B24CA3">
        <w:t>bana</w:t>
      </w:r>
      <w:r w:rsidRPr="00B24CA3">
        <w:rPr>
          <w:spacing w:val="-10"/>
        </w:rPr>
        <w:t xml:space="preserve"> </w:t>
      </w:r>
      <w:r w:rsidRPr="00B24CA3">
        <w:t>sordukları</w:t>
      </w:r>
      <w:r w:rsidRPr="00B24CA3">
        <w:rPr>
          <w:spacing w:val="-10"/>
        </w:rPr>
        <w:t xml:space="preserve"> </w:t>
      </w:r>
      <w:r w:rsidRPr="00B24CA3">
        <w:t>soruları</w:t>
      </w:r>
      <w:r w:rsidRPr="00B24CA3">
        <w:rPr>
          <w:spacing w:val="-10"/>
        </w:rPr>
        <w:t xml:space="preserve"> </w:t>
      </w:r>
      <w:r w:rsidRPr="00B24CA3">
        <w:t>aşırı</w:t>
      </w:r>
      <w:r w:rsidRPr="00B24CA3">
        <w:rPr>
          <w:spacing w:val="-10"/>
        </w:rPr>
        <w:t xml:space="preserve"> </w:t>
      </w:r>
      <w:r w:rsidRPr="00B24CA3">
        <w:t>rahatsız edici olabiliyor. Bu tür deneyimler, sosyal ortamlarda kendimi huzursuz hissetmeme neden oluyor ve zamanla insanlarla iletişim kurma isteğimi azaltıyor.</w:t>
      </w:r>
    </w:p>
    <w:p w14:paraId="1419BEE9" w14:textId="77777777" w:rsidR="00FF4BC0" w:rsidRPr="00B24CA3" w:rsidRDefault="00FF4BC0">
      <w:pPr>
        <w:pStyle w:val="ListeParagraf"/>
        <w:numPr>
          <w:ilvl w:val="0"/>
          <w:numId w:val="27"/>
        </w:numPr>
        <w:tabs>
          <w:tab w:val="left" w:pos="1168"/>
        </w:tabs>
        <w:ind w:left="1168" w:right="157"/>
        <w:contextualSpacing w:val="0"/>
        <w:jc w:val="both"/>
      </w:pPr>
      <w:r w:rsidRPr="00B24CA3">
        <w:t xml:space="preserve">Başlangıçta insanların birbirleriyle ilişki kurma biçimi ilginçti, özellikle tanımadık insanlarla mesafeli durmaları, benim kültürümde alışık olduğumdan farklıydı. </w:t>
      </w:r>
      <w:proofErr w:type="gramStart"/>
      <w:r w:rsidRPr="00B24CA3">
        <w:t>Birde</w:t>
      </w:r>
      <w:proofErr w:type="gramEnd"/>
      <w:r w:rsidRPr="00B24CA3">
        <w:t xml:space="preserve"> insanların</w:t>
      </w:r>
      <w:r w:rsidRPr="00B24CA3">
        <w:rPr>
          <w:spacing w:val="-1"/>
        </w:rPr>
        <w:t xml:space="preserve"> </w:t>
      </w:r>
      <w:r w:rsidRPr="00B24CA3">
        <w:t>genellikle</w:t>
      </w:r>
      <w:r w:rsidRPr="00B24CA3">
        <w:rPr>
          <w:spacing w:val="-2"/>
        </w:rPr>
        <w:t xml:space="preserve"> </w:t>
      </w:r>
      <w:r w:rsidRPr="00B24CA3">
        <w:t>yabancılarla</w:t>
      </w:r>
      <w:r w:rsidRPr="00B24CA3">
        <w:rPr>
          <w:spacing w:val="-2"/>
        </w:rPr>
        <w:t xml:space="preserve"> </w:t>
      </w:r>
      <w:r w:rsidRPr="00B24CA3">
        <w:t>iletişim</w:t>
      </w:r>
      <w:r w:rsidRPr="00B24CA3">
        <w:rPr>
          <w:spacing w:val="-2"/>
        </w:rPr>
        <w:t xml:space="preserve"> </w:t>
      </w:r>
      <w:r w:rsidRPr="00B24CA3">
        <w:t>kurmaktan kaçındıkları</w:t>
      </w:r>
      <w:r w:rsidRPr="00B24CA3">
        <w:rPr>
          <w:spacing w:val="-2"/>
        </w:rPr>
        <w:t xml:space="preserve"> </w:t>
      </w:r>
      <w:r w:rsidRPr="00B24CA3">
        <w:t>gözlemledim. Kendi kültürümde, insanlar birbirine daha yakın olabilir. Örneğin, otobüste yanımıza oturan kişi ister tanıdık ister yabancı olsun, yolculuk boyunca sohbet etmek yaygındı.</w:t>
      </w:r>
    </w:p>
    <w:p w14:paraId="3ABDA6F8" w14:textId="77777777" w:rsidR="00FF4BC0" w:rsidRDefault="00FF4BC0">
      <w:pPr>
        <w:pStyle w:val="ListeParagraf"/>
        <w:numPr>
          <w:ilvl w:val="0"/>
          <w:numId w:val="27"/>
        </w:numPr>
        <w:tabs>
          <w:tab w:val="left" w:pos="1168"/>
        </w:tabs>
        <w:ind w:left="1168" w:right="160"/>
        <w:contextualSpacing w:val="0"/>
        <w:jc w:val="both"/>
      </w:pPr>
      <w:r w:rsidRPr="00B24CA3">
        <w:t>Kültürel</w:t>
      </w:r>
      <w:r w:rsidRPr="00B24CA3">
        <w:rPr>
          <w:spacing w:val="-7"/>
        </w:rPr>
        <w:t xml:space="preserve"> </w:t>
      </w:r>
      <w:r w:rsidRPr="00B24CA3">
        <w:t>farklıkların</w:t>
      </w:r>
      <w:r w:rsidRPr="00B24CA3">
        <w:rPr>
          <w:spacing w:val="-5"/>
        </w:rPr>
        <w:t xml:space="preserve"> </w:t>
      </w:r>
      <w:r w:rsidRPr="00B24CA3">
        <w:t>olmasına</w:t>
      </w:r>
      <w:r w:rsidRPr="00B24CA3">
        <w:rPr>
          <w:spacing w:val="-7"/>
        </w:rPr>
        <w:t xml:space="preserve"> </w:t>
      </w:r>
      <w:r w:rsidRPr="00B24CA3">
        <w:t>rağmen</w:t>
      </w:r>
      <w:r w:rsidRPr="00B24CA3">
        <w:rPr>
          <w:spacing w:val="-3"/>
        </w:rPr>
        <w:t xml:space="preserve"> </w:t>
      </w:r>
      <w:r w:rsidRPr="00B24CA3">
        <w:t>Türkiye’ye</w:t>
      </w:r>
      <w:r w:rsidRPr="00B24CA3">
        <w:rPr>
          <w:spacing w:val="-6"/>
        </w:rPr>
        <w:t xml:space="preserve"> </w:t>
      </w:r>
      <w:r w:rsidRPr="00B24CA3">
        <w:t>çok</w:t>
      </w:r>
      <w:r w:rsidRPr="00B24CA3">
        <w:rPr>
          <w:spacing w:val="-5"/>
        </w:rPr>
        <w:t xml:space="preserve"> </w:t>
      </w:r>
      <w:r w:rsidRPr="00B24CA3">
        <w:t>çabuk</w:t>
      </w:r>
      <w:r w:rsidRPr="00B24CA3">
        <w:rPr>
          <w:spacing w:val="-5"/>
        </w:rPr>
        <w:t xml:space="preserve"> </w:t>
      </w:r>
      <w:r w:rsidRPr="00B24CA3">
        <w:t>alıştım.</w:t>
      </w:r>
      <w:r w:rsidRPr="00B24CA3">
        <w:rPr>
          <w:spacing w:val="-4"/>
        </w:rPr>
        <w:t xml:space="preserve"> </w:t>
      </w:r>
      <w:r w:rsidRPr="00B24CA3">
        <w:t>Yemek</w:t>
      </w:r>
      <w:r w:rsidRPr="00B24CA3">
        <w:rPr>
          <w:spacing w:val="-5"/>
        </w:rPr>
        <w:t xml:space="preserve"> </w:t>
      </w:r>
      <w:r w:rsidRPr="00B24CA3">
        <w:t>kültürüne çok seviyorum her yemekleri yiyebiliyorum. Sosyal ortamlarında çok rahatım biraz Türk danslılarını öğrenmek zordu. Ancak, bu kültürel deneyim bana çok iyi geldi. Bunlarda benim toplumsal uyum sürecimi çok hızlandırdığını düşünüyorum.</w:t>
      </w:r>
    </w:p>
    <w:p w14:paraId="2D64E727" w14:textId="77777777" w:rsidR="004C7694" w:rsidRPr="00B24CA3" w:rsidRDefault="004C7694" w:rsidP="004C7694">
      <w:pPr>
        <w:pStyle w:val="ListeParagraf"/>
        <w:tabs>
          <w:tab w:val="left" w:pos="1168"/>
        </w:tabs>
        <w:ind w:left="1168" w:right="160"/>
        <w:contextualSpacing w:val="0"/>
        <w:jc w:val="both"/>
      </w:pPr>
    </w:p>
    <w:p w14:paraId="18BB5D06" w14:textId="77777777" w:rsidR="00FF4BC0" w:rsidRDefault="00FF4BC0" w:rsidP="00BA67A6">
      <w:pPr>
        <w:pStyle w:val="GvdeMetni"/>
        <w:ind w:right="157"/>
        <w:jc w:val="both"/>
      </w:pPr>
      <w:r w:rsidRPr="00B24CA3">
        <w:t>Uluslararası öğrenciler, Türkiye'ye gelmeden önce Türk toplumunun misafirperver ve yardımsever olduğu hakkında bilgi sahibi olduklarını belirtmiş, bu bilgiyi kendileri deneyimleyerek gördükleri ifade etmişlerdir. Öğrenciler, toplumun yabancılara karşı olumlu bir tutum ve davranışlar sergilediğini bunun, öğrencilerin fazla yabancılık çekmeden uyum süreçlerini kolaylaştırmada önemli rol oynadığını ortaya çıkmıştır. Yabancı öğrenciler, kendi ülkeleri ile Türkiye arasında kültürel farklıklar olduğunu ve bu farklılıkların alışılmasının, öğrencilerin geldikleri coğrafyaya göre değişiklik gösterdiğini gözlemlenmiştir.</w:t>
      </w:r>
    </w:p>
    <w:p w14:paraId="32B4CB26" w14:textId="77777777" w:rsidR="004C7694" w:rsidRPr="00B24CA3" w:rsidRDefault="004C7694" w:rsidP="00BA67A6">
      <w:pPr>
        <w:pStyle w:val="GvdeMetni"/>
        <w:ind w:right="157"/>
        <w:jc w:val="both"/>
      </w:pPr>
    </w:p>
    <w:p w14:paraId="66EC7C5B" w14:textId="77777777" w:rsidR="00FF4BC0" w:rsidRPr="00B24CA3" w:rsidRDefault="00FF4BC0" w:rsidP="00BA67A6">
      <w:pPr>
        <w:pStyle w:val="GvdeMetni"/>
        <w:ind w:right="158"/>
        <w:jc w:val="both"/>
      </w:pPr>
      <w:r w:rsidRPr="00B24CA3">
        <w:t>Bazı öğrenciler, topluma kolayca uyum sağlarken, bazıları bu süreci daha zor yaşamaktadır. Ayrıca, kendi ülkelerinde sosyal bir birey olanların, yabancı bir ülkeye gediklerinde sosyal uyum süreçlerinin daha hızlı ve sorunsuz olduğunu gözlemlenmiştir. Bu durum öğrencilerin kişisel özelliklerin ve önceki deneyimlerin, entegrasyon sürecinde önemli bir etkiye sahip olduğunu belirlenmiştir. Türkiye'de toplu taşıma araçlarının güvenilirliği ve erişilebilirliği, öğrencilerin</w:t>
      </w:r>
      <w:r w:rsidRPr="00B24CA3">
        <w:rPr>
          <w:spacing w:val="-16"/>
        </w:rPr>
        <w:t xml:space="preserve"> </w:t>
      </w:r>
      <w:r w:rsidRPr="00B24CA3">
        <w:t>günlük</w:t>
      </w:r>
      <w:r w:rsidRPr="00B24CA3">
        <w:rPr>
          <w:spacing w:val="-14"/>
        </w:rPr>
        <w:t xml:space="preserve"> </w:t>
      </w:r>
      <w:r w:rsidRPr="00B24CA3">
        <w:t>yaşamlarını</w:t>
      </w:r>
      <w:r w:rsidRPr="00B24CA3">
        <w:rPr>
          <w:spacing w:val="-15"/>
        </w:rPr>
        <w:t xml:space="preserve"> </w:t>
      </w:r>
      <w:r w:rsidRPr="00B24CA3">
        <w:t>kolaylaştıran</w:t>
      </w:r>
      <w:r w:rsidRPr="00B24CA3">
        <w:rPr>
          <w:spacing w:val="-13"/>
        </w:rPr>
        <w:t xml:space="preserve"> </w:t>
      </w:r>
      <w:r w:rsidRPr="00B24CA3">
        <w:t>önemli</w:t>
      </w:r>
      <w:r w:rsidRPr="00B24CA3">
        <w:rPr>
          <w:spacing w:val="-10"/>
        </w:rPr>
        <w:t xml:space="preserve"> </w:t>
      </w:r>
      <w:r w:rsidRPr="00B24CA3">
        <w:t>faktörlerden</w:t>
      </w:r>
      <w:r w:rsidRPr="00B24CA3">
        <w:rPr>
          <w:spacing w:val="-14"/>
        </w:rPr>
        <w:t xml:space="preserve"> </w:t>
      </w:r>
      <w:r w:rsidRPr="00B24CA3">
        <w:t>bir</w:t>
      </w:r>
      <w:r w:rsidRPr="00B24CA3">
        <w:rPr>
          <w:spacing w:val="-13"/>
        </w:rPr>
        <w:t xml:space="preserve"> </w:t>
      </w:r>
      <w:r w:rsidRPr="00B24CA3">
        <w:t>olduğunu</w:t>
      </w:r>
      <w:r w:rsidRPr="00B24CA3">
        <w:rPr>
          <w:spacing w:val="-13"/>
        </w:rPr>
        <w:t xml:space="preserve"> </w:t>
      </w:r>
      <w:r w:rsidRPr="00B24CA3">
        <w:rPr>
          <w:spacing w:val="-2"/>
        </w:rPr>
        <w:t>belirtmişlerdir.</w:t>
      </w:r>
    </w:p>
    <w:p w14:paraId="196B8C59" w14:textId="77777777" w:rsidR="00FF4BC0" w:rsidRPr="00B24CA3" w:rsidRDefault="00FF4BC0" w:rsidP="00BA67A6">
      <w:pPr>
        <w:pStyle w:val="GvdeMetni"/>
        <w:ind w:right="162"/>
        <w:jc w:val="both"/>
      </w:pPr>
      <w:r w:rsidRPr="00B24CA3">
        <w:t>Sosyal ortamlarda ise bazı öğrenciler, davranış ve konuşma kalıplarını ayarlama konusunda endişe duyduklarını, bu endişe, geldikleri ülkenin normlarından farklılıklar sebebiyle ortaya çıkmış olsa da zamanla bu tür kaygıların alışıldığını vurgulanmıştır.</w:t>
      </w:r>
    </w:p>
    <w:p w14:paraId="4DF3EB47" w14:textId="77777777" w:rsidR="00FF4BC0" w:rsidRPr="00B24CA3" w:rsidRDefault="00FF4BC0" w:rsidP="00BA67A6">
      <w:pPr>
        <w:pStyle w:val="GvdeMetni"/>
        <w:jc w:val="both"/>
      </w:pPr>
    </w:p>
    <w:p w14:paraId="2195DE6F" w14:textId="77777777" w:rsidR="00FF4BC0" w:rsidRPr="00800DA9" w:rsidRDefault="00FF4BC0" w:rsidP="00BA67A6">
      <w:pPr>
        <w:rPr>
          <w:b/>
          <w:bCs/>
        </w:rPr>
      </w:pPr>
      <w:r w:rsidRPr="00800DA9">
        <w:rPr>
          <w:b/>
          <w:bCs/>
        </w:rPr>
        <w:t>Eğitim</w:t>
      </w:r>
      <w:r w:rsidRPr="00800DA9">
        <w:rPr>
          <w:b/>
          <w:bCs/>
          <w:spacing w:val="-3"/>
        </w:rPr>
        <w:t xml:space="preserve"> </w:t>
      </w:r>
      <w:r w:rsidRPr="00800DA9">
        <w:rPr>
          <w:b/>
          <w:bCs/>
        </w:rPr>
        <w:t>ortamına</w:t>
      </w:r>
      <w:r w:rsidRPr="00800DA9">
        <w:rPr>
          <w:b/>
          <w:bCs/>
          <w:spacing w:val="-2"/>
        </w:rPr>
        <w:t xml:space="preserve"> </w:t>
      </w:r>
      <w:r w:rsidRPr="00800DA9">
        <w:rPr>
          <w:b/>
          <w:bCs/>
        </w:rPr>
        <w:t>uyum</w:t>
      </w:r>
      <w:r w:rsidRPr="00800DA9">
        <w:rPr>
          <w:b/>
          <w:bCs/>
          <w:spacing w:val="-2"/>
        </w:rPr>
        <w:t xml:space="preserve"> </w:t>
      </w:r>
      <w:r w:rsidRPr="00800DA9">
        <w:rPr>
          <w:b/>
          <w:bCs/>
        </w:rPr>
        <w:t>sağlama</w:t>
      </w:r>
      <w:r w:rsidRPr="00800DA9">
        <w:rPr>
          <w:b/>
          <w:bCs/>
          <w:spacing w:val="-2"/>
        </w:rPr>
        <w:t xml:space="preserve"> </w:t>
      </w:r>
      <w:r w:rsidRPr="00800DA9">
        <w:rPr>
          <w:b/>
          <w:bCs/>
        </w:rPr>
        <w:t>ile</w:t>
      </w:r>
      <w:r w:rsidRPr="00800DA9">
        <w:rPr>
          <w:b/>
          <w:bCs/>
          <w:spacing w:val="1"/>
        </w:rPr>
        <w:t xml:space="preserve"> </w:t>
      </w:r>
      <w:r w:rsidRPr="00800DA9">
        <w:rPr>
          <w:b/>
          <w:bCs/>
        </w:rPr>
        <w:t>ilgili</w:t>
      </w:r>
      <w:r w:rsidRPr="00800DA9">
        <w:rPr>
          <w:b/>
          <w:bCs/>
          <w:spacing w:val="-3"/>
        </w:rPr>
        <w:t xml:space="preserve"> </w:t>
      </w:r>
      <w:r w:rsidRPr="00800DA9">
        <w:rPr>
          <w:b/>
          <w:bCs/>
          <w:spacing w:val="-2"/>
        </w:rPr>
        <w:t>bulgular</w:t>
      </w:r>
    </w:p>
    <w:p w14:paraId="0D83016C" w14:textId="77777777" w:rsidR="00FF4BC0" w:rsidRPr="00B24CA3" w:rsidRDefault="00FF4BC0" w:rsidP="00BA67A6">
      <w:pPr>
        <w:pStyle w:val="GvdeMetni"/>
        <w:ind w:right="160"/>
        <w:jc w:val="both"/>
      </w:pPr>
      <w:r w:rsidRPr="00B24CA3">
        <w:t>Görüşme</w:t>
      </w:r>
      <w:r w:rsidRPr="00B24CA3">
        <w:rPr>
          <w:spacing w:val="-10"/>
        </w:rPr>
        <w:t xml:space="preserve"> </w:t>
      </w:r>
      <w:r w:rsidRPr="00B24CA3">
        <w:t>katılımcılarının</w:t>
      </w:r>
      <w:r w:rsidRPr="00B24CA3">
        <w:rPr>
          <w:spacing w:val="-4"/>
        </w:rPr>
        <w:t xml:space="preserve"> </w:t>
      </w:r>
      <w:r w:rsidRPr="00B24CA3">
        <w:t>sorulara</w:t>
      </w:r>
      <w:r w:rsidRPr="00B24CA3">
        <w:rPr>
          <w:spacing w:val="-10"/>
        </w:rPr>
        <w:t xml:space="preserve"> </w:t>
      </w:r>
      <w:r w:rsidRPr="00B24CA3">
        <w:t>verdiği</w:t>
      </w:r>
      <w:r w:rsidRPr="00B24CA3">
        <w:rPr>
          <w:spacing w:val="-5"/>
        </w:rPr>
        <w:t xml:space="preserve"> </w:t>
      </w:r>
      <w:r w:rsidRPr="00B24CA3">
        <w:t>yanıtlara</w:t>
      </w:r>
      <w:r w:rsidRPr="00B24CA3">
        <w:rPr>
          <w:spacing w:val="-10"/>
        </w:rPr>
        <w:t xml:space="preserve"> </w:t>
      </w:r>
      <w:r w:rsidRPr="00B24CA3">
        <w:t>dayanarak,</w:t>
      </w:r>
      <w:r w:rsidRPr="00B24CA3">
        <w:rPr>
          <w:spacing w:val="-4"/>
        </w:rPr>
        <w:t xml:space="preserve"> </w:t>
      </w:r>
      <w:r w:rsidRPr="00B24CA3">
        <w:t>bu</w:t>
      </w:r>
      <w:r w:rsidRPr="00B24CA3">
        <w:rPr>
          <w:spacing w:val="-9"/>
        </w:rPr>
        <w:t xml:space="preserve"> </w:t>
      </w:r>
      <w:r w:rsidRPr="00B24CA3">
        <w:t>bölümde</w:t>
      </w:r>
      <w:r w:rsidRPr="00B24CA3">
        <w:rPr>
          <w:spacing w:val="-10"/>
        </w:rPr>
        <w:t xml:space="preserve"> </w:t>
      </w:r>
      <w:r w:rsidRPr="00B24CA3">
        <w:t>bulgular,</w:t>
      </w:r>
      <w:r w:rsidRPr="00B24CA3">
        <w:rPr>
          <w:spacing w:val="-8"/>
        </w:rPr>
        <w:t xml:space="preserve"> </w:t>
      </w:r>
      <w:r w:rsidRPr="00B24CA3">
        <w:t xml:space="preserve">yorumlar ve öneriler sunulmaktadır. Katılımcıların sorulara verdiği yanıtlara dayanarak, araştırmanın temel amacı doğrultusunda kategoriler oluşturulmuştur. Görüşmelerden elde edilen verilere uygulanan içerik analizine dayanarak okul ortamında karşılaşılan sorunlar ve önerileri ele alınmıştır. Katılımcıların çoğu birbirine benzediğinden ve bazı katılımcıların lisans eğitimini </w:t>
      </w:r>
      <w:r w:rsidRPr="00B24CA3">
        <w:lastRenderedPageBreak/>
        <w:t>burada</w:t>
      </w:r>
      <w:r w:rsidRPr="00B24CA3">
        <w:rPr>
          <w:spacing w:val="-15"/>
        </w:rPr>
        <w:t xml:space="preserve"> </w:t>
      </w:r>
      <w:r w:rsidRPr="00B24CA3">
        <w:t>tamamladığından</w:t>
      </w:r>
      <w:r w:rsidRPr="00B24CA3">
        <w:rPr>
          <w:spacing w:val="-15"/>
        </w:rPr>
        <w:t xml:space="preserve"> </w:t>
      </w:r>
      <w:r w:rsidRPr="00B24CA3">
        <w:t>yalnızca</w:t>
      </w:r>
      <w:r w:rsidRPr="00B24CA3">
        <w:rPr>
          <w:spacing w:val="-15"/>
        </w:rPr>
        <w:t xml:space="preserve"> </w:t>
      </w:r>
      <w:r w:rsidRPr="00B24CA3">
        <w:t>yüksek</w:t>
      </w:r>
      <w:r w:rsidRPr="00B24CA3">
        <w:rPr>
          <w:spacing w:val="-15"/>
        </w:rPr>
        <w:t xml:space="preserve"> </w:t>
      </w:r>
      <w:r w:rsidRPr="00B24CA3">
        <w:t>lisans</w:t>
      </w:r>
      <w:r w:rsidRPr="00B24CA3">
        <w:rPr>
          <w:spacing w:val="-14"/>
        </w:rPr>
        <w:t xml:space="preserve"> </w:t>
      </w:r>
      <w:r w:rsidRPr="00B24CA3">
        <w:t>program</w:t>
      </w:r>
      <w:r w:rsidRPr="00B24CA3">
        <w:rPr>
          <w:spacing w:val="-15"/>
        </w:rPr>
        <w:t xml:space="preserve"> </w:t>
      </w:r>
      <w:r w:rsidRPr="00B24CA3">
        <w:t>için</w:t>
      </w:r>
      <w:r w:rsidRPr="00B24CA3">
        <w:rPr>
          <w:spacing w:val="-15"/>
        </w:rPr>
        <w:t xml:space="preserve"> </w:t>
      </w:r>
      <w:r w:rsidRPr="00B24CA3">
        <w:t>gelen</w:t>
      </w:r>
      <w:r w:rsidRPr="00B24CA3">
        <w:rPr>
          <w:spacing w:val="-15"/>
        </w:rPr>
        <w:t xml:space="preserve"> </w:t>
      </w:r>
      <w:r w:rsidRPr="00B24CA3">
        <w:t>katılımcıların</w:t>
      </w:r>
      <w:r w:rsidRPr="00B24CA3">
        <w:rPr>
          <w:spacing w:val="-15"/>
        </w:rPr>
        <w:t xml:space="preserve"> </w:t>
      </w:r>
      <w:r w:rsidRPr="00B24CA3">
        <w:t>bulgulara</w:t>
      </w:r>
      <w:r w:rsidRPr="00B24CA3">
        <w:rPr>
          <w:spacing w:val="-15"/>
        </w:rPr>
        <w:t xml:space="preserve"> </w:t>
      </w:r>
      <w:r w:rsidRPr="00B24CA3">
        <w:t xml:space="preserve">yer </w:t>
      </w:r>
      <w:r w:rsidRPr="00B24CA3">
        <w:rPr>
          <w:spacing w:val="-2"/>
        </w:rPr>
        <w:t>verilmiştir.</w:t>
      </w:r>
    </w:p>
    <w:p w14:paraId="75DA4F71" w14:textId="77777777" w:rsidR="00FF4BC0" w:rsidRPr="00B24CA3" w:rsidRDefault="00FF4BC0" w:rsidP="00BA67A6">
      <w:pPr>
        <w:pStyle w:val="GvdeMetni"/>
        <w:sectPr w:rsidR="00FF4BC0" w:rsidRPr="00B24CA3" w:rsidSect="007513A1">
          <w:type w:val="continuous"/>
          <w:pgSz w:w="11906" w:h="16838"/>
          <w:pgMar w:top="1418" w:right="1418" w:bottom="1418" w:left="1418" w:header="1304" w:footer="1361" w:gutter="0"/>
          <w:cols w:space="708"/>
        </w:sectPr>
      </w:pPr>
    </w:p>
    <w:p w14:paraId="53269FA1" w14:textId="77777777" w:rsidR="00FF4BC0" w:rsidRPr="00B24CA3" w:rsidRDefault="00FF4BC0">
      <w:pPr>
        <w:pStyle w:val="ListeParagraf"/>
        <w:numPr>
          <w:ilvl w:val="0"/>
          <w:numId w:val="26"/>
        </w:numPr>
        <w:tabs>
          <w:tab w:val="left" w:pos="448"/>
        </w:tabs>
        <w:ind w:right="157"/>
        <w:contextualSpacing w:val="0"/>
        <w:jc w:val="both"/>
      </w:pPr>
      <w:r w:rsidRPr="00B24CA3">
        <w:t>Okula uyum sağlamak kolaydı. Üniversite her öğrenci için danışman hizmeti sunduğundan, dersi</w:t>
      </w:r>
      <w:r w:rsidRPr="00B24CA3">
        <w:rPr>
          <w:spacing w:val="-15"/>
        </w:rPr>
        <w:t xml:space="preserve"> </w:t>
      </w:r>
      <w:r w:rsidRPr="00B24CA3">
        <w:t>seçimi,</w:t>
      </w:r>
      <w:r w:rsidRPr="00B24CA3">
        <w:rPr>
          <w:spacing w:val="-15"/>
        </w:rPr>
        <w:t xml:space="preserve"> </w:t>
      </w:r>
      <w:r w:rsidRPr="00B24CA3">
        <w:t>akademik</w:t>
      </w:r>
      <w:r w:rsidRPr="00B24CA3">
        <w:rPr>
          <w:spacing w:val="-15"/>
        </w:rPr>
        <w:t xml:space="preserve"> </w:t>
      </w:r>
      <w:r w:rsidRPr="00B24CA3">
        <w:t>kurallar</w:t>
      </w:r>
      <w:r w:rsidRPr="00B24CA3">
        <w:rPr>
          <w:spacing w:val="-15"/>
        </w:rPr>
        <w:t xml:space="preserve"> </w:t>
      </w:r>
      <w:r w:rsidRPr="00B24CA3">
        <w:t>ve</w:t>
      </w:r>
      <w:r w:rsidRPr="00B24CA3">
        <w:rPr>
          <w:spacing w:val="-15"/>
        </w:rPr>
        <w:t xml:space="preserve"> </w:t>
      </w:r>
      <w:r w:rsidRPr="00B24CA3">
        <w:t>notlandırma</w:t>
      </w:r>
      <w:r w:rsidRPr="00B24CA3">
        <w:rPr>
          <w:spacing w:val="-15"/>
        </w:rPr>
        <w:t xml:space="preserve"> </w:t>
      </w:r>
      <w:r w:rsidRPr="00B24CA3">
        <w:t>sistemleri</w:t>
      </w:r>
      <w:r w:rsidRPr="00B24CA3">
        <w:rPr>
          <w:spacing w:val="-15"/>
        </w:rPr>
        <w:t xml:space="preserve"> </w:t>
      </w:r>
      <w:r w:rsidRPr="00B24CA3">
        <w:t>gibi</w:t>
      </w:r>
      <w:r w:rsidRPr="00B24CA3">
        <w:rPr>
          <w:spacing w:val="-15"/>
        </w:rPr>
        <w:t xml:space="preserve"> </w:t>
      </w:r>
      <w:r w:rsidRPr="00B24CA3">
        <w:t>konularda</w:t>
      </w:r>
      <w:r w:rsidRPr="00B24CA3">
        <w:rPr>
          <w:spacing w:val="-15"/>
        </w:rPr>
        <w:t xml:space="preserve"> </w:t>
      </w:r>
      <w:r w:rsidRPr="00B24CA3">
        <w:t>bir</w:t>
      </w:r>
      <w:r w:rsidRPr="00B24CA3">
        <w:rPr>
          <w:spacing w:val="-14"/>
        </w:rPr>
        <w:t xml:space="preserve"> </w:t>
      </w:r>
      <w:r w:rsidRPr="00B24CA3">
        <w:t>sorun</w:t>
      </w:r>
      <w:r w:rsidRPr="00B24CA3">
        <w:rPr>
          <w:spacing w:val="-12"/>
        </w:rPr>
        <w:t xml:space="preserve"> </w:t>
      </w:r>
      <w:r w:rsidRPr="00B24CA3">
        <w:t>yaşadığımda danışman mesajla beni bilgilendiriyor.</w:t>
      </w:r>
    </w:p>
    <w:p w14:paraId="0BC6CDD1" w14:textId="77777777" w:rsidR="00FF4BC0" w:rsidRPr="00B24CA3" w:rsidRDefault="00FF4BC0" w:rsidP="00BA67A6">
      <w:pPr>
        <w:pStyle w:val="GvdeMetni"/>
        <w:jc w:val="both"/>
      </w:pPr>
    </w:p>
    <w:p w14:paraId="64D274BC" w14:textId="77777777" w:rsidR="00FF4BC0" w:rsidRDefault="00FF4BC0" w:rsidP="00BA67A6">
      <w:pPr>
        <w:pStyle w:val="GvdeMetni"/>
        <w:ind w:right="158"/>
        <w:jc w:val="both"/>
      </w:pPr>
      <w:r w:rsidRPr="00B24CA3">
        <w:t>Öğrencilere okulda danışmanlık hizmetin verilmesi, onların okula uyum süreçlerini hızlandırmada ve akademik başarılarını artırmada önemli rol oynamaktadır. Danışmanların ders seçimi ve notlandırma sistemleri konularda sundukları hizmetlerle öğrencilerin karşılaştıkları zorlukları hızlı bir şekilde çözdükleri, bu durum öğrencilerin motivasyonlarını artırarak</w:t>
      </w:r>
      <w:r w:rsidRPr="00B24CA3">
        <w:rPr>
          <w:spacing w:val="-3"/>
        </w:rPr>
        <w:t xml:space="preserve"> </w:t>
      </w:r>
      <w:r w:rsidRPr="00B24CA3">
        <w:t>eğitim</w:t>
      </w:r>
      <w:r w:rsidRPr="00B24CA3">
        <w:rPr>
          <w:spacing w:val="-5"/>
        </w:rPr>
        <w:t xml:space="preserve"> </w:t>
      </w:r>
      <w:r w:rsidRPr="00B24CA3">
        <w:t>hayatlarında başarılı</w:t>
      </w:r>
      <w:r w:rsidRPr="00B24CA3">
        <w:rPr>
          <w:spacing w:val="-5"/>
        </w:rPr>
        <w:t xml:space="preserve"> </w:t>
      </w:r>
      <w:r w:rsidRPr="00B24CA3">
        <w:t>olmalarını</w:t>
      </w:r>
      <w:r w:rsidRPr="00B24CA3">
        <w:rPr>
          <w:spacing w:val="-5"/>
        </w:rPr>
        <w:t xml:space="preserve"> </w:t>
      </w:r>
      <w:r w:rsidRPr="00B24CA3">
        <w:t>sağlamaktadır. Böylece, danışmanlık desteğin sadece</w:t>
      </w:r>
      <w:r w:rsidRPr="00B24CA3">
        <w:rPr>
          <w:spacing w:val="-5"/>
        </w:rPr>
        <w:t xml:space="preserve"> </w:t>
      </w:r>
      <w:r w:rsidRPr="00B24CA3">
        <w:t>öğrencilerin</w:t>
      </w:r>
      <w:r w:rsidRPr="00B24CA3">
        <w:rPr>
          <w:spacing w:val="-4"/>
        </w:rPr>
        <w:t xml:space="preserve"> </w:t>
      </w:r>
      <w:r w:rsidRPr="00B24CA3">
        <w:t>akademik</w:t>
      </w:r>
      <w:r w:rsidRPr="00B24CA3">
        <w:rPr>
          <w:spacing w:val="-1"/>
        </w:rPr>
        <w:t xml:space="preserve"> </w:t>
      </w:r>
      <w:r w:rsidRPr="00B24CA3">
        <w:t>başarılarına</w:t>
      </w:r>
      <w:r w:rsidRPr="00B24CA3">
        <w:rPr>
          <w:spacing w:val="-5"/>
        </w:rPr>
        <w:t xml:space="preserve"> </w:t>
      </w:r>
      <w:r w:rsidRPr="00B24CA3">
        <w:t>değil,</w:t>
      </w:r>
      <w:r w:rsidRPr="00B24CA3">
        <w:rPr>
          <w:spacing w:val="-4"/>
        </w:rPr>
        <w:t xml:space="preserve"> </w:t>
      </w:r>
      <w:r w:rsidRPr="00B24CA3">
        <w:t>aynı</w:t>
      </w:r>
      <w:r w:rsidRPr="00B24CA3">
        <w:rPr>
          <w:spacing w:val="-1"/>
        </w:rPr>
        <w:t xml:space="preserve"> </w:t>
      </w:r>
      <w:r w:rsidRPr="00B24CA3">
        <w:t>zamanda</w:t>
      </w:r>
      <w:r w:rsidRPr="00B24CA3">
        <w:rPr>
          <w:spacing w:val="-5"/>
        </w:rPr>
        <w:t xml:space="preserve"> </w:t>
      </w:r>
      <w:r w:rsidRPr="00B24CA3">
        <w:t>okula</w:t>
      </w:r>
      <w:r w:rsidRPr="00B24CA3">
        <w:rPr>
          <w:spacing w:val="-4"/>
        </w:rPr>
        <w:t xml:space="preserve"> </w:t>
      </w:r>
      <w:r w:rsidRPr="00B24CA3">
        <w:t>uyumlarına</w:t>
      </w:r>
      <w:r w:rsidRPr="00B24CA3">
        <w:rPr>
          <w:spacing w:val="-4"/>
        </w:rPr>
        <w:t xml:space="preserve"> </w:t>
      </w:r>
      <w:r w:rsidRPr="00B24CA3">
        <w:t>önemli</w:t>
      </w:r>
      <w:r w:rsidRPr="00B24CA3">
        <w:rPr>
          <w:spacing w:val="-5"/>
        </w:rPr>
        <w:t xml:space="preserve"> </w:t>
      </w:r>
      <w:r w:rsidRPr="00B24CA3">
        <w:t>katkı sağladığını ileri sürülmüştür.</w:t>
      </w:r>
    </w:p>
    <w:p w14:paraId="70EEC6C2" w14:textId="77777777" w:rsidR="004C7694" w:rsidRPr="00B24CA3" w:rsidRDefault="004C7694" w:rsidP="00BA67A6">
      <w:pPr>
        <w:pStyle w:val="GvdeMetni"/>
        <w:ind w:right="158"/>
        <w:jc w:val="both"/>
      </w:pPr>
    </w:p>
    <w:p w14:paraId="78D537C5" w14:textId="77777777" w:rsidR="00FF4BC0" w:rsidRDefault="00FF4BC0" w:rsidP="00BA67A6">
      <w:pPr>
        <w:pStyle w:val="GvdeMetni"/>
        <w:ind w:right="162"/>
        <w:jc w:val="both"/>
      </w:pPr>
      <w:r w:rsidRPr="00B24CA3">
        <w:t>Okul</w:t>
      </w:r>
      <w:r w:rsidRPr="00B24CA3">
        <w:rPr>
          <w:spacing w:val="-14"/>
        </w:rPr>
        <w:t xml:space="preserve"> </w:t>
      </w:r>
      <w:r w:rsidRPr="00B24CA3">
        <w:t>ortamına</w:t>
      </w:r>
      <w:r w:rsidRPr="00B24CA3">
        <w:rPr>
          <w:spacing w:val="-14"/>
        </w:rPr>
        <w:t xml:space="preserve"> </w:t>
      </w:r>
      <w:r w:rsidRPr="00B24CA3">
        <w:t>başlangıçta</w:t>
      </w:r>
      <w:r w:rsidRPr="00B24CA3">
        <w:rPr>
          <w:spacing w:val="-14"/>
        </w:rPr>
        <w:t xml:space="preserve"> </w:t>
      </w:r>
      <w:r w:rsidRPr="00B24CA3">
        <w:t>uyum</w:t>
      </w:r>
      <w:r w:rsidRPr="00B24CA3">
        <w:rPr>
          <w:spacing w:val="-14"/>
        </w:rPr>
        <w:t xml:space="preserve"> </w:t>
      </w:r>
      <w:r w:rsidRPr="00B24CA3">
        <w:t>sağlamak</w:t>
      </w:r>
      <w:r w:rsidRPr="00B24CA3">
        <w:rPr>
          <w:spacing w:val="-9"/>
        </w:rPr>
        <w:t xml:space="preserve"> </w:t>
      </w:r>
      <w:r w:rsidRPr="00B24CA3">
        <w:t>zordu,</w:t>
      </w:r>
      <w:r w:rsidRPr="00B24CA3">
        <w:rPr>
          <w:spacing w:val="-12"/>
        </w:rPr>
        <w:t xml:space="preserve"> </w:t>
      </w:r>
      <w:r w:rsidRPr="00B24CA3">
        <w:t>ama</w:t>
      </w:r>
      <w:r w:rsidRPr="00B24CA3">
        <w:rPr>
          <w:spacing w:val="-14"/>
        </w:rPr>
        <w:t xml:space="preserve"> </w:t>
      </w:r>
      <w:r w:rsidRPr="00B24CA3">
        <w:t>yabancı</w:t>
      </w:r>
      <w:r w:rsidRPr="00B24CA3">
        <w:rPr>
          <w:spacing w:val="-14"/>
        </w:rPr>
        <w:t xml:space="preserve"> </w:t>
      </w:r>
      <w:r w:rsidRPr="00B24CA3">
        <w:t>öğrencilerinde</w:t>
      </w:r>
      <w:r w:rsidRPr="00B24CA3">
        <w:rPr>
          <w:spacing w:val="-14"/>
        </w:rPr>
        <w:t xml:space="preserve"> </w:t>
      </w:r>
      <w:r w:rsidRPr="00B24CA3">
        <w:t>bulunmasıyla</w:t>
      </w:r>
      <w:r w:rsidRPr="00B24CA3">
        <w:rPr>
          <w:spacing w:val="-14"/>
        </w:rPr>
        <w:t xml:space="preserve"> </w:t>
      </w:r>
      <w:r w:rsidRPr="00B24CA3">
        <w:t>ve Öğretmenler ve öğrenciler arasındaki etkileşim bu sureci kolaylaştırdı. Uluslararası öğrencilerin, farklı bakış açılarının ve deneyimleri sayesinde sosyal ve akademik ortama çeşitliliği</w:t>
      </w:r>
      <w:r w:rsidRPr="00B24CA3">
        <w:rPr>
          <w:spacing w:val="-11"/>
        </w:rPr>
        <w:t xml:space="preserve"> </w:t>
      </w:r>
      <w:r w:rsidRPr="00B24CA3">
        <w:t>kazandırmaktadır.</w:t>
      </w:r>
      <w:r w:rsidRPr="00B24CA3">
        <w:rPr>
          <w:spacing w:val="-9"/>
        </w:rPr>
        <w:t xml:space="preserve"> </w:t>
      </w:r>
      <w:r w:rsidRPr="00B24CA3">
        <w:t>Bu</w:t>
      </w:r>
      <w:r w:rsidRPr="00B24CA3">
        <w:rPr>
          <w:spacing w:val="-5"/>
        </w:rPr>
        <w:t xml:space="preserve"> </w:t>
      </w:r>
      <w:r w:rsidRPr="00B24CA3">
        <w:t>çeşitlilik,</w:t>
      </w:r>
      <w:r w:rsidRPr="00B24CA3">
        <w:rPr>
          <w:spacing w:val="-9"/>
        </w:rPr>
        <w:t xml:space="preserve"> </w:t>
      </w:r>
      <w:r w:rsidRPr="00B24CA3">
        <w:t>öğrenciler</w:t>
      </w:r>
      <w:r w:rsidRPr="00B24CA3">
        <w:rPr>
          <w:spacing w:val="-5"/>
        </w:rPr>
        <w:t xml:space="preserve"> </w:t>
      </w:r>
      <w:r w:rsidRPr="00B24CA3">
        <w:t>arasındaki</w:t>
      </w:r>
      <w:r w:rsidRPr="00B24CA3">
        <w:rPr>
          <w:spacing w:val="-7"/>
        </w:rPr>
        <w:t xml:space="preserve"> </w:t>
      </w:r>
      <w:r w:rsidRPr="00B24CA3">
        <w:t>etkileşimi</w:t>
      </w:r>
      <w:r w:rsidRPr="00B24CA3">
        <w:rPr>
          <w:spacing w:val="-7"/>
        </w:rPr>
        <w:t xml:space="preserve"> </w:t>
      </w:r>
      <w:r w:rsidRPr="00B24CA3">
        <w:t>teşvik</w:t>
      </w:r>
      <w:r w:rsidRPr="00B24CA3">
        <w:rPr>
          <w:spacing w:val="-5"/>
        </w:rPr>
        <w:t xml:space="preserve"> </w:t>
      </w:r>
      <w:r w:rsidRPr="00B24CA3">
        <w:t>ederek</w:t>
      </w:r>
      <w:r w:rsidRPr="00B24CA3">
        <w:rPr>
          <w:spacing w:val="-10"/>
        </w:rPr>
        <w:t xml:space="preserve"> </w:t>
      </w:r>
      <w:r w:rsidRPr="00B24CA3">
        <w:t>ortaya yeni fikirlerin çıkmasına ve fikir alışverişinin gerçekleşmesine olanak tanımaktadır. Ayrıca, öğrencilerin böyle bir ortama maruz kalmaları, dil becerilerinin gelişmesine, iletişim kurma biçimlerini gelişmesine ve kişisel gelişimlerini ilerlemesinde önemli rol oynamaktadır. Aşağıda bazı öğrencilerin ifadelere yer verilmiştir.</w:t>
      </w:r>
    </w:p>
    <w:p w14:paraId="61B53391" w14:textId="77777777" w:rsidR="004C7694" w:rsidRPr="00B24CA3" w:rsidRDefault="004C7694" w:rsidP="00BA67A6">
      <w:pPr>
        <w:pStyle w:val="GvdeMetni"/>
        <w:ind w:right="162"/>
        <w:jc w:val="both"/>
      </w:pPr>
    </w:p>
    <w:p w14:paraId="26C97ADA" w14:textId="77777777" w:rsidR="00FF4BC0" w:rsidRPr="00B24CA3" w:rsidRDefault="00FF4BC0">
      <w:pPr>
        <w:pStyle w:val="ListeParagraf"/>
        <w:numPr>
          <w:ilvl w:val="1"/>
          <w:numId w:val="26"/>
        </w:numPr>
        <w:tabs>
          <w:tab w:val="left" w:pos="1168"/>
        </w:tabs>
        <w:ind w:left="1168" w:right="159"/>
        <w:contextualSpacing w:val="0"/>
        <w:jc w:val="both"/>
      </w:pPr>
      <w:r w:rsidRPr="00B24CA3">
        <w:t>Başlangıçta yalnızlık hissediyordum, çünkü lisansüstü programımda az öğrenci bulunuyor ve bazı dersleri yalızca öğretmenle almak zorunda kalıyorum. Bu durum, dersime olan motivasyonumu olumsuz ekliyor.</w:t>
      </w:r>
    </w:p>
    <w:p w14:paraId="1A7AC175" w14:textId="77777777" w:rsidR="00FF4BC0" w:rsidRPr="00B24CA3" w:rsidRDefault="00FF4BC0">
      <w:pPr>
        <w:pStyle w:val="ListeParagraf"/>
        <w:numPr>
          <w:ilvl w:val="1"/>
          <w:numId w:val="26"/>
        </w:numPr>
        <w:tabs>
          <w:tab w:val="left" w:pos="1168"/>
        </w:tabs>
        <w:ind w:left="1168" w:right="164"/>
        <w:contextualSpacing w:val="0"/>
        <w:jc w:val="both"/>
      </w:pPr>
      <w:r w:rsidRPr="00B24CA3">
        <w:t>Bazı lisansüstü programda, birlikte eğitim gören öğrenci sayısının az olması, öğrencilerin sosyal etkileşimi ve grup çalışması gibi etkinliklerden yeterince faydalanmamasına neden olmuş ve bu durum özellikle yabancı öğrencilerde yalnızlık hissini</w:t>
      </w:r>
      <w:r w:rsidRPr="00B24CA3">
        <w:rPr>
          <w:spacing w:val="-10"/>
        </w:rPr>
        <w:t xml:space="preserve"> </w:t>
      </w:r>
      <w:r w:rsidRPr="00B24CA3">
        <w:t>yarattığını</w:t>
      </w:r>
      <w:r w:rsidRPr="00B24CA3">
        <w:rPr>
          <w:spacing w:val="-5"/>
        </w:rPr>
        <w:t xml:space="preserve"> </w:t>
      </w:r>
      <w:r w:rsidRPr="00B24CA3">
        <w:t>ifade</w:t>
      </w:r>
      <w:r w:rsidRPr="00B24CA3">
        <w:rPr>
          <w:spacing w:val="-10"/>
        </w:rPr>
        <w:t xml:space="preserve"> </w:t>
      </w:r>
      <w:r w:rsidRPr="00B24CA3">
        <w:t>edilmiştir.</w:t>
      </w:r>
      <w:r w:rsidRPr="00B24CA3">
        <w:rPr>
          <w:spacing w:val="-8"/>
        </w:rPr>
        <w:t xml:space="preserve"> </w:t>
      </w:r>
      <w:r w:rsidRPr="00B24CA3">
        <w:t>Ayrıca,</w:t>
      </w:r>
      <w:r w:rsidRPr="00B24CA3">
        <w:rPr>
          <w:spacing w:val="-4"/>
        </w:rPr>
        <w:t xml:space="preserve"> </w:t>
      </w:r>
      <w:r w:rsidRPr="00B24CA3">
        <w:t>yabancı</w:t>
      </w:r>
      <w:r w:rsidRPr="00B24CA3">
        <w:rPr>
          <w:spacing w:val="-10"/>
        </w:rPr>
        <w:t xml:space="preserve"> </w:t>
      </w:r>
      <w:r w:rsidRPr="00B24CA3">
        <w:t>öğrenciler,</w:t>
      </w:r>
      <w:r w:rsidRPr="00B24CA3">
        <w:rPr>
          <w:spacing w:val="-3"/>
        </w:rPr>
        <w:t xml:space="preserve"> </w:t>
      </w:r>
      <w:r w:rsidRPr="00B24CA3">
        <w:t>Türk</w:t>
      </w:r>
      <w:r w:rsidRPr="00B24CA3">
        <w:rPr>
          <w:spacing w:val="-4"/>
        </w:rPr>
        <w:t xml:space="preserve"> </w:t>
      </w:r>
      <w:r w:rsidRPr="00B24CA3">
        <w:t>öğrencilere</w:t>
      </w:r>
      <w:r w:rsidRPr="00B24CA3">
        <w:rPr>
          <w:spacing w:val="-10"/>
        </w:rPr>
        <w:t xml:space="preserve"> </w:t>
      </w:r>
      <w:r w:rsidRPr="00B24CA3">
        <w:t>kıyasla daha az etkileşimde olduklarını görülmüştür. Bu durum, öğrencilerin derslere olan ilgisini ve motivasyonunu olumsuz yönde etkilemekte, okul ortamına uyum sağlama süreçlerini zorlaştırmakta ve eğitim başarılarını olumsuz bir şeklinde etkilemektedir.</w:t>
      </w:r>
    </w:p>
    <w:p w14:paraId="725C6B2F" w14:textId="77777777" w:rsidR="00FF4BC0" w:rsidRDefault="00FF4BC0">
      <w:pPr>
        <w:pStyle w:val="ListeParagraf"/>
        <w:numPr>
          <w:ilvl w:val="1"/>
          <w:numId w:val="26"/>
        </w:numPr>
        <w:tabs>
          <w:tab w:val="left" w:pos="1168"/>
        </w:tabs>
        <w:ind w:left="1168" w:right="162"/>
        <w:contextualSpacing w:val="0"/>
        <w:jc w:val="both"/>
      </w:pPr>
      <w:r w:rsidRPr="00B24CA3">
        <w:t>Bölümde</w:t>
      </w:r>
      <w:r w:rsidRPr="00B24CA3">
        <w:rPr>
          <w:spacing w:val="-6"/>
        </w:rPr>
        <w:t xml:space="preserve"> </w:t>
      </w:r>
      <w:r w:rsidRPr="00B24CA3">
        <w:t>birkaç</w:t>
      </w:r>
      <w:r w:rsidRPr="00B24CA3">
        <w:rPr>
          <w:spacing w:val="-2"/>
        </w:rPr>
        <w:t xml:space="preserve"> </w:t>
      </w:r>
      <w:r w:rsidRPr="00B24CA3">
        <w:t>eksiklik bulunmakta.</w:t>
      </w:r>
      <w:r w:rsidRPr="00B24CA3">
        <w:rPr>
          <w:spacing w:val="-5"/>
        </w:rPr>
        <w:t xml:space="preserve"> </w:t>
      </w:r>
      <w:r w:rsidRPr="00B24CA3">
        <w:t>Özellikle</w:t>
      </w:r>
      <w:r w:rsidRPr="00B24CA3">
        <w:rPr>
          <w:spacing w:val="-2"/>
        </w:rPr>
        <w:t xml:space="preserve"> </w:t>
      </w:r>
      <w:r w:rsidRPr="00B24CA3">
        <w:t>laboratuvar</w:t>
      </w:r>
      <w:r w:rsidRPr="00B24CA3">
        <w:rPr>
          <w:spacing w:val="-5"/>
        </w:rPr>
        <w:t xml:space="preserve"> </w:t>
      </w:r>
      <w:r w:rsidRPr="00B24CA3">
        <w:t>beklediğim</w:t>
      </w:r>
      <w:r w:rsidRPr="00B24CA3">
        <w:rPr>
          <w:spacing w:val="-7"/>
        </w:rPr>
        <w:t xml:space="preserve"> </w:t>
      </w:r>
      <w:r w:rsidRPr="00B24CA3">
        <w:t>kadar</w:t>
      </w:r>
      <w:r w:rsidRPr="00B24CA3">
        <w:rPr>
          <w:spacing w:val="-5"/>
        </w:rPr>
        <w:t xml:space="preserve"> </w:t>
      </w:r>
      <w:r w:rsidRPr="00B24CA3">
        <w:t>gelişmiş değildi,</w:t>
      </w:r>
      <w:r w:rsidRPr="00B24CA3">
        <w:rPr>
          <w:spacing w:val="-8"/>
        </w:rPr>
        <w:t xml:space="preserve"> </w:t>
      </w:r>
      <w:r w:rsidRPr="00B24CA3">
        <w:t>bunun</w:t>
      </w:r>
      <w:r w:rsidRPr="00B24CA3">
        <w:rPr>
          <w:spacing w:val="-12"/>
        </w:rPr>
        <w:t xml:space="preserve"> </w:t>
      </w:r>
      <w:r w:rsidRPr="00B24CA3">
        <w:t>harcında</w:t>
      </w:r>
      <w:r w:rsidRPr="00B24CA3">
        <w:rPr>
          <w:spacing w:val="-8"/>
        </w:rPr>
        <w:t xml:space="preserve"> </w:t>
      </w:r>
      <w:r w:rsidRPr="00B24CA3">
        <w:t>okulda</w:t>
      </w:r>
      <w:r w:rsidRPr="00B24CA3">
        <w:rPr>
          <w:spacing w:val="-14"/>
        </w:rPr>
        <w:t xml:space="preserve"> </w:t>
      </w:r>
      <w:r w:rsidRPr="00B24CA3">
        <w:t>aldığım</w:t>
      </w:r>
      <w:r w:rsidRPr="00B24CA3">
        <w:rPr>
          <w:spacing w:val="-13"/>
        </w:rPr>
        <w:t xml:space="preserve"> </w:t>
      </w:r>
      <w:r w:rsidRPr="00B24CA3">
        <w:t>eğitim,</w:t>
      </w:r>
      <w:r w:rsidRPr="00B24CA3">
        <w:rPr>
          <w:spacing w:val="-13"/>
        </w:rPr>
        <w:t xml:space="preserve"> </w:t>
      </w:r>
      <w:r w:rsidRPr="00B24CA3">
        <w:t>öğretim</w:t>
      </w:r>
      <w:r w:rsidRPr="00B24CA3">
        <w:rPr>
          <w:spacing w:val="-14"/>
        </w:rPr>
        <w:t xml:space="preserve"> </w:t>
      </w:r>
      <w:r w:rsidRPr="00B24CA3">
        <w:t>üyeleriyle</w:t>
      </w:r>
      <w:r w:rsidRPr="00B24CA3">
        <w:rPr>
          <w:spacing w:val="-14"/>
        </w:rPr>
        <w:t xml:space="preserve"> </w:t>
      </w:r>
      <w:r w:rsidRPr="00B24CA3">
        <w:t>ve</w:t>
      </w:r>
      <w:r w:rsidRPr="00B24CA3">
        <w:rPr>
          <w:spacing w:val="-9"/>
        </w:rPr>
        <w:t xml:space="preserve"> </w:t>
      </w:r>
      <w:r w:rsidRPr="00B24CA3">
        <w:t>diğer</w:t>
      </w:r>
      <w:r w:rsidRPr="00B24CA3">
        <w:rPr>
          <w:spacing w:val="-12"/>
        </w:rPr>
        <w:t xml:space="preserve"> </w:t>
      </w:r>
      <w:r w:rsidRPr="00B24CA3">
        <w:t>öğrencilerle olan ilişkim çok iyi. Hocalarıma, istediğim zaman ve istediğim konuda ulaşabilmem okula uyumumu çok hızlandırdı.</w:t>
      </w:r>
    </w:p>
    <w:p w14:paraId="27FE15CD" w14:textId="77777777" w:rsidR="004C7694" w:rsidRPr="00B24CA3" w:rsidRDefault="004C7694" w:rsidP="004C7694">
      <w:pPr>
        <w:pStyle w:val="ListeParagraf"/>
        <w:tabs>
          <w:tab w:val="left" w:pos="1168"/>
        </w:tabs>
        <w:ind w:left="1168" w:right="162"/>
        <w:contextualSpacing w:val="0"/>
        <w:jc w:val="both"/>
      </w:pPr>
    </w:p>
    <w:p w14:paraId="5E88E76D" w14:textId="77777777" w:rsidR="00FF4BC0" w:rsidRPr="00B24CA3" w:rsidRDefault="00FF4BC0" w:rsidP="00BA67A6">
      <w:pPr>
        <w:pStyle w:val="GvdeMetni"/>
        <w:ind w:right="159"/>
        <w:jc w:val="both"/>
      </w:pPr>
      <w:r w:rsidRPr="00B24CA3">
        <w:t xml:space="preserve">Katılımcılardan biri, okulun bazı alanlarının eksik olduğunu düşünse </w:t>
      </w:r>
      <w:proofErr w:type="gramStart"/>
      <w:r w:rsidRPr="00B24CA3">
        <w:t>de,</w:t>
      </w:r>
      <w:proofErr w:type="gramEnd"/>
      <w:r w:rsidRPr="00B24CA3">
        <w:t xml:space="preserve"> okulda sağlanan eğitimin genel kalitesinden ve öğretmenlerle ilişkilerden genel olarak oldukça memnun olduğunu belirtmiştir. Öğrencilerin öğretmenleriyle her an iletişim kurabilmeleri, akademik süreç</w:t>
      </w:r>
      <w:r w:rsidRPr="00B24CA3">
        <w:rPr>
          <w:spacing w:val="-15"/>
        </w:rPr>
        <w:t xml:space="preserve"> </w:t>
      </w:r>
      <w:r w:rsidRPr="00B24CA3">
        <w:t>sırasında</w:t>
      </w:r>
      <w:r w:rsidRPr="00B24CA3">
        <w:rPr>
          <w:spacing w:val="-15"/>
        </w:rPr>
        <w:t xml:space="preserve"> </w:t>
      </w:r>
      <w:r w:rsidRPr="00B24CA3">
        <w:t>ortaya</w:t>
      </w:r>
      <w:r w:rsidRPr="00B24CA3">
        <w:rPr>
          <w:spacing w:val="-15"/>
        </w:rPr>
        <w:t xml:space="preserve"> </w:t>
      </w:r>
      <w:r w:rsidRPr="00B24CA3">
        <w:t>çıkan</w:t>
      </w:r>
      <w:r w:rsidRPr="00B24CA3">
        <w:rPr>
          <w:spacing w:val="-15"/>
        </w:rPr>
        <w:t xml:space="preserve"> </w:t>
      </w:r>
      <w:r w:rsidRPr="00B24CA3">
        <w:t>sorunları</w:t>
      </w:r>
      <w:r w:rsidRPr="00B24CA3">
        <w:rPr>
          <w:spacing w:val="-15"/>
        </w:rPr>
        <w:t xml:space="preserve"> </w:t>
      </w:r>
      <w:r w:rsidRPr="00B24CA3">
        <w:t>daha</w:t>
      </w:r>
      <w:r w:rsidRPr="00B24CA3">
        <w:rPr>
          <w:spacing w:val="-15"/>
        </w:rPr>
        <w:t xml:space="preserve"> </w:t>
      </w:r>
      <w:r w:rsidRPr="00B24CA3">
        <w:t>hızlı</w:t>
      </w:r>
      <w:r w:rsidRPr="00B24CA3">
        <w:rPr>
          <w:spacing w:val="-15"/>
        </w:rPr>
        <w:t xml:space="preserve"> </w:t>
      </w:r>
      <w:r w:rsidRPr="00B24CA3">
        <w:t>çözmelerine</w:t>
      </w:r>
      <w:r w:rsidRPr="00B24CA3">
        <w:rPr>
          <w:spacing w:val="-15"/>
        </w:rPr>
        <w:t xml:space="preserve"> </w:t>
      </w:r>
      <w:r w:rsidRPr="00B24CA3">
        <w:t>ve</w:t>
      </w:r>
      <w:r w:rsidRPr="00B24CA3">
        <w:rPr>
          <w:spacing w:val="-15"/>
        </w:rPr>
        <w:t xml:space="preserve"> </w:t>
      </w:r>
      <w:r w:rsidRPr="00B24CA3">
        <w:t>okul</w:t>
      </w:r>
      <w:r w:rsidRPr="00B24CA3">
        <w:rPr>
          <w:spacing w:val="-15"/>
        </w:rPr>
        <w:t xml:space="preserve"> </w:t>
      </w:r>
      <w:r w:rsidRPr="00B24CA3">
        <w:t>ortamına</w:t>
      </w:r>
      <w:r w:rsidRPr="00B24CA3">
        <w:rPr>
          <w:spacing w:val="-15"/>
        </w:rPr>
        <w:t xml:space="preserve"> </w:t>
      </w:r>
      <w:r w:rsidRPr="00B24CA3">
        <w:t>daha</w:t>
      </w:r>
      <w:r w:rsidRPr="00B24CA3">
        <w:rPr>
          <w:spacing w:val="-15"/>
        </w:rPr>
        <w:t xml:space="preserve"> </w:t>
      </w:r>
      <w:r w:rsidRPr="00B24CA3">
        <w:t>kolay</w:t>
      </w:r>
      <w:r w:rsidRPr="00B24CA3">
        <w:rPr>
          <w:spacing w:val="-15"/>
        </w:rPr>
        <w:t xml:space="preserve"> </w:t>
      </w:r>
      <w:r w:rsidRPr="00B24CA3">
        <w:t>uyum sağlamalarına yardımcı olmuştur. Öğrencilerin kendilerini daha güvende hissetmelerine ve akademik gelişimlerine odaklanmalarına yardımcı olmasının yanı sıra, bu etkileşim öğrenme sürecini de geliştirmiştir.</w:t>
      </w:r>
    </w:p>
    <w:p w14:paraId="45233C74" w14:textId="77777777" w:rsidR="00FF4BC0" w:rsidRPr="00B24CA3" w:rsidRDefault="00FF4BC0" w:rsidP="00BA67A6">
      <w:pPr>
        <w:pStyle w:val="GvdeMetni"/>
        <w:jc w:val="both"/>
      </w:pPr>
    </w:p>
    <w:p w14:paraId="73D311A4" w14:textId="77777777" w:rsidR="00FF4BC0" w:rsidRPr="00800DA9" w:rsidRDefault="00FF4BC0" w:rsidP="00BA67A6">
      <w:pPr>
        <w:rPr>
          <w:b/>
          <w:bCs/>
        </w:rPr>
      </w:pPr>
      <w:r w:rsidRPr="00800DA9">
        <w:rPr>
          <w:b/>
          <w:bCs/>
        </w:rPr>
        <w:lastRenderedPageBreak/>
        <w:t>SONUÇ</w:t>
      </w:r>
      <w:r w:rsidRPr="00800DA9">
        <w:rPr>
          <w:b/>
          <w:bCs/>
          <w:spacing w:val="2"/>
        </w:rPr>
        <w:t xml:space="preserve"> </w:t>
      </w:r>
      <w:r w:rsidRPr="00800DA9">
        <w:rPr>
          <w:b/>
          <w:bCs/>
        </w:rPr>
        <w:t>VE</w:t>
      </w:r>
      <w:r w:rsidRPr="00800DA9">
        <w:rPr>
          <w:b/>
          <w:bCs/>
          <w:spacing w:val="3"/>
        </w:rPr>
        <w:t xml:space="preserve"> </w:t>
      </w:r>
      <w:r w:rsidRPr="00800DA9">
        <w:rPr>
          <w:b/>
          <w:bCs/>
          <w:spacing w:val="-2"/>
        </w:rPr>
        <w:t>TARTIŞMA</w:t>
      </w:r>
    </w:p>
    <w:p w14:paraId="0358C92D" w14:textId="2B88CC35" w:rsidR="00FF4BC0" w:rsidRPr="00B24CA3" w:rsidRDefault="00FF4BC0" w:rsidP="00BA67A6">
      <w:pPr>
        <w:pStyle w:val="GvdeMetni"/>
        <w:ind w:right="160"/>
        <w:jc w:val="both"/>
      </w:pPr>
      <w:proofErr w:type="spellStart"/>
      <w:r w:rsidRPr="00B24CA3">
        <w:t>Türiye</w:t>
      </w:r>
      <w:proofErr w:type="spellEnd"/>
      <w:r w:rsidRPr="00B24CA3">
        <w:t>, son yıllarda uluslararası öğrenci sayısının giderek arıtmasıyla, dünyada en fazla uluslararası</w:t>
      </w:r>
      <w:r w:rsidRPr="00B24CA3">
        <w:rPr>
          <w:spacing w:val="-10"/>
        </w:rPr>
        <w:t xml:space="preserve"> </w:t>
      </w:r>
      <w:r w:rsidRPr="00B24CA3">
        <w:t>öğrenci</w:t>
      </w:r>
      <w:r w:rsidRPr="00B24CA3">
        <w:rPr>
          <w:spacing w:val="-10"/>
        </w:rPr>
        <w:t xml:space="preserve"> </w:t>
      </w:r>
      <w:r w:rsidRPr="00B24CA3">
        <w:t>kabul</w:t>
      </w:r>
      <w:r w:rsidRPr="00B24CA3">
        <w:rPr>
          <w:spacing w:val="-6"/>
        </w:rPr>
        <w:t xml:space="preserve"> </w:t>
      </w:r>
      <w:r w:rsidRPr="00B24CA3">
        <w:t>eden</w:t>
      </w:r>
      <w:r w:rsidRPr="00B24CA3">
        <w:rPr>
          <w:spacing w:val="-9"/>
        </w:rPr>
        <w:t xml:space="preserve"> </w:t>
      </w:r>
      <w:r w:rsidRPr="00B24CA3">
        <w:t>ilk</w:t>
      </w:r>
      <w:r w:rsidRPr="00B24CA3">
        <w:rPr>
          <w:spacing w:val="-9"/>
        </w:rPr>
        <w:t xml:space="preserve"> </w:t>
      </w:r>
      <w:r w:rsidRPr="00B24CA3">
        <w:t>10</w:t>
      </w:r>
      <w:r w:rsidRPr="00B24CA3">
        <w:rPr>
          <w:spacing w:val="-9"/>
        </w:rPr>
        <w:t xml:space="preserve"> </w:t>
      </w:r>
      <w:r w:rsidRPr="00B24CA3">
        <w:t>ülke</w:t>
      </w:r>
      <w:r w:rsidRPr="00B24CA3">
        <w:rPr>
          <w:spacing w:val="-10"/>
        </w:rPr>
        <w:t xml:space="preserve"> </w:t>
      </w:r>
      <w:r w:rsidRPr="00B24CA3">
        <w:t>arasında</w:t>
      </w:r>
      <w:r w:rsidRPr="00B24CA3">
        <w:rPr>
          <w:spacing w:val="-10"/>
        </w:rPr>
        <w:t xml:space="preserve"> </w:t>
      </w:r>
      <w:r w:rsidRPr="00B24CA3">
        <w:t>yer</w:t>
      </w:r>
      <w:r w:rsidRPr="00B24CA3">
        <w:rPr>
          <w:spacing w:val="-9"/>
        </w:rPr>
        <w:t xml:space="preserve"> </w:t>
      </w:r>
      <w:r w:rsidRPr="00B24CA3">
        <w:t>almıştır.</w:t>
      </w:r>
      <w:r w:rsidRPr="00B24CA3">
        <w:rPr>
          <w:spacing w:val="-5"/>
        </w:rPr>
        <w:t xml:space="preserve"> </w:t>
      </w:r>
      <w:proofErr w:type="spellStart"/>
      <w:r w:rsidRPr="00B24CA3">
        <w:t>Öğrecilerin</w:t>
      </w:r>
      <w:proofErr w:type="spellEnd"/>
      <w:r w:rsidRPr="00B24CA3">
        <w:rPr>
          <w:spacing w:val="-9"/>
        </w:rPr>
        <w:t xml:space="preserve"> </w:t>
      </w:r>
      <w:r w:rsidRPr="00B24CA3">
        <w:t>kendi</w:t>
      </w:r>
      <w:r w:rsidRPr="00B24CA3">
        <w:rPr>
          <w:spacing w:val="-10"/>
        </w:rPr>
        <w:t xml:space="preserve"> </w:t>
      </w:r>
      <w:r w:rsidRPr="00B24CA3">
        <w:t>ülkelerden daha</w:t>
      </w:r>
      <w:r w:rsidRPr="00B24CA3">
        <w:rPr>
          <w:spacing w:val="-10"/>
        </w:rPr>
        <w:t xml:space="preserve"> </w:t>
      </w:r>
      <w:r w:rsidRPr="00B24CA3">
        <w:t>nitelikli</w:t>
      </w:r>
      <w:r w:rsidRPr="00B24CA3">
        <w:rPr>
          <w:spacing w:val="-6"/>
        </w:rPr>
        <w:t xml:space="preserve"> </w:t>
      </w:r>
      <w:r w:rsidRPr="00B24CA3">
        <w:t>eğitim</w:t>
      </w:r>
      <w:r w:rsidRPr="00B24CA3">
        <w:rPr>
          <w:spacing w:val="-6"/>
        </w:rPr>
        <w:t xml:space="preserve"> </w:t>
      </w:r>
      <w:r w:rsidRPr="00B24CA3">
        <w:t>arayışı</w:t>
      </w:r>
      <w:r w:rsidRPr="00B24CA3">
        <w:rPr>
          <w:spacing w:val="-6"/>
        </w:rPr>
        <w:t xml:space="preserve"> </w:t>
      </w:r>
      <w:r w:rsidRPr="00B24CA3">
        <w:t>veya</w:t>
      </w:r>
      <w:r w:rsidRPr="00B24CA3">
        <w:rPr>
          <w:spacing w:val="-10"/>
        </w:rPr>
        <w:t xml:space="preserve"> </w:t>
      </w:r>
      <w:r w:rsidRPr="00B24CA3">
        <w:t>farklı</w:t>
      </w:r>
      <w:r w:rsidRPr="00B24CA3">
        <w:rPr>
          <w:spacing w:val="-6"/>
        </w:rPr>
        <w:t xml:space="preserve"> </w:t>
      </w:r>
      <w:r w:rsidRPr="00B24CA3">
        <w:t>ülkelerde</w:t>
      </w:r>
      <w:r w:rsidRPr="00B24CA3">
        <w:rPr>
          <w:spacing w:val="-2"/>
        </w:rPr>
        <w:t xml:space="preserve"> </w:t>
      </w:r>
      <w:r w:rsidRPr="00B24CA3">
        <w:t>eğiti</w:t>
      </w:r>
      <w:r w:rsidRPr="00B24CA3">
        <w:rPr>
          <w:spacing w:val="-10"/>
        </w:rPr>
        <w:t xml:space="preserve"> </w:t>
      </w:r>
      <w:r w:rsidRPr="00B24CA3">
        <w:t>alma</w:t>
      </w:r>
      <w:r w:rsidRPr="00B24CA3">
        <w:rPr>
          <w:spacing w:val="-6"/>
        </w:rPr>
        <w:t xml:space="preserve"> </w:t>
      </w:r>
      <w:r w:rsidRPr="00B24CA3">
        <w:t>isteği,</w:t>
      </w:r>
      <w:r w:rsidRPr="00B24CA3">
        <w:rPr>
          <w:spacing w:val="-5"/>
        </w:rPr>
        <w:t xml:space="preserve"> </w:t>
      </w:r>
      <w:r w:rsidRPr="00B24CA3">
        <w:t>onların</w:t>
      </w:r>
      <w:r w:rsidRPr="00B24CA3">
        <w:rPr>
          <w:spacing w:val="-9"/>
        </w:rPr>
        <w:t xml:space="preserve"> </w:t>
      </w:r>
      <w:r w:rsidRPr="00B24CA3">
        <w:t>yurtdışında</w:t>
      </w:r>
      <w:r w:rsidRPr="00B24CA3">
        <w:rPr>
          <w:spacing w:val="-6"/>
        </w:rPr>
        <w:t xml:space="preserve"> </w:t>
      </w:r>
      <w:r w:rsidRPr="00B24CA3">
        <w:t xml:space="preserve">eğitim seçeneklerini aramalarına neden </w:t>
      </w:r>
      <w:proofErr w:type="spellStart"/>
      <w:r w:rsidRPr="00B24CA3">
        <w:t>olmuştr</w:t>
      </w:r>
      <w:proofErr w:type="spellEnd"/>
      <w:r w:rsidRPr="00B24CA3">
        <w:t>. Yurtdışında eğitim arayışının temel nedenleri arasında</w:t>
      </w:r>
      <w:r w:rsidRPr="00B24CA3">
        <w:rPr>
          <w:spacing w:val="21"/>
        </w:rPr>
        <w:t xml:space="preserve"> </w:t>
      </w:r>
      <w:r w:rsidRPr="00B24CA3">
        <w:t>eğitim kalitesini,</w:t>
      </w:r>
      <w:r w:rsidRPr="00B24CA3">
        <w:rPr>
          <w:spacing w:val="22"/>
        </w:rPr>
        <w:t xml:space="preserve"> </w:t>
      </w:r>
      <w:r w:rsidRPr="00B24CA3">
        <w:t>tanınırlık ve alınacak diplomanın</w:t>
      </w:r>
      <w:r w:rsidRPr="00B24CA3">
        <w:rPr>
          <w:spacing w:val="22"/>
        </w:rPr>
        <w:t xml:space="preserve"> </w:t>
      </w:r>
      <w:r w:rsidRPr="00B24CA3">
        <w:t xml:space="preserve">dünya çapında geçerliliğe </w:t>
      </w:r>
      <w:proofErr w:type="spellStart"/>
      <w:r w:rsidRPr="00B24CA3">
        <w:t>sahp</w:t>
      </w:r>
      <w:proofErr w:type="spellEnd"/>
    </w:p>
    <w:p w14:paraId="002A7BEC" w14:textId="77777777" w:rsidR="00FF4BC0" w:rsidRPr="00B24CA3" w:rsidRDefault="00FF4BC0" w:rsidP="00BA67A6">
      <w:pPr>
        <w:pStyle w:val="GvdeMetni"/>
        <w:sectPr w:rsidR="00FF4BC0" w:rsidRPr="00B24CA3" w:rsidSect="007513A1">
          <w:type w:val="continuous"/>
          <w:pgSz w:w="11906" w:h="16838"/>
          <w:pgMar w:top="1418" w:right="1418" w:bottom="1418" w:left="1418" w:header="1304" w:footer="1361" w:gutter="0"/>
          <w:cols w:space="708"/>
        </w:sectPr>
      </w:pPr>
    </w:p>
    <w:p w14:paraId="78E0C587" w14:textId="77777777" w:rsidR="00FF4BC0" w:rsidRDefault="00FF4BC0" w:rsidP="00BA67A6">
      <w:pPr>
        <w:pStyle w:val="GvdeMetni"/>
        <w:ind w:right="163"/>
        <w:jc w:val="both"/>
        <w:rPr>
          <w:spacing w:val="-2"/>
        </w:rPr>
      </w:pPr>
      <w:proofErr w:type="gramStart"/>
      <w:r w:rsidRPr="00B24CA3">
        <w:t>olması</w:t>
      </w:r>
      <w:proofErr w:type="gramEnd"/>
      <w:r w:rsidRPr="00B24CA3">
        <w:t xml:space="preserve"> yer almaktadır (Güven ve Alkar,2022). Türkiye’nin coğrafi konumu, kültürel ve dil yakınlıkları, eğitimin imkanlarının ekonomik olması ve uluslararasılaşma politikasının gelişmesi, uluslararası öğrenciler için Türkiye’yi tercih etmede önemli bir etken olmuştur. Mevcut çalışmalarından elde edilen sonuçlara göre, Türkiye’de eğitim gören uluslararası öğrenciler</w:t>
      </w:r>
      <w:r w:rsidRPr="00B24CA3">
        <w:rPr>
          <w:spacing w:val="-15"/>
        </w:rPr>
        <w:t xml:space="preserve"> </w:t>
      </w:r>
      <w:r w:rsidRPr="00B24CA3">
        <w:t>aldıkları</w:t>
      </w:r>
      <w:r w:rsidRPr="00B24CA3">
        <w:rPr>
          <w:spacing w:val="-15"/>
        </w:rPr>
        <w:t xml:space="preserve"> </w:t>
      </w:r>
      <w:r w:rsidRPr="00B24CA3">
        <w:t>eğitimden</w:t>
      </w:r>
      <w:r w:rsidRPr="00B24CA3">
        <w:rPr>
          <w:spacing w:val="-11"/>
        </w:rPr>
        <w:t xml:space="preserve"> </w:t>
      </w:r>
      <w:r w:rsidRPr="00B24CA3">
        <w:t>memnun</w:t>
      </w:r>
      <w:r w:rsidRPr="00B24CA3">
        <w:rPr>
          <w:spacing w:val="-15"/>
        </w:rPr>
        <w:t xml:space="preserve"> </w:t>
      </w:r>
      <w:r w:rsidRPr="00B24CA3">
        <w:t>kaldıkları</w:t>
      </w:r>
      <w:r w:rsidRPr="00B24CA3">
        <w:rPr>
          <w:spacing w:val="-12"/>
        </w:rPr>
        <w:t xml:space="preserve"> </w:t>
      </w:r>
      <w:r w:rsidRPr="00B24CA3">
        <w:t>göstermektedir.</w:t>
      </w:r>
      <w:r w:rsidRPr="00B24CA3">
        <w:rPr>
          <w:spacing w:val="-14"/>
        </w:rPr>
        <w:t xml:space="preserve"> </w:t>
      </w:r>
      <w:r w:rsidRPr="00B24CA3">
        <w:t>Özellikle</w:t>
      </w:r>
      <w:r w:rsidRPr="00B24CA3">
        <w:rPr>
          <w:spacing w:val="-12"/>
        </w:rPr>
        <w:t xml:space="preserve"> </w:t>
      </w:r>
      <w:r w:rsidRPr="00B24CA3">
        <w:t>lisansüstü</w:t>
      </w:r>
      <w:r w:rsidRPr="00B24CA3">
        <w:rPr>
          <w:spacing w:val="-15"/>
        </w:rPr>
        <w:t xml:space="preserve"> </w:t>
      </w:r>
      <w:r w:rsidRPr="00B24CA3">
        <w:t xml:space="preserve">düzeyde eğitim olan uluslararası öğrencilerin tamamı gördükleri etiğimden memnun oldukları </w:t>
      </w:r>
      <w:r w:rsidRPr="00B24CA3">
        <w:rPr>
          <w:spacing w:val="-2"/>
        </w:rPr>
        <w:t>görülmektedir.</w:t>
      </w:r>
    </w:p>
    <w:p w14:paraId="6870F924" w14:textId="77777777" w:rsidR="004C7694" w:rsidRPr="00B24CA3" w:rsidRDefault="004C7694" w:rsidP="00BA67A6">
      <w:pPr>
        <w:pStyle w:val="GvdeMetni"/>
        <w:ind w:right="163"/>
        <w:jc w:val="both"/>
      </w:pPr>
    </w:p>
    <w:p w14:paraId="6206C01B" w14:textId="77777777" w:rsidR="00FF4BC0" w:rsidRDefault="00FF4BC0" w:rsidP="00BA67A6">
      <w:pPr>
        <w:pStyle w:val="GvdeMetni"/>
        <w:ind w:right="163"/>
        <w:jc w:val="both"/>
      </w:pPr>
      <w:r w:rsidRPr="00B24CA3">
        <w:t>Bu araştırma, Kocaeli üniversitesinde eğitim gören uluslararası öğrencilerin karşılaştıkları zorlukları ve bu zorlukların aşılmasında yabancıların önerileri ortaya koymaktır. Çalışmanın sonucunda</w:t>
      </w:r>
      <w:r w:rsidRPr="00B24CA3">
        <w:rPr>
          <w:spacing w:val="-15"/>
        </w:rPr>
        <w:t xml:space="preserve"> </w:t>
      </w:r>
      <w:r w:rsidRPr="00B24CA3">
        <w:t>ortaya</w:t>
      </w:r>
      <w:r w:rsidRPr="00B24CA3">
        <w:rPr>
          <w:spacing w:val="-15"/>
        </w:rPr>
        <w:t xml:space="preserve"> </w:t>
      </w:r>
      <w:r w:rsidRPr="00B24CA3">
        <w:t>çıkan</w:t>
      </w:r>
      <w:r w:rsidRPr="00B24CA3">
        <w:rPr>
          <w:spacing w:val="-15"/>
        </w:rPr>
        <w:t xml:space="preserve"> </w:t>
      </w:r>
      <w:r w:rsidRPr="00B24CA3">
        <w:t>bulgular,</w:t>
      </w:r>
      <w:r w:rsidRPr="00B24CA3">
        <w:rPr>
          <w:spacing w:val="-15"/>
        </w:rPr>
        <w:t xml:space="preserve"> </w:t>
      </w:r>
      <w:r w:rsidRPr="00B24CA3">
        <w:t>Kocaali'de</w:t>
      </w:r>
      <w:r w:rsidRPr="00B24CA3">
        <w:rPr>
          <w:spacing w:val="-15"/>
        </w:rPr>
        <w:t xml:space="preserve"> </w:t>
      </w:r>
      <w:r w:rsidRPr="00B24CA3">
        <w:t>eğitim</w:t>
      </w:r>
      <w:r w:rsidRPr="00B24CA3">
        <w:rPr>
          <w:spacing w:val="-15"/>
        </w:rPr>
        <w:t xml:space="preserve"> </w:t>
      </w:r>
      <w:r w:rsidRPr="00B24CA3">
        <w:t>gören</w:t>
      </w:r>
      <w:r w:rsidRPr="00B24CA3">
        <w:rPr>
          <w:spacing w:val="-15"/>
        </w:rPr>
        <w:t xml:space="preserve"> </w:t>
      </w:r>
      <w:r w:rsidRPr="00B24CA3">
        <w:t>uluslararası</w:t>
      </w:r>
      <w:r w:rsidRPr="00B24CA3">
        <w:rPr>
          <w:spacing w:val="-15"/>
        </w:rPr>
        <w:t xml:space="preserve"> </w:t>
      </w:r>
      <w:r w:rsidRPr="00B24CA3">
        <w:t>öğrenciler</w:t>
      </w:r>
      <w:r w:rsidRPr="00B24CA3">
        <w:rPr>
          <w:spacing w:val="-14"/>
        </w:rPr>
        <w:t xml:space="preserve"> </w:t>
      </w:r>
      <w:r w:rsidRPr="00B24CA3">
        <w:t>okul</w:t>
      </w:r>
      <w:r w:rsidRPr="00B24CA3">
        <w:rPr>
          <w:spacing w:val="-15"/>
        </w:rPr>
        <w:t xml:space="preserve"> </w:t>
      </w:r>
      <w:r w:rsidRPr="00B24CA3">
        <w:t>ortamına uyum ve dil bariyeri ve kültürel farklılıkları olmasıyla çeşitli zorluklaralar karşı karşıya olduklarını belirlemiştir.</w:t>
      </w:r>
    </w:p>
    <w:p w14:paraId="56256930" w14:textId="77777777" w:rsidR="004C7694" w:rsidRPr="00B24CA3" w:rsidRDefault="004C7694" w:rsidP="00BA67A6">
      <w:pPr>
        <w:pStyle w:val="GvdeMetni"/>
        <w:ind w:right="163"/>
        <w:jc w:val="both"/>
      </w:pPr>
    </w:p>
    <w:p w14:paraId="3804C1D2" w14:textId="77777777" w:rsidR="00FF4BC0" w:rsidRDefault="00FF4BC0" w:rsidP="00BA67A6">
      <w:pPr>
        <w:pStyle w:val="GvdeMetni"/>
        <w:ind w:right="159"/>
        <w:jc w:val="both"/>
        <w:rPr>
          <w:spacing w:val="-2"/>
        </w:rPr>
      </w:pPr>
      <w:r w:rsidRPr="00B24CA3">
        <w:t>Araştırmanın sonuçları bu alanda yapılan farklı araştırmalarından olan (Musaoğlu,2016) sonuçlarına</w:t>
      </w:r>
      <w:r w:rsidRPr="00B24CA3">
        <w:rPr>
          <w:spacing w:val="-1"/>
        </w:rPr>
        <w:t xml:space="preserve"> </w:t>
      </w:r>
      <w:r w:rsidRPr="00B24CA3">
        <w:t>paralellik</w:t>
      </w:r>
      <w:r w:rsidRPr="00B24CA3">
        <w:rPr>
          <w:spacing w:val="-4"/>
        </w:rPr>
        <w:t xml:space="preserve"> </w:t>
      </w:r>
      <w:r w:rsidRPr="00B24CA3">
        <w:t>göstermektedir. Bu</w:t>
      </w:r>
      <w:r w:rsidRPr="00B24CA3">
        <w:rPr>
          <w:spacing w:val="-4"/>
        </w:rPr>
        <w:t xml:space="preserve"> </w:t>
      </w:r>
      <w:r w:rsidRPr="00B24CA3">
        <w:t>araştırmada</w:t>
      </w:r>
      <w:r w:rsidRPr="00B24CA3">
        <w:rPr>
          <w:spacing w:val="-6"/>
        </w:rPr>
        <w:t xml:space="preserve"> </w:t>
      </w:r>
      <w:r w:rsidRPr="00B24CA3">
        <w:t>da</w:t>
      </w:r>
      <w:r w:rsidRPr="00B24CA3">
        <w:rPr>
          <w:spacing w:val="-1"/>
        </w:rPr>
        <w:t xml:space="preserve"> </w:t>
      </w:r>
      <w:r w:rsidRPr="00B24CA3">
        <w:t>Türkiye’de</w:t>
      </w:r>
      <w:r w:rsidRPr="00B24CA3">
        <w:rPr>
          <w:spacing w:val="-6"/>
        </w:rPr>
        <w:t xml:space="preserve"> </w:t>
      </w:r>
      <w:r w:rsidRPr="00B24CA3">
        <w:t>eğitim</w:t>
      </w:r>
      <w:r w:rsidRPr="00B24CA3">
        <w:rPr>
          <w:spacing w:val="-6"/>
        </w:rPr>
        <w:t xml:space="preserve"> </w:t>
      </w:r>
      <w:r w:rsidRPr="00B24CA3">
        <w:t>gören uluslararası öğrencilerin uyum süreci, bu süreçte karşılaştıkları sorunları, bu sorunların üstesinden nasıl geldikleri ve gelecekteki öğrencilere önerdikleri tesviyeleri ortaya koymuştur. Benzer bir şeklinde Dinç (2023) tarafından yapılan araştırmada uluslararası öğrencilerin entegrasyon sürecinde</w:t>
      </w:r>
      <w:r w:rsidRPr="00B24CA3">
        <w:rPr>
          <w:spacing w:val="-4"/>
        </w:rPr>
        <w:t xml:space="preserve"> </w:t>
      </w:r>
      <w:r w:rsidRPr="00B24CA3">
        <w:t>deneyimleri</w:t>
      </w:r>
      <w:r w:rsidRPr="00B24CA3">
        <w:rPr>
          <w:spacing w:val="-4"/>
        </w:rPr>
        <w:t xml:space="preserve"> </w:t>
      </w:r>
      <w:r w:rsidRPr="00B24CA3">
        <w:t>ve</w:t>
      </w:r>
      <w:r w:rsidRPr="00B24CA3">
        <w:rPr>
          <w:spacing w:val="-4"/>
        </w:rPr>
        <w:t xml:space="preserve"> </w:t>
      </w:r>
      <w:r w:rsidRPr="00B24CA3">
        <w:t>sorunlarına</w:t>
      </w:r>
      <w:r w:rsidRPr="00B24CA3">
        <w:rPr>
          <w:spacing w:val="-4"/>
        </w:rPr>
        <w:t xml:space="preserve"> </w:t>
      </w:r>
      <w:r w:rsidRPr="00B24CA3">
        <w:t>odaklamak</w:t>
      </w:r>
      <w:r w:rsidRPr="00B24CA3">
        <w:rPr>
          <w:spacing w:val="-2"/>
        </w:rPr>
        <w:t xml:space="preserve"> </w:t>
      </w:r>
      <w:r w:rsidRPr="00B24CA3">
        <w:t>ve çözüm</w:t>
      </w:r>
      <w:r w:rsidRPr="00B24CA3">
        <w:rPr>
          <w:spacing w:val="-4"/>
        </w:rPr>
        <w:t xml:space="preserve"> </w:t>
      </w:r>
      <w:r w:rsidRPr="00B24CA3">
        <w:t>önerileri</w:t>
      </w:r>
      <w:r w:rsidRPr="00B24CA3">
        <w:rPr>
          <w:spacing w:val="-4"/>
        </w:rPr>
        <w:t xml:space="preserve"> </w:t>
      </w:r>
      <w:r w:rsidRPr="00B24CA3">
        <w:t>sunmak</w:t>
      </w:r>
      <w:r w:rsidRPr="00B24CA3">
        <w:rPr>
          <w:spacing w:val="-2"/>
        </w:rPr>
        <w:t xml:space="preserve"> </w:t>
      </w:r>
      <w:r w:rsidRPr="00B24CA3">
        <w:t>amacıyla</w:t>
      </w:r>
      <w:r w:rsidRPr="00B24CA3">
        <w:rPr>
          <w:spacing w:val="-4"/>
        </w:rPr>
        <w:t xml:space="preserve"> </w:t>
      </w:r>
      <w:r w:rsidRPr="00B24CA3">
        <w:t>yapılan çalışmada,</w:t>
      </w:r>
      <w:r w:rsidRPr="00B24CA3">
        <w:rPr>
          <w:spacing w:val="-15"/>
        </w:rPr>
        <w:t xml:space="preserve"> </w:t>
      </w:r>
      <w:r w:rsidRPr="00B24CA3">
        <w:t>öğrencilerin</w:t>
      </w:r>
      <w:r w:rsidRPr="00B24CA3">
        <w:rPr>
          <w:spacing w:val="-15"/>
        </w:rPr>
        <w:t xml:space="preserve"> </w:t>
      </w:r>
      <w:r w:rsidRPr="00B24CA3">
        <w:t>sosyokültürel,</w:t>
      </w:r>
      <w:r w:rsidRPr="00B24CA3">
        <w:rPr>
          <w:spacing w:val="-15"/>
        </w:rPr>
        <w:t xml:space="preserve"> </w:t>
      </w:r>
      <w:r w:rsidRPr="00B24CA3">
        <w:t>konaklama,</w:t>
      </w:r>
      <w:r w:rsidRPr="00B24CA3">
        <w:rPr>
          <w:spacing w:val="-15"/>
        </w:rPr>
        <w:t xml:space="preserve"> </w:t>
      </w:r>
      <w:r w:rsidRPr="00B24CA3">
        <w:t>ekonomik</w:t>
      </w:r>
      <w:r w:rsidRPr="00B24CA3">
        <w:rPr>
          <w:spacing w:val="-15"/>
        </w:rPr>
        <w:t xml:space="preserve"> </w:t>
      </w:r>
      <w:r w:rsidRPr="00B24CA3">
        <w:t>ve</w:t>
      </w:r>
      <w:r w:rsidRPr="00B24CA3">
        <w:rPr>
          <w:spacing w:val="-15"/>
        </w:rPr>
        <w:t xml:space="preserve"> </w:t>
      </w:r>
      <w:r w:rsidRPr="00B24CA3">
        <w:t>dil</w:t>
      </w:r>
      <w:r w:rsidRPr="00B24CA3">
        <w:rPr>
          <w:spacing w:val="-15"/>
        </w:rPr>
        <w:t xml:space="preserve"> </w:t>
      </w:r>
      <w:r w:rsidRPr="00B24CA3">
        <w:t>sorunları</w:t>
      </w:r>
      <w:r w:rsidRPr="00B24CA3">
        <w:rPr>
          <w:spacing w:val="-15"/>
        </w:rPr>
        <w:t xml:space="preserve"> </w:t>
      </w:r>
      <w:r w:rsidRPr="00B24CA3">
        <w:t>yaşadıkları</w:t>
      </w:r>
      <w:r w:rsidRPr="00B24CA3">
        <w:rPr>
          <w:spacing w:val="-15"/>
        </w:rPr>
        <w:t xml:space="preserve"> </w:t>
      </w:r>
      <w:r w:rsidRPr="00B24CA3">
        <w:t xml:space="preserve">ortaya </w:t>
      </w:r>
      <w:r w:rsidRPr="00B24CA3">
        <w:rPr>
          <w:spacing w:val="-2"/>
        </w:rPr>
        <w:t>koymuştur.</w:t>
      </w:r>
    </w:p>
    <w:p w14:paraId="0597F1F1" w14:textId="77777777" w:rsidR="004C7694" w:rsidRPr="00B24CA3" w:rsidRDefault="004C7694" w:rsidP="00BA67A6">
      <w:pPr>
        <w:pStyle w:val="GvdeMetni"/>
        <w:ind w:right="159"/>
        <w:jc w:val="both"/>
      </w:pPr>
    </w:p>
    <w:p w14:paraId="298C725A" w14:textId="77777777" w:rsidR="00FF4BC0" w:rsidRDefault="00FF4BC0" w:rsidP="00BA67A6">
      <w:pPr>
        <w:pStyle w:val="GvdeMetni"/>
        <w:ind w:right="158"/>
        <w:jc w:val="both"/>
      </w:pPr>
      <w:r w:rsidRPr="00B24CA3">
        <w:t>Türkiye'nin yükseköğrenim politikaları, ülkenin uluslararası öğrenciler için çekici bir destinasyon haline gelmesin katkıda bulunmaktadır. Üniversitelerin uluslararasılaşması, küresel ölçekte görünürlüklerini artırarak daha fazla yabancı öğrenci çekmelerine olanak tanımaktadır. Ancak, yabancıların buraya gelirken dil ve kültürel farklılıkların olmasıyla yeni maceralar ve zorluklara karşı karşıya kalacaklarında göz önünde bulundurulmalıdır. Özellikle Türkçe bilmeyen öğrenciler için bu durum, akademik başarılarını ve günlük yaşamlarını olumsuz yönde etkileyebilmektedir.</w:t>
      </w:r>
    </w:p>
    <w:p w14:paraId="19B5D37A" w14:textId="77777777" w:rsidR="004C7694" w:rsidRPr="00B24CA3" w:rsidRDefault="004C7694" w:rsidP="00BA67A6">
      <w:pPr>
        <w:pStyle w:val="GvdeMetni"/>
        <w:ind w:right="158"/>
        <w:jc w:val="both"/>
      </w:pPr>
    </w:p>
    <w:p w14:paraId="0C0BB11A" w14:textId="77777777" w:rsidR="00FF4BC0" w:rsidRDefault="00FF4BC0" w:rsidP="00BA67A6">
      <w:pPr>
        <w:pStyle w:val="GvdeMetni"/>
        <w:ind w:right="161"/>
        <w:jc w:val="both"/>
      </w:pPr>
      <w:r w:rsidRPr="00B24CA3">
        <w:t>Katılımcıların okul</w:t>
      </w:r>
      <w:r w:rsidRPr="00B24CA3">
        <w:rPr>
          <w:spacing w:val="-1"/>
        </w:rPr>
        <w:t xml:space="preserve"> </w:t>
      </w:r>
      <w:r w:rsidRPr="00B24CA3">
        <w:t>ve</w:t>
      </w:r>
      <w:r w:rsidRPr="00B24CA3">
        <w:rPr>
          <w:spacing w:val="-1"/>
        </w:rPr>
        <w:t xml:space="preserve"> </w:t>
      </w:r>
      <w:r w:rsidRPr="00B24CA3">
        <w:t>sosyal</w:t>
      </w:r>
      <w:r w:rsidRPr="00B24CA3">
        <w:rPr>
          <w:spacing w:val="-1"/>
        </w:rPr>
        <w:t xml:space="preserve"> </w:t>
      </w:r>
      <w:r w:rsidRPr="00B24CA3">
        <w:t>yaşamlarında</w:t>
      </w:r>
      <w:r w:rsidRPr="00B24CA3">
        <w:rPr>
          <w:spacing w:val="-1"/>
        </w:rPr>
        <w:t xml:space="preserve"> </w:t>
      </w:r>
      <w:r w:rsidRPr="00B24CA3">
        <w:t>karşılaştıkları</w:t>
      </w:r>
      <w:r w:rsidRPr="00B24CA3">
        <w:rPr>
          <w:spacing w:val="-1"/>
        </w:rPr>
        <w:t xml:space="preserve"> </w:t>
      </w:r>
      <w:r w:rsidRPr="00B24CA3">
        <w:t>en zor sorunlardan birinin dil</w:t>
      </w:r>
      <w:r w:rsidRPr="00B24CA3">
        <w:rPr>
          <w:spacing w:val="-1"/>
        </w:rPr>
        <w:t xml:space="preserve"> </w:t>
      </w:r>
      <w:r w:rsidRPr="00B24CA3">
        <w:t>engeli olduğu</w:t>
      </w:r>
      <w:r w:rsidRPr="00B24CA3">
        <w:rPr>
          <w:spacing w:val="-15"/>
        </w:rPr>
        <w:t xml:space="preserve"> </w:t>
      </w:r>
      <w:r w:rsidRPr="00B24CA3">
        <w:t>ortaya</w:t>
      </w:r>
      <w:r w:rsidRPr="00B24CA3">
        <w:rPr>
          <w:spacing w:val="-15"/>
        </w:rPr>
        <w:t xml:space="preserve"> </w:t>
      </w:r>
      <w:r w:rsidRPr="00B24CA3">
        <w:t>çıkmıştır.</w:t>
      </w:r>
      <w:r w:rsidRPr="00B24CA3">
        <w:rPr>
          <w:spacing w:val="-15"/>
        </w:rPr>
        <w:t xml:space="preserve"> </w:t>
      </w:r>
      <w:r w:rsidRPr="00B24CA3">
        <w:t>Çalışmaya</w:t>
      </w:r>
      <w:r w:rsidRPr="00B24CA3">
        <w:rPr>
          <w:spacing w:val="-15"/>
        </w:rPr>
        <w:t xml:space="preserve"> </w:t>
      </w:r>
      <w:r w:rsidRPr="00B24CA3">
        <w:t>katılan</w:t>
      </w:r>
      <w:r w:rsidRPr="00B24CA3">
        <w:rPr>
          <w:spacing w:val="-15"/>
        </w:rPr>
        <w:t xml:space="preserve"> </w:t>
      </w:r>
      <w:r w:rsidRPr="00B24CA3">
        <w:t>öğrencilere</w:t>
      </w:r>
      <w:r w:rsidRPr="00B24CA3">
        <w:rPr>
          <w:spacing w:val="-15"/>
        </w:rPr>
        <w:t xml:space="preserve"> </w:t>
      </w:r>
      <w:r w:rsidRPr="00B24CA3">
        <w:t>göre</w:t>
      </w:r>
      <w:r w:rsidRPr="00B24CA3">
        <w:rPr>
          <w:spacing w:val="-15"/>
        </w:rPr>
        <w:t xml:space="preserve"> </w:t>
      </w:r>
      <w:r w:rsidRPr="00B24CA3">
        <w:t>yetersiz</w:t>
      </w:r>
      <w:r w:rsidRPr="00B24CA3">
        <w:rPr>
          <w:spacing w:val="-15"/>
        </w:rPr>
        <w:t xml:space="preserve"> </w:t>
      </w:r>
      <w:r w:rsidRPr="00B24CA3">
        <w:t>Türkçe</w:t>
      </w:r>
      <w:r w:rsidRPr="00B24CA3">
        <w:rPr>
          <w:spacing w:val="-15"/>
        </w:rPr>
        <w:t xml:space="preserve"> </w:t>
      </w:r>
      <w:r w:rsidRPr="00B24CA3">
        <w:t>hazırlığı,</w:t>
      </w:r>
      <w:r w:rsidRPr="00B24CA3">
        <w:rPr>
          <w:spacing w:val="-15"/>
        </w:rPr>
        <w:t xml:space="preserve"> </w:t>
      </w:r>
      <w:r w:rsidRPr="00B24CA3">
        <w:t>akademik başarılarını olumsuz etkilemekte ve bu engel ortadan kaldırıldığında daha iyi başarılar elde edebileceklerini belirtmişlerdir. Benzer bulgular, önceki çalışmalarda da rastlanmaktadır (Takır</w:t>
      </w:r>
      <w:r w:rsidRPr="00B24CA3">
        <w:rPr>
          <w:spacing w:val="-3"/>
        </w:rPr>
        <w:t xml:space="preserve"> </w:t>
      </w:r>
      <w:r w:rsidRPr="00B24CA3">
        <w:t>ve</w:t>
      </w:r>
      <w:r w:rsidRPr="00B24CA3">
        <w:rPr>
          <w:spacing w:val="-5"/>
        </w:rPr>
        <w:t xml:space="preserve"> </w:t>
      </w:r>
      <w:proofErr w:type="spellStart"/>
      <w:r w:rsidRPr="00B24CA3">
        <w:t>Özerem</w:t>
      </w:r>
      <w:proofErr w:type="spellEnd"/>
      <w:r w:rsidRPr="00B24CA3">
        <w:rPr>
          <w:spacing w:val="-5"/>
        </w:rPr>
        <w:t xml:space="preserve"> </w:t>
      </w:r>
      <w:r w:rsidRPr="00B24CA3">
        <w:t>2019;</w:t>
      </w:r>
      <w:r w:rsidRPr="00B24CA3">
        <w:rPr>
          <w:spacing w:val="-5"/>
        </w:rPr>
        <w:t xml:space="preserve"> </w:t>
      </w:r>
      <w:r w:rsidRPr="00B24CA3">
        <w:t>s.97-1).</w:t>
      </w:r>
      <w:r w:rsidRPr="00B24CA3">
        <w:rPr>
          <w:spacing w:val="-3"/>
        </w:rPr>
        <w:t xml:space="preserve"> </w:t>
      </w:r>
      <w:r w:rsidRPr="00B24CA3">
        <w:t>Kültürel</w:t>
      </w:r>
      <w:r w:rsidRPr="00B24CA3">
        <w:rPr>
          <w:spacing w:val="-5"/>
        </w:rPr>
        <w:t xml:space="preserve"> </w:t>
      </w:r>
      <w:r w:rsidRPr="00B24CA3">
        <w:t>farklılıkların,</w:t>
      </w:r>
      <w:r w:rsidRPr="00B24CA3">
        <w:rPr>
          <w:spacing w:val="-3"/>
        </w:rPr>
        <w:t xml:space="preserve"> </w:t>
      </w:r>
      <w:r w:rsidRPr="00B24CA3">
        <w:t>özellikle</w:t>
      </w:r>
      <w:r w:rsidRPr="00B24CA3">
        <w:rPr>
          <w:spacing w:val="-5"/>
        </w:rPr>
        <w:t xml:space="preserve"> </w:t>
      </w:r>
      <w:r w:rsidRPr="00B24CA3">
        <w:t>sosyal</w:t>
      </w:r>
      <w:r w:rsidRPr="00B24CA3">
        <w:rPr>
          <w:spacing w:val="-5"/>
        </w:rPr>
        <w:t xml:space="preserve"> </w:t>
      </w:r>
      <w:r w:rsidRPr="00B24CA3">
        <w:t>bir</w:t>
      </w:r>
      <w:r w:rsidRPr="00B24CA3">
        <w:rPr>
          <w:spacing w:val="-3"/>
        </w:rPr>
        <w:t xml:space="preserve"> </w:t>
      </w:r>
      <w:r w:rsidRPr="00B24CA3">
        <w:t>ortam</w:t>
      </w:r>
      <w:r w:rsidRPr="00B24CA3">
        <w:rPr>
          <w:spacing w:val="-5"/>
        </w:rPr>
        <w:t xml:space="preserve"> </w:t>
      </w:r>
      <w:r w:rsidRPr="00B24CA3">
        <w:t>oluşturmada katılımcıların entegrasyon sürecinde zorluklar yarattığı belirlenmiştir. Ayrıca, Türk öğrencilerle arkadaşlık</w:t>
      </w:r>
      <w:r w:rsidRPr="00B24CA3">
        <w:rPr>
          <w:spacing w:val="-3"/>
        </w:rPr>
        <w:t xml:space="preserve"> </w:t>
      </w:r>
      <w:r w:rsidRPr="00B24CA3">
        <w:t>kuran</w:t>
      </w:r>
      <w:r w:rsidRPr="00B24CA3">
        <w:rPr>
          <w:spacing w:val="-3"/>
        </w:rPr>
        <w:t xml:space="preserve"> </w:t>
      </w:r>
      <w:r w:rsidRPr="00B24CA3">
        <w:t>öğrencilerin, Türk arkadaş</w:t>
      </w:r>
      <w:r w:rsidRPr="00B24CA3">
        <w:rPr>
          <w:spacing w:val="-2"/>
        </w:rPr>
        <w:t xml:space="preserve"> </w:t>
      </w:r>
      <w:r w:rsidRPr="00B24CA3">
        <w:t>edinmeye isteksiz</w:t>
      </w:r>
      <w:r w:rsidRPr="00B24CA3">
        <w:rPr>
          <w:spacing w:val="-5"/>
        </w:rPr>
        <w:t xml:space="preserve"> </w:t>
      </w:r>
      <w:r w:rsidRPr="00B24CA3">
        <w:t>olanlara</w:t>
      </w:r>
      <w:r w:rsidRPr="00B24CA3">
        <w:rPr>
          <w:spacing w:val="-5"/>
        </w:rPr>
        <w:t xml:space="preserve"> </w:t>
      </w:r>
      <w:r w:rsidRPr="00B24CA3">
        <w:t>göre daha kolay uyum sağladığı gözlemlenmiştir.</w:t>
      </w:r>
    </w:p>
    <w:p w14:paraId="5BF5C4E0" w14:textId="77777777" w:rsidR="004C7694" w:rsidRPr="00B24CA3" w:rsidRDefault="004C7694" w:rsidP="00BA67A6">
      <w:pPr>
        <w:pStyle w:val="GvdeMetni"/>
        <w:ind w:right="161"/>
        <w:jc w:val="both"/>
      </w:pPr>
    </w:p>
    <w:p w14:paraId="3795F415" w14:textId="77777777" w:rsidR="00FF4BC0" w:rsidRPr="00B24CA3" w:rsidRDefault="00FF4BC0" w:rsidP="00BA67A6">
      <w:pPr>
        <w:pStyle w:val="GvdeMetni"/>
        <w:ind w:right="164"/>
        <w:jc w:val="both"/>
      </w:pPr>
      <w:r w:rsidRPr="00B24CA3">
        <w:t xml:space="preserve">Okul ortamına uyum sağlama sürecinde çoğu katılımcıların dil bariyerinden kaynakladığını </w:t>
      </w:r>
      <w:r w:rsidRPr="00B24CA3">
        <w:lastRenderedPageBreak/>
        <w:t>ifade</w:t>
      </w:r>
      <w:r w:rsidRPr="00B24CA3">
        <w:rPr>
          <w:spacing w:val="-6"/>
        </w:rPr>
        <w:t xml:space="preserve"> </w:t>
      </w:r>
      <w:r w:rsidRPr="00B24CA3">
        <w:t>etmiştir.</w:t>
      </w:r>
      <w:r w:rsidRPr="00B24CA3">
        <w:rPr>
          <w:spacing w:val="-4"/>
        </w:rPr>
        <w:t xml:space="preserve"> </w:t>
      </w:r>
      <w:r w:rsidRPr="00B24CA3">
        <w:t>‘’</w:t>
      </w:r>
      <w:r w:rsidRPr="00B24CA3">
        <w:rPr>
          <w:spacing w:val="-4"/>
        </w:rPr>
        <w:t xml:space="preserve"> </w:t>
      </w:r>
      <w:r w:rsidRPr="00B24CA3">
        <w:t>okul</w:t>
      </w:r>
      <w:r w:rsidRPr="00B24CA3">
        <w:rPr>
          <w:spacing w:val="-6"/>
        </w:rPr>
        <w:t xml:space="preserve"> </w:t>
      </w:r>
      <w:r w:rsidRPr="00B24CA3">
        <w:t>ortamına</w:t>
      </w:r>
      <w:r w:rsidRPr="00B24CA3">
        <w:rPr>
          <w:spacing w:val="-6"/>
        </w:rPr>
        <w:t xml:space="preserve"> </w:t>
      </w:r>
      <w:r w:rsidRPr="00B24CA3">
        <w:t>uyum</w:t>
      </w:r>
      <w:r w:rsidRPr="00B24CA3">
        <w:rPr>
          <w:spacing w:val="-6"/>
        </w:rPr>
        <w:t xml:space="preserve"> </w:t>
      </w:r>
      <w:r w:rsidRPr="00B24CA3">
        <w:t>sağlamakta</w:t>
      </w:r>
      <w:r w:rsidRPr="00B24CA3">
        <w:rPr>
          <w:spacing w:val="-1"/>
        </w:rPr>
        <w:t xml:space="preserve"> </w:t>
      </w:r>
      <w:r w:rsidRPr="00B24CA3">
        <w:t>çok zorlanmadım,</w:t>
      </w:r>
      <w:r w:rsidRPr="00B24CA3">
        <w:rPr>
          <w:spacing w:val="-4"/>
        </w:rPr>
        <w:t xml:space="preserve"> </w:t>
      </w:r>
      <w:r w:rsidRPr="00B24CA3">
        <w:t>Türkçe</w:t>
      </w:r>
      <w:r w:rsidRPr="00B24CA3">
        <w:rPr>
          <w:spacing w:val="-6"/>
        </w:rPr>
        <w:t xml:space="preserve"> </w:t>
      </w:r>
      <w:r w:rsidRPr="00B24CA3">
        <w:t>hazırlığı</w:t>
      </w:r>
      <w:r w:rsidRPr="00B24CA3">
        <w:rPr>
          <w:spacing w:val="-6"/>
        </w:rPr>
        <w:t xml:space="preserve"> </w:t>
      </w:r>
      <w:r w:rsidRPr="00B24CA3">
        <w:t>yaparken bile bölümüme gidip hocalarla konuşuyordum. Ayrıca, benden önce aynı bölümü okuyan yabancı öğlencilerle iletişim içindeydim’’</w:t>
      </w:r>
    </w:p>
    <w:p w14:paraId="0EC1A7F8" w14:textId="6DCF8B48" w:rsidR="00FF4BC0" w:rsidRPr="00B24CA3" w:rsidRDefault="00FF4BC0" w:rsidP="00BA67A6">
      <w:pPr>
        <w:pStyle w:val="GvdeMetni"/>
        <w:ind w:right="166"/>
        <w:jc w:val="both"/>
      </w:pPr>
      <w:r w:rsidRPr="00B24CA3">
        <w:t xml:space="preserve">Genel olarak, uluslararası öğrencilerin yaşadıkları zorlukların, öğrencilerin becerileri ve Türkçe dil yeteneklerine bağlı olarak değiştiğini gözlemlenmiştir. Katılımcılar, </w:t>
      </w:r>
      <w:proofErr w:type="spellStart"/>
      <w:r w:rsidRPr="00B24CA3">
        <w:t>Türkiye’deeğitim</w:t>
      </w:r>
      <w:proofErr w:type="spellEnd"/>
      <w:r w:rsidRPr="00B24CA3">
        <w:t xml:space="preserve"> almayı planlayan yabancı öğrencilerin entegrasyon sürecinde yaşanacak zorlukları en aza indirmek amacıyla hem üniversitelere hem de yabancı öğrencilere yönelik önerilerde bulunmuşlardır. Bu önerilerden; Üniversitenin uluslararası öğrenciler için dil destek programlarının</w:t>
      </w:r>
      <w:r w:rsidRPr="00B24CA3">
        <w:rPr>
          <w:spacing w:val="-1"/>
        </w:rPr>
        <w:t xml:space="preserve"> </w:t>
      </w:r>
      <w:r w:rsidRPr="00B24CA3">
        <w:t>bir</w:t>
      </w:r>
      <w:r w:rsidRPr="00B24CA3">
        <w:rPr>
          <w:spacing w:val="-1"/>
        </w:rPr>
        <w:t xml:space="preserve"> </w:t>
      </w:r>
      <w:r w:rsidRPr="00B24CA3">
        <w:t>parçası</w:t>
      </w:r>
      <w:r w:rsidRPr="00B24CA3">
        <w:rPr>
          <w:spacing w:val="-2"/>
        </w:rPr>
        <w:t xml:space="preserve"> </w:t>
      </w:r>
      <w:r w:rsidRPr="00B24CA3">
        <w:t>olarak</w:t>
      </w:r>
      <w:r w:rsidRPr="00B24CA3">
        <w:rPr>
          <w:spacing w:val="-1"/>
        </w:rPr>
        <w:t xml:space="preserve"> </w:t>
      </w:r>
      <w:r w:rsidRPr="00B24CA3">
        <w:t>akademik</w:t>
      </w:r>
      <w:r w:rsidRPr="00B24CA3">
        <w:rPr>
          <w:spacing w:val="-1"/>
        </w:rPr>
        <w:t xml:space="preserve"> </w:t>
      </w:r>
      <w:r w:rsidRPr="00B24CA3">
        <w:t>yazım</w:t>
      </w:r>
      <w:r w:rsidRPr="00B24CA3">
        <w:rPr>
          <w:spacing w:val="-2"/>
        </w:rPr>
        <w:t xml:space="preserve"> </w:t>
      </w:r>
      <w:r w:rsidRPr="00B24CA3">
        <w:t>üzerine</w:t>
      </w:r>
      <w:r w:rsidRPr="00B24CA3">
        <w:rPr>
          <w:spacing w:val="-2"/>
        </w:rPr>
        <w:t xml:space="preserve"> </w:t>
      </w:r>
      <w:r w:rsidRPr="00B24CA3">
        <w:t>atölyeler</w:t>
      </w:r>
      <w:r w:rsidRPr="00B24CA3">
        <w:rPr>
          <w:spacing w:val="-1"/>
        </w:rPr>
        <w:t xml:space="preserve"> </w:t>
      </w:r>
      <w:r w:rsidRPr="00B24CA3">
        <w:t>düzenlemesi,</w:t>
      </w:r>
      <w:r w:rsidRPr="00B24CA3">
        <w:rPr>
          <w:spacing w:val="-1"/>
        </w:rPr>
        <w:t xml:space="preserve"> </w:t>
      </w:r>
      <w:r w:rsidRPr="00B24CA3">
        <w:t>ders notları, slaytlar ve akademik kaynaklar ilk yılında hem Türkçe hem de İngilizce veya öğrencilerin anlayabileceği</w:t>
      </w:r>
      <w:r w:rsidRPr="00B24CA3">
        <w:rPr>
          <w:spacing w:val="-2"/>
        </w:rPr>
        <w:t xml:space="preserve"> </w:t>
      </w:r>
      <w:r w:rsidRPr="00B24CA3">
        <w:t>dillerde</w:t>
      </w:r>
      <w:r w:rsidRPr="00B24CA3">
        <w:rPr>
          <w:spacing w:val="-2"/>
        </w:rPr>
        <w:t xml:space="preserve"> </w:t>
      </w:r>
      <w:r w:rsidRPr="00B24CA3">
        <w:t>sunulması</w:t>
      </w:r>
      <w:r w:rsidRPr="00B24CA3">
        <w:rPr>
          <w:spacing w:val="-2"/>
        </w:rPr>
        <w:t xml:space="preserve"> </w:t>
      </w:r>
      <w:r w:rsidRPr="00B24CA3">
        <w:t>ve</w:t>
      </w:r>
      <w:r w:rsidRPr="00B24CA3">
        <w:rPr>
          <w:spacing w:val="-2"/>
        </w:rPr>
        <w:t xml:space="preserve"> </w:t>
      </w:r>
      <w:r w:rsidRPr="00B24CA3">
        <w:t>uluslararası</w:t>
      </w:r>
      <w:r w:rsidRPr="00B24CA3">
        <w:rPr>
          <w:spacing w:val="-2"/>
        </w:rPr>
        <w:t xml:space="preserve"> </w:t>
      </w:r>
      <w:r w:rsidRPr="00B24CA3">
        <w:t>öğrencilerin</w:t>
      </w:r>
      <w:r w:rsidRPr="00B24CA3">
        <w:rPr>
          <w:spacing w:val="-1"/>
        </w:rPr>
        <w:t xml:space="preserve"> </w:t>
      </w:r>
      <w:r w:rsidRPr="00B24CA3">
        <w:t>Türk</w:t>
      </w:r>
      <w:r w:rsidRPr="00B24CA3">
        <w:rPr>
          <w:spacing w:val="-1"/>
        </w:rPr>
        <w:t xml:space="preserve"> </w:t>
      </w:r>
      <w:r w:rsidRPr="00B24CA3">
        <w:t>kültürüne</w:t>
      </w:r>
      <w:r w:rsidRPr="00B24CA3">
        <w:rPr>
          <w:spacing w:val="-2"/>
        </w:rPr>
        <w:t xml:space="preserve"> </w:t>
      </w:r>
      <w:r w:rsidRPr="00B24CA3">
        <w:t>daha</w:t>
      </w:r>
      <w:r w:rsidRPr="00B24CA3">
        <w:rPr>
          <w:spacing w:val="-2"/>
        </w:rPr>
        <w:t xml:space="preserve"> </w:t>
      </w:r>
      <w:r w:rsidRPr="00B24CA3">
        <w:t>hızlı</w:t>
      </w:r>
      <w:r w:rsidRPr="00B24CA3">
        <w:rPr>
          <w:spacing w:val="-2"/>
        </w:rPr>
        <w:t xml:space="preserve"> </w:t>
      </w:r>
      <w:r w:rsidRPr="00B24CA3">
        <w:t xml:space="preserve">uyum sağlamasına yardımcı olmak için rehberlik programları, kültürel geziler ve sosyal etkinlikler </w:t>
      </w:r>
      <w:r w:rsidRPr="00B24CA3">
        <w:rPr>
          <w:spacing w:val="-2"/>
        </w:rPr>
        <w:t>düzenlenmesi</w:t>
      </w:r>
      <w:r w:rsidRPr="00B24CA3">
        <w:rPr>
          <w:spacing w:val="-7"/>
        </w:rPr>
        <w:t xml:space="preserve"> </w:t>
      </w:r>
      <w:r w:rsidRPr="00B24CA3">
        <w:rPr>
          <w:spacing w:val="-2"/>
        </w:rPr>
        <w:t>gibi</w:t>
      </w:r>
      <w:r w:rsidRPr="00B24CA3">
        <w:rPr>
          <w:spacing w:val="-4"/>
        </w:rPr>
        <w:t xml:space="preserve"> </w:t>
      </w:r>
      <w:r w:rsidRPr="00B24CA3">
        <w:rPr>
          <w:spacing w:val="-2"/>
        </w:rPr>
        <w:t>öner</w:t>
      </w:r>
      <w:r w:rsidRPr="00B24CA3">
        <w:rPr>
          <w:spacing w:val="3"/>
        </w:rPr>
        <w:t xml:space="preserve"> </w:t>
      </w:r>
      <w:r w:rsidRPr="00B24CA3">
        <w:rPr>
          <w:spacing w:val="-2"/>
        </w:rPr>
        <w:t>yer</w:t>
      </w:r>
      <w:r w:rsidRPr="00B24CA3">
        <w:rPr>
          <w:spacing w:val="-1"/>
        </w:rPr>
        <w:t xml:space="preserve"> </w:t>
      </w:r>
      <w:r w:rsidRPr="00B24CA3">
        <w:rPr>
          <w:spacing w:val="-2"/>
        </w:rPr>
        <w:t>almaktadır.</w:t>
      </w:r>
      <w:r w:rsidRPr="00B24CA3">
        <w:rPr>
          <w:spacing w:val="4"/>
        </w:rPr>
        <w:t xml:space="preserve"> </w:t>
      </w:r>
      <w:r w:rsidRPr="00B24CA3">
        <w:rPr>
          <w:spacing w:val="-2"/>
        </w:rPr>
        <w:t>Türkiye'ye</w:t>
      </w:r>
      <w:r w:rsidRPr="00B24CA3">
        <w:rPr>
          <w:spacing w:val="3"/>
        </w:rPr>
        <w:t xml:space="preserve"> </w:t>
      </w:r>
      <w:r w:rsidRPr="00B24CA3">
        <w:rPr>
          <w:spacing w:val="-2"/>
        </w:rPr>
        <w:t>gelmeyi</w:t>
      </w:r>
      <w:r w:rsidRPr="00B24CA3">
        <w:rPr>
          <w:spacing w:val="-5"/>
        </w:rPr>
        <w:t xml:space="preserve"> </w:t>
      </w:r>
      <w:r w:rsidRPr="00B24CA3">
        <w:rPr>
          <w:spacing w:val="-2"/>
        </w:rPr>
        <w:t>planlana</w:t>
      </w:r>
      <w:r w:rsidRPr="00B24CA3">
        <w:rPr>
          <w:spacing w:val="-4"/>
        </w:rPr>
        <w:t xml:space="preserve"> </w:t>
      </w:r>
      <w:r w:rsidRPr="00B24CA3">
        <w:rPr>
          <w:spacing w:val="-2"/>
        </w:rPr>
        <w:t>uluslararası</w:t>
      </w:r>
      <w:r w:rsidRPr="00B24CA3">
        <w:rPr>
          <w:spacing w:val="-4"/>
        </w:rPr>
        <w:t xml:space="preserve"> </w:t>
      </w:r>
      <w:r w:rsidRPr="00B24CA3">
        <w:rPr>
          <w:spacing w:val="-2"/>
        </w:rPr>
        <w:t>öğrenciler</w:t>
      </w:r>
      <w:r w:rsidRPr="00B24CA3">
        <w:rPr>
          <w:spacing w:val="5"/>
        </w:rPr>
        <w:t xml:space="preserve"> </w:t>
      </w:r>
      <w:r w:rsidRPr="00B24CA3">
        <w:rPr>
          <w:spacing w:val="-4"/>
        </w:rPr>
        <w:t>için</w:t>
      </w:r>
    </w:p>
    <w:p w14:paraId="36557C82"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08964F89" w14:textId="77777777" w:rsidR="00FF4BC0" w:rsidRDefault="00FF4BC0" w:rsidP="00BA67A6">
      <w:pPr>
        <w:pStyle w:val="GvdeMetni"/>
        <w:ind w:right="163"/>
        <w:jc w:val="both"/>
      </w:pPr>
      <w:proofErr w:type="gramStart"/>
      <w:r w:rsidRPr="00B24CA3">
        <w:t>dil</w:t>
      </w:r>
      <w:proofErr w:type="gramEnd"/>
      <w:r w:rsidRPr="00B24CA3">
        <w:t xml:space="preserve"> engelini en aza indirmek ve akademik başarıyı artırmak bazı hazırlık adımları atılmaları gerekmektedir. Üniversitenin sunduğu hazırlık eğitiminde başarılı bir Türkçe öğrenmek için sınıf</w:t>
      </w:r>
      <w:r w:rsidRPr="00B24CA3">
        <w:rPr>
          <w:spacing w:val="-12"/>
        </w:rPr>
        <w:t xml:space="preserve"> </w:t>
      </w:r>
      <w:r w:rsidRPr="00B24CA3">
        <w:t>içinde</w:t>
      </w:r>
      <w:r w:rsidRPr="00B24CA3">
        <w:rPr>
          <w:spacing w:val="-14"/>
        </w:rPr>
        <w:t xml:space="preserve"> </w:t>
      </w:r>
      <w:r w:rsidRPr="00B24CA3">
        <w:t>ve</w:t>
      </w:r>
      <w:r w:rsidRPr="00B24CA3">
        <w:rPr>
          <w:spacing w:val="-14"/>
        </w:rPr>
        <w:t xml:space="preserve"> </w:t>
      </w:r>
      <w:r w:rsidRPr="00B24CA3">
        <w:t>dışında</w:t>
      </w:r>
      <w:r w:rsidRPr="00B24CA3">
        <w:rPr>
          <w:spacing w:val="-9"/>
        </w:rPr>
        <w:t xml:space="preserve"> </w:t>
      </w:r>
      <w:r w:rsidRPr="00B24CA3">
        <w:t>Türkçe</w:t>
      </w:r>
      <w:r w:rsidRPr="00B24CA3">
        <w:rPr>
          <w:spacing w:val="-14"/>
        </w:rPr>
        <w:t xml:space="preserve"> </w:t>
      </w:r>
      <w:r w:rsidRPr="00B24CA3">
        <w:t>konuşmaya</w:t>
      </w:r>
      <w:r w:rsidRPr="00B24CA3">
        <w:rPr>
          <w:spacing w:val="-14"/>
        </w:rPr>
        <w:t xml:space="preserve"> </w:t>
      </w:r>
      <w:r w:rsidRPr="00B24CA3">
        <w:t>özen</w:t>
      </w:r>
      <w:r w:rsidRPr="00B24CA3">
        <w:rPr>
          <w:spacing w:val="-13"/>
        </w:rPr>
        <w:t xml:space="preserve"> </w:t>
      </w:r>
      <w:r w:rsidRPr="00B24CA3">
        <w:t>göstermek,</w:t>
      </w:r>
      <w:r w:rsidRPr="00B24CA3">
        <w:rPr>
          <w:spacing w:val="-13"/>
        </w:rPr>
        <w:t xml:space="preserve"> </w:t>
      </w:r>
      <w:r w:rsidRPr="00B24CA3">
        <w:t>Türkiye'ye</w:t>
      </w:r>
      <w:r w:rsidRPr="00B24CA3">
        <w:rPr>
          <w:spacing w:val="-14"/>
        </w:rPr>
        <w:t xml:space="preserve"> </w:t>
      </w:r>
      <w:r w:rsidRPr="00B24CA3">
        <w:t>geldikten</w:t>
      </w:r>
      <w:r w:rsidRPr="00B24CA3">
        <w:rPr>
          <w:spacing w:val="-13"/>
        </w:rPr>
        <w:t xml:space="preserve"> </w:t>
      </w:r>
      <w:r w:rsidRPr="00B24CA3">
        <w:t>sonra,</w:t>
      </w:r>
      <w:r w:rsidRPr="00B24CA3">
        <w:rPr>
          <w:spacing w:val="-13"/>
        </w:rPr>
        <w:t xml:space="preserve"> </w:t>
      </w:r>
      <w:r w:rsidRPr="00B24CA3">
        <w:t>kültürel aktivitelere katılmak önerilerde bulunmuşlardır.</w:t>
      </w:r>
    </w:p>
    <w:p w14:paraId="1FAD52D9" w14:textId="77777777" w:rsidR="004C7694" w:rsidRPr="00B24CA3" w:rsidRDefault="004C7694" w:rsidP="00BA67A6">
      <w:pPr>
        <w:pStyle w:val="GvdeMetni"/>
        <w:ind w:right="163"/>
        <w:jc w:val="both"/>
      </w:pPr>
    </w:p>
    <w:p w14:paraId="57C2883B" w14:textId="2E219E19" w:rsidR="00FF4BC0" w:rsidRDefault="00FF4BC0" w:rsidP="00BA67A6">
      <w:pPr>
        <w:pStyle w:val="GvdeMetni"/>
        <w:ind w:right="162"/>
        <w:jc w:val="both"/>
      </w:pPr>
      <w:r w:rsidRPr="00B24CA3">
        <w:t>Bu çalışmanın bazı sınırlılıkları bulunmaktadır. Öncelikle, araştırmanın Kocaeli Üniversitesi'nde yüksek lisans programında öğrenim gören 8 kişilik belirli bir öğrenci grubu üzerinde yapılmış olması ve daha geniş örneklem üzerinde yapılacak çalışmalarla desteklenmesi gerekmektedir. Bu nedenle, sonuçların daha geniş bir kitleye genellenmesi mümkün olmayabilir. Gelecekteki araştırmaların sonuçları doğrulamak için daha çeşitli ve daha büyük bir örneklem içermesi hedeflenmelidir. Ayrıca öğrencilerin memnuniyetlerini ve yaşadıkları</w:t>
      </w:r>
      <w:r w:rsidRPr="00B24CA3">
        <w:rPr>
          <w:spacing w:val="-15"/>
        </w:rPr>
        <w:t xml:space="preserve"> </w:t>
      </w:r>
      <w:r w:rsidRPr="00B24CA3">
        <w:t>güçlükleri</w:t>
      </w:r>
      <w:r w:rsidRPr="00B24CA3">
        <w:rPr>
          <w:spacing w:val="-15"/>
        </w:rPr>
        <w:t xml:space="preserve"> </w:t>
      </w:r>
      <w:r w:rsidRPr="00B24CA3">
        <w:t>daha</w:t>
      </w:r>
      <w:r w:rsidRPr="00B24CA3">
        <w:rPr>
          <w:spacing w:val="-15"/>
        </w:rPr>
        <w:t xml:space="preserve"> </w:t>
      </w:r>
      <w:r w:rsidRPr="00B24CA3">
        <w:t>detaylı</w:t>
      </w:r>
      <w:r w:rsidRPr="00B24CA3">
        <w:rPr>
          <w:spacing w:val="-15"/>
        </w:rPr>
        <w:t xml:space="preserve"> </w:t>
      </w:r>
      <w:r w:rsidRPr="00B24CA3">
        <w:t>analiz</w:t>
      </w:r>
      <w:r w:rsidRPr="00B24CA3">
        <w:rPr>
          <w:spacing w:val="-15"/>
        </w:rPr>
        <w:t xml:space="preserve"> </w:t>
      </w:r>
      <w:r w:rsidRPr="00B24CA3">
        <w:t>edebilmek</w:t>
      </w:r>
      <w:r w:rsidRPr="00B24CA3">
        <w:rPr>
          <w:spacing w:val="-15"/>
        </w:rPr>
        <w:t xml:space="preserve"> </w:t>
      </w:r>
      <w:r w:rsidRPr="00B24CA3">
        <w:t>için</w:t>
      </w:r>
      <w:r w:rsidRPr="00B24CA3">
        <w:rPr>
          <w:spacing w:val="-15"/>
        </w:rPr>
        <w:t xml:space="preserve"> </w:t>
      </w:r>
      <w:r w:rsidRPr="00B24CA3">
        <w:t>nitel</w:t>
      </w:r>
      <w:r w:rsidRPr="00B24CA3">
        <w:rPr>
          <w:spacing w:val="-15"/>
        </w:rPr>
        <w:t xml:space="preserve"> </w:t>
      </w:r>
      <w:r w:rsidRPr="00B24CA3">
        <w:t>araştırma</w:t>
      </w:r>
      <w:r w:rsidRPr="00B24CA3">
        <w:rPr>
          <w:spacing w:val="-15"/>
        </w:rPr>
        <w:t xml:space="preserve"> </w:t>
      </w:r>
      <w:r w:rsidRPr="00B24CA3">
        <w:t>yöntemleri</w:t>
      </w:r>
      <w:r w:rsidRPr="00B24CA3">
        <w:rPr>
          <w:spacing w:val="-15"/>
        </w:rPr>
        <w:t xml:space="preserve"> </w:t>
      </w:r>
      <w:r w:rsidRPr="00B24CA3">
        <w:t>kullanılarak derinlemesine görüşmeler yapılması önerilmektedir.</w:t>
      </w:r>
    </w:p>
    <w:p w14:paraId="36B41CFF" w14:textId="77777777" w:rsidR="004C7694" w:rsidRPr="00B24CA3" w:rsidRDefault="004C7694" w:rsidP="00BA67A6">
      <w:pPr>
        <w:pStyle w:val="GvdeMetni"/>
        <w:ind w:right="162"/>
        <w:jc w:val="both"/>
      </w:pPr>
    </w:p>
    <w:p w14:paraId="5CF125A2" w14:textId="77777777" w:rsidR="00FF4BC0" w:rsidRPr="00800DA9" w:rsidRDefault="00FF4BC0" w:rsidP="00BA67A6">
      <w:pPr>
        <w:rPr>
          <w:b/>
          <w:bCs/>
        </w:rPr>
      </w:pPr>
      <w:r w:rsidRPr="00800DA9">
        <w:rPr>
          <w:b/>
          <w:bCs/>
        </w:rPr>
        <w:t>ÖNERILER</w:t>
      </w:r>
    </w:p>
    <w:p w14:paraId="2A3DAEC4" w14:textId="77777777" w:rsidR="00FF4BC0" w:rsidRDefault="00FF4BC0" w:rsidP="00BA67A6">
      <w:pPr>
        <w:pStyle w:val="GvdeMetni"/>
        <w:ind w:right="174"/>
        <w:jc w:val="both"/>
        <w:rPr>
          <w:spacing w:val="-2"/>
        </w:rPr>
      </w:pPr>
      <w:r w:rsidRPr="00B24CA3">
        <w:t xml:space="preserve">Araştırma ve bu alanda yapılan çalışmaların bulgularına dayanarak aşağıdaki öneriler </w:t>
      </w:r>
      <w:r w:rsidRPr="00B24CA3">
        <w:rPr>
          <w:spacing w:val="-2"/>
        </w:rPr>
        <w:t>geliştirilmiştir:</w:t>
      </w:r>
    </w:p>
    <w:p w14:paraId="60CE89BE" w14:textId="77777777" w:rsidR="004C7694" w:rsidRPr="00B24CA3" w:rsidRDefault="004C7694" w:rsidP="00BA67A6">
      <w:pPr>
        <w:pStyle w:val="GvdeMetni"/>
        <w:ind w:right="174"/>
        <w:jc w:val="both"/>
      </w:pPr>
    </w:p>
    <w:p w14:paraId="1B6652CC" w14:textId="77777777" w:rsidR="00FF4BC0" w:rsidRPr="00B24CA3" w:rsidRDefault="00FF4BC0">
      <w:pPr>
        <w:pStyle w:val="ListeParagraf"/>
        <w:numPr>
          <w:ilvl w:val="0"/>
          <w:numId w:val="25"/>
        </w:numPr>
        <w:tabs>
          <w:tab w:val="left" w:pos="592"/>
        </w:tabs>
        <w:ind w:right="162" w:firstLine="0"/>
        <w:contextualSpacing w:val="0"/>
        <w:jc w:val="both"/>
      </w:pPr>
      <w:r w:rsidRPr="00B24CA3">
        <w:t>Uluslararası</w:t>
      </w:r>
      <w:r w:rsidRPr="00B24CA3">
        <w:rPr>
          <w:spacing w:val="-1"/>
        </w:rPr>
        <w:t xml:space="preserve"> </w:t>
      </w:r>
      <w:r w:rsidRPr="00B24CA3">
        <w:t>öğrencilerin en çok karşılaştıkları</w:t>
      </w:r>
      <w:r w:rsidRPr="00B24CA3">
        <w:rPr>
          <w:spacing w:val="-1"/>
        </w:rPr>
        <w:t xml:space="preserve"> </w:t>
      </w:r>
      <w:r w:rsidRPr="00B24CA3">
        <w:t>zorluklardan biri</w:t>
      </w:r>
      <w:r w:rsidRPr="00B24CA3">
        <w:rPr>
          <w:spacing w:val="-1"/>
        </w:rPr>
        <w:t xml:space="preserve"> </w:t>
      </w:r>
      <w:r w:rsidRPr="00B24CA3">
        <w:t>dil</w:t>
      </w:r>
      <w:r w:rsidRPr="00B24CA3">
        <w:rPr>
          <w:spacing w:val="-1"/>
        </w:rPr>
        <w:t xml:space="preserve"> </w:t>
      </w:r>
      <w:r w:rsidRPr="00B24CA3">
        <w:t>bariyeridir. Dil</w:t>
      </w:r>
      <w:r w:rsidRPr="00B24CA3">
        <w:rPr>
          <w:spacing w:val="-1"/>
        </w:rPr>
        <w:t xml:space="preserve"> </w:t>
      </w:r>
      <w:r w:rsidRPr="00B24CA3">
        <w:t xml:space="preserve">bariyerin aşılması için öğrencilerin iyi bir dil eğitimi alması gerekmektedir. Yabancıların dil hazırlık sırasında daha akıcı ve etkili bir Türkçe öğrenebilmeleri için dil eğitim yanı sıra destekleyici programlar da olmalıdır. Örneğin, öğrenciler düzenli bir şeklinde kendi aralarında ya da TÖMER tarafından gruplar oluşturulup konuşma pratiği gibi farklı etkinliklerin yer almasını </w:t>
      </w:r>
      <w:r w:rsidRPr="00B24CA3">
        <w:rPr>
          <w:spacing w:val="-2"/>
        </w:rPr>
        <w:t>sağlanmalıdır.</w:t>
      </w:r>
    </w:p>
    <w:p w14:paraId="3F831B6D" w14:textId="77777777" w:rsidR="00FF4BC0" w:rsidRPr="00B24CA3" w:rsidRDefault="00FF4BC0">
      <w:pPr>
        <w:pStyle w:val="ListeParagraf"/>
        <w:numPr>
          <w:ilvl w:val="0"/>
          <w:numId w:val="25"/>
        </w:numPr>
        <w:tabs>
          <w:tab w:val="left" w:pos="657"/>
        </w:tabs>
        <w:ind w:right="165" w:firstLine="0"/>
        <w:contextualSpacing w:val="0"/>
        <w:jc w:val="both"/>
      </w:pPr>
      <w:r w:rsidRPr="00B24CA3">
        <w:t>Üniversitelerin uluslararası öğrencilerin uyum sağlama konusunda destekleyici bir rol üstelenebilmesi için düzenli aralıklarla hem yeni hem de eski yabancı öğrencilere ‘’entegrasyon’’ gibi öğrencilerin uyumunu kolaylaştıracak eğitimin verilmesi bu süreci kolaylaştırmada önemli bir etki sağlayabilmektedir. Ayrıca, yerel halkın yapancılara karşı farkındalık eğitimin düzenleneside bu süreci kolaylaştıracağını öne sürülmektedir.</w:t>
      </w:r>
    </w:p>
    <w:p w14:paraId="23BFEABC" w14:textId="77777777" w:rsidR="00FF4BC0" w:rsidRPr="00B24CA3" w:rsidRDefault="00FF4BC0">
      <w:pPr>
        <w:pStyle w:val="ListeParagraf"/>
        <w:numPr>
          <w:ilvl w:val="0"/>
          <w:numId w:val="25"/>
        </w:numPr>
        <w:tabs>
          <w:tab w:val="left" w:pos="682"/>
        </w:tabs>
        <w:ind w:right="167" w:firstLine="0"/>
        <w:contextualSpacing w:val="0"/>
        <w:jc w:val="both"/>
      </w:pPr>
      <w:r w:rsidRPr="00B24CA3">
        <w:t>Uluslararası öğrencilerin kendi kültürlerini tanıtmalarına fırsat verecek programların düzenlenmesi ve bu programlara yerli öğrencilerin ve halkında dahil edilmesi, kültürlerin farklılıklarını ortaya koyarak herkesin bu çeşitliliğinden faydalanmasını sağlayacaktır.</w:t>
      </w:r>
    </w:p>
    <w:p w14:paraId="149CE260" w14:textId="77777777" w:rsidR="00FF4BC0" w:rsidRPr="00B24CA3" w:rsidRDefault="00FF4BC0">
      <w:pPr>
        <w:pStyle w:val="ListeParagraf"/>
        <w:numPr>
          <w:ilvl w:val="0"/>
          <w:numId w:val="25"/>
        </w:numPr>
        <w:tabs>
          <w:tab w:val="left" w:pos="682"/>
        </w:tabs>
        <w:ind w:right="169" w:firstLine="0"/>
        <w:contextualSpacing w:val="0"/>
        <w:jc w:val="both"/>
      </w:pPr>
      <w:r w:rsidRPr="00B24CA3">
        <w:t xml:space="preserve">Uluslararası öğrencilerin kendi kültürlerini tanıtmalarına fırsat verecek programların </w:t>
      </w:r>
      <w:r w:rsidRPr="00B24CA3">
        <w:lastRenderedPageBreak/>
        <w:t>düzenlenmesi</w:t>
      </w:r>
      <w:r w:rsidRPr="00B24CA3">
        <w:rPr>
          <w:spacing w:val="-6"/>
        </w:rPr>
        <w:t xml:space="preserve"> </w:t>
      </w:r>
      <w:r w:rsidRPr="00B24CA3">
        <w:t>ve</w:t>
      </w:r>
      <w:r w:rsidRPr="00B24CA3">
        <w:rPr>
          <w:spacing w:val="-6"/>
        </w:rPr>
        <w:t xml:space="preserve"> </w:t>
      </w:r>
      <w:r w:rsidRPr="00B24CA3">
        <w:t>bu</w:t>
      </w:r>
      <w:r w:rsidRPr="00B24CA3">
        <w:rPr>
          <w:spacing w:val="-4"/>
        </w:rPr>
        <w:t xml:space="preserve"> </w:t>
      </w:r>
      <w:r w:rsidRPr="00B24CA3">
        <w:t>programlara</w:t>
      </w:r>
      <w:r w:rsidRPr="00B24CA3">
        <w:rPr>
          <w:spacing w:val="-6"/>
        </w:rPr>
        <w:t xml:space="preserve"> </w:t>
      </w:r>
      <w:r w:rsidRPr="00B24CA3">
        <w:t>yerli</w:t>
      </w:r>
      <w:r w:rsidRPr="00B24CA3">
        <w:rPr>
          <w:spacing w:val="-6"/>
        </w:rPr>
        <w:t xml:space="preserve"> </w:t>
      </w:r>
      <w:r w:rsidRPr="00B24CA3">
        <w:t>öğrencilerin</w:t>
      </w:r>
      <w:r w:rsidRPr="00B24CA3">
        <w:rPr>
          <w:spacing w:val="-4"/>
        </w:rPr>
        <w:t xml:space="preserve"> </w:t>
      </w:r>
      <w:r w:rsidRPr="00B24CA3">
        <w:t>de</w:t>
      </w:r>
      <w:r w:rsidRPr="00B24CA3">
        <w:rPr>
          <w:spacing w:val="-6"/>
        </w:rPr>
        <w:t xml:space="preserve"> </w:t>
      </w:r>
      <w:r w:rsidRPr="00B24CA3">
        <w:t>dahil</w:t>
      </w:r>
      <w:r w:rsidRPr="00B24CA3">
        <w:rPr>
          <w:spacing w:val="-6"/>
        </w:rPr>
        <w:t xml:space="preserve"> </w:t>
      </w:r>
      <w:r w:rsidRPr="00B24CA3">
        <w:t>edilmesi,</w:t>
      </w:r>
      <w:r w:rsidRPr="00B24CA3">
        <w:rPr>
          <w:spacing w:val="-4"/>
        </w:rPr>
        <w:t xml:space="preserve"> </w:t>
      </w:r>
      <w:r w:rsidRPr="00B24CA3">
        <w:t>kültürlerin</w:t>
      </w:r>
      <w:r w:rsidRPr="00B24CA3">
        <w:rPr>
          <w:spacing w:val="-4"/>
        </w:rPr>
        <w:t xml:space="preserve"> </w:t>
      </w:r>
      <w:r w:rsidRPr="00B24CA3">
        <w:t>farklılıklarını ortaya koyarak herkesin bu çeşitlilikten faydalanmasını sağlayacaktır.</w:t>
      </w:r>
    </w:p>
    <w:p w14:paraId="61A53991" w14:textId="77777777" w:rsidR="00FF4BC0" w:rsidRPr="00B24CA3" w:rsidRDefault="00FF4BC0">
      <w:pPr>
        <w:pStyle w:val="ListeParagraf"/>
        <w:numPr>
          <w:ilvl w:val="0"/>
          <w:numId w:val="25"/>
        </w:numPr>
        <w:tabs>
          <w:tab w:val="left" w:pos="577"/>
        </w:tabs>
        <w:ind w:right="163" w:firstLine="0"/>
        <w:contextualSpacing w:val="0"/>
        <w:jc w:val="both"/>
      </w:pPr>
      <w:r w:rsidRPr="00B24CA3">
        <w:t>Üniversitelerde</w:t>
      </w:r>
      <w:r w:rsidRPr="00B24CA3">
        <w:rPr>
          <w:spacing w:val="-9"/>
        </w:rPr>
        <w:t xml:space="preserve"> </w:t>
      </w:r>
      <w:r w:rsidRPr="00B24CA3">
        <w:t>uluslararası</w:t>
      </w:r>
      <w:r w:rsidRPr="00B24CA3">
        <w:rPr>
          <w:spacing w:val="-13"/>
        </w:rPr>
        <w:t xml:space="preserve"> </w:t>
      </w:r>
      <w:r w:rsidRPr="00B24CA3">
        <w:t>öğrencilere</w:t>
      </w:r>
      <w:r w:rsidRPr="00B24CA3">
        <w:rPr>
          <w:spacing w:val="-13"/>
        </w:rPr>
        <w:t xml:space="preserve"> </w:t>
      </w:r>
      <w:r w:rsidRPr="00B24CA3">
        <w:t>hizmet</w:t>
      </w:r>
      <w:r w:rsidRPr="00B24CA3">
        <w:rPr>
          <w:spacing w:val="-13"/>
        </w:rPr>
        <w:t xml:space="preserve"> </w:t>
      </w:r>
      <w:r w:rsidRPr="00B24CA3">
        <w:t>sunacak</w:t>
      </w:r>
      <w:r w:rsidRPr="00B24CA3">
        <w:rPr>
          <w:spacing w:val="-12"/>
        </w:rPr>
        <w:t xml:space="preserve"> </w:t>
      </w:r>
      <w:r w:rsidRPr="00B24CA3">
        <w:t>ofisler</w:t>
      </w:r>
      <w:r w:rsidRPr="00B24CA3">
        <w:rPr>
          <w:spacing w:val="-12"/>
        </w:rPr>
        <w:t xml:space="preserve"> </w:t>
      </w:r>
      <w:r w:rsidRPr="00B24CA3">
        <w:t>kurulmalı</w:t>
      </w:r>
      <w:r w:rsidRPr="00B24CA3">
        <w:rPr>
          <w:spacing w:val="-13"/>
        </w:rPr>
        <w:t xml:space="preserve"> </w:t>
      </w:r>
      <w:r w:rsidRPr="00B24CA3">
        <w:t>ve</w:t>
      </w:r>
      <w:r w:rsidRPr="00B24CA3">
        <w:rPr>
          <w:spacing w:val="-9"/>
        </w:rPr>
        <w:t xml:space="preserve"> </w:t>
      </w:r>
      <w:r w:rsidRPr="00B24CA3">
        <w:t>bu</w:t>
      </w:r>
      <w:r w:rsidRPr="00B24CA3">
        <w:rPr>
          <w:spacing w:val="-12"/>
        </w:rPr>
        <w:t xml:space="preserve"> </w:t>
      </w:r>
      <w:r w:rsidRPr="00B24CA3">
        <w:t>ofisler,</w:t>
      </w:r>
      <w:r w:rsidRPr="00B24CA3">
        <w:rPr>
          <w:spacing w:val="-12"/>
        </w:rPr>
        <w:t xml:space="preserve"> </w:t>
      </w:r>
      <w:proofErr w:type="spellStart"/>
      <w:r w:rsidRPr="00B24CA3">
        <w:t>psiko</w:t>
      </w:r>
      <w:proofErr w:type="spellEnd"/>
      <w:r w:rsidRPr="00B24CA3">
        <w:t>- sosyal</w:t>
      </w:r>
      <w:r w:rsidRPr="00B24CA3">
        <w:rPr>
          <w:spacing w:val="-6"/>
        </w:rPr>
        <w:t xml:space="preserve"> </w:t>
      </w:r>
      <w:r w:rsidRPr="00B24CA3">
        <w:t>ve</w:t>
      </w:r>
      <w:r w:rsidRPr="00B24CA3">
        <w:rPr>
          <w:spacing w:val="-6"/>
        </w:rPr>
        <w:t xml:space="preserve"> </w:t>
      </w:r>
      <w:r w:rsidRPr="00B24CA3">
        <w:t>ekonomik</w:t>
      </w:r>
      <w:r w:rsidRPr="00B24CA3">
        <w:rPr>
          <w:spacing w:val="-4"/>
        </w:rPr>
        <w:t xml:space="preserve"> </w:t>
      </w:r>
      <w:r w:rsidRPr="00B24CA3">
        <w:t>açıdan</w:t>
      </w:r>
      <w:r w:rsidRPr="00B24CA3">
        <w:rPr>
          <w:spacing w:val="-4"/>
        </w:rPr>
        <w:t xml:space="preserve"> </w:t>
      </w:r>
      <w:r w:rsidRPr="00B24CA3">
        <w:t>destek</w:t>
      </w:r>
      <w:r w:rsidRPr="00B24CA3">
        <w:rPr>
          <w:spacing w:val="-4"/>
        </w:rPr>
        <w:t xml:space="preserve"> </w:t>
      </w:r>
      <w:r w:rsidRPr="00B24CA3">
        <w:t>sağlanmalıdır.</w:t>
      </w:r>
      <w:r w:rsidRPr="00B24CA3">
        <w:rPr>
          <w:spacing w:val="-4"/>
        </w:rPr>
        <w:t xml:space="preserve"> </w:t>
      </w:r>
      <w:r w:rsidRPr="00B24CA3">
        <w:t>Eğitimde</w:t>
      </w:r>
      <w:r w:rsidRPr="00B24CA3">
        <w:rPr>
          <w:spacing w:val="-1"/>
        </w:rPr>
        <w:t xml:space="preserve"> </w:t>
      </w:r>
      <w:r w:rsidRPr="00B24CA3">
        <w:t>zorluk</w:t>
      </w:r>
      <w:r w:rsidRPr="00B24CA3">
        <w:rPr>
          <w:spacing w:val="-4"/>
        </w:rPr>
        <w:t xml:space="preserve"> </w:t>
      </w:r>
      <w:r w:rsidRPr="00B24CA3">
        <w:t>yaşayan</w:t>
      </w:r>
      <w:r w:rsidRPr="00B24CA3">
        <w:rPr>
          <w:spacing w:val="-4"/>
        </w:rPr>
        <w:t xml:space="preserve"> </w:t>
      </w:r>
      <w:r w:rsidRPr="00B24CA3">
        <w:t>öğrencilerin</w:t>
      </w:r>
      <w:r w:rsidRPr="00B24CA3">
        <w:rPr>
          <w:spacing w:val="-4"/>
        </w:rPr>
        <w:t xml:space="preserve"> </w:t>
      </w:r>
      <w:r w:rsidRPr="00B24CA3">
        <w:t>destek alabilecek sistem düzenlenmeli, maddi sorun yaşayan öğrencilerin desteklenmelidir. Ayrıca, psikolojik sorun yaşayanlar için psikolojik ya da sosyal hizmet desteğin sunmalıdır.</w:t>
      </w:r>
    </w:p>
    <w:p w14:paraId="4634D617" w14:textId="60A0F128" w:rsidR="00FF4BC0" w:rsidRPr="00B24CA3" w:rsidRDefault="00FF4BC0">
      <w:pPr>
        <w:pStyle w:val="ListeParagraf"/>
        <w:numPr>
          <w:ilvl w:val="0"/>
          <w:numId w:val="25"/>
        </w:numPr>
        <w:tabs>
          <w:tab w:val="left" w:pos="642"/>
        </w:tabs>
        <w:ind w:right="164" w:firstLine="60"/>
        <w:contextualSpacing w:val="0"/>
        <w:jc w:val="both"/>
      </w:pPr>
      <w:r w:rsidRPr="00B24CA3">
        <w:t>Sivil</w:t>
      </w:r>
      <w:r w:rsidRPr="00B24CA3">
        <w:rPr>
          <w:spacing w:val="-4"/>
        </w:rPr>
        <w:t xml:space="preserve"> </w:t>
      </w:r>
      <w:r w:rsidRPr="00B24CA3">
        <w:t>toplum</w:t>
      </w:r>
      <w:r w:rsidRPr="00B24CA3">
        <w:rPr>
          <w:spacing w:val="-4"/>
        </w:rPr>
        <w:t xml:space="preserve"> </w:t>
      </w:r>
      <w:r w:rsidRPr="00B24CA3">
        <w:t>merkezleri,</w:t>
      </w:r>
      <w:r w:rsidRPr="00B24CA3">
        <w:rPr>
          <w:spacing w:val="-3"/>
        </w:rPr>
        <w:t xml:space="preserve"> </w:t>
      </w:r>
      <w:r w:rsidRPr="00B24CA3">
        <w:t>belediyeler</w:t>
      </w:r>
      <w:r w:rsidRPr="00B24CA3">
        <w:rPr>
          <w:spacing w:val="-3"/>
        </w:rPr>
        <w:t xml:space="preserve"> </w:t>
      </w:r>
      <w:r w:rsidRPr="00B24CA3">
        <w:t>ve</w:t>
      </w:r>
      <w:r w:rsidRPr="00B24CA3">
        <w:rPr>
          <w:spacing w:val="-9"/>
        </w:rPr>
        <w:t xml:space="preserve"> </w:t>
      </w:r>
      <w:r w:rsidRPr="00B24CA3">
        <w:t>farklı</w:t>
      </w:r>
      <w:r w:rsidRPr="00B24CA3">
        <w:rPr>
          <w:spacing w:val="-4"/>
        </w:rPr>
        <w:t xml:space="preserve"> </w:t>
      </w:r>
      <w:r w:rsidRPr="00B24CA3">
        <w:t>gönüllü</w:t>
      </w:r>
      <w:r w:rsidRPr="00B24CA3">
        <w:rPr>
          <w:spacing w:val="-8"/>
        </w:rPr>
        <w:t xml:space="preserve"> </w:t>
      </w:r>
      <w:r w:rsidRPr="00B24CA3">
        <w:t>vakıf</w:t>
      </w:r>
      <w:r w:rsidRPr="00B24CA3">
        <w:rPr>
          <w:spacing w:val="-8"/>
        </w:rPr>
        <w:t xml:space="preserve"> </w:t>
      </w:r>
      <w:r w:rsidRPr="00B24CA3">
        <w:t>ve</w:t>
      </w:r>
      <w:r w:rsidRPr="00B24CA3">
        <w:rPr>
          <w:spacing w:val="-9"/>
        </w:rPr>
        <w:t xml:space="preserve"> </w:t>
      </w:r>
      <w:r w:rsidRPr="00B24CA3">
        <w:t>dernekler,</w:t>
      </w:r>
      <w:r w:rsidRPr="00B24CA3">
        <w:rPr>
          <w:spacing w:val="-3"/>
        </w:rPr>
        <w:t xml:space="preserve"> </w:t>
      </w:r>
      <w:r w:rsidRPr="00B24CA3">
        <w:t>göçmenlerin</w:t>
      </w:r>
      <w:r w:rsidRPr="00B24CA3">
        <w:rPr>
          <w:spacing w:val="-8"/>
        </w:rPr>
        <w:t xml:space="preserve"> </w:t>
      </w:r>
      <w:r w:rsidRPr="00B24CA3">
        <w:t>uyum sağlamsında</w:t>
      </w:r>
      <w:r w:rsidRPr="00B24CA3">
        <w:rPr>
          <w:spacing w:val="-15"/>
        </w:rPr>
        <w:t xml:space="preserve"> </w:t>
      </w:r>
      <w:r w:rsidRPr="00B24CA3">
        <w:t>önemli</w:t>
      </w:r>
      <w:r w:rsidRPr="00B24CA3">
        <w:rPr>
          <w:spacing w:val="-15"/>
        </w:rPr>
        <w:t xml:space="preserve"> </w:t>
      </w:r>
      <w:r w:rsidRPr="00B24CA3">
        <w:t>role</w:t>
      </w:r>
      <w:r w:rsidRPr="00B24CA3">
        <w:rPr>
          <w:spacing w:val="-15"/>
        </w:rPr>
        <w:t xml:space="preserve"> </w:t>
      </w:r>
      <w:r w:rsidRPr="00B24CA3">
        <w:t>sahiptir.</w:t>
      </w:r>
      <w:r w:rsidRPr="00B24CA3">
        <w:rPr>
          <w:spacing w:val="-13"/>
        </w:rPr>
        <w:t xml:space="preserve"> </w:t>
      </w:r>
      <w:r w:rsidRPr="00B24CA3">
        <w:t>Yabancı</w:t>
      </w:r>
      <w:r w:rsidRPr="00B24CA3">
        <w:rPr>
          <w:spacing w:val="-15"/>
        </w:rPr>
        <w:t xml:space="preserve"> </w:t>
      </w:r>
      <w:r w:rsidRPr="00B24CA3">
        <w:t>öğrencilere</w:t>
      </w:r>
      <w:r w:rsidRPr="00B24CA3">
        <w:rPr>
          <w:spacing w:val="-15"/>
        </w:rPr>
        <w:t xml:space="preserve"> </w:t>
      </w:r>
      <w:r w:rsidRPr="00B24CA3">
        <w:t>yönelik</w:t>
      </w:r>
      <w:r w:rsidRPr="00B24CA3">
        <w:rPr>
          <w:spacing w:val="-9"/>
        </w:rPr>
        <w:t xml:space="preserve"> </w:t>
      </w:r>
      <w:r w:rsidRPr="00B24CA3">
        <w:t>farkındalık</w:t>
      </w:r>
      <w:r w:rsidRPr="00B24CA3">
        <w:rPr>
          <w:spacing w:val="-9"/>
        </w:rPr>
        <w:t xml:space="preserve"> </w:t>
      </w:r>
      <w:r w:rsidRPr="00B24CA3">
        <w:t>eğitimleri,</w:t>
      </w:r>
      <w:r w:rsidRPr="00B24CA3">
        <w:rPr>
          <w:spacing w:val="-14"/>
        </w:rPr>
        <w:t xml:space="preserve"> </w:t>
      </w:r>
      <w:r w:rsidRPr="00B24CA3">
        <w:t>dil</w:t>
      </w:r>
      <w:r w:rsidRPr="00B24CA3">
        <w:rPr>
          <w:spacing w:val="-15"/>
        </w:rPr>
        <w:t xml:space="preserve"> </w:t>
      </w:r>
      <w:r w:rsidRPr="00B24CA3">
        <w:t>destek programları</w:t>
      </w:r>
      <w:r w:rsidRPr="00B24CA3">
        <w:rPr>
          <w:spacing w:val="-11"/>
        </w:rPr>
        <w:t xml:space="preserve"> </w:t>
      </w:r>
      <w:r w:rsidRPr="00B24CA3">
        <w:t>ve</w:t>
      </w:r>
      <w:r w:rsidRPr="00B24CA3">
        <w:rPr>
          <w:spacing w:val="-11"/>
        </w:rPr>
        <w:t xml:space="preserve"> </w:t>
      </w:r>
      <w:r w:rsidRPr="00B24CA3">
        <w:t>yerel</w:t>
      </w:r>
      <w:r w:rsidRPr="00B24CA3">
        <w:rPr>
          <w:spacing w:val="-11"/>
        </w:rPr>
        <w:t xml:space="preserve"> </w:t>
      </w:r>
      <w:r w:rsidRPr="00B24CA3">
        <w:t>halkla</w:t>
      </w:r>
      <w:r w:rsidRPr="00B24CA3">
        <w:rPr>
          <w:spacing w:val="-11"/>
        </w:rPr>
        <w:t xml:space="preserve"> </w:t>
      </w:r>
      <w:r w:rsidRPr="00B24CA3">
        <w:t>tanıştıracak</w:t>
      </w:r>
      <w:r w:rsidRPr="00B24CA3">
        <w:rPr>
          <w:spacing w:val="-10"/>
        </w:rPr>
        <w:t xml:space="preserve"> </w:t>
      </w:r>
      <w:r w:rsidRPr="00B24CA3">
        <w:t>etkinlikler</w:t>
      </w:r>
      <w:r w:rsidRPr="00B24CA3">
        <w:rPr>
          <w:spacing w:val="-10"/>
        </w:rPr>
        <w:t xml:space="preserve"> </w:t>
      </w:r>
      <w:r w:rsidRPr="00B24CA3">
        <w:t>düzenleyerek</w:t>
      </w:r>
      <w:r w:rsidRPr="00B24CA3">
        <w:rPr>
          <w:spacing w:val="-10"/>
        </w:rPr>
        <w:t xml:space="preserve"> </w:t>
      </w:r>
      <w:r w:rsidRPr="00B24CA3">
        <w:t>yabancıların</w:t>
      </w:r>
      <w:r w:rsidRPr="00B24CA3">
        <w:rPr>
          <w:spacing w:val="-10"/>
        </w:rPr>
        <w:t xml:space="preserve"> </w:t>
      </w:r>
      <w:r w:rsidRPr="00B24CA3">
        <w:t>uyum</w:t>
      </w:r>
      <w:r w:rsidRPr="00B24CA3">
        <w:rPr>
          <w:spacing w:val="-11"/>
        </w:rPr>
        <w:t xml:space="preserve"> </w:t>
      </w:r>
      <w:r w:rsidRPr="00B24CA3">
        <w:t>süreçlerini kolaylaştırmada rol oynamalıdır. Bu tür programlar, yabancı öğrencilerin entegrasyonu kolaylaştırarak, hem kendi kültürünü tanıtma fırsatı bulmalarını hem de yerel toplumla daha iyi kaynaşmalarını sağlayacaktır.-Uluslararası öğlenciler, özellikle Kocaali'de okuyanlar, uluslararası öğrenci derneği ve genç mekân</w:t>
      </w:r>
      <w:r w:rsidRPr="004C7694">
        <w:rPr>
          <w:spacing w:val="54"/>
        </w:rPr>
        <w:t xml:space="preserve"> </w:t>
      </w:r>
      <w:r w:rsidRPr="00B24CA3">
        <w:t>gibi</w:t>
      </w:r>
      <w:r w:rsidRPr="004C7694">
        <w:rPr>
          <w:spacing w:val="55"/>
        </w:rPr>
        <w:t xml:space="preserve"> </w:t>
      </w:r>
      <w:r w:rsidRPr="00B24CA3">
        <w:t>kuruluşlarda</w:t>
      </w:r>
      <w:r w:rsidRPr="004C7694">
        <w:rPr>
          <w:spacing w:val="56"/>
        </w:rPr>
        <w:t xml:space="preserve"> </w:t>
      </w:r>
      <w:r w:rsidRPr="00B24CA3">
        <w:t>verilen</w:t>
      </w:r>
      <w:r w:rsidRPr="004C7694">
        <w:rPr>
          <w:spacing w:val="56"/>
        </w:rPr>
        <w:t xml:space="preserve"> </w:t>
      </w:r>
      <w:r w:rsidRPr="00B24CA3">
        <w:t>farklı</w:t>
      </w:r>
      <w:r w:rsidRPr="004C7694">
        <w:rPr>
          <w:spacing w:val="55"/>
        </w:rPr>
        <w:t xml:space="preserve"> </w:t>
      </w:r>
      <w:r w:rsidRPr="00B24CA3">
        <w:t>seminerleri</w:t>
      </w:r>
      <w:r w:rsidRPr="004C7694">
        <w:rPr>
          <w:spacing w:val="59"/>
        </w:rPr>
        <w:t xml:space="preserve"> </w:t>
      </w:r>
      <w:r w:rsidRPr="00B24CA3">
        <w:t>ve</w:t>
      </w:r>
      <w:r w:rsidRPr="004C7694">
        <w:rPr>
          <w:spacing w:val="56"/>
        </w:rPr>
        <w:t xml:space="preserve"> </w:t>
      </w:r>
      <w:r w:rsidRPr="00B24CA3">
        <w:t>aktiviteler,</w:t>
      </w:r>
      <w:r w:rsidRPr="004C7694">
        <w:rPr>
          <w:spacing w:val="56"/>
        </w:rPr>
        <w:t xml:space="preserve"> </w:t>
      </w:r>
      <w:r w:rsidRPr="00B24CA3">
        <w:t>sayesinde</w:t>
      </w:r>
      <w:r w:rsidRPr="004C7694">
        <w:rPr>
          <w:spacing w:val="60"/>
        </w:rPr>
        <w:t xml:space="preserve"> </w:t>
      </w:r>
      <w:r w:rsidRPr="00B24CA3">
        <w:t>Türk</w:t>
      </w:r>
      <w:r w:rsidRPr="004C7694">
        <w:rPr>
          <w:spacing w:val="66"/>
        </w:rPr>
        <w:t xml:space="preserve"> </w:t>
      </w:r>
      <w:r w:rsidRPr="004C7694">
        <w:rPr>
          <w:spacing w:val="-2"/>
        </w:rPr>
        <w:t>kültürü</w:t>
      </w:r>
    </w:p>
    <w:p w14:paraId="7406064C"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262C7890" w14:textId="77777777" w:rsidR="00FF4BC0" w:rsidRPr="00B24CA3" w:rsidRDefault="00FF4BC0" w:rsidP="00BA67A6">
      <w:pPr>
        <w:pStyle w:val="GvdeMetni"/>
        <w:ind w:right="165"/>
        <w:jc w:val="both"/>
      </w:pPr>
      <w:proofErr w:type="gramStart"/>
      <w:r w:rsidRPr="00B24CA3">
        <w:t>tanışma</w:t>
      </w:r>
      <w:proofErr w:type="gramEnd"/>
      <w:r w:rsidRPr="00B24CA3">
        <w:t xml:space="preserve"> fırsatı bulmakla, ayrıca akademik alanda bilgi birikimi sağlayarak öğrencilerin uyum sürecinde</w:t>
      </w:r>
      <w:r w:rsidRPr="00B24CA3">
        <w:rPr>
          <w:spacing w:val="-16"/>
        </w:rPr>
        <w:t xml:space="preserve"> </w:t>
      </w:r>
      <w:r w:rsidRPr="00B24CA3">
        <w:t>önemli</w:t>
      </w:r>
      <w:r w:rsidRPr="00B24CA3">
        <w:rPr>
          <w:spacing w:val="-13"/>
        </w:rPr>
        <w:t xml:space="preserve"> </w:t>
      </w:r>
      <w:r w:rsidRPr="00B24CA3">
        <w:t>rol</w:t>
      </w:r>
      <w:r w:rsidRPr="00B24CA3">
        <w:rPr>
          <w:spacing w:val="-8"/>
        </w:rPr>
        <w:t xml:space="preserve"> </w:t>
      </w:r>
      <w:r w:rsidRPr="00B24CA3">
        <w:t>oynamaktadır.</w:t>
      </w:r>
      <w:r w:rsidRPr="00B24CA3">
        <w:rPr>
          <w:spacing w:val="-11"/>
        </w:rPr>
        <w:t xml:space="preserve"> </w:t>
      </w:r>
      <w:r w:rsidRPr="00B24CA3">
        <w:t>Bu</w:t>
      </w:r>
      <w:r w:rsidRPr="00B24CA3">
        <w:rPr>
          <w:spacing w:val="-7"/>
        </w:rPr>
        <w:t xml:space="preserve"> </w:t>
      </w:r>
      <w:r w:rsidRPr="00B24CA3">
        <w:t>nedenle</w:t>
      </w:r>
      <w:r w:rsidRPr="00B24CA3">
        <w:rPr>
          <w:spacing w:val="-9"/>
        </w:rPr>
        <w:t xml:space="preserve"> </w:t>
      </w:r>
      <w:r w:rsidRPr="00B24CA3">
        <w:t>bu</w:t>
      </w:r>
      <w:r w:rsidRPr="00B24CA3">
        <w:rPr>
          <w:spacing w:val="-12"/>
        </w:rPr>
        <w:t xml:space="preserve"> </w:t>
      </w:r>
      <w:r w:rsidRPr="00B24CA3">
        <w:t>tür</w:t>
      </w:r>
      <w:r w:rsidRPr="00B24CA3">
        <w:rPr>
          <w:spacing w:val="-11"/>
        </w:rPr>
        <w:t xml:space="preserve"> </w:t>
      </w:r>
      <w:r w:rsidRPr="00B24CA3">
        <w:t>kuruluşlarda</w:t>
      </w:r>
      <w:r w:rsidRPr="00B24CA3">
        <w:rPr>
          <w:spacing w:val="-8"/>
        </w:rPr>
        <w:t xml:space="preserve"> </w:t>
      </w:r>
      <w:r w:rsidRPr="00B24CA3">
        <w:t>aktif</w:t>
      </w:r>
      <w:r w:rsidRPr="00B24CA3">
        <w:rPr>
          <w:spacing w:val="-11"/>
        </w:rPr>
        <w:t xml:space="preserve"> </w:t>
      </w:r>
      <w:r w:rsidRPr="00B24CA3">
        <w:t>katılım</w:t>
      </w:r>
      <w:r w:rsidRPr="00B24CA3">
        <w:rPr>
          <w:spacing w:val="-8"/>
        </w:rPr>
        <w:t xml:space="preserve"> </w:t>
      </w:r>
      <w:r w:rsidRPr="00B24CA3">
        <w:rPr>
          <w:spacing w:val="-2"/>
        </w:rPr>
        <w:t>sağlanmalıdır.</w:t>
      </w:r>
    </w:p>
    <w:p w14:paraId="7DF10054" w14:textId="77777777" w:rsidR="00FF4BC0" w:rsidRPr="00B24CA3" w:rsidRDefault="00FF4BC0" w:rsidP="00BA67A6">
      <w:pPr>
        <w:pStyle w:val="GvdeMetni"/>
      </w:pPr>
    </w:p>
    <w:p w14:paraId="5A1F765E" w14:textId="195083CB" w:rsidR="00FF4BC0" w:rsidRPr="004C7694" w:rsidRDefault="00FF4BC0" w:rsidP="004C7694">
      <w:pPr>
        <w:rPr>
          <w:b/>
          <w:bCs/>
        </w:rPr>
      </w:pPr>
      <w:r w:rsidRPr="00800DA9">
        <w:rPr>
          <w:b/>
          <w:bCs/>
        </w:rPr>
        <w:t>KAYNAKÇA</w:t>
      </w:r>
    </w:p>
    <w:p w14:paraId="040CDB07" w14:textId="77777777" w:rsidR="00FF4BC0" w:rsidRPr="00B24CA3" w:rsidRDefault="00FF4BC0">
      <w:pPr>
        <w:pStyle w:val="GvdeMetni"/>
        <w:numPr>
          <w:ilvl w:val="0"/>
          <w:numId w:val="57"/>
        </w:numPr>
        <w:ind w:right="171"/>
        <w:jc w:val="both"/>
      </w:pPr>
      <w:proofErr w:type="spellStart"/>
      <w:r w:rsidRPr="00B24CA3">
        <w:t>Abaslı</w:t>
      </w:r>
      <w:proofErr w:type="spellEnd"/>
      <w:r w:rsidRPr="00B24CA3">
        <w:t xml:space="preserve">, K. (2018). Kültürlerarası duyarlılık ve empati arasındaki ilişkilerin Türk ve uluslararası öğrenci görüşlerine göre incelenmesi. </w:t>
      </w:r>
      <w:r w:rsidRPr="00B24CA3">
        <w:rPr>
          <w:i/>
        </w:rPr>
        <w:t>TÜBAV Bilim Dergisi</w:t>
      </w:r>
      <w:r w:rsidRPr="00B24CA3">
        <w:t>, 11(2), 20-23.</w:t>
      </w:r>
    </w:p>
    <w:p w14:paraId="7C3B5E13" w14:textId="77777777" w:rsidR="00FF4BC0" w:rsidRPr="00B24CA3" w:rsidRDefault="00FF4BC0">
      <w:pPr>
        <w:pStyle w:val="ListeParagraf"/>
        <w:numPr>
          <w:ilvl w:val="0"/>
          <w:numId w:val="57"/>
        </w:numPr>
        <w:ind w:right="163"/>
        <w:jc w:val="both"/>
      </w:pPr>
      <w:r w:rsidRPr="00B24CA3">
        <w:t>Al-</w:t>
      </w:r>
      <w:proofErr w:type="spellStart"/>
      <w:r w:rsidRPr="00B24CA3">
        <w:t>Hattami</w:t>
      </w:r>
      <w:proofErr w:type="spellEnd"/>
      <w:r w:rsidRPr="00B24CA3">
        <w:t>, A. A., &amp; Al-</w:t>
      </w:r>
      <w:proofErr w:type="spellStart"/>
      <w:r w:rsidRPr="00B24CA3">
        <w:t>Ahdal</w:t>
      </w:r>
      <w:proofErr w:type="spellEnd"/>
      <w:r w:rsidRPr="00B24CA3">
        <w:t xml:space="preserve">, A. A. M. H. (2014). </w:t>
      </w:r>
      <w:proofErr w:type="spellStart"/>
      <w:r w:rsidRPr="00B24CA3">
        <w:t>Academic</w:t>
      </w:r>
      <w:proofErr w:type="spellEnd"/>
      <w:r w:rsidRPr="00B24CA3">
        <w:t xml:space="preserve"> </w:t>
      </w:r>
      <w:proofErr w:type="spellStart"/>
      <w:r w:rsidRPr="00B24CA3">
        <w:t>and</w:t>
      </w:r>
      <w:proofErr w:type="spellEnd"/>
      <w:r w:rsidRPr="00B24CA3">
        <w:t xml:space="preserve"> </w:t>
      </w:r>
      <w:proofErr w:type="spellStart"/>
      <w:r w:rsidRPr="00B24CA3">
        <w:t>social</w:t>
      </w:r>
      <w:proofErr w:type="spellEnd"/>
      <w:r w:rsidRPr="00B24CA3">
        <w:t xml:space="preserve"> </w:t>
      </w:r>
      <w:proofErr w:type="spellStart"/>
      <w:r w:rsidRPr="00B24CA3">
        <w:t>adjustments</w:t>
      </w:r>
      <w:proofErr w:type="spellEnd"/>
      <w:r w:rsidRPr="00B24CA3">
        <w:t xml:space="preserve"> of </w:t>
      </w:r>
      <w:proofErr w:type="spellStart"/>
      <w:r w:rsidRPr="00B24CA3">
        <w:t>Arab</w:t>
      </w:r>
      <w:proofErr w:type="spellEnd"/>
      <w:r w:rsidRPr="00B24CA3">
        <w:t xml:space="preserve"> </w:t>
      </w:r>
      <w:proofErr w:type="spellStart"/>
      <w:r w:rsidRPr="00B24CA3">
        <w:t>Fulbright</w:t>
      </w:r>
      <w:proofErr w:type="spellEnd"/>
      <w:r w:rsidRPr="00D13217">
        <w:rPr>
          <w:spacing w:val="-14"/>
        </w:rPr>
        <w:t xml:space="preserve"> </w:t>
      </w:r>
      <w:proofErr w:type="spellStart"/>
      <w:r w:rsidRPr="00B24CA3">
        <w:t>students</w:t>
      </w:r>
      <w:proofErr w:type="spellEnd"/>
      <w:r w:rsidRPr="00D13217">
        <w:rPr>
          <w:spacing w:val="-12"/>
        </w:rPr>
        <w:t xml:space="preserve"> </w:t>
      </w:r>
      <w:r w:rsidRPr="00B24CA3">
        <w:t>in</w:t>
      </w:r>
      <w:r w:rsidRPr="00D13217">
        <w:rPr>
          <w:spacing w:val="-13"/>
        </w:rPr>
        <w:t xml:space="preserve"> </w:t>
      </w:r>
      <w:proofErr w:type="spellStart"/>
      <w:r w:rsidRPr="00B24CA3">
        <w:t>American</w:t>
      </w:r>
      <w:proofErr w:type="spellEnd"/>
      <w:r w:rsidRPr="00D13217">
        <w:rPr>
          <w:spacing w:val="-13"/>
        </w:rPr>
        <w:t xml:space="preserve"> </w:t>
      </w:r>
      <w:proofErr w:type="spellStart"/>
      <w:r w:rsidRPr="00B24CA3">
        <w:t>universities</w:t>
      </w:r>
      <w:proofErr w:type="spellEnd"/>
      <w:r w:rsidRPr="00B24CA3">
        <w:t>:</w:t>
      </w:r>
      <w:r w:rsidRPr="00D13217">
        <w:rPr>
          <w:spacing w:val="-14"/>
        </w:rPr>
        <w:t xml:space="preserve"> </w:t>
      </w:r>
      <w:r w:rsidRPr="00B24CA3">
        <w:t>A</w:t>
      </w:r>
      <w:r w:rsidRPr="00D13217">
        <w:rPr>
          <w:spacing w:val="-12"/>
        </w:rPr>
        <w:t xml:space="preserve"> </w:t>
      </w:r>
      <w:proofErr w:type="spellStart"/>
      <w:r w:rsidRPr="00B24CA3">
        <w:t>case</w:t>
      </w:r>
      <w:proofErr w:type="spellEnd"/>
      <w:r w:rsidRPr="00D13217">
        <w:rPr>
          <w:spacing w:val="-10"/>
        </w:rPr>
        <w:t xml:space="preserve"> </w:t>
      </w:r>
      <w:proofErr w:type="spellStart"/>
      <w:r w:rsidRPr="00B24CA3">
        <w:t>study</w:t>
      </w:r>
      <w:proofErr w:type="spellEnd"/>
      <w:r w:rsidRPr="00B24CA3">
        <w:t>.</w:t>
      </w:r>
      <w:r w:rsidRPr="00D13217">
        <w:rPr>
          <w:spacing w:val="-6"/>
        </w:rPr>
        <w:t xml:space="preserve"> </w:t>
      </w:r>
      <w:r w:rsidRPr="00D13217">
        <w:rPr>
          <w:i/>
        </w:rPr>
        <w:t>International</w:t>
      </w:r>
      <w:r w:rsidRPr="00D13217">
        <w:rPr>
          <w:i/>
          <w:spacing w:val="-14"/>
        </w:rPr>
        <w:t xml:space="preserve"> </w:t>
      </w:r>
      <w:proofErr w:type="spellStart"/>
      <w:r w:rsidRPr="00D13217">
        <w:rPr>
          <w:i/>
        </w:rPr>
        <w:t>Journal</w:t>
      </w:r>
      <w:proofErr w:type="spellEnd"/>
      <w:r w:rsidRPr="00D13217">
        <w:rPr>
          <w:i/>
          <w:spacing w:val="-10"/>
        </w:rPr>
        <w:t xml:space="preserve"> </w:t>
      </w:r>
      <w:r w:rsidRPr="00D13217">
        <w:rPr>
          <w:i/>
        </w:rPr>
        <w:t>of</w:t>
      </w:r>
      <w:r w:rsidRPr="00D13217">
        <w:rPr>
          <w:i/>
          <w:spacing w:val="-14"/>
        </w:rPr>
        <w:t xml:space="preserve"> </w:t>
      </w:r>
      <w:proofErr w:type="spellStart"/>
      <w:r w:rsidRPr="00D13217">
        <w:rPr>
          <w:i/>
        </w:rPr>
        <w:t>Humanities</w:t>
      </w:r>
      <w:proofErr w:type="spellEnd"/>
      <w:r w:rsidRPr="00D13217">
        <w:rPr>
          <w:i/>
        </w:rPr>
        <w:t xml:space="preserve"> </w:t>
      </w:r>
      <w:proofErr w:type="spellStart"/>
      <w:r w:rsidRPr="00D13217">
        <w:rPr>
          <w:i/>
        </w:rPr>
        <w:t>and</w:t>
      </w:r>
      <w:proofErr w:type="spellEnd"/>
      <w:r w:rsidRPr="00D13217">
        <w:rPr>
          <w:i/>
        </w:rPr>
        <w:t xml:space="preserve"> </w:t>
      </w:r>
      <w:proofErr w:type="spellStart"/>
      <w:r w:rsidRPr="00D13217">
        <w:rPr>
          <w:i/>
        </w:rPr>
        <w:t>Social</w:t>
      </w:r>
      <w:proofErr w:type="spellEnd"/>
      <w:r w:rsidRPr="00D13217">
        <w:rPr>
          <w:i/>
        </w:rPr>
        <w:t xml:space="preserve"> </w:t>
      </w:r>
      <w:proofErr w:type="spellStart"/>
      <w:r w:rsidRPr="00D13217">
        <w:rPr>
          <w:i/>
        </w:rPr>
        <w:t>Science</w:t>
      </w:r>
      <w:proofErr w:type="spellEnd"/>
      <w:r w:rsidRPr="00B24CA3">
        <w:t>, 4(5), 216-222.</w:t>
      </w:r>
    </w:p>
    <w:p w14:paraId="0C950A7F" w14:textId="77777777" w:rsidR="00FF4BC0" w:rsidRPr="00B24CA3" w:rsidRDefault="00FF4BC0">
      <w:pPr>
        <w:pStyle w:val="GvdeMetni"/>
        <w:numPr>
          <w:ilvl w:val="0"/>
          <w:numId w:val="57"/>
        </w:numPr>
        <w:jc w:val="both"/>
      </w:pPr>
      <w:proofErr w:type="spellStart"/>
      <w:r w:rsidRPr="00B24CA3">
        <w:t>Bazarbayeva</w:t>
      </w:r>
      <w:proofErr w:type="spellEnd"/>
      <w:r w:rsidRPr="00B24CA3">
        <w:t>,</w:t>
      </w:r>
      <w:r w:rsidRPr="00B24CA3">
        <w:rPr>
          <w:spacing w:val="-3"/>
        </w:rPr>
        <w:t xml:space="preserve"> </w:t>
      </w:r>
      <w:r w:rsidRPr="00B24CA3">
        <w:t>L.</w:t>
      </w:r>
      <w:r w:rsidRPr="00B24CA3">
        <w:rPr>
          <w:spacing w:val="-3"/>
        </w:rPr>
        <w:t xml:space="preserve"> </w:t>
      </w:r>
      <w:r w:rsidRPr="00B24CA3">
        <w:t>Türkiye’nin</w:t>
      </w:r>
      <w:r w:rsidRPr="00B24CA3">
        <w:rPr>
          <w:spacing w:val="-3"/>
        </w:rPr>
        <w:t xml:space="preserve"> </w:t>
      </w:r>
      <w:r w:rsidRPr="00B24CA3">
        <w:t>uluslararası</w:t>
      </w:r>
      <w:r w:rsidRPr="00B24CA3">
        <w:rPr>
          <w:spacing w:val="-5"/>
        </w:rPr>
        <w:t xml:space="preserve"> </w:t>
      </w:r>
      <w:r w:rsidRPr="00B24CA3">
        <w:t>öğrenci</w:t>
      </w:r>
      <w:r w:rsidRPr="00B24CA3">
        <w:rPr>
          <w:spacing w:val="-4"/>
        </w:rPr>
        <w:t xml:space="preserve"> </w:t>
      </w:r>
      <w:r w:rsidRPr="00B24CA3">
        <w:rPr>
          <w:spacing w:val="-2"/>
        </w:rPr>
        <w:t>politikası.</w:t>
      </w:r>
    </w:p>
    <w:p w14:paraId="4CC06CE6" w14:textId="77777777" w:rsidR="00FF4BC0" w:rsidRPr="00B24CA3" w:rsidRDefault="00FF4BC0">
      <w:pPr>
        <w:pStyle w:val="GvdeMetni"/>
        <w:numPr>
          <w:ilvl w:val="0"/>
          <w:numId w:val="57"/>
        </w:numPr>
        <w:ind w:right="163"/>
        <w:jc w:val="both"/>
      </w:pPr>
      <w:proofErr w:type="spellStart"/>
      <w:r w:rsidRPr="00B24CA3">
        <w:t>Begu</w:t>
      </w:r>
      <w:proofErr w:type="spellEnd"/>
      <w:r w:rsidRPr="00B24CA3">
        <w:t xml:space="preserve">, F. E. M., &amp; </w:t>
      </w:r>
      <w:proofErr w:type="spellStart"/>
      <w:r w:rsidRPr="00B24CA3">
        <w:t>Astuti</w:t>
      </w:r>
      <w:proofErr w:type="spellEnd"/>
      <w:r w:rsidRPr="00B24CA3">
        <w:t xml:space="preserve">, T. P. (2014). </w:t>
      </w:r>
      <w:proofErr w:type="spellStart"/>
      <w:r w:rsidRPr="00B24CA3">
        <w:t>Hubungan</w:t>
      </w:r>
      <w:proofErr w:type="spellEnd"/>
      <w:r w:rsidRPr="00B24CA3">
        <w:t xml:space="preserve"> </w:t>
      </w:r>
      <w:proofErr w:type="spellStart"/>
      <w:r w:rsidRPr="00B24CA3">
        <w:t>antara</w:t>
      </w:r>
      <w:proofErr w:type="spellEnd"/>
      <w:r w:rsidRPr="00B24CA3">
        <w:t xml:space="preserve"> pusat </w:t>
      </w:r>
      <w:proofErr w:type="spellStart"/>
      <w:r w:rsidRPr="00B24CA3">
        <w:t>kendali</w:t>
      </w:r>
      <w:proofErr w:type="spellEnd"/>
      <w:r w:rsidRPr="00B24CA3">
        <w:t xml:space="preserve"> </w:t>
      </w:r>
      <w:proofErr w:type="spellStart"/>
      <w:r w:rsidRPr="00B24CA3">
        <w:t>eksternal</w:t>
      </w:r>
      <w:proofErr w:type="spellEnd"/>
      <w:r w:rsidRPr="00B24CA3">
        <w:t xml:space="preserve"> </w:t>
      </w:r>
      <w:proofErr w:type="spellStart"/>
      <w:r w:rsidRPr="00B24CA3">
        <w:t>dengan</w:t>
      </w:r>
      <w:proofErr w:type="spellEnd"/>
      <w:r w:rsidRPr="00B24CA3">
        <w:t xml:space="preserve"> stres </w:t>
      </w:r>
      <w:proofErr w:type="spellStart"/>
      <w:r w:rsidRPr="00B24CA3">
        <w:t>akulturatif</w:t>
      </w:r>
      <w:proofErr w:type="spellEnd"/>
      <w:r w:rsidRPr="00B24CA3">
        <w:rPr>
          <w:spacing w:val="-13"/>
        </w:rPr>
        <w:t xml:space="preserve"> </w:t>
      </w:r>
      <w:proofErr w:type="spellStart"/>
      <w:r w:rsidRPr="00B24CA3">
        <w:t>pada</w:t>
      </w:r>
      <w:proofErr w:type="spellEnd"/>
      <w:r w:rsidRPr="00B24CA3">
        <w:rPr>
          <w:spacing w:val="-10"/>
        </w:rPr>
        <w:t xml:space="preserve"> </w:t>
      </w:r>
      <w:proofErr w:type="spellStart"/>
      <w:r w:rsidRPr="00B24CA3">
        <w:t>mahasiswa</w:t>
      </w:r>
      <w:proofErr w:type="spellEnd"/>
      <w:r w:rsidRPr="00B24CA3">
        <w:rPr>
          <w:spacing w:val="-10"/>
        </w:rPr>
        <w:t xml:space="preserve"> </w:t>
      </w:r>
      <w:r w:rsidRPr="00B24CA3">
        <w:t>asal</w:t>
      </w:r>
      <w:r w:rsidRPr="00B24CA3">
        <w:rPr>
          <w:spacing w:val="-15"/>
        </w:rPr>
        <w:t xml:space="preserve"> </w:t>
      </w:r>
      <w:proofErr w:type="spellStart"/>
      <w:r w:rsidRPr="00B24CA3">
        <w:t>Indonesia</w:t>
      </w:r>
      <w:proofErr w:type="spellEnd"/>
      <w:r w:rsidRPr="00B24CA3">
        <w:rPr>
          <w:spacing w:val="-10"/>
        </w:rPr>
        <w:t xml:space="preserve"> </w:t>
      </w:r>
      <w:r w:rsidRPr="00B24CA3">
        <w:t>Timur</w:t>
      </w:r>
      <w:r w:rsidRPr="00B24CA3">
        <w:rPr>
          <w:spacing w:val="-9"/>
        </w:rPr>
        <w:t xml:space="preserve"> </w:t>
      </w:r>
      <w:proofErr w:type="spellStart"/>
      <w:r w:rsidRPr="00B24CA3">
        <w:t>di</w:t>
      </w:r>
      <w:proofErr w:type="spellEnd"/>
      <w:r w:rsidRPr="00B24CA3">
        <w:rPr>
          <w:spacing w:val="-10"/>
        </w:rPr>
        <w:t xml:space="preserve"> </w:t>
      </w:r>
      <w:r w:rsidRPr="00B24CA3">
        <w:t>Kota</w:t>
      </w:r>
      <w:r w:rsidRPr="00B24CA3">
        <w:rPr>
          <w:spacing w:val="-15"/>
        </w:rPr>
        <w:t xml:space="preserve"> </w:t>
      </w:r>
      <w:proofErr w:type="spellStart"/>
      <w:r w:rsidRPr="00B24CA3">
        <w:t>Semarang</w:t>
      </w:r>
      <w:proofErr w:type="spellEnd"/>
      <w:r w:rsidRPr="00B24CA3">
        <w:t>.</w:t>
      </w:r>
      <w:r w:rsidRPr="00B24CA3">
        <w:rPr>
          <w:spacing w:val="-7"/>
        </w:rPr>
        <w:t xml:space="preserve"> </w:t>
      </w:r>
      <w:r w:rsidRPr="00B24CA3">
        <w:rPr>
          <w:i/>
        </w:rPr>
        <w:t>Jurnal</w:t>
      </w:r>
      <w:r w:rsidRPr="00B24CA3">
        <w:rPr>
          <w:i/>
          <w:spacing w:val="-10"/>
        </w:rPr>
        <w:t xml:space="preserve"> </w:t>
      </w:r>
      <w:r w:rsidRPr="00B24CA3">
        <w:rPr>
          <w:i/>
        </w:rPr>
        <w:t>EMPATI</w:t>
      </w:r>
      <w:r w:rsidRPr="00B24CA3">
        <w:t>,</w:t>
      </w:r>
      <w:r w:rsidRPr="00B24CA3">
        <w:rPr>
          <w:spacing w:val="-14"/>
        </w:rPr>
        <w:t xml:space="preserve"> </w:t>
      </w:r>
      <w:r w:rsidRPr="00B24CA3">
        <w:t>3(3),</w:t>
      </w:r>
      <w:r w:rsidRPr="00B24CA3">
        <w:rPr>
          <w:spacing w:val="-13"/>
        </w:rPr>
        <w:t xml:space="preserve"> </w:t>
      </w:r>
      <w:r w:rsidRPr="00B24CA3">
        <w:t xml:space="preserve">85- </w:t>
      </w:r>
      <w:r w:rsidRPr="00B24CA3">
        <w:rPr>
          <w:spacing w:val="-4"/>
        </w:rPr>
        <w:t>95.</w:t>
      </w:r>
    </w:p>
    <w:p w14:paraId="673A57D6" w14:textId="3C87A006" w:rsidR="00FF4BC0" w:rsidRPr="00B24CA3" w:rsidRDefault="00FF4BC0">
      <w:pPr>
        <w:pStyle w:val="GvdeMetni"/>
        <w:numPr>
          <w:ilvl w:val="0"/>
          <w:numId w:val="57"/>
        </w:numPr>
        <w:ind w:right="163"/>
        <w:jc w:val="both"/>
      </w:pPr>
      <w:proofErr w:type="spellStart"/>
      <w:r w:rsidRPr="00B24CA3">
        <w:t>Berry</w:t>
      </w:r>
      <w:proofErr w:type="spellEnd"/>
      <w:r w:rsidRPr="00B24CA3">
        <w:t>,</w:t>
      </w:r>
      <w:r w:rsidRPr="00B24CA3">
        <w:rPr>
          <w:spacing w:val="-9"/>
        </w:rPr>
        <w:t xml:space="preserve"> </w:t>
      </w:r>
      <w:r w:rsidRPr="00B24CA3">
        <w:t>J.</w:t>
      </w:r>
      <w:r w:rsidRPr="00B24CA3">
        <w:rPr>
          <w:spacing w:val="-10"/>
        </w:rPr>
        <w:t xml:space="preserve"> </w:t>
      </w:r>
      <w:r w:rsidRPr="00B24CA3">
        <w:t>W.</w:t>
      </w:r>
      <w:r w:rsidRPr="00B24CA3">
        <w:rPr>
          <w:spacing w:val="-10"/>
        </w:rPr>
        <w:t xml:space="preserve"> </w:t>
      </w:r>
      <w:r w:rsidRPr="00B24CA3">
        <w:t>(1997).</w:t>
      </w:r>
      <w:r w:rsidRPr="00B24CA3">
        <w:rPr>
          <w:spacing w:val="-9"/>
        </w:rPr>
        <w:t xml:space="preserve"> </w:t>
      </w:r>
      <w:proofErr w:type="spellStart"/>
      <w:r w:rsidRPr="00B24CA3">
        <w:t>Immigration</w:t>
      </w:r>
      <w:proofErr w:type="spellEnd"/>
      <w:r w:rsidRPr="00B24CA3">
        <w:t>,</w:t>
      </w:r>
      <w:r w:rsidRPr="00B24CA3">
        <w:rPr>
          <w:spacing w:val="-10"/>
        </w:rPr>
        <w:t xml:space="preserve"> </w:t>
      </w:r>
      <w:proofErr w:type="spellStart"/>
      <w:r w:rsidRPr="00B24CA3">
        <w:t>acculturation</w:t>
      </w:r>
      <w:proofErr w:type="spellEnd"/>
      <w:r w:rsidRPr="00B24CA3">
        <w:t>,</w:t>
      </w:r>
      <w:r w:rsidRPr="00B24CA3">
        <w:rPr>
          <w:spacing w:val="-10"/>
        </w:rPr>
        <w:t xml:space="preserve"> </w:t>
      </w:r>
      <w:proofErr w:type="spellStart"/>
      <w:r w:rsidRPr="00B24CA3">
        <w:t>and</w:t>
      </w:r>
      <w:proofErr w:type="spellEnd"/>
      <w:r w:rsidRPr="00B24CA3">
        <w:rPr>
          <w:spacing w:val="-10"/>
        </w:rPr>
        <w:t xml:space="preserve"> </w:t>
      </w:r>
      <w:proofErr w:type="spellStart"/>
      <w:r w:rsidRPr="00B24CA3">
        <w:t>adaptation</w:t>
      </w:r>
      <w:proofErr w:type="spellEnd"/>
      <w:r w:rsidRPr="00B24CA3">
        <w:t>.</w:t>
      </w:r>
      <w:r w:rsidRPr="00B24CA3">
        <w:rPr>
          <w:spacing w:val="-6"/>
        </w:rPr>
        <w:t xml:space="preserve"> </w:t>
      </w:r>
      <w:proofErr w:type="spellStart"/>
      <w:r w:rsidRPr="00B24CA3">
        <w:rPr>
          <w:i/>
        </w:rPr>
        <w:t>Applied</w:t>
      </w:r>
      <w:proofErr w:type="spellEnd"/>
      <w:r w:rsidRPr="00B24CA3">
        <w:rPr>
          <w:i/>
          <w:spacing w:val="-10"/>
        </w:rPr>
        <w:t xml:space="preserve"> </w:t>
      </w:r>
      <w:proofErr w:type="spellStart"/>
      <w:r w:rsidRPr="00B24CA3">
        <w:rPr>
          <w:i/>
        </w:rPr>
        <w:t>Psychology</w:t>
      </w:r>
      <w:proofErr w:type="spellEnd"/>
      <w:r w:rsidRPr="00B24CA3">
        <w:t>,</w:t>
      </w:r>
      <w:r w:rsidRPr="00B24CA3">
        <w:rPr>
          <w:spacing w:val="-10"/>
        </w:rPr>
        <w:t xml:space="preserve"> </w:t>
      </w:r>
      <w:r w:rsidRPr="00B24CA3">
        <w:t>46(1),</w:t>
      </w:r>
      <w:r w:rsidRPr="00B24CA3">
        <w:rPr>
          <w:spacing w:val="-9"/>
        </w:rPr>
        <w:t xml:space="preserve"> </w:t>
      </w:r>
      <w:r w:rsidRPr="00B24CA3">
        <w:t>5-34. Bulut,</w:t>
      </w:r>
      <w:r w:rsidRPr="00B24CA3">
        <w:rPr>
          <w:spacing w:val="-16"/>
        </w:rPr>
        <w:t xml:space="preserve"> </w:t>
      </w:r>
      <w:r w:rsidRPr="00B24CA3">
        <w:t>E.,</w:t>
      </w:r>
      <w:r w:rsidRPr="00B24CA3">
        <w:rPr>
          <w:spacing w:val="-16"/>
        </w:rPr>
        <w:t xml:space="preserve"> </w:t>
      </w:r>
      <w:r w:rsidRPr="00B24CA3">
        <w:t>Yücetürk,</w:t>
      </w:r>
      <w:r w:rsidRPr="00B24CA3">
        <w:rPr>
          <w:spacing w:val="-15"/>
        </w:rPr>
        <w:t xml:space="preserve"> </w:t>
      </w:r>
      <w:r w:rsidRPr="00B24CA3">
        <w:t>H.,</w:t>
      </w:r>
      <w:r w:rsidRPr="00B24CA3">
        <w:rPr>
          <w:spacing w:val="-16"/>
        </w:rPr>
        <w:t xml:space="preserve"> </w:t>
      </w:r>
      <w:r w:rsidRPr="00B24CA3">
        <w:t>Yılmaz,</w:t>
      </w:r>
      <w:r w:rsidRPr="00B24CA3">
        <w:rPr>
          <w:spacing w:val="-16"/>
        </w:rPr>
        <w:t xml:space="preserve"> </w:t>
      </w:r>
      <w:r w:rsidRPr="00B24CA3">
        <w:t>G.,</w:t>
      </w:r>
      <w:r w:rsidRPr="00B24CA3">
        <w:rPr>
          <w:spacing w:val="-15"/>
        </w:rPr>
        <w:t xml:space="preserve"> </w:t>
      </w:r>
      <w:r w:rsidRPr="00B24CA3">
        <w:t>Gündoğdu,</w:t>
      </w:r>
      <w:r w:rsidRPr="00B24CA3">
        <w:rPr>
          <w:spacing w:val="-16"/>
        </w:rPr>
        <w:t xml:space="preserve"> </w:t>
      </w:r>
      <w:r w:rsidRPr="00B24CA3">
        <w:t>İ.,</w:t>
      </w:r>
      <w:r w:rsidRPr="00B24CA3">
        <w:rPr>
          <w:spacing w:val="-15"/>
        </w:rPr>
        <w:t xml:space="preserve"> </w:t>
      </w:r>
      <w:r w:rsidRPr="00B24CA3">
        <w:t>Koç,</w:t>
      </w:r>
      <w:r w:rsidRPr="00B24CA3">
        <w:rPr>
          <w:spacing w:val="-16"/>
        </w:rPr>
        <w:t xml:space="preserve"> </w:t>
      </w:r>
      <w:r w:rsidRPr="00B24CA3">
        <w:t>N.,</w:t>
      </w:r>
      <w:r w:rsidRPr="00B24CA3">
        <w:rPr>
          <w:spacing w:val="-16"/>
        </w:rPr>
        <w:t xml:space="preserve"> </w:t>
      </w:r>
      <w:r w:rsidRPr="00B24CA3">
        <w:t>&amp;</w:t>
      </w:r>
      <w:r w:rsidRPr="00B24CA3">
        <w:rPr>
          <w:spacing w:val="-17"/>
        </w:rPr>
        <w:t xml:space="preserve"> </w:t>
      </w:r>
      <w:proofErr w:type="spellStart"/>
      <w:r w:rsidRPr="00B24CA3">
        <w:t>Demiryürek</w:t>
      </w:r>
      <w:proofErr w:type="spellEnd"/>
      <w:r w:rsidRPr="00B24CA3">
        <w:t>,</w:t>
      </w:r>
      <w:r w:rsidRPr="00B24CA3">
        <w:rPr>
          <w:spacing w:val="-16"/>
        </w:rPr>
        <w:t xml:space="preserve"> </w:t>
      </w:r>
      <w:r w:rsidRPr="00B24CA3">
        <w:t>B.</w:t>
      </w:r>
      <w:r w:rsidRPr="00B24CA3">
        <w:rPr>
          <w:spacing w:val="-16"/>
        </w:rPr>
        <w:t xml:space="preserve"> </w:t>
      </w:r>
      <w:r w:rsidRPr="00B24CA3">
        <w:t>(2020).</w:t>
      </w:r>
      <w:r w:rsidRPr="00B24CA3">
        <w:rPr>
          <w:spacing w:val="-15"/>
        </w:rPr>
        <w:t xml:space="preserve"> </w:t>
      </w:r>
      <w:r w:rsidRPr="00B24CA3">
        <w:t xml:space="preserve">Uluslararası öğrencilerin psikososyal sorun ve </w:t>
      </w:r>
      <w:proofErr w:type="spellStart"/>
      <w:proofErr w:type="gramStart"/>
      <w:r w:rsidRPr="00B24CA3">
        <w:t>ihtiyaçları:Nitel</w:t>
      </w:r>
      <w:proofErr w:type="spellEnd"/>
      <w:proofErr w:type="gramEnd"/>
      <w:r w:rsidRPr="00B24CA3">
        <w:t xml:space="preserve"> bir çalışma. </w:t>
      </w:r>
      <w:r w:rsidRPr="00B24CA3">
        <w:rPr>
          <w:i/>
        </w:rPr>
        <w:t>Nitel Sosyal Bilimler</w:t>
      </w:r>
      <w:r w:rsidRPr="00B24CA3">
        <w:t>, 2(1), 60-</w:t>
      </w:r>
      <w:r w:rsidRPr="00A4535A">
        <w:rPr>
          <w:spacing w:val="-5"/>
        </w:rPr>
        <w:t>73.</w:t>
      </w:r>
    </w:p>
    <w:p w14:paraId="4448A108" w14:textId="77777777" w:rsidR="00FF4BC0" w:rsidRPr="00B24CA3" w:rsidRDefault="00FF4BC0">
      <w:pPr>
        <w:pStyle w:val="GvdeMetni"/>
        <w:numPr>
          <w:ilvl w:val="0"/>
          <w:numId w:val="57"/>
        </w:numPr>
        <w:ind w:right="170"/>
        <w:jc w:val="both"/>
      </w:pPr>
      <w:r w:rsidRPr="00B24CA3">
        <w:t xml:space="preserve">Çubukçu, Z., &amp; Gültekin, M. (2006). İlköğretimde öğrencilere kazandırılması gereken sosyal beceriler. </w:t>
      </w:r>
      <w:r w:rsidRPr="00B24CA3">
        <w:rPr>
          <w:i/>
        </w:rPr>
        <w:t>Bilig</w:t>
      </w:r>
      <w:r w:rsidRPr="00B24CA3">
        <w:t>, (37), 155-174.</w:t>
      </w:r>
    </w:p>
    <w:p w14:paraId="31568626" w14:textId="77777777" w:rsidR="00FF4BC0" w:rsidRPr="00B24CA3" w:rsidRDefault="00FF4BC0">
      <w:pPr>
        <w:pStyle w:val="GvdeMetni"/>
        <w:numPr>
          <w:ilvl w:val="0"/>
          <w:numId w:val="57"/>
        </w:numPr>
        <w:ind w:right="158"/>
        <w:jc w:val="both"/>
      </w:pPr>
      <w:r w:rsidRPr="00B24CA3">
        <w:t>Dinç, M. (2023, Temmuz</w:t>
      </w:r>
      <w:r w:rsidRPr="00B24CA3">
        <w:rPr>
          <w:spacing w:val="-1"/>
        </w:rPr>
        <w:t xml:space="preserve"> </w:t>
      </w:r>
      <w:r w:rsidRPr="00B24CA3">
        <w:t>14). Uluslararası</w:t>
      </w:r>
      <w:r w:rsidRPr="00B24CA3">
        <w:rPr>
          <w:spacing w:val="-1"/>
        </w:rPr>
        <w:t xml:space="preserve"> </w:t>
      </w:r>
      <w:r w:rsidRPr="00B24CA3">
        <w:t>öğrencilerin uyum</w:t>
      </w:r>
      <w:r w:rsidRPr="00B24CA3">
        <w:rPr>
          <w:spacing w:val="-1"/>
        </w:rPr>
        <w:t xml:space="preserve"> </w:t>
      </w:r>
      <w:r w:rsidRPr="00B24CA3">
        <w:t>yıllarındaki</w:t>
      </w:r>
      <w:r w:rsidRPr="00B24CA3">
        <w:rPr>
          <w:spacing w:val="-1"/>
        </w:rPr>
        <w:t xml:space="preserve"> </w:t>
      </w:r>
      <w:r w:rsidRPr="00B24CA3">
        <w:t xml:space="preserve">deneyimleri, sorunları ve çözüm önerileri. </w:t>
      </w:r>
      <w:r w:rsidRPr="00B24CA3">
        <w:rPr>
          <w:i/>
        </w:rPr>
        <w:t>Marmara Üniversitesi Fen Bilimleri Enstitüsü</w:t>
      </w:r>
      <w:r w:rsidRPr="00B24CA3">
        <w:t xml:space="preserve">. </w:t>
      </w:r>
      <w:hyperlink r:id="rId229">
        <w:r w:rsidRPr="00B24CA3">
          <w:rPr>
            <w:color w:val="467885"/>
            <w:spacing w:val="-2"/>
            <w:u w:val="single" w:color="467885"/>
          </w:rPr>
          <w:t>https://www.researchgate.net/publication/373118636_ULUSLARARASI_OGRENCILERIN</w:t>
        </w:r>
      </w:hyperlink>
    </w:p>
    <w:p w14:paraId="5F653C44" w14:textId="77777777" w:rsidR="00FF4BC0" w:rsidRPr="00B24CA3" w:rsidRDefault="00FF4BC0">
      <w:pPr>
        <w:pStyle w:val="GvdeMetni"/>
        <w:numPr>
          <w:ilvl w:val="0"/>
          <w:numId w:val="57"/>
        </w:numPr>
        <w:ind w:right="159"/>
        <w:jc w:val="both"/>
      </w:pPr>
      <w:hyperlink r:id="rId230">
        <w:r w:rsidRPr="00B24CA3">
          <w:rPr>
            <w:color w:val="467885"/>
            <w:spacing w:val="-2"/>
            <w:u w:val="single" w:color="467885"/>
          </w:rPr>
          <w:t>_UYUM_YILLARINDAKI_DENEYIMLERI_SORUNLARI_VE_COZUM_ONERILERI_</w:t>
        </w:r>
      </w:hyperlink>
      <w:r w:rsidRPr="00B24CA3">
        <w:rPr>
          <w:color w:val="467885"/>
          <w:spacing w:val="-2"/>
        </w:rPr>
        <w:t xml:space="preserve"> </w:t>
      </w:r>
      <w:hyperlink r:id="rId231">
        <w:r w:rsidRPr="00B24CA3">
          <w:rPr>
            <w:color w:val="467885"/>
            <w:spacing w:val="-2"/>
            <w:u w:val="single" w:color="467885"/>
          </w:rPr>
          <w:t>MARMARA_UNIVERSITESI_FEN_BILIMLERI_ENSTITUSU</w:t>
        </w:r>
      </w:hyperlink>
    </w:p>
    <w:p w14:paraId="49C5DC16" w14:textId="77777777" w:rsidR="00FF4BC0" w:rsidRPr="00B24CA3" w:rsidRDefault="00FF4BC0">
      <w:pPr>
        <w:pStyle w:val="GvdeMetni"/>
        <w:numPr>
          <w:ilvl w:val="0"/>
          <w:numId w:val="57"/>
        </w:numPr>
        <w:ind w:right="158"/>
        <w:jc w:val="both"/>
      </w:pPr>
      <w:r w:rsidRPr="00B24CA3">
        <w:t>Ekonomik</w:t>
      </w:r>
      <w:r w:rsidRPr="00B24CA3">
        <w:rPr>
          <w:spacing w:val="80"/>
        </w:rPr>
        <w:t xml:space="preserve"> </w:t>
      </w:r>
      <w:r w:rsidRPr="00B24CA3">
        <w:t>Kalkınma</w:t>
      </w:r>
      <w:r w:rsidRPr="00B24CA3">
        <w:rPr>
          <w:spacing w:val="80"/>
        </w:rPr>
        <w:t xml:space="preserve"> </w:t>
      </w:r>
      <w:r w:rsidRPr="00B24CA3">
        <w:t>ve</w:t>
      </w:r>
      <w:r w:rsidRPr="00B24CA3">
        <w:rPr>
          <w:spacing w:val="80"/>
        </w:rPr>
        <w:t xml:space="preserve"> </w:t>
      </w:r>
      <w:r w:rsidRPr="00B24CA3">
        <w:t>İş</w:t>
      </w:r>
      <w:r w:rsidRPr="00B24CA3">
        <w:rPr>
          <w:spacing w:val="80"/>
        </w:rPr>
        <w:t xml:space="preserve"> </w:t>
      </w:r>
      <w:r w:rsidRPr="00B24CA3">
        <w:t>Birliği</w:t>
      </w:r>
      <w:r w:rsidRPr="00B24CA3">
        <w:rPr>
          <w:spacing w:val="80"/>
        </w:rPr>
        <w:t xml:space="preserve"> </w:t>
      </w:r>
      <w:r w:rsidRPr="00B24CA3">
        <w:t>Örgütü.</w:t>
      </w:r>
      <w:r w:rsidRPr="00B24CA3">
        <w:rPr>
          <w:spacing w:val="80"/>
        </w:rPr>
        <w:t xml:space="preserve"> </w:t>
      </w:r>
      <w:r w:rsidRPr="00B24CA3">
        <w:t>(2013,</w:t>
      </w:r>
      <w:r w:rsidRPr="00B24CA3">
        <w:rPr>
          <w:spacing w:val="80"/>
        </w:rPr>
        <w:t xml:space="preserve"> </w:t>
      </w:r>
      <w:proofErr w:type="spellStart"/>
      <w:r w:rsidRPr="00B24CA3">
        <w:t>July</w:t>
      </w:r>
      <w:proofErr w:type="spellEnd"/>
      <w:r w:rsidRPr="00B24CA3">
        <w:rPr>
          <w:spacing w:val="80"/>
        </w:rPr>
        <w:t xml:space="preserve"> </w:t>
      </w:r>
      <w:r w:rsidRPr="00B24CA3">
        <w:t>5).</w:t>
      </w:r>
      <w:r w:rsidRPr="00B24CA3">
        <w:rPr>
          <w:spacing w:val="80"/>
        </w:rPr>
        <w:t xml:space="preserve"> </w:t>
      </w:r>
      <w:proofErr w:type="spellStart"/>
      <w:r w:rsidRPr="00B24CA3">
        <w:rPr>
          <w:i/>
        </w:rPr>
        <w:t>Education</w:t>
      </w:r>
      <w:proofErr w:type="spellEnd"/>
      <w:r w:rsidRPr="00B24CA3">
        <w:rPr>
          <w:i/>
          <w:spacing w:val="80"/>
        </w:rPr>
        <w:t xml:space="preserve"> </w:t>
      </w:r>
      <w:proofErr w:type="spellStart"/>
      <w:r w:rsidRPr="00B24CA3">
        <w:rPr>
          <w:i/>
        </w:rPr>
        <w:t>indicators</w:t>
      </w:r>
      <w:proofErr w:type="spellEnd"/>
      <w:r w:rsidRPr="00B24CA3">
        <w:rPr>
          <w:i/>
          <w:spacing w:val="80"/>
        </w:rPr>
        <w:t xml:space="preserve"> </w:t>
      </w:r>
      <w:proofErr w:type="spellStart"/>
      <w:r w:rsidRPr="00B24CA3">
        <w:rPr>
          <w:i/>
        </w:rPr>
        <w:t>focus</w:t>
      </w:r>
      <w:proofErr w:type="spellEnd"/>
      <w:r w:rsidRPr="00B24CA3">
        <w:t>.</w:t>
      </w:r>
      <w:r w:rsidRPr="00B24CA3">
        <w:rPr>
          <w:spacing w:val="40"/>
        </w:rPr>
        <w:t xml:space="preserve"> </w:t>
      </w:r>
      <w:hyperlink r:id="rId232">
        <w:r w:rsidRPr="00B24CA3">
          <w:rPr>
            <w:color w:val="467885"/>
            <w:spacing w:val="-2"/>
            <w:u w:val="single" w:color="467885"/>
          </w:rPr>
          <w:t>https://www.oecd.org/en/publications/serials/education-indicators-in-focus_g1727114.html</w:t>
        </w:r>
      </w:hyperlink>
      <w:r w:rsidRPr="00B24CA3">
        <w:rPr>
          <w:color w:val="467885"/>
          <w:spacing w:val="-2"/>
        </w:rPr>
        <w:t xml:space="preserve"> </w:t>
      </w:r>
      <w:proofErr w:type="spellStart"/>
      <w:r w:rsidRPr="00B24CA3">
        <w:t>Eynullayeva</w:t>
      </w:r>
      <w:proofErr w:type="spellEnd"/>
      <w:r w:rsidRPr="00B24CA3">
        <w:t>,</w:t>
      </w:r>
      <w:r w:rsidRPr="00B24CA3">
        <w:rPr>
          <w:spacing w:val="14"/>
        </w:rPr>
        <w:t xml:space="preserve"> </w:t>
      </w:r>
      <w:r w:rsidRPr="00B24CA3">
        <w:t>K.,</w:t>
      </w:r>
      <w:r w:rsidRPr="00B24CA3">
        <w:rPr>
          <w:spacing w:val="17"/>
        </w:rPr>
        <w:t xml:space="preserve"> </w:t>
      </w:r>
      <w:r w:rsidRPr="00B24CA3">
        <w:t>Gökalp,</w:t>
      </w:r>
      <w:r w:rsidRPr="00B24CA3">
        <w:rPr>
          <w:spacing w:val="17"/>
        </w:rPr>
        <w:t xml:space="preserve"> </w:t>
      </w:r>
      <w:r w:rsidRPr="00B24CA3">
        <w:t>M.,</w:t>
      </w:r>
      <w:r w:rsidRPr="00B24CA3">
        <w:rPr>
          <w:spacing w:val="16"/>
        </w:rPr>
        <w:t xml:space="preserve"> </w:t>
      </w:r>
      <w:r w:rsidRPr="00B24CA3">
        <w:t>&amp;</w:t>
      </w:r>
      <w:r w:rsidRPr="00B24CA3">
        <w:rPr>
          <w:spacing w:val="16"/>
        </w:rPr>
        <w:t xml:space="preserve"> </w:t>
      </w:r>
      <w:proofErr w:type="spellStart"/>
      <w:r w:rsidRPr="00B24CA3">
        <w:t>Hatunoglu</w:t>
      </w:r>
      <w:proofErr w:type="spellEnd"/>
      <w:r w:rsidRPr="00B24CA3">
        <w:t>,</w:t>
      </w:r>
      <w:r w:rsidRPr="00B24CA3">
        <w:rPr>
          <w:spacing w:val="17"/>
        </w:rPr>
        <w:t xml:space="preserve"> </w:t>
      </w:r>
      <w:r w:rsidRPr="00B24CA3">
        <w:t>B.</w:t>
      </w:r>
      <w:r w:rsidRPr="00B24CA3">
        <w:rPr>
          <w:spacing w:val="16"/>
        </w:rPr>
        <w:t xml:space="preserve"> </w:t>
      </w:r>
      <w:r w:rsidRPr="00B24CA3">
        <w:t>Y.</w:t>
      </w:r>
      <w:r w:rsidRPr="00B24CA3">
        <w:rPr>
          <w:spacing w:val="17"/>
        </w:rPr>
        <w:t xml:space="preserve"> </w:t>
      </w:r>
      <w:r w:rsidRPr="00B24CA3">
        <w:t>(2021).</w:t>
      </w:r>
      <w:r w:rsidRPr="00B24CA3">
        <w:rPr>
          <w:spacing w:val="17"/>
        </w:rPr>
        <w:t xml:space="preserve"> </w:t>
      </w:r>
      <w:proofErr w:type="spellStart"/>
      <w:r w:rsidRPr="00B24CA3">
        <w:t>Investigation</w:t>
      </w:r>
      <w:proofErr w:type="spellEnd"/>
      <w:r w:rsidRPr="00B24CA3">
        <w:rPr>
          <w:spacing w:val="16"/>
        </w:rPr>
        <w:t xml:space="preserve"> </w:t>
      </w:r>
      <w:r w:rsidRPr="00B24CA3">
        <w:t>of</w:t>
      </w:r>
      <w:r w:rsidRPr="00B24CA3">
        <w:rPr>
          <w:spacing w:val="17"/>
        </w:rPr>
        <w:t xml:space="preserve"> </w:t>
      </w:r>
      <w:proofErr w:type="spellStart"/>
      <w:r w:rsidRPr="00B24CA3">
        <w:t>the</w:t>
      </w:r>
      <w:proofErr w:type="spellEnd"/>
      <w:r w:rsidRPr="00B24CA3">
        <w:rPr>
          <w:spacing w:val="16"/>
        </w:rPr>
        <w:t xml:space="preserve"> </w:t>
      </w:r>
      <w:proofErr w:type="spellStart"/>
      <w:r w:rsidRPr="00B24CA3">
        <w:t>Turkish</w:t>
      </w:r>
      <w:proofErr w:type="spellEnd"/>
      <w:r w:rsidRPr="00B24CA3">
        <w:rPr>
          <w:spacing w:val="17"/>
        </w:rPr>
        <w:t xml:space="preserve"> </w:t>
      </w:r>
      <w:proofErr w:type="spellStart"/>
      <w:r w:rsidRPr="00B24CA3">
        <w:rPr>
          <w:spacing w:val="-2"/>
        </w:rPr>
        <w:t>cultural</w:t>
      </w:r>
      <w:proofErr w:type="spellEnd"/>
    </w:p>
    <w:p w14:paraId="46991A99" w14:textId="77777777" w:rsidR="00FF4BC0" w:rsidRPr="00B24CA3" w:rsidRDefault="00FF4BC0">
      <w:pPr>
        <w:pStyle w:val="ListeParagraf"/>
        <w:numPr>
          <w:ilvl w:val="0"/>
          <w:numId w:val="57"/>
        </w:numPr>
        <w:ind w:right="159"/>
        <w:jc w:val="both"/>
      </w:pPr>
      <w:proofErr w:type="spellStart"/>
      <w:proofErr w:type="gramStart"/>
      <w:r w:rsidRPr="00B24CA3">
        <w:t>adaptation</w:t>
      </w:r>
      <w:proofErr w:type="spellEnd"/>
      <w:proofErr w:type="gramEnd"/>
      <w:r w:rsidRPr="00D13217">
        <w:rPr>
          <w:spacing w:val="-5"/>
        </w:rPr>
        <w:t xml:space="preserve"> </w:t>
      </w:r>
      <w:r w:rsidRPr="00B24CA3">
        <w:t>of</w:t>
      </w:r>
      <w:r w:rsidRPr="00D13217">
        <w:rPr>
          <w:spacing w:val="-5"/>
        </w:rPr>
        <w:t xml:space="preserve"> </w:t>
      </w:r>
      <w:proofErr w:type="spellStart"/>
      <w:r w:rsidRPr="00B24CA3">
        <w:t>international</w:t>
      </w:r>
      <w:proofErr w:type="spellEnd"/>
      <w:r w:rsidRPr="00D13217">
        <w:rPr>
          <w:spacing w:val="-7"/>
        </w:rPr>
        <w:t xml:space="preserve"> </w:t>
      </w:r>
      <w:proofErr w:type="spellStart"/>
      <w:r w:rsidRPr="00B24CA3">
        <w:t>students</w:t>
      </w:r>
      <w:proofErr w:type="spellEnd"/>
      <w:r w:rsidRPr="00D13217">
        <w:rPr>
          <w:spacing w:val="-4"/>
        </w:rPr>
        <w:t xml:space="preserve"> </w:t>
      </w:r>
      <w:proofErr w:type="spellStart"/>
      <w:r w:rsidRPr="00B24CA3">
        <w:t>living</w:t>
      </w:r>
      <w:proofErr w:type="spellEnd"/>
      <w:r w:rsidRPr="00D13217">
        <w:rPr>
          <w:spacing w:val="-1"/>
        </w:rPr>
        <w:t xml:space="preserve"> </w:t>
      </w:r>
      <w:r w:rsidRPr="00B24CA3">
        <w:t>in</w:t>
      </w:r>
      <w:r w:rsidRPr="00D13217">
        <w:rPr>
          <w:spacing w:val="-5"/>
        </w:rPr>
        <w:t xml:space="preserve"> </w:t>
      </w:r>
      <w:proofErr w:type="spellStart"/>
      <w:r w:rsidRPr="00B24CA3">
        <w:t>Turkey</w:t>
      </w:r>
      <w:proofErr w:type="spellEnd"/>
      <w:r w:rsidRPr="00B24CA3">
        <w:t xml:space="preserve">. </w:t>
      </w:r>
      <w:proofErr w:type="spellStart"/>
      <w:r w:rsidRPr="00D13217">
        <w:rPr>
          <w:i/>
        </w:rPr>
        <w:t>European</w:t>
      </w:r>
      <w:proofErr w:type="spellEnd"/>
      <w:r w:rsidRPr="00D13217">
        <w:rPr>
          <w:i/>
          <w:spacing w:val="-5"/>
        </w:rPr>
        <w:t xml:space="preserve"> </w:t>
      </w:r>
      <w:proofErr w:type="spellStart"/>
      <w:r w:rsidRPr="00D13217">
        <w:rPr>
          <w:i/>
        </w:rPr>
        <w:t>Educational</w:t>
      </w:r>
      <w:proofErr w:type="spellEnd"/>
      <w:r w:rsidRPr="00D13217">
        <w:rPr>
          <w:i/>
          <w:spacing w:val="-7"/>
        </w:rPr>
        <w:t xml:space="preserve"> </w:t>
      </w:r>
      <w:proofErr w:type="spellStart"/>
      <w:r w:rsidRPr="00D13217">
        <w:rPr>
          <w:i/>
        </w:rPr>
        <w:lastRenderedPageBreak/>
        <w:t>Researcher</w:t>
      </w:r>
      <w:proofErr w:type="spellEnd"/>
      <w:r w:rsidRPr="00B24CA3">
        <w:t>,</w:t>
      </w:r>
      <w:r w:rsidRPr="00D13217">
        <w:rPr>
          <w:spacing w:val="-5"/>
        </w:rPr>
        <w:t xml:space="preserve"> </w:t>
      </w:r>
      <w:r w:rsidRPr="00B24CA3">
        <w:t xml:space="preserve">4(2), </w:t>
      </w:r>
      <w:r w:rsidRPr="00D13217">
        <w:rPr>
          <w:spacing w:val="-2"/>
        </w:rPr>
        <w:t>155-169.</w:t>
      </w:r>
    </w:p>
    <w:p w14:paraId="7A9E3AEB" w14:textId="77777777" w:rsidR="00FF4BC0" w:rsidRPr="00B24CA3" w:rsidRDefault="00FF4BC0">
      <w:pPr>
        <w:pStyle w:val="GvdeMetni"/>
        <w:numPr>
          <w:ilvl w:val="0"/>
          <w:numId w:val="57"/>
        </w:numPr>
        <w:ind w:right="159"/>
        <w:jc w:val="both"/>
      </w:pPr>
      <w:proofErr w:type="spellStart"/>
      <w:r w:rsidRPr="00B24CA3">
        <w:t>Freeman</w:t>
      </w:r>
      <w:proofErr w:type="spellEnd"/>
      <w:r w:rsidRPr="00B24CA3">
        <w:t xml:space="preserve">, K., </w:t>
      </w:r>
      <w:proofErr w:type="spellStart"/>
      <w:r w:rsidRPr="00B24CA3">
        <w:t>Nga</w:t>
      </w:r>
      <w:proofErr w:type="spellEnd"/>
      <w:r w:rsidRPr="00B24CA3">
        <w:t xml:space="preserve">, E., &amp; </w:t>
      </w:r>
      <w:proofErr w:type="spellStart"/>
      <w:r w:rsidRPr="00B24CA3">
        <w:t>Mathews</w:t>
      </w:r>
      <w:proofErr w:type="spellEnd"/>
      <w:r w:rsidRPr="00B24CA3">
        <w:t xml:space="preserve">, M. (2017). International </w:t>
      </w:r>
      <w:proofErr w:type="spellStart"/>
      <w:r w:rsidRPr="00B24CA3">
        <w:t>students</w:t>
      </w:r>
      <w:proofErr w:type="spellEnd"/>
      <w:r w:rsidRPr="00B24CA3">
        <w:t xml:space="preserve"> </w:t>
      </w:r>
      <w:proofErr w:type="spellStart"/>
      <w:r w:rsidRPr="00B24CA3">
        <w:t>challenges</w:t>
      </w:r>
      <w:proofErr w:type="spellEnd"/>
      <w:r w:rsidRPr="00B24CA3">
        <w:t xml:space="preserve"> </w:t>
      </w:r>
      <w:proofErr w:type="spellStart"/>
      <w:r w:rsidRPr="00B24CA3">
        <w:t>and</w:t>
      </w:r>
      <w:proofErr w:type="spellEnd"/>
      <w:r w:rsidRPr="00B24CA3">
        <w:t xml:space="preserve"> </w:t>
      </w:r>
      <w:proofErr w:type="spellStart"/>
      <w:r w:rsidRPr="00B24CA3">
        <w:t>academic</w:t>
      </w:r>
      <w:proofErr w:type="spellEnd"/>
      <w:r w:rsidRPr="00B24CA3">
        <w:rPr>
          <w:spacing w:val="40"/>
        </w:rPr>
        <w:t xml:space="preserve"> </w:t>
      </w:r>
      <w:proofErr w:type="spellStart"/>
      <w:r w:rsidRPr="00B24CA3">
        <w:t>adjustment</w:t>
      </w:r>
      <w:proofErr w:type="spellEnd"/>
      <w:r w:rsidRPr="00B24CA3">
        <w:t xml:space="preserve"> in </w:t>
      </w:r>
      <w:proofErr w:type="spellStart"/>
      <w:r w:rsidRPr="00B24CA3">
        <w:t>higher</w:t>
      </w:r>
      <w:proofErr w:type="spellEnd"/>
      <w:r w:rsidRPr="00B24CA3">
        <w:t xml:space="preserve"> </w:t>
      </w:r>
      <w:proofErr w:type="spellStart"/>
      <w:r w:rsidRPr="00B24CA3">
        <w:t>education</w:t>
      </w:r>
      <w:proofErr w:type="spellEnd"/>
      <w:r w:rsidRPr="00B24CA3">
        <w:t xml:space="preserve"> in </w:t>
      </w:r>
      <w:proofErr w:type="spellStart"/>
      <w:r w:rsidRPr="00B24CA3">
        <w:t>Malaysia</w:t>
      </w:r>
      <w:proofErr w:type="spellEnd"/>
      <w:r w:rsidRPr="00B24CA3">
        <w:t xml:space="preserve">. </w:t>
      </w:r>
      <w:proofErr w:type="spellStart"/>
      <w:r w:rsidRPr="00B24CA3">
        <w:rPr>
          <w:i/>
        </w:rPr>
        <w:t>Sci</w:t>
      </w:r>
      <w:proofErr w:type="spellEnd"/>
      <w:r w:rsidRPr="00B24CA3">
        <w:rPr>
          <w:i/>
        </w:rPr>
        <w:t xml:space="preserve"> </w:t>
      </w:r>
      <w:proofErr w:type="spellStart"/>
      <w:r w:rsidRPr="00B24CA3">
        <w:rPr>
          <w:i/>
        </w:rPr>
        <w:t>Int</w:t>
      </w:r>
      <w:proofErr w:type="spellEnd"/>
      <w:r w:rsidRPr="00B24CA3">
        <w:rPr>
          <w:i/>
        </w:rPr>
        <w:t xml:space="preserve"> (</w:t>
      </w:r>
      <w:proofErr w:type="spellStart"/>
      <w:r w:rsidRPr="00B24CA3">
        <w:rPr>
          <w:i/>
        </w:rPr>
        <w:t>Lahore</w:t>
      </w:r>
      <w:proofErr w:type="spellEnd"/>
      <w:r w:rsidRPr="00B24CA3">
        <w:rPr>
          <w:i/>
        </w:rPr>
        <w:t>)</w:t>
      </w:r>
      <w:r w:rsidRPr="00B24CA3">
        <w:t>, 29(1), 131-134.</w:t>
      </w:r>
    </w:p>
    <w:p w14:paraId="23473352" w14:textId="77777777" w:rsidR="00FF4BC0" w:rsidRPr="00B24CA3" w:rsidRDefault="00FF4BC0">
      <w:pPr>
        <w:pStyle w:val="ListeParagraf"/>
        <w:numPr>
          <w:ilvl w:val="0"/>
          <w:numId w:val="57"/>
        </w:numPr>
        <w:jc w:val="both"/>
      </w:pPr>
      <w:proofErr w:type="spellStart"/>
      <w:r w:rsidRPr="00B24CA3">
        <w:t>Gu</w:t>
      </w:r>
      <w:proofErr w:type="spellEnd"/>
      <w:r w:rsidRPr="00B24CA3">
        <w:t>,</w:t>
      </w:r>
      <w:r w:rsidRPr="00D13217">
        <w:rPr>
          <w:spacing w:val="-3"/>
        </w:rPr>
        <w:t xml:space="preserve"> </w:t>
      </w:r>
      <w:r w:rsidRPr="00B24CA3">
        <w:t>Y.</w:t>
      </w:r>
      <w:r w:rsidRPr="00D13217">
        <w:rPr>
          <w:spacing w:val="-3"/>
        </w:rPr>
        <w:t xml:space="preserve"> </w:t>
      </w:r>
      <w:r w:rsidRPr="00B24CA3">
        <w:t>(2021).</w:t>
      </w:r>
      <w:r w:rsidRPr="00D13217">
        <w:rPr>
          <w:spacing w:val="-3"/>
        </w:rPr>
        <w:t xml:space="preserve"> </w:t>
      </w:r>
      <w:proofErr w:type="spellStart"/>
      <w:r w:rsidRPr="00B24CA3">
        <w:t>The</w:t>
      </w:r>
      <w:proofErr w:type="spellEnd"/>
      <w:r w:rsidRPr="00D13217">
        <w:rPr>
          <w:spacing w:val="-5"/>
        </w:rPr>
        <w:t xml:space="preserve"> </w:t>
      </w:r>
      <w:proofErr w:type="spellStart"/>
      <w:r w:rsidRPr="00B24CA3">
        <w:t>impact</w:t>
      </w:r>
      <w:proofErr w:type="spellEnd"/>
      <w:r w:rsidRPr="00D13217">
        <w:rPr>
          <w:spacing w:val="-5"/>
        </w:rPr>
        <w:t xml:space="preserve"> </w:t>
      </w:r>
      <w:r w:rsidRPr="00B24CA3">
        <w:t>of</w:t>
      </w:r>
      <w:r w:rsidRPr="00D13217">
        <w:rPr>
          <w:spacing w:val="-3"/>
        </w:rPr>
        <w:t xml:space="preserve"> </w:t>
      </w:r>
      <w:proofErr w:type="spellStart"/>
      <w:r w:rsidRPr="00B24CA3">
        <w:t>globalization</w:t>
      </w:r>
      <w:proofErr w:type="spellEnd"/>
      <w:r w:rsidRPr="00D13217">
        <w:rPr>
          <w:spacing w:val="-3"/>
        </w:rPr>
        <w:t xml:space="preserve"> </w:t>
      </w:r>
      <w:r w:rsidRPr="00B24CA3">
        <w:t>on</w:t>
      </w:r>
      <w:r w:rsidRPr="00D13217">
        <w:rPr>
          <w:spacing w:val="-3"/>
        </w:rPr>
        <w:t xml:space="preserve"> </w:t>
      </w:r>
      <w:proofErr w:type="spellStart"/>
      <w:r w:rsidRPr="00B24CA3">
        <w:t>education</w:t>
      </w:r>
      <w:proofErr w:type="spellEnd"/>
      <w:r w:rsidRPr="00B24CA3">
        <w:t xml:space="preserve">. </w:t>
      </w:r>
      <w:r w:rsidRPr="00D13217">
        <w:rPr>
          <w:i/>
        </w:rPr>
        <w:t>International</w:t>
      </w:r>
      <w:r w:rsidRPr="00D13217">
        <w:rPr>
          <w:i/>
          <w:spacing w:val="-5"/>
        </w:rPr>
        <w:t xml:space="preserve"> </w:t>
      </w:r>
      <w:proofErr w:type="spellStart"/>
      <w:r w:rsidRPr="00D13217">
        <w:rPr>
          <w:i/>
        </w:rPr>
        <w:t>Journal</w:t>
      </w:r>
      <w:proofErr w:type="spellEnd"/>
      <w:r w:rsidRPr="00D13217">
        <w:rPr>
          <w:i/>
          <w:spacing w:val="-5"/>
        </w:rPr>
        <w:t xml:space="preserve"> </w:t>
      </w:r>
      <w:r w:rsidRPr="00D13217">
        <w:rPr>
          <w:i/>
        </w:rPr>
        <w:t>of</w:t>
      </w:r>
      <w:r w:rsidRPr="00D13217">
        <w:rPr>
          <w:i/>
          <w:spacing w:val="-5"/>
        </w:rPr>
        <w:t xml:space="preserve"> </w:t>
      </w:r>
      <w:proofErr w:type="spellStart"/>
      <w:r w:rsidRPr="00D13217">
        <w:rPr>
          <w:i/>
        </w:rPr>
        <w:t>Social</w:t>
      </w:r>
      <w:proofErr w:type="spellEnd"/>
      <w:r w:rsidRPr="00D13217">
        <w:rPr>
          <w:i/>
          <w:spacing w:val="-5"/>
        </w:rPr>
        <w:t xml:space="preserve"> </w:t>
      </w:r>
      <w:proofErr w:type="spellStart"/>
      <w:r w:rsidRPr="00D13217">
        <w:rPr>
          <w:i/>
        </w:rPr>
        <w:t>Science</w:t>
      </w:r>
      <w:proofErr w:type="spellEnd"/>
      <w:r w:rsidRPr="00D13217">
        <w:rPr>
          <w:i/>
        </w:rPr>
        <w:t xml:space="preserve"> </w:t>
      </w:r>
      <w:proofErr w:type="spellStart"/>
      <w:r w:rsidRPr="00D13217">
        <w:rPr>
          <w:i/>
        </w:rPr>
        <w:t>and</w:t>
      </w:r>
      <w:proofErr w:type="spellEnd"/>
      <w:r w:rsidRPr="00D13217">
        <w:rPr>
          <w:i/>
        </w:rPr>
        <w:t xml:space="preserve"> </w:t>
      </w:r>
      <w:proofErr w:type="spellStart"/>
      <w:r w:rsidRPr="00D13217">
        <w:rPr>
          <w:i/>
        </w:rPr>
        <w:t>Education</w:t>
      </w:r>
      <w:proofErr w:type="spellEnd"/>
      <w:r w:rsidRPr="00D13217">
        <w:rPr>
          <w:i/>
        </w:rPr>
        <w:t xml:space="preserve"> </w:t>
      </w:r>
      <w:proofErr w:type="spellStart"/>
      <w:r w:rsidRPr="00D13217">
        <w:rPr>
          <w:i/>
        </w:rPr>
        <w:t>Research</w:t>
      </w:r>
      <w:proofErr w:type="spellEnd"/>
      <w:r w:rsidRPr="00B24CA3">
        <w:t>, 4(3), 152-157.</w:t>
      </w:r>
    </w:p>
    <w:p w14:paraId="7D88A47B" w14:textId="40DCCAAD" w:rsidR="00FF4BC0" w:rsidRPr="00B24CA3" w:rsidRDefault="00FF4BC0">
      <w:pPr>
        <w:pStyle w:val="ListeParagraf"/>
        <w:numPr>
          <w:ilvl w:val="0"/>
          <w:numId w:val="57"/>
        </w:numPr>
        <w:jc w:val="both"/>
      </w:pPr>
      <w:r w:rsidRPr="00B24CA3">
        <w:t xml:space="preserve">Gül, Z., &amp; Avşar, F. S. (2024). Yükseköğretimde küresel bir perspektif: Türkiye </w:t>
      </w:r>
      <w:proofErr w:type="spellStart"/>
      <w:r w:rsidRPr="00B24CA3">
        <w:t>veABD’deki</w:t>
      </w:r>
      <w:proofErr w:type="spellEnd"/>
      <w:r w:rsidRPr="00D13217">
        <w:rPr>
          <w:spacing w:val="40"/>
        </w:rPr>
        <w:t xml:space="preserve"> </w:t>
      </w:r>
      <w:r w:rsidRPr="00B24CA3">
        <w:t xml:space="preserve">uluslararası öğrenciler. </w:t>
      </w:r>
      <w:r w:rsidRPr="00D13217">
        <w:rPr>
          <w:i/>
        </w:rPr>
        <w:t>Uluslararası Gelişim Akademi Dergisi</w:t>
      </w:r>
      <w:r w:rsidRPr="00B24CA3">
        <w:t>, 1(6), 60-71.</w:t>
      </w:r>
    </w:p>
    <w:p w14:paraId="7E1AFEC3" w14:textId="77777777" w:rsidR="00FF4BC0" w:rsidRPr="00B24CA3" w:rsidRDefault="00FF4BC0" w:rsidP="00BA67A6">
      <w:pPr>
        <w:jc w:val="both"/>
        <w:sectPr w:rsidR="00FF4BC0" w:rsidRPr="00B24CA3" w:rsidSect="007513A1">
          <w:type w:val="continuous"/>
          <w:pgSz w:w="11906" w:h="16838"/>
          <w:pgMar w:top="1418" w:right="1418" w:bottom="1418" w:left="1418" w:header="1304" w:footer="1361" w:gutter="0"/>
          <w:cols w:space="708"/>
        </w:sectPr>
      </w:pPr>
    </w:p>
    <w:p w14:paraId="6CAC773F" w14:textId="77777777" w:rsidR="00FF4BC0" w:rsidRPr="00B24CA3" w:rsidRDefault="00FF4BC0">
      <w:pPr>
        <w:pStyle w:val="GvdeMetni"/>
        <w:numPr>
          <w:ilvl w:val="0"/>
          <w:numId w:val="57"/>
        </w:numPr>
        <w:ind w:right="168"/>
        <w:jc w:val="both"/>
      </w:pPr>
      <w:r w:rsidRPr="00B24CA3">
        <w:t>Güven,</w:t>
      </w:r>
      <w:r w:rsidRPr="00B24CA3">
        <w:rPr>
          <w:spacing w:val="-9"/>
        </w:rPr>
        <w:t xml:space="preserve"> </w:t>
      </w:r>
      <w:r w:rsidRPr="00B24CA3">
        <w:t>S.,</w:t>
      </w:r>
      <w:r w:rsidRPr="00B24CA3">
        <w:rPr>
          <w:spacing w:val="-9"/>
        </w:rPr>
        <w:t xml:space="preserve"> </w:t>
      </w:r>
      <w:r w:rsidRPr="00B24CA3">
        <w:t>&amp;</w:t>
      </w:r>
      <w:r w:rsidRPr="00B24CA3">
        <w:rPr>
          <w:spacing w:val="-5"/>
        </w:rPr>
        <w:t xml:space="preserve"> </w:t>
      </w:r>
      <w:proofErr w:type="spellStart"/>
      <w:r w:rsidRPr="00B24CA3">
        <w:t>Alkar</w:t>
      </w:r>
      <w:proofErr w:type="spellEnd"/>
      <w:r w:rsidRPr="00B24CA3">
        <w:t>,</w:t>
      </w:r>
      <w:r w:rsidRPr="00B24CA3">
        <w:rPr>
          <w:spacing w:val="-8"/>
        </w:rPr>
        <w:t xml:space="preserve"> </w:t>
      </w:r>
      <w:r w:rsidRPr="00B24CA3">
        <w:t>E.</w:t>
      </w:r>
      <w:r w:rsidRPr="00B24CA3">
        <w:rPr>
          <w:spacing w:val="-9"/>
        </w:rPr>
        <w:t xml:space="preserve"> </w:t>
      </w:r>
      <w:r w:rsidRPr="00B24CA3">
        <w:t>(2022).</w:t>
      </w:r>
      <w:r w:rsidRPr="00B24CA3">
        <w:rPr>
          <w:spacing w:val="-3"/>
        </w:rPr>
        <w:t xml:space="preserve"> </w:t>
      </w:r>
      <w:r w:rsidRPr="00B24CA3">
        <w:t>Uluslararası</w:t>
      </w:r>
      <w:r w:rsidRPr="00B24CA3">
        <w:rPr>
          <w:spacing w:val="-10"/>
        </w:rPr>
        <w:t xml:space="preserve"> </w:t>
      </w:r>
      <w:r w:rsidRPr="00B24CA3">
        <w:t>öğrencilerin</w:t>
      </w:r>
      <w:r w:rsidRPr="00B24CA3">
        <w:rPr>
          <w:spacing w:val="-9"/>
        </w:rPr>
        <w:t xml:space="preserve"> </w:t>
      </w:r>
      <w:r w:rsidRPr="00B24CA3">
        <w:t>Türkiye’ye</w:t>
      </w:r>
      <w:r w:rsidRPr="00B24CA3">
        <w:rPr>
          <w:spacing w:val="-10"/>
        </w:rPr>
        <w:t xml:space="preserve"> </w:t>
      </w:r>
      <w:r w:rsidRPr="00B24CA3">
        <w:t>göç</w:t>
      </w:r>
      <w:r w:rsidRPr="00B24CA3">
        <w:rPr>
          <w:spacing w:val="-5"/>
        </w:rPr>
        <w:t xml:space="preserve"> </w:t>
      </w:r>
      <w:r w:rsidRPr="00B24CA3">
        <w:t>etme</w:t>
      </w:r>
      <w:r w:rsidRPr="00B24CA3">
        <w:rPr>
          <w:spacing w:val="-10"/>
        </w:rPr>
        <w:t xml:space="preserve"> </w:t>
      </w:r>
      <w:r w:rsidRPr="00B24CA3">
        <w:t>nedenleri</w:t>
      </w:r>
      <w:r w:rsidRPr="00B24CA3">
        <w:rPr>
          <w:spacing w:val="-5"/>
        </w:rPr>
        <w:t xml:space="preserve"> </w:t>
      </w:r>
      <w:r w:rsidRPr="00B24CA3">
        <w:t>ve</w:t>
      </w:r>
      <w:r w:rsidRPr="00B24CA3">
        <w:rPr>
          <w:spacing w:val="-10"/>
        </w:rPr>
        <w:t xml:space="preserve"> </w:t>
      </w:r>
      <w:r w:rsidRPr="00B24CA3">
        <w:t>yaşam memnuniyetlerine</w:t>
      </w:r>
      <w:r w:rsidRPr="00B24CA3">
        <w:rPr>
          <w:spacing w:val="-2"/>
        </w:rPr>
        <w:t xml:space="preserve"> </w:t>
      </w:r>
      <w:r w:rsidRPr="00B24CA3">
        <w:t>ilişkin</w:t>
      </w:r>
      <w:r w:rsidRPr="00B24CA3">
        <w:rPr>
          <w:spacing w:val="-1"/>
        </w:rPr>
        <w:t xml:space="preserve"> </w:t>
      </w:r>
      <w:r w:rsidRPr="00B24CA3">
        <w:t>bir</w:t>
      </w:r>
      <w:r w:rsidRPr="00B24CA3">
        <w:rPr>
          <w:spacing w:val="-1"/>
        </w:rPr>
        <w:t xml:space="preserve"> </w:t>
      </w:r>
      <w:r w:rsidRPr="00B24CA3">
        <w:t>araştırma:</w:t>
      </w:r>
      <w:r w:rsidRPr="00B24CA3">
        <w:rPr>
          <w:spacing w:val="-2"/>
        </w:rPr>
        <w:t xml:space="preserve"> </w:t>
      </w:r>
      <w:r w:rsidRPr="00B24CA3">
        <w:t>Tıp</w:t>
      </w:r>
      <w:r w:rsidRPr="00B24CA3">
        <w:rPr>
          <w:spacing w:val="-1"/>
        </w:rPr>
        <w:t xml:space="preserve"> </w:t>
      </w:r>
      <w:r w:rsidRPr="00B24CA3">
        <w:t>ve</w:t>
      </w:r>
      <w:r w:rsidRPr="00B24CA3">
        <w:rPr>
          <w:spacing w:val="-2"/>
        </w:rPr>
        <w:t xml:space="preserve"> </w:t>
      </w:r>
      <w:r w:rsidRPr="00B24CA3">
        <w:t>Diş Hekimliği</w:t>
      </w:r>
      <w:r w:rsidRPr="00B24CA3">
        <w:rPr>
          <w:spacing w:val="-2"/>
        </w:rPr>
        <w:t xml:space="preserve"> </w:t>
      </w:r>
      <w:r w:rsidRPr="00B24CA3">
        <w:t>Fakülteleri</w:t>
      </w:r>
      <w:r w:rsidRPr="00B24CA3">
        <w:rPr>
          <w:spacing w:val="-2"/>
        </w:rPr>
        <w:t xml:space="preserve"> </w:t>
      </w:r>
      <w:r w:rsidRPr="00B24CA3">
        <w:t>lisansüstü</w:t>
      </w:r>
      <w:r w:rsidRPr="00B24CA3">
        <w:rPr>
          <w:spacing w:val="-1"/>
        </w:rPr>
        <w:t xml:space="preserve"> </w:t>
      </w:r>
      <w:r w:rsidRPr="00B24CA3">
        <w:t xml:space="preserve">öğrenciler örneği. </w:t>
      </w:r>
      <w:r w:rsidRPr="00B24CA3">
        <w:rPr>
          <w:i/>
        </w:rPr>
        <w:t>Sağlık Bilimlerinde Eğitim Dergisi</w:t>
      </w:r>
      <w:r w:rsidRPr="00B24CA3">
        <w:t>, 5(1), 31-42.</w:t>
      </w:r>
    </w:p>
    <w:p w14:paraId="2F67A832" w14:textId="77777777" w:rsidR="00FF4BC0" w:rsidRPr="00B24CA3" w:rsidRDefault="00FF4BC0">
      <w:pPr>
        <w:pStyle w:val="ListeParagraf"/>
        <w:numPr>
          <w:ilvl w:val="0"/>
          <w:numId w:val="57"/>
        </w:numPr>
        <w:ind w:right="162"/>
        <w:jc w:val="both"/>
      </w:pPr>
      <w:r w:rsidRPr="00B24CA3">
        <w:t>Kocaeli Üniversitesi. (</w:t>
      </w:r>
      <w:proofErr w:type="spellStart"/>
      <w:proofErr w:type="gramStart"/>
      <w:r w:rsidRPr="00B24CA3">
        <w:t>n.d</w:t>
      </w:r>
      <w:proofErr w:type="spellEnd"/>
      <w:r w:rsidRPr="00B24CA3">
        <w:t>.</w:t>
      </w:r>
      <w:proofErr w:type="gramEnd"/>
      <w:r w:rsidRPr="00B24CA3">
        <w:t xml:space="preserve">). </w:t>
      </w:r>
      <w:r w:rsidRPr="00D13217">
        <w:rPr>
          <w:i/>
        </w:rPr>
        <w:t>Sayılarla Kocaeli Üniversitesi</w:t>
      </w:r>
      <w:r w:rsidRPr="00B24CA3">
        <w:t xml:space="preserve">. Erişim tarihi 20 Ocak 2025. </w:t>
      </w:r>
      <w:hyperlink r:id="rId233">
        <w:r w:rsidRPr="00D13217">
          <w:rPr>
            <w:color w:val="467885"/>
            <w:spacing w:val="-2"/>
            <w:u w:val="single" w:color="467885"/>
          </w:rPr>
          <w:t>https://kocaeli.edu.tr/rakamlarlakou</w:t>
        </w:r>
      </w:hyperlink>
    </w:p>
    <w:p w14:paraId="36AC46D4" w14:textId="77777777" w:rsidR="00FF4BC0" w:rsidRPr="00B24CA3" w:rsidRDefault="00FF4BC0">
      <w:pPr>
        <w:pStyle w:val="GvdeMetni"/>
        <w:numPr>
          <w:ilvl w:val="0"/>
          <w:numId w:val="57"/>
        </w:numPr>
        <w:ind w:right="159"/>
        <w:jc w:val="both"/>
      </w:pPr>
      <w:proofErr w:type="spellStart"/>
      <w:r w:rsidRPr="00B24CA3">
        <w:t>Mahihu</w:t>
      </w:r>
      <w:proofErr w:type="spellEnd"/>
      <w:r w:rsidRPr="00B24CA3">
        <w:t xml:space="preserve">, C. (2020). </w:t>
      </w:r>
      <w:proofErr w:type="spellStart"/>
      <w:r w:rsidRPr="00B24CA3">
        <w:t>Prevalence</w:t>
      </w:r>
      <w:proofErr w:type="spellEnd"/>
      <w:r w:rsidRPr="00B24CA3">
        <w:t xml:space="preserve"> of </w:t>
      </w:r>
      <w:proofErr w:type="spellStart"/>
      <w:r w:rsidRPr="00B24CA3">
        <w:t>depression</w:t>
      </w:r>
      <w:proofErr w:type="spellEnd"/>
      <w:r w:rsidRPr="00B24CA3">
        <w:t xml:space="preserve">, </w:t>
      </w:r>
      <w:proofErr w:type="spellStart"/>
      <w:r w:rsidRPr="00B24CA3">
        <w:t>anxiety</w:t>
      </w:r>
      <w:proofErr w:type="spellEnd"/>
      <w:r w:rsidRPr="00B24CA3">
        <w:t xml:space="preserve"> </w:t>
      </w:r>
      <w:proofErr w:type="spellStart"/>
      <w:r w:rsidRPr="00B24CA3">
        <w:t>among</w:t>
      </w:r>
      <w:proofErr w:type="spellEnd"/>
      <w:r w:rsidRPr="00B24CA3">
        <w:t xml:space="preserve"> </w:t>
      </w:r>
      <w:proofErr w:type="spellStart"/>
      <w:r w:rsidRPr="00B24CA3">
        <w:t>international</w:t>
      </w:r>
      <w:proofErr w:type="spellEnd"/>
      <w:r w:rsidRPr="00B24CA3">
        <w:t xml:space="preserve"> </w:t>
      </w:r>
      <w:proofErr w:type="spellStart"/>
      <w:r w:rsidRPr="00B24CA3">
        <w:t>students</w:t>
      </w:r>
      <w:proofErr w:type="spellEnd"/>
      <w:r w:rsidRPr="00B24CA3">
        <w:t xml:space="preserve"> in </w:t>
      </w:r>
      <w:proofErr w:type="spellStart"/>
      <w:r w:rsidRPr="00B24CA3">
        <w:t>the</w:t>
      </w:r>
      <w:proofErr w:type="spellEnd"/>
      <w:r w:rsidRPr="00B24CA3">
        <w:t xml:space="preserve"> </w:t>
      </w:r>
      <w:proofErr w:type="spellStart"/>
      <w:r w:rsidRPr="00B24CA3">
        <w:t>health</w:t>
      </w:r>
      <w:proofErr w:type="spellEnd"/>
      <w:r w:rsidRPr="00B24CA3">
        <w:t xml:space="preserve"> </w:t>
      </w:r>
      <w:proofErr w:type="spellStart"/>
      <w:r w:rsidRPr="00B24CA3">
        <w:t>professions</w:t>
      </w:r>
      <w:proofErr w:type="spellEnd"/>
      <w:r w:rsidRPr="00B24CA3">
        <w:rPr>
          <w:spacing w:val="-3"/>
        </w:rPr>
        <w:t xml:space="preserve"> </w:t>
      </w:r>
      <w:r w:rsidRPr="00B24CA3">
        <w:t>at</w:t>
      </w:r>
      <w:r w:rsidRPr="00B24CA3">
        <w:rPr>
          <w:spacing w:val="-6"/>
        </w:rPr>
        <w:t xml:space="preserve"> </w:t>
      </w:r>
      <w:proofErr w:type="spellStart"/>
      <w:r w:rsidRPr="00B24CA3">
        <w:t>southern</w:t>
      </w:r>
      <w:proofErr w:type="spellEnd"/>
      <w:r w:rsidRPr="00B24CA3">
        <w:rPr>
          <w:spacing w:val="-4"/>
        </w:rPr>
        <w:t xml:space="preserve"> </w:t>
      </w:r>
      <w:proofErr w:type="spellStart"/>
      <w:r w:rsidRPr="00B24CA3">
        <w:t>medical</w:t>
      </w:r>
      <w:proofErr w:type="spellEnd"/>
      <w:r w:rsidRPr="00B24CA3">
        <w:rPr>
          <w:spacing w:val="-6"/>
        </w:rPr>
        <w:t xml:space="preserve"> </w:t>
      </w:r>
      <w:proofErr w:type="spellStart"/>
      <w:r w:rsidRPr="00B24CA3">
        <w:t>university</w:t>
      </w:r>
      <w:proofErr w:type="spellEnd"/>
      <w:r w:rsidRPr="00B24CA3">
        <w:t>,</w:t>
      </w:r>
      <w:r w:rsidRPr="00B24CA3">
        <w:rPr>
          <w:spacing w:val="-4"/>
        </w:rPr>
        <w:t xml:space="preserve"> </w:t>
      </w:r>
      <w:r w:rsidRPr="00B24CA3">
        <w:t>PR</w:t>
      </w:r>
      <w:r w:rsidRPr="00B24CA3">
        <w:rPr>
          <w:spacing w:val="-4"/>
        </w:rPr>
        <w:t xml:space="preserve"> </w:t>
      </w:r>
      <w:proofErr w:type="spellStart"/>
      <w:r w:rsidRPr="00B24CA3">
        <w:t>China</w:t>
      </w:r>
      <w:proofErr w:type="spellEnd"/>
      <w:r w:rsidRPr="00B24CA3">
        <w:t xml:space="preserve">. </w:t>
      </w:r>
      <w:r w:rsidRPr="00B24CA3">
        <w:rPr>
          <w:i/>
        </w:rPr>
        <w:t>Open</w:t>
      </w:r>
      <w:r w:rsidRPr="00B24CA3">
        <w:rPr>
          <w:i/>
          <w:spacing w:val="-4"/>
        </w:rPr>
        <w:t xml:space="preserve"> </w:t>
      </w:r>
      <w:proofErr w:type="spellStart"/>
      <w:r w:rsidRPr="00B24CA3">
        <w:rPr>
          <w:i/>
        </w:rPr>
        <w:t>Journal</w:t>
      </w:r>
      <w:proofErr w:type="spellEnd"/>
      <w:r w:rsidRPr="00B24CA3">
        <w:rPr>
          <w:i/>
          <w:spacing w:val="-6"/>
        </w:rPr>
        <w:t xml:space="preserve"> </w:t>
      </w:r>
      <w:r w:rsidRPr="00B24CA3">
        <w:rPr>
          <w:i/>
        </w:rPr>
        <w:t>of</w:t>
      </w:r>
      <w:r w:rsidRPr="00B24CA3">
        <w:rPr>
          <w:i/>
          <w:spacing w:val="-6"/>
        </w:rPr>
        <w:t xml:space="preserve"> </w:t>
      </w:r>
      <w:proofErr w:type="spellStart"/>
      <w:r w:rsidRPr="00B24CA3">
        <w:rPr>
          <w:i/>
        </w:rPr>
        <w:t>Social</w:t>
      </w:r>
      <w:proofErr w:type="spellEnd"/>
      <w:r w:rsidRPr="00B24CA3">
        <w:rPr>
          <w:i/>
          <w:spacing w:val="-6"/>
        </w:rPr>
        <w:t xml:space="preserve"> </w:t>
      </w:r>
      <w:proofErr w:type="spellStart"/>
      <w:r w:rsidRPr="00B24CA3">
        <w:rPr>
          <w:i/>
        </w:rPr>
        <w:t>Sciences</w:t>
      </w:r>
      <w:proofErr w:type="spellEnd"/>
      <w:r w:rsidRPr="00B24CA3">
        <w:t>,</w:t>
      </w:r>
      <w:r w:rsidRPr="00B24CA3">
        <w:rPr>
          <w:spacing w:val="-4"/>
        </w:rPr>
        <w:t xml:space="preserve"> </w:t>
      </w:r>
      <w:r w:rsidRPr="00B24CA3">
        <w:t xml:space="preserve">8(12), </w:t>
      </w:r>
      <w:r w:rsidRPr="00B24CA3">
        <w:rPr>
          <w:spacing w:val="-4"/>
        </w:rPr>
        <w:t>161.</w:t>
      </w:r>
    </w:p>
    <w:p w14:paraId="0A26037E" w14:textId="77777777" w:rsidR="00FF4BC0" w:rsidRPr="00B24CA3" w:rsidRDefault="00FF4BC0">
      <w:pPr>
        <w:pStyle w:val="GvdeMetni"/>
        <w:numPr>
          <w:ilvl w:val="0"/>
          <w:numId w:val="57"/>
        </w:numPr>
        <w:ind w:right="175"/>
        <w:jc w:val="both"/>
      </w:pPr>
      <w:proofErr w:type="spellStart"/>
      <w:r w:rsidRPr="00B24CA3">
        <w:t>Miglietta</w:t>
      </w:r>
      <w:proofErr w:type="spellEnd"/>
      <w:r w:rsidRPr="00B24CA3">
        <w:t xml:space="preserve">, A., &amp; </w:t>
      </w:r>
      <w:proofErr w:type="spellStart"/>
      <w:r w:rsidRPr="00B24CA3">
        <w:t>Tartaglia</w:t>
      </w:r>
      <w:proofErr w:type="spellEnd"/>
      <w:r w:rsidRPr="00B24CA3">
        <w:t xml:space="preserve">, S. (2009). </w:t>
      </w:r>
      <w:proofErr w:type="spellStart"/>
      <w:r w:rsidRPr="00B24CA3">
        <w:t>The</w:t>
      </w:r>
      <w:proofErr w:type="spellEnd"/>
      <w:r w:rsidRPr="00B24CA3">
        <w:t xml:space="preserve"> </w:t>
      </w:r>
      <w:proofErr w:type="spellStart"/>
      <w:r w:rsidRPr="00B24CA3">
        <w:t>influence</w:t>
      </w:r>
      <w:proofErr w:type="spellEnd"/>
      <w:r w:rsidRPr="00B24CA3">
        <w:t xml:space="preserve"> of </w:t>
      </w:r>
      <w:proofErr w:type="spellStart"/>
      <w:r w:rsidRPr="00B24CA3">
        <w:t>length</w:t>
      </w:r>
      <w:proofErr w:type="spellEnd"/>
      <w:r w:rsidRPr="00B24CA3">
        <w:t xml:space="preserve"> of </w:t>
      </w:r>
      <w:proofErr w:type="spellStart"/>
      <w:r w:rsidRPr="00B24CA3">
        <w:t>stay</w:t>
      </w:r>
      <w:proofErr w:type="spellEnd"/>
      <w:r w:rsidRPr="00B24CA3">
        <w:t xml:space="preserve">, </w:t>
      </w:r>
      <w:proofErr w:type="spellStart"/>
      <w:r w:rsidRPr="00B24CA3">
        <w:t>linguistic</w:t>
      </w:r>
      <w:proofErr w:type="spellEnd"/>
      <w:r w:rsidRPr="00B24CA3">
        <w:t xml:space="preserve"> </w:t>
      </w:r>
      <w:proofErr w:type="spellStart"/>
      <w:r w:rsidRPr="00B24CA3">
        <w:t>competence</w:t>
      </w:r>
      <w:proofErr w:type="spellEnd"/>
      <w:r w:rsidRPr="00B24CA3">
        <w:t xml:space="preserve">, </w:t>
      </w:r>
      <w:proofErr w:type="spellStart"/>
      <w:r w:rsidRPr="00B24CA3">
        <w:t>and</w:t>
      </w:r>
      <w:proofErr w:type="spellEnd"/>
      <w:r w:rsidRPr="00B24CA3">
        <w:t xml:space="preserve"> </w:t>
      </w:r>
      <w:proofErr w:type="spellStart"/>
      <w:r w:rsidRPr="00B24CA3">
        <w:t>media</w:t>
      </w:r>
      <w:proofErr w:type="spellEnd"/>
      <w:r w:rsidRPr="00B24CA3">
        <w:t xml:space="preserve"> </w:t>
      </w:r>
      <w:proofErr w:type="spellStart"/>
      <w:r w:rsidRPr="00B24CA3">
        <w:t>exposure</w:t>
      </w:r>
      <w:proofErr w:type="spellEnd"/>
      <w:r w:rsidRPr="00B24CA3">
        <w:t xml:space="preserve"> in </w:t>
      </w:r>
      <w:proofErr w:type="spellStart"/>
      <w:r w:rsidRPr="00B24CA3">
        <w:t>immigrants</w:t>
      </w:r>
      <w:proofErr w:type="spellEnd"/>
      <w:r w:rsidRPr="00B24CA3">
        <w:t xml:space="preserve">' </w:t>
      </w:r>
      <w:proofErr w:type="spellStart"/>
      <w:r w:rsidRPr="00B24CA3">
        <w:t>adaptation</w:t>
      </w:r>
      <w:proofErr w:type="spellEnd"/>
      <w:r w:rsidRPr="00B24CA3">
        <w:t xml:space="preserve">. </w:t>
      </w:r>
      <w:r w:rsidRPr="00B24CA3">
        <w:rPr>
          <w:i/>
        </w:rPr>
        <w:t>Cross-</w:t>
      </w:r>
      <w:proofErr w:type="spellStart"/>
      <w:r w:rsidRPr="00B24CA3">
        <w:rPr>
          <w:i/>
        </w:rPr>
        <w:t>Cultural</w:t>
      </w:r>
      <w:proofErr w:type="spellEnd"/>
      <w:r w:rsidRPr="00B24CA3">
        <w:rPr>
          <w:i/>
        </w:rPr>
        <w:t xml:space="preserve"> </w:t>
      </w:r>
      <w:proofErr w:type="spellStart"/>
      <w:r w:rsidRPr="00B24CA3">
        <w:rPr>
          <w:i/>
        </w:rPr>
        <w:t>Research</w:t>
      </w:r>
      <w:proofErr w:type="spellEnd"/>
      <w:r w:rsidRPr="00B24CA3">
        <w:t>, 43(1), 46-61.</w:t>
      </w:r>
    </w:p>
    <w:p w14:paraId="6F60AF65" w14:textId="77777777" w:rsidR="00FF4BC0" w:rsidRPr="00B24CA3" w:rsidRDefault="00FF4BC0">
      <w:pPr>
        <w:pStyle w:val="ListeParagraf"/>
        <w:numPr>
          <w:ilvl w:val="0"/>
          <w:numId w:val="57"/>
        </w:numPr>
        <w:ind w:right="154"/>
        <w:jc w:val="both"/>
      </w:pPr>
      <w:proofErr w:type="spellStart"/>
      <w:r w:rsidRPr="00B24CA3">
        <w:t>Munhall</w:t>
      </w:r>
      <w:proofErr w:type="spellEnd"/>
      <w:r w:rsidRPr="00B24CA3">
        <w:t>,</w:t>
      </w:r>
      <w:r w:rsidRPr="00D13217">
        <w:rPr>
          <w:spacing w:val="-4"/>
        </w:rPr>
        <w:t xml:space="preserve"> </w:t>
      </w:r>
      <w:r w:rsidRPr="00B24CA3">
        <w:t>P.</w:t>
      </w:r>
      <w:r w:rsidRPr="00D13217">
        <w:rPr>
          <w:spacing w:val="-4"/>
        </w:rPr>
        <w:t xml:space="preserve"> </w:t>
      </w:r>
      <w:r w:rsidRPr="00B24CA3">
        <w:t>L.</w:t>
      </w:r>
      <w:r w:rsidRPr="00D13217">
        <w:rPr>
          <w:spacing w:val="-4"/>
        </w:rPr>
        <w:t xml:space="preserve"> </w:t>
      </w:r>
      <w:r w:rsidRPr="00B24CA3">
        <w:t>(2012).</w:t>
      </w:r>
      <w:r w:rsidRPr="00D13217">
        <w:rPr>
          <w:spacing w:val="-4"/>
        </w:rPr>
        <w:t xml:space="preserve"> </w:t>
      </w:r>
      <w:r w:rsidRPr="00B24CA3">
        <w:t>A</w:t>
      </w:r>
      <w:r w:rsidRPr="00D13217">
        <w:rPr>
          <w:spacing w:val="-8"/>
        </w:rPr>
        <w:t xml:space="preserve"> </w:t>
      </w:r>
      <w:proofErr w:type="spellStart"/>
      <w:r w:rsidRPr="00B24CA3">
        <w:t>phenomenological</w:t>
      </w:r>
      <w:proofErr w:type="spellEnd"/>
      <w:r w:rsidRPr="00D13217">
        <w:rPr>
          <w:spacing w:val="-6"/>
        </w:rPr>
        <w:t xml:space="preserve"> </w:t>
      </w:r>
      <w:proofErr w:type="spellStart"/>
      <w:r w:rsidRPr="00B24CA3">
        <w:t>method</w:t>
      </w:r>
      <w:proofErr w:type="spellEnd"/>
      <w:r w:rsidRPr="00B24CA3">
        <w:t xml:space="preserve">. </w:t>
      </w:r>
      <w:proofErr w:type="spellStart"/>
      <w:r w:rsidRPr="00B24CA3">
        <w:t>In</w:t>
      </w:r>
      <w:proofErr w:type="spellEnd"/>
      <w:r w:rsidRPr="00D13217">
        <w:rPr>
          <w:spacing w:val="-4"/>
        </w:rPr>
        <w:t xml:space="preserve"> </w:t>
      </w:r>
      <w:r w:rsidRPr="00B24CA3">
        <w:t>P.</w:t>
      </w:r>
      <w:r w:rsidRPr="00D13217">
        <w:rPr>
          <w:spacing w:val="-4"/>
        </w:rPr>
        <w:t xml:space="preserve"> </w:t>
      </w:r>
      <w:r w:rsidRPr="00B24CA3">
        <w:t>L.</w:t>
      </w:r>
      <w:r w:rsidRPr="00D13217">
        <w:rPr>
          <w:spacing w:val="-10"/>
        </w:rPr>
        <w:t xml:space="preserve"> </w:t>
      </w:r>
      <w:proofErr w:type="spellStart"/>
      <w:r w:rsidRPr="00B24CA3">
        <w:t>Munhall</w:t>
      </w:r>
      <w:proofErr w:type="spellEnd"/>
      <w:r w:rsidRPr="00D13217">
        <w:rPr>
          <w:spacing w:val="-6"/>
        </w:rPr>
        <w:t xml:space="preserve"> </w:t>
      </w:r>
      <w:r w:rsidRPr="00B24CA3">
        <w:t xml:space="preserve">(Ed.), </w:t>
      </w:r>
      <w:proofErr w:type="spellStart"/>
      <w:r w:rsidRPr="00D13217">
        <w:rPr>
          <w:i/>
        </w:rPr>
        <w:t>Nursing</w:t>
      </w:r>
      <w:proofErr w:type="spellEnd"/>
      <w:r w:rsidRPr="00D13217">
        <w:rPr>
          <w:i/>
          <w:spacing w:val="-4"/>
        </w:rPr>
        <w:t xml:space="preserve"> </w:t>
      </w:r>
      <w:proofErr w:type="spellStart"/>
      <w:r w:rsidRPr="00D13217">
        <w:rPr>
          <w:i/>
        </w:rPr>
        <w:t>research</w:t>
      </w:r>
      <w:proofErr w:type="spellEnd"/>
      <w:r w:rsidRPr="00D13217">
        <w:rPr>
          <w:i/>
        </w:rPr>
        <w:t>:</w:t>
      </w:r>
      <w:r w:rsidRPr="00D13217">
        <w:rPr>
          <w:i/>
          <w:spacing w:val="-4"/>
        </w:rPr>
        <w:t xml:space="preserve"> </w:t>
      </w:r>
      <w:r w:rsidRPr="00D13217">
        <w:rPr>
          <w:i/>
        </w:rPr>
        <w:t xml:space="preserve">A </w:t>
      </w:r>
      <w:proofErr w:type="spellStart"/>
      <w:r w:rsidRPr="00D13217">
        <w:rPr>
          <w:i/>
        </w:rPr>
        <w:t>qualitative</w:t>
      </w:r>
      <w:proofErr w:type="spellEnd"/>
      <w:r w:rsidRPr="00D13217">
        <w:rPr>
          <w:i/>
        </w:rPr>
        <w:t xml:space="preserve"> </w:t>
      </w:r>
      <w:proofErr w:type="spellStart"/>
      <w:r w:rsidRPr="00D13217">
        <w:rPr>
          <w:i/>
        </w:rPr>
        <w:t>perspective</w:t>
      </w:r>
      <w:proofErr w:type="spellEnd"/>
      <w:r w:rsidRPr="00D13217">
        <w:rPr>
          <w:i/>
        </w:rPr>
        <w:t xml:space="preserve"> </w:t>
      </w:r>
      <w:r w:rsidRPr="00B24CA3">
        <w:t>(</w:t>
      </w:r>
      <w:proofErr w:type="spellStart"/>
      <w:r w:rsidRPr="00B24CA3">
        <w:t>pp</w:t>
      </w:r>
      <w:proofErr w:type="spellEnd"/>
      <w:r w:rsidRPr="00B24CA3">
        <w:t>. 113-175). SAGE.</w:t>
      </w:r>
    </w:p>
    <w:p w14:paraId="6B359F7D" w14:textId="77777777" w:rsidR="00FF4BC0" w:rsidRPr="00B24CA3" w:rsidRDefault="00FF4BC0">
      <w:pPr>
        <w:pStyle w:val="ListeParagraf"/>
        <w:numPr>
          <w:ilvl w:val="0"/>
          <w:numId w:val="57"/>
        </w:numPr>
        <w:ind w:right="158"/>
        <w:jc w:val="both"/>
      </w:pPr>
      <w:r w:rsidRPr="00B24CA3">
        <w:t xml:space="preserve">OECD. (2013). </w:t>
      </w:r>
      <w:proofErr w:type="spellStart"/>
      <w:r w:rsidRPr="00D13217">
        <w:rPr>
          <w:i/>
        </w:rPr>
        <w:t>Education</w:t>
      </w:r>
      <w:proofErr w:type="spellEnd"/>
      <w:r w:rsidRPr="00D13217">
        <w:rPr>
          <w:i/>
        </w:rPr>
        <w:t xml:space="preserve"> at a </w:t>
      </w:r>
      <w:proofErr w:type="spellStart"/>
      <w:r w:rsidRPr="00D13217">
        <w:rPr>
          <w:i/>
        </w:rPr>
        <w:t>glance</w:t>
      </w:r>
      <w:proofErr w:type="spellEnd"/>
      <w:r w:rsidRPr="00D13217">
        <w:rPr>
          <w:i/>
        </w:rPr>
        <w:t xml:space="preserve"> 2013: </w:t>
      </w:r>
      <w:proofErr w:type="spellStart"/>
      <w:r w:rsidRPr="00D13217">
        <w:rPr>
          <w:i/>
        </w:rPr>
        <w:t>Highlights</w:t>
      </w:r>
      <w:proofErr w:type="spellEnd"/>
      <w:r w:rsidRPr="00B24CA3">
        <w:t xml:space="preserve">. </w:t>
      </w:r>
      <w:hyperlink r:id="rId234">
        <w:r w:rsidRPr="00D13217">
          <w:rPr>
            <w:color w:val="467885"/>
            <w:u w:val="single" w:color="467885"/>
          </w:rPr>
          <w:t>https://doi.org/10.1787/eag_highlights-</w:t>
        </w:r>
      </w:hyperlink>
      <w:r w:rsidRPr="00D13217">
        <w:rPr>
          <w:color w:val="467885"/>
        </w:rPr>
        <w:t xml:space="preserve"> </w:t>
      </w:r>
      <w:hyperlink r:id="rId235">
        <w:r w:rsidRPr="00D13217">
          <w:rPr>
            <w:color w:val="467885"/>
            <w:spacing w:val="-2"/>
            <w:u w:val="single" w:color="467885"/>
          </w:rPr>
          <w:t>2013-en</w:t>
        </w:r>
      </w:hyperlink>
    </w:p>
    <w:p w14:paraId="03346A89" w14:textId="77777777" w:rsidR="00FF4BC0" w:rsidRPr="00B24CA3" w:rsidRDefault="00FF4BC0">
      <w:pPr>
        <w:pStyle w:val="ListeParagraf"/>
        <w:numPr>
          <w:ilvl w:val="0"/>
          <w:numId w:val="57"/>
        </w:numPr>
        <w:ind w:right="170"/>
        <w:jc w:val="both"/>
      </w:pPr>
      <w:r w:rsidRPr="00B24CA3">
        <w:t xml:space="preserve">Osmanlı, Ü. (2018). Uluslararası öğrencilerin sosyal adaptasyonuna yönelik bir araştırma: LAÜ örneği. </w:t>
      </w:r>
      <w:r w:rsidRPr="00D13217">
        <w:rPr>
          <w:i/>
        </w:rPr>
        <w:t xml:space="preserve">EUL </w:t>
      </w:r>
      <w:proofErr w:type="spellStart"/>
      <w:r w:rsidRPr="00D13217">
        <w:rPr>
          <w:i/>
        </w:rPr>
        <w:t>Journal</w:t>
      </w:r>
      <w:proofErr w:type="spellEnd"/>
      <w:r w:rsidRPr="00D13217">
        <w:rPr>
          <w:i/>
        </w:rPr>
        <w:t xml:space="preserve"> of </w:t>
      </w:r>
      <w:proofErr w:type="spellStart"/>
      <w:r w:rsidRPr="00D13217">
        <w:rPr>
          <w:i/>
        </w:rPr>
        <w:t>Social</w:t>
      </w:r>
      <w:proofErr w:type="spellEnd"/>
      <w:r w:rsidRPr="00D13217">
        <w:rPr>
          <w:i/>
        </w:rPr>
        <w:t xml:space="preserve"> </w:t>
      </w:r>
      <w:proofErr w:type="spellStart"/>
      <w:r w:rsidRPr="00D13217">
        <w:rPr>
          <w:i/>
        </w:rPr>
        <w:t>Sciences</w:t>
      </w:r>
      <w:proofErr w:type="spellEnd"/>
      <w:r w:rsidRPr="00D13217">
        <w:rPr>
          <w:i/>
        </w:rPr>
        <w:t>/LAÜ Sosyal Bilimler Dergisi</w:t>
      </w:r>
      <w:r w:rsidRPr="00B24CA3">
        <w:t>, 9(1).</w:t>
      </w:r>
    </w:p>
    <w:p w14:paraId="0CE7C172" w14:textId="77777777" w:rsidR="00FF4BC0" w:rsidRPr="00B24CA3" w:rsidRDefault="00FF4BC0">
      <w:pPr>
        <w:pStyle w:val="ListeParagraf"/>
        <w:numPr>
          <w:ilvl w:val="0"/>
          <w:numId w:val="57"/>
        </w:numPr>
        <w:ind w:right="171"/>
        <w:jc w:val="both"/>
      </w:pPr>
      <w:proofErr w:type="spellStart"/>
      <w:r w:rsidRPr="00B24CA3">
        <w:t>Patton</w:t>
      </w:r>
      <w:proofErr w:type="spellEnd"/>
      <w:r w:rsidRPr="00B24CA3">
        <w:t xml:space="preserve">, M. Q. (2014). </w:t>
      </w:r>
      <w:proofErr w:type="spellStart"/>
      <w:r w:rsidRPr="00D13217">
        <w:rPr>
          <w:i/>
        </w:rPr>
        <w:t>Qualitative</w:t>
      </w:r>
      <w:proofErr w:type="spellEnd"/>
      <w:r w:rsidRPr="00D13217">
        <w:rPr>
          <w:i/>
        </w:rPr>
        <w:t xml:space="preserve"> </w:t>
      </w:r>
      <w:proofErr w:type="spellStart"/>
      <w:r w:rsidRPr="00D13217">
        <w:rPr>
          <w:i/>
        </w:rPr>
        <w:t>research</w:t>
      </w:r>
      <w:proofErr w:type="spellEnd"/>
      <w:r w:rsidRPr="00D13217">
        <w:rPr>
          <w:i/>
        </w:rPr>
        <w:t xml:space="preserve"> &amp; </w:t>
      </w:r>
      <w:proofErr w:type="spellStart"/>
      <w:r w:rsidRPr="00D13217">
        <w:rPr>
          <w:i/>
        </w:rPr>
        <w:t>evaluation</w:t>
      </w:r>
      <w:proofErr w:type="spellEnd"/>
      <w:r w:rsidRPr="00D13217">
        <w:rPr>
          <w:i/>
        </w:rPr>
        <w:t xml:space="preserve"> </w:t>
      </w:r>
      <w:proofErr w:type="spellStart"/>
      <w:r w:rsidRPr="00D13217">
        <w:rPr>
          <w:i/>
        </w:rPr>
        <w:t>methods</w:t>
      </w:r>
      <w:proofErr w:type="spellEnd"/>
      <w:r w:rsidRPr="00D13217">
        <w:rPr>
          <w:i/>
        </w:rPr>
        <w:t xml:space="preserve">: </w:t>
      </w:r>
      <w:proofErr w:type="spellStart"/>
      <w:r w:rsidRPr="00D13217">
        <w:rPr>
          <w:i/>
        </w:rPr>
        <w:t>Integrating</w:t>
      </w:r>
      <w:proofErr w:type="spellEnd"/>
      <w:r w:rsidRPr="00D13217">
        <w:rPr>
          <w:i/>
        </w:rPr>
        <w:t xml:space="preserve"> </w:t>
      </w:r>
      <w:proofErr w:type="spellStart"/>
      <w:r w:rsidRPr="00D13217">
        <w:rPr>
          <w:i/>
        </w:rPr>
        <w:t>theory</w:t>
      </w:r>
      <w:proofErr w:type="spellEnd"/>
      <w:r w:rsidRPr="00D13217">
        <w:rPr>
          <w:i/>
        </w:rPr>
        <w:t xml:space="preserve"> </w:t>
      </w:r>
      <w:proofErr w:type="spellStart"/>
      <w:r w:rsidRPr="00D13217">
        <w:rPr>
          <w:i/>
        </w:rPr>
        <w:t>and</w:t>
      </w:r>
      <w:proofErr w:type="spellEnd"/>
      <w:r w:rsidRPr="00D13217">
        <w:rPr>
          <w:i/>
        </w:rPr>
        <w:t xml:space="preserve"> </w:t>
      </w:r>
      <w:proofErr w:type="spellStart"/>
      <w:r w:rsidRPr="00D13217">
        <w:rPr>
          <w:i/>
        </w:rPr>
        <w:t>practice</w:t>
      </w:r>
      <w:proofErr w:type="spellEnd"/>
      <w:r w:rsidRPr="00B24CA3">
        <w:t>. SAGE.</w:t>
      </w:r>
    </w:p>
    <w:p w14:paraId="31F4E452" w14:textId="77777777" w:rsidR="00FF4BC0" w:rsidRPr="00B24CA3" w:rsidRDefault="00FF4BC0">
      <w:pPr>
        <w:pStyle w:val="GvdeMetni"/>
        <w:numPr>
          <w:ilvl w:val="0"/>
          <w:numId w:val="57"/>
        </w:numPr>
        <w:ind w:right="171"/>
        <w:jc w:val="both"/>
      </w:pPr>
      <w:proofErr w:type="spellStart"/>
      <w:r w:rsidRPr="00B24CA3">
        <w:t>Pinarbasi</w:t>
      </w:r>
      <w:proofErr w:type="spellEnd"/>
      <w:r w:rsidRPr="00B24CA3">
        <w:t>,</w:t>
      </w:r>
      <w:r w:rsidRPr="00B24CA3">
        <w:rPr>
          <w:spacing w:val="-15"/>
        </w:rPr>
        <w:t xml:space="preserve"> </w:t>
      </w:r>
      <w:r w:rsidRPr="00B24CA3">
        <w:t>G.</w:t>
      </w:r>
      <w:r w:rsidRPr="00B24CA3">
        <w:rPr>
          <w:spacing w:val="-15"/>
        </w:rPr>
        <w:t xml:space="preserve"> </w:t>
      </w:r>
      <w:r w:rsidRPr="00B24CA3">
        <w:t>(2023).</w:t>
      </w:r>
      <w:r w:rsidRPr="00B24CA3">
        <w:rPr>
          <w:spacing w:val="-15"/>
        </w:rPr>
        <w:t xml:space="preserve"> </w:t>
      </w:r>
      <w:r w:rsidRPr="00B24CA3">
        <w:t>International</w:t>
      </w:r>
      <w:r w:rsidRPr="00B24CA3">
        <w:rPr>
          <w:spacing w:val="-15"/>
        </w:rPr>
        <w:t xml:space="preserve"> </w:t>
      </w:r>
      <w:proofErr w:type="spellStart"/>
      <w:r w:rsidRPr="00B24CA3">
        <w:t>students</w:t>
      </w:r>
      <w:proofErr w:type="spellEnd"/>
      <w:r w:rsidRPr="00B24CA3">
        <w:t>’</w:t>
      </w:r>
      <w:r w:rsidRPr="00B24CA3">
        <w:rPr>
          <w:spacing w:val="-15"/>
        </w:rPr>
        <w:t xml:space="preserve"> </w:t>
      </w:r>
      <w:proofErr w:type="spellStart"/>
      <w:r w:rsidRPr="00B24CA3">
        <w:t>sociocultural</w:t>
      </w:r>
      <w:proofErr w:type="spellEnd"/>
      <w:r w:rsidRPr="00B24CA3">
        <w:rPr>
          <w:spacing w:val="-15"/>
        </w:rPr>
        <w:t xml:space="preserve"> </w:t>
      </w:r>
      <w:proofErr w:type="spellStart"/>
      <w:r w:rsidRPr="00B24CA3">
        <w:t>adaptation</w:t>
      </w:r>
      <w:proofErr w:type="spellEnd"/>
      <w:r w:rsidRPr="00B24CA3">
        <w:rPr>
          <w:spacing w:val="-15"/>
        </w:rPr>
        <w:t xml:space="preserve"> </w:t>
      </w:r>
      <w:proofErr w:type="spellStart"/>
      <w:r w:rsidRPr="00B24CA3">
        <w:t>experiences</w:t>
      </w:r>
      <w:proofErr w:type="spellEnd"/>
      <w:r w:rsidRPr="00B24CA3">
        <w:t>:</w:t>
      </w:r>
      <w:r w:rsidRPr="00B24CA3">
        <w:rPr>
          <w:spacing w:val="-15"/>
        </w:rPr>
        <w:t xml:space="preserve"> </w:t>
      </w:r>
      <w:proofErr w:type="spellStart"/>
      <w:r w:rsidRPr="00B24CA3">
        <w:t>Their</w:t>
      </w:r>
      <w:proofErr w:type="spellEnd"/>
      <w:r w:rsidRPr="00B24CA3">
        <w:rPr>
          <w:spacing w:val="-15"/>
        </w:rPr>
        <w:t xml:space="preserve"> </w:t>
      </w:r>
      <w:proofErr w:type="spellStart"/>
      <w:r w:rsidRPr="00B24CA3">
        <w:t>perceived</w:t>
      </w:r>
      <w:proofErr w:type="spellEnd"/>
      <w:r w:rsidRPr="00B24CA3">
        <w:t xml:space="preserve"> </w:t>
      </w:r>
      <w:proofErr w:type="spellStart"/>
      <w:r w:rsidRPr="00B24CA3">
        <w:t>stress</w:t>
      </w:r>
      <w:proofErr w:type="spellEnd"/>
      <w:r w:rsidRPr="00B24CA3">
        <w:t xml:space="preserve"> </w:t>
      </w:r>
      <w:proofErr w:type="spellStart"/>
      <w:r w:rsidRPr="00B24CA3">
        <w:t>and</w:t>
      </w:r>
      <w:proofErr w:type="spellEnd"/>
      <w:r w:rsidRPr="00B24CA3">
        <w:t xml:space="preserve"> </w:t>
      </w:r>
      <w:proofErr w:type="spellStart"/>
      <w:r w:rsidRPr="00B24CA3">
        <w:t>coping</w:t>
      </w:r>
      <w:proofErr w:type="spellEnd"/>
      <w:r w:rsidRPr="00B24CA3">
        <w:t xml:space="preserve"> </w:t>
      </w:r>
      <w:proofErr w:type="spellStart"/>
      <w:r w:rsidRPr="00B24CA3">
        <w:t>strategies</w:t>
      </w:r>
      <w:proofErr w:type="spellEnd"/>
      <w:r w:rsidRPr="00B24CA3">
        <w:t xml:space="preserve">. </w:t>
      </w:r>
      <w:proofErr w:type="spellStart"/>
      <w:r w:rsidRPr="00B24CA3">
        <w:rPr>
          <w:i/>
        </w:rPr>
        <w:t>Academic</w:t>
      </w:r>
      <w:proofErr w:type="spellEnd"/>
      <w:r w:rsidRPr="00B24CA3">
        <w:rPr>
          <w:i/>
        </w:rPr>
        <w:t xml:space="preserve"> </w:t>
      </w:r>
      <w:proofErr w:type="spellStart"/>
      <w:r w:rsidRPr="00B24CA3">
        <w:rPr>
          <w:i/>
        </w:rPr>
        <w:t>Social</w:t>
      </w:r>
      <w:proofErr w:type="spellEnd"/>
      <w:r w:rsidRPr="00B24CA3">
        <w:rPr>
          <w:i/>
        </w:rPr>
        <w:t xml:space="preserve"> </w:t>
      </w:r>
      <w:proofErr w:type="spellStart"/>
      <w:r w:rsidRPr="00B24CA3">
        <w:rPr>
          <w:i/>
        </w:rPr>
        <w:t>Resources</w:t>
      </w:r>
      <w:proofErr w:type="spellEnd"/>
      <w:r w:rsidRPr="00B24CA3">
        <w:rPr>
          <w:i/>
        </w:rPr>
        <w:t xml:space="preserve"> </w:t>
      </w:r>
      <w:proofErr w:type="spellStart"/>
      <w:r w:rsidRPr="00B24CA3">
        <w:rPr>
          <w:i/>
        </w:rPr>
        <w:t>Journal</w:t>
      </w:r>
      <w:proofErr w:type="spellEnd"/>
      <w:r w:rsidRPr="00B24CA3">
        <w:t>, 8(55), 4059-4080.</w:t>
      </w:r>
    </w:p>
    <w:p w14:paraId="1AE7E736" w14:textId="77777777" w:rsidR="00FF4BC0" w:rsidRPr="00B24CA3" w:rsidRDefault="00FF4BC0">
      <w:pPr>
        <w:pStyle w:val="GvdeMetni"/>
        <w:numPr>
          <w:ilvl w:val="0"/>
          <w:numId w:val="57"/>
        </w:numPr>
        <w:ind w:right="170"/>
        <w:jc w:val="both"/>
      </w:pPr>
      <w:proofErr w:type="spellStart"/>
      <w:r w:rsidRPr="00B24CA3">
        <w:t>Radmard</w:t>
      </w:r>
      <w:proofErr w:type="spellEnd"/>
      <w:r w:rsidRPr="00B24CA3">
        <w:t xml:space="preserve">, S. (2017). Türk üniversitelerindeki uluslararası öğrencilerin yükseköğretim taleplerini etkileyen etkenlerin incelenmesi. </w:t>
      </w:r>
      <w:r w:rsidRPr="00B24CA3">
        <w:rPr>
          <w:i/>
        </w:rPr>
        <w:t>Yükseköğretim ve Bilim Dergisi</w:t>
      </w:r>
      <w:r w:rsidRPr="00B24CA3">
        <w:t>, (1), 67-77.</w:t>
      </w:r>
    </w:p>
    <w:p w14:paraId="4D9DCD82" w14:textId="77777777" w:rsidR="00FF4BC0" w:rsidRPr="00B24CA3" w:rsidRDefault="00FF4BC0">
      <w:pPr>
        <w:pStyle w:val="ListeParagraf"/>
        <w:numPr>
          <w:ilvl w:val="0"/>
          <w:numId w:val="57"/>
        </w:numPr>
        <w:ind w:right="163"/>
        <w:jc w:val="both"/>
      </w:pPr>
      <w:proofErr w:type="spellStart"/>
      <w:r w:rsidRPr="00B24CA3">
        <w:t>Rubin</w:t>
      </w:r>
      <w:proofErr w:type="spellEnd"/>
      <w:r w:rsidRPr="00B24CA3">
        <w:t xml:space="preserve">, H. J., &amp; </w:t>
      </w:r>
      <w:proofErr w:type="spellStart"/>
      <w:r w:rsidRPr="00B24CA3">
        <w:t>Rubin</w:t>
      </w:r>
      <w:proofErr w:type="spellEnd"/>
      <w:r w:rsidRPr="00B24CA3">
        <w:t xml:space="preserve">, I. S. (2011). </w:t>
      </w:r>
      <w:proofErr w:type="spellStart"/>
      <w:r w:rsidRPr="00D13217">
        <w:rPr>
          <w:i/>
        </w:rPr>
        <w:t>Qualitative</w:t>
      </w:r>
      <w:proofErr w:type="spellEnd"/>
      <w:r w:rsidRPr="00D13217">
        <w:rPr>
          <w:i/>
        </w:rPr>
        <w:t xml:space="preserve"> </w:t>
      </w:r>
      <w:proofErr w:type="spellStart"/>
      <w:r w:rsidRPr="00D13217">
        <w:rPr>
          <w:i/>
        </w:rPr>
        <w:t>interviewing</w:t>
      </w:r>
      <w:proofErr w:type="spellEnd"/>
      <w:r w:rsidRPr="00D13217">
        <w:rPr>
          <w:i/>
        </w:rPr>
        <w:t xml:space="preserve">: </w:t>
      </w:r>
      <w:proofErr w:type="spellStart"/>
      <w:r w:rsidRPr="00D13217">
        <w:rPr>
          <w:i/>
        </w:rPr>
        <w:t>The</w:t>
      </w:r>
      <w:proofErr w:type="spellEnd"/>
      <w:r w:rsidRPr="00D13217">
        <w:rPr>
          <w:i/>
        </w:rPr>
        <w:t xml:space="preserve"> art of </w:t>
      </w:r>
      <w:proofErr w:type="spellStart"/>
      <w:r w:rsidRPr="00D13217">
        <w:rPr>
          <w:i/>
        </w:rPr>
        <w:t>hearing</w:t>
      </w:r>
      <w:proofErr w:type="spellEnd"/>
      <w:r w:rsidRPr="00D13217">
        <w:rPr>
          <w:i/>
        </w:rPr>
        <w:t xml:space="preserve"> </w:t>
      </w:r>
      <w:proofErr w:type="gramStart"/>
      <w:r w:rsidRPr="00D13217">
        <w:rPr>
          <w:i/>
        </w:rPr>
        <w:t>data</w:t>
      </w:r>
      <w:proofErr w:type="gramEnd"/>
      <w:r w:rsidRPr="00B24CA3">
        <w:t>. SAGE. Saygın,</w:t>
      </w:r>
      <w:r w:rsidRPr="00D13217">
        <w:rPr>
          <w:spacing w:val="25"/>
        </w:rPr>
        <w:t xml:space="preserve"> </w:t>
      </w:r>
      <w:r w:rsidRPr="00B24CA3">
        <w:t>S.,</w:t>
      </w:r>
      <w:r w:rsidRPr="00D13217">
        <w:rPr>
          <w:spacing w:val="28"/>
        </w:rPr>
        <w:t xml:space="preserve"> </w:t>
      </w:r>
      <w:r w:rsidRPr="00B24CA3">
        <w:t>&amp;</w:t>
      </w:r>
      <w:r w:rsidRPr="00D13217">
        <w:rPr>
          <w:spacing w:val="30"/>
        </w:rPr>
        <w:t xml:space="preserve"> </w:t>
      </w:r>
      <w:r w:rsidRPr="00B24CA3">
        <w:t>Hasta,</w:t>
      </w:r>
      <w:r w:rsidRPr="00D13217">
        <w:rPr>
          <w:spacing w:val="28"/>
        </w:rPr>
        <w:t xml:space="preserve"> </w:t>
      </w:r>
      <w:r w:rsidRPr="00B24CA3">
        <w:t>D.</w:t>
      </w:r>
      <w:r w:rsidRPr="00D13217">
        <w:rPr>
          <w:spacing w:val="27"/>
        </w:rPr>
        <w:t xml:space="preserve"> </w:t>
      </w:r>
      <w:r w:rsidRPr="00B24CA3">
        <w:t>(2018).</w:t>
      </w:r>
      <w:r w:rsidRPr="00D13217">
        <w:rPr>
          <w:spacing w:val="33"/>
        </w:rPr>
        <w:t xml:space="preserve"> </w:t>
      </w:r>
      <w:r w:rsidRPr="00B24CA3">
        <w:t>Göç,</w:t>
      </w:r>
      <w:r w:rsidRPr="00D13217">
        <w:rPr>
          <w:spacing w:val="27"/>
        </w:rPr>
        <w:t xml:space="preserve"> </w:t>
      </w:r>
      <w:r w:rsidRPr="00B24CA3">
        <w:t>kültürleşme</w:t>
      </w:r>
      <w:r w:rsidRPr="00D13217">
        <w:rPr>
          <w:spacing w:val="32"/>
        </w:rPr>
        <w:t xml:space="preserve"> </w:t>
      </w:r>
      <w:r w:rsidRPr="00B24CA3">
        <w:t>ve</w:t>
      </w:r>
      <w:r w:rsidRPr="00D13217">
        <w:rPr>
          <w:spacing w:val="26"/>
        </w:rPr>
        <w:t xml:space="preserve"> </w:t>
      </w:r>
      <w:r w:rsidRPr="00B24CA3">
        <w:t>uyum.</w:t>
      </w:r>
      <w:r w:rsidRPr="00D13217">
        <w:rPr>
          <w:spacing w:val="41"/>
        </w:rPr>
        <w:t xml:space="preserve"> </w:t>
      </w:r>
      <w:r w:rsidRPr="00D13217">
        <w:rPr>
          <w:i/>
        </w:rPr>
        <w:t>Psikiyatride</w:t>
      </w:r>
      <w:r w:rsidRPr="00D13217">
        <w:rPr>
          <w:i/>
          <w:spacing w:val="30"/>
        </w:rPr>
        <w:t xml:space="preserve"> </w:t>
      </w:r>
      <w:r w:rsidRPr="00D13217">
        <w:rPr>
          <w:i/>
        </w:rPr>
        <w:t>Güncel</w:t>
      </w:r>
      <w:r w:rsidRPr="00D13217">
        <w:rPr>
          <w:i/>
          <w:spacing w:val="31"/>
        </w:rPr>
        <w:t xml:space="preserve"> </w:t>
      </w:r>
      <w:r w:rsidRPr="00D13217">
        <w:rPr>
          <w:i/>
          <w:spacing w:val="-2"/>
        </w:rPr>
        <w:t>Yaklaşımlar</w:t>
      </w:r>
      <w:r w:rsidRPr="00D13217">
        <w:rPr>
          <w:spacing w:val="-2"/>
        </w:rPr>
        <w:t>,</w:t>
      </w:r>
    </w:p>
    <w:p w14:paraId="39E1CFFA" w14:textId="77777777" w:rsidR="00FF4BC0" w:rsidRPr="00B24CA3" w:rsidRDefault="00FF4BC0">
      <w:pPr>
        <w:pStyle w:val="GvdeMetni"/>
        <w:numPr>
          <w:ilvl w:val="0"/>
          <w:numId w:val="57"/>
        </w:numPr>
        <w:jc w:val="both"/>
      </w:pPr>
      <w:r w:rsidRPr="00B24CA3">
        <w:t>10(3), 302-</w:t>
      </w:r>
      <w:r w:rsidRPr="00B24CA3">
        <w:rPr>
          <w:spacing w:val="-4"/>
        </w:rPr>
        <w:t>323.</w:t>
      </w:r>
    </w:p>
    <w:p w14:paraId="26F48097" w14:textId="77777777" w:rsidR="00FF4BC0" w:rsidRPr="00B24CA3" w:rsidRDefault="00FF4BC0">
      <w:pPr>
        <w:pStyle w:val="GvdeMetni"/>
        <w:numPr>
          <w:ilvl w:val="0"/>
          <w:numId w:val="57"/>
        </w:numPr>
        <w:ind w:right="173"/>
        <w:jc w:val="both"/>
      </w:pPr>
      <w:proofErr w:type="spellStart"/>
      <w:r w:rsidRPr="00B24CA3">
        <w:t>Schneide</w:t>
      </w:r>
      <w:proofErr w:type="spellEnd"/>
      <w:r w:rsidRPr="00B24CA3">
        <w:t xml:space="preserve">, J. (2024, </w:t>
      </w:r>
      <w:proofErr w:type="spellStart"/>
      <w:r w:rsidRPr="00B24CA3">
        <w:t>February</w:t>
      </w:r>
      <w:proofErr w:type="spellEnd"/>
      <w:r w:rsidRPr="00B24CA3">
        <w:t xml:space="preserve"> 27). </w:t>
      </w:r>
      <w:proofErr w:type="spellStart"/>
      <w:r w:rsidRPr="00B24CA3">
        <w:t>Explore</w:t>
      </w:r>
      <w:proofErr w:type="spellEnd"/>
      <w:r w:rsidRPr="00B24CA3">
        <w:t xml:space="preserve"> </w:t>
      </w:r>
      <w:proofErr w:type="spellStart"/>
      <w:r w:rsidRPr="00B24CA3">
        <w:t>the</w:t>
      </w:r>
      <w:proofErr w:type="spellEnd"/>
      <w:r w:rsidRPr="00B24CA3">
        <w:t xml:space="preserve"> </w:t>
      </w:r>
      <w:proofErr w:type="spellStart"/>
      <w:r w:rsidRPr="00B24CA3">
        <w:t>impact</w:t>
      </w:r>
      <w:proofErr w:type="spellEnd"/>
      <w:r w:rsidRPr="00B24CA3">
        <w:t xml:space="preserve"> of </w:t>
      </w:r>
      <w:proofErr w:type="spellStart"/>
      <w:r w:rsidRPr="00B24CA3">
        <w:t>globalization</w:t>
      </w:r>
      <w:proofErr w:type="spellEnd"/>
      <w:r w:rsidRPr="00B24CA3">
        <w:t xml:space="preserve"> on </w:t>
      </w:r>
      <w:proofErr w:type="spellStart"/>
      <w:r w:rsidRPr="00B24CA3">
        <w:t>education</w:t>
      </w:r>
      <w:proofErr w:type="spellEnd"/>
      <w:r w:rsidRPr="00B24CA3">
        <w:t xml:space="preserve">. </w:t>
      </w:r>
      <w:hyperlink r:id="rId236">
        <w:r w:rsidRPr="00B24CA3">
          <w:rPr>
            <w:color w:val="467885"/>
            <w:spacing w:val="-2"/>
            <w:u w:val="single" w:color="467885"/>
          </w:rPr>
          <w:t>https://www.schneideit.com/blogs/impact-of-globalization-on-education/</w:t>
        </w:r>
      </w:hyperlink>
    </w:p>
    <w:p w14:paraId="0CF5E15F" w14:textId="77777777" w:rsidR="00FF4BC0" w:rsidRPr="00B24CA3" w:rsidRDefault="00FF4BC0">
      <w:pPr>
        <w:pStyle w:val="ListeParagraf"/>
        <w:numPr>
          <w:ilvl w:val="0"/>
          <w:numId w:val="57"/>
        </w:numPr>
        <w:ind w:right="173"/>
        <w:jc w:val="both"/>
      </w:pPr>
      <w:r w:rsidRPr="00B24CA3">
        <w:t>Smith,</w:t>
      </w:r>
      <w:r w:rsidRPr="00D13217">
        <w:rPr>
          <w:spacing w:val="-13"/>
        </w:rPr>
        <w:t xml:space="preserve"> </w:t>
      </w:r>
      <w:r w:rsidRPr="00B24CA3">
        <w:t>R.</w:t>
      </w:r>
      <w:r w:rsidRPr="00D13217">
        <w:rPr>
          <w:spacing w:val="-9"/>
        </w:rPr>
        <w:t xml:space="preserve"> </w:t>
      </w:r>
      <w:r w:rsidRPr="00B24CA3">
        <w:t>A.,</w:t>
      </w:r>
      <w:r w:rsidRPr="00D13217">
        <w:rPr>
          <w:spacing w:val="-13"/>
        </w:rPr>
        <w:t xml:space="preserve"> </w:t>
      </w:r>
      <w:r w:rsidRPr="00B24CA3">
        <w:t>&amp;</w:t>
      </w:r>
      <w:r w:rsidRPr="00D13217">
        <w:rPr>
          <w:spacing w:val="-14"/>
        </w:rPr>
        <w:t xml:space="preserve"> </w:t>
      </w:r>
      <w:proofErr w:type="spellStart"/>
      <w:r w:rsidRPr="00B24CA3">
        <w:t>Khawaja</w:t>
      </w:r>
      <w:proofErr w:type="spellEnd"/>
      <w:r w:rsidRPr="00B24CA3">
        <w:t>,</w:t>
      </w:r>
      <w:r w:rsidRPr="00D13217">
        <w:rPr>
          <w:spacing w:val="-13"/>
        </w:rPr>
        <w:t xml:space="preserve"> </w:t>
      </w:r>
      <w:r w:rsidRPr="00B24CA3">
        <w:t>N.</w:t>
      </w:r>
      <w:r w:rsidRPr="00D13217">
        <w:rPr>
          <w:spacing w:val="-9"/>
        </w:rPr>
        <w:t xml:space="preserve"> </w:t>
      </w:r>
      <w:r w:rsidRPr="00B24CA3">
        <w:t>G.</w:t>
      </w:r>
      <w:r w:rsidRPr="00D13217">
        <w:rPr>
          <w:spacing w:val="-13"/>
        </w:rPr>
        <w:t xml:space="preserve"> </w:t>
      </w:r>
      <w:r w:rsidRPr="00B24CA3">
        <w:t>(2011).</w:t>
      </w:r>
      <w:r w:rsidRPr="00D13217">
        <w:rPr>
          <w:spacing w:val="-9"/>
        </w:rPr>
        <w:t xml:space="preserve"> </w:t>
      </w:r>
      <w:r w:rsidRPr="00B24CA3">
        <w:t>A</w:t>
      </w:r>
      <w:r w:rsidRPr="00D13217">
        <w:rPr>
          <w:spacing w:val="-11"/>
        </w:rPr>
        <w:t xml:space="preserve"> </w:t>
      </w:r>
      <w:proofErr w:type="spellStart"/>
      <w:r w:rsidRPr="00B24CA3">
        <w:t>review</w:t>
      </w:r>
      <w:proofErr w:type="spellEnd"/>
      <w:r w:rsidRPr="00D13217">
        <w:rPr>
          <w:spacing w:val="-11"/>
        </w:rPr>
        <w:t xml:space="preserve"> </w:t>
      </w:r>
      <w:r w:rsidRPr="00B24CA3">
        <w:t>of</w:t>
      </w:r>
      <w:r w:rsidRPr="00D13217">
        <w:rPr>
          <w:spacing w:val="-12"/>
        </w:rPr>
        <w:t xml:space="preserve"> </w:t>
      </w:r>
      <w:proofErr w:type="spellStart"/>
      <w:r w:rsidRPr="00B24CA3">
        <w:t>the</w:t>
      </w:r>
      <w:proofErr w:type="spellEnd"/>
      <w:r w:rsidRPr="00D13217">
        <w:rPr>
          <w:spacing w:val="-14"/>
        </w:rPr>
        <w:t xml:space="preserve"> </w:t>
      </w:r>
      <w:proofErr w:type="spellStart"/>
      <w:r w:rsidRPr="00B24CA3">
        <w:t>acculturation</w:t>
      </w:r>
      <w:proofErr w:type="spellEnd"/>
      <w:r w:rsidRPr="00D13217">
        <w:rPr>
          <w:spacing w:val="-9"/>
        </w:rPr>
        <w:t xml:space="preserve"> </w:t>
      </w:r>
      <w:proofErr w:type="spellStart"/>
      <w:r w:rsidRPr="00B24CA3">
        <w:t>experiences</w:t>
      </w:r>
      <w:proofErr w:type="spellEnd"/>
      <w:r w:rsidRPr="00D13217">
        <w:rPr>
          <w:spacing w:val="-7"/>
        </w:rPr>
        <w:t xml:space="preserve"> </w:t>
      </w:r>
      <w:r w:rsidRPr="00B24CA3">
        <w:t>of</w:t>
      </w:r>
      <w:r w:rsidRPr="00D13217">
        <w:rPr>
          <w:spacing w:val="-12"/>
        </w:rPr>
        <w:t xml:space="preserve"> </w:t>
      </w:r>
      <w:proofErr w:type="spellStart"/>
      <w:r w:rsidRPr="00B24CA3">
        <w:t>international</w:t>
      </w:r>
      <w:proofErr w:type="spellEnd"/>
      <w:r w:rsidRPr="00B24CA3">
        <w:t xml:space="preserve"> </w:t>
      </w:r>
      <w:proofErr w:type="spellStart"/>
      <w:r w:rsidRPr="00B24CA3">
        <w:t>students</w:t>
      </w:r>
      <w:proofErr w:type="spellEnd"/>
      <w:r w:rsidRPr="00B24CA3">
        <w:t xml:space="preserve">. </w:t>
      </w:r>
      <w:r w:rsidRPr="00D13217">
        <w:rPr>
          <w:i/>
        </w:rPr>
        <w:t xml:space="preserve">International </w:t>
      </w:r>
      <w:proofErr w:type="spellStart"/>
      <w:r w:rsidRPr="00D13217">
        <w:rPr>
          <w:i/>
        </w:rPr>
        <w:t>Journal</w:t>
      </w:r>
      <w:proofErr w:type="spellEnd"/>
      <w:r w:rsidRPr="00D13217">
        <w:rPr>
          <w:i/>
        </w:rPr>
        <w:t xml:space="preserve"> of </w:t>
      </w:r>
      <w:proofErr w:type="spellStart"/>
      <w:r w:rsidRPr="00D13217">
        <w:rPr>
          <w:i/>
        </w:rPr>
        <w:t>Intercultural</w:t>
      </w:r>
      <w:proofErr w:type="spellEnd"/>
      <w:r w:rsidRPr="00D13217">
        <w:rPr>
          <w:i/>
        </w:rPr>
        <w:t xml:space="preserve"> </w:t>
      </w:r>
      <w:proofErr w:type="spellStart"/>
      <w:r w:rsidRPr="00D13217">
        <w:rPr>
          <w:i/>
        </w:rPr>
        <w:t>Relations</w:t>
      </w:r>
      <w:proofErr w:type="spellEnd"/>
      <w:r w:rsidRPr="00B24CA3">
        <w:t>, 35(6), 699-713.</w:t>
      </w:r>
    </w:p>
    <w:p w14:paraId="4FD3BC0C" w14:textId="77777777" w:rsidR="00FF4BC0" w:rsidRPr="00B24CA3" w:rsidRDefault="00FF4BC0">
      <w:pPr>
        <w:pStyle w:val="GvdeMetni"/>
        <w:numPr>
          <w:ilvl w:val="0"/>
          <w:numId w:val="57"/>
        </w:numPr>
        <w:ind w:right="158"/>
        <w:jc w:val="both"/>
      </w:pPr>
      <w:r w:rsidRPr="00B24CA3">
        <w:t>Sungur, M. A., Şahin, M., Can, G., Şahin, M. F., Duman, K., Pektaş, B., ... &amp; Onuk, H. (2016). Düzce Üniversitesinde yükseköğrenim gören yabancı uyruklu öğrencilerin yaşam doyumları ve</w:t>
      </w:r>
      <w:r w:rsidRPr="00B24CA3">
        <w:rPr>
          <w:spacing w:val="-15"/>
        </w:rPr>
        <w:t xml:space="preserve"> </w:t>
      </w:r>
      <w:r w:rsidRPr="00B24CA3">
        <w:t>sosyal</w:t>
      </w:r>
      <w:r w:rsidRPr="00B24CA3">
        <w:rPr>
          <w:spacing w:val="-15"/>
        </w:rPr>
        <w:t xml:space="preserve"> </w:t>
      </w:r>
      <w:r w:rsidRPr="00B24CA3">
        <w:t>uyumlarını</w:t>
      </w:r>
      <w:r w:rsidRPr="00B24CA3">
        <w:rPr>
          <w:spacing w:val="-15"/>
        </w:rPr>
        <w:t xml:space="preserve"> </w:t>
      </w:r>
      <w:r w:rsidRPr="00B24CA3">
        <w:t>etkileyen</w:t>
      </w:r>
      <w:r w:rsidRPr="00B24CA3">
        <w:rPr>
          <w:spacing w:val="-14"/>
        </w:rPr>
        <w:t xml:space="preserve"> </w:t>
      </w:r>
      <w:r w:rsidRPr="00B24CA3">
        <w:t>faktörler.</w:t>
      </w:r>
      <w:r w:rsidRPr="00B24CA3">
        <w:rPr>
          <w:spacing w:val="-10"/>
        </w:rPr>
        <w:t xml:space="preserve"> </w:t>
      </w:r>
      <w:r w:rsidRPr="00B24CA3">
        <w:rPr>
          <w:i/>
        </w:rPr>
        <w:t>Düzce</w:t>
      </w:r>
      <w:r w:rsidRPr="00B24CA3">
        <w:rPr>
          <w:i/>
          <w:spacing w:val="-15"/>
        </w:rPr>
        <w:t xml:space="preserve"> </w:t>
      </w:r>
      <w:r w:rsidRPr="00B24CA3">
        <w:rPr>
          <w:i/>
        </w:rPr>
        <w:t>Üniversitesi</w:t>
      </w:r>
      <w:r w:rsidRPr="00B24CA3">
        <w:rPr>
          <w:i/>
          <w:spacing w:val="-15"/>
        </w:rPr>
        <w:t xml:space="preserve"> </w:t>
      </w:r>
      <w:r w:rsidRPr="00B24CA3">
        <w:rPr>
          <w:i/>
        </w:rPr>
        <w:t>Sağlık</w:t>
      </w:r>
      <w:r w:rsidRPr="00B24CA3">
        <w:rPr>
          <w:i/>
          <w:spacing w:val="-15"/>
        </w:rPr>
        <w:t xml:space="preserve"> </w:t>
      </w:r>
      <w:r w:rsidRPr="00B24CA3">
        <w:rPr>
          <w:i/>
        </w:rPr>
        <w:lastRenderedPageBreak/>
        <w:t>Bilimleri</w:t>
      </w:r>
      <w:r w:rsidRPr="00B24CA3">
        <w:rPr>
          <w:i/>
          <w:spacing w:val="-15"/>
        </w:rPr>
        <w:t xml:space="preserve"> </w:t>
      </w:r>
      <w:r w:rsidRPr="00B24CA3">
        <w:rPr>
          <w:i/>
        </w:rPr>
        <w:t>Enstitüsü</w:t>
      </w:r>
      <w:r w:rsidRPr="00B24CA3">
        <w:rPr>
          <w:i/>
          <w:spacing w:val="-14"/>
        </w:rPr>
        <w:t xml:space="preserve"> </w:t>
      </w:r>
      <w:r w:rsidRPr="00B24CA3">
        <w:rPr>
          <w:i/>
        </w:rPr>
        <w:t>Dergisi</w:t>
      </w:r>
      <w:r w:rsidRPr="00B24CA3">
        <w:t>, 6(2), 101-109.</w:t>
      </w:r>
    </w:p>
    <w:p w14:paraId="08E1FD97" w14:textId="77777777" w:rsidR="00FF4BC0" w:rsidRPr="00B24CA3" w:rsidRDefault="00FF4BC0">
      <w:pPr>
        <w:pStyle w:val="GvdeMetni"/>
        <w:numPr>
          <w:ilvl w:val="0"/>
          <w:numId w:val="57"/>
        </w:numPr>
        <w:ind w:right="170"/>
        <w:jc w:val="both"/>
      </w:pPr>
      <w:r w:rsidRPr="00B24CA3">
        <w:t xml:space="preserve">Takır, A., &amp; </w:t>
      </w:r>
      <w:proofErr w:type="spellStart"/>
      <w:r w:rsidRPr="00B24CA3">
        <w:t>Özerem</w:t>
      </w:r>
      <w:proofErr w:type="spellEnd"/>
      <w:r w:rsidRPr="00B24CA3">
        <w:t xml:space="preserve">, A. (2019). Göçle gelen yabancı uyruklu öğrencilerin okul ortamında karşılaştıkları sorunlar. </w:t>
      </w:r>
      <w:r w:rsidRPr="00B24CA3">
        <w:rPr>
          <w:i/>
        </w:rPr>
        <w:t>Folklor/Edebiyat</w:t>
      </w:r>
      <w:r w:rsidRPr="00B24CA3">
        <w:t>, 25(97), 639-657.</w:t>
      </w:r>
    </w:p>
    <w:p w14:paraId="60CA4C8A" w14:textId="77777777" w:rsidR="00FF4BC0" w:rsidRPr="00B24CA3" w:rsidRDefault="00FF4BC0">
      <w:pPr>
        <w:pStyle w:val="GvdeMetni"/>
        <w:numPr>
          <w:ilvl w:val="0"/>
          <w:numId w:val="57"/>
        </w:numPr>
        <w:ind w:right="169"/>
        <w:jc w:val="both"/>
      </w:pPr>
      <w:r w:rsidRPr="00B24CA3">
        <w:t>Taylan, Ş. (2019). Sakarya Üniversitesindeki uluslararası öğrencilerin sorunları (Yüksek lisans tezi, Sakarya Üniversitesi).</w:t>
      </w:r>
    </w:p>
    <w:p w14:paraId="4BE73D4C" w14:textId="77777777" w:rsidR="00FF4BC0" w:rsidRPr="00B24CA3" w:rsidRDefault="00FF4BC0">
      <w:pPr>
        <w:pStyle w:val="ListeParagraf"/>
        <w:numPr>
          <w:ilvl w:val="0"/>
          <w:numId w:val="57"/>
        </w:numPr>
        <w:ind w:right="163"/>
        <w:jc w:val="both"/>
      </w:pPr>
      <w:r w:rsidRPr="00B24CA3">
        <w:t xml:space="preserve">UNESCO. (2024, </w:t>
      </w:r>
      <w:proofErr w:type="spellStart"/>
      <w:r w:rsidRPr="00B24CA3">
        <w:t>February</w:t>
      </w:r>
      <w:proofErr w:type="spellEnd"/>
      <w:r w:rsidRPr="00B24CA3">
        <w:t xml:space="preserve"> 14). </w:t>
      </w:r>
      <w:r w:rsidRPr="00D13217">
        <w:rPr>
          <w:i/>
        </w:rPr>
        <w:t xml:space="preserve">Global </w:t>
      </w:r>
      <w:proofErr w:type="spellStart"/>
      <w:r w:rsidRPr="00D13217">
        <w:rPr>
          <w:i/>
        </w:rPr>
        <w:t>convention</w:t>
      </w:r>
      <w:proofErr w:type="spellEnd"/>
      <w:r w:rsidRPr="00D13217">
        <w:rPr>
          <w:i/>
        </w:rPr>
        <w:t xml:space="preserve"> on </w:t>
      </w:r>
      <w:proofErr w:type="spellStart"/>
      <w:r w:rsidRPr="00D13217">
        <w:rPr>
          <w:i/>
        </w:rPr>
        <w:t>higher</w:t>
      </w:r>
      <w:proofErr w:type="spellEnd"/>
      <w:r w:rsidRPr="00D13217">
        <w:rPr>
          <w:i/>
        </w:rPr>
        <w:t xml:space="preserve"> </w:t>
      </w:r>
      <w:proofErr w:type="spellStart"/>
      <w:r w:rsidRPr="00D13217">
        <w:rPr>
          <w:i/>
        </w:rPr>
        <w:t>education</w:t>
      </w:r>
      <w:proofErr w:type="spellEnd"/>
      <w:r w:rsidRPr="00B24CA3">
        <w:t xml:space="preserve">. </w:t>
      </w:r>
      <w:hyperlink r:id="rId237">
        <w:r w:rsidRPr="00D13217">
          <w:rPr>
            <w:color w:val="467885"/>
            <w:spacing w:val="-2"/>
            <w:u w:val="single" w:color="467885"/>
          </w:rPr>
          <w:t>https://www.unesco.org/en/higher-education/global-convention</w:t>
        </w:r>
      </w:hyperlink>
    </w:p>
    <w:p w14:paraId="01276D6C" w14:textId="77777777" w:rsidR="00FF4BC0" w:rsidRPr="00B24CA3" w:rsidRDefault="00FF4BC0">
      <w:pPr>
        <w:pStyle w:val="ListeParagraf"/>
        <w:numPr>
          <w:ilvl w:val="0"/>
          <w:numId w:val="57"/>
        </w:numPr>
        <w:ind w:right="163"/>
        <w:jc w:val="both"/>
      </w:pPr>
      <w:proofErr w:type="spellStart"/>
      <w:r w:rsidRPr="00B24CA3">
        <w:t>Winkelman</w:t>
      </w:r>
      <w:proofErr w:type="spellEnd"/>
      <w:r w:rsidRPr="00B24CA3">
        <w:t xml:space="preserve">, M. (1994). </w:t>
      </w:r>
      <w:proofErr w:type="spellStart"/>
      <w:r w:rsidRPr="00B24CA3">
        <w:t>Cultural</w:t>
      </w:r>
      <w:proofErr w:type="spellEnd"/>
      <w:r w:rsidRPr="00B24CA3">
        <w:t xml:space="preserve"> </w:t>
      </w:r>
      <w:proofErr w:type="spellStart"/>
      <w:r w:rsidRPr="00B24CA3">
        <w:t>shock</w:t>
      </w:r>
      <w:proofErr w:type="spellEnd"/>
      <w:r w:rsidRPr="00B24CA3">
        <w:t xml:space="preserve"> </w:t>
      </w:r>
      <w:proofErr w:type="spellStart"/>
      <w:r w:rsidRPr="00B24CA3">
        <w:t>and</w:t>
      </w:r>
      <w:proofErr w:type="spellEnd"/>
      <w:r w:rsidRPr="00B24CA3">
        <w:t xml:space="preserve"> </w:t>
      </w:r>
      <w:proofErr w:type="spellStart"/>
      <w:r w:rsidRPr="00B24CA3">
        <w:t>adaptation</w:t>
      </w:r>
      <w:proofErr w:type="spellEnd"/>
      <w:r w:rsidRPr="00B24CA3">
        <w:t xml:space="preserve">. </w:t>
      </w:r>
      <w:proofErr w:type="spellStart"/>
      <w:r w:rsidRPr="00D13217">
        <w:rPr>
          <w:i/>
        </w:rPr>
        <w:t>Journal</w:t>
      </w:r>
      <w:proofErr w:type="spellEnd"/>
      <w:r w:rsidRPr="00D13217">
        <w:rPr>
          <w:i/>
        </w:rPr>
        <w:t xml:space="preserve"> of </w:t>
      </w:r>
      <w:proofErr w:type="spellStart"/>
      <w:r w:rsidRPr="00D13217">
        <w:rPr>
          <w:i/>
        </w:rPr>
        <w:t>Counseling</w:t>
      </w:r>
      <w:proofErr w:type="spellEnd"/>
      <w:r w:rsidRPr="00D13217">
        <w:rPr>
          <w:i/>
        </w:rPr>
        <w:t xml:space="preserve"> &amp; Development</w:t>
      </w:r>
      <w:r w:rsidRPr="00B24CA3">
        <w:t>, 73(2), 121-126.</w:t>
      </w:r>
    </w:p>
    <w:p w14:paraId="609D6F6C" w14:textId="77777777" w:rsidR="00FF4BC0" w:rsidRPr="00B24CA3" w:rsidRDefault="00FF4BC0">
      <w:pPr>
        <w:pStyle w:val="GvdeMetni"/>
        <w:numPr>
          <w:ilvl w:val="0"/>
          <w:numId w:val="57"/>
        </w:numPr>
        <w:tabs>
          <w:tab w:val="left" w:pos="2908"/>
          <w:tab w:val="left" w:pos="4918"/>
          <w:tab w:val="left" w:pos="6813"/>
          <w:tab w:val="left" w:pos="9093"/>
        </w:tabs>
        <w:ind w:right="162"/>
        <w:jc w:val="both"/>
      </w:pPr>
      <w:r w:rsidRPr="00B24CA3">
        <w:rPr>
          <w:spacing w:val="-2"/>
        </w:rPr>
        <w:t>Yükseköğretim</w:t>
      </w:r>
      <w:r w:rsidRPr="00B24CA3">
        <w:tab/>
      </w:r>
      <w:r w:rsidRPr="00B24CA3">
        <w:rPr>
          <w:spacing w:val="-2"/>
        </w:rPr>
        <w:t>Kurulu.</w:t>
      </w:r>
      <w:r w:rsidRPr="00B24CA3">
        <w:tab/>
      </w:r>
      <w:r w:rsidRPr="00B24CA3">
        <w:rPr>
          <w:spacing w:val="-2"/>
        </w:rPr>
        <w:t>(2022,</w:t>
      </w:r>
      <w:r w:rsidRPr="00B24CA3">
        <w:tab/>
      </w:r>
      <w:proofErr w:type="spellStart"/>
      <w:r w:rsidRPr="00B24CA3">
        <w:rPr>
          <w:spacing w:val="-2"/>
        </w:rPr>
        <w:t>November</w:t>
      </w:r>
      <w:proofErr w:type="spellEnd"/>
      <w:r w:rsidRPr="00B24CA3">
        <w:tab/>
      </w:r>
      <w:r w:rsidRPr="00B24CA3">
        <w:rPr>
          <w:spacing w:val="-4"/>
        </w:rPr>
        <w:t xml:space="preserve">28). </w:t>
      </w:r>
      <w:hyperlink r:id="rId238">
        <w:r w:rsidRPr="00B24CA3">
          <w:rPr>
            <w:color w:val="467885"/>
            <w:spacing w:val="-2"/>
            <w:u w:val="single" w:color="467885"/>
          </w:rPr>
          <w:t>https://www.yok.gov.tr/Sayfalar/Haberler/2022/yuksekogretimde-uluslararasilasma-ve-</w:t>
        </w:r>
      </w:hyperlink>
      <w:r w:rsidRPr="00B24CA3">
        <w:rPr>
          <w:color w:val="467885"/>
          <w:spacing w:val="40"/>
        </w:rPr>
        <w:t xml:space="preserve"> </w:t>
      </w:r>
      <w:hyperlink r:id="rId239">
        <w:r w:rsidRPr="00B24CA3">
          <w:rPr>
            <w:color w:val="467885"/>
            <w:spacing w:val="-2"/>
            <w:u w:val="single" w:color="467885"/>
          </w:rPr>
          <w:t>turkiye-deki-universitelerin-uluslararasi-gorunurlulugunu-artirma-calistayi.aspx</w:t>
        </w:r>
      </w:hyperlink>
    </w:p>
    <w:p w14:paraId="12C85C01" w14:textId="77777777" w:rsidR="00FF4BC0" w:rsidRPr="00B24CA3" w:rsidRDefault="00FF4BC0" w:rsidP="00BA67A6">
      <w:pPr>
        <w:pStyle w:val="GvdeMetni"/>
        <w:jc w:val="both"/>
        <w:sectPr w:rsidR="00FF4BC0" w:rsidRPr="00B24CA3" w:rsidSect="007513A1">
          <w:type w:val="continuous"/>
          <w:pgSz w:w="11906" w:h="16838"/>
          <w:pgMar w:top="1418" w:right="1418" w:bottom="1418" w:left="1418" w:header="1304" w:footer="1361" w:gutter="0"/>
          <w:cols w:space="708"/>
        </w:sectPr>
      </w:pPr>
    </w:p>
    <w:p w14:paraId="2B7E422B" w14:textId="77777777" w:rsidR="00FF4BC0" w:rsidRPr="00B24CA3" w:rsidRDefault="00FF4BC0">
      <w:pPr>
        <w:pStyle w:val="GvdeMetni"/>
        <w:numPr>
          <w:ilvl w:val="0"/>
          <w:numId w:val="57"/>
        </w:numPr>
        <w:ind w:right="169"/>
        <w:jc w:val="both"/>
      </w:pPr>
      <w:r w:rsidRPr="00B24CA3">
        <w:t>Yurtdışı</w:t>
      </w:r>
      <w:r w:rsidRPr="00B24CA3">
        <w:rPr>
          <w:spacing w:val="-1"/>
        </w:rPr>
        <w:t xml:space="preserve"> </w:t>
      </w:r>
      <w:r w:rsidRPr="00B24CA3">
        <w:t>Türkler</w:t>
      </w:r>
      <w:r w:rsidRPr="00B24CA3">
        <w:rPr>
          <w:spacing w:val="-1"/>
        </w:rPr>
        <w:t xml:space="preserve"> </w:t>
      </w:r>
      <w:r w:rsidRPr="00B24CA3">
        <w:t>ve</w:t>
      </w:r>
      <w:r w:rsidRPr="00B24CA3">
        <w:rPr>
          <w:spacing w:val="-1"/>
        </w:rPr>
        <w:t xml:space="preserve"> </w:t>
      </w:r>
      <w:r w:rsidRPr="00B24CA3">
        <w:t>Akraba</w:t>
      </w:r>
      <w:r w:rsidRPr="00B24CA3">
        <w:rPr>
          <w:spacing w:val="-1"/>
        </w:rPr>
        <w:t xml:space="preserve"> </w:t>
      </w:r>
      <w:r w:rsidRPr="00B24CA3">
        <w:t>Topluluklar</w:t>
      </w:r>
      <w:r w:rsidRPr="00B24CA3">
        <w:rPr>
          <w:spacing w:val="-1"/>
        </w:rPr>
        <w:t xml:space="preserve"> </w:t>
      </w:r>
      <w:r w:rsidRPr="00B24CA3">
        <w:t>Başkanlığı. (2021,</w:t>
      </w:r>
      <w:r w:rsidRPr="00B24CA3">
        <w:rPr>
          <w:spacing w:val="-1"/>
        </w:rPr>
        <w:t xml:space="preserve"> </w:t>
      </w:r>
      <w:proofErr w:type="spellStart"/>
      <w:r w:rsidRPr="00B24CA3">
        <w:t>February</w:t>
      </w:r>
      <w:proofErr w:type="spellEnd"/>
      <w:r w:rsidRPr="00B24CA3">
        <w:rPr>
          <w:spacing w:val="-1"/>
        </w:rPr>
        <w:t xml:space="preserve"> </w:t>
      </w:r>
      <w:r w:rsidRPr="00B24CA3">
        <w:t>26).</w:t>
      </w:r>
      <w:r w:rsidRPr="00B24CA3">
        <w:rPr>
          <w:spacing w:val="-1"/>
        </w:rPr>
        <w:t xml:space="preserve"> </w:t>
      </w:r>
      <w:r w:rsidRPr="00B24CA3">
        <w:t>Türkiye</w:t>
      </w:r>
      <w:r w:rsidRPr="00B24CA3">
        <w:rPr>
          <w:spacing w:val="-1"/>
        </w:rPr>
        <w:t xml:space="preserve"> </w:t>
      </w:r>
      <w:r w:rsidRPr="00B24CA3">
        <w:t>Bursları</w:t>
      </w:r>
      <w:r w:rsidRPr="00B24CA3">
        <w:rPr>
          <w:spacing w:val="-1"/>
        </w:rPr>
        <w:t xml:space="preserve"> </w:t>
      </w:r>
      <w:r w:rsidRPr="00B24CA3">
        <w:t>bu</w:t>
      </w:r>
      <w:r w:rsidRPr="00B24CA3">
        <w:rPr>
          <w:spacing w:val="-1"/>
        </w:rPr>
        <w:t xml:space="preserve"> </w:t>
      </w:r>
      <w:r w:rsidRPr="00B24CA3">
        <w:t>yıl da rekor sayıda başvuru aldı.</w:t>
      </w:r>
    </w:p>
    <w:p w14:paraId="25BD411E" w14:textId="7DDB23FA" w:rsidR="00C70E93" w:rsidRDefault="00FF4BC0">
      <w:pPr>
        <w:pStyle w:val="GvdeMetni"/>
        <w:numPr>
          <w:ilvl w:val="0"/>
          <w:numId w:val="57"/>
        </w:numPr>
        <w:ind w:right="167"/>
        <w:jc w:val="both"/>
      </w:pPr>
      <w:r w:rsidRPr="00B24CA3">
        <w:t xml:space="preserve">Zhou, Y., </w:t>
      </w:r>
      <w:proofErr w:type="spellStart"/>
      <w:r w:rsidRPr="00B24CA3">
        <w:t>Jindal-Snape</w:t>
      </w:r>
      <w:proofErr w:type="spellEnd"/>
      <w:r w:rsidRPr="00B24CA3">
        <w:t xml:space="preserve">, D., </w:t>
      </w:r>
      <w:proofErr w:type="spellStart"/>
      <w:r w:rsidRPr="00B24CA3">
        <w:t>Topping</w:t>
      </w:r>
      <w:proofErr w:type="spellEnd"/>
      <w:r w:rsidRPr="00B24CA3">
        <w:t xml:space="preserve">, K., &amp; </w:t>
      </w:r>
      <w:proofErr w:type="spellStart"/>
      <w:r w:rsidRPr="00B24CA3">
        <w:t>Todman</w:t>
      </w:r>
      <w:proofErr w:type="spellEnd"/>
      <w:r w:rsidRPr="00B24CA3">
        <w:t xml:space="preserve">, J. (2008). </w:t>
      </w:r>
      <w:proofErr w:type="spellStart"/>
      <w:r w:rsidRPr="00B24CA3">
        <w:t>Theoretical</w:t>
      </w:r>
      <w:proofErr w:type="spellEnd"/>
      <w:r w:rsidRPr="00B24CA3">
        <w:t xml:space="preserve"> </w:t>
      </w:r>
      <w:proofErr w:type="spellStart"/>
      <w:r w:rsidRPr="00B24CA3">
        <w:t>models</w:t>
      </w:r>
      <w:proofErr w:type="spellEnd"/>
      <w:r w:rsidRPr="00B24CA3">
        <w:t xml:space="preserve"> of </w:t>
      </w:r>
      <w:proofErr w:type="spellStart"/>
      <w:r w:rsidRPr="00B24CA3">
        <w:t>culture</w:t>
      </w:r>
      <w:proofErr w:type="spellEnd"/>
      <w:r w:rsidRPr="00B24CA3">
        <w:t xml:space="preserve"> </w:t>
      </w:r>
      <w:proofErr w:type="spellStart"/>
      <w:r w:rsidRPr="00B24CA3">
        <w:t>shock</w:t>
      </w:r>
      <w:proofErr w:type="spellEnd"/>
      <w:r w:rsidRPr="00B24CA3">
        <w:t xml:space="preserve"> </w:t>
      </w:r>
      <w:proofErr w:type="spellStart"/>
      <w:r w:rsidRPr="00B24CA3">
        <w:t>and</w:t>
      </w:r>
      <w:proofErr w:type="spellEnd"/>
      <w:r w:rsidRPr="00B24CA3">
        <w:t xml:space="preserve"> </w:t>
      </w:r>
      <w:proofErr w:type="spellStart"/>
      <w:r w:rsidRPr="00B24CA3">
        <w:t>adaptation</w:t>
      </w:r>
      <w:proofErr w:type="spellEnd"/>
      <w:r w:rsidRPr="00B24CA3">
        <w:t xml:space="preserve"> in </w:t>
      </w:r>
      <w:proofErr w:type="spellStart"/>
      <w:r w:rsidRPr="00B24CA3">
        <w:t>international</w:t>
      </w:r>
      <w:proofErr w:type="spellEnd"/>
      <w:r w:rsidRPr="00B24CA3">
        <w:t xml:space="preserve"> </w:t>
      </w:r>
      <w:proofErr w:type="spellStart"/>
      <w:r w:rsidRPr="00B24CA3">
        <w:t>students</w:t>
      </w:r>
      <w:proofErr w:type="spellEnd"/>
      <w:r w:rsidRPr="00B24CA3">
        <w:t xml:space="preserve"> in </w:t>
      </w:r>
      <w:proofErr w:type="spellStart"/>
      <w:r w:rsidRPr="00B24CA3">
        <w:t>higher</w:t>
      </w:r>
      <w:proofErr w:type="spellEnd"/>
      <w:r w:rsidRPr="00B24CA3">
        <w:t xml:space="preserve"> </w:t>
      </w:r>
      <w:proofErr w:type="spellStart"/>
      <w:r w:rsidRPr="00B24CA3">
        <w:t>education</w:t>
      </w:r>
      <w:proofErr w:type="spellEnd"/>
      <w:r w:rsidRPr="00B24CA3">
        <w:t xml:space="preserve">. </w:t>
      </w:r>
      <w:proofErr w:type="spellStart"/>
      <w:r w:rsidRPr="00B24CA3">
        <w:rPr>
          <w:i/>
        </w:rPr>
        <w:t>Studies</w:t>
      </w:r>
      <w:proofErr w:type="spellEnd"/>
      <w:r w:rsidRPr="00B24CA3">
        <w:rPr>
          <w:i/>
        </w:rPr>
        <w:t xml:space="preserve"> in </w:t>
      </w:r>
      <w:proofErr w:type="spellStart"/>
      <w:r w:rsidRPr="00B24CA3">
        <w:rPr>
          <w:i/>
        </w:rPr>
        <w:t>Higher</w:t>
      </w:r>
      <w:proofErr w:type="spellEnd"/>
      <w:r w:rsidRPr="00B24CA3">
        <w:rPr>
          <w:i/>
        </w:rPr>
        <w:t xml:space="preserve"> </w:t>
      </w:r>
      <w:proofErr w:type="spellStart"/>
      <w:r w:rsidRPr="00B24CA3">
        <w:rPr>
          <w:i/>
        </w:rPr>
        <w:t>Education</w:t>
      </w:r>
      <w:proofErr w:type="spellEnd"/>
      <w:r w:rsidRPr="00B24CA3">
        <w:t>, 33(1), 63-75.</w:t>
      </w:r>
    </w:p>
    <w:p w14:paraId="347A3381" w14:textId="4F16B327" w:rsidR="00C70E93" w:rsidRDefault="00C70E93" w:rsidP="00C70E93">
      <w:pPr>
        <w:autoSpaceDE/>
        <w:autoSpaceDN/>
      </w:pPr>
      <w:r>
        <w:br w:type="page"/>
      </w:r>
    </w:p>
    <w:p w14:paraId="6C2BA813" w14:textId="19AB3E79" w:rsidR="00FF4BC0" w:rsidRPr="00B24CA3" w:rsidRDefault="00B24CA3" w:rsidP="004C7694">
      <w:pPr>
        <w:pStyle w:val="Tark"/>
      </w:pPr>
      <w:bookmarkStart w:id="219" w:name="_Toc192855242"/>
      <w:r w:rsidRPr="00B24CA3">
        <w:lastRenderedPageBreak/>
        <w:t>Cumhuriyetin</w:t>
      </w:r>
      <w:r w:rsidRPr="00B24CA3">
        <w:rPr>
          <w:spacing w:val="-7"/>
        </w:rPr>
        <w:t xml:space="preserve"> </w:t>
      </w:r>
      <w:r w:rsidRPr="00B24CA3">
        <w:t>10.</w:t>
      </w:r>
      <w:r w:rsidRPr="00B24CA3">
        <w:rPr>
          <w:spacing w:val="-5"/>
        </w:rPr>
        <w:t xml:space="preserve"> </w:t>
      </w:r>
      <w:r w:rsidRPr="00B24CA3">
        <w:t>Yılında</w:t>
      </w:r>
      <w:r w:rsidRPr="00B24CA3">
        <w:rPr>
          <w:spacing w:val="-7"/>
        </w:rPr>
        <w:t xml:space="preserve"> </w:t>
      </w:r>
      <w:r w:rsidRPr="00B24CA3">
        <w:t>Atatürk’ün</w:t>
      </w:r>
      <w:r w:rsidRPr="00B24CA3">
        <w:rPr>
          <w:spacing w:val="-7"/>
        </w:rPr>
        <w:t xml:space="preserve"> </w:t>
      </w:r>
      <w:r w:rsidRPr="00B24CA3">
        <w:t>Dış</w:t>
      </w:r>
      <w:r w:rsidRPr="00B24CA3">
        <w:rPr>
          <w:spacing w:val="-7"/>
        </w:rPr>
        <w:t xml:space="preserve"> </w:t>
      </w:r>
      <w:r w:rsidRPr="00B24CA3">
        <w:t>Pol</w:t>
      </w:r>
      <w:r w:rsidR="007F2361">
        <w:t>itik</w:t>
      </w:r>
      <w:r w:rsidRPr="00B24CA3">
        <w:t>asına</w:t>
      </w:r>
      <w:r w:rsidRPr="00B24CA3">
        <w:rPr>
          <w:spacing w:val="-5"/>
        </w:rPr>
        <w:t xml:space="preserve"> </w:t>
      </w:r>
      <w:r w:rsidRPr="00B24CA3">
        <w:t xml:space="preserve">Yansıyan Barışçı </w:t>
      </w:r>
      <w:proofErr w:type="gramStart"/>
      <w:r w:rsidRPr="00B24CA3">
        <w:t>Ve</w:t>
      </w:r>
      <w:proofErr w:type="gramEnd"/>
      <w:r w:rsidRPr="00B24CA3">
        <w:t xml:space="preserve"> Dostane Söylemleri</w:t>
      </w:r>
      <w:bookmarkEnd w:id="219"/>
    </w:p>
    <w:p w14:paraId="61DBE141" w14:textId="77777777" w:rsidR="00FF4BC0" w:rsidRDefault="00FF4BC0" w:rsidP="004C7694">
      <w:pPr>
        <w:pStyle w:val="GvdeMetni"/>
        <w:rPr>
          <w:b/>
        </w:rPr>
      </w:pPr>
    </w:p>
    <w:p w14:paraId="4B5D5A4C" w14:textId="77777777" w:rsidR="00FF4BC0" w:rsidRDefault="00FF4BC0" w:rsidP="004C7694">
      <w:pPr>
        <w:pStyle w:val="GvdeMetni"/>
        <w:ind w:right="3"/>
        <w:jc w:val="center"/>
      </w:pPr>
      <w:r>
        <w:t>Melek</w:t>
      </w:r>
      <w:r>
        <w:rPr>
          <w:spacing w:val="-14"/>
        </w:rPr>
        <w:t xml:space="preserve"> </w:t>
      </w:r>
      <w:r>
        <w:rPr>
          <w:spacing w:val="-2"/>
        </w:rPr>
        <w:t>YENİSU</w:t>
      </w:r>
    </w:p>
    <w:p w14:paraId="575DEDB9" w14:textId="77777777" w:rsidR="00FF4BC0" w:rsidRDefault="00FF4BC0" w:rsidP="004C7694">
      <w:pPr>
        <w:pStyle w:val="GvdeMetni"/>
        <w:ind w:left="2375" w:right="2378"/>
        <w:jc w:val="center"/>
      </w:pPr>
      <w:r>
        <w:t>Dr.,</w:t>
      </w:r>
      <w:r>
        <w:rPr>
          <w:spacing w:val="-15"/>
        </w:rPr>
        <w:t xml:space="preserve"> </w:t>
      </w:r>
      <w:proofErr w:type="gramStart"/>
      <w:r>
        <w:t>Milli</w:t>
      </w:r>
      <w:proofErr w:type="gramEnd"/>
      <w:r>
        <w:rPr>
          <w:spacing w:val="-15"/>
        </w:rPr>
        <w:t xml:space="preserve"> </w:t>
      </w:r>
      <w:r>
        <w:t>Eğitim</w:t>
      </w:r>
      <w:r>
        <w:rPr>
          <w:spacing w:val="-15"/>
        </w:rPr>
        <w:t xml:space="preserve"> </w:t>
      </w:r>
      <w:r>
        <w:t xml:space="preserve">Bakanlığı </w:t>
      </w:r>
      <w:hyperlink r:id="rId240">
        <w:r>
          <w:rPr>
            <w:color w:val="0462C1"/>
            <w:spacing w:val="-2"/>
            <w:u w:val="single" w:color="0462C1"/>
          </w:rPr>
          <w:t>yenisu23@gmail.com</w:t>
        </w:r>
      </w:hyperlink>
    </w:p>
    <w:p w14:paraId="16C8B71A" w14:textId="2B4ED105" w:rsidR="00FF4BC0" w:rsidRDefault="00FF4BC0" w:rsidP="004C7694">
      <w:pPr>
        <w:pStyle w:val="GvdeMetni"/>
        <w:ind w:left="3" w:right="3"/>
        <w:jc w:val="center"/>
      </w:pPr>
      <w:r>
        <w:t>0000-0002-7622-</w:t>
      </w:r>
      <w:r>
        <w:rPr>
          <w:spacing w:val="-4"/>
        </w:rPr>
        <w:t>2027</w:t>
      </w:r>
    </w:p>
    <w:p w14:paraId="2D25139F" w14:textId="77777777" w:rsidR="00FF4BC0" w:rsidRDefault="00FF4BC0" w:rsidP="004C7694">
      <w:pPr>
        <w:pStyle w:val="GvdeMetni"/>
      </w:pPr>
    </w:p>
    <w:p w14:paraId="026E96ED" w14:textId="77777777" w:rsidR="00FF4BC0" w:rsidRPr="00AF3C45" w:rsidRDefault="00FF4BC0" w:rsidP="004C7694">
      <w:pPr>
        <w:jc w:val="center"/>
        <w:rPr>
          <w:b/>
          <w:bCs/>
        </w:rPr>
      </w:pPr>
      <w:r w:rsidRPr="00AF3C45">
        <w:rPr>
          <w:b/>
          <w:bCs/>
        </w:rPr>
        <w:t>Özet</w:t>
      </w:r>
    </w:p>
    <w:p w14:paraId="1DC9BE67" w14:textId="3B2A1F45" w:rsidR="00FF4BC0" w:rsidRDefault="00FF4BC0" w:rsidP="004C7694">
      <w:pPr>
        <w:pStyle w:val="GvdeMetni"/>
        <w:ind w:left="141" w:right="135"/>
        <w:jc w:val="both"/>
      </w:pPr>
      <w:r>
        <w:t>Mustafa Kemal</w:t>
      </w:r>
      <w:r>
        <w:rPr>
          <w:spacing w:val="-7"/>
        </w:rPr>
        <w:t xml:space="preserve"> </w:t>
      </w:r>
      <w:r>
        <w:t xml:space="preserve">Atatürk 16 Mart 1923’te </w:t>
      </w:r>
      <w:proofErr w:type="gramStart"/>
      <w:r>
        <w:t>“ Millet</w:t>
      </w:r>
      <w:proofErr w:type="gramEnd"/>
      <w:r>
        <w:t xml:space="preserve"> hayatı tehlikeye maruz kalmayınca harp bir cinayettir”</w:t>
      </w:r>
      <w:r>
        <w:rPr>
          <w:spacing w:val="-10"/>
        </w:rPr>
        <w:t xml:space="preserve"> </w:t>
      </w:r>
      <w:r>
        <w:t>demiştir.</w:t>
      </w:r>
      <w:r>
        <w:rPr>
          <w:spacing w:val="40"/>
        </w:rPr>
        <w:t xml:space="preserve"> </w:t>
      </w:r>
      <w:r>
        <w:t>Türkiye</w:t>
      </w:r>
      <w:r>
        <w:rPr>
          <w:spacing w:val="-8"/>
        </w:rPr>
        <w:t xml:space="preserve"> </w:t>
      </w:r>
      <w:r>
        <w:t>Cumhuriyeti’nin</w:t>
      </w:r>
      <w:r>
        <w:rPr>
          <w:spacing w:val="-6"/>
        </w:rPr>
        <w:t xml:space="preserve"> </w:t>
      </w:r>
      <w:r>
        <w:t>dış</w:t>
      </w:r>
      <w:r>
        <w:rPr>
          <w:spacing w:val="-8"/>
        </w:rPr>
        <w:t xml:space="preserve"> </w:t>
      </w:r>
      <w:r>
        <w:t>politika</w:t>
      </w:r>
      <w:r>
        <w:rPr>
          <w:spacing w:val="-10"/>
        </w:rPr>
        <w:t xml:space="preserve"> </w:t>
      </w:r>
      <w:r>
        <w:t>ilkelerinden</w:t>
      </w:r>
      <w:r>
        <w:rPr>
          <w:spacing w:val="-9"/>
        </w:rPr>
        <w:t xml:space="preserve"> </w:t>
      </w:r>
      <w:r>
        <w:t>birinin</w:t>
      </w:r>
      <w:r>
        <w:rPr>
          <w:spacing w:val="-9"/>
        </w:rPr>
        <w:t xml:space="preserve"> </w:t>
      </w:r>
      <w:r>
        <w:t>de</w:t>
      </w:r>
      <w:r>
        <w:rPr>
          <w:spacing w:val="-8"/>
        </w:rPr>
        <w:t xml:space="preserve"> </w:t>
      </w:r>
      <w:r>
        <w:t>“Yurtta</w:t>
      </w:r>
      <w:r>
        <w:rPr>
          <w:spacing w:val="-7"/>
        </w:rPr>
        <w:t xml:space="preserve"> </w:t>
      </w:r>
      <w:r>
        <w:t>Barış Dünyada</w:t>
      </w:r>
      <w:r>
        <w:rPr>
          <w:spacing w:val="-15"/>
        </w:rPr>
        <w:t xml:space="preserve"> </w:t>
      </w:r>
      <w:r>
        <w:t>Barış”</w:t>
      </w:r>
      <w:r>
        <w:rPr>
          <w:spacing w:val="-16"/>
        </w:rPr>
        <w:t xml:space="preserve"> </w:t>
      </w:r>
      <w:r>
        <w:t>olduğunu</w:t>
      </w:r>
      <w:r>
        <w:rPr>
          <w:spacing w:val="-15"/>
        </w:rPr>
        <w:t xml:space="preserve"> </w:t>
      </w:r>
      <w:r>
        <w:t>söylemiştir.</w:t>
      </w:r>
      <w:r>
        <w:rPr>
          <w:spacing w:val="8"/>
        </w:rPr>
        <w:t xml:space="preserve"> </w:t>
      </w:r>
      <w:r>
        <w:t>Atatürk</w:t>
      </w:r>
      <w:r>
        <w:rPr>
          <w:spacing w:val="-16"/>
        </w:rPr>
        <w:t xml:space="preserve"> </w:t>
      </w:r>
      <w:r>
        <w:t>bu</w:t>
      </w:r>
      <w:r>
        <w:rPr>
          <w:spacing w:val="-14"/>
        </w:rPr>
        <w:t xml:space="preserve"> </w:t>
      </w:r>
      <w:r>
        <w:t>sözleri</w:t>
      </w:r>
      <w:r>
        <w:rPr>
          <w:spacing w:val="-15"/>
        </w:rPr>
        <w:t xml:space="preserve"> </w:t>
      </w:r>
      <w:r>
        <w:t>ile</w:t>
      </w:r>
      <w:r>
        <w:rPr>
          <w:spacing w:val="-15"/>
        </w:rPr>
        <w:t xml:space="preserve"> </w:t>
      </w:r>
      <w:r>
        <w:t>yalnızca</w:t>
      </w:r>
      <w:r>
        <w:rPr>
          <w:spacing w:val="-18"/>
        </w:rPr>
        <w:t xml:space="preserve"> </w:t>
      </w:r>
      <w:r>
        <w:t>Türk</w:t>
      </w:r>
      <w:r>
        <w:rPr>
          <w:spacing w:val="-15"/>
        </w:rPr>
        <w:t xml:space="preserve"> </w:t>
      </w:r>
      <w:r>
        <w:t>halkının</w:t>
      </w:r>
      <w:r>
        <w:rPr>
          <w:spacing w:val="-15"/>
        </w:rPr>
        <w:t xml:space="preserve"> </w:t>
      </w:r>
      <w:r>
        <w:t>değil</w:t>
      </w:r>
      <w:r>
        <w:rPr>
          <w:spacing w:val="-15"/>
        </w:rPr>
        <w:t xml:space="preserve"> </w:t>
      </w:r>
      <w:r>
        <w:t>dünya milletlerinin</w:t>
      </w:r>
      <w:r>
        <w:rPr>
          <w:spacing w:val="37"/>
        </w:rPr>
        <w:t xml:space="preserve"> </w:t>
      </w:r>
      <w:r>
        <w:t>de</w:t>
      </w:r>
      <w:r>
        <w:rPr>
          <w:spacing w:val="37"/>
        </w:rPr>
        <w:t xml:space="preserve"> </w:t>
      </w:r>
      <w:r>
        <w:t>barış</w:t>
      </w:r>
      <w:r>
        <w:rPr>
          <w:spacing w:val="37"/>
        </w:rPr>
        <w:t xml:space="preserve"> </w:t>
      </w:r>
      <w:r>
        <w:t>ve</w:t>
      </w:r>
      <w:r>
        <w:rPr>
          <w:spacing w:val="37"/>
        </w:rPr>
        <w:t xml:space="preserve"> </w:t>
      </w:r>
      <w:r>
        <w:t>huzurunun</w:t>
      </w:r>
      <w:r>
        <w:rPr>
          <w:spacing w:val="37"/>
        </w:rPr>
        <w:t xml:space="preserve"> </w:t>
      </w:r>
      <w:r>
        <w:t>gerekliliğine</w:t>
      </w:r>
      <w:r>
        <w:rPr>
          <w:spacing w:val="38"/>
        </w:rPr>
        <w:t xml:space="preserve"> </w:t>
      </w:r>
      <w:r>
        <w:t>inandığını</w:t>
      </w:r>
      <w:r>
        <w:rPr>
          <w:spacing w:val="37"/>
        </w:rPr>
        <w:t xml:space="preserve"> </w:t>
      </w:r>
      <w:r>
        <w:t>göstermiştir.</w:t>
      </w:r>
      <w:r>
        <w:rPr>
          <w:spacing w:val="40"/>
        </w:rPr>
        <w:t xml:space="preserve"> </w:t>
      </w:r>
      <w:r>
        <w:t>Cumhuriyetin</w:t>
      </w:r>
      <w:r>
        <w:rPr>
          <w:spacing w:val="37"/>
        </w:rPr>
        <w:t xml:space="preserve"> </w:t>
      </w:r>
      <w:r>
        <w:t>10. yılında</w:t>
      </w:r>
      <w:r>
        <w:rPr>
          <w:spacing w:val="-10"/>
        </w:rPr>
        <w:t xml:space="preserve"> </w:t>
      </w:r>
      <w:r>
        <w:t>Atatürk’ün</w:t>
      </w:r>
      <w:r>
        <w:rPr>
          <w:spacing w:val="-9"/>
        </w:rPr>
        <w:t xml:space="preserve"> </w:t>
      </w:r>
      <w:r>
        <w:t>bu</w:t>
      </w:r>
      <w:r>
        <w:rPr>
          <w:spacing w:val="-9"/>
        </w:rPr>
        <w:t xml:space="preserve"> </w:t>
      </w:r>
      <w:r>
        <w:t>söylemlere</w:t>
      </w:r>
      <w:r>
        <w:rPr>
          <w:spacing w:val="-10"/>
        </w:rPr>
        <w:t xml:space="preserve"> </w:t>
      </w:r>
      <w:r>
        <w:t>uygun</w:t>
      </w:r>
      <w:r>
        <w:rPr>
          <w:spacing w:val="-9"/>
        </w:rPr>
        <w:t xml:space="preserve"> </w:t>
      </w:r>
      <w:r>
        <w:t>bir</w:t>
      </w:r>
      <w:r>
        <w:rPr>
          <w:spacing w:val="-10"/>
        </w:rPr>
        <w:t xml:space="preserve"> </w:t>
      </w:r>
      <w:r>
        <w:t>dış</w:t>
      </w:r>
      <w:r>
        <w:rPr>
          <w:spacing w:val="-9"/>
        </w:rPr>
        <w:t xml:space="preserve"> </w:t>
      </w:r>
      <w:r>
        <w:t>politika</w:t>
      </w:r>
      <w:r>
        <w:rPr>
          <w:spacing w:val="-8"/>
        </w:rPr>
        <w:t xml:space="preserve"> </w:t>
      </w:r>
      <w:r>
        <w:t>yürüttüğü</w:t>
      </w:r>
      <w:r>
        <w:rPr>
          <w:spacing w:val="-7"/>
        </w:rPr>
        <w:t xml:space="preserve"> </w:t>
      </w:r>
      <w:r>
        <w:t>görülmüştür.</w:t>
      </w:r>
      <w:r>
        <w:rPr>
          <w:spacing w:val="-5"/>
        </w:rPr>
        <w:t xml:space="preserve"> </w:t>
      </w:r>
      <w:r>
        <w:t>1</w:t>
      </w:r>
      <w:r>
        <w:rPr>
          <w:spacing w:val="-9"/>
        </w:rPr>
        <w:t xml:space="preserve"> </w:t>
      </w:r>
      <w:r>
        <w:t>Ocak</w:t>
      </w:r>
      <w:r>
        <w:rPr>
          <w:spacing w:val="-9"/>
        </w:rPr>
        <w:t xml:space="preserve"> </w:t>
      </w:r>
      <w:r>
        <w:t>1933’te Türk-Yunan</w:t>
      </w:r>
      <w:r>
        <w:rPr>
          <w:spacing w:val="-2"/>
        </w:rPr>
        <w:t xml:space="preserve"> </w:t>
      </w:r>
      <w:r>
        <w:t>Antlaşması hakkında “Türkiye-Yunan</w:t>
      </w:r>
      <w:r>
        <w:rPr>
          <w:spacing w:val="-5"/>
        </w:rPr>
        <w:t xml:space="preserve"> </w:t>
      </w:r>
      <w:r>
        <w:t>Antlaşması ve dostluğu milletler arasında çalışma beraberliğinin ve yeni siyaset anlayışının tahakkuk etmiş çok güzel bir numunesi ve insanlığın Şarki</w:t>
      </w:r>
      <w:r>
        <w:rPr>
          <w:spacing w:val="-4"/>
        </w:rPr>
        <w:t xml:space="preserve"> </w:t>
      </w:r>
      <w:r>
        <w:t>Akdeniz ve Balkanlarda terakki ve tealisinin bir ifadesidir. Yeni senenin asil dost</w:t>
      </w:r>
      <w:r>
        <w:rPr>
          <w:spacing w:val="-12"/>
        </w:rPr>
        <w:t xml:space="preserve"> </w:t>
      </w:r>
      <w:r>
        <w:t>Yunan</w:t>
      </w:r>
      <w:r>
        <w:rPr>
          <w:spacing w:val="-1"/>
        </w:rPr>
        <w:t xml:space="preserve"> </w:t>
      </w:r>
      <w:r>
        <w:t>milleti</w:t>
      </w:r>
      <w:r>
        <w:rPr>
          <w:spacing w:val="1"/>
        </w:rPr>
        <w:t xml:space="preserve"> </w:t>
      </w:r>
      <w:r>
        <w:t>hakkında</w:t>
      </w:r>
      <w:r>
        <w:rPr>
          <w:spacing w:val="-2"/>
        </w:rPr>
        <w:t xml:space="preserve"> </w:t>
      </w:r>
      <w:r>
        <w:t>kutlu</w:t>
      </w:r>
      <w:r>
        <w:rPr>
          <w:spacing w:val="-1"/>
        </w:rPr>
        <w:t xml:space="preserve"> </w:t>
      </w:r>
      <w:r>
        <w:t>olmasını dilerim”</w:t>
      </w:r>
      <w:r>
        <w:rPr>
          <w:spacing w:val="-2"/>
        </w:rPr>
        <w:t xml:space="preserve"> </w:t>
      </w:r>
      <w:r>
        <w:t>demiştir.</w:t>
      </w:r>
      <w:r>
        <w:rPr>
          <w:spacing w:val="-1"/>
        </w:rPr>
        <w:t xml:space="preserve"> </w:t>
      </w:r>
      <w:r>
        <w:t>20 Mayıs</w:t>
      </w:r>
      <w:r>
        <w:rPr>
          <w:spacing w:val="1"/>
        </w:rPr>
        <w:t xml:space="preserve"> </w:t>
      </w:r>
      <w:r>
        <w:t>1933’te</w:t>
      </w:r>
      <w:r>
        <w:rPr>
          <w:spacing w:val="-15"/>
        </w:rPr>
        <w:t xml:space="preserve"> </w:t>
      </w:r>
      <w:r>
        <w:t>ABD</w:t>
      </w:r>
      <w:r>
        <w:rPr>
          <w:spacing w:val="1"/>
        </w:rPr>
        <w:t xml:space="preserve"> </w:t>
      </w:r>
      <w:r>
        <w:rPr>
          <w:spacing w:val="-2"/>
        </w:rPr>
        <w:t>Başkanı</w:t>
      </w:r>
      <w:r w:rsidR="004C7694">
        <w:t xml:space="preserve"> </w:t>
      </w:r>
      <w:r>
        <w:t>M. Franklin Roosevelt’in iktisat alanında uluslararası önlemler alınması ve silah bırakma</w:t>
      </w:r>
      <w:r w:rsidR="004C7694">
        <w:t xml:space="preserve"> </w:t>
      </w:r>
      <w:r>
        <w:t>konusunda milli savunmayı güçlendirip tecavüzü kaldırmak ilkesi ile ilgili çağrısına Atatürk cevap vererek Türkiye’nin iktisat alanında dünya milletlerinin yok olması ile ilgili değil refahının artması ile ilgili tercihler yaptığını dile getirmiştir. Silah bırakma konusunda Cenevre’de yapılan silah bırakma kongresinin yarım kalması ile ilgili olarak ise Türkiye’nin siyasi</w:t>
      </w:r>
      <w:r>
        <w:rPr>
          <w:spacing w:val="-15"/>
        </w:rPr>
        <w:t xml:space="preserve"> </w:t>
      </w:r>
      <w:r>
        <w:t>politikasının</w:t>
      </w:r>
      <w:r>
        <w:rPr>
          <w:spacing w:val="-15"/>
        </w:rPr>
        <w:t xml:space="preserve"> </w:t>
      </w:r>
      <w:r>
        <w:t>barış</w:t>
      </w:r>
      <w:r>
        <w:rPr>
          <w:spacing w:val="-15"/>
        </w:rPr>
        <w:t xml:space="preserve"> </w:t>
      </w:r>
      <w:r>
        <w:t>içinde</w:t>
      </w:r>
      <w:r>
        <w:rPr>
          <w:spacing w:val="-11"/>
        </w:rPr>
        <w:t xml:space="preserve"> </w:t>
      </w:r>
      <w:r>
        <w:t>yaşamak</w:t>
      </w:r>
      <w:r>
        <w:rPr>
          <w:spacing w:val="-15"/>
        </w:rPr>
        <w:t xml:space="preserve"> </w:t>
      </w:r>
      <w:r>
        <w:t>ve</w:t>
      </w:r>
      <w:r>
        <w:rPr>
          <w:spacing w:val="-15"/>
        </w:rPr>
        <w:t xml:space="preserve"> </w:t>
      </w:r>
      <w:r>
        <w:t>meşru</w:t>
      </w:r>
      <w:r>
        <w:rPr>
          <w:spacing w:val="-14"/>
        </w:rPr>
        <w:t xml:space="preserve"> </w:t>
      </w:r>
      <w:r>
        <w:t>müdafaa</w:t>
      </w:r>
      <w:r>
        <w:rPr>
          <w:spacing w:val="-14"/>
        </w:rPr>
        <w:t xml:space="preserve"> </w:t>
      </w:r>
      <w:r>
        <w:t>araçlarının</w:t>
      </w:r>
      <w:r>
        <w:rPr>
          <w:spacing w:val="-15"/>
        </w:rPr>
        <w:t xml:space="preserve"> </w:t>
      </w:r>
      <w:r>
        <w:t>herkes</w:t>
      </w:r>
      <w:r>
        <w:rPr>
          <w:spacing w:val="-15"/>
        </w:rPr>
        <w:t xml:space="preserve"> </w:t>
      </w:r>
      <w:r>
        <w:t>için</w:t>
      </w:r>
      <w:r>
        <w:rPr>
          <w:spacing w:val="-15"/>
        </w:rPr>
        <w:t xml:space="preserve"> </w:t>
      </w:r>
      <w:r>
        <w:t>herkese</w:t>
      </w:r>
      <w:r>
        <w:rPr>
          <w:spacing w:val="-15"/>
        </w:rPr>
        <w:t xml:space="preserve"> </w:t>
      </w:r>
      <w:r>
        <w:t>karşı işgal amacı gütmeden kullanmayı savunduğunu ifade etmiştir. Atatürk Cenevre Kongresi’nin neticesiz kalmasına rağmen Türkiye’nin sulh ülküsünün bölgede önemli gelişmelere neden olduğunu söylemiştir. 12 Eylül 1933’te Yunan Heyeti’ni kabul etmiş bu ziyareti şu sözlerle değerlendirmiştir: “Elen devlet ricali ile samimi mülakatlarda bulundum. Çok memnun ve mütehassıs oldum. Mülakatımızın iki millet için çok hayırlı neticeler vereceğine şüphem yoktur”.</w:t>
      </w:r>
      <w:r>
        <w:rPr>
          <w:spacing w:val="-15"/>
        </w:rPr>
        <w:t xml:space="preserve"> </w:t>
      </w:r>
      <w:r>
        <w:t>17</w:t>
      </w:r>
      <w:r>
        <w:rPr>
          <w:spacing w:val="-15"/>
        </w:rPr>
        <w:t xml:space="preserve"> </w:t>
      </w:r>
      <w:r>
        <w:t>Ekim’de</w:t>
      </w:r>
      <w:r>
        <w:rPr>
          <w:spacing w:val="-15"/>
        </w:rPr>
        <w:t xml:space="preserve"> </w:t>
      </w:r>
      <w:r>
        <w:t>ABD</w:t>
      </w:r>
      <w:r>
        <w:rPr>
          <w:spacing w:val="-15"/>
        </w:rPr>
        <w:t xml:space="preserve"> </w:t>
      </w:r>
      <w:r>
        <w:t>ve</w:t>
      </w:r>
      <w:r>
        <w:rPr>
          <w:spacing w:val="-15"/>
        </w:rPr>
        <w:t xml:space="preserve"> </w:t>
      </w:r>
      <w:r>
        <w:t>Japonya</w:t>
      </w:r>
      <w:r>
        <w:rPr>
          <w:spacing w:val="-15"/>
        </w:rPr>
        <w:t xml:space="preserve"> </w:t>
      </w:r>
      <w:r>
        <w:t>büyükelçilerini</w:t>
      </w:r>
      <w:r>
        <w:rPr>
          <w:spacing w:val="-12"/>
        </w:rPr>
        <w:t xml:space="preserve"> </w:t>
      </w:r>
      <w:r>
        <w:t>kabul</w:t>
      </w:r>
      <w:r>
        <w:rPr>
          <w:spacing w:val="-10"/>
        </w:rPr>
        <w:t xml:space="preserve"> </w:t>
      </w:r>
      <w:r>
        <w:t>eden</w:t>
      </w:r>
      <w:r>
        <w:rPr>
          <w:spacing w:val="-11"/>
        </w:rPr>
        <w:t xml:space="preserve"> </w:t>
      </w:r>
      <w:r>
        <w:t>Mustafa</w:t>
      </w:r>
      <w:r>
        <w:rPr>
          <w:spacing w:val="-12"/>
        </w:rPr>
        <w:t xml:space="preserve"> </w:t>
      </w:r>
      <w:r>
        <w:t>Kemal</w:t>
      </w:r>
      <w:r>
        <w:rPr>
          <w:spacing w:val="-15"/>
        </w:rPr>
        <w:t xml:space="preserve"> </w:t>
      </w:r>
      <w:r>
        <w:t>Atatürk</w:t>
      </w:r>
      <w:r>
        <w:rPr>
          <w:spacing w:val="-15"/>
        </w:rPr>
        <w:t xml:space="preserve"> </w:t>
      </w:r>
      <w:r>
        <w:t>ABD elçisine</w:t>
      </w:r>
      <w:r>
        <w:rPr>
          <w:spacing w:val="-4"/>
        </w:rPr>
        <w:t xml:space="preserve"> </w:t>
      </w:r>
      <w:r>
        <w:t>her</w:t>
      </w:r>
      <w:r>
        <w:rPr>
          <w:spacing w:val="-2"/>
        </w:rPr>
        <w:t xml:space="preserve"> </w:t>
      </w:r>
      <w:r>
        <w:t>iki</w:t>
      </w:r>
      <w:r>
        <w:rPr>
          <w:spacing w:val="-3"/>
        </w:rPr>
        <w:t xml:space="preserve"> </w:t>
      </w:r>
      <w:r>
        <w:t>ülke</w:t>
      </w:r>
      <w:r>
        <w:rPr>
          <w:spacing w:val="-3"/>
        </w:rPr>
        <w:t xml:space="preserve"> </w:t>
      </w:r>
      <w:r>
        <w:t>arasında</w:t>
      </w:r>
      <w:r>
        <w:rPr>
          <w:spacing w:val="-4"/>
        </w:rPr>
        <w:t xml:space="preserve"> </w:t>
      </w:r>
      <w:r>
        <w:t>var</w:t>
      </w:r>
      <w:r>
        <w:rPr>
          <w:spacing w:val="-2"/>
        </w:rPr>
        <w:t xml:space="preserve"> </w:t>
      </w:r>
      <w:r>
        <w:t>olan</w:t>
      </w:r>
      <w:r>
        <w:rPr>
          <w:spacing w:val="-3"/>
        </w:rPr>
        <w:t xml:space="preserve"> </w:t>
      </w:r>
      <w:r>
        <w:t>dostluğun</w:t>
      </w:r>
      <w:r>
        <w:rPr>
          <w:spacing w:val="-1"/>
        </w:rPr>
        <w:t xml:space="preserve"> </w:t>
      </w:r>
      <w:r>
        <w:t>geliştirilmesi</w:t>
      </w:r>
      <w:r>
        <w:rPr>
          <w:spacing w:val="-3"/>
        </w:rPr>
        <w:t xml:space="preserve"> </w:t>
      </w:r>
      <w:r>
        <w:t>konusunda</w:t>
      </w:r>
      <w:r>
        <w:rPr>
          <w:spacing w:val="-3"/>
        </w:rPr>
        <w:t xml:space="preserve"> </w:t>
      </w:r>
      <w:r>
        <w:t>hemfikir</w:t>
      </w:r>
      <w:r>
        <w:rPr>
          <w:spacing w:val="-1"/>
        </w:rPr>
        <w:t xml:space="preserve"> </w:t>
      </w:r>
      <w:r>
        <w:t>olduklarını, Türkiye</w:t>
      </w:r>
      <w:r>
        <w:rPr>
          <w:spacing w:val="-2"/>
        </w:rPr>
        <w:t xml:space="preserve"> </w:t>
      </w:r>
      <w:r>
        <w:t>Cumhuriyeti’nin</w:t>
      </w:r>
      <w:r>
        <w:rPr>
          <w:spacing w:val="-14"/>
        </w:rPr>
        <w:t xml:space="preserve"> </w:t>
      </w:r>
      <w:r>
        <w:t>ABD’nin dostane</w:t>
      </w:r>
      <w:r>
        <w:rPr>
          <w:spacing w:val="-2"/>
        </w:rPr>
        <w:t xml:space="preserve"> </w:t>
      </w:r>
      <w:r>
        <w:t>hislerine</w:t>
      </w:r>
      <w:r>
        <w:rPr>
          <w:spacing w:val="-2"/>
        </w:rPr>
        <w:t xml:space="preserve"> </w:t>
      </w:r>
      <w:r>
        <w:t>karşı</w:t>
      </w:r>
      <w:r>
        <w:rPr>
          <w:spacing w:val="-1"/>
        </w:rPr>
        <w:t xml:space="preserve"> </w:t>
      </w:r>
      <w:r>
        <w:t>aynı hisleri</w:t>
      </w:r>
      <w:r>
        <w:rPr>
          <w:spacing w:val="-1"/>
        </w:rPr>
        <w:t xml:space="preserve"> </w:t>
      </w:r>
      <w:r>
        <w:t>taşıdığını ifade</w:t>
      </w:r>
      <w:r>
        <w:rPr>
          <w:spacing w:val="-2"/>
        </w:rPr>
        <w:t xml:space="preserve"> </w:t>
      </w:r>
      <w:r>
        <w:t>etmiştir. Japonya elçisine ise Türkiye ve Japonya arasında dostluğun gelişeceğini, küresel barışın korunması</w:t>
      </w:r>
      <w:r>
        <w:rPr>
          <w:spacing w:val="-2"/>
        </w:rPr>
        <w:t xml:space="preserve"> </w:t>
      </w:r>
      <w:r>
        <w:t>için</w:t>
      </w:r>
      <w:r>
        <w:rPr>
          <w:spacing w:val="-2"/>
        </w:rPr>
        <w:t xml:space="preserve"> </w:t>
      </w:r>
      <w:r>
        <w:t>her</w:t>
      </w:r>
      <w:r>
        <w:rPr>
          <w:spacing w:val="-3"/>
        </w:rPr>
        <w:t xml:space="preserve"> </w:t>
      </w:r>
      <w:r>
        <w:t>iki</w:t>
      </w:r>
      <w:r>
        <w:rPr>
          <w:spacing w:val="-2"/>
        </w:rPr>
        <w:t xml:space="preserve"> </w:t>
      </w:r>
      <w:r>
        <w:t>ülkenin</w:t>
      </w:r>
      <w:r>
        <w:rPr>
          <w:spacing w:val="-2"/>
        </w:rPr>
        <w:t xml:space="preserve"> </w:t>
      </w:r>
      <w:r>
        <w:t>birlikte</w:t>
      </w:r>
      <w:r>
        <w:rPr>
          <w:spacing w:val="-3"/>
        </w:rPr>
        <w:t xml:space="preserve"> </w:t>
      </w:r>
      <w:r>
        <w:t>çalışmasının</w:t>
      </w:r>
      <w:r>
        <w:rPr>
          <w:spacing w:val="-2"/>
        </w:rPr>
        <w:t xml:space="preserve"> </w:t>
      </w:r>
      <w:r>
        <w:t>geleneksel</w:t>
      </w:r>
      <w:r>
        <w:rPr>
          <w:spacing w:val="-6"/>
        </w:rPr>
        <w:t xml:space="preserve"> </w:t>
      </w:r>
      <w:r>
        <w:t>Türk-Japon</w:t>
      </w:r>
      <w:r>
        <w:rPr>
          <w:spacing w:val="-2"/>
        </w:rPr>
        <w:t xml:space="preserve"> </w:t>
      </w:r>
      <w:r>
        <w:t>dostluğuna yeni</w:t>
      </w:r>
      <w:r>
        <w:rPr>
          <w:spacing w:val="-2"/>
        </w:rPr>
        <w:t xml:space="preserve"> </w:t>
      </w:r>
      <w:r>
        <w:t>bir parlaklık vereceğini söylemiştir. 1 Kasım 1933’te TBMM’nin dördüncü dönem üçüncü toplanma yılını açarken Türkiye’nin dış politikasına değinmiştir. Türkiye’nin dış politikası hakkında</w:t>
      </w:r>
      <w:r>
        <w:rPr>
          <w:spacing w:val="-15"/>
        </w:rPr>
        <w:t xml:space="preserve"> </w:t>
      </w:r>
      <w:r>
        <w:t>bilgi</w:t>
      </w:r>
      <w:r>
        <w:rPr>
          <w:spacing w:val="-15"/>
        </w:rPr>
        <w:t xml:space="preserve"> </w:t>
      </w:r>
      <w:r>
        <w:t>verirken</w:t>
      </w:r>
      <w:r>
        <w:rPr>
          <w:spacing w:val="-15"/>
        </w:rPr>
        <w:t xml:space="preserve"> </w:t>
      </w:r>
      <w:r>
        <w:t>Sovyet</w:t>
      </w:r>
      <w:r>
        <w:rPr>
          <w:spacing w:val="-15"/>
        </w:rPr>
        <w:t xml:space="preserve"> </w:t>
      </w:r>
      <w:r>
        <w:t>Heyeti’nin</w:t>
      </w:r>
      <w:r>
        <w:rPr>
          <w:spacing w:val="-15"/>
        </w:rPr>
        <w:t xml:space="preserve"> </w:t>
      </w:r>
      <w:r>
        <w:t>Türkiye</w:t>
      </w:r>
      <w:r>
        <w:rPr>
          <w:spacing w:val="-15"/>
        </w:rPr>
        <w:t xml:space="preserve"> </w:t>
      </w:r>
      <w:r>
        <w:t>ziyaretini</w:t>
      </w:r>
      <w:r>
        <w:rPr>
          <w:spacing w:val="-15"/>
        </w:rPr>
        <w:t xml:space="preserve"> </w:t>
      </w:r>
      <w:r>
        <w:t>zor</w:t>
      </w:r>
      <w:r>
        <w:rPr>
          <w:spacing w:val="-15"/>
        </w:rPr>
        <w:t xml:space="preserve"> </w:t>
      </w:r>
      <w:r>
        <w:t>günlerde</w:t>
      </w:r>
      <w:r>
        <w:rPr>
          <w:spacing w:val="-15"/>
        </w:rPr>
        <w:t xml:space="preserve"> </w:t>
      </w:r>
      <w:r>
        <w:t>kurulmuş</w:t>
      </w:r>
      <w:r>
        <w:rPr>
          <w:spacing w:val="-15"/>
        </w:rPr>
        <w:t xml:space="preserve"> </w:t>
      </w:r>
      <w:r>
        <w:t>iki</w:t>
      </w:r>
      <w:r>
        <w:rPr>
          <w:spacing w:val="-15"/>
        </w:rPr>
        <w:t xml:space="preserve"> </w:t>
      </w:r>
      <w:r>
        <w:t>devletin dostane</w:t>
      </w:r>
      <w:r>
        <w:rPr>
          <w:spacing w:val="-4"/>
        </w:rPr>
        <w:t xml:space="preserve"> </w:t>
      </w:r>
      <w:r>
        <w:t>ilişkisi</w:t>
      </w:r>
      <w:r>
        <w:rPr>
          <w:spacing w:val="-3"/>
        </w:rPr>
        <w:t xml:space="preserve"> </w:t>
      </w:r>
      <w:r>
        <w:t>ve</w:t>
      </w:r>
      <w:r>
        <w:rPr>
          <w:spacing w:val="-4"/>
        </w:rPr>
        <w:t xml:space="preserve"> </w:t>
      </w:r>
      <w:r>
        <w:t>uluslararası</w:t>
      </w:r>
      <w:r>
        <w:rPr>
          <w:spacing w:val="-3"/>
        </w:rPr>
        <w:t xml:space="preserve"> </w:t>
      </w:r>
      <w:r>
        <w:t>barışa</w:t>
      </w:r>
      <w:r>
        <w:rPr>
          <w:spacing w:val="-4"/>
        </w:rPr>
        <w:t xml:space="preserve"> </w:t>
      </w:r>
      <w:r>
        <w:t>hizmet</w:t>
      </w:r>
      <w:r>
        <w:rPr>
          <w:spacing w:val="-3"/>
        </w:rPr>
        <w:t xml:space="preserve"> </w:t>
      </w:r>
      <w:r>
        <w:t>çabası</w:t>
      </w:r>
      <w:r>
        <w:rPr>
          <w:spacing w:val="-3"/>
        </w:rPr>
        <w:t xml:space="preserve"> </w:t>
      </w:r>
      <w:r>
        <w:t>olarak</w:t>
      </w:r>
      <w:r>
        <w:rPr>
          <w:spacing w:val="-3"/>
        </w:rPr>
        <w:t xml:space="preserve"> </w:t>
      </w:r>
      <w:r>
        <w:t>değerlendirmiştir.</w:t>
      </w:r>
      <w:r>
        <w:rPr>
          <w:spacing w:val="-3"/>
        </w:rPr>
        <w:t xml:space="preserve"> </w:t>
      </w:r>
      <w:r>
        <w:t>Balkanlarda</w:t>
      </w:r>
      <w:r>
        <w:rPr>
          <w:spacing w:val="-4"/>
        </w:rPr>
        <w:t xml:space="preserve"> </w:t>
      </w:r>
      <w:r>
        <w:t>barış ve huzurun sağlanması için Türkiye’nin Yunanistan, Bulgaristan, Romanya, Yugoslavya ile dostane ilişkiler yürüttüğünü söylemiştir.</w:t>
      </w:r>
    </w:p>
    <w:p w14:paraId="5CFC24DE" w14:textId="77777777" w:rsidR="004C7694" w:rsidRDefault="004C7694" w:rsidP="004C7694">
      <w:pPr>
        <w:pStyle w:val="GvdeMetni"/>
        <w:ind w:left="141" w:right="138"/>
        <w:jc w:val="both"/>
      </w:pPr>
    </w:p>
    <w:p w14:paraId="3B922329" w14:textId="15CD6D91" w:rsidR="004C7694" w:rsidRDefault="00FF4BC0" w:rsidP="004C7694">
      <w:pPr>
        <w:ind w:left="141"/>
        <w:rPr>
          <w:spacing w:val="-2"/>
        </w:rPr>
      </w:pPr>
      <w:r>
        <w:rPr>
          <w:b/>
        </w:rPr>
        <w:t>Anahtar</w:t>
      </w:r>
      <w:r>
        <w:rPr>
          <w:b/>
          <w:spacing w:val="-11"/>
        </w:rPr>
        <w:t xml:space="preserve"> </w:t>
      </w:r>
      <w:r w:rsidR="00B24CA3">
        <w:rPr>
          <w:b/>
        </w:rPr>
        <w:t>Kelimeler</w:t>
      </w:r>
      <w:r>
        <w:rPr>
          <w:b/>
        </w:rPr>
        <w:t>:</w:t>
      </w:r>
      <w:r>
        <w:rPr>
          <w:b/>
          <w:spacing w:val="-2"/>
        </w:rPr>
        <w:t xml:space="preserve"> </w:t>
      </w:r>
      <w:r>
        <w:t>Mustafa</w:t>
      </w:r>
      <w:r>
        <w:rPr>
          <w:spacing w:val="-3"/>
        </w:rPr>
        <w:t xml:space="preserve"> </w:t>
      </w:r>
      <w:r>
        <w:t>Kemal</w:t>
      </w:r>
      <w:r>
        <w:rPr>
          <w:spacing w:val="-15"/>
        </w:rPr>
        <w:t xml:space="preserve"> </w:t>
      </w:r>
      <w:r>
        <w:t>Atatürk, Dış</w:t>
      </w:r>
      <w:r>
        <w:rPr>
          <w:spacing w:val="-3"/>
        </w:rPr>
        <w:t xml:space="preserve"> </w:t>
      </w:r>
      <w:r>
        <w:t>Politika,</w:t>
      </w:r>
      <w:r>
        <w:rPr>
          <w:spacing w:val="-2"/>
        </w:rPr>
        <w:t xml:space="preserve"> </w:t>
      </w:r>
      <w:r>
        <w:t>Barış,</w:t>
      </w:r>
      <w:r>
        <w:rPr>
          <w:spacing w:val="-1"/>
        </w:rPr>
        <w:t xml:space="preserve"> </w:t>
      </w:r>
      <w:r>
        <w:rPr>
          <w:spacing w:val="-2"/>
        </w:rPr>
        <w:t>Dostluk</w:t>
      </w:r>
    </w:p>
    <w:p w14:paraId="04F122CE" w14:textId="77777777" w:rsidR="004C7694" w:rsidRDefault="004C7694">
      <w:pPr>
        <w:autoSpaceDE/>
        <w:autoSpaceDN/>
        <w:rPr>
          <w:spacing w:val="-2"/>
        </w:rPr>
      </w:pPr>
      <w:r>
        <w:rPr>
          <w:spacing w:val="-2"/>
        </w:rPr>
        <w:br w:type="page"/>
      </w:r>
    </w:p>
    <w:p w14:paraId="7801EAD1" w14:textId="2B8FC1E0" w:rsidR="004C7694" w:rsidRPr="00C70E93" w:rsidRDefault="004C7694" w:rsidP="00C70E93">
      <w:pPr>
        <w:autoSpaceDE/>
        <w:autoSpaceDN/>
        <w:rPr>
          <w:spacing w:val="-2"/>
        </w:rPr>
        <w:sectPr w:rsidR="004C7694" w:rsidRPr="00C70E93" w:rsidSect="007513A1">
          <w:type w:val="continuous"/>
          <w:pgSz w:w="11906" w:h="16838"/>
          <w:pgMar w:top="1418" w:right="1418" w:bottom="1418" w:left="1418" w:header="1304" w:footer="1361" w:gutter="0"/>
          <w:cols w:space="708"/>
        </w:sectPr>
      </w:pPr>
    </w:p>
    <w:p w14:paraId="5844963E" w14:textId="577AC693" w:rsidR="00FF4BC0" w:rsidRPr="00B24CA3" w:rsidRDefault="00B24CA3" w:rsidP="004C7694">
      <w:pPr>
        <w:pStyle w:val="Tark"/>
        <w:rPr>
          <w:spacing w:val="-2"/>
        </w:rPr>
      </w:pPr>
      <w:bookmarkStart w:id="220" w:name="_Toc192855243"/>
      <w:r w:rsidRPr="00B24CA3">
        <w:lastRenderedPageBreak/>
        <w:t>Atatürk’ün</w:t>
      </w:r>
      <w:r w:rsidRPr="00B24CA3">
        <w:rPr>
          <w:spacing w:val="-4"/>
        </w:rPr>
        <w:t xml:space="preserve"> </w:t>
      </w:r>
      <w:proofErr w:type="gramStart"/>
      <w:r w:rsidRPr="00B24CA3">
        <w:t>Elazığ</w:t>
      </w:r>
      <w:proofErr w:type="gramEnd"/>
      <w:r w:rsidRPr="00B24CA3">
        <w:rPr>
          <w:spacing w:val="-2"/>
        </w:rPr>
        <w:t xml:space="preserve"> </w:t>
      </w:r>
      <w:r w:rsidRPr="00B24CA3">
        <w:t>Gezisinin</w:t>
      </w:r>
      <w:r w:rsidRPr="00B24CA3">
        <w:rPr>
          <w:spacing w:val="-1"/>
        </w:rPr>
        <w:t xml:space="preserve"> </w:t>
      </w:r>
      <w:r w:rsidRPr="00B24CA3">
        <w:t>Türk</w:t>
      </w:r>
      <w:r w:rsidRPr="00B24CA3">
        <w:rPr>
          <w:spacing w:val="-1"/>
        </w:rPr>
        <w:t xml:space="preserve"> </w:t>
      </w:r>
      <w:r w:rsidRPr="00B24CA3">
        <w:t>Basınına</w:t>
      </w:r>
      <w:r w:rsidRPr="00B24CA3">
        <w:rPr>
          <w:spacing w:val="-3"/>
        </w:rPr>
        <w:t xml:space="preserve"> </w:t>
      </w:r>
      <w:r w:rsidRPr="00B24CA3">
        <w:t>Yansıması</w:t>
      </w:r>
      <w:r w:rsidRPr="00B24CA3">
        <w:rPr>
          <w:spacing w:val="-2"/>
        </w:rPr>
        <w:t xml:space="preserve"> (1937)</w:t>
      </w:r>
      <w:bookmarkEnd w:id="220"/>
    </w:p>
    <w:p w14:paraId="71ED466B" w14:textId="77777777" w:rsidR="00FF4BC0" w:rsidRPr="00FF4BC0" w:rsidRDefault="00FF4BC0" w:rsidP="00FF4BC0"/>
    <w:p w14:paraId="5A44AAE7" w14:textId="77777777" w:rsidR="00FF4BC0" w:rsidRDefault="00FF4BC0" w:rsidP="00FF4BC0">
      <w:pPr>
        <w:pStyle w:val="GvdeMetni"/>
        <w:ind w:right="3"/>
        <w:jc w:val="center"/>
      </w:pPr>
      <w:r>
        <w:t>Melek</w:t>
      </w:r>
      <w:r>
        <w:rPr>
          <w:spacing w:val="-14"/>
        </w:rPr>
        <w:t xml:space="preserve"> </w:t>
      </w:r>
      <w:r>
        <w:rPr>
          <w:spacing w:val="-2"/>
        </w:rPr>
        <w:t>YENİSU</w:t>
      </w:r>
    </w:p>
    <w:p w14:paraId="175D4CB7" w14:textId="77777777" w:rsidR="00FF4BC0" w:rsidRDefault="00FF4BC0" w:rsidP="00FF4BC0">
      <w:pPr>
        <w:pStyle w:val="GvdeMetni"/>
        <w:ind w:left="2375" w:right="2378"/>
        <w:jc w:val="center"/>
      </w:pPr>
      <w:r>
        <w:t>Dr.,</w:t>
      </w:r>
      <w:r>
        <w:rPr>
          <w:spacing w:val="-15"/>
        </w:rPr>
        <w:t xml:space="preserve"> </w:t>
      </w:r>
      <w:proofErr w:type="gramStart"/>
      <w:r>
        <w:t>Milli</w:t>
      </w:r>
      <w:proofErr w:type="gramEnd"/>
      <w:r>
        <w:rPr>
          <w:spacing w:val="-15"/>
        </w:rPr>
        <w:t xml:space="preserve"> </w:t>
      </w:r>
      <w:r>
        <w:t>Eğitim</w:t>
      </w:r>
      <w:r>
        <w:rPr>
          <w:spacing w:val="-15"/>
        </w:rPr>
        <w:t xml:space="preserve"> </w:t>
      </w:r>
      <w:r>
        <w:t xml:space="preserve">Bakanlığı </w:t>
      </w:r>
      <w:hyperlink r:id="rId241">
        <w:r>
          <w:rPr>
            <w:color w:val="0462C1"/>
            <w:spacing w:val="-2"/>
            <w:u w:val="single" w:color="0462C1"/>
          </w:rPr>
          <w:t>yenisu23@gmail.com</w:t>
        </w:r>
      </w:hyperlink>
    </w:p>
    <w:p w14:paraId="7154D86D" w14:textId="77777777" w:rsidR="00FF4BC0" w:rsidRDefault="00FF4BC0" w:rsidP="00FF4BC0">
      <w:pPr>
        <w:pStyle w:val="GvdeMetni"/>
        <w:ind w:left="3" w:right="3"/>
        <w:jc w:val="center"/>
      </w:pPr>
      <w:proofErr w:type="spellStart"/>
      <w:r>
        <w:t>Orcıd</w:t>
      </w:r>
      <w:proofErr w:type="spellEnd"/>
      <w:r>
        <w:rPr>
          <w:spacing w:val="-4"/>
        </w:rPr>
        <w:t xml:space="preserve"> </w:t>
      </w:r>
      <w:r>
        <w:t>ID:</w:t>
      </w:r>
      <w:r>
        <w:rPr>
          <w:spacing w:val="-2"/>
        </w:rPr>
        <w:t xml:space="preserve"> </w:t>
      </w:r>
      <w:r>
        <w:t>0000-0002-7622-</w:t>
      </w:r>
      <w:r>
        <w:rPr>
          <w:spacing w:val="-4"/>
        </w:rPr>
        <w:t>2027</w:t>
      </w:r>
    </w:p>
    <w:p w14:paraId="5EFFC688" w14:textId="77777777" w:rsidR="00FF4BC0" w:rsidRPr="00B24CA3" w:rsidRDefault="00FF4BC0" w:rsidP="00FF4BC0">
      <w:pPr>
        <w:pStyle w:val="GvdeMetni"/>
        <w:rPr>
          <w:b/>
          <w:bCs/>
        </w:rPr>
      </w:pPr>
    </w:p>
    <w:p w14:paraId="060104F1" w14:textId="39F3E815" w:rsidR="00FF4BC0" w:rsidRPr="00AF3C45" w:rsidRDefault="00FF4BC0" w:rsidP="00AF3C45">
      <w:pPr>
        <w:jc w:val="center"/>
        <w:rPr>
          <w:b/>
          <w:bCs/>
        </w:rPr>
      </w:pPr>
      <w:r w:rsidRPr="00AF3C45">
        <w:rPr>
          <w:b/>
          <w:bCs/>
        </w:rPr>
        <w:t>Özet</w:t>
      </w:r>
    </w:p>
    <w:p w14:paraId="2AE6ADDE" w14:textId="7BFC93C1" w:rsidR="00FF4BC0" w:rsidRDefault="00FF4BC0" w:rsidP="004C7694">
      <w:pPr>
        <w:pStyle w:val="GvdeMetni"/>
        <w:spacing w:before="1" w:line="259" w:lineRule="auto"/>
        <w:ind w:left="141" w:right="138"/>
        <w:jc w:val="both"/>
      </w:pPr>
      <w:r>
        <w:t>Mustafa</w:t>
      </w:r>
      <w:r>
        <w:rPr>
          <w:spacing w:val="-3"/>
        </w:rPr>
        <w:t xml:space="preserve"> </w:t>
      </w:r>
      <w:r>
        <w:t>Kemal</w:t>
      </w:r>
      <w:r>
        <w:rPr>
          <w:spacing w:val="-1"/>
        </w:rPr>
        <w:t xml:space="preserve"> </w:t>
      </w:r>
      <w:r>
        <w:t>Atatürk 1937 yılında Doğu</w:t>
      </w:r>
      <w:r>
        <w:rPr>
          <w:spacing w:val="-1"/>
        </w:rPr>
        <w:t xml:space="preserve"> </w:t>
      </w:r>
      <w:r>
        <w:t>Anadolu’yu</w:t>
      </w:r>
      <w:r>
        <w:rPr>
          <w:spacing w:val="-1"/>
        </w:rPr>
        <w:t xml:space="preserve"> </w:t>
      </w:r>
      <w:r>
        <w:t>kapsayan</w:t>
      </w:r>
      <w:r>
        <w:rPr>
          <w:spacing w:val="-1"/>
        </w:rPr>
        <w:t xml:space="preserve"> </w:t>
      </w:r>
      <w:r>
        <w:t>bir yurt gezisi yapmış</w:t>
      </w:r>
      <w:r>
        <w:rPr>
          <w:spacing w:val="-1"/>
        </w:rPr>
        <w:t xml:space="preserve"> </w:t>
      </w:r>
      <w:r>
        <w:t>ve</w:t>
      </w:r>
      <w:r>
        <w:rPr>
          <w:spacing w:val="-2"/>
        </w:rPr>
        <w:t xml:space="preserve"> </w:t>
      </w:r>
      <w:r>
        <w:t>bu gezi programı içerisinde Elazığ’a gelmiştir. Mustafa Kemal Atatürk 16 Kasım’da Diyarbakır’dan</w:t>
      </w:r>
      <w:r>
        <w:rPr>
          <w:spacing w:val="-1"/>
        </w:rPr>
        <w:t xml:space="preserve"> </w:t>
      </w:r>
      <w:r>
        <w:t>Elazığ’a hareket etmiş</w:t>
      </w:r>
      <w:r>
        <w:rPr>
          <w:spacing w:val="-1"/>
        </w:rPr>
        <w:t xml:space="preserve"> </w:t>
      </w:r>
      <w:r>
        <w:t>ve</w:t>
      </w:r>
      <w:r>
        <w:rPr>
          <w:spacing w:val="-2"/>
        </w:rPr>
        <w:t xml:space="preserve"> </w:t>
      </w:r>
      <w:r>
        <w:t>bu</w:t>
      </w:r>
      <w:r>
        <w:rPr>
          <w:spacing w:val="-1"/>
        </w:rPr>
        <w:t xml:space="preserve"> </w:t>
      </w:r>
      <w:r>
        <w:t>hareket</w:t>
      </w:r>
      <w:r>
        <w:rPr>
          <w:spacing w:val="-1"/>
        </w:rPr>
        <w:t xml:space="preserve"> </w:t>
      </w:r>
      <w:r>
        <w:t>basında “Büyük Şef dün</w:t>
      </w:r>
      <w:r>
        <w:rPr>
          <w:spacing w:val="-1"/>
        </w:rPr>
        <w:t xml:space="preserve"> </w:t>
      </w:r>
      <w:proofErr w:type="spellStart"/>
      <w:r>
        <w:t>Elaziz’e</w:t>
      </w:r>
      <w:proofErr w:type="spellEnd"/>
      <w:r>
        <w:rPr>
          <w:spacing w:val="-3"/>
        </w:rPr>
        <w:t xml:space="preserve"> </w:t>
      </w:r>
      <w:r>
        <w:t xml:space="preserve">hareket ettiler” şeklinde kamuoyuna duyurulmuştur. Atatürk’ün 17 Kasım’da Elazığ’a varışı üzerine gazeteler “Atatürk </w:t>
      </w:r>
      <w:proofErr w:type="spellStart"/>
      <w:r>
        <w:t>Elaziz’de</w:t>
      </w:r>
      <w:proofErr w:type="spellEnd"/>
      <w:r>
        <w:t>, Büyük Şef halkın sonsuz tezahüratı ile karşılandı”, “</w:t>
      </w:r>
      <w:proofErr w:type="spellStart"/>
      <w:r>
        <w:t>Elaziz</w:t>
      </w:r>
      <w:proofErr w:type="spellEnd"/>
      <w:r>
        <w:t xml:space="preserve"> sözü İl ile Azıktan mürekkep”, “</w:t>
      </w:r>
      <w:proofErr w:type="spellStart"/>
      <w:r>
        <w:t>Elaziz</w:t>
      </w:r>
      <w:proofErr w:type="spellEnd"/>
      <w:r>
        <w:t xml:space="preserve"> ve Tunceli halkı Büyük Şefi emsalsiz tezahürlerle karşıladılar”,</w:t>
      </w:r>
      <w:r>
        <w:rPr>
          <w:spacing w:val="-4"/>
        </w:rPr>
        <w:t xml:space="preserve"> </w:t>
      </w:r>
      <w:r>
        <w:t>“</w:t>
      </w:r>
      <w:proofErr w:type="spellStart"/>
      <w:r>
        <w:t>Elazık</w:t>
      </w:r>
      <w:proofErr w:type="spellEnd"/>
      <w:r>
        <w:rPr>
          <w:spacing w:val="-4"/>
        </w:rPr>
        <w:t xml:space="preserve"> </w:t>
      </w:r>
      <w:r>
        <w:t>hakiki</w:t>
      </w:r>
      <w:r>
        <w:rPr>
          <w:spacing w:val="-4"/>
        </w:rPr>
        <w:t xml:space="preserve"> </w:t>
      </w:r>
      <w:r>
        <w:t>bir</w:t>
      </w:r>
      <w:r>
        <w:rPr>
          <w:spacing w:val="-4"/>
        </w:rPr>
        <w:t xml:space="preserve"> </w:t>
      </w:r>
      <w:r>
        <w:t>bayram yapıyor”</w:t>
      </w:r>
      <w:r>
        <w:rPr>
          <w:spacing w:val="-5"/>
        </w:rPr>
        <w:t xml:space="preserve"> </w:t>
      </w:r>
      <w:r>
        <w:t>şeklinde</w:t>
      </w:r>
      <w:r>
        <w:rPr>
          <w:spacing w:val="-5"/>
        </w:rPr>
        <w:t xml:space="preserve"> </w:t>
      </w:r>
      <w:r>
        <w:t>başlıklar</w:t>
      </w:r>
      <w:r>
        <w:rPr>
          <w:spacing w:val="-6"/>
        </w:rPr>
        <w:t xml:space="preserve"> </w:t>
      </w:r>
      <w:r>
        <w:t>atmıştır.</w:t>
      </w:r>
      <w:r>
        <w:rPr>
          <w:spacing w:val="-4"/>
        </w:rPr>
        <w:t xml:space="preserve"> </w:t>
      </w:r>
      <w:r>
        <w:t>Atatürk’ün</w:t>
      </w:r>
      <w:r>
        <w:rPr>
          <w:spacing w:val="-4"/>
        </w:rPr>
        <w:t xml:space="preserve"> </w:t>
      </w:r>
      <w:proofErr w:type="gramStart"/>
      <w:r>
        <w:t>Elazığ</w:t>
      </w:r>
      <w:proofErr w:type="gramEnd"/>
      <w:r>
        <w:t xml:space="preserve"> gezisinde basın halkın saat 13’te Elazığ’a varan treni benzersiz bir coşkuyla karşıladığını, Atatürk’ün indiği vagondan itibaren istasyonun dışına kadar kıymetli halılar serildiğini, Atatürk’ün gardan çıktığı esnada top atışları yapıldığını, Mustafa Kemal Atatürk’ün “Yaşa Varol” sesleri arasında gardan çıktığını yazmıştır.</w:t>
      </w:r>
      <w:r>
        <w:rPr>
          <w:spacing w:val="40"/>
        </w:rPr>
        <w:t xml:space="preserve"> </w:t>
      </w:r>
      <w:r>
        <w:t>Atatürk’ü karşılayanlar arasında valilik ve belediye</w:t>
      </w:r>
      <w:r>
        <w:rPr>
          <w:spacing w:val="-3"/>
        </w:rPr>
        <w:t xml:space="preserve"> </w:t>
      </w:r>
      <w:r>
        <w:t>erkanı,</w:t>
      </w:r>
      <w:r>
        <w:rPr>
          <w:spacing w:val="-4"/>
        </w:rPr>
        <w:t xml:space="preserve"> </w:t>
      </w:r>
      <w:r>
        <w:t>parti yetkilileri</w:t>
      </w:r>
      <w:r>
        <w:rPr>
          <w:spacing w:val="-4"/>
        </w:rPr>
        <w:t xml:space="preserve"> </w:t>
      </w:r>
      <w:r>
        <w:t>Dördüncü</w:t>
      </w:r>
      <w:r>
        <w:rPr>
          <w:spacing w:val="-4"/>
        </w:rPr>
        <w:t xml:space="preserve"> </w:t>
      </w:r>
      <w:r>
        <w:t>Umum</w:t>
      </w:r>
      <w:r>
        <w:rPr>
          <w:spacing w:val="-4"/>
        </w:rPr>
        <w:t xml:space="preserve"> </w:t>
      </w:r>
      <w:r>
        <w:t>Müfettişliği,</w:t>
      </w:r>
      <w:r>
        <w:rPr>
          <w:spacing w:val="-4"/>
        </w:rPr>
        <w:t xml:space="preserve"> </w:t>
      </w:r>
      <w:r>
        <w:t>Kolordu</w:t>
      </w:r>
      <w:r>
        <w:rPr>
          <w:spacing w:val="-4"/>
        </w:rPr>
        <w:t xml:space="preserve"> </w:t>
      </w:r>
      <w:r>
        <w:t>erkanı,</w:t>
      </w:r>
      <w:r>
        <w:rPr>
          <w:spacing w:val="-4"/>
        </w:rPr>
        <w:t xml:space="preserve"> </w:t>
      </w:r>
      <w:r>
        <w:t>bölge</w:t>
      </w:r>
      <w:r>
        <w:rPr>
          <w:spacing w:val="-5"/>
        </w:rPr>
        <w:t xml:space="preserve"> </w:t>
      </w:r>
      <w:r>
        <w:t>valilileri ve askeri bando hazır bulunmuştur. Mustafa Kemal Atatürk selam resmini yapan askeri kıtayı selamladıktan</w:t>
      </w:r>
      <w:r>
        <w:rPr>
          <w:spacing w:val="-3"/>
        </w:rPr>
        <w:t xml:space="preserve"> </w:t>
      </w:r>
      <w:r>
        <w:t>sonra</w:t>
      </w:r>
      <w:r>
        <w:rPr>
          <w:spacing w:val="-4"/>
        </w:rPr>
        <w:t xml:space="preserve"> </w:t>
      </w:r>
      <w:r>
        <w:t>halkın</w:t>
      </w:r>
      <w:r>
        <w:rPr>
          <w:spacing w:val="-3"/>
        </w:rPr>
        <w:t xml:space="preserve"> </w:t>
      </w:r>
      <w:r>
        <w:t>içinden</w:t>
      </w:r>
      <w:r>
        <w:rPr>
          <w:spacing w:val="-3"/>
        </w:rPr>
        <w:t xml:space="preserve"> </w:t>
      </w:r>
      <w:r>
        <w:t>geçerek</w:t>
      </w:r>
      <w:r>
        <w:rPr>
          <w:spacing w:val="-3"/>
        </w:rPr>
        <w:t xml:space="preserve"> </w:t>
      </w:r>
      <w:r>
        <w:t>uzun</w:t>
      </w:r>
      <w:r>
        <w:rPr>
          <w:spacing w:val="-3"/>
        </w:rPr>
        <w:t xml:space="preserve"> </w:t>
      </w:r>
      <w:r>
        <w:t>bir</w:t>
      </w:r>
      <w:r>
        <w:rPr>
          <w:spacing w:val="-3"/>
        </w:rPr>
        <w:t xml:space="preserve"> </w:t>
      </w:r>
      <w:r>
        <w:t>mesafe</w:t>
      </w:r>
      <w:r>
        <w:rPr>
          <w:spacing w:val="-1"/>
        </w:rPr>
        <w:t xml:space="preserve"> </w:t>
      </w:r>
      <w:r>
        <w:t>yürümüş</w:t>
      </w:r>
      <w:r>
        <w:rPr>
          <w:spacing w:val="-4"/>
        </w:rPr>
        <w:t xml:space="preserve"> </w:t>
      </w:r>
      <w:r>
        <w:t>ve</w:t>
      </w:r>
      <w:r>
        <w:rPr>
          <w:spacing w:val="-4"/>
        </w:rPr>
        <w:t xml:space="preserve"> </w:t>
      </w:r>
      <w:r>
        <w:t>Umum</w:t>
      </w:r>
      <w:r>
        <w:rPr>
          <w:spacing w:val="-3"/>
        </w:rPr>
        <w:t xml:space="preserve"> </w:t>
      </w:r>
      <w:r>
        <w:t>Müfettişliğine girmiştir.</w:t>
      </w:r>
      <w:r>
        <w:rPr>
          <w:spacing w:val="-10"/>
        </w:rPr>
        <w:t xml:space="preserve"> </w:t>
      </w:r>
      <w:r>
        <w:t>Gazeteler</w:t>
      </w:r>
      <w:r>
        <w:rPr>
          <w:spacing w:val="-8"/>
        </w:rPr>
        <w:t xml:space="preserve"> </w:t>
      </w:r>
      <w:r>
        <w:t>Umum</w:t>
      </w:r>
      <w:r>
        <w:rPr>
          <w:spacing w:val="-9"/>
        </w:rPr>
        <w:t xml:space="preserve"> </w:t>
      </w:r>
      <w:r>
        <w:t>Müfettiş</w:t>
      </w:r>
      <w:r>
        <w:rPr>
          <w:spacing w:val="-9"/>
        </w:rPr>
        <w:t xml:space="preserve"> </w:t>
      </w:r>
      <w:r>
        <w:t>Orgeneral</w:t>
      </w:r>
      <w:r>
        <w:rPr>
          <w:spacing w:val="-9"/>
        </w:rPr>
        <w:t xml:space="preserve"> </w:t>
      </w:r>
      <w:r>
        <w:t>Abdullah</w:t>
      </w:r>
      <w:r>
        <w:rPr>
          <w:spacing w:val="-9"/>
        </w:rPr>
        <w:t xml:space="preserve"> </w:t>
      </w:r>
      <w:proofErr w:type="spellStart"/>
      <w:r>
        <w:t>Alpdoğan’ın</w:t>
      </w:r>
      <w:proofErr w:type="spellEnd"/>
      <w:r>
        <w:rPr>
          <w:spacing w:val="-9"/>
        </w:rPr>
        <w:t xml:space="preserve"> </w:t>
      </w:r>
      <w:r>
        <w:t>müfettişliğin</w:t>
      </w:r>
      <w:r>
        <w:rPr>
          <w:spacing w:val="-9"/>
        </w:rPr>
        <w:t xml:space="preserve"> </w:t>
      </w:r>
      <w:r>
        <w:t>çalışmaları ve planladığı çalışmaları Mustafa Kemal Atatürk’e izah ettiğini kamuoyuna duyurmuştur. Mustafa</w:t>
      </w:r>
      <w:r>
        <w:rPr>
          <w:spacing w:val="3"/>
        </w:rPr>
        <w:t xml:space="preserve"> </w:t>
      </w:r>
      <w:r>
        <w:t>Kemal</w:t>
      </w:r>
      <w:r>
        <w:rPr>
          <w:spacing w:val="8"/>
        </w:rPr>
        <w:t xml:space="preserve"> </w:t>
      </w:r>
      <w:r>
        <w:t>Atatürk’ün</w:t>
      </w:r>
      <w:r>
        <w:rPr>
          <w:spacing w:val="8"/>
        </w:rPr>
        <w:t xml:space="preserve"> </w:t>
      </w:r>
      <w:r>
        <w:t>Başbakan</w:t>
      </w:r>
      <w:r>
        <w:rPr>
          <w:spacing w:val="8"/>
        </w:rPr>
        <w:t xml:space="preserve"> </w:t>
      </w:r>
      <w:r>
        <w:t>B.</w:t>
      </w:r>
      <w:r>
        <w:rPr>
          <w:spacing w:val="8"/>
        </w:rPr>
        <w:t xml:space="preserve"> </w:t>
      </w:r>
      <w:r>
        <w:t>Celal</w:t>
      </w:r>
      <w:r>
        <w:rPr>
          <w:spacing w:val="8"/>
        </w:rPr>
        <w:t xml:space="preserve"> </w:t>
      </w:r>
      <w:r>
        <w:t>Bayar,</w:t>
      </w:r>
      <w:r>
        <w:rPr>
          <w:spacing w:val="10"/>
        </w:rPr>
        <w:t xml:space="preserve"> </w:t>
      </w:r>
      <w:r>
        <w:t>İçişleri</w:t>
      </w:r>
      <w:r>
        <w:rPr>
          <w:spacing w:val="8"/>
        </w:rPr>
        <w:t xml:space="preserve"> </w:t>
      </w:r>
      <w:r>
        <w:t>Bakanı</w:t>
      </w:r>
      <w:r>
        <w:rPr>
          <w:spacing w:val="8"/>
        </w:rPr>
        <w:t xml:space="preserve"> </w:t>
      </w:r>
      <w:r>
        <w:t>ve</w:t>
      </w:r>
      <w:r>
        <w:rPr>
          <w:spacing w:val="7"/>
        </w:rPr>
        <w:t xml:space="preserve"> </w:t>
      </w:r>
      <w:r>
        <w:t>Parti</w:t>
      </w:r>
      <w:r>
        <w:rPr>
          <w:spacing w:val="8"/>
        </w:rPr>
        <w:t xml:space="preserve"> </w:t>
      </w:r>
      <w:r>
        <w:t>Genel</w:t>
      </w:r>
      <w:r>
        <w:rPr>
          <w:spacing w:val="8"/>
        </w:rPr>
        <w:t xml:space="preserve"> </w:t>
      </w:r>
      <w:r>
        <w:rPr>
          <w:spacing w:val="-2"/>
        </w:rPr>
        <w:t>Sekreteri</w:t>
      </w:r>
      <w:r w:rsidR="004C7694">
        <w:t xml:space="preserve"> </w:t>
      </w:r>
      <w:r>
        <w:t>B.</w:t>
      </w:r>
      <w:r>
        <w:rPr>
          <w:spacing w:val="-15"/>
        </w:rPr>
        <w:t xml:space="preserve"> </w:t>
      </w:r>
      <w:r>
        <w:t>Şükrü</w:t>
      </w:r>
      <w:r>
        <w:rPr>
          <w:spacing w:val="-15"/>
        </w:rPr>
        <w:t xml:space="preserve"> </w:t>
      </w:r>
      <w:r>
        <w:t>Kaya,</w:t>
      </w:r>
      <w:r>
        <w:rPr>
          <w:spacing w:val="-15"/>
        </w:rPr>
        <w:t xml:space="preserve"> </w:t>
      </w:r>
      <w:r>
        <w:t>Bayındırlık</w:t>
      </w:r>
      <w:r>
        <w:rPr>
          <w:spacing w:val="-15"/>
        </w:rPr>
        <w:t xml:space="preserve"> </w:t>
      </w:r>
      <w:r>
        <w:t>Bakanı</w:t>
      </w:r>
      <w:r>
        <w:rPr>
          <w:spacing w:val="-15"/>
        </w:rPr>
        <w:t xml:space="preserve"> </w:t>
      </w:r>
      <w:r>
        <w:t>B.</w:t>
      </w:r>
      <w:r>
        <w:rPr>
          <w:spacing w:val="-15"/>
        </w:rPr>
        <w:t xml:space="preserve"> </w:t>
      </w:r>
      <w:r>
        <w:t>Ali</w:t>
      </w:r>
      <w:r>
        <w:rPr>
          <w:spacing w:val="-15"/>
        </w:rPr>
        <w:t xml:space="preserve"> </w:t>
      </w:r>
      <w:r>
        <w:t>Çetinkaya,</w:t>
      </w:r>
      <w:r>
        <w:rPr>
          <w:spacing w:val="-15"/>
        </w:rPr>
        <w:t xml:space="preserve"> </w:t>
      </w:r>
      <w:r>
        <w:t>Orgeneral</w:t>
      </w:r>
      <w:r>
        <w:rPr>
          <w:spacing w:val="-15"/>
        </w:rPr>
        <w:t xml:space="preserve"> </w:t>
      </w:r>
      <w:r>
        <w:t>Kazım</w:t>
      </w:r>
      <w:r>
        <w:rPr>
          <w:spacing w:val="-15"/>
        </w:rPr>
        <w:t xml:space="preserve"> </w:t>
      </w:r>
      <w:proofErr w:type="spellStart"/>
      <w:r>
        <w:t>Urbay</w:t>
      </w:r>
      <w:proofErr w:type="spellEnd"/>
      <w:r>
        <w:t>,</w:t>
      </w:r>
      <w:r>
        <w:rPr>
          <w:spacing w:val="-13"/>
        </w:rPr>
        <w:t xml:space="preserve"> </w:t>
      </w:r>
      <w:r>
        <w:t>Umumi</w:t>
      </w:r>
      <w:r>
        <w:rPr>
          <w:spacing w:val="-15"/>
        </w:rPr>
        <w:t xml:space="preserve"> </w:t>
      </w:r>
      <w:r>
        <w:t xml:space="preserve">Müfettiş </w:t>
      </w:r>
      <w:proofErr w:type="spellStart"/>
      <w:r>
        <w:t>Alpdoğan</w:t>
      </w:r>
      <w:proofErr w:type="spellEnd"/>
      <w:r>
        <w:t xml:space="preserve"> ve yanındakilerle birlikte Elazığ’dan ayrılarak Tunceli’ye gittiğini yazan basın Atatürk’ün kısa süren </w:t>
      </w:r>
      <w:proofErr w:type="gramStart"/>
      <w:r>
        <w:t>Elazığ</w:t>
      </w:r>
      <w:proofErr w:type="gramEnd"/>
      <w:r>
        <w:t xml:space="preserve"> gezisi hakkında ayrıntılı bilgi vermiştir. Atatürk’ün </w:t>
      </w:r>
      <w:proofErr w:type="gramStart"/>
      <w:r>
        <w:t>Elazığ</w:t>
      </w:r>
      <w:proofErr w:type="gramEnd"/>
      <w:r>
        <w:t xml:space="preserve"> gezisinde basın halkın Mustafa Kemal Atatürk’ü büyük sevgi gösterileri ile karşıladığı, şehrin süslendiği, takların kurulduğu, halkevinde Atatürk onuruna müsamere düzenlendiği üzerinde durmakla birlikte, gezi esnasında gerçekleşen Elazığ’ın isminin değişmesi hadisesi ile ilgili olarak </w:t>
      </w:r>
      <w:proofErr w:type="spellStart"/>
      <w:r>
        <w:t>Elaziz</w:t>
      </w:r>
      <w:proofErr w:type="spellEnd"/>
      <w:r>
        <w:t xml:space="preserve"> adının anlamının </w:t>
      </w:r>
      <w:proofErr w:type="spellStart"/>
      <w:r>
        <w:t>Türkçe’de</w:t>
      </w:r>
      <w:proofErr w:type="spellEnd"/>
      <w:r>
        <w:t xml:space="preserve"> </w:t>
      </w:r>
      <w:proofErr w:type="spellStart"/>
      <w:r>
        <w:t>Elazık</w:t>
      </w:r>
      <w:proofErr w:type="spellEnd"/>
      <w:r>
        <w:t xml:space="preserve"> olarak nasıl açıklandığını izah etmiştir.</w:t>
      </w:r>
    </w:p>
    <w:p w14:paraId="6EA8E25B" w14:textId="77777777" w:rsidR="00FF4BC0" w:rsidRDefault="00FF4BC0" w:rsidP="00FF4BC0">
      <w:pPr>
        <w:pStyle w:val="GvdeMetni"/>
      </w:pPr>
    </w:p>
    <w:p w14:paraId="6000AC8D" w14:textId="77777777" w:rsidR="00FF4BC0" w:rsidRDefault="00FF4BC0" w:rsidP="00FF4BC0">
      <w:pPr>
        <w:pStyle w:val="GvdeMetni"/>
        <w:spacing w:before="59"/>
      </w:pPr>
    </w:p>
    <w:p w14:paraId="14E881DB" w14:textId="62CCC138" w:rsidR="00C70E93" w:rsidRDefault="00FF4BC0" w:rsidP="00FF4BC0">
      <w:pPr>
        <w:ind w:left="141"/>
        <w:jc w:val="both"/>
        <w:rPr>
          <w:spacing w:val="-2"/>
        </w:rPr>
      </w:pPr>
      <w:r>
        <w:rPr>
          <w:b/>
        </w:rPr>
        <w:t>Anahtar</w:t>
      </w:r>
      <w:r>
        <w:rPr>
          <w:b/>
          <w:spacing w:val="-5"/>
        </w:rPr>
        <w:t xml:space="preserve"> </w:t>
      </w:r>
      <w:r>
        <w:rPr>
          <w:b/>
        </w:rPr>
        <w:t>Kelimeler:</w:t>
      </w:r>
      <w:r>
        <w:rPr>
          <w:b/>
          <w:spacing w:val="-1"/>
        </w:rPr>
        <w:t xml:space="preserve"> </w:t>
      </w:r>
      <w:r>
        <w:t>Mustafa</w:t>
      </w:r>
      <w:r>
        <w:rPr>
          <w:spacing w:val="-2"/>
        </w:rPr>
        <w:t xml:space="preserve"> </w:t>
      </w:r>
      <w:r>
        <w:t>Kemal Atatürk,</w:t>
      </w:r>
      <w:r>
        <w:rPr>
          <w:spacing w:val="-1"/>
        </w:rPr>
        <w:t xml:space="preserve"> </w:t>
      </w:r>
      <w:r>
        <w:t>Gezi,</w:t>
      </w:r>
      <w:r>
        <w:rPr>
          <w:spacing w:val="-1"/>
        </w:rPr>
        <w:t xml:space="preserve"> </w:t>
      </w:r>
      <w:proofErr w:type="gramStart"/>
      <w:r>
        <w:t>Elazığ</w:t>
      </w:r>
      <w:proofErr w:type="gramEnd"/>
      <w:r>
        <w:t xml:space="preserve">, </w:t>
      </w:r>
      <w:proofErr w:type="spellStart"/>
      <w:r>
        <w:rPr>
          <w:spacing w:val="-2"/>
        </w:rPr>
        <w:t>Elazık</w:t>
      </w:r>
      <w:proofErr w:type="spellEnd"/>
    </w:p>
    <w:p w14:paraId="3B38F81F" w14:textId="34159E9F" w:rsidR="00B24CA3" w:rsidRPr="00661282" w:rsidRDefault="00C70E93" w:rsidP="00661282">
      <w:pPr>
        <w:autoSpaceDE/>
        <w:autoSpaceDN/>
        <w:rPr>
          <w:spacing w:val="-2"/>
        </w:rPr>
      </w:pPr>
      <w:r>
        <w:rPr>
          <w:spacing w:val="-2"/>
        </w:rPr>
        <w:br w:type="page"/>
      </w:r>
    </w:p>
    <w:p w14:paraId="73AB062E" w14:textId="77777777" w:rsidR="001E7189" w:rsidRPr="002906A3" w:rsidRDefault="001E7189" w:rsidP="004C7694">
      <w:pPr>
        <w:pStyle w:val="Tark"/>
        <w:spacing w:before="0" w:after="0"/>
      </w:pPr>
      <w:bookmarkStart w:id="221" w:name="_Toc192855244"/>
      <w:r w:rsidRPr="002906A3">
        <w:lastRenderedPageBreak/>
        <w:t xml:space="preserve">Romanlardan Öykülere Dedektifin İzinde: Celil </w:t>
      </w:r>
      <w:proofErr w:type="spellStart"/>
      <w:r w:rsidRPr="002906A3">
        <w:t>Oker’in</w:t>
      </w:r>
      <w:proofErr w:type="spellEnd"/>
      <w:r w:rsidRPr="002906A3">
        <w:t xml:space="preserve"> Öykülerindeki Dedektif Remzi Ünal’ın Temsiline Bir Bakış</w:t>
      </w:r>
      <w:bookmarkEnd w:id="221"/>
    </w:p>
    <w:p w14:paraId="031902CF" w14:textId="77777777" w:rsidR="001E7189" w:rsidRPr="002906A3" w:rsidRDefault="001E7189" w:rsidP="004C7694">
      <w:pPr>
        <w:rPr>
          <w:color w:val="000000"/>
        </w:rPr>
      </w:pPr>
    </w:p>
    <w:p w14:paraId="718D687B" w14:textId="77777777" w:rsidR="001E7189" w:rsidRPr="002906A3" w:rsidRDefault="001E7189" w:rsidP="004C7694">
      <w:pPr>
        <w:jc w:val="center"/>
        <w:rPr>
          <w:color w:val="000000"/>
        </w:rPr>
      </w:pPr>
      <w:r w:rsidRPr="002906A3">
        <w:rPr>
          <w:color w:val="000000"/>
        </w:rPr>
        <w:t>Elif OTLUOĞLU KISA</w:t>
      </w:r>
      <w:r w:rsidRPr="002906A3">
        <w:rPr>
          <w:color w:val="000000"/>
        </w:rPr>
        <w:br/>
        <w:t>Doktora Öğrencisi, Marmara Üniversitesi, İletişim Bilimleri</w:t>
      </w:r>
      <w:r w:rsidRPr="002906A3">
        <w:rPr>
          <w:color w:val="000000"/>
        </w:rPr>
        <w:br/>
        <w:t>otluogluelif@hotmail.com</w:t>
      </w:r>
      <w:r w:rsidRPr="002906A3">
        <w:rPr>
          <w:color w:val="000000"/>
        </w:rPr>
        <w:br/>
        <w:t>0000-0003-0462-8850</w:t>
      </w:r>
    </w:p>
    <w:p w14:paraId="58EE3A1C" w14:textId="77777777" w:rsidR="001E7189" w:rsidRPr="002906A3" w:rsidRDefault="001E7189" w:rsidP="004C7694">
      <w:pPr>
        <w:rPr>
          <w:color w:val="000000"/>
        </w:rPr>
      </w:pPr>
    </w:p>
    <w:p w14:paraId="46382581" w14:textId="77777777" w:rsidR="001E7189" w:rsidRPr="002906A3" w:rsidRDefault="001E7189" w:rsidP="004C7694">
      <w:pPr>
        <w:jc w:val="center"/>
        <w:rPr>
          <w:color w:val="000000"/>
        </w:rPr>
      </w:pPr>
      <w:r w:rsidRPr="002906A3">
        <w:rPr>
          <w:b/>
          <w:bCs/>
          <w:color w:val="000000"/>
        </w:rPr>
        <w:t>Özet</w:t>
      </w:r>
    </w:p>
    <w:p w14:paraId="73039DD4" w14:textId="77777777" w:rsidR="001E7189" w:rsidRDefault="001E7189" w:rsidP="004C7694">
      <w:pPr>
        <w:jc w:val="both"/>
        <w:rPr>
          <w:color w:val="000000"/>
        </w:rPr>
      </w:pPr>
      <w:r w:rsidRPr="002906A3">
        <w:rPr>
          <w:color w:val="000000"/>
        </w:rPr>
        <w:t xml:space="preserve">Türkiye’de polisiye edebiyatın öncü isimlerinden biri olarak nitelendirebileceğimiz Celil </w:t>
      </w:r>
      <w:proofErr w:type="spellStart"/>
      <w:r w:rsidRPr="002906A3">
        <w:rPr>
          <w:color w:val="000000"/>
        </w:rPr>
        <w:t>Oker</w:t>
      </w:r>
      <w:proofErr w:type="spellEnd"/>
      <w:r w:rsidRPr="002906A3">
        <w:rPr>
          <w:color w:val="000000"/>
        </w:rPr>
        <w:t xml:space="preserve">, 1999 yılından beri romanlarında yer alan kahramanı Dedektif Remzi Ünal karakteriyle polisiye roman türünde kendine özgü bir yer edinmiştir. Remzi Ünal karakteri sadece polisiye edebiyat için değil, aynı zamanda Türk edebiyatındaki dedektif figürünün gelişimi açısından da önem arz etmektedir. Bunun içindir ki Celil </w:t>
      </w:r>
      <w:proofErr w:type="spellStart"/>
      <w:r w:rsidRPr="002906A3">
        <w:rPr>
          <w:color w:val="000000"/>
        </w:rPr>
        <w:t>Oker</w:t>
      </w:r>
      <w:proofErr w:type="spellEnd"/>
      <w:r w:rsidRPr="002906A3">
        <w:rPr>
          <w:color w:val="000000"/>
        </w:rPr>
        <w:t xml:space="preserve">, nevi şahsına münhasır bir karakter olan Remzi Ünal’ı romanlarının merkezine yerleştirmekle kalmamış aynı zamanda öykülerinde de yer vererek bu türün özgün imkânlarından yararlanarak Remzi Ünal karakterinin temsil olanaklarını zenginleştirmiştir. Bu çalışmada Celil </w:t>
      </w:r>
      <w:proofErr w:type="spellStart"/>
      <w:r w:rsidRPr="002906A3">
        <w:rPr>
          <w:color w:val="000000"/>
        </w:rPr>
        <w:t>Oker’in</w:t>
      </w:r>
      <w:proofErr w:type="spellEnd"/>
      <w:r w:rsidRPr="002906A3">
        <w:rPr>
          <w:color w:val="000000"/>
        </w:rPr>
        <w:t xml:space="preserve"> romanlarındaki Remzi Ünal karakterinin öykülerde nasıl temsil edildiğine odaklanarak karşılaştırmalı bir perspektifle incelemek amaçlanmaktadır. Bu noktadan hareketle “Celil </w:t>
      </w:r>
      <w:proofErr w:type="spellStart"/>
      <w:r w:rsidRPr="002906A3">
        <w:rPr>
          <w:color w:val="000000"/>
        </w:rPr>
        <w:t>Oker’in</w:t>
      </w:r>
      <w:proofErr w:type="spellEnd"/>
      <w:r w:rsidRPr="002906A3">
        <w:rPr>
          <w:color w:val="000000"/>
        </w:rPr>
        <w:t xml:space="preserve"> romanlarındaki Remzi Ünal, öykülerde nasıl yansıtılmıştır?”, “Öykü türünün anlatı olanakları Celil </w:t>
      </w:r>
      <w:proofErr w:type="spellStart"/>
      <w:r w:rsidRPr="002906A3">
        <w:rPr>
          <w:color w:val="000000"/>
        </w:rPr>
        <w:t>Oker’in</w:t>
      </w:r>
      <w:proofErr w:type="spellEnd"/>
      <w:r w:rsidRPr="002906A3">
        <w:rPr>
          <w:color w:val="000000"/>
        </w:rPr>
        <w:t xml:space="preserve"> anlatı dünyasını nasıl şekillendirmiştir?” ve “Roman türü ve öykü türü arasında bir karakterin devamlılığı mümkün müdür?” şeklindeki sorulardan yola çıkarak Remzi Ünal’ın yer aldığı polisiye öykülere odaklanılacaktır. Bununla birlikte Remzi Ünal’ın romanın uzamındaki karakteri temel alınarak öykülerdeki Remzi Ünal’ın tematik ve biçimsel anlamdaki dönüşümüne dair bir analiz yapılacaktır. Böyle bir analiz için araştırma yöntemi olarak </w:t>
      </w:r>
      <w:proofErr w:type="spellStart"/>
      <w:r w:rsidRPr="002906A3">
        <w:rPr>
          <w:color w:val="000000"/>
        </w:rPr>
        <w:t>metinlerarası</w:t>
      </w:r>
      <w:proofErr w:type="spellEnd"/>
      <w:r w:rsidRPr="002906A3">
        <w:rPr>
          <w:color w:val="000000"/>
        </w:rPr>
        <w:t xml:space="preserve"> bir okuma tercih edilmiştir. İlk olarak Celil </w:t>
      </w:r>
      <w:proofErr w:type="spellStart"/>
      <w:r w:rsidRPr="002906A3">
        <w:rPr>
          <w:color w:val="000000"/>
        </w:rPr>
        <w:t>Oker’in</w:t>
      </w:r>
      <w:proofErr w:type="spellEnd"/>
      <w:r w:rsidRPr="002906A3">
        <w:rPr>
          <w:color w:val="000000"/>
        </w:rPr>
        <w:t xml:space="preserve"> romanlarındaki dedektifi Remzi Ünal’ın karakteri polisiye edebiyat ekseninden ifade edilecek ve ardından bu karakterin öykülerde nasıl yansıtıldığı belirtilirken türsel değişimin karakterin ifadesine etkisi betimlenecektir. Edebi bir tür olarak öykünün polisiye kurgu için sınırlı yapısının Remzi Ünal’ın karakterinin öne çıkan özelliklerinin yansıtılması bakımından sınırlandığı, buna rağmen romanların uzamında daha önceden tanık olmadığımız ilişkilere yer verilerek Remzi Ünal’ın dedektif kimliğinin farklı boyutlarının yansıtılmasına olanak sağladığı öykü ve romanlardan örneklerle belirtilecektir. Özellikle tekil olaylar veya durumlarla oluşturulmuş olan öykülerin kurgusal evreni karşısında Remzi Ünal’ın etkili müdahaleleri ve akılcı tespitlerine rağmen karakterin psikolojik derinliğinin yansıtılmasında daha zayıf kaldığına değinilecektir. Sonuç itibariyle Celil </w:t>
      </w:r>
      <w:proofErr w:type="spellStart"/>
      <w:r w:rsidRPr="002906A3">
        <w:rPr>
          <w:color w:val="000000"/>
        </w:rPr>
        <w:t>Oker’in</w:t>
      </w:r>
      <w:proofErr w:type="spellEnd"/>
      <w:r w:rsidRPr="002906A3">
        <w:rPr>
          <w:color w:val="000000"/>
        </w:rPr>
        <w:t xml:space="preserve"> dedektifi Remzi Ünal’ın roman türünden öykü türüne geçişte yapısal unsurların zorunlu değişiminden etkilendiğini, yine de hem roman hem de öykü türünden yararlanılarak Türk edebiyatında dikkate değer bir yer edinmiş olan bu karakterin Türkiye’de polisiye edebiyatın gelişimi ve anlatı sürekliliği açısından kayda değer bir yere sahip olduğu ortaya koyulacaktır.</w:t>
      </w:r>
    </w:p>
    <w:p w14:paraId="48F3E823" w14:textId="77777777" w:rsidR="004C7694" w:rsidRPr="002906A3" w:rsidRDefault="004C7694" w:rsidP="004C7694">
      <w:pPr>
        <w:jc w:val="both"/>
        <w:rPr>
          <w:color w:val="000000"/>
        </w:rPr>
      </w:pPr>
    </w:p>
    <w:p w14:paraId="6CCAB14B" w14:textId="5F24C247" w:rsidR="00661282" w:rsidRDefault="000C6508" w:rsidP="004C7694">
      <w:pPr>
        <w:jc w:val="both"/>
        <w:rPr>
          <w:color w:val="000000"/>
        </w:rPr>
      </w:pPr>
      <w:r>
        <w:rPr>
          <w:b/>
          <w:bCs/>
          <w:color w:val="000000"/>
        </w:rPr>
        <w:t>Anahtar Kelimeler</w:t>
      </w:r>
      <w:r w:rsidR="001E7189" w:rsidRPr="002906A3">
        <w:rPr>
          <w:b/>
          <w:bCs/>
          <w:color w:val="000000"/>
        </w:rPr>
        <w:t>:</w:t>
      </w:r>
      <w:r w:rsidR="001E7189" w:rsidRPr="002906A3">
        <w:rPr>
          <w:color w:val="000000"/>
        </w:rPr>
        <w:t xml:space="preserve"> Celil </w:t>
      </w:r>
      <w:proofErr w:type="spellStart"/>
      <w:r w:rsidR="001E7189" w:rsidRPr="002906A3">
        <w:rPr>
          <w:color w:val="000000"/>
        </w:rPr>
        <w:t>Oker</w:t>
      </w:r>
      <w:proofErr w:type="spellEnd"/>
      <w:r w:rsidR="001E7189" w:rsidRPr="002906A3">
        <w:rPr>
          <w:color w:val="000000"/>
        </w:rPr>
        <w:t>, Dedektif Remzi Ünal, polisiye edebiyat, karşılaştırmalı analiz.</w:t>
      </w:r>
    </w:p>
    <w:p w14:paraId="1AB6B9CC" w14:textId="2C5703B4" w:rsidR="00796532" w:rsidRPr="00661282" w:rsidRDefault="00661282" w:rsidP="004C7694">
      <w:pPr>
        <w:autoSpaceDE/>
        <w:autoSpaceDN/>
        <w:rPr>
          <w:color w:val="000000"/>
        </w:rPr>
      </w:pPr>
      <w:r>
        <w:rPr>
          <w:color w:val="000000"/>
        </w:rPr>
        <w:br w:type="page"/>
      </w:r>
    </w:p>
    <w:p w14:paraId="28EF04FE" w14:textId="77777777" w:rsidR="001E7189" w:rsidRPr="002906A3" w:rsidRDefault="001E7189" w:rsidP="004C7694">
      <w:pPr>
        <w:pStyle w:val="Tark"/>
        <w:spacing w:before="0" w:after="0"/>
      </w:pPr>
      <w:bookmarkStart w:id="222" w:name="_Toc192855245"/>
      <w:r w:rsidRPr="002906A3">
        <w:lastRenderedPageBreak/>
        <w:t>Bir Ahilik Sistemi Olarak Otantik Öğrenmenin Matematik Öğretim Sürecinde Kullanımına İlişkin Öğretmen ve Öğrenci Görüşleri</w:t>
      </w:r>
      <w:r w:rsidRPr="002906A3">
        <w:rPr>
          <w:vertAlign w:val="superscript"/>
        </w:rPr>
        <w:t>*</w:t>
      </w:r>
      <w:bookmarkEnd w:id="222"/>
    </w:p>
    <w:p w14:paraId="749F5E2F" w14:textId="77777777" w:rsidR="001E7189" w:rsidRPr="002906A3" w:rsidRDefault="001E7189" w:rsidP="004C7694">
      <w:pPr>
        <w:rPr>
          <w:color w:val="000000"/>
        </w:rPr>
      </w:pPr>
    </w:p>
    <w:p w14:paraId="20ED3014" w14:textId="77777777" w:rsidR="001E7189" w:rsidRPr="002906A3" w:rsidRDefault="001E7189" w:rsidP="004C7694">
      <w:pPr>
        <w:jc w:val="center"/>
        <w:rPr>
          <w:color w:val="000000"/>
        </w:rPr>
      </w:pPr>
      <w:r w:rsidRPr="002906A3">
        <w:rPr>
          <w:color w:val="000000"/>
        </w:rPr>
        <w:t>Miray Sezen Kaçar</w:t>
      </w:r>
      <w:r w:rsidRPr="002906A3">
        <w:rPr>
          <w:color w:val="000000"/>
        </w:rPr>
        <w:br/>
        <w:t>Yüksek Lisans Öğrencisi, Erciyes Üniversitesi, Matematik ve Fen Bilimleri Eğitimi Bölümü</w:t>
      </w:r>
      <w:r w:rsidRPr="002906A3">
        <w:rPr>
          <w:color w:val="000000"/>
        </w:rPr>
        <w:br/>
        <w:t>miraysezenkacar@gmail.com</w:t>
      </w:r>
      <w:r w:rsidRPr="002906A3">
        <w:rPr>
          <w:color w:val="000000"/>
        </w:rPr>
        <w:br/>
        <w:t>0009-0009-3282-8949</w:t>
      </w:r>
    </w:p>
    <w:p w14:paraId="465A449C" w14:textId="77777777" w:rsidR="001E7189" w:rsidRPr="002906A3" w:rsidRDefault="001E7189" w:rsidP="004C7694">
      <w:pPr>
        <w:rPr>
          <w:color w:val="000000"/>
        </w:rPr>
      </w:pPr>
    </w:p>
    <w:p w14:paraId="1006EA3E" w14:textId="77777777" w:rsidR="001E7189" w:rsidRPr="002906A3" w:rsidRDefault="001E7189" w:rsidP="004C7694">
      <w:pPr>
        <w:jc w:val="center"/>
        <w:rPr>
          <w:color w:val="000000"/>
        </w:rPr>
      </w:pPr>
      <w:r w:rsidRPr="002906A3">
        <w:rPr>
          <w:color w:val="000000"/>
        </w:rPr>
        <w:t>Okan KUZU</w:t>
      </w:r>
      <w:r w:rsidRPr="002906A3">
        <w:rPr>
          <w:color w:val="000000"/>
        </w:rPr>
        <w:br/>
        <w:t>Doç. Dr. Kırşehir Ahi Evran Üniversitesi, Matematik ve Fen Bilimleri Eğitimi Bölümü</w:t>
      </w:r>
      <w:r w:rsidRPr="002906A3">
        <w:rPr>
          <w:color w:val="000000"/>
        </w:rPr>
        <w:br/>
        <w:t>okan.kuzu@ahievran.edu.tr</w:t>
      </w:r>
      <w:r w:rsidRPr="002906A3">
        <w:rPr>
          <w:color w:val="000000"/>
        </w:rPr>
        <w:br/>
        <w:t>0000-0003-2466-4701</w:t>
      </w:r>
    </w:p>
    <w:p w14:paraId="745510A1" w14:textId="77777777" w:rsidR="001E7189" w:rsidRPr="002906A3" w:rsidRDefault="001E7189" w:rsidP="004C7694">
      <w:pPr>
        <w:rPr>
          <w:color w:val="000000"/>
        </w:rPr>
      </w:pPr>
    </w:p>
    <w:p w14:paraId="7E6BF4F5" w14:textId="77777777" w:rsidR="001E7189" w:rsidRPr="002906A3" w:rsidRDefault="001E7189" w:rsidP="004C7694">
      <w:pPr>
        <w:jc w:val="center"/>
        <w:rPr>
          <w:color w:val="000000"/>
        </w:rPr>
      </w:pPr>
      <w:r w:rsidRPr="002906A3">
        <w:rPr>
          <w:b/>
          <w:bCs/>
          <w:color w:val="000000"/>
        </w:rPr>
        <w:t>Özet</w:t>
      </w:r>
    </w:p>
    <w:p w14:paraId="0EA1609B" w14:textId="3F248207" w:rsidR="001E7189" w:rsidRDefault="001E7189" w:rsidP="004C7694">
      <w:pPr>
        <w:jc w:val="both"/>
        <w:rPr>
          <w:color w:val="000000"/>
        </w:rPr>
      </w:pPr>
      <w:r w:rsidRPr="002906A3">
        <w:rPr>
          <w:color w:val="000000"/>
        </w:rPr>
        <w:t xml:space="preserve">Türk eğitim tarihine bakıldığında, otantik öğrenmeye örnek olarak “Ahilik” sistemi verilebilir. Ahiler, teşkilat içerisinde yaparak ve yaşayarak gerçek dünyaya hazırlanmakta ve bir meslek edinmektedir. Ahilik, mevcut yapısıyla otantik öğrenme yaklaşımının Türk – İslam hayatının formal düzende ilk uygulandığı teşkilat olarak değerlendirilmektedir. Otantik öğrenme, öğrencilere soyut kavramları günlük yaşamlarıyla ilişkilendirme fırsatı sunan bir öğrenme yaklaşımıdır. Öğrencilerdeki tutum ve becerilerini önemli ölçüde etkilediği ve gerçek yaşamla ilişkilendirilmesi öğrencilerde ilgiyi arttırdığı görülmektedir. Otantik öğrenme, öğrencilerin günlük hayatta karşılaşacağı matematiksel problemlerle matematik eğitiminde karşılaşması, yaşamında meydana gelecek problemlerin üstesinden gelmesini ve anlamlı öğrenmesini sağlamaktadır. Matematikte otantik görev odaklı öğrenme uygulamaları, bilginin kalıcılığına ve istenilen kazanımlara ulaşma düzeyine katkı sağlamaktadır. Bu araştırma, matematik öğretim sürecine otantik öğrenme metodolojisinin entegrasyonunun potansiyel etkilerini incelemek amacıyla yapılmaktadır. Bu amaç doğrultusunda, öncelikle öğretmenlerin otantik öğrenme </w:t>
      </w:r>
      <w:proofErr w:type="spellStart"/>
      <w:r w:rsidRPr="002906A3">
        <w:rPr>
          <w:color w:val="000000"/>
        </w:rPr>
        <w:t>hazırbulunuşluk</w:t>
      </w:r>
      <w:proofErr w:type="spellEnd"/>
      <w:r w:rsidRPr="002906A3">
        <w:rPr>
          <w:color w:val="000000"/>
        </w:rPr>
        <w:t xml:space="preserve"> düzeyleri araştırılmakta; ardından otantik öğrenmenin matematik öğretim sürecindeki kullanımına yönelik öğrenci ve öğretmen görüşleri alınmaktadır. Bir Ahilik sistemi olan otantik öğrenme yöntemlerinin matematik öğretim sürecinde kullanımına ilişkin ilköğretimde ve ortaöğretimde görev yapan öğretmenlerin ve öğrenim gören öğrencilerin görüşlerinin alınacağı bu araştırma nitel ve nicel araştırma yaklaşımlarının birlikte kullanıldığı karma araştırma yaklaşımı ile tasarlanmıştır. Veri toplama ve analiz süreci devam eden bu araştırmanın bulgularının alanda çalışan araştırmacılara yol gösterici, aydınlatıcı ve veri kaynağı teşkil edeceği düşünülmektedir. Ayrıca, bu araştırma ile “Ahilik” in matematik öğrenme sürecindeki yeri ve önemine, gerçek hayattaki yansımalarına dikkat çekilecektir.</w:t>
      </w:r>
    </w:p>
    <w:p w14:paraId="72977DEF" w14:textId="77777777" w:rsidR="004C7694" w:rsidRPr="002906A3" w:rsidRDefault="004C7694" w:rsidP="004C7694">
      <w:pPr>
        <w:jc w:val="both"/>
        <w:rPr>
          <w:color w:val="000000"/>
        </w:rPr>
      </w:pPr>
    </w:p>
    <w:p w14:paraId="6003C8B0" w14:textId="329D43AB" w:rsidR="001E7189" w:rsidRPr="002906A3" w:rsidRDefault="000C6508" w:rsidP="004C7694">
      <w:pPr>
        <w:rPr>
          <w:color w:val="000000"/>
        </w:rPr>
      </w:pPr>
      <w:r>
        <w:rPr>
          <w:b/>
          <w:bCs/>
          <w:color w:val="000000"/>
        </w:rPr>
        <w:t>Anahtar Kelimeler</w:t>
      </w:r>
      <w:r w:rsidR="001E7189" w:rsidRPr="002906A3">
        <w:rPr>
          <w:color w:val="000000"/>
        </w:rPr>
        <w:t>: Ahilik, otantik öğrenme, teknoloji, öğretim süreci</w:t>
      </w:r>
    </w:p>
    <w:p w14:paraId="0C36F27D" w14:textId="027CA148" w:rsidR="00661282" w:rsidRDefault="001E7189" w:rsidP="004C7694">
      <w:pPr>
        <w:rPr>
          <w:color w:val="000000"/>
        </w:rPr>
      </w:pPr>
      <w:r w:rsidRPr="002906A3">
        <w:rPr>
          <w:color w:val="000000"/>
        </w:rPr>
        <w:br/>
      </w:r>
      <w:r w:rsidRPr="002906A3">
        <w:rPr>
          <w:color w:val="000000"/>
          <w:vertAlign w:val="superscript"/>
        </w:rPr>
        <w:t xml:space="preserve">* </w:t>
      </w:r>
      <w:r w:rsidRPr="002906A3">
        <w:rPr>
          <w:color w:val="000000"/>
        </w:rPr>
        <w:t>Bu araştırma TÜBİTAK 2209-A projesi ile desteklenmektedir.</w:t>
      </w:r>
    </w:p>
    <w:p w14:paraId="6013B71F" w14:textId="3375A076" w:rsidR="007E702F" w:rsidRPr="00661282" w:rsidRDefault="00661282" w:rsidP="00661282">
      <w:pPr>
        <w:autoSpaceDE/>
        <w:autoSpaceDN/>
        <w:rPr>
          <w:color w:val="000000"/>
        </w:rPr>
      </w:pPr>
      <w:r>
        <w:rPr>
          <w:color w:val="000000"/>
        </w:rPr>
        <w:br w:type="page"/>
      </w:r>
    </w:p>
    <w:p w14:paraId="53AC5685" w14:textId="3C486819" w:rsidR="007E702F" w:rsidRDefault="007E702F" w:rsidP="00316176">
      <w:pPr>
        <w:pStyle w:val="Tark"/>
        <w:spacing w:before="0" w:after="0"/>
        <w:rPr>
          <w:spacing w:val="-2"/>
        </w:rPr>
      </w:pPr>
      <w:bookmarkStart w:id="223" w:name="_Toc192855246"/>
      <w:r w:rsidRPr="007E702F">
        <w:lastRenderedPageBreak/>
        <w:t>Engellilik</w:t>
      </w:r>
      <w:r w:rsidRPr="007E702F">
        <w:rPr>
          <w:spacing w:val="-10"/>
        </w:rPr>
        <w:t xml:space="preserve"> </w:t>
      </w:r>
      <w:r w:rsidRPr="007E702F">
        <w:t>Kavramının</w:t>
      </w:r>
      <w:r w:rsidRPr="007E702F">
        <w:rPr>
          <w:spacing w:val="-5"/>
        </w:rPr>
        <w:t xml:space="preserve"> </w:t>
      </w:r>
      <w:r w:rsidRPr="007E702F">
        <w:t>Gelişimi</w:t>
      </w:r>
      <w:r w:rsidRPr="007E702F">
        <w:rPr>
          <w:spacing w:val="-5"/>
        </w:rPr>
        <w:t xml:space="preserve"> </w:t>
      </w:r>
      <w:r w:rsidRPr="007E702F">
        <w:t>ve</w:t>
      </w:r>
      <w:r w:rsidRPr="007E702F">
        <w:rPr>
          <w:spacing w:val="-9"/>
        </w:rPr>
        <w:t xml:space="preserve"> </w:t>
      </w:r>
      <w:r w:rsidRPr="007E702F">
        <w:t>Toplumsal</w:t>
      </w:r>
      <w:r w:rsidRPr="007E702F">
        <w:rPr>
          <w:spacing w:val="-15"/>
        </w:rPr>
        <w:t xml:space="preserve"> </w:t>
      </w:r>
      <w:r w:rsidRPr="007E702F">
        <w:t>Açıdan</w:t>
      </w:r>
      <w:r w:rsidRPr="007E702F">
        <w:rPr>
          <w:spacing w:val="-5"/>
        </w:rPr>
        <w:t xml:space="preserve"> </w:t>
      </w:r>
      <w:r w:rsidRPr="007E702F">
        <w:t>Dezavantajlı</w:t>
      </w:r>
      <w:r w:rsidRPr="007E702F">
        <w:rPr>
          <w:spacing w:val="-5"/>
        </w:rPr>
        <w:t xml:space="preserve"> </w:t>
      </w:r>
      <w:r w:rsidRPr="007E702F">
        <w:t>Görülmesi</w:t>
      </w:r>
      <w:r w:rsidRPr="007E702F">
        <w:rPr>
          <w:spacing w:val="-5"/>
        </w:rPr>
        <w:t xml:space="preserve"> </w:t>
      </w:r>
      <w:r w:rsidRPr="007E702F">
        <w:rPr>
          <w:spacing w:val="-2"/>
        </w:rPr>
        <w:t>Problemi</w:t>
      </w:r>
      <w:bookmarkEnd w:id="223"/>
    </w:p>
    <w:p w14:paraId="74C2C958" w14:textId="77777777" w:rsidR="00316176" w:rsidRPr="00316176" w:rsidRDefault="00316176" w:rsidP="00316176">
      <w:pPr>
        <w:pStyle w:val="Metin"/>
      </w:pPr>
    </w:p>
    <w:p w14:paraId="1580179E" w14:textId="77777777" w:rsidR="007E702F" w:rsidRPr="007E702F" w:rsidRDefault="007E702F" w:rsidP="00316176">
      <w:pPr>
        <w:pStyle w:val="GvdeMetni"/>
        <w:ind w:left="1" w:right="2"/>
        <w:jc w:val="center"/>
      </w:pPr>
      <w:r w:rsidRPr="007E702F">
        <w:t>Sinem</w:t>
      </w:r>
      <w:r w:rsidRPr="007E702F">
        <w:rPr>
          <w:spacing w:val="-1"/>
        </w:rPr>
        <w:t xml:space="preserve"> </w:t>
      </w:r>
      <w:r w:rsidRPr="007E702F">
        <w:rPr>
          <w:spacing w:val="-2"/>
        </w:rPr>
        <w:t>Uzgören</w:t>
      </w:r>
    </w:p>
    <w:p w14:paraId="6E16C011" w14:textId="77777777" w:rsidR="007E702F" w:rsidRPr="007E702F" w:rsidRDefault="007E702F" w:rsidP="00316176">
      <w:pPr>
        <w:pStyle w:val="GvdeMetni"/>
        <w:ind w:left="1" w:right="2"/>
        <w:jc w:val="center"/>
      </w:pPr>
      <w:r w:rsidRPr="007E702F">
        <w:t>Yüksek</w:t>
      </w:r>
      <w:r w:rsidRPr="007E702F">
        <w:rPr>
          <w:spacing w:val="-4"/>
        </w:rPr>
        <w:t xml:space="preserve"> </w:t>
      </w:r>
      <w:r w:rsidRPr="007E702F">
        <w:t>Lisans</w:t>
      </w:r>
      <w:r w:rsidRPr="007E702F">
        <w:rPr>
          <w:spacing w:val="-4"/>
        </w:rPr>
        <w:t xml:space="preserve"> </w:t>
      </w:r>
      <w:r w:rsidRPr="007E702F">
        <w:t>Öğrencisi</w:t>
      </w:r>
      <w:r w:rsidRPr="007E702F">
        <w:rPr>
          <w:spacing w:val="-4"/>
        </w:rPr>
        <w:t xml:space="preserve"> </w:t>
      </w:r>
      <w:r w:rsidRPr="007E702F">
        <w:t>Sakarya</w:t>
      </w:r>
      <w:r w:rsidRPr="007E702F">
        <w:rPr>
          <w:spacing w:val="-5"/>
        </w:rPr>
        <w:t xml:space="preserve"> </w:t>
      </w:r>
      <w:r w:rsidRPr="007E702F">
        <w:t>Üniversitesi,</w:t>
      </w:r>
      <w:r w:rsidRPr="007E702F">
        <w:rPr>
          <w:spacing w:val="-4"/>
        </w:rPr>
        <w:t xml:space="preserve"> </w:t>
      </w:r>
      <w:r w:rsidRPr="007E702F">
        <w:t>Çalışma</w:t>
      </w:r>
      <w:r w:rsidRPr="007E702F">
        <w:rPr>
          <w:spacing w:val="-5"/>
        </w:rPr>
        <w:t xml:space="preserve"> </w:t>
      </w:r>
      <w:r w:rsidRPr="007E702F">
        <w:t>Ekonomisi</w:t>
      </w:r>
      <w:r w:rsidRPr="007E702F">
        <w:rPr>
          <w:spacing w:val="-4"/>
        </w:rPr>
        <w:t xml:space="preserve"> </w:t>
      </w:r>
      <w:r w:rsidRPr="007E702F">
        <w:t>ve</w:t>
      </w:r>
      <w:r w:rsidRPr="007E702F">
        <w:rPr>
          <w:spacing w:val="-5"/>
        </w:rPr>
        <w:t xml:space="preserve"> </w:t>
      </w:r>
      <w:r w:rsidRPr="007E702F">
        <w:t>Sosyal</w:t>
      </w:r>
      <w:r w:rsidRPr="007E702F">
        <w:rPr>
          <w:spacing w:val="-4"/>
        </w:rPr>
        <w:t xml:space="preserve"> </w:t>
      </w:r>
      <w:r w:rsidRPr="007E702F">
        <w:t>Siyaset</w:t>
      </w:r>
      <w:r w:rsidRPr="007E702F">
        <w:rPr>
          <w:spacing w:val="-5"/>
        </w:rPr>
        <w:t xml:space="preserve"> </w:t>
      </w:r>
      <w:r w:rsidRPr="007E702F">
        <w:t xml:space="preserve">Dalı </w:t>
      </w:r>
      <w:hyperlink r:id="rId242">
        <w:r w:rsidRPr="007E702F">
          <w:rPr>
            <w:spacing w:val="-2"/>
          </w:rPr>
          <w:t>sinem.uzgoren1@ogr.sakarya.edu.tr</w:t>
        </w:r>
      </w:hyperlink>
    </w:p>
    <w:p w14:paraId="79D34ACD" w14:textId="77777777" w:rsidR="007E702F" w:rsidRPr="007E702F" w:rsidRDefault="007E702F" w:rsidP="00316176">
      <w:pPr>
        <w:pStyle w:val="GvdeMetni"/>
        <w:ind w:right="2"/>
        <w:jc w:val="center"/>
      </w:pPr>
      <w:r w:rsidRPr="007E702F">
        <w:t>ORCID</w:t>
      </w:r>
      <w:r w:rsidRPr="007E702F">
        <w:rPr>
          <w:spacing w:val="-2"/>
        </w:rPr>
        <w:t xml:space="preserve"> </w:t>
      </w:r>
      <w:r w:rsidRPr="007E702F">
        <w:t>ID:</w:t>
      </w:r>
      <w:r w:rsidRPr="007E702F">
        <w:rPr>
          <w:spacing w:val="-2"/>
        </w:rPr>
        <w:t xml:space="preserve"> </w:t>
      </w:r>
      <w:r w:rsidRPr="007E702F">
        <w:t>0009-0002-4756-</w:t>
      </w:r>
      <w:r w:rsidRPr="007E702F">
        <w:rPr>
          <w:spacing w:val="-4"/>
        </w:rPr>
        <w:t>3102</w:t>
      </w:r>
    </w:p>
    <w:p w14:paraId="39E999A0" w14:textId="77777777" w:rsidR="007E702F" w:rsidRPr="007E702F" w:rsidRDefault="007E702F" w:rsidP="00316176">
      <w:pPr>
        <w:pStyle w:val="GvdeMetni"/>
      </w:pPr>
    </w:p>
    <w:p w14:paraId="51B77267" w14:textId="77777777" w:rsidR="007E702F" w:rsidRPr="00AF3C45" w:rsidRDefault="007E702F" w:rsidP="00316176">
      <w:pPr>
        <w:jc w:val="center"/>
        <w:rPr>
          <w:b/>
          <w:bCs/>
        </w:rPr>
      </w:pPr>
      <w:r w:rsidRPr="00AF3C45">
        <w:rPr>
          <w:b/>
          <w:bCs/>
        </w:rPr>
        <w:t>Özet</w:t>
      </w:r>
    </w:p>
    <w:p w14:paraId="667473F5" w14:textId="5544423F" w:rsidR="007E702F" w:rsidRPr="007E702F" w:rsidRDefault="007E702F" w:rsidP="00316176">
      <w:pPr>
        <w:pStyle w:val="GvdeMetni"/>
        <w:ind w:right="337"/>
        <w:jc w:val="both"/>
      </w:pPr>
      <w:r w:rsidRPr="007E702F">
        <w:t>Geçmişten</w:t>
      </w:r>
      <w:r w:rsidRPr="007E702F">
        <w:rPr>
          <w:spacing w:val="-2"/>
        </w:rPr>
        <w:t xml:space="preserve"> </w:t>
      </w:r>
      <w:r w:rsidRPr="007E702F">
        <w:t>günümüze</w:t>
      </w:r>
      <w:r w:rsidRPr="007E702F">
        <w:rPr>
          <w:spacing w:val="-2"/>
        </w:rPr>
        <w:t xml:space="preserve"> </w:t>
      </w:r>
      <w:r w:rsidRPr="007E702F">
        <w:t>kadar</w:t>
      </w:r>
      <w:r w:rsidRPr="007E702F">
        <w:rPr>
          <w:spacing w:val="-3"/>
        </w:rPr>
        <w:t xml:space="preserve"> </w:t>
      </w:r>
      <w:r w:rsidRPr="007E702F">
        <w:t>süregelen</w:t>
      </w:r>
      <w:r w:rsidRPr="007E702F">
        <w:rPr>
          <w:spacing w:val="-3"/>
        </w:rPr>
        <w:t xml:space="preserve"> </w:t>
      </w:r>
      <w:r w:rsidRPr="007E702F">
        <w:t>engellilik</w:t>
      </w:r>
      <w:r w:rsidRPr="007E702F">
        <w:rPr>
          <w:spacing w:val="-2"/>
        </w:rPr>
        <w:t xml:space="preserve"> </w:t>
      </w:r>
      <w:r w:rsidRPr="007E702F">
        <w:t>kavramı,</w:t>
      </w:r>
      <w:r w:rsidRPr="007E702F">
        <w:rPr>
          <w:spacing w:val="-2"/>
        </w:rPr>
        <w:t xml:space="preserve"> </w:t>
      </w:r>
      <w:r w:rsidRPr="007E702F">
        <w:t>tarihsel</w:t>
      </w:r>
      <w:r w:rsidRPr="007E702F">
        <w:rPr>
          <w:spacing w:val="-2"/>
        </w:rPr>
        <w:t xml:space="preserve"> </w:t>
      </w:r>
      <w:r w:rsidRPr="007E702F">
        <w:t>süreç</w:t>
      </w:r>
      <w:r w:rsidRPr="007E702F">
        <w:rPr>
          <w:spacing w:val="-2"/>
        </w:rPr>
        <w:t xml:space="preserve"> </w:t>
      </w:r>
      <w:r w:rsidRPr="007E702F">
        <w:t>boyunca</w:t>
      </w:r>
      <w:r w:rsidRPr="007E702F">
        <w:rPr>
          <w:spacing w:val="-2"/>
        </w:rPr>
        <w:t xml:space="preserve"> </w:t>
      </w:r>
      <w:r w:rsidRPr="007E702F">
        <w:t>farklı</w:t>
      </w:r>
      <w:r w:rsidRPr="007E702F">
        <w:rPr>
          <w:spacing w:val="-2"/>
        </w:rPr>
        <w:t xml:space="preserve"> </w:t>
      </w:r>
      <w:r w:rsidRPr="007E702F">
        <w:t>toplumsal, kültürel ve bilimsel perspektiflerin yönelimlerinin etkisiyle evrilmekte olduğu akabinde değişime uğradığı görülmüştür. Geleneksel dönemlerin bireysel bir kusur ya da ilahi bir ceza sonucunda oluşan engellilik, günümüz modern dönemin içerisinde tıbbi ve sosyal modellerin ışığında daha genişletilmiş bir bağlamda değerlendirilmiş olduğu görülmektedir. Ancak bu teorik ilerlemelere nazaran, engelli bireylerin toplumsal ve toplumlararası düzenin içerisinde dezavantajlı bir konumda olmaları halen güncelliğini diri tutan bir toplumsal sorunu ifade etmektedir.</w:t>
      </w:r>
      <w:r w:rsidR="00316176">
        <w:t xml:space="preserve"> </w:t>
      </w:r>
      <w:r w:rsidRPr="007E702F">
        <w:t>Toplumların engelli bireylere yönelik tutum ve davranışlarının genellikle önyargı, ayrımcılık ve dışlanma</w:t>
      </w:r>
      <w:r w:rsidRPr="007E702F">
        <w:rPr>
          <w:spacing w:val="-15"/>
        </w:rPr>
        <w:t xml:space="preserve"> </w:t>
      </w:r>
      <w:r w:rsidRPr="007E702F">
        <w:t>gibi</w:t>
      </w:r>
      <w:r w:rsidRPr="007E702F">
        <w:rPr>
          <w:spacing w:val="-15"/>
        </w:rPr>
        <w:t xml:space="preserve"> </w:t>
      </w:r>
      <w:r w:rsidRPr="007E702F">
        <w:t>olumsuz</w:t>
      </w:r>
      <w:r w:rsidRPr="007E702F">
        <w:rPr>
          <w:spacing w:val="-15"/>
        </w:rPr>
        <w:t xml:space="preserve"> </w:t>
      </w:r>
      <w:r w:rsidRPr="007E702F">
        <w:t>yaklaşımları</w:t>
      </w:r>
      <w:r w:rsidRPr="007E702F">
        <w:rPr>
          <w:spacing w:val="-15"/>
        </w:rPr>
        <w:t xml:space="preserve"> </w:t>
      </w:r>
      <w:r w:rsidRPr="007E702F">
        <w:t>ortaya</w:t>
      </w:r>
      <w:r w:rsidRPr="007E702F">
        <w:rPr>
          <w:spacing w:val="-15"/>
        </w:rPr>
        <w:t xml:space="preserve"> </w:t>
      </w:r>
      <w:r w:rsidRPr="007E702F">
        <w:t>çıkartmaktadır.</w:t>
      </w:r>
      <w:r w:rsidRPr="007E702F">
        <w:rPr>
          <w:spacing w:val="-15"/>
        </w:rPr>
        <w:t xml:space="preserve"> </w:t>
      </w:r>
      <w:r w:rsidRPr="007E702F">
        <w:t>Bu</w:t>
      </w:r>
      <w:r w:rsidRPr="007E702F">
        <w:rPr>
          <w:spacing w:val="-15"/>
        </w:rPr>
        <w:t xml:space="preserve"> </w:t>
      </w:r>
      <w:r w:rsidRPr="007E702F">
        <w:t>durum,</w:t>
      </w:r>
      <w:r w:rsidRPr="007E702F">
        <w:rPr>
          <w:spacing w:val="-15"/>
        </w:rPr>
        <w:t xml:space="preserve"> </w:t>
      </w:r>
      <w:r w:rsidRPr="007E702F">
        <w:t>engelliliğin</w:t>
      </w:r>
      <w:r w:rsidRPr="007E702F">
        <w:rPr>
          <w:spacing w:val="-15"/>
        </w:rPr>
        <w:t xml:space="preserve"> </w:t>
      </w:r>
      <w:r w:rsidRPr="007E702F">
        <w:t>yalnızca</w:t>
      </w:r>
      <w:r w:rsidRPr="007E702F">
        <w:rPr>
          <w:spacing w:val="-15"/>
        </w:rPr>
        <w:t xml:space="preserve"> </w:t>
      </w:r>
      <w:r w:rsidRPr="007E702F">
        <w:t>bireysel bakış ile bir sağlık durumu değil, aynı zamanda sosyal aktivitelerde ve bireysel yaşamı da kısıtlayıcı bir tutumu da ortaya çıkarmış olduğunu öne çıkartmaktadır. Bunun yanı sıra eğitim, istihdam, sağlık hizmetlerine erişim, ulaşım problemleri ve mekânsal erişilebilirlik ve kamusal alanlarda karşılaşılan engeller, engelli bireylerin toplumsal bütünleşmesini zedeleyen ve aksatan ve "dezavantajlılık" halini doğuran faktörler arasında yer tutmasını sağlamaktadır.</w:t>
      </w:r>
      <w:r w:rsidR="00316176">
        <w:t xml:space="preserve"> </w:t>
      </w:r>
      <w:r w:rsidRPr="007E702F">
        <w:t>Bu çalışmada, yukarıda bahsi geçen konuların engellilik kavramı ve engelli bireylerin toplumlara yansıyan sorunlarının tartışılmasıyla engelliliğin dezavantajlı gruplar arasında yer almasına bir farkındalık oluşturmak adına hazırlanmıştır.</w:t>
      </w:r>
    </w:p>
    <w:p w14:paraId="1C916BB4" w14:textId="77777777" w:rsidR="007E702F" w:rsidRPr="007E702F" w:rsidRDefault="007E702F" w:rsidP="00316176">
      <w:pPr>
        <w:pStyle w:val="GvdeMetni"/>
      </w:pPr>
    </w:p>
    <w:p w14:paraId="11DD88DF" w14:textId="77777777" w:rsidR="007E702F" w:rsidRPr="007E702F" w:rsidRDefault="007E702F" w:rsidP="00316176">
      <w:pPr>
        <w:jc w:val="both"/>
      </w:pPr>
      <w:r w:rsidRPr="007E702F">
        <w:rPr>
          <w:b/>
        </w:rPr>
        <w:t>Anahtar</w:t>
      </w:r>
      <w:r w:rsidRPr="007E702F">
        <w:rPr>
          <w:b/>
          <w:spacing w:val="-11"/>
        </w:rPr>
        <w:t xml:space="preserve"> </w:t>
      </w:r>
      <w:r w:rsidRPr="007E702F">
        <w:rPr>
          <w:b/>
        </w:rPr>
        <w:t>Kelimeler:</w:t>
      </w:r>
      <w:r w:rsidRPr="007E702F">
        <w:rPr>
          <w:b/>
          <w:spacing w:val="-4"/>
        </w:rPr>
        <w:t xml:space="preserve"> </w:t>
      </w:r>
      <w:r w:rsidRPr="007E702F">
        <w:t>Engellilik,</w:t>
      </w:r>
      <w:r w:rsidRPr="007E702F">
        <w:rPr>
          <w:spacing w:val="-4"/>
        </w:rPr>
        <w:t xml:space="preserve"> </w:t>
      </w:r>
      <w:r w:rsidRPr="007E702F">
        <w:t>Engellilik</w:t>
      </w:r>
      <w:r w:rsidRPr="007E702F">
        <w:rPr>
          <w:spacing w:val="-4"/>
        </w:rPr>
        <w:t xml:space="preserve"> </w:t>
      </w:r>
      <w:r w:rsidRPr="007E702F">
        <w:t>tanımı,</w:t>
      </w:r>
      <w:r w:rsidRPr="007E702F">
        <w:rPr>
          <w:spacing w:val="-4"/>
        </w:rPr>
        <w:t xml:space="preserve"> </w:t>
      </w:r>
      <w:r w:rsidRPr="007E702F">
        <w:t>Dezavantajlı</w:t>
      </w:r>
      <w:r w:rsidRPr="007E702F">
        <w:rPr>
          <w:spacing w:val="-3"/>
        </w:rPr>
        <w:t xml:space="preserve"> </w:t>
      </w:r>
      <w:r w:rsidRPr="007E702F">
        <w:t>gruplar,</w:t>
      </w:r>
      <w:r w:rsidRPr="007E702F">
        <w:rPr>
          <w:spacing w:val="-4"/>
        </w:rPr>
        <w:t xml:space="preserve"> </w:t>
      </w:r>
      <w:r w:rsidRPr="007E702F">
        <w:rPr>
          <w:spacing w:val="-2"/>
        </w:rPr>
        <w:t>Erişilebilirlik.</w:t>
      </w:r>
    </w:p>
    <w:p w14:paraId="7AD89A7D" w14:textId="77777777" w:rsidR="007E702F" w:rsidRPr="007E702F" w:rsidRDefault="007E702F" w:rsidP="00316176">
      <w:pPr>
        <w:pStyle w:val="GvdeMetni"/>
      </w:pPr>
    </w:p>
    <w:p w14:paraId="62ABB88D" w14:textId="77777777" w:rsidR="007E702F" w:rsidRPr="007E702F" w:rsidRDefault="007E702F" w:rsidP="00316176">
      <w:pPr>
        <w:pStyle w:val="GvdeMetni"/>
      </w:pPr>
    </w:p>
    <w:p w14:paraId="0B1B0A0E" w14:textId="0E46A46E" w:rsidR="007E702F" w:rsidRPr="00AF3C45" w:rsidRDefault="007E702F" w:rsidP="00316176">
      <w:pPr>
        <w:jc w:val="center"/>
        <w:rPr>
          <w:b/>
          <w:bCs/>
        </w:rPr>
      </w:pPr>
      <w:proofErr w:type="spellStart"/>
      <w:r w:rsidRPr="00AF3C45">
        <w:rPr>
          <w:b/>
          <w:bCs/>
        </w:rPr>
        <w:t>Abstract</w:t>
      </w:r>
      <w:proofErr w:type="spellEnd"/>
    </w:p>
    <w:p w14:paraId="7873FB0F" w14:textId="59A8C18C" w:rsidR="007E702F" w:rsidRPr="007E702F" w:rsidRDefault="007E702F" w:rsidP="00316176">
      <w:pPr>
        <w:pStyle w:val="GvdeMetni"/>
        <w:ind w:right="337"/>
        <w:jc w:val="both"/>
      </w:pPr>
      <w:proofErr w:type="spellStart"/>
      <w:r w:rsidRPr="007E702F">
        <w:t>The</w:t>
      </w:r>
      <w:proofErr w:type="spellEnd"/>
      <w:r w:rsidRPr="007E702F">
        <w:rPr>
          <w:spacing w:val="-3"/>
        </w:rPr>
        <w:t xml:space="preserve"> </w:t>
      </w:r>
      <w:proofErr w:type="spellStart"/>
      <w:r w:rsidRPr="007E702F">
        <w:t>concept</w:t>
      </w:r>
      <w:proofErr w:type="spellEnd"/>
      <w:r w:rsidRPr="007E702F">
        <w:rPr>
          <w:spacing w:val="-3"/>
        </w:rPr>
        <w:t xml:space="preserve"> </w:t>
      </w:r>
      <w:r w:rsidRPr="007E702F">
        <w:t>of</w:t>
      </w:r>
      <w:r w:rsidRPr="007E702F">
        <w:rPr>
          <w:spacing w:val="-3"/>
        </w:rPr>
        <w:t xml:space="preserve"> </w:t>
      </w:r>
      <w:proofErr w:type="spellStart"/>
      <w:r w:rsidRPr="007E702F">
        <w:t>disability</w:t>
      </w:r>
      <w:proofErr w:type="spellEnd"/>
      <w:r w:rsidRPr="007E702F">
        <w:t>,</w:t>
      </w:r>
      <w:r w:rsidRPr="007E702F">
        <w:rPr>
          <w:spacing w:val="-3"/>
        </w:rPr>
        <w:t xml:space="preserve"> </w:t>
      </w:r>
      <w:proofErr w:type="spellStart"/>
      <w:r w:rsidRPr="007E702F">
        <w:t>which</w:t>
      </w:r>
      <w:proofErr w:type="spellEnd"/>
      <w:r w:rsidRPr="007E702F">
        <w:rPr>
          <w:spacing w:val="-3"/>
        </w:rPr>
        <w:t xml:space="preserve"> </w:t>
      </w:r>
      <w:r w:rsidRPr="007E702F">
        <w:t>has</w:t>
      </w:r>
      <w:r w:rsidRPr="007E702F">
        <w:rPr>
          <w:spacing w:val="-3"/>
        </w:rPr>
        <w:t xml:space="preserve"> </w:t>
      </w:r>
      <w:proofErr w:type="spellStart"/>
      <w:r w:rsidRPr="007E702F">
        <w:t>persisted</w:t>
      </w:r>
      <w:proofErr w:type="spellEnd"/>
      <w:r w:rsidRPr="007E702F">
        <w:rPr>
          <w:spacing w:val="-3"/>
        </w:rPr>
        <w:t xml:space="preserve"> </w:t>
      </w:r>
      <w:proofErr w:type="spellStart"/>
      <w:r w:rsidRPr="007E702F">
        <w:t>throughout</w:t>
      </w:r>
      <w:proofErr w:type="spellEnd"/>
      <w:r w:rsidRPr="007E702F">
        <w:rPr>
          <w:spacing w:val="-3"/>
        </w:rPr>
        <w:t xml:space="preserve"> </w:t>
      </w:r>
      <w:proofErr w:type="spellStart"/>
      <w:r w:rsidRPr="007E702F">
        <w:t>history</w:t>
      </w:r>
      <w:proofErr w:type="spellEnd"/>
      <w:r w:rsidRPr="007E702F">
        <w:t>,</w:t>
      </w:r>
      <w:r w:rsidRPr="007E702F">
        <w:rPr>
          <w:spacing w:val="-3"/>
        </w:rPr>
        <w:t xml:space="preserve"> </w:t>
      </w:r>
      <w:r w:rsidRPr="007E702F">
        <w:t>has</w:t>
      </w:r>
      <w:r w:rsidRPr="007E702F">
        <w:rPr>
          <w:spacing w:val="-3"/>
        </w:rPr>
        <w:t xml:space="preserve"> </w:t>
      </w:r>
      <w:proofErr w:type="spellStart"/>
      <w:r w:rsidRPr="007E702F">
        <w:t>evolved</w:t>
      </w:r>
      <w:proofErr w:type="spellEnd"/>
      <w:r w:rsidRPr="007E702F">
        <w:rPr>
          <w:spacing w:val="-3"/>
        </w:rPr>
        <w:t xml:space="preserve"> </w:t>
      </w:r>
      <w:proofErr w:type="spellStart"/>
      <w:r w:rsidRPr="007E702F">
        <w:t>under</w:t>
      </w:r>
      <w:proofErr w:type="spellEnd"/>
      <w:r w:rsidRPr="007E702F">
        <w:rPr>
          <w:spacing w:val="-3"/>
        </w:rPr>
        <w:t xml:space="preserve"> </w:t>
      </w:r>
      <w:proofErr w:type="spellStart"/>
      <w:r w:rsidRPr="007E702F">
        <w:t>the</w:t>
      </w:r>
      <w:proofErr w:type="spellEnd"/>
      <w:r w:rsidRPr="007E702F">
        <w:rPr>
          <w:spacing w:val="-3"/>
        </w:rPr>
        <w:t xml:space="preserve"> </w:t>
      </w:r>
      <w:proofErr w:type="spellStart"/>
      <w:r w:rsidRPr="007E702F">
        <w:t>influence</w:t>
      </w:r>
      <w:proofErr w:type="spellEnd"/>
      <w:r w:rsidRPr="007E702F">
        <w:t xml:space="preserve"> of</w:t>
      </w:r>
      <w:r w:rsidRPr="007E702F">
        <w:rPr>
          <w:spacing w:val="-7"/>
        </w:rPr>
        <w:t xml:space="preserve"> </w:t>
      </w:r>
      <w:proofErr w:type="spellStart"/>
      <w:r w:rsidRPr="007E702F">
        <w:t>various</w:t>
      </w:r>
      <w:proofErr w:type="spellEnd"/>
      <w:r w:rsidRPr="007E702F">
        <w:rPr>
          <w:spacing w:val="-7"/>
        </w:rPr>
        <w:t xml:space="preserve"> </w:t>
      </w:r>
      <w:proofErr w:type="spellStart"/>
      <w:r w:rsidRPr="007E702F">
        <w:t>social</w:t>
      </w:r>
      <w:proofErr w:type="spellEnd"/>
      <w:r w:rsidRPr="007E702F">
        <w:t>,</w:t>
      </w:r>
      <w:r w:rsidRPr="007E702F">
        <w:rPr>
          <w:spacing w:val="-7"/>
        </w:rPr>
        <w:t xml:space="preserve"> </w:t>
      </w:r>
      <w:proofErr w:type="spellStart"/>
      <w:r w:rsidRPr="007E702F">
        <w:t>cultural</w:t>
      </w:r>
      <w:proofErr w:type="spellEnd"/>
      <w:r w:rsidRPr="007E702F">
        <w:t>,</w:t>
      </w:r>
      <w:r w:rsidRPr="007E702F">
        <w:rPr>
          <w:spacing w:val="-7"/>
        </w:rPr>
        <w:t xml:space="preserve"> </w:t>
      </w:r>
      <w:proofErr w:type="spellStart"/>
      <w:r w:rsidRPr="007E702F">
        <w:t>and</w:t>
      </w:r>
      <w:proofErr w:type="spellEnd"/>
      <w:r w:rsidRPr="007E702F">
        <w:rPr>
          <w:spacing w:val="-7"/>
        </w:rPr>
        <w:t xml:space="preserve"> </w:t>
      </w:r>
      <w:proofErr w:type="spellStart"/>
      <w:r w:rsidRPr="007E702F">
        <w:t>scientific</w:t>
      </w:r>
      <w:proofErr w:type="spellEnd"/>
      <w:r w:rsidRPr="007E702F">
        <w:rPr>
          <w:spacing w:val="-7"/>
        </w:rPr>
        <w:t xml:space="preserve"> </w:t>
      </w:r>
      <w:proofErr w:type="spellStart"/>
      <w:r w:rsidRPr="007E702F">
        <w:t>perspectives</w:t>
      </w:r>
      <w:proofErr w:type="spellEnd"/>
      <w:r w:rsidRPr="007E702F">
        <w:t>,</w:t>
      </w:r>
      <w:r w:rsidRPr="007E702F">
        <w:rPr>
          <w:spacing w:val="-7"/>
        </w:rPr>
        <w:t xml:space="preserve"> </w:t>
      </w:r>
      <w:proofErr w:type="spellStart"/>
      <w:r w:rsidRPr="007E702F">
        <w:t>undergoing</w:t>
      </w:r>
      <w:proofErr w:type="spellEnd"/>
      <w:r w:rsidRPr="007E702F">
        <w:rPr>
          <w:spacing w:val="-7"/>
        </w:rPr>
        <w:t xml:space="preserve"> </w:t>
      </w:r>
      <w:proofErr w:type="spellStart"/>
      <w:r w:rsidRPr="007E702F">
        <w:t>significant</w:t>
      </w:r>
      <w:proofErr w:type="spellEnd"/>
      <w:r w:rsidRPr="007E702F">
        <w:rPr>
          <w:spacing w:val="-7"/>
        </w:rPr>
        <w:t xml:space="preserve"> </w:t>
      </w:r>
      <w:proofErr w:type="spellStart"/>
      <w:r w:rsidRPr="007E702F">
        <w:t>transformations</w:t>
      </w:r>
      <w:proofErr w:type="spellEnd"/>
      <w:r w:rsidRPr="007E702F">
        <w:rPr>
          <w:spacing w:val="-7"/>
        </w:rPr>
        <w:t xml:space="preserve"> </w:t>
      </w:r>
      <w:proofErr w:type="spellStart"/>
      <w:r w:rsidRPr="007E702F">
        <w:t>over</w:t>
      </w:r>
      <w:proofErr w:type="spellEnd"/>
      <w:r w:rsidRPr="007E702F">
        <w:t xml:space="preserve"> time. </w:t>
      </w:r>
      <w:proofErr w:type="spellStart"/>
      <w:r w:rsidRPr="007E702F">
        <w:t>In</w:t>
      </w:r>
      <w:proofErr w:type="spellEnd"/>
      <w:r w:rsidRPr="007E702F">
        <w:t xml:space="preserve"> </w:t>
      </w:r>
      <w:proofErr w:type="spellStart"/>
      <w:r w:rsidRPr="007E702F">
        <w:t>traditional</w:t>
      </w:r>
      <w:proofErr w:type="spellEnd"/>
      <w:r w:rsidRPr="007E702F">
        <w:t xml:space="preserve"> </w:t>
      </w:r>
      <w:proofErr w:type="spellStart"/>
      <w:r w:rsidRPr="007E702F">
        <w:t>periods</w:t>
      </w:r>
      <w:proofErr w:type="spellEnd"/>
      <w:r w:rsidRPr="007E702F">
        <w:t xml:space="preserve">, </w:t>
      </w:r>
      <w:proofErr w:type="spellStart"/>
      <w:r w:rsidRPr="007E702F">
        <w:t>disability</w:t>
      </w:r>
      <w:proofErr w:type="spellEnd"/>
      <w:r w:rsidRPr="007E702F">
        <w:t xml:space="preserve"> </w:t>
      </w:r>
      <w:proofErr w:type="spellStart"/>
      <w:r w:rsidRPr="007E702F">
        <w:t>was</w:t>
      </w:r>
      <w:proofErr w:type="spellEnd"/>
      <w:r w:rsidRPr="007E702F">
        <w:t xml:space="preserve"> </w:t>
      </w:r>
      <w:proofErr w:type="spellStart"/>
      <w:r w:rsidRPr="007E702F">
        <w:t>often</w:t>
      </w:r>
      <w:proofErr w:type="spellEnd"/>
      <w:r w:rsidRPr="007E702F">
        <w:t xml:space="preserve"> </w:t>
      </w:r>
      <w:proofErr w:type="spellStart"/>
      <w:r w:rsidRPr="007E702F">
        <w:t>perceived</w:t>
      </w:r>
      <w:proofErr w:type="spellEnd"/>
      <w:r w:rsidRPr="007E702F">
        <w:t xml:space="preserve"> as an </w:t>
      </w:r>
      <w:proofErr w:type="spellStart"/>
      <w:r w:rsidRPr="007E702F">
        <w:t>individual</w:t>
      </w:r>
      <w:proofErr w:type="spellEnd"/>
      <w:r w:rsidRPr="007E702F">
        <w:t xml:space="preserve"> </w:t>
      </w:r>
      <w:proofErr w:type="spellStart"/>
      <w:r w:rsidRPr="007E702F">
        <w:t>flaw</w:t>
      </w:r>
      <w:proofErr w:type="spellEnd"/>
      <w:r w:rsidRPr="007E702F">
        <w:t xml:space="preserve"> </w:t>
      </w:r>
      <w:proofErr w:type="spellStart"/>
      <w:r w:rsidRPr="007E702F">
        <w:t>or</w:t>
      </w:r>
      <w:proofErr w:type="spellEnd"/>
      <w:r w:rsidRPr="007E702F">
        <w:t xml:space="preserve"> a </w:t>
      </w:r>
      <w:proofErr w:type="spellStart"/>
      <w:r w:rsidRPr="007E702F">
        <w:t>divine</w:t>
      </w:r>
      <w:proofErr w:type="spellEnd"/>
      <w:r w:rsidRPr="007E702F">
        <w:t xml:space="preserve"> </w:t>
      </w:r>
      <w:proofErr w:type="spellStart"/>
      <w:r w:rsidRPr="007E702F">
        <w:t>punishment</w:t>
      </w:r>
      <w:proofErr w:type="spellEnd"/>
      <w:r w:rsidRPr="007E702F">
        <w:t xml:space="preserve">. </w:t>
      </w:r>
      <w:proofErr w:type="spellStart"/>
      <w:r w:rsidRPr="007E702F">
        <w:t>However</w:t>
      </w:r>
      <w:proofErr w:type="spellEnd"/>
      <w:r w:rsidRPr="007E702F">
        <w:t xml:space="preserve">, in </w:t>
      </w:r>
      <w:proofErr w:type="spellStart"/>
      <w:r w:rsidRPr="007E702F">
        <w:t>the</w:t>
      </w:r>
      <w:proofErr w:type="spellEnd"/>
      <w:r w:rsidRPr="007E702F">
        <w:t xml:space="preserve"> modern </w:t>
      </w:r>
      <w:proofErr w:type="spellStart"/>
      <w:r w:rsidRPr="007E702F">
        <w:t>era</w:t>
      </w:r>
      <w:proofErr w:type="spellEnd"/>
      <w:r w:rsidRPr="007E702F">
        <w:t xml:space="preserve">, it has </w:t>
      </w:r>
      <w:proofErr w:type="spellStart"/>
      <w:r w:rsidRPr="007E702F">
        <w:t>been</w:t>
      </w:r>
      <w:proofErr w:type="spellEnd"/>
      <w:r w:rsidRPr="007E702F">
        <w:t xml:space="preserve"> </w:t>
      </w:r>
      <w:proofErr w:type="spellStart"/>
      <w:r w:rsidRPr="007E702F">
        <w:t>assessed</w:t>
      </w:r>
      <w:proofErr w:type="spellEnd"/>
      <w:r w:rsidRPr="007E702F">
        <w:t xml:space="preserve"> </w:t>
      </w:r>
      <w:proofErr w:type="spellStart"/>
      <w:r w:rsidRPr="007E702F">
        <w:t>within</w:t>
      </w:r>
      <w:proofErr w:type="spellEnd"/>
      <w:r w:rsidRPr="007E702F">
        <w:t xml:space="preserve"> a </w:t>
      </w:r>
      <w:proofErr w:type="spellStart"/>
      <w:r w:rsidRPr="007E702F">
        <w:t>broader</w:t>
      </w:r>
      <w:proofErr w:type="spellEnd"/>
      <w:r w:rsidRPr="007E702F">
        <w:t xml:space="preserve"> </w:t>
      </w:r>
      <w:proofErr w:type="spellStart"/>
      <w:r w:rsidRPr="007E702F">
        <w:t>framework</w:t>
      </w:r>
      <w:proofErr w:type="spellEnd"/>
      <w:r w:rsidRPr="007E702F">
        <w:t xml:space="preserve"> </w:t>
      </w:r>
      <w:proofErr w:type="spellStart"/>
      <w:r w:rsidRPr="007E702F">
        <w:t>under</w:t>
      </w:r>
      <w:proofErr w:type="spellEnd"/>
      <w:r w:rsidRPr="007E702F">
        <w:t xml:space="preserve"> </w:t>
      </w:r>
      <w:proofErr w:type="spellStart"/>
      <w:r w:rsidRPr="007E702F">
        <w:t>the</w:t>
      </w:r>
      <w:proofErr w:type="spellEnd"/>
      <w:r w:rsidRPr="007E702F">
        <w:t xml:space="preserve"> </w:t>
      </w:r>
      <w:proofErr w:type="spellStart"/>
      <w:r w:rsidRPr="007E702F">
        <w:t>influence</w:t>
      </w:r>
      <w:proofErr w:type="spellEnd"/>
      <w:r w:rsidRPr="007E702F">
        <w:t xml:space="preserve"> of </w:t>
      </w:r>
      <w:proofErr w:type="spellStart"/>
      <w:r w:rsidRPr="007E702F">
        <w:t>medical</w:t>
      </w:r>
      <w:proofErr w:type="spellEnd"/>
      <w:r w:rsidRPr="007E702F">
        <w:t xml:space="preserve"> </w:t>
      </w:r>
      <w:proofErr w:type="spellStart"/>
      <w:r w:rsidRPr="007E702F">
        <w:t>and</w:t>
      </w:r>
      <w:proofErr w:type="spellEnd"/>
      <w:r w:rsidRPr="007E702F">
        <w:t xml:space="preserve"> </w:t>
      </w:r>
      <w:proofErr w:type="spellStart"/>
      <w:r w:rsidRPr="007E702F">
        <w:t>social</w:t>
      </w:r>
      <w:proofErr w:type="spellEnd"/>
      <w:r w:rsidRPr="007E702F">
        <w:t xml:space="preserve"> </w:t>
      </w:r>
      <w:proofErr w:type="spellStart"/>
      <w:r w:rsidRPr="007E702F">
        <w:t>models</w:t>
      </w:r>
      <w:proofErr w:type="spellEnd"/>
      <w:r w:rsidRPr="007E702F">
        <w:t xml:space="preserve">. </w:t>
      </w:r>
      <w:proofErr w:type="spellStart"/>
      <w:r w:rsidRPr="007E702F">
        <w:t>Despite</w:t>
      </w:r>
      <w:proofErr w:type="spellEnd"/>
      <w:r w:rsidRPr="007E702F">
        <w:t xml:space="preserve"> </w:t>
      </w:r>
      <w:proofErr w:type="spellStart"/>
      <w:r w:rsidRPr="007E702F">
        <w:t>these</w:t>
      </w:r>
      <w:proofErr w:type="spellEnd"/>
      <w:r w:rsidRPr="007E702F">
        <w:t xml:space="preserve"> </w:t>
      </w:r>
      <w:proofErr w:type="spellStart"/>
      <w:r w:rsidRPr="007E702F">
        <w:t>theoretical</w:t>
      </w:r>
      <w:proofErr w:type="spellEnd"/>
      <w:r w:rsidRPr="007E702F">
        <w:t xml:space="preserve"> </w:t>
      </w:r>
      <w:proofErr w:type="spellStart"/>
      <w:r w:rsidRPr="007E702F">
        <w:t>advancements</w:t>
      </w:r>
      <w:proofErr w:type="spellEnd"/>
      <w:r w:rsidRPr="007E702F">
        <w:t xml:space="preserve">, </w:t>
      </w:r>
      <w:proofErr w:type="spellStart"/>
      <w:r w:rsidRPr="007E702F">
        <w:t>the</w:t>
      </w:r>
      <w:proofErr w:type="spellEnd"/>
      <w:r w:rsidRPr="007E702F">
        <w:t xml:space="preserve"> </w:t>
      </w:r>
      <w:proofErr w:type="spellStart"/>
      <w:r w:rsidRPr="007E702F">
        <w:t>disadvantaged</w:t>
      </w:r>
      <w:proofErr w:type="spellEnd"/>
      <w:r w:rsidRPr="007E702F">
        <w:t xml:space="preserve"> </w:t>
      </w:r>
      <w:proofErr w:type="spellStart"/>
      <w:r w:rsidRPr="007E702F">
        <w:t>position</w:t>
      </w:r>
      <w:proofErr w:type="spellEnd"/>
      <w:r w:rsidRPr="007E702F">
        <w:t xml:space="preserve"> of </w:t>
      </w:r>
      <w:proofErr w:type="spellStart"/>
      <w:r w:rsidRPr="007E702F">
        <w:t>individuals</w:t>
      </w:r>
      <w:proofErr w:type="spellEnd"/>
      <w:r w:rsidRPr="007E702F">
        <w:t xml:space="preserve"> </w:t>
      </w:r>
      <w:proofErr w:type="spellStart"/>
      <w:r w:rsidRPr="007E702F">
        <w:t>with</w:t>
      </w:r>
      <w:proofErr w:type="spellEnd"/>
      <w:r w:rsidRPr="007E702F">
        <w:t xml:space="preserve"> </w:t>
      </w:r>
      <w:proofErr w:type="spellStart"/>
      <w:r w:rsidRPr="007E702F">
        <w:t>disabilities</w:t>
      </w:r>
      <w:proofErr w:type="spellEnd"/>
      <w:r w:rsidRPr="007E702F">
        <w:t xml:space="preserve"> </w:t>
      </w:r>
      <w:proofErr w:type="spellStart"/>
      <w:r w:rsidRPr="007E702F">
        <w:t>within</w:t>
      </w:r>
      <w:proofErr w:type="spellEnd"/>
      <w:r w:rsidRPr="007E702F">
        <w:t xml:space="preserve"> </w:t>
      </w:r>
      <w:proofErr w:type="spellStart"/>
      <w:r w:rsidRPr="007E702F">
        <w:t>societal</w:t>
      </w:r>
      <w:proofErr w:type="spellEnd"/>
      <w:r w:rsidRPr="007E702F">
        <w:t xml:space="preserve"> </w:t>
      </w:r>
      <w:proofErr w:type="spellStart"/>
      <w:r w:rsidRPr="007E702F">
        <w:t>and</w:t>
      </w:r>
      <w:proofErr w:type="spellEnd"/>
      <w:r w:rsidRPr="007E702F">
        <w:t xml:space="preserve"> </w:t>
      </w:r>
      <w:proofErr w:type="spellStart"/>
      <w:r w:rsidRPr="007E702F">
        <w:t>intersocietal</w:t>
      </w:r>
      <w:proofErr w:type="spellEnd"/>
      <w:r w:rsidRPr="007E702F">
        <w:t xml:space="preserve"> </w:t>
      </w:r>
      <w:proofErr w:type="spellStart"/>
      <w:r w:rsidRPr="007E702F">
        <w:t>structures</w:t>
      </w:r>
      <w:proofErr w:type="spellEnd"/>
      <w:r w:rsidRPr="007E702F">
        <w:t xml:space="preserve"> </w:t>
      </w:r>
      <w:proofErr w:type="spellStart"/>
      <w:r w:rsidRPr="007E702F">
        <w:t>remains</w:t>
      </w:r>
      <w:proofErr w:type="spellEnd"/>
      <w:r w:rsidRPr="007E702F">
        <w:t xml:space="preserve"> an </w:t>
      </w:r>
      <w:proofErr w:type="spellStart"/>
      <w:r w:rsidRPr="007E702F">
        <w:t>ongoing</w:t>
      </w:r>
      <w:proofErr w:type="spellEnd"/>
      <w:r w:rsidRPr="007E702F">
        <w:t xml:space="preserve"> </w:t>
      </w:r>
      <w:proofErr w:type="spellStart"/>
      <w:r w:rsidRPr="007E702F">
        <w:t>social</w:t>
      </w:r>
      <w:proofErr w:type="spellEnd"/>
      <w:r w:rsidRPr="007E702F">
        <w:t xml:space="preserve"> </w:t>
      </w:r>
      <w:proofErr w:type="spellStart"/>
      <w:r w:rsidRPr="007E702F">
        <w:t>issue</w:t>
      </w:r>
      <w:proofErr w:type="spellEnd"/>
      <w:r w:rsidRPr="007E702F">
        <w:t>.</w:t>
      </w:r>
      <w:r w:rsidR="00316176">
        <w:t xml:space="preserve"> </w:t>
      </w:r>
      <w:proofErr w:type="spellStart"/>
      <w:r w:rsidRPr="007E702F">
        <w:t>Societies</w:t>
      </w:r>
      <w:proofErr w:type="spellEnd"/>
      <w:r w:rsidRPr="007E702F">
        <w:t>'</w:t>
      </w:r>
      <w:r w:rsidRPr="007E702F">
        <w:rPr>
          <w:spacing w:val="-6"/>
        </w:rPr>
        <w:t xml:space="preserve"> </w:t>
      </w:r>
      <w:proofErr w:type="spellStart"/>
      <w:r w:rsidRPr="007E702F">
        <w:t>attitudes</w:t>
      </w:r>
      <w:proofErr w:type="spellEnd"/>
      <w:r w:rsidRPr="007E702F">
        <w:rPr>
          <w:spacing w:val="-6"/>
        </w:rPr>
        <w:t xml:space="preserve"> </w:t>
      </w:r>
      <w:proofErr w:type="spellStart"/>
      <w:r w:rsidRPr="007E702F">
        <w:t>and</w:t>
      </w:r>
      <w:proofErr w:type="spellEnd"/>
      <w:r w:rsidRPr="007E702F">
        <w:rPr>
          <w:spacing w:val="-6"/>
        </w:rPr>
        <w:t xml:space="preserve"> </w:t>
      </w:r>
      <w:proofErr w:type="spellStart"/>
      <w:r w:rsidRPr="007E702F">
        <w:t>behaviors</w:t>
      </w:r>
      <w:proofErr w:type="spellEnd"/>
      <w:r w:rsidRPr="007E702F">
        <w:rPr>
          <w:spacing w:val="-6"/>
        </w:rPr>
        <w:t xml:space="preserve"> </w:t>
      </w:r>
      <w:proofErr w:type="spellStart"/>
      <w:r w:rsidRPr="007E702F">
        <w:t>towards</w:t>
      </w:r>
      <w:proofErr w:type="spellEnd"/>
      <w:r w:rsidRPr="007E702F">
        <w:rPr>
          <w:spacing w:val="-6"/>
        </w:rPr>
        <w:t xml:space="preserve"> </w:t>
      </w:r>
      <w:proofErr w:type="spellStart"/>
      <w:r w:rsidRPr="007E702F">
        <w:t>individuals</w:t>
      </w:r>
      <w:proofErr w:type="spellEnd"/>
      <w:r w:rsidRPr="007E702F">
        <w:rPr>
          <w:spacing w:val="-6"/>
        </w:rPr>
        <w:t xml:space="preserve"> </w:t>
      </w:r>
      <w:proofErr w:type="spellStart"/>
      <w:r w:rsidRPr="007E702F">
        <w:t>with</w:t>
      </w:r>
      <w:proofErr w:type="spellEnd"/>
      <w:r w:rsidRPr="007E702F">
        <w:rPr>
          <w:spacing w:val="-6"/>
        </w:rPr>
        <w:t xml:space="preserve"> </w:t>
      </w:r>
      <w:proofErr w:type="spellStart"/>
      <w:r w:rsidRPr="007E702F">
        <w:t>disabilities</w:t>
      </w:r>
      <w:proofErr w:type="spellEnd"/>
      <w:r w:rsidRPr="007E702F">
        <w:rPr>
          <w:spacing w:val="-6"/>
        </w:rPr>
        <w:t xml:space="preserve"> </w:t>
      </w:r>
      <w:proofErr w:type="spellStart"/>
      <w:r w:rsidRPr="007E702F">
        <w:t>often</w:t>
      </w:r>
      <w:proofErr w:type="spellEnd"/>
      <w:r w:rsidRPr="007E702F">
        <w:rPr>
          <w:spacing w:val="-6"/>
        </w:rPr>
        <w:t xml:space="preserve"> </w:t>
      </w:r>
      <w:proofErr w:type="spellStart"/>
      <w:r w:rsidRPr="007E702F">
        <w:t>manifest</w:t>
      </w:r>
      <w:proofErr w:type="spellEnd"/>
      <w:r w:rsidRPr="007E702F">
        <w:rPr>
          <w:spacing w:val="-6"/>
        </w:rPr>
        <w:t xml:space="preserve"> </w:t>
      </w:r>
      <w:r w:rsidRPr="007E702F">
        <w:t>as</w:t>
      </w:r>
      <w:r w:rsidRPr="007E702F">
        <w:rPr>
          <w:spacing w:val="-6"/>
        </w:rPr>
        <w:t xml:space="preserve"> </w:t>
      </w:r>
      <w:proofErr w:type="spellStart"/>
      <w:r w:rsidRPr="007E702F">
        <w:t>prejudice</w:t>
      </w:r>
      <w:proofErr w:type="spellEnd"/>
      <w:r w:rsidRPr="007E702F">
        <w:t xml:space="preserve">, </w:t>
      </w:r>
      <w:proofErr w:type="spellStart"/>
      <w:r w:rsidRPr="007E702F">
        <w:t>discrimination</w:t>
      </w:r>
      <w:proofErr w:type="spellEnd"/>
      <w:r w:rsidRPr="007E702F">
        <w:t>,</w:t>
      </w:r>
      <w:r w:rsidRPr="007E702F">
        <w:rPr>
          <w:spacing w:val="-11"/>
        </w:rPr>
        <w:t xml:space="preserve"> </w:t>
      </w:r>
      <w:proofErr w:type="spellStart"/>
      <w:r w:rsidRPr="007E702F">
        <w:t>and</w:t>
      </w:r>
      <w:proofErr w:type="spellEnd"/>
      <w:r w:rsidRPr="007E702F">
        <w:rPr>
          <w:spacing w:val="-9"/>
        </w:rPr>
        <w:t xml:space="preserve"> </w:t>
      </w:r>
      <w:proofErr w:type="spellStart"/>
      <w:r w:rsidRPr="007E702F">
        <w:t>exclusion</w:t>
      </w:r>
      <w:proofErr w:type="spellEnd"/>
      <w:r w:rsidRPr="007E702F">
        <w:t>.</w:t>
      </w:r>
      <w:r w:rsidRPr="007E702F">
        <w:rPr>
          <w:spacing w:val="-9"/>
        </w:rPr>
        <w:t xml:space="preserve"> </w:t>
      </w:r>
      <w:proofErr w:type="spellStart"/>
      <w:r w:rsidRPr="007E702F">
        <w:t>This</w:t>
      </w:r>
      <w:proofErr w:type="spellEnd"/>
      <w:r w:rsidRPr="007E702F">
        <w:rPr>
          <w:spacing w:val="-9"/>
        </w:rPr>
        <w:t xml:space="preserve"> </w:t>
      </w:r>
      <w:proofErr w:type="spellStart"/>
      <w:r w:rsidRPr="007E702F">
        <w:t>situation</w:t>
      </w:r>
      <w:proofErr w:type="spellEnd"/>
      <w:r w:rsidRPr="007E702F">
        <w:rPr>
          <w:spacing w:val="-9"/>
        </w:rPr>
        <w:t xml:space="preserve"> </w:t>
      </w:r>
      <w:proofErr w:type="spellStart"/>
      <w:r w:rsidRPr="007E702F">
        <w:t>highlights</w:t>
      </w:r>
      <w:proofErr w:type="spellEnd"/>
      <w:r w:rsidRPr="007E702F">
        <w:rPr>
          <w:spacing w:val="-9"/>
        </w:rPr>
        <w:t xml:space="preserve"> </w:t>
      </w:r>
      <w:proofErr w:type="spellStart"/>
      <w:r w:rsidRPr="007E702F">
        <w:t>that</w:t>
      </w:r>
      <w:proofErr w:type="spellEnd"/>
      <w:r w:rsidRPr="007E702F">
        <w:rPr>
          <w:spacing w:val="-9"/>
        </w:rPr>
        <w:t xml:space="preserve"> </w:t>
      </w:r>
      <w:proofErr w:type="spellStart"/>
      <w:r w:rsidRPr="007E702F">
        <w:t>disability</w:t>
      </w:r>
      <w:proofErr w:type="spellEnd"/>
      <w:r w:rsidRPr="007E702F">
        <w:rPr>
          <w:spacing w:val="-9"/>
        </w:rPr>
        <w:t xml:space="preserve"> </w:t>
      </w:r>
      <w:proofErr w:type="spellStart"/>
      <w:r w:rsidRPr="007E702F">
        <w:t>should</w:t>
      </w:r>
      <w:proofErr w:type="spellEnd"/>
      <w:r w:rsidRPr="007E702F">
        <w:rPr>
          <w:spacing w:val="-9"/>
        </w:rPr>
        <w:t xml:space="preserve"> </w:t>
      </w:r>
      <w:r w:rsidRPr="007E702F">
        <w:t>not</w:t>
      </w:r>
      <w:r w:rsidRPr="007E702F">
        <w:rPr>
          <w:spacing w:val="-9"/>
        </w:rPr>
        <w:t xml:space="preserve"> </w:t>
      </w:r>
      <w:r w:rsidRPr="007E702F">
        <w:t>be</w:t>
      </w:r>
      <w:r w:rsidRPr="007E702F">
        <w:rPr>
          <w:spacing w:val="-9"/>
        </w:rPr>
        <w:t xml:space="preserve"> </w:t>
      </w:r>
      <w:proofErr w:type="spellStart"/>
      <w:r w:rsidRPr="007E702F">
        <w:t>viewed</w:t>
      </w:r>
      <w:proofErr w:type="spellEnd"/>
      <w:r w:rsidRPr="007E702F">
        <w:rPr>
          <w:spacing w:val="-8"/>
        </w:rPr>
        <w:t xml:space="preserve"> </w:t>
      </w:r>
      <w:proofErr w:type="spellStart"/>
      <w:r w:rsidRPr="007E702F">
        <w:rPr>
          <w:spacing w:val="-2"/>
        </w:rPr>
        <w:t>merely</w:t>
      </w:r>
      <w:proofErr w:type="spellEnd"/>
    </w:p>
    <w:p w14:paraId="1473660A" w14:textId="77777777" w:rsidR="007E702F" w:rsidRPr="007E702F" w:rsidRDefault="007E702F" w:rsidP="00316176">
      <w:pPr>
        <w:pStyle w:val="GvdeMetni"/>
        <w:jc w:val="both"/>
        <w:sectPr w:rsidR="007E702F" w:rsidRPr="007E702F" w:rsidSect="007513A1">
          <w:headerReference w:type="default" r:id="rId243"/>
          <w:type w:val="continuous"/>
          <w:pgSz w:w="11906" w:h="16838"/>
          <w:pgMar w:top="1418" w:right="1418" w:bottom="1418" w:left="1418" w:header="1304" w:footer="1361" w:gutter="0"/>
          <w:cols w:space="708"/>
        </w:sectPr>
      </w:pPr>
    </w:p>
    <w:p w14:paraId="651F2791" w14:textId="78DA5B31" w:rsidR="007E702F" w:rsidRPr="007E702F" w:rsidRDefault="007E702F" w:rsidP="00316176">
      <w:pPr>
        <w:pStyle w:val="GvdeMetni"/>
        <w:ind w:right="337"/>
        <w:jc w:val="both"/>
      </w:pPr>
      <w:proofErr w:type="gramStart"/>
      <w:r w:rsidRPr="007E702F">
        <w:t>as</w:t>
      </w:r>
      <w:proofErr w:type="gramEnd"/>
      <w:r w:rsidRPr="007E702F">
        <w:t xml:space="preserve"> a </w:t>
      </w:r>
      <w:proofErr w:type="spellStart"/>
      <w:r w:rsidRPr="007E702F">
        <w:t>medical</w:t>
      </w:r>
      <w:proofErr w:type="spellEnd"/>
      <w:r w:rsidRPr="007E702F">
        <w:t xml:space="preserve"> </w:t>
      </w:r>
      <w:proofErr w:type="spellStart"/>
      <w:r w:rsidRPr="007E702F">
        <w:t>condition</w:t>
      </w:r>
      <w:proofErr w:type="spellEnd"/>
      <w:r w:rsidRPr="007E702F">
        <w:t xml:space="preserve"> but </w:t>
      </w:r>
      <w:proofErr w:type="spellStart"/>
      <w:r w:rsidRPr="007E702F">
        <w:t>also</w:t>
      </w:r>
      <w:proofErr w:type="spellEnd"/>
      <w:r w:rsidRPr="007E702F">
        <w:t xml:space="preserve"> as a </w:t>
      </w:r>
      <w:proofErr w:type="spellStart"/>
      <w:r w:rsidRPr="007E702F">
        <w:t>factor</w:t>
      </w:r>
      <w:proofErr w:type="spellEnd"/>
      <w:r w:rsidRPr="007E702F">
        <w:t xml:space="preserve"> </w:t>
      </w:r>
      <w:proofErr w:type="spellStart"/>
      <w:r w:rsidRPr="007E702F">
        <w:t>that</w:t>
      </w:r>
      <w:proofErr w:type="spellEnd"/>
      <w:r w:rsidRPr="007E702F">
        <w:t xml:space="preserve"> </w:t>
      </w:r>
      <w:proofErr w:type="spellStart"/>
      <w:r w:rsidRPr="007E702F">
        <w:t>restricts</w:t>
      </w:r>
      <w:proofErr w:type="spellEnd"/>
      <w:r w:rsidRPr="007E702F">
        <w:t xml:space="preserve"> </w:t>
      </w:r>
      <w:proofErr w:type="spellStart"/>
      <w:r w:rsidRPr="007E702F">
        <w:t>participation</w:t>
      </w:r>
      <w:proofErr w:type="spellEnd"/>
      <w:r w:rsidRPr="007E702F">
        <w:t xml:space="preserve"> in </w:t>
      </w:r>
      <w:proofErr w:type="spellStart"/>
      <w:r w:rsidRPr="007E702F">
        <w:t>social</w:t>
      </w:r>
      <w:proofErr w:type="spellEnd"/>
      <w:r w:rsidRPr="007E702F">
        <w:t xml:space="preserve"> </w:t>
      </w:r>
      <w:proofErr w:type="spellStart"/>
      <w:r w:rsidRPr="007E702F">
        <w:t>activities</w:t>
      </w:r>
      <w:proofErr w:type="spellEnd"/>
      <w:r w:rsidRPr="007E702F">
        <w:t xml:space="preserve"> </w:t>
      </w:r>
      <w:proofErr w:type="spellStart"/>
      <w:r w:rsidRPr="007E702F">
        <w:t>and</w:t>
      </w:r>
      <w:proofErr w:type="spellEnd"/>
      <w:r w:rsidRPr="007E702F">
        <w:t xml:space="preserve"> </w:t>
      </w:r>
      <w:proofErr w:type="spellStart"/>
      <w:r w:rsidRPr="007E702F">
        <w:t>individual</w:t>
      </w:r>
      <w:proofErr w:type="spellEnd"/>
      <w:r w:rsidRPr="007E702F">
        <w:t xml:space="preserve"> life. </w:t>
      </w:r>
      <w:proofErr w:type="spellStart"/>
      <w:r w:rsidRPr="007E702F">
        <w:t>Additionally</w:t>
      </w:r>
      <w:proofErr w:type="spellEnd"/>
      <w:r w:rsidRPr="007E702F">
        <w:t xml:space="preserve">, </w:t>
      </w:r>
      <w:proofErr w:type="spellStart"/>
      <w:r w:rsidRPr="007E702F">
        <w:t>barriers</w:t>
      </w:r>
      <w:proofErr w:type="spellEnd"/>
      <w:r w:rsidRPr="007E702F">
        <w:t xml:space="preserve"> </w:t>
      </w:r>
      <w:proofErr w:type="spellStart"/>
      <w:r w:rsidRPr="007E702F">
        <w:t>related</w:t>
      </w:r>
      <w:proofErr w:type="spellEnd"/>
      <w:r w:rsidRPr="007E702F">
        <w:t xml:space="preserve"> </w:t>
      </w:r>
      <w:proofErr w:type="spellStart"/>
      <w:r w:rsidRPr="007E702F">
        <w:t>to</w:t>
      </w:r>
      <w:proofErr w:type="spellEnd"/>
      <w:r w:rsidRPr="007E702F">
        <w:t xml:space="preserve"> </w:t>
      </w:r>
      <w:proofErr w:type="spellStart"/>
      <w:r w:rsidRPr="007E702F">
        <w:t>education</w:t>
      </w:r>
      <w:proofErr w:type="spellEnd"/>
      <w:r w:rsidRPr="007E702F">
        <w:t xml:space="preserve">, </w:t>
      </w:r>
      <w:proofErr w:type="spellStart"/>
      <w:r w:rsidRPr="007E702F">
        <w:t>employment</w:t>
      </w:r>
      <w:proofErr w:type="spellEnd"/>
      <w:r w:rsidRPr="007E702F">
        <w:t xml:space="preserve">, </w:t>
      </w:r>
      <w:proofErr w:type="spellStart"/>
      <w:r w:rsidRPr="007E702F">
        <w:t>access</w:t>
      </w:r>
      <w:proofErr w:type="spellEnd"/>
      <w:r w:rsidRPr="007E702F">
        <w:t xml:space="preserve"> </w:t>
      </w:r>
      <w:proofErr w:type="spellStart"/>
      <w:r w:rsidRPr="007E702F">
        <w:t>to</w:t>
      </w:r>
      <w:proofErr w:type="spellEnd"/>
      <w:r w:rsidRPr="007E702F">
        <w:t xml:space="preserve"> </w:t>
      </w:r>
      <w:proofErr w:type="spellStart"/>
      <w:r w:rsidRPr="007E702F">
        <w:t>healthcare</w:t>
      </w:r>
      <w:proofErr w:type="spellEnd"/>
      <w:r w:rsidRPr="007E702F">
        <w:t xml:space="preserve"> </w:t>
      </w:r>
      <w:proofErr w:type="spellStart"/>
      <w:r w:rsidRPr="007E702F">
        <w:t>services</w:t>
      </w:r>
      <w:proofErr w:type="spellEnd"/>
      <w:r w:rsidRPr="007E702F">
        <w:t>,</w:t>
      </w:r>
      <w:r w:rsidRPr="007E702F">
        <w:rPr>
          <w:spacing w:val="-4"/>
        </w:rPr>
        <w:t xml:space="preserve"> </w:t>
      </w:r>
      <w:proofErr w:type="spellStart"/>
      <w:r w:rsidRPr="007E702F">
        <w:t>transportation</w:t>
      </w:r>
      <w:proofErr w:type="spellEnd"/>
      <w:r w:rsidRPr="007E702F">
        <w:rPr>
          <w:spacing w:val="-4"/>
        </w:rPr>
        <w:t xml:space="preserve"> </w:t>
      </w:r>
      <w:proofErr w:type="spellStart"/>
      <w:r w:rsidRPr="007E702F">
        <w:t>issues</w:t>
      </w:r>
      <w:proofErr w:type="spellEnd"/>
      <w:r w:rsidRPr="007E702F">
        <w:t>,</w:t>
      </w:r>
      <w:r w:rsidRPr="007E702F">
        <w:rPr>
          <w:spacing w:val="-4"/>
        </w:rPr>
        <w:t xml:space="preserve"> </w:t>
      </w:r>
      <w:proofErr w:type="spellStart"/>
      <w:r w:rsidRPr="007E702F">
        <w:t>spatial</w:t>
      </w:r>
      <w:proofErr w:type="spellEnd"/>
      <w:r w:rsidRPr="007E702F">
        <w:rPr>
          <w:spacing w:val="-4"/>
        </w:rPr>
        <w:t xml:space="preserve"> </w:t>
      </w:r>
      <w:proofErr w:type="spellStart"/>
      <w:r w:rsidRPr="007E702F">
        <w:t>accessibility</w:t>
      </w:r>
      <w:proofErr w:type="spellEnd"/>
      <w:r w:rsidRPr="007E702F">
        <w:t>,</w:t>
      </w:r>
      <w:r w:rsidRPr="007E702F">
        <w:rPr>
          <w:spacing w:val="-4"/>
        </w:rPr>
        <w:t xml:space="preserve"> </w:t>
      </w:r>
      <w:proofErr w:type="spellStart"/>
      <w:r w:rsidRPr="007E702F">
        <w:t>and</w:t>
      </w:r>
      <w:proofErr w:type="spellEnd"/>
      <w:r w:rsidRPr="007E702F">
        <w:rPr>
          <w:spacing w:val="-4"/>
        </w:rPr>
        <w:t xml:space="preserve"> </w:t>
      </w:r>
      <w:proofErr w:type="spellStart"/>
      <w:r w:rsidRPr="007E702F">
        <w:t>public</w:t>
      </w:r>
      <w:proofErr w:type="spellEnd"/>
      <w:r w:rsidRPr="007E702F">
        <w:rPr>
          <w:spacing w:val="-4"/>
        </w:rPr>
        <w:t xml:space="preserve"> </w:t>
      </w:r>
      <w:proofErr w:type="spellStart"/>
      <w:r w:rsidRPr="007E702F">
        <w:t>spaces</w:t>
      </w:r>
      <w:proofErr w:type="spellEnd"/>
      <w:r w:rsidRPr="007E702F">
        <w:rPr>
          <w:spacing w:val="-4"/>
        </w:rPr>
        <w:t xml:space="preserve"> </w:t>
      </w:r>
      <w:proofErr w:type="spellStart"/>
      <w:r w:rsidRPr="007E702F">
        <w:t>hinder</w:t>
      </w:r>
      <w:proofErr w:type="spellEnd"/>
      <w:r w:rsidRPr="007E702F">
        <w:rPr>
          <w:spacing w:val="-4"/>
        </w:rPr>
        <w:t xml:space="preserve"> </w:t>
      </w:r>
      <w:proofErr w:type="spellStart"/>
      <w:r w:rsidRPr="007E702F">
        <w:t>the</w:t>
      </w:r>
      <w:proofErr w:type="spellEnd"/>
      <w:r w:rsidRPr="007E702F">
        <w:rPr>
          <w:spacing w:val="-4"/>
        </w:rPr>
        <w:t xml:space="preserve"> </w:t>
      </w:r>
      <w:proofErr w:type="spellStart"/>
      <w:r w:rsidRPr="007E702F">
        <w:t>social</w:t>
      </w:r>
      <w:proofErr w:type="spellEnd"/>
      <w:r w:rsidRPr="007E702F">
        <w:rPr>
          <w:spacing w:val="-4"/>
        </w:rPr>
        <w:t xml:space="preserve"> </w:t>
      </w:r>
      <w:proofErr w:type="spellStart"/>
      <w:r w:rsidRPr="007E702F">
        <w:t>integration</w:t>
      </w:r>
      <w:proofErr w:type="spellEnd"/>
      <w:r w:rsidRPr="007E702F">
        <w:t xml:space="preserve"> of </w:t>
      </w:r>
      <w:proofErr w:type="spellStart"/>
      <w:r w:rsidRPr="007E702F">
        <w:t>individuals</w:t>
      </w:r>
      <w:proofErr w:type="spellEnd"/>
      <w:r w:rsidRPr="007E702F">
        <w:t xml:space="preserve"> </w:t>
      </w:r>
      <w:proofErr w:type="spellStart"/>
      <w:r w:rsidRPr="007E702F">
        <w:t>with</w:t>
      </w:r>
      <w:proofErr w:type="spellEnd"/>
      <w:r w:rsidRPr="007E702F">
        <w:t xml:space="preserve"> </w:t>
      </w:r>
      <w:proofErr w:type="spellStart"/>
      <w:r w:rsidRPr="007E702F">
        <w:t>disabilities</w:t>
      </w:r>
      <w:proofErr w:type="spellEnd"/>
      <w:r w:rsidRPr="007E702F">
        <w:t xml:space="preserve">, </w:t>
      </w:r>
      <w:proofErr w:type="spellStart"/>
      <w:r w:rsidRPr="007E702F">
        <w:t>reinforcing</w:t>
      </w:r>
      <w:proofErr w:type="spellEnd"/>
      <w:r w:rsidRPr="007E702F">
        <w:t xml:space="preserve"> </w:t>
      </w:r>
      <w:proofErr w:type="spellStart"/>
      <w:r w:rsidRPr="007E702F">
        <w:t>their</w:t>
      </w:r>
      <w:proofErr w:type="spellEnd"/>
      <w:r w:rsidRPr="007E702F">
        <w:t xml:space="preserve"> </w:t>
      </w:r>
      <w:proofErr w:type="spellStart"/>
      <w:r w:rsidRPr="007E702F">
        <w:t>disadvantaged</w:t>
      </w:r>
      <w:proofErr w:type="spellEnd"/>
      <w:r w:rsidRPr="007E702F">
        <w:t xml:space="preserve"> </w:t>
      </w:r>
      <w:proofErr w:type="spellStart"/>
      <w:r w:rsidRPr="007E702F">
        <w:t>status</w:t>
      </w:r>
      <w:proofErr w:type="spellEnd"/>
      <w:r w:rsidRPr="007E702F">
        <w:t>.</w:t>
      </w:r>
      <w:r w:rsidR="00316176">
        <w:t xml:space="preserve"> </w:t>
      </w:r>
      <w:proofErr w:type="spellStart"/>
      <w:r w:rsidRPr="007E702F">
        <w:t>This</w:t>
      </w:r>
      <w:proofErr w:type="spellEnd"/>
      <w:r w:rsidRPr="007E702F">
        <w:t xml:space="preserve"> </w:t>
      </w:r>
      <w:proofErr w:type="spellStart"/>
      <w:r w:rsidRPr="007E702F">
        <w:t>study</w:t>
      </w:r>
      <w:proofErr w:type="spellEnd"/>
      <w:r w:rsidRPr="007E702F">
        <w:t xml:space="preserve"> </w:t>
      </w:r>
      <w:proofErr w:type="spellStart"/>
      <w:r w:rsidRPr="007E702F">
        <w:t>aims</w:t>
      </w:r>
      <w:proofErr w:type="spellEnd"/>
      <w:r w:rsidRPr="007E702F">
        <w:t xml:space="preserve"> </w:t>
      </w:r>
      <w:proofErr w:type="spellStart"/>
      <w:r w:rsidRPr="007E702F">
        <w:t>to</w:t>
      </w:r>
      <w:proofErr w:type="spellEnd"/>
      <w:r w:rsidRPr="007E702F">
        <w:t xml:space="preserve"> </w:t>
      </w:r>
      <w:proofErr w:type="spellStart"/>
      <w:r w:rsidRPr="007E702F">
        <w:t>raise</w:t>
      </w:r>
      <w:proofErr w:type="spellEnd"/>
      <w:r w:rsidRPr="007E702F">
        <w:t xml:space="preserve"> </w:t>
      </w:r>
      <w:proofErr w:type="spellStart"/>
      <w:r w:rsidRPr="007E702F">
        <w:t>awareness</w:t>
      </w:r>
      <w:proofErr w:type="spellEnd"/>
      <w:r w:rsidRPr="007E702F">
        <w:t xml:space="preserve"> of </w:t>
      </w:r>
      <w:proofErr w:type="spellStart"/>
      <w:r w:rsidRPr="007E702F">
        <w:t>the</w:t>
      </w:r>
      <w:proofErr w:type="spellEnd"/>
      <w:r w:rsidRPr="007E702F">
        <w:t xml:space="preserve"> </w:t>
      </w:r>
      <w:proofErr w:type="spellStart"/>
      <w:r w:rsidRPr="007E702F">
        <w:t>aforementioned</w:t>
      </w:r>
      <w:proofErr w:type="spellEnd"/>
      <w:r w:rsidRPr="007E702F">
        <w:t xml:space="preserve"> </w:t>
      </w:r>
      <w:proofErr w:type="spellStart"/>
      <w:r w:rsidRPr="007E702F">
        <w:t>issues</w:t>
      </w:r>
      <w:proofErr w:type="spellEnd"/>
      <w:r w:rsidRPr="007E702F">
        <w:t xml:space="preserve"> </w:t>
      </w:r>
      <w:proofErr w:type="spellStart"/>
      <w:r w:rsidRPr="007E702F">
        <w:t>by</w:t>
      </w:r>
      <w:proofErr w:type="spellEnd"/>
      <w:r w:rsidRPr="007E702F">
        <w:t xml:space="preserve"> </w:t>
      </w:r>
      <w:proofErr w:type="spellStart"/>
      <w:r w:rsidRPr="007E702F">
        <w:t>discussing</w:t>
      </w:r>
      <w:proofErr w:type="spellEnd"/>
      <w:r w:rsidRPr="007E702F">
        <w:t xml:space="preserve"> </w:t>
      </w:r>
      <w:proofErr w:type="spellStart"/>
      <w:r w:rsidRPr="007E702F">
        <w:t>the</w:t>
      </w:r>
      <w:proofErr w:type="spellEnd"/>
      <w:r w:rsidRPr="007E702F">
        <w:t xml:space="preserve"> </w:t>
      </w:r>
      <w:proofErr w:type="spellStart"/>
      <w:r w:rsidRPr="007E702F">
        <w:t>concept</w:t>
      </w:r>
      <w:proofErr w:type="spellEnd"/>
      <w:r w:rsidRPr="007E702F">
        <w:t xml:space="preserve"> of </w:t>
      </w:r>
      <w:proofErr w:type="spellStart"/>
      <w:r w:rsidRPr="007E702F">
        <w:t>disability</w:t>
      </w:r>
      <w:proofErr w:type="spellEnd"/>
      <w:r w:rsidRPr="007E702F">
        <w:t xml:space="preserve"> </w:t>
      </w:r>
      <w:proofErr w:type="spellStart"/>
      <w:r w:rsidRPr="007E702F">
        <w:t>and</w:t>
      </w:r>
      <w:proofErr w:type="spellEnd"/>
      <w:r w:rsidRPr="007E702F">
        <w:t xml:space="preserve"> </w:t>
      </w:r>
      <w:proofErr w:type="spellStart"/>
      <w:r w:rsidRPr="007E702F">
        <w:t>the</w:t>
      </w:r>
      <w:proofErr w:type="spellEnd"/>
      <w:r w:rsidRPr="007E702F">
        <w:t xml:space="preserve"> </w:t>
      </w:r>
      <w:proofErr w:type="spellStart"/>
      <w:r w:rsidRPr="007E702F">
        <w:t>social</w:t>
      </w:r>
      <w:proofErr w:type="spellEnd"/>
      <w:r w:rsidRPr="007E702F">
        <w:t xml:space="preserve"> </w:t>
      </w:r>
      <w:proofErr w:type="spellStart"/>
      <w:r w:rsidRPr="007E702F">
        <w:t>challenges</w:t>
      </w:r>
      <w:proofErr w:type="spellEnd"/>
      <w:r w:rsidRPr="007E702F">
        <w:t xml:space="preserve"> </w:t>
      </w:r>
      <w:proofErr w:type="spellStart"/>
      <w:r w:rsidRPr="007E702F">
        <w:t>faced</w:t>
      </w:r>
      <w:proofErr w:type="spellEnd"/>
      <w:r w:rsidRPr="007E702F">
        <w:t xml:space="preserve"> </w:t>
      </w:r>
      <w:proofErr w:type="spellStart"/>
      <w:r w:rsidRPr="007E702F">
        <w:t>by</w:t>
      </w:r>
      <w:proofErr w:type="spellEnd"/>
      <w:r w:rsidRPr="007E702F">
        <w:t xml:space="preserve"> </w:t>
      </w:r>
      <w:proofErr w:type="spellStart"/>
      <w:r w:rsidRPr="007E702F">
        <w:t>individuals</w:t>
      </w:r>
      <w:proofErr w:type="spellEnd"/>
      <w:r w:rsidRPr="007E702F">
        <w:t xml:space="preserve"> </w:t>
      </w:r>
      <w:proofErr w:type="spellStart"/>
      <w:r w:rsidRPr="007E702F">
        <w:t>with</w:t>
      </w:r>
      <w:proofErr w:type="spellEnd"/>
      <w:r w:rsidRPr="007E702F">
        <w:t xml:space="preserve"> </w:t>
      </w:r>
      <w:proofErr w:type="spellStart"/>
      <w:r w:rsidRPr="007E702F">
        <w:t>disabilities</w:t>
      </w:r>
      <w:proofErr w:type="spellEnd"/>
      <w:r w:rsidRPr="007E702F">
        <w:t xml:space="preserve">, </w:t>
      </w:r>
      <w:proofErr w:type="spellStart"/>
      <w:r w:rsidRPr="007E702F">
        <w:t>emphasizing</w:t>
      </w:r>
      <w:proofErr w:type="spellEnd"/>
      <w:r w:rsidRPr="007E702F">
        <w:t xml:space="preserve"> </w:t>
      </w:r>
      <w:proofErr w:type="spellStart"/>
      <w:r w:rsidRPr="007E702F">
        <w:t>their</w:t>
      </w:r>
      <w:proofErr w:type="spellEnd"/>
      <w:r w:rsidRPr="007E702F">
        <w:t xml:space="preserve"> </w:t>
      </w:r>
      <w:proofErr w:type="spellStart"/>
      <w:r w:rsidRPr="007E702F">
        <w:t>classification</w:t>
      </w:r>
      <w:proofErr w:type="spellEnd"/>
      <w:r w:rsidRPr="007E702F">
        <w:t xml:space="preserve"> </w:t>
      </w:r>
      <w:proofErr w:type="spellStart"/>
      <w:r w:rsidRPr="007E702F">
        <w:t>among</w:t>
      </w:r>
      <w:proofErr w:type="spellEnd"/>
      <w:r w:rsidRPr="007E702F">
        <w:t xml:space="preserve"> </w:t>
      </w:r>
      <w:proofErr w:type="spellStart"/>
      <w:r w:rsidRPr="007E702F">
        <w:t>disadvantaged</w:t>
      </w:r>
      <w:proofErr w:type="spellEnd"/>
      <w:r w:rsidRPr="007E702F">
        <w:t xml:space="preserve"> </w:t>
      </w:r>
      <w:proofErr w:type="spellStart"/>
      <w:r w:rsidRPr="007E702F">
        <w:t>groups</w:t>
      </w:r>
      <w:proofErr w:type="spellEnd"/>
      <w:r w:rsidRPr="007E702F">
        <w:t>.</w:t>
      </w:r>
    </w:p>
    <w:p w14:paraId="773DD58A" w14:textId="77777777" w:rsidR="007E702F" w:rsidRPr="007E702F" w:rsidRDefault="007E702F" w:rsidP="00316176">
      <w:pPr>
        <w:pStyle w:val="GvdeMetni"/>
      </w:pPr>
    </w:p>
    <w:p w14:paraId="1A36169B" w14:textId="77777777" w:rsidR="007E702F" w:rsidRPr="007E702F" w:rsidRDefault="007E702F" w:rsidP="00316176">
      <w:pPr>
        <w:pStyle w:val="GvdeMetni"/>
        <w:jc w:val="both"/>
      </w:pPr>
      <w:proofErr w:type="spellStart"/>
      <w:r w:rsidRPr="007E702F">
        <w:rPr>
          <w:b/>
        </w:rPr>
        <w:lastRenderedPageBreak/>
        <w:t>Keywords</w:t>
      </w:r>
      <w:proofErr w:type="spellEnd"/>
      <w:r w:rsidRPr="007E702F">
        <w:rPr>
          <w:b/>
        </w:rPr>
        <w:t>:</w:t>
      </w:r>
      <w:r w:rsidRPr="007E702F">
        <w:rPr>
          <w:b/>
          <w:spacing w:val="-4"/>
        </w:rPr>
        <w:t xml:space="preserve"> </w:t>
      </w:r>
      <w:proofErr w:type="spellStart"/>
      <w:r w:rsidRPr="007E702F">
        <w:t>Disability</w:t>
      </w:r>
      <w:proofErr w:type="spellEnd"/>
      <w:r w:rsidRPr="007E702F">
        <w:t>,</w:t>
      </w:r>
      <w:r w:rsidRPr="007E702F">
        <w:rPr>
          <w:spacing w:val="-2"/>
        </w:rPr>
        <w:t xml:space="preserve"> </w:t>
      </w:r>
      <w:r w:rsidRPr="007E702F">
        <w:t>Definition</w:t>
      </w:r>
      <w:r w:rsidRPr="007E702F">
        <w:rPr>
          <w:spacing w:val="-2"/>
        </w:rPr>
        <w:t xml:space="preserve"> </w:t>
      </w:r>
      <w:r w:rsidRPr="007E702F">
        <w:t>of</w:t>
      </w:r>
      <w:r w:rsidRPr="007E702F">
        <w:rPr>
          <w:spacing w:val="-2"/>
        </w:rPr>
        <w:t xml:space="preserve"> </w:t>
      </w:r>
      <w:proofErr w:type="spellStart"/>
      <w:r w:rsidRPr="007E702F">
        <w:t>Disability</w:t>
      </w:r>
      <w:proofErr w:type="spellEnd"/>
      <w:r w:rsidRPr="007E702F">
        <w:t>,</w:t>
      </w:r>
      <w:r w:rsidRPr="007E702F">
        <w:rPr>
          <w:spacing w:val="-2"/>
        </w:rPr>
        <w:t xml:space="preserve"> </w:t>
      </w:r>
      <w:proofErr w:type="spellStart"/>
      <w:r w:rsidRPr="007E702F">
        <w:t>Disadvantaged</w:t>
      </w:r>
      <w:proofErr w:type="spellEnd"/>
      <w:r w:rsidRPr="007E702F">
        <w:rPr>
          <w:spacing w:val="-2"/>
        </w:rPr>
        <w:t xml:space="preserve"> </w:t>
      </w:r>
      <w:proofErr w:type="spellStart"/>
      <w:r w:rsidRPr="007E702F">
        <w:t>Groups</w:t>
      </w:r>
      <w:proofErr w:type="spellEnd"/>
      <w:r w:rsidRPr="007E702F">
        <w:t>,</w:t>
      </w:r>
      <w:r w:rsidRPr="007E702F">
        <w:rPr>
          <w:spacing w:val="-2"/>
        </w:rPr>
        <w:t xml:space="preserve"> Accessibility.</w:t>
      </w:r>
    </w:p>
    <w:p w14:paraId="280DFB5F" w14:textId="77777777" w:rsidR="007E702F" w:rsidRPr="007E702F" w:rsidRDefault="007E702F" w:rsidP="00316176">
      <w:pPr>
        <w:pStyle w:val="GvdeMetni"/>
      </w:pPr>
    </w:p>
    <w:p w14:paraId="3B7134CB" w14:textId="77777777" w:rsidR="007E702F" w:rsidRPr="00AF3C45" w:rsidRDefault="007E702F" w:rsidP="00316176">
      <w:pPr>
        <w:rPr>
          <w:b/>
          <w:bCs/>
        </w:rPr>
      </w:pPr>
      <w:r w:rsidRPr="00AF3C45">
        <w:rPr>
          <w:b/>
          <w:bCs/>
        </w:rPr>
        <w:t>GİRİŞ</w:t>
      </w:r>
    </w:p>
    <w:p w14:paraId="01031BF4" w14:textId="77777777" w:rsidR="007E702F" w:rsidRPr="00AF3C45" w:rsidRDefault="007E702F" w:rsidP="00316176">
      <w:pPr>
        <w:rPr>
          <w:b/>
          <w:bCs/>
        </w:rPr>
      </w:pPr>
      <w:r w:rsidRPr="00AF3C45">
        <w:rPr>
          <w:b/>
          <w:bCs/>
        </w:rPr>
        <w:t>Engellilik Kavramının</w:t>
      </w:r>
      <w:r w:rsidRPr="00AF3C45">
        <w:rPr>
          <w:b/>
          <w:bCs/>
          <w:spacing w:val="-3"/>
        </w:rPr>
        <w:t xml:space="preserve"> </w:t>
      </w:r>
      <w:r w:rsidRPr="00AF3C45">
        <w:rPr>
          <w:b/>
          <w:bCs/>
        </w:rPr>
        <w:t>Tarihsel</w:t>
      </w:r>
      <w:r w:rsidRPr="00AF3C45">
        <w:rPr>
          <w:b/>
          <w:bCs/>
          <w:spacing w:val="-1"/>
        </w:rPr>
        <w:t xml:space="preserve"> </w:t>
      </w:r>
      <w:r w:rsidRPr="00AF3C45">
        <w:rPr>
          <w:b/>
          <w:bCs/>
        </w:rPr>
        <w:t>Gelişimi</w:t>
      </w:r>
    </w:p>
    <w:p w14:paraId="05DEA98D" w14:textId="77777777" w:rsidR="007E702F" w:rsidRPr="007E702F" w:rsidRDefault="007E702F" w:rsidP="00316176">
      <w:pPr>
        <w:pStyle w:val="GvdeMetni"/>
        <w:ind w:right="337"/>
        <w:jc w:val="both"/>
      </w:pPr>
      <w:r w:rsidRPr="007E702F">
        <w:t>Geçmişten günümüze engellilik kavramının yalnızca bireyin vücut bütünlüğünde ya da zihinsel aktivitelerinde oluşan bir eksiklik veya noksanlıktan ibaret bir olgu olarak karşımıza çıkmamaktadır.</w:t>
      </w:r>
      <w:r w:rsidRPr="007E702F">
        <w:rPr>
          <w:spacing w:val="-13"/>
        </w:rPr>
        <w:t xml:space="preserve"> </w:t>
      </w:r>
      <w:r w:rsidRPr="007E702F">
        <w:t>Bu</w:t>
      </w:r>
      <w:r w:rsidRPr="007E702F">
        <w:rPr>
          <w:spacing w:val="-13"/>
        </w:rPr>
        <w:t xml:space="preserve"> </w:t>
      </w:r>
      <w:r w:rsidRPr="007E702F">
        <w:t>genel</w:t>
      </w:r>
      <w:r w:rsidRPr="007E702F">
        <w:rPr>
          <w:spacing w:val="-13"/>
        </w:rPr>
        <w:t xml:space="preserve"> </w:t>
      </w:r>
      <w:r w:rsidRPr="007E702F">
        <w:t>geçerliliğin</w:t>
      </w:r>
      <w:r w:rsidRPr="007E702F">
        <w:rPr>
          <w:spacing w:val="-13"/>
        </w:rPr>
        <w:t xml:space="preserve"> </w:t>
      </w:r>
      <w:r w:rsidRPr="007E702F">
        <w:t>aksine</w:t>
      </w:r>
      <w:r w:rsidRPr="007E702F">
        <w:rPr>
          <w:spacing w:val="-13"/>
        </w:rPr>
        <w:t xml:space="preserve"> </w:t>
      </w:r>
      <w:r w:rsidRPr="007E702F">
        <w:t>engellilik</w:t>
      </w:r>
      <w:r w:rsidRPr="007E702F">
        <w:rPr>
          <w:spacing w:val="-13"/>
        </w:rPr>
        <w:t xml:space="preserve"> </w:t>
      </w:r>
      <w:r w:rsidRPr="007E702F">
        <w:t>kavramı</w:t>
      </w:r>
      <w:r w:rsidRPr="007E702F">
        <w:rPr>
          <w:spacing w:val="-13"/>
        </w:rPr>
        <w:t xml:space="preserve"> </w:t>
      </w:r>
      <w:r w:rsidRPr="007E702F">
        <w:t>sadece</w:t>
      </w:r>
      <w:r w:rsidRPr="007E702F">
        <w:rPr>
          <w:spacing w:val="-13"/>
        </w:rPr>
        <w:t xml:space="preserve"> </w:t>
      </w:r>
      <w:r w:rsidRPr="007E702F">
        <w:t>bireysel</w:t>
      </w:r>
      <w:r w:rsidRPr="007E702F">
        <w:rPr>
          <w:spacing w:val="-13"/>
        </w:rPr>
        <w:t xml:space="preserve"> </w:t>
      </w:r>
      <w:r w:rsidRPr="007E702F">
        <w:t>etkilerinin</w:t>
      </w:r>
      <w:r w:rsidRPr="007E702F">
        <w:rPr>
          <w:spacing w:val="-13"/>
        </w:rPr>
        <w:t xml:space="preserve"> </w:t>
      </w:r>
      <w:r w:rsidRPr="007E702F">
        <w:t>yanı</w:t>
      </w:r>
      <w:r w:rsidRPr="007E702F">
        <w:rPr>
          <w:spacing w:val="-13"/>
        </w:rPr>
        <w:t xml:space="preserve"> </w:t>
      </w:r>
      <w:r w:rsidRPr="007E702F">
        <w:t>sıra her zaman sosyal ve kültürel toplumsal değerlerden de çoğu zaman etkilendiği görülmektedir (Shakespeare, 2018:24). Bu yaklaşıma dayanarak engellilik tarihini de ele almak üzere aslen insanlık</w:t>
      </w:r>
      <w:r w:rsidRPr="007E702F">
        <w:rPr>
          <w:spacing w:val="-3"/>
        </w:rPr>
        <w:t xml:space="preserve"> </w:t>
      </w:r>
      <w:r w:rsidRPr="007E702F">
        <w:t>tarihini</w:t>
      </w:r>
      <w:r w:rsidRPr="007E702F">
        <w:rPr>
          <w:spacing w:val="-3"/>
        </w:rPr>
        <w:t xml:space="preserve"> </w:t>
      </w:r>
      <w:r w:rsidRPr="007E702F">
        <w:t>de</w:t>
      </w:r>
      <w:r w:rsidRPr="007E702F">
        <w:rPr>
          <w:spacing w:val="-3"/>
        </w:rPr>
        <w:t xml:space="preserve"> </w:t>
      </w:r>
      <w:r w:rsidRPr="007E702F">
        <w:t>içermekte</w:t>
      </w:r>
      <w:r w:rsidRPr="007E702F">
        <w:rPr>
          <w:spacing w:val="-3"/>
        </w:rPr>
        <w:t xml:space="preserve"> </w:t>
      </w:r>
      <w:r w:rsidRPr="007E702F">
        <w:t>olduğu</w:t>
      </w:r>
      <w:r w:rsidRPr="007E702F">
        <w:rPr>
          <w:spacing w:val="-3"/>
        </w:rPr>
        <w:t xml:space="preserve"> </w:t>
      </w:r>
      <w:r w:rsidRPr="007E702F">
        <w:t>görülmektedir.</w:t>
      </w:r>
      <w:r w:rsidRPr="007E702F">
        <w:rPr>
          <w:spacing w:val="-3"/>
        </w:rPr>
        <w:t xml:space="preserve"> </w:t>
      </w:r>
      <w:r w:rsidRPr="007E702F">
        <w:t>Buna</w:t>
      </w:r>
      <w:r w:rsidRPr="007E702F">
        <w:rPr>
          <w:spacing w:val="-3"/>
        </w:rPr>
        <w:t xml:space="preserve"> </w:t>
      </w:r>
      <w:proofErr w:type="spellStart"/>
      <w:r w:rsidRPr="007E702F">
        <w:t>biyanen</w:t>
      </w:r>
      <w:proofErr w:type="spellEnd"/>
      <w:r w:rsidRPr="007E702F">
        <w:rPr>
          <w:spacing w:val="-3"/>
        </w:rPr>
        <w:t xml:space="preserve"> </w:t>
      </w:r>
      <w:r w:rsidRPr="007E702F">
        <w:t>hem</w:t>
      </w:r>
      <w:r w:rsidRPr="007E702F">
        <w:rPr>
          <w:spacing w:val="-3"/>
        </w:rPr>
        <w:t xml:space="preserve"> </w:t>
      </w:r>
      <w:r w:rsidRPr="007E702F">
        <w:t>engelli</w:t>
      </w:r>
      <w:r w:rsidRPr="007E702F">
        <w:rPr>
          <w:spacing w:val="-3"/>
        </w:rPr>
        <w:t xml:space="preserve"> </w:t>
      </w:r>
      <w:r w:rsidRPr="007E702F">
        <w:t>bireylerin</w:t>
      </w:r>
      <w:r w:rsidRPr="007E702F">
        <w:rPr>
          <w:spacing w:val="-3"/>
        </w:rPr>
        <w:t xml:space="preserve"> </w:t>
      </w:r>
      <w:r w:rsidRPr="007E702F">
        <w:t>bireysel farklılıklarının dezavantajlılık hallerini hem de onlara yönelik toplumlararasında özellikle o dönemin şartlarına dayanılarak yöneltilmiş tutum ve davranışların ve uygulamaların da çeşitli faktörleri içeren engellilik kavramını heterojen bir olguya dönüştürdüğü kanısına varılmaktadır. Engelli bireylerin farklı dönemlerde, farklı toplumlarda ve farklı hayat şartlarında yaşamış oldukları da göz önünde tutulmaktadır. Bu nedenle ele alınmış olan zamanın bu denli geniş ve grubunda bu denli çeşitlilik göstermesi nedeniyle geçmişten günümüze hali hazırda her yönüyle engellilik kavramının çok boyutluluk çerçevesiyle ele alınması zor ve hatta beyhude bir uğraş olacağı</w:t>
      </w:r>
      <w:r w:rsidRPr="007E702F">
        <w:rPr>
          <w:spacing w:val="-7"/>
        </w:rPr>
        <w:t xml:space="preserve"> </w:t>
      </w:r>
      <w:r w:rsidRPr="007E702F">
        <w:t>yönünde</w:t>
      </w:r>
      <w:r w:rsidRPr="007E702F">
        <w:rPr>
          <w:spacing w:val="-7"/>
        </w:rPr>
        <w:t xml:space="preserve"> </w:t>
      </w:r>
      <w:r w:rsidRPr="007E702F">
        <w:t>yorumlanabilmektedir.</w:t>
      </w:r>
      <w:r w:rsidRPr="007E702F">
        <w:rPr>
          <w:spacing w:val="-8"/>
        </w:rPr>
        <w:t xml:space="preserve"> </w:t>
      </w:r>
      <w:r w:rsidRPr="007E702F">
        <w:t>Fakat</w:t>
      </w:r>
      <w:r w:rsidRPr="007E702F">
        <w:rPr>
          <w:spacing w:val="-7"/>
        </w:rPr>
        <w:t xml:space="preserve"> </w:t>
      </w:r>
      <w:r w:rsidRPr="007E702F">
        <w:t>geçmişte</w:t>
      </w:r>
      <w:r w:rsidRPr="007E702F">
        <w:rPr>
          <w:spacing w:val="-7"/>
        </w:rPr>
        <w:t xml:space="preserve"> </w:t>
      </w:r>
      <w:r w:rsidRPr="007E702F">
        <w:t>engellilik</w:t>
      </w:r>
      <w:r w:rsidRPr="007E702F">
        <w:rPr>
          <w:spacing w:val="-7"/>
        </w:rPr>
        <w:t xml:space="preserve"> </w:t>
      </w:r>
      <w:r w:rsidRPr="007E702F">
        <w:t>ve</w:t>
      </w:r>
      <w:r w:rsidRPr="007E702F">
        <w:rPr>
          <w:spacing w:val="-7"/>
        </w:rPr>
        <w:t xml:space="preserve"> </w:t>
      </w:r>
      <w:r w:rsidRPr="007E702F">
        <w:t>bu</w:t>
      </w:r>
      <w:r w:rsidRPr="007E702F">
        <w:rPr>
          <w:spacing w:val="-7"/>
        </w:rPr>
        <w:t xml:space="preserve"> </w:t>
      </w:r>
      <w:r w:rsidRPr="007E702F">
        <w:t>denli</w:t>
      </w:r>
      <w:r w:rsidRPr="007E702F">
        <w:rPr>
          <w:spacing w:val="-7"/>
        </w:rPr>
        <w:t xml:space="preserve"> </w:t>
      </w:r>
      <w:r w:rsidRPr="007E702F">
        <w:t>çeşitliliği</w:t>
      </w:r>
      <w:r w:rsidRPr="007E702F">
        <w:rPr>
          <w:spacing w:val="-7"/>
        </w:rPr>
        <w:t xml:space="preserve"> </w:t>
      </w:r>
      <w:r w:rsidRPr="007E702F">
        <w:t>barındıran grubun nasıl ele alındığını, engelli bireylere nasıl davranılmış olduğunu bilmeden, bugün engelliliğin nasıl ele alınacağını da anlaşılması zorlaşacaktır. Tüm bu faktörlerle bu başlıkta bir sınırlılık gözetilerek yalnızca Batı toplumlarında, engelli bireylere yönelik uygulamaların öne çıkmış olduğu antik çağdan başlanılarak günümüze kadar uzanan dönemde, engel türlerine bağlı kalınarak</w:t>
      </w:r>
      <w:r w:rsidRPr="007E702F">
        <w:rPr>
          <w:spacing w:val="-3"/>
        </w:rPr>
        <w:t xml:space="preserve"> </w:t>
      </w:r>
      <w:r w:rsidRPr="007E702F">
        <w:t>ayrılmaksızın,</w:t>
      </w:r>
      <w:r w:rsidRPr="007E702F">
        <w:rPr>
          <w:spacing w:val="-2"/>
        </w:rPr>
        <w:t xml:space="preserve"> </w:t>
      </w:r>
      <w:r w:rsidRPr="007E702F">
        <w:t>yalnızca</w:t>
      </w:r>
      <w:r w:rsidRPr="007E702F">
        <w:rPr>
          <w:spacing w:val="-3"/>
        </w:rPr>
        <w:t xml:space="preserve"> </w:t>
      </w:r>
      <w:r w:rsidRPr="007E702F">
        <w:t>genel</w:t>
      </w:r>
      <w:r w:rsidRPr="007E702F">
        <w:rPr>
          <w:spacing w:val="-3"/>
        </w:rPr>
        <w:t xml:space="preserve"> </w:t>
      </w:r>
      <w:r w:rsidRPr="007E702F">
        <w:t>çerçevesince</w:t>
      </w:r>
      <w:r w:rsidRPr="007E702F">
        <w:rPr>
          <w:spacing w:val="-3"/>
        </w:rPr>
        <w:t xml:space="preserve"> </w:t>
      </w:r>
      <w:r w:rsidRPr="007E702F">
        <w:t>ele</w:t>
      </w:r>
      <w:r w:rsidRPr="007E702F">
        <w:rPr>
          <w:spacing w:val="-3"/>
        </w:rPr>
        <w:t xml:space="preserve"> </w:t>
      </w:r>
      <w:r w:rsidRPr="007E702F">
        <w:t>alınmaya</w:t>
      </w:r>
      <w:r w:rsidRPr="007E702F">
        <w:rPr>
          <w:spacing w:val="-3"/>
        </w:rPr>
        <w:t xml:space="preserve"> </w:t>
      </w:r>
      <w:r w:rsidRPr="007E702F">
        <w:t>çalışmış</w:t>
      </w:r>
      <w:r w:rsidRPr="007E702F">
        <w:rPr>
          <w:spacing w:val="-2"/>
        </w:rPr>
        <w:t xml:space="preserve"> </w:t>
      </w:r>
      <w:r w:rsidRPr="007E702F">
        <w:t>olduğu</w:t>
      </w:r>
      <w:r w:rsidRPr="007E702F">
        <w:rPr>
          <w:spacing w:val="-3"/>
        </w:rPr>
        <w:t xml:space="preserve"> </w:t>
      </w:r>
      <w:r w:rsidRPr="007E702F">
        <w:t>sunulmaktadır.</w:t>
      </w:r>
    </w:p>
    <w:p w14:paraId="4A1B4217" w14:textId="77777777" w:rsidR="007E702F" w:rsidRPr="007E702F" w:rsidRDefault="007E702F" w:rsidP="00316176">
      <w:pPr>
        <w:pStyle w:val="GvdeMetni"/>
      </w:pPr>
    </w:p>
    <w:p w14:paraId="12C34B38" w14:textId="77777777" w:rsidR="007E702F" w:rsidRPr="007E702F" w:rsidRDefault="007E702F" w:rsidP="00316176">
      <w:pPr>
        <w:pStyle w:val="GvdeMetni"/>
        <w:ind w:right="337"/>
        <w:jc w:val="both"/>
      </w:pPr>
      <w:r w:rsidRPr="007E702F">
        <w:t>Geçmişten günümüze kadar gelindiği süreçte engelli bireyler toplumlarca her daim toplum içinde olmasına karşın sosyal entegrasyonun ve toplumun bir parçası olarak kabul edilebilmesi oldukça güç bir farkındalık bilincini ortaya çıkartmaktadır. Hatta ilk dönemler arasında, Antik Yunan ve Roma döneminden yola çıkılarak, doğuştan engellilik hali bulunan insanların oranı daha fazla olmasına karşın, bu insanların çok azı hayatta kalabildiği söylenebilmektedir. Bunun iki sebebi vardır. İlk sebebi o dönemdeki tıbbi tedavi imkanlarının olmasından kaynaklanmaktadır. Bu sebeple doğan hasta bebeklerin kendiliğinden hayatlarını kaybetmiş olmaları söz konusu olabilmektedir. İkinci sebebi ise Yunanlıların ve Romalıların, bu anomalilikle doğan bireylerin aktif ve bağımsız bir yaşama sahip olmaktan aciz görüyor olmalarından kaynaklı herhangi bir bebekten yaşamın gerekliliklerini bu bireylerden yoksun bırakmalarıdır. Bu ölüme terk edilen bebekler</w:t>
      </w:r>
      <w:r w:rsidRPr="007E702F">
        <w:rPr>
          <w:spacing w:val="10"/>
        </w:rPr>
        <w:t xml:space="preserve"> </w:t>
      </w:r>
      <w:r w:rsidRPr="007E702F">
        <w:t>aileleri</w:t>
      </w:r>
      <w:r w:rsidRPr="007E702F">
        <w:rPr>
          <w:spacing w:val="13"/>
        </w:rPr>
        <w:t xml:space="preserve"> </w:t>
      </w:r>
      <w:r w:rsidRPr="007E702F">
        <w:t>için</w:t>
      </w:r>
      <w:r w:rsidRPr="007E702F">
        <w:rPr>
          <w:spacing w:val="12"/>
        </w:rPr>
        <w:t xml:space="preserve"> </w:t>
      </w:r>
      <w:r w:rsidRPr="007E702F">
        <w:t>rahatsızlık</w:t>
      </w:r>
      <w:r w:rsidRPr="007E702F">
        <w:rPr>
          <w:spacing w:val="13"/>
        </w:rPr>
        <w:t xml:space="preserve"> </w:t>
      </w:r>
      <w:r w:rsidRPr="007E702F">
        <w:t>duyulan</w:t>
      </w:r>
      <w:r w:rsidRPr="007E702F">
        <w:rPr>
          <w:spacing w:val="12"/>
        </w:rPr>
        <w:t xml:space="preserve"> </w:t>
      </w:r>
      <w:r w:rsidRPr="007E702F">
        <w:t>kimse</w:t>
      </w:r>
      <w:r w:rsidRPr="007E702F">
        <w:rPr>
          <w:spacing w:val="13"/>
        </w:rPr>
        <w:t xml:space="preserve"> </w:t>
      </w:r>
      <w:r w:rsidRPr="007E702F">
        <w:t>ve</w:t>
      </w:r>
      <w:r w:rsidRPr="007E702F">
        <w:rPr>
          <w:spacing w:val="13"/>
        </w:rPr>
        <w:t xml:space="preserve"> </w:t>
      </w:r>
      <w:r w:rsidRPr="007E702F">
        <w:t>maddi</w:t>
      </w:r>
      <w:r w:rsidRPr="007E702F">
        <w:rPr>
          <w:spacing w:val="12"/>
        </w:rPr>
        <w:t xml:space="preserve"> </w:t>
      </w:r>
      <w:r w:rsidRPr="007E702F">
        <w:t>bir</w:t>
      </w:r>
      <w:r w:rsidRPr="007E702F">
        <w:rPr>
          <w:spacing w:val="13"/>
        </w:rPr>
        <w:t xml:space="preserve"> </w:t>
      </w:r>
      <w:r w:rsidRPr="007E702F">
        <w:t>külfet</w:t>
      </w:r>
      <w:r w:rsidRPr="007E702F">
        <w:rPr>
          <w:spacing w:val="12"/>
        </w:rPr>
        <w:t xml:space="preserve"> </w:t>
      </w:r>
      <w:r w:rsidRPr="007E702F">
        <w:t>olarak</w:t>
      </w:r>
      <w:r w:rsidRPr="007E702F">
        <w:rPr>
          <w:spacing w:val="13"/>
        </w:rPr>
        <w:t xml:space="preserve"> </w:t>
      </w:r>
      <w:r w:rsidRPr="007E702F">
        <w:t>görülmektedir.</w:t>
      </w:r>
      <w:r w:rsidRPr="007E702F">
        <w:rPr>
          <w:spacing w:val="13"/>
        </w:rPr>
        <w:t xml:space="preserve"> </w:t>
      </w:r>
      <w:r w:rsidRPr="007E702F">
        <w:rPr>
          <w:spacing w:val="-2"/>
        </w:rPr>
        <w:t>Bunun</w:t>
      </w:r>
    </w:p>
    <w:p w14:paraId="6929552B"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71B54ACE" w14:textId="77777777" w:rsidR="007E702F" w:rsidRPr="007E702F" w:rsidRDefault="007E702F" w:rsidP="00316176">
      <w:pPr>
        <w:pStyle w:val="GvdeMetni"/>
        <w:ind w:right="337"/>
        <w:jc w:val="both"/>
      </w:pPr>
      <w:proofErr w:type="gramStart"/>
      <w:r w:rsidRPr="007E702F">
        <w:t>sonucunda</w:t>
      </w:r>
      <w:proofErr w:type="gramEnd"/>
      <w:r w:rsidRPr="007E702F">
        <w:rPr>
          <w:spacing w:val="-4"/>
        </w:rPr>
        <w:t xml:space="preserve"> </w:t>
      </w:r>
      <w:r w:rsidRPr="007E702F">
        <w:t>da</w:t>
      </w:r>
      <w:r w:rsidRPr="007E702F">
        <w:rPr>
          <w:spacing w:val="-5"/>
        </w:rPr>
        <w:t xml:space="preserve"> </w:t>
      </w:r>
      <w:r w:rsidRPr="007E702F">
        <w:t>yaşamlarının</w:t>
      </w:r>
      <w:r w:rsidRPr="007E702F">
        <w:rPr>
          <w:spacing w:val="-4"/>
        </w:rPr>
        <w:t xml:space="preserve"> </w:t>
      </w:r>
      <w:r w:rsidRPr="007E702F">
        <w:t>sona</w:t>
      </w:r>
      <w:r w:rsidRPr="007E702F">
        <w:rPr>
          <w:spacing w:val="-4"/>
        </w:rPr>
        <w:t xml:space="preserve"> </w:t>
      </w:r>
      <w:r w:rsidRPr="007E702F">
        <w:t>erdirme</w:t>
      </w:r>
      <w:r w:rsidRPr="007E702F">
        <w:rPr>
          <w:spacing w:val="-4"/>
        </w:rPr>
        <w:t xml:space="preserve"> </w:t>
      </w:r>
      <w:r w:rsidRPr="007E702F">
        <w:t>noktasında</w:t>
      </w:r>
      <w:r w:rsidRPr="007E702F">
        <w:rPr>
          <w:spacing w:val="-4"/>
        </w:rPr>
        <w:t xml:space="preserve"> </w:t>
      </w:r>
      <w:r w:rsidRPr="007E702F">
        <w:t>bir</w:t>
      </w:r>
      <w:r w:rsidRPr="007E702F">
        <w:rPr>
          <w:spacing w:val="-4"/>
        </w:rPr>
        <w:t xml:space="preserve"> </w:t>
      </w:r>
      <w:r w:rsidRPr="007E702F">
        <w:t>olanak</w:t>
      </w:r>
      <w:r w:rsidRPr="007E702F">
        <w:rPr>
          <w:spacing w:val="-4"/>
        </w:rPr>
        <w:t xml:space="preserve"> </w:t>
      </w:r>
      <w:r w:rsidRPr="007E702F">
        <w:t>yaratılmaktadır.</w:t>
      </w:r>
      <w:r w:rsidRPr="007E702F">
        <w:rPr>
          <w:spacing w:val="-5"/>
        </w:rPr>
        <w:t xml:space="preserve"> </w:t>
      </w:r>
      <w:r w:rsidRPr="007E702F">
        <w:t>Toplumsal</w:t>
      </w:r>
      <w:r w:rsidRPr="007E702F">
        <w:rPr>
          <w:spacing w:val="-4"/>
        </w:rPr>
        <w:t xml:space="preserve"> </w:t>
      </w:r>
      <w:r w:rsidRPr="007E702F">
        <w:t>açıdan ve aile birliği açısından pratik uygulamalar ve ekonomik kaygıların yanında engelli bireylere o dönemlerdeki</w:t>
      </w:r>
      <w:r w:rsidRPr="007E702F">
        <w:rPr>
          <w:spacing w:val="-6"/>
        </w:rPr>
        <w:t xml:space="preserve"> </w:t>
      </w:r>
      <w:r w:rsidRPr="007E702F">
        <w:t>bilgi</w:t>
      </w:r>
      <w:r w:rsidRPr="007E702F">
        <w:rPr>
          <w:spacing w:val="-6"/>
        </w:rPr>
        <w:t xml:space="preserve"> </w:t>
      </w:r>
      <w:r w:rsidRPr="007E702F">
        <w:t>eksikliğinden</w:t>
      </w:r>
      <w:r w:rsidRPr="007E702F">
        <w:rPr>
          <w:spacing w:val="-6"/>
        </w:rPr>
        <w:t xml:space="preserve"> </w:t>
      </w:r>
      <w:r w:rsidRPr="007E702F">
        <w:t>kaynaklanan</w:t>
      </w:r>
      <w:r w:rsidRPr="007E702F">
        <w:rPr>
          <w:spacing w:val="-6"/>
        </w:rPr>
        <w:t xml:space="preserve"> </w:t>
      </w:r>
      <w:r w:rsidRPr="007E702F">
        <w:t>dini</w:t>
      </w:r>
      <w:r w:rsidRPr="007E702F">
        <w:rPr>
          <w:spacing w:val="-6"/>
        </w:rPr>
        <w:t xml:space="preserve"> </w:t>
      </w:r>
      <w:r w:rsidRPr="007E702F">
        <w:t>inanışlar</w:t>
      </w:r>
      <w:r w:rsidRPr="007E702F">
        <w:rPr>
          <w:spacing w:val="-6"/>
        </w:rPr>
        <w:t xml:space="preserve"> </w:t>
      </w:r>
      <w:r w:rsidRPr="007E702F">
        <w:t>açısından</w:t>
      </w:r>
      <w:r w:rsidRPr="007E702F">
        <w:rPr>
          <w:spacing w:val="-6"/>
        </w:rPr>
        <w:t xml:space="preserve"> </w:t>
      </w:r>
      <w:r w:rsidRPr="007E702F">
        <w:t>da</w:t>
      </w:r>
      <w:r w:rsidRPr="007E702F">
        <w:rPr>
          <w:spacing w:val="-6"/>
        </w:rPr>
        <w:t xml:space="preserve"> </w:t>
      </w:r>
      <w:r w:rsidRPr="007E702F">
        <w:t>bir</w:t>
      </w:r>
      <w:r w:rsidRPr="007E702F">
        <w:rPr>
          <w:spacing w:val="-6"/>
        </w:rPr>
        <w:t xml:space="preserve"> </w:t>
      </w:r>
      <w:r w:rsidRPr="007E702F">
        <w:t>kaygı</w:t>
      </w:r>
      <w:r w:rsidRPr="007E702F">
        <w:rPr>
          <w:spacing w:val="-6"/>
        </w:rPr>
        <w:t xml:space="preserve"> </w:t>
      </w:r>
      <w:r w:rsidRPr="007E702F">
        <w:t>oluşturduğu</w:t>
      </w:r>
      <w:r w:rsidRPr="007E702F">
        <w:rPr>
          <w:spacing w:val="-6"/>
        </w:rPr>
        <w:t xml:space="preserve"> </w:t>
      </w:r>
      <w:r w:rsidRPr="007E702F">
        <w:t xml:space="preserve">da görülmektedir. Yunanlıların dini inanışları perspektifinde “engelli halde doğmuş veya doğum sırasında olan bebeğin Tanrılar tarafından hem bebeğin hem ebeveynlerine bu dünyada cezalandırıldıkları” düşüncesinden hareketle yaşama hakkının kısırlaştırılmış olduğu görülmektedir. Bu nedenle, engelli şekilde doğmuş olan bebeklerin vahşi bir yerde ölüme terk ediliyor oluşu (infant </w:t>
      </w:r>
      <w:proofErr w:type="spellStart"/>
      <w:r w:rsidRPr="007E702F">
        <w:t>exposure</w:t>
      </w:r>
      <w:proofErr w:type="spellEnd"/>
      <w:r w:rsidRPr="007E702F">
        <w:t>) o dönemin şartlarında buna benzer uygulamaların normal kabul edilmiş olduğu görülmektedir (</w:t>
      </w:r>
      <w:proofErr w:type="spellStart"/>
      <w:r w:rsidRPr="007E702F">
        <w:t>Garland</w:t>
      </w:r>
      <w:proofErr w:type="spellEnd"/>
      <w:r w:rsidRPr="007E702F">
        <w:t xml:space="preserve"> </w:t>
      </w:r>
      <w:proofErr w:type="gramStart"/>
      <w:r w:rsidRPr="007E702F">
        <w:t>R. ,</w:t>
      </w:r>
      <w:proofErr w:type="gramEnd"/>
      <w:r w:rsidRPr="007E702F">
        <w:t xml:space="preserve"> 1995: 11-14). Ancak o dönemin şartlarını da göz önünde bulundurarak belirtmek gerekir ki bu ve </w:t>
      </w:r>
      <w:r w:rsidRPr="007E702F">
        <w:lastRenderedPageBreak/>
        <w:t>buna benzer uygulamaların, günümüz şartlarında yapılan</w:t>
      </w:r>
      <w:r w:rsidRPr="007E702F">
        <w:rPr>
          <w:spacing w:val="-2"/>
        </w:rPr>
        <w:t xml:space="preserve"> </w:t>
      </w:r>
      <w:r w:rsidRPr="007E702F">
        <w:t>engellilik</w:t>
      </w:r>
      <w:r w:rsidRPr="007E702F">
        <w:rPr>
          <w:spacing w:val="-2"/>
        </w:rPr>
        <w:t xml:space="preserve"> </w:t>
      </w:r>
      <w:r w:rsidRPr="007E702F">
        <w:t>tanımı</w:t>
      </w:r>
      <w:r w:rsidRPr="007E702F">
        <w:rPr>
          <w:spacing w:val="-2"/>
        </w:rPr>
        <w:t xml:space="preserve"> </w:t>
      </w:r>
      <w:r w:rsidRPr="007E702F">
        <w:t>içerisinde</w:t>
      </w:r>
      <w:r w:rsidRPr="007E702F">
        <w:rPr>
          <w:spacing w:val="-2"/>
        </w:rPr>
        <w:t xml:space="preserve"> </w:t>
      </w:r>
      <w:r w:rsidRPr="007E702F">
        <w:t>yer</w:t>
      </w:r>
      <w:r w:rsidRPr="007E702F">
        <w:rPr>
          <w:spacing w:val="-2"/>
        </w:rPr>
        <w:t xml:space="preserve"> </w:t>
      </w:r>
      <w:r w:rsidRPr="007E702F">
        <w:t>almış</w:t>
      </w:r>
      <w:r w:rsidRPr="007E702F">
        <w:rPr>
          <w:spacing w:val="-2"/>
        </w:rPr>
        <w:t xml:space="preserve"> </w:t>
      </w:r>
      <w:r w:rsidRPr="007E702F">
        <w:t>olan</w:t>
      </w:r>
      <w:r w:rsidRPr="007E702F">
        <w:rPr>
          <w:spacing w:val="-2"/>
        </w:rPr>
        <w:t xml:space="preserve"> </w:t>
      </w:r>
      <w:r w:rsidRPr="007E702F">
        <w:t>herkes</w:t>
      </w:r>
      <w:r w:rsidRPr="007E702F">
        <w:rPr>
          <w:spacing w:val="-2"/>
        </w:rPr>
        <w:t xml:space="preserve"> </w:t>
      </w:r>
      <w:r w:rsidRPr="007E702F">
        <w:t>açısından</w:t>
      </w:r>
      <w:r w:rsidRPr="007E702F">
        <w:rPr>
          <w:spacing w:val="-2"/>
        </w:rPr>
        <w:t xml:space="preserve"> </w:t>
      </w:r>
      <w:r w:rsidRPr="007E702F">
        <w:t>kabulü</w:t>
      </w:r>
      <w:r w:rsidRPr="007E702F">
        <w:rPr>
          <w:spacing w:val="-2"/>
        </w:rPr>
        <w:t xml:space="preserve"> </w:t>
      </w:r>
      <w:r w:rsidRPr="007E702F">
        <w:t>söz</w:t>
      </w:r>
      <w:r w:rsidRPr="007E702F">
        <w:rPr>
          <w:spacing w:val="-2"/>
        </w:rPr>
        <w:t xml:space="preserve"> </w:t>
      </w:r>
      <w:r w:rsidRPr="007E702F">
        <w:t>konusu</w:t>
      </w:r>
      <w:r w:rsidRPr="007E702F">
        <w:rPr>
          <w:spacing w:val="-2"/>
        </w:rPr>
        <w:t xml:space="preserve"> </w:t>
      </w:r>
      <w:r w:rsidRPr="007E702F">
        <w:t>değildi.</w:t>
      </w:r>
      <w:r w:rsidRPr="007E702F">
        <w:rPr>
          <w:spacing w:val="-2"/>
        </w:rPr>
        <w:t xml:space="preserve"> </w:t>
      </w:r>
      <w:r w:rsidRPr="007E702F">
        <w:t xml:space="preserve">Bu tarz uygulamalar genellikle </w:t>
      </w:r>
      <w:proofErr w:type="spellStart"/>
      <w:r w:rsidRPr="007E702F">
        <w:t>teratoloji</w:t>
      </w:r>
      <w:proofErr w:type="spellEnd"/>
      <w:r w:rsidRPr="007E702F">
        <w:t xml:space="preserve"> alanına girecek malformasyonlar için geçerliliği mevcuttur. Yani daha çok “çarpık ayaklar, perdeli eller, eksik ya da fazla uzuvlu” doğan kimseler için uygulanan</w:t>
      </w:r>
      <w:r w:rsidRPr="007E702F">
        <w:rPr>
          <w:spacing w:val="-14"/>
        </w:rPr>
        <w:t xml:space="preserve"> </w:t>
      </w:r>
      <w:r w:rsidRPr="007E702F">
        <w:t>bir</w:t>
      </w:r>
      <w:r w:rsidRPr="007E702F">
        <w:rPr>
          <w:spacing w:val="-14"/>
        </w:rPr>
        <w:t xml:space="preserve"> </w:t>
      </w:r>
      <w:r w:rsidRPr="007E702F">
        <w:t>prosedürdür.</w:t>
      </w:r>
      <w:r w:rsidRPr="007E702F">
        <w:rPr>
          <w:spacing w:val="-14"/>
        </w:rPr>
        <w:t xml:space="preserve"> </w:t>
      </w:r>
      <w:r w:rsidRPr="007E702F">
        <w:t>Yukarda</w:t>
      </w:r>
      <w:r w:rsidRPr="007E702F">
        <w:rPr>
          <w:spacing w:val="-14"/>
        </w:rPr>
        <w:t xml:space="preserve"> </w:t>
      </w:r>
      <w:r w:rsidRPr="007E702F">
        <w:t>bahsettiğimiz</w:t>
      </w:r>
      <w:r w:rsidRPr="007E702F">
        <w:rPr>
          <w:spacing w:val="-14"/>
        </w:rPr>
        <w:t xml:space="preserve"> </w:t>
      </w:r>
      <w:r w:rsidRPr="007E702F">
        <w:t>gibi</w:t>
      </w:r>
      <w:r w:rsidRPr="007E702F">
        <w:rPr>
          <w:spacing w:val="-14"/>
        </w:rPr>
        <w:t xml:space="preserve"> </w:t>
      </w:r>
      <w:r w:rsidRPr="007E702F">
        <w:t>bu</w:t>
      </w:r>
      <w:r w:rsidRPr="007E702F">
        <w:rPr>
          <w:spacing w:val="-14"/>
        </w:rPr>
        <w:t xml:space="preserve"> </w:t>
      </w:r>
      <w:proofErr w:type="spellStart"/>
      <w:r w:rsidRPr="007E702F">
        <w:t>uzuvsal</w:t>
      </w:r>
      <w:proofErr w:type="spellEnd"/>
      <w:r w:rsidRPr="007E702F">
        <w:rPr>
          <w:spacing w:val="-14"/>
        </w:rPr>
        <w:t xml:space="preserve"> </w:t>
      </w:r>
      <w:r w:rsidRPr="007E702F">
        <w:t>anomaliliklerinden</w:t>
      </w:r>
      <w:r w:rsidRPr="007E702F">
        <w:rPr>
          <w:spacing w:val="-14"/>
        </w:rPr>
        <w:t xml:space="preserve"> </w:t>
      </w:r>
      <w:r w:rsidRPr="007E702F">
        <w:t>dolayı</w:t>
      </w:r>
      <w:r w:rsidRPr="007E702F">
        <w:rPr>
          <w:spacing w:val="-14"/>
        </w:rPr>
        <w:t xml:space="preserve"> </w:t>
      </w:r>
      <w:r w:rsidRPr="007E702F">
        <w:t xml:space="preserve">kendi başlarına yaşam fonksiyonlarını gerçekleştiremeyeceği düşünülen bir “yük” olarak görülen kimseler için ön görülen uygulama olduğunun tekrardan altını çizmekte fayda vardır. Uygulama ise; eksik ya da fazla uzuvla doğan bebekleri yerleşim yerinden daha farklı uzak bir yerleşim alanının dışında bilinmeyen bir yere götürülüp bırakılıp ya da yerdeki bir deliğe veya suya bırakılarak ölüme terkedildiği bir uygulama süreci olarak karşımıza çıkmaktadır. Bu yapan kimselerin bir diğer düşüncesi ise “Tanrı'nın öfkesinin bir tezahürü maiyetinde kabul edildiği için bu uygulamayla bebeklerini Tanrı'ya geri döndürmüş, iade etmiş ya da kurban edildiği” günahın veya cezanın diyetini ödenmiş olduğu düşüncesi ortaya çıkmaktadır. Bu uygulamaya bir açıklık getirmiş olan </w:t>
      </w:r>
      <w:proofErr w:type="spellStart"/>
      <w:r w:rsidRPr="007E702F">
        <w:t>Stiker</w:t>
      </w:r>
      <w:proofErr w:type="spellEnd"/>
      <w:r w:rsidRPr="007E702F">
        <w:t>; engellilik halinde olan veya doğan kimsenin biyolojik ve sosyal düzeyleri arası</w:t>
      </w:r>
      <w:r w:rsidRPr="007E702F">
        <w:rPr>
          <w:spacing w:val="-9"/>
        </w:rPr>
        <w:t xml:space="preserve"> </w:t>
      </w:r>
      <w:r w:rsidRPr="007E702F">
        <w:t>birbirine</w:t>
      </w:r>
      <w:r w:rsidRPr="007E702F">
        <w:rPr>
          <w:spacing w:val="-9"/>
        </w:rPr>
        <w:t xml:space="preserve"> </w:t>
      </w:r>
      <w:r w:rsidRPr="007E702F">
        <w:t>karışması</w:t>
      </w:r>
      <w:r w:rsidRPr="007E702F">
        <w:rPr>
          <w:spacing w:val="-9"/>
        </w:rPr>
        <w:t xml:space="preserve"> </w:t>
      </w:r>
      <w:r w:rsidRPr="007E702F">
        <w:t>olarak</w:t>
      </w:r>
      <w:r w:rsidRPr="007E702F">
        <w:rPr>
          <w:spacing w:val="-8"/>
        </w:rPr>
        <w:t xml:space="preserve"> </w:t>
      </w:r>
      <w:r w:rsidRPr="007E702F">
        <w:t>açıklığa</w:t>
      </w:r>
      <w:r w:rsidRPr="007E702F">
        <w:rPr>
          <w:spacing w:val="-9"/>
        </w:rPr>
        <w:t xml:space="preserve"> </w:t>
      </w:r>
      <w:r w:rsidRPr="007E702F">
        <w:t>kavuşturmuş</w:t>
      </w:r>
      <w:r w:rsidRPr="007E702F">
        <w:rPr>
          <w:spacing w:val="-8"/>
        </w:rPr>
        <w:t xml:space="preserve"> </w:t>
      </w:r>
      <w:r w:rsidRPr="007E702F">
        <w:t>olduğu</w:t>
      </w:r>
      <w:r w:rsidRPr="007E702F">
        <w:rPr>
          <w:spacing w:val="-8"/>
        </w:rPr>
        <w:t xml:space="preserve"> </w:t>
      </w:r>
      <w:r w:rsidRPr="007E702F">
        <w:t>görülmektedir.</w:t>
      </w:r>
      <w:r w:rsidRPr="007E702F">
        <w:rPr>
          <w:spacing w:val="-8"/>
        </w:rPr>
        <w:t xml:space="preserve"> </w:t>
      </w:r>
      <w:r w:rsidRPr="007E702F">
        <w:t>Buna</w:t>
      </w:r>
      <w:r w:rsidRPr="007E702F">
        <w:rPr>
          <w:spacing w:val="-9"/>
        </w:rPr>
        <w:t xml:space="preserve"> </w:t>
      </w:r>
      <w:r w:rsidRPr="007E702F">
        <w:t>dayanılarak</w:t>
      </w:r>
      <w:r w:rsidRPr="007E702F">
        <w:rPr>
          <w:spacing w:val="-9"/>
        </w:rPr>
        <w:t xml:space="preserve"> </w:t>
      </w:r>
      <w:r w:rsidRPr="007E702F">
        <w:t>kişi bedenen</w:t>
      </w:r>
      <w:r w:rsidRPr="007E702F">
        <w:rPr>
          <w:spacing w:val="-7"/>
        </w:rPr>
        <w:t xml:space="preserve"> </w:t>
      </w:r>
      <w:r w:rsidRPr="007E702F">
        <w:t>sosyalleşmekte,</w:t>
      </w:r>
      <w:r w:rsidRPr="007E702F">
        <w:rPr>
          <w:spacing w:val="-7"/>
        </w:rPr>
        <w:t xml:space="preserve"> </w:t>
      </w:r>
      <w:r w:rsidRPr="007E702F">
        <w:t>bedendeki</w:t>
      </w:r>
      <w:r w:rsidRPr="007E702F">
        <w:rPr>
          <w:spacing w:val="-7"/>
        </w:rPr>
        <w:t xml:space="preserve"> </w:t>
      </w:r>
      <w:r w:rsidRPr="007E702F">
        <w:t>anormallik</w:t>
      </w:r>
      <w:r w:rsidRPr="007E702F">
        <w:rPr>
          <w:spacing w:val="-7"/>
        </w:rPr>
        <w:t xml:space="preserve"> </w:t>
      </w:r>
      <w:r w:rsidRPr="007E702F">
        <w:t>sosyal</w:t>
      </w:r>
      <w:r w:rsidRPr="007E702F">
        <w:rPr>
          <w:spacing w:val="-7"/>
        </w:rPr>
        <w:t xml:space="preserve"> </w:t>
      </w:r>
      <w:r w:rsidRPr="007E702F">
        <w:t>düzendeki</w:t>
      </w:r>
      <w:r w:rsidRPr="007E702F">
        <w:rPr>
          <w:spacing w:val="-7"/>
        </w:rPr>
        <w:t xml:space="preserve"> </w:t>
      </w:r>
      <w:r w:rsidRPr="007E702F">
        <w:t>yansımış</w:t>
      </w:r>
      <w:r w:rsidRPr="007E702F">
        <w:rPr>
          <w:spacing w:val="-7"/>
        </w:rPr>
        <w:t xml:space="preserve"> </w:t>
      </w:r>
      <w:r w:rsidRPr="007E702F">
        <w:t>olan</w:t>
      </w:r>
      <w:r w:rsidRPr="007E702F">
        <w:rPr>
          <w:spacing w:val="-7"/>
        </w:rPr>
        <w:t xml:space="preserve"> </w:t>
      </w:r>
      <w:r w:rsidRPr="007E702F">
        <w:t>anormalliği</w:t>
      </w:r>
      <w:r w:rsidRPr="007E702F">
        <w:rPr>
          <w:spacing w:val="-7"/>
        </w:rPr>
        <w:t xml:space="preserve"> </w:t>
      </w:r>
      <w:r w:rsidRPr="007E702F">
        <w:t>temsil ettiği atfında bulunmaktadır (</w:t>
      </w:r>
      <w:proofErr w:type="spellStart"/>
      <w:r w:rsidRPr="007E702F">
        <w:t>Stiker</w:t>
      </w:r>
      <w:proofErr w:type="spellEnd"/>
      <w:r w:rsidRPr="007E702F">
        <w:t xml:space="preserve"> </w:t>
      </w:r>
      <w:proofErr w:type="gramStart"/>
      <w:r w:rsidRPr="007E702F">
        <w:t>H. -</w:t>
      </w:r>
      <w:proofErr w:type="gramEnd"/>
      <w:r w:rsidRPr="007E702F">
        <w:t>J., 1995: 39-44). Başka bir durum ise her engel türünün doğumdan hemen kısa süre içerisinde anlaşılmıyor olmasını da değerlendirilmesi konusudur. Bu duruma örnek olarak işitme veya konuşma engelli bireyler, zihinsel birtakım anomalilikler ya da büyüme</w:t>
      </w:r>
      <w:r w:rsidRPr="007E702F">
        <w:rPr>
          <w:spacing w:val="-8"/>
        </w:rPr>
        <w:t xml:space="preserve"> </w:t>
      </w:r>
      <w:r w:rsidRPr="007E702F">
        <w:t>geriliği</w:t>
      </w:r>
      <w:r w:rsidRPr="007E702F">
        <w:rPr>
          <w:spacing w:val="-8"/>
        </w:rPr>
        <w:t xml:space="preserve"> </w:t>
      </w:r>
      <w:r w:rsidRPr="007E702F">
        <w:t>mevcut</w:t>
      </w:r>
      <w:r w:rsidRPr="007E702F">
        <w:rPr>
          <w:spacing w:val="-8"/>
        </w:rPr>
        <w:t xml:space="preserve"> </w:t>
      </w:r>
      <w:r w:rsidRPr="007E702F">
        <w:t>olan</w:t>
      </w:r>
      <w:r w:rsidRPr="007E702F">
        <w:rPr>
          <w:spacing w:val="-8"/>
        </w:rPr>
        <w:t xml:space="preserve"> </w:t>
      </w:r>
      <w:r w:rsidRPr="007E702F">
        <w:t>bebeklerin</w:t>
      </w:r>
      <w:r w:rsidRPr="007E702F">
        <w:rPr>
          <w:spacing w:val="-8"/>
        </w:rPr>
        <w:t xml:space="preserve"> </w:t>
      </w:r>
      <w:r w:rsidRPr="007E702F">
        <w:t>önceden</w:t>
      </w:r>
      <w:r w:rsidRPr="007E702F">
        <w:rPr>
          <w:spacing w:val="-8"/>
        </w:rPr>
        <w:t xml:space="preserve"> </w:t>
      </w:r>
      <w:r w:rsidRPr="007E702F">
        <w:t>tespiti</w:t>
      </w:r>
      <w:r w:rsidRPr="007E702F">
        <w:rPr>
          <w:spacing w:val="-8"/>
        </w:rPr>
        <w:t xml:space="preserve"> </w:t>
      </w:r>
      <w:r w:rsidRPr="007E702F">
        <w:t>zor</w:t>
      </w:r>
      <w:r w:rsidRPr="007E702F">
        <w:rPr>
          <w:spacing w:val="-8"/>
        </w:rPr>
        <w:t xml:space="preserve"> </w:t>
      </w:r>
      <w:r w:rsidRPr="007E702F">
        <w:t>halde</w:t>
      </w:r>
      <w:r w:rsidRPr="007E702F">
        <w:rPr>
          <w:spacing w:val="-8"/>
        </w:rPr>
        <w:t xml:space="preserve"> </w:t>
      </w:r>
      <w:r w:rsidRPr="007E702F">
        <w:t>olup,</w:t>
      </w:r>
      <w:r w:rsidRPr="007E702F">
        <w:rPr>
          <w:spacing w:val="-8"/>
        </w:rPr>
        <w:t xml:space="preserve"> </w:t>
      </w:r>
      <w:r w:rsidRPr="007E702F">
        <w:t>büyüme</w:t>
      </w:r>
      <w:r w:rsidRPr="007E702F">
        <w:rPr>
          <w:spacing w:val="-8"/>
        </w:rPr>
        <w:t xml:space="preserve"> </w:t>
      </w:r>
      <w:r w:rsidRPr="007E702F">
        <w:t>sürecinde</w:t>
      </w:r>
      <w:r w:rsidRPr="007E702F">
        <w:rPr>
          <w:spacing w:val="-8"/>
        </w:rPr>
        <w:t xml:space="preserve"> </w:t>
      </w:r>
      <w:r w:rsidRPr="007E702F">
        <w:t>belirgin bir</w:t>
      </w:r>
      <w:r w:rsidRPr="007E702F">
        <w:rPr>
          <w:spacing w:val="-8"/>
        </w:rPr>
        <w:t xml:space="preserve"> </w:t>
      </w:r>
      <w:r w:rsidRPr="007E702F">
        <w:t>engelliliğin</w:t>
      </w:r>
      <w:r w:rsidRPr="007E702F">
        <w:rPr>
          <w:spacing w:val="-8"/>
        </w:rPr>
        <w:t xml:space="preserve"> </w:t>
      </w:r>
      <w:r w:rsidRPr="007E702F">
        <w:t>vuku</w:t>
      </w:r>
      <w:r w:rsidRPr="007E702F">
        <w:rPr>
          <w:spacing w:val="-9"/>
        </w:rPr>
        <w:t xml:space="preserve"> </w:t>
      </w:r>
      <w:r w:rsidRPr="007E702F">
        <w:t>bulmasıyla</w:t>
      </w:r>
      <w:r w:rsidRPr="007E702F">
        <w:rPr>
          <w:spacing w:val="-8"/>
        </w:rPr>
        <w:t xml:space="preserve"> </w:t>
      </w:r>
      <w:r w:rsidRPr="007E702F">
        <w:t>ölüme</w:t>
      </w:r>
      <w:r w:rsidRPr="007E702F">
        <w:rPr>
          <w:spacing w:val="-8"/>
        </w:rPr>
        <w:t xml:space="preserve"> </w:t>
      </w:r>
      <w:r w:rsidRPr="007E702F">
        <w:t>terk</w:t>
      </w:r>
      <w:r w:rsidRPr="007E702F">
        <w:rPr>
          <w:spacing w:val="-9"/>
        </w:rPr>
        <w:t xml:space="preserve"> </w:t>
      </w:r>
      <w:r w:rsidRPr="007E702F">
        <w:t>etmenin</w:t>
      </w:r>
      <w:r w:rsidRPr="007E702F">
        <w:rPr>
          <w:spacing w:val="-8"/>
        </w:rPr>
        <w:t xml:space="preserve"> </w:t>
      </w:r>
      <w:r w:rsidRPr="007E702F">
        <w:t>artık</w:t>
      </w:r>
      <w:r w:rsidRPr="007E702F">
        <w:rPr>
          <w:spacing w:val="-8"/>
        </w:rPr>
        <w:t xml:space="preserve"> </w:t>
      </w:r>
      <w:r w:rsidRPr="007E702F">
        <w:t>mümkün</w:t>
      </w:r>
      <w:r w:rsidRPr="007E702F">
        <w:rPr>
          <w:spacing w:val="-9"/>
        </w:rPr>
        <w:t xml:space="preserve"> </w:t>
      </w:r>
      <w:r w:rsidRPr="007E702F">
        <w:t>olmayacağı</w:t>
      </w:r>
      <w:r w:rsidRPr="007E702F">
        <w:rPr>
          <w:spacing w:val="-8"/>
        </w:rPr>
        <w:t xml:space="preserve"> </w:t>
      </w:r>
      <w:r w:rsidRPr="007E702F">
        <w:t>belli</w:t>
      </w:r>
      <w:r w:rsidRPr="007E702F">
        <w:rPr>
          <w:spacing w:val="-8"/>
        </w:rPr>
        <w:t xml:space="preserve"> </w:t>
      </w:r>
      <w:r w:rsidRPr="007E702F">
        <w:t>bir</w:t>
      </w:r>
      <w:r w:rsidRPr="007E702F">
        <w:rPr>
          <w:spacing w:val="-9"/>
        </w:rPr>
        <w:t xml:space="preserve"> </w:t>
      </w:r>
      <w:r w:rsidRPr="007E702F">
        <w:t>yaşa</w:t>
      </w:r>
      <w:r w:rsidRPr="007E702F">
        <w:rPr>
          <w:spacing w:val="-8"/>
        </w:rPr>
        <w:t xml:space="preserve"> </w:t>
      </w:r>
      <w:r w:rsidRPr="007E702F">
        <w:t>kadar ki süreçten sonra tanısının tespitiyle birlikte, bu bebeklerin engel derecelerine bağlı olarak belirsizlik durumu mevcut olduğu ön plana çıkmaktadır (</w:t>
      </w:r>
      <w:proofErr w:type="spellStart"/>
      <w:r w:rsidRPr="007E702F">
        <w:t>Garland</w:t>
      </w:r>
      <w:proofErr w:type="spellEnd"/>
      <w:r w:rsidRPr="007E702F">
        <w:t>, 1995: 15.).</w:t>
      </w:r>
    </w:p>
    <w:p w14:paraId="5303A829" w14:textId="77777777" w:rsidR="007E702F" w:rsidRPr="007E702F" w:rsidRDefault="007E702F" w:rsidP="00316176">
      <w:pPr>
        <w:pStyle w:val="GvdeMetni"/>
      </w:pPr>
    </w:p>
    <w:p w14:paraId="4E571951" w14:textId="77777777" w:rsidR="007E702F" w:rsidRPr="007E702F" w:rsidRDefault="007E702F" w:rsidP="00316176">
      <w:pPr>
        <w:pStyle w:val="GvdeMetni"/>
        <w:ind w:right="337"/>
        <w:jc w:val="both"/>
      </w:pPr>
      <w:r w:rsidRPr="007E702F">
        <w:t>Antik</w:t>
      </w:r>
      <w:r w:rsidRPr="007E702F">
        <w:rPr>
          <w:spacing w:val="-14"/>
        </w:rPr>
        <w:t xml:space="preserve"> </w:t>
      </w:r>
      <w:r w:rsidRPr="007E702F">
        <w:t>Yunan</w:t>
      </w:r>
      <w:r w:rsidRPr="007E702F">
        <w:rPr>
          <w:spacing w:val="-14"/>
        </w:rPr>
        <w:t xml:space="preserve"> </w:t>
      </w:r>
      <w:r w:rsidRPr="007E702F">
        <w:t>döneminin</w:t>
      </w:r>
      <w:r w:rsidRPr="007E702F">
        <w:rPr>
          <w:spacing w:val="-14"/>
        </w:rPr>
        <w:t xml:space="preserve"> </w:t>
      </w:r>
      <w:r w:rsidRPr="007E702F">
        <w:t>en</w:t>
      </w:r>
      <w:r w:rsidRPr="007E702F">
        <w:rPr>
          <w:spacing w:val="-14"/>
        </w:rPr>
        <w:t xml:space="preserve"> </w:t>
      </w:r>
      <w:r w:rsidRPr="007E702F">
        <w:t>belirgin</w:t>
      </w:r>
      <w:r w:rsidRPr="007E702F">
        <w:rPr>
          <w:spacing w:val="-14"/>
        </w:rPr>
        <w:t xml:space="preserve"> </w:t>
      </w:r>
      <w:r w:rsidRPr="007E702F">
        <w:t>özellikleri</w:t>
      </w:r>
      <w:r w:rsidRPr="007E702F">
        <w:rPr>
          <w:spacing w:val="-14"/>
        </w:rPr>
        <w:t xml:space="preserve"> </w:t>
      </w:r>
      <w:r w:rsidRPr="007E702F">
        <w:t>insan</w:t>
      </w:r>
      <w:r w:rsidRPr="007E702F">
        <w:rPr>
          <w:spacing w:val="-14"/>
        </w:rPr>
        <w:t xml:space="preserve"> </w:t>
      </w:r>
      <w:r w:rsidRPr="007E702F">
        <w:t>ömrünün</w:t>
      </w:r>
      <w:r w:rsidRPr="007E702F">
        <w:rPr>
          <w:spacing w:val="-14"/>
        </w:rPr>
        <w:t xml:space="preserve"> </w:t>
      </w:r>
      <w:r w:rsidRPr="007E702F">
        <w:t>kısa</w:t>
      </w:r>
      <w:r w:rsidRPr="007E702F">
        <w:rPr>
          <w:spacing w:val="-14"/>
        </w:rPr>
        <w:t xml:space="preserve"> </w:t>
      </w:r>
      <w:r w:rsidRPr="007E702F">
        <w:t>oluşu</w:t>
      </w:r>
      <w:r w:rsidRPr="007E702F">
        <w:rPr>
          <w:spacing w:val="-14"/>
        </w:rPr>
        <w:t xml:space="preserve"> </w:t>
      </w:r>
      <w:r w:rsidRPr="007E702F">
        <w:t>ve</w:t>
      </w:r>
      <w:r w:rsidRPr="007E702F">
        <w:rPr>
          <w:spacing w:val="-14"/>
        </w:rPr>
        <w:t xml:space="preserve"> </w:t>
      </w:r>
      <w:r w:rsidRPr="007E702F">
        <w:t>yaşam</w:t>
      </w:r>
      <w:r w:rsidRPr="007E702F">
        <w:rPr>
          <w:spacing w:val="-14"/>
        </w:rPr>
        <w:t xml:space="preserve"> </w:t>
      </w:r>
      <w:r w:rsidRPr="007E702F">
        <w:t>şartlarının</w:t>
      </w:r>
      <w:r w:rsidRPr="007E702F">
        <w:rPr>
          <w:spacing w:val="-14"/>
        </w:rPr>
        <w:t xml:space="preserve"> </w:t>
      </w:r>
      <w:r w:rsidRPr="007E702F">
        <w:t>vahşi ve çok gelişmemiş olması açısından genellikle yaşam süreleri 37 ila 44 yıl olarak kaynaklara geçirildiği görülmektedir. Bu bağlamda toplum açısından en ayrıcalıklı grup olarak görülen zümreler arasında özgür, varlıklı ve sağlıklı erkekler olarak karşımıza çıkmaktadır. Fakat o dönemde yine nüfusun çoğunluğu bu kategori içerisinde yer almamaktadır. Bu döneme yansıyan diğer faktörler arasında yine bulaşıcı hastalıklar, savaşlar, doğum öncesinde yetersiz bakım ve yetersiz şekilde beslenme gıda yoksunluğu, temiz su kaynaklarının kıtlığı vb. çeşitli temel yaşam noksanlıkları nedeniyle engellilik hali toplum içerisinde hayli yaygın rastlanan bir durum halini almaktaydı. Hatta ufak tefek basit yaralanmalarda dahi, tıbbi yetersizliklerden ve materyallerin kıtlığı sebebiyle ve toplumun bu olanaklara erişemeyecek kadar yoksul olmasından kaynaklı nüfusunda git gide engelli hale gelmesine yol açan en etkin faktörlerin başında geliyor olduğu görülmektedir (</w:t>
      </w:r>
      <w:proofErr w:type="spellStart"/>
      <w:r w:rsidRPr="007E702F">
        <w:t>Braddock</w:t>
      </w:r>
      <w:proofErr w:type="spellEnd"/>
      <w:proofErr w:type="gramStart"/>
      <w:r w:rsidRPr="007E702F">
        <w:t>, ,</w:t>
      </w:r>
      <w:proofErr w:type="gramEnd"/>
      <w:r w:rsidRPr="007E702F">
        <w:t xml:space="preserve"> 2002. 5.). </w:t>
      </w:r>
      <w:proofErr w:type="spellStart"/>
      <w:r w:rsidRPr="007E702F">
        <w:t>Rimmerman'a</w:t>
      </w:r>
      <w:proofErr w:type="spellEnd"/>
      <w:r w:rsidRPr="007E702F">
        <w:t xml:space="preserve"> göre bu dönemde bir bireyin yetişkinlik evresinde</w:t>
      </w:r>
      <w:r w:rsidRPr="007E702F">
        <w:rPr>
          <w:spacing w:val="-2"/>
        </w:rPr>
        <w:t xml:space="preserve"> </w:t>
      </w:r>
      <w:r w:rsidRPr="007E702F">
        <w:t>engellilik</w:t>
      </w:r>
      <w:r w:rsidRPr="007E702F">
        <w:rPr>
          <w:spacing w:val="-2"/>
        </w:rPr>
        <w:t xml:space="preserve"> </w:t>
      </w:r>
      <w:r w:rsidRPr="007E702F">
        <w:t>haliyle</w:t>
      </w:r>
      <w:r w:rsidRPr="007E702F">
        <w:rPr>
          <w:spacing w:val="-1"/>
        </w:rPr>
        <w:t xml:space="preserve"> </w:t>
      </w:r>
      <w:r w:rsidRPr="007E702F">
        <w:t>karşılaşması</w:t>
      </w:r>
      <w:r w:rsidRPr="007E702F">
        <w:rPr>
          <w:spacing w:val="-2"/>
        </w:rPr>
        <w:t xml:space="preserve"> </w:t>
      </w:r>
      <w:r w:rsidRPr="007E702F">
        <w:t>iki</w:t>
      </w:r>
      <w:r w:rsidRPr="007E702F">
        <w:rPr>
          <w:spacing w:val="-1"/>
        </w:rPr>
        <w:t xml:space="preserve"> </w:t>
      </w:r>
      <w:r w:rsidRPr="007E702F">
        <w:t>farklı</w:t>
      </w:r>
      <w:r w:rsidRPr="007E702F">
        <w:rPr>
          <w:spacing w:val="-2"/>
        </w:rPr>
        <w:t xml:space="preserve"> </w:t>
      </w:r>
      <w:r w:rsidRPr="007E702F">
        <w:t>nedenle</w:t>
      </w:r>
      <w:r w:rsidRPr="007E702F">
        <w:rPr>
          <w:spacing w:val="-1"/>
        </w:rPr>
        <w:t xml:space="preserve"> </w:t>
      </w:r>
      <w:r w:rsidRPr="007E702F">
        <w:t>vuku</w:t>
      </w:r>
      <w:r w:rsidRPr="007E702F">
        <w:rPr>
          <w:spacing w:val="-2"/>
        </w:rPr>
        <w:t xml:space="preserve"> </w:t>
      </w:r>
      <w:r w:rsidRPr="007E702F">
        <w:t>bulduğu</w:t>
      </w:r>
      <w:r w:rsidRPr="007E702F">
        <w:rPr>
          <w:spacing w:val="-1"/>
        </w:rPr>
        <w:t xml:space="preserve"> </w:t>
      </w:r>
      <w:r w:rsidRPr="007E702F">
        <w:t>kanısına</w:t>
      </w:r>
      <w:r w:rsidRPr="007E702F">
        <w:rPr>
          <w:spacing w:val="-2"/>
        </w:rPr>
        <w:t xml:space="preserve"> </w:t>
      </w:r>
      <w:r w:rsidRPr="007E702F">
        <w:t>varmaktadır.</w:t>
      </w:r>
      <w:r w:rsidRPr="007E702F">
        <w:rPr>
          <w:spacing w:val="-1"/>
        </w:rPr>
        <w:t xml:space="preserve"> </w:t>
      </w:r>
      <w:r w:rsidRPr="007E702F">
        <w:rPr>
          <w:spacing w:val="-5"/>
        </w:rPr>
        <w:t>İlk</w:t>
      </w:r>
    </w:p>
    <w:p w14:paraId="7E730BE4"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1E9C375F" w14:textId="77777777" w:rsidR="007E702F" w:rsidRPr="007E702F" w:rsidRDefault="007E702F" w:rsidP="00316176">
      <w:pPr>
        <w:pStyle w:val="GvdeMetni"/>
        <w:ind w:right="337"/>
        <w:jc w:val="both"/>
      </w:pPr>
      <w:proofErr w:type="gramStart"/>
      <w:r w:rsidRPr="007E702F">
        <w:t>engellilikle</w:t>
      </w:r>
      <w:proofErr w:type="gramEnd"/>
      <w:r w:rsidRPr="007E702F">
        <w:t xml:space="preserve"> tanışma kanısı, engelliliğin Tanrının vermiş olduğu “ceza” düşüncesinden doğan engellilik halinin kişiye atanmasıdır. Yunan mitolojisinde rastladığımız örnekte Athena'yı yıkanırken görmüş olduğu için kör olduğu rivayet edilen </w:t>
      </w:r>
      <w:proofErr w:type="spellStart"/>
      <w:r w:rsidRPr="007E702F">
        <w:t>Teiresias</w:t>
      </w:r>
      <w:proofErr w:type="spellEnd"/>
      <w:r w:rsidRPr="007E702F">
        <w:t xml:space="preserve"> örneğinden yola çıkılarak, engelliliğin bir ceza olarak tasvir ediliyor olması göz önüne çıkmaktadır. Bu bağlamda engelli bireyler açısından hayatları kaza, ihmal, istismar gibi çeşitli tehlike ve tehditlerle dolu olduğu görülmektedir. Tabi ki buna zemin hazırlayan nedenlerin ve şartların zorluğu ve bilgi yetersizliğinin etkisiyle bu tarz vakaların ortaya çıkarılması da oldukça güç hale gelmektedir (</w:t>
      </w:r>
      <w:proofErr w:type="spellStart"/>
      <w:r w:rsidRPr="007E702F">
        <w:t>Rimmerman</w:t>
      </w:r>
      <w:proofErr w:type="spellEnd"/>
      <w:proofErr w:type="gramStart"/>
      <w:r w:rsidRPr="007E702F">
        <w:t>, ,</w:t>
      </w:r>
      <w:proofErr w:type="gramEnd"/>
      <w:r w:rsidRPr="007E702F">
        <w:t xml:space="preserve"> 2013: 13.). Buna ek olarak aslında engelli bireylerin bu </w:t>
      </w:r>
      <w:r w:rsidRPr="007E702F">
        <w:lastRenderedPageBreak/>
        <w:t xml:space="preserve">dönem açısından “günah keçisi” olarak seçilmiş olup, bir kurban seçilir gibi ve kurumsallaştırılmış, toplum </w:t>
      </w:r>
      <w:proofErr w:type="spellStart"/>
      <w:r w:rsidRPr="007E702F">
        <w:t>nezlinde</w:t>
      </w:r>
      <w:proofErr w:type="spellEnd"/>
      <w:r w:rsidRPr="007E702F">
        <w:t xml:space="preserve"> kuşatılırmış olduğu dönemin mevcut kronikleşen sıkıntılarının bu kişiler bir zaman sonra affedilerek</w:t>
      </w:r>
      <w:r w:rsidRPr="007E702F">
        <w:rPr>
          <w:spacing w:val="-15"/>
        </w:rPr>
        <w:t xml:space="preserve"> </w:t>
      </w:r>
      <w:r w:rsidRPr="007E702F">
        <w:t>fiziksel</w:t>
      </w:r>
      <w:r w:rsidRPr="007E702F">
        <w:rPr>
          <w:spacing w:val="-15"/>
        </w:rPr>
        <w:t xml:space="preserve"> </w:t>
      </w:r>
      <w:r w:rsidRPr="007E702F">
        <w:t>zulüm</w:t>
      </w:r>
      <w:r w:rsidRPr="007E702F">
        <w:rPr>
          <w:spacing w:val="-15"/>
        </w:rPr>
        <w:t xml:space="preserve"> </w:t>
      </w:r>
      <w:r w:rsidRPr="007E702F">
        <w:t>ve</w:t>
      </w:r>
      <w:r w:rsidRPr="007E702F">
        <w:rPr>
          <w:spacing w:val="-15"/>
        </w:rPr>
        <w:t xml:space="preserve"> </w:t>
      </w:r>
      <w:r w:rsidRPr="007E702F">
        <w:t>daha</w:t>
      </w:r>
      <w:r w:rsidRPr="007E702F">
        <w:rPr>
          <w:spacing w:val="-15"/>
        </w:rPr>
        <w:t xml:space="preserve"> </w:t>
      </w:r>
      <w:r w:rsidRPr="007E702F">
        <w:t>az</w:t>
      </w:r>
      <w:r w:rsidRPr="007E702F">
        <w:rPr>
          <w:spacing w:val="-15"/>
        </w:rPr>
        <w:t xml:space="preserve"> </w:t>
      </w:r>
      <w:r w:rsidRPr="007E702F">
        <w:t>yaygın</w:t>
      </w:r>
      <w:r w:rsidRPr="007E702F">
        <w:rPr>
          <w:spacing w:val="-15"/>
        </w:rPr>
        <w:t xml:space="preserve"> </w:t>
      </w:r>
      <w:r w:rsidRPr="007E702F">
        <w:t>olarak</w:t>
      </w:r>
      <w:r w:rsidRPr="007E702F">
        <w:rPr>
          <w:spacing w:val="-15"/>
        </w:rPr>
        <w:t xml:space="preserve"> </w:t>
      </w:r>
      <w:r w:rsidRPr="007E702F">
        <w:t>görülmüş</w:t>
      </w:r>
      <w:r w:rsidRPr="007E702F">
        <w:rPr>
          <w:spacing w:val="-15"/>
        </w:rPr>
        <w:t xml:space="preserve"> </w:t>
      </w:r>
      <w:r w:rsidRPr="007E702F">
        <w:t>olsa</w:t>
      </w:r>
      <w:r w:rsidRPr="007E702F">
        <w:rPr>
          <w:spacing w:val="-15"/>
        </w:rPr>
        <w:t xml:space="preserve"> </w:t>
      </w:r>
      <w:r w:rsidRPr="007E702F">
        <w:t>da</w:t>
      </w:r>
      <w:r w:rsidRPr="007E702F">
        <w:rPr>
          <w:spacing w:val="-15"/>
        </w:rPr>
        <w:t xml:space="preserve"> </w:t>
      </w:r>
      <w:r w:rsidRPr="007E702F">
        <w:t>yaşamış</w:t>
      </w:r>
      <w:r w:rsidRPr="007E702F">
        <w:rPr>
          <w:spacing w:val="-15"/>
        </w:rPr>
        <w:t xml:space="preserve"> </w:t>
      </w:r>
      <w:r w:rsidRPr="007E702F">
        <w:t>oldukları</w:t>
      </w:r>
      <w:r w:rsidRPr="007E702F">
        <w:rPr>
          <w:spacing w:val="-15"/>
        </w:rPr>
        <w:t xml:space="preserve"> </w:t>
      </w:r>
      <w:r w:rsidRPr="007E702F">
        <w:t>bölgelerden sınır dışı edilme ya da idam etme söz konu uygulamalar arasında da yer aldığı görülmektedir (</w:t>
      </w:r>
      <w:proofErr w:type="spellStart"/>
      <w:r w:rsidRPr="007E702F">
        <w:t>Garland</w:t>
      </w:r>
      <w:proofErr w:type="spellEnd"/>
      <w:r w:rsidRPr="007E702F">
        <w:t>,</w:t>
      </w:r>
      <w:r w:rsidRPr="007E702F">
        <w:rPr>
          <w:spacing w:val="-3"/>
        </w:rPr>
        <w:t xml:space="preserve"> </w:t>
      </w:r>
      <w:r w:rsidRPr="007E702F">
        <w:t>1995:</w:t>
      </w:r>
      <w:r w:rsidRPr="007E702F">
        <w:rPr>
          <w:spacing w:val="-3"/>
        </w:rPr>
        <w:t xml:space="preserve"> </w:t>
      </w:r>
      <w:r w:rsidRPr="007E702F">
        <w:t>18-22).</w:t>
      </w:r>
      <w:r w:rsidRPr="007E702F">
        <w:rPr>
          <w:spacing w:val="-3"/>
        </w:rPr>
        <w:t xml:space="preserve"> </w:t>
      </w:r>
      <w:r w:rsidRPr="007E702F">
        <w:t>O</w:t>
      </w:r>
      <w:r w:rsidRPr="007E702F">
        <w:rPr>
          <w:spacing w:val="-3"/>
        </w:rPr>
        <w:t xml:space="preserve"> </w:t>
      </w:r>
      <w:r w:rsidRPr="007E702F">
        <w:t>dönemde</w:t>
      </w:r>
      <w:r w:rsidRPr="007E702F">
        <w:rPr>
          <w:spacing w:val="-3"/>
        </w:rPr>
        <w:t xml:space="preserve"> </w:t>
      </w:r>
      <w:r w:rsidRPr="007E702F">
        <w:t>engelli</w:t>
      </w:r>
      <w:r w:rsidRPr="007E702F">
        <w:rPr>
          <w:spacing w:val="-3"/>
        </w:rPr>
        <w:t xml:space="preserve"> </w:t>
      </w:r>
      <w:r w:rsidRPr="007E702F">
        <w:t>bireyler</w:t>
      </w:r>
      <w:r w:rsidRPr="007E702F">
        <w:rPr>
          <w:spacing w:val="-3"/>
        </w:rPr>
        <w:t xml:space="preserve"> </w:t>
      </w:r>
      <w:r w:rsidRPr="007E702F">
        <w:t>aynı</w:t>
      </w:r>
      <w:r w:rsidRPr="007E702F">
        <w:rPr>
          <w:spacing w:val="-3"/>
        </w:rPr>
        <w:t xml:space="preserve"> </w:t>
      </w:r>
      <w:r w:rsidRPr="007E702F">
        <w:t>zamanda</w:t>
      </w:r>
      <w:r w:rsidRPr="007E702F">
        <w:rPr>
          <w:spacing w:val="-3"/>
        </w:rPr>
        <w:t xml:space="preserve"> </w:t>
      </w:r>
      <w:r w:rsidRPr="007E702F">
        <w:t>spor</w:t>
      </w:r>
      <w:r w:rsidRPr="007E702F">
        <w:rPr>
          <w:spacing w:val="-3"/>
        </w:rPr>
        <w:t xml:space="preserve"> </w:t>
      </w:r>
      <w:r w:rsidRPr="007E702F">
        <w:t>ve</w:t>
      </w:r>
      <w:r w:rsidRPr="007E702F">
        <w:rPr>
          <w:spacing w:val="-3"/>
        </w:rPr>
        <w:t xml:space="preserve"> </w:t>
      </w:r>
      <w:r w:rsidRPr="007E702F">
        <w:t>sanat</w:t>
      </w:r>
      <w:r w:rsidRPr="007E702F">
        <w:rPr>
          <w:spacing w:val="-3"/>
        </w:rPr>
        <w:t xml:space="preserve"> </w:t>
      </w:r>
      <w:r w:rsidRPr="007E702F">
        <w:t>gibi</w:t>
      </w:r>
      <w:r w:rsidRPr="007E702F">
        <w:rPr>
          <w:spacing w:val="-3"/>
        </w:rPr>
        <w:t xml:space="preserve"> </w:t>
      </w:r>
      <w:r w:rsidRPr="007E702F">
        <w:t>çeşitli</w:t>
      </w:r>
      <w:r w:rsidRPr="007E702F">
        <w:rPr>
          <w:spacing w:val="-3"/>
        </w:rPr>
        <w:t xml:space="preserve"> </w:t>
      </w:r>
      <w:r w:rsidRPr="007E702F">
        <w:t>sosyal etkinliklerin içerisinde alay konusu ve eğlence unsuru haline geldiği görülmektedir. Hali hazırda diğer taraftan tabi ki engelliliğe olağanüstü anlamlarında yüklenmiş olduğu ilerleyen tarih süreçlerinde</w:t>
      </w:r>
      <w:r w:rsidRPr="007E702F">
        <w:rPr>
          <w:spacing w:val="-11"/>
        </w:rPr>
        <w:t xml:space="preserve"> </w:t>
      </w:r>
      <w:r w:rsidRPr="007E702F">
        <w:t>rastlanılmaktadır.</w:t>
      </w:r>
      <w:r w:rsidRPr="007E702F">
        <w:rPr>
          <w:spacing w:val="-11"/>
        </w:rPr>
        <w:t xml:space="preserve"> </w:t>
      </w:r>
      <w:r w:rsidRPr="007E702F">
        <w:t>Bu</w:t>
      </w:r>
      <w:r w:rsidRPr="007E702F">
        <w:rPr>
          <w:spacing w:val="-11"/>
        </w:rPr>
        <w:t xml:space="preserve"> </w:t>
      </w:r>
      <w:r w:rsidRPr="007E702F">
        <w:t>duruma</w:t>
      </w:r>
      <w:r w:rsidRPr="007E702F">
        <w:rPr>
          <w:spacing w:val="-11"/>
        </w:rPr>
        <w:t xml:space="preserve"> </w:t>
      </w:r>
      <w:r w:rsidRPr="007E702F">
        <w:t>en</w:t>
      </w:r>
      <w:r w:rsidRPr="007E702F">
        <w:rPr>
          <w:spacing w:val="-11"/>
        </w:rPr>
        <w:t xml:space="preserve"> </w:t>
      </w:r>
      <w:r w:rsidRPr="007E702F">
        <w:t>iyi</w:t>
      </w:r>
      <w:r w:rsidRPr="007E702F">
        <w:rPr>
          <w:spacing w:val="-11"/>
        </w:rPr>
        <w:t xml:space="preserve"> </w:t>
      </w:r>
      <w:r w:rsidRPr="007E702F">
        <w:t>örnek</w:t>
      </w:r>
      <w:r w:rsidRPr="007E702F">
        <w:rPr>
          <w:spacing w:val="-11"/>
        </w:rPr>
        <w:t xml:space="preserve"> </w:t>
      </w:r>
      <w:r w:rsidRPr="007E702F">
        <w:t>olarak</w:t>
      </w:r>
      <w:r w:rsidRPr="007E702F">
        <w:rPr>
          <w:spacing w:val="-11"/>
        </w:rPr>
        <w:t xml:space="preserve"> </w:t>
      </w:r>
      <w:r w:rsidRPr="007E702F">
        <w:t>görme</w:t>
      </w:r>
      <w:r w:rsidRPr="007E702F">
        <w:rPr>
          <w:spacing w:val="-11"/>
        </w:rPr>
        <w:t xml:space="preserve"> </w:t>
      </w:r>
      <w:r w:rsidRPr="007E702F">
        <w:t>engeline</w:t>
      </w:r>
      <w:r w:rsidRPr="007E702F">
        <w:rPr>
          <w:spacing w:val="-11"/>
        </w:rPr>
        <w:t xml:space="preserve"> </w:t>
      </w:r>
      <w:r w:rsidRPr="007E702F">
        <w:t>sahip</w:t>
      </w:r>
      <w:r w:rsidRPr="007E702F">
        <w:rPr>
          <w:spacing w:val="-11"/>
        </w:rPr>
        <w:t xml:space="preserve"> </w:t>
      </w:r>
      <w:r w:rsidRPr="007E702F">
        <w:t>olan</w:t>
      </w:r>
      <w:r w:rsidRPr="007E702F">
        <w:rPr>
          <w:spacing w:val="-11"/>
        </w:rPr>
        <w:t xml:space="preserve"> </w:t>
      </w:r>
      <w:r w:rsidRPr="007E702F">
        <w:t>bireylerin duyusal algı ve içgörü geliştirebileceklerine inanılmış, nesnelerle meşgul olmadıklarından dolayı hafızalarının daha gelişmiş olduğu düşünülüyor olmaktadır (</w:t>
      </w:r>
      <w:proofErr w:type="spellStart"/>
      <w:r w:rsidRPr="007E702F">
        <w:t>Rimmerman</w:t>
      </w:r>
      <w:proofErr w:type="spellEnd"/>
      <w:r w:rsidRPr="007E702F">
        <w:t>, 2013: 14). Aynı zamanda o dönemde savaşın etkilerinin bireyleri engelli hale getirdiği ve yaşamlarını sürdürebilmeleri için yardım ediliyor olması ve bu kişilerin farklı meslek mensupları oldukları da bilinmektedir (</w:t>
      </w:r>
      <w:proofErr w:type="spellStart"/>
      <w:r w:rsidRPr="007E702F">
        <w:t>Braddock</w:t>
      </w:r>
      <w:proofErr w:type="spellEnd"/>
      <w:r w:rsidRPr="007E702F">
        <w:t>, 2002: 8 -12).</w:t>
      </w:r>
    </w:p>
    <w:p w14:paraId="6A04EFA1" w14:textId="77777777" w:rsidR="007E702F" w:rsidRPr="007E702F" w:rsidRDefault="007E702F" w:rsidP="00316176">
      <w:pPr>
        <w:pStyle w:val="GvdeMetni"/>
      </w:pPr>
    </w:p>
    <w:p w14:paraId="5A69F590" w14:textId="77777777" w:rsidR="007E702F" w:rsidRPr="007E702F" w:rsidRDefault="007E702F" w:rsidP="00316176">
      <w:pPr>
        <w:pStyle w:val="GvdeMetni"/>
        <w:ind w:right="337"/>
        <w:jc w:val="both"/>
      </w:pPr>
      <w:r w:rsidRPr="007E702F">
        <w:t xml:space="preserve">Roma döneminde ise engellilik olgusu </w:t>
      </w:r>
      <w:proofErr w:type="spellStart"/>
      <w:r w:rsidRPr="007E702F">
        <w:t>çerçevesel</w:t>
      </w:r>
      <w:proofErr w:type="spellEnd"/>
      <w:r w:rsidRPr="007E702F">
        <w:t xml:space="preserve"> manada daha görünür hale geldiği görünmektedir. Roma dönemi içinde sosyal dışlanma ve engellilerin marjinalleştirilmesi hususunda</w:t>
      </w:r>
      <w:r w:rsidRPr="007E702F">
        <w:rPr>
          <w:spacing w:val="-12"/>
        </w:rPr>
        <w:t xml:space="preserve"> </w:t>
      </w:r>
      <w:r w:rsidRPr="007E702F">
        <w:t>öncülük</w:t>
      </w:r>
      <w:r w:rsidRPr="007E702F">
        <w:rPr>
          <w:spacing w:val="-12"/>
        </w:rPr>
        <w:t xml:space="preserve"> </w:t>
      </w:r>
      <w:r w:rsidRPr="007E702F">
        <w:t>eden</w:t>
      </w:r>
      <w:r w:rsidRPr="007E702F">
        <w:rPr>
          <w:spacing w:val="-12"/>
        </w:rPr>
        <w:t xml:space="preserve"> </w:t>
      </w:r>
      <w:r w:rsidRPr="007E702F">
        <w:t>Antik</w:t>
      </w:r>
      <w:r w:rsidRPr="007E702F">
        <w:rPr>
          <w:spacing w:val="-12"/>
        </w:rPr>
        <w:t xml:space="preserve"> </w:t>
      </w:r>
      <w:r w:rsidRPr="007E702F">
        <w:t>Yunan'dan</w:t>
      </w:r>
      <w:r w:rsidRPr="007E702F">
        <w:rPr>
          <w:spacing w:val="-12"/>
        </w:rPr>
        <w:t xml:space="preserve"> </w:t>
      </w:r>
      <w:r w:rsidRPr="007E702F">
        <w:t>çok</w:t>
      </w:r>
      <w:r w:rsidRPr="007E702F">
        <w:rPr>
          <w:spacing w:val="-12"/>
        </w:rPr>
        <w:t xml:space="preserve"> </w:t>
      </w:r>
      <w:r w:rsidRPr="007E702F">
        <w:t>bir</w:t>
      </w:r>
      <w:r w:rsidRPr="007E702F">
        <w:rPr>
          <w:spacing w:val="-12"/>
        </w:rPr>
        <w:t xml:space="preserve"> </w:t>
      </w:r>
      <w:r w:rsidRPr="007E702F">
        <w:t>ilerleyiş</w:t>
      </w:r>
      <w:r w:rsidRPr="007E702F">
        <w:rPr>
          <w:spacing w:val="-12"/>
        </w:rPr>
        <w:t xml:space="preserve"> </w:t>
      </w:r>
      <w:r w:rsidRPr="007E702F">
        <w:t>olmasa</w:t>
      </w:r>
      <w:r w:rsidRPr="007E702F">
        <w:rPr>
          <w:spacing w:val="-12"/>
        </w:rPr>
        <w:t xml:space="preserve"> </w:t>
      </w:r>
      <w:r w:rsidRPr="007E702F">
        <w:t>da</w:t>
      </w:r>
      <w:r w:rsidRPr="007E702F">
        <w:rPr>
          <w:spacing w:val="-12"/>
        </w:rPr>
        <w:t xml:space="preserve"> </w:t>
      </w:r>
      <w:r w:rsidRPr="007E702F">
        <w:t>engelli</w:t>
      </w:r>
      <w:r w:rsidRPr="007E702F">
        <w:rPr>
          <w:spacing w:val="-12"/>
        </w:rPr>
        <w:t xml:space="preserve"> </w:t>
      </w:r>
      <w:r w:rsidRPr="007E702F">
        <w:t>bireylere</w:t>
      </w:r>
      <w:r w:rsidRPr="007E702F">
        <w:rPr>
          <w:spacing w:val="-12"/>
        </w:rPr>
        <w:t xml:space="preserve"> </w:t>
      </w:r>
      <w:r w:rsidRPr="007E702F">
        <w:t>bu</w:t>
      </w:r>
      <w:r w:rsidRPr="007E702F">
        <w:rPr>
          <w:spacing w:val="-12"/>
        </w:rPr>
        <w:t xml:space="preserve"> </w:t>
      </w:r>
      <w:r w:rsidRPr="007E702F">
        <w:t xml:space="preserve">dönemde yasal destek ilk kez sağlanmaya başlanılmış olduğu görülmektedir. Roma döneminde ön plana çıkan </w:t>
      </w:r>
      <w:proofErr w:type="spellStart"/>
      <w:r w:rsidRPr="007E702F">
        <w:t>Justinian</w:t>
      </w:r>
      <w:proofErr w:type="spellEnd"/>
      <w:r w:rsidRPr="007E702F">
        <w:t xml:space="preserve"> Yasası engelli bireyler açısından, engellilik hallerinin ciddiyeti hususuna dayalı olarak sınıflandırmış olup belirli düzeydeki sunulmuş olan haklarını da sıralamış olduğu görülmektedir.</w:t>
      </w:r>
      <w:r w:rsidRPr="007E702F">
        <w:rPr>
          <w:spacing w:val="-6"/>
        </w:rPr>
        <w:t xml:space="preserve"> </w:t>
      </w:r>
      <w:r w:rsidRPr="007E702F">
        <w:t>Bu</w:t>
      </w:r>
      <w:r w:rsidRPr="007E702F">
        <w:rPr>
          <w:spacing w:val="-6"/>
        </w:rPr>
        <w:t xml:space="preserve"> </w:t>
      </w:r>
      <w:r w:rsidRPr="007E702F">
        <w:t>yasanın</w:t>
      </w:r>
      <w:r w:rsidRPr="007E702F">
        <w:rPr>
          <w:spacing w:val="-6"/>
        </w:rPr>
        <w:t xml:space="preserve"> </w:t>
      </w:r>
      <w:r w:rsidRPr="007E702F">
        <w:t>geçerliliği,</w:t>
      </w:r>
      <w:r w:rsidRPr="007E702F">
        <w:rPr>
          <w:spacing w:val="-6"/>
        </w:rPr>
        <w:t xml:space="preserve"> </w:t>
      </w:r>
      <w:r w:rsidRPr="007E702F">
        <w:t>altıncı</w:t>
      </w:r>
      <w:r w:rsidRPr="007E702F">
        <w:rPr>
          <w:spacing w:val="-6"/>
        </w:rPr>
        <w:t xml:space="preserve"> </w:t>
      </w:r>
      <w:r w:rsidRPr="007E702F">
        <w:t>yüzyıldan,</w:t>
      </w:r>
      <w:r w:rsidRPr="007E702F">
        <w:rPr>
          <w:spacing w:val="-6"/>
        </w:rPr>
        <w:t xml:space="preserve"> </w:t>
      </w:r>
      <w:r w:rsidRPr="007E702F">
        <w:t>18.</w:t>
      </w:r>
      <w:r w:rsidRPr="007E702F">
        <w:rPr>
          <w:spacing w:val="-6"/>
        </w:rPr>
        <w:t xml:space="preserve"> </w:t>
      </w:r>
      <w:r w:rsidRPr="007E702F">
        <w:t>Yüzyıla</w:t>
      </w:r>
      <w:r w:rsidRPr="007E702F">
        <w:rPr>
          <w:spacing w:val="-6"/>
        </w:rPr>
        <w:t xml:space="preserve"> </w:t>
      </w:r>
      <w:r w:rsidRPr="007E702F">
        <w:t>kadar</w:t>
      </w:r>
      <w:r w:rsidRPr="007E702F">
        <w:rPr>
          <w:spacing w:val="-6"/>
        </w:rPr>
        <w:t xml:space="preserve"> </w:t>
      </w:r>
      <w:r w:rsidRPr="007E702F">
        <w:t>çoğu</w:t>
      </w:r>
      <w:r w:rsidRPr="007E702F">
        <w:rPr>
          <w:spacing w:val="-6"/>
        </w:rPr>
        <w:t xml:space="preserve"> </w:t>
      </w:r>
      <w:r w:rsidRPr="007E702F">
        <w:t>Avrupa</w:t>
      </w:r>
      <w:r w:rsidRPr="007E702F">
        <w:rPr>
          <w:spacing w:val="-6"/>
        </w:rPr>
        <w:t xml:space="preserve"> </w:t>
      </w:r>
      <w:r w:rsidRPr="007E702F">
        <w:t>ülkesinde hukukun altyapısını desteklediği görülmektedir. Kaynaklarda Roma döneminde de bebeklerin ölüme terk etme uygulamalarının zorunluluktan devam ettiğine dair atıflaralar yer verilirken, aslında</w:t>
      </w:r>
      <w:r w:rsidRPr="007E702F">
        <w:rPr>
          <w:spacing w:val="-10"/>
        </w:rPr>
        <w:t xml:space="preserve"> </w:t>
      </w:r>
      <w:r w:rsidRPr="007E702F">
        <w:t>bu</w:t>
      </w:r>
      <w:r w:rsidRPr="007E702F">
        <w:rPr>
          <w:spacing w:val="-9"/>
        </w:rPr>
        <w:t xml:space="preserve"> </w:t>
      </w:r>
      <w:r w:rsidRPr="007E702F">
        <w:t>uygulamaların</w:t>
      </w:r>
      <w:r w:rsidRPr="007E702F">
        <w:rPr>
          <w:spacing w:val="-10"/>
        </w:rPr>
        <w:t xml:space="preserve"> </w:t>
      </w:r>
      <w:r w:rsidRPr="007E702F">
        <w:t>zorunluluktan</w:t>
      </w:r>
      <w:r w:rsidRPr="007E702F">
        <w:rPr>
          <w:spacing w:val="-9"/>
        </w:rPr>
        <w:t xml:space="preserve"> </w:t>
      </w:r>
      <w:r w:rsidRPr="007E702F">
        <w:t>ziyade</w:t>
      </w:r>
      <w:r w:rsidRPr="007E702F">
        <w:rPr>
          <w:spacing w:val="-10"/>
        </w:rPr>
        <w:t xml:space="preserve"> </w:t>
      </w:r>
      <w:r w:rsidRPr="007E702F">
        <w:t>ebeveynler</w:t>
      </w:r>
      <w:r w:rsidRPr="007E702F">
        <w:rPr>
          <w:spacing w:val="-9"/>
        </w:rPr>
        <w:t xml:space="preserve"> </w:t>
      </w:r>
      <w:r w:rsidRPr="007E702F">
        <w:t>için</w:t>
      </w:r>
      <w:r w:rsidRPr="007E702F">
        <w:rPr>
          <w:spacing w:val="-10"/>
        </w:rPr>
        <w:t xml:space="preserve"> </w:t>
      </w:r>
      <w:r w:rsidRPr="007E702F">
        <w:t>tercihen</w:t>
      </w:r>
      <w:r w:rsidRPr="007E702F">
        <w:rPr>
          <w:spacing w:val="-9"/>
        </w:rPr>
        <w:t xml:space="preserve"> </w:t>
      </w:r>
      <w:r w:rsidRPr="007E702F">
        <w:t>bir</w:t>
      </w:r>
      <w:r w:rsidRPr="007E702F">
        <w:rPr>
          <w:spacing w:val="-9"/>
        </w:rPr>
        <w:t xml:space="preserve"> </w:t>
      </w:r>
      <w:r w:rsidRPr="007E702F">
        <w:t>seçeneğe</w:t>
      </w:r>
      <w:r w:rsidRPr="007E702F">
        <w:rPr>
          <w:spacing w:val="-10"/>
        </w:rPr>
        <w:t xml:space="preserve"> </w:t>
      </w:r>
      <w:r w:rsidRPr="007E702F">
        <w:t>dönüştüğü</w:t>
      </w:r>
      <w:r w:rsidRPr="007E702F">
        <w:rPr>
          <w:spacing w:val="-9"/>
        </w:rPr>
        <w:t xml:space="preserve"> </w:t>
      </w:r>
      <w:r w:rsidRPr="007E702F">
        <w:t xml:space="preserve">ve bu bebeklerin yaşamasına imkân sağlayan ebeveynlerin yargılanmıyor olduğu ifade edilmektedir. Örneğin: Roma döneminin en önemli tarihçilerinden olan İmparator </w:t>
      </w:r>
      <w:proofErr w:type="spellStart"/>
      <w:r w:rsidRPr="007E702F">
        <w:t>Cladius</w:t>
      </w:r>
      <w:proofErr w:type="spellEnd"/>
      <w:r w:rsidRPr="007E702F">
        <w:t>, engelli bir bireydi. Yaşamı boyunca birçok kez küçümsemelere ve dışlanmalarına rağmen çok iyi bir eğitim alıp önemli tarihçiler arasında kendisine yer bulmuş olduğu kaynaklarda yer almaktadır. Bu olaydan hareketle iyi niyet gösteren ve ilgili ebeveynler açısından engelli çocukların gelişimi ve refahıyla ilgilenmesi</w:t>
      </w:r>
      <w:r w:rsidRPr="007E702F">
        <w:rPr>
          <w:spacing w:val="-10"/>
        </w:rPr>
        <w:t xml:space="preserve"> </w:t>
      </w:r>
      <w:r w:rsidRPr="007E702F">
        <w:t>konusunda</w:t>
      </w:r>
      <w:r w:rsidRPr="007E702F">
        <w:rPr>
          <w:spacing w:val="-7"/>
        </w:rPr>
        <w:t xml:space="preserve"> </w:t>
      </w:r>
      <w:r w:rsidRPr="007E702F">
        <w:t>olasılığın</w:t>
      </w:r>
      <w:r w:rsidRPr="007E702F">
        <w:rPr>
          <w:spacing w:val="-7"/>
        </w:rPr>
        <w:t xml:space="preserve"> </w:t>
      </w:r>
      <w:r w:rsidRPr="007E702F">
        <w:t>ve</w:t>
      </w:r>
      <w:r w:rsidRPr="007E702F">
        <w:rPr>
          <w:spacing w:val="-7"/>
        </w:rPr>
        <w:t xml:space="preserve"> </w:t>
      </w:r>
      <w:r w:rsidRPr="007E702F">
        <w:t>potansiyelin</w:t>
      </w:r>
      <w:r w:rsidRPr="007E702F">
        <w:rPr>
          <w:spacing w:val="-7"/>
        </w:rPr>
        <w:t xml:space="preserve"> </w:t>
      </w:r>
      <w:r w:rsidRPr="007E702F">
        <w:t>sağlandığı</w:t>
      </w:r>
      <w:r w:rsidRPr="007E702F">
        <w:rPr>
          <w:spacing w:val="-7"/>
        </w:rPr>
        <w:t xml:space="preserve"> </w:t>
      </w:r>
      <w:r w:rsidRPr="007E702F">
        <w:t>görülmektedir</w:t>
      </w:r>
      <w:r w:rsidRPr="007E702F">
        <w:rPr>
          <w:spacing w:val="-7"/>
        </w:rPr>
        <w:t xml:space="preserve"> </w:t>
      </w:r>
      <w:r w:rsidRPr="007E702F">
        <w:t>(</w:t>
      </w:r>
      <w:proofErr w:type="spellStart"/>
      <w:r w:rsidRPr="007E702F">
        <w:t>Garland</w:t>
      </w:r>
      <w:proofErr w:type="spellEnd"/>
      <w:r w:rsidRPr="007E702F">
        <w:t>,</w:t>
      </w:r>
      <w:r w:rsidRPr="007E702F">
        <w:rPr>
          <w:spacing w:val="-7"/>
        </w:rPr>
        <w:t xml:space="preserve"> </w:t>
      </w:r>
      <w:r w:rsidRPr="007E702F">
        <w:t>1995:</w:t>
      </w:r>
      <w:r w:rsidRPr="007E702F">
        <w:rPr>
          <w:spacing w:val="-7"/>
        </w:rPr>
        <w:t xml:space="preserve"> </w:t>
      </w:r>
      <w:r w:rsidRPr="007E702F">
        <w:t>15-</w:t>
      </w:r>
      <w:r w:rsidRPr="007E702F">
        <w:rPr>
          <w:spacing w:val="-4"/>
        </w:rPr>
        <w:t>18).</w:t>
      </w:r>
    </w:p>
    <w:p w14:paraId="2DFE7BBE" w14:textId="77777777" w:rsidR="007E702F" w:rsidRPr="007E702F" w:rsidRDefault="007E702F" w:rsidP="00316176">
      <w:pPr>
        <w:pStyle w:val="GvdeMetni"/>
      </w:pPr>
    </w:p>
    <w:p w14:paraId="16DDE71E" w14:textId="77777777" w:rsidR="007E702F" w:rsidRPr="007E702F" w:rsidRDefault="007E702F" w:rsidP="00316176">
      <w:pPr>
        <w:pStyle w:val="GvdeMetni"/>
        <w:ind w:right="337"/>
        <w:jc w:val="both"/>
      </w:pPr>
      <w:r w:rsidRPr="007E702F">
        <w:t>Sonuç olarak, Antik Çağların dönem olarak uzun zaman aralığına sahip olması, engellilik olgusunun ortaya çıkma anı ve şekli gibi değişken faktörlere bağlı olarak tutum ve uygulamaların farklılaşması bu dönem içerisinde engelliliğin birbirinden farklı yorumlamalarıyla açıklığa kavuşturulma çabası ortaya çıkarken, bu olguyu ele almayı biraz hassaslaştıran ve zorlaştıran noktaya taşımakta olduğu görülmektedir.</w:t>
      </w:r>
    </w:p>
    <w:p w14:paraId="59F81B20"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1E35816E" w14:textId="77777777" w:rsidR="007E702F" w:rsidRPr="007E702F" w:rsidRDefault="007E702F" w:rsidP="00316176">
      <w:pPr>
        <w:pStyle w:val="GvdeMetni"/>
        <w:ind w:right="337"/>
        <w:jc w:val="both"/>
      </w:pPr>
      <w:proofErr w:type="gramStart"/>
      <w:r w:rsidRPr="007E702F">
        <w:t>Ortaçağ'a</w:t>
      </w:r>
      <w:proofErr w:type="gramEnd"/>
      <w:r w:rsidRPr="007E702F">
        <w:t xml:space="preserve"> gelindiği zaman engellilik kavramının hem manası hem de toplumun algısına dayalı olarak çelişkili ve karmaşık görüşlerin beyan edildiğine rastlamak mümkündür. Bu nedenle </w:t>
      </w:r>
      <w:proofErr w:type="gramStart"/>
      <w:r w:rsidRPr="007E702F">
        <w:t>Ortaçağ'da</w:t>
      </w:r>
      <w:proofErr w:type="gramEnd"/>
      <w:r w:rsidRPr="007E702F">
        <w:t xml:space="preserve"> da toplumun yine engelli bireylere olan tutum ve davranışları çok yönlü ve tutarsız şekillerde seyretmektedir. </w:t>
      </w:r>
      <w:proofErr w:type="gramStart"/>
      <w:r w:rsidRPr="007E702F">
        <w:t>Ortaçağ'da</w:t>
      </w:r>
      <w:proofErr w:type="gramEnd"/>
      <w:r w:rsidRPr="007E702F">
        <w:t xml:space="preserve"> sıklıkla batıl inançların hakimiyet kazandığı dönemin en belirgin özellikleri arasında yer almaktadır. Dönemin en kronik sorunu büyücülük, şeytanlık ve cadılık inanışlarına bağlılığın artmış olması ve çoğu zaman toplumda farklı dış görünüme sahip, eksik uzuvlu </w:t>
      </w:r>
      <w:proofErr w:type="gramStart"/>
      <w:r w:rsidRPr="007E702F">
        <w:t>ve ya</w:t>
      </w:r>
      <w:proofErr w:type="gramEnd"/>
      <w:r w:rsidRPr="007E702F">
        <w:t xml:space="preserve"> zihin ve beden anomaliliğine sahip bireylere “cadı/şeytan/büyücü” yaftalamasıyla suçlanıyor olması ya da şeytani ayinler düzenledikleri noktasında çeşitli görüşler ortaya atılarak bu kişilerin infaz ediliyor </w:t>
      </w:r>
      <w:r w:rsidRPr="007E702F">
        <w:lastRenderedPageBreak/>
        <w:t xml:space="preserve">olmalarına yol açmaktadır. Hatta </w:t>
      </w:r>
      <w:proofErr w:type="gramStart"/>
      <w:r w:rsidRPr="007E702F">
        <w:t>Ortaçağ'ın</w:t>
      </w:r>
      <w:proofErr w:type="gramEnd"/>
      <w:r w:rsidRPr="007E702F">
        <w:t xml:space="preserve"> ilk dönemlerinde en kalıplaşmış inanış şekli, engelli bireylerin diğer insanlardan doğaüstü oldukları, sihirli güçlere sahip olan şeytanlar ve cadılar olduğu düşünülmektedir. Hatta bu düşünceye dayanılarak başta epilepsi hastaları ve zihinsel engelli bireyler olmak üzere birçok engelli birey direkt cadı oldukları gerekçesiyle infaz edilmiş olup </w:t>
      </w:r>
      <w:proofErr w:type="gramStart"/>
      <w:r w:rsidRPr="007E702F">
        <w:t>ve ya</w:t>
      </w:r>
      <w:proofErr w:type="gramEnd"/>
      <w:r w:rsidRPr="007E702F">
        <w:t xml:space="preserve"> şeytan çıkartma gibi ayinsel dini ritüellerin yapılması amacıyla zulme uğramış oldukları görülmektedir. Tüm bunların yanı sıra acınası ve merhamete muhtaç kişiler olarak tasvir edilmiş olduğu görülmektedir. Öte yandan cadılıkla itham edilmiyor olsalar dahi günah ve hastalık birbirine bağlı olarak değerlendirilmiştir. Bu düşünceye göre insan bedeni bu dünyada sadece maddesel değil aynı zamanda manevi açıdan da</w:t>
      </w:r>
      <w:r w:rsidRPr="007E702F">
        <w:rPr>
          <w:spacing w:val="-4"/>
        </w:rPr>
        <w:t xml:space="preserve"> </w:t>
      </w:r>
      <w:r w:rsidRPr="007E702F">
        <w:t>bir</w:t>
      </w:r>
      <w:r w:rsidRPr="007E702F">
        <w:rPr>
          <w:spacing w:val="-4"/>
        </w:rPr>
        <w:t xml:space="preserve"> </w:t>
      </w:r>
      <w:r w:rsidRPr="007E702F">
        <w:t>anlamı</w:t>
      </w:r>
      <w:r w:rsidRPr="007E702F">
        <w:rPr>
          <w:spacing w:val="-4"/>
        </w:rPr>
        <w:t xml:space="preserve"> </w:t>
      </w:r>
      <w:r w:rsidRPr="007E702F">
        <w:t>taşıdığına</w:t>
      </w:r>
      <w:r w:rsidRPr="007E702F">
        <w:rPr>
          <w:spacing w:val="-4"/>
        </w:rPr>
        <w:t xml:space="preserve"> </w:t>
      </w:r>
      <w:r w:rsidRPr="007E702F">
        <w:t>yönelik</w:t>
      </w:r>
      <w:r w:rsidRPr="007E702F">
        <w:rPr>
          <w:spacing w:val="-4"/>
        </w:rPr>
        <w:t xml:space="preserve"> </w:t>
      </w:r>
      <w:r w:rsidRPr="007E702F">
        <w:t>izlenimler</w:t>
      </w:r>
      <w:r w:rsidRPr="007E702F">
        <w:rPr>
          <w:spacing w:val="-4"/>
        </w:rPr>
        <w:t xml:space="preserve"> </w:t>
      </w:r>
      <w:r w:rsidRPr="007E702F">
        <w:t>oluşturulmaktadır</w:t>
      </w:r>
      <w:r w:rsidRPr="007E702F">
        <w:rPr>
          <w:spacing w:val="-4"/>
        </w:rPr>
        <w:t xml:space="preserve"> </w:t>
      </w:r>
      <w:r w:rsidRPr="007E702F">
        <w:t>(</w:t>
      </w:r>
      <w:proofErr w:type="spellStart"/>
      <w:r w:rsidRPr="007E702F">
        <w:t>Rimmerman</w:t>
      </w:r>
      <w:proofErr w:type="spellEnd"/>
      <w:r w:rsidRPr="007E702F">
        <w:t>,</w:t>
      </w:r>
      <w:r w:rsidRPr="007E702F">
        <w:rPr>
          <w:spacing w:val="-4"/>
        </w:rPr>
        <w:t xml:space="preserve"> </w:t>
      </w:r>
      <w:r w:rsidRPr="007E702F">
        <w:t>2013:</w:t>
      </w:r>
      <w:r w:rsidRPr="007E702F">
        <w:rPr>
          <w:spacing w:val="-4"/>
        </w:rPr>
        <w:t xml:space="preserve"> </w:t>
      </w:r>
      <w:r w:rsidRPr="007E702F">
        <w:t>14).</w:t>
      </w:r>
      <w:r w:rsidRPr="007E702F">
        <w:rPr>
          <w:spacing w:val="-4"/>
        </w:rPr>
        <w:t xml:space="preserve"> </w:t>
      </w:r>
      <w:r w:rsidRPr="007E702F">
        <w:t>Bu</w:t>
      </w:r>
      <w:r w:rsidRPr="007E702F">
        <w:rPr>
          <w:spacing w:val="-4"/>
        </w:rPr>
        <w:t xml:space="preserve"> </w:t>
      </w:r>
      <w:r w:rsidRPr="007E702F">
        <w:t>sebeple deforme</w:t>
      </w:r>
      <w:r w:rsidRPr="007E702F">
        <w:rPr>
          <w:spacing w:val="-8"/>
        </w:rPr>
        <w:t xml:space="preserve"> </w:t>
      </w:r>
      <w:r w:rsidRPr="007E702F">
        <w:t>olmuş</w:t>
      </w:r>
      <w:r w:rsidRPr="007E702F">
        <w:rPr>
          <w:spacing w:val="-8"/>
        </w:rPr>
        <w:t xml:space="preserve"> </w:t>
      </w:r>
      <w:r w:rsidRPr="007E702F">
        <w:t>beden</w:t>
      </w:r>
      <w:r w:rsidRPr="007E702F">
        <w:rPr>
          <w:spacing w:val="-8"/>
        </w:rPr>
        <w:t xml:space="preserve"> </w:t>
      </w:r>
      <w:r w:rsidRPr="007E702F">
        <w:t>aynı</w:t>
      </w:r>
      <w:r w:rsidRPr="007E702F">
        <w:rPr>
          <w:spacing w:val="-8"/>
        </w:rPr>
        <w:t xml:space="preserve"> </w:t>
      </w:r>
      <w:r w:rsidRPr="007E702F">
        <w:t>zamanda</w:t>
      </w:r>
      <w:r w:rsidRPr="007E702F">
        <w:rPr>
          <w:spacing w:val="-8"/>
        </w:rPr>
        <w:t xml:space="preserve"> </w:t>
      </w:r>
      <w:r w:rsidRPr="007E702F">
        <w:t>deforme</w:t>
      </w:r>
      <w:r w:rsidRPr="007E702F">
        <w:rPr>
          <w:spacing w:val="-8"/>
        </w:rPr>
        <w:t xml:space="preserve"> </w:t>
      </w:r>
      <w:r w:rsidRPr="007E702F">
        <w:t>olmuş</w:t>
      </w:r>
      <w:r w:rsidRPr="007E702F">
        <w:rPr>
          <w:spacing w:val="-8"/>
        </w:rPr>
        <w:t xml:space="preserve"> </w:t>
      </w:r>
      <w:r w:rsidRPr="007E702F">
        <w:t>bir</w:t>
      </w:r>
      <w:r w:rsidRPr="007E702F">
        <w:rPr>
          <w:spacing w:val="-8"/>
        </w:rPr>
        <w:t xml:space="preserve"> </w:t>
      </w:r>
      <w:r w:rsidRPr="007E702F">
        <w:t>ruha</w:t>
      </w:r>
      <w:r w:rsidRPr="007E702F">
        <w:rPr>
          <w:spacing w:val="-8"/>
        </w:rPr>
        <w:t xml:space="preserve"> </w:t>
      </w:r>
      <w:r w:rsidRPr="007E702F">
        <w:t>sahip</w:t>
      </w:r>
      <w:r w:rsidRPr="007E702F">
        <w:rPr>
          <w:spacing w:val="-8"/>
        </w:rPr>
        <w:t xml:space="preserve"> </w:t>
      </w:r>
      <w:r w:rsidRPr="007E702F">
        <w:t>olduğu</w:t>
      </w:r>
      <w:r w:rsidRPr="007E702F">
        <w:rPr>
          <w:spacing w:val="-8"/>
        </w:rPr>
        <w:t xml:space="preserve"> </w:t>
      </w:r>
      <w:r w:rsidRPr="007E702F">
        <w:t>düşünülmektedir.</w:t>
      </w:r>
      <w:r w:rsidRPr="007E702F">
        <w:rPr>
          <w:spacing w:val="-8"/>
        </w:rPr>
        <w:t xml:space="preserve"> </w:t>
      </w:r>
      <w:r w:rsidRPr="007E702F">
        <w:t>Başka bir</w:t>
      </w:r>
      <w:r w:rsidRPr="007E702F">
        <w:rPr>
          <w:spacing w:val="-8"/>
        </w:rPr>
        <w:t xml:space="preserve"> </w:t>
      </w:r>
      <w:r w:rsidRPr="007E702F">
        <w:t>boyutu</w:t>
      </w:r>
      <w:r w:rsidRPr="007E702F">
        <w:rPr>
          <w:spacing w:val="-8"/>
        </w:rPr>
        <w:t xml:space="preserve"> </w:t>
      </w:r>
      <w:r w:rsidRPr="007E702F">
        <w:t>da</w:t>
      </w:r>
      <w:r w:rsidRPr="007E702F">
        <w:rPr>
          <w:spacing w:val="-8"/>
        </w:rPr>
        <w:t xml:space="preserve"> </w:t>
      </w:r>
      <w:r w:rsidRPr="007E702F">
        <w:t>hastalık</w:t>
      </w:r>
      <w:r w:rsidRPr="007E702F">
        <w:rPr>
          <w:spacing w:val="-8"/>
        </w:rPr>
        <w:t xml:space="preserve"> </w:t>
      </w:r>
      <w:r w:rsidRPr="007E702F">
        <w:t>hali</w:t>
      </w:r>
      <w:r w:rsidRPr="007E702F">
        <w:rPr>
          <w:spacing w:val="-8"/>
        </w:rPr>
        <w:t xml:space="preserve"> </w:t>
      </w:r>
      <w:r w:rsidRPr="007E702F">
        <w:t>ve</w:t>
      </w:r>
      <w:r w:rsidRPr="007E702F">
        <w:rPr>
          <w:spacing w:val="-8"/>
        </w:rPr>
        <w:t xml:space="preserve"> </w:t>
      </w:r>
      <w:r w:rsidRPr="007E702F">
        <w:t>engellilik,</w:t>
      </w:r>
      <w:r w:rsidRPr="007E702F">
        <w:rPr>
          <w:spacing w:val="-8"/>
        </w:rPr>
        <w:t xml:space="preserve"> </w:t>
      </w:r>
      <w:r w:rsidRPr="007E702F">
        <w:t>bireyin</w:t>
      </w:r>
      <w:r w:rsidRPr="007E702F">
        <w:rPr>
          <w:spacing w:val="-8"/>
        </w:rPr>
        <w:t xml:space="preserve"> </w:t>
      </w:r>
      <w:r w:rsidRPr="007E702F">
        <w:t>ruhunu</w:t>
      </w:r>
      <w:r w:rsidRPr="007E702F">
        <w:rPr>
          <w:spacing w:val="-8"/>
        </w:rPr>
        <w:t xml:space="preserve"> </w:t>
      </w:r>
      <w:r w:rsidRPr="007E702F">
        <w:t>temizlemek</w:t>
      </w:r>
      <w:r w:rsidRPr="007E702F">
        <w:rPr>
          <w:spacing w:val="-8"/>
        </w:rPr>
        <w:t xml:space="preserve"> </w:t>
      </w:r>
      <w:r w:rsidRPr="007E702F">
        <w:t>adına</w:t>
      </w:r>
      <w:r w:rsidRPr="007E702F">
        <w:rPr>
          <w:spacing w:val="-8"/>
        </w:rPr>
        <w:t xml:space="preserve"> </w:t>
      </w:r>
      <w:r w:rsidRPr="007E702F">
        <w:t>Tanrı</w:t>
      </w:r>
      <w:r w:rsidRPr="007E702F">
        <w:rPr>
          <w:spacing w:val="-8"/>
        </w:rPr>
        <w:t xml:space="preserve"> </w:t>
      </w:r>
      <w:r w:rsidRPr="007E702F">
        <w:t>tarafından</w:t>
      </w:r>
      <w:r w:rsidRPr="007E702F">
        <w:rPr>
          <w:spacing w:val="-8"/>
        </w:rPr>
        <w:t xml:space="preserve"> </w:t>
      </w:r>
      <w:r w:rsidRPr="007E702F">
        <w:t>imtihan maksadıyla</w:t>
      </w:r>
      <w:r w:rsidRPr="007E702F">
        <w:rPr>
          <w:spacing w:val="-1"/>
        </w:rPr>
        <w:t xml:space="preserve"> </w:t>
      </w:r>
      <w:r w:rsidRPr="007E702F">
        <w:t>gönderilen</w:t>
      </w:r>
      <w:r w:rsidRPr="007E702F">
        <w:rPr>
          <w:spacing w:val="-1"/>
        </w:rPr>
        <w:t xml:space="preserve"> </w:t>
      </w:r>
      <w:r w:rsidRPr="007E702F">
        <w:t>ve</w:t>
      </w:r>
      <w:r w:rsidRPr="007E702F">
        <w:rPr>
          <w:spacing w:val="-1"/>
        </w:rPr>
        <w:t xml:space="preserve"> </w:t>
      </w:r>
      <w:r w:rsidRPr="007E702F">
        <w:t>nihayetinde</w:t>
      </w:r>
      <w:r w:rsidRPr="007E702F">
        <w:rPr>
          <w:spacing w:val="-1"/>
        </w:rPr>
        <w:t xml:space="preserve"> </w:t>
      </w:r>
      <w:r w:rsidRPr="007E702F">
        <w:t>kişiye</w:t>
      </w:r>
      <w:r w:rsidRPr="007E702F">
        <w:rPr>
          <w:spacing w:val="-1"/>
        </w:rPr>
        <w:t xml:space="preserve"> </w:t>
      </w:r>
      <w:r w:rsidRPr="007E702F">
        <w:t>ruhani</w:t>
      </w:r>
      <w:r w:rsidRPr="007E702F">
        <w:rPr>
          <w:spacing w:val="-1"/>
        </w:rPr>
        <w:t xml:space="preserve"> </w:t>
      </w:r>
      <w:r w:rsidRPr="007E702F">
        <w:t>şifa</w:t>
      </w:r>
      <w:r w:rsidRPr="007E702F">
        <w:rPr>
          <w:spacing w:val="-1"/>
        </w:rPr>
        <w:t xml:space="preserve"> </w:t>
      </w:r>
      <w:r w:rsidRPr="007E702F">
        <w:t>getirecek</w:t>
      </w:r>
      <w:r w:rsidRPr="007E702F">
        <w:rPr>
          <w:spacing w:val="-1"/>
        </w:rPr>
        <w:t xml:space="preserve"> </w:t>
      </w:r>
      <w:r w:rsidRPr="007E702F">
        <w:t>bir</w:t>
      </w:r>
      <w:r w:rsidRPr="007E702F">
        <w:rPr>
          <w:spacing w:val="-1"/>
        </w:rPr>
        <w:t xml:space="preserve"> </w:t>
      </w:r>
      <w:r w:rsidRPr="007E702F">
        <w:t>ıstırap</w:t>
      </w:r>
      <w:r w:rsidRPr="007E702F">
        <w:rPr>
          <w:spacing w:val="-1"/>
        </w:rPr>
        <w:t xml:space="preserve"> </w:t>
      </w:r>
      <w:proofErr w:type="gramStart"/>
      <w:r w:rsidRPr="007E702F">
        <w:t>ve</w:t>
      </w:r>
      <w:r w:rsidRPr="007E702F">
        <w:rPr>
          <w:spacing w:val="-1"/>
        </w:rPr>
        <w:t xml:space="preserve"> </w:t>
      </w:r>
      <w:r w:rsidRPr="007E702F">
        <w:t>ya</w:t>
      </w:r>
      <w:proofErr w:type="gramEnd"/>
      <w:r w:rsidRPr="007E702F">
        <w:rPr>
          <w:spacing w:val="-1"/>
        </w:rPr>
        <w:t xml:space="preserve"> </w:t>
      </w:r>
      <w:r w:rsidRPr="007E702F">
        <w:t>sınav</w:t>
      </w:r>
      <w:r w:rsidRPr="007E702F">
        <w:rPr>
          <w:spacing w:val="-1"/>
        </w:rPr>
        <w:t xml:space="preserve"> </w:t>
      </w:r>
      <w:r w:rsidRPr="007E702F">
        <w:t>olarak</w:t>
      </w:r>
      <w:r w:rsidRPr="007E702F">
        <w:rPr>
          <w:spacing w:val="-1"/>
        </w:rPr>
        <w:t xml:space="preserve"> </w:t>
      </w:r>
      <w:r w:rsidRPr="007E702F">
        <w:t>da değerlendirilmiş</w:t>
      </w:r>
      <w:r w:rsidRPr="007E702F">
        <w:rPr>
          <w:spacing w:val="-13"/>
        </w:rPr>
        <w:t xml:space="preserve"> </w:t>
      </w:r>
      <w:r w:rsidRPr="007E702F">
        <w:t>olduğu</w:t>
      </w:r>
      <w:r w:rsidRPr="007E702F">
        <w:rPr>
          <w:spacing w:val="-13"/>
        </w:rPr>
        <w:t xml:space="preserve"> </w:t>
      </w:r>
      <w:r w:rsidRPr="007E702F">
        <w:t>düşünülmektedir.</w:t>
      </w:r>
      <w:r w:rsidRPr="007E702F">
        <w:rPr>
          <w:spacing w:val="-13"/>
        </w:rPr>
        <w:t xml:space="preserve"> </w:t>
      </w:r>
      <w:r w:rsidRPr="007E702F">
        <w:t>Bundan</w:t>
      </w:r>
      <w:r w:rsidRPr="007E702F">
        <w:rPr>
          <w:spacing w:val="-13"/>
        </w:rPr>
        <w:t xml:space="preserve"> </w:t>
      </w:r>
      <w:r w:rsidRPr="007E702F">
        <w:t>kaynaklanan</w:t>
      </w:r>
      <w:r w:rsidRPr="007E702F">
        <w:rPr>
          <w:spacing w:val="-13"/>
        </w:rPr>
        <w:t xml:space="preserve"> </w:t>
      </w:r>
      <w:r w:rsidRPr="007E702F">
        <w:t>temel</w:t>
      </w:r>
      <w:r w:rsidRPr="007E702F">
        <w:rPr>
          <w:spacing w:val="-13"/>
        </w:rPr>
        <w:t xml:space="preserve"> </w:t>
      </w:r>
      <w:r w:rsidRPr="007E702F">
        <w:t>kıstas</w:t>
      </w:r>
      <w:r w:rsidRPr="007E702F">
        <w:rPr>
          <w:spacing w:val="-13"/>
        </w:rPr>
        <w:t xml:space="preserve"> </w:t>
      </w:r>
      <w:r w:rsidRPr="007E702F">
        <w:t>ise</w:t>
      </w:r>
      <w:r w:rsidRPr="007E702F">
        <w:rPr>
          <w:spacing w:val="-13"/>
        </w:rPr>
        <w:t xml:space="preserve"> </w:t>
      </w:r>
      <w:r w:rsidRPr="007E702F">
        <w:t>bireyin</w:t>
      </w:r>
      <w:r w:rsidRPr="007E702F">
        <w:rPr>
          <w:spacing w:val="-13"/>
        </w:rPr>
        <w:t xml:space="preserve"> </w:t>
      </w:r>
      <w:r w:rsidRPr="007E702F">
        <w:t>hasta</w:t>
      </w:r>
      <w:r w:rsidRPr="007E702F">
        <w:rPr>
          <w:spacing w:val="-13"/>
        </w:rPr>
        <w:t xml:space="preserve"> </w:t>
      </w:r>
      <w:r w:rsidRPr="007E702F">
        <w:t>ve</w:t>
      </w:r>
      <w:r w:rsidRPr="007E702F">
        <w:rPr>
          <w:spacing w:val="-13"/>
        </w:rPr>
        <w:t xml:space="preserve"> </w:t>
      </w:r>
      <w:r w:rsidRPr="007E702F">
        <w:t>ya engellilik halinin bulunması söz konusu dışında, yeniden sağlığına kavuşamayacak olması sorun olarak değerlendirilmiş olduğu yansımaktadır (</w:t>
      </w:r>
      <w:proofErr w:type="spellStart"/>
      <w:r w:rsidRPr="007E702F">
        <w:t>Metzler</w:t>
      </w:r>
      <w:proofErr w:type="spellEnd"/>
      <w:proofErr w:type="gramStart"/>
      <w:r w:rsidRPr="007E702F">
        <w:t>, ,</w:t>
      </w:r>
      <w:proofErr w:type="gramEnd"/>
      <w:r w:rsidRPr="007E702F">
        <w:t xml:space="preserve"> 2006: 47 -48).</w:t>
      </w:r>
    </w:p>
    <w:p w14:paraId="05B31488" w14:textId="77777777" w:rsidR="007E702F" w:rsidRPr="007E702F" w:rsidRDefault="007E702F" w:rsidP="00316176">
      <w:pPr>
        <w:pStyle w:val="GvdeMetni"/>
      </w:pPr>
    </w:p>
    <w:p w14:paraId="7CDCAD00" w14:textId="48188A56" w:rsidR="007E702F" w:rsidRPr="007E702F" w:rsidRDefault="007E702F" w:rsidP="00316176">
      <w:pPr>
        <w:pStyle w:val="GvdeMetni"/>
        <w:ind w:right="337"/>
        <w:jc w:val="both"/>
      </w:pPr>
      <w:proofErr w:type="gramStart"/>
      <w:r w:rsidRPr="007E702F">
        <w:t>Ortaçağ'ın</w:t>
      </w:r>
      <w:proofErr w:type="gramEnd"/>
      <w:r w:rsidRPr="007E702F">
        <w:rPr>
          <w:spacing w:val="-11"/>
        </w:rPr>
        <w:t xml:space="preserve"> </w:t>
      </w:r>
      <w:r w:rsidRPr="007E702F">
        <w:t>batıl</w:t>
      </w:r>
      <w:r w:rsidRPr="007E702F">
        <w:rPr>
          <w:spacing w:val="-11"/>
        </w:rPr>
        <w:t xml:space="preserve"> </w:t>
      </w:r>
      <w:r w:rsidRPr="007E702F">
        <w:t>inanışlarına</w:t>
      </w:r>
      <w:r w:rsidRPr="007E702F">
        <w:rPr>
          <w:spacing w:val="-11"/>
        </w:rPr>
        <w:t xml:space="preserve"> </w:t>
      </w:r>
      <w:r w:rsidRPr="007E702F">
        <w:t>ve</w:t>
      </w:r>
      <w:r w:rsidRPr="007E702F">
        <w:rPr>
          <w:spacing w:val="-11"/>
        </w:rPr>
        <w:t xml:space="preserve"> </w:t>
      </w:r>
      <w:r w:rsidRPr="007E702F">
        <w:t>toplumun</w:t>
      </w:r>
      <w:r w:rsidRPr="007E702F">
        <w:rPr>
          <w:spacing w:val="-11"/>
        </w:rPr>
        <w:t xml:space="preserve"> </w:t>
      </w:r>
      <w:r w:rsidRPr="007E702F">
        <w:t>engelliler</w:t>
      </w:r>
      <w:r w:rsidRPr="007E702F">
        <w:rPr>
          <w:spacing w:val="-11"/>
        </w:rPr>
        <w:t xml:space="preserve"> </w:t>
      </w:r>
      <w:r w:rsidRPr="007E702F">
        <w:t>üzerindeki</w:t>
      </w:r>
      <w:r w:rsidRPr="007E702F">
        <w:rPr>
          <w:spacing w:val="-11"/>
        </w:rPr>
        <w:t xml:space="preserve"> </w:t>
      </w:r>
      <w:r w:rsidRPr="007E702F">
        <w:t>bu</w:t>
      </w:r>
      <w:r w:rsidRPr="007E702F">
        <w:rPr>
          <w:spacing w:val="-11"/>
        </w:rPr>
        <w:t xml:space="preserve"> </w:t>
      </w:r>
      <w:r w:rsidRPr="007E702F">
        <w:t>denli</w:t>
      </w:r>
      <w:r w:rsidRPr="007E702F">
        <w:rPr>
          <w:spacing w:val="-11"/>
        </w:rPr>
        <w:t xml:space="preserve"> </w:t>
      </w:r>
      <w:r w:rsidRPr="007E702F">
        <w:t>olumsuz</w:t>
      </w:r>
      <w:r w:rsidRPr="007E702F">
        <w:rPr>
          <w:spacing w:val="-11"/>
        </w:rPr>
        <w:t xml:space="preserve"> </w:t>
      </w:r>
      <w:r w:rsidRPr="007E702F">
        <w:t>etkilerine</w:t>
      </w:r>
      <w:r w:rsidRPr="007E702F">
        <w:rPr>
          <w:spacing w:val="-11"/>
        </w:rPr>
        <w:t xml:space="preserve"> </w:t>
      </w:r>
      <w:r w:rsidRPr="007E702F">
        <w:t>rağmen, özellikle zihinsel engelli bireylere yönelik daha yapıcı ve olumlu tutum ve davranışların sergilendiği görülmekte olup, bu göstergelerden birisi de her ne kadar asıl amacı toplumun korunması olsa dahi 13.yy da Almanya'da zihinsel engelli bireyler için hastanelerin açılması fikri en</w:t>
      </w:r>
      <w:r w:rsidRPr="007E702F">
        <w:rPr>
          <w:spacing w:val="14"/>
        </w:rPr>
        <w:t xml:space="preserve"> </w:t>
      </w:r>
      <w:r w:rsidRPr="007E702F">
        <w:t>temel</w:t>
      </w:r>
      <w:r w:rsidRPr="007E702F">
        <w:rPr>
          <w:spacing w:val="17"/>
        </w:rPr>
        <w:t xml:space="preserve"> </w:t>
      </w:r>
      <w:r w:rsidRPr="007E702F">
        <w:t>örnekler</w:t>
      </w:r>
      <w:r w:rsidRPr="007E702F">
        <w:rPr>
          <w:spacing w:val="16"/>
        </w:rPr>
        <w:t xml:space="preserve"> </w:t>
      </w:r>
      <w:r w:rsidRPr="007E702F">
        <w:t>arasında</w:t>
      </w:r>
      <w:r w:rsidRPr="007E702F">
        <w:rPr>
          <w:spacing w:val="16"/>
        </w:rPr>
        <w:t xml:space="preserve"> </w:t>
      </w:r>
      <w:r w:rsidRPr="007E702F">
        <w:t>yerini</w:t>
      </w:r>
      <w:r w:rsidRPr="007E702F">
        <w:rPr>
          <w:spacing w:val="16"/>
        </w:rPr>
        <w:t xml:space="preserve"> </w:t>
      </w:r>
      <w:r w:rsidRPr="007E702F">
        <w:t>almaktadır.</w:t>
      </w:r>
      <w:r w:rsidRPr="007E702F">
        <w:rPr>
          <w:spacing w:val="17"/>
        </w:rPr>
        <w:t xml:space="preserve"> </w:t>
      </w:r>
      <w:r w:rsidRPr="007E702F">
        <w:t>Bir</w:t>
      </w:r>
      <w:r w:rsidRPr="007E702F">
        <w:rPr>
          <w:spacing w:val="16"/>
        </w:rPr>
        <w:t xml:space="preserve"> </w:t>
      </w:r>
      <w:r w:rsidRPr="007E702F">
        <w:t>diğer</w:t>
      </w:r>
      <w:r w:rsidRPr="007E702F">
        <w:rPr>
          <w:spacing w:val="16"/>
        </w:rPr>
        <w:t xml:space="preserve"> </w:t>
      </w:r>
      <w:r w:rsidRPr="007E702F">
        <w:t>bu</w:t>
      </w:r>
      <w:r w:rsidRPr="007E702F">
        <w:rPr>
          <w:spacing w:val="16"/>
        </w:rPr>
        <w:t xml:space="preserve"> </w:t>
      </w:r>
      <w:r w:rsidRPr="007E702F">
        <w:t>gelişmelere</w:t>
      </w:r>
      <w:r w:rsidRPr="007E702F">
        <w:rPr>
          <w:spacing w:val="16"/>
        </w:rPr>
        <w:t xml:space="preserve"> </w:t>
      </w:r>
      <w:r w:rsidRPr="007E702F">
        <w:t>destek</w:t>
      </w:r>
      <w:r w:rsidRPr="007E702F">
        <w:rPr>
          <w:spacing w:val="16"/>
        </w:rPr>
        <w:t xml:space="preserve"> </w:t>
      </w:r>
      <w:r w:rsidRPr="007E702F">
        <w:t>olan</w:t>
      </w:r>
      <w:r w:rsidRPr="007E702F">
        <w:rPr>
          <w:spacing w:val="17"/>
        </w:rPr>
        <w:t xml:space="preserve"> </w:t>
      </w:r>
      <w:r w:rsidRPr="007E702F">
        <w:t>uygulama</w:t>
      </w:r>
      <w:r w:rsidRPr="007E702F">
        <w:rPr>
          <w:spacing w:val="16"/>
        </w:rPr>
        <w:t xml:space="preserve"> </w:t>
      </w:r>
      <w:r w:rsidRPr="007E702F">
        <w:rPr>
          <w:spacing w:val="-5"/>
        </w:rPr>
        <w:t>ise</w:t>
      </w:r>
      <w:r w:rsidR="00316176">
        <w:t xml:space="preserve"> </w:t>
      </w:r>
      <w:r w:rsidRPr="007E702F">
        <w:t>12.</w:t>
      </w:r>
      <w:proofErr w:type="gramStart"/>
      <w:r w:rsidRPr="007E702F">
        <w:t>yy</w:t>
      </w:r>
      <w:proofErr w:type="gramEnd"/>
      <w:r w:rsidRPr="007E702F">
        <w:t xml:space="preserve"> da Avrupa'da cüzzam hastalarına yönelik hastanelerin kurulmasıdır. Diğer bir gösterge ise bazı kasabalarda hem epilepsi hastaları için hem de zihinsel engelli bireylerin tedavileri için yerleşim yerlerinden uzak dini yerleri hac ziyaretleri yapmaları için finanse ettikleri kaynaklara geçirilmektedir. Bu gelişimlerin katkı noktası yoksulluk ve engellilik arasında bir köprü olduğu görülmektedir. </w:t>
      </w:r>
      <w:proofErr w:type="gramStart"/>
      <w:r w:rsidRPr="007E702F">
        <w:t>Ortaçağ'da</w:t>
      </w:r>
      <w:proofErr w:type="gramEnd"/>
      <w:r w:rsidRPr="007E702F">
        <w:t xml:space="preserve"> bir bireyin ortalama yaşam süresi yetişkinliğe erişebilecek kadar gelebilmesi</w:t>
      </w:r>
      <w:r w:rsidRPr="007E702F">
        <w:rPr>
          <w:spacing w:val="-15"/>
        </w:rPr>
        <w:t xml:space="preserve"> </w:t>
      </w:r>
      <w:r w:rsidRPr="007E702F">
        <w:t>%50</w:t>
      </w:r>
      <w:r w:rsidRPr="007E702F">
        <w:rPr>
          <w:spacing w:val="-15"/>
        </w:rPr>
        <w:t xml:space="preserve"> </w:t>
      </w:r>
      <w:r w:rsidRPr="007E702F">
        <w:t>oranında</w:t>
      </w:r>
      <w:r w:rsidRPr="007E702F">
        <w:rPr>
          <w:spacing w:val="-15"/>
        </w:rPr>
        <w:t xml:space="preserve"> </w:t>
      </w:r>
      <w:r w:rsidRPr="007E702F">
        <w:t>seyrettiği</w:t>
      </w:r>
      <w:r w:rsidRPr="007E702F">
        <w:rPr>
          <w:spacing w:val="-15"/>
        </w:rPr>
        <w:t xml:space="preserve"> </w:t>
      </w:r>
      <w:r w:rsidRPr="007E702F">
        <w:t>görülmektedir.</w:t>
      </w:r>
      <w:r w:rsidRPr="007E702F">
        <w:rPr>
          <w:spacing w:val="-15"/>
        </w:rPr>
        <w:t xml:space="preserve"> </w:t>
      </w:r>
      <w:r w:rsidRPr="007E702F">
        <w:t>Bu</w:t>
      </w:r>
      <w:r w:rsidRPr="007E702F">
        <w:rPr>
          <w:spacing w:val="-15"/>
        </w:rPr>
        <w:t xml:space="preserve"> </w:t>
      </w:r>
      <w:r w:rsidRPr="007E702F">
        <w:t>dönemde</w:t>
      </w:r>
      <w:r w:rsidRPr="007E702F">
        <w:rPr>
          <w:spacing w:val="-15"/>
        </w:rPr>
        <w:t xml:space="preserve"> </w:t>
      </w:r>
      <w:r w:rsidRPr="007E702F">
        <w:t>yine</w:t>
      </w:r>
      <w:r w:rsidRPr="007E702F">
        <w:rPr>
          <w:spacing w:val="-15"/>
        </w:rPr>
        <w:t xml:space="preserve"> </w:t>
      </w:r>
      <w:r w:rsidRPr="007E702F">
        <w:t>yetersiz</w:t>
      </w:r>
      <w:r w:rsidRPr="007E702F">
        <w:rPr>
          <w:spacing w:val="-15"/>
        </w:rPr>
        <w:t xml:space="preserve"> </w:t>
      </w:r>
      <w:r w:rsidRPr="007E702F">
        <w:t>gıdanın</w:t>
      </w:r>
      <w:r w:rsidRPr="007E702F">
        <w:rPr>
          <w:spacing w:val="-15"/>
        </w:rPr>
        <w:t xml:space="preserve"> </w:t>
      </w:r>
      <w:r w:rsidRPr="007E702F">
        <w:t>ve</w:t>
      </w:r>
      <w:r w:rsidRPr="007E702F">
        <w:rPr>
          <w:spacing w:val="-15"/>
        </w:rPr>
        <w:t xml:space="preserve"> </w:t>
      </w:r>
      <w:r w:rsidRPr="007E702F">
        <w:t>beslenme faktörünün</w:t>
      </w:r>
      <w:r w:rsidRPr="007E702F">
        <w:rPr>
          <w:spacing w:val="-5"/>
        </w:rPr>
        <w:t xml:space="preserve"> </w:t>
      </w:r>
      <w:r w:rsidRPr="007E702F">
        <w:t>yanında</w:t>
      </w:r>
      <w:r w:rsidRPr="007E702F">
        <w:rPr>
          <w:spacing w:val="-5"/>
        </w:rPr>
        <w:t xml:space="preserve"> </w:t>
      </w:r>
      <w:r w:rsidRPr="007E702F">
        <w:t>bulaşıcı</w:t>
      </w:r>
      <w:r w:rsidRPr="007E702F">
        <w:rPr>
          <w:spacing w:val="-5"/>
        </w:rPr>
        <w:t xml:space="preserve"> </w:t>
      </w:r>
      <w:r w:rsidRPr="007E702F">
        <w:t>hastalıkların</w:t>
      </w:r>
      <w:r w:rsidRPr="007E702F">
        <w:rPr>
          <w:spacing w:val="-5"/>
        </w:rPr>
        <w:t xml:space="preserve"> </w:t>
      </w:r>
      <w:r w:rsidRPr="007E702F">
        <w:t>görülme</w:t>
      </w:r>
      <w:r w:rsidRPr="007E702F">
        <w:rPr>
          <w:spacing w:val="-5"/>
        </w:rPr>
        <w:t xml:space="preserve"> </w:t>
      </w:r>
      <w:r w:rsidRPr="007E702F">
        <w:t>sıklığı</w:t>
      </w:r>
      <w:r w:rsidRPr="007E702F">
        <w:rPr>
          <w:spacing w:val="-5"/>
        </w:rPr>
        <w:t xml:space="preserve"> </w:t>
      </w:r>
      <w:r w:rsidRPr="007E702F">
        <w:t>ve</w:t>
      </w:r>
      <w:r w:rsidRPr="007E702F">
        <w:rPr>
          <w:spacing w:val="-5"/>
        </w:rPr>
        <w:t xml:space="preserve"> </w:t>
      </w:r>
      <w:r w:rsidRPr="007E702F">
        <w:t>engellilik</w:t>
      </w:r>
      <w:r w:rsidRPr="007E702F">
        <w:rPr>
          <w:spacing w:val="-5"/>
        </w:rPr>
        <w:t xml:space="preserve"> </w:t>
      </w:r>
      <w:r w:rsidRPr="007E702F">
        <w:t>durumunun</w:t>
      </w:r>
      <w:r w:rsidRPr="007E702F">
        <w:rPr>
          <w:spacing w:val="-5"/>
        </w:rPr>
        <w:t xml:space="preserve"> </w:t>
      </w:r>
      <w:r w:rsidRPr="007E702F">
        <w:t>vakıf</w:t>
      </w:r>
      <w:r w:rsidRPr="007E702F">
        <w:rPr>
          <w:spacing w:val="-5"/>
        </w:rPr>
        <w:t xml:space="preserve"> </w:t>
      </w:r>
      <w:r w:rsidRPr="007E702F">
        <w:t>olması</w:t>
      </w:r>
      <w:r w:rsidRPr="007E702F">
        <w:rPr>
          <w:spacing w:val="-5"/>
        </w:rPr>
        <w:t xml:space="preserve"> </w:t>
      </w:r>
      <w:r w:rsidRPr="007E702F">
        <w:t xml:space="preserve">bu duruma kaynak olarak gösterilmektedir. Ancak maddi yoksulluk, aile fertleri arasında çalışamayacak durumda olan bireyleri yük olarak görmesi ve bu anlamda değerlendirmesi anlamı taşımaktaydı. Bu nedenle engellilik halinin yanı sıra dilencilik de </w:t>
      </w:r>
      <w:proofErr w:type="gramStart"/>
      <w:r w:rsidRPr="007E702F">
        <w:t>Ortaçağ</w:t>
      </w:r>
      <w:proofErr w:type="gramEnd"/>
      <w:r w:rsidRPr="007E702F">
        <w:t xml:space="preserve"> toplumlarında yaygın bir</w:t>
      </w:r>
      <w:r w:rsidRPr="007E702F">
        <w:rPr>
          <w:spacing w:val="-8"/>
        </w:rPr>
        <w:t xml:space="preserve"> </w:t>
      </w:r>
      <w:r w:rsidRPr="007E702F">
        <w:t>problemi</w:t>
      </w:r>
      <w:r w:rsidRPr="007E702F">
        <w:rPr>
          <w:spacing w:val="-8"/>
        </w:rPr>
        <w:t xml:space="preserve"> </w:t>
      </w:r>
      <w:r w:rsidRPr="007E702F">
        <w:t>doğurmaktadır</w:t>
      </w:r>
      <w:r w:rsidRPr="007E702F">
        <w:rPr>
          <w:spacing w:val="-8"/>
        </w:rPr>
        <w:t xml:space="preserve"> </w:t>
      </w:r>
      <w:r w:rsidRPr="007E702F">
        <w:t>(</w:t>
      </w:r>
      <w:proofErr w:type="spellStart"/>
      <w:r w:rsidRPr="007E702F">
        <w:t>Braddock</w:t>
      </w:r>
      <w:proofErr w:type="spellEnd"/>
      <w:r w:rsidRPr="007E702F">
        <w:t>,</w:t>
      </w:r>
      <w:r w:rsidRPr="007E702F">
        <w:rPr>
          <w:spacing w:val="-8"/>
        </w:rPr>
        <w:t xml:space="preserve"> </w:t>
      </w:r>
      <w:r w:rsidRPr="007E702F">
        <w:t>2002:</w:t>
      </w:r>
      <w:r w:rsidRPr="007E702F">
        <w:rPr>
          <w:spacing w:val="-8"/>
        </w:rPr>
        <w:t xml:space="preserve"> </w:t>
      </w:r>
      <w:r w:rsidRPr="007E702F">
        <w:t>8</w:t>
      </w:r>
      <w:r w:rsidRPr="007E702F">
        <w:rPr>
          <w:spacing w:val="-8"/>
        </w:rPr>
        <w:t xml:space="preserve"> </w:t>
      </w:r>
      <w:r w:rsidRPr="007E702F">
        <w:t>-12).</w:t>
      </w:r>
      <w:r w:rsidRPr="007E702F">
        <w:rPr>
          <w:spacing w:val="-8"/>
        </w:rPr>
        <w:t xml:space="preserve"> </w:t>
      </w:r>
      <w:r w:rsidRPr="007E702F">
        <w:t>Ortaçağ</w:t>
      </w:r>
      <w:r w:rsidRPr="007E702F">
        <w:rPr>
          <w:spacing w:val="-8"/>
        </w:rPr>
        <w:t xml:space="preserve"> </w:t>
      </w:r>
      <w:r w:rsidRPr="007E702F">
        <w:t>döneminin</w:t>
      </w:r>
      <w:r w:rsidRPr="007E702F">
        <w:rPr>
          <w:spacing w:val="-8"/>
        </w:rPr>
        <w:t xml:space="preserve"> </w:t>
      </w:r>
      <w:r w:rsidRPr="007E702F">
        <w:t>hayırseverlik</w:t>
      </w:r>
      <w:r w:rsidRPr="007E702F">
        <w:rPr>
          <w:spacing w:val="-8"/>
        </w:rPr>
        <w:t xml:space="preserve"> </w:t>
      </w:r>
      <w:r w:rsidRPr="007E702F">
        <w:t>anlayışının da</w:t>
      </w:r>
      <w:r w:rsidRPr="007E702F">
        <w:rPr>
          <w:spacing w:val="-7"/>
        </w:rPr>
        <w:t xml:space="preserve"> </w:t>
      </w:r>
      <w:r w:rsidRPr="007E702F">
        <w:t>engelli</w:t>
      </w:r>
      <w:r w:rsidRPr="007E702F">
        <w:rPr>
          <w:spacing w:val="-7"/>
        </w:rPr>
        <w:t xml:space="preserve"> </w:t>
      </w:r>
      <w:r w:rsidRPr="007E702F">
        <w:t>bireyler</w:t>
      </w:r>
      <w:r w:rsidRPr="007E702F">
        <w:rPr>
          <w:spacing w:val="-7"/>
        </w:rPr>
        <w:t xml:space="preserve"> </w:t>
      </w:r>
      <w:r w:rsidRPr="007E702F">
        <w:t>perspektifinde,</w:t>
      </w:r>
      <w:r w:rsidRPr="007E702F">
        <w:rPr>
          <w:spacing w:val="-7"/>
        </w:rPr>
        <w:t xml:space="preserve"> </w:t>
      </w:r>
      <w:r w:rsidRPr="007E702F">
        <w:t>toplumdaki</w:t>
      </w:r>
      <w:r w:rsidRPr="007E702F">
        <w:rPr>
          <w:spacing w:val="-7"/>
        </w:rPr>
        <w:t xml:space="preserve"> </w:t>
      </w:r>
      <w:r w:rsidRPr="007E702F">
        <w:t>zengin</w:t>
      </w:r>
      <w:r w:rsidRPr="007E702F">
        <w:rPr>
          <w:spacing w:val="-7"/>
        </w:rPr>
        <w:t xml:space="preserve"> </w:t>
      </w:r>
      <w:r w:rsidRPr="007E702F">
        <w:t>kesimlerin</w:t>
      </w:r>
      <w:r w:rsidRPr="007E702F">
        <w:rPr>
          <w:spacing w:val="-7"/>
        </w:rPr>
        <w:t xml:space="preserve"> </w:t>
      </w:r>
      <w:r w:rsidRPr="007E702F">
        <w:t>manevi</w:t>
      </w:r>
      <w:r w:rsidRPr="007E702F">
        <w:rPr>
          <w:spacing w:val="-7"/>
        </w:rPr>
        <w:t xml:space="preserve"> </w:t>
      </w:r>
      <w:r w:rsidRPr="007E702F">
        <w:t>manada</w:t>
      </w:r>
      <w:r w:rsidRPr="007E702F">
        <w:rPr>
          <w:spacing w:val="-7"/>
        </w:rPr>
        <w:t xml:space="preserve"> </w:t>
      </w:r>
      <w:r w:rsidRPr="007E702F">
        <w:t>kurtuluşa</w:t>
      </w:r>
      <w:r w:rsidRPr="007E702F">
        <w:rPr>
          <w:spacing w:val="-7"/>
        </w:rPr>
        <w:t xml:space="preserve"> </w:t>
      </w:r>
      <w:r w:rsidRPr="007E702F">
        <w:t>ulaşma vesilesi “sadaka” borcuna karşılık engelli bireyleri muhtaç nesnelere dönüştürmüş olduğu görülmektedir</w:t>
      </w:r>
      <w:r w:rsidRPr="007E702F">
        <w:rPr>
          <w:spacing w:val="-5"/>
        </w:rPr>
        <w:t xml:space="preserve"> </w:t>
      </w:r>
      <w:r w:rsidRPr="007E702F">
        <w:t>(</w:t>
      </w:r>
      <w:proofErr w:type="spellStart"/>
      <w:proofErr w:type="gramStart"/>
      <w:r w:rsidRPr="007E702F">
        <w:t>Stiker</w:t>
      </w:r>
      <w:proofErr w:type="spellEnd"/>
      <w:r w:rsidRPr="007E702F">
        <w:t>,,</w:t>
      </w:r>
      <w:proofErr w:type="gramEnd"/>
      <w:r w:rsidRPr="007E702F">
        <w:rPr>
          <w:spacing w:val="-5"/>
        </w:rPr>
        <w:t xml:space="preserve"> </w:t>
      </w:r>
      <w:r w:rsidRPr="007E702F">
        <w:t>H,</w:t>
      </w:r>
      <w:r w:rsidRPr="007E702F">
        <w:rPr>
          <w:spacing w:val="-5"/>
        </w:rPr>
        <w:t xml:space="preserve"> </w:t>
      </w:r>
      <w:r w:rsidRPr="007E702F">
        <w:t>J.;,</w:t>
      </w:r>
      <w:r w:rsidRPr="007E702F">
        <w:rPr>
          <w:spacing w:val="-5"/>
        </w:rPr>
        <w:t xml:space="preserve"> </w:t>
      </w:r>
      <w:r w:rsidRPr="007E702F">
        <w:t>2019:</w:t>
      </w:r>
      <w:r w:rsidRPr="007E702F">
        <w:rPr>
          <w:spacing w:val="-5"/>
        </w:rPr>
        <w:t xml:space="preserve"> </w:t>
      </w:r>
      <w:r w:rsidRPr="007E702F">
        <w:t>xxi).</w:t>
      </w:r>
      <w:r w:rsidRPr="007E702F">
        <w:rPr>
          <w:spacing w:val="-5"/>
        </w:rPr>
        <w:t xml:space="preserve"> </w:t>
      </w:r>
      <w:r w:rsidRPr="007E702F">
        <w:t>Engelli</w:t>
      </w:r>
      <w:r w:rsidRPr="007E702F">
        <w:rPr>
          <w:spacing w:val="-5"/>
        </w:rPr>
        <w:t xml:space="preserve"> </w:t>
      </w:r>
      <w:r w:rsidRPr="007E702F">
        <w:t>bireylerin</w:t>
      </w:r>
      <w:r w:rsidRPr="007E702F">
        <w:rPr>
          <w:spacing w:val="-5"/>
        </w:rPr>
        <w:t xml:space="preserve"> </w:t>
      </w:r>
      <w:proofErr w:type="gramStart"/>
      <w:r w:rsidRPr="007E702F">
        <w:t>Ortaçağ</w:t>
      </w:r>
      <w:proofErr w:type="gramEnd"/>
      <w:r w:rsidRPr="007E702F">
        <w:rPr>
          <w:spacing w:val="-5"/>
        </w:rPr>
        <w:t xml:space="preserve"> </w:t>
      </w:r>
      <w:r w:rsidRPr="007E702F">
        <w:t>toplumlarındaki</w:t>
      </w:r>
      <w:r w:rsidRPr="007E702F">
        <w:rPr>
          <w:spacing w:val="-5"/>
        </w:rPr>
        <w:t xml:space="preserve"> </w:t>
      </w:r>
      <w:r w:rsidRPr="007E702F">
        <w:t>bir</w:t>
      </w:r>
      <w:r w:rsidRPr="007E702F">
        <w:rPr>
          <w:spacing w:val="-5"/>
        </w:rPr>
        <w:t xml:space="preserve"> </w:t>
      </w:r>
      <w:r w:rsidRPr="007E702F">
        <w:t>diğer</w:t>
      </w:r>
      <w:r w:rsidRPr="007E702F">
        <w:rPr>
          <w:spacing w:val="-5"/>
        </w:rPr>
        <w:t xml:space="preserve"> </w:t>
      </w:r>
      <w:r w:rsidRPr="007E702F">
        <w:t xml:space="preserve">rolü ise kral soytarılığı yapıyor olmalarıdır. O dönemde hükümdarlık süren kral </w:t>
      </w:r>
      <w:proofErr w:type="gramStart"/>
      <w:r w:rsidRPr="007E702F">
        <w:t>ve ya</w:t>
      </w:r>
      <w:proofErr w:type="gramEnd"/>
      <w:r w:rsidRPr="007E702F">
        <w:t xml:space="preserve"> prens mutlaka yanında</w:t>
      </w:r>
      <w:r w:rsidRPr="007E702F">
        <w:rPr>
          <w:spacing w:val="28"/>
        </w:rPr>
        <w:t xml:space="preserve"> </w:t>
      </w:r>
      <w:r w:rsidRPr="007E702F">
        <w:t>bir</w:t>
      </w:r>
      <w:r w:rsidRPr="007E702F">
        <w:rPr>
          <w:spacing w:val="31"/>
        </w:rPr>
        <w:t xml:space="preserve"> </w:t>
      </w:r>
      <w:r w:rsidRPr="007E702F">
        <w:t>cüce</w:t>
      </w:r>
      <w:r w:rsidRPr="007E702F">
        <w:rPr>
          <w:spacing w:val="31"/>
        </w:rPr>
        <w:t xml:space="preserve"> </w:t>
      </w:r>
      <w:r w:rsidRPr="007E702F">
        <w:t>ve</w:t>
      </w:r>
      <w:r w:rsidRPr="007E702F">
        <w:rPr>
          <w:spacing w:val="31"/>
        </w:rPr>
        <w:t xml:space="preserve"> </w:t>
      </w:r>
      <w:r w:rsidRPr="007E702F">
        <w:t>ya</w:t>
      </w:r>
      <w:r w:rsidRPr="007E702F">
        <w:rPr>
          <w:spacing w:val="31"/>
        </w:rPr>
        <w:t xml:space="preserve"> </w:t>
      </w:r>
      <w:r w:rsidRPr="007E702F">
        <w:t>kambur</w:t>
      </w:r>
      <w:r w:rsidRPr="007E702F">
        <w:rPr>
          <w:spacing w:val="31"/>
        </w:rPr>
        <w:t xml:space="preserve"> </w:t>
      </w:r>
      <w:r w:rsidRPr="007E702F">
        <w:t>bir</w:t>
      </w:r>
      <w:r w:rsidRPr="007E702F">
        <w:rPr>
          <w:spacing w:val="30"/>
        </w:rPr>
        <w:t xml:space="preserve"> </w:t>
      </w:r>
      <w:r w:rsidRPr="007E702F">
        <w:t>bireyi</w:t>
      </w:r>
      <w:r w:rsidRPr="007E702F">
        <w:rPr>
          <w:spacing w:val="31"/>
        </w:rPr>
        <w:t xml:space="preserve"> </w:t>
      </w:r>
      <w:r w:rsidRPr="007E702F">
        <w:t>gezdirmektedir.</w:t>
      </w:r>
      <w:r w:rsidRPr="007E702F">
        <w:rPr>
          <w:spacing w:val="31"/>
        </w:rPr>
        <w:t xml:space="preserve"> </w:t>
      </w:r>
      <w:r w:rsidRPr="007E702F">
        <w:t>Bu</w:t>
      </w:r>
      <w:r w:rsidRPr="007E702F">
        <w:rPr>
          <w:spacing w:val="31"/>
        </w:rPr>
        <w:t xml:space="preserve"> </w:t>
      </w:r>
      <w:r w:rsidRPr="007E702F">
        <w:t>tarz</w:t>
      </w:r>
      <w:r w:rsidRPr="007E702F">
        <w:rPr>
          <w:spacing w:val="31"/>
        </w:rPr>
        <w:t xml:space="preserve"> </w:t>
      </w:r>
      <w:r w:rsidRPr="007E702F">
        <w:t>engelliliği</w:t>
      </w:r>
      <w:r w:rsidRPr="007E702F">
        <w:rPr>
          <w:spacing w:val="31"/>
        </w:rPr>
        <w:t xml:space="preserve"> </w:t>
      </w:r>
      <w:r w:rsidRPr="007E702F">
        <w:t>bulunan</w:t>
      </w:r>
      <w:r w:rsidRPr="007E702F">
        <w:rPr>
          <w:spacing w:val="31"/>
        </w:rPr>
        <w:t xml:space="preserve"> </w:t>
      </w:r>
      <w:r w:rsidRPr="007E702F">
        <w:rPr>
          <w:spacing w:val="-2"/>
        </w:rPr>
        <w:t>kimseler</w:t>
      </w:r>
    </w:p>
    <w:p w14:paraId="38E5CFB0"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635D61FC" w14:textId="77777777" w:rsidR="007E702F" w:rsidRPr="007E702F" w:rsidRDefault="007E702F" w:rsidP="00316176">
      <w:pPr>
        <w:pStyle w:val="GvdeMetni"/>
        <w:ind w:right="337"/>
        <w:jc w:val="both"/>
      </w:pPr>
      <w:proofErr w:type="gramStart"/>
      <w:r w:rsidRPr="007E702F">
        <w:t>toplumun</w:t>
      </w:r>
      <w:proofErr w:type="gramEnd"/>
      <w:r w:rsidRPr="007E702F">
        <w:t xml:space="preserve"> </w:t>
      </w:r>
      <w:proofErr w:type="spellStart"/>
      <w:r w:rsidRPr="007E702F">
        <w:t>nezlinde</w:t>
      </w:r>
      <w:proofErr w:type="spellEnd"/>
      <w:r w:rsidRPr="007E702F">
        <w:t>, toplumsal tabakanın en alt zümresini temsil ettiklerinden dolayı ve prensi ve onun gücünü alay konusu etmesine izin veriliyor olması muhtemeldir (</w:t>
      </w:r>
      <w:proofErr w:type="spellStart"/>
      <w:r w:rsidRPr="007E702F">
        <w:t>Stiker</w:t>
      </w:r>
      <w:proofErr w:type="spellEnd"/>
      <w:r w:rsidRPr="007E702F">
        <w:t xml:space="preserve">, 2019: 70). Nihayetinde </w:t>
      </w:r>
      <w:proofErr w:type="gramStart"/>
      <w:r w:rsidRPr="007E702F">
        <w:t>Ortaçağ'da</w:t>
      </w:r>
      <w:proofErr w:type="gramEnd"/>
      <w:r w:rsidRPr="007E702F">
        <w:t>, engelli bireylere yansıtılmış farklı ve birbirine zıt ve karmaşık tutum ve davranışların mevcudiyet kazanmış olduğu ancak gözde görülür bir farklılığa da sahip olanların dışlandığı ve zulüm görmüş oldukları ifade edilebilmektedir.</w:t>
      </w:r>
    </w:p>
    <w:p w14:paraId="1084F297" w14:textId="77777777" w:rsidR="007E702F" w:rsidRPr="007E702F" w:rsidRDefault="007E702F" w:rsidP="00316176">
      <w:pPr>
        <w:pStyle w:val="GvdeMetni"/>
      </w:pPr>
    </w:p>
    <w:p w14:paraId="575B4FDD" w14:textId="77777777" w:rsidR="007E702F" w:rsidRPr="007E702F" w:rsidRDefault="007E702F" w:rsidP="00316176">
      <w:pPr>
        <w:pStyle w:val="GvdeMetni"/>
        <w:ind w:right="336"/>
        <w:jc w:val="both"/>
      </w:pPr>
      <w:r w:rsidRPr="007E702F">
        <w:t xml:space="preserve">İlk çağlardan evvel günümüze yaklaşan çağlar boyu süregeldiğimiz Aydınlanma Dönemine </w:t>
      </w:r>
      <w:r w:rsidRPr="007E702F">
        <w:lastRenderedPageBreak/>
        <w:t xml:space="preserve">bakıldığı zaman toplumların bilgi eksikliğinin ağır ilerliyor olsa dahi yol katetmiş olduğu görülmektedir. Bu dönemde artık doğal düzen olarak algılanana müdahalede bulunulabileceği kabul edilmiştir. Bu sebeple, bu dönemde en dikkat çeken unsur tıbbi gelişmelerin yaşanıyor olmasıdır. Bu dönemde profesyonel bir doktor ve bakıcı sınıfı yükselişe geçtiği görülüyorken, engellilik hali giderek </w:t>
      </w:r>
      <w:proofErr w:type="spellStart"/>
      <w:r w:rsidRPr="007E702F">
        <w:t>tıbbileşmeye</w:t>
      </w:r>
      <w:proofErr w:type="spellEnd"/>
      <w:r w:rsidRPr="007E702F">
        <w:t xml:space="preserve"> ve kurumsal bakım hizmeti aygın hale geldiği görülmektedir (</w:t>
      </w:r>
      <w:proofErr w:type="spellStart"/>
      <w:r w:rsidRPr="007E702F">
        <w:t>Braddock</w:t>
      </w:r>
      <w:proofErr w:type="spellEnd"/>
      <w:r w:rsidRPr="007E702F">
        <w:t>, 2002: 19), (</w:t>
      </w:r>
      <w:proofErr w:type="spellStart"/>
      <w:r w:rsidRPr="007E702F">
        <w:t>Rimmerman</w:t>
      </w:r>
      <w:proofErr w:type="spellEnd"/>
      <w:r w:rsidRPr="007E702F">
        <w:t>, 2013: 15 -16). Bu dönemde, vuku bulan hastalıklar için fantastik</w:t>
      </w:r>
      <w:r w:rsidRPr="007E702F">
        <w:rPr>
          <w:spacing w:val="-4"/>
        </w:rPr>
        <w:t xml:space="preserve"> </w:t>
      </w:r>
      <w:r w:rsidRPr="007E702F">
        <w:t>olduğu</w:t>
      </w:r>
      <w:r w:rsidRPr="007E702F">
        <w:rPr>
          <w:spacing w:val="-4"/>
        </w:rPr>
        <w:t xml:space="preserve"> </w:t>
      </w:r>
      <w:r w:rsidRPr="007E702F">
        <w:t>görünen</w:t>
      </w:r>
      <w:r w:rsidRPr="007E702F">
        <w:rPr>
          <w:spacing w:val="-4"/>
        </w:rPr>
        <w:t xml:space="preserve"> </w:t>
      </w:r>
      <w:r w:rsidRPr="007E702F">
        <w:t>çeşitli</w:t>
      </w:r>
      <w:r w:rsidRPr="007E702F">
        <w:rPr>
          <w:spacing w:val="-4"/>
        </w:rPr>
        <w:t xml:space="preserve"> </w:t>
      </w:r>
      <w:r w:rsidRPr="007E702F">
        <w:t>tedavi</w:t>
      </w:r>
      <w:r w:rsidRPr="007E702F">
        <w:rPr>
          <w:spacing w:val="-4"/>
        </w:rPr>
        <w:t xml:space="preserve"> </w:t>
      </w:r>
      <w:r w:rsidRPr="007E702F">
        <w:t>ve</w:t>
      </w:r>
      <w:r w:rsidRPr="007E702F">
        <w:rPr>
          <w:spacing w:val="-4"/>
        </w:rPr>
        <w:t xml:space="preserve"> </w:t>
      </w:r>
      <w:r w:rsidRPr="007E702F">
        <w:t>tedavi</w:t>
      </w:r>
      <w:r w:rsidRPr="007E702F">
        <w:rPr>
          <w:spacing w:val="-4"/>
        </w:rPr>
        <w:t xml:space="preserve"> </w:t>
      </w:r>
      <w:r w:rsidRPr="007E702F">
        <w:t>yöntemlerinin</w:t>
      </w:r>
      <w:r w:rsidRPr="007E702F">
        <w:rPr>
          <w:spacing w:val="-4"/>
        </w:rPr>
        <w:t xml:space="preserve"> </w:t>
      </w:r>
      <w:r w:rsidRPr="007E702F">
        <w:t>uygulanmış</w:t>
      </w:r>
      <w:r w:rsidRPr="007E702F">
        <w:rPr>
          <w:spacing w:val="-4"/>
        </w:rPr>
        <w:t xml:space="preserve"> </w:t>
      </w:r>
      <w:r w:rsidRPr="007E702F">
        <w:t>olduğu</w:t>
      </w:r>
      <w:r w:rsidRPr="007E702F">
        <w:rPr>
          <w:spacing w:val="-4"/>
        </w:rPr>
        <w:t xml:space="preserve"> </w:t>
      </w:r>
      <w:r w:rsidRPr="007E702F">
        <w:t>görülmektedir. Her</w:t>
      </w:r>
      <w:r w:rsidRPr="007E702F">
        <w:rPr>
          <w:spacing w:val="-8"/>
        </w:rPr>
        <w:t xml:space="preserve"> </w:t>
      </w:r>
      <w:r w:rsidRPr="007E702F">
        <w:t>ne</w:t>
      </w:r>
      <w:r w:rsidRPr="007E702F">
        <w:rPr>
          <w:spacing w:val="-8"/>
        </w:rPr>
        <w:t xml:space="preserve"> </w:t>
      </w:r>
      <w:r w:rsidRPr="007E702F">
        <w:t>kadar</w:t>
      </w:r>
      <w:r w:rsidRPr="007E702F">
        <w:rPr>
          <w:spacing w:val="-8"/>
        </w:rPr>
        <w:t xml:space="preserve"> </w:t>
      </w:r>
      <w:r w:rsidRPr="007E702F">
        <w:t>günümüzden</w:t>
      </w:r>
      <w:r w:rsidRPr="007E702F">
        <w:rPr>
          <w:spacing w:val="-8"/>
        </w:rPr>
        <w:t xml:space="preserve"> </w:t>
      </w:r>
      <w:r w:rsidRPr="007E702F">
        <w:t>daha</w:t>
      </w:r>
      <w:r w:rsidRPr="007E702F">
        <w:rPr>
          <w:spacing w:val="-8"/>
        </w:rPr>
        <w:t xml:space="preserve"> </w:t>
      </w:r>
      <w:r w:rsidRPr="007E702F">
        <w:t>farklı</w:t>
      </w:r>
      <w:r w:rsidRPr="007E702F">
        <w:rPr>
          <w:spacing w:val="-8"/>
        </w:rPr>
        <w:t xml:space="preserve"> </w:t>
      </w:r>
      <w:r w:rsidRPr="007E702F">
        <w:t>tedavi</w:t>
      </w:r>
      <w:r w:rsidRPr="007E702F">
        <w:rPr>
          <w:spacing w:val="-8"/>
        </w:rPr>
        <w:t xml:space="preserve"> </w:t>
      </w:r>
      <w:r w:rsidRPr="007E702F">
        <w:t>yöntem</w:t>
      </w:r>
      <w:r w:rsidRPr="007E702F">
        <w:rPr>
          <w:spacing w:val="-8"/>
        </w:rPr>
        <w:t xml:space="preserve"> </w:t>
      </w:r>
      <w:r w:rsidRPr="007E702F">
        <w:t>ve</w:t>
      </w:r>
      <w:r w:rsidRPr="007E702F">
        <w:rPr>
          <w:spacing w:val="-8"/>
        </w:rPr>
        <w:t xml:space="preserve"> </w:t>
      </w:r>
      <w:r w:rsidRPr="007E702F">
        <w:t>uygulamaları</w:t>
      </w:r>
      <w:r w:rsidRPr="007E702F">
        <w:rPr>
          <w:spacing w:val="-8"/>
        </w:rPr>
        <w:t xml:space="preserve"> </w:t>
      </w:r>
      <w:r w:rsidRPr="007E702F">
        <w:t>yer</w:t>
      </w:r>
      <w:r w:rsidRPr="007E702F">
        <w:rPr>
          <w:spacing w:val="-8"/>
        </w:rPr>
        <w:t xml:space="preserve"> </w:t>
      </w:r>
      <w:r w:rsidRPr="007E702F">
        <w:t>alsa</w:t>
      </w:r>
      <w:r w:rsidRPr="007E702F">
        <w:rPr>
          <w:spacing w:val="-8"/>
        </w:rPr>
        <w:t xml:space="preserve"> </w:t>
      </w:r>
      <w:r w:rsidRPr="007E702F">
        <w:t>dahi</w:t>
      </w:r>
      <w:r w:rsidRPr="007E702F">
        <w:rPr>
          <w:spacing w:val="-8"/>
        </w:rPr>
        <w:t xml:space="preserve"> </w:t>
      </w:r>
      <w:r w:rsidRPr="007E702F">
        <w:t>hastalıkların</w:t>
      </w:r>
      <w:r w:rsidRPr="007E702F">
        <w:rPr>
          <w:spacing w:val="-8"/>
        </w:rPr>
        <w:t xml:space="preserve"> </w:t>
      </w:r>
      <w:r w:rsidRPr="007E702F">
        <w:t>ve engelliliğin</w:t>
      </w:r>
      <w:r w:rsidRPr="007E702F">
        <w:rPr>
          <w:spacing w:val="-10"/>
        </w:rPr>
        <w:t xml:space="preserve"> </w:t>
      </w:r>
      <w:r w:rsidRPr="007E702F">
        <w:t>olağanüstülüğünün</w:t>
      </w:r>
      <w:r w:rsidRPr="007E702F">
        <w:rPr>
          <w:spacing w:val="-10"/>
        </w:rPr>
        <w:t xml:space="preserve"> </w:t>
      </w:r>
      <w:r w:rsidRPr="007E702F">
        <w:t>ya</w:t>
      </w:r>
      <w:r w:rsidRPr="007E702F">
        <w:rPr>
          <w:spacing w:val="-10"/>
        </w:rPr>
        <w:t xml:space="preserve"> </w:t>
      </w:r>
      <w:r w:rsidRPr="007E702F">
        <w:t>da</w:t>
      </w:r>
      <w:r w:rsidRPr="007E702F">
        <w:rPr>
          <w:spacing w:val="-10"/>
        </w:rPr>
        <w:t xml:space="preserve"> </w:t>
      </w:r>
      <w:r w:rsidRPr="007E702F">
        <w:t>doğaüstü</w:t>
      </w:r>
      <w:r w:rsidRPr="007E702F">
        <w:rPr>
          <w:spacing w:val="-10"/>
        </w:rPr>
        <w:t xml:space="preserve"> </w:t>
      </w:r>
      <w:r w:rsidRPr="007E702F">
        <w:t>olduğuna</w:t>
      </w:r>
      <w:r w:rsidRPr="007E702F">
        <w:rPr>
          <w:spacing w:val="-10"/>
        </w:rPr>
        <w:t xml:space="preserve"> </w:t>
      </w:r>
      <w:r w:rsidRPr="007E702F">
        <w:t>dair</w:t>
      </w:r>
      <w:r w:rsidRPr="007E702F">
        <w:rPr>
          <w:spacing w:val="-10"/>
        </w:rPr>
        <w:t xml:space="preserve"> </w:t>
      </w:r>
      <w:r w:rsidRPr="007E702F">
        <w:t>toplumun</w:t>
      </w:r>
      <w:r w:rsidRPr="007E702F">
        <w:rPr>
          <w:spacing w:val="-10"/>
        </w:rPr>
        <w:t xml:space="preserve"> </w:t>
      </w:r>
      <w:r w:rsidRPr="007E702F">
        <w:t>genel</w:t>
      </w:r>
      <w:r w:rsidRPr="007E702F">
        <w:rPr>
          <w:spacing w:val="-10"/>
        </w:rPr>
        <w:t xml:space="preserve"> </w:t>
      </w:r>
      <w:r w:rsidRPr="007E702F">
        <w:t>düşüncesini</w:t>
      </w:r>
      <w:r w:rsidRPr="007E702F">
        <w:rPr>
          <w:spacing w:val="-10"/>
        </w:rPr>
        <w:t xml:space="preserve"> </w:t>
      </w:r>
      <w:r w:rsidRPr="007E702F">
        <w:t>kırmaya yönelinmiş ve tedavi çabalarının ortaya çıkmasıyla bu ufak gibi görünen çabalar dönemsel olarak çok büyük katkılar sağlamıştır. Toplumdaki bu zihniyet değişimine ve ilerlemesine karşın, erken modern</w:t>
      </w:r>
      <w:r w:rsidRPr="007E702F">
        <w:rPr>
          <w:spacing w:val="-11"/>
        </w:rPr>
        <w:t xml:space="preserve"> </w:t>
      </w:r>
      <w:r w:rsidRPr="007E702F">
        <w:t>dönemin</w:t>
      </w:r>
      <w:r w:rsidRPr="007E702F">
        <w:rPr>
          <w:spacing w:val="-11"/>
        </w:rPr>
        <w:t xml:space="preserve"> </w:t>
      </w:r>
      <w:r w:rsidRPr="007E702F">
        <w:t>içerisinde</w:t>
      </w:r>
      <w:r w:rsidRPr="007E702F">
        <w:rPr>
          <w:spacing w:val="-11"/>
        </w:rPr>
        <w:t xml:space="preserve"> </w:t>
      </w:r>
      <w:r w:rsidRPr="007E702F">
        <w:t>zihinsel</w:t>
      </w:r>
      <w:r w:rsidRPr="007E702F">
        <w:rPr>
          <w:spacing w:val="-11"/>
        </w:rPr>
        <w:t xml:space="preserve"> </w:t>
      </w:r>
      <w:r w:rsidRPr="007E702F">
        <w:t>engelli</w:t>
      </w:r>
      <w:r w:rsidRPr="007E702F">
        <w:rPr>
          <w:spacing w:val="-11"/>
        </w:rPr>
        <w:t xml:space="preserve"> </w:t>
      </w:r>
      <w:r w:rsidRPr="007E702F">
        <w:t>bireylere</w:t>
      </w:r>
      <w:r w:rsidRPr="007E702F">
        <w:rPr>
          <w:spacing w:val="-11"/>
        </w:rPr>
        <w:t xml:space="preserve"> </w:t>
      </w:r>
      <w:r w:rsidRPr="007E702F">
        <w:t>dair</w:t>
      </w:r>
      <w:r w:rsidRPr="007E702F">
        <w:rPr>
          <w:spacing w:val="-11"/>
        </w:rPr>
        <w:t xml:space="preserve"> </w:t>
      </w:r>
      <w:proofErr w:type="gramStart"/>
      <w:r w:rsidRPr="007E702F">
        <w:t>bir</w:t>
      </w:r>
      <w:r w:rsidRPr="007E702F">
        <w:rPr>
          <w:spacing w:val="-11"/>
        </w:rPr>
        <w:t xml:space="preserve"> </w:t>
      </w:r>
      <w:r w:rsidRPr="007E702F">
        <w:t>takım</w:t>
      </w:r>
      <w:proofErr w:type="gramEnd"/>
      <w:r w:rsidRPr="007E702F">
        <w:rPr>
          <w:spacing w:val="-11"/>
        </w:rPr>
        <w:t xml:space="preserve"> </w:t>
      </w:r>
      <w:r w:rsidRPr="007E702F">
        <w:t>önyargıların</w:t>
      </w:r>
      <w:r w:rsidRPr="007E702F">
        <w:rPr>
          <w:spacing w:val="-11"/>
        </w:rPr>
        <w:t xml:space="preserve"> </w:t>
      </w:r>
      <w:r w:rsidRPr="007E702F">
        <w:t>var</w:t>
      </w:r>
      <w:r w:rsidRPr="007E702F">
        <w:rPr>
          <w:spacing w:val="-11"/>
        </w:rPr>
        <w:t xml:space="preserve"> </w:t>
      </w:r>
      <w:r w:rsidRPr="007E702F">
        <w:t>olmaya</w:t>
      </w:r>
      <w:r w:rsidRPr="007E702F">
        <w:rPr>
          <w:spacing w:val="-11"/>
        </w:rPr>
        <w:t xml:space="preserve"> </w:t>
      </w:r>
      <w:r w:rsidRPr="007E702F">
        <w:t xml:space="preserve">devam ettiği gözlemlenmektedir. Örneğin, Reformist liderlerden John Calvin ve </w:t>
      </w:r>
      <w:proofErr w:type="gramStart"/>
      <w:r w:rsidRPr="007E702F">
        <w:t>Martin</w:t>
      </w:r>
      <w:proofErr w:type="gramEnd"/>
      <w:r w:rsidRPr="007E702F">
        <w:t xml:space="preserve"> Luther zihinsel engelli bireylerin Şeytan tarafından yaratılmış olduğu ve ya ele geçirilmiş olduklarına dair vaaz vermiş oldukları kaynaklara geçmiştir (</w:t>
      </w:r>
      <w:proofErr w:type="spellStart"/>
      <w:r w:rsidRPr="007E702F">
        <w:t>Braddock</w:t>
      </w:r>
      <w:proofErr w:type="spellEnd"/>
      <w:r w:rsidRPr="007E702F">
        <w:t>, 2002: 19). Bu dönemde de engelli bireylerin özellikle</w:t>
      </w:r>
      <w:r w:rsidRPr="007E702F">
        <w:rPr>
          <w:spacing w:val="-2"/>
        </w:rPr>
        <w:t xml:space="preserve"> </w:t>
      </w:r>
      <w:r w:rsidRPr="007E702F">
        <w:t>bedensel</w:t>
      </w:r>
      <w:r w:rsidRPr="007E702F">
        <w:rPr>
          <w:spacing w:val="-2"/>
        </w:rPr>
        <w:t xml:space="preserve"> </w:t>
      </w:r>
      <w:r w:rsidRPr="007E702F">
        <w:t>ve</w:t>
      </w:r>
      <w:r w:rsidRPr="007E702F">
        <w:rPr>
          <w:spacing w:val="-2"/>
        </w:rPr>
        <w:t xml:space="preserve"> </w:t>
      </w:r>
      <w:r w:rsidRPr="007E702F">
        <w:t>zihinsel</w:t>
      </w:r>
      <w:r w:rsidRPr="007E702F">
        <w:rPr>
          <w:spacing w:val="-2"/>
        </w:rPr>
        <w:t xml:space="preserve"> </w:t>
      </w:r>
      <w:r w:rsidRPr="007E702F">
        <w:t>engelli</w:t>
      </w:r>
      <w:r w:rsidRPr="007E702F">
        <w:rPr>
          <w:spacing w:val="-2"/>
        </w:rPr>
        <w:t xml:space="preserve"> </w:t>
      </w:r>
      <w:r w:rsidRPr="007E702F">
        <w:t>bireylerin,</w:t>
      </w:r>
      <w:r w:rsidRPr="007E702F">
        <w:rPr>
          <w:spacing w:val="-2"/>
        </w:rPr>
        <w:t xml:space="preserve"> </w:t>
      </w:r>
      <w:r w:rsidRPr="007E702F">
        <w:t>“fiziksel</w:t>
      </w:r>
      <w:r w:rsidRPr="007E702F">
        <w:rPr>
          <w:spacing w:val="-2"/>
        </w:rPr>
        <w:t xml:space="preserve"> </w:t>
      </w:r>
      <w:r w:rsidRPr="007E702F">
        <w:t>öteki”</w:t>
      </w:r>
      <w:r w:rsidRPr="007E702F">
        <w:rPr>
          <w:spacing w:val="-2"/>
        </w:rPr>
        <w:t xml:space="preserve"> </w:t>
      </w:r>
      <w:r w:rsidRPr="007E702F">
        <w:t>olarak</w:t>
      </w:r>
      <w:r w:rsidRPr="007E702F">
        <w:rPr>
          <w:spacing w:val="-2"/>
        </w:rPr>
        <w:t xml:space="preserve"> </w:t>
      </w:r>
      <w:r w:rsidRPr="007E702F">
        <w:t>sergilenmeye</w:t>
      </w:r>
      <w:r w:rsidRPr="007E702F">
        <w:rPr>
          <w:spacing w:val="-2"/>
        </w:rPr>
        <w:t xml:space="preserve"> </w:t>
      </w:r>
      <w:r w:rsidRPr="007E702F">
        <w:t>devam</w:t>
      </w:r>
      <w:r w:rsidRPr="007E702F">
        <w:rPr>
          <w:spacing w:val="-2"/>
        </w:rPr>
        <w:t xml:space="preserve"> </w:t>
      </w:r>
      <w:r w:rsidRPr="007E702F">
        <w:t>etmiş olup, popüler koleksiyon evlerinde “</w:t>
      </w:r>
      <w:proofErr w:type="spellStart"/>
      <w:r w:rsidRPr="007E702F">
        <w:t>the</w:t>
      </w:r>
      <w:proofErr w:type="spellEnd"/>
      <w:r w:rsidRPr="007E702F">
        <w:t xml:space="preserve"> </w:t>
      </w:r>
      <w:proofErr w:type="spellStart"/>
      <w:r w:rsidRPr="007E702F">
        <w:t>cabinets</w:t>
      </w:r>
      <w:proofErr w:type="spellEnd"/>
      <w:r w:rsidRPr="007E702F">
        <w:t xml:space="preserve"> of </w:t>
      </w:r>
      <w:proofErr w:type="spellStart"/>
      <w:r w:rsidRPr="007E702F">
        <w:t>curiosities</w:t>
      </w:r>
      <w:proofErr w:type="spellEnd"/>
      <w:r w:rsidRPr="007E702F">
        <w:t xml:space="preserve">) sıra dışı nesneler </w:t>
      </w:r>
      <w:proofErr w:type="gramStart"/>
      <w:r w:rsidRPr="007E702F">
        <w:t>ile birlikte</w:t>
      </w:r>
      <w:proofErr w:type="gramEnd"/>
      <w:r w:rsidRPr="007E702F">
        <w:t xml:space="preserve"> soyluları eğlendirmek üzere bir eğlence aracı olarak nesneleştirilmiş olduğu görülmektedir. Aydınlanma Dönemi'nde de bu tarz durumlar bireylerin farklı gelişmiş bedenlerin anatomik müzelerin bir parçası haline gelmesiyle bu tarz damgalamalar devamlılığını sürdürmüş olduğu </w:t>
      </w:r>
      <w:r w:rsidRPr="007E702F">
        <w:rPr>
          <w:spacing w:val="-2"/>
        </w:rPr>
        <w:t>görülmektedir.</w:t>
      </w:r>
    </w:p>
    <w:p w14:paraId="6513B649" w14:textId="77777777" w:rsidR="007E702F" w:rsidRPr="007E702F" w:rsidRDefault="007E702F" w:rsidP="00316176">
      <w:pPr>
        <w:pStyle w:val="GvdeMetni"/>
      </w:pPr>
    </w:p>
    <w:p w14:paraId="40450907" w14:textId="77777777" w:rsidR="007E702F" w:rsidRPr="007E702F" w:rsidRDefault="007E702F" w:rsidP="00316176">
      <w:pPr>
        <w:pStyle w:val="GvdeMetni"/>
        <w:ind w:right="337"/>
        <w:jc w:val="both"/>
      </w:pPr>
      <w:r w:rsidRPr="007E702F">
        <w:t>Engelli</w:t>
      </w:r>
      <w:r w:rsidRPr="007E702F">
        <w:rPr>
          <w:spacing w:val="-13"/>
        </w:rPr>
        <w:t xml:space="preserve"> </w:t>
      </w:r>
      <w:r w:rsidRPr="007E702F">
        <w:t>bireylerin</w:t>
      </w:r>
      <w:r w:rsidRPr="007E702F">
        <w:rPr>
          <w:spacing w:val="-13"/>
        </w:rPr>
        <w:t xml:space="preserve"> </w:t>
      </w:r>
      <w:r w:rsidRPr="007E702F">
        <w:t>sergilenmesi</w:t>
      </w:r>
      <w:r w:rsidRPr="007E702F">
        <w:rPr>
          <w:spacing w:val="-13"/>
        </w:rPr>
        <w:t xml:space="preserve"> </w:t>
      </w:r>
      <w:r w:rsidRPr="007E702F">
        <w:t>meselesi</w:t>
      </w:r>
      <w:r w:rsidRPr="007E702F">
        <w:rPr>
          <w:spacing w:val="-13"/>
        </w:rPr>
        <w:t xml:space="preserve"> </w:t>
      </w:r>
      <w:r w:rsidRPr="007E702F">
        <w:t>Aydınlanma</w:t>
      </w:r>
      <w:r w:rsidRPr="007E702F">
        <w:rPr>
          <w:spacing w:val="-13"/>
        </w:rPr>
        <w:t xml:space="preserve"> </w:t>
      </w:r>
      <w:r w:rsidRPr="007E702F">
        <w:t>Dönemi</w:t>
      </w:r>
      <w:r w:rsidRPr="007E702F">
        <w:rPr>
          <w:spacing w:val="-13"/>
        </w:rPr>
        <w:t xml:space="preserve"> </w:t>
      </w:r>
      <w:r w:rsidRPr="007E702F">
        <w:t>sonrası</w:t>
      </w:r>
      <w:r w:rsidRPr="007E702F">
        <w:rPr>
          <w:spacing w:val="-13"/>
        </w:rPr>
        <w:t xml:space="preserve"> </w:t>
      </w:r>
      <w:r w:rsidRPr="007E702F">
        <w:t>19.yüzyılın</w:t>
      </w:r>
      <w:r w:rsidRPr="007E702F">
        <w:rPr>
          <w:spacing w:val="-13"/>
        </w:rPr>
        <w:t xml:space="preserve"> </w:t>
      </w:r>
      <w:r w:rsidRPr="007E702F">
        <w:t>ikinci</w:t>
      </w:r>
      <w:r w:rsidRPr="007E702F">
        <w:rPr>
          <w:spacing w:val="-13"/>
        </w:rPr>
        <w:t xml:space="preserve"> </w:t>
      </w:r>
      <w:r w:rsidRPr="007E702F">
        <w:t>yarısından itibaren</w:t>
      </w:r>
      <w:r w:rsidRPr="007E702F">
        <w:rPr>
          <w:spacing w:val="-15"/>
        </w:rPr>
        <w:t xml:space="preserve"> </w:t>
      </w:r>
      <w:r w:rsidRPr="007E702F">
        <w:t>kitlesel</w:t>
      </w:r>
      <w:r w:rsidRPr="007E702F">
        <w:rPr>
          <w:spacing w:val="-15"/>
        </w:rPr>
        <w:t xml:space="preserve"> </w:t>
      </w:r>
      <w:r w:rsidRPr="007E702F">
        <w:t>popülerlik</w:t>
      </w:r>
      <w:r w:rsidRPr="007E702F">
        <w:rPr>
          <w:spacing w:val="-15"/>
        </w:rPr>
        <w:t xml:space="preserve"> </w:t>
      </w:r>
      <w:r w:rsidRPr="007E702F">
        <w:t>kazanmış</w:t>
      </w:r>
      <w:r w:rsidRPr="007E702F">
        <w:rPr>
          <w:spacing w:val="-15"/>
        </w:rPr>
        <w:t xml:space="preserve"> </w:t>
      </w:r>
      <w:r w:rsidRPr="007E702F">
        <w:t>eğlence</w:t>
      </w:r>
      <w:r w:rsidRPr="007E702F">
        <w:rPr>
          <w:spacing w:val="-15"/>
        </w:rPr>
        <w:t xml:space="preserve"> </w:t>
      </w:r>
      <w:r w:rsidRPr="007E702F">
        <w:t>endüstrisi</w:t>
      </w:r>
      <w:r w:rsidRPr="007E702F">
        <w:rPr>
          <w:spacing w:val="-15"/>
        </w:rPr>
        <w:t xml:space="preserve"> </w:t>
      </w:r>
      <w:r w:rsidRPr="007E702F">
        <w:t>haline</w:t>
      </w:r>
      <w:r w:rsidRPr="007E702F">
        <w:rPr>
          <w:spacing w:val="-15"/>
        </w:rPr>
        <w:t xml:space="preserve"> </w:t>
      </w:r>
      <w:r w:rsidRPr="007E702F">
        <w:t>gelmiş</w:t>
      </w:r>
      <w:r w:rsidRPr="007E702F">
        <w:rPr>
          <w:spacing w:val="-15"/>
        </w:rPr>
        <w:t xml:space="preserve"> </w:t>
      </w:r>
      <w:r w:rsidRPr="007E702F">
        <w:t>olduğu</w:t>
      </w:r>
      <w:r w:rsidRPr="007E702F">
        <w:rPr>
          <w:spacing w:val="-15"/>
        </w:rPr>
        <w:t xml:space="preserve"> </w:t>
      </w:r>
      <w:r w:rsidRPr="007E702F">
        <w:t>görülmektedir.</w:t>
      </w:r>
      <w:r w:rsidRPr="007E702F">
        <w:rPr>
          <w:spacing w:val="-15"/>
        </w:rPr>
        <w:t xml:space="preserve"> </w:t>
      </w:r>
      <w:r w:rsidRPr="007E702F">
        <w:t>Ucube gösterisi</w:t>
      </w:r>
      <w:r w:rsidRPr="007E702F">
        <w:rPr>
          <w:spacing w:val="-13"/>
        </w:rPr>
        <w:t xml:space="preserve"> </w:t>
      </w:r>
      <w:r w:rsidRPr="007E702F">
        <w:t>“</w:t>
      </w:r>
      <w:proofErr w:type="spellStart"/>
      <w:r w:rsidRPr="007E702F">
        <w:t>freak</w:t>
      </w:r>
      <w:proofErr w:type="spellEnd"/>
      <w:r w:rsidRPr="007E702F">
        <w:rPr>
          <w:spacing w:val="-13"/>
        </w:rPr>
        <w:t xml:space="preserve"> </w:t>
      </w:r>
      <w:proofErr w:type="spellStart"/>
      <w:r w:rsidRPr="007E702F">
        <w:t>show</w:t>
      </w:r>
      <w:proofErr w:type="spellEnd"/>
      <w:r w:rsidRPr="007E702F">
        <w:t>”</w:t>
      </w:r>
      <w:r w:rsidRPr="007E702F">
        <w:rPr>
          <w:spacing w:val="-13"/>
        </w:rPr>
        <w:t xml:space="preserve"> </w:t>
      </w:r>
      <w:r w:rsidRPr="007E702F">
        <w:t>adıyla</w:t>
      </w:r>
      <w:r w:rsidRPr="007E702F">
        <w:rPr>
          <w:spacing w:val="-13"/>
        </w:rPr>
        <w:t xml:space="preserve"> </w:t>
      </w:r>
      <w:r w:rsidRPr="007E702F">
        <w:t>adlandırılan</w:t>
      </w:r>
      <w:r w:rsidRPr="007E702F">
        <w:rPr>
          <w:spacing w:val="-13"/>
        </w:rPr>
        <w:t xml:space="preserve"> </w:t>
      </w:r>
      <w:r w:rsidRPr="007E702F">
        <w:t>bu</w:t>
      </w:r>
      <w:r w:rsidRPr="007E702F">
        <w:rPr>
          <w:spacing w:val="-13"/>
        </w:rPr>
        <w:t xml:space="preserve"> </w:t>
      </w:r>
      <w:r w:rsidRPr="007E702F">
        <w:t>sözde</w:t>
      </w:r>
      <w:r w:rsidRPr="007E702F">
        <w:rPr>
          <w:spacing w:val="-13"/>
        </w:rPr>
        <w:t xml:space="preserve"> </w:t>
      </w:r>
      <w:r w:rsidRPr="007E702F">
        <w:t>eğlence</w:t>
      </w:r>
      <w:r w:rsidRPr="007E702F">
        <w:rPr>
          <w:spacing w:val="-13"/>
        </w:rPr>
        <w:t xml:space="preserve"> </w:t>
      </w:r>
      <w:r w:rsidRPr="007E702F">
        <w:t>adı</w:t>
      </w:r>
      <w:r w:rsidRPr="007E702F">
        <w:rPr>
          <w:spacing w:val="-13"/>
        </w:rPr>
        <w:t xml:space="preserve"> </w:t>
      </w:r>
      <w:r w:rsidRPr="007E702F">
        <w:t>altında</w:t>
      </w:r>
      <w:r w:rsidRPr="007E702F">
        <w:rPr>
          <w:spacing w:val="-13"/>
        </w:rPr>
        <w:t xml:space="preserve"> </w:t>
      </w:r>
      <w:r w:rsidRPr="007E702F">
        <w:t>sergilenene</w:t>
      </w:r>
      <w:r w:rsidRPr="007E702F">
        <w:rPr>
          <w:spacing w:val="-13"/>
        </w:rPr>
        <w:t xml:space="preserve"> </w:t>
      </w:r>
      <w:r w:rsidRPr="007E702F">
        <w:t>gösterilerde</w:t>
      </w:r>
      <w:r w:rsidRPr="007E702F">
        <w:rPr>
          <w:spacing w:val="-13"/>
        </w:rPr>
        <w:t xml:space="preserve"> </w:t>
      </w:r>
      <w:r w:rsidRPr="007E702F">
        <w:t>sıra dışı</w:t>
      </w:r>
      <w:r w:rsidRPr="007E702F">
        <w:rPr>
          <w:spacing w:val="-15"/>
        </w:rPr>
        <w:t xml:space="preserve"> </w:t>
      </w:r>
      <w:r w:rsidRPr="007E702F">
        <w:t>gelişen/gelişimi</w:t>
      </w:r>
      <w:r w:rsidRPr="007E702F">
        <w:rPr>
          <w:spacing w:val="-15"/>
        </w:rPr>
        <w:t xml:space="preserve"> </w:t>
      </w:r>
      <w:r w:rsidRPr="007E702F">
        <w:t>normal</w:t>
      </w:r>
      <w:r w:rsidRPr="007E702F">
        <w:rPr>
          <w:spacing w:val="-15"/>
        </w:rPr>
        <w:t xml:space="preserve"> </w:t>
      </w:r>
      <w:r w:rsidRPr="007E702F">
        <w:t>ilerlememiş</w:t>
      </w:r>
      <w:r w:rsidRPr="007E702F">
        <w:rPr>
          <w:spacing w:val="-15"/>
        </w:rPr>
        <w:t xml:space="preserve"> </w:t>
      </w:r>
      <w:r w:rsidRPr="007E702F">
        <w:t>bedenlerin,</w:t>
      </w:r>
      <w:r w:rsidRPr="007E702F">
        <w:rPr>
          <w:spacing w:val="-15"/>
        </w:rPr>
        <w:t xml:space="preserve"> </w:t>
      </w:r>
      <w:r w:rsidRPr="007E702F">
        <w:t>gösterinin</w:t>
      </w:r>
      <w:r w:rsidRPr="007E702F">
        <w:rPr>
          <w:spacing w:val="-15"/>
        </w:rPr>
        <w:t xml:space="preserve"> </w:t>
      </w:r>
      <w:r w:rsidRPr="007E702F">
        <w:t>başarılı</w:t>
      </w:r>
      <w:r w:rsidRPr="007E702F">
        <w:rPr>
          <w:spacing w:val="-15"/>
        </w:rPr>
        <w:t xml:space="preserve"> </w:t>
      </w:r>
      <w:r w:rsidRPr="007E702F">
        <w:t>olması</w:t>
      </w:r>
      <w:r w:rsidRPr="007E702F">
        <w:rPr>
          <w:spacing w:val="-15"/>
        </w:rPr>
        <w:t xml:space="preserve"> </w:t>
      </w:r>
      <w:r w:rsidRPr="007E702F">
        <w:t>adına,</w:t>
      </w:r>
      <w:r w:rsidRPr="007E702F">
        <w:rPr>
          <w:spacing w:val="-15"/>
        </w:rPr>
        <w:t xml:space="preserve"> </w:t>
      </w:r>
      <w:r w:rsidRPr="007E702F">
        <w:t>beraberindeki bir takım anlatıların ve sahne dekor malzemelerinin yardımıyla nesneleştirilmiş ve bu kişiler bir sömürü</w:t>
      </w:r>
      <w:r w:rsidRPr="007E702F">
        <w:rPr>
          <w:spacing w:val="-13"/>
        </w:rPr>
        <w:t xml:space="preserve"> </w:t>
      </w:r>
      <w:r w:rsidRPr="007E702F">
        <w:t>aracı</w:t>
      </w:r>
      <w:r w:rsidRPr="007E702F">
        <w:rPr>
          <w:spacing w:val="-13"/>
        </w:rPr>
        <w:t xml:space="preserve"> </w:t>
      </w:r>
      <w:r w:rsidRPr="007E702F">
        <w:t>olarak</w:t>
      </w:r>
      <w:r w:rsidRPr="007E702F">
        <w:rPr>
          <w:spacing w:val="-13"/>
        </w:rPr>
        <w:t xml:space="preserve"> </w:t>
      </w:r>
      <w:r w:rsidRPr="007E702F">
        <w:t>kullanılmış</w:t>
      </w:r>
      <w:r w:rsidRPr="007E702F">
        <w:rPr>
          <w:spacing w:val="-13"/>
        </w:rPr>
        <w:t xml:space="preserve"> </w:t>
      </w:r>
      <w:r w:rsidRPr="007E702F">
        <w:t>olduğu</w:t>
      </w:r>
      <w:r w:rsidRPr="007E702F">
        <w:rPr>
          <w:spacing w:val="-13"/>
        </w:rPr>
        <w:t xml:space="preserve"> </w:t>
      </w:r>
      <w:r w:rsidRPr="007E702F">
        <w:t>görülmektedir</w:t>
      </w:r>
      <w:r w:rsidRPr="007E702F">
        <w:rPr>
          <w:spacing w:val="-13"/>
        </w:rPr>
        <w:t xml:space="preserve"> </w:t>
      </w:r>
      <w:r w:rsidRPr="007E702F">
        <w:t>(</w:t>
      </w:r>
      <w:proofErr w:type="spellStart"/>
      <w:proofErr w:type="gramStart"/>
      <w:r w:rsidRPr="007E702F">
        <w:t>Zittlau</w:t>
      </w:r>
      <w:proofErr w:type="spellEnd"/>
      <w:r w:rsidRPr="007E702F">
        <w:t>,,</w:t>
      </w:r>
      <w:proofErr w:type="gramEnd"/>
      <w:r w:rsidRPr="007E702F">
        <w:rPr>
          <w:spacing w:val="-13"/>
        </w:rPr>
        <w:t xml:space="preserve"> </w:t>
      </w:r>
      <w:r w:rsidRPr="007E702F">
        <w:t>2018:</w:t>
      </w:r>
      <w:r w:rsidRPr="007E702F">
        <w:rPr>
          <w:spacing w:val="-13"/>
        </w:rPr>
        <w:t xml:space="preserve"> </w:t>
      </w:r>
      <w:r w:rsidRPr="007E702F">
        <w:t>381</w:t>
      </w:r>
      <w:r w:rsidRPr="007E702F">
        <w:rPr>
          <w:spacing w:val="-13"/>
        </w:rPr>
        <w:t xml:space="preserve"> </w:t>
      </w:r>
      <w:r w:rsidRPr="007E702F">
        <w:t>-393).</w:t>
      </w:r>
      <w:r w:rsidRPr="007E702F">
        <w:rPr>
          <w:spacing w:val="-13"/>
        </w:rPr>
        <w:t xml:space="preserve"> </w:t>
      </w:r>
      <w:r w:rsidRPr="007E702F">
        <w:t>Engelli</w:t>
      </w:r>
      <w:r w:rsidRPr="007E702F">
        <w:rPr>
          <w:spacing w:val="-13"/>
        </w:rPr>
        <w:t xml:space="preserve"> </w:t>
      </w:r>
      <w:r w:rsidRPr="007E702F">
        <w:t>bireylerin yine</w:t>
      </w:r>
      <w:r w:rsidRPr="007E702F">
        <w:rPr>
          <w:spacing w:val="-6"/>
        </w:rPr>
        <w:t xml:space="preserve"> </w:t>
      </w:r>
      <w:r w:rsidRPr="007E702F">
        <w:t>bu</w:t>
      </w:r>
      <w:r w:rsidRPr="007E702F">
        <w:rPr>
          <w:spacing w:val="-6"/>
        </w:rPr>
        <w:t xml:space="preserve"> </w:t>
      </w:r>
      <w:r w:rsidRPr="007E702F">
        <w:t>noktada</w:t>
      </w:r>
      <w:r w:rsidRPr="007E702F">
        <w:rPr>
          <w:spacing w:val="-7"/>
        </w:rPr>
        <w:t xml:space="preserve"> </w:t>
      </w:r>
      <w:proofErr w:type="spellStart"/>
      <w:r w:rsidRPr="007E702F">
        <w:t>sosyo</w:t>
      </w:r>
      <w:proofErr w:type="spellEnd"/>
      <w:r w:rsidRPr="007E702F">
        <w:t>-ekonomik</w:t>
      </w:r>
      <w:r w:rsidRPr="007E702F">
        <w:rPr>
          <w:spacing w:val="-6"/>
        </w:rPr>
        <w:t xml:space="preserve"> </w:t>
      </w:r>
      <w:r w:rsidRPr="007E702F">
        <w:t>“yoksulluk”</w:t>
      </w:r>
      <w:r w:rsidRPr="007E702F">
        <w:rPr>
          <w:spacing w:val="-6"/>
        </w:rPr>
        <w:t xml:space="preserve"> </w:t>
      </w:r>
      <w:r w:rsidRPr="007E702F">
        <w:t>nedenlerle</w:t>
      </w:r>
      <w:r w:rsidRPr="007E702F">
        <w:rPr>
          <w:spacing w:val="-6"/>
        </w:rPr>
        <w:t xml:space="preserve"> </w:t>
      </w:r>
      <w:r w:rsidRPr="007E702F">
        <w:t>ilintili</w:t>
      </w:r>
      <w:r w:rsidRPr="007E702F">
        <w:rPr>
          <w:spacing w:val="-6"/>
        </w:rPr>
        <w:t xml:space="preserve"> </w:t>
      </w:r>
      <w:r w:rsidRPr="007E702F">
        <w:t>olup,</w:t>
      </w:r>
      <w:r w:rsidRPr="007E702F">
        <w:rPr>
          <w:spacing w:val="-6"/>
        </w:rPr>
        <w:t xml:space="preserve"> </w:t>
      </w:r>
      <w:r w:rsidRPr="007E702F">
        <w:t>zira</w:t>
      </w:r>
      <w:r w:rsidRPr="007E702F">
        <w:rPr>
          <w:spacing w:val="-6"/>
        </w:rPr>
        <w:t xml:space="preserve"> </w:t>
      </w:r>
      <w:r w:rsidRPr="007E702F">
        <w:t>grotesk</w:t>
      </w:r>
      <w:r w:rsidRPr="007E702F">
        <w:rPr>
          <w:spacing w:val="-6"/>
        </w:rPr>
        <w:t xml:space="preserve"> </w:t>
      </w:r>
      <w:r w:rsidRPr="007E702F">
        <w:t>karikatür</w:t>
      </w:r>
      <w:r w:rsidRPr="007E702F">
        <w:rPr>
          <w:spacing w:val="-6"/>
        </w:rPr>
        <w:t xml:space="preserve"> </w:t>
      </w:r>
      <w:r w:rsidRPr="007E702F">
        <w:t>olarak resmedilmiş</w:t>
      </w:r>
      <w:r w:rsidRPr="007E702F">
        <w:rPr>
          <w:spacing w:val="-11"/>
        </w:rPr>
        <w:t xml:space="preserve"> </w:t>
      </w:r>
      <w:r w:rsidRPr="007E702F">
        <w:t>engelli</w:t>
      </w:r>
      <w:r w:rsidRPr="007E702F">
        <w:rPr>
          <w:spacing w:val="-11"/>
        </w:rPr>
        <w:t xml:space="preserve"> </w:t>
      </w:r>
      <w:r w:rsidRPr="007E702F">
        <w:t>bireylerin,</w:t>
      </w:r>
      <w:r w:rsidRPr="007E702F">
        <w:rPr>
          <w:spacing w:val="-11"/>
        </w:rPr>
        <w:t xml:space="preserve"> </w:t>
      </w:r>
      <w:r w:rsidRPr="007E702F">
        <w:t>onları</w:t>
      </w:r>
      <w:r w:rsidRPr="007E702F">
        <w:rPr>
          <w:spacing w:val="-11"/>
        </w:rPr>
        <w:t xml:space="preserve"> </w:t>
      </w:r>
      <w:r w:rsidRPr="007E702F">
        <w:t>yaşam</w:t>
      </w:r>
      <w:r w:rsidRPr="007E702F">
        <w:rPr>
          <w:spacing w:val="-11"/>
        </w:rPr>
        <w:t xml:space="preserve"> </w:t>
      </w:r>
      <w:r w:rsidRPr="007E702F">
        <w:t>boyunca</w:t>
      </w:r>
      <w:r w:rsidRPr="007E702F">
        <w:rPr>
          <w:spacing w:val="-12"/>
        </w:rPr>
        <w:t xml:space="preserve"> </w:t>
      </w:r>
      <w:r w:rsidRPr="007E702F">
        <w:t>sergileme</w:t>
      </w:r>
      <w:r w:rsidRPr="007E702F">
        <w:rPr>
          <w:spacing w:val="-11"/>
        </w:rPr>
        <w:t xml:space="preserve"> </w:t>
      </w:r>
      <w:r w:rsidRPr="007E702F">
        <w:t>hakkına</w:t>
      </w:r>
      <w:r w:rsidRPr="007E702F">
        <w:rPr>
          <w:spacing w:val="-11"/>
        </w:rPr>
        <w:t xml:space="preserve"> </w:t>
      </w:r>
      <w:r w:rsidRPr="007E702F">
        <w:t>sahip</w:t>
      </w:r>
      <w:r w:rsidRPr="007E702F">
        <w:rPr>
          <w:spacing w:val="-11"/>
        </w:rPr>
        <w:t xml:space="preserve"> </w:t>
      </w:r>
      <w:r w:rsidRPr="007E702F">
        <w:t>olan</w:t>
      </w:r>
      <w:r w:rsidRPr="007E702F">
        <w:rPr>
          <w:spacing w:val="-11"/>
        </w:rPr>
        <w:t xml:space="preserve"> </w:t>
      </w:r>
      <w:r w:rsidRPr="007E702F">
        <w:t>organizatörlere maddi amaçlara dayanarak satılmış oldukları, insan bedeninin ve engelliliğin ticaret sömürüsüne yol açmasına ortam hazırlamış olduğu görülmektedir (</w:t>
      </w:r>
      <w:proofErr w:type="spellStart"/>
      <w:r w:rsidRPr="007E702F">
        <w:t>Braddock</w:t>
      </w:r>
      <w:proofErr w:type="spellEnd"/>
      <w:r w:rsidRPr="007E702F">
        <w:t>, 2002: 27). Toplumların bu sömürücü ve istismarcı yaklaşımlarının yanı sıra 19.</w:t>
      </w:r>
      <w:proofErr w:type="gramStart"/>
      <w:r w:rsidRPr="007E702F">
        <w:t>yy</w:t>
      </w:r>
      <w:proofErr w:type="gramEnd"/>
      <w:r w:rsidRPr="007E702F">
        <w:t xml:space="preserve"> itibariyle aslında olumlu sayılabilecek engelli bireylerin özelinde tıbbi tanı ve tedavilerin yanı sıra engelliliğin türlerine ve sınıflandırmalarına dayalı eğitim planları tasarlanmış, kurum ve kuruluşlar kurulmaya çalışılmış ve</w:t>
      </w:r>
      <w:r w:rsidRPr="007E702F">
        <w:rPr>
          <w:spacing w:val="-3"/>
        </w:rPr>
        <w:t xml:space="preserve"> </w:t>
      </w:r>
      <w:r w:rsidRPr="007E702F">
        <w:t>rehabilitasyon</w:t>
      </w:r>
      <w:r w:rsidRPr="007E702F">
        <w:rPr>
          <w:spacing w:val="-3"/>
        </w:rPr>
        <w:t xml:space="preserve"> </w:t>
      </w:r>
      <w:r w:rsidRPr="007E702F">
        <w:t>merkezlerinin</w:t>
      </w:r>
      <w:r w:rsidRPr="007E702F">
        <w:rPr>
          <w:spacing w:val="-3"/>
        </w:rPr>
        <w:t xml:space="preserve"> </w:t>
      </w:r>
      <w:r w:rsidRPr="007E702F">
        <w:t>de</w:t>
      </w:r>
      <w:r w:rsidRPr="007E702F">
        <w:rPr>
          <w:spacing w:val="-3"/>
        </w:rPr>
        <w:t xml:space="preserve"> </w:t>
      </w:r>
      <w:r w:rsidRPr="007E702F">
        <w:t>bu</w:t>
      </w:r>
      <w:r w:rsidRPr="007E702F">
        <w:rPr>
          <w:spacing w:val="-3"/>
        </w:rPr>
        <w:t xml:space="preserve"> </w:t>
      </w:r>
      <w:r w:rsidRPr="007E702F">
        <w:t>dönem</w:t>
      </w:r>
      <w:r w:rsidRPr="007E702F">
        <w:rPr>
          <w:spacing w:val="-3"/>
        </w:rPr>
        <w:t xml:space="preserve"> </w:t>
      </w:r>
      <w:r w:rsidRPr="007E702F">
        <w:t>içerisinde</w:t>
      </w:r>
      <w:r w:rsidRPr="007E702F">
        <w:rPr>
          <w:spacing w:val="-3"/>
        </w:rPr>
        <w:t xml:space="preserve"> </w:t>
      </w:r>
      <w:r w:rsidRPr="007E702F">
        <w:t>faaliyete</w:t>
      </w:r>
      <w:r w:rsidRPr="007E702F">
        <w:rPr>
          <w:spacing w:val="-3"/>
        </w:rPr>
        <w:t xml:space="preserve"> </w:t>
      </w:r>
      <w:r w:rsidRPr="007E702F">
        <w:t>geçtiği</w:t>
      </w:r>
      <w:r w:rsidRPr="007E702F">
        <w:rPr>
          <w:spacing w:val="-3"/>
        </w:rPr>
        <w:t xml:space="preserve"> </w:t>
      </w:r>
      <w:r w:rsidRPr="007E702F">
        <w:t>görülmüş</w:t>
      </w:r>
      <w:r w:rsidRPr="007E702F">
        <w:rPr>
          <w:spacing w:val="-3"/>
        </w:rPr>
        <w:t xml:space="preserve"> </w:t>
      </w:r>
      <w:r w:rsidRPr="007E702F">
        <w:t>olan</w:t>
      </w:r>
      <w:r w:rsidRPr="007E702F">
        <w:rPr>
          <w:spacing w:val="-3"/>
        </w:rPr>
        <w:t xml:space="preserve"> </w:t>
      </w:r>
      <w:r w:rsidRPr="007E702F">
        <w:t>en</w:t>
      </w:r>
      <w:r w:rsidRPr="007E702F">
        <w:rPr>
          <w:spacing w:val="-3"/>
        </w:rPr>
        <w:t xml:space="preserve"> </w:t>
      </w:r>
      <w:r w:rsidRPr="007E702F">
        <w:t>olumlu yönlerinden</w:t>
      </w:r>
      <w:r w:rsidRPr="007E702F">
        <w:rPr>
          <w:spacing w:val="-6"/>
        </w:rPr>
        <w:t xml:space="preserve"> </w:t>
      </w:r>
      <w:r w:rsidRPr="007E702F">
        <w:t>bir</w:t>
      </w:r>
      <w:r w:rsidRPr="007E702F">
        <w:rPr>
          <w:spacing w:val="-6"/>
        </w:rPr>
        <w:t xml:space="preserve"> </w:t>
      </w:r>
      <w:r w:rsidRPr="007E702F">
        <w:t>kaçını</w:t>
      </w:r>
      <w:r w:rsidRPr="007E702F">
        <w:rPr>
          <w:spacing w:val="-6"/>
        </w:rPr>
        <w:t xml:space="preserve"> </w:t>
      </w:r>
      <w:r w:rsidRPr="007E702F">
        <w:t>yansıtmaktadır.</w:t>
      </w:r>
      <w:r w:rsidRPr="007E702F">
        <w:rPr>
          <w:spacing w:val="-6"/>
        </w:rPr>
        <w:t xml:space="preserve"> </w:t>
      </w:r>
      <w:r w:rsidRPr="007E702F">
        <w:t>Tabi</w:t>
      </w:r>
      <w:r w:rsidRPr="007E702F">
        <w:rPr>
          <w:spacing w:val="-6"/>
        </w:rPr>
        <w:t xml:space="preserve"> </w:t>
      </w:r>
      <w:r w:rsidRPr="007E702F">
        <w:t>ki</w:t>
      </w:r>
      <w:r w:rsidRPr="007E702F">
        <w:rPr>
          <w:spacing w:val="-6"/>
        </w:rPr>
        <w:t xml:space="preserve"> </w:t>
      </w:r>
      <w:r w:rsidRPr="007E702F">
        <w:t>dönemin</w:t>
      </w:r>
      <w:r w:rsidRPr="007E702F">
        <w:rPr>
          <w:spacing w:val="-6"/>
        </w:rPr>
        <w:t xml:space="preserve"> </w:t>
      </w:r>
      <w:r w:rsidRPr="007E702F">
        <w:t>özelliği</w:t>
      </w:r>
      <w:r w:rsidRPr="007E702F">
        <w:rPr>
          <w:spacing w:val="-6"/>
        </w:rPr>
        <w:t xml:space="preserve"> </w:t>
      </w:r>
      <w:r w:rsidRPr="007E702F">
        <w:t>itibariyle</w:t>
      </w:r>
      <w:r w:rsidRPr="007E702F">
        <w:rPr>
          <w:spacing w:val="-6"/>
        </w:rPr>
        <w:t xml:space="preserve"> </w:t>
      </w:r>
      <w:r w:rsidRPr="007E702F">
        <w:t>engelli</w:t>
      </w:r>
      <w:r w:rsidRPr="007E702F">
        <w:rPr>
          <w:spacing w:val="-6"/>
        </w:rPr>
        <w:t xml:space="preserve"> </w:t>
      </w:r>
      <w:r w:rsidRPr="007E702F">
        <w:t>bireylerin</w:t>
      </w:r>
      <w:r w:rsidRPr="007E702F">
        <w:rPr>
          <w:spacing w:val="-6"/>
        </w:rPr>
        <w:t xml:space="preserve"> </w:t>
      </w:r>
      <w:r w:rsidRPr="007E702F">
        <w:t>tedavi, rehabilitesi ve eğitim olanakları toplumdan uzak bir alanda, yatılı okullarda özel eğitimler almış oldukları</w:t>
      </w:r>
      <w:r w:rsidRPr="007E702F">
        <w:rPr>
          <w:spacing w:val="22"/>
        </w:rPr>
        <w:t xml:space="preserve"> </w:t>
      </w:r>
      <w:r w:rsidRPr="007E702F">
        <w:t>bu</w:t>
      </w:r>
      <w:r w:rsidRPr="007E702F">
        <w:rPr>
          <w:spacing w:val="25"/>
        </w:rPr>
        <w:t xml:space="preserve"> </w:t>
      </w:r>
      <w:r w:rsidRPr="007E702F">
        <w:t>dönemde</w:t>
      </w:r>
      <w:r w:rsidRPr="007E702F">
        <w:rPr>
          <w:spacing w:val="25"/>
        </w:rPr>
        <w:t xml:space="preserve"> </w:t>
      </w:r>
      <w:r w:rsidRPr="007E702F">
        <w:t>öne</w:t>
      </w:r>
      <w:r w:rsidRPr="007E702F">
        <w:rPr>
          <w:spacing w:val="25"/>
        </w:rPr>
        <w:t xml:space="preserve"> </w:t>
      </w:r>
      <w:r w:rsidRPr="007E702F">
        <w:t>çıkan</w:t>
      </w:r>
      <w:r w:rsidRPr="007E702F">
        <w:rPr>
          <w:spacing w:val="25"/>
        </w:rPr>
        <w:t xml:space="preserve"> </w:t>
      </w:r>
      <w:r w:rsidRPr="007E702F">
        <w:t>gelişmeler</w:t>
      </w:r>
      <w:r w:rsidRPr="007E702F">
        <w:rPr>
          <w:spacing w:val="25"/>
        </w:rPr>
        <w:t xml:space="preserve"> </w:t>
      </w:r>
      <w:r w:rsidRPr="007E702F">
        <w:t>arasında</w:t>
      </w:r>
      <w:r w:rsidRPr="007E702F">
        <w:rPr>
          <w:spacing w:val="24"/>
        </w:rPr>
        <w:t xml:space="preserve"> </w:t>
      </w:r>
      <w:r w:rsidRPr="007E702F">
        <w:t>yerini</w:t>
      </w:r>
      <w:r w:rsidRPr="007E702F">
        <w:rPr>
          <w:spacing w:val="25"/>
        </w:rPr>
        <w:t xml:space="preserve"> </w:t>
      </w:r>
      <w:r w:rsidRPr="007E702F">
        <w:t>almaktadır.</w:t>
      </w:r>
      <w:r w:rsidRPr="007E702F">
        <w:rPr>
          <w:spacing w:val="25"/>
        </w:rPr>
        <w:t xml:space="preserve"> </w:t>
      </w:r>
      <w:r w:rsidRPr="007E702F">
        <w:t>Bu</w:t>
      </w:r>
      <w:r w:rsidRPr="007E702F">
        <w:rPr>
          <w:spacing w:val="25"/>
        </w:rPr>
        <w:t xml:space="preserve"> </w:t>
      </w:r>
      <w:r w:rsidRPr="007E702F">
        <w:t>gibi</w:t>
      </w:r>
      <w:r w:rsidRPr="007E702F">
        <w:rPr>
          <w:spacing w:val="25"/>
        </w:rPr>
        <w:t xml:space="preserve"> </w:t>
      </w:r>
      <w:r w:rsidRPr="007E702F">
        <w:t>olumlu</w:t>
      </w:r>
      <w:r w:rsidRPr="007E702F">
        <w:rPr>
          <w:spacing w:val="25"/>
        </w:rPr>
        <w:t xml:space="preserve"> </w:t>
      </w:r>
      <w:r w:rsidRPr="007E702F">
        <w:rPr>
          <w:spacing w:val="-2"/>
        </w:rPr>
        <w:t>katkılar</w:t>
      </w:r>
    </w:p>
    <w:p w14:paraId="33782AB5"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240B4170" w14:textId="77777777" w:rsidR="007E702F" w:rsidRPr="007E702F" w:rsidRDefault="007E702F" w:rsidP="00316176">
      <w:pPr>
        <w:pStyle w:val="GvdeMetni"/>
        <w:ind w:right="337"/>
        <w:jc w:val="both"/>
      </w:pPr>
      <w:proofErr w:type="gramStart"/>
      <w:r w:rsidRPr="007E702F">
        <w:t>engellilik</w:t>
      </w:r>
      <w:proofErr w:type="gramEnd"/>
      <w:r w:rsidRPr="007E702F">
        <w:t xml:space="preserve"> tanımının ve manasının görünür farkındalık kazandırmış olmasına da katkı sağlamaktadır. Bu dönem içerisinde özellikle eğitim noktasında ve görme engelli bireylerin hayatını kolaylaştıracak Braille alfabesinin geliştirilmiş olması çağın en önemli buluşu olarak karşımıza çıkmaktadır (</w:t>
      </w:r>
      <w:proofErr w:type="spellStart"/>
      <w:r w:rsidRPr="007E702F">
        <w:t>Rimmerman</w:t>
      </w:r>
      <w:proofErr w:type="spellEnd"/>
      <w:r w:rsidRPr="007E702F">
        <w:t>, 2013: 15 -16).</w:t>
      </w:r>
    </w:p>
    <w:p w14:paraId="5EDA3DCD" w14:textId="77777777" w:rsidR="007E702F" w:rsidRPr="007E702F" w:rsidRDefault="007E702F">
      <w:pPr>
        <w:pStyle w:val="ListeParagraf"/>
        <w:numPr>
          <w:ilvl w:val="0"/>
          <w:numId w:val="24"/>
        </w:numPr>
        <w:tabs>
          <w:tab w:val="left" w:pos="764"/>
        </w:tabs>
        <w:ind w:right="337" w:firstLine="0"/>
        <w:contextualSpacing w:val="0"/>
        <w:jc w:val="both"/>
      </w:pPr>
      <w:proofErr w:type="gramStart"/>
      <w:r w:rsidRPr="007E702F">
        <w:t>ve</w:t>
      </w:r>
      <w:proofErr w:type="gramEnd"/>
      <w:r w:rsidRPr="007E702F">
        <w:t xml:space="preserve"> 19. yüzyıllarda adından sıkça söz ettiren Sanayi Devrimi ile engelliliğin görünümü farklılaşmış ve daha öncelik lazanmış olduğu görülmektedir. Özellikle ev içi </w:t>
      </w:r>
      <w:r w:rsidRPr="007E702F">
        <w:lastRenderedPageBreak/>
        <w:t xml:space="preserve">çalışmanın yerini çeşitli otomasyon ve fabrikalaşmanın etkisi kasıp kavuruyorken, çeşitli çalışma sistemlerinin toplumun çalışan kesimine kazandırılması evresinde iş kazaları ve mesleki hastalıkların arasında engellilik hallerinin de ortaya çıktığı iyiden iyiye görülmektedir. Doğuştan engellilik hali bulunmayan </w:t>
      </w:r>
      <w:proofErr w:type="gramStart"/>
      <w:r w:rsidRPr="007E702F">
        <w:t>ve ya</w:t>
      </w:r>
      <w:proofErr w:type="gramEnd"/>
      <w:r w:rsidRPr="007E702F">
        <w:t xml:space="preserve"> her hangi bir kronikleşmiş hastalığa sahip olmayan bireylerin kötü çalışma şartlarının onlarda yarattığı tahribatlar sonucunda, fabrikalarda kaybettikleri uzuvları ya da insani koşulların</w:t>
      </w:r>
      <w:r w:rsidRPr="007E702F">
        <w:rPr>
          <w:spacing w:val="-9"/>
        </w:rPr>
        <w:t xml:space="preserve"> </w:t>
      </w:r>
      <w:r w:rsidRPr="007E702F">
        <w:t>dışında</w:t>
      </w:r>
      <w:r w:rsidRPr="007E702F">
        <w:rPr>
          <w:spacing w:val="-9"/>
        </w:rPr>
        <w:t xml:space="preserve"> </w:t>
      </w:r>
      <w:r w:rsidRPr="007E702F">
        <w:t>vasat</w:t>
      </w:r>
      <w:r w:rsidRPr="007E702F">
        <w:rPr>
          <w:spacing w:val="-9"/>
        </w:rPr>
        <w:t xml:space="preserve"> </w:t>
      </w:r>
      <w:r w:rsidRPr="007E702F">
        <w:t>iş</w:t>
      </w:r>
      <w:r w:rsidRPr="007E702F">
        <w:rPr>
          <w:spacing w:val="-9"/>
        </w:rPr>
        <w:t xml:space="preserve"> </w:t>
      </w:r>
      <w:r w:rsidRPr="007E702F">
        <w:t>ortamlarında</w:t>
      </w:r>
      <w:r w:rsidRPr="007E702F">
        <w:rPr>
          <w:spacing w:val="-9"/>
        </w:rPr>
        <w:t xml:space="preserve"> </w:t>
      </w:r>
      <w:r w:rsidRPr="007E702F">
        <w:t>çalışmalarının</w:t>
      </w:r>
      <w:r w:rsidRPr="007E702F">
        <w:rPr>
          <w:spacing w:val="-9"/>
        </w:rPr>
        <w:t xml:space="preserve"> </w:t>
      </w:r>
      <w:r w:rsidRPr="007E702F">
        <w:t>sonucunda</w:t>
      </w:r>
      <w:r w:rsidRPr="007E702F">
        <w:rPr>
          <w:spacing w:val="-9"/>
        </w:rPr>
        <w:t xml:space="preserve"> </w:t>
      </w:r>
      <w:r w:rsidRPr="007E702F">
        <w:t>bozulan</w:t>
      </w:r>
      <w:r w:rsidRPr="007E702F">
        <w:rPr>
          <w:spacing w:val="-9"/>
        </w:rPr>
        <w:t xml:space="preserve"> </w:t>
      </w:r>
      <w:r w:rsidRPr="007E702F">
        <w:t>sağlıkları</w:t>
      </w:r>
      <w:r w:rsidRPr="007E702F">
        <w:rPr>
          <w:spacing w:val="-10"/>
        </w:rPr>
        <w:t xml:space="preserve"> </w:t>
      </w:r>
      <w:r w:rsidRPr="007E702F">
        <w:t>ile</w:t>
      </w:r>
      <w:r w:rsidRPr="007E702F">
        <w:rPr>
          <w:spacing w:val="-9"/>
        </w:rPr>
        <w:t xml:space="preserve"> </w:t>
      </w:r>
      <w:r w:rsidRPr="007E702F">
        <w:t>kendilerini bir anda engelli bir birey ve kendilerini geçindiremeyecek kadar dışa bağımlı hale gelmiş şekilde bulmuşlardır. Yaşanan kazaların hem önlenemez ve gitgide artış yaşamasından hem de kazayı geçirmiş durumda olan bireylerin yanı sıra ailelerini de hem sosyal hem ekonomik manada etkilemiş olduğu da görülmektedir. Bu dönemde Gettolara yerleşen bu aileler açısından yoksulluğun yanında başka bir faktör olarak alkolizm, aile içi şiddet, sosyal şiddet ve her türlü hastalığın</w:t>
      </w:r>
      <w:r w:rsidRPr="007E702F">
        <w:rPr>
          <w:spacing w:val="-5"/>
        </w:rPr>
        <w:t xml:space="preserve"> </w:t>
      </w:r>
      <w:r w:rsidRPr="007E702F">
        <w:t>olasılığı</w:t>
      </w:r>
      <w:r w:rsidRPr="007E702F">
        <w:rPr>
          <w:spacing w:val="-5"/>
        </w:rPr>
        <w:t xml:space="preserve"> </w:t>
      </w:r>
      <w:r w:rsidRPr="007E702F">
        <w:t>vuku</w:t>
      </w:r>
      <w:r w:rsidRPr="007E702F">
        <w:rPr>
          <w:spacing w:val="-5"/>
        </w:rPr>
        <w:t xml:space="preserve"> </w:t>
      </w:r>
      <w:r w:rsidRPr="007E702F">
        <w:t>bulmuş</w:t>
      </w:r>
      <w:r w:rsidRPr="007E702F">
        <w:rPr>
          <w:spacing w:val="-5"/>
        </w:rPr>
        <w:t xml:space="preserve"> </w:t>
      </w:r>
      <w:r w:rsidRPr="007E702F">
        <w:t>olduğu</w:t>
      </w:r>
      <w:r w:rsidRPr="007E702F">
        <w:rPr>
          <w:spacing w:val="-5"/>
        </w:rPr>
        <w:t xml:space="preserve"> </w:t>
      </w:r>
      <w:r w:rsidRPr="007E702F">
        <w:t>görülmektedir.</w:t>
      </w:r>
      <w:r w:rsidRPr="007E702F">
        <w:rPr>
          <w:spacing w:val="-5"/>
        </w:rPr>
        <w:t xml:space="preserve"> </w:t>
      </w:r>
      <w:r w:rsidRPr="007E702F">
        <w:t>Bu</w:t>
      </w:r>
      <w:r w:rsidRPr="007E702F">
        <w:rPr>
          <w:spacing w:val="-5"/>
        </w:rPr>
        <w:t xml:space="preserve"> </w:t>
      </w:r>
      <w:r w:rsidRPr="007E702F">
        <w:t>tarz</w:t>
      </w:r>
      <w:r w:rsidRPr="007E702F">
        <w:rPr>
          <w:spacing w:val="-5"/>
        </w:rPr>
        <w:t xml:space="preserve"> </w:t>
      </w:r>
      <w:r w:rsidRPr="007E702F">
        <w:t>toplumların</w:t>
      </w:r>
      <w:r w:rsidRPr="007E702F">
        <w:rPr>
          <w:spacing w:val="-5"/>
        </w:rPr>
        <w:t xml:space="preserve"> </w:t>
      </w:r>
      <w:r w:rsidRPr="007E702F">
        <w:t>en</w:t>
      </w:r>
      <w:r w:rsidRPr="007E702F">
        <w:rPr>
          <w:spacing w:val="-5"/>
        </w:rPr>
        <w:t xml:space="preserve"> </w:t>
      </w:r>
      <w:r w:rsidRPr="007E702F">
        <w:t>temel</w:t>
      </w:r>
      <w:r w:rsidRPr="007E702F">
        <w:rPr>
          <w:spacing w:val="-5"/>
        </w:rPr>
        <w:t xml:space="preserve"> </w:t>
      </w:r>
      <w:r w:rsidRPr="007E702F">
        <w:t>tabakasından etkinliği bulunan şartların zorluğu, toplumların isyan etmesine ve ayaklanma riskini artırması söz konusudur.</w:t>
      </w:r>
      <w:r w:rsidRPr="007E702F">
        <w:rPr>
          <w:spacing w:val="-4"/>
        </w:rPr>
        <w:t xml:space="preserve"> </w:t>
      </w:r>
      <w:r w:rsidRPr="007E702F">
        <w:t>Bu</w:t>
      </w:r>
      <w:r w:rsidRPr="007E702F">
        <w:rPr>
          <w:spacing w:val="-4"/>
        </w:rPr>
        <w:t xml:space="preserve"> </w:t>
      </w:r>
      <w:r w:rsidRPr="007E702F">
        <w:t>sebeple</w:t>
      </w:r>
      <w:r w:rsidRPr="007E702F">
        <w:rPr>
          <w:spacing w:val="-4"/>
        </w:rPr>
        <w:t xml:space="preserve"> </w:t>
      </w:r>
      <w:r w:rsidRPr="007E702F">
        <w:t>her</w:t>
      </w:r>
      <w:r w:rsidRPr="007E702F">
        <w:rPr>
          <w:spacing w:val="-4"/>
        </w:rPr>
        <w:t xml:space="preserve"> </w:t>
      </w:r>
      <w:r w:rsidRPr="007E702F">
        <w:t>ne</w:t>
      </w:r>
      <w:r w:rsidRPr="007E702F">
        <w:rPr>
          <w:spacing w:val="-4"/>
        </w:rPr>
        <w:t xml:space="preserve"> </w:t>
      </w:r>
      <w:r w:rsidRPr="007E702F">
        <w:t>kadar</w:t>
      </w:r>
      <w:r w:rsidRPr="007E702F">
        <w:rPr>
          <w:spacing w:val="-4"/>
        </w:rPr>
        <w:t xml:space="preserve"> </w:t>
      </w:r>
      <w:r w:rsidRPr="007E702F">
        <w:t>sınırlı</w:t>
      </w:r>
      <w:r w:rsidRPr="007E702F">
        <w:rPr>
          <w:spacing w:val="-4"/>
        </w:rPr>
        <w:t xml:space="preserve"> </w:t>
      </w:r>
      <w:r w:rsidRPr="007E702F">
        <w:t>imkanları</w:t>
      </w:r>
      <w:r w:rsidRPr="007E702F">
        <w:rPr>
          <w:spacing w:val="-4"/>
        </w:rPr>
        <w:t xml:space="preserve"> </w:t>
      </w:r>
      <w:r w:rsidRPr="007E702F">
        <w:t>barındırsa</w:t>
      </w:r>
      <w:r w:rsidRPr="007E702F">
        <w:rPr>
          <w:spacing w:val="-4"/>
        </w:rPr>
        <w:t xml:space="preserve"> </w:t>
      </w:r>
      <w:r w:rsidRPr="007E702F">
        <w:t>dahi</w:t>
      </w:r>
      <w:r w:rsidRPr="007E702F">
        <w:rPr>
          <w:spacing w:val="-4"/>
        </w:rPr>
        <w:t xml:space="preserve"> </w:t>
      </w:r>
      <w:r w:rsidRPr="007E702F">
        <w:t>kamu</w:t>
      </w:r>
      <w:r w:rsidRPr="007E702F">
        <w:rPr>
          <w:spacing w:val="-4"/>
        </w:rPr>
        <w:t xml:space="preserve"> </w:t>
      </w:r>
      <w:r w:rsidRPr="007E702F">
        <w:t>sosyal</w:t>
      </w:r>
      <w:r w:rsidRPr="007E702F">
        <w:rPr>
          <w:spacing w:val="-4"/>
        </w:rPr>
        <w:t xml:space="preserve"> </w:t>
      </w:r>
      <w:r w:rsidRPr="007E702F">
        <w:t>refahına</w:t>
      </w:r>
      <w:r w:rsidRPr="007E702F">
        <w:rPr>
          <w:spacing w:val="-4"/>
        </w:rPr>
        <w:t xml:space="preserve"> </w:t>
      </w:r>
      <w:r w:rsidRPr="007E702F">
        <w:t>yönelik çalışmalarında yürütülmüş olduğu görülmektedir (</w:t>
      </w:r>
      <w:proofErr w:type="spellStart"/>
      <w:r w:rsidRPr="007E702F">
        <w:t>Fioranelli</w:t>
      </w:r>
      <w:proofErr w:type="spellEnd"/>
      <w:r w:rsidRPr="007E702F">
        <w:t xml:space="preserve"> &amp; </w:t>
      </w:r>
      <w:proofErr w:type="spellStart"/>
      <w:r w:rsidRPr="007E702F">
        <w:t>Roccia</w:t>
      </w:r>
      <w:proofErr w:type="spellEnd"/>
      <w:r w:rsidRPr="007E702F">
        <w:t xml:space="preserve">, 2015. 6). Sanayi Devriminin ortaya çıkarttığı bir başka sorun ise işin haneden uzaklaşmasıdır. Sanayi Devrimi öncesinde iş hanede veya hane yakınında, aile üyeleriyle birlikte yürütüldüğü için aile içinde engelli bir birey olsa dahi kendi durumuna uygun bir işi yaparak haneye katkı sağlayabiliyorken, Sanayi Devriminin etkisiyle iş gücünün fabrikalaşarak merkezileşmesi engelli bireylerin çalışma gücüne katkısını kısıtlamış olduğu görünür bir problem haline gelmektedir. İşverenlerin fabrikalardaki makinaları çalıştırmak üzere uzun saatler boyunca çalışacak, genç ve güçlü işçileri talep ettiği için engelli bireyler ise ücretli iş arayışında dezavantajlı konumuna düşmüş oldukları görülmektedir. Bu dönemde sadece fabrika ortamında çalıştırılmaktan yoksun bırakılmış aynı zamanda yükseköğretim kurumlarında eğitim alma haklarından da mahrum kalmak zorunda </w:t>
      </w:r>
      <w:r w:rsidRPr="007E702F">
        <w:rPr>
          <w:spacing w:val="-2"/>
        </w:rPr>
        <w:t xml:space="preserve">kalmışlardır. Hali hazırda aile kurumu içerisinde ebeveynlerinde çalışma şartlarından dolayı engelli </w:t>
      </w:r>
      <w:r w:rsidRPr="007E702F">
        <w:t xml:space="preserve">hale gelmesiyle dezavantajları daha da kronikleşmiş ve derinleşen bir soruna evrilmiş olduğu görülmektedir. Buna dayalı </w:t>
      </w:r>
      <w:proofErr w:type="gramStart"/>
      <w:r w:rsidRPr="007E702F">
        <w:t>bir çok</w:t>
      </w:r>
      <w:proofErr w:type="gramEnd"/>
      <w:r w:rsidRPr="007E702F">
        <w:t xml:space="preserve"> sorun bileşenlerinin kurumsallaşmanın arkasındaki itici güçlerden birini tetiklemiş olduğu ortaya çıkmaktadır (Shakespeare, 2018. 31).</w:t>
      </w:r>
    </w:p>
    <w:p w14:paraId="7581D2B0" w14:textId="77777777" w:rsidR="007E702F" w:rsidRPr="007E702F" w:rsidRDefault="007E702F" w:rsidP="00316176">
      <w:pPr>
        <w:pStyle w:val="GvdeMetni"/>
      </w:pPr>
    </w:p>
    <w:p w14:paraId="107C9563" w14:textId="77777777" w:rsidR="007E702F" w:rsidRPr="007E702F" w:rsidRDefault="007E702F" w:rsidP="00316176">
      <w:pPr>
        <w:pStyle w:val="GvdeMetni"/>
        <w:ind w:right="337"/>
        <w:jc w:val="both"/>
      </w:pPr>
      <w:r w:rsidRPr="007E702F">
        <w:t xml:space="preserve">Bunların yanı sıra Birinci Dünya Savaşı'nda ve sonrasında yaralanan ve ölen kişilerin sayısının çok daha fazla olması sebebiyle İkinci Dünya Savaşı'nın da yaşanmış olmasıyla engellilik kitlesel bir konu haline gelmiş olduğu görülmektedir. Zira bu </w:t>
      </w:r>
      <w:proofErr w:type="spellStart"/>
      <w:r w:rsidRPr="007E702F">
        <w:t>döenm</w:t>
      </w:r>
      <w:proofErr w:type="spellEnd"/>
      <w:r w:rsidRPr="007E702F">
        <w:t xml:space="preserve"> için savaşın etkilerini tüm kitle ve toplumların</w:t>
      </w:r>
      <w:r w:rsidRPr="007E702F">
        <w:rPr>
          <w:spacing w:val="-10"/>
        </w:rPr>
        <w:t xml:space="preserve"> </w:t>
      </w:r>
      <w:r w:rsidRPr="007E702F">
        <w:t>yaşamış</w:t>
      </w:r>
      <w:r w:rsidRPr="007E702F">
        <w:rPr>
          <w:spacing w:val="-10"/>
        </w:rPr>
        <w:t xml:space="preserve"> </w:t>
      </w:r>
      <w:r w:rsidRPr="007E702F">
        <w:t>olduğu,</w:t>
      </w:r>
      <w:r w:rsidRPr="007E702F">
        <w:rPr>
          <w:spacing w:val="-10"/>
        </w:rPr>
        <w:t xml:space="preserve"> </w:t>
      </w:r>
      <w:r w:rsidRPr="007E702F">
        <w:t>hatta</w:t>
      </w:r>
      <w:r w:rsidRPr="007E702F">
        <w:rPr>
          <w:spacing w:val="-10"/>
        </w:rPr>
        <w:t xml:space="preserve"> </w:t>
      </w:r>
      <w:r w:rsidRPr="007E702F">
        <w:t>savaşa</w:t>
      </w:r>
      <w:r w:rsidRPr="007E702F">
        <w:rPr>
          <w:spacing w:val="-10"/>
        </w:rPr>
        <w:t xml:space="preserve"> </w:t>
      </w:r>
      <w:r w:rsidRPr="007E702F">
        <w:t>giden</w:t>
      </w:r>
      <w:r w:rsidRPr="007E702F">
        <w:rPr>
          <w:spacing w:val="-10"/>
        </w:rPr>
        <w:t xml:space="preserve"> </w:t>
      </w:r>
      <w:r w:rsidRPr="007E702F">
        <w:t>bireylerin</w:t>
      </w:r>
      <w:r w:rsidRPr="007E702F">
        <w:rPr>
          <w:spacing w:val="-10"/>
        </w:rPr>
        <w:t xml:space="preserve"> </w:t>
      </w:r>
      <w:r w:rsidRPr="007E702F">
        <w:t>çoğunluğu</w:t>
      </w:r>
      <w:r w:rsidRPr="007E702F">
        <w:rPr>
          <w:spacing w:val="-10"/>
        </w:rPr>
        <w:t xml:space="preserve"> </w:t>
      </w:r>
      <w:r w:rsidRPr="007E702F">
        <w:t>ciddi</w:t>
      </w:r>
      <w:r w:rsidRPr="007E702F">
        <w:rPr>
          <w:spacing w:val="-10"/>
        </w:rPr>
        <w:t xml:space="preserve"> </w:t>
      </w:r>
      <w:r w:rsidRPr="007E702F">
        <w:t>yaralanmalar</w:t>
      </w:r>
      <w:r w:rsidRPr="007E702F">
        <w:rPr>
          <w:spacing w:val="-10"/>
        </w:rPr>
        <w:t xml:space="preserve"> </w:t>
      </w:r>
      <w:r w:rsidRPr="007E702F">
        <w:t>nedeniyle kalıcı</w:t>
      </w:r>
      <w:r w:rsidRPr="007E702F">
        <w:rPr>
          <w:spacing w:val="-1"/>
        </w:rPr>
        <w:t xml:space="preserve"> </w:t>
      </w:r>
      <w:r w:rsidRPr="007E702F">
        <w:t>şekilde</w:t>
      </w:r>
      <w:r w:rsidRPr="007E702F">
        <w:rPr>
          <w:spacing w:val="-1"/>
        </w:rPr>
        <w:t xml:space="preserve"> </w:t>
      </w:r>
      <w:r w:rsidRPr="007E702F">
        <w:t>bedensel</w:t>
      </w:r>
      <w:r w:rsidRPr="007E702F">
        <w:rPr>
          <w:spacing w:val="-1"/>
        </w:rPr>
        <w:t xml:space="preserve"> </w:t>
      </w:r>
      <w:r w:rsidRPr="007E702F">
        <w:t>engelli</w:t>
      </w:r>
      <w:r w:rsidRPr="007E702F">
        <w:rPr>
          <w:spacing w:val="-1"/>
        </w:rPr>
        <w:t xml:space="preserve"> </w:t>
      </w:r>
      <w:r w:rsidRPr="007E702F">
        <w:t>hale</w:t>
      </w:r>
      <w:r w:rsidRPr="007E702F">
        <w:rPr>
          <w:spacing w:val="-1"/>
        </w:rPr>
        <w:t xml:space="preserve"> </w:t>
      </w:r>
      <w:r w:rsidRPr="007E702F">
        <w:t>gelenlerin</w:t>
      </w:r>
      <w:r w:rsidRPr="007E702F">
        <w:rPr>
          <w:spacing w:val="-1"/>
        </w:rPr>
        <w:t xml:space="preserve"> </w:t>
      </w:r>
      <w:r w:rsidRPr="007E702F">
        <w:t>yanı</w:t>
      </w:r>
      <w:r w:rsidRPr="007E702F">
        <w:rPr>
          <w:spacing w:val="-1"/>
        </w:rPr>
        <w:t xml:space="preserve"> </w:t>
      </w:r>
      <w:r w:rsidRPr="007E702F">
        <w:t>sıra</w:t>
      </w:r>
      <w:r w:rsidRPr="007E702F">
        <w:rPr>
          <w:spacing w:val="-1"/>
        </w:rPr>
        <w:t xml:space="preserve"> </w:t>
      </w:r>
      <w:r w:rsidRPr="007E702F">
        <w:t>savaşın</w:t>
      </w:r>
      <w:r w:rsidRPr="007E702F">
        <w:rPr>
          <w:spacing w:val="-1"/>
        </w:rPr>
        <w:t xml:space="preserve"> </w:t>
      </w:r>
      <w:r w:rsidRPr="007E702F">
        <w:t>psikolojik</w:t>
      </w:r>
      <w:r w:rsidRPr="007E702F">
        <w:rPr>
          <w:spacing w:val="-1"/>
        </w:rPr>
        <w:t xml:space="preserve"> </w:t>
      </w:r>
      <w:r w:rsidRPr="007E702F">
        <w:t>buhranını</w:t>
      </w:r>
      <w:r w:rsidRPr="007E702F">
        <w:rPr>
          <w:spacing w:val="-1"/>
        </w:rPr>
        <w:t xml:space="preserve"> </w:t>
      </w:r>
      <w:r w:rsidRPr="007E702F">
        <w:t>kaldıramayan kişilerde zihinsel ve ruhsal engellilerin sayısında da ciddi şekilde artış olduğu görülmektedir. Bu durumdan sebeple engelliliğe ve tedavilere yönelik tutum ve öngörüler çeşitli şekilde gelişmeye başlamış olduğu görülmektedir. Hatta bedensel engellilere tekerlekli sandalye, uzuv kaybı olan kişilere ortez ve protez kullanımının artmış olduğu görülmektedir. Ayrıca engelli bireylerin topluma</w:t>
      </w:r>
      <w:r w:rsidRPr="007E702F">
        <w:rPr>
          <w:spacing w:val="10"/>
        </w:rPr>
        <w:t xml:space="preserve"> </w:t>
      </w:r>
      <w:r w:rsidRPr="007E702F">
        <w:t>kazandırılma</w:t>
      </w:r>
      <w:r w:rsidRPr="007E702F">
        <w:rPr>
          <w:spacing w:val="12"/>
        </w:rPr>
        <w:t xml:space="preserve"> </w:t>
      </w:r>
      <w:r w:rsidRPr="007E702F">
        <w:t>fikride</w:t>
      </w:r>
      <w:r w:rsidRPr="007E702F">
        <w:rPr>
          <w:spacing w:val="13"/>
        </w:rPr>
        <w:t xml:space="preserve"> </w:t>
      </w:r>
      <w:r w:rsidRPr="007E702F">
        <w:t>bu</w:t>
      </w:r>
      <w:r w:rsidRPr="007E702F">
        <w:rPr>
          <w:spacing w:val="12"/>
        </w:rPr>
        <w:t xml:space="preserve"> </w:t>
      </w:r>
      <w:r w:rsidRPr="007E702F">
        <w:t>dönemde</w:t>
      </w:r>
      <w:r w:rsidRPr="007E702F">
        <w:rPr>
          <w:spacing w:val="11"/>
        </w:rPr>
        <w:t xml:space="preserve"> </w:t>
      </w:r>
      <w:r w:rsidRPr="007E702F">
        <w:t>yaygınlaşmaya</w:t>
      </w:r>
      <w:r w:rsidRPr="007E702F">
        <w:rPr>
          <w:spacing w:val="13"/>
        </w:rPr>
        <w:t xml:space="preserve"> </w:t>
      </w:r>
      <w:r w:rsidRPr="007E702F">
        <w:t>başlamasıyla</w:t>
      </w:r>
      <w:r w:rsidRPr="007E702F">
        <w:rPr>
          <w:spacing w:val="12"/>
        </w:rPr>
        <w:t xml:space="preserve"> </w:t>
      </w:r>
      <w:r w:rsidRPr="007E702F">
        <w:t>rehabilitasyon</w:t>
      </w:r>
      <w:r w:rsidRPr="007E702F">
        <w:rPr>
          <w:spacing w:val="13"/>
        </w:rPr>
        <w:t xml:space="preserve"> </w:t>
      </w:r>
      <w:r w:rsidRPr="007E702F">
        <w:rPr>
          <w:spacing w:val="-2"/>
        </w:rPr>
        <w:t>hizmetleri</w:t>
      </w:r>
    </w:p>
    <w:p w14:paraId="167BBC93" w14:textId="77777777" w:rsidR="007E702F" w:rsidRPr="007E702F" w:rsidRDefault="007E702F" w:rsidP="00316176">
      <w:pPr>
        <w:pStyle w:val="GvdeMetni"/>
        <w:jc w:val="both"/>
        <w:sectPr w:rsidR="007E702F" w:rsidRPr="007E702F" w:rsidSect="007513A1">
          <w:type w:val="continuous"/>
          <w:pgSz w:w="11906" w:h="16838"/>
          <w:pgMar w:top="1418" w:right="1418" w:bottom="1418" w:left="1418" w:header="1304" w:footer="1361" w:gutter="0"/>
          <w:cols w:space="708"/>
        </w:sectPr>
      </w:pPr>
    </w:p>
    <w:p w14:paraId="23FE236E" w14:textId="77777777" w:rsidR="007E702F" w:rsidRPr="007E702F" w:rsidRDefault="007E702F" w:rsidP="00316176">
      <w:pPr>
        <w:pStyle w:val="GvdeMetni"/>
        <w:ind w:right="337"/>
        <w:jc w:val="both"/>
      </w:pPr>
      <w:proofErr w:type="gramStart"/>
      <w:r w:rsidRPr="007E702F">
        <w:t>de</w:t>
      </w:r>
      <w:proofErr w:type="gramEnd"/>
      <w:r w:rsidRPr="007E702F">
        <w:t xml:space="preserve"> desteklenmeye başladığı görülmektedir. Bununla birlikte İkinci Dünya Savaşı sonrasında zorunlu</w:t>
      </w:r>
      <w:r w:rsidRPr="007E702F">
        <w:rPr>
          <w:spacing w:val="-4"/>
        </w:rPr>
        <w:t xml:space="preserve"> </w:t>
      </w:r>
      <w:r w:rsidRPr="007E702F">
        <w:t>eğitimin</w:t>
      </w:r>
      <w:r w:rsidRPr="007E702F">
        <w:rPr>
          <w:spacing w:val="-4"/>
        </w:rPr>
        <w:t xml:space="preserve"> </w:t>
      </w:r>
      <w:r w:rsidRPr="007E702F">
        <w:t>benimsenmesi</w:t>
      </w:r>
      <w:r w:rsidRPr="007E702F">
        <w:rPr>
          <w:spacing w:val="-4"/>
        </w:rPr>
        <w:t xml:space="preserve"> </w:t>
      </w:r>
      <w:r w:rsidRPr="007E702F">
        <w:t>fikrine</w:t>
      </w:r>
      <w:r w:rsidRPr="007E702F">
        <w:rPr>
          <w:spacing w:val="-4"/>
        </w:rPr>
        <w:t xml:space="preserve"> </w:t>
      </w:r>
      <w:r w:rsidRPr="007E702F">
        <w:t>paralel</w:t>
      </w:r>
      <w:r w:rsidRPr="007E702F">
        <w:rPr>
          <w:spacing w:val="-4"/>
        </w:rPr>
        <w:t xml:space="preserve"> </w:t>
      </w:r>
      <w:r w:rsidRPr="007E702F">
        <w:t>şekilde</w:t>
      </w:r>
      <w:r w:rsidRPr="007E702F">
        <w:rPr>
          <w:spacing w:val="-4"/>
        </w:rPr>
        <w:t xml:space="preserve"> </w:t>
      </w:r>
      <w:r w:rsidRPr="007E702F">
        <w:t>gelişmişlik</w:t>
      </w:r>
      <w:r w:rsidRPr="007E702F">
        <w:rPr>
          <w:spacing w:val="-4"/>
        </w:rPr>
        <w:t xml:space="preserve"> </w:t>
      </w:r>
      <w:r w:rsidRPr="007E702F">
        <w:t>düzeyi</w:t>
      </w:r>
      <w:r w:rsidRPr="007E702F">
        <w:rPr>
          <w:spacing w:val="-4"/>
        </w:rPr>
        <w:t xml:space="preserve"> </w:t>
      </w:r>
      <w:r w:rsidRPr="007E702F">
        <w:t>yüksek</w:t>
      </w:r>
      <w:r w:rsidRPr="007E702F">
        <w:rPr>
          <w:spacing w:val="-4"/>
        </w:rPr>
        <w:t xml:space="preserve"> </w:t>
      </w:r>
      <w:r w:rsidRPr="007E702F">
        <w:t>ülkelerde</w:t>
      </w:r>
      <w:r w:rsidRPr="007E702F">
        <w:rPr>
          <w:spacing w:val="-4"/>
        </w:rPr>
        <w:t xml:space="preserve"> </w:t>
      </w:r>
      <w:r w:rsidRPr="007E702F">
        <w:t>engelli bireyler</w:t>
      </w:r>
      <w:r w:rsidRPr="007E702F">
        <w:rPr>
          <w:spacing w:val="-12"/>
        </w:rPr>
        <w:t xml:space="preserve"> </w:t>
      </w:r>
      <w:r w:rsidRPr="007E702F">
        <w:t>için</w:t>
      </w:r>
      <w:r w:rsidRPr="007E702F">
        <w:rPr>
          <w:spacing w:val="-10"/>
        </w:rPr>
        <w:t xml:space="preserve"> </w:t>
      </w:r>
      <w:r w:rsidRPr="007E702F">
        <w:t>de</w:t>
      </w:r>
      <w:r w:rsidRPr="007E702F">
        <w:rPr>
          <w:spacing w:val="-9"/>
        </w:rPr>
        <w:t xml:space="preserve"> </w:t>
      </w:r>
      <w:r w:rsidRPr="007E702F">
        <w:t>eğitim</w:t>
      </w:r>
      <w:r w:rsidRPr="007E702F">
        <w:rPr>
          <w:spacing w:val="-10"/>
        </w:rPr>
        <w:t xml:space="preserve"> </w:t>
      </w:r>
      <w:r w:rsidRPr="007E702F">
        <w:t>hizmetleri</w:t>
      </w:r>
      <w:r w:rsidRPr="007E702F">
        <w:rPr>
          <w:spacing w:val="-10"/>
        </w:rPr>
        <w:t xml:space="preserve"> </w:t>
      </w:r>
      <w:r w:rsidRPr="007E702F">
        <w:t>düzenlenmiş</w:t>
      </w:r>
      <w:r w:rsidRPr="007E702F">
        <w:rPr>
          <w:spacing w:val="-9"/>
        </w:rPr>
        <w:t xml:space="preserve"> </w:t>
      </w:r>
      <w:r w:rsidRPr="007E702F">
        <w:t>olduğu</w:t>
      </w:r>
      <w:r w:rsidRPr="007E702F">
        <w:rPr>
          <w:spacing w:val="-10"/>
        </w:rPr>
        <w:t xml:space="preserve"> </w:t>
      </w:r>
      <w:r w:rsidRPr="007E702F">
        <w:t>görülmektedir</w:t>
      </w:r>
      <w:r w:rsidRPr="007E702F">
        <w:rPr>
          <w:spacing w:val="-11"/>
        </w:rPr>
        <w:t xml:space="preserve"> </w:t>
      </w:r>
      <w:r w:rsidRPr="007E702F">
        <w:t>(</w:t>
      </w:r>
      <w:proofErr w:type="spellStart"/>
      <w:r w:rsidRPr="007E702F">
        <w:t>Fioranelli</w:t>
      </w:r>
      <w:proofErr w:type="spellEnd"/>
      <w:r w:rsidRPr="007E702F">
        <w:rPr>
          <w:spacing w:val="-9"/>
        </w:rPr>
        <w:t xml:space="preserve"> </w:t>
      </w:r>
      <w:r w:rsidRPr="007E702F">
        <w:t>&amp;</w:t>
      </w:r>
      <w:r w:rsidRPr="007E702F">
        <w:rPr>
          <w:spacing w:val="-10"/>
        </w:rPr>
        <w:t xml:space="preserve"> </w:t>
      </w:r>
      <w:proofErr w:type="spellStart"/>
      <w:r w:rsidRPr="007E702F">
        <w:t>Roccia</w:t>
      </w:r>
      <w:proofErr w:type="spellEnd"/>
      <w:r w:rsidRPr="007E702F">
        <w:t>,</w:t>
      </w:r>
      <w:r w:rsidRPr="007E702F">
        <w:rPr>
          <w:spacing w:val="-9"/>
        </w:rPr>
        <w:t xml:space="preserve"> </w:t>
      </w:r>
      <w:r w:rsidRPr="007E702F">
        <w:rPr>
          <w:spacing w:val="-2"/>
        </w:rPr>
        <w:t>2015:7)</w:t>
      </w:r>
    </w:p>
    <w:p w14:paraId="67A1E623" w14:textId="77777777" w:rsidR="007E702F" w:rsidRPr="007E702F" w:rsidRDefault="007E702F">
      <w:pPr>
        <w:pStyle w:val="ListeParagraf"/>
        <w:numPr>
          <w:ilvl w:val="0"/>
          <w:numId w:val="24"/>
        </w:numPr>
        <w:tabs>
          <w:tab w:val="left" w:pos="811"/>
        </w:tabs>
        <w:ind w:right="337" w:firstLine="0"/>
        <w:contextualSpacing w:val="0"/>
        <w:jc w:val="both"/>
      </w:pPr>
      <w:proofErr w:type="gramStart"/>
      <w:r w:rsidRPr="007E702F">
        <w:t>yüzyıldaki</w:t>
      </w:r>
      <w:proofErr w:type="gramEnd"/>
      <w:r w:rsidRPr="007E702F">
        <w:t xml:space="preserve"> bunca olumlu gelişmelere rağmen, engellilik olgusunun marjinal statüsü </w:t>
      </w:r>
      <w:r w:rsidRPr="007E702F">
        <w:lastRenderedPageBreak/>
        <w:t xml:space="preserve">mevcudiyetini korumakta olduğu görülmektedir. Nitekim, 19. Yüzyılın sonundan 20. Yüzyılın ortalarına kadar ki süreçte Avrupa'da ve Kuzey Amerika'da </w:t>
      </w:r>
      <w:proofErr w:type="spellStart"/>
      <w:r w:rsidRPr="007E702F">
        <w:t>öjeni</w:t>
      </w:r>
      <w:proofErr w:type="spellEnd"/>
      <w:r w:rsidRPr="007E702F">
        <w:t xml:space="preserve"> fikri etkisini göstermeye başlamıştır.</w:t>
      </w:r>
      <w:r w:rsidRPr="007E702F">
        <w:rPr>
          <w:spacing w:val="-4"/>
        </w:rPr>
        <w:t xml:space="preserve"> </w:t>
      </w:r>
      <w:proofErr w:type="spellStart"/>
      <w:r w:rsidRPr="007E702F">
        <w:t>Öjeni</w:t>
      </w:r>
      <w:proofErr w:type="spellEnd"/>
      <w:r w:rsidRPr="007E702F">
        <w:rPr>
          <w:spacing w:val="-4"/>
        </w:rPr>
        <w:t xml:space="preserve"> </w:t>
      </w:r>
      <w:r w:rsidRPr="007E702F">
        <w:t>fikri,</w:t>
      </w:r>
      <w:r w:rsidRPr="007E702F">
        <w:rPr>
          <w:spacing w:val="-4"/>
        </w:rPr>
        <w:t xml:space="preserve"> </w:t>
      </w:r>
      <w:r w:rsidRPr="007E702F">
        <w:t>Avrupa'nın</w:t>
      </w:r>
      <w:r w:rsidRPr="007E702F">
        <w:rPr>
          <w:spacing w:val="-4"/>
        </w:rPr>
        <w:t xml:space="preserve"> </w:t>
      </w:r>
      <w:r w:rsidRPr="007E702F">
        <w:t>ırksal</w:t>
      </w:r>
      <w:r w:rsidRPr="007E702F">
        <w:rPr>
          <w:spacing w:val="-4"/>
        </w:rPr>
        <w:t xml:space="preserve"> </w:t>
      </w:r>
      <w:r w:rsidRPr="007E702F">
        <w:t>üstünlük</w:t>
      </w:r>
      <w:r w:rsidRPr="007E702F">
        <w:rPr>
          <w:spacing w:val="-4"/>
        </w:rPr>
        <w:t xml:space="preserve"> </w:t>
      </w:r>
      <w:r w:rsidRPr="007E702F">
        <w:t>duygusunun</w:t>
      </w:r>
      <w:r w:rsidRPr="007E702F">
        <w:rPr>
          <w:spacing w:val="-4"/>
        </w:rPr>
        <w:t xml:space="preserve"> </w:t>
      </w:r>
      <w:r w:rsidRPr="007E702F">
        <w:t>baskınlığıyla</w:t>
      </w:r>
      <w:r w:rsidRPr="007E702F">
        <w:rPr>
          <w:spacing w:val="-4"/>
        </w:rPr>
        <w:t xml:space="preserve"> </w:t>
      </w:r>
      <w:r w:rsidRPr="007E702F">
        <w:t>ortaya</w:t>
      </w:r>
      <w:r w:rsidRPr="007E702F">
        <w:rPr>
          <w:spacing w:val="-4"/>
        </w:rPr>
        <w:t xml:space="preserve"> </w:t>
      </w:r>
      <w:r w:rsidRPr="007E702F">
        <w:t>çıkmış</w:t>
      </w:r>
      <w:r w:rsidRPr="007E702F">
        <w:rPr>
          <w:spacing w:val="-4"/>
        </w:rPr>
        <w:t xml:space="preserve"> </w:t>
      </w:r>
      <w:r w:rsidRPr="007E702F">
        <w:t>olup</w:t>
      </w:r>
      <w:r w:rsidRPr="007E702F">
        <w:rPr>
          <w:spacing w:val="-4"/>
        </w:rPr>
        <w:t xml:space="preserve"> </w:t>
      </w:r>
      <w:r w:rsidRPr="007E702F">
        <w:t>o dönemin</w:t>
      </w:r>
      <w:r w:rsidRPr="007E702F">
        <w:rPr>
          <w:spacing w:val="-6"/>
        </w:rPr>
        <w:t xml:space="preserve"> </w:t>
      </w:r>
      <w:r w:rsidRPr="007E702F">
        <w:t>en</w:t>
      </w:r>
      <w:r w:rsidRPr="007E702F">
        <w:rPr>
          <w:spacing w:val="-6"/>
        </w:rPr>
        <w:t xml:space="preserve"> </w:t>
      </w:r>
      <w:proofErr w:type="gramStart"/>
      <w:r w:rsidRPr="007E702F">
        <w:t>hakim</w:t>
      </w:r>
      <w:proofErr w:type="gramEnd"/>
      <w:r w:rsidRPr="007E702F">
        <w:rPr>
          <w:spacing w:val="-6"/>
        </w:rPr>
        <w:t xml:space="preserve"> </w:t>
      </w:r>
      <w:r w:rsidRPr="007E702F">
        <w:t>ideolojisine</w:t>
      </w:r>
      <w:r w:rsidRPr="007E702F">
        <w:rPr>
          <w:spacing w:val="-6"/>
        </w:rPr>
        <w:t xml:space="preserve"> </w:t>
      </w:r>
      <w:r w:rsidRPr="007E702F">
        <w:t>önemli</w:t>
      </w:r>
      <w:r w:rsidRPr="007E702F">
        <w:rPr>
          <w:spacing w:val="-6"/>
        </w:rPr>
        <w:t xml:space="preserve"> </w:t>
      </w:r>
      <w:r w:rsidRPr="007E702F">
        <w:t>ölçüde</w:t>
      </w:r>
      <w:r w:rsidRPr="007E702F">
        <w:rPr>
          <w:spacing w:val="-6"/>
        </w:rPr>
        <w:t xml:space="preserve"> </w:t>
      </w:r>
      <w:r w:rsidRPr="007E702F">
        <w:t>destek</w:t>
      </w:r>
      <w:r w:rsidRPr="007E702F">
        <w:rPr>
          <w:spacing w:val="-6"/>
        </w:rPr>
        <w:t xml:space="preserve"> </w:t>
      </w:r>
      <w:r w:rsidRPr="007E702F">
        <w:t>sağladığı</w:t>
      </w:r>
      <w:r w:rsidRPr="007E702F">
        <w:rPr>
          <w:spacing w:val="-6"/>
        </w:rPr>
        <w:t xml:space="preserve"> </w:t>
      </w:r>
      <w:r w:rsidRPr="007E702F">
        <w:t>görülmektedir</w:t>
      </w:r>
      <w:r w:rsidRPr="007E702F">
        <w:rPr>
          <w:spacing w:val="-7"/>
        </w:rPr>
        <w:t xml:space="preserve"> </w:t>
      </w:r>
      <w:r w:rsidRPr="007E702F">
        <w:t>(Brown,</w:t>
      </w:r>
      <w:r w:rsidRPr="007E702F">
        <w:rPr>
          <w:spacing w:val="-6"/>
        </w:rPr>
        <w:t xml:space="preserve"> </w:t>
      </w:r>
      <w:r w:rsidRPr="007E702F">
        <w:t>2018:</w:t>
      </w:r>
      <w:r w:rsidRPr="007E702F">
        <w:rPr>
          <w:spacing w:val="-6"/>
        </w:rPr>
        <w:t xml:space="preserve"> </w:t>
      </w:r>
      <w:r w:rsidRPr="007E702F">
        <w:t xml:space="preserve">423). Esasında </w:t>
      </w:r>
      <w:proofErr w:type="spellStart"/>
      <w:r w:rsidRPr="007E702F">
        <w:t>öjeni</w:t>
      </w:r>
      <w:proofErr w:type="spellEnd"/>
      <w:r w:rsidRPr="007E702F">
        <w:t xml:space="preserve"> fikri Platon'un fikirlerinin alt metnini yansıtmak amacıyla ortaya çıkmaktadır. Ancak modern anlamda </w:t>
      </w:r>
      <w:proofErr w:type="spellStart"/>
      <w:r w:rsidRPr="007E702F">
        <w:t>öjeni</w:t>
      </w:r>
      <w:proofErr w:type="spellEnd"/>
      <w:r w:rsidRPr="007E702F">
        <w:t xml:space="preserve"> fikrini geliştiren kişi Francis </w:t>
      </w:r>
      <w:proofErr w:type="spellStart"/>
      <w:r w:rsidRPr="007E702F">
        <w:t>Galton</w:t>
      </w:r>
      <w:proofErr w:type="spellEnd"/>
      <w:r w:rsidRPr="007E702F">
        <w:t xml:space="preserve"> olmuştur. Kendisi Charles Darwin'in kuzeni ve bir Sosyal </w:t>
      </w:r>
      <w:proofErr w:type="spellStart"/>
      <w:r w:rsidRPr="007E702F">
        <w:t>Darwinist</w:t>
      </w:r>
      <w:proofErr w:type="spellEnd"/>
      <w:r w:rsidRPr="007E702F">
        <w:t xml:space="preserve"> olan </w:t>
      </w:r>
      <w:proofErr w:type="spellStart"/>
      <w:r w:rsidRPr="007E702F">
        <w:t>Galton</w:t>
      </w:r>
      <w:proofErr w:type="spellEnd"/>
      <w:r w:rsidRPr="007E702F">
        <w:t xml:space="preserve"> hem karakter özelliklerini hem de fiziksel özelliklerinin</w:t>
      </w:r>
      <w:r w:rsidRPr="007E702F">
        <w:rPr>
          <w:spacing w:val="-15"/>
        </w:rPr>
        <w:t xml:space="preserve"> </w:t>
      </w:r>
      <w:r w:rsidRPr="007E702F">
        <w:t>kalıtımsal</w:t>
      </w:r>
      <w:r w:rsidRPr="007E702F">
        <w:rPr>
          <w:spacing w:val="-15"/>
        </w:rPr>
        <w:t xml:space="preserve"> </w:t>
      </w:r>
      <w:r w:rsidRPr="007E702F">
        <w:t>olduğunu</w:t>
      </w:r>
      <w:r w:rsidRPr="007E702F">
        <w:rPr>
          <w:spacing w:val="-15"/>
        </w:rPr>
        <w:t xml:space="preserve"> </w:t>
      </w:r>
      <w:r w:rsidRPr="007E702F">
        <w:t>ve</w:t>
      </w:r>
      <w:r w:rsidRPr="007E702F">
        <w:rPr>
          <w:spacing w:val="-15"/>
        </w:rPr>
        <w:t xml:space="preserve"> </w:t>
      </w:r>
      <w:r w:rsidRPr="007E702F">
        <w:t>insanın</w:t>
      </w:r>
      <w:r w:rsidRPr="007E702F">
        <w:rPr>
          <w:spacing w:val="-15"/>
        </w:rPr>
        <w:t xml:space="preserve"> </w:t>
      </w:r>
      <w:r w:rsidRPr="007E702F">
        <w:t>varoluşsal</w:t>
      </w:r>
      <w:r w:rsidRPr="007E702F">
        <w:rPr>
          <w:spacing w:val="-15"/>
        </w:rPr>
        <w:t xml:space="preserve"> </w:t>
      </w:r>
      <w:r w:rsidRPr="007E702F">
        <w:t>mücadelesinde</w:t>
      </w:r>
      <w:r w:rsidRPr="007E702F">
        <w:rPr>
          <w:spacing w:val="-15"/>
        </w:rPr>
        <w:t xml:space="preserve"> </w:t>
      </w:r>
      <w:r w:rsidRPr="007E702F">
        <w:t>kalıtsal</w:t>
      </w:r>
      <w:r w:rsidRPr="007E702F">
        <w:rPr>
          <w:spacing w:val="-15"/>
        </w:rPr>
        <w:t xml:space="preserve"> </w:t>
      </w:r>
      <w:r w:rsidRPr="007E702F">
        <w:t>bir</w:t>
      </w:r>
      <w:r w:rsidRPr="007E702F">
        <w:rPr>
          <w:spacing w:val="-15"/>
        </w:rPr>
        <w:t xml:space="preserve"> </w:t>
      </w:r>
      <w:r w:rsidRPr="007E702F">
        <w:t>avantaj</w:t>
      </w:r>
      <w:r w:rsidRPr="007E702F">
        <w:rPr>
          <w:spacing w:val="-15"/>
        </w:rPr>
        <w:t xml:space="preserve"> </w:t>
      </w:r>
      <w:r w:rsidRPr="007E702F">
        <w:t>sunduğu düşüncesini</w:t>
      </w:r>
      <w:r w:rsidRPr="007E702F">
        <w:rPr>
          <w:spacing w:val="-8"/>
        </w:rPr>
        <w:t xml:space="preserve"> </w:t>
      </w:r>
      <w:r w:rsidRPr="007E702F">
        <w:t>savunan</w:t>
      </w:r>
      <w:r w:rsidRPr="007E702F">
        <w:rPr>
          <w:spacing w:val="-8"/>
        </w:rPr>
        <w:t xml:space="preserve"> </w:t>
      </w:r>
      <w:r w:rsidRPr="007E702F">
        <w:t>birisidir.</w:t>
      </w:r>
      <w:r w:rsidRPr="007E702F">
        <w:rPr>
          <w:spacing w:val="-8"/>
        </w:rPr>
        <w:t xml:space="preserve"> </w:t>
      </w:r>
      <w:proofErr w:type="spellStart"/>
      <w:r w:rsidRPr="007E702F">
        <w:t>Galton'un</w:t>
      </w:r>
      <w:proofErr w:type="spellEnd"/>
      <w:r w:rsidRPr="007E702F">
        <w:rPr>
          <w:spacing w:val="-8"/>
        </w:rPr>
        <w:t xml:space="preserve"> </w:t>
      </w:r>
      <w:r w:rsidRPr="007E702F">
        <w:t>düşüncesinden</w:t>
      </w:r>
      <w:r w:rsidRPr="007E702F">
        <w:rPr>
          <w:spacing w:val="-8"/>
        </w:rPr>
        <w:t xml:space="preserve"> </w:t>
      </w:r>
      <w:r w:rsidRPr="007E702F">
        <w:t>hareket</w:t>
      </w:r>
      <w:r w:rsidRPr="007E702F">
        <w:rPr>
          <w:spacing w:val="-8"/>
        </w:rPr>
        <w:t xml:space="preserve"> </w:t>
      </w:r>
      <w:r w:rsidRPr="007E702F">
        <w:t>ile</w:t>
      </w:r>
      <w:r w:rsidRPr="007E702F">
        <w:rPr>
          <w:spacing w:val="-8"/>
        </w:rPr>
        <w:t xml:space="preserve"> </w:t>
      </w:r>
      <w:r w:rsidRPr="007E702F">
        <w:t>devletin</w:t>
      </w:r>
      <w:r w:rsidRPr="007E702F">
        <w:rPr>
          <w:spacing w:val="-8"/>
        </w:rPr>
        <w:t xml:space="preserve"> </w:t>
      </w:r>
      <w:r w:rsidRPr="007E702F">
        <w:t>sağlıklı</w:t>
      </w:r>
      <w:r w:rsidRPr="007E702F">
        <w:rPr>
          <w:spacing w:val="-8"/>
        </w:rPr>
        <w:t xml:space="preserve"> </w:t>
      </w:r>
      <w:r w:rsidRPr="007E702F">
        <w:t>ve</w:t>
      </w:r>
      <w:r w:rsidRPr="007E702F">
        <w:rPr>
          <w:spacing w:val="-8"/>
        </w:rPr>
        <w:t xml:space="preserve"> </w:t>
      </w:r>
      <w:r w:rsidRPr="007E702F">
        <w:t>zengin</w:t>
      </w:r>
      <w:r w:rsidRPr="007E702F">
        <w:rPr>
          <w:spacing w:val="-8"/>
        </w:rPr>
        <w:t xml:space="preserve"> </w:t>
      </w:r>
      <w:r w:rsidRPr="007E702F">
        <w:t xml:space="preserve">olan kişilerin çocuk sahibi olmasını teşvik edilmesi gerekli görülüyorken (pozitif </w:t>
      </w:r>
      <w:proofErr w:type="spellStart"/>
      <w:r w:rsidRPr="007E702F">
        <w:t>öjeni</w:t>
      </w:r>
      <w:proofErr w:type="spellEnd"/>
      <w:r w:rsidRPr="007E702F">
        <w:t xml:space="preserve">), bu gruptan ya da statüden olmayanların ise çocuk sahibi olmaktan caydırılması ve hatta çocuk sahibi olması yasaklanması (negatif </w:t>
      </w:r>
      <w:proofErr w:type="spellStart"/>
      <w:r w:rsidRPr="007E702F">
        <w:t>öjeni</w:t>
      </w:r>
      <w:proofErr w:type="spellEnd"/>
      <w:r w:rsidRPr="007E702F">
        <w:t xml:space="preserve">) gerekli olduğu düşüncesi hakimdi (Alemdaroğlu, 2006: 229 -230). Böylece bu dönemin toplumunun “faydalı” kesimlerinin kaynakları, marjinal ve dezavantajlı kesimleri desteklemek adına kullanılmayacaktı (Brown, 2018: 423). </w:t>
      </w:r>
      <w:proofErr w:type="spellStart"/>
      <w:r w:rsidRPr="007E702F">
        <w:t>Öjeni</w:t>
      </w:r>
      <w:proofErr w:type="spellEnd"/>
      <w:r w:rsidRPr="007E702F">
        <w:t xml:space="preserve"> fikrini genişletecek olursak bu fikrin savunucuları en uygun olanın hayatta kalması sayesinde sosyal ilerlemenin, ekonomik</w:t>
      </w:r>
      <w:r w:rsidRPr="007E702F">
        <w:rPr>
          <w:spacing w:val="-7"/>
        </w:rPr>
        <w:t xml:space="preserve"> </w:t>
      </w:r>
      <w:r w:rsidRPr="007E702F">
        <w:t>ve</w:t>
      </w:r>
      <w:r w:rsidRPr="007E702F">
        <w:rPr>
          <w:spacing w:val="-7"/>
        </w:rPr>
        <w:t xml:space="preserve"> </w:t>
      </w:r>
      <w:r w:rsidRPr="007E702F">
        <w:t>askeri</w:t>
      </w:r>
      <w:r w:rsidRPr="007E702F">
        <w:rPr>
          <w:spacing w:val="-7"/>
        </w:rPr>
        <w:t xml:space="preserve"> </w:t>
      </w:r>
      <w:r w:rsidRPr="007E702F">
        <w:t>verimliliğin</w:t>
      </w:r>
      <w:r w:rsidRPr="007E702F">
        <w:rPr>
          <w:spacing w:val="-7"/>
        </w:rPr>
        <w:t xml:space="preserve"> </w:t>
      </w:r>
      <w:r w:rsidRPr="007E702F">
        <w:t>artması</w:t>
      </w:r>
      <w:r w:rsidRPr="007E702F">
        <w:rPr>
          <w:spacing w:val="-7"/>
        </w:rPr>
        <w:t xml:space="preserve"> </w:t>
      </w:r>
      <w:r w:rsidRPr="007E702F">
        <w:t>noktasında</w:t>
      </w:r>
      <w:r w:rsidRPr="007E702F">
        <w:rPr>
          <w:spacing w:val="-7"/>
        </w:rPr>
        <w:t xml:space="preserve"> </w:t>
      </w:r>
      <w:r w:rsidRPr="007E702F">
        <w:t>tespitleri</w:t>
      </w:r>
      <w:r w:rsidRPr="007E702F">
        <w:rPr>
          <w:spacing w:val="-8"/>
        </w:rPr>
        <w:t xml:space="preserve"> </w:t>
      </w:r>
      <w:r w:rsidRPr="007E702F">
        <w:t>iddia</w:t>
      </w:r>
      <w:r w:rsidRPr="007E702F">
        <w:rPr>
          <w:spacing w:val="-7"/>
        </w:rPr>
        <w:t xml:space="preserve"> </w:t>
      </w:r>
      <w:r w:rsidRPr="007E702F">
        <w:t>edilmiştir</w:t>
      </w:r>
      <w:r w:rsidRPr="007E702F">
        <w:rPr>
          <w:spacing w:val="-7"/>
        </w:rPr>
        <w:t xml:space="preserve"> </w:t>
      </w:r>
      <w:r w:rsidRPr="007E702F">
        <w:t>(Alemdaroğlu,</w:t>
      </w:r>
      <w:r w:rsidRPr="007E702F">
        <w:rPr>
          <w:spacing w:val="-7"/>
        </w:rPr>
        <w:t xml:space="preserve"> </w:t>
      </w:r>
      <w:r w:rsidRPr="007E702F">
        <w:t xml:space="preserve">2006: </w:t>
      </w:r>
      <w:r w:rsidRPr="007E702F">
        <w:rPr>
          <w:spacing w:val="-2"/>
        </w:rPr>
        <w:t>230).</w:t>
      </w:r>
    </w:p>
    <w:p w14:paraId="4906A8E0" w14:textId="77777777" w:rsidR="007E702F" w:rsidRPr="007E702F" w:rsidRDefault="007E702F" w:rsidP="00316176">
      <w:pPr>
        <w:pStyle w:val="GvdeMetni"/>
      </w:pPr>
    </w:p>
    <w:p w14:paraId="1F898340" w14:textId="77777777" w:rsidR="007E702F" w:rsidRPr="007E702F" w:rsidRDefault="007E702F">
      <w:pPr>
        <w:pStyle w:val="ListeParagraf"/>
        <w:numPr>
          <w:ilvl w:val="0"/>
          <w:numId w:val="24"/>
        </w:numPr>
        <w:tabs>
          <w:tab w:val="left" w:pos="734"/>
        </w:tabs>
        <w:ind w:right="337" w:firstLine="0"/>
        <w:contextualSpacing w:val="0"/>
        <w:jc w:val="both"/>
      </w:pPr>
      <w:proofErr w:type="gramStart"/>
      <w:r w:rsidRPr="007E702F">
        <w:t>yüzyılın</w:t>
      </w:r>
      <w:proofErr w:type="gramEnd"/>
      <w:r w:rsidRPr="007E702F">
        <w:t xml:space="preserve"> sonlarına gelindiği ve 21. Yüzyılın başlarındayken, engelli aktivistlerin de ortaya çıkması</w:t>
      </w:r>
      <w:r w:rsidRPr="007E702F">
        <w:rPr>
          <w:spacing w:val="-9"/>
        </w:rPr>
        <w:t xml:space="preserve"> </w:t>
      </w:r>
      <w:r w:rsidRPr="007E702F">
        <w:t>ve</w:t>
      </w:r>
      <w:r w:rsidRPr="007E702F">
        <w:rPr>
          <w:spacing w:val="-9"/>
        </w:rPr>
        <w:t xml:space="preserve"> </w:t>
      </w:r>
      <w:r w:rsidRPr="007E702F">
        <w:t>yoğun</w:t>
      </w:r>
      <w:r w:rsidRPr="007E702F">
        <w:rPr>
          <w:spacing w:val="-9"/>
        </w:rPr>
        <w:t xml:space="preserve"> </w:t>
      </w:r>
      <w:r w:rsidRPr="007E702F">
        <w:t>mücadelesiyle</w:t>
      </w:r>
      <w:r w:rsidRPr="007E702F">
        <w:rPr>
          <w:spacing w:val="-9"/>
        </w:rPr>
        <w:t xml:space="preserve"> </w:t>
      </w:r>
      <w:r w:rsidRPr="007E702F">
        <w:t>engelli</w:t>
      </w:r>
      <w:r w:rsidRPr="007E702F">
        <w:rPr>
          <w:spacing w:val="-9"/>
        </w:rPr>
        <w:t xml:space="preserve"> </w:t>
      </w:r>
      <w:r w:rsidRPr="007E702F">
        <w:t>bireylere</w:t>
      </w:r>
      <w:r w:rsidRPr="007E702F">
        <w:rPr>
          <w:spacing w:val="-9"/>
        </w:rPr>
        <w:t xml:space="preserve"> </w:t>
      </w:r>
      <w:r w:rsidRPr="007E702F">
        <w:t>ve</w:t>
      </w:r>
      <w:r w:rsidRPr="007E702F">
        <w:rPr>
          <w:spacing w:val="-9"/>
        </w:rPr>
        <w:t xml:space="preserve"> </w:t>
      </w:r>
      <w:r w:rsidRPr="007E702F">
        <w:t>bu</w:t>
      </w:r>
      <w:r w:rsidRPr="007E702F">
        <w:rPr>
          <w:spacing w:val="-9"/>
        </w:rPr>
        <w:t xml:space="preserve"> </w:t>
      </w:r>
      <w:r w:rsidRPr="007E702F">
        <w:t>bireylerin</w:t>
      </w:r>
      <w:r w:rsidRPr="007E702F">
        <w:rPr>
          <w:spacing w:val="-9"/>
        </w:rPr>
        <w:t xml:space="preserve"> </w:t>
      </w:r>
      <w:r w:rsidRPr="007E702F">
        <w:t>temel</w:t>
      </w:r>
      <w:r w:rsidRPr="007E702F">
        <w:rPr>
          <w:spacing w:val="-9"/>
        </w:rPr>
        <w:t xml:space="preserve"> </w:t>
      </w:r>
      <w:r w:rsidRPr="007E702F">
        <w:t>hak</w:t>
      </w:r>
      <w:r w:rsidRPr="007E702F">
        <w:rPr>
          <w:spacing w:val="-9"/>
        </w:rPr>
        <w:t xml:space="preserve"> </w:t>
      </w:r>
      <w:r w:rsidRPr="007E702F">
        <w:t>ve</w:t>
      </w:r>
      <w:r w:rsidRPr="007E702F">
        <w:rPr>
          <w:spacing w:val="-9"/>
        </w:rPr>
        <w:t xml:space="preserve"> </w:t>
      </w:r>
      <w:r w:rsidRPr="007E702F">
        <w:t>çıkarlarına</w:t>
      </w:r>
      <w:r w:rsidRPr="007E702F">
        <w:rPr>
          <w:spacing w:val="-9"/>
        </w:rPr>
        <w:t xml:space="preserve"> </w:t>
      </w:r>
      <w:r w:rsidRPr="007E702F">
        <w:t>yönelik değer</w:t>
      </w:r>
      <w:r w:rsidRPr="007E702F">
        <w:rPr>
          <w:spacing w:val="-15"/>
        </w:rPr>
        <w:t xml:space="preserve"> </w:t>
      </w:r>
      <w:r w:rsidRPr="007E702F">
        <w:t>ve</w:t>
      </w:r>
      <w:r w:rsidRPr="007E702F">
        <w:rPr>
          <w:spacing w:val="-15"/>
        </w:rPr>
        <w:t xml:space="preserve"> </w:t>
      </w:r>
      <w:r w:rsidRPr="007E702F">
        <w:t>tutumlardaki</w:t>
      </w:r>
      <w:r w:rsidRPr="007E702F">
        <w:rPr>
          <w:spacing w:val="-15"/>
        </w:rPr>
        <w:t xml:space="preserve"> </w:t>
      </w:r>
      <w:r w:rsidRPr="007E702F">
        <w:t>değişim</w:t>
      </w:r>
      <w:r w:rsidRPr="007E702F">
        <w:rPr>
          <w:spacing w:val="-15"/>
        </w:rPr>
        <w:t xml:space="preserve"> </w:t>
      </w:r>
      <w:r w:rsidRPr="007E702F">
        <w:t>hızla</w:t>
      </w:r>
      <w:r w:rsidRPr="007E702F">
        <w:rPr>
          <w:spacing w:val="-15"/>
        </w:rPr>
        <w:t xml:space="preserve"> </w:t>
      </w:r>
      <w:r w:rsidRPr="007E702F">
        <w:t>ivme</w:t>
      </w:r>
      <w:r w:rsidRPr="007E702F">
        <w:rPr>
          <w:spacing w:val="-15"/>
        </w:rPr>
        <w:t xml:space="preserve"> </w:t>
      </w:r>
      <w:r w:rsidRPr="007E702F">
        <w:t>kazanmıştır.</w:t>
      </w:r>
      <w:r w:rsidRPr="007E702F">
        <w:rPr>
          <w:spacing w:val="-15"/>
        </w:rPr>
        <w:t xml:space="preserve"> </w:t>
      </w:r>
      <w:r w:rsidRPr="007E702F">
        <w:t>Bu</w:t>
      </w:r>
      <w:r w:rsidRPr="007E702F">
        <w:rPr>
          <w:spacing w:val="-15"/>
        </w:rPr>
        <w:t xml:space="preserve"> </w:t>
      </w:r>
      <w:r w:rsidRPr="007E702F">
        <w:t>dönemde</w:t>
      </w:r>
      <w:r w:rsidRPr="007E702F">
        <w:rPr>
          <w:spacing w:val="-15"/>
        </w:rPr>
        <w:t xml:space="preserve"> </w:t>
      </w:r>
      <w:r w:rsidRPr="007E702F">
        <w:t>dikkat</w:t>
      </w:r>
      <w:r w:rsidRPr="007E702F">
        <w:rPr>
          <w:spacing w:val="-15"/>
        </w:rPr>
        <w:t xml:space="preserve"> </w:t>
      </w:r>
      <w:r w:rsidRPr="007E702F">
        <w:t>çeken</w:t>
      </w:r>
      <w:r w:rsidRPr="007E702F">
        <w:rPr>
          <w:spacing w:val="-15"/>
        </w:rPr>
        <w:t xml:space="preserve"> </w:t>
      </w:r>
      <w:r w:rsidRPr="007E702F">
        <w:t>en</w:t>
      </w:r>
      <w:r w:rsidRPr="007E702F">
        <w:rPr>
          <w:spacing w:val="-14"/>
        </w:rPr>
        <w:t xml:space="preserve"> </w:t>
      </w:r>
      <w:r w:rsidRPr="007E702F">
        <w:t>büyük</w:t>
      </w:r>
      <w:r w:rsidRPr="007E702F">
        <w:rPr>
          <w:spacing w:val="-15"/>
        </w:rPr>
        <w:t xml:space="preserve"> </w:t>
      </w:r>
      <w:r w:rsidRPr="007E702F">
        <w:t>değişim ülkelerin, segregasyon yerine entegrasyonu öne çıkartan ve engelli bireylere yönelik damgalanmayı ve sosyal ayrımcılığı azaltmayı amaçlayan yasa ve sözleşmelerin çerçevesini oluşturmaya başlamış olmaları dikkat çekmektedir. Birleşmiş Milletler 1981 yılını Uluslararası Engelliler Yılı, 1992 yılının 3 Aralık gününü Dünya Engelliler Günü olarak kabul ettiğini ilan etmiştir. Fakat bu dönemde uluslararası camiadaki en önemli gelişme, engelli bireylere eşitlik, özerklik,</w:t>
      </w:r>
      <w:r w:rsidRPr="007E702F">
        <w:rPr>
          <w:spacing w:val="-9"/>
        </w:rPr>
        <w:t xml:space="preserve"> </w:t>
      </w:r>
      <w:r w:rsidRPr="007E702F">
        <w:t>erişilebilirlik</w:t>
      </w:r>
      <w:r w:rsidRPr="007E702F">
        <w:rPr>
          <w:spacing w:val="-9"/>
        </w:rPr>
        <w:t xml:space="preserve"> </w:t>
      </w:r>
      <w:r w:rsidRPr="007E702F">
        <w:t>ve</w:t>
      </w:r>
      <w:r w:rsidRPr="007E702F">
        <w:rPr>
          <w:spacing w:val="-9"/>
        </w:rPr>
        <w:t xml:space="preserve"> </w:t>
      </w:r>
      <w:r w:rsidRPr="007E702F">
        <w:t>topluma</w:t>
      </w:r>
      <w:r w:rsidRPr="007E702F">
        <w:rPr>
          <w:spacing w:val="-9"/>
        </w:rPr>
        <w:t xml:space="preserve"> </w:t>
      </w:r>
      <w:r w:rsidRPr="007E702F">
        <w:t>tam</w:t>
      </w:r>
      <w:r w:rsidRPr="007E702F">
        <w:rPr>
          <w:spacing w:val="-9"/>
        </w:rPr>
        <w:t xml:space="preserve"> </w:t>
      </w:r>
      <w:r w:rsidRPr="007E702F">
        <w:t>katılım</w:t>
      </w:r>
      <w:r w:rsidRPr="007E702F">
        <w:rPr>
          <w:spacing w:val="-9"/>
        </w:rPr>
        <w:t xml:space="preserve"> </w:t>
      </w:r>
      <w:r w:rsidRPr="007E702F">
        <w:t>gibi</w:t>
      </w:r>
      <w:r w:rsidRPr="007E702F">
        <w:rPr>
          <w:spacing w:val="-9"/>
        </w:rPr>
        <w:t xml:space="preserve"> </w:t>
      </w:r>
      <w:r w:rsidRPr="007E702F">
        <w:t>hakları</w:t>
      </w:r>
      <w:r w:rsidRPr="007E702F">
        <w:rPr>
          <w:spacing w:val="-10"/>
        </w:rPr>
        <w:t xml:space="preserve"> </w:t>
      </w:r>
      <w:r w:rsidRPr="007E702F">
        <w:t>ilk</w:t>
      </w:r>
      <w:r w:rsidRPr="007E702F">
        <w:rPr>
          <w:spacing w:val="-9"/>
        </w:rPr>
        <w:t xml:space="preserve"> </w:t>
      </w:r>
      <w:r w:rsidRPr="007E702F">
        <w:t>savunucu</w:t>
      </w:r>
      <w:r w:rsidRPr="007E702F">
        <w:rPr>
          <w:spacing w:val="-9"/>
        </w:rPr>
        <w:t xml:space="preserve"> </w:t>
      </w:r>
      <w:r w:rsidRPr="007E702F">
        <w:t>ve</w:t>
      </w:r>
      <w:r w:rsidRPr="007E702F">
        <w:rPr>
          <w:spacing w:val="-9"/>
        </w:rPr>
        <w:t xml:space="preserve"> </w:t>
      </w:r>
      <w:r w:rsidRPr="007E702F">
        <w:t>kapsayıcı</w:t>
      </w:r>
      <w:r w:rsidRPr="007E702F">
        <w:rPr>
          <w:spacing w:val="-9"/>
        </w:rPr>
        <w:t xml:space="preserve"> </w:t>
      </w:r>
      <w:r w:rsidRPr="007E702F">
        <w:t>niteliğe</w:t>
      </w:r>
      <w:r w:rsidRPr="007E702F">
        <w:rPr>
          <w:spacing w:val="-9"/>
        </w:rPr>
        <w:t xml:space="preserve"> </w:t>
      </w:r>
      <w:r w:rsidRPr="007E702F">
        <w:t>sahip sözleşme olan Birleşmiş Milletler Engelli Kişilerin Haklarına Dair Uluslararası Sözleşmesi'nin 2006 yılında kabul edilip, 2008 yılında ise yürürlüğe girmiştir (</w:t>
      </w:r>
      <w:proofErr w:type="spellStart"/>
      <w:r w:rsidRPr="007E702F">
        <w:t>Azarkan</w:t>
      </w:r>
      <w:proofErr w:type="spellEnd"/>
      <w:r w:rsidRPr="007E702F">
        <w:t xml:space="preserve"> &amp; Benzer, 2018: 3).</w:t>
      </w:r>
    </w:p>
    <w:p w14:paraId="797CFAF9" w14:textId="77777777" w:rsidR="007E702F" w:rsidRPr="007E702F" w:rsidRDefault="007E702F" w:rsidP="00316176">
      <w:pPr>
        <w:pStyle w:val="GvdeMetni"/>
      </w:pPr>
    </w:p>
    <w:p w14:paraId="4AB522A9" w14:textId="77777777" w:rsidR="007E702F" w:rsidRPr="007E702F" w:rsidRDefault="007E702F" w:rsidP="00316176">
      <w:pPr>
        <w:pStyle w:val="GvdeMetni"/>
        <w:ind w:right="337"/>
        <w:jc w:val="both"/>
      </w:pPr>
      <w:r w:rsidRPr="007E702F">
        <w:t>Özetle engelli bireyler açısından tarihi süreç boyunca, toplumun bazı kesimlerince merhametli tutum ve davranış esaslı ve kurumsal bazı</w:t>
      </w:r>
      <w:r w:rsidRPr="007E702F">
        <w:rPr>
          <w:spacing w:val="-1"/>
        </w:rPr>
        <w:t xml:space="preserve"> </w:t>
      </w:r>
      <w:r w:rsidRPr="007E702F">
        <w:t>gelişmelere karşılık gelen yerde çoğunlukla ayrımcılık, damgalanma,</w:t>
      </w:r>
      <w:r w:rsidRPr="007E702F">
        <w:rPr>
          <w:spacing w:val="-4"/>
        </w:rPr>
        <w:t xml:space="preserve"> </w:t>
      </w:r>
      <w:r w:rsidRPr="007E702F">
        <w:t>baskı</w:t>
      </w:r>
      <w:r w:rsidRPr="007E702F">
        <w:rPr>
          <w:spacing w:val="-4"/>
        </w:rPr>
        <w:t xml:space="preserve"> </w:t>
      </w:r>
      <w:r w:rsidRPr="007E702F">
        <w:t>ve</w:t>
      </w:r>
      <w:r w:rsidRPr="007E702F">
        <w:rPr>
          <w:spacing w:val="-4"/>
        </w:rPr>
        <w:t xml:space="preserve"> </w:t>
      </w:r>
      <w:r w:rsidRPr="007E702F">
        <w:t>istismar</w:t>
      </w:r>
      <w:r w:rsidRPr="007E702F">
        <w:rPr>
          <w:spacing w:val="-4"/>
        </w:rPr>
        <w:t xml:space="preserve"> </w:t>
      </w:r>
      <w:r w:rsidRPr="007E702F">
        <w:t>ile</w:t>
      </w:r>
      <w:r w:rsidRPr="007E702F">
        <w:rPr>
          <w:spacing w:val="-4"/>
        </w:rPr>
        <w:t xml:space="preserve"> </w:t>
      </w:r>
      <w:r w:rsidRPr="007E702F">
        <w:t>karşılaşılmış</w:t>
      </w:r>
      <w:r w:rsidRPr="007E702F">
        <w:rPr>
          <w:spacing w:val="-4"/>
        </w:rPr>
        <w:t xml:space="preserve"> </w:t>
      </w:r>
      <w:r w:rsidRPr="007E702F">
        <w:t>olduğu</w:t>
      </w:r>
      <w:r w:rsidRPr="007E702F">
        <w:rPr>
          <w:spacing w:val="-4"/>
        </w:rPr>
        <w:t xml:space="preserve"> </w:t>
      </w:r>
      <w:r w:rsidRPr="007E702F">
        <w:t>görülmektedir.</w:t>
      </w:r>
      <w:r w:rsidRPr="007E702F">
        <w:rPr>
          <w:spacing w:val="-4"/>
        </w:rPr>
        <w:t xml:space="preserve"> </w:t>
      </w:r>
      <w:r w:rsidRPr="007E702F">
        <w:t>Sosyal</w:t>
      </w:r>
      <w:r w:rsidRPr="007E702F">
        <w:rPr>
          <w:spacing w:val="-4"/>
        </w:rPr>
        <w:t xml:space="preserve"> </w:t>
      </w:r>
      <w:r w:rsidRPr="007E702F">
        <w:t>haklar</w:t>
      </w:r>
      <w:r w:rsidRPr="007E702F">
        <w:rPr>
          <w:spacing w:val="-4"/>
        </w:rPr>
        <w:t xml:space="preserve"> </w:t>
      </w:r>
      <w:r w:rsidRPr="007E702F">
        <w:t>çerçevesinde erişmeleri</w:t>
      </w:r>
      <w:r w:rsidRPr="007E702F">
        <w:rPr>
          <w:spacing w:val="-15"/>
        </w:rPr>
        <w:t xml:space="preserve"> </w:t>
      </w:r>
      <w:r w:rsidRPr="007E702F">
        <w:t>için</w:t>
      </w:r>
      <w:r w:rsidRPr="007E702F">
        <w:rPr>
          <w:spacing w:val="-15"/>
        </w:rPr>
        <w:t xml:space="preserve"> </w:t>
      </w:r>
      <w:r w:rsidRPr="007E702F">
        <w:t>mücadele</w:t>
      </w:r>
      <w:r w:rsidRPr="007E702F">
        <w:rPr>
          <w:spacing w:val="-15"/>
        </w:rPr>
        <w:t xml:space="preserve"> </w:t>
      </w:r>
      <w:r w:rsidRPr="007E702F">
        <w:t>etmeleri</w:t>
      </w:r>
      <w:r w:rsidRPr="007E702F">
        <w:rPr>
          <w:spacing w:val="-15"/>
        </w:rPr>
        <w:t xml:space="preserve"> </w:t>
      </w:r>
      <w:r w:rsidRPr="007E702F">
        <w:t>sıklıkla</w:t>
      </w:r>
      <w:r w:rsidRPr="007E702F">
        <w:rPr>
          <w:spacing w:val="-15"/>
        </w:rPr>
        <w:t xml:space="preserve"> </w:t>
      </w:r>
      <w:r w:rsidRPr="007E702F">
        <w:t>gerekli</w:t>
      </w:r>
      <w:r w:rsidRPr="007E702F">
        <w:rPr>
          <w:spacing w:val="-15"/>
        </w:rPr>
        <w:t xml:space="preserve"> </w:t>
      </w:r>
      <w:r w:rsidRPr="007E702F">
        <w:t>hatta</w:t>
      </w:r>
      <w:r w:rsidRPr="007E702F">
        <w:rPr>
          <w:spacing w:val="-15"/>
        </w:rPr>
        <w:t xml:space="preserve"> </w:t>
      </w:r>
      <w:r w:rsidRPr="007E702F">
        <w:t>zorunlu</w:t>
      </w:r>
      <w:r w:rsidRPr="007E702F">
        <w:rPr>
          <w:spacing w:val="-15"/>
        </w:rPr>
        <w:t xml:space="preserve"> </w:t>
      </w:r>
      <w:r w:rsidRPr="007E702F">
        <w:t>hale</w:t>
      </w:r>
      <w:r w:rsidRPr="007E702F">
        <w:rPr>
          <w:spacing w:val="-15"/>
        </w:rPr>
        <w:t xml:space="preserve"> </w:t>
      </w:r>
      <w:r w:rsidRPr="007E702F">
        <w:t>gelmiş</w:t>
      </w:r>
      <w:r w:rsidRPr="007E702F">
        <w:rPr>
          <w:spacing w:val="-15"/>
        </w:rPr>
        <w:t xml:space="preserve"> </w:t>
      </w:r>
      <w:r w:rsidRPr="007E702F">
        <w:t>ve</w:t>
      </w:r>
      <w:r w:rsidRPr="007E702F">
        <w:rPr>
          <w:spacing w:val="-15"/>
        </w:rPr>
        <w:t xml:space="preserve"> </w:t>
      </w:r>
      <w:r w:rsidRPr="007E702F">
        <w:t>kolektif</w:t>
      </w:r>
      <w:r w:rsidRPr="007E702F">
        <w:rPr>
          <w:spacing w:val="-15"/>
        </w:rPr>
        <w:t xml:space="preserve"> </w:t>
      </w:r>
      <w:r w:rsidRPr="007E702F">
        <w:t xml:space="preserve">mücadeleleri sonucunda gerek kurumlar gerek ise toplum </w:t>
      </w:r>
      <w:proofErr w:type="spellStart"/>
      <w:r w:rsidRPr="007E702F">
        <w:t>nezlinde</w:t>
      </w:r>
      <w:proofErr w:type="spellEnd"/>
      <w:r w:rsidRPr="007E702F">
        <w:t xml:space="preserve"> geçmişe kıyasla daha kapsayıcı bir hale dönüşümler</w:t>
      </w:r>
      <w:r w:rsidRPr="007E702F">
        <w:rPr>
          <w:spacing w:val="-3"/>
        </w:rPr>
        <w:t xml:space="preserve"> </w:t>
      </w:r>
      <w:r w:rsidRPr="007E702F">
        <w:t>sağlanmıştır.</w:t>
      </w:r>
      <w:r w:rsidRPr="007E702F">
        <w:rPr>
          <w:spacing w:val="-3"/>
        </w:rPr>
        <w:t xml:space="preserve"> </w:t>
      </w:r>
      <w:r w:rsidRPr="007E702F">
        <w:t>Ancak</w:t>
      </w:r>
      <w:r w:rsidRPr="007E702F">
        <w:rPr>
          <w:spacing w:val="-3"/>
        </w:rPr>
        <w:t xml:space="preserve"> </w:t>
      </w:r>
      <w:r w:rsidRPr="007E702F">
        <w:t>hala</w:t>
      </w:r>
      <w:r w:rsidRPr="007E702F">
        <w:rPr>
          <w:spacing w:val="-3"/>
        </w:rPr>
        <w:t xml:space="preserve"> </w:t>
      </w:r>
      <w:r w:rsidRPr="007E702F">
        <w:t>engelli</w:t>
      </w:r>
      <w:r w:rsidRPr="007E702F">
        <w:rPr>
          <w:spacing w:val="-3"/>
        </w:rPr>
        <w:t xml:space="preserve"> </w:t>
      </w:r>
      <w:r w:rsidRPr="007E702F">
        <w:t>bireyler</w:t>
      </w:r>
      <w:r w:rsidRPr="007E702F">
        <w:rPr>
          <w:spacing w:val="-3"/>
        </w:rPr>
        <w:t xml:space="preserve"> </w:t>
      </w:r>
      <w:r w:rsidRPr="007E702F">
        <w:t>hayatlarının</w:t>
      </w:r>
      <w:r w:rsidRPr="007E702F">
        <w:rPr>
          <w:spacing w:val="-3"/>
        </w:rPr>
        <w:t xml:space="preserve"> </w:t>
      </w:r>
      <w:r w:rsidRPr="007E702F">
        <w:t>birçok</w:t>
      </w:r>
      <w:r w:rsidRPr="007E702F">
        <w:rPr>
          <w:spacing w:val="-3"/>
        </w:rPr>
        <w:t xml:space="preserve"> </w:t>
      </w:r>
      <w:r w:rsidRPr="007E702F">
        <w:t>alanında</w:t>
      </w:r>
      <w:r w:rsidRPr="007E702F">
        <w:rPr>
          <w:spacing w:val="-3"/>
        </w:rPr>
        <w:t xml:space="preserve"> </w:t>
      </w:r>
      <w:r w:rsidRPr="007E702F">
        <w:t>dezavantajlı</w:t>
      </w:r>
      <w:r w:rsidRPr="007E702F">
        <w:rPr>
          <w:spacing w:val="-3"/>
        </w:rPr>
        <w:t xml:space="preserve"> </w:t>
      </w:r>
      <w:r w:rsidRPr="007E702F">
        <w:t>bir konumda olmaya devam etmektedir.</w:t>
      </w:r>
    </w:p>
    <w:p w14:paraId="1AE87294" w14:textId="77777777" w:rsidR="007E702F" w:rsidRDefault="007E702F" w:rsidP="00316176">
      <w:pPr>
        <w:pStyle w:val="GvdeMetni"/>
        <w:jc w:val="both"/>
      </w:pPr>
    </w:p>
    <w:p w14:paraId="21FF7F25" w14:textId="77777777" w:rsidR="00AF3C45" w:rsidRPr="007E702F" w:rsidRDefault="00AF3C45" w:rsidP="00316176">
      <w:pPr>
        <w:pStyle w:val="GvdeMetni"/>
        <w:jc w:val="both"/>
        <w:sectPr w:rsidR="00AF3C45" w:rsidRPr="007E702F" w:rsidSect="007513A1">
          <w:type w:val="continuous"/>
          <w:pgSz w:w="11906" w:h="16838"/>
          <w:pgMar w:top="1418" w:right="1418" w:bottom="1418" w:left="1418" w:header="1304" w:footer="1361" w:gutter="0"/>
          <w:cols w:space="708"/>
        </w:sectPr>
      </w:pPr>
    </w:p>
    <w:p w14:paraId="61BD686F" w14:textId="77777777" w:rsidR="007E702F" w:rsidRPr="00AF3C45" w:rsidRDefault="007E702F" w:rsidP="00316176">
      <w:pPr>
        <w:rPr>
          <w:b/>
          <w:bCs/>
        </w:rPr>
      </w:pPr>
      <w:r w:rsidRPr="00AF3C45">
        <w:rPr>
          <w:b/>
          <w:bCs/>
        </w:rPr>
        <w:t>Engellilerin</w:t>
      </w:r>
      <w:r w:rsidRPr="00AF3C45">
        <w:rPr>
          <w:b/>
          <w:bCs/>
          <w:spacing w:val="-15"/>
        </w:rPr>
        <w:t xml:space="preserve"> </w:t>
      </w:r>
      <w:r w:rsidRPr="00AF3C45">
        <w:rPr>
          <w:b/>
          <w:bCs/>
        </w:rPr>
        <w:t>Toplumsal</w:t>
      </w:r>
      <w:r w:rsidRPr="00AF3C45">
        <w:rPr>
          <w:b/>
          <w:bCs/>
          <w:spacing w:val="-15"/>
        </w:rPr>
        <w:t xml:space="preserve"> </w:t>
      </w:r>
      <w:r w:rsidRPr="00AF3C45">
        <w:rPr>
          <w:b/>
          <w:bCs/>
        </w:rPr>
        <w:t>Açıdan</w:t>
      </w:r>
      <w:r w:rsidRPr="00AF3C45">
        <w:rPr>
          <w:b/>
          <w:bCs/>
          <w:spacing w:val="-7"/>
        </w:rPr>
        <w:t xml:space="preserve"> </w:t>
      </w:r>
      <w:r w:rsidRPr="00AF3C45">
        <w:rPr>
          <w:b/>
          <w:bCs/>
        </w:rPr>
        <w:t>Dezavantajlı</w:t>
      </w:r>
      <w:r w:rsidRPr="00AF3C45">
        <w:rPr>
          <w:b/>
          <w:bCs/>
          <w:spacing w:val="-8"/>
        </w:rPr>
        <w:t xml:space="preserve"> </w:t>
      </w:r>
      <w:r w:rsidRPr="00AF3C45">
        <w:rPr>
          <w:b/>
          <w:bCs/>
        </w:rPr>
        <w:t>Görülmesi</w:t>
      </w:r>
      <w:r w:rsidRPr="00AF3C45">
        <w:rPr>
          <w:b/>
          <w:bCs/>
          <w:spacing w:val="-8"/>
        </w:rPr>
        <w:t xml:space="preserve"> </w:t>
      </w:r>
      <w:r w:rsidRPr="00AF3C45">
        <w:rPr>
          <w:b/>
          <w:bCs/>
          <w:spacing w:val="-2"/>
        </w:rPr>
        <w:t>Problemi</w:t>
      </w:r>
    </w:p>
    <w:p w14:paraId="3A5C5ACB" w14:textId="77777777" w:rsidR="007E702F" w:rsidRPr="007E702F" w:rsidRDefault="007E702F" w:rsidP="00316176">
      <w:pPr>
        <w:pStyle w:val="GvdeMetni"/>
        <w:ind w:right="337"/>
        <w:jc w:val="both"/>
      </w:pPr>
      <w:r w:rsidRPr="007E702F">
        <w:t>Engellilik kavramının ve engelliliği ifade etmek üzere kullanılmış olan kavramların ve engellilik tarihi,</w:t>
      </w:r>
      <w:r w:rsidRPr="007E702F">
        <w:rPr>
          <w:spacing w:val="-15"/>
        </w:rPr>
        <w:t xml:space="preserve"> </w:t>
      </w:r>
      <w:r w:rsidRPr="007E702F">
        <w:t>engelliliğin</w:t>
      </w:r>
      <w:r w:rsidRPr="007E702F">
        <w:rPr>
          <w:spacing w:val="-15"/>
        </w:rPr>
        <w:t xml:space="preserve"> </w:t>
      </w:r>
      <w:r w:rsidRPr="007E702F">
        <w:t>karmaşık</w:t>
      </w:r>
      <w:r w:rsidRPr="007E702F">
        <w:rPr>
          <w:spacing w:val="-15"/>
        </w:rPr>
        <w:t xml:space="preserve"> </w:t>
      </w:r>
      <w:r w:rsidRPr="007E702F">
        <w:t>ve</w:t>
      </w:r>
      <w:r w:rsidRPr="007E702F">
        <w:rPr>
          <w:spacing w:val="-15"/>
        </w:rPr>
        <w:t xml:space="preserve"> </w:t>
      </w:r>
      <w:r w:rsidRPr="007E702F">
        <w:t>çok</w:t>
      </w:r>
      <w:r w:rsidRPr="007E702F">
        <w:rPr>
          <w:spacing w:val="-15"/>
        </w:rPr>
        <w:t xml:space="preserve"> </w:t>
      </w:r>
      <w:r w:rsidRPr="007E702F">
        <w:t>yönlü</w:t>
      </w:r>
      <w:r w:rsidRPr="007E702F">
        <w:rPr>
          <w:spacing w:val="-15"/>
        </w:rPr>
        <w:t xml:space="preserve"> </w:t>
      </w:r>
      <w:r w:rsidRPr="007E702F">
        <w:t>doğasına</w:t>
      </w:r>
      <w:r w:rsidRPr="007E702F">
        <w:rPr>
          <w:spacing w:val="-15"/>
        </w:rPr>
        <w:t xml:space="preserve"> </w:t>
      </w:r>
      <w:r w:rsidRPr="007E702F">
        <w:t>sıklıkla</w:t>
      </w:r>
      <w:r w:rsidRPr="007E702F">
        <w:rPr>
          <w:spacing w:val="-15"/>
        </w:rPr>
        <w:t xml:space="preserve"> </w:t>
      </w:r>
      <w:r w:rsidRPr="007E702F">
        <w:t>rastladığımızı</w:t>
      </w:r>
      <w:r w:rsidRPr="007E702F">
        <w:rPr>
          <w:spacing w:val="-15"/>
        </w:rPr>
        <w:t xml:space="preserve"> </w:t>
      </w:r>
      <w:r w:rsidRPr="007E702F">
        <w:t>görebilmekteyiz.</w:t>
      </w:r>
      <w:r w:rsidRPr="007E702F">
        <w:rPr>
          <w:spacing w:val="-15"/>
        </w:rPr>
        <w:t xml:space="preserve"> </w:t>
      </w:r>
      <w:r w:rsidRPr="007E702F">
        <w:t xml:space="preserve">Tarihler boyunca engellilik, engelli bireylerin gerek sosyal mana da dışlanması ve terk edilmesinden kaynaklı, engelliliğin kurumsallaştırılmasına ve </w:t>
      </w:r>
      <w:proofErr w:type="spellStart"/>
      <w:r w:rsidRPr="007E702F">
        <w:t>tıbbileştirilmesine</w:t>
      </w:r>
      <w:proofErr w:type="spellEnd"/>
      <w:r w:rsidRPr="007E702F">
        <w:t xml:space="preserve"> kadar ki çeşitli şekillerde açıklanmaya</w:t>
      </w:r>
      <w:r w:rsidRPr="007E702F">
        <w:rPr>
          <w:spacing w:val="-10"/>
        </w:rPr>
        <w:t xml:space="preserve"> </w:t>
      </w:r>
      <w:r w:rsidRPr="007E702F">
        <w:t>ve</w:t>
      </w:r>
      <w:r w:rsidRPr="007E702F">
        <w:rPr>
          <w:spacing w:val="-10"/>
        </w:rPr>
        <w:t xml:space="preserve"> </w:t>
      </w:r>
      <w:r w:rsidRPr="007E702F">
        <w:t>anlaşılmaya</w:t>
      </w:r>
      <w:r w:rsidRPr="007E702F">
        <w:rPr>
          <w:spacing w:val="-10"/>
        </w:rPr>
        <w:t xml:space="preserve"> </w:t>
      </w:r>
      <w:r w:rsidRPr="007E702F">
        <w:t>çalışılmış</w:t>
      </w:r>
      <w:r w:rsidRPr="007E702F">
        <w:rPr>
          <w:spacing w:val="-10"/>
        </w:rPr>
        <w:t xml:space="preserve"> </w:t>
      </w:r>
      <w:r w:rsidRPr="007E702F">
        <w:t>bir</w:t>
      </w:r>
      <w:r w:rsidRPr="007E702F">
        <w:rPr>
          <w:spacing w:val="-10"/>
        </w:rPr>
        <w:t xml:space="preserve"> </w:t>
      </w:r>
      <w:r w:rsidRPr="007E702F">
        <w:t>çaba</w:t>
      </w:r>
      <w:r w:rsidRPr="007E702F">
        <w:rPr>
          <w:spacing w:val="-10"/>
        </w:rPr>
        <w:t xml:space="preserve"> </w:t>
      </w:r>
      <w:r w:rsidRPr="007E702F">
        <w:lastRenderedPageBreak/>
        <w:t>sarfedilmiş</w:t>
      </w:r>
      <w:r w:rsidRPr="007E702F">
        <w:rPr>
          <w:spacing w:val="-10"/>
        </w:rPr>
        <w:t xml:space="preserve"> </w:t>
      </w:r>
      <w:r w:rsidRPr="007E702F">
        <w:t>olduğu</w:t>
      </w:r>
      <w:r w:rsidRPr="007E702F">
        <w:rPr>
          <w:spacing w:val="-10"/>
        </w:rPr>
        <w:t xml:space="preserve"> </w:t>
      </w:r>
      <w:r w:rsidRPr="007E702F">
        <w:t>görülmektedir.</w:t>
      </w:r>
      <w:r w:rsidRPr="007E702F">
        <w:rPr>
          <w:spacing w:val="-10"/>
        </w:rPr>
        <w:t xml:space="preserve"> </w:t>
      </w:r>
      <w:r w:rsidRPr="007E702F">
        <w:t>Gerek</w:t>
      </w:r>
      <w:r w:rsidRPr="007E702F">
        <w:rPr>
          <w:spacing w:val="-10"/>
        </w:rPr>
        <w:t xml:space="preserve"> </w:t>
      </w:r>
      <w:r w:rsidRPr="007E702F">
        <w:t>engellilik mana olarak hali hazırda bir dezavantajlılığı imgelemesinden dolayı gerek ise bir kimsenin bedensel</w:t>
      </w:r>
      <w:r w:rsidRPr="007E702F">
        <w:rPr>
          <w:spacing w:val="-9"/>
        </w:rPr>
        <w:t xml:space="preserve"> </w:t>
      </w:r>
      <w:r w:rsidRPr="007E702F">
        <w:t>farklılıkları</w:t>
      </w:r>
      <w:r w:rsidRPr="007E702F">
        <w:rPr>
          <w:spacing w:val="-9"/>
        </w:rPr>
        <w:t xml:space="preserve"> </w:t>
      </w:r>
      <w:proofErr w:type="gramStart"/>
      <w:r w:rsidRPr="007E702F">
        <w:t>ve</w:t>
      </w:r>
      <w:r w:rsidRPr="007E702F">
        <w:rPr>
          <w:spacing w:val="-9"/>
        </w:rPr>
        <w:t xml:space="preserve"> </w:t>
      </w:r>
      <w:r w:rsidRPr="007E702F">
        <w:t>ya</w:t>
      </w:r>
      <w:proofErr w:type="gramEnd"/>
      <w:r w:rsidRPr="007E702F">
        <w:rPr>
          <w:spacing w:val="-9"/>
        </w:rPr>
        <w:t xml:space="preserve"> </w:t>
      </w:r>
      <w:r w:rsidRPr="007E702F">
        <w:t>zihinsel,</w:t>
      </w:r>
      <w:r w:rsidRPr="007E702F">
        <w:rPr>
          <w:spacing w:val="-9"/>
        </w:rPr>
        <w:t xml:space="preserve"> </w:t>
      </w:r>
      <w:r w:rsidRPr="007E702F">
        <w:t>psikolojik</w:t>
      </w:r>
      <w:r w:rsidRPr="007E702F">
        <w:rPr>
          <w:spacing w:val="-9"/>
        </w:rPr>
        <w:t xml:space="preserve"> </w:t>
      </w:r>
      <w:r w:rsidRPr="007E702F">
        <w:t>ve</w:t>
      </w:r>
      <w:r w:rsidRPr="007E702F">
        <w:rPr>
          <w:spacing w:val="-9"/>
        </w:rPr>
        <w:t xml:space="preserve"> </w:t>
      </w:r>
      <w:r w:rsidRPr="007E702F">
        <w:t>toplumsal</w:t>
      </w:r>
      <w:r w:rsidRPr="007E702F">
        <w:rPr>
          <w:spacing w:val="-9"/>
        </w:rPr>
        <w:t xml:space="preserve"> </w:t>
      </w:r>
      <w:r w:rsidRPr="007E702F">
        <w:t>olaylardan</w:t>
      </w:r>
      <w:r w:rsidRPr="007E702F">
        <w:rPr>
          <w:spacing w:val="-9"/>
        </w:rPr>
        <w:t xml:space="preserve"> </w:t>
      </w:r>
      <w:r w:rsidRPr="007E702F">
        <w:t>kaynaklı</w:t>
      </w:r>
      <w:r w:rsidRPr="007E702F">
        <w:rPr>
          <w:spacing w:val="-9"/>
        </w:rPr>
        <w:t xml:space="preserve"> </w:t>
      </w:r>
      <w:r w:rsidRPr="007E702F">
        <w:t>sonradan</w:t>
      </w:r>
      <w:r w:rsidRPr="007E702F">
        <w:rPr>
          <w:spacing w:val="-9"/>
        </w:rPr>
        <w:t xml:space="preserve"> </w:t>
      </w:r>
      <w:r w:rsidRPr="007E702F">
        <w:t xml:space="preserve">edinilen hal olarak, dışa bağımlılığı yüksek ve sosyal katılımı kısıtlı halde seyrettiği durumları da ortaya çıkartmaktadır. Dezavantajlılık hali toplumsal açıdan </w:t>
      </w:r>
      <w:proofErr w:type="spellStart"/>
      <w:r w:rsidRPr="007E702F">
        <w:t>sosyo</w:t>
      </w:r>
      <w:proofErr w:type="spellEnd"/>
      <w:r w:rsidRPr="007E702F">
        <w:t>-ekonomik nedenler en çok “yoksulluk” ile ilintili olmak üzere, eğitim ve rehabilitasyon hizmetlerine erişimde sınırlılık ve zorluklarla</w:t>
      </w:r>
      <w:r w:rsidRPr="007E702F">
        <w:rPr>
          <w:spacing w:val="-5"/>
        </w:rPr>
        <w:t xml:space="preserve"> </w:t>
      </w:r>
      <w:r w:rsidRPr="007E702F">
        <w:t>devam</w:t>
      </w:r>
      <w:r w:rsidRPr="007E702F">
        <w:rPr>
          <w:spacing w:val="-5"/>
        </w:rPr>
        <w:t xml:space="preserve"> </w:t>
      </w:r>
      <w:r w:rsidRPr="007E702F">
        <w:t>eden</w:t>
      </w:r>
      <w:r w:rsidRPr="007E702F">
        <w:rPr>
          <w:spacing w:val="-5"/>
        </w:rPr>
        <w:t xml:space="preserve"> </w:t>
      </w:r>
      <w:r w:rsidRPr="007E702F">
        <w:t>akabinde</w:t>
      </w:r>
      <w:r w:rsidRPr="007E702F">
        <w:rPr>
          <w:spacing w:val="-5"/>
        </w:rPr>
        <w:t xml:space="preserve"> </w:t>
      </w:r>
      <w:r w:rsidRPr="007E702F">
        <w:t>ise</w:t>
      </w:r>
      <w:r w:rsidRPr="007E702F">
        <w:rPr>
          <w:spacing w:val="-5"/>
        </w:rPr>
        <w:t xml:space="preserve"> </w:t>
      </w:r>
      <w:r w:rsidRPr="007E702F">
        <w:t>sosyal</w:t>
      </w:r>
      <w:r w:rsidRPr="007E702F">
        <w:rPr>
          <w:spacing w:val="-5"/>
        </w:rPr>
        <w:t xml:space="preserve"> </w:t>
      </w:r>
      <w:r w:rsidRPr="007E702F">
        <w:t>olarak</w:t>
      </w:r>
      <w:r w:rsidRPr="007E702F">
        <w:rPr>
          <w:spacing w:val="-5"/>
        </w:rPr>
        <w:t xml:space="preserve"> </w:t>
      </w:r>
      <w:r w:rsidRPr="007E702F">
        <w:t>faaliyet</w:t>
      </w:r>
      <w:r w:rsidRPr="007E702F">
        <w:rPr>
          <w:spacing w:val="-5"/>
        </w:rPr>
        <w:t xml:space="preserve"> </w:t>
      </w:r>
      <w:r w:rsidRPr="007E702F">
        <w:t>ve</w:t>
      </w:r>
      <w:r w:rsidRPr="007E702F">
        <w:rPr>
          <w:spacing w:val="-5"/>
        </w:rPr>
        <w:t xml:space="preserve"> </w:t>
      </w:r>
      <w:r w:rsidRPr="007E702F">
        <w:t>katılımlarının</w:t>
      </w:r>
      <w:r w:rsidRPr="007E702F">
        <w:rPr>
          <w:spacing w:val="-5"/>
        </w:rPr>
        <w:t xml:space="preserve"> </w:t>
      </w:r>
      <w:r w:rsidRPr="007E702F">
        <w:t>sınırlılıklarının</w:t>
      </w:r>
      <w:r w:rsidRPr="007E702F">
        <w:rPr>
          <w:spacing w:val="-5"/>
        </w:rPr>
        <w:t xml:space="preserve"> </w:t>
      </w:r>
      <w:r w:rsidRPr="007E702F">
        <w:t>ortaya çıkmasıyla</w:t>
      </w:r>
      <w:r w:rsidRPr="007E702F">
        <w:rPr>
          <w:spacing w:val="-12"/>
        </w:rPr>
        <w:t xml:space="preserve"> </w:t>
      </w:r>
      <w:r w:rsidRPr="007E702F">
        <w:t>günümüze</w:t>
      </w:r>
      <w:r w:rsidRPr="007E702F">
        <w:rPr>
          <w:spacing w:val="-12"/>
        </w:rPr>
        <w:t xml:space="preserve"> </w:t>
      </w:r>
      <w:r w:rsidRPr="007E702F">
        <w:t>kadar</w:t>
      </w:r>
      <w:r w:rsidRPr="007E702F">
        <w:rPr>
          <w:spacing w:val="-12"/>
        </w:rPr>
        <w:t xml:space="preserve"> </w:t>
      </w:r>
      <w:r w:rsidRPr="007E702F">
        <w:t>gelen</w:t>
      </w:r>
      <w:r w:rsidRPr="007E702F">
        <w:rPr>
          <w:spacing w:val="-12"/>
        </w:rPr>
        <w:t xml:space="preserve"> </w:t>
      </w:r>
      <w:r w:rsidRPr="007E702F">
        <w:t>en</w:t>
      </w:r>
      <w:r w:rsidRPr="007E702F">
        <w:rPr>
          <w:spacing w:val="-12"/>
        </w:rPr>
        <w:t xml:space="preserve"> </w:t>
      </w:r>
      <w:r w:rsidRPr="007E702F">
        <w:t>güncel</w:t>
      </w:r>
      <w:r w:rsidRPr="007E702F">
        <w:rPr>
          <w:spacing w:val="-12"/>
        </w:rPr>
        <w:t xml:space="preserve"> </w:t>
      </w:r>
      <w:r w:rsidRPr="007E702F">
        <w:t>teknolojik</w:t>
      </w:r>
      <w:r w:rsidRPr="007E702F">
        <w:rPr>
          <w:spacing w:val="-12"/>
        </w:rPr>
        <w:t xml:space="preserve"> </w:t>
      </w:r>
      <w:r w:rsidRPr="007E702F">
        <w:t>gelişmeler</w:t>
      </w:r>
      <w:r w:rsidRPr="007E702F">
        <w:rPr>
          <w:spacing w:val="-12"/>
        </w:rPr>
        <w:t xml:space="preserve"> </w:t>
      </w:r>
      <w:proofErr w:type="gramStart"/>
      <w:r w:rsidRPr="007E702F">
        <w:t>ile</w:t>
      </w:r>
      <w:r w:rsidRPr="007E702F">
        <w:rPr>
          <w:spacing w:val="-12"/>
        </w:rPr>
        <w:t xml:space="preserve"> </w:t>
      </w:r>
      <w:r w:rsidRPr="007E702F">
        <w:t>birlikte</w:t>
      </w:r>
      <w:proofErr w:type="gramEnd"/>
      <w:r w:rsidRPr="007E702F">
        <w:rPr>
          <w:spacing w:val="-12"/>
        </w:rPr>
        <w:t xml:space="preserve"> </w:t>
      </w:r>
      <w:r w:rsidRPr="007E702F">
        <w:t>teknolojik</w:t>
      </w:r>
      <w:r w:rsidRPr="007E702F">
        <w:rPr>
          <w:spacing w:val="-12"/>
        </w:rPr>
        <w:t xml:space="preserve"> </w:t>
      </w:r>
      <w:r w:rsidRPr="007E702F">
        <w:t>gelişmeler açısından</w:t>
      </w:r>
      <w:r w:rsidRPr="007E702F">
        <w:rPr>
          <w:spacing w:val="-7"/>
        </w:rPr>
        <w:t xml:space="preserve"> </w:t>
      </w:r>
      <w:r w:rsidRPr="007E702F">
        <w:t>bir</w:t>
      </w:r>
      <w:r w:rsidRPr="007E702F">
        <w:rPr>
          <w:spacing w:val="-7"/>
        </w:rPr>
        <w:t xml:space="preserve"> </w:t>
      </w:r>
      <w:r w:rsidRPr="007E702F">
        <w:t>entegrasyon</w:t>
      </w:r>
      <w:r w:rsidRPr="007E702F">
        <w:rPr>
          <w:spacing w:val="-7"/>
        </w:rPr>
        <w:t xml:space="preserve"> </w:t>
      </w:r>
      <w:r w:rsidRPr="007E702F">
        <w:t>problemi</w:t>
      </w:r>
      <w:r w:rsidRPr="007E702F">
        <w:rPr>
          <w:spacing w:val="-7"/>
        </w:rPr>
        <w:t xml:space="preserve"> </w:t>
      </w:r>
      <w:r w:rsidRPr="007E702F">
        <w:t>ortaya</w:t>
      </w:r>
      <w:r w:rsidRPr="007E702F">
        <w:rPr>
          <w:spacing w:val="-7"/>
        </w:rPr>
        <w:t xml:space="preserve"> </w:t>
      </w:r>
      <w:r w:rsidRPr="007E702F">
        <w:t>çıktığı</w:t>
      </w:r>
      <w:r w:rsidRPr="007E702F">
        <w:rPr>
          <w:spacing w:val="-7"/>
        </w:rPr>
        <w:t xml:space="preserve"> </w:t>
      </w:r>
      <w:r w:rsidRPr="007E702F">
        <w:t>kanısına</w:t>
      </w:r>
      <w:r w:rsidRPr="007E702F">
        <w:rPr>
          <w:spacing w:val="-7"/>
        </w:rPr>
        <w:t xml:space="preserve"> </w:t>
      </w:r>
      <w:r w:rsidRPr="007E702F">
        <w:t>varılmaktadır.</w:t>
      </w:r>
      <w:r w:rsidRPr="007E702F">
        <w:rPr>
          <w:spacing w:val="-7"/>
        </w:rPr>
        <w:t xml:space="preserve"> </w:t>
      </w:r>
      <w:r w:rsidRPr="007E702F">
        <w:t>Hali</w:t>
      </w:r>
      <w:r w:rsidRPr="007E702F">
        <w:rPr>
          <w:spacing w:val="-7"/>
        </w:rPr>
        <w:t xml:space="preserve"> </w:t>
      </w:r>
      <w:r w:rsidRPr="007E702F">
        <w:t>hazırda</w:t>
      </w:r>
      <w:r w:rsidRPr="007E702F">
        <w:rPr>
          <w:spacing w:val="-7"/>
        </w:rPr>
        <w:t xml:space="preserve"> </w:t>
      </w:r>
      <w:r w:rsidRPr="007E702F">
        <w:t>geliştirilmiş yasa ve uygulamaya çalışılmış sözleşmeler ile engellilik kavramı normalleştirilmeye çalışılmış olduğu da görülmektedir. Toplumlararası ve engelli bireylerarasında da hatta tarihsel süreç ve çağların</w:t>
      </w:r>
      <w:r w:rsidRPr="007E702F">
        <w:rPr>
          <w:spacing w:val="-8"/>
        </w:rPr>
        <w:t xml:space="preserve"> </w:t>
      </w:r>
      <w:r w:rsidRPr="007E702F">
        <w:t>özelliklerine</w:t>
      </w:r>
      <w:r w:rsidRPr="007E702F">
        <w:rPr>
          <w:spacing w:val="-8"/>
        </w:rPr>
        <w:t xml:space="preserve"> </w:t>
      </w:r>
      <w:proofErr w:type="spellStart"/>
      <w:r w:rsidRPr="007E702F">
        <w:t>biyanen</w:t>
      </w:r>
      <w:proofErr w:type="spellEnd"/>
      <w:r w:rsidRPr="007E702F">
        <w:rPr>
          <w:spacing w:val="-8"/>
        </w:rPr>
        <w:t xml:space="preserve"> </w:t>
      </w:r>
      <w:r w:rsidRPr="007E702F">
        <w:t>engelliliğin</w:t>
      </w:r>
      <w:r w:rsidRPr="007E702F">
        <w:rPr>
          <w:spacing w:val="-8"/>
        </w:rPr>
        <w:t xml:space="preserve"> </w:t>
      </w:r>
      <w:r w:rsidRPr="007E702F">
        <w:t>kavram</w:t>
      </w:r>
      <w:r w:rsidRPr="007E702F">
        <w:rPr>
          <w:spacing w:val="-8"/>
        </w:rPr>
        <w:t xml:space="preserve"> </w:t>
      </w:r>
      <w:r w:rsidRPr="007E702F">
        <w:t>ve</w:t>
      </w:r>
      <w:r w:rsidRPr="007E702F">
        <w:rPr>
          <w:spacing w:val="-8"/>
        </w:rPr>
        <w:t xml:space="preserve"> </w:t>
      </w:r>
      <w:r w:rsidRPr="007E702F">
        <w:t>olgu</w:t>
      </w:r>
      <w:r w:rsidRPr="007E702F">
        <w:rPr>
          <w:spacing w:val="-8"/>
        </w:rPr>
        <w:t xml:space="preserve"> </w:t>
      </w:r>
      <w:r w:rsidRPr="007E702F">
        <w:t>olarak</w:t>
      </w:r>
      <w:r w:rsidRPr="007E702F">
        <w:rPr>
          <w:spacing w:val="-8"/>
        </w:rPr>
        <w:t xml:space="preserve"> </w:t>
      </w:r>
      <w:r w:rsidRPr="007E702F">
        <w:t>bakış</w:t>
      </w:r>
      <w:r w:rsidRPr="007E702F">
        <w:rPr>
          <w:spacing w:val="-8"/>
        </w:rPr>
        <w:t xml:space="preserve"> </w:t>
      </w:r>
      <w:r w:rsidRPr="007E702F">
        <w:t>açısının</w:t>
      </w:r>
      <w:r w:rsidRPr="007E702F">
        <w:rPr>
          <w:spacing w:val="-8"/>
        </w:rPr>
        <w:t xml:space="preserve"> </w:t>
      </w:r>
      <w:r w:rsidRPr="007E702F">
        <w:t>evrildiğini,</w:t>
      </w:r>
      <w:r w:rsidRPr="007E702F">
        <w:rPr>
          <w:spacing w:val="-8"/>
        </w:rPr>
        <w:t xml:space="preserve"> </w:t>
      </w:r>
      <w:r w:rsidRPr="007E702F">
        <w:t>aslında engellilik halini yaşayan “birey” olgusunu insan hakları çerçevesine oturtturulmaya çalışılmış olduğu</w:t>
      </w:r>
      <w:r w:rsidRPr="007E702F">
        <w:rPr>
          <w:spacing w:val="-1"/>
        </w:rPr>
        <w:t xml:space="preserve"> </w:t>
      </w:r>
      <w:r w:rsidRPr="007E702F">
        <w:t>da</w:t>
      </w:r>
      <w:r w:rsidRPr="007E702F">
        <w:rPr>
          <w:spacing w:val="-1"/>
        </w:rPr>
        <w:t xml:space="preserve"> </w:t>
      </w:r>
      <w:r w:rsidRPr="007E702F">
        <w:t>görülmektedir.</w:t>
      </w:r>
      <w:r w:rsidRPr="007E702F">
        <w:rPr>
          <w:spacing w:val="-1"/>
        </w:rPr>
        <w:t xml:space="preserve"> </w:t>
      </w:r>
      <w:r w:rsidRPr="007E702F">
        <w:t>Engellilik</w:t>
      </w:r>
      <w:r w:rsidRPr="007E702F">
        <w:rPr>
          <w:spacing w:val="-1"/>
        </w:rPr>
        <w:t xml:space="preserve"> </w:t>
      </w:r>
      <w:r w:rsidRPr="007E702F">
        <w:t>kavramı</w:t>
      </w:r>
      <w:r w:rsidRPr="007E702F">
        <w:rPr>
          <w:spacing w:val="-1"/>
        </w:rPr>
        <w:t xml:space="preserve"> </w:t>
      </w:r>
      <w:r w:rsidRPr="007E702F">
        <w:t>heterojen</w:t>
      </w:r>
      <w:r w:rsidRPr="007E702F">
        <w:rPr>
          <w:spacing w:val="-1"/>
        </w:rPr>
        <w:t xml:space="preserve"> </w:t>
      </w:r>
      <w:r w:rsidRPr="007E702F">
        <w:t>bir</w:t>
      </w:r>
      <w:r w:rsidRPr="007E702F">
        <w:rPr>
          <w:spacing w:val="-1"/>
        </w:rPr>
        <w:t xml:space="preserve"> </w:t>
      </w:r>
      <w:r w:rsidRPr="007E702F">
        <w:t>kavram</w:t>
      </w:r>
      <w:r w:rsidRPr="007E702F">
        <w:rPr>
          <w:spacing w:val="-1"/>
        </w:rPr>
        <w:t xml:space="preserve"> </w:t>
      </w:r>
      <w:r w:rsidRPr="007E702F">
        <w:t>ve</w:t>
      </w:r>
      <w:r w:rsidRPr="007E702F">
        <w:rPr>
          <w:spacing w:val="-1"/>
        </w:rPr>
        <w:t xml:space="preserve"> </w:t>
      </w:r>
      <w:r w:rsidRPr="007E702F">
        <w:t>çok</w:t>
      </w:r>
      <w:r w:rsidRPr="007E702F">
        <w:rPr>
          <w:spacing w:val="-1"/>
        </w:rPr>
        <w:t xml:space="preserve"> </w:t>
      </w:r>
      <w:r w:rsidRPr="007E702F">
        <w:t>çeşitlilik</w:t>
      </w:r>
      <w:r w:rsidRPr="007E702F">
        <w:rPr>
          <w:spacing w:val="-1"/>
        </w:rPr>
        <w:t xml:space="preserve"> </w:t>
      </w:r>
      <w:r w:rsidRPr="007E702F">
        <w:t>ve</w:t>
      </w:r>
      <w:r w:rsidRPr="007E702F">
        <w:rPr>
          <w:spacing w:val="-1"/>
        </w:rPr>
        <w:t xml:space="preserve"> </w:t>
      </w:r>
      <w:r w:rsidRPr="007E702F">
        <w:t>değişkenlik göstermesi sebebiyle hem bireysel hem toplumsal bir farkındalığın oluşmasında ilerlenmesi gereken bir sosyal sorun olarak karşımıza çıkmaktadır.</w:t>
      </w:r>
    </w:p>
    <w:p w14:paraId="0413E9E1" w14:textId="77777777" w:rsidR="007E702F" w:rsidRPr="007E702F" w:rsidRDefault="007E702F" w:rsidP="00316176">
      <w:pPr>
        <w:pStyle w:val="GvdeMetni"/>
      </w:pPr>
    </w:p>
    <w:p w14:paraId="19DFFDA9" w14:textId="000BD0AF" w:rsidR="007E702F" w:rsidRPr="00316176" w:rsidRDefault="007E702F" w:rsidP="00316176">
      <w:pPr>
        <w:rPr>
          <w:b/>
          <w:bCs/>
        </w:rPr>
      </w:pPr>
      <w:r w:rsidRPr="00AF3C45">
        <w:rPr>
          <w:b/>
          <w:bCs/>
        </w:rPr>
        <w:t>Engelli</w:t>
      </w:r>
      <w:r w:rsidRPr="00AF3C45">
        <w:rPr>
          <w:b/>
          <w:bCs/>
          <w:spacing w:val="-6"/>
        </w:rPr>
        <w:t xml:space="preserve"> </w:t>
      </w:r>
      <w:r w:rsidRPr="00AF3C45">
        <w:rPr>
          <w:b/>
          <w:bCs/>
        </w:rPr>
        <w:t>Bireylerin</w:t>
      </w:r>
      <w:r w:rsidRPr="00AF3C45">
        <w:rPr>
          <w:b/>
          <w:bCs/>
          <w:spacing w:val="-4"/>
        </w:rPr>
        <w:t xml:space="preserve"> </w:t>
      </w:r>
      <w:r w:rsidRPr="00AF3C45">
        <w:rPr>
          <w:b/>
          <w:bCs/>
        </w:rPr>
        <w:t>Toplumsal</w:t>
      </w:r>
      <w:r w:rsidRPr="00AF3C45">
        <w:rPr>
          <w:b/>
          <w:bCs/>
          <w:spacing w:val="-3"/>
        </w:rPr>
        <w:t xml:space="preserve"> </w:t>
      </w:r>
      <w:r w:rsidRPr="00AF3C45">
        <w:rPr>
          <w:b/>
          <w:bCs/>
        </w:rPr>
        <w:t>Entegrasyonunda</w:t>
      </w:r>
      <w:r w:rsidRPr="00AF3C45">
        <w:rPr>
          <w:b/>
          <w:bCs/>
          <w:spacing w:val="-4"/>
        </w:rPr>
        <w:t xml:space="preserve"> </w:t>
      </w:r>
      <w:r w:rsidRPr="00AF3C45">
        <w:rPr>
          <w:b/>
          <w:bCs/>
        </w:rPr>
        <w:t>Karşılaşılan</w:t>
      </w:r>
      <w:r w:rsidRPr="00AF3C45">
        <w:rPr>
          <w:b/>
          <w:bCs/>
          <w:spacing w:val="-3"/>
        </w:rPr>
        <w:t xml:space="preserve"> </w:t>
      </w:r>
      <w:r w:rsidRPr="00AF3C45">
        <w:rPr>
          <w:b/>
          <w:bCs/>
          <w:spacing w:val="-2"/>
        </w:rPr>
        <w:t>Sorunlar</w:t>
      </w:r>
    </w:p>
    <w:p w14:paraId="4112EC6D" w14:textId="77777777" w:rsidR="007E702F" w:rsidRPr="007E702F" w:rsidRDefault="007E702F" w:rsidP="00316176">
      <w:pPr>
        <w:pStyle w:val="GvdeMetni"/>
        <w:ind w:right="337"/>
        <w:jc w:val="both"/>
      </w:pPr>
      <w:r w:rsidRPr="007E702F">
        <w:t>Dört temel hak özelinde: Eğitimde erişilebilirlik sorunlar: a-Engelli bireyler için uygun eğitim materyallerinin</w:t>
      </w:r>
      <w:r w:rsidRPr="007E702F">
        <w:rPr>
          <w:spacing w:val="-3"/>
        </w:rPr>
        <w:t xml:space="preserve"> </w:t>
      </w:r>
      <w:r w:rsidRPr="007E702F">
        <w:t>ve</w:t>
      </w:r>
      <w:r w:rsidRPr="007E702F">
        <w:rPr>
          <w:spacing w:val="-3"/>
        </w:rPr>
        <w:t xml:space="preserve"> </w:t>
      </w:r>
      <w:r w:rsidRPr="007E702F">
        <w:t>destekleyici</w:t>
      </w:r>
      <w:r w:rsidRPr="007E702F">
        <w:rPr>
          <w:spacing w:val="-3"/>
        </w:rPr>
        <w:t xml:space="preserve"> </w:t>
      </w:r>
      <w:r w:rsidRPr="007E702F">
        <w:t>teknolojilerin</w:t>
      </w:r>
      <w:r w:rsidRPr="007E702F">
        <w:rPr>
          <w:spacing w:val="-3"/>
        </w:rPr>
        <w:t xml:space="preserve"> </w:t>
      </w:r>
      <w:r w:rsidRPr="007E702F">
        <w:t>yetersizliği,</w:t>
      </w:r>
      <w:r w:rsidRPr="007E702F">
        <w:rPr>
          <w:spacing w:val="-3"/>
        </w:rPr>
        <w:t xml:space="preserve"> </w:t>
      </w:r>
      <w:r w:rsidRPr="007E702F">
        <w:t>b-Özel</w:t>
      </w:r>
      <w:r w:rsidRPr="007E702F">
        <w:rPr>
          <w:spacing w:val="-3"/>
        </w:rPr>
        <w:t xml:space="preserve"> </w:t>
      </w:r>
      <w:r w:rsidRPr="007E702F">
        <w:t>eğitim</w:t>
      </w:r>
      <w:r w:rsidRPr="007E702F">
        <w:rPr>
          <w:spacing w:val="-3"/>
        </w:rPr>
        <w:t xml:space="preserve"> </w:t>
      </w:r>
      <w:r w:rsidRPr="007E702F">
        <w:t>öğretmenlerinin</w:t>
      </w:r>
      <w:r w:rsidRPr="007E702F">
        <w:rPr>
          <w:spacing w:val="-3"/>
        </w:rPr>
        <w:t xml:space="preserve"> </w:t>
      </w:r>
      <w:r w:rsidRPr="007E702F">
        <w:t>sayısının azlığı, c-Fiziksel altyapının engellilere uygun olmaması. İstihdamda Karşılaşılan Sorunlar: a- İşverenlerin engelli bireyleri işe alma konusundaki önyargıları, b-Engelli bireylere uygun iş imkanlarının sınırlı olması, c-Çalışma ortamlarının erişilebilir olmaması. Fiziksel ve dijital erişilebilirlik: a-Kamu binalarında ve toplu taşıma sistemlerinde erişilebilirlik eksikliği ve web siteleri ve dijital hizmetlerin engelliler için uyumlu olmaması. Toplumsal önyargılar ve sosyal dışlanma (Dezavantajlılık): a-Engelli bireylere yönelik yanlış algılar ve damgalamalar, b- Toplumun bilinç düzeyinin yetersiz olması, c-Engellilerin sosyal etkinliklere katılımının sınırlı olması.</w:t>
      </w:r>
      <w:r w:rsidRPr="007E702F">
        <w:rPr>
          <w:spacing w:val="-15"/>
        </w:rPr>
        <w:t xml:space="preserve"> </w:t>
      </w:r>
      <w:r w:rsidRPr="007E702F">
        <w:t>Şeklinde</w:t>
      </w:r>
      <w:r w:rsidRPr="007E702F">
        <w:rPr>
          <w:spacing w:val="-15"/>
        </w:rPr>
        <w:t xml:space="preserve"> </w:t>
      </w:r>
      <w:r w:rsidRPr="007E702F">
        <w:t>dört</w:t>
      </w:r>
      <w:r w:rsidRPr="007E702F">
        <w:rPr>
          <w:spacing w:val="-15"/>
        </w:rPr>
        <w:t xml:space="preserve"> </w:t>
      </w:r>
      <w:r w:rsidRPr="007E702F">
        <w:t>temel</w:t>
      </w:r>
      <w:r w:rsidRPr="007E702F">
        <w:rPr>
          <w:spacing w:val="-15"/>
        </w:rPr>
        <w:t xml:space="preserve"> </w:t>
      </w:r>
      <w:r w:rsidRPr="007E702F">
        <w:t>hak</w:t>
      </w:r>
      <w:r w:rsidRPr="007E702F">
        <w:rPr>
          <w:spacing w:val="-15"/>
        </w:rPr>
        <w:t xml:space="preserve"> </w:t>
      </w:r>
      <w:r w:rsidRPr="007E702F">
        <w:t>özelinde</w:t>
      </w:r>
      <w:r w:rsidRPr="007E702F">
        <w:rPr>
          <w:spacing w:val="-15"/>
        </w:rPr>
        <w:t xml:space="preserve"> </w:t>
      </w:r>
      <w:r w:rsidRPr="007E702F">
        <w:t>ve</w:t>
      </w:r>
      <w:r w:rsidRPr="007E702F">
        <w:rPr>
          <w:spacing w:val="-15"/>
        </w:rPr>
        <w:t xml:space="preserve"> </w:t>
      </w:r>
      <w:r w:rsidRPr="007E702F">
        <w:t>yukarıda</w:t>
      </w:r>
      <w:r w:rsidRPr="007E702F">
        <w:rPr>
          <w:spacing w:val="-15"/>
        </w:rPr>
        <w:t xml:space="preserve"> </w:t>
      </w:r>
      <w:r w:rsidRPr="007E702F">
        <w:t>bahsi</w:t>
      </w:r>
      <w:r w:rsidRPr="007E702F">
        <w:rPr>
          <w:spacing w:val="-15"/>
        </w:rPr>
        <w:t xml:space="preserve"> </w:t>
      </w:r>
      <w:r w:rsidRPr="007E702F">
        <w:t>geçen</w:t>
      </w:r>
      <w:r w:rsidRPr="007E702F">
        <w:rPr>
          <w:spacing w:val="-15"/>
        </w:rPr>
        <w:t xml:space="preserve"> </w:t>
      </w:r>
      <w:r w:rsidRPr="007E702F">
        <w:t>dönemlerdeki</w:t>
      </w:r>
      <w:r w:rsidRPr="007E702F">
        <w:rPr>
          <w:spacing w:val="-15"/>
        </w:rPr>
        <w:t xml:space="preserve"> </w:t>
      </w:r>
      <w:r w:rsidRPr="007E702F">
        <w:t>en</w:t>
      </w:r>
      <w:r w:rsidRPr="007E702F">
        <w:rPr>
          <w:spacing w:val="-15"/>
        </w:rPr>
        <w:t xml:space="preserve"> </w:t>
      </w:r>
      <w:r w:rsidRPr="007E702F">
        <w:t>temel</w:t>
      </w:r>
      <w:r w:rsidRPr="007E702F">
        <w:rPr>
          <w:spacing w:val="-15"/>
        </w:rPr>
        <w:t xml:space="preserve"> </w:t>
      </w:r>
      <w:r w:rsidRPr="007E702F">
        <w:t>sorunların başında geldiği görülen sosyal ve bireysel yönden sınırlanmalarının özeti şeklinde sunulabilmektedir. Bu dört temel hak çerçevesindeki sorunlara örnek olarak çözüm pratikleri mevcuttur. Örneğin:</w:t>
      </w:r>
    </w:p>
    <w:p w14:paraId="0E04D5A3" w14:textId="77777777" w:rsidR="007E702F" w:rsidRPr="007E702F" w:rsidRDefault="007E702F" w:rsidP="00316176">
      <w:pPr>
        <w:pStyle w:val="GvdeMetni"/>
      </w:pPr>
    </w:p>
    <w:p w14:paraId="6A847EFE" w14:textId="77777777" w:rsidR="007E702F" w:rsidRPr="007E702F" w:rsidRDefault="007E702F" w:rsidP="00316176">
      <w:pPr>
        <w:pStyle w:val="Balk1"/>
        <w:spacing w:before="0" w:after="0"/>
        <w:rPr>
          <w:rFonts w:cs="Times New Roman"/>
          <w:szCs w:val="24"/>
        </w:rPr>
      </w:pPr>
      <w:bookmarkStart w:id="224" w:name="_Toc192855247"/>
      <w:r w:rsidRPr="007E702F">
        <w:rPr>
          <w:rFonts w:cs="Times New Roman"/>
          <w:szCs w:val="24"/>
        </w:rPr>
        <w:t>Eğitimde</w:t>
      </w:r>
      <w:r w:rsidRPr="007E702F">
        <w:rPr>
          <w:rFonts w:cs="Times New Roman"/>
          <w:spacing w:val="-3"/>
          <w:szCs w:val="24"/>
        </w:rPr>
        <w:t xml:space="preserve"> </w:t>
      </w:r>
      <w:r w:rsidRPr="007E702F">
        <w:rPr>
          <w:rFonts w:cs="Times New Roman"/>
          <w:szCs w:val="24"/>
        </w:rPr>
        <w:t>Erişilebilirliğin</w:t>
      </w:r>
      <w:r w:rsidRPr="007E702F">
        <w:rPr>
          <w:rFonts w:cs="Times New Roman"/>
          <w:spacing w:val="-2"/>
          <w:szCs w:val="24"/>
        </w:rPr>
        <w:t xml:space="preserve"> Artırılması</w:t>
      </w:r>
      <w:bookmarkEnd w:id="224"/>
    </w:p>
    <w:p w14:paraId="7808B9A0" w14:textId="77777777" w:rsidR="007E702F" w:rsidRPr="007E702F" w:rsidRDefault="007E702F">
      <w:pPr>
        <w:pStyle w:val="ListeParagraf"/>
        <w:numPr>
          <w:ilvl w:val="0"/>
          <w:numId w:val="23"/>
        </w:numPr>
        <w:tabs>
          <w:tab w:val="left" w:pos="1055"/>
        </w:tabs>
        <w:ind w:left="1055" w:hanging="359"/>
        <w:contextualSpacing w:val="0"/>
      </w:pPr>
      <w:r w:rsidRPr="007E702F">
        <w:t>Okullarda</w:t>
      </w:r>
      <w:r w:rsidRPr="007E702F">
        <w:rPr>
          <w:spacing w:val="-5"/>
        </w:rPr>
        <w:t xml:space="preserve"> </w:t>
      </w:r>
      <w:r w:rsidRPr="007E702F">
        <w:t>engelli</w:t>
      </w:r>
      <w:r w:rsidRPr="007E702F">
        <w:rPr>
          <w:spacing w:val="-2"/>
        </w:rPr>
        <w:t xml:space="preserve"> </w:t>
      </w:r>
      <w:r w:rsidRPr="007E702F">
        <w:t>bireylere</w:t>
      </w:r>
      <w:r w:rsidRPr="007E702F">
        <w:rPr>
          <w:spacing w:val="-3"/>
        </w:rPr>
        <w:t xml:space="preserve"> </w:t>
      </w:r>
      <w:r w:rsidRPr="007E702F">
        <w:t>yönelik</w:t>
      </w:r>
      <w:r w:rsidRPr="007E702F">
        <w:rPr>
          <w:spacing w:val="-2"/>
        </w:rPr>
        <w:t xml:space="preserve"> </w:t>
      </w:r>
      <w:r w:rsidRPr="007E702F">
        <w:t>eğitim</w:t>
      </w:r>
      <w:r w:rsidRPr="007E702F">
        <w:rPr>
          <w:spacing w:val="-2"/>
        </w:rPr>
        <w:t xml:space="preserve"> </w:t>
      </w:r>
      <w:r w:rsidRPr="007E702F">
        <w:t>materyallerinin</w:t>
      </w:r>
      <w:r w:rsidRPr="007E702F">
        <w:rPr>
          <w:spacing w:val="-1"/>
        </w:rPr>
        <w:t xml:space="preserve"> </w:t>
      </w:r>
      <w:r w:rsidRPr="007E702F">
        <w:rPr>
          <w:spacing w:val="-2"/>
        </w:rPr>
        <w:t>artırılması,</w:t>
      </w:r>
    </w:p>
    <w:p w14:paraId="01C629C9" w14:textId="77777777" w:rsidR="007E702F" w:rsidRPr="007E702F" w:rsidRDefault="007E702F">
      <w:pPr>
        <w:pStyle w:val="ListeParagraf"/>
        <w:numPr>
          <w:ilvl w:val="0"/>
          <w:numId w:val="23"/>
        </w:numPr>
        <w:tabs>
          <w:tab w:val="left" w:pos="1055"/>
        </w:tabs>
        <w:ind w:left="1055" w:hanging="359"/>
        <w:contextualSpacing w:val="0"/>
      </w:pPr>
      <w:r w:rsidRPr="007E702F">
        <w:t>Öğretmenlerin</w:t>
      </w:r>
      <w:r w:rsidRPr="007E702F">
        <w:rPr>
          <w:spacing w:val="-4"/>
        </w:rPr>
        <w:t xml:space="preserve"> </w:t>
      </w:r>
      <w:r w:rsidRPr="007E702F">
        <w:t>engelli</w:t>
      </w:r>
      <w:r w:rsidRPr="007E702F">
        <w:rPr>
          <w:spacing w:val="-2"/>
        </w:rPr>
        <w:t xml:space="preserve"> </w:t>
      </w:r>
      <w:r w:rsidRPr="007E702F">
        <w:t>bireylerle</w:t>
      </w:r>
      <w:r w:rsidRPr="007E702F">
        <w:rPr>
          <w:spacing w:val="-3"/>
        </w:rPr>
        <w:t xml:space="preserve"> </w:t>
      </w:r>
      <w:r w:rsidRPr="007E702F">
        <w:t>ilgili</w:t>
      </w:r>
      <w:r w:rsidRPr="007E702F">
        <w:rPr>
          <w:spacing w:val="-2"/>
        </w:rPr>
        <w:t xml:space="preserve"> </w:t>
      </w:r>
      <w:r w:rsidRPr="007E702F">
        <w:t>farkındalık</w:t>
      </w:r>
      <w:r w:rsidRPr="007E702F">
        <w:rPr>
          <w:spacing w:val="-2"/>
        </w:rPr>
        <w:t xml:space="preserve"> </w:t>
      </w:r>
      <w:r w:rsidRPr="007E702F">
        <w:t>eğitimleri</w:t>
      </w:r>
      <w:r w:rsidRPr="007E702F">
        <w:rPr>
          <w:spacing w:val="-1"/>
        </w:rPr>
        <w:t xml:space="preserve"> </w:t>
      </w:r>
      <w:r w:rsidRPr="007E702F">
        <w:rPr>
          <w:spacing w:val="-2"/>
        </w:rPr>
        <w:t>alması,</w:t>
      </w:r>
    </w:p>
    <w:p w14:paraId="2A3DC4D6" w14:textId="77777777" w:rsidR="007E702F" w:rsidRPr="007E702F" w:rsidRDefault="007E702F">
      <w:pPr>
        <w:pStyle w:val="ListeParagraf"/>
        <w:numPr>
          <w:ilvl w:val="0"/>
          <w:numId w:val="23"/>
        </w:numPr>
        <w:tabs>
          <w:tab w:val="left" w:pos="1056"/>
        </w:tabs>
        <w:ind w:right="337"/>
        <w:contextualSpacing w:val="0"/>
      </w:pPr>
      <w:r w:rsidRPr="007E702F">
        <w:t>Okulların</w:t>
      </w:r>
      <w:r w:rsidRPr="007E702F">
        <w:rPr>
          <w:spacing w:val="38"/>
        </w:rPr>
        <w:t xml:space="preserve"> </w:t>
      </w:r>
      <w:r w:rsidRPr="007E702F">
        <w:t>fiziksel</w:t>
      </w:r>
      <w:r w:rsidRPr="007E702F">
        <w:rPr>
          <w:spacing w:val="38"/>
        </w:rPr>
        <w:t xml:space="preserve"> </w:t>
      </w:r>
      <w:r w:rsidRPr="007E702F">
        <w:t>yapılarının</w:t>
      </w:r>
      <w:r w:rsidRPr="007E702F">
        <w:rPr>
          <w:spacing w:val="38"/>
        </w:rPr>
        <w:t xml:space="preserve"> </w:t>
      </w:r>
      <w:r w:rsidRPr="007E702F">
        <w:t>erişilebilir</w:t>
      </w:r>
      <w:r w:rsidRPr="007E702F">
        <w:rPr>
          <w:spacing w:val="38"/>
        </w:rPr>
        <w:t xml:space="preserve"> </w:t>
      </w:r>
      <w:r w:rsidRPr="007E702F">
        <w:t>hale</w:t>
      </w:r>
      <w:r w:rsidRPr="007E702F">
        <w:rPr>
          <w:spacing w:val="38"/>
        </w:rPr>
        <w:t xml:space="preserve"> </w:t>
      </w:r>
      <w:r w:rsidRPr="007E702F">
        <w:t>getirilmesi</w:t>
      </w:r>
      <w:r w:rsidRPr="007E702F">
        <w:rPr>
          <w:spacing w:val="38"/>
        </w:rPr>
        <w:t xml:space="preserve"> </w:t>
      </w:r>
      <w:r w:rsidRPr="007E702F">
        <w:t>hatta</w:t>
      </w:r>
      <w:r w:rsidRPr="007E702F">
        <w:rPr>
          <w:spacing w:val="38"/>
        </w:rPr>
        <w:t xml:space="preserve"> </w:t>
      </w:r>
      <w:r w:rsidRPr="007E702F">
        <w:t>Özel</w:t>
      </w:r>
      <w:r w:rsidRPr="007E702F">
        <w:rPr>
          <w:spacing w:val="38"/>
        </w:rPr>
        <w:t xml:space="preserve"> </w:t>
      </w:r>
      <w:r w:rsidRPr="007E702F">
        <w:t>Eğitim</w:t>
      </w:r>
      <w:r w:rsidRPr="007E702F">
        <w:rPr>
          <w:spacing w:val="38"/>
        </w:rPr>
        <w:t xml:space="preserve"> </w:t>
      </w:r>
      <w:r w:rsidRPr="007E702F">
        <w:t>Okullarının kapasite ve sayılarının arttırılması.</w:t>
      </w:r>
    </w:p>
    <w:p w14:paraId="1EB4FDCB" w14:textId="77777777" w:rsidR="007E702F" w:rsidRPr="007E702F" w:rsidRDefault="007E702F" w:rsidP="00316176">
      <w:pPr>
        <w:pStyle w:val="Balk1"/>
        <w:spacing w:before="0" w:after="0"/>
        <w:rPr>
          <w:rFonts w:cs="Times New Roman"/>
          <w:szCs w:val="24"/>
        </w:rPr>
      </w:pPr>
      <w:bookmarkStart w:id="225" w:name="_Toc192855248"/>
      <w:r w:rsidRPr="007E702F">
        <w:rPr>
          <w:rFonts w:cs="Times New Roman"/>
          <w:szCs w:val="24"/>
        </w:rPr>
        <w:t>Engelli</w:t>
      </w:r>
      <w:r w:rsidRPr="007E702F">
        <w:rPr>
          <w:rFonts w:cs="Times New Roman"/>
          <w:spacing w:val="-4"/>
          <w:szCs w:val="24"/>
        </w:rPr>
        <w:t xml:space="preserve"> </w:t>
      </w:r>
      <w:r w:rsidRPr="007E702F">
        <w:rPr>
          <w:rFonts w:cs="Times New Roman"/>
          <w:szCs w:val="24"/>
        </w:rPr>
        <w:t>Bireyler</w:t>
      </w:r>
      <w:r w:rsidRPr="007E702F">
        <w:rPr>
          <w:rFonts w:cs="Times New Roman"/>
          <w:spacing w:val="-3"/>
          <w:szCs w:val="24"/>
        </w:rPr>
        <w:t xml:space="preserve"> </w:t>
      </w:r>
      <w:r w:rsidRPr="007E702F">
        <w:rPr>
          <w:rFonts w:cs="Times New Roman"/>
          <w:szCs w:val="24"/>
        </w:rPr>
        <w:t>İçin</w:t>
      </w:r>
      <w:r w:rsidRPr="007E702F">
        <w:rPr>
          <w:rFonts w:cs="Times New Roman"/>
          <w:spacing w:val="-2"/>
          <w:szCs w:val="24"/>
        </w:rPr>
        <w:t xml:space="preserve"> </w:t>
      </w:r>
      <w:r w:rsidRPr="007E702F">
        <w:rPr>
          <w:rFonts w:cs="Times New Roman"/>
          <w:szCs w:val="24"/>
        </w:rPr>
        <w:t>İstihdam</w:t>
      </w:r>
      <w:r w:rsidRPr="007E702F">
        <w:rPr>
          <w:rFonts w:cs="Times New Roman"/>
          <w:spacing w:val="-2"/>
          <w:szCs w:val="24"/>
        </w:rPr>
        <w:t xml:space="preserve"> </w:t>
      </w:r>
      <w:r w:rsidRPr="007E702F">
        <w:rPr>
          <w:rFonts w:cs="Times New Roman"/>
          <w:szCs w:val="24"/>
        </w:rPr>
        <w:t>Olanaklarının</w:t>
      </w:r>
      <w:r w:rsidRPr="007E702F">
        <w:rPr>
          <w:rFonts w:cs="Times New Roman"/>
          <w:spacing w:val="-1"/>
          <w:szCs w:val="24"/>
        </w:rPr>
        <w:t xml:space="preserve"> </w:t>
      </w:r>
      <w:r w:rsidRPr="007E702F">
        <w:rPr>
          <w:rFonts w:cs="Times New Roman"/>
          <w:spacing w:val="-2"/>
          <w:szCs w:val="24"/>
        </w:rPr>
        <w:t>Geliştirilmesi</w:t>
      </w:r>
      <w:bookmarkEnd w:id="225"/>
    </w:p>
    <w:p w14:paraId="20791A22" w14:textId="77777777" w:rsidR="007E702F" w:rsidRPr="007E702F" w:rsidRDefault="007E702F">
      <w:pPr>
        <w:pStyle w:val="ListeParagraf"/>
        <w:numPr>
          <w:ilvl w:val="0"/>
          <w:numId w:val="23"/>
        </w:numPr>
        <w:tabs>
          <w:tab w:val="left" w:pos="1055"/>
        </w:tabs>
        <w:ind w:left="1055" w:hanging="359"/>
        <w:contextualSpacing w:val="0"/>
      </w:pPr>
      <w:r w:rsidRPr="007E702F">
        <w:t>İşverenlere</w:t>
      </w:r>
      <w:r w:rsidRPr="007E702F">
        <w:rPr>
          <w:spacing w:val="-5"/>
        </w:rPr>
        <w:t xml:space="preserve"> </w:t>
      </w:r>
      <w:r w:rsidRPr="007E702F">
        <w:t>engelli</w:t>
      </w:r>
      <w:r w:rsidRPr="007E702F">
        <w:rPr>
          <w:spacing w:val="-2"/>
        </w:rPr>
        <w:t xml:space="preserve"> </w:t>
      </w:r>
      <w:r w:rsidRPr="007E702F">
        <w:t>bireyleri</w:t>
      </w:r>
      <w:r w:rsidRPr="007E702F">
        <w:rPr>
          <w:spacing w:val="-2"/>
        </w:rPr>
        <w:t xml:space="preserve"> </w:t>
      </w:r>
      <w:r w:rsidRPr="007E702F">
        <w:t>işe</w:t>
      </w:r>
      <w:r w:rsidRPr="007E702F">
        <w:rPr>
          <w:spacing w:val="-3"/>
        </w:rPr>
        <w:t xml:space="preserve"> </w:t>
      </w:r>
      <w:r w:rsidRPr="007E702F">
        <w:t>almaları</w:t>
      </w:r>
      <w:r w:rsidRPr="007E702F">
        <w:rPr>
          <w:spacing w:val="-2"/>
        </w:rPr>
        <w:t xml:space="preserve"> </w:t>
      </w:r>
      <w:r w:rsidRPr="007E702F">
        <w:t>için</w:t>
      </w:r>
      <w:r w:rsidRPr="007E702F">
        <w:rPr>
          <w:spacing w:val="-2"/>
        </w:rPr>
        <w:t xml:space="preserve"> </w:t>
      </w:r>
      <w:r w:rsidRPr="007E702F">
        <w:t>teşvikler</w:t>
      </w:r>
      <w:r w:rsidRPr="007E702F">
        <w:rPr>
          <w:spacing w:val="-2"/>
        </w:rPr>
        <w:t xml:space="preserve"> sağlanması,</w:t>
      </w:r>
    </w:p>
    <w:p w14:paraId="60EC4578" w14:textId="77777777" w:rsidR="007E702F" w:rsidRPr="007E702F" w:rsidRDefault="007E702F">
      <w:pPr>
        <w:pStyle w:val="ListeParagraf"/>
        <w:numPr>
          <w:ilvl w:val="0"/>
          <w:numId w:val="23"/>
        </w:numPr>
        <w:tabs>
          <w:tab w:val="left" w:pos="1055"/>
        </w:tabs>
        <w:ind w:left="1055" w:hanging="359"/>
        <w:contextualSpacing w:val="0"/>
      </w:pPr>
      <w:r w:rsidRPr="007E702F">
        <w:t>Uzaktan</w:t>
      </w:r>
      <w:r w:rsidRPr="007E702F">
        <w:rPr>
          <w:spacing w:val="-3"/>
        </w:rPr>
        <w:t xml:space="preserve"> </w:t>
      </w:r>
      <w:r w:rsidRPr="007E702F">
        <w:t>çalışma</w:t>
      </w:r>
      <w:r w:rsidRPr="007E702F">
        <w:rPr>
          <w:spacing w:val="-3"/>
        </w:rPr>
        <w:t xml:space="preserve"> </w:t>
      </w:r>
      <w:r w:rsidRPr="007E702F">
        <w:t>imkanlarının</w:t>
      </w:r>
      <w:r w:rsidRPr="007E702F">
        <w:rPr>
          <w:spacing w:val="-2"/>
        </w:rPr>
        <w:t xml:space="preserve"> artırılması,</w:t>
      </w:r>
    </w:p>
    <w:p w14:paraId="6331F27F" w14:textId="77777777" w:rsidR="007E702F" w:rsidRPr="007E702F" w:rsidRDefault="007E702F" w:rsidP="00316176">
      <w:pPr>
        <w:pStyle w:val="ListeParagraf"/>
        <w:sectPr w:rsidR="007E702F" w:rsidRPr="007E702F" w:rsidSect="007513A1">
          <w:type w:val="continuous"/>
          <w:pgSz w:w="11906" w:h="16838"/>
          <w:pgMar w:top="1418" w:right="1418" w:bottom="1418" w:left="1418" w:header="1304" w:footer="1361" w:gutter="0"/>
          <w:cols w:space="708"/>
        </w:sectPr>
      </w:pPr>
    </w:p>
    <w:p w14:paraId="0E30CD2E" w14:textId="77777777" w:rsidR="007E702F" w:rsidRPr="007E702F" w:rsidRDefault="007E702F">
      <w:pPr>
        <w:pStyle w:val="ListeParagraf"/>
        <w:numPr>
          <w:ilvl w:val="0"/>
          <w:numId w:val="23"/>
        </w:numPr>
        <w:tabs>
          <w:tab w:val="left" w:pos="1055"/>
        </w:tabs>
        <w:ind w:left="1055" w:hanging="359"/>
        <w:contextualSpacing w:val="0"/>
      </w:pPr>
      <w:r w:rsidRPr="007E702F">
        <w:t>İş</w:t>
      </w:r>
      <w:r w:rsidRPr="007E702F">
        <w:rPr>
          <w:spacing w:val="-4"/>
        </w:rPr>
        <w:t xml:space="preserve"> </w:t>
      </w:r>
      <w:r w:rsidRPr="007E702F">
        <w:t>yerlerinin</w:t>
      </w:r>
      <w:r w:rsidRPr="007E702F">
        <w:rPr>
          <w:spacing w:val="-2"/>
        </w:rPr>
        <w:t xml:space="preserve"> </w:t>
      </w:r>
      <w:r w:rsidRPr="007E702F">
        <w:t>engelliler</w:t>
      </w:r>
      <w:r w:rsidRPr="007E702F">
        <w:rPr>
          <w:spacing w:val="-2"/>
        </w:rPr>
        <w:t xml:space="preserve"> </w:t>
      </w:r>
      <w:r w:rsidRPr="007E702F">
        <w:t>için</w:t>
      </w:r>
      <w:r w:rsidRPr="007E702F">
        <w:rPr>
          <w:spacing w:val="-2"/>
        </w:rPr>
        <w:t xml:space="preserve"> </w:t>
      </w:r>
      <w:r w:rsidRPr="007E702F">
        <w:t>uygun</w:t>
      </w:r>
      <w:r w:rsidRPr="007E702F">
        <w:rPr>
          <w:spacing w:val="-2"/>
        </w:rPr>
        <w:t xml:space="preserve"> </w:t>
      </w:r>
      <w:r w:rsidRPr="007E702F">
        <w:t>hale</w:t>
      </w:r>
      <w:r w:rsidRPr="007E702F">
        <w:rPr>
          <w:spacing w:val="-3"/>
        </w:rPr>
        <w:t xml:space="preserve"> </w:t>
      </w:r>
      <w:r w:rsidRPr="007E702F">
        <w:t>getirilmesi</w:t>
      </w:r>
      <w:r w:rsidRPr="007E702F">
        <w:rPr>
          <w:spacing w:val="-2"/>
        </w:rPr>
        <w:t xml:space="preserve"> </w:t>
      </w:r>
      <w:r w:rsidRPr="007E702F">
        <w:t>(Mekânsal</w:t>
      </w:r>
      <w:r w:rsidRPr="007E702F">
        <w:rPr>
          <w:spacing w:val="-1"/>
        </w:rPr>
        <w:t xml:space="preserve"> </w:t>
      </w:r>
      <w:r w:rsidRPr="007E702F">
        <w:rPr>
          <w:spacing w:val="-2"/>
        </w:rPr>
        <w:t>Erişilebilirlik)</w:t>
      </w:r>
    </w:p>
    <w:p w14:paraId="013C056D" w14:textId="77777777" w:rsidR="007E702F" w:rsidRPr="007E702F" w:rsidRDefault="007E702F" w:rsidP="00316176">
      <w:pPr>
        <w:pStyle w:val="Balk1"/>
        <w:spacing w:before="0" w:after="0"/>
        <w:rPr>
          <w:rFonts w:cs="Times New Roman"/>
          <w:szCs w:val="24"/>
        </w:rPr>
      </w:pPr>
      <w:bookmarkStart w:id="226" w:name="_Toc192855249"/>
      <w:r w:rsidRPr="007E702F">
        <w:rPr>
          <w:rFonts w:cs="Times New Roman"/>
          <w:szCs w:val="24"/>
        </w:rPr>
        <w:t>Fiziksel</w:t>
      </w:r>
      <w:r w:rsidRPr="007E702F">
        <w:rPr>
          <w:rFonts w:cs="Times New Roman"/>
          <w:spacing w:val="-4"/>
          <w:szCs w:val="24"/>
        </w:rPr>
        <w:t xml:space="preserve"> </w:t>
      </w:r>
      <w:r w:rsidRPr="007E702F">
        <w:rPr>
          <w:rFonts w:cs="Times New Roman"/>
          <w:szCs w:val="24"/>
        </w:rPr>
        <w:t>ve</w:t>
      </w:r>
      <w:r w:rsidRPr="007E702F">
        <w:rPr>
          <w:rFonts w:cs="Times New Roman"/>
          <w:spacing w:val="-3"/>
          <w:szCs w:val="24"/>
        </w:rPr>
        <w:t xml:space="preserve"> </w:t>
      </w:r>
      <w:r w:rsidRPr="007E702F">
        <w:rPr>
          <w:rFonts w:cs="Times New Roman"/>
          <w:szCs w:val="24"/>
        </w:rPr>
        <w:t>Dijital</w:t>
      </w:r>
      <w:r w:rsidRPr="007E702F">
        <w:rPr>
          <w:rFonts w:cs="Times New Roman"/>
          <w:spacing w:val="-2"/>
          <w:szCs w:val="24"/>
        </w:rPr>
        <w:t xml:space="preserve"> </w:t>
      </w:r>
      <w:r w:rsidRPr="007E702F">
        <w:rPr>
          <w:rFonts w:cs="Times New Roman"/>
          <w:szCs w:val="24"/>
        </w:rPr>
        <w:t>Erişilebilirlik</w:t>
      </w:r>
      <w:r w:rsidRPr="007E702F">
        <w:rPr>
          <w:rFonts w:cs="Times New Roman"/>
          <w:spacing w:val="-2"/>
          <w:szCs w:val="24"/>
        </w:rPr>
        <w:t xml:space="preserve"> </w:t>
      </w:r>
      <w:r w:rsidRPr="007E702F">
        <w:rPr>
          <w:rFonts w:cs="Times New Roman"/>
          <w:szCs w:val="24"/>
        </w:rPr>
        <w:t>Standartlarının</w:t>
      </w:r>
      <w:r w:rsidRPr="007E702F">
        <w:rPr>
          <w:rFonts w:cs="Times New Roman"/>
          <w:spacing w:val="-1"/>
          <w:szCs w:val="24"/>
        </w:rPr>
        <w:t xml:space="preserve"> </w:t>
      </w:r>
      <w:r w:rsidRPr="007E702F">
        <w:rPr>
          <w:rFonts w:cs="Times New Roman"/>
          <w:spacing w:val="-2"/>
          <w:szCs w:val="24"/>
        </w:rPr>
        <w:t>Güçlendirilmesi</w:t>
      </w:r>
      <w:bookmarkEnd w:id="226"/>
    </w:p>
    <w:p w14:paraId="76A8E469" w14:textId="77777777" w:rsidR="007E702F" w:rsidRPr="007E702F" w:rsidRDefault="007E702F">
      <w:pPr>
        <w:pStyle w:val="ListeParagraf"/>
        <w:numPr>
          <w:ilvl w:val="0"/>
          <w:numId w:val="23"/>
        </w:numPr>
        <w:tabs>
          <w:tab w:val="left" w:pos="1055"/>
        </w:tabs>
        <w:ind w:left="1055" w:hanging="359"/>
        <w:contextualSpacing w:val="0"/>
      </w:pPr>
      <w:r w:rsidRPr="007E702F">
        <w:t>Şehir</w:t>
      </w:r>
      <w:r w:rsidRPr="007E702F">
        <w:rPr>
          <w:spacing w:val="-4"/>
        </w:rPr>
        <w:t xml:space="preserve"> </w:t>
      </w:r>
      <w:r w:rsidRPr="007E702F">
        <w:t>planlamasında</w:t>
      </w:r>
      <w:r w:rsidRPr="007E702F">
        <w:rPr>
          <w:spacing w:val="-3"/>
        </w:rPr>
        <w:t xml:space="preserve"> </w:t>
      </w:r>
      <w:r w:rsidRPr="007E702F">
        <w:t>erişilebilirlik</w:t>
      </w:r>
      <w:r w:rsidRPr="007E702F">
        <w:rPr>
          <w:spacing w:val="-2"/>
        </w:rPr>
        <w:t xml:space="preserve"> </w:t>
      </w:r>
      <w:r w:rsidRPr="007E702F">
        <w:t>standartlarının</w:t>
      </w:r>
      <w:r w:rsidRPr="007E702F">
        <w:rPr>
          <w:spacing w:val="-2"/>
        </w:rPr>
        <w:t xml:space="preserve"> </w:t>
      </w:r>
      <w:r w:rsidRPr="007E702F">
        <w:t>zorunlu</w:t>
      </w:r>
      <w:r w:rsidRPr="007E702F">
        <w:rPr>
          <w:spacing w:val="-2"/>
        </w:rPr>
        <w:t xml:space="preserve"> </w:t>
      </w:r>
      <w:r w:rsidRPr="007E702F">
        <w:t>hale</w:t>
      </w:r>
      <w:r w:rsidRPr="007E702F">
        <w:rPr>
          <w:spacing w:val="-2"/>
        </w:rPr>
        <w:t xml:space="preserve"> getirilmesi,</w:t>
      </w:r>
    </w:p>
    <w:p w14:paraId="484F8ABA" w14:textId="77777777" w:rsidR="007E702F" w:rsidRPr="007E702F" w:rsidRDefault="007E702F">
      <w:pPr>
        <w:pStyle w:val="ListeParagraf"/>
        <w:numPr>
          <w:ilvl w:val="0"/>
          <w:numId w:val="23"/>
        </w:numPr>
        <w:tabs>
          <w:tab w:val="left" w:pos="1055"/>
        </w:tabs>
        <w:ind w:left="1055" w:hanging="359"/>
        <w:contextualSpacing w:val="0"/>
      </w:pPr>
      <w:r w:rsidRPr="007E702F">
        <w:t>Toplu</w:t>
      </w:r>
      <w:r w:rsidRPr="007E702F">
        <w:rPr>
          <w:spacing w:val="-4"/>
        </w:rPr>
        <w:t xml:space="preserve"> </w:t>
      </w:r>
      <w:r w:rsidRPr="007E702F">
        <w:t>taşıma</w:t>
      </w:r>
      <w:r w:rsidRPr="007E702F">
        <w:rPr>
          <w:spacing w:val="-2"/>
        </w:rPr>
        <w:t xml:space="preserve"> </w:t>
      </w:r>
      <w:r w:rsidRPr="007E702F">
        <w:t>araçlarının</w:t>
      </w:r>
      <w:r w:rsidRPr="007E702F">
        <w:rPr>
          <w:spacing w:val="-1"/>
        </w:rPr>
        <w:t xml:space="preserve"> </w:t>
      </w:r>
      <w:r w:rsidRPr="007E702F">
        <w:t>ve</w:t>
      </w:r>
      <w:r w:rsidRPr="007E702F">
        <w:rPr>
          <w:spacing w:val="-3"/>
        </w:rPr>
        <w:t xml:space="preserve"> </w:t>
      </w:r>
      <w:r w:rsidRPr="007E702F">
        <w:t>kamu</w:t>
      </w:r>
      <w:r w:rsidRPr="007E702F">
        <w:rPr>
          <w:spacing w:val="-1"/>
        </w:rPr>
        <w:t xml:space="preserve"> </w:t>
      </w:r>
      <w:r w:rsidRPr="007E702F">
        <w:t>binalarının</w:t>
      </w:r>
      <w:r w:rsidRPr="007E702F">
        <w:rPr>
          <w:spacing w:val="-1"/>
        </w:rPr>
        <w:t xml:space="preserve"> </w:t>
      </w:r>
      <w:r w:rsidRPr="007E702F">
        <w:t>engelliler</w:t>
      </w:r>
      <w:r w:rsidRPr="007E702F">
        <w:rPr>
          <w:spacing w:val="-2"/>
        </w:rPr>
        <w:t xml:space="preserve"> </w:t>
      </w:r>
      <w:r w:rsidRPr="007E702F">
        <w:t>için</w:t>
      </w:r>
      <w:r w:rsidRPr="007E702F">
        <w:rPr>
          <w:spacing w:val="-1"/>
        </w:rPr>
        <w:t xml:space="preserve"> </w:t>
      </w:r>
      <w:r w:rsidRPr="007E702F">
        <w:t>uygun</w:t>
      </w:r>
      <w:r w:rsidRPr="007E702F">
        <w:rPr>
          <w:spacing w:val="-1"/>
        </w:rPr>
        <w:t xml:space="preserve"> </w:t>
      </w:r>
      <w:r w:rsidRPr="007E702F">
        <w:t>hale</w:t>
      </w:r>
      <w:r w:rsidRPr="007E702F">
        <w:rPr>
          <w:spacing w:val="-2"/>
        </w:rPr>
        <w:t xml:space="preserve"> getirilmesi,</w:t>
      </w:r>
    </w:p>
    <w:p w14:paraId="2E89ED3E" w14:textId="77777777" w:rsidR="007E702F" w:rsidRPr="007E702F" w:rsidRDefault="007E702F">
      <w:pPr>
        <w:pStyle w:val="ListeParagraf"/>
        <w:numPr>
          <w:ilvl w:val="0"/>
          <w:numId w:val="23"/>
        </w:numPr>
        <w:tabs>
          <w:tab w:val="left" w:pos="1055"/>
        </w:tabs>
        <w:ind w:left="1055" w:hanging="359"/>
        <w:contextualSpacing w:val="0"/>
      </w:pPr>
      <w:r w:rsidRPr="007E702F">
        <w:t>Web</w:t>
      </w:r>
      <w:r w:rsidRPr="007E702F">
        <w:rPr>
          <w:spacing w:val="-4"/>
        </w:rPr>
        <w:t xml:space="preserve"> </w:t>
      </w:r>
      <w:r w:rsidRPr="007E702F">
        <w:t>siteleri</w:t>
      </w:r>
      <w:r w:rsidRPr="007E702F">
        <w:rPr>
          <w:spacing w:val="-2"/>
        </w:rPr>
        <w:t xml:space="preserve"> </w:t>
      </w:r>
      <w:r w:rsidRPr="007E702F">
        <w:t>ve</w:t>
      </w:r>
      <w:r w:rsidRPr="007E702F">
        <w:rPr>
          <w:spacing w:val="-2"/>
        </w:rPr>
        <w:t xml:space="preserve"> </w:t>
      </w:r>
      <w:r w:rsidRPr="007E702F">
        <w:t>dijital</w:t>
      </w:r>
      <w:r w:rsidRPr="007E702F">
        <w:rPr>
          <w:spacing w:val="-2"/>
        </w:rPr>
        <w:t xml:space="preserve"> </w:t>
      </w:r>
      <w:r w:rsidRPr="007E702F">
        <w:t>hizmetlerin</w:t>
      </w:r>
      <w:r w:rsidRPr="007E702F">
        <w:rPr>
          <w:spacing w:val="-2"/>
        </w:rPr>
        <w:t xml:space="preserve"> </w:t>
      </w:r>
      <w:r w:rsidRPr="007E702F">
        <w:t>erişilebilirlik</w:t>
      </w:r>
      <w:r w:rsidRPr="007E702F">
        <w:rPr>
          <w:spacing w:val="-1"/>
        </w:rPr>
        <w:t xml:space="preserve"> </w:t>
      </w:r>
      <w:r w:rsidRPr="007E702F">
        <w:t>standartlarına</w:t>
      </w:r>
      <w:r w:rsidRPr="007E702F">
        <w:rPr>
          <w:spacing w:val="-3"/>
        </w:rPr>
        <w:t xml:space="preserve"> </w:t>
      </w:r>
      <w:r w:rsidRPr="007E702F">
        <w:t>uygun</w:t>
      </w:r>
      <w:r w:rsidRPr="007E702F">
        <w:rPr>
          <w:spacing w:val="-1"/>
        </w:rPr>
        <w:t xml:space="preserve"> </w:t>
      </w:r>
      <w:r w:rsidRPr="007E702F">
        <w:rPr>
          <w:spacing w:val="-2"/>
        </w:rPr>
        <w:t>olması.</w:t>
      </w:r>
    </w:p>
    <w:p w14:paraId="7C5F3E09" w14:textId="77777777" w:rsidR="007E702F" w:rsidRPr="007E702F" w:rsidRDefault="007E702F" w:rsidP="00316176">
      <w:pPr>
        <w:pStyle w:val="Balk1"/>
        <w:spacing w:before="0" w:after="0"/>
        <w:rPr>
          <w:rFonts w:cs="Times New Roman"/>
          <w:szCs w:val="24"/>
        </w:rPr>
      </w:pPr>
      <w:bookmarkStart w:id="227" w:name="_Toc192855250"/>
      <w:r w:rsidRPr="007E702F">
        <w:rPr>
          <w:rFonts w:cs="Times New Roman"/>
          <w:szCs w:val="24"/>
        </w:rPr>
        <w:t>Toplumsal</w:t>
      </w:r>
      <w:r w:rsidRPr="007E702F">
        <w:rPr>
          <w:rFonts w:cs="Times New Roman"/>
          <w:spacing w:val="-2"/>
          <w:szCs w:val="24"/>
        </w:rPr>
        <w:t xml:space="preserve"> </w:t>
      </w:r>
      <w:r w:rsidRPr="007E702F">
        <w:rPr>
          <w:rFonts w:cs="Times New Roman"/>
          <w:szCs w:val="24"/>
        </w:rPr>
        <w:t>Farkındalığın</w:t>
      </w:r>
      <w:r w:rsidRPr="007E702F">
        <w:rPr>
          <w:rFonts w:cs="Times New Roman"/>
          <w:spacing w:val="-2"/>
          <w:szCs w:val="24"/>
        </w:rPr>
        <w:t xml:space="preserve"> Artırılması</w:t>
      </w:r>
      <w:bookmarkEnd w:id="227"/>
    </w:p>
    <w:p w14:paraId="6CDBC94A" w14:textId="77777777" w:rsidR="007E702F" w:rsidRPr="007E702F" w:rsidRDefault="007E702F">
      <w:pPr>
        <w:pStyle w:val="ListeParagraf"/>
        <w:numPr>
          <w:ilvl w:val="0"/>
          <w:numId w:val="23"/>
        </w:numPr>
        <w:tabs>
          <w:tab w:val="left" w:pos="1055"/>
        </w:tabs>
        <w:ind w:left="1055" w:hanging="359"/>
        <w:contextualSpacing w:val="0"/>
      </w:pPr>
      <w:r w:rsidRPr="007E702F">
        <w:t>Engelli</w:t>
      </w:r>
      <w:r w:rsidRPr="007E702F">
        <w:rPr>
          <w:spacing w:val="-4"/>
        </w:rPr>
        <w:t xml:space="preserve"> </w:t>
      </w:r>
      <w:r w:rsidRPr="007E702F">
        <w:t>bireylerle</w:t>
      </w:r>
      <w:r w:rsidRPr="007E702F">
        <w:rPr>
          <w:spacing w:val="-3"/>
        </w:rPr>
        <w:t xml:space="preserve"> </w:t>
      </w:r>
      <w:r w:rsidRPr="007E702F">
        <w:t>ilgili</w:t>
      </w:r>
      <w:r w:rsidRPr="007E702F">
        <w:rPr>
          <w:spacing w:val="-2"/>
        </w:rPr>
        <w:t xml:space="preserve"> </w:t>
      </w:r>
      <w:r w:rsidRPr="007E702F">
        <w:t>sosyal</w:t>
      </w:r>
      <w:r w:rsidRPr="007E702F">
        <w:rPr>
          <w:spacing w:val="-2"/>
        </w:rPr>
        <w:t xml:space="preserve"> </w:t>
      </w:r>
      <w:r w:rsidRPr="007E702F">
        <w:t>bilinçlendirme</w:t>
      </w:r>
      <w:r w:rsidRPr="007E702F">
        <w:rPr>
          <w:spacing w:val="-3"/>
        </w:rPr>
        <w:t xml:space="preserve"> </w:t>
      </w:r>
      <w:r w:rsidRPr="007E702F">
        <w:t>kampanyalarının</w:t>
      </w:r>
      <w:r w:rsidRPr="007E702F">
        <w:rPr>
          <w:spacing w:val="-1"/>
        </w:rPr>
        <w:t xml:space="preserve"> </w:t>
      </w:r>
      <w:r w:rsidRPr="007E702F">
        <w:rPr>
          <w:spacing w:val="-2"/>
        </w:rPr>
        <w:t>düzenlenmesi,</w:t>
      </w:r>
    </w:p>
    <w:p w14:paraId="46C61CFC" w14:textId="77777777" w:rsidR="007E702F" w:rsidRPr="007E702F" w:rsidRDefault="007E702F">
      <w:pPr>
        <w:pStyle w:val="ListeParagraf"/>
        <w:numPr>
          <w:ilvl w:val="0"/>
          <w:numId w:val="23"/>
        </w:numPr>
        <w:tabs>
          <w:tab w:val="left" w:pos="1055"/>
        </w:tabs>
        <w:ind w:left="1055" w:hanging="359"/>
        <w:contextualSpacing w:val="0"/>
      </w:pPr>
      <w:r w:rsidRPr="007E702F">
        <w:lastRenderedPageBreak/>
        <w:t>Medyada</w:t>
      </w:r>
      <w:r w:rsidRPr="007E702F">
        <w:rPr>
          <w:spacing w:val="-5"/>
        </w:rPr>
        <w:t xml:space="preserve"> </w:t>
      </w:r>
      <w:r w:rsidRPr="007E702F">
        <w:t>engelli</w:t>
      </w:r>
      <w:r w:rsidRPr="007E702F">
        <w:rPr>
          <w:spacing w:val="-2"/>
        </w:rPr>
        <w:t xml:space="preserve"> </w:t>
      </w:r>
      <w:r w:rsidRPr="007E702F">
        <w:t>bireylerin</w:t>
      </w:r>
      <w:r w:rsidRPr="007E702F">
        <w:rPr>
          <w:spacing w:val="-2"/>
        </w:rPr>
        <w:t xml:space="preserve"> </w:t>
      </w:r>
      <w:r w:rsidRPr="007E702F">
        <w:t>başarı</w:t>
      </w:r>
      <w:r w:rsidRPr="007E702F">
        <w:rPr>
          <w:spacing w:val="-2"/>
        </w:rPr>
        <w:t xml:space="preserve"> </w:t>
      </w:r>
      <w:r w:rsidRPr="007E702F">
        <w:t>hikayelerine</w:t>
      </w:r>
      <w:r w:rsidRPr="007E702F">
        <w:rPr>
          <w:spacing w:val="-3"/>
        </w:rPr>
        <w:t xml:space="preserve"> </w:t>
      </w:r>
      <w:r w:rsidRPr="007E702F">
        <w:t>daha</w:t>
      </w:r>
      <w:r w:rsidRPr="007E702F">
        <w:rPr>
          <w:spacing w:val="-3"/>
        </w:rPr>
        <w:t xml:space="preserve"> </w:t>
      </w:r>
      <w:r w:rsidRPr="007E702F">
        <w:t>fazla</w:t>
      </w:r>
      <w:r w:rsidRPr="007E702F">
        <w:rPr>
          <w:spacing w:val="-3"/>
        </w:rPr>
        <w:t xml:space="preserve"> </w:t>
      </w:r>
      <w:r w:rsidRPr="007E702F">
        <w:t>yer</w:t>
      </w:r>
      <w:r w:rsidRPr="007E702F">
        <w:rPr>
          <w:spacing w:val="-1"/>
        </w:rPr>
        <w:t xml:space="preserve"> </w:t>
      </w:r>
      <w:r w:rsidRPr="007E702F">
        <w:rPr>
          <w:spacing w:val="-2"/>
        </w:rPr>
        <w:t>verilmesi,</w:t>
      </w:r>
    </w:p>
    <w:p w14:paraId="3952C830" w14:textId="77777777" w:rsidR="007E702F" w:rsidRPr="007E702F" w:rsidRDefault="007E702F">
      <w:pPr>
        <w:pStyle w:val="ListeParagraf"/>
        <w:numPr>
          <w:ilvl w:val="0"/>
          <w:numId w:val="23"/>
        </w:numPr>
        <w:tabs>
          <w:tab w:val="left" w:pos="1055"/>
        </w:tabs>
        <w:ind w:left="1055" w:hanging="359"/>
        <w:contextualSpacing w:val="0"/>
      </w:pPr>
      <w:r w:rsidRPr="007E702F">
        <w:t>Engelli</w:t>
      </w:r>
      <w:r w:rsidRPr="007E702F">
        <w:rPr>
          <w:spacing w:val="-4"/>
        </w:rPr>
        <w:t xml:space="preserve"> </w:t>
      </w:r>
      <w:r w:rsidRPr="007E702F">
        <w:t>bireylerin</w:t>
      </w:r>
      <w:r w:rsidRPr="007E702F">
        <w:rPr>
          <w:spacing w:val="-2"/>
        </w:rPr>
        <w:t xml:space="preserve"> </w:t>
      </w:r>
      <w:r w:rsidRPr="007E702F">
        <w:t>sosyal</w:t>
      </w:r>
      <w:r w:rsidRPr="007E702F">
        <w:rPr>
          <w:spacing w:val="-1"/>
        </w:rPr>
        <w:t xml:space="preserve"> </w:t>
      </w:r>
      <w:r w:rsidRPr="007E702F">
        <w:t>etkinliklere</w:t>
      </w:r>
      <w:r w:rsidRPr="007E702F">
        <w:rPr>
          <w:spacing w:val="-3"/>
        </w:rPr>
        <w:t xml:space="preserve"> </w:t>
      </w:r>
      <w:r w:rsidRPr="007E702F">
        <w:t>aktif</w:t>
      </w:r>
      <w:r w:rsidRPr="007E702F">
        <w:rPr>
          <w:spacing w:val="-1"/>
        </w:rPr>
        <w:t xml:space="preserve"> </w:t>
      </w:r>
      <w:r w:rsidRPr="007E702F">
        <w:t>olarak</w:t>
      </w:r>
      <w:r w:rsidRPr="007E702F">
        <w:rPr>
          <w:spacing w:val="-2"/>
        </w:rPr>
        <w:t xml:space="preserve"> </w:t>
      </w:r>
      <w:r w:rsidRPr="007E702F">
        <w:t>dahil</w:t>
      </w:r>
      <w:r w:rsidRPr="007E702F">
        <w:rPr>
          <w:spacing w:val="-1"/>
        </w:rPr>
        <w:t xml:space="preserve"> </w:t>
      </w:r>
      <w:r w:rsidRPr="007E702F">
        <w:rPr>
          <w:spacing w:val="-2"/>
        </w:rPr>
        <w:t>edilmesi.</w:t>
      </w:r>
    </w:p>
    <w:p w14:paraId="37D6AEB5" w14:textId="77777777" w:rsidR="007E702F" w:rsidRPr="007E702F" w:rsidRDefault="007E702F" w:rsidP="00316176">
      <w:pPr>
        <w:pStyle w:val="GvdeMetni"/>
      </w:pPr>
    </w:p>
    <w:p w14:paraId="41F9245B" w14:textId="77777777" w:rsidR="007E702F" w:rsidRPr="00AF3C45" w:rsidRDefault="007E702F" w:rsidP="00316176">
      <w:pPr>
        <w:rPr>
          <w:b/>
          <w:bCs/>
        </w:rPr>
      </w:pPr>
      <w:r w:rsidRPr="00AF3C45">
        <w:rPr>
          <w:b/>
          <w:bCs/>
        </w:rPr>
        <w:t>Sonuç</w:t>
      </w:r>
    </w:p>
    <w:p w14:paraId="0DF47F4B" w14:textId="77777777" w:rsidR="007E702F" w:rsidRPr="007E702F" w:rsidRDefault="007E702F" w:rsidP="00316176">
      <w:pPr>
        <w:pStyle w:val="GvdeMetni"/>
        <w:ind w:right="337"/>
        <w:jc w:val="both"/>
      </w:pPr>
      <w:r w:rsidRPr="007E702F">
        <w:t>Engellilik kavramı, tarih boyunca farklı bakış açılarıyla ele alınmış ve zamanla insan hakları temelinde değerlendirilmeye başlanmıştır. Geçmişten günümüze kadar gelinen ve tarihsel kronolojide</w:t>
      </w:r>
      <w:r w:rsidRPr="007E702F">
        <w:rPr>
          <w:spacing w:val="-11"/>
        </w:rPr>
        <w:t xml:space="preserve"> </w:t>
      </w:r>
      <w:r w:rsidRPr="007E702F">
        <w:t>yer</w:t>
      </w:r>
      <w:r w:rsidRPr="007E702F">
        <w:rPr>
          <w:spacing w:val="-11"/>
        </w:rPr>
        <w:t xml:space="preserve"> </w:t>
      </w:r>
      <w:r w:rsidRPr="007E702F">
        <w:t>aldığı</w:t>
      </w:r>
      <w:r w:rsidRPr="007E702F">
        <w:rPr>
          <w:spacing w:val="-11"/>
        </w:rPr>
        <w:t xml:space="preserve"> </w:t>
      </w:r>
      <w:r w:rsidRPr="007E702F">
        <w:t>üzere</w:t>
      </w:r>
      <w:r w:rsidRPr="007E702F">
        <w:rPr>
          <w:spacing w:val="-11"/>
        </w:rPr>
        <w:t xml:space="preserve"> </w:t>
      </w:r>
      <w:r w:rsidRPr="007E702F">
        <w:t>engellilik</w:t>
      </w:r>
      <w:r w:rsidRPr="007E702F">
        <w:rPr>
          <w:spacing w:val="-11"/>
        </w:rPr>
        <w:t xml:space="preserve"> </w:t>
      </w:r>
      <w:r w:rsidRPr="007E702F">
        <w:t>sadece</w:t>
      </w:r>
      <w:r w:rsidRPr="007E702F">
        <w:rPr>
          <w:spacing w:val="-11"/>
        </w:rPr>
        <w:t xml:space="preserve"> </w:t>
      </w:r>
      <w:r w:rsidRPr="007E702F">
        <w:t>bireysel</w:t>
      </w:r>
      <w:r w:rsidRPr="007E702F">
        <w:rPr>
          <w:spacing w:val="-11"/>
        </w:rPr>
        <w:t xml:space="preserve"> </w:t>
      </w:r>
      <w:r w:rsidRPr="007E702F">
        <w:t>bir</w:t>
      </w:r>
      <w:r w:rsidRPr="007E702F">
        <w:rPr>
          <w:spacing w:val="-11"/>
        </w:rPr>
        <w:t xml:space="preserve"> </w:t>
      </w:r>
      <w:r w:rsidRPr="007E702F">
        <w:t>sorun</w:t>
      </w:r>
      <w:r w:rsidRPr="007E702F">
        <w:rPr>
          <w:spacing w:val="-11"/>
        </w:rPr>
        <w:t xml:space="preserve"> </w:t>
      </w:r>
      <w:r w:rsidRPr="007E702F">
        <w:t>olmaktan</w:t>
      </w:r>
      <w:r w:rsidRPr="007E702F">
        <w:rPr>
          <w:spacing w:val="-11"/>
        </w:rPr>
        <w:t xml:space="preserve"> </w:t>
      </w:r>
      <w:r w:rsidRPr="007E702F">
        <w:t>çıkıp</w:t>
      </w:r>
      <w:r w:rsidRPr="007E702F">
        <w:rPr>
          <w:spacing w:val="-11"/>
        </w:rPr>
        <w:t xml:space="preserve"> </w:t>
      </w:r>
      <w:r w:rsidRPr="007E702F">
        <w:t>toplumsal</w:t>
      </w:r>
      <w:r w:rsidRPr="007E702F">
        <w:rPr>
          <w:spacing w:val="-11"/>
        </w:rPr>
        <w:t xml:space="preserve"> </w:t>
      </w:r>
      <w:r w:rsidRPr="007E702F">
        <w:t>ve</w:t>
      </w:r>
      <w:r w:rsidRPr="007E702F">
        <w:rPr>
          <w:spacing w:val="-11"/>
        </w:rPr>
        <w:t xml:space="preserve"> </w:t>
      </w:r>
      <w:r w:rsidRPr="007E702F">
        <w:t>devlet politikalarına</w:t>
      </w:r>
      <w:r w:rsidRPr="007E702F">
        <w:rPr>
          <w:spacing w:val="-15"/>
        </w:rPr>
        <w:t xml:space="preserve"> </w:t>
      </w:r>
      <w:r w:rsidRPr="007E702F">
        <w:t>da</w:t>
      </w:r>
      <w:r w:rsidRPr="007E702F">
        <w:rPr>
          <w:spacing w:val="-15"/>
        </w:rPr>
        <w:t xml:space="preserve"> </w:t>
      </w:r>
      <w:r w:rsidRPr="007E702F">
        <w:t>yansıyan</w:t>
      </w:r>
      <w:r w:rsidRPr="007E702F">
        <w:rPr>
          <w:spacing w:val="-15"/>
        </w:rPr>
        <w:t xml:space="preserve"> </w:t>
      </w:r>
      <w:r w:rsidRPr="007E702F">
        <w:t>heterojen</w:t>
      </w:r>
      <w:r w:rsidRPr="007E702F">
        <w:rPr>
          <w:spacing w:val="-15"/>
        </w:rPr>
        <w:t xml:space="preserve"> </w:t>
      </w:r>
      <w:r w:rsidRPr="007E702F">
        <w:t>bir</w:t>
      </w:r>
      <w:r w:rsidRPr="007E702F">
        <w:rPr>
          <w:spacing w:val="-15"/>
        </w:rPr>
        <w:t xml:space="preserve"> </w:t>
      </w:r>
      <w:r w:rsidRPr="007E702F">
        <w:t>yapıya</w:t>
      </w:r>
      <w:r w:rsidRPr="007E702F">
        <w:rPr>
          <w:spacing w:val="-15"/>
        </w:rPr>
        <w:t xml:space="preserve"> </w:t>
      </w:r>
      <w:r w:rsidRPr="007E702F">
        <w:t>sahip</w:t>
      </w:r>
      <w:r w:rsidRPr="007E702F">
        <w:rPr>
          <w:spacing w:val="-15"/>
        </w:rPr>
        <w:t xml:space="preserve"> </w:t>
      </w:r>
      <w:r w:rsidRPr="007E702F">
        <w:t>olduğu</w:t>
      </w:r>
      <w:r w:rsidRPr="007E702F">
        <w:rPr>
          <w:spacing w:val="-15"/>
        </w:rPr>
        <w:t xml:space="preserve"> </w:t>
      </w:r>
      <w:r w:rsidRPr="007E702F">
        <w:t>anlaşılmaktadır.</w:t>
      </w:r>
      <w:r w:rsidRPr="007E702F">
        <w:rPr>
          <w:spacing w:val="-15"/>
        </w:rPr>
        <w:t xml:space="preserve"> </w:t>
      </w:r>
      <w:r w:rsidRPr="007E702F">
        <w:t>Engellilik</w:t>
      </w:r>
      <w:r w:rsidRPr="007E702F">
        <w:rPr>
          <w:spacing w:val="-15"/>
        </w:rPr>
        <w:t xml:space="preserve"> </w:t>
      </w:r>
      <w:r w:rsidRPr="007E702F">
        <w:t>kavramının çelişkili ve karmaşık hali çok boyutluluğundan kaynaklanmaktadır. Hem engelli bireylerin kendisini</w:t>
      </w:r>
      <w:r w:rsidRPr="007E702F">
        <w:rPr>
          <w:spacing w:val="-5"/>
        </w:rPr>
        <w:t xml:space="preserve"> </w:t>
      </w:r>
      <w:r w:rsidRPr="007E702F">
        <w:t>toplum</w:t>
      </w:r>
      <w:r w:rsidRPr="007E702F">
        <w:rPr>
          <w:spacing w:val="-5"/>
        </w:rPr>
        <w:t xml:space="preserve"> </w:t>
      </w:r>
      <w:proofErr w:type="spellStart"/>
      <w:r w:rsidRPr="007E702F">
        <w:t>nezlinde</w:t>
      </w:r>
      <w:proofErr w:type="spellEnd"/>
      <w:r w:rsidRPr="007E702F">
        <w:rPr>
          <w:spacing w:val="-5"/>
        </w:rPr>
        <w:t xml:space="preserve"> </w:t>
      </w:r>
      <w:r w:rsidRPr="007E702F">
        <w:t>farklı</w:t>
      </w:r>
      <w:r w:rsidRPr="007E702F">
        <w:rPr>
          <w:spacing w:val="-5"/>
        </w:rPr>
        <w:t xml:space="preserve"> </w:t>
      </w:r>
      <w:r w:rsidRPr="007E702F">
        <w:t>bir</w:t>
      </w:r>
      <w:r w:rsidRPr="007E702F">
        <w:rPr>
          <w:spacing w:val="-5"/>
        </w:rPr>
        <w:t xml:space="preserve"> </w:t>
      </w:r>
      <w:r w:rsidRPr="007E702F">
        <w:t>algıda</w:t>
      </w:r>
      <w:r w:rsidRPr="007E702F">
        <w:rPr>
          <w:spacing w:val="-5"/>
        </w:rPr>
        <w:t xml:space="preserve"> </w:t>
      </w:r>
      <w:r w:rsidRPr="007E702F">
        <w:t>tutmasının</w:t>
      </w:r>
      <w:r w:rsidRPr="007E702F">
        <w:rPr>
          <w:spacing w:val="-5"/>
        </w:rPr>
        <w:t xml:space="preserve"> </w:t>
      </w:r>
      <w:r w:rsidRPr="007E702F">
        <w:t>hem</w:t>
      </w:r>
      <w:r w:rsidRPr="007E702F">
        <w:rPr>
          <w:spacing w:val="-5"/>
        </w:rPr>
        <w:t xml:space="preserve"> </w:t>
      </w:r>
      <w:r w:rsidRPr="007E702F">
        <w:t>de</w:t>
      </w:r>
      <w:r w:rsidRPr="007E702F">
        <w:rPr>
          <w:spacing w:val="-5"/>
        </w:rPr>
        <w:t xml:space="preserve"> </w:t>
      </w:r>
      <w:r w:rsidRPr="007E702F">
        <w:t>toplumların</w:t>
      </w:r>
      <w:r w:rsidRPr="007E702F">
        <w:rPr>
          <w:spacing w:val="-6"/>
        </w:rPr>
        <w:t xml:space="preserve"> </w:t>
      </w:r>
      <w:r w:rsidRPr="007E702F">
        <w:t>nazarında</w:t>
      </w:r>
      <w:r w:rsidRPr="007E702F">
        <w:rPr>
          <w:spacing w:val="-5"/>
        </w:rPr>
        <w:t xml:space="preserve"> </w:t>
      </w:r>
      <w:r w:rsidRPr="007E702F">
        <w:t>tarih</w:t>
      </w:r>
      <w:r w:rsidRPr="007E702F">
        <w:rPr>
          <w:spacing w:val="-5"/>
        </w:rPr>
        <w:t xml:space="preserve"> </w:t>
      </w:r>
      <w:r w:rsidRPr="007E702F">
        <w:t xml:space="preserve">boyunca kavramsal yönden bilgi eksikliğinden sebep doğan çatışmaları da göz önüne sermektedir. Engellilik kavramının da 21. yüzyıl ve sonraki dönemlerde “Özel gereksinimli birey </w:t>
      </w:r>
      <w:proofErr w:type="gramStart"/>
      <w:r w:rsidRPr="007E702F">
        <w:t>ve ya</w:t>
      </w:r>
      <w:proofErr w:type="gramEnd"/>
      <w:r w:rsidRPr="007E702F">
        <w:t xml:space="preserve"> Özel ihtiyaç</w:t>
      </w:r>
      <w:r w:rsidRPr="007E702F">
        <w:rPr>
          <w:spacing w:val="-8"/>
        </w:rPr>
        <w:t xml:space="preserve"> </w:t>
      </w:r>
      <w:r w:rsidRPr="007E702F">
        <w:t>sahipli</w:t>
      </w:r>
      <w:r w:rsidRPr="007E702F">
        <w:rPr>
          <w:spacing w:val="-8"/>
        </w:rPr>
        <w:t xml:space="preserve"> </w:t>
      </w:r>
      <w:r w:rsidRPr="007E702F">
        <w:t>birey”</w:t>
      </w:r>
      <w:r w:rsidRPr="007E702F">
        <w:rPr>
          <w:spacing w:val="-8"/>
        </w:rPr>
        <w:t xml:space="preserve"> </w:t>
      </w:r>
      <w:r w:rsidRPr="007E702F">
        <w:t>kavramına</w:t>
      </w:r>
      <w:r w:rsidRPr="007E702F">
        <w:rPr>
          <w:spacing w:val="-8"/>
        </w:rPr>
        <w:t xml:space="preserve"> </w:t>
      </w:r>
      <w:r w:rsidRPr="007E702F">
        <w:t>dönüşebileceği</w:t>
      </w:r>
      <w:r w:rsidRPr="007E702F">
        <w:rPr>
          <w:spacing w:val="-8"/>
        </w:rPr>
        <w:t xml:space="preserve"> </w:t>
      </w:r>
      <w:r w:rsidRPr="007E702F">
        <w:t>noktasında</w:t>
      </w:r>
      <w:r w:rsidRPr="007E702F">
        <w:rPr>
          <w:spacing w:val="-8"/>
        </w:rPr>
        <w:t xml:space="preserve"> </w:t>
      </w:r>
      <w:r w:rsidRPr="007E702F">
        <w:t>varsayımda</w:t>
      </w:r>
      <w:r w:rsidRPr="007E702F">
        <w:rPr>
          <w:spacing w:val="-8"/>
        </w:rPr>
        <w:t xml:space="preserve"> </w:t>
      </w:r>
      <w:r w:rsidRPr="007E702F">
        <w:t>bulunabiliriz.</w:t>
      </w:r>
      <w:r w:rsidRPr="007E702F">
        <w:rPr>
          <w:spacing w:val="-8"/>
        </w:rPr>
        <w:t xml:space="preserve"> </w:t>
      </w:r>
      <w:r w:rsidRPr="007E702F">
        <w:t>Günümüzde engelliliğe</w:t>
      </w:r>
      <w:r w:rsidRPr="007E702F">
        <w:rPr>
          <w:spacing w:val="-9"/>
        </w:rPr>
        <w:t xml:space="preserve"> </w:t>
      </w:r>
      <w:r w:rsidRPr="007E702F">
        <w:t>dair</w:t>
      </w:r>
      <w:r w:rsidRPr="007E702F">
        <w:rPr>
          <w:spacing w:val="-10"/>
        </w:rPr>
        <w:t xml:space="preserve"> </w:t>
      </w:r>
      <w:r w:rsidRPr="007E702F">
        <w:t>farkındalık</w:t>
      </w:r>
      <w:r w:rsidRPr="007E702F">
        <w:rPr>
          <w:spacing w:val="-9"/>
        </w:rPr>
        <w:t xml:space="preserve"> </w:t>
      </w:r>
      <w:r w:rsidRPr="007E702F">
        <w:t>artsa</w:t>
      </w:r>
      <w:r w:rsidRPr="007E702F">
        <w:rPr>
          <w:spacing w:val="-10"/>
        </w:rPr>
        <w:t xml:space="preserve"> </w:t>
      </w:r>
      <w:r w:rsidRPr="007E702F">
        <w:t>da</w:t>
      </w:r>
      <w:r w:rsidRPr="007E702F">
        <w:rPr>
          <w:spacing w:val="-9"/>
        </w:rPr>
        <w:t xml:space="preserve"> </w:t>
      </w:r>
      <w:r w:rsidRPr="007E702F">
        <w:t>toplumsal</w:t>
      </w:r>
      <w:r w:rsidRPr="007E702F">
        <w:rPr>
          <w:spacing w:val="-10"/>
        </w:rPr>
        <w:t xml:space="preserve"> </w:t>
      </w:r>
      <w:r w:rsidRPr="007E702F">
        <w:t>eşitlik</w:t>
      </w:r>
      <w:r w:rsidRPr="007E702F">
        <w:rPr>
          <w:spacing w:val="-9"/>
        </w:rPr>
        <w:t xml:space="preserve"> </w:t>
      </w:r>
      <w:r w:rsidRPr="007E702F">
        <w:t>ve</w:t>
      </w:r>
      <w:r w:rsidRPr="007E702F">
        <w:rPr>
          <w:spacing w:val="-10"/>
        </w:rPr>
        <w:t xml:space="preserve"> </w:t>
      </w:r>
      <w:r w:rsidRPr="007E702F">
        <w:t>tam</w:t>
      </w:r>
      <w:r w:rsidRPr="007E702F">
        <w:rPr>
          <w:spacing w:val="-9"/>
        </w:rPr>
        <w:t xml:space="preserve"> </w:t>
      </w:r>
      <w:r w:rsidRPr="007E702F">
        <w:t>katılım</w:t>
      </w:r>
      <w:r w:rsidRPr="007E702F">
        <w:rPr>
          <w:spacing w:val="-10"/>
        </w:rPr>
        <w:t xml:space="preserve"> </w:t>
      </w:r>
      <w:r w:rsidRPr="007E702F">
        <w:t>konusunda</w:t>
      </w:r>
      <w:r w:rsidRPr="007E702F">
        <w:rPr>
          <w:spacing w:val="-9"/>
        </w:rPr>
        <w:t xml:space="preserve"> </w:t>
      </w:r>
      <w:r w:rsidRPr="007E702F">
        <w:t>hâlâ</w:t>
      </w:r>
      <w:r w:rsidRPr="007E702F">
        <w:rPr>
          <w:spacing w:val="-10"/>
        </w:rPr>
        <w:t xml:space="preserve"> </w:t>
      </w:r>
      <w:r w:rsidRPr="007E702F">
        <w:t>çeşitli</w:t>
      </w:r>
      <w:r w:rsidRPr="007E702F">
        <w:rPr>
          <w:spacing w:val="-9"/>
        </w:rPr>
        <w:t xml:space="preserve"> </w:t>
      </w:r>
      <w:r w:rsidRPr="007E702F">
        <w:t>engeller bulunmaktadır. Gelecekte daha kapsayıcı ve erişilebilir bir toplum oluşturmak için sosyal, ekonomik ve hukuki düzenlemelerin daha da geliştirilmesi gerekmektedir.</w:t>
      </w:r>
    </w:p>
    <w:p w14:paraId="2E37AFED" w14:textId="77777777" w:rsidR="007E702F" w:rsidRDefault="007E702F" w:rsidP="00316176">
      <w:pPr>
        <w:pStyle w:val="GvdeMetni"/>
        <w:jc w:val="both"/>
      </w:pPr>
    </w:p>
    <w:p w14:paraId="77C4179D" w14:textId="77777777" w:rsidR="00316176" w:rsidRPr="007E702F" w:rsidRDefault="00316176" w:rsidP="00316176">
      <w:pPr>
        <w:pStyle w:val="GvdeMetni"/>
        <w:jc w:val="both"/>
        <w:sectPr w:rsidR="00316176" w:rsidRPr="007E702F" w:rsidSect="007513A1">
          <w:type w:val="continuous"/>
          <w:pgSz w:w="11906" w:h="16838"/>
          <w:pgMar w:top="1418" w:right="1418" w:bottom="1418" w:left="1418" w:header="1304" w:footer="1361" w:gutter="0"/>
          <w:cols w:space="708"/>
        </w:sectPr>
      </w:pPr>
    </w:p>
    <w:p w14:paraId="38CAEB28" w14:textId="77777777" w:rsidR="007E702F" w:rsidRPr="00AF3C45" w:rsidRDefault="007E702F" w:rsidP="00316176">
      <w:pPr>
        <w:rPr>
          <w:b/>
          <w:bCs/>
        </w:rPr>
      </w:pPr>
      <w:r w:rsidRPr="00AF3C45">
        <w:rPr>
          <w:b/>
          <w:bCs/>
        </w:rPr>
        <w:t>Kaynakça</w:t>
      </w:r>
    </w:p>
    <w:p w14:paraId="5BAC2071" w14:textId="77777777" w:rsidR="007E702F" w:rsidRPr="007E702F" w:rsidRDefault="007E702F">
      <w:pPr>
        <w:pStyle w:val="ListeParagraf"/>
        <w:numPr>
          <w:ilvl w:val="0"/>
          <w:numId w:val="22"/>
        </w:numPr>
        <w:tabs>
          <w:tab w:val="left" w:pos="1056"/>
        </w:tabs>
        <w:ind w:right="338"/>
        <w:contextualSpacing w:val="0"/>
        <w:jc w:val="both"/>
        <w:rPr>
          <w:i/>
        </w:rPr>
      </w:pPr>
      <w:r w:rsidRPr="007E702F">
        <w:t xml:space="preserve">Alemdaroğlu, A. (2006: 229 -255). </w:t>
      </w:r>
      <w:proofErr w:type="spellStart"/>
      <w:r w:rsidRPr="007E702F">
        <w:t>Eugenics</w:t>
      </w:r>
      <w:proofErr w:type="spellEnd"/>
      <w:r w:rsidRPr="007E702F">
        <w:t xml:space="preserve">, </w:t>
      </w:r>
      <w:proofErr w:type="spellStart"/>
      <w:r w:rsidRPr="007E702F">
        <w:t>Modernity</w:t>
      </w:r>
      <w:proofErr w:type="spellEnd"/>
      <w:r w:rsidRPr="007E702F">
        <w:t xml:space="preserve"> </w:t>
      </w:r>
      <w:proofErr w:type="spellStart"/>
      <w:r w:rsidRPr="007E702F">
        <w:t>and</w:t>
      </w:r>
      <w:proofErr w:type="spellEnd"/>
      <w:r w:rsidRPr="007E702F">
        <w:t xml:space="preserve"> </w:t>
      </w:r>
      <w:proofErr w:type="spellStart"/>
      <w:r w:rsidRPr="007E702F">
        <w:t>Nationalism</w:t>
      </w:r>
      <w:proofErr w:type="spellEnd"/>
      <w:r w:rsidRPr="007E702F">
        <w:t xml:space="preserve">. </w:t>
      </w:r>
      <w:proofErr w:type="spellStart"/>
      <w:r w:rsidRPr="007E702F">
        <w:t>Social</w:t>
      </w:r>
      <w:proofErr w:type="spellEnd"/>
      <w:r w:rsidRPr="007E702F">
        <w:t xml:space="preserve"> </w:t>
      </w:r>
      <w:proofErr w:type="spellStart"/>
      <w:r w:rsidRPr="007E702F">
        <w:t>Histories</w:t>
      </w:r>
      <w:proofErr w:type="spellEnd"/>
      <w:r w:rsidRPr="007E702F">
        <w:t xml:space="preserve"> of </w:t>
      </w:r>
      <w:proofErr w:type="spellStart"/>
      <w:r w:rsidRPr="007E702F">
        <w:t>Disability</w:t>
      </w:r>
      <w:proofErr w:type="spellEnd"/>
      <w:r w:rsidRPr="007E702F">
        <w:t xml:space="preserve"> </w:t>
      </w:r>
      <w:proofErr w:type="spellStart"/>
      <w:r w:rsidRPr="007E702F">
        <w:t>and</w:t>
      </w:r>
      <w:proofErr w:type="spellEnd"/>
      <w:r w:rsidRPr="007E702F">
        <w:t xml:space="preserve"> </w:t>
      </w:r>
      <w:proofErr w:type="spellStart"/>
      <w:r w:rsidRPr="007E702F">
        <w:t>Deformity</w:t>
      </w:r>
      <w:proofErr w:type="spellEnd"/>
      <w:r w:rsidRPr="007E702F">
        <w:t xml:space="preserve">. </w:t>
      </w:r>
      <w:r w:rsidRPr="007E702F">
        <w:rPr>
          <w:i/>
        </w:rPr>
        <w:t xml:space="preserve">Ed: Turner, D. M. ve </w:t>
      </w:r>
      <w:proofErr w:type="spellStart"/>
      <w:r w:rsidRPr="007E702F">
        <w:rPr>
          <w:i/>
        </w:rPr>
        <w:t>Stagg</w:t>
      </w:r>
      <w:proofErr w:type="spellEnd"/>
      <w:r w:rsidRPr="007E702F">
        <w:rPr>
          <w:i/>
        </w:rPr>
        <w:t xml:space="preserve"> K. New York: </w:t>
      </w:r>
      <w:proofErr w:type="spellStart"/>
      <w:r w:rsidRPr="007E702F">
        <w:rPr>
          <w:i/>
        </w:rPr>
        <w:t>Routledge</w:t>
      </w:r>
      <w:proofErr w:type="spellEnd"/>
      <w:r w:rsidRPr="007E702F">
        <w:rPr>
          <w:i/>
        </w:rPr>
        <w:t>.</w:t>
      </w:r>
    </w:p>
    <w:p w14:paraId="756570C1" w14:textId="77777777" w:rsidR="007E702F" w:rsidRPr="007E702F" w:rsidRDefault="007E702F">
      <w:pPr>
        <w:pStyle w:val="ListeParagraf"/>
        <w:numPr>
          <w:ilvl w:val="0"/>
          <w:numId w:val="22"/>
        </w:numPr>
        <w:tabs>
          <w:tab w:val="left" w:pos="1056"/>
        </w:tabs>
        <w:ind w:right="338"/>
        <w:contextualSpacing w:val="0"/>
        <w:jc w:val="both"/>
      </w:pPr>
      <w:proofErr w:type="spellStart"/>
      <w:r w:rsidRPr="007E702F">
        <w:rPr>
          <w:spacing w:val="-2"/>
        </w:rPr>
        <w:t>Azarkan</w:t>
      </w:r>
      <w:proofErr w:type="spellEnd"/>
      <w:r w:rsidRPr="007E702F">
        <w:rPr>
          <w:spacing w:val="-2"/>
        </w:rPr>
        <w:t>,</w:t>
      </w:r>
      <w:r w:rsidRPr="007E702F">
        <w:rPr>
          <w:spacing w:val="-4"/>
        </w:rPr>
        <w:t xml:space="preserve"> </w:t>
      </w:r>
      <w:r w:rsidRPr="007E702F">
        <w:rPr>
          <w:spacing w:val="-2"/>
        </w:rPr>
        <w:t>E.,</w:t>
      </w:r>
      <w:r w:rsidRPr="007E702F">
        <w:rPr>
          <w:spacing w:val="-4"/>
        </w:rPr>
        <w:t xml:space="preserve"> </w:t>
      </w:r>
      <w:r w:rsidRPr="007E702F">
        <w:rPr>
          <w:spacing w:val="-2"/>
        </w:rPr>
        <w:t>&amp;</w:t>
      </w:r>
      <w:r w:rsidRPr="007E702F">
        <w:rPr>
          <w:spacing w:val="-4"/>
        </w:rPr>
        <w:t xml:space="preserve"> </w:t>
      </w:r>
      <w:r w:rsidRPr="007E702F">
        <w:rPr>
          <w:spacing w:val="-2"/>
        </w:rPr>
        <w:t>Benzer,</w:t>
      </w:r>
      <w:r w:rsidRPr="007E702F">
        <w:rPr>
          <w:spacing w:val="-4"/>
        </w:rPr>
        <w:t xml:space="preserve"> </w:t>
      </w:r>
      <w:r w:rsidRPr="007E702F">
        <w:rPr>
          <w:spacing w:val="-2"/>
        </w:rPr>
        <w:t>E.</w:t>
      </w:r>
      <w:r w:rsidRPr="007E702F">
        <w:rPr>
          <w:spacing w:val="-4"/>
        </w:rPr>
        <w:t xml:space="preserve"> </w:t>
      </w:r>
      <w:r w:rsidRPr="007E702F">
        <w:rPr>
          <w:spacing w:val="-2"/>
        </w:rPr>
        <w:t>(2018).</w:t>
      </w:r>
      <w:r w:rsidRPr="007E702F">
        <w:rPr>
          <w:spacing w:val="-4"/>
        </w:rPr>
        <w:t xml:space="preserve"> </w:t>
      </w:r>
      <w:r w:rsidRPr="007E702F">
        <w:rPr>
          <w:spacing w:val="-2"/>
        </w:rPr>
        <w:t>Birleşmiş</w:t>
      </w:r>
      <w:r w:rsidRPr="007E702F">
        <w:rPr>
          <w:spacing w:val="-4"/>
        </w:rPr>
        <w:t xml:space="preserve"> </w:t>
      </w:r>
      <w:r w:rsidRPr="007E702F">
        <w:rPr>
          <w:spacing w:val="-2"/>
        </w:rPr>
        <w:t>Milletler</w:t>
      </w:r>
      <w:r w:rsidRPr="007E702F">
        <w:rPr>
          <w:spacing w:val="-4"/>
        </w:rPr>
        <w:t xml:space="preserve"> </w:t>
      </w:r>
      <w:r w:rsidRPr="007E702F">
        <w:rPr>
          <w:spacing w:val="-2"/>
        </w:rPr>
        <w:t>Engelli</w:t>
      </w:r>
      <w:r w:rsidRPr="007E702F">
        <w:rPr>
          <w:spacing w:val="-4"/>
        </w:rPr>
        <w:t xml:space="preserve"> </w:t>
      </w:r>
      <w:r w:rsidRPr="007E702F">
        <w:rPr>
          <w:spacing w:val="-2"/>
        </w:rPr>
        <w:t>Kişilerin</w:t>
      </w:r>
      <w:r w:rsidRPr="007E702F">
        <w:rPr>
          <w:spacing w:val="-4"/>
        </w:rPr>
        <w:t xml:space="preserve"> </w:t>
      </w:r>
      <w:r w:rsidRPr="007E702F">
        <w:rPr>
          <w:spacing w:val="-2"/>
        </w:rPr>
        <w:t>Haklarına</w:t>
      </w:r>
      <w:r w:rsidRPr="007E702F">
        <w:rPr>
          <w:spacing w:val="-4"/>
        </w:rPr>
        <w:t xml:space="preserve"> </w:t>
      </w:r>
      <w:r w:rsidRPr="007E702F">
        <w:rPr>
          <w:spacing w:val="-2"/>
        </w:rPr>
        <w:t>Dair</w:t>
      </w:r>
      <w:r w:rsidRPr="007E702F">
        <w:rPr>
          <w:spacing w:val="-4"/>
        </w:rPr>
        <w:t xml:space="preserve"> </w:t>
      </w:r>
      <w:r w:rsidRPr="007E702F">
        <w:rPr>
          <w:spacing w:val="-2"/>
        </w:rPr>
        <w:t xml:space="preserve">Sözleşme </w:t>
      </w:r>
      <w:r w:rsidRPr="007E702F">
        <w:t xml:space="preserve">ve Türkiye’de Engelli Hakları. </w:t>
      </w:r>
      <w:r w:rsidRPr="007E702F">
        <w:rPr>
          <w:i/>
        </w:rPr>
        <w:t>Dicle Üniversitesi Hukuk Fakültesi Dergisi., 23</w:t>
      </w:r>
      <w:r w:rsidRPr="007E702F">
        <w:t xml:space="preserve">(38), </w:t>
      </w:r>
      <w:proofErr w:type="gramStart"/>
      <w:r w:rsidRPr="007E702F">
        <w:t>3 -</w:t>
      </w:r>
      <w:proofErr w:type="gramEnd"/>
      <w:r w:rsidRPr="007E702F">
        <w:t>29.</w:t>
      </w:r>
    </w:p>
    <w:p w14:paraId="4FA396EC" w14:textId="77777777" w:rsidR="007E702F" w:rsidRPr="007E702F" w:rsidRDefault="007E702F">
      <w:pPr>
        <w:pStyle w:val="ListeParagraf"/>
        <w:numPr>
          <w:ilvl w:val="0"/>
          <w:numId w:val="22"/>
        </w:numPr>
        <w:tabs>
          <w:tab w:val="left" w:pos="1056"/>
        </w:tabs>
        <w:ind w:right="338"/>
        <w:contextualSpacing w:val="0"/>
        <w:jc w:val="both"/>
        <w:rPr>
          <w:i/>
        </w:rPr>
      </w:pPr>
      <w:proofErr w:type="spellStart"/>
      <w:r w:rsidRPr="007E702F">
        <w:t>Braddock</w:t>
      </w:r>
      <w:proofErr w:type="spellEnd"/>
      <w:proofErr w:type="gramStart"/>
      <w:r w:rsidRPr="007E702F">
        <w:t>, ,</w:t>
      </w:r>
      <w:proofErr w:type="gramEnd"/>
      <w:r w:rsidRPr="007E702F">
        <w:t xml:space="preserve"> D. L. (2002. 5.). </w:t>
      </w:r>
      <w:proofErr w:type="spellStart"/>
      <w:r w:rsidRPr="007E702F">
        <w:t>Disability</w:t>
      </w:r>
      <w:proofErr w:type="spellEnd"/>
      <w:r w:rsidRPr="007E702F">
        <w:t xml:space="preserve"> at </w:t>
      </w:r>
      <w:proofErr w:type="spellStart"/>
      <w:r w:rsidRPr="007E702F">
        <w:t>The</w:t>
      </w:r>
      <w:proofErr w:type="spellEnd"/>
      <w:r w:rsidRPr="007E702F">
        <w:t xml:space="preserve"> </w:t>
      </w:r>
      <w:proofErr w:type="spellStart"/>
      <w:r w:rsidRPr="007E702F">
        <w:t>Dawn</w:t>
      </w:r>
      <w:proofErr w:type="spellEnd"/>
      <w:r w:rsidRPr="007E702F">
        <w:t xml:space="preserve"> of </w:t>
      </w:r>
      <w:proofErr w:type="spellStart"/>
      <w:r w:rsidRPr="007E702F">
        <w:t>The</w:t>
      </w:r>
      <w:proofErr w:type="spellEnd"/>
      <w:r w:rsidRPr="007E702F">
        <w:t xml:space="preserve"> 21st Century </w:t>
      </w:r>
      <w:proofErr w:type="spellStart"/>
      <w:r w:rsidRPr="007E702F">
        <w:t>and</w:t>
      </w:r>
      <w:proofErr w:type="spellEnd"/>
      <w:r w:rsidRPr="007E702F">
        <w:t xml:space="preserve"> </w:t>
      </w:r>
      <w:proofErr w:type="spellStart"/>
      <w:r w:rsidRPr="007E702F">
        <w:t>The</w:t>
      </w:r>
      <w:proofErr w:type="spellEnd"/>
      <w:r w:rsidRPr="007E702F">
        <w:t xml:space="preserve"> </w:t>
      </w:r>
      <w:proofErr w:type="spellStart"/>
      <w:r w:rsidRPr="007E702F">
        <w:t>State</w:t>
      </w:r>
      <w:proofErr w:type="spellEnd"/>
      <w:r w:rsidRPr="007E702F">
        <w:t xml:space="preserve"> of </w:t>
      </w:r>
      <w:proofErr w:type="spellStart"/>
      <w:r w:rsidRPr="007E702F">
        <w:t>The</w:t>
      </w:r>
      <w:proofErr w:type="spellEnd"/>
      <w:r w:rsidRPr="007E702F">
        <w:t xml:space="preserve"> </w:t>
      </w:r>
      <w:proofErr w:type="spellStart"/>
      <w:r w:rsidRPr="007E702F">
        <w:t>States</w:t>
      </w:r>
      <w:proofErr w:type="spellEnd"/>
      <w:r w:rsidRPr="007E702F">
        <w:t xml:space="preserve">. Washington </w:t>
      </w:r>
      <w:proofErr w:type="gramStart"/>
      <w:r w:rsidRPr="007E702F">
        <w:t>DC:.</w:t>
      </w:r>
      <w:proofErr w:type="gramEnd"/>
      <w:r w:rsidRPr="007E702F">
        <w:t xml:space="preserve"> </w:t>
      </w:r>
      <w:proofErr w:type="spellStart"/>
      <w:r w:rsidRPr="007E702F">
        <w:rPr>
          <w:i/>
        </w:rPr>
        <w:t>American</w:t>
      </w:r>
      <w:proofErr w:type="spellEnd"/>
      <w:r w:rsidRPr="007E702F">
        <w:rPr>
          <w:i/>
        </w:rPr>
        <w:t xml:space="preserve"> </w:t>
      </w:r>
      <w:proofErr w:type="spellStart"/>
      <w:r w:rsidRPr="007E702F">
        <w:rPr>
          <w:i/>
        </w:rPr>
        <w:t>Association</w:t>
      </w:r>
      <w:proofErr w:type="spellEnd"/>
      <w:r w:rsidRPr="007E702F">
        <w:rPr>
          <w:i/>
        </w:rPr>
        <w:t xml:space="preserve"> on </w:t>
      </w:r>
      <w:proofErr w:type="spellStart"/>
      <w:r w:rsidRPr="007E702F">
        <w:rPr>
          <w:i/>
        </w:rPr>
        <w:t>Mental</w:t>
      </w:r>
      <w:proofErr w:type="spellEnd"/>
      <w:r w:rsidRPr="007E702F">
        <w:rPr>
          <w:i/>
        </w:rPr>
        <w:t xml:space="preserve"> </w:t>
      </w:r>
      <w:proofErr w:type="spellStart"/>
      <w:r w:rsidRPr="007E702F">
        <w:rPr>
          <w:i/>
        </w:rPr>
        <w:t>Retardation</w:t>
      </w:r>
      <w:proofErr w:type="spellEnd"/>
      <w:r w:rsidRPr="007E702F">
        <w:rPr>
          <w:i/>
        </w:rPr>
        <w:t>.</w:t>
      </w:r>
    </w:p>
    <w:p w14:paraId="51E1AA7C" w14:textId="77777777" w:rsidR="007E702F" w:rsidRPr="007E702F" w:rsidRDefault="007E702F">
      <w:pPr>
        <w:pStyle w:val="ListeParagraf"/>
        <w:numPr>
          <w:ilvl w:val="0"/>
          <w:numId w:val="22"/>
        </w:numPr>
        <w:tabs>
          <w:tab w:val="left" w:pos="1056"/>
        </w:tabs>
        <w:ind w:right="338"/>
        <w:contextualSpacing w:val="0"/>
        <w:jc w:val="both"/>
        <w:rPr>
          <w:i/>
        </w:rPr>
      </w:pPr>
      <w:r w:rsidRPr="007E702F">
        <w:t>Brown,</w:t>
      </w:r>
      <w:r w:rsidRPr="007E702F">
        <w:rPr>
          <w:spacing w:val="-6"/>
        </w:rPr>
        <w:t xml:space="preserve"> </w:t>
      </w:r>
      <w:r w:rsidRPr="007E702F">
        <w:t>I.</w:t>
      </w:r>
      <w:r w:rsidRPr="007E702F">
        <w:rPr>
          <w:spacing w:val="-6"/>
        </w:rPr>
        <w:t xml:space="preserve"> </w:t>
      </w:r>
      <w:r w:rsidRPr="007E702F">
        <w:t>(2018:</w:t>
      </w:r>
      <w:r w:rsidRPr="007E702F">
        <w:rPr>
          <w:spacing w:val="-6"/>
        </w:rPr>
        <w:t xml:space="preserve"> </w:t>
      </w:r>
      <w:r w:rsidRPr="007E702F">
        <w:t>421</w:t>
      </w:r>
      <w:r w:rsidRPr="007E702F">
        <w:rPr>
          <w:spacing w:val="-6"/>
        </w:rPr>
        <w:t xml:space="preserve"> </w:t>
      </w:r>
      <w:r w:rsidRPr="007E702F">
        <w:t>-433).</w:t>
      </w:r>
      <w:r w:rsidRPr="007E702F">
        <w:rPr>
          <w:spacing w:val="-6"/>
        </w:rPr>
        <w:t xml:space="preserve"> </w:t>
      </w:r>
      <w:proofErr w:type="spellStart"/>
      <w:r w:rsidRPr="007E702F">
        <w:t>When</w:t>
      </w:r>
      <w:proofErr w:type="spellEnd"/>
      <w:r w:rsidRPr="007E702F">
        <w:rPr>
          <w:spacing w:val="-6"/>
        </w:rPr>
        <w:t xml:space="preserve"> </w:t>
      </w:r>
      <w:r w:rsidRPr="007E702F">
        <w:t>is</w:t>
      </w:r>
      <w:r w:rsidRPr="007E702F">
        <w:rPr>
          <w:spacing w:val="-6"/>
        </w:rPr>
        <w:t xml:space="preserve"> </w:t>
      </w:r>
      <w:r w:rsidRPr="007E702F">
        <w:t>Life</w:t>
      </w:r>
      <w:r w:rsidRPr="007E702F">
        <w:rPr>
          <w:spacing w:val="-6"/>
        </w:rPr>
        <w:t xml:space="preserve"> </w:t>
      </w:r>
      <w:proofErr w:type="spellStart"/>
      <w:r w:rsidRPr="007E702F">
        <w:t>Unworthy</w:t>
      </w:r>
      <w:proofErr w:type="spellEnd"/>
      <w:r w:rsidRPr="007E702F">
        <w:rPr>
          <w:spacing w:val="-6"/>
        </w:rPr>
        <w:t xml:space="preserve"> </w:t>
      </w:r>
      <w:r w:rsidRPr="007E702F">
        <w:t>of</w:t>
      </w:r>
      <w:r w:rsidRPr="007E702F">
        <w:rPr>
          <w:spacing w:val="-6"/>
        </w:rPr>
        <w:t xml:space="preserve"> </w:t>
      </w:r>
      <w:proofErr w:type="spellStart"/>
      <w:r w:rsidRPr="007E702F">
        <w:t>Living</w:t>
      </w:r>
      <w:proofErr w:type="spellEnd"/>
      <w:r w:rsidRPr="007E702F">
        <w:t>?</w:t>
      </w:r>
      <w:r w:rsidRPr="007E702F">
        <w:rPr>
          <w:spacing w:val="-6"/>
        </w:rPr>
        <w:t xml:space="preserve"> </w:t>
      </w:r>
      <w:proofErr w:type="spellStart"/>
      <w:r w:rsidRPr="007E702F">
        <w:t>Lessons</w:t>
      </w:r>
      <w:proofErr w:type="spellEnd"/>
      <w:r w:rsidRPr="007E702F">
        <w:rPr>
          <w:spacing w:val="-6"/>
        </w:rPr>
        <w:t xml:space="preserve"> </w:t>
      </w:r>
      <w:proofErr w:type="spellStart"/>
      <w:r w:rsidRPr="007E702F">
        <w:t>from</w:t>
      </w:r>
      <w:proofErr w:type="spellEnd"/>
      <w:r w:rsidRPr="007E702F">
        <w:rPr>
          <w:spacing w:val="-6"/>
        </w:rPr>
        <w:t xml:space="preserve"> </w:t>
      </w:r>
      <w:proofErr w:type="spellStart"/>
      <w:r w:rsidRPr="007E702F">
        <w:t>The</w:t>
      </w:r>
      <w:proofErr w:type="spellEnd"/>
      <w:r w:rsidRPr="007E702F">
        <w:rPr>
          <w:spacing w:val="-6"/>
        </w:rPr>
        <w:t xml:space="preserve"> </w:t>
      </w:r>
      <w:proofErr w:type="spellStart"/>
      <w:r w:rsidRPr="007E702F">
        <w:t>Systematic</w:t>
      </w:r>
      <w:proofErr w:type="spellEnd"/>
      <w:r w:rsidRPr="007E702F">
        <w:t xml:space="preserve"> Killing</w:t>
      </w:r>
      <w:r w:rsidRPr="007E702F">
        <w:rPr>
          <w:spacing w:val="-14"/>
        </w:rPr>
        <w:t xml:space="preserve"> </w:t>
      </w:r>
      <w:r w:rsidRPr="007E702F">
        <w:t>of</w:t>
      </w:r>
      <w:r w:rsidRPr="007E702F">
        <w:rPr>
          <w:spacing w:val="-14"/>
        </w:rPr>
        <w:t xml:space="preserve"> </w:t>
      </w:r>
      <w:proofErr w:type="spellStart"/>
      <w:r w:rsidRPr="007E702F">
        <w:t>Children</w:t>
      </w:r>
      <w:proofErr w:type="spellEnd"/>
      <w:r w:rsidRPr="007E702F">
        <w:rPr>
          <w:spacing w:val="-13"/>
        </w:rPr>
        <w:t xml:space="preserve"> </w:t>
      </w:r>
      <w:proofErr w:type="spellStart"/>
      <w:r w:rsidRPr="007E702F">
        <w:t>with</w:t>
      </w:r>
      <w:proofErr w:type="spellEnd"/>
      <w:r w:rsidRPr="007E702F">
        <w:rPr>
          <w:spacing w:val="-14"/>
        </w:rPr>
        <w:t xml:space="preserve"> </w:t>
      </w:r>
      <w:proofErr w:type="spellStart"/>
      <w:r w:rsidRPr="007E702F">
        <w:t>Disabilities</w:t>
      </w:r>
      <w:proofErr w:type="spellEnd"/>
      <w:r w:rsidRPr="007E702F">
        <w:rPr>
          <w:spacing w:val="-13"/>
        </w:rPr>
        <w:t xml:space="preserve"> </w:t>
      </w:r>
      <w:r w:rsidRPr="007E702F">
        <w:t>in</w:t>
      </w:r>
      <w:r w:rsidRPr="007E702F">
        <w:rPr>
          <w:spacing w:val="-14"/>
        </w:rPr>
        <w:t xml:space="preserve"> </w:t>
      </w:r>
      <w:r w:rsidRPr="007E702F">
        <w:t>Nazi</w:t>
      </w:r>
      <w:r w:rsidRPr="007E702F">
        <w:rPr>
          <w:spacing w:val="-13"/>
        </w:rPr>
        <w:t xml:space="preserve"> </w:t>
      </w:r>
      <w:r w:rsidRPr="007E702F">
        <w:t>Germany.</w:t>
      </w:r>
      <w:r w:rsidRPr="007E702F">
        <w:rPr>
          <w:spacing w:val="-14"/>
        </w:rPr>
        <w:t xml:space="preserve"> </w:t>
      </w:r>
      <w:proofErr w:type="spellStart"/>
      <w:r w:rsidRPr="007E702F">
        <w:rPr>
          <w:i/>
        </w:rPr>
        <w:t>The</w:t>
      </w:r>
      <w:proofErr w:type="spellEnd"/>
      <w:r w:rsidRPr="007E702F">
        <w:rPr>
          <w:i/>
          <w:spacing w:val="-14"/>
        </w:rPr>
        <w:t xml:space="preserve"> </w:t>
      </w:r>
      <w:proofErr w:type="spellStart"/>
      <w:r w:rsidRPr="007E702F">
        <w:rPr>
          <w:i/>
        </w:rPr>
        <w:t>Routledge</w:t>
      </w:r>
      <w:proofErr w:type="spellEnd"/>
      <w:r w:rsidRPr="007E702F">
        <w:rPr>
          <w:i/>
          <w:spacing w:val="-13"/>
        </w:rPr>
        <w:t xml:space="preserve"> </w:t>
      </w:r>
      <w:proofErr w:type="spellStart"/>
      <w:r w:rsidRPr="007E702F">
        <w:rPr>
          <w:i/>
        </w:rPr>
        <w:t>History</w:t>
      </w:r>
      <w:proofErr w:type="spellEnd"/>
      <w:r w:rsidRPr="007E702F">
        <w:rPr>
          <w:i/>
          <w:spacing w:val="-14"/>
        </w:rPr>
        <w:t xml:space="preserve"> </w:t>
      </w:r>
      <w:r w:rsidRPr="007E702F">
        <w:rPr>
          <w:i/>
        </w:rPr>
        <w:t>of</w:t>
      </w:r>
      <w:r w:rsidRPr="007E702F">
        <w:rPr>
          <w:i/>
          <w:spacing w:val="-13"/>
        </w:rPr>
        <w:t xml:space="preserve"> </w:t>
      </w:r>
      <w:proofErr w:type="spellStart"/>
      <w:r w:rsidRPr="007E702F">
        <w:rPr>
          <w:i/>
        </w:rPr>
        <w:t>Disability</w:t>
      </w:r>
      <w:proofErr w:type="spellEnd"/>
      <w:r w:rsidRPr="007E702F">
        <w:rPr>
          <w:i/>
        </w:rPr>
        <w:t>.</w:t>
      </w:r>
      <w:r w:rsidRPr="007E702F">
        <w:rPr>
          <w:i/>
          <w:spacing w:val="-14"/>
        </w:rPr>
        <w:t xml:space="preserve"> </w:t>
      </w:r>
      <w:r w:rsidRPr="007E702F">
        <w:rPr>
          <w:i/>
        </w:rPr>
        <w:t xml:space="preserve">Ed: </w:t>
      </w:r>
      <w:proofErr w:type="spellStart"/>
      <w:r w:rsidRPr="007E702F">
        <w:rPr>
          <w:i/>
        </w:rPr>
        <w:t>Hanes</w:t>
      </w:r>
      <w:proofErr w:type="spellEnd"/>
      <w:r w:rsidRPr="007E702F">
        <w:rPr>
          <w:i/>
        </w:rPr>
        <w:t xml:space="preserve">, R., Brown, I. ve Hansen, N. E. New York: </w:t>
      </w:r>
      <w:proofErr w:type="spellStart"/>
      <w:r w:rsidRPr="007E702F">
        <w:rPr>
          <w:i/>
        </w:rPr>
        <w:t>Routledge</w:t>
      </w:r>
      <w:proofErr w:type="spellEnd"/>
      <w:r w:rsidRPr="007E702F">
        <w:rPr>
          <w:i/>
        </w:rPr>
        <w:t>.</w:t>
      </w:r>
    </w:p>
    <w:p w14:paraId="59562D37" w14:textId="77777777" w:rsidR="007E702F" w:rsidRPr="007E702F" w:rsidRDefault="007E702F">
      <w:pPr>
        <w:pStyle w:val="ListeParagraf"/>
        <w:numPr>
          <w:ilvl w:val="0"/>
          <w:numId w:val="22"/>
        </w:numPr>
        <w:tabs>
          <w:tab w:val="left" w:pos="1056"/>
        </w:tabs>
        <w:ind w:right="339"/>
        <w:contextualSpacing w:val="0"/>
        <w:jc w:val="both"/>
      </w:pPr>
      <w:proofErr w:type="spellStart"/>
      <w:r w:rsidRPr="007E702F">
        <w:t>Fioranelli</w:t>
      </w:r>
      <w:proofErr w:type="spellEnd"/>
      <w:proofErr w:type="gramStart"/>
      <w:r w:rsidRPr="007E702F">
        <w:t>, ,</w:t>
      </w:r>
      <w:proofErr w:type="gramEnd"/>
      <w:r w:rsidRPr="007E702F">
        <w:t xml:space="preserve">. M., &amp; </w:t>
      </w:r>
      <w:proofErr w:type="spellStart"/>
      <w:r w:rsidRPr="007E702F">
        <w:t>Roccia</w:t>
      </w:r>
      <w:proofErr w:type="spellEnd"/>
      <w:r w:rsidRPr="007E702F">
        <w:t xml:space="preserve">, M. G. (2015). </w:t>
      </w:r>
      <w:proofErr w:type="spellStart"/>
      <w:r w:rsidRPr="007E702F">
        <w:t>Historical</w:t>
      </w:r>
      <w:proofErr w:type="spellEnd"/>
      <w:r w:rsidRPr="007E702F">
        <w:t xml:space="preserve"> </w:t>
      </w:r>
      <w:proofErr w:type="spellStart"/>
      <w:r w:rsidRPr="007E702F">
        <w:t>Evolution</w:t>
      </w:r>
      <w:proofErr w:type="spellEnd"/>
      <w:r w:rsidRPr="007E702F">
        <w:t xml:space="preserve"> of </w:t>
      </w:r>
      <w:proofErr w:type="spellStart"/>
      <w:r w:rsidRPr="007E702F">
        <w:t>Disability</w:t>
      </w:r>
      <w:proofErr w:type="spellEnd"/>
      <w:r w:rsidRPr="007E702F">
        <w:t xml:space="preserve"> </w:t>
      </w:r>
      <w:proofErr w:type="spellStart"/>
      <w:r w:rsidRPr="007E702F">
        <w:t>Concept</w:t>
      </w:r>
      <w:proofErr w:type="spellEnd"/>
      <w:r w:rsidRPr="007E702F">
        <w:t xml:space="preserve">. </w:t>
      </w:r>
      <w:proofErr w:type="spellStart"/>
      <w:r w:rsidRPr="007E702F">
        <w:rPr>
          <w:i/>
        </w:rPr>
        <w:t>History</w:t>
      </w:r>
      <w:proofErr w:type="spellEnd"/>
      <w:r w:rsidRPr="007E702F">
        <w:rPr>
          <w:i/>
        </w:rPr>
        <w:t xml:space="preserve"> of</w:t>
      </w:r>
      <w:r w:rsidRPr="007E702F">
        <w:rPr>
          <w:i/>
          <w:spacing w:val="-6"/>
        </w:rPr>
        <w:t xml:space="preserve"> </w:t>
      </w:r>
      <w:proofErr w:type="spellStart"/>
      <w:r w:rsidRPr="007E702F">
        <w:rPr>
          <w:i/>
        </w:rPr>
        <w:t>Medicine</w:t>
      </w:r>
      <w:proofErr w:type="spellEnd"/>
      <w:r w:rsidRPr="007E702F">
        <w:rPr>
          <w:i/>
          <w:spacing w:val="-6"/>
        </w:rPr>
        <w:t xml:space="preserve"> </w:t>
      </w:r>
      <w:proofErr w:type="spellStart"/>
      <w:r w:rsidRPr="007E702F">
        <w:rPr>
          <w:i/>
        </w:rPr>
        <w:t>and</w:t>
      </w:r>
      <w:proofErr w:type="spellEnd"/>
      <w:r w:rsidRPr="007E702F">
        <w:rPr>
          <w:i/>
          <w:spacing w:val="-6"/>
        </w:rPr>
        <w:t xml:space="preserve"> </w:t>
      </w:r>
      <w:proofErr w:type="spellStart"/>
      <w:r w:rsidRPr="007E702F">
        <w:rPr>
          <w:i/>
        </w:rPr>
        <w:t>Ethics</w:t>
      </w:r>
      <w:proofErr w:type="spellEnd"/>
      <w:r w:rsidRPr="007E702F">
        <w:rPr>
          <w:i/>
          <w:spacing w:val="-6"/>
        </w:rPr>
        <w:t xml:space="preserve"> </w:t>
      </w:r>
      <w:proofErr w:type="spellStart"/>
      <w:proofErr w:type="gramStart"/>
      <w:r w:rsidRPr="007E702F">
        <w:rPr>
          <w:i/>
        </w:rPr>
        <w:t>Journal</w:t>
      </w:r>
      <w:proofErr w:type="spellEnd"/>
      <w:r w:rsidRPr="007E702F">
        <w:rPr>
          <w:i/>
        </w:rPr>
        <w:t>,</w:t>
      </w:r>
      <w:r w:rsidRPr="007E702F">
        <w:t>.</w:t>
      </w:r>
      <w:proofErr w:type="gramEnd"/>
      <w:r w:rsidRPr="007E702F">
        <w:rPr>
          <w:spacing w:val="-6"/>
        </w:rPr>
        <w:t xml:space="preserve"> </w:t>
      </w:r>
      <w:r w:rsidRPr="007E702F">
        <w:t>CİLT</w:t>
      </w:r>
      <w:r w:rsidRPr="007E702F">
        <w:rPr>
          <w:spacing w:val="-6"/>
        </w:rPr>
        <w:t xml:space="preserve"> </w:t>
      </w:r>
      <w:r w:rsidRPr="007E702F">
        <w:t>1.</w:t>
      </w:r>
      <w:r w:rsidRPr="007E702F">
        <w:rPr>
          <w:spacing w:val="-6"/>
        </w:rPr>
        <w:t xml:space="preserve"> </w:t>
      </w:r>
      <w:r w:rsidRPr="007E702F">
        <w:t>Sayı</w:t>
      </w:r>
      <w:r w:rsidRPr="007E702F">
        <w:rPr>
          <w:spacing w:val="-6"/>
        </w:rPr>
        <w:t xml:space="preserve"> </w:t>
      </w:r>
      <w:r w:rsidRPr="007E702F">
        <w:t>1.</w:t>
      </w:r>
      <w:r w:rsidRPr="007E702F">
        <w:rPr>
          <w:spacing w:val="-6"/>
        </w:rPr>
        <w:t xml:space="preserve"> </w:t>
      </w:r>
      <w:r w:rsidRPr="007E702F">
        <w:t>1-9.</w:t>
      </w:r>
      <w:r w:rsidRPr="007E702F">
        <w:rPr>
          <w:spacing w:val="-6"/>
        </w:rPr>
        <w:t xml:space="preserve"> </w:t>
      </w:r>
      <w:proofErr w:type="spellStart"/>
      <w:r w:rsidRPr="007E702F">
        <w:t>History</w:t>
      </w:r>
      <w:proofErr w:type="spellEnd"/>
      <w:r w:rsidRPr="007E702F">
        <w:rPr>
          <w:spacing w:val="-6"/>
        </w:rPr>
        <w:t xml:space="preserve"> </w:t>
      </w:r>
      <w:r w:rsidRPr="007E702F">
        <w:t>of</w:t>
      </w:r>
      <w:r w:rsidRPr="007E702F">
        <w:rPr>
          <w:spacing w:val="-6"/>
        </w:rPr>
        <w:t xml:space="preserve"> </w:t>
      </w:r>
      <w:proofErr w:type="spellStart"/>
      <w:r w:rsidRPr="007E702F">
        <w:t>Medicine</w:t>
      </w:r>
      <w:proofErr w:type="spellEnd"/>
      <w:r w:rsidRPr="007E702F">
        <w:rPr>
          <w:spacing w:val="-6"/>
        </w:rPr>
        <w:t xml:space="preserve"> </w:t>
      </w:r>
      <w:proofErr w:type="spellStart"/>
      <w:r w:rsidRPr="007E702F">
        <w:t>and</w:t>
      </w:r>
      <w:proofErr w:type="spellEnd"/>
      <w:r w:rsidRPr="007E702F">
        <w:rPr>
          <w:spacing w:val="-6"/>
        </w:rPr>
        <w:t xml:space="preserve"> </w:t>
      </w:r>
      <w:proofErr w:type="spellStart"/>
      <w:r w:rsidRPr="007E702F">
        <w:t>Ethics</w:t>
      </w:r>
      <w:proofErr w:type="spellEnd"/>
      <w:r w:rsidRPr="007E702F">
        <w:rPr>
          <w:spacing w:val="-6"/>
        </w:rPr>
        <w:t xml:space="preserve"> </w:t>
      </w:r>
      <w:proofErr w:type="spellStart"/>
      <w:r w:rsidRPr="007E702F">
        <w:t>Journal</w:t>
      </w:r>
      <w:proofErr w:type="spellEnd"/>
      <w:r w:rsidRPr="007E702F">
        <w:t>.</w:t>
      </w:r>
    </w:p>
    <w:p w14:paraId="5A116C79" w14:textId="77777777" w:rsidR="007E702F" w:rsidRPr="007E702F" w:rsidRDefault="007E702F">
      <w:pPr>
        <w:pStyle w:val="ListeParagraf"/>
        <w:numPr>
          <w:ilvl w:val="0"/>
          <w:numId w:val="22"/>
        </w:numPr>
        <w:tabs>
          <w:tab w:val="left" w:pos="1056"/>
        </w:tabs>
        <w:ind w:right="338"/>
        <w:contextualSpacing w:val="0"/>
        <w:jc w:val="both"/>
      </w:pPr>
      <w:proofErr w:type="spellStart"/>
      <w:r w:rsidRPr="007E702F">
        <w:t>Garland</w:t>
      </w:r>
      <w:proofErr w:type="spellEnd"/>
      <w:r w:rsidRPr="007E702F">
        <w:t>,</w:t>
      </w:r>
      <w:r w:rsidRPr="007E702F">
        <w:rPr>
          <w:spacing w:val="-10"/>
        </w:rPr>
        <w:t xml:space="preserve"> </w:t>
      </w:r>
      <w:r w:rsidRPr="007E702F">
        <w:t>R.</w:t>
      </w:r>
      <w:r w:rsidRPr="007E702F">
        <w:rPr>
          <w:spacing w:val="-10"/>
        </w:rPr>
        <w:t xml:space="preserve"> </w:t>
      </w:r>
      <w:r w:rsidRPr="007E702F">
        <w:t>(1995:</w:t>
      </w:r>
      <w:r w:rsidRPr="007E702F">
        <w:rPr>
          <w:spacing w:val="-10"/>
        </w:rPr>
        <w:t xml:space="preserve"> </w:t>
      </w:r>
      <w:r w:rsidRPr="007E702F">
        <w:t>11-14).</w:t>
      </w:r>
      <w:r w:rsidRPr="007E702F">
        <w:rPr>
          <w:spacing w:val="-9"/>
        </w:rPr>
        <w:t xml:space="preserve"> </w:t>
      </w:r>
      <w:proofErr w:type="spellStart"/>
      <w:r w:rsidRPr="007E702F">
        <w:rPr>
          <w:i/>
        </w:rPr>
        <w:t>The</w:t>
      </w:r>
      <w:proofErr w:type="spellEnd"/>
      <w:r w:rsidRPr="007E702F">
        <w:rPr>
          <w:i/>
          <w:spacing w:val="-10"/>
        </w:rPr>
        <w:t xml:space="preserve"> </w:t>
      </w:r>
      <w:proofErr w:type="spellStart"/>
      <w:r w:rsidRPr="007E702F">
        <w:rPr>
          <w:i/>
        </w:rPr>
        <w:t>Eye</w:t>
      </w:r>
      <w:proofErr w:type="spellEnd"/>
      <w:r w:rsidRPr="007E702F">
        <w:rPr>
          <w:i/>
          <w:spacing w:val="-10"/>
        </w:rPr>
        <w:t xml:space="preserve"> </w:t>
      </w:r>
      <w:r w:rsidRPr="007E702F">
        <w:rPr>
          <w:i/>
        </w:rPr>
        <w:t>of</w:t>
      </w:r>
      <w:r w:rsidRPr="007E702F">
        <w:rPr>
          <w:i/>
          <w:spacing w:val="-10"/>
        </w:rPr>
        <w:t xml:space="preserve"> </w:t>
      </w:r>
      <w:proofErr w:type="spellStart"/>
      <w:r w:rsidRPr="007E702F">
        <w:rPr>
          <w:i/>
        </w:rPr>
        <w:t>The</w:t>
      </w:r>
      <w:proofErr w:type="spellEnd"/>
      <w:r w:rsidRPr="007E702F">
        <w:rPr>
          <w:i/>
          <w:spacing w:val="-10"/>
        </w:rPr>
        <w:t xml:space="preserve"> </w:t>
      </w:r>
      <w:proofErr w:type="spellStart"/>
      <w:r w:rsidRPr="007E702F">
        <w:rPr>
          <w:i/>
        </w:rPr>
        <w:t>Beholder</w:t>
      </w:r>
      <w:proofErr w:type="spellEnd"/>
      <w:r w:rsidRPr="007E702F">
        <w:rPr>
          <w:i/>
        </w:rPr>
        <w:t>:</w:t>
      </w:r>
      <w:r w:rsidRPr="007E702F">
        <w:rPr>
          <w:i/>
          <w:spacing w:val="-10"/>
        </w:rPr>
        <w:t xml:space="preserve"> </w:t>
      </w:r>
      <w:proofErr w:type="spellStart"/>
      <w:r w:rsidRPr="007E702F">
        <w:rPr>
          <w:i/>
        </w:rPr>
        <w:t>Deformity</w:t>
      </w:r>
      <w:proofErr w:type="spellEnd"/>
      <w:r w:rsidRPr="007E702F">
        <w:rPr>
          <w:i/>
          <w:spacing w:val="-10"/>
        </w:rPr>
        <w:t xml:space="preserve"> </w:t>
      </w:r>
      <w:proofErr w:type="spellStart"/>
      <w:r w:rsidRPr="007E702F">
        <w:rPr>
          <w:i/>
        </w:rPr>
        <w:t>and</w:t>
      </w:r>
      <w:proofErr w:type="spellEnd"/>
      <w:r w:rsidRPr="007E702F">
        <w:rPr>
          <w:i/>
          <w:spacing w:val="-10"/>
        </w:rPr>
        <w:t xml:space="preserve"> </w:t>
      </w:r>
      <w:proofErr w:type="spellStart"/>
      <w:r w:rsidRPr="007E702F">
        <w:rPr>
          <w:i/>
        </w:rPr>
        <w:t>Disability</w:t>
      </w:r>
      <w:proofErr w:type="spellEnd"/>
      <w:r w:rsidRPr="007E702F">
        <w:rPr>
          <w:i/>
          <w:spacing w:val="-10"/>
        </w:rPr>
        <w:t xml:space="preserve"> </w:t>
      </w:r>
      <w:r w:rsidRPr="007E702F">
        <w:rPr>
          <w:i/>
        </w:rPr>
        <w:t>in</w:t>
      </w:r>
      <w:r w:rsidRPr="007E702F">
        <w:rPr>
          <w:i/>
          <w:spacing w:val="-10"/>
        </w:rPr>
        <w:t xml:space="preserve"> </w:t>
      </w:r>
      <w:proofErr w:type="spellStart"/>
      <w:r w:rsidRPr="007E702F">
        <w:rPr>
          <w:i/>
        </w:rPr>
        <w:t>the</w:t>
      </w:r>
      <w:proofErr w:type="spellEnd"/>
      <w:r w:rsidRPr="007E702F">
        <w:rPr>
          <w:i/>
          <w:spacing w:val="-10"/>
        </w:rPr>
        <w:t xml:space="preserve"> </w:t>
      </w:r>
      <w:proofErr w:type="spellStart"/>
      <w:r w:rsidRPr="007E702F">
        <w:rPr>
          <w:i/>
        </w:rPr>
        <w:t>Graeco</w:t>
      </w:r>
      <w:proofErr w:type="spellEnd"/>
      <w:r w:rsidRPr="007E702F">
        <w:rPr>
          <w:i/>
        </w:rPr>
        <w:t xml:space="preserve">- Roman World. </w:t>
      </w:r>
      <w:proofErr w:type="spellStart"/>
      <w:r w:rsidRPr="007E702F">
        <w:rPr>
          <w:i/>
        </w:rPr>
        <w:t>The</w:t>
      </w:r>
      <w:proofErr w:type="spellEnd"/>
      <w:r w:rsidRPr="007E702F">
        <w:rPr>
          <w:i/>
        </w:rPr>
        <w:t xml:space="preserve"> </w:t>
      </w:r>
      <w:proofErr w:type="spellStart"/>
      <w:r w:rsidRPr="007E702F">
        <w:rPr>
          <w:i/>
        </w:rPr>
        <w:t>Classical</w:t>
      </w:r>
      <w:proofErr w:type="spellEnd"/>
      <w:r w:rsidRPr="007E702F">
        <w:rPr>
          <w:i/>
        </w:rPr>
        <w:t xml:space="preserve"> World. </w:t>
      </w:r>
      <w:r w:rsidRPr="007E702F">
        <w:t>https://doi.org/10.2307/4352001 adresinden alındı</w:t>
      </w:r>
    </w:p>
    <w:p w14:paraId="697B4176" w14:textId="77777777" w:rsidR="007E702F" w:rsidRPr="007E702F" w:rsidRDefault="007E702F">
      <w:pPr>
        <w:pStyle w:val="ListeParagraf"/>
        <w:numPr>
          <w:ilvl w:val="0"/>
          <w:numId w:val="22"/>
        </w:numPr>
        <w:tabs>
          <w:tab w:val="left" w:pos="1056"/>
        </w:tabs>
        <w:ind w:right="337"/>
        <w:contextualSpacing w:val="0"/>
        <w:jc w:val="both"/>
      </w:pPr>
      <w:proofErr w:type="spellStart"/>
      <w:r w:rsidRPr="007E702F">
        <w:t>Metzler</w:t>
      </w:r>
      <w:proofErr w:type="spellEnd"/>
      <w:proofErr w:type="gramStart"/>
      <w:r w:rsidRPr="007E702F">
        <w:t>, ,</w:t>
      </w:r>
      <w:proofErr w:type="gramEnd"/>
      <w:r w:rsidRPr="007E702F">
        <w:t xml:space="preserve"> I. (2006: 47 -48). </w:t>
      </w:r>
      <w:proofErr w:type="spellStart"/>
      <w:r w:rsidRPr="007E702F">
        <w:rPr>
          <w:i/>
        </w:rPr>
        <w:t>Disability</w:t>
      </w:r>
      <w:proofErr w:type="spellEnd"/>
      <w:r w:rsidRPr="007E702F">
        <w:rPr>
          <w:i/>
        </w:rPr>
        <w:t xml:space="preserve"> in </w:t>
      </w:r>
      <w:proofErr w:type="spellStart"/>
      <w:r w:rsidRPr="007E702F">
        <w:rPr>
          <w:i/>
        </w:rPr>
        <w:t>medieval</w:t>
      </w:r>
      <w:proofErr w:type="spellEnd"/>
      <w:r w:rsidRPr="007E702F">
        <w:rPr>
          <w:i/>
        </w:rPr>
        <w:t xml:space="preserve"> Europe: </w:t>
      </w:r>
      <w:proofErr w:type="spellStart"/>
      <w:r w:rsidRPr="007E702F">
        <w:rPr>
          <w:i/>
        </w:rPr>
        <w:t>Thinking</w:t>
      </w:r>
      <w:proofErr w:type="spellEnd"/>
      <w:r w:rsidRPr="007E702F">
        <w:rPr>
          <w:i/>
        </w:rPr>
        <w:t xml:space="preserve"> </w:t>
      </w:r>
      <w:proofErr w:type="spellStart"/>
      <w:r w:rsidRPr="007E702F">
        <w:rPr>
          <w:i/>
        </w:rPr>
        <w:t>about</w:t>
      </w:r>
      <w:proofErr w:type="spellEnd"/>
      <w:r w:rsidRPr="007E702F">
        <w:rPr>
          <w:i/>
        </w:rPr>
        <w:t xml:space="preserve"> </w:t>
      </w:r>
      <w:proofErr w:type="spellStart"/>
      <w:r w:rsidRPr="007E702F">
        <w:rPr>
          <w:i/>
        </w:rPr>
        <w:t>Physical</w:t>
      </w:r>
      <w:proofErr w:type="spellEnd"/>
      <w:r w:rsidRPr="007E702F">
        <w:rPr>
          <w:i/>
        </w:rPr>
        <w:t xml:space="preserve"> </w:t>
      </w:r>
      <w:proofErr w:type="spellStart"/>
      <w:r w:rsidRPr="007E702F">
        <w:rPr>
          <w:i/>
        </w:rPr>
        <w:t>Impairment</w:t>
      </w:r>
      <w:proofErr w:type="spellEnd"/>
      <w:r w:rsidRPr="007E702F">
        <w:rPr>
          <w:i/>
        </w:rPr>
        <w:t xml:space="preserve"> in </w:t>
      </w:r>
      <w:proofErr w:type="spellStart"/>
      <w:r w:rsidRPr="007E702F">
        <w:rPr>
          <w:i/>
        </w:rPr>
        <w:t>The</w:t>
      </w:r>
      <w:proofErr w:type="spellEnd"/>
      <w:r w:rsidRPr="007E702F">
        <w:rPr>
          <w:i/>
        </w:rPr>
        <w:t xml:space="preserve"> High </w:t>
      </w:r>
      <w:proofErr w:type="spellStart"/>
      <w:r w:rsidRPr="007E702F">
        <w:rPr>
          <w:i/>
        </w:rPr>
        <w:t>Middle</w:t>
      </w:r>
      <w:proofErr w:type="spellEnd"/>
      <w:r w:rsidRPr="007E702F">
        <w:rPr>
          <w:i/>
        </w:rPr>
        <w:t xml:space="preserve"> </w:t>
      </w:r>
      <w:proofErr w:type="spellStart"/>
      <w:r w:rsidRPr="007E702F">
        <w:rPr>
          <w:i/>
        </w:rPr>
        <w:t>Ages</w:t>
      </w:r>
      <w:proofErr w:type="spellEnd"/>
      <w:r w:rsidRPr="007E702F">
        <w:rPr>
          <w:i/>
        </w:rPr>
        <w:t>, c.1100-c.</w:t>
      </w:r>
      <w:proofErr w:type="gramStart"/>
      <w:r w:rsidRPr="007E702F">
        <w:rPr>
          <w:i/>
        </w:rPr>
        <w:t>1400. .</w:t>
      </w:r>
      <w:proofErr w:type="gramEnd"/>
      <w:r w:rsidRPr="007E702F">
        <w:rPr>
          <w:i/>
        </w:rPr>
        <w:t xml:space="preserve"> </w:t>
      </w:r>
      <w:r w:rsidRPr="007E702F">
        <w:t xml:space="preserve">New York: </w:t>
      </w:r>
      <w:proofErr w:type="spellStart"/>
      <w:r w:rsidRPr="007E702F">
        <w:t>Routledge</w:t>
      </w:r>
      <w:proofErr w:type="spellEnd"/>
      <w:r w:rsidRPr="007E702F">
        <w:t xml:space="preserve">.: </w:t>
      </w:r>
      <w:r w:rsidRPr="007E702F">
        <w:rPr>
          <w:spacing w:val="-2"/>
        </w:rPr>
        <w:t>https://doi.org/10.4324/9780203016060.</w:t>
      </w:r>
    </w:p>
    <w:p w14:paraId="388B2E19" w14:textId="77777777" w:rsidR="007E702F" w:rsidRPr="007E702F" w:rsidRDefault="007E702F">
      <w:pPr>
        <w:pStyle w:val="ListeParagraf"/>
        <w:numPr>
          <w:ilvl w:val="0"/>
          <w:numId w:val="22"/>
        </w:numPr>
        <w:tabs>
          <w:tab w:val="left" w:pos="1056"/>
        </w:tabs>
        <w:ind w:right="338"/>
        <w:contextualSpacing w:val="0"/>
        <w:jc w:val="both"/>
      </w:pPr>
      <w:proofErr w:type="spellStart"/>
      <w:r w:rsidRPr="007E702F">
        <w:t>Rimmerman</w:t>
      </w:r>
      <w:proofErr w:type="spellEnd"/>
      <w:proofErr w:type="gramStart"/>
      <w:r w:rsidRPr="007E702F">
        <w:t>, ,</w:t>
      </w:r>
      <w:proofErr w:type="gramEnd"/>
      <w:r w:rsidRPr="007E702F">
        <w:t xml:space="preserve"> A. (2013: 13.). </w:t>
      </w:r>
      <w:proofErr w:type="spellStart"/>
      <w:r w:rsidRPr="007E702F">
        <w:rPr>
          <w:i/>
        </w:rPr>
        <w:t>Social</w:t>
      </w:r>
      <w:proofErr w:type="spellEnd"/>
      <w:r w:rsidRPr="007E702F">
        <w:rPr>
          <w:i/>
        </w:rPr>
        <w:t xml:space="preserve"> </w:t>
      </w:r>
      <w:proofErr w:type="spellStart"/>
      <w:r w:rsidRPr="007E702F">
        <w:rPr>
          <w:i/>
        </w:rPr>
        <w:t>Inclusion</w:t>
      </w:r>
      <w:proofErr w:type="spellEnd"/>
      <w:r w:rsidRPr="007E702F">
        <w:rPr>
          <w:i/>
        </w:rPr>
        <w:t xml:space="preserve"> of People </w:t>
      </w:r>
      <w:proofErr w:type="spellStart"/>
      <w:r w:rsidRPr="007E702F">
        <w:rPr>
          <w:i/>
        </w:rPr>
        <w:t>with</w:t>
      </w:r>
      <w:proofErr w:type="spellEnd"/>
      <w:r w:rsidRPr="007E702F">
        <w:rPr>
          <w:i/>
        </w:rPr>
        <w:t xml:space="preserve"> </w:t>
      </w:r>
      <w:proofErr w:type="spellStart"/>
      <w:r w:rsidRPr="007E702F">
        <w:rPr>
          <w:i/>
        </w:rPr>
        <w:t>Disabilities</w:t>
      </w:r>
      <w:proofErr w:type="spellEnd"/>
      <w:r w:rsidRPr="007E702F">
        <w:rPr>
          <w:i/>
        </w:rPr>
        <w:t xml:space="preserve">. </w:t>
      </w:r>
      <w:r w:rsidRPr="007E702F">
        <w:t xml:space="preserve">New York: Cambridge </w:t>
      </w:r>
      <w:proofErr w:type="spellStart"/>
      <w:r w:rsidRPr="007E702F">
        <w:t>University</w:t>
      </w:r>
      <w:proofErr w:type="spellEnd"/>
      <w:r w:rsidRPr="007E702F">
        <w:t xml:space="preserve"> </w:t>
      </w:r>
      <w:proofErr w:type="spellStart"/>
      <w:r w:rsidRPr="007E702F">
        <w:t>Press</w:t>
      </w:r>
      <w:proofErr w:type="spellEnd"/>
      <w:r w:rsidRPr="007E702F">
        <w:t>.: https://doi.org/10.1017/cbo9781139035668.</w:t>
      </w:r>
    </w:p>
    <w:p w14:paraId="4E7453F1" w14:textId="77777777" w:rsidR="007E702F" w:rsidRPr="007E702F" w:rsidRDefault="007E702F">
      <w:pPr>
        <w:pStyle w:val="ListeParagraf"/>
        <w:numPr>
          <w:ilvl w:val="0"/>
          <w:numId w:val="22"/>
        </w:numPr>
        <w:tabs>
          <w:tab w:val="left" w:pos="1055"/>
        </w:tabs>
        <w:ind w:left="1055" w:hanging="359"/>
        <w:contextualSpacing w:val="0"/>
        <w:jc w:val="both"/>
      </w:pPr>
      <w:r w:rsidRPr="007E702F">
        <w:t>Shakespeare,</w:t>
      </w:r>
      <w:r w:rsidRPr="007E702F">
        <w:rPr>
          <w:spacing w:val="-6"/>
        </w:rPr>
        <w:t xml:space="preserve"> </w:t>
      </w:r>
      <w:r w:rsidRPr="007E702F">
        <w:t>T.</w:t>
      </w:r>
      <w:r w:rsidRPr="007E702F">
        <w:rPr>
          <w:spacing w:val="-6"/>
        </w:rPr>
        <w:t xml:space="preserve"> </w:t>
      </w:r>
      <w:r w:rsidRPr="007E702F">
        <w:t>(2018:24).</w:t>
      </w:r>
      <w:r w:rsidRPr="007E702F">
        <w:rPr>
          <w:spacing w:val="-6"/>
        </w:rPr>
        <w:t xml:space="preserve"> </w:t>
      </w:r>
      <w:proofErr w:type="spellStart"/>
      <w:r w:rsidRPr="007E702F">
        <w:t>Disability</w:t>
      </w:r>
      <w:proofErr w:type="spellEnd"/>
      <w:r w:rsidRPr="007E702F">
        <w:t>:</w:t>
      </w:r>
      <w:r w:rsidRPr="007E702F">
        <w:rPr>
          <w:spacing w:val="-6"/>
        </w:rPr>
        <w:t xml:space="preserve"> </w:t>
      </w:r>
      <w:proofErr w:type="spellStart"/>
      <w:r w:rsidRPr="007E702F">
        <w:t>The</w:t>
      </w:r>
      <w:proofErr w:type="spellEnd"/>
      <w:r w:rsidRPr="007E702F">
        <w:rPr>
          <w:spacing w:val="-6"/>
        </w:rPr>
        <w:t xml:space="preserve"> </w:t>
      </w:r>
      <w:r w:rsidRPr="007E702F">
        <w:t>Basics.</w:t>
      </w:r>
      <w:r w:rsidRPr="007E702F">
        <w:rPr>
          <w:spacing w:val="-6"/>
        </w:rPr>
        <w:t xml:space="preserve"> </w:t>
      </w:r>
      <w:proofErr w:type="spellStart"/>
      <w:r w:rsidRPr="007E702F">
        <w:rPr>
          <w:i/>
        </w:rPr>
        <w:t>London</w:t>
      </w:r>
      <w:proofErr w:type="spellEnd"/>
      <w:r w:rsidRPr="007E702F">
        <w:rPr>
          <w:i/>
          <w:spacing w:val="-6"/>
        </w:rPr>
        <w:t xml:space="preserve"> </w:t>
      </w:r>
      <w:proofErr w:type="spellStart"/>
      <w:r w:rsidRPr="007E702F">
        <w:rPr>
          <w:i/>
        </w:rPr>
        <w:t>and</w:t>
      </w:r>
      <w:proofErr w:type="spellEnd"/>
      <w:r w:rsidRPr="007E702F">
        <w:rPr>
          <w:i/>
          <w:spacing w:val="-6"/>
        </w:rPr>
        <w:t xml:space="preserve"> </w:t>
      </w:r>
      <w:r w:rsidRPr="007E702F">
        <w:rPr>
          <w:i/>
        </w:rPr>
        <w:t>New</w:t>
      </w:r>
      <w:r w:rsidRPr="007E702F">
        <w:rPr>
          <w:i/>
          <w:spacing w:val="-6"/>
        </w:rPr>
        <w:t xml:space="preserve"> </w:t>
      </w:r>
      <w:r w:rsidRPr="007E702F">
        <w:rPr>
          <w:i/>
        </w:rPr>
        <w:t>York:</w:t>
      </w:r>
      <w:r w:rsidRPr="007E702F">
        <w:rPr>
          <w:i/>
          <w:spacing w:val="-5"/>
        </w:rPr>
        <w:t xml:space="preserve"> </w:t>
      </w:r>
      <w:proofErr w:type="spellStart"/>
      <w:r w:rsidRPr="007E702F">
        <w:rPr>
          <w:i/>
          <w:spacing w:val="-2"/>
        </w:rPr>
        <w:t>Routledge</w:t>
      </w:r>
      <w:proofErr w:type="spellEnd"/>
      <w:r w:rsidRPr="007E702F">
        <w:rPr>
          <w:spacing w:val="-2"/>
        </w:rPr>
        <w:t>.</w:t>
      </w:r>
    </w:p>
    <w:p w14:paraId="5FC51CBD" w14:textId="77777777" w:rsidR="007E702F" w:rsidRPr="007E702F" w:rsidRDefault="007E702F">
      <w:pPr>
        <w:pStyle w:val="ListeParagraf"/>
        <w:numPr>
          <w:ilvl w:val="0"/>
          <w:numId w:val="22"/>
        </w:numPr>
        <w:tabs>
          <w:tab w:val="left" w:pos="1054"/>
          <w:tab w:val="left" w:pos="1056"/>
        </w:tabs>
        <w:ind w:right="338"/>
        <w:contextualSpacing w:val="0"/>
        <w:jc w:val="both"/>
      </w:pPr>
      <w:proofErr w:type="spellStart"/>
      <w:r w:rsidRPr="007E702F">
        <w:rPr>
          <w:spacing w:val="-2"/>
        </w:rPr>
        <w:t>Stiker</w:t>
      </w:r>
      <w:proofErr w:type="spellEnd"/>
      <w:r w:rsidRPr="007E702F">
        <w:rPr>
          <w:spacing w:val="-2"/>
        </w:rPr>
        <w:t>,</w:t>
      </w:r>
      <w:r w:rsidRPr="007E702F">
        <w:rPr>
          <w:spacing w:val="-6"/>
        </w:rPr>
        <w:t xml:space="preserve"> </w:t>
      </w:r>
      <w:proofErr w:type="gramStart"/>
      <w:r w:rsidRPr="007E702F">
        <w:rPr>
          <w:spacing w:val="-2"/>
        </w:rPr>
        <w:t>H.</w:t>
      </w:r>
      <w:r w:rsidRPr="007E702F">
        <w:rPr>
          <w:spacing w:val="-6"/>
        </w:rPr>
        <w:t xml:space="preserve"> </w:t>
      </w:r>
      <w:r w:rsidRPr="007E702F">
        <w:rPr>
          <w:spacing w:val="-2"/>
        </w:rPr>
        <w:t>-</w:t>
      </w:r>
      <w:proofErr w:type="gramEnd"/>
      <w:r w:rsidRPr="007E702F">
        <w:rPr>
          <w:spacing w:val="-2"/>
        </w:rPr>
        <w:t>J.</w:t>
      </w:r>
      <w:r w:rsidRPr="007E702F">
        <w:rPr>
          <w:spacing w:val="-6"/>
        </w:rPr>
        <w:t xml:space="preserve"> </w:t>
      </w:r>
      <w:r w:rsidRPr="007E702F">
        <w:rPr>
          <w:spacing w:val="-2"/>
        </w:rPr>
        <w:t>(1995:</w:t>
      </w:r>
      <w:r w:rsidRPr="007E702F">
        <w:rPr>
          <w:spacing w:val="-6"/>
        </w:rPr>
        <w:t xml:space="preserve"> </w:t>
      </w:r>
      <w:r w:rsidRPr="007E702F">
        <w:rPr>
          <w:spacing w:val="-2"/>
        </w:rPr>
        <w:t>39-44).</w:t>
      </w:r>
      <w:r w:rsidRPr="007E702F">
        <w:rPr>
          <w:spacing w:val="-6"/>
        </w:rPr>
        <w:t xml:space="preserve"> </w:t>
      </w:r>
      <w:r w:rsidRPr="007E702F">
        <w:rPr>
          <w:i/>
          <w:spacing w:val="-2"/>
        </w:rPr>
        <w:t>A</w:t>
      </w:r>
      <w:r w:rsidRPr="007E702F">
        <w:rPr>
          <w:i/>
          <w:spacing w:val="-6"/>
        </w:rPr>
        <w:t xml:space="preserve"> </w:t>
      </w:r>
      <w:proofErr w:type="spellStart"/>
      <w:r w:rsidRPr="007E702F">
        <w:rPr>
          <w:i/>
          <w:spacing w:val="-2"/>
        </w:rPr>
        <w:t>History</w:t>
      </w:r>
      <w:proofErr w:type="spellEnd"/>
      <w:r w:rsidRPr="007E702F">
        <w:rPr>
          <w:i/>
          <w:spacing w:val="-6"/>
        </w:rPr>
        <w:t xml:space="preserve"> </w:t>
      </w:r>
      <w:r w:rsidRPr="007E702F">
        <w:rPr>
          <w:i/>
          <w:spacing w:val="-2"/>
        </w:rPr>
        <w:t>of</w:t>
      </w:r>
      <w:r w:rsidRPr="007E702F">
        <w:rPr>
          <w:i/>
          <w:spacing w:val="-6"/>
        </w:rPr>
        <w:t xml:space="preserve"> </w:t>
      </w:r>
      <w:proofErr w:type="spellStart"/>
      <w:r w:rsidRPr="007E702F">
        <w:rPr>
          <w:i/>
          <w:spacing w:val="-2"/>
        </w:rPr>
        <w:t>Disability</w:t>
      </w:r>
      <w:proofErr w:type="spellEnd"/>
      <w:r w:rsidRPr="007E702F">
        <w:rPr>
          <w:i/>
          <w:spacing w:val="-2"/>
        </w:rPr>
        <w:t>.</w:t>
      </w:r>
      <w:r w:rsidRPr="007E702F">
        <w:rPr>
          <w:i/>
          <w:spacing w:val="-6"/>
        </w:rPr>
        <w:t xml:space="preserve"> </w:t>
      </w:r>
      <w:r w:rsidRPr="007E702F">
        <w:rPr>
          <w:spacing w:val="-2"/>
        </w:rPr>
        <w:t>(New</w:t>
      </w:r>
      <w:r w:rsidRPr="007E702F">
        <w:rPr>
          <w:spacing w:val="-6"/>
        </w:rPr>
        <w:t xml:space="preserve"> </w:t>
      </w:r>
      <w:proofErr w:type="spellStart"/>
      <w:r w:rsidRPr="007E702F">
        <w:rPr>
          <w:spacing w:val="-2"/>
        </w:rPr>
        <w:t>edition</w:t>
      </w:r>
      <w:proofErr w:type="spellEnd"/>
      <w:r w:rsidRPr="007E702F">
        <w:rPr>
          <w:spacing w:val="-2"/>
        </w:rPr>
        <w:t>).</w:t>
      </w:r>
      <w:r w:rsidRPr="007E702F">
        <w:rPr>
          <w:spacing w:val="-6"/>
        </w:rPr>
        <w:t xml:space="preserve"> </w:t>
      </w:r>
      <w:proofErr w:type="spellStart"/>
      <w:r w:rsidRPr="007E702F">
        <w:rPr>
          <w:spacing w:val="-2"/>
        </w:rPr>
        <w:t>The</w:t>
      </w:r>
      <w:proofErr w:type="spellEnd"/>
      <w:r w:rsidRPr="007E702F">
        <w:rPr>
          <w:spacing w:val="-6"/>
        </w:rPr>
        <w:t xml:space="preserve"> </w:t>
      </w:r>
      <w:proofErr w:type="spellStart"/>
      <w:r w:rsidRPr="007E702F">
        <w:rPr>
          <w:spacing w:val="-2"/>
        </w:rPr>
        <w:t>University</w:t>
      </w:r>
      <w:proofErr w:type="spellEnd"/>
      <w:r w:rsidRPr="007E702F">
        <w:rPr>
          <w:spacing w:val="-6"/>
        </w:rPr>
        <w:t xml:space="preserve"> </w:t>
      </w:r>
      <w:r w:rsidRPr="007E702F">
        <w:rPr>
          <w:spacing w:val="-2"/>
        </w:rPr>
        <w:t>of</w:t>
      </w:r>
      <w:r w:rsidRPr="007E702F">
        <w:rPr>
          <w:spacing w:val="-6"/>
        </w:rPr>
        <w:t xml:space="preserve"> </w:t>
      </w:r>
      <w:r w:rsidRPr="007E702F">
        <w:rPr>
          <w:spacing w:val="-2"/>
        </w:rPr>
        <w:t xml:space="preserve">Michigan </w:t>
      </w:r>
      <w:proofErr w:type="spellStart"/>
      <w:r w:rsidRPr="007E702F">
        <w:t>Press</w:t>
      </w:r>
      <w:proofErr w:type="spellEnd"/>
      <w:proofErr w:type="gramStart"/>
      <w:r w:rsidRPr="007E702F">
        <w:t>. :</w:t>
      </w:r>
      <w:proofErr w:type="gramEnd"/>
      <w:r w:rsidRPr="007E702F">
        <w:t xml:space="preserve"> https://doi.org/https://doi.org/10.3998/mpub.11575987 </w:t>
      </w:r>
      <w:r w:rsidRPr="007E702F">
        <w:lastRenderedPageBreak/>
        <w:t>adresinden alındı</w:t>
      </w:r>
    </w:p>
    <w:p w14:paraId="27EC76D9" w14:textId="77777777" w:rsidR="007E702F" w:rsidRPr="007E702F" w:rsidRDefault="007E702F">
      <w:pPr>
        <w:pStyle w:val="ListeParagraf"/>
        <w:numPr>
          <w:ilvl w:val="0"/>
          <w:numId w:val="22"/>
        </w:numPr>
        <w:tabs>
          <w:tab w:val="left" w:pos="1054"/>
          <w:tab w:val="left" w:pos="1056"/>
        </w:tabs>
        <w:ind w:right="338"/>
        <w:contextualSpacing w:val="0"/>
        <w:jc w:val="both"/>
      </w:pPr>
      <w:proofErr w:type="spellStart"/>
      <w:proofErr w:type="gramStart"/>
      <w:r w:rsidRPr="007E702F">
        <w:t>Stiker</w:t>
      </w:r>
      <w:proofErr w:type="spellEnd"/>
      <w:r w:rsidRPr="007E702F">
        <w:t>,,</w:t>
      </w:r>
      <w:proofErr w:type="gramEnd"/>
      <w:r w:rsidRPr="007E702F">
        <w:t xml:space="preserve"> H, J.;. (2019: xxi). </w:t>
      </w:r>
      <w:r w:rsidRPr="007E702F">
        <w:rPr>
          <w:i/>
        </w:rPr>
        <w:t xml:space="preserve">A </w:t>
      </w:r>
      <w:proofErr w:type="spellStart"/>
      <w:r w:rsidRPr="007E702F">
        <w:rPr>
          <w:i/>
        </w:rPr>
        <w:t>History</w:t>
      </w:r>
      <w:proofErr w:type="spellEnd"/>
      <w:r w:rsidRPr="007E702F">
        <w:rPr>
          <w:i/>
        </w:rPr>
        <w:t xml:space="preserve"> of </w:t>
      </w:r>
      <w:proofErr w:type="spellStart"/>
      <w:r w:rsidRPr="007E702F">
        <w:rPr>
          <w:i/>
        </w:rPr>
        <w:t>Disability</w:t>
      </w:r>
      <w:proofErr w:type="spellEnd"/>
      <w:r w:rsidRPr="007E702F">
        <w:rPr>
          <w:i/>
        </w:rPr>
        <w:t xml:space="preserve"> (New </w:t>
      </w:r>
      <w:proofErr w:type="spellStart"/>
      <w:r w:rsidRPr="007E702F">
        <w:rPr>
          <w:i/>
        </w:rPr>
        <w:t>edition</w:t>
      </w:r>
      <w:proofErr w:type="spellEnd"/>
      <w:r w:rsidRPr="007E702F">
        <w:rPr>
          <w:i/>
        </w:rPr>
        <w:t xml:space="preserve">). </w:t>
      </w:r>
      <w:proofErr w:type="spellStart"/>
      <w:r w:rsidRPr="007E702F">
        <w:t>The</w:t>
      </w:r>
      <w:proofErr w:type="spellEnd"/>
      <w:r w:rsidRPr="007E702F">
        <w:t xml:space="preserve"> </w:t>
      </w:r>
      <w:proofErr w:type="spellStart"/>
      <w:r w:rsidRPr="007E702F">
        <w:t>University</w:t>
      </w:r>
      <w:proofErr w:type="spellEnd"/>
      <w:r w:rsidRPr="007E702F">
        <w:t xml:space="preserve"> of Michigan </w:t>
      </w:r>
      <w:proofErr w:type="spellStart"/>
      <w:r w:rsidRPr="007E702F">
        <w:t>Press</w:t>
      </w:r>
      <w:proofErr w:type="spellEnd"/>
      <w:r w:rsidRPr="007E702F">
        <w:t>.: https://doi.org/https://doi.org/10.3998/mpub.11575987 adresinden alındı</w:t>
      </w:r>
    </w:p>
    <w:p w14:paraId="777512A3" w14:textId="76E06D64" w:rsidR="00661282" w:rsidRDefault="007E702F">
      <w:pPr>
        <w:pStyle w:val="ListeParagraf"/>
        <w:numPr>
          <w:ilvl w:val="0"/>
          <w:numId w:val="22"/>
        </w:numPr>
        <w:tabs>
          <w:tab w:val="left" w:pos="1054"/>
          <w:tab w:val="left" w:pos="1056"/>
        </w:tabs>
        <w:ind w:right="338"/>
        <w:contextualSpacing w:val="0"/>
        <w:jc w:val="both"/>
      </w:pPr>
      <w:proofErr w:type="spellStart"/>
      <w:proofErr w:type="gramStart"/>
      <w:r w:rsidRPr="007E702F">
        <w:t>Zittlau</w:t>
      </w:r>
      <w:proofErr w:type="spellEnd"/>
      <w:r w:rsidRPr="007E702F">
        <w:t>,,</w:t>
      </w:r>
      <w:proofErr w:type="gramEnd"/>
      <w:r w:rsidRPr="007E702F">
        <w:rPr>
          <w:spacing w:val="-5"/>
        </w:rPr>
        <w:t xml:space="preserve"> </w:t>
      </w:r>
      <w:r w:rsidRPr="007E702F">
        <w:t>A.</w:t>
      </w:r>
      <w:r w:rsidRPr="007E702F">
        <w:rPr>
          <w:spacing w:val="-5"/>
        </w:rPr>
        <w:t xml:space="preserve"> </w:t>
      </w:r>
      <w:r w:rsidRPr="007E702F">
        <w:t>(2018:</w:t>
      </w:r>
      <w:r w:rsidRPr="007E702F">
        <w:rPr>
          <w:spacing w:val="-5"/>
        </w:rPr>
        <w:t xml:space="preserve"> </w:t>
      </w:r>
      <w:r w:rsidRPr="007E702F">
        <w:t>381</w:t>
      </w:r>
      <w:r w:rsidRPr="007E702F">
        <w:rPr>
          <w:spacing w:val="-5"/>
        </w:rPr>
        <w:t xml:space="preserve"> </w:t>
      </w:r>
      <w:r w:rsidRPr="007E702F">
        <w:t>-393).</w:t>
      </w:r>
      <w:r w:rsidRPr="007E702F">
        <w:rPr>
          <w:spacing w:val="-5"/>
        </w:rPr>
        <w:t xml:space="preserve"> </w:t>
      </w:r>
      <w:proofErr w:type="spellStart"/>
      <w:r w:rsidRPr="007E702F">
        <w:rPr>
          <w:i/>
        </w:rPr>
        <w:t>The</w:t>
      </w:r>
      <w:proofErr w:type="spellEnd"/>
      <w:r w:rsidRPr="007E702F">
        <w:rPr>
          <w:i/>
          <w:spacing w:val="-5"/>
        </w:rPr>
        <w:t xml:space="preserve"> </w:t>
      </w:r>
      <w:proofErr w:type="spellStart"/>
      <w:r w:rsidRPr="007E702F">
        <w:rPr>
          <w:i/>
        </w:rPr>
        <w:t>Freak</w:t>
      </w:r>
      <w:proofErr w:type="spellEnd"/>
      <w:r w:rsidRPr="007E702F">
        <w:rPr>
          <w:i/>
        </w:rPr>
        <w:t>-Show</w:t>
      </w:r>
      <w:r w:rsidRPr="007E702F">
        <w:rPr>
          <w:i/>
          <w:spacing w:val="-5"/>
        </w:rPr>
        <w:t xml:space="preserve"> </w:t>
      </w:r>
      <w:proofErr w:type="spellStart"/>
      <w:r w:rsidRPr="007E702F">
        <w:rPr>
          <w:i/>
        </w:rPr>
        <w:t>Act</w:t>
      </w:r>
      <w:proofErr w:type="spellEnd"/>
      <w:r w:rsidRPr="007E702F">
        <w:rPr>
          <w:i/>
        </w:rPr>
        <w:t>:</w:t>
      </w:r>
      <w:r w:rsidRPr="007E702F">
        <w:rPr>
          <w:i/>
          <w:spacing w:val="-5"/>
        </w:rPr>
        <w:t xml:space="preserve"> </w:t>
      </w:r>
      <w:proofErr w:type="spellStart"/>
      <w:r w:rsidRPr="007E702F">
        <w:rPr>
          <w:i/>
        </w:rPr>
        <w:t>Science</w:t>
      </w:r>
      <w:proofErr w:type="spellEnd"/>
      <w:r w:rsidRPr="007E702F">
        <w:rPr>
          <w:i/>
          <w:spacing w:val="-5"/>
        </w:rPr>
        <w:t xml:space="preserve"> </w:t>
      </w:r>
      <w:proofErr w:type="spellStart"/>
      <w:r w:rsidRPr="007E702F">
        <w:rPr>
          <w:i/>
        </w:rPr>
        <w:t>and</w:t>
      </w:r>
      <w:proofErr w:type="spellEnd"/>
      <w:r w:rsidRPr="007E702F">
        <w:rPr>
          <w:i/>
          <w:spacing w:val="-5"/>
        </w:rPr>
        <w:t xml:space="preserve"> </w:t>
      </w:r>
      <w:proofErr w:type="spellStart"/>
      <w:r w:rsidRPr="007E702F">
        <w:rPr>
          <w:i/>
        </w:rPr>
        <w:t>Spectacle</w:t>
      </w:r>
      <w:proofErr w:type="spellEnd"/>
      <w:r w:rsidRPr="007E702F">
        <w:rPr>
          <w:i/>
          <w:spacing w:val="-5"/>
        </w:rPr>
        <w:t xml:space="preserve"> </w:t>
      </w:r>
      <w:r w:rsidRPr="007E702F">
        <w:rPr>
          <w:i/>
        </w:rPr>
        <w:t>in</w:t>
      </w:r>
      <w:r w:rsidRPr="007E702F">
        <w:rPr>
          <w:i/>
          <w:spacing w:val="-5"/>
        </w:rPr>
        <w:t xml:space="preserve"> </w:t>
      </w:r>
      <w:proofErr w:type="spellStart"/>
      <w:r w:rsidRPr="007E702F">
        <w:rPr>
          <w:i/>
        </w:rPr>
        <w:t>The</w:t>
      </w:r>
      <w:proofErr w:type="spellEnd"/>
      <w:r w:rsidRPr="007E702F">
        <w:rPr>
          <w:i/>
          <w:spacing w:val="-5"/>
        </w:rPr>
        <w:t xml:space="preserve"> </w:t>
      </w:r>
      <w:proofErr w:type="spellStart"/>
      <w:r w:rsidRPr="007E702F">
        <w:rPr>
          <w:i/>
        </w:rPr>
        <w:t>Nineteenth</w:t>
      </w:r>
      <w:proofErr w:type="spellEnd"/>
      <w:r w:rsidRPr="007E702F">
        <w:rPr>
          <w:i/>
        </w:rPr>
        <w:t xml:space="preserve"> Century. </w:t>
      </w:r>
      <w:proofErr w:type="spellStart"/>
      <w:r w:rsidRPr="007E702F">
        <w:t>The</w:t>
      </w:r>
      <w:proofErr w:type="spellEnd"/>
      <w:r w:rsidRPr="007E702F">
        <w:t xml:space="preserve"> </w:t>
      </w:r>
      <w:proofErr w:type="spellStart"/>
      <w:r w:rsidRPr="007E702F">
        <w:t>Routledge</w:t>
      </w:r>
      <w:proofErr w:type="spellEnd"/>
      <w:r w:rsidRPr="007E702F">
        <w:t xml:space="preserve"> </w:t>
      </w:r>
      <w:proofErr w:type="spellStart"/>
      <w:r w:rsidRPr="007E702F">
        <w:t>History</w:t>
      </w:r>
      <w:proofErr w:type="spellEnd"/>
      <w:r w:rsidRPr="007E702F">
        <w:t xml:space="preserve"> of </w:t>
      </w:r>
      <w:proofErr w:type="spellStart"/>
      <w:r w:rsidRPr="007E702F">
        <w:t>Disability</w:t>
      </w:r>
      <w:proofErr w:type="spellEnd"/>
      <w:r w:rsidRPr="007E702F">
        <w:t xml:space="preserve">. Ed: </w:t>
      </w:r>
      <w:proofErr w:type="spellStart"/>
      <w:proofErr w:type="gramStart"/>
      <w:r w:rsidRPr="007E702F">
        <w:t>Hanes,R</w:t>
      </w:r>
      <w:proofErr w:type="spellEnd"/>
      <w:r w:rsidRPr="007E702F">
        <w:t>.</w:t>
      </w:r>
      <w:proofErr w:type="gramEnd"/>
      <w:r w:rsidRPr="007E702F">
        <w:t xml:space="preserve">, Brown, I ve Hansen, N. E. New York: </w:t>
      </w:r>
      <w:proofErr w:type="spellStart"/>
      <w:r w:rsidRPr="007E702F">
        <w:t>Routledge</w:t>
      </w:r>
      <w:proofErr w:type="spellEnd"/>
      <w:r w:rsidRPr="007E702F">
        <w:t>.</w:t>
      </w:r>
    </w:p>
    <w:p w14:paraId="4297D5F1" w14:textId="57370F80" w:rsidR="007E702F" w:rsidRPr="00661282" w:rsidRDefault="00661282" w:rsidP="00316176">
      <w:pPr>
        <w:autoSpaceDE/>
        <w:autoSpaceDN/>
      </w:pPr>
      <w:r>
        <w:br w:type="page"/>
      </w:r>
    </w:p>
    <w:p w14:paraId="20A1572E" w14:textId="689A49E3" w:rsidR="00316176" w:rsidRPr="00316176" w:rsidRDefault="001E7189" w:rsidP="00316176">
      <w:pPr>
        <w:pStyle w:val="Tark"/>
      </w:pPr>
      <w:bookmarkStart w:id="228" w:name="_Toc192855251"/>
      <w:r w:rsidRPr="002906A3">
        <w:lastRenderedPageBreak/>
        <w:t>Annelik, Gönüllü Olabilir Mi</w:t>
      </w:r>
      <w:r w:rsidR="00A4535A">
        <w:t>?</w:t>
      </w:r>
      <w:bookmarkEnd w:id="228"/>
    </w:p>
    <w:p w14:paraId="074F6660" w14:textId="77777777" w:rsidR="001E7189" w:rsidRPr="002906A3" w:rsidRDefault="001E7189" w:rsidP="001E7189">
      <w:pPr>
        <w:jc w:val="center"/>
      </w:pPr>
      <w:proofErr w:type="spellStart"/>
      <w:r w:rsidRPr="002906A3">
        <w:t>Kinem</w:t>
      </w:r>
      <w:proofErr w:type="spellEnd"/>
      <w:r w:rsidRPr="002906A3">
        <w:t xml:space="preserve"> Tokdemir</w:t>
      </w:r>
      <w:r w:rsidRPr="002906A3">
        <w:br/>
        <w:t>Arş. Gör. Dr., İstanbul Beykent Üniversitesi, Siyaset Bilimi ve Kamu Yönetimi (İngilizce)</w:t>
      </w:r>
    </w:p>
    <w:p w14:paraId="0C172720" w14:textId="71A78C2A" w:rsidR="001E7189" w:rsidRPr="002906A3" w:rsidRDefault="001E7189" w:rsidP="001E7189">
      <w:pPr>
        <w:jc w:val="center"/>
      </w:pPr>
      <w:r w:rsidRPr="002906A3">
        <w:t>kinemtokdemir@beykent.edu.tr</w:t>
      </w:r>
      <w:r w:rsidRPr="002906A3">
        <w:br/>
        <w:t>0000-0003-4149-1726</w:t>
      </w:r>
    </w:p>
    <w:p w14:paraId="3B29D77E" w14:textId="77777777" w:rsidR="001E7189" w:rsidRPr="002906A3" w:rsidRDefault="001E7189" w:rsidP="001E7189">
      <w:pPr>
        <w:jc w:val="both"/>
      </w:pPr>
    </w:p>
    <w:p w14:paraId="4F3CD8DC" w14:textId="77777777" w:rsidR="001E7189" w:rsidRPr="002906A3" w:rsidRDefault="001E7189" w:rsidP="001E7189">
      <w:pPr>
        <w:jc w:val="center"/>
        <w:rPr>
          <w:b/>
          <w:bCs/>
        </w:rPr>
      </w:pPr>
      <w:r w:rsidRPr="002906A3">
        <w:rPr>
          <w:b/>
          <w:bCs/>
        </w:rPr>
        <w:t>Özet</w:t>
      </w:r>
    </w:p>
    <w:p w14:paraId="6C5852D3" w14:textId="77777777" w:rsidR="001E7189" w:rsidRDefault="001E7189" w:rsidP="001E7189">
      <w:pPr>
        <w:jc w:val="both"/>
      </w:pPr>
      <w:r w:rsidRPr="002906A3">
        <w:t xml:space="preserve">Kadınlık durumu problematiğinden yola çıkan bu yazının amacı; cinsiyetçi ikiyüzlülük kavramı bağlamında anneliğin gönüllülükle tercih edilmesi meselesini ve anneliğe dair açmazları çözümlemektir. Ataerkil toplumsallaşma içinde her kadının bir gün anne olacağı fikri egemen olduğundan hem toplumsal cinsiyet rolleri gereğince annelik kimliği doğallaştırılmaktadır hem de annelik kimliğinin kadın kimliğinin ayrılmaz bir parçası olduğu fikri, meşrulaştırılmaktadır. Bu nedenledir ki kadınlar, annelik rolü ile sınırlandırılmakta; bu sınırlar içinde kimi zaman da cinsiyetçi ikiyüzlülüğe varacak şekilde gönüllülükle geleneksel anneliğe dair norm ve değerleri, yeniden üretmektedirler. Üstelik kadınlar, Birinci Dalga Kadın Hareketi’nin kazanımlarıyla “toplumsal anneliğe” sıkıştırılırken/mecbur edilirken; annelik, özellikle, İkinci Dalga Kadın Hareketi’nin ardından “farlılıklara rağmen eşitlik” vurgusu ile muteber bir rol olarak kadının hayatına geri dönmüştür. Bu bağlamda, anne olmaya ya da olmamaya karar vermenin tercih ve zorunluluk boyutu, “Annelik, gönüllü olabilir mi?” sorusunu gündeme getirir. Egemenlik ilişkileri içinde anneliği tercih </w:t>
      </w:r>
      <w:proofErr w:type="gramStart"/>
      <w:r w:rsidRPr="002906A3">
        <w:t>et(</w:t>
      </w:r>
      <w:proofErr w:type="gramEnd"/>
      <w:r w:rsidRPr="002906A3">
        <w:t>me)</w:t>
      </w:r>
      <w:proofErr w:type="spellStart"/>
      <w:r w:rsidRPr="002906A3">
        <w:t>mekten</w:t>
      </w:r>
      <w:proofErr w:type="spellEnd"/>
      <w:r w:rsidRPr="002906A3">
        <w:t xml:space="preserve"> ziyade çocuksuzluğu tercih etmek fikri, ataerkil sistemin sınırlarına takılmaktadır; zira kutsallaştırılan annelik mertebesini tercih etmemek doğal karşılanmadığı gibi akıllara dahi gelmemektedir. Kadınlık kimliğine dair bilinç düzeyi arttıkça, kadınların, çocuk sahibi olmadan bir yaşam sürdürmesindeki makul gerekçeler de değişmektedir. Ancak anneliğin kutsallığına dokunulmadığı gibi her eğitim ve </w:t>
      </w:r>
      <w:proofErr w:type="spellStart"/>
      <w:r w:rsidRPr="002906A3">
        <w:t>sosyo</w:t>
      </w:r>
      <w:proofErr w:type="spellEnd"/>
      <w:r w:rsidRPr="002906A3">
        <w:t xml:space="preserve">-ekonomik seviyeden kadınlar tarafından da annelik, yüceltilmektedir. Bu kapsamda, çalışmanın temel amacı, kadının hem bireysel hem de toplumsal yaşamda statüsünü belirleyen annelik kimliğini, annelikten bağımsızlaşan yeni bir kadın kimliğinin imkânlarını da tartışarak, eleştirel bir perspektiften değerlendirmektir. Ataerkil sistem, annelik konusunda kadınları her yönden sıkıştırsa da çocuksuz bir yaşamı tercih eden kadınların varlığının görünür olmaya gelmeye başlaması, çalışmanın temel hipotezidir. Özetle, bu yazıda ilk olarak annelik kimliği ve rolü bağlamında cinsiyetçi ikiyüzlülük kavramı </w:t>
      </w:r>
      <w:proofErr w:type="spellStart"/>
      <w:r w:rsidRPr="002906A3">
        <w:t>açımlanacaktır</w:t>
      </w:r>
      <w:proofErr w:type="spellEnd"/>
      <w:r w:rsidRPr="002906A3">
        <w:t>. Daha sonra ise, annelik kimliği ve kadınlık kimliğine dair tartışmalara yer verilecek ve anneliğin gönüllülükle tercih edilmesi meselesi üzerinde durulacaktır.</w:t>
      </w:r>
    </w:p>
    <w:p w14:paraId="03B8657C" w14:textId="77777777" w:rsidR="00B24CA3" w:rsidRPr="002906A3" w:rsidRDefault="00B24CA3" w:rsidP="001E7189">
      <w:pPr>
        <w:jc w:val="both"/>
      </w:pPr>
    </w:p>
    <w:p w14:paraId="136E5FDE" w14:textId="769D099A" w:rsidR="001E7189" w:rsidRPr="002906A3" w:rsidRDefault="001E7189" w:rsidP="001E7189">
      <w:pPr>
        <w:jc w:val="both"/>
      </w:pPr>
      <w:r w:rsidRPr="002906A3">
        <w:rPr>
          <w:b/>
        </w:rPr>
        <w:t xml:space="preserve">Anahtar Kelimeler: </w:t>
      </w:r>
      <w:r w:rsidRPr="002906A3">
        <w:t>Kadınlık Durumu, Annelik, Birinci ve İkinci Dalga Kadın Hareketi, Cinsiyetçi İkiyüzlülük, Gönüllü Olarak Anne Olmak</w:t>
      </w:r>
    </w:p>
    <w:p w14:paraId="2A33B8A3" w14:textId="77777777" w:rsidR="006871AB" w:rsidRPr="002906A3" w:rsidRDefault="006871AB" w:rsidP="001E7189">
      <w:pPr>
        <w:jc w:val="both"/>
      </w:pPr>
    </w:p>
    <w:p w14:paraId="0C423171" w14:textId="437EDB82" w:rsidR="001E7189" w:rsidRPr="00A4535A" w:rsidRDefault="001E7189" w:rsidP="004C7694">
      <w:pPr>
        <w:pStyle w:val="Tark"/>
      </w:pPr>
      <w:bookmarkStart w:id="229" w:name="_Toc192855252"/>
      <w:r w:rsidRPr="002906A3">
        <w:t xml:space="preserve">Can </w:t>
      </w:r>
      <w:proofErr w:type="spellStart"/>
      <w:r w:rsidRPr="002906A3">
        <w:t>Motherhood</w:t>
      </w:r>
      <w:proofErr w:type="spellEnd"/>
      <w:r w:rsidRPr="002906A3">
        <w:t xml:space="preserve"> Be </w:t>
      </w:r>
      <w:proofErr w:type="spellStart"/>
      <w:r w:rsidRPr="002906A3">
        <w:t>Voluntary</w:t>
      </w:r>
      <w:proofErr w:type="spellEnd"/>
      <w:r w:rsidRPr="002906A3">
        <w:t>?</w:t>
      </w:r>
      <w:bookmarkEnd w:id="229"/>
    </w:p>
    <w:p w14:paraId="66223637" w14:textId="5419E943" w:rsidR="001E7189" w:rsidRPr="00B24CA3" w:rsidRDefault="001E7189" w:rsidP="00B24CA3">
      <w:pPr>
        <w:jc w:val="center"/>
        <w:rPr>
          <w:b/>
        </w:rPr>
      </w:pPr>
      <w:proofErr w:type="spellStart"/>
      <w:r w:rsidRPr="002906A3">
        <w:rPr>
          <w:b/>
        </w:rPr>
        <w:t>Abstract</w:t>
      </w:r>
      <w:proofErr w:type="spellEnd"/>
    </w:p>
    <w:p w14:paraId="4986CFE5" w14:textId="01864898" w:rsidR="001E7189" w:rsidRPr="002906A3" w:rsidRDefault="001E7189" w:rsidP="001E7189">
      <w:pPr>
        <w:jc w:val="both"/>
      </w:pPr>
      <w:proofErr w:type="spellStart"/>
      <w:r w:rsidRPr="002906A3">
        <w:t>This</w:t>
      </w:r>
      <w:proofErr w:type="spellEnd"/>
      <w:r w:rsidRPr="002906A3">
        <w:t xml:space="preserve"> </w:t>
      </w:r>
      <w:proofErr w:type="spellStart"/>
      <w:r w:rsidRPr="002906A3">
        <w:t>paper</w:t>
      </w:r>
      <w:proofErr w:type="spellEnd"/>
      <w:r w:rsidRPr="002906A3">
        <w:t xml:space="preserve">, </w:t>
      </w:r>
      <w:proofErr w:type="spellStart"/>
      <w:r w:rsidRPr="002906A3">
        <w:t>which</w:t>
      </w:r>
      <w:proofErr w:type="spellEnd"/>
      <w:r w:rsidRPr="002906A3">
        <w:t xml:space="preserve"> </w:t>
      </w:r>
      <w:proofErr w:type="spellStart"/>
      <w:r w:rsidRPr="002906A3">
        <w:t>begins</w:t>
      </w:r>
      <w:proofErr w:type="spellEnd"/>
      <w:r w:rsidRPr="002906A3">
        <w:t xml:space="preserve"> </w:t>
      </w:r>
      <w:proofErr w:type="spellStart"/>
      <w:r w:rsidRPr="002906A3">
        <w:t>with</w:t>
      </w:r>
      <w:proofErr w:type="spellEnd"/>
      <w:r w:rsidRPr="002906A3">
        <w:t xml:space="preserve"> </w:t>
      </w:r>
      <w:proofErr w:type="spellStart"/>
      <w:r w:rsidRPr="002906A3">
        <w:t>the</w:t>
      </w:r>
      <w:proofErr w:type="spellEnd"/>
      <w:r w:rsidRPr="002906A3">
        <w:t xml:space="preserve"> </w:t>
      </w:r>
      <w:proofErr w:type="spellStart"/>
      <w:r w:rsidRPr="002906A3">
        <w:t>problematic</w:t>
      </w:r>
      <w:proofErr w:type="spellEnd"/>
      <w:r w:rsidRPr="002906A3">
        <w:t xml:space="preserve"> of </w:t>
      </w:r>
      <w:proofErr w:type="spellStart"/>
      <w:r w:rsidRPr="002906A3">
        <w:t>the</w:t>
      </w:r>
      <w:proofErr w:type="spellEnd"/>
      <w:r w:rsidRPr="002906A3">
        <w:t xml:space="preserve"> </w:t>
      </w:r>
      <w:proofErr w:type="spellStart"/>
      <w:r w:rsidRPr="002906A3">
        <w:t>condition</w:t>
      </w:r>
      <w:proofErr w:type="spellEnd"/>
      <w:r w:rsidRPr="002906A3">
        <w:t xml:space="preserve"> of </w:t>
      </w:r>
      <w:proofErr w:type="spellStart"/>
      <w:r w:rsidRPr="002906A3">
        <w:t>femininity</w:t>
      </w:r>
      <w:proofErr w:type="spellEnd"/>
      <w:r w:rsidRPr="002906A3">
        <w:t xml:space="preserve">, </w:t>
      </w:r>
      <w:proofErr w:type="spellStart"/>
      <w:r w:rsidRPr="002906A3">
        <w:t>aims</w:t>
      </w:r>
      <w:proofErr w:type="spellEnd"/>
      <w:r w:rsidRPr="002906A3">
        <w:t xml:space="preserve"> </w:t>
      </w:r>
      <w:proofErr w:type="spellStart"/>
      <w:r w:rsidRPr="002906A3">
        <w:t>to</w:t>
      </w:r>
      <w:proofErr w:type="spellEnd"/>
      <w:r w:rsidRPr="002906A3">
        <w:t xml:space="preserve"> </w:t>
      </w:r>
      <w:proofErr w:type="spellStart"/>
      <w:r w:rsidRPr="002906A3">
        <w:t>analyze</w:t>
      </w:r>
      <w:proofErr w:type="spellEnd"/>
      <w:r w:rsidRPr="002906A3">
        <w:t xml:space="preserve"> </w:t>
      </w:r>
      <w:proofErr w:type="spellStart"/>
      <w:r w:rsidRPr="002906A3">
        <w:t>the</w:t>
      </w:r>
      <w:proofErr w:type="spellEnd"/>
      <w:r w:rsidRPr="002906A3">
        <w:t xml:space="preserve"> </w:t>
      </w:r>
      <w:proofErr w:type="spellStart"/>
      <w:r w:rsidRPr="002906A3">
        <w:t>issue</w:t>
      </w:r>
      <w:proofErr w:type="spellEnd"/>
      <w:r w:rsidRPr="002906A3">
        <w:t xml:space="preserve"> of </w:t>
      </w:r>
      <w:proofErr w:type="spellStart"/>
      <w:r w:rsidRPr="002906A3">
        <w:t>choosing</w:t>
      </w:r>
      <w:proofErr w:type="spellEnd"/>
      <w:r w:rsidRPr="002906A3">
        <w:t xml:space="preserve"> </w:t>
      </w:r>
      <w:proofErr w:type="spellStart"/>
      <w:r w:rsidRPr="002906A3">
        <w:t>motherhood</w:t>
      </w:r>
      <w:proofErr w:type="spellEnd"/>
      <w:r w:rsidRPr="002906A3">
        <w:t xml:space="preserve"> </w:t>
      </w:r>
      <w:proofErr w:type="spellStart"/>
      <w:r w:rsidRPr="002906A3">
        <w:t>voluntarily</w:t>
      </w:r>
      <w:proofErr w:type="spellEnd"/>
      <w:r w:rsidRPr="002906A3">
        <w:t xml:space="preserve"> </w:t>
      </w:r>
      <w:proofErr w:type="spellStart"/>
      <w:r w:rsidRPr="002906A3">
        <w:t>within</w:t>
      </w:r>
      <w:proofErr w:type="spellEnd"/>
      <w:r w:rsidRPr="002906A3">
        <w:t xml:space="preserve"> </w:t>
      </w:r>
      <w:proofErr w:type="spellStart"/>
      <w:r w:rsidRPr="002906A3">
        <w:t>the</w:t>
      </w:r>
      <w:proofErr w:type="spellEnd"/>
      <w:r w:rsidRPr="002906A3">
        <w:t xml:space="preserve"> </w:t>
      </w:r>
      <w:proofErr w:type="spellStart"/>
      <w:r w:rsidRPr="002906A3">
        <w:t>context</w:t>
      </w:r>
      <w:proofErr w:type="spellEnd"/>
      <w:r w:rsidRPr="002906A3">
        <w:t xml:space="preserve"> of </w:t>
      </w:r>
      <w:proofErr w:type="spellStart"/>
      <w:r w:rsidRPr="002906A3">
        <w:t>the</w:t>
      </w:r>
      <w:proofErr w:type="spellEnd"/>
      <w:r w:rsidRPr="002906A3">
        <w:t xml:space="preserve"> </w:t>
      </w:r>
      <w:proofErr w:type="spellStart"/>
      <w:r w:rsidRPr="002906A3">
        <w:t>concept</w:t>
      </w:r>
      <w:proofErr w:type="spellEnd"/>
      <w:r w:rsidRPr="002906A3">
        <w:t xml:space="preserve"> of </w:t>
      </w:r>
      <w:proofErr w:type="spellStart"/>
      <w:r w:rsidRPr="002906A3">
        <w:t>sexist</w:t>
      </w:r>
      <w:proofErr w:type="spellEnd"/>
      <w:r w:rsidRPr="002906A3">
        <w:t xml:space="preserve"> </w:t>
      </w:r>
      <w:proofErr w:type="spellStart"/>
      <w:r w:rsidRPr="002906A3">
        <w:t>hypocrisy</w:t>
      </w:r>
      <w:proofErr w:type="spellEnd"/>
      <w:r w:rsidRPr="002906A3">
        <w:t xml:space="preserve"> </w:t>
      </w:r>
      <w:proofErr w:type="spellStart"/>
      <w:r w:rsidRPr="002906A3">
        <w:t>and</w:t>
      </w:r>
      <w:proofErr w:type="spellEnd"/>
      <w:r w:rsidRPr="002906A3">
        <w:t xml:space="preserve"> </w:t>
      </w:r>
      <w:proofErr w:type="spellStart"/>
      <w:r w:rsidRPr="002906A3">
        <w:t>to</w:t>
      </w:r>
      <w:proofErr w:type="spellEnd"/>
      <w:r w:rsidRPr="002906A3">
        <w:t xml:space="preserve"> </w:t>
      </w:r>
      <w:proofErr w:type="spellStart"/>
      <w:r w:rsidRPr="002906A3">
        <w:t>address</w:t>
      </w:r>
      <w:proofErr w:type="spellEnd"/>
      <w:r w:rsidRPr="002906A3">
        <w:t xml:space="preserve"> </w:t>
      </w:r>
      <w:proofErr w:type="spellStart"/>
      <w:r w:rsidRPr="002906A3">
        <w:t>the</w:t>
      </w:r>
      <w:proofErr w:type="spellEnd"/>
      <w:r w:rsidRPr="002906A3">
        <w:t xml:space="preserve"> </w:t>
      </w:r>
      <w:proofErr w:type="spellStart"/>
      <w:r w:rsidRPr="002906A3">
        <w:t>dilemmas</w:t>
      </w:r>
      <w:proofErr w:type="spellEnd"/>
      <w:r w:rsidRPr="002906A3">
        <w:t xml:space="preserve"> </w:t>
      </w:r>
      <w:proofErr w:type="spellStart"/>
      <w:r w:rsidRPr="002906A3">
        <w:t>surrounding</w:t>
      </w:r>
      <w:proofErr w:type="spellEnd"/>
      <w:r w:rsidRPr="002906A3">
        <w:t xml:space="preserve"> </w:t>
      </w:r>
      <w:proofErr w:type="spellStart"/>
      <w:r w:rsidRPr="002906A3">
        <w:t>motherhood</w:t>
      </w:r>
      <w:proofErr w:type="spellEnd"/>
      <w:r w:rsidRPr="002906A3">
        <w:t xml:space="preserve">. </w:t>
      </w:r>
      <w:proofErr w:type="spellStart"/>
      <w:r w:rsidRPr="002906A3">
        <w:t>In</w:t>
      </w:r>
      <w:proofErr w:type="spellEnd"/>
      <w:r w:rsidRPr="002906A3">
        <w:t xml:space="preserve"> </w:t>
      </w:r>
      <w:proofErr w:type="spellStart"/>
      <w:r w:rsidRPr="002906A3">
        <w:t>patriarchal</w:t>
      </w:r>
      <w:proofErr w:type="spellEnd"/>
      <w:r w:rsidRPr="002906A3">
        <w:t xml:space="preserve"> </w:t>
      </w:r>
      <w:proofErr w:type="spellStart"/>
      <w:r w:rsidRPr="002906A3">
        <w:t>socialization</w:t>
      </w:r>
      <w:proofErr w:type="spellEnd"/>
      <w:r w:rsidRPr="002906A3">
        <w:t xml:space="preserve">, </w:t>
      </w:r>
      <w:proofErr w:type="spellStart"/>
      <w:r w:rsidRPr="002906A3">
        <w:t>the</w:t>
      </w:r>
      <w:proofErr w:type="spellEnd"/>
      <w:r w:rsidRPr="002906A3">
        <w:t xml:space="preserve"> idea </w:t>
      </w:r>
      <w:proofErr w:type="spellStart"/>
      <w:r w:rsidRPr="002906A3">
        <w:t>that</w:t>
      </w:r>
      <w:proofErr w:type="spellEnd"/>
      <w:r w:rsidRPr="002906A3">
        <w:t xml:space="preserve"> </w:t>
      </w:r>
      <w:proofErr w:type="spellStart"/>
      <w:r w:rsidRPr="002906A3">
        <w:t>every</w:t>
      </w:r>
      <w:proofErr w:type="spellEnd"/>
      <w:r w:rsidRPr="002906A3">
        <w:t xml:space="preserve"> </w:t>
      </w:r>
      <w:proofErr w:type="spellStart"/>
      <w:r w:rsidRPr="002906A3">
        <w:t>woman</w:t>
      </w:r>
      <w:proofErr w:type="spellEnd"/>
      <w:r w:rsidRPr="002906A3">
        <w:t xml:space="preserve"> </w:t>
      </w:r>
      <w:proofErr w:type="spellStart"/>
      <w:r w:rsidRPr="002906A3">
        <w:t>will</w:t>
      </w:r>
      <w:proofErr w:type="spellEnd"/>
      <w:r w:rsidRPr="002906A3">
        <w:t xml:space="preserve"> </w:t>
      </w:r>
      <w:proofErr w:type="spellStart"/>
      <w:r w:rsidRPr="002906A3">
        <w:t>eventually</w:t>
      </w:r>
      <w:proofErr w:type="spellEnd"/>
      <w:r w:rsidRPr="002906A3">
        <w:t xml:space="preserve"> </w:t>
      </w:r>
      <w:proofErr w:type="spellStart"/>
      <w:r w:rsidRPr="002906A3">
        <w:t>become</w:t>
      </w:r>
      <w:proofErr w:type="spellEnd"/>
      <w:r w:rsidRPr="002906A3">
        <w:t xml:space="preserve"> a </w:t>
      </w:r>
      <w:proofErr w:type="spellStart"/>
      <w:r w:rsidRPr="002906A3">
        <w:t>mother</w:t>
      </w:r>
      <w:proofErr w:type="spellEnd"/>
      <w:r w:rsidRPr="002906A3">
        <w:t xml:space="preserve"> is </w:t>
      </w:r>
      <w:proofErr w:type="gramStart"/>
      <w:r w:rsidRPr="002906A3">
        <w:t>dominant</w:t>
      </w:r>
      <w:proofErr w:type="gramEnd"/>
      <w:r w:rsidRPr="002906A3">
        <w:t xml:space="preserve">. As a </w:t>
      </w:r>
      <w:proofErr w:type="spellStart"/>
      <w:r w:rsidRPr="002906A3">
        <w:t>result</w:t>
      </w:r>
      <w:proofErr w:type="spellEnd"/>
      <w:r w:rsidRPr="002906A3">
        <w:t xml:space="preserve">, </w:t>
      </w:r>
      <w:proofErr w:type="spellStart"/>
      <w:r w:rsidRPr="002906A3">
        <w:t>both</w:t>
      </w:r>
      <w:proofErr w:type="spellEnd"/>
      <w:r w:rsidRPr="002906A3">
        <w:t xml:space="preserve"> </w:t>
      </w:r>
      <w:proofErr w:type="spellStart"/>
      <w:r w:rsidRPr="002906A3">
        <w:t>the</w:t>
      </w:r>
      <w:proofErr w:type="spellEnd"/>
      <w:r w:rsidRPr="002906A3">
        <w:t xml:space="preserve"> </w:t>
      </w:r>
      <w:proofErr w:type="spellStart"/>
      <w:r w:rsidRPr="002906A3">
        <w:t>maternal</w:t>
      </w:r>
      <w:proofErr w:type="spellEnd"/>
      <w:r w:rsidRPr="002906A3">
        <w:t xml:space="preserve"> </w:t>
      </w:r>
      <w:proofErr w:type="spellStart"/>
      <w:r w:rsidRPr="002906A3">
        <w:t>identity</w:t>
      </w:r>
      <w:proofErr w:type="spellEnd"/>
      <w:r w:rsidRPr="002906A3">
        <w:t xml:space="preserve"> is </w:t>
      </w:r>
      <w:proofErr w:type="spellStart"/>
      <w:r w:rsidRPr="002906A3">
        <w:t>naturalized</w:t>
      </w:r>
      <w:proofErr w:type="spellEnd"/>
      <w:r w:rsidRPr="002906A3">
        <w:t xml:space="preserve"> </w:t>
      </w:r>
      <w:proofErr w:type="spellStart"/>
      <w:r w:rsidRPr="002906A3">
        <w:t>through</w:t>
      </w:r>
      <w:proofErr w:type="spellEnd"/>
      <w:r w:rsidRPr="002906A3">
        <w:t xml:space="preserve"> </w:t>
      </w:r>
      <w:proofErr w:type="spellStart"/>
      <w:r w:rsidRPr="002906A3">
        <w:t>gender</w:t>
      </w:r>
      <w:proofErr w:type="spellEnd"/>
      <w:r w:rsidRPr="002906A3">
        <w:t xml:space="preserve"> </w:t>
      </w:r>
      <w:proofErr w:type="spellStart"/>
      <w:r w:rsidRPr="002906A3">
        <w:t>roles</w:t>
      </w:r>
      <w:proofErr w:type="spellEnd"/>
      <w:r w:rsidRPr="002906A3">
        <w:t xml:space="preserve">, </w:t>
      </w:r>
      <w:proofErr w:type="spellStart"/>
      <w:r w:rsidRPr="002906A3">
        <w:t>and</w:t>
      </w:r>
      <w:proofErr w:type="spellEnd"/>
      <w:r w:rsidRPr="002906A3">
        <w:t xml:space="preserve"> </w:t>
      </w:r>
      <w:proofErr w:type="spellStart"/>
      <w:r w:rsidRPr="002906A3">
        <w:t>the</w:t>
      </w:r>
      <w:proofErr w:type="spellEnd"/>
      <w:r w:rsidRPr="002906A3">
        <w:t xml:space="preserve"> idea </w:t>
      </w:r>
      <w:proofErr w:type="spellStart"/>
      <w:r w:rsidRPr="002906A3">
        <w:t>that</w:t>
      </w:r>
      <w:proofErr w:type="spellEnd"/>
      <w:r w:rsidRPr="002906A3">
        <w:t xml:space="preserve"> </w:t>
      </w:r>
      <w:proofErr w:type="spellStart"/>
      <w:r w:rsidRPr="002906A3">
        <w:t>the</w:t>
      </w:r>
      <w:proofErr w:type="spellEnd"/>
      <w:r w:rsidRPr="002906A3">
        <w:t xml:space="preserve"> </w:t>
      </w:r>
      <w:proofErr w:type="spellStart"/>
      <w:r w:rsidRPr="002906A3">
        <w:t>maternal</w:t>
      </w:r>
      <w:proofErr w:type="spellEnd"/>
      <w:r w:rsidRPr="002906A3">
        <w:t xml:space="preserve"> </w:t>
      </w:r>
      <w:proofErr w:type="spellStart"/>
      <w:r w:rsidRPr="002906A3">
        <w:t>identity</w:t>
      </w:r>
      <w:proofErr w:type="spellEnd"/>
      <w:r w:rsidRPr="002906A3">
        <w:t xml:space="preserve"> is an </w:t>
      </w:r>
      <w:proofErr w:type="spellStart"/>
      <w:r w:rsidRPr="002906A3">
        <w:t>inseparable</w:t>
      </w:r>
      <w:proofErr w:type="spellEnd"/>
      <w:r w:rsidRPr="002906A3">
        <w:t xml:space="preserve"> </w:t>
      </w:r>
      <w:proofErr w:type="spellStart"/>
      <w:r w:rsidRPr="002906A3">
        <w:t>part</w:t>
      </w:r>
      <w:proofErr w:type="spellEnd"/>
      <w:r w:rsidRPr="002906A3">
        <w:t xml:space="preserve"> of </w:t>
      </w:r>
      <w:proofErr w:type="spellStart"/>
      <w:r w:rsidRPr="002906A3">
        <w:t>the</w:t>
      </w:r>
      <w:proofErr w:type="spellEnd"/>
      <w:r w:rsidRPr="002906A3">
        <w:t xml:space="preserve"> </w:t>
      </w:r>
      <w:proofErr w:type="spellStart"/>
      <w:r w:rsidRPr="002906A3">
        <w:t>woman</w:t>
      </w:r>
      <w:proofErr w:type="spellEnd"/>
      <w:r w:rsidRPr="002906A3">
        <w:t xml:space="preserve"> </w:t>
      </w:r>
      <w:proofErr w:type="spellStart"/>
      <w:r w:rsidRPr="002906A3">
        <w:t>identity</w:t>
      </w:r>
      <w:proofErr w:type="spellEnd"/>
      <w:r w:rsidRPr="002906A3">
        <w:t xml:space="preserve"> is </w:t>
      </w:r>
      <w:proofErr w:type="spellStart"/>
      <w:r w:rsidRPr="002906A3">
        <w:t>legitimized</w:t>
      </w:r>
      <w:proofErr w:type="spellEnd"/>
      <w:r w:rsidRPr="002906A3">
        <w:t xml:space="preserve">. </w:t>
      </w:r>
      <w:proofErr w:type="spellStart"/>
      <w:r w:rsidRPr="002906A3">
        <w:t>For</w:t>
      </w:r>
      <w:proofErr w:type="spellEnd"/>
      <w:r w:rsidRPr="002906A3">
        <w:t xml:space="preserve"> </w:t>
      </w:r>
      <w:proofErr w:type="spellStart"/>
      <w:r w:rsidRPr="002906A3">
        <w:t>this</w:t>
      </w:r>
      <w:proofErr w:type="spellEnd"/>
      <w:r w:rsidRPr="002906A3">
        <w:t xml:space="preserve"> </w:t>
      </w:r>
      <w:proofErr w:type="spellStart"/>
      <w:r w:rsidRPr="002906A3">
        <w:t>reason</w:t>
      </w:r>
      <w:proofErr w:type="spellEnd"/>
      <w:r w:rsidRPr="002906A3">
        <w:t xml:space="preserve">, </w:t>
      </w:r>
      <w:proofErr w:type="spellStart"/>
      <w:r w:rsidRPr="002906A3">
        <w:t>women</w:t>
      </w:r>
      <w:proofErr w:type="spellEnd"/>
      <w:r w:rsidRPr="002906A3">
        <w:t xml:space="preserve"> </w:t>
      </w:r>
      <w:proofErr w:type="spellStart"/>
      <w:r w:rsidRPr="002906A3">
        <w:t>are</w:t>
      </w:r>
      <w:proofErr w:type="spellEnd"/>
      <w:r w:rsidRPr="002906A3">
        <w:t xml:space="preserve"> </w:t>
      </w:r>
      <w:proofErr w:type="spellStart"/>
      <w:r w:rsidRPr="002906A3">
        <w:t>confined</w:t>
      </w:r>
      <w:proofErr w:type="spellEnd"/>
      <w:r w:rsidRPr="002906A3">
        <w:t xml:space="preserve"> </w:t>
      </w:r>
      <w:proofErr w:type="spellStart"/>
      <w:r w:rsidRPr="002906A3">
        <w:t>to</w:t>
      </w:r>
      <w:proofErr w:type="spellEnd"/>
      <w:r w:rsidRPr="002906A3">
        <w:t xml:space="preserve"> </w:t>
      </w:r>
      <w:proofErr w:type="spellStart"/>
      <w:r w:rsidRPr="002906A3">
        <w:t>the</w:t>
      </w:r>
      <w:proofErr w:type="spellEnd"/>
      <w:r w:rsidRPr="002906A3">
        <w:t xml:space="preserve"> role of </w:t>
      </w:r>
      <w:proofErr w:type="spellStart"/>
      <w:r w:rsidRPr="002906A3">
        <w:t>motherhood</w:t>
      </w:r>
      <w:proofErr w:type="spellEnd"/>
      <w:r w:rsidRPr="002906A3">
        <w:t xml:space="preserve">. </w:t>
      </w:r>
      <w:proofErr w:type="spellStart"/>
      <w:r w:rsidRPr="002906A3">
        <w:t>Within</w:t>
      </w:r>
      <w:proofErr w:type="spellEnd"/>
      <w:r w:rsidRPr="002906A3">
        <w:t xml:space="preserve"> </w:t>
      </w:r>
      <w:proofErr w:type="spellStart"/>
      <w:r w:rsidRPr="002906A3">
        <w:t>these</w:t>
      </w:r>
      <w:proofErr w:type="spellEnd"/>
      <w:r w:rsidRPr="002906A3">
        <w:t xml:space="preserve"> </w:t>
      </w:r>
      <w:proofErr w:type="spellStart"/>
      <w:r w:rsidRPr="002906A3">
        <w:t>boundaries</w:t>
      </w:r>
      <w:proofErr w:type="spellEnd"/>
      <w:r w:rsidRPr="002906A3">
        <w:t xml:space="preserve">, at </w:t>
      </w:r>
      <w:proofErr w:type="spellStart"/>
      <w:r w:rsidRPr="002906A3">
        <w:t>times</w:t>
      </w:r>
      <w:proofErr w:type="spellEnd"/>
      <w:r w:rsidRPr="002906A3">
        <w:t xml:space="preserve">, they </w:t>
      </w:r>
      <w:proofErr w:type="spellStart"/>
      <w:r w:rsidRPr="002906A3">
        <w:t>even</w:t>
      </w:r>
      <w:proofErr w:type="spellEnd"/>
      <w:r w:rsidRPr="002906A3">
        <w:t xml:space="preserve"> </w:t>
      </w:r>
      <w:proofErr w:type="spellStart"/>
      <w:r w:rsidRPr="002906A3">
        <w:t>reproduce</w:t>
      </w:r>
      <w:proofErr w:type="spellEnd"/>
      <w:r w:rsidRPr="002906A3">
        <w:t xml:space="preserve"> </w:t>
      </w:r>
      <w:proofErr w:type="spellStart"/>
      <w:r w:rsidRPr="002906A3">
        <w:t>traditional</w:t>
      </w:r>
      <w:proofErr w:type="spellEnd"/>
      <w:r w:rsidRPr="002906A3">
        <w:t xml:space="preserve"> </w:t>
      </w:r>
      <w:proofErr w:type="spellStart"/>
      <w:r w:rsidRPr="002906A3">
        <w:lastRenderedPageBreak/>
        <w:t>norms</w:t>
      </w:r>
      <w:proofErr w:type="spellEnd"/>
      <w:r w:rsidRPr="002906A3">
        <w:t xml:space="preserve"> </w:t>
      </w:r>
      <w:proofErr w:type="spellStart"/>
      <w:r w:rsidRPr="002906A3">
        <w:t>and</w:t>
      </w:r>
      <w:proofErr w:type="spellEnd"/>
      <w:r w:rsidRPr="002906A3">
        <w:t xml:space="preserve"> </w:t>
      </w:r>
      <w:proofErr w:type="spellStart"/>
      <w:r w:rsidRPr="002906A3">
        <w:t>values</w:t>
      </w:r>
      <w:proofErr w:type="spellEnd"/>
      <w:r w:rsidRPr="002906A3">
        <w:t xml:space="preserve"> of </w:t>
      </w:r>
      <w:proofErr w:type="spellStart"/>
      <w:r w:rsidRPr="002906A3">
        <w:t>motherhood</w:t>
      </w:r>
      <w:proofErr w:type="spellEnd"/>
      <w:r w:rsidRPr="002906A3">
        <w:t xml:space="preserve"> </w:t>
      </w:r>
      <w:proofErr w:type="spellStart"/>
      <w:r w:rsidRPr="002906A3">
        <w:t>voluntarily</w:t>
      </w:r>
      <w:proofErr w:type="spellEnd"/>
      <w:r w:rsidRPr="002906A3">
        <w:t xml:space="preserve">, </w:t>
      </w:r>
      <w:proofErr w:type="spellStart"/>
      <w:r w:rsidRPr="002906A3">
        <w:t>leading</w:t>
      </w:r>
      <w:proofErr w:type="spellEnd"/>
      <w:r w:rsidRPr="002906A3">
        <w:t xml:space="preserve"> </w:t>
      </w:r>
      <w:proofErr w:type="spellStart"/>
      <w:r w:rsidRPr="002906A3">
        <w:t>to</w:t>
      </w:r>
      <w:proofErr w:type="spellEnd"/>
      <w:r w:rsidRPr="002906A3">
        <w:t xml:space="preserve"> </w:t>
      </w:r>
      <w:proofErr w:type="spellStart"/>
      <w:r w:rsidRPr="002906A3">
        <w:t>sexist</w:t>
      </w:r>
      <w:proofErr w:type="spellEnd"/>
      <w:r w:rsidRPr="002906A3">
        <w:t xml:space="preserve"> </w:t>
      </w:r>
      <w:proofErr w:type="spellStart"/>
      <w:r w:rsidRPr="002906A3">
        <w:t>hypocrisy</w:t>
      </w:r>
      <w:proofErr w:type="spellEnd"/>
      <w:r w:rsidRPr="002906A3">
        <w:t xml:space="preserve">. </w:t>
      </w:r>
      <w:proofErr w:type="spellStart"/>
      <w:r w:rsidRPr="002906A3">
        <w:t>Furthermore</w:t>
      </w:r>
      <w:proofErr w:type="spellEnd"/>
      <w:r w:rsidRPr="002906A3">
        <w:t xml:space="preserve">, as </w:t>
      </w:r>
      <w:proofErr w:type="spellStart"/>
      <w:r w:rsidRPr="002906A3">
        <w:t>women</w:t>
      </w:r>
      <w:proofErr w:type="spellEnd"/>
      <w:r w:rsidRPr="002906A3">
        <w:t xml:space="preserve"> </w:t>
      </w:r>
      <w:proofErr w:type="spellStart"/>
      <w:r w:rsidRPr="002906A3">
        <w:t>are</w:t>
      </w:r>
      <w:proofErr w:type="spellEnd"/>
      <w:r w:rsidRPr="002906A3">
        <w:t xml:space="preserve"> </w:t>
      </w:r>
      <w:proofErr w:type="spellStart"/>
      <w:r w:rsidRPr="002906A3">
        <w:t>pushed</w:t>
      </w:r>
      <w:proofErr w:type="spellEnd"/>
      <w:r w:rsidRPr="002906A3">
        <w:t>/</w:t>
      </w:r>
      <w:proofErr w:type="spellStart"/>
      <w:r w:rsidRPr="002906A3">
        <w:t>compelled</w:t>
      </w:r>
      <w:proofErr w:type="spellEnd"/>
      <w:r w:rsidRPr="002906A3">
        <w:t xml:space="preserve"> </w:t>
      </w:r>
      <w:proofErr w:type="spellStart"/>
      <w:r w:rsidRPr="002906A3">
        <w:t>into</w:t>
      </w:r>
      <w:proofErr w:type="spellEnd"/>
      <w:r w:rsidRPr="002906A3">
        <w:t xml:space="preserve"> “</w:t>
      </w:r>
      <w:proofErr w:type="spellStart"/>
      <w:r w:rsidRPr="002906A3">
        <w:t>social</w:t>
      </w:r>
      <w:proofErr w:type="spellEnd"/>
      <w:r w:rsidRPr="002906A3">
        <w:t xml:space="preserve"> </w:t>
      </w:r>
      <w:proofErr w:type="spellStart"/>
      <w:r w:rsidRPr="002906A3">
        <w:t>motherhood</w:t>
      </w:r>
      <w:proofErr w:type="spellEnd"/>
      <w:r w:rsidRPr="002906A3">
        <w:t xml:space="preserve">” </w:t>
      </w:r>
      <w:proofErr w:type="spellStart"/>
      <w:r w:rsidRPr="002906A3">
        <w:t>through</w:t>
      </w:r>
      <w:proofErr w:type="spellEnd"/>
      <w:r w:rsidRPr="002906A3">
        <w:t xml:space="preserve"> </w:t>
      </w:r>
      <w:proofErr w:type="spellStart"/>
      <w:r w:rsidRPr="002906A3">
        <w:t>the</w:t>
      </w:r>
      <w:proofErr w:type="spellEnd"/>
      <w:r w:rsidRPr="002906A3">
        <w:t xml:space="preserve"> </w:t>
      </w:r>
      <w:proofErr w:type="spellStart"/>
      <w:r w:rsidRPr="002906A3">
        <w:t>achievements</w:t>
      </w:r>
      <w:proofErr w:type="spellEnd"/>
      <w:r w:rsidRPr="002906A3">
        <w:t xml:space="preserve"> of </w:t>
      </w:r>
      <w:proofErr w:type="spellStart"/>
      <w:r w:rsidRPr="002906A3">
        <w:t>the</w:t>
      </w:r>
      <w:proofErr w:type="spellEnd"/>
      <w:r w:rsidRPr="002906A3">
        <w:t xml:space="preserve"> First </w:t>
      </w:r>
      <w:proofErr w:type="spellStart"/>
      <w:r w:rsidRPr="002906A3">
        <w:t>Wave</w:t>
      </w:r>
      <w:proofErr w:type="spellEnd"/>
      <w:r w:rsidRPr="002906A3">
        <w:t xml:space="preserve"> Feminist </w:t>
      </w:r>
      <w:proofErr w:type="spellStart"/>
      <w:r w:rsidRPr="002906A3">
        <w:t>Movement</w:t>
      </w:r>
      <w:proofErr w:type="spellEnd"/>
      <w:r w:rsidRPr="002906A3">
        <w:t xml:space="preserve">, </w:t>
      </w:r>
      <w:proofErr w:type="spellStart"/>
      <w:r w:rsidRPr="002906A3">
        <w:t>motherhood</w:t>
      </w:r>
      <w:proofErr w:type="spellEnd"/>
      <w:r w:rsidRPr="002906A3">
        <w:t xml:space="preserve">, </w:t>
      </w:r>
      <w:proofErr w:type="spellStart"/>
      <w:r w:rsidRPr="002906A3">
        <w:t>especially</w:t>
      </w:r>
      <w:proofErr w:type="spellEnd"/>
      <w:r w:rsidRPr="002906A3">
        <w:t xml:space="preserve"> </w:t>
      </w:r>
      <w:proofErr w:type="spellStart"/>
      <w:r w:rsidRPr="002906A3">
        <w:t>after</w:t>
      </w:r>
      <w:proofErr w:type="spellEnd"/>
      <w:r w:rsidRPr="002906A3">
        <w:t xml:space="preserve"> </w:t>
      </w:r>
      <w:proofErr w:type="spellStart"/>
      <w:r w:rsidRPr="002906A3">
        <w:t>the</w:t>
      </w:r>
      <w:proofErr w:type="spellEnd"/>
      <w:r w:rsidRPr="002906A3">
        <w:t xml:space="preserve"> Second </w:t>
      </w:r>
      <w:proofErr w:type="spellStart"/>
      <w:r w:rsidRPr="002906A3">
        <w:t>Wave</w:t>
      </w:r>
      <w:proofErr w:type="spellEnd"/>
      <w:r w:rsidRPr="002906A3">
        <w:t xml:space="preserve"> Feminist </w:t>
      </w:r>
      <w:proofErr w:type="spellStart"/>
      <w:r w:rsidRPr="002906A3">
        <w:t>Movement</w:t>
      </w:r>
      <w:proofErr w:type="spellEnd"/>
      <w:r w:rsidRPr="002906A3">
        <w:t xml:space="preserve">, has </w:t>
      </w:r>
      <w:proofErr w:type="spellStart"/>
      <w:r w:rsidRPr="002906A3">
        <w:t>returned</w:t>
      </w:r>
      <w:proofErr w:type="spellEnd"/>
      <w:r w:rsidRPr="002906A3">
        <w:t xml:space="preserve"> </w:t>
      </w:r>
      <w:proofErr w:type="spellStart"/>
      <w:r w:rsidRPr="002906A3">
        <w:t>to</w:t>
      </w:r>
      <w:proofErr w:type="spellEnd"/>
      <w:r w:rsidRPr="002906A3">
        <w:t xml:space="preserve"> </w:t>
      </w:r>
      <w:proofErr w:type="spellStart"/>
      <w:r w:rsidRPr="002906A3">
        <w:t>women’s</w:t>
      </w:r>
      <w:proofErr w:type="spellEnd"/>
      <w:r w:rsidRPr="002906A3">
        <w:t xml:space="preserve"> </w:t>
      </w:r>
      <w:proofErr w:type="spellStart"/>
      <w:r w:rsidRPr="002906A3">
        <w:t>lives</w:t>
      </w:r>
      <w:proofErr w:type="spellEnd"/>
      <w:r w:rsidRPr="002906A3">
        <w:t xml:space="preserve"> as a </w:t>
      </w:r>
      <w:proofErr w:type="spellStart"/>
      <w:r w:rsidRPr="002906A3">
        <w:t>legitimate</w:t>
      </w:r>
      <w:proofErr w:type="spellEnd"/>
      <w:r w:rsidRPr="002906A3">
        <w:t xml:space="preserve"> role, </w:t>
      </w:r>
      <w:proofErr w:type="spellStart"/>
      <w:r w:rsidRPr="002906A3">
        <w:t>emphasizing</w:t>
      </w:r>
      <w:proofErr w:type="spellEnd"/>
      <w:r w:rsidRPr="002906A3">
        <w:t xml:space="preserve"> “</w:t>
      </w:r>
      <w:proofErr w:type="spellStart"/>
      <w:r w:rsidRPr="002906A3">
        <w:t>equality</w:t>
      </w:r>
      <w:proofErr w:type="spellEnd"/>
      <w:r w:rsidRPr="002906A3">
        <w:t xml:space="preserve"> </w:t>
      </w:r>
      <w:proofErr w:type="spellStart"/>
      <w:r w:rsidRPr="002906A3">
        <w:t>despite</w:t>
      </w:r>
      <w:proofErr w:type="spellEnd"/>
      <w:r w:rsidRPr="002906A3">
        <w:t xml:space="preserve"> </w:t>
      </w:r>
      <w:proofErr w:type="spellStart"/>
      <w:r w:rsidRPr="002906A3">
        <w:t>differences</w:t>
      </w:r>
      <w:proofErr w:type="spellEnd"/>
      <w:r w:rsidRPr="002906A3">
        <w:t xml:space="preserve">.” </w:t>
      </w:r>
      <w:proofErr w:type="spellStart"/>
      <w:r w:rsidRPr="002906A3">
        <w:t>In</w:t>
      </w:r>
      <w:proofErr w:type="spellEnd"/>
      <w:r w:rsidRPr="002906A3">
        <w:t xml:space="preserve"> </w:t>
      </w:r>
      <w:proofErr w:type="spellStart"/>
      <w:r w:rsidRPr="002906A3">
        <w:t>this</w:t>
      </w:r>
      <w:proofErr w:type="spellEnd"/>
      <w:r w:rsidRPr="002906A3">
        <w:t xml:space="preserve"> </w:t>
      </w:r>
      <w:proofErr w:type="spellStart"/>
      <w:r w:rsidRPr="002906A3">
        <w:t>context</w:t>
      </w:r>
      <w:proofErr w:type="spellEnd"/>
      <w:r w:rsidRPr="002906A3">
        <w:t xml:space="preserve">, </w:t>
      </w:r>
      <w:proofErr w:type="spellStart"/>
      <w:r w:rsidRPr="002906A3">
        <w:t>the</w:t>
      </w:r>
      <w:proofErr w:type="spellEnd"/>
      <w:r w:rsidRPr="002906A3">
        <w:t xml:space="preserve"> </w:t>
      </w:r>
      <w:proofErr w:type="spellStart"/>
      <w:r w:rsidRPr="002906A3">
        <w:t>dimension</w:t>
      </w:r>
      <w:proofErr w:type="spellEnd"/>
      <w:r w:rsidRPr="002906A3">
        <w:t xml:space="preserve"> of </w:t>
      </w:r>
      <w:proofErr w:type="spellStart"/>
      <w:r w:rsidRPr="002906A3">
        <w:t>preference</w:t>
      </w:r>
      <w:proofErr w:type="spellEnd"/>
      <w:r w:rsidRPr="002906A3">
        <w:t xml:space="preserve"> </w:t>
      </w:r>
      <w:proofErr w:type="spellStart"/>
      <w:r w:rsidRPr="002906A3">
        <w:t>and</w:t>
      </w:r>
      <w:proofErr w:type="spellEnd"/>
      <w:r w:rsidRPr="002906A3">
        <w:t xml:space="preserve"> </w:t>
      </w:r>
      <w:proofErr w:type="spellStart"/>
      <w:r w:rsidRPr="002906A3">
        <w:t>obligation</w:t>
      </w:r>
      <w:proofErr w:type="spellEnd"/>
      <w:r w:rsidRPr="002906A3">
        <w:t xml:space="preserve"> in </w:t>
      </w:r>
      <w:proofErr w:type="spellStart"/>
      <w:r w:rsidRPr="002906A3">
        <w:t>the</w:t>
      </w:r>
      <w:proofErr w:type="spellEnd"/>
      <w:r w:rsidRPr="002906A3">
        <w:t xml:space="preserve"> </w:t>
      </w:r>
      <w:proofErr w:type="spellStart"/>
      <w:r w:rsidRPr="002906A3">
        <w:t>decision</w:t>
      </w:r>
      <w:proofErr w:type="spellEnd"/>
      <w:r w:rsidRPr="002906A3">
        <w:t xml:space="preserve"> </w:t>
      </w:r>
      <w:proofErr w:type="spellStart"/>
      <w:r w:rsidRPr="002906A3">
        <w:t>to</w:t>
      </w:r>
      <w:proofErr w:type="spellEnd"/>
      <w:r w:rsidRPr="002906A3">
        <w:t xml:space="preserve"> </w:t>
      </w:r>
      <w:proofErr w:type="spellStart"/>
      <w:r w:rsidRPr="002906A3">
        <w:t>become</w:t>
      </w:r>
      <w:proofErr w:type="spellEnd"/>
      <w:r w:rsidRPr="002906A3">
        <w:t xml:space="preserve"> a </w:t>
      </w:r>
      <w:proofErr w:type="spellStart"/>
      <w:r w:rsidRPr="002906A3">
        <w:t>mother</w:t>
      </w:r>
      <w:proofErr w:type="spellEnd"/>
      <w:r w:rsidRPr="002906A3">
        <w:t xml:space="preserve"> </w:t>
      </w:r>
      <w:proofErr w:type="spellStart"/>
      <w:r w:rsidRPr="002906A3">
        <w:t>or</w:t>
      </w:r>
      <w:proofErr w:type="spellEnd"/>
      <w:r w:rsidRPr="002906A3">
        <w:t xml:space="preserve"> not </w:t>
      </w:r>
      <w:proofErr w:type="spellStart"/>
      <w:r w:rsidRPr="002906A3">
        <w:t>raises</w:t>
      </w:r>
      <w:proofErr w:type="spellEnd"/>
      <w:r w:rsidRPr="002906A3">
        <w:t xml:space="preserve"> </w:t>
      </w:r>
      <w:proofErr w:type="spellStart"/>
      <w:r w:rsidRPr="002906A3">
        <w:t>the</w:t>
      </w:r>
      <w:proofErr w:type="spellEnd"/>
      <w:r w:rsidRPr="002906A3">
        <w:t xml:space="preserve"> </w:t>
      </w:r>
      <w:proofErr w:type="spellStart"/>
      <w:r w:rsidRPr="002906A3">
        <w:t>question</w:t>
      </w:r>
      <w:proofErr w:type="spellEnd"/>
      <w:r w:rsidRPr="002906A3">
        <w:t xml:space="preserve">, “Can </w:t>
      </w:r>
      <w:proofErr w:type="spellStart"/>
      <w:r w:rsidRPr="002906A3">
        <w:t>Motherhood</w:t>
      </w:r>
      <w:proofErr w:type="spellEnd"/>
      <w:r w:rsidRPr="002906A3">
        <w:t xml:space="preserve"> Be </w:t>
      </w:r>
      <w:proofErr w:type="spellStart"/>
      <w:r w:rsidRPr="002906A3">
        <w:t>Voluntary</w:t>
      </w:r>
      <w:proofErr w:type="spellEnd"/>
      <w:r w:rsidRPr="002906A3">
        <w:t xml:space="preserve">?” </w:t>
      </w:r>
      <w:proofErr w:type="spellStart"/>
      <w:r w:rsidRPr="002906A3">
        <w:t>The</w:t>
      </w:r>
      <w:proofErr w:type="spellEnd"/>
      <w:r w:rsidRPr="002906A3">
        <w:t xml:space="preserve"> idea of </w:t>
      </w:r>
      <w:proofErr w:type="spellStart"/>
      <w:r w:rsidRPr="002906A3">
        <w:t>choosing</w:t>
      </w:r>
      <w:proofErr w:type="spellEnd"/>
      <w:r w:rsidRPr="002906A3">
        <w:t xml:space="preserve"> </w:t>
      </w:r>
      <w:proofErr w:type="spellStart"/>
      <w:r w:rsidRPr="002906A3">
        <w:t>childlessness</w:t>
      </w:r>
      <w:proofErr w:type="spellEnd"/>
      <w:r w:rsidRPr="002906A3">
        <w:t xml:space="preserve">, </w:t>
      </w:r>
      <w:proofErr w:type="spellStart"/>
      <w:r w:rsidRPr="002906A3">
        <w:t>rather</w:t>
      </w:r>
      <w:proofErr w:type="spellEnd"/>
      <w:r w:rsidRPr="002906A3">
        <w:t xml:space="preserve"> </w:t>
      </w:r>
      <w:proofErr w:type="spellStart"/>
      <w:r w:rsidRPr="002906A3">
        <w:t>than</w:t>
      </w:r>
      <w:proofErr w:type="spellEnd"/>
      <w:r w:rsidRPr="002906A3">
        <w:t xml:space="preserve"> </w:t>
      </w:r>
      <w:proofErr w:type="spellStart"/>
      <w:r w:rsidRPr="002906A3">
        <w:t>choosing</w:t>
      </w:r>
      <w:proofErr w:type="spellEnd"/>
      <w:r w:rsidRPr="002906A3">
        <w:t xml:space="preserve"> </w:t>
      </w:r>
      <w:proofErr w:type="spellStart"/>
      <w:r w:rsidRPr="002906A3">
        <w:t>motherhood</w:t>
      </w:r>
      <w:proofErr w:type="spellEnd"/>
      <w:r w:rsidRPr="002906A3">
        <w:t xml:space="preserve"> </w:t>
      </w:r>
      <w:proofErr w:type="spellStart"/>
      <w:r w:rsidRPr="002906A3">
        <w:t>within</w:t>
      </w:r>
      <w:proofErr w:type="spellEnd"/>
      <w:r w:rsidRPr="002906A3">
        <w:t xml:space="preserve"> </w:t>
      </w:r>
      <w:proofErr w:type="spellStart"/>
      <w:r w:rsidRPr="002906A3">
        <w:t>power</w:t>
      </w:r>
      <w:proofErr w:type="spellEnd"/>
      <w:r w:rsidRPr="002906A3">
        <w:t xml:space="preserve"> </w:t>
      </w:r>
      <w:proofErr w:type="spellStart"/>
      <w:r w:rsidRPr="002906A3">
        <w:t>relations</w:t>
      </w:r>
      <w:proofErr w:type="spellEnd"/>
      <w:r w:rsidRPr="002906A3">
        <w:t xml:space="preserve">, is </w:t>
      </w:r>
      <w:proofErr w:type="spellStart"/>
      <w:r w:rsidRPr="002906A3">
        <w:t>constrained</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boundaries</w:t>
      </w:r>
      <w:proofErr w:type="spellEnd"/>
      <w:r w:rsidRPr="002906A3">
        <w:t xml:space="preserve"> of </w:t>
      </w:r>
      <w:proofErr w:type="spellStart"/>
      <w:r w:rsidRPr="002906A3">
        <w:t>the</w:t>
      </w:r>
      <w:proofErr w:type="spellEnd"/>
      <w:r w:rsidRPr="002906A3">
        <w:t xml:space="preserve"> </w:t>
      </w:r>
      <w:proofErr w:type="spellStart"/>
      <w:r w:rsidRPr="002906A3">
        <w:t>patriarchal</w:t>
      </w:r>
      <w:proofErr w:type="spellEnd"/>
      <w:r w:rsidRPr="002906A3">
        <w:t xml:space="preserve"> </w:t>
      </w:r>
      <w:proofErr w:type="spellStart"/>
      <w:r w:rsidRPr="002906A3">
        <w:t>system</w:t>
      </w:r>
      <w:proofErr w:type="spellEnd"/>
      <w:r w:rsidRPr="002906A3">
        <w:t xml:space="preserve">, since not </w:t>
      </w:r>
      <w:proofErr w:type="spellStart"/>
      <w:r w:rsidRPr="002906A3">
        <w:t>choosing</w:t>
      </w:r>
      <w:proofErr w:type="spellEnd"/>
      <w:r w:rsidRPr="002906A3">
        <w:t xml:space="preserve"> </w:t>
      </w:r>
      <w:proofErr w:type="spellStart"/>
      <w:r w:rsidRPr="002906A3">
        <w:t>the</w:t>
      </w:r>
      <w:proofErr w:type="spellEnd"/>
      <w:r w:rsidRPr="002906A3">
        <w:t xml:space="preserve"> </w:t>
      </w:r>
      <w:proofErr w:type="spellStart"/>
      <w:r w:rsidRPr="002906A3">
        <w:t>sanctified</w:t>
      </w:r>
      <w:proofErr w:type="spellEnd"/>
      <w:r w:rsidRPr="002906A3">
        <w:t xml:space="preserve"> </w:t>
      </w:r>
      <w:proofErr w:type="spellStart"/>
      <w:r w:rsidRPr="002906A3">
        <w:t>status</w:t>
      </w:r>
      <w:proofErr w:type="spellEnd"/>
      <w:r w:rsidRPr="002906A3">
        <w:t xml:space="preserve"> of </w:t>
      </w:r>
      <w:proofErr w:type="spellStart"/>
      <w:r w:rsidRPr="002906A3">
        <w:t>motherhood</w:t>
      </w:r>
      <w:proofErr w:type="spellEnd"/>
      <w:r w:rsidRPr="002906A3">
        <w:t xml:space="preserve"> is not </w:t>
      </w:r>
      <w:proofErr w:type="spellStart"/>
      <w:r w:rsidRPr="002906A3">
        <w:t>only</w:t>
      </w:r>
      <w:proofErr w:type="spellEnd"/>
      <w:r w:rsidRPr="002906A3">
        <w:t xml:space="preserve"> </w:t>
      </w:r>
      <w:proofErr w:type="spellStart"/>
      <w:r w:rsidRPr="002906A3">
        <w:t>seen</w:t>
      </w:r>
      <w:proofErr w:type="spellEnd"/>
      <w:r w:rsidRPr="002906A3">
        <w:t xml:space="preserve"> as </w:t>
      </w:r>
      <w:proofErr w:type="spellStart"/>
      <w:r w:rsidRPr="002906A3">
        <w:t>unnatural</w:t>
      </w:r>
      <w:proofErr w:type="spellEnd"/>
      <w:r w:rsidRPr="002906A3">
        <w:t xml:space="preserve"> but is </w:t>
      </w:r>
      <w:proofErr w:type="spellStart"/>
      <w:r w:rsidRPr="002906A3">
        <w:t>rarely</w:t>
      </w:r>
      <w:proofErr w:type="spellEnd"/>
      <w:r w:rsidRPr="002906A3">
        <w:t xml:space="preserve"> </w:t>
      </w:r>
      <w:proofErr w:type="spellStart"/>
      <w:r w:rsidRPr="002906A3">
        <w:t>even</w:t>
      </w:r>
      <w:proofErr w:type="spellEnd"/>
      <w:r w:rsidRPr="002906A3">
        <w:t xml:space="preserve"> </w:t>
      </w:r>
      <w:proofErr w:type="spellStart"/>
      <w:r w:rsidRPr="002906A3">
        <w:t>considered</w:t>
      </w:r>
      <w:proofErr w:type="spellEnd"/>
      <w:r w:rsidRPr="002906A3">
        <w:t xml:space="preserve">. As </w:t>
      </w:r>
      <w:proofErr w:type="spellStart"/>
      <w:r w:rsidRPr="002906A3">
        <w:t>awareness</w:t>
      </w:r>
      <w:proofErr w:type="spellEnd"/>
      <w:r w:rsidRPr="002906A3">
        <w:t xml:space="preserve"> of </w:t>
      </w:r>
      <w:proofErr w:type="spellStart"/>
      <w:r w:rsidRPr="002906A3">
        <w:t>woman</w:t>
      </w:r>
      <w:proofErr w:type="spellEnd"/>
      <w:r w:rsidRPr="002906A3">
        <w:t xml:space="preserve"> </w:t>
      </w:r>
      <w:proofErr w:type="spellStart"/>
      <w:r w:rsidRPr="002906A3">
        <w:t>identity</w:t>
      </w:r>
      <w:proofErr w:type="spellEnd"/>
      <w:r w:rsidRPr="002906A3">
        <w:t xml:space="preserve"> </w:t>
      </w:r>
      <w:proofErr w:type="spellStart"/>
      <w:r w:rsidRPr="002906A3">
        <w:t>increases</w:t>
      </w:r>
      <w:proofErr w:type="spellEnd"/>
      <w:r w:rsidRPr="002906A3">
        <w:t xml:space="preserve">, </w:t>
      </w:r>
      <w:proofErr w:type="spellStart"/>
      <w:r w:rsidRPr="002906A3">
        <w:t>the</w:t>
      </w:r>
      <w:proofErr w:type="spellEnd"/>
      <w:r w:rsidRPr="002906A3">
        <w:t xml:space="preserve"> </w:t>
      </w:r>
      <w:proofErr w:type="spellStart"/>
      <w:r w:rsidRPr="002906A3">
        <w:t>reasonable</w:t>
      </w:r>
      <w:proofErr w:type="spellEnd"/>
      <w:r w:rsidRPr="002906A3">
        <w:t xml:space="preserve"> </w:t>
      </w:r>
      <w:proofErr w:type="spellStart"/>
      <w:r w:rsidRPr="002906A3">
        <w:t>justifications</w:t>
      </w:r>
      <w:proofErr w:type="spellEnd"/>
      <w:r w:rsidRPr="002906A3">
        <w:t xml:space="preserve"> </w:t>
      </w:r>
      <w:proofErr w:type="spellStart"/>
      <w:r w:rsidRPr="002906A3">
        <w:t>for</w:t>
      </w:r>
      <w:proofErr w:type="spellEnd"/>
      <w:r w:rsidRPr="002906A3">
        <w:t xml:space="preserve"> </w:t>
      </w:r>
      <w:proofErr w:type="spellStart"/>
      <w:r w:rsidRPr="002906A3">
        <w:t>women</w:t>
      </w:r>
      <w:proofErr w:type="spellEnd"/>
      <w:r w:rsidRPr="002906A3">
        <w:t xml:space="preserve"> </w:t>
      </w:r>
      <w:proofErr w:type="spellStart"/>
      <w:r w:rsidRPr="002906A3">
        <w:t>living</w:t>
      </w:r>
      <w:proofErr w:type="spellEnd"/>
      <w:r w:rsidRPr="002906A3">
        <w:t xml:space="preserve"> </w:t>
      </w:r>
      <w:proofErr w:type="spellStart"/>
      <w:r w:rsidRPr="002906A3">
        <w:t>without</w:t>
      </w:r>
      <w:proofErr w:type="spellEnd"/>
      <w:r w:rsidRPr="002906A3">
        <w:t xml:space="preserve"> </w:t>
      </w:r>
      <w:proofErr w:type="spellStart"/>
      <w:r w:rsidRPr="002906A3">
        <w:t>children</w:t>
      </w:r>
      <w:proofErr w:type="spellEnd"/>
      <w:r w:rsidRPr="002906A3">
        <w:t xml:space="preserve"> </w:t>
      </w:r>
      <w:proofErr w:type="spellStart"/>
      <w:r w:rsidRPr="002906A3">
        <w:t>also</w:t>
      </w:r>
      <w:proofErr w:type="spellEnd"/>
      <w:r w:rsidRPr="002906A3">
        <w:t xml:space="preserve"> </w:t>
      </w:r>
      <w:proofErr w:type="spellStart"/>
      <w:r w:rsidRPr="002906A3">
        <w:t>evolve</w:t>
      </w:r>
      <w:proofErr w:type="spellEnd"/>
      <w:r w:rsidRPr="002906A3">
        <w:t xml:space="preserve">. </w:t>
      </w:r>
      <w:proofErr w:type="spellStart"/>
      <w:r w:rsidRPr="002906A3">
        <w:t>However</w:t>
      </w:r>
      <w:proofErr w:type="spellEnd"/>
      <w:r w:rsidRPr="002906A3">
        <w:t xml:space="preserve">, </w:t>
      </w:r>
      <w:proofErr w:type="spellStart"/>
      <w:r w:rsidRPr="002906A3">
        <w:t>the</w:t>
      </w:r>
      <w:proofErr w:type="spellEnd"/>
      <w:r w:rsidRPr="002906A3">
        <w:t xml:space="preserve"> </w:t>
      </w:r>
      <w:proofErr w:type="spellStart"/>
      <w:r w:rsidRPr="002906A3">
        <w:t>sanctity</w:t>
      </w:r>
      <w:proofErr w:type="spellEnd"/>
      <w:r w:rsidRPr="002906A3">
        <w:t xml:space="preserve"> of </w:t>
      </w:r>
      <w:proofErr w:type="spellStart"/>
      <w:r w:rsidRPr="002906A3">
        <w:t>motherhood</w:t>
      </w:r>
      <w:proofErr w:type="spellEnd"/>
      <w:r w:rsidRPr="002906A3">
        <w:t xml:space="preserve"> </w:t>
      </w:r>
      <w:proofErr w:type="spellStart"/>
      <w:r w:rsidRPr="002906A3">
        <w:t>remains</w:t>
      </w:r>
      <w:proofErr w:type="spellEnd"/>
      <w:r w:rsidRPr="002906A3">
        <w:t xml:space="preserve"> </w:t>
      </w:r>
      <w:proofErr w:type="spellStart"/>
      <w:r w:rsidRPr="002906A3">
        <w:t>untouched</w:t>
      </w:r>
      <w:proofErr w:type="spellEnd"/>
      <w:r w:rsidRPr="002906A3">
        <w:t xml:space="preserve">, </w:t>
      </w:r>
      <w:proofErr w:type="spellStart"/>
      <w:r w:rsidRPr="002906A3">
        <w:t>and</w:t>
      </w:r>
      <w:proofErr w:type="spellEnd"/>
      <w:r w:rsidRPr="002906A3">
        <w:t xml:space="preserve"> </w:t>
      </w:r>
      <w:proofErr w:type="spellStart"/>
      <w:r w:rsidRPr="002906A3">
        <w:t>motherhood</w:t>
      </w:r>
      <w:proofErr w:type="spellEnd"/>
      <w:r w:rsidRPr="002906A3">
        <w:t xml:space="preserve"> </w:t>
      </w:r>
      <w:proofErr w:type="spellStart"/>
      <w:r w:rsidRPr="002906A3">
        <w:t>continues</w:t>
      </w:r>
      <w:proofErr w:type="spellEnd"/>
      <w:r w:rsidRPr="002906A3">
        <w:t xml:space="preserve"> </w:t>
      </w:r>
      <w:proofErr w:type="spellStart"/>
      <w:r w:rsidRPr="002906A3">
        <w:t>to</w:t>
      </w:r>
      <w:proofErr w:type="spellEnd"/>
      <w:r w:rsidRPr="002906A3">
        <w:t xml:space="preserve"> be </w:t>
      </w:r>
      <w:proofErr w:type="spellStart"/>
      <w:r w:rsidRPr="002906A3">
        <w:t>exalted</w:t>
      </w:r>
      <w:proofErr w:type="spellEnd"/>
      <w:r w:rsidRPr="002906A3">
        <w:t xml:space="preserve"> </w:t>
      </w:r>
      <w:proofErr w:type="spellStart"/>
      <w:r w:rsidRPr="002906A3">
        <w:t>by</w:t>
      </w:r>
      <w:proofErr w:type="spellEnd"/>
      <w:r w:rsidRPr="002906A3">
        <w:t xml:space="preserve"> </w:t>
      </w:r>
      <w:proofErr w:type="spellStart"/>
      <w:r w:rsidRPr="002906A3">
        <w:t>women</w:t>
      </w:r>
      <w:proofErr w:type="spellEnd"/>
      <w:r w:rsidRPr="002906A3">
        <w:t xml:space="preserve"> </w:t>
      </w:r>
      <w:proofErr w:type="spellStart"/>
      <w:r w:rsidRPr="002906A3">
        <w:t>from</w:t>
      </w:r>
      <w:proofErr w:type="spellEnd"/>
      <w:r w:rsidRPr="002906A3">
        <w:t xml:space="preserve"> </w:t>
      </w:r>
      <w:proofErr w:type="spellStart"/>
      <w:r w:rsidRPr="002906A3">
        <w:t>all</w:t>
      </w:r>
      <w:proofErr w:type="spellEnd"/>
      <w:r w:rsidRPr="002906A3">
        <w:t xml:space="preserve"> </w:t>
      </w:r>
      <w:proofErr w:type="spellStart"/>
      <w:r w:rsidRPr="002906A3">
        <w:t>educational</w:t>
      </w:r>
      <w:proofErr w:type="spellEnd"/>
      <w:r w:rsidRPr="002906A3">
        <w:t xml:space="preserve"> </w:t>
      </w:r>
      <w:proofErr w:type="spellStart"/>
      <w:r w:rsidRPr="002906A3">
        <w:t>and</w:t>
      </w:r>
      <w:proofErr w:type="spellEnd"/>
      <w:r w:rsidRPr="002906A3">
        <w:t xml:space="preserve"> </w:t>
      </w:r>
      <w:proofErr w:type="spellStart"/>
      <w:r w:rsidRPr="002906A3">
        <w:t>socio-economic</w:t>
      </w:r>
      <w:proofErr w:type="spellEnd"/>
      <w:r w:rsidRPr="002906A3">
        <w:t xml:space="preserve"> </w:t>
      </w:r>
      <w:proofErr w:type="spellStart"/>
      <w:r w:rsidRPr="002906A3">
        <w:t>backgrounds</w:t>
      </w:r>
      <w:proofErr w:type="spellEnd"/>
      <w:r w:rsidRPr="002906A3">
        <w:t>.</w:t>
      </w:r>
    </w:p>
    <w:p w14:paraId="53E25DF4" w14:textId="77777777" w:rsidR="001E7189" w:rsidRPr="002906A3" w:rsidRDefault="001E7189" w:rsidP="001E7189">
      <w:pPr>
        <w:jc w:val="both"/>
      </w:pPr>
      <w:proofErr w:type="spellStart"/>
      <w:r w:rsidRPr="002906A3">
        <w:t>In</w:t>
      </w:r>
      <w:proofErr w:type="spellEnd"/>
      <w:r w:rsidRPr="002906A3">
        <w:t xml:space="preserve"> </w:t>
      </w:r>
      <w:proofErr w:type="spellStart"/>
      <w:r w:rsidRPr="002906A3">
        <w:t>this</w:t>
      </w:r>
      <w:proofErr w:type="spellEnd"/>
      <w:r w:rsidRPr="002906A3">
        <w:t xml:space="preserve"> </w:t>
      </w:r>
      <w:proofErr w:type="spellStart"/>
      <w:r w:rsidRPr="002906A3">
        <w:t>context</w:t>
      </w:r>
      <w:proofErr w:type="spellEnd"/>
      <w:r w:rsidRPr="002906A3">
        <w:t xml:space="preserve">, </w:t>
      </w:r>
      <w:proofErr w:type="spellStart"/>
      <w:r w:rsidRPr="002906A3">
        <w:t>the</w:t>
      </w:r>
      <w:proofErr w:type="spellEnd"/>
      <w:r w:rsidRPr="002906A3">
        <w:t xml:space="preserve"> main </w:t>
      </w:r>
      <w:proofErr w:type="spellStart"/>
      <w:r w:rsidRPr="002906A3">
        <w:t>objective</w:t>
      </w:r>
      <w:proofErr w:type="spellEnd"/>
      <w:r w:rsidRPr="002906A3">
        <w:t xml:space="preserve"> of </w:t>
      </w:r>
      <w:proofErr w:type="spellStart"/>
      <w:r w:rsidRPr="002906A3">
        <w:t>the</w:t>
      </w:r>
      <w:proofErr w:type="spellEnd"/>
      <w:r w:rsidRPr="002906A3">
        <w:t xml:space="preserve"> </w:t>
      </w:r>
      <w:proofErr w:type="spellStart"/>
      <w:r w:rsidRPr="002906A3">
        <w:t>study</w:t>
      </w:r>
      <w:proofErr w:type="spellEnd"/>
      <w:r w:rsidRPr="002906A3">
        <w:t xml:space="preserve"> is </w:t>
      </w:r>
      <w:proofErr w:type="spellStart"/>
      <w:r w:rsidRPr="002906A3">
        <w:t>to</w:t>
      </w:r>
      <w:proofErr w:type="spellEnd"/>
      <w:r w:rsidRPr="002906A3">
        <w:t xml:space="preserve"> </w:t>
      </w:r>
      <w:proofErr w:type="spellStart"/>
      <w:r w:rsidRPr="002906A3">
        <w:t>critically</w:t>
      </w:r>
      <w:proofErr w:type="spellEnd"/>
      <w:r w:rsidRPr="002906A3">
        <w:t xml:space="preserve"> </w:t>
      </w:r>
      <w:proofErr w:type="spellStart"/>
      <w:r w:rsidRPr="002906A3">
        <w:t>assess</w:t>
      </w:r>
      <w:proofErr w:type="spellEnd"/>
      <w:r w:rsidRPr="002906A3">
        <w:t xml:space="preserve"> </w:t>
      </w:r>
      <w:proofErr w:type="spellStart"/>
      <w:r w:rsidRPr="002906A3">
        <w:t>the</w:t>
      </w:r>
      <w:proofErr w:type="spellEnd"/>
      <w:r w:rsidRPr="002906A3">
        <w:t xml:space="preserve"> </w:t>
      </w:r>
      <w:proofErr w:type="spellStart"/>
      <w:r w:rsidRPr="002906A3">
        <w:t>concept</w:t>
      </w:r>
      <w:proofErr w:type="spellEnd"/>
      <w:r w:rsidRPr="002906A3">
        <w:t xml:space="preserve"> of </w:t>
      </w:r>
      <w:proofErr w:type="spellStart"/>
      <w:r w:rsidRPr="002906A3">
        <w:t>motherhood</w:t>
      </w:r>
      <w:proofErr w:type="spellEnd"/>
      <w:r w:rsidRPr="002906A3">
        <w:t xml:space="preserve"> </w:t>
      </w:r>
      <w:proofErr w:type="spellStart"/>
      <w:r w:rsidRPr="002906A3">
        <w:t>identity</w:t>
      </w:r>
      <w:proofErr w:type="spellEnd"/>
      <w:r w:rsidRPr="002906A3">
        <w:t xml:space="preserve">, </w:t>
      </w:r>
      <w:proofErr w:type="spellStart"/>
      <w:r w:rsidRPr="002906A3">
        <w:t>which</w:t>
      </w:r>
      <w:proofErr w:type="spellEnd"/>
      <w:r w:rsidRPr="002906A3">
        <w:t xml:space="preserve"> </w:t>
      </w:r>
      <w:proofErr w:type="spellStart"/>
      <w:r w:rsidRPr="002906A3">
        <w:t>defines</w:t>
      </w:r>
      <w:proofErr w:type="spellEnd"/>
      <w:r w:rsidRPr="002906A3">
        <w:t xml:space="preserve"> a </w:t>
      </w:r>
      <w:proofErr w:type="spellStart"/>
      <w:r w:rsidRPr="002906A3">
        <w:t>woman’s</w:t>
      </w:r>
      <w:proofErr w:type="spellEnd"/>
      <w:r w:rsidRPr="002906A3">
        <w:t xml:space="preserve"> </w:t>
      </w:r>
      <w:proofErr w:type="spellStart"/>
      <w:r w:rsidRPr="002906A3">
        <w:t>status</w:t>
      </w:r>
      <w:proofErr w:type="spellEnd"/>
      <w:r w:rsidRPr="002906A3">
        <w:t xml:space="preserve"> </w:t>
      </w:r>
      <w:proofErr w:type="spellStart"/>
      <w:r w:rsidRPr="002906A3">
        <w:t>both</w:t>
      </w:r>
      <w:proofErr w:type="spellEnd"/>
      <w:r w:rsidRPr="002906A3">
        <w:t xml:space="preserve"> </w:t>
      </w:r>
      <w:proofErr w:type="spellStart"/>
      <w:r w:rsidRPr="002906A3">
        <w:t>individually</w:t>
      </w:r>
      <w:proofErr w:type="spellEnd"/>
      <w:r w:rsidRPr="002906A3">
        <w:t xml:space="preserve"> </w:t>
      </w:r>
      <w:proofErr w:type="spellStart"/>
      <w:r w:rsidRPr="002906A3">
        <w:t>and</w:t>
      </w:r>
      <w:proofErr w:type="spellEnd"/>
      <w:r w:rsidRPr="002906A3">
        <w:t xml:space="preserve"> </w:t>
      </w:r>
      <w:proofErr w:type="spellStart"/>
      <w:r w:rsidRPr="002906A3">
        <w:t>socially</w:t>
      </w:r>
      <w:proofErr w:type="spellEnd"/>
      <w:r w:rsidRPr="002906A3">
        <w:t xml:space="preserve">, </w:t>
      </w:r>
      <w:proofErr w:type="spellStart"/>
      <w:r w:rsidRPr="002906A3">
        <w:t>while</w:t>
      </w:r>
      <w:proofErr w:type="spellEnd"/>
      <w:r w:rsidRPr="002906A3">
        <w:t xml:space="preserve"> </w:t>
      </w:r>
      <w:proofErr w:type="spellStart"/>
      <w:r w:rsidRPr="002906A3">
        <w:t>also</w:t>
      </w:r>
      <w:proofErr w:type="spellEnd"/>
      <w:r w:rsidRPr="002906A3">
        <w:t xml:space="preserve"> </w:t>
      </w:r>
      <w:proofErr w:type="spellStart"/>
      <w:r w:rsidRPr="002906A3">
        <w:t>discussing</w:t>
      </w:r>
      <w:proofErr w:type="spellEnd"/>
      <w:r w:rsidRPr="002906A3">
        <w:t xml:space="preserve"> </w:t>
      </w:r>
      <w:proofErr w:type="spellStart"/>
      <w:r w:rsidRPr="002906A3">
        <w:t>the</w:t>
      </w:r>
      <w:proofErr w:type="spellEnd"/>
      <w:r w:rsidRPr="002906A3">
        <w:t xml:space="preserve"> </w:t>
      </w:r>
      <w:proofErr w:type="spellStart"/>
      <w:r w:rsidRPr="002906A3">
        <w:t>possibilities</w:t>
      </w:r>
      <w:proofErr w:type="spellEnd"/>
      <w:r w:rsidRPr="002906A3">
        <w:t xml:space="preserve"> of a </w:t>
      </w:r>
      <w:proofErr w:type="spellStart"/>
      <w:r w:rsidRPr="002906A3">
        <w:t>new</w:t>
      </w:r>
      <w:proofErr w:type="spellEnd"/>
      <w:r w:rsidRPr="002906A3">
        <w:t xml:space="preserve"> </w:t>
      </w:r>
      <w:proofErr w:type="spellStart"/>
      <w:r w:rsidRPr="002906A3">
        <w:t>woman</w:t>
      </w:r>
      <w:proofErr w:type="spellEnd"/>
      <w:r w:rsidRPr="002906A3">
        <w:t xml:space="preserve"> </w:t>
      </w:r>
      <w:proofErr w:type="spellStart"/>
      <w:r w:rsidRPr="002906A3">
        <w:t>identity</w:t>
      </w:r>
      <w:proofErr w:type="spellEnd"/>
      <w:r w:rsidRPr="002906A3">
        <w:t xml:space="preserve"> </w:t>
      </w:r>
      <w:proofErr w:type="spellStart"/>
      <w:r w:rsidRPr="002906A3">
        <w:t>that</w:t>
      </w:r>
      <w:proofErr w:type="spellEnd"/>
      <w:r w:rsidRPr="002906A3">
        <w:t xml:space="preserve"> is </w:t>
      </w:r>
      <w:proofErr w:type="spellStart"/>
      <w:r w:rsidRPr="002906A3">
        <w:t>independent</w:t>
      </w:r>
      <w:proofErr w:type="spellEnd"/>
      <w:r w:rsidRPr="002906A3">
        <w:t xml:space="preserve"> of </w:t>
      </w:r>
      <w:proofErr w:type="spellStart"/>
      <w:r w:rsidRPr="002906A3">
        <w:t>motherhood</w:t>
      </w:r>
      <w:proofErr w:type="spellEnd"/>
      <w:r w:rsidRPr="002906A3">
        <w:t xml:space="preserve">. </w:t>
      </w:r>
      <w:proofErr w:type="spellStart"/>
      <w:r w:rsidRPr="002906A3">
        <w:t>The</w:t>
      </w:r>
      <w:proofErr w:type="spellEnd"/>
      <w:r w:rsidRPr="002906A3">
        <w:t xml:space="preserve"> </w:t>
      </w:r>
      <w:proofErr w:type="spellStart"/>
      <w:r w:rsidRPr="002906A3">
        <w:t>patriarchal</w:t>
      </w:r>
      <w:proofErr w:type="spellEnd"/>
      <w:r w:rsidRPr="002906A3">
        <w:t xml:space="preserve"> </w:t>
      </w:r>
      <w:proofErr w:type="spellStart"/>
      <w:r w:rsidRPr="002906A3">
        <w:t>system</w:t>
      </w:r>
      <w:proofErr w:type="spellEnd"/>
      <w:r w:rsidRPr="002906A3">
        <w:t xml:space="preserve">, </w:t>
      </w:r>
      <w:proofErr w:type="spellStart"/>
      <w:r w:rsidRPr="002906A3">
        <w:t>while</w:t>
      </w:r>
      <w:proofErr w:type="spellEnd"/>
      <w:r w:rsidRPr="002906A3">
        <w:t xml:space="preserve"> </w:t>
      </w:r>
      <w:proofErr w:type="spellStart"/>
      <w:r w:rsidRPr="002906A3">
        <w:t>constraining</w:t>
      </w:r>
      <w:proofErr w:type="spellEnd"/>
      <w:r w:rsidRPr="002906A3">
        <w:t xml:space="preserve"> </w:t>
      </w:r>
      <w:proofErr w:type="spellStart"/>
      <w:r w:rsidRPr="002906A3">
        <w:t>women</w:t>
      </w:r>
      <w:proofErr w:type="spellEnd"/>
      <w:r w:rsidRPr="002906A3">
        <w:t xml:space="preserve"> in </w:t>
      </w:r>
      <w:proofErr w:type="spellStart"/>
      <w:r w:rsidRPr="002906A3">
        <w:t>all</w:t>
      </w:r>
      <w:proofErr w:type="spellEnd"/>
      <w:r w:rsidRPr="002906A3">
        <w:t xml:space="preserve"> </w:t>
      </w:r>
      <w:proofErr w:type="spellStart"/>
      <w:r w:rsidRPr="002906A3">
        <w:t>aspects</w:t>
      </w:r>
      <w:proofErr w:type="spellEnd"/>
      <w:r w:rsidRPr="002906A3">
        <w:t xml:space="preserve"> of </w:t>
      </w:r>
      <w:proofErr w:type="spellStart"/>
      <w:r w:rsidRPr="002906A3">
        <w:t>motherhood</w:t>
      </w:r>
      <w:proofErr w:type="spellEnd"/>
      <w:r w:rsidRPr="002906A3">
        <w:t xml:space="preserve">, is </w:t>
      </w:r>
      <w:proofErr w:type="spellStart"/>
      <w:r w:rsidRPr="002906A3">
        <w:t>challenged</w:t>
      </w:r>
      <w:proofErr w:type="spellEnd"/>
      <w:r w:rsidRPr="002906A3">
        <w:t xml:space="preserve"> </w:t>
      </w:r>
      <w:proofErr w:type="spellStart"/>
      <w:r w:rsidRPr="002906A3">
        <w:t>by</w:t>
      </w:r>
      <w:proofErr w:type="spellEnd"/>
      <w:r w:rsidRPr="002906A3">
        <w:t xml:space="preserve"> </w:t>
      </w:r>
      <w:proofErr w:type="spellStart"/>
      <w:r w:rsidRPr="002906A3">
        <w:t>the</w:t>
      </w:r>
      <w:proofErr w:type="spellEnd"/>
      <w:r w:rsidRPr="002906A3">
        <w:t xml:space="preserve"> </w:t>
      </w:r>
      <w:proofErr w:type="spellStart"/>
      <w:r w:rsidRPr="002906A3">
        <w:t>increasing</w:t>
      </w:r>
      <w:proofErr w:type="spellEnd"/>
      <w:r w:rsidRPr="002906A3">
        <w:t xml:space="preserve"> </w:t>
      </w:r>
      <w:proofErr w:type="spellStart"/>
      <w:r w:rsidRPr="002906A3">
        <w:t>visibility</w:t>
      </w:r>
      <w:proofErr w:type="spellEnd"/>
      <w:r w:rsidRPr="002906A3">
        <w:t xml:space="preserve"> of </w:t>
      </w:r>
      <w:proofErr w:type="spellStart"/>
      <w:r w:rsidRPr="002906A3">
        <w:t>women</w:t>
      </w:r>
      <w:proofErr w:type="spellEnd"/>
      <w:r w:rsidRPr="002906A3">
        <w:t xml:space="preserve"> </w:t>
      </w:r>
      <w:proofErr w:type="spellStart"/>
      <w:r w:rsidRPr="002906A3">
        <w:t>who</w:t>
      </w:r>
      <w:proofErr w:type="spellEnd"/>
      <w:r w:rsidRPr="002906A3">
        <w:t xml:space="preserve"> </w:t>
      </w:r>
      <w:proofErr w:type="spellStart"/>
      <w:r w:rsidRPr="002906A3">
        <w:t>choose</w:t>
      </w:r>
      <w:proofErr w:type="spellEnd"/>
      <w:r w:rsidRPr="002906A3">
        <w:t xml:space="preserve"> a </w:t>
      </w:r>
      <w:proofErr w:type="spellStart"/>
      <w:r w:rsidRPr="002906A3">
        <w:t>childfree</w:t>
      </w:r>
      <w:proofErr w:type="spellEnd"/>
      <w:r w:rsidRPr="002906A3">
        <w:t xml:space="preserve"> life, </w:t>
      </w:r>
      <w:proofErr w:type="spellStart"/>
      <w:r w:rsidRPr="002906A3">
        <w:t>which</w:t>
      </w:r>
      <w:proofErr w:type="spellEnd"/>
      <w:r w:rsidRPr="002906A3">
        <w:t xml:space="preserve"> </w:t>
      </w:r>
      <w:proofErr w:type="spellStart"/>
      <w:r w:rsidRPr="002906A3">
        <w:t>forms</w:t>
      </w:r>
      <w:proofErr w:type="spellEnd"/>
      <w:r w:rsidRPr="002906A3">
        <w:t xml:space="preserve"> </w:t>
      </w:r>
      <w:proofErr w:type="spellStart"/>
      <w:r w:rsidRPr="002906A3">
        <w:t>the</w:t>
      </w:r>
      <w:proofErr w:type="spellEnd"/>
      <w:r w:rsidRPr="002906A3">
        <w:t xml:space="preserve"> </w:t>
      </w:r>
      <w:proofErr w:type="spellStart"/>
      <w:r w:rsidRPr="002906A3">
        <w:t>core</w:t>
      </w:r>
      <w:proofErr w:type="spellEnd"/>
      <w:r w:rsidRPr="002906A3">
        <w:t xml:space="preserve"> </w:t>
      </w:r>
      <w:proofErr w:type="spellStart"/>
      <w:r w:rsidRPr="002906A3">
        <w:t>hypothesis</w:t>
      </w:r>
      <w:proofErr w:type="spellEnd"/>
      <w:r w:rsidRPr="002906A3">
        <w:t xml:space="preserve"> of </w:t>
      </w:r>
      <w:proofErr w:type="spellStart"/>
      <w:r w:rsidRPr="002906A3">
        <w:t>this</w:t>
      </w:r>
      <w:proofErr w:type="spellEnd"/>
      <w:r w:rsidRPr="002906A3">
        <w:t xml:space="preserve"> </w:t>
      </w:r>
      <w:proofErr w:type="spellStart"/>
      <w:r w:rsidRPr="002906A3">
        <w:t>study</w:t>
      </w:r>
      <w:proofErr w:type="spellEnd"/>
      <w:r w:rsidRPr="002906A3">
        <w:t xml:space="preserve">. </w:t>
      </w:r>
      <w:proofErr w:type="spellStart"/>
      <w:r w:rsidRPr="002906A3">
        <w:t>In</w:t>
      </w:r>
      <w:proofErr w:type="spellEnd"/>
      <w:r w:rsidRPr="002906A3">
        <w:t xml:space="preserve"> </w:t>
      </w:r>
      <w:proofErr w:type="spellStart"/>
      <w:r w:rsidRPr="002906A3">
        <w:t>summary</w:t>
      </w:r>
      <w:proofErr w:type="spellEnd"/>
      <w:r w:rsidRPr="002906A3">
        <w:t xml:space="preserve">, </w:t>
      </w:r>
      <w:proofErr w:type="spellStart"/>
      <w:r w:rsidRPr="002906A3">
        <w:t>this</w:t>
      </w:r>
      <w:proofErr w:type="spellEnd"/>
      <w:r w:rsidRPr="002906A3">
        <w:t xml:space="preserve"> </w:t>
      </w:r>
      <w:proofErr w:type="spellStart"/>
      <w:r w:rsidRPr="002906A3">
        <w:t>article</w:t>
      </w:r>
      <w:proofErr w:type="spellEnd"/>
      <w:r w:rsidRPr="002906A3">
        <w:t xml:space="preserve"> </w:t>
      </w:r>
      <w:proofErr w:type="spellStart"/>
      <w:r w:rsidRPr="002906A3">
        <w:t>will</w:t>
      </w:r>
      <w:proofErr w:type="spellEnd"/>
      <w:r w:rsidRPr="002906A3">
        <w:t xml:space="preserve"> </w:t>
      </w:r>
      <w:proofErr w:type="spellStart"/>
      <w:r w:rsidRPr="002906A3">
        <w:t>first</w:t>
      </w:r>
      <w:proofErr w:type="spellEnd"/>
      <w:r w:rsidRPr="002906A3">
        <w:t xml:space="preserve"> </w:t>
      </w:r>
      <w:proofErr w:type="spellStart"/>
      <w:r w:rsidRPr="002906A3">
        <w:t>elaborate</w:t>
      </w:r>
      <w:proofErr w:type="spellEnd"/>
      <w:r w:rsidRPr="002906A3">
        <w:t xml:space="preserve"> on </w:t>
      </w:r>
      <w:proofErr w:type="spellStart"/>
      <w:r w:rsidRPr="002906A3">
        <w:t>the</w:t>
      </w:r>
      <w:proofErr w:type="spellEnd"/>
      <w:r w:rsidRPr="002906A3">
        <w:t xml:space="preserve"> </w:t>
      </w:r>
      <w:proofErr w:type="spellStart"/>
      <w:r w:rsidRPr="002906A3">
        <w:t>concept</w:t>
      </w:r>
      <w:proofErr w:type="spellEnd"/>
      <w:r w:rsidRPr="002906A3">
        <w:t xml:space="preserve"> of </w:t>
      </w:r>
      <w:proofErr w:type="spellStart"/>
      <w:r w:rsidRPr="002906A3">
        <w:t>sexist</w:t>
      </w:r>
      <w:proofErr w:type="spellEnd"/>
      <w:r w:rsidRPr="002906A3">
        <w:t xml:space="preserve"> </w:t>
      </w:r>
      <w:proofErr w:type="spellStart"/>
      <w:r w:rsidRPr="002906A3">
        <w:t>hypocrisy</w:t>
      </w:r>
      <w:proofErr w:type="spellEnd"/>
      <w:r w:rsidRPr="002906A3">
        <w:t xml:space="preserve"> in </w:t>
      </w:r>
      <w:proofErr w:type="spellStart"/>
      <w:r w:rsidRPr="002906A3">
        <w:t>the</w:t>
      </w:r>
      <w:proofErr w:type="spellEnd"/>
      <w:r w:rsidRPr="002906A3">
        <w:t xml:space="preserve"> </w:t>
      </w:r>
      <w:proofErr w:type="spellStart"/>
      <w:r w:rsidRPr="002906A3">
        <w:t>context</w:t>
      </w:r>
      <w:proofErr w:type="spellEnd"/>
      <w:r w:rsidRPr="002906A3">
        <w:t xml:space="preserve"> of </w:t>
      </w:r>
      <w:proofErr w:type="spellStart"/>
      <w:r w:rsidRPr="002906A3">
        <w:t>motherhood</w:t>
      </w:r>
      <w:proofErr w:type="spellEnd"/>
      <w:r w:rsidRPr="002906A3">
        <w:t xml:space="preserve"> </w:t>
      </w:r>
      <w:proofErr w:type="spellStart"/>
      <w:r w:rsidRPr="002906A3">
        <w:t>identity</w:t>
      </w:r>
      <w:proofErr w:type="spellEnd"/>
      <w:r w:rsidRPr="002906A3">
        <w:t xml:space="preserve"> </w:t>
      </w:r>
      <w:proofErr w:type="spellStart"/>
      <w:r w:rsidRPr="002906A3">
        <w:t>and</w:t>
      </w:r>
      <w:proofErr w:type="spellEnd"/>
      <w:r w:rsidRPr="002906A3">
        <w:t xml:space="preserve"> role. </w:t>
      </w:r>
      <w:proofErr w:type="spellStart"/>
      <w:r w:rsidRPr="002906A3">
        <w:t>Subsequently</w:t>
      </w:r>
      <w:proofErr w:type="spellEnd"/>
      <w:r w:rsidRPr="002906A3">
        <w:t xml:space="preserve">, </w:t>
      </w:r>
      <w:proofErr w:type="spellStart"/>
      <w:r w:rsidRPr="002906A3">
        <w:t>discussions</w:t>
      </w:r>
      <w:proofErr w:type="spellEnd"/>
      <w:r w:rsidRPr="002906A3">
        <w:t xml:space="preserve"> on </w:t>
      </w:r>
      <w:proofErr w:type="spellStart"/>
      <w:r w:rsidRPr="002906A3">
        <w:t>motherhood</w:t>
      </w:r>
      <w:proofErr w:type="spellEnd"/>
      <w:r w:rsidRPr="002906A3">
        <w:t xml:space="preserve"> </w:t>
      </w:r>
      <w:proofErr w:type="spellStart"/>
      <w:r w:rsidRPr="002906A3">
        <w:t>and</w:t>
      </w:r>
      <w:proofErr w:type="spellEnd"/>
      <w:r w:rsidRPr="002906A3">
        <w:t xml:space="preserve"> </w:t>
      </w:r>
      <w:proofErr w:type="spellStart"/>
      <w:r w:rsidRPr="002906A3">
        <w:t>feminine</w:t>
      </w:r>
      <w:proofErr w:type="spellEnd"/>
      <w:r w:rsidRPr="002906A3">
        <w:t xml:space="preserve"> </w:t>
      </w:r>
      <w:proofErr w:type="spellStart"/>
      <w:r w:rsidRPr="002906A3">
        <w:t>identity</w:t>
      </w:r>
      <w:proofErr w:type="spellEnd"/>
      <w:r w:rsidRPr="002906A3">
        <w:t xml:space="preserve"> </w:t>
      </w:r>
      <w:proofErr w:type="spellStart"/>
      <w:r w:rsidRPr="002906A3">
        <w:t>will</w:t>
      </w:r>
      <w:proofErr w:type="spellEnd"/>
      <w:r w:rsidRPr="002906A3">
        <w:t xml:space="preserve"> be </w:t>
      </w:r>
      <w:proofErr w:type="spellStart"/>
      <w:r w:rsidRPr="002906A3">
        <w:t>addressed</w:t>
      </w:r>
      <w:proofErr w:type="spellEnd"/>
      <w:r w:rsidRPr="002906A3">
        <w:t xml:space="preserve">, </w:t>
      </w:r>
      <w:proofErr w:type="spellStart"/>
      <w:r w:rsidRPr="002906A3">
        <w:t>focusing</w:t>
      </w:r>
      <w:proofErr w:type="spellEnd"/>
      <w:r w:rsidRPr="002906A3">
        <w:t xml:space="preserve"> on </w:t>
      </w:r>
      <w:proofErr w:type="spellStart"/>
      <w:r w:rsidRPr="002906A3">
        <w:t>the</w:t>
      </w:r>
      <w:proofErr w:type="spellEnd"/>
      <w:r w:rsidRPr="002906A3">
        <w:t xml:space="preserve"> </w:t>
      </w:r>
      <w:proofErr w:type="spellStart"/>
      <w:r w:rsidRPr="002906A3">
        <w:t>issue</w:t>
      </w:r>
      <w:proofErr w:type="spellEnd"/>
      <w:r w:rsidRPr="002906A3">
        <w:t xml:space="preserve"> of </w:t>
      </w:r>
      <w:proofErr w:type="spellStart"/>
      <w:r w:rsidRPr="002906A3">
        <w:t>voluntarily</w:t>
      </w:r>
      <w:proofErr w:type="spellEnd"/>
      <w:r w:rsidRPr="002906A3">
        <w:t xml:space="preserve"> </w:t>
      </w:r>
      <w:proofErr w:type="spellStart"/>
      <w:r w:rsidRPr="002906A3">
        <w:t>choosing</w:t>
      </w:r>
      <w:proofErr w:type="spellEnd"/>
      <w:r w:rsidRPr="002906A3">
        <w:t xml:space="preserve"> </w:t>
      </w:r>
      <w:proofErr w:type="spellStart"/>
      <w:r w:rsidRPr="002906A3">
        <w:t>motherhood</w:t>
      </w:r>
      <w:proofErr w:type="spellEnd"/>
      <w:r w:rsidRPr="002906A3">
        <w:t>.</w:t>
      </w:r>
    </w:p>
    <w:p w14:paraId="2E3B4AB5" w14:textId="77777777" w:rsidR="001E7189" w:rsidRPr="002906A3" w:rsidRDefault="001E7189" w:rsidP="001E7189">
      <w:pPr>
        <w:jc w:val="both"/>
      </w:pPr>
    </w:p>
    <w:p w14:paraId="33ADDF44" w14:textId="77777777" w:rsidR="001E7189" w:rsidRPr="002906A3" w:rsidRDefault="001E7189" w:rsidP="001E7189">
      <w:pPr>
        <w:jc w:val="both"/>
      </w:pPr>
      <w:proofErr w:type="spellStart"/>
      <w:r w:rsidRPr="002906A3">
        <w:rPr>
          <w:b/>
          <w:bCs/>
        </w:rPr>
        <w:t>Keywords</w:t>
      </w:r>
      <w:proofErr w:type="spellEnd"/>
      <w:r w:rsidRPr="002906A3">
        <w:t xml:space="preserve">: </w:t>
      </w:r>
      <w:proofErr w:type="spellStart"/>
      <w:r w:rsidRPr="002906A3">
        <w:t>Feminine</w:t>
      </w:r>
      <w:proofErr w:type="spellEnd"/>
      <w:r w:rsidRPr="002906A3">
        <w:t xml:space="preserve"> </w:t>
      </w:r>
      <w:proofErr w:type="spellStart"/>
      <w:r w:rsidRPr="002906A3">
        <w:t>Condition</w:t>
      </w:r>
      <w:proofErr w:type="spellEnd"/>
      <w:r w:rsidRPr="002906A3">
        <w:t xml:space="preserve">, </w:t>
      </w:r>
      <w:proofErr w:type="spellStart"/>
      <w:r w:rsidRPr="002906A3">
        <w:t>Motherhood</w:t>
      </w:r>
      <w:proofErr w:type="spellEnd"/>
      <w:r w:rsidRPr="002906A3">
        <w:t xml:space="preserve">, First </w:t>
      </w:r>
      <w:proofErr w:type="spellStart"/>
      <w:r w:rsidRPr="002906A3">
        <w:t>and</w:t>
      </w:r>
      <w:proofErr w:type="spellEnd"/>
      <w:r w:rsidRPr="002906A3">
        <w:t xml:space="preserve"> Second </w:t>
      </w:r>
      <w:proofErr w:type="spellStart"/>
      <w:r w:rsidRPr="002906A3">
        <w:t>Wave</w:t>
      </w:r>
      <w:proofErr w:type="spellEnd"/>
      <w:r w:rsidRPr="002906A3">
        <w:t xml:space="preserve"> </w:t>
      </w:r>
      <w:proofErr w:type="spellStart"/>
      <w:r w:rsidRPr="002906A3">
        <w:t>Feminism</w:t>
      </w:r>
      <w:proofErr w:type="spellEnd"/>
      <w:r w:rsidRPr="002906A3">
        <w:t xml:space="preserve">, </w:t>
      </w:r>
      <w:proofErr w:type="spellStart"/>
      <w:r w:rsidRPr="002906A3">
        <w:t>Sexist</w:t>
      </w:r>
      <w:proofErr w:type="spellEnd"/>
      <w:r w:rsidRPr="002906A3">
        <w:t xml:space="preserve"> </w:t>
      </w:r>
      <w:proofErr w:type="spellStart"/>
      <w:r w:rsidRPr="002906A3">
        <w:t>Hypocrisy</w:t>
      </w:r>
      <w:proofErr w:type="spellEnd"/>
      <w:r w:rsidRPr="002906A3">
        <w:t xml:space="preserve">, </w:t>
      </w:r>
      <w:proofErr w:type="spellStart"/>
      <w:r w:rsidRPr="002906A3">
        <w:t>Voluntary</w:t>
      </w:r>
      <w:proofErr w:type="spellEnd"/>
      <w:r w:rsidRPr="002906A3">
        <w:t xml:space="preserve"> </w:t>
      </w:r>
      <w:proofErr w:type="spellStart"/>
      <w:r w:rsidRPr="002906A3">
        <w:t>Motherhood</w:t>
      </w:r>
      <w:proofErr w:type="spellEnd"/>
    </w:p>
    <w:p w14:paraId="305B018E" w14:textId="77777777" w:rsidR="001E7189" w:rsidRPr="002906A3" w:rsidRDefault="001E7189" w:rsidP="001E7189">
      <w:pPr>
        <w:jc w:val="both"/>
      </w:pPr>
    </w:p>
    <w:p w14:paraId="2E5773DD" w14:textId="77777777" w:rsidR="001E7189" w:rsidRPr="002906A3" w:rsidRDefault="001E7189" w:rsidP="001E7189">
      <w:pPr>
        <w:jc w:val="both"/>
        <w:rPr>
          <w:b/>
        </w:rPr>
      </w:pPr>
      <w:r w:rsidRPr="002906A3">
        <w:rPr>
          <w:b/>
        </w:rPr>
        <w:t>Giriş</w:t>
      </w:r>
    </w:p>
    <w:p w14:paraId="6C049F81" w14:textId="179B9536" w:rsidR="001E7189" w:rsidRDefault="001E7189" w:rsidP="001E7189">
      <w:pPr>
        <w:jc w:val="both"/>
      </w:pPr>
      <w:r w:rsidRPr="002906A3">
        <w:t xml:space="preserve">Amerika Birleşik Devletleri’nde (ABD) yapılan araştırmalar, son zamanlarda artık daha az kadının, genç yaşta doğum yaptığını ortaya koymuştur. Bu durumun sebebi, kadınların mevcut eğitim seviyesi olmakla birlikte üniversite mezunu kadınların ortalama yedi yaş daha geç çocuk sahibi olmasından kaynaklanmaktadır. Çocuk sahibi olmayı erteleyen bu kadınların </w:t>
      </w:r>
      <w:proofErr w:type="spellStart"/>
      <w:r w:rsidRPr="002906A3">
        <w:t>sosyo</w:t>
      </w:r>
      <w:proofErr w:type="spellEnd"/>
      <w:r w:rsidRPr="002906A3">
        <w:t xml:space="preserve">-ekonomik sermayesi yüksek iken; buna kıyasla </w:t>
      </w:r>
      <w:proofErr w:type="spellStart"/>
      <w:r w:rsidRPr="002906A3">
        <w:t>sosyo</w:t>
      </w:r>
      <w:proofErr w:type="spellEnd"/>
      <w:r w:rsidRPr="002906A3">
        <w:t>-ekonomik sermayesi düşük kadınlar için anneliğin, duygusal tatmin, toplumsal statü ve yetişkin olma yolunda faydalarının olduğu da ortaya konmuştur (</w:t>
      </w:r>
      <w:proofErr w:type="spellStart"/>
      <w:r w:rsidRPr="002906A3">
        <w:t>Bui</w:t>
      </w:r>
      <w:proofErr w:type="spellEnd"/>
      <w:r w:rsidRPr="002906A3">
        <w:t xml:space="preserve"> ve </w:t>
      </w:r>
      <w:proofErr w:type="spellStart"/>
      <w:r w:rsidRPr="002906A3">
        <w:t>Cain</w:t>
      </w:r>
      <w:proofErr w:type="spellEnd"/>
      <w:r w:rsidRPr="002906A3">
        <w:t xml:space="preserve"> Miller, 4 Ağustos 2018). Öte yandan örneğin, İrlanda da ise, gönüllü çocuksuzluğun tümüyle incelenmediğine işaret eden Joan </w:t>
      </w:r>
      <w:proofErr w:type="spellStart"/>
      <w:r w:rsidRPr="002906A3">
        <w:t>Cronin</w:t>
      </w:r>
      <w:proofErr w:type="spellEnd"/>
      <w:r w:rsidRPr="002906A3">
        <w:t xml:space="preserve"> (2021, s.1), bunun kökenlerinin nüfus politikaları ile ilişkili olarak anneliğin doğal ve içgüdüsel olduğuna dair inanç olduğunun altını çizer. İrlanda’da artan yüksek yaşam maliyetleri ve çocuk bakımının pahalılaşması; kadınların, ücretli istihdamdan uzaklaşmasını engellerken giderek artan oranda anneliği reddetmesine yol açmaktadır.</w:t>
      </w:r>
    </w:p>
    <w:p w14:paraId="764EEA93" w14:textId="77777777" w:rsidR="000C6508" w:rsidRPr="002906A3" w:rsidRDefault="000C6508" w:rsidP="001E7189">
      <w:pPr>
        <w:jc w:val="both"/>
      </w:pPr>
    </w:p>
    <w:p w14:paraId="0867F6E0" w14:textId="46B7EF9E" w:rsidR="001E7189" w:rsidRDefault="001E7189" w:rsidP="001E7189">
      <w:pPr>
        <w:jc w:val="both"/>
      </w:pPr>
      <w:r w:rsidRPr="002906A3">
        <w:t>Bu bağlamda, annelik kimliği/rolüne dair birçok alanda psikolojik, ideolojik, tarihsel ve toplumsal araştırma yapılmaktadır. Yüce, kutsal, şefkatli, iyi yürekli, fedakâr gibi annelik kavramına atfedilen bütün cinsiyetçi kalıp yargılar anneliğe dair norm ve değerleri, doğallaştırarak normalleştirir. Annelik, ‘ideal’ kadının ulaşması gereken/gerektiği düşünülen en üst mertebe olarak kadın hayatının merkezinde yer almaya devam etmektedir. Dolayısıyla kadınlık kimliği annelik kimliği ile bir arada düşünülür -ve hatta annelik kimliği önceliklendirilir- ve böylece meşrulaştırılır. Bu nedenledir ki anne olmayan, anne olmak istemeyen ve anne olmak isteyip de olamayan kadınlara karşı toplumsal baskı kaçınılmaz olduğundan, annelik kavramını eleştirel bir perspektiften incelemek elzemdir.</w:t>
      </w:r>
    </w:p>
    <w:p w14:paraId="7D8E60EB" w14:textId="77777777" w:rsidR="000C6508" w:rsidRPr="002906A3" w:rsidRDefault="000C6508" w:rsidP="001E7189">
      <w:pPr>
        <w:jc w:val="both"/>
      </w:pPr>
    </w:p>
    <w:p w14:paraId="4495D470" w14:textId="77777777" w:rsidR="000C6508" w:rsidRDefault="001E7189" w:rsidP="001E7189">
      <w:pPr>
        <w:jc w:val="both"/>
      </w:pPr>
      <w:r w:rsidRPr="002906A3">
        <w:t>Kadınlık durumu problematiğinden yola çıkan bu çalışmada, metin boyunca ‘gönüllü’ çocuksuzluk kavramı, tek tırnak içinde kullanılmıştır. Bunun sebebi ise, gönüllü olarak çocuk sahibi olduğunu beyan eden/düşünen kadınların, hayatlarının en azından bir döneminde çocuk sahibi olmayı düşünmeleridir. Bu nedenledir ki sınırları keskin bir gönüllü çocuksuz kavramının tanımı yapılamayacağı gibi ‘gönüllü’ -tek tırnak ile- şeklindeki kullanım, gönüllü olarak anne olma meselesine de bir göndermedir. Çünkü hayat akışı içerisinde kişi çocuk sahibi olmak isteyebilir, olmayı düşünebilir, bu isteği erteleyebilir veyahut bu fikre, erken kimlik oluşumundan itibaren sıkı sıkıya bağlı kalabilir. Bu açıdan kadınlık durumu bağlamında esasen kadınların, gönüllü olarak anne olmadıkları/olmak istemedikleri tespiti, çalışma boyunca irdelenmiştir. Öncelikle toplumsal annelik ve fark vurgusu üzerinde durulmuş, ardından cinsiyetçi ikiyüzlülük kavramı açıklanmış ve gönüllü olarak anne olma meselesi tartışılmıştır.</w:t>
      </w:r>
    </w:p>
    <w:p w14:paraId="1776AF24" w14:textId="19704BD1" w:rsidR="001E7189" w:rsidRPr="002906A3" w:rsidRDefault="001E7189" w:rsidP="001E7189">
      <w:pPr>
        <w:jc w:val="both"/>
      </w:pPr>
    </w:p>
    <w:p w14:paraId="3F29C1A8" w14:textId="77777777" w:rsidR="001E7189" w:rsidRPr="002906A3" w:rsidRDefault="001E7189" w:rsidP="001E7189">
      <w:pPr>
        <w:jc w:val="both"/>
        <w:rPr>
          <w:b/>
        </w:rPr>
      </w:pPr>
      <w:r w:rsidRPr="002906A3">
        <w:rPr>
          <w:b/>
        </w:rPr>
        <w:t>Toplumsal Annelik ve Fark Vurgusu</w:t>
      </w:r>
    </w:p>
    <w:p w14:paraId="3FF7321B" w14:textId="041950C5" w:rsidR="001E7189" w:rsidRDefault="001E7189" w:rsidP="001E7189">
      <w:pPr>
        <w:jc w:val="both"/>
      </w:pPr>
      <w:r w:rsidRPr="002906A3">
        <w:t xml:space="preserve">Modernitenin yol açtığı toplumsal değişme ve dönüşme ortamında -hem bu ortamdan etkilenen hem de bu ortamı etkileyen- Birinci Dalga Kadın Hareketi, kadınlık durumu bağlamında medeni ve siyasal haklar, eğitim alanında ve iş yaşamında önemli kazanımlar elde etmiştir. Tüm kazanımlarla birlikte, Ayşegül </w:t>
      </w:r>
      <w:proofErr w:type="spellStart"/>
      <w:r w:rsidRPr="002906A3">
        <w:t>Yaraman’a</w:t>
      </w:r>
      <w:proofErr w:type="spellEnd"/>
      <w:r w:rsidRPr="002906A3">
        <w:t xml:space="preserve"> (2020, s.26-27) göre, “Kadın ve erkek yurttaşın toplumsal dönüşümün gereği olarak ortaya çıkışı </w:t>
      </w:r>
      <w:proofErr w:type="gramStart"/>
      <w:r w:rsidRPr="002906A3">
        <w:t>ile beraber</w:t>
      </w:r>
      <w:proofErr w:type="gramEnd"/>
      <w:r w:rsidRPr="002906A3">
        <w:t xml:space="preserve"> tüm amaçsal değişiklikler gibi kadının da erkeğe biçimsel eşitliğinin bazı eksikliklere rağmen kabaca sağlanması pratiğin artık kendiliğinden dönüşeceği fikri yeterli bulundu. Ve kadın tüm bu kazanımların eşliğinde ‘toplumsal anneliğe’ terfi etti/kıstırıldı.” Bu bakımdan </w:t>
      </w:r>
      <w:proofErr w:type="spellStart"/>
      <w:r w:rsidRPr="002906A3">
        <w:t>Yaraman’ın</w:t>
      </w:r>
      <w:proofErr w:type="spellEnd"/>
      <w:r w:rsidRPr="002906A3">
        <w:t xml:space="preserve"> söz ettiği “biçimsel eşitlik”, kadının, norm olan erkeğe ulaştırılması hedefini içermektedir. Kadınlar, Birinci ve İkinci Dünya Savaşları’nın ardından ekonomik birtakım kazanımları ve ardından </w:t>
      </w:r>
      <w:proofErr w:type="spellStart"/>
      <w:r w:rsidRPr="002906A3">
        <w:t>yurttaşlaşma</w:t>
      </w:r>
      <w:proofErr w:type="spellEnd"/>
      <w:r w:rsidRPr="002906A3">
        <w:t xml:space="preserve"> sürecini, toplumun annesi sıfatıyla tecrübe etmişlerdir.</w:t>
      </w:r>
    </w:p>
    <w:p w14:paraId="3CC8988F" w14:textId="77777777" w:rsidR="000C6508" w:rsidRPr="002906A3" w:rsidRDefault="000C6508" w:rsidP="001E7189">
      <w:pPr>
        <w:jc w:val="both"/>
      </w:pPr>
    </w:p>
    <w:p w14:paraId="094A1B1E" w14:textId="5A3C3FC0" w:rsidR="001E7189" w:rsidRDefault="001E7189" w:rsidP="001E7189">
      <w:pPr>
        <w:jc w:val="both"/>
      </w:pPr>
      <w:r w:rsidRPr="002906A3">
        <w:t xml:space="preserve">Toplumsal anne sıfatıyla kadın, toplumun iyiliği adına annelik görevini -eğitim, önce ailede başlar fikri- yapmaya çağrılmıştır. </w:t>
      </w:r>
      <w:proofErr w:type="spellStart"/>
      <w:r w:rsidRPr="002906A3">
        <w:t>Yaraman’a</w:t>
      </w:r>
      <w:proofErr w:type="spellEnd"/>
      <w:r w:rsidRPr="002906A3">
        <w:t xml:space="preserve"> göre, bu durum, birinci yanılsamadır. Cumhuriyetin ilanından günümüze değerlendirildiğinde, kadının başat bir rol aldığı anlaşılmaktadır. Günümüze bakıldığında, örneğin, Türk Medeni Kanunu’nda (2001, https://www.mevzuat.gov.tr/mevzuatmetin/1.5.4721.pdf) yer aldığı üzere ebeveynler boşandığında çocuğun velayet hakkı, Madde 337’ye göre anneye aittir. Ancak “Ana küçük, kısıtlı veya ölmüş ya da velâyet kendisinden alınmışsa hâkim, çocuğun menfaatine göre, vasi atar veya velâyeti babaya verir.”</w:t>
      </w:r>
    </w:p>
    <w:p w14:paraId="31D6C616" w14:textId="77777777" w:rsidR="000C6508" w:rsidRPr="002906A3" w:rsidRDefault="000C6508" w:rsidP="001E7189">
      <w:pPr>
        <w:jc w:val="both"/>
      </w:pPr>
    </w:p>
    <w:p w14:paraId="7AFEF130" w14:textId="54668CB4" w:rsidR="001E7189" w:rsidRDefault="001E7189" w:rsidP="001E7189">
      <w:pPr>
        <w:jc w:val="both"/>
      </w:pPr>
      <w:r w:rsidRPr="002906A3">
        <w:t xml:space="preserve">İkinci Dalga Kadın Hareketi’nin etkisiyle, yani 21. yüzyılların ortasından itibaren erkeğe atfedilen değerler, sorgulanmaya başlanmıştır. Dolayısıyla İkinci Dalga Kadın Hareketi’nin ortaya çıkışı, modernleşme sürecinde erkeğin her alanda mevcut üstünlüğü sorgulanmasının gerekliliği ve farklı cinsiyetlerin denkliği için mücadelesi söz konusu olmuştur (Yaraman, 2008, s.833). Bu bağlamda, feministler tarafından, kadınların eşsiz bedenlerini diledikleri gibi kullanma ve anne olma kararının kendileri tarafından verilmesi gerektiğine dair fikirler, gün yüzüne çıkmıştır. Kadınların elde ettikleri kazanımlar </w:t>
      </w:r>
      <w:proofErr w:type="gramStart"/>
      <w:r w:rsidRPr="002906A3">
        <w:t>ile birlikte</w:t>
      </w:r>
      <w:proofErr w:type="gramEnd"/>
      <w:r w:rsidRPr="002906A3">
        <w:t xml:space="preserve"> artık annelik kimlikleri ile var olabilecekleri savunusu, fark olgusuna geçiş ile ortaya çıkmıştır. Fark olgusu çerçevesinde, “Özel olan politiktir!” sloganı ile kadınlar, ataerkil sistemi eleştirmiş ve kamusal\özel alan dikotomisine karşı çıkmışlardır. Bu ortamda değerler sorgulansa da kadın-erkek cinsiyet hiyerarşisi ortadan kalkmamıştır. Aksine kadınların çocuk üretebilen eşsiz bedenleri ve onları erkeklerden farklı kılan bu özellik, yüceltilmiştir (Tokdemir, </w:t>
      </w:r>
      <w:proofErr w:type="gramStart"/>
      <w:r w:rsidRPr="002906A3">
        <w:t>2023a</w:t>
      </w:r>
      <w:proofErr w:type="gramEnd"/>
      <w:r w:rsidRPr="002906A3">
        <w:t xml:space="preserve">, s.338). </w:t>
      </w:r>
      <w:proofErr w:type="spellStart"/>
      <w:r w:rsidRPr="002906A3">
        <w:t>Yaraman’ın</w:t>
      </w:r>
      <w:proofErr w:type="spellEnd"/>
      <w:r w:rsidRPr="002906A3">
        <w:t xml:space="preserve"> ikinci </w:t>
      </w:r>
      <w:r w:rsidRPr="002906A3">
        <w:lastRenderedPageBreak/>
        <w:t>yanılsama olarak nitelendirdiği bu ortamda annelik, en saygın/muteber sıfatıyla kadın hayatına geri dönmüştür.</w:t>
      </w:r>
    </w:p>
    <w:p w14:paraId="74D8826E" w14:textId="77777777" w:rsidR="00316176" w:rsidRPr="002906A3" w:rsidRDefault="00316176" w:rsidP="001E7189">
      <w:pPr>
        <w:jc w:val="both"/>
      </w:pPr>
    </w:p>
    <w:p w14:paraId="2177AD7C" w14:textId="77777777" w:rsidR="001E7189" w:rsidRPr="002906A3" w:rsidRDefault="001E7189" w:rsidP="001E7189">
      <w:pPr>
        <w:jc w:val="both"/>
        <w:rPr>
          <w:b/>
        </w:rPr>
      </w:pPr>
      <w:r w:rsidRPr="002906A3">
        <w:rPr>
          <w:b/>
        </w:rPr>
        <w:t>Cinsiyetçi İkiyüzlülük Kavramı</w:t>
      </w:r>
    </w:p>
    <w:p w14:paraId="074728DF" w14:textId="7D30BB11" w:rsidR="001E7189" w:rsidRDefault="001E7189" w:rsidP="001E7189">
      <w:pPr>
        <w:jc w:val="both"/>
      </w:pPr>
      <w:r w:rsidRPr="002906A3">
        <w:t xml:space="preserve">O halde, kadın-erkek cinsiyet hiyerarşisinin bu defa kadın bedeni övgüsüyle ve gönüllülükle yüceltildiği tespiti yapılabilir. Cinsiyetçi ikiyüzlülük kavramı, tam da bu noktada cinsiyetçi olduğu düşünülmeyen tutum ve davranışların gönüllülükle sürdürülmesinde açıklayıcıdır. Bu kavrama göre, cinsiyetçi ikiyüzlülük, aleni cinsiyetçilikten farklı olarak çok daha sinsi, tehlikeli ve herkese/hepimize içkindir. Herkes farkında olmasa dahi cinsiyetçi ikiyüzlülüğün bir yandan öznesi iken; bir yanda da nesnesidir (Yaraman, 2020, s.9-14; Kepenek, 21 Ekim 2020). Kadının ikincil konumu, mesleklerin cinsiyetlendirilmesi, çocuk sahibi olduğunda iş yerinden ayrılması, evlilik teklifinin erkekten beklenmesi veyahut anneler günü gibi örnekler, cinsiyetçi ikiyüzlülüğe dâhil örneklerdir. Bu örnekler çoğaltılabilir (Tokdemir, </w:t>
      </w:r>
      <w:proofErr w:type="gramStart"/>
      <w:r w:rsidRPr="002906A3">
        <w:t>2021a</w:t>
      </w:r>
      <w:proofErr w:type="gramEnd"/>
      <w:r w:rsidRPr="002906A3">
        <w:t xml:space="preserve">, s.66). Doğum izinlerinin dahi yalnızca kadınlar üzerinden düşünülmesi de bir cinsiyetçi ikiyüzlülük örneğidir. Anne-babanın sorumluluğunda büyüyecek yenidoğanın bakımı, -baba sadece yardımcıdır ve birincil sorumlu değildir- annenin, birincil görevi olarak düşünülmektedir. Örneğin, Hong </w:t>
      </w:r>
      <w:proofErr w:type="spellStart"/>
      <w:r w:rsidRPr="002906A3">
        <w:t>Kong’ta</w:t>
      </w:r>
      <w:proofErr w:type="spellEnd"/>
      <w:r w:rsidRPr="002906A3">
        <w:t xml:space="preserve">, doğum izninin uzatılmasına dair Çalışma Bakanlığı’nın yaptığı açıklama göre, 10 haftalık doğum izninin 14 haftaya çıkarılabileceğini açıklamıştır (News.govs.hk, 4 Aralık 2020). Yine Hollanda’da daha sonra yapılan başka bir araştırmaya göre ise, ücretli doğum izinlerinin dört hafta uzatılması </w:t>
      </w:r>
      <w:proofErr w:type="spellStart"/>
      <w:r w:rsidRPr="002906A3">
        <w:t>postpartum</w:t>
      </w:r>
      <w:proofErr w:type="spellEnd"/>
      <w:r w:rsidRPr="002906A3">
        <w:t xml:space="preserve"> (doğum sonrası depresyonu) vakalarında %22 oranında bir düşüşe yol açmıştır (</w:t>
      </w:r>
      <w:proofErr w:type="spellStart"/>
      <w:r w:rsidRPr="002906A3">
        <w:t>myNews</w:t>
      </w:r>
      <w:proofErr w:type="spellEnd"/>
      <w:r w:rsidRPr="002906A3">
        <w:t>, 4 Eylül 2024). Burada, bu kararın doğru ya da yanlış olduğunu iddia etmekten ziyade söz konusu kararın, yalnızca kadınlar üzerinden bir araştırma yürütülmesidir. Dolayısıyla doğum sonrası erkeğe verilen/verilecek doğum izni konuşulmadığı gibi benzer araştırmalar erkeği/babayı dışlar.</w:t>
      </w:r>
    </w:p>
    <w:p w14:paraId="0F31237C" w14:textId="77777777" w:rsidR="000C6508" w:rsidRPr="002906A3" w:rsidRDefault="000C6508" w:rsidP="001E7189">
      <w:pPr>
        <w:jc w:val="both"/>
      </w:pPr>
    </w:p>
    <w:p w14:paraId="4FF796AD" w14:textId="518567AC" w:rsidR="001E7189" w:rsidRDefault="001E7189" w:rsidP="001E7189">
      <w:pPr>
        <w:jc w:val="both"/>
      </w:pPr>
      <w:r w:rsidRPr="002906A3">
        <w:t>Diğer taraftan babalık izni konusunda İngiltere’de önemli bir gelişme kaydedilmiştir. ‘</w:t>
      </w:r>
      <w:proofErr w:type="spellStart"/>
      <w:r w:rsidRPr="002906A3">
        <w:t>Dad</w:t>
      </w:r>
      <w:proofErr w:type="spellEnd"/>
      <w:r w:rsidRPr="002906A3">
        <w:t xml:space="preserve"> </w:t>
      </w:r>
      <w:proofErr w:type="spellStart"/>
      <w:r w:rsidRPr="002906A3">
        <w:t>shift</w:t>
      </w:r>
      <w:proofErr w:type="spellEnd"/>
      <w:r w:rsidRPr="002906A3">
        <w:t>’ adında bir grup, iki haftalık olan babalık izninin artırılması talebiyle bir kampanya yürütmektedirler. Başkent Londra’daki heykellere maket bebek bağlayarak taleplerini görünür kılan bu aktivistler, baba ve bebek arasındaki bağa dikkat çekmektedirler (T24, 14 Eylül 2024). Bu hareket, özellikle annenin bebeği ile arasında ortaya çıktığı ve anne-bebek arasında var olduğu düşünülen bağ teorisini de (</w:t>
      </w:r>
      <w:proofErr w:type="spellStart"/>
      <w:r w:rsidRPr="002906A3">
        <w:t>Silva</w:t>
      </w:r>
      <w:proofErr w:type="spellEnd"/>
      <w:r w:rsidRPr="002906A3">
        <w:t>, 1996, s.12) ters yüz eder; zira bu aktivistler, bebekleriyle daha fazla zaman geçirmek istemektedirler.</w:t>
      </w:r>
    </w:p>
    <w:p w14:paraId="69AB1F98" w14:textId="77777777" w:rsidR="000C6508" w:rsidRPr="002906A3" w:rsidRDefault="000C6508" w:rsidP="001E7189">
      <w:pPr>
        <w:jc w:val="both"/>
      </w:pPr>
    </w:p>
    <w:p w14:paraId="685C565E" w14:textId="05E70BED" w:rsidR="001E7189" w:rsidRDefault="001E7189" w:rsidP="001E7189">
      <w:pPr>
        <w:jc w:val="both"/>
      </w:pPr>
      <w:r w:rsidRPr="002906A3">
        <w:t>Başka bir örnek, ‘çocuk da yaparım kariyer de’ söylemidir. Günümüzde bir yandan doğurganlık oranı azalırken; diğer yandan çocuk sayısı giderek düşse de kapitalizmin gelişimi ile özel alanda kadının sorumlulukları artmaya devam etmiştir. Dolayısıyla birincil bakım görevini üstlenen annenin psikolojik ve duygusal yükü/rolü de artmıştır. Çocukların kreşlerde, kurslarda ve okullarda geçirdiği vakit -ki çoğu zaman günün büyük bir kısmına tekabül eder- düşünüldüğünde (</w:t>
      </w:r>
      <w:proofErr w:type="spellStart"/>
      <w:r w:rsidRPr="002906A3">
        <w:t>Chodorow</w:t>
      </w:r>
      <w:proofErr w:type="spellEnd"/>
      <w:r w:rsidRPr="002906A3">
        <w:t xml:space="preserve">, 1978, s.4); Juliet Mitchell’in (1973, s.174) </w:t>
      </w:r>
      <w:proofErr w:type="spellStart"/>
      <w:r w:rsidRPr="002906A3">
        <w:t>Womans</w:t>
      </w:r>
      <w:proofErr w:type="spellEnd"/>
      <w:r w:rsidRPr="002906A3">
        <w:t xml:space="preserve"> </w:t>
      </w:r>
      <w:proofErr w:type="spellStart"/>
      <w:r w:rsidRPr="002906A3">
        <w:t>Estate</w:t>
      </w:r>
      <w:proofErr w:type="spellEnd"/>
      <w:r w:rsidRPr="002906A3">
        <w:t xml:space="preserve"> isimli yapıtında söz ettiği üzere, günümüzde çocukların ‘tam zamanlı’ anneliğe ne kadar ihtiyacının olduğu tartışılabilir; zira kadınların çoğu, geleneksel annelik rollerini gönüllülükle sürdürmektedirler. Böylece işgücü piyasasında yarı zamanlı işlerde çalışarak, aynı zamanda ev içi sorumluluklarını/görevlerini de yerine getirirler. Bu durum, çoklu görevlerde (</w:t>
      </w:r>
      <w:proofErr w:type="spellStart"/>
      <w:r w:rsidRPr="002906A3">
        <w:t>multitasking</w:t>
      </w:r>
      <w:proofErr w:type="spellEnd"/>
      <w:r w:rsidRPr="002906A3">
        <w:t xml:space="preserve">) kadınların erkeklere kıyasla daha başaralı olduğu övgüsüyle, normalleştirilir. Hâlbuki sosyolog </w:t>
      </w:r>
      <w:proofErr w:type="spellStart"/>
      <w:r w:rsidRPr="002906A3">
        <w:t>Leah</w:t>
      </w:r>
      <w:proofErr w:type="spellEnd"/>
      <w:r w:rsidRPr="002906A3">
        <w:t xml:space="preserve"> </w:t>
      </w:r>
      <w:proofErr w:type="spellStart"/>
      <w:r w:rsidRPr="002906A3">
        <w:t>Ruppaner</w:t>
      </w:r>
      <w:proofErr w:type="spellEnd"/>
      <w:r w:rsidRPr="002906A3">
        <w:t xml:space="preserve">, bunun bir kalıp yargı olduğunu iddia etmektedir. Almanya’da 48 kadın ve 48 erkek ile toplamda 96 kişi ile yapılan bir araştırmada, çoklu görevlerde ne kadınların ne de erkeklerin iyi olmadığı sonucu ortaya konmuştur (Perry, 22 Ağustos 2019). Ancak bu övgü, </w:t>
      </w:r>
      <w:r w:rsidRPr="002906A3">
        <w:lastRenderedPageBreak/>
        <w:t>kadınlar tarafından da hoş karşılanmakta; hem çocuğuna bakıp ev işlerinin üstlenilmesinin yanında kamusal alanda bu işlere engel teşkil etmeyecek işlerde çalışmasında sakınca görülmemektedir.</w:t>
      </w:r>
    </w:p>
    <w:p w14:paraId="607697D7" w14:textId="77777777" w:rsidR="000C6508" w:rsidRPr="002906A3" w:rsidRDefault="000C6508" w:rsidP="001E7189">
      <w:pPr>
        <w:jc w:val="both"/>
      </w:pPr>
    </w:p>
    <w:p w14:paraId="396A4717" w14:textId="77777777" w:rsidR="001E7189" w:rsidRDefault="001E7189" w:rsidP="001E7189">
      <w:pPr>
        <w:jc w:val="both"/>
      </w:pPr>
      <w:r w:rsidRPr="002906A3">
        <w:t xml:space="preserve">Hem Birinci Dalga Kadın Hareketi hem de İkinci Dalga Kadın Hareketi ile iç içe gelişen geleneksel toplumdan </w:t>
      </w:r>
      <w:proofErr w:type="spellStart"/>
      <w:r w:rsidRPr="002906A3">
        <w:t>postmodern</w:t>
      </w:r>
      <w:proofErr w:type="spellEnd"/>
      <w:r w:rsidRPr="002906A3">
        <w:t xml:space="preserve"> topluma, geleneksel anneliğe dair norm ve değerler dönüşüme uğrasa da ortadan kalkmamıştır. Anneliğe dair baskıcı normlar ve bedellerin yanında anneliğin kutsal olması ve kadın için bir statü/iktidar alanı sağlaması, bu rolün gönüllülükle sürdürülmesine olanak sağlar. Zaman içinde anneliğin anlamı değiştiği gibi, çocuğun statüsü de değişmiş ve çocuğun maddi değerinden ziyade manevi değeri ön plana çıkmıştır (</w:t>
      </w:r>
      <w:proofErr w:type="spellStart"/>
      <w:r w:rsidRPr="002906A3">
        <w:t>Kanazawa</w:t>
      </w:r>
      <w:proofErr w:type="spellEnd"/>
      <w:r w:rsidRPr="002906A3">
        <w:t>, 2014, s.157). Dolayısıyla tıpkı anne olmanın kutsallığı gibi çocuğun yaşamı da kutsallaştırılmıştır. Bu bağlamda, günümüzde ‘gönüllü’ çocuksuzluk kavramı ve tercihi de sıklıkla gündeme gelmektedir. O halde şu soru sorulabilir: Açmaza düşen annelik kavramının tartışılmasının zor olduğu bir ortamda gönüllü annelik konusu hangi zeminde tartışılmalıdır?</w:t>
      </w:r>
    </w:p>
    <w:p w14:paraId="21BBAE69" w14:textId="77777777" w:rsidR="000C6508" w:rsidRPr="002906A3" w:rsidRDefault="000C6508" w:rsidP="001E7189">
      <w:pPr>
        <w:jc w:val="both"/>
      </w:pPr>
    </w:p>
    <w:p w14:paraId="3D360942" w14:textId="77777777" w:rsidR="001E7189" w:rsidRPr="002906A3" w:rsidRDefault="001E7189" w:rsidP="001E7189">
      <w:pPr>
        <w:jc w:val="both"/>
        <w:rPr>
          <w:b/>
        </w:rPr>
      </w:pPr>
      <w:r w:rsidRPr="002906A3">
        <w:rPr>
          <w:b/>
        </w:rPr>
        <w:t>‘Gönüllü’ Çocuksuzluk: Annelik Gönüllü Olabilir mi?</w:t>
      </w:r>
    </w:p>
    <w:p w14:paraId="5D0E02E4" w14:textId="0BC13FCB" w:rsidR="001E7189" w:rsidRDefault="001E7189" w:rsidP="001E7189">
      <w:pPr>
        <w:jc w:val="both"/>
      </w:pPr>
      <w:r w:rsidRPr="002906A3">
        <w:t>TÜİK (Haber Bülteni, 15 Mayıs 2024) verilerine göre, yalnız yaşayan bireylerden oluşan hane halkı, 2015 yılında %14,4 iken; 2023 yılında %19,7 oranına yükselmiştir. TÜİK tarafından yayınlanan bir diğer istatistiğe göre ise, doğum hızı yıllar içinde düşüş göstermiş ve 2022’de 1,63 çocuk iken bu oran 2023’te 1,51’e gerilemiştir. Oranlar dikkate alındığında, Türkiye’de çocuksuz bir yaşamın artığı ve geleneksel aile yapısında değişiklikler yaşandığı anlaşılmaktadır. Avrupa Birliği doğurganlık hızına göz atıldığında da istatistikler, 1960’ların sonlarından itibaren doğum hızının düşüşte olduğunu göstermektedir. Yıllara göre bir dalgalanma söz konusu olsa da doğum hızı 2021 yılında COVID-19 nedeniyle yükselişe geçmesinin ardından 2022’de yeniden düşmeye başlamıştır. Böylece kişi başına düşen ortalama, 1,46 olarak hesaplanmıştır (</w:t>
      </w:r>
      <w:proofErr w:type="spellStart"/>
      <w:r w:rsidRPr="002906A3">
        <w:t>Eurostat</w:t>
      </w:r>
      <w:proofErr w:type="spellEnd"/>
      <w:r w:rsidRPr="002906A3">
        <w:t xml:space="preserve"> </w:t>
      </w:r>
      <w:proofErr w:type="spellStart"/>
      <w:r w:rsidRPr="002906A3">
        <w:t>Static</w:t>
      </w:r>
      <w:proofErr w:type="spellEnd"/>
      <w:r w:rsidRPr="002906A3">
        <w:t xml:space="preserve"> </w:t>
      </w:r>
      <w:proofErr w:type="spellStart"/>
      <w:r w:rsidRPr="002906A3">
        <w:t>Explained</w:t>
      </w:r>
      <w:proofErr w:type="spellEnd"/>
      <w:r w:rsidRPr="002906A3">
        <w:t xml:space="preserve">, Şubat 2024). </w:t>
      </w:r>
      <w:proofErr w:type="spellStart"/>
      <w:r w:rsidRPr="002906A3">
        <w:t>Pew</w:t>
      </w:r>
      <w:proofErr w:type="spellEnd"/>
      <w:r w:rsidRPr="002906A3">
        <w:t xml:space="preserve"> </w:t>
      </w:r>
      <w:proofErr w:type="spellStart"/>
      <w:r w:rsidRPr="002906A3">
        <w:t>Research</w:t>
      </w:r>
      <w:proofErr w:type="spellEnd"/>
      <w:r w:rsidRPr="002906A3">
        <w:t xml:space="preserve"> Center’in (25 Temmuz 2024) Amerika’da yapılan bir araştırmaya göre, ABD’de doğurganlık oranında tarihi bir düşüş gözlenmiştir. Araştırmada, 50 yaş altındaki kişilerin çocuk sahibi olmama ihtimali 2018 yılında %37 iken; 2023 yılında %47’ye yükselmiştir. Katılımcıların çoğu, çocuk sahibi olmamalarının en büyük gerekçesinin ‘istememeleri’ olduğunu söylemişlerdir. Başka bir deyişle gönüllü olarak çocuk sahibi olmak istemedikleri anlaşılmaktadır. Ancak yapılan araştırmalar, kendi isteğiyle çocuksuz olan kadınların toplum tarafından daha olumsuz karşılandığını ve bu kararlarını yeniden gözden geçirmeleri için toplumsal baskıya uğradıklarını da göstermektedir (</w:t>
      </w:r>
      <w:proofErr w:type="spellStart"/>
      <w:r w:rsidRPr="002906A3">
        <w:t>Cronin</w:t>
      </w:r>
      <w:proofErr w:type="spellEnd"/>
      <w:r w:rsidRPr="002906A3">
        <w:t>, 2021, s.2).</w:t>
      </w:r>
    </w:p>
    <w:p w14:paraId="672F68B1" w14:textId="77777777" w:rsidR="00316176" w:rsidRPr="002906A3" w:rsidRDefault="00316176" w:rsidP="001E7189">
      <w:pPr>
        <w:jc w:val="both"/>
      </w:pPr>
    </w:p>
    <w:p w14:paraId="7D91BD77" w14:textId="0FB9072C" w:rsidR="001E7189" w:rsidRDefault="001E7189" w:rsidP="001E7189">
      <w:pPr>
        <w:jc w:val="both"/>
      </w:pPr>
      <w:r w:rsidRPr="002906A3">
        <w:t xml:space="preserve">Bahsi geçen oranlar, çocuk sahibi olmak konusunda ne gibi ipuçları vermektedir? Elizabeth </w:t>
      </w:r>
      <w:proofErr w:type="spellStart"/>
      <w:r w:rsidRPr="002906A3">
        <w:t>Badinter’e</w:t>
      </w:r>
      <w:proofErr w:type="spellEnd"/>
      <w:r w:rsidRPr="002906A3">
        <w:t xml:space="preserve"> (2011, s.19) göre, rasyonalite ile çocuk sahibi olmak bir arada düşünülse de annelik/anne olma arzusu hem bedelleriyle hem de avantajlarıyla kadın yaşamında merkezi bir rol üstlenmeye devam etmektedir. </w:t>
      </w:r>
      <w:proofErr w:type="spellStart"/>
      <w:r w:rsidRPr="002906A3">
        <w:t>Godfrind</w:t>
      </w:r>
      <w:proofErr w:type="spellEnd"/>
      <w:r w:rsidRPr="002906A3">
        <w:t xml:space="preserve">-Haber’e (2009, s.68) göre ise, annelik sonsuza dek -tam zamanlı- sürmektedir. Dolayısıyla anneliğin kutsallaştırılması ve yüceltilmesi, anne olamayan kadınlar için ıstırap haline gelir; zira annelik, bir çocuğun annesi olmaktan çok daha fazlasıdır (Tokdemir, 2023b, s.216). Kaldı ki “biyolojik saat” söylemi de menopoza giren kadınları endişelendirir; zira annelik kimliği kadınlık kimliğinden önce gelir. </w:t>
      </w:r>
      <w:proofErr w:type="spellStart"/>
      <w:r w:rsidRPr="002906A3">
        <w:t>Monique</w:t>
      </w:r>
      <w:proofErr w:type="spellEnd"/>
      <w:r w:rsidRPr="002906A3">
        <w:t xml:space="preserve"> </w:t>
      </w:r>
      <w:proofErr w:type="spellStart"/>
      <w:r w:rsidRPr="002906A3">
        <w:t>Cournut-Janin’in</w:t>
      </w:r>
      <w:proofErr w:type="spellEnd"/>
      <w:r w:rsidRPr="002906A3">
        <w:t xml:space="preserve"> (2012, s.15) kaleme aldığı Kadınsı ve Kadınlık isimli eserinde yer </w:t>
      </w:r>
      <w:proofErr w:type="gramStart"/>
      <w:r w:rsidRPr="002906A3">
        <w:t>alan,  “</w:t>
      </w:r>
      <w:proofErr w:type="gramEnd"/>
      <w:r w:rsidRPr="002906A3">
        <w:t xml:space="preserve">İlk olan annedir, ilk nesne, ilk baştan çıkarıcı. […] Anne ilk olduğu için midir ki kadın ve kız hem anneye hem de erkeğe göre ikinci sıradadır?” vurgusunu hatırlamak gerekir. Simone de </w:t>
      </w:r>
      <w:proofErr w:type="spellStart"/>
      <w:r w:rsidRPr="002906A3">
        <w:t>Beauvoir’un</w:t>
      </w:r>
      <w:proofErr w:type="spellEnd"/>
      <w:r w:rsidRPr="002906A3">
        <w:t xml:space="preserve"> (2019, s.311) tehlikeli yaşlar olarak nitelendirdiği bu yaşlarda kadınlar, giderek </w:t>
      </w:r>
      <w:r w:rsidRPr="002906A3">
        <w:lastRenderedPageBreak/>
        <w:t xml:space="preserve">doğurganlığını kaybeder. Örneğin, dünyaca ünlü şarkıcı </w:t>
      </w:r>
      <w:proofErr w:type="spellStart"/>
      <w:r w:rsidRPr="002906A3">
        <w:t>Selena</w:t>
      </w:r>
      <w:proofErr w:type="spellEnd"/>
      <w:r w:rsidRPr="002906A3">
        <w:t xml:space="preserve"> Gomez, genç olsa da sağlık riski nedeniyle kendi çocuğunu taşıyamayacağını üzülerek açıklamış ve taşıyıcı annelik ve evlat edinme yoluyla anne olmak istediğini ifade etmiştir (</w:t>
      </w:r>
      <w:proofErr w:type="spellStart"/>
      <w:r w:rsidRPr="002906A3">
        <w:t>The</w:t>
      </w:r>
      <w:proofErr w:type="spellEnd"/>
      <w:r w:rsidRPr="002906A3">
        <w:t xml:space="preserve"> </w:t>
      </w:r>
      <w:proofErr w:type="spellStart"/>
      <w:r w:rsidRPr="002906A3">
        <w:t>Guerdian</w:t>
      </w:r>
      <w:proofErr w:type="spellEnd"/>
      <w:r w:rsidRPr="002906A3">
        <w:t>, 10 Eylül 2024).</w:t>
      </w:r>
    </w:p>
    <w:p w14:paraId="7069732A" w14:textId="77777777" w:rsidR="00316176" w:rsidRPr="002906A3" w:rsidRDefault="00316176" w:rsidP="001E7189">
      <w:pPr>
        <w:jc w:val="both"/>
      </w:pPr>
    </w:p>
    <w:p w14:paraId="5B1E79DC" w14:textId="4854CDD8" w:rsidR="001E7189" w:rsidRDefault="001E7189" w:rsidP="001E7189">
      <w:pPr>
        <w:jc w:val="both"/>
      </w:pPr>
      <w:r w:rsidRPr="002906A3">
        <w:t>Günümüzde, anne olmak istemeyen kadınların sesleri daha fazla duyulmaya başlamıştır. Kavramsal ve tarihsel olarak incelendiğinde gönüllü çocuksuzluk, 21. yüzyılda gündeme gelmeye başlamıştır. Kavramsal olarak literatürde birbirine benzeyen farklı tanımlamalar söz konusudur (</w:t>
      </w:r>
      <w:proofErr w:type="spellStart"/>
      <w:r w:rsidRPr="002906A3">
        <w:t>Blackstone</w:t>
      </w:r>
      <w:proofErr w:type="spellEnd"/>
      <w:r w:rsidRPr="002906A3">
        <w:t xml:space="preserve">, 2023, s.79): </w:t>
      </w:r>
      <w:proofErr w:type="spellStart"/>
      <w:r w:rsidRPr="002906A3">
        <w:t>Childless</w:t>
      </w:r>
      <w:proofErr w:type="spellEnd"/>
      <w:r w:rsidRPr="002906A3">
        <w:t xml:space="preserve"> (çocuksuz), </w:t>
      </w:r>
      <w:proofErr w:type="spellStart"/>
      <w:r w:rsidRPr="002906A3">
        <w:t>childless-by</w:t>
      </w:r>
      <w:proofErr w:type="spellEnd"/>
      <w:r w:rsidRPr="002906A3">
        <w:t xml:space="preserve"> </w:t>
      </w:r>
      <w:proofErr w:type="spellStart"/>
      <w:r w:rsidRPr="002906A3">
        <w:t>choice</w:t>
      </w:r>
      <w:proofErr w:type="spellEnd"/>
      <w:r w:rsidRPr="002906A3">
        <w:t xml:space="preserve"> (tercihen çocuksuz), </w:t>
      </w:r>
      <w:proofErr w:type="spellStart"/>
      <w:r w:rsidRPr="002906A3">
        <w:t>childfree</w:t>
      </w:r>
      <w:proofErr w:type="spellEnd"/>
      <w:r w:rsidRPr="002906A3">
        <w:t xml:space="preserve"> (çocuktan özgür), </w:t>
      </w:r>
      <w:proofErr w:type="spellStart"/>
      <w:r w:rsidRPr="002906A3">
        <w:t>intentionally</w:t>
      </w:r>
      <w:proofErr w:type="spellEnd"/>
      <w:r w:rsidRPr="002906A3">
        <w:t xml:space="preserve"> </w:t>
      </w:r>
      <w:proofErr w:type="spellStart"/>
      <w:r w:rsidRPr="002906A3">
        <w:t>childless</w:t>
      </w:r>
      <w:proofErr w:type="spellEnd"/>
      <w:r w:rsidRPr="002906A3">
        <w:t xml:space="preserve"> (kasten/isteyerek çocuksuz) ve </w:t>
      </w:r>
      <w:proofErr w:type="spellStart"/>
      <w:r w:rsidRPr="002906A3">
        <w:t>voluntarily</w:t>
      </w:r>
      <w:proofErr w:type="spellEnd"/>
      <w:r w:rsidRPr="002906A3">
        <w:t xml:space="preserve"> </w:t>
      </w:r>
      <w:proofErr w:type="spellStart"/>
      <w:r w:rsidRPr="002906A3">
        <w:t>childless</w:t>
      </w:r>
      <w:proofErr w:type="spellEnd"/>
      <w:r w:rsidRPr="002906A3">
        <w:t xml:space="preserve"> (gönüllü çocuksuz). Esasen çocuksuzluğun nasıl tecrübe edildiği karmaşık olduğundan -ve elbette ki kişinin hayat hikâyesi mühim olduğundan- sınırları belirli ve keskin bir çocuksuzluk tanımı yapılamamaktadır. Bu bağlamda çalışma boyunca, ‘gönüllü’ çocuksuzluk kavramının kullanımı tercih edilmiştir; zira çocuksuzluk kararının gönüllü mü gönülsüz mü olduğu üzerinden tartışma yürütülmektedir. Kaldı ki çocuk sahibi olmak isteyip de olamayan ya da hayatının belli bir döneminde çocuk isteyip daha sonra bu isteğinden vaz geçenlerde vardır. Dolayısıyla annelik kavramına dair açmazlar olduğu gibi, ‘gönüllü’ çocuksuzluk kavramına dair açmazlar da mevcuttur.</w:t>
      </w:r>
    </w:p>
    <w:p w14:paraId="36BBB8A3" w14:textId="77777777" w:rsidR="00316176" w:rsidRPr="002906A3" w:rsidRDefault="00316176" w:rsidP="001E7189">
      <w:pPr>
        <w:jc w:val="both"/>
      </w:pPr>
    </w:p>
    <w:p w14:paraId="3B35E1E3" w14:textId="7869AD69" w:rsidR="001E7189" w:rsidRDefault="001E7189" w:rsidP="001E7189">
      <w:pPr>
        <w:jc w:val="both"/>
      </w:pPr>
      <w:r w:rsidRPr="002906A3">
        <w:t>Yapılan bir araştırma, çocuksuzluk kavramının farklı dillerde, birbiriyle yakın anlamlarda ‘olumsuzluğu’ çağrıştırdığını ortaya koymuştur (</w:t>
      </w:r>
      <w:proofErr w:type="spellStart"/>
      <w:r w:rsidRPr="002906A3">
        <w:t>Gouni</w:t>
      </w:r>
      <w:proofErr w:type="spellEnd"/>
      <w:r w:rsidRPr="002906A3">
        <w:t xml:space="preserve"> vd., 2022). Nitekim çocuksuzluk, çocuktan yoksun olma/eksik olma şeklinde düşünülmektedir ve bu kadınlara karşı olumsuz bir tutuma ve davranışa yol açmaktadır. Bu kadınlar bencil, sevgisiz, duyarsız ve anneliğe dair olumlu duygulardan mahrum oldukları yönünde etiketlenmektedirler. Oysaki kısırlık veyahut herhangi bir hastalıktan dolayı çocuk sahibi olmama durumunda bu düşünce tersine evrilmektedir.</w:t>
      </w:r>
    </w:p>
    <w:p w14:paraId="56A1A1CD" w14:textId="77777777" w:rsidR="00316176" w:rsidRPr="002906A3" w:rsidRDefault="00316176" w:rsidP="001E7189">
      <w:pPr>
        <w:jc w:val="both"/>
      </w:pPr>
    </w:p>
    <w:p w14:paraId="1D2789B3" w14:textId="092E7C1A" w:rsidR="001E7189" w:rsidRDefault="001E7189" w:rsidP="001E7189">
      <w:pPr>
        <w:jc w:val="both"/>
      </w:pPr>
      <w:r w:rsidRPr="002906A3">
        <w:t xml:space="preserve">Öte yandan, çocuksuzluğun gerekçeleri çeşitlidir; eğitim seviyesi, </w:t>
      </w:r>
      <w:proofErr w:type="spellStart"/>
      <w:r w:rsidRPr="002906A3">
        <w:t>sosyo</w:t>
      </w:r>
      <w:proofErr w:type="spellEnd"/>
      <w:r w:rsidRPr="002906A3">
        <w:t xml:space="preserve">-ekonomik bağımsızlık ve kadınlık durumuna dair bilinç seviyesine göre de farklılaşabilir. Kimi kadınlar çocuk sahibi olmamayı dini gerekçeler, evli olmama, bedensel engeller, doğru partneri bulamama ile gerekçelendirirken; bazı kadınlar da evcil hayvanlara olan sevgi, partnerin </w:t>
      </w:r>
      <w:proofErr w:type="gramStart"/>
      <w:r w:rsidRPr="002906A3">
        <w:t>istememesi,  çocuksuz</w:t>
      </w:r>
      <w:proofErr w:type="gramEnd"/>
      <w:r w:rsidRPr="002906A3">
        <w:t xml:space="preserve"> bir hayatı tercih etme, ekonomik gerekçeler, Türkiye/dünya şartlarından endişe duyma, kariyer planı, çocuklara ilgi duymama, sorumluluk istememe ve hayatın akışı içinde çocuk sahibi ol(a)mama olarak gerekçelendirmektedir. Çocuksuz bir hayat kişiye göre farklılıklar gösterse de bu durum makul gerekçeler ile temellendirilmekte ve rasyonel bir zeminde, meşrulaştırılmaktadır (Tokdemir, </w:t>
      </w:r>
      <w:proofErr w:type="gramStart"/>
      <w:r w:rsidRPr="002906A3">
        <w:t>2023a</w:t>
      </w:r>
      <w:proofErr w:type="gramEnd"/>
      <w:r w:rsidRPr="002906A3">
        <w:t>, s.296-297).</w:t>
      </w:r>
    </w:p>
    <w:p w14:paraId="6D093771" w14:textId="77777777" w:rsidR="00316176" w:rsidRPr="002906A3" w:rsidRDefault="00316176" w:rsidP="001E7189">
      <w:pPr>
        <w:jc w:val="both"/>
      </w:pPr>
    </w:p>
    <w:p w14:paraId="10DA4F67" w14:textId="77777777" w:rsidR="001E7189" w:rsidRDefault="001E7189" w:rsidP="001E7189">
      <w:pPr>
        <w:jc w:val="both"/>
      </w:pPr>
      <w:r w:rsidRPr="002906A3">
        <w:t xml:space="preserve">Çocuk sahibi olmamanın zorunluluk ve hak olmasından ziyade ‘olanak’ olduğunu belirten </w:t>
      </w:r>
      <w:proofErr w:type="spellStart"/>
      <w:r w:rsidRPr="002906A3">
        <w:t>Corinne</w:t>
      </w:r>
      <w:proofErr w:type="spellEnd"/>
      <w:r w:rsidRPr="002906A3">
        <w:t xml:space="preserve"> </w:t>
      </w:r>
      <w:proofErr w:type="spellStart"/>
      <w:r w:rsidRPr="002906A3">
        <w:t>Maier</w:t>
      </w:r>
      <w:proofErr w:type="spellEnd"/>
      <w:r w:rsidRPr="002906A3">
        <w:t xml:space="preserve"> (2013, s.20), anne olmamak için sıraladığı 40 maddelik listeyle -ki kendisi de annedir- “Bilseydim, çocuk sahibi olmazdım,” der. </w:t>
      </w:r>
      <w:proofErr w:type="spellStart"/>
      <w:r w:rsidRPr="002906A3">
        <w:t>Maier’in</w:t>
      </w:r>
      <w:proofErr w:type="spellEnd"/>
      <w:r w:rsidRPr="002906A3">
        <w:t xml:space="preserve"> akıl almaz bu itirafı, oldukça eleştirilmiştir. Bu nedenle </w:t>
      </w:r>
      <w:proofErr w:type="spellStart"/>
      <w:r w:rsidRPr="002906A3">
        <w:t>Maier’i</w:t>
      </w:r>
      <w:proofErr w:type="spellEnd"/>
      <w:r w:rsidRPr="002906A3">
        <w:t xml:space="preserve"> eleştirenler, </w:t>
      </w:r>
      <w:proofErr w:type="spellStart"/>
      <w:r w:rsidRPr="002906A3">
        <w:t>çocuk</w:t>
      </w:r>
      <w:proofErr w:type="spellEnd"/>
      <w:r w:rsidRPr="002906A3">
        <w:t xml:space="preserve"> sahibi olduktan sonra anneliğin zorluklarını ifade etmesi noktasında O’nun kötü bir kadın\anne olduğu kanaatine varmışlardır. Burada esas mesele, çocuk sahibi olmanın bir zorunluluk değil bir tercih olabileceği fikrinin önünü açmaktır. Bu fikir bir üst aşamaya çıkarıldığında kadının, anne olmaya ya da olmamaya dair vereceği kararın iradesiyle/tercihiyle olması gerektiğinin üzerinde durmak gerekir.</w:t>
      </w:r>
    </w:p>
    <w:p w14:paraId="587B7A77" w14:textId="77777777" w:rsidR="00316176" w:rsidRPr="002906A3" w:rsidRDefault="00316176" w:rsidP="001E7189">
      <w:pPr>
        <w:jc w:val="both"/>
      </w:pPr>
    </w:p>
    <w:p w14:paraId="2224DED0" w14:textId="575B94BC" w:rsidR="001E7189" w:rsidRDefault="001E7189" w:rsidP="001E7189">
      <w:pPr>
        <w:jc w:val="both"/>
      </w:pPr>
      <w:r w:rsidRPr="002906A3">
        <w:t xml:space="preserve">‘Gönüllü’ çocuksuz kadınların, bu kararı tercih etmelerindeki faktörler düşünüldüğünde gönüllü olarak anne olmamayı tercih ettiği söylenebilir mi? Başka bir ifade ile esasen gönüllü </w:t>
      </w:r>
      <w:r w:rsidRPr="002906A3">
        <w:lastRenderedPageBreak/>
        <w:t>olarak çocuksuzluğu tercih etmek bir bakıma anne olmamayı reddetmek anlamını taşımamaktadır. Ataerkil toplumsallaşma neticesinde anneliğin kutsallaştırılması ve annelik rolüne atfedilen norm ve değerler; bu kimliğin tercih edilmemesi fikrini görmezden gelir. Dolayısıyla annelik gibi kutsal bir alanı tercih etmemekten veyahut reddetmekten daha çok çocuksuzluğu tercih etmek ve bu kararı gerekçelendirmek, ataerkil sistemin sınırlarına takılır. Bu açıdan esas mesele, belki de anneliğin gönüllü olabileceği konusunu tartışmaya açmaktır. Bu kapsamda, annelik tercih midir, zorunluluk mudur? ‘Gönüllü’ çocuksuz olduğunu düşünen kadınlar, hayatların herhangi bir döneminde anne olmayı istemişler midir veyahut düşünmüşler midir? Bu açıdan anne olmaya karar vermenin ‘tercih’ ve ‘zorunluluk’ boyutu, tartışmalıdır (Tokdemir, 2021b, s.186); zira bu konu, çocuksuzluk-anne olmama ikileminde düğümlenmektedir.</w:t>
      </w:r>
    </w:p>
    <w:p w14:paraId="2EBD587A" w14:textId="77777777" w:rsidR="00316176" w:rsidRPr="002906A3" w:rsidRDefault="00316176" w:rsidP="001E7189">
      <w:pPr>
        <w:jc w:val="both"/>
      </w:pPr>
    </w:p>
    <w:p w14:paraId="7B849478" w14:textId="6F65DF57" w:rsidR="001E7189" w:rsidRDefault="001E7189" w:rsidP="001E7189">
      <w:pPr>
        <w:jc w:val="both"/>
      </w:pPr>
      <w:r w:rsidRPr="002906A3">
        <w:t xml:space="preserve">Hollywood oyuncusu </w:t>
      </w:r>
      <w:proofErr w:type="spellStart"/>
      <w:r w:rsidRPr="002906A3">
        <w:t>Jenifer</w:t>
      </w:r>
      <w:proofErr w:type="spellEnd"/>
      <w:r w:rsidRPr="002906A3">
        <w:t xml:space="preserve"> </w:t>
      </w:r>
      <w:proofErr w:type="spellStart"/>
      <w:r w:rsidRPr="002906A3">
        <w:t>Aniston</w:t>
      </w:r>
      <w:proofErr w:type="spellEnd"/>
      <w:r w:rsidRPr="002906A3">
        <w:t xml:space="preserve">, bir röportajında mücadele ettiği en zor şeyin ne olduğu sorulduğunda kariyerini, anne olmanın önüne koyduğuna yönelik yapılan suçlamalar olduğunu ifade etmiştir. </w:t>
      </w:r>
      <w:proofErr w:type="spellStart"/>
      <w:r w:rsidRPr="002906A3">
        <w:t>Aniston</w:t>
      </w:r>
      <w:proofErr w:type="spellEnd"/>
      <w:r w:rsidRPr="002906A3">
        <w:t xml:space="preserve">, kendisini ve kariyerini odağa aldığından bencil olduğu yönünde suçlamalara maruz kaldığını ve kadınlara yapılan bu baskının adil olmadığı belirtmiştir (GMA, 24 Kasım 2014). Bu röportajdan yıllar sonra ise, çocuk sahibi olmayı denediğini ve “Keşke biri bana ‘kendine bir iyilik yap ve yumurtalarını dondur’ deseydi, her şeyimi verirdim. O zaman düşünemiyorsunuz. Ve sonunda bugün buradayım. Gemi gitti.” açıklamasını yapar (Hürriyet Kelebek, 10 Kasım 2022). </w:t>
      </w:r>
      <w:proofErr w:type="spellStart"/>
      <w:r w:rsidRPr="002906A3">
        <w:t>Aniston’un</w:t>
      </w:r>
      <w:proofErr w:type="spellEnd"/>
      <w:r w:rsidRPr="002906A3">
        <w:t xml:space="preserve"> yaşadığı pişmanlık konusunda sosyal medyada, şu ana dek neden çocuk sahibi olmadığı konusunda bazı yorumlar yapılmıştır. Oysaki </w:t>
      </w:r>
      <w:proofErr w:type="spellStart"/>
      <w:r w:rsidRPr="002906A3">
        <w:t>Aniston</w:t>
      </w:r>
      <w:proofErr w:type="spellEnd"/>
      <w:r w:rsidRPr="002906A3">
        <w:t xml:space="preserve"> gönüllü olarak anne olmamayı bir dönem tercih etmemiş olabilir veyahut hayatının başka bir noktasında anne olmaya karar vermiş olabilir. Dolayısıyla avantajları ve bedelleriyle ‘annelik, gönüllü olabilir mi?’ sorusu yeniden gündeme gelir; zira yapılan eleştiriler, </w:t>
      </w:r>
      <w:proofErr w:type="spellStart"/>
      <w:r w:rsidRPr="002906A3">
        <w:t>Aniston’un</w:t>
      </w:r>
      <w:proofErr w:type="spellEnd"/>
      <w:r w:rsidRPr="002906A3">
        <w:t xml:space="preserve"> çocuk sahibi olmayı istemediği/tercih etmediği fikri üzerine yoğunlaşmaktadır.</w:t>
      </w:r>
    </w:p>
    <w:p w14:paraId="342E00D3" w14:textId="77777777" w:rsidR="00316176" w:rsidRPr="002906A3" w:rsidRDefault="00316176" w:rsidP="001E7189">
      <w:pPr>
        <w:jc w:val="both"/>
      </w:pPr>
    </w:p>
    <w:p w14:paraId="2840C7AA" w14:textId="77777777" w:rsidR="001E7189" w:rsidRDefault="001E7189" w:rsidP="001E7189">
      <w:pPr>
        <w:jc w:val="both"/>
      </w:pPr>
      <w:r w:rsidRPr="002906A3">
        <w:t>Neticede, ‘gönüllü olarak anneliği tercih etme’ düşüncesi, ezen-ezilen biçimindeki egemenlik ilişkileri içinde görmezden gelinmektedir. Çünkü kutsallık atfedilen anneliği tercih etmemek ya da bu kutsal mertebeyi reddetmekten ziyade ‘çocuksuzluğu/çocuksuz bir yaşamı tercih etmek’ konusunun tartışılması girişimi, egemen ataerkil sistemin sınırlarına takılmaktadır. Çocuksuzluk durumu\kararı ters yüz edildiğinde, gönüllü\gönülsüz çocuksuz kadınların esasen ‘gönüllü olarak anne olmama tercihi’ yaptıkları -ki esasen bu kararın tercih boyutu da muğlaklaşmaktadır- ve sınırları keskin olan bir gönüllü çocuksuzluk tanımının yapılamayacağı gibi anne olup olmamaya karar verme tercihinin bir memnuniyet zorunluluğuna dönüştüğü anlaşılmaktadır.</w:t>
      </w:r>
    </w:p>
    <w:p w14:paraId="00947E34" w14:textId="77777777" w:rsidR="00316176" w:rsidRPr="002906A3" w:rsidRDefault="00316176" w:rsidP="001E7189">
      <w:pPr>
        <w:jc w:val="both"/>
      </w:pPr>
    </w:p>
    <w:p w14:paraId="58389933" w14:textId="77777777" w:rsidR="001E7189" w:rsidRPr="002906A3" w:rsidRDefault="001E7189" w:rsidP="001E7189">
      <w:pPr>
        <w:jc w:val="both"/>
        <w:rPr>
          <w:b/>
        </w:rPr>
      </w:pPr>
      <w:r w:rsidRPr="002906A3">
        <w:rPr>
          <w:b/>
        </w:rPr>
        <w:t>Sonuç</w:t>
      </w:r>
    </w:p>
    <w:p w14:paraId="0E5A2E92" w14:textId="3235EDCA" w:rsidR="001E7189" w:rsidRDefault="001E7189" w:rsidP="001E7189">
      <w:pPr>
        <w:jc w:val="both"/>
      </w:pPr>
      <w:r w:rsidRPr="002906A3">
        <w:t>Ataerkil toplumsallaşma içinde, her kadının eninde sonunda bir gün anne olacağı veyahut anne olmayı isteyeceği/arzulayacağı fikri, egemendir. Kutsal annelik anlayışı ve anneliğe dair norm ve değerler neticesinde bu kavram, eleştirilemez bir konumda yer almaktadır. Böylece kadınlık durumu bağlamında annelik kimliği, doğallaştırılmaktadır. Hatta öyle ki annelik kimliği, kadınlık kimliğinden önce gelmektedir ve dolayısıyla kadınlar annelik kimliğine ve rolüne kimi zaman -cinsiyetçi ikiyüzlülük kavramına referansla- gönüllülükle sıkıştırılmaktadır.</w:t>
      </w:r>
    </w:p>
    <w:p w14:paraId="115C98AA" w14:textId="77777777" w:rsidR="00316176" w:rsidRPr="002906A3" w:rsidRDefault="00316176" w:rsidP="001E7189">
      <w:pPr>
        <w:jc w:val="both"/>
      </w:pPr>
    </w:p>
    <w:p w14:paraId="34B93FE0" w14:textId="77777777" w:rsidR="001E7189" w:rsidRDefault="001E7189" w:rsidP="001E7189">
      <w:pPr>
        <w:jc w:val="both"/>
      </w:pPr>
      <w:r w:rsidRPr="002906A3">
        <w:t xml:space="preserve">Birinci Dalga Kadın Hareketi ile elde edilen kazanımlarla birlikte kadınların yegâne görevinin toplumsal annelik olduğu salık verilirken; İkinci Dalga Kadın Hareketi ile fark vurgusu neticesinde kadının çocuk üreten eşsiz bedeni övülerek, annelik yüceltilmiştir. Esasen annelik </w:t>
      </w:r>
      <w:r w:rsidRPr="002906A3">
        <w:lastRenderedPageBreak/>
        <w:t>kavramı tarihsel, sosyolojik ve hatta psikolojik anlamda değişmeye ve dönüşmeye uğramışsa da geleneksel ataerkil annelik, varlığını sürdürmektedir.</w:t>
      </w:r>
    </w:p>
    <w:p w14:paraId="09F1F070" w14:textId="77777777" w:rsidR="00316176" w:rsidRPr="002906A3" w:rsidRDefault="00316176" w:rsidP="001E7189">
      <w:pPr>
        <w:jc w:val="both"/>
      </w:pPr>
    </w:p>
    <w:p w14:paraId="41D44DFD" w14:textId="59F0287C" w:rsidR="001E7189" w:rsidRPr="002906A3" w:rsidRDefault="001E7189" w:rsidP="001E7189">
      <w:pPr>
        <w:jc w:val="both"/>
      </w:pPr>
      <w:r w:rsidRPr="002906A3">
        <w:t xml:space="preserve">Bu bağlamda, anne olmaya karar vermenin bir tercih olabileceği konusu görmezden gelinir. Başka bir deyişle annelik, gönüllü olabilir mi konusu ataerkil sistemin sınırlarına takılır; zira genellikle -eğitim, yaş, </w:t>
      </w:r>
      <w:proofErr w:type="spellStart"/>
      <w:r w:rsidRPr="002906A3">
        <w:t>sosyo</w:t>
      </w:r>
      <w:proofErr w:type="spellEnd"/>
      <w:r w:rsidRPr="002906A3">
        <w:t xml:space="preserve">-ekonomik statü fark etmeksizin- çoğu kadın, anneliğin kutsallığına dokunmamaktadır. Bu nedenledir ki gönüllü olarak çocuk sahibi olmama meselesi meşru bir zeminde tartışmaya açık durmaktadır. Kadının kendi iradesiyle anne olmayı tercih </w:t>
      </w:r>
      <w:proofErr w:type="gramStart"/>
      <w:r w:rsidRPr="002906A3">
        <w:t>et(</w:t>
      </w:r>
      <w:proofErr w:type="gramEnd"/>
      <w:r w:rsidRPr="002906A3">
        <w:t>me)</w:t>
      </w:r>
      <w:proofErr w:type="spellStart"/>
      <w:r w:rsidRPr="002906A3">
        <w:t>mesi</w:t>
      </w:r>
      <w:proofErr w:type="spellEnd"/>
      <w:r w:rsidRPr="002906A3">
        <w:t xml:space="preserve"> meselesi yani gönüllü olarak anne olma konusu daha sık gündeme getirilmelidir.</w:t>
      </w:r>
    </w:p>
    <w:p w14:paraId="08C0C60B" w14:textId="77777777" w:rsidR="001E7189" w:rsidRPr="002906A3" w:rsidRDefault="001E7189" w:rsidP="001E7189">
      <w:pPr>
        <w:jc w:val="both"/>
      </w:pPr>
    </w:p>
    <w:p w14:paraId="667A5362" w14:textId="77777777" w:rsidR="001E7189" w:rsidRPr="002906A3" w:rsidRDefault="001E7189" w:rsidP="001E7189">
      <w:pPr>
        <w:jc w:val="both"/>
        <w:rPr>
          <w:b/>
        </w:rPr>
      </w:pPr>
      <w:r w:rsidRPr="002906A3">
        <w:rPr>
          <w:b/>
        </w:rPr>
        <w:t>Kaynakça</w:t>
      </w:r>
    </w:p>
    <w:p w14:paraId="7DDDCA10" w14:textId="77777777" w:rsidR="001E7189" w:rsidRPr="002906A3" w:rsidRDefault="001E7189">
      <w:pPr>
        <w:pStyle w:val="ListeParagraf"/>
        <w:numPr>
          <w:ilvl w:val="0"/>
          <w:numId w:val="58"/>
        </w:numPr>
        <w:jc w:val="both"/>
      </w:pPr>
      <w:proofErr w:type="spellStart"/>
      <w:r w:rsidRPr="002906A3">
        <w:t>Badinter</w:t>
      </w:r>
      <w:proofErr w:type="spellEnd"/>
      <w:r w:rsidRPr="002906A3">
        <w:t xml:space="preserve">, E. (2011). </w:t>
      </w:r>
      <w:r w:rsidRPr="00317ECC">
        <w:rPr>
          <w:i/>
        </w:rPr>
        <w:t xml:space="preserve">Kadınlık mı? Annelik </w:t>
      </w:r>
      <w:proofErr w:type="gramStart"/>
      <w:r w:rsidRPr="00317ECC">
        <w:rPr>
          <w:i/>
        </w:rPr>
        <w:t>mi?</w:t>
      </w:r>
      <w:r w:rsidRPr="002906A3">
        <w:t>.</w:t>
      </w:r>
      <w:proofErr w:type="gramEnd"/>
      <w:r w:rsidRPr="002906A3">
        <w:t xml:space="preserve"> (A. Ekmekçi, Çev.). İletişim Yayınları.</w:t>
      </w:r>
    </w:p>
    <w:p w14:paraId="409DC47E" w14:textId="77777777" w:rsidR="001E7189" w:rsidRPr="002906A3" w:rsidRDefault="001E7189">
      <w:pPr>
        <w:pStyle w:val="ListeParagraf"/>
        <w:numPr>
          <w:ilvl w:val="0"/>
          <w:numId w:val="58"/>
        </w:numPr>
        <w:jc w:val="both"/>
      </w:pPr>
      <w:r w:rsidRPr="002906A3">
        <w:t xml:space="preserve">Beauvoir, S. (2019). </w:t>
      </w:r>
      <w:r w:rsidRPr="00317ECC">
        <w:rPr>
          <w:i/>
        </w:rPr>
        <w:t>İkinci cinsiyet II: Yaşanmış deneyim.</w:t>
      </w:r>
      <w:r w:rsidRPr="002906A3">
        <w:t xml:space="preserve"> G. Savran (çev.). Koç Üniversitesi</w:t>
      </w:r>
      <w:r w:rsidRPr="002906A3">
        <w:tab/>
        <w:t>KOÇKAM.</w:t>
      </w:r>
    </w:p>
    <w:p w14:paraId="7F87F933" w14:textId="6D4E0F89" w:rsidR="001E7189" w:rsidRPr="00317ECC" w:rsidRDefault="001E7189">
      <w:pPr>
        <w:pStyle w:val="ListeParagraf"/>
        <w:numPr>
          <w:ilvl w:val="0"/>
          <w:numId w:val="58"/>
        </w:numPr>
        <w:jc w:val="both"/>
        <w:rPr>
          <w:i/>
        </w:rPr>
      </w:pPr>
      <w:proofErr w:type="spellStart"/>
      <w:r w:rsidRPr="002906A3">
        <w:t>Biu</w:t>
      </w:r>
      <w:proofErr w:type="spellEnd"/>
      <w:r w:rsidRPr="002906A3">
        <w:t xml:space="preserve">, Q. ve </w:t>
      </w:r>
      <w:proofErr w:type="spellStart"/>
      <w:r w:rsidRPr="002906A3">
        <w:t>Cain</w:t>
      </w:r>
      <w:proofErr w:type="spellEnd"/>
      <w:r w:rsidRPr="002906A3">
        <w:t xml:space="preserve"> Miller, C. (4 Ağustos 2018). </w:t>
      </w:r>
      <w:proofErr w:type="spellStart"/>
      <w:r w:rsidRPr="00317ECC">
        <w:rPr>
          <w:i/>
        </w:rPr>
        <w:t>The</w:t>
      </w:r>
      <w:proofErr w:type="spellEnd"/>
      <w:r w:rsidRPr="00317ECC">
        <w:rPr>
          <w:i/>
        </w:rPr>
        <w:t xml:space="preserve"> Age </w:t>
      </w:r>
      <w:proofErr w:type="spellStart"/>
      <w:r w:rsidRPr="00317ECC">
        <w:rPr>
          <w:i/>
        </w:rPr>
        <w:t>that</w:t>
      </w:r>
      <w:proofErr w:type="spellEnd"/>
      <w:r w:rsidRPr="00317ECC">
        <w:rPr>
          <w:i/>
        </w:rPr>
        <w:t xml:space="preserve"> </w:t>
      </w:r>
      <w:proofErr w:type="spellStart"/>
      <w:r w:rsidRPr="00317ECC">
        <w:rPr>
          <w:i/>
        </w:rPr>
        <w:t>women</w:t>
      </w:r>
      <w:proofErr w:type="spellEnd"/>
      <w:r w:rsidRPr="00317ECC">
        <w:rPr>
          <w:i/>
        </w:rPr>
        <w:t xml:space="preserve"> </w:t>
      </w:r>
      <w:proofErr w:type="spellStart"/>
      <w:r w:rsidRPr="00317ECC">
        <w:rPr>
          <w:i/>
        </w:rPr>
        <w:t>have</w:t>
      </w:r>
      <w:proofErr w:type="spellEnd"/>
      <w:r w:rsidRPr="00317ECC">
        <w:rPr>
          <w:i/>
        </w:rPr>
        <w:t xml:space="preserve"> </w:t>
      </w:r>
      <w:proofErr w:type="spellStart"/>
      <w:r w:rsidRPr="00317ECC">
        <w:rPr>
          <w:i/>
        </w:rPr>
        <w:t>babies</w:t>
      </w:r>
      <w:proofErr w:type="spellEnd"/>
      <w:r w:rsidRPr="00317ECC">
        <w:rPr>
          <w:i/>
        </w:rPr>
        <w:t>:</w:t>
      </w:r>
      <w:r w:rsidRPr="00317ECC">
        <w:rPr>
          <w:i/>
        </w:rPr>
        <w:tab/>
      </w:r>
      <w:r w:rsidRPr="00317ECC">
        <w:rPr>
          <w:i/>
        </w:rPr>
        <w:tab/>
      </w:r>
      <w:r w:rsidRPr="00317ECC">
        <w:rPr>
          <w:i/>
        </w:rPr>
        <w:tab/>
        <w:t xml:space="preserve">how a </w:t>
      </w:r>
      <w:proofErr w:type="spellStart"/>
      <w:r w:rsidRPr="00317ECC">
        <w:rPr>
          <w:i/>
        </w:rPr>
        <w:t>gap</w:t>
      </w:r>
      <w:proofErr w:type="spellEnd"/>
      <w:r w:rsidRPr="00317ECC">
        <w:rPr>
          <w:i/>
        </w:rPr>
        <w:t xml:space="preserve"> </w:t>
      </w:r>
      <w:proofErr w:type="spellStart"/>
      <w:r w:rsidRPr="00317ECC">
        <w:rPr>
          <w:i/>
        </w:rPr>
        <w:t>divides</w:t>
      </w:r>
      <w:proofErr w:type="spellEnd"/>
      <w:r w:rsidRPr="00317ECC">
        <w:rPr>
          <w:i/>
        </w:rPr>
        <w:t xml:space="preserve"> </w:t>
      </w:r>
      <w:proofErr w:type="spellStart"/>
      <w:r w:rsidRPr="00317ECC">
        <w:rPr>
          <w:i/>
        </w:rPr>
        <w:t>America</w:t>
      </w:r>
      <w:proofErr w:type="spellEnd"/>
      <w:r w:rsidRPr="002906A3">
        <w:t xml:space="preserve">. </w:t>
      </w:r>
      <w:proofErr w:type="spellStart"/>
      <w:r w:rsidRPr="002906A3">
        <w:t>TheUpshot</w:t>
      </w:r>
      <w:proofErr w:type="spellEnd"/>
      <w:r w:rsidRPr="002906A3">
        <w:t>.</w:t>
      </w:r>
      <w:r w:rsidRPr="002906A3">
        <w:tab/>
      </w:r>
      <w:r w:rsidRPr="002906A3">
        <w:tab/>
      </w:r>
      <w:r w:rsidRPr="002906A3">
        <w:tab/>
      </w:r>
      <w:r w:rsidRPr="002906A3">
        <w:tab/>
      </w:r>
      <w:r w:rsidRPr="002906A3">
        <w:tab/>
      </w:r>
      <w:r w:rsidRPr="002906A3">
        <w:tab/>
      </w:r>
      <w:r w:rsidRPr="002906A3">
        <w:tab/>
      </w:r>
      <w:r w:rsidRPr="002906A3">
        <w:tab/>
      </w:r>
      <w:hyperlink r:id="rId244" w:history="1">
        <w:r w:rsidRPr="002906A3">
          <w:rPr>
            <w:rStyle w:val="Kpr"/>
          </w:rPr>
          <w:t>https://www.nytimes.com/interactive/2018/08/04/upshot/up-birth-age-gap.html</w:t>
        </w:r>
      </w:hyperlink>
    </w:p>
    <w:p w14:paraId="1E701B28" w14:textId="77777777" w:rsidR="001E7189" w:rsidRPr="002906A3" w:rsidRDefault="001E7189">
      <w:pPr>
        <w:pStyle w:val="ListeParagraf"/>
        <w:numPr>
          <w:ilvl w:val="0"/>
          <w:numId w:val="58"/>
        </w:numPr>
        <w:jc w:val="both"/>
      </w:pPr>
      <w:proofErr w:type="spellStart"/>
      <w:r w:rsidRPr="002906A3">
        <w:t>Blackstone</w:t>
      </w:r>
      <w:proofErr w:type="spellEnd"/>
      <w:r w:rsidRPr="002906A3">
        <w:t xml:space="preserve">, A. (2023). </w:t>
      </w:r>
      <w:r w:rsidRPr="00317ECC">
        <w:rPr>
          <w:i/>
        </w:rPr>
        <w:t>Gönüllü çocuksuzluk: Aileyi baştan tanımlayan ve yeni bir bağımsızlık çağı</w:t>
      </w:r>
      <w:r w:rsidRPr="00317ECC">
        <w:rPr>
          <w:i/>
        </w:rPr>
        <w:tab/>
        <w:t xml:space="preserve"> yaratan hareket.</w:t>
      </w:r>
      <w:r w:rsidRPr="002906A3">
        <w:t xml:space="preserve"> (H. Dikmen, Çev.). İletişim Yayınları.</w:t>
      </w:r>
    </w:p>
    <w:p w14:paraId="4DCE8A26" w14:textId="66B6E996" w:rsidR="001E7189" w:rsidRPr="002906A3" w:rsidRDefault="001E7189">
      <w:pPr>
        <w:pStyle w:val="ListeParagraf"/>
        <w:numPr>
          <w:ilvl w:val="0"/>
          <w:numId w:val="58"/>
        </w:numPr>
        <w:jc w:val="both"/>
      </w:pPr>
      <w:proofErr w:type="spellStart"/>
      <w:r w:rsidRPr="002906A3">
        <w:t>Cournut-Janin</w:t>
      </w:r>
      <w:proofErr w:type="spellEnd"/>
      <w:r w:rsidRPr="002906A3">
        <w:t xml:space="preserve">, M. (2012). </w:t>
      </w:r>
      <w:r w:rsidRPr="00317ECC">
        <w:rPr>
          <w:i/>
        </w:rPr>
        <w:t>Kadınsı ve kadınlık</w:t>
      </w:r>
      <w:r w:rsidRPr="002906A3">
        <w:t xml:space="preserve">. (Ö. Soysal ve M. </w:t>
      </w:r>
      <w:proofErr w:type="spellStart"/>
      <w:r w:rsidRPr="002906A3">
        <w:t>Erşen</w:t>
      </w:r>
      <w:proofErr w:type="spellEnd"/>
      <w:r w:rsidRPr="002906A3">
        <w:t>, Çev.). Bağlam</w:t>
      </w:r>
      <w:r w:rsidRPr="002906A3">
        <w:tab/>
        <w:t>Yayınları.</w:t>
      </w:r>
    </w:p>
    <w:p w14:paraId="0796ABA0" w14:textId="122C1236" w:rsidR="001E7189" w:rsidRPr="002906A3" w:rsidRDefault="001E7189">
      <w:pPr>
        <w:pStyle w:val="ListeParagraf"/>
        <w:numPr>
          <w:ilvl w:val="0"/>
          <w:numId w:val="58"/>
        </w:numPr>
        <w:jc w:val="both"/>
      </w:pPr>
      <w:proofErr w:type="spellStart"/>
      <w:r w:rsidRPr="002906A3">
        <w:t>Cronin</w:t>
      </w:r>
      <w:proofErr w:type="spellEnd"/>
      <w:r w:rsidRPr="002906A3">
        <w:t xml:space="preserve">, J. (2021). </w:t>
      </w:r>
      <w:proofErr w:type="spellStart"/>
      <w:r w:rsidRPr="00317ECC">
        <w:rPr>
          <w:i/>
        </w:rPr>
        <w:t>Voluntary</w:t>
      </w:r>
      <w:proofErr w:type="spellEnd"/>
      <w:r w:rsidRPr="00317ECC">
        <w:rPr>
          <w:i/>
        </w:rPr>
        <w:t xml:space="preserve"> </w:t>
      </w:r>
      <w:proofErr w:type="spellStart"/>
      <w:r w:rsidRPr="00317ECC">
        <w:rPr>
          <w:i/>
        </w:rPr>
        <w:t>childlessness</w:t>
      </w:r>
      <w:proofErr w:type="spellEnd"/>
      <w:r w:rsidRPr="00317ECC">
        <w:rPr>
          <w:i/>
        </w:rPr>
        <w:t xml:space="preserve"> in </w:t>
      </w:r>
      <w:proofErr w:type="spellStart"/>
      <w:r w:rsidRPr="00317ECC">
        <w:rPr>
          <w:i/>
        </w:rPr>
        <w:t>contemporary</w:t>
      </w:r>
      <w:proofErr w:type="spellEnd"/>
      <w:r w:rsidRPr="00317ECC">
        <w:rPr>
          <w:i/>
        </w:rPr>
        <w:t xml:space="preserve"> </w:t>
      </w:r>
      <w:proofErr w:type="spellStart"/>
      <w:r w:rsidRPr="00317ECC">
        <w:rPr>
          <w:i/>
        </w:rPr>
        <w:t>Ireland</w:t>
      </w:r>
      <w:proofErr w:type="spellEnd"/>
      <w:r w:rsidRPr="00317ECC">
        <w:rPr>
          <w:i/>
        </w:rPr>
        <w:t xml:space="preserve"> </w:t>
      </w:r>
      <w:proofErr w:type="spellStart"/>
      <w:r w:rsidRPr="00317ECC">
        <w:rPr>
          <w:i/>
        </w:rPr>
        <w:t>woman</w:t>
      </w:r>
      <w:proofErr w:type="spellEnd"/>
      <w:r w:rsidRPr="00317ECC">
        <w:rPr>
          <w:i/>
        </w:rPr>
        <w:t xml:space="preserve"> </w:t>
      </w:r>
      <w:proofErr w:type="spellStart"/>
      <w:r w:rsidRPr="00317ECC">
        <w:rPr>
          <w:i/>
        </w:rPr>
        <w:t>experiences</w:t>
      </w:r>
      <w:proofErr w:type="spellEnd"/>
      <w:r w:rsidRPr="002906A3">
        <w:t>. Peter</w:t>
      </w:r>
      <w:r w:rsidRPr="002906A3">
        <w:tab/>
      </w:r>
      <w:proofErr w:type="spellStart"/>
      <w:r w:rsidRPr="002906A3">
        <w:t>Long</w:t>
      </w:r>
      <w:proofErr w:type="spellEnd"/>
      <w:r w:rsidRPr="002906A3">
        <w:t>.</w:t>
      </w:r>
    </w:p>
    <w:p w14:paraId="3A42C81B" w14:textId="77777777" w:rsidR="001E7189" w:rsidRPr="002906A3" w:rsidRDefault="001E7189">
      <w:pPr>
        <w:pStyle w:val="ListeParagraf"/>
        <w:numPr>
          <w:ilvl w:val="0"/>
          <w:numId w:val="58"/>
        </w:numPr>
        <w:jc w:val="both"/>
      </w:pPr>
      <w:proofErr w:type="spellStart"/>
      <w:r w:rsidRPr="002906A3">
        <w:t>Chodorow</w:t>
      </w:r>
      <w:proofErr w:type="spellEnd"/>
      <w:r w:rsidRPr="002906A3">
        <w:t xml:space="preserve">, N. J. (1978). </w:t>
      </w:r>
      <w:proofErr w:type="spellStart"/>
      <w:r w:rsidRPr="00317ECC">
        <w:rPr>
          <w:i/>
        </w:rPr>
        <w:t>The</w:t>
      </w:r>
      <w:proofErr w:type="spellEnd"/>
      <w:r w:rsidRPr="00317ECC">
        <w:rPr>
          <w:i/>
        </w:rPr>
        <w:t xml:space="preserve"> </w:t>
      </w:r>
      <w:proofErr w:type="spellStart"/>
      <w:r w:rsidRPr="00317ECC">
        <w:rPr>
          <w:i/>
        </w:rPr>
        <w:t>reproduction</w:t>
      </w:r>
      <w:proofErr w:type="spellEnd"/>
      <w:r w:rsidRPr="00317ECC">
        <w:rPr>
          <w:i/>
        </w:rPr>
        <w:t xml:space="preserve"> of </w:t>
      </w:r>
      <w:proofErr w:type="spellStart"/>
      <w:r w:rsidRPr="00317ECC">
        <w:rPr>
          <w:i/>
        </w:rPr>
        <w:t>mothering</w:t>
      </w:r>
      <w:proofErr w:type="spellEnd"/>
      <w:r w:rsidRPr="00317ECC">
        <w:rPr>
          <w:i/>
        </w:rPr>
        <w:t xml:space="preserve">: </w:t>
      </w:r>
      <w:proofErr w:type="spellStart"/>
      <w:r w:rsidRPr="00317ECC">
        <w:rPr>
          <w:i/>
        </w:rPr>
        <w:t>Psychoanalysis</w:t>
      </w:r>
      <w:proofErr w:type="spellEnd"/>
      <w:r w:rsidRPr="00317ECC">
        <w:rPr>
          <w:i/>
        </w:rPr>
        <w:t xml:space="preserve"> </w:t>
      </w:r>
      <w:proofErr w:type="spellStart"/>
      <w:r w:rsidRPr="00317ECC">
        <w:rPr>
          <w:i/>
        </w:rPr>
        <w:t>and</w:t>
      </w:r>
      <w:proofErr w:type="spellEnd"/>
      <w:r w:rsidRPr="00317ECC">
        <w:rPr>
          <w:i/>
        </w:rPr>
        <w:t xml:space="preserve"> </w:t>
      </w:r>
      <w:proofErr w:type="spellStart"/>
      <w:r w:rsidRPr="00317ECC">
        <w:rPr>
          <w:i/>
        </w:rPr>
        <w:t>the</w:t>
      </w:r>
      <w:proofErr w:type="spellEnd"/>
      <w:r w:rsidRPr="00317ECC">
        <w:rPr>
          <w:i/>
        </w:rPr>
        <w:t xml:space="preserve"> </w:t>
      </w:r>
      <w:proofErr w:type="spellStart"/>
      <w:r w:rsidRPr="00317ECC">
        <w:rPr>
          <w:i/>
        </w:rPr>
        <w:t>sociology</w:t>
      </w:r>
      <w:proofErr w:type="spellEnd"/>
      <w:r w:rsidRPr="00317ECC">
        <w:rPr>
          <w:i/>
        </w:rPr>
        <w:t xml:space="preserve"> of</w:t>
      </w:r>
      <w:r w:rsidRPr="00317ECC">
        <w:rPr>
          <w:i/>
        </w:rPr>
        <w:tab/>
      </w:r>
      <w:proofErr w:type="spellStart"/>
      <w:r w:rsidRPr="00317ECC">
        <w:rPr>
          <w:i/>
        </w:rPr>
        <w:t>gender</w:t>
      </w:r>
      <w:proofErr w:type="spellEnd"/>
      <w:r w:rsidRPr="002906A3">
        <w:t xml:space="preserve">. </w:t>
      </w:r>
      <w:proofErr w:type="spellStart"/>
      <w:r w:rsidRPr="002906A3">
        <w:t>University</w:t>
      </w:r>
      <w:proofErr w:type="spellEnd"/>
      <w:r w:rsidRPr="002906A3">
        <w:t xml:space="preserve"> of California </w:t>
      </w:r>
      <w:proofErr w:type="spellStart"/>
      <w:r w:rsidRPr="002906A3">
        <w:t>Press</w:t>
      </w:r>
      <w:proofErr w:type="spellEnd"/>
      <w:r w:rsidRPr="002906A3">
        <w:t>.</w:t>
      </w:r>
    </w:p>
    <w:p w14:paraId="2F038961" w14:textId="3FC3589D" w:rsidR="001E7189" w:rsidRPr="002906A3" w:rsidRDefault="001E7189">
      <w:pPr>
        <w:pStyle w:val="ListeParagraf"/>
        <w:numPr>
          <w:ilvl w:val="0"/>
          <w:numId w:val="58"/>
        </w:numPr>
        <w:jc w:val="both"/>
      </w:pPr>
      <w:proofErr w:type="spellStart"/>
      <w:r w:rsidRPr="002906A3">
        <w:t>Eurostat</w:t>
      </w:r>
      <w:proofErr w:type="spellEnd"/>
      <w:r w:rsidRPr="002906A3">
        <w:t xml:space="preserve"> </w:t>
      </w:r>
      <w:proofErr w:type="spellStart"/>
      <w:r w:rsidRPr="002906A3">
        <w:t>Static</w:t>
      </w:r>
      <w:proofErr w:type="spellEnd"/>
      <w:r w:rsidRPr="002906A3">
        <w:t xml:space="preserve"> </w:t>
      </w:r>
      <w:proofErr w:type="spellStart"/>
      <w:r w:rsidRPr="002906A3">
        <w:t>Explained</w:t>
      </w:r>
      <w:proofErr w:type="spellEnd"/>
      <w:r w:rsidRPr="002906A3">
        <w:t xml:space="preserve">, (Şubat 2024). </w:t>
      </w:r>
      <w:proofErr w:type="spellStart"/>
      <w:r w:rsidRPr="002906A3">
        <w:t>Fertility</w:t>
      </w:r>
      <w:proofErr w:type="spellEnd"/>
      <w:r w:rsidRPr="002906A3">
        <w:t xml:space="preserve"> </w:t>
      </w:r>
      <w:proofErr w:type="spellStart"/>
      <w:r w:rsidRPr="002906A3">
        <w:t>statistics</w:t>
      </w:r>
      <w:proofErr w:type="spellEnd"/>
      <w:r w:rsidRPr="002906A3">
        <w:t xml:space="preserve">. </w:t>
      </w:r>
      <w:hyperlink r:id="rId245" w:history="1">
        <w:r w:rsidRPr="002906A3">
          <w:rPr>
            <w:rStyle w:val="Kpr"/>
          </w:rPr>
          <w:t>https://ec.europa.eu/eurostat/statistics-</w:t>
        </w:r>
        <w:r w:rsidRPr="002906A3">
          <w:rPr>
            <w:rStyle w:val="Kpr"/>
          </w:rPr>
          <w:tab/>
        </w:r>
        <w:proofErr w:type="spellStart"/>
        <w:r w:rsidRPr="002906A3">
          <w:rPr>
            <w:rStyle w:val="Kpr"/>
          </w:rPr>
          <w:t>explained</w:t>
        </w:r>
        <w:proofErr w:type="spellEnd"/>
        <w:r w:rsidRPr="002906A3">
          <w:rPr>
            <w:rStyle w:val="Kpr"/>
          </w:rPr>
          <w:t>/</w:t>
        </w:r>
        <w:proofErr w:type="spellStart"/>
        <w:r w:rsidRPr="002906A3">
          <w:rPr>
            <w:rStyle w:val="Kpr"/>
          </w:rPr>
          <w:t>index.php?title</w:t>
        </w:r>
        <w:proofErr w:type="spellEnd"/>
        <w:r w:rsidRPr="002906A3">
          <w:rPr>
            <w:rStyle w:val="Kpr"/>
          </w:rPr>
          <w:t>=</w:t>
        </w:r>
        <w:proofErr w:type="spellStart"/>
        <w:r w:rsidRPr="002906A3">
          <w:rPr>
            <w:rStyle w:val="Kpr"/>
          </w:rPr>
          <w:t>Fertility_statistics</w:t>
        </w:r>
        <w:proofErr w:type="spellEnd"/>
      </w:hyperlink>
    </w:p>
    <w:p w14:paraId="35BA1259" w14:textId="442B6550" w:rsidR="001E7189" w:rsidRPr="002906A3" w:rsidRDefault="001E7189">
      <w:pPr>
        <w:pStyle w:val="ListeParagraf"/>
        <w:numPr>
          <w:ilvl w:val="0"/>
          <w:numId w:val="58"/>
        </w:numPr>
        <w:jc w:val="both"/>
      </w:pPr>
      <w:r w:rsidRPr="002906A3">
        <w:t xml:space="preserve">GMA. (24 Kasım 2014). Jennifer </w:t>
      </w:r>
      <w:proofErr w:type="spellStart"/>
      <w:r w:rsidRPr="002906A3">
        <w:t>Aniston</w:t>
      </w:r>
      <w:proofErr w:type="spellEnd"/>
      <w:r w:rsidRPr="002906A3">
        <w:t xml:space="preserve"> </w:t>
      </w:r>
      <w:proofErr w:type="spellStart"/>
      <w:r w:rsidRPr="002906A3">
        <w:t>calls</w:t>
      </w:r>
      <w:proofErr w:type="spellEnd"/>
      <w:r w:rsidRPr="002906A3">
        <w:t xml:space="preserve"> </w:t>
      </w:r>
      <w:proofErr w:type="spellStart"/>
      <w:r w:rsidRPr="002906A3">
        <w:t>motherhood</w:t>
      </w:r>
      <w:proofErr w:type="spellEnd"/>
      <w:r w:rsidRPr="002906A3">
        <w:t xml:space="preserve"> </w:t>
      </w:r>
      <w:proofErr w:type="spellStart"/>
      <w:r w:rsidRPr="002906A3">
        <w:t>pressure</w:t>
      </w:r>
      <w:proofErr w:type="spellEnd"/>
      <w:r w:rsidRPr="002906A3">
        <w:t xml:space="preserve"> ‘</w:t>
      </w:r>
      <w:proofErr w:type="spellStart"/>
      <w:r w:rsidRPr="002906A3">
        <w:t>unfair</w:t>
      </w:r>
      <w:proofErr w:type="spellEnd"/>
      <w:r w:rsidRPr="002906A3">
        <w:t xml:space="preserve">’ </w:t>
      </w:r>
      <w:proofErr w:type="spellStart"/>
      <w:r w:rsidRPr="002906A3">
        <w:t>to</w:t>
      </w:r>
      <w:proofErr w:type="spellEnd"/>
      <w:r w:rsidRPr="002906A3">
        <w:t xml:space="preserve"> </w:t>
      </w:r>
      <w:proofErr w:type="spellStart"/>
      <w:r w:rsidRPr="002906A3">
        <w:t>women</w:t>
      </w:r>
      <w:proofErr w:type="spellEnd"/>
      <w:r w:rsidRPr="002906A3">
        <w:t>.</w:t>
      </w:r>
      <w:r w:rsidRPr="002906A3">
        <w:tab/>
      </w:r>
      <w:r w:rsidRPr="002906A3">
        <w:tab/>
      </w:r>
      <w:hyperlink r:id="rId246" w:history="1">
        <w:r w:rsidRPr="002906A3">
          <w:rPr>
            <w:rStyle w:val="Kpr"/>
          </w:rPr>
          <w:t>https://www.goodmorningamerica.com/culture/story/jennifer-aniston-calls-motherhood-</w:t>
        </w:r>
        <w:r w:rsidRPr="002906A3">
          <w:rPr>
            <w:rStyle w:val="Kpr"/>
          </w:rPr>
          <w:tab/>
          <w:t>pressure-unfair-women-27597407</w:t>
        </w:r>
      </w:hyperlink>
    </w:p>
    <w:p w14:paraId="3E5EBE71" w14:textId="77777777" w:rsidR="001E7189" w:rsidRPr="002906A3" w:rsidRDefault="001E7189">
      <w:pPr>
        <w:pStyle w:val="ListeParagraf"/>
        <w:numPr>
          <w:ilvl w:val="0"/>
          <w:numId w:val="58"/>
        </w:numPr>
        <w:jc w:val="both"/>
      </w:pPr>
      <w:proofErr w:type="spellStart"/>
      <w:r w:rsidRPr="002906A3">
        <w:t>Godfrind</w:t>
      </w:r>
      <w:proofErr w:type="spellEnd"/>
      <w:r w:rsidRPr="002906A3">
        <w:t xml:space="preserve">-Haber, J. (2009). </w:t>
      </w:r>
      <w:proofErr w:type="spellStart"/>
      <w:r w:rsidRPr="002906A3">
        <w:t>Anat</w:t>
      </w:r>
      <w:proofErr w:type="spellEnd"/>
      <w:r w:rsidRPr="002906A3">
        <w:t xml:space="preserve"> </w:t>
      </w:r>
      <w:proofErr w:type="spellStart"/>
      <w:r w:rsidRPr="002906A3">
        <w:t>Palgi</w:t>
      </w:r>
      <w:proofErr w:type="spellEnd"/>
      <w:r w:rsidRPr="002906A3">
        <w:t xml:space="preserve"> </w:t>
      </w:r>
      <w:proofErr w:type="spellStart"/>
      <w:r w:rsidRPr="002906A3">
        <w:t>Hacker’in</w:t>
      </w:r>
      <w:proofErr w:type="spellEnd"/>
      <w:r w:rsidRPr="002906A3">
        <w:t xml:space="preserve"> sunumuna ilişkin tartışma metni. (A. Kurtul,</w:t>
      </w:r>
      <w:r w:rsidRPr="002906A3">
        <w:tab/>
        <w:t xml:space="preserve">Çev.). </w:t>
      </w:r>
      <w:r w:rsidRPr="00317ECC">
        <w:rPr>
          <w:i/>
        </w:rPr>
        <w:t>Psikanaliz Yazıları Özne Olarak Anne</w:t>
      </w:r>
      <w:r w:rsidRPr="002906A3">
        <w:t xml:space="preserve"> (</w:t>
      </w:r>
      <w:proofErr w:type="spellStart"/>
      <w:r w:rsidRPr="002906A3">
        <w:t>ss</w:t>
      </w:r>
      <w:proofErr w:type="spellEnd"/>
      <w:r w:rsidRPr="002906A3">
        <w:t>. 51-63). Bağlam Yayınları.</w:t>
      </w:r>
    </w:p>
    <w:p w14:paraId="53BCD449" w14:textId="77777777" w:rsidR="001E7189" w:rsidRPr="002906A3" w:rsidRDefault="001E7189">
      <w:pPr>
        <w:pStyle w:val="ListeParagraf"/>
        <w:numPr>
          <w:ilvl w:val="0"/>
          <w:numId w:val="58"/>
        </w:numPr>
        <w:jc w:val="both"/>
      </w:pPr>
      <w:proofErr w:type="spellStart"/>
      <w:r w:rsidRPr="002906A3">
        <w:t>Gouni</w:t>
      </w:r>
      <w:proofErr w:type="spellEnd"/>
      <w:r w:rsidRPr="002906A3">
        <w:t xml:space="preserve">, O., G. </w:t>
      </w:r>
      <w:proofErr w:type="spellStart"/>
      <w:r w:rsidRPr="002906A3">
        <w:t>Jarašiūnaitė-Fedosejeva</w:t>
      </w:r>
      <w:proofErr w:type="spellEnd"/>
      <w:r w:rsidRPr="002906A3">
        <w:t xml:space="preserve">, B. Kömürcü Akik, A. </w:t>
      </w:r>
      <w:proofErr w:type="spellStart"/>
      <w:r w:rsidRPr="002906A3">
        <w:t>Holopainen</w:t>
      </w:r>
      <w:proofErr w:type="spellEnd"/>
      <w:r w:rsidRPr="002906A3">
        <w:t xml:space="preserve"> ve J. </w:t>
      </w:r>
      <w:proofErr w:type="spellStart"/>
      <w:r w:rsidRPr="002906A3">
        <w:t>Calleja-Agius</w:t>
      </w:r>
      <w:proofErr w:type="spellEnd"/>
      <w:r w:rsidRPr="002906A3">
        <w:t>.</w:t>
      </w:r>
      <w:r w:rsidRPr="002906A3">
        <w:tab/>
        <w:t xml:space="preserve">(2022). </w:t>
      </w:r>
      <w:proofErr w:type="spellStart"/>
      <w:r w:rsidRPr="002906A3">
        <w:t>Childlessness</w:t>
      </w:r>
      <w:proofErr w:type="spellEnd"/>
      <w:r w:rsidRPr="002906A3">
        <w:t xml:space="preserve">: </w:t>
      </w:r>
      <w:proofErr w:type="spellStart"/>
      <w:r w:rsidRPr="002906A3">
        <w:t>Concept</w:t>
      </w:r>
      <w:proofErr w:type="spellEnd"/>
      <w:r w:rsidRPr="002906A3">
        <w:t xml:space="preserve"> </w:t>
      </w:r>
      <w:proofErr w:type="spellStart"/>
      <w:r w:rsidRPr="002906A3">
        <w:t>analysis</w:t>
      </w:r>
      <w:proofErr w:type="spellEnd"/>
      <w:r w:rsidRPr="002906A3">
        <w:t xml:space="preserve">. </w:t>
      </w:r>
      <w:proofErr w:type="spellStart"/>
      <w:r w:rsidRPr="00317ECC">
        <w:rPr>
          <w:i/>
        </w:rPr>
        <w:t>Int</w:t>
      </w:r>
      <w:proofErr w:type="spellEnd"/>
      <w:r w:rsidRPr="00317ECC">
        <w:rPr>
          <w:i/>
        </w:rPr>
        <w:t xml:space="preserve">. J. </w:t>
      </w:r>
      <w:proofErr w:type="spellStart"/>
      <w:r w:rsidRPr="00317ECC">
        <w:rPr>
          <w:i/>
        </w:rPr>
        <w:t>Environ</w:t>
      </w:r>
      <w:proofErr w:type="spellEnd"/>
      <w:r w:rsidRPr="00317ECC">
        <w:rPr>
          <w:i/>
        </w:rPr>
        <w:t xml:space="preserve">. </w:t>
      </w:r>
      <w:proofErr w:type="spellStart"/>
      <w:r w:rsidRPr="00317ECC">
        <w:rPr>
          <w:i/>
        </w:rPr>
        <w:t>Res</w:t>
      </w:r>
      <w:proofErr w:type="spellEnd"/>
      <w:r w:rsidRPr="00317ECC">
        <w:rPr>
          <w:i/>
        </w:rPr>
        <w:t xml:space="preserve">. </w:t>
      </w:r>
      <w:proofErr w:type="spellStart"/>
      <w:r w:rsidRPr="00317ECC">
        <w:rPr>
          <w:i/>
        </w:rPr>
        <w:t>Public</w:t>
      </w:r>
      <w:proofErr w:type="spellEnd"/>
      <w:r w:rsidRPr="00317ECC">
        <w:rPr>
          <w:i/>
        </w:rPr>
        <w:t xml:space="preserve"> </w:t>
      </w:r>
      <w:proofErr w:type="spellStart"/>
      <w:r w:rsidRPr="00317ECC">
        <w:rPr>
          <w:i/>
        </w:rPr>
        <w:t>Health</w:t>
      </w:r>
      <w:proofErr w:type="spellEnd"/>
      <w:r w:rsidRPr="002906A3">
        <w:t xml:space="preserve">, 19 (1464), </w:t>
      </w:r>
      <w:proofErr w:type="spellStart"/>
      <w:r w:rsidRPr="002906A3">
        <w:t>ss</w:t>
      </w:r>
      <w:proofErr w:type="spellEnd"/>
      <w:r w:rsidRPr="002906A3">
        <w:t>.</w:t>
      </w:r>
      <w:r w:rsidRPr="002906A3">
        <w:tab/>
        <w:t>1-46.</w:t>
      </w:r>
    </w:p>
    <w:p w14:paraId="0E28C931" w14:textId="4FDA8594" w:rsidR="001E7189" w:rsidRPr="002906A3" w:rsidRDefault="001E7189">
      <w:pPr>
        <w:pStyle w:val="ListeParagraf"/>
        <w:numPr>
          <w:ilvl w:val="0"/>
          <w:numId w:val="58"/>
        </w:numPr>
        <w:jc w:val="both"/>
      </w:pPr>
      <w:r w:rsidRPr="002906A3">
        <w:t>Hürriyet Kelebek. (10 Kasım 2022). Ayda birkaç kez hamilelik söylentileri çıkıyordu: Keşke biri</w:t>
      </w:r>
      <w:r w:rsidRPr="002906A3">
        <w:tab/>
      </w:r>
      <w:r w:rsidRPr="002906A3">
        <w:tab/>
        <w:t xml:space="preserve"> bana yumurtalarımı dondurmamı söyleseydi.</w:t>
      </w:r>
      <w:r w:rsidRPr="002906A3">
        <w:tab/>
      </w:r>
      <w:r w:rsidRPr="002906A3">
        <w:tab/>
      </w:r>
      <w:r w:rsidRPr="002906A3">
        <w:tab/>
      </w:r>
      <w:r w:rsidRPr="002906A3">
        <w:tab/>
      </w:r>
      <w:r w:rsidRPr="002906A3">
        <w:tab/>
      </w:r>
      <w:r w:rsidRPr="002906A3">
        <w:tab/>
      </w:r>
      <w:r w:rsidRPr="002906A3">
        <w:tab/>
        <w:t xml:space="preserve"> </w:t>
      </w:r>
      <w:hyperlink r:id="rId247" w:anchor=":~:text='KE%C5%9EKE%20B%C4%B0R%C4%B0%20BANA%20YUMUR TALARIMI%20DONDURMAMI,Gemi%20gitti.%22" w:history="1">
        <w:r w:rsidRPr="002906A3">
          <w:rPr>
            <w:rStyle w:val="Kpr"/>
          </w:rPr>
          <w:t>https://www.hurriyet.com.tr/kelebek/magazin/jennifer-aniston-biri-de-bana-</w:t>
        </w:r>
        <w:r w:rsidRPr="002906A3">
          <w:rPr>
            <w:rStyle w:val="Kpr"/>
          </w:rPr>
          <w:tab/>
        </w:r>
        <w:proofErr w:type="spellStart"/>
        <w:r w:rsidRPr="002906A3">
          <w:rPr>
            <w:rStyle w:val="Kpr"/>
          </w:rPr>
          <w:t>yumurtalarini</w:t>
        </w:r>
        <w:proofErr w:type="spellEnd"/>
        <w:r w:rsidRPr="002906A3">
          <w:rPr>
            <w:rStyle w:val="Kpr"/>
          </w:rPr>
          <w:t>-dondur-demedi-o-gemi-gitti-</w:t>
        </w:r>
        <w:proofErr w:type="spellStart"/>
        <w:r w:rsidRPr="002906A3">
          <w:rPr>
            <w:rStyle w:val="Kpr"/>
          </w:rPr>
          <w:t>artik</w:t>
        </w:r>
        <w:proofErr w:type="spellEnd"/>
        <w:r w:rsidRPr="002906A3">
          <w:rPr>
            <w:rStyle w:val="Kpr"/>
          </w:rPr>
          <w:t>-</w:t>
        </w:r>
        <w:r w:rsidRPr="002906A3">
          <w:rPr>
            <w:rStyle w:val="Kpr"/>
          </w:rPr>
          <w:tab/>
          <w:t>42168420#:~:</w:t>
        </w:r>
        <w:proofErr w:type="spellStart"/>
        <w:r w:rsidRPr="002906A3">
          <w:rPr>
            <w:rStyle w:val="Kpr"/>
          </w:rPr>
          <w:t>text</w:t>
        </w:r>
        <w:proofErr w:type="spellEnd"/>
        <w:r w:rsidRPr="002906A3">
          <w:rPr>
            <w:rStyle w:val="Kpr"/>
          </w:rPr>
          <w:t>='KE%C5%9EKE%20B%C4%B0R%C4%B0%20BANA%20YUMUR</w:t>
        </w:r>
        <w:r w:rsidRPr="002906A3">
          <w:rPr>
            <w:rStyle w:val="Kpr"/>
          </w:rPr>
          <w:tab/>
          <w:t>TALARIMI%20DONDURMAMI,Gemi%20gitti.%22</w:t>
        </w:r>
      </w:hyperlink>
    </w:p>
    <w:p w14:paraId="4DBB1A04" w14:textId="77777777" w:rsidR="001E7189" w:rsidRPr="002906A3" w:rsidRDefault="001E7189">
      <w:pPr>
        <w:pStyle w:val="ListeParagraf"/>
        <w:numPr>
          <w:ilvl w:val="0"/>
          <w:numId w:val="58"/>
        </w:numPr>
        <w:jc w:val="both"/>
      </w:pPr>
      <w:proofErr w:type="spellStart"/>
      <w:r w:rsidRPr="002906A3">
        <w:t>Kanazawa</w:t>
      </w:r>
      <w:proofErr w:type="spellEnd"/>
      <w:r w:rsidRPr="002906A3">
        <w:t xml:space="preserve">, S. (2014). </w:t>
      </w:r>
      <w:proofErr w:type="spellStart"/>
      <w:r w:rsidRPr="002906A3">
        <w:t>Intelligence</w:t>
      </w:r>
      <w:proofErr w:type="spellEnd"/>
      <w:r w:rsidRPr="002906A3">
        <w:t xml:space="preserve"> </w:t>
      </w:r>
      <w:proofErr w:type="spellStart"/>
      <w:r w:rsidRPr="002906A3">
        <w:t>and</w:t>
      </w:r>
      <w:proofErr w:type="spellEnd"/>
      <w:r w:rsidRPr="002906A3">
        <w:t xml:space="preserve"> </w:t>
      </w:r>
      <w:proofErr w:type="spellStart"/>
      <w:r w:rsidRPr="002906A3">
        <w:t>childlessness</w:t>
      </w:r>
      <w:proofErr w:type="spellEnd"/>
      <w:r w:rsidRPr="002906A3">
        <w:t xml:space="preserve">. </w:t>
      </w:r>
      <w:proofErr w:type="spellStart"/>
      <w:r w:rsidRPr="00317ECC">
        <w:rPr>
          <w:i/>
        </w:rPr>
        <w:t>Social</w:t>
      </w:r>
      <w:proofErr w:type="spellEnd"/>
      <w:r w:rsidRPr="00317ECC">
        <w:rPr>
          <w:i/>
        </w:rPr>
        <w:t xml:space="preserve"> </w:t>
      </w:r>
      <w:proofErr w:type="spellStart"/>
      <w:r w:rsidRPr="00317ECC">
        <w:rPr>
          <w:i/>
        </w:rPr>
        <w:t>Science</w:t>
      </w:r>
      <w:proofErr w:type="spellEnd"/>
      <w:r w:rsidRPr="00317ECC">
        <w:rPr>
          <w:i/>
        </w:rPr>
        <w:t xml:space="preserve"> </w:t>
      </w:r>
      <w:proofErr w:type="spellStart"/>
      <w:r w:rsidRPr="00317ECC">
        <w:rPr>
          <w:i/>
        </w:rPr>
        <w:t>Research</w:t>
      </w:r>
      <w:proofErr w:type="spellEnd"/>
      <w:r w:rsidRPr="002906A3">
        <w:t>, 48, (ss.157–170).</w:t>
      </w:r>
    </w:p>
    <w:p w14:paraId="1DE1F4A8" w14:textId="0D435E9A" w:rsidR="001E7189" w:rsidRPr="00317ECC" w:rsidRDefault="001E7189">
      <w:pPr>
        <w:pStyle w:val="ListeParagraf"/>
        <w:numPr>
          <w:ilvl w:val="0"/>
          <w:numId w:val="58"/>
        </w:numPr>
        <w:jc w:val="both"/>
        <w:rPr>
          <w:color w:val="0070C0"/>
        </w:rPr>
      </w:pPr>
      <w:r w:rsidRPr="002906A3">
        <w:t xml:space="preserve">Kepenek, E. (21 Ekim 2020). </w:t>
      </w:r>
      <w:r w:rsidRPr="00317ECC">
        <w:rPr>
          <w:i/>
        </w:rPr>
        <w:t xml:space="preserve">Ayşegül Yaraman anlatıyor: Cinsiyetçi ikiyüzlülük: Hem </w:t>
      </w:r>
      <w:r w:rsidRPr="00317ECC">
        <w:rPr>
          <w:i/>
        </w:rPr>
        <w:lastRenderedPageBreak/>
        <w:t>mağduruz</w:t>
      </w:r>
      <w:r w:rsidRPr="00317ECC">
        <w:rPr>
          <w:i/>
        </w:rPr>
        <w:tab/>
        <w:t>hem fail</w:t>
      </w:r>
      <w:r w:rsidRPr="002906A3">
        <w:t xml:space="preserve">. </w:t>
      </w:r>
      <w:proofErr w:type="spellStart"/>
      <w:r w:rsidRPr="002906A3">
        <w:t>Bianet</w:t>
      </w:r>
      <w:proofErr w:type="spellEnd"/>
      <w:r w:rsidRPr="002906A3">
        <w:t xml:space="preserve">. </w:t>
      </w:r>
      <w:proofErr w:type="gramStart"/>
      <w:r w:rsidRPr="00317ECC">
        <w:rPr>
          <w:color w:val="0070C0"/>
          <w:u w:val="single"/>
        </w:rPr>
        <w:t>https</w:t>
      </w:r>
      <w:proofErr w:type="gramEnd"/>
      <w:r w:rsidRPr="00317ECC">
        <w:rPr>
          <w:color w:val="0070C0"/>
          <w:u w:val="single"/>
        </w:rPr>
        <w:t>:// bianet.org/</w:t>
      </w:r>
      <w:proofErr w:type="spellStart"/>
      <w:r w:rsidRPr="00317ECC">
        <w:rPr>
          <w:color w:val="0070C0"/>
          <w:u w:val="single"/>
        </w:rPr>
        <w:t>bianet</w:t>
      </w:r>
      <w:proofErr w:type="spellEnd"/>
      <w:r w:rsidRPr="00317ECC">
        <w:rPr>
          <w:color w:val="0070C0"/>
          <w:u w:val="single"/>
        </w:rPr>
        <w:t>/toplumsal-cinsiyet/233058-cinsiyetci-</w:t>
      </w:r>
      <w:r w:rsidRPr="00317ECC">
        <w:rPr>
          <w:color w:val="0070C0"/>
        </w:rPr>
        <w:tab/>
      </w:r>
      <w:proofErr w:type="spellStart"/>
      <w:r w:rsidRPr="00317ECC">
        <w:rPr>
          <w:color w:val="0070C0"/>
          <w:u w:val="single"/>
        </w:rPr>
        <w:t>ikiyuzluluk</w:t>
      </w:r>
      <w:proofErr w:type="spellEnd"/>
      <w:r w:rsidRPr="00317ECC">
        <w:rPr>
          <w:color w:val="0070C0"/>
          <w:u w:val="single"/>
        </w:rPr>
        <w:t>-hem-</w:t>
      </w:r>
      <w:proofErr w:type="spellStart"/>
      <w:r w:rsidRPr="00317ECC">
        <w:rPr>
          <w:color w:val="0070C0"/>
          <w:u w:val="single"/>
        </w:rPr>
        <w:t>magduruz</w:t>
      </w:r>
      <w:proofErr w:type="spellEnd"/>
      <w:r w:rsidRPr="00317ECC">
        <w:rPr>
          <w:color w:val="0070C0"/>
          <w:u w:val="single"/>
        </w:rPr>
        <w:t>-hem-fail</w:t>
      </w:r>
    </w:p>
    <w:p w14:paraId="00738569" w14:textId="77777777" w:rsidR="001E7189" w:rsidRPr="002906A3" w:rsidRDefault="001E7189">
      <w:pPr>
        <w:pStyle w:val="ListeParagraf"/>
        <w:numPr>
          <w:ilvl w:val="0"/>
          <w:numId w:val="58"/>
        </w:numPr>
        <w:jc w:val="both"/>
      </w:pPr>
      <w:proofErr w:type="spellStart"/>
      <w:r w:rsidRPr="002906A3">
        <w:t>Maier</w:t>
      </w:r>
      <w:proofErr w:type="spellEnd"/>
      <w:r w:rsidRPr="002906A3">
        <w:t xml:space="preserve">, C. (2013). </w:t>
      </w:r>
      <w:r w:rsidRPr="00317ECC">
        <w:rPr>
          <w:i/>
        </w:rPr>
        <w:t xml:space="preserve">No </w:t>
      </w:r>
      <w:proofErr w:type="spellStart"/>
      <w:r w:rsidRPr="00317ECC">
        <w:rPr>
          <w:i/>
        </w:rPr>
        <w:t>kid</w:t>
      </w:r>
      <w:proofErr w:type="spellEnd"/>
      <w:r w:rsidRPr="00317ECC">
        <w:rPr>
          <w:i/>
        </w:rPr>
        <w:t>: Çocuk yapmamak için 40 neden</w:t>
      </w:r>
      <w:r w:rsidRPr="002906A3">
        <w:t xml:space="preserve">. (Z. C. </w:t>
      </w:r>
      <w:proofErr w:type="spellStart"/>
      <w:r w:rsidRPr="002906A3">
        <w:t>Özatalay</w:t>
      </w:r>
      <w:proofErr w:type="spellEnd"/>
      <w:r w:rsidRPr="002906A3">
        <w:t xml:space="preserve">, </w:t>
      </w:r>
      <w:proofErr w:type="spellStart"/>
      <w:r w:rsidRPr="002906A3">
        <w:t>Çev</w:t>
      </w:r>
      <w:proofErr w:type="spellEnd"/>
      <w:r w:rsidRPr="002906A3">
        <w:t xml:space="preserve">). </w:t>
      </w:r>
      <w:proofErr w:type="spellStart"/>
      <w:r w:rsidRPr="002906A3">
        <w:t>Esenkitap</w:t>
      </w:r>
      <w:proofErr w:type="spellEnd"/>
      <w:r w:rsidRPr="002906A3">
        <w:t>.</w:t>
      </w:r>
    </w:p>
    <w:p w14:paraId="6AD1BF58" w14:textId="77777777" w:rsidR="001E7189" w:rsidRPr="002906A3" w:rsidRDefault="001E7189">
      <w:pPr>
        <w:pStyle w:val="ListeParagraf"/>
        <w:numPr>
          <w:ilvl w:val="0"/>
          <w:numId w:val="58"/>
        </w:numPr>
        <w:jc w:val="both"/>
      </w:pPr>
      <w:r w:rsidRPr="002906A3">
        <w:t xml:space="preserve">Mitchell, J. (1973). </w:t>
      </w:r>
      <w:proofErr w:type="spellStart"/>
      <w:r w:rsidRPr="00317ECC">
        <w:rPr>
          <w:i/>
        </w:rPr>
        <w:t>Womans</w:t>
      </w:r>
      <w:proofErr w:type="spellEnd"/>
      <w:r w:rsidRPr="00317ECC">
        <w:rPr>
          <w:i/>
        </w:rPr>
        <w:t xml:space="preserve"> </w:t>
      </w:r>
      <w:proofErr w:type="spellStart"/>
      <w:r w:rsidRPr="00317ECC">
        <w:rPr>
          <w:i/>
        </w:rPr>
        <w:t>estate</w:t>
      </w:r>
      <w:proofErr w:type="spellEnd"/>
      <w:r w:rsidRPr="002906A3">
        <w:t xml:space="preserve">. </w:t>
      </w:r>
      <w:proofErr w:type="spellStart"/>
      <w:r w:rsidRPr="002906A3">
        <w:t>The</w:t>
      </w:r>
      <w:proofErr w:type="spellEnd"/>
      <w:r w:rsidRPr="002906A3">
        <w:t xml:space="preserve"> Philips Park </w:t>
      </w:r>
      <w:proofErr w:type="spellStart"/>
      <w:r w:rsidRPr="002906A3">
        <w:t>Press</w:t>
      </w:r>
      <w:proofErr w:type="spellEnd"/>
      <w:r w:rsidRPr="002906A3">
        <w:t xml:space="preserve"> </w:t>
      </w:r>
      <w:proofErr w:type="spellStart"/>
      <w:r w:rsidRPr="002906A3">
        <w:t>Penguin</w:t>
      </w:r>
      <w:proofErr w:type="spellEnd"/>
      <w:r w:rsidRPr="002906A3">
        <w:t xml:space="preserve"> </w:t>
      </w:r>
      <w:proofErr w:type="spellStart"/>
      <w:r w:rsidRPr="002906A3">
        <w:t>Books</w:t>
      </w:r>
      <w:proofErr w:type="spellEnd"/>
      <w:r w:rsidRPr="002906A3">
        <w:t>.</w:t>
      </w:r>
    </w:p>
    <w:p w14:paraId="0BA687A3" w14:textId="6C90F9A2" w:rsidR="001E7189" w:rsidRPr="002906A3" w:rsidRDefault="001E7189">
      <w:pPr>
        <w:pStyle w:val="ListeParagraf"/>
        <w:numPr>
          <w:ilvl w:val="0"/>
          <w:numId w:val="58"/>
        </w:numPr>
        <w:jc w:val="both"/>
      </w:pPr>
      <w:proofErr w:type="spellStart"/>
      <w:proofErr w:type="gramStart"/>
      <w:r w:rsidRPr="002906A3">
        <w:t>myNews</w:t>
      </w:r>
      <w:proofErr w:type="spellEnd"/>
      <w:proofErr w:type="gramEnd"/>
      <w:r w:rsidRPr="002906A3">
        <w:t xml:space="preserve">. (4 Eylül 2024). </w:t>
      </w:r>
      <w:proofErr w:type="spellStart"/>
      <w:r w:rsidRPr="002906A3">
        <w:t>Extended</w:t>
      </w:r>
      <w:proofErr w:type="spellEnd"/>
      <w:r w:rsidRPr="002906A3">
        <w:t xml:space="preserve"> </w:t>
      </w:r>
      <w:proofErr w:type="spellStart"/>
      <w:r w:rsidRPr="002906A3">
        <w:t>paid</w:t>
      </w:r>
      <w:proofErr w:type="spellEnd"/>
      <w:r w:rsidRPr="002906A3">
        <w:t xml:space="preserve"> </w:t>
      </w:r>
      <w:proofErr w:type="spellStart"/>
      <w:r w:rsidRPr="002906A3">
        <w:t>maternity</w:t>
      </w:r>
      <w:proofErr w:type="spellEnd"/>
      <w:r w:rsidRPr="002906A3">
        <w:t xml:space="preserve"> </w:t>
      </w:r>
      <w:proofErr w:type="spellStart"/>
      <w:r w:rsidRPr="002906A3">
        <w:t>leave</w:t>
      </w:r>
      <w:proofErr w:type="spellEnd"/>
      <w:r w:rsidRPr="002906A3">
        <w:t xml:space="preserve"> led </w:t>
      </w:r>
      <w:proofErr w:type="spellStart"/>
      <w:r w:rsidRPr="002906A3">
        <w:t>to</w:t>
      </w:r>
      <w:proofErr w:type="spellEnd"/>
      <w:r w:rsidRPr="002906A3">
        <w:t xml:space="preserve"> 22% </w:t>
      </w:r>
      <w:proofErr w:type="spellStart"/>
      <w:r w:rsidRPr="002906A3">
        <w:t>drop</w:t>
      </w:r>
      <w:proofErr w:type="spellEnd"/>
      <w:r w:rsidRPr="002906A3">
        <w:t xml:space="preserve"> in Hong </w:t>
      </w:r>
      <w:proofErr w:type="spellStart"/>
      <w:r w:rsidRPr="002906A3">
        <w:t>Kong’s</w:t>
      </w:r>
      <w:proofErr w:type="spellEnd"/>
      <w:r w:rsidRPr="002906A3">
        <w:t xml:space="preserve"> postnatal</w:t>
      </w:r>
      <w:r w:rsidRPr="002906A3">
        <w:tab/>
        <w:t xml:space="preserve"> </w:t>
      </w:r>
      <w:proofErr w:type="spellStart"/>
      <w:r w:rsidRPr="002906A3">
        <w:t>depression</w:t>
      </w:r>
      <w:proofErr w:type="spellEnd"/>
      <w:r w:rsidRPr="002906A3">
        <w:t xml:space="preserve"> </w:t>
      </w:r>
      <w:proofErr w:type="spellStart"/>
      <w:r w:rsidRPr="002906A3">
        <w:t>cases</w:t>
      </w:r>
      <w:proofErr w:type="spellEnd"/>
      <w:r w:rsidRPr="002906A3">
        <w:t xml:space="preserve">. </w:t>
      </w:r>
      <w:hyperlink r:id="rId248" w:history="1">
        <w:r w:rsidRPr="002906A3">
          <w:rPr>
            <w:rStyle w:val="Kpr"/>
          </w:rPr>
          <w:t>https://www.scmp.com/news/hong-kong/health-</w:t>
        </w:r>
        <w:r w:rsidRPr="002906A3">
          <w:rPr>
            <w:rStyle w:val="Kpr"/>
          </w:rPr>
          <w:tab/>
          <w:t>environment/article/3277215/extended-paid-maternity-leave-led-22-drop-hong-kongs-</w:t>
        </w:r>
        <w:r w:rsidRPr="002906A3">
          <w:rPr>
            <w:rStyle w:val="Kpr"/>
          </w:rPr>
          <w:tab/>
          <w:t>postnatal-</w:t>
        </w:r>
        <w:proofErr w:type="spellStart"/>
        <w:r w:rsidRPr="002906A3">
          <w:rPr>
            <w:rStyle w:val="Kpr"/>
          </w:rPr>
          <w:t>depression</w:t>
        </w:r>
        <w:proofErr w:type="spellEnd"/>
        <w:r w:rsidRPr="002906A3">
          <w:rPr>
            <w:rStyle w:val="Kpr"/>
          </w:rPr>
          <w:t>-</w:t>
        </w:r>
        <w:proofErr w:type="spellStart"/>
        <w:r w:rsidRPr="002906A3">
          <w:rPr>
            <w:rStyle w:val="Kpr"/>
          </w:rPr>
          <w:t>cases</w:t>
        </w:r>
        <w:proofErr w:type="spellEnd"/>
      </w:hyperlink>
    </w:p>
    <w:p w14:paraId="0EAE300A" w14:textId="10C5A4D4" w:rsidR="001E7189" w:rsidRPr="002906A3" w:rsidRDefault="001E7189">
      <w:pPr>
        <w:pStyle w:val="ListeParagraf"/>
        <w:numPr>
          <w:ilvl w:val="0"/>
          <w:numId w:val="58"/>
        </w:numPr>
        <w:jc w:val="both"/>
      </w:pPr>
      <w:r w:rsidRPr="002906A3">
        <w:t xml:space="preserve">News.gov.hk. (4 Aralık 2020). </w:t>
      </w:r>
      <w:proofErr w:type="spellStart"/>
      <w:r w:rsidRPr="002906A3">
        <w:t>Extended</w:t>
      </w:r>
      <w:proofErr w:type="spellEnd"/>
      <w:r w:rsidRPr="002906A3">
        <w:t xml:space="preserve"> </w:t>
      </w:r>
      <w:proofErr w:type="spellStart"/>
      <w:r w:rsidRPr="002906A3">
        <w:t>maternity</w:t>
      </w:r>
      <w:proofErr w:type="spellEnd"/>
      <w:r w:rsidRPr="002906A3">
        <w:t xml:space="preserve"> </w:t>
      </w:r>
      <w:proofErr w:type="spellStart"/>
      <w:r w:rsidRPr="002906A3">
        <w:t>leave</w:t>
      </w:r>
      <w:proofErr w:type="spellEnd"/>
      <w:r w:rsidRPr="002906A3">
        <w:t xml:space="preserve"> </w:t>
      </w:r>
      <w:proofErr w:type="spellStart"/>
      <w:r w:rsidRPr="002906A3">
        <w:t>explained</w:t>
      </w:r>
      <w:proofErr w:type="spellEnd"/>
      <w:r w:rsidRPr="002906A3">
        <w:t>.</w:t>
      </w:r>
      <w:r w:rsidRPr="002906A3">
        <w:tab/>
      </w:r>
      <w:r w:rsidRPr="002906A3">
        <w:tab/>
      </w:r>
      <w:r w:rsidRPr="002906A3">
        <w:tab/>
      </w:r>
      <w:r w:rsidRPr="002906A3">
        <w:tab/>
      </w:r>
      <w:r w:rsidRPr="002906A3">
        <w:tab/>
      </w:r>
      <w:hyperlink r:id="rId249" w:history="1">
        <w:r w:rsidRPr="002906A3">
          <w:rPr>
            <w:rStyle w:val="Kpr"/>
          </w:rPr>
          <w:t>https://www.news.gov.hk/eng/2020/12/20201204/20201204_111608_107.html</w:t>
        </w:r>
      </w:hyperlink>
    </w:p>
    <w:p w14:paraId="4B75AF79" w14:textId="09511EED" w:rsidR="001E7189" w:rsidRPr="00317ECC" w:rsidRDefault="001E7189">
      <w:pPr>
        <w:pStyle w:val="ListeParagraf"/>
        <w:numPr>
          <w:ilvl w:val="0"/>
          <w:numId w:val="58"/>
        </w:numPr>
        <w:jc w:val="both"/>
        <w:rPr>
          <w:color w:val="0070C0"/>
          <w:u w:val="single"/>
        </w:rPr>
      </w:pPr>
      <w:r w:rsidRPr="002906A3">
        <w:t xml:space="preserve">Perry, S. (22 Ağustos 2019). </w:t>
      </w:r>
      <w:proofErr w:type="spellStart"/>
      <w:r w:rsidRPr="00317ECC">
        <w:rPr>
          <w:i/>
        </w:rPr>
        <w:t>Breaking</w:t>
      </w:r>
      <w:proofErr w:type="spellEnd"/>
      <w:r w:rsidRPr="00317ECC">
        <w:rPr>
          <w:i/>
        </w:rPr>
        <w:t xml:space="preserve"> a </w:t>
      </w:r>
      <w:proofErr w:type="spellStart"/>
      <w:r w:rsidRPr="00317ECC">
        <w:rPr>
          <w:i/>
        </w:rPr>
        <w:t>gender</w:t>
      </w:r>
      <w:proofErr w:type="spellEnd"/>
      <w:r w:rsidRPr="00317ECC">
        <w:rPr>
          <w:i/>
        </w:rPr>
        <w:t xml:space="preserve"> </w:t>
      </w:r>
      <w:proofErr w:type="spellStart"/>
      <w:r w:rsidRPr="00317ECC">
        <w:rPr>
          <w:i/>
        </w:rPr>
        <w:t>myth</w:t>
      </w:r>
      <w:proofErr w:type="spellEnd"/>
      <w:r w:rsidRPr="00317ECC">
        <w:rPr>
          <w:i/>
        </w:rPr>
        <w:t xml:space="preserve">: </w:t>
      </w:r>
      <w:proofErr w:type="spellStart"/>
      <w:r w:rsidRPr="00317ECC">
        <w:rPr>
          <w:i/>
        </w:rPr>
        <w:t>Women</w:t>
      </w:r>
      <w:proofErr w:type="spellEnd"/>
      <w:r w:rsidRPr="00317ECC">
        <w:rPr>
          <w:i/>
        </w:rPr>
        <w:t xml:space="preserve"> </w:t>
      </w:r>
      <w:proofErr w:type="spellStart"/>
      <w:r w:rsidRPr="00317ECC">
        <w:rPr>
          <w:i/>
        </w:rPr>
        <w:t>are</w:t>
      </w:r>
      <w:proofErr w:type="spellEnd"/>
      <w:r w:rsidRPr="00317ECC">
        <w:rPr>
          <w:i/>
        </w:rPr>
        <w:t xml:space="preserve"> not </w:t>
      </w:r>
      <w:proofErr w:type="spellStart"/>
      <w:r w:rsidRPr="00317ECC">
        <w:rPr>
          <w:i/>
        </w:rPr>
        <w:t>better</w:t>
      </w:r>
      <w:proofErr w:type="spellEnd"/>
      <w:r w:rsidRPr="00317ECC">
        <w:rPr>
          <w:i/>
        </w:rPr>
        <w:t xml:space="preserve"> at </w:t>
      </w:r>
      <w:proofErr w:type="spellStart"/>
      <w:r w:rsidRPr="00317ECC">
        <w:rPr>
          <w:i/>
        </w:rPr>
        <w:t>multitasking</w:t>
      </w:r>
      <w:proofErr w:type="spellEnd"/>
      <w:r w:rsidRPr="00317ECC">
        <w:rPr>
          <w:i/>
        </w:rPr>
        <w:t xml:space="preserve"> </w:t>
      </w:r>
      <w:proofErr w:type="spellStart"/>
      <w:r w:rsidRPr="00317ECC">
        <w:rPr>
          <w:i/>
        </w:rPr>
        <w:t>than</w:t>
      </w:r>
      <w:proofErr w:type="spellEnd"/>
      <w:r w:rsidRPr="00317ECC">
        <w:rPr>
          <w:i/>
        </w:rPr>
        <w:tab/>
      </w:r>
      <w:r w:rsidRPr="00317ECC">
        <w:rPr>
          <w:i/>
        </w:rPr>
        <w:tab/>
        <w:t>men</w:t>
      </w:r>
      <w:r w:rsidRPr="002906A3">
        <w:t xml:space="preserve">. MINNPOST. </w:t>
      </w:r>
      <w:r w:rsidRPr="00317ECC">
        <w:rPr>
          <w:color w:val="0070C0"/>
          <w:u w:val="single"/>
        </w:rPr>
        <w:t>https://www. minnpost.com/</w:t>
      </w:r>
      <w:proofErr w:type="spellStart"/>
      <w:r w:rsidRPr="00317ECC">
        <w:rPr>
          <w:color w:val="0070C0"/>
          <w:u w:val="single"/>
        </w:rPr>
        <w:t>second-opinion</w:t>
      </w:r>
      <w:proofErr w:type="spellEnd"/>
      <w:r w:rsidRPr="00317ECC">
        <w:rPr>
          <w:color w:val="0070C0"/>
          <w:u w:val="single"/>
        </w:rPr>
        <w:t>/2019/08/</w:t>
      </w:r>
      <w:proofErr w:type="spellStart"/>
      <w:r w:rsidRPr="00317ECC">
        <w:rPr>
          <w:color w:val="0070C0"/>
          <w:u w:val="single"/>
        </w:rPr>
        <w:t>breaking</w:t>
      </w:r>
      <w:proofErr w:type="spellEnd"/>
      <w:r w:rsidRPr="00317ECC">
        <w:rPr>
          <w:color w:val="0070C0"/>
          <w:u w:val="single"/>
        </w:rPr>
        <w:t>-a-</w:t>
      </w:r>
      <w:r w:rsidRPr="00317ECC">
        <w:rPr>
          <w:color w:val="0070C0"/>
        </w:rPr>
        <w:tab/>
      </w:r>
      <w:proofErr w:type="spellStart"/>
      <w:r w:rsidRPr="00317ECC">
        <w:rPr>
          <w:color w:val="0070C0"/>
          <w:u w:val="single"/>
        </w:rPr>
        <w:t>gender</w:t>
      </w:r>
      <w:proofErr w:type="spellEnd"/>
      <w:r w:rsidRPr="00317ECC">
        <w:rPr>
          <w:color w:val="0070C0"/>
          <w:u w:val="single"/>
        </w:rPr>
        <w:t>-</w:t>
      </w:r>
      <w:proofErr w:type="spellStart"/>
      <w:r w:rsidRPr="00317ECC">
        <w:rPr>
          <w:color w:val="0070C0"/>
          <w:u w:val="single"/>
        </w:rPr>
        <w:t>myth</w:t>
      </w:r>
      <w:proofErr w:type="spellEnd"/>
      <w:r w:rsidRPr="00317ECC">
        <w:rPr>
          <w:color w:val="0070C0"/>
          <w:u w:val="single"/>
        </w:rPr>
        <w:t>-</w:t>
      </w:r>
      <w:proofErr w:type="spellStart"/>
      <w:r w:rsidRPr="00317ECC">
        <w:rPr>
          <w:color w:val="0070C0"/>
          <w:u w:val="single"/>
        </w:rPr>
        <w:t>women</w:t>
      </w:r>
      <w:proofErr w:type="spellEnd"/>
      <w:r w:rsidRPr="00317ECC">
        <w:rPr>
          <w:color w:val="0070C0"/>
          <w:u w:val="single"/>
        </w:rPr>
        <w:t>-</w:t>
      </w:r>
      <w:proofErr w:type="spellStart"/>
      <w:r w:rsidRPr="00317ECC">
        <w:rPr>
          <w:color w:val="0070C0"/>
          <w:u w:val="single"/>
        </w:rPr>
        <w:t>are</w:t>
      </w:r>
      <w:proofErr w:type="spellEnd"/>
      <w:r w:rsidRPr="00317ECC">
        <w:rPr>
          <w:color w:val="0070C0"/>
          <w:u w:val="single"/>
        </w:rPr>
        <w:t>-not-</w:t>
      </w:r>
      <w:proofErr w:type="spellStart"/>
      <w:r w:rsidRPr="00317ECC">
        <w:rPr>
          <w:color w:val="0070C0"/>
          <w:u w:val="single"/>
        </w:rPr>
        <w:t>better</w:t>
      </w:r>
      <w:proofErr w:type="spellEnd"/>
      <w:r w:rsidRPr="00317ECC">
        <w:rPr>
          <w:color w:val="0070C0"/>
          <w:u w:val="single"/>
        </w:rPr>
        <w:t>-at-</w:t>
      </w:r>
      <w:proofErr w:type="spellStart"/>
      <w:r w:rsidRPr="00317ECC">
        <w:rPr>
          <w:color w:val="0070C0"/>
          <w:u w:val="single"/>
        </w:rPr>
        <w:t>multitasking</w:t>
      </w:r>
      <w:proofErr w:type="spellEnd"/>
      <w:r w:rsidRPr="00317ECC">
        <w:rPr>
          <w:color w:val="0070C0"/>
          <w:u w:val="single"/>
        </w:rPr>
        <w:t>-</w:t>
      </w:r>
      <w:proofErr w:type="spellStart"/>
      <w:r w:rsidRPr="00317ECC">
        <w:rPr>
          <w:color w:val="0070C0"/>
          <w:u w:val="single"/>
        </w:rPr>
        <w:t>than</w:t>
      </w:r>
      <w:proofErr w:type="spellEnd"/>
      <w:r w:rsidRPr="00317ECC">
        <w:rPr>
          <w:color w:val="0070C0"/>
          <w:u w:val="single"/>
        </w:rPr>
        <w:t>-men/</w:t>
      </w:r>
    </w:p>
    <w:p w14:paraId="7CD98580" w14:textId="081C2FA3" w:rsidR="001E7189" w:rsidRPr="002906A3" w:rsidRDefault="001E7189">
      <w:pPr>
        <w:pStyle w:val="ListeParagraf"/>
        <w:numPr>
          <w:ilvl w:val="0"/>
          <w:numId w:val="58"/>
        </w:numPr>
        <w:jc w:val="both"/>
      </w:pPr>
      <w:proofErr w:type="spellStart"/>
      <w:r w:rsidRPr="002906A3">
        <w:t>Pew</w:t>
      </w:r>
      <w:proofErr w:type="spellEnd"/>
      <w:r w:rsidRPr="002906A3">
        <w:t xml:space="preserve"> </w:t>
      </w:r>
      <w:proofErr w:type="spellStart"/>
      <w:r w:rsidRPr="002906A3">
        <w:t>Research</w:t>
      </w:r>
      <w:proofErr w:type="spellEnd"/>
      <w:r w:rsidRPr="002906A3">
        <w:t xml:space="preserve"> Center. (25 Temmuz 2024). </w:t>
      </w:r>
      <w:proofErr w:type="spellStart"/>
      <w:r w:rsidRPr="002906A3">
        <w:t>The</w:t>
      </w:r>
      <w:proofErr w:type="spellEnd"/>
      <w:r w:rsidRPr="002906A3">
        <w:t xml:space="preserve"> </w:t>
      </w:r>
      <w:proofErr w:type="spellStart"/>
      <w:r w:rsidRPr="002906A3">
        <w:t>experiences</w:t>
      </w:r>
      <w:proofErr w:type="spellEnd"/>
      <w:r w:rsidRPr="002906A3">
        <w:t xml:space="preserve"> of U.S. </w:t>
      </w:r>
      <w:proofErr w:type="spellStart"/>
      <w:r w:rsidRPr="002906A3">
        <w:t>adults</w:t>
      </w:r>
      <w:proofErr w:type="spellEnd"/>
      <w:r w:rsidRPr="002906A3">
        <w:t xml:space="preserve"> </w:t>
      </w:r>
      <w:proofErr w:type="spellStart"/>
      <w:r w:rsidRPr="002906A3">
        <w:t>who</w:t>
      </w:r>
      <w:proofErr w:type="spellEnd"/>
      <w:r w:rsidRPr="002906A3">
        <w:t xml:space="preserve"> </w:t>
      </w:r>
      <w:proofErr w:type="spellStart"/>
      <w:r w:rsidRPr="002906A3">
        <w:t>don’t</w:t>
      </w:r>
      <w:proofErr w:type="spellEnd"/>
      <w:r w:rsidRPr="002906A3">
        <w:t xml:space="preserve"> </w:t>
      </w:r>
      <w:proofErr w:type="spellStart"/>
      <w:r w:rsidRPr="002906A3">
        <w:t>have</w:t>
      </w:r>
      <w:proofErr w:type="spellEnd"/>
      <w:r w:rsidRPr="002906A3">
        <w:t xml:space="preserve"> </w:t>
      </w:r>
      <w:proofErr w:type="spellStart"/>
      <w:r w:rsidRPr="002906A3">
        <w:t>children</w:t>
      </w:r>
      <w:proofErr w:type="spellEnd"/>
      <w:r w:rsidRPr="002906A3">
        <w:t xml:space="preserve">. </w:t>
      </w:r>
      <w:r w:rsidRPr="002906A3">
        <w:tab/>
      </w:r>
      <w:hyperlink r:id="rId250" w:history="1">
        <w:r w:rsidRPr="002906A3">
          <w:rPr>
            <w:rStyle w:val="Kpr"/>
          </w:rPr>
          <w:t>https://www.pewresearch.org/social-trends/2024/07/25/the-experiences-of-u-s-adults-</w:t>
        </w:r>
        <w:r w:rsidRPr="002906A3">
          <w:rPr>
            <w:rStyle w:val="Kpr"/>
          </w:rPr>
          <w:tab/>
        </w:r>
        <w:proofErr w:type="spellStart"/>
        <w:r w:rsidRPr="002906A3">
          <w:rPr>
            <w:rStyle w:val="Kpr"/>
          </w:rPr>
          <w:t>who-dont-have-children</w:t>
        </w:r>
        <w:proofErr w:type="spellEnd"/>
        <w:r w:rsidRPr="002906A3">
          <w:rPr>
            <w:rStyle w:val="Kpr"/>
          </w:rPr>
          <w:t>/</w:t>
        </w:r>
      </w:hyperlink>
    </w:p>
    <w:p w14:paraId="3FE389D1" w14:textId="77777777" w:rsidR="001E7189" w:rsidRPr="002906A3" w:rsidRDefault="001E7189">
      <w:pPr>
        <w:pStyle w:val="ListeParagraf"/>
        <w:numPr>
          <w:ilvl w:val="0"/>
          <w:numId w:val="58"/>
        </w:numPr>
        <w:jc w:val="both"/>
      </w:pPr>
      <w:proofErr w:type="spellStart"/>
      <w:r w:rsidRPr="002906A3">
        <w:t>Silva</w:t>
      </w:r>
      <w:proofErr w:type="spellEnd"/>
      <w:r w:rsidRPr="002906A3">
        <w:t xml:space="preserve">, E. B. (1996). </w:t>
      </w:r>
      <w:proofErr w:type="spellStart"/>
      <w:r w:rsidRPr="002906A3">
        <w:t>The</w:t>
      </w:r>
      <w:proofErr w:type="spellEnd"/>
      <w:r w:rsidRPr="002906A3">
        <w:t xml:space="preserve"> </w:t>
      </w:r>
      <w:proofErr w:type="spellStart"/>
      <w:r w:rsidRPr="002906A3">
        <w:t>transformation</w:t>
      </w:r>
      <w:proofErr w:type="spellEnd"/>
      <w:r w:rsidRPr="002906A3">
        <w:t xml:space="preserve"> of </w:t>
      </w:r>
      <w:proofErr w:type="spellStart"/>
      <w:r w:rsidRPr="002906A3">
        <w:t>mothering</w:t>
      </w:r>
      <w:proofErr w:type="spellEnd"/>
      <w:r w:rsidRPr="002906A3">
        <w:t xml:space="preserve">. </w:t>
      </w:r>
      <w:proofErr w:type="spellStart"/>
      <w:proofErr w:type="gramStart"/>
      <w:r w:rsidRPr="002906A3">
        <w:t>good</w:t>
      </w:r>
      <w:proofErr w:type="spellEnd"/>
      <w:proofErr w:type="gramEnd"/>
      <w:r w:rsidRPr="002906A3">
        <w:t xml:space="preserve"> </w:t>
      </w:r>
      <w:proofErr w:type="spellStart"/>
      <w:r w:rsidRPr="002906A3">
        <w:t>enough</w:t>
      </w:r>
      <w:proofErr w:type="spellEnd"/>
      <w:r w:rsidRPr="002906A3">
        <w:t xml:space="preserve"> </w:t>
      </w:r>
      <w:proofErr w:type="spellStart"/>
      <w:r w:rsidRPr="002906A3">
        <w:t>mothering</w:t>
      </w:r>
      <w:proofErr w:type="spellEnd"/>
      <w:r w:rsidRPr="002906A3">
        <w:t xml:space="preserve">?. E. B. </w:t>
      </w:r>
      <w:proofErr w:type="spellStart"/>
      <w:r w:rsidRPr="002906A3">
        <w:t>Silva</w:t>
      </w:r>
      <w:proofErr w:type="spellEnd"/>
      <w:r w:rsidRPr="002906A3">
        <w:t xml:space="preserve"> (</w:t>
      </w:r>
      <w:proofErr w:type="spellStart"/>
      <w:r w:rsidRPr="002906A3">
        <w:t>Edt</w:t>
      </w:r>
      <w:proofErr w:type="spellEnd"/>
      <w:r w:rsidRPr="002906A3">
        <w:t>.),</w:t>
      </w:r>
      <w:r w:rsidRPr="002906A3">
        <w:tab/>
      </w:r>
      <w:r w:rsidRPr="00317ECC">
        <w:rPr>
          <w:i/>
        </w:rPr>
        <w:t xml:space="preserve">Feminist </w:t>
      </w:r>
      <w:proofErr w:type="spellStart"/>
      <w:r w:rsidRPr="00317ECC">
        <w:rPr>
          <w:i/>
        </w:rPr>
        <w:t>Perspectives</w:t>
      </w:r>
      <w:proofErr w:type="spellEnd"/>
      <w:r w:rsidRPr="00317ECC">
        <w:rPr>
          <w:i/>
        </w:rPr>
        <w:t xml:space="preserve"> on </w:t>
      </w:r>
      <w:proofErr w:type="spellStart"/>
      <w:r w:rsidRPr="00317ECC">
        <w:rPr>
          <w:i/>
        </w:rPr>
        <w:t>Lone</w:t>
      </w:r>
      <w:proofErr w:type="spellEnd"/>
      <w:r w:rsidRPr="00317ECC">
        <w:rPr>
          <w:i/>
        </w:rPr>
        <w:t xml:space="preserve"> </w:t>
      </w:r>
      <w:proofErr w:type="spellStart"/>
      <w:r w:rsidRPr="00317ECC">
        <w:rPr>
          <w:i/>
        </w:rPr>
        <w:t>Motherhood</w:t>
      </w:r>
      <w:proofErr w:type="spellEnd"/>
      <w:r w:rsidRPr="002906A3">
        <w:t xml:space="preserve"> (</w:t>
      </w:r>
      <w:proofErr w:type="spellStart"/>
      <w:r w:rsidRPr="002906A3">
        <w:t>ss</w:t>
      </w:r>
      <w:proofErr w:type="spellEnd"/>
      <w:r w:rsidRPr="002906A3">
        <w:t xml:space="preserve">. 10-36). British Library </w:t>
      </w:r>
      <w:proofErr w:type="spellStart"/>
      <w:r w:rsidRPr="002906A3">
        <w:t>Cataloguing</w:t>
      </w:r>
      <w:proofErr w:type="spellEnd"/>
      <w:r w:rsidRPr="002906A3">
        <w:t xml:space="preserve"> in</w:t>
      </w:r>
      <w:r w:rsidRPr="002906A3">
        <w:tab/>
      </w:r>
      <w:proofErr w:type="spellStart"/>
      <w:r w:rsidRPr="002906A3">
        <w:t>Publication</w:t>
      </w:r>
      <w:proofErr w:type="spellEnd"/>
      <w:r w:rsidRPr="002906A3">
        <w:t xml:space="preserve"> Data. </w:t>
      </w:r>
      <w:proofErr w:type="spellStart"/>
      <w:r w:rsidRPr="002906A3">
        <w:t>Routledge</w:t>
      </w:r>
      <w:proofErr w:type="spellEnd"/>
      <w:r w:rsidRPr="002906A3">
        <w:t>.</w:t>
      </w:r>
    </w:p>
    <w:p w14:paraId="172AFC9B" w14:textId="3C5C22E8" w:rsidR="001E7189" w:rsidRPr="002906A3" w:rsidRDefault="001E7189">
      <w:pPr>
        <w:pStyle w:val="ListeParagraf"/>
        <w:numPr>
          <w:ilvl w:val="0"/>
          <w:numId w:val="58"/>
        </w:numPr>
        <w:jc w:val="both"/>
      </w:pPr>
      <w:r w:rsidRPr="002906A3">
        <w:t>T24. Britanya'da bir grup erkek, babalık izninin iyileştirilmesi için heykellere bebek askısı bağladı.</w:t>
      </w:r>
      <w:r w:rsidRPr="002906A3">
        <w:tab/>
        <w:t xml:space="preserve"> </w:t>
      </w:r>
      <w:hyperlink r:id="rId251" w:history="1">
        <w:r w:rsidRPr="002906A3">
          <w:rPr>
            <w:rStyle w:val="Kpr"/>
          </w:rPr>
          <w:t>https://t24.com.tr/haber/britanya-da-bir-grup-erkek-babalik-izninin-iyilestirilmesi-icin-</w:t>
        </w:r>
        <w:r w:rsidRPr="002906A3">
          <w:rPr>
            <w:rStyle w:val="Kpr"/>
          </w:rPr>
          <w:tab/>
          <w:t>heykellere-bebek-askisi-bagladi,1184540</w:t>
        </w:r>
      </w:hyperlink>
    </w:p>
    <w:p w14:paraId="67298C70" w14:textId="35B3FBF1" w:rsidR="001E7189" w:rsidRPr="002906A3" w:rsidRDefault="001E7189">
      <w:pPr>
        <w:pStyle w:val="ListeParagraf"/>
        <w:numPr>
          <w:ilvl w:val="0"/>
          <w:numId w:val="58"/>
        </w:numPr>
        <w:jc w:val="both"/>
      </w:pPr>
      <w:proofErr w:type="spellStart"/>
      <w:r w:rsidRPr="002906A3">
        <w:t>The</w:t>
      </w:r>
      <w:proofErr w:type="spellEnd"/>
      <w:r w:rsidRPr="002906A3">
        <w:t xml:space="preserve"> Guardian. (10 Eylül 2024). </w:t>
      </w:r>
      <w:proofErr w:type="spellStart"/>
      <w:r w:rsidRPr="002906A3">
        <w:t>Selena</w:t>
      </w:r>
      <w:proofErr w:type="spellEnd"/>
      <w:r w:rsidRPr="002906A3">
        <w:t xml:space="preserve"> Gomez </w:t>
      </w:r>
      <w:proofErr w:type="spellStart"/>
      <w:r w:rsidRPr="002906A3">
        <w:t>reveals</w:t>
      </w:r>
      <w:proofErr w:type="spellEnd"/>
      <w:r w:rsidRPr="002906A3">
        <w:t xml:space="preserve"> </w:t>
      </w:r>
      <w:proofErr w:type="spellStart"/>
      <w:r w:rsidRPr="002906A3">
        <w:t>she’s</w:t>
      </w:r>
      <w:proofErr w:type="spellEnd"/>
      <w:r w:rsidRPr="002906A3">
        <w:t xml:space="preserve"> </w:t>
      </w:r>
      <w:proofErr w:type="spellStart"/>
      <w:r w:rsidRPr="002906A3">
        <w:t>unable</w:t>
      </w:r>
      <w:proofErr w:type="spellEnd"/>
      <w:r w:rsidRPr="002906A3">
        <w:t xml:space="preserve"> </w:t>
      </w:r>
      <w:proofErr w:type="spellStart"/>
      <w:r w:rsidRPr="002906A3">
        <w:t>to</w:t>
      </w:r>
      <w:proofErr w:type="spellEnd"/>
      <w:r w:rsidRPr="002906A3">
        <w:t xml:space="preserve"> </w:t>
      </w:r>
      <w:proofErr w:type="spellStart"/>
      <w:r w:rsidRPr="002906A3">
        <w:t>carry</w:t>
      </w:r>
      <w:proofErr w:type="spellEnd"/>
      <w:r w:rsidRPr="002906A3">
        <w:t xml:space="preserve"> her </w:t>
      </w:r>
      <w:proofErr w:type="spellStart"/>
      <w:r w:rsidRPr="002906A3">
        <w:t>own</w:t>
      </w:r>
      <w:proofErr w:type="spellEnd"/>
      <w:r w:rsidRPr="002906A3">
        <w:t xml:space="preserve"> </w:t>
      </w:r>
      <w:proofErr w:type="spellStart"/>
      <w:r w:rsidRPr="002906A3">
        <w:t>children</w:t>
      </w:r>
      <w:proofErr w:type="spellEnd"/>
      <w:r w:rsidRPr="002906A3">
        <w:t xml:space="preserve"> </w:t>
      </w:r>
      <w:proofErr w:type="spellStart"/>
      <w:r w:rsidRPr="002906A3">
        <w:t>due</w:t>
      </w:r>
      <w:proofErr w:type="spellEnd"/>
      <w:r w:rsidRPr="002906A3">
        <w:tab/>
      </w:r>
      <w:r w:rsidRPr="002906A3">
        <w:tab/>
      </w:r>
      <w:proofErr w:type="spellStart"/>
      <w:r w:rsidRPr="002906A3">
        <w:t>to</w:t>
      </w:r>
      <w:proofErr w:type="spellEnd"/>
      <w:r w:rsidRPr="002906A3">
        <w:t xml:space="preserve"> </w:t>
      </w:r>
      <w:proofErr w:type="spellStart"/>
      <w:r w:rsidRPr="002906A3">
        <w:t>health</w:t>
      </w:r>
      <w:proofErr w:type="spellEnd"/>
      <w:r w:rsidRPr="002906A3">
        <w:t xml:space="preserve"> </w:t>
      </w:r>
      <w:proofErr w:type="spellStart"/>
      <w:r w:rsidRPr="002906A3">
        <w:t>risks</w:t>
      </w:r>
      <w:proofErr w:type="spellEnd"/>
      <w:r w:rsidRPr="002906A3">
        <w:t xml:space="preserve">. </w:t>
      </w:r>
      <w:hyperlink r:id="rId252" w:history="1">
        <w:r w:rsidRPr="002906A3">
          <w:rPr>
            <w:rStyle w:val="Kpr"/>
          </w:rPr>
          <w:t>https://www.theguardian.com/film/article/2024/sep/10/selena-gomez-</w:t>
        </w:r>
        <w:r w:rsidRPr="002906A3">
          <w:rPr>
            <w:rStyle w:val="Kpr"/>
          </w:rPr>
          <w:tab/>
          <w:t>carrying-children-pregnancy-vanity-fair-interview-health-issues-lupus-bipolar</w:t>
        </w:r>
      </w:hyperlink>
    </w:p>
    <w:p w14:paraId="3FFDA57D" w14:textId="77777777" w:rsidR="001E7189" w:rsidRPr="002906A3" w:rsidRDefault="001E7189">
      <w:pPr>
        <w:pStyle w:val="ListeParagraf"/>
        <w:numPr>
          <w:ilvl w:val="0"/>
          <w:numId w:val="58"/>
        </w:numPr>
        <w:jc w:val="both"/>
      </w:pPr>
      <w:r w:rsidRPr="002906A3">
        <w:t>Tokdemir, K. (</w:t>
      </w:r>
      <w:proofErr w:type="gramStart"/>
      <w:r w:rsidRPr="002906A3">
        <w:t>2021a</w:t>
      </w:r>
      <w:proofErr w:type="gramEnd"/>
      <w:r w:rsidRPr="002906A3">
        <w:t xml:space="preserve">). </w:t>
      </w:r>
      <w:r w:rsidRPr="00317ECC">
        <w:rPr>
          <w:i/>
        </w:rPr>
        <w:t>Heteronormatif bağlamda cinsiyetçi stereotiplerin yeniden üretilmesi:</w:t>
      </w:r>
      <w:r w:rsidRPr="00317ECC">
        <w:rPr>
          <w:i/>
        </w:rPr>
        <w:tab/>
        <w:t>mühendis ve hastabakıcı meslek grupları ile nitel bir araştırma</w:t>
      </w:r>
      <w:r w:rsidRPr="002906A3">
        <w:t>. [Sözlü Bildiri]. 4.</w:t>
      </w:r>
      <w:r w:rsidRPr="002906A3">
        <w:tab/>
        <w:t>Uluslararası Felsefe, Eğitim, Sanat ve Bilim Tarihi Sempozyumu, Türkiye (</w:t>
      </w:r>
      <w:proofErr w:type="spellStart"/>
      <w:r w:rsidRPr="002906A3">
        <w:t>ss</w:t>
      </w:r>
      <w:proofErr w:type="spellEnd"/>
      <w:r w:rsidRPr="002906A3">
        <w:t>. 62-70).</w:t>
      </w:r>
    </w:p>
    <w:p w14:paraId="00C28F78" w14:textId="77777777" w:rsidR="001E7189" w:rsidRPr="002906A3" w:rsidRDefault="001E7189">
      <w:pPr>
        <w:pStyle w:val="ListeParagraf"/>
        <w:numPr>
          <w:ilvl w:val="0"/>
          <w:numId w:val="58"/>
        </w:numPr>
        <w:jc w:val="both"/>
      </w:pPr>
      <w:r w:rsidRPr="002906A3">
        <w:t xml:space="preserve">Tokdemir, K. (2021b). </w:t>
      </w:r>
      <w:r w:rsidRPr="00317ECC">
        <w:rPr>
          <w:i/>
        </w:rPr>
        <w:t>Hegemonik annelik anlayışı üzerine: Anne olmayı\olmamayı tercih etmek</w:t>
      </w:r>
      <w:r w:rsidRPr="00317ECC">
        <w:rPr>
          <w:i/>
        </w:rPr>
        <w:tab/>
        <w:t xml:space="preserve">mümkün </w:t>
      </w:r>
      <w:proofErr w:type="gramStart"/>
      <w:r w:rsidRPr="00317ECC">
        <w:rPr>
          <w:i/>
        </w:rPr>
        <w:t>mü?</w:t>
      </w:r>
      <w:r w:rsidRPr="002906A3">
        <w:t>.</w:t>
      </w:r>
      <w:proofErr w:type="gramEnd"/>
      <w:r w:rsidRPr="002906A3">
        <w:t xml:space="preserve"> [Sözlü Bildiri]. International </w:t>
      </w:r>
      <w:proofErr w:type="spellStart"/>
      <w:r w:rsidRPr="002906A3">
        <w:t>Science</w:t>
      </w:r>
      <w:proofErr w:type="spellEnd"/>
      <w:r w:rsidRPr="002906A3">
        <w:t xml:space="preserve">, </w:t>
      </w:r>
      <w:proofErr w:type="spellStart"/>
      <w:r w:rsidRPr="002906A3">
        <w:t>Culture</w:t>
      </w:r>
      <w:proofErr w:type="spellEnd"/>
      <w:r w:rsidRPr="002906A3">
        <w:t xml:space="preserve">, </w:t>
      </w:r>
      <w:proofErr w:type="spellStart"/>
      <w:r w:rsidRPr="002906A3">
        <w:t>and</w:t>
      </w:r>
      <w:proofErr w:type="spellEnd"/>
      <w:r w:rsidRPr="002906A3">
        <w:t xml:space="preserve"> </w:t>
      </w:r>
      <w:proofErr w:type="spellStart"/>
      <w:r w:rsidRPr="002906A3">
        <w:t>Academic</w:t>
      </w:r>
      <w:proofErr w:type="spellEnd"/>
      <w:r w:rsidRPr="002906A3">
        <w:t xml:space="preserve"> </w:t>
      </w:r>
      <w:proofErr w:type="spellStart"/>
      <w:r w:rsidRPr="002906A3">
        <w:t>Research</w:t>
      </w:r>
      <w:proofErr w:type="spellEnd"/>
      <w:r w:rsidRPr="002906A3">
        <w:tab/>
      </w:r>
      <w:proofErr w:type="spellStart"/>
      <w:r w:rsidRPr="002906A3">
        <w:t>Congress</w:t>
      </w:r>
      <w:proofErr w:type="spellEnd"/>
      <w:r w:rsidRPr="002906A3">
        <w:t xml:space="preserve"> in Global World, Türkiye (</w:t>
      </w:r>
      <w:proofErr w:type="spellStart"/>
      <w:r w:rsidRPr="002906A3">
        <w:t>ss</w:t>
      </w:r>
      <w:proofErr w:type="spellEnd"/>
      <w:r w:rsidRPr="002906A3">
        <w:t>. 185-191).</w:t>
      </w:r>
    </w:p>
    <w:p w14:paraId="4306A704" w14:textId="77777777" w:rsidR="001E7189" w:rsidRPr="002906A3" w:rsidRDefault="001E7189">
      <w:pPr>
        <w:pStyle w:val="ListeParagraf"/>
        <w:numPr>
          <w:ilvl w:val="0"/>
          <w:numId w:val="58"/>
        </w:numPr>
        <w:jc w:val="both"/>
      </w:pPr>
      <w:r w:rsidRPr="002906A3">
        <w:t>Tokdemir, K. (</w:t>
      </w:r>
      <w:proofErr w:type="gramStart"/>
      <w:r w:rsidRPr="002906A3">
        <w:t>2023a</w:t>
      </w:r>
      <w:proofErr w:type="gramEnd"/>
      <w:r w:rsidRPr="002906A3">
        <w:t xml:space="preserve">). </w:t>
      </w:r>
      <w:r w:rsidRPr="00317ECC">
        <w:rPr>
          <w:i/>
        </w:rPr>
        <w:t>Biyolojik saati bozuk kadınlar-toplumsal cinsiyetin yeniden üretimi</w:t>
      </w:r>
      <w:r w:rsidRPr="00317ECC">
        <w:rPr>
          <w:i/>
        </w:rPr>
        <w:tab/>
        <w:t>bağlamında annelik kavramının eleştirisi</w:t>
      </w:r>
      <w:r w:rsidRPr="002906A3">
        <w:t xml:space="preserve">. </w:t>
      </w:r>
      <w:proofErr w:type="spellStart"/>
      <w:r w:rsidRPr="002906A3">
        <w:t>Urzeni</w:t>
      </w:r>
      <w:proofErr w:type="spellEnd"/>
      <w:r w:rsidRPr="002906A3">
        <w:t xml:space="preserve"> Yayınevi.</w:t>
      </w:r>
    </w:p>
    <w:p w14:paraId="714215AD" w14:textId="77777777" w:rsidR="001E7189" w:rsidRPr="002906A3" w:rsidRDefault="001E7189">
      <w:pPr>
        <w:pStyle w:val="ListeParagraf"/>
        <w:numPr>
          <w:ilvl w:val="0"/>
          <w:numId w:val="58"/>
        </w:numPr>
        <w:jc w:val="both"/>
      </w:pPr>
      <w:r w:rsidRPr="002906A3">
        <w:t xml:space="preserve">Tokdemir, K. (2023b). </w:t>
      </w:r>
      <w:r w:rsidRPr="00317ECC">
        <w:rPr>
          <w:i/>
        </w:rPr>
        <w:t>Ataerkil, cinsiyetçilik ve heteronormatif bağlamda annelik rolünün yeniden</w:t>
      </w:r>
      <w:r w:rsidRPr="00317ECC">
        <w:rPr>
          <w:i/>
        </w:rPr>
        <w:tab/>
        <w:t>üretimi</w:t>
      </w:r>
      <w:r w:rsidRPr="002906A3">
        <w:t xml:space="preserve">. [Sözlü Bildiri]. </w:t>
      </w:r>
      <w:proofErr w:type="spellStart"/>
      <w:r w:rsidRPr="002906A3">
        <w:t>Sadab</w:t>
      </w:r>
      <w:proofErr w:type="spellEnd"/>
      <w:r w:rsidRPr="002906A3">
        <w:t xml:space="preserve"> XIII. Uluslararası Sosyal Araştırmalar ve Davranış Bilimleri</w:t>
      </w:r>
      <w:r w:rsidRPr="002906A3">
        <w:tab/>
        <w:t>Konferansı, Türkiye (</w:t>
      </w:r>
      <w:proofErr w:type="spellStart"/>
      <w:r w:rsidRPr="002906A3">
        <w:t>ss</w:t>
      </w:r>
      <w:proofErr w:type="spellEnd"/>
      <w:r w:rsidRPr="002906A3">
        <w:t>. 214-221).</w:t>
      </w:r>
    </w:p>
    <w:p w14:paraId="0F466F42" w14:textId="54D52856" w:rsidR="001E7189" w:rsidRPr="002906A3" w:rsidRDefault="001E7189">
      <w:pPr>
        <w:pStyle w:val="ListeParagraf"/>
        <w:numPr>
          <w:ilvl w:val="0"/>
          <w:numId w:val="58"/>
        </w:numPr>
        <w:jc w:val="both"/>
      </w:pPr>
      <w:r w:rsidRPr="002906A3">
        <w:t>TÜİK. (15 Mayıs 2024) Haber bülteni/doğum istatistikleri, 2023.</w:t>
      </w:r>
      <w:r w:rsidRPr="002906A3">
        <w:tab/>
      </w:r>
      <w:r w:rsidRPr="002906A3">
        <w:tab/>
      </w:r>
      <w:r w:rsidRPr="002906A3">
        <w:tab/>
      </w:r>
      <w:r w:rsidRPr="002906A3">
        <w:tab/>
      </w:r>
      <w:r w:rsidRPr="002906A3">
        <w:tab/>
      </w:r>
      <w:r w:rsidRPr="002906A3">
        <w:tab/>
        <w:t xml:space="preserve"> </w:t>
      </w:r>
      <w:hyperlink r:id="rId253" w:history="1">
        <w:r w:rsidRPr="002906A3">
          <w:rPr>
            <w:rStyle w:val="Kpr"/>
          </w:rPr>
          <w:t>https://data.tuik.gov.tr/Bulten/Index?p=Dogum-Istatistikleri-2023-53708</w:t>
        </w:r>
      </w:hyperlink>
    </w:p>
    <w:p w14:paraId="1C26EF8D" w14:textId="107958A4" w:rsidR="001E7189" w:rsidRPr="002906A3" w:rsidRDefault="001E7189">
      <w:pPr>
        <w:pStyle w:val="ListeParagraf"/>
        <w:numPr>
          <w:ilvl w:val="0"/>
          <w:numId w:val="58"/>
        </w:numPr>
        <w:jc w:val="both"/>
      </w:pPr>
      <w:r w:rsidRPr="002906A3">
        <w:t>TÜİK. (15 Mayıs 2024). Haber bülteni/istatistiklerle aile, 2023.</w:t>
      </w:r>
      <w:r w:rsidRPr="002906A3">
        <w:tab/>
      </w:r>
      <w:r w:rsidRPr="002906A3">
        <w:tab/>
      </w:r>
      <w:r w:rsidRPr="002906A3">
        <w:tab/>
      </w:r>
      <w:r w:rsidRPr="002906A3">
        <w:tab/>
      </w:r>
      <w:r w:rsidRPr="002906A3">
        <w:tab/>
      </w:r>
      <w:r w:rsidRPr="002906A3">
        <w:tab/>
      </w:r>
      <w:hyperlink r:id="rId254" w:anchor=":~:text=ADNKS%20sonu%C3%A7lar%C4%B1na%20g%C3%B6re%2C%20201 5%20y%C4%B1l%C4%B1nda,%2C7'ye%20y%C3%BCkseldi%C4%9Fi%20g%C3%B6r %C3%BCld%C3%BC" w:history="1">
        <w:r w:rsidRPr="002906A3">
          <w:rPr>
            <w:rStyle w:val="Kpr"/>
          </w:rPr>
          <w:t>https://data.tuik.gov.tr/Bulten/Index?p=Istatistiklerle-Aile-2023-</w:t>
        </w:r>
        <w:r w:rsidRPr="002906A3">
          <w:rPr>
            <w:rStyle w:val="Kpr"/>
          </w:rPr>
          <w:lastRenderedPageBreak/>
          <w:tab/>
          <w:t>53784#:~:</w:t>
        </w:r>
        <w:proofErr w:type="spellStart"/>
        <w:r w:rsidRPr="002906A3">
          <w:rPr>
            <w:rStyle w:val="Kpr"/>
          </w:rPr>
          <w:t>text</w:t>
        </w:r>
        <w:proofErr w:type="spellEnd"/>
        <w:r w:rsidRPr="002906A3">
          <w:rPr>
            <w:rStyle w:val="Kpr"/>
          </w:rPr>
          <w:t>=ADNKS%20sonu%C3%A7lar%C4%B1na%20g%C3%B6re%2C%20201</w:t>
        </w:r>
        <w:r w:rsidRPr="002906A3">
          <w:rPr>
            <w:rStyle w:val="Kpr"/>
          </w:rPr>
          <w:tab/>
          <w:t>5%20y%C4%B1l%C4%B1nda,%2C7'ye%20y%C3%BCkseldi%C4%9Fi%20g%C3%B6r</w:t>
        </w:r>
        <w:r w:rsidRPr="002906A3">
          <w:rPr>
            <w:rStyle w:val="Kpr"/>
          </w:rPr>
          <w:tab/>
          <w:t>%C3%BCld%C3%BC</w:t>
        </w:r>
      </w:hyperlink>
    </w:p>
    <w:p w14:paraId="1CC0AD05" w14:textId="1A4A468D" w:rsidR="001E7189" w:rsidRPr="002906A3" w:rsidRDefault="001E7189">
      <w:pPr>
        <w:pStyle w:val="ListeParagraf"/>
        <w:numPr>
          <w:ilvl w:val="0"/>
          <w:numId w:val="58"/>
        </w:numPr>
        <w:jc w:val="both"/>
      </w:pPr>
      <w:r w:rsidRPr="002906A3">
        <w:t xml:space="preserve">TÜRK MEDENİ KANUNU. (2001). </w:t>
      </w:r>
      <w:hyperlink r:id="rId255" w:history="1">
        <w:r w:rsidRPr="002906A3">
          <w:rPr>
            <w:rStyle w:val="Kpr"/>
          </w:rPr>
          <w:t>https://www.mevzuat.gov.tr/mevzuatmetin/1.5.4721.pdf</w:t>
        </w:r>
      </w:hyperlink>
    </w:p>
    <w:p w14:paraId="26BA6685" w14:textId="77777777" w:rsidR="001E7189" w:rsidRPr="002906A3" w:rsidRDefault="001E7189">
      <w:pPr>
        <w:pStyle w:val="ListeParagraf"/>
        <w:numPr>
          <w:ilvl w:val="0"/>
          <w:numId w:val="58"/>
        </w:numPr>
        <w:jc w:val="both"/>
      </w:pPr>
      <w:r w:rsidRPr="002906A3">
        <w:t xml:space="preserve">Yaraman, A. (2008). Yanılsamanın neresindeyiz? İçselleştirilmiş cinsellikten farkındalığa. [Sözlü </w:t>
      </w:r>
      <w:r w:rsidRPr="002906A3">
        <w:tab/>
        <w:t>Bildiri]. Küreselleşme, Demokratikleşme ve Türkiye Uluslararası Sempozyumu Bildiri</w:t>
      </w:r>
      <w:r w:rsidRPr="002906A3">
        <w:tab/>
        <w:t>Kitabı. Gazi Kitabevi (</w:t>
      </w:r>
      <w:proofErr w:type="spellStart"/>
      <w:r w:rsidRPr="002906A3">
        <w:t>ss</w:t>
      </w:r>
      <w:proofErr w:type="spellEnd"/>
      <w:r w:rsidRPr="002906A3">
        <w:t>. 830-837).</w:t>
      </w:r>
    </w:p>
    <w:p w14:paraId="57FBBDA7" w14:textId="3E7B5F31" w:rsidR="00661282" w:rsidRDefault="001E7189">
      <w:pPr>
        <w:pStyle w:val="ListeParagraf"/>
        <w:numPr>
          <w:ilvl w:val="0"/>
          <w:numId w:val="58"/>
        </w:numPr>
        <w:jc w:val="both"/>
      </w:pPr>
      <w:r w:rsidRPr="002906A3">
        <w:t xml:space="preserve">Yaraman, A. (2020). </w:t>
      </w:r>
      <w:r w:rsidRPr="00317ECC">
        <w:rPr>
          <w:i/>
        </w:rPr>
        <w:t>Cinsiyetçi ikiyüzlülük</w:t>
      </w:r>
      <w:r w:rsidRPr="002906A3">
        <w:t>. Bağlam Yayınları.</w:t>
      </w:r>
    </w:p>
    <w:p w14:paraId="6FA7987D" w14:textId="0E07C4CB" w:rsidR="001E7189" w:rsidRPr="002906A3" w:rsidRDefault="00661282" w:rsidP="00661282">
      <w:pPr>
        <w:autoSpaceDE/>
        <w:autoSpaceDN/>
      </w:pPr>
      <w:r>
        <w:br w:type="page"/>
      </w:r>
    </w:p>
    <w:p w14:paraId="79E53813" w14:textId="21A19F6D" w:rsidR="001E7189" w:rsidRDefault="001E7189" w:rsidP="00316176">
      <w:pPr>
        <w:pStyle w:val="Tark"/>
        <w:spacing w:before="0" w:after="0"/>
        <w:rPr>
          <w:shd w:val="clear" w:color="auto" w:fill="FFFFFF"/>
        </w:rPr>
      </w:pPr>
      <w:bookmarkStart w:id="230" w:name="_Toc192855253"/>
      <w:r w:rsidRPr="002906A3">
        <w:rPr>
          <w:shd w:val="clear" w:color="auto" w:fill="FFFFFF"/>
        </w:rPr>
        <w:lastRenderedPageBreak/>
        <w:t>Çekingen Söylem ve Mücadeleleriyle Osmanlı Kadınları</w:t>
      </w:r>
      <w:bookmarkEnd w:id="230"/>
    </w:p>
    <w:p w14:paraId="24736A71" w14:textId="77777777" w:rsidR="00316176" w:rsidRPr="00316176" w:rsidRDefault="00316176" w:rsidP="00316176">
      <w:pPr>
        <w:pStyle w:val="Metin"/>
      </w:pPr>
    </w:p>
    <w:p w14:paraId="69A523B1" w14:textId="77777777" w:rsidR="001E7189" w:rsidRPr="002906A3" w:rsidRDefault="001E7189" w:rsidP="00316176">
      <w:pPr>
        <w:jc w:val="center"/>
        <w:rPr>
          <w:color w:val="000000"/>
        </w:rPr>
      </w:pPr>
      <w:r w:rsidRPr="002906A3">
        <w:rPr>
          <w:color w:val="000000"/>
        </w:rPr>
        <w:t xml:space="preserve">Emel </w:t>
      </w:r>
      <w:proofErr w:type="spellStart"/>
      <w:r w:rsidRPr="002906A3">
        <w:rPr>
          <w:color w:val="000000"/>
        </w:rPr>
        <w:t>Çokoğullar</w:t>
      </w:r>
      <w:proofErr w:type="spellEnd"/>
      <w:r w:rsidRPr="002906A3">
        <w:rPr>
          <w:color w:val="000000"/>
        </w:rPr>
        <w:br/>
        <w:t xml:space="preserve">Doç. Dr. Kütahya Dumlupınar Üniversitesi, Siyaset Bilimi ve Uluslararası İlişkiler Bölümü, </w:t>
      </w:r>
      <w:hyperlink r:id="rId256" w:history="1">
        <w:r w:rsidRPr="002906A3">
          <w:rPr>
            <w:color w:val="0563C1"/>
            <w:u w:val="single"/>
          </w:rPr>
          <w:t>emel.cokogullar@dpu.edu.tr</w:t>
        </w:r>
      </w:hyperlink>
      <w:r w:rsidRPr="002906A3">
        <w:rPr>
          <w:color w:val="000000"/>
        </w:rPr>
        <w:t>, ORCID: 0000-0002- 9975-1618.</w:t>
      </w:r>
      <w:r w:rsidRPr="002906A3">
        <w:rPr>
          <w:color w:val="000000"/>
        </w:rPr>
        <w:br/>
      </w:r>
      <w:r w:rsidRPr="002906A3">
        <w:rPr>
          <w:color w:val="000000"/>
        </w:rPr>
        <w:br/>
      </w:r>
    </w:p>
    <w:p w14:paraId="7F5721A0" w14:textId="77777777" w:rsidR="001E7189" w:rsidRPr="002906A3" w:rsidRDefault="001E7189" w:rsidP="00316176">
      <w:pPr>
        <w:rPr>
          <w:color w:val="000000"/>
        </w:rPr>
      </w:pPr>
    </w:p>
    <w:p w14:paraId="63A934D5" w14:textId="44A81BDE" w:rsidR="001E7189" w:rsidRPr="002906A3" w:rsidRDefault="001E7189" w:rsidP="00316176">
      <w:pPr>
        <w:jc w:val="center"/>
        <w:rPr>
          <w:color w:val="000000"/>
        </w:rPr>
      </w:pPr>
      <w:r w:rsidRPr="002906A3">
        <w:rPr>
          <w:b/>
          <w:bCs/>
          <w:color w:val="000000"/>
        </w:rPr>
        <w:t>Özet</w:t>
      </w:r>
    </w:p>
    <w:p w14:paraId="6D5CABB0" w14:textId="2E8140D4" w:rsidR="001E7189" w:rsidRPr="002906A3" w:rsidRDefault="001E7189" w:rsidP="00316176">
      <w:pPr>
        <w:jc w:val="both"/>
        <w:rPr>
          <w:color w:val="000000"/>
        </w:rPr>
      </w:pPr>
      <w:r w:rsidRPr="002906A3">
        <w:rPr>
          <w:color w:val="000000"/>
        </w:rPr>
        <w:t xml:space="preserve">Genel hatlarıyla 1839’da Tanzimat Fermanı’nın ilan edilmesiyle başlatılan Osmanlı modernleşmesi, imparatorluğun son günlerine doğru ilerlerken kapsamını genişletmiş ve farklı alanlara sirayet etmiştir. Bu sirayet etme durumu, bazen atılan bir adımın doğal sonucu olmuş bazen de birbirini etkileme şeklinde yaşanmıştır. İmparatorluğun yapısal olarak o güne kadar neredeyse hiç karşılaşmadığı sorunlar, artık önünde her geçen </w:t>
      </w:r>
      <w:proofErr w:type="gramStart"/>
      <w:r w:rsidRPr="002906A3">
        <w:rPr>
          <w:color w:val="000000"/>
        </w:rPr>
        <w:t>günle birlikte</w:t>
      </w:r>
      <w:proofErr w:type="gramEnd"/>
      <w:r w:rsidRPr="002906A3">
        <w:rPr>
          <w:color w:val="000000"/>
        </w:rPr>
        <w:t xml:space="preserve"> büyüyen bir karakter kazanmıştır. 1900’lerin başından itibaren de Osmanlı toplumsal, siyasal ve ekonomik yapısında açık zafiyetin gözler önüne serildiği bir süreçle karşılaşılmıştır. Öyle ki başlarken temel amaç olan “</w:t>
      </w:r>
      <w:proofErr w:type="spellStart"/>
      <w:r w:rsidRPr="002906A3">
        <w:rPr>
          <w:color w:val="000000"/>
        </w:rPr>
        <w:t>kurtarma”nın</w:t>
      </w:r>
      <w:proofErr w:type="spellEnd"/>
      <w:r w:rsidRPr="002906A3">
        <w:rPr>
          <w:color w:val="000000"/>
        </w:rPr>
        <w:t xml:space="preserve"> anlamı dahi bulanıklaşmış ve karmaşa artmıştır. Dolayısıyla bir bakıma zaman kazandıran ama sonucun, başlarken belirlenen amaçla örtüşmediği ve aslında bambaşka bir “</w:t>
      </w:r>
      <w:proofErr w:type="spellStart"/>
      <w:r w:rsidRPr="002906A3">
        <w:rPr>
          <w:color w:val="000000"/>
        </w:rPr>
        <w:t>yeni”nin</w:t>
      </w:r>
      <w:proofErr w:type="spellEnd"/>
      <w:r w:rsidRPr="002906A3">
        <w:rPr>
          <w:color w:val="000000"/>
        </w:rPr>
        <w:t xml:space="preserve"> somutluk kazandığı görülmüştür. Bu “</w:t>
      </w:r>
      <w:proofErr w:type="spellStart"/>
      <w:r w:rsidRPr="002906A3">
        <w:rPr>
          <w:color w:val="000000"/>
        </w:rPr>
        <w:t>yeni”nin</w:t>
      </w:r>
      <w:proofErr w:type="spellEnd"/>
      <w:r w:rsidRPr="002906A3">
        <w:rPr>
          <w:color w:val="000000"/>
        </w:rPr>
        <w:t xml:space="preserve"> etkisi her alanda hissedilmiştir. Kadın ve kadının toplumsal konumu, değişkenlerin çeşitlenmesiyle birlikte yenileşme hareketlerinin nüfuz alanının tartışma konusu olmuştur. Çatışan söylemler ve argümanlar, kadın konusunun âdeta temel dinamizmini belirlemiştir. Osmanlı’da kadının toplumsal konumundan bahsederken öncelikle üzerinde durulan bağlam, genel bir kapalılık durumu ile şekillenmiştir. Kadın yaşamına dair gerçekleştirilen her yeni düzenleme, söz konusu bu kapalılık durumunun izlerini taşımıştır. Osmanlı kadın hareketi dahi gerek yazınsal gerekse de sözsel olarak temkinli ve çekingen bir tavır ortaya koymuştur. Gelişme ve ilerlemesini, toplumsal yapının ataerkil karakterinin sınırlarını radikal boyutlarda sorgulamadan gerçekleştirmiştir. Bu çalışmada da Osmanlı kadınlarının modernleşme süreci boyunca hak mücadelelerini nasıl bir çerçeveye yerleştirmeye çalıştıkları ve savunularını dile getirirken hangi enstrümanlardan yararlandıkları üzerinde durulmaktadır. Müdahil oldukları alanlar, sloganları, yazdıkları ve itirazları incelenmekte ve geri çekilmeleri nerelerde yaşadıkları ele alınmaktadır.</w:t>
      </w:r>
    </w:p>
    <w:p w14:paraId="173376C0" w14:textId="77777777" w:rsidR="001E7189" w:rsidRPr="002906A3" w:rsidRDefault="001E7189" w:rsidP="001E7189">
      <w:pPr>
        <w:rPr>
          <w:color w:val="000000"/>
        </w:rPr>
      </w:pPr>
    </w:p>
    <w:p w14:paraId="2C5F6850" w14:textId="5EEC3835" w:rsidR="00661282" w:rsidRDefault="000C6508" w:rsidP="001E7189">
      <w:pPr>
        <w:jc w:val="both"/>
        <w:rPr>
          <w:color w:val="000000"/>
        </w:rPr>
      </w:pPr>
      <w:r>
        <w:rPr>
          <w:b/>
          <w:bCs/>
          <w:color w:val="000000"/>
        </w:rPr>
        <w:t>Anahtar Kelimeler</w:t>
      </w:r>
      <w:r w:rsidR="001E7189" w:rsidRPr="002906A3">
        <w:rPr>
          <w:b/>
          <w:bCs/>
          <w:color w:val="000000"/>
        </w:rPr>
        <w:t>:</w:t>
      </w:r>
      <w:r w:rsidR="001E7189" w:rsidRPr="002906A3">
        <w:rPr>
          <w:color w:val="000000"/>
        </w:rPr>
        <w:t xml:space="preserve"> Tanzimat Fermanı, Osmanlı Modernleşmesi, Osmanlı Kadını.</w:t>
      </w:r>
    </w:p>
    <w:p w14:paraId="63318041" w14:textId="40EB6F36" w:rsidR="001E7189" w:rsidRPr="002906A3" w:rsidRDefault="00661282" w:rsidP="00661282">
      <w:pPr>
        <w:autoSpaceDE/>
        <w:autoSpaceDN/>
        <w:rPr>
          <w:color w:val="000000"/>
        </w:rPr>
      </w:pPr>
      <w:r>
        <w:rPr>
          <w:color w:val="000000"/>
        </w:rPr>
        <w:br w:type="page"/>
      </w:r>
    </w:p>
    <w:p w14:paraId="3CF4ADF7" w14:textId="563DFC7A" w:rsidR="001E7189" w:rsidRDefault="001E7189" w:rsidP="004C7694">
      <w:pPr>
        <w:pStyle w:val="Tark"/>
      </w:pPr>
      <w:bookmarkStart w:id="231" w:name="_Toc192855254"/>
      <w:proofErr w:type="spellStart"/>
      <w:r w:rsidRPr="002906A3">
        <w:lastRenderedPageBreak/>
        <w:t>Ottoman</w:t>
      </w:r>
      <w:proofErr w:type="spellEnd"/>
      <w:r w:rsidRPr="002906A3">
        <w:t xml:space="preserve"> </w:t>
      </w:r>
      <w:proofErr w:type="spellStart"/>
      <w:r w:rsidRPr="002906A3">
        <w:t>Women</w:t>
      </w:r>
      <w:proofErr w:type="spellEnd"/>
      <w:r w:rsidRPr="002906A3">
        <w:t xml:space="preserve"> </w:t>
      </w:r>
      <w:proofErr w:type="spellStart"/>
      <w:r w:rsidRPr="002906A3">
        <w:t>with</w:t>
      </w:r>
      <w:proofErr w:type="spellEnd"/>
      <w:r w:rsidRPr="002906A3">
        <w:t xml:space="preserve"> </w:t>
      </w:r>
      <w:proofErr w:type="spellStart"/>
      <w:r w:rsidRPr="002906A3">
        <w:t>Their</w:t>
      </w:r>
      <w:proofErr w:type="spellEnd"/>
      <w:r w:rsidRPr="002906A3">
        <w:t xml:space="preserve"> </w:t>
      </w:r>
      <w:proofErr w:type="spellStart"/>
      <w:r w:rsidRPr="002906A3">
        <w:t>Shy</w:t>
      </w:r>
      <w:proofErr w:type="spellEnd"/>
      <w:r w:rsidRPr="002906A3">
        <w:t xml:space="preserve"> Speech </w:t>
      </w:r>
      <w:proofErr w:type="spellStart"/>
      <w:r w:rsidRPr="002906A3">
        <w:t>and</w:t>
      </w:r>
      <w:proofErr w:type="spellEnd"/>
      <w:r w:rsidRPr="002906A3">
        <w:t xml:space="preserve"> </w:t>
      </w:r>
      <w:proofErr w:type="spellStart"/>
      <w:r w:rsidRPr="002906A3">
        <w:t>Actions</w:t>
      </w:r>
      <w:bookmarkEnd w:id="231"/>
      <w:proofErr w:type="spellEnd"/>
    </w:p>
    <w:p w14:paraId="16555C55" w14:textId="77777777" w:rsidR="00B24CA3" w:rsidRPr="002906A3" w:rsidRDefault="00B24CA3" w:rsidP="00B24CA3">
      <w:pPr>
        <w:jc w:val="center"/>
        <w:rPr>
          <w:color w:val="000000"/>
        </w:rPr>
      </w:pPr>
    </w:p>
    <w:p w14:paraId="742DE45E" w14:textId="49E9C9CE" w:rsidR="001E7189" w:rsidRPr="002906A3" w:rsidRDefault="001E7189" w:rsidP="00B24CA3">
      <w:pPr>
        <w:jc w:val="center"/>
        <w:rPr>
          <w:color w:val="000000"/>
        </w:rPr>
      </w:pPr>
      <w:r w:rsidRPr="002906A3">
        <w:rPr>
          <w:color w:val="000000"/>
        </w:rPr>
        <w:t xml:space="preserve">Emel </w:t>
      </w:r>
      <w:proofErr w:type="spellStart"/>
      <w:r w:rsidRPr="002906A3">
        <w:rPr>
          <w:color w:val="000000"/>
        </w:rPr>
        <w:t>Çokoğullar</w:t>
      </w:r>
      <w:proofErr w:type="spellEnd"/>
      <w:r w:rsidRPr="002906A3">
        <w:rPr>
          <w:color w:val="000000"/>
        </w:rPr>
        <w:br/>
      </w:r>
      <w:proofErr w:type="spellStart"/>
      <w:r w:rsidRPr="002906A3">
        <w:rPr>
          <w:color w:val="000000"/>
        </w:rPr>
        <w:t>Assoc</w:t>
      </w:r>
      <w:proofErr w:type="spellEnd"/>
      <w:r w:rsidRPr="002906A3">
        <w:rPr>
          <w:color w:val="000000"/>
        </w:rPr>
        <w:t xml:space="preserve">. Prof. Kütahya Dumlupınar </w:t>
      </w:r>
      <w:proofErr w:type="spellStart"/>
      <w:r w:rsidRPr="002906A3">
        <w:rPr>
          <w:color w:val="000000"/>
        </w:rPr>
        <w:t>University</w:t>
      </w:r>
      <w:proofErr w:type="spellEnd"/>
      <w:r w:rsidRPr="002906A3">
        <w:rPr>
          <w:color w:val="000000"/>
        </w:rPr>
        <w:t xml:space="preserve">, </w:t>
      </w:r>
      <w:proofErr w:type="spellStart"/>
      <w:r w:rsidRPr="002906A3">
        <w:rPr>
          <w:color w:val="000000"/>
        </w:rPr>
        <w:t>Department</w:t>
      </w:r>
      <w:proofErr w:type="spellEnd"/>
      <w:r w:rsidRPr="002906A3">
        <w:rPr>
          <w:color w:val="000000"/>
        </w:rPr>
        <w:t xml:space="preserve"> of </w:t>
      </w:r>
      <w:proofErr w:type="spellStart"/>
      <w:r w:rsidRPr="002906A3">
        <w:rPr>
          <w:color w:val="000000"/>
        </w:rPr>
        <w:t>Political</w:t>
      </w:r>
      <w:proofErr w:type="spellEnd"/>
      <w:r w:rsidRPr="002906A3">
        <w:rPr>
          <w:color w:val="000000"/>
        </w:rPr>
        <w:t xml:space="preserve"> </w:t>
      </w:r>
      <w:proofErr w:type="spellStart"/>
      <w:r w:rsidRPr="002906A3">
        <w:rPr>
          <w:color w:val="000000"/>
        </w:rPr>
        <w:t>Science</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International </w:t>
      </w:r>
      <w:proofErr w:type="spellStart"/>
      <w:r w:rsidRPr="002906A3">
        <w:rPr>
          <w:color w:val="000000"/>
        </w:rPr>
        <w:t>Relations</w:t>
      </w:r>
      <w:proofErr w:type="spellEnd"/>
      <w:r w:rsidRPr="002906A3">
        <w:rPr>
          <w:color w:val="000000"/>
        </w:rPr>
        <w:t xml:space="preserve">, </w:t>
      </w:r>
      <w:hyperlink r:id="rId257" w:history="1">
        <w:r w:rsidRPr="002906A3">
          <w:rPr>
            <w:color w:val="0563C1"/>
            <w:u w:val="single"/>
          </w:rPr>
          <w:t>emel.cokogullar@dpu.edu.tr</w:t>
        </w:r>
      </w:hyperlink>
      <w:r w:rsidRPr="002906A3">
        <w:rPr>
          <w:color w:val="000000"/>
        </w:rPr>
        <w:t xml:space="preserve">, ORCID: 0000-0002- 9975-1618. </w:t>
      </w:r>
      <w:r w:rsidRPr="002906A3">
        <w:rPr>
          <w:color w:val="000000"/>
        </w:rPr>
        <w:br/>
      </w:r>
    </w:p>
    <w:p w14:paraId="2AA33DB5" w14:textId="28EFC911" w:rsidR="001E7189" w:rsidRPr="002906A3" w:rsidRDefault="001E7189" w:rsidP="00B24CA3">
      <w:pPr>
        <w:jc w:val="center"/>
        <w:rPr>
          <w:color w:val="000000"/>
        </w:rPr>
      </w:pPr>
      <w:proofErr w:type="spellStart"/>
      <w:r w:rsidRPr="002906A3">
        <w:rPr>
          <w:b/>
          <w:bCs/>
          <w:color w:val="000000"/>
        </w:rPr>
        <w:t>Abstract</w:t>
      </w:r>
      <w:proofErr w:type="spellEnd"/>
    </w:p>
    <w:p w14:paraId="538319AD" w14:textId="77777777" w:rsidR="001E7189" w:rsidRDefault="001E7189" w:rsidP="001E7189">
      <w:pPr>
        <w:jc w:val="both"/>
        <w:rPr>
          <w:color w:val="000000"/>
        </w:rPr>
      </w:pPr>
      <w:proofErr w:type="spellStart"/>
      <w:r w:rsidRPr="002906A3">
        <w:rPr>
          <w:color w:val="000000"/>
        </w:rPr>
        <w:t>The</w:t>
      </w:r>
      <w:proofErr w:type="spellEnd"/>
      <w:r w:rsidRPr="002906A3">
        <w:rPr>
          <w:color w:val="000000"/>
        </w:rPr>
        <w:t xml:space="preserve"> </w:t>
      </w:r>
      <w:proofErr w:type="spellStart"/>
      <w:r w:rsidRPr="002906A3">
        <w:rPr>
          <w:color w:val="000000"/>
        </w:rPr>
        <w:t>Ottoman</w:t>
      </w:r>
      <w:proofErr w:type="spellEnd"/>
      <w:r w:rsidRPr="002906A3">
        <w:rPr>
          <w:color w:val="000000"/>
        </w:rPr>
        <w:t xml:space="preserve"> </w:t>
      </w:r>
      <w:proofErr w:type="spellStart"/>
      <w:r w:rsidRPr="002906A3">
        <w:rPr>
          <w:color w:val="000000"/>
        </w:rPr>
        <w:t>modernization</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w:t>
      </w:r>
      <w:proofErr w:type="spellStart"/>
      <w:r w:rsidRPr="002906A3">
        <w:rPr>
          <w:color w:val="000000"/>
        </w:rPr>
        <w:t>began</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declaration</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Tanzimat </w:t>
      </w:r>
      <w:proofErr w:type="spellStart"/>
      <w:r w:rsidRPr="002906A3">
        <w:rPr>
          <w:color w:val="000000"/>
        </w:rPr>
        <w:t>Edict</w:t>
      </w:r>
      <w:proofErr w:type="spellEnd"/>
      <w:r w:rsidRPr="002906A3">
        <w:rPr>
          <w:color w:val="000000"/>
        </w:rPr>
        <w:t xml:space="preserve"> in 1839, </w:t>
      </w:r>
      <w:proofErr w:type="spellStart"/>
      <w:r w:rsidRPr="002906A3">
        <w:rPr>
          <w:color w:val="000000"/>
        </w:rPr>
        <w:t>expanded</w:t>
      </w:r>
      <w:proofErr w:type="spellEnd"/>
      <w:r w:rsidRPr="002906A3">
        <w:rPr>
          <w:color w:val="000000"/>
        </w:rPr>
        <w:t xml:space="preserve"> </w:t>
      </w:r>
      <w:proofErr w:type="spellStart"/>
      <w:r w:rsidRPr="002906A3">
        <w:rPr>
          <w:color w:val="000000"/>
        </w:rPr>
        <w:t>its</w:t>
      </w:r>
      <w:proofErr w:type="spellEnd"/>
      <w:r w:rsidRPr="002906A3">
        <w:rPr>
          <w:color w:val="000000"/>
        </w:rPr>
        <w:t xml:space="preserve"> </w:t>
      </w:r>
      <w:proofErr w:type="spellStart"/>
      <w:r w:rsidRPr="002906A3">
        <w:rPr>
          <w:color w:val="000000"/>
        </w:rPr>
        <w:t>scope</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spread </w:t>
      </w:r>
      <w:proofErr w:type="spellStart"/>
      <w:r w:rsidRPr="002906A3">
        <w:rPr>
          <w:color w:val="000000"/>
        </w:rPr>
        <w:t>to</w:t>
      </w:r>
      <w:proofErr w:type="spellEnd"/>
      <w:r w:rsidRPr="002906A3">
        <w:rPr>
          <w:color w:val="000000"/>
        </w:rPr>
        <w:t xml:space="preserve"> </w:t>
      </w:r>
      <w:proofErr w:type="spellStart"/>
      <w:r w:rsidRPr="002906A3">
        <w:rPr>
          <w:color w:val="000000"/>
        </w:rPr>
        <w:t>various</w:t>
      </w:r>
      <w:proofErr w:type="spellEnd"/>
      <w:r w:rsidRPr="002906A3">
        <w:rPr>
          <w:color w:val="000000"/>
        </w:rPr>
        <w:t xml:space="preserve"> </w:t>
      </w:r>
      <w:proofErr w:type="spellStart"/>
      <w:r w:rsidRPr="002906A3">
        <w:rPr>
          <w:color w:val="000000"/>
        </w:rPr>
        <w:t>areas</w:t>
      </w:r>
      <w:proofErr w:type="spellEnd"/>
      <w:r w:rsidRPr="002906A3">
        <w:rPr>
          <w:color w:val="000000"/>
        </w:rPr>
        <w:t xml:space="preserve"> as </w:t>
      </w:r>
      <w:proofErr w:type="spellStart"/>
      <w:r w:rsidRPr="002906A3">
        <w:rPr>
          <w:color w:val="000000"/>
        </w:rPr>
        <w:t>the</w:t>
      </w:r>
      <w:proofErr w:type="spellEnd"/>
      <w:r w:rsidRPr="002906A3">
        <w:rPr>
          <w:color w:val="000000"/>
        </w:rPr>
        <w:t xml:space="preserve"> </w:t>
      </w:r>
      <w:proofErr w:type="spellStart"/>
      <w:r w:rsidRPr="002906A3">
        <w:rPr>
          <w:color w:val="000000"/>
        </w:rPr>
        <w:t>empire</w:t>
      </w:r>
      <w:proofErr w:type="spellEnd"/>
      <w:r w:rsidRPr="002906A3">
        <w:rPr>
          <w:color w:val="000000"/>
        </w:rPr>
        <w:t xml:space="preserve"> </w:t>
      </w:r>
      <w:proofErr w:type="spellStart"/>
      <w:r w:rsidRPr="002906A3">
        <w:rPr>
          <w:color w:val="000000"/>
        </w:rPr>
        <w:t>moved</w:t>
      </w:r>
      <w:proofErr w:type="spellEnd"/>
      <w:r w:rsidRPr="002906A3">
        <w:rPr>
          <w:color w:val="000000"/>
        </w:rPr>
        <w:t xml:space="preserve"> </w:t>
      </w:r>
      <w:proofErr w:type="spellStart"/>
      <w:r w:rsidRPr="002906A3">
        <w:rPr>
          <w:color w:val="000000"/>
        </w:rPr>
        <w:t>towards</w:t>
      </w:r>
      <w:proofErr w:type="spellEnd"/>
      <w:r w:rsidRPr="002906A3">
        <w:rPr>
          <w:color w:val="000000"/>
        </w:rPr>
        <w:t xml:space="preserve"> </w:t>
      </w:r>
      <w:proofErr w:type="spellStart"/>
      <w:r w:rsidRPr="002906A3">
        <w:rPr>
          <w:color w:val="000000"/>
        </w:rPr>
        <w:t>its</w:t>
      </w:r>
      <w:proofErr w:type="spellEnd"/>
      <w:r w:rsidRPr="002906A3">
        <w:rPr>
          <w:color w:val="000000"/>
        </w:rPr>
        <w:t xml:space="preserve"> final </w:t>
      </w:r>
      <w:proofErr w:type="spellStart"/>
      <w:r w:rsidRPr="002906A3">
        <w:rPr>
          <w:color w:val="000000"/>
        </w:rPr>
        <w:t>days</w:t>
      </w:r>
      <w:proofErr w:type="spellEnd"/>
      <w:r w:rsidRPr="002906A3">
        <w:rPr>
          <w:color w:val="000000"/>
        </w:rPr>
        <w:t xml:space="preserve">. </w:t>
      </w:r>
      <w:proofErr w:type="spellStart"/>
      <w:r w:rsidRPr="002906A3">
        <w:rPr>
          <w:color w:val="000000"/>
        </w:rPr>
        <w:t>This</w:t>
      </w:r>
      <w:proofErr w:type="spellEnd"/>
      <w:r w:rsidRPr="002906A3">
        <w:rPr>
          <w:color w:val="000000"/>
        </w:rPr>
        <w:t xml:space="preserve"> spread of </w:t>
      </w:r>
      <w:proofErr w:type="spellStart"/>
      <w:r w:rsidRPr="002906A3">
        <w:rPr>
          <w:color w:val="000000"/>
        </w:rPr>
        <w:t>influence</w:t>
      </w:r>
      <w:proofErr w:type="spellEnd"/>
      <w:r w:rsidRPr="002906A3">
        <w:rPr>
          <w:color w:val="000000"/>
        </w:rPr>
        <w:t xml:space="preserve"> </w:t>
      </w:r>
      <w:proofErr w:type="spellStart"/>
      <w:r w:rsidRPr="002906A3">
        <w:rPr>
          <w:color w:val="000000"/>
        </w:rPr>
        <w:t>sometimes</w:t>
      </w:r>
      <w:proofErr w:type="spellEnd"/>
      <w:r w:rsidRPr="002906A3">
        <w:rPr>
          <w:color w:val="000000"/>
        </w:rPr>
        <w:t xml:space="preserve"> </w:t>
      </w:r>
      <w:proofErr w:type="spellStart"/>
      <w:r w:rsidRPr="002906A3">
        <w:rPr>
          <w:color w:val="000000"/>
        </w:rPr>
        <w:t>occurred</w:t>
      </w:r>
      <w:proofErr w:type="spellEnd"/>
      <w:r w:rsidRPr="002906A3">
        <w:rPr>
          <w:color w:val="000000"/>
        </w:rPr>
        <w:t xml:space="preserve"> as a </w:t>
      </w:r>
      <w:proofErr w:type="spellStart"/>
      <w:r w:rsidRPr="002906A3">
        <w:rPr>
          <w:color w:val="000000"/>
        </w:rPr>
        <w:t>natural</w:t>
      </w:r>
      <w:proofErr w:type="spellEnd"/>
      <w:r w:rsidRPr="002906A3">
        <w:rPr>
          <w:color w:val="000000"/>
        </w:rPr>
        <w:t xml:space="preserve"> </w:t>
      </w:r>
      <w:proofErr w:type="spellStart"/>
      <w:r w:rsidRPr="002906A3">
        <w:rPr>
          <w:color w:val="000000"/>
        </w:rPr>
        <w:t>result</w:t>
      </w:r>
      <w:proofErr w:type="spellEnd"/>
      <w:r w:rsidRPr="002906A3">
        <w:rPr>
          <w:color w:val="000000"/>
        </w:rPr>
        <w:t xml:space="preserve"> of a step </w:t>
      </w:r>
      <w:proofErr w:type="spellStart"/>
      <w:r w:rsidRPr="002906A3">
        <w:rPr>
          <w:color w:val="000000"/>
        </w:rPr>
        <w:t>taken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sometimes</w:t>
      </w:r>
      <w:proofErr w:type="spellEnd"/>
      <w:r w:rsidRPr="002906A3">
        <w:rPr>
          <w:color w:val="000000"/>
        </w:rPr>
        <w:t xml:space="preserve"> as a form of </w:t>
      </w:r>
      <w:proofErr w:type="spellStart"/>
      <w:r w:rsidRPr="002906A3">
        <w:rPr>
          <w:color w:val="000000"/>
        </w:rPr>
        <w:t>mutual</w:t>
      </w:r>
      <w:proofErr w:type="spellEnd"/>
      <w:r w:rsidRPr="002906A3">
        <w:rPr>
          <w:color w:val="000000"/>
        </w:rPr>
        <w:t xml:space="preserve"> </w:t>
      </w:r>
      <w:proofErr w:type="spellStart"/>
      <w:r w:rsidRPr="002906A3">
        <w:rPr>
          <w:color w:val="000000"/>
        </w:rPr>
        <w:t>influence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structural</w:t>
      </w:r>
      <w:proofErr w:type="spellEnd"/>
      <w:r w:rsidRPr="002906A3">
        <w:rPr>
          <w:color w:val="000000"/>
        </w:rPr>
        <w:t xml:space="preserve"> </w:t>
      </w:r>
      <w:proofErr w:type="spellStart"/>
      <w:r w:rsidRPr="002906A3">
        <w:rPr>
          <w:color w:val="000000"/>
        </w:rPr>
        <w:t>problems</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empire</w:t>
      </w:r>
      <w:proofErr w:type="spellEnd"/>
      <w:r w:rsidRPr="002906A3">
        <w:rPr>
          <w:color w:val="000000"/>
        </w:rPr>
        <w:t xml:space="preserve"> had </w:t>
      </w:r>
      <w:proofErr w:type="spellStart"/>
      <w:r w:rsidRPr="002906A3">
        <w:rPr>
          <w:color w:val="000000"/>
        </w:rPr>
        <w:t>never</w:t>
      </w:r>
      <w:proofErr w:type="spellEnd"/>
      <w:r w:rsidRPr="002906A3">
        <w:rPr>
          <w:color w:val="000000"/>
        </w:rPr>
        <w:t xml:space="preserve"> </w:t>
      </w:r>
      <w:proofErr w:type="spellStart"/>
      <w:r w:rsidRPr="002906A3">
        <w:rPr>
          <w:color w:val="000000"/>
        </w:rPr>
        <w:t>encountered</w:t>
      </w:r>
      <w:proofErr w:type="spellEnd"/>
      <w:r w:rsidRPr="002906A3">
        <w:rPr>
          <w:color w:val="000000"/>
        </w:rPr>
        <w:t xml:space="preserve"> </w:t>
      </w:r>
      <w:proofErr w:type="spellStart"/>
      <w:r w:rsidRPr="002906A3">
        <w:rPr>
          <w:color w:val="000000"/>
        </w:rPr>
        <w:t>before</w:t>
      </w:r>
      <w:proofErr w:type="spellEnd"/>
      <w:r w:rsidRPr="002906A3">
        <w:rPr>
          <w:color w:val="000000"/>
        </w:rPr>
        <w:t xml:space="preserve"> </w:t>
      </w:r>
      <w:proofErr w:type="spellStart"/>
      <w:r w:rsidRPr="002906A3">
        <w:rPr>
          <w:color w:val="000000"/>
        </w:rPr>
        <w:t>now</w:t>
      </w:r>
      <w:proofErr w:type="spellEnd"/>
      <w:r w:rsidRPr="002906A3">
        <w:rPr>
          <w:color w:val="000000"/>
        </w:rPr>
        <w:t xml:space="preserve"> </w:t>
      </w:r>
      <w:proofErr w:type="spellStart"/>
      <w:r w:rsidRPr="002906A3">
        <w:rPr>
          <w:color w:val="000000"/>
        </w:rPr>
        <w:t>grew</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each</w:t>
      </w:r>
      <w:proofErr w:type="spellEnd"/>
      <w:r w:rsidRPr="002906A3">
        <w:rPr>
          <w:color w:val="000000"/>
        </w:rPr>
        <w:t xml:space="preserve"> </w:t>
      </w:r>
      <w:proofErr w:type="spellStart"/>
      <w:r w:rsidRPr="002906A3">
        <w:rPr>
          <w:color w:val="000000"/>
        </w:rPr>
        <w:t>passing</w:t>
      </w:r>
      <w:proofErr w:type="spellEnd"/>
      <w:r w:rsidRPr="002906A3">
        <w:rPr>
          <w:color w:val="000000"/>
        </w:rPr>
        <w:t xml:space="preserve"> </w:t>
      </w:r>
      <w:proofErr w:type="spellStart"/>
      <w:r w:rsidRPr="002906A3">
        <w:rPr>
          <w:color w:val="000000"/>
        </w:rPr>
        <w:t>day</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gained</w:t>
      </w:r>
      <w:proofErr w:type="spellEnd"/>
      <w:r w:rsidRPr="002906A3">
        <w:rPr>
          <w:color w:val="000000"/>
        </w:rPr>
        <w:t xml:space="preserve"> a </w:t>
      </w:r>
      <w:proofErr w:type="spellStart"/>
      <w:r w:rsidRPr="002906A3">
        <w:rPr>
          <w:color w:val="000000"/>
        </w:rPr>
        <w:t>more</w:t>
      </w:r>
      <w:proofErr w:type="spellEnd"/>
      <w:r w:rsidRPr="002906A3">
        <w:rPr>
          <w:color w:val="000000"/>
        </w:rPr>
        <w:t xml:space="preserve"> </w:t>
      </w:r>
      <w:proofErr w:type="spellStart"/>
      <w:r w:rsidRPr="002906A3">
        <w:rPr>
          <w:color w:val="000000"/>
        </w:rPr>
        <w:t>pronounced</w:t>
      </w:r>
      <w:proofErr w:type="spellEnd"/>
      <w:r w:rsidRPr="002906A3">
        <w:rPr>
          <w:color w:val="000000"/>
        </w:rPr>
        <w:t xml:space="preserve"> </w:t>
      </w:r>
      <w:proofErr w:type="spellStart"/>
      <w:r w:rsidRPr="002906A3">
        <w:rPr>
          <w:color w:val="000000"/>
        </w:rPr>
        <w:t>character</w:t>
      </w:r>
      <w:proofErr w:type="spellEnd"/>
      <w:r w:rsidRPr="002906A3">
        <w:rPr>
          <w:color w:val="000000"/>
        </w:rPr>
        <w:t xml:space="preserve">. </w:t>
      </w:r>
      <w:proofErr w:type="spellStart"/>
      <w:r w:rsidRPr="002906A3">
        <w:rPr>
          <w:color w:val="000000"/>
        </w:rPr>
        <w:t>From</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early</w:t>
      </w:r>
      <w:proofErr w:type="spellEnd"/>
      <w:r w:rsidRPr="002906A3">
        <w:rPr>
          <w:color w:val="000000"/>
        </w:rPr>
        <w:t xml:space="preserve"> 1900s </w:t>
      </w:r>
      <w:proofErr w:type="spellStart"/>
      <w:r w:rsidRPr="002906A3">
        <w:rPr>
          <w:color w:val="000000"/>
        </w:rPr>
        <w:t>onward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Ottoman</w:t>
      </w:r>
      <w:proofErr w:type="spellEnd"/>
      <w:r w:rsidRPr="002906A3">
        <w:rPr>
          <w:color w:val="000000"/>
        </w:rPr>
        <w:t xml:space="preserve"> </w:t>
      </w:r>
      <w:proofErr w:type="spellStart"/>
      <w:r w:rsidRPr="002906A3">
        <w:rPr>
          <w:color w:val="000000"/>
        </w:rPr>
        <w:t>society</w:t>
      </w:r>
      <w:proofErr w:type="spellEnd"/>
      <w:r w:rsidRPr="002906A3">
        <w:rPr>
          <w:color w:val="000000"/>
        </w:rPr>
        <w:t xml:space="preserve">, </w:t>
      </w:r>
      <w:proofErr w:type="spellStart"/>
      <w:r w:rsidRPr="002906A3">
        <w:rPr>
          <w:color w:val="000000"/>
        </w:rPr>
        <w:t>politics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economy</w:t>
      </w:r>
      <w:proofErr w:type="spellEnd"/>
      <w:r w:rsidRPr="002906A3">
        <w:rPr>
          <w:color w:val="000000"/>
        </w:rPr>
        <w:t xml:space="preserve"> </w:t>
      </w:r>
      <w:proofErr w:type="spellStart"/>
      <w:r w:rsidRPr="002906A3">
        <w:rPr>
          <w:color w:val="000000"/>
        </w:rPr>
        <w:t>revealed</w:t>
      </w:r>
      <w:proofErr w:type="spellEnd"/>
      <w:r w:rsidRPr="002906A3">
        <w:rPr>
          <w:color w:val="000000"/>
        </w:rPr>
        <w:t xml:space="preserve"> a </w:t>
      </w:r>
      <w:proofErr w:type="spellStart"/>
      <w:r w:rsidRPr="002906A3">
        <w:rPr>
          <w:color w:val="000000"/>
        </w:rPr>
        <w:t>clear</w:t>
      </w:r>
      <w:proofErr w:type="spellEnd"/>
      <w:r w:rsidRPr="002906A3">
        <w:rPr>
          <w:color w:val="000000"/>
        </w:rPr>
        <w:t xml:space="preserve"> </w:t>
      </w:r>
      <w:proofErr w:type="spellStart"/>
      <w:r w:rsidRPr="002906A3">
        <w:rPr>
          <w:color w:val="000000"/>
        </w:rPr>
        <w:t>vulnerability</w:t>
      </w:r>
      <w:proofErr w:type="spellEnd"/>
      <w:r w:rsidRPr="002906A3">
        <w:rPr>
          <w:color w:val="000000"/>
        </w:rPr>
        <w:t xml:space="preserve">, </w:t>
      </w:r>
      <w:proofErr w:type="spellStart"/>
      <w:r w:rsidRPr="002906A3">
        <w:rPr>
          <w:color w:val="000000"/>
        </w:rPr>
        <w:t>exposing</w:t>
      </w:r>
      <w:proofErr w:type="spellEnd"/>
      <w:r w:rsidRPr="002906A3">
        <w:rPr>
          <w:color w:val="000000"/>
        </w:rPr>
        <w:t xml:space="preserve"> </w:t>
      </w:r>
      <w:proofErr w:type="spellStart"/>
      <w:r w:rsidRPr="002906A3">
        <w:rPr>
          <w:color w:val="000000"/>
        </w:rPr>
        <w:t>weaknesses</w:t>
      </w:r>
      <w:proofErr w:type="spellEnd"/>
      <w:r w:rsidRPr="002906A3">
        <w:rPr>
          <w:color w:val="000000"/>
        </w:rPr>
        <w:t xml:space="preserve"> in </w:t>
      </w:r>
      <w:proofErr w:type="spellStart"/>
      <w:r w:rsidRPr="002906A3">
        <w:rPr>
          <w:color w:val="000000"/>
        </w:rPr>
        <w:t>its</w:t>
      </w:r>
      <w:proofErr w:type="spellEnd"/>
      <w:r w:rsidRPr="002906A3">
        <w:rPr>
          <w:color w:val="000000"/>
        </w:rPr>
        <w:t xml:space="preserve"> </w:t>
      </w:r>
      <w:proofErr w:type="spellStart"/>
      <w:r w:rsidRPr="002906A3">
        <w:rPr>
          <w:color w:val="000000"/>
        </w:rPr>
        <w:t>structure</w:t>
      </w:r>
      <w:proofErr w:type="spellEnd"/>
      <w:r w:rsidRPr="002906A3">
        <w:rPr>
          <w:color w:val="000000"/>
        </w:rPr>
        <w:t xml:space="preserve">. </w:t>
      </w:r>
      <w:proofErr w:type="spellStart"/>
      <w:r w:rsidRPr="002906A3">
        <w:rPr>
          <w:color w:val="000000"/>
        </w:rPr>
        <w:t>So</w:t>
      </w:r>
      <w:proofErr w:type="spellEnd"/>
      <w:r w:rsidRPr="002906A3">
        <w:rPr>
          <w:color w:val="000000"/>
        </w:rPr>
        <w:t xml:space="preserve"> </w:t>
      </w:r>
      <w:proofErr w:type="spellStart"/>
      <w:r w:rsidRPr="002906A3">
        <w:rPr>
          <w:color w:val="000000"/>
        </w:rPr>
        <w:t>much</w:t>
      </w:r>
      <w:proofErr w:type="spellEnd"/>
      <w:r w:rsidRPr="002906A3">
        <w:rPr>
          <w:color w:val="000000"/>
        </w:rPr>
        <w:t xml:space="preserve"> </w:t>
      </w:r>
      <w:proofErr w:type="spellStart"/>
      <w:r w:rsidRPr="002906A3">
        <w:rPr>
          <w:color w:val="000000"/>
        </w:rPr>
        <w:t>so</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original</w:t>
      </w:r>
      <w:proofErr w:type="spellEnd"/>
      <w:r w:rsidRPr="002906A3">
        <w:rPr>
          <w:color w:val="000000"/>
        </w:rPr>
        <w:t xml:space="preserve"> </w:t>
      </w:r>
      <w:proofErr w:type="spellStart"/>
      <w:r w:rsidRPr="002906A3">
        <w:rPr>
          <w:color w:val="000000"/>
        </w:rPr>
        <w:t>goal</w:t>
      </w:r>
      <w:proofErr w:type="spellEnd"/>
      <w:r w:rsidRPr="002906A3">
        <w:rPr>
          <w:color w:val="000000"/>
        </w:rPr>
        <w:t xml:space="preserve"> of “</w:t>
      </w:r>
      <w:proofErr w:type="spellStart"/>
      <w:r w:rsidRPr="002906A3">
        <w:rPr>
          <w:color w:val="000000"/>
        </w:rPr>
        <w:t>salvation</w:t>
      </w:r>
      <w:proofErr w:type="spellEnd"/>
      <w:r w:rsidRPr="002906A3">
        <w:rPr>
          <w:color w:val="000000"/>
        </w:rPr>
        <w:t xml:space="preserve">” </w:t>
      </w:r>
      <w:proofErr w:type="spellStart"/>
      <w:r w:rsidRPr="002906A3">
        <w:rPr>
          <w:color w:val="000000"/>
        </w:rPr>
        <w:t>became</w:t>
      </w:r>
      <w:proofErr w:type="spellEnd"/>
      <w:r w:rsidRPr="002906A3">
        <w:rPr>
          <w:color w:val="000000"/>
        </w:rPr>
        <w:t xml:space="preserve"> </w:t>
      </w:r>
      <w:proofErr w:type="spellStart"/>
      <w:r w:rsidRPr="002906A3">
        <w:rPr>
          <w:color w:val="000000"/>
        </w:rPr>
        <w:t>blurred</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confusion</w:t>
      </w:r>
      <w:proofErr w:type="spellEnd"/>
      <w:r w:rsidRPr="002906A3">
        <w:rPr>
          <w:color w:val="000000"/>
        </w:rPr>
        <w:t xml:space="preserve"> </w:t>
      </w:r>
      <w:proofErr w:type="spellStart"/>
      <w:r w:rsidRPr="002906A3">
        <w:rPr>
          <w:color w:val="000000"/>
        </w:rPr>
        <w:t>increased</w:t>
      </w:r>
      <w:proofErr w:type="spellEnd"/>
      <w:r w:rsidRPr="002906A3">
        <w:rPr>
          <w:color w:val="000000"/>
        </w:rPr>
        <w:t xml:space="preserve">. </w:t>
      </w:r>
      <w:proofErr w:type="spellStart"/>
      <w:r w:rsidRPr="002906A3">
        <w:rPr>
          <w:color w:val="000000"/>
        </w:rPr>
        <w:t>Therefore</w:t>
      </w:r>
      <w:proofErr w:type="spellEnd"/>
      <w:r w:rsidRPr="002906A3">
        <w:rPr>
          <w:color w:val="000000"/>
        </w:rPr>
        <w:t xml:space="preserve">, </w:t>
      </w:r>
      <w:proofErr w:type="spellStart"/>
      <w:r w:rsidRPr="002906A3">
        <w:rPr>
          <w:color w:val="000000"/>
        </w:rPr>
        <w:t>while</w:t>
      </w:r>
      <w:proofErr w:type="spellEnd"/>
      <w:r w:rsidRPr="002906A3">
        <w:rPr>
          <w:color w:val="000000"/>
        </w:rPr>
        <w:t xml:space="preserve"> time </w:t>
      </w:r>
      <w:proofErr w:type="spellStart"/>
      <w:r w:rsidRPr="002906A3">
        <w:rPr>
          <w:color w:val="000000"/>
        </w:rPr>
        <w:t>was</w:t>
      </w:r>
      <w:proofErr w:type="spellEnd"/>
      <w:r w:rsidRPr="002906A3">
        <w:rPr>
          <w:color w:val="000000"/>
        </w:rPr>
        <w:t xml:space="preserve">, in a sense, </w:t>
      </w:r>
      <w:proofErr w:type="spellStart"/>
      <w:r w:rsidRPr="002906A3">
        <w:rPr>
          <w:color w:val="000000"/>
        </w:rPr>
        <w:t>gained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result</w:t>
      </w:r>
      <w:proofErr w:type="spellEnd"/>
      <w:r w:rsidRPr="002906A3">
        <w:rPr>
          <w:color w:val="000000"/>
        </w:rPr>
        <w:t xml:space="preserve"> </w:t>
      </w:r>
      <w:proofErr w:type="spellStart"/>
      <w:r w:rsidRPr="002906A3">
        <w:rPr>
          <w:color w:val="000000"/>
        </w:rPr>
        <w:t>did</w:t>
      </w:r>
      <w:proofErr w:type="spellEnd"/>
      <w:r w:rsidRPr="002906A3">
        <w:rPr>
          <w:color w:val="000000"/>
        </w:rPr>
        <w:t xml:space="preserve"> not </w:t>
      </w:r>
      <w:proofErr w:type="spellStart"/>
      <w:r w:rsidRPr="002906A3">
        <w:rPr>
          <w:color w:val="000000"/>
        </w:rPr>
        <w:t>align</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original</w:t>
      </w:r>
      <w:proofErr w:type="spellEnd"/>
      <w:r w:rsidRPr="002906A3">
        <w:rPr>
          <w:color w:val="000000"/>
        </w:rPr>
        <w:t xml:space="preserve"> </w:t>
      </w:r>
      <w:proofErr w:type="spellStart"/>
      <w:r w:rsidRPr="002906A3">
        <w:rPr>
          <w:color w:val="000000"/>
        </w:rPr>
        <w:t>goal</w:t>
      </w:r>
      <w:proofErr w:type="spellEnd"/>
      <w:r w:rsidRPr="002906A3">
        <w:rPr>
          <w:color w:val="000000"/>
        </w:rPr>
        <w:t xml:space="preserve"> set at </w:t>
      </w:r>
      <w:proofErr w:type="spellStart"/>
      <w:r w:rsidRPr="002906A3">
        <w:rPr>
          <w:color w:val="000000"/>
        </w:rPr>
        <w:t>the</w:t>
      </w:r>
      <w:proofErr w:type="spellEnd"/>
      <w:r w:rsidRPr="002906A3">
        <w:rPr>
          <w:color w:val="000000"/>
        </w:rPr>
        <w:t xml:space="preserve"> </w:t>
      </w:r>
      <w:proofErr w:type="spellStart"/>
      <w:r w:rsidRPr="002906A3">
        <w:rPr>
          <w:color w:val="000000"/>
        </w:rPr>
        <w:t>beginning</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in </w:t>
      </w:r>
      <w:proofErr w:type="spellStart"/>
      <w:r w:rsidRPr="002906A3">
        <w:rPr>
          <w:color w:val="000000"/>
        </w:rPr>
        <w:t>fact</w:t>
      </w:r>
      <w:proofErr w:type="spellEnd"/>
      <w:r w:rsidRPr="002906A3">
        <w:rPr>
          <w:color w:val="000000"/>
        </w:rPr>
        <w:t xml:space="preserve">, an </w:t>
      </w:r>
      <w:proofErr w:type="spellStart"/>
      <w:r w:rsidRPr="002906A3">
        <w:rPr>
          <w:color w:val="000000"/>
        </w:rPr>
        <w:t>entirely</w:t>
      </w:r>
      <w:proofErr w:type="spellEnd"/>
      <w:r w:rsidRPr="002906A3">
        <w:rPr>
          <w:color w:val="000000"/>
        </w:rPr>
        <w:t xml:space="preserve"> </w:t>
      </w:r>
      <w:proofErr w:type="spellStart"/>
      <w:r w:rsidRPr="002906A3">
        <w:rPr>
          <w:color w:val="000000"/>
        </w:rPr>
        <w:t>different</w:t>
      </w:r>
      <w:proofErr w:type="spellEnd"/>
      <w:r w:rsidRPr="002906A3">
        <w:rPr>
          <w:color w:val="000000"/>
        </w:rPr>
        <w:t xml:space="preserve"> “</w:t>
      </w:r>
      <w:proofErr w:type="spellStart"/>
      <w:r w:rsidRPr="002906A3">
        <w:rPr>
          <w:color w:val="000000"/>
        </w:rPr>
        <w:t>new</w:t>
      </w:r>
      <w:proofErr w:type="spellEnd"/>
      <w:r w:rsidRPr="002906A3">
        <w:rPr>
          <w:color w:val="000000"/>
        </w:rPr>
        <w:t xml:space="preserve">” </w:t>
      </w:r>
      <w:proofErr w:type="spellStart"/>
      <w:r w:rsidRPr="002906A3">
        <w:rPr>
          <w:color w:val="000000"/>
        </w:rPr>
        <w:t>reality</w:t>
      </w:r>
      <w:proofErr w:type="spellEnd"/>
      <w:r w:rsidRPr="002906A3">
        <w:rPr>
          <w:color w:val="000000"/>
        </w:rPr>
        <w:t xml:space="preserve"> </w:t>
      </w:r>
      <w:proofErr w:type="spellStart"/>
      <w:r w:rsidRPr="002906A3">
        <w:rPr>
          <w:color w:val="000000"/>
        </w:rPr>
        <w:t>emerged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impact</w:t>
      </w:r>
      <w:proofErr w:type="spellEnd"/>
      <w:r w:rsidRPr="002906A3">
        <w:rPr>
          <w:color w:val="000000"/>
        </w:rPr>
        <w:t xml:space="preserve"> of </w:t>
      </w:r>
      <w:proofErr w:type="spellStart"/>
      <w:r w:rsidRPr="002906A3">
        <w:rPr>
          <w:color w:val="000000"/>
        </w:rPr>
        <w:t>this</w:t>
      </w:r>
      <w:proofErr w:type="spellEnd"/>
      <w:r w:rsidRPr="002906A3">
        <w:rPr>
          <w:color w:val="000000"/>
        </w:rPr>
        <w:t xml:space="preserve"> “</w:t>
      </w:r>
      <w:proofErr w:type="spellStart"/>
      <w:r w:rsidRPr="002906A3">
        <w:rPr>
          <w:color w:val="000000"/>
        </w:rPr>
        <w:t>new</w:t>
      </w:r>
      <w:proofErr w:type="spellEnd"/>
      <w:r w:rsidRPr="002906A3">
        <w:rPr>
          <w:color w:val="000000"/>
        </w:rPr>
        <w:t xml:space="preserve">” </w:t>
      </w:r>
      <w:proofErr w:type="spellStart"/>
      <w:r w:rsidRPr="002906A3">
        <w:rPr>
          <w:color w:val="000000"/>
        </w:rPr>
        <w:t>was</w:t>
      </w:r>
      <w:proofErr w:type="spellEnd"/>
      <w:r w:rsidRPr="002906A3">
        <w:rPr>
          <w:color w:val="000000"/>
        </w:rPr>
        <w:t xml:space="preserve"> </w:t>
      </w:r>
      <w:proofErr w:type="spellStart"/>
      <w:r w:rsidRPr="002906A3">
        <w:rPr>
          <w:color w:val="000000"/>
        </w:rPr>
        <w:t>felt</w:t>
      </w:r>
      <w:proofErr w:type="spellEnd"/>
      <w:r w:rsidRPr="002906A3">
        <w:rPr>
          <w:color w:val="000000"/>
        </w:rPr>
        <w:t xml:space="preserve"> </w:t>
      </w:r>
      <w:proofErr w:type="spellStart"/>
      <w:r w:rsidRPr="002906A3">
        <w:rPr>
          <w:color w:val="000000"/>
        </w:rPr>
        <w:t>across</w:t>
      </w:r>
      <w:proofErr w:type="spellEnd"/>
      <w:r w:rsidRPr="002906A3">
        <w:rPr>
          <w:color w:val="000000"/>
        </w:rPr>
        <w:t xml:space="preserve"> </w:t>
      </w:r>
      <w:proofErr w:type="spellStart"/>
      <w:r w:rsidRPr="002906A3">
        <w:rPr>
          <w:color w:val="000000"/>
        </w:rPr>
        <w:t>all</w:t>
      </w:r>
      <w:proofErr w:type="spellEnd"/>
      <w:r w:rsidRPr="002906A3">
        <w:rPr>
          <w:color w:val="000000"/>
        </w:rPr>
        <w:t xml:space="preserve"> </w:t>
      </w:r>
      <w:proofErr w:type="spellStart"/>
      <w:r w:rsidRPr="002906A3">
        <w:rPr>
          <w:color w:val="000000"/>
        </w:rPr>
        <w:t>areas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position</w:t>
      </w:r>
      <w:proofErr w:type="spellEnd"/>
      <w:r w:rsidRPr="002906A3">
        <w:rPr>
          <w:color w:val="000000"/>
        </w:rPr>
        <w:t xml:space="preserve"> of </w:t>
      </w:r>
      <w:proofErr w:type="spellStart"/>
      <w:r w:rsidRPr="002906A3">
        <w:rPr>
          <w:color w:val="000000"/>
        </w:rPr>
        <w:t>women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their</w:t>
      </w:r>
      <w:proofErr w:type="spellEnd"/>
      <w:r w:rsidRPr="002906A3">
        <w:rPr>
          <w:color w:val="000000"/>
        </w:rPr>
        <w:t xml:space="preserve"> </w:t>
      </w:r>
      <w:proofErr w:type="spellStart"/>
      <w:r w:rsidRPr="002906A3">
        <w:rPr>
          <w:color w:val="000000"/>
        </w:rPr>
        <w:t>societal</w:t>
      </w:r>
      <w:proofErr w:type="spellEnd"/>
      <w:r w:rsidRPr="002906A3">
        <w:rPr>
          <w:color w:val="000000"/>
        </w:rPr>
        <w:t xml:space="preserve"> </w:t>
      </w:r>
      <w:proofErr w:type="spellStart"/>
      <w:r w:rsidRPr="002906A3">
        <w:rPr>
          <w:color w:val="000000"/>
        </w:rPr>
        <w:t>status</w:t>
      </w:r>
      <w:proofErr w:type="spellEnd"/>
      <w:r w:rsidRPr="002906A3">
        <w:rPr>
          <w:color w:val="000000"/>
        </w:rPr>
        <w:t xml:space="preserve">, </w:t>
      </w:r>
      <w:proofErr w:type="spellStart"/>
      <w:r w:rsidRPr="002906A3">
        <w:rPr>
          <w:color w:val="000000"/>
        </w:rPr>
        <w:t>along</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diversification</w:t>
      </w:r>
      <w:proofErr w:type="spellEnd"/>
      <w:r w:rsidRPr="002906A3">
        <w:rPr>
          <w:color w:val="000000"/>
        </w:rPr>
        <w:t xml:space="preserve"> of </w:t>
      </w:r>
      <w:proofErr w:type="spellStart"/>
      <w:r w:rsidRPr="002906A3">
        <w:rPr>
          <w:color w:val="000000"/>
        </w:rPr>
        <w:t>variables</w:t>
      </w:r>
      <w:proofErr w:type="spellEnd"/>
      <w:r w:rsidRPr="002906A3">
        <w:rPr>
          <w:color w:val="000000"/>
        </w:rPr>
        <w:t xml:space="preserve">, </w:t>
      </w:r>
      <w:proofErr w:type="spellStart"/>
      <w:r w:rsidRPr="002906A3">
        <w:rPr>
          <w:color w:val="000000"/>
        </w:rPr>
        <w:t>became</w:t>
      </w:r>
      <w:proofErr w:type="spellEnd"/>
      <w:r w:rsidRPr="002906A3">
        <w:rPr>
          <w:color w:val="000000"/>
        </w:rPr>
        <w:t xml:space="preserve"> a </w:t>
      </w:r>
      <w:proofErr w:type="spellStart"/>
      <w:r w:rsidRPr="002906A3">
        <w:rPr>
          <w:color w:val="000000"/>
        </w:rPr>
        <w:t>topic</w:t>
      </w:r>
      <w:proofErr w:type="spellEnd"/>
      <w:r w:rsidRPr="002906A3">
        <w:rPr>
          <w:color w:val="000000"/>
        </w:rPr>
        <w:t xml:space="preserve"> of </w:t>
      </w:r>
      <w:proofErr w:type="spellStart"/>
      <w:r w:rsidRPr="002906A3">
        <w:rPr>
          <w:color w:val="000000"/>
        </w:rPr>
        <w:t>debate</w:t>
      </w:r>
      <w:proofErr w:type="spellEnd"/>
      <w:r w:rsidRPr="002906A3">
        <w:rPr>
          <w:color w:val="000000"/>
        </w:rPr>
        <w:t xml:space="preserve"> </w:t>
      </w:r>
      <w:proofErr w:type="spellStart"/>
      <w:r w:rsidRPr="002906A3">
        <w:rPr>
          <w:color w:val="000000"/>
        </w:rPr>
        <w:t>regarding</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extent</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renewal</w:t>
      </w:r>
      <w:proofErr w:type="spellEnd"/>
      <w:r w:rsidRPr="002906A3">
        <w:rPr>
          <w:color w:val="000000"/>
        </w:rPr>
        <w:t xml:space="preserve"> </w:t>
      </w:r>
      <w:proofErr w:type="spellStart"/>
      <w:r w:rsidRPr="002906A3">
        <w:rPr>
          <w:color w:val="000000"/>
        </w:rPr>
        <w:t>movements</w:t>
      </w:r>
      <w:proofErr w:type="spellEnd"/>
      <w:r w:rsidRPr="002906A3">
        <w:rPr>
          <w:color w:val="000000"/>
        </w:rPr>
        <w:t xml:space="preserve">’ </w:t>
      </w:r>
      <w:proofErr w:type="spellStart"/>
      <w:r w:rsidRPr="002906A3">
        <w:rPr>
          <w:color w:val="000000"/>
        </w:rPr>
        <w:t>influence</w:t>
      </w:r>
      <w:proofErr w:type="spellEnd"/>
      <w:r w:rsidRPr="002906A3">
        <w:rPr>
          <w:color w:val="000000"/>
        </w:rPr>
        <w:t xml:space="preserve">. </w:t>
      </w:r>
      <w:proofErr w:type="spellStart"/>
      <w:r w:rsidRPr="002906A3">
        <w:rPr>
          <w:color w:val="000000"/>
        </w:rPr>
        <w:t>Conflicting</w:t>
      </w:r>
      <w:proofErr w:type="spellEnd"/>
      <w:r w:rsidRPr="002906A3">
        <w:rPr>
          <w:color w:val="000000"/>
        </w:rPr>
        <w:t xml:space="preserve"> </w:t>
      </w:r>
      <w:proofErr w:type="spellStart"/>
      <w:r w:rsidRPr="002906A3">
        <w:rPr>
          <w:color w:val="000000"/>
        </w:rPr>
        <w:t>discourses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arguments</w:t>
      </w:r>
      <w:proofErr w:type="spellEnd"/>
      <w:r w:rsidRPr="002906A3">
        <w:rPr>
          <w:color w:val="000000"/>
        </w:rPr>
        <w:t xml:space="preserve"> </w:t>
      </w:r>
      <w:proofErr w:type="spellStart"/>
      <w:r w:rsidRPr="002906A3">
        <w:rPr>
          <w:color w:val="000000"/>
        </w:rPr>
        <w:t>essentially</w:t>
      </w:r>
      <w:proofErr w:type="spellEnd"/>
      <w:r w:rsidRPr="002906A3">
        <w:rPr>
          <w:color w:val="000000"/>
        </w:rPr>
        <w:t xml:space="preserve"> </w:t>
      </w:r>
      <w:proofErr w:type="spellStart"/>
      <w:r w:rsidRPr="002906A3">
        <w:rPr>
          <w:color w:val="000000"/>
        </w:rPr>
        <w:t>defined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core</w:t>
      </w:r>
      <w:proofErr w:type="spellEnd"/>
      <w:r w:rsidRPr="002906A3">
        <w:rPr>
          <w:color w:val="000000"/>
        </w:rPr>
        <w:t xml:space="preserve"> </w:t>
      </w:r>
      <w:proofErr w:type="spellStart"/>
      <w:r w:rsidRPr="002906A3">
        <w:rPr>
          <w:color w:val="000000"/>
        </w:rPr>
        <w:t>dynamics</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women’s</w:t>
      </w:r>
      <w:proofErr w:type="spellEnd"/>
      <w:r w:rsidRPr="002906A3">
        <w:rPr>
          <w:color w:val="000000"/>
        </w:rPr>
        <w:t xml:space="preserve"> </w:t>
      </w:r>
      <w:proofErr w:type="spellStart"/>
      <w:r w:rsidRPr="002906A3">
        <w:rPr>
          <w:color w:val="000000"/>
        </w:rPr>
        <w:t>issue</w:t>
      </w:r>
      <w:proofErr w:type="spellEnd"/>
      <w:r w:rsidRPr="002906A3">
        <w:rPr>
          <w:color w:val="000000"/>
        </w:rPr>
        <w:t xml:space="preserve">. </w:t>
      </w:r>
      <w:proofErr w:type="spellStart"/>
      <w:r w:rsidRPr="002906A3">
        <w:rPr>
          <w:color w:val="000000"/>
        </w:rPr>
        <w:t>When</w:t>
      </w:r>
      <w:proofErr w:type="spellEnd"/>
      <w:r w:rsidRPr="002906A3">
        <w:rPr>
          <w:color w:val="000000"/>
        </w:rPr>
        <w:t xml:space="preserve"> </w:t>
      </w:r>
      <w:proofErr w:type="spellStart"/>
      <w:r w:rsidRPr="002906A3">
        <w:rPr>
          <w:color w:val="000000"/>
        </w:rPr>
        <w:t>discussing</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social</w:t>
      </w:r>
      <w:proofErr w:type="spellEnd"/>
      <w:r w:rsidRPr="002906A3">
        <w:rPr>
          <w:color w:val="000000"/>
        </w:rPr>
        <w:t xml:space="preserve"> </w:t>
      </w:r>
      <w:proofErr w:type="spellStart"/>
      <w:r w:rsidRPr="002906A3">
        <w:rPr>
          <w:color w:val="000000"/>
        </w:rPr>
        <w:t>status</w:t>
      </w:r>
      <w:proofErr w:type="spellEnd"/>
      <w:r w:rsidRPr="002906A3">
        <w:rPr>
          <w:color w:val="000000"/>
        </w:rPr>
        <w:t xml:space="preserve"> of </w:t>
      </w:r>
      <w:proofErr w:type="spellStart"/>
      <w:r w:rsidRPr="002906A3">
        <w:rPr>
          <w:color w:val="000000"/>
        </w:rPr>
        <w:t>women</w:t>
      </w:r>
      <w:proofErr w:type="spellEnd"/>
      <w:r w:rsidRPr="002906A3">
        <w:rPr>
          <w:color w:val="000000"/>
        </w:rPr>
        <w:t xml:space="preserve"> in </w:t>
      </w:r>
      <w:proofErr w:type="spellStart"/>
      <w:r w:rsidRPr="002906A3">
        <w:rPr>
          <w:color w:val="000000"/>
        </w:rPr>
        <w:t>the</w:t>
      </w:r>
      <w:proofErr w:type="spellEnd"/>
      <w:r w:rsidRPr="002906A3">
        <w:rPr>
          <w:color w:val="000000"/>
        </w:rPr>
        <w:t xml:space="preserve"> </w:t>
      </w:r>
      <w:proofErr w:type="spellStart"/>
      <w:r w:rsidRPr="002906A3">
        <w:rPr>
          <w:color w:val="000000"/>
        </w:rPr>
        <w:t>Ottoman</w:t>
      </w:r>
      <w:proofErr w:type="spellEnd"/>
      <w:r w:rsidRPr="002906A3">
        <w:rPr>
          <w:color w:val="000000"/>
        </w:rPr>
        <w:t xml:space="preserve"> </w:t>
      </w:r>
      <w:proofErr w:type="spellStart"/>
      <w:r w:rsidRPr="002906A3">
        <w:rPr>
          <w:color w:val="000000"/>
        </w:rPr>
        <w:t>Empire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context</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was</w:t>
      </w:r>
      <w:proofErr w:type="spellEnd"/>
      <w:r w:rsidRPr="002906A3">
        <w:rPr>
          <w:color w:val="000000"/>
        </w:rPr>
        <w:t xml:space="preserve"> </w:t>
      </w:r>
      <w:proofErr w:type="spellStart"/>
      <w:r w:rsidRPr="002906A3">
        <w:rPr>
          <w:color w:val="000000"/>
        </w:rPr>
        <w:t>primarily</w:t>
      </w:r>
      <w:proofErr w:type="spellEnd"/>
      <w:r w:rsidRPr="002906A3">
        <w:rPr>
          <w:color w:val="000000"/>
        </w:rPr>
        <w:t xml:space="preserve"> </w:t>
      </w:r>
      <w:proofErr w:type="spellStart"/>
      <w:r w:rsidRPr="002906A3">
        <w:rPr>
          <w:color w:val="000000"/>
        </w:rPr>
        <w:t>emphasized</w:t>
      </w:r>
      <w:proofErr w:type="spellEnd"/>
      <w:r w:rsidRPr="002906A3">
        <w:rPr>
          <w:color w:val="000000"/>
        </w:rPr>
        <w:t xml:space="preserve"> </w:t>
      </w:r>
      <w:proofErr w:type="spellStart"/>
      <w:r w:rsidRPr="002906A3">
        <w:rPr>
          <w:color w:val="000000"/>
        </w:rPr>
        <w:t>was</w:t>
      </w:r>
      <w:proofErr w:type="spellEnd"/>
      <w:r w:rsidRPr="002906A3">
        <w:rPr>
          <w:color w:val="000000"/>
        </w:rPr>
        <w:t xml:space="preserve"> </w:t>
      </w:r>
      <w:proofErr w:type="spellStart"/>
      <w:r w:rsidRPr="002906A3">
        <w:rPr>
          <w:color w:val="000000"/>
        </w:rPr>
        <w:t>one</w:t>
      </w:r>
      <w:proofErr w:type="spellEnd"/>
      <w:r w:rsidRPr="002906A3">
        <w:rPr>
          <w:color w:val="000000"/>
        </w:rPr>
        <w:t xml:space="preserve"> </w:t>
      </w:r>
      <w:proofErr w:type="spellStart"/>
      <w:r w:rsidRPr="002906A3">
        <w:rPr>
          <w:color w:val="000000"/>
        </w:rPr>
        <w:t>shaped</w:t>
      </w:r>
      <w:proofErr w:type="spellEnd"/>
      <w:r w:rsidRPr="002906A3">
        <w:rPr>
          <w:color w:val="000000"/>
        </w:rPr>
        <w:t xml:space="preserve"> </w:t>
      </w:r>
      <w:proofErr w:type="spellStart"/>
      <w:r w:rsidRPr="002906A3">
        <w:rPr>
          <w:color w:val="000000"/>
        </w:rPr>
        <w:t>by</w:t>
      </w:r>
      <w:proofErr w:type="spellEnd"/>
      <w:r w:rsidRPr="002906A3">
        <w:rPr>
          <w:color w:val="000000"/>
        </w:rPr>
        <w:t xml:space="preserve"> a general sense of </w:t>
      </w:r>
      <w:proofErr w:type="spellStart"/>
      <w:r w:rsidRPr="002906A3">
        <w:rPr>
          <w:color w:val="000000"/>
        </w:rPr>
        <w:t>confinement</w:t>
      </w:r>
      <w:proofErr w:type="spellEnd"/>
      <w:r w:rsidRPr="002906A3">
        <w:rPr>
          <w:color w:val="000000"/>
        </w:rPr>
        <w:t xml:space="preserve">. </w:t>
      </w:r>
      <w:proofErr w:type="spellStart"/>
      <w:r w:rsidRPr="002906A3">
        <w:rPr>
          <w:color w:val="000000"/>
        </w:rPr>
        <w:t>Every</w:t>
      </w:r>
      <w:proofErr w:type="spellEnd"/>
      <w:r w:rsidRPr="002906A3">
        <w:rPr>
          <w:color w:val="000000"/>
        </w:rPr>
        <w:t xml:space="preserve"> </w:t>
      </w:r>
      <w:proofErr w:type="spellStart"/>
      <w:r w:rsidRPr="002906A3">
        <w:rPr>
          <w:color w:val="000000"/>
        </w:rPr>
        <w:t>new</w:t>
      </w:r>
      <w:proofErr w:type="spellEnd"/>
      <w:r w:rsidRPr="002906A3">
        <w:rPr>
          <w:color w:val="000000"/>
        </w:rPr>
        <w:t xml:space="preserve"> </w:t>
      </w:r>
      <w:proofErr w:type="spellStart"/>
      <w:r w:rsidRPr="002906A3">
        <w:rPr>
          <w:color w:val="000000"/>
        </w:rPr>
        <w:t>regulation</w:t>
      </w:r>
      <w:proofErr w:type="spellEnd"/>
      <w:r w:rsidRPr="002906A3">
        <w:rPr>
          <w:color w:val="000000"/>
        </w:rPr>
        <w:t xml:space="preserve"> </w:t>
      </w:r>
      <w:proofErr w:type="spellStart"/>
      <w:r w:rsidRPr="002906A3">
        <w:rPr>
          <w:color w:val="000000"/>
        </w:rPr>
        <w:t>regarding</w:t>
      </w:r>
      <w:proofErr w:type="spellEnd"/>
      <w:r w:rsidRPr="002906A3">
        <w:rPr>
          <w:color w:val="000000"/>
        </w:rPr>
        <w:t xml:space="preserve"> </w:t>
      </w:r>
      <w:proofErr w:type="spellStart"/>
      <w:r w:rsidRPr="002906A3">
        <w:rPr>
          <w:color w:val="000000"/>
        </w:rPr>
        <w:t>women’s</w:t>
      </w:r>
      <w:proofErr w:type="spellEnd"/>
      <w:r w:rsidRPr="002906A3">
        <w:rPr>
          <w:color w:val="000000"/>
        </w:rPr>
        <w:t xml:space="preserve"> </w:t>
      </w:r>
      <w:proofErr w:type="spellStart"/>
      <w:r w:rsidRPr="002906A3">
        <w:rPr>
          <w:color w:val="000000"/>
        </w:rPr>
        <w:t>lives</w:t>
      </w:r>
      <w:proofErr w:type="spellEnd"/>
      <w:r w:rsidRPr="002906A3">
        <w:rPr>
          <w:color w:val="000000"/>
        </w:rPr>
        <w:t xml:space="preserve"> </w:t>
      </w:r>
      <w:proofErr w:type="spellStart"/>
      <w:r w:rsidRPr="002906A3">
        <w:rPr>
          <w:color w:val="000000"/>
        </w:rPr>
        <w:t>carried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traces</w:t>
      </w:r>
      <w:proofErr w:type="spellEnd"/>
      <w:r w:rsidRPr="002906A3">
        <w:rPr>
          <w:color w:val="000000"/>
        </w:rPr>
        <w:t xml:space="preserve"> of </w:t>
      </w:r>
      <w:proofErr w:type="spellStart"/>
      <w:r w:rsidRPr="002906A3">
        <w:rPr>
          <w:color w:val="000000"/>
        </w:rPr>
        <w:t>this</w:t>
      </w:r>
      <w:proofErr w:type="spellEnd"/>
      <w:r w:rsidRPr="002906A3">
        <w:rPr>
          <w:color w:val="000000"/>
        </w:rPr>
        <w:t xml:space="preserve"> </w:t>
      </w:r>
      <w:proofErr w:type="spellStart"/>
      <w:r w:rsidRPr="002906A3">
        <w:rPr>
          <w:color w:val="000000"/>
        </w:rPr>
        <w:t>state</w:t>
      </w:r>
      <w:proofErr w:type="spellEnd"/>
      <w:r w:rsidRPr="002906A3">
        <w:rPr>
          <w:color w:val="000000"/>
        </w:rPr>
        <w:t xml:space="preserve"> of </w:t>
      </w:r>
      <w:proofErr w:type="spellStart"/>
      <w:r w:rsidRPr="002906A3">
        <w:rPr>
          <w:color w:val="000000"/>
        </w:rPr>
        <w:t>confinement</w:t>
      </w:r>
      <w:proofErr w:type="spellEnd"/>
      <w:r w:rsidRPr="002906A3">
        <w:rPr>
          <w:color w:val="000000"/>
        </w:rPr>
        <w:t xml:space="preserve">. </w:t>
      </w:r>
      <w:proofErr w:type="spellStart"/>
      <w:r w:rsidRPr="002906A3">
        <w:rPr>
          <w:color w:val="000000"/>
        </w:rPr>
        <w:t>Even</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Ottoman</w:t>
      </w:r>
      <w:proofErr w:type="spellEnd"/>
      <w:r w:rsidRPr="002906A3">
        <w:rPr>
          <w:color w:val="000000"/>
        </w:rPr>
        <w:t xml:space="preserve"> </w:t>
      </w:r>
      <w:proofErr w:type="spellStart"/>
      <w:r w:rsidRPr="002906A3">
        <w:rPr>
          <w:color w:val="000000"/>
        </w:rPr>
        <w:t>women’s</w:t>
      </w:r>
      <w:proofErr w:type="spellEnd"/>
      <w:r w:rsidRPr="002906A3">
        <w:rPr>
          <w:color w:val="000000"/>
        </w:rPr>
        <w:t xml:space="preserve"> </w:t>
      </w:r>
      <w:proofErr w:type="spellStart"/>
      <w:r w:rsidRPr="002906A3">
        <w:rPr>
          <w:color w:val="000000"/>
        </w:rPr>
        <w:t>movement</w:t>
      </w:r>
      <w:proofErr w:type="spellEnd"/>
      <w:r w:rsidRPr="002906A3">
        <w:rPr>
          <w:color w:val="000000"/>
        </w:rPr>
        <w:t xml:space="preserve">, </w:t>
      </w:r>
      <w:proofErr w:type="spellStart"/>
      <w:r w:rsidRPr="002906A3">
        <w:rPr>
          <w:color w:val="000000"/>
        </w:rPr>
        <w:t>both</w:t>
      </w:r>
      <w:proofErr w:type="spellEnd"/>
      <w:r w:rsidRPr="002906A3">
        <w:rPr>
          <w:color w:val="000000"/>
        </w:rPr>
        <w:t xml:space="preserve"> in </w:t>
      </w:r>
      <w:proofErr w:type="spellStart"/>
      <w:r w:rsidRPr="002906A3">
        <w:rPr>
          <w:color w:val="000000"/>
        </w:rPr>
        <w:t>its</w:t>
      </w:r>
      <w:proofErr w:type="spellEnd"/>
      <w:r w:rsidRPr="002906A3">
        <w:rPr>
          <w:color w:val="000000"/>
        </w:rPr>
        <w:t xml:space="preserve"> </w:t>
      </w:r>
      <w:proofErr w:type="spellStart"/>
      <w:r w:rsidRPr="002906A3">
        <w:rPr>
          <w:color w:val="000000"/>
        </w:rPr>
        <w:t>written</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oral </w:t>
      </w:r>
      <w:proofErr w:type="spellStart"/>
      <w:r w:rsidRPr="002906A3">
        <w:rPr>
          <w:color w:val="000000"/>
        </w:rPr>
        <w:t>forms</w:t>
      </w:r>
      <w:proofErr w:type="spellEnd"/>
      <w:r w:rsidRPr="002906A3">
        <w:rPr>
          <w:color w:val="000000"/>
        </w:rPr>
        <w:t xml:space="preserve">, </w:t>
      </w:r>
      <w:proofErr w:type="spellStart"/>
      <w:r w:rsidRPr="002906A3">
        <w:rPr>
          <w:color w:val="000000"/>
        </w:rPr>
        <w:t>exhibited</w:t>
      </w:r>
      <w:proofErr w:type="spellEnd"/>
      <w:r w:rsidRPr="002906A3">
        <w:rPr>
          <w:color w:val="000000"/>
        </w:rPr>
        <w:t xml:space="preserve"> a </w:t>
      </w:r>
      <w:proofErr w:type="spellStart"/>
      <w:r w:rsidRPr="002906A3">
        <w:rPr>
          <w:color w:val="000000"/>
        </w:rPr>
        <w:t>cautious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reserved</w:t>
      </w:r>
      <w:proofErr w:type="spellEnd"/>
      <w:r w:rsidRPr="002906A3">
        <w:rPr>
          <w:color w:val="000000"/>
        </w:rPr>
        <w:t xml:space="preserve"> </w:t>
      </w:r>
      <w:proofErr w:type="spellStart"/>
      <w:r w:rsidRPr="002906A3">
        <w:rPr>
          <w:color w:val="000000"/>
        </w:rPr>
        <w:t>stance</w:t>
      </w:r>
      <w:proofErr w:type="spellEnd"/>
      <w:r w:rsidRPr="002906A3">
        <w:rPr>
          <w:color w:val="000000"/>
        </w:rPr>
        <w:t xml:space="preserve">. </w:t>
      </w:r>
      <w:proofErr w:type="spellStart"/>
      <w:r w:rsidRPr="002906A3">
        <w:rPr>
          <w:color w:val="000000"/>
        </w:rPr>
        <w:t>Its</w:t>
      </w:r>
      <w:proofErr w:type="spellEnd"/>
      <w:r w:rsidRPr="002906A3">
        <w:rPr>
          <w:color w:val="000000"/>
        </w:rPr>
        <w:t xml:space="preserve"> </w:t>
      </w:r>
      <w:proofErr w:type="spellStart"/>
      <w:r w:rsidRPr="002906A3">
        <w:rPr>
          <w:color w:val="000000"/>
        </w:rPr>
        <w:t>development</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progress</w:t>
      </w:r>
      <w:proofErr w:type="spellEnd"/>
      <w:r w:rsidRPr="002906A3">
        <w:rPr>
          <w:color w:val="000000"/>
        </w:rPr>
        <w:t xml:space="preserve"> </w:t>
      </w:r>
      <w:proofErr w:type="spellStart"/>
      <w:r w:rsidRPr="002906A3">
        <w:rPr>
          <w:color w:val="000000"/>
        </w:rPr>
        <w:t>were</w:t>
      </w:r>
      <w:proofErr w:type="spellEnd"/>
      <w:r w:rsidRPr="002906A3">
        <w:rPr>
          <w:color w:val="000000"/>
        </w:rPr>
        <w:t xml:space="preserve"> </w:t>
      </w:r>
      <w:proofErr w:type="spellStart"/>
      <w:r w:rsidRPr="002906A3">
        <w:rPr>
          <w:color w:val="000000"/>
        </w:rPr>
        <w:t>made</w:t>
      </w:r>
      <w:proofErr w:type="spellEnd"/>
      <w:r w:rsidRPr="002906A3">
        <w:rPr>
          <w:color w:val="000000"/>
        </w:rPr>
        <w:t xml:space="preserve"> </w:t>
      </w:r>
      <w:proofErr w:type="spellStart"/>
      <w:r w:rsidRPr="002906A3">
        <w:rPr>
          <w:color w:val="000000"/>
        </w:rPr>
        <w:t>without</w:t>
      </w:r>
      <w:proofErr w:type="spellEnd"/>
      <w:r w:rsidRPr="002906A3">
        <w:rPr>
          <w:color w:val="000000"/>
        </w:rPr>
        <w:t xml:space="preserve"> </w:t>
      </w:r>
      <w:proofErr w:type="spellStart"/>
      <w:r w:rsidRPr="002906A3">
        <w:rPr>
          <w:color w:val="000000"/>
        </w:rPr>
        <w:t>radically</w:t>
      </w:r>
      <w:proofErr w:type="spellEnd"/>
      <w:r w:rsidRPr="002906A3">
        <w:rPr>
          <w:color w:val="000000"/>
        </w:rPr>
        <w:t xml:space="preserve"> </w:t>
      </w:r>
      <w:proofErr w:type="spellStart"/>
      <w:r w:rsidRPr="002906A3">
        <w:rPr>
          <w:color w:val="000000"/>
        </w:rPr>
        <w:t>questioning</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limits</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patriarchal</w:t>
      </w:r>
      <w:proofErr w:type="spellEnd"/>
      <w:r w:rsidRPr="002906A3">
        <w:rPr>
          <w:color w:val="000000"/>
        </w:rPr>
        <w:t xml:space="preserve"> </w:t>
      </w:r>
      <w:proofErr w:type="spellStart"/>
      <w:r w:rsidRPr="002906A3">
        <w:rPr>
          <w:color w:val="000000"/>
        </w:rPr>
        <w:t>character</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social</w:t>
      </w:r>
      <w:proofErr w:type="spellEnd"/>
      <w:r w:rsidRPr="002906A3">
        <w:rPr>
          <w:color w:val="000000"/>
        </w:rPr>
        <w:t xml:space="preserve"> </w:t>
      </w:r>
      <w:proofErr w:type="spellStart"/>
      <w:r w:rsidRPr="002906A3">
        <w:rPr>
          <w:color w:val="000000"/>
        </w:rPr>
        <w:t>structure</w:t>
      </w:r>
      <w:proofErr w:type="spellEnd"/>
      <w:r w:rsidRPr="002906A3">
        <w:rPr>
          <w:color w:val="000000"/>
        </w:rPr>
        <w:t xml:space="preserve">. </w:t>
      </w:r>
      <w:proofErr w:type="spellStart"/>
      <w:r w:rsidRPr="002906A3">
        <w:rPr>
          <w:color w:val="000000"/>
        </w:rPr>
        <w:t>In</w:t>
      </w:r>
      <w:proofErr w:type="spellEnd"/>
      <w:r w:rsidRPr="002906A3">
        <w:rPr>
          <w:color w:val="000000"/>
        </w:rPr>
        <w:t xml:space="preserve"> </w:t>
      </w:r>
      <w:proofErr w:type="spellStart"/>
      <w:r w:rsidRPr="002906A3">
        <w:rPr>
          <w:color w:val="000000"/>
        </w:rPr>
        <w:t>this</w:t>
      </w:r>
      <w:proofErr w:type="spellEnd"/>
      <w:r w:rsidRPr="002906A3">
        <w:rPr>
          <w:color w:val="000000"/>
        </w:rPr>
        <w:t xml:space="preserve"> </w:t>
      </w:r>
      <w:proofErr w:type="spellStart"/>
      <w:r w:rsidRPr="002906A3">
        <w:rPr>
          <w:color w:val="000000"/>
        </w:rPr>
        <w:t>study</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focus</w:t>
      </w:r>
      <w:proofErr w:type="spellEnd"/>
      <w:r w:rsidRPr="002906A3">
        <w:rPr>
          <w:color w:val="000000"/>
        </w:rPr>
        <w:t xml:space="preserve"> is on how </w:t>
      </w:r>
      <w:proofErr w:type="spellStart"/>
      <w:r w:rsidRPr="002906A3">
        <w:rPr>
          <w:color w:val="000000"/>
        </w:rPr>
        <w:t>Ottoman</w:t>
      </w:r>
      <w:proofErr w:type="spellEnd"/>
      <w:r w:rsidRPr="002906A3">
        <w:rPr>
          <w:color w:val="000000"/>
        </w:rPr>
        <w:t xml:space="preserve"> </w:t>
      </w:r>
      <w:proofErr w:type="spellStart"/>
      <w:r w:rsidRPr="002906A3">
        <w:rPr>
          <w:color w:val="000000"/>
        </w:rPr>
        <w:t>women</w:t>
      </w:r>
      <w:proofErr w:type="spellEnd"/>
      <w:r w:rsidRPr="002906A3">
        <w:rPr>
          <w:color w:val="000000"/>
        </w:rPr>
        <w:t xml:space="preserve"> </w:t>
      </w:r>
      <w:proofErr w:type="spellStart"/>
      <w:r w:rsidRPr="002906A3">
        <w:rPr>
          <w:color w:val="000000"/>
        </w:rPr>
        <w:t>tried</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frame</w:t>
      </w:r>
      <w:proofErr w:type="spellEnd"/>
      <w:r w:rsidRPr="002906A3">
        <w:rPr>
          <w:color w:val="000000"/>
        </w:rPr>
        <w:t xml:space="preserve"> </w:t>
      </w:r>
      <w:proofErr w:type="spellStart"/>
      <w:r w:rsidRPr="002906A3">
        <w:rPr>
          <w:color w:val="000000"/>
        </w:rPr>
        <w:t>their</w:t>
      </w:r>
      <w:proofErr w:type="spellEnd"/>
      <w:r w:rsidRPr="002906A3">
        <w:rPr>
          <w:color w:val="000000"/>
        </w:rPr>
        <w:t xml:space="preserve"> </w:t>
      </w:r>
      <w:proofErr w:type="spellStart"/>
      <w:r w:rsidRPr="002906A3">
        <w:rPr>
          <w:color w:val="000000"/>
        </w:rPr>
        <w:t>struggles</w:t>
      </w:r>
      <w:proofErr w:type="spellEnd"/>
      <w:r w:rsidRPr="002906A3">
        <w:rPr>
          <w:color w:val="000000"/>
        </w:rPr>
        <w:t xml:space="preserve"> </w:t>
      </w:r>
      <w:proofErr w:type="spellStart"/>
      <w:r w:rsidRPr="002906A3">
        <w:rPr>
          <w:color w:val="000000"/>
        </w:rPr>
        <w:t>for</w:t>
      </w:r>
      <w:proofErr w:type="spellEnd"/>
      <w:r w:rsidRPr="002906A3">
        <w:rPr>
          <w:color w:val="000000"/>
        </w:rPr>
        <w:t xml:space="preserve"> </w:t>
      </w:r>
      <w:proofErr w:type="spellStart"/>
      <w:r w:rsidRPr="002906A3">
        <w:rPr>
          <w:color w:val="000000"/>
        </w:rPr>
        <w:t>rights</w:t>
      </w:r>
      <w:proofErr w:type="spellEnd"/>
      <w:r w:rsidRPr="002906A3">
        <w:rPr>
          <w:color w:val="000000"/>
        </w:rPr>
        <w:t xml:space="preserve"> </w:t>
      </w:r>
      <w:proofErr w:type="spellStart"/>
      <w:r w:rsidRPr="002906A3">
        <w:rPr>
          <w:color w:val="000000"/>
        </w:rPr>
        <w:t>throughout</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modernization</w:t>
      </w:r>
      <w:proofErr w:type="spellEnd"/>
      <w:r w:rsidRPr="002906A3">
        <w:rPr>
          <w:color w:val="000000"/>
        </w:rPr>
        <w:t xml:space="preserve"> </w:t>
      </w:r>
      <w:proofErr w:type="spellStart"/>
      <w:r w:rsidRPr="002906A3">
        <w:rPr>
          <w:color w:val="000000"/>
        </w:rPr>
        <w:t>process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w:t>
      </w:r>
      <w:proofErr w:type="spellStart"/>
      <w:r w:rsidRPr="002906A3">
        <w:rPr>
          <w:color w:val="000000"/>
        </w:rPr>
        <w:t>instruments</w:t>
      </w:r>
      <w:proofErr w:type="spellEnd"/>
      <w:r w:rsidRPr="002906A3">
        <w:rPr>
          <w:color w:val="000000"/>
        </w:rPr>
        <w:t xml:space="preserve"> they </w:t>
      </w:r>
      <w:proofErr w:type="spellStart"/>
      <w:r w:rsidRPr="002906A3">
        <w:rPr>
          <w:color w:val="000000"/>
        </w:rPr>
        <w:t>utilized</w:t>
      </w:r>
      <w:proofErr w:type="spellEnd"/>
      <w:r w:rsidRPr="002906A3">
        <w:rPr>
          <w:color w:val="000000"/>
        </w:rPr>
        <w:t xml:space="preserve"> in </w:t>
      </w:r>
      <w:proofErr w:type="spellStart"/>
      <w:r w:rsidRPr="002906A3">
        <w:rPr>
          <w:color w:val="000000"/>
        </w:rPr>
        <w:t>expressing</w:t>
      </w:r>
      <w:proofErr w:type="spellEnd"/>
      <w:r w:rsidRPr="002906A3">
        <w:rPr>
          <w:color w:val="000000"/>
        </w:rPr>
        <w:t xml:space="preserve"> </w:t>
      </w:r>
      <w:proofErr w:type="spellStart"/>
      <w:r w:rsidRPr="002906A3">
        <w:rPr>
          <w:color w:val="000000"/>
        </w:rPr>
        <w:t>their</w:t>
      </w:r>
      <w:proofErr w:type="spellEnd"/>
      <w:r w:rsidRPr="002906A3">
        <w:rPr>
          <w:color w:val="000000"/>
        </w:rPr>
        <w:t xml:space="preserve"> </w:t>
      </w:r>
      <w:proofErr w:type="spellStart"/>
      <w:r w:rsidRPr="002906A3">
        <w:rPr>
          <w:color w:val="000000"/>
        </w:rPr>
        <w:t>defenses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areas</w:t>
      </w:r>
      <w:proofErr w:type="spellEnd"/>
      <w:r w:rsidRPr="002906A3">
        <w:rPr>
          <w:color w:val="000000"/>
        </w:rPr>
        <w:t xml:space="preserve"> they </w:t>
      </w:r>
      <w:proofErr w:type="spellStart"/>
      <w:r w:rsidRPr="002906A3">
        <w:rPr>
          <w:color w:val="000000"/>
        </w:rPr>
        <w:t>were</w:t>
      </w:r>
      <w:proofErr w:type="spellEnd"/>
      <w:r w:rsidRPr="002906A3">
        <w:rPr>
          <w:color w:val="000000"/>
        </w:rPr>
        <w:t xml:space="preserve"> </w:t>
      </w:r>
      <w:proofErr w:type="spellStart"/>
      <w:r w:rsidRPr="002906A3">
        <w:rPr>
          <w:color w:val="000000"/>
        </w:rPr>
        <w:t>involved</w:t>
      </w:r>
      <w:proofErr w:type="spellEnd"/>
      <w:r w:rsidRPr="002906A3">
        <w:rPr>
          <w:color w:val="000000"/>
        </w:rPr>
        <w:t xml:space="preserve"> in, </w:t>
      </w:r>
      <w:proofErr w:type="spellStart"/>
      <w:r w:rsidRPr="002906A3">
        <w:rPr>
          <w:color w:val="000000"/>
        </w:rPr>
        <w:t>their</w:t>
      </w:r>
      <w:proofErr w:type="spellEnd"/>
      <w:r w:rsidRPr="002906A3">
        <w:rPr>
          <w:color w:val="000000"/>
        </w:rPr>
        <w:t xml:space="preserve"> </w:t>
      </w:r>
      <w:proofErr w:type="spellStart"/>
      <w:r w:rsidRPr="002906A3">
        <w:rPr>
          <w:color w:val="000000"/>
        </w:rPr>
        <w:t>slogans</w:t>
      </w:r>
      <w:proofErr w:type="spellEnd"/>
      <w:r w:rsidRPr="002906A3">
        <w:rPr>
          <w:color w:val="000000"/>
        </w:rPr>
        <w:t xml:space="preserve">, </w:t>
      </w:r>
      <w:proofErr w:type="spellStart"/>
      <w:r w:rsidRPr="002906A3">
        <w:rPr>
          <w:color w:val="000000"/>
        </w:rPr>
        <w:t>writings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objections</w:t>
      </w:r>
      <w:proofErr w:type="spellEnd"/>
      <w:r w:rsidRPr="002906A3">
        <w:rPr>
          <w:color w:val="000000"/>
        </w:rPr>
        <w:t xml:space="preserve"> </w:t>
      </w:r>
      <w:proofErr w:type="spellStart"/>
      <w:r w:rsidRPr="002906A3">
        <w:rPr>
          <w:color w:val="000000"/>
        </w:rPr>
        <w:t>are</w:t>
      </w:r>
      <w:proofErr w:type="spellEnd"/>
      <w:r w:rsidRPr="002906A3">
        <w:rPr>
          <w:color w:val="000000"/>
        </w:rPr>
        <w:t xml:space="preserve"> </w:t>
      </w:r>
      <w:proofErr w:type="spellStart"/>
      <w:r w:rsidRPr="002906A3">
        <w:rPr>
          <w:color w:val="000000"/>
        </w:rPr>
        <w:t>examined</w:t>
      </w:r>
      <w:proofErr w:type="spellEnd"/>
      <w:r w:rsidRPr="002906A3">
        <w:rPr>
          <w:color w:val="000000"/>
        </w:rPr>
        <w:t xml:space="preserve">, as </w:t>
      </w:r>
      <w:proofErr w:type="spellStart"/>
      <w:r w:rsidRPr="002906A3">
        <w:rPr>
          <w:color w:val="000000"/>
        </w:rPr>
        <w:t>well</w:t>
      </w:r>
      <w:proofErr w:type="spellEnd"/>
      <w:r w:rsidRPr="002906A3">
        <w:rPr>
          <w:color w:val="000000"/>
        </w:rPr>
        <w:t xml:space="preserve"> as </w:t>
      </w:r>
      <w:proofErr w:type="spellStart"/>
      <w:r w:rsidRPr="002906A3">
        <w:rPr>
          <w:color w:val="000000"/>
        </w:rPr>
        <w:t>where</w:t>
      </w:r>
      <w:proofErr w:type="spellEnd"/>
      <w:r w:rsidRPr="002906A3">
        <w:rPr>
          <w:color w:val="000000"/>
        </w:rPr>
        <w:t xml:space="preserve"> they </w:t>
      </w:r>
      <w:proofErr w:type="spellStart"/>
      <w:r w:rsidRPr="002906A3">
        <w:rPr>
          <w:color w:val="000000"/>
        </w:rPr>
        <w:t>experienced</w:t>
      </w:r>
      <w:proofErr w:type="spellEnd"/>
      <w:r w:rsidRPr="002906A3">
        <w:rPr>
          <w:color w:val="000000"/>
        </w:rPr>
        <w:t xml:space="preserve"> </w:t>
      </w:r>
      <w:proofErr w:type="spellStart"/>
      <w:r w:rsidRPr="002906A3">
        <w:rPr>
          <w:color w:val="000000"/>
        </w:rPr>
        <w:t>retreats</w:t>
      </w:r>
      <w:proofErr w:type="spellEnd"/>
      <w:r w:rsidRPr="002906A3">
        <w:rPr>
          <w:color w:val="000000"/>
        </w:rPr>
        <w:t>.</w:t>
      </w:r>
    </w:p>
    <w:p w14:paraId="02524158" w14:textId="77777777" w:rsidR="00E359E0" w:rsidRPr="002906A3" w:rsidRDefault="00E359E0" w:rsidP="001E7189">
      <w:pPr>
        <w:jc w:val="both"/>
        <w:rPr>
          <w:color w:val="000000"/>
        </w:rPr>
      </w:pPr>
    </w:p>
    <w:p w14:paraId="6AE49BEA" w14:textId="346208B0" w:rsidR="00661282" w:rsidRDefault="000C6508" w:rsidP="001E7189">
      <w:pPr>
        <w:rPr>
          <w:color w:val="000000"/>
        </w:rPr>
      </w:pPr>
      <w:proofErr w:type="spellStart"/>
      <w:r>
        <w:rPr>
          <w:b/>
          <w:bCs/>
          <w:color w:val="000000"/>
        </w:rPr>
        <w:t>Keywords</w:t>
      </w:r>
      <w:proofErr w:type="spellEnd"/>
      <w:r w:rsidR="001E7189" w:rsidRPr="002906A3">
        <w:rPr>
          <w:b/>
          <w:bCs/>
          <w:color w:val="000000"/>
        </w:rPr>
        <w:t>:</w:t>
      </w:r>
      <w:r w:rsidR="001E7189" w:rsidRPr="002906A3">
        <w:rPr>
          <w:color w:val="000000"/>
        </w:rPr>
        <w:t xml:space="preserve"> </w:t>
      </w:r>
      <w:proofErr w:type="spellStart"/>
      <w:r w:rsidR="001E7189" w:rsidRPr="002906A3">
        <w:rPr>
          <w:color w:val="000000"/>
        </w:rPr>
        <w:t>The</w:t>
      </w:r>
      <w:proofErr w:type="spellEnd"/>
      <w:r w:rsidR="001E7189" w:rsidRPr="002906A3">
        <w:rPr>
          <w:color w:val="000000"/>
        </w:rPr>
        <w:t xml:space="preserve"> Tanzimat </w:t>
      </w:r>
      <w:proofErr w:type="spellStart"/>
      <w:r w:rsidR="001E7189" w:rsidRPr="002906A3">
        <w:rPr>
          <w:color w:val="000000"/>
        </w:rPr>
        <w:t>Edict</w:t>
      </w:r>
      <w:proofErr w:type="spellEnd"/>
      <w:r w:rsidR="001E7189" w:rsidRPr="002906A3">
        <w:rPr>
          <w:color w:val="000000"/>
        </w:rPr>
        <w:t xml:space="preserve">, </w:t>
      </w:r>
      <w:proofErr w:type="spellStart"/>
      <w:r w:rsidR="001E7189" w:rsidRPr="002906A3">
        <w:rPr>
          <w:color w:val="000000"/>
        </w:rPr>
        <w:t>Ottoman</w:t>
      </w:r>
      <w:proofErr w:type="spellEnd"/>
      <w:r w:rsidR="001E7189" w:rsidRPr="002906A3">
        <w:rPr>
          <w:color w:val="000000"/>
        </w:rPr>
        <w:t xml:space="preserve"> </w:t>
      </w:r>
      <w:proofErr w:type="spellStart"/>
      <w:r w:rsidR="001E7189" w:rsidRPr="002906A3">
        <w:rPr>
          <w:color w:val="000000"/>
        </w:rPr>
        <w:t>Modernization</w:t>
      </w:r>
      <w:proofErr w:type="spellEnd"/>
      <w:r w:rsidR="001E7189" w:rsidRPr="002906A3">
        <w:rPr>
          <w:color w:val="000000"/>
        </w:rPr>
        <w:t xml:space="preserve">, </w:t>
      </w:r>
      <w:proofErr w:type="spellStart"/>
      <w:r w:rsidR="001E7189" w:rsidRPr="002906A3">
        <w:rPr>
          <w:color w:val="000000"/>
        </w:rPr>
        <w:t>Ottoman</w:t>
      </w:r>
      <w:proofErr w:type="spellEnd"/>
      <w:r w:rsidR="001E7189" w:rsidRPr="002906A3">
        <w:rPr>
          <w:color w:val="000000"/>
        </w:rPr>
        <w:t xml:space="preserve"> </w:t>
      </w:r>
      <w:proofErr w:type="spellStart"/>
      <w:r w:rsidR="001E7189" w:rsidRPr="002906A3">
        <w:rPr>
          <w:color w:val="000000"/>
        </w:rPr>
        <w:t>Woman</w:t>
      </w:r>
      <w:proofErr w:type="spellEnd"/>
      <w:r w:rsidR="001E7189" w:rsidRPr="002906A3">
        <w:rPr>
          <w:color w:val="000000"/>
        </w:rPr>
        <w:t>.</w:t>
      </w:r>
    </w:p>
    <w:p w14:paraId="34C0C741" w14:textId="697BF185" w:rsidR="00E359E0" w:rsidRPr="00661282" w:rsidRDefault="00661282" w:rsidP="00661282">
      <w:pPr>
        <w:autoSpaceDE/>
        <w:autoSpaceDN/>
        <w:rPr>
          <w:color w:val="000000"/>
        </w:rPr>
      </w:pPr>
      <w:r>
        <w:rPr>
          <w:color w:val="000000"/>
        </w:rPr>
        <w:br w:type="page"/>
      </w:r>
    </w:p>
    <w:p w14:paraId="6EF181DB" w14:textId="77777777" w:rsidR="001E7189" w:rsidRPr="002906A3" w:rsidRDefault="001E7189" w:rsidP="004C7694">
      <w:pPr>
        <w:pStyle w:val="Tark"/>
        <w:rPr>
          <w:color w:val="000000"/>
        </w:rPr>
      </w:pPr>
      <w:bookmarkStart w:id="232" w:name="_Toc192855255"/>
      <w:proofErr w:type="spellStart"/>
      <w:r w:rsidRPr="002906A3">
        <w:rPr>
          <w:shd w:val="clear" w:color="auto" w:fill="FFFFFF"/>
        </w:rPr>
        <w:lastRenderedPageBreak/>
        <w:t>Profeminizm</w:t>
      </w:r>
      <w:proofErr w:type="spellEnd"/>
      <w:r w:rsidRPr="002906A3">
        <w:rPr>
          <w:shd w:val="clear" w:color="auto" w:fill="FFFFFF"/>
        </w:rPr>
        <w:t>: Kapsamı ve Amacı</w:t>
      </w:r>
      <w:bookmarkEnd w:id="232"/>
    </w:p>
    <w:p w14:paraId="420F96B6" w14:textId="77777777" w:rsidR="001E7189" w:rsidRPr="002906A3" w:rsidRDefault="001E7189" w:rsidP="001E7189">
      <w:pPr>
        <w:rPr>
          <w:color w:val="000000"/>
        </w:rPr>
      </w:pPr>
    </w:p>
    <w:p w14:paraId="1A4BA7F8" w14:textId="77777777" w:rsidR="00A4535A" w:rsidRDefault="001E7189" w:rsidP="00B24CA3">
      <w:pPr>
        <w:jc w:val="center"/>
        <w:rPr>
          <w:color w:val="000000"/>
        </w:rPr>
      </w:pPr>
      <w:r w:rsidRPr="002906A3">
        <w:rPr>
          <w:color w:val="000000"/>
        </w:rPr>
        <w:t xml:space="preserve">Emel </w:t>
      </w:r>
      <w:proofErr w:type="spellStart"/>
      <w:r w:rsidRPr="002906A3">
        <w:rPr>
          <w:color w:val="000000"/>
        </w:rPr>
        <w:t>Çokoğullar</w:t>
      </w:r>
      <w:proofErr w:type="spellEnd"/>
      <w:r w:rsidRPr="002906A3">
        <w:rPr>
          <w:color w:val="000000"/>
        </w:rPr>
        <w:br/>
        <w:t xml:space="preserve">Doç. Dr. Kütahya Dumlupınar Üniversitesi, Siyaset Bilimi ve Uluslararası İlişkiler Bölümü, </w:t>
      </w:r>
      <w:hyperlink r:id="rId258" w:history="1">
        <w:r w:rsidRPr="002906A3">
          <w:rPr>
            <w:color w:val="0563C1"/>
            <w:u w:val="single"/>
          </w:rPr>
          <w:t>emel.cokogullar@dpu.edu.tr</w:t>
        </w:r>
      </w:hyperlink>
      <w:r w:rsidRPr="002906A3">
        <w:rPr>
          <w:color w:val="000000"/>
        </w:rPr>
        <w:t xml:space="preserve">, </w:t>
      </w:r>
    </w:p>
    <w:p w14:paraId="345CF414" w14:textId="700F265D" w:rsidR="001E7189" w:rsidRDefault="001E7189" w:rsidP="00B24CA3">
      <w:pPr>
        <w:jc w:val="center"/>
        <w:rPr>
          <w:color w:val="000000"/>
        </w:rPr>
      </w:pPr>
      <w:r w:rsidRPr="002906A3">
        <w:rPr>
          <w:color w:val="000000"/>
        </w:rPr>
        <w:t>0000-0002- 9975-1618.</w:t>
      </w:r>
    </w:p>
    <w:p w14:paraId="01E9D7CA" w14:textId="77777777" w:rsidR="00B24CA3" w:rsidRPr="002906A3" w:rsidRDefault="00B24CA3" w:rsidP="00B24CA3">
      <w:pPr>
        <w:jc w:val="center"/>
        <w:rPr>
          <w:color w:val="000000"/>
        </w:rPr>
      </w:pPr>
    </w:p>
    <w:p w14:paraId="10A46374" w14:textId="03081882" w:rsidR="001E7189" w:rsidRPr="002906A3" w:rsidRDefault="001E7189" w:rsidP="00B24CA3">
      <w:pPr>
        <w:jc w:val="center"/>
        <w:rPr>
          <w:color w:val="000000"/>
        </w:rPr>
      </w:pPr>
      <w:r w:rsidRPr="002906A3">
        <w:rPr>
          <w:b/>
          <w:bCs/>
          <w:color w:val="000000"/>
        </w:rPr>
        <w:t>Özet</w:t>
      </w:r>
    </w:p>
    <w:p w14:paraId="0D880E91" w14:textId="453CBB26" w:rsidR="001E7189" w:rsidRPr="002906A3" w:rsidRDefault="001E7189" w:rsidP="001E7189">
      <w:pPr>
        <w:jc w:val="both"/>
        <w:rPr>
          <w:color w:val="000000"/>
        </w:rPr>
      </w:pPr>
      <w:proofErr w:type="spellStart"/>
      <w:r w:rsidRPr="002906A3">
        <w:rPr>
          <w:color w:val="000000"/>
          <w:shd w:val="clear" w:color="auto" w:fill="FFFFFF"/>
        </w:rPr>
        <w:t>Profeminizm</w:t>
      </w:r>
      <w:proofErr w:type="spellEnd"/>
      <w:r w:rsidRPr="002906A3">
        <w:rPr>
          <w:color w:val="000000"/>
          <w:shd w:val="clear" w:color="auto" w:fill="FFFFFF"/>
        </w:rPr>
        <w:t xml:space="preserve"> kavramı, ilk defa 1996’da</w:t>
      </w:r>
      <w:r w:rsidRPr="002906A3">
        <w:rPr>
          <w:i/>
          <w:iCs/>
          <w:color w:val="000000"/>
          <w:shd w:val="clear" w:color="auto" w:fill="FFFFFF"/>
        </w:rPr>
        <w:t xml:space="preserve"> </w:t>
      </w:r>
      <w:proofErr w:type="spellStart"/>
      <w:r w:rsidRPr="002906A3">
        <w:rPr>
          <w:color w:val="000000"/>
          <w:shd w:val="clear" w:color="auto" w:fill="FFFFFF"/>
        </w:rPr>
        <w:t>Quebec’te</w:t>
      </w:r>
      <w:proofErr w:type="spellEnd"/>
      <w:r w:rsidRPr="002906A3">
        <w:rPr>
          <w:color w:val="000000"/>
          <w:shd w:val="clear" w:color="auto" w:fill="FFFFFF"/>
        </w:rPr>
        <w:t xml:space="preserve"> gerçekleştirilen Feminizm Konferansı’nda kullanılmıştır. Cinsiyet eşitsizliğini, ayrımcılığı, ataerkini, kadınların ikincilleştirilmesini, hegemonik erkeklik kalıplarını vb. sorunsallaştıran ve tüm bunlara karşıtlık geliştiren bireyleri anlatmak için kullanılmaktadır. Çoğunluğunu erkeklerin oluşturduğu </w:t>
      </w:r>
      <w:proofErr w:type="spellStart"/>
      <w:r w:rsidRPr="002906A3">
        <w:rPr>
          <w:color w:val="000000"/>
          <w:shd w:val="clear" w:color="auto" w:fill="FFFFFF"/>
        </w:rPr>
        <w:t>profeminizmde</w:t>
      </w:r>
      <w:proofErr w:type="spellEnd"/>
      <w:r w:rsidRPr="002906A3">
        <w:rPr>
          <w:color w:val="000000"/>
          <w:shd w:val="clear" w:color="auto" w:fill="FFFFFF"/>
        </w:rPr>
        <w:t xml:space="preserve">, kendisini feminist olarak tanımlamak istemeyen ya da doğrudan feminist mücadeleyi deneyimlemek istemeyen kadınların varlığı öne çıkmaktadır. Yeni ve farklı bir açılım getirme amacının öne çıktığı </w:t>
      </w:r>
      <w:proofErr w:type="spellStart"/>
      <w:r w:rsidRPr="002906A3">
        <w:rPr>
          <w:color w:val="000000"/>
          <w:shd w:val="clear" w:color="auto" w:fill="FFFFFF"/>
        </w:rPr>
        <w:t>profeminizmde</w:t>
      </w:r>
      <w:proofErr w:type="spellEnd"/>
      <w:r w:rsidRPr="002906A3">
        <w:rPr>
          <w:color w:val="000000"/>
          <w:shd w:val="clear" w:color="auto" w:fill="FFFFFF"/>
        </w:rPr>
        <w:t xml:space="preserve"> erkekler de kendilerini baskılayan kalıplara, yapılara ve davranışlara yönelik itirazlarını dile getirmektedirler. Erkeklerin bu mücadelede yer almasının anlamsız ya da yersiz olacağı bakışının yerini, cinsiyet eşitliğine ve adaletine odaklanan bir siyasal görüş almaktadır. Hegemonik erkeklik kalıplarıyla, rolleriyle ve davranışlarıyla uyumlu olmayan erkeklerin, bu farklılıklarını ortaya koydukları ve dolayısıyla yeni sorgulamalar yaptıkları görülmektedir. Kabul etmedikleri ve itiraz geliştirerek özgürlük vurgusu yaptıkları birçok konu, feminizmin mücadele alanı ile doğrudan benzerlik göstermektedir. Öncelikle en temel ortaklaşmanın sağlandığı konu, ataerkinin yalnızca kadınlar üzerinde değil, erkeklerin yaşamında da baskılayıcı ve kısıtlayıcı olduğuna dairdir. Toplumsal cinsiyet temelli eşitsizliklerin, erkeğin lehine açılımlar ve olanaklar sağladığı genel yargısı mevcutsa da aslında ortaya çıkan sonucun hiç de böyle olmadığı </w:t>
      </w:r>
      <w:proofErr w:type="spellStart"/>
      <w:r w:rsidRPr="002906A3">
        <w:rPr>
          <w:color w:val="000000"/>
          <w:shd w:val="clear" w:color="auto" w:fill="FFFFFF"/>
        </w:rPr>
        <w:t>profeminizmin</w:t>
      </w:r>
      <w:proofErr w:type="spellEnd"/>
      <w:r w:rsidRPr="002906A3">
        <w:rPr>
          <w:color w:val="000000"/>
          <w:shd w:val="clear" w:color="auto" w:fill="FFFFFF"/>
        </w:rPr>
        <w:t xml:space="preserve"> temel savları arasında yer almaktadır. Bu çalışmada da öncelikle 1980’lerde bahsedilmeye başlanan erkek özgürlük hareketinin tarihsel süreç içerisindeki temel söylemleri, erkeklik tartışmalarının farklı arayışlar noktasındaki genel eğilimi ve günümüzde çok daha geniş bir perspektifte değerlendirilen </w:t>
      </w:r>
      <w:proofErr w:type="spellStart"/>
      <w:r w:rsidRPr="002906A3">
        <w:rPr>
          <w:color w:val="000000"/>
          <w:shd w:val="clear" w:color="auto" w:fill="FFFFFF"/>
        </w:rPr>
        <w:t>profeminizmin</w:t>
      </w:r>
      <w:proofErr w:type="spellEnd"/>
      <w:r w:rsidRPr="002906A3">
        <w:rPr>
          <w:color w:val="000000"/>
          <w:shd w:val="clear" w:color="auto" w:fill="FFFFFF"/>
        </w:rPr>
        <w:t xml:space="preserve"> hangi önceliklerle ve tespitlerle argümanlarını tanımladığı ele alınmaya çalışılmaktadır.</w:t>
      </w:r>
    </w:p>
    <w:p w14:paraId="37A397B5" w14:textId="77777777" w:rsidR="001E7189" w:rsidRPr="002906A3" w:rsidRDefault="001E7189" w:rsidP="001E7189">
      <w:pPr>
        <w:rPr>
          <w:color w:val="000000"/>
        </w:rPr>
      </w:pPr>
    </w:p>
    <w:p w14:paraId="19FFDC17" w14:textId="3E9B0876" w:rsidR="00661282" w:rsidRDefault="001E7189" w:rsidP="001E7189">
      <w:pPr>
        <w:jc w:val="both"/>
        <w:rPr>
          <w:color w:val="000000"/>
        </w:rPr>
      </w:pPr>
      <w:r w:rsidRPr="002906A3">
        <w:rPr>
          <w:b/>
          <w:bCs/>
          <w:color w:val="000000"/>
        </w:rPr>
        <w:t xml:space="preserve">Anahtar </w:t>
      </w:r>
      <w:r w:rsidR="00B24CA3">
        <w:rPr>
          <w:b/>
          <w:bCs/>
          <w:color w:val="000000"/>
        </w:rPr>
        <w:t>Kelimeler</w:t>
      </w:r>
      <w:r w:rsidRPr="002906A3">
        <w:rPr>
          <w:b/>
          <w:bCs/>
          <w:color w:val="000000"/>
        </w:rPr>
        <w:t>:</w:t>
      </w:r>
      <w:r w:rsidRPr="002906A3">
        <w:rPr>
          <w:color w:val="000000"/>
        </w:rPr>
        <w:t xml:space="preserve"> Erkeklik, Feminizm, </w:t>
      </w:r>
      <w:proofErr w:type="spellStart"/>
      <w:r w:rsidRPr="002906A3">
        <w:rPr>
          <w:color w:val="000000"/>
        </w:rPr>
        <w:t>Profeminizm</w:t>
      </w:r>
      <w:proofErr w:type="spellEnd"/>
      <w:r w:rsidRPr="002906A3">
        <w:rPr>
          <w:color w:val="000000"/>
        </w:rPr>
        <w:t>,</w:t>
      </w:r>
    </w:p>
    <w:p w14:paraId="295A1E4B" w14:textId="5DE95CCB" w:rsidR="00B24CA3" w:rsidRPr="002906A3" w:rsidRDefault="00661282" w:rsidP="00661282">
      <w:pPr>
        <w:autoSpaceDE/>
        <w:autoSpaceDN/>
        <w:rPr>
          <w:color w:val="000000"/>
        </w:rPr>
      </w:pPr>
      <w:r>
        <w:rPr>
          <w:color w:val="000000"/>
        </w:rPr>
        <w:br w:type="page"/>
      </w:r>
    </w:p>
    <w:p w14:paraId="48900D49" w14:textId="77777777" w:rsidR="001E7189" w:rsidRPr="002906A3" w:rsidRDefault="001E7189" w:rsidP="004C7694">
      <w:pPr>
        <w:pStyle w:val="Tark"/>
      </w:pPr>
      <w:bookmarkStart w:id="233" w:name="_Toc192855256"/>
      <w:proofErr w:type="spellStart"/>
      <w:r w:rsidRPr="002906A3">
        <w:lastRenderedPageBreak/>
        <w:t>Profeminism</w:t>
      </w:r>
      <w:proofErr w:type="spellEnd"/>
      <w:r w:rsidRPr="002906A3">
        <w:t xml:space="preserve">: </w:t>
      </w:r>
      <w:proofErr w:type="spellStart"/>
      <w:r w:rsidRPr="002906A3">
        <w:t>Its</w:t>
      </w:r>
      <w:proofErr w:type="spellEnd"/>
      <w:r w:rsidRPr="002906A3">
        <w:t xml:space="preserve"> </w:t>
      </w:r>
      <w:proofErr w:type="spellStart"/>
      <w:r w:rsidRPr="002906A3">
        <w:t>Scope</w:t>
      </w:r>
      <w:proofErr w:type="spellEnd"/>
      <w:r w:rsidRPr="002906A3">
        <w:t xml:space="preserve"> </w:t>
      </w:r>
      <w:proofErr w:type="spellStart"/>
      <w:r w:rsidRPr="002906A3">
        <w:t>and</w:t>
      </w:r>
      <w:proofErr w:type="spellEnd"/>
      <w:r w:rsidRPr="002906A3">
        <w:t xml:space="preserve"> </w:t>
      </w:r>
      <w:proofErr w:type="spellStart"/>
      <w:r w:rsidRPr="002906A3">
        <w:t>Purpose</w:t>
      </w:r>
      <w:bookmarkEnd w:id="233"/>
      <w:proofErr w:type="spellEnd"/>
    </w:p>
    <w:p w14:paraId="595A76D8" w14:textId="77777777" w:rsidR="001E7189" w:rsidRPr="002906A3" w:rsidRDefault="001E7189" w:rsidP="001E7189">
      <w:pPr>
        <w:rPr>
          <w:color w:val="000000"/>
        </w:rPr>
      </w:pPr>
    </w:p>
    <w:p w14:paraId="7E8E27B0" w14:textId="45D0BFF1" w:rsidR="001E7189" w:rsidRPr="002906A3" w:rsidRDefault="001E7189" w:rsidP="001E7189">
      <w:pPr>
        <w:jc w:val="center"/>
        <w:rPr>
          <w:color w:val="000000"/>
        </w:rPr>
      </w:pPr>
      <w:r w:rsidRPr="002906A3">
        <w:rPr>
          <w:color w:val="000000"/>
        </w:rPr>
        <w:t xml:space="preserve">Emel </w:t>
      </w:r>
      <w:proofErr w:type="spellStart"/>
      <w:r w:rsidRPr="002906A3">
        <w:rPr>
          <w:color w:val="000000"/>
        </w:rPr>
        <w:t>Çokoğullar</w:t>
      </w:r>
      <w:proofErr w:type="spellEnd"/>
      <w:r w:rsidRPr="002906A3">
        <w:rPr>
          <w:color w:val="000000"/>
        </w:rPr>
        <w:br/>
      </w:r>
      <w:proofErr w:type="spellStart"/>
      <w:r w:rsidRPr="002906A3">
        <w:rPr>
          <w:color w:val="000000"/>
        </w:rPr>
        <w:t>Assoc</w:t>
      </w:r>
      <w:proofErr w:type="spellEnd"/>
      <w:r w:rsidRPr="002906A3">
        <w:rPr>
          <w:color w:val="000000"/>
        </w:rPr>
        <w:t xml:space="preserve">. Prof. Kütahya Dumlupınar </w:t>
      </w:r>
      <w:proofErr w:type="spellStart"/>
      <w:r w:rsidRPr="002906A3">
        <w:rPr>
          <w:color w:val="000000"/>
        </w:rPr>
        <w:t>University</w:t>
      </w:r>
      <w:proofErr w:type="spellEnd"/>
      <w:r w:rsidRPr="002906A3">
        <w:rPr>
          <w:color w:val="000000"/>
        </w:rPr>
        <w:t xml:space="preserve">, </w:t>
      </w:r>
      <w:proofErr w:type="spellStart"/>
      <w:r w:rsidRPr="002906A3">
        <w:rPr>
          <w:color w:val="000000"/>
        </w:rPr>
        <w:t>Department</w:t>
      </w:r>
      <w:proofErr w:type="spellEnd"/>
      <w:r w:rsidRPr="002906A3">
        <w:rPr>
          <w:color w:val="000000"/>
        </w:rPr>
        <w:t xml:space="preserve"> of </w:t>
      </w:r>
      <w:proofErr w:type="spellStart"/>
      <w:r w:rsidRPr="002906A3">
        <w:rPr>
          <w:color w:val="000000"/>
        </w:rPr>
        <w:t>Political</w:t>
      </w:r>
      <w:proofErr w:type="spellEnd"/>
      <w:r w:rsidRPr="002906A3">
        <w:rPr>
          <w:color w:val="000000"/>
        </w:rPr>
        <w:t xml:space="preserve"> </w:t>
      </w:r>
      <w:proofErr w:type="spellStart"/>
      <w:r w:rsidRPr="002906A3">
        <w:rPr>
          <w:color w:val="000000"/>
        </w:rPr>
        <w:t>Science</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International </w:t>
      </w:r>
      <w:proofErr w:type="spellStart"/>
      <w:r w:rsidRPr="002906A3">
        <w:rPr>
          <w:color w:val="000000"/>
        </w:rPr>
        <w:t>Relations</w:t>
      </w:r>
      <w:proofErr w:type="spellEnd"/>
      <w:r w:rsidRPr="002906A3">
        <w:rPr>
          <w:color w:val="000000"/>
        </w:rPr>
        <w:t xml:space="preserve">, </w:t>
      </w:r>
      <w:hyperlink r:id="rId259" w:history="1">
        <w:r w:rsidRPr="002906A3">
          <w:rPr>
            <w:color w:val="0563C1"/>
            <w:u w:val="single"/>
          </w:rPr>
          <w:t>emel.cokogullar@dpu.edu.tr</w:t>
        </w:r>
      </w:hyperlink>
      <w:r w:rsidRPr="002906A3">
        <w:rPr>
          <w:color w:val="000000"/>
        </w:rPr>
        <w:t xml:space="preserve">, ORCID: 0000-0002- 9975-1618. </w:t>
      </w:r>
      <w:r w:rsidRPr="002906A3">
        <w:rPr>
          <w:color w:val="000000"/>
        </w:rPr>
        <w:br/>
      </w:r>
    </w:p>
    <w:p w14:paraId="2E95885E" w14:textId="77777777" w:rsidR="001E7189" w:rsidRPr="002906A3" w:rsidRDefault="001E7189" w:rsidP="001E7189">
      <w:pPr>
        <w:rPr>
          <w:color w:val="000000"/>
        </w:rPr>
      </w:pPr>
    </w:p>
    <w:p w14:paraId="64A7122F" w14:textId="7BB61A97" w:rsidR="001E7189" w:rsidRPr="002906A3" w:rsidRDefault="001E7189" w:rsidP="00B24CA3">
      <w:pPr>
        <w:jc w:val="center"/>
        <w:rPr>
          <w:color w:val="000000"/>
        </w:rPr>
      </w:pPr>
      <w:proofErr w:type="spellStart"/>
      <w:r w:rsidRPr="002906A3">
        <w:rPr>
          <w:b/>
          <w:bCs/>
          <w:color w:val="000000"/>
        </w:rPr>
        <w:t>Abstract</w:t>
      </w:r>
      <w:proofErr w:type="spellEnd"/>
    </w:p>
    <w:p w14:paraId="78717BCC" w14:textId="77777777" w:rsidR="001E7189" w:rsidRDefault="001E7189" w:rsidP="001E7189">
      <w:pPr>
        <w:jc w:val="both"/>
        <w:rPr>
          <w:color w:val="000000"/>
        </w:rPr>
      </w:pPr>
      <w:proofErr w:type="spellStart"/>
      <w:r w:rsidRPr="002906A3">
        <w:rPr>
          <w:color w:val="000000"/>
        </w:rPr>
        <w:t>The</w:t>
      </w:r>
      <w:proofErr w:type="spellEnd"/>
      <w:r w:rsidRPr="002906A3">
        <w:rPr>
          <w:color w:val="000000"/>
        </w:rPr>
        <w:t xml:space="preserve"> </w:t>
      </w:r>
      <w:proofErr w:type="spellStart"/>
      <w:r w:rsidRPr="002906A3">
        <w:rPr>
          <w:color w:val="000000"/>
        </w:rPr>
        <w:t>concept</w:t>
      </w:r>
      <w:proofErr w:type="spellEnd"/>
      <w:r w:rsidRPr="002906A3">
        <w:rPr>
          <w:color w:val="000000"/>
        </w:rPr>
        <w:t xml:space="preserve"> of </w:t>
      </w:r>
      <w:proofErr w:type="spellStart"/>
      <w:r w:rsidRPr="002906A3">
        <w:rPr>
          <w:color w:val="000000"/>
        </w:rPr>
        <w:t>profeminism</w:t>
      </w:r>
      <w:proofErr w:type="spellEnd"/>
      <w:r w:rsidRPr="002906A3">
        <w:rPr>
          <w:color w:val="000000"/>
        </w:rPr>
        <w:t xml:space="preserve"> </w:t>
      </w:r>
      <w:proofErr w:type="spellStart"/>
      <w:r w:rsidRPr="002906A3">
        <w:rPr>
          <w:color w:val="000000"/>
        </w:rPr>
        <w:t>was</w:t>
      </w:r>
      <w:proofErr w:type="spellEnd"/>
      <w:r w:rsidRPr="002906A3">
        <w:rPr>
          <w:color w:val="000000"/>
        </w:rPr>
        <w:t xml:space="preserve"> </w:t>
      </w:r>
      <w:proofErr w:type="spellStart"/>
      <w:r w:rsidRPr="002906A3">
        <w:rPr>
          <w:color w:val="000000"/>
        </w:rPr>
        <w:t>first</w:t>
      </w:r>
      <w:proofErr w:type="spellEnd"/>
      <w:r w:rsidRPr="002906A3">
        <w:rPr>
          <w:color w:val="000000"/>
        </w:rPr>
        <w:t xml:space="preserve"> </w:t>
      </w:r>
      <w:proofErr w:type="spellStart"/>
      <w:r w:rsidRPr="002906A3">
        <w:rPr>
          <w:color w:val="000000"/>
        </w:rPr>
        <w:t>used</w:t>
      </w:r>
      <w:proofErr w:type="spellEnd"/>
      <w:r w:rsidRPr="002906A3">
        <w:rPr>
          <w:color w:val="000000"/>
        </w:rPr>
        <w:t xml:space="preserve"> at </w:t>
      </w:r>
      <w:proofErr w:type="spellStart"/>
      <w:r w:rsidRPr="002906A3">
        <w:rPr>
          <w:color w:val="000000"/>
        </w:rPr>
        <w:t>the</w:t>
      </w:r>
      <w:proofErr w:type="spellEnd"/>
      <w:r w:rsidRPr="002906A3">
        <w:rPr>
          <w:color w:val="000000"/>
        </w:rPr>
        <w:t xml:space="preserve"> </w:t>
      </w:r>
      <w:proofErr w:type="spellStart"/>
      <w:r w:rsidRPr="002906A3">
        <w:rPr>
          <w:color w:val="000000"/>
        </w:rPr>
        <w:t>Feminism</w:t>
      </w:r>
      <w:proofErr w:type="spellEnd"/>
      <w:r w:rsidRPr="002906A3">
        <w:rPr>
          <w:color w:val="000000"/>
        </w:rPr>
        <w:t xml:space="preserve"> Conference </w:t>
      </w:r>
      <w:proofErr w:type="spellStart"/>
      <w:r w:rsidRPr="002906A3">
        <w:rPr>
          <w:color w:val="000000"/>
        </w:rPr>
        <w:t>held</w:t>
      </w:r>
      <w:proofErr w:type="spellEnd"/>
      <w:r w:rsidRPr="002906A3">
        <w:rPr>
          <w:color w:val="000000"/>
        </w:rPr>
        <w:t xml:space="preserve"> in </w:t>
      </w:r>
      <w:proofErr w:type="spellStart"/>
      <w:r w:rsidRPr="002906A3">
        <w:rPr>
          <w:color w:val="000000"/>
        </w:rPr>
        <w:t>Quebec</w:t>
      </w:r>
      <w:proofErr w:type="spellEnd"/>
      <w:r w:rsidRPr="002906A3">
        <w:rPr>
          <w:color w:val="000000"/>
        </w:rPr>
        <w:t xml:space="preserve"> in 1996. </w:t>
      </w:r>
      <w:proofErr w:type="spellStart"/>
      <w:r w:rsidRPr="002906A3">
        <w:rPr>
          <w:color w:val="000000"/>
        </w:rPr>
        <w:t>It</w:t>
      </w:r>
      <w:proofErr w:type="spellEnd"/>
      <w:r w:rsidRPr="002906A3">
        <w:rPr>
          <w:color w:val="000000"/>
        </w:rPr>
        <w:t xml:space="preserve"> is </w:t>
      </w:r>
      <w:proofErr w:type="spellStart"/>
      <w:r w:rsidRPr="002906A3">
        <w:rPr>
          <w:color w:val="000000"/>
        </w:rPr>
        <w:t>used</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describe</w:t>
      </w:r>
      <w:proofErr w:type="spellEnd"/>
      <w:r w:rsidRPr="002906A3">
        <w:rPr>
          <w:color w:val="000000"/>
        </w:rPr>
        <w:t xml:space="preserve"> </w:t>
      </w:r>
      <w:proofErr w:type="spellStart"/>
      <w:r w:rsidRPr="002906A3">
        <w:rPr>
          <w:color w:val="000000"/>
        </w:rPr>
        <w:t>individuals</w:t>
      </w:r>
      <w:proofErr w:type="spellEnd"/>
      <w:r w:rsidRPr="002906A3">
        <w:rPr>
          <w:color w:val="000000"/>
        </w:rPr>
        <w:t xml:space="preserve"> </w:t>
      </w:r>
      <w:proofErr w:type="spellStart"/>
      <w:r w:rsidRPr="002906A3">
        <w:rPr>
          <w:color w:val="000000"/>
        </w:rPr>
        <w:t>who</w:t>
      </w:r>
      <w:proofErr w:type="spellEnd"/>
      <w:r w:rsidRPr="002906A3">
        <w:rPr>
          <w:color w:val="000000"/>
        </w:rPr>
        <w:t xml:space="preserve"> </w:t>
      </w:r>
      <w:proofErr w:type="spellStart"/>
      <w:r w:rsidRPr="002906A3">
        <w:rPr>
          <w:color w:val="000000"/>
        </w:rPr>
        <w:t>problematize</w:t>
      </w:r>
      <w:proofErr w:type="spellEnd"/>
      <w:r w:rsidRPr="002906A3">
        <w:rPr>
          <w:color w:val="000000"/>
        </w:rPr>
        <w:t xml:space="preserve"> </w:t>
      </w:r>
      <w:proofErr w:type="spellStart"/>
      <w:r w:rsidRPr="002906A3">
        <w:rPr>
          <w:color w:val="000000"/>
        </w:rPr>
        <w:t>gender</w:t>
      </w:r>
      <w:proofErr w:type="spellEnd"/>
      <w:r w:rsidRPr="002906A3">
        <w:rPr>
          <w:color w:val="000000"/>
        </w:rPr>
        <w:t xml:space="preserve"> </w:t>
      </w:r>
      <w:proofErr w:type="spellStart"/>
      <w:r w:rsidRPr="002906A3">
        <w:rPr>
          <w:color w:val="000000"/>
        </w:rPr>
        <w:t>inequality</w:t>
      </w:r>
      <w:proofErr w:type="spellEnd"/>
      <w:r w:rsidRPr="002906A3">
        <w:rPr>
          <w:color w:val="000000"/>
        </w:rPr>
        <w:t xml:space="preserve">, </w:t>
      </w:r>
      <w:proofErr w:type="spellStart"/>
      <w:r w:rsidRPr="002906A3">
        <w:rPr>
          <w:color w:val="000000"/>
        </w:rPr>
        <w:t>discrimination</w:t>
      </w:r>
      <w:proofErr w:type="spellEnd"/>
      <w:r w:rsidRPr="002906A3">
        <w:rPr>
          <w:color w:val="000000"/>
        </w:rPr>
        <w:t xml:space="preserve">, </w:t>
      </w:r>
      <w:proofErr w:type="spellStart"/>
      <w:r w:rsidRPr="002906A3">
        <w:rPr>
          <w:color w:val="000000"/>
        </w:rPr>
        <w:t>patriarchy</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secondary</w:t>
      </w:r>
      <w:proofErr w:type="spellEnd"/>
      <w:r w:rsidRPr="002906A3">
        <w:rPr>
          <w:color w:val="000000"/>
        </w:rPr>
        <w:t xml:space="preserve"> </w:t>
      </w:r>
      <w:proofErr w:type="spellStart"/>
      <w:r w:rsidRPr="002906A3">
        <w:rPr>
          <w:color w:val="000000"/>
        </w:rPr>
        <w:t>positioning</w:t>
      </w:r>
      <w:proofErr w:type="spellEnd"/>
      <w:r w:rsidRPr="002906A3">
        <w:rPr>
          <w:color w:val="000000"/>
        </w:rPr>
        <w:t xml:space="preserve"> of </w:t>
      </w:r>
      <w:proofErr w:type="spellStart"/>
      <w:r w:rsidRPr="002906A3">
        <w:rPr>
          <w:color w:val="000000"/>
        </w:rPr>
        <w:t>women</w:t>
      </w:r>
      <w:proofErr w:type="spellEnd"/>
      <w:r w:rsidRPr="002906A3">
        <w:rPr>
          <w:color w:val="000000"/>
        </w:rPr>
        <w:t xml:space="preserve">, </w:t>
      </w:r>
      <w:proofErr w:type="spellStart"/>
      <w:r w:rsidRPr="002906A3">
        <w:rPr>
          <w:color w:val="000000"/>
        </w:rPr>
        <w:t>hegemonic</w:t>
      </w:r>
      <w:proofErr w:type="spellEnd"/>
      <w:r w:rsidRPr="002906A3">
        <w:rPr>
          <w:color w:val="000000"/>
        </w:rPr>
        <w:t xml:space="preserve"> </w:t>
      </w:r>
      <w:proofErr w:type="spellStart"/>
      <w:r w:rsidRPr="002906A3">
        <w:rPr>
          <w:color w:val="000000"/>
        </w:rPr>
        <w:t>masculinity</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similar</w:t>
      </w:r>
      <w:proofErr w:type="spellEnd"/>
      <w:r w:rsidRPr="002906A3">
        <w:rPr>
          <w:color w:val="000000"/>
        </w:rPr>
        <w:t xml:space="preserve"> </w:t>
      </w:r>
      <w:proofErr w:type="spellStart"/>
      <w:r w:rsidRPr="002906A3">
        <w:rPr>
          <w:color w:val="000000"/>
        </w:rPr>
        <w:t>issues</w:t>
      </w:r>
      <w:proofErr w:type="spellEnd"/>
      <w:r w:rsidRPr="002906A3">
        <w:rPr>
          <w:color w:val="000000"/>
        </w:rPr>
        <w:t xml:space="preserve">, </w:t>
      </w:r>
      <w:proofErr w:type="spellStart"/>
      <w:r w:rsidRPr="002906A3">
        <w:rPr>
          <w:color w:val="000000"/>
        </w:rPr>
        <w:t>while</w:t>
      </w:r>
      <w:proofErr w:type="spellEnd"/>
      <w:r w:rsidRPr="002906A3">
        <w:rPr>
          <w:color w:val="000000"/>
        </w:rPr>
        <w:t xml:space="preserve"> </w:t>
      </w:r>
      <w:proofErr w:type="spellStart"/>
      <w:r w:rsidRPr="002906A3">
        <w:rPr>
          <w:color w:val="000000"/>
        </w:rPr>
        <w:t>also</w:t>
      </w:r>
      <w:proofErr w:type="spellEnd"/>
      <w:r w:rsidRPr="002906A3">
        <w:rPr>
          <w:color w:val="000000"/>
        </w:rPr>
        <w:t xml:space="preserve"> </w:t>
      </w:r>
      <w:proofErr w:type="spellStart"/>
      <w:r w:rsidRPr="002906A3">
        <w:rPr>
          <w:color w:val="000000"/>
        </w:rPr>
        <w:t>developing</w:t>
      </w:r>
      <w:proofErr w:type="spellEnd"/>
      <w:r w:rsidRPr="002906A3">
        <w:rPr>
          <w:color w:val="000000"/>
        </w:rPr>
        <w:t xml:space="preserve"> a </w:t>
      </w:r>
      <w:proofErr w:type="spellStart"/>
      <w:r w:rsidRPr="002906A3">
        <w:rPr>
          <w:color w:val="000000"/>
        </w:rPr>
        <w:t>stance</w:t>
      </w:r>
      <w:proofErr w:type="spellEnd"/>
      <w:r w:rsidRPr="002906A3">
        <w:rPr>
          <w:color w:val="000000"/>
        </w:rPr>
        <w:t xml:space="preserve"> </w:t>
      </w:r>
      <w:proofErr w:type="spellStart"/>
      <w:r w:rsidRPr="002906A3">
        <w:rPr>
          <w:color w:val="000000"/>
        </w:rPr>
        <w:t>against</w:t>
      </w:r>
      <w:proofErr w:type="spellEnd"/>
      <w:r w:rsidRPr="002906A3">
        <w:rPr>
          <w:color w:val="000000"/>
        </w:rPr>
        <w:t xml:space="preserve"> </w:t>
      </w:r>
      <w:proofErr w:type="spellStart"/>
      <w:r w:rsidRPr="002906A3">
        <w:rPr>
          <w:color w:val="000000"/>
        </w:rPr>
        <w:t>these</w:t>
      </w:r>
      <w:proofErr w:type="spellEnd"/>
      <w:r w:rsidRPr="002906A3">
        <w:rPr>
          <w:color w:val="000000"/>
        </w:rPr>
        <w:t xml:space="preserve"> </w:t>
      </w:r>
      <w:proofErr w:type="spellStart"/>
      <w:r w:rsidRPr="002906A3">
        <w:rPr>
          <w:color w:val="000000"/>
        </w:rPr>
        <w:t>concepts</w:t>
      </w:r>
      <w:proofErr w:type="spellEnd"/>
      <w:r w:rsidRPr="002906A3">
        <w:rPr>
          <w:color w:val="000000"/>
        </w:rPr>
        <w:t xml:space="preserve">. </w:t>
      </w:r>
      <w:proofErr w:type="spellStart"/>
      <w:r w:rsidRPr="002906A3">
        <w:rPr>
          <w:color w:val="000000"/>
        </w:rPr>
        <w:t>In</w:t>
      </w:r>
      <w:proofErr w:type="spellEnd"/>
      <w:r w:rsidRPr="002906A3">
        <w:rPr>
          <w:color w:val="000000"/>
        </w:rPr>
        <w:t xml:space="preserve"> </w:t>
      </w:r>
      <w:proofErr w:type="spellStart"/>
      <w:r w:rsidRPr="002906A3">
        <w:rPr>
          <w:color w:val="000000"/>
        </w:rPr>
        <w:t>profeminism</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is </w:t>
      </w:r>
      <w:proofErr w:type="spellStart"/>
      <w:r w:rsidRPr="002906A3">
        <w:rPr>
          <w:color w:val="000000"/>
        </w:rPr>
        <w:t>predominantly</w:t>
      </w:r>
      <w:proofErr w:type="spellEnd"/>
      <w:r w:rsidRPr="002906A3">
        <w:rPr>
          <w:color w:val="000000"/>
        </w:rPr>
        <w:t xml:space="preserve"> </w:t>
      </w:r>
      <w:proofErr w:type="spellStart"/>
      <w:r w:rsidRPr="002906A3">
        <w:rPr>
          <w:color w:val="000000"/>
        </w:rPr>
        <w:t>made</w:t>
      </w:r>
      <w:proofErr w:type="spellEnd"/>
      <w:r w:rsidRPr="002906A3">
        <w:rPr>
          <w:color w:val="000000"/>
        </w:rPr>
        <w:t xml:space="preserve"> </w:t>
      </w:r>
      <w:proofErr w:type="spellStart"/>
      <w:r w:rsidRPr="002906A3">
        <w:rPr>
          <w:color w:val="000000"/>
        </w:rPr>
        <w:t>up</w:t>
      </w:r>
      <w:proofErr w:type="spellEnd"/>
      <w:r w:rsidRPr="002906A3">
        <w:rPr>
          <w:color w:val="000000"/>
        </w:rPr>
        <w:t xml:space="preserve"> of men, </w:t>
      </w:r>
      <w:proofErr w:type="spellStart"/>
      <w:r w:rsidRPr="002906A3">
        <w:rPr>
          <w:color w:val="000000"/>
        </w:rPr>
        <w:t>the</w:t>
      </w:r>
      <w:proofErr w:type="spellEnd"/>
      <w:r w:rsidRPr="002906A3">
        <w:rPr>
          <w:color w:val="000000"/>
        </w:rPr>
        <w:t xml:space="preserve"> presence of </w:t>
      </w:r>
      <w:proofErr w:type="spellStart"/>
      <w:r w:rsidRPr="002906A3">
        <w:rPr>
          <w:color w:val="000000"/>
        </w:rPr>
        <w:t>women</w:t>
      </w:r>
      <w:proofErr w:type="spellEnd"/>
      <w:r w:rsidRPr="002906A3">
        <w:rPr>
          <w:color w:val="000000"/>
        </w:rPr>
        <w:t xml:space="preserve"> </w:t>
      </w:r>
      <w:proofErr w:type="spellStart"/>
      <w:r w:rsidRPr="002906A3">
        <w:rPr>
          <w:color w:val="000000"/>
        </w:rPr>
        <w:t>who</w:t>
      </w:r>
      <w:proofErr w:type="spellEnd"/>
      <w:r w:rsidRPr="002906A3">
        <w:rPr>
          <w:color w:val="000000"/>
        </w:rPr>
        <w:t xml:space="preserve"> do not </w:t>
      </w:r>
      <w:proofErr w:type="spellStart"/>
      <w:r w:rsidRPr="002906A3">
        <w:rPr>
          <w:color w:val="000000"/>
        </w:rPr>
        <w:t>wish</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define </w:t>
      </w:r>
      <w:proofErr w:type="spellStart"/>
      <w:r w:rsidRPr="002906A3">
        <w:rPr>
          <w:color w:val="000000"/>
        </w:rPr>
        <w:t>themselves</w:t>
      </w:r>
      <w:proofErr w:type="spellEnd"/>
      <w:r w:rsidRPr="002906A3">
        <w:rPr>
          <w:color w:val="000000"/>
        </w:rPr>
        <w:t xml:space="preserve"> as </w:t>
      </w:r>
      <w:proofErr w:type="spellStart"/>
      <w:r w:rsidRPr="002906A3">
        <w:rPr>
          <w:color w:val="000000"/>
        </w:rPr>
        <w:t>feminists</w:t>
      </w:r>
      <w:proofErr w:type="spellEnd"/>
      <w:r w:rsidRPr="002906A3">
        <w:rPr>
          <w:color w:val="000000"/>
        </w:rPr>
        <w:t xml:space="preserve"> </w:t>
      </w:r>
      <w:proofErr w:type="spellStart"/>
      <w:r w:rsidRPr="002906A3">
        <w:rPr>
          <w:color w:val="000000"/>
        </w:rPr>
        <w:t>or</w:t>
      </w:r>
      <w:proofErr w:type="spellEnd"/>
      <w:r w:rsidRPr="002906A3">
        <w:rPr>
          <w:color w:val="000000"/>
        </w:rPr>
        <w:t xml:space="preserve"> </w:t>
      </w:r>
      <w:proofErr w:type="spellStart"/>
      <w:r w:rsidRPr="002906A3">
        <w:rPr>
          <w:color w:val="000000"/>
        </w:rPr>
        <w:t>who</w:t>
      </w:r>
      <w:proofErr w:type="spellEnd"/>
      <w:r w:rsidRPr="002906A3">
        <w:rPr>
          <w:color w:val="000000"/>
        </w:rPr>
        <w:t xml:space="preserve"> do not </w:t>
      </w:r>
      <w:proofErr w:type="spellStart"/>
      <w:r w:rsidRPr="002906A3">
        <w:rPr>
          <w:color w:val="000000"/>
        </w:rPr>
        <w:t>want</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directly</w:t>
      </w:r>
      <w:proofErr w:type="spellEnd"/>
      <w:r w:rsidRPr="002906A3">
        <w:rPr>
          <w:color w:val="000000"/>
        </w:rPr>
        <w:t xml:space="preserve"> </w:t>
      </w:r>
      <w:proofErr w:type="spellStart"/>
      <w:r w:rsidRPr="002906A3">
        <w:rPr>
          <w:color w:val="000000"/>
        </w:rPr>
        <w:t>experience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feminist </w:t>
      </w:r>
      <w:proofErr w:type="spellStart"/>
      <w:r w:rsidRPr="002906A3">
        <w:rPr>
          <w:color w:val="000000"/>
        </w:rPr>
        <w:t>struggle</w:t>
      </w:r>
      <w:proofErr w:type="spellEnd"/>
      <w:r w:rsidRPr="002906A3">
        <w:rPr>
          <w:color w:val="000000"/>
        </w:rPr>
        <w:t xml:space="preserve"> </w:t>
      </w:r>
      <w:proofErr w:type="spellStart"/>
      <w:r w:rsidRPr="002906A3">
        <w:rPr>
          <w:color w:val="000000"/>
        </w:rPr>
        <w:t>stands</w:t>
      </w:r>
      <w:proofErr w:type="spellEnd"/>
      <w:r w:rsidRPr="002906A3">
        <w:rPr>
          <w:color w:val="000000"/>
        </w:rPr>
        <w:t xml:space="preserve"> </w:t>
      </w:r>
      <w:proofErr w:type="spellStart"/>
      <w:r w:rsidRPr="002906A3">
        <w:rPr>
          <w:color w:val="000000"/>
        </w:rPr>
        <w:t>out</w:t>
      </w:r>
      <w:proofErr w:type="spellEnd"/>
      <w:r w:rsidRPr="002906A3">
        <w:rPr>
          <w:color w:val="000000"/>
        </w:rPr>
        <w:t xml:space="preserve">. </w:t>
      </w:r>
      <w:proofErr w:type="spellStart"/>
      <w:r w:rsidRPr="002906A3">
        <w:rPr>
          <w:color w:val="000000"/>
        </w:rPr>
        <w:t>In</w:t>
      </w:r>
      <w:proofErr w:type="spellEnd"/>
      <w:r w:rsidRPr="002906A3">
        <w:rPr>
          <w:color w:val="000000"/>
        </w:rPr>
        <w:t xml:space="preserve"> </w:t>
      </w:r>
      <w:proofErr w:type="spellStart"/>
      <w:r w:rsidRPr="002906A3">
        <w:rPr>
          <w:color w:val="000000"/>
        </w:rPr>
        <w:t>profeminism</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w:t>
      </w:r>
      <w:proofErr w:type="spellStart"/>
      <w:r w:rsidRPr="002906A3">
        <w:rPr>
          <w:color w:val="000000"/>
        </w:rPr>
        <w:t>aims</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bring</w:t>
      </w:r>
      <w:proofErr w:type="spellEnd"/>
      <w:r w:rsidRPr="002906A3">
        <w:rPr>
          <w:color w:val="000000"/>
        </w:rPr>
        <w:t xml:space="preserve"> a </w:t>
      </w:r>
      <w:proofErr w:type="spellStart"/>
      <w:r w:rsidRPr="002906A3">
        <w:rPr>
          <w:color w:val="000000"/>
        </w:rPr>
        <w:t>new</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different</w:t>
      </w:r>
      <w:proofErr w:type="spellEnd"/>
      <w:r w:rsidRPr="002906A3">
        <w:rPr>
          <w:color w:val="000000"/>
        </w:rPr>
        <w:t xml:space="preserve"> </w:t>
      </w:r>
      <w:proofErr w:type="spellStart"/>
      <w:r w:rsidRPr="002906A3">
        <w:rPr>
          <w:color w:val="000000"/>
        </w:rPr>
        <w:t>perspective</w:t>
      </w:r>
      <w:proofErr w:type="spellEnd"/>
      <w:r w:rsidRPr="002906A3">
        <w:rPr>
          <w:color w:val="000000"/>
        </w:rPr>
        <w:t xml:space="preserve">, men </w:t>
      </w:r>
      <w:proofErr w:type="spellStart"/>
      <w:r w:rsidRPr="002906A3">
        <w:rPr>
          <w:color w:val="000000"/>
        </w:rPr>
        <w:t>also</w:t>
      </w:r>
      <w:proofErr w:type="spellEnd"/>
      <w:r w:rsidRPr="002906A3">
        <w:rPr>
          <w:color w:val="000000"/>
        </w:rPr>
        <w:t xml:space="preserve"> </w:t>
      </w:r>
      <w:proofErr w:type="spellStart"/>
      <w:r w:rsidRPr="002906A3">
        <w:rPr>
          <w:color w:val="000000"/>
        </w:rPr>
        <w:t>express</w:t>
      </w:r>
      <w:proofErr w:type="spellEnd"/>
      <w:r w:rsidRPr="002906A3">
        <w:rPr>
          <w:color w:val="000000"/>
        </w:rPr>
        <w:t xml:space="preserve"> </w:t>
      </w:r>
      <w:proofErr w:type="spellStart"/>
      <w:r w:rsidRPr="002906A3">
        <w:rPr>
          <w:color w:val="000000"/>
        </w:rPr>
        <w:t>their</w:t>
      </w:r>
      <w:proofErr w:type="spellEnd"/>
      <w:r w:rsidRPr="002906A3">
        <w:rPr>
          <w:color w:val="000000"/>
        </w:rPr>
        <w:t xml:space="preserve"> </w:t>
      </w:r>
      <w:proofErr w:type="spellStart"/>
      <w:r w:rsidRPr="002906A3">
        <w:rPr>
          <w:color w:val="000000"/>
        </w:rPr>
        <w:t>objections</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patterns</w:t>
      </w:r>
      <w:proofErr w:type="spellEnd"/>
      <w:r w:rsidRPr="002906A3">
        <w:rPr>
          <w:color w:val="000000"/>
        </w:rPr>
        <w:t xml:space="preserve">, </w:t>
      </w:r>
      <w:proofErr w:type="spellStart"/>
      <w:r w:rsidRPr="002906A3">
        <w:rPr>
          <w:color w:val="000000"/>
        </w:rPr>
        <w:t>structures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behaviors</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suppress</w:t>
      </w:r>
      <w:proofErr w:type="spellEnd"/>
      <w:r w:rsidRPr="002906A3">
        <w:rPr>
          <w:color w:val="000000"/>
        </w:rPr>
        <w:t xml:space="preserve"> </w:t>
      </w:r>
      <w:proofErr w:type="spellStart"/>
      <w:r w:rsidRPr="002906A3">
        <w:rPr>
          <w:color w:val="000000"/>
        </w:rPr>
        <w:t>them</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view</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men’s</w:t>
      </w:r>
      <w:proofErr w:type="spellEnd"/>
      <w:r w:rsidRPr="002906A3">
        <w:rPr>
          <w:color w:val="000000"/>
        </w:rPr>
        <w:t xml:space="preserve"> </w:t>
      </w:r>
      <w:proofErr w:type="spellStart"/>
      <w:r w:rsidRPr="002906A3">
        <w:rPr>
          <w:color w:val="000000"/>
        </w:rPr>
        <w:t>participation</w:t>
      </w:r>
      <w:proofErr w:type="spellEnd"/>
      <w:r w:rsidRPr="002906A3">
        <w:rPr>
          <w:color w:val="000000"/>
        </w:rPr>
        <w:t xml:space="preserve"> in </w:t>
      </w:r>
      <w:proofErr w:type="spellStart"/>
      <w:r w:rsidRPr="002906A3">
        <w:rPr>
          <w:color w:val="000000"/>
        </w:rPr>
        <w:t>this</w:t>
      </w:r>
      <w:proofErr w:type="spellEnd"/>
      <w:r w:rsidRPr="002906A3">
        <w:rPr>
          <w:color w:val="000000"/>
        </w:rPr>
        <w:t xml:space="preserve"> </w:t>
      </w:r>
      <w:proofErr w:type="spellStart"/>
      <w:r w:rsidRPr="002906A3">
        <w:rPr>
          <w:color w:val="000000"/>
        </w:rPr>
        <w:t>struggle</w:t>
      </w:r>
      <w:proofErr w:type="spellEnd"/>
      <w:r w:rsidRPr="002906A3">
        <w:rPr>
          <w:color w:val="000000"/>
        </w:rPr>
        <w:t xml:space="preserve"> </w:t>
      </w:r>
      <w:proofErr w:type="spellStart"/>
      <w:r w:rsidRPr="002906A3">
        <w:rPr>
          <w:color w:val="000000"/>
        </w:rPr>
        <w:t>would</w:t>
      </w:r>
      <w:proofErr w:type="spellEnd"/>
      <w:r w:rsidRPr="002906A3">
        <w:rPr>
          <w:color w:val="000000"/>
        </w:rPr>
        <w:t xml:space="preserve"> be </w:t>
      </w:r>
      <w:proofErr w:type="spellStart"/>
      <w:r w:rsidRPr="002906A3">
        <w:rPr>
          <w:color w:val="000000"/>
        </w:rPr>
        <w:t>meaningless</w:t>
      </w:r>
      <w:proofErr w:type="spellEnd"/>
      <w:r w:rsidRPr="002906A3">
        <w:rPr>
          <w:color w:val="000000"/>
        </w:rPr>
        <w:t xml:space="preserve"> </w:t>
      </w:r>
      <w:proofErr w:type="spellStart"/>
      <w:r w:rsidRPr="002906A3">
        <w:rPr>
          <w:color w:val="000000"/>
        </w:rPr>
        <w:t>or</w:t>
      </w:r>
      <w:proofErr w:type="spellEnd"/>
      <w:r w:rsidRPr="002906A3">
        <w:rPr>
          <w:color w:val="000000"/>
        </w:rPr>
        <w:t xml:space="preserve"> </w:t>
      </w:r>
      <w:proofErr w:type="spellStart"/>
      <w:r w:rsidRPr="002906A3">
        <w:rPr>
          <w:color w:val="000000"/>
        </w:rPr>
        <w:t>inappropriate</w:t>
      </w:r>
      <w:proofErr w:type="spellEnd"/>
      <w:r w:rsidRPr="002906A3">
        <w:rPr>
          <w:color w:val="000000"/>
        </w:rPr>
        <w:t xml:space="preserve"> is </w:t>
      </w:r>
      <w:proofErr w:type="spellStart"/>
      <w:r w:rsidRPr="002906A3">
        <w:rPr>
          <w:color w:val="000000"/>
        </w:rPr>
        <w:t>replaced</w:t>
      </w:r>
      <w:proofErr w:type="spellEnd"/>
      <w:r w:rsidRPr="002906A3">
        <w:rPr>
          <w:color w:val="000000"/>
        </w:rPr>
        <w:t xml:space="preserve"> </w:t>
      </w:r>
      <w:proofErr w:type="spellStart"/>
      <w:r w:rsidRPr="002906A3">
        <w:rPr>
          <w:color w:val="000000"/>
        </w:rPr>
        <w:t>by</w:t>
      </w:r>
      <w:proofErr w:type="spellEnd"/>
      <w:r w:rsidRPr="002906A3">
        <w:rPr>
          <w:color w:val="000000"/>
        </w:rPr>
        <w:t xml:space="preserve"> a </w:t>
      </w:r>
      <w:proofErr w:type="spellStart"/>
      <w:r w:rsidRPr="002906A3">
        <w:rPr>
          <w:color w:val="000000"/>
        </w:rPr>
        <w:t>political</w:t>
      </w:r>
      <w:proofErr w:type="spellEnd"/>
      <w:r w:rsidRPr="002906A3">
        <w:rPr>
          <w:color w:val="000000"/>
        </w:rPr>
        <w:t xml:space="preserve"> </w:t>
      </w:r>
      <w:proofErr w:type="spellStart"/>
      <w:r w:rsidRPr="002906A3">
        <w:rPr>
          <w:color w:val="000000"/>
        </w:rPr>
        <w:t>perspective</w:t>
      </w:r>
      <w:proofErr w:type="spellEnd"/>
      <w:r w:rsidRPr="002906A3">
        <w:rPr>
          <w:color w:val="000000"/>
        </w:rPr>
        <w:t xml:space="preserve"> </w:t>
      </w:r>
      <w:proofErr w:type="spellStart"/>
      <w:r w:rsidRPr="002906A3">
        <w:rPr>
          <w:color w:val="000000"/>
        </w:rPr>
        <w:t>focused</w:t>
      </w:r>
      <w:proofErr w:type="spellEnd"/>
      <w:r w:rsidRPr="002906A3">
        <w:rPr>
          <w:color w:val="000000"/>
        </w:rPr>
        <w:t xml:space="preserve"> on </w:t>
      </w:r>
      <w:proofErr w:type="spellStart"/>
      <w:r w:rsidRPr="002906A3">
        <w:rPr>
          <w:color w:val="000000"/>
        </w:rPr>
        <w:t>gender</w:t>
      </w:r>
      <w:proofErr w:type="spellEnd"/>
      <w:r w:rsidRPr="002906A3">
        <w:rPr>
          <w:color w:val="000000"/>
        </w:rPr>
        <w:t xml:space="preserve"> </w:t>
      </w:r>
      <w:proofErr w:type="spellStart"/>
      <w:r w:rsidRPr="002906A3">
        <w:rPr>
          <w:color w:val="000000"/>
        </w:rPr>
        <w:t>equality</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justice</w:t>
      </w:r>
      <w:proofErr w:type="spellEnd"/>
      <w:r w:rsidRPr="002906A3">
        <w:rPr>
          <w:color w:val="000000"/>
        </w:rPr>
        <w:t xml:space="preserve">. Men </w:t>
      </w:r>
      <w:proofErr w:type="spellStart"/>
      <w:r w:rsidRPr="002906A3">
        <w:rPr>
          <w:color w:val="000000"/>
        </w:rPr>
        <w:t>who</w:t>
      </w:r>
      <w:proofErr w:type="spellEnd"/>
      <w:r w:rsidRPr="002906A3">
        <w:rPr>
          <w:color w:val="000000"/>
        </w:rPr>
        <w:t xml:space="preserve"> do not </w:t>
      </w:r>
      <w:proofErr w:type="spellStart"/>
      <w:r w:rsidRPr="002906A3">
        <w:rPr>
          <w:color w:val="000000"/>
        </w:rPr>
        <w:t>conform</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w:t>
      </w:r>
      <w:proofErr w:type="spellStart"/>
      <w:r w:rsidRPr="002906A3">
        <w:rPr>
          <w:color w:val="000000"/>
        </w:rPr>
        <w:t>hegemonic</w:t>
      </w:r>
      <w:proofErr w:type="spellEnd"/>
      <w:r w:rsidRPr="002906A3">
        <w:rPr>
          <w:color w:val="000000"/>
        </w:rPr>
        <w:t xml:space="preserve"> </w:t>
      </w:r>
      <w:proofErr w:type="spellStart"/>
      <w:r w:rsidRPr="002906A3">
        <w:rPr>
          <w:color w:val="000000"/>
        </w:rPr>
        <w:t>masculinity</w:t>
      </w:r>
      <w:proofErr w:type="spellEnd"/>
      <w:r w:rsidRPr="002906A3">
        <w:rPr>
          <w:color w:val="000000"/>
        </w:rPr>
        <w:t xml:space="preserve"> </w:t>
      </w:r>
      <w:proofErr w:type="spellStart"/>
      <w:r w:rsidRPr="002906A3">
        <w:rPr>
          <w:color w:val="000000"/>
        </w:rPr>
        <w:t>patterns</w:t>
      </w:r>
      <w:proofErr w:type="spellEnd"/>
      <w:r w:rsidRPr="002906A3">
        <w:rPr>
          <w:color w:val="000000"/>
        </w:rPr>
        <w:t xml:space="preserve">, </w:t>
      </w:r>
      <w:proofErr w:type="spellStart"/>
      <w:r w:rsidRPr="002906A3">
        <w:rPr>
          <w:color w:val="000000"/>
        </w:rPr>
        <w:t>roles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behaviors</w:t>
      </w:r>
      <w:proofErr w:type="spellEnd"/>
      <w:r w:rsidRPr="002906A3">
        <w:rPr>
          <w:color w:val="000000"/>
        </w:rPr>
        <w:t xml:space="preserve"> </w:t>
      </w:r>
      <w:proofErr w:type="spellStart"/>
      <w:r w:rsidRPr="002906A3">
        <w:rPr>
          <w:color w:val="000000"/>
        </w:rPr>
        <w:t>reveal</w:t>
      </w:r>
      <w:proofErr w:type="spellEnd"/>
      <w:r w:rsidRPr="002906A3">
        <w:rPr>
          <w:color w:val="000000"/>
        </w:rPr>
        <w:t xml:space="preserve"> </w:t>
      </w:r>
      <w:proofErr w:type="spellStart"/>
      <w:r w:rsidRPr="002906A3">
        <w:rPr>
          <w:color w:val="000000"/>
        </w:rPr>
        <w:t>these</w:t>
      </w:r>
      <w:proofErr w:type="spellEnd"/>
      <w:r w:rsidRPr="002906A3">
        <w:rPr>
          <w:color w:val="000000"/>
        </w:rPr>
        <w:t xml:space="preserve"> </w:t>
      </w:r>
      <w:proofErr w:type="spellStart"/>
      <w:r w:rsidRPr="002906A3">
        <w:rPr>
          <w:color w:val="000000"/>
        </w:rPr>
        <w:t>differences</w:t>
      </w:r>
      <w:proofErr w:type="spellEnd"/>
      <w:r w:rsidRPr="002906A3">
        <w:rPr>
          <w:color w:val="000000"/>
        </w:rPr>
        <w:t xml:space="preserve">, </w:t>
      </w:r>
      <w:proofErr w:type="spellStart"/>
      <w:r w:rsidRPr="002906A3">
        <w:rPr>
          <w:color w:val="000000"/>
        </w:rPr>
        <w:t>thus</w:t>
      </w:r>
      <w:proofErr w:type="spellEnd"/>
      <w:r w:rsidRPr="002906A3">
        <w:rPr>
          <w:color w:val="000000"/>
        </w:rPr>
        <w:t xml:space="preserve"> </w:t>
      </w:r>
      <w:proofErr w:type="spellStart"/>
      <w:r w:rsidRPr="002906A3">
        <w:rPr>
          <w:color w:val="000000"/>
        </w:rPr>
        <w:t>prompting</w:t>
      </w:r>
      <w:proofErr w:type="spellEnd"/>
      <w:r w:rsidRPr="002906A3">
        <w:rPr>
          <w:color w:val="000000"/>
        </w:rPr>
        <w:t xml:space="preserve"> </w:t>
      </w:r>
      <w:proofErr w:type="spellStart"/>
      <w:r w:rsidRPr="002906A3">
        <w:rPr>
          <w:color w:val="000000"/>
        </w:rPr>
        <w:t>new</w:t>
      </w:r>
      <w:proofErr w:type="spellEnd"/>
      <w:r w:rsidRPr="002906A3">
        <w:rPr>
          <w:color w:val="000000"/>
        </w:rPr>
        <w:t xml:space="preserve"> </w:t>
      </w:r>
      <w:proofErr w:type="spellStart"/>
      <w:r w:rsidRPr="002906A3">
        <w:rPr>
          <w:color w:val="000000"/>
        </w:rPr>
        <w:t>questions</w:t>
      </w:r>
      <w:proofErr w:type="spellEnd"/>
      <w:r w:rsidRPr="002906A3">
        <w:rPr>
          <w:color w:val="000000"/>
        </w:rPr>
        <w:t xml:space="preserve">. </w:t>
      </w:r>
      <w:proofErr w:type="spellStart"/>
      <w:r w:rsidRPr="002906A3">
        <w:rPr>
          <w:color w:val="000000"/>
        </w:rPr>
        <w:t>Many</w:t>
      </w:r>
      <w:proofErr w:type="spellEnd"/>
      <w:r w:rsidRPr="002906A3">
        <w:rPr>
          <w:color w:val="000000"/>
        </w:rPr>
        <w:t xml:space="preserve"> </w:t>
      </w:r>
      <w:proofErr w:type="spellStart"/>
      <w:r w:rsidRPr="002906A3">
        <w:rPr>
          <w:color w:val="000000"/>
        </w:rPr>
        <w:t>issues</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they </w:t>
      </w:r>
      <w:proofErr w:type="spellStart"/>
      <w:r w:rsidRPr="002906A3">
        <w:rPr>
          <w:color w:val="000000"/>
        </w:rPr>
        <w:t>reject</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emphasize</w:t>
      </w:r>
      <w:proofErr w:type="spellEnd"/>
      <w:r w:rsidRPr="002906A3">
        <w:rPr>
          <w:color w:val="000000"/>
        </w:rPr>
        <w:t xml:space="preserve"> </w:t>
      </w:r>
      <w:proofErr w:type="spellStart"/>
      <w:r w:rsidRPr="002906A3">
        <w:rPr>
          <w:color w:val="000000"/>
        </w:rPr>
        <w:t>freedom</w:t>
      </w:r>
      <w:proofErr w:type="spellEnd"/>
      <w:r w:rsidRPr="002906A3">
        <w:rPr>
          <w:color w:val="000000"/>
        </w:rPr>
        <w:t xml:space="preserve"> </w:t>
      </w:r>
      <w:proofErr w:type="spellStart"/>
      <w:r w:rsidRPr="002906A3">
        <w:rPr>
          <w:color w:val="000000"/>
        </w:rPr>
        <w:t>through</w:t>
      </w:r>
      <w:proofErr w:type="spellEnd"/>
      <w:r w:rsidRPr="002906A3">
        <w:rPr>
          <w:color w:val="000000"/>
        </w:rPr>
        <w:t xml:space="preserve"> </w:t>
      </w:r>
      <w:proofErr w:type="spellStart"/>
      <w:r w:rsidRPr="002906A3">
        <w:rPr>
          <w:color w:val="000000"/>
        </w:rPr>
        <w:t>objections</w:t>
      </w:r>
      <w:proofErr w:type="spellEnd"/>
      <w:r w:rsidRPr="002906A3">
        <w:rPr>
          <w:color w:val="000000"/>
        </w:rPr>
        <w:t xml:space="preserve"> </w:t>
      </w:r>
      <w:proofErr w:type="spellStart"/>
      <w:r w:rsidRPr="002906A3">
        <w:rPr>
          <w:color w:val="000000"/>
        </w:rPr>
        <w:t>directly</w:t>
      </w:r>
      <w:proofErr w:type="spellEnd"/>
      <w:r w:rsidRPr="002906A3">
        <w:rPr>
          <w:color w:val="000000"/>
        </w:rPr>
        <w:t xml:space="preserve"> </w:t>
      </w:r>
      <w:proofErr w:type="spellStart"/>
      <w:r w:rsidRPr="002906A3">
        <w:rPr>
          <w:color w:val="000000"/>
        </w:rPr>
        <w:t>resemble</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areas</w:t>
      </w:r>
      <w:proofErr w:type="spellEnd"/>
      <w:r w:rsidRPr="002906A3">
        <w:rPr>
          <w:color w:val="000000"/>
        </w:rPr>
        <w:t xml:space="preserve"> of </w:t>
      </w:r>
      <w:proofErr w:type="spellStart"/>
      <w:r w:rsidRPr="002906A3">
        <w:rPr>
          <w:color w:val="000000"/>
        </w:rPr>
        <w:t>struggle</w:t>
      </w:r>
      <w:proofErr w:type="spellEnd"/>
      <w:r w:rsidRPr="002906A3">
        <w:rPr>
          <w:color w:val="000000"/>
        </w:rPr>
        <w:t xml:space="preserve"> </w:t>
      </w:r>
      <w:proofErr w:type="spellStart"/>
      <w:r w:rsidRPr="002906A3">
        <w:rPr>
          <w:color w:val="000000"/>
        </w:rPr>
        <w:t>within</w:t>
      </w:r>
      <w:proofErr w:type="spellEnd"/>
      <w:r w:rsidRPr="002906A3">
        <w:rPr>
          <w:color w:val="000000"/>
        </w:rPr>
        <w:t xml:space="preserve"> </w:t>
      </w:r>
      <w:proofErr w:type="spellStart"/>
      <w:r w:rsidRPr="002906A3">
        <w:rPr>
          <w:color w:val="000000"/>
        </w:rPr>
        <w:t>feminism</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most</w:t>
      </w:r>
      <w:proofErr w:type="spellEnd"/>
      <w:r w:rsidRPr="002906A3">
        <w:rPr>
          <w:color w:val="000000"/>
        </w:rPr>
        <w:t xml:space="preserve"> </w:t>
      </w:r>
      <w:proofErr w:type="spellStart"/>
      <w:r w:rsidRPr="002906A3">
        <w:rPr>
          <w:color w:val="000000"/>
        </w:rPr>
        <w:t>fundamental</w:t>
      </w:r>
      <w:proofErr w:type="spellEnd"/>
      <w:r w:rsidRPr="002906A3">
        <w:rPr>
          <w:color w:val="000000"/>
        </w:rPr>
        <w:t xml:space="preserve"> </w:t>
      </w:r>
      <w:proofErr w:type="spellStart"/>
      <w:r w:rsidRPr="002906A3">
        <w:rPr>
          <w:color w:val="000000"/>
        </w:rPr>
        <w:t>common</w:t>
      </w:r>
      <w:proofErr w:type="spellEnd"/>
      <w:r w:rsidRPr="002906A3">
        <w:rPr>
          <w:color w:val="000000"/>
        </w:rPr>
        <w:t xml:space="preserve"> </w:t>
      </w:r>
      <w:proofErr w:type="spellStart"/>
      <w:r w:rsidRPr="002906A3">
        <w:rPr>
          <w:color w:val="000000"/>
        </w:rPr>
        <w:t>ground</w:t>
      </w:r>
      <w:proofErr w:type="spellEnd"/>
      <w:r w:rsidRPr="002906A3">
        <w:rPr>
          <w:color w:val="000000"/>
        </w:rPr>
        <w:t xml:space="preserve"> is </w:t>
      </w:r>
      <w:proofErr w:type="spellStart"/>
      <w:r w:rsidRPr="002906A3">
        <w:rPr>
          <w:color w:val="000000"/>
        </w:rPr>
        <w:t>the</w:t>
      </w:r>
      <w:proofErr w:type="spellEnd"/>
      <w:r w:rsidRPr="002906A3">
        <w:rPr>
          <w:color w:val="000000"/>
        </w:rPr>
        <w:t xml:space="preserve"> idea </w:t>
      </w:r>
      <w:proofErr w:type="spellStart"/>
      <w:r w:rsidRPr="002906A3">
        <w:rPr>
          <w:color w:val="000000"/>
        </w:rPr>
        <w:t>that</w:t>
      </w:r>
      <w:proofErr w:type="spellEnd"/>
      <w:r w:rsidRPr="002906A3">
        <w:rPr>
          <w:color w:val="000000"/>
        </w:rPr>
        <w:t xml:space="preserve"> </w:t>
      </w:r>
      <w:proofErr w:type="spellStart"/>
      <w:r w:rsidRPr="002906A3">
        <w:rPr>
          <w:color w:val="000000"/>
        </w:rPr>
        <w:t>patriarchy</w:t>
      </w:r>
      <w:proofErr w:type="spellEnd"/>
      <w:r w:rsidRPr="002906A3">
        <w:rPr>
          <w:color w:val="000000"/>
        </w:rPr>
        <w:t xml:space="preserve"> is not </w:t>
      </w:r>
      <w:proofErr w:type="spellStart"/>
      <w:r w:rsidRPr="002906A3">
        <w:rPr>
          <w:color w:val="000000"/>
        </w:rPr>
        <w:t>only</w:t>
      </w:r>
      <w:proofErr w:type="spellEnd"/>
      <w:r w:rsidRPr="002906A3">
        <w:rPr>
          <w:color w:val="000000"/>
        </w:rPr>
        <w:t xml:space="preserve"> </w:t>
      </w:r>
      <w:proofErr w:type="spellStart"/>
      <w:r w:rsidRPr="002906A3">
        <w:rPr>
          <w:color w:val="000000"/>
        </w:rPr>
        <w:t>oppressive</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restrictive</w:t>
      </w:r>
      <w:proofErr w:type="spellEnd"/>
      <w:r w:rsidRPr="002906A3">
        <w:rPr>
          <w:color w:val="000000"/>
        </w:rPr>
        <w:t xml:space="preserve"> </w:t>
      </w:r>
      <w:proofErr w:type="spellStart"/>
      <w:r w:rsidRPr="002906A3">
        <w:rPr>
          <w:color w:val="000000"/>
        </w:rPr>
        <w:t>for</w:t>
      </w:r>
      <w:proofErr w:type="spellEnd"/>
      <w:r w:rsidRPr="002906A3">
        <w:rPr>
          <w:color w:val="000000"/>
        </w:rPr>
        <w:t xml:space="preserve"> </w:t>
      </w:r>
      <w:proofErr w:type="spellStart"/>
      <w:r w:rsidRPr="002906A3">
        <w:rPr>
          <w:color w:val="000000"/>
        </w:rPr>
        <w:t>women</w:t>
      </w:r>
      <w:proofErr w:type="spellEnd"/>
      <w:r w:rsidRPr="002906A3">
        <w:rPr>
          <w:color w:val="000000"/>
        </w:rPr>
        <w:t xml:space="preserve"> but </w:t>
      </w:r>
      <w:proofErr w:type="spellStart"/>
      <w:r w:rsidRPr="002906A3">
        <w:rPr>
          <w:color w:val="000000"/>
        </w:rPr>
        <w:t>also</w:t>
      </w:r>
      <w:proofErr w:type="spellEnd"/>
      <w:r w:rsidRPr="002906A3">
        <w:rPr>
          <w:color w:val="000000"/>
        </w:rPr>
        <w:t xml:space="preserve"> </w:t>
      </w:r>
      <w:proofErr w:type="spellStart"/>
      <w:r w:rsidRPr="002906A3">
        <w:rPr>
          <w:color w:val="000000"/>
        </w:rPr>
        <w:t>for</w:t>
      </w:r>
      <w:proofErr w:type="spellEnd"/>
      <w:r w:rsidRPr="002906A3">
        <w:rPr>
          <w:color w:val="000000"/>
        </w:rPr>
        <w:t xml:space="preserve"> men. </w:t>
      </w:r>
      <w:proofErr w:type="spellStart"/>
      <w:r w:rsidRPr="002906A3">
        <w:rPr>
          <w:color w:val="000000"/>
        </w:rPr>
        <w:t>While</w:t>
      </w:r>
      <w:proofErr w:type="spellEnd"/>
      <w:r w:rsidRPr="002906A3">
        <w:rPr>
          <w:color w:val="000000"/>
        </w:rPr>
        <w:t xml:space="preserve"> </w:t>
      </w:r>
      <w:proofErr w:type="spellStart"/>
      <w:r w:rsidRPr="002906A3">
        <w:rPr>
          <w:color w:val="000000"/>
        </w:rPr>
        <w:t>there</w:t>
      </w:r>
      <w:proofErr w:type="spellEnd"/>
      <w:r w:rsidRPr="002906A3">
        <w:rPr>
          <w:color w:val="000000"/>
        </w:rPr>
        <w:t xml:space="preserve"> is a general </w:t>
      </w:r>
      <w:proofErr w:type="spellStart"/>
      <w:r w:rsidRPr="002906A3">
        <w:rPr>
          <w:color w:val="000000"/>
        </w:rPr>
        <w:t>judgment</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gender-based</w:t>
      </w:r>
      <w:proofErr w:type="spellEnd"/>
      <w:r w:rsidRPr="002906A3">
        <w:rPr>
          <w:color w:val="000000"/>
        </w:rPr>
        <w:t xml:space="preserve"> </w:t>
      </w:r>
      <w:proofErr w:type="spellStart"/>
      <w:r w:rsidRPr="002906A3">
        <w:rPr>
          <w:color w:val="000000"/>
        </w:rPr>
        <w:t>inequalities</w:t>
      </w:r>
      <w:proofErr w:type="spellEnd"/>
      <w:r w:rsidRPr="002906A3">
        <w:rPr>
          <w:color w:val="000000"/>
        </w:rPr>
        <w:t xml:space="preserve"> </w:t>
      </w:r>
      <w:proofErr w:type="spellStart"/>
      <w:r w:rsidRPr="002906A3">
        <w:rPr>
          <w:color w:val="000000"/>
        </w:rPr>
        <w:t>offer</w:t>
      </w:r>
      <w:proofErr w:type="spellEnd"/>
      <w:r w:rsidRPr="002906A3">
        <w:rPr>
          <w:color w:val="000000"/>
        </w:rPr>
        <w:t xml:space="preserve"> </w:t>
      </w:r>
      <w:proofErr w:type="spellStart"/>
      <w:r w:rsidRPr="002906A3">
        <w:rPr>
          <w:color w:val="000000"/>
        </w:rPr>
        <w:t>advantages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opportunities</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men, </w:t>
      </w:r>
      <w:proofErr w:type="spellStart"/>
      <w:r w:rsidRPr="002906A3">
        <w:rPr>
          <w:color w:val="000000"/>
        </w:rPr>
        <w:t>profeminism</w:t>
      </w:r>
      <w:proofErr w:type="spellEnd"/>
      <w:r w:rsidRPr="002906A3">
        <w:rPr>
          <w:color w:val="000000"/>
        </w:rPr>
        <w:t xml:space="preserve"> </w:t>
      </w:r>
      <w:proofErr w:type="spellStart"/>
      <w:r w:rsidRPr="002906A3">
        <w:rPr>
          <w:color w:val="000000"/>
        </w:rPr>
        <w:t>argues</w:t>
      </w:r>
      <w:proofErr w:type="spellEnd"/>
      <w:r w:rsidRPr="002906A3">
        <w:rPr>
          <w:color w:val="000000"/>
        </w:rPr>
        <w:t xml:space="preserve"> </w:t>
      </w:r>
      <w:proofErr w:type="spellStart"/>
      <w:r w:rsidRPr="002906A3">
        <w:rPr>
          <w:color w:val="000000"/>
        </w:rPr>
        <w:t>that</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resulting</w:t>
      </w:r>
      <w:proofErr w:type="spellEnd"/>
      <w:r w:rsidRPr="002906A3">
        <w:rPr>
          <w:color w:val="000000"/>
        </w:rPr>
        <w:t xml:space="preserve"> </w:t>
      </w:r>
      <w:proofErr w:type="spellStart"/>
      <w:r w:rsidRPr="002906A3">
        <w:rPr>
          <w:color w:val="000000"/>
        </w:rPr>
        <w:t>outcome</w:t>
      </w:r>
      <w:proofErr w:type="spellEnd"/>
      <w:r w:rsidRPr="002906A3">
        <w:rPr>
          <w:color w:val="000000"/>
        </w:rPr>
        <w:t xml:space="preserve"> is </w:t>
      </w:r>
      <w:proofErr w:type="spellStart"/>
      <w:r w:rsidRPr="002906A3">
        <w:rPr>
          <w:color w:val="000000"/>
        </w:rPr>
        <w:t>actually</w:t>
      </w:r>
      <w:proofErr w:type="spellEnd"/>
      <w:r w:rsidRPr="002906A3">
        <w:rPr>
          <w:color w:val="000000"/>
        </w:rPr>
        <w:t xml:space="preserve"> far </w:t>
      </w:r>
      <w:proofErr w:type="spellStart"/>
      <w:r w:rsidRPr="002906A3">
        <w:rPr>
          <w:color w:val="000000"/>
        </w:rPr>
        <w:t>from</w:t>
      </w:r>
      <w:proofErr w:type="spellEnd"/>
      <w:r w:rsidRPr="002906A3">
        <w:rPr>
          <w:color w:val="000000"/>
        </w:rPr>
        <w:t xml:space="preserve"> </w:t>
      </w:r>
      <w:proofErr w:type="spellStart"/>
      <w:r w:rsidRPr="002906A3">
        <w:rPr>
          <w:color w:val="000000"/>
        </w:rPr>
        <w:t>this</w:t>
      </w:r>
      <w:proofErr w:type="spellEnd"/>
      <w:r w:rsidRPr="002906A3">
        <w:rPr>
          <w:color w:val="000000"/>
        </w:rPr>
        <w:t xml:space="preserve">. </w:t>
      </w:r>
      <w:proofErr w:type="spellStart"/>
      <w:r w:rsidRPr="002906A3">
        <w:rPr>
          <w:color w:val="000000"/>
        </w:rPr>
        <w:t>This</w:t>
      </w:r>
      <w:proofErr w:type="spellEnd"/>
      <w:r w:rsidRPr="002906A3">
        <w:rPr>
          <w:color w:val="000000"/>
        </w:rPr>
        <w:t xml:space="preserve"> </w:t>
      </w:r>
      <w:proofErr w:type="spellStart"/>
      <w:r w:rsidRPr="002906A3">
        <w:rPr>
          <w:color w:val="000000"/>
        </w:rPr>
        <w:t>study</w:t>
      </w:r>
      <w:proofErr w:type="spellEnd"/>
      <w:r w:rsidRPr="002906A3">
        <w:rPr>
          <w:color w:val="000000"/>
        </w:rPr>
        <w:t xml:space="preserve"> </w:t>
      </w:r>
      <w:proofErr w:type="spellStart"/>
      <w:r w:rsidRPr="002906A3">
        <w:rPr>
          <w:color w:val="000000"/>
        </w:rPr>
        <w:t>primarily</w:t>
      </w:r>
      <w:proofErr w:type="spellEnd"/>
      <w:r w:rsidRPr="002906A3">
        <w:rPr>
          <w:color w:val="000000"/>
        </w:rPr>
        <w:t xml:space="preserve"> </w:t>
      </w:r>
      <w:proofErr w:type="spellStart"/>
      <w:r w:rsidRPr="002906A3">
        <w:rPr>
          <w:color w:val="000000"/>
        </w:rPr>
        <w:t>examines</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historical</w:t>
      </w:r>
      <w:proofErr w:type="spellEnd"/>
      <w:r w:rsidRPr="002906A3">
        <w:rPr>
          <w:color w:val="000000"/>
        </w:rPr>
        <w:t xml:space="preserve"> </w:t>
      </w:r>
      <w:proofErr w:type="spellStart"/>
      <w:r w:rsidRPr="002906A3">
        <w:rPr>
          <w:color w:val="000000"/>
        </w:rPr>
        <w:t>discourse</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men's</w:t>
      </w:r>
      <w:proofErr w:type="spellEnd"/>
      <w:r w:rsidRPr="002906A3">
        <w:rPr>
          <w:color w:val="000000"/>
        </w:rPr>
        <w:t xml:space="preserve"> </w:t>
      </w:r>
      <w:proofErr w:type="spellStart"/>
      <w:r w:rsidRPr="002906A3">
        <w:rPr>
          <w:color w:val="000000"/>
        </w:rPr>
        <w:t>liberation</w:t>
      </w:r>
      <w:proofErr w:type="spellEnd"/>
      <w:r w:rsidRPr="002906A3">
        <w:rPr>
          <w:color w:val="000000"/>
        </w:rPr>
        <w:t xml:space="preserve"> </w:t>
      </w:r>
      <w:proofErr w:type="spellStart"/>
      <w:r w:rsidRPr="002906A3">
        <w:rPr>
          <w:color w:val="000000"/>
        </w:rPr>
        <w:t>movement</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w:t>
      </w:r>
      <w:proofErr w:type="spellStart"/>
      <w:r w:rsidRPr="002906A3">
        <w:rPr>
          <w:color w:val="000000"/>
        </w:rPr>
        <w:t>began</w:t>
      </w:r>
      <w:proofErr w:type="spellEnd"/>
      <w:r w:rsidRPr="002906A3">
        <w:rPr>
          <w:color w:val="000000"/>
        </w:rPr>
        <w:t xml:space="preserve"> </w:t>
      </w:r>
      <w:proofErr w:type="spellStart"/>
      <w:r w:rsidRPr="002906A3">
        <w:rPr>
          <w:color w:val="000000"/>
        </w:rPr>
        <w:t>to</w:t>
      </w:r>
      <w:proofErr w:type="spellEnd"/>
      <w:r w:rsidRPr="002906A3">
        <w:rPr>
          <w:color w:val="000000"/>
        </w:rPr>
        <w:t xml:space="preserve"> be </w:t>
      </w:r>
      <w:proofErr w:type="spellStart"/>
      <w:r w:rsidRPr="002906A3">
        <w:rPr>
          <w:color w:val="000000"/>
        </w:rPr>
        <w:t>discussed</w:t>
      </w:r>
      <w:proofErr w:type="spellEnd"/>
      <w:r w:rsidRPr="002906A3">
        <w:rPr>
          <w:color w:val="000000"/>
        </w:rPr>
        <w:t xml:space="preserve"> in </w:t>
      </w:r>
      <w:proofErr w:type="spellStart"/>
      <w:r w:rsidRPr="002906A3">
        <w:rPr>
          <w:color w:val="000000"/>
        </w:rPr>
        <w:t>the</w:t>
      </w:r>
      <w:proofErr w:type="spellEnd"/>
      <w:r w:rsidRPr="002906A3">
        <w:rPr>
          <w:color w:val="000000"/>
        </w:rPr>
        <w:t xml:space="preserve"> 1980s, </w:t>
      </w:r>
      <w:proofErr w:type="spellStart"/>
      <w:r w:rsidRPr="002906A3">
        <w:rPr>
          <w:color w:val="000000"/>
        </w:rPr>
        <w:t>the</w:t>
      </w:r>
      <w:proofErr w:type="spellEnd"/>
      <w:r w:rsidRPr="002906A3">
        <w:rPr>
          <w:color w:val="000000"/>
        </w:rPr>
        <w:t xml:space="preserve"> general </w:t>
      </w:r>
      <w:proofErr w:type="spellStart"/>
      <w:r w:rsidRPr="002906A3">
        <w:rPr>
          <w:color w:val="000000"/>
        </w:rPr>
        <w:t>trends</w:t>
      </w:r>
      <w:proofErr w:type="spellEnd"/>
      <w:r w:rsidRPr="002906A3">
        <w:rPr>
          <w:color w:val="000000"/>
        </w:rPr>
        <w:t xml:space="preserve"> of </w:t>
      </w:r>
      <w:proofErr w:type="spellStart"/>
      <w:r w:rsidRPr="002906A3">
        <w:rPr>
          <w:color w:val="000000"/>
        </w:rPr>
        <w:t>the</w:t>
      </w:r>
      <w:proofErr w:type="spellEnd"/>
      <w:r w:rsidRPr="002906A3">
        <w:rPr>
          <w:color w:val="000000"/>
        </w:rPr>
        <w:t xml:space="preserve"> </w:t>
      </w:r>
      <w:proofErr w:type="spellStart"/>
      <w:r w:rsidRPr="002906A3">
        <w:rPr>
          <w:color w:val="000000"/>
        </w:rPr>
        <w:t>masculinity</w:t>
      </w:r>
      <w:proofErr w:type="spellEnd"/>
      <w:r w:rsidRPr="002906A3">
        <w:rPr>
          <w:color w:val="000000"/>
        </w:rPr>
        <w:t xml:space="preserve"> </w:t>
      </w:r>
      <w:proofErr w:type="spellStart"/>
      <w:r w:rsidRPr="002906A3">
        <w:rPr>
          <w:color w:val="000000"/>
        </w:rPr>
        <w:t>debates</w:t>
      </w:r>
      <w:proofErr w:type="spellEnd"/>
      <w:r w:rsidRPr="002906A3">
        <w:rPr>
          <w:color w:val="000000"/>
        </w:rPr>
        <w:t xml:space="preserve"> at </w:t>
      </w:r>
      <w:proofErr w:type="spellStart"/>
      <w:r w:rsidRPr="002906A3">
        <w:rPr>
          <w:color w:val="000000"/>
        </w:rPr>
        <w:t>different</w:t>
      </w:r>
      <w:proofErr w:type="spellEnd"/>
      <w:r w:rsidRPr="002906A3">
        <w:rPr>
          <w:color w:val="000000"/>
        </w:rPr>
        <w:t xml:space="preserve"> </w:t>
      </w:r>
      <w:proofErr w:type="spellStart"/>
      <w:r w:rsidRPr="002906A3">
        <w:rPr>
          <w:color w:val="000000"/>
        </w:rPr>
        <w:t>points</w:t>
      </w:r>
      <w:proofErr w:type="spellEnd"/>
      <w:r w:rsidRPr="002906A3">
        <w:rPr>
          <w:color w:val="000000"/>
        </w:rPr>
        <w:t xml:space="preserve"> of </w:t>
      </w:r>
      <w:proofErr w:type="spellStart"/>
      <w:r w:rsidRPr="002906A3">
        <w:rPr>
          <w:color w:val="000000"/>
        </w:rPr>
        <w:t>search</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the</w:t>
      </w:r>
      <w:proofErr w:type="spellEnd"/>
      <w:r w:rsidRPr="002906A3">
        <w:rPr>
          <w:color w:val="000000"/>
        </w:rPr>
        <w:t xml:space="preserve"> </w:t>
      </w:r>
      <w:proofErr w:type="spellStart"/>
      <w:r w:rsidRPr="002906A3">
        <w:rPr>
          <w:color w:val="000000"/>
        </w:rPr>
        <w:t>priorities</w:t>
      </w:r>
      <w:proofErr w:type="spellEnd"/>
      <w:r w:rsidRPr="002906A3">
        <w:rPr>
          <w:color w:val="000000"/>
        </w:rPr>
        <w:t xml:space="preserve"> </w:t>
      </w:r>
      <w:proofErr w:type="spellStart"/>
      <w:r w:rsidRPr="002906A3">
        <w:rPr>
          <w:color w:val="000000"/>
        </w:rPr>
        <w:t>and</w:t>
      </w:r>
      <w:proofErr w:type="spellEnd"/>
      <w:r w:rsidRPr="002906A3">
        <w:rPr>
          <w:color w:val="000000"/>
        </w:rPr>
        <w:t xml:space="preserve"> </w:t>
      </w:r>
      <w:proofErr w:type="spellStart"/>
      <w:r w:rsidRPr="002906A3">
        <w:rPr>
          <w:color w:val="000000"/>
        </w:rPr>
        <w:t>findings</w:t>
      </w:r>
      <w:proofErr w:type="spellEnd"/>
      <w:r w:rsidRPr="002906A3">
        <w:rPr>
          <w:color w:val="000000"/>
        </w:rPr>
        <w:t xml:space="preserve"> </w:t>
      </w:r>
      <w:proofErr w:type="spellStart"/>
      <w:r w:rsidRPr="002906A3">
        <w:rPr>
          <w:color w:val="000000"/>
        </w:rPr>
        <w:t>with</w:t>
      </w:r>
      <w:proofErr w:type="spellEnd"/>
      <w:r w:rsidRPr="002906A3">
        <w:rPr>
          <w:color w:val="000000"/>
        </w:rPr>
        <w:t xml:space="preserve"> </w:t>
      </w:r>
      <w:proofErr w:type="spellStart"/>
      <w:r w:rsidRPr="002906A3">
        <w:rPr>
          <w:color w:val="000000"/>
        </w:rPr>
        <w:t>which</w:t>
      </w:r>
      <w:proofErr w:type="spellEnd"/>
      <w:r w:rsidRPr="002906A3">
        <w:rPr>
          <w:color w:val="000000"/>
        </w:rPr>
        <w:t xml:space="preserve"> </w:t>
      </w:r>
      <w:proofErr w:type="spellStart"/>
      <w:r w:rsidRPr="002906A3">
        <w:rPr>
          <w:color w:val="000000"/>
        </w:rPr>
        <w:t>profeminism</w:t>
      </w:r>
      <w:proofErr w:type="spellEnd"/>
      <w:r w:rsidRPr="002906A3">
        <w:rPr>
          <w:color w:val="000000"/>
        </w:rPr>
        <w:t xml:space="preserve">, </w:t>
      </w:r>
      <w:proofErr w:type="spellStart"/>
      <w:r w:rsidRPr="002906A3">
        <w:rPr>
          <w:color w:val="000000"/>
        </w:rPr>
        <w:t>now</w:t>
      </w:r>
      <w:proofErr w:type="spellEnd"/>
      <w:r w:rsidRPr="002906A3">
        <w:rPr>
          <w:color w:val="000000"/>
        </w:rPr>
        <w:t xml:space="preserve"> </w:t>
      </w:r>
      <w:proofErr w:type="spellStart"/>
      <w:r w:rsidRPr="002906A3">
        <w:rPr>
          <w:color w:val="000000"/>
        </w:rPr>
        <w:t>evaluated</w:t>
      </w:r>
      <w:proofErr w:type="spellEnd"/>
      <w:r w:rsidRPr="002906A3">
        <w:rPr>
          <w:color w:val="000000"/>
        </w:rPr>
        <w:t xml:space="preserve"> </w:t>
      </w:r>
      <w:proofErr w:type="spellStart"/>
      <w:r w:rsidRPr="002906A3">
        <w:rPr>
          <w:color w:val="000000"/>
        </w:rPr>
        <w:t>from</w:t>
      </w:r>
      <w:proofErr w:type="spellEnd"/>
      <w:r w:rsidRPr="002906A3">
        <w:rPr>
          <w:color w:val="000000"/>
        </w:rPr>
        <w:t xml:space="preserve"> a </w:t>
      </w:r>
      <w:proofErr w:type="spellStart"/>
      <w:r w:rsidRPr="002906A3">
        <w:rPr>
          <w:color w:val="000000"/>
        </w:rPr>
        <w:t>much</w:t>
      </w:r>
      <w:proofErr w:type="spellEnd"/>
      <w:r w:rsidRPr="002906A3">
        <w:rPr>
          <w:color w:val="000000"/>
        </w:rPr>
        <w:t xml:space="preserve"> </w:t>
      </w:r>
      <w:proofErr w:type="spellStart"/>
      <w:r w:rsidRPr="002906A3">
        <w:rPr>
          <w:color w:val="000000"/>
        </w:rPr>
        <w:t>broader</w:t>
      </w:r>
      <w:proofErr w:type="spellEnd"/>
      <w:r w:rsidRPr="002906A3">
        <w:rPr>
          <w:color w:val="000000"/>
        </w:rPr>
        <w:t xml:space="preserve"> </w:t>
      </w:r>
      <w:proofErr w:type="spellStart"/>
      <w:r w:rsidRPr="002906A3">
        <w:rPr>
          <w:color w:val="000000"/>
        </w:rPr>
        <w:t>perspective</w:t>
      </w:r>
      <w:proofErr w:type="spellEnd"/>
      <w:r w:rsidRPr="002906A3">
        <w:rPr>
          <w:color w:val="000000"/>
        </w:rPr>
        <w:t xml:space="preserve">, </w:t>
      </w:r>
      <w:proofErr w:type="spellStart"/>
      <w:r w:rsidRPr="002906A3">
        <w:rPr>
          <w:color w:val="000000"/>
        </w:rPr>
        <w:t>defines</w:t>
      </w:r>
      <w:proofErr w:type="spellEnd"/>
      <w:r w:rsidRPr="002906A3">
        <w:rPr>
          <w:color w:val="000000"/>
        </w:rPr>
        <w:t xml:space="preserve"> </w:t>
      </w:r>
      <w:proofErr w:type="spellStart"/>
      <w:r w:rsidRPr="002906A3">
        <w:rPr>
          <w:color w:val="000000"/>
        </w:rPr>
        <w:t>its</w:t>
      </w:r>
      <w:proofErr w:type="spellEnd"/>
      <w:r w:rsidRPr="002906A3">
        <w:rPr>
          <w:color w:val="000000"/>
        </w:rPr>
        <w:t xml:space="preserve"> </w:t>
      </w:r>
      <w:proofErr w:type="spellStart"/>
      <w:r w:rsidRPr="002906A3">
        <w:rPr>
          <w:color w:val="000000"/>
        </w:rPr>
        <w:t>arguments</w:t>
      </w:r>
      <w:proofErr w:type="spellEnd"/>
      <w:r w:rsidRPr="002906A3">
        <w:rPr>
          <w:color w:val="000000"/>
        </w:rPr>
        <w:t>.</w:t>
      </w:r>
    </w:p>
    <w:p w14:paraId="5F8EBF80" w14:textId="77777777" w:rsidR="00E359E0" w:rsidRPr="002906A3" w:rsidRDefault="00E359E0" w:rsidP="001E7189">
      <w:pPr>
        <w:jc w:val="both"/>
        <w:rPr>
          <w:color w:val="000000"/>
        </w:rPr>
      </w:pPr>
    </w:p>
    <w:p w14:paraId="34A74270" w14:textId="4B9C404B" w:rsidR="00661282" w:rsidRDefault="000C6508" w:rsidP="001E7189">
      <w:pPr>
        <w:rPr>
          <w:color w:val="000000"/>
        </w:rPr>
      </w:pPr>
      <w:proofErr w:type="spellStart"/>
      <w:r>
        <w:rPr>
          <w:b/>
          <w:bCs/>
          <w:color w:val="000000"/>
        </w:rPr>
        <w:t>Keywords</w:t>
      </w:r>
      <w:proofErr w:type="spellEnd"/>
      <w:r w:rsidR="001E7189" w:rsidRPr="002906A3">
        <w:rPr>
          <w:b/>
          <w:bCs/>
          <w:color w:val="000000"/>
        </w:rPr>
        <w:t>:</w:t>
      </w:r>
      <w:r w:rsidR="001E7189" w:rsidRPr="002906A3">
        <w:rPr>
          <w:color w:val="000000"/>
        </w:rPr>
        <w:t xml:space="preserve"> </w:t>
      </w:r>
      <w:proofErr w:type="spellStart"/>
      <w:r w:rsidR="001E7189" w:rsidRPr="002906A3">
        <w:rPr>
          <w:color w:val="000000"/>
        </w:rPr>
        <w:t>Masculinity</w:t>
      </w:r>
      <w:proofErr w:type="spellEnd"/>
      <w:r w:rsidR="001E7189" w:rsidRPr="002906A3">
        <w:rPr>
          <w:color w:val="000000"/>
        </w:rPr>
        <w:t xml:space="preserve">, </w:t>
      </w:r>
      <w:proofErr w:type="spellStart"/>
      <w:r w:rsidR="001E7189" w:rsidRPr="002906A3">
        <w:rPr>
          <w:color w:val="000000"/>
        </w:rPr>
        <w:t>Feminism</w:t>
      </w:r>
      <w:proofErr w:type="spellEnd"/>
      <w:r w:rsidR="001E7189" w:rsidRPr="002906A3">
        <w:rPr>
          <w:color w:val="000000"/>
        </w:rPr>
        <w:t xml:space="preserve">, </w:t>
      </w:r>
      <w:proofErr w:type="spellStart"/>
      <w:r w:rsidR="001E7189" w:rsidRPr="002906A3">
        <w:rPr>
          <w:color w:val="000000"/>
        </w:rPr>
        <w:t>Profeminism</w:t>
      </w:r>
      <w:proofErr w:type="spellEnd"/>
      <w:r w:rsidR="001E7189" w:rsidRPr="002906A3">
        <w:rPr>
          <w:color w:val="000000"/>
        </w:rPr>
        <w:t>.</w:t>
      </w:r>
    </w:p>
    <w:p w14:paraId="0FAC89CC" w14:textId="7A90E60A" w:rsidR="001E7189" w:rsidRPr="002906A3" w:rsidRDefault="00661282" w:rsidP="00661282">
      <w:pPr>
        <w:autoSpaceDE/>
        <w:autoSpaceDN/>
        <w:rPr>
          <w:color w:val="000000"/>
        </w:rPr>
      </w:pPr>
      <w:r>
        <w:rPr>
          <w:color w:val="000000"/>
        </w:rPr>
        <w:br w:type="page"/>
      </w:r>
    </w:p>
    <w:p w14:paraId="692F190B" w14:textId="2F0E24C9" w:rsidR="001E7189" w:rsidRDefault="00B24CA3" w:rsidP="004C7694">
      <w:pPr>
        <w:pStyle w:val="Tark"/>
      </w:pPr>
      <w:bookmarkStart w:id="234" w:name="_Toc192855257"/>
      <w:r w:rsidRPr="002906A3">
        <w:lastRenderedPageBreak/>
        <w:t>Başkanlık Sisteminde Seçimler;</w:t>
      </w:r>
      <w:r w:rsidRPr="002906A3">
        <w:br/>
        <w:t xml:space="preserve">2024 Başkanlık Seçimleri </w:t>
      </w:r>
      <w:proofErr w:type="gramStart"/>
      <w:r w:rsidRPr="002906A3">
        <w:t>Ve</w:t>
      </w:r>
      <w:proofErr w:type="gramEnd"/>
      <w:r w:rsidRPr="002906A3">
        <w:t xml:space="preserve"> Donald </w:t>
      </w:r>
      <w:proofErr w:type="spellStart"/>
      <w:r w:rsidRPr="002906A3">
        <w:t>Trump’un</w:t>
      </w:r>
      <w:proofErr w:type="spellEnd"/>
      <w:r w:rsidRPr="002906A3">
        <w:t xml:space="preserve"> Tekrar Başkan Seçilmesi</w:t>
      </w:r>
      <w:bookmarkEnd w:id="234"/>
    </w:p>
    <w:p w14:paraId="0DC6A91F" w14:textId="77777777" w:rsidR="00B24CA3" w:rsidRPr="002906A3" w:rsidRDefault="00B24CA3" w:rsidP="001E7189">
      <w:pPr>
        <w:jc w:val="center"/>
        <w:rPr>
          <w:color w:val="000000"/>
        </w:rPr>
      </w:pPr>
    </w:p>
    <w:p w14:paraId="0AC692BC" w14:textId="6BDCBF9B" w:rsidR="00B24CA3" w:rsidRPr="00B24CA3" w:rsidRDefault="00B24CA3" w:rsidP="00B24CA3">
      <w:pPr>
        <w:jc w:val="center"/>
        <w:rPr>
          <w:color w:val="000000"/>
        </w:rPr>
      </w:pPr>
      <w:r w:rsidRPr="00B24CA3">
        <w:rPr>
          <w:color w:val="000000"/>
        </w:rPr>
        <w:t xml:space="preserve">Dr. Fatih Bilgin </w:t>
      </w:r>
      <w:r w:rsidRPr="00B24CA3">
        <w:rPr>
          <w:color w:val="000000"/>
          <w:vertAlign w:val="superscript"/>
        </w:rPr>
        <w:t>1</w:t>
      </w:r>
      <w:r w:rsidRPr="00B24CA3">
        <w:rPr>
          <w:color w:val="000000"/>
        </w:rPr>
        <w:t xml:space="preserve">, Prof. Dr. Bekir Parlak </w:t>
      </w:r>
      <w:r w:rsidRPr="00B24CA3">
        <w:rPr>
          <w:color w:val="000000"/>
          <w:vertAlign w:val="superscript"/>
        </w:rPr>
        <w:t>2</w:t>
      </w:r>
    </w:p>
    <w:p w14:paraId="1D946F8C" w14:textId="14C87C4E" w:rsidR="001E7189" w:rsidRPr="002906A3" w:rsidRDefault="001E7189" w:rsidP="001E7189">
      <w:pPr>
        <w:jc w:val="center"/>
        <w:rPr>
          <w:color w:val="000000"/>
        </w:rPr>
      </w:pPr>
      <w:r w:rsidRPr="002906A3">
        <w:rPr>
          <w:b/>
          <w:bCs/>
          <w:color w:val="000000"/>
          <w:vertAlign w:val="superscript"/>
        </w:rPr>
        <w:t>1</w:t>
      </w:r>
      <w:r w:rsidRPr="002906A3">
        <w:rPr>
          <w:color w:val="000000"/>
        </w:rPr>
        <w:t xml:space="preserve"> TESAM Yön. Kur. Üyesi, </w:t>
      </w:r>
      <w:proofErr w:type="gramStart"/>
      <w:r w:rsidRPr="002906A3">
        <w:rPr>
          <w:color w:val="000000"/>
        </w:rPr>
        <w:t>drfatihbilgin@gmail.com -</w:t>
      </w:r>
      <w:proofErr w:type="gramEnd"/>
      <w:r w:rsidRPr="002906A3">
        <w:rPr>
          <w:color w:val="000000"/>
        </w:rPr>
        <w:t xml:space="preserve"> ORCID ID</w:t>
      </w:r>
      <w:r w:rsidR="005500AB">
        <w:rPr>
          <w:color w:val="000000"/>
        </w:rPr>
        <w:t>:</w:t>
      </w:r>
      <w:r w:rsidR="005500AB" w:rsidRPr="005500AB">
        <w:rPr>
          <w:color w:val="000000"/>
        </w:rPr>
        <w:t xml:space="preserve"> </w:t>
      </w:r>
      <w:r w:rsidR="005500AB">
        <w:rPr>
          <w:color w:val="000000"/>
        </w:rPr>
        <w:t>0000-0002-7813-9841</w:t>
      </w:r>
    </w:p>
    <w:p w14:paraId="628817A9" w14:textId="33CA6B5B" w:rsidR="001E7189" w:rsidRPr="002906A3" w:rsidRDefault="001E7189" w:rsidP="001E7189">
      <w:pPr>
        <w:jc w:val="center"/>
        <w:rPr>
          <w:color w:val="000000"/>
        </w:rPr>
      </w:pPr>
      <w:r w:rsidRPr="002906A3">
        <w:rPr>
          <w:b/>
          <w:bCs/>
          <w:color w:val="000000"/>
          <w:vertAlign w:val="superscript"/>
        </w:rPr>
        <w:t>2</w:t>
      </w:r>
      <w:r w:rsidRPr="002906A3">
        <w:rPr>
          <w:color w:val="000000"/>
        </w:rPr>
        <w:t xml:space="preserve"> Bursa Uludağ Üniversitesi, Siyaset Bilimi ve Kamu Yönetimi Bölümü Öğretim Üyesi, </w:t>
      </w:r>
      <w:proofErr w:type="gramStart"/>
      <w:r w:rsidRPr="002906A3">
        <w:rPr>
          <w:color w:val="000000"/>
        </w:rPr>
        <w:t>bepar@uludag.edu.tr -</w:t>
      </w:r>
      <w:proofErr w:type="gramEnd"/>
      <w:r w:rsidRPr="002906A3">
        <w:rPr>
          <w:color w:val="000000"/>
        </w:rPr>
        <w:t xml:space="preserve"> ORCID ID</w:t>
      </w:r>
      <w:r w:rsidR="005500AB">
        <w:rPr>
          <w:color w:val="000000"/>
        </w:rPr>
        <w:t>: 0000-0001-8919-6481 </w:t>
      </w:r>
    </w:p>
    <w:p w14:paraId="1A00AB61" w14:textId="77777777" w:rsidR="001E7189" w:rsidRPr="002906A3" w:rsidRDefault="001E7189" w:rsidP="001E7189">
      <w:pPr>
        <w:rPr>
          <w:color w:val="000000"/>
        </w:rPr>
      </w:pPr>
    </w:p>
    <w:p w14:paraId="26BB5AD1" w14:textId="165E19B0" w:rsidR="001E7189" w:rsidRPr="002906A3" w:rsidRDefault="00B24CA3" w:rsidP="00B24CA3">
      <w:pPr>
        <w:jc w:val="center"/>
        <w:rPr>
          <w:color w:val="000000"/>
        </w:rPr>
      </w:pPr>
      <w:r w:rsidRPr="002906A3">
        <w:rPr>
          <w:b/>
          <w:bCs/>
          <w:color w:val="000000"/>
        </w:rPr>
        <w:t>Özet</w:t>
      </w:r>
    </w:p>
    <w:p w14:paraId="66E1B3DE" w14:textId="5B467DC7" w:rsidR="001E7189" w:rsidRDefault="001E7189" w:rsidP="001E7189">
      <w:pPr>
        <w:jc w:val="both"/>
        <w:rPr>
          <w:color w:val="000000"/>
        </w:rPr>
      </w:pPr>
      <w:r w:rsidRPr="002906A3">
        <w:rPr>
          <w:color w:val="000000"/>
        </w:rPr>
        <w:t xml:space="preserve">Parlamenter sistem, yarı başkanlık sistemi ve başkanlık sistemleri literatürde yer verilen yönetim sistemleridir. Özellikle Başkanlık sisteminin en ayrılmaz örneği Amerika Birleşik Devletleri’dir ki, </w:t>
      </w:r>
      <w:proofErr w:type="gramStart"/>
      <w:r w:rsidRPr="002906A3">
        <w:rPr>
          <w:color w:val="000000"/>
        </w:rPr>
        <w:t>Amerika Birleşik Devletlerinde</w:t>
      </w:r>
      <w:proofErr w:type="gramEnd"/>
      <w:r w:rsidRPr="002906A3">
        <w:rPr>
          <w:color w:val="000000"/>
        </w:rPr>
        <w:t xml:space="preserve"> gerçekleştirilen seçimler, sistemin anlaşılabilmesi adına her zaman önemli veriler sunmaktadır. Sonuncusu 2024 yılı Kasım ayında yapılan Amerikan başkanlık seçimleri de Amerikan seçim tarihi açısından, ilk döneminin sonunda seçimleri kaybetmiş bir başkanın tekrar seçim yarışına girerek seçimi kazanabilmesi gibi, ilkleri de barındırmaktadır. Amerika Birleşik Devletleri’nde Clinton sonrası dönemde başkanlık yapan isimler genelde iki dönem için seçilmişlerdir. Amerikan Başkanları görev süreleri olan iki dönemi tamamlayarak kenara çekilmiş ve emekli olmuşlardır. Ancak Donald </w:t>
      </w:r>
      <w:proofErr w:type="spellStart"/>
      <w:r w:rsidRPr="002906A3">
        <w:rPr>
          <w:color w:val="000000"/>
        </w:rPr>
        <w:t>Trump’un</w:t>
      </w:r>
      <w:proofErr w:type="spellEnd"/>
      <w:r w:rsidRPr="002906A3">
        <w:rPr>
          <w:color w:val="000000"/>
        </w:rPr>
        <w:t xml:space="preserve"> ilk döneminin sonunda tekrar seçilemeyerek seçimleri kaybetmesi ve kaybettiği seçimler sonrası ortaya çıkan olaylar sonucunda tekrar aday olacağını deklare etmesi, Cumhuriyetçilerin doğal adayı olması sonucunu doğurmuştur. Özellikle de yerine seçilen selefi Joe </w:t>
      </w:r>
      <w:proofErr w:type="spellStart"/>
      <w:r w:rsidRPr="002906A3">
        <w:rPr>
          <w:color w:val="000000"/>
        </w:rPr>
        <w:t>Biden’ın</w:t>
      </w:r>
      <w:proofErr w:type="spellEnd"/>
      <w:r w:rsidRPr="002906A3">
        <w:rPr>
          <w:color w:val="000000"/>
        </w:rPr>
        <w:t xml:space="preserve"> yaşından ötürü göstermiş olduğu yönetim zaafları, sağlıklı bir Amerikan seçiminin ortaya çıkmadığını ve </w:t>
      </w:r>
      <w:proofErr w:type="spellStart"/>
      <w:r w:rsidRPr="002906A3">
        <w:rPr>
          <w:color w:val="000000"/>
        </w:rPr>
        <w:t>Biden’in</w:t>
      </w:r>
      <w:proofErr w:type="spellEnd"/>
      <w:r w:rsidRPr="002906A3">
        <w:rPr>
          <w:color w:val="000000"/>
        </w:rPr>
        <w:t xml:space="preserve"> Başkanlık performansının sorgulanmasını ortaya çıkartmıştır. Süreç içerisinde de </w:t>
      </w:r>
      <w:proofErr w:type="spellStart"/>
      <w:r w:rsidRPr="002906A3">
        <w:rPr>
          <w:color w:val="000000"/>
        </w:rPr>
        <w:t>Biden’in</w:t>
      </w:r>
      <w:proofErr w:type="spellEnd"/>
      <w:r w:rsidRPr="002906A3">
        <w:rPr>
          <w:color w:val="000000"/>
        </w:rPr>
        <w:t xml:space="preserve"> başkanlık için ikinci defa aday olmaması da bu görüşü destekler bir mahiyet kazandırmıştır. Keza Demokrat Parti de eski </w:t>
      </w:r>
      <w:proofErr w:type="gramStart"/>
      <w:r w:rsidRPr="002906A3">
        <w:rPr>
          <w:color w:val="000000"/>
        </w:rPr>
        <w:t>başkan</w:t>
      </w:r>
      <w:proofErr w:type="gramEnd"/>
      <w:r w:rsidRPr="002906A3">
        <w:rPr>
          <w:color w:val="000000"/>
        </w:rPr>
        <w:t xml:space="preserve"> Biden ile değil de Kamala Harris gibi başka bir aday ile seçime girerek yarışı kazanmayı hedeflemiştir.</w:t>
      </w:r>
      <w:r w:rsidR="00316176">
        <w:rPr>
          <w:color w:val="000000"/>
        </w:rPr>
        <w:t xml:space="preserve"> </w:t>
      </w:r>
      <w:r w:rsidRPr="002906A3">
        <w:rPr>
          <w:color w:val="000000"/>
        </w:rPr>
        <w:t xml:space="preserve">Bu çalışmada 2024 Kasım ayında yapılan son seçimlerin üzerinde durulacak, Donald </w:t>
      </w:r>
      <w:proofErr w:type="spellStart"/>
      <w:r w:rsidRPr="002906A3">
        <w:rPr>
          <w:color w:val="000000"/>
        </w:rPr>
        <w:t>Trump’un</w:t>
      </w:r>
      <w:proofErr w:type="spellEnd"/>
      <w:r w:rsidRPr="002906A3">
        <w:rPr>
          <w:color w:val="000000"/>
        </w:rPr>
        <w:t xml:space="preserve"> Başkanlığa aday olması ve arada bir dönemlik boşluk kalacak şekilde yeniden Başkan seçilmesinin ortaya çıkarttığı durum irdelenecektir. Amerikan seçim tarihi ve seçim sonuçları bu çalışmanın konusu edilerek Donald Trump öncesinde de bu durumun bir örneğinin mevcut olup olmadığı sorusu Amerikan başkanlık ve seçim tarihi açısından araştırılacaktır. Son olarak da Donald Trump’a Hillary Clinton karşısındaki ilk seçimini kazandıran şartlar, Joe Biden karşısında girdiği ikinci seçimi kaybettiren sebepler nihayetinde de son seçimi kazandıran etmenler Amerikan seçim ve siyasal kültürü üzerinden incelenerek siyasal kültür ve seçim kültürü üzerine odaklanılacaktır. Konunun güncel olması ve yeni tartışma alanı olmasından ötürü, araştırma sorularına siyaset bilimi ve yönetim bilimi çerçevesinden inceleme yapılacak, seçimler ve seçim sistemleri bakımından literatüre katkı sağlanması amaçlanacaktır. Çalışma Kasım 2024 tarihinde gerçekleşen Amerikan Başkanlık seçimlerine siyasal kültür ve seçim sistemi üzerinden bir perspektif sunarak, Amerikan Başkanlık sisteminin çalışmasının usul ve esaslarını açıklamayı hedeflemektedir.</w:t>
      </w:r>
    </w:p>
    <w:p w14:paraId="49A6E966" w14:textId="77777777" w:rsidR="00316176" w:rsidRPr="002906A3" w:rsidRDefault="00316176" w:rsidP="001E7189">
      <w:pPr>
        <w:jc w:val="both"/>
        <w:rPr>
          <w:color w:val="000000"/>
        </w:rPr>
      </w:pPr>
    </w:p>
    <w:p w14:paraId="7BBE3BD0" w14:textId="56F8C582" w:rsidR="00661282" w:rsidRDefault="001E7189" w:rsidP="001E7189">
      <w:pPr>
        <w:rPr>
          <w:color w:val="000000"/>
        </w:rPr>
      </w:pPr>
      <w:r w:rsidRPr="002906A3">
        <w:rPr>
          <w:b/>
          <w:bCs/>
          <w:color w:val="000000"/>
        </w:rPr>
        <w:t>Anahtar Kelimeler:</w:t>
      </w:r>
      <w:r w:rsidRPr="002906A3">
        <w:rPr>
          <w:color w:val="000000"/>
        </w:rPr>
        <w:t xml:space="preserve"> 2024 ABD Başkanlık Seçimleri, Başkanlık Sistemi, Yönetim Sistemleri, Seçim Sistemleri, Donald Trump</w:t>
      </w:r>
    </w:p>
    <w:p w14:paraId="7C0DD180" w14:textId="6CEE546A" w:rsidR="00E359E0" w:rsidRPr="00661282" w:rsidRDefault="00661282" w:rsidP="00661282">
      <w:pPr>
        <w:autoSpaceDE/>
        <w:autoSpaceDN/>
        <w:rPr>
          <w:color w:val="000000"/>
        </w:rPr>
      </w:pPr>
      <w:r>
        <w:rPr>
          <w:color w:val="000000"/>
        </w:rPr>
        <w:br w:type="page"/>
      </w:r>
    </w:p>
    <w:p w14:paraId="37EFDF45" w14:textId="092B46C2" w:rsidR="00FA457D" w:rsidRPr="00B1089D" w:rsidRDefault="00164C0C" w:rsidP="004C7694">
      <w:pPr>
        <w:pStyle w:val="Tark"/>
      </w:pPr>
      <w:bookmarkStart w:id="235" w:name="_Toc192855258"/>
      <w:r w:rsidRPr="00B1089D">
        <w:lastRenderedPageBreak/>
        <w:t xml:space="preserve">Türk Dış </w:t>
      </w:r>
      <w:proofErr w:type="spellStart"/>
      <w:r w:rsidRPr="00B1089D">
        <w:t>Politikası’nın</w:t>
      </w:r>
      <w:proofErr w:type="spellEnd"/>
      <w:r w:rsidRPr="00D10870">
        <w:t xml:space="preserve"> </w:t>
      </w:r>
      <w:r w:rsidRPr="00B1089D">
        <w:t>Yumuşak Güç Bağlamında Dönüşümü</w:t>
      </w:r>
      <w:bookmarkEnd w:id="235"/>
    </w:p>
    <w:p w14:paraId="085522A8" w14:textId="77777777" w:rsidR="00FA457D" w:rsidRPr="00B1089D" w:rsidRDefault="00FA457D" w:rsidP="00FA457D">
      <w:pPr>
        <w:widowControl/>
      </w:pPr>
    </w:p>
    <w:p w14:paraId="451F42C0" w14:textId="77777777" w:rsidR="00FA457D" w:rsidRPr="00B1089D" w:rsidRDefault="00FA457D" w:rsidP="00FA457D">
      <w:pPr>
        <w:widowControl/>
        <w:jc w:val="center"/>
      </w:pPr>
      <w:r w:rsidRPr="00B1089D">
        <w:t>Engin ERYILMAZ</w:t>
      </w:r>
    </w:p>
    <w:p w14:paraId="5B5090AC" w14:textId="77777777" w:rsidR="00FA457D" w:rsidRPr="00B1089D" w:rsidRDefault="00FA457D" w:rsidP="00FA457D">
      <w:pPr>
        <w:widowControl/>
        <w:jc w:val="center"/>
      </w:pPr>
      <w:r w:rsidRPr="00B1089D">
        <w:t>Doktora öğrencisi, Pamukkale Üniversitesi, Tarih</w:t>
      </w:r>
    </w:p>
    <w:p w14:paraId="3CCAF6EB" w14:textId="77777777" w:rsidR="00FA457D" w:rsidRPr="00B1089D" w:rsidRDefault="00FA457D" w:rsidP="00FA457D">
      <w:pPr>
        <w:widowControl/>
        <w:jc w:val="center"/>
      </w:pPr>
      <w:hyperlink r:id="rId260" w:history="1">
        <w:r w:rsidRPr="00B1089D">
          <w:rPr>
            <w:rStyle w:val="Kpr"/>
          </w:rPr>
          <w:t>engin.eryilmaz@hotmail.com</w:t>
        </w:r>
      </w:hyperlink>
    </w:p>
    <w:p w14:paraId="516F6671" w14:textId="07AC5381" w:rsidR="00FA457D" w:rsidRPr="00D10870" w:rsidRDefault="00FA457D" w:rsidP="00FA457D">
      <w:pPr>
        <w:widowControl/>
        <w:jc w:val="center"/>
      </w:pPr>
      <w:r w:rsidRPr="00B1089D">
        <w:t xml:space="preserve"> </w:t>
      </w:r>
      <w:hyperlink r:id="rId261" w:history="1">
        <w:r w:rsidRPr="00B1089D">
          <w:rPr>
            <w:rStyle w:val="Kpr"/>
          </w:rPr>
          <w:t>0000-0001-7656-5786</w:t>
        </w:r>
      </w:hyperlink>
    </w:p>
    <w:p w14:paraId="39B9EB6C" w14:textId="77777777" w:rsidR="00FA457D" w:rsidRPr="00B1089D" w:rsidRDefault="00FA457D" w:rsidP="00FA457D">
      <w:pPr>
        <w:widowControl/>
        <w:jc w:val="center"/>
      </w:pPr>
    </w:p>
    <w:p w14:paraId="2C895711" w14:textId="77777777" w:rsidR="00FA457D" w:rsidRPr="00B1089D" w:rsidRDefault="00FA457D" w:rsidP="00FA457D">
      <w:pPr>
        <w:widowControl/>
        <w:jc w:val="center"/>
      </w:pPr>
      <w:r w:rsidRPr="00B1089D">
        <w:rPr>
          <w:b/>
          <w:bCs/>
        </w:rPr>
        <w:t>Ö</w:t>
      </w:r>
      <w:r w:rsidRPr="00D10870">
        <w:rPr>
          <w:b/>
          <w:bCs/>
        </w:rPr>
        <w:t>zet</w:t>
      </w:r>
    </w:p>
    <w:p w14:paraId="2BDDEFEF" w14:textId="77777777" w:rsidR="00FA457D" w:rsidRPr="00D10870" w:rsidRDefault="00FA457D" w:rsidP="00A4535A">
      <w:pPr>
        <w:widowControl/>
        <w:jc w:val="both"/>
      </w:pPr>
      <w:r w:rsidRPr="00B1089D">
        <w:t xml:space="preserve">Bu makalede, insanlığın doğuşundan bugüne en temel gereksinimi olan ve var oluş mücadelesinin kaynağı olan gücün kullanım araçlarından olan yumuşak güç çerçevesinde Türk Dış </w:t>
      </w:r>
      <w:proofErr w:type="spellStart"/>
      <w:r w:rsidRPr="00B1089D">
        <w:t>Politikası’nın</w:t>
      </w:r>
      <w:proofErr w:type="spellEnd"/>
      <w:r w:rsidRPr="00B1089D">
        <w:t xml:space="preserve"> dönüşümü incelenmektedir. Başkalarını etkileyebilme, cezbedebilme ve politikaları doğrultusunda yönlendirebilme becerisi olan yumuşak güç bağlamında Türkiye’nin politikalarının incelenmesi ile en önemli yumuşak güç kaynağı olan “tarihsel miras” çerçevesinde dış politikanın dönüşümü ve aynı zamanda da bu dönüşüm ortaya konulurken iç politikada yani toplumsal dinamiklerde nasıl bir değişimin yaşandığı anlaşılmaya çalışılmıştır. Bu doğrultuda Kıbrıs bunalımı sebebiyle özellikle de 1970’ler itibariyle hatırlanan tarihsel miras, geçmişle kurulan bağın kuvvetlendirilmesi ve çok yönlü dış politika gereksinimleriyle birlikte İslam dünyasıyla ve Osmanlı coğrafyasıyla etkinliğin arttırılması ve ilişkilerin geliştirilmesi için itici bir güç olmuştur. Aynı zamanda bu itici güç, iktidarların dış politika dinamikleriyle birlikte iç politikadaki toplumsal dönüşümünde yönetilmesinde temel girdisi olmuş, İslam ve Osmanlı geçmişi daha vurgulanır olmuştur.</w:t>
      </w:r>
    </w:p>
    <w:p w14:paraId="7C4A659C" w14:textId="0EAFA010" w:rsidR="00FA457D" w:rsidRPr="00B1089D" w:rsidRDefault="00FA457D" w:rsidP="00A4535A">
      <w:pPr>
        <w:widowControl/>
        <w:jc w:val="both"/>
      </w:pPr>
    </w:p>
    <w:p w14:paraId="4D28FDF1" w14:textId="77777777" w:rsidR="00FA457D" w:rsidRPr="00D10870" w:rsidRDefault="00FA457D" w:rsidP="00A4535A">
      <w:pPr>
        <w:widowControl/>
        <w:jc w:val="both"/>
      </w:pPr>
      <w:r w:rsidRPr="00B1089D">
        <w:rPr>
          <w:b/>
          <w:bCs/>
        </w:rPr>
        <w:t>Anahtar Kelimeler:</w:t>
      </w:r>
      <w:r w:rsidRPr="00B1089D">
        <w:t xml:space="preserve"> Güç, Sert Güç, Yumuşak güç, Tarihsel Miras, Dış politika, İç politika, Osmanlı Devleti, Atatürk, Cumhuriyet, Özal, İslam, AKP, Balkanlar</w:t>
      </w:r>
    </w:p>
    <w:p w14:paraId="38A2F286" w14:textId="77777777" w:rsidR="00FA457D" w:rsidRPr="00D10870" w:rsidRDefault="00FA457D" w:rsidP="00A4535A">
      <w:pPr>
        <w:widowControl/>
        <w:jc w:val="both"/>
      </w:pPr>
    </w:p>
    <w:p w14:paraId="5E3ECEB4" w14:textId="77777777" w:rsidR="00FA457D" w:rsidRPr="00B1089D" w:rsidRDefault="00FA457D" w:rsidP="00316176">
      <w:pPr>
        <w:widowControl/>
        <w:jc w:val="center"/>
        <w:rPr>
          <w:b/>
          <w:bCs/>
        </w:rPr>
      </w:pPr>
      <w:proofErr w:type="spellStart"/>
      <w:r w:rsidRPr="00D10870">
        <w:rPr>
          <w:b/>
          <w:bCs/>
        </w:rPr>
        <w:t>Abstract</w:t>
      </w:r>
      <w:proofErr w:type="spellEnd"/>
    </w:p>
    <w:p w14:paraId="2A8CA8EE" w14:textId="77777777" w:rsidR="00FA457D" w:rsidRPr="00D10870" w:rsidRDefault="00FA457D" w:rsidP="00A4535A">
      <w:pPr>
        <w:widowControl/>
        <w:jc w:val="both"/>
      </w:pPr>
      <w:proofErr w:type="spellStart"/>
      <w:r w:rsidRPr="00B1089D">
        <w:t>This</w:t>
      </w:r>
      <w:proofErr w:type="spellEnd"/>
      <w:r w:rsidRPr="00B1089D">
        <w:t xml:space="preserve"> </w:t>
      </w:r>
      <w:proofErr w:type="spellStart"/>
      <w:r w:rsidRPr="00B1089D">
        <w:t>article</w:t>
      </w:r>
      <w:proofErr w:type="spellEnd"/>
      <w:r w:rsidRPr="00B1089D">
        <w:t xml:space="preserve"> </w:t>
      </w:r>
      <w:proofErr w:type="spellStart"/>
      <w:r w:rsidRPr="00B1089D">
        <w:t>examines</w:t>
      </w:r>
      <w:proofErr w:type="spellEnd"/>
      <w:r w:rsidRPr="00B1089D">
        <w:t xml:space="preserve"> </w:t>
      </w:r>
      <w:proofErr w:type="spellStart"/>
      <w:r w:rsidRPr="00B1089D">
        <w:t>the</w:t>
      </w:r>
      <w:proofErr w:type="spellEnd"/>
      <w:r w:rsidRPr="00B1089D">
        <w:t xml:space="preserve"> </w:t>
      </w:r>
      <w:proofErr w:type="spellStart"/>
      <w:r w:rsidRPr="00B1089D">
        <w:t>transformation</w:t>
      </w:r>
      <w:proofErr w:type="spellEnd"/>
      <w:r w:rsidRPr="00B1089D">
        <w:t xml:space="preserve"> of </w:t>
      </w:r>
      <w:proofErr w:type="spellStart"/>
      <w:r w:rsidRPr="00B1089D">
        <w:t>Turkish</w:t>
      </w:r>
      <w:proofErr w:type="spellEnd"/>
      <w:r w:rsidRPr="00B1089D">
        <w:t xml:space="preserve">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framework</w:t>
      </w:r>
      <w:proofErr w:type="spellEnd"/>
      <w:r w:rsidRPr="00B1089D">
        <w:t xml:space="preserve"> of </w:t>
      </w:r>
      <w:proofErr w:type="spellStart"/>
      <w:r w:rsidRPr="00B1089D">
        <w:t>the</w:t>
      </w:r>
      <w:proofErr w:type="spellEnd"/>
      <w:r w:rsidRPr="00B1089D">
        <w:t xml:space="preserve"> </w:t>
      </w:r>
      <w:proofErr w:type="spellStart"/>
      <w:r w:rsidRPr="00B1089D">
        <w:t>soft</w:t>
      </w:r>
      <w:proofErr w:type="spellEnd"/>
      <w:r w:rsidRPr="00B1089D">
        <w:t xml:space="preserve"> </w:t>
      </w:r>
      <w:proofErr w:type="spellStart"/>
      <w:proofErr w:type="gramStart"/>
      <w:r w:rsidRPr="00B1089D">
        <w:t>power</w:t>
      </w:r>
      <w:proofErr w:type="spellEnd"/>
      <w:r w:rsidRPr="00B1089D">
        <w:t xml:space="preserve"> ,</w:t>
      </w:r>
      <w:proofErr w:type="gramEnd"/>
      <w:r w:rsidRPr="00B1089D">
        <w:t xml:space="preserve"> </w:t>
      </w:r>
      <w:proofErr w:type="spellStart"/>
      <w:r w:rsidRPr="00B1089D">
        <w:t>one</w:t>
      </w:r>
      <w:proofErr w:type="spellEnd"/>
      <w:r w:rsidRPr="00B1089D">
        <w:t xml:space="preserve"> of </w:t>
      </w:r>
      <w:proofErr w:type="spellStart"/>
      <w:r w:rsidRPr="00B1089D">
        <w:t>the</w:t>
      </w:r>
      <w:proofErr w:type="spellEnd"/>
      <w:r w:rsidRPr="00B1089D">
        <w:t xml:space="preserve"> </w:t>
      </w:r>
      <w:proofErr w:type="spellStart"/>
      <w:r w:rsidRPr="00B1089D">
        <w:t>types</w:t>
      </w:r>
      <w:proofErr w:type="spellEnd"/>
      <w:r w:rsidRPr="00B1089D">
        <w:t xml:space="preserve"> of </w:t>
      </w:r>
      <w:proofErr w:type="spellStart"/>
      <w:r w:rsidRPr="00B1089D">
        <w:t>power</w:t>
      </w:r>
      <w:proofErr w:type="spellEnd"/>
      <w:r w:rsidRPr="00B1089D">
        <w:t xml:space="preserve"> </w:t>
      </w:r>
      <w:proofErr w:type="spellStart"/>
      <w:r w:rsidRPr="00B1089D">
        <w:t>that</w:t>
      </w:r>
      <w:proofErr w:type="spellEnd"/>
      <w:r w:rsidRPr="00B1089D">
        <w:t xml:space="preserve"> has </w:t>
      </w:r>
      <w:proofErr w:type="spellStart"/>
      <w:r w:rsidRPr="00B1089D">
        <w:t>been</w:t>
      </w:r>
      <w:proofErr w:type="spellEnd"/>
      <w:r w:rsidRPr="00B1089D">
        <w:t xml:space="preserve"> </w:t>
      </w:r>
      <w:proofErr w:type="spellStart"/>
      <w:r w:rsidRPr="00B1089D">
        <w:t>the</w:t>
      </w:r>
      <w:proofErr w:type="spellEnd"/>
      <w:r w:rsidRPr="00B1089D">
        <w:t xml:space="preserve"> </w:t>
      </w:r>
      <w:proofErr w:type="spellStart"/>
      <w:r w:rsidRPr="00B1089D">
        <w:t>most</w:t>
      </w:r>
      <w:proofErr w:type="spellEnd"/>
      <w:r w:rsidRPr="00B1089D">
        <w:t xml:space="preserve"> </w:t>
      </w:r>
      <w:proofErr w:type="spellStart"/>
      <w:r w:rsidRPr="00B1089D">
        <w:t>fundamental</w:t>
      </w:r>
      <w:proofErr w:type="spellEnd"/>
      <w:r w:rsidRPr="00B1089D">
        <w:t xml:space="preserve"> </w:t>
      </w:r>
      <w:proofErr w:type="spellStart"/>
      <w:r w:rsidRPr="00B1089D">
        <w:t>need</w:t>
      </w:r>
      <w:proofErr w:type="spellEnd"/>
      <w:r w:rsidRPr="00B1089D">
        <w:t xml:space="preserve"> of </w:t>
      </w:r>
      <w:proofErr w:type="spellStart"/>
      <w:r w:rsidRPr="00B1089D">
        <w:t>humanity</w:t>
      </w:r>
      <w:proofErr w:type="spellEnd"/>
      <w:r w:rsidRPr="00B1089D">
        <w:t xml:space="preserve"> since </w:t>
      </w:r>
      <w:proofErr w:type="spellStart"/>
      <w:r w:rsidRPr="00B1089D">
        <w:t>its</w:t>
      </w:r>
      <w:proofErr w:type="spellEnd"/>
      <w:r w:rsidRPr="00B1089D">
        <w:t xml:space="preserve"> </w:t>
      </w:r>
      <w:proofErr w:type="spellStart"/>
      <w:r w:rsidRPr="00B1089D">
        <w:t>emergence</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source</w:t>
      </w:r>
      <w:proofErr w:type="spellEnd"/>
      <w:r w:rsidRPr="00B1089D">
        <w:t xml:space="preserve"> of </w:t>
      </w:r>
      <w:proofErr w:type="spellStart"/>
      <w:r w:rsidRPr="00B1089D">
        <w:t>the</w:t>
      </w:r>
      <w:proofErr w:type="spellEnd"/>
      <w:r w:rsidRPr="00B1089D">
        <w:t xml:space="preserve"> </w:t>
      </w:r>
      <w:proofErr w:type="spellStart"/>
      <w:r w:rsidRPr="00B1089D">
        <w:t>struggle</w:t>
      </w:r>
      <w:proofErr w:type="spellEnd"/>
      <w:r w:rsidRPr="00B1089D">
        <w:t xml:space="preserve"> </w:t>
      </w:r>
      <w:proofErr w:type="spellStart"/>
      <w:r w:rsidRPr="00B1089D">
        <w:t>for</w:t>
      </w:r>
      <w:proofErr w:type="spellEnd"/>
      <w:r w:rsidRPr="00B1089D">
        <w:t xml:space="preserve"> </w:t>
      </w:r>
      <w:proofErr w:type="spellStart"/>
      <w:r w:rsidRPr="00B1089D">
        <w:t>existence</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explores</w:t>
      </w:r>
      <w:proofErr w:type="spellEnd"/>
      <w:r w:rsidRPr="00B1089D">
        <w:t xml:space="preserve"> how </w:t>
      </w:r>
      <w:proofErr w:type="spellStart"/>
      <w:r w:rsidRPr="00B1089D">
        <w:t>the</w:t>
      </w:r>
      <w:proofErr w:type="spellEnd"/>
      <w:r w:rsidRPr="00B1089D">
        <w:t xml:space="preserve"> </w:t>
      </w:r>
      <w:proofErr w:type="spellStart"/>
      <w:r w:rsidRPr="00B1089D">
        <w:t>transformation</w:t>
      </w:r>
      <w:proofErr w:type="spellEnd"/>
      <w:r w:rsidRPr="00B1089D">
        <w:t xml:space="preserve"> of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particularly</w:t>
      </w:r>
      <w:proofErr w:type="spellEnd"/>
      <w:r w:rsidRPr="00B1089D">
        <w:t xml:space="preserve"> in </w:t>
      </w:r>
      <w:proofErr w:type="spellStart"/>
      <w:r w:rsidRPr="00B1089D">
        <w:t>the</w:t>
      </w:r>
      <w:proofErr w:type="spellEnd"/>
      <w:r w:rsidRPr="00B1089D">
        <w:t xml:space="preserve"> </w:t>
      </w:r>
      <w:proofErr w:type="spellStart"/>
      <w:r w:rsidRPr="00B1089D">
        <w:t>context</w:t>
      </w:r>
      <w:proofErr w:type="spellEnd"/>
      <w:r w:rsidRPr="00B1089D">
        <w:t xml:space="preserve"> of </w:t>
      </w:r>
      <w:proofErr w:type="spellStart"/>
      <w:r w:rsidRPr="00B1089D">
        <w:t>Turkey's</w:t>
      </w:r>
      <w:proofErr w:type="spellEnd"/>
      <w:r w:rsidRPr="00B1089D">
        <w:t xml:space="preserve"> </w:t>
      </w:r>
      <w:proofErr w:type="spellStart"/>
      <w:r w:rsidRPr="00B1089D">
        <w:t>most</w:t>
      </w:r>
      <w:proofErr w:type="spellEnd"/>
      <w:r w:rsidRPr="00B1089D">
        <w:t xml:space="preserve"> </w:t>
      </w:r>
      <w:proofErr w:type="spellStart"/>
      <w:r w:rsidRPr="00B1089D">
        <w:t>significant</w:t>
      </w:r>
      <w:proofErr w:type="spellEnd"/>
      <w:r w:rsidRPr="00B1089D">
        <w:t xml:space="preserve"> </w:t>
      </w:r>
      <w:proofErr w:type="spellStart"/>
      <w:r w:rsidRPr="00B1089D">
        <w:t>soft</w:t>
      </w:r>
      <w:proofErr w:type="spellEnd"/>
      <w:r w:rsidRPr="00B1089D">
        <w:t xml:space="preserve"> </w:t>
      </w:r>
      <w:proofErr w:type="spellStart"/>
      <w:r w:rsidRPr="00B1089D">
        <w:t>power</w:t>
      </w:r>
      <w:proofErr w:type="spellEnd"/>
      <w:r w:rsidRPr="00B1089D">
        <w:t xml:space="preserve"> </w:t>
      </w:r>
      <w:proofErr w:type="spellStart"/>
      <w:r w:rsidRPr="00B1089D">
        <w:t>source</w:t>
      </w:r>
      <w:proofErr w:type="spellEnd"/>
      <w:r w:rsidRPr="00B1089D">
        <w:t>, "</w:t>
      </w:r>
      <w:proofErr w:type="spellStart"/>
      <w:r w:rsidRPr="00B1089D">
        <w:t>historical</w:t>
      </w:r>
      <w:proofErr w:type="spellEnd"/>
      <w:r w:rsidRPr="00B1089D">
        <w:t xml:space="preserve"> </w:t>
      </w:r>
      <w:proofErr w:type="spellStart"/>
      <w:r w:rsidRPr="00B1089D">
        <w:t>heritage</w:t>
      </w:r>
      <w:proofErr w:type="spellEnd"/>
      <w:r w:rsidRPr="00B1089D">
        <w:t xml:space="preserve">," is </w:t>
      </w:r>
      <w:proofErr w:type="spellStart"/>
      <w:r w:rsidRPr="00B1089D">
        <w:t>taking</w:t>
      </w:r>
      <w:proofErr w:type="spellEnd"/>
      <w:r w:rsidRPr="00B1089D">
        <w:t xml:space="preserve"> </w:t>
      </w:r>
      <w:proofErr w:type="spellStart"/>
      <w:r w:rsidRPr="00B1089D">
        <w:t>place</w:t>
      </w:r>
      <w:proofErr w:type="spellEnd"/>
      <w:r w:rsidRPr="00B1089D">
        <w:t xml:space="preserve">, </w:t>
      </w:r>
      <w:proofErr w:type="spellStart"/>
      <w:r w:rsidRPr="00B1089D">
        <w:t>and</w:t>
      </w:r>
      <w:proofErr w:type="spellEnd"/>
      <w:r w:rsidRPr="00B1089D">
        <w:t xml:space="preserve"> at </w:t>
      </w:r>
      <w:proofErr w:type="spellStart"/>
      <w:r w:rsidRPr="00B1089D">
        <w:t>the</w:t>
      </w:r>
      <w:proofErr w:type="spellEnd"/>
      <w:r w:rsidRPr="00B1089D">
        <w:t xml:space="preserve"> </w:t>
      </w:r>
      <w:proofErr w:type="spellStart"/>
      <w:r w:rsidRPr="00B1089D">
        <w:t>same</w:t>
      </w:r>
      <w:proofErr w:type="spellEnd"/>
      <w:r w:rsidRPr="00B1089D">
        <w:t xml:space="preserve"> time, it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understand</w:t>
      </w:r>
      <w:proofErr w:type="spellEnd"/>
      <w:r w:rsidRPr="00B1089D">
        <w:t xml:space="preserve"> </w:t>
      </w:r>
      <w:proofErr w:type="spellStart"/>
      <w:r w:rsidRPr="00B1089D">
        <w:t>the</w:t>
      </w:r>
      <w:proofErr w:type="spellEnd"/>
      <w:r w:rsidRPr="00B1089D">
        <w:t xml:space="preserve"> </w:t>
      </w:r>
      <w:proofErr w:type="spellStart"/>
      <w:r w:rsidRPr="00B1089D">
        <w:t>changes</w:t>
      </w:r>
      <w:proofErr w:type="spellEnd"/>
      <w:r w:rsidRPr="00B1089D">
        <w:t xml:space="preserve"> </w:t>
      </w:r>
      <w:proofErr w:type="spellStart"/>
      <w:r w:rsidRPr="00B1089D">
        <w:t>occurring</w:t>
      </w:r>
      <w:proofErr w:type="spellEnd"/>
      <w:r w:rsidRPr="00B1089D">
        <w:t xml:space="preserve"> in </w:t>
      </w:r>
      <w:proofErr w:type="spellStart"/>
      <w:r w:rsidRPr="00B1089D">
        <w:t>domestic</w:t>
      </w:r>
      <w:proofErr w:type="spellEnd"/>
      <w:r w:rsidRPr="00B1089D">
        <w:t xml:space="preserve"> </w:t>
      </w:r>
      <w:proofErr w:type="spellStart"/>
      <w:r w:rsidRPr="00B1089D">
        <w:t>politics</w:t>
      </w:r>
      <w:proofErr w:type="spellEnd"/>
      <w:r w:rsidRPr="00B1089D">
        <w:t xml:space="preserve">, </w:t>
      </w:r>
      <w:proofErr w:type="spellStart"/>
      <w:r w:rsidRPr="00B1089D">
        <w:t>namely</w:t>
      </w:r>
      <w:proofErr w:type="spellEnd"/>
      <w:r w:rsidRPr="00B1089D">
        <w:t xml:space="preserve"> in </w:t>
      </w:r>
      <w:proofErr w:type="spellStart"/>
      <w:r w:rsidRPr="00B1089D">
        <w:t>societal</w:t>
      </w:r>
      <w:proofErr w:type="spellEnd"/>
      <w:r w:rsidRPr="00B1089D">
        <w:t xml:space="preserve"> </w:t>
      </w:r>
      <w:proofErr w:type="spellStart"/>
      <w:r w:rsidRPr="00B1089D">
        <w:t>dynamics</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regard</w:t>
      </w:r>
      <w:proofErr w:type="spellEnd"/>
      <w:r w:rsidRPr="00B1089D">
        <w:t xml:space="preserve">, </w:t>
      </w:r>
      <w:proofErr w:type="spellStart"/>
      <w:r w:rsidRPr="00B1089D">
        <w:t>especially</w:t>
      </w:r>
      <w:proofErr w:type="spellEnd"/>
      <w:r w:rsidRPr="00B1089D">
        <w:t xml:space="preserve"> since </w:t>
      </w:r>
      <w:proofErr w:type="spellStart"/>
      <w:r w:rsidRPr="00B1089D">
        <w:t>the</w:t>
      </w:r>
      <w:proofErr w:type="spellEnd"/>
      <w:r w:rsidRPr="00B1089D">
        <w:t xml:space="preserve"> 1970s </w:t>
      </w:r>
      <w:proofErr w:type="spellStart"/>
      <w:r w:rsidRPr="00B1089D">
        <w:t>remembered</w:t>
      </w:r>
      <w:proofErr w:type="spellEnd"/>
      <w:r w:rsidRPr="00B1089D">
        <w:t xml:space="preserve"> </w:t>
      </w:r>
      <w:proofErr w:type="spellStart"/>
      <w:r w:rsidRPr="00B1089D">
        <w:t>the</w:t>
      </w:r>
      <w:proofErr w:type="spellEnd"/>
      <w:r w:rsidRPr="00B1089D">
        <w:t xml:space="preserve"> </w:t>
      </w:r>
      <w:proofErr w:type="spellStart"/>
      <w:r w:rsidRPr="00B1089D">
        <w:t>historical</w:t>
      </w:r>
      <w:proofErr w:type="spellEnd"/>
      <w:r w:rsidRPr="00B1089D">
        <w:t xml:space="preserve"> </w:t>
      </w:r>
      <w:proofErr w:type="spellStart"/>
      <w:r w:rsidRPr="00B1089D">
        <w:t>heritage</w:t>
      </w:r>
      <w:proofErr w:type="spellEnd"/>
      <w:r w:rsidRPr="00B1089D">
        <w:t xml:space="preserve"> has </w:t>
      </w:r>
      <w:proofErr w:type="spellStart"/>
      <w:r w:rsidRPr="00B1089D">
        <w:t>become</w:t>
      </w:r>
      <w:proofErr w:type="spellEnd"/>
      <w:r w:rsidRPr="00B1089D">
        <w:t xml:space="preserve"> a </w:t>
      </w:r>
      <w:proofErr w:type="spellStart"/>
      <w:r w:rsidRPr="00B1089D">
        <w:t>driving</w:t>
      </w:r>
      <w:proofErr w:type="spellEnd"/>
      <w:r w:rsidRPr="00B1089D">
        <w:t xml:space="preserve"> </w:t>
      </w:r>
      <w:proofErr w:type="spellStart"/>
      <w:r w:rsidRPr="00B1089D">
        <w:t>force</w:t>
      </w:r>
      <w:proofErr w:type="spellEnd"/>
      <w:r w:rsidRPr="00B1089D">
        <w:t xml:space="preserve"> </w:t>
      </w:r>
      <w:proofErr w:type="spellStart"/>
      <w:r w:rsidRPr="00B1089D">
        <w:t>for</w:t>
      </w:r>
      <w:proofErr w:type="spellEnd"/>
      <w:r w:rsidRPr="00B1089D">
        <w:t xml:space="preserve"> </w:t>
      </w:r>
      <w:proofErr w:type="spellStart"/>
      <w:r w:rsidRPr="00B1089D">
        <w:t>enhancing</w:t>
      </w:r>
      <w:proofErr w:type="spellEnd"/>
      <w:r w:rsidRPr="00B1089D">
        <w:t xml:space="preserve"> </w:t>
      </w:r>
      <w:proofErr w:type="spellStart"/>
      <w:r w:rsidRPr="00B1089D">
        <w:t>influence</w:t>
      </w:r>
      <w:proofErr w:type="spellEnd"/>
      <w:r w:rsidRPr="00B1089D">
        <w:t xml:space="preserve"> </w:t>
      </w:r>
      <w:proofErr w:type="spellStart"/>
      <w:r w:rsidRPr="00B1089D">
        <w:t>and</w:t>
      </w:r>
      <w:proofErr w:type="spellEnd"/>
      <w:r w:rsidRPr="00B1089D">
        <w:t xml:space="preserve"> </w:t>
      </w:r>
      <w:proofErr w:type="spellStart"/>
      <w:r w:rsidRPr="00B1089D">
        <w:t>developing</w:t>
      </w:r>
      <w:proofErr w:type="spellEnd"/>
      <w:r w:rsidRPr="00B1089D">
        <w:t xml:space="preserve"> </w:t>
      </w:r>
      <w:proofErr w:type="spellStart"/>
      <w:r w:rsidRPr="00B1089D">
        <w:t>relations</w:t>
      </w:r>
      <w:proofErr w:type="spellEnd"/>
      <w:r w:rsidRPr="00B1089D">
        <w:t xml:space="preserve"> in </w:t>
      </w:r>
      <w:proofErr w:type="spellStart"/>
      <w:r w:rsidRPr="00B1089D">
        <w:t>the</w:t>
      </w:r>
      <w:proofErr w:type="spellEnd"/>
      <w:r w:rsidRPr="00B1089D">
        <w:t xml:space="preserve"> </w:t>
      </w:r>
      <w:proofErr w:type="spellStart"/>
      <w:r w:rsidRPr="00B1089D">
        <w:t>the</w:t>
      </w:r>
      <w:proofErr w:type="spellEnd"/>
      <w:r w:rsidRPr="00B1089D">
        <w:t xml:space="preserve"> </w:t>
      </w:r>
      <w:proofErr w:type="spellStart"/>
      <w:r w:rsidRPr="00B1089D">
        <w:t>strengthening</w:t>
      </w:r>
      <w:proofErr w:type="spellEnd"/>
      <w:r w:rsidRPr="00B1089D">
        <w:t xml:space="preserve"> of </w:t>
      </w:r>
      <w:proofErr w:type="spellStart"/>
      <w:r w:rsidRPr="00B1089D">
        <w:t>the</w:t>
      </w:r>
      <w:proofErr w:type="spellEnd"/>
      <w:r w:rsidRPr="00B1089D">
        <w:t xml:space="preserve"> </w:t>
      </w:r>
      <w:proofErr w:type="spellStart"/>
      <w:r w:rsidRPr="00B1089D">
        <w:t>connection</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past</w:t>
      </w:r>
      <w:proofErr w:type="spellEnd"/>
      <w:r w:rsidRPr="00B1089D">
        <w:t xml:space="preserve">, </w:t>
      </w:r>
      <w:proofErr w:type="spellStart"/>
      <w:proofErr w:type="gramStart"/>
      <w:r w:rsidRPr="00B1089D">
        <w:t>and</w:t>
      </w:r>
      <w:proofErr w:type="spellEnd"/>
      <w:r w:rsidRPr="00B1089D">
        <w:t xml:space="preserve">  </w:t>
      </w:r>
      <w:proofErr w:type="spellStart"/>
      <w:r w:rsidRPr="00B1089D">
        <w:t>the</w:t>
      </w:r>
      <w:proofErr w:type="spellEnd"/>
      <w:proofErr w:type="gramEnd"/>
      <w:r w:rsidRPr="00B1089D">
        <w:t xml:space="preserve"> </w:t>
      </w:r>
      <w:proofErr w:type="spellStart"/>
      <w:r w:rsidRPr="00B1089D">
        <w:t>strengthening</w:t>
      </w:r>
      <w:proofErr w:type="spellEnd"/>
      <w:r w:rsidRPr="00B1089D">
        <w:t xml:space="preserve"> of </w:t>
      </w:r>
      <w:proofErr w:type="spellStart"/>
      <w:r w:rsidRPr="00B1089D">
        <w:t>ties</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Islamic</w:t>
      </w:r>
      <w:proofErr w:type="spellEnd"/>
      <w:r w:rsidRPr="00B1089D">
        <w:t xml:space="preserve"> </w:t>
      </w:r>
      <w:proofErr w:type="spellStart"/>
      <w:r w:rsidRPr="00B1089D">
        <w:t>world</w:t>
      </w:r>
      <w:proofErr w:type="spellEnd"/>
      <w:r w:rsidRPr="00B1089D">
        <w:t xml:space="preserve"> </w:t>
      </w:r>
      <w:proofErr w:type="spellStart"/>
      <w:r w:rsidRPr="00B1089D">
        <w:t>and</w:t>
      </w:r>
      <w:proofErr w:type="spellEnd"/>
      <w:r w:rsidRPr="00B1089D">
        <w:t xml:space="preserve"> </w:t>
      </w:r>
      <w:proofErr w:type="spellStart"/>
      <w:r w:rsidRPr="00B1089D">
        <w:t>Ottoman</w:t>
      </w:r>
      <w:proofErr w:type="spellEnd"/>
      <w:r w:rsidRPr="00B1089D">
        <w:t xml:space="preserve"> </w:t>
      </w:r>
      <w:proofErr w:type="spellStart"/>
      <w:r w:rsidRPr="00B1089D">
        <w:t>geography</w:t>
      </w:r>
      <w:proofErr w:type="spellEnd"/>
      <w:r w:rsidRPr="00B1089D">
        <w:t xml:space="preserve"> </w:t>
      </w:r>
      <w:proofErr w:type="spellStart"/>
      <w:r w:rsidRPr="00B1089D">
        <w:t>along</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multifaceted</w:t>
      </w:r>
      <w:proofErr w:type="spellEnd"/>
      <w:r w:rsidRPr="00B1089D">
        <w:t xml:space="preserve">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needs</w:t>
      </w:r>
      <w:proofErr w:type="spellEnd"/>
      <w:r w:rsidRPr="00B1089D">
        <w:t xml:space="preserve">. At </w:t>
      </w:r>
      <w:proofErr w:type="spellStart"/>
      <w:r w:rsidRPr="00B1089D">
        <w:t>the</w:t>
      </w:r>
      <w:proofErr w:type="spellEnd"/>
      <w:r w:rsidRPr="00B1089D">
        <w:t xml:space="preserve"> </w:t>
      </w:r>
      <w:proofErr w:type="spellStart"/>
      <w:r w:rsidRPr="00B1089D">
        <w:t>same</w:t>
      </w:r>
      <w:proofErr w:type="spellEnd"/>
      <w:r w:rsidRPr="00B1089D">
        <w:t xml:space="preserve"> time, </w:t>
      </w:r>
      <w:proofErr w:type="spellStart"/>
      <w:r w:rsidRPr="00B1089D">
        <w:t>this</w:t>
      </w:r>
      <w:proofErr w:type="spellEnd"/>
      <w:r w:rsidRPr="00B1089D">
        <w:t xml:space="preserve"> </w:t>
      </w:r>
      <w:proofErr w:type="spellStart"/>
      <w:r w:rsidRPr="00B1089D">
        <w:t>driving</w:t>
      </w:r>
      <w:proofErr w:type="spellEnd"/>
      <w:r w:rsidRPr="00B1089D">
        <w:t xml:space="preserve"> </w:t>
      </w:r>
      <w:proofErr w:type="spellStart"/>
      <w:r w:rsidRPr="00B1089D">
        <w:t>force</w:t>
      </w:r>
      <w:proofErr w:type="spellEnd"/>
      <w:r w:rsidRPr="00B1089D">
        <w:t xml:space="preserve"> has </w:t>
      </w:r>
      <w:proofErr w:type="spellStart"/>
      <w:r w:rsidRPr="00B1089D">
        <w:t>also</w:t>
      </w:r>
      <w:proofErr w:type="spellEnd"/>
      <w:r w:rsidRPr="00B1089D">
        <w:t xml:space="preserve"> </w:t>
      </w:r>
      <w:proofErr w:type="spellStart"/>
      <w:r w:rsidRPr="00B1089D">
        <w:t>become</w:t>
      </w:r>
      <w:proofErr w:type="spellEnd"/>
      <w:r w:rsidRPr="00B1089D">
        <w:t xml:space="preserve"> a </w:t>
      </w:r>
      <w:proofErr w:type="spellStart"/>
      <w:r w:rsidRPr="00B1089D">
        <w:t>key</w:t>
      </w:r>
      <w:proofErr w:type="spellEnd"/>
      <w:r w:rsidRPr="00B1089D">
        <w:t xml:space="preserve"> </w:t>
      </w:r>
      <w:proofErr w:type="spellStart"/>
      <w:r w:rsidRPr="00B1089D">
        <w:t>input</w:t>
      </w:r>
      <w:proofErr w:type="spellEnd"/>
      <w:r w:rsidRPr="00B1089D">
        <w:t xml:space="preserve"> in </w:t>
      </w:r>
      <w:proofErr w:type="spellStart"/>
      <w:r w:rsidRPr="00B1089D">
        <w:t>the</w:t>
      </w:r>
      <w:proofErr w:type="spellEnd"/>
      <w:r w:rsidRPr="00B1089D">
        <w:t xml:space="preserve"> </w:t>
      </w:r>
      <w:proofErr w:type="spellStart"/>
      <w:r w:rsidRPr="00B1089D">
        <w:t>management</w:t>
      </w:r>
      <w:proofErr w:type="spellEnd"/>
      <w:r w:rsidRPr="00B1089D">
        <w:t xml:space="preserve"> of </w:t>
      </w:r>
      <w:proofErr w:type="spellStart"/>
      <w:r w:rsidRPr="00B1089D">
        <w:t>societal</w:t>
      </w:r>
      <w:proofErr w:type="spellEnd"/>
      <w:r w:rsidRPr="00B1089D">
        <w:t xml:space="preserve"> </w:t>
      </w:r>
      <w:proofErr w:type="spellStart"/>
      <w:r w:rsidRPr="00B1089D">
        <w:t>transformation</w:t>
      </w:r>
      <w:proofErr w:type="spellEnd"/>
      <w:r w:rsidRPr="00B1089D">
        <w:t xml:space="preserve"> in </w:t>
      </w:r>
      <w:proofErr w:type="spellStart"/>
      <w:r w:rsidRPr="00B1089D">
        <w:t>domestic</w:t>
      </w:r>
      <w:proofErr w:type="spellEnd"/>
      <w:r w:rsidRPr="00B1089D">
        <w:t xml:space="preserve"> </w:t>
      </w:r>
      <w:proofErr w:type="spellStart"/>
      <w:r w:rsidRPr="00B1089D">
        <w:t>politics</w:t>
      </w:r>
      <w:proofErr w:type="spellEnd"/>
      <w:r w:rsidRPr="00B1089D">
        <w:t xml:space="preserve">, </w:t>
      </w:r>
      <w:proofErr w:type="spellStart"/>
      <w:r w:rsidRPr="00B1089D">
        <w:t>alongside</w:t>
      </w:r>
      <w:proofErr w:type="spellEnd"/>
      <w:r w:rsidRPr="00B1089D">
        <w:t xml:space="preserve"> </w:t>
      </w:r>
      <w:proofErr w:type="spellStart"/>
      <w:r w:rsidRPr="00B1089D">
        <w:t>the</w:t>
      </w:r>
      <w:proofErr w:type="spellEnd"/>
      <w:r w:rsidRPr="00B1089D">
        <w:t xml:space="preserve"> </w:t>
      </w:r>
      <w:proofErr w:type="spellStart"/>
      <w:r w:rsidRPr="00B1089D">
        <w:t>dynamics</w:t>
      </w:r>
      <w:proofErr w:type="spellEnd"/>
      <w:r w:rsidRPr="00B1089D">
        <w:t xml:space="preserve"> of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emphasis</w:t>
      </w:r>
      <w:proofErr w:type="spellEnd"/>
      <w:r w:rsidRPr="00B1089D">
        <w:t xml:space="preserve"> on </w:t>
      </w:r>
      <w:proofErr w:type="spellStart"/>
      <w:r w:rsidRPr="00B1089D">
        <w:t>the</w:t>
      </w:r>
      <w:proofErr w:type="spellEnd"/>
      <w:r w:rsidRPr="00B1089D">
        <w:t xml:space="preserve"> </w:t>
      </w:r>
      <w:proofErr w:type="spellStart"/>
      <w:r w:rsidRPr="00B1089D">
        <w:t>Islamic</w:t>
      </w:r>
      <w:proofErr w:type="spellEnd"/>
      <w:r w:rsidRPr="00B1089D">
        <w:t xml:space="preserve"> </w:t>
      </w:r>
      <w:proofErr w:type="spellStart"/>
      <w:r w:rsidRPr="00B1089D">
        <w:t>and</w:t>
      </w:r>
      <w:proofErr w:type="spellEnd"/>
      <w:r w:rsidRPr="00B1089D">
        <w:t xml:space="preserve"> </w:t>
      </w:r>
      <w:proofErr w:type="spellStart"/>
      <w:r w:rsidRPr="00B1089D">
        <w:t>Ottoman</w:t>
      </w:r>
      <w:proofErr w:type="spellEnd"/>
      <w:r w:rsidRPr="00B1089D">
        <w:t xml:space="preserve"> </w:t>
      </w:r>
      <w:proofErr w:type="spellStart"/>
      <w:r w:rsidRPr="00B1089D">
        <w:t>past</w:t>
      </w:r>
      <w:proofErr w:type="spellEnd"/>
      <w:r w:rsidRPr="00B1089D">
        <w:t xml:space="preserve"> has </w:t>
      </w:r>
      <w:proofErr w:type="spellStart"/>
      <w:r w:rsidRPr="00B1089D">
        <w:t>increased</w:t>
      </w:r>
      <w:proofErr w:type="spellEnd"/>
      <w:r w:rsidRPr="00B1089D">
        <w:t>.</w:t>
      </w:r>
    </w:p>
    <w:p w14:paraId="71398E9F" w14:textId="77777777" w:rsidR="00FA457D" w:rsidRPr="00B1089D" w:rsidRDefault="00FA457D" w:rsidP="00A4535A">
      <w:pPr>
        <w:widowControl/>
        <w:jc w:val="both"/>
      </w:pPr>
    </w:p>
    <w:p w14:paraId="482153A3" w14:textId="1831D879" w:rsidR="00661282" w:rsidRDefault="00FA457D" w:rsidP="00A4535A">
      <w:pPr>
        <w:widowControl/>
        <w:jc w:val="both"/>
      </w:pPr>
      <w:proofErr w:type="spellStart"/>
      <w:r w:rsidRPr="00B1089D">
        <w:rPr>
          <w:b/>
          <w:bCs/>
        </w:rPr>
        <w:t>Keywords</w:t>
      </w:r>
      <w:proofErr w:type="spellEnd"/>
      <w:r w:rsidRPr="00B1089D">
        <w:rPr>
          <w:b/>
          <w:bCs/>
        </w:rPr>
        <w:t xml:space="preserve">: </w:t>
      </w:r>
      <w:proofErr w:type="spellStart"/>
      <w:r w:rsidRPr="00B1089D">
        <w:t>Power</w:t>
      </w:r>
      <w:proofErr w:type="spellEnd"/>
      <w:r w:rsidRPr="00B1089D">
        <w:t xml:space="preserve">, Hard </w:t>
      </w:r>
      <w:proofErr w:type="spellStart"/>
      <w:r w:rsidRPr="00B1089D">
        <w:t>Power</w:t>
      </w:r>
      <w:proofErr w:type="spellEnd"/>
      <w:r w:rsidRPr="00B1089D">
        <w:t xml:space="preserve">, </w:t>
      </w:r>
      <w:proofErr w:type="spellStart"/>
      <w:r w:rsidRPr="00B1089D">
        <w:t>Soft</w:t>
      </w:r>
      <w:proofErr w:type="spellEnd"/>
      <w:r w:rsidRPr="00B1089D">
        <w:t xml:space="preserve"> </w:t>
      </w:r>
      <w:proofErr w:type="spellStart"/>
      <w:r w:rsidRPr="00B1089D">
        <w:t>Power</w:t>
      </w:r>
      <w:proofErr w:type="spellEnd"/>
      <w:r w:rsidRPr="00B1089D">
        <w:t xml:space="preserve">, </w:t>
      </w:r>
      <w:proofErr w:type="spellStart"/>
      <w:r w:rsidRPr="00B1089D">
        <w:t>Historical</w:t>
      </w:r>
      <w:proofErr w:type="spellEnd"/>
      <w:r w:rsidRPr="00B1089D">
        <w:t xml:space="preserve"> </w:t>
      </w:r>
      <w:proofErr w:type="spellStart"/>
      <w:r w:rsidRPr="00B1089D">
        <w:t>Heritage</w:t>
      </w:r>
      <w:proofErr w:type="spellEnd"/>
      <w:r w:rsidRPr="00B1089D">
        <w:t xml:space="preserve">,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Domestic</w:t>
      </w:r>
      <w:proofErr w:type="spellEnd"/>
      <w:r w:rsidRPr="00B1089D">
        <w:t xml:space="preserve"> </w:t>
      </w:r>
      <w:proofErr w:type="spellStart"/>
      <w:r w:rsidRPr="00B1089D">
        <w:t>Policy</w:t>
      </w:r>
      <w:proofErr w:type="spellEnd"/>
      <w:r w:rsidRPr="00B1089D">
        <w:t xml:space="preserve">, </w:t>
      </w:r>
      <w:proofErr w:type="spellStart"/>
      <w:r w:rsidRPr="00B1089D">
        <w:t>Ottoman</w:t>
      </w:r>
      <w:proofErr w:type="spellEnd"/>
      <w:r w:rsidRPr="00B1089D">
        <w:t xml:space="preserve"> </w:t>
      </w:r>
      <w:proofErr w:type="spellStart"/>
      <w:r w:rsidRPr="00B1089D">
        <w:t>Empire</w:t>
      </w:r>
      <w:proofErr w:type="spellEnd"/>
      <w:r w:rsidRPr="00B1089D">
        <w:t xml:space="preserve">, Atatürk, </w:t>
      </w:r>
      <w:proofErr w:type="spellStart"/>
      <w:r w:rsidRPr="00B1089D">
        <w:t>Republic</w:t>
      </w:r>
      <w:proofErr w:type="spellEnd"/>
      <w:r w:rsidRPr="00B1089D">
        <w:t xml:space="preserve">, Özal, İslam, AKP, Balkanlar, Balkan </w:t>
      </w:r>
      <w:proofErr w:type="spellStart"/>
      <w:r w:rsidRPr="00B1089D">
        <w:t>Region</w:t>
      </w:r>
      <w:proofErr w:type="spellEnd"/>
    </w:p>
    <w:p w14:paraId="2B41FDF0" w14:textId="319684DC" w:rsidR="00FA457D" w:rsidRPr="00661282" w:rsidRDefault="00661282" w:rsidP="00661282">
      <w:pPr>
        <w:autoSpaceDE/>
        <w:autoSpaceDN/>
        <w:jc w:val="center"/>
        <w:rPr>
          <w:b/>
          <w:bCs/>
        </w:rPr>
      </w:pPr>
      <w:r>
        <w:br w:type="page"/>
      </w:r>
      <w:r w:rsidR="00FA457D" w:rsidRPr="00661282">
        <w:rPr>
          <w:b/>
          <w:bCs/>
        </w:rPr>
        <w:lastRenderedPageBreak/>
        <w:t>Türkiye-Avrupa Birliği İlişkilerinde Dönüm Noktaları:</w:t>
      </w:r>
    </w:p>
    <w:p w14:paraId="27AB66CB" w14:textId="3312E04B" w:rsidR="00FA457D" w:rsidRDefault="00FA457D" w:rsidP="004C7694">
      <w:pPr>
        <w:pStyle w:val="Tark"/>
      </w:pPr>
      <w:bookmarkStart w:id="236" w:name="_Toc192855259"/>
      <w:r w:rsidRPr="00FE37E3">
        <w:t>Lüksemburg</w:t>
      </w:r>
      <w:r>
        <w:t xml:space="preserve"> </w:t>
      </w:r>
      <w:r w:rsidRPr="00FE37E3">
        <w:t>ve Helsinki Zirveleri</w:t>
      </w:r>
      <w:bookmarkEnd w:id="236"/>
    </w:p>
    <w:p w14:paraId="2F8077C3" w14:textId="77777777" w:rsidR="00661282" w:rsidRPr="00661282" w:rsidRDefault="00661282" w:rsidP="00661282">
      <w:pPr>
        <w:pStyle w:val="Metin"/>
      </w:pPr>
    </w:p>
    <w:p w14:paraId="75933982" w14:textId="77777777" w:rsidR="00FA457D" w:rsidRDefault="00FA457D" w:rsidP="00FA457D">
      <w:pPr>
        <w:jc w:val="center"/>
      </w:pPr>
      <w:r>
        <w:t>Sena Birinci</w:t>
      </w:r>
      <w:r>
        <w:br/>
        <w:t>Ankara Hacı Bayram Veli Üniversitesi, Siyaset ve Sosyal Bilimler Bölümü</w:t>
      </w:r>
      <w:r>
        <w:br/>
        <w:t>ssenabbirinci@gmail.com</w:t>
      </w:r>
      <w:r>
        <w:br/>
      </w:r>
      <w:r w:rsidRPr="002E6FD1">
        <w:t>https://orcid.org/0009-0004-0910-4</w:t>
      </w:r>
    </w:p>
    <w:p w14:paraId="2C12202C" w14:textId="77777777" w:rsidR="00FA457D" w:rsidRDefault="00FA457D" w:rsidP="00FA457D">
      <w:pPr>
        <w:jc w:val="both"/>
      </w:pPr>
    </w:p>
    <w:p w14:paraId="4E68F9D9" w14:textId="77777777" w:rsidR="00FA457D" w:rsidRDefault="00FA457D" w:rsidP="00FA457D">
      <w:pPr>
        <w:jc w:val="center"/>
        <w:rPr>
          <w:b/>
          <w:bCs/>
        </w:rPr>
      </w:pPr>
      <w:r w:rsidRPr="00097B24">
        <w:rPr>
          <w:b/>
          <w:bCs/>
        </w:rPr>
        <w:t>Özet</w:t>
      </w:r>
    </w:p>
    <w:p w14:paraId="2C45C6B6" w14:textId="77777777" w:rsidR="00FA457D" w:rsidRPr="00B84567" w:rsidRDefault="00FA457D" w:rsidP="00A4535A">
      <w:pPr>
        <w:jc w:val="both"/>
        <w:rPr>
          <w:b/>
          <w:bCs/>
        </w:rPr>
      </w:pPr>
      <w:r w:rsidRPr="003E5C83">
        <w:t>Soğuk Savaş’ın sona ermesiyle birlikte Avrupa’daki siyasi ve ekonomik düzen yeniden şekillenirken, Türkiye’nin Avrupa Birliği ile ilişkileri de bu değişim sürecinden etkilenmiştir. Bu dönemde Lüksemburg (1997) ve Helsinki (1999) zirveleri, Türkiye’nin AB üyelik perspektifi açısından kritik dönüm noktaları olmuştur. Bu zirveler, Türkiye’nin AB ile ilişkilerinde yalnızca geçmişe ışık tutmakla kalmayıp, günümüze uzanan sürecin temel dinamiklerini anlamak açısından da kritik bir dönemdir. Lüksemburg Zirvesi, Türkiye'nin tam üyelik sürecine dair olumsuz bir atmosfer yaratırken, AB ile ilişkilerde yeni dinamikler ortaya çıkarmıştır. Türkiye’nin adaylık statüsünün tanınmaması ve Kıbrıs’ın üyelik sürecinin öne çıkarılması, ilişkilerde gerilimlere neden olmuştur. Bu durum, Türkiye’nin AB’ye yönelik eleştirilerini artırırken, bir yandan da reform sürecini hızlandırma çabalarını teşvik etmiştir. Helsinki Zirvesi ise Türkiye’nin adaylık statüsünü resmi olarak kazandığı bir dönüm noktası olmuştur. Bu zirve, AB ile ilişkilerde olumlu bir ivme yaratmış, reformların hızlanmasını ve siyasi kriterlere uyum çalışmalarının öncelik kazanmasını sağlamıştır. Zirvenin ardından Türkiye, Kopenhag Kriterleri’ne uyum sürecinde önemli adımlar atmıştır. Özellikle demokratikleşme, insan hakları ve hukukun üstünlüğü alanında yapılan reformlar, AB ile ilişkilerin seyrini değiştirmiştir. Bu çalışma, 1990’larda Türkiye ile AB arasındaki ilişkilerin kritik bir dönemini ele alarak Lüksemburg ve Helsinki zirvelerinin Türkiye’nin adaylık sürecine etkilerini incelemeyi amaçlamaktadır. Bu yazı, Lüksemburg ve Helsinki zirvelerinin Türkiye-AB ilişkileri üzerindeki etkilerini karşılaştırmalı bir şekilde ele almayı amaçlamaktadır. Her iki zirvenin bağlamı, kararları ve bu kararların Türkiye’nin iç ve dış politikasına yansımaları incelenmektedir. Zirvelerin Türkiye’nin AB üyelik perspektifine nasıl yön verdiği ve bu süreçte ortaya çıkan siyasi, ekonomik ve toplumsal dinamikler detaylı bir şekilde değerlendirmektedir. Bu bağlamda yazı, Türkiye’nin Avrupa Birliği’ne üyelik hedefindeki değişim sürecine ışık tutmayı hedeflemektedir. Yöntem olarak, tarihsel analiz ve karşılaştırmalı yöntemler kullanılmıştır. Bu bağlamda zirvelerin bildirileri, AB raporları, Türkiye’nin reform programları incelenmiştir. Bu çalışma hem birincil kaynaklara hem de akademik literatüre dayalı olarak, dönemin siyasi bağlamını ve reform süreçlerini detaylandırmıştır.</w:t>
      </w:r>
    </w:p>
    <w:p w14:paraId="0BE4F588" w14:textId="77777777" w:rsidR="00FA457D" w:rsidRPr="003E5C83" w:rsidRDefault="00FA457D" w:rsidP="00A4535A">
      <w:pPr>
        <w:spacing w:before="120" w:after="120"/>
        <w:jc w:val="both"/>
      </w:pPr>
    </w:p>
    <w:p w14:paraId="69AC2BD5" w14:textId="6FAEAF21" w:rsidR="00661282" w:rsidRDefault="00FA457D" w:rsidP="00FA457D">
      <w:pPr>
        <w:spacing w:before="120" w:after="120"/>
        <w:jc w:val="both"/>
      </w:pPr>
      <w:r w:rsidRPr="003E5C83">
        <w:rPr>
          <w:b/>
          <w:bCs/>
        </w:rPr>
        <w:t xml:space="preserve">Anahtar </w:t>
      </w:r>
      <w:r>
        <w:rPr>
          <w:b/>
          <w:bCs/>
        </w:rPr>
        <w:t>Kelimele</w:t>
      </w:r>
      <w:r w:rsidRPr="003E5C83">
        <w:rPr>
          <w:b/>
          <w:bCs/>
        </w:rPr>
        <w:t>r:</w:t>
      </w:r>
      <w:r w:rsidRPr="003E5C83">
        <w:t xml:space="preserve"> Türkiye, Avrupa Birliği, Helsinki Zirvesi, Lüksemburg Zirvesi.</w:t>
      </w:r>
    </w:p>
    <w:p w14:paraId="57F37D94" w14:textId="523BA1D8" w:rsidR="00E359E0" w:rsidRPr="003E5C83" w:rsidRDefault="00661282" w:rsidP="00661282">
      <w:pPr>
        <w:autoSpaceDE/>
        <w:autoSpaceDN/>
      </w:pPr>
      <w:r>
        <w:br w:type="page"/>
      </w:r>
    </w:p>
    <w:p w14:paraId="4E4EC748" w14:textId="77777777" w:rsidR="00FA457D" w:rsidRDefault="00FA457D" w:rsidP="00316176">
      <w:pPr>
        <w:pStyle w:val="Tark"/>
        <w:spacing w:before="0" w:after="0"/>
      </w:pPr>
      <w:bookmarkStart w:id="237" w:name="_Toc192855260"/>
      <w:proofErr w:type="spellStart"/>
      <w:r w:rsidRPr="009B5D7F">
        <w:lastRenderedPageBreak/>
        <w:t>Turning</w:t>
      </w:r>
      <w:proofErr w:type="spellEnd"/>
      <w:r w:rsidRPr="009B5D7F">
        <w:t xml:space="preserve"> </w:t>
      </w:r>
      <w:proofErr w:type="spellStart"/>
      <w:r w:rsidRPr="009B5D7F">
        <w:t>Points</w:t>
      </w:r>
      <w:proofErr w:type="spellEnd"/>
      <w:r w:rsidRPr="009B5D7F">
        <w:t xml:space="preserve"> in </w:t>
      </w:r>
      <w:proofErr w:type="spellStart"/>
      <w:r w:rsidRPr="009B5D7F">
        <w:t>Turkey-European</w:t>
      </w:r>
      <w:proofErr w:type="spellEnd"/>
      <w:r w:rsidRPr="009B5D7F">
        <w:t xml:space="preserve"> </w:t>
      </w:r>
      <w:proofErr w:type="spellStart"/>
      <w:r w:rsidRPr="009B5D7F">
        <w:t>Union</w:t>
      </w:r>
      <w:proofErr w:type="spellEnd"/>
      <w:r w:rsidRPr="009B5D7F">
        <w:t xml:space="preserve"> </w:t>
      </w:r>
      <w:proofErr w:type="spellStart"/>
      <w:r w:rsidRPr="009B5D7F">
        <w:t>Relations</w:t>
      </w:r>
      <w:proofErr w:type="spellEnd"/>
      <w:r w:rsidRPr="009B5D7F">
        <w:t xml:space="preserve">: </w:t>
      </w:r>
      <w:proofErr w:type="spellStart"/>
      <w:r w:rsidRPr="009B5D7F">
        <w:t>The</w:t>
      </w:r>
      <w:proofErr w:type="spellEnd"/>
      <w:r w:rsidRPr="009B5D7F">
        <w:t xml:space="preserve"> </w:t>
      </w:r>
      <w:proofErr w:type="spellStart"/>
      <w:r w:rsidRPr="009B5D7F">
        <w:t>Luxembourg</w:t>
      </w:r>
      <w:proofErr w:type="spellEnd"/>
      <w:r w:rsidRPr="009B5D7F">
        <w:t xml:space="preserve"> </w:t>
      </w:r>
      <w:proofErr w:type="spellStart"/>
      <w:r w:rsidRPr="009B5D7F">
        <w:t>and</w:t>
      </w:r>
      <w:proofErr w:type="spellEnd"/>
      <w:r w:rsidRPr="009B5D7F">
        <w:t xml:space="preserve"> Helsinki </w:t>
      </w:r>
      <w:proofErr w:type="spellStart"/>
      <w:r w:rsidRPr="009B5D7F">
        <w:t>Summits</w:t>
      </w:r>
      <w:bookmarkEnd w:id="237"/>
      <w:proofErr w:type="spellEnd"/>
    </w:p>
    <w:p w14:paraId="06DBA9FD" w14:textId="77777777" w:rsidR="00316176" w:rsidRPr="00316176" w:rsidRDefault="00316176" w:rsidP="00316176">
      <w:pPr>
        <w:pStyle w:val="Metin"/>
      </w:pPr>
    </w:p>
    <w:p w14:paraId="3F40046D" w14:textId="77777777" w:rsidR="00FA457D" w:rsidRPr="001126A3" w:rsidRDefault="00FA457D" w:rsidP="00316176">
      <w:pPr>
        <w:jc w:val="center"/>
        <w:rPr>
          <w:b/>
          <w:bCs/>
        </w:rPr>
      </w:pPr>
      <w:proofErr w:type="spellStart"/>
      <w:r w:rsidRPr="001126A3">
        <w:rPr>
          <w:b/>
          <w:bCs/>
        </w:rPr>
        <w:t>Abstract</w:t>
      </w:r>
      <w:proofErr w:type="spellEnd"/>
    </w:p>
    <w:p w14:paraId="15F69953" w14:textId="77777777" w:rsidR="00FA457D" w:rsidRPr="00097519" w:rsidRDefault="00FA457D" w:rsidP="00316176">
      <w:pPr>
        <w:jc w:val="both"/>
      </w:pPr>
      <w:proofErr w:type="spellStart"/>
      <w:r w:rsidRPr="00097519">
        <w:t>With</w:t>
      </w:r>
      <w:proofErr w:type="spellEnd"/>
      <w:r w:rsidRPr="00097519">
        <w:t xml:space="preserve"> </w:t>
      </w:r>
      <w:proofErr w:type="spellStart"/>
      <w:r w:rsidRPr="00097519">
        <w:t>the</w:t>
      </w:r>
      <w:proofErr w:type="spellEnd"/>
      <w:r w:rsidRPr="00097519">
        <w:t xml:space="preserve"> </w:t>
      </w:r>
      <w:proofErr w:type="spellStart"/>
      <w:r w:rsidRPr="00097519">
        <w:t>end</w:t>
      </w:r>
      <w:proofErr w:type="spellEnd"/>
      <w:r w:rsidRPr="00097519">
        <w:t xml:space="preserve"> of </w:t>
      </w:r>
      <w:proofErr w:type="spellStart"/>
      <w:r w:rsidRPr="00097519">
        <w:t>the</w:t>
      </w:r>
      <w:proofErr w:type="spellEnd"/>
      <w:r w:rsidRPr="00097519">
        <w:t xml:space="preserve"> </w:t>
      </w:r>
      <w:proofErr w:type="spellStart"/>
      <w:r w:rsidRPr="00097519">
        <w:t>Cold</w:t>
      </w:r>
      <w:proofErr w:type="spellEnd"/>
      <w:r w:rsidRPr="00097519">
        <w:t xml:space="preserve"> </w:t>
      </w:r>
      <w:proofErr w:type="spellStart"/>
      <w:r w:rsidRPr="00097519">
        <w:t>War</w:t>
      </w:r>
      <w:proofErr w:type="spellEnd"/>
      <w:r w:rsidRPr="00097519">
        <w:t xml:space="preserve">, </w:t>
      </w:r>
      <w:proofErr w:type="spellStart"/>
      <w:r w:rsidRPr="00097519">
        <w:t>the</w:t>
      </w:r>
      <w:proofErr w:type="spellEnd"/>
      <w:r w:rsidRPr="00097519">
        <w:t xml:space="preserve"> </w:t>
      </w:r>
      <w:proofErr w:type="spellStart"/>
      <w:r w:rsidRPr="00097519">
        <w:t>political</w:t>
      </w:r>
      <w:proofErr w:type="spellEnd"/>
      <w:r w:rsidRPr="00097519">
        <w:t xml:space="preserve"> </w:t>
      </w:r>
      <w:proofErr w:type="spellStart"/>
      <w:r w:rsidRPr="00097519">
        <w:t>and</w:t>
      </w:r>
      <w:proofErr w:type="spellEnd"/>
      <w:r w:rsidRPr="00097519">
        <w:t xml:space="preserve"> </w:t>
      </w:r>
      <w:proofErr w:type="spellStart"/>
      <w:r w:rsidRPr="00097519">
        <w:t>economic</w:t>
      </w:r>
      <w:proofErr w:type="spellEnd"/>
      <w:r w:rsidRPr="00097519">
        <w:t xml:space="preserve"> </w:t>
      </w:r>
      <w:proofErr w:type="spellStart"/>
      <w:r w:rsidRPr="00097519">
        <w:t>order</w:t>
      </w:r>
      <w:proofErr w:type="spellEnd"/>
      <w:r w:rsidRPr="00097519">
        <w:t xml:space="preserve"> in Europe </w:t>
      </w:r>
      <w:proofErr w:type="spellStart"/>
      <w:r w:rsidRPr="00097519">
        <w:t>was</w:t>
      </w:r>
      <w:proofErr w:type="spellEnd"/>
      <w:r w:rsidRPr="00097519">
        <w:t xml:space="preserve"> </w:t>
      </w:r>
      <w:proofErr w:type="spellStart"/>
      <w:r w:rsidRPr="00097519">
        <w:t>reshaped</w:t>
      </w:r>
      <w:proofErr w:type="spellEnd"/>
      <w:r w:rsidRPr="00097519">
        <w:t xml:space="preserve">, </w:t>
      </w:r>
      <w:proofErr w:type="spellStart"/>
      <w:r w:rsidRPr="00097519">
        <w:t>and</w:t>
      </w:r>
      <w:proofErr w:type="spellEnd"/>
      <w:r w:rsidRPr="00097519">
        <w:t xml:space="preserve"> </w:t>
      </w:r>
      <w:proofErr w:type="spellStart"/>
      <w:r w:rsidRPr="00097519">
        <w:t>Turkey’s</w:t>
      </w:r>
      <w:proofErr w:type="spellEnd"/>
      <w:r w:rsidRPr="00097519">
        <w:t xml:space="preserve"> </w:t>
      </w:r>
      <w:proofErr w:type="spellStart"/>
      <w:r w:rsidRPr="00097519">
        <w:t>relations</w:t>
      </w:r>
      <w:proofErr w:type="spellEnd"/>
      <w:r w:rsidRPr="00097519">
        <w:t xml:space="preserve"> </w:t>
      </w:r>
      <w:proofErr w:type="spellStart"/>
      <w:r w:rsidRPr="00097519">
        <w:t>with</w:t>
      </w:r>
      <w:proofErr w:type="spellEnd"/>
      <w:r w:rsidRPr="00097519">
        <w:t xml:space="preserve"> </w:t>
      </w:r>
      <w:proofErr w:type="spellStart"/>
      <w:r w:rsidRPr="00097519">
        <w:t>the</w:t>
      </w:r>
      <w:proofErr w:type="spellEnd"/>
      <w:r w:rsidRPr="00097519">
        <w:t xml:space="preserve"> </w:t>
      </w:r>
      <w:proofErr w:type="spellStart"/>
      <w:r w:rsidRPr="00097519">
        <w:t>European</w:t>
      </w:r>
      <w:proofErr w:type="spellEnd"/>
      <w:r w:rsidRPr="00097519">
        <w:t xml:space="preserve"> </w:t>
      </w:r>
      <w:proofErr w:type="spellStart"/>
      <w:r w:rsidRPr="00097519">
        <w:t>Union</w:t>
      </w:r>
      <w:proofErr w:type="spellEnd"/>
      <w:r w:rsidRPr="00097519">
        <w:t xml:space="preserve"> </w:t>
      </w:r>
      <w:proofErr w:type="spellStart"/>
      <w:r w:rsidRPr="00097519">
        <w:t>were</w:t>
      </w:r>
      <w:proofErr w:type="spellEnd"/>
      <w:r w:rsidRPr="00097519">
        <w:t xml:space="preserve"> </w:t>
      </w:r>
      <w:proofErr w:type="spellStart"/>
      <w:r w:rsidRPr="00097519">
        <w:t>also</w:t>
      </w:r>
      <w:proofErr w:type="spellEnd"/>
      <w:r w:rsidRPr="00097519">
        <w:t xml:space="preserve"> </w:t>
      </w:r>
      <w:proofErr w:type="spellStart"/>
      <w:r w:rsidRPr="00097519">
        <w:t>influenced</w:t>
      </w:r>
      <w:proofErr w:type="spellEnd"/>
      <w:r w:rsidRPr="00097519">
        <w:t xml:space="preserve"> </w:t>
      </w:r>
      <w:proofErr w:type="spellStart"/>
      <w:r w:rsidRPr="00097519">
        <w:t>by</w:t>
      </w:r>
      <w:proofErr w:type="spellEnd"/>
      <w:r w:rsidRPr="00097519">
        <w:t xml:space="preserve"> </w:t>
      </w:r>
      <w:proofErr w:type="spellStart"/>
      <w:r w:rsidRPr="00097519">
        <w:t>this</w:t>
      </w:r>
      <w:proofErr w:type="spellEnd"/>
      <w:r w:rsidRPr="00097519">
        <w:t xml:space="preserve"> </w:t>
      </w:r>
      <w:proofErr w:type="spellStart"/>
      <w:r w:rsidRPr="00097519">
        <w:t>transformation</w:t>
      </w:r>
      <w:proofErr w:type="spellEnd"/>
      <w:r w:rsidRPr="00097519">
        <w:t xml:space="preserve">. </w:t>
      </w:r>
      <w:proofErr w:type="spellStart"/>
      <w:r w:rsidRPr="00097519">
        <w:t>During</w:t>
      </w:r>
      <w:proofErr w:type="spellEnd"/>
      <w:r w:rsidRPr="00097519">
        <w:t xml:space="preserve"> </w:t>
      </w:r>
      <w:proofErr w:type="spellStart"/>
      <w:r w:rsidRPr="00097519">
        <w:t>this</w:t>
      </w:r>
      <w:proofErr w:type="spellEnd"/>
      <w:r w:rsidRPr="00097519">
        <w:t xml:space="preserve"> </w:t>
      </w:r>
      <w:proofErr w:type="spellStart"/>
      <w:r w:rsidRPr="00097519">
        <w:t>period</w:t>
      </w:r>
      <w:proofErr w:type="spellEnd"/>
      <w:r w:rsidRPr="00097519">
        <w:t xml:space="preserve">, </w:t>
      </w:r>
      <w:proofErr w:type="spellStart"/>
      <w:r w:rsidRPr="00097519">
        <w:t>the</w:t>
      </w:r>
      <w:proofErr w:type="spellEnd"/>
      <w:r w:rsidRPr="00097519">
        <w:t xml:space="preserve"> </w:t>
      </w:r>
      <w:proofErr w:type="spellStart"/>
      <w:r w:rsidRPr="00097519">
        <w:t>Luxembourg</w:t>
      </w:r>
      <w:proofErr w:type="spellEnd"/>
      <w:r w:rsidRPr="00097519">
        <w:t xml:space="preserve"> (1997) </w:t>
      </w:r>
      <w:proofErr w:type="spellStart"/>
      <w:r w:rsidRPr="00097519">
        <w:t>and</w:t>
      </w:r>
      <w:proofErr w:type="spellEnd"/>
      <w:r w:rsidRPr="00097519">
        <w:t xml:space="preserve"> Helsinki (1999) </w:t>
      </w:r>
      <w:proofErr w:type="spellStart"/>
      <w:r w:rsidRPr="00097519">
        <w:t>Summits</w:t>
      </w:r>
      <w:proofErr w:type="spellEnd"/>
      <w:r w:rsidRPr="00097519">
        <w:t xml:space="preserve"> </w:t>
      </w:r>
      <w:proofErr w:type="spellStart"/>
      <w:r w:rsidRPr="00097519">
        <w:t>emerged</w:t>
      </w:r>
      <w:proofErr w:type="spellEnd"/>
      <w:r w:rsidRPr="00097519">
        <w:t xml:space="preserve"> as </w:t>
      </w:r>
      <w:proofErr w:type="spellStart"/>
      <w:r w:rsidRPr="00097519">
        <w:t>critical</w:t>
      </w:r>
      <w:proofErr w:type="spellEnd"/>
      <w:r w:rsidRPr="00097519">
        <w:t xml:space="preserve"> </w:t>
      </w:r>
      <w:proofErr w:type="spellStart"/>
      <w:r w:rsidRPr="00097519">
        <w:t>milestones</w:t>
      </w:r>
      <w:proofErr w:type="spellEnd"/>
      <w:r w:rsidRPr="00097519">
        <w:t xml:space="preserve"> </w:t>
      </w:r>
      <w:proofErr w:type="spellStart"/>
      <w:r w:rsidRPr="00097519">
        <w:t>for</w:t>
      </w:r>
      <w:proofErr w:type="spellEnd"/>
      <w:r w:rsidRPr="00097519">
        <w:t xml:space="preserve"> </w:t>
      </w:r>
      <w:proofErr w:type="spellStart"/>
      <w:r w:rsidRPr="00097519">
        <w:t>Turkey’s</w:t>
      </w:r>
      <w:proofErr w:type="spellEnd"/>
      <w:r w:rsidRPr="00097519">
        <w:t xml:space="preserve"> EU </w:t>
      </w:r>
      <w:proofErr w:type="spellStart"/>
      <w:r w:rsidRPr="00097519">
        <w:t>membership</w:t>
      </w:r>
      <w:proofErr w:type="spellEnd"/>
      <w:r w:rsidRPr="00097519">
        <w:t xml:space="preserve"> </w:t>
      </w:r>
      <w:proofErr w:type="spellStart"/>
      <w:r w:rsidRPr="00097519">
        <w:t>perspective</w:t>
      </w:r>
      <w:proofErr w:type="spellEnd"/>
      <w:r w:rsidRPr="00097519">
        <w:t xml:space="preserve">. </w:t>
      </w:r>
      <w:proofErr w:type="spellStart"/>
      <w:r w:rsidRPr="00097519">
        <w:t>These</w:t>
      </w:r>
      <w:proofErr w:type="spellEnd"/>
      <w:r w:rsidRPr="00097519">
        <w:t xml:space="preserve"> </w:t>
      </w:r>
      <w:proofErr w:type="spellStart"/>
      <w:r w:rsidRPr="00097519">
        <w:t>summits</w:t>
      </w:r>
      <w:proofErr w:type="spellEnd"/>
      <w:r w:rsidRPr="00097519">
        <w:t xml:space="preserve"> not </w:t>
      </w:r>
      <w:proofErr w:type="spellStart"/>
      <w:r w:rsidRPr="00097519">
        <w:t>only</w:t>
      </w:r>
      <w:proofErr w:type="spellEnd"/>
      <w:r w:rsidRPr="00097519">
        <w:t xml:space="preserve"> </w:t>
      </w:r>
      <w:proofErr w:type="spellStart"/>
      <w:r w:rsidRPr="00097519">
        <w:t>shed</w:t>
      </w:r>
      <w:proofErr w:type="spellEnd"/>
      <w:r w:rsidRPr="00097519">
        <w:t xml:space="preserve"> </w:t>
      </w:r>
      <w:proofErr w:type="spellStart"/>
      <w:r w:rsidRPr="00097519">
        <w:t>light</w:t>
      </w:r>
      <w:proofErr w:type="spellEnd"/>
      <w:r w:rsidRPr="00097519">
        <w:t xml:space="preserve"> on </w:t>
      </w:r>
      <w:proofErr w:type="spellStart"/>
      <w:r w:rsidRPr="00097519">
        <w:t>the</w:t>
      </w:r>
      <w:proofErr w:type="spellEnd"/>
      <w:r w:rsidRPr="00097519">
        <w:t xml:space="preserve"> </w:t>
      </w:r>
      <w:proofErr w:type="spellStart"/>
      <w:r w:rsidRPr="00097519">
        <w:t>past</w:t>
      </w:r>
      <w:proofErr w:type="spellEnd"/>
      <w:r w:rsidRPr="00097519">
        <w:t xml:space="preserve"> of </w:t>
      </w:r>
      <w:proofErr w:type="spellStart"/>
      <w:r w:rsidRPr="00097519">
        <w:t>Turkey</w:t>
      </w:r>
      <w:proofErr w:type="spellEnd"/>
      <w:r w:rsidRPr="00097519">
        <w:t xml:space="preserve">-EU </w:t>
      </w:r>
      <w:proofErr w:type="spellStart"/>
      <w:r w:rsidRPr="00097519">
        <w:t>relations</w:t>
      </w:r>
      <w:proofErr w:type="spellEnd"/>
      <w:r w:rsidRPr="00097519">
        <w:t xml:space="preserve"> but </w:t>
      </w:r>
      <w:proofErr w:type="spellStart"/>
      <w:r w:rsidRPr="00097519">
        <w:t>also</w:t>
      </w:r>
      <w:proofErr w:type="spellEnd"/>
      <w:r w:rsidRPr="00097519">
        <w:t xml:space="preserve"> </w:t>
      </w:r>
      <w:proofErr w:type="spellStart"/>
      <w:r w:rsidRPr="00097519">
        <w:t>provide</w:t>
      </w:r>
      <w:proofErr w:type="spellEnd"/>
      <w:r w:rsidRPr="00097519">
        <w:t xml:space="preserve"> </w:t>
      </w:r>
      <w:proofErr w:type="spellStart"/>
      <w:r w:rsidRPr="00097519">
        <w:t>essential</w:t>
      </w:r>
      <w:proofErr w:type="spellEnd"/>
      <w:r w:rsidRPr="00097519">
        <w:t xml:space="preserve"> </w:t>
      </w:r>
      <w:proofErr w:type="spellStart"/>
      <w:r w:rsidRPr="00097519">
        <w:t>insights</w:t>
      </w:r>
      <w:proofErr w:type="spellEnd"/>
      <w:r w:rsidRPr="00097519">
        <w:t xml:space="preserve"> </w:t>
      </w:r>
      <w:proofErr w:type="spellStart"/>
      <w:r w:rsidRPr="00097519">
        <w:t>into</w:t>
      </w:r>
      <w:proofErr w:type="spellEnd"/>
      <w:r w:rsidRPr="00097519">
        <w:t xml:space="preserve"> </w:t>
      </w:r>
      <w:proofErr w:type="spellStart"/>
      <w:r w:rsidRPr="00097519">
        <w:t>the</w:t>
      </w:r>
      <w:proofErr w:type="spellEnd"/>
      <w:r w:rsidRPr="00097519">
        <w:t xml:space="preserve"> </w:t>
      </w:r>
      <w:proofErr w:type="spellStart"/>
      <w:r w:rsidRPr="00097519">
        <w:t>fundamental</w:t>
      </w:r>
      <w:proofErr w:type="spellEnd"/>
      <w:r w:rsidRPr="00097519">
        <w:t xml:space="preserve"> </w:t>
      </w:r>
      <w:proofErr w:type="spellStart"/>
      <w:r w:rsidRPr="00097519">
        <w:t>dynamics</w:t>
      </w:r>
      <w:proofErr w:type="spellEnd"/>
      <w:r w:rsidRPr="00097519">
        <w:t xml:space="preserve"> </w:t>
      </w:r>
      <w:proofErr w:type="spellStart"/>
      <w:r w:rsidRPr="00097519">
        <w:t>shaping</w:t>
      </w:r>
      <w:proofErr w:type="spellEnd"/>
      <w:r w:rsidRPr="00097519">
        <w:t xml:space="preserve"> </w:t>
      </w:r>
      <w:proofErr w:type="spellStart"/>
      <w:r w:rsidRPr="00097519">
        <w:t>the</w:t>
      </w:r>
      <w:proofErr w:type="spellEnd"/>
      <w:r w:rsidRPr="00097519">
        <w:t xml:space="preserve"> </w:t>
      </w:r>
      <w:proofErr w:type="spellStart"/>
      <w:r w:rsidRPr="00097519">
        <w:t>present-day</w:t>
      </w:r>
      <w:proofErr w:type="spellEnd"/>
      <w:r w:rsidRPr="00097519">
        <w:t xml:space="preserve"> </w:t>
      </w:r>
      <w:proofErr w:type="spellStart"/>
      <w:r w:rsidRPr="00097519">
        <w:t>process</w:t>
      </w:r>
      <w:proofErr w:type="spellEnd"/>
      <w:r w:rsidRPr="00097519">
        <w:t>.</w:t>
      </w:r>
      <w:r w:rsidRPr="003E5C83">
        <w:t xml:space="preserve"> </w:t>
      </w:r>
      <w:proofErr w:type="spellStart"/>
      <w:r w:rsidRPr="00097519">
        <w:t>The</w:t>
      </w:r>
      <w:proofErr w:type="spellEnd"/>
      <w:r w:rsidRPr="00097519">
        <w:t xml:space="preserve"> </w:t>
      </w:r>
      <w:proofErr w:type="spellStart"/>
      <w:r w:rsidRPr="00097519">
        <w:t>Luxembourg</w:t>
      </w:r>
      <w:proofErr w:type="spellEnd"/>
      <w:r w:rsidRPr="00097519">
        <w:t xml:space="preserve"> </w:t>
      </w:r>
      <w:proofErr w:type="spellStart"/>
      <w:r w:rsidRPr="00097519">
        <w:t>Summit</w:t>
      </w:r>
      <w:proofErr w:type="spellEnd"/>
      <w:r w:rsidRPr="00097519">
        <w:t xml:space="preserve"> </w:t>
      </w:r>
      <w:proofErr w:type="spellStart"/>
      <w:r w:rsidRPr="00097519">
        <w:t>created</w:t>
      </w:r>
      <w:proofErr w:type="spellEnd"/>
      <w:r w:rsidRPr="00097519">
        <w:t xml:space="preserve"> a </w:t>
      </w:r>
      <w:proofErr w:type="spellStart"/>
      <w:r w:rsidRPr="00097519">
        <w:t>negative</w:t>
      </w:r>
      <w:proofErr w:type="spellEnd"/>
      <w:r w:rsidRPr="00097519">
        <w:t xml:space="preserve"> </w:t>
      </w:r>
      <w:proofErr w:type="spellStart"/>
      <w:r w:rsidRPr="00097519">
        <w:t>atmosphere</w:t>
      </w:r>
      <w:proofErr w:type="spellEnd"/>
      <w:r w:rsidRPr="00097519">
        <w:t xml:space="preserve"> </w:t>
      </w:r>
      <w:proofErr w:type="spellStart"/>
      <w:r w:rsidRPr="00097519">
        <w:t>regarding</w:t>
      </w:r>
      <w:proofErr w:type="spellEnd"/>
      <w:r w:rsidRPr="00097519">
        <w:t xml:space="preserve"> </w:t>
      </w:r>
      <w:proofErr w:type="spellStart"/>
      <w:r w:rsidRPr="00097519">
        <w:t>Turkey’s</w:t>
      </w:r>
      <w:proofErr w:type="spellEnd"/>
      <w:r w:rsidRPr="00097519">
        <w:t xml:space="preserve"> </w:t>
      </w:r>
      <w:proofErr w:type="spellStart"/>
      <w:r w:rsidRPr="00097519">
        <w:t>full</w:t>
      </w:r>
      <w:proofErr w:type="spellEnd"/>
      <w:r w:rsidRPr="00097519">
        <w:t xml:space="preserve"> </w:t>
      </w:r>
      <w:proofErr w:type="spellStart"/>
      <w:r w:rsidRPr="00097519">
        <w:t>membership</w:t>
      </w:r>
      <w:proofErr w:type="spellEnd"/>
      <w:r w:rsidRPr="00097519">
        <w:t xml:space="preserve"> </w:t>
      </w:r>
      <w:proofErr w:type="spellStart"/>
      <w:r w:rsidRPr="00097519">
        <w:t>process</w:t>
      </w:r>
      <w:proofErr w:type="spellEnd"/>
      <w:r w:rsidRPr="00097519">
        <w:t xml:space="preserve"> </w:t>
      </w:r>
      <w:proofErr w:type="spellStart"/>
      <w:r w:rsidRPr="00097519">
        <w:t>while</w:t>
      </w:r>
      <w:proofErr w:type="spellEnd"/>
      <w:r w:rsidRPr="00097519">
        <w:t xml:space="preserve"> </w:t>
      </w:r>
      <w:proofErr w:type="spellStart"/>
      <w:r w:rsidRPr="00097519">
        <w:t>introducing</w:t>
      </w:r>
      <w:proofErr w:type="spellEnd"/>
      <w:r w:rsidRPr="00097519">
        <w:t xml:space="preserve"> </w:t>
      </w:r>
      <w:proofErr w:type="spellStart"/>
      <w:r w:rsidRPr="00097519">
        <w:t>new</w:t>
      </w:r>
      <w:proofErr w:type="spellEnd"/>
      <w:r w:rsidRPr="00097519">
        <w:t xml:space="preserve"> </w:t>
      </w:r>
      <w:proofErr w:type="spellStart"/>
      <w:r w:rsidRPr="00097519">
        <w:t>dynamics</w:t>
      </w:r>
      <w:proofErr w:type="spellEnd"/>
      <w:r w:rsidRPr="00097519">
        <w:t xml:space="preserve"> </w:t>
      </w:r>
      <w:proofErr w:type="spellStart"/>
      <w:r w:rsidRPr="00097519">
        <w:t>into</w:t>
      </w:r>
      <w:proofErr w:type="spellEnd"/>
      <w:r w:rsidRPr="00097519">
        <w:t xml:space="preserve"> </w:t>
      </w:r>
      <w:proofErr w:type="spellStart"/>
      <w:r w:rsidRPr="00097519">
        <w:t>its</w:t>
      </w:r>
      <w:proofErr w:type="spellEnd"/>
      <w:r w:rsidRPr="00097519">
        <w:t xml:space="preserve"> </w:t>
      </w:r>
      <w:proofErr w:type="spellStart"/>
      <w:r w:rsidRPr="00097519">
        <w:t>relations</w:t>
      </w:r>
      <w:proofErr w:type="spellEnd"/>
      <w:r w:rsidRPr="00097519">
        <w:t xml:space="preserve"> </w:t>
      </w:r>
      <w:proofErr w:type="spellStart"/>
      <w:r w:rsidRPr="00097519">
        <w:t>with</w:t>
      </w:r>
      <w:proofErr w:type="spellEnd"/>
      <w:r w:rsidRPr="00097519">
        <w:t xml:space="preserve"> </w:t>
      </w:r>
      <w:proofErr w:type="spellStart"/>
      <w:r w:rsidRPr="00097519">
        <w:t>the</w:t>
      </w:r>
      <w:proofErr w:type="spellEnd"/>
      <w:r w:rsidRPr="00097519">
        <w:t xml:space="preserve"> EU. </w:t>
      </w:r>
      <w:proofErr w:type="spellStart"/>
      <w:r w:rsidRPr="00097519">
        <w:t>The</w:t>
      </w:r>
      <w:proofErr w:type="spellEnd"/>
      <w:r w:rsidRPr="00097519">
        <w:t xml:space="preserve"> </w:t>
      </w:r>
      <w:proofErr w:type="spellStart"/>
      <w:r w:rsidRPr="00097519">
        <w:t>refusal</w:t>
      </w:r>
      <w:proofErr w:type="spellEnd"/>
      <w:r w:rsidRPr="00097519">
        <w:t xml:space="preserve"> </w:t>
      </w:r>
      <w:proofErr w:type="spellStart"/>
      <w:r w:rsidRPr="00097519">
        <w:t>to</w:t>
      </w:r>
      <w:proofErr w:type="spellEnd"/>
      <w:r w:rsidRPr="00097519">
        <w:t xml:space="preserve"> </w:t>
      </w:r>
      <w:proofErr w:type="spellStart"/>
      <w:r w:rsidRPr="00097519">
        <w:t>grant</w:t>
      </w:r>
      <w:proofErr w:type="spellEnd"/>
      <w:r w:rsidRPr="00097519">
        <w:t xml:space="preserve"> </w:t>
      </w:r>
      <w:proofErr w:type="spellStart"/>
      <w:r w:rsidRPr="00097519">
        <w:t>Turkey</w:t>
      </w:r>
      <w:proofErr w:type="spellEnd"/>
      <w:r w:rsidRPr="00097519">
        <w:t xml:space="preserve"> </w:t>
      </w:r>
      <w:proofErr w:type="spellStart"/>
      <w:r w:rsidRPr="00097519">
        <w:t>candidate</w:t>
      </w:r>
      <w:proofErr w:type="spellEnd"/>
      <w:r w:rsidRPr="00097519">
        <w:t xml:space="preserve"> </w:t>
      </w:r>
      <w:proofErr w:type="spellStart"/>
      <w:r w:rsidRPr="00097519">
        <w:t>status</w:t>
      </w:r>
      <w:proofErr w:type="spellEnd"/>
      <w:r w:rsidRPr="00097519">
        <w:t xml:space="preserve"> </w:t>
      </w:r>
      <w:proofErr w:type="spellStart"/>
      <w:r w:rsidRPr="00097519">
        <w:t>and</w:t>
      </w:r>
      <w:proofErr w:type="spellEnd"/>
      <w:r w:rsidRPr="00097519">
        <w:t xml:space="preserve"> </w:t>
      </w:r>
      <w:proofErr w:type="spellStart"/>
      <w:r w:rsidRPr="00097519">
        <w:t>the</w:t>
      </w:r>
      <w:proofErr w:type="spellEnd"/>
      <w:r w:rsidRPr="00097519">
        <w:t xml:space="preserve"> </w:t>
      </w:r>
      <w:proofErr w:type="spellStart"/>
      <w:r w:rsidRPr="00097519">
        <w:t>prioritization</w:t>
      </w:r>
      <w:proofErr w:type="spellEnd"/>
      <w:r w:rsidRPr="00097519">
        <w:t xml:space="preserve"> of </w:t>
      </w:r>
      <w:proofErr w:type="spellStart"/>
      <w:r w:rsidRPr="00097519">
        <w:t>Cyprus’s</w:t>
      </w:r>
      <w:proofErr w:type="spellEnd"/>
      <w:r w:rsidRPr="00097519">
        <w:t xml:space="preserve"> </w:t>
      </w:r>
      <w:proofErr w:type="spellStart"/>
      <w:r w:rsidRPr="00097519">
        <w:t>accession</w:t>
      </w:r>
      <w:proofErr w:type="spellEnd"/>
      <w:r w:rsidRPr="00097519">
        <w:t xml:space="preserve"> </w:t>
      </w:r>
      <w:proofErr w:type="spellStart"/>
      <w:r w:rsidRPr="00097519">
        <w:t>process</w:t>
      </w:r>
      <w:proofErr w:type="spellEnd"/>
      <w:r w:rsidRPr="00097519">
        <w:t xml:space="preserve"> led </w:t>
      </w:r>
      <w:proofErr w:type="spellStart"/>
      <w:r w:rsidRPr="00097519">
        <w:t>to</w:t>
      </w:r>
      <w:proofErr w:type="spellEnd"/>
      <w:r w:rsidRPr="00097519">
        <w:t xml:space="preserve"> </w:t>
      </w:r>
      <w:proofErr w:type="spellStart"/>
      <w:r w:rsidRPr="00097519">
        <w:t>tensions</w:t>
      </w:r>
      <w:proofErr w:type="spellEnd"/>
      <w:r w:rsidRPr="00097519">
        <w:t xml:space="preserve"> in </w:t>
      </w:r>
      <w:proofErr w:type="spellStart"/>
      <w:r w:rsidRPr="00097519">
        <w:t>Turkey</w:t>
      </w:r>
      <w:proofErr w:type="spellEnd"/>
      <w:r w:rsidRPr="00097519">
        <w:t xml:space="preserve">-EU </w:t>
      </w:r>
      <w:proofErr w:type="spellStart"/>
      <w:r w:rsidRPr="00097519">
        <w:t>relations</w:t>
      </w:r>
      <w:proofErr w:type="spellEnd"/>
      <w:r w:rsidRPr="00097519">
        <w:t xml:space="preserve">. </w:t>
      </w:r>
      <w:proofErr w:type="spellStart"/>
      <w:r w:rsidRPr="00097519">
        <w:t>This</w:t>
      </w:r>
      <w:proofErr w:type="spellEnd"/>
      <w:r w:rsidRPr="00097519">
        <w:t xml:space="preserve"> </w:t>
      </w:r>
      <w:proofErr w:type="spellStart"/>
      <w:r w:rsidRPr="00097519">
        <w:t>situation</w:t>
      </w:r>
      <w:proofErr w:type="spellEnd"/>
      <w:r w:rsidRPr="00097519">
        <w:t xml:space="preserve"> </w:t>
      </w:r>
      <w:proofErr w:type="spellStart"/>
      <w:r w:rsidRPr="00097519">
        <w:t>increased</w:t>
      </w:r>
      <w:proofErr w:type="spellEnd"/>
      <w:r w:rsidRPr="00097519">
        <w:t xml:space="preserve"> </w:t>
      </w:r>
      <w:proofErr w:type="spellStart"/>
      <w:r w:rsidRPr="00097519">
        <w:t>Turkey’s</w:t>
      </w:r>
      <w:proofErr w:type="spellEnd"/>
      <w:r w:rsidRPr="00097519">
        <w:t xml:space="preserve"> </w:t>
      </w:r>
      <w:proofErr w:type="spellStart"/>
      <w:r w:rsidRPr="00097519">
        <w:t>criticisms</w:t>
      </w:r>
      <w:proofErr w:type="spellEnd"/>
      <w:r w:rsidRPr="00097519">
        <w:t xml:space="preserve"> of </w:t>
      </w:r>
      <w:proofErr w:type="spellStart"/>
      <w:r w:rsidRPr="00097519">
        <w:t>the</w:t>
      </w:r>
      <w:proofErr w:type="spellEnd"/>
      <w:r w:rsidRPr="00097519">
        <w:t xml:space="preserve"> EU </w:t>
      </w:r>
      <w:proofErr w:type="spellStart"/>
      <w:r w:rsidRPr="00097519">
        <w:t>while</w:t>
      </w:r>
      <w:proofErr w:type="spellEnd"/>
      <w:r w:rsidRPr="00097519">
        <w:t xml:space="preserve"> </w:t>
      </w:r>
      <w:proofErr w:type="spellStart"/>
      <w:r w:rsidRPr="00097519">
        <w:t>simultaneously</w:t>
      </w:r>
      <w:proofErr w:type="spellEnd"/>
      <w:r w:rsidRPr="00097519">
        <w:t xml:space="preserve"> </w:t>
      </w:r>
      <w:proofErr w:type="spellStart"/>
      <w:r w:rsidRPr="00097519">
        <w:t>encouraging</w:t>
      </w:r>
      <w:proofErr w:type="spellEnd"/>
      <w:r w:rsidRPr="00097519">
        <w:t xml:space="preserve"> </w:t>
      </w:r>
      <w:proofErr w:type="spellStart"/>
      <w:r w:rsidRPr="00097519">
        <w:t>efforts</w:t>
      </w:r>
      <w:proofErr w:type="spellEnd"/>
      <w:r w:rsidRPr="00097519">
        <w:t xml:space="preserve"> </w:t>
      </w:r>
      <w:proofErr w:type="spellStart"/>
      <w:r w:rsidRPr="00097519">
        <w:t>to</w:t>
      </w:r>
      <w:proofErr w:type="spellEnd"/>
      <w:r w:rsidRPr="00097519">
        <w:t xml:space="preserve"> </w:t>
      </w:r>
      <w:proofErr w:type="spellStart"/>
      <w:r w:rsidRPr="00097519">
        <w:t>accelerate</w:t>
      </w:r>
      <w:proofErr w:type="spellEnd"/>
      <w:r w:rsidRPr="00097519">
        <w:t xml:space="preserve"> </w:t>
      </w:r>
      <w:proofErr w:type="spellStart"/>
      <w:r w:rsidRPr="00097519">
        <w:t>domestic</w:t>
      </w:r>
      <w:proofErr w:type="spellEnd"/>
      <w:r w:rsidRPr="00097519">
        <w:t xml:space="preserve"> </w:t>
      </w:r>
      <w:proofErr w:type="spellStart"/>
      <w:r w:rsidRPr="00097519">
        <w:t>reforms</w:t>
      </w:r>
      <w:proofErr w:type="spellEnd"/>
      <w:r w:rsidRPr="00097519">
        <w:t>.</w:t>
      </w:r>
      <w:r w:rsidRPr="003E5C83">
        <w:t xml:space="preserve"> </w:t>
      </w:r>
      <w:proofErr w:type="spellStart"/>
      <w:r w:rsidRPr="00097519">
        <w:t>The</w:t>
      </w:r>
      <w:proofErr w:type="spellEnd"/>
      <w:r w:rsidRPr="00097519">
        <w:t xml:space="preserve"> Helsinki </w:t>
      </w:r>
      <w:proofErr w:type="spellStart"/>
      <w:r w:rsidRPr="00097519">
        <w:t>Summit</w:t>
      </w:r>
      <w:proofErr w:type="spellEnd"/>
      <w:r w:rsidRPr="00097519">
        <w:t xml:space="preserve">, on </w:t>
      </w:r>
      <w:proofErr w:type="spellStart"/>
      <w:r w:rsidRPr="00097519">
        <w:t>the</w:t>
      </w:r>
      <w:proofErr w:type="spellEnd"/>
      <w:r w:rsidRPr="00097519">
        <w:t xml:space="preserve"> </w:t>
      </w:r>
      <w:proofErr w:type="spellStart"/>
      <w:r w:rsidRPr="00097519">
        <w:t>other</w:t>
      </w:r>
      <w:proofErr w:type="spellEnd"/>
      <w:r w:rsidRPr="00097519">
        <w:t xml:space="preserve"> </w:t>
      </w:r>
      <w:proofErr w:type="spellStart"/>
      <w:r w:rsidRPr="00097519">
        <w:t>hand</w:t>
      </w:r>
      <w:proofErr w:type="spellEnd"/>
      <w:r w:rsidRPr="00097519">
        <w:t xml:space="preserve">, </w:t>
      </w:r>
      <w:proofErr w:type="spellStart"/>
      <w:r w:rsidRPr="00097519">
        <w:t>marked</w:t>
      </w:r>
      <w:proofErr w:type="spellEnd"/>
      <w:r w:rsidRPr="00097519">
        <w:t xml:space="preserve"> a </w:t>
      </w:r>
      <w:proofErr w:type="spellStart"/>
      <w:r w:rsidRPr="00097519">
        <w:t>turning</w:t>
      </w:r>
      <w:proofErr w:type="spellEnd"/>
      <w:r w:rsidRPr="00097519">
        <w:t xml:space="preserve"> </w:t>
      </w:r>
      <w:proofErr w:type="spellStart"/>
      <w:r w:rsidRPr="00097519">
        <w:t>point</w:t>
      </w:r>
      <w:proofErr w:type="spellEnd"/>
      <w:r w:rsidRPr="00097519">
        <w:t xml:space="preserve"> </w:t>
      </w:r>
      <w:proofErr w:type="spellStart"/>
      <w:r w:rsidRPr="00097519">
        <w:t>by</w:t>
      </w:r>
      <w:proofErr w:type="spellEnd"/>
      <w:r w:rsidRPr="00097519">
        <w:t xml:space="preserve"> </w:t>
      </w:r>
      <w:proofErr w:type="spellStart"/>
      <w:r w:rsidRPr="00097519">
        <w:t>officially</w:t>
      </w:r>
      <w:proofErr w:type="spellEnd"/>
      <w:r w:rsidRPr="00097519">
        <w:t xml:space="preserve"> </w:t>
      </w:r>
      <w:proofErr w:type="spellStart"/>
      <w:r w:rsidRPr="00097519">
        <w:t>granting</w:t>
      </w:r>
      <w:proofErr w:type="spellEnd"/>
      <w:r w:rsidRPr="00097519">
        <w:t xml:space="preserve"> </w:t>
      </w:r>
      <w:proofErr w:type="spellStart"/>
      <w:r w:rsidRPr="00097519">
        <w:t>Turkey</w:t>
      </w:r>
      <w:proofErr w:type="spellEnd"/>
      <w:r w:rsidRPr="00097519">
        <w:t xml:space="preserve"> </w:t>
      </w:r>
      <w:proofErr w:type="spellStart"/>
      <w:r w:rsidRPr="00097519">
        <w:t>candidate</w:t>
      </w:r>
      <w:proofErr w:type="spellEnd"/>
      <w:r w:rsidRPr="00097519">
        <w:t xml:space="preserve"> </w:t>
      </w:r>
      <w:proofErr w:type="spellStart"/>
      <w:r w:rsidRPr="00097519">
        <w:t>status</w:t>
      </w:r>
      <w:proofErr w:type="spellEnd"/>
      <w:r w:rsidRPr="00097519">
        <w:t xml:space="preserve">. </w:t>
      </w:r>
      <w:proofErr w:type="spellStart"/>
      <w:r w:rsidRPr="00097519">
        <w:t>This</w:t>
      </w:r>
      <w:proofErr w:type="spellEnd"/>
      <w:r w:rsidRPr="00097519">
        <w:t xml:space="preserve"> </w:t>
      </w:r>
      <w:proofErr w:type="spellStart"/>
      <w:r w:rsidRPr="00097519">
        <w:t>summit</w:t>
      </w:r>
      <w:proofErr w:type="spellEnd"/>
      <w:r w:rsidRPr="00097519">
        <w:t xml:space="preserve"> </w:t>
      </w:r>
      <w:proofErr w:type="spellStart"/>
      <w:r w:rsidRPr="00097519">
        <w:t>generated</w:t>
      </w:r>
      <w:proofErr w:type="spellEnd"/>
      <w:r w:rsidRPr="00097519">
        <w:t xml:space="preserve"> a </w:t>
      </w:r>
      <w:proofErr w:type="spellStart"/>
      <w:r w:rsidRPr="00097519">
        <w:t>positive</w:t>
      </w:r>
      <w:proofErr w:type="spellEnd"/>
      <w:r w:rsidRPr="00097519">
        <w:t xml:space="preserve"> momentum in </w:t>
      </w:r>
      <w:proofErr w:type="spellStart"/>
      <w:r w:rsidRPr="00097519">
        <w:t>Turkey</w:t>
      </w:r>
      <w:proofErr w:type="spellEnd"/>
      <w:r w:rsidRPr="00097519">
        <w:t xml:space="preserve">-EU </w:t>
      </w:r>
      <w:proofErr w:type="spellStart"/>
      <w:r w:rsidRPr="00097519">
        <w:t>relations</w:t>
      </w:r>
      <w:proofErr w:type="spellEnd"/>
      <w:r w:rsidRPr="00097519">
        <w:t xml:space="preserve">, </w:t>
      </w:r>
      <w:proofErr w:type="spellStart"/>
      <w:r w:rsidRPr="00097519">
        <w:t>accelerating</w:t>
      </w:r>
      <w:proofErr w:type="spellEnd"/>
      <w:r w:rsidRPr="00097519">
        <w:t xml:space="preserve"> </w:t>
      </w:r>
      <w:proofErr w:type="spellStart"/>
      <w:r w:rsidRPr="00097519">
        <w:t>reforms</w:t>
      </w:r>
      <w:proofErr w:type="spellEnd"/>
      <w:r w:rsidRPr="00097519">
        <w:t xml:space="preserve"> </w:t>
      </w:r>
      <w:proofErr w:type="spellStart"/>
      <w:r w:rsidRPr="00097519">
        <w:t>and</w:t>
      </w:r>
      <w:proofErr w:type="spellEnd"/>
      <w:r w:rsidRPr="00097519">
        <w:t xml:space="preserve"> </w:t>
      </w:r>
      <w:proofErr w:type="spellStart"/>
      <w:r w:rsidRPr="00097519">
        <w:t>prioritizing</w:t>
      </w:r>
      <w:proofErr w:type="spellEnd"/>
      <w:r w:rsidRPr="00097519">
        <w:t xml:space="preserve"> </w:t>
      </w:r>
      <w:proofErr w:type="spellStart"/>
      <w:r w:rsidRPr="00097519">
        <w:t>compliance</w:t>
      </w:r>
      <w:proofErr w:type="spellEnd"/>
      <w:r w:rsidRPr="00097519">
        <w:t xml:space="preserve"> </w:t>
      </w:r>
      <w:proofErr w:type="spellStart"/>
      <w:r w:rsidRPr="00097519">
        <w:t>with</w:t>
      </w:r>
      <w:proofErr w:type="spellEnd"/>
      <w:r w:rsidRPr="00097519">
        <w:t xml:space="preserve"> </w:t>
      </w:r>
      <w:proofErr w:type="spellStart"/>
      <w:r w:rsidRPr="00097519">
        <w:t>political</w:t>
      </w:r>
      <w:proofErr w:type="spellEnd"/>
      <w:r w:rsidRPr="00097519">
        <w:t xml:space="preserve"> </w:t>
      </w:r>
      <w:proofErr w:type="spellStart"/>
      <w:r w:rsidRPr="00097519">
        <w:t>criteria</w:t>
      </w:r>
      <w:proofErr w:type="spellEnd"/>
      <w:r w:rsidRPr="00097519">
        <w:t xml:space="preserve">. </w:t>
      </w:r>
      <w:proofErr w:type="spellStart"/>
      <w:r w:rsidRPr="00097519">
        <w:t>Following</w:t>
      </w:r>
      <w:proofErr w:type="spellEnd"/>
      <w:r w:rsidRPr="00097519">
        <w:t xml:space="preserve"> </w:t>
      </w:r>
      <w:proofErr w:type="spellStart"/>
      <w:r w:rsidRPr="00097519">
        <w:t>the</w:t>
      </w:r>
      <w:proofErr w:type="spellEnd"/>
      <w:r w:rsidRPr="00097519">
        <w:t xml:space="preserve"> </w:t>
      </w:r>
      <w:proofErr w:type="spellStart"/>
      <w:r w:rsidRPr="00097519">
        <w:t>summit</w:t>
      </w:r>
      <w:proofErr w:type="spellEnd"/>
      <w:r w:rsidRPr="00097519">
        <w:t xml:space="preserve">, </w:t>
      </w:r>
      <w:proofErr w:type="spellStart"/>
      <w:r w:rsidRPr="00097519">
        <w:t>Turkey</w:t>
      </w:r>
      <w:proofErr w:type="spellEnd"/>
      <w:r w:rsidRPr="00097519">
        <w:t xml:space="preserve"> </w:t>
      </w:r>
      <w:proofErr w:type="spellStart"/>
      <w:r w:rsidRPr="00097519">
        <w:t>took</w:t>
      </w:r>
      <w:proofErr w:type="spellEnd"/>
      <w:r w:rsidRPr="00097519">
        <w:t xml:space="preserve"> </w:t>
      </w:r>
      <w:proofErr w:type="spellStart"/>
      <w:r w:rsidRPr="00097519">
        <w:t>significant</w:t>
      </w:r>
      <w:proofErr w:type="spellEnd"/>
      <w:r w:rsidRPr="00097519">
        <w:t xml:space="preserve"> </w:t>
      </w:r>
      <w:proofErr w:type="spellStart"/>
      <w:r w:rsidRPr="00097519">
        <w:t>steps</w:t>
      </w:r>
      <w:proofErr w:type="spellEnd"/>
      <w:r w:rsidRPr="00097519">
        <w:t xml:space="preserve"> </w:t>
      </w:r>
      <w:proofErr w:type="spellStart"/>
      <w:r w:rsidRPr="00097519">
        <w:t>toward</w:t>
      </w:r>
      <w:proofErr w:type="spellEnd"/>
      <w:r w:rsidRPr="00097519">
        <w:t xml:space="preserve"> </w:t>
      </w:r>
      <w:proofErr w:type="spellStart"/>
      <w:r w:rsidRPr="00097519">
        <w:t>meeting</w:t>
      </w:r>
      <w:proofErr w:type="spellEnd"/>
      <w:r w:rsidRPr="00097519">
        <w:t xml:space="preserve"> </w:t>
      </w:r>
      <w:proofErr w:type="spellStart"/>
      <w:r w:rsidRPr="00097519">
        <w:t>the</w:t>
      </w:r>
      <w:proofErr w:type="spellEnd"/>
      <w:r w:rsidRPr="00097519">
        <w:t xml:space="preserve"> </w:t>
      </w:r>
      <w:proofErr w:type="spellStart"/>
      <w:r w:rsidRPr="00097519">
        <w:t>Copenhagen</w:t>
      </w:r>
      <w:proofErr w:type="spellEnd"/>
      <w:r w:rsidRPr="00097519">
        <w:t xml:space="preserve"> </w:t>
      </w:r>
      <w:proofErr w:type="spellStart"/>
      <w:r w:rsidRPr="00097519">
        <w:t>Criteria</w:t>
      </w:r>
      <w:proofErr w:type="spellEnd"/>
      <w:r w:rsidRPr="00097519">
        <w:t xml:space="preserve">, </w:t>
      </w:r>
      <w:proofErr w:type="spellStart"/>
      <w:r w:rsidRPr="00097519">
        <w:t>particularly</w:t>
      </w:r>
      <w:proofErr w:type="spellEnd"/>
      <w:r w:rsidRPr="00097519">
        <w:t xml:space="preserve"> in </w:t>
      </w:r>
      <w:proofErr w:type="spellStart"/>
      <w:r w:rsidRPr="00097519">
        <w:t>areas</w:t>
      </w:r>
      <w:proofErr w:type="spellEnd"/>
      <w:r w:rsidRPr="00097519">
        <w:t xml:space="preserve"> </w:t>
      </w:r>
      <w:proofErr w:type="spellStart"/>
      <w:r w:rsidRPr="00097519">
        <w:t>such</w:t>
      </w:r>
      <w:proofErr w:type="spellEnd"/>
      <w:r w:rsidRPr="00097519">
        <w:t xml:space="preserve"> as </w:t>
      </w:r>
      <w:proofErr w:type="spellStart"/>
      <w:r w:rsidRPr="00097519">
        <w:t>democratization</w:t>
      </w:r>
      <w:proofErr w:type="spellEnd"/>
      <w:r w:rsidRPr="00097519">
        <w:t xml:space="preserve">, </w:t>
      </w:r>
      <w:proofErr w:type="spellStart"/>
      <w:r w:rsidRPr="00097519">
        <w:t>human</w:t>
      </w:r>
      <w:proofErr w:type="spellEnd"/>
      <w:r w:rsidRPr="00097519">
        <w:t xml:space="preserve"> </w:t>
      </w:r>
      <w:proofErr w:type="spellStart"/>
      <w:r w:rsidRPr="00097519">
        <w:t>rights</w:t>
      </w:r>
      <w:proofErr w:type="spellEnd"/>
      <w:r w:rsidRPr="00097519">
        <w:t xml:space="preserve">, </w:t>
      </w:r>
      <w:proofErr w:type="spellStart"/>
      <w:r w:rsidRPr="00097519">
        <w:t>and</w:t>
      </w:r>
      <w:proofErr w:type="spellEnd"/>
      <w:r w:rsidRPr="00097519">
        <w:t xml:space="preserve"> </w:t>
      </w:r>
      <w:proofErr w:type="spellStart"/>
      <w:r w:rsidRPr="00097519">
        <w:t>the</w:t>
      </w:r>
      <w:proofErr w:type="spellEnd"/>
      <w:r w:rsidRPr="00097519">
        <w:t xml:space="preserve"> </w:t>
      </w:r>
      <w:proofErr w:type="spellStart"/>
      <w:r w:rsidRPr="00097519">
        <w:t>rule</w:t>
      </w:r>
      <w:proofErr w:type="spellEnd"/>
      <w:r w:rsidRPr="00097519">
        <w:t xml:space="preserve"> of </w:t>
      </w:r>
      <w:proofErr w:type="spellStart"/>
      <w:r w:rsidRPr="00097519">
        <w:t>law</w:t>
      </w:r>
      <w:proofErr w:type="spellEnd"/>
      <w:r w:rsidRPr="00097519">
        <w:t xml:space="preserve">, </w:t>
      </w:r>
      <w:proofErr w:type="spellStart"/>
      <w:r w:rsidRPr="00097519">
        <w:t>which</w:t>
      </w:r>
      <w:proofErr w:type="spellEnd"/>
      <w:r w:rsidRPr="00097519">
        <w:t xml:space="preserve"> </w:t>
      </w:r>
      <w:proofErr w:type="spellStart"/>
      <w:r w:rsidRPr="00097519">
        <w:t>reshaped</w:t>
      </w:r>
      <w:proofErr w:type="spellEnd"/>
      <w:r w:rsidRPr="00097519">
        <w:t xml:space="preserve"> </w:t>
      </w:r>
      <w:proofErr w:type="spellStart"/>
      <w:r w:rsidRPr="00097519">
        <w:t>its</w:t>
      </w:r>
      <w:proofErr w:type="spellEnd"/>
      <w:r w:rsidRPr="00097519">
        <w:t xml:space="preserve"> </w:t>
      </w:r>
      <w:proofErr w:type="spellStart"/>
      <w:r w:rsidRPr="00097519">
        <w:t>trajectory</w:t>
      </w:r>
      <w:proofErr w:type="spellEnd"/>
      <w:r w:rsidRPr="00097519">
        <w:t xml:space="preserve"> </w:t>
      </w:r>
      <w:proofErr w:type="spellStart"/>
      <w:r w:rsidRPr="00097519">
        <w:t>with</w:t>
      </w:r>
      <w:proofErr w:type="spellEnd"/>
      <w:r w:rsidRPr="00097519">
        <w:t xml:space="preserve"> </w:t>
      </w:r>
      <w:proofErr w:type="spellStart"/>
      <w:r w:rsidRPr="00097519">
        <w:t>the</w:t>
      </w:r>
      <w:proofErr w:type="spellEnd"/>
      <w:r w:rsidRPr="00097519">
        <w:t xml:space="preserve"> EU.</w:t>
      </w:r>
      <w:r w:rsidRPr="003E5C83">
        <w:t xml:space="preserve"> </w:t>
      </w:r>
      <w:proofErr w:type="spellStart"/>
      <w:r w:rsidRPr="00097519">
        <w:t>This</w:t>
      </w:r>
      <w:proofErr w:type="spellEnd"/>
      <w:r w:rsidRPr="00097519">
        <w:t xml:space="preserve"> </w:t>
      </w:r>
      <w:proofErr w:type="spellStart"/>
      <w:r w:rsidRPr="00097519">
        <w:t>study</w:t>
      </w:r>
      <w:proofErr w:type="spellEnd"/>
      <w:r w:rsidRPr="00097519">
        <w:t xml:space="preserve"> </w:t>
      </w:r>
      <w:proofErr w:type="spellStart"/>
      <w:r w:rsidRPr="00097519">
        <w:t>examines</w:t>
      </w:r>
      <w:proofErr w:type="spellEnd"/>
      <w:r w:rsidRPr="00097519">
        <w:t xml:space="preserve"> </w:t>
      </w:r>
      <w:proofErr w:type="spellStart"/>
      <w:r w:rsidRPr="00097519">
        <w:t>the</w:t>
      </w:r>
      <w:proofErr w:type="spellEnd"/>
      <w:r w:rsidRPr="00097519">
        <w:t xml:space="preserve"> </w:t>
      </w:r>
      <w:proofErr w:type="spellStart"/>
      <w:r w:rsidRPr="00097519">
        <w:t>critical</w:t>
      </w:r>
      <w:proofErr w:type="spellEnd"/>
      <w:r w:rsidRPr="00097519">
        <w:t xml:space="preserve"> </w:t>
      </w:r>
      <w:proofErr w:type="spellStart"/>
      <w:r w:rsidRPr="00097519">
        <w:t>period</w:t>
      </w:r>
      <w:proofErr w:type="spellEnd"/>
      <w:r w:rsidRPr="00097519">
        <w:t xml:space="preserve"> of </w:t>
      </w:r>
      <w:proofErr w:type="spellStart"/>
      <w:r w:rsidRPr="00097519">
        <w:t>Turkey</w:t>
      </w:r>
      <w:proofErr w:type="spellEnd"/>
      <w:r w:rsidRPr="00097519">
        <w:t xml:space="preserve">-EU </w:t>
      </w:r>
      <w:proofErr w:type="spellStart"/>
      <w:r w:rsidRPr="00097519">
        <w:t>relations</w:t>
      </w:r>
      <w:proofErr w:type="spellEnd"/>
      <w:r w:rsidRPr="00097519">
        <w:t xml:space="preserve"> in </w:t>
      </w:r>
      <w:proofErr w:type="spellStart"/>
      <w:r w:rsidRPr="00097519">
        <w:t>the</w:t>
      </w:r>
      <w:proofErr w:type="spellEnd"/>
      <w:r w:rsidRPr="00097519">
        <w:t xml:space="preserve"> 1990s </w:t>
      </w:r>
      <w:proofErr w:type="spellStart"/>
      <w:r w:rsidRPr="00097519">
        <w:t>by</w:t>
      </w:r>
      <w:proofErr w:type="spellEnd"/>
      <w:r w:rsidRPr="00097519">
        <w:t xml:space="preserve"> </w:t>
      </w:r>
      <w:proofErr w:type="spellStart"/>
      <w:r w:rsidRPr="00097519">
        <w:t>analyzing</w:t>
      </w:r>
      <w:proofErr w:type="spellEnd"/>
      <w:r w:rsidRPr="00097519">
        <w:t xml:space="preserve"> </w:t>
      </w:r>
      <w:proofErr w:type="spellStart"/>
      <w:r w:rsidRPr="00097519">
        <w:t>the</w:t>
      </w:r>
      <w:proofErr w:type="spellEnd"/>
      <w:r w:rsidRPr="00097519">
        <w:t xml:space="preserve"> </w:t>
      </w:r>
      <w:proofErr w:type="spellStart"/>
      <w:r w:rsidRPr="00097519">
        <w:t>impact</w:t>
      </w:r>
      <w:proofErr w:type="spellEnd"/>
      <w:r w:rsidRPr="00097519">
        <w:t xml:space="preserve"> of </w:t>
      </w:r>
      <w:proofErr w:type="spellStart"/>
      <w:r w:rsidRPr="00097519">
        <w:t>the</w:t>
      </w:r>
      <w:proofErr w:type="spellEnd"/>
      <w:r w:rsidRPr="00097519">
        <w:t xml:space="preserve"> </w:t>
      </w:r>
      <w:proofErr w:type="spellStart"/>
      <w:r w:rsidRPr="00097519">
        <w:t>Luxembourg</w:t>
      </w:r>
      <w:proofErr w:type="spellEnd"/>
      <w:r w:rsidRPr="00097519">
        <w:t xml:space="preserve"> </w:t>
      </w:r>
      <w:proofErr w:type="spellStart"/>
      <w:r w:rsidRPr="00097519">
        <w:t>and</w:t>
      </w:r>
      <w:proofErr w:type="spellEnd"/>
      <w:r w:rsidRPr="00097519">
        <w:t xml:space="preserve"> Helsinki </w:t>
      </w:r>
      <w:proofErr w:type="spellStart"/>
      <w:r w:rsidRPr="00097519">
        <w:t>Summits</w:t>
      </w:r>
      <w:proofErr w:type="spellEnd"/>
      <w:r w:rsidRPr="00097519">
        <w:t xml:space="preserve"> on </w:t>
      </w:r>
      <w:proofErr w:type="spellStart"/>
      <w:r w:rsidRPr="00097519">
        <w:t>Turkey’s</w:t>
      </w:r>
      <w:proofErr w:type="spellEnd"/>
      <w:r w:rsidRPr="00097519">
        <w:t xml:space="preserve"> </w:t>
      </w:r>
      <w:proofErr w:type="spellStart"/>
      <w:r w:rsidRPr="00097519">
        <w:t>candidacy</w:t>
      </w:r>
      <w:proofErr w:type="spellEnd"/>
      <w:r w:rsidRPr="00097519">
        <w:t xml:space="preserve"> </w:t>
      </w:r>
      <w:proofErr w:type="spellStart"/>
      <w:r w:rsidRPr="00097519">
        <w:t>process</w:t>
      </w:r>
      <w:proofErr w:type="spellEnd"/>
      <w:r w:rsidRPr="00097519">
        <w:t xml:space="preserve">. </w:t>
      </w:r>
      <w:proofErr w:type="spellStart"/>
      <w:r w:rsidRPr="00097519">
        <w:t>It</w:t>
      </w:r>
      <w:proofErr w:type="spellEnd"/>
      <w:r w:rsidRPr="00097519">
        <w:t xml:space="preserve"> </w:t>
      </w:r>
      <w:proofErr w:type="spellStart"/>
      <w:r w:rsidRPr="00097519">
        <w:t>aims</w:t>
      </w:r>
      <w:proofErr w:type="spellEnd"/>
      <w:r w:rsidRPr="00097519">
        <w:t xml:space="preserve"> </w:t>
      </w:r>
      <w:proofErr w:type="spellStart"/>
      <w:r w:rsidRPr="00097519">
        <w:t>to</w:t>
      </w:r>
      <w:proofErr w:type="spellEnd"/>
      <w:r w:rsidRPr="00097519">
        <w:t xml:space="preserve"> </w:t>
      </w:r>
      <w:proofErr w:type="spellStart"/>
      <w:r w:rsidRPr="00097519">
        <w:t>compare</w:t>
      </w:r>
      <w:proofErr w:type="spellEnd"/>
      <w:r w:rsidRPr="00097519">
        <w:t xml:space="preserve"> </w:t>
      </w:r>
      <w:proofErr w:type="spellStart"/>
      <w:r w:rsidRPr="00097519">
        <w:t>and</w:t>
      </w:r>
      <w:proofErr w:type="spellEnd"/>
      <w:r w:rsidRPr="00097519">
        <w:t xml:space="preserve"> </w:t>
      </w:r>
      <w:proofErr w:type="spellStart"/>
      <w:r w:rsidRPr="00097519">
        <w:t>contrast</w:t>
      </w:r>
      <w:proofErr w:type="spellEnd"/>
      <w:r w:rsidRPr="00097519">
        <w:t xml:space="preserve"> </w:t>
      </w:r>
      <w:proofErr w:type="spellStart"/>
      <w:r w:rsidRPr="00097519">
        <w:t>the</w:t>
      </w:r>
      <w:proofErr w:type="spellEnd"/>
      <w:r w:rsidRPr="00097519">
        <w:t xml:space="preserve"> </w:t>
      </w:r>
      <w:proofErr w:type="spellStart"/>
      <w:r w:rsidRPr="00097519">
        <w:t>effects</w:t>
      </w:r>
      <w:proofErr w:type="spellEnd"/>
      <w:r w:rsidRPr="00097519">
        <w:t xml:space="preserve"> of </w:t>
      </w:r>
      <w:proofErr w:type="spellStart"/>
      <w:r w:rsidRPr="00097519">
        <w:t>these</w:t>
      </w:r>
      <w:proofErr w:type="spellEnd"/>
      <w:r w:rsidRPr="00097519">
        <w:t xml:space="preserve"> </w:t>
      </w:r>
      <w:proofErr w:type="spellStart"/>
      <w:r w:rsidRPr="00097519">
        <w:t>summits</w:t>
      </w:r>
      <w:proofErr w:type="spellEnd"/>
      <w:r w:rsidRPr="00097519">
        <w:t xml:space="preserve"> on </w:t>
      </w:r>
      <w:proofErr w:type="spellStart"/>
      <w:r w:rsidRPr="00097519">
        <w:t>Turkey</w:t>
      </w:r>
      <w:proofErr w:type="spellEnd"/>
      <w:r w:rsidRPr="00097519">
        <w:t xml:space="preserve">-EU </w:t>
      </w:r>
      <w:proofErr w:type="spellStart"/>
      <w:r w:rsidRPr="00097519">
        <w:t>relations</w:t>
      </w:r>
      <w:proofErr w:type="spellEnd"/>
      <w:r w:rsidRPr="00097519">
        <w:t xml:space="preserve"> </w:t>
      </w:r>
      <w:proofErr w:type="spellStart"/>
      <w:r w:rsidRPr="00097519">
        <w:t>by</w:t>
      </w:r>
      <w:proofErr w:type="spellEnd"/>
      <w:r w:rsidRPr="00097519">
        <w:t xml:space="preserve"> </w:t>
      </w:r>
      <w:proofErr w:type="spellStart"/>
      <w:r w:rsidRPr="00097519">
        <w:t>evaluating</w:t>
      </w:r>
      <w:proofErr w:type="spellEnd"/>
      <w:r w:rsidRPr="00097519">
        <w:t xml:space="preserve"> </w:t>
      </w:r>
      <w:proofErr w:type="spellStart"/>
      <w:r w:rsidRPr="00097519">
        <w:t>their</w:t>
      </w:r>
      <w:proofErr w:type="spellEnd"/>
      <w:r w:rsidRPr="00097519">
        <w:t xml:space="preserve"> </w:t>
      </w:r>
      <w:proofErr w:type="spellStart"/>
      <w:r w:rsidRPr="00097519">
        <w:t>contexts</w:t>
      </w:r>
      <w:proofErr w:type="spellEnd"/>
      <w:r w:rsidRPr="00097519">
        <w:t xml:space="preserve">, </w:t>
      </w:r>
      <w:proofErr w:type="spellStart"/>
      <w:r w:rsidRPr="00097519">
        <w:t>decisions</w:t>
      </w:r>
      <w:proofErr w:type="spellEnd"/>
      <w:r w:rsidRPr="00097519">
        <w:t xml:space="preserve">, </w:t>
      </w:r>
      <w:proofErr w:type="spellStart"/>
      <w:r w:rsidRPr="00097519">
        <w:t>and</w:t>
      </w:r>
      <w:proofErr w:type="spellEnd"/>
      <w:r w:rsidRPr="00097519">
        <w:t xml:space="preserve"> </w:t>
      </w:r>
      <w:proofErr w:type="spellStart"/>
      <w:r w:rsidRPr="00097519">
        <w:t>repercussions</w:t>
      </w:r>
      <w:proofErr w:type="spellEnd"/>
      <w:r w:rsidRPr="00097519">
        <w:t xml:space="preserve"> on </w:t>
      </w:r>
      <w:proofErr w:type="spellStart"/>
      <w:r w:rsidRPr="00097519">
        <w:t>Turkey’s</w:t>
      </w:r>
      <w:proofErr w:type="spellEnd"/>
      <w:r w:rsidRPr="00097519">
        <w:t xml:space="preserve"> </w:t>
      </w:r>
      <w:proofErr w:type="spellStart"/>
      <w:r w:rsidRPr="00097519">
        <w:t>domestic</w:t>
      </w:r>
      <w:proofErr w:type="spellEnd"/>
      <w:r w:rsidRPr="00097519">
        <w:t xml:space="preserve"> </w:t>
      </w:r>
      <w:proofErr w:type="spellStart"/>
      <w:r w:rsidRPr="00097519">
        <w:t>and</w:t>
      </w:r>
      <w:proofErr w:type="spellEnd"/>
      <w:r w:rsidRPr="00097519">
        <w:t xml:space="preserve"> </w:t>
      </w:r>
      <w:proofErr w:type="spellStart"/>
      <w:r w:rsidRPr="00097519">
        <w:t>foreign</w:t>
      </w:r>
      <w:proofErr w:type="spellEnd"/>
      <w:r w:rsidRPr="00097519">
        <w:t xml:space="preserve"> </w:t>
      </w:r>
      <w:proofErr w:type="spellStart"/>
      <w:r w:rsidRPr="00097519">
        <w:t>policies</w:t>
      </w:r>
      <w:proofErr w:type="spellEnd"/>
      <w:r w:rsidRPr="00097519">
        <w:t xml:space="preserve">. </w:t>
      </w:r>
      <w:proofErr w:type="spellStart"/>
      <w:r w:rsidRPr="00097519">
        <w:t>The</w:t>
      </w:r>
      <w:proofErr w:type="spellEnd"/>
      <w:r w:rsidRPr="00097519">
        <w:t xml:space="preserve"> </w:t>
      </w:r>
      <w:proofErr w:type="spellStart"/>
      <w:r w:rsidRPr="00097519">
        <w:t>study</w:t>
      </w:r>
      <w:proofErr w:type="spellEnd"/>
      <w:r w:rsidRPr="00097519">
        <w:t xml:space="preserve"> </w:t>
      </w:r>
      <w:proofErr w:type="spellStart"/>
      <w:r w:rsidRPr="00097519">
        <w:t>explores</w:t>
      </w:r>
      <w:proofErr w:type="spellEnd"/>
      <w:r w:rsidRPr="00097519">
        <w:t xml:space="preserve"> how </w:t>
      </w:r>
      <w:proofErr w:type="spellStart"/>
      <w:r w:rsidRPr="00097519">
        <w:t>these</w:t>
      </w:r>
      <w:proofErr w:type="spellEnd"/>
      <w:r w:rsidRPr="00097519">
        <w:t xml:space="preserve"> </w:t>
      </w:r>
      <w:proofErr w:type="spellStart"/>
      <w:r w:rsidRPr="00097519">
        <w:t>summits</w:t>
      </w:r>
      <w:proofErr w:type="spellEnd"/>
      <w:r w:rsidRPr="00097519">
        <w:t xml:space="preserve"> </w:t>
      </w:r>
      <w:proofErr w:type="spellStart"/>
      <w:r w:rsidRPr="00097519">
        <w:t>shaped</w:t>
      </w:r>
      <w:proofErr w:type="spellEnd"/>
      <w:r w:rsidRPr="00097519">
        <w:t xml:space="preserve"> </w:t>
      </w:r>
      <w:proofErr w:type="spellStart"/>
      <w:r w:rsidRPr="00097519">
        <w:t>Turkey’s</w:t>
      </w:r>
      <w:proofErr w:type="spellEnd"/>
      <w:r w:rsidRPr="00097519">
        <w:t xml:space="preserve"> EU </w:t>
      </w:r>
      <w:proofErr w:type="spellStart"/>
      <w:r w:rsidRPr="00097519">
        <w:t>membership</w:t>
      </w:r>
      <w:proofErr w:type="spellEnd"/>
      <w:r w:rsidRPr="00097519">
        <w:t xml:space="preserve"> </w:t>
      </w:r>
      <w:proofErr w:type="spellStart"/>
      <w:r w:rsidRPr="00097519">
        <w:t>perspective</w:t>
      </w:r>
      <w:proofErr w:type="spellEnd"/>
      <w:r w:rsidRPr="00097519">
        <w:t xml:space="preserve"> </w:t>
      </w:r>
      <w:proofErr w:type="spellStart"/>
      <w:r w:rsidRPr="00097519">
        <w:t>and</w:t>
      </w:r>
      <w:proofErr w:type="spellEnd"/>
      <w:r w:rsidRPr="00097519">
        <w:t xml:space="preserve"> </w:t>
      </w:r>
      <w:proofErr w:type="spellStart"/>
      <w:r w:rsidRPr="00097519">
        <w:t>assesses</w:t>
      </w:r>
      <w:proofErr w:type="spellEnd"/>
      <w:r w:rsidRPr="00097519">
        <w:t xml:space="preserve"> </w:t>
      </w:r>
      <w:proofErr w:type="spellStart"/>
      <w:r w:rsidRPr="00097519">
        <w:t>the</w:t>
      </w:r>
      <w:proofErr w:type="spellEnd"/>
      <w:r w:rsidRPr="00097519">
        <w:t xml:space="preserve"> </w:t>
      </w:r>
      <w:proofErr w:type="spellStart"/>
      <w:r w:rsidRPr="00097519">
        <w:t>political</w:t>
      </w:r>
      <w:proofErr w:type="spellEnd"/>
      <w:r w:rsidRPr="00097519">
        <w:t xml:space="preserve">, </w:t>
      </w:r>
      <w:proofErr w:type="spellStart"/>
      <w:r w:rsidRPr="00097519">
        <w:t>economic</w:t>
      </w:r>
      <w:proofErr w:type="spellEnd"/>
      <w:r w:rsidRPr="00097519">
        <w:t xml:space="preserve">, </w:t>
      </w:r>
      <w:proofErr w:type="spellStart"/>
      <w:r w:rsidRPr="00097519">
        <w:t>and</w:t>
      </w:r>
      <w:proofErr w:type="spellEnd"/>
      <w:r w:rsidRPr="00097519">
        <w:t xml:space="preserve"> </w:t>
      </w:r>
      <w:proofErr w:type="spellStart"/>
      <w:r w:rsidRPr="00097519">
        <w:t>social</w:t>
      </w:r>
      <w:proofErr w:type="spellEnd"/>
      <w:r w:rsidRPr="00097519">
        <w:t xml:space="preserve"> </w:t>
      </w:r>
      <w:proofErr w:type="spellStart"/>
      <w:r w:rsidRPr="00097519">
        <w:t>dynamics</w:t>
      </w:r>
      <w:proofErr w:type="spellEnd"/>
      <w:r w:rsidRPr="00097519">
        <w:t xml:space="preserve"> </w:t>
      </w:r>
      <w:proofErr w:type="spellStart"/>
      <w:r w:rsidRPr="00097519">
        <w:t>that</w:t>
      </w:r>
      <w:proofErr w:type="spellEnd"/>
      <w:r w:rsidRPr="00097519">
        <w:t xml:space="preserve"> </w:t>
      </w:r>
      <w:proofErr w:type="spellStart"/>
      <w:r w:rsidRPr="00097519">
        <w:t>emerged</w:t>
      </w:r>
      <w:proofErr w:type="spellEnd"/>
      <w:r w:rsidRPr="00097519">
        <w:t xml:space="preserve"> </w:t>
      </w:r>
      <w:proofErr w:type="spellStart"/>
      <w:r w:rsidRPr="00097519">
        <w:t>during</w:t>
      </w:r>
      <w:proofErr w:type="spellEnd"/>
      <w:r w:rsidRPr="00097519">
        <w:t xml:space="preserve"> </w:t>
      </w:r>
      <w:proofErr w:type="spellStart"/>
      <w:r w:rsidRPr="00097519">
        <w:t>this</w:t>
      </w:r>
      <w:proofErr w:type="spellEnd"/>
      <w:r w:rsidRPr="00097519">
        <w:t xml:space="preserve"> </w:t>
      </w:r>
      <w:proofErr w:type="spellStart"/>
      <w:r w:rsidRPr="00097519">
        <w:t>process</w:t>
      </w:r>
      <w:proofErr w:type="spellEnd"/>
      <w:r w:rsidRPr="00097519">
        <w:t>.</w:t>
      </w:r>
      <w:r w:rsidRPr="003E5C83">
        <w:t xml:space="preserve"> </w:t>
      </w:r>
      <w:proofErr w:type="spellStart"/>
      <w:r w:rsidRPr="00097519">
        <w:t>In</w:t>
      </w:r>
      <w:proofErr w:type="spellEnd"/>
      <w:r w:rsidRPr="00097519">
        <w:t xml:space="preserve"> </w:t>
      </w:r>
      <w:proofErr w:type="spellStart"/>
      <w:r w:rsidRPr="00097519">
        <w:t>this</w:t>
      </w:r>
      <w:proofErr w:type="spellEnd"/>
      <w:r w:rsidRPr="00097519">
        <w:t xml:space="preserve"> </w:t>
      </w:r>
      <w:proofErr w:type="spellStart"/>
      <w:r w:rsidRPr="00097519">
        <w:t>context</w:t>
      </w:r>
      <w:proofErr w:type="spellEnd"/>
      <w:r w:rsidRPr="00097519">
        <w:t xml:space="preserve">, </w:t>
      </w:r>
      <w:proofErr w:type="spellStart"/>
      <w:r w:rsidRPr="00097519">
        <w:t>the</w:t>
      </w:r>
      <w:proofErr w:type="spellEnd"/>
      <w:r w:rsidRPr="00097519">
        <w:t xml:space="preserve"> </w:t>
      </w:r>
      <w:proofErr w:type="spellStart"/>
      <w:r w:rsidRPr="00097519">
        <w:t>study</w:t>
      </w:r>
      <w:proofErr w:type="spellEnd"/>
      <w:r w:rsidRPr="00097519">
        <w:t xml:space="preserve"> </w:t>
      </w:r>
      <w:proofErr w:type="spellStart"/>
      <w:r w:rsidRPr="00097519">
        <w:t>aims</w:t>
      </w:r>
      <w:proofErr w:type="spellEnd"/>
      <w:r w:rsidRPr="00097519">
        <w:t xml:space="preserve"> </w:t>
      </w:r>
      <w:proofErr w:type="spellStart"/>
      <w:r w:rsidRPr="00097519">
        <w:t>to</w:t>
      </w:r>
      <w:proofErr w:type="spellEnd"/>
      <w:r w:rsidRPr="00097519">
        <w:t xml:space="preserve"> </w:t>
      </w:r>
      <w:proofErr w:type="spellStart"/>
      <w:r w:rsidRPr="00097519">
        <w:t>shed</w:t>
      </w:r>
      <w:proofErr w:type="spellEnd"/>
      <w:r w:rsidRPr="00097519">
        <w:t xml:space="preserve"> </w:t>
      </w:r>
      <w:proofErr w:type="spellStart"/>
      <w:r w:rsidRPr="00097519">
        <w:t>light</w:t>
      </w:r>
      <w:proofErr w:type="spellEnd"/>
      <w:r w:rsidRPr="00097519">
        <w:t xml:space="preserve"> on </w:t>
      </w:r>
      <w:proofErr w:type="spellStart"/>
      <w:r w:rsidRPr="00097519">
        <w:t>the</w:t>
      </w:r>
      <w:proofErr w:type="spellEnd"/>
      <w:r w:rsidRPr="00097519">
        <w:t xml:space="preserve"> </w:t>
      </w:r>
      <w:proofErr w:type="spellStart"/>
      <w:r w:rsidRPr="00097519">
        <w:t>transformation</w:t>
      </w:r>
      <w:proofErr w:type="spellEnd"/>
      <w:r w:rsidRPr="00097519">
        <w:t xml:space="preserve"> of </w:t>
      </w:r>
      <w:proofErr w:type="spellStart"/>
      <w:r w:rsidRPr="00097519">
        <w:t>Turkey’s</w:t>
      </w:r>
      <w:proofErr w:type="spellEnd"/>
      <w:r w:rsidRPr="00097519">
        <w:t xml:space="preserve"> EU </w:t>
      </w:r>
      <w:proofErr w:type="spellStart"/>
      <w:r w:rsidRPr="00097519">
        <w:t>accession</w:t>
      </w:r>
      <w:proofErr w:type="spellEnd"/>
      <w:r w:rsidRPr="00097519">
        <w:t xml:space="preserve"> </w:t>
      </w:r>
      <w:proofErr w:type="spellStart"/>
      <w:r w:rsidRPr="00097519">
        <w:t>objective</w:t>
      </w:r>
      <w:proofErr w:type="spellEnd"/>
      <w:r w:rsidRPr="00097519">
        <w:t xml:space="preserve">. </w:t>
      </w:r>
      <w:proofErr w:type="spellStart"/>
      <w:r w:rsidRPr="00097519">
        <w:t>The</w:t>
      </w:r>
      <w:proofErr w:type="spellEnd"/>
      <w:r w:rsidRPr="00097519">
        <w:t xml:space="preserve"> </w:t>
      </w:r>
      <w:proofErr w:type="spellStart"/>
      <w:r w:rsidRPr="00097519">
        <w:t>methodology</w:t>
      </w:r>
      <w:proofErr w:type="spellEnd"/>
      <w:r w:rsidRPr="00097519">
        <w:t xml:space="preserve"> </w:t>
      </w:r>
      <w:proofErr w:type="spellStart"/>
      <w:r w:rsidRPr="00097519">
        <w:t>employs</w:t>
      </w:r>
      <w:proofErr w:type="spellEnd"/>
      <w:r w:rsidRPr="00097519">
        <w:t xml:space="preserve"> </w:t>
      </w:r>
      <w:proofErr w:type="spellStart"/>
      <w:r w:rsidRPr="00097519">
        <w:t>historical</w:t>
      </w:r>
      <w:proofErr w:type="spellEnd"/>
      <w:r w:rsidRPr="00097519">
        <w:t xml:space="preserve"> </w:t>
      </w:r>
      <w:proofErr w:type="spellStart"/>
      <w:r w:rsidRPr="00097519">
        <w:t>analysis</w:t>
      </w:r>
      <w:proofErr w:type="spellEnd"/>
      <w:r w:rsidRPr="00097519">
        <w:t xml:space="preserve"> </w:t>
      </w:r>
      <w:proofErr w:type="spellStart"/>
      <w:r w:rsidRPr="00097519">
        <w:t>and</w:t>
      </w:r>
      <w:proofErr w:type="spellEnd"/>
      <w:r w:rsidRPr="00097519">
        <w:t xml:space="preserve"> </w:t>
      </w:r>
      <w:proofErr w:type="spellStart"/>
      <w:r w:rsidRPr="00097519">
        <w:t>comparative</w:t>
      </w:r>
      <w:proofErr w:type="spellEnd"/>
      <w:r w:rsidRPr="00097519">
        <w:t xml:space="preserve"> </w:t>
      </w:r>
      <w:proofErr w:type="spellStart"/>
      <w:r w:rsidRPr="00097519">
        <w:t>approaches</w:t>
      </w:r>
      <w:proofErr w:type="spellEnd"/>
      <w:r w:rsidRPr="00097519">
        <w:t xml:space="preserve">, </w:t>
      </w:r>
      <w:proofErr w:type="spellStart"/>
      <w:r w:rsidRPr="00097519">
        <w:t>utilizing</w:t>
      </w:r>
      <w:proofErr w:type="spellEnd"/>
      <w:r w:rsidRPr="00097519">
        <w:t xml:space="preserve"> </w:t>
      </w:r>
      <w:proofErr w:type="spellStart"/>
      <w:r w:rsidRPr="00097519">
        <w:t>summit</w:t>
      </w:r>
      <w:proofErr w:type="spellEnd"/>
      <w:r w:rsidRPr="00097519">
        <w:t xml:space="preserve"> </w:t>
      </w:r>
      <w:proofErr w:type="spellStart"/>
      <w:r w:rsidRPr="00097519">
        <w:t>declarations</w:t>
      </w:r>
      <w:proofErr w:type="spellEnd"/>
      <w:r w:rsidRPr="00097519">
        <w:t xml:space="preserve">, EU </w:t>
      </w:r>
      <w:proofErr w:type="spellStart"/>
      <w:r w:rsidRPr="00097519">
        <w:t>reports</w:t>
      </w:r>
      <w:proofErr w:type="spellEnd"/>
      <w:r w:rsidRPr="00097519">
        <w:t xml:space="preserve">, </w:t>
      </w:r>
      <w:proofErr w:type="spellStart"/>
      <w:r w:rsidRPr="00097519">
        <w:t>and</w:t>
      </w:r>
      <w:proofErr w:type="spellEnd"/>
      <w:r w:rsidRPr="00097519">
        <w:t xml:space="preserve"> </w:t>
      </w:r>
      <w:proofErr w:type="spellStart"/>
      <w:r w:rsidRPr="00097519">
        <w:t>Turkey’s</w:t>
      </w:r>
      <w:proofErr w:type="spellEnd"/>
      <w:r w:rsidRPr="00097519">
        <w:t xml:space="preserve"> reform </w:t>
      </w:r>
      <w:proofErr w:type="spellStart"/>
      <w:r w:rsidRPr="00097519">
        <w:t>programs</w:t>
      </w:r>
      <w:proofErr w:type="spellEnd"/>
      <w:r w:rsidRPr="00097519">
        <w:t xml:space="preserve">. </w:t>
      </w:r>
      <w:proofErr w:type="spellStart"/>
      <w:r w:rsidRPr="00097519">
        <w:t>Drawing</w:t>
      </w:r>
      <w:proofErr w:type="spellEnd"/>
      <w:r w:rsidRPr="00097519">
        <w:t xml:space="preserve"> on </w:t>
      </w:r>
      <w:proofErr w:type="spellStart"/>
      <w:r w:rsidRPr="00097519">
        <w:t>both</w:t>
      </w:r>
      <w:proofErr w:type="spellEnd"/>
      <w:r w:rsidRPr="00097519">
        <w:t xml:space="preserve"> </w:t>
      </w:r>
      <w:proofErr w:type="spellStart"/>
      <w:r w:rsidRPr="00097519">
        <w:t>primary</w:t>
      </w:r>
      <w:proofErr w:type="spellEnd"/>
      <w:r w:rsidRPr="00097519">
        <w:t xml:space="preserve"> </w:t>
      </w:r>
      <w:proofErr w:type="spellStart"/>
      <w:r w:rsidRPr="00097519">
        <w:t>sources</w:t>
      </w:r>
      <w:proofErr w:type="spellEnd"/>
      <w:r w:rsidRPr="00097519">
        <w:t xml:space="preserve"> </w:t>
      </w:r>
      <w:proofErr w:type="spellStart"/>
      <w:r w:rsidRPr="00097519">
        <w:t>and</w:t>
      </w:r>
      <w:proofErr w:type="spellEnd"/>
      <w:r w:rsidRPr="00097519">
        <w:t xml:space="preserve"> </w:t>
      </w:r>
      <w:proofErr w:type="spellStart"/>
      <w:r w:rsidRPr="00097519">
        <w:t>academic</w:t>
      </w:r>
      <w:proofErr w:type="spellEnd"/>
      <w:r w:rsidRPr="00097519">
        <w:t xml:space="preserve"> </w:t>
      </w:r>
      <w:proofErr w:type="spellStart"/>
      <w:r w:rsidRPr="00097519">
        <w:t>literature</w:t>
      </w:r>
      <w:proofErr w:type="spellEnd"/>
      <w:r w:rsidRPr="00097519">
        <w:t xml:space="preserve">, </w:t>
      </w:r>
      <w:proofErr w:type="spellStart"/>
      <w:r w:rsidRPr="00097519">
        <w:t>this</w:t>
      </w:r>
      <w:proofErr w:type="spellEnd"/>
      <w:r w:rsidRPr="00097519">
        <w:t xml:space="preserve"> </w:t>
      </w:r>
      <w:proofErr w:type="spellStart"/>
      <w:r w:rsidRPr="00097519">
        <w:t>study</w:t>
      </w:r>
      <w:proofErr w:type="spellEnd"/>
      <w:r w:rsidRPr="00097519">
        <w:t xml:space="preserve"> </w:t>
      </w:r>
      <w:proofErr w:type="spellStart"/>
      <w:r w:rsidRPr="00097519">
        <w:t>provides</w:t>
      </w:r>
      <w:proofErr w:type="spellEnd"/>
      <w:r w:rsidRPr="00097519">
        <w:t xml:space="preserve"> a </w:t>
      </w:r>
      <w:proofErr w:type="spellStart"/>
      <w:r w:rsidRPr="00097519">
        <w:t>detailed</w:t>
      </w:r>
      <w:proofErr w:type="spellEnd"/>
      <w:r w:rsidRPr="00097519">
        <w:t xml:space="preserve"> </w:t>
      </w:r>
      <w:proofErr w:type="spellStart"/>
      <w:r w:rsidRPr="00097519">
        <w:t>examination</w:t>
      </w:r>
      <w:proofErr w:type="spellEnd"/>
      <w:r w:rsidRPr="00097519">
        <w:t xml:space="preserve"> of </w:t>
      </w:r>
      <w:proofErr w:type="spellStart"/>
      <w:r w:rsidRPr="00097519">
        <w:t>the</w:t>
      </w:r>
      <w:proofErr w:type="spellEnd"/>
      <w:r w:rsidRPr="00097519">
        <w:t xml:space="preserve"> </w:t>
      </w:r>
      <w:proofErr w:type="spellStart"/>
      <w:r w:rsidRPr="00097519">
        <w:t>political</w:t>
      </w:r>
      <w:proofErr w:type="spellEnd"/>
      <w:r w:rsidRPr="00097519">
        <w:t xml:space="preserve"> </w:t>
      </w:r>
      <w:proofErr w:type="spellStart"/>
      <w:r w:rsidRPr="00097519">
        <w:t>context</w:t>
      </w:r>
      <w:proofErr w:type="spellEnd"/>
      <w:r w:rsidRPr="00097519">
        <w:t xml:space="preserve"> </w:t>
      </w:r>
      <w:proofErr w:type="spellStart"/>
      <w:r w:rsidRPr="00097519">
        <w:t>and</w:t>
      </w:r>
      <w:proofErr w:type="spellEnd"/>
      <w:r w:rsidRPr="00097519">
        <w:t xml:space="preserve"> reform </w:t>
      </w:r>
      <w:proofErr w:type="spellStart"/>
      <w:r w:rsidRPr="00097519">
        <w:t>processes</w:t>
      </w:r>
      <w:proofErr w:type="spellEnd"/>
      <w:r w:rsidRPr="00097519">
        <w:t xml:space="preserve"> of </w:t>
      </w:r>
      <w:proofErr w:type="spellStart"/>
      <w:r w:rsidRPr="00097519">
        <w:t>the</w:t>
      </w:r>
      <w:proofErr w:type="spellEnd"/>
      <w:r w:rsidRPr="00097519">
        <w:t xml:space="preserve"> </w:t>
      </w:r>
      <w:proofErr w:type="spellStart"/>
      <w:r w:rsidRPr="00097519">
        <w:t>period</w:t>
      </w:r>
      <w:proofErr w:type="spellEnd"/>
      <w:r w:rsidRPr="00097519">
        <w:t>.</w:t>
      </w:r>
    </w:p>
    <w:p w14:paraId="3064C2D2" w14:textId="77777777" w:rsidR="00FA457D" w:rsidRPr="003E5C83" w:rsidRDefault="00FA457D" w:rsidP="00316176">
      <w:pPr>
        <w:jc w:val="both"/>
      </w:pPr>
    </w:p>
    <w:p w14:paraId="2492B893" w14:textId="77777777" w:rsidR="00FA457D" w:rsidRPr="003E5C83" w:rsidRDefault="00FA457D" w:rsidP="00316176">
      <w:pPr>
        <w:jc w:val="both"/>
      </w:pPr>
      <w:proofErr w:type="spellStart"/>
      <w:r w:rsidRPr="003E5C83">
        <w:rPr>
          <w:b/>
          <w:bCs/>
        </w:rPr>
        <w:t>Keywords</w:t>
      </w:r>
      <w:proofErr w:type="spellEnd"/>
      <w:r w:rsidRPr="003E5C83">
        <w:rPr>
          <w:b/>
          <w:bCs/>
        </w:rPr>
        <w:t>:</w:t>
      </w:r>
      <w:r w:rsidRPr="003E5C83">
        <w:t xml:space="preserve"> Türkiye, </w:t>
      </w:r>
      <w:proofErr w:type="spellStart"/>
      <w:r w:rsidRPr="003E5C83">
        <w:t>European</w:t>
      </w:r>
      <w:proofErr w:type="spellEnd"/>
      <w:r w:rsidRPr="003E5C83">
        <w:t xml:space="preserve"> </w:t>
      </w:r>
      <w:proofErr w:type="spellStart"/>
      <w:r w:rsidRPr="003E5C83">
        <w:t>Union</w:t>
      </w:r>
      <w:proofErr w:type="spellEnd"/>
      <w:r w:rsidRPr="003E5C83">
        <w:t xml:space="preserve">, Helsinki </w:t>
      </w:r>
      <w:proofErr w:type="spellStart"/>
      <w:r w:rsidRPr="003E5C83">
        <w:t>Summit</w:t>
      </w:r>
      <w:proofErr w:type="spellEnd"/>
      <w:r w:rsidRPr="003E5C83">
        <w:t xml:space="preserve">, </w:t>
      </w:r>
      <w:proofErr w:type="spellStart"/>
      <w:r w:rsidRPr="003E5C83">
        <w:t>Luxembourg</w:t>
      </w:r>
      <w:proofErr w:type="spellEnd"/>
      <w:r w:rsidRPr="003E5C83">
        <w:t xml:space="preserve"> </w:t>
      </w:r>
      <w:proofErr w:type="spellStart"/>
      <w:r w:rsidRPr="003E5C83">
        <w:t>Summit</w:t>
      </w:r>
      <w:proofErr w:type="spellEnd"/>
      <w:r w:rsidRPr="003E5C83">
        <w:t>.</w:t>
      </w:r>
    </w:p>
    <w:p w14:paraId="2BBFA16A" w14:textId="77777777" w:rsidR="00FA457D" w:rsidRPr="003E5C83" w:rsidRDefault="00FA457D" w:rsidP="00316176">
      <w:pPr>
        <w:jc w:val="both"/>
      </w:pPr>
    </w:p>
    <w:p w14:paraId="71A03A51" w14:textId="77777777" w:rsidR="00FA457D" w:rsidRPr="003E5C83" w:rsidRDefault="00FA457D" w:rsidP="00316176">
      <w:pPr>
        <w:jc w:val="both"/>
        <w:rPr>
          <w:b/>
          <w:bCs/>
        </w:rPr>
      </w:pPr>
      <w:r w:rsidRPr="003E5C83">
        <w:rPr>
          <w:b/>
          <w:bCs/>
        </w:rPr>
        <w:t>GİRİŞ</w:t>
      </w:r>
    </w:p>
    <w:p w14:paraId="2AEA3B53" w14:textId="3E1ADFE2" w:rsidR="00FA457D" w:rsidRDefault="00FA457D" w:rsidP="00316176">
      <w:pPr>
        <w:jc w:val="both"/>
      </w:pPr>
      <w:r>
        <w:t xml:space="preserve">1990’lı yılların sonları </w:t>
      </w:r>
      <w:r w:rsidRPr="003E5C83">
        <w:t>Türkiye ve Avrupa’nın kendi iç dinamiklerini yeniden şekillendirdiği ve uluslararası sistemde önemli kırılmaların yaşandığı bir süreç olarak kabul edilmektedir. Bu bağlamda, Türkiye'nin Avrupa Birliği ile ilişkileri hem bölgesel hem de küresel değişimlerin etkisi altında şekillenmiştir. Dönemin siyasi, ekonomik ve sosyal ve toplumsal gelişmeleri, iki taraf arasındaki etkileşimi derinleşmiş, aynı zamanda çeşitli sorunlar yaşanarak güvensizlik ortamının oluşması da sağlanmıştır.</w:t>
      </w:r>
    </w:p>
    <w:p w14:paraId="159529B2" w14:textId="77777777" w:rsidR="00316176" w:rsidRPr="003E5C83" w:rsidRDefault="00316176" w:rsidP="00316176">
      <w:pPr>
        <w:jc w:val="both"/>
      </w:pPr>
    </w:p>
    <w:p w14:paraId="76F2A967" w14:textId="77777777" w:rsidR="00FA457D" w:rsidRPr="003E5C83" w:rsidRDefault="00FA457D" w:rsidP="00316176">
      <w:pPr>
        <w:jc w:val="both"/>
      </w:pPr>
      <w:r w:rsidRPr="003E5C83">
        <w:t xml:space="preserve">Bu tarihler, Avrupa ve Türkiye’nin kendi ulusal politikalarını şekillendirdikleri tarihler değil, aynı zamanda birbirleri ile de köklü değişimlerin yaşandığı bir dönemdir. Türkiye’nin Avrupa Birliği ile olan ilişkileri, stratejik hedefler ve bölgesel dinamikler açısından kritik bir öneme sahip olmuştur. Bu dönemde yaşanan ekonomik, siyasi ve diplomatik gelişmeler, taraflar arasındaki etkileşimlerin geleceğini şekillendirmiştir. Ayrıca, Avrupa’nın genişleme süreçleri ve Türkiye’nin demokratikleşme çabaları, dönemin belirleyici unsurları arasında yer almıştır. </w:t>
      </w:r>
      <w:r w:rsidRPr="003E5C83">
        <w:lastRenderedPageBreak/>
        <w:t>Makale, bu kritik dönemi çok boyutlu bir perspektifle ele almayı amaçlamaktadır.</w:t>
      </w:r>
    </w:p>
    <w:p w14:paraId="5659D4D8" w14:textId="280BB7F3" w:rsidR="00FA457D" w:rsidRDefault="00FA457D" w:rsidP="00316176">
      <w:pPr>
        <w:jc w:val="both"/>
      </w:pPr>
      <w:r w:rsidRPr="003E5C83">
        <w:t xml:space="preserve">İlk bölüm, Türkiye ve Avrupa açısından </w:t>
      </w:r>
      <w:r>
        <w:t>ilişkilerinin arka planını</w:t>
      </w:r>
      <w:r w:rsidRPr="003E5C83">
        <w:t xml:space="preserve"> analiz ederek dönemin başlangıç koşullarını anlamayı hedeflemektedir. </w:t>
      </w:r>
      <w:r>
        <w:t>İkinci</w:t>
      </w:r>
      <w:r w:rsidRPr="003E5C83">
        <w:t xml:space="preserve"> bölümde, Türkiye’nin adaylık statüsünün reddedildiği Lüksemburg Zirvesi’nin nedenlerini ve sonuçlarını analiz etmektedir. Ardından, Helsinki Zirvesi ile Türkiye’nin resmi adaylık statüsüne kavuşmasının önemi, bu gelişmenin Türkiye’nin AB ile ilişkilerine getirdiği ivme ve gelecekteki müzakerelere etkisi detaylandırılmaktadır. Son bölüme ise </w:t>
      </w:r>
      <w:r>
        <w:t>bu zirvelerin Türkiye ve AB ilişkilerini nasıl etkilediği açısından değerlendirilmiştir</w:t>
      </w:r>
      <w:r w:rsidRPr="003E5C83">
        <w:t>. Bu başlıklar altında yapılan makale çalışmasında, dönemin anlaşmazlıklarını ve iş</w:t>
      </w:r>
      <w:r>
        <w:t xml:space="preserve"> </w:t>
      </w:r>
      <w:r w:rsidRPr="003E5C83">
        <w:t>birliği fırsatlarını anlamayı mümkün kılmakta, günümüz Avrupa-Türkiye ilişkilerinin temelini oluşturan olaylara ışık tutmaktadır.</w:t>
      </w:r>
    </w:p>
    <w:p w14:paraId="7ADF7247" w14:textId="77777777" w:rsidR="00316176" w:rsidRPr="003E5C83" w:rsidRDefault="00316176" w:rsidP="00316176">
      <w:pPr>
        <w:jc w:val="both"/>
      </w:pPr>
    </w:p>
    <w:p w14:paraId="4F474932" w14:textId="77777777" w:rsidR="00FA457D" w:rsidRPr="003E5C83" w:rsidRDefault="00FA457D" w:rsidP="00316176">
      <w:pPr>
        <w:jc w:val="both"/>
        <w:rPr>
          <w:b/>
          <w:bCs/>
        </w:rPr>
      </w:pPr>
      <w:r w:rsidRPr="003E5C83">
        <w:rPr>
          <w:b/>
          <w:bCs/>
        </w:rPr>
        <w:t>TÜRKİYE-AB İLİŞKİLERİNİN TARİHSEL ARKA PLANI</w:t>
      </w:r>
    </w:p>
    <w:p w14:paraId="7CCFDE20" w14:textId="77777777" w:rsidR="00FA457D" w:rsidRDefault="00FA457D" w:rsidP="00316176">
      <w:pPr>
        <w:jc w:val="both"/>
      </w:pPr>
      <w:r w:rsidRPr="009D7AE5">
        <w:t>Türkiye ile Avrupa Birliği (AB) arasındaki ilişkiler, 20. yüzyılın ikinci yarısından itibaren şekillenmeye başlamış ve farklı dönemlerde çeşitli evrelerden geçmiştir. Türkiye’nin Avrupa ile entegrasyon süreci, ekonomik ve siyasi gelişmeler çerçevesinde ilerlemiş, ancak farklı nedenlerle zaman zaman duraksamalar yaşamıştır. Bu süreçte Türkiye’nin Batı ile yakınlaşma politikaları, ekonomik kalkınma hedefleri ve demokratikleşme çabaları belirleyici olmuştur.</w:t>
      </w:r>
    </w:p>
    <w:p w14:paraId="625933B1" w14:textId="77777777" w:rsidR="00316176" w:rsidRPr="009D7AE5" w:rsidRDefault="00316176" w:rsidP="00316176">
      <w:pPr>
        <w:jc w:val="both"/>
      </w:pPr>
    </w:p>
    <w:p w14:paraId="4D895F18" w14:textId="77777777" w:rsidR="00FA457D" w:rsidRDefault="00FA457D" w:rsidP="00316176">
      <w:pPr>
        <w:jc w:val="both"/>
      </w:pPr>
      <w:r w:rsidRPr="009D7AE5">
        <w:t>Türkiye’nin Avrupa ile entegrasyon süreci, 1963 yılında imzalanan Ankara Anlaşması ile resmiyet kazanmıştır. Avrupa Ekonomik Topluluğu (AET) ile imzalanan bu anlaşma, Türkiye’nin ekonomik ve siyasi reformlar gerçekleştirmesi halinde tam üyeliğe giden bir yol haritası sunuyordu. Ankara Anlaşması ile taraflar arasında bir Gümrük Birliği hedeflenmiş ve Türkiye’nin ekonomik açıdan AET’ye uyum sağlaması için bir geçiş süreci öngörülmüştü. 1970 yılında imzalanan Katma Protokol, bu sürecin detaylarını belirlemiş ve Türkiye’nin ekonomik uyum sürecini hızlandıracak düzenlemeler getirmiştir.</w:t>
      </w:r>
    </w:p>
    <w:p w14:paraId="747BB709" w14:textId="77777777" w:rsidR="00316176" w:rsidRPr="009D7AE5" w:rsidRDefault="00316176" w:rsidP="00316176">
      <w:pPr>
        <w:jc w:val="both"/>
      </w:pPr>
    </w:p>
    <w:p w14:paraId="2A120418" w14:textId="77777777" w:rsidR="00FA457D" w:rsidRDefault="00FA457D" w:rsidP="00316176">
      <w:pPr>
        <w:jc w:val="both"/>
      </w:pPr>
      <w:r w:rsidRPr="009D7AE5">
        <w:t>1970’li yıllarda Türkiye’nin AET ile olan ilişkileri, siyasi ve ekonomik dalgalanmalar nedeniyle yavaşlamıştır. 12 Eylül 1980 askeri darbesi sonrasında Türkiye’de insan hakları ihlalleri ve demokrasi eksikliği, Avrupa ile ilişkilerin gerilmesine neden olmuştur. AET, darbe sonrası Türkiye ile olan siyasi ilişkileri dondurmuş ve Türkiye’nin tam üyelik hedefleri geçici olarak askıya alınmıştır. Ancak 1983 yılında sivil yönetime geçilmesi ve Türkiye’nin liberal ekonomi politikalarına yönelmesiyle birlikte, Avrupa ile ilişkilerde yeniden bir hareketlenme yaşanmıştır.</w:t>
      </w:r>
    </w:p>
    <w:p w14:paraId="7207EDF6" w14:textId="77777777" w:rsidR="00316176" w:rsidRPr="009D7AE5" w:rsidRDefault="00316176" w:rsidP="00316176">
      <w:pPr>
        <w:jc w:val="both"/>
      </w:pPr>
    </w:p>
    <w:p w14:paraId="1033E789" w14:textId="77777777" w:rsidR="00FA457D" w:rsidRDefault="00FA457D" w:rsidP="00316176">
      <w:pPr>
        <w:jc w:val="both"/>
      </w:pPr>
      <w:r w:rsidRPr="009D7AE5">
        <w:t>Türkiye, 1987 yılında Avrupa Ekonomik Topluluğu’na tam üyelik başvurusu yaparak Avrupa ile entegrasyon sürecinde önemli bir adım atmıştır. Ancak AET, genişleme politikaları ve Türkiye’nin ekonomik durumu gibi gerekçelerle bu başvuruyu beklemeye almıştır. 1990’lı yıllarda Türkiye’nin Avrupa ile ilişkileri, özellikle Gümrük Birliği çerçevesinde şekillenmiştir. 1995 yılında imzalanan Gümrük Birliği anlaşması ile Türkiye, Avrupa ile ekonomik entegrasyon sürecinde yeni bir aşamaya geçmiş ve sanayi ürünlerinde gümrük vergilerini kaldırarak AB pazarına daha kolay erişim sağlamıştır.</w:t>
      </w:r>
    </w:p>
    <w:p w14:paraId="15ADCE54" w14:textId="77777777" w:rsidR="00316176" w:rsidRPr="009D7AE5" w:rsidRDefault="00316176" w:rsidP="00316176">
      <w:pPr>
        <w:jc w:val="both"/>
      </w:pPr>
    </w:p>
    <w:p w14:paraId="32462BF1" w14:textId="77777777" w:rsidR="00FA457D" w:rsidRDefault="00FA457D" w:rsidP="00316176">
      <w:pPr>
        <w:jc w:val="both"/>
      </w:pPr>
      <w:r w:rsidRPr="009D7AE5">
        <w:t xml:space="preserve">1997 yılında gerçekleştirilen Lüksemburg Zirvesi, Türkiye-AB ilişkilerinde önemli bir kırılma noktası olmuştur. Türkiye, tam üyelik müzakerelerine başlamak isteyen ülkeler arasında yer almamış ve Kıbrıs ile Orta ve Doğu Avrupa ülkeleri öncelikli aday ülkeler olarak belirlenmiştir. Bu durum Türkiye’de büyük bir hayal kırıklığı yaratmış ve Avrupa’ya yönelik eleştirileri artırmıştır. Ancak 1999 Helsinki Zirvesi’nde Türkiye, resmen aday ülke olarak kabul edilerek </w:t>
      </w:r>
      <w:r w:rsidRPr="009D7AE5">
        <w:lastRenderedPageBreak/>
        <w:t>AB ile tam üyelik müzakereleri için bir yol haritası oluşturulmuştur.</w:t>
      </w:r>
    </w:p>
    <w:p w14:paraId="356860F8" w14:textId="77777777" w:rsidR="00316176" w:rsidRPr="009D7AE5" w:rsidRDefault="00316176" w:rsidP="00316176">
      <w:pPr>
        <w:jc w:val="both"/>
      </w:pPr>
    </w:p>
    <w:p w14:paraId="491086BB" w14:textId="77777777" w:rsidR="00FA457D" w:rsidRDefault="00FA457D" w:rsidP="00316176">
      <w:pPr>
        <w:jc w:val="both"/>
      </w:pPr>
      <w:r w:rsidRPr="009D7AE5">
        <w:t>Türkiye, 2000’li yılların başında Avrupa Birliği ile tam üyelik sürecini hızlandırmak için önemli reformlar gerçekleştirmiştir. 2002 yılında Kopenhag Kriterleri doğrultusunda demokratikleşme, insan hakları ve hukukun üstünlüğü alanlarında reform paketleri hayata geçirilmiş ve Türkiye’nin AB ile müzakerelere başlaması için gerekli olan temel adımlar atılmıştır. 2004 yılında Avrupa Komisyonu, Türkiye’nin müzakerelere başlamaya yeterli düzeyde ilerleme kaydettiğini belirten bir rapor yayımlamış ve 2005 yılında resmi müzakereler başlatılmıştır.</w:t>
      </w:r>
    </w:p>
    <w:p w14:paraId="5DECCDD9" w14:textId="77777777" w:rsidR="00316176" w:rsidRPr="009D7AE5" w:rsidRDefault="00316176" w:rsidP="00316176">
      <w:pPr>
        <w:jc w:val="both"/>
      </w:pPr>
    </w:p>
    <w:p w14:paraId="1A0D8708" w14:textId="77777777" w:rsidR="00FA457D" w:rsidRDefault="00FA457D" w:rsidP="00316176">
      <w:pPr>
        <w:jc w:val="both"/>
      </w:pPr>
      <w:r w:rsidRPr="009D7AE5">
        <w:t xml:space="preserve">Türkiye’nin Avrupa Birliği ile ilişkileri, tarihsel süreç içerisinde birçok evreden geçmiş ve farklı dinamiklerle şekillenmiştir. 1963 Ankara Anlaşması ile temelleri atılan bu süreç, 1987’deki tam üyelik başvurusu, 1995 Gümrük Birliği ve 1999 Helsinki Zirvesi gibi önemli dönüm noktalarıyla ilerlemiştir. 2000’li yıllarda AB ile müzakereler başlamış olsa </w:t>
      </w:r>
      <w:proofErr w:type="gramStart"/>
      <w:r w:rsidRPr="009D7AE5">
        <w:t>da,</w:t>
      </w:r>
      <w:proofErr w:type="gramEnd"/>
      <w:r w:rsidRPr="009D7AE5">
        <w:t xml:space="preserve"> Türkiye-AB ilişkileri zaman zaman siyasi ve ekonomik nedenlerle kesintiye uğramıştır. Günümüzde Türkiye-AB ilişkileri, geçmişten gelen sorunların yanı sıra güncel siyasi gelişmelerin de etkisiyle karmaşık bir yapıya sahiptir. Türkiye’nin AB ile tam üyelik sürecindeki ilerlemesi, taraflar arasındaki karşılıklı siyasi iradeye ve reform süreçlerine bağlı olarak şekillenmeye devam etmektedir.</w:t>
      </w:r>
    </w:p>
    <w:p w14:paraId="1402023E" w14:textId="77777777" w:rsidR="00FA457D" w:rsidRPr="003E5C83" w:rsidRDefault="00FA457D" w:rsidP="00316176">
      <w:pPr>
        <w:jc w:val="both"/>
      </w:pPr>
    </w:p>
    <w:p w14:paraId="2C1CD12D" w14:textId="77777777" w:rsidR="00FA457D" w:rsidRPr="003E5C83" w:rsidRDefault="00FA457D" w:rsidP="00316176">
      <w:pPr>
        <w:jc w:val="both"/>
        <w:rPr>
          <w:b/>
          <w:bCs/>
        </w:rPr>
      </w:pPr>
      <w:r w:rsidRPr="003E5C83">
        <w:rPr>
          <w:b/>
          <w:bCs/>
        </w:rPr>
        <w:t>TÜRKİYE’NİN AB ADAYLIK SÜRECİNİ ETKİLEYEN ZİRVELER</w:t>
      </w:r>
    </w:p>
    <w:p w14:paraId="68917E37" w14:textId="77777777" w:rsidR="00FA457D" w:rsidRPr="003E5C83" w:rsidRDefault="00FA457D" w:rsidP="00316176">
      <w:pPr>
        <w:jc w:val="both"/>
        <w:rPr>
          <w:b/>
          <w:bCs/>
        </w:rPr>
      </w:pPr>
      <w:r>
        <w:rPr>
          <w:b/>
          <w:bCs/>
        </w:rPr>
        <w:t xml:space="preserve">1. </w:t>
      </w:r>
      <w:r w:rsidRPr="003E5C83">
        <w:rPr>
          <w:b/>
          <w:bCs/>
        </w:rPr>
        <w:t>Lüksemburg Zirvesi ve Türkiye'nin Adaylık Statüsünün Reddi</w:t>
      </w:r>
    </w:p>
    <w:p w14:paraId="30A40023" w14:textId="77777777" w:rsidR="00FA457D" w:rsidRDefault="00FA457D" w:rsidP="00316176">
      <w:pPr>
        <w:jc w:val="both"/>
      </w:pPr>
      <w:r w:rsidRPr="003E5C83">
        <w:t>1997 yılında düzenlenen Lüksemburg Zirvesi, Türkiye’nin AB ile ilişkileri açısından dönüm noktalarından biri olmuştur. Zirve, Türkiye’nin AB ile tam üyelik müzakerelerine başlama sürecinin engellenmesi ve Türkiye'nin adaylık statüsünün reddedilmesi gibi önemli kararlarla sonuçlanmıştır. Bu gelişme, Türkiye'nin AB üyeliği yolunda ciddi bir gerileme yaşamasına ve ülkenin Avrupa ile ilişkilerinde yeni bir dönemin başlamasına neden olmuştur. Dönemin başbakanı Mesut Yılmaz, AB'ye, Türkiye'nin üyelik müzakerelerinin başlatılacağı ülke grubu dışında tutulması durumunda üyelik başvurusunun geri çekileceğini belirtmiştir. ‘’AB'nin "muz cumhuriyeti" olmadığını belirtmekle beraber, aynı şekilde onlar da Türkiye'nin muz cumhuriyeti olduğunu sanmamalıdır. Bu sürecin Haziran'a kadar devam edecektir, ancak Avrupa'nın bizleri küçümsememesi gerekmektedir. AB'nin 21. yüzyılda çok kültürlü ve çok dinli bir yapıyı sürdürememesi durumunda, başvurusunu geri çekme kararı alınacaktır, AB'nin yanlış yaptığına ve Hristiyan kulübü olmamaları gerekmektedir.’’ İfadeleriyle durum izah edilmiştir (Hürriyet Gazetesi, 1997). Bu bağlamda Türkiye, AB kararını gözden geçirmesi için 6 ay süre tanıma kararı almış ve Avrupa Konferansı'na katılmama kararı alınmıştır.</w:t>
      </w:r>
    </w:p>
    <w:p w14:paraId="3C826BA8" w14:textId="77777777" w:rsidR="00316176" w:rsidRPr="003E5C83" w:rsidRDefault="00316176" w:rsidP="00316176">
      <w:pPr>
        <w:jc w:val="both"/>
      </w:pPr>
    </w:p>
    <w:p w14:paraId="1EA617BB" w14:textId="77777777" w:rsidR="00FA457D" w:rsidRDefault="00FA457D" w:rsidP="00316176">
      <w:pPr>
        <w:jc w:val="both"/>
      </w:pPr>
      <w:r w:rsidRPr="003E5C83">
        <w:t>Lüksemburg Zirvesi’nde, Türkiye’nin tam üyelik müzakerelerinin başlatılması, özellikle Yunanistan’ın ve bazı AB üyesi ülkelerin karşı çıkması nedeniyle reddedilmiştir. Yunanistan, Türkiye’nin Kıbrıs meselesindeki tutumunu ve iç siyasi yapısını gerekçe göstererek, Türkiye’nin AB ile müzakerelere başlama hakkı kazanmasını engellemeye çalışmıştır. Bu süreç, Türkiye’nin AB ile olan ilişkilerinde önemli bir kırılma noktası oluşturmuş, çünkü zirveye kadar Türkiye’nin üyelik süreci, olumlu bir yönde ilerlemekteydi. Bu süreçte Kıbrıs’ın aday statüsü kazanarak yoluna devam etmesi, Avrupa’da Türkiye’den daha avantajlı olduklarını göstererek Türkiye açısından öfke doğurmuştur (Çakır, 2016: 80).</w:t>
      </w:r>
    </w:p>
    <w:p w14:paraId="3BE2FDB8" w14:textId="77777777" w:rsidR="00316176" w:rsidRPr="003E5C83" w:rsidRDefault="00316176" w:rsidP="00316176">
      <w:pPr>
        <w:jc w:val="both"/>
      </w:pPr>
    </w:p>
    <w:p w14:paraId="64E932AE" w14:textId="77777777" w:rsidR="00FA457D" w:rsidRDefault="00FA457D" w:rsidP="00316176">
      <w:pPr>
        <w:jc w:val="both"/>
      </w:pPr>
      <w:r w:rsidRPr="003E5C83">
        <w:t xml:space="preserve">Lüksemburg Zirvesi’nde alınan karar, Türkiye’nin tam üyelik için Kopenhag Kriterleri'ni </w:t>
      </w:r>
      <w:r w:rsidRPr="003E5C83">
        <w:lastRenderedPageBreak/>
        <w:t>yerine getirme yönündeki çabalarını sekteye uğratmış ve Türkiye'nin AB'ye katılımı için öngörülen takvimi belirsizleştirmiştir. Zirve, aynı zamanda Türkiye’nin AB ile ekonomik entegrasyon sürecinin zorluklarını da gözler önüne sermiştir. Türkiye’nin demokratikleşme, insan hakları ve azınlık hakları gibi alanlarda yaşadığı sıkıntılar, Avrupa'daki bazı ülkeler tarafından eleştirilmiş ve bu sorunların çözülmeden Türkiye’nin AB’ye tam üyeliği mümkün görülmemiştir.</w:t>
      </w:r>
    </w:p>
    <w:p w14:paraId="57A617D0" w14:textId="77777777" w:rsidR="00316176" w:rsidRPr="003E5C83" w:rsidRDefault="00316176" w:rsidP="00316176">
      <w:pPr>
        <w:jc w:val="both"/>
      </w:pPr>
    </w:p>
    <w:p w14:paraId="614A1D91" w14:textId="77777777" w:rsidR="00FA457D" w:rsidRDefault="00FA457D" w:rsidP="00316176">
      <w:pPr>
        <w:jc w:val="both"/>
      </w:pPr>
      <w:r w:rsidRPr="003E5C83">
        <w:t xml:space="preserve">Lüksemburg Zirvesi sonrasında, Türkiye'nin Avrupa Birliği'ne tam üyelik sürecinde dışlanıp dışlanmaması konusu tartışılmaya başlanmıştır. Birçok AB uzmanı, Türkiye'nin adaylık statüsünün reddedilmesinin, Topluluğun savunma ve iç güvenliği açısından olumsuz etkiler yaratabileceğini belirtmiştir. Bu görüş, Türkiye'nin stratejik öneminin göz ardı edilmemesi gerektiği yönünde bir uyarıdır (Aslan, 2000: 10). Türkiye’nin AB üyeliği konusunda umutların azalması, özellikle ekonomik reformlar ve demokratikleşme sürecinde motivasyon kaybına yol açmıştır. Türkiye, zirve sonrası dönemde, AB’nin koşullarını yerine getirmek için daha fazla çaba sarf etse </w:t>
      </w:r>
      <w:proofErr w:type="gramStart"/>
      <w:r w:rsidRPr="003E5C83">
        <w:t>de,</w:t>
      </w:r>
      <w:proofErr w:type="gramEnd"/>
      <w:r w:rsidRPr="003E5C83">
        <w:t xml:space="preserve"> üyelik perspektifi kısa vadede daha da belirsiz hale gelmiştir. Bu durum, Türkiye’nin AB’ye katılım sürecindeki engellerin sadece dışsal değil, aynı zamanda içsel dinamiklerle de ilgili olduğunu göstermiştir.</w:t>
      </w:r>
    </w:p>
    <w:p w14:paraId="1C52200F" w14:textId="77777777" w:rsidR="00316176" w:rsidRPr="003E5C83" w:rsidRDefault="00316176" w:rsidP="00316176">
      <w:pPr>
        <w:jc w:val="both"/>
      </w:pPr>
    </w:p>
    <w:p w14:paraId="735D3424" w14:textId="77777777" w:rsidR="00FA457D" w:rsidRDefault="00FA457D" w:rsidP="00316176">
      <w:pPr>
        <w:jc w:val="both"/>
      </w:pPr>
      <w:r w:rsidRPr="003E5C83">
        <w:t>Sonuç olarak, Lüksemburg Zirvesi, Türkiye’nin AB ile üyelik yolundaki en büyük engellerden birini temsil etmektedir. Zirve, sadece Türkiye’nin AB üyeliği açısından değil, aynı zamanda Türkiye’nin Avrupa ile ilişkilerinin şekillenmesinde belirleyici bir aşama olmuştur. Türkiye’nin tam üyelik için gösterdiği çabalar ve uluslararası politikaları, bu zirve ile önemli bir darbe almış ve Avrupa ile ilişkilerde yeni bir yol haritası gerekliliğini doğurmuştur.</w:t>
      </w:r>
    </w:p>
    <w:p w14:paraId="6663173B" w14:textId="77777777" w:rsidR="00316176" w:rsidRPr="003E5C83" w:rsidRDefault="00316176" w:rsidP="00316176">
      <w:pPr>
        <w:jc w:val="both"/>
      </w:pPr>
    </w:p>
    <w:p w14:paraId="59A63B91" w14:textId="77777777" w:rsidR="00FA457D" w:rsidRPr="003E5C83" w:rsidRDefault="00FA457D" w:rsidP="00316176">
      <w:pPr>
        <w:jc w:val="both"/>
        <w:rPr>
          <w:b/>
          <w:bCs/>
        </w:rPr>
      </w:pPr>
      <w:r w:rsidRPr="003E5C83">
        <w:rPr>
          <w:b/>
          <w:bCs/>
        </w:rPr>
        <w:t>2. Helsinki Zirvesi: Türkiye'ye AB Adaylık Statüsünün Tanınması</w:t>
      </w:r>
    </w:p>
    <w:p w14:paraId="5948187E" w14:textId="77777777" w:rsidR="00FA457D" w:rsidRDefault="00FA457D" w:rsidP="00316176">
      <w:pPr>
        <w:jc w:val="both"/>
      </w:pPr>
      <w:r w:rsidRPr="003E5C83">
        <w:t>1999 yılında düzenlenen Helsinki Zirvesi, Türkiye için Avrupa Birliği (AB) ile ilişkilerde önemli bir dönüm noktası olmuştur. Bu zirvede, Türkiye'ye AB üyeliği için resmi adaylık statüsü tanınmış ve Türkiye'nin AB ile ilişkileri yeni bir aşamaya girmiştir. Helsinki Zirvesi, Lüksemburg Zirvesi'nin ardından Türkiye’nin AB yolunda önemli bir kazanım elde ettiği bir dönemi simgelemektedir. Helsinki Zirvesi’ne katılan dönemin başbakanı Bülent Ecevit o dönem yaptığı konuşmasında şu demeçleri vermiştir: ‘’Türkiye'ye Avrupa Birliği'nde tam üyelik yolunun ön koşulsuz olarak açılması, önemli bir dönüm noktasıdır. Bölgesel hassasiyetlerin merkezinde yer alan Türkiye, stratejik bir kilit ülke olarak öne çıkmaktadır. Adaylık statüsünün eşit haklarla kabul edilmesi, yalnızca Türkiye'nin geleceğini değil, aynı zamanda bölgesel ve küresel dinamikleri etkileyen bir gelişme olarak değerlendirilmektedir. Bu ilerleme, Türkiye'nin uluslararası alandaki konumunu güçlendiren ve büyük bir diplomatik başarı olarak kayda geçen bir adımdır.’’ (Dışişleri Bakanlığı Arşivi, 1999: 101-103).</w:t>
      </w:r>
    </w:p>
    <w:p w14:paraId="6430EF9C" w14:textId="77777777" w:rsidR="00316176" w:rsidRPr="003E5C83" w:rsidRDefault="00316176" w:rsidP="00316176">
      <w:pPr>
        <w:jc w:val="both"/>
      </w:pPr>
    </w:p>
    <w:p w14:paraId="3DE08C6A" w14:textId="77777777" w:rsidR="00FA457D" w:rsidRDefault="00FA457D" w:rsidP="00316176">
      <w:pPr>
        <w:jc w:val="both"/>
      </w:pPr>
      <w:r w:rsidRPr="003E5C83">
        <w:t xml:space="preserve">Lüksemburg Zirvesi’nde Türkiye’nin adaylık statüsü reddedilmiş ve bu karar, Türkiye'nin AB üyeliği yolunda bir engel teşkil etmiştir. Ancak, Helsinki Zirvesi’nde yaşanan gelişmeler Türkiye için büyük bir diplomatik zafer olarak değerlendirilmiştir. Haber </w:t>
      </w:r>
      <w:proofErr w:type="spellStart"/>
      <w:r w:rsidRPr="003E5C83">
        <w:t>mahşetlerinde</w:t>
      </w:r>
      <w:proofErr w:type="spellEnd"/>
      <w:r w:rsidRPr="003E5C83">
        <w:t xml:space="preserve"> bu karar yerini ‘’Asrın Buluşması, Nefes Kesen 25 Saat, En Cazip Aday, 2004’te </w:t>
      </w:r>
      <w:proofErr w:type="spellStart"/>
      <w:r w:rsidRPr="003E5C83">
        <w:t>Avrupa’lıyız</w:t>
      </w:r>
      <w:proofErr w:type="spellEnd"/>
      <w:r w:rsidRPr="003E5C83">
        <w:t xml:space="preserve">’’ gibi başlıklarla alarak AB yolculuğunun Türkiye tarafında olumlu seyrettiği sergilenmiştir (Dışişleri Bakanlığı Arşivi, 1999: 119-121).  Avrupa Konseyi, zirve sonucunda aldığı karar ile Türkiye'yi, 1999 yılında yapılan Kopenhag Zirvesi'ne kadar AB ile tam üyelik müzakerelerine başlama aşamasına getirecek aday ülkeler arasında kabul etmiştir. Bu karar, Türkiye'nin AB üyeliği sürecinde önemli bir dönüm noktası olmuş, Türkiye’nin Avrupa'daki geleceği için yeni </w:t>
      </w:r>
      <w:r w:rsidRPr="003E5C83">
        <w:lastRenderedPageBreak/>
        <w:t>bir umut ışığı olmuştur.</w:t>
      </w:r>
    </w:p>
    <w:p w14:paraId="77115D3D" w14:textId="77777777" w:rsidR="00316176" w:rsidRPr="003E5C83" w:rsidRDefault="00316176" w:rsidP="00316176">
      <w:pPr>
        <w:jc w:val="both"/>
      </w:pPr>
    </w:p>
    <w:p w14:paraId="6A7794E6" w14:textId="77777777" w:rsidR="00FA457D" w:rsidRDefault="00FA457D" w:rsidP="00316176">
      <w:pPr>
        <w:jc w:val="both"/>
      </w:pPr>
      <w:r w:rsidRPr="003E5C83">
        <w:t>Helsinki Zirvesi'ne giden süreçte, Türkiye iç politikasında önemli reformlar yapmaya başlamış ve AB'nin Kopenhag Kriterleri doğrultusunda demokratikleşme, insan hakları, hukuk devleti gibi konularda adımlar atmıştır. Zirveye Türkiye’nin katılımı, bu reformların bir yansıması olarak görülmüş, AB, Türkiye'nin üyelik yolundaki çabalarını takdir etmiştir. Ancak, zirve sonucunda Türkiye'nin üyelik müzakerelerinin ne zaman başlayacağına dair net bir tarih verilmemiş, sadece Türkiye'nin üyelik sürecinin kabul edilmesi sağlanmıştır.</w:t>
      </w:r>
    </w:p>
    <w:p w14:paraId="6DC2EF34" w14:textId="77777777" w:rsidR="00316176" w:rsidRPr="003E5C83" w:rsidRDefault="00316176" w:rsidP="00316176">
      <w:pPr>
        <w:jc w:val="both"/>
      </w:pPr>
    </w:p>
    <w:p w14:paraId="089825F5" w14:textId="77777777" w:rsidR="00FA457D" w:rsidRDefault="00FA457D" w:rsidP="00316176">
      <w:pPr>
        <w:jc w:val="both"/>
      </w:pPr>
      <w:r w:rsidRPr="003E5C83">
        <w:t>Zirve, Türkiye'nin AB ile ilişkilerinde önemli bir adım atılmasına olanak tanırken, aynı zamanda AB’nin Türkiye'ye yönelik tavrının değişmeye başladığını göstermiştir. 1990'larda AB üyeliği için karşılaşılan zorluklar ve engellerin ardından, Helsinki Zirvesi ile Türkiye'nin AB perspektifi yeniden şekillenmiştir. Bu hem Türkiye içindeki siyasi aktörler hem de dış politikadaki stratejistler için büyük bir zafer olarak değerlendirilmiştir.</w:t>
      </w:r>
    </w:p>
    <w:p w14:paraId="6F35A800" w14:textId="77777777" w:rsidR="00316176" w:rsidRPr="003E5C83" w:rsidRDefault="00316176" w:rsidP="00316176">
      <w:pPr>
        <w:jc w:val="both"/>
      </w:pPr>
    </w:p>
    <w:p w14:paraId="4FF4D8C8" w14:textId="77777777" w:rsidR="00FA457D" w:rsidRDefault="00FA457D" w:rsidP="00316176">
      <w:pPr>
        <w:jc w:val="both"/>
      </w:pPr>
      <w:r w:rsidRPr="003E5C83">
        <w:t>Sonuç olarak, Helsinki Zirvesi, Türkiye'nin Avrupa Birliği üyeliği için önemli bir kilometre taşıdır. Türkiye’ye resmi adaylık statüsünün tanınması, ülkenin AB ile olan ilişkilerinde önemli bir ilerleme kaydedildiğini gösterirken, bu süreç, Türkiye'nin AB entegrasyonu yolunda büyük bir dönüm noktasını işaret etmiştir. Hem iç politikada hem de dış politikada Türkiye’nin AB üyeliği için daha fazla çaba göstermesi gereken bir dönemin başlangıcını işaret eden Helsinki Zirvesi, Türkiye’nin Avrupa ile entegrasyon yolundaki kararlılığını pekiştirmiştir.</w:t>
      </w:r>
    </w:p>
    <w:p w14:paraId="215B770F" w14:textId="77777777" w:rsidR="00316176" w:rsidRPr="003E5C83" w:rsidRDefault="00316176" w:rsidP="00316176">
      <w:pPr>
        <w:jc w:val="both"/>
      </w:pPr>
    </w:p>
    <w:p w14:paraId="7F2D5402" w14:textId="77777777" w:rsidR="00FA457D" w:rsidRPr="003E5C83" w:rsidRDefault="00FA457D" w:rsidP="00316176">
      <w:pPr>
        <w:jc w:val="both"/>
        <w:rPr>
          <w:b/>
          <w:bCs/>
        </w:rPr>
      </w:pPr>
      <w:r w:rsidRPr="003E5C83">
        <w:rPr>
          <w:b/>
          <w:bCs/>
        </w:rPr>
        <w:t>ZİRVELERİN TÜRKİYE-AB İLİŞKİLERİNE ETKİLERİ</w:t>
      </w:r>
    </w:p>
    <w:p w14:paraId="08FCCB63" w14:textId="77777777" w:rsidR="00FA457D" w:rsidRDefault="00FA457D" w:rsidP="00316176">
      <w:pPr>
        <w:jc w:val="both"/>
      </w:pPr>
      <w:r w:rsidRPr="009D7AE5">
        <w:t>Türkiye-AB ilişkilerinde dönüm noktası niteliğinde olan Lüksemburg (1997) ve Helsinki (1999) Zirveleri, Türkiye’nin Avrupa perspektifini şekillendiren temel süreçleri başlatmış ve AB ile ilişkilerin seyrini değiştirmiştir. Bu iki zirvenin ortaya çıkardığı dinamikler, Türkiye’nin Avrupa Birliği üyelik sürecini yalnızca teknik bir uyum süreci olmaktan çıkarıp siyasi, ekonomik ve hatta kültürel bir dönüşümün parçası hâline getirmiştir. Ancak bu sürecin inişli çıkışlı doğası, Türkiye-AB ilişkilerinin tek yönlü bir ilerleme çizgisi takip etmediğini de açıkça göstermektedir.</w:t>
      </w:r>
    </w:p>
    <w:p w14:paraId="2A3B177E" w14:textId="77777777" w:rsidR="00316176" w:rsidRPr="009D7AE5" w:rsidRDefault="00316176" w:rsidP="00316176">
      <w:pPr>
        <w:jc w:val="both"/>
      </w:pPr>
    </w:p>
    <w:p w14:paraId="651355C7" w14:textId="77777777" w:rsidR="00FA457D" w:rsidRDefault="00FA457D" w:rsidP="00316176">
      <w:pPr>
        <w:jc w:val="both"/>
      </w:pPr>
      <w:r w:rsidRPr="009D7AE5">
        <w:t xml:space="preserve">Lüksemburg Zirvesi, Türkiye açısından büyük bir hayal kırıklığı yaratmış, AB’nin genişleme sürecine dâhil edilmemesi Ankara’da Avrupa ile ilişkilerin geleceğine dair ciddi soru işaretlerine neden olmuştur. Bu durum, Türkiye’de AB sürecine yönelik eleştirileri artırırken, aynı zamanda AB’nin Türkiye’ye yönelik çifte standardı olduğu yönündeki görüşleri güçlendirmiştir. Öte yandan, Helsinki Zirvesi </w:t>
      </w:r>
      <w:proofErr w:type="gramStart"/>
      <w:r w:rsidRPr="009D7AE5">
        <w:t>ile birlikte</w:t>
      </w:r>
      <w:proofErr w:type="gramEnd"/>
      <w:r w:rsidRPr="009D7AE5">
        <w:t xml:space="preserve"> Türkiye’ye aday ülke statüsü verilmesi, Lüksemburg’da ortaya çıkan kırılmanın tam anlamıyla onarılmasa da süreci yeniden canlandırmış ve Türkiye’ye yeni bir siyasi vizyon sunmuştur. Bu gelişme, özellikle reform süreçlerinin hızlanmasını sağlamış, demokratikleşme ve insan hakları alanında belirgin ilerlemeleri beraberinde getirmiştir.</w:t>
      </w:r>
    </w:p>
    <w:p w14:paraId="1ACDADBB" w14:textId="77777777" w:rsidR="00316176" w:rsidRPr="009D7AE5" w:rsidRDefault="00316176" w:rsidP="00316176">
      <w:pPr>
        <w:jc w:val="both"/>
      </w:pPr>
    </w:p>
    <w:p w14:paraId="31CE91B4" w14:textId="77777777" w:rsidR="00FA457D" w:rsidRDefault="00FA457D" w:rsidP="00316176">
      <w:pPr>
        <w:jc w:val="both"/>
      </w:pPr>
      <w:r w:rsidRPr="009D7AE5">
        <w:t xml:space="preserve">Bu iki zirvenin Türkiye-AB ilişkilerine etkisi sadece diplomatik boyutta ele alınamaz. Türkiye’deki iç siyasi dengeler, ekonomik dönüşüm süreci ve kamuoyunun AB’ye bakışı da bu gelişmelerden doğrudan etkilenmiştir. Lüksemburg kararları sonrasında Türkiye’de AB karşıtlığı yükselirken, Helsinki sonrası ise AB üyeliği yeniden ulaşılabilir bir hedef olarak görülmeye başlanmıştır. Bunun en önemli sonucu, Türkiye’nin AB normlarına uyum sağlamak için reform süreçlerine hız vermesi olmuş ve özellikle 2000’lerin başında kapsamlı anayasal ve </w:t>
      </w:r>
      <w:r w:rsidRPr="009D7AE5">
        <w:lastRenderedPageBreak/>
        <w:t>yasal değişiklikler yapılmıştır.</w:t>
      </w:r>
    </w:p>
    <w:p w14:paraId="7C349092" w14:textId="77777777" w:rsidR="00316176" w:rsidRPr="009D7AE5" w:rsidRDefault="00316176" w:rsidP="00316176">
      <w:pPr>
        <w:jc w:val="both"/>
      </w:pPr>
    </w:p>
    <w:p w14:paraId="5CB87B22" w14:textId="77777777" w:rsidR="00FA457D" w:rsidRDefault="00FA457D" w:rsidP="00316176">
      <w:pPr>
        <w:jc w:val="both"/>
      </w:pPr>
      <w:r w:rsidRPr="009D7AE5">
        <w:t>Ancak, bu sürecin çift taraflı olduğu unutulmamalıdır. AB, Türkiye’ye karşı zaman zaman isteksiz ve çelişkili bir tutum sergilemiş, özellikle genişleme politikalarında Türkiye’nin farklı bir kategoride değerlendirilmesi, Ankara ile Brüksel arasındaki güven sorununun derinleşmesine neden olmuştur. Türkiye’nin aday ülke statüsü kazanmasına rağmen müzakere sürecinin uzun yıllar başlamaması ve sonrasında da ivme kaybetmesi, AB’nin Türkiye’ye yönelik yaklaşımında stratejik kaygıların baskın olduğunu ortaya koymuştur. Bu da Türkiye’de zaman zaman AB sürecine yönelik motivasyonun zayıflamasına neden olmuştur.</w:t>
      </w:r>
    </w:p>
    <w:p w14:paraId="6794AB14" w14:textId="77777777" w:rsidR="00316176" w:rsidRDefault="00316176" w:rsidP="00316176">
      <w:pPr>
        <w:jc w:val="both"/>
      </w:pPr>
    </w:p>
    <w:p w14:paraId="2C58B1E7" w14:textId="77777777" w:rsidR="00FA457D" w:rsidRDefault="00FA457D" w:rsidP="00316176">
      <w:pPr>
        <w:jc w:val="both"/>
      </w:pPr>
      <w:r w:rsidRPr="009D7AE5">
        <w:t xml:space="preserve">Genel olarak değerlendirildiğinde, Lüksemburg ve Helsinki Zirveleri, Türkiye-AB ilişkilerinde hem kırılmalar hem de ilerlemeler yaratan kritik dönemeçlerdir. Türkiye’nin Avrupa perspektifini netleştirmesine katkı sağlamış, ancak sürecin siyasi, ekonomik ve kültürel boyutlarının birbirinden bağımsız olmadığı gerçeğini de gözler önüne sermiştir. AB’nin genişleme stratejileri ile Türkiye’nin iç siyasi ve ekonomik dinamikleri arasındaki etkileşim, bu sürecin geleceği açısından belirleyici olmaya devam etmektedir. Türkiye, Helsinki sonrası reformlarla AB sürecinde ilerleme kaydetmiş olsa </w:t>
      </w:r>
      <w:proofErr w:type="gramStart"/>
      <w:r w:rsidRPr="009D7AE5">
        <w:t>da,</w:t>
      </w:r>
      <w:proofErr w:type="gramEnd"/>
      <w:r w:rsidRPr="009D7AE5">
        <w:t xml:space="preserve"> AB’nin Türkiye’ye yönelik yaklaşımı ve Türkiye’nin iç politikadaki dönüşümleri, sürecin zaman zaman tıkanmasına yol açmıştır. Bugün gelinen noktada, Türkiye-AB ilişkilerinin geleceği hâlâ belirsizliğini korumakta ve her iki tarafın da stratejik çıkarlarını yeniden gözden geçirmesi gerekmektedir.</w:t>
      </w:r>
    </w:p>
    <w:p w14:paraId="61ADA9A2" w14:textId="77777777" w:rsidR="00FA457D" w:rsidRDefault="00FA457D" w:rsidP="00316176">
      <w:pPr>
        <w:jc w:val="both"/>
      </w:pPr>
    </w:p>
    <w:p w14:paraId="5E5186F6" w14:textId="77777777" w:rsidR="00FA457D" w:rsidRPr="00B17B4D" w:rsidRDefault="00FA457D" w:rsidP="00316176">
      <w:pPr>
        <w:jc w:val="both"/>
      </w:pPr>
      <w:r w:rsidRPr="003E5C83">
        <w:rPr>
          <w:b/>
          <w:bCs/>
        </w:rPr>
        <w:t>SONUÇ</w:t>
      </w:r>
    </w:p>
    <w:p w14:paraId="78B386C5" w14:textId="77777777" w:rsidR="00FA457D" w:rsidRDefault="00FA457D" w:rsidP="00316176">
      <w:pPr>
        <w:jc w:val="both"/>
      </w:pPr>
      <w:r w:rsidRPr="003E5C83">
        <w:t>1990’lar, Türkiye ile Avrupa Birliği arasındaki ilişkilerin karmaşık bir dönemi temsil etmektedir. Bu süreçte, Türkiye'nin AB ile olan ilişkileri genellikle zorlu diplomatik engellerle şekillenmiş ve Avrupa'da yaşanan iç dinamikler, Türkiye'nin üyelik hedeflerine yönelik çeşitli fırsatlar ve zorluklar yaratmıştır. Lüksemburg Zirvesi'ne kadar Türkiye, AB ile yakınlaşma çabalarını sürdürse de Yunanistan ve diğer AB ülkelerinin karşıt tutumları nedeniyle önemli bir engelle karşılaşmıştır. Ancak Helsinki Zirvesi ile Türkiye, AB tarafından resmi aday olarak kabul edilmiştir ve üyelik sürecinde önemli bir adım atmıştır. Yaşanan karışıklıklar aynı 1990’ların Türkiye içindeki karışıklığı gibi dış politikada da yansımalarını göstererek önemini göstermiştir.</w:t>
      </w:r>
    </w:p>
    <w:p w14:paraId="78E1A8DC" w14:textId="77777777" w:rsidR="00316176" w:rsidRPr="003E5C83" w:rsidRDefault="00316176" w:rsidP="00316176">
      <w:pPr>
        <w:jc w:val="both"/>
      </w:pPr>
    </w:p>
    <w:p w14:paraId="1A4639FE" w14:textId="77777777" w:rsidR="00FA457D" w:rsidRDefault="00FA457D" w:rsidP="00316176">
      <w:pPr>
        <w:jc w:val="both"/>
      </w:pPr>
      <w:r w:rsidRPr="003E5C83">
        <w:t>1990’larda yaşanan zirveler, sadece Türkiye'nin AB ile ilişkilerindeki dönüm noktalarını değil, aynı zamanda Türkiye'nin iç dinamiklerinin de AB sürecine nasıl etki ettiğini göstermektedir. Kardak Krizi ve Balkanlar'daki savaşlar gibi olaylar, Türkiye'nin AB üyeliği sürecini etkileyen önemli dışsal faktörler olarak öne çıkmıştır. Türkiye'nin demokratikleşme ve reform alanındaki adımları, özellikle Helsinki Zirvesi'nde ödüllendirilmiş ve Türkiye'nin AB ile uyumlu bir politika izleyerek, ilerleyen yıllarda müzakerelerin başlamasına zemin hazırlamıştır.</w:t>
      </w:r>
    </w:p>
    <w:p w14:paraId="275F4215" w14:textId="77777777" w:rsidR="00316176" w:rsidRPr="003E5C83" w:rsidRDefault="00316176" w:rsidP="00316176">
      <w:pPr>
        <w:jc w:val="both"/>
      </w:pPr>
    </w:p>
    <w:p w14:paraId="132B73A8" w14:textId="649C9D66" w:rsidR="00FA457D" w:rsidRDefault="00FA457D" w:rsidP="00316176">
      <w:pPr>
        <w:jc w:val="both"/>
      </w:pPr>
      <w:r w:rsidRPr="003E5C83">
        <w:t>1990'lar, Türkiye için bir yandan zorlu, diğer yandan dönüm noktası oluşturan bir dönemi temsil etmektedir. Lüksemburg Zirvesi'nde yaşanan reddedilme durumu, Türkiye'nin AB’ye üyelik yolundaki engelleri daha da görünür kılarken, Helsinki Zirvesi'nde alınan karar, bu engellerin aşılabileceğini ve AB ile olan ilişkinin pozitif bir yönde ilerleyebileceğini göstermiştir. AB, Türkiye'nin iç reformları ve demokratikleşme çabalarını takdir etse de dış politikada yaşanan krizlerin, özellikle Yunanistan ile olan ilişkilerdeki gerginliklerin, AB sürecini etkileyebileceği gerçeği her zaman göz önünde bulundurulmalıdır.</w:t>
      </w:r>
    </w:p>
    <w:p w14:paraId="4B16A4B9" w14:textId="77777777" w:rsidR="00316176" w:rsidRPr="003E5C83" w:rsidRDefault="00316176" w:rsidP="00316176">
      <w:pPr>
        <w:jc w:val="both"/>
      </w:pPr>
    </w:p>
    <w:p w14:paraId="0500B838" w14:textId="77777777" w:rsidR="00FA457D" w:rsidRDefault="00FA457D" w:rsidP="00316176">
      <w:pPr>
        <w:jc w:val="both"/>
        <w:rPr>
          <w:lang w:val="en-US"/>
        </w:rPr>
      </w:pPr>
      <w:r w:rsidRPr="003E5C83">
        <w:lastRenderedPageBreak/>
        <w:t xml:space="preserve">1990'ların sonlarına doğru Türkiye'nin AB üyeliği, AB'nin öncelikleri arasında daha düşük bir sıraya gerilemiştir. Türkiye’nin AB üyeliği sürecinde yaşanan inişli çıkışlı diplomatik ilişkilere rağmen, 1990’lar boyunca AB ile yakınlaşma çabalarının devam etmesi, Türkiye’nin Batı ile olan entegrasyon hedefinin ne kadar kararlı bir şekilde sürdürüldüğünü göstermektedir.  Helsinki Zirvesi'nde Türkiye, tam üyelik adaylığına bir adım daha yaklaşırken, Kopenhag Kararları ile adaylığı onaylanmış ve Türkiye'nin üyelik talepleri daha olumlu bir şekilde karşılanmaya başlanmıştır (Nas, 2016: 93). Helsinki Zirvesi’nin Türkiye için bir dönüm noktası olmasının ardından, AB ile ilişkilerin giderek daha yoğun bir hal alması ve Türkiye'nin üyelik perspektifinin daha belirginleşmesi, gelecekteki süreçler için umut verici bir başlangıç sağlamıştır. Ancak, bu sürecin ilerlemesi için hem iç politikada hem de dış politikada dikkat edilmesi gereken birçok dinamik bulunmaktadır. </w:t>
      </w:r>
      <w:r w:rsidRPr="003E5C83">
        <w:rPr>
          <w:lang w:val="en-US"/>
        </w:rPr>
        <w:t xml:space="preserve">1990’lar, </w:t>
      </w:r>
      <w:proofErr w:type="spellStart"/>
      <w:r w:rsidRPr="003E5C83">
        <w:rPr>
          <w:lang w:val="en-US"/>
        </w:rPr>
        <w:t>ilişkilerin</w:t>
      </w:r>
      <w:proofErr w:type="spellEnd"/>
      <w:r w:rsidRPr="003E5C83">
        <w:rPr>
          <w:lang w:val="en-US"/>
        </w:rPr>
        <w:t xml:space="preserve"> hem </w:t>
      </w:r>
      <w:proofErr w:type="spellStart"/>
      <w:r w:rsidRPr="003E5C83">
        <w:rPr>
          <w:lang w:val="en-US"/>
        </w:rPr>
        <w:t>fırsatlar</w:t>
      </w:r>
      <w:proofErr w:type="spellEnd"/>
      <w:r w:rsidRPr="003E5C83">
        <w:rPr>
          <w:lang w:val="en-US"/>
        </w:rPr>
        <w:t xml:space="preserve"> hem de </w:t>
      </w:r>
      <w:proofErr w:type="spellStart"/>
      <w:r w:rsidRPr="003E5C83">
        <w:rPr>
          <w:lang w:val="en-US"/>
        </w:rPr>
        <w:t>zorluklarla</w:t>
      </w:r>
      <w:proofErr w:type="spellEnd"/>
      <w:r w:rsidRPr="003E5C83">
        <w:rPr>
          <w:lang w:val="en-US"/>
        </w:rPr>
        <w:t xml:space="preserve"> </w:t>
      </w:r>
      <w:proofErr w:type="spellStart"/>
      <w:r w:rsidRPr="003E5C83">
        <w:rPr>
          <w:lang w:val="en-US"/>
        </w:rPr>
        <w:t>dolu</w:t>
      </w:r>
      <w:proofErr w:type="spellEnd"/>
      <w:r w:rsidRPr="003E5C83">
        <w:rPr>
          <w:lang w:val="en-US"/>
        </w:rPr>
        <w:t xml:space="preserve"> </w:t>
      </w:r>
      <w:proofErr w:type="spellStart"/>
      <w:r w:rsidRPr="003E5C83">
        <w:rPr>
          <w:lang w:val="en-US"/>
        </w:rPr>
        <w:t>bir</w:t>
      </w:r>
      <w:proofErr w:type="spellEnd"/>
      <w:r w:rsidRPr="003E5C83">
        <w:rPr>
          <w:lang w:val="en-US"/>
        </w:rPr>
        <w:t xml:space="preserve"> </w:t>
      </w:r>
      <w:proofErr w:type="spellStart"/>
      <w:r w:rsidRPr="003E5C83">
        <w:rPr>
          <w:lang w:val="en-US"/>
        </w:rPr>
        <w:t>tarihsel</w:t>
      </w:r>
      <w:proofErr w:type="spellEnd"/>
      <w:r w:rsidRPr="003E5C83">
        <w:rPr>
          <w:lang w:val="en-US"/>
        </w:rPr>
        <w:t xml:space="preserve"> </w:t>
      </w:r>
      <w:proofErr w:type="spellStart"/>
      <w:r w:rsidRPr="003E5C83">
        <w:rPr>
          <w:lang w:val="en-US"/>
        </w:rPr>
        <w:t>kesitini</w:t>
      </w:r>
      <w:proofErr w:type="spellEnd"/>
      <w:r w:rsidRPr="003E5C83">
        <w:rPr>
          <w:lang w:val="en-US"/>
        </w:rPr>
        <w:t xml:space="preserve"> </w:t>
      </w:r>
      <w:proofErr w:type="spellStart"/>
      <w:r w:rsidRPr="003E5C83">
        <w:rPr>
          <w:lang w:val="en-US"/>
        </w:rPr>
        <w:t>yansıtmaktadır</w:t>
      </w:r>
      <w:proofErr w:type="spellEnd"/>
      <w:r w:rsidRPr="003E5C83">
        <w:rPr>
          <w:lang w:val="en-US"/>
        </w:rPr>
        <w:t>.</w:t>
      </w:r>
    </w:p>
    <w:p w14:paraId="06A3E718" w14:textId="77777777" w:rsidR="00316176" w:rsidRPr="003E5C83" w:rsidRDefault="00316176" w:rsidP="00316176">
      <w:pPr>
        <w:jc w:val="both"/>
      </w:pPr>
    </w:p>
    <w:p w14:paraId="07A7FB10" w14:textId="77777777" w:rsidR="00FA457D" w:rsidRPr="003E5C83" w:rsidRDefault="00FA457D" w:rsidP="00316176">
      <w:pPr>
        <w:jc w:val="both"/>
        <w:rPr>
          <w:b/>
          <w:bCs/>
        </w:rPr>
      </w:pPr>
      <w:r w:rsidRPr="003E5C83">
        <w:rPr>
          <w:b/>
          <w:bCs/>
        </w:rPr>
        <w:t>KAYNAKÇA</w:t>
      </w:r>
    </w:p>
    <w:p w14:paraId="52574990" w14:textId="674F2DC4" w:rsidR="00FA457D" w:rsidRPr="003E5C83" w:rsidRDefault="00FA457D">
      <w:pPr>
        <w:pStyle w:val="ListeParagraf"/>
        <w:numPr>
          <w:ilvl w:val="0"/>
          <w:numId w:val="59"/>
        </w:numPr>
        <w:jc w:val="both"/>
      </w:pPr>
      <w:r w:rsidRPr="003E5C83">
        <w:t>Aslan, R. (2000). ‘’Türkiye-Avrupa Birliği: Sancılı Gelişen İlişki’’. Ankara Üniversitesi SBF Dergisi, 55(03).</w:t>
      </w:r>
    </w:p>
    <w:p w14:paraId="79ADEE5A" w14:textId="77777777" w:rsidR="00FA457D" w:rsidRPr="003E5C83" w:rsidRDefault="00FA457D">
      <w:pPr>
        <w:pStyle w:val="ListeParagraf"/>
        <w:numPr>
          <w:ilvl w:val="0"/>
          <w:numId w:val="59"/>
        </w:numPr>
        <w:jc w:val="both"/>
      </w:pPr>
      <w:r w:rsidRPr="003E5C83">
        <w:t>Ateş, E. (2019). ‘’1996- 2002 Arası Dönemde Türkiye-Avrupa Birliği İlişkilerindeki Gelişmeler’’. Barış Araştırmaları ve Çatışma Çözümleri Dergisi, 7(1), 26-50.</w:t>
      </w:r>
    </w:p>
    <w:p w14:paraId="209DF91E" w14:textId="77777777" w:rsidR="00FA457D" w:rsidRPr="003E5C83" w:rsidRDefault="00FA457D">
      <w:pPr>
        <w:pStyle w:val="ListeParagraf"/>
        <w:numPr>
          <w:ilvl w:val="0"/>
          <w:numId w:val="59"/>
        </w:numPr>
        <w:jc w:val="both"/>
      </w:pPr>
      <w:r w:rsidRPr="003E5C83">
        <w:t>Ayata, A. &amp; Ercan, M. (2012). ‘’Avrupa Birliği ve Türkiye İlişkileri’’, Ankara, Nobel Yayın.</w:t>
      </w:r>
    </w:p>
    <w:p w14:paraId="676AC8A4" w14:textId="77777777" w:rsidR="00FA457D" w:rsidRPr="003E5C83" w:rsidRDefault="00FA457D">
      <w:pPr>
        <w:pStyle w:val="ListeParagraf"/>
        <w:numPr>
          <w:ilvl w:val="0"/>
          <w:numId w:val="59"/>
        </w:numPr>
        <w:jc w:val="both"/>
      </w:pPr>
      <w:proofErr w:type="spellStart"/>
      <w:r w:rsidRPr="003E5C83">
        <w:t>Bayraktutan</w:t>
      </w:r>
      <w:proofErr w:type="spellEnd"/>
      <w:r w:rsidRPr="003E5C83">
        <w:t>, Y. &amp; Bayraktar, Y. (2004). Yakınlaşma Kriterleri Bağlamında AB Genişlemesi ve Türkiye. Kocaeli Üniversitesi Sosyal Bilimler Dergisi (8), 1-17.</w:t>
      </w:r>
    </w:p>
    <w:p w14:paraId="06A02621" w14:textId="639B9EA1" w:rsidR="00FA457D" w:rsidRPr="003E5C83" w:rsidRDefault="00FA457D">
      <w:pPr>
        <w:pStyle w:val="ListeParagraf"/>
        <w:numPr>
          <w:ilvl w:val="0"/>
          <w:numId w:val="59"/>
        </w:numPr>
        <w:jc w:val="both"/>
      </w:pPr>
      <w:r w:rsidRPr="003E5C83">
        <w:t>Cem, İ. (2002). ‘’</w:t>
      </w:r>
      <w:proofErr w:type="spellStart"/>
      <w:r w:rsidRPr="003E5C83">
        <w:t>Turkey-European</w:t>
      </w:r>
      <w:proofErr w:type="spellEnd"/>
      <w:r w:rsidRPr="003E5C83">
        <w:t xml:space="preserve"> </w:t>
      </w:r>
      <w:proofErr w:type="spellStart"/>
      <w:r w:rsidRPr="003E5C83">
        <w:t>Union</w:t>
      </w:r>
      <w:proofErr w:type="spellEnd"/>
      <w:r w:rsidRPr="003E5C83">
        <w:t xml:space="preserve"> </w:t>
      </w:r>
      <w:proofErr w:type="spellStart"/>
      <w:r w:rsidRPr="003E5C83">
        <w:t>Relations</w:t>
      </w:r>
      <w:proofErr w:type="spellEnd"/>
      <w:r w:rsidRPr="003E5C83">
        <w:t xml:space="preserve"> </w:t>
      </w:r>
      <w:proofErr w:type="spellStart"/>
      <w:r w:rsidRPr="003E5C83">
        <w:t>After</w:t>
      </w:r>
      <w:proofErr w:type="spellEnd"/>
      <w:r w:rsidRPr="003E5C83">
        <w:t xml:space="preserve"> </w:t>
      </w:r>
      <w:proofErr w:type="spellStart"/>
      <w:r w:rsidRPr="003E5C83">
        <w:t>The</w:t>
      </w:r>
      <w:proofErr w:type="spellEnd"/>
      <w:r w:rsidRPr="003E5C83">
        <w:t xml:space="preserve"> Helsinki </w:t>
      </w:r>
      <w:proofErr w:type="spellStart"/>
      <w:r w:rsidRPr="003E5C83">
        <w:t>Summit</w:t>
      </w:r>
      <w:proofErr w:type="spellEnd"/>
      <w:r w:rsidRPr="003E5C83">
        <w:t>’’. Marmara Üniversitesi Avrupa Araştırmaları Enstitüsü Avrupa Araştırmaları Dergisi, 10(1), 5-12.</w:t>
      </w:r>
    </w:p>
    <w:p w14:paraId="48E37EB4" w14:textId="77777777" w:rsidR="00FA457D" w:rsidRPr="003E5C83" w:rsidRDefault="00FA457D">
      <w:pPr>
        <w:pStyle w:val="ListeParagraf"/>
        <w:numPr>
          <w:ilvl w:val="0"/>
          <w:numId w:val="59"/>
        </w:numPr>
        <w:jc w:val="both"/>
      </w:pPr>
      <w:r w:rsidRPr="003E5C83">
        <w:t>Çakı</w:t>
      </w:r>
      <w:r>
        <w:t>r</w:t>
      </w:r>
      <w:r w:rsidRPr="003E5C83">
        <w:t xml:space="preserve">, A. E. (2016). ‘’AB-Türkiye İlişkilerinin 50 Yılı: Bir </w:t>
      </w:r>
      <w:proofErr w:type="spellStart"/>
      <w:r w:rsidRPr="003E5C83">
        <w:t>Sisifos</w:t>
      </w:r>
      <w:proofErr w:type="spellEnd"/>
      <w:r w:rsidRPr="003E5C83">
        <w:t xml:space="preserve"> Hikayesi’’. BB101 Yayınları.</w:t>
      </w:r>
    </w:p>
    <w:p w14:paraId="5A809A81" w14:textId="64216BF0" w:rsidR="00FA457D" w:rsidRPr="003E5C83" w:rsidRDefault="00FA457D">
      <w:pPr>
        <w:pStyle w:val="ListeParagraf"/>
        <w:numPr>
          <w:ilvl w:val="0"/>
          <w:numId w:val="59"/>
        </w:numPr>
        <w:jc w:val="both"/>
      </w:pPr>
      <w:r w:rsidRPr="003E5C83">
        <w:t xml:space="preserve">Ergin, S. (1997). ‘’AB'ye 6 ay süre’’. Hürriyet, </w:t>
      </w:r>
      <w:hyperlink r:id="rId262" w:history="1">
        <w:r w:rsidRPr="00E359E0">
          <w:rPr>
            <w:rStyle w:val="Kpr"/>
            <w:rFonts w:eastAsiaTheme="majorEastAsia"/>
          </w:rPr>
          <w:t>https://www.hurriyet.com.tr/gundem/abye-6-ay-sure-39279196</w:t>
        </w:r>
      </w:hyperlink>
      <w:r w:rsidRPr="003E5C83">
        <w:t>.</w:t>
      </w:r>
    </w:p>
    <w:p w14:paraId="12B41BE9" w14:textId="77777777" w:rsidR="00FA457D" w:rsidRPr="003E5C83" w:rsidRDefault="00FA457D">
      <w:pPr>
        <w:pStyle w:val="ListeParagraf"/>
        <w:numPr>
          <w:ilvl w:val="0"/>
          <w:numId w:val="59"/>
        </w:numPr>
        <w:jc w:val="both"/>
      </w:pPr>
      <w:r w:rsidRPr="003E5C83">
        <w:t>Karluk, R. S. &amp; Tonus, Ö. (2000). ‘’Helsinki Zirvesi Sonrasında Türkiye’nin AB’ne Tam Üyeliği’’. Anadolu Üniversitesi İktisadi ve İdari Bilimler Fakültesi Dergisi, 16(1), 205-221.</w:t>
      </w:r>
    </w:p>
    <w:p w14:paraId="229F7357" w14:textId="77777777" w:rsidR="00FA457D" w:rsidRPr="003E5C83" w:rsidRDefault="00FA457D">
      <w:pPr>
        <w:pStyle w:val="ListeParagraf"/>
        <w:numPr>
          <w:ilvl w:val="0"/>
          <w:numId w:val="59"/>
        </w:numPr>
        <w:jc w:val="both"/>
      </w:pPr>
      <w:r w:rsidRPr="003E5C83">
        <w:t xml:space="preserve">Nas, F. T. (2016). ‘’Ekonomi Boyutu/1960’lardan AB’ye Katılma Kadar Türkiye Ekonomisi’’. Çakır, A.E. (Der.), ‘’AB-Türkiye İlişkilerinin 50 Yılı: Bir </w:t>
      </w:r>
      <w:proofErr w:type="spellStart"/>
      <w:r w:rsidRPr="003E5C83">
        <w:t>Sisifos</w:t>
      </w:r>
      <w:proofErr w:type="spellEnd"/>
      <w:r w:rsidRPr="003E5C83">
        <w:t xml:space="preserve"> Hikayesi’’ içinde 89-117. BB101 Yayınları.</w:t>
      </w:r>
    </w:p>
    <w:p w14:paraId="5A18A533" w14:textId="7136D424" w:rsidR="00FA457D" w:rsidRPr="003E5C83" w:rsidRDefault="00FA457D">
      <w:pPr>
        <w:pStyle w:val="ListeParagraf"/>
        <w:numPr>
          <w:ilvl w:val="0"/>
          <w:numId w:val="59"/>
        </w:numPr>
        <w:jc w:val="both"/>
      </w:pPr>
      <w:r w:rsidRPr="003E5C83">
        <w:t xml:space="preserve">Sazak, D. (1997). "AB Zirvesi ve Yılmaz," Milliyet, </w:t>
      </w:r>
      <w:hyperlink r:id="rId263" w:tgtFrame="_new" w:history="1">
        <w:r w:rsidRPr="00E359E0">
          <w:rPr>
            <w:rStyle w:val="Kpr"/>
            <w:rFonts w:eastAsiaTheme="majorEastAsia"/>
          </w:rPr>
          <w:t>https://www.milliyet.com.tr/yazarlar/derya-sazak/ab-zirvesi-ve-yilmaz-5368825</w:t>
        </w:r>
      </w:hyperlink>
      <w:r w:rsidRPr="003E5C83">
        <w:t>.</w:t>
      </w:r>
    </w:p>
    <w:p w14:paraId="7E867223" w14:textId="77777777" w:rsidR="00FA457D" w:rsidRPr="003E5C83" w:rsidRDefault="00FA457D">
      <w:pPr>
        <w:pStyle w:val="ListeParagraf"/>
        <w:numPr>
          <w:ilvl w:val="0"/>
          <w:numId w:val="59"/>
        </w:numPr>
        <w:jc w:val="both"/>
      </w:pPr>
      <w:r w:rsidRPr="003E5C83">
        <w:t xml:space="preserve">T.C. Avrupa Birliği Başkanlığı. (2024). "Avrupa Birliği'nin Genişlemesi." </w:t>
      </w:r>
      <w:hyperlink r:id="rId264" w:history="1">
        <w:r w:rsidRPr="00E359E0">
          <w:rPr>
            <w:rStyle w:val="Kpr"/>
            <w:rFonts w:eastAsiaTheme="majorEastAsia"/>
          </w:rPr>
          <w:t>https://www.ab.gov.tr/avrupa-birliginin-genislemesi_109.html</w:t>
        </w:r>
      </w:hyperlink>
      <w:r w:rsidRPr="003E5C83">
        <w:t>.</w:t>
      </w:r>
    </w:p>
    <w:p w14:paraId="06D5960A" w14:textId="77777777" w:rsidR="00FA457D" w:rsidRPr="003E5C83" w:rsidRDefault="00FA457D">
      <w:pPr>
        <w:pStyle w:val="ListeParagraf"/>
        <w:numPr>
          <w:ilvl w:val="0"/>
          <w:numId w:val="59"/>
        </w:numPr>
        <w:jc w:val="both"/>
      </w:pPr>
      <w:r w:rsidRPr="003E5C83">
        <w:t xml:space="preserve">T.C. Dışişleri Bakanlığı, "Dışişleri Bakanlığı Tarihçesi 1995," Dışişleri Bakanlığı DIAD Güncel Yayınları. </w:t>
      </w:r>
      <w:hyperlink r:id="rId265" w:tgtFrame="_new" w:history="1">
        <w:r w:rsidRPr="00E359E0">
          <w:rPr>
            <w:rStyle w:val="Kpr"/>
            <w:rFonts w:eastAsiaTheme="majorEastAsia"/>
          </w:rPr>
          <w:t>http://diad.mfa.gov.tr/diad/tarihce/1995-2.pdf</w:t>
        </w:r>
      </w:hyperlink>
      <w:r w:rsidRPr="003E5C83">
        <w:t>.</w:t>
      </w:r>
    </w:p>
    <w:p w14:paraId="4AE9B1B5" w14:textId="77777777" w:rsidR="00FA457D" w:rsidRPr="003E5C83" w:rsidRDefault="00FA457D">
      <w:pPr>
        <w:pStyle w:val="ListeParagraf"/>
        <w:numPr>
          <w:ilvl w:val="0"/>
          <w:numId w:val="59"/>
        </w:numPr>
        <w:jc w:val="both"/>
      </w:pPr>
      <w:r w:rsidRPr="003E5C83">
        <w:t xml:space="preserve">T.C. Dışişleri Bakanlığı, "Dışişleri Bakanlığı Tarihçesi 1996" Dışişleri Bakanlığı DIAD Güncel Yayınları. </w:t>
      </w:r>
      <w:hyperlink r:id="rId266" w:tgtFrame="_new" w:history="1">
        <w:r w:rsidRPr="00E359E0">
          <w:rPr>
            <w:rStyle w:val="Kpr"/>
            <w:rFonts w:eastAsiaTheme="majorEastAsia"/>
          </w:rPr>
          <w:t>http://diad.mfa.gov.tr/diad/tarihce/1996-2.pdf</w:t>
        </w:r>
      </w:hyperlink>
      <w:r w:rsidRPr="003E5C83">
        <w:t>.</w:t>
      </w:r>
    </w:p>
    <w:p w14:paraId="02534FD0" w14:textId="43CF4CDA" w:rsidR="00D37D80" w:rsidRDefault="00FA457D">
      <w:pPr>
        <w:pStyle w:val="ListeParagraf"/>
        <w:numPr>
          <w:ilvl w:val="0"/>
          <w:numId w:val="59"/>
        </w:numPr>
        <w:jc w:val="both"/>
      </w:pPr>
      <w:r w:rsidRPr="003E5C83">
        <w:t xml:space="preserve">T.C. Dışişleri Bakanlığı, "Günce: Aralık 1999," Dışişleri Bakanlığı DIAD Güncel Yayınları. </w:t>
      </w:r>
      <w:hyperlink r:id="rId267" w:tgtFrame="_new" w:history="1">
        <w:r w:rsidRPr="00E359E0">
          <w:rPr>
            <w:rStyle w:val="Kpr"/>
            <w:rFonts w:eastAsiaTheme="majorEastAsia"/>
          </w:rPr>
          <w:t>https://diad.mfa.gov.tr/diad/gunce/aralik-1999.pdf</w:t>
        </w:r>
      </w:hyperlink>
      <w:r w:rsidRPr="003E5C83">
        <w:t>.</w:t>
      </w:r>
      <w:r w:rsidRPr="00B1089D">
        <w:br/>
      </w:r>
    </w:p>
    <w:p w14:paraId="02C42F0D" w14:textId="77777777" w:rsidR="00D37D80" w:rsidRDefault="00D37D80">
      <w:pPr>
        <w:autoSpaceDE/>
        <w:autoSpaceDN/>
      </w:pPr>
      <w:r>
        <w:br w:type="page"/>
      </w:r>
    </w:p>
    <w:p w14:paraId="512996FC" w14:textId="5A27C306" w:rsidR="00FA457D" w:rsidRPr="00D37D80" w:rsidRDefault="00FA457D" w:rsidP="00D37D80">
      <w:pPr>
        <w:rPr>
          <w:b/>
          <w:bCs/>
        </w:rPr>
      </w:pPr>
      <w:r w:rsidRPr="00D37D80">
        <w:rPr>
          <w:b/>
          <w:bCs/>
        </w:rPr>
        <w:lastRenderedPageBreak/>
        <w:t>TRT ve BBC'nin Kamu Yönetimindeki Konum ve Rolüne Dair Karşılaştırmalı Bakış</w:t>
      </w:r>
    </w:p>
    <w:p w14:paraId="439212C6" w14:textId="77777777" w:rsidR="00FA457D" w:rsidRPr="00B1089D" w:rsidRDefault="00FA457D" w:rsidP="00FA457D">
      <w:pPr>
        <w:widowControl/>
        <w:jc w:val="center"/>
      </w:pPr>
    </w:p>
    <w:p w14:paraId="55E6FC83" w14:textId="77777777" w:rsidR="00FA457D" w:rsidRPr="00B1089D" w:rsidRDefault="00FA457D" w:rsidP="00FA457D">
      <w:pPr>
        <w:widowControl/>
        <w:jc w:val="center"/>
      </w:pPr>
      <w:r w:rsidRPr="00B1089D">
        <w:t>Ersin Erkan</w:t>
      </w:r>
    </w:p>
    <w:p w14:paraId="19720B7A" w14:textId="77777777" w:rsidR="00FA457D" w:rsidRPr="00B1089D" w:rsidRDefault="00FA457D" w:rsidP="00FA457D">
      <w:pPr>
        <w:widowControl/>
        <w:jc w:val="center"/>
      </w:pPr>
      <w:r w:rsidRPr="00B1089D">
        <w:t>Profesör Doktor, Bingöl Üniversitesi, Siyaset Bilimi ve Kamu Yönetimi</w:t>
      </w:r>
    </w:p>
    <w:p w14:paraId="472F11A6" w14:textId="77777777" w:rsidR="00FA457D" w:rsidRPr="00B1089D" w:rsidRDefault="00FA457D" w:rsidP="00FA457D">
      <w:pPr>
        <w:widowControl/>
        <w:jc w:val="center"/>
      </w:pPr>
      <w:r w:rsidRPr="00B1089D">
        <w:t>erkaners@gmail.com</w:t>
      </w:r>
    </w:p>
    <w:p w14:paraId="73C4EE56" w14:textId="77777777" w:rsidR="00FA457D" w:rsidRPr="00B1089D" w:rsidRDefault="00FA457D" w:rsidP="00FA457D">
      <w:pPr>
        <w:widowControl/>
        <w:jc w:val="center"/>
      </w:pPr>
      <w:r w:rsidRPr="00B1089D">
        <w:t>0000-0002-9854-0368</w:t>
      </w:r>
    </w:p>
    <w:p w14:paraId="64F83BB2" w14:textId="77777777" w:rsidR="00FA457D" w:rsidRPr="00B1089D" w:rsidRDefault="00FA457D" w:rsidP="00FA457D">
      <w:pPr>
        <w:widowControl/>
        <w:jc w:val="center"/>
      </w:pPr>
    </w:p>
    <w:p w14:paraId="22170F95" w14:textId="77777777" w:rsidR="00FA457D" w:rsidRPr="00B1089D" w:rsidRDefault="00FA457D" w:rsidP="00FA457D">
      <w:pPr>
        <w:widowControl/>
        <w:jc w:val="center"/>
      </w:pPr>
      <w:r w:rsidRPr="00B1089D">
        <w:t xml:space="preserve">Abdulbaki </w:t>
      </w:r>
      <w:proofErr w:type="spellStart"/>
      <w:r w:rsidRPr="00B1089D">
        <w:t>Zambakoğlu</w:t>
      </w:r>
      <w:proofErr w:type="spellEnd"/>
    </w:p>
    <w:p w14:paraId="69BD7A87" w14:textId="77777777" w:rsidR="00FA457D" w:rsidRPr="00B1089D" w:rsidRDefault="00FA457D" w:rsidP="00FA457D">
      <w:pPr>
        <w:widowControl/>
        <w:jc w:val="center"/>
      </w:pPr>
      <w:r w:rsidRPr="00B1089D">
        <w:t>Lisans Öğrencisi, İbn Haldun Üniversitesi, Siyaset Bilimi ve Uluslararası İlişkiler</w:t>
      </w:r>
    </w:p>
    <w:p w14:paraId="25127E1D" w14:textId="77777777" w:rsidR="00FA457D" w:rsidRPr="00B1089D" w:rsidRDefault="00FA457D" w:rsidP="00FA457D">
      <w:pPr>
        <w:widowControl/>
        <w:jc w:val="center"/>
      </w:pPr>
      <w:r w:rsidRPr="00B1089D">
        <w:t>abdulbaki.zambakoglu@stu.ihu.edu.tr</w:t>
      </w:r>
    </w:p>
    <w:p w14:paraId="517CD5AF" w14:textId="77777777" w:rsidR="00FA457D" w:rsidRPr="00D10870" w:rsidRDefault="00FA457D" w:rsidP="00FA457D">
      <w:pPr>
        <w:widowControl/>
        <w:jc w:val="center"/>
      </w:pPr>
      <w:r w:rsidRPr="00B1089D">
        <w:t>0009-0007-3468-6513</w:t>
      </w:r>
    </w:p>
    <w:p w14:paraId="3D1E686D" w14:textId="77777777" w:rsidR="00FA457D" w:rsidRPr="00D10870" w:rsidRDefault="00FA457D" w:rsidP="00FA457D">
      <w:pPr>
        <w:widowControl/>
        <w:jc w:val="center"/>
      </w:pPr>
    </w:p>
    <w:p w14:paraId="5298ECDF" w14:textId="77777777" w:rsidR="00FA457D" w:rsidRPr="00B1089D" w:rsidRDefault="00FA457D" w:rsidP="00FA457D">
      <w:pPr>
        <w:widowControl/>
        <w:jc w:val="center"/>
        <w:rPr>
          <w:b/>
          <w:bCs/>
        </w:rPr>
      </w:pPr>
      <w:r w:rsidRPr="00D10870">
        <w:rPr>
          <w:b/>
          <w:bCs/>
        </w:rPr>
        <w:t>Özet</w:t>
      </w:r>
    </w:p>
    <w:p w14:paraId="4FC40798" w14:textId="5F754FE1" w:rsidR="00FA457D" w:rsidRPr="00D10870" w:rsidRDefault="00FA457D" w:rsidP="00A4535A">
      <w:pPr>
        <w:widowControl/>
        <w:jc w:val="both"/>
      </w:pPr>
      <w:r w:rsidRPr="00B1089D">
        <w:t>Bu çalışmada, kamusal yayın kuruluşları olan Türkiye Radyo Televizyon Kurumu (TRT) ve Britanya Yayın Kurumu’nun (BBC) Türkiye ve Britanya yönetim yapısındaki konumları ile rol, görev ve yetkileri karşılaştırmalı biçimde ele alınacaktır. Esasında yayıncılığın kendine özgü koşulları nedeniyle ulusal yayın kuruluşları merkezi idarenin hiyerarşik denetimi dışında tutulmuşlardır. Bu yaklaşımın doğal uzantısı olarak kamu tüzel kişisi olarak tanımlanıp, çeşitli kamusal sorumluluk ve ayrıcalıklarla donatılmışlardır. Özellikle Avrupa ülkelerinde ulusal kamu yayın organlarının merkezi yönetim karşısında (göreli) idari ve hukuki özerkliği benimsenmiştir. Ayrıca, merkezi yönetim ve diğer güç odakları karşısında özerk kalmalarını sağlamak üzere söz konusu yayın kuruluşlarının mali özerkliği üzerinde de titizlikle durulmuştur. Britanya’daki BBC, bu anlamda en önde gelen özerk yayıncı kuruluş olarak temayüz etmektedir. Çalışma, genel itibariyle gerek akademi gerekse politika yapıcılar arasındaki tartışmalı konuların başında gelen medya-devlet ilişkisini kamu yayıncılığının idari yapı içindeki konumu noktasından irdelemektedir. Bu amaç doğrultusunda, TRT ve BBC’nin idari yapıları ve merkezi idare ile olan ilişkisi üzerinde yoğunlaşılmaktadır. Bu bağlamda, TRT ve BBC’nin fonlama modelleri, merkezi idare ile ilişkileri ve editoryal bağımsızlık konuları karşılaştırılmaktadır. Diğer yandan, her iki kurum kamu hizmeti yayıncılığı ilkelerine genellikle sadık kalmakla birlikte, Türkiye ve Britanya’daki farklı ulusal politikalar, siyasi ve kültürel yapılar; kamu yayıncılığının yönetiminde, tarafsızlık, editoryal bağımsızlık ve demokratik değerlerin savunulmasında farklı stratejileri doğurmaktadır. BBC'nin yerleşik lisans ücreti finansmanı modeli ve editoryal özerkliği, TRT’nin devlet finansmanına olan bağımlılığı ile karşılaştırıldığında, kamusal hesap verebilirlik ve editoryal özgürlük arasındaki dengeyi nasıl sağladıkları konusunda önemli farklılıklar bulunmaktadır. Kısacası, TRT ve BBC kamu yayıncılığı yapmakla birlikte, farklı fonlama (</w:t>
      </w:r>
      <w:proofErr w:type="spellStart"/>
      <w:r w:rsidRPr="00B1089D">
        <w:t>finsansal</w:t>
      </w:r>
      <w:proofErr w:type="spellEnd"/>
      <w:r w:rsidRPr="00B1089D">
        <w:t xml:space="preserve"> özerklik) ve idari özerklik yapısına sahiplerdir. Bu durum, söz konusu kuruluşların editoryal bağımsızlık düzeyi ile devlet karşısındaki konumlarını farklılaştırmaktadır.</w:t>
      </w:r>
    </w:p>
    <w:p w14:paraId="2E64313B" w14:textId="77777777" w:rsidR="00FA457D" w:rsidRPr="00B1089D" w:rsidRDefault="00FA457D" w:rsidP="00FA457D">
      <w:pPr>
        <w:widowControl/>
      </w:pPr>
    </w:p>
    <w:p w14:paraId="54C16432" w14:textId="604C06D4" w:rsidR="00D37D80" w:rsidRDefault="000C6508" w:rsidP="00FA457D">
      <w:pPr>
        <w:widowControl/>
      </w:pPr>
      <w:r>
        <w:rPr>
          <w:b/>
          <w:bCs/>
        </w:rPr>
        <w:t>Anahtar Kelimeler</w:t>
      </w:r>
      <w:r w:rsidR="00FA457D" w:rsidRPr="00B1089D">
        <w:rPr>
          <w:b/>
          <w:bCs/>
        </w:rPr>
        <w:t>:</w:t>
      </w:r>
      <w:r w:rsidR="00FA457D" w:rsidRPr="00B1089D">
        <w:t xml:space="preserve"> TRT, BBC, mali ve idari özerklik, kamusal yayıncılık, editoryal bağımsızlık.</w:t>
      </w:r>
    </w:p>
    <w:p w14:paraId="1A2DC21C" w14:textId="2CC214E3" w:rsidR="00FA457D" w:rsidRPr="00B1089D" w:rsidRDefault="00D37D80" w:rsidP="00D37D80">
      <w:pPr>
        <w:autoSpaceDE/>
        <w:autoSpaceDN/>
      </w:pPr>
      <w:r>
        <w:br w:type="page"/>
      </w:r>
    </w:p>
    <w:p w14:paraId="687C6DE2" w14:textId="77777777" w:rsidR="00FA457D" w:rsidRPr="00B1089D" w:rsidRDefault="00FA457D" w:rsidP="004C7694">
      <w:pPr>
        <w:pStyle w:val="Tark"/>
      </w:pPr>
      <w:bookmarkStart w:id="238" w:name="_Toc192855261"/>
      <w:r w:rsidRPr="00B1089D">
        <w:lastRenderedPageBreak/>
        <w:t>Savaş Sonrası Suriye’de Yeniden İnşa: Afet Sonrası Yeniden Yapılanma Modeliyle Altyapı ve Sosyal Politikaların Geliştirilmesi</w:t>
      </w:r>
      <w:bookmarkEnd w:id="238"/>
    </w:p>
    <w:p w14:paraId="08905C69" w14:textId="77777777" w:rsidR="00FA457D" w:rsidRPr="00B1089D" w:rsidRDefault="00FA457D" w:rsidP="00FA457D">
      <w:pPr>
        <w:widowControl/>
        <w:jc w:val="center"/>
      </w:pPr>
    </w:p>
    <w:p w14:paraId="2535CB70" w14:textId="77777777" w:rsidR="00FA457D" w:rsidRPr="00B1089D" w:rsidRDefault="00FA457D" w:rsidP="00FA457D">
      <w:pPr>
        <w:widowControl/>
        <w:jc w:val="center"/>
      </w:pPr>
      <w:r w:rsidRPr="00B1089D">
        <w:t>Salih Tosun</w:t>
      </w:r>
      <w:r w:rsidRPr="00B1089D">
        <w:br/>
      </w:r>
      <w:proofErr w:type="spellStart"/>
      <w:r w:rsidRPr="00B1089D">
        <w:t>Öğr.Gör.Dr</w:t>
      </w:r>
      <w:proofErr w:type="spellEnd"/>
      <w:r w:rsidRPr="00B1089D">
        <w:t>., Balıkesir Üniversitesi, İktisadi ve İdari Bilimler Fakültesi, Siyaset Bilimi ve Kamu Yönetimi Bölümü</w:t>
      </w:r>
      <w:r w:rsidRPr="00B1089D">
        <w:br/>
      </w:r>
      <w:hyperlink r:id="rId268" w:history="1">
        <w:r w:rsidRPr="00B1089D">
          <w:rPr>
            <w:rStyle w:val="Kpr"/>
          </w:rPr>
          <w:t>salih.tosun@balikesir.edu.tr</w:t>
        </w:r>
      </w:hyperlink>
      <w:r w:rsidRPr="00B1089D">
        <w:t xml:space="preserve"> </w:t>
      </w:r>
      <w:r w:rsidRPr="00B1089D">
        <w:br/>
      </w:r>
      <w:proofErr w:type="spellStart"/>
      <w:r w:rsidRPr="00B1089D">
        <w:t>Orcid</w:t>
      </w:r>
      <w:proofErr w:type="spellEnd"/>
      <w:r w:rsidRPr="00B1089D">
        <w:t xml:space="preserve"> ID: 0000-0001-6152-2433</w:t>
      </w:r>
    </w:p>
    <w:p w14:paraId="1BCA505F" w14:textId="77777777" w:rsidR="00FA457D" w:rsidRPr="00B1089D" w:rsidRDefault="00FA457D" w:rsidP="00FA457D">
      <w:pPr>
        <w:widowControl/>
      </w:pPr>
    </w:p>
    <w:p w14:paraId="3B7A0755" w14:textId="77777777" w:rsidR="00FA457D" w:rsidRPr="00B1089D" w:rsidRDefault="00FA457D" w:rsidP="00FA457D">
      <w:pPr>
        <w:widowControl/>
        <w:jc w:val="center"/>
      </w:pPr>
      <w:r w:rsidRPr="00B1089D">
        <w:rPr>
          <w:b/>
          <w:bCs/>
        </w:rPr>
        <w:t>Özet</w:t>
      </w:r>
    </w:p>
    <w:p w14:paraId="537811E8" w14:textId="77777777" w:rsidR="00FA457D" w:rsidRPr="00B1089D" w:rsidRDefault="00FA457D" w:rsidP="00A4535A">
      <w:pPr>
        <w:widowControl/>
        <w:jc w:val="both"/>
      </w:pPr>
      <w:r w:rsidRPr="00B1089D">
        <w:t>Bu çalışma, Suriye’deki savaş sonrası yeniden inşa sürecine odaklanarak, afet yönetimi ve iyileşme modellerini kullanarak savaş sonrası yeniden yapılanma politikalarının geliştirilmesine rehberlik etmeyi ve katkı sağlamayı amaçlamaktadır. Savaşın ardından, Suriye'deki yıkımın derinlemesine anlaşılması ve iyileşme sürecinin etkili bir şekilde planlanması için afet yönetimi ve yeniden yapılanma modellerinin uygulanması büyük önem taşımaktadır. Bu çalışma, savaşın yol açtığı fiziki yıkımın yanı sıra, sosyal yapının bozulmasının da toplum üzerinde uzun vadeli etkiler yaratacağını vurgulamaktadır. Afet sonrası yeniden yapılanma, yalnızca altyapıdaki iyileşmelerle sınırlı kalmayıp, aynı zamanda eğitim, sağlık, istihdam ve diğer sosyal hizmetlerin güçlendirilmesini de içermektedir. Altyapının yeniden inşası, savaşın ardından sürdürülebilir kalkınma için kritik bir temel oluştururken, sosyal politikaların güçlendirilmesi de toplumsal uyumu ve ekonomik istikrarı sağlamada önemli bir rol oynamaktadır. Bu bağlamda, Suriye’deki yeniden yapılanma sürecinin başarıya ulaşabilmesi için kapsamlı bir afet yönetimi stratejisi benimsenmesi gerekmektedir. Çalışma, afet sonrası iyileşme ve yeniden yapılanma süreçlerinin entegrasyonunu sağlayarak, Suriye’nin uzun vadeli toparlanmasına katkıda bulunmayı hedefleyen politika önerileri sunmaktadır. Bu öneriler, altyapı yatırımlarının yanı sıra, sosyal hizmetler alanındaki reformları da kapsayarak, savaş sonrası toplumsal kalkınmayı hızlandırmayı amaçlamaktadır.</w:t>
      </w:r>
    </w:p>
    <w:p w14:paraId="4053DCCE" w14:textId="77777777" w:rsidR="00FA457D" w:rsidRPr="00B1089D" w:rsidRDefault="00FA457D" w:rsidP="00FA457D">
      <w:pPr>
        <w:widowControl/>
      </w:pPr>
    </w:p>
    <w:p w14:paraId="6C4A9769" w14:textId="64A7DA4C" w:rsidR="00D37D80" w:rsidRDefault="000C6508" w:rsidP="00FA457D">
      <w:pPr>
        <w:widowControl/>
      </w:pPr>
      <w:r>
        <w:rPr>
          <w:b/>
          <w:bCs/>
        </w:rPr>
        <w:t>Anahtar Kelimeler</w:t>
      </w:r>
      <w:r w:rsidR="00FA457D" w:rsidRPr="00B1089D">
        <w:rPr>
          <w:b/>
          <w:bCs/>
        </w:rPr>
        <w:t>:</w:t>
      </w:r>
      <w:r w:rsidR="00FA457D" w:rsidRPr="00B1089D">
        <w:t xml:space="preserve"> Suriye, Savaş Sonrası, Afet Yönetimi, Sosyal Politika</w:t>
      </w:r>
    </w:p>
    <w:p w14:paraId="34D5D6F6" w14:textId="343FD73E" w:rsidR="000C6508" w:rsidRPr="00D37D80" w:rsidRDefault="00D37D80" w:rsidP="00D37D80">
      <w:pPr>
        <w:autoSpaceDE/>
        <w:autoSpaceDN/>
      </w:pPr>
      <w:r>
        <w:br w:type="page"/>
      </w:r>
    </w:p>
    <w:p w14:paraId="77675B21" w14:textId="06BDA7AA" w:rsidR="00FA457D" w:rsidRPr="00B1089D" w:rsidRDefault="00FA457D" w:rsidP="004C7694">
      <w:pPr>
        <w:pStyle w:val="Tark"/>
      </w:pPr>
      <w:bookmarkStart w:id="239" w:name="_Toc192855262"/>
      <w:r w:rsidRPr="00B1089D">
        <w:lastRenderedPageBreak/>
        <w:t>Afetler ve Demografik Dönüşüm: Nüfus Dinamikleri Üzerine Etkileri</w:t>
      </w:r>
      <w:bookmarkEnd w:id="239"/>
    </w:p>
    <w:p w14:paraId="532006F6" w14:textId="77777777" w:rsidR="00FA457D" w:rsidRPr="00B1089D" w:rsidRDefault="00FA457D" w:rsidP="00FA457D">
      <w:pPr>
        <w:widowControl/>
        <w:jc w:val="center"/>
      </w:pPr>
    </w:p>
    <w:p w14:paraId="0EB7DC85" w14:textId="77777777" w:rsidR="00FA457D" w:rsidRPr="00B1089D" w:rsidRDefault="00FA457D" w:rsidP="00FA457D">
      <w:pPr>
        <w:widowControl/>
        <w:jc w:val="center"/>
      </w:pPr>
      <w:r w:rsidRPr="00B1089D">
        <w:t>Salih Tosun</w:t>
      </w:r>
      <w:r w:rsidRPr="00B1089D">
        <w:br/>
      </w:r>
      <w:proofErr w:type="spellStart"/>
      <w:r w:rsidRPr="00B1089D">
        <w:t>Öğr.Gör.Dr</w:t>
      </w:r>
      <w:proofErr w:type="spellEnd"/>
      <w:r w:rsidRPr="00B1089D">
        <w:t>., Balıkesir Üniversitesi, İktisadi ve İdari Bilimler Fakültesi, Siyaset Bilimi ve Kamu Yönetimi Bölümü</w:t>
      </w:r>
      <w:r w:rsidRPr="00B1089D">
        <w:br/>
      </w:r>
      <w:hyperlink r:id="rId269" w:history="1">
        <w:r w:rsidRPr="00B1089D">
          <w:rPr>
            <w:rStyle w:val="Kpr"/>
          </w:rPr>
          <w:t>salih.tosun@balikesir.edu.tr</w:t>
        </w:r>
      </w:hyperlink>
      <w:r w:rsidRPr="00B1089D">
        <w:t xml:space="preserve"> </w:t>
      </w:r>
      <w:r w:rsidRPr="00B1089D">
        <w:br/>
      </w:r>
      <w:proofErr w:type="spellStart"/>
      <w:r w:rsidRPr="00B1089D">
        <w:t>Orcid</w:t>
      </w:r>
      <w:proofErr w:type="spellEnd"/>
      <w:r w:rsidRPr="00B1089D">
        <w:t xml:space="preserve"> ID: 0000-0001-6152-2433</w:t>
      </w:r>
    </w:p>
    <w:p w14:paraId="3E9382EE" w14:textId="77777777" w:rsidR="00FA457D" w:rsidRPr="00B1089D" w:rsidRDefault="00FA457D" w:rsidP="00FA457D">
      <w:pPr>
        <w:widowControl/>
        <w:jc w:val="center"/>
      </w:pPr>
    </w:p>
    <w:p w14:paraId="3C12A92C" w14:textId="77777777" w:rsidR="00FA457D" w:rsidRPr="00B1089D" w:rsidRDefault="00FA457D" w:rsidP="00FA457D">
      <w:pPr>
        <w:widowControl/>
        <w:jc w:val="center"/>
      </w:pPr>
      <w:r w:rsidRPr="00B1089D">
        <w:rPr>
          <w:b/>
          <w:bCs/>
        </w:rPr>
        <w:t>Özet</w:t>
      </w:r>
    </w:p>
    <w:p w14:paraId="32F0C61E" w14:textId="77777777" w:rsidR="00FA457D" w:rsidRPr="00B1089D" w:rsidRDefault="00FA457D" w:rsidP="00A4535A">
      <w:pPr>
        <w:widowControl/>
        <w:jc w:val="both"/>
      </w:pPr>
      <w:r w:rsidRPr="00B1089D">
        <w:t xml:space="preserve">Afetler, toplumların demografik yapısını doğrudan ve dolaylı olarak şekillendiren kritik olaylardır. Bu çalışma, doğal ve insan kaynaklı afetlerin Türkiye ve dünya genelinde nüfus artış hızı üzerindeki etkilerini incelemektedir. Büyük ölçekli depremler, salgın hastalıklar, savaşlar ve çevresel felaketlerin doğum oranları, ölüm oranları ve göç dinamikleri üzerindeki etkileri değerlendirilmektedir. Türkiye özelinde 1939 Erzincan, 1999 Marmara ve 2023 Kahramanmaraş depremlerinin demografik sonuçları ele alınırken, küresel ölçekte 2004 Hint Okyanusu tsunamisi, 2011 </w:t>
      </w:r>
      <w:proofErr w:type="spellStart"/>
      <w:r w:rsidRPr="00B1089D">
        <w:t>Tōhoku</w:t>
      </w:r>
      <w:proofErr w:type="spellEnd"/>
      <w:r w:rsidRPr="00B1089D">
        <w:t xml:space="preserve"> depremi ve COVID-19 pandemisinin nüfus hareketleri üzerindeki yansımaları analiz edilmektedir. Türkiye’de nüfus artış hızının düşmesi, demografik geçiş sürecinin ileri aşamalarına işaret etmekte olup, doğurganlık oranlarının 1,6–1,7 seviyelerine gerilemesi nüfus yenilenme seviyesinin altına düşüldüğünü göstermektedir. Afetler, yalnızca can kayıplarına yol açmakla kalmaz, aynı zamanda ekonomik belirsizlik, işsizlik ve barınma sorunları gibi faktörler nedeniyle doğurganlık eğilimlerini değiştirir ve göç hareketlerini hızlandırmaktadır. Temel ihtiyaçlarını karşılamakta zorlanan bireyler, uzun vadeli aile planlamalarını gözden geçirmek zorunda kalabilmekte ve gelecekteki afet riskleri nedeniyle üreme eğilimlerinde azalma görülebilmektedir. Bu süreç, zamanla demografik dengenin bozulmasına neden olabilmektedir. Bu çerçevede, afet sonrası demografik iyileşmeyi destekleyen politikaların geliştirilmesi ve afetlere dirençli kentleşme stratejilerinin benimsenmesi, nüfus istikrarının korunması açısından büyük önem taşımaktadır. Afetlerin nüfus dinamikleri üzerindeki etkilerini anlamak, uzun vadeli sosyal ve ekonomik planlamalar için stratejik bir gerekliliktir.</w:t>
      </w:r>
    </w:p>
    <w:p w14:paraId="59ED2B2A" w14:textId="77777777" w:rsidR="00FA457D" w:rsidRPr="00B1089D" w:rsidRDefault="00FA457D" w:rsidP="00A4535A">
      <w:pPr>
        <w:widowControl/>
        <w:jc w:val="both"/>
      </w:pPr>
    </w:p>
    <w:p w14:paraId="7A9DC1EC" w14:textId="6A7FEEFA" w:rsidR="00D37D80" w:rsidRDefault="00FA457D" w:rsidP="00FA457D">
      <w:pPr>
        <w:widowControl/>
      </w:pPr>
      <w:r w:rsidRPr="00B1089D">
        <w:rPr>
          <w:b/>
          <w:bCs/>
        </w:rPr>
        <w:t xml:space="preserve">Anahtar </w:t>
      </w:r>
      <w:r w:rsidR="000C6508">
        <w:rPr>
          <w:b/>
          <w:bCs/>
        </w:rPr>
        <w:t>Kelimel</w:t>
      </w:r>
      <w:r w:rsidRPr="00B1089D">
        <w:rPr>
          <w:b/>
          <w:bCs/>
        </w:rPr>
        <w:t>er:</w:t>
      </w:r>
      <w:r w:rsidRPr="00B1089D">
        <w:t xml:space="preserve"> Afetler, Demografi, Nüfus Artış Hızı</w:t>
      </w:r>
    </w:p>
    <w:p w14:paraId="7E62683B" w14:textId="2225638D" w:rsidR="00E359E0" w:rsidRDefault="00D37D80" w:rsidP="00D37D80">
      <w:pPr>
        <w:autoSpaceDE/>
        <w:autoSpaceDN/>
      </w:pPr>
      <w:r>
        <w:br w:type="page"/>
      </w:r>
    </w:p>
    <w:p w14:paraId="0E71ABB7" w14:textId="77777777" w:rsidR="008A2109" w:rsidRPr="00097B24" w:rsidRDefault="008A2109" w:rsidP="008A2109"/>
    <w:p w14:paraId="39D54BD8" w14:textId="77777777" w:rsidR="008A2109" w:rsidRDefault="008A2109" w:rsidP="008A2109">
      <w:pPr>
        <w:jc w:val="center"/>
        <w:rPr>
          <w:b/>
        </w:rPr>
      </w:pPr>
      <w:r>
        <w:rPr>
          <w:b/>
        </w:rPr>
        <w:t xml:space="preserve">How Is </w:t>
      </w:r>
      <w:proofErr w:type="spellStart"/>
      <w:r>
        <w:rPr>
          <w:b/>
        </w:rPr>
        <w:t>Artificial</w:t>
      </w:r>
      <w:proofErr w:type="spellEnd"/>
      <w:r>
        <w:rPr>
          <w:b/>
        </w:rPr>
        <w:t xml:space="preserve"> </w:t>
      </w:r>
      <w:proofErr w:type="spellStart"/>
      <w:r>
        <w:rPr>
          <w:b/>
        </w:rPr>
        <w:t>Intelligence</w:t>
      </w:r>
      <w:proofErr w:type="spellEnd"/>
      <w:r>
        <w:rPr>
          <w:b/>
        </w:rPr>
        <w:t xml:space="preserve"> </w:t>
      </w:r>
      <w:proofErr w:type="spellStart"/>
      <w:r>
        <w:rPr>
          <w:b/>
        </w:rPr>
        <w:t>Used</w:t>
      </w:r>
      <w:proofErr w:type="spellEnd"/>
      <w:r>
        <w:rPr>
          <w:b/>
        </w:rPr>
        <w:t xml:space="preserve"> in </w:t>
      </w:r>
      <w:proofErr w:type="spellStart"/>
      <w:r>
        <w:rPr>
          <w:b/>
        </w:rPr>
        <w:t>Dubai's</w:t>
      </w:r>
      <w:proofErr w:type="spellEnd"/>
      <w:r>
        <w:rPr>
          <w:b/>
        </w:rPr>
        <w:t xml:space="preserve"> Smart </w:t>
      </w:r>
      <w:proofErr w:type="spellStart"/>
      <w:r>
        <w:rPr>
          <w:b/>
        </w:rPr>
        <w:t>Police</w:t>
      </w:r>
      <w:proofErr w:type="spellEnd"/>
      <w:r>
        <w:rPr>
          <w:b/>
        </w:rPr>
        <w:t xml:space="preserve"> </w:t>
      </w:r>
      <w:proofErr w:type="spellStart"/>
      <w:r>
        <w:rPr>
          <w:b/>
        </w:rPr>
        <w:t>Stations</w:t>
      </w:r>
      <w:proofErr w:type="spellEnd"/>
      <w:r>
        <w:rPr>
          <w:b/>
        </w:rPr>
        <w:t>?</w:t>
      </w:r>
    </w:p>
    <w:p w14:paraId="46CB786E" w14:textId="77777777" w:rsidR="008A2109" w:rsidRDefault="008A2109" w:rsidP="008A2109">
      <w:pPr>
        <w:jc w:val="center"/>
      </w:pPr>
    </w:p>
    <w:p w14:paraId="06D8016F" w14:textId="77777777" w:rsidR="008A2109" w:rsidRDefault="008A2109" w:rsidP="008A2109">
      <w:pPr>
        <w:jc w:val="center"/>
      </w:pPr>
      <w:r>
        <w:t>Seda ÇANKAYA KURNAZ</w:t>
      </w:r>
      <w:r>
        <w:br/>
      </w:r>
      <w:proofErr w:type="spellStart"/>
      <w:r>
        <w:t>Phd</w:t>
      </w:r>
      <w:proofErr w:type="spellEnd"/>
      <w:r>
        <w:t xml:space="preserve">. </w:t>
      </w:r>
      <w:proofErr w:type="spellStart"/>
      <w:r>
        <w:t>Selcuk</w:t>
      </w:r>
      <w:proofErr w:type="spellEnd"/>
      <w:r>
        <w:t xml:space="preserve"> </w:t>
      </w:r>
      <w:proofErr w:type="spellStart"/>
      <w:r>
        <w:t>University</w:t>
      </w:r>
      <w:proofErr w:type="spellEnd"/>
      <w:r>
        <w:t xml:space="preserve">, </w:t>
      </w:r>
      <w:proofErr w:type="spellStart"/>
      <w:r>
        <w:t>Political</w:t>
      </w:r>
      <w:proofErr w:type="spellEnd"/>
      <w:r>
        <w:t xml:space="preserve"> </w:t>
      </w:r>
      <w:proofErr w:type="spellStart"/>
      <w:r>
        <w:t>Science</w:t>
      </w:r>
      <w:proofErr w:type="spellEnd"/>
      <w:r>
        <w:t xml:space="preserve"> </w:t>
      </w:r>
      <w:proofErr w:type="spellStart"/>
      <w:r>
        <w:t>and</w:t>
      </w:r>
      <w:proofErr w:type="spellEnd"/>
      <w:r>
        <w:t xml:space="preserve"> </w:t>
      </w:r>
      <w:proofErr w:type="spellStart"/>
      <w:r>
        <w:t>Public</w:t>
      </w:r>
      <w:proofErr w:type="spellEnd"/>
      <w:r>
        <w:t xml:space="preserve"> Administration</w:t>
      </w:r>
      <w:r>
        <w:br/>
        <w:t>sedacankaya@selcuk.edu.tr</w:t>
      </w:r>
      <w:r>
        <w:br/>
      </w:r>
      <w:hyperlink r:id="rId270" w:history="1">
        <w:r w:rsidRPr="004442A8">
          <w:t>0000-0001-6977-300X</w:t>
        </w:r>
      </w:hyperlink>
    </w:p>
    <w:p w14:paraId="27BBC143" w14:textId="77777777" w:rsidR="008A2109" w:rsidRDefault="008A2109" w:rsidP="008A2109">
      <w:pPr>
        <w:jc w:val="center"/>
      </w:pPr>
    </w:p>
    <w:p w14:paraId="68F1FB2F" w14:textId="77777777" w:rsidR="008A2109" w:rsidRPr="00097B24" w:rsidRDefault="008A2109" w:rsidP="008A2109">
      <w:pPr>
        <w:jc w:val="center"/>
        <w:rPr>
          <w:b/>
          <w:bCs/>
        </w:rPr>
      </w:pPr>
      <w:proofErr w:type="spellStart"/>
      <w:r>
        <w:rPr>
          <w:b/>
          <w:bCs/>
        </w:rPr>
        <w:t>Abstract</w:t>
      </w:r>
      <w:proofErr w:type="spellEnd"/>
    </w:p>
    <w:p w14:paraId="380758BD" w14:textId="77777777" w:rsidR="008A2109" w:rsidRDefault="008A2109" w:rsidP="008A2109">
      <w:pPr>
        <w:jc w:val="both"/>
      </w:pPr>
    </w:p>
    <w:p w14:paraId="0CE42148" w14:textId="77777777" w:rsidR="008A2109" w:rsidRDefault="008A2109" w:rsidP="008A2109">
      <w:pPr>
        <w:keepNext/>
        <w:keepLines/>
        <w:pBdr>
          <w:top w:val="none" w:sz="0" w:space="0" w:color="E3E3E3"/>
          <w:left w:val="none" w:sz="0" w:space="0" w:color="E3E3E3"/>
          <w:bottom w:val="none" w:sz="0" w:space="0" w:color="E3E3E3"/>
          <w:right w:val="none" w:sz="0" w:space="0" w:color="E3E3E3"/>
          <w:between w:val="none" w:sz="0" w:space="0" w:color="E3E3E3"/>
        </w:pBdr>
        <w:shd w:val="clear" w:color="auto" w:fill="FFFFFF"/>
        <w:jc w:val="both"/>
      </w:pPr>
      <w:proofErr w:type="spellStart"/>
      <w:r w:rsidRPr="00751303">
        <w:t>Artificial</w:t>
      </w:r>
      <w:proofErr w:type="spellEnd"/>
      <w:r w:rsidRPr="00751303">
        <w:t xml:space="preserve"> </w:t>
      </w:r>
      <w:proofErr w:type="spellStart"/>
      <w:r w:rsidRPr="00751303">
        <w:t>intelligence</w:t>
      </w:r>
      <w:proofErr w:type="spellEnd"/>
      <w:r w:rsidRPr="00751303">
        <w:t xml:space="preserve"> is a </w:t>
      </w:r>
      <w:proofErr w:type="spellStart"/>
      <w:r w:rsidRPr="00751303">
        <w:t>technology</w:t>
      </w:r>
      <w:proofErr w:type="spellEnd"/>
      <w:r w:rsidRPr="00751303">
        <w:t xml:space="preserve"> </w:t>
      </w:r>
      <w:proofErr w:type="spellStart"/>
      <w:r w:rsidRPr="00751303">
        <w:t>that</w:t>
      </w:r>
      <w:proofErr w:type="spellEnd"/>
      <w:r w:rsidRPr="00751303">
        <w:t xml:space="preserve"> </w:t>
      </w:r>
      <w:proofErr w:type="spellStart"/>
      <w:r w:rsidRPr="00751303">
        <w:t>imitates</w:t>
      </w:r>
      <w:proofErr w:type="spellEnd"/>
      <w:r w:rsidRPr="00751303">
        <w:t xml:space="preserve"> </w:t>
      </w:r>
      <w:proofErr w:type="spellStart"/>
      <w:r w:rsidRPr="00751303">
        <w:t>human</w:t>
      </w:r>
      <w:proofErr w:type="spellEnd"/>
      <w:r w:rsidRPr="00751303">
        <w:t xml:space="preserve"> </w:t>
      </w:r>
      <w:proofErr w:type="spellStart"/>
      <w:r w:rsidRPr="00751303">
        <w:t>abilities</w:t>
      </w:r>
      <w:proofErr w:type="spellEnd"/>
      <w:r w:rsidRPr="00751303">
        <w:t xml:space="preserve"> </w:t>
      </w:r>
      <w:proofErr w:type="spellStart"/>
      <w:r w:rsidRPr="00751303">
        <w:t>such</w:t>
      </w:r>
      <w:proofErr w:type="spellEnd"/>
      <w:r w:rsidRPr="00751303">
        <w:t xml:space="preserve"> as </w:t>
      </w:r>
      <w:proofErr w:type="spellStart"/>
      <w:r w:rsidRPr="00751303">
        <w:t>learning</w:t>
      </w:r>
      <w:proofErr w:type="spellEnd"/>
      <w:r w:rsidRPr="00751303">
        <w:t xml:space="preserve"> </w:t>
      </w:r>
      <w:proofErr w:type="spellStart"/>
      <w:r w:rsidRPr="00751303">
        <w:t>and</w:t>
      </w:r>
      <w:proofErr w:type="spellEnd"/>
      <w:r w:rsidRPr="00751303">
        <w:t xml:space="preserve"> problem </w:t>
      </w:r>
      <w:proofErr w:type="spellStart"/>
      <w:r w:rsidRPr="00751303">
        <w:t>solving</w:t>
      </w:r>
      <w:proofErr w:type="spellEnd"/>
      <w:r w:rsidRPr="00751303">
        <w:t xml:space="preserve"> </w:t>
      </w:r>
      <w:proofErr w:type="spellStart"/>
      <w:r w:rsidRPr="00751303">
        <w:t>using</w:t>
      </w:r>
      <w:proofErr w:type="spellEnd"/>
      <w:r w:rsidRPr="00751303">
        <w:t xml:space="preserve"> </w:t>
      </w:r>
      <w:proofErr w:type="spellStart"/>
      <w:r w:rsidRPr="00751303">
        <w:t>machine-based</w:t>
      </w:r>
      <w:proofErr w:type="spellEnd"/>
      <w:r w:rsidRPr="00751303">
        <w:t xml:space="preserve"> </w:t>
      </w:r>
      <w:proofErr w:type="spellStart"/>
      <w:r w:rsidRPr="00751303">
        <w:t>systems</w:t>
      </w:r>
      <w:proofErr w:type="spellEnd"/>
      <w:r w:rsidRPr="00751303">
        <w:t xml:space="preserve"> </w:t>
      </w:r>
      <w:proofErr w:type="spellStart"/>
      <w:r w:rsidRPr="00751303">
        <w:t>and</w:t>
      </w:r>
      <w:proofErr w:type="spellEnd"/>
      <w:r w:rsidRPr="00751303">
        <w:t xml:space="preserve"> </w:t>
      </w:r>
      <w:proofErr w:type="spellStart"/>
      <w:r w:rsidRPr="00751303">
        <w:t>constantly</w:t>
      </w:r>
      <w:proofErr w:type="spellEnd"/>
      <w:r w:rsidRPr="00751303">
        <w:t xml:space="preserve"> </w:t>
      </w:r>
      <w:proofErr w:type="spellStart"/>
      <w:r w:rsidRPr="00751303">
        <w:t>improves</w:t>
      </w:r>
      <w:proofErr w:type="spellEnd"/>
      <w:r w:rsidRPr="00751303">
        <w:t xml:space="preserve"> </w:t>
      </w:r>
      <w:proofErr w:type="spellStart"/>
      <w:r w:rsidRPr="00751303">
        <w:t>itself</w:t>
      </w:r>
      <w:proofErr w:type="spellEnd"/>
      <w:r w:rsidRPr="00751303">
        <w:t xml:space="preserve">. </w:t>
      </w:r>
      <w:proofErr w:type="spellStart"/>
      <w:r w:rsidRPr="00751303">
        <w:t>In</w:t>
      </w:r>
      <w:proofErr w:type="spellEnd"/>
      <w:r w:rsidRPr="00751303">
        <w:t xml:space="preserve"> </w:t>
      </w:r>
      <w:proofErr w:type="spellStart"/>
      <w:r w:rsidRPr="00751303">
        <w:t>recent</w:t>
      </w:r>
      <w:proofErr w:type="spellEnd"/>
      <w:r w:rsidRPr="00751303">
        <w:t xml:space="preserve"> </w:t>
      </w:r>
      <w:proofErr w:type="spellStart"/>
      <w:r w:rsidRPr="00751303">
        <w:t>years</w:t>
      </w:r>
      <w:proofErr w:type="spellEnd"/>
      <w:r w:rsidRPr="00751303">
        <w:t xml:space="preserve">, it has </w:t>
      </w:r>
      <w:proofErr w:type="spellStart"/>
      <w:r w:rsidRPr="00751303">
        <w:t>been</w:t>
      </w:r>
      <w:proofErr w:type="spellEnd"/>
      <w:r w:rsidRPr="00751303">
        <w:t xml:space="preserve"> </w:t>
      </w:r>
      <w:proofErr w:type="spellStart"/>
      <w:r w:rsidRPr="00751303">
        <w:t>clearly</w:t>
      </w:r>
      <w:proofErr w:type="spellEnd"/>
      <w:r w:rsidRPr="00751303">
        <w:t xml:space="preserve"> </w:t>
      </w:r>
      <w:proofErr w:type="spellStart"/>
      <w:r w:rsidRPr="00751303">
        <w:t>seen</w:t>
      </w:r>
      <w:proofErr w:type="spellEnd"/>
      <w:r w:rsidRPr="00751303">
        <w:t xml:space="preserve"> </w:t>
      </w:r>
      <w:proofErr w:type="spellStart"/>
      <w:r w:rsidRPr="00751303">
        <w:t>that</w:t>
      </w:r>
      <w:proofErr w:type="spellEnd"/>
      <w:r w:rsidRPr="00751303">
        <w:t xml:space="preserve"> </w:t>
      </w:r>
      <w:proofErr w:type="spellStart"/>
      <w:r w:rsidRPr="00751303">
        <w:t>these</w:t>
      </w:r>
      <w:proofErr w:type="spellEnd"/>
      <w:r w:rsidRPr="00751303">
        <w:t xml:space="preserve"> </w:t>
      </w:r>
      <w:proofErr w:type="spellStart"/>
      <w:r w:rsidRPr="00751303">
        <w:t>technologies</w:t>
      </w:r>
      <w:proofErr w:type="spellEnd"/>
      <w:r w:rsidRPr="00751303">
        <w:t xml:space="preserve"> </w:t>
      </w:r>
      <w:proofErr w:type="spellStart"/>
      <w:r w:rsidRPr="00751303">
        <w:t>have</w:t>
      </w:r>
      <w:proofErr w:type="spellEnd"/>
      <w:r w:rsidRPr="00751303">
        <w:t xml:space="preserve"> </w:t>
      </w:r>
      <w:proofErr w:type="spellStart"/>
      <w:r w:rsidRPr="00751303">
        <w:t>affected</w:t>
      </w:r>
      <w:proofErr w:type="spellEnd"/>
      <w:r w:rsidRPr="00751303">
        <w:t xml:space="preserve"> </w:t>
      </w:r>
      <w:proofErr w:type="spellStart"/>
      <w:r w:rsidRPr="00751303">
        <w:t>all</w:t>
      </w:r>
      <w:proofErr w:type="spellEnd"/>
      <w:r w:rsidRPr="00751303">
        <w:t xml:space="preserve"> </w:t>
      </w:r>
      <w:proofErr w:type="spellStart"/>
      <w:r w:rsidRPr="00751303">
        <w:t>sectors</w:t>
      </w:r>
      <w:proofErr w:type="spellEnd"/>
      <w:r w:rsidRPr="00751303">
        <w:t xml:space="preserve">, </w:t>
      </w:r>
      <w:proofErr w:type="spellStart"/>
      <w:r w:rsidRPr="00751303">
        <w:t>and</w:t>
      </w:r>
      <w:proofErr w:type="spellEnd"/>
      <w:r w:rsidRPr="00751303">
        <w:t xml:space="preserve"> </w:t>
      </w:r>
      <w:proofErr w:type="spellStart"/>
      <w:r w:rsidRPr="00751303">
        <w:t>the</w:t>
      </w:r>
      <w:proofErr w:type="spellEnd"/>
      <w:r w:rsidRPr="00751303">
        <w:t xml:space="preserve"> </w:t>
      </w:r>
      <w:proofErr w:type="spellStart"/>
      <w:r w:rsidRPr="00751303">
        <w:t>public</w:t>
      </w:r>
      <w:proofErr w:type="spellEnd"/>
      <w:r w:rsidRPr="00751303">
        <w:t xml:space="preserve"> </w:t>
      </w:r>
      <w:proofErr w:type="spellStart"/>
      <w:r w:rsidRPr="00751303">
        <w:t>sector</w:t>
      </w:r>
      <w:proofErr w:type="spellEnd"/>
      <w:r w:rsidRPr="00751303">
        <w:t xml:space="preserve"> is </w:t>
      </w:r>
      <w:proofErr w:type="spellStart"/>
      <w:r w:rsidRPr="00751303">
        <w:t>becoming</w:t>
      </w:r>
      <w:proofErr w:type="spellEnd"/>
      <w:r w:rsidRPr="00751303">
        <w:t xml:space="preserve"> a </w:t>
      </w:r>
      <w:proofErr w:type="spellStart"/>
      <w:r w:rsidRPr="00751303">
        <w:t>part</w:t>
      </w:r>
      <w:proofErr w:type="spellEnd"/>
      <w:r w:rsidRPr="00751303">
        <w:t xml:space="preserve"> of </w:t>
      </w:r>
      <w:proofErr w:type="spellStart"/>
      <w:r w:rsidRPr="00751303">
        <w:t>this</w:t>
      </w:r>
      <w:proofErr w:type="spellEnd"/>
      <w:r w:rsidRPr="00751303">
        <w:t xml:space="preserve"> </w:t>
      </w:r>
      <w:proofErr w:type="spellStart"/>
      <w:r w:rsidRPr="00751303">
        <w:t>paradigm</w:t>
      </w:r>
      <w:proofErr w:type="spellEnd"/>
      <w:r w:rsidRPr="00751303">
        <w:t xml:space="preserve"> of </w:t>
      </w:r>
      <w:proofErr w:type="spellStart"/>
      <w:r w:rsidRPr="00751303">
        <w:t>change</w:t>
      </w:r>
      <w:proofErr w:type="spellEnd"/>
      <w:r w:rsidRPr="00751303">
        <w:t xml:space="preserve">. </w:t>
      </w:r>
      <w:proofErr w:type="spellStart"/>
      <w:r w:rsidRPr="00751303">
        <w:t>In</w:t>
      </w:r>
      <w:proofErr w:type="spellEnd"/>
      <w:r w:rsidRPr="00751303">
        <w:t xml:space="preserve"> </w:t>
      </w:r>
      <w:proofErr w:type="spellStart"/>
      <w:r w:rsidRPr="00751303">
        <w:t>this</w:t>
      </w:r>
      <w:proofErr w:type="spellEnd"/>
      <w:r w:rsidRPr="00751303">
        <w:t xml:space="preserve"> </w:t>
      </w:r>
      <w:proofErr w:type="spellStart"/>
      <w:r w:rsidRPr="00751303">
        <w:t>context</w:t>
      </w:r>
      <w:proofErr w:type="spellEnd"/>
      <w:r w:rsidRPr="00751303">
        <w:t xml:space="preserve">, </w:t>
      </w:r>
      <w:proofErr w:type="spellStart"/>
      <w:r w:rsidRPr="00751303">
        <w:t>the</w:t>
      </w:r>
      <w:proofErr w:type="spellEnd"/>
      <w:r w:rsidRPr="00751303">
        <w:t xml:space="preserve"> </w:t>
      </w:r>
      <w:proofErr w:type="spellStart"/>
      <w:r w:rsidRPr="00751303">
        <w:t>search</w:t>
      </w:r>
      <w:proofErr w:type="spellEnd"/>
      <w:r w:rsidRPr="00751303">
        <w:t xml:space="preserve"> </w:t>
      </w:r>
      <w:proofErr w:type="spellStart"/>
      <w:r w:rsidRPr="00751303">
        <w:t>for</w:t>
      </w:r>
      <w:proofErr w:type="spellEnd"/>
      <w:r w:rsidRPr="00751303">
        <w:t xml:space="preserve"> how </w:t>
      </w:r>
      <w:proofErr w:type="spellStart"/>
      <w:r w:rsidRPr="00751303">
        <w:t>artificial</w:t>
      </w:r>
      <w:proofErr w:type="spellEnd"/>
      <w:r w:rsidRPr="00751303">
        <w:t xml:space="preserve"> </w:t>
      </w:r>
      <w:proofErr w:type="spellStart"/>
      <w:r w:rsidRPr="00751303">
        <w:t>intelligence</w:t>
      </w:r>
      <w:proofErr w:type="spellEnd"/>
      <w:r w:rsidRPr="00751303">
        <w:t xml:space="preserve"> </w:t>
      </w:r>
      <w:proofErr w:type="spellStart"/>
      <w:r w:rsidRPr="00751303">
        <w:t>technologies</w:t>
      </w:r>
      <w:proofErr w:type="spellEnd"/>
      <w:r w:rsidRPr="00751303">
        <w:t xml:space="preserve"> can be </w:t>
      </w:r>
      <w:proofErr w:type="spellStart"/>
      <w:r w:rsidRPr="00751303">
        <w:t>used</w:t>
      </w:r>
      <w:proofErr w:type="spellEnd"/>
      <w:r w:rsidRPr="00751303">
        <w:t xml:space="preserve"> in </w:t>
      </w:r>
      <w:proofErr w:type="spellStart"/>
      <w:r w:rsidRPr="00751303">
        <w:t>the</w:t>
      </w:r>
      <w:proofErr w:type="spellEnd"/>
      <w:r w:rsidRPr="00751303">
        <w:t xml:space="preserve"> </w:t>
      </w:r>
      <w:proofErr w:type="spellStart"/>
      <w:r w:rsidRPr="00751303">
        <w:t>public</w:t>
      </w:r>
      <w:proofErr w:type="spellEnd"/>
      <w:r w:rsidRPr="00751303">
        <w:t xml:space="preserve"> </w:t>
      </w:r>
      <w:proofErr w:type="spellStart"/>
      <w:r w:rsidRPr="00751303">
        <w:t>sector</w:t>
      </w:r>
      <w:proofErr w:type="spellEnd"/>
      <w:r w:rsidRPr="00751303">
        <w:t xml:space="preserve"> is </w:t>
      </w:r>
      <w:proofErr w:type="spellStart"/>
      <w:r w:rsidRPr="00751303">
        <w:t>increasing</w:t>
      </w:r>
      <w:proofErr w:type="spellEnd"/>
      <w:r w:rsidRPr="00751303">
        <w:t xml:space="preserve"> </w:t>
      </w:r>
      <w:proofErr w:type="spellStart"/>
      <w:r w:rsidRPr="00751303">
        <w:t>day</w:t>
      </w:r>
      <w:proofErr w:type="spellEnd"/>
      <w:r w:rsidRPr="00751303">
        <w:t xml:space="preserve"> </w:t>
      </w:r>
      <w:proofErr w:type="spellStart"/>
      <w:r w:rsidRPr="00751303">
        <w:t>by</w:t>
      </w:r>
      <w:proofErr w:type="spellEnd"/>
      <w:r w:rsidRPr="00751303">
        <w:t xml:space="preserve"> </w:t>
      </w:r>
      <w:proofErr w:type="spellStart"/>
      <w:r w:rsidRPr="00751303">
        <w:t>day</w:t>
      </w:r>
      <w:proofErr w:type="spellEnd"/>
      <w:r w:rsidRPr="00751303">
        <w:t xml:space="preserve"> </w:t>
      </w:r>
      <w:proofErr w:type="spellStart"/>
      <w:r w:rsidRPr="00751303">
        <w:t>and</w:t>
      </w:r>
      <w:proofErr w:type="spellEnd"/>
      <w:r w:rsidRPr="00751303">
        <w:t xml:space="preserve"> </w:t>
      </w:r>
      <w:proofErr w:type="spellStart"/>
      <w:r w:rsidRPr="00751303">
        <w:t>smart</w:t>
      </w:r>
      <w:proofErr w:type="spellEnd"/>
      <w:r w:rsidRPr="00751303">
        <w:t xml:space="preserve"> </w:t>
      </w:r>
      <w:proofErr w:type="spellStart"/>
      <w:r w:rsidRPr="00751303">
        <w:t>application</w:t>
      </w:r>
      <w:proofErr w:type="spellEnd"/>
      <w:r w:rsidRPr="00751303">
        <w:t xml:space="preserve"> </w:t>
      </w:r>
      <w:proofErr w:type="spellStart"/>
      <w:r w:rsidRPr="00751303">
        <w:t>strategies</w:t>
      </w:r>
      <w:proofErr w:type="spellEnd"/>
      <w:r w:rsidRPr="00751303">
        <w:t xml:space="preserve"> </w:t>
      </w:r>
      <w:proofErr w:type="spellStart"/>
      <w:r w:rsidRPr="00751303">
        <w:t>are</w:t>
      </w:r>
      <w:proofErr w:type="spellEnd"/>
      <w:r w:rsidRPr="00751303">
        <w:t xml:space="preserve"> </w:t>
      </w:r>
      <w:proofErr w:type="spellStart"/>
      <w:r w:rsidRPr="00751303">
        <w:t>being</w:t>
      </w:r>
      <w:proofErr w:type="spellEnd"/>
      <w:r w:rsidRPr="00751303">
        <w:t xml:space="preserve"> </w:t>
      </w:r>
      <w:proofErr w:type="spellStart"/>
      <w:r w:rsidRPr="00751303">
        <w:t>developed</w:t>
      </w:r>
      <w:proofErr w:type="spellEnd"/>
      <w:r w:rsidRPr="00751303">
        <w:t xml:space="preserve">. </w:t>
      </w:r>
      <w:proofErr w:type="spellStart"/>
      <w:r w:rsidRPr="00751303">
        <w:t>It</w:t>
      </w:r>
      <w:proofErr w:type="spellEnd"/>
      <w:r w:rsidRPr="00751303">
        <w:t xml:space="preserve"> is </w:t>
      </w:r>
      <w:proofErr w:type="spellStart"/>
      <w:r w:rsidRPr="00751303">
        <w:t>thought</w:t>
      </w:r>
      <w:proofErr w:type="spellEnd"/>
      <w:r w:rsidRPr="00751303">
        <w:t xml:space="preserve"> </w:t>
      </w:r>
      <w:proofErr w:type="spellStart"/>
      <w:r w:rsidRPr="00751303">
        <w:t>that</w:t>
      </w:r>
      <w:proofErr w:type="spellEnd"/>
      <w:r w:rsidRPr="00751303">
        <w:t xml:space="preserve"> </w:t>
      </w:r>
      <w:proofErr w:type="spellStart"/>
      <w:r w:rsidRPr="00751303">
        <w:t>artificial</w:t>
      </w:r>
      <w:proofErr w:type="spellEnd"/>
      <w:r w:rsidRPr="00751303">
        <w:t xml:space="preserve"> </w:t>
      </w:r>
      <w:proofErr w:type="spellStart"/>
      <w:r w:rsidRPr="00751303">
        <w:t>intelligence</w:t>
      </w:r>
      <w:proofErr w:type="spellEnd"/>
      <w:r w:rsidRPr="00751303">
        <w:t xml:space="preserve"> </w:t>
      </w:r>
      <w:proofErr w:type="spellStart"/>
      <w:r w:rsidRPr="00751303">
        <w:t>technologies</w:t>
      </w:r>
      <w:proofErr w:type="spellEnd"/>
      <w:r w:rsidRPr="00751303">
        <w:t xml:space="preserve"> </w:t>
      </w:r>
      <w:proofErr w:type="spellStart"/>
      <w:r w:rsidRPr="00751303">
        <w:t>will</w:t>
      </w:r>
      <w:proofErr w:type="spellEnd"/>
      <w:r w:rsidRPr="00751303">
        <w:t xml:space="preserve"> </w:t>
      </w:r>
      <w:proofErr w:type="spellStart"/>
      <w:r w:rsidRPr="00751303">
        <w:t>significantly</w:t>
      </w:r>
      <w:proofErr w:type="spellEnd"/>
      <w:r w:rsidRPr="00751303">
        <w:t xml:space="preserve"> </w:t>
      </w:r>
      <w:proofErr w:type="spellStart"/>
      <w:r w:rsidRPr="00751303">
        <w:t>reduce</w:t>
      </w:r>
      <w:proofErr w:type="spellEnd"/>
      <w:r w:rsidRPr="00751303">
        <w:t xml:space="preserve"> </w:t>
      </w:r>
      <w:proofErr w:type="spellStart"/>
      <w:r w:rsidRPr="00751303">
        <w:t>the</w:t>
      </w:r>
      <w:proofErr w:type="spellEnd"/>
      <w:r w:rsidRPr="00751303">
        <w:t xml:space="preserve"> </w:t>
      </w:r>
      <w:proofErr w:type="spellStart"/>
      <w:r w:rsidRPr="00751303">
        <w:t>workload</w:t>
      </w:r>
      <w:proofErr w:type="spellEnd"/>
      <w:r w:rsidRPr="00751303">
        <w:t xml:space="preserve">, </w:t>
      </w:r>
      <w:proofErr w:type="spellStart"/>
      <w:r w:rsidRPr="00751303">
        <w:t>especially</w:t>
      </w:r>
      <w:proofErr w:type="spellEnd"/>
      <w:r w:rsidRPr="00751303">
        <w:t xml:space="preserve"> in </w:t>
      </w:r>
      <w:proofErr w:type="spellStart"/>
      <w:r w:rsidRPr="00751303">
        <w:t>the</w:t>
      </w:r>
      <w:proofErr w:type="spellEnd"/>
      <w:r w:rsidRPr="00751303">
        <w:t xml:space="preserve"> </w:t>
      </w:r>
      <w:proofErr w:type="spellStart"/>
      <w:r w:rsidRPr="00751303">
        <w:t>provision</w:t>
      </w:r>
      <w:proofErr w:type="spellEnd"/>
      <w:r w:rsidRPr="00751303">
        <w:t xml:space="preserve"> of </w:t>
      </w:r>
      <w:proofErr w:type="spellStart"/>
      <w:r w:rsidRPr="00751303">
        <w:t>public</w:t>
      </w:r>
      <w:proofErr w:type="spellEnd"/>
      <w:r w:rsidRPr="00751303">
        <w:t xml:space="preserve"> </w:t>
      </w:r>
      <w:proofErr w:type="spellStart"/>
      <w:r w:rsidRPr="00751303">
        <w:t>services</w:t>
      </w:r>
      <w:proofErr w:type="spellEnd"/>
      <w:r w:rsidRPr="00751303">
        <w:t xml:space="preserve"> </w:t>
      </w:r>
      <w:proofErr w:type="spellStart"/>
      <w:r w:rsidRPr="00751303">
        <w:t>such</w:t>
      </w:r>
      <w:proofErr w:type="spellEnd"/>
      <w:r w:rsidRPr="00751303">
        <w:t xml:space="preserve"> as </w:t>
      </w:r>
      <w:proofErr w:type="spellStart"/>
      <w:r w:rsidRPr="00751303">
        <w:t>health</w:t>
      </w:r>
      <w:proofErr w:type="spellEnd"/>
      <w:r w:rsidRPr="00751303">
        <w:t xml:space="preserve">, </w:t>
      </w:r>
      <w:proofErr w:type="spellStart"/>
      <w:r w:rsidRPr="00751303">
        <w:t>transportation</w:t>
      </w:r>
      <w:proofErr w:type="spellEnd"/>
      <w:r w:rsidRPr="00751303">
        <w:t xml:space="preserve">, </w:t>
      </w:r>
      <w:proofErr w:type="spellStart"/>
      <w:r w:rsidRPr="00751303">
        <w:t>and</w:t>
      </w:r>
      <w:proofErr w:type="spellEnd"/>
      <w:r w:rsidRPr="00751303">
        <w:t xml:space="preserve"> </w:t>
      </w:r>
      <w:proofErr w:type="spellStart"/>
      <w:r w:rsidRPr="00751303">
        <w:t>security</w:t>
      </w:r>
      <w:proofErr w:type="spellEnd"/>
      <w:r w:rsidRPr="00751303">
        <w:t xml:space="preserve">. </w:t>
      </w:r>
      <w:proofErr w:type="spellStart"/>
      <w:r w:rsidRPr="00751303">
        <w:t>In</w:t>
      </w:r>
      <w:proofErr w:type="spellEnd"/>
      <w:r w:rsidRPr="00751303">
        <w:t xml:space="preserve"> </w:t>
      </w:r>
      <w:proofErr w:type="spellStart"/>
      <w:r w:rsidRPr="00751303">
        <w:t>this</w:t>
      </w:r>
      <w:proofErr w:type="spellEnd"/>
      <w:r w:rsidRPr="00751303">
        <w:t xml:space="preserve"> </w:t>
      </w:r>
      <w:proofErr w:type="spellStart"/>
      <w:r w:rsidRPr="00751303">
        <w:t>context</w:t>
      </w:r>
      <w:proofErr w:type="spellEnd"/>
      <w:r w:rsidRPr="00751303">
        <w:t xml:space="preserve">, </w:t>
      </w:r>
      <w:proofErr w:type="spellStart"/>
      <w:r w:rsidRPr="00751303">
        <w:t>the</w:t>
      </w:r>
      <w:proofErr w:type="spellEnd"/>
      <w:r w:rsidRPr="00751303">
        <w:t xml:space="preserve"> Smart </w:t>
      </w:r>
      <w:proofErr w:type="spellStart"/>
      <w:r w:rsidRPr="00751303">
        <w:t>Police</w:t>
      </w:r>
      <w:proofErr w:type="spellEnd"/>
      <w:r w:rsidRPr="00751303">
        <w:t xml:space="preserve"> Station, </w:t>
      </w:r>
      <w:proofErr w:type="spellStart"/>
      <w:r w:rsidRPr="00751303">
        <w:t>which</w:t>
      </w:r>
      <w:proofErr w:type="spellEnd"/>
      <w:r w:rsidRPr="00751303">
        <w:t xml:space="preserve"> </w:t>
      </w:r>
      <w:proofErr w:type="spellStart"/>
      <w:r w:rsidRPr="00751303">
        <w:t>was</w:t>
      </w:r>
      <w:proofErr w:type="spellEnd"/>
      <w:r w:rsidRPr="00751303">
        <w:t xml:space="preserve"> </w:t>
      </w:r>
      <w:proofErr w:type="spellStart"/>
      <w:r w:rsidRPr="00751303">
        <w:t>first</w:t>
      </w:r>
      <w:proofErr w:type="spellEnd"/>
      <w:r w:rsidRPr="00751303">
        <w:t xml:space="preserve"> </w:t>
      </w:r>
      <w:proofErr w:type="spellStart"/>
      <w:r w:rsidRPr="00751303">
        <w:t>established</w:t>
      </w:r>
      <w:proofErr w:type="spellEnd"/>
      <w:r w:rsidRPr="00751303">
        <w:t xml:space="preserve"> in Dubai in 2017, is </w:t>
      </w:r>
      <w:proofErr w:type="spellStart"/>
      <w:r w:rsidRPr="00751303">
        <w:t>the</w:t>
      </w:r>
      <w:proofErr w:type="spellEnd"/>
      <w:r w:rsidRPr="00751303">
        <w:t xml:space="preserve"> </w:t>
      </w:r>
      <w:proofErr w:type="spellStart"/>
      <w:r w:rsidRPr="00751303">
        <w:t>first</w:t>
      </w:r>
      <w:proofErr w:type="spellEnd"/>
      <w:r w:rsidRPr="00751303">
        <w:t xml:space="preserve"> </w:t>
      </w:r>
      <w:proofErr w:type="spellStart"/>
      <w:r w:rsidRPr="00751303">
        <w:t>example</w:t>
      </w:r>
      <w:proofErr w:type="spellEnd"/>
      <w:r w:rsidRPr="00751303">
        <w:t xml:space="preserve"> of </w:t>
      </w:r>
      <w:proofErr w:type="spellStart"/>
      <w:r w:rsidRPr="00751303">
        <w:t>the</w:t>
      </w:r>
      <w:proofErr w:type="spellEnd"/>
      <w:r w:rsidRPr="00751303">
        <w:t xml:space="preserve"> </w:t>
      </w:r>
      <w:proofErr w:type="spellStart"/>
      <w:r w:rsidRPr="00751303">
        <w:t>successful</w:t>
      </w:r>
      <w:proofErr w:type="spellEnd"/>
      <w:r w:rsidRPr="00751303">
        <w:t xml:space="preserve"> </w:t>
      </w:r>
      <w:proofErr w:type="spellStart"/>
      <w:r w:rsidRPr="00751303">
        <w:t>application</w:t>
      </w:r>
      <w:proofErr w:type="spellEnd"/>
      <w:r w:rsidRPr="00751303">
        <w:t xml:space="preserve"> of </w:t>
      </w:r>
      <w:proofErr w:type="spellStart"/>
      <w:r w:rsidRPr="00751303">
        <w:t>artificial</w:t>
      </w:r>
      <w:proofErr w:type="spellEnd"/>
      <w:r w:rsidRPr="00751303">
        <w:t xml:space="preserve"> </w:t>
      </w:r>
      <w:proofErr w:type="spellStart"/>
      <w:r w:rsidRPr="00751303">
        <w:t>intelligence</w:t>
      </w:r>
      <w:proofErr w:type="spellEnd"/>
      <w:r w:rsidRPr="00751303">
        <w:t xml:space="preserve"> </w:t>
      </w:r>
      <w:proofErr w:type="spellStart"/>
      <w:r w:rsidRPr="00751303">
        <w:t>technologies</w:t>
      </w:r>
      <w:proofErr w:type="spellEnd"/>
      <w:r w:rsidRPr="00751303">
        <w:t xml:space="preserve"> in </w:t>
      </w:r>
      <w:proofErr w:type="spellStart"/>
      <w:r w:rsidRPr="00751303">
        <w:t>security</w:t>
      </w:r>
      <w:proofErr w:type="spellEnd"/>
      <w:r w:rsidRPr="00751303">
        <w:t xml:space="preserve"> </w:t>
      </w:r>
      <w:proofErr w:type="spellStart"/>
      <w:r w:rsidRPr="00751303">
        <w:t>operations</w:t>
      </w:r>
      <w:proofErr w:type="spellEnd"/>
      <w:r w:rsidRPr="00751303">
        <w:t xml:space="preserve">. </w:t>
      </w:r>
      <w:proofErr w:type="spellStart"/>
      <w:r w:rsidRPr="00751303">
        <w:t>The</w:t>
      </w:r>
      <w:proofErr w:type="spellEnd"/>
      <w:r w:rsidRPr="00751303">
        <w:t xml:space="preserve"> Smart </w:t>
      </w:r>
      <w:proofErr w:type="spellStart"/>
      <w:r w:rsidRPr="00751303">
        <w:t>Police</w:t>
      </w:r>
      <w:proofErr w:type="spellEnd"/>
      <w:r w:rsidRPr="00751303">
        <w:t xml:space="preserve"> Station </w:t>
      </w:r>
      <w:proofErr w:type="spellStart"/>
      <w:r w:rsidRPr="00751303">
        <w:t>offers</w:t>
      </w:r>
      <w:proofErr w:type="spellEnd"/>
      <w:r w:rsidRPr="00751303">
        <w:t xml:space="preserve"> </w:t>
      </w:r>
      <w:proofErr w:type="spellStart"/>
      <w:r w:rsidRPr="00751303">
        <w:t>various</w:t>
      </w:r>
      <w:proofErr w:type="spellEnd"/>
      <w:r w:rsidRPr="00751303">
        <w:t xml:space="preserve"> </w:t>
      </w:r>
      <w:proofErr w:type="spellStart"/>
      <w:r w:rsidRPr="00751303">
        <w:t>services</w:t>
      </w:r>
      <w:proofErr w:type="spellEnd"/>
      <w:r w:rsidRPr="00751303">
        <w:t xml:space="preserve"> </w:t>
      </w:r>
      <w:proofErr w:type="spellStart"/>
      <w:r w:rsidRPr="00751303">
        <w:t>such</w:t>
      </w:r>
      <w:proofErr w:type="spellEnd"/>
      <w:r w:rsidRPr="00751303">
        <w:t xml:space="preserve"> as </w:t>
      </w:r>
      <w:proofErr w:type="spellStart"/>
      <w:r w:rsidRPr="00751303">
        <w:t>reporting</w:t>
      </w:r>
      <w:proofErr w:type="spellEnd"/>
      <w:r w:rsidRPr="00751303">
        <w:t xml:space="preserve"> </w:t>
      </w:r>
      <w:proofErr w:type="spellStart"/>
      <w:r w:rsidRPr="00751303">
        <w:t>crimes</w:t>
      </w:r>
      <w:proofErr w:type="spellEnd"/>
      <w:r w:rsidRPr="00751303">
        <w:t xml:space="preserve">, </w:t>
      </w:r>
      <w:proofErr w:type="spellStart"/>
      <w:r w:rsidRPr="00751303">
        <w:t>reporting</w:t>
      </w:r>
      <w:proofErr w:type="spellEnd"/>
      <w:r w:rsidRPr="00751303">
        <w:t xml:space="preserve"> </w:t>
      </w:r>
      <w:proofErr w:type="spellStart"/>
      <w:r w:rsidRPr="00751303">
        <w:t>lost</w:t>
      </w:r>
      <w:proofErr w:type="spellEnd"/>
      <w:r w:rsidRPr="00751303">
        <w:t xml:space="preserve"> </w:t>
      </w:r>
      <w:proofErr w:type="spellStart"/>
      <w:r w:rsidRPr="00751303">
        <w:t>and</w:t>
      </w:r>
      <w:proofErr w:type="spellEnd"/>
      <w:r w:rsidRPr="00751303">
        <w:t xml:space="preserve"> </w:t>
      </w:r>
      <w:proofErr w:type="spellStart"/>
      <w:r w:rsidRPr="00751303">
        <w:t>found</w:t>
      </w:r>
      <w:proofErr w:type="spellEnd"/>
      <w:r w:rsidRPr="00751303">
        <w:t xml:space="preserve"> </w:t>
      </w:r>
      <w:proofErr w:type="spellStart"/>
      <w:r w:rsidRPr="00751303">
        <w:t>items</w:t>
      </w:r>
      <w:proofErr w:type="spellEnd"/>
      <w:r w:rsidRPr="00751303">
        <w:t xml:space="preserve">, </w:t>
      </w:r>
      <w:proofErr w:type="spellStart"/>
      <w:r w:rsidRPr="00751303">
        <w:t>paying</w:t>
      </w:r>
      <w:proofErr w:type="spellEnd"/>
      <w:r w:rsidRPr="00751303">
        <w:t xml:space="preserve"> </w:t>
      </w:r>
      <w:proofErr w:type="spellStart"/>
      <w:r w:rsidRPr="00751303">
        <w:t>traffic</w:t>
      </w:r>
      <w:proofErr w:type="spellEnd"/>
      <w:r w:rsidRPr="00751303">
        <w:t xml:space="preserve"> </w:t>
      </w:r>
      <w:proofErr w:type="spellStart"/>
      <w:r w:rsidRPr="00751303">
        <w:t>fines</w:t>
      </w:r>
      <w:proofErr w:type="spellEnd"/>
      <w:r w:rsidRPr="00751303">
        <w:t xml:space="preserve">, </w:t>
      </w:r>
      <w:proofErr w:type="spellStart"/>
      <w:r w:rsidRPr="00751303">
        <w:t>and</w:t>
      </w:r>
      <w:proofErr w:type="spellEnd"/>
      <w:r w:rsidRPr="00751303">
        <w:t xml:space="preserve"> </w:t>
      </w:r>
      <w:proofErr w:type="spellStart"/>
      <w:r w:rsidRPr="00751303">
        <w:t>reporting</w:t>
      </w:r>
      <w:proofErr w:type="spellEnd"/>
      <w:r w:rsidRPr="00751303">
        <w:t xml:space="preserve"> </w:t>
      </w:r>
      <w:proofErr w:type="spellStart"/>
      <w:r w:rsidRPr="00751303">
        <w:t>lost</w:t>
      </w:r>
      <w:proofErr w:type="spellEnd"/>
      <w:r w:rsidRPr="00751303">
        <w:t xml:space="preserve"> </w:t>
      </w:r>
      <w:proofErr w:type="spellStart"/>
      <w:r w:rsidRPr="00751303">
        <w:t>items</w:t>
      </w:r>
      <w:proofErr w:type="spellEnd"/>
      <w:r w:rsidRPr="00751303">
        <w:t xml:space="preserve"> </w:t>
      </w:r>
      <w:proofErr w:type="spellStart"/>
      <w:r w:rsidRPr="00751303">
        <w:t>or</w:t>
      </w:r>
      <w:proofErr w:type="spellEnd"/>
      <w:r w:rsidRPr="00751303">
        <w:t xml:space="preserve"> </w:t>
      </w:r>
      <w:proofErr w:type="spellStart"/>
      <w:r w:rsidRPr="00751303">
        <w:t>suspicious</w:t>
      </w:r>
      <w:proofErr w:type="spellEnd"/>
      <w:r w:rsidRPr="00751303">
        <w:t xml:space="preserve"> </w:t>
      </w:r>
      <w:proofErr w:type="spellStart"/>
      <w:r w:rsidRPr="00751303">
        <w:t>behavior</w:t>
      </w:r>
      <w:proofErr w:type="spellEnd"/>
      <w:r w:rsidRPr="00751303">
        <w:t xml:space="preserve"> </w:t>
      </w:r>
      <w:proofErr w:type="spellStart"/>
      <w:r w:rsidRPr="00751303">
        <w:t>without</w:t>
      </w:r>
      <w:proofErr w:type="spellEnd"/>
      <w:r w:rsidRPr="00751303">
        <w:t xml:space="preserve"> </w:t>
      </w:r>
      <w:proofErr w:type="spellStart"/>
      <w:r w:rsidRPr="00751303">
        <w:t>any</w:t>
      </w:r>
      <w:proofErr w:type="spellEnd"/>
      <w:r w:rsidRPr="00751303">
        <w:t xml:space="preserve"> </w:t>
      </w:r>
      <w:proofErr w:type="spellStart"/>
      <w:r w:rsidRPr="00751303">
        <w:t>human</w:t>
      </w:r>
      <w:proofErr w:type="spellEnd"/>
      <w:r w:rsidRPr="00751303">
        <w:t xml:space="preserve"> </w:t>
      </w:r>
      <w:proofErr w:type="spellStart"/>
      <w:r w:rsidRPr="00751303">
        <w:t>intervention</w:t>
      </w:r>
      <w:proofErr w:type="spellEnd"/>
      <w:r w:rsidRPr="00751303">
        <w:t xml:space="preserve">. </w:t>
      </w:r>
      <w:proofErr w:type="spellStart"/>
      <w:r w:rsidRPr="00751303">
        <w:t>The</w:t>
      </w:r>
      <w:proofErr w:type="spellEnd"/>
      <w:r w:rsidRPr="00751303">
        <w:t xml:space="preserve"> </w:t>
      </w:r>
      <w:proofErr w:type="spellStart"/>
      <w:r w:rsidRPr="00751303">
        <w:t>purpose</w:t>
      </w:r>
      <w:proofErr w:type="spellEnd"/>
      <w:r w:rsidRPr="00751303">
        <w:t xml:space="preserve"> of </w:t>
      </w:r>
      <w:proofErr w:type="spellStart"/>
      <w:r w:rsidRPr="00751303">
        <w:t>this</w:t>
      </w:r>
      <w:proofErr w:type="spellEnd"/>
      <w:r w:rsidRPr="00751303">
        <w:t xml:space="preserve"> </w:t>
      </w:r>
      <w:proofErr w:type="spellStart"/>
      <w:r w:rsidRPr="00751303">
        <w:t>study</w:t>
      </w:r>
      <w:proofErr w:type="spellEnd"/>
      <w:r w:rsidRPr="00751303">
        <w:t xml:space="preserve"> is </w:t>
      </w:r>
      <w:proofErr w:type="spellStart"/>
      <w:r w:rsidRPr="00751303">
        <w:t>to</w:t>
      </w:r>
      <w:proofErr w:type="spellEnd"/>
      <w:r w:rsidRPr="00751303">
        <w:t xml:space="preserve"> </w:t>
      </w:r>
      <w:proofErr w:type="spellStart"/>
      <w:r w:rsidRPr="00751303">
        <w:t>reveal</w:t>
      </w:r>
      <w:proofErr w:type="spellEnd"/>
      <w:r w:rsidRPr="00751303">
        <w:t xml:space="preserve"> how </w:t>
      </w:r>
      <w:proofErr w:type="spellStart"/>
      <w:r w:rsidRPr="00751303">
        <w:t>artificial</w:t>
      </w:r>
      <w:proofErr w:type="spellEnd"/>
      <w:r w:rsidRPr="00751303">
        <w:t xml:space="preserve"> </w:t>
      </w:r>
      <w:proofErr w:type="spellStart"/>
      <w:r w:rsidRPr="00751303">
        <w:t>intelligence</w:t>
      </w:r>
      <w:proofErr w:type="spellEnd"/>
      <w:r w:rsidRPr="00751303">
        <w:t xml:space="preserve"> </w:t>
      </w:r>
      <w:proofErr w:type="spellStart"/>
      <w:r w:rsidRPr="00751303">
        <w:t>technologies</w:t>
      </w:r>
      <w:proofErr w:type="spellEnd"/>
      <w:r w:rsidRPr="00751303">
        <w:t xml:space="preserve"> </w:t>
      </w:r>
      <w:proofErr w:type="spellStart"/>
      <w:r w:rsidRPr="00751303">
        <w:t>are</w:t>
      </w:r>
      <w:proofErr w:type="spellEnd"/>
      <w:r w:rsidRPr="00751303">
        <w:t xml:space="preserve"> </w:t>
      </w:r>
      <w:proofErr w:type="spellStart"/>
      <w:r w:rsidRPr="00751303">
        <w:t>applied</w:t>
      </w:r>
      <w:proofErr w:type="spellEnd"/>
      <w:r w:rsidRPr="00751303">
        <w:t xml:space="preserve"> in </w:t>
      </w:r>
      <w:proofErr w:type="spellStart"/>
      <w:r w:rsidRPr="00751303">
        <w:t>the</w:t>
      </w:r>
      <w:proofErr w:type="spellEnd"/>
      <w:r w:rsidRPr="00751303">
        <w:t xml:space="preserve"> </w:t>
      </w:r>
      <w:proofErr w:type="spellStart"/>
      <w:r w:rsidRPr="00751303">
        <w:t>provision</w:t>
      </w:r>
      <w:proofErr w:type="spellEnd"/>
      <w:r w:rsidRPr="00751303">
        <w:t xml:space="preserve"> of </w:t>
      </w:r>
      <w:proofErr w:type="spellStart"/>
      <w:r w:rsidRPr="00751303">
        <w:t>public</w:t>
      </w:r>
      <w:proofErr w:type="spellEnd"/>
      <w:r w:rsidRPr="00751303">
        <w:t xml:space="preserve"> </w:t>
      </w:r>
      <w:proofErr w:type="spellStart"/>
      <w:r w:rsidRPr="00751303">
        <w:t>services</w:t>
      </w:r>
      <w:proofErr w:type="spellEnd"/>
      <w:r w:rsidRPr="00751303">
        <w:t xml:space="preserve"> </w:t>
      </w:r>
      <w:proofErr w:type="spellStart"/>
      <w:r w:rsidRPr="00751303">
        <w:t>by</w:t>
      </w:r>
      <w:proofErr w:type="spellEnd"/>
      <w:r w:rsidRPr="00751303">
        <w:t xml:space="preserve"> </w:t>
      </w:r>
      <w:proofErr w:type="spellStart"/>
      <w:r w:rsidRPr="00751303">
        <w:t>giving</w:t>
      </w:r>
      <w:proofErr w:type="spellEnd"/>
      <w:r w:rsidRPr="00751303">
        <w:t xml:space="preserve"> </w:t>
      </w:r>
      <w:proofErr w:type="spellStart"/>
      <w:r w:rsidRPr="00751303">
        <w:t>details</w:t>
      </w:r>
      <w:proofErr w:type="spellEnd"/>
      <w:r w:rsidRPr="00751303">
        <w:t xml:space="preserve"> of </w:t>
      </w:r>
      <w:proofErr w:type="spellStart"/>
      <w:r w:rsidRPr="00751303">
        <w:t>the</w:t>
      </w:r>
      <w:proofErr w:type="spellEnd"/>
      <w:r w:rsidRPr="00751303">
        <w:t xml:space="preserve"> Dubai Smart </w:t>
      </w:r>
      <w:proofErr w:type="spellStart"/>
      <w:r w:rsidRPr="00751303">
        <w:t>Police</w:t>
      </w:r>
      <w:proofErr w:type="spellEnd"/>
      <w:r w:rsidRPr="00751303">
        <w:t xml:space="preserve"> Station </w:t>
      </w:r>
      <w:proofErr w:type="spellStart"/>
      <w:r w:rsidRPr="00751303">
        <w:t>application</w:t>
      </w:r>
      <w:proofErr w:type="spellEnd"/>
      <w:r w:rsidRPr="00751303">
        <w:t xml:space="preserve">, </w:t>
      </w:r>
      <w:proofErr w:type="spellStart"/>
      <w:r w:rsidRPr="00751303">
        <w:t>which</w:t>
      </w:r>
      <w:proofErr w:type="spellEnd"/>
      <w:r w:rsidRPr="00751303">
        <w:t xml:space="preserve"> has </w:t>
      </w:r>
      <w:proofErr w:type="spellStart"/>
      <w:r w:rsidRPr="00751303">
        <w:t>the</w:t>
      </w:r>
      <w:proofErr w:type="spellEnd"/>
      <w:r w:rsidRPr="00751303">
        <w:t xml:space="preserve"> </w:t>
      </w:r>
      <w:proofErr w:type="spellStart"/>
      <w:r w:rsidRPr="00751303">
        <w:t>feature</w:t>
      </w:r>
      <w:proofErr w:type="spellEnd"/>
      <w:r w:rsidRPr="00751303">
        <w:t xml:space="preserve"> of an </w:t>
      </w:r>
      <w:proofErr w:type="spellStart"/>
      <w:r w:rsidRPr="00751303">
        <w:t>unmanned</w:t>
      </w:r>
      <w:proofErr w:type="spellEnd"/>
      <w:r w:rsidRPr="00751303">
        <w:t xml:space="preserve"> </w:t>
      </w:r>
      <w:proofErr w:type="spellStart"/>
      <w:r w:rsidRPr="00751303">
        <w:t>police</w:t>
      </w:r>
      <w:proofErr w:type="spellEnd"/>
      <w:r w:rsidRPr="00751303">
        <w:t xml:space="preserve"> </w:t>
      </w:r>
      <w:proofErr w:type="spellStart"/>
      <w:r w:rsidRPr="00751303">
        <w:t>station</w:t>
      </w:r>
      <w:proofErr w:type="spellEnd"/>
      <w:r w:rsidRPr="00751303">
        <w:t>.</w:t>
      </w:r>
    </w:p>
    <w:p w14:paraId="1A9A74F7" w14:textId="77777777" w:rsidR="00CA2847" w:rsidRDefault="00CA2847" w:rsidP="008A2109">
      <w:pPr>
        <w:keepNext/>
        <w:keepLines/>
        <w:pBdr>
          <w:top w:val="none" w:sz="0" w:space="0" w:color="E3E3E3"/>
          <w:left w:val="none" w:sz="0" w:space="0" w:color="E3E3E3"/>
          <w:bottom w:val="none" w:sz="0" w:space="0" w:color="E3E3E3"/>
          <w:right w:val="none" w:sz="0" w:space="0" w:color="E3E3E3"/>
          <w:between w:val="none" w:sz="0" w:space="0" w:color="E3E3E3"/>
        </w:pBdr>
        <w:shd w:val="clear" w:color="auto" w:fill="FFFFFF"/>
        <w:jc w:val="both"/>
        <w:rPr>
          <w:highlight w:val="white"/>
        </w:rPr>
      </w:pPr>
    </w:p>
    <w:p w14:paraId="26DD79BC" w14:textId="477C559B" w:rsidR="008A2109" w:rsidRDefault="008A2109" w:rsidP="008A2109">
      <w:pPr>
        <w:jc w:val="both"/>
        <w:rPr>
          <w:highlight w:val="white"/>
        </w:rPr>
      </w:pPr>
      <w:proofErr w:type="spellStart"/>
      <w:r>
        <w:rPr>
          <w:b/>
          <w:highlight w:val="white"/>
        </w:rPr>
        <w:t>Keywords</w:t>
      </w:r>
      <w:proofErr w:type="spellEnd"/>
      <w:r>
        <w:rPr>
          <w:highlight w:val="white"/>
        </w:rPr>
        <w:t xml:space="preserve">: </w:t>
      </w:r>
      <w:proofErr w:type="spellStart"/>
      <w:r>
        <w:rPr>
          <w:highlight w:val="white"/>
        </w:rPr>
        <w:t>artificial</w:t>
      </w:r>
      <w:proofErr w:type="spellEnd"/>
      <w:r>
        <w:rPr>
          <w:highlight w:val="white"/>
        </w:rPr>
        <w:t xml:space="preserve"> </w:t>
      </w:r>
      <w:proofErr w:type="spellStart"/>
      <w:r>
        <w:rPr>
          <w:highlight w:val="white"/>
        </w:rPr>
        <w:t>intelligence</w:t>
      </w:r>
      <w:proofErr w:type="spellEnd"/>
      <w:r>
        <w:rPr>
          <w:highlight w:val="white"/>
        </w:rPr>
        <w:t>, e-</w:t>
      </w:r>
      <w:proofErr w:type="spellStart"/>
      <w:r>
        <w:rPr>
          <w:highlight w:val="white"/>
        </w:rPr>
        <w:t>government</w:t>
      </w:r>
      <w:proofErr w:type="spellEnd"/>
      <w:r>
        <w:rPr>
          <w:highlight w:val="white"/>
        </w:rPr>
        <w:t xml:space="preserve">, </w:t>
      </w:r>
      <w:proofErr w:type="spellStart"/>
      <w:r>
        <w:rPr>
          <w:highlight w:val="white"/>
        </w:rPr>
        <w:t>dubai</w:t>
      </w:r>
      <w:proofErr w:type="spellEnd"/>
      <w:r>
        <w:rPr>
          <w:highlight w:val="white"/>
        </w:rPr>
        <w:t xml:space="preserve">, </w:t>
      </w:r>
      <w:proofErr w:type="spellStart"/>
      <w:r>
        <w:rPr>
          <w:highlight w:val="white"/>
        </w:rPr>
        <w:t>smart</w:t>
      </w:r>
      <w:proofErr w:type="spellEnd"/>
      <w:r>
        <w:rPr>
          <w:highlight w:val="white"/>
        </w:rPr>
        <w:t xml:space="preserve"> </w:t>
      </w:r>
      <w:proofErr w:type="spellStart"/>
      <w:r>
        <w:rPr>
          <w:highlight w:val="white"/>
        </w:rPr>
        <w:t>police</w:t>
      </w:r>
      <w:proofErr w:type="spellEnd"/>
      <w:r>
        <w:rPr>
          <w:highlight w:val="white"/>
        </w:rPr>
        <w:t xml:space="preserve"> </w:t>
      </w:r>
      <w:proofErr w:type="spellStart"/>
      <w:r>
        <w:rPr>
          <w:highlight w:val="white"/>
        </w:rPr>
        <w:t>station</w:t>
      </w:r>
      <w:proofErr w:type="spellEnd"/>
    </w:p>
    <w:p w14:paraId="1993EC14" w14:textId="77777777" w:rsidR="008A2109" w:rsidRDefault="008A2109" w:rsidP="008A2109">
      <w:pPr>
        <w:jc w:val="both"/>
        <w:rPr>
          <w:highlight w:val="white"/>
        </w:rPr>
      </w:pPr>
    </w:p>
    <w:p w14:paraId="5AD47961" w14:textId="77777777" w:rsidR="008A2109" w:rsidRDefault="008A2109" w:rsidP="008A2109">
      <w:pPr>
        <w:jc w:val="both"/>
        <w:rPr>
          <w:highlight w:val="white"/>
        </w:rPr>
      </w:pPr>
    </w:p>
    <w:p w14:paraId="24416E55" w14:textId="77777777" w:rsidR="008A2109" w:rsidRDefault="008A2109" w:rsidP="008A2109">
      <w:pPr>
        <w:jc w:val="both"/>
        <w:rPr>
          <w:highlight w:val="white"/>
        </w:rPr>
      </w:pPr>
    </w:p>
    <w:p w14:paraId="7D328286" w14:textId="77777777" w:rsidR="008A2109" w:rsidRDefault="008A2109" w:rsidP="008A2109">
      <w:pPr>
        <w:jc w:val="both"/>
        <w:rPr>
          <w:highlight w:val="white"/>
        </w:rPr>
      </w:pPr>
    </w:p>
    <w:p w14:paraId="15C6521B" w14:textId="77777777" w:rsidR="008A2109" w:rsidRDefault="008A2109" w:rsidP="008A2109">
      <w:pPr>
        <w:jc w:val="both"/>
        <w:rPr>
          <w:highlight w:val="white"/>
        </w:rPr>
      </w:pPr>
    </w:p>
    <w:p w14:paraId="7448A036" w14:textId="77777777" w:rsidR="008A2109" w:rsidRDefault="008A2109" w:rsidP="008A2109">
      <w:pPr>
        <w:jc w:val="both"/>
        <w:rPr>
          <w:highlight w:val="white"/>
        </w:rPr>
      </w:pPr>
    </w:p>
    <w:p w14:paraId="21371F9F" w14:textId="77777777" w:rsidR="008A2109" w:rsidRDefault="008A2109" w:rsidP="008A2109">
      <w:pPr>
        <w:jc w:val="both"/>
        <w:rPr>
          <w:highlight w:val="white"/>
        </w:rPr>
      </w:pPr>
    </w:p>
    <w:p w14:paraId="5AC4CEBB" w14:textId="77777777" w:rsidR="008A2109" w:rsidRDefault="008A2109" w:rsidP="008A2109">
      <w:pPr>
        <w:jc w:val="both"/>
        <w:rPr>
          <w:highlight w:val="white"/>
        </w:rPr>
      </w:pPr>
    </w:p>
    <w:p w14:paraId="4B3BD012" w14:textId="77777777" w:rsidR="008A2109" w:rsidRDefault="008A2109" w:rsidP="008A2109">
      <w:pPr>
        <w:jc w:val="both"/>
        <w:rPr>
          <w:highlight w:val="white"/>
        </w:rPr>
      </w:pPr>
    </w:p>
    <w:p w14:paraId="50AA3135" w14:textId="77777777" w:rsidR="008A2109" w:rsidRDefault="008A2109" w:rsidP="008A2109">
      <w:pPr>
        <w:jc w:val="both"/>
        <w:rPr>
          <w:highlight w:val="white"/>
        </w:rPr>
      </w:pPr>
    </w:p>
    <w:p w14:paraId="2C2EA2F6" w14:textId="77777777" w:rsidR="008A2109" w:rsidRDefault="008A2109" w:rsidP="008A2109">
      <w:pPr>
        <w:jc w:val="both"/>
        <w:rPr>
          <w:highlight w:val="white"/>
        </w:rPr>
      </w:pPr>
    </w:p>
    <w:p w14:paraId="142E6FA4" w14:textId="77777777" w:rsidR="008A2109" w:rsidRDefault="008A2109" w:rsidP="008A2109">
      <w:pPr>
        <w:jc w:val="both"/>
        <w:rPr>
          <w:highlight w:val="white"/>
        </w:rPr>
      </w:pPr>
    </w:p>
    <w:p w14:paraId="547DA9DD" w14:textId="77777777" w:rsidR="008A2109" w:rsidRDefault="008A2109" w:rsidP="008A2109">
      <w:pPr>
        <w:jc w:val="both"/>
        <w:rPr>
          <w:highlight w:val="white"/>
        </w:rPr>
      </w:pPr>
    </w:p>
    <w:p w14:paraId="73EA6178" w14:textId="77777777" w:rsidR="008A2109" w:rsidRDefault="008A2109" w:rsidP="008A2109">
      <w:pPr>
        <w:jc w:val="both"/>
        <w:rPr>
          <w:highlight w:val="white"/>
        </w:rPr>
      </w:pPr>
    </w:p>
    <w:p w14:paraId="01AA1ECD" w14:textId="77777777" w:rsidR="008A2109" w:rsidRDefault="008A2109" w:rsidP="008A2109">
      <w:pPr>
        <w:jc w:val="both"/>
        <w:rPr>
          <w:highlight w:val="white"/>
        </w:rPr>
      </w:pPr>
    </w:p>
    <w:p w14:paraId="766C48A7" w14:textId="77777777" w:rsidR="008A2109" w:rsidRDefault="008A2109" w:rsidP="008A2109">
      <w:pPr>
        <w:jc w:val="both"/>
        <w:rPr>
          <w:highlight w:val="white"/>
        </w:rPr>
      </w:pPr>
    </w:p>
    <w:p w14:paraId="332C38FD" w14:textId="77777777" w:rsidR="008A2109" w:rsidRDefault="008A2109" w:rsidP="008A2109">
      <w:pPr>
        <w:jc w:val="both"/>
        <w:rPr>
          <w:highlight w:val="white"/>
        </w:rPr>
      </w:pPr>
    </w:p>
    <w:p w14:paraId="42930CC4" w14:textId="77777777" w:rsidR="008A2109" w:rsidRDefault="008A2109" w:rsidP="008A2109">
      <w:pPr>
        <w:jc w:val="both"/>
        <w:rPr>
          <w:highlight w:val="white"/>
        </w:rPr>
      </w:pPr>
    </w:p>
    <w:p w14:paraId="1E5D804A" w14:textId="77777777" w:rsidR="008A2109" w:rsidRDefault="008A2109" w:rsidP="008A2109">
      <w:pPr>
        <w:jc w:val="both"/>
        <w:rPr>
          <w:highlight w:val="white"/>
        </w:rPr>
      </w:pPr>
    </w:p>
    <w:p w14:paraId="040F5C7F" w14:textId="77777777" w:rsidR="008A2109" w:rsidRDefault="008A2109" w:rsidP="008A2109">
      <w:pPr>
        <w:jc w:val="both"/>
        <w:rPr>
          <w:highlight w:val="white"/>
        </w:rPr>
      </w:pPr>
    </w:p>
    <w:p w14:paraId="5C5C1DCC" w14:textId="77777777" w:rsidR="008A2109" w:rsidRPr="00F367D0" w:rsidRDefault="008A2109" w:rsidP="008A2109">
      <w:pPr>
        <w:jc w:val="both"/>
        <w:rPr>
          <w:highlight w:val="white"/>
        </w:rPr>
      </w:pPr>
    </w:p>
    <w:p w14:paraId="54EFF4A6" w14:textId="77777777" w:rsidR="008A2109" w:rsidRDefault="008A2109" w:rsidP="008A2109">
      <w:pPr>
        <w:jc w:val="center"/>
        <w:rPr>
          <w:b/>
        </w:rPr>
      </w:pPr>
      <w:r w:rsidRPr="00836D2F">
        <w:rPr>
          <w:b/>
        </w:rPr>
        <w:t xml:space="preserve">Yapay </w:t>
      </w:r>
      <w:proofErr w:type="gramStart"/>
      <w:r w:rsidRPr="00836D2F">
        <w:rPr>
          <w:b/>
        </w:rPr>
        <w:t>Zeka</w:t>
      </w:r>
      <w:proofErr w:type="gramEnd"/>
      <w:r w:rsidRPr="00836D2F">
        <w:rPr>
          <w:b/>
        </w:rPr>
        <w:t xml:space="preserve"> Dubai'nin Akıllı Polis Karakollarında Nasıl Kullanılıyor?</w:t>
      </w:r>
    </w:p>
    <w:p w14:paraId="14896078" w14:textId="77777777" w:rsidR="008A2109" w:rsidRDefault="008A2109" w:rsidP="008A2109">
      <w:pPr>
        <w:jc w:val="center"/>
      </w:pPr>
    </w:p>
    <w:p w14:paraId="75469F1A" w14:textId="77777777" w:rsidR="008A2109" w:rsidRDefault="008A2109" w:rsidP="008A2109">
      <w:pPr>
        <w:jc w:val="center"/>
      </w:pPr>
      <w:r>
        <w:t>Seda ÇANKAYA KURNAZ</w:t>
      </w:r>
      <w:r>
        <w:br/>
      </w:r>
      <w:proofErr w:type="spellStart"/>
      <w:r>
        <w:t>Phd</w:t>
      </w:r>
      <w:proofErr w:type="spellEnd"/>
      <w:r>
        <w:t xml:space="preserve">. </w:t>
      </w:r>
      <w:proofErr w:type="spellStart"/>
      <w:r>
        <w:t>Selcuk</w:t>
      </w:r>
      <w:proofErr w:type="spellEnd"/>
      <w:r>
        <w:t xml:space="preserve"> </w:t>
      </w:r>
      <w:proofErr w:type="spellStart"/>
      <w:r>
        <w:t>University</w:t>
      </w:r>
      <w:proofErr w:type="spellEnd"/>
      <w:r>
        <w:t xml:space="preserve">, </w:t>
      </w:r>
      <w:proofErr w:type="spellStart"/>
      <w:r>
        <w:t>Political</w:t>
      </w:r>
      <w:proofErr w:type="spellEnd"/>
      <w:r>
        <w:t xml:space="preserve"> </w:t>
      </w:r>
      <w:proofErr w:type="spellStart"/>
      <w:r>
        <w:t>Science</w:t>
      </w:r>
      <w:proofErr w:type="spellEnd"/>
      <w:r>
        <w:t xml:space="preserve"> </w:t>
      </w:r>
      <w:proofErr w:type="spellStart"/>
      <w:r>
        <w:t>and</w:t>
      </w:r>
      <w:proofErr w:type="spellEnd"/>
      <w:r>
        <w:t xml:space="preserve"> </w:t>
      </w:r>
      <w:proofErr w:type="spellStart"/>
      <w:r>
        <w:t>Public</w:t>
      </w:r>
      <w:proofErr w:type="spellEnd"/>
      <w:r>
        <w:t xml:space="preserve"> Administration</w:t>
      </w:r>
      <w:r>
        <w:br/>
        <w:t>sedacankaya@selcuk.edu.tr</w:t>
      </w:r>
      <w:r>
        <w:br/>
      </w:r>
      <w:hyperlink r:id="rId271" w:history="1">
        <w:r w:rsidRPr="004442A8">
          <w:t>0000-0001-6977-300X</w:t>
        </w:r>
      </w:hyperlink>
    </w:p>
    <w:p w14:paraId="31529B89" w14:textId="77777777" w:rsidR="008A2109" w:rsidRPr="00836D2F" w:rsidRDefault="008A2109" w:rsidP="008A2109">
      <w:pPr>
        <w:jc w:val="both"/>
        <w:rPr>
          <w:b/>
        </w:rPr>
      </w:pPr>
    </w:p>
    <w:p w14:paraId="4925B09C" w14:textId="77777777" w:rsidR="008A2109" w:rsidRDefault="008A2109" w:rsidP="008A2109">
      <w:pPr>
        <w:jc w:val="center"/>
        <w:rPr>
          <w:b/>
          <w:bCs/>
        </w:rPr>
      </w:pPr>
      <w:r w:rsidRPr="005436C2">
        <w:rPr>
          <w:b/>
          <w:bCs/>
        </w:rPr>
        <w:t>Özet</w:t>
      </w:r>
    </w:p>
    <w:p w14:paraId="45F52258" w14:textId="77777777" w:rsidR="008A2109" w:rsidRDefault="008A2109" w:rsidP="008A2109">
      <w:pPr>
        <w:jc w:val="both"/>
        <w:rPr>
          <w:highlight w:val="white"/>
        </w:rPr>
      </w:pPr>
      <w:r>
        <w:rPr>
          <w:highlight w:val="white"/>
        </w:rPr>
        <w:t>Yapay zekâ, insana ait olan öğrenme ve problem çözme gibi yetenekleri makine tabanlı sistemler kullanarak taklit eden ve kendini sürekli geliştiren bir teknolojidir. Son yıllarda bu teknolojilerin tüm sektörleri etkisi altına aldığı net bir şekilde görülmekte ve kamu sektörü de bu değişim paradigmasının bir parçası haline gelmektedir. Bu kapsamda yapay zekâ teknolojilerin kamu sektöründe nasıl kullanılabileceğine ilişkin arayış her geçen gün artmakta ve akıllı uygulama stratejileri geliştirilmektedir.</w:t>
      </w:r>
      <w:r>
        <w:rPr>
          <w:b/>
          <w:highlight w:val="white"/>
        </w:rPr>
        <w:t xml:space="preserve"> </w:t>
      </w:r>
      <w:r>
        <w:rPr>
          <w:highlight w:val="white"/>
        </w:rPr>
        <w:t xml:space="preserve">Özellikle sağlık, ulaşım, güvenlik gibi kamu hizmetlerinin sunumunda yapay zekâ teknolojilerinin önemli derecede iş yükünü azaltacağı düşünülmektedir. Bu kapsamda ilk olarak 2017 yılında Dubai’de kurulan Akıllı Polis Karakolu, emniyet işlemlerinde yapay zekâ teknolojilerinin başarılı bir şekilde uygulandığı ilk örnektir. Akıllı Polis Karakolu, hiçbir insani müdahale olmadan suçların bildirilmesi, kayıp ve bulunan eşyaların raporlanması, trafik cezalarının ödenmesi ve kayıp eşyaların veya şüpheli davranışların bildirilmesi gibi çeşitli hizmetler sunmaktadır. </w:t>
      </w:r>
    </w:p>
    <w:p w14:paraId="6833635B" w14:textId="77777777" w:rsidR="008A2109" w:rsidRDefault="008A2109" w:rsidP="008A2109">
      <w:pPr>
        <w:jc w:val="both"/>
        <w:rPr>
          <w:highlight w:val="white"/>
        </w:rPr>
      </w:pPr>
      <w:r>
        <w:rPr>
          <w:highlight w:val="white"/>
        </w:rPr>
        <w:t xml:space="preserve">Bu çalışmanın amacı, insansız bir polis karakolu özelliği taşıyan Dubai Akıllı Polis Karakolları uygulamasının detaylarına yer vererek yapay zekâ teknolojilerinin kamu hizmetlerinin sunumunda nasıl uygulandığını ortaya koymaktır.  </w:t>
      </w:r>
    </w:p>
    <w:p w14:paraId="55F7BDC0" w14:textId="77777777" w:rsidR="00CA2847" w:rsidRDefault="00CA2847" w:rsidP="008A2109">
      <w:pPr>
        <w:jc w:val="both"/>
        <w:rPr>
          <w:highlight w:val="white"/>
        </w:rPr>
      </w:pPr>
    </w:p>
    <w:p w14:paraId="16778EA6" w14:textId="77777777" w:rsidR="008A2109" w:rsidRDefault="008A2109" w:rsidP="008A2109">
      <w:pPr>
        <w:jc w:val="both"/>
        <w:rPr>
          <w:highlight w:val="white"/>
        </w:rPr>
      </w:pPr>
      <w:r>
        <w:rPr>
          <w:b/>
          <w:highlight w:val="white"/>
        </w:rPr>
        <w:t>Anahtar Kelimeler:</w:t>
      </w:r>
      <w:r>
        <w:rPr>
          <w:highlight w:val="white"/>
        </w:rPr>
        <w:t xml:space="preserve"> akıllı polis karakolu, e devlet, </w:t>
      </w:r>
      <w:proofErr w:type="spellStart"/>
      <w:r>
        <w:rPr>
          <w:highlight w:val="white"/>
        </w:rPr>
        <w:t>dubai</w:t>
      </w:r>
      <w:proofErr w:type="spellEnd"/>
      <w:r>
        <w:rPr>
          <w:highlight w:val="white"/>
        </w:rPr>
        <w:t>, yapay zekâ</w:t>
      </w:r>
    </w:p>
    <w:p w14:paraId="60F8E66D" w14:textId="77777777" w:rsidR="008A2109" w:rsidRDefault="008A2109" w:rsidP="008A2109">
      <w:pPr>
        <w:jc w:val="both"/>
        <w:rPr>
          <w:b/>
          <w:bCs/>
        </w:rPr>
      </w:pPr>
    </w:p>
    <w:p w14:paraId="47ACDEEE" w14:textId="77777777" w:rsidR="008A2109" w:rsidRDefault="008A2109" w:rsidP="008A2109">
      <w:pPr>
        <w:jc w:val="both"/>
        <w:rPr>
          <w:b/>
          <w:bCs/>
        </w:rPr>
      </w:pPr>
    </w:p>
    <w:p w14:paraId="6B72B36E" w14:textId="26C27E5A" w:rsidR="00CC423C" w:rsidRDefault="00CC423C" w:rsidP="008A2109">
      <w:pPr>
        <w:jc w:val="both"/>
        <w:rPr>
          <w:b/>
          <w:bCs/>
        </w:rPr>
      </w:pPr>
      <w:r>
        <w:rPr>
          <w:b/>
          <w:bCs/>
        </w:rPr>
        <w:t>I</w:t>
      </w:r>
      <w:r w:rsidRPr="00CC423C">
        <w:rPr>
          <w:b/>
          <w:bCs/>
        </w:rPr>
        <w:t>NTRODUCTİON</w:t>
      </w:r>
    </w:p>
    <w:p w14:paraId="37D3DEF0" w14:textId="5691A88C" w:rsidR="008A2109" w:rsidRDefault="008A2109" w:rsidP="008A2109">
      <w:pPr>
        <w:jc w:val="both"/>
        <w:rPr>
          <w:highlight w:val="white"/>
        </w:rPr>
      </w:pPr>
      <w:proofErr w:type="spellStart"/>
      <w:r w:rsidRPr="005459AE">
        <w:t>Recent</w:t>
      </w:r>
      <w:proofErr w:type="spellEnd"/>
      <w:r w:rsidRPr="005459AE">
        <w:t xml:space="preserve"> </w:t>
      </w:r>
      <w:proofErr w:type="spellStart"/>
      <w:r w:rsidRPr="005459AE">
        <w:t>rapid</w:t>
      </w:r>
      <w:proofErr w:type="spellEnd"/>
      <w:r w:rsidRPr="005459AE">
        <w:t xml:space="preserve"> </w:t>
      </w:r>
      <w:proofErr w:type="spellStart"/>
      <w:r w:rsidRPr="005459AE">
        <w:t>developments</w:t>
      </w:r>
      <w:proofErr w:type="spellEnd"/>
      <w:r w:rsidRPr="005459AE">
        <w:t xml:space="preserve"> in </w:t>
      </w:r>
      <w:proofErr w:type="spellStart"/>
      <w:r w:rsidRPr="005459AE">
        <w:t>computing</w:t>
      </w:r>
      <w:proofErr w:type="spellEnd"/>
      <w:r w:rsidRPr="005459AE">
        <w:t xml:space="preserve"> </w:t>
      </w:r>
      <w:proofErr w:type="spellStart"/>
      <w:r w:rsidRPr="005459AE">
        <w:t>technologies</w:t>
      </w:r>
      <w:proofErr w:type="spellEnd"/>
      <w:r w:rsidRPr="005459AE">
        <w:t xml:space="preserve"> </w:t>
      </w:r>
      <w:proofErr w:type="spellStart"/>
      <w:r w:rsidRPr="005459AE">
        <w:t>have</w:t>
      </w:r>
      <w:proofErr w:type="spellEnd"/>
      <w:r w:rsidRPr="005459AE">
        <w:t xml:space="preserve"> led </w:t>
      </w:r>
      <w:proofErr w:type="spellStart"/>
      <w:r w:rsidRPr="005459AE">
        <w:t>to</w:t>
      </w:r>
      <w:proofErr w:type="spellEnd"/>
      <w:r w:rsidRPr="005459AE">
        <w:t xml:space="preserve"> an </w:t>
      </w:r>
      <w:proofErr w:type="spellStart"/>
      <w:r w:rsidRPr="005459AE">
        <w:t>unprecedented</w:t>
      </w:r>
      <w:proofErr w:type="spellEnd"/>
      <w:r w:rsidRPr="005459AE">
        <w:t xml:space="preserve"> </w:t>
      </w:r>
      <w:proofErr w:type="spellStart"/>
      <w:r w:rsidRPr="005459AE">
        <w:t>digital</w:t>
      </w:r>
      <w:proofErr w:type="spellEnd"/>
      <w:r w:rsidRPr="005459AE">
        <w:t xml:space="preserve"> </w:t>
      </w:r>
      <w:proofErr w:type="spellStart"/>
      <w:r w:rsidRPr="005459AE">
        <w:t>movement</w:t>
      </w:r>
      <w:proofErr w:type="spellEnd"/>
      <w:r w:rsidRPr="005459AE">
        <w:t xml:space="preserve"> in </w:t>
      </w:r>
      <w:proofErr w:type="spellStart"/>
      <w:r w:rsidRPr="005459AE">
        <w:t>public</w:t>
      </w:r>
      <w:proofErr w:type="spellEnd"/>
      <w:r w:rsidRPr="005459AE">
        <w:t xml:space="preserve"> </w:t>
      </w:r>
      <w:proofErr w:type="spellStart"/>
      <w:r w:rsidRPr="005459AE">
        <w:t>institutions</w:t>
      </w:r>
      <w:proofErr w:type="spellEnd"/>
      <w:r w:rsidRPr="005459AE">
        <w:t xml:space="preserve">. </w:t>
      </w:r>
      <w:proofErr w:type="spellStart"/>
      <w:r w:rsidRPr="005459AE">
        <w:t>The</w:t>
      </w:r>
      <w:proofErr w:type="spellEnd"/>
      <w:r w:rsidRPr="005459AE">
        <w:t xml:space="preserve"> </w:t>
      </w:r>
      <w:proofErr w:type="spellStart"/>
      <w:r w:rsidRPr="005459AE">
        <w:t>public</w:t>
      </w:r>
      <w:proofErr w:type="spellEnd"/>
      <w:r w:rsidRPr="005459AE">
        <w:t xml:space="preserve"> </w:t>
      </w:r>
      <w:proofErr w:type="spellStart"/>
      <w:r w:rsidRPr="005459AE">
        <w:t>sector</w:t>
      </w:r>
      <w:proofErr w:type="spellEnd"/>
      <w:r w:rsidRPr="005459AE">
        <w:t xml:space="preserve">, in </w:t>
      </w:r>
      <w:proofErr w:type="spellStart"/>
      <w:r w:rsidRPr="005459AE">
        <w:t>particular</w:t>
      </w:r>
      <w:proofErr w:type="spellEnd"/>
      <w:r w:rsidRPr="005459AE">
        <w:t xml:space="preserve">, </w:t>
      </w:r>
      <w:proofErr w:type="spellStart"/>
      <w:r w:rsidRPr="005459AE">
        <w:t>see</w:t>
      </w:r>
      <w:proofErr w:type="spellEnd"/>
      <w:r>
        <w:t xml:space="preserve"> </w:t>
      </w:r>
      <w:proofErr w:type="spellStart"/>
      <w:r>
        <w:t>Artifical</w:t>
      </w:r>
      <w:proofErr w:type="spellEnd"/>
      <w:r>
        <w:t xml:space="preserve"> </w:t>
      </w:r>
      <w:proofErr w:type="spellStart"/>
      <w:r>
        <w:t>Intelligence</w:t>
      </w:r>
      <w:proofErr w:type="spellEnd"/>
      <w:r>
        <w:t xml:space="preserve"> (</w:t>
      </w:r>
      <w:r>
        <w:rPr>
          <w:highlight w:val="white"/>
        </w:rPr>
        <w:t xml:space="preserve">AI) </w:t>
      </w:r>
      <w:r w:rsidRPr="005459AE">
        <w:t xml:space="preserve">as an </w:t>
      </w:r>
      <w:proofErr w:type="spellStart"/>
      <w:r w:rsidRPr="00EA22C1">
        <w:t>important</w:t>
      </w:r>
      <w:proofErr w:type="spellEnd"/>
      <w:r w:rsidRPr="00EA22C1">
        <w:t xml:space="preserve"> </w:t>
      </w:r>
      <w:proofErr w:type="spellStart"/>
      <w:r w:rsidRPr="00EA22C1">
        <w:t>component</w:t>
      </w:r>
      <w:proofErr w:type="spellEnd"/>
      <w:r w:rsidRPr="00EA22C1">
        <w:t xml:space="preserve"> of </w:t>
      </w:r>
      <w:proofErr w:type="spellStart"/>
      <w:r w:rsidRPr="00EA22C1">
        <w:t>their</w:t>
      </w:r>
      <w:proofErr w:type="spellEnd"/>
      <w:r w:rsidRPr="00EA22C1">
        <w:t xml:space="preserve"> </w:t>
      </w:r>
      <w:proofErr w:type="spellStart"/>
      <w:r w:rsidRPr="00EA22C1">
        <w:t>strategies</w:t>
      </w:r>
      <w:proofErr w:type="spellEnd"/>
      <w:r w:rsidRPr="00EA22C1">
        <w:t xml:space="preserve"> </w:t>
      </w:r>
      <w:proofErr w:type="spellStart"/>
      <w:r w:rsidRPr="00EA22C1">
        <w:t>to</w:t>
      </w:r>
      <w:proofErr w:type="spellEnd"/>
      <w:r w:rsidRPr="00EA22C1">
        <w:t xml:space="preserve"> </w:t>
      </w:r>
      <w:proofErr w:type="spellStart"/>
      <w:r w:rsidRPr="00EA22C1">
        <w:t>improve</w:t>
      </w:r>
      <w:proofErr w:type="spellEnd"/>
      <w:r w:rsidRPr="00EA22C1">
        <w:t xml:space="preserve"> </w:t>
      </w:r>
      <w:proofErr w:type="spellStart"/>
      <w:r w:rsidRPr="00EA22C1">
        <w:t>public</w:t>
      </w:r>
      <w:proofErr w:type="spellEnd"/>
      <w:r w:rsidRPr="00EA22C1">
        <w:t xml:space="preserve"> </w:t>
      </w:r>
      <w:proofErr w:type="spellStart"/>
      <w:r w:rsidRPr="00EA22C1">
        <w:t>services</w:t>
      </w:r>
      <w:proofErr w:type="spellEnd"/>
      <w:r w:rsidRPr="00EA22C1">
        <w:t xml:space="preserve">, </w:t>
      </w:r>
      <w:proofErr w:type="spellStart"/>
      <w:r w:rsidRPr="00EA22C1">
        <w:t>policies</w:t>
      </w:r>
      <w:proofErr w:type="spellEnd"/>
      <w:r w:rsidRPr="00EA22C1">
        <w:t xml:space="preserve"> </w:t>
      </w:r>
      <w:proofErr w:type="spellStart"/>
      <w:r w:rsidRPr="00EA22C1">
        <w:t>and</w:t>
      </w:r>
      <w:proofErr w:type="spellEnd"/>
      <w:r w:rsidRPr="00EA22C1">
        <w:t xml:space="preserve"> </w:t>
      </w:r>
      <w:proofErr w:type="spellStart"/>
      <w:r w:rsidRPr="00EA22C1">
        <w:t>institutional</w:t>
      </w:r>
      <w:proofErr w:type="spellEnd"/>
      <w:r w:rsidRPr="00EA22C1">
        <w:t xml:space="preserve"> </w:t>
      </w:r>
      <w:proofErr w:type="spellStart"/>
      <w:r w:rsidRPr="00EA22C1">
        <w:t>efficiency</w:t>
      </w:r>
      <w:proofErr w:type="spellEnd"/>
      <w:r>
        <w:t xml:space="preserve"> (Çankaya Kurnaz, 2024, s. 210).</w:t>
      </w:r>
      <w:r w:rsidRPr="00EA22C1">
        <w:rPr>
          <w:highlight w:val="white"/>
        </w:rPr>
        <w:t xml:space="preserve"> </w:t>
      </w:r>
      <w:r w:rsidRPr="00EA22C1">
        <w:t xml:space="preserve"> </w:t>
      </w:r>
      <w:proofErr w:type="spellStart"/>
      <w:r w:rsidRPr="00EA22C1">
        <w:t>Therefore</w:t>
      </w:r>
      <w:proofErr w:type="spellEnd"/>
      <w:r w:rsidRPr="00EA22C1">
        <w:t xml:space="preserve">, AI </w:t>
      </w:r>
      <w:proofErr w:type="spellStart"/>
      <w:r w:rsidRPr="00EA22C1">
        <w:rPr>
          <w:highlight w:val="white"/>
        </w:rPr>
        <w:t>and</w:t>
      </w:r>
      <w:proofErr w:type="spellEnd"/>
      <w:r w:rsidRPr="00EA22C1">
        <w:rPr>
          <w:highlight w:val="white"/>
        </w:rPr>
        <w:t xml:space="preserve"> </w:t>
      </w:r>
      <w:proofErr w:type="spellStart"/>
      <w:r w:rsidRPr="00EA22C1">
        <w:rPr>
          <w:highlight w:val="white"/>
        </w:rPr>
        <w:t>advanced</w:t>
      </w:r>
      <w:proofErr w:type="spellEnd"/>
      <w:r w:rsidRPr="00EA22C1">
        <w:rPr>
          <w:highlight w:val="white"/>
        </w:rPr>
        <w:t xml:space="preserve"> </w:t>
      </w:r>
      <w:proofErr w:type="spellStart"/>
      <w:r w:rsidRPr="00EA22C1">
        <w:rPr>
          <w:highlight w:val="white"/>
        </w:rPr>
        <w:t>technology</w:t>
      </w:r>
      <w:proofErr w:type="spellEnd"/>
      <w:r w:rsidRPr="00EA22C1">
        <w:rPr>
          <w:highlight w:val="white"/>
        </w:rPr>
        <w:t xml:space="preserve"> </w:t>
      </w:r>
      <w:proofErr w:type="spellStart"/>
      <w:r w:rsidRPr="00EA22C1">
        <w:rPr>
          <w:highlight w:val="white"/>
        </w:rPr>
        <w:t>tools</w:t>
      </w:r>
      <w:proofErr w:type="spellEnd"/>
      <w:r w:rsidRPr="00EA22C1">
        <w:rPr>
          <w:highlight w:val="white"/>
        </w:rPr>
        <w:t xml:space="preserve"> </w:t>
      </w:r>
      <w:proofErr w:type="spellStart"/>
      <w:r w:rsidRPr="00EA22C1">
        <w:rPr>
          <w:highlight w:val="white"/>
        </w:rPr>
        <w:t>are</w:t>
      </w:r>
      <w:proofErr w:type="spellEnd"/>
      <w:r w:rsidRPr="00EA22C1">
        <w:rPr>
          <w:highlight w:val="white"/>
        </w:rPr>
        <w:t xml:space="preserve"> </w:t>
      </w:r>
      <w:proofErr w:type="spellStart"/>
      <w:r w:rsidRPr="00EA22C1">
        <w:rPr>
          <w:highlight w:val="white"/>
        </w:rPr>
        <w:t>increasingly</w:t>
      </w:r>
      <w:proofErr w:type="spellEnd"/>
      <w:r w:rsidRPr="00EA22C1">
        <w:rPr>
          <w:highlight w:val="white"/>
        </w:rPr>
        <w:t xml:space="preserve"> </w:t>
      </w:r>
      <w:proofErr w:type="spellStart"/>
      <w:r w:rsidRPr="00EA22C1">
        <w:rPr>
          <w:highlight w:val="white"/>
        </w:rPr>
        <w:t>used</w:t>
      </w:r>
      <w:proofErr w:type="spellEnd"/>
      <w:r w:rsidRPr="00EA22C1">
        <w:rPr>
          <w:highlight w:val="white"/>
        </w:rPr>
        <w:t xml:space="preserve"> in </w:t>
      </w:r>
      <w:proofErr w:type="spellStart"/>
      <w:r w:rsidRPr="00EA22C1">
        <w:rPr>
          <w:highlight w:val="white"/>
        </w:rPr>
        <w:t>the</w:t>
      </w:r>
      <w:proofErr w:type="spellEnd"/>
      <w:r w:rsidRPr="00EA22C1">
        <w:rPr>
          <w:highlight w:val="white"/>
        </w:rPr>
        <w:t xml:space="preserve"> </w:t>
      </w:r>
      <w:proofErr w:type="spellStart"/>
      <w:r w:rsidRPr="00EA22C1">
        <w:rPr>
          <w:highlight w:val="white"/>
        </w:rPr>
        <w:t>public</w:t>
      </w:r>
      <w:proofErr w:type="spellEnd"/>
      <w:r w:rsidRPr="00EA22C1">
        <w:rPr>
          <w:highlight w:val="white"/>
        </w:rPr>
        <w:t xml:space="preserve"> </w:t>
      </w:r>
      <w:proofErr w:type="spellStart"/>
      <w:r w:rsidRPr="00EA22C1">
        <w:rPr>
          <w:highlight w:val="white"/>
        </w:rPr>
        <w:t>sector</w:t>
      </w:r>
      <w:proofErr w:type="spellEnd"/>
      <w:r w:rsidRPr="00EA22C1">
        <w:rPr>
          <w:highlight w:val="white"/>
        </w:rPr>
        <w:t xml:space="preserve"> </w:t>
      </w:r>
      <w:proofErr w:type="spellStart"/>
      <w:r w:rsidRPr="00EA22C1">
        <w:rPr>
          <w:highlight w:val="white"/>
        </w:rPr>
        <w:t>to</w:t>
      </w:r>
      <w:proofErr w:type="spellEnd"/>
      <w:r w:rsidRPr="00EA22C1">
        <w:rPr>
          <w:highlight w:val="white"/>
        </w:rPr>
        <w:t xml:space="preserve"> </w:t>
      </w:r>
      <w:proofErr w:type="spellStart"/>
      <w:r w:rsidRPr="00EA22C1">
        <w:rPr>
          <w:highlight w:val="white"/>
        </w:rPr>
        <w:t>increase</w:t>
      </w:r>
      <w:proofErr w:type="spellEnd"/>
      <w:r w:rsidRPr="00EA22C1">
        <w:rPr>
          <w:highlight w:val="white"/>
        </w:rPr>
        <w:t xml:space="preserve"> service </w:t>
      </w:r>
      <w:proofErr w:type="spellStart"/>
      <w:r w:rsidRPr="00EA22C1">
        <w:rPr>
          <w:highlight w:val="white"/>
        </w:rPr>
        <w:t>efficiency</w:t>
      </w:r>
      <w:proofErr w:type="spellEnd"/>
      <w:r w:rsidRPr="00EA22C1">
        <w:rPr>
          <w:highlight w:val="white"/>
        </w:rPr>
        <w:t xml:space="preserve"> </w:t>
      </w:r>
      <w:proofErr w:type="spellStart"/>
      <w:r w:rsidRPr="00EA22C1">
        <w:rPr>
          <w:highlight w:val="white"/>
        </w:rPr>
        <w:t>and</w:t>
      </w:r>
      <w:proofErr w:type="spellEnd"/>
      <w:r w:rsidRPr="00EA22C1">
        <w:rPr>
          <w:highlight w:val="white"/>
        </w:rPr>
        <w:t xml:space="preserve"> </w:t>
      </w:r>
      <w:proofErr w:type="spellStart"/>
      <w:r w:rsidRPr="00EA22C1">
        <w:rPr>
          <w:highlight w:val="white"/>
        </w:rPr>
        <w:t>quality</w:t>
      </w:r>
      <w:proofErr w:type="spellEnd"/>
      <w:r w:rsidRPr="00EA22C1">
        <w:rPr>
          <w:highlight w:val="white"/>
        </w:rPr>
        <w:t xml:space="preserve">, </w:t>
      </w:r>
      <w:proofErr w:type="spellStart"/>
      <w:r w:rsidRPr="00EA22C1">
        <w:rPr>
          <w:highlight w:val="white"/>
        </w:rPr>
        <w:t>to</w:t>
      </w:r>
      <w:proofErr w:type="spellEnd"/>
      <w:r w:rsidRPr="00EA22C1">
        <w:rPr>
          <w:highlight w:val="white"/>
        </w:rPr>
        <w:t xml:space="preserve"> </w:t>
      </w:r>
      <w:proofErr w:type="spellStart"/>
      <w:r w:rsidRPr="00EA22C1">
        <w:rPr>
          <w:highlight w:val="white"/>
        </w:rPr>
        <w:t>provide</w:t>
      </w:r>
      <w:proofErr w:type="spellEnd"/>
      <w:r w:rsidRPr="00EA22C1">
        <w:rPr>
          <w:highlight w:val="white"/>
        </w:rPr>
        <w:t xml:space="preserve"> </w:t>
      </w:r>
      <w:proofErr w:type="spellStart"/>
      <w:r w:rsidRPr="00EA22C1">
        <w:rPr>
          <w:highlight w:val="white"/>
        </w:rPr>
        <w:t>services</w:t>
      </w:r>
      <w:proofErr w:type="spellEnd"/>
      <w:r w:rsidRPr="00EA22C1">
        <w:rPr>
          <w:highlight w:val="white"/>
        </w:rPr>
        <w:t xml:space="preserve"> </w:t>
      </w:r>
      <w:proofErr w:type="spellStart"/>
      <w:r w:rsidRPr="00EA22C1">
        <w:rPr>
          <w:highlight w:val="white"/>
        </w:rPr>
        <w:t>to</w:t>
      </w:r>
      <w:proofErr w:type="spellEnd"/>
      <w:r w:rsidRPr="00EA22C1">
        <w:rPr>
          <w:highlight w:val="white"/>
        </w:rPr>
        <w:t xml:space="preserve"> </w:t>
      </w:r>
      <w:proofErr w:type="spellStart"/>
      <w:r w:rsidRPr="00EA22C1">
        <w:rPr>
          <w:highlight w:val="white"/>
        </w:rPr>
        <w:t>the</w:t>
      </w:r>
      <w:proofErr w:type="spellEnd"/>
      <w:r w:rsidRPr="00EA22C1">
        <w:rPr>
          <w:highlight w:val="white"/>
        </w:rPr>
        <w:t xml:space="preserve"> </w:t>
      </w:r>
      <w:proofErr w:type="spellStart"/>
      <w:r w:rsidRPr="00EA22C1">
        <w:rPr>
          <w:highlight w:val="white"/>
        </w:rPr>
        <w:t>public</w:t>
      </w:r>
      <w:proofErr w:type="spellEnd"/>
      <w:r w:rsidRPr="00EA22C1">
        <w:rPr>
          <w:highlight w:val="white"/>
        </w:rPr>
        <w:t xml:space="preserve"> </w:t>
      </w:r>
      <w:proofErr w:type="spellStart"/>
      <w:r w:rsidRPr="00EA22C1">
        <w:rPr>
          <w:highlight w:val="white"/>
        </w:rPr>
        <w:t>effectively</w:t>
      </w:r>
      <w:proofErr w:type="spellEnd"/>
      <w:r w:rsidRPr="00EA22C1">
        <w:rPr>
          <w:highlight w:val="white"/>
        </w:rPr>
        <w:t xml:space="preserve"> </w:t>
      </w:r>
      <w:proofErr w:type="spellStart"/>
      <w:r w:rsidRPr="00EA22C1">
        <w:rPr>
          <w:highlight w:val="white"/>
        </w:rPr>
        <w:t>and</w:t>
      </w:r>
      <w:proofErr w:type="spellEnd"/>
      <w:r w:rsidRPr="00EA22C1">
        <w:rPr>
          <w:highlight w:val="white"/>
        </w:rPr>
        <w:t xml:space="preserve"> </w:t>
      </w:r>
      <w:proofErr w:type="spellStart"/>
      <w:r w:rsidRPr="00EA22C1">
        <w:rPr>
          <w:highlight w:val="white"/>
        </w:rPr>
        <w:t>quickly</w:t>
      </w:r>
      <w:proofErr w:type="spellEnd"/>
      <w:r w:rsidRPr="00EA22C1">
        <w:rPr>
          <w:highlight w:val="white"/>
        </w:rPr>
        <w:t xml:space="preserve">, </w:t>
      </w:r>
      <w:proofErr w:type="spellStart"/>
      <w:r w:rsidRPr="00EA22C1">
        <w:rPr>
          <w:highlight w:val="white"/>
        </w:rPr>
        <w:t>and</w:t>
      </w:r>
      <w:proofErr w:type="spellEnd"/>
      <w:r w:rsidRPr="00EA22C1">
        <w:rPr>
          <w:highlight w:val="white"/>
        </w:rPr>
        <w:t xml:space="preserve"> </w:t>
      </w:r>
      <w:proofErr w:type="spellStart"/>
      <w:r w:rsidRPr="00EA22C1">
        <w:rPr>
          <w:highlight w:val="white"/>
        </w:rPr>
        <w:t>to</w:t>
      </w:r>
      <w:proofErr w:type="spellEnd"/>
      <w:r w:rsidRPr="00EA22C1">
        <w:rPr>
          <w:highlight w:val="white"/>
        </w:rPr>
        <w:t xml:space="preserve"> minimize </w:t>
      </w:r>
      <w:proofErr w:type="spellStart"/>
      <w:r w:rsidRPr="00EA22C1">
        <w:rPr>
          <w:highlight w:val="white"/>
        </w:rPr>
        <w:t>errors</w:t>
      </w:r>
      <w:proofErr w:type="spellEnd"/>
      <w:r w:rsidRPr="00EA22C1">
        <w:rPr>
          <w:highlight w:val="white"/>
        </w:rPr>
        <w:t xml:space="preserve">. </w:t>
      </w:r>
      <w:proofErr w:type="spellStart"/>
      <w:r w:rsidRPr="00EA22C1">
        <w:rPr>
          <w:highlight w:val="white"/>
        </w:rPr>
        <w:t>The</w:t>
      </w:r>
      <w:proofErr w:type="spellEnd"/>
      <w:r w:rsidRPr="00EA22C1">
        <w:rPr>
          <w:highlight w:val="white"/>
        </w:rPr>
        <w:t xml:space="preserve"> United</w:t>
      </w:r>
      <w:r>
        <w:rPr>
          <w:highlight w:val="white"/>
        </w:rPr>
        <w:t xml:space="preserve"> </w:t>
      </w:r>
      <w:proofErr w:type="spellStart"/>
      <w:r>
        <w:rPr>
          <w:highlight w:val="white"/>
        </w:rPr>
        <w:t>Arab</w:t>
      </w:r>
      <w:proofErr w:type="spellEnd"/>
      <w:r>
        <w:rPr>
          <w:highlight w:val="white"/>
        </w:rPr>
        <w:t xml:space="preserve"> Emirates (UAE) </w:t>
      </w:r>
      <w:proofErr w:type="spellStart"/>
      <w:r>
        <w:rPr>
          <w:highlight w:val="white"/>
        </w:rPr>
        <w:t>actively</w:t>
      </w:r>
      <w:proofErr w:type="spellEnd"/>
      <w:r>
        <w:rPr>
          <w:highlight w:val="white"/>
        </w:rPr>
        <w:t xml:space="preserve"> </w:t>
      </w:r>
      <w:proofErr w:type="spellStart"/>
      <w:r>
        <w:rPr>
          <w:highlight w:val="white"/>
        </w:rPr>
        <w:t>uses</w:t>
      </w:r>
      <w:proofErr w:type="spellEnd"/>
      <w:r>
        <w:rPr>
          <w:highlight w:val="white"/>
        </w:rPr>
        <w:t xml:space="preserve"> </w:t>
      </w:r>
      <w:proofErr w:type="spellStart"/>
      <w:r>
        <w:rPr>
          <w:highlight w:val="white"/>
        </w:rPr>
        <w:t>these</w:t>
      </w:r>
      <w:proofErr w:type="spellEnd"/>
      <w:r>
        <w:rPr>
          <w:highlight w:val="white"/>
        </w:rPr>
        <w:t xml:space="preserve"> </w:t>
      </w:r>
      <w:proofErr w:type="spellStart"/>
      <w:r>
        <w:rPr>
          <w:highlight w:val="white"/>
        </w:rPr>
        <w:t>tools</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provision</w:t>
      </w:r>
      <w:proofErr w:type="spellEnd"/>
      <w:r>
        <w:rPr>
          <w:highlight w:val="white"/>
        </w:rPr>
        <w:t xml:space="preserve"> of </w:t>
      </w:r>
      <w:proofErr w:type="spellStart"/>
      <w:r>
        <w:rPr>
          <w:highlight w:val="white"/>
        </w:rPr>
        <w:t>public</w:t>
      </w:r>
      <w:proofErr w:type="spellEnd"/>
      <w:r>
        <w:rPr>
          <w:highlight w:val="white"/>
        </w:rPr>
        <w:t xml:space="preserve"> </w:t>
      </w:r>
      <w:proofErr w:type="spellStart"/>
      <w:r>
        <w:rPr>
          <w:highlight w:val="white"/>
        </w:rPr>
        <w:t>services</w:t>
      </w:r>
      <w:proofErr w:type="spellEnd"/>
      <w:r>
        <w:rPr>
          <w:highlight w:val="white"/>
        </w:rPr>
        <w:t xml:space="preserve"> </w:t>
      </w:r>
      <w:proofErr w:type="spellStart"/>
      <w:r>
        <w:rPr>
          <w:highlight w:val="white"/>
        </w:rPr>
        <w:t>with</w:t>
      </w:r>
      <w:proofErr w:type="spellEnd"/>
      <w:r>
        <w:rPr>
          <w:highlight w:val="white"/>
        </w:rPr>
        <w:t xml:space="preserve"> </w:t>
      </w:r>
      <w:proofErr w:type="spellStart"/>
      <w:r>
        <w:rPr>
          <w:highlight w:val="white"/>
        </w:rPr>
        <w:t>its</w:t>
      </w:r>
      <w:proofErr w:type="spellEnd"/>
      <w:r>
        <w:rPr>
          <w:highlight w:val="white"/>
        </w:rPr>
        <w:t xml:space="preserve"> </w:t>
      </w:r>
      <w:proofErr w:type="spellStart"/>
      <w:r>
        <w:rPr>
          <w:highlight w:val="white"/>
        </w:rPr>
        <w:t>policy</w:t>
      </w:r>
      <w:proofErr w:type="spellEnd"/>
      <w:r>
        <w:rPr>
          <w:highlight w:val="white"/>
        </w:rPr>
        <w:t xml:space="preserve"> of </w:t>
      </w:r>
      <w:proofErr w:type="spellStart"/>
      <w:r>
        <w:rPr>
          <w:highlight w:val="white"/>
        </w:rPr>
        <w:t>building</w:t>
      </w:r>
      <w:proofErr w:type="spellEnd"/>
      <w:r>
        <w:rPr>
          <w:highlight w:val="white"/>
        </w:rPr>
        <w:t xml:space="preserve"> </w:t>
      </w:r>
      <w:proofErr w:type="spellStart"/>
      <w:r>
        <w:rPr>
          <w:highlight w:val="white"/>
        </w:rPr>
        <w:t>smarter</w:t>
      </w:r>
      <w:proofErr w:type="spellEnd"/>
      <w:r>
        <w:rPr>
          <w:highlight w:val="white"/>
        </w:rPr>
        <w:t xml:space="preserve"> </w:t>
      </w:r>
      <w:proofErr w:type="spellStart"/>
      <w:r>
        <w:rPr>
          <w:highlight w:val="white"/>
        </w:rPr>
        <w:t>cities</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most</w:t>
      </w:r>
      <w:proofErr w:type="spellEnd"/>
      <w:r>
        <w:rPr>
          <w:highlight w:val="white"/>
        </w:rPr>
        <w:t xml:space="preserve"> </w:t>
      </w:r>
      <w:proofErr w:type="spellStart"/>
      <w:r>
        <w:rPr>
          <w:highlight w:val="white"/>
        </w:rPr>
        <w:t>notable</w:t>
      </w:r>
      <w:proofErr w:type="spellEnd"/>
      <w:r>
        <w:rPr>
          <w:highlight w:val="white"/>
        </w:rPr>
        <w:t xml:space="preserve"> of </w:t>
      </w:r>
      <w:proofErr w:type="spellStart"/>
      <w:r>
        <w:rPr>
          <w:highlight w:val="white"/>
        </w:rPr>
        <w:t>these</w:t>
      </w:r>
      <w:proofErr w:type="spellEnd"/>
      <w:r>
        <w:rPr>
          <w:highlight w:val="white"/>
        </w:rPr>
        <w:t xml:space="preserve"> </w:t>
      </w:r>
      <w:proofErr w:type="spellStart"/>
      <w:r>
        <w:rPr>
          <w:highlight w:val="white"/>
        </w:rPr>
        <w:t>policies</w:t>
      </w:r>
      <w:proofErr w:type="spellEnd"/>
      <w:r>
        <w:rPr>
          <w:highlight w:val="white"/>
        </w:rPr>
        <w:t xml:space="preserve"> is </w:t>
      </w:r>
      <w:proofErr w:type="spellStart"/>
      <w:r>
        <w:rPr>
          <w:highlight w:val="white"/>
        </w:rPr>
        <w:t>the</w:t>
      </w:r>
      <w:proofErr w:type="spellEnd"/>
      <w:r>
        <w:rPr>
          <w:highlight w:val="white"/>
        </w:rPr>
        <w:t xml:space="preserve"> Dubai Smart </w:t>
      </w:r>
      <w:proofErr w:type="spellStart"/>
      <w:r>
        <w:rPr>
          <w:highlight w:val="white"/>
        </w:rPr>
        <w:t>Police</w:t>
      </w:r>
      <w:proofErr w:type="spellEnd"/>
      <w:r>
        <w:rPr>
          <w:highlight w:val="white"/>
        </w:rPr>
        <w:t xml:space="preserve"> </w:t>
      </w:r>
      <w:proofErr w:type="spellStart"/>
      <w:r>
        <w:rPr>
          <w:highlight w:val="white"/>
        </w:rPr>
        <w:t>Stations</w:t>
      </w:r>
      <w:proofErr w:type="spellEnd"/>
      <w:r>
        <w:rPr>
          <w:highlight w:val="white"/>
        </w:rPr>
        <w:t xml:space="preserve"> (SPS). </w:t>
      </w:r>
      <w:proofErr w:type="spellStart"/>
      <w:r>
        <w:rPr>
          <w:highlight w:val="white"/>
        </w:rPr>
        <w:t>Formulated</w:t>
      </w:r>
      <w:proofErr w:type="spellEnd"/>
      <w:r>
        <w:rPr>
          <w:highlight w:val="white"/>
        </w:rPr>
        <w:t xml:space="preserve"> </w:t>
      </w:r>
      <w:proofErr w:type="spellStart"/>
      <w:r>
        <w:rPr>
          <w:highlight w:val="white"/>
        </w:rPr>
        <w:t>for</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first</w:t>
      </w:r>
      <w:proofErr w:type="spellEnd"/>
      <w:r>
        <w:rPr>
          <w:highlight w:val="white"/>
        </w:rPr>
        <w:t xml:space="preserve"> time in </w:t>
      </w:r>
      <w:proofErr w:type="spellStart"/>
      <w:r>
        <w:rPr>
          <w:highlight w:val="white"/>
        </w:rPr>
        <w:t>the</w:t>
      </w:r>
      <w:proofErr w:type="spellEnd"/>
      <w:r>
        <w:rPr>
          <w:highlight w:val="white"/>
        </w:rPr>
        <w:t xml:space="preserve"> </w:t>
      </w:r>
      <w:proofErr w:type="spellStart"/>
      <w:r>
        <w:rPr>
          <w:highlight w:val="white"/>
        </w:rPr>
        <w:t>world</w:t>
      </w:r>
      <w:proofErr w:type="spellEnd"/>
      <w:r>
        <w:rPr>
          <w:highlight w:val="white"/>
        </w:rPr>
        <w:t xml:space="preserve">, SPS </w:t>
      </w:r>
      <w:proofErr w:type="spellStart"/>
      <w:r>
        <w:rPr>
          <w:highlight w:val="white"/>
        </w:rPr>
        <w:t>carry</w:t>
      </w:r>
      <w:proofErr w:type="spellEnd"/>
      <w:r>
        <w:rPr>
          <w:highlight w:val="white"/>
        </w:rPr>
        <w:t xml:space="preserve"> </w:t>
      </w:r>
      <w:proofErr w:type="spellStart"/>
      <w:r>
        <w:rPr>
          <w:highlight w:val="white"/>
        </w:rPr>
        <w:t>out</w:t>
      </w:r>
      <w:proofErr w:type="spellEnd"/>
      <w:r>
        <w:rPr>
          <w:highlight w:val="white"/>
        </w:rPr>
        <w:t xml:space="preserve"> </w:t>
      </w:r>
      <w:proofErr w:type="spellStart"/>
      <w:r>
        <w:rPr>
          <w:highlight w:val="white"/>
        </w:rPr>
        <w:t>certain</w:t>
      </w:r>
      <w:proofErr w:type="spellEnd"/>
      <w:r>
        <w:rPr>
          <w:highlight w:val="white"/>
        </w:rPr>
        <w:t xml:space="preserve"> </w:t>
      </w:r>
      <w:proofErr w:type="spellStart"/>
      <w:r>
        <w:rPr>
          <w:highlight w:val="white"/>
        </w:rPr>
        <w:t>policing</w:t>
      </w:r>
      <w:proofErr w:type="spellEnd"/>
      <w:r>
        <w:rPr>
          <w:highlight w:val="white"/>
        </w:rPr>
        <w:t xml:space="preserve"> </w:t>
      </w:r>
      <w:proofErr w:type="spellStart"/>
      <w:r>
        <w:rPr>
          <w:highlight w:val="white"/>
        </w:rPr>
        <w:t>operations</w:t>
      </w:r>
      <w:proofErr w:type="spellEnd"/>
      <w:r>
        <w:rPr>
          <w:highlight w:val="white"/>
        </w:rPr>
        <w:t xml:space="preserve"> </w:t>
      </w:r>
      <w:proofErr w:type="spellStart"/>
      <w:r>
        <w:rPr>
          <w:highlight w:val="white"/>
        </w:rPr>
        <w:t>without</w:t>
      </w:r>
      <w:proofErr w:type="spellEnd"/>
      <w:r>
        <w:rPr>
          <w:highlight w:val="white"/>
        </w:rPr>
        <w:t xml:space="preserve"> </w:t>
      </w:r>
      <w:proofErr w:type="spellStart"/>
      <w:r>
        <w:rPr>
          <w:highlight w:val="white"/>
        </w:rPr>
        <w:t>humans</w:t>
      </w:r>
      <w:proofErr w:type="spellEnd"/>
      <w:r>
        <w:rPr>
          <w:highlight w:val="white"/>
        </w:rPr>
        <w:t xml:space="preserve"> in </w:t>
      </w:r>
      <w:proofErr w:type="spellStart"/>
      <w:r>
        <w:rPr>
          <w:highlight w:val="white"/>
        </w:rPr>
        <w:t>many</w:t>
      </w:r>
      <w:proofErr w:type="spellEnd"/>
      <w:r>
        <w:rPr>
          <w:highlight w:val="white"/>
        </w:rPr>
        <w:t xml:space="preserve"> </w:t>
      </w:r>
      <w:proofErr w:type="spellStart"/>
      <w:r>
        <w:rPr>
          <w:highlight w:val="white"/>
        </w:rPr>
        <w:t>parts</w:t>
      </w:r>
      <w:proofErr w:type="spellEnd"/>
      <w:r>
        <w:rPr>
          <w:highlight w:val="white"/>
        </w:rPr>
        <w:t xml:space="preserve"> of </w:t>
      </w:r>
      <w:proofErr w:type="spellStart"/>
      <w:r>
        <w:rPr>
          <w:highlight w:val="white"/>
        </w:rPr>
        <w:t>the</w:t>
      </w:r>
      <w:proofErr w:type="spellEnd"/>
      <w:r>
        <w:rPr>
          <w:highlight w:val="white"/>
        </w:rPr>
        <w:t xml:space="preserve"> </w:t>
      </w:r>
      <w:proofErr w:type="spellStart"/>
      <w:r>
        <w:rPr>
          <w:highlight w:val="white"/>
        </w:rPr>
        <w:t>city</w:t>
      </w:r>
      <w:proofErr w:type="spellEnd"/>
      <w:r>
        <w:rPr>
          <w:highlight w:val="white"/>
        </w:rPr>
        <w:t xml:space="preserve">. </w:t>
      </w:r>
      <w:proofErr w:type="spellStart"/>
      <w:r>
        <w:rPr>
          <w:highlight w:val="white"/>
        </w:rPr>
        <w:t>Thus</w:t>
      </w:r>
      <w:proofErr w:type="spellEnd"/>
      <w:r>
        <w:rPr>
          <w:highlight w:val="white"/>
        </w:rPr>
        <w:t xml:space="preserve">, </w:t>
      </w:r>
      <w:proofErr w:type="spellStart"/>
      <w:r>
        <w:rPr>
          <w:highlight w:val="white"/>
        </w:rPr>
        <w:t>security</w:t>
      </w:r>
      <w:proofErr w:type="spellEnd"/>
      <w:r>
        <w:rPr>
          <w:highlight w:val="white"/>
        </w:rPr>
        <w:t xml:space="preserve"> </w:t>
      </w:r>
      <w:proofErr w:type="spellStart"/>
      <w:r>
        <w:rPr>
          <w:highlight w:val="white"/>
        </w:rPr>
        <w:t>measures</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optimized</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city</w:t>
      </w:r>
      <w:proofErr w:type="spellEnd"/>
      <w:r>
        <w:rPr>
          <w:highlight w:val="white"/>
        </w:rPr>
        <w:t xml:space="preserve"> </w:t>
      </w:r>
      <w:proofErr w:type="spellStart"/>
      <w:r>
        <w:rPr>
          <w:highlight w:val="white"/>
        </w:rPr>
        <w:t>and</w:t>
      </w:r>
      <w:proofErr w:type="spellEnd"/>
      <w:r>
        <w:rPr>
          <w:highlight w:val="white"/>
        </w:rPr>
        <w:t xml:space="preserve"> a </w:t>
      </w:r>
      <w:proofErr w:type="spellStart"/>
      <w:r>
        <w:rPr>
          <w:highlight w:val="white"/>
        </w:rPr>
        <w:t>proactive</w:t>
      </w:r>
      <w:proofErr w:type="spellEnd"/>
      <w:r>
        <w:rPr>
          <w:highlight w:val="white"/>
        </w:rPr>
        <w:t xml:space="preserve"> </w:t>
      </w:r>
      <w:proofErr w:type="spellStart"/>
      <w:r>
        <w:rPr>
          <w:highlight w:val="white"/>
        </w:rPr>
        <w:t>approach</w:t>
      </w:r>
      <w:proofErr w:type="spellEnd"/>
      <w:r>
        <w:rPr>
          <w:highlight w:val="white"/>
        </w:rPr>
        <w:t xml:space="preserve"> is </w:t>
      </w:r>
      <w:proofErr w:type="spellStart"/>
      <w:r>
        <w:rPr>
          <w:highlight w:val="white"/>
        </w:rPr>
        <w:t>adopted</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fight</w:t>
      </w:r>
      <w:proofErr w:type="spellEnd"/>
      <w:r>
        <w:rPr>
          <w:highlight w:val="white"/>
        </w:rPr>
        <w:t xml:space="preserve"> </w:t>
      </w:r>
      <w:proofErr w:type="spellStart"/>
      <w:r>
        <w:rPr>
          <w:highlight w:val="white"/>
        </w:rPr>
        <w:t>against</w:t>
      </w:r>
      <w:proofErr w:type="spellEnd"/>
      <w:r>
        <w:rPr>
          <w:highlight w:val="white"/>
        </w:rPr>
        <w:t xml:space="preserve"> </w:t>
      </w:r>
      <w:proofErr w:type="spellStart"/>
      <w:r>
        <w:rPr>
          <w:highlight w:val="white"/>
        </w:rPr>
        <w:t>crime</w:t>
      </w:r>
      <w:proofErr w:type="spellEnd"/>
      <w:r>
        <w:rPr>
          <w:highlight w:val="white"/>
        </w:rPr>
        <w:t xml:space="preserve">. </w:t>
      </w:r>
      <w:proofErr w:type="spellStart"/>
      <w:r>
        <w:rPr>
          <w:highlight w:val="white"/>
        </w:rPr>
        <w:t>This</w:t>
      </w:r>
      <w:proofErr w:type="spellEnd"/>
      <w:r>
        <w:rPr>
          <w:highlight w:val="white"/>
        </w:rPr>
        <w:t xml:space="preserve"> </w:t>
      </w:r>
      <w:proofErr w:type="spellStart"/>
      <w:r>
        <w:rPr>
          <w:highlight w:val="white"/>
        </w:rPr>
        <w:t>study</w:t>
      </w:r>
      <w:proofErr w:type="spellEnd"/>
      <w:r>
        <w:rPr>
          <w:highlight w:val="white"/>
        </w:rPr>
        <w:t xml:space="preserve"> </w:t>
      </w:r>
      <w:proofErr w:type="spellStart"/>
      <w:r>
        <w:rPr>
          <w:highlight w:val="white"/>
        </w:rPr>
        <w:t>will</w:t>
      </w:r>
      <w:proofErr w:type="spellEnd"/>
      <w:r>
        <w:rPr>
          <w:highlight w:val="white"/>
        </w:rPr>
        <w:t xml:space="preserve"> </w:t>
      </w:r>
      <w:proofErr w:type="spellStart"/>
      <w:r>
        <w:rPr>
          <w:highlight w:val="white"/>
        </w:rPr>
        <w:t>discuss</w:t>
      </w:r>
      <w:proofErr w:type="spellEnd"/>
      <w:r>
        <w:rPr>
          <w:highlight w:val="white"/>
        </w:rPr>
        <w:t xml:space="preserve"> how AI </w:t>
      </w:r>
      <w:proofErr w:type="spellStart"/>
      <w:r>
        <w:rPr>
          <w:highlight w:val="white"/>
        </w:rPr>
        <w:t>applications</w:t>
      </w:r>
      <w:proofErr w:type="spellEnd"/>
      <w:r>
        <w:rPr>
          <w:highlight w:val="white"/>
        </w:rPr>
        <w:t xml:space="preserve">, </w:t>
      </w:r>
      <w:proofErr w:type="spellStart"/>
      <w:r>
        <w:rPr>
          <w:highlight w:val="white"/>
        </w:rPr>
        <w:t>which</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increasingly</w:t>
      </w:r>
      <w:proofErr w:type="spellEnd"/>
      <w:r>
        <w:rPr>
          <w:highlight w:val="white"/>
        </w:rPr>
        <w:t xml:space="preserve"> </w:t>
      </w:r>
      <w:proofErr w:type="spellStart"/>
      <w:r>
        <w:rPr>
          <w:highlight w:val="white"/>
        </w:rPr>
        <w:t>used</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provision</w:t>
      </w:r>
      <w:proofErr w:type="spellEnd"/>
      <w:r>
        <w:rPr>
          <w:highlight w:val="white"/>
        </w:rPr>
        <w:t xml:space="preserve"> of </w:t>
      </w:r>
      <w:proofErr w:type="spellStart"/>
      <w:r>
        <w:rPr>
          <w:highlight w:val="white"/>
        </w:rPr>
        <w:t>public</w:t>
      </w:r>
      <w:proofErr w:type="spellEnd"/>
      <w:r>
        <w:rPr>
          <w:highlight w:val="white"/>
        </w:rPr>
        <w:t xml:space="preserve"> </w:t>
      </w:r>
      <w:proofErr w:type="spellStart"/>
      <w:r>
        <w:rPr>
          <w:highlight w:val="white"/>
        </w:rPr>
        <w:t>services</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used</w:t>
      </w:r>
      <w:proofErr w:type="spellEnd"/>
      <w:r>
        <w:rPr>
          <w:highlight w:val="white"/>
        </w:rPr>
        <w:t xml:space="preserve"> in Dubai SPS </w:t>
      </w:r>
      <w:proofErr w:type="spellStart"/>
      <w:r>
        <w:rPr>
          <w:highlight w:val="white"/>
        </w:rPr>
        <w:t>and</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advantages</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application</w:t>
      </w:r>
      <w:proofErr w:type="spellEnd"/>
      <w:r>
        <w:rPr>
          <w:highlight w:val="white"/>
        </w:rPr>
        <w:t xml:space="preserve"> </w:t>
      </w:r>
      <w:proofErr w:type="spellStart"/>
      <w:r>
        <w:rPr>
          <w:highlight w:val="white"/>
        </w:rPr>
        <w:t>difficulties</w:t>
      </w:r>
      <w:proofErr w:type="spellEnd"/>
      <w:r>
        <w:rPr>
          <w:highlight w:val="white"/>
        </w:rPr>
        <w:t xml:space="preserve"> </w:t>
      </w:r>
      <w:proofErr w:type="spellStart"/>
      <w:r>
        <w:rPr>
          <w:highlight w:val="white"/>
        </w:rPr>
        <w:t>provided</w:t>
      </w:r>
      <w:proofErr w:type="spellEnd"/>
      <w:r>
        <w:rPr>
          <w:highlight w:val="white"/>
        </w:rPr>
        <w:t xml:space="preserve"> </w:t>
      </w:r>
      <w:proofErr w:type="spellStart"/>
      <w:r>
        <w:rPr>
          <w:highlight w:val="white"/>
        </w:rPr>
        <w:t>by</w:t>
      </w:r>
      <w:proofErr w:type="spellEnd"/>
      <w:r>
        <w:rPr>
          <w:highlight w:val="white"/>
        </w:rPr>
        <w:t xml:space="preserve"> </w:t>
      </w:r>
      <w:proofErr w:type="spellStart"/>
      <w:r>
        <w:rPr>
          <w:highlight w:val="white"/>
        </w:rPr>
        <w:t>these</w:t>
      </w:r>
      <w:proofErr w:type="spellEnd"/>
      <w:r>
        <w:rPr>
          <w:highlight w:val="white"/>
        </w:rPr>
        <w:t xml:space="preserve"> </w:t>
      </w:r>
      <w:proofErr w:type="spellStart"/>
      <w:r>
        <w:rPr>
          <w:highlight w:val="white"/>
        </w:rPr>
        <w:t>technologies</w:t>
      </w:r>
      <w:proofErr w:type="spellEnd"/>
      <w:r>
        <w:rPr>
          <w:highlight w:val="white"/>
        </w:rPr>
        <w:t xml:space="preserve"> </w:t>
      </w:r>
      <w:proofErr w:type="spellStart"/>
      <w:r>
        <w:rPr>
          <w:highlight w:val="white"/>
        </w:rPr>
        <w:t>will</w:t>
      </w:r>
      <w:proofErr w:type="spellEnd"/>
      <w:r>
        <w:rPr>
          <w:highlight w:val="white"/>
        </w:rPr>
        <w:t xml:space="preserve"> be </w:t>
      </w:r>
      <w:proofErr w:type="spellStart"/>
      <w:r>
        <w:rPr>
          <w:highlight w:val="white"/>
        </w:rPr>
        <w:t>examined</w:t>
      </w:r>
      <w:proofErr w:type="spellEnd"/>
      <w:r>
        <w:rPr>
          <w:highlight w:val="white"/>
        </w:rPr>
        <w:t xml:space="preserve">. </w:t>
      </w:r>
      <w:proofErr w:type="spellStart"/>
      <w:r>
        <w:rPr>
          <w:highlight w:val="white"/>
        </w:rPr>
        <w:t>In</w:t>
      </w:r>
      <w:proofErr w:type="spellEnd"/>
      <w:r>
        <w:rPr>
          <w:highlight w:val="white"/>
        </w:rPr>
        <w:t xml:space="preserve"> </w:t>
      </w:r>
      <w:proofErr w:type="spellStart"/>
      <w:r>
        <w:rPr>
          <w:highlight w:val="white"/>
        </w:rPr>
        <w:t>this</w:t>
      </w:r>
      <w:proofErr w:type="spellEnd"/>
      <w:r>
        <w:rPr>
          <w:highlight w:val="white"/>
        </w:rPr>
        <w:t xml:space="preserve"> </w:t>
      </w:r>
      <w:proofErr w:type="spellStart"/>
      <w:r>
        <w:rPr>
          <w:highlight w:val="white"/>
        </w:rPr>
        <w:t>way</w:t>
      </w:r>
      <w:proofErr w:type="spellEnd"/>
      <w:r>
        <w:rPr>
          <w:highlight w:val="white"/>
        </w:rPr>
        <w:t xml:space="preserve">, an </w:t>
      </w:r>
      <w:proofErr w:type="spellStart"/>
      <w:r>
        <w:rPr>
          <w:highlight w:val="white"/>
        </w:rPr>
        <w:t>evaluation</w:t>
      </w:r>
      <w:proofErr w:type="spellEnd"/>
      <w:r>
        <w:rPr>
          <w:highlight w:val="white"/>
        </w:rPr>
        <w:t xml:space="preserve"> </w:t>
      </w:r>
      <w:proofErr w:type="spellStart"/>
      <w:r>
        <w:rPr>
          <w:highlight w:val="white"/>
        </w:rPr>
        <w:t>will</w:t>
      </w:r>
      <w:proofErr w:type="spellEnd"/>
      <w:r>
        <w:rPr>
          <w:highlight w:val="white"/>
        </w:rPr>
        <w:t xml:space="preserve"> be </w:t>
      </w:r>
      <w:proofErr w:type="spellStart"/>
      <w:r>
        <w:rPr>
          <w:highlight w:val="white"/>
        </w:rPr>
        <w:t>made</w:t>
      </w:r>
      <w:proofErr w:type="spellEnd"/>
      <w:r>
        <w:rPr>
          <w:highlight w:val="white"/>
        </w:rPr>
        <w:t xml:space="preserve"> </w:t>
      </w:r>
      <w:proofErr w:type="spellStart"/>
      <w:r>
        <w:rPr>
          <w:highlight w:val="white"/>
        </w:rPr>
        <w:t>regarding</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effectiveness</w:t>
      </w:r>
      <w:proofErr w:type="spellEnd"/>
      <w:r>
        <w:rPr>
          <w:highlight w:val="white"/>
        </w:rPr>
        <w:t xml:space="preserve"> of </w:t>
      </w:r>
      <w:proofErr w:type="spellStart"/>
      <w:r>
        <w:rPr>
          <w:highlight w:val="white"/>
        </w:rPr>
        <w:t>this</w:t>
      </w:r>
      <w:proofErr w:type="spellEnd"/>
      <w:r>
        <w:rPr>
          <w:highlight w:val="white"/>
        </w:rPr>
        <w:t xml:space="preserve"> </w:t>
      </w:r>
      <w:proofErr w:type="spellStart"/>
      <w:r>
        <w:rPr>
          <w:highlight w:val="white"/>
        </w:rPr>
        <w:t>pioneering</w:t>
      </w:r>
      <w:proofErr w:type="spellEnd"/>
      <w:r>
        <w:rPr>
          <w:highlight w:val="white"/>
        </w:rPr>
        <w:t xml:space="preserve"> </w:t>
      </w:r>
      <w:proofErr w:type="spellStart"/>
      <w:r>
        <w:rPr>
          <w:highlight w:val="white"/>
        </w:rPr>
        <w:t>application</w:t>
      </w:r>
      <w:proofErr w:type="spellEnd"/>
      <w:r>
        <w:rPr>
          <w:highlight w:val="white"/>
        </w:rPr>
        <w:t xml:space="preserve">, </w:t>
      </w:r>
      <w:proofErr w:type="spellStart"/>
      <w:r>
        <w:rPr>
          <w:highlight w:val="white"/>
        </w:rPr>
        <w:t>which</w:t>
      </w:r>
      <w:proofErr w:type="spellEnd"/>
      <w:r>
        <w:rPr>
          <w:highlight w:val="white"/>
        </w:rPr>
        <w:t xml:space="preserve"> Dubai has </w:t>
      </w:r>
      <w:proofErr w:type="spellStart"/>
      <w:r>
        <w:rPr>
          <w:highlight w:val="white"/>
        </w:rPr>
        <w:t>been</w:t>
      </w:r>
      <w:proofErr w:type="spellEnd"/>
      <w:r>
        <w:rPr>
          <w:highlight w:val="white"/>
        </w:rPr>
        <w:t xml:space="preserve"> </w:t>
      </w:r>
      <w:proofErr w:type="spellStart"/>
      <w:r>
        <w:rPr>
          <w:highlight w:val="white"/>
        </w:rPr>
        <w:t>implementing</w:t>
      </w:r>
      <w:proofErr w:type="spellEnd"/>
      <w:r>
        <w:rPr>
          <w:highlight w:val="white"/>
        </w:rPr>
        <w:t xml:space="preserve"> since 2017, in </w:t>
      </w:r>
      <w:proofErr w:type="spellStart"/>
      <w:r>
        <w:rPr>
          <w:highlight w:val="white"/>
        </w:rPr>
        <w:t>ensuring</w:t>
      </w:r>
      <w:proofErr w:type="spellEnd"/>
      <w:r>
        <w:rPr>
          <w:highlight w:val="white"/>
        </w:rPr>
        <w:t xml:space="preserve"> </w:t>
      </w:r>
      <w:proofErr w:type="spellStart"/>
      <w:r>
        <w:rPr>
          <w:highlight w:val="white"/>
        </w:rPr>
        <w:t>public</w:t>
      </w:r>
      <w:proofErr w:type="spellEnd"/>
      <w:r>
        <w:rPr>
          <w:highlight w:val="white"/>
        </w:rPr>
        <w:t xml:space="preserve"> </w:t>
      </w:r>
      <w:proofErr w:type="spellStart"/>
      <w:r>
        <w:rPr>
          <w:highlight w:val="white"/>
        </w:rPr>
        <w:t>security</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future</w:t>
      </w:r>
      <w:proofErr w:type="spellEnd"/>
      <w:r>
        <w:rPr>
          <w:highlight w:val="white"/>
        </w:rPr>
        <w:t>.</w:t>
      </w:r>
    </w:p>
    <w:p w14:paraId="236D47A7" w14:textId="77777777" w:rsidR="008A2109" w:rsidRDefault="008A2109" w:rsidP="008A2109">
      <w:pPr>
        <w:jc w:val="both"/>
        <w:rPr>
          <w:highlight w:val="white"/>
        </w:rPr>
      </w:pPr>
    </w:p>
    <w:p w14:paraId="113BCB45" w14:textId="77777777" w:rsidR="00CA2847" w:rsidRDefault="00CA2847" w:rsidP="008A2109">
      <w:pPr>
        <w:jc w:val="both"/>
        <w:rPr>
          <w:highlight w:val="white"/>
        </w:rPr>
      </w:pPr>
    </w:p>
    <w:p w14:paraId="561C796C" w14:textId="77777777" w:rsidR="008A2109" w:rsidRDefault="008A2109" w:rsidP="008A2109">
      <w:pPr>
        <w:jc w:val="both"/>
        <w:rPr>
          <w:b/>
          <w:highlight w:val="white"/>
        </w:rPr>
      </w:pPr>
      <w:proofErr w:type="spellStart"/>
      <w:r>
        <w:rPr>
          <w:b/>
          <w:highlight w:val="white"/>
        </w:rPr>
        <w:lastRenderedPageBreak/>
        <w:t>Conceptual</w:t>
      </w:r>
      <w:proofErr w:type="spellEnd"/>
      <w:r>
        <w:rPr>
          <w:b/>
          <w:highlight w:val="white"/>
        </w:rPr>
        <w:t xml:space="preserve"> Framework </w:t>
      </w:r>
      <w:proofErr w:type="spellStart"/>
      <w:r>
        <w:rPr>
          <w:b/>
          <w:highlight w:val="white"/>
        </w:rPr>
        <w:t>for</w:t>
      </w:r>
      <w:proofErr w:type="spellEnd"/>
      <w:r>
        <w:rPr>
          <w:b/>
          <w:highlight w:val="white"/>
        </w:rPr>
        <w:t xml:space="preserve"> </w:t>
      </w:r>
      <w:proofErr w:type="spellStart"/>
      <w:r>
        <w:rPr>
          <w:b/>
          <w:highlight w:val="white"/>
        </w:rPr>
        <w:t>Artificial</w:t>
      </w:r>
      <w:proofErr w:type="spellEnd"/>
      <w:r>
        <w:rPr>
          <w:b/>
          <w:highlight w:val="white"/>
        </w:rPr>
        <w:t xml:space="preserve"> </w:t>
      </w:r>
      <w:proofErr w:type="spellStart"/>
      <w:r>
        <w:rPr>
          <w:b/>
          <w:highlight w:val="white"/>
        </w:rPr>
        <w:t>Intelligence</w:t>
      </w:r>
      <w:proofErr w:type="spellEnd"/>
      <w:r>
        <w:rPr>
          <w:b/>
          <w:highlight w:val="white"/>
        </w:rPr>
        <w:t xml:space="preserve"> </w:t>
      </w:r>
    </w:p>
    <w:p w14:paraId="1D6B1514" w14:textId="77777777" w:rsidR="008A2109" w:rsidRDefault="008A2109" w:rsidP="008A2109">
      <w:pPr>
        <w:jc w:val="both"/>
      </w:pPr>
      <w:r>
        <w:rPr>
          <w:highlight w:val="white"/>
        </w:rPr>
        <w:t xml:space="preserve">AI, </w:t>
      </w:r>
      <w:proofErr w:type="spellStart"/>
      <w:r>
        <w:rPr>
          <w:highlight w:val="white"/>
        </w:rPr>
        <w:t>which</w:t>
      </w:r>
      <w:proofErr w:type="spellEnd"/>
      <w:r>
        <w:rPr>
          <w:highlight w:val="white"/>
        </w:rPr>
        <w:t xml:space="preserve"> </w:t>
      </w:r>
      <w:proofErr w:type="spellStart"/>
      <w:r>
        <w:rPr>
          <w:highlight w:val="white"/>
        </w:rPr>
        <w:t>was</w:t>
      </w:r>
      <w:proofErr w:type="spellEnd"/>
      <w:r>
        <w:rPr>
          <w:highlight w:val="white"/>
        </w:rPr>
        <w:t xml:space="preserve"> </w:t>
      </w:r>
      <w:proofErr w:type="spellStart"/>
      <w:r>
        <w:rPr>
          <w:highlight w:val="white"/>
        </w:rPr>
        <w:t>first</w:t>
      </w:r>
      <w:proofErr w:type="spellEnd"/>
      <w:r>
        <w:rPr>
          <w:highlight w:val="white"/>
        </w:rPr>
        <w:t xml:space="preserve"> </w:t>
      </w:r>
      <w:proofErr w:type="spellStart"/>
      <w:r>
        <w:rPr>
          <w:highlight w:val="white"/>
        </w:rPr>
        <w:t>used</w:t>
      </w:r>
      <w:proofErr w:type="spellEnd"/>
      <w:r>
        <w:rPr>
          <w:highlight w:val="white"/>
        </w:rPr>
        <w:t xml:space="preserve"> </w:t>
      </w:r>
      <w:proofErr w:type="spellStart"/>
      <w:r>
        <w:rPr>
          <w:highlight w:val="white"/>
        </w:rPr>
        <w:t>conceptually</w:t>
      </w:r>
      <w:proofErr w:type="spellEnd"/>
      <w:r>
        <w:rPr>
          <w:highlight w:val="white"/>
        </w:rPr>
        <w:t xml:space="preserve"> in 1956, </w:t>
      </w:r>
      <w:proofErr w:type="spellStart"/>
      <w:r>
        <w:rPr>
          <w:highlight w:val="white"/>
        </w:rPr>
        <w:t>was</w:t>
      </w:r>
      <w:proofErr w:type="spellEnd"/>
      <w:r>
        <w:rPr>
          <w:highlight w:val="white"/>
        </w:rPr>
        <w:t xml:space="preserve"> </w:t>
      </w:r>
      <w:proofErr w:type="spellStart"/>
      <w:r>
        <w:rPr>
          <w:highlight w:val="white"/>
        </w:rPr>
        <w:t>used</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describe</w:t>
      </w:r>
      <w:proofErr w:type="spellEnd"/>
      <w:r>
        <w:rPr>
          <w:highlight w:val="white"/>
        </w:rPr>
        <w:t xml:space="preserve"> </w:t>
      </w:r>
      <w:proofErr w:type="spellStart"/>
      <w:r>
        <w:rPr>
          <w:highlight w:val="white"/>
        </w:rPr>
        <w:t>technologies</w:t>
      </w:r>
      <w:proofErr w:type="spellEnd"/>
      <w:r>
        <w:rPr>
          <w:highlight w:val="white"/>
        </w:rPr>
        <w:t xml:space="preserve"> </w:t>
      </w:r>
      <w:proofErr w:type="spellStart"/>
      <w:r>
        <w:rPr>
          <w:highlight w:val="white"/>
        </w:rPr>
        <w:t>that</w:t>
      </w:r>
      <w:proofErr w:type="spellEnd"/>
      <w:r>
        <w:rPr>
          <w:highlight w:val="white"/>
        </w:rPr>
        <w:t xml:space="preserve"> </w:t>
      </w:r>
      <w:proofErr w:type="spellStart"/>
      <w:r>
        <w:rPr>
          <w:highlight w:val="white"/>
        </w:rPr>
        <w:t>have</w:t>
      </w:r>
      <w:proofErr w:type="spellEnd"/>
      <w:r>
        <w:rPr>
          <w:highlight w:val="white"/>
        </w:rPr>
        <w:t xml:space="preserve"> </w:t>
      </w:r>
      <w:proofErr w:type="spellStart"/>
      <w:r>
        <w:rPr>
          <w:highlight w:val="white"/>
        </w:rPr>
        <w:t>capabilities</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functions</w:t>
      </w:r>
      <w:proofErr w:type="spellEnd"/>
      <w:r>
        <w:rPr>
          <w:highlight w:val="white"/>
        </w:rPr>
        <w:t xml:space="preserve"> </w:t>
      </w:r>
      <w:proofErr w:type="spellStart"/>
      <w:r>
        <w:rPr>
          <w:highlight w:val="white"/>
        </w:rPr>
        <w:t>associated</w:t>
      </w:r>
      <w:proofErr w:type="spellEnd"/>
      <w:r>
        <w:rPr>
          <w:highlight w:val="white"/>
        </w:rPr>
        <w:t xml:space="preserve"> </w:t>
      </w:r>
      <w:proofErr w:type="spellStart"/>
      <w:r>
        <w:rPr>
          <w:highlight w:val="white"/>
        </w:rPr>
        <w:t>with</w:t>
      </w:r>
      <w:proofErr w:type="spellEnd"/>
      <w:r>
        <w:rPr>
          <w:highlight w:val="white"/>
        </w:rPr>
        <w:t xml:space="preserve"> </w:t>
      </w:r>
      <w:proofErr w:type="spellStart"/>
      <w:r>
        <w:rPr>
          <w:highlight w:val="white"/>
        </w:rPr>
        <w:t>human</w:t>
      </w:r>
      <w:proofErr w:type="spellEnd"/>
      <w:r>
        <w:rPr>
          <w:highlight w:val="white"/>
        </w:rPr>
        <w:t xml:space="preserve"> </w:t>
      </w:r>
      <w:proofErr w:type="spellStart"/>
      <w:r>
        <w:rPr>
          <w:highlight w:val="white"/>
        </w:rPr>
        <w:t>intell</w:t>
      </w:r>
      <w:r>
        <w:t>igence</w:t>
      </w:r>
      <w:proofErr w:type="spellEnd"/>
      <w:r>
        <w:t xml:space="preserve"> (</w:t>
      </w:r>
      <w:proofErr w:type="spellStart"/>
      <w:r>
        <w:t>Galloway</w:t>
      </w:r>
      <w:proofErr w:type="spellEnd"/>
      <w:r>
        <w:t xml:space="preserve"> &amp; </w:t>
      </w:r>
      <w:proofErr w:type="spellStart"/>
      <w:r>
        <w:t>Swiatek</w:t>
      </w:r>
      <w:proofErr w:type="spellEnd"/>
      <w:r>
        <w:t xml:space="preserve">, 2018, p.  1). AI is </w:t>
      </w:r>
      <w:proofErr w:type="spellStart"/>
      <w:r>
        <w:t>the</w:t>
      </w:r>
      <w:proofErr w:type="spellEnd"/>
      <w:r>
        <w:t xml:space="preserve"> </w:t>
      </w:r>
      <w:proofErr w:type="spellStart"/>
      <w:r>
        <w:t>capacity</w:t>
      </w:r>
      <w:proofErr w:type="spellEnd"/>
      <w:r>
        <w:t xml:space="preserve"> of a </w:t>
      </w:r>
      <w:proofErr w:type="spellStart"/>
      <w:r>
        <w:t>computer</w:t>
      </w:r>
      <w:proofErr w:type="spellEnd"/>
      <w:r>
        <w:t xml:space="preserve"> </w:t>
      </w:r>
      <w:proofErr w:type="spellStart"/>
      <w:r>
        <w:t>or</w:t>
      </w:r>
      <w:proofErr w:type="spellEnd"/>
      <w:r>
        <w:t xml:space="preserve"> </w:t>
      </w:r>
      <w:proofErr w:type="spellStart"/>
      <w:r>
        <w:t>computer-controlled</w:t>
      </w:r>
      <w:proofErr w:type="spellEnd"/>
      <w:r>
        <w:t xml:space="preserve"> robot </w:t>
      </w:r>
      <w:proofErr w:type="spellStart"/>
      <w:r>
        <w:t>to</w:t>
      </w:r>
      <w:proofErr w:type="spellEnd"/>
      <w:r>
        <w:t xml:space="preserve"> </w:t>
      </w:r>
      <w:proofErr w:type="spellStart"/>
      <w:r>
        <w:t>carry</w:t>
      </w:r>
      <w:proofErr w:type="spellEnd"/>
      <w:r>
        <w:t xml:space="preserve"> </w:t>
      </w:r>
      <w:proofErr w:type="spellStart"/>
      <w:r>
        <w:t>out</w:t>
      </w:r>
      <w:proofErr w:type="spellEnd"/>
      <w:r>
        <w:t xml:space="preserve"> </w:t>
      </w:r>
      <w:proofErr w:type="spellStart"/>
      <w:r>
        <w:t>actions</w:t>
      </w:r>
      <w:proofErr w:type="spellEnd"/>
      <w:r>
        <w:t xml:space="preserve"> </w:t>
      </w:r>
      <w:proofErr w:type="spellStart"/>
      <w:r>
        <w:t>often</w:t>
      </w:r>
      <w:proofErr w:type="spellEnd"/>
      <w:r>
        <w:t xml:space="preserve"> </w:t>
      </w:r>
      <w:proofErr w:type="spellStart"/>
      <w:r>
        <w:t>performed</w:t>
      </w:r>
      <w:proofErr w:type="spellEnd"/>
      <w:r>
        <w:t xml:space="preserve"> </w:t>
      </w:r>
      <w:proofErr w:type="spellStart"/>
      <w:r>
        <w:t>by</w:t>
      </w:r>
      <w:proofErr w:type="spellEnd"/>
      <w:r>
        <w:t xml:space="preserve"> </w:t>
      </w:r>
      <w:proofErr w:type="spellStart"/>
      <w:r>
        <w:t>intelligent</w:t>
      </w:r>
      <w:proofErr w:type="spellEnd"/>
      <w:r>
        <w:t xml:space="preserve"> </w:t>
      </w:r>
      <w:proofErr w:type="spellStart"/>
      <w:r>
        <w:t>entities</w:t>
      </w:r>
      <w:proofErr w:type="spellEnd"/>
      <w:r>
        <w:t xml:space="preserve">. </w:t>
      </w:r>
      <w:proofErr w:type="spellStart"/>
      <w:r>
        <w:t>The</w:t>
      </w:r>
      <w:proofErr w:type="spellEnd"/>
      <w:r>
        <w:t xml:space="preserve"> </w:t>
      </w:r>
      <w:proofErr w:type="spellStart"/>
      <w:r>
        <w:t>phrase</w:t>
      </w:r>
      <w:proofErr w:type="spellEnd"/>
      <w:r>
        <w:t xml:space="preserve"> is </w:t>
      </w:r>
      <w:proofErr w:type="spellStart"/>
      <w:r>
        <w:t>commonly</w:t>
      </w:r>
      <w:proofErr w:type="spellEnd"/>
      <w:r>
        <w:t xml:space="preserve"> </w:t>
      </w:r>
      <w:proofErr w:type="spellStart"/>
      <w:r>
        <w:t>used</w:t>
      </w:r>
      <w:proofErr w:type="spellEnd"/>
      <w:r>
        <w:t xml:space="preserve"> </w:t>
      </w:r>
      <w:proofErr w:type="spellStart"/>
      <w:r>
        <w:t>to</w:t>
      </w:r>
      <w:proofErr w:type="spellEnd"/>
      <w:r>
        <w:t xml:space="preserve"> </w:t>
      </w:r>
      <w:proofErr w:type="spellStart"/>
      <w:r>
        <w:t>describe</w:t>
      </w:r>
      <w:proofErr w:type="spellEnd"/>
      <w:r>
        <w:t xml:space="preserve"> </w:t>
      </w:r>
      <w:proofErr w:type="spellStart"/>
      <w:r>
        <w:t>the</w:t>
      </w:r>
      <w:proofErr w:type="spellEnd"/>
      <w:r>
        <w:t xml:space="preserve"> </w:t>
      </w:r>
      <w:proofErr w:type="spellStart"/>
      <w:r>
        <w:t>endeavor</w:t>
      </w:r>
      <w:proofErr w:type="spellEnd"/>
      <w:r>
        <w:t xml:space="preserve"> of </w:t>
      </w:r>
      <w:proofErr w:type="spellStart"/>
      <w:r>
        <w:t>creating</w:t>
      </w:r>
      <w:proofErr w:type="spellEnd"/>
      <w:r>
        <w:t xml:space="preserve"> </w:t>
      </w:r>
      <w:proofErr w:type="spellStart"/>
      <w:r>
        <w:t>systems</w:t>
      </w:r>
      <w:proofErr w:type="spellEnd"/>
      <w:r>
        <w:t xml:space="preserve"> </w:t>
      </w:r>
      <w:proofErr w:type="spellStart"/>
      <w:r>
        <w:t>that</w:t>
      </w:r>
      <w:proofErr w:type="spellEnd"/>
      <w:r>
        <w:t xml:space="preserve"> </w:t>
      </w:r>
      <w:proofErr w:type="spellStart"/>
      <w:r>
        <w:t>possess</w:t>
      </w:r>
      <w:proofErr w:type="spellEnd"/>
      <w:r>
        <w:t xml:space="preserve"> </w:t>
      </w:r>
      <w:proofErr w:type="spellStart"/>
      <w:r>
        <w:t>the</w:t>
      </w:r>
      <w:proofErr w:type="spellEnd"/>
      <w:r>
        <w:t xml:space="preserve"> </w:t>
      </w:r>
      <w:proofErr w:type="spellStart"/>
      <w:r>
        <w:t>cognitive</w:t>
      </w:r>
      <w:proofErr w:type="spellEnd"/>
      <w:r>
        <w:t xml:space="preserve"> </w:t>
      </w:r>
      <w:proofErr w:type="spellStart"/>
      <w:r>
        <w:t>functions</w:t>
      </w:r>
      <w:proofErr w:type="spellEnd"/>
      <w:r>
        <w:t xml:space="preserve"> </w:t>
      </w:r>
      <w:proofErr w:type="spellStart"/>
      <w:r>
        <w:t>that</w:t>
      </w:r>
      <w:proofErr w:type="spellEnd"/>
      <w:r>
        <w:t xml:space="preserve"> </w:t>
      </w:r>
      <w:proofErr w:type="spellStart"/>
      <w:r>
        <w:t>distinguish</w:t>
      </w:r>
      <w:proofErr w:type="spellEnd"/>
      <w:r>
        <w:t xml:space="preserve"> </w:t>
      </w:r>
      <w:proofErr w:type="spellStart"/>
      <w:r>
        <w:t>humans</w:t>
      </w:r>
      <w:proofErr w:type="spellEnd"/>
      <w:r>
        <w:t xml:space="preserve">, </w:t>
      </w:r>
      <w:proofErr w:type="spellStart"/>
      <w:r>
        <w:t>including</w:t>
      </w:r>
      <w:proofErr w:type="spellEnd"/>
      <w:r>
        <w:t xml:space="preserve"> </w:t>
      </w:r>
      <w:proofErr w:type="spellStart"/>
      <w:r>
        <w:t>reasoning</w:t>
      </w:r>
      <w:proofErr w:type="spellEnd"/>
      <w:r>
        <w:t xml:space="preserve">, </w:t>
      </w:r>
      <w:proofErr w:type="spellStart"/>
      <w:r>
        <w:t>meaning-finding</w:t>
      </w:r>
      <w:proofErr w:type="spellEnd"/>
      <w:r>
        <w:t xml:space="preserve">, </w:t>
      </w:r>
      <w:proofErr w:type="spellStart"/>
      <w:r>
        <w:t>generalization</w:t>
      </w:r>
      <w:proofErr w:type="spellEnd"/>
      <w:r>
        <w:t xml:space="preserve">, </w:t>
      </w:r>
      <w:proofErr w:type="spellStart"/>
      <w:r>
        <w:t>and</w:t>
      </w:r>
      <w:proofErr w:type="spellEnd"/>
      <w:r>
        <w:t xml:space="preserve"> </w:t>
      </w:r>
      <w:proofErr w:type="spellStart"/>
      <w:r>
        <w:t>experience-based</w:t>
      </w:r>
      <w:proofErr w:type="spellEnd"/>
      <w:r>
        <w:t xml:space="preserve"> </w:t>
      </w:r>
      <w:proofErr w:type="spellStart"/>
      <w:r>
        <w:t>learning</w:t>
      </w:r>
      <w:proofErr w:type="spellEnd"/>
      <w:r>
        <w:t xml:space="preserve"> (</w:t>
      </w:r>
      <w:proofErr w:type="spellStart"/>
      <w:r>
        <w:t>Britannica</w:t>
      </w:r>
      <w:proofErr w:type="spellEnd"/>
      <w:r>
        <w:t>, 2025).</w:t>
      </w:r>
    </w:p>
    <w:p w14:paraId="301468DF" w14:textId="77777777" w:rsidR="008A2109" w:rsidRDefault="008A2109" w:rsidP="008A2109">
      <w:pPr>
        <w:jc w:val="both"/>
        <w:rPr>
          <w:bCs/>
        </w:rPr>
      </w:pPr>
      <w:proofErr w:type="spellStart"/>
      <w:r>
        <w:t>According</w:t>
      </w:r>
      <w:proofErr w:type="spellEnd"/>
      <w:r>
        <w:t xml:space="preserve"> </w:t>
      </w:r>
      <w:proofErr w:type="spellStart"/>
      <w:r>
        <w:t>to</w:t>
      </w:r>
      <w:proofErr w:type="spellEnd"/>
      <w:r>
        <w:t xml:space="preserve"> McCarthy (2007, </w:t>
      </w:r>
      <w:proofErr w:type="spellStart"/>
      <w:r>
        <w:t>pp</w:t>
      </w:r>
      <w:proofErr w:type="spellEnd"/>
      <w:r>
        <w:t xml:space="preserve">. 2-7), AI is </w:t>
      </w:r>
      <w:proofErr w:type="spellStart"/>
      <w:r>
        <w:t>the</w:t>
      </w:r>
      <w:proofErr w:type="spellEnd"/>
      <w:r>
        <w:t xml:space="preserve"> </w:t>
      </w:r>
      <w:proofErr w:type="spellStart"/>
      <w:r>
        <w:t>science</w:t>
      </w:r>
      <w:proofErr w:type="spellEnd"/>
      <w:r>
        <w:t xml:space="preserve"> </w:t>
      </w:r>
      <w:proofErr w:type="spellStart"/>
      <w:r>
        <w:t>and</w:t>
      </w:r>
      <w:proofErr w:type="spellEnd"/>
      <w:r>
        <w:t xml:space="preserve"> </w:t>
      </w:r>
      <w:proofErr w:type="spellStart"/>
      <w:r>
        <w:t>engineering</w:t>
      </w:r>
      <w:proofErr w:type="spellEnd"/>
      <w:r>
        <w:t xml:space="preserve"> of </w:t>
      </w:r>
      <w:proofErr w:type="spellStart"/>
      <w:r>
        <w:t>producing</w:t>
      </w:r>
      <w:proofErr w:type="spellEnd"/>
      <w:r>
        <w:t xml:space="preserve"> </w:t>
      </w:r>
      <w:proofErr w:type="spellStart"/>
      <w:r>
        <w:t>intelligent</w:t>
      </w:r>
      <w:proofErr w:type="spellEnd"/>
      <w:r>
        <w:t xml:space="preserve"> </w:t>
      </w:r>
      <w:proofErr w:type="spellStart"/>
      <w:r>
        <w:t>machines</w:t>
      </w:r>
      <w:proofErr w:type="spellEnd"/>
      <w:r>
        <w:t xml:space="preserve">, </w:t>
      </w:r>
      <w:proofErr w:type="spellStart"/>
      <w:r>
        <w:t>especially</w:t>
      </w:r>
      <w:proofErr w:type="spellEnd"/>
      <w:r>
        <w:t xml:space="preserve"> </w:t>
      </w:r>
      <w:proofErr w:type="spellStart"/>
      <w:r>
        <w:t>intelligent</w:t>
      </w:r>
      <w:proofErr w:type="spellEnd"/>
      <w:r>
        <w:t xml:space="preserve"> </w:t>
      </w:r>
      <w:proofErr w:type="spellStart"/>
      <w:r>
        <w:t>co</w:t>
      </w:r>
      <w:r>
        <w:rPr>
          <w:highlight w:val="white"/>
        </w:rPr>
        <w:t>mputer</w:t>
      </w:r>
      <w:proofErr w:type="spellEnd"/>
      <w:r>
        <w:rPr>
          <w:highlight w:val="white"/>
        </w:rPr>
        <w:t xml:space="preserve"> </w:t>
      </w:r>
      <w:proofErr w:type="spellStart"/>
      <w:r>
        <w:rPr>
          <w:highlight w:val="white"/>
        </w:rPr>
        <w:t>programs</w:t>
      </w:r>
      <w:proofErr w:type="spellEnd"/>
      <w:r>
        <w:rPr>
          <w:highlight w:val="white"/>
        </w:rPr>
        <w:t xml:space="preserve">. </w:t>
      </w:r>
      <w:proofErr w:type="spellStart"/>
      <w:r>
        <w:rPr>
          <w:highlight w:val="white"/>
        </w:rPr>
        <w:t>What</w:t>
      </w:r>
      <w:proofErr w:type="spellEnd"/>
      <w:r>
        <w:rPr>
          <w:highlight w:val="white"/>
        </w:rPr>
        <w:t xml:space="preserve"> is </w:t>
      </w:r>
      <w:proofErr w:type="spellStart"/>
      <w:r>
        <w:rPr>
          <w:highlight w:val="white"/>
        </w:rPr>
        <w:t>intended</w:t>
      </w:r>
      <w:proofErr w:type="spellEnd"/>
      <w:r>
        <w:rPr>
          <w:highlight w:val="white"/>
        </w:rPr>
        <w:t xml:space="preserve"> </w:t>
      </w:r>
      <w:proofErr w:type="spellStart"/>
      <w:r>
        <w:rPr>
          <w:highlight w:val="white"/>
        </w:rPr>
        <w:t>to</w:t>
      </w:r>
      <w:proofErr w:type="spellEnd"/>
      <w:r>
        <w:rPr>
          <w:highlight w:val="white"/>
        </w:rPr>
        <w:t xml:space="preserve"> be </w:t>
      </w:r>
      <w:proofErr w:type="gramStart"/>
      <w:r w:rsidRPr="00DB75EB">
        <w:rPr>
          <w:highlight w:val="white"/>
        </w:rPr>
        <w:t>done</w:t>
      </w:r>
      <w:proofErr w:type="gramEnd"/>
      <w:r>
        <w:rPr>
          <w:highlight w:val="white"/>
        </w:rPr>
        <w:t xml:space="preserve"> </w:t>
      </w:r>
      <w:proofErr w:type="spellStart"/>
      <w:r>
        <w:rPr>
          <w:highlight w:val="white"/>
        </w:rPr>
        <w:t>with</w:t>
      </w:r>
      <w:proofErr w:type="spellEnd"/>
      <w:r>
        <w:rPr>
          <w:highlight w:val="white"/>
        </w:rPr>
        <w:t xml:space="preserve"> AI is </w:t>
      </w:r>
      <w:proofErr w:type="spellStart"/>
      <w:r>
        <w:rPr>
          <w:highlight w:val="white"/>
        </w:rPr>
        <w:t>to</w:t>
      </w:r>
      <w:proofErr w:type="spellEnd"/>
      <w:r>
        <w:rPr>
          <w:highlight w:val="white"/>
        </w:rPr>
        <w:t xml:space="preserve"> </w:t>
      </w:r>
      <w:proofErr w:type="spellStart"/>
      <w:r>
        <w:rPr>
          <w:highlight w:val="white"/>
        </w:rPr>
        <w:t>create</w:t>
      </w:r>
      <w:proofErr w:type="spellEnd"/>
      <w:r>
        <w:rPr>
          <w:highlight w:val="white"/>
        </w:rPr>
        <w:t xml:space="preserve"> </w:t>
      </w:r>
      <w:proofErr w:type="spellStart"/>
      <w:r>
        <w:rPr>
          <w:highlight w:val="white"/>
        </w:rPr>
        <w:t>computer</w:t>
      </w:r>
      <w:proofErr w:type="spellEnd"/>
      <w:r>
        <w:rPr>
          <w:highlight w:val="white"/>
        </w:rPr>
        <w:t xml:space="preserve"> </w:t>
      </w:r>
      <w:proofErr w:type="spellStart"/>
      <w:r>
        <w:rPr>
          <w:highlight w:val="white"/>
        </w:rPr>
        <w:t>programs</w:t>
      </w:r>
      <w:proofErr w:type="spellEnd"/>
      <w:r>
        <w:rPr>
          <w:highlight w:val="white"/>
        </w:rPr>
        <w:t xml:space="preserve"> </w:t>
      </w:r>
      <w:proofErr w:type="spellStart"/>
      <w:r>
        <w:rPr>
          <w:highlight w:val="white"/>
        </w:rPr>
        <w:t>that</w:t>
      </w:r>
      <w:proofErr w:type="spellEnd"/>
      <w:r>
        <w:rPr>
          <w:highlight w:val="white"/>
        </w:rPr>
        <w:t xml:space="preserve"> can </w:t>
      </w:r>
      <w:proofErr w:type="spellStart"/>
      <w:r>
        <w:rPr>
          <w:highlight w:val="white"/>
        </w:rPr>
        <w:t>solve</w:t>
      </w:r>
      <w:proofErr w:type="spellEnd"/>
      <w:r>
        <w:rPr>
          <w:highlight w:val="white"/>
        </w:rPr>
        <w:t xml:space="preserve"> </w:t>
      </w:r>
      <w:proofErr w:type="spellStart"/>
      <w:r>
        <w:rPr>
          <w:highlight w:val="white"/>
        </w:rPr>
        <w:t>problems</w:t>
      </w:r>
      <w:proofErr w:type="spellEnd"/>
      <w:r>
        <w:rPr>
          <w:highlight w:val="white"/>
        </w:rPr>
        <w:t xml:space="preserve"> in </w:t>
      </w:r>
      <w:proofErr w:type="spellStart"/>
      <w:r>
        <w:rPr>
          <w:highlight w:val="white"/>
        </w:rPr>
        <w:t>the</w:t>
      </w:r>
      <w:proofErr w:type="spellEnd"/>
      <w:r>
        <w:rPr>
          <w:highlight w:val="white"/>
        </w:rPr>
        <w:t xml:space="preserve"> </w:t>
      </w:r>
      <w:proofErr w:type="spellStart"/>
      <w:r>
        <w:rPr>
          <w:highlight w:val="white"/>
        </w:rPr>
        <w:t>world</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achieve</w:t>
      </w:r>
      <w:proofErr w:type="spellEnd"/>
      <w:r>
        <w:rPr>
          <w:highlight w:val="white"/>
        </w:rPr>
        <w:t xml:space="preserve"> </w:t>
      </w:r>
      <w:proofErr w:type="spellStart"/>
      <w:r>
        <w:rPr>
          <w:highlight w:val="white"/>
        </w:rPr>
        <w:t>goals</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have</w:t>
      </w:r>
      <w:proofErr w:type="spellEnd"/>
      <w:r>
        <w:rPr>
          <w:highlight w:val="white"/>
        </w:rPr>
        <w:t xml:space="preserve"> </w:t>
      </w:r>
      <w:proofErr w:type="spellStart"/>
      <w:r>
        <w:rPr>
          <w:highlight w:val="white"/>
        </w:rPr>
        <w:t>algorithms</w:t>
      </w:r>
      <w:proofErr w:type="spellEnd"/>
      <w:r>
        <w:rPr>
          <w:highlight w:val="white"/>
        </w:rPr>
        <w:t xml:space="preserve"> as </w:t>
      </w:r>
      <w:proofErr w:type="spellStart"/>
      <w:r>
        <w:rPr>
          <w:highlight w:val="white"/>
        </w:rPr>
        <w:t>capable</w:t>
      </w:r>
      <w:proofErr w:type="spellEnd"/>
      <w:r>
        <w:rPr>
          <w:highlight w:val="white"/>
        </w:rPr>
        <w:t xml:space="preserve"> as </w:t>
      </w:r>
      <w:proofErr w:type="spellStart"/>
      <w:r>
        <w:rPr>
          <w:highlight w:val="white"/>
        </w:rPr>
        <w:t>humans</w:t>
      </w:r>
      <w:proofErr w:type="spellEnd"/>
      <w:r>
        <w:rPr>
          <w:highlight w:val="white"/>
        </w:rPr>
        <w:t>. AI-</w:t>
      </w:r>
      <w:proofErr w:type="spellStart"/>
      <w:r>
        <w:rPr>
          <w:highlight w:val="white"/>
        </w:rPr>
        <w:t>based</w:t>
      </w:r>
      <w:proofErr w:type="spellEnd"/>
      <w:r>
        <w:rPr>
          <w:highlight w:val="white"/>
        </w:rPr>
        <w:t xml:space="preserve"> </w:t>
      </w:r>
      <w:proofErr w:type="gramStart"/>
      <w:r>
        <w:rPr>
          <w:highlight w:val="white"/>
        </w:rPr>
        <w:t>software</w:t>
      </w:r>
      <w:proofErr w:type="gramEnd"/>
      <w:r>
        <w:rPr>
          <w:highlight w:val="white"/>
        </w:rPr>
        <w:t xml:space="preserve"> can </w:t>
      </w:r>
      <w:proofErr w:type="spellStart"/>
      <w:r>
        <w:rPr>
          <w:highlight w:val="white"/>
        </w:rPr>
        <w:t>learn</w:t>
      </w:r>
      <w:proofErr w:type="spellEnd"/>
      <w:r>
        <w:rPr>
          <w:highlight w:val="white"/>
        </w:rPr>
        <w:t xml:space="preserve"> on</w:t>
      </w:r>
      <w:r>
        <w:t xml:space="preserve"> </w:t>
      </w:r>
      <w:proofErr w:type="spellStart"/>
      <w:r>
        <w:t>its</w:t>
      </w:r>
      <w:proofErr w:type="spellEnd"/>
      <w:r>
        <w:t xml:space="preserve"> </w:t>
      </w:r>
      <w:proofErr w:type="spellStart"/>
      <w:r>
        <w:t>own</w:t>
      </w:r>
      <w:proofErr w:type="spellEnd"/>
      <w:r>
        <w:t xml:space="preserve"> (</w:t>
      </w:r>
      <w:proofErr w:type="spellStart"/>
      <w:r>
        <w:t>Leyer</w:t>
      </w:r>
      <w:proofErr w:type="spellEnd"/>
      <w:r>
        <w:t xml:space="preserve"> </w:t>
      </w:r>
      <w:proofErr w:type="spellStart"/>
      <w:r>
        <w:t>and</w:t>
      </w:r>
      <w:proofErr w:type="spellEnd"/>
      <w:r>
        <w:t xml:space="preserve"> Schneider, 2021). </w:t>
      </w:r>
      <w:proofErr w:type="spellStart"/>
      <w:r w:rsidRPr="00F24332">
        <w:rPr>
          <w:bCs/>
        </w:rPr>
        <w:t>Figure</w:t>
      </w:r>
      <w:proofErr w:type="spellEnd"/>
      <w:r w:rsidRPr="00F24332">
        <w:rPr>
          <w:bCs/>
        </w:rPr>
        <w:t xml:space="preserve"> </w:t>
      </w:r>
      <w:r>
        <w:rPr>
          <w:bCs/>
        </w:rPr>
        <w:t>1</w:t>
      </w:r>
      <w:r w:rsidRPr="00F24332">
        <w:rPr>
          <w:bCs/>
        </w:rPr>
        <w:t xml:space="preserve"> </w:t>
      </w:r>
      <w:proofErr w:type="spellStart"/>
      <w:r w:rsidRPr="00F24332">
        <w:rPr>
          <w:bCs/>
        </w:rPr>
        <w:t>shows</w:t>
      </w:r>
      <w:proofErr w:type="spellEnd"/>
      <w:r w:rsidRPr="00F24332">
        <w:rPr>
          <w:bCs/>
        </w:rPr>
        <w:t xml:space="preserve"> </w:t>
      </w:r>
      <w:proofErr w:type="spellStart"/>
      <w:r w:rsidRPr="00F24332">
        <w:rPr>
          <w:bCs/>
        </w:rPr>
        <w:t>the</w:t>
      </w:r>
      <w:proofErr w:type="spellEnd"/>
      <w:r w:rsidRPr="00F24332">
        <w:rPr>
          <w:bCs/>
        </w:rPr>
        <w:t xml:space="preserve"> main </w:t>
      </w:r>
      <w:proofErr w:type="spellStart"/>
      <w:r w:rsidRPr="00F24332">
        <w:rPr>
          <w:bCs/>
        </w:rPr>
        <w:t>characteristics</w:t>
      </w:r>
      <w:proofErr w:type="spellEnd"/>
      <w:r w:rsidRPr="00F24332">
        <w:rPr>
          <w:bCs/>
        </w:rPr>
        <w:t xml:space="preserve"> of AI</w:t>
      </w:r>
      <w:r>
        <w:rPr>
          <w:bCs/>
        </w:rPr>
        <w:t>.</w:t>
      </w:r>
    </w:p>
    <w:p w14:paraId="1A080D3A" w14:textId="77777777" w:rsidR="008A2109" w:rsidRPr="00505507" w:rsidRDefault="008A2109" w:rsidP="008A2109">
      <w:pPr>
        <w:jc w:val="both"/>
        <w:rPr>
          <w:highlight w:val="white"/>
        </w:rPr>
      </w:pPr>
    </w:p>
    <w:p w14:paraId="41F03839" w14:textId="77777777" w:rsidR="008A2109" w:rsidRPr="00F24332" w:rsidRDefault="008A2109" w:rsidP="008A2109">
      <w:pPr>
        <w:ind w:left="1440" w:firstLine="720"/>
        <w:jc w:val="both"/>
        <w:rPr>
          <w:b/>
        </w:rPr>
      </w:pPr>
      <w:proofErr w:type="spellStart"/>
      <w:r w:rsidRPr="00F24332">
        <w:rPr>
          <w:b/>
        </w:rPr>
        <w:t>Figure</w:t>
      </w:r>
      <w:proofErr w:type="spellEnd"/>
      <w:r>
        <w:rPr>
          <w:b/>
        </w:rPr>
        <w:t xml:space="preserve"> 1: </w:t>
      </w:r>
      <w:proofErr w:type="spellStart"/>
      <w:r w:rsidRPr="00F24332">
        <w:rPr>
          <w:b/>
        </w:rPr>
        <w:t>Key</w:t>
      </w:r>
      <w:proofErr w:type="spellEnd"/>
      <w:r w:rsidRPr="00F24332">
        <w:rPr>
          <w:b/>
        </w:rPr>
        <w:t xml:space="preserve"> </w:t>
      </w:r>
      <w:proofErr w:type="spellStart"/>
      <w:r w:rsidRPr="00F24332">
        <w:rPr>
          <w:b/>
        </w:rPr>
        <w:t>Characteristics</w:t>
      </w:r>
      <w:proofErr w:type="spellEnd"/>
      <w:r w:rsidRPr="00F24332">
        <w:rPr>
          <w:b/>
        </w:rPr>
        <w:t xml:space="preserve"> of AI.</w:t>
      </w:r>
    </w:p>
    <w:p w14:paraId="37A9A77E" w14:textId="77777777" w:rsidR="008A2109" w:rsidRDefault="008A2109" w:rsidP="008A2109">
      <w:pPr>
        <w:jc w:val="both"/>
        <w:rPr>
          <w:b/>
        </w:rPr>
      </w:pPr>
      <w:r w:rsidRPr="008E4C81">
        <w:rPr>
          <w:b/>
          <w:noProof/>
        </w:rPr>
        <w:drawing>
          <wp:inline distT="0" distB="0" distL="0" distR="0" wp14:anchorId="0CCA689A" wp14:editId="4C1B9D35">
            <wp:extent cx="5313680" cy="2461260"/>
            <wp:effectExtent l="0" t="0" r="0" b="15240"/>
            <wp:docPr id="1668628364" name="Diyagram 1">
              <a:extLst xmlns:a="http://schemas.openxmlformats.org/drawingml/2006/main">
                <a:ext uri="{FF2B5EF4-FFF2-40B4-BE49-F238E27FC236}">
                  <a16:creationId xmlns:a16="http://schemas.microsoft.com/office/drawing/2014/main" id="{3E742E7F-8D96-3F66-98C1-6A5A73ED7CD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2" r:lo="rId273" r:qs="rId274" r:cs="rId275"/>
              </a:graphicData>
            </a:graphic>
          </wp:inline>
        </w:drawing>
      </w:r>
    </w:p>
    <w:p w14:paraId="028B5CE0" w14:textId="77777777" w:rsidR="008A2109" w:rsidRPr="005C2BE1" w:rsidRDefault="008A2109" w:rsidP="008A2109">
      <w:pPr>
        <w:jc w:val="both"/>
        <w:rPr>
          <w:bCs/>
          <w:sz w:val="18"/>
          <w:szCs w:val="18"/>
        </w:rPr>
      </w:pPr>
      <w:r>
        <w:rPr>
          <w:b/>
        </w:rPr>
        <w:t xml:space="preserve">  </w:t>
      </w:r>
      <w:r w:rsidRPr="004702E1">
        <w:rPr>
          <w:bCs/>
          <w:sz w:val="18"/>
          <w:szCs w:val="18"/>
        </w:rPr>
        <w:t>Reference:</w:t>
      </w:r>
      <w:r w:rsidRPr="00386321">
        <w:rPr>
          <w:bCs/>
          <w:sz w:val="18"/>
          <w:szCs w:val="18"/>
        </w:rPr>
        <w:t xml:space="preserve"> </w:t>
      </w:r>
      <w:proofErr w:type="spellStart"/>
      <w:r w:rsidRPr="00386321">
        <w:rPr>
          <w:bCs/>
          <w:sz w:val="18"/>
          <w:szCs w:val="18"/>
        </w:rPr>
        <w:t>Bhumichai</w:t>
      </w:r>
      <w:proofErr w:type="spellEnd"/>
      <w:r w:rsidRPr="00386321">
        <w:rPr>
          <w:bCs/>
          <w:sz w:val="18"/>
          <w:szCs w:val="18"/>
        </w:rPr>
        <w:t xml:space="preserve">, et. </w:t>
      </w:r>
      <w:proofErr w:type="spellStart"/>
      <w:proofErr w:type="gramStart"/>
      <w:r w:rsidRPr="00386321">
        <w:rPr>
          <w:bCs/>
          <w:sz w:val="18"/>
          <w:szCs w:val="18"/>
        </w:rPr>
        <w:t>all</w:t>
      </w:r>
      <w:proofErr w:type="spellEnd"/>
      <w:proofErr w:type="gramEnd"/>
      <w:r w:rsidRPr="00386321">
        <w:rPr>
          <w:bCs/>
          <w:sz w:val="18"/>
          <w:szCs w:val="18"/>
        </w:rPr>
        <w:t>, 2024</w:t>
      </w:r>
      <w:r>
        <w:rPr>
          <w:bCs/>
          <w:sz w:val="18"/>
          <w:szCs w:val="18"/>
        </w:rPr>
        <w:t>, p. 5</w:t>
      </w:r>
    </w:p>
    <w:p w14:paraId="3776B785" w14:textId="77777777" w:rsidR="008A2109" w:rsidRDefault="008A2109" w:rsidP="008A2109">
      <w:pPr>
        <w:jc w:val="both"/>
      </w:pPr>
      <w:proofErr w:type="spellStart"/>
      <w:r>
        <w:rPr>
          <w:b/>
        </w:rPr>
        <w:t>Symbolic</w:t>
      </w:r>
      <w:proofErr w:type="spellEnd"/>
      <w:r>
        <w:rPr>
          <w:b/>
        </w:rPr>
        <w:t xml:space="preserve"> </w:t>
      </w:r>
      <w:proofErr w:type="spellStart"/>
      <w:r>
        <w:rPr>
          <w:b/>
        </w:rPr>
        <w:t>Processing</w:t>
      </w:r>
      <w:proofErr w:type="spellEnd"/>
      <w:r>
        <w:rPr>
          <w:b/>
        </w:rPr>
        <w:t xml:space="preserve">: </w:t>
      </w:r>
      <w:r>
        <w:t xml:space="preserve">AI </w:t>
      </w:r>
      <w:proofErr w:type="spellStart"/>
      <w:r>
        <w:t>systems</w:t>
      </w:r>
      <w:proofErr w:type="spellEnd"/>
      <w:r>
        <w:t xml:space="preserve"> </w:t>
      </w:r>
      <w:proofErr w:type="spellStart"/>
      <w:r>
        <w:t>focus</w:t>
      </w:r>
      <w:proofErr w:type="spellEnd"/>
      <w:r>
        <w:t xml:space="preserve"> </w:t>
      </w:r>
      <w:proofErr w:type="spellStart"/>
      <w:r>
        <w:t>more</w:t>
      </w:r>
      <w:proofErr w:type="spellEnd"/>
      <w:r>
        <w:t xml:space="preserve"> on </w:t>
      </w:r>
      <w:proofErr w:type="spellStart"/>
      <w:r>
        <w:t>symbols</w:t>
      </w:r>
      <w:proofErr w:type="spellEnd"/>
      <w:r>
        <w:t xml:space="preserve"> </w:t>
      </w:r>
      <w:proofErr w:type="spellStart"/>
      <w:r>
        <w:t>than</w:t>
      </w:r>
      <w:proofErr w:type="spellEnd"/>
      <w:r>
        <w:t xml:space="preserve"> on </w:t>
      </w:r>
      <w:proofErr w:type="spellStart"/>
      <w:r>
        <w:t>letters</w:t>
      </w:r>
      <w:proofErr w:type="spellEnd"/>
      <w:r>
        <w:t xml:space="preserve"> </w:t>
      </w:r>
      <w:proofErr w:type="spellStart"/>
      <w:r>
        <w:t>or</w:t>
      </w:r>
      <w:proofErr w:type="spellEnd"/>
      <w:r>
        <w:t xml:space="preserve"> </w:t>
      </w:r>
      <w:proofErr w:type="spellStart"/>
      <w:r>
        <w:t>numbers</w:t>
      </w:r>
      <w:proofErr w:type="spellEnd"/>
      <w:r>
        <w:t xml:space="preserve">.   Objects, </w:t>
      </w:r>
      <w:proofErr w:type="spellStart"/>
      <w:r>
        <w:t>events</w:t>
      </w:r>
      <w:proofErr w:type="spellEnd"/>
      <w:r>
        <w:t xml:space="preserve"> </w:t>
      </w:r>
      <w:proofErr w:type="spellStart"/>
      <w:r>
        <w:t>and</w:t>
      </w:r>
      <w:proofErr w:type="spellEnd"/>
      <w:r>
        <w:t xml:space="preserve"> </w:t>
      </w:r>
      <w:proofErr w:type="spellStart"/>
      <w:r>
        <w:t>environments</w:t>
      </w:r>
      <w:proofErr w:type="spellEnd"/>
      <w:r>
        <w:t xml:space="preserve"> in </w:t>
      </w:r>
      <w:proofErr w:type="spellStart"/>
      <w:r>
        <w:t>the</w:t>
      </w:r>
      <w:proofErr w:type="spellEnd"/>
      <w:r>
        <w:t xml:space="preserve"> </w:t>
      </w:r>
      <w:proofErr w:type="spellStart"/>
      <w:r>
        <w:t>world</w:t>
      </w:r>
      <w:proofErr w:type="spellEnd"/>
      <w:r>
        <w:t xml:space="preserve"> </w:t>
      </w:r>
      <w:proofErr w:type="spellStart"/>
      <w:r>
        <w:t>are</w:t>
      </w:r>
      <w:proofErr w:type="spellEnd"/>
      <w:r>
        <w:t xml:space="preserve"> </w:t>
      </w:r>
      <w:proofErr w:type="spellStart"/>
      <w:r>
        <w:t>transformed</w:t>
      </w:r>
      <w:proofErr w:type="spellEnd"/>
      <w:r>
        <w:t xml:space="preserve"> </w:t>
      </w:r>
      <w:proofErr w:type="spellStart"/>
      <w:r>
        <w:t>and</w:t>
      </w:r>
      <w:proofErr w:type="spellEnd"/>
      <w:r>
        <w:t xml:space="preserve"> </w:t>
      </w:r>
      <w:proofErr w:type="spellStart"/>
      <w:r>
        <w:t>represented</w:t>
      </w:r>
      <w:proofErr w:type="spellEnd"/>
      <w:r>
        <w:t xml:space="preserve"> </w:t>
      </w:r>
      <w:proofErr w:type="spellStart"/>
      <w:r>
        <w:t>through</w:t>
      </w:r>
      <w:proofErr w:type="spellEnd"/>
      <w:r>
        <w:t xml:space="preserve"> </w:t>
      </w:r>
      <w:proofErr w:type="spellStart"/>
      <w:r>
        <w:t>strings</w:t>
      </w:r>
      <w:proofErr w:type="spellEnd"/>
      <w:r w:rsidRPr="00F24332">
        <w:t xml:space="preserve"> (</w:t>
      </w:r>
      <w:proofErr w:type="spellStart"/>
      <w:r w:rsidRPr="00F24332">
        <w:t>Greff</w:t>
      </w:r>
      <w:proofErr w:type="spellEnd"/>
      <w:r w:rsidRPr="00F24332">
        <w:t xml:space="preserve">, Van </w:t>
      </w:r>
      <w:proofErr w:type="spellStart"/>
      <w:r w:rsidRPr="00F24332">
        <w:t>Steenkiste</w:t>
      </w:r>
      <w:proofErr w:type="spellEnd"/>
      <w:r w:rsidRPr="00F24332">
        <w:t xml:space="preserve"> &amp; </w:t>
      </w:r>
      <w:proofErr w:type="spellStart"/>
      <w:r w:rsidRPr="00566FAF">
        <w:t>Schmidhuber</w:t>
      </w:r>
      <w:proofErr w:type="spellEnd"/>
      <w:r w:rsidRPr="00566FAF">
        <w:t xml:space="preserve">, 2020; </w:t>
      </w:r>
      <w:proofErr w:type="spellStart"/>
      <w:r w:rsidRPr="00566FAF">
        <w:t>Bootpoot</w:t>
      </w:r>
      <w:proofErr w:type="spellEnd"/>
      <w:r w:rsidRPr="00566FAF">
        <w:t>, 2023).</w:t>
      </w:r>
    </w:p>
    <w:p w14:paraId="0A133D2D" w14:textId="77777777" w:rsidR="008A2109" w:rsidRPr="00566FAF" w:rsidRDefault="008A2109" w:rsidP="008A2109">
      <w:pPr>
        <w:jc w:val="both"/>
      </w:pPr>
    </w:p>
    <w:p w14:paraId="606B415C" w14:textId="77777777" w:rsidR="008A2109" w:rsidRDefault="008A2109" w:rsidP="008A2109">
      <w:pPr>
        <w:jc w:val="both"/>
      </w:pPr>
      <w:proofErr w:type="spellStart"/>
      <w:r>
        <w:rPr>
          <w:b/>
        </w:rPr>
        <w:t>Non-Algorithmic</w:t>
      </w:r>
      <w:proofErr w:type="spellEnd"/>
      <w:r>
        <w:rPr>
          <w:b/>
        </w:rPr>
        <w:t>:</w:t>
      </w:r>
      <w:r>
        <w:t xml:space="preserve"> </w:t>
      </w:r>
      <w:proofErr w:type="spellStart"/>
      <w:r>
        <w:t>Conventional</w:t>
      </w:r>
      <w:proofErr w:type="spellEnd"/>
      <w:r>
        <w:t xml:space="preserve"> </w:t>
      </w:r>
      <w:proofErr w:type="spellStart"/>
      <w:r>
        <w:t>computer</w:t>
      </w:r>
      <w:proofErr w:type="spellEnd"/>
      <w:r>
        <w:t xml:space="preserve"> </w:t>
      </w:r>
      <w:proofErr w:type="spellStart"/>
      <w:r>
        <w:t>programs</w:t>
      </w:r>
      <w:proofErr w:type="spellEnd"/>
      <w:r>
        <w:t xml:space="preserve"> </w:t>
      </w:r>
      <w:proofErr w:type="spellStart"/>
      <w:r>
        <w:t>use</w:t>
      </w:r>
      <w:proofErr w:type="spellEnd"/>
      <w:r>
        <w:t xml:space="preserve"> </w:t>
      </w:r>
      <w:proofErr w:type="spellStart"/>
      <w:r>
        <w:t>preset</w:t>
      </w:r>
      <w:proofErr w:type="spellEnd"/>
      <w:r>
        <w:t xml:space="preserve"> </w:t>
      </w:r>
      <w:proofErr w:type="spellStart"/>
      <w:r>
        <w:t>algorithms</w:t>
      </w:r>
      <w:proofErr w:type="spellEnd"/>
      <w:r>
        <w:t xml:space="preserve">, </w:t>
      </w:r>
      <w:proofErr w:type="spellStart"/>
      <w:r>
        <w:t>requiring</w:t>
      </w:r>
      <w:proofErr w:type="spellEnd"/>
      <w:r>
        <w:t xml:space="preserve"> </w:t>
      </w:r>
      <w:proofErr w:type="spellStart"/>
      <w:r>
        <w:t>manual</w:t>
      </w:r>
      <w:proofErr w:type="spellEnd"/>
      <w:r>
        <w:t xml:space="preserve"> </w:t>
      </w:r>
      <w:proofErr w:type="spellStart"/>
      <w:r>
        <w:t>guidance</w:t>
      </w:r>
      <w:proofErr w:type="spellEnd"/>
      <w:r>
        <w:t xml:space="preserve"> at </w:t>
      </w:r>
      <w:proofErr w:type="spellStart"/>
      <w:r>
        <w:t>every</w:t>
      </w:r>
      <w:proofErr w:type="spellEnd"/>
      <w:r>
        <w:t xml:space="preserve"> </w:t>
      </w:r>
      <w:proofErr w:type="spellStart"/>
      <w:r>
        <w:t>stage</w:t>
      </w:r>
      <w:proofErr w:type="spellEnd"/>
      <w:r>
        <w:t xml:space="preserve">. AI </w:t>
      </w:r>
      <w:proofErr w:type="spellStart"/>
      <w:r>
        <w:t>algorithms</w:t>
      </w:r>
      <w:proofErr w:type="spellEnd"/>
      <w:r>
        <w:t xml:space="preserve">, on </w:t>
      </w:r>
      <w:proofErr w:type="spellStart"/>
      <w:r>
        <w:t>the</w:t>
      </w:r>
      <w:proofErr w:type="spellEnd"/>
      <w:r>
        <w:t xml:space="preserve"> </w:t>
      </w:r>
      <w:proofErr w:type="spellStart"/>
      <w:r>
        <w:t>other</w:t>
      </w:r>
      <w:proofErr w:type="spellEnd"/>
      <w:r>
        <w:t xml:space="preserve"> </w:t>
      </w:r>
      <w:proofErr w:type="spellStart"/>
      <w:r>
        <w:t>hand</w:t>
      </w:r>
      <w:proofErr w:type="spellEnd"/>
      <w:r>
        <w:t xml:space="preserve">, </w:t>
      </w:r>
      <w:proofErr w:type="spellStart"/>
      <w:r>
        <w:t>solve</w:t>
      </w:r>
      <w:proofErr w:type="spellEnd"/>
      <w:r>
        <w:t xml:space="preserve"> </w:t>
      </w:r>
      <w:proofErr w:type="spellStart"/>
      <w:r>
        <w:t>problems</w:t>
      </w:r>
      <w:proofErr w:type="spellEnd"/>
      <w:r>
        <w:t xml:space="preserve"> on </w:t>
      </w:r>
      <w:proofErr w:type="spellStart"/>
      <w:r>
        <w:t>their</w:t>
      </w:r>
      <w:proofErr w:type="spellEnd"/>
      <w:r>
        <w:t xml:space="preserve"> </w:t>
      </w:r>
      <w:proofErr w:type="spellStart"/>
      <w:r>
        <w:t>own</w:t>
      </w:r>
      <w:proofErr w:type="spellEnd"/>
      <w:r>
        <w:t xml:space="preserve">. </w:t>
      </w:r>
    </w:p>
    <w:p w14:paraId="73AAC7E2" w14:textId="77777777" w:rsidR="008A2109" w:rsidRDefault="008A2109" w:rsidP="008A2109">
      <w:pPr>
        <w:jc w:val="both"/>
      </w:pPr>
    </w:p>
    <w:p w14:paraId="0DB74150" w14:textId="77777777" w:rsidR="008A2109" w:rsidRDefault="008A2109" w:rsidP="008A2109">
      <w:pPr>
        <w:jc w:val="both"/>
      </w:pPr>
      <w:proofErr w:type="spellStart"/>
      <w:r>
        <w:rPr>
          <w:b/>
        </w:rPr>
        <w:t>Reasining</w:t>
      </w:r>
      <w:proofErr w:type="spellEnd"/>
      <w:r>
        <w:rPr>
          <w:b/>
        </w:rPr>
        <w:t xml:space="preserve">: </w:t>
      </w:r>
      <w:r>
        <w:t xml:space="preserve">AI </w:t>
      </w:r>
      <w:proofErr w:type="spellStart"/>
      <w:r>
        <w:t>systems</w:t>
      </w:r>
      <w:proofErr w:type="spellEnd"/>
      <w:r>
        <w:t xml:space="preserve"> </w:t>
      </w:r>
      <w:proofErr w:type="spellStart"/>
      <w:r>
        <w:t>are</w:t>
      </w:r>
      <w:proofErr w:type="spellEnd"/>
      <w:r>
        <w:t xml:space="preserve"> </w:t>
      </w:r>
      <w:proofErr w:type="spellStart"/>
      <w:r>
        <w:t>capable</w:t>
      </w:r>
      <w:proofErr w:type="spellEnd"/>
      <w:r>
        <w:t xml:space="preserve"> of </w:t>
      </w:r>
      <w:proofErr w:type="spellStart"/>
      <w:r>
        <w:t>drawing</w:t>
      </w:r>
      <w:proofErr w:type="spellEnd"/>
      <w:r>
        <w:t xml:space="preserve"> </w:t>
      </w:r>
      <w:proofErr w:type="spellStart"/>
      <w:r>
        <w:t>inferences</w:t>
      </w:r>
      <w:proofErr w:type="spellEnd"/>
      <w:r>
        <w:t xml:space="preserve"> </w:t>
      </w:r>
      <w:proofErr w:type="spellStart"/>
      <w:r>
        <w:t>and</w:t>
      </w:r>
      <w:proofErr w:type="spellEnd"/>
      <w:r>
        <w:t xml:space="preserve"> </w:t>
      </w:r>
      <w:proofErr w:type="spellStart"/>
      <w:r>
        <w:t>reaching</w:t>
      </w:r>
      <w:proofErr w:type="spellEnd"/>
      <w:r>
        <w:t xml:space="preserve"> </w:t>
      </w:r>
      <w:proofErr w:type="spellStart"/>
      <w:r>
        <w:t>well-informed</w:t>
      </w:r>
      <w:proofErr w:type="spellEnd"/>
      <w:r>
        <w:t xml:space="preserve"> </w:t>
      </w:r>
      <w:proofErr w:type="spellStart"/>
      <w:r>
        <w:t>judgments</w:t>
      </w:r>
      <w:proofErr w:type="spellEnd"/>
      <w:r>
        <w:t xml:space="preserve"> </w:t>
      </w:r>
      <w:proofErr w:type="spellStart"/>
      <w:r>
        <w:t>by</w:t>
      </w:r>
      <w:proofErr w:type="spellEnd"/>
      <w:r>
        <w:t xml:space="preserve"> </w:t>
      </w:r>
      <w:proofErr w:type="spellStart"/>
      <w:r>
        <w:t>using</w:t>
      </w:r>
      <w:proofErr w:type="spellEnd"/>
      <w:r>
        <w:t xml:space="preserve"> </w:t>
      </w:r>
      <w:proofErr w:type="spellStart"/>
      <w:r>
        <w:t>algorithms</w:t>
      </w:r>
      <w:proofErr w:type="spellEnd"/>
      <w:r>
        <w:t xml:space="preserve">, </w:t>
      </w:r>
      <w:proofErr w:type="spellStart"/>
      <w:r>
        <w:t>probability</w:t>
      </w:r>
      <w:proofErr w:type="spellEnd"/>
      <w:r>
        <w:t xml:space="preserve"> </w:t>
      </w:r>
      <w:proofErr w:type="spellStart"/>
      <w:r>
        <w:t>models</w:t>
      </w:r>
      <w:proofErr w:type="spellEnd"/>
      <w:r>
        <w:t xml:space="preserve">, </w:t>
      </w:r>
      <w:proofErr w:type="spellStart"/>
      <w:r>
        <w:t>and</w:t>
      </w:r>
      <w:proofErr w:type="spellEnd"/>
      <w:r>
        <w:t xml:space="preserve"> </w:t>
      </w:r>
      <w:proofErr w:type="spellStart"/>
      <w:r>
        <w:t>logical</w:t>
      </w:r>
      <w:proofErr w:type="spellEnd"/>
      <w:r>
        <w:t xml:space="preserve"> </w:t>
      </w:r>
      <w:proofErr w:type="spellStart"/>
      <w:r>
        <w:t>rules</w:t>
      </w:r>
      <w:proofErr w:type="spellEnd"/>
      <w:r>
        <w:t xml:space="preserve"> (SOCI, 2023).</w:t>
      </w:r>
    </w:p>
    <w:p w14:paraId="4CD2A100" w14:textId="77777777" w:rsidR="008A2109" w:rsidRDefault="008A2109" w:rsidP="008A2109">
      <w:pPr>
        <w:jc w:val="both"/>
        <w:rPr>
          <w:b/>
        </w:rPr>
      </w:pPr>
    </w:p>
    <w:p w14:paraId="4A515A33" w14:textId="77777777" w:rsidR="008A2109" w:rsidRDefault="008A2109" w:rsidP="008A2109">
      <w:pPr>
        <w:jc w:val="both"/>
      </w:pPr>
      <w:proofErr w:type="gramStart"/>
      <w:r>
        <w:rPr>
          <w:b/>
        </w:rPr>
        <w:t>Data</w:t>
      </w:r>
      <w:proofErr w:type="gramEnd"/>
      <w:r>
        <w:rPr>
          <w:b/>
        </w:rPr>
        <w:t xml:space="preserve"> </w:t>
      </w:r>
      <w:proofErr w:type="spellStart"/>
      <w:r>
        <w:rPr>
          <w:b/>
        </w:rPr>
        <w:t>ingestion</w:t>
      </w:r>
      <w:proofErr w:type="spellEnd"/>
      <w:r>
        <w:rPr>
          <w:b/>
        </w:rPr>
        <w:t xml:space="preserve">: </w:t>
      </w:r>
      <w:r>
        <w:t xml:space="preserve">AI </w:t>
      </w:r>
      <w:proofErr w:type="spellStart"/>
      <w:r>
        <w:t>autonomously</w:t>
      </w:r>
      <w:proofErr w:type="spellEnd"/>
      <w:r>
        <w:t xml:space="preserve"> </w:t>
      </w:r>
      <w:proofErr w:type="spellStart"/>
      <w:r>
        <w:t>manages</w:t>
      </w:r>
      <w:proofErr w:type="spellEnd"/>
      <w:r>
        <w:t xml:space="preserve"> </w:t>
      </w:r>
      <w:proofErr w:type="spellStart"/>
      <w:r>
        <w:t>vast</w:t>
      </w:r>
      <w:proofErr w:type="spellEnd"/>
      <w:r>
        <w:t xml:space="preserve"> </w:t>
      </w:r>
      <w:proofErr w:type="spellStart"/>
      <w:r>
        <w:t>datasets</w:t>
      </w:r>
      <w:proofErr w:type="spellEnd"/>
      <w:r>
        <w:t xml:space="preserve"> </w:t>
      </w:r>
      <w:proofErr w:type="spellStart"/>
      <w:r>
        <w:t>from</w:t>
      </w:r>
      <w:proofErr w:type="spellEnd"/>
      <w:r>
        <w:t xml:space="preserve"> </w:t>
      </w:r>
      <w:proofErr w:type="spellStart"/>
      <w:r>
        <w:t>diverse</w:t>
      </w:r>
      <w:proofErr w:type="spellEnd"/>
      <w:r>
        <w:t xml:space="preserve"> </w:t>
      </w:r>
      <w:proofErr w:type="spellStart"/>
      <w:r>
        <w:t>sources</w:t>
      </w:r>
      <w:proofErr w:type="spellEnd"/>
      <w:r>
        <w:t xml:space="preserve"> </w:t>
      </w:r>
      <w:proofErr w:type="spellStart"/>
      <w:r>
        <w:t>through</w:t>
      </w:r>
      <w:proofErr w:type="spellEnd"/>
      <w:r>
        <w:t xml:space="preserve"> </w:t>
      </w:r>
      <w:proofErr w:type="spellStart"/>
      <w:r>
        <w:t>statistical</w:t>
      </w:r>
      <w:proofErr w:type="spellEnd"/>
      <w:r>
        <w:t xml:space="preserve"> </w:t>
      </w:r>
      <w:proofErr w:type="spellStart"/>
      <w:r>
        <w:t>algorithms</w:t>
      </w:r>
      <w:proofErr w:type="spellEnd"/>
      <w:r>
        <w:t xml:space="preserve"> </w:t>
      </w:r>
      <w:proofErr w:type="spellStart"/>
      <w:r>
        <w:t>and</w:t>
      </w:r>
      <w:proofErr w:type="spellEnd"/>
      <w:r>
        <w:t xml:space="preserve"> Machine Learning. </w:t>
      </w:r>
      <w:proofErr w:type="spellStart"/>
      <w:r>
        <w:t>This</w:t>
      </w:r>
      <w:proofErr w:type="spellEnd"/>
      <w:r>
        <w:t xml:space="preserve"> </w:t>
      </w:r>
      <w:proofErr w:type="spellStart"/>
      <w:r>
        <w:t>autonomous</w:t>
      </w:r>
      <w:proofErr w:type="spellEnd"/>
      <w:r>
        <w:t xml:space="preserve"> </w:t>
      </w:r>
      <w:proofErr w:type="gramStart"/>
      <w:r>
        <w:t>data</w:t>
      </w:r>
      <w:proofErr w:type="gramEnd"/>
      <w:r>
        <w:t xml:space="preserve"> </w:t>
      </w:r>
      <w:proofErr w:type="spellStart"/>
      <w:r>
        <w:t>ingestion</w:t>
      </w:r>
      <w:proofErr w:type="spellEnd"/>
      <w:r>
        <w:t xml:space="preserve"> </w:t>
      </w:r>
      <w:proofErr w:type="spellStart"/>
      <w:r>
        <w:t>eliminates</w:t>
      </w:r>
      <w:proofErr w:type="spellEnd"/>
      <w:r>
        <w:t xml:space="preserve"> </w:t>
      </w:r>
      <w:proofErr w:type="spellStart"/>
      <w:r>
        <w:t>human</w:t>
      </w:r>
      <w:proofErr w:type="spellEnd"/>
      <w:r>
        <w:t xml:space="preserve"> </w:t>
      </w:r>
      <w:proofErr w:type="spellStart"/>
      <w:r>
        <w:t>errors</w:t>
      </w:r>
      <w:proofErr w:type="spellEnd"/>
      <w:r>
        <w:t xml:space="preserve">, </w:t>
      </w:r>
      <w:proofErr w:type="spellStart"/>
      <w:r>
        <w:t>accelerates</w:t>
      </w:r>
      <w:proofErr w:type="spellEnd"/>
      <w:r>
        <w:t xml:space="preserve"> </w:t>
      </w:r>
      <w:proofErr w:type="spellStart"/>
      <w:r>
        <w:t>processes</w:t>
      </w:r>
      <w:proofErr w:type="spellEnd"/>
      <w:r>
        <w:t xml:space="preserve">, </w:t>
      </w:r>
      <w:proofErr w:type="spellStart"/>
      <w:r>
        <w:t>and</w:t>
      </w:r>
      <w:proofErr w:type="spellEnd"/>
      <w:r>
        <w:t xml:space="preserve"> </w:t>
      </w:r>
      <w:proofErr w:type="spellStart"/>
      <w:r>
        <w:t>minimizes</w:t>
      </w:r>
      <w:proofErr w:type="spellEnd"/>
      <w:r>
        <w:t xml:space="preserve"> </w:t>
      </w:r>
      <w:proofErr w:type="spellStart"/>
      <w:r>
        <w:t>inaccuracies</w:t>
      </w:r>
      <w:proofErr w:type="spellEnd"/>
      <w:r>
        <w:t xml:space="preserve"> in data </w:t>
      </w:r>
      <w:proofErr w:type="spellStart"/>
      <w:r>
        <w:t>processing</w:t>
      </w:r>
      <w:proofErr w:type="spellEnd"/>
      <w:r>
        <w:t xml:space="preserve"> </w:t>
      </w:r>
      <w:r w:rsidRPr="00566FAF">
        <w:t>(</w:t>
      </w:r>
      <w:proofErr w:type="spellStart"/>
      <w:r w:rsidRPr="00566FAF">
        <w:rPr>
          <w:color w:val="222222"/>
        </w:rPr>
        <w:t>Bhumichai</w:t>
      </w:r>
      <w:proofErr w:type="spellEnd"/>
      <w:r w:rsidRPr="00566FAF">
        <w:rPr>
          <w:color w:val="222222"/>
        </w:rPr>
        <w:t>, et.al, 2024</w:t>
      </w:r>
      <w:r>
        <w:rPr>
          <w:color w:val="222222"/>
        </w:rPr>
        <w:t xml:space="preserve">, p. </w:t>
      </w:r>
      <w:r w:rsidRPr="00566FAF">
        <w:rPr>
          <w:color w:val="222222"/>
        </w:rPr>
        <w:t>7)</w:t>
      </w:r>
      <w:r>
        <w:t>.</w:t>
      </w:r>
    </w:p>
    <w:p w14:paraId="4BA3E13D" w14:textId="77777777" w:rsidR="008A2109" w:rsidRDefault="008A2109" w:rsidP="008A2109">
      <w:pPr>
        <w:jc w:val="both"/>
      </w:pPr>
    </w:p>
    <w:p w14:paraId="2DFE42F3" w14:textId="77777777" w:rsidR="008A2109" w:rsidRDefault="008A2109" w:rsidP="008A2109">
      <w:pPr>
        <w:jc w:val="both"/>
      </w:pPr>
      <w:r>
        <w:rPr>
          <w:b/>
        </w:rPr>
        <w:t xml:space="preserve">Learning: </w:t>
      </w:r>
      <w:r>
        <w:t xml:space="preserve">A </w:t>
      </w:r>
      <w:proofErr w:type="spellStart"/>
      <w:r>
        <w:t>key</w:t>
      </w:r>
      <w:proofErr w:type="spellEnd"/>
      <w:r>
        <w:t xml:space="preserve"> element of AI is </w:t>
      </w:r>
      <w:proofErr w:type="spellStart"/>
      <w:r>
        <w:t>learning</w:t>
      </w:r>
      <w:proofErr w:type="spellEnd"/>
      <w:r>
        <w:t xml:space="preserve">, </w:t>
      </w:r>
      <w:proofErr w:type="spellStart"/>
      <w:r>
        <w:t>which</w:t>
      </w:r>
      <w:proofErr w:type="spellEnd"/>
      <w:r>
        <w:t xml:space="preserve"> </w:t>
      </w:r>
      <w:proofErr w:type="spellStart"/>
      <w:r>
        <w:t>allows</w:t>
      </w:r>
      <w:proofErr w:type="spellEnd"/>
      <w:r>
        <w:t xml:space="preserve"> AI </w:t>
      </w:r>
      <w:proofErr w:type="spellStart"/>
      <w:r>
        <w:t>systems</w:t>
      </w:r>
      <w:proofErr w:type="spellEnd"/>
      <w:r>
        <w:t xml:space="preserve"> </w:t>
      </w:r>
      <w:proofErr w:type="spellStart"/>
      <w:r>
        <w:t>to</w:t>
      </w:r>
      <w:proofErr w:type="spellEnd"/>
      <w:r>
        <w:t xml:space="preserve"> </w:t>
      </w:r>
      <w:proofErr w:type="spellStart"/>
      <w:r>
        <w:t>gain</w:t>
      </w:r>
      <w:proofErr w:type="spellEnd"/>
      <w:r>
        <w:t xml:space="preserve"> </w:t>
      </w:r>
      <w:proofErr w:type="spellStart"/>
      <w:r>
        <w:t>knowledge</w:t>
      </w:r>
      <w:proofErr w:type="spellEnd"/>
      <w:r>
        <w:t xml:space="preserve"> </w:t>
      </w:r>
      <w:proofErr w:type="spellStart"/>
      <w:r>
        <w:t>from</w:t>
      </w:r>
      <w:proofErr w:type="spellEnd"/>
      <w:r>
        <w:t xml:space="preserve"> </w:t>
      </w:r>
      <w:proofErr w:type="gramStart"/>
      <w:r>
        <w:t>data</w:t>
      </w:r>
      <w:proofErr w:type="gramEnd"/>
      <w:r>
        <w:t xml:space="preserve"> </w:t>
      </w:r>
      <w:proofErr w:type="spellStart"/>
      <w:r>
        <w:t>and</w:t>
      </w:r>
      <w:proofErr w:type="spellEnd"/>
      <w:r>
        <w:t xml:space="preserve"> </w:t>
      </w:r>
      <w:proofErr w:type="spellStart"/>
      <w:r>
        <w:t>enhance</w:t>
      </w:r>
      <w:proofErr w:type="spellEnd"/>
      <w:r>
        <w:t xml:space="preserve"> </w:t>
      </w:r>
      <w:proofErr w:type="spellStart"/>
      <w:r>
        <w:t>their</w:t>
      </w:r>
      <w:proofErr w:type="spellEnd"/>
      <w:r>
        <w:t xml:space="preserve"> </w:t>
      </w:r>
      <w:proofErr w:type="spellStart"/>
      <w:r>
        <w:t>performance</w:t>
      </w:r>
      <w:proofErr w:type="spellEnd"/>
      <w:r>
        <w:t xml:space="preserve"> </w:t>
      </w:r>
      <w:proofErr w:type="spellStart"/>
      <w:r>
        <w:t>without</w:t>
      </w:r>
      <w:proofErr w:type="spellEnd"/>
      <w:r>
        <w:t xml:space="preserve"> </w:t>
      </w:r>
      <w:proofErr w:type="spellStart"/>
      <w:r>
        <w:t>explicit</w:t>
      </w:r>
      <w:proofErr w:type="spellEnd"/>
      <w:r>
        <w:t xml:space="preserve"> </w:t>
      </w:r>
      <w:proofErr w:type="spellStart"/>
      <w:r>
        <w:t>human</w:t>
      </w:r>
      <w:proofErr w:type="spellEnd"/>
      <w:r>
        <w:t xml:space="preserve"> </w:t>
      </w:r>
      <w:proofErr w:type="spellStart"/>
      <w:r>
        <w:t>programming</w:t>
      </w:r>
      <w:proofErr w:type="spellEnd"/>
      <w:r>
        <w:t xml:space="preserve">.  </w:t>
      </w:r>
      <w:proofErr w:type="gramStart"/>
      <w:r>
        <w:t>Data</w:t>
      </w:r>
      <w:proofErr w:type="gramEnd"/>
      <w:r>
        <w:t xml:space="preserve"> </w:t>
      </w:r>
      <w:proofErr w:type="spellStart"/>
      <w:r>
        <w:t>categorization</w:t>
      </w:r>
      <w:proofErr w:type="spellEnd"/>
      <w:r>
        <w:t xml:space="preserve">, </w:t>
      </w:r>
      <w:proofErr w:type="spellStart"/>
      <w:r>
        <w:t>pattern</w:t>
      </w:r>
      <w:proofErr w:type="spellEnd"/>
      <w:r>
        <w:t xml:space="preserve"> </w:t>
      </w:r>
      <w:proofErr w:type="spellStart"/>
      <w:r>
        <w:t>recognition</w:t>
      </w:r>
      <w:proofErr w:type="spellEnd"/>
      <w:r>
        <w:t xml:space="preserve">, </w:t>
      </w:r>
      <w:proofErr w:type="spellStart"/>
      <w:r>
        <w:t>and</w:t>
      </w:r>
      <w:proofErr w:type="spellEnd"/>
      <w:r>
        <w:t xml:space="preserve"> </w:t>
      </w:r>
      <w:proofErr w:type="spellStart"/>
      <w:r>
        <w:t>reinforcement</w:t>
      </w:r>
      <w:proofErr w:type="spellEnd"/>
      <w:r>
        <w:t xml:space="preserve"> </w:t>
      </w:r>
      <w:proofErr w:type="spellStart"/>
      <w:r>
        <w:t>through</w:t>
      </w:r>
      <w:proofErr w:type="spellEnd"/>
      <w:r>
        <w:t xml:space="preserve"> </w:t>
      </w:r>
      <w:proofErr w:type="spellStart"/>
      <w:r>
        <w:t>feedback</w:t>
      </w:r>
      <w:proofErr w:type="spellEnd"/>
      <w:r>
        <w:t xml:space="preserve"> </w:t>
      </w:r>
      <w:proofErr w:type="spellStart"/>
      <w:r>
        <w:t>often</w:t>
      </w:r>
      <w:proofErr w:type="spellEnd"/>
      <w:r>
        <w:t xml:space="preserve"> in </w:t>
      </w:r>
      <w:proofErr w:type="spellStart"/>
      <w:r>
        <w:t>the</w:t>
      </w:r>
      <w:proofErr w:type="spellEnd"/>
      <w:r>
        <w:t xml:space="preserve"> form of </w:t>
      </w:r>
      <w:proofErr w:type="spellStart"/>
      <w:r>
        <w:t>incentives</w:t>
      </w:r>
      <w:proofErr w:type="spellEnd"/>
      <w:r>
        <w:t xml:space="preserve"> </w:t>
      </w:r>
      <w:proofErr w:type="spellStart"/>
      <w:r>
        <w:t>or</w:t>
      </w:r>
      <w:proofErr w:type="spellEnd"/>
      <w:r>
        <w:t xml:space="preserve"> </w:t>
      </w:r>
      <w:proofErr w:type="spellStart"/>
      <w:r>
        <w:lastRenderedPageBreak/>
        <w:t>penalties</w:t>
      </w:r>
      <w:proofErr w:type="spellEnd"/>
      <w:r>
        <w:t xml:space="preserve"> </w:t>
      </w:r>
      <w:proofErr w:type="spellStart"/>
      <w:r>
        <w:t>are</w:t>
      </w:r>
      <w:proofErr w:type="spellEnd"/>
      <w:r>
        <w:t xml:space="preserve"> how AI </w:t>
      </w:r>
      <w:proofErr w:type="spellStart"/>
      <w:r>
        <w:t>technology</w:t>
      </w:r>
      <w:proofErr w:type="spellEnd"/>
      <w:r>
        <w:t xml:space="preserve"> </w:t>
      </w:r>
      <w:proofErr w:type="spellStart"/>
      <w:r>
        <w:t>learns</w:t>
      </w:r>
      <w:proofErr w:type="spellEnd"/>
      <w:r>
        <w:t xml:space="preserve">. A </w:t>
      </w:r>
      <w:proofErr w:type="spellStart"/>
      <w:r>
        <w:t>punishment</w:t>
      </w:r>
      <w:proofErr w:type="spellEnd"/>
      <w:r>
        <w:t xml:space="preserve"> is a </w:t>
      </w:r>
      <w:proofErr w:type="spellStart"/>
      <w:r>
        <w:t>negative</w:t>
      </w:r>
      <w:proofErr w:type="spellEnd"/>
      <w:r>
        <w:t xml:space="preserve"> </w:t>
      </w:r>
      <w:proofErr w:type="spellStart"/>
      <w:r>
        <w:t>value</w:t>
      </w:r>
      <w:proofErr w:type="spellEnd"/>
      <w:r>
        <w:t xml:space="preserve"> </w:t>
      </w:r>
      <w:proofErr w:type="spellStart"/>
      <w:r>
        <w:t>connected</w:t>
      </w:r>
      <w:proofErr w:type="spellEnd"/>
      <w:r>
        <w:t xml:space="preserve"> </w:t>
      </w:r>
      <w:proofErr w:type="spellStart"/>
      <w:r>
        <w:t>to</w:t>
      </w:r>
      <w:proofErr w:type="spellEnd"/>
      <w:r>
        <w:t xml:space="preserve"> an </w:t>
      </w:r>
      <w:proofErr w:type="spellStart"/>
      <w:r>
        <w:t>undesired</w:t>
      </w:r>
      <w:proofErr w:type="spellEnd"/>
      <w:r>
        <w:t xml:space="preserve"> </w:t>
      </w:r>
      <w:proofErr w:type="spellStart"/>
      <w:r>
        <w:t>behavior</w:t>
      </w:r>
      <w:proofErr w:type="spellEnd"/>
      <w:r>
        <w:t xml:space="preserve"> </w:t>
      </w:r>
      <w:proofErr w:type="spellStart"/>
      <w:r>
        <w:t>or</w:t>
      </w:r>
      <w:proofErr w:type="spellEnd"/>
      <w:r>
        <w:t xml:space="preserve"> </w:t>
      </w:r>
      <w:proofErr w:type="spellStart"/>
      <w:r>
        <w:t>result</w:t>
      </w:r>
      <w:proofErr w:type="spellEnd"/>
      <w:r>
        <w:t xml:space="preserve"> (SOCI, 2023).</w:t>
      </w:r>
    </w:p>
    <w:p w14:paraId="5CD9B037" w14:textId="77777777" w:rsidR="008A2109" w:rsidRDefault="008A2109" w:rsidP="008A2109">
      <w:pPr>
        <w:jc w:val="both"/>
      </w:pPr>
    </w:p>
    <w:p w14:paraId="0E5B37C0" w14:textId="77777777" w:rsidR="008A2109" w:rsidRDefault="008A2109" w:rsidP="008A2109">
      <w:pPr>
        <w:jc w:val="both"/>
      </w:pPr>
      <w:proofErr w:type="spellStart"/>
      <w:r>
        <w:rPr>
          <w:b/>
        </w:rPr>
        <w:t>Imprecise</w:t>
      </w:r>
      <w:proofErr w:type="spellEnd"/>
      <w:r>
        <w:rPr>
          <w:b/>
        </w:rPr>
        <w:t xml:space="preserve"> </w:t>
      </w:r>
      <w:proofErr w:type="spellStart"/>
      <w:r>
        <w:rPr>
          <w:b/>
        </w:rPr>
        <w:t>knowledge</w:t>
      </w:r>
      <w:proofErr w:type="spellEnd"/>
      <w:r>
        <w:rPr>
          <w:b/>
        </w:rPr>
        <w:t>:</w:t>
      </w:r>
      <w:r>
        <w:t xml:space="preserve"> </w:t>
      </w:r>
      <w:proofErr w:type="spellStart"/>
      <w:r>
        <w:t>While</w:t>
      </w:r>
      <w:proofErr w:type="spellEnd"/>
      <w:r>
        <w:t xml:space="preserve"> </w:t>
      </w:r>
      <w:proofErr w:type="spellStart"/>
      <w:r>
        <w:t>traditional</w:t>
      </w:r>
      <w:proofErr w:type="spellEnd"/>
      <w:r>
        <w:t xml:space="preserve"> </w:t>
      </w:r>
      <w:proofErr w:type="spellStart"/>
      <w:r>
        <w:t>applications</w:t>
      </w:r>
      <w:proofErr w:type="spellEnd"/>
      <w:r>
        <w:t xml:space="preserve"> </w:t>
      </w:r>
      <w:proofErr w:type="spellStart"/>
      <w:r>
        <w:t>thrive</w:t>
      </w:r>
      <w:proofErr w:type="spellEnd"/>
      <w:r>
        <w:t xml:space="preserve"> on </w:t>
      </w:r>
      <w:proofErr w:type="spellStart"/>
      <w:r>
        <w:t>precise</w:t>
      </w:r>
      <w:proofErr w:type="spellEnd"/>
      <w:r>
        <w:t xml:space="preserve"> </w:t>
      </w:r>
      <w:proofErr w:type="spellStart"/>
      <w:r>
        <w:t>knowledge</w:t>
      </w:r>
      <w:proofErr w:type="spellEnd"/>
      <w:r>
        <w:t xml:space="preserve">, AI </w:t>
      </w:r>
      <w:proofErr w:type="spellStart"/>
      <w:r>
        <w:t>algorithms</w:t>
      </w:r>
      <w:proofErr w:type="spellEnd"/>
      <w:r>
        <w:t xml:space="preserve"> </w:t>
      </w:r>
      <w:proofErr w:type="spellStart"/>
      <w:r>
        <w:t>are</w:t>
      </w:r>
      <w:proofErr w:type="spellEnd"/>
      <w:r>
        <w:t xml:space="preserve"> </w:t>
      </w:r>
      <w:proofErr w:type="spellStart"/>
      <w:r>
        <w:t>also</w:t>
      </w:r>
      <w:proofErr w:type="spellEnd"/>
      <w:r>
        <w:t xml:space="preserve"> </w:t>
      </w:r>
      <w:proofErr w:type="spellStart"/>
      <w:r>
        <w:t>successful</w:t>
      </w:r>
      <w:proofErr w:type="spellEnd"/>
      <w:r>
        <w:t xml:space="preserve"> in </w:t>
      </w:r>
      <w:proofErr w:type="spellStart"/>
      <w:r>
        <w:t>managing</w:t>
      </w:r>
      <w:proofErr w:type="spellEnd"/>
      <w:r>
        <w:t xml:space="preserve"> </w:t>
      </w:r>
      <w:proofErr w:type="spellStart"/>
      <w:r>
        <w:t>imprecise</w:t>
      </w:r>
      <w:proofErr w:type="spellEnd"/>
      <w:r>
        <w:t xml:space="preserve"> </w:t>
      </w:r>
      <w:proofErr w:type="spellStart"/>
      <w:r>
        <w:t>information</w:t>
      </w:r>
      <w:proofErr w:type="spellEnd"/>
      <w:r>
        <w:t xml:space="preserve"> (SOCI, 2023).</w:t>
      </w:r>
    </w:p>
    <w:p w14:paraId="02F51FA0" w14:textId="77777777" w:rsidR="008A2109" w:rsidRDefault="008A2109" w:rsidP="008A2109">
      <w:pPr>
        <w:jc w:val="both"/>
      </w:pPr>
    </w:p>
    <w:p w14:paraId="5C768190" w14:textId="77777777" w:rsidR="008A2109" w:rsidRDefault="008A2109" w:rsidP="008A2109">
      <w:pPr>
        <w:jc w:val="both"/>
      </w:pPr>
      <w:proofErr w:type="spellStart"/>
      <w:r>
        <w:t>All</w:t>
      </w:r>
      <w:proofErr w:type="spellEnd"/>
      <w:r>
        <w:t xml:space="preserve"> </w:t>
      </w:r>
      <w:proofErr w:type="spellStart"/>
      <w:r>
        <w:t>these</w:t>
      </w:r>
      <w:proofErr w:type="spellEnd"/>
      <w:r>
        <w:t xml:space="preserve"> </w:t>
      </w:r>
      <w:proofErr w:type="spellStart"/>
      <w:r>
        <w:t>features</w:t>
      </w:r>
      <w:proofErr w:type="spellEnd"/>
      <w:r>
        <w:t xml:space="preserve"> of AI </w:t>
      </w:r>
      <w:proofErr w:type="spellStart"/>
      <w:r>
        <w:t>make</w:t>
      </w:r>
      <w:proofErr w:type="spellEnd"/>
      <w:r>
        <w:t xml:space="preserve"> it a </w:t>
      </w:r>
      <w:proofErr w:type="spellStart"/>
      <w:r>
        <w:t>powerful</w:t>
      </w:r>
      <w:proofErr w:type="spellEnd"/>
      <w:r>
        <w:t xml:space="preserve"> </w:t>
      </w:r>
      <w:proofErr w:type="spellStart"/>
      <w:r>
        <w:t>tool</w:t>
      </w:r>
      <w:proofErr w:type="spellEnd"/>
      <w:r>
        <w:t xml:space="preserve"> in a </w:t>
      </w:r>
      <w:proofErr w:type="spellStart"/>
      <w:r>
        <w:t>wide</w:t>
      </w:r>
      <w:proofErr w:type="spellEnd"/>
      <w:r>
        <w:t xml:space="preserve"> </w:t>
      </w:r>
      <w:proofErr w:type="spellStart"/>
      <w:r>
        <w:t>variety</w:t>
      </w:r>
      <w:proofErr w:type="spellEnd"/>
      <w:r>
        <w:t xml:space="preserve"> of </w:t>
      </w:r>
      <w:proofErr w:type="spellStart"/>
      <w:r>
        <w:t>application</w:t>
      </w:r>
      <w:proofErr w:type="spellEnd"/>
      <w:r>
        <w:t xml:space="preserve"> </w:t>
      </w:r>
      <w:proofErr w:type="spellStart"/>
      <w:r>
        <w:t>areas</w:t>
      </w:r>
      <w:proofErr w:type="spellEnd"/>
      <w:r>
        <w:t>.</w:t>
      </w:r>
    </w:p>
    <w:p w14:paraId="56012429" w14:textId="77777777" w:rsidR="008A2109" w:rsidRDefault="008A2109" w:rsidP="008A2109">
      <w:pPr>
        <w:jc w:val="both"/>
      </w:pPr>
    </w:p>
    <w:p w14:paraId="49554FB9" w14:textId="77777777" w:rsidR="008A2109" w:rsidRDefault="008A2109" w:rsidP="008A2109">
      <w:pPr>
        <w:jc w:val="both"/>
        <w:rPr>
          <w:b/>
          <w:highlight w:val="white"/>
        </w:rPr>
      </w:pPr>
      <w:proofErr w:type="spellStart"/>
      <w:r>
        <w:rPr>
          <w:b/>
          <w:highlight w:val="white"/>
        </w:rPr>
        <w:t>Artificial</w:t>
      </w:r>
      <w:proofErr w:type="spellEnd"/>
      <w:r>
        <w:rPr>
          <w:b/>
          <w:highlight w:val="white"/>
        </w:rPr>
        <w:t xml:space="preserve"> </w:t>
      </w:r>
      <w:proofErr w:type="spellStart"/>
      <w:r>
        <w:rPr>
          <w:b/>
          <w:highlight w:val="white"/>
        </w:rPr>
        <w:t>Intelligence</w:t>
      </w:r>
      <w:proofErr w:type="spellEnd"/>
      <w:r>
        <w:rPr>
          <w:b/>
          <w:highlight w:val="white"/>
        </w:rPr>
        <w:t xml:space="preserve"> in </w:t>
      </w:r>
      <w:proofErr w:type="spellStart"/>
      <w:r>
        <w:rPr>
          <w:b/>
          <w:highlight w:val="white"/>
        </w:rPr>
        <w:t>the</w:t>
      </w:r>
      <w:proofErr w:type="spellEnd"/>
      <w:r>
        <w:rPr>
          <w:b/>
          <w:highlight w:val="white"/>
        </w:rPr>
        <w:t xml:space="preserve"> </w:t>
      </w:r>
      <w:proofErr w:type="spellStart"/>
      <w:r>
        <w:rPr>
          <w:b/>
          <w:highlight w:val="white"/>
        </w:rPr>
        <w:t>Public</w:t>
      </w:r>
      <w:proofErr w:type="spellEnd"/>
      <w:r>
        <w:rPr>
          <w:b/>
          <w:highlight w:val="white"/>
        </w:rPr>
        <w:t xml:space="preserve"> </w:t>
      </w:r>
      <w:proofErr w:type="spellStart"/>
      <w:r>
        <w:rPr>
          <w:b/>
          <w:highlight w:val="white"/>
        </w:rPr>
        <w:t>Sector</w:t>
      </w:r>
      <w:proofErr w:type="spellEnd"/>
    </w:p>
    <w:p w14:paraId="68E040F3" w14:textId="77777777" w:rsidR="008A2109" w:rsidRDefault="008A2109" w:rsidP="008A2109">
      <w:pPr>
        <w:jc w:val="both"/>
      </w:pPr>
      <w:proofErr w:type="spellStart"/>
      <w:r>
        <w:rPr>
          <w:highlight w:val="white"/>
        </w:rPr>
        <w:t>In</w:t>
      </w:r>
      <w:proofErr w:type="spellEnd"/>
      <w:r>
        <w:rPr>
          <w:highlight w:val="white"/>
        </w:rPr>
        <w:t xml:space="preserve"> </w:t>
      </w:r>
      <w:proofErr w:type="spellStart"/>
      <w:r>
        <w:rPr>
          <w:highlight w:val="white"/>
        </w:rPr>
        <w:t>recent</w:t>
      </w:r>
      <w:proofErr w:type="spellEnd"/>
      <w:r>
        <w:rPr>
          <w:highlight w:val="white"/>
        </w:rPr>
        <w:t xml:space="preserve"> </w:t>
      </w:r>
      <w:proofErr w:type="spellStart"/>
      <w:r>
        <w:rPr>
          <w:highlight w:val="white"/>
        </w:rPr>
        <w:t>years</w:t>
      </w:r>
      <w:proofErr w:type="spellEnd"/>
      <w:r>
        <w:rPr>
          <w:highlight w:val="white"/>
        </w:rPr>
        <w:t xml:space="preserve">, </w:t>
      </w:r>
      <w:proofErr w:type="spellStart"/>
      <w:r>
        <w:rPr>
          <w:highlight w:val="white"/>
        </w:rPr>
        <w:t>one</w:t>
      </w:r>
      <w:proofErr w:type="spellEnd"/>
      <w:r>
        <w:rPr>
          <w:highlight w:val="white"/>
        </w:rPr>
        <w:t xml:space="preserve"> of </w:t>
      </w:r>
      <w:proofErr w:type="spellStart"/>
      <w:r>
        <w:rPr>
          <w:highlight w:val="white"/>
        </w:rPr>
        <w:t>the</w:t>
      </w:r>
      <w:proofErr w:type="spellEnd"/>
      <w:r>
        <w:rPr>
          <w:highlight w:val="white"/>
        </w:rPr>
        <w:t xml:space="preserve"> </w:t>
      </w:r>
      <w:proofErr w:type="spellStart"/>
      <w:r>
        <w:rPr>
          <w:highlight w:val="white"/>
        </w:rPr>
        <w:t>most</w:t>
      </w:r>
      <w:proofErr w:type="spellEnd"/>
      <w:r>
        <w:rPr>
          <w:highlight w:val="white"/>
        </w:rPr>
        <w:t xml:space="preserve"> </w:t>
      </w:r>
      <w:proofErr w:type="spellStart"/>
      <w:r>
        <w:rPr>
          <w:highlight w:val="white"/>
        </w:rPr>
        <w:t>talked</w:t>
      </w:r>
      <w:proofErr w:type="spellEnd"/>
      <w:r>
        <w:rPr>
          <w:highlight w:val="white"/>
        </w:rPr>
        <w:t xml:space="preserve"> </w:t>
      </w:r>
      <w:proofErr w:type="spellStart"/>
      <w:r>
        <w:rPr>
          <w:highlight w:val="white"/>
        </w:rPr>
        <w:t>about</w:t>
      </w:r>
      <w:proofErr w:type="spellEnd"/>
      <w:r>
        <w:rPr>
          <w:highlight w:val="white"/>
        </w:rPr>
        <w:t xml:space="preserve">, </w:t>
      </w:r>
      <w:proofErr w:type="spellStart"/>
      <w:r>
        <w:rPr>
          <w:highlight w:val="white"/>
        </w:rPr>
        <w:t>debated</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scientifically</w:t>
      </w:r>
      <w:proofErr w:type="spellEnd"/>
      <w:r>
        <w:rPr>
          <w:highlight w:val="white"/>
        </w:rPr>
        <w:t xml:space="preserve"> </w:t>
      </w:r>
      <w:proofErr w:type="spellStart"/>
      <w:r>
        <w:rPr>
          <w:highlight w:val="white"/>
        </w:rPr>
        <w:t>researched</w:t>
      </w:r>
      <w:proofErr w:type="spellEnd"/>
      <w:r>
        <w:rPr>
          <w:highlight w:val="white"/>
        </w:rPr>
        <w:t xml:space="preserve"> </w:t>
      </w:r>
      <w:proofErr w:type="spellStart"/>
      <w:r>
        <w:rPr>
          <w:highlight w:val="white"/>
        </w:rPr>
        <w:t>topics</w:t>
      </w:r>
      <w:proofErr w:type="spellEnd"/>
      <w:r>
        <w:rPr>
          <w:highlight w:val="white"/>
        </w:rPr>
        <w:t xml:space="preserve"> on </w:t>
      </w:r>
      <w:proofErr w:type="spellStart"/>
      <w:r>
        <w:rPr>
          <w:highlight w:val="white"/>
        </w:rPr>
        <w:t>the</w:t>
      </w:r>
      <w:proofErr w:type="spellEnd"/>
      <w:r>
        <w:rPr>
          <w:highlight w:val="white"/>
        </w:rPr>
        <w:t xml:space="preserve"> </w:t>
      </w:r>
      <w:proofErr w:type="spellStart"/>
      <w:r>
        <w:rPr>
          <w:highlight w:val="white"/>
        </w:rPr>
        <w:t>agenda</w:t>
      </w:r>
      <w:proofErr w:type="spellEnd"/>
      <w:r>
        <w:rPr>
          <w:highlight w:val="white"/>
        </w:rPr>
        <w:t xml:space="preserve"> of </w:t>
      </w:r>
      <w:proofErr w:type="spellStart"/>
      <w:r>
        <w:rPr>
          <w:highlight w:val="white"/>
        </w:rPr>
        <w:t>everyone</w:t>
      </w:r>
      <w:proofErr w:type="spellEnd"/>
      <w:r>
        <w:rPr>
          <w:highlight w:val="white"/>
        </w:rPr>
        <w:t xml:space="preserve"> </w:t>
      </w:r>
      <w:proofErr w:type="spellStart"/>
      <w:r>
        <w:rPr>
          <w:highlight w:val="white"/>
        </w:rPr>
        <w:t>who</w:t>
      </w:r>
      <w:proofErr w:type="spellEnd"/>
      <w:r>
        <w:rPr>
          <w:highlight w:val="white"/>
        </w:rPr>
        <w:t xml:space="preserve"> </w:t>
      </w:r>
      <w:proofErr w:type="spellStart"/>
      <w:r>
        <w:rPr>
          <w:highlight w:val="white"/>
        </w:rPr>
        <w:t>thinks</w:t>
      </w:r>
      <w:proofErr w:type="spellEnd"/>
      <w:r>
        <w:rPr>
          <w:highlight w:val="white"/>
        </w:rPr>
        <w:t xml:space="preserve"> </w:t>
      </w:r>
      <w:proofErr w:type="spellStart"/>
      <w:r>
        <w:rPr>
          <w:highlight w:val="white"/>
        </w:rPr>
        <w:t>about</w:t>
      </w:r>
      <w:proofErr w:type="spellEnd"/>
      <w:r>
        <w:rPr>
          <w:highlight w:val="white"/>
        </w:rPr>
        <w:t xml:space="preserve"> </w:t>
      </w:r>
      <w:proofErr w:type="spellStart"/>
      <w:r>
        <w:rPr>
          <w:highlight w:val="white"/>
        </w:rPr>
        <w:t>change</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transformation</w:t>
      </w:r>
      <w:proofErr w:type="spellEnd"/>
      <w:r>
        <w:rPr>
          <w:highlight w:val="white"/>
        </w:rPr>
        <w:t xml:space="preserve"> </w:t>
      </w:r>
      <w:proofErr w:type="spellStart"/>
      <w:r>
        <w:rPr>
          <w:highlight w:val="white"/>
        </w:rPr>
        <w:t>issues</w:t>
      </w:r>
      <w:proofErr w:type="spellEnd"/>
      <w:r>
        <w:rPr>
          <w:highlight w:val="white"/>
        </w:rPr>
        <w:t xml:space="preserve"> is AI. </w:t>
      </w:r>
      <w:proofErr w:type="spellStart"/>
      <w:r>
        <w:rPr>
          <w:highlight w:val="white"/>
        </w:rPr>
        <w:t>In</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digital</w:t>
      </w:r>
      <w:proofErr w:type="spellEnd"/>
      <w:r>
        <w:rPr>
          <w:highlight w:val="white"/>
        </w:rPr>
        <w:t xml:space="preserve"> </w:t>
      </w:r>
      <w:proofErr w:type="spellStart"/>
      <w:r>
        <w:rPr>
          <w:highlight w:val="white"/>
        </w:rPr>
        <w:t>age</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public</w:t>
      </w:r>
      <w:proofErr w:type="spellEnd"/>
      <w:r>
        <w:rPr>
          <w:highlight w:val="white"/>
        </w:rPr>
        <w:t xml:space="preserve"> </w:t>
      </w:r>
      <w:proofErr w:type="spellStart"/>
      <w:r>
        <w:rPr>
          <w:highlight w:val="white"/>
        </w:rPr>
        <w:t>sector</w:t>
      </w:r>
      <w:proofErr w:type="spellEnd"/>
      <w:r>
        <w:rPr>
          <w:highlight w:val="white"/>
        </w:rPr>
        <w:t xml:space="preserve">, </w:t>
      </w:r>
      <w:proofErr w:type="spellStart"/>
      <w:r>
        <w:rPr>
          <w:highlight w:val="white"/>
        </w:rPr>
        <w:t>including</w:t>
      </w:r>
      <w:proofErr w:type="spellEnd"/>
      <w:r>
        <w:rPr>
          <w:highlight w:val="white"/>
        </w:rPr>
        <w:t xml:space="preserve"> </w:t>
      </w:r>
      <w:proofErr w:type="spellStart"/>
      <w:r>
        <w:rPr>
          <w:highlight w:val="white"/>
        </w:rPr>
        <w:t>many</w:t>
      </w:r>
      <w:proofErr w:type="spellEnd"/>
      <w:r>
        <w:rPr>
          <w:highlight w:val="white"/>
        </w:rPr>
        <w:t xml:space="preserve"> </w:t>
      </w:r>
      <w:proofErr w:type="spellStart"/>
      <w:r>
        <w:rPr>
          <w:highlight w:val="white"/>
        </w:rPr>
        <w:t>sectors</w:t>
      </w:r>
      <w:proofErr w:type="spellEnd"/>
      <w:r>
        <w:rPr>
          <w:highlight w:val="white"/>
        </w:rPr>
        <w:t xml:space="preserve">, is </w:t>
      </w:r>
      <w:proofErr w:type="spellStart"/>
      <w:r>
        <w:rPr>
          <w:highlight w:val="white"/>
        </w:rPr>
        <w:t>experiencing</w:t>
      </w:r>
      <w:proofErr w:type="spellEnd"/>
      <w:r>
        <w:rPr>
          <w:highlight w:val="white"/>
        </w:rPr>
        <w:t xml:space="preserve"> </w:t>
      </w:r>
      <w:proofErr w:type="spellStart"/>
      <w:r>
        <w:rPr>
          <w:highlight w:val="white"/>
        </w:rPr>
        <w:t>significant</w:t>
      </w:r>
      <w:proofErr w:type="spellEnd"/>
      <w:r>
        <w:rPr>
          <w:highlight w:val="white"/>
        </w:rPr>
        <w:t xml:space="preserve"> </w:t>
      </w:r>
      <w:proofErr w:type="spellStart"/>
      <w:r>
        <w:rPr>
          <w:highlight w:val="white"/>
        </w:rPr>
        <w:t>changes</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private</w:t>
      </w:r>
      <w:proofErr w:type="spellEnd"/>
      <w:r>
        <w:rPr>
          <w:highlight w:val="white"/>
        </w:rPr>
        <w:t xml:space="preserve"> </w:t>
      </w:r>
      <w:proofErr w:type="spellStart"/>
      <w:r>
        <w:rPr>
          <w:highlight w:val="white"/>
        </w:rPr>
        <w:t>sector's</w:t>
      </w:r>
      <w:proofErr w:type="spellEnd"/>
      <w:r>
        <w:rPr>
          <w:highlight w:val="white"/>
        </w:rPr>
        <w:t xml:space="preserve"> </w:t>
      </w:r>
      <w:proofErr w:type="spellStart"/>
      <w:r>
        <w:rPr>
          <w:highlight w:val="white"/>
        </w:rPr>
        <w:t>development</w:t>
      </w:r>
      <w:proofErr w:type="spellEnd"/>
      <w:r>
        <w:rPr>
          <w:highlight w:val="white"/>
        </w:rPr>
        <w:t xml:space="preserve"> of </w:t>
      </w:r>
      <w:proofErr w:type="spellStart"/>
      <w:r>
        <w:rPr>
          <w:highlight w:val="white"/>
        </w:rPr>
        <w:t>various</w:t>
      </w:r>
      <w:proofErr w:type="spellEnd"/>
      <w:r>
        <w:rPr>
          <w:highlight w:val="white"/>
        </w:rPr>
        <w:t xml:space="preserve"> </w:t>
      </w:r>
      <w:proofErr w:type="spellStart"/>
      <w:r>
        <w:rPr>
          <w:highlight w:val="white"/>
        </w:rPr>
        <w:t>methods</w:t>
      </w:r>
      <w:proofErr w:type="spellEnd"/>
      <w:r>
        <w:rPr>
          <w:highlight w:val="white"/>
        </w:rPr>
        <w:t xml:space="preserve"> </w:t>
      </w:r>
      <w:proofErr w:type="spellStart"/>
      <w:r>
        <w:rPr>
          <w:highlight w:val="white"/>
        </w:rPr>
        <w:t>for</w:t>
      </w:r>
      <w:proofErr w:type="spellEnd"/>
      <w:r>
        <w:rPr>
          <w:highlight w:val="white"/>
        </w:rPr>
        <w:t xml:space="preserve"> service </w:t>
      </w:r>
      <w:proofErr w:type="spellStart"/>
      <w:r w:rsidRPr="00505507">
        <w:t>delivery</w:t>
      </w:r>
      <w:proofErr w:type="spellEnd"/>
      <w:r w:rsidRPr="00505507">
        <w:t xml:space="preserve"> </w:t>
      </w:r>
      <w:proofErr w:type="spellStart"/>
      <w:r w:rsidRPr="00505507">
        <w:t>increases</w:t>
      </w:r>
      <w:proofErr w:type="spellEnd"/>
      <w:r w:rsidRPr="00505507">
        <w:t xml:space="preserve"> </w:t>
      </w:r>
      <w:proofErr w:type="spellStart"/>
      <w:r w:rsidRPr="00505507">
        <w:t>public</w:t>
      </w:r>
      <w:proofErr w:type="spellEnd"/>
      <w:r w:rsidRPr="00505507">
        <w:t xml:space="preserve"> </w:t>
      </w:r>
      <w:proofErr w:type="spellStart"/>
      <w:r w:rsidRPr="00505507">
        <w:t>expectations</w:t>
      </w:r>
      <w:proofErr w:type="spellEnd"/>
      <w:r w:rsidRPr="00505507">
        <w:t xml:space="preserve"> in </w:t>
      </w:r>
      <w:proofErr w:type="spellStart"/>
      <w:r w:rsidRPr="00505507">
        <w:t>this</w:t>
      </w:r>
      <w:proofErr w:type="spellEnd"/>
      <w:r w:rsidRPr="00505507">
        <w:t xml:space="preserve"> </w:t>
      </w:r>
      <w:proofErr w:type="spellStart"/>
      <w:r w:rsidRPr="00505507">
        <w:t>direction</w:t>
      </w:r>
      <w:proofErr w:type="spellEnd"/>
      <w:r w:rsidRPr="00505507">
        <w:t xml:space="preserve"> </w:t>
      </w:r>
      <w:proofErr w:type="spellStart"/>
      <w:r w:rsidRPr="00505507">
        <w:t>and</w:t>
      </w:r>
      <w:proofErr w:type="spellEnd"/>
      <w:r w:rsidRPr="00505507">
        <w:t xml:space="preserve"> </w:t>
      </w:r>
      <w:proofErr w:type="spellStart"/>
      <w:r w:rsidRPr="00505507">
        <w:t>forces</w:t>
      </w:r>
      <w:proofErr w:type="spellEnd"/>
      <w:r w:rsidRPr="00505507">
        <w:t xml:space="preserve"> </w:t>
      </w:r>
      <w:proofErr w:type="spellStart"/>
      <w:r w:rsidRPr="00505507">
        <w:t>the</w:t>
      </w:r>
      <w:proofErr w:type="spellEnd"/>
      <w:r w:rsidRPr="00505507">
        <w:t xml:space="preserve"> </w:t>
      </w:r>
      <w:proofErr w:type="spellStart"/>
      <w:r w:rsidRPr="00505507">
        <w:t>public</w:t>
      </w:r>
      <w:proofErr w:type="spellEnd"/>
      <w:r w:rsidRPr="00505507">
        <w:t xml:space="preserve"> </w:t>
      </w:r>
      <w:proofErr w:type="spellStart"/>
      <w:r w:rsidRPr="00505507">
        <w:t>sector</w:t>
      </w:r>
      <w:proofErr w:type="spellEnd"/>
      <w:r w:rsidRPr="00505507">
        <w:t xml:space="preserve"> </w:t>
      </w:r>
      <w:proofErr w:type="spellStart"/>
      <w:r w:rsidRPr="00505507">
        <w:t>to</w:t>
      </w:r>
      <w:proofErr w:type="spellEnd"/>
      <w:r w:rsidRPr="00505507">
        <w:t xml:space="preserve"> </w:t>
      </w:r>
      <w:proofErr w:type="spellStart"/>
      <w:r w:rsidRPr="00505507">
        <w:t>change</w:t>
      </w:r>
      <w:proofErr w:type="spellEnd"/>
      <w:r w:rsidRPr="00505507">
        <w:t xml:space="preserve">. </w:t>
      </w:r>
      <w:proofErr w:type="spellStart"/>
      <w:r w:rsidRPr="00505507">
        <w:t>The</w:t>
      </w:r>
      <w:proofErr w:type="spellEnd"/>
      <w:r w:rsidRPr="00505507">
        <w:t xml:space="preserve"> </w:t>
      </w:r>
      <w:proofErr w:type="spellStart"/>
      <w:r w:rsidRPr="00505507">
        <w:t>public</w:t>
      </w:r>
      <w:proofErr w:type="spellEnd"/>
      <w:r w:rsidRPr="00505507">
        <w:t xml:space="preserve"> </w:t>
      </w:r>
      <w:proofErr w:type="spellStart"/>
      <w:r w:rsidRPr="00505507">
        <w:t>sector</w:t>
      </w:r>
      <w:proofErr w:type="spellEnd"/>
      <w:r w:rsidRPr="00505507">
        <w:t xml:space="preserve"> </w:t>
      </w:r>
      <w:proofErr w:type="spellStart"/>
      <w:r w:rsidRPr="00505507">
        <w:t>sees</w:t>
      </w:r>
      <w:proofErr w:type="spellEnd"/>
      <w:r w:rsidRPr="00505507">
        <w:t xml:space="preserve"> </w:t>
      </w:r>
      <w:proofErr w:type="spellStart"/>
      <w:r w:rsidRPr="00505507">
        <w:t>the</w:t>
      </w:r>
      <w:proofErr w:type="spellEnd"/>
      <w:r w:rsidRPr="00505507">
        <w:t xml:space="preserve"> </w:t>
      </w:r>
      <w:proofErr w:type="spellStart"/>
      <w:r w:rsidRPr="00505507">
        <w:t>use</w:t>
      </w:r>
      <w:proofErr w:type="spellEnd"/>
      <w:r w:rsidRPr="00505507">
        <w:t xml:space="preserve"> of AI as an </w:t>
      </w:r>
      <w:proofErr w:type="spellStart"/>
      <w:r w:rsidRPr="00505507">
        <w:t>important</w:t>
      </w:r>
      <w:proofErr w:type="spellEnd"/>
      <w:r w:rsidRPr="00505507">
        <w:t xml:space="preserve"> </w:t>
      </w:r>
      <w:proofErr w:type="spellStart"/>
      <w:r w:rsidRPr="00505507">
        <w:t>component</w:t>
      </w:r>
      <w:proofErr w:type="spellEnd"/>
      <w:r w:rsidRPr="00505507">
        <w:t xml:space="preserve"> of </w:t>
      </w:r>
      <w:proofErr w:type="spellStart"/>
      <w:r w:rsidRPr="00505507">
        <w:t>plans</w:t>
      </w:r>
      <w:proofErr w:type="spellEnd"/>
      <w:r w:rsidRPr="00505507">
        <w:t xml:space="preserve"> </w:t>
      </w:r>
      <w:proofErr w:type="spellStart"/>
      <w:r w:rsidRPr="00505507">
        <w:t>to</w:t>
      </w:r>
      <w:proofErr w:type="spellEnd"/>
      <w:r w:rsidRPr="00505507">
        <w:t xml:space="preserve"> </w:t>
      </w:r>
      <w:proofErr w:type="spellStart"/>
      <w:r w:rsidRPr="00505507">
        <w:t>make</w:t>
      </w:r>
      <w:proofErr w:type="spellEnd"/>
      <w:r w:rsidRPr="00505507">
        <w:t xml:space="preserve"> </w:t>
      </w:r>
      <w:proofErr w:type="spellStart"/>
      <w:r w:rsidRPr="00505507">
        <w:t>public</w:t>
      </w:r>
      <w:proofErr w:type="spellEnd"/>
      <w:r w:rsidRPr="00505507">
        <w:t xml:space="preserve"> </w:t>
      </w:r>
      <w:proofErr w:type="spellStart"/>
      <w:r w:rsidRPr="00505507">
        <w:t>services</w:t>
      </w:r>
      <w:proofErr w:type="spellEnd"/>
      <w:r w:rsidRPr="00505507">
        <w:t xml:space="preserve">, </w:t>
      </w:r>
      <w:proofErr w:type="spellStart"/>
      <w:r w:rsidRPr="00505507">
        <w:t>policies</w:t>
      </w:r>
      <w:proofErr w:type="spellEnd"/>
      <w:r w:rsidRPr="00505507">
        <w:t xml:space="preserve">, </w:t>
      </w:r>
      <w:proofErr w:type="spellStart"/>
      <w:r w:rsidRPr="00505507">
        <w:t>and</w:t>
      </w:r>
      <w:proofErr w:type="spellEnd"/>
      <w:r w:rsidRPr="00505507">
        <w:t xml:space="preserve"> </w:t>
      </w:r>
      <w:proofErr w:type="spellStart"/>
      <w:r w:rsidRPr="00505507">
        <w:t>institutions</w:t>
      </w:r>
      <w:proofErr w:type="spellEnd"/>
      <w:r w:rsidRPr="00505507">
        <w:t xml:space="preserve"> </w:t>
      </w:r>
      <w:proofErr w:type="spellStart"/>
      <w:r w:rsidRPr="00505507">
        <w:t>more</w:t>
      </w:r>
      <w:proofErr w:type="spellEnd"/>
      <w:r w:rsidRPr="00505507">
        <w:t xml:space="preserve"> </w:t>
      </w:r>
      <w:proofErr w:type="spellStart"/>
      <w:r w:rsidRPr="00505507">
        <w:t>efficient</w:t>
      </w:r>
      <w:proofErr w:type="spellEnd"/>
      <w:r w:rsidRPr="00505507">
        <w:t xml:space="preserve">, </w:t>
      </w:r>
      <w:proofErr w:type="spellStart"/>
      <w:r w:rsidRPr="00505507">
        <w:t>and</w:t>
      </w:r>
      <w:proofErr w:type="spellEnd"/>
      <w:r w:rsidRPr="00505507">
        <w:t xml:space="preserve"> it is </w:t>
      </w:r>
      <w:proofErr w:type="spellStart"/>
      <w:r w:rsidRPr="00505507">
        <w:t>increasingly</w:t>
      </w:r>
      <w:proofErr w:type="spellEnd"/>
      <w:r w:rsidRPr="00505507">
        <w:t xml:space="preserve"> </w:t>
      </w:r>
      <w:proofErr w:type="spellStart"/>
      <w:r w:rsidRPr="00505507">
        <w:t>being</w:t>
      </w:r>
      <w:proofErr w:type="spellEnd"/>
      <w:r w:rsidRPr="00505507">
        <w:t xml:space="preserve"> </w:t>
      </w:r>
      <w:proofErr w:type="spellStart"/>
      <w:r w:rsidRPr="00505507">
        <w:t>discussed</w:t>
      </w:r>
      <w:proofErr w:type="spellEnd"/>
      <w:r w:rsidRPr="00505507">
        <w:t xml:space="preserve"> (</w:t>
      </w:r>
      <w:proofErr w:type="spellStart"/>
      <w:r w:rsidRPr="00505507">
        <w:t>Bailey</w:t>
      </w:r>
      <w:proofErr w:type="spellEnd"/>
      <w:r w:rsidRPr="00505507">
        <w:t xml:space="preserve"> </w:t>
      </w:r>
      <w:proofErr w:type="spellStart"/>
      <w:r w:rsidRPr="00505507">
        <w:t>and</w:t>
      </w:r>
      <w:proofErr w:type="spellEnd"/>
      <w:r w:rsidRPr="00505507">
        <w:t xml:space="preserve"> </w:t>
      </w:r>
      <w:proofErr w:type="spellStart"/>
      <w:r w:rsidRPr="00505507">
        <w:t>Barley</w:t>
      </w:r>
      <w:proofErr w:type="spellEnd"/>
      <w:r w:rsidRPr="00505507">
        <w:t>, 2019).</w:t>
      </w:r>
    </w:p>
    <w:p w14:paraId="7DBB0246" w14:textId="77777777" w:rsidR="008A2109" w:rsidRPr="00505507" w:rsidRDefault="008A2109" w:rsidP="008A2109">
      <w:pPr>
        <w:jc w:val="both"/>
      </w:pPr>
    </w:p>
    <w:p w14:paraId="7E2894D2" w14:textId="77777777" w:rsidR="008A2109" w:rsidRDefault="008A2109" w:rsidP="008A2109">
      <w:pPr>
        <w:jc w:val="both"/>
        <w:rPr>
          <w:color w:val="222222"/>
        </w:rPr>
      </w:pPr>
      <w:proofErr w:type="spellStart"/>
      <w:r w:rsidRPr="00505507">
        <w:t>Every</w:t>
      </w:r>
      <w:proofErr w:type="spellEnd"/>
      <w:r w:rsidRPr="00505507">
        <w:t xml:space="preserve"> </w:t>
      </w:r>
      <w:proofErr w:type="spellStart"/>
      <w:r w:rsidRPr="00505507">
        <w:t>aspect</w:t>
      </w:r>
      <w:proofErr w:type="spellEnd"/>
      <w:r w:rsidRPr="00505507">
        <w:t xml:space="preserve"> of </w:t>
      </w:r>
      <w:proofErr w:type="spellStart"/>
      <w:r w:rsidRPr="00505507">
        <w:t>society</w:t>
      </w:r>
      <w:proofErr w:type="spellEnd"/>
      <w:r w:rsidRPr="00505507">
        <w:t xml:space="preserve"> is </w:t>
      </w:r>
      <w:proofErr w:type="spellStart"/>
      <w:r w:rsidRPr="00505507">
        <w:t>impacted</w:t>
      </w:r>
      <w:proofErr w:type="spellEnd"/>
      <w:r w:rsidRPr="00505507">
        <w:t xml:space="preserve"> </w:t>
      </w:r>
      <w:proofErr w:type="spellStart"/>
      <w:r w:rsidRPr="00505507">
        <w:t>by</w:t>
      </w:r>
      <w:proofErr w:type="spellEnd"/>
      <w:r w:rsidRPr="00505507">
        <w:t xml:space="preserve"> </w:t>
      </w:r>
      <w:proofErr w:type="spellStart"/>
      <w:r w:rsidRPr="00505507">
        <w:t>digital</w:t>
      </w:r>
      <w:proofErr w:type="spellEnd"/>
      <w:r w:rsidRPr="00505507">
        <w:t xml:space="preserve"> </w:t>
      </w:r>
      <w:proofErr w:type="spellStart"/>
      <w:r w:rsidRPr="00505507">
        <w:t>transformation</w:t>
      </w:r>
      <w:proofErr w:type="spellEnd"/>
      <w:r>
        <w:t xml:space="preserve">, </w:t>
      </w:r>
      <w:proofErr w:type="spellStart"/>
      <w:r>
        <w:t>especially</w:t>
      </w:r>
      <w:proofErr w:type="spellEnd"/>
      <w:r>
        <w:t xml:space="preserve"> </w:t>
      </w:r>
      <w:proofErr w:type="spellStart"/>
      <w:r>
        <w:t>the</w:t>
      </w:r>
      <w:proofErr w:type="spellEnd"/>
      <w:r>
        <w:t xml:space="preserve"> global </w:t>
      </w:r>
      <w:proofErr w:type="spellStart"/>
      <w:r>
        <w:t>economy</w:t>
      </w:r>
      <w:proofErr w:type="spellEnd"/>
      <w:r>
        <w:t xml:space="preserve">. </w:t>
      </w:r>
      <w:proofErr w:type="spellStart"/>
      <w:r>
        <w:t>Businesses</w:t>
      </w:r>
      <w:proofErr w:type="spellEnd"/>
      <w:r>
        <w:t xml:space="preserve"> in </w:t>
      </w:r>
      <w:proofErr w:type="spellStart"/>
      <w:r>
        <w:t>both</w:t>
      </w:r>
      <w:proofErr w:type="spellEnd"/>
      <w:r>
        <w:t xml:space="preserve"> </w:t>
      </w:r>
      <w:proofErr w:type="spellStart"/>
      <w:r>
        <w:t>the</w:t>
      </w:r>
      <w:proofErr w:type="spellEnd"/>
      <w:r>
        <w:t xml:space="preserve"> </w:t>
      </w:r>
      <w:proofErr w:type="spellStart"/>
      <w:r>
        <w:t>public</w:t>
      </w:r>
      <w:proofErr w:type="spellEnd"/>
      <w:r>
        <w:t xml:space="preserve"> </w:t>
      </w:r>
      <w:proofErr w:type="spellStart"/>
      <w:r>
        <w:t>and</w:t>
      </w:r>
      <w:proofErr w:type="spellEnd"/>
      <w:r>
        <w:t xml:space="preserve"> </w:t>
      </w:r>
      <w:proofErr w:type="spellStart"/>
      <w:r>
        <w:t>private</w:t>
      </w:r>
      <w:proofErr w:type="spellEnd"/>
      <w:r>
        <w:t xml:space="preserve"> </w:t>
      </w:r>
      <w:proofErr w:type="spellStart"/>
      <w:r>
        <w:t>sectors</w:t>
      </w:r>
      <w:proofErr w:type="spellEnd"/>
      <w:r>
        <w:t xml:space="preserve"> </w:t>
      </w:r>
      <w:proofErr w:type="spellStart"/>
      <w:r>
        <w:t>now</w:t>
      </w:r>
      <w:proofErr w:type="spellEnd"/>
      <w:r>
        <w:t xml:space="preserve"> </w:t>
      </w:r>
      <w:proofErr w:type="spellStart"/>
      <w:r>
        <w:t>have</w:t>
      </w:r>
      <w:proofErr w:type="spellEnd"/>
      <w:r>
        <w:t xml:space="preserve"> </w:t>
      </w:r>
      <w:proofErr w:type="spellStart"/>
      <w:r>
        <w:t>the</w:t>
      </w:r>
      <w:proofErr w:type="spellEnd"/>
      <w:r>
        <w:t xml:space="preserve"> </w:t>
      </w:r>
      <w:proofErr w:type="spellStart"/>
      <w:r>
        <w:t>chance</w:t>
      </w:r>
      <w:proofErr w:type="spellEnd"/>
      <w:r>
        <w:t xml:space="preserve"> </w:t>
      </w:r>
      <w:proofErr w:type="spellStart"/>
      <w:r>
        <w:t>to</w:t>
      </w:r>
      <w:proofErr w:type="spellEnd"/>
      <w:r>
        <w:t xml:space="preserve"> </w:t>
      </w:r>
      <w:proofErr w:type="spellStart"/>
      <w:r>
        <w:t>fundamentally</w:t>
      </w:r>
      <w:proofErr w:type="spellEnd"/>
      <w:r>
        <w:t xml:space="preserve"> alter </w:t>
      </w:r>
      <w:proofErr w:type="spellStart"/>
      <w:r>
        <w:t>their</w:t>
      </w:r>
      <w:proofErr w:type="spellEnd"/>
      <w:r>
        <w:t xml:space="preserve"> </w:t>
      </w:r>
      <w:proofErr w:type="spellStart"/>
      <w:r>
        <w:t>business</w:t>
      </w:r>
      <w:proofErr w:type="spellEnd"/>
      <w:r>
        <w:t xml:space="preserve"> </w:t>
      </w:r>
      <w:proofErr w:type="spellStart"/>
      <w:r>
        <w:t>models</w:t>
      </w:r>
      <w:proofErr w:type="spellEnd"/>
      <w:r>
        <w:t xml:space="preserve"> </w:t>
      </w:r>
      <w:proofErr w:type="spellStart"/>
      <w:r>
        <w:t>thanks</w:t>
      </w:r>
      <w:proofErr w:type="spellEnd"/>
      <w:r>
        <w:t xml:space="preserve"> </w:t>
      </w:r>
      <w:proofErr w:type="spellStart"/>
      <w:r>
        <w:t>to</w:t>
      </w:r>
      <w:proofErr w:type="spellEnd"/>
      <w:r>
        <w:t xml:space="preserve"> </w:t>
      </w:r>
      <w:proofErr w:type="spellStart"/>
      <w:r>
        <w:t>new</w:t>
      </w:r>
      <w:proofErr w:type="spellEnd"/>
      <w:r>
        <w:t xml:space="preserve"> </w:t>
      </w:r>
      <w:proofErr w:type="spellStart"/>
      <w:r>
        <w:t>digital</w:t>
      </w:r>
      <w:proofErr w:type="spellEnd"/>
      <w:r>
        <w:t xml:space="preserve"> </w:t>
      </w:r>
      <w:proofErr w:type="spellStart"/>
      <w:r>
        <w:t>technologies</w:t>
      </w:r>
      <w:proofErr w:type="spellEnd"/>
      <w:r>
        <w:t xml:space="preserve"> </w:t>
      </w:r>
      <w:proofErr w:type="spellStart"/>
      <w:r>
        <w:t>like</w:t>
      </w:r>
      <w:proofErr w:type="spellEnd"/>
      <w:r>
        <w:t xml:space="preserve"> </w:t>
      </w:r>
      <w:proofErr w:type="spellStart"/>
      <w:r>
        <w:t>blockchain</w:t>
      </w:r>
      <w:proofErr w:type="spellEnd"/>
      <w:r>
        <w:t xml:space="preserve">, </w:t>
      </w:r>
      <w:proofErr w:type="spellStart"/>
      <w:r>
        <w:t>social</w:t>
      </w:r>
      <w:proofErr w:type="spellEnd"/>
      <w:r>
        <w:t xml:space="preserve"> </w:t>
      </w:r>
      <w:proofErr w:type="spellStart"/>
      <w:r>
        <w:t>networks</w:t>
      </w:r>
      <w:proofErr w:type="spellEnd"/>
      <w:r>
        <w:t xml:space="preserve">, mobile, </w:t>
      </w:r>
      <w:proofErr w:type="spellStart"/>
      <w:r>
        <w:t>big</w:t>
      </w:r>
      <w:proofErr w:type="spellEnd"/>
      <w:r>
        <w:t xml:space="preserve"> </w:t>
      </w:r>
      <w:proofErr w:type="gramStart"/>
      <w:r>
        <w:t>data</w:t>
      </w:r>
      <w:proofErr w:type="gramEnd"/>
      <w:r>
        <w:t xml:space="preserve">, </w:t>
      </w:r>
      <w:proofErr w:type="spellStart"/>
      <w:r>
        <w:t>and</w:t>
      </w:r>
      <w:proofErr w:type="spellEnd"/>
      <w:r>
        <w:t xml:space="preserve"> </w:t>
      </w:r>
      <w:proofErr w:type="spellStart"/>
      <w:r>
        <w:t>the</w:t>
      </w:r>
      <w:proofErr w:type="spellEnd"/>
      <w:r>
        <w:t xml:space="preserve"> Internet of </w:t>
      </w:r>
      <w:proofErr w:type="spellStart"/>
      <w:r>
        <w:t>things</w:t>
      </w:r>
      <w:proofErr w:type="spellEnd"/>
      <w:r w:rsidRPr="00566FAF">
        <w:t xml:space="preserve"> (</w:t>
      </w:r>
      <w:proofErr w:type="spellStart"/>
      <w:r w:rsidRPr="00566FAF">
        <w:rPr>
          <w:color w:val="222222"/>
        </w:rPr>
        <w:t>Bhumichai</w:t>
      </w:r>
      <w:proofErr w:type="spellEnd"/>
      <w:r w:rsidRPr="00566FAF">
        <w:rPr>
          <w:color w:val="222222"/>
        </w:rPr>
        <w:t>, et.</w:t>
      </w:r>
      <w:r>
        <w:rPr>
          <w:color w:val="222222"/>
        </w:rPr>
        <w:t xml:space="preserve"> </w:t>
      </w:r>
      <w:proofErr w:type="spellStart"/>
      <w:proofErr w:type="gramStart"/>
      <w:r w:rsidRPr="00566FAF">
        <w:rPr>
          <w:color w:val="222222"/>
        </w:rPr>
        <w:t>a</w:t>
      </w:r>
      <w:r>
        <w:rPr>
          <w:color w:val="222222"/>
        </w:rPr>
        <w:t>l</w:t>
      </w:r>
      <w:r w:rsidRPr="00566FAF">
        <w:rPr>
          <w:color w:val="222222"/>
        </w:rPr>
        <w:t>l</w:t>
      </w:r>
      <w:proofErr w:type="spellEnd"/>
      <w:proofErr w:type="gramEnd"/>
      <w:r w:rsidRPr="00566FAF">
        <w:rPr>
          <w:color w:val="222222"/>
        </w:rPr>
        <w:t>, 2024</w:t>
      </w:r>
      <w:r>
        <w:rPr>
          <w:color w:val="222222"/>
        </w:rPr>
        <w:t xml:space="preserve">, p. </w:t>
      </w:r>
      <w:r w:rsidRPr="00566FAF">
        <w:rPr>
          <w:color w:val="222222"/>
        </w:rPr>
        <w:t>7).</w:t>
      </w:r>
    </w:p>
    <w:p w14:paraId="370B4245" w14:textId="77777777" w:rsidR="008A2109" w:rsidRDefault="008A2109" w:rsidP="008A2109">
      <w:pPr>
        <w:jc w:val="both"/>
      </w:pPr>
    </w:p>
    <w:p w14:paraId="75E247BA" w14:textId="77777777" w:rsidR="008A2109" w:rsidRDefault="008A2109" w:rsidP="008A2109">
      <w:pPr>
        <w:jc w:val="both"/>
      </w:pP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provides</w:t>
      </w:r>
      <w:proofErr w:type="spellEnd"/>
      <w:r>
        <w:t xml:space="preserve"> </w:t>
      </w:r>
      <w:proofErr w:type="spellStart"/>
      <w:r>
        <w:t>public</w:t>
      </w:r>
      <w:proofErr w:type="spellEnd"/>
      <w:r>
        <w:t xml:space="preserve"> </w:t>
      </w:r>
      <w:proofErr w:type="spellStart"/>
      <w:r>
        <w:t>services</w:t>
      </w:r>
      <w:proofErr w:type="spellEnd"/>
      <w:r>
        <w:t xml:space="preserve"> in </w:t>
      </w:r>
      <w:proofErr w:type="spellStart"/>
      <w:r>
        <w:t>basic</w:t>
      </w:r>
      <w:proofErr w:type="spellEnd"/>
      <w:r>
        <w:t xml:space="preserve"> </w:t>
      </w:r>
      <w:proofErr w:type="spellStart"/>
      <w:r>
        <w:t>areas</w:t>
      </w:r>
      <w:proofErr w:type="spellEnd"/>
      <w:r>
        <w:t xml:space="preserve"> </w:t>
      </w:r>
      <w:proofErr w:type="spellStart"/>
      <w:r>
        <w:t>such</w:t>
      </w:r>
      <w:proofErr w:type="spellEnd"/>
      <w:r>
        <w:t xml:space="preserve"> as </w:t>
      </w:r>
      <w:proofErr w:type="spellStart"/>
      <w:r>
        <w:t>health</w:t>
      </w:r>
      <w:proofErr w:type="spellEnd"/>
      <w:r>
        <w:t xml:space="preserve">, </w:t>
      </w:r>
      <w:proofErr w:type="spellStart"/>
      <w:r>
        <w:t>housing</w:t>
      </w:r>
      <w:proofErr w:type="spellEnd"/>
      <w:r>
        <w:t xml:space="preserve">, </w:t>
      </w:r>
      <w:proofErr w:type="spellStart"/>
      <w:r>
        <w:t>education</w:t>
      </w:r>
      <w:proofErr w:type="spellEnd"/>
      <w:r>
        <w:t xml:space="preserve">, </w:t>
      </w:r>
      <w:proofErr w:type="spellStart"/>
      <w:r>
        <w:t>and</w:t>
      </w:r>
      <w:proofErr w:type="spellEnd"/>
      <w:r>
        <w:t xml:space="preserve"> </w:t>
      </w:r>
      <w:proofErr w:type="spellStart"/>
      <w:r>
        <w:t>social</w:t>
      </w:r>
      <w:proofErr w:type="spellEnd"/>
      <w:r>
        <w:t xml:space="preserve"> </w:t>
      </w:r>
      <w:proofErr w:type="spellStart"/>
      <w:r>
        <w:t>assistance</w:t>
      </w:r>
      <w:proofErr w:type="spellEnd"/>
      <w:r>
        <w:t xml:space="preserve"> (</w:t>
      </w:r>
      <w:proofErr w:type="spellStart"/>
      <w:r>
        <w:t>Walsh</w:t>
      </w:r>
      <w:proofErr w:type="spellEnd"/>
      <w:r>
        <w:t xml:space="preserve">, 1991). </w:t>
      </w:r>
      <w:proofErr w:type="spellStart"/>
      <w:r>
        <w:t>The</w:t>
      </w:r>
      <w:proofErr w:type="spellEnd"/>
      <w:r>
        <w:t xml:space="preserve"> </w:t>
      </w:r>
      <w:proofErr w:type="spellStart"/>
      <w:r>
        <w:t>services</w:t>
      </w:r>
      <w:proofErr w:type="spellEnd"/>
      <w:r>
        <w:t xml:space="preserve"> </w:t>
      </w:r>
      <w:proofErr w:type="spellStart"/>
      <w:r>
        <w:t>provided</w:t>
      </w:r>
      <w:proofErr w:type="spellEnd"/>
      <w:r>
        <w:t xml:space="preserve"> </w:t>
      </w:r>
      <w:proofErr w:type="spellStart"/>
      <w:r>
        <w:t>by</w:t>
      </w:r>
      <w:proofErr w:type="spellEnd"/>
      <w:r>
        <w:t xml:space="preserve">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are</w:t>
      </w:r>
      <w:proofErr w:type="spellEnd"/>
      <w:r>
        <w:t xml:space="preserve"> </w:t>
      </w:r>
      <w:proofErr w:type="spellStart"/>
      <w:r>
        <w:t>categorized</w:t>
      </w:r>
      <w:proofErr w:type="spellEnd"/>
      <w:r>
        <w:t xml:space="preserve"> in </w:t>
      </w:r>
      <w:proofErr w:type="spellStart"/>
      <w:r>
        <w:t>various</w:t>
      </w:r>
      <w:proofErr w:type="spellEnd"/>
      <w:r>
        <w:t xml:space="preserve"> </w:t>
      </w:r>
      <w:proofErr w:type="spellStart"/>
      <w:r>
        <w:t>ways</w:t>
      </w:r>
      <w:proofErr w:type="spellEnd"/>
      <w:r>
        <w:t xml:space="preserve"> in </w:t>
      </w:r>
      <w:proofErr w:type="spellStart"/>
      <w:r>
        <w:t>the</w:t>
      </w:r>
      <w:proofErr w:type="spellEnd"/>
      <w:r>
        <w:t xml:space="preserve"> </w:t>
      </w:r>
      <w:proofErr w:type="spellStart"/>
      <w:r>
        <w:t>literature</w:t>
      </w:r>
      <w:proofErr w:type="spellEnd"/>
      <w:r>
        <w:t xml:space="preserve">. First, it </w:t>
      </w:r>
      <w:proofErr w:type="spellStart"/>
      <w:r>
        <w:t>covers</w:t>
      </w:r>
      <w:proofErr w:type="spellEnd"/>
      <w:r>
        <w:t xml:space="preserve"> </w:t>
      </w:r>
      <w:proofErr w:type="spellStart"/>
      <w:r>
        <w:t>all</w:t>
      </w:r>
      <w:proofErr w:type="spellEnd"/>
      <w:r>
        <w:t xml:space="preserve"> </w:t>
      </w:r>
      <w:proofErr w:type="spellStart"/>
      <w:r>
        <w:t>services</w:t>
      </w:r>
      <w:proofErr w:type="spellEnd"/>
      <w:r>
        <w:t xml:space="preserve"> </w:t>
      </w:r>
      <w:proofErr w:type="spellStart"/>
      <w:r>
        <w:t>that</w:t>
      </w:r>
      <w:proofErr w:type="spellEnd"/>
      <w:r>
        <w:t xml:space="preserve"> </w:t>
      </w:r>
      <w:proofErr w:type="spellStart"/>
      <w:r>
        <w:t>represent</w:t>
      </w:r>
      <w:proofErr w:type="spellEnd"/>
      <w:r>
        <w:t xml:space="preserve"> </w:t>
      </w:r>
      <w:proofErr w:type="spellStart"/>
      <w:r>
        <w:t>citizens</w:t>
      </w:r>
      <w:proofErr w:type="spellEnd"/>
      <w:r>
        <w:t xml:space="preserve"> </w:t>
      </w:r>
      <w:proofErr w:type="spellStart"/>
      <w:r>
        <w:t>administratively</w:t>
      </w:r>
      <w:proofErr w:type="spellEnd"/>
      <w:r>
        <w:t xml:space="preserve"> </w:t>
      </w:r>
      <w:proofErr w:type="spellStart"/>
      <w:r>
        <w:t>and</w:t>
      </w:r>
      <w:proofErr w:type="spellEnd"/>
      <w:r>
        <w:t xml:space="preserve"> </w:t>
      </w:r>
      <w:proofErr w:type="spellStart"/>
      <w:r>
        <w:t>socially</w:t>
      </w:r>
      <w:proofErr w:type="spellEnd"/>
      <w:r>
        <w:t xml:space="preserve">, </w:t>
      </w:r>
      <w:proofErr w:type="spellStart"/>
      <w:r>
        <w:t>related</w:t>
      </w:r>
      <w:proofErr w:type="spellEnd"/>
      <w:r>
        <w:t xml:space="preserve"> </w:t>
      </w:r>
      <w:proofErr w:type="spellStart"/>
      <w:r>
        <w:t>to</w:t>
      </w:r>
      <w:proofErr w:type="spellEnd"/>
      <w:r>
        <w:t xml:space="preserve"> </w:t>
      </w:r>
      <w:proofErr w:type="spellStart"/>
      <w:r>
        <w:t>management</w:t>
      </w:r>
      <w:proofErr w:type="spellEnd"/>
      <w:r>
        <w:t xml:space="preserve">, </w:t>
      </w:r>
      <w:proofErr w:type="spellStart"/>
      <w:r>
        <w:t>social</w:t>
      </w:r>
      <w:proofErr w:type="spellEnd"/>
      <w:r>
        <w:t xml:space="preserve"> </w:t>
      </w:r>
      <w:proofErr w:type="spellStart"/>
      <w:r>
        <w:t>and</w:t>
      </w:r>
      <w:proofErr w:type="spellEnd"/>
      <w:r>
        <w:t xml:space="preserve"> </w:t>
      </w:r>
      <w:proofErr w:type="spellStart"/>
      <w:r>
        <w:t>educational</w:t>
      </w:r>
      <w:proofErr w:type="spellEnd"/>
      <w:r>
        <w:t xml:space="preserve"> </w:t>
      </w:r>
      <w:proofErr w:type="spellStart"/>
      <w:r>
        <w:t>affairs</w:t>
      </w:r>
      <w:proofErr w:type="spellEnd"/>
      <w:r>
        <w:t xml:space="preserve">, </w:t>
      </w:r>
      <w:proofErr w:type="spellStart"/>
      <w:r>
        <w:t>and</w:t>
      </w:r>
      <w:proofErr w:type="spellEnd"/>
      <w:r>
        <w:t xml:space="preserve"> can be </w:t>
      </w:r>
      <w:proofErr w:type="spellStart"/>
      <w:r>
        <w:t>seen</w:t>
      </w:r>
      <w:proofErr w:type="spellEnd"/>
      <w:r>
        <w:t xml:space="preserve"> as a general </w:t>
      </w:r>
      <w:proofErr w:type="spellStart"/>
      <w:r>
        <w:t>support</w:t>
      </w:r>
      <w:proofErr w:type="spellEnd"/>
      <w:r>
        <w:t xml:space="preserve"> </w:t>
      </w:r>
      <w:proofErr w:type="spellStart"/>
      <w:r>
        <w:t>for</w:t>
      </w:r>
      <w:proofErr w:type="spellEnd"/>
      <w:r>
        <w:t xml:space="preserve"> </w:t>
      </w:r>
      <w:proofErr w:type="spellStart"/>
      <w:r>
        <w:t>organizing</w:t>
      </w:r>
      <w:proofErr w:type="spellEnd"/>
      <w:r>
        <w:t xml:space="preserve"> </w:t>
      </w:r>
      <w:proofErr w:type="spellStart"/>
      <w:r>
        <w:t>personal</w:t>
      </w:r>
      <w:proofErr w:type="spellEnd"/>
      <w:r>
        <w:t xml:space="preserve"> life. Second, </w:t>
      </w:r>
      <w:proofErr w:type="spellStart"/>
      <w:r>
        <w:t>the</w:t>
      </w:r>
      <w:proofErr w:type="spellEnd"/>
      <w:r>
        <w:t xml:space="preserve"> </w:t>
      </w:r>
      <w:proofErr w:type="spellStart"/>
      <w:r>
        <w:t>security</w:t>
      </w:r>
      <w:proofErr w:type="spellEnd"/>
      <w:r>
        <w:t xml:space="preserve"> </w:t>
      </w:r>
      <w:proofErr w:type="spellStart"/>
      <w:r>
        <w:t>and</w:t>
      </w:r>
      <w:proofErr w:type="spellEnd"/>
      <w:r>
        <w:t xml:space="preserve"> </w:t>
      </w:r>
      <w:proofErr w:type="spellStart"/>
      <w:r>
        <w:t>health</w:t>
      </w:r>
      <w:proofErr w:type="spellEnd"/>
      <w:r>
        <w:t xml:space="preserve"> </w:t>
      </w:r>
      <w:proofErr w:type="spellStart"/>
      <w:r>
        <w:t>area</w:t>
      </w:r>
      <w:proofErr w:type="spellEnd"/>
      <w:r>
        <w:t xml:space="preserve"> </w:t>
      </w:r>
      <w:proofErr w:type="spellStart"/>
      <w:r>
        <w:t>covers</w:t>
      </w:r>
      <w:proofErr w:type="spellEnd"/>
      <w:r>
        <w:t xml:space="preserve"> </w:t>
      </w:r>
      <w:proofErr w:type="spellStart"/>
      <w:r>
        <w:t>all</w:t>
      </w:r>
      <w:proofErr w:type="spellEnd"/>
      <w:r>
        <w:t xml:space="preserve"> </w:t>
      </w:r>
      <w:proofErr w:type="spellStart"/>
      <w:r>
        <w:t>services</w:t>
      </w:r>
      <w:proofErr w:type="spellEnd"/>
      <w:r>
        <w:t xml:space="preserve"> </w:t>
      </w:r>
      <w:proofErr w:type="spellStart"/>
      <w:r>
        <w:t>that</w:t>
      </w:r>
      <w:proofErr w:type="spellEnd"/>
      <w:r>
        <w:t xml:space="preserve"> </w:t>
      </w:r>
      <w:proofErr w:type="spellStart"/>
      <w:r>
        <w:t>support</w:t>
      </w:r>
      <w:proofErr w:type="spellEnd"/>
      <w:r>
        <w:t xml:space="preserve"> </w:t>
      </w:r>
      <w:proofErr w:type="spellStart"/>
      <w:r>
        <w:t>the</w:t>
      </w:r>
      <w:proofErr w:type="spellEnd"/>
      <w:r>
        <w:t xml:space="preserve"> </w:t>
      </w:r>
      <w:proofErr w:type="spellStart"/>
      <w:r>
        <w:t>protection</w:t>
      </w:r>
      <w:proofErr w:type="spellEnd"/>
      <w:r>
        <w:t xml:space="preserve"> of </w:t>
      </w:r>
      <w:proofErr w:type="spellStart"/>
      <w:r>
        <w:t>the</w:t>
      </w:r>
      <w:proofErr w:type="spellEnd"/>
      <w:r>
        <w:t xml:space="preserve"> </w:t>
      </w:r>
      <w:proofErr w:type="spellStart"/>
      <w:r>
        <w:t>physical</w:t>
      </w:r>
      <w:proofErr w:type="spellEnd"/>
      <w:r>
        <w:t xml:space="preserve"> </w:t>
      </w:r>
      <w:proofErr w:type="spellStart"/>
      <w:r>
        <w:t>integrity</w:t>
      </w:r>
      <w:proofErr w:type="spellEnd"/>
      <w:r>
        <w:t xml:space="preserve"> of </w:t>
      </w:r>
      <w:proofErr w:type="spellStart"/>
      <w:r>
        <w:t>citizens</w:t>
      </w:r>
      <w:proofErr w:type="spellEnd"/>
      <w:r>
        <w:t xml:space="preserve">. </w:t>
      </w:r>
      <w:proofErr w:type="spellStart"/>
      <w:r>
        <w:t>Finally</w:t>
      </w:r>
      <w:proofErr w:type="spellEnd"/>
      <w:r>
        <w:t xml:space="preserve">, </w:t>
      </w:r>
      <w:proofErr w:type="spellStart"/>
      <w:r>
        <w:t>the</w:t>
      </w:r>
      <w:proofErr w:type="spellEnd"/>
      <w:r>
        <w:t xml:space="preserve"> </w:t>
      </w:r>
      <w:proofErr w:type="spellStart"/>
      <w:r>
        <w:t>infrastructure</w:t>
      </w:r>
      <w:proofErr w:type="spellEnd"/>
      <w:r>
        <w:t xml:space="preserve"> </w:t>
      </w:r>
      <w:proofErr w:type="spellStart"/>
      <w:r>
        <w:t>area</w:t>
      </w:r>
      <w:proofErr w:type="spellEnd"/>
      <w:r>
        <w:t xml:space="preserve"> </w:t>
      </w:r>
      <w:proofErr w:type="spellStart"/>
      <w:r>
        <w:t>includes</w:t>
      </w:r>
      <w:proofErr w:type="spellEnd"/>
      <w:r>
        <w:t xml:space="preserve"> </w:t>
      </w:r>
      <w:proofErr w:type="spellStart"/>
      <w:r>
        <w:t>services</w:t>
      </w:r>
      <w:proofErr w:type="spellEnd"/>
      <w:r>
        <w:t xml:space="preserve"> </w:t>
      </w:r>
      <w:proofErr w:type="spellStart"/>
      <w:r>
        <w:t>that</w:t>
      </w:r>
      <w:proofErr w:type="spellEnd"/>
      <w:r>
        <w:t xml:space="preserve"> </w:t>
      </w:r>
      <w:proofErr w:type="spellStart"/>
      <w:r>
        <w:t>support</w:t>
      </w:r>
      <w:proofErr w:type="spellEnd"/>
      <w:r>
        <w:t xml:space="preserve"> </w:t>
      </w:r>
      <w:proofErr w:type="spellStart"/>
      <w:r>
        <w:t>the</w:t>
      </w:r>
      <w:proofErr w:type="spellEnd"/>
      <w:r>
        <w:t xml:space="preserve"> </w:t>
      </w:r>
      <w:proofErr w:type="spellStart"/>
      <w:r>
        <w:t>economic</w:t>
      </w:r>
      <w:proofErr w:type="spellEnd"/>
      <w:r>
        <w:t xml:space="preserve"> </w:t>
      </w:r>
      <w:proofErr w:type="spellStart"/>
      <w:r>
        <w:t>and</w:t>
      </w:r>
      <w:proofErr w:type="spellEnd"/>
      <w:r>
        <w:t xml:space="preserve"> </w:t>
      </w:r>
      <w:proofErr w:type="spellStart"/>
      <w:r>
        <w:t>organizational</w:t>
      </w:r>
      <w:proofErr w:type="spellEnd"/>
      <w:r>
        <w:t xml:space="preserve"> </w:t>
      </w:r>
      <w:proofErr w:type="spellStart"/>
      <w:r>
        <w:t>interests</w:t>
      </w:r>
      <w:proofErr w:type="spellEnd"/>
      <w:r>
        <w:t xml:space="preserve"> of </w:t>
      </w:r>
      <w:proofErr w:type="spellStart"/>
      <w:r>
        <w:t>the</w:t>
      </w:r>
      <w:proofErr w:type="spellEnd"/>
      <w:r>
        <w:t xml:space="preserve"> </w:t>
      </w:r>
      <w:proofErr w:type="spellStart"/>
      <w:r>
        <w:t>national</w:t>
      </w:r>
      <w:proofErr w:type="spellEnd"/>
      <w:r>
        <w:t xml:space="preserve"> </w:t>
      </w:r>
      <w:proofErr w:type="spellStart"/>
      <w:r>
        <w:t>economy</w:t>
      </w:r>
      <w:proofErr w:type="spellEnd"/>
      <w:r>
        <w:t xml:space="preserve">.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which</w:t>
      </w:r>
      <w:proofErr w:type="spellEnd"/>
      <w:r>
        <w:t xml:space="preserve"> </w:t>
      </w:r>
      <w:proofErr w:type="spellStart"/>
      <w:r>
        <w:t>tries</w:t>
      </w:r>
      <w:proofErr w:type="spellEnd"/>
      <w:r>
        <w:t xml:space="preserve"> </w:t>
      </w:r>
      <w:proofErr w:type="spellStart"/>
      <w:r>
        <w:t>to</w:t>
      </w:r>
      <w:proofErr w:type="spellEnd"/>
      <w:r>
        <w:t xml:space="preserve"> </w:t>
      </w:r>
      <w:proofErr w:type="spellStart"/>
      <w:r>
        <w:t>carry</w:t>
      </w:r>
      <w:proofErr w:type="spellEnd"/>
      <w:r>
        <w:t xml:space="preserve"> </w:t>
      </w:r>
      <w:proofErr w:type="spellStart"/>
      <w:r>
        <w:t>out</w:t>
      </w:r>
      <w:proofErr w:type="spellEnd"/>
      <w:r>
        <w:t xml:space="preserve"> </w:t>
      </w:r>
      <w:proofErr w:type="spellStart"/>
      <w:r>
        <w:t>all</w:t>
      </w:r>
      <w:proofErr w:type="spellEnd"/>
      <w:r>
        <w:t xml:space="preserve"> </w:t>
      </w:r>
      <w:proofErr w:type="spellStart"/>
      <w:r>
        <w:t>these</w:t>
      </w:r>
      <w:proofErr w:type="spellEnd"/>
      <w:r>
        <w:t xml:space="preserve"> </w:t>
      </w:r>
      <w:proofErr w:type="spellStart"/>
      <w:r>
        <w:t>services</w:t>
      </w:r>
      <w:proofErr w:type="spellEnd"/>
      <w:r>
        <w:t xml:space="preserve"> </w:t>
      </w:r>
      <w:proofErr w:type="spellStart"/>
      <w:r>
        <w:t>effectively</w:t>
      </w:r>
      <w:proofErr w:type="spellEnd"/>
      <w:r>
        <w:t xml:space="preserve">, </w:t>
      </w:r>
      <w:proofErr w:type="spellStart"/>
      <w:r>
        <w:t>efficiently</w:t>
      </w:r>
      <w:proofErr w:type="spellEnd"/>
      <w:r>
        <w:t xml:space="preserve"> </w:t>
      </w:r>
      <w:proofErr w:type="spellStart"/>
      <w:r>
        <w:t>and</w:t>
      </w:r>
      <w:proofErr w:type="spellEnd"/>
      <w:r>
        <w:t xml:space="preserve"> </w:t>
      </w:r>
      <w:proofErr w:type="spellStart"/>
      <w:r>
        <w:t>transparently</w:t>
      </w:r>
      <w:proofErr w:type="spellEnd"/>
      <w:r>
        <w:t xml:space="preserve">, has </w:t>
      </w:r>
      <w:proofErr w:type="spellStart"/>
      <w:r>
        <w:t>started</w:t>
      </w:r>
      <w:proofErr w:type="spellEnd"/>
      <w:r>
        <w:t xml:space="preserve"> </w:t>
      </w:r>
      <w:proofErr w:type="spellStart"/>
      <w:r>
        <w:t>to</w:t>
      </w:r>
      <w:proofErr w:type="spellEnd"/>
      <w:r>
        <w:t xml:space="preserve"> </w:t>
      </w:r>
      <w:proofErr w:type="spellStart"/>
      <w:r>
        <w:t>benefit</w:t>
      </w:r>
      <w:proofErr w:type="spellEnd"/>
      <w:r>
        <w:t xml:space="preserve"> </w:t>
      </w:r>
      <w:proofErr w:type="spellStart"/>
      <w:r>
        <w:t>more</w:t>
      </w:r>
      <w:proofErr w:type="spellEnd"/>
      <w:r>
        <w:t xml:space="preserve"> </w:t>
      </w:r>
      <w:proofErr w:type="spellStart"/>
      <w:r>
        <w:t>and</w:t>
      </w:r>
      <w:proofErr w:type="spellEnd"/>
      <w:r>
        <w:t xml:space="preserve"> </w:t>
      </w:r>
      <w:proofErr w:type="spellStart"/>
      <w:r>
        <w:t>more</w:t>
      </w:r>
      <w:proofErr w:type="spellEnd"/>
      <w:r>
        <w:t xml:space="preserve"> </w:t>
      </w:r>
      <w:proofErr w:type="spellStart"/>
      <w:r>
        <w:t>from</w:t>
      </w:r>
      <w:proofErr w:type="spellEnd"/>
      <w:r>
        <w:t xml:space="preserve"> </w:t>
      </w:r>
      <w:proofErr w:type="spellStart"/>
      <w:r>
        <w:t>digital</w:t>
      </w:r>
      <w:proofErr w:type="spellEnd"/>
      <w:r>
        <w:t xml:space="preserve"> </w:t>
      </w:r>
      <w:proofErr w:type="spellStart"/>
      <w:r>
        <w:t>technologies</w:t>
      </w:r>
      <w:proofErr w:type="spellEnd"/>
      <w:r>
        <w:t xml:space="preserve"> </w:t>
      </w:r>
      <w:proofErr w:type="spellStart"/>
      <w:r>
        <w:t>that</w:t>
      </w:r>
      <w:proofErr w:type="spellEnd"/>
      <w:r>
        <w:t xml:space="preserve"> </w:t>
      </w:r>
      <w:proofErr w:type="spellStart"/>
      <w:r>
        <w:t>affect</w:t>
      </w:r>
      <w:proofErr w:type="spellEnd"/>
      <w:r>
        <w:t xml:space="preserve"> </w:t>
      </w:r>
      <w:proofErr w:type="spellStart"/>
      <w:r>
        <w:t>the</w:t>
      </w:r>
      <w:proofErr w:type="spellEnd"/>
      <w:r>
        <w:t xml:space="preserve"> </w:t>
      </w:r>
      <w:proofErr w:type="spellStart"/>
      <w:r>
        <w:t>whole</w:t>
      </w:r>
      <w:proofErr w:type="spellEnd"/>
      <w:r>
        <w:t xml:space="preserve"> </w:t>
      </w:r>
      <w:proofErr w:type="spellStart"/>
      <w:r w:rsidRPr="00900715">
        <w:t>world</w:t>
      </w:r>
      <w:proofErr w:type="spellEnd"/>
      <w:r w:rsidRPr="00900715">
        <w:t xml:space="preserve"> </w:t>
      </w:r>
      <w:r w:rsidRPr="00900715">
        <w:rPr>
          <w:color w:val="222222"/>
        </w:rPr>
        <w:t>(</w:t>
      </w:r>
      <w:proofErr w:type="spellStart"/>
      <w:r w:rsidRPr="00900715">
        <w:rPr>
          <w:color w:val="222222"/>
        </w:rPr>
        <w:t>Gesk</w:t>
      </w:r>
      <w:proofErr w:type="spellEnd"/>
      <w:r>
        <w:rPr>
          <w:color w:val="222222"/>
        </w:rPr>
        <w:t xml:space="preserve"> </w:t>
      </w:r>
      <w:proofErr w:type="spellStart"/>
      <w:r>
        <w:rPr>
          <w:color w:val="222222"/>
        </w:rPr>
        <w:t>and</w:t>
      </w:r>
      <w:proofErr w:type="spellEnd"/>
      <w:r w:rsidRPr="00900715">
        <w:rPr>
          <w:color w:val="222222"/>
        </w:rPr>
        <w:t xml:space="preserve"> </w:t>
      </w:r>
      <w:proofErr w:type="spellStart"/>
      <w:r w:rsidRPr="00900715">
        <w:rPr>
          <w:color w:val="222222"/>
        </w:rPr>
        <w:t>Leyer</w:t>
      </w:r>
      <w:proofErr w:type="spellEnd"/>
      <w:r w:rsidRPr="00900715">
        <w:rPr>
          <w:color w:val="222222"/>
        </w:rPr>
        <w:t xml:space="preserve">, 2022, </w:t>
      </w:r>
      <w:r>
        <w:rPr>
          <w:color w:val="222222"/>
        </w:rPr>
        <w:t xml:space="preserve">p. </w:t>
      </w:r>
      <w:r w:rsidRPr="00900715">
        <w:rPr>
          <w:color w:val="222222"/>
        </w:rPr>
        <w:t>2)</w:t>
      </w:r>
      <w:r w:rsidRPr="00900715">
        <w:t xml:space="preserve">. AI has </w:t>
      </w:r>
      <w:proofErr w:type="spellStart"/>
      <w:r w:rsidRPr="00900715">
        <w:t>the</w:t>
      </w:r>
      <w:proofErr w:type="spellEnd"/>
      <w:r w:rsidRPr="00900715">
        <w:t xml:space="preserve"> </w:t>
      </w:r>
      <w:proofErr w:type="spellStart"/>
      <w:r w:rsidRPr="00900715">
        <w:t>potential</w:t>
      </w:r>
      <w:proofErr w:type="spellEnd"/>
      <w:r w:rsidRPr="00900715">
        <w:t xml:space="preserve"> </w:t>
      </w:r>
      <w:proofErr w:type="spellStart"/>
      <w:r w:rsidRPr="00900715">
        <w:t>to</w:t>
      </w:r>
      <w:proofErr w:type="spellEnd"/>
      <w:r w:rsidRPr="00900715">
        <w:t xml:space="preserve"> </w:t>
      </w:r>
      <w:proofErr w:type="spellStart"/>
      <w:r w:rsidRPr="00900715">
        <w:t>address</w:t>
      </w:r>
      <w:proofErr w:type="spellEnd"/>
      <w:r w:rsidRPr="00900715">
        <w:t xml:space="preserve"> </w:t>
      </w:r>
      <w:proofErr w:type="spellStart"/>
      <w:r w:rsidRPr="00900715">
        <w:t>issues</w:t>
      </w:r>
      <w:proofErr w:type="spellEnd"/>
      <w:r w:rsidRPr="00900715">
        <w:t xml:space="preserve"> in </w:t>
      </w:r>
      <w:proofErr w:type="spellStart"/>
      <w:r w:rsidRPr="00900715">
        <w:t>public</w:t>
      </w:r>
      <w:proofErr w:type="spellEnd"/>
      <w:r w:rsidRPr="00900715">
        <w:t xml:space="preserve"> </w:t>
      </w:r>
      <w:proofErr w:type="spellStart"/>
      <w:r w:rsidRPr="00900715">
        <w:t>policy</w:t>
      </w:r>
      <w:proofErr w:type="spellEnd"/>
      <w:r w:rsidRPr="00900715">
        <w:t xml:space="preserve">. </w:t>
      </w:r>
      <w:proofErr w:type="spellStart"/>
      <w:r w:rsidRPr="00900715">
        <w:t>Public</w:t>
      </w:r>
      <w:proofErr w:type="spellEnd"/>
      <w:r w:rsidRPr="00900715">
        <w:t xml:space="preserve"> </w:t>
      </w:r>
      <w:proofErr w:type="spellStart"/>
      <w:r w:rsidRPr="00900715">
        <w:t>institutions</w:t>
      </w:r>
      <w:proofErr w:type="spellEnd"/>
      <w:r w:rsidRPr="00900715">
        <w:t xml:space="preserve"> </w:t>
      </w:r>
      <w:proofErr w:type="spellStart"/>
      <w:r w:rsidRPr="00900715">
        <w:t>are</w:t>
      </w:r>
      <w:proofErr w:type="spellEnd"/>
      <w:r w:rsidRPr="00900715">
        <w:t xml:space="preserve"> </w:t>
      </w:r>
      <w:proofErr w:type="spellStart"/>
      <w:r w:rsidRPr="00900715">
        <w:t>increasingly</w:t>
      </w:r>
      <w:proofErr w:type="spellEnd"/>
      <w:r w:rsidRPr="00900715">
        <w:t xml:space="preserve"> </w:t>
      </w:r>
      <w:proofErr w:type="spellStart"/>
      <w:r w:rsidRPr="00900715">
        <w:t>implementing</w:t>
      </w:r>
      <w:proofErr w:type="spellEnd"/>
      <w:r>
        <w:t xml:space="preserve"> AI-</w:t>
      </w:r>
      <w:proofErr w:type="spellStart"/>
      <w:r>
        <w:t>based</w:t>
      </w:r>
      <w:proofErr w:type="spellEnd"/>
      <w:r>
        <w:t xml:space="preserve"> </w:t>
      </w:r>
      <w:proofErr w:type="spellStart"/>
      <w:r>
        <w:t>solutions</w:t>
      </w:r>
      <w:proofErr w:type="spellEnd"/>
      <w:r>
        <w:t xml:space="preserve"> </w:t>
      </w:r>
      <w:proofErr w:type="spellStart"/>
      <w:r>
        <w:t>that</w:t>
      </w:r>
      <w:proofErr w:type="spellEnd"/>
      <w:r>
        <w:t xml:space="preserve"> </w:t>
      </w:r>
      <w:proofErr w:type="spellStart"/>
      <w:r>
        <w:t>aim</w:t>
      </w:r>
      <w:proofErr w:type="spellEnd"/>
      <w:r>
        <w:t xml:space="preserve"> </w:t>
      </w:r>
      <w:proofErr w:type="spellStart"/>
      <w:r>
        <w:t>to</w:t>
      </w:r>
      <w:proofErr w:type="spellEnd"/>
      <w:r>
        <w:t xml:space="preserve"> </w:t>
      </w:r>
      <w:proofErr w:type="spellStart"/>
      <w:r>
        <w:t>create</w:t>
      </w:r>
      <w:proofErr w:type="spellEnd"/>
      <w:r>
        <w:t xml:space="preserve"> a </w:t>
      </w:r>
      <w:proofErr w:type="spellStart"/>
      <w:r>
        <w:t>positive</w:t>
      </w:r>
      <w:proofErr w:type="spellEnd"/>
      <w:r>
        <w:t xml:space="preserve"> </w:t>
      </w:r>
      <w:proofErr w:type="spellStart"/>
      <w:r>
        <w:t>impact</w:t>
      </w:r>
      <w:proofErr w:type="spellEnd"/>
      <w:r>
        <w:t xml:space="preserve"> on </w:t>
      </w:r>
      <w:proofErr w:type="spellStart"/>
      <w:r>
        <w:t>the</w:t>
      </w:r>
      <w:proofErr w:type="spellEnd"/>
      <w:r>
        <w:t xml:space="preserve"> </w:t>
      </w:r>
      <w:proofErr w:type="spellStart"/>
      <w:r>
        <w:t>wellbeing</w:t>
      </w:r>
      <w:proofErr w:type="spellEnd"/>
      <w:r>
        <w:t xml:space="preserve"> of </w:t>
      </w:r>
      <w:proofErr w:type="spellStart"/>
      <w:r>
        <w:t>society</w:t>
      </w:r>
      <w:proofErr w:type="spellEnd"/>
      <w:r>
        <w:t xml:space="preserve"> </w:t>
      </w:r>
      <w:r w:rsidRPr="00900715">
        <w:rPr>
          <w:highlight w:val="white"/>
        </w:rPr>
        <w:t>(</w:t>
      </w:r>
      <w:proofErr w:type="spellStart"/>
      <w:r w:rsidRPr="00900715">
        <w:rPr>
          <w:color w:val="222222"/>
          <w:highlight w:val="white"/>
        </w:rPr>
        <w:t>Hermosilla</w:t>
      </w:r>
      <w:proofErr w:type="spellEnd"/>
      <w:r w:rsidRPr="00900715">
        <w:rPr>
          <w:color w:val="222222"/>
          <w:highlight w:val="white"/>
        </w:rPr>
        <w:t xml:space="preserve">, et </w:t>
      </w:r>
      <w:proofErr w:type="spellStart"/>
      <w:r w:rsidRPr="00900715">
        <w:rPr>
          <w:color w:val="222222"/>
          <w:highlight w:val="white"/>
        </w:rPr>
        <w:t>all</w:t>
      </w:r>
      <w:proofErr w:type="spellEnd"/>
      <w:r w:rsidRPr="00900715">
        <w:rPr>
          <w:color w:val="222222"/>
          <w:highlight w:val="white"/>
        </w:rPr>
        <w:t>. 2021</w:t>
      </w:r>
      <w:r>
        <w:rPr>
          <w:color w:val="222222"/>
          <w:highlight w:val="white"/>
        </w:rPr>
        <w:t xml:space="preserve">, p. </w:t>
      </w:r>
      <w:r w:rsidRPr="00900715">
        <w:rPr>
          <w:color w:val="222222"/>
          <w:highlight w:val="white"/>
        </w:rPr>
        <w:t>2)</w:t>
      </w:r>
      <w:r>
        <w:t xml:space="preserve"> AI </w:t>
      </w:r>
      <w:proofErr w:type="spellStart"/>
      <w:r>
        <w:t>corresponds</w:t>
      </w:r>
      <w:proofErr w:type="spellEnd"/>
      <w:r>
        <w:t xml:space="preserve"> </w:t>
      </w:r>
      <w:proofErr w:type="spellStart"/>
      <w:r>
        <w:t>to</w:t>
      </w:r>
      <w:proofErr w:type="spellEnd"/>
      <w:r>
        <w:t xml:space="preserve"> </w:t>
      </w:r>
      <w:proofErr w:type="spellStart"/>
      <w:r>
        <w:t>the</w:t>
      </w:r>
      <w:proofErr w:type="spellEnd"/>
      <w:r>
        <w:t xml:space="preserve"> </w:t>
      </w:r>
      <w:proofErr w:type="spellStart"/>
      <w:r>
        <w:t>use</w:t>
      </w:r>
      <w:proofErr w:type="spellEnd"/>
      <w:r>
        <w:t xml:space="preserve"> of </w:t>
      </w:r>
      <w:proofErr w:type="spellStart"/>
      <w:r>
        <w:t>computer</w:t>
      </w:r>
      <w:proofErr w:type="spellEnd"/>
      <w:r>
        <w:t xml:space="preserve"> </w:t>
      </w:r>
      <w:proofErr w:type="spellStart"/>
      <w:r>
        <w:t>systems</w:t>
      </w:r>
      <w:proofErr w:type="spellEnd"/>
      <w:r>
        <w:t xml:space="preserve"> </w:t>
      </w:r>
      <w:proofErr w:type="spellStart"/>
      <w:r>
        <w:t>programmed</w:t>
      </w:r>
      <w:proofErr w:type="spellEnd"/>
      <w:r>
        <w:t xml:space="preserve"> </w:t>
      </w:r>
      <w:proofErr w:type="spellStart"/>
      <w:r>
        <w:t>to</w:t>
      </w:r>
      <w:proofErr w:type="spellEnd"/>
      <w:r>
        <w:t xml:space="preserve"> </w:t>
      </w:r>
      <w:proofErr w:type="spellStart"/>
      <w:r>
        <w:t>perform</w:t>
      </w:r>
      <w:proofErr w:type="spellEnd"/>
      <w:r>
        <w:t xml:space="preserve"> </w:t>
      </w:r>
      <w:proofErr w:type="spellStart"/>
      <w:r>
        <w:t>public</w:t>
      </w:r>
      <w:proofErr w:type="spellEnd"/>
      <w:r>
        <w:t xml:space="preserve"> </w:t>
      </w:r>
      <w:proofErr w:type="spellStart"/>
      <w:r>
        <w:t>tasks</w:t>
      </w:r>
      <w:proofErr w:type="spellEnd"/>
      <w:r>
        <w:t xml:space="preserve"> </w:t>
      </w:r>
      <w:proofErr w:type="spellStart"/>
      <w:r>
        <w:t>that</w:t>
      </w:r>
      <w:proofErr w:type="spellEnd"/>
      <w:r>
        <w:t xml:space="preserve"> </w:t>
      </w:r>
      <w:proofErr w:type="spellStart"/>
      <w:r>
        <w:t>require</w:t>
      </w:r>
      <w:proofErr w:type="spellEnd"/>
      <w:r>
        <w:t xml:space="preserve"> </w:t>
      </w:r>
      <w:proofErr w:type="spellStart"/>
      <w:r>
        <w:t>human</w:t>
      </w:r>
      <w:proofErr w:type="spellEnd"/>
      <w:r>
        <w:t xml:space="preserve"> </w:t>
      </w:r>
      <w:proofErr w:type="spellStart"/>
      <w:r>
        <w:t>intelligence</w:t>
      </w:r>
      <w:proofErr w:type="spellEnd"/>
      <w:r>
        <w:t xml:space="preserve"> </w:t>
      </w:r>
      <w:proofErr w:type="spellStart"/>
      <w:r>
        <w:t>and</w:t>
      </w:r>
      <w:proofErr w:type="spellEnd"/>
      <w:r>
        <w:t xml:space="preserve"> </w:t>
      </w:r>
      <w:proofErr w:type="spellStart"/>
      <w:r>
        <w:t>reasoning</w:t>
      </w:r>
      <w:proofErr w:type="spellEnd"/>
      <w:r>
        <w:t xml:space="preserve"> in </w:t>
      </w:r>
      <w:proofErr w:type="spellStart"/>
      <w:r>
        <w:t>the</w:t>
      </w:r>
      <w:proofErr w:type="spellEnd"/>
      <w:r>
        <w:t xml:space="preserve"> </w:t>
      </w:r>
      <w:proofErr w:type="spellStart"/>
      <w:r>
        <w:t>public</w:t>
      </w:r>
      <w:proofErr w:type="spellEnd"/>
      <w:r>
        <w:t xml:space="preserve"> </w:t>
      </w:r>
      <w:proofErr w:type="spellStart"/>
      <w:r w:rsidRPr="00900715">
        <w:t>sector</w:t>
      </w:r>
      <w:proofErr w:type="spellEnd"/>
      <w:r w:rsidRPr="00900715">
        <w:t xml:space="preserve"> (</w:t>
      </w:r>
      <w:r w:rsidRPr="00900715">
        <w:rPr>
          <w:color w:val="222222"/>
        </w:rPr>
        <w:t>Aydın, 2024</w:t>
      </w:r>
      <w:r>
        <w:rPr>
          <w:color w:val="222222"/>
        </w:rPr>
        <w:t xml:space="preserve">, p. </w:t>
      </w:r>
      <w:r w:rsidRPr="00900715">
        <w:rPr>
          <w:color w:val="222222"/>
        </w:rPr>
        <w:t>173)</w:t>
      </w:r>
      <w:r w:rsidRPr="00900715">
        <w:t>.</w:t>
      </w:r>
    </w:p>
    <w:p w14:paraId="280246D4" w14:textId="77777777" w:rsidR="008A2109" w:rsidRPr="00900715" w:rsidRDefault="008A2109" w:rsidP="008A2109">
      <w:pPr>
        <w:jc w:val="both"/>
        <w:rPr>
          <w:highlight w:val="white"/>
        </w:rPr>
      </w:pPr>
    </w:p>
    <w:p w14:paraId="67854AD0" w14:textId="7F93EEBE" w:rsidR="008A2109" w:rsidRDefault="008A2109" w:rsidP="008A2109">
      <w:pPr>
        <w:jc w:val="both"/>
      </w:pPr>
      <w:proofErr w:type="spellStart"/>
      <w:r>
        <w:t>The</w:t>
      </w:r>
      <w:proofErr w:type="spellEnd"/>
      <w:r>
        <w:t xml:space="preserve"> </w:t>
      </w:r>
      <w:proofErr w:type="spellStart"/>
      <w:r>
        <w:t>effective</w:t>
      </w:r>
      <w:proofErr w:type="spellEnd"/>
      <w:r>
        <w:t xml:space="preserve"> </w:t>
      </w:r>
      <w:proofErr w:type="spellStart"/>
      <w:r>
        <w:t>use</w:t>
      </w:r>
      <w:proofErr w:type="spellEnd"/>
      <w:r>
        <w:t xml:space="preserve"> of AI in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is </w:t>
      </w:r>
      <w:proofErr w:type="spellStart"/>
      <w:r>
        <w:t>important</w:t>
      </w:r>
      <w:proofErr w:type="spellEnd"/>
      <w:r>
        <w:t xml:space="preserve"> in </w:t>
      </w:r>
      <w:proofErr w:type="spellStart"/>
      <w:r>
        <w:t>terms</w:t>
      </w:r>
      <w:proofErr w:type="spellEnd"/>
      <w:r>
        <w:t xml:space="preserve"> of </w:t>
      </w:r>
      <w:proofErr w:type="spellStart"/>
      <w:r>
        <w:t>ensuring</w:t>
      </w:r>
      <w:proofErr w:type="spellEnd"/>
      <w:r>
        <w:t xml:space="preserve"> </w:t>
      </w:r>
      <w:proofErr w:type="spellStart"/>
      <w:r>
        <w:t>efficiency</w:t>
      </w:r>
      <w:proofErr w:type="spellEnd"/>
      <w:r>
        <w:t xml:space="preserve"> in </w:t>
      </w:r>
      <w:proofErr w:type="spellStart"/>
      <w:r>
        <w:t>resource</w:t>
      </w:r>
      <w:proofErr w:type="spellEnd"/>
      <w:r>
        <w:t xml:space="preserve"> </w:t>
      </w:r>
      <w:proofErr w:type="spellStart"/>
      <w:r>
        <w:t>distribution</w:t>
      </w:r>
      <w:proofErr w:type="spellEnd"/>
      <w:r>
        <w:t xml:space="preserve">. </w:t>
      </w:r>
      <w:proofErr w:type="spellStart"/>
      <w:r>
        <w:t>Economy</w:t>
      </w:r>
      <w:proofErr w:type="spellEnd"/>
      <w:r>
        <w:t xml:space="preserve"> is </w:t>
      </w:r>
      <w:proofErr w:type="spellStart"/>
      <w:r>
        <w:t>one</w:t>
      </w:r>
      <w:proofErr w:type="spellEnd"/>
      <w:r>
        <w:t xml:space="preserve"> of </w:t>
      </w:r>
      <w:proofErr w:type="spellStart"/>
      <w:r>
        <w:t>the</w:t>
      </w:r>
      <w:proofErr w:type="spellEnd"/>
      <w:r>
        <w:t xml:space="preserve"> </w:t>
      </w:r>
      <w:proofErr w:type="spellStart"/>
      <w:r>
        <w:t>basic</w:t>
      </w:r>
      <w:proofErr w:type="spellEnd"/>
      <w:r>
        <w:t xml:space="preserve"> </w:t>
      </w:r>
      <w:proofErr w:type="spellStart"/>
      <w:r>
        <w:t>conditions</w:t>
      </w:r>
      <w:proofErr w:type="spellEnd"/>
      <w:r>
        <w:t xml:space="preserve"> </w:t>
      </w:r>
      <w:proofErr w:type="spellStart"/>
      <w:r>
        <w:t>for</w:t>
      </w:r>
      <w:proofErr w:type="spellEnd"/>
      <w:r>
        <w:t xml:space="preserve"> </w:t>
      </w:r>
      <w:proofErr w:type="spellStart"/>
      <w:r>
        <w:t>efficiency</w:t>
      </w:r>
      <w:proofErr w:type="spellEnd"/>
      <w:r>
        <w:t xml:space="preserve"> in </w:t>
      </w:r>
      <w:proofErr w:type="spellStart"/>
      <w:r>
        <w:t>resource</w:t>
      </w:r>
      <w:proofErr w:type="spellEnd"/>
      <w:r>
        <w:t xml:space="preserve"> </w:t>
      </w:r>
      <w:proofErr w:type="spellStart"/>
      <w:r>
        <w:t>distribution</w:t>
      </w:r>
      <w:proofErr w:type="spellEnd"/>
      <w:r>
        <w:t xml:space="preserve">. </w:t>
      </w:r>
      <w:proofErr w:type="spellStart"/>
      <w:r>
        <w:t>In</w:t>
      </w:r>
      <w:proofErr w:type="spellEnd"/>
      <w:r>
        <w:t xml:space="preserve"> </w:t>
      </w:r>
      <w:proofErr w:type="spellStart"/>
      <w:r>
        <w:t>cases</w:t>
      </w:r>
      <w:proofErr w:type="spellEnd"/>
      <w:r>
        <w:t xml:space="preserve"> </w:t>
      </w:r>
      <w:proofErr w:type="spellStart"/>
      <w:r>
        <w:t>where</w:t>
      </w:r>
      <w:proofErr w:type="spellEnd"/>
      <w:r>
        <w:t xml:space="preserve"> AI is not </w:t>
      </w:r>
      <w:proofErr w:type="spellStart"/>
      <w:r>
        <w:t>used</w:t>
      </w:r>
      <w:proofErr w:type="spellEnd"/>
      <w:r>
        <w:t xml:space="preserve">, </w:t>
      </w:r>
      <w:proofErr w:type="spellStart"/>
      <w:r>
        <w:t>the</w:t>
      </w:r>
      <w:proofErr w:type="spellEnd"/>
      <w:r>
        <w:t xml:space="preserve"> </w:t>
      </w:r>
      <w:proofErr w:type="spellStart"/>
      <w:r>
        <w:t>use</w:t>
      </w:r>
      <w:proofErr w:type="spellEnd"/>
      <w:r>
        <w:t xml:space="preserve"> of </w:t>
      </w:r>
      <w:proofErr w:type="spellStart"/>
      <w:r>
        <w:t>old-style</w:t>
      </w:r>
      <w:proofErr w:type="spellEnd"/>
      <w:r>
        <w:t xml:space="preserve"> </w:t>
      </w:r>
      <w:proofErr w:type="spellStart"/>
      <w:r>
        <w:t>machines</w:t>
      </w:r>
      <w:proofErr w:type="spellEnd"/>
      <w:r>
        <w:t xml:space="preserve"> </w:t>
      </w:r>
      <w:proofErr w:type="spellStart"/>
      <w:r>
        <w:t>and</w:t>
      </w:r>
      <w:proofErr w:type="spellEnd"/>
      <w:r>
        <w:t xml:space="preserve"> </w:t>
      </w:r>
      <w:proofErr w:type="spellStart"/>
      <w:r>
        <w:t>public</w:t>
      </w:r>
      <w:proofErr w:type="spellEnd"/>
      <w:r>
        <w:t xml:space="preserve"> </w:t>
      </w:r>
      <w:proofErr w:type="spellStart"/>
      <w:r>
        <w:t>production</w:t>
      </w:r>
      <w:proofErr w:type="spellEnd"/>
      <w:r>
        <w:t xml:space="preserve"> </w:t>
      </w:r>
      <w:proofErr w:type="spellStart"/>
      <w:r>
        <w:t>vehicles</w:t>
      </w:r>
      <w:proofErr w:type="spellEnd"/>
      <w:r>
        <w:t xml:space="preserve"> can </w:t>
      </w:r>
      <w:proofErr w:type="spellStart"/>
      <w:r>
        <w:t>cause</w:t>
      </w:r>
      <w:proofErr w:type="spellEnd"/>
      <w:r>
        <w:t xml:space="preserve"> </w:t>
      </w:r>
      <w:proofErr w:type="spellStart"/>
      <w:r>
        <w:t>continuous</w:t>
      </w:r>
      <w:proofErr w:type="spellEnd"/>
      <w:r>
        <w:t xml:space="preserve"> </w:t>
      </w:r>
      <w:proofErr w:type="spellStart"/>
      <w:r>
        <w:t>cost</w:t>
      </w:r>
      <w:proofErr w:type="spellEnd"/>
      <w:r>
        <w:t xml:space="preserve"> </w:t>
      </w:r>
      <w:proofErr w:type="spellStart"/>
      <w:r>
        <w:t>increases</w:t>
      </w:r>
      <w:proofErr w:type="spellEnd"/>
      <w:r>
        <w:t xml:space="preserve">. At </w:t>
      </w:r>
      <w:proofErr w:type="spellStart"/>
      <w:r>
        <w:t>this</w:t>
      </w:r>
      <w:proofErr w:type="spellEnd"/>
      <w:r>
        <w:t xml:space="preserve"> </w:t>
      </w:r>
      <w:proofErr w:type="spellStart"/>
      <w:r>
        <w:t>point</w:t>
      </w:r>
      <w:proofErr w:type="spellEnd"/>
      <w:r>
        <w:t xml:space="preserve">, AI </w:t>
      </w:r>
      <w:proofErr w:type="spellStart"/>
      <w:r>
        <w:t>applications</w:t>
      </w:r>
      <w:proofErr w:type="spellEnd"/>
      <w:r>
        <w:t xml:space="preserve"> </w:t>
      </w:r>
      <w:proofErr w:type="spellStart"/>
      <w:r>
        <w:t>are</w:t>
      </w:r>
      <w:proofErr w:type="spellEnd"/>
      <w:r>
        <w:t xml:space="preserve"> </w:t>
      </w:r>
      <w:proofErr w:type="spellStart"/>
      <w:r>
        <w:t>important</w:t>
      </w:r>
      <w:proofErr w:type="spellEnd"/>
      <w:r>
        <w:t xml:space="preserve"> in </w:t>
      </w:r>
      <w:proofErr w:type="spellStart"/>
      <w:r>
        <w:t>terms</w:t>
      </w:r>
      <w:proofErr w:type="spellEnd"/>
      <w:r>
        <w:t xml:space="preserve"> of </w:t>
      </w:r>
      <w:proofErr w:type="spellStart"/>
      <w:r>
        <w:t>ensuring</w:t>
      </w:r>
      <w:proofErr w:type="spellEnd"/>
      <w:r>
        <w:t xml:space="preserve"> </w:t>
      </w:r>
      <w:proofErr w:type="spellStart"/>
      <w:r>
        <w:t>efficiency</w:t>
      </w:r>
      <w:proofErr w:type="spellEnd"/>
      <w:r>
        <w:t xml:space="preserve"> in </w:t>
      </w:r>
      <w:proofErr w:type="spellStart"/>
      <w:r>
        <w:t>resource</w:t>
      </w:r>
      <w:proofErr w:type="spellEnd"/>
      <w:r>
        <w:t xml:space="preserve"> </w:t>
      </w:r>
      <w:proofErr w:type="spellStart"/>
      <w:r>
        <w:t>allocation</w:t>
      </w:r>
      <w:proofErr w:type="spellEnd"/>
      <w:r>
        <w:t xml:space="preserve"> (</w:t>
      </w:r>
      <w:proofErr w:type="spellStart"/>
      <w:r w:rsidRPr="00900715">
        <w:t>Mehr</w:t>
      </w:r>
      <w:proofErr w:type="spellEnd"/>
      <w:r w:rsidRPr="00900715">
        <w:t>,</w:t>
      </w:r>
      <w:r>
        <w:t xml:space="preserve"> </w:t>
      </w:r>
      <w:r w:rsidRPr="00900715">
        <w:t>2017</w:t>
      </w:r>
      <w:r>
        <w:t>).</w:t>
      </w:r>
    </w:p>
    <w:p w14:paraId="1299D108" w14:textId="77777777" w:rsidR="008A2109" w:rsidRDefault="008A2109" w:rsidP="008A2109">
      <w:pPr>
        <w:jc w:val="both"/>
      </w:pPr>
    </w:p>
    <w:p w14:paraId="2065FD5A" w14:textId="77777777" w:rsidR="008A2109" w:rsidRDefault="008A2109" w:rsidP="008A2109">
      <w:pPr>
        <w:jc w:val="both"/>
      </w:pPr>
      <w:proofErr w:type="spellStart"/>
      <w:r>
        <w:t>The</w:t>
      </w:r>
      <w:proofErr w:type="spellEnd"/>
      <w:r>
        <w:t xml:space="preserve"> </w:t>
      </w:r>
      <w:proofErr w:type="spellStart"/>
      <w:r>
        <w:t>effects</w:t>
      </w:r>
      <w:proofErr w:type="spellEnd"/>
      <w:r>
        <w:t xml:space="preserve"> of </w:t>
      </w:r>
      <w:proofErr w:type="spellStart"/>
      <w:r>
        <w:t>using</w:t>
      </w:r>
      <w:proofErr w:type="spellEnd"/>
      <w:r>
        <w:t xml:space="preserve"> AI in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
    <w:p w14:paraId="03B5223E" w14:textId="77777777" w:rsidR="008A2109" w:rsidRDefault="008A2109" w:rsidP="008A2109">
      <w:pPr>
        <w:widowControl/>
        <w:numPr>
          <w:ilvl w:val="0"/>
          <w:numId w:val="95"/>
        </w:numPr>
        <w:autoSpaceDE/>
        <w:autoSpaceDN/>
        <w:jc w:val="both"/>
      </w:pPr>
      <w:r>
        <w:t xml:space="preserve">AI, </w:t>
      </w:r>
      <w:proofErr w:type="spellStart"/>
      <w:r>
        <w:t>which</w:t>
      </w:r>
      <w:proofErr w:type="spellEnd"/>
      <w:r>
        <w:t xml:space="preserve"> has a </w:t>
      </w:r>
      <w:proofErr w:type="spellStart"/>
      <w:r>
        <w:t>facilitating</w:t>
      </w:r>
      <w:proofErr w:type="spellEnd"/>
      <w:r>
        <w:t xml:space="preserve"> </w:t>
      </w:r>
      <w:proofErr w:type="spellStart"/>
      <w:r>
        <w:t>function</w:t>
      </w:r>
      <w:proofErr w:type="spellEnd"/>
      <w:r>
        <w:t xml:space="preserve"> in </w:t>
      </w:r>
      <w:proofErr w:type="spellStart"/>
      <w:r>
        <w:t>public</w:t>
      </w:r>
      <w:proofErr w:type="spellEnd"/>
      <w:r>
        <w:t xml:space="preserve"> </w:t>
      </w:r>
      <w:proofErr w:type="spellStart"/>
      <w:r>
        <w:t>services</w:t>
      </w:r>
      <w:proofErr w:type="spellEnd"/>
      <w:r>
        <w:t xml:space="preserve">, </w:t>
      </w:r>
      <w:proofErr w:type="spellStart"/>
      <w:r>
        <w:t>allows</w:t>
      </w:r>
      <w:proofErr w:type="spellEnd"/>
      <w:r>
        <w:t xml:space="preserve"> </w:t>
      </w:r>
      <w:proofErr w:type="spellStart"/>
      <w:r>
        <w:t>employees</w:t>
      </w:r>
      <w:proofErr w:type="spellEnd"/>
      <w:r>
        <w:t xml:space="preserve"> </w:t>
      </w:r>
      <w:proofErr w:type="spellStart"/>
      <w:r>
        <w:t>to</w:t>
      </w:r>
      <w:proofErr w:type="spellEnd"/>
      <w:r>
        <w:t xml:space="preserve"> </w:t>
      </w:r>
      <w:proofErr w:type="spellStart"/>
      <w:r>
        <w:t>delegate</w:t>
      </w:r>
      <w:proofErr w:type="spellEnd"/>
      <w:r>
        <w:t xml:space="preserve"> </w:t>
      </w:r>
      <w:proofErr w:type="spellStart"/>
      <w:r>
        <w:t>certain</w:t>
      </w:r>
      <w:proofErr w:type="spellEnd"/>
      <w:r>
        <w:t xml:space="preserve"> </w:t>
      </w:r>
      <w:proofErr w:type="spellStart"/>
      <w:r>
        <w:t>tasks</w:t>
      </w:r>
      <w:proofErr w:type="spellEnd"/>
      <w:r>
        <w:t xml:space="preserve"> </w:t>
      </w:r>
      <w:proofErr w:type="spellStart"/>
      <w:r>
        <w:t>and</w:t>
      </w:r>
      <w:proofErr w:type="spellEnd"/>
      <w:r>
        <w:t xml:space="preserve"> </w:t>
      </w:r>
      <w:proofErr w:type="spellStart"/>
      <w:r>
        <w:t>focus</w:t>
      </w:r>
      <w:proofErr w:type="spellEnd"/>
      <w:r>
        <w:t xml:space="preserve"> on </w:t>
      </w:r>
      <w:proofErr w:type="spellStart"/>
      <w:r>
        <w:t>more</w:t>
      </w:r>
      <w:proofErr w:type="spellEnd"/>
      <w:r>
        <w:t xml:space="preserve"> </w:t>
      </w:r>
      <w:proofErr w:type="spellStart"/>
      <w:r>
        <w:t>important</w:t>
      </w:r>
      <w:proofErr w:type="spellEnd"/>
      <w:r>
        <w:t xml:space="preserve"> </w:t>
      </w:r>
      <w:proofErr w:type="spellStart"/>
      <w:r>
        <w:t>tasks</w:t>
      </w:r>
      <w:proofErr w:type="spellEnd"/>
      <w:r>
        <w:t>.</w:t>
      </w:r>
    </w:p>
    <w:p w14:paraId="56EF4F02" w14:textId="77777777" w:rsidR="008A2109" w:rsidRDefault="008A2109" w:rsidP="008A2109">
      <w:pPr>
        <w:widowControl/>
        <w:numPr>
          <w:ilvl w:val="0"/>
          <w:numId w:val="95"/>
        </w:numPr>
        <w:autoSpaceDE/>
        <w:autoSpaceDN/>
        <w:jc w:val="both"/>
      </w:pPr>
      <w:r>
        <w:lastRenderedPageBreak/>
        <w:t xml:space="preserve">A </w:t>
      </w:r>
      <w:proofErr w:type="spellStart"/>
      <w:r>
        <w:t>performs</w:t>
      </w:r>
      <w:proofErr w:type="spellEnd"/>
      <w:r>
        <w:t xml:space="preserve"> a </w:t>
      </w:r>
      <w:proofErr w:type="spellStart"/>
      <w:r>
        <w:t>larger</w:t>
      </w:r>
      <w:proofErr w:type="spellEnd"/>
      <w:r>
        <w:t xml:space="preserve"> </w:t>
      </w:r>
      <w:proofErr w:type="spellStart"/>
      <w:r>
        <w:t>task</w:t>
      </w:r>
      <w:proofErr w:type="spellEnd"/>
      <w:r>
        <w:t xml:space="preserve"> </w:t>
      </w:r>
      <w:proofErr w:type="spellStart"/>
      <w:r>
        <w:t>that</w:t>
      </w:r>
      <w:proofErr w:type="spellEnd"/>
      <w:r>
        <w:t xml:space="preserve">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needs</w:t>
      </w:r>
      <w:proofErr w:type="spellEnd"/>
      <w:r>
        <w:t xml:space="preserve"> </w:t>
      </w:r>
      <w:proofErr w:type="spellStart"/>
      <w:r>
        <w:t>to</w:t>
      </w:r>
      <w:proofErr w:type="spellEnd"/>
      <w:r>
        <w:t xml:space="preserve"> do </w:t>
      </w:r>
      <w:proofErr w:type="spellStart"/>
      <w:r>
        <w:t>by</w:t>
      </w:r>
      <w:proofErr w:type="spellEnd"/>
      <w:r>
        <w:t xml:space="preserve"> </w:t>
      </w:r>
      <w:proofErr w:type="spellStart"/>
      <w:r>
        <w:t>dividing</w:t>
      </w:r>
      <w:proofErr w:type="spellEnd"/>
      <w:r>
        <w:t xml:space="preserve"> it </w:t>
      </w:r>
      <w:proofErr w:type="spellStart"/>
      <w:r>
        <w:t>into</w:t>
      </w:r>
      <w:proofErr w:type="spellEnd"/>
      <w:r>
        <w:t xml:space="preserve"> </w:t>
      </w:r>
      <w:proofErr w:type="spellStart"/>
      <w:r>
        <w:t>smaller</w:t>
      </w:r>
      <w:proofErr w:type="spellEnd"/>
      <w:r>
        <w:t xml:space="preserve"> </w:t>
      </w:r>
      <w:proofErr w:type="spellStart"/>
      <w:r>
        <w:t>pieces</w:t>
      </w:r>
      <w:proofErr w:type="spellEnd"/>
      <w:r>
        <w:t xml:space="preserve">. </w:t>
      </w:r>
      <w:proofErr w:type="spellStart"/>
      <w:r>
        <w:t>Thus</w:t>
      </w:r>
      <w:proofErr w:type="spellEnd"/>
      <w:r>
        <w:t xml:space="preserve">, </w:t>
      </w:r>
      <w:proofErr w:type="spellStart"/>
      <w:r>
        <w:t>large</w:t>
      </w:r>
      <w:proofErr w:type="spellEnd"/>
      <w:r>
        <w:t xml:space="preserve"> </w:t>
      </w:r>
      <w:proofErr w:type="spellStart"/>
      <w:r>
        <w:t>tasks</w:t>
      </w:r>
      <w:proofErr w:type="spellEnd"/>
      <w:r>
        <w:t xml:space="preserve"> </w:t>
      </w:r>
      <w:proofErr w:type="spellStart"/>
      <w:r>
        <w:t>are</w:t>
      </w:r>
      <w:proofErr w:type="spellEnd"/>
      <w:r>
        <w:t xml:space="preserve"> </w:t>
      </w:r>
      <w:proofErr w:type="spellStart"/>
      <w:r>
        <w:t>divided</w:t>
      </w:r>
      <w:proofErr w:type="spellEnd"/>
      <w:r>
        <w:t xml:space="preserve"> </w:t>
      </w:r>
      <w:proofErr w:type="spellStart"/>
      <w:r>
        <w:t>into</w:t>
      </w:r>
      <w:proofErr w:type="spellEnd"/>
      <w:r>
        <w:t xml:space="preserve"> </w:t>
      </w:r>
      <w:proofErr w:type="spellStart"/>
      <w:r>
        <w:t>smaller</w:t>
      </w:r>
      <w:proofErr w:type="spellEnd"/>
      <w:r>
        <w:t xml:space="preserve"> </w:t>
      </w:r>
      <w:proofErr w:type="spellStart"/>
      <w:r>
        <w:t>tasks</w:t>
      </w:r>
      <w:proofErr w:type="spellEnd"/>
      <w:r>
        <w:t>.</w:t>
      </w:r>
    </w:p>
    <w:p w14:paraId="35B6D931" w14:textId="77777777" w:rsidR="008A2109" w:rsidRDefault="008A2109" w:rsidP="008A2109">
      <w:pPr>
        <w:widowControl/>
        <w:numPr>
          <w:ilvl w:val="0"/>
          <w:numId w:val="95"/>
        </w:numPr>
        <w:autoSpaceDE/>
        <w:autoSpaceDN/>
        <w:jc w:val="both"/>
      </w:pPr>
      <w:proofErr w:type="spellStart"/>
      <w:r>
        <w:t>Thanks</w:t>
      </w:r>
      <w:proofErr w:type="spellEnd"/>
      <w:r>
        <w:t xml:space="preserve"> </w:t>
      </w:r>
      <w:proofErr w:type="spellStart"/>
      <w:r>
        <w:t>to</w:t>
      </w:r>
      <w:proofErr w:type="spellEnd"/>
      <w:r>
        <w:t xml:space="preserve"> </w:t>
      </w:r>
      <w:proofErr w:type="spellStart"/>
      <w:r>
        <w:t>artificial</w:t>
      </w:r>
      <w:proofErr w:type="spellEnd"/>
      <w:r>
        <w:t xml:space="preserve"> </w:t>
      </w:r>
      <w:proofErr w:type="spellStart"/>
      <w:r>
        <w:t>intelligence</w:t>
      </w:r>
      <w:proofErr w:type="spellEnd"/>
      <w:r>
        <w:t xml:space="preserve">, </w:t>
      </w:r>
      <w:proofErr w:type="spellStart"/>
      <w:r>
        <w:t>tasks</w:t>
      </w:r>
      <w:proofErr w:type="spellEnd"/>
      <w:r>
        <w:t xml:space="preserve"> </w:t>
      </w:r>
      <w:proofErr w:type="spellStart"/>
      <w:r>
        <w:t>that</w:t>
      </w:r>
      <w:proofErr w:type="spellEnd"/>
      <w:r>
        <w:t xml:space="preserve"> </w:t>
      </w:r>
      <w:proofErr w:type="spellStart"/>
      <w:r>
        <w:t>people</w:t>
      </w:r>
      <w:proofErr w:type="spellEnd"/>
      <w:r>
        <w:t xml:space="preserve"> </w:t>
      </w:r>
      <w:proofErr w:type="spellStart"/>
      <w:r>
        <w:t>need</w:t>
      </w:r>
      <w:proofErr w:type="spellEnd"/>
      <w:r>
        <w:t xml:space="preserve"> </w:t>
      </w:r>
      <w:proofErr w:type="spellStart"/>
      <w:r>
        <w:t>to</w:t>
      </w:r>
      <w:proofErr w:type="spellEnd"/>
      <w:r>
        <w:t xml:space="preserve"> do </w:t>
      </w:r>
      <w:proofErr w:type="spellStart"/>
      <w:r>
        <w:t>are</w:t>
      </w:r>
      <w:proofErr w:type="spellEnd"/>
      <w:r>
        <w:t xml:space="preserve"> </w:t>
      </w:r>
      <w:proofErr w:type="spellStart"/>
      <w:r>
        <w:t>performed</w:t>
      </w:r>
      <w:proofErr w:type="spellEnd"/>
      <w:r>
        <w:t xml:space="preserve"> </w:t>
      </w:r>
      <w:proofErr w:type="spellStart"/>
      <w:r>
        <w:t>by</w:t>
      </w:r>
      <w:proofErr w:type="spellEnd"/>
      <w:r>
        <w:t xml:space="preserve"> </w:t>
      </w:r>
      <w:proofErr w:type="spellStart"/>
      <w:r>
        <w:t>machines</w:t>
      </w:r>
      <w:proofErr w:type="spellEnd"/>
      <w:r>
        <w:t xml:space="preserve"> </w:t>
      </w:r>
      <w:proofErr w:type="spellStart"/>
      <w:r>
        <w:t>loaded</w:t>
      </w:r>
      <w:proofErr w:type="spellEnd"/>
      <w:r>
        <w:t xml:space="preserve"> </w:t>
      </w:r>
      <w:proofErr w:type="spellStart"/>
      <w:r>
        <w:t>with</w:t>
      </w:r>
      <w:proofErr w:type="spellEnd"/>
      <w:r>
        <w:t xml:space="preserve"> </w:t>
      </w:r>
      <w:proofErr w:type="spellStart"/>
      <w:r>
        <w:t>certain</w:t>
      </w:r>
      <w:proofErr w:type="spellEnd"/>
      <w:r>
        <w:t xml:space="preserve"> </w:t>
      </w:r>
      <w:proofErr w:type="spellStart"/>
      <w:r>
        <w:t>algorithms</w:t>
      </w:r>
      <w:proofErr w:type="spellEnd"/>
      <w:r>
        <w:t>.</w:t>
      </w:r>
    </w:p>
    <w:p w14:paraId="42B701FF" w14:textId="77777777" w:rsidR="008A2109" w:rsidRDefault="008A2109" w:rsidP="008A2109">
      <w:pPr>
        <w:widowControl/>
        <w:numPr>
          <w:ilvl w:val="0"/>
          <w:numId w:val="95"/>
        </w:numPr>
        <w:autoSpaceDE/>
        <w:autoSpaceDN/>
        <w:jc w:val="both"/>
      </w:pPr>
      <w:r>
        <w:t xml:space="preserve">AI can </w:t>
      </w:r>
      <w:proofErr w:type="spellStart"/>
      <w:r>
        <w:t>enable</w:t>
      </w:r>
      <w:proofErr w:type="spellEnd"/>
      <w:r>
        <w:t xml:space="preserve"> </w:t>
      </w:r>
      <w:proofErr w:type="spellStart"/>
      <w:r>
        <w:t>employees</w:t>
      </w:r>
      <w:proofErr w:type="spellEnd"/>
      <w:r>
        <w:t xml:space="preserve"> </w:t>
      </w:r>
      <w:proofErr w:type="spellStart"/>
      <w:r>
        <w:t>to</w:t>
      </w:r>
      <w:proofErr w:type="spellEnd"/>
      <w:r>
        <w:t xml:space="preserve"> </w:t>
      </w:r>
      <w:proofErr w:type="spellStart"/>
      <w:r>
        <w:t>strengthen</w:t>
      </w:r>
      <w:proofErr w:type="spellEnd"/>
      <w:r>
        <w:t xml:space="preserve"> </w:t>
      </w:r>
      <w:proofErr w:type="spellStart"/>
      <w:r>
        <w:t>their</w:t>
      </w:r>
      <w:proofErr w:type="spellEnd"/>
      <w:r>
        <w:t xml:space="preserve"> </w:t>
      </w:r>
      <w:proofErr w:type="spellStart"/>
      <w:r>
        <w:t>skills</w:t>
      </w:r>
      <w:proofErr w:type="spellEnd"/>
      <w:r>
        <w:t xml:space="preserve"> </w:t>
      </w:r>
      <w:proofErr w:type="spellStart"/>
      <w:r>
        <w:t>thanks</w:t>
      </w:r>
      <w:proofErr w:type="spellEnd"/>
      <w:r>
        <w:t xml:space="preserve"> </w:t>
      </w:r>
      <w:proofErr w:type="spellStart"/>
      <w:r>
        <w:t>to</w:t>
      </w:r>
      <w:proofErr w:type="spellEnd"/>
      <w:r>
        <w:t xml:space="preserve"> </w:t>
      </w:r>
      <w:proofErr w:type="spellStart"/>
      <w:r>
        <w:t>its</w:t>
      </w:r>
      <w:proofErr w:type="spellEnd"/>
      <w:r>
        <w:t xml:space="preserve"> </w:t>
      </w:r>
      <w:proofErr w:type="spellStart"/>
      <w:r>
        <w:t>features</w:t>
      </w:r>
      <w:proofErr w:type="spellEnd"/>
      <w:r>
        <w:t xml:space="preserve">. </w:t>
      </w:r>
      <w:proofErr w:type="spellStart"/>
      <w:r>
        <w:t>Thus</w:t>
      </w:r>
      <w:proofErr w:type="spellEnd"/>
      <w:r>
        <w:t xml:space="preserve">, it can </w:t>
      </w:r>
      <w:proofErr w:type="spellStart"/>
      <w:r>
        <w:t>help</w:t>
      </w:r>
      <w:proofErr w:type="spellEnd"/>
      <w:r>
        <w:t xml:space="preserve"> </w:t>
      </w:r>
      <w:proofErr w:type="spellStart"/>
      <w:r>
        <w:t>them</w:t>
      </w:r>
      <w:proofErr w:type="spellEnd"/>
      <w:r>
        <w:t xml:space="preserve"> </w:t>
      </w:r>
      <w:proofErr w:type="spellStart"/>
      <w:r>
        <w:t>work</w:t>
      </w:r>
      <w:proofErr w:type="spellEnd"/>
      <w:r>
        <w:t xml:space="preserve"> </w:t>
      </w:r>
      <w:proofErr w:type="spellStart"/>
      <w:r>
        <w:t>more</w:t>
      </w:r>
      <w:proofErr w:type="spellEnd"/>
      <w:r>
        <w:t xml:space="preserve"> </w:t>
      </w:r>
      <w:proofErr w:type="spellStart"/>
      <w:r>
        <w:t>effectively</w:t>
      </w:r>
      <w:proofErr w:type="spellEnd"/>
      <w:r>
        <w:t>.</w:t>
      </w:r>
    </w:p>
    <w:p w14:paraId="1C211CF4" w14:textId="77777777" w:rsidR="008A2109" w:rsidRDefault="008A2109" w:rsidP="008A2109">
      <w:pPr>
        <w:widowControl/>
        <w:autoSpaceDE/>
        <w:autoSpaceDN/>
        <w:ind w:left="720"/>
        <w:jc w:val="both"/>
      </w:pPr>
    </w:p>
    <w:p w14:paraId="01D45B46" w14:textId="77777777" w:rsidR="008A2109" w:rsidRDefault="008A2109" w:rsidP="008A2109">
      <w:pPr>
        <w:jc w:val="both"/>
      </w:pPr>
      <w:proofErr w:type="spellStart"/>
      <w:r w:rsidRPr="001D2424">
        <w:rPr>
          <w:shd w:val="clear" w:color="auto" w:fill="FFFFFF" w:themeFill="background1"/>
        </w:rPr>
        <w:t>Because</w:t>
      </w:r>
      <w:proofErr w:type="spellEnd"/>
      <w:r w:rsidRPr="001D2424">
        <w:rPr>
          <w:shd w:val="clear" w:color="auto" w:fill="FFFFFF" w:themeFill="background1"/>
        </w:rPr>
        <w:t xml:space="preserve"> of </w:t>
      </w:r>
      <w:proofErr w:type="spellStart"/>
      <w:r w:rsidRPr="001D2424">
        <w:rPr>
          <w:shd w:val="clear" w:color="auto" w:fill="FFFFFF" w:themeFill="background1"/>
        </w:rPr>
        <w:t>theese</w:t>
      </w:r>
      <w:proofErr w:type="spellEnd"/>
      <w:r w:rsidRPr="001D2424">
        <w:rPr>
          <w:shd w:val="clear" w:color="auto" w:fill="FFFFFF" w:themeFill="background1"/>
        </w:rPr>
        <w:t xml:space="preserve"> </w:t>
      </w:r>
      <w:proofErr w:type="spellStart"/>
      <w:r w:rsidRPr="001D2424">
        <w:rPr>
          <w:shd w:val="clear" w:color="auto" w:fill="FFFFFF" w:themeFill="background1"/>
        </w:rPr>
        <w:t>effect</w:t>
      </w:r>
      <w:proofErr w:type="spellEnd"/>
      <w:r w:rsidRPr="001D2424">
        <w:rPr>
          <w:shd w:val="clear" w:color="auto" w:fill="FFFFFF" w:themeFill="background1"/>
        </w:rPr>
        <w:t xml:space="preserve"> of AI, </w:t>
      </w:r>
      <w:proofErr w:type="spellStart"/>
      <w:r w:rsidRPr="001D2424">
        <w:rPr>
          <w:shd w:val="clear" w:color="auto" w:fill="FFFFFF" w:themeFill="background1"/>
        </w:rPr>
        <w:t>many</w:t>
      </w:r>
      <w:proofErr w:type="spellEnd"/>
      <w:r w:rsidRPr="001D2424">
        <w:rPr>
          <w:shd w:val="clear" w:color="auto" w:fill="FFFFFF" w:themeFill="background1"/>
        </w:rPr>
        <w:t xml:space="preserve"> </w:t>
      </w:r>
      <w:proofErr w:type="spellStart"/>
      <w:r w:rsidRPr="001D2424">
        <w:rPr>
          <w:shd w:val="clear" w:color="auto" w:fill="FFFFFF" w:themeFill="background1"/>
        </w:rPr>
        <w:t>countries</w:t>
      </w:r>
      <w:proofErr w:type="spellEnd"/>
      <w:r w:rsidRPr="001D2424">
        <w:rPr>
          <w:shd w:val="clear" w:color="auto" w:fill="FFFFFF" w:themeFill="background1"/>
        </w:rPr>
        <w:t xml:space="preserve"> </w:t>
      </w:r>
      <w:proofErr w:type="spellStart"/>
      <w:r w:rsidRPr="001D2424">
        <w:rPr>
          <w:shd w:val="clear" w:color="auto" w:fill="FFFFFF" w:themeFill="background1"/>
        </w:rPr>
        <w:t>such</w:t>
      </w:r>
      <w:proofErr w:type="spellEnd"/>
      <w:r w:rsidRPr="001D2424">
        <w:rPr>
          <w:shd w:val="clear" w:color="auto" w:fill="FFFFFF" w:themeFill="background1"/>
        </w:rPr>
        <w:t xml:space="preserve"> as </w:t>
      </w:r>
      <w:proofErr w:type="spellStart"/>
      <w:r w:rsidRPr="001D2424">
        <w:rPr>
          <w:shd w:val="clear" w:color="auto" w:fill="FFFFFF" w:themeFill="background1"/>
        </w:rPr>
        <w:t>Canada</w:t>
      </w:r>
      <w:proofErr w:type="spellEnd"/>
      <w:r w:rsidRPr="001D2424">
        <w:rPr>
          <w:shd w:val="clear" w:color="auto" w:fill="FFFFFF" w:themeFill="background1"/>
        </w:rPr>
        <w:t xml:space="preserve">, </w:t>
      </w:r>
      <w:proofErr w:type="spellStart"/>
      <w:r w:rsidRPr="001D2424">
        <w:rPr>
          <w:shd w:val="clear" w:color="auto" w:fill="FFFFFF" w:themeFill="background1"/>
        </w:rPr>
        <w:t>China</w:t>
      </w:r>
      <w:proofErr w:type="spellEnd"/>
      <w:r w:rsidRPr="001D2424">
        <w:rPr>
          <w:shd w:val="clear" w:color="auto" w:fill="FFFFFF" w:themeFill="background1"/>
        </w:rPr>
        <w:t xml:space="preserve">, France, Germany, </w:t>
      </w:r>
      <w:proofErr w:type="spellStart"/>
      <w:r w:rsidRPr="001D2424">
        <w:rPr>
          <w:shd w:val="clear" w:color="auto" w:fill="FFFFFF" w:themeFill="background1"/>
        </w:rPr>
        <w:t>India</w:t>
      </w:r>
      <w:proofErr w:type="spellEnd"/>
      <w:r w:rsidRPr="001D2424">
        <w:rPr>
          <w:shd w:val="clear" w:color="auto" w:fill="FFFFFF" w:themeFill="background1"/>
        </w:rPr>
        <w:t xml:space="preserve">, </w:t>
      </w:r>
      <w:proofErr w:type="spellStart"/>
      <w:r w:rsidRPr="001D2424">
        <w:rPr>
          <w:shd w:val="clear" w:color="auto" w:fill="FFFFFF" w:themeFill="background1"/>
        </w:rPr>
        <w:t>Sweden</w:t>
      </w:r>
      <w:proofErr w:type="spellEnd"/>
      <w:r w:rsidRPr="001D2424">
        <w:rPr>
          <w:shd w:val="clear" w:color="auto" w:fill="FFFFFF" w:themeFill="background1"/>
        </w:rPr>
        <w:t xml:space="preserve">, </w:t>
      </w:r>
      <w:proofErr w:type="spellStart"/>
      <w:r w:rsidRPr="001D2424">
        <w:rPr>
          <w:shd w:val="clear" w:color="auto" w:fill="FFFFFF" w:themeFill="background1"/>
        </w:rPr>
        <w:t>the</w:t>
      </w:r>
      <w:proofErr w:type="spellEnd"/>
      <w:r w:rsidRPr="001D2424">
        <w:rPr>
          <w:shd w:val="clear" w:color="auto" w:fill="FFFFFF" w:themeFill="background1"/>
        </w:rPr>
        <w:t xml:space="preserve"> United </w:t>
      </w:r>
      <w:proofErr w:type="spellStart"/>
      <w:r w:rsidRPr="001D2424">
        <w:rPr>
          <w:shd w:val="clear" w:color="auto" w:fill="FFFFFF" w:themeFill="background1"/>
        </w:rPr>
        <w:t>Kingdom</w:t>
      </w:r>
      <w:proofErr w:type="spellEnd"/>
      <w:r w:rsidRPr="001D2424">
        <w:rPr>
          <w:shd w:val="clear" w:color="auto" w:fill="FFFFFF" w:themeFill="background1"/>
        </w:rPr>
        <w:t xml:space="preserve">, </w:t>
      </w:r>
      <w:proofErr w:type="spellStart"/>
      <w:r>
        <w:rPr>
          <w:highlight w:val="white"/>
        </w:rPr>
        <w:t>and</w:t>
      </w:r>
      <w:proofErr w:type="spellEnd"/>
      <w:r>
        <w:rPr>
          <w:highlight w:val="white"/>
        </w:rPr>
        <w:t xml:space="preserve"> </w:t>
      </w:r>
      <w:proofErr w:type="spellStart"/>
      <w:r>
        <w:rPr>
          <w:highlight w:val="white"/>
        </w:rPr>
        <w:t>the</w:t>
      </w:r>
      <w:proofErr w:type="spellEnd"/>
      <w:r>
        <w:rPr>
          <w:highlight w:val="white"/>
        </w:rPr>
        <w:t xml:space="preserve"> United </w:t>
      </w:r>
      <w:proofErr w:type="spellStart"/>
      <w:r>
        <w:rPr>
          <w:highlight w:val="white"/>
        </w:rPr>
        <w:t>States</w:t>
      </w:r>
      <w:proofErr w:type="spellEnd"/>
      <w:r>
        <w:rPr>
          <w:highlight w:val="white"/>
        </w:rPr>
        <w:t xml:space="preserve"> </w:t>
      </w:r>
      <w:proofErr w:type="spellStart"/>
      <w:r>
        <w:rPr>
          <w:highlight w:val="white"/>
        </w:rPr>
        <w:t>have</w:t>
      </w:r>
      <w:proofErr w:type="spellEnd"/>
      <w:r>
        <w:rPr>
          <w:highlight w:val="white"/>
        </w:rPr>
        <w:t xml:space="preserve"> </w:t>
      </w:r>
      <w:proofErr w:type="spellStart"/>
      <w:r>
        <w:rPr>
          <w:highlight w:val="white"/>
        </w:rPr>
        <w:t>published</w:t>
      </w:r>
      <w:proofErr w:type="spellEnd"/>
      <w:r>
        <w:rPr>
          <w:highlight w:val="white"/>
        </w:rPr>
        <w:t xml:space="preserve"> AI </w:t>
      </w:r>
      <w:proofErr w:type="spellStart"/>
      <w:r>
        <w:rPr>
          <w:highlight w:val="white"/>
        </w:rPr>
        <w:t>strategies</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policies</w:t>
      </w:r>
      <w:proofErr w:type="spellEnd"/>
      <w:r>
        <w:rPr>
          <w:highlight w:val="white"/>
        </w:rPr>
        <w:t xml:space="preserve">. </w:t>
      </w:r>
      <w:proofErr w:type="spellStart"/>
      <w:r>
        <w:rPr>
          <w:highlight w:val="white"/>
        </w:rPr>
        <w:t>Many</w:t>
      </w:r>
      <w:proofErr w:type="spellEnd"/>
      <w:r>
        <w:rPr>
          <w:highlight w:val="white"/>
        </w:rPr>
        <w:t xml:space="preserve"> </w:t>
      </w:r>
      <w:proofErr w:type="spellStart"/>
      <w:r>
        <w:rPr>
          <w:highlight w:val="white"/>
        </w:rPr>
        <w:t>countries</w:t>
      </w:r>
      <w:proofErr w:type="spellEnd"/>
      <w:r>
        <w:rPr>
          <w:highlight w:val="white"/>
        </w:rPr>
        <w:t xml:space="preserve"> </w:t>
      </w:r>
      <w:proofErr w:type="spellStart"/>
      <w:r>
        <w:rPr>
          <w:highlight w:val="white"/>
        </w:rPr>
        <w:t>such</w:t>
      </w:r>
      <w:proofErr w:type="spellEnd"/>
      <w:r>
        <w:rPr>
          <w:highlight w:val="white"/>
        </w:rPr>
        <w:t xml:space="preserve"> as </w:t>
      </w:r>
      <w:proofErr w:type="spellStart"/>
      <w:r>
        <w:rPr>
          <w:highlight w:val="white"/>
        </w:rPr>
        <w:t>Australia</w:t>
      </w:r>
      <w:proofErr w:type="spellEnd"/>
      <w:r>
        <w:rPr>
          <w:highlight w:val="white"/>
        </w:rPr>
        <w:t xml:space="preserve">, </w:t>
      </w:r>
      <w:proofErr w:type="spellStart"/>
      <w:r>
        <w:rPr>
          <w:highlight w:val="white"/>
        </w:rPr>
        <w:t>Estonia</w:t>
      </w:r>
      <w:proofErr w:type="spellEnd"/>
      <w:r>
        <w:rPr>
          <w:highlight w:val="white"/>
        </w:rPr>
        <w:t xml:space="preserve">, </w:t>
      </w:r>
      <w:proofErr w:type="spellStart"/>
      <w:r>
        <w:rPr>
          <w:highlight w:val="white"/>
        </w:rPr>
        <w:t>Finland</w:t>
      </w:r>
      <w:proofErr w:type="spellEnd"/>
      <w:r>
        <w:rPr>
          <w:highlight w:val="white"/>
        </w:rPr>
        <w:t xml:space="preserve">, </w:t>
      </w:r>
      <w:proofErr w:type="spellStart"/>
      <w:r>
        <w:rPr>
          <w:highlight w:val="white"/>
        </w:rPr>
        <w:t>Israel</w:t>
      </w:r>
      <w:proofErr w:type="spellEnd"/>
      <w:r>
        <w:rPr>
          <w:highlight w:val="white"/>
        </w:rPr>
        <w:t xml:space="preserve">, </w:t>
      </w:r>
      <w:proofErr w:type="spellStart"/>
      <w:r>
        <w:rPr>
          <w:highlight w:val="white"/>
        </w:rPr>
        <w:t>Italy</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Spain</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implementing</w:t>
      </w:r>
      <w:proofErr w:type="spellEnd"/>
      <w:r>
        <w:rPr>
          <w:highlight w:val="white"/>
        </w:rPr>
        <w:t xml:space="preserve"> </w:t>
      </w:r>
      <w:proofErr w:type="spellStart"/>
      <w:r>
        <w:rPr>
          <w:highlight w:val="white"/>
        </w:rPr>
        <w:t>their</w:t>
      </w:r>
      <w:proofErr w:type="spellEnd"/>
      <w:r>
        <w:rPr>
          <w:highlight w:val="white"/>
        </w:rPr>
        <w:t xml:space="preserve"> </w:t>
      </w:r>
      <w:proofErr w:type="spellStart"/>
      <w:r w:rsidRPr="004702E1">
        <w:t>own</w:t>
      </w:r>
      <w:proofErr w:type="spellEnd"/>
      <w:r w:rsidRPr="004702E1">
        <w:t xml:space="preserve"> </w:t>
      </w:r>
      <w:proofErr w:type="spellStart"/>
      <w:r w:rsidRPr="004702E1">
        <w:t>strategies</w:t>
      </w:r>
      <w:proofErr w:type="spellEnd"/>
      <w:r w:rsidRPr="004702E1">
        <w:t xml:space="preserve"> (OECD, 2019). </w:t>
      </w:r>
    </w:p>
    <w:p w14:paraId="37BCE071" w14:textId="77777777" w:rsidR="008A2109" w:rsidRPr="00DB75EB" w:rsidRDefault="008A2109" w:rsidP="008A2109">
      <w:pPr>
        <w:jc w:val="both"/>
        <w:rPr>
          <w:highlight w:val="white"/>
        </w:rPr>
      </w:pPr>
    </w:p>
    <w:p w14:paraId="4ABE326B" w14:textId="77777777" w:rsidR="008A2109" w:rsidRPr="00B01E79" w:rsidRDefault="008A2109" w:rsidP="008A2109">
      <w:pPr>
        <w:jc w:val="both"/>
      </w:pPr>
      <w:r w:rsidRPr="00B01E79">
        <w:rPr>
          <w:b/>
          <w:bCs/>
          <w:color w:val="000000"/>
          <w:shd w:val="clear" w:color="auto" w:fill="FFFFFF"/>
        </w:rPr>
        <w:t xml:space="preserve">A </w:t>
      </w:r>
      <w:proofErr w:type="spellStart"/>
      <w:r w:rsidRPr="00B01E79">
        <w:rPr>
          <w:b/>
          <w:bCs/>
          <w:color w:val="000000"/>
          <w:shd w:val="clear" w:color="auto" w:fill="FFFFFF"/>
        </w:rPr>
        <w:t>Policy</w:t>
      </w:r>
      <w:proofErr w:type="spellEnd"/>
      <w:r w:rsidRPr="00B01E79">
        <w:rPr>
          <w:b/>
          <w:bCs/>
          <w:color w:val="000000"/>
          <w:shd w:val="clear" w:color="auto" w:fill="FFFFFF"/>
        </w:rPr>
        <w:t xml:space="preserve"> </w:t>
      </w:r>
      <w:proofErr w:type="spellStart"/>
      <w:r w:rsidRPr="00B01E79">
        <w:rPr>
          <w:b/>
          <w:bCs/>
          <w:color w:val="000000"/>
          <w:shd w:val="clear" w:color="auto" w:fill="FFFFFF"/>
        </w:rPr>
        <w:t>Example</w:t>
      </w:r>
      <w:proofErr w:type="spellEnd"/>
      <w:r w:rsidRPr="00B01E79">
        <w:rPr>
          <w:b/>
          <w:bCs/>
          <w:color w:val="000000"/>
          <w:shd w:val="clear" w:color="auto" w:fill="FFFFFF"/>
        </w:rPr>
        <w:t xml:space="preserve"> </w:t>
      </w:r>
      <w:proofErr w:type="spellStart"/>
      <w:r w:rsidRPr="00B01E79">
        <w:rPr>
          <w:b/>
          <w:bCs/>
          <w:color w:val="000000"/>
          <w:shd w:val="clear" w:color="auto" w:fill="FFFFFF"/>
        </w:rPr>
        <w:t>Review</w:t>
      </w:r>
      <w:proofErr w:type="spellEnd"/>
      <w:r w:rsidRPr="00B01E79">
        <w:rPr>
          <w:b/>
          <w:bCs/>
          <w:color w:val="000000"/>
          <w:shd w:val="clear" w:color="auto" w:fill="FFFFFF"/>
        </w:rPr>
        <w:t xml:space="preserve">: Dubai Smart </w:t>
      </w:r>
      <w:proofErr w:type="spellStart"/>
      <w:r w:rsidRPr="00B01E79">
        <w:rPr>
          <w:b/>
          <w:bCs/>
          <w:color w:val="000000"/>
          <w:shd w:val="clear" w:color="auto" w:fill="FFFFFF"/>
        </w:rPr>
        <w:t>Police</w:t>
      </w:r>
      <w:proofErr w:type="spellEnd"/>
      <w:r w:rsidRPr="00B01E79">
        <w:rPr>
          <w:b/>
          <w:bCs/>
          <w:color w:val="000000"/>
          <w:shd w:val="clear" w:color="auto" w:fill="FFFFFF"/>
        </w:rPr>
        <w:t xml:space="preserve"> </w:t>
      </w:r>
      <w:proofErr w:type="spellStart"/>
      <w:r w:rsidRPr="00B01E79">
        <w:rPr>
          <w:b/>
          <w:bCs/>
          <w:color w:val="000000"/>
          <w:shd w:val="clear" w:color="auto" w:fill="FFFFFF"/>
        </w:rPr>
        <w:t>Stations</w:t>
      </w:r>
      <w:proofErr w:type="spellEnd"/>
    </w:p>
    <w:p w14:paraId="7DA1103B" w14:textId="77777777" w:rsidR="008A2109" w:rsidRDefault="008A2109" w:rsidP="008A2109">
      <w:pPr>
        <w:jc w:val="both"/>
        <w:rPr>
          <w:color w:val="000000"/>
          <w:shd w:val="clear" w:color="auto" w:fill="FFFFFF"/>
        </w:rPr>
      </w:pP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development</w:t>
      </w:r>
      <w:proofErr w:type="spellEnd"/>
      <w:r w:rsidRPr="00B01E79">
        <w:rPr>
          <w:color w:val="000000"/>
          <w:shd w:val="clear" w:color="auto" w:fill="FFFFFF"/>
        </w:rPr>
        <w:t xml:space="preserve"> of </w:t>
      </w:r>
      <w:proofErr w:type="spellStart"/>
      <w:r w:rsidRPr="00B01E79">
        <w:rPr>
          <w:color w:val="000000"/>
          <w:shd w:val="clear" w:color="auto" w:fill="FFFFFF"/>
        </w:rPr>
        <w:t>smart</w:t>
      </w:r>
      <w:proofErr w:type="spellEnd"/>
      <w:r w:rsidRPr="00B01E79">
        <w:rPr>
          <w:color w:val="000000"/>
          <w:shd w:val="clear" w:color="auto" w:fill="FFFFFF"/>
        </w:rPr>
        <w:t xml:space="preserve"> </w:t>
      </w:r>
      <w:proofErr w:type="spellStart"/>
      <w:r w:rsidRPr="00B01E79">
        <w:rPr>
          <w:color w:val="000000"/>
          <w:shd w:val="clear" w:color="auto" w:fill="FFFFFF"/>
        </w:rPr>
        <w:t>application</w:t>
      </w:r>
      <w:proofErr w:type="spellEnd"/>
      <w:r w:rsidRPr="00B01E79">
        <w:rPr>
          <w:color w:val="000000"/>
          <w:shd w:val="clear" w:color="auto" w:fill="FFFFFF"/>
        </w:rPr>
        <w:t xml:space="preserve"> </w:t>
      </w:r>
      <w:proofErr w:type="spellStart"/>
      <w:r w:rsidRPr="00B01E79">
        <w:rPr>
          <w:color w:val="000000"/>
          <w:shd w:val="clear" w:color="auto" w:fill="FFFFFF"/>
        </w:rPr>
        <w:t>strategies</w:t>
      </w:r>
      <w:proofErr w:type="spellEnd"/>
      <w:r w:rsidRPr="00B01E79">
        <w:rPr>
          <w:color w:val="000000"/>
          <w:shd w:val="clear" w:color="auto" w:fill="FFFFFF"/>
        </w:rPr>
        <w:t xml:space="preserve"> </w:t>
      </w:r>
      <w:proofErr w:type="spellStart"/>
      <w:r w:rsidRPr="00B01E79">
        <w:rPr>
          <w:color w:val="000000"/>
          <w:shd w:val="clear" w:color="auto" w:fill="FFFFFF"/>
        </w:rPr>
        <w:t>by</w:t>
      </w:r>
      <w:proofErr w:type="spellEnd"/>
      <w:r w:rsidRPr="00B01E79">
        <w:rPr>
          <w:color w:val="000000"/>
          <w:shd w:val="clear" w:color="auto" w:fill="FFFFFF"/>
        </w:rPr>
        <w:t xml:space="preserve"> </w:t>
      </w:r>
      <w:proofErr w:type="spellStart"/>
      <w:r w:rsidRPr="00B01E79">
        <w:rPr>
          <w:color w:val="000000"/>
          <w:shd w:val="clear" w:color="auto" w:fill="FFFFFF"/>
        </w:rPr>
        <w:t>governments</w:t>
      </w:r>
      <w:proofErr w:type="spellEnd"/>
      <w:r w:rsidRPr="00B01E79">
        <w:rPr>
          <w:color w:val="000000"/>
          <w:shd w:val="clear" w:color="auto" w:fill="FFFFFF"/>
        </w:rPr>
        <w:t xml:space="preserve"> in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public</w:t>
      </w:r>
      <w:proofErr w:type="spellEnd"/>
      <w:r w:rsidRPr="00B01E79">
        <w:rPr>
          <w:color w:val="000000"/>
          <w:shd w:val="clear" w:color="auto" w:fill="FFFFFF"/>
        </w:rPr>
        <w:t xml:space="preserve"> </w:t>
      </w:r>
      <w:proofErr w:type="spellStart"/>
      <w:r w:rsidRPr="00B01E79">
        <w:rPr>
          <w:color w:val="000000"/>
          <w:shd w:val="clear" w:color="auto" w:fill="FFFFFF"/>
        </w:rPr>
        <w:t>sector</w:t>
      </w:r>
      <w:proofErr w:type="spellEnd"/>
      <w:r w:rsidRPr="00B01E79">
        <w:rPr>
          <w:color w:val="000000"/>
          <w:shd w:val="clear" w:color="auto" w:fill="FFFFFF"/>
        </w:rPr>
        <w:t xml:space="preserve">, </w:t>
      </w:r>
      <w:proofErr w:type="spellStart"/>
      <w:r w:rsidRPr="00B01E79">
        <w:rPr>
          <w:color w:val="000000"/>
          <w:shd w:val="clear" w:color="auto" w:fill="FFFFFF"/>
        </w:rPr>
        <w:t>which</w:t>
      </w:r>
      <w:proofErr w:type="spellEnd"/>
      <w:r w:rsidRPr="00B01E79">
        <w:rPr>
          <w:color w:val="000000"/>
          <w:shd w:val="clear" w:color="auto" w:fill="FFFFFF"/>
        </w:rPr>
        <w:t xml:space="preserve"> is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primary</w:t>
      </w:r>
      <w:proofErr w:type="spellEnd"/>
      <w:r w:rsidRPr="00B01E79">
        <w:rPr>
          <w:color w:val="000000"/>
          <w:shd w:val="clear" w:color="auto" w:fill="FFFFFF"/>
        </w:rPr>
        <w:t xml:space="preserve"> </w:t>
      </w:r>
      <w:proofErr w:type="spellStart"/>
      <w:r w:rsidRPr="00B01E79">
        <w:rPr>
          <w:color w:val="000000"/>
          <w:shd w:val="clear" w:color="auto" w:fill="FFFFFF"/>
        </w:rPr>
        <w:t>recipient</w:t>
      </w:r>
      <w:proofErr w:type="spellEnd"/>
      <w:r w:rsidRPr="00B01E79">
        <w:rPr>
          <w:color w:val="000000"/>
          <w:shd w:val="clear" w:color="auto" w:fill="FFFFFF"/>
        </w:rPr>
        <w:t xml:space="preserve"> of service </w:t>
      </w:r>
      <w:proofErr w:type="spellStart"/>
      <w:r w:rsidRPr="00B01E79">
        <w:rPr>
          <w:color w:val="000000"/>
          <w:shd w:val="clear" w:color="auto" w:fill="FFFFFF"/>
        </w:rPr>
        <w:t>delivery</w:t>
      </w:r>
      <w:proofErr w:type="spellEnd"/>
      <w:r w:rsidRPr="00B01E79">
        <w:rPr>
          <w:color w:val="000000"/>
          <w:shd w:val="clear" w:color="auto" w:fill="FFFFFF"/>
        </w:rPr>
        <w:t xml:space="preserve">, is </w:t>
      </w:r>
      <w:proofErr w:type="spellStart"/>
      <w:r w:rsidRPr="00B01E79">
        <w:rPr>
          <w:color w:val="000000"/>
          <w:shd w:val="clear" w:color="auto" w:fill="FFFFFF"/>
        </w:rPr>
        <w:t>increasing</w:t>
      </w:r>
      <w:proofErr w:type="spellEnd"/>
      <w:r w:rsidRPr="00B01E79">
        <w:rPr>
          <w:color w:val="000000"/>
          <w:shd w:val="clear" w:color="auto" w:fill="FFFFFF"/>
        </w:rPr>
        <w:t xml:space="preserve"> </w:t>
      </w:r>
      <w:proofErr w:type="spellStart"/>
      <w:r w:rsidRPr="00B01E79">
        <w:rPr>
          <w:color w:val="000000"/>
          <w:shd w:val="clear" w:color="auto" w:fill="FFFFFF"/>
        </w:rPr>
        <w:t>day</w:t>
      </w:r>
      <w:proofErr w:type="spellEnd"/>
      <w:r w:rsidRPr="00B01E79">
        <w:rPr>
          <w:color w:val="000000"/>
          <w:shd w:val="clear" w:color="auto" w:fill="FFFFFF"/>
        </w:rPr>
        <w:t xml:space="preserve"> </w:t>
      </w:r>
      <w:proofErr w:type="spellStart"/>
      <w:r w:rsidRPr="00B01E79">
        <w:rPr>
          <w:color w:val="000000"/>
          <w:shd w:val="clear" w:color="auto" w:fill="FFFFFF"/>
        </w:rPr>
        <w:t>by</w:t>
      </w:r>
      <w:proofErr w:type="spellEnd"/>
      <w:r w:rsidRPr="00B01E79">
        <w:rPr>
          <w:color w:val="000000"/>
          <w:shd w:val="clear" w:color="auto" w:fill="FFFFFF"/>
        </w:rPr>
        <w:t xml:space="preserve"> </w:t>
      </w:r>
      <w:proofErr w:type="spellStart"/>
      <w:r w:rsidRPr="00B01E79">
        <w:rPr>
          <w:color w:val="000000"/>
          <w:shd w:val="clear" w:color="auto" w:fill="FFFFFF"/>
        </w:rPr>
        <w:t>day</w:t>
      </w:r>
      <w:proofErr w:type="spellEnd"/>
      <w:r w:rsidRPr="00B01E79">
        <w:rPr>
          <w:color w:val="000000"/>
          <w:shd w:val="clear" w:color="auto" w:fill="FFFFFF"/>
        </w:rPr>
        <w:t>.</w:t>
      </w:r>
      <w:r>
        <w:rPr>
          <w:color w:val="000000"/>
          <w:shd w:val="clear" w:color="auto" w:fill="FFFFFF"/>
        </w:rPr>
        <w:t xml:space="preserve"> </w:t>
      </w:r>
      <w:r w:rsidRPr="00B01E79">
        <w:rPr>
          <w:color w:val="000000"/>
          <w:shd w:val="clear" w:color="auto" w:fill="FFFFFF"/>
        </w:rPr>
        <w:t xml:space="preserve"> </w:t>
      </w:r>
      <w:proofErr w:type="spellStart"/>
      <w:r w:rsidRPr="00B01E79">
        <w:rPr>
          <w:color w:val="000000"/>
          <w:shd w:val="clear" w:color="auto" w:fill="FFFFFF"/>
        </w:rPr>
        <w:t>The</w:t>
      </w:r>
      <w:proofErr w:type="spellEnd"/>
      <w:r w:rsidRPr="00B01E79">
        <w:rPr>
          <w:color w:val="000000"/>
          <w:shd w:val="clear" w:color="auto" w:fill="FFFFFF"/>
        </w:rPr>
        <w:t xml:space="preserve"> SPS, </w:t>
      </w:r>
      <w:proofErr w:type="spellStart"/>
      <w:r w:rsidRPr="00B01E79">
        <w:rPr>
          <w:color w:val="000000"/>
          <w:shd w:val="clear" w:color="auto" w:fill="FFFFFF"/>
        </w:rPr>
        <w:t>established</w:t>
      </w:r>
      <w:proofErr w:type="spellEnd"/>
      <w:r w:rsidRPr="00B01E79">
        <w:rPr>
          <w:color w:val="000000"/>
          <w:shd w:val="clear" w:color="auto" w:fill="FFFFFF"/>
        </w:rPr>
        <w:t xml:space="preserve"> in 2017, is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first</w:t>
      </w:r>
      <w:proofErr w:type="spellEnd"/>
      <w:r w:rsidRPr="00B01E79">
        <w:rPr>
          <w:color w:val="000000"/>
          <w:shd w:val="clear" w:color="auto" w:fill="FFFFFF"/>
        </w:rPr>
        <w:t xml:space="preserve"> of </w:t>
      </w:r>
      <w:proofErr w:type="spellStart"/>
      <w:r w:rsidRPr="00B01E79">
        <w:rPr>
          <w:color w:val="000000"/>
          <w:shd w:val="clear" w:color="auto" w:fill="FFFFFF"/>
        </w:rPr>
        <w:t>its</w:t>
      </w:r>
      <w:proofErr w:type="spellEnd"/>
      <w:r w:rsidRPr="00B01E79">
        <w:rPr>
          <w:color w:val="000000"/>
          <w:shd w:val="clear" w:color="auto" w:fill="FFFFFF"/>
        </w:rPr>
        <w:t xml:space="preserve"> </w:t>
      </w:r>
      <w:proofErr w:type="spellStart"/>
      <w:r w:rsidRPr="00B01E79">
        <w:rPr>
          <w:color w:val="000000"/>
          <w:shd w:val="clear" w:color="auto" w:fill="FFFFFF"/>
        </w:rPr>
        <w:t>kind</w:t>
      </w:r>
      <w:proofErr w:type="spellEnd"/>
      <w:r w:rsidRPr="00B01E79">
        <w:rPr>
          <w:color w:val="000000"/>
          <w:shd w:val="clear" w:color="auto" w:fill="FFFFFF"/>
        </w:rPr>
        <w:t xml:space="preserve">, </w:t>
      </w:r>
      <w:proofErr w:type="spellStart"/>
      <w:r w:rsidRPr="00B01E79">
        <w:rPr>
          <w:color w:val="000000"/>
          <w:shd w:val="clear" w:color="auto" w:fill="FFFFFF"/>
        </w:rPr>
        <w:t>demonstrating</w:t>
      </w:r>
      <w:proofErr w:type="spellEnd"/>
      <w:r w:rsidRPr="00B01E79">
        <w:rPr>
          <w:color w:val="000000"/>
          <w:shd w:val="clear" w:color="auto" w:fill="FFFFFF"/>
        </w:rPr>
        <w:t xml:space="preserve"> </w:t>
      </w:r>
      <w:proofErr w:type="spellStart"/>
      <w:r w:rsidRPr="00B01E79">
        <w:rPr>
          <w:color w:val="000000"/>
        </w:rPr>
        <w:t>the</w:t>
      </w:r>
      <w:proofErr w:type="spellEnd"/>
      <w:r w:rsidRPr="00B01E79">
        <w:rPr>
          <w:color w:val="000000"/>
        </w:rPr>
        <w:t xml:space="preserve"> </w:t>
      </w:r>
      <w:proofErr w:type="spellStart"/>
      <w:r w:rsidRPr="00B01E79">
        <w:rPr>
          <w:color w:val="000000"/>
        </w:rPr>
        <w:t>successful</w:t>
      </w:r>
      <w:proofErr w:type="spellEnd"/>
      <w:r w:rsidRPr="00B01E79">
        <w:rPr>
          <w:color w:val="000000"/>
        </w:rPr>
        <w:t xml:space="preserve"> </w:t>
      </w:r>
      <w:proofErr w:type="spellStart"/>
      <w:r w:rsidRPr="00B01E79">
        <w:rPr>
          <w:color w:val="000000"/>
        </w:rPr>
        <w:t>implementation</w:t>
      </w:r>
      <w:proofErr w:type="spellEnd"/>
      <w:r w:rsidRPr="00B01E79">
        <w:rPr>
          <w:color w:val="000000"/>
        </w:rPr>
        <w:t xml:space="preserve"> of </w:t>
      </w:r>
      <w:proofErr w:type="spellStart"/>
      <w:r w:rsidRPr="00B01E79">
        <w:rPr>
          <w:color w:val="000000"/>
        </w:rPr>
        <w:t>digital</w:t>
      </w:r>
      <w:proofErr w:type="spellEnd"/>
      <w:r w:rsidRPr="00B01E79">
        <w:rPr>
          <w:color w:val="000000"/>
        </w:rPr>
        <w:t xml:space="preserve"> </w:t>
      </w:r>
      <w:proofErr w:type="spellStart"/>
      <w:r w:rsidRPr="00B01E79">
        <w:rPr>
          <w:color w:val="000000"/>
        </w:rPr>
        <w:t>transformation</w:t>
      </w:r>
      <w:proofErr w:type="spellEnd"/>
      <w:r w:rsidRPr="00B01E79">
        <w:rPr>
          <w:color w:val="000000"/>
        </w:rPr>
        <w:t xml:space="preserve"> </w:t>
      </w:r>
      <w:proofErr w:type="spellStart"/>
      <w:r w:rsidRPr="00B01E79">
        <w:rPr>
          <w:color w:val="000000"/>
        </w:rPr>
        <w:t>and</w:t>
      </w:r>
      <w:proofErr w:type="spellEnd"/>
      <w:r w:rsidRPr="00B01E79">
        <w:rPr>
          <w:color w:val="000000"/>
        </w:rPr>
        <w:t xml:space="preserve"> </w:t>
      </w:r>
      <w:proofErr w:type="spellStart"/>
      <w:r w:rsidRPr="00B01E79">
        <w:rPr>
          <w:color w:val="000000"/>
        </w:rPr>
        <w:t>smart</w:t>
      </w:r>
      <w:proofErr w:type="spellEnd"/>
      <w:r w:rsidRPr="00B01E79">
        <w:rPr>
          <w:color w:val="000000"/>
        </w:rPr>
        <w:t xml:space="preserve"> </w:t>
      </w:r>
      <w:proofErr w:type="spellStart"/>
      <w:r w:rsidRPr="00B01E79">
        <w:rPr>
          <w:color w:val="000000"/>
        </w:rPr>
        <w:t>police</w:t>
      </w:r>
      <w:proofErr w:type="spellEnd"/>
      <w:r w:rsidRPr="00B01E79">
        <w:rPr>
          <w:color w:val="000000"/>
        </w:rPr>
        <w:t xml:space="preserve"> </w:t>
      </w:r>
      <w:proofErr w:type="spellStart"/>
      <w:r w:rsidRPr="00B01E79">
        <w:rPr>
          <w:color w:val="000000"/>
        </w:rPr>
        <w:t>services</w:t>
      </w:r>
      <w:proofErr w:type="spellEnd"/>
      <w:r w:rsidRPr="00B01E79">
        <w:rPr>
          <w:color w:val="000000"/>
        </w:rPr>
        <w:t xml:space="preserve"> in </w:t>
      </w:r>
      <w:proofErr w:type="spellStart"/>
      <w:r w:rsidRPr="00B01E79">
        <w:rPr>
          <w:color w:val="000000"/>
        </w:rPr>
        <w:t>law</w:t>
      </w:r>
      <w:proofErr w:type="spellEnd"/>
      <w:r w:rsidRPr="00B01E79">
        <w:rPr>
          <w:color w:val="000000"/>
        </w:rPr>
        <w:t xml:space="preserve"> </w:t>
      </w:r>
      <w:proofErr w:type="spellStart"/>
      <w:r w:rsidRPr="00B01E79">
        <w:rPr>
          <w:color w:val="000000"/>
        </w:rPr>
        <w:t>enforcement</w:t>
      </w:r>
      <w:proofErr w:type="spellEnd"/>
      <w:r w:rsidRPr="00B01E79">
        <w:rPr>
          <w:color w:val="000000"/>
        </w:rPr>
        <w:t xml:space="preserve"> (</w:t>
      </w:r>
      <w:proofErr w:type="spellStart"/>
      <w:r w:rsidRPr="00B01E79">
        <w:rPr>
          <w:color w:val="000000"/>
        </w:rPr>
        <w:t>Garate</w:t>
      </w:r>
      <w:proofErr w:type="spellEnd"/>
      <w:r w:rsidRPr="00B01E79">
        <w:rPr>
          <w:color w:val="000000"/>
        </w:rPr>
        <w:t xml:space="preserve">, 2022). </w:t>
      </w:r>
      <w:r>
        <w:rPr>
          <w:color w:val="000000"/>
          <w:shd w:val="clear" w:color="auto" w:fill="FFFFFF"/>
        </w:rPr>
        <w:t xml:space="preserve"> </w:t>
      </w:r>
      <w:proofErr w:type="spellStart"/>
      <w:r w:rsidRPr="00B01E79">
        <w:rPr>
          <w:color w:val="000000"/>
        </w:rPr>
        <w:t>The</w:t>
      </w:r>
      <w:proofErr w:type="spellEnd"/>
      <w:r w:rsidRPr="00B01E79">
        <w:rPr>
          <w:color w:val="000000"/>
        </w:rPr>
        <w:t xml:space="preserve"> </w:t>
      </w:r>
      <w:proofErr w:type="spellStart"/>
      <w:r w:rsidRPr="00B01E79">
        <w:rPr>
          <w:color w:val="000000"/>
        </w:rPr>
        <w:t>strategic</w:t>
      </w:r>
      <w:proofErr w:type="spellEnd"/>
      <w:r w:rsidRPr="00B01E79">
        <w:rPr>
          <w:color w:val="000000"/>
        </w:rPr>
        <w:t xml:space="preserve"> </w:t>
      </w:r>
      <w:r w:rsidRPr="00B01E79">
        <w:rPr>
          <w:color w:val="000000"/>
          <w:shd w:val="clear" w:color="auto" w:fill="FFFFFF"/>
        </w:rPr>
        <w:t xml:space="preserve">plan of Dubai </w:t>
      </w:r>
      <w:proofErr w:type="spellStart"/>
      <w:r w:rsidRPr="00B01E79">
        <w:rPr>
          <w:color w:val="000000"/>
          <w:shd w:val="clear" w:color="auto" w:fill="FFFFFF"/>
        </w:rPr>
        <w:t>Police</w:t>
      </w:r>
      <w:proofErr w:type="spellEnd"/>
      <w:r w:rsidRPr="00B01E79">
        <w:rPr>
          <w:color w:val="000000"/>
          <w:shd w:val="clear" w:color="auto" w:fill="FFFFFF"/>
        </w:rPr>
        <w:t xml:space="preserve">, </w:t>
      </w:r>
      <w:proofErr w:type="spellStart"/>
      <w:r w:rsidRPr="00B01E79">
        <w:rPr>
          <w:color w:val="000000"/>
          <w:shd w:val="clear" w:color="auto" w:fill="FFFFFF"/>
        </w:rPr>
        <w:t>which</w:t>
      </w:r>
      <w:proofErr w:type="spellEnd"/>
      <w:r w:rsidRPr="00B01E79">
        <w:rPr>
          <w:color w:val="000000"/>
          <w:shd w:val="clear" w:color="auto" w:fill="FFFFFF"/>
        </w:rPr>
        <w:t xml:space="preserve"> is </w:t>
      </w:r>
      <w:proofErr w:type="spellStart"/>
      <w:r w:rsidRPr="00B01E79">
        <w:rPr>
          <w:color w:val="000000"/>
          <w:shd w:val="clear" w:color="auto" w:fill="FFFFFF"/>
        </w:rPr>
        <w:t>based</w:t>
      </w:r>
      <w:proofErr w:type="spellEnd"/>
      <w:r w:rsidRPr="00B01E79">
        <w:rPr>
          <w:color w:val="000000"/>
          <w:shd w:val="clear" w:color="auto" w:fill="FFFFFF"/>
        </w:rPr>
        <w:t xml:space="preserve"> on Dubai </w:t>
      </w:r>
      <w:proofErr w:type="spellStart"/>
      <w:r w:rsidRPr="00B01E79">
        <w:rPr>
          <w:color w:val="000000"/>
          <w:shd w:val="clear" w:color="auto" w:fill="FFFFFF"/>
        </w:rPr>
        <w:t>Vision</w:t>
      </w:r>
      <w:proofErr w:type="spellEnd"/>
      <w:r w:rsidRPr="00B01E79">
        <w:rPr>
          <w:color w:val="000000"/>
          <w:shd w:val="clear" w:color="auto" w:fill="FFFFFF"/>
        </w:rPr>
        <w:t xml:space="preserve"> 2021, </w:t>
      </w:r>
      <w:proofErr w:type="spellStart"/>
      <w:r w:rsidRPr="00B01E79">
        <w:rPr>
          <w:color w:val="000000"/>
          <w:shd w:val="clear" w:color="auto" w:fill="FFFFFF"/>
        </w:rPr>
        <w:t>includes</w:t>
      </w:r>
      <w:proofErr w:type="spellEnd"/>
      <w:r w:rsidRPr="00B01E79">
        <w:rPr>
          <w:color w:val="000000"/>
          <w:shd w:val="clear" w:color="auto" w:fill="FFFFFF"/>
        </w:rPr>
        <w:t xml:space="preserve"> </w:t>
      </w:r>
      <w:proofErr w:type="spellStart"/>
      <w:r w:rsidRPr="00B01E79">
        <w:rPr>
          <w:color w:val="000000"/>
          <w:shd w:val="clear" w:color="auto" w:fill="FFFFFF"/>
        </w:rPr>
        <w:t>goals</w:t>
      </w:r>
      <w:proofErr w:type="spellEnd"/>
      <w:r w:rsidRPr="00B01E79">
        <w:rPr>
          <w:color w:val="000000"/>
          <w:shd w:val="clear" w:color="auto" w:fill="FFFFFF"/>
        </w:rPr>
        <w:t xml:space="preserve">, </w:t>
      </w:r>
      <w:proofErr w:type="spellStart"/>
      <w:r w:rsidRPr="00B01E79">
        <w:rPr>
          <w:color w:val="000000"/>
          <w:shd w:val="clear" w:color="auto" w:fill="FFFFFF"/>
        </w:rPr>
        <w:t>targets</w:t>
      </w:r>
      <w:proofErr w:type="spellEnd"/>
      <w:r w:rsidRPr="00B01E79">
        <w:rPr>
          <w:color w:val="000000"/>
          <w:shd w:val="clear" w:color="auto" w:fill="FFFFFF"/>
        </w:rPr>
        <w:t xml:space="preserve">, </w:t>
      </w:r>
      <w:proofErr w:type="spellStart"/>
      <w:r w:rsidRPr="00B01E79">
        <w:rPr>
          <w:color w:val="000000"/>
          <w:shd w:val="clear" w:color="auto" w:fill="FFFFFF"/>
        </w:rPr>
        <w:t>and</w:t>
      </w:r>
      <w:proofErr w:type="spellEnd"/>
      <w:r w:rsidRPr="00B01E79">
        <w:rPr>
          <w:color w:val="000000"/>
          <w:shd w:val="clear" w:color="auto" w:fill="FFFFFF"/>
        </w:rPr>
        <w:t xml:space="preserve"> </w:t>
      </w:r>
      <w:proofErr w:type="spellStart"/>
      <w:r w:rsidRPr="00B01E79">
        <w:rPr>
          <w:color w:val="000000"/>
          <w:shd w:val="clear" w:color="auto" w:fill="FFFFFF"/>
        </w:rPr>
        <w:t>various</w:t>
      </w:r>
      <w:proofErr w:type="spellEnd"/>
      <w:r w:rsidRPr="00B01E79">
        <w:rPr>
          <w:color w:val="000000"/>
          <w:shd w:val="clear" w:color="auto" w:fill="FFFFFF"/>
        </w:rPr>
        <w:t xml:space="preserve"> </w:t>
      </w:r>
      <w:proofErr w:type="spellStart"/>
      <w:r w:rsidRPr="00B01E79">
        <w:rPr>
          <w:color w:val="000000"/>
          <w:shd w:val="clear" w:color="auto" w:fill="FFFFFF"/>
        </w:rPr>
        <w:t>activities</w:t>
      </w:r>
      <w:proofErr w:type="spellEnd"/>
      <w:r w:rsidRPr="00B01E79">
        <w:rPr>
          <w:color w:val="000000"/>
          <w:shd w:val="clear" w:color="auto" w:fill="FFFFFF"/>
        </w:rPr>
        <w:t xml:space="preserve"> </w:t>
      </w:r>
      <w:proofErr w:type="spellStart"/>
      <w:r w:rsidRPr="00B01E79">
        <w:rPr>
          <w:color w:val="000000"/>
          <w:shd w:val="clear" w:color="auto" w:fill="FFFFFF"/>
        </w:rPr>
        <w:t>that</w:t>
      </w:r>
      <w:proofErr w:type="spellEnd"/>
      <w:r w:rsidRPr="00B01E79">
        <w:rPr>
          <w:color w:val="000000"/>
          <w:shd w:val="clear" w:color="auto" w:fill="FFFFFF"/>
        </w:rPr>
        <w:t xml:space="preserve"> </w:t>
      </w:r>
      <w:proofErr w:type="spellStart"/>
      <w:r w:rsidRPr="00B01E79">
        <w:rPr>
          <w:color w:val="000000"/>
          <w:shd w:val="clear" w:color="auto" w:fill="FFFFFF"/>
        </w:rPr>
        <w:t>surpass</w:t>
      </w:r>
      <w:proofErr w:type="spellEnd"/>
      <w:r w:rsidRPr="00B01E79">
        <w:rPr>
          <w:color w:val="000000"/>
          <w:shd w:val="clear" w:color="auto" w:fill="FFFFFF"/>
        </w:rPr>
        <w:t xml:space="preserve">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expectations</w:t>
      </w:r>
      <w:proofErr w:type="spellEnd"/>
      <w:r w:rsidRPr="00B01E79">
        <w:rPr>
          <w:color w:val="000000"/>
          <w:shd w:val="clear" w:color="auto" w:fill="FFFFFF"/>
        </w:rPr>
        <w:t xml:space="preserve"> of Dubai </w:t>
      </w:r>
      <w:proofErr w:type="spellStart"/>
      <w:r w:rsidRPr="00B01E79">
        <w:rPr>
          <w:color w:val="000000"/>
          <w:shd w:val="clear" w:color="auto" w:fill="FFFFFF"/>
        </w:rPr>
        <w:t>residents</w:t>
      </w:r>
      <w:proofErr w:type="spellEnd"/>
      <w:r w:rsidRPr="00B01E79">
        <w:rPr>
          <w:color w:val="000000"/>
          <w:shd w:val="clear" w:color="auto" w:fill="FFFFFF"/>
        </w:rPr>
        <w:t xml:space="preserve"> </w:t>
      </w:r>
      <w:proofErr w:type="spellStart"/>
      <w:r w:rsidRPr="00B01E79">
        <w:rPr>
          <w:color w:val="000000"/>
          <w:shd w:val="clear" w:color="auto" w:fill="FFFFFF"/>
        </w:rPr>
        <w:t>and</w:t>
      </w:r>
      <w:proofErr w:type="spellEnd"/>
      <w:r w:rsidRPr="00B01E79">
        <w:rPr>
          <w:color w:val="000000"/>
          <w:shd w:val="clear" w:color="auto" w:fill="FFFFFF"/>
        </w:rPr>
        <w:t xml:space="preserve"> </w:t>
      </w:r>
      <w:proofErr w:type="spellStart"/>
      <w:r w:rsidRPr="00B01E79">
        <w:rPr>
          <w:color w:val="000000"/>
          <w:shd w:val="clear" w:color="auto" w:fill="FFFFFF"/>
        </w:rPr>
        <w:t>visitors</w:t>
      </w:r>
      <w:proofErr w:type="spellEnd"/>
      <w:r w:rsidRPr="00B01E79">
        <w:rPr>
          <w:color w:val="000000"/>
          <w:shd w:val="clear" w:color="auto" w:fill="FFFFFF"/>
        </w:rPr>
        <w:t xml:space="preserve"> </w:t>
      </w:r>
      <w:proofErr w:type="spellStart"/>
      <w:r w:rsidRPr="00B01E79">
        <w:rPr>
          <w:color w:val="000000"/>
          <w:shd w:val="clear" w:color="auto" w:fill="FFFFFF"/>
        </w:rPr>
        <w:t>and</w:t>
      </w:r>
      <w:proofErr w:type="spellEnd"/>
      <w:r w:rsidRPr="00B01E79">
        <w:rPr>
          <w:color w:val="000000"/>
          <w:shd w:val="clear" w:color="auto" w:fill="FFFFFF"/>
        </w:rPr>
        <w:t xml:space="preserve"> </w:t>
      </w:r>
      <w:proofErr w:type="spellStart"/>
      <w:r w:rsidRPr="00B01E79">
        <w:rPr>
          <w:color w:val="000000"/>
          <w:shd w:val="clear" w:color="auto" w:fill="FFFFFF"/>
        </w:rPr>
        <w:t>ensure</w:t>
      </w:r>
      <w:proofErr w:type="spellEnd"/>
      <w:r w:rsidRPr="00B01E79">
        <w:rPr>
          <w:color w:val="000000"/>
          <w:shd w:val="clear" w:color="auto" w:fill="FFFFFF"/>
        </w:rPr>
        <w:t xml:space="preserve"> </w:t>
      </w:r>
      <w:proofErr w:type="spellStart"/>
      <w:r w:rsidRPr="00B01E79">
        <w:rPr>
          <w:color w:val="000000"/>
          <w:shd w:val="clear" w:color="auto" w:fill="FFFFFF"/>
        </w:rPr>
        <w:t>their</w:t>
      </w:r>
      <w:proofErr w:type="spellEnd"/>
      <w:r w:rsidRPr="00B01E79">
        <w:rPr>
          <w:color w:val="000000"/>
          <w:shd w:val="clear" w:color="auto" w:fill="FFFFFF"/>
        </w:rPr>
        <w:t xml:space="preserve"> </w:t>
      </w:r>
      <w:proofErr w:type="spellStart"/>
      <w:r w:rsidRPr="00B01E79">
        <w:rPr>
          <w:color w:val="000000"/>
          <w:shd w:val="clear" w:color="auto" w:fill="FFFFFF"/>
        </w:rPr>
        <w:t>satisfaction</w:t>
      </w:r>
      <w:proofErr w:type="spellEnd"/>
      <w:r w:rsidRPr="00B01E79">
        <w:rPr>
          <w:color w:val="000000"/>
          <w:shd w:val="clear" w:color="auto" w:fill="FFFFFF"/>
        </w:rPr>
        <w:t xml:space="preserve">. Dubai </w:t>
      </w:r>
      <w:proofErr w:type="spellStart"/>
      <w:r w:rsidRPr="00B01E79">
        <w:rPr>
          <w:color w:val="000000"/>
          <w:shd w:val="clear" w:color="auto" w:fill="FFFFFF"/>
        </w:rPr>
        <w:t>Police</w:t>
      </w:r>
      <w:proofErr w:type="spellEnd"/>
      <w:r w:rsidRPr="00B01E79">
        <w:rPr>
          <w:color w:val="000000"/>
          <w:shd w:val="clear" w:color="auto" w:fill="FFFFFF"/>
        </w:rPr>
        <w:t xml:space="preserve"> has </w:t>
      </w:r>
      <w:proofErr w:type="spellStart"/>
      <w:r w:rsidRPr="00B01E79">
        <w:rPr>
          <w:color w:val="000000"/>
          <w:shd w:val="clear" w:color="auto" w:fill="FFFFFF"/>
        </w:rPr>
        <w:t>consistently</w:t>
      </w:r>
      <w:proofErr w:type="spellEnd"/>
      <w:r w:rsidRPr="00B01E79">
        <w:rPr>
          <w:color w:val="000000"/>
          <w:shd w:val="clear" w:color="auto" w:fill="FFFFFF"/>
        </w:rPr>
        <w:t xml:space="preserve"> </w:t>
      </w:r>
      <w:proofErr w:type="spellStart"/>
      <w:r w:rsidRPr="00B01E79">
        <w:rPr>
          <w:color w:val="000000"/>
          <w:shd w:val="clear" w:color="auto" w:fill="FFFFFF"/>
        </w:rPr>
        <w:t>worked</w:t>
      </w:r>
      <w:proofErr w:type="spellEnd"/>
      <w:r w:rsidRPr="00B01E79">
        <w:rPr>
          <w:color w:val="000000"/>
          <w:shd w:val="clear" w:color="auto" w:fill="FFFFFF"/>
        </w:rPr>
        <w:t xml:space="preserve"> </w:t>
      </w:r>
      <w:proofErr w:type="spellStart"/>
      <w:r w:rsidRPr="00B01E79">
        <w:rPr>
          <w:color w:val="000000"/>
          <w:shd w:val="clear" w:color="auto" w:fill="FFFFFF"/>
        </w:rPr>
        <w:t>to</w:t>
      </w:r>
      <w:proofErr w:type="spellEnd"/>
      <w:r w:rsidRPr="00B01E79">
        <w:rPr>
          <w:color w:val="000000"/>
          <w:shd w:val="clear" w:color="auto" w:fill="FFFFFF"/>
        </w:rPr>
        <w:t xml:space="preserve"> </w:t>
      </w:r>
      <w:proofErr w:type="spellStart"/>
      <w:r w:rsidRPr="00B01E79">
        <w:rPr>
          <w:color w:val="000000"/>
          <w:shd w:val="clear" w:color="auto" w:fill="FFFFFF"/>
        </w:rPr>
        <w:t>uphold</w:t>
      </w:r>
      <w:proofErr w:type="spellEnd"/>
      <w:r w:rsidRPr="00B01E79">
        <w:rPr>
          <w:color w:val="000000"/>
          <w:shd w:val="clear" w:color="auto" w:fill="FFFFFF"/>
        </w:rPr>
        <w:t xml:space="preserve">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greatest</w:t>
      </w:r>
      <w:proofErr w:type="spellEnd"/>
      <w:r w:rsidRPr="00B01E79">
        <w:rPr>
          <w:color w:val="000000"/>
          <w:shd w:val="clear" w:color="auto" w:fill="FFFFFF"/>
        </w:rPr>
        <w:t xml:space="preserve"> </w:t>
      </w:r>
      <w:proofErr w:type="spellStart"/>
      <w:r w:rsidRPr="00B01E79">
        <w:rPr>
          <w:color w:val="000000"/>
          <w:shd w:val="clear" w:color="auto" w:fill="FFFFFF"/>
        </w:rPr>
        <w:t>standards</w:t>
      </w:r>
      <w:proofErr w:type="spellEnd"/>
      <w:r w:rsidRPr="00B01E79">
        <w:rPr>
          <w:color w:val="000000"/>
          <w:shd w:val="clear" w:color="auto" w:fill="FFFFFF"/>
        </w:rPr>
        <w:t xml:space="preserve"> of </w:t>
      </w:r>
      <w:proofErr w:type="spellStart"/>
      <w:r w:rsidRPr="00B01E79">
        <w:rPr>
          <w:color w:val="000000"/>
          <w:shd w:val="clear" w:color="auto" w:fill="FFFFFF"/>
        </w:rPr>
        <w:t>safety</w:t>
      </w:r>
      <w:proofErr w:type="spellEnd"/>
      <w:r w:rsidRPr="00B01E79">
        <w:rPr>
          <w:color w:val="000000"/>
          <w:shd w:val="clear" w:color="auto" w:fill="FFFFFF"/>
        </w:rPr>
        <w:t xml:space="preserve">, </w:t>
      </w:r>
      <w:proofErr w:type="spellStart"/>
      <w:r w:rsidRPr="00B01E79">
        <w:rPr>
          <w:color w:val="000000"/>
          <w:shd w:val="clear" w:color="auto" w:fill="FFFFFF"/>
        </w:rPr>
        <w:t>security</w:t>
      </w:r>
      <w:proofErr w:type="spellEnd"/>
      <w:r w:rsidRPr="00B01E79">
        <w:rPr>
          <w:color w:val="000000"/>
          <w:shd w:val="clear" w:color="auto" w:fill="FFFFFF"/>
        </w:rPr>
        <w:t xml:space="preserve">, </w:t>
      </w:r>
      <w:proofErr w:type="spellStart"/>
      <w:r w:rsidRPr="00B01E79">
        <w:rPr>
          <w:color w:val="000000"/>
          <w:shd w:val="clear" w:color="auto" w:fill="FFFFFF"/>
        </w:rPr>
        <w:t>and</w:t>
      </w:r>
      <w:proofErr w:type="spellEnd"/>
      <w:r w:rsidRPr="00B01E79">
        <w:rPr>
          <w:color w:val="000000"/>
          <w:shd w:val="clear" w:color="auto" w:fill="FFFFFF"/>
        </w:rPr>
        <w:t xml:space="preserve"> </w:t>
      </w:r>
      <w:proofErr w:type="spellStart"/>
      <w:r w:rsidRPr="00B01E79">
        <w:rPr>
          <w:color w:val="000000"/>
          <w:shd w:val="clear" w:color="auto" w:fill="FFFFFF"/>
        </w:rPr>
        <w:t>contentment</w:t>
      </w:r>
      <w:proofErr w:type="spellEnd"/>
      <w:r w:rsidRPr="00B01E79">
        <w:rPr>
          <w:color w:val="000000"/>
          <w:shd w:val="clear" w:color="auto" w:fill="FFFFFF"/>
        </w:rPr>
        <w:t xml:space="preserve">. </w:t>
      </w:r>
      <w:proofErr w:type="spellStart"/>
      <w:r w:rsidRPr="00B01E79">
        <w:rPr>
          <w:color w:val="000000"/>
          <w:shd w:val="clear" w:color="auto" w:fill="FFFFFF"/>
        </w:rPr>
        <w:t>Among</w:t>
      </w:r>
      <w:proofErr w:type="spellEnd"/>
      <w:r w:rsidRPr="00B01E79">
        <w:rPr>
          <w:color w:val="000000"/>
          <w:shd w:val="clear" w:color="auto" w:fill="FFFFFF"/>
        </w:rPr>
        <w:t xml:space="preserve">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safest</w:t>
      </w:r>
      <w:proofErr w:type="spellEnd"/>
      <w:r w:rsidRPr="00B01E79">
        <w:rPr>
          <w:color w:val="000000"/>
          <w:shd w:val="clear" w:color="auto" w:fill="FFFFFF"/>
        </w:rPr>
        <w:t xml:space="preserve"> </w:t>
      </w:r>
      <w:proofErr w:type="spellStart"/>
      <w:r w:rsidRPr="00B01E79">
        <w:rPr>
          <w:color w:val="000000"/>
          <w:shd w:val="clear" w:color="auto" w:fill="FFFFFF"/>
        </w:rPr>
        <w:t>cities</w:t>
      </w:r>
      <w:proofErr w:type="spellEnd"/>
      <w:r w:rsidRPr="00B01E79">
        <w:rPr>
          <w:color w:val="000000"/>
          <w:shd w:val="clear" w:color="auto" w:fill="FFFFFF"/>
        </w:rPr>
        <w:t xml:space="preserve"> in </w:t>
      </w:r>
      <w:proofErr w:type="spellStart"/>
      <w:r w:rsidRPr="00B01E79">
        <w:rPr>
          <w:color w:val="000000"/>
          <w:shd w:val="clear" w:color="auto" w:fill="FFFFFF"/>
        </w:rPr>
        <w:t>the</w:t>
      </w:r>
      <w:proofErr w:type="spellEnd"/>
      <w:r w:rsidRPr="00B01E79">
        <w:rPr>
          <w:color w:val="000000"/>
          <w:shd w:val="clear" w:color="auto" w:fill="FFFFFF"/>
        </w:rPr>
        <w:t xml:space="preserve"> </w:t>
      </w:r>
      <w:proofErr w:type="spellStart"/>
      <w:r w:rsidRPr="00B01E79">
        <w:rPr>
          <w:color w:val="000000"/>
          <w:shd w:val="clear" w:color="auto" w:fill="FFFFFF"/>
        </w:rPr>
        <w:t>world</w:t>
      </w:r>
      <w:proofErr w:type="spellEnd"/>
      <w:r w:rsidRPr="00B01E79">
        <w:rPr>
          <w:color w:val="000000"/>
          <w:shd w:val="clear" w:color="auto" w:fill="FFFFFF"/>
        </w:rPr>
        <w:t xml:space="preserve">, </w:t>
      </w:r>
      <w:proofErr w:type="spellStart"/>
      <w:r w:rsidRPr="00B01E79">
        <w:rPr>
          <w:color w:val="000000"/>
          <w:shd w:val="clear" w:color="auto" w:fill="FFFFFF"/>
        </w:rPr>
        <w:t>the</w:t>
      </w:r>
      <w:proofErr w:type="spellEnd"/>
      <w:r w:rsidRPr="00B01E79">
        <w:rPr>
          <w:color w:val="000000"/>
          <w:shd w:val="clear" w:color="auto" w:fill="FFFFFF"/>
        </w:rPr>
        <w:t xml:space="preserve"> United </w:t>
      </w:r>
      <w:proofErr w:type="spellStart"/>
      <w:r w:rsidRPr="00B01E79">
        <w:rPr>
          <w:color w:val="000000"/>
          <w:shd w:val="clear" w:color="auto" w:fill="FFFFFF"/>
        </w:rPr>
        <w:t>Arab</w:t>
      </w:r>
      <w:proofErr w:type="spellEnd"/>
      <w:r w:rsidRPr="00B01E79">
        <w:rPr>
          <w:color w:val="000000"/>
          <w:shd w:val="clear" w:color="auto" w:fill="FFFFFF"/>
        </w:rPr>
        <w:t xml:space="preserve"> Emirates is </w:t>
      </w:r>
      <w:proofErr w:type="spellStart"/>
      <w:r w:rsidRPr="00B01E79">
        <w:rPr>
          <w:color w:val="000000"/>
          <w:shd w:val="clear" w:color="auto" w:fill="FFFFFF"/>
        </w:rPr>
        <w:t>ranked</w:t>
      </w:r>
      <w:proofErr w:type="spellEnd"/>
      <w:r w:rsidRPr="00B01E79">
        <w:rPr>
          <w:color w:val="000000"/>
          <w:shd w:val="clear" w:color="auto" w:fill="FFFFFF"/>
        </w:rPr>
        <w:t xml:space="preserve"> </w:t>
      </w:r>
      <w:proofErr w:type="spellStart"/>
      <w:r w:rsidRPr="00B01E79">
        <w:rPr>
          <w:color w:val="000000"/>
          <w:shd w:val="clear" w:color="auto" w:fill="FFFFFF"/>
        </w:rPr>
        <w:t>by</w:t>
      </w:r>
      <w:proofErr w:type="spellEnd"/>
      <w:r w:rsidRPr="00B01E79">
        <w:rPr>
          <w:color w:val="000000"/>
          <w:shd w:val="clear" w:color="auto" w:fill="FFFFFF"/>
        </w:rPr>
        <w:t xml:space="preserve"> 97.5 </w:t>
      </w:r>
      <w:proofErr w:type="spellStart"/>
      <w:r w:rsidRPr="00B01E79">
        <w:rPr>
          <w:color w:val="000000"/>
          <w:shd w:val="clear" w:color="auto" w:fill="FFFFFF"/>
        </w:rPr>
        <w:t>percent</w:t>
      </w:r>
      <w:proofErr w:type="spellEnd"/>
      <w:r w:rsidRPr="00B01E79">
        <w:rPr>
          <w:color w:val="000000"/>
          <w:shd w:val="clear" w:color="auto" w:fill="FFFFFF"/>
        </w:rPr>
        <w:t xml:space="preserve"> of </w:t>
      </w:r>
      <w:proofErr w:type="spellStart"/>
      <w:r w:rsidRPr="00B01E79">
        <w:rPr>
          <w:color w:val="000000"/>
          <w:shd w:val="clear" w:color="auto" w:fill="FFFFFF"/>
        </w:rPr>
        <w:t>its</w:t>
      </w:r>
      <w:proofErr w:type="spellEnd"/>
      <w:r w:rsidRPr="00B01E79">
        <w:rPr>
          <w:color w:val="000000"/>
          <w:shd w:val="clear" w:color="auto" w:fill="FFFFFF"/>
        </w:rPr>
        <w:t xml:space="preserve"> </w:t>
      </w:r>
      <w:proofErr w:type="spellStart"/>
      <w:r w:rsidRPr="00B01E79">
        <w:rPr>
          <w:color w:val="000000"/>
          <w:shd w:val="clear" w:color="auto" w:fill="FFFFFF"/>
        </w:rPr>
        <w:t>citizens</w:t>
      </w:r>
      <w:proofErr w:type="spellEnd"/>
      <w:r w:rsidRPr="00B01E79">
        <w:rPr>
          <w:color w:val="000000"/>
          <w:shd w:val="clear" w:color="auto" w:fill="FFFFFF"/>
        </w:rPr>
        <w:t xml:space="preserve"> as a </w:t>
      </w:r>
      <w:proofErr w:type="spellStart"/>
      <w:r w:rsidRPr="00B01E79">
        <w:rPr>
          <w:color w:val="000000"/>
          <w:shd w:val="clear" w:color="auto" w:fill="FFFFFF"/>
        </w:rPr>
        <w:t>safe</w:t>
      </w:r>
      <w:proofErr w:type="spellEnd"/>
      <w:r w:rsidRPr="00B01E79">
        <w:rPr>
          <w:color w:val="000000"/>
          <w:shd w:val="clear" w:color="auto" w:fill="FFFFFF"/>
        </w:rPr>
        <w:t xml:space="preserve"> </w:t>
      </w:r>
      <w:proofErr w:type="spellStart"/>
      <w:r w:rsidRPr="00B01E79">
        <w:rPr>
          <w:color w:val="000000"/>
          <w:shd w:val="clear" w:color="auto" w:fill="FFFFFF"/>
        </w:rPr>
        <w:t>place</w:t>
      </w:r>
      <w:proofErr w:type="spellEnd"/>
      <w:r w:rsidRPr="00B01E79">
        <w:rPr>
          <w:color w:val="000000"/>
          <w:shd w:val="clear" w:color="auto" w:fill="FFFFFF"/>
        </w:rPr>
        <w:t xml:space="preserve"> </w:t>
      </w:r>
      <w:proofErr w:type="spellStart"/>
      <w:r w:rsidRPr="00B01E79">
        <w:rPr>
          <w:color w:val="000000"/>
          <w:shd w:val="clear" w:color="auto" w:fill="FFFFFF"/>
        </w:rPr>
        <w:t>to</w:t>
      </w:r>
      <w:proofErr w:type="spellEnd"/>
      <w:r w:rsidRPr="00B01E79">
        <w:rPr>
          <w:color w:val="000000"/>
          <w:shd w:val="clear" w:color="auto" w:fill="FFFFFF"/>
        </w:rPr>
        <w:t xml:space="preserve"> </w:t>
      </w:r>
      <w:proofErr w:type="spellStart"/>
      <w:r w:rsidRPr="00B01E79">
        <w:rPr>
          <w:color w:val="000000"/>
          <w:shd w:val="clear" w:color="auto" w:fill="FFFFFF"/>
        </w:rPr>
        <w:t>walk</w:t>
      </w:r>
      <w:proofErr w:type="spellEnd"/>
      <w:r w:rsidRPr="00B01E79">
        <w:rPr>
          <w:color w:val="000000"/>
          <w:shd w:val="clear" w:color="auto" w:fill="FFFFFF"/>
        </w:rPr>
        <w:t xml:space="preserve"> at </w:t>
      </w:r>
      <w:proofErr w:type="spellStart"/>
      <w:r w:rsidRPr="00B01E79">
        <w:rPr>
          <w:color w:val="000000"/>
          <w:shd w:val="clear" w:color="auto" w:fill="FFFFFF"/>
        </w:rPr>
        <w:t>night</w:t>
      </w:r>
      <w:proofErr w:type="spellEnd"/>
      <w:r w:rsidRPr="00B01E79">
        <w:rPr>
          <w:color w:val="000000"/>
          <w:shd w:val="clear" w:color="auto" w:fill="FFFFFF"/>
        </w:rPr>
        <w:t xml:space="preserve"> </w:t>
      </w:r>
      <w:r w:rsidRPr="00B01E79">
        <w:rPr>
          <w:color w:val="000000"/>
        </w:rPr>
        <w:t>(</w:t>
      </w:r>
      <w:proofErr w:type="spellStart"/>
      <w:r w:rsidRPr="00B01E79">
        <w:rPr>
          <w:color w:val="000000"/>
        </w:rPr>
        <w:t>Gallup</w:t>
      </w:r>
      <w:proofErr w:type="spellEnd"/>
      <w:r w:rsidRPr="00B01E79">
        <w:rPr>
          <w:color w:val="000000"/>
        </w:rPr>
        <w:t>, 2019</w:t>
      </w:r>
      <w:r w:rsidRPr="00B01E79">
        <w:rPr>
          <w:color w:val="000000"/>
          <w:shd w:val="clear" w:color="auto" w:fill="FFFFFF"/>
        </w:rPr>
        <w:t>).</w:t>
      </w:r>
    </w:p>
    <w:p w14:paraId="34AD2C64" w14:textId="77777777" w:rsidR="008A2109" w:rsidRDefault="008A2109" w:rsidP="008A2109">
      <w:pPr>
        <w:jc w:val="both"/>
        <w:rPr>
          <w:color w:val="000000"/>
          <w:shd w:val="clear" w:color="auto" w:fill="FFFFFF"/>
        </w:rPr>
      </w:pPr>
    </w:p>
    <w:p w14:paraId="26F8A4B7" w14:textId="77777777" w:rsidR="008A2109" w:rsidRDefault="008A2109" w:rsidP="008A2109">
      <w:pPr>
        <w:jc w:val="both"/>
        <w:rPr>
          <w:color w:val="000000"/>
        </w:rPr>
      </w:pPr>
      <w:r w:rsidRPr="008D2CC0">
        <w:rPr>
          <w:color w:val="000000"/>
        </w:rPr>
        <w:t xml:space="preserve">AI, </w:t>
      </w:r>
      <w:proofErr w:type="spellStart"/>
      <w:r w:rsidRPr="008D2CC0">
        <w:rPr>
          <w:color w:val="000000"/>
        </w:rPr>
        <w:t>biometrics</w:t>
      </w:r>
      <w:proofErr w:type="spellEnd"/>
      <w:r w:rsidRPr="008D2CC0">
        <w:rPr>
          <w:color w:val="000000"/>
        </w:rPr>
        <w:t xml:space="preserve">, </w:t>
      </w:r>
      <w:proofErr w:type="spellStart"/>
      <w:r w:rsidRPr="008D2CC0">
        <w:rPr>
          <w:color w:val="000000"/>
        </w:rPr>
        <w:t>and</w:t>
      </w:r>
      <w:proofErr w:type="spellEnd"/>
      <w:r w:rsidRPr="008D2CC0">
        <w:rPr>
          <w:color w:val="000000"/>
        </w:rPr>
        <w:t xml:space="preserve"> </w:t>
      </w:r>
      <w:proofErr w:type="spellStart"/>
      <w:r w:rsidRPr="008D2CC0">
        <w:rPr>
          <w:color w:val="000000"/>
        </w:rPr>
        <w:t>cloud-based</w:t>
      </w:r>
      <w:proofErr w:type="spellEnd"/>
      <w:r w:rsidRPr="008D2CC0">
        <w:rPr>
          <w:color w:val="000000"/>
        </w:rPr>
        <w:t xml:space="preserve"> </w:t>
      </w:r>
      <w:proofErr w:type="spellStart"/>
      <w:r w:rsidRPr="008D2CC0">
        <w:rPr>
          <w:color w:val="000000"/>
        </w:rPr>
        <w:t>system</w:t>
      </w:r>
      <w:r>
        <w:rPr>
          <w:color w:val="000000"/>
        </w:rPr>
        <w:t>s</w:t>
      </w:r>
      <w:proofErr w:type="spellEnd"/>
      <w:r>
        <w:rPr>
          <w:color w:val="000000"/>
        </w:rPr>
        <w:t xml:space="preserve"> is </w:t>
      </w:r>
      <w:proofErr w:type="spellStart"/>
      <w:r w:rsidRPr="008D2CC0">
        <w:rPr>
          <w:color w:val="000000"/>
        </w:rPr>
        <w:t>use</w:t>
      </w:r>
      <w:r>
        <w:rPr>
          <w:color w:val="000000"/>
        </w:rPr>
        <w:t>ed</w:t>
      </w:r>
      <w:proofErr w:type="spellEnd"/>
      <w:r>
        <w:rPr>
          <w:color w:val="000000"/>
        </w:rPr>
        <w:t xml:space="preserve"> </w:t>
      </w:r>
      <w:proofErr w:type="spellStart"/>
      <w:r>
        <w:rPr>
          <w:color w:val="000000"/>
        </w:rPr>
        <w:t>SPSs</w:t>
      </w:r>
      <w:proofErr w:type="spellEnd"/>
      <w:r>
        <w:rPr>
          <w:color w:val="000000"/>
        </w:rPr>
        <w:t xml:space="preserve"> (DAMAC, 2024):  </w:t>
      </w:r>
    </w:p>
    <w:p w14:paraId="2BD3CEEF" w14:textId="77777777" w:rsidR="008A2109" w:rsidRPr="004660BB" w:rsidRDefault="008A2109" w:rsidP="008A2109">
      <w:pPr>
        <w:pStyle w:val="ListeParagraf"/>
        <w:widowControl/>
        <w:numPr>
          <w:ilvl w:val="0"/>
          <w:numId w:val="96"/>
        </w:numPr>
        <w:autoSpaceDE/>
        <w:autoSpaceDN/>
        <w:jc w:val="both"/>
        <w:rPr>
          <w:color w:val="000000"/>
        </w:rPr>
      </w:pPr>
      <w:r w:rsidRPr="004660BB">
        <w:rPr>
          <w:b/>
          <w:bCs/>
          <w:color w:val="000000"/>
        </w:rPr>
        <w:t>AI-</w:t>
      </w:r>
      <w:proofErr w:type="spellStart"/>
      <w:r w:rsidRPr="004660BB">
        <w:rPr>
          <w:b/>
          <w:bCs/>
          <w:color w:val="000000"/>
        </w:rPr>
        <w:t>powered</w:t>
      </w:r>
      <w:proofErr w:type="spellEnd"/>
      <w:r w:rsidRPr="004660BB">
        <w:rPr>
          <w:b/>
          <w:bCs/>
          <w:color w:val="000000"/>
        </w:rPr>
        <w:t xml:space="preserve"> </w:t>
      </w:r>
      <w:proofErr w:type="spellStart"/>
      <w:r w:rsidRPr="004660BB">
        <w:rPr>
          <w:b/>
          <w:bCs/>
          <w:color w:val="000000"/>
        </w:rPr>
        <w:t>Kiosks</w:t>
      </w:r>
      <w:proofErr w:type="spellEnd"/>
      <w:r w:rsidRPr="004660BB">
        <w:rPr>
          <w:b/>
          <w:bCs/>
          <w:color w:val="000000"/>
        </w:rPr>
        <w:t>:</w:t>
      </w:r>
      <w:r w:rsidRPr="004660BB">
        <w:rPr>
          <w:color w:val="000000"/>
        </w:rPr>
        <w:t xml:space="preserve"> </w:t>
      </w:r>
      <w:proofErr w:type="spellStart"/>
      <w:r w:rsidRPr="004660BB">
        <w:rPr>
          <w:color w:val="000000"/>
        </w:rPr>
        <w:t>These</w:t>
      </w:r>
      <w:proofErr w:type="spellEnd"/>
      <w:r w:rsidRPr="004660BB">
        <w:rPr>
          <w:color w:val="000000"/>
        </w:rPr>
        <w:t xml:space="preserve"> </w:t>
      </w:r>
      <w:proofErr w:type="spellStart"/>
      <w:r w:rsidRPr="004660BB">
        <w:rPr>
          <w:color w:val="000000"/>
        </w:rPr>
        <w:t>kiosks</w:t>
      </w:r>
      <w:proofErr w:type="spellEnd"/>
      <w:r w:rsidRPr="004660BB">
        <w:rPr>
          <w:color w:val="000000"/>
        </w:rPr>
        <w:t xml:space="preserve"> </w:t>
      </w:r>
      <w:proofErr w:type="spellStart"/>
      <w:r w:rsidRPr="004660BB">
        <w:rPr>
          <w:color w:val="000000"/>
        </w:rPr>
        <w:t>guide</w:t>
      </w:r>
      <w:proofErr w:type="spellEnd"/>
      <w:r w:rsidRPr="004660BB">
        <w:rPr>
          <w:color w:val="000000"/>
        </w:rPr>
        <w:t xml:space="preserve"> </w:t>
      </w:r>
      <w:proofErr w:type="spellStart"/>
      <w:r w:rsidRPr="004660BB">
        <w:rPr>
          <w:color w:val="000000"/>
        </w:rPr>
        <w:t>you</w:t>
      </w:r>
      <w:proofErr w:type="spellEnd"/>
      <w:r w:rsidRPr="004660BB">
        <w:rPr>
          <w:color w:val="000000"/>
        </w:rPr>
        <w:t xml:space="preserve"> </w:t>
      </w:r>
      <w:proofErr w:type="spellStart"/>
      <w:r w:rsidRPr="004660BB">
        <w:rPr>
          <w:color w:val="000000"/>
        </w:rPr>
        <w:t>through</w:t>
      </w:r>
      <w:proofErr w:type="spellEnd"/>
      <w:r w:rsidRPr="004660BB">
        <w:rPr>
          <w:color w:val="000000"/>
        </w:rPr>
        <w:t xml:space="preserve"> </w:t>
      </w:r>
      <w:proofErr w:type="spellStart"/>
      <w:r w:rsidRPr="004660BB">
        <w:rPr>
          <w:color w:val="000000"/>
        </w:rPr>
        <w:t>everything</w:t>
      </w:r>
      <w:proofErr w:type="spellEnd"/>
      <w:r w:rsidRPr="004660BB">
        <w:rPr>
          <w:color w:val="000000"/>
        </w:rPr>
        <w:t xml:space="preserve">. AI </w:t>
      </w:r>
      <w:proofErr w:type="spellStart"/>
      <w:r w:rsidRPr="004660BB">
        <w:rPr>
          <w:color w:val="000000"/>
        </w:rPr>
        <w:t>guides</w:t>
      </w:r>
      <w:proofErr w:type="spellEnd"/>
      <w:r w:rsidRPr="004660BB">
        <w:rPr>
          <w:color w:val="000000"/>
        </w:rPr>
        <w:t xml:space="preserve"> </w:t>
      </w:r>
      <w:proofErr w:type="spellStart"/>
      <w:r w:rsidRPr="004660BB">
        <w:rPr>
          <w:color w:val="000000"/>
        </w:rPr>
        <w:t>you</w:t>
      </w:r>
      <w:proofErr w:type="spellEnd"/>
      <w:r w:rsidRPr="004660BB">
        <w:rPr>
          <w:color w:val="000000"/>
        </w:rPr>
        <w:t xml:space="preserve"> step </w:t>
      </w:r>
      <w:proofErr w:type="spellStart"/>
      <w:r w:rsidRPr="004660BB">
        <w:rPr>
          <w:color w:val="000000"/>
        </w:rPr>
        <w:t>by</w:t>
      </w:r>
      <w:proofErr w:type="spellEnd"/>
      <w:r w:rsidRPr="004660BB">
        <w:rPr>
          <w:color w:val="000000"/>
        </w:rPr>
        <w:t xml:space="preserve"> step </w:t>
      </w:r>
      <w:proofErr w:type="spellStart"/>
      <w:r w:rsidRPr="004660BB">
        <w:rPr>
          <w:color w:val="000000"/>
        </w:rPr>
        <w:t>when</w:t>
      </w:r>
      <w:proofErr w:type="spellEnd"/>
      <w:r w:rsidRPr="004660BB">
        <w:rPr>
          <w:color w:val="000000"/>
        </w:rPr>
        <w:t xml:space="preserve"> </w:t>
      </w:r>
      <w:proofErr w:type="spellStart"/>
      <w:r w:rsidRPr="004660BB">
        <w:rPr>
          <w:color w:val="000000"/>
        </w:rPr>
        <w:t>filing</w:t>
      </w:r>
      <w:proofErr w:type="spellEnd"/>
      <w:r w:rsidRPr="004660BB">
        <w:rPr>
          <w:color w:val="000000"/>
        </w:rPr>
        <w:t xml:space="preserve"> a </w:t>
      </w:r>
      <w:proofErr w:type="spellStart"/>
      <w:r w:rsidRPr="004660BB">
        <w:rPr>
          <w:color w:val="000000"/>
        </w:rPr>
        <w:t>complaint</w:t>
      </w:r>
      <w:proofErr w:type="spellEnd"/>
      <w:r w:rsidRPr="004660BB">
        <w:rPr>
          <w:color w:val="000000"/>
        </w:rPr>
        <w:t xml:space="preserve"> </w:t>
      </w:r>
      <w:proofErr w:type="spellStart"/>
      <w:r w:rsidRPr="004660BB">
        <w:rPr>
          <w:color w:val="000000"/>
        </w:rPr>
        <w:t>or</w:t>
      </w:r>
      <w:proofErr w:type="spellEnd"/>
      <w:r w:rsidRPr="004660BB">
        <w:rPr>
          <w:color w:val="000000"/>
        </w:rPr>
        <w:t xml:space="preserve"> </w:t>
      </w:r>
      <w:proofErr w:type="spellStart"/>
      <w:r w:rsidRPr="004660BB">
        <w:rPr>
          <w:color w:val="000000"/>
        </w:rPr>
        <w:t>paying</w:t>
      </w:r>
      <w:proofErr w:type="spellEnd"/>
      <w:r w:rsidRPr="004660BB">
        <w:rPr>
          <w:color w:val="000000"/>
        </w:rPr>
        <w:t xml:space="preserve"> a </w:t>
      </w:r>
      <w:proofErr w:type="spellStart"/>
      <w:r w:rsidRPr="004660BB">
        <w:rPr>
          <w:color w:val="000000"/>
        </w:rPr>
        <w:t>fine</w:t>
      </w:r>
      <w:proofErr w:type="spellEnd"/>
      <w:r w:rsidRPr="004660BB">
        <w:rPr>
          <w:color w:val="000000"/>
        </w:rPr>
        <w:t xml:space="preserve">. </w:t>
      </w:r>
    </w:p>
    <w:p w14:paraId="77B6611E" w14:textId="77777777" w:rsidR="008A2109" w:rsidRPr="004660BB" w:rsidRDefault="008A2109" w:rsidP="008A2109">
      <w:pPr>
        <w:pStyle w:val="ListeParagraf"/>
        <w:widowControl/>
        <w:numPr>
          <w:ilvl w:val="0"/>
          <w:numId w:val="96"/>
        </w:numPr>
        <w:autoSpaceDE/>
        <w:autoSpaceDN/>
        <w:jc w:val="both"/>
        <w:rPr>
          <w:color w:val="000000"/>
        </w:rPr>
      </w:pPr>
      <w:proofErr w:type="spellStart"/>
      <w:r w:rsidRPr="004660BB">
        <w:rPr>
          <w:b/>
          <w:bCs/>
          <w:color w:val="000000"/>
        </w:rPr>
        <w:t>Biometric</w:t>
      </w:r>
      <w:proofErr w:type="spellEnd"/>
      <w:r w:rsidRPr="004660BB">
        <w:rPr>
          <w:b/>
          <w:bCs/>
          <w:color w:val="000000"/>
        </w:rPr>
        <w:t xml:space="preserve"> Security: </w:t>
      </w:r>
      <w:proofErr w:type="spellStart"/>
      <w:r w:rsidRPr="00C81A95">
        <w:rPr>
          <w:bCs/>
          <w:color w:val="000000"/>
        </w:rPr>
        <w:t>Facial</w:t>
      </w:r>
      <w:proofErr w:type="spellEnd"/>
      <w:r w:rsidRPr="004660BB">
        <w:rPr>
          <w:color w:val="000000"/>
        </w:rPr>
        <w:t xml:space="preserve"> </w:t>
      </w:r>
      <w:proofErr w:type="spellStart"/>
      <w:r w:rsidRPr="004660BB">
        <w:rPr>
          <w:color w:val="000000"/>
        </w:rPr>
        <w:t>recognition</w:t>
      </w:r>
      <w:proofErr w:type="spellEnd"/>
      <w:r w:rsidRPr="004660BB">
        <w:rPr>
          <w:color w:val="000000"/>
        </w:rPr>
        <w:t xml:space="preserve"> is </w:t>
      </w:r>
      <w:proofErr w:type="spellStart"/>
      <w:r w:rsidRPr="004660BB">
        <w:rPr>
          <w:color w:val="000000"/>
        </w:rPr>
        <w:t>used</w:t>
      </w:r>
      <w:proofErr w:type="spellEnd"/>
      <w:r w:rsidRPr="004660BB">
        <w:rPr>
          <w:color w:val="000000"/>
        </w:rPr>
        <w:t xml:space="preserve"> </w:t>
      </w:r>
      <w:proofErr w:type="spellStart"/>
      <w:r w:rsidRPr="004660BB">
        <w:rPr>
          <w:color w:val="000000"/>
        </w:rPr>
        <w:t>to</w:t>
      </w:r>
      <w:proofErr w:type="spellEnd"/>
      <w:r w:rsidRPr="004660BB">
        <w:rPr>
          <w:color w:val="000000"/>
        </w:rPr>
        <w:t xml:space="preserve"> </w:t>
      </w:r>
      <w:proofErr w:type="spellStart"/>
      <w:r w:rsidRPr="004660BB">
        <w:rPr>
          <w:color w:val="000000"/>
        </w:rPr>
        <w:t>verft</w:t>
      </w:r>
      <w:proofErr w:type="spellEnd"/>
      <w:r w:rsidRPr="004660BB">
        <w:rPr>
          <w:color w:val="000000"/>
        </w:rPr>
        <w:t xml:space="preserve"> </w:t>
      </w:r>
      <w:proofErr w:type="spellStart"/>
      <w:r w:rsidRPr="004660BB">
        <w:rPr>
          <w:color w:val="000000"/>
        </w:rPr>
        <w:t>who</w:t>
      </w:r>
      <w:proofErr w:type="spellEnd"/>
      <w:r w:rsidRPr="004660BB">
        <w:rPr>
          <w:color w:val="000000"/>
        </w:rPr>
        <w:t xml:space="preserve"> </w:t>
      </w:r>
      <w:proofErr w:type="spellStart"/>
      <w:r w:rsidRPr="004660BB">
        <w:rPr>
          <w:color w:val="000000"/>
        </w:rPr>
        <w:t>you</w:t>
      </w:r>
      <w:proofErr w:type="spellEnd"/>
      <w:r w:rsidRPr="004660BB">
        <w:rPr>
          <w:color w:val="000000"/>
        </w:rPr>
        <w:t xml:space="preserve"> </w:t>
      </w:r>
      <w:proofErr w:type="spellStart"/>
      <w:r w:rsidRPr="004660BB">
        <w:rPr>
          <w:color w:val="000000"/>
        </w:rPr>
        <w:t>are</w:t>
      </w:r>
      <w:proofErr w:type="spellEnd"/>
      <w:r w:rsidRPr="004660BB">
        <w:rPr>
          <w:color w:val="000000"/>
        </w:rPr>
        <w:t xml:space="preserve"> at </w:t>
      </w:r>
      <w:proofErr w:type="spellStart"/>
      <w:r w:rsidRPr="004660BB">
        <w:rPr>
          <w:color w:val="000000"/>
        </w:rPr>
        <w:t>the</w:t>
      </w:r>
      <w:proofErr w:type="spellEnd"/>
      <w:r w:rsidRPr="004660BB">
        <w:rPr>
          <w:color w:val="000000"/>
        </w:rPr>
        <w:t xml:space="preserve"> </w:t>
      </w:r>
      <w:proofErr w:type="spellStart"/>
      <w:r w:rsidRPr="004660BB">
        <w:rPr>
          <w:color w:val="000000"/>
        </w:rPr>
        <w:t>station</w:t>
      </w:r>
      <w:proofErr w:type="spellEnd"/>
      <w:r w:rsidRPr="004660BB">
        <w:rPr>
          <w:color w:val="000000"/>
        </w:rPr>
        <w:t xml:space="preserve">.    </w:t>
      </w:r>
      <w:proofErr w:type="spellStart"/>
      <w:r w:rsidRPr="004660BB">
        <w:rPr>
          <w:color w:val="000000"/>
        </w:rPr>
        <w:t>In</w:t>
      </w:r>
      <w:proofErr w:type="spellEnd"/>
      <w:r w:rsidRPr="004660BB">
        <w:rPr>
          <w:color w:val="000000"/>
        </w:rPr>
        <w:t xml:space="preserve"> </w:t>
      </w:r>
      <w:proofErr w:type="spellStart"/>
      <w:r w:rsidRPr="004660BB">
        <w:rPr>
          <w:color w:val="000000"/>
        </w:rPr>
        <w:t>this</w:t>
      </w:r>
      <w:proofErr w:type="spellEnd"/>
      <w:r w:rsidRPr="004660BB">
        <w:rPr>
          <w:color w:val="000000"/>
        </w:rPr>
        <w:t xml:space="preserve"> </w:t>
      </w:r>
      <w:proofErr w:type="spellStart"/>
      <w:r w:rsidRPr="004660BB">
        <w:rPr>
          <w:color w:val="000000"/>
        </w:rPr>
        <w:t>way</w:t>
      </w:r>
      <w:proofErr w:type="spellEnd"/>
      <w:r w:rsidRPr="004660BB">
        <w:rPr>
          <w:color w:val="000000"/>
        </w:rPr>
        <w:t xml:space="preserve">, </w:t>
      </w:r>
      <w:proofErr w:type="spellStart"/>
      <w:r w:rsidRPr="004660BB">
        <w:rPr>
          <w:color w:val="000000"/>
        </w:rPr>
        <w:t>extra</w:t>
      </w:r>
      <w:proofErr w:type="spellEnd"/>
      <w:r w:rsidRPr="004660BB">
        <w:rPr>
          <w:color w:val="000000"/>
        </w:rPr>
        <w:t xml:space="preserve"> </w:t>
      </w:r>
      <w:proofErr w:type="spellStart"/>
      <w:r w:rsidRPr="004660BB">
        <w:rPr>
          <w:color w:val="000000"/>
        </w:rPr>
        <w:t>security</w:t>
      </w:r>
      <w:proofErr w:type="spellEnd"/>
      <w:r w:rsidRPr="004660BB">
        <w:rPr>
          <w:color w:val="000000"/>
        </w:rPr>
        <w:t xml:space="preserve"> is </w:t>
      </w:r>
      <w:proofErr w:type="spellStart"/>
      <w:r w:rsidRPr="004660BB">
        <w:rPr>
          <w:color w:val="000000"/>
        </w:rPr>
        <w:t>provided</w:t>
      </w:r>
      <w:proofErr w:type="spellEnd"/>
      <w:r w:rsidRPr="004660BB">
        <w:rPr>
          <w:color w:val="000000"/>
        </w:rPr>
        <w:t xml:space="preserve"> </w:t>
      </w:r>
      <w:proofErr w:type="spellStart"/>
      <w:r w:rsidRPr="004660BB">
        <w:rPr>
          <w:color w:val="000000"/>
        </w:rPr>
        <w:t>and</w:t>
      </w:r>
      <w:proofErr w:type="spellEnd"/>
      <w:r w:rsidRPr="004660BB">
        <w:rPr>
          <w:color w:val="000000"/>
        </w:rPr>
        <w:t xml:space="preserve"> </w:t>
      </w:r>
      <w:proofErr w:type="spellStart"/>
      <w:r w:rsidRPr="004660BB">
        <w:rPr>
          <w:color w:val="000000"/>
        </w:rPr>
        <w:t>the</w:t>
      </w:r>
      <w:proofErr w:type="spellEnd"/>
      <w:r w:rsidRPr="004660BB">
        <w:rPr>
          <w:color w:val="000000"/>
        </w:rPr>
        <w:t xml:space="preserve"> </w:t>
      </w:r>
      <w:proofErr w:type="spellStart"/>
      <w:r w:rsidRPr="004660BB">
        <w:rPr>
          <w:color w:val="000000"/>
        </w:rPr>
        <w:t>possibility</w:t>
      </w:r>
      <w:proofErr w:type="spellEnd"/>
      <w:r w:rsidRPr="004660BB">
        <w:rPr>
          <w:color w:val="000000"/>
        </w:rPr>
        <w:t xml:space="preserve"> of </w:t>
      </w:r>
      <w:proofErr w:type="spellStart"/>
      <w:r w:rsidRPr="004660BB">
        <w:rPr>
          <w:color w:val="000000"/>
        </w:rPr>
        <w:t>fraud</w:t>
      </w:r>
      <w:proofErr w:type="spellEnd"/>
      <w:r w:rsidRPr="004660BB">
        <w:rPr>
          <w:color w:val="000000"/>
        </w:rPr>
        <w:t xml:space="preserve"> is </w:t>
      </w:r>
      <w:proofErr w:type="spellStart"/>
      <w:r w:rsidRPr="004660BB">
        <w:rPr>
          <w:color w:val="000000"/>
        </w:rPr>
        <w:t>eliminated</w:t>
      </w:r>
      <w:proofErr w:type="spellEnd"/>
      <w:r w:rsidRPr="004660BB">
        <w:rPr>
          <w:color w:val="000000"/>
        </w:rPr>
        <w:t xml:space="preserve">. </w:t>
      </w:r>
    </w:p>
    <w:p w14:paraId="2AB8A1E1" w14:textId="77777777" w:rsidR="008A2109" w:rsidRDefault="008A2109" w:rsidP="008A2109">
      <w:pPr>
        <w:pStyle w:val="ListeParagraf"/>
        <w:widowControl/>
        <w:numPr>
          <w:ilvl w:val="0"/>
          <w:numId w:val="96"/>
        </w:numPr>
        <w:autoSpaceDE/>
        <w:autoSpaceDN/>
        <w:jc w:val="both"/>
      </w:pPr>
      <w:r w:rsidRPr="004660BB">
        <w:rPr>
          <w:b/>
          <w:bCs/>
          <w:color w:val="000000"/>
        </w:rPr>
        <w:t>Cloud Storage:</w:t>
      </w:r>
      <w:r w:rsidRPr="004660BB">
        <w:rPr>
          <w:color w:val="000000"/>
        </w:rPr>
        <w:t xml:space="preserve"> </w:t>
      </w:r>
      <w:proofErr w:type="spellStart"/>
      <w:r w:rsidRPr="004660BB">
        <w:t>All</w:t>
      </w:r>
      <w:proofErr w:type="spellEnd"/>
      <w:r w:rsidRPr="004660BB">
        <w:t xml:space="preserve"> </w:t>
      </w:r>
      <w:proofErr w:type="gramStart"/>
      <w:r w:rsidRPr="004660BB">
        <w:t>data</w:t>
      </w:r>
      <w:proofErr w:type="gramEnd"/>
      <w:r w:rsidRPr="004660BB">
        <w:t xml:space="preserve"> is </w:t>
      </w:r>
      <w:proofErr w:type="spellStart"/>
      <w:r w:rsidRPr="004660BB">
        <w:t>stored</w:t>
      </w:r>
      <w:proofErr w:type="spellEnd"/>
      <w:r w:rsidRPr="004660BB">
        <w:t xml:space="preserve"> in </w:t>
      </w:r>
      <w:proofErr w:type="spellStart"/>
      <w:r w:rsidRPr="004660BB">
        <w:t>the</w:t>
      </w:r>
      <w:proofErr w:type="spellEnd"/>
      <w:r w:rsidRPr="004660BB">
        <w:t xml:space="preserve"> </w:t>
      </w:r>
      <w:proofErr w:type="spellStart"/>
      <w:r w:rsidRPr="004660BB">
        <w:t>cloud</w:t>
      </w:r>
      <w:proofErr w:type="spellEnd"/>
      <w:r w:rsidRPr="004660BB">
        <w:t xml:space="preserve">. </w:t>
      </w:r>
      <w:proofErr w:type="spellStart"/>
      <w:r w:rsidRPr="004660BB">
        <w:t>That</w:t>
      </w:r>
      <w:proofErr w:type="spellEnd"/>
      <w:r w:rsidRPr="004660BB">
        <w:t xml:space="preserve"> </w:t>
      </w:r>
      <w:proofErr w:type="spellStart"/>
      <w:r w:rsidRPr="004660BB">
        <w:t>means</w:t>
      </w:r>
      <w:proofErr w:type="spellEnd"/>
      <w:r w:rsidRPr="004660BB">
        <w:t xml:space="preserve"> </w:t>
      </w:r>
      <w:proofErr w:type="spellStart"/>
      <w:r w:rsidRPr="004660BB">
        <w:t>it’s</w:t>
      </w:r>
      <w:proofErr w:type="spellEnd"/>
      <w:r w:rsidRPr="004660BB">
        <w:t xml:space="preserve"> </w:t>
      </w:r>
      <w:proofErr w:type="spellStart"/>
      <w:r w:rsidRPr="004660BB">
        <w:t>always</w:t>
      </w:r>
      <w:proofErr w:type="spellEnd"/>
      <w:r w:rsidRPr="004660BB">
        <w:t xml:space="preserve"> </w:t>
      </w:r>
      <w:proofErr w:type="spellStart"/>
      <w:r w:rsidRPr="004660BB">
        <w:t>updated</w:t>
      </w:r>
      <w:proofErr w:type="spellEnd"/>
      <w:r w:rsidRPr="004660BB">
        <w:t xml:space="preserve"> </w:t>
      </w:r>
      <w:proofErr w:type="spellStart"/>
      <w:r w:rsidRPr="004660BB">
        <w:t>and</w:t>
      </w:r>
      <w:proofErr w:type="spellEnd"/>
      <w:r w:rsidRPr="004660BB">
        <w:t xml:space="preserve"> can be </w:t>
      </w:r>
      <w:proofErr w:type="spellStart"/>
      <w:r w:rsidRPr="004660BB">
        <w:t>accessed</w:t>
      </w:r>
      <w:proofErr w:type="spellEnd"/>
      <w:r w:rsidRPr="004660BB">
        <w:t xml:space="preserve"> </w:t>
      </w:r>
      <w:proofErr w:type="spellStart"/>
      <w:r w:rsidRPr="004660BB">
        <w:t>anywhere</w:t>
      </w:r>
      <w:proofErr w:type="spellEnd"/>
      <w:r w:rsidRPr="004660BB">
        <w:t>.</w:t>
      </w:r>
    </w:p>
    <w:p w14:paraId="1CC40BB0" w14:textId="77777777" w:rsidR="008A2109" w:rsidRPr="00DB75EB" w:rsidRDefault="008A2109" w:rsidP="008A2109">
      <w:pPr>
        <w:pStyle w:val="ListeParagraf"/>
        <w:widowControl/>
        <w:autoSpaceDE/>
        <w:autoSpaceDN/>
        <w:jc w:val="both"/>
      </w:pPr>
    </w:p>
    <w:p w14:paraId="0826F076" w14:textId="77777777" w:rsidR="008A2109" w:rsidRPr="00B01E79" w:rsidRDefault="008A2109" w:rsidP="008A2109">
      <w:pPr>
        <w:jc w:val="both"/>
      </w:pPr>
      <w:proofErr w:type="spellStart"/>
      <w:r>
        <w:rPr>
          <w:color w:val="000000"/>
          <w:shd w:val="clear" w:color="auto" w:fill="FFFFFF"/>
        </w:rPr>
        <w:t>SPSs</w:t>
      </w:r>
      <w:proofErr w:type="spellEnd"/>
      <w:r w:rsidRPr="00B01E79">
        <w:rPr>
          <w:color w:val="000000"/>
          <w:shd w:val="clear" w:color="auto" w:fill="FFFFFF"/>
        </w:rPr>
        <w:t xml:space="preserve"> </w:t>
      </w:r>
      <w:proofErr w:type="spellStart"/>
      <w:r w:rsidRPr="00B01E79">
        <w:rPr>
          <w:color w:val="000000"/>
          <w:shd w:val="clear" w:color="auto" w:fill="FFFFFF"/>
        </w:rPr>
        <w:t>are</w:t>
      </w:r>
      <w:proofErr w:type="spellEnd"/>
      <w:r w:rsidRPr="00B01E79">
        <w:rPr>
          <w:color w:val="000000"/>
          <w:shd w:val="clear" w:color="auto" w:fill="FFFFFF"/>
        </w:rPr>
        <w:t xml:space="preserve"> a </w:t>
      </w:r>
      <w:proofErr w:type="spellStart"/>
      <w:r w:rsidRPr="00B01E79">
        <w:rPr>
          <w:color w:val="000000"/>
          <w:shd w:val="clear" w:color="auto" w:fill="FFFFFF"/>
        </w:rPr>
        <w:t>fast</w:t>
      </w:r>
      <w:proofErr w:type="spellEnd"/>
      <w:r w:rsidRPr="00B01E79">
        <w:rPr>
          <w:color w:val="000000"/>
          <w:shd w:val="clear" w:color="auto" w:fill="FFFFFF"/>
        </w:rPr>
        <w:t xml:space="preserve"> </w:t>
      </w:r>
      <w:proofErr w:type="spellStart"/>
      <w:r w:rsidRPr="00B01E79">
        <w:rPr>
          <w:color w:val="000000"/>
          <w:shd w:val="clear" w:color="auto" w:fill="FFFFFF"/>
        </w:rPr>
        <w:t>and</w:t>
      </w:r>
      <w:proofErr w:type="spellEnd"/>
      <w:r w:rsidRPr="00B01E79">
        <w:rPr>
          <w:color w:val="000000"/>
          <w:shd w:val="clear" w:color="auto" w:fill="FFFFFF"/>
        </w:rPr>
        <w:t xml:space="preserve"> </w:t>
      </w:r>
      <w:proofErr w:type="spellStart"/>
      <w:r w:rsidRPr="00B01E79">
        <w:rPr>
          <w:color w:val="000000"/>
          <w:shd w:val="clear" w:color="auto" w:fill="FFFFFF"/>
        </w:rPr>
        <w:t>efficient</w:t>
      </w:r>
      <w:proofErr w:type="spellEnd"/>
      <w:r w:rsidRPr="00B01E79">
        <w:rPr>
          <w:color w:val="000000"/>
          <w:shd w:val="clear" w:color="auto" w:fill="FFFFFF"/>
        </w:rPr>
        <w:t xml:space="preserve"> </w:t>
      </w:r>
      <w:proofErr w:type="spellStart"/>
      <w:r w:rsidRPr="00B01E79">
        <w:rPr>
          <w:color w:val="000000"/>
          <w:shd w:val="clear" w:color="auto" w:fill="FFFFFF"/>
        </w:rPr>
        <w:t>application</w:t>
      </w:r>
      <w:proofErr w:type="spellEnd"/>
      <w:r w:rsidRPr="00B01E79">
        <w:rPr>
          <w:color w:val="000000"/>
          <w:shd w:val="clear" w:color="auto" w:fill="FFFFFF"/>
        </w:rPr>
        <w:t xml:space="preserve"> </w:t>
      </w:r>
      <w:proofErr w:type="spellStart"/>
      <w:r w:rsidRPr="00B01E79">
        <w:rPr>
          <w:color w:val="000000"/>
          <w:shd w:val="clear" w:color="auto" w:fill="FFFFFF"/>
        </w:rPr>
        <w:t>where</w:t>
      </w:r>
      <w:proofErr w:type="spellEnd"/>
      <w:r w:rsidRPr="00B01E79">
        <w:rPr>
          <w:color w:val="000000"/>
          <w:shd w:val="clear" w:color="auto" w:fill="FFFFFF"/>
        </w:rPr>
        <w:t xml:space="preserve"> </w:t>
      </w:r>
      <w:proofErr w:type="spellStart"/>
      <w:r w:rsidRPr="00B01E79">
        <w:rPr>
          <w:color w:val="000000"/>
          <w:shd w:val="clear" w:color="auto" w:fill="FFFFFF"/>
        </w:rPr>
        <w:t>everything</w:t>
      </w:r>
      <w:proofErr w:type="spellEnd"/>
      <w:r w:rsidRPr="00B01E79">
        <w:rPr>
          <w:color w:val="000000"/>
          <w:shd w:val="clear" w:color="auto" w:fill="FFFFFF"/>
        </w:rPr>
        <w:t xml:space="preserve"> is </w:t>
      </w:r>
      <w:proofErr w:type="gramStart"/>
      <w:r w:rsidRPr="00B01E79">
        <w:rPr>
          <w:color w:val="000000"/>
          <w:shd w:val="clear" w:color="auto" w:fill="FFFFFF"/>
        </w:rPr>
        <w:t>done</w:t>
      </w:r>
      <w:proofErr w:type="gramEnd"/>
      <w:r w:rsidRPr="00B01E79">
        <w:rPr>
          <w:color w:val="000000"/>
          <w:shd w:val="clear" w:color="auto" w:fill="FFFFFF"/>
        </w:rPr>
        <w:t xml:space="preserve"> </w:t>
      </w:r>
      <w:proofErr w:type="spellStart"/>
      <w:r w:rsidRPr="00B01E79">
        <w:rPr>
          <w:color w:val="000000"/>
          <w:shd w:val="clear" w:color="auto" w:fill="FFFFFF"/>
        </w:rPr>
        <w:t>automatically</w:t>
      </w:r>
      <w:proofErr w:type="spellEnd"/>
      <w:r w:rsidRPr="00B01E79">
        <w:rPr>
          <w:color w:val="000000"/>
          <w:shd w:val="clear" w:color="auto" w:fill="FFFFFF"/>
        </w:rPr>
        <w:t xml:space="preserve"> in a </w:t>
      </w:r>
      <w:proofErr w:type="spellStart"/>
      <w:r w:rsidRPr="00B01E79">
        <w:rPr>
          <w:color w:val="000000"/>
          <w:shd w:val="clear" w:color="auto" w:fill="FFFFFF"/>
        </w:rPr>
        <w:t>few</w:t>
      </w:r>
      <w:proofErr w:type="spellEnd"/>
      <w:r w:rsidRPr="00B01E79">
        <w:rPr>
          <w:color w:val="000000"/>
          <w:shd w:val="clear" w:color="auto" w:fill="FFFFFF"/>
        </w:rPr>
        <w:t xml:space="preserve"> </w:t>
      </w:r>
      <w:proofErr w:type="spellStart"/>
      <w:r w:rsidRPr="00B01E79">
        <w:rPr>
          <w:color w:val="000000"/>
          <w:shd w:val="clear" w:color="auto" w:fill="FFFFFF"/>
        </w:rPr>
        <w:t>steps</w:t>
      </w:r>
      <w:proofErr w:type="spellEnd"/>
      <w:r w:rsidRPr="00B01E79">
        <w:rPr>
          <w:color w:val="000000"/>
          <w:shd w:val="clear" w:color="auto" w:fill="FFFFFF"/>
        </w:rPr>
        <w:t xml:space="preserve">, </w:t>
      </w:r>
      <w:proofErr w:type="spellStart"/>
      <w:r w:rsidRPr="00B01E79">
        <w:rPr>
          <w:color w:val="000000"/>
          <w:shd w:val="clear" w:color="auto" w:fill="FFFFFF"/>
        </w:rPr>
        <w:t>without</w:t>
      </w:r>
      <w:proofErr w:type="spellEnd"/>
      <w:r w:rsidRPr="00B01E79">
        <w:rPr>
          <w:color w:val="000000"/>
          <w:shd w:val="clear" w:color="auto" w:fill="FFFFFF"/>
        </w:rPr>
        <w:t xml:space="preserve"> </w:t>
      </w:r>
      <w:proofErr w:type="spellStart"/>
      <w:r w:rsidRPr="00B01E79">
        <w:rPr>
          <w:color w:val="000000"/>
          <w:shd w:val="clear" w:color="auto" w:fill="FFFFFF"/>
        </w:rPr>
        <w:t>waiting</w:t>
      </w:r>
      <w:proofErr w:type="spellEnd"/>
      <w:r w:rsidRPr="00B01E79">
        <w:rPr>
          <w:color w:val="000000"/>
          <w:shd w:val="clear" w:color="auto" w:fill="FFFFFF"/>
        </w:rPr>
        <w:t xml:space="preserve"> in </w:t>
      </w:r>
      <w:proofErr w:type="spellStart"/>
      <w:r w:rsidRPr="00B01E79">
        <w:rPr>
          <w:color w:val="000000"/>
          <w:shd w:val="clear" w:color="auto" w:fill="FFFFFF"/>
        </w:rPr>
        <w:t>line</w:t>
      </w:r>
      <w:proofErr w:type="spellEnd"/>
      <w:r w:rsidRPr="00B01E79">
        <w:rPr>
          <w:color w:val="000000"/>
          <w:shd w:val="clear" w:color="auto" w:fill="FFFFFF"/>
        </w:rPr>
        <w:t xml:space="preserve">, </w:t>
      </w:r>
      <w:proofErr w:type="spellStart"/>
      <w:r w:rsidRPr="00B01E79">
        <w:rPr>
          <w:color w:val="000000"/>
          <w:shd w:val="clear" w:color="auto" w:fill="FFFFFF"/>
        </w:rPr>
        <w:t>making</w:t>
      </w:r>
      <w:proofErr w:type="spellEnd"/>
      <w:r w:rsidRPr="00B01E79">
        <w:rPr>
          <w:color w:val="000000"/>
          <w:shd w:val="clear" w:color="auto" w:fill="FFFFFF"/>
        </w:rPr>
        <w:t xml:space="preserve"> an </w:t>
      </w:r>
      <w:proofErr w:type="spellStart"/>
      <w:r w:rsidRPr="00B01E79">
        <w:rPr>
          <w:color w:val="000000"/>
          <w:shd w:val="clear" w:color="auto" w:fill="FFFFFF"/>
        </w:rPr>
        <w:t>appointment</w:t>
      </w:r>
      <w:proofErr w:type="spellEnd"/>
      <w:r w:rsidRPr="00B01E79">
        <w:rPr>
          <w:color w:val="000000"/>
          <w:shd w:val="clear" w:color="auto" w:fill="FFFFFF"/>
        </w:rPr>
        <w:t xml:space="preserve">, </w:t>
      </w:r>
      <w:proofErr w:type="spellStart"/>
      <w:r w:rsidRPr="00B01E79">
        <w:rPr>
          <w:color w:val="000000"/>
          <w:shd w:val="clear" w:color="auto" w:fill="FFFFFF"/>
        </w:rPr>
        <w:t>or</w:t>
      </w:r>
      <w:proofErr w:type="spellEnd"/>
      <w:r w:rsidRPr="00B01E79">
        <w:rPr>
          <w:color w:val="000000"/>
          <w:shd w:val="clear" w:color="auto" w:fill="FFFFFF"/>
        </w:rPr>
        <w:t xml:space="preserve"> </w:t>
      </w:r>
      <w:proofErr w:type="spellStart"/>
      <w:r w:rsidRPr="00B01E79">
        <w:rPr>
          <w:color w:val="000000"/>
          <w:shd w:val="clear" w:color="auto" w:fill="FFFFFF"/>
        </w:rPr>
        <w:t>meeting</w:t>
      </w:r>
      <w:proofErr w:type="spellEnd"/>
      <w:r w:rsidRPr="00B01E79">
        <w:rPr>
          <w:color w:val="000000"/>
          <w:shd w:val="clear" w:color="auto" w:fill="FFFFFF"/>
        </w:rPr>
        <w:t xml:space="preserve"> </w:t>
      </w:r>
      <w:proofErr w:type="spellStart"/>
      <w:r w:rsidRPr="00B01E79">
        <w:rPr>
          <w:color w:val="000000"/>
          <w:shd w:val="clear" w:color="auto" w:fill="FFFFFF"/>
        </w:rPr>
        <w:t>anyone</w:t>
      </w:r>
      <w:proofErr w:type="spellEnd"/>
      <w:r w:rsidRPr="00B01E79">
        <w:rPr>
          <w:color w:val="000000"/>
          <w:shd w:val="clear" w:color="auto" w:fill="FFFFFF"/>
        </w:rPr>
        <w:t xml:space="preserve"> </w:t>
      </w:r>
      <w:proofErr w:type="spellStart"/>
      <w:r w:rsidRPr="00B01E79">
        <w:rPr>
          <w:color w:val="000000"/>
          <w:shd w:val="clear" w:color="auto" w:fill="FFFFFF"/>
        </w:rPr>
        <w:t>face</w:t>
      </w:r>
      <w:proofErr w:type="spellEnd"/>
      <w:r w:rsidRPr="00B01E79">
        <w:rPr>
          <w:color w:val="000000"/>
          <w:shd w:val="clear" w:color="auto" w:fill="FFFFFF"/>
        </w:rPr>
        <w:t xml:space="preserve"> </w:t>
      </w:r>
      <w:proofErr w:type="spellStart"/>
      <w:r w:rsidRPr="00B01E79">
        <w:rPr>
          <w:color w:val="000000"/>
          <w:shd w:val="clear" w:color="auto" w:fill="FFFFFF"/>
        </w:rPr>
        <w:t>to</w:t>
      </w:r>
      <w:proofErr w:type="spellEnd"/>
      <w:r w:rsidRPr="00B01E79">
        <w:rPr>
          <w:color w:val="000000"/>
          <w:shd w:val="clear" w:color="auto" w:fill="FFFFFF"/>
        </w:rPr>
        <w:t xml:space="preserve"> </w:t>
      </w:r>
      <w:proofErr w:type="spellStart"/>
      <w:r w:rsidRPr="00B01E79">
        <w:rPr>
          <w:color w:val="000000"/>
          <w:shd w:val="clear" w:color="auto" w:fill="FFFFFF"/>
        </w:rPr>
        <w:t>face</w:t>
      </w:r>
      <w:proofErr w:type="spellEnd"/>
      <w:r>
        <w:rPr>
          <w:color w:val="000000"/>
          <w:shd w:val="clear" w:color="auto" w:fill="FFFFFF"/>
        </w:rPr>
        <w:t xml:space="preserve">. </w:t>
      </w:r>
      <w:r>
        <w:t xml:space="preserve">SPS is </w:t>
      </w:r>
      <w:proofErr w:type="spellStart"/>
      <w:r>
        <w:t>offered</w:t>
      </w:r>
      <w:proofErr w:type="spellEnd"/>
      <w:r>
        <w:t xml:space="preserve"> </w:t>
      </w:r>
      <w:proofErr w:type="spellStart"/>
      <w:r>
        <w:t>services</w:t>
      </w:r>
      <w:proofErr w:type="spellEnd"/>
      <w:r>
        <w:t xml:space="preserve"> </w:t>
      </w:r>
      <w:proofErr w:type="spellStart"/>
      <w:r>
        <w:t>such</w:t>
      </w:r>
      <w:proofErr w:type="spellEnd"/>
      <w:r>
        <w:t xml:space="preserve"> as </w:t>
      </w:r>
      <w:proofErr w:type="spellStart"/>
      <w:r>
        <w:t>f</w:t>
      </w:r>
      <w:r w:rsidRPr="00A6056C">
        <w:t>iling</w:t>
      </w:r>
      <w:proofErr w:type="spellEnd"/>
      <w:r w:rsidRPr="00A6056C">
        <w:t xml:space="preserve"> a </w:t>
      </w:r>
      <w:proofErr w:type="spellStart"/>
      <w:r w:rsidRPr="00A6056C">
        <w:t>crime</w:t>
      </w:r>
      <w:proofErr w:type="spellEnd"/>
      <w:r w:rsidRPr="00A6056C">
        <w:t xml:space="preserve"> </w:t>
      </w:r>
      <w:proofErr w:type="spellStart"/>
      <w:r w:rsidRPr="00A6056C">
        <w:t>report</w:t>
      </w:r>
      <w:proofErr w:type="spellEnd"/>
      <w:r>
        <w:t xml:space="preserve">, </w:t>
      </w:r>
      <w:proofErr w:type="spellStart"/>
      <w:r>
        <w:t>p</w:t>
      </w:r>
      <w:r w:rsidRPr="00A6056C">
        <w:t>aying</w:t>
      </w:r>
      <w:proofErr w:type="spellEnd"/>
      <w:r w:rsidRPr="00A6056C">
        <w:t xml:space="preserve"> </w:t>
      </w:r>
      <w:proofErr w:type="spellStart"/>
      <w:r w:rsidRPr="00A6056C">
        <w:t>traffic</w:t>
      </w:r>
      <w:proofErr w:type="spellEnd"/>
      <w:r w:rsidRPr="00A6056C">
        <w:t xml:space="preserve"> </w:t>
      </w:r>
      <w:proofErr w:type="spellStart"/>
      <w:r w:rsidRPr="00A6056C">
        <w:t>fines</w:t>
      </w:r>
      <w:proofErr w:type="spellEnd"/>
      <w:r>
        <w:t xml:space="preserve">, </w:t>
      </w:r>
      <w:proofErr w:type="spellStart"/>
      <w:r>
        <w:t>r</w:t>
      </w:r>
      <w:r w:rsidRPr="00A6056C">
        <w:t>eporting</w:t>
      </w:r>
      <w:proofErr w:type="spellEnd"/>
      <w:r w:rsidRPr="00A6056C">
        <w:t xml:space="preserve"> </w:t>
      </w:r>
      <w:proofErr w:type="spellStart"/>
      <w:r>
        <w:t>a</w:t>
      </w:r>
      <w:r w:rsidRPr="00A6056C">
        <w:t>ccidents</w:t>
      </w:r>
      <w:proofErr w:type="spellEnd"/>
      <w:r>
        <w:t xml:space="preserve">, </w:t>
      </w:r>
      <w:proofErr w:type="spellStart"/>
      <w:r>
        <w:t>l</w:t>
      </w:r>
      <w:r w:rsidRPr="00A6056C">
        <w:t>ost</w:t>
      </w:r>
      <w:proofErr w:type="spellEnd"/>
      <w:r>
        <w:t xml:space="preserve"> </w:t>
      </w:r>
      <w:proofErr w:type="spellStart"/>
      <w:r w:rsidRPr="00A6056C">
        <w:t>and</w:t>
      </w:r>
      <w:proofErr w:type="spellEnd"/>
      <w:r w:rsidRPr="00A6056C">
        <w:t xml:space="preserve"> </w:t>
      </w:r>
      <w:proofErr w:type="spellStart"/>
      <w:r>
        <w:t>f</w:t>
      </w:r>
      <w:r w:rsidRPr="00A6056C">
        <w:t>ound</w:t>
      </w:r>
      <w:proofErr w:type="spellEnd"/>
      <w:r w:rsidRPr="00A6056C">
        <w:t xml:space="preserve"> </w:t>
      </w:r>
      <w:proofErr w:type="spellStart"/>
      <w:r>
        <w:t>s</w:t>
      </w:r>
      <w:r w:rsidRPr="00A6056C">
        <w:t>ervices</w:t>
      </w:r>
      <w:proofErr w:type="spellEnd"/>
      <w:r>
        <w:t xml:space="preserve">, </w:t>
      </w:r>
      <w:proofErr w:type="spellStart"/>
      <w:r>
        <w:t>t</w:t>
      </w:r>
      <w:r w:rsidRPr="00A6056C">
        <w:t>ourist</w:t>
      </w:r>
      <w:proofErr w:type="spellEnd"/>
      <w:r w:rsidRPr="00A6056C">
        <w:t xml:space="preserve"> </w:t>
      </w:r>
      <w:proofErr w:type="spellStart"/>
      <w:r>
        <w:t>s</w:t>
      </w:r>
      <w:r w:rsidRPr="00A6056C">
        <w:t>ervices</w:t>
      </w:r>
      <w:proofErr w:type="spellEnd"/>
      <w:r>
        <w:t xml:space="preserve"> </w:t>
      </w:r>
      <w:r>
        <w:rPr>
          <w:color w:val="000000"/>
        </w:rPr>
        <w:t xml:space="preserve">(DAMAC, 2024). </w:t>
      </w:r>
      <w:r w:rsidRPr="00850EF2">
        <w:rPr>
          <w:color w:val="000000"/>
          <w:shd w:val="clear" w:color="auto" w:fill="FFFFFF"/>
        </w:rPr>
        <w:t xml:space="preserve">A </w:t>
      </w:r>
      <w:proofErr w:type="spellStart"/>
      <w:r w:rsidRPr="00850EF2">
        <w:rPr>
          <w:color w:val="000000"/>
          <w:shd w:val="clear" w:color="auto" w:fill="FFFFFF"/>
        </w:rPr>
        <w:t>visual</w:t>
      </w:r>
      <w:proofErr w:type="spellEnd"/>
      <w:r w:rsidRPr="00850EF2">
        <w:rPr>
          <w:color w:val="000000"/>
          <w:shd w:val="clear" w:color="auto" w:fill="FFFFFF"/>
        </w:rPr>
        <w:t xml:space="preserve"> of </w:t>
      </w:r>
      <w:proofErr w:type="spellStart"/>
      <w:r w:rsidRPr="00850EF2">
        <w:rPr>
          <w:color w:val="000000"/>
          <w:shd w:val="clear" w:color="auto" w:fill="FFFFFF"/>
        </w:rPr>
        <w:t>the</w:t>
      </w:r>
      <w:proofErr w:type="spellEnd"/>
      <w:r w:rsidRPr="00850EF2">
        <w:rPr>
          <w:color w:val="000000"/>
          <w:shd w:val="clear" w:color="auto" w:fill="FFFFFF"/>
        </w:rPr>
        <w:t xml:space="preserve"> </w:t>
      </w:r>
      <w:r>
        <w:rPr>
          <w:color w:val="000000"/>
          <w:shd w:val="clear" w:color="auto" w:fill="FFFFFF"/>
        </w:rPr>
        <w:t>SPS</w:t>
      </w:r>
      <w:r w:rsidRPr="00850EF2">
        <w:rPr>
          <w:color w:val="000000"/>
          <w:shd w:val="clear" w:color="auto" w:fill="FFFFFF"/>
        </w:rPr>
        <w:t xml:space="preserve"> is </w:t>
      </w:r>
      <w:proofErr w:type="spellStart"/>
      <w:r w:rsidRPr="00850EF2">
        <w:rPr>
          <w:color w:val="000000"/>
          <w:shd w:val="clear" w:color="auto" w:fill="FFFFFF"/>
        </w:rPr>
        <w:t>given</w:t>
      </w:r>
      <w:proofErr w:type="spellEnd"/>
      <w:r w:rsidRPr="00850EF2">
        <w:rPr>
          <w:color w:val="000000"/>
          <w:shd w:val="clear" w:color="auto" w:fill="FFFFFF"/>
        </w:rPr>
        <w:t xml:space="preserve"> in </w:t>
      </w:r>
      <w:proofErr w:type="spellStart"/>
      <w:r w:rsidRPr="00850EF2">
        <w:rPr>
          <w:color w:val="000000"/>
          <w:shd w:val="clear" w:color="auto" w:fill="FFFFFF"/>
        </w:rPr>
        <w:t>the</w:t>
      </w:r>
      <w:proofErr w:type="spellEnd"/>
      <w:r w:rsidRPr="00850EF2">
        <w:rPr>
          <w:color w:val="000000"/>
          <w:shd w:val="clear" w:color="auto" w:fill="FFFFFF"/>
        </w:rPr>
        <w:t xml:space="preserve"> </w:t>
      </w:r>
      <w:proofErr w:type="spellStart"/>
      <w:r>
        <w:rPr>
          <w:color w:val="000000"/>
          <w:shd w:val="clear" w:color="auto" w:fill="FFFFFF"/>
        </w:rPr>
        <w:t>F</w:t>
      </w:r>
      <w:r w:rsidRPr="00850EF2">
        <w:rPr>
          <w:color w:val="000000"/>
          <w:shd w:val="clear" w:color="auto" w:fill="FFFFFF"/>
        </w:rPr>
        <w:t>igure</w:t>
      </w:r>
      <w:proofErr w:type="spellEnd"/>
      <w:r>
        <w:rPr>
          <w:color w:val="000000"/>
          <w:shd w:val="clear" w:color="auto" w:fill="FFFFFF"/>
        </w:rPr>
        <w:t xml:space="preserve"> 1</w:t>
      </w:r>
      <w:r w:rsidRPr="00850EF2">
        <w:rPr>
          <w:color w:val="000000"/>
          <w:shd w:val="clear" w:color="auto" w:fill="FFFFFF"/>
        </w:rPr>
        <w:t>.</w:t>
      </w:r>
    </w:p>
    <w:p w14:paraId="58E3896D" w14:textId="77777777" w:rsidR="008A2109" w:rsidRPr="00B01E79" w:rsidRDefault="008A2109" w:rsidP="008A2109">
      <w:pPr>
        <w:jc w:val="both"/>
      </w:pPr>
      <w:proofErr w:type="spellStart"/>
      <w:r w:rsidRPr="00B01E79">
        <w:rPr>
          <w:b/>
          <w:bCs/>
          <w:color w:val="212529"/>
          <w:shd w:val="clear" w:color="auto" w:fill="FFFFFF"/>
        </w:rPr>
        <w:t>Figure</w:t>
      </w:r>
      <w:proofErr w:type="spellEnd"/>
      <w:r w:rsidRPr="00B01E79">
        <w:rPr>
          <w:b/>
          <w:bCs/>
          <w:color w:val="212529"/>
          <w:shd w:val="clear" w:color="auto" w:fill="FFFFFF"/>
        </w:rPr>
        <w:t xml:space="preserve"> 1: Smart </w:t>
      </w:r>
      <w:proofErr w:type="spellStart"/>
      <w:r w:rsidRPr="00B01E79">
        <w:rPr>
          <w:b/>
          <w:bCs/>
          <w:color w:val="212529"/>
          <w:shd w:val="clear" w:color="auto" w:fill="FFFFFF"/>
        </w:rPr>
        <w:t>Police</w:t>
      </w:r>
      <w:proofErr w:type="spellEnd"/>
      <w:r w:rsidRPr="00B01E79">
        <w:rPr>
          <w:b/>
          <w:bCs/>
          <w:color w:val="212529"/>
          <w:shd w:val="clear" w:color="auto" w:fill="FFFFFF"/>
        </w:rPr>
        <w:t xml:space="preserve"> Station</w:t>
      </w:r>
    </w:p>
    <w:p w14:paraId="2C1BFB08" w14:textId="77777777" w:rsidR="008A2109" w:rsidRPr="00B01E79" w:rsidRDefault="008A2109" w:rsidP="008A2109"/>
    <w:p w14:paraId="487A32FA" w14:textId="77777777" w:rsidR="008A2109" w:rsidRPr="00B01E79" w:rsidRDefault="008A2109" w:rsidP="008A2109">
      <w:pPr>
        <w:jc w:val="both"/>
      </w:pPr>
      <w:r w:rsidRPr="00B01E79">
        <w:rPr>
          <w:color w:val="212529"/>
          <w:bdr w:val="none" w:sz="0" w:space="0" w:color="auto" w:frame="1"/>
          <w:shd w:val="clear" w:color="auto" w:fill="FFFFFF"/>
        </w:rPr>
        <w:lastRenderedPageBreak/>
        <w:fldChar w:fldCharType="begin"/>
      </w:r>
      <w:r w:rsidRPr="00B01E79">
        <w:rPr>
          <w:color w:val="212529"/>
          <w:bdr w:val="none" w:sz="0" w:space="0" w:color="auto" w:frame="1"/>
          <w:shd w:val="clear" w:color="auto" w:fill="FFFFFF"/>
        </w:rPr>
        <w:instrText xml:space="preserve"> INCLUDEPICTURE "https://lh7-rt.googleusercontent.com/docsz/AD_4nXeAS1cDa7s-bxBFq0OpQHEXhLoced_oUmyCbt-hdKoLHp7_kK7RDc-W9VbJW_HXPuMrH9ZgLD7oa_TXgFmL9JN7W6z0jXabKPZCoTjHLmpdZp1Q_Bm4rvEDC1moTxbdBc5C1NZKH7OLiXb_eWBwkBc?key=R25av6NmLOGe725GjKYN2Ajw" \* MERGEFORMATINET </w:instrText>
      </w:r>
      <w:r w:rsidRPr="00B01E79">
        <w:rPr>
          <w:color w:val="212529"/>
          <w:bdr w:val="none" w:sz="0" w:space="0" w:color="auto" w:frame="1"/>
          <w:shd w:val="clear" w:color="auto" w:fill="FFFFFF"/>
        </w:rPr>
        <w:fldChar w:fldCharType="separate"/>
      </w:r>
      <w:r w:rsidRPr="00B01E79">
        <w:rPr>
          <w:noProof/>
          <w:color w:val="212529"/>
          <w:bdr w:val="none" w:sz="0" w:space="0" w:color="auto" w:frame="1"/>
          <w:shd w:val="clear" w:color="auto" w:fill="FFFFFF"/>
        </w:rPr>
        <w:drawing>
          <wp:inline distT="0" distB="0" distL="0" distR="0" wp14:anchorId="5A6ADC1C" wp14:editId="508B008D">
            <wp:extent cx="5950585" cy="3581400"/>
            <wp:effectExtent l="0" t="0" r="0" b="0"/>
            <wp:docPr id="1463904893" name="Resim 1" descr="ağaç, dış mekan, gökyüzü,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04893" name="Resim 1" descr="ağaç, dış mekan, gökyüzü, bitki içeren bir resim&#10;&#10;Açıklama otomatik olarak oluşturuldu"/>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56611" cy="3585027"/>
                    </a:xfrm>
                    <a:prstGeom prst="rect">
                      <a:avLst/>
                    </a:prstGeom>
                    <a:noFill/>
                    <a:ln>
                      <a:noFill/>
                    </a:ln>
                  </pic:spPr>
                </pic:pic>
              </a:graphicData>
            </a:graphic>
          </wp:inline>
        </w:drawing>
      </w:r>
      <w:r w:rsidRPr="00B01E79">
        <w:rPr>
          <w:color w:val="212529"/>
          <w:bdr w:val="none" w:sz="0" w:space="0" w:color="auto" w:frame="1"/>
          <w:shd w:val="clear" w:color="auto" w:fill="FFFFFF"/>
        </w:rPr>
        <w:fldChar w:fldCharType="end"/>
      </w:r>
    </w:p>
    <w:p w14:paraId="13028F31" w14:textId="77777777" w:rsidR="008A2109" w:rsidRPr="00B01E79" w:rsidRDefault="008A2109" w:rsidP="008A2109">
      <w:pPr>
        <w:jc w:val="both"/>
      </w:pPr>
      <w:r w:rsidRPr="00B01E79">
        <w:rPr>
          <w:color w:val="212529"/>
          <w:sz w:val="18"/>
          <w:szCs w:val="18"/>
          <w:shd w:val="clear" w:color="auto" w:fill="FFFFFF"/>
        </w:rPr>
        <w:t>Reference: (</w:t>
      </w:r>
      <w:proofErr w:type="spellStart"/>
      <w:r w:rsidRPr="00B01E79">
        <w:rPr>
          <w:color w:val="212529"/>
          <w:sz w:val="18"/>
          <w:szCs w:val="18"/>
          <w:shd w:val="clear" w:color="auto" w:fill="FFFFFF"/>
        </w:rPr>
        <w:t>Mediaoffice</w:t>
      </w:r>
      <w:proofErr w:type="spellEnd"/>
      <w:r w:rsidRPr="00B01E79">
        <w:rPr>
          <w:color w:val="212529"/>
          <w:sz w:val="18"/>
          <w:szCs w:val="18"/>
          <w:shd w:val="clear" w:color="auto" w:fill="FFFFFF"/>
        </w:rPr>
        <w:t>, 2021). </w:t>
      </w:r>
    </w:p>
    <w:p w14:paraId="643C13A1" w14:textId="77777777" w:rsidR="008A2109" w:rsidRDefault="008A2109" w:rsidP="008A2109">
      <w:pPr>
        <w:jc w:val="both"/>
        <w:rPr>
          <w:color w:val="212529"/>
          <w:highlight w:val="white"/>
        </w:rPr>
      </w:pPr>
      <w:proofErr w:type="spellStart"/>
      <w:r>
        <w:rPr>
          <w:highlight w:val="white"/>
        </w:rPr>
        <w:t>The</w:t>
      </w:r>
      <w:proofErr w:type="spellEnd"/>
      <w:r>
        <w:rPr>
          <w:highlight w:val="white"/>
        </w:rPr>
        <w:t xml:space="preserve"> </w:t>
      </w:r>
      <w:proofErr w:type="spellStart"/>
      <w:r>
        <w:rPr>
          <w:highlight w:val="white"/>
        </w:rPr>
        <w:t>use</w:t>
      </w:r>
      <w:proofErr w:type="spellEnd"/>
      <w:r>
        <w:rPr>
          <w:highlight w:val="white"/>
        </w:rPr>
        <w:t xml:space="preserve"> of AI </w:t>
      </w:r>
      <w:proofErr w:type="spellStart"/>
      <w:r>
        <w:rPr>
          <w:highlight w:val="white"/>
        </w:rPr>
        <w:t>applications</w:t>
      </w:r>
      <w:proofErr w:type="spellEnd"/>
      <w:r>
        <w:rPr>
          <w:highlight w:val="white"/>
        </w:rPr>
        <w:t xml:space="preserve"> in </w:t>
      </w:r>
      <w:proofErr w:type="spellStart"/>
      <w:r>
        <w:rPr>
          <w:highlight w:val="white"/>
        </w:rPr>
        <w:t>police</w:t>
      </w:r>
      <w:proofErr w:type="spellEnd"/>
      <w:r>
        <w:rPr>
          <w:highlight w:val="white"/>
        </w:rPr>
        <w:t xml:space="preserve"> </w:t>
      </w:r>
      <w:proofErr w:type="spellStart"/>
      <w:r>
        <w:rPr>
          <w:highlight w:val="white"/>
        </w:rPr>
        <w:t>services</w:t>
      </w:r>
      <w:proofErr w:type="spellEnd"/>
      <w:r>
        <w:rPr>
          <w:highlight w:val="white"/>
        </w:rPr>
        <w:t xml:space="preserve"> </w:t>
      </w:r>
      <w:proofErr w:type="spellStart"/>
      <w:r>
        <w:rPr>
          <w:highlight w:val="white"/>
        </w:rPr>
        <w:t>offers</w:t>
      </w:r>
      <w:proofErr w:type="spellEnd"/>
      <w:r>
        <w:rPr>
          <w:highlight w:val="white"/>
        </w:rPr>
        <w:t xml:space="preserve"> a </w:t>
      </w:r>
      <w:proofErr w:type="spellStart"/>
      <w:r>
        <w:rPr>
          <w:highlight w:val="white"/>
        </w:rPr>
        <w:t>new</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contemporary</w:t>
      </w:r>
      <w:proofErr w:type="spellEnd"/>
      <w:r>
        <w:rPr>
          <w:highlight w:val="white"/>
        </w:rPr>
        <w:t xml:space="preserve"> </w:t>
      </w:r>
      <w:proofErr w:type="spellStart"/>
      <w:r>
        <w:rPr>
          <w:highlight w:val="white"/>
        </w:rPr>
        <w:t>approach</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dealing</w:t>
      </w:r>
      <w:proofErr w:type="spellEnd"/>
      <w:r>
        <w:rPr>
          <w:highlight w:val="white"/>
        </w:rPr>
        <w:t xml:space="preserve"> </w:t>
      </w:r>
      <w:proofErr w:type="spellStart"/>
      <w:r>
        <w:rPr>
          <w:highlight w:val="white"/>
        </w:rPr>
        <w:t>with</w:t>
      </w:r>
      <w:proofErr w:type="spellEnd"/>
      <w:r>
        <w:rPr>
          <w:highlight w:val="white"/>
        </w:rPr>
        <w:t xml:space="preserve"> </w:t>
      </w:r>
      <w:proofErr w:type="spellStart"/>
      <w:r>
        <w:rPr>
          <w:highlight w:val="white"/>
        </w:rPr>
        <w:t>national</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regional</w:t>
      </w:r>
      <w:proofErr w:type="spellEnd"/>
      <w:r>
        <w:rPr>
          <w:highlight w:val="white"/>
        </w:rPr>
        <w:t xml:space="preserve"> </w:t>
      </w:r>
      <w:proofErr w:type="spellStart"/>
      <w:r>
        <w:rPr>
          <w:highlight w:val="white"/>
        </w:rPr>
        <w:t>crimes</w:t>
      </w:r>
      <w:proofErr w:type="spellEnd"/>
      <w:r>
        <w:rPr>
          <w:highlight w:val="white"/>
        </w:rPr>
        <w:t xml:space="preserve">. </w:t>
      </w:r>
      <w:proofErr w:type="spellStart"/>
      <w:r>
        <w:rPr>
          <w:highlight w:val="white"/>
        </w:rPr>
        <w:t>Research</w:t>
      </w:r>
      <w:proofErr w:type="spellEnd"/>
      <w:r>
        <w:rPr>
          <w:highlight w:val="white"/>
        </w:rPr>
        <w:t xml:space="preserve"> has </w:t>
      </w:r>
      <w:proofErr w:type="spellStart"/>
      <w:r>
        <w:rPr>
          <w:highlight w:val="white"/>
        </w:rPr>
        <w:t>shown</w:t>
      </w:r>
      <w:proofErr w:type="spellEnd"/>
      <w:r>
        <w:rPr>
          <w:highlight w:val="white"/>
        </w:rPr>
        <w:t xml:space="preserve"> </w:t>
      </w:r>
      <w:proofErr w:type="spellStart"/>
      <w:r>
        <w:rPr>
          <w:highlight w:val="white"/>
        </w:rPr>
        <w:t>that</w:t>
      </w:r>
      <w:proofErr w:type="spellEnd"/>
      <w:r>
        <w:rPr>
          <w:highlight w:val="white"/>
        </w:rPr>
        <w:t xml:space="preserve"> </w:t>
      </w:r>
      <w:proofErr w:type="spellStart"/>
      <w:r>
        <w:rPr>
          <w:highlight w:val="white"/>
        </w:rPr>
        <w:t>victims</w:t>
      </w:r>
      <w:proofErr w:type="spellEnd"/>
      <w:r>
        <w:rPr>
          <w:highlight w:val="white"/>
        </w:rPr>
        <w:t xml:space="preserve"> </w:t>
      </w:r>
      <w:proofErr w:type="spellStart"/>
      <w:r>
        <w:rPr>
          <w:highlight w:val="white"/>
        </w:rPr>
        <w:t>or</w:t>
      </w:r>
      <w:proofErr w:type="spellEnd"/>
      <w:r>
        <w:rPr>
          <w:highlight w:val="white"/>
        </w:rPr>
        <w:t xml:space="preserve"> </w:t>
      </w:r>
      <w:proofErr w:type="spellStart"/>
      <w:r>
        <w:rPr>
          <w:highlight w:val="white"/>
        </w:rPr>
        <w:t>individuals</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reluctant</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report</w:t>
      </w:r>
      <w:proofErr w:type="spellEnd"/>
      <w:r>
        <w:rPr>
          <w:highlight w:val="white"/>
        </w:rPr>
        <w:t xml:space="preserve"> </w:t>
      </w:r>
      <w:proofErr w:type="spellStart"/>
      <w:r>
        <w:rPr>
          <w:highlight w:val="white"/>
        </w:rPr>
        <w:t>crimes</w:t>
      </w:r>
      <w:proofErr w:type="spellEnd"/>
      <w:r>
        <w:rPr>
          <w:highlight w:val="white"/>
        </w:rPr>
        <w:t>/</w:t>
      </w:r>
      <w:proofErr w:type="spellStart"/>
      <w:r>
        <w:rPr>
          <w:highlight w:val="white"/>
        </w:rPr>
        <w:t>complaints</w:t>
      </w:r>
      <w:proofErr w:type="spellEnd"/>
      <w:r>
        <w:rPr>
          <w:highlight w:val="white"/>
        </w:rPr>
        <w:t xml:space="preserve"> </w:t>
      </w:r>
      <w:proofErr w:type="spellStart"/>
      <w:r>
        <w:rPr>
          <w:highlight w:val="white"/>
        </w:rPr>
        <w:t>due</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suspicion</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fear</w:t>
      </w:r>
      <w:proofErr w:type="spellEnd"/>
      <w:r>
        <w:rPr>
          <w:highlight w:val="white"/>
        </w:rPr>
        <w:t xml:space="preserve"> </w:t>
      </w:r>
      <w:proofErr w:type="spellStart"/>
      <w:r>
        <w:rPr>
          <w:highlight w:val="white"/>
        </w:rPr>
        <w:t>that</w:t>
      </w:r>
      <w:proofErr w:type="spellEnd"/>
      <w:r>
        <w:rPr>
          <w:highlight w:val="white"/>
        </w:rPr>
        <w:t xml:space="preserve"> they </w:t>
      </w:r>
      <w:proofErr w:type="spellStart"/>
      <w:r>
        <w:rPr>
          <w:highlight w:val="white"/>
        </w:rPr>
        <w:t>will</w:t>
      </w:r>
      <w:proofErr w:type="spellEnd"/>
      <w:r>
        <w:rPr>
          <w:highlight w:val="white"/>
        </w:rPr>
        <w:t xml:space="preserve"> not be </w:t>
      </w:r>
      <w:proofErr w:type="spellStart"/>
      <w:r>
        <w:rPr>
          <w:highlight w:val="white"/>
        </w:rPr>
        <w:t>seen</w:t>
      </w:r>
      <w:proofErr w:type="spellEnd"/>
      <w:r>
        <w:rPr>
          <w:highlight w:val="white"/>
        </w:rPr>
        <w:t xml:space="preserve"> as </w:t>
      </w:r>
      <w:proofErr w:type="spellStart"/>
      <w:r>
        <w:rPr>
          <w:highlight w:val="white"/>
        </w:rPr>
        <w:t>important</w:t>
      </w:r>
      <w:proofErr w:type="spellEnd"/>
      <w:r>
        <w:rPr>
          <w:highlight w:val="white"/>
        </w:rPr>
        <w:t xml:space="preserve"> </w:t>
      </w:r>
      <w:proofErr w:type="spellStart"/>
      <w:r>
        <w:rPr>
          <w:highlight w:val="white"/>
        </w:rPr>
        <w:t>by</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police</w:t>
      </w:r>
      <w:proofErr w:type="spellEnd"/>
      <w:r>
        <w:rPr>
          <w:highlight w:val="white"/>
        </w:rPr>
        <w:t xml:space="preserve">. At </w:t>
      </w:r>
      <w:proofErr w:type="spellStart"/>
      <w:r>
        <w:rPr>
          <w:highlight w:val="white"/>
        </w:rPr>
        <w:t>this</w:t>
      </w:r>
      <w:proofErr w:type="spellEnd"/>
      <w:r>
        <w:rPr>
          <w:highlight w:val="white"/>
        </w:rPr>
        <w:t xml:space="preserve"> </w:t>
      </w:r>
      <w:proofErr w:type="spellStart"/>
      <w:r>
        <w:rPr>
          <w:highlight w:val="white"/>
        </w:rPr>
        <w:t>point</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developed</w:t>
      </w:r>
      <w:proofErr w:type="spellEnd"/>
      <w:r>
        <w:rPr>
          <w:highlight w:val="white"/>
        </w:rPr>
        <w:t xml:space="preserve"> </w:t>
      </w:r>
      <w:proofErr w:type="spellStart"/>
      <w:r>
        <w:rPr>
          <w:highlight w:val="white"/>
        </w:rPr>
        <w:t>SPSs</w:t>
      </w:r>
      <w:proofErr w:type="spellEnd"/>
      <w:r>
        <w:rPr>
          <w:highlight w:val="white"/>
        </w:rPr>
        <w:t xml:space="preserve"> </w:t>
      </w:r>
      <w:proofErr w:type="spellStart"/>
      <w:r>
        <w:rPr>
          <w:highlight w:val="white"/>
        </w:rPr>
        <w:t>allow</w:t>
      </w:r>
      <w:proofErr w:type="spellEnd"/>
      <w:r>
        <w:rPr>
          <w:highlight w:val="white"/>
        </w:rPr>
        <w:t xml:space="preserve"> </w:t>
      </w:r>
      <w:proofErr w:type="spellStart"/>
      <w:r>
        <w:rPr>
          <w:highlight w:val="white"/>
        </w:rPr>
        <w:t>individuals</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virtually</w:t>
      </w:r>
      <w:proofErr w:type="spellEnd"/>
      <w:r>
        <w:rPr>
          <w:highlight w:val="white"/>
        </w:rPr>
        <w:t xml:space="preserve"> </w:t>
      </w:r>
      <w:proofErr w:type="spellStart"/>
      <w:r>
        <w:rPr>
          <w:highlight w:val="white"/>
        </w:rPr>
        <w:t>connect</w:t>
      </w:r>
      <w:proofErr w:type="spellEnd"/>
      <w:r>
        <w:rPr>
          <w:highlight w:val="white"/>
        </w:rPr>
        <w:t xml:space="preserve"> </w:t>
      </w:r>
      <w:proofErr w:type="spellStart"/>
      <w:r>
        <w:rPr>
          <w:highlight w:val="white"/>
        </w:rPr>
        <w:t>with</w:t>
      </w:r>
      <w:proofErr w:type="spellEnd"/>
      <w:r>
        <w:rPr>
          <w:highlight w:val="white"/>
        </w:rPr>
        <w:t xml:space="preserve"> an </w:t>
      </w:r>
      <w:proofErr w:type="spellStart"/>
      <w:r>
        <w:rPr>
          <w:highlight w:val="white"/>
        </w:rPr>
        <w:t>officer</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convey</w:t>
      </w:r>
      <w:proofErr w:type="spellEnd"/>
      <w:r>
        <w:rPr>
          <w:highlight w:val="white"/>
        </w:rPr>
        <w:t xml:space="preserve"> </w:t>
      </w:r>
      <w:proofErr w:type="spellStart"/>
      <w:r>
        <w:rPr>
          <w:highlight w:val="white"/>
        </w:rPr>
        <w:t>their</w:t>
      </w:r>
      <w:proofErr w:type="spellEnd"/>
      <w:r>
        <w:rPr>
          <w:highlight w:val="white"/>
        </w:rPr>
        <w:t xml:space="preserve"> </w:t>
      </w:r>
      <w:proofErr w:type="spellStart"/>
      <w:r>
        <w:rPr>
          <w:highlight w:val="white"/>
        </w:rPr>
        <w:t>complaints</w:t>
      </w:r>
      <w:proofErr w:type="spellEnd"/>
      <w:r>
        <w:rPr>
          <w:highlight w:val="white"/>
        </w:rPr>
        <w:t xml:space="preserve"> </w:t>
      </w:r>
      <w:proofErr w:type="spellStart"/>
      <w:r>
        <w:rPr>
          <w:highlight w:val="white"/>
        </w:rPr>
        <w:t>or</w:t>
      </w:r>
      <w:proofErr w:type="spellEnd"/>
      <w:r>
        <w:rPr>
          <w:highlight w:val="white"/>
        </w:rPr>
        <w:t xml:space="preserve"> </w:t>
      </w:r>
      <w:proofErr w:type="spellStart"/>
      <w:r>
        <w:rPr>
          <w:highlight w:val="white"/>
        </w:rPr>
        <w:t>easily</w:t>
      </w:r>
      <w:proofErr w:type="spellEnd"/>
      <w:r>
        <w:rPr>
          <w:highlight w:val="white"/>
        </w:rPr>
        <w:t xml:space="preserve"> </w:t>
      </w:r>
      <w:proofErr w:type="spellStart"/>
      <w:r>
        <w:rPr>
          <w:highlight w:val="white"/>
        </w:rPr>
        <w:t>receive</w:t>
      </w:r>
      <w:proofErr w:type="spellEnd"/>
      <w:r>
        <w:rPr>
          <w:highlight w:val="white"/>
        </w:rPr>
        <w:t xml:space="preserve"> </w:t>
      </w:r>
      <w:proofErr w:type="spellStart"/>
      <w:r>
        <w:rPr>
          <w:highlight w:val="white"/>
        </w:rPr>
        <w:t>any</w:t>
      </w:r>
      <w:proofErr w:type="spellEnd"/>
      <w:r>
        <w:rPr>
          <w:highlight w:val="white"/>
        </w:rPr>
        <w:t xml:space="preserve"> </w:t>
      </w:r>
      <w:proofErr w:type="spellStart"/>
      <w:r>
        <w:rPr>
          <w:highlight w:val="white"/>
        </w:rPr>
        <w:t>other</w:t>
      </w:r>
      <w:proofErr w:type="spellEnd"/>
      <w:r>
        <w:rPr>
          <w:highlight w:val="white"/>
        </w:rPr>
        <w:t xml:space="preserve"> service (</w:t>
      </w:r>
      <w:proofErr w:type="spellStart"/>
      <w:r>
        <w:rPr>
          <w:highlight w:val="white"/>
        </w:rPr>
        <w:t>Gulfnews</w:t>
      </w:r>
      <w:proofErr w:type="spellEnd"/>
      <w:r>
        <w:rPr>
          <w:highlight w:val="white"/>
        </w:rPr>
        <w:t>, 2023).</w:t>
      </w:r>
      <w:r>
        <w:rPr>
          <w:color w:val="212529"/>
          <w:highlight w:val="white"/>
        </w:rPr>
        <w:t xml:space="preserve"> </w:t>
      </w:r>
    </w:p>
    <w:p w14:paraId="25B90001" w14:textId="77777777" w:rsidR="008A2109" w:rsidRPr="004B0605" w:rsidRDefault="008A2109" w:rsidP="008A2109">
      <w:pPr>
        <w:jc w:val="both"/>
        <w:rPr>
          <w:highlight w:val="white"/>
        </w:rPr>
      </w:pPr>
    </w:p>
    <w:p w14:paraId="6FC9F69B" w14:textId="77777777" w:rsidR="008A2109" w:rsidRDefault="008A2109" w:rsidP="008A2109">
      <w:pPr>
        <w:pStyle w:val="NormalWeb"/>
        <w:spacing w:before="0" w:beforeAutospacing="0" w:after="0" w:afterAutospacing="0"/>
        <w:jc w:val="both"/>
        <w:rPr>
          <w:color w:val="212529"/>
          <w:shd w:val="clear" w:color="auto" w:fill="FFFFFF"/>
        </w:rPr>
      </w:pPr>
      <w:r>
        <w:rPr>
          <w:color w:val="212529"/>
          <w:highlight w:val="white"/>
        </w:rPr>
        <w:t xml:space="preserve">Data obtained from the Dubai police website on crime statistics are given in </w:t>
      </w:r>
      <w:proofErr w:type="gramStart"/>
      <w:r>
        <w:rPr>
          <w:color w:val="212529"/>
          <w:highlight w:val="white"/>
        </w:rPr>
        <w:t>the Table</w:t>
      </w:r>
      <w:proofErr w:type="gramEnd"/>
      <w:r>
        <w:rPr>
          <w:color w:val="212529"/>
          <w:highlight w:val="white"/>
        </w:rPr>
        <w:t xml:space="preserve"> 1.</w:t>
      </w:r>
      <w:r w:rsidRPr="00B01E79">
        <w:rPr>
          <w:color w:val="212529"/>
          <w:shd w:val="clear" w:color="auto" w:fill="FFFFFF"/>
        </w:rPr>
        <w:t xml:space="preserve"> Data obtained from the Dubai police website on crime statistics are given in </w:t>
      </w:r>
      <w:proofErr w:type="gramStart"/>
      <w:r w:rsidRPr="00B01E79">
        <w:rPr>
          <w:color w:val="212529"/>
          <w:shd w:val="clear" w:color="auto" w:fill="FFFFFF"/>
        </w:rPr>
        <w:t>the Table</w:t>
      </w:r>
      <w:proofErr w:type="gramEnd"/>
      <w:r>
        <w:rPr>
          <w:color w:val="212529"/>
          <w:shd w:val="clear" w:color="auto" w:fill="FFFFFF"/>
        </w:rPr>
        <w:t xml:space="preserve"> 1. </w:t>
      </w:r>
      <w:r w:rsidRPr="00B01E79">
        <w:rPr>
          <w:color w:val="212529"/>
          <w:shd w:val="clear" w:color="auto" w:fill="FFFFFF"/>
        </w:rPr>
        <w:t xml:space="preserve">The table presents the major crime statistics in Dubai, showing the total crime rate per 100,000 people from 2017 to 2023. Although there is a general downward trend in crime rates from 2017 to 2023, the fluctuations in 2021 and 2022 are notable. The large decline in 2023 can be considered a positive development. This trend could be attributed to various factors such as changes in law enforcement policies, social conditions and AI policy in security. </w:t>
      </w:r>
    </w:p>
    <w:p w14:paraId="4D852EA9" w14:textId="77777777" w:rsidR="008A2109" w:rsidRPr="00DB75EB" w:rsidRDefault="008A2109" w:rsidP="008A2109">
      <w:pPr>
        <w:pStyle w:val="NormalWeb"/>
        <w:spacing w:before="0" w:beforeAutospacing="0" w:after="0" w:afterAutospacing="0"/>
        <w:jc w:val="both"/>
      </w:pPr>
    </w:p>
    <w:p w14:paraId="32068076" w14:textId="77777777" w:rsidR="008A2109" w:rsidRPr="00900715" w:rsidRDefault="008A2109" w:rsidP="008A2109">
      <w:pPr>
        <w:pStyle w:val="Balk3"/>
        <w:keepNext w:val="0"/>
        <w:keepLines w:val="0"/>
        <w:shd w:val="clear" w:color="auto" w:fill="FFFFFF"/>
        <w:spacing w:before="0" w:after="0"/>
        <w:jc w:val="both"/>
        <w:rPr>
          <w:rFonts w:ascii="Times New Roman" w:eastAsia="Times New Roman" w:hAnsi="Times New Roman" w:cs="Times New Roman"/>
          <w:b/>
          <w:color w:val="212529"/>
          <w:sz w:val="24"/>
          <w:szCs w:val="24"/>
          <w:highlight w:val="white"/>
        </w:rPr>
      </w:pPr>
      <w:bookmarkStart w:id="240" w:name="_dffx0nibs2cz" w:colFirst="0" w:colLast="0"/>
      <w:bookmarkEnd w:id="240"/>
      <w:proofErr w:type="spellStart"/>
      <w:r>
        <w:rPr>
          <w:rFonts w:ascii="Times New Roman" w:eastAsia="Times New Roman" w:hAnsi="Times New Roman" w:cs="Times New Roman"/>
          <w:b/>
          <w:color w:val="212529"/>
          <w:sz w:val="24"/>
          <w:szCs w:val="24"/>
          <w:highlight w:val="white"/>
        </w:rPr>
        <w:t>Table</w:t>
      </w:r>
      <w:proofErr w:type="spellEnd"/>
      <w:r>
        <w:rPr>
          <w:rFonts w:ascii="Times New Roman" w:eastAsia="Times New Roman" w:hAnsi="Times New Roman" w:cs="Times New Roman"/>
          <w:b/>
          <w:color w:val="212529"/>
          <w:sz w:val="24"/>
          <w:szCs w:val="24"/>
          <w:highlight w:val="white"/>
        </w:rPr>
        <w:t xml:space="preserve"> 1: </w:t>
      </w:r>
      <w:proofErr w:type="spellStart"/>
      <w:r>
        <w:rPr>
          <w:rFonts w:ascii="Times New Roman" w:eastAsia="Times New Roman" w:hAnsi="Times New Roman" w:cs="Times New Roman"/>
          <w:b/>
          <w:color w:val="212529"/>
          <w:sz w:val="24"/>
          <w:szCs w:val="24"/>
          <w:highlight w:val="white"/>
        </w:rPr>
        <w:t>Major</w:t>
      </w:r>
      <w:proofErr w:type="spellEnd"/>
      <w:r>
        <w:rPr>
          <w:rFonts w:ascii="Times New Roman" w:eastAsia="Times New Roman" w:hAnsi="Times New Roman" w:cs="Times New Roman"/>
          <w:b/>
          <w:color w:val="212529"/>
          <w:sz w:val="24"/>
          <w:szCs w:val="24"/>
          <w:highlight w:val="white"/>
        </w:rPr>
        <w:t xml:space="preserve"> </w:t>
      </w:r>
      <w:proofErr w:type="spellStart"/>
      <w:r>
        <w:rPr>
          <w:rFonts w:ascii="Times New Roman" w:eastAsia="Times New Roman" w:hAnsi="Times New Roman" w:cs="Times New Roman"/>
          <w:b/>
          <w:color w:val="212529"/>
          <w:sz w:val="24"/>
          <w:szCs w:val="24"/>
          <w:highlight w:val="white"/>
        </w:rPr>
        <w:t>Crime</w:t>
      </w:r>
      <w:proofErr w:type="spellEnd"/>
      <w:r>
        <w:rPr>
          <w:rFonts w:ascii="Times New Roman" w:eastAsia="Times New Roman" w:hAnsi="Times New Roman" w:cs="Times New Roman"/>
          <w:b/>
          <w:color w:val="212529"/>
          <w:sz w:val="24"/>
          <w:szCs w:val="24"/>
          <w:highlight w:val="white"/>
        </w:rPr>
        <w:t xml:space="preserve"> </w:t>
      </w:r>
      <w:proofErr w:type="spellStart"/>
      <w:r>
        <w:rPr>
          <w:rFonts w:ascii="Times New Roman" w:eastAsia="Times New Roman" w:hAnsi="Times New Roman" w:cs="Times New Roman"/>
          <w:b/>
          <w:color w:val="212529"/>
          <w:sz w:val="24"/>
          <w:szCs w:val="24"/>
          <w:highlight w:val="white"/>
        </w:rPr>
        <w:t>Statistics</w:t>
      </w:r>
      <w:proofErr w:type="spellEnd"/>
    </w:p>
    <w:tbl>
      <w:tblPr>
        <w:tblW w:w="93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6"/>
        <w:gridCol w:w="1060"/>
        <w:gridCol w:w="1163"/>
        <w:gridCol w:w="1163"/>
        <w:gridCol w:w="1241"/>
        <w:gridCol w:w="1085"/>
        <w:gridCol w:w="1163"/>
        <w:gridCol w:w="1163"/>
      </w:tblGrid>
      <w:tr w:rsidR="008A2109" w14:paraId="2A2A3009" w14:textId="77777777" w:rsidTr="00056914">
        <w:trPr>
          <w:trHeight w:val="204"/>
        </w:trPr>
        <w:tc>
          <w:tcPr>
            <w:tcW w:w="1266" w:type="dxa"/>
            <w:shd w:val="clear" w:color="auto" w:fill="auto"/>
            <w:tcMar>
              <w:top w:w="100" w:type="dxa"/>
              <w:left w:w="100" w:type="dxa"/>
              <w:bottom w:w="100" w:type="dxa"/>
              <w:right w:w="100" w:type="dxa"/>
            </w:tcMar>
          </w:tcPr>
          <w:p w14:paraId="3E7AF4C7" w14:textId="77777777" w:rsidR="008A2109" w:rsidRPr="00900715" w:rsidRDefault="008A2109" w:rsidP="008A2109">
            <w:pPr>
              <w:pBdr>
                <w:top w:val="nil"/>
                <w:left w:val="nil"/>
                <w:bottom w:val="nil"/>
                <w:right w:val="nil"/>
                <w:between w:val="nil"/>
              </w:pBdr>
              <w:rPr>
                <w:b/>
                <w:bCs/>
                <w:sz w:val="20"/>
                <w:szCs w:val="20"/>
              </w:rPr>
            </w:pPr>
            <w:proofErr w:type="spellStart"/>
            <w:r w:rsidRPr="00900715">
              <w:rPr>
                <w:b/>
                <w:bCs/>
                <w:sz w:val="20"/>
                <w:szCs w:val="20"/>
              </w:rPr>
              <w:t>Year</w:t>
            </w:r>
            <w:proofErr w:type="spellEnd"/>
          </w:p>
        </w:tc>
        <w:tc>
          <w:tcPr>
            <w:tcW w:w="1060" w:type="dxa"/>
            <w:shd w:val="clear" w:color="auto" w:fill="auto"/>
            <w:tcMar>
              <w:top w:w="100" w:type="dxa"/>
              <w:left w:w="100" w:type="dxa"/>
              <w:bottom w:w="100" w:type="dxa"/>
              <w:right w:w="100" w:type="dxa"/>
            </w:tcMar>
          </w:tcPr>
          <w:p w14:paraId="0E0D3BD4"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2017</w:t>
            </w:r>
          </w:p>
        </w:tc>
        <w:tc>
          <w:tcPr>
            <w:tcW w:w="1163" w:type="dxa"/>
            <w:shd w:val="clear" w:color="auto" w:fill="auto"/>
            <w:tcMar>
              <w:top w:w="100" w:type="dxa"/>
              <w:left w:w="100" w:type="dxa"/>
              <w:bottom w:w="100" w:type="dxa"/>
              <w:right w:w="100" w:type="dxa"/>
            </w:tcMar>
          </w:tcPr>
          <w:p w14:paraId="2CBCFD12"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2018</w:t>
            </w:r>
          </w:p>
        </w:tc>
        <w:tc>
          <w:tcPr>
            <w:tcW w:w="1163" w:type="dxa"/>
            <w:shd w:val="clear" w:color="auto" w:fill="auto"/>
            <w:tcMar>
              <w:top w:w="100" w:type="dxa"/>
              <w:left w:w="100" w:type="dxa"/>
              <w:bottom w:w="100" w:type="dxa"/>
              <w:right w:w="100" w:type="dxa"/>
            </w:tcMar>
          </w:tcPr>
          <w:p w14:paraId="69457932"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2019</w:t>
            </w:r>
          </w:p>
        </w:tc>
        <w:tc>
          <w:tcPr>
            <w:tcW w:w="1241" w:type="dxa"/>
            <w:shd w:val="clear" w:color="auto" w:fill="auto"/>
            <w:tcMar>
              <w:top w:w="100" w:type="dxa"/>
              <w:left w:w="100" w:type="dxa"/>
              <w:bottom w:w="100" w:type="dxa"/>
              <w:right w:w="100" w:type="dxa"/>
            </w:tcMar>
          </w:tcPr>
          <w:p w14:paraId="29477551"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2020</w:t>
            </w:r>
          </w:p>
        </w:tc>
        <w:tc>
          <w:tcPr>
            <w:tcW w:w="1085" w:type="dxa"/>
            <w:shd w:val="clear" w:color="auto" w:fill="auto"/>
            <w:tcMar>
              <w:top w:w="100" w:type="dxa"/>
              <w:left w:w="100" w:type="dxa"/>
              <w:bottom w:w="100" w:type="dxa"/>
              <w:right w:w="100" w:type="dxa"/>
            </w:tcMar>
          </w:tcPr>
          <w:p w14:paraId="356C6B75"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2021</w:t>
            </w:r>
          </w:p>
        </w:tc>
        <w:tc>
          <w:tcPr>
            <w:tcW w:w="1163" w:type="dxa"/>
            <w:shd w:val="clear" w:color="auto" w:fill="auto"/>
            <w:tcMar>
              <w:top w:w="100" w:type="dxa"/>
              <w:left w:w="100" w:type="dxa"/>
              <w:bottom w:w="100" w:type="dxa"/>
              <w:right w:w="100" w:type="dxa"/>
            </w:tcMar>
          </w:tcPr>
          <w:p w14:paraId="1B6348D7"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2022</w:t>
            </w:r>
          </w:p>
        </w:tc>
        <w:tc>
          <w:tcPr>
            <w:tcW w:w="1163" w:type="dxa"/>
            <w:shd w:val="clear" w:color="auto" w:fill="auto"/>
            <w:tcMar>
              <w:top w:w="100" w:type="dxa"/>
              <w:left w:w="100" w:type="dxa"/>
              <w:bottom w:w="100" w:type="dxa"/>
              <w:right w:w="100" w:type="dxa"/>
            </w:tcMar>
          </w:tcPr>
          <w:p w14:paraId="4AEE11B5" w14:textId="77777777" w:rsidR="008A2109" w:rsidRPr="00900715" w:rsidRDefault="008A2109" w:rsidP="008A2109">
            <w:pPr>
              <w:pBdr>
                <w:top w:val="nil"/>
                <w:left w:val="nil"/>
                <w:bottom w:val="nil"/>
                <w:right w:val="nil"/>
                <w:between w:val="nil"/>
              </w:pBdr>
              <w:rPr>
                <w:b/>
                <w:bCs/>
                <w:sz w:val="20"/>
                <w:szCs w:val="20"/>
              </w:rPr>
            </w:pPr>
            <w:r w:rsidRPr="00900715">
              <w:rPr>
                <w:b/>
                <w:bCs/>
                <w:sz w:val="20"/>
                <w:szCs w:val="20"/>
              </w:rPr>
              <w:t>2023</w:t>
            </w:r>
          </w:p>
        </w:tc>
      </w:tr>
      <w:tr w:rsidR="008A2109" w14:paraId="645410CB" w14:textId="77777777" w:rsidTr="00056914">
        <w:trPr>
          <w:trHeight w:val="281"/>
        </w:trPr>
        <w:tc>
          <w:tcPr>
            <w:tcW w:w="1266" w:type="dxa"/>
            <w:shd w:val="clear" w:color="auto" w:fill="auto"/>
            <w:tcMar>
              <w:top w:w="100" w:type="dxa"/>
              <w:left w:w="100" w:type="dxa"/>
              <w:bottom w:w="100" w:type="dxa"/>
              <w:right w:w="100" w:type="dxa"/>
            </w:tcMar>
          </w:tcPr>
          <w:p w14:paraId="2F819699" w14:textId="77777777" w:rsidR="008A2109" w:rsidRPr="00AE4E49" w:rsidRDefault="008A2109" w:rsidP="008A2109">
            <w:pPr>
              <w:pBdr>
                <w:top w:val="nil"/>
                <w:left w:val="nil"/>
                <w:bottom w:val="nil"/>
                <w:right w:val="nil"/>
                <w:between w:val="nil"/>
              </w:pBdr>
              <w:rPr>
                <w:b/>
                <w:sz w:val="20"/>
                <w:szCs w:val="20"/>
              </w:rPr>
            </w:pPr>
            <w:r w:rsidRPr="00AE4E49">
              <w:rPr>
                <w:b/>
                <w:sz w:val="20"/>
                <w:szCs w:val="20"/>
              </w:rPr>
              <w:t xml:space="preserve">Total </w:t>
            </w:r>
            <w:proofErr w:type="spellStart"/>
            <w:r w:rsidRPr="00AE4E49">
              <w:rPr>
                <w:b/>
                <w:sz w:val="20"/>
                <w:szCs w:val="20"/>
              </w:rPr>
              <w:t>Crime</w:t>
            </w:r>
            <w:proofErr w:type="spellEnd"/>
          </w:p>
        </w:tc>
        <w:tc>
          <w:tcPr>
            <w:tcW w:w="1060" w:type="dxa"/>
            <w:shd w:val="clear" w:color="auto" w:fill="auto"/>
            <w:tcMar>
              <w:top w:w="100" w:type="dxa"/>
              <w:left w:w="100" w:type="dxa"/>
              <w:bottom w:w="100" w:type="dxa"/>
              <w:right w:w="100" w:type="dxa"/>
            </w:tcMar>
          </w:tcPr>
          <w:p w14:paraId="197B3072" w14:textId="77777777" w:rsidR="008A2109" w:rsidRDefault="008A2109" w:rsidP="008A2109">
            <w:pPr>
              <w:pBdr>
                <w:top w:val="nil"/>
                <w:left w:val="nil"/>
                <w:bottom w:val="nil"/>
                <w:right w:val="nil"/>
                <w:between w:val="nil"/>
              </w:pBdr>
              <w:rPr>
                <w:sz w:val="20"/>
                <w:szCs w:val="20"/>
              </w:rPr>
            </w:pPr>
            <w:r>
              <w:rPr>
                <w:sz w:val="20"/>
                <w:szCs w:val="20"/>
                <w:highlight w:val="white"/>
              </w:rPr>
              <w:t>36.4</w:t>
            </w:r>
          </w:p>
        </w:tc>
        <w:tc>
          <w:tcPr>
            <w:tcW w:w="1163" w:type="dxa"/>
            <w:shd w:val="clear" w:color="auto" w:fill="auto"/>
            <w:tcMar>
              <w:top w:w="100" w:type="dxa"/>
              <w:left w:w="100" w:type="dxa"/>
              <w:bottom w:w="100" w:type="dxa"/>
              <w:right w:w="100" w:type="dxa"/>
            </w:tcMar>
          </w:tcPr>
          <w:p w14:paraId="25FE361F" w14:textId="77777777" w:rsidR="008A2109" w:rsidRDefault="008A2109" w:rsidP="008A2109">
            <w:pPr>
              <w:pBdr>
                <w:top w:val="nil"/>
                <w:left w:val="nil"/>
                <w:bottom w:val="nil"/>
                <w:right w:val="nil"/>
                <w:between w:val="nil"/>
              </w:pBdr>
              <w:rPr>
                <w:sz w:val="20"/>
                <w:szCs w:val="20"/>
              </w:rPr>
            </w:pPr>
            <w:r>
              <w:rPr>
                <w:sz w:val="20"/>
                <w:szCs w:val="20"/>
              </w:rPr>
              <w:t>33.4</w:t>
            </w:r>
          </w:p>
        </w:tc>
        <w:tc>
          <w:tcPr>
            <w:tcW w:w="1163" w:type="dxa"/>
            <w:shd w:val="clear" w:color="auto" w:fill="auto"/>
            <w:tcMar>
              <w:top w:w="100" w:type="dxa"/>
              <w:left w:w="100" w:type="dxa"/>
              <w:bottom w:w="100" w:type="dxa"/>
              <w:right w:w="100" w:type="dxa"/>
            </w:tcMar>
          </w:tcPr>
          <w:p w14:paraId="246EF949" w14:textId="77777777" w:rsidR="008A2109" w:rsidRDefault="008A2109" w:rsidP="008A2109">
            <w:pPr>
              <w:pBdr>
                <w:top w:val="nil"/>
                <w:left w:val="nil"/>
                <w:bottom w:val="nil"/>
                <w:right w:val="nil"/>
                <w:between w:val="nil"/>
              </w:pBdr>
              <w:rPr>
                <w:sz w:val="20"/>
                <w:szCs w:val="20"/>
              </w:rPr>
            </w:pPr>
            <w:r>
              <w:rPr>
                <w:sz w:val="20"/>
                <w:szCs w:val="20"/>
              </w:rPr>
              <w:t>32.5</w:t>
            </w:r>
          </w:p>
        </w:tc>
        <w:tc>
          <w:tcPr>
            <w:tcW w:w="1241" w:type="dxa"/>
            <w:shd w:val="clear" w:color="auto" w:fill="auto"/>
            <w:tcMar>
              <w:top w:w="100" w:type="dxa"/>
              <w:left w:w="100" w:type="dxa"/>
              <w:bottom w:w="100" w:type="dxa"/>
              <w:right w:w="100" w:type="dxa"/>
            </w:tcMar>
          </w:tcPr>
          <w:p w14:paraId="505E3DEF" w14:textId="77777777" w:rsidR="008A2109" w:rsidRDefault="008A2109" w:rsidP="008A2109">
            <w:pPr>
              <w:pBdr>
                <w:top w:val="nil"/>
                <w:left w:val="nil"/>
                <w:bottom w:val="nil"/>
                <w:right w:val="nil"/>
                <w:between w:val="nil"/>
              </w:pBdr>
              <w:rPr>
                <w:sz w:val="20"/>
                <w:szCs w:val="20"/>
              </w:rPr>
            </w:pPr>
            <w:r>
              <w:rPr>
                <w:sz w:val="20"/>
                <w:szCs w:val="20"/>
              </w:rPr>
              <w:t>31.2</w:t>
            </w:r>
          </w:p>
        </w:tc>
        <w:tc>
          <w:tcPr>
            <w:tcW w:w="1085" w:type="dxa"/>
            <w:shd w:val="clear" w:color="auto" w:fill="auto"/>
            <w:tcMar>
              <w:top w:w="100" w:type="dxa"/>
              <w:left w:w="100" w:type="dxa"/>
              <w:bottom w:w="100" w:type="dxa"/>
              <w:right w:w="100" w:type="dxa"/>
            </w:tcMar>
          </w:tcPr>
          <w:p w14:paraId="4A7AE08D" w14:textId="77777777" w:rsidR="008A2109" w:rsidRDefault="008A2109" w:rsidP="008A2109">
            <w:pPr>
              <w:pBdr>
                <w:top w:val="nil"/>
                <w:left w:val="nil"/>
                <w:bottom w:val="nil"/>
                <w:right w:val="nil"/>
                <w:between w:val="nil"/>
              </w:pBdr>
              <w:rPr>
                <w:sz w:val="20"/>
                <w:szCs w:val="20"/>
              </w:rPr>
            </w:pPr>
            <w:r>
              <w:rPr>
                <w:sz w:val="20"/>
                <w:szCs w:val="20"/>
              </w:rPr>
              <w:t>29.4</w:t>
            </w:r>
          </w:p>
        </w:tc>
        <w:tc>
          <w:tcPr>
            <w:tcW w:w="1163" w:type="dxa"/>
            <w:shd w:val="clear" w:color="auto" w:fill="auto"/>
            <w:tcMar>
              <w:top w:w="100" w:type="dxa"/>
              <w:left w:w="100" w:type="dxa"/>
              <w:bottom w:w="100" w:type="dxa"/>
              <w:right w:w="100" w:type="dxa"/>
            </w:tcMar>
          </w:tcPr>
          <w:p w14:paraId="67055C2F" w14:textId="77777777" w:rsidR="008A2109" w:rsidRDefault="008A2109" w:rsidP="008A2109">
            <w:pPr>
              <w:pBdr>
                <w:top w:val="nil"/>
                <w:left w:val="nil"/>
                <w:bottom w:val="nil"/>
                <w:right w:val="nil"/>
                <w:between w:val="nil"/>
              </w:pBdr>
              <w:rPr>
                <w:sz w:val="20"/>
                <w:szCs w:val="20"/>
              </w:rPr>
            </w:pPr>
            <w:r>
              <w:rPr>
                <w:sz w:val="20"/>
                <w:szCs w:val="20"/>
              </w:rPr>
              <w:t>33.7</w:t>
            </w:r>
          </w:p>
        </w:tc>
        <w:tc>
          <w:tcPr>
            <w:tcW w:w="1163" w:type="dxa"/>
            <w:shd w:val="clear" w:color="auto" w:fill="auto"/>
            <w:tcMar>
              <w:top w:w="100" w:type="dxa"/>
              <w:left w:w="100" w:type="dxa"/>
              <w:bottom w:w="100" w:type="dxa"/>
              <w:right w:w="100" w:type="dxa"/>
            </w:tcMar>
          </w:tcPr>
          <w:p w14:paraId="53AE648B" w14:textId="77777777" w:rsidR="008A2109" w:rsidRDefault="008A2109" w:rsidP="008A2109">
            <w:pPr>
              <w:pBdr>
                <w:top w:val="nil"/>
                <w:left w:val="nil"/>
                <w:bottom w:val="nil"/>
                <w:right w:val="nil"/>
                <w:between w:val="nil"/>
              </w:pBdr>
              <w:rPr>
                <w:sz w:val="20"/>
                <w:szCs w:val="20"/>
              </w:rPr>
            </w:pPr>
            <w:r>
              <w:rPr>
                <w:sz w:val="20"/>
                <w:szCs w:val="20"/>
              </w:rPr>
              <w:t>24.6</w:t>
            </w:r>
          </w:p>
        </w:tc>
      </w:tr>
    </w:tbl>
    <w:p w14:paraId="081535F5" w14:textId="77777777" w:rsidR="008A2109" w:rsidRPr="00900715" w:rsidRDefault="008A2109" w:rsidP="008A2109">
      <w:pPr>
        <w:rPr>
          <w:sz w:val="21"/>
          <w:szCs w:val="21"/>
          <w:highlight w:val="white"/>
        </w:rPr>
      </w:pPr>
      <w:r w:rsidRPr="00900715">
        <w:rPr>
          <w:sz w:val="21"/>
          <w:szCs w:val="21"/>
          <w:highlight w:val="white"/>
        </w:rPr>
        <w:t>Reference</w:t>
      </w:r>
      <w:r>
        <w:rPr>
          <w:sz w:val="21"/>
          <w:szCs w:val="21"/>
          <w:highlight w:val="white"/>
        </w:rPr>
        <w:t>:</w:t>
      </w:r>
      <w:r w:rsidRPr="00900715">
        <w:rPr>
          <w:sz w:val="21"/>
          <w:szCs w:val="21"/>
          <w:highlight w:val="white"/>
        </w:rPr>
        <w:t xml:space="preserve"> Dubai </w:t>
      </w:r>
      <w:proofErr w:type="spellStart"/>
      <w:r w:rsidRPr="00900715">
        <w:rPr>
          <w:sz w:val="21"/>
          <w:szCs w:val="21"/>
          <w:highlight w:val="white"/>
        </w:rPr>
        <w:t>Police</w:t>
      </w:r>
      <w:proofErr w:type="spellEnd"/>
      <w:r w:rsidRPr="00900715">
        <w:rPr>
          <w:sz w:val="21"/>
          <w:szCs w:val="21"/>
          <w:highlight w:val="white"/>
        </w:rPr>
        <w:t xml:space="preserve">, 2024 </w:t>
      </w:r>
    </w:p>
    <w:p w14:paraId="30C3B54C" w14:textId="77777777" w:rsidR="008A2109" w:rsidRDefault="008A2109" w:rsidP="008A2109">
      <w:pPr>
        <w:jc w:val="both"/>
        <w:rPr>
          <w:color w:val="212529"/>
          <w:sz w:val="18"/>
          <w:szCs w:val="18"/>
          <w:highlight w:val="white"/>
        </w:rPr>
      </w:pPr>
    </w:p>
    <w:p w14:paraId="5F0EEE6A" w14:textId="77777777" w:rsidR="008A2109" w:rsidRDefault="008A2109" w:rsidP="008A2109">
      <w:pPr>
        <w:jc w:val="both"/>
        <w:rPr>
          <w:highlight w:val="white"/>
        </w:rPr>
      </w:pPr>
      <w:r>
        <w:rPr>
          <w:highlight w:val="white"/>
        </w:rPr>
        <w:t xml:space="preserve">Self-service </w:t>
      </w:r>
      <w:proofErr w:type="spellStart"/>
      <w:r>
        <w:rPr>
          <w:highlight w:val="white"/>
        </w:rPr>
        <w:t>police</w:t>
      </w:r>
      <w:proofErr w:type="spellEnd"/>
      <w:r>
        <w:rPr>
          <w:highlight w:val="white"/>
        </w:rPr>
        <w:t xml:space="preserve"> </w:t>
      </w:r>
      <w:proofErr w:type="spellStart"/>
      <w:r>
        <w:rPr>
          <w:highlight w:val="white"/>
        </w:rPr>
        <w:t>stations</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available</w:t>
      </w:r>
      <w:proofErr w:type="spellEnd"/>
      <w:r>
        <w:rPr>
          <w:highlight w:val="white"/>
        </w:rPr>
        <w:t xml:space="preserve"> </w:t>
      </w:r>
      <w:proofErr w:type="spellStart"/>
      <w:r>
        <w:rPr>
          <w:highlight w:val="white"/>
        </w:rPr>
        <w:t>throughout</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Emirate</w:t>
      </w:r>
      <w:proofErr w:type="spellEnd"/>
      <w:r>
        <w:rPr>
          <w:highlight w:val="white"/>
        </w:rPr>
        <w:t xml:space="preserve"> of Dubai. </w:t>
      </w:r>
      <w:proofErr w:type="spellStart"/>
      <w:r>
        <w:rPr>
          <w:highlight w:val="white"/>
        </w:rPr>
        <w:t>There</w:t>
      </w:r>
      <w:proofErr w:type="spellEnd"/>
      <w:r>
        <w:rPr>
          <w:highlight w:val="white"/>
        </w:rPr>
        <w:t xml:space="preserve"> </w:t>
      </w:r>
      <w:proofErr w:type="spellStart"/>
      <w:r>
        <w:rPr>
          <w:highlight w:val="white"/>
        </w:rPr>
        <w:t>are</w:t>
      </w:r>
      <w:proofErr w:type="spellEnd"/>
      <w:r>
        <w:rPr>
          <w:highlight w:val="white"/>
        </w:rPr>
        <w:t xml:space="preserve"> 22 </w:t>
      </w:r>
      <w:proofErr w:type="spellStart"/>
      <w:r>
        <w:rPr>
          <w:highlight w:val="white"/>
        </w:rPr>
        <w:t>SPSs</w:t>
      </w:r>
      <w:proofErr w:type="spellEnd"/>
      <w:r>
        <w:rPr>
          <w:highlight w:val="white"/>
        </w:rPr>
        <w:t xml:space="preserve"> in Dubai, </w:t>
      </w:r>
      <w:proofErr w:type="spellStart"/>
      <w:r>
        <w:rPr>
          <w:highlight w:val="white"/>
        </w:rPr>
        <w:t>namely</w:t>
      </w:r>
      <w:proofErr w:type="spellEnd"/>
      <w:r>
        <w:rPr>
          <w:highlight w:val="white"/>
        </w:rPr>
        <w:t xml:space="preserve"> </w:t>
      </w:r>
      <w:proofErr w:type="spellStart"/>
      <w:r>
        <w:rPr>
          <w:highlight w:val="white"/>
        </w:rPr>
        <w:t>Arabian</w:t>
      </w:r>
      <w:proofErr w:type="spellEnd"/>
      <w:r>
        <w:rPr>
          <w:highlight w:val="white"/>
        </w:rPr>
        <w:t xml:space="preserve"> </w:t>
      </w:r>
      <w:proofErr w:type="spellStart"/>
      <w:r>
        <w:rPr>
          <w:highlight w:val="white"/>
        </w:rPr>
        <w:t>Ranches</w:t>
      </w:r>
      <w:proofErr w:type="spellEnd"/>
      <w:r>
        <w:rPr>
          <w:highlight w:val="white"/>
        </w:rPr>
        <w:t xml:space="preserve">, La </w:t>
      </w:r>
      <w:proofErr w:type="spellStart"/>
      <w:r>
        <w:rPr>
          <w:highlight w:val="white"/>
        </w:rPr>
        <w:t>Mer</w:t>
      </w:r>
      <w:proofErr w:type="spellEnd"/>
      <w:r>
        <w:rPr>
          <w:highlight w:val="white"/>
        </w:rPr>
        <w:t xml:space="preserve">, </w:t>
      </w:r>
      <w:proofErr w:type="spellStart"/>
      <w:r>
        <w:rPr>
          <w:highlight w:val="white"/>
        </w:rPr>
        <w:t>Last</w:t>
      </w:r>
      <w:proofErr w:type="spellEnd"/>
      <w:r>
        <w:rPr>
          <w:highlight w:val="white"/>
        </w:rPr>
        <w:t xml:space="preserve"> </w:t>
      </w:r>
      <w:proofErr w:type="spellStart"/>
      <w:r>
        <w:rPr>
          <w:highlight w:val="white"/>
        </w:rPr>
        <w:t>Exit</w:t>
      </w:r>
      <w:proofErr w:type="spellEnd"/>
      <w:r>
        <w:rPr>
          <w:highlight w:val="white"/>
        </w:rPr>
        <w:t xml:space="preserve">- Al </w:t>
      </w:r>
      <w:proofErr w:type="spellStart"/>
      <w:r>
        <w:rPr>
          <w:highlight w:val="white"/>
        </w:rPr>
        <w:t>Khawaneej</w:t>
      </w:r>
      <w:proofErr w:type="spellEnd"/>
      <w:r>
        <w:rPr>
          <w:highlight w:val="white"/>
        </w:rPr>
        <w:t xml:space="preserve"> Drive-</w:t>
      </w:r>
      <w:proofErr w:type="spellStart"/>
      <w:r>
        <w:rPr>
          <w:highlight w:val="white"/>
        </w:rPr>
        <w:t>thru</w:t>
      </w:r>
      <w:proofErr w:type="spellEnd"/>
      <w:r>
        <w:rPr>
          <w:highlight w:val="white"/>
        </w:rPr>
        <w:t xml:space="preserve">, </w:t>
      </w:r>
      <w:proofErr w:type="spellStart"/>
      <w:r>
        <w:rPr>
          <w:highlight w:val="white"/>
        </w:rPr>
        <w:t>Last</w:t>
      </w:r>
      <w:proofErr w:type="spellEnd"/>
      <w:r>
        <w:rPr>
          <w:highlight w:val="white"/>
        </w:rPr>
        <w:t xml:space="preserve"> </w:t>
      </w:r>
      <w:proofErr w:type="spellStart"/>
      <w:r>
        <w:rPr>
          <w:highlight w:val="white"/>
        </w:rPr>
        <w:t>Exit</w:t>
      </w:r>
      <w:proofErr w:type="spellEnd"/>
      <w:r>
        <w:rPr>
          <w:highlight w:val="white"/>
        </w:rPr>
        <w:t xml:space="preserve"> Drive-</w:t>
      </w:r>
      <w:proofErr w:type="spellStart"/>
      <w:r>
        <w:rPr>
          <w:highlight w:val="white"/>
        </w:rPr>
        <w:t>thru</w:t>
      </w:r>
      <w:proofErr w:type="spellEnd"/>
      <w:r>
        <w:rPr>
          <w:highlight w:val="white"/>
        </w:rPr>
        <w:t xml:space="preserve">- E11 Dubai </w:t>
      </w:r>
      <w:proofErr w:type="spellStart"/>
      <w:r>
        <w:rPr>
          <w:highlight w:val="white"/>
        </w:rPr>
        <w:t>Bound</w:t>
      </w:r>
      <w:proofErr w:type="spellEnd"/>
      <w:r>
        <w:rPr>
          <w:highlight w:val="white"/>
        </w:rPr>
        <w:t xml:space="preserve">, </w:t>
      </w:r>
      <w:proofErr w:type="spellStart"/>
      <w:r>
        <w:rPr>
          <w:highlight w:val="white"/>
        </w:rPr>
        <w:t>Last</w:t>
      </w:r>
      <w:proofErr w:type="spellEnd"/>
      <w:r>
        <w:rPr>
          <w:highlight w:val="white"/>
        </w:rPr>
        <w:t xml:space="preserve"> </w:t>
      </w:r>
      <w:proofErr w:type="spellStart"/>
      <w:r>
        <w:rPr>
          <w:highlight w:val="white"/>
        </w:rPr>
        <w:t>Exit</w:t>
      </w:r>
      <w:proofErr w:type="spellEnd"/>
      <w:r>
        <w:rPr>
          <w:highlight w:val="white"/>
        </w:rPr>
        <w:t xml:space="preserve"> Drive-</w:t>
      </w:r>
      <w:proofErr w:type="spellStart"/>
      <w:r>
        <w:rPr>
          <w:highlight w:val="white"/>
        </w:rPr>
        <w:t>thru</w:t>
      </w:r>
      <w:proofErr w:type="spellEnd"/>
      <w:r>
        <w:rPr>
          <w:highlight w:val="white"/>
        </w:rPr>
        <w:t xml:space="preserve">- E11 Abu </w:t>
      </w:r>
      <w:proofErr w:type="spellStart"/>
      <w:r>
        <w:rPr>
          <w:highlight w:val="white"/>
        </w:rPr>
        <w:t>Dhabi</w:t>
      </w:r>
      <w:proofErr w:type="spellEnd"/>
      <w:r>
        <w:rPr>
          <w:highlight w:val="white"/>
        </w:rPr>
        <w:t xml:space="preserve"> </w:t>
      </w:r>
      <w:proofErr w:type="spellStart"/>
      <w:r>
        <w:rPr>
          <w:highlight w:val="white"/>
        </w:rPr>
        <w:t>Bound</w:t>
      </w:r>
      <w:proofErr w:type="spellEnd"/>
      <w:r>
        <w:rPr>
          <w:highlight w:val="white"/>
        </w:rPr>
        <w:t xml:space="preserve">, City </w:t>
      </w:r>
      <w:proofErr w:type="spellStart"/>
      <w:r>
        <w:rPr>
          <w:highlight w:val="white"/>
        </w:rPr>
        <w:t>Walk</w:t>
      </w:r>
      <w:proofErr w:type="spellEnd"/>
      <w:r>
        <w:rPr>
          <w:highlight w:val="white"/>
        </w:rPr>
        <w:t xml:space="preserve">, Al </w:t>
      </w:r>
      <w:proofErr w:type="spellStart"/>
      <w:r>
        <w:rPr>
          <w:highlight w:val="white"/>
        </w:rPr>
        <w:t>Seef</w:t>
      </w:r>
      <w:proofErr w:type="spellEnd"/>
      <w:r>
        <w:rPr>
          <w:highlight w:val="white"/>
        </w:rPr>
        <w:t xml:space="preserve">, Dubai </w:t>
      </w:r>
      <w:proofErr w:type="spellStart"/>
      <w:r>
        <w:rPr>
          <w:highlight w:val="white"/>
        </w:rPr>
        <w:t>Silicon</w:t>
      </w:r>
      <w:proofErr w:type="spellEnd"/>
      <w:r>
        <w:rPr>
          <w:highlight w:val="white"/>
        </w:rPr>
        <w:t xml:space="preserve"> </w:t>
      </w:r>
      <w:proofErr w:type="spellStart"/>
      <w:r>
        <w:rPr>
          <w:highlight w:val="white"/>
        </w:rPr>
        <w:t>Oasis</w:t>
      </w:r>
      <w:proofErr w:type="spellEnd"/>
      <w:r>
        <w:rPr>
          <w:highlight w:val="white"/>
        </w:rPr>
        <w:t xml:space="preserve"> </w:t>
      </w:r>
      <w:proofErr w:type="spellStart"/>
      <w:r>
        <w:rPr>
          <w:highlight w:val="white"/>
        </w:rPr>
        <w:t>Walk</w:t>
      </w:r>
      <w:proofErr w:type="spellEnd"/>
      <w:r>
        <w:rPr>
          <w:highlight w:val="white"/>
        </w:rPr>
        <w:t xml:space="preserve">-in, Palm </w:t>
      </w:r>
      <w:proofErr w:type="spellStart"/>
      <w:r>
        <w:rPr>
          <w:highlight w:val="white"/>
        </w:rPr>
        <w:t>Jumeirah</w:t>
      </w:r>
      <w:proofErr w:type="spellEnd"/>
      <w:r>
        <w:rPr>
          <w:highlight w:val="white"/>
        </w:rPr>
        <w:t xml:space="preserve">, Al </w:t>
      </w:r>
      <w:proofErr w:type="spellStart"/>
      <w:r>
        <w:rPr>
          <w:highlight w:val="white"/>
        </w:rPr>
        <w:t>Muraqqabat</w:t>
      </w:r>
      <w:proofErr w:type="spellEnd"/>
      <w:r>
        <w:rPr>
          <w:highlight w:val="white"/>
        </w:rPr>
        <w:t xml:space="preserve">, Dubai </w:t>
      </w:r>
      <w:proofErr w:type="spellStart"/>
      <w:r>
        <w:rPr>
          <w:highlight w:val="white"/>
        </w:rPr>
        <w:t>Police</w:t>
      </w:r>
      <w:proofErr w:type="spellEnd"/>
      <w:r>
        <w:rPr>
          <w:highlight w:val="white"/>
        </w:rPr>
        <w:t xml:space="preserve"> HQ -Main </w:t>
      </w:r>
      <w:proofErr w:type="spellStart"/>
      <w:r>
        <w:rPr>
          <w:highlight w:val="white"/>
        </w:rPr>
        <w:t>Reception</w:t>
      </w:r>
      <w:proofErr w:type="spellEnd"/>
      <w:r>
        <w:rPr>
          <w:highlight w:val="white"/>
        </w:rPr>
        <w:t xml:space="preserve">, Dubai Design </w:t>
      </w:r>
      <w:proofErr w:type="spellStart"/>
      <w:r>
        <w:rPr>
          <w:highlight w:val="white"/>
        </w:rPr>
        <w:t>District</w:t>
      </w:r>
      <w:proofErr w:type="spellEnd"/>
      <w:r>
        <w:rPr>
          <w:highlight w:val="white"/>
        </w:rPr>
        <w:t xml:space="preserve"> (D3), Dubai </w:t>
      </w:r>
      <w:proofErr w:type="spellStart"/>
      <w:r>
        <w:rPr>
          <w:highlight w:val="white"/>
        </w:rPr>
        <w:t>Airport</w:t>
      </w:r>
      <w:proofErr w:type="spellEnd"/>
      <w:r>
        <w:rPr>
          <w:highlight w:val="white"/>
        </w:rPr>
        <w:t xml:space="preserve"> </w:t>
      </w:r>
      <w:proofErr w:type="spellStart"/>
      <w:r>
        <w:rPr>
          <w:highlight w:val="white"/>
        </w:rPr>
        <w:t>Freezone</w:t>
      </w:r>
      <w:proofErr w:type="spellEnd"/>
      <w:r>
        <w:rPr>
          <w:highlight w:val="white"/>
        </w:rPr>
        <w:t xml:space="preserve"> (DAFZA), Expo City Dubai, </w:t>
      </w:r>
      <w:proofErr w:type="spellStart"/>
      <w:r>
        <w:rPr>
          <w:highlight w:val="white"/>
        </w:rPr>
        <w:t>and</w:t>
      </w:r>
      <w:proofErr w:type="spellEnd"/>
      <w:r>
        <w:rPr>
          <w:highlight w:val="white"/>
        </w:rPr>
        <w:t xml:space="preserve"> </w:t>
      </w:r>
      <w:proofErr w:type="gramStart"/>
      <w:r>
        <w:rPr>
          <w:highlight w:val="white"/>
        </w:rPr>
        <w:t>Hatta</w:t>
      </w:r>
      <w:proofErr w:type="gramEnd"/>
      <w:r>
        <w:rPr>
          <w:highlight w:val="white"/>
        </w:rPr>
        <w:t xml:space="preserve">, Al </w:t>
      </w:r>
      <w:proofErr w:type="spellStart"/>
      <w:r>
        <w:rPr>
          <w:highlight w:val="white"/>
        </w:rPr>
        <w:t>Lesaily</w:t>
      </w:r>
      <w:proofErr w:type="spellEnd"/>
      <w:r>
        <w:rPr>
          <w:highlight w:val="white"/>
        </w:rPr>
        <w:t xml:space="preserve"> </w:t>
      </w:r>
      <w:proofErr w:type="spellStart"/>
      <w:r>
        <w:rPr>
          <w:highlight w:val="white"/>
        </w:rPr>
        <w:t>and</w:t>
      </w:r>
      <w:proofErr w:type="spellEnd"/>
      <w:r>
        <w:rPr>
          <w:highlight w:val="white"/>
        </w:rPr>
        <w:t xml:space="preserve"> Al </w:t>
      </w:r>
      <w:proofErr w:type="spellStart"/>
      <w:r>
        <w:rPr>
          <w:highlight w:val="white"/>
        </w:rPr>
        <w:t>Eyaas</w:t>
      </w:r>
      <w:proofErr w:type="spellEnd"/>
      <w:r>
        <w:rPr>
          <w:highlight w:val="white"/>
        </w:rPr>
        <w:t xml:space="preserve"> </w:t>
      </w:r>
      <w:proofErr w:type="spellStart"/>
      <w:r>
        <w:rPr>
          <w:highlight w:val="white"/>
        </w:rPr>
        <w:t>suburban</w:t>
      </w:r>
      <w:proofErr w:type="spellEnd"/>
      <w:r>
        <w:rPr>
          <w:highlight w:val="white"/>
        </w:rPr>
        <w:t xml:space="preserve"> </w:t>
      </w:r>
      <w:proofErr w:type="spellStart"/>
      <w:r>
        <w:rPr>
          <w:highlight w:val="white"/>
        </w:rPr>
        <w:t>police</w:t>
      </w:r>
      <w:proofErr w:type="spellEnd"/>
      <w:r>
        <w:rPr>
          <w:highlight w:val="white"/>
        </w:rPr>
        <w:t xml:space="preserve"> </w:t>
      </w:r>
      <w:proofErr w:type="spellStart"/>
      <w:r>
        <w:rPr>
          <w:highlight w:val="white"/>
        </w:rPr>
        <w:t>points</w:t>
      </w:r>
      <w:proofErr w:type="spellEnd"/>
      <w:r>
        <w:rPr>
          <w:highlight w:val="white"/>
        </w:rPr>
        <w:t xml:space="preserve"> (</w:t>
      </w:r>
      <w:proofErr w:type="spellStart"/>
      <w:r>
        <w:rPr>
          <w:highlight w:val="white"/>
        </w:rPr>
        <w:t>Udawatte</w:t>
      </w:r>
      <w:proofErr w:type="spellEnd"/>
      <w:r>
        <w:rPr>
          <w:highlight w:val="white"/>
        </w:rPr>
        <w:t xml:space="preserve">, 2023). </w:t>
      </w:r>
      <w:proofErr w:type="spellStart"/>
      <w:r>
        <w:rPr>
          <w:highlight w:val="white"/>
        </w:rPr>
        <w:t>The</w:t>
      </w:r>
      <w:proofErr w:type="spellEnd"/>
      <w:r>
        <w:rPr>
          <w:highlight w:val="white"/>
        </w:rPr>
        <w:t xml:space="preserve"> </w:t>
      </w:r>
      <w:proofErr w:type="spellStart"/>
      <w:r>
        <w:rPr>
          <w:highlight w:val="white"/>
        </w:rPr>
        <w:t>SPSs</w:t>
      </w:r>
      <w:proofErr w:type="spellEnd"/>
      <w:r>
        <w:rPr>
          <w:highlight w:val="white"/>
        </w:rPr>
        <w:t xml:space="preserve">, </w:t>
      </w:r>
      <w:proofErr w:type="spellStart"/>
      <w:r>
        <w:rPr>
          <w:highlight w:val="white"/>
        </w:rPr>
        <w:t>which</w:t>
      </w:r>
      <w:proofErr w:type="spellEnd"/>
      <w:r>
        <w:rPr>
          <w:highlight w:val="white"/>
        </w:rPr>
        <w:t xml:space="preserve"> </w:t>
      </w:r>
      <w:proofErr w:type="spellStart"/>
      <w:r>
        <w:rPr>
          <w:highlight w:val="white"/>
        </w:rPr>
        <w:lastRenderedPageBreak/>
        <w:t>provide</w:t>
      </w:r>
      <w:proofErr w:type="spellEnd"/>
      <w:r>
        <w:rPr>
          <w:highlight w:val="white"/>
        </w:rPr>
        <w:t xml:space="preserve"> service in </w:t>
      </w:r>
      <w:proofErr w:type="spellStart"/>
      <w:r>
        <w:rPr>
          <w:highlight w:val="white"/>
        </w:rPr>
        <w:t>Arabic</w:t>
      </w:r>
      <w:proofErr w:type="spellEnd"/>
      <w:r>
        <w:rPr>
          <w:highlight w:val="white"/>
        </w:rPr>
        <w:t xml:space="preserve">, English, French, Spanish, Russian, </w:t>
      </w:r>
      <w:proofErr w:type="spellStart"/>
      <w:r>
        <w:rPr>
          <w:highlight w:val="white"/>
        </w:rPr>
        <w:t>German</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Chinese</w:t>
      </w:r>
      <w:proofErr w:type="spellEnd"/>
      <w:r>
        <w:rPr>
          <w:highlight w:val="white"/>
        </w:rPr>
        <w:t xml:space="preserve"> </w:t>
      </w:r>
      <w:proofErr w:type="spellStart"/>
      <w:r>
        <w:rPr>
          <w:highlight w:val="white"/>
        </w:rPr>
        <w:t>languages</w:t>
      </w:r>
      <w:proofErr w:type="spellEnd"/>
      <w:r>
        <w:rPr>
          <w:highlight w:val="white"/>
        </w:rPr>
        <w:t xml:space="preserve">, </w:t>
      </w:r>
      <w:proofErr w:type="spellStart"/>
      <w:r>
        <w:rPr>
          <w:highlight w:val="white"/>
        </w:rPr>
        <w:t>perform</w:t>
      </w:r>
      <w:proofErr w:type="spellEnd"/>
      <w:r>
        <w:rPr>
          <w:highlight w:val="white"/>
        </w:rPr>
        <w:t xml:space="preserve"> 46 </w:t>
      </w:r>
      <w:proofErr w:type="spellStart"/>
      <w:r>
        <w:rPr>
          <w:highlight w:val="white"/>
        </w:rPr>
        <w:t>operations</w:t>
      </w:r>
      <w:proofErr w:type="spellEnd"/>
      <w:r>
        <w:rPr>
          <w:highlight w:val="white"/>
        </w:rPr>
        <w:t xml:space="preserve"> </w:t>
      </w:r>
      <w:proofErr w:type="spellStart"/>
      <w:r>
        <w:rPr>
          <w:highlight w:val="white"/>
        </w:rPr>
        <w:t>without</w:t>
      </w:r>
      <w:proofErr w:type="spellEnd"/>
      <w:r>
        <w:rPr>
          <w:highlight w:val="white"/>
        </w:rPr>
        <w:t xml:space="preserve"> </w:t>
      </w:r>
      <w:proofErr w:type="spellStart"/>
      <w:r>
        <w:rPr>
          <w:highlight w:val="white"/>
        </w:rPr>
        <w:t>human</w:t>
      </w:r>
      <w:proofErr w:type="spellEnd"/>
      <w:r>
        <w:rPr>
          <w:highlight w:val="white"/>
        </w:rPr>
        <w:t xml:space="preserve"> </w:t>
      </w:r>
      <w:proofErr w:type="spellStart"/>
      <w:r>
        <w:rPr>
          <w:highlight w:val="white"/>
        </w:rPr>
        <w:t>intervention</w:t>
      </w:r>
      <w:proofErr w:type="spellEnd"/>
      <w:r>
        <w:rPr>
          <w:highlight w:val="white"/>
        </w:rPr>
        <w:t xml:space="preserve"> </w:t>
      </w:r>
      <w:proofErr w:type="spellStart"/>
      <w:r>
        <w:rPr>
          <w:highlight w:val="white"/>
        </w:rPr>
        <w:t>and</w:t>
      </w:r>
      <w:proofErr w:type="spellEnd"/>
      <w:r>
        <w:rPr>
          <w:highlight w:val="white"/>
        </w:rPr>
        <w:t xml:space="preserve"> </w:t>
      </w:r>
      <w:proofErr w:type="spellStart"/>
      <w:r>
        <w:rPr>
          <w:highlight w:val="white"/>
        </w:rPr>
        <w:t>provide</w:t>
      </w:r>
      <w:proofErr w:type="spellEnd"/>
      <w:r>
        <w:rPr>
          <w:highlight w:val="white"/>
        </w:rPr>
        <w:t xml:space="preserve"> service 24/7 (</w:t>
      </w:r>
      <w:proofErr w:type="spellStart"/>
      <w:r>
        <w:rPr>
          <w:highlight w:val="white"/>
        </w:rPr>
        <w:t>Gulfnews</w:t>
      </w:r>
      <w:proofErr w:type="spellEnd"/>
      <w:r>
        <w:rPr>
          <w:highlight w:val="white"/>
        </w:rPr>
        <w:t xml:space="preserve">, 2023; </w:t>
      </w:r>
      <w:proofErr w:type="spellStart"/>
      <w:r w:rsidRPr="004B0605">
        <w:rPr>
          <w:highlight w:val="white"/>
        </w:rPr>
        <w:t>Udawatte</w:t>
      </w:r>
      <w:proofErr w:type="spellEnd"/>
      <w:r w:rsidRPr="004B0605">
        <w:rPr>
          <w:highlight w:val="white"/>
        </w:rPr>
        <w:t>, 2023)</w:t>
      </w:r>
      <w:r>
        <w:rPr>
          <w:highlight w:val="white"/>
        </w:rPr>
        <w:t>.</w:t>
      </w:r>
    </w:p>
    <w:p w14:paraId="03CBC2EB" w14:textId="77777777" w:rsidR="008A2109" w:rsidRDefault="008A2109" w:rsidP="008A2109">
      <w:pPr>
        <w:jc w:val="both"/>
        <w:rPr>
          <w:highlight w:val="white"/>
        </w:rPr>
      </w:pPr>
    </w:p>
    <w:p w14:paraId="5ADD2F20" w14:textId="77777777" w:rsidR="008A2109" w:rsidRDefault="008A2109" w:rsidP="008A2109">
      <w:pPr>
        <w:jc w:val="both"/>
        <w:rPr>
          <w:highlight w:val="white"/>
        </w:rPr>
      </w:pPr>
      <w:proofErr w:type="spellStart"/>
      <w:r>
        <w:rPr>
          <w:highlight w:val="white"/>
        </w:rPr>
        <w:t>There</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only</w:t>
      </w:r>
      <w:proofErr w:type="spellEnd"/>
      <w:r>
        <w:rPr>
          <w:highlight w:val="white"/>
        </w:rPr>
        <w:t xml:space="preserve"> </w:t>
      </w:r>
      <w:proofErr w:type="spellStart"/>
      <w:r>
        <w:rPr>
          <w:highlight w:val="white"/>
        </w:rPr>
        <w:t>three</w:t>
      </w:r>
      <w:proofErr w:type="spellEnd"/>
      <w:r>
        <w:rPr>
          <w:highlight w:val="white"/>
        </w:rPr>
        <w:t xml:space="preserve"> </w:t>
      </w:r>
      <w:proofErr w:type="spellStart"/>
      <w:r>
        <w:rPr>
          <w:highlight w:val="white"/>
        </w:rPr>
        <w:t>steps</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making</w:t>
      </w:r>
      <w:proofErr w:type="spellEnd"/>
      <w:r>
        <w:rPr>
          <w:highlight w:val="white"/>
        </w:rPr>
        <w:t xml:space="preserve"> a </w:t>
      </w:r>
      <w:proofErr w:type="spellStart"/>
      <w:r>
        <w:rPr>
          <w:highlight w:val="white"/>
        </w:rPr>
        <w:t>complaint</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SPSs</w:t>
      </w:r>
      <w:proofErr w:type="spellEnd"/>
      <w:r>
        <w:rPr>
          <w:highlight w:val="white"/>
        </w:rPr>
        <w:t xml:space="preserve">. First, </w:t>
      </w:r>
      <w:proofErr w:type="spellStart"/>
      <w:r>
        <w:rPr>
          <w:highlight w:val="white"/>
        </w:rPr>
        <w:t>personal</w:t>
      </w:r>
      <w:proofErr w:type="spellEnd"/>
      <w:r>
        <w:rPr>
          <w:highlight w:val="white"/>
        </w:rPr>
        <w:t xml:space="preserve"> </w:t>
      </w:r>
      <w:proofErr w:type="spellStart"/>
      <w:r>
        <w:rPr>
          <w:highlight w:val="white"/>
        </w:rPr>
        <w:t>information</w:t>
      </w:r>
      <w:proofErr w:type="spellEnd"/>
      <w:r>
        <w:rPr>
          <w:highlight w:val="white"/>
        </w:rPr>
        <w:t xml:space="preserve"> is </w:t>
      </w:r>
      <w:proofErr w:type="spellStart"/>
      <w:r>
        <w:rPr>
          <w:highlight w:val="white"/>
        </w:rPr>
        <w:t>recorded</w:t>
      </w:r>
      <w:proofErr w:type="spellEnd"/>
      <w:r>
        <w:rPr>
          <w:highlight w:val="white"/>
        </w:rPr>
        <w:t xml:space="preserve"> </w:t>
      </w:r>
      <w:proofErr w:type="spellStart"/>
      <w:r>
        <w:rPr>
          <w:highlight w:val="white"/>
        </w:rPr>
        <w:t>with</w:t>
      </w:r>
      <w:proofErr w:type="spellEnd"/>
      <w:r>
        <w:rPr>
          <w:highlight w:val="white"/>
        </w:rPr>
        <w:t xml:space="preserve"> a UAE ID </w:t>
      </w:r>
      <w:proofErr w:type="spellStart"/>
      <w:r>
        <w:rPr>
          <w:highlight w:val="white"/>
        </w:rPr>
        <w:t>or</w:t>
      </w:r>
      <w:proofErr w:type="spellEnd"/>
      <w:r>
        <w:rPr>
          <w:highlight w:val="white"/>
        </w:rPr>
        <w:t xml:space="preserve"> </w:t>
      </w:r>
      <w:proofErr w:type="spellStart"/>
      <w:r>
        <w:rPr>
          <w:highlight w:val="white"/>
        </w:rPr>
        <w:t>visitor</w:t>
      </w:r>
      <w:proofErr w:type="spellEnd"/>
      <w:r>
        <w:rPr>
          <w:highlight w:val="white"/>
        </w:rPr>
        <w:t xml:space="preserve"> </w:t>
      </w:r>
      <w:proofErr w:type="spellStart"/>
      <w:r>
        <w:rPr>
          <w:highlight w:val="white"/>
        </w:rPr>
        <w:t>passport</w:t>
      </w:r>
      <w:proofErr w:type="spellEnd"/>
      <w:r>
        <w:rPr>
          <w:highlight w:val="white"/>
        </w:rPr>
        <w:t xml:space="preserve">. </w:t>
      </w:r>
      <w:proofErr w:type="spellStart"/>
      <w:r>
        <w:rPr>
          <w:highlight w:val="white"/>
        </w:rPr>
        <w:t>Then</w:t>
      </w:r>
      <w:proofErr w:type="spellEnd"/>
      <w:r>
        <w:rPr>
          <w:highlight w:val="white"/>
        </w:rPr>
        <w:t xml:space="preserve">, a </w:t>
      </w:r>
      <w:proofErr w:type="spellStart"/>
      <w:r>
        <w:rPr>
          <w:highlight w:val="white"/>
        </w:rPr>
        <w:t>text</w:t>
      </w:r>
      <w:proofErr w:type="spellEnd"/>
      <w:r>
        <w:rPr>
          <w:highlight w:val="white"/>
        </w:rPr>
        <w:t xml:space="preserve"> </w:t>
      </w:r>
      <w:proofErr w:type="spellStart"/>
      <w:r>
        <w:rPr>
          <w:highlight w:val="white"/>
        </w:rPr>
        <w:t>message</w:t>
      </w:r>
      <w:proofErr w:type="spellEnd"/>
      <w:r>
        <w:rPr>
          <w:highlight w:val="white"/>
        </w:rPr>
        <w:t xml:space="preserve"> is </w:t>
      </w:r>
      <w:proofErr w:type="spellStart"/>
      <w:r>
        <w:rPr>
          <w:highlight w:val="white"/>
        </w:rPr>
        <w:t>received</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confirm</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contact</w:t>
      </w:r>
      <w:proofErr w:type="spellEnd"/>
      <w:r>
        <w:rPr>
          <w:highlight w:val="white"/>
        </w:rPr>
        <w:t xml:space="preserve"> </w:t>
      </w:r>
      <w:proofErr w:type="spellStart"/>
      <w:r>
        <w:rPr>
          <w:highlight w:val="white"/>
        </w:rPr>
        <w:t>number</w:t>
      </w:r>
      <w:proofErr w:type="spellEnd"/>
      <w:r>
        <w:rPr>
          <w:highlight w:val="white"/>
        </w:rPr>
        <w:t xml:space="preserve"> </w:t>
      </w:r>
      <w:proofErr w:type="spellStart"/>
      <w:r>
        <w:rPr>
          <w:highlight w:val="white"/>
        </w:rPr>
        <w:t>and</w:t>
      </w:r>
      <w:proofErr w:type="spellEnd"/>
      <w:r>
        <w:rPr>
          <w:highlight w:val="white"/>
        </w:rPr>
        <w:t xml:space="preserve"> in </w:t>
      </w:r>
      <w:proofErr w:type="spellStart"/>
      <w:r>
        <w:rPr>
          <w:highlight w:val="white"/>
        </w:rPr>
        <w:t>the</w:t>
      </w:r>
      <w:proofErr w:type="spellEnd"/>
      <w:r>
        <w:rPr>
          <w:highlight w:val="white"/>
        </w:rPr>
        <w:t xml:space="preserve"> final </w:t>
      </w:r>
      <w:proofErr w:type="spellStart"/>
      <w:r>
        <w:rPr>
          <w:highlight w:val="white"/>
        </w:rPr>
        <w:t>stage</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complaint</w:t>
      </w:r>
      <w:proofErr w:type="spellEnd"/>
      <w:r>
        <w:rPr>
          <w:highlight w:val="white"/>
        </w:rPr>
        <w:t xml:space="preserve"> </w:t>
      </w:r>
      <w:proofErr w:type="spellStart"/>
      <w:r>
        <w:rPr>
          <w:highlight w:val="white"/>
        </w:rPr>
        <w:t>details</w:t>
      </w:r>
      <w:proofErr w:type="spellEnd"/>
      <w:r>
        <w:rPr>
          <w:highlight w:val="white"/>
        </w:rPr>
        <w:t xml:space="preserve"> </w:t>
      </w:r>
      <w:proofErr w:type="spellStart"/>
      <w:r>
        <w:rPr>
          <w:highlight w:val="white"/>
        </w:rPr>
        <w:t>are</w:t>
      </w:r>
      <w:proofErr w:type="spellEnd"/>
      <w:r>
        <w:rPr>
          <w:highlight w:val="white"/>
        </w:rPr>
        <w:t xml:space="preserve"> </w:t>
      </w:r>
      <w:proofErr w:type="spellStart"/>
      <w:r>
        <w:rPr>
          <w:highlight w:val="white"/>
        </w:rPr>
        <w:t>recorded</w:t>
      </w:r>
      <w:proofErr w:type="spellEnd"/>
      <w:r>
        <w:rPr>
          <w:highlight w:val="white"/>
        </w:rPr>
        <w:t xml:space="preserve"> </w:t>
      </w:r>
      <w:proofErr w:type="spellStart"/>
      <w:r>
        <w:rPr>
          <w:highlight w:val="white"/>
        </w:rPr>
        <w:t>by</w:t>
      </w:r>
      <w:proofErr w:type="spellEnd"/>
      <w:r>
        <w:rPr>
          <w:highlight w:val="white"/>
        </w:rPr>
        <w:t xml:space="preserve"> a </w:t>
      </w:r>
      <w:proofErr w:type="spellStart"/>
      <w:r>
        <w:rPr>
          <w:highlight w:val="white"/>
        </w:rPr>
        <w:t>Police</w:t>
      </w:r>
      <w:proofErr w:type="spellEnd"/>
      <w:r>
        <w:rPr>
          <w:highlight w:val="white"/>
        </w:rPr>
        <w:t xml:space="preserve"> </w:t>
      </w:r>
      <w:proofErr w:type="spellStart"/>
      <w:r>
        <w:rPr>
          <w:highlight w:val="white"/>
        </w:rPr>
        <w:t>Officer</w:t>
      </w:r>
      <w:proofErr w:type="spellEnd"/>
      <w:r>
        <w:rPr>
          <w:highlight w:val="white"/>
        </w:rPr>
        <w:t xml:space="preserve"> </w:t>
      </w:r>
      <w:proofErr w:type="spellStart"/>
      <w:r>
        <w:rPr>
          <w:highlight w:val="white"/>
        </w:rPr>
        <w:t>who</w:t>
      </w:r>
      <w:proofErr w:type="spellEnd"/>
      <w:r>
        <w:rPr>
          <w:highlight w:val="white"/>
        </w:rPr>
        <w:t xml:space="preserve"> </w:t>
      </w:r>
      <w:proofErr w:type="spellStart"/>
      <w:r>
        <w:rPr>
          <w:highlight w:val="white"/>
        </w:rPr>
        <w:t>connects</w:t>
      </w:r>
      <w:proofErr w:type="spellEnd"/>
      <w:r>
        <w:rPr>
          <w:highlight w:val="white"/>
        </w:rPr>
        <w:t xml:space="preserve"> </w:t>
      </w:r>
      <w:proofErr w:type="spellStart"/>
      <w:r>
        <w:rPr>
          <w:highlight w:val="white"/>
        </w:rPr>
        <w:t>via</w:t>
      </w:r>
      <w:proofErr w:type="spellEnd"/>
      <w:r>
        <w:rPr>
          <w:highlight w:val="white"/>
        </w:rPr>
        <w:t xml:space="preserve"> video. </w:t>
      </w:r>
      <w:proofErr w:type="spellStart"/>
      <w:r>
        <w:rPr>
          <w:highlight w:val="white"/>
        </w:rPr>
        <w:t>After</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statement</w:t>
      </w:r>
      <w:proofErr w:type="spellEnd"/>
      <w:r>
        <w:rPr>
          <w:highlight w:val="white"/>
        </w:rPr>
        <w:t xml:space="preserve"> is </w:t>
      </w:r>
      <w:proofErr w:type="spellStart"/>
      <w:r>
        <w:rPr>
          <w:highlight w:val="white"/>
        </w:rPr>
        <w:t>recorded</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victim</w:t>
      </w:r>
      <w:proofErr w:type="spellEnd"/>
      <w:r>
        <w:rPr>
          <w:highlight w:val="white"/>
        </w:rPr>
        <w:t>/</w:t>
      </w:r>
      <w:proofErr w:type="spellStart"/>
      <w:r>
        <w:rPr>
          <w:highlight w:val="white"/>
        </w:rPr>
        <w:t>complainant</w:t>
      </w:r>
      <w:proofErr w:type="spellEnd"/>
      <w:r>
        <w:rPr>
          <w:highlight w:val="white"/>
        </w:rPr>
        <w:t xml:space="preserve"> can </w:t>
      </w:r>
      <w:proofErr w:type="spellStart"/>
      <w:r>
        <w:rPr>
          <w:highlight w:val="white"/>
        </w:rPr>
        <w:t>sign</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screen</w:t>
      </w:r>
      <w:proofErr w:type="spellEnd"/>
      <w:r>
        <w:rPr>
          <w:highlight w:val="white"/>
        </w:rPr>
        <w:t xml:space="preserve"> </w:t>
      </w:r>
      <w:proofErr w:type="spellStart"/>
      <w:r>
        <w:rPr>
          <w:highlight w:val="white"/>
        </w:rPr>
        <w:t>to</w:t>
      </w:r>
      <w:proofErr w:type="spellEnd"/>
      <w:r>
        <w:rPr>
          <w:highlight w:val="white"/>
        </w:rPr>
        <w:t xml:space="preserve"> finalize </w:t>
      </w:r>
      <w:proofErr w:type="spellStart"/>
      <w:r>
        <w:rPr>
          <w:highlight w:val="white"/>
        </w:rPr>
        <w:t>the</w:t>
      </w:r>
      <w:proofErr w:type="spellEnd"/>
      <w:r>
        <w:rPr>
          <w:highlight w:val="white"/>
        </w:rPr>
        <w:t xml:space="preserve"> </w:t>
      </w:r>
      <w:proofErr w:type="spellStart"/>
      <w:r>
        <w:rPr>
          <w:highlight w:val="white"/>
        </w:rPr>
        <w:t>report</w:t>
      </w:r>
      <w:proofErr w:type="spellEnd"/>
      <w:r>
        <w:rPr>
          <w:highlight w:val="white"/>
        </w:rPr>
        <w:t xml:space="preserve">. </w:t>
      </w:r>
      <w:proofErr w:type="spellStart"/>
      <w:r>
        <w:rPr>
          <w:highlight w:val="white"/>
        </w:rPr>
        <w:t>Once</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process</w:t>
      </w:r>
      <w:proofErr w:type="spellEnd"/>
      <w:r>
        <w:rPr>
          <w:highlight w:val="white"/>
        </w:rPr>
        <w:t xml:space="preserve"> is </w:t>
      </w:r>
      <w:proofErr w:type="spellStart"/>
      <w:r>
        <w:rPr>
          <w:highlight w:val="white"/>
        </w:rPr>
        <w:t>complete</w:t>
      </w:r>
      <w:proofErr w:type="spellEnd"/>
      <w:r>
        <w:rPr>
          <w:highlight w:val="white"/>
        </w:rPr>
        <w:t xml:space="preserve">, a reference </w:t>
      </w:r>
      <w:proofErr w:type="spellStart"/>
      <w:r>
        <w:rPr>
          <w:highlight w:val="white"/>
        </w:rPr>
        <w:t>number</w:t>
      </w:r>
      <w:proofErr w:type="spellEnd"/>
      <w:r>
        <w:rPr>
          <w:highlight w:val="white"/>
        </w:rPr>
        <w:t xml:space="preserve"> is </w:t>
      </w:r>
      <w:proofErr w:type="spellStart"/>
      <w:r>
        <w:rPr>
          <w:highlight w:val="white"/>
        </w:rPr>
        <w:t>given</w:t>
      </w:r>
      <w:proofErr w:type="spellEnd"/>
      <w:r>
        <w:rPr>
          <w:highlight w:val="white"/>
        </w:rPr>
        <w:t xml:space="preserve"> </w:t>
      </w:r>
      <w:proofErr w:type="spellStart"/>
      <w:r>
        <w:rPr>
          <w:highlight w:val="white"/>
        </w:rPr>
        <w:t>to</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case</w:t>
      </w:r>
      <w:proofErr w:type="spellEnd"/>
      <w:r>
        <w:rPr>
          <w:highlight w:val="white"/>
        </w:rPr>
        <w:t xml:space="preserve"> </w:t>
      </w:r>
      <w:proofErr w:type="spellStart"/>
      <w:r>
        <w:rPr>
          <w:highlight w:val="white"/>
        </w:rPr>
        <w:t>for</w:t>
      </w:r>
      <w:proofErr w:type="spellEnd"/>
      <w:r>
        <w:rPr>
          <w:highlight w:val="white"/>
        </w:rPr>
        <w:t xml:space="preserve"> </w:t>
      </w:r>
      <w:proofErr w:type="spellStart"/>
      <w:r>
        <w:rPr>
          <w:highlight w:val="white"/>
        </w:rPr>
        <w:t>tracking</w:t>
      </w:r>
      <w:proofErr w:type="spellEnd"/>
      <w:r>
        <w:rPr>
          <w:highlight w:val="white"/>
        </w:rPr>
        <w:t xml:space="preserve"> </w:t>
      </w:r>
      <w:proofErr w:type="spellStart"/>
      <w:r>
        <w:rPr>
          <w:highlight w:val="white"/>
        </w:rPr>
        <w:t>the</w:t>
      </w:r>
      <w:proofErr w:type="spellEnd"/>
      <w:r>
        <w:rPr>
          <w:highlight w:val="white"/>
        </w:rPr>
        <w:t xml:space="preserve"> </w:t>
      </w:r>
      <w:proofErr w:type="spellStart"/>
      <w:r>
        <w:rPr>
          <w:highlight w:val="white"/>
        </w:rPr>
        <w:t>process</w:t>
      </w:r>
      <w:proofErr w:type="spellEnd"/>
      <w:r>
        <w:rPr>
          <w:highlight w:val="white"/>
        </w:rPr>
        <w:t xml:space="preserve"> (</w:t>
      </w:r>
      <w:proofErr w:type="spellStart"/>
      <w:r w:rsidRPr="004B0605">
        <w:rPr>
          <w:highlight w:val="white"/>
        </w:rPr>
        <w:t>Udawatte</w:t>
      </w:r>
      <w:proofErr w:type="spellEnd"/>
      <w:r w:rsidRPr="004B0605">
        <w:rPr>
          <w:highlight w:val="white"/>
        </w:rPr>
        <w:t>, 2023)</w:t>
      </w:r>
      <w:r>
        <w:rPr>
          <w:highlight w:val="white"/>
        </w:rPr>
        <w:t xml:space="preserve">. </w:t>
      </w:r>
    </w:p>
    <w:p w14:paraId="3D648314" w14:textId="77777777" w:rsidR="008A2109" w:rsidRDefault="008A2109" w:rsidP="008A2109">
      <w:pPr>
        <w:jc w:val="both"/>
        <w:rPr>
          <w:highlight w:val="white"/>
        </w:rPr>
      </w:pPr>
    </w:p>
    <w:p w14:paraId="7265B790" w14:textId="77777777" w:rsidR="008A2109" w:rsidRDefault="008A2109" w:rsidP="008A2109">
      <w:pPr>
        <w:adjustRightInd w:val="0"/>
        <w:jc w:val="both"/>
      </w:pPr>
      <w:r>
        <w:t xml:space="preserve">Dubai </w:t>
      </w:r>
      <w:proofErr w:type="spellStart"/>
      <w:r>
        <w:t>plans</w:t>
      </w:r>
      <w:proofErr w:type="spellEnd"/>
      <w:r>
        <w:t xml:space="preserve"> </w:t>
      </w:r>
      <w:proofErr w:type="spellStart"/>
      <w:r>
        <w:t>to</w:t>
      </w:r>
      <w:proofErr w:type="spellEnd"/>
      <w:r>
        <w:t xml:space="preserve"> </w:t>
      </w:r>
      <w:proofErr w:type="spellStart"/>
      <w:r>
        <w:t>expand</w:t>
      </w:r>
      <w:proofErr w:type="spellEnd"/>
      <w:r>
        <w:t xml:space="preserve"> SPS </w:t>
      </w:r>
      <w:proofErr w:type="spellStart"/>
      <w:r>
        <w:t>project</w:t>
      </w:r>
      <w:proofErr w:type="spellEnd"/>
      <w:r>
        <w:t xml:space="preserve"> </w:t>
      </w:r>
      <w:proofErr w:type="spellStart"/>
      <w:r>
        <w:t>into</w:t>
      </w:r>
      <w:proofErr w:type="spellEnd"/>
      <w:r>
        <w:t xml:space="preserve"> </w:t>
      </w:r>
      <w:proofErr w:type="spellStart"/>
      <w:r>
        <w:t>maritime</w:t>
      </w:r>
      <w:proofErr w:type="spellEnd"/>
      <w:r>
        <w:t xml:space="preserve"> </w:t>
      </w:r>
      <w:proofErr w:type="spellStart"/>
      <w:r>
        <w:t>security</w:t>
      </w:r>
      <w:proofErr w:type="spellEnd"/>
      <w:r>
        <w:t xml:space="preserve">. </w:t>
      </w:r>
      <w:proofErr w:type="spellStart"/>
      <w:r>
        <w:t>The</w:t>
      </w:r>
      <w:proofErr w:type="spellEnd"/>
      <w:r>
        <w:t xml:space="preserve"> </w:t>
      </w:r>
      <w:proofErr w:type="spellStart"/>
      <w:r>
        <w:t>first</w:t>
      </w:r>
      <w:proofErr w:type="spellEnd"/>
      <w:r>
        <w:t xml:space="preserve"> </w:t>
      </w:r>
      <w:proofErr w:type="spellStart"/>
      <w:r>
        <w:t>floating</w:t>
      </w:r>
      <w:proofErr w:type="spellEnd"/>
      <w:r>
        <w:t xml:space="preserve"> SPS in </w:t>
      </w:r>
      <w:proofErr w:type="spellStart"/>
      <w:r>
        <w:t>the</w:t>
      </w:r>
      <w:proofErr w:type="spellEnd"/>
      <w:r>
        <w:t xml:space="preserve"> </w:t>
      </w:r>
      <w:proofErr w:type="spellStart"/>
      <w:r>
        <w:t>Middle</w:t>
      </w:r>
      <w:proofErr w:type="spellEnd"/>
      <w:r>
        <w:t xml:space="preserve"> East </w:t>
      </w:r>
      <w:proofErr w:type="spellStart"/>
      <w:r>
        <w:t>will</w:t>
      </w:r>
      <w:proofErr w:type="spellEnd"/>
      <w:r>
        <w:t xml:space="preserve"> be </w:t>
      </w:r>
      <w:proofErr w:type="spellStart"/>
      <w:r>
        <w:t>opened</w:t>
      </w:r>
      <w:proofErr w:type="spellEnd"/>
      <w:r>
        <w:t xml:space="preserve"> </w:t>
      </w:r>
      <w:proofErr w:type="spellStart"/>
      <w:r>
        <w:t>by</w:t>
      </w:r>
      <w:proofErr w:type="spellEnd"/>
      <w:r>
        <w:t xml:space="preserve"> Dubai </w:t>
      </w:r>
      <w:proofErr w:type="spellStart"/>
      <w:r>
        <w:t>Police</w:t>
      </w:r>
      <w:proofErr w:type="spellEnd"/>
      <w:r>
        <w:t xml:space="preserve"> </w:t>
      </w:r>
      <w:proofErr w:type="spellStart"/>
      <w:r>
        <w:t>by</w:t>
      </w:r>
      <w:proofErr w:type="spellEnd"/>
      <w:r>
        <w:t xml:space="preserve"> 2026, </w:t>
      </w:r>
      <w:proofErr w:type="spellStart"/>
      <w:r>
        <w:t>transforming</w:t>
      </w:r>
      <w:proofErr w:type="spellEnd"/>
      <w:r>
        <w:t xml:space="preserve"> </w:t>
      </w:r>
      <w:proofErr w:type="spellStart"/>
      <w:r>
        <w:t>maritime</w:t>
      </w:r>
      <w:proofErr w:type="spellEnd"/>
      <w:r>
        <w:t xml:space="preserve"> </w:t>
      </w:r>
      <w:proofErr w:type="spellStart"/>
      <w:r>
        <w:t>security</w:t>
      </w:r>
      <w:proofErr w:type="spellEnd"/>
      <w:r>
        <w:t xml:space="preserve"> </w:t>
      </w:r>
      <w:proofErr w:type="spellStart"/>
      <w:r>
        <w:t>with</w:t>
      </w:r>
      <w:proofErr w:type="spellEnd"/>
      <w:r>
        <w:t xml:space="preserve"> </w:t>
      </w:r>
      <w:proofErr w:type="spellStart"/>
      <w:r>
        <w:t>round-the-clock</w:t>
      </w:r>
      <w:proofErr w:type="spellEnd"/>
      <w:r>
        <w:t xml:space="preserve"> </w:t>
      </w:r>
      <w:proofErr w:type="spellStart"/>
      <w:r>
        <w:t>automated</w:t>
      </w:r>
      <w:proofErr w:type="spellEnd"/>
      <w:r>
        <w:t xml:space="preserve"> </w:t>
      </w:r>
      <w:proofErr w:type="spellStart"/>
      <w:r>
        <w:t>services</w:t>
      </w:r>
      <w:proofErr w:type="spellEnd"/>
      <w:r>
        <w:t xml:space="preserve"> (Benito, 2024).</w:t>
      </w:r>
    </w:p>
    <w:p w14:paraId="6C35354F" w14:textId="77777777" w:rsidR="008A2109" w:rsidRDefault="008A2109" w:rsidP="008A2109">
      <w:pPr>
        <w:adjustRightInd w:val="0"/>
        <w:jc w:val="both"/>
      </w:pPr>
    </w:p>
    <w:p w14:paraId="43400074" w14:textId="77777777" w:rsidR="008A2109" w:rsidRDefault="008A2109" w:rsidP="008A2109">
      <w:pPr>
        <w:adjustRightInd w:val="0"/>
        <w:jc w:val="both"/>
      </w:pPr>
      <w:proofErr w:type="spellStart"/>
      <w:r w:rsidRPr="0095428F">
        <w:t>This</w:t>
      </w:r>
      <w:proofErr w:type="spellEnd"/>
      <w:r w:rsidRPr="0095428F">
        <w:t xml:space="preserve"> </w:t>
      </w:r>
      <w:proofErr w:type="spellStart"/>
      <w:r w:rsidRPr="0095428F">
        <w:t>application</w:t>
      </w:r>
      <w:r>
        <w:t>s</w:t>
      </w:r>
      <w:proofErr w:type="spellEnd"/>
      <w:r w:rsidRPr="0095428F">
        <w:t xml:space="preserve"> of Dubai </w:t>
      </w:r>
      <w:proofErr w:type="spellStart"/>
      <w:r w:rsidRPr="0095428F">
        <w:t>have</w:t>
      </w:r>
      <w:proofErr w:type="spellEnd"/>
      <w:r w:rsidRPr="0095428F">
        <w:t xml:space="preserve"> </w:t>
      </w:r>
      <w:proofErr w:type="spellStart"/>
      <w:r w:rsidRPr="0095428F">
        <w:t>ma</w:t>
      </w:r>
      <w:r>
        <w:t>de</w:t>
      </w:r>
      <w:proofErr w:type="spellEnd"/>
      <w:r>
        <w:t xml:space="preserve"> a </w:t>
      </w:r>
      <w:proofErr w:type="spellStart"/>
      <w:r>
        <w:t>splash</w:t>
      </w:r>
      <w:proofErr w:type="spellEnd"/>
      <w:r>
        <w:t xml:space="preserve"> </w:t>
      </w:r>
      <w:proofErr w:type="spellStart"/>
      <w:r>
        <w:t>all</w:t>
      </w:r>
      <w:proofErr w:type="spellEnd"/>
      <w:r>
        <w:t xml:space="preserve"> </w:t>
      </w:r>
      <w:proofErr w:type="spellStart"/>
      <w:r>
        <w:t>over</w:t>
      </w:r>
      <w:proofErr w:type="spellEnd"/>
      <w:r>
        <w:t xml:space="preserve"> </w:t>
      </w:r>
      <w:proofErr w:type="spellStart"/>
      <w:r>
        <w:t>the</w:t>
      </w:r>
      <w:proofErr w:type="spellEnd"/>
      <w:r>
        <w:t xml:space="preserve"> </w:t>
      </w:r>
      <w:proofErr w:type="spellStart"/>
      <w:r>
        <w:t>world</w:t>
      </w:r>
      <w:proofErr w:type="spellEnd"/>
      <w:r>
        <w:t xml:space="preserve">. </w:t>
      </w:r>
      <w:proofErr w:type="spellStart"/>
      <w:r w:rsidRPr="0095428F">
        <w:t>Indeed</w:t>
      </w:r>
      <w:proofErr w:type="spellEnd"/>
      <w:r w:rsidRPr="0095428F">
        <w:t>,</w:t>
      </w:r>
      <w:r>
        <w:t xml:space="preserve"> </w:t>
      </w:r>
      <w:proofErr w:type="spellStart"/>
      <w:r>
        <w:t>t</w:t>
      </w:r>
      <w:r w:rsidRPr="0095428F">
        <w:t>he</w:t>
      </w:r>
      <w:proofErr w:type="spellEnd"/>
      <w:r w:rsidRPr="0095428F">
        <w:t xml:space="preserve"> </w:t>
      </w:r>
      <w:proofErr w:type="spellStart"/>
      <w:r w:rsidRPr="0095428F">
        <w:t>first</w:t>
      </w:r>
      <w:proofErr w:type="spellEnd"/>
      <w:r w:rsidRPr="0095428F">
        <w:t xml:space="preserve"> </w:t>
      </w:r>
      <w:proofErr w:type="spellStart"/>
      <w:r w:rsidRPr="0095428F">
        <w:t>smart</w:t>
      </w:r>
      <w:proofErr w:type="spellEnd"/>
      <w:r w:rsidRPr="0095428F">
        <w:t xml:space="preserve"> </w:t>
      </w:r>
      <w:proofErr w:type="spellStart"/>
      <w:r w:rsidRPr="0095428F">
        <w:t>police</w:t>
      </w:r>
      <w:proofErr w:type="spellEnd"/>
      <w:r w:rsidRPr="0095428F">
        <w:t xml:space="preserve"> </w:t>
      </w:r>
      <w:proofErr w:type="spellStart"/>
      <w:r w:rsidRPr="0095428F">
        <w:t>st</w:t>
      </w:r>
      <w:r>
        <w:t>ation</w:t>
      </w:r>
      <w:proofErr w:type="spellEnd"/>
      <w:r>
        <w:t xml:space="preserve"> has </w:t>
      </w:r>
      <w:proofErr w:type="spellStart"/>
      <w:r>
        <w:t>been</w:t>
      </w:r>
      <w:proofErr w:type="spellEnd"/>
      <w:r>
        <w:t xml:space="preserve"> </w:t>
      </w:r>
      <w:proofErr w:type="spellStart"/>
      <w:r>
        <w:t>established</w:t>
      </w:r>
      <w:proofErr w:type="spellEnd"/>
      <w:r>
        <w:t xml:space="preserve"> in </w:t>
      </w:r>
      <w:proofErr w:type="spellStart"/>
      <w:r>
        <w:t>U</w:t>
      </w:r>
      <w:r w:rsidRPr="0095428F">
        <w:t>trech</w:t>
      </w:r>
      <w:proofErr w:type="spellEnd"/>
      <w:r w:rsidRPr="0095428F">
        <w:t xml:space="preserve">, </w:t>
      </w:r>
      <w:proofErr w:type="spellStart"/>
      <w:r w:rsidRPr="0095428F">
        <w:t>the</w:t>
      </w:r>
      <w:proofErr w:type="spellEnd"/>
      <w:r w:rsidRPr="0095428F">
        <w:t xml:space="preserve"> </w:t>
      </w:r>
      <w:proofErr w:type="spellStart"/>
      <w:r w:rsidRPr="0095428F">
        <w:t>Netherlands</w:t>
      </w:r>
      <w:proofErr w:type="spellEnd"/>
      <w:r w:rsidRPr="0095428F">
        <w:t xml:space="preserve">, </w:t>
      </w:r>
      <w:proofErr w:type="spellStart"/>
      <w:r w:rsidRPr="0095428F">
        <w:t>following</w:t>
      </w:r>
      <w:proofErr w:type="spellEnd"/>
      <w:r w:rsidRPr="0095428F">
        <w:t xml:space="preserve"> </w:t>
      </w:r>
      <w:proofErr w:type="spellStart"/>
      <w:r w:rsidRPr="0095428F">
        <w:t>talks</w:t>
      </w:r>
      <w:proofErr w:type="spellEnd"/>
      <w:r w:rsidRPr="0095428F">
        <w:t xml:space="preserve"> </w:t>
      </w:r>
      <w:proofErr w:type="spellStart"/>
      <w:r w:rsidRPr="0095428F">
        <w:t>between</w:t>
      </w:r>
      <w:proofErr w:type="spellEnd"/>
      <w:r w:rsidRPr="0095428F">
        <w:t xml:space="preserve"> Dubai </w:t>
      </w:r>
      <w:proofErr w:type="spellStart"/>
      <w:r w:rsidRPr="0095428F">
        <w:t>and</w:t>
      </w:r>
      <w:proofErr w:type="spellEnd"/>
      <w:r w:rsidRPr="0095428F">
        <w:t xml:space="preserve"> </w:t>
      </w:r>
      <w:proofErr w:type="spellStart"/>
      <w:r w:rsidRPr="0095428F">
        <w:t>the</w:t>
      </w:r>
      <w:proofErr w:type="spellEnd"/>
      <w:r w:rsidRPr="0095428F">
        <w:t xml:space="preserve"> </w:t>
      </w:r>
      <w:proofErr w:type="spellStart"/>
      <w:r w:rsidRPr="0095428F">
        <w:t>Netherlands</w:t>
      </w:r>
      <w:proofErr w:type="spellEnd"/>
      <w:r w:rsidRPr="0095428F">
        <w:t xml:space="preserve"> </w:t>
      </w:r>
      <w:proofErr w:type="spellStart"/>
      <w:r w:rsidRPr="0095428F">
        <w:t>to</w:t>
      </w:r>
      <w:proofErr w:type="spellEnd"/>
      <w:r w:rsidRPr="0095428F">
        <w:t xml:space="preserve"> </w:t>
      </w:r>
      <w:proofErr w:type="spellStart"/>
      <w:r w:rsidRPr="0095428F">
        <w:t>increase</w:t>
      </w:r>
      <w:proofErr w:type="spellEnd"/>
      <w:r w:rsidRPr="0095428F">
        <w:t xml:space="preserve"> </w:t>
      </w:r>
      <w:proofErr w:type="spellStart"/>
      <w:r w:rsidRPr="0095428F">
        <w:t>cooperation</w:t>
      </w:r>
      <w:proofErr w:type="spellEnd"/>
      <w:r w:rsidRPr="0095428F">
        <w:t xml:space="preserve"> </w:t>
      </w:r>
      <w:proofErr w:type="spellStart"/>
      <w:r w:rsidRPr="0095428F">
        <w:t>and</w:t>
      </w:r>
      <w:proofErr w:type="spellEnd"/>
      <w:r w:rsidRPr="0095428F">
        <w:t xml:space="preserve"> </w:t>
      </w:r>
      <w:proofErr w:type="spellStart"/>
      <w:r w:rsidRPr="0095428F">
        <w:t>integration</w:t>
      </w:r>
      <w:proofErr w:type="spellEnd"/>
      <w:r w:rsidRPr="0095428F">
        <w:t xml:space="preserve"> in </w:t>
      </w:r>
      <w:proofErr w:type="spellStart"/>
      <w:r w:rsidRPr="0095428F">
        <w:t>policing</w:t>
      </w:r>
      <w:proofErr w:type="spellEnd"/>
      <w:r w:rsidRPr="0095428F">
        <w:t xml:space="preserve"> </w:t>
      </w:r>
      <w:proofErr w:type="spellStart"/>
      <w:r w:rsidRPr="0095428F">
        <w:t>and</w:t>
      </w:r>
      <w:proofErr w:type="spellEnd"/>
      <w:r w:rsidRPr="0095428F">
        <w:t xml:space="preserve"> </w:t>
      </w:r>
      <w:proofErr w:type="spellStart"/>
      <w:r w:rsidRPr="0095428F">
        <w:t>security</w:t>
      </w:r>
      <w:proofErr w:type="spellEnd"/>
      <w:r w:rsidRPr="0095428F">
        <w:t xml:space="preserve">, </w:t>
      </w:r>
      <w:proofErr w:type="spellStart"/>
      <w:r w:rsidRPr="0095428F">
        <w:t>and</w:t>
      </w:r>
      <w:proofErr w:type="spellEnd"/>
      <w:r w:rsidRPr="0095428F">
        <w:t xml:space="preserve"> </w:t>
      </w:r>
      <w:proofErr w:type="spellStart"/>
      <w:r w:rsidRPr="0095428F">
        <w:t>to</w:t>
      </w:r>
      <w:proofErr w:type="spellEnd"/>
      <w:r w:rsidRPr="0095428F">
        <w:t xml:space="preserve"> </w:t>
      </w:r>
      <w:proofErr w:type="spellStart"/>
      <w:r w:rsidRPr="0095428F">
        <w:t>share</w:t>
      </w:r>
      <w:proofErr w:type="spellEnd"/>
      <w:r w:rsidRPr="0095428F">
        <w:t xml:space="preserve"> </w:t>
      </w:r>
      <w:proofErr w:type="spellStart"/>
      <w:r w:rsidRPr="0095428F">
        <w:t>expertise</w:t>
      </w:r>
      <w:proofErr w:type="spellEnd"/>
      <w:r w:rsidRPr="0095428F">
        <w:t xml:space="preserve"> </w:t>
      </w:r>
      <w:proofErr w:type="spellStart"/>
      <w:r w:rsidRPr="0095428F">
        <w:t>and</w:t>
      </w:r>
      <w:proofErr w:type="spellEnd"/>
      <w:r w:rsidRPr="0095428F">
        <w:t xml:space="preserve"> </w:t>
      </w:r>
      <w:proofErr w:type="spellStart"/>
      <w:r w:rsidRPr="0095428F">
        <w:t>best</w:t>
      </w:r>
      <w:proofErr w:type="spellEnd"/>
      <w:r w:rsidRPr="0095428F">
        <w:t xml:space="preserve"> </w:t>
      </w:r>
      <w:proofErr w:type="spellStart"/>
      <w:r w:rsidRPr="0095428F">
        <w:t>practices</w:t>
      </w:r>
      <w:proofErr w:type="spellEnd"/>
      <w:r w:rsidRPr="0095428F">
        <w:t xml:space="preserve"> i</w:t>
      </w:r>
      <w:r>
        <w:t xml:space="preserve">n </w:t>
      </w:r>
      <w:proofErr w:type="spellStart"/>
      <w:r>
        <w:t>crime</w:t>
      </w:r>
      <w:proofErr w:type="spellEnd"/>
      <w:r>
        <w:t xml:space="preserve"> </w:t>
      </w:r>
      <w:proofErr w:type="spellStart"/>
      <w:r>
        <w:t>prevention</w:t>
      </w:r>
      <w:proofErr w:type="spellEnd"/>
      <w:r>
        <w:t xml:space="preserve"> </w:t>
      </w:r>
      <w:proofErr w:type="spellStart"/>
      <w:r>
        <w:t>and</w:t>
      </w:r>
      <w:proofErr w:type="spellEnd"/>
      <w:r>
        <w:t xml:space="preserve"> </w:t>
      </w:r>
      <w:proofErr w:type="spellStart"/>
      <w:r>
        <w:t>policing</w:t>
      </w:r>
      <w:proofErr w:type="spellEnd"/>
      <w:r>
        <w:t xml:space="preserve"> (</w:t>
      </w:r>
      <w:proofErr w:type="spellStart"/>
      <w:r>
        <w:t>Payne</w:t>
      </w:r>
      <w:proofErr w:type="spellEnd"/>
      <w:r>
        <w:t>, 2024).</w:t>
      </w:r>
    </w:p>
    <w:p w14:paraId="6C4E05BF" w14:textId="77777777" w:rsidR="008A2109" w:rsidRDefault="008A2109" w:rsidP="008A2109">
      <w:pPr>
        <w:adjustRightInd w:val="0"/>
        <w:jc w:val="both"/>
      </w:pPr>
    </w:p>
    <w:p w14:paraId="095E46A0" w14:textId="77777777" w:rsidR="008A2109" w:rsidRDefault="008A2109" w:rsidP="008A2109">
      <w:pPr>
        <w:adjustRightInd w:val="0"/>
        <w:jc w:val="both"/>
        <w:rPr>
          <w:b/>
          <w:bCs/>
        </w:rPr>
      </w:pPr>
      <w:proofErr w:type="spellStart"/>
      <w:r w:rsidRPr="00B01E79">
        <w:rPr>
          <w:b/>
          <w:bCs/>
        </w:rPr>
        <w:t>Conclusion</w:t>
      </w:r>
      <w:proofErr w:type="spellEnd"/>
    </w:p>
    <w:p w14:paraId="00C80B7F" w14:textId="77777777" w:rsidR="008A2109" w:rsidRDefault="008A2109" w:rsidP="008A2109">
      <w:pPr>
        <w:adjustRightInd w:val="0"/>
        <w:jc w:val="both"/>
      </w:pPr>
      <w:proofErr w:type="spellStart"/>
      <w:r w:rsidRPr="00F9694A">
        <w:t>This</w:t>
      </w:r>
      <w:proofErr w:type="spellEnd"/>
      <w:r w:rsidRPr="00F9694A">
        <w:t xml:space="preserve"> </w:t>
      </w:r>
      <w:proofErr w:type="spellStart"/>
      <w:r w:rsidRPr="00F9694A">
        <w:t>study</w:t>
      </w:r>
      <w:proofErr w:type="spellEnd"/>
      <w:r w:rsidRPr="00F9694A">
        <w:t xml:space="preserve"> </w:t>
      </w:r>
      <w:proofErr w:type="spellStart"/>
      <w:r w:rsidRPr="00F9694A">
        <w:t>was</w:t>
      </w:r>
      <w:proofErr w:type="spellEnd"/>
      <w:r w:rsidRPr="00F9694A">
        <w:t xml:space="preserve"> </w:t>
      </w:r>
      <w:proofErr w:type="spellStart"/>
      <w:r w:rsidRPr="00F9694A">
        <w:t>prepared</w:t>
      </w:r>
      <w:proofErr w:type="spellEnd"/>
      <w:r w:rsidRPr="00F9694A">
        <w:t xml:space="preserve"> </w:t>
      </w:r>
      <w:proofErr w:type="spellStart"/>
      <w:r w:rsidRPr="00F9694A">
        <w:t>with</w:t>
      </w:r>
      <w:proofErr w:type="spellEnd"/>
      <w:r w:rsidRPr="00F9694A">
        <w:t xml:space="preserve"> </w:t>
      </w:r>
      <w:proofErr w:type="spellStart"/>
      <w:r w:rsidRPr="00F9694A">
        <w:t>the</w:t>
      </w:r>
      <w:proofErr w:type="spellEnd"/>
      <w:r w:rsidRPr="00F9694A">
        <w:t xml:space="preserve"> </w:t>
      </w:r>
      <w:proofErr w:type="spellStart"/>
      <w:r w:rsidRPr="00F9694A">
        <w:t>aim</w:t>
      </w:r>
      <w:proofErr w:type="spellEnd"/>
      <w:r w:rsidRPr="00F9694A">
        <w:t xml:space="preserve"> of </w:t>
      </w:r>
      <w:proofErr w:type="spellStart"/>
      <w:r w:rsidRPr="00F9694A">
        <w:t>providing</w:t>
      </w:r>
      <w:proofErr w:type="spellEnd"/>
      <w:r w:rsidRPr="00F9694A">
        <w:t xml:space="preserve"> an </w:t>
      </w:r>
      <w:proofErr w:type="spellStart"/>
      <w:r w:rsidRPr="00F9694A">
        <w:t>analysis</w:t>
      </w:r>
      <w:proofErr w:type="spellEnd"/>
      <w:r w:rsidRPr="00F9694A">
        <w:t xml:space="preserve"> </w:t>
      </w:r>
      <w:proofErr w:type="spellStart"/>
      <w:r w:rsidRPr="00F9694A">
        <w:t>framework</w:t>
      </w:r>
      <w:proofErr w:type="spellEnd"/>
      <w:r w:rsidRPr="00F9694A">
        <w:t xml:space="preserve"> </w:t>
      </w:r>
      <w:proofErr w:type="spellStart"/>
      <w:r w:rsidRPr="00F9694A">
        <w:t>for</w:t>
      </w:r>
      <w:proofErr w:type="spellEnd"/>
      <w:r w:rsidRPr="00F9694A">
        <w:t xml:space="preserve"> </w:t>
      </w:r>
      <w:proofErr w:type="spellStart"/>
      <w:r w:rsidRPr="00F9694A">
        <w:t>the</w:t>
      </w:r>
      <w:proofErr w:type="spellEnd"/>
      <w:r w:rsidRPr="00F9694A">
        <w:t xml:space="preserve"> </w:t>
      </w:r>
      <w:proofErr w:type="spellStart"/>
      <w:r w:rsidRPr="00F9694A">
        <w:t>use</w:t>
      </w:r>
      <w:proofErr w:type="spellEnd"/>
      <w:r w:rsidRPr="00F9694A">
        <w:t xml:space="preserve"> of </w:t>
      </w:r>
      <w:r>
        <w:t>AI</w:t>
      </w:r>
      <w:r w:rsidRPr="00F9694A">
        <w:t xml:space="preserve"> in Dubai </w:t>
      </w:r>
      <w:r>
        <w:t>SPS</w:t>
      </w:r>
      <w:r w:rsidRPr="00F9694A">
        <w:t xml:space="preserve">. </w:t>
      </w:r>
      <w:r>
        <w:t>AI</w:t>
      </w:r>
      <w:r w:rsidRPr="00F9694A">
        <w:t xml:space="preserve"> is </w:t>
      </w:r>
      <w:proofErr w:type="spellStart"/>
      <w:r w:rsidRPr="00F9694A">
        <w:t>increasingly</w:t>
      </w:r>
      <w:proofErr w:type="spellEnd"/>
      <w:r w:rsidRPr="00F9694A">
        <w:t xml:space="preserve"> </w:t>
      </w:r>
      <w:proofErr w:type="spellStart"/>
      <w:r w:rsidRPr="00F9694A">
        <w:t>being</w:t>
      </w:r>
      <w:proofErr w:type="spellEnd"/>
      <w:r w:rsidRPr="00F9694A">
        <w:t xml:space="preserve"> </w:t>
      </w:r>
      <w:proofErr w:type="spellStart"/>
      <w:r w:rsidRPr="00F9694A">
        <w:t>applied</w:t>
      </w:r>
      <w:proofErr w:type="spellEnd"/>
      <w:r w:rsidRPr="00F9694A">
        <w:t xml:space="preserve"> in </w:t>
      </w:r>
      <w:proofErr w:type="spellStart"/>
      <w:r w:rsidRPr="00F9694A">
        <w:t>the</w:t>
      </w:r>
      <w:proofErr w:type="spellEnd"/>
      <w:r w:rsidRPr="00F9694A">
        <w:t xml:space="preserve"> </w:t>
      </w:r>
      <w:proofErr w:type="spellStart"/>
      <w:r w:rsidRPr="00F9694A">
        <w:t>public</w:t>
      </w:r>
      <w:proofErr w:type="spellEnd"/>
      <w:r w:rsidRPr="00F9694A">
        <w:t xml:space="preserve"> </w:t>
      </w:r>
      <w:proofErr w:type="spellStart"/>
      <w:r w:rsidRPr="00F9694A">
        <w:t>sector</w:t>
      </w:r>
      <w:proofErr w:type="spellEnd"/>
      <w:r w:rsidRPr="00F9694A">
        <w:t xml:space="preserve"> </w:t>
      </w:r>
      <w:proofErr w:type="spellStart"/>
      <w:r w:rsidRPr="00F9694A">
        <w:t>worldwide</w:t>
      </w:r>
      <w:proofErr w:type="spellEnd"/>
      <w:r w:rsidRPr="00F9694A">
        <w:t xml:space="preserve">, </w:t>
      </w:r>
      <w:proofErr w:type="spellStart"/>
      <w:r w:rsidRPr="00F9694A">
        <w:t>especially</w:t>
      </w:r>
      <w:proofErr w:type="spellEnd"/>
      <w:r w:rsidRPr="00F9694A">
        <w:t xml:space="preserve"> as a </w:t>
      </w:r>
      <w:proofErr w:type="spellStart"/>
      <w:r w:rsidRPr="00F9694A">
        <w:t>tool</w:t>
      </w:r>
      <w:proofErr w:type="spellEnd"/>
      <w:r w:rsidRPr="00F9694A">
        <w:t xml:space="preserve"> </w:t>
      </w:r>
      <w:proofErr w:type="spellStart"/>
      <w:r w:rsidRPr="00F9694A">
        <w:t>for</w:t>
      </w:r>
      <w:proofErr w:type="spellEnd"/>
      <w:r w:rsidRPr="00F9694A">
        <w:t xml:space="preserve"> </w:t>
      </w:r>
      <w:proofErr w:type="spellStart"/>
      <w:r w:rsidRPr="00F9694A">
        <w:t>more</w:t>
      </w:r>
      <w:proofErr w:type="spellEnd"/>
      <w:r w:rsidRPr="00F9694A">
        <w:t xml:space="preserve"> </w:t>
      </w:r>
      <w:proofErr w:type="spellStart"/>
      <w:r w:rsidRPr="00F9694A">
        <w:t>efficient</w:t>
      </w:r>
      <w:proofErr w:type="spellEnd"/>
      <w:r w:rsidRPr="00F9694A">
        <w:t xml:space="preserve">, </w:t>
      </w:r>
      <w:proofErr w:type="spellStart"/>
      <w:r w:rsidRPr="00F9694A">
        <w:t>accessible</w:t>
      </w:r>
      <w:proofErr w:type="spellEnd"/>
      <w:r w:rsidRPr="00F9694A">
        <w:t xml:space="preserve"> </w:t>
      </w:r>
      <w:proofErr w:type="spellStart"/>
      <w:r w:rsidRPr="00F9694A">
        <w:t>and</w:t>
      </w:r>
      <w:proofErr w:type="spellEnd"/>
      <w:r w:rsidRPr="00F9694A">
        <w:t xml:space="preserve"> </w:t>
      </w:r>
      <w:proofErr w:type="spellStart"/>
      <w:r w:rsidRPr="00F9694A">
        <w:t>effective</w:t>
      </w:r>
      <w:proofErr w:type="spellEnd"/>
      <w:r w:rsidRPr="00F9694A">
        <w:t xml:space="preserve"> </w:t>
      </w:r>
      <w:proofErr w:type="spellStart"/>
      <w:r w:rsidRPr="00F9694A">
        <w:t>public</w:t>
      </w:r>
      <w:proofErr w:type="spellEnd"/>
      <w:r w:rsidRPr="00F9694A">
        <w:t xml:space="preserve"> service </w:t>
      </w:r>
      <w:proofErr w:type="spellStart"/>
      <w:r w:rsidRPr="00F9694A">
        <w:t>delivery</w:t>
      </w:r>
      <w:proofErr w:type="spellEnd"/>
      <w:r w:rsidRPr="00F9694A">
        <w:t>.</w:t>
      </w:r>
    </w:p>
    <w:p w14:paraId="05507CB6" w14:textId="77777777" w:rsidR="008A2109" w:rsidRPr="00B75C25" w:rsidRDefault="008A2109" w:rsidP="008A2109">
      <w:pPr>
        <w:adjustRightInd w:val="0"/>
        <w:jc w:val="both"/>
      </w:pPr>
    </w:p>
    <w:p w14:paraId="156DB06D" w14:textId="77777777" w:rsidR="008A2109" w:rsidRDefault="008A2109" w:rsidP="008A2109">
      <w:pPr>
        <w:adjustRightInd w:val="0"/>
        <w:jc w:val="both"/>
      </w:pPr>
      <w:r w:rsidRPr="00032942">
        <w:rPr>
          <w:bCs/>
        </w:rPr>
        <w:t xml:space="preserve">Dubai is </w:t>
      </w:r>
      <w:proofErr w:type="spellStart"/>
      <w:r w:rsidRPr="00032942">
        <w:rPr>
          <w:bCs/>
        </w:rPr>
        <w:t>effectively</w:t>
      </w:r>
      <w:proofErr w:type="spellEnd"/>
      <w:r w:rsidRPr="00032942">
        <w:rPr>
          <w:bCs/>
        </w:rPr>
        <w:t xml:space="preserve"> </w:t>
      </w:r>
      <w:proofErr w:type="spellStart"/>
      <w:r w:rsidRPr="00032942">
        <w:rPr>
          <w:bCs/>
        </w:rPr>
        <w:t>using</w:t>
      </w:r>
      <w:proofErr w:type="spellEnd"/>
      <w:r w:rsidRPr="00032942">
        <w:rPr>
          <w:bCs/>
        </w:rPr>
        <w:t xml:space="preserve"> AI in </w:t>
      </w:r>
      <w:proofErr w:type="spellStart"/>
      <w:r w:rsidRPr="00032942">
        <w:rPr>
          <w:bCs/>
        </w:rPr>
        <w:t>the</w:t>
      </w:r>
      <w:proofErr w:type="spellEnd"/>
      <w:r w:rsidRPr="00032942">
        <w:rPr>
          <w:bCs/>
        </w:rPr>
        <w:t xml:space="preserve"> </w:t>
      </w:r>
      <w:proofErr w:type="spellStart"/>
      <w:r w:rsidRPr="00032942">
        <w:rPr>
          <w:bCs/>
        </w:rPr>
        <w:t>provision</w:t>
      </w:r>
      <w:proofErr w:type="spellEnd"/>
      <w:r w:rsidRPr="00032942">
        <w:rPr>
          <w:bCs/>
        </w:rPr>
        <w:t xml:space="preserve"> of </w:t>
      </w:r>
      <w:proofErr w:type="spellStart"/>
      <w:r w:rsidRPr="00032942">
        <w:rPr>
          <w:bCs/>
        </w:rPr>
        <w:t>public</w:t>
      </w:r>
      <w:proofErr w:type="spellEnd"/>
      <w:r w:rsidRPr="00032942">
        <w:rPr>
          <w:bCs/>
        </w:rPr>
        <w:t xml:space="preserve"> </w:t>
      </w:r>
      <w:proofErr w:type="spellStart"/>
      <w:r w:rsidRPr="00032942">
        <w:rPr>
          <w:bCs/>
        </w:rPr>
        <w:t>services</w:t>
      </w:r>
      <w:proofErr w:type="spellEnd"/>
      <w:r w:rsidRPr="00032942">
        <w:rPr>
          <w:bCs/>
        </w:rPr>
        <w:t xml:space="preserve">, </w:t>
      </w:r>
      <w:proofErr w:type="spellStart"/>
      <w:r w:rsidRPr="00032942">
        <w:rPr>
          <w:bCs/>
        </w:rPr>
        <w:t>especially</w:t>
      </w:r>
      <w:proofErr w:type="spellEnd"/>
      <w:r w:rsidRPr="00032942">
        <w:rPr>
          <w:bCs/>
        </w:rPr>
        <w:t xml:space="preserve"> </w:t>
      </w:r>
      <w:proofErr w:type="spellStart"/>
      <w:r w:rsidRPr="00032942">
        <w:rPr>
          <w:bCs/>
        </w:rPr>
        <w:t>security</w:t>
      </w:r>
      <w:proofErr w:type="spellEnd"/>
      <w:r w:rsidRPr="00032942">
        <w:rPr>
          <w:bCs/>
        </w:rPr>
        <w:t>.</w:t>
      </w:r>
      <w:r>
        <w:rPr>
          <w:bCs/>
        </w:rPr>
        <w:t xml:space="preserve"> </w:t>
      </w:r>
      <w:proofErr w:type="spellStart"/>
      <w:r>
        <w:rPr>
          <w:bCs/>
        </w:rPr>
        <w:t>In</w:t>
      </w:r>
      <w:proofErr w:type="spellEnd"/>
      <w:r>
        <w:rPr>
          <w:bCs/>
        </w:rPr>
        <w:t xml:space="preserve"> </w:t>
      </w:r>
      <w:proofErr w:type="spellStart"/>
      <w:r>
        <w:rPr>
          <w:bCs/>
        </w:rPr>
        <w:t>this</w:t>
      </w:r>
      <w:proofErr w:type="spellEnd"/>
      <w:r>
        <w:rPr>
          <w:bCs/>
        </w:rPr>
        <w:t xml:space="preserve"> </w:t>
      </w:r>
      <w:proofErr w:type="spellStart"/>
      <w:r>
        <w:rPr>
          <w:bCs/>
        </w:rPr>
        <w:t>contex</w:t>
      </w:r>
      <w:proofErr w:type="spellEnd"/>
      <w:r>
        <w:rPr>
          <w:bCs/>
        </w:rPr>
        <w:t xml:space="preserve"> </w:t>
      </w:r>
      <w:r w:rsidRPr="00B75C25">
        <w:rPr>
          <w:bCs/>
        </w:rPr>
        <w:t xml:space="preserve">Dubai </w:t>
      </w:r>
      <w:proofErr w:type="spellStart"/>
      <w:r w:rsidRPr="00B75C25">
        <w:rPr>
          <w:bCs/>
        </w:rPr>
        <w:t>established</w:t>
      </w:r>
      <w:proofErr w:type="spellEnd"/>
      <w:r w:rsidRPr="00B75C25">
        <w:rPr>
          <w:bCs/>
        </w:rPr>
        <w:t xml:space="preserve"> </w:t>
      </w:r>
      <w:r>
        <w:rPr>
          <w:bCs/>
        </w:rPr>
        <w:t>SPS</w:t>
      </w:r>
      <w:r w:rsidRPr="00B75C25">
        <w:rPr>
          <w:bCs/>
        </w:rPr>
        <w:t xml:space="preserve"> in 2017 </w:t>
      </w:r>
      <w:proofErr w:type="spellStart"/>
      <w:r w:rsidRPr="00B75C25">
        <w:rPr>
          <w:bCs/>
        </w:rPr>
        <w:t>to</w:t>
      </w:r>
      <w:proofErr w:type="spellEnd"/>
      <w:r w:rsidRPr="00B75C25">
        <w:rPr>
          <w:bCs/>
        </w:rPr>
        <w:t xml:space="preserve"> </w:t>
      </w:r>
      <w:proofErr w:type="spellStart"/>
      <w:r w:rsidRPr="00B75C25">
        <w:rPr>
          <w:bCs/>
        </w:rPr>
        <w:t>ensure</w:t>
      </w:r>
      <w:proofErr w:type="spellEnd"/>
      <w:r w:rsidRPr="00B75C25">
        <w:rPr>
          <w:bCs/>
        </w:rPr>
        <w:t xml:space="preserve"> </w:t>
      </w:r>
      <w:proofErr w:type="spellStart"/>
      <w:r w:rsidRPr="00B75C25">
        <w:rPr>
          <w:bCs/>
        </w:rPr>
        <w:t>effectiveness</w:t>
      </w:r>
      <w:proofErr w:type="spellEnd"/>
      <w:r w:rsidRPr="00B75C25">
        <w:rPr>
          <w:bCs/>
        </w:rPr>
        <w:t xml:space="preserve"> </w:t>
      </w:r>
      <w:proofErr w:type="spellStart"/>
      <w:r w:rsidRPr="00B75C25">
        <w:rPr>
          <w:bCs/>
        </w:rPr>
        <w:t>and</w:t>
      </w:r>
      <w:proofErr w:type="spellEnd"/>
      <w:r w:rsidRPr="00B75C25">
        <w:rPr>
          <w:bCs/>
        </w:rPr>
        <w:t xml:space="preserve"> </w:t>
      </w:r>
      <w:proofErr w:type="spellStart"/>
      <w:r w:rsidRPr="00B75C25">
        <w:rPr>
          <w:bCs/>
        </w:rPr>
        <w:t>efficiency</w:t>
      </w:r>
      <w:proofErr w:type="spellEnd"/>
      <w:r w:rsidRPr="00B75C25">
        <w:rPr>
          <w:bCs/>
        </w:rPr>
        <w:t xml:space="preserve"> in </w:t>
      </w:r>
      <w:proofErr w:type="spellStart"/>
      <w:r w:rsidRPr="00B75C25">
        <w:rPr>
          <w:bCs/>
        </w:rPr>
        <w:t>security</w:t>
      </w:r>
      <w:proofErr w:type="spellEnd"/>
      <w:r w:rsidRPr="00B75C25">
        <w:rPr>
          <w:bCs/>
        </w:rPr>
        <w:t xml:space="preserve"> </w:t>
      </w:r>
      <w:proofErr w:type="spellStart"/>
      <w:r w:rsidRPr="00B75C25">
        <w:rPr>
          <w:bCs/>
        </w:rPr>
        <w:t>services</w:t>
      </w:r>
      <w:proofErr w:type="spellEnd"/>
      <w:r w:rsidRPr="00B75C25">
        <w:rPr>
          <w:bCs/>
        </w:rPr>
        <w:t xml:space="preserve"> </w:t>
      </w:r>
      <w:proofErr w:type="spellStart"/>
      <w:r w:rsidRPr="00B75C25">
        <w:rPr>
          <w:bCs/>
        </w:rPr>
        <w:t>using</w:t>
      </w:r>
      <w:proofErr w:type="spellEnd"/>
      <w:r w:rsidRPr="00B75C25">
        <w:rPr>
          <w:bCs/>
        </w:rPr>
        <w:t xml:space="preserve"> </w:t>
      </w:r>
      <w:r>
        <w:rPr>
          <w:bCs/>
        </w:rPr>
        <w:t>AI</w:t>
      </w:r>
      <w:r w:rsidRPr="00B75C25">
        <w:rPr>
          <w:bCs/>
        </w:rPr>
        <w:t xml:space="preserve"> </w:t>
      </w:r>
      <w:proofErr w:type="spellStart"/>
      <w:r w:rsidRPr="00B75C25">
        <w:rPr>
          <w:bCs/>
        </w:rPr>
        <w:t>technologies</w:t>
      </w:r>
      <w:proofErr w:type="spellEnd"/>
      <w:r w:rsidRPr="00B75C25">
        <w:rPr>
          <w:bCs/>
        </w:rPr>
        <w:t xml:space="preserve">. </w:t>
      </w:r>
      <w:proofErr w:type="spellStart"/>
      <w:r w:rsidRPr="00B75C25">
        <w:rPr>
          <w:bCs/>
        </w:rPr>
        <w:t>It</w:t>
      </w:r>
      <w:proofErr w:type="spellEnd"/>
      <w:r w:rsidRPr="00B75C25">
        <w:rPr>
          <w:bCs/>
        </w:rPr>
        <w:t xml:space="preserve"> is </w:t>
      </w:r>
      <w:proofErr w:type="spellStart"/>
      <w:r w:rsidRPr="00B75C25">
        <w:rPr>
          <w:bCs/>
        </w:rPr>
        <w:t>stated</w:t>
      </w:r>
      <w:proofErr w:type="spellEnd"/>
      <w:r w:rsidRPr="00B75C25">
        <w:rPr>
          <w:bCs/>
        </w:rPr>
        <w:t xml:space="preserve"> </w:t>
      </w:r>
      <w:proofErr w:type="spellStart"/>
      <w:r w:rsidRPr="00B75C25">
        <w:rPr>
          <w:bCs/>
        </w:rPr>
        <w:t>that</w:t>
      </w:r>
      <w:proofErr w:type="spellEnd"/>
      <w:r w:rsidRPr="00B75C25">
        <w:rPr>
          <w:bCs/>
        </w:rPr>
        <w:t xml:space="preserve"> </w:t>
      </w:r>
      <w:proofErr w:type="spellStart"/>
      <w:r>
        <w:rPr>
          <w:bCs/>
        </w:rPr>
        <w:t>SPSs</w:t>
      </w:r>
      <w:proofErr w:type="spellEnd"/>
      <w:r w:rsidRPr="00B75C25">
        <w:rPr>
          <w:bCs/>
        </w:rPr>
        <w:t xml:space="preserve">, </w:t>
      </w:r>
      <w:proofErr w:type="spellStart"/>
      <w:r w:rsidRPr="00B75C25">
        <w:rPr>
          <w:bCs/>
        </w:rPr>
        <w:t>which</w:t>
      </w:r>
      <w:proofErr w:type="spellEnd"/>
      <w:r w:rsidRPr="00B75C25">
        <w:rPr>
          <w:bCs/>
        </w:rPr>
        <w:t xml:space="preserve"> </w:t>
      </w:r>
      <w:proofErr w:type="spellStart"/>
      <w:r w:rsidRPr="00B75C25">
        <w:rPr>
          <w:bCs/>
        </w:rPr>
        <w:t>were</w:t>
      </w:r>
      <w:proofErr w:type="spellEnd"/>
      <w:r w:rsidRPr="00B75C25">
        <w:rPr>
          <w:bCs/>
        </w:rPr>
        <w:t xml:space="preserve"> </w:t>
      </w:r>
      <w:proofErr w:type="spellStart"/>
      <w:r w:rsidRPr="00B75C25">
        <w:rPr>
          <w:bCs/>
        </w:rPr>
        <w:t>established</w:t>
      </w:r>
      <w:proofErr w:type="spellEnd"/>
      <w:r w:rsidRPr="00B75C25">
        <w:rPr>
          <w:bCs/>
        </w:rPr>
        <w:t xml:space="preserve"> in Dubai </w:t>
      </w:r>
      <w:proofErr w:type="spellStart"/>
      <w:r w:rsidRPr="00B75C25">
        <w:rPr>
          <w:bCs/>
        </w:rPr>
        <w:t>for</w:t>
      </w:r>
      <w:proofErr w:type="spellEnd"/>
      <w:r w:rsidRPr="00B75C25">
        <w:rPr>
          <w:bCs/>
        </w:rPr>
        <w:t xml:space="preserve"> </w:t>
      </w:r>
      <w:proofErr w:type="spellStart"/>
      <w:r w:rsidRPr="00B75C25">
        <w:rPr>
          <w:bCs/>
        </w:rPr>
        <w:t>the</w:t>
      </w:r>
      <w:proofErr w:type="spellEnd"/>
      <w:r w:rsidRPr="00B75C25">
        <w:rPr>
          <w:bCs/>
        </w:rPr>
        <w:t xml:space="preserve"> </w:t>
      </w:r>
      <w:proofErr w:type="spellStart"/>
      <w:r w:rsidRPr="00B75C25">
        <w:rPr>
          <w:bCs/>
        </w:rPr>
        <w:t>first</w:t>
      </w:r>
      <w:proofErr w:type="spellEnd"/>
      <w:r w:rsidRPr="00B75C25">
        <w:rPr>
          <w:bCs/>
        </w:rPr>
        <w:t xml:space="preserve"> time in </w:t>
      </w:r>
      <w:proofErr w:type="spellStart"/>
      <w:r w:rsidRPr="00B75C25">
        <w:rPr>
          <w:bCs/>
        </w:rPr>
        <w:t>the</w:t>
      </w:r>
      <w:proofErr w:type="spellEnd"/>
      <w:r w:rsidRPr="00B75C25">
        <w:rPr>
          <w:bCs/>
        </w:rPr>
        <w:t xml:space="preserve"> </w:t>
      </w:r>
      <w:proofErr w:type="spellStart"/>
      <w:r w:rsidRPr="00B75C25">
        <w:rPr>
          <w:bCs/>
        </w:rPr>
        <w:t>world</w:t>
      </w:r>
      <w:proofErr w:type="spellEnd"/>
      <w:r w:rsidRPr="00B75C25">
        <w:rPr>
          <w:bCs/>
        </w:rPr>
        <w:t xml:space="preserve"> </w:t>
      </w:r>
      <w:proofErr w:type="spellStart"/>
      <w:r w:rsidRPr="00B75C25">
        <w:rPr>
          <w:bCs/>
        </w:rPr>
        <w:t>and</w:t>
      </w:r>
      <w:proofErr w:type="spellEnd"/>
      <w:r w:rsidRPr="00B75C25">
        <w:rPr>
          <w:bCs/>
        </w:rPr>
        <w:t xml:space="preserve"> </w:t>
      </w:r>
      <w:proofErr w:type="spellStart"/>
      <w:r w:rsidRPr="00B75C25">
        <w:rPr>
          <w:bCs/>
        </w:rPr>
        <w:t>transferred</w:t>
      </w:r>
      <w:proofErr w:type="spellEnd"/>
      <w:r w:rsidRPr="00B75C25">
        <w:rPr>
          <w:bCs/>
        </w:rPr>
        <w:t xml:space="preserve"> </w:t>
      </w:r>
      <w:proofErr w:type="spellStart"/>
      <w:r w:rsidRPr="00B75C25">
        <w:rPr>
          <w:bCs/>
        </w:rPr>
        <w:t>to</w:t>
      </w:r>
      <w:proofErr w:type="spellEnd"/>
      <w:r w:rsidRPr="00B75C25">
        <w:rPr>
          <w:bCs/>
        </w:rPr>
        <w:t xml:space="preserve"> </w:t>
      </w:r>
      <w:proofErr w:type="spellStart"/>
      <w:r w:rsidRPr="00B75C25">
        <w:rPr>
          <w:bCs/>
        </w:rPr>
        <w:t>different</w:t>
      </w:r>
      <w:proofErr w:type="spellEnd"/>
      <w:r w:rsidRPr="00B75C25">
        <w:rPr>
          <w:bCs/>
        </w:rPr>
        <w:t xml:space="preserve"> </w:t>
      </w:r>
      <w:proofErr w:type="spellStart"/>
      <w:r w:rsidRPr="00B75C25">
        <w:rPr>
          <w:bCs/>
        </w:rPr>
        <w:t>countries</w:t>
      </w:r>
      <w:proofErr w:type="spellEnd"/>
      <w:r w:rsidRPr="00B75C25">
        <w:rPr>
          <w:bCs/>
        </w:rPr>
        <w:t xml:space="preserve"> (</w:t>
      </w:r>
      <w:proofErr w:type="spellStart"/>
      <w:r>
        <w:rPr>
          <w:bCs/>
        </w:rPr>
        <w:t>Netherlands</w:t>
      </w:r>
      <w:proofErr w:type="spellEnd"/>
      <w:r w:rsidRPr="00B75C25">
        <w:rPr>
          <w:bCs/>
        </w:rPr>
        <w:t xml:space="preserve">, </w:t>
      </w:r>
      <w:proofErr w:type="spellStart"/>
      <w:r w:rsidRPr="00B75C25">
        <w:rPr>
          <w:bCs/>
        </w:rPr>
        <w:t>Serbia</w:t>
      </w:r>
      <w:proofErr w:type="spellEnd"/>
      <w:r w:rsidRPr="00B75C25">
        <w:rPr>
          <w:bCs/>
        </w:rPr>
        <w:t xml:space="preserve">), </w:t>
      </w:r>
      <w:proofErr w:type="spellStart"/>
      <w:r w:rsidRPr="00B75C25">
        <w:rPr>
          <w:bCs/>
        </w:rPr>
        <w:t>have</w:t>
      </w:r>
      <w:proofErr w:type="spellEnd"/>
      <w:r w:rsidRPr="00B75C25">
        <w:rPr>
          <w:bCs/>
        </w:rPr>
        <w:t xml:space="preserve"> </w:t>
      </w:r>
      <w:proofErr w:type="spellStart"/>
      <w:r w:rsidRPr="00B75C25">
        <w:rPr>
          <w:bCs/>
        </w:rPr>
        <w:t>reduced</w:t>
      </w:r>
      <w:proofErr w:type="spellEnd"/>
      <w:r w:rsidRPr="00B75C25">
        <w:rPr>
          <w:bCs/>
        </w:rPr>
        <w:t xml:space="preserve"> </w:t>
      </w:r>
      <w:proofErr w:type="spellStart"/>
      <w:r w:rsidRPr="00B75C25">
        <w:rPr>
          <w:bCs/>
        </w:rPr>
        <w:t>the</w:t>
      </w:r>
      <w:proofErr w:type="spellEnd"/>
      <w:r w:rsidRPr="00B75C25">
        <w:rPr>
          <w:bCs/>
        </w:rPr>
        <w:t xml:space="preserve"> </w:t>
      </w:r>
      <w:proofErr w:type="spellStart"/>
      <w:r w:rsidRPr="00B75C25">
        <w:rPr>
          <w:bCs/>
        </w:rPr>
        <w:t>crime</w:t>
      </w:r>
      <w:proofErr w:type="spellEnd"/>
      <w:r w:rsidRPr="00B75C25">
        <w:rPr>
          <w:bCs/>
        </w:rPr>
        <w:t xml:space="preserve"> rate in </w:t>
      </w:r>
      <w:proofErr w:type="spellStart"/>
      <w:r w:rsidRPr="00B75C25">
        <w:rPr>
          <w:bCs/>
        </w:rPr>
        <w:t>the</w:t>
      </w:r>
      <w:proofErr w:type="spellEnd"/>
      <w:r w:rsidRPr="00B75C25">
        <w:rPr>
          <w:bCs/>
        </w:rPr>
        <w:t xml:space="preserve"> </w:t>
      </w:r>
      <w:proofErr w:type="spellStart"/>
      <w:r w:rsidRPr="00B75C25">
        <w:rPr>
          <w:bCs/>
        </w:rPr>
        <w:t>city</w:t>
      </w:r>
      <w:proofErr w:type="spellEnd"/>
      <w:r w:rsidRPr="00B75C25">
        <w:rPr>
          <w:bCs/>
        </w:rPr>
        <w:t>.</w:t>
      </w:r>
      <w:r>
        <w:rPr>
          <w:bCs/>
        </w:rPr>
        <w:t xml:space="preserve"> </w:t>
      </w:r>
      <w:r w:rsidRPr="00032942">
        <w:rPr>
          <w:bCs/>
        </w:rPr>
        <w:t xml:space="preserve"> Dubai </w:t>
      </w:r>
      <w:proofErr w:type="spellStart"/>
      <w:r w:rsidRPr="00032942">
        <w:rPr>
          <w:bCs/>
        </w:rPr>
        <w:t>sees</w:t>
      </w:r>
      <w:proofErr w:type="spellEnd"/>
      <w:r w:rsidRPr="00032942">
        <w:rPr>
          <w:bCs/>
        </w:rPr>
        <w:t xml:space="preserve"> AI-</w:t>
      </w:r>
      <w:proofErr w:type="spellStart"/>
      <w:r w:rsidRPr="00032942">
        <w:rPr>
          <w:bCs/>
        </w:rPr>
        <w:t>supported</w:t>
      </w:r>
      <w:proofErr w:type="spellEnd"/>
      <w:r w:rsidRPr="00032942">
        <w:rPr>
          <w:bCs/>
        </w:rPr>
        <w:t xml:space="preserve"> SPS as an </w:t>
      </w:r>
      <w:proofErr w:type="spellStart"/>
      <w:r w:rsidRPr="00032942">
        <w:rPr>
          <w:bCs/>
        </w:rPr>
        <w:t>important</w:t>
      </w:r>
      <w:proofErr w:type="spellEnd"/>
      <w:r w:rsidRPr="00032942">
        <w:rPr>
          <w:bCs/>
        </w:rPr>
        <w:t xml:space="preserve"> step </w:t>
      </w:r>
      <w:proofErr w:type="spellStart"/>
      <w:r w:rsidRPr="00032942">
        <w:rPr>
          <w:bCs/>
        </w:rPr>
        <w:t>to</w:t>
      </w:r>
      <w:proofErr w:type="spellEnd"/>
      <w:r w:rsidRPr="00032942">
        <w:rPr>
          <w:bCs/>
        </w:rPr>
        <w:t xml:space="preserve"> </w:t>
      </w:r>
      <w:proofErr w:type="spellStart"/>
      <w:r w:rsidRPr="00032942">
        <w:rPr>
          <w:bCs/>
        </w:rPr>
        <w:t>prevent</w:t>
      </w:r>
      <w:proofErr w:type="spellEnd"/>
      <w:r w:rsidRPr="00032942">
        <w:rPr>
          <w:bCs/>
        </w:rPr>
        <w:t xml:space="preserve"> </w:t>
      </w:r>
      <w:proofErr w:type="spellStart"/>
      <w:r w:rsidRPr="00032942">
        <w:rPr>
          <w:bCs/>
        </w:rPr>
        <w:t>crime</w:t>
      </w:r>
      <w:proofErr w:type="spellEnd"/>
      <w:r w:rsidRPr="00032942">
        <w:rPr>
          <w:bCs/>
        </w:rPr>
        <w:t xml:space="preserve">, </w:t>
      </w:r>
      <w:proofErr w:type="spellStart"/>
      <w:r w:rsidRPr="00032942">
        <w:rPr>
          <w:bCs/>
        </w:rPr>
        <w:t>increase</w:t>
      </w:r>
      <w:proofErr w:type="spellEnd"/>
      <w:r w:rsidRPr="00032942">
        <w:rPr>
          <w:bCs/>
        </w:rPr>
        <w:t xml:space="preserve"> </w:t>
      </w:r>
      <w:proofErr w:type="spellStart"/>
      <w:r w:rsidRPr="00032942">
        <w:rPr>
          <w:bCs/>
        </w:rPr>
        <w:t>public</w:t>
      </w:r>
      <w:proofErr w:type="spellEnd"/>
      <w:r w:rsidRPr="00032942">
        <w:rPr>
          <w:bCs/>
        </w:rPr>
        <w:t xml:space="preserve"> </w:t>
      </w:r>
      <w:proofErr w:type="spellStart"/>
      <w:r w:rsidRPr="00032942">
        <w:rPr>
          <w:bCs/>
        </w:rPr>
        <w:t>safety</w:t>
      </w:r>
      <w:proofErr w:type="spellEnd"/>
      <w:r w:rsidRPr="00032942">
        <w:rPr>
          <w:bCs/>
        </w:rPr>
        <w:t xml:space="preserve"> </w:t>
      </w:r>
      <w:proofErr w:type="spellStart"/>
      <w:r w:rsidRPr="00032942">
        <w:rPr>
          <w:bCs/>
        </w:rPr>
        <w:t>and</w:t>
      </w:r>
      <w:proofErr w:type="spellEnd"/>
      <w:r w:rsidRPr="00032942">
        <w:rPr>
          <w:bCs/>
        </w:rPr>
        <w:t xml:space="preserve"> </w:t>
      </w:r>
      <w:proofErr w:type="spellStart"/>
      <w:r w:rsidRPr="00032942">
        <w:rPr>
          <w:bCs/>
        </w:rPr>
        <w:t>ensure</w:t>
      </w:r>
      <w:proofErr w:type="spellEnd"/>
      <w:r w:rsidRPr="00032942">
        <w:rPr>
          <w:bCs/>
        </w:rPr>
        <w:t xml:space="preserve"> </w:t>
      </w:r>
      <w:proofErr w:type="spellStart"/>
      <w:r w:rsidRPr="00032942">
        <w:rPr>
          <w:bCs/>
        </w:rPr>
        <w:t>operational</w:t>
      </w:r>
      <w:proofErr w:type="spellEnd"/>
      <w:r w:rsidRPr="00032942">
        <w:rPr>
          <w:bCs/>
        </w:rPr>
        <w:t xml:space="preserve"> </w:t>
      </w:r>
      <w:proofErr w:type="spellStart"/>
      <w:r w:rsidRPr="00032942">
        <w:rPr>
          <w:bCs/>
        </w:rPr>
        <w:t>efficiency</w:t>
      </w:r>
      <w:proofErr w:type="spellEnd"/>
      <w:r w:rsidRPr="00032942">
        <w:rPr>
          <w:bCs/>
        </w:rPr>
        <w:t xml:space="preserve">. </w:t>
      </w:r>
      <w:proofErr w:type="spellStart"/>
      <w:r>
        <w:rPr>
          <w:bCs/>
        </w:rPr>
        <w:t>SPSs</w:t>
      </w:r>
      <w:proofErr w:type="spellEnd"/>
      <w:r>
        <w:rPr>
          <w:bCs/>
        </w:rPr>
        <w:t xml:space="preserve"> </w:t>
      </w:r>
      <w:proofErr w:type="spellStart"/>
      <w:r w:rsidRPr="00032942">
        <w:rPr>
          <w:bCs/>
        </w:rPr>
        <w:t>located</w:t>
      </w:r>
      <w:proofErr w:type="spellEnd"/>
      <w:r w:rsidRPr="00032942">
        <w:rPr>
          <w:bCs/>
        </w:rPr>
        <w:t xml:space="preserve"> in </w:t>
      </w:r>
      <w:proofErr w:type="spellStart"/>
      <w:r w:rsidRPr="00032942">
        <w:rPr>
          <w:bCs/>
        </w:rPr>
        <w:t>different</w:t>
      </w:r>
      <w:proofErr w:type="spellEnd"/>
      <w:r w:rsidRPr="00032942">
        <w:rPr>
          <w:bCs/>
        </w:rPr>
        <w:t xml:space="preserve"> </w:t>
      </w:r>
      <w:proofErr w:type="spellStart"/>
      <w:r w:rsidRPr="00032942">
        <w:rPr>
          <w:bCs/>
        </w:rPr>
        <w:t>parts</w:t>
      </w:r>
      <w:proofErr w:type="spellEnd"/>
      <w:r w:rsidRPr="00032942">
        <w:rPr>
          <w:bCs/>
        </w:rPr>
        <w:t xml:space="preserve"> of Dubai </w:t>
      </w:r>
      <w:proofErr w:type="spellStart"/>
      <w:r w:rsidRPr="00032942">
        <w:rPr>
          <w:bCs/>
        </w:rPr>
        <w:t>are</w:t>
      </w:r>
      <w:proofErr w:type="spellEnd"/>
      <w:r w:rsidRPr="00032942">
        <w:rPr>
          <w:bCs/>
        </w:rPr>
        <w:t xml:space="preserve"> </w:t>
      </w:r>
      <w:proofErr w:type="spellStart"/>
      <w:r w:rsidRPr="00032942">
        <w:rPr>
          <w:bCs/>
        </w:rPr>
        <w:t>designed</w:t>
      </w:r>
      <w:proofErr w:type="spellEnd"/>
      <w:r w:rsidRPr="00032942">
        <w:rPr>
          <w:bCs/>
        </w:rPr>
        <w:t xml:space="preserve"> </w:t>
      </w:r>
      <w:proofErr w:type="spellStart"/>
      <w:r w:rsidRPr="00032942">
        <w:rPr>
          <w:bCs/>
        </w:rPr>
        <w:t>with</w:t>
      </w:r>
      <w:proofErr w:type="spellEnd"/>
      <w:r w:rsidRPr="00032942">
        <w:rPr>
          <w:bCs/>
        </w:rPr>
        <w:t xml:space="preserve"> </w:t>
      </w:r>
      <w:proofErr w:type="spellStart"/>
      <w:r w:rsidRPr="00032942">
        <w:rPr>
          <w:bCs/>
        </w:rPr>
        <w:t>completely</w:t>
      </w:r>
      <w:proofErr w:type="spellEnd"/>
      <w:r w:rsidRPr="00032942">
        <w:rPr>
          <w:bCs/>
        </w:rPr>
        <w:t xml:space="preserve"> </w:t>
      </w:r>
      <w:proofErr w:type="spellStart"/>
      <w:r w:rsidRPr="00032942">
        <w:rPr>
          <w:bCs/>
        </w:rPr>
        <w:t>advanced</w:t>
      </w:r>
      <w:proofErr w:type="spellEnd"/>
      <w:r w:rsidRPr="00032942">
        <w:rPr>
          <w:bCs/>
        </w:rPr>
        <w:t xml:space="preserve"> </w:t>
      </w:r>
      <w:proofErr w:type="spellStart"/>
      <w:r w:rsidRPr="00032942">
        <w:rPr>
          <w:bCs/>
        </w:rPr>
        <w:t>digital</w:t>
      </w:r>
      <w:proofErr w:type="spellEnd"/>
      <w:r w:rsidRPr="00032942">
        <w:rPr>
          <w:bCs/>
        </w:rPr>
        <w:t xml:space="preserve"> </w:t>
      </w:r>
      <w:proofErr w:type="spellStart"/>
      <w:r w:rsidRPr="00032942">
        <w:rPr>
          <w:bCs/>
        </w:rPr>
        <w:t>technologies</w:t>
      </w:r>
      <w:proofErr w:type="spellEnd"/>
      <w:r w:rsidRPr="00032942">
        <w:rPr>
          <w:bCs/>
        </w:rPr>
        <w:t xml:space="preserve">, </w:t>
      </w:r>
      <w:proofErr w:type="spellStart"/>
      <w:r w:rsidRPr="00032942">
        <w:rPr>
          <w:bCs/>
        </w:rPr>
        <w:t>unlike</w:t>
      </w:r>
      <w:proofErr w:type="spellEnd"/>
      <w:r w:rsidRPr="00032942">
        <w:rPr>
          <w:bCs/>
        </w:rPr>
        <w:t xml:space="preserve"> </w:t>
      </w:r>
      <w:proofErr w:type="spellStart"/>
      <w:r w:rsidRPr="00032942">
        <w:rPr>
          <w:bCs/>
        </w:rPr>
        <w:t>traditional</w:t>
      </w:r>
      <w:proofErr w:type="spellEnd"/>
      <w:r w:rsidRPr="00032942">
        <w:rPr>
          <w:bCs/>
        </w:rPr>
        <w:t xml:space="preserve"> </w:t>
      </w:r>
      <w:proofErr w:type="spellStart"/>
      <w:r w:rsidRPr="00032942">
        <w:rPr>
          <w:bCs/>
        </w:rPr>
        <w:t>police</w:t>
      </w:r>
      <w:proofErr w:type="spellEnd"/>
      <w:r w:rsidRPr="00032942">
        <w:rPr>
          <w:bCs/>
        </w:rPr>
        <w:t xml:space="preserve"> </w:t>
      </w:r>
      <w:proofErr w:type="spellStart"/>
      <w:r w:rsidRPr="00032942">
        <w:rPr>
          <w:bCs/>
        </w:rPr>
        <w:t>stations</w:t>
      </w:r>
      <w:proofErr w:type="spellEnd"/>
      <w:r>
        <w:rPr>
          <w:bCs/>
        </w:rPr>
        <w:t xml:space="preserve">. </w:t>
      </w:r>
      <w:proofErr w:type="spellStart"/>
      <w:r w:rsidRPr="004D4634">
        <w:t>The</w:t>
      </w:r>
      <w:proofErr w:type="spellEnd"/>
      <w:r>
        <w:t xml:space="preserve"> </w:t>
      </w:r>
      <w:proofErr w:type="spellStart"/>
      <w:r>
        <w:t>effective</w:t>
      </w:r>
      <w:proofErr w:type="spellEnd"/>
      <w:r w:rsidRPr="004D4634">
        <w:t xml:space="preserve"> </w:t>
      </w:r>
      <w:proofErr w:type="spellStart"/>
      <w:r w:rsidRPr="004D4634">
        <w:t>use</w:t>
      </w:r>
      <w:proofErr w:type="spellEnd"/>
      <w:r w:rsidRPr="004D4634">
        <w:t xml:space="preserve"> of AI in </w:t>
      </w:r>
      <w:proofErr w:type="spellStart"/>
      <w:r w:rsidRPr="004D4634">
        <w:t>Dubai’s</w:t>
      </w:r>
      <w:proofErr w:type="spellEnd"/>
      <w:r w:rsidRPr="004D4634">
        <w:t xml:space="preserve"> </w:t>
      </w:r>
      <w:proofErr w:type="spellStart"/>
      <w:r>
        <w:t>SPSs</w:t>
      </w:r>
      <w:proofErr w:type="spellEnd"/>
      <w:r w:rsidRPr="004D4634">
        <w:t xml:space="preserve"> </w:t>
      </w:r>
      <w:proofErr w:type="spellStart"/>
      <w:r w:rsidRPr="004D4634">
        <w:t>symbolizes</w:t>
      </w:r>
      <w:proofErr w:type="spellEnd"/>
      <w:r w:rsidRPr="004D4634">
        <w:t xml:space="preserve"> a </w:t>
      </w:r>
      <w:proofErr w:type="spellStart"/>
      <w:r w:rsidRPr="004D4634">
        <w:t>significant</w:t>
      </w:r>
      <w:proofErr w:type="spellEnd"/>
      <w:r w:rsidRPr="004D4634">
        <w:t xml:space="preserve"> </w:t>
      </w:r>
      <w:proofErr w:type="spellStart"/>
      <w:r w:rsidRPr="004D4634">
        <w:t>transformation</w:t>
      </w:r>
      <w:proofErr w:type="spellEnd"/>
      <w:r w:rsidRPr="004D4634">
        <w:t xml:space="preserve"> in </w:t>
      </w:r>
      <w:proofErr w:type="spellStart"/>
      <w:r w:rsidRPr="004D4634">
        <w:t>terms</w:t>
      </w:r>
      <w:proofErr w:type="spellEnd"/>
      <w:r w:rsidRPr="004D4634">
        <w:t xml:space="preserve"> of </w:t>
      </w:r>
      <w:proofErr w:type="spellStart"/>
      <w:r w:rsidRPr="004D4634">
        <w:t>modernizing</w:t>
      </w:r>
      <w:proofErr w:type="spellEnd"/>
      <w:r w:rsidRPr="004D4634">
        <w:t xml:space="preserve"> </w:t>
      </w:r>
      <w:proofErr w:type="spellStart"/>
      <w:r w:rsidRPr="004D4634">
        <w:t>security</w:t>
      </w:r>
      <w:proofErr w:type="spellEnd"/>
      <w:r w:rsidRPr="004D4634">
        <w:t xml:space="preserve"> </w:t>
      </w:r>
      <w:proofErr w:type="spellStart"/>
      <w:r w:rsidRPr="004D4634">
        <w:t>services</w:t>
      </w:r>
      <w:proofErr w:type="spellEnd"/>
      <w:r w:rsidRPr="004D4634">
        <w:t xml:space="preserve"> in </w:t>
      </w:r>
      <w:proofErr w:type="spellStart"/>
      <w:r w:rsidRPr="004D4634">
        <w:t>the</w:t>
      </w:r>
      <w:proofErr w:type="spellEnd"/>
      <w:r w:rsidRPr="004D4634">
        <w:t xml:space="preserve"> </w:t>
      </w:r>
      <w:proofErr w:type="spellStart"/>
      <w:r w:rsidRPr="004D4634">
        <w:t>city</w:t>
      </w:r>
      <w:proofErr w:type="spellEnd"/>
      <w:r w:rsidRPr="004D4634">
        <w:t xml:space="preserve"> </w:t>
      </w:r>
      <w:proofErr w:type="spellStart"/>
      <w:r w:rsidRPr="004D4634">
        <w:t>and</w:t>
      </w:r>
      <w:proofErr w:type="spellEnd"/>
      <w:r w:rsidRPr="004D4634">
        <w:t xml:space="preserve"> </w:t>
      </w:r>
      <w:proofErr w:type="spellStart"/>
      <w:r w:rsidRPr="004D4634">
        <w:t>providing</w:t>
      </w:r>
      <w:proofErr w:type="spellEnd"/>
      <w:r w:rsidRPr="004D4634">
        <w:t xml:space="preserve"> </w:t>
      </w:r>
      <w:proofErr w:type="spellStart"/>
      <w:r w:rsidRPr="004D4634">
        <w:t>faster</w:t>
      </w:r>
      <w:proofErr w:type="spellEnd"/>
      <w:r w:rsidRPr="004D4634">
        <w:t xml:space="preserve"> </w:t>
      </w:r>
      <w:proofErr w:type="spellStart"/>
      <w:r w:rsidRPr="004D4634">
        <w:t>and</w:t>
      </w:r>
      <w:proofErr w:type="spellEnd"/>
      <w:r w:rsidRPr="004D4634">
        <w:t xml:space="preserve"> </w:t>
      </w:r>
      <w:proofErr w:type="spellStart"/>
      <w:r w:rsidRPr="004D4634">
        <w:t>more</w:t>
      </w:r>
      <w:proofErr w:type="spellEnd"/>
      <w:r w:rsidRPr="004D4634">
        <w:t xml:space="preserve"> </w:t>
      </w:r>
      <w:proofErr w:type="spellStart"/>
      <w:r w:rsidRPr="004D4634">
        <w:t>effective</w:t>
      </w:r>
      <w:proofErr w:type="spellEnd"/>
      <w:r w:rsidRPr="004D4634">
        <w:t xml:space="preserve"> </w:t>
      </w:r>
      <w:proofErr w:type="spellStart"/>
      <w:r w:rsidRPr="004D4634">
        <w:t>services</w:t>
      </w:r>
      <w:proofErr w:type="spellEnd"/>
      <w:r w:rsidRPr="004D4634">
        <w:t xml:space="preserve"> </w:t>
      </w:r>
      <w:proofErr w:type="spellStart"/>
      <w:r w:rsidRPr="004D4634">
        <w:t>to</w:t>
      </w:r>
      <w:proofErr w:type="spellEnd"/>
      <w:r w:rsidRPr="004D4634">
        <w:t xml:space="preserve"> </w:t>
      </w:r>
      <w:proofErr w:type="spellStart"/>
      <w:r w:rsidRPr="004D4634">
        <w:t>citizens</w:t>
      </w:r>
      <w:proofErr w:type="spellEnd"/>
      <w:r w:rsidRPr="004D4634">
        <w:t xml:space="preserve">. </w:t>
      </w:r>
      <w:r>
        <w:rPr>
          <w:bCs/>
        </w:rPr>
        <w:t xml:space="preserve"> </w:t>
      </w:r>
      <w:proofErr w:type="spellStart"/>
      <w:r>
        <w:rPr>
          <w:bCs/>
        </w:rPr>
        <w:t>F</w:t>
      </w:r>
      <w:r w:rsidRPr="00A6056C">
        <w:t>iling</w:t>
      </w:r>
      <w:proofErr w:type="spellEnd"/>
      <w:r w:rsidRPr="00A6056C">
        <w:t xml:space="preserve"> a </w:t>
      </w:r>
      <w:proofErr w:type="spellStart"/>
      <w:r w:rsidRPr="00A6056C">
        <w:t>crime</w:t>
      </w:r>
      <w:proofErr w:type="spellEnd"/>
      <w:r w:rsidRPr="00A6056C">
        <w:t xml:space="preserve"> </w:t>
      </w:r>
      <w:proofErr w:type="spellStart"/>
      <w:r w:rsidRPr="00A6056C">
        <w:t>report</w:t>
      </w:r>
      <w:proofErr w:type="spellEnd"/>
      <w:r>
        <w:t xml:space="preserve">, </w:t>
      </w:r>
      <w:proofErr w:type="spellStart"/>
      <w:r>
        <w:t>p</w:t>
      </w:r>
      <w:r w:rsidRPr="00A6056C">
        <w:t>aying</w:t>
      </w:r>
      <w:proofErr w:type="spellEnd"/>
      <w:r w:rsidRPr="00A6056C">
        <w:t xml:space="preserve"> </w:t>
      </w:r>
      <w:proofErr w:type="spellStart"/>
      <w:r w:rsidRPr="00A6056C">
        <w:t>traffic</w:t>
      </w:r>
      <w:proofErr w:type="spellEnd"/>
      <w:r w:rsidRPr="00A6056C">
        <w:t xml:space="preserve"> </w:t>
      </w:r>
      <w:proofErr w:type="spellStart"/>
      <w:r w:rsidRPr="00A6056C">
        <w:t>fines</w:t>
      </w:r>
      <w:proofErr w:type="spellEnd"/>
      <w:r>
        <w:t xml:space="preserve">, </w:t>
      </w:r>
      <w:proofErr w:type="spellStart"/>
      <w:r>
        <w:t>r</w:t>
      </w:r>
      <w:r w:rsidRPr="00A6056C">
        <w:t>eporting</w:t>
      </w:r>
      <w:proofErr w:type="spellEnd"/>
      <w:r w:rsidRPr="00A6056C">
        <w:t xml:space="preserve"> </w:t>
      </w:r>
      <w:proofErr w:type="spellStart"/>
      <w:r>
        <w:t>a</w:t>
      </w:r>
      <w:r w:rsidRPr="00A6056C">
        <w:t>ccidents</w:t>
      </w:r>
      <w:proofErr w:type="spellEnd"/>
      <w:r>
        <w:t xml:space="preserve">, </w:t>
      </w:r>
      <w:proofErr w:type="spellStart"/>
      <w:r>
        <w:t>l</w:t>
      </w:r>
      <w:r w:rsidRPr="00A6056C">
        <w:t>ost</w:t>
      </w:r>
      <w:proofErr w:type="spellEnd"/>
      <w:r>
        <w:t xml:space="preserve"> </w:t>
      </w:r>
      <w:proofErr w:type="spellStart"/>
      <w:r w:rsidRPr="00A6056C">
        <w:t>and</w:t>
      </w:r>
      <w:proofErr w:type="spellEnd"/>
      <w:r w:rsidRPr="00A6056C">
        <w:t xml:space="preserve"> </w:t>
      </w:r>
      <w:proofErr w:type="spellStart"/>
      <w:r>
        <w:t>f</w:t>
      </w:r>
      <w:r w:rsidRPr="00A6056C">
        <w:t>ound</w:t>
      </w:r>
      <w:proofErr w:type="spellEnd"/>
      <w:r w:rsidRPr="00A6056C">
        <w:t xml:space="preserve"> </w:t>
      </w:r>
      <w:proofErr w:type="spellStart"/>
      <w:r>
        <w:t>s</w:t>
      </w:r>
      <w:r w:rsidRPr="00A6056C">
        <w:t>ervices</w:t>
      </w:r>
      <w:proofErr w:type="spellEnd"/>
      <w:r>
        <w:t xml:space="preserve">, </w:t>
      </w:r>
      <w:proofErr w:type="spellStart"/>
      <w:r>
        <w:t>t</w:t>
      </w:r>
      <w:r w:rsidRPr="00A6056C">
        <w:t>ourist</w:t>
      </w:r>
      <w:proofErr w:type="spellEnd"/>
      <w:r w:rsidRPr="00A6056C">
        <w:t xml:space="preserve"> </w:t>
      </w:r>
      <w:proofErr w:type="spellStart"/>
      <w:r>
        <w:t>s</w:t>
      </w:r>
      <w:r w:rsidRPr="00A6056C">
        <w:t>ervices</w:t>
      </w:r>
      <w:proofErr w:type="spellEnd"/>
      <w:r>
        <w:t xml:space="preserve"> </w:t>
      </w:r>
      <w:proofErr w:type="spellStart"/>
      <w:r>
        <w:t>are</w:t>
      </w:r>
      <w:proofErr w:type="spellEnd"/>
      <w:r>
        <w:t xml:space="preserve"> </w:t>
      </w:r>
      <w:proofErr w:type="spellStart"/>
      <w:r>
        <w:t>offered</w:t>
      </w:r>
      <w:proofErr w:type="spellEnd"/>
      <w:r>
        <w:t xml:space="preserve"> </w:t>
      </w:r>
      <w:proofErr w:type="spellStart"/>
      <w:r>
        <w:t>by</w:t>
      </w:r>
      <w:proofErr w:type="spellEnd"/>
      <w:r>
        <w:t xml:space="preserve"> SPS </w:t>
      </w:r>
      <w:proofErr w:type="spellStart"/>
      <w:r>
        <w:t>with</w:t>
      </w:r>
      <w:proofErr w:type="spellEnd"/>
      <w:r>
        <w:t xml:space="preserve"> 7 </w:t>
      </w:r>
      <w:proofErr w:type="spellStart"/>
      <w:r>
        <w:t>language</w:t>
      </w:r>
      <w:proofErr w:type="spellEnd"/>
      <w:r>
        <w:t xml:space="preserve"> </w:t>
      </w:r>
      <w:proofErr w:type="spellStart"/>
      <w:r>
        <w:t>option</w:t>
      </w:r>
      <w:proofErr w:type="spellEnd"/>
      <w:r>
        <w:t>.</w:t>
      </w:r>
    </w:p>
    <w:p w14:paraId="43AD21F3" w14:textId="77777777" w:rsidR="008A2109" w:rsidRDefault="008A2109" w:rsidP="008A2109">
      <w:pPr>
        <w:adjustRightInd w:val="0"/>
        <w:jc w:val="both"/>
        <w:rPr>
          <w:bCs/>
        </w:rPr>
      </w:pPr>
    </w:p>
    <w:p w14:paraId="2C15FC4C" w14:textId="77777777" w:rsidR="008A2109" w:rsidRDefault="008A2109" w:rsidP="008A2109">
      <w:pPr>
        <w:adjustRightInd w:val="0"/>
        <w:jc w:val="both"/>
      </w:pPr>
      <w:proofErr w:type="spellStart"/>
      <w:r>
        <w:t>Abdulrahim</w:t>
      </w:r>
      <w:proofErr w:type="spellEnd"/>
      <w:r>
        <w:t xml:space="preserve"> (2024) </w:t>
      </w:r>
      <w:proofErr w:type="spellStart"/>
      <w:r w:rsidRPr="004C3722">
        <w:t>revealed</w:t>
      </w:r>
      <w:proofErr w:type="spellEnd"/>
      <w:r w:rsidRPr="004C3722">
        <w:t xml:space="preserve"> in </w:t>
      </w:r>
      <w:proofErr w:type="spellStart"/>
      <w:r w:rsidRPr="004C3722">
        <w:t>their</w:t>
      </w:r>
      <w:proofErr w:type="spellEnd"/>
      <w:r w:rsidRPr="004C3722">
        <w:t xml:space="preserve"> </w:t>
      </w:r>
      <w:proofErr w:type="spellStart"/>
      <w:r w:rsidRPr="004C3722">
        <w:t>research</w:t>
      </w:r>
      <w:proofErr w:type="spellEnd"/>
      <w:r w:rsidRPr="004C3722">
        <w:t xml:space="preserve"> </w:t>
      </w:r>
      <w:proofErr w:type="spellStart"/>
      <w:r w:rsidRPr="004C3722">
        <w:t>that</w:t>
      </w:r>
      <w:proofErr w:type="spellEnd"/>
      <w:r w:rsidRPr="004C3722">
        <w:t xml:space="preserve"> AI </w:t>
      </w:r>
      <w:proofErr w:type="spellStart"/>
      <w:r w:rsidRPr="004C3722">
        <w:t>integration</w:t>
      </w:r>
      <w:proofErr w:type="spellEnd"/>
      <w:r w:rsidRPr="004C3722">
        <w:t xml:space="preserve"> </w:t>
      </w:r>
      <w:proofErr w:type="spellStart"/>
      <w:r w:rsidRPr="004C3722">
        <w:t>significantly</w:t>
      </w:r>
      <w:proofErr w:type="spellEnd"/>
      <w:r w:rsidRPr="004C3722">
        <w:t xml:space="preserve"> </w:t>
      </w:r>
      <w:proofErr w:type="spellStart"/>
      <w:r w:rsidRPr="004C3722">
        <w:t>increases</w:t>
      </w:r>
      <w:proofErr w:type="spellEnd"/>
      <w:r w:rsidRPr="004C3722">
        <w:t xml:space="preserve"> </w:t>
      </w:r>
      <w:proofErr w:type="spellStart"/>
      <w:r w:rsidRPr="004C3722">
        <w:t>the</w:t>
      </w:r>
      <w:proofErr w:type="spellEnd"/>
      <w:r w:rsidRPr="004C3722">
        <w:t xml:space="preserve"> </w:t>
      </w:r>
      <w:proofErr w:type="spellStart"/>
      <w:r w:rsidRPr="004C3722">
        <w:t>operational</w:t>
      </w:r>
      <w:proofErr w:type="spellEnd"/>
      <w:r w:rsidRPr="004C3722">
        <w:t xml:space="preserve"> </w:t>
      </w:r>
      <w:proofErr w:type="spellStart"/>
      <w:r w:rsidRPr="004C3722">
        <w:t>efficiency</w:t>
      </w:r>
      <w:proofErr w:type="spellEnd"/>
      <w:r w:rsidRPr="004C3722">
        <w:t xml:space="preserve"> </w:t>
      </w:r>
      <w:proofErr w:type="spellStart"/>
      <w:r w:rsidRPr="004C3722">
        <w:t>and</w:t>
      </w:r>
      <w:proofErr w:type="spellEnd"/>
      <w:r w:rsidRPr="004C3722">
        <w:t xml:space="preserve"> </w:t>
      </w:r>
      <w:proofErr w:type="spellStart"/>
      <w:r w:rsidRPr="004C3722">
        <w:t>predictive</w:t>
      </w:r>
      <w:proofErr w:type="spellEnd"/>
      <w:r w:rsidRPr="004C3722">
        <w:t xml:space="preserve"> </w:t>
      </w:r>
      <w:proofErr w:type="spellStart"/>
      <w:r w:rsidRPr="004C3722">
        <w:t>capabilities</w:t>
      </w:r>
      <w:proofErr w:type="spellEnd"/>
      <w:r w:rsidRPr="004C3722">
        <w:t xml:space="preserve"> of Dubai </w:t>
      </w:r>
      <w:proofErr w:type="spellStart"/>
      <w:r w:rsidRPr="004C3722">
        <w:t>Police</w:t>
      </w:r>
      <w:proofErr w:type="spellEnd"/>
      <w:r w:rsidRPr="004C3722">
        <w:t xml:space="preserve"> </w:t>
      </w:r>
      <w:proofErr w:type="spellStart"/>
      <w:r w:rsidRPr="004C3722">
        <w:t>and</w:t>
      </w:r>
      <w:proofErr w:type="spellEnd"/>
      <w:r w:rsidRPr="004C3722">
        <w:t xml:space="preserve"> can </w:t>
      </w:r>
      <w:proofErr w:type="spellStart"/>
      <w:r w:rsidRPr="004C3722">
        <w:t>help</w:t>
      </w:r>
      <w:proofErr w:type="spellEnd"/>
      <w:r w:rsidRPr="004C3722">
        <w:t xml:space="preserve"> </w:t>
      </w:r>
      <w:proofErr w:type="spellStart"/>
      <w:r w:rsidRPr="004C3722">
        <w:t>solve</w:t>
      </w:r>
      <w:proofErr w:type="spellEnd"/>
      <w:r w:rsidRPr="004C3722">
        <w:t xml:space="preserve"> </w:t>
      </w:r>
      <w:proofErr w:type="spellStart"/>
      <w:r w:rsidRPr="004C3722">
        <w:t>these</w:t>
      </w:r>
      <w:proofErr w:type="spellEnd"/>
      <w:r w:rsidRPr="004C3722">
        <w:t xml:space="preserve"> </w:t>
      </w:r>
      <w:proofErr w:type="spellStart"/>
      <w:r w:rsidRPr="004C3722">
        <w:t>problems</w:t>
      </w:r>
      <w:proofErr w:type="spellEnd"/>
      <w:r w:rsidRPr="004C3722">
        <w:t xml:space="preserve"> </w:t>
      </w:r>
      <w:proofErr w:type="spellStart"/>
      <w:r w:rsidRPr="004C3722">
        <w:t>by</w:t>
      </w:r>
      <w:proofErr w:type="spellEnd"/>
      <w:r w:rsidRPr="004C3722">
        <w:t xml:space="preserve"> </w:t>
      </w:r>
      <w:proofErr w:type="spellStart"/>
      <w:r w:rsidRPr="004C3722">
        <w:t>effectively</w:t>
      </w:r>
      <w:proofErr w:type="spellEnd"/>
      <w:r w:rsidRPr="004C3722">
        <w:t xml:space="preserve"> </w:t>
      </w:r>
      <w:proofErr w:type="spellStart"/>
      <w:r w:rsidRPr="004C3722">
        <w:t>warning</w:t>
      </w:r>
      <w:proofErr w:type="spellEnd"/>
      <w:r w:rsidRPr="004C3722">
        <w:t xml:space="preserve"> </w:t>
      </w:r>
      <w:proofErr w:type="spellStart"/>
      <w:r w:rsidRPr="004C3722">
        <w:t>people</w:t>
      </w:r>
      <w:proofErr w:type="spellEnd"/>
      <w:r w:rsidRPr="004C3722">
        <w:t xml:space="preserve"> </w:t>
      </w:r>
      <w:proofErr w:type="spellStart"/>
      <w:r w:rsidRPr="004C3722">
        <w:t>about</w:t>
      </w:r>
      <w:proofErr w:type="spellEnd"/>
      <w:r w:rsidRPr="004C3722">
        <w:t xml:space="preserve"> </w:t>
      </w:r>
      <w:proofErr w:type="spellStart"/>
      <w:r w:rsidRPr="004C3722">
        <w:t>possible</w:t>
      </w:r>
      <w:proofErr w:type="spellEnd"/>
      <w:r w:rsidRPr="004C3722">
        <w:t xml:space="preserve"> </w:t>
      </w:r>
      <w:proofErr w:type="spellStart"/>
      <w:r w:rsidRPr="004C3722">
        <w:t>criminal</w:t>
      </w:r>
      <w:proofErr w:type="spellEnd"/>
      <w:r w:rsidRPr="004C3722">
        <w:t xml:space="preserve"> </w:t>
      </w:r>
      <w:proofErr w:type="spellStart"/>
      <w:r w:rsidRPr="004C3722">
        <w:t>activities</w:t>
      </w:r>
      <w:proofErr w:type="spellEnd"/>
      <w:r w:rsidRPr="004C3722">
        <w:t xml:space="preserve">. </w:t>
      </w:r>
      <w:proofErr w:type="spellStart"/>
      <w:r w:rsidRPr="004C3722">
        <w:t>However</w:t>
      </w:r>
      <w:proofErr w:type="spellEnd"/>
      <w:r w:rsidRPr="004C3722">
        <w:t xml:space="preserve">, it is </w:t>
      </w:r>
      <w:proofErr w:type="spellStart"/>
      <w:r w:rsidRPr="004C3722">
        <w:t>very</w:t>
      </w:r>
      <w:proofErr w:type="spellEnd"/>
      <w:r w:rsidRPr="004C3722">
        <w:t xml:space="preserve"> </w:t>
      </w:r>
      <w:proofErr w:type="spellStart"/>
      <w:r w:rsidRPr="004C3722">
        <w:t>important</w:t>
      </w:r>
      <w:proofErr w:type="spellEnd"/>
      <w:r w:rsidRPr="004C3722">
        <w:t xml:space="preserve"> </w:t>
      </w:r>
      <w:proofErr w:type="spellStart"/>
      <w:r w:rsidRPr="004C3722">
        <w:t>to</w:t>
      </w:r>
      <w:proofErr w:type="spellEnd"/>
      <w:r w:rsidRPr="004C3722">
        <w:t xml:space="preserve"> </w:t>
      </w:r>
      <w:proofErr w:type="spellStart"/>
      <w:r w:rsidRPr="004C3722">
        <w:t>implement</w:t>
      </w:r>
      <w:proofErr w:type="spellEnd"/>
      <w:r w:rsidRPr="004C3722">
        <w:t xml:space="preserve"> </w:t>
      </w:r>
      <w:proofErr w:type="spellStart"/>
      <w:r w:rsidRPr="004C3722">
        <w:t>applications</w:t>
      </w:r>
      <w:proofErr w:type="spellEnd"/>
      <w:r w:rsidRPr="004C3722">
        <w:t xml:space="preserve"> </w:t>
      </w:r>
      <w:proofErr w:type="spellStart"/>
      <w:r w:rsidRPr="004C3722">
        <w:t>that</w:t>
      </w:r>
      <w:proofErr w:type="spellEnd"/>
      <w:r w:rsidRPr="004C3722">
        <w:t xml:space="preserve"> </w:t>
      </w:r>
      <w:proofErr w:type="spellStart"/>
      <w:r w:rsidRPr="004C3722">
        <w:t>focus</w:t>
      </w:r>
      <w:proofErr w:type="spellEnd"/>
      <w:r w:rsidRPr="004C3722">
        <w:t xml:space="preserve"> on </w:t>
      </w:r>
      <w:proofErr w:type="spellStart"/>
      <w:r w:rsidRPr="004C3722">
        <w:t>the</w:t>
      </w:r>
      <w:proofErr w:type="spellEnd"/>
      <w:r w:rsidRPr="004C3722">
        <w:t xml:space="preserve"> </w:t>
      </w:r>
      <w:proofErr w:type="spellStart"/>
      <w:r w:rsidRPr="004C3722">
        <w:t>benefits</w:t>
      </w:r>
      <w:proofErr w:type="spellEnd"/>
      <w:r w:rsidRPr="004C3722">
        <w:t xml:space="preserve"> of AI </w:t>
      </w:r>
      <w:proofErr w:type="spellStart"/>
      <w:r w:rsidRPr="004C3722">
        <w:t>without</w:t>
      </w:r>
      <w:proofErr w:type="spellEnd"/>
      <w:r w:rsidRPr="004C3722">
        <w:t xml:space="preserve"> </w:t>
      </w:r>
      <w:proofErr w:type="spellStart"/>
      <w:r w:rsidRPr="004C3722">
        <w:t>compromising</w:t>
      </w:r>
      <w:proofErr w:type="spellEnd"/>
      <w:r w:rsidRPr="004C3722">
        <w:t xml:space="preserve"> </w:t>
      </w:r>
      <w:proofErr w:type="spellStart"/>
      <w:r w:rsidRPr="004C3722">
        <w:t>ethical</w:t>
      </w:r>
      <w:proofErr w:type="spellEnd"/>
      <w:r w:rsidRPr="004C3722">
        <w:t xml:space="preserve"> </w:t>
      </w:r>
      <w:proofErr w:type="spellStart"/>
      <w:r w:rsidRPr="004C3722">
        <w:t>standards</w:t>
      </w:r>
      <w:proofErr w:type="spellEnd"/>
      <w:r w:rsidRPr="004C3722">
        <w:t xml:space="preserve"> </w:t>
      </w:r>
      <w:proofErr w:type="spellStart"/>
      <w:r w:rsidRPr="004C3722">
        <w:t>and</w:t>
      </w:r>
      <w:proofErr w:type="spellEnd"/>
      <w:r w:rsidRPr="004C3722">
        <w:t xml:space="preserve"> </w:t>
      </w:r>
      <w:proofErr w:type="spellStart"/>
      <w:r w:rsidRPr="004C3722">
        <w:t>human</w:t>
      </w:r>
      <w:proofErr w:type="spellEnd"/>
      <w:r w:rsidRPr="004C3722">
        <w:t xml:space="preserve"> </w:t>
      </w:r>
      <w:proofErr w:type="spellStart"/>
      <w:r w:rsidRPr="004C3722">
        <w:t>rights</w:t>
      </w:r>
      <w:proofErr w:type="spellEnd"/>
      <w:r w:rsidRPr="004C3722">
        <w:t xml:space="preserve">. </w:t>
      </w:r>
      <w:proofErr w:type="spellStart"/>
      <w:r w:rsidRPr="004C3722">
        <w:t>In</w:t>
      </w:r>
      <w:proofErr w:type="spellEnd"/>
      <w:r w:rsidRPr="004C3722">
        <w:t xml:space="preserve"> </w:t>
      </w:r>
      <w:proofErr w:type="spellStart"/>
      <w:r w:rsidRPr="004C3722">
        <w:t>this</w:t>
      </w:r>
      <w:proofErr w:type="spellEnd"/>
      <w:r w:rsidRPr="004C3722">
        <w:t xml:space="preserve"> sense, </w:t>
      </w:r>
      <w:proofErr w:type="spellStart"/>
      <w:r w:rsidRPr="004C3722">
        <w:t>there</w:t>
      </w:r>
      <w:proofErr w:type="spellEnd"/>
      <w:r w:rsidRPr="004C3722">
        <w:t xml:space="preserve"> </w:t>
      </w:r>
      <w:proofErr w:type="spellStart"/>
      <w:r w:rsidRPr="004C3722">
        <w:t>are</w:t>
      </w:r>
      <w:proofErr w:type="spellEnd"/>
      <w:r w:rsidRPr="004C3722">
        <w:t xml:space="preserve"> </w:t>
      </w:r>
      <w:proofErr w:type="spellStart"/>
      <w:r w:rsidRPr="004C3722">
        <w:t>many</w:t>
      </w:r>
      <w:proofErr w:type="spellEnd"/>
      <w:r w:rsidRPr="004C3722">
        <w:t xml:space="preserve"> </w:t>
      </w:r>
      <w:proofErr w:type="spellStart"/>
      <w:r w:rsidRPr="004C3722">
        <w:t>unknowns</w:t>
      </w:r>
      <w:proofErr w:type="spellEnd"/>
      <w:r w:rsidRPr="004C3722">
        <w:t xml:space="preserve"> </w:t>
      </w:r>
      <w:proofErr w:type="spellStart"/>
      <w:r w:rsidRPr="004C3722">
        <w:t>regarding</w:t>
      </w:r>
      <w:proofErr w:type="spellEnd"/>
      <w:r w:rsidRPr="004C3722">
        <w:t xml:space="preserve"> </w:t>
      </w:r>
      <w:proofErr w:type="spellStart"/>
      <w:r w:rsidRPr="004C3722">
        <w:t>the</w:t>
      </w:r>
      <w:proofErr w:type="spellEnd"/>
      <w:r w:rsidRPr="004C3722">
        <w:t xml:space="preserve"> legal </w:t>
      </w:r>
      <w:proofErr w:type="spellStart"/>
      <w:r w:rsidRPr="004C3722">
        <w:t>and</w:t>
      </w:r>
      <w:proofErr w:type="spellEnd"/>
      <w:r w:rsidRPr="004C3722">
        <w:t xml:space="preserve"> </w:t>
      </w:r>
      <w:proofErr w:type="spellStart"/>
      <w:r w:rsidRPr="004C3722">
        <w:t>ethical</w:t>
      </w:r>
      <w:proofErr w:type="spellEnd"/>
      <w:r w:rsidRPr="004C3722">
        <w:t xml:space="preserve"> </w:t>
      </w:r>
      <w:proofErr w:type="spellStart"/>
      <w:r w:rsidRPr="004C3722">
        <w:t>dimensions</w:t>
      </w:r>
      <w:proofErr w:type="spellEnd"/>
      <w:r w:rsidRPr="004C3722">
        <w:t xml:space="preserve"> of </w:t>
      </w:r>
      <w:proofErr w:type="spellStart"/>
      <w:r w:rsidRPr="004C3722">
        <w:t>the</w:t>
      </w:r>
      <w:proofErr w:type="spellEnd"/>
      <w:r w:rsidRPr="004C3722">
        <w:t xml:space="preserve"> </w:t>
      </w:r>
      <w:proofErr w:type="spellStart"/>
      <w:r w:rsidRPr="004C3722">
        <w:t>use</w:t>
      </w:r>
      <w:proofErr w:type="spellEnd"/>
      <w:r w:rsidRPr="004C3722">
        <w:t xml:space="preserve"> of AI in </w:t>
      </w:r>
      <w:proofErr w:type="spellStart"/>
      <w:r w:rsidRPr="004C3722">
        <w:t>police</w:t>
      </w:r>
      <w:proofErr w:type="spellEnd"/>
      <w:r w:rsidRPr="004C3722">
        <w:t xml:space="preserve"> </w:t>
      </w:r>
      <w:proofErr w:type="spellStart"/>
      <w:r w:rsidRPr="004C3722">
        <w:t>services</w:t>
      </w:r>
      <w:proofErr w:type="spellEnd"/>
      <w:r w:rsidRPr="004C3722">
        <w:t xml:space="preserve">. </w:t>
      </w:r>
      <w:proofErr w:type="spellStart"/>
      <w:r w:rsidRPr="004C3722">
        <w:t>More</w:t>
      </w:r>
      <w:proofErr w:type="spellEnd"/>
      <w:r w:rsidRPr="004C3722">
        <w:t xml:space="preserve"> </w:t>
      </w:r>
      <w:proofErr w:type="spellStart"/>
      <w:r w:rsidRPr="004C3722">
        <w:t>research</w:t>
      </w:r>
      <w:proofErr w:type="spellEnd"/>
      <w:r w:rsidRPr="004C3722">
        <w:t xml:space="preserve"> </w:t>
      </w:r>
      <w:proofErr w:type="spellStart"/>
      <w:r w:rsidRPr="004C3722">
        <w:t>needs</w:t>
      </w:r>
      <w:proofErr w:type="spellEnd"/>
      <w:r w:rsidRPr="004C3722">
        <w:t xml:space="preserve"> </w:t>
      </w:r>
      <w:proofErr w:type="spellStart"/>
      <w:r w:rsidRPr="004C3722">
        <w:t>to</w:t>
      </w:r>
      <w:proofErr w:type="spellEnd"/>
      <w:r w:rsidRPr="004C3722">
        <w:t xml:space="preserve"> be </w:t>
      </w:r>
      <w:proofErr w:type="gramStart"/>
      <w:r w:rsidRPr="004C3722">
        <w:t>done</w:t>
      </w:r>
      <w:proofErr w:type="gramEnd"/>
      <w:r w:rsidRPr="004C3722">
        <w:t xml:space="preserve"> on how </w:t>
      </w:r>
      <w:proofErr w:type="spellStart"/>
      <w:r w:rsidRPr="004C3722">
        <w:t>successful</w:t>
      </w:r>
      <w:proofErr w:type="spellEnd"/>
      <w:r w:rsidRPr="004C3722">
        <w:t xml:space="preserve"> </w:t>
      </w:r>
      <w:proofErr w:type="spellStart"/>
      <w:r w:rsidRPr="004C3722">
        <w:t>the</w:t>
      </w:r>
      <w:proofErr w:type="spellEnd"/>
      <w:r w:rsidRPr="004C3722">
        <w:t xml:space="preserve"> </w:t>
      </w:r>
      <w:proofErr w:type="spellStart"/>
      <w:r w:rsidRPr="004C3722">
        <w:t>use</w:t>
      </w:r>
      <w:proofErr w:type="spellEnd"/>
      <w:r w:rsidRPr="004C3722">
        <w:t xml:space="preserve"> of AI in </w:t>
      </w:r>
      <w:proofErr w:type="spellStart"/>
      <w:r>
        <w:t>SPSs</w:t>
      </w:r>
      <w:proofErr w:type="spellEnd"/>
      <w:r w:rsidRPr="004C3722">
        <w:t xml:space="preserve"> is in </w:t>
      </w:r>
      <w:proofErr w:type="spellStart"/>
      <w:r w:rsidRPr="004C3722">
        <w:t>meeting</w:t>
      </w:r>
      <w:proofErr w:type="spellEnd"/>
      <w:r w:rsidRPr="004C3722">
        <w:t xml:space="preserve"> </w:t>
      </w:r>
      <w:proofErr w:type="spellStart"/>
      <w:r w:rsidRPr="004C3722">
        <w:t>the</w:t>
      </w:r>
      <w:proofErr w:type="spellEnd"/>
      <w:r w:rsidRPr="004C3722">
        <w:t xml:space="preserve"> </w:t>
      </w:r>
      <w:proofErr w:type="spellStart"/>
      <w:r w:rsidRPr="004C3722">
        <w:t>principles</w:t>
      </w:r>
      <w:proofErr w:type="spellEnd"/>
      <w:r w:rsidRPr="004C3722">
        <w:t xml:space="preserve"> of </w:t>
      </w:r>
      <w:proofErr w:type="spellStart"/>
      <w:r w:rsidRPr="004C3722">
        <w:t>transparency</w:t>
      </w:r>
      <w:proofErr w:type="spellEnd"/>
      <w:r w:rsidRPr="004C3722">
        <w:t xml:space="preserve">, </w:t>
      </w:r>
      <w:proofErr w:type="spellStart"/>
      <w:r w:rsidRPr="004C3722">
        <w:t>accountability</w:t>
      </w:r>
      <w:proofErr w:type="spellEnd"/>
      <w:r w:rsidRPr="004C3722">
        <w:t xml:space="preserve"> </w:t>
      </w:r>
      <w:proofErr w:type="spellStart"/>
      <w:r w:rsidRPr="004C3722">
        <w:t>and</w:t>
      </w:r>
      <w:proofErr w:type="spellEnd"/>
      <w:r w:rsidRPr="004C3722">
        <w:t xml:space="preserve"> </w:t>
      </w:r>
      <w:proofErr w:type="spellStart"/>
      <w:r w:rsidRPr="004C3722">
        <w:t>justice</w:t>
      </w:r>
      <w:proofErr w:type="spellEnd"/>
      <w:r w:rsidRPr="004C3722">
        <w:t xml:space="preserve"> </w:t>
      </w:r>
      <w:proofErr w:type="spellStart"/>
      <w:r w:rsidRPr="004C3722">
        <w:t>and</w:t>
      </w:r>
      <w:proofErr w:type="spellEnd"/>
      <w:r w:rsidRPr="004C3722">
        <w:t xml:space="preserve"> </w:t>
      </w:r>
      <w:proofErr w:type="spellStart"/>
      <w:r w:rsidRPr="004C3722">
        <w:t>its</w:t>
      </w:r>
      <w:proofErr w:type="spellEnd"/>
      <w:r w:rsidRPr="004C3722">
        <w:t xml:space="preserve"> </w:t>
      </w:r>
      <w:proofErr w:type="spellStart"/>
      <w:r w:rsidRPr="004C3722">
        <w:t>concrete</w:t>
      </w:r>
      <w:proofErr w:type="spellEnd"/>
      <w:r w:rsidRPr="004C3722">
        <w:t xml:space="preserve"> </w:t>
      </w:r>
      <w:proofErr w:type="spellStart"/>
      <w:r w:rsidRPr="004C3722">
        <w:t>effects</w:t>
      </w:r>
      <w:proofErr w:type="spellEnd"/>
      <w:r w:rsidRPr="004C3722">
        <w:t>.</w:t>
      </w:r>
    </w:p>
    <w:p w14:paraId="5F694CEC" w14:textId="77777777" w:rsidR="008A2109" w:rsidRDefault="008A2109" w:rsidP="008A2109">
      <w:pPr>
        <w:adjustRightInd w:val="0"/>
        <w:jc w:val="both"/>
      </w:pPr>
    </w:p>
    <w:p w14:paraId="01318234" w14:textId="77777777" w:rsidR="008A2109" w:rsidRDefault="008A2109" w:rsidP="008A2109">
      <w:pPr>
        <w:adjustRightInd w:val="0"/>
        <w:jc w:val="both"/>
      </w:pPr>
    </w:p>
    <w:p w14:paraId="627CC583" w14:textId="77777777" w:rsidR="008A2109" w:rsidRDefault="008A2109" w:rsidP="008A2109">
      <w:pPr>
        <w:jc w:val="both"/>
        <w:rPr>
          <w:b/>
          <w:bCs/>
        </w:rPr>
      </w:pPr>
      <w:proofErr w:type="spellStart"/>
      <w:r w:rsidRPr="004442A8">
        <w:rPr>
          <w:b/>
          <w:bCs/>
        </w:rPr>
        <w:lastRenderedPageBreak/>
        <w:t>References</w:t>
      </w:r>
      <w:proofErr w:type="spellEnd"/>
    </w:p>
    <w:p w14:paraId="67B2293D" w14:textId="77777777" w:rsidR="008A2109" w:rsidRPr="008A2109" w:rsidRDefault="008A2109" w:rsidP="008A2109">
      <w:pPr>
        <w:pStyle w:val="ListeParagraf"/>
        <w:numPr>
          <w:ilvl w:val="0"/>
          <w:numId w:val="97"/>
        </w:numPr>
        <w:jc w:val="both"/>
        <w:rPr>
          <w:b/>
          <w:bCs/>
        </w:rPr>
      </w:pPr>
      <w:proofErr w:type="spellStart"/>
      <w:r w:rsidRPr="004C3722">
        <w:t>Abdulrahim</w:t>
      </w:r>
      <w:proofErr w:type="spellEnd"/>
      <w:r w:rsidRPr="004C3722">
        <w:t>, A. S. (2024). </w:t>
      </w:r>
      <w:proofErr w:type="spellStart"/>
      <w:r w:rsidRPr="004C3722">
        <w:t>Reduction</w:t>
      </w:r>
      <w:proofErr w:type="spellEnd"/>
      <w:r w:rsidRPr="004C3722">
        <w:t xml:space="preserve"> of </w:t>
      </w:r>
      <w:proofErr w:type="spellStart"/>
      <w:r w:rsidRPr="004C3722">
        <w:t>Crimes</w:t>
      </w:r>
      <w:proofErr w:type="spellEnd"/>
      <w:r w:rsidRPr="004C3722">
        <w:t xml:space="preserve"> in Dubai </w:t>
      </w:r>
      <w:proofErr w:type="spellStart"/>
      <w:r w:rsidRPr="004C3722">
        <w:t>with</w:t>
      </w:r>
      <w:proofErr w:type="spellEnd"/>
      <w:r w:rsidRPr="004C3722">
        <w:t xml:space="preserve"> </w:t>
      </w:r>
      <w:proofErr w:type="spellStart"/>
      <w:r w:rsidRPr="004C3722">
        <w:t>the</w:t>
      </w:r>
      <w:proofErr w:type="spellEnd"/>
      <w:r w:rsidRPr="004C3722">
        <w:t xml:space="preserve"> </w:t>
      </w:r>
      <w:proofErr w:type="spellStart"/>
      <w:r w:rsidRPr="004C3722">
        <w:t>use</w:t>
      </w:r>
      <w:proofErr w:type="spellEnd"/>
      <w:r w:rsidRPr="004C3722">
        <w:t xml:space="preserve"> of </w:t>
      </w:r>
      <w:proofErr w:type="spellStart"/>
      <w:r w:rsidRPr="004C3722">
        <w:t>Artificial</w:t>
      </w:r>
      <w:proofErr w:type="spellEnd"/>
      <w:r w:rsidRPr="004C3722">
        <w:t xml:space="preserve"> </w:t>
      </w:r>
      <w:proofErr w:type="spellStart"/>
      <w:r w:rsidRPr="004C3722">
        <w:t>Intelligence</w:t>
      </w:r>
      <w:proofErr w:type="spellEnd"/>
      <w:r w:rsidRPr="004C3722">
        <w:t> (</w:t>
      </w:r>
      <w:proofErr w:type="spellStart"/>
      <w:r w:rsidRPr="004C3722">
        <w:t>Master's</w:t>
      </w:r>
      <w:proofErr w:type="spellEnd"/>
      <w:r w:rsidRPr="004C3722">
        <w:t xml:space="preserve"> </w:t>
      </w:r>
      <w:proofErr w:type="spellStart"/>
      <w:r w:rsidRPr="004C3722">
        <w:t>thesis</w:t>
      </w:r>
      <w:proofErr w:type="spellEnd"/>
      <w:r w:rsidRPr="004C3722">
        <w:t xml:space="preserve">, Rochester </w:t>
      </w:r>
      <w:proofErr w:type="spellStart"/>
      <w:r w:rsidRPr="004C3722">
        <w:t>Institute</w:t>
      </w:r>
      <w:proofErr w:type="spellEnd"/>
      <w:r w:rsidRPr="004C3722">
        <w:t xml:space="preserve"> of </w:t>
      </w:r>
      <w:proofErr w:type="spellStart"/>
      <w:r w:rsidRPr="004C3722">
        <w:t>Technology</w:t>
      </w:r>
      <w:proofErr w:type="spellEnd"/>
      <w:r w:rsidRPr="004C3722">
        <w:t>).</w:t>
      </w:r>
    </w:p>
    <w:p w14:paraId="38E4E7F2" w14:textId="77777777" w:rsidR="008A2109" w:rsidRPr="001D1A8A" w:rsidRDefault="008A2109" w:rsidP="008A2109">
      <w:pPr>
        <w:pStyle w:val="ListeParagraf"/>
        <w:numPr>
          <w:ilvl w:val="0"/>
          <w:numId w:val="97"/>
        </w:numPr>
        <w:jc w:val="both"/>
      </w:pPr>
      <w:r w:rsidRPr="008A2109">
        <w:rPr>
          <w:color w:val="222222"/>
        </w:rPr>
        <w:t xml:space="preserve">Aydın, M. S. (2024). Kamu hizmetlerinin sunumunda yapay zekâ kullanımı. </w:t>
      </w:r>
      <w:r w:rsidRPr="008A2109">
        <w:rPr>
          <w:i/>
          <w:color w:val="222222"/>
        </w:rPr>
        <w:t>Uluslararası Sosyal Siyasal ve Mali Araştırmalar Dergisi</w:t>
      </w:r>
      <w:r w:rsidRPr="008A2109">
        <w:rPr>
          <w:color w:val="222222"/>
        </w:rPr>
        <w:t xml:space="preserve">, </w:t>
      </w:r>
      <w:r w:rsidRPr="008A2109">
        <w:rPr>
          <w:i/>
          <w:color w:val="222222"/>
        </w:rPr>
        <w:t>4</w:t>
      </w:r>
      <w:r w:rsidRPr="008A2109">
        <w:rPr>
          <w:color w:val="222222"/>
        </w:rPr>
        <w:t xml:space="preserve">(2), 171-186. </w:t>
      </w:r>
      <w:hyperlink r:id="rId278" w:tgtFrame="_blank" w:history="1">
        <w:r w:rsidRPr="008A2109">
          <w:rPr>
            <w:rStyle w:val="Kpr"/>
            <w:rFonts w:eastAsiaTheme="majorEastAsia"/>
            <w:sz w:val="21"/>
            <w:szCs w:val="21"/>
          </w:rPr>
          <w:t>https://doi.org/10.70101/ussmad.1520892</w:t>
        </w:r>
      </w:hyperlink>
    </w:p>
    <w:p w14:paraId="40A30023" w14:textId="77777777" w:rsidR="008A2109" w:rsidRDefault="008A2109" w:rsidP="008A2109">
      <w:pPr>
        <w:pStyle w:val="ListeParagraf"/>
        <w:numPr>
          <w:ilvl w:val="0"/>
          <w:numId w:val="97"/>
        </w:numPr>
        <w:jc w:val="both"/>
      </w:pPr>
      <w:proofErr w:type="spellStart"/>
      <w:r>
        <w:t>Bailey</w:t>
      </w:r>
      <w:proofErr w:type="spellEnd"/>
      <w:r>
        <w:t xml:space="preserve">, D., &amp; </w:t>
      </w:r>
      <w:proofErr w:type="spellStart"/>
      <w:r>
        <w:t>Barley</w:t>
      </w:r>
      <w:proofErr w:type="spellEnd"/>
      <w:r>
        <w:t xml:space="preserve">, S. (2019). Beyond </w:t>
      </w:r>
      <w:proofErr w:type="spellStart"/>
      <w:r>
        <w:t>design</w:t>
      </w:r>
      <w:proofErr w:type="spellEnd"/>
      <w:r>
        <w:t xml:space="preserve"> </w:t>
      </w:r>
      <w:proofErr w:type="spellStart"/>
      <w:r>
        <w:t>and</w:t>
      </w:r>
      <w:proofErr w:type="spellEnd"/>
      <w:r>
        <w:t xml:space="preserve"> </w:t>
      </w:r>
      <w:proofErr w:type="spellStart"/>
      <w:r>
        <w:t>use</w:t>
      </w:r>
      <w:proofErr w:type="spellEnd"/>
      <w:r>
        <w:t xml:space="preserve">: how </w:t>
      </w:r>
      <w:proofErr w:type="spellStart"/>
      <w:r>
        <w:t>scholars</w:t>
      </w:r>
      <w:proofErr w:type="spellEnd"/>
      <w:r>
        <w:t xml:space="preserve"> </w:t>
      </w:r>
      <w:proofErr w:type="spellStart"/>
      <w:r>
        <w:t>should</w:t>
      </w:r>
      <w:proofErr w:type="spellEnd"/>
      <w:r>
        <w:t xml:space="preserve"> </w:t>
      </w:r>
      <w:proofErr w:type="spellStart"/>
      <w:r>
        <w:t>study</w:t>
      </w:r>
      <w:proofErr w:type="spellEnd"/>
      <w:r>
        <w:t xml:space="preserve"> </w:t>
      </w:r>
      <w:proofErr w:type="spellStart"/>
      <w:r>
        <w:t>intelligent</w:t>
      </w:r>
      <w:proofErr w:type="spellEnd"/>
      <w:r>
        <w:t xml:space="preserve"> </w:t>
      </w:r>
      <w:proofErr w:type="spellStart"/>
      <w:r>
        <w:t>technologies</w:t>
      </w:r>
      <w:proofErr w:type="spellEnd"/>
      <w:r>
        <w:t xml:space="preserve">. </w:t>
      </w:r>
      <w:r w:rsidRPr="008A2109">
        <w:rPr>
          <w:i/>
        </w:rPr>
        <w:t xml:space="preserve">Information </w:t>
      </w:r>
      <w:proofErr w:type="spellStart"/>
      <w:r w:rsidRPr="008A2109">
        <w:rPr>
          <w:i/>
        </w:rPr>
        <w:t>and</w:t>
      </w:r>
      <w:proofErr w:type="spellEnd"/>
      <w:r w:rsidRPr="008A2109">
        <w:rPr>
          <w:i/>
        </w:rPr>
        <w:t xml:space="preserve"> </w:t>
      </w:r>
      <w:proofErr w:type="spellStart"/>
      <w:r w:rsidRPr="008A2109">
        <w:rPr>
          <w:i/>
        </w:rPr>
        <w:t>Organization</w:t>
      </w:r>
      <w:proofErr w:type="spellEnd"/>
      <w:r w:rsidRPr="001D1A8A">
        <w:t xml:space="preserve">, </w:t>
      </w:r>
      <w:r w:rsidRPr="008A2109">
        <w:rPr>
          <w:i/>
        </w:rPr>
        <w:t>30</w:t>
      </w:r>
      <w:r w:rsidRPr="001D1A8A">
        <w:t xml:space="preserve"> (2), 1-12. </w:t>
      </w:r>
      <w:hyperlink r:id="rId279" w:tgtFrame="_blank" w:history="1">
        <w:r w:rsidRPr="008A2109">
          <w:rPr>
            <w:rStyle w:val="Kpr"/>
            <w:rFonts w:eastAsiaTheme="majorEastAsia"/>
          </w:rPr>
          <w:t>https://doi.org/10.1016/j.infoandorg.2019.100286</w:t>
        </w:r>
      </w:hyperlink>
    </w:p>
    <w:p w14:paraId="484914A8" w14:textId="77777777" w:rsidR="008A2109" w:rsidRPr="008A2109" w:rsidRDefault="008A2109" w:rsidP="008A2109">
      <w:pPr>
        <w:pStyle w:val="ListeParagraf"/>
        <w:numPr>
          <w:ilvl w:val="0"/>
          <w:numId w:val="97"/>
        </w:numPr>
        <w:jc w:val="both"/>
        <w:rPr>
          <w:i/>
        </w:rPr>
      </w:pPr>
      <w:r>
        <w:t xml:space="preserve">Benito, A.  (2024).  </w:t>
      </w:r>
      <w:r w:rsidRPr="008A2109">
        <w:rPr>
          <w:i/>
        </w:rPr>
        <w:t xml:space="preserve">Dubai </w:t>
      </w:r>
      <w:proofErr w:type="spellStart"/>
      <w:r w:rsidRPr="008A2109">
        <w:rPr>
          <w:i/>
        </w:rPr>
        <w:t>police</w:t>
      </w:r>
      <w:proofErr w:type="spellEnd"/>
      <w:r w:rsidRPr="008A2109">
        <w:rPr>
          <w:i/>
        </w:rPr>
        <w:t xml:space="preserve"> </w:t>
      </w:r>
      <w:proofErr w:type="spellStart"/>
      <w:r w:rsidRPr="008A2109">
        <w:rPr>
          <w:i/>
        </w:rPr>
        <w:t>will</w:t>
      </w:r>
      <w:proofErr w:type="spellEnd"/>
      <w:r w:rsidRPr="008A2109">
        <w:rPr>
          <w:i/>
        </w:rPr>
        <w:t xml:space="preserve"> </w:t>
      </w:r>
      <w:proofErr w:type="spellStart"/>
      <w:r w:rsidRPr="008A2109">
        <w:rPr>
          <w:i/>
        </w:rPr>
        <w:t>have</w:t>
      </w:r>
      <w:proofErr w:type="spellEnd"/>
      <w:r w:rsidRPr="008A2109">
        <w:rPr>
          <w:i/>
        </w:rPr>
        <w:t xml:space="preserve"> </w:t>
      </w:r>
      <w:proofErr w:type="spellStart"/>
      <w:r w:rsidRPr="008A2109">
        <w:rPr>
          <w:i/>
        </w:rPr>
        <w:t>its</w:t>
      </w:r>
      <w:proofErr w:type="spellEnd"/>
      <w:r w:rsidRPr="008A2109">
        <w:rPr>
          <w:i/>
        </w:rPr>
        <w:t xml:space="preserve"> </w:t>
      </w:r>
      <w:proofErr w:type="spellStart"/>
      <w:r w:rsidRPr="008A2109">
        <w:rPr>
          <w:i/>
        </w:rPr>
        <w:t>first</w:t>
      </w:r>
      <w:proofErr w:type="spellEnd"/>
      <w:r w:rsidRPr="008A2109">
        <w:rPr>
          <w:i/>
        </w:rPr>
        <w:t xml:space="preserve"> </w:t>
      </w:r>
      <w:proofErr w:type="spellStart"/>
      <w:r w:rsidRPr="008A2109">
        <w:rPr>
          <w:i/>
        </w:rPr>
        <w:t>floating</w:t>
      </w:r>
      <w:proofErr w:type="spellEnd"/>
      <w:r w:rsidRPr="008A2109">
        <w:rPr>
          <w:i/>
        </w:rPr>
        <w:t xml:space="preserve"> </w:t>
      </w:r>
      <w:proofErr w:type="spellStart"/>
      <w:r w:rsidRPr="008A2109">
        <w:rPr>
          <w:i/>
        </w:rPr>
        <w:t>smart</w:t>
      </w:r>
      <w:proofErr w:type="spellEnd"/>
      <w:r w:rsidRPr="008A2109">
        <w:rPr>
          <w:i/>
        </w:rPr>
        <w:t xml:space="preserve"> </w:t>
      </w:r>
      <w:proofErr w:type="spellStart"/>
      <w:r w:rsidRPr="008A2109">
        <w:rPr>
          <w:i/>
        </w:rPr>
        <w:t>police</w:t>
      </w:r>
      <w:proofErr w:type="spellEnd"/>
      <w:r w:rsidRPr="008A2109">
        <w:rPr>
          <w:i/>
        </w:rPr>
        <w:t xml:space="preserve"> </w:t>
      </w:r>
      <w:proofErr w:type="spellStart"/>
      <w:r w:rsidRPr="008A2109">
        <w:rPr>
          <w:i/>
        </w:rPr>
        <w:t>station</w:t>
      </w:r>
      <w:proofErr w:type="spellEnd"/>
      <w:r w:rsidRPr="008A2109">
        <w:rPr>
          <w:i/>
        </w:rPr>
        <w:t xml:space="preserve"> in 2026. </w:t>
      </w:r>
      <w:hyperlink r:id="rId280">
        <w:r w:rsidRPr="008A2109">
          <w:rPr>
            <w:color w:val="1155CC"/>
            <w:u w:val="single"/>
          </w:rPr>
          <w:t>https://www.cio.com/article/3619620/dubai-police-will-have-its-first-floating-smart-police-station-in-2026.html</w:t>
        </w:r>
      </w:hyperlink>
    </w:p>
    <w:p w14:paraId="36AA57FC" w14:textId="77777777" w:rsidR="008A2109" w:rsidRPr="008A2109" w:rsidRDefault="008A2109" w:rsidP="008A2109">
      <w:pPr>
        <w:pStyle w:val="ListeParagraf"/>
        <w:numPr>
          <w:ilvl w:val="0"/>
          <w:numId w:val="97"/>
        </w:numPr>
        <w:jc w:val="both"/>
        <w:rPr>
          <w:color w:val="222222"/>
        </w:rPr>
      </w:pPr>
      <w:proofErr w:type="spellStart"/>
      <w:r w:rsidRPr="008A2109">
        <w:rPr>
          <w:color w:val="222222"/>
        </w:rPr>
        <w:t>Bhumichai</w:t>
      </w:r>
      <w:proofErr w:type="spellEnd"/>
      <w:r w:rsidRPr="008A2109">
        <w:rPr>
          <w:color w:val="222222"/>
        </w:rPr>
        <w:t xml:space="preserve">, D., </w:t>
      </w:r>
      <w:proofErr w:type="spellStart"/>
      <w:r w:rsidRPr="008A2109">
        <w:rPr>
          <w:color w:val="222222"/>
        </w:rPr>
        <w:t>Smiliotopoulos</w:t>
      </w:r>
      <w:proofErr w:type="spellEnd"/>
      <w:r w:rsidRPr="008A2109">
        <w:rPr>
          <w:color w:val="222222"/>
        </w:rPr>
        <w:t xml:space="preserve">, C., </w:t>
      </w:r>
      <w:proofErr w:type="spellStart"/>
      <w:r w:rsidRPr="008A2109">
        <w:rPr>
          <w:color w:val="222222"/>
        </w:rPr>
        <w:t>Benton</w:t>
      </w:r>
      <w:proofErr w:type="spellEnd"/>
      <w:r w:rsidRPr="008A2109">
        <w:rPr>
          <w:color w:val="222222"/>
        </w:rPr>
        <w:t xml:space="preserve">, R., </w:t>
      </w:r>
      <w:proofErr w:type="spellStart"/>
      <w:r w:rsidRPr="008A2109">
        <w:rPr>
          <w:color w:val="222222"/>
        </w:rPr>
        <w:t>Kambourakis</w:t>
      </w:r>
      <w:proofErr w:type="spellEnd"/>
      <w:r w:rsidRPr="008A2109">
        <w:rPr>
          <w:color w:val="222222"/>
        </w:rPr>
        <w:t xml:space="preserve">, G., &amp; </w:t>
      </w:r>
      <w:proofErr w:type="spellStart"/>
      <w:r w:rsidRPr="008A2109">
        <w:rPr>
          <w:color w:val="222222"/>
        </w:rPr>
        <w:t>Damopoulos</w:t>
      </w:r>
      <w:proofErr w:type="spellEnd"/>
      <w:r w:rsidRPr="008A2109">
        <w:rPr>
          <w:color w:val="222222"/>
        </w:rPr>
        <w:t xml:space="preserve">, D. (2024). </w:t>
      </w:r>
      <w:proofErr w:type="spellStart"/>
      <w:r w:rsidRPr="008A2109">
        <w:rPr>
          <w:color w:val="222222"/>
        </w:rPr>
        <w:t>The</w:t>
      </w:r>
      <w:proofErr w:type="spellEnd"/>
      <w:r w:rsidRPr="008A2109">
        <w:rPr>
          <w:color w:val="222222"/>
        </w:rPr>
        <w:t xml:space="preserve"> </w:t>
      </w:r>
      <w:proofErr w:type="spellStart"/>
      <w:r w:rsidRPr="008A2109">
        <w:rPr>
          <w:color w:val="222222"/>
        </w:rPr>
        <w:t>convergence</w:t>
      </w:r>
      <w:proofErr w:type="spellEnd"/>
      <w:r w:rsidRPr="008A2109">
        <w:rPr>
          <w:color w:val="222222"/>
        </w:rPr>
        <w:t xml:space="preserve"> of </w:t>
      </w:r>
      <w:proofErr w:type="spellStart"/>
      <w:r w:rsidRPr="008A2109">
        <w:rPr>
          <w:color w:val="222222"/>
        </w:rPr>
        <w:t>artificial</w:t>
      </w:r>
      <w:proofErr w:type="spellEnd"/>
      <w:r w:rsidRPr="008A2109">
        <w:rPr>
          <w:color w:val="222222"/>
        </w:rPr>
        <w:t xml:space="preserve"> </w:t>
      </w:r>
      <w:proofErr w:type="spellStart"/>
      <w:r w:rsidRPr="008A2109">
        <w:rPr>
          <w:color w:val="222222"/>
        </w:rPr>
        <w:t>intelligence</w:t>
      </w:r>
      <w:proofErr w:type="spellEnd"/>
      <w:r w:rsidRPr="008A2109">
        <w:rPr>
          <w:color w:val="222222"/>
        </w:rPr>
        <w:t xml:space="preserve"> </w:t>
      </w:r>
      <w:proofErr w:type="spellStart"/>
      <w:r w:rsidRPr="008A2109">
        <w:rPr>
          <w:color w:val="222222"/>
        </w:rPr>
        <w:t>and</w:t>
      </w:r>
      <w:proofErr w:type="spellEnd"/>
      <w:r w:rsidRPr="008A2109">
        <w:rPr>
          <w:color w:val="222222"/>
        </w:rPr>
        <w:t xml:space="preserve"> </w:t>
      </w:r>
      <w:proofErr w:type="spellStart"/>
      <w:r w:rsidRPr="008A2109">
        <w:rPr>
          <w:color w:val="222222"/>
        </w:rPr>
        <w:t>blockchain</w:t>
      </w:r>
      <w:proofErr w:type="spellEnd"/>
      <w:r w:rsidRPr="008A2109">
        <w:rPr>
          <w:color w:val="222222"/>
        </w:rPr>
        <w:t xml:space="preserve">: </w:t>
      </w:r>
      <w:proofErr w:type="spellStart"/>
      <w:r w:rsidRPr="008A2109">
        <w:rPr>
          <w:color w:val="222222"/>
        </w:rPr>
        <w:t>The</w:t>
      </w:r>
      <w:proofErr w:type="spellEnd"/>
      <w:r w:rsidRPr="008A2109">
        <w:rPr>
          <w:color w:val="222222"/>
        </w:rPr>
        <w:t xml:space="preserve"> </w:t>
      </w:r>
      <w:proofErr w:type="spellStart"/>
      <w:r w:rsidRPr="008A2109">
        <w:rPr>
          <w:color w:val="222222"/>
        </w:rPr>
        <w:t>state</w:t>
      </w:r>
      <w:proofErr w:type="spellEnd"/>
      <w:r w:rsidRPr="008A2109">
        <w:rPr>
          <w:color w:val="222222"/>
        </w:rPr>
        <w:t xml:space="preserve"> of </w:t>
      </w:r>
      <w:proofErr w:type="spellStart"/>
      <w:r w:rsidRPr="008A2109">
        <w:rPr>
          <w:color w:val="222222"/>
        </w:rPr>
        <w:t>play</w:t>
      </w:r>
      <w:proofErr w:type="spellEnd"/>
      <w:r w:rsidRPr="008A2109">
        <w:rPr>
          <w:color w:val="222222"/>
        </w:rPr>
        <w:t xml:space="preserve"> </w:t>
      </w:r>
      <w:proofErr w:type="spellStart"/>
      <w:r w:rsidRPr="008A2109">
        <w:rPr>
          <w:color w:val="222222"/>
        </w:rPr>
        <w:t>and</w:t>
      </w:r>
      <w:proofErr w:type="spellEnd"/>
      <w:r w:rsidRPr="008A2109">
        <w:rPr>
          <w:color w:val="222222"/>
        </w:rPr>
        <w:t xml:space="preserve"> </w:t>
      </w:r>
      <w:proofErr w:type="spellStart"/>
      <w:r w:rsidRPr="008A2109">
        <w:rPr>
          <w:color w:val="222222"/>
        </w:rPr>
        <w:t>the</w:t>
      </w:r>
      <w:proofErr w:type="spellEnd"/>
      <w:r w:rsidRPr="008A2109">
        <w:rPr>
          <w:color w:val="222222"/>
        </w:rPr>
        <w:t xml:space="preserve"> </w:t>
      </w:r>
      <w:proofErr w:type="spellStart"/>
      <w:r w:rsidRPr="008A2109">
        <w:rPr>
          <w:color w:val="222222"/>
        </w:rPr>
        <w:t>road</w:t>
      </w:r>
      <w:proofErr w:type="spellEnd"/>
      <w:r w:rsidRPr="008A2109">
        <w:rPr>
          <w:color w:val="222222"/>
        </w:rPr>
        <w:t xml:space="preserve"> </w:t>
      </w:r>
      <w:proofErr w:type="spellStart"/>
      <w:r w:rsidRPr="008A2109">
        <w:rPr>
          <w:color w:val="222222"/>
        </w:rPr>
        <w:t>ahead</w:t>
      </w:r>
      <w:proofErr w:type="spellEnd"/>
      <w:r w:rsidRPr="008A2109">
        <w:rPr>
          <w:color w:val="222222"/>
        </w:rPr>
        <w:t xml:space="preserve">. </w:t>
      </w:r>
      <w:r w:rsidRPr="008A2109">
        <w:rPr>
          <w:i/>
          <w:color w:val="222222"/>
        </w:rPr>
        <w:t>Information</w:t>
      </w:r>
      <w:r w:rsidRPr="008A2109">
        <w:rPr>
          <w:color w:val="222222"/>
        </w:rPr>
        <w:t xml:space="preserve">, </w:t>
      </w:r>
      <w:r w:rsidRPr="008A2109">
        <w:rPr>
          <w:i/>
          <w:color w:val="222222"/>
        </w:rPr>
        <w:t>15</w:t>
      </w:r>
      <w:r w:rsidRPr="008A2109">
        <w:rPr>
          <w:color w:val="222222"/>
        </w:rPr>
        <w:t>(5), 1-33.</w:t>
      </w:r>
      <w:r w:rsidRPr="001D1A8A">
        <w:t xml:space="preserve"> </w:t>
      </w:r>
      <w:hyperlink r:id="rId281" w:tgtFrame="_blank" w:history="1">
        <w:r w:rsidRPr="008A2109">
          <w:rPr>
            <w:rStyle w:val="Kpr"/>
            <w:rFonts w:ascii="Arial" w:eastAsiaTheme="majorEastAsia" w:hAnsi="Arial" w:cs="Arial"/>
            <w:sz w:val="21"/>
            <w:szCs w:val="21"/>
          </w:rPr>
          <w:t>https://doi.org/10.3390/info15050268</w:t>
        </w:r>
      </w:hyperlink>
    </w:p>
    <w:p w14:paraId="3FFE280D" w14:textId="77777777" w:rsidR="008A2109" w:rsidRDefault="008A2109" w:rsidP="008A2109">
      <w:pPr>
        <w:pStyle w:val="ListeParagraf"/>
        <w:numPr>
          <w:ilvl w:val="0"/>
          <w:numId w:val="97"/>
        </w:numPr>
        <w:jc w:val="both"/>
      </w:pPr>
      <w:proofErr w:type="spellStart"/>
      <w:r>
        <w:t>Bootpoot</w:t>
      </w:r>
      <w:proofErr w:type="spellEnd"/>
      <w:r>
        <w:t xml:space="preserve"> (2023). </w:t>
      </w:r>
      <w:proofErr w:type="spellStart"/>
      <w:r w:rsidRPr="008A2109">
        <w:rPr>
          <w:i/>
        </w:rPr>
        <w:t>What</w:t>
      </w:r>
      <w:proofErr w:type="spellEnd"/>
      <w:r w:rsidRPr="008A2109">
        <w:rPr>
          <w:i/>
        </w:rPr>
        <w:t xml:space="preserve"> is </w:t>
      </w:r>
      <w:proofErr w:type="spellStart"/>
      <w:r w:rsidRPr="008A2109">
        <w:rPr>
          <w:i/>
        </w:rPr>
        <w:t>artificial</w:t>
      </w:r>
      <w:proofErr w:type="spellEnd"/>
      <w:r w:rsidRPr="008A2109">
        <w:rPr>
          <w:i/>
        </w:rPr>
        <w:t xml:space="preserve"> </w:t>
      </w:r>
      <w:proofErr w:type="spellStart"/>
      <w:r w:rsidRPr="008A2109">
        <w:rPr>
          <w:i/>
        </w:rPr>
        <w:t>intelligence</w:t>
      </w:r>
      <w:proofErr w:type="spellEnd"/>
      <w:r w:rsidRPr="008A2109">
        <w:rPr>
          <w:i/>
        </w:rPr>
        <w:t xml:space="preserve">? </w:t>
      </w:r>
      <w:proofErr w:type="spellStart"/>
      <w:r w:rsidRPr="008A2109">
        <w:rPr>
          <w:i/>
        </w:rPr>
        <w:t>characteristics</w:t>
      </w:r>
      <w:proofErr w:type="spellEnd"/>
      <w:r w:rsidRPr="008A2109">
        <w:rPr>
          <w:i/>
        </w:rPr>
        <w:t xml:space="preserve">, </w:t>
      </w:r>
      <w:proofErr w:type="spellStart"/>
      <w:r w:rsidRPr="008A2109">
        <w:rPr>
          <w:i/>
        </w:rPr>
        <w:t>applications</w:t>
      </w:r>
      <w:proofErr w:type="spellEnd"/>
      <w:r w:rsidRPr="008A2109">
        <w:rPr>
          <w:i/>
        </w:rPr>
        <w:t xml:space="preserve"> </w:t>
      </w:r>
      <w:proofErr w:type="spellStart"/>
      <w:r w:rsidRPr="008A2109">
        <w:rPr>
          <w:i/>
        </w:rPr>
        <w:t>and</w:t>
      </w:r>
      <w:proofErr w:type="spellEnd"/>
      <w:r w:rsidRPr="008A2109">
        <w:rPr>
          <w:i/>
        </w:rPr>
        <w:t xml:space="preserve"> </w:t>
      </w:r>
      <w:proofErr w:type="spellStart"/>
      <w:r w:rsidRPr="008A2109">
        <w:rPr>
          <w:i/>
        </w:rPr>
        <w:t>importance</w:t>
      </w:r>
      <w:proofErr w:type="spellEnd"/>
      <w:r w:rsidRPr="008A2109">
        <w:rPr>
          <w:i/>
        </w:rPr>
        <w:t xml:space="preserve"> of </w:t>
      </w:r>
      <w:proofErr w:type="spellStart"/>
      <w:r w:rsidRPr="008A2109">
        <w:rPr>
          <w:i/>
        </w:rPr>
        <w:t>a.i</w:t>
      </w:r>
      <w:proofErr w:type="spellEnd"/>
      <w:r w:rsidRPr="008A2109">
        <w:rPr>
          <w:i/>
        </w:rPr>
        <w:t>.</w:t>
      </w:r>
      <w:r>
        <w:t xml:space="preserve"> </w:t>
      </w:r>
      <w:hyperlink r:id="rId282">
        <w:r w:rsidRPr="008A2109">
          <w:rPr>
            <w:color w:val="1155CC"/>
            <w:u w:val="single"/>
          </w:rPr>
          <w:t>https://bootpoot.tech/what-is-artificial-intelligence-characteristics-applications-and-importance-of-a-i</w:t>
        </w:r>
      </w:hyperlink>
    </w:p>
    <w:p w14:paraId="14535BD5" w14:textId="77777777" w:rsidR="008A2109" w:rsidRDefault="008A2109" w:rsidP="008A2109">
      <w:pPr>
        <w:pStyle w:val="ListeParagraf"/>
        <w:numPr>
          <w:ilvl w:val="0"/>
          <w:numId w:val="97"/>
        </w:numPr>
        <w:jc w:val="both"/>
      </w:pPr>
      <w:proofErr w:type="spellStart"/>
      <w:r>
        <w:t>Britannica</w:t>
      </w:r>
      <w:proofErr w:type="spellEnd"/>
      <w:r>
        <w:t xml:space="preserve"> (2025). </w:t>
      </w:r>
      <w:proofErr w:type="spellStart"/>
      <w:r w:rsidRPr="008A2109">
        <w:rPr>
          <w:i/>
        </w:rPr>
        <w:t>Artificial</w:t>
      </w:r>
      <w:proofErr w:type="spellEnd"/>
      <w:r w:rsidRPr="008A2109">
        <w:rPr>
          <w:i/>
        </w:rPr>
        <w:t xml:space="preserve"> </w:t>
      </w:r>
      <w:proofErr w:type="spellStart"/>
      <w:r w:rsidRPr="008A2109">
        <w:rPr>
          <w:i/>
        </w:rPr>
        <w:t>intelligence</w:t>
      </w:r>
      <w:proofErr w:type="spellEnd"/>
      <w:r>
        <w:t xml:space="preserve">. </w:t>
      </w:r>
      <w:hyperlink r:id="rId283" w:history="1">
        <w:r w:rsidRPr="00EF5728">
          <w:rPr>
            <w:rStyle w:val="Kpr"/>
          </w:rPr>
          <w:t>https://www.britannica.com/technology/artificial-intelligence/Reasoning</w:t>
        </w:r>
      </w:hyperlink>
    </w:p>
    <w:p w14:paraId="5CF6BD70" w14:textId="77777777" w:rsidR="008A2109" w:rsidRPr="008A2109" w:rsidRDefault="008A2109" w:rsidP="008A2109">
      <w:pPr>
        <w:pStyle w:val="ListeParagraf"/>
        <w:numPr>
          <w:ilvl w:val="0"/>
          <w:numId w:val="97"/>
        </w:numPr>
        <w:jc w:val="both"/>
        <w:rPr>
          <w:color w:val="222222"/>
          <w:shd w:val="clear" w:color="auto" w:fill="FFFFFF"/>
        </w:rPr>
      </w:pPr>
      <w:r w:rsidRPr="008A2109">
        <w:rPr>
          <w:color w:val="222222"/>
          <w:shd w:val="clear" w:color="auto" w:fill="FFFFFF"/>
        </w:rPr>
        <w:t>Çankaya Kurnaz, S.  Kamu politikalarında yapay zekâ uygulamaları: Kanada göçmenlik sistemi örneği. </w:t>
      </w:r>
      <w:r w:rsidRPr="008A2109">
        <w:rPr>
          <w:i/>
          <w:iCs/>
          <w:color w:val="222222"/>
          <w:shd w:val="clear" w:color="auto" w:fill="FFFFFF"/>
        </w:rPr>
        <w:t>Ombudsman Akademik</w:t>
      </w:r>
      <w:r w:rsidRPr="008A2109">
        <w:rPr>
          <w:color w:val="222222"/>
          <w:shd w:val="clear" w:color="auto" w:fill="FFFFFF"/>
        </w:rPr>
        <w:t>, (21), 209-241.</w:t>
      </w:r>
      <w:r w:rsidRPr="00EA22C1">
        <w:t xml:space="preserve"> </w:t>
      </w:r>
      <w:hyperlink r:id="rId284" w:history="1">
        <w:r w:rsidRPr="008A2109">
          <w:rPr>
            <w:rStyle w:val="Kpr"/>
            <w:rFonts w:eastAsiaTheme="majorEastAsia"/>
            <w:color w:val="0B58A2"/>
            <w:shd w:val="clear" w:color="auto" w:fill="FFFFFF"/>
          </w:rPr>
          <w:t>https://doi.org/10.32002/ombudsmanakademik.1496218</w:t>
        </w:r>
      </w:hyperlink>
    </w:p>
    <w:p w14:paraId="00CE6156" w14:textId="77777777" w:rsidR="008A2109" w:rsidRDefault="008A2109" w:rsidP="008A2109">
      <w:pPr>
        <w:pStyle w:val="ListeParagraf"/>
        <w:numPr>
          <w:ilvl w:val="0"/>
          <w:numId w:val="97"/>
        </w:numPr>
        <w:jc w:val="both"/>
      </w:pPr>
      <w:r w:rsidRPr="008A2109">
        <w:rPr>
          <w:highlight w:val="white"/>
        </w:rPr>
        <w:t>DAMAC (2024).</w:t>
      </w:r>
      <w:r w:rsidRPr="00EA22C1">
        <w:t xml:space="preserve"> </w:t>
      </w:r>
      <w:r w:rsidRPr="008A2109">
        <w:rPr>
          <w:i/>
        </w:rPr>
        <w:t xml:space="preserve">Smart </w:t>
      </w:r>
      <w:proofErr w:type="spellStart"/>
      <w:r w:rsidRPr="008A2109">
        <w:rPr>
          <w:i/>
        </w:rPr>
        <w:t>police</w:t>
      </w:r>
      <w:proofErr w:type="spellEnd"/>
      <w:r w:rsidRPr="008A2109">
        <w:rPr>
          <w:i/>
        </w:rPr>
        <w:t xml:space="preserve"> </w:t>
      </w:r>
      <w:proofErr w:type="spellStart"/>
      <w:r w:rsidRPr="008A2109">
        <w:rPr>
          <w:i/>
        </w:rPr>
        <w:t>stations</w:t>
      </w:r>
      <w:proofErr w:type="spellEnd"/>
      <w:r w:rsidRPr="008A2109">
        <w:rPr>
          <w:i/>
        </w:rPr>
        <w:t xml:space="preserve"> (SPS) in Dubai. </w:t>
      </w:r>
      <w:hyperlink r:id="rId285">
        <w:r w:rsidRPr="008A2109">
          <w:rPr>
            <w:color w:val="1155CC"/>
            <w:highlight w:val="white"/>
            <w:u w:val="single"/>
          </w:rPr>
          <w:t>https://www.damacproperties.com/en/blog/smart-police-stations-in-dubai-0239</w:t>
        </w:r>
      </w:hyperlink>
      <w:r>
        <w:t>.</w:t>
      </w:r>
    </w:p>
    <w:p w14:paraId="0878C616" w14:textId="77777777" w:rsidR="008A2109" w:rsidRDefault="008A2109" w:rsidP="008A2109">
      <w:pPr>
        <w:pStyle w:val="ListeParagraf"/>
        <w:numPr>
          <w:ilvl w:val="0"/>
          <w:numId w:val="97"/>
        </w:numPr>
        <w:jc w:val="both"/>
      </w:pPr>
      <w:r>
        <w:t xml:space="preserve">Dubai </w:t>
      </w:r>
      <w:proofErr w:type="spellStart"/>
      <w:r>
        <w:t>Police</w:t>
      </w:r>
      <w:proofErr w:type="spellEnd"/>
      <w:r>
        <w:t xml:space="preserve"> (2024). </w:t>
      </w:r>
      <w:proofErr w:type="spellStart"/>
      <w:r w:rsidRPr="008A2109">
        <w:rPr>
          <w:i/>
        </w:rPr>
        <w:t>Major</w:t>
      </w:r>
      <w:proofErr w:type="spellEnd"/>
      <w:r w:rsidRPr="008A2109">
        <w:rPr>
          <w:i/>
        </w:rPr>
        <w:t xml:space="preserve"> </w:t>
      </w:r>
      <w:proofErr w:type="spellStart"/>
      <w:r w:rsidRPr="008A2109">
        <w:rPr>
          <w:i/>
        </w:rPr>
        <w:t>crime</w:t>
      </w:r>
      <w:proofErr w:type="spellEnd"/>
      <w:r w:rsidRPr="008A2109">
        <w:rPr>
          <w:i/>
        </w:rPr>
        <w:t xml:space="preserve"> </w:t>
      </w:r>
      <w:proofErr w:type="spellStart"/>
      <w:r w:rsidRPr="008A2109">
        <w:rPr>
          <w:i/>
        </w:rPr>
        <w:t>statistics</w:t>
      </w:r>
      <w:proofErr w:type="spellEnd"/>
      <w:r w:rsidRPr="008A2109">
        <w:rPr>
          <w:i/>
        </w:rPr>
        <w:t xml:space="preserve">.  </w:t>
      </w:r>
      <w:hyperlink r:id="rId286">
        <w:r w:rsidRPr="008A2109">
          <w:rPr>
            <w:color w:val="1155CC"/>
            <w:u w:val="single"/>
          </w:rPr>
          <w:t>https://www.dubaipolice.gov.ae/wps/portal/home/opendata/majorcrimestatistics/!ut/p/z1/fY7L</w:t>
        </w:r>
      </w:hyperlink>
    </w:p>
    <w:p w14:paraId="1C53E30E" w14:textId="77777777" w:rsidR="008A2109" w:rsidRDefault="008A2109" w:rsidP="008A2109">
      <w:pPr>
        <w:pStyle w:val="ListeParagraf"/>
        <w:numPr>
          <w:ilvl w:val="0"/>
          <w:numId w:val="97"/>
        </w:numPr>
        <w:jc w:val="both"/>
      </w:pPr>
      <w:proofErr w:type="spellStart"/>
      <w:r w:rsidRPr="008A2109">
        <w:rPr>
          <w:color w:val="222222"/>
        </w:rPr>
        <w:t>Galloway</w:t>
      </w:r>
      <w:proofErr w:type="spellEnd"/>
      <w:r w:rsidRPr="008A2109">
        <w:rPr>
          <w:color w:val="222222"/>
        </w:rPr>
        <w:t xml:space="preserve">, C., &amp; </w:t>
      </w:r>
      <w:proofErr w:type="spellStart"/>
      <w:r w:rsidRPr="008A2109">
        <w:rPr>
          <w:color w:val="222222"/>
        </w:rPr>
        <w:t>Swiatek</w:t>
      </w:r>
      <w:proofErr w:type="spellEnd"/>
      <w:r w:rsidRPr="008A2109">
        <w:rPr>
          <w:color w:val="222222"/>
        </w:rPr>
        <w:t xml:space="preserve">, L. (2018). </w:t>
      </w:r>
      <w:proofErr w:type="spellStart"/>
      <w:r w:rsidRPr="008A2109">
        <w:rPr>
          <w:color w:val="222222"/>
        </w:rPr>
        <w:t>Public</w:t>
      </w:r>
      <w:proofErr w:type="spellEnd"/>
      <w:r w:rsidRPr="008A2109">
        <w:rPr>
          <w:color w:val="222222"/>
        </w:rPr>
        <w:t xml:space="preserve"> </w:t>
      </w:r>
      <w:proofErr w:type="spellStart"/>
      <w:r w:rsidRPr="008A2109">
        <w:rPr>
          <w:color w:val="222222"/>
        </w:rPr>
        <w:t>relations</w:t>
      </w:r>
      <w:proofErr w:type="spellEnd"/>
      <w:r w:rsidRPr="008A2109">
        <w:rPr>
          <w:color w:val="222222"/>
        </w:rPr>
        <w:t xml:space="preserve"> </w:t>
      </w:r>
      <w:proofErr w:type="spellStart"/>
      <w:r w:rsidRPr="008A2109">
        <w:rPr>
          <w:color w:val="222222"/>
        </w:rPr>
        <w:t>and</w:t>
      </w:r>
      <w:proofErr w:type="spellEnd"/>
      <w:r w:rsidRPr="008A2109">
        <w:rPr>
          <w:color w:val="222222"/>
        </w:rPr>
        <w:t xml:space="preserve"> </w:t>
      </w:r>
      <w:proofErr w:type="spellStart"/>
      <w:r w:rsidRPr="008A2109">
        <w:rPr>
          <w:color w:val="222222"/>
        </w:rPr>
        <w:t>artificial</w:t>
      </w:r>
      <w:proofErr w:type="spellEnd"/>
      <w:r w:rsidRPr="008A2109">
        <w:rPr>
          <w:color w:val="222222"/>
        </w:rPr>
        <w:t xml:space="preserve"> </w:t>
      </w:r>
      <w:proofErr w:type="spellStart"/>
      <w:r w:rsidRPr="008A2109">
        <w:rPr>
          <w:color w:val="222222"/>
        </w:rPr>
        <w:t>intelligence</w:t>
      </w:r>
      <w:proofErr w:type="spellEnd"/>
      <w:r w:rsidRPr="008A2109">
        <w:rPr>
          <w:color w:val="222222"/>
        </w:rPr>
        <w:t xml:space="preserve">: </w:t>
      </w:r>
      <w:proofErr w:type="spellStart"/>
      <w:r w:rsidRPr="008A2109">
        <w:rPr>
          <w:color w:val="222222"/>
        </w:rPr>
        <w:t>It’s</w:t>
      </w:r>
      <w:proofErr w:type="spellEnd"/>
      <w:r w:rsidRPr="008A2109">
        <w:rPr>
          <w:color w:val="222222"/>
        </w:rPr>
        <w:t xml:space="preserve"> not (</w:t>
      </w:r>
      <w:proofErr w:type="spellStart"/>
      <w:r w:rsidRPr="008A2109">
        <w:rPr>
          <w:color w:val="222222"/>
        </w:rPr>
        <w:t>just</w:t>
      </w:r>
      <w:proofErr w:type="spellEnd"/>
      <w:r w:rsidRPr="008A2109">
        <w:rPr>
          <w:color w:val="222222"/>
        </w:rPr>
        <w:t xml:space="preserve">) </w:t>
      </w:r>
      <w:proofErr w:type="spellStart"/>
      <w:r w:rsidRPr="008A2109">
        <w:rPr>
          <w:color w:val="222222"/>
        </w:rPr>
        <w:t>about</w:t>
      </w:r>
      <w:proofErr w:type="spellEnd"/>
      <w:r w:rsidRPr="008A2109">
        <w:rPr>
          <w:color w:val="222222"/>
        </w:rPr>
        <w:t xml:space="preserve"> </w:t>
      </w:r>
      <w:proofErr w:type="spellStart"/>
      <w:r w:rsidRPr="008A2109">
        <w:rPr>
          <w:color w:val="222222"/>
        </w:rPr>
        <w:t>robots</w:t>
      </w:r>
      <w:proofErr w:type="spellEnd"/>
      <w:r w:rsidRPr="008A2109">
        <w:rPr>
          <w:color w:val="222222"/>
        </w:rPr>
        <w:t xml:space="preserve">. </w:t>
      </w:r>
      <w:proofErr w:type="spellStart"/>
      <w:r w:rsidRPr="008A2109">
        <w:rPr>
          <w:i/>
          <w:color w:val="222222"/>
        </w:rPr>
        <w:t>Public</w:t>
      </w:r>
      <w:proofErr w:type="spellEnd"/>
      <w:r w:rsidRPr="008A2109">
        <w:rPr>
          <w:i/>
          <w:color w:val="222222"/>
        </w:rPr>
        <w:t xml:space="preserve"> </w:t>
      </w:r>
      <w:proofErr w:type="spellStart"/>
      <w:r w:rsidRPr="008A2109">
        <w:rPr>
          <w:i/>
          <w:color w:val="222222"/>
        </w:rPr>
        <w:t>relations</w:t>
      </w:r>
      <w:proofErr w:type="spellEnd"/>
      <w:r w:rsidRPr="008A2109">
        <w:rPr>
          <w:i/>
          <w:color w:val="222222"/>
        </w:rPr>
        <w:t xml:space="preserve"> </w:t>
      </w:r>
      <w:proofErr w:type="spellStart"/>
      <w:r w:rsidRPr="008A2109">
        <w:rPr>
          <w:i/>
          <w:color w:val="222222"/>
        </w:rPr>
        <w:t>review</w:t>
      </w:r>
      <w:proofErr w:type="spellEnd"/>
      <w:r w:rsidRPr="008A2109">
        <w:rPr>
          <w:color w:val="222222"/>
        </w:rPr>
        <w:t xml:space="preserve">, </w:t>
      </w:r>
      <w:r w:rsidRPr="008A2109">
        <w:rPr>
          <w:i/>
          <w:color w:val="222222"/>
        </w:rPr>
        <w:t>44</w:t>
      </w:r>
      <w:r w:rsidRPr="008A2109">
        <w:rPr>
          <w:color w:val="222222"/>
        </w:rPr>
        <w:t xml:space="preserve">(5), 734-740. </w:t>
      </w:r>
      <w:hyperlink r:id="rId287" w:tgtFrame="_blank" w:history="1">
        <w:r w:rsidRPr="008A2109">
          <w:rPr>
            <w:rStyle w:val="Kpr"/>
            <w:rFonts w:eastAsiaTheme="majorEastAsia"/>
          </w:rPr>
          <w:t>https://doi.org/10.1016/j.pubrev.2018.10.008</w:t>
        </w:r>
      </w:hyperlink>
    </w:p>
    <w:p w14:paraId="593A63BE" w14:textId="77777777" w:rsidR="008A2109" w:rsidRDefault="008A2109" w:rsidP="008A2109">
      <w:pPr>
        <w:pStyle w:val="ListeParagraf"/>
        <w:numPr>
          <w:ilvl w:val="0"/>
          <w:numId w:val="97"/>
        </w:numPr>
        <w:jc w:val="both"/>
      </w:pPr>
      <w:proofErr w:type="spellStart"/>
      <w:r>
        <w:t>Gallup</w:t>
      </w:r>
      <w:proofErr w:type="spellEnd"/>
      <w:r>
        <w:t xml:space="preserve"> (2019). </w:t>
      </w:r>
      <w:r w:rsidRPr="008A2109">
        <w:rPr>
          <w:i/>
        </w:rPr>
        <w:t xml:space="preserve">Global </w:t>
      </w:r>
      <w:proofErr w:type="spellStart"/>
      <w:r w:rsidRPr="008A2109">
        <w:rPr>
          <w:i/>
        </w:rPr>
        <w:t>law</w:t>
      </w:r>
      <w:proofErr w:type="spellEnd"/>
      <w:r w:rsidRPr="008A2109">
        <w:rPr>
          <w:i/>
        </w:rPr>
        <w:t xml:space="preserve"> </w:t>
      </w:r>
      <w:proofErr w:type="spellStart"/>
      <w:r w:rsidRPr="008A2109">
        <w:rPr>
          <w:i/>
        </w:rPr>
        <w:t>and</w:t>
      </w:r>
      <w:proofErr w:type="spellEnd"/>
      <w:r w:rsidRPr="008A2109">
        <w:rPr>
          <w:i/>
        </w:rPr>
        <w:t xml:space="preserve"> </w:t>
      </w:r>
      <w:proofErr w:type="spellStart"/>
      <w:r w:rsidRPr="008A2109">
        <w:rPr>
          <w:i/>
        </w:rPr>
        <w:t>order</w:t>
      </w:r>
      <w:proofErr w:type="spellEnd"/>
      <w:r w:rsidRPr="008A2109">
        <w:rPr>
          <w:i/>
        </w:rPr>
        <w:t xml:space="preserve"> </w:t>
      </w:r>
      <w:proofErr w:type="spellStart"/>
      <w:r w:rsidRPr="008A2109">
        <w:rPr>
          <w:i/>
        </w:rPr>
        <w:t>report</w:t>
      </w:r>
      <w:proofErr w:type="spellEnd"/>
      <w:r w:rsidRPr="008A2109">
        <w:rPr>
          <w:i/>
        </w:rPr>
        <w:t xml:space="preserve"> </w:t>
      </w:r>
      <w:proofErr w:type="spellStart"/>
      <w:r w:rsidRPr="008A2109">
        <w:rPr>
          <w:i/>
        </w:rPr>
        <w:t>international</w:t>
      </w:r>
      <w:proofErr w:type="spellEnd"/>
      <w:r w:rsidRPr="008A2109">
        <w:rPr>
          <w:i/>
        </w:rPr>
        <w:t xml:space="preserve"> </w:t>
      </w:r>
      <w:proofErr w:type="spellStart"/>
      <w:r w:rsidRPr="008A2109">
        <w:rPr>
          <w:i/>
        </w:rPr>
        <w:t>index</w:t>
      </w:r>
      <w:proofErr w:type="spellEnd"/>
      <w:r>
        <w:t xml:space="preserve">. </w:t>
      </w:r>
      <w:proofErr w:type="spellStart"/>
      <w:r>
        <w:t>Gallup</w:t>
      </w:r>
      <w:proofErr w:type="spellEnd"/>
      <w:r>
        <w:t xml:space="preserve"> USA </w:t>
      </w:r>
      <w:proofErr w:type="spellStart"/>
      <w:r>
        <w:t>Inc</w:t>
      </w:r>
      <w:proofErr w:type="spellEnd"/>
      <w:r>
        <w:t xml:space="preserve">. </w:t>
      </w:r>
    </w:p>
    <w:p w14:paraId="30115571" w14:textId="77777777" w:rsidR="008A2109" w:rsidRDefault="008A2109" w:rsidP="008A2109">
      <w:pPr>
        <w:pStyle w:val="ListeParagraf"/>
        <w:numPr>
          <w:ilvl w:val="0"/>
          <w:numId w:val="97"/>
        </w:numPr>
        <w:jc w:val="both"/>
      </w:pPr>
      <w:proofErr w:type="spellStart"/>
      <w:r w:rsidRPr="008A2109">
        <w:rPr>
          <w:color w:val="222222"/>
        </w:rPr>
        <w:t>Garate</w:t>
      </w:r>
      <w:proofErr w:type="spellEnd"/>
      <w:r w:rsidRPr="008A2109">
        <w:rPr>
          <w:color w:val="222222"/>
        </w:rPr>
        <w:t xml:space="preserve">, J. R.  (2022). </w:t>
      </w:r>
      <w:proofErr w:type="spellStart"/>
      <w:r w:rsidRPr="008A2109">
        <w:rPr>
          <w:i/>
        </w:rPr>
        <w:t>Dubai’s</w:t>
      </w:r>
      <w:proofErr w:type="spellEnd"/>
      <w:r w:rsidRPr="008A2109">
        <w:rPr>
          <w:i/>
        </w:rPr>
        <w:t xml:space="preserve"> Smart </w:t>
      </w:r>
      <w:proofErr w:type="spellStart"/>
      <w:r w:rsidRPr="008A2109">
        <w:rPr>
          <w:i/>
        </w:rPr>
        <w:t>Police</w:t>
      </w:r>
      <w:proofErr w:type="spellEnd"/>
      <w:r w:rsidRPr="008A2109">
        <w:rPr>
          <w:i/>
        </w:rPr>
        <w:t xml:space="preserve"> </w:t>
      </w:r>
      <w:proofErr w:type="spellStart"/>
      <w:r w:rsidRPr="008A2109">
        <w:rPr>
          <w:i/>
        </w:rPr>
        <w:t>Stations</w:t>
      </w:r>
      <w:proofErr w:type="spellEnd"/>
      <w:r w:rsidRPr="008A2109">
        <w:rPr>
          <w:i/>
        </w:rPr>
        <w:t xml:space="preserve">: </w:t>
      </w:r>
      <w:proofErr w:type="spellStart"/>
      <w:r w:rsidRPr="008A2109">
        <w:rPr>
          <w:i/>
        </w:rPr>
        <w:t>Improving</w:t>
      </w:r>
      <w:proofErr w:type="spellEnd"/>
      <w:r w:rsidRPr="008A2109">
        <w:rPr>
          <w:i/>
        </w:rPr>
        <w:t xml:space="preserve"> </w:t>
      </w:r>
      <w:proofErr w:type="spellStart"/>
      <w:r w:rsidRPr="008A2109">
        <w:rPr>
          <w:i/>
        </w:rPr>
        <w:t>crime</w:t>
      </w:r>
      <w:proofErr w:type="spellEnd"/>
      <w:r w:rsidRPr="008A2109">
        <w:rPr>
          <w:i/>
        </w:rPr>
        <w:t xml:space="preserve"> </w:t>
      </w:r>
      <w:proofErr w:type="spellStart"/>
      <w:r w:rsidRPr="008A2109">
        <w:rPr>
          <w:i/>
        </w:rPr>
        <w:t>prevention</w:t>
      </w:r>
      <w:proofErr w:type="spellEnd"/>
      <w:r w:rsidRPr="008A2109">
        <w:rPr>
          <w:i/>
        </w:rPr>
        <w:t xml:space="preserve"> </w:t>
      </w:r>
      <w:proofErr w:type="spellStart"/>
      <w:r w:rsidRPr="008A2109">
        <w:rPr>
          <w:i/>
        </w:rPr>
        <w:t>and</w:t>
      </w:r>
      <w:proofErr w:type="spellEnd"/>
      <w:r w:rsidRPr="008A2109">
        <w:rPr>
          <w:i/>
        </w:rPr>
        <w:t xml:space="preserve"> </w:t>
      </w:r>
      <w:proofErr w:type="spellStart"/>
      <w:r w:rsidRPr="008A2109">
        <w:rPr>
          <w:i/>
        </w:rPr>
        <w:t>community</w:t>
      </w:r>
      <w:proofErr w:type="spellEnd"/>
      <w:r w:rsidRPr="008A2109">
        <w:rPr>
          <w:i/>
        </w:rPr>
        <w:t xml:space="preserve"> </w:t>
      </w:r>
      <w:proofErr w:type="spellStart"/>
      <w:r w:rsidRPr="008A2109">
        <w:rPr>
          <w:i/>
        </w:rPr>
        <w:t>safety</w:t>
      </w:r>
      <w:proofErr w:type="spellEnd"/>
      <w:r w:rsidRPr="008A2109">
        <w:rPr>
          <w:i/>
        </w:rPr>
        <w:t xml:space="preserve"> </w:t>
      </w:r>
      <w:proofErr w:type="spellStart"/>
      <w:r w:rsidRPr="008A2109">
        <w:rPr>
          <w:i/>
        </w:rPr>
        <w:t>without</w:t>
      </w:r>
      <w:proofErr w:type="spellEnd"/>
      <w:r w:rsidRPr="008A2109">
        <w:rPr>
          <w:i/>
        </w:rPr>
        <w:t xml:space="preserve"> </w:t>
      </w:r>
      <w:proofErr w:type="spellStart"/>
      <w:r w:rsidRPr="008A2109">
        <w:rPr>
          <w:i/>
        </w:rPr>
        <w:t>human</w:t>
      </w:r>
      <w:proofErr w:type="spellEnd"/>
      <w:r w:rsidRPr="008A2109">
        <w:rPr>
          <w:i/>
        </w:rPr>
        <w:t xml:space="preserve"> </w:t>
      </w:r>
      <w:proofErr w:type="spellStart"/>
      <w:r w:rsidRPr="008A2109">
        <w:rPr>
          <w:i/>
        </w:rPr>
        <w:t>interaction</w:t>
      </w:r>
      <w:proofErr w:type="spellEnd"/>
      <w:r w:rsidRPr="008A2109">
        <w:rPr>
          <w:i/>
        </w:rPr>
        <w:t xml:space="preserve">. </w:t>
      </w:r>
      <w:hyperlink r:id="rId288">
        <w:r w:rsidRPr="008A2109">
          <w:rPr>
            <w:color w:val="1155CC"/>
            <w:u w:val="single"/>
          </w:rPr>
          <w:t>https://policinginsight.com/feature/innovation/dubais-smart-police-stations-improving-crime-prevention-and-community-safety-without-human-interaction</w:t>
        </w:r>
      </w:hyperlink>
      <w:hyperlink r:id="rId289">
        <w:r w:rsidRPr="008A2109">
          <w:rPr>
            <w:b/>
            <w:color w:val="1155CC"/>
            <w:u w:val="single"/>
          </w:rPr>
          <w:t>/</w:t>
        </w:r>
      </w:hyperlink>
      <w:r>
        <w:t xml:space="preserve"> </w:t>
      </w:r>
    </w:p>
    <w:p w14:paraId="24079104" w14:textId="77777777" w:rsidR="008A2109" w:rsidRDefault="008A2109" w:rsidP="008A2109">
      <w:pPr>
        <w:pStyle w:val="ListeParagraf"/>
        <w:numPr>
          <w:ilvl w:val="0"/>
          <w:numId w:val="97"/>
        </w:numPr>
        <w:jc w:val="both"/>
      </w:pPr>
      <w:proofErr w:type="spellStart"/>
      <w:r w:rsidRPr="008A2109">
        <w:rPr>
          <w:color w:val="222222"/>
        </w:rPr>
        <w:t>Gesk</w:t>
      </w:r>
      <w:proofErr w:type="spellEnd"/>
      <w:r w:rsidRPr="008A2109">
        <w:rPr>
          <w:color w:val="222222"/>
        </w:rPr>
        <w:t xml:space="preserve">, T. S., &amp; </w:t>
      </w:r>
      <w:proofErr w:type="spellStart"/>
      <w:r w:rsidRPr="008A2109">
        <w:rPr>
          <w:color w:val="222222"/>
        </w:rPr>
        <w:t>Leyer</w:t>
      </w:r>
      <w:proofErr w:type="spellEnd"/>
      <w:r w:rsidRPr="008A2109">
        <w:rPr>
          <w:color w:val="222222"/>
        </w:rPr>
        <w:t xml:space="preserve">, M. (2022). </w:t>
      </w:r>
      <w:proofErr w:type="spellStart"/>
      <w:r w:rsidRPr="008A2109">
        <w:rPr>
          <w:color w:val="222222"/>
        </w:rPr>
        <w:t>Artificial</w:t>
      </w:r>
      <w:proofErr w:type="spellEnd"/>
      <w:r w:rsidRPr="008A2109">
        <w:rPr>
          <w:color w:val="222222"/>
        </w:rPr>
        <w:t xml:space="preserve"> </w:t>
      </w:r>
      <w:proofErr w:type="spellStart"/>
      <w:r w:rsidRPr="008A2109">
        <w:rPr>
          <w:color w:val="222222"/>
        </w:rPr>
        <w:t>intelligence</w:t>
      </w:r>
      <w:proofErr w:type="spellEnd"/>
      <w:r w:rsidRPr="008A2109">
        <w:rPr>
          <w:color w:val="222222"/>
        </w:rPr>
        <w:t xml:space="preserve"> in </w:t>
      </w:r>
      <w:proofErr w:type="spellStart"/>
      <w:r w:rsidRPr="008A2109">
        <w:rPr>
          <w:color w:val="222222"/>
        </w:rPr>
        <w:t>public</w:t>
      </w:r>
      <w:proofErr w:type="spellEnd"/>
      <w:r w:rsidRPr="008A2109">
        <w:rPr>
          <w:color w:val="222222"/>
        </w:rPr>
        <w:t xml:space="preserve"> </w:t>
      </w:r>
      <w:proofErr w:type="spellStart"/>
      <w:r w:rsidRPr="008A2109">
        <w:rPr>
          <w:color w:val="222222"/>
        </w:rPr>
        <w:t>services</w:t>
      </w:r>
      <w:proofErr w:type="spellEnd"/>
      <w:r w:rsidRPr="008A2109">
        <w:rPr>
          <w:color w:val="222222"/>
        </w:rPr>
        <w:t xml:space="preserve">: </w:t>
      </w:r>
      <w:proofErr w:type="spellStart"/>
      <w:r w:rsidRPr="008A2109">
        <w:rPr>
          <w:color w:val="222222"/>
        </w:rPr>
        <w:t>when</w:t>
      </w:r>
      <w:proofErr w:type="spellEnd"/>
      <w:r w:rsidRPr="008A2109">
        <w:rPr>
          <w:color w:val="222222"/>
        </w:rPr>
        <w:t xml:space="preserve"> </w:t>
      </w:r>
      <w:proofErr w:type="spellStart"/>
      <w:r w:rsidRPr="008A2109">
        <w:rPr>
          <w:color w:val="222222"/>
        </w:rPr>
        <w:t>and</w:t>
      </w:r>
      <w:proofErr w:type="spellEnd"/>
      <w:r w:rsidRPr="008A2109">
        <w:rPr>
          <w:color w:val="222222"/>
        </w:rPr>
        <w:t xml:space="preserve"> </w:t>
      </w:r>
      <w:proofErr w:type="spellStart"/>
      <w:r w:rsidRPr="008A2109">
        <w:rPr>
          <w:color w:val="222222"/>
        </w:rPr>
        <w:t>why</w:t>
      </w:r>
      <w:proofErr w:type="spellEnd"/>
      <w:r w:rsidRPr="008A2109">
        <w:rPr>
          <w:color w:val="222222"/>
        </w:rPr>
        <w:t xml:space="preserve"> </w:t>
      </w:r>
      <w:proofErr w:type="spellStart"/>
      <w:r w:rsidRPr="008A2109">
        <w:rPr>
          <w:color w:val="222222"/>
        </w:rPr>
        <w:t>citizens</w:t>
      </w:r>
      <w:proofErr w:type="spellEnd"/>
      <w:r w:rsidRPr="008A2109">
        <w:rPr>
          <w:color w:val="222222"/>
        </w:rPr>
        <w:t xml:space="preserve"> </w:t>
      </w:r>
      <w:proofErr w:type="spellStart"/>
      <w:r w:rsidRPr="008A2109">
        <w:rPr>
          <w:color w:val="222222"/>
        </w:rPr>
        <w:t>accept</w:t>
      </w:r>
      <w:proofErr w:type="spellEnd"/>
      <w:r w:rsidRPr="008A2109">
        <w:rPr>
          <w:color w:val="222222"/>
        </w:rPr>
        <w:t xml:space="preserve"> </w:t>
      </w:r>
      <w:proofErr w:type="spellStart"/>
      <w:r w:rsidRPr="008A2109">
        <w:rPr>
          <w:color w:val="222222"/>
        </w:rPr>
        <w:t>its</w:t>
      </w:r>
      <w:proofErr w:type="spellEnd"/>
      <w:r w:rsidRPr="008A2109">
        <w:rPr>
          <w:color w:val="222222"/>
        </w:rPr>
        <w:t xml:space="preserve"> </w:t>
      </w:r>
      <w:proofErr w:type="spellStart"/>
      <w:r w:rsidRPr="008A2109">
        <w:rPr>
          <w:color w:val="222222"/>
        </w:rPr>
        <w:t>usage</w:t>
      </w:r>
      <w:proofErr w:type="spellEnd"/>
      <w:r w:rsidRPr="008A2109">
        <w:rPr>
          <w:color w:val="222222"/>
        </w:rPr>
        <w:t xml:space="preserve">. </w:t>
      </w:r>
      <w:proofErr w:type="spellStart"/>
      <w:r w:rsidRPr="008A2109">
        <w:rPr>
          <w:i/>
          <w:color w:val="222222"/>
        </w:rPr>
        <w:t>Government</w:t>
      </w:r>
      <w:proofErr w:type="spellEnd"/>
      <w:r w:rsidRPr="008A2109">
        <w:rPr>
          <w:i/>
          <w:color w:val="222222"/>
        </w:rPr>
        <w:t xml:space="preserve"> Information </w:t>
      </w:r>
      <w:proofErr w:type="spellStart"/>
      <w:r w:rsidRPr="008A2109">
        <w:rPr>
          <w:i/>
          <w:color w:val="222222"/>
        </w:rPr>
        <w:t>Quarterly</w:t>
      </w:r>
      <w:proofErr w:type="spellEnd"/>
      <w:r w:rsidRPr="008A2109">
        <w:rPr>
          <w:color w:val="222222"/>
        </w:rPr>
        <w:t xml:space="preserve">, </w:t>
      </w:r>
      <w:r w:rsidRPr="008A2109">
        <w:rPr>
          <w:i/>
          <w:color w:val="222222"/>
        </w:rPr>
        <w:t>39</w:t>
      </w:r>
      <w:r w:rsidRPr="008A2109">
        <w:rPr>
          <w:color w:val="222222"/>
        </w:rPr>
        <w:t xml:space="preserve">(3), 101704. </w:t>
      </w:r>
      <w:hyperlink r:id="rId290">
        <w:r w:rsidRPr="008A2109">
          <w:rPr>
            <w:color w:val="1155CC"/>
          </w:rPr>
          <w:t>https://doi.org/10.1016/j.giq.2022.101704</w:t>
        </w:r>
      </w:hyperlink>
    </w:p>
    <w:p w14:paraId="51530C6F" w14:textId="77777777" w:rsidR="008A2109" w:rsidRDefault="008A2109" w:rsidP="008A2109">
      <w:pPr>
        <w:pStyle w:val="ListeParagraf"/>
        <w:numPr>
          <w:ilvl w:val="0"/>
          <w:numId w:val="97"/>
        </w:numPr>
        <w:jc w:val="both"/>
      </w:pPr>
      <w:proofErr w:type="spellStart"/>
      <w:r>
        <w:t>Greff</w:t>
      </w:r>
      <w:proofErr w:type="spellEnd"/>
      <w:r>
        <w:t xml:space="preserve">, K, Van </w:t>
      </w:r>
      <w:proofErr w:type="spellStart"/>
      <w:r>
        <w:t>Steenkiste</w:t>
      </w:r>
      <w:proofErr w:type="spellEnd"/>
      <w:r>
        <w:t xml:space="preserve">, S. &amp; </w:t>
      </w:r>
      <w:proofErr w:type="spellStart"/>
      <w:r>
        <w:t>Schmidhuber</w:t>
      </w:r>
      <w:proofErr w:type="spellEnd"/>
      <w:r>
        <w:t xml:space="preserve">, J. (2020). On </w:t>
      </w:r>
      <w:proofErr w:type="spellStart"/>
      <w:r>
        <w:t>the</w:t>
      </w:r>
      <w:proofErr w:type="spellEnd"/>
      <w:r>
        <w:t xml:space="preserve"> </w:t>
      </w:r>
      <w:proofErr w:type="spellStart"/>
      <w:r>
        <w:t>binding</w:t>
      </w:r>
      <w:proofErr w:type="spellEnd"/>
      <w:r>
        <w:t xml:space="preserve"> problem in </w:t>
      </w:r>
      <w:proofErr w:type="spellStart"/>
      <w:r>
        <w:t>artificial</w:t>
      </w:r>
      <w:proofErr w:type="spellEnd"/>
      <w:r>
        <w:t xml:space="preserve"> </w:t>
      </w:r>
      <w:proofErr w:type="spellStart"/>
      <w:r>
        <w:t>neural</w:t>
      </w:r>
      <w:proofErr w:type="spellEnd"/>
      <w:r>
        <w:t xml:space="preserve"> </w:t>
      </w:r>
      <w:proofErr w:type="spellStart"/>
      <w:r>
        <w:t>networks</w:t>
      </w:r>
      <w:proofErr w:type="spellEnd"/>
      <w:r>
        <w:t xml:space="preserve">. </w:t>
      </w:r>
      <w:proofErr w:type="spellStart"/>
      <w:proofErr w:type="gramStart"/>
      <w:r w:rsidRPr="008A2109">
        <w:rPr>
          <w:i/>
          <w:color w:val="222222"/>
          <w:sz w:val="20"/>
          <w:szCs w:val="20"/>
          <w:highlight w:val="white"/>
        </w:rPr>
        <w:t>arXiv</w:t>
      </w:r>
      <w:proofErr w:type="spellEnd"/>
      <w:proofErr w:type="gramEnd"/>
      <w:r w:rsidRPr="008A2109">
        <w:rPr>
          <w:i/>
          <w:color w:val="222222"/>
          <w:sz w:val="20"/>
          <w:szCs w:val="20"/>
          <w:highlight w:val="white"/>
        </w:rPr>
        <w:t xml:space="preserve"> </w:t>
      </w:r>
      <w:proofErr w:type="spellStart"/>
      <w:r w:rsidRPr="008A2109">
        <w:rPr>
          <w:i/>
          <w:color w:val="222222"/>
          <w:sz w:val="20"/>
          <w:szCs w:val="20"/>
          <w:highlight w:val="white"/>
        </w:rPr>
        <w:t>preprint</w:t>
      </w:r>
      <w:proofErr w:type="spellEnd"/>
      <w:r w:rsidRPr="008A2109">
        <w:rPr>
          <w:i/>
          <w:color w:val="222222"/>
          <w:sz w:val="20"/>
          <w:szCs w:val="20"/>
          <w:highlight w:val="white"/>
        </w:rPr>
        <w:t>.</w:t>
      </w:r>
    </w:p>
    <w:p w14:paraId="7A10F130" w14:textId="77777777" w:rsidR="008A2109" w:rsidRDefault="008A2109" w:rsidP="008A2109">
      <w:pPr>
        <w:pStyle w:val="ListeParagraf"/>
        <w:numPr>
          <w:ilvl w:val="0"/>
          <w:numId w:val="97"/>
        </w:numPr>
        <w:jc w:val="both"/>
      </w:pPr>
      <w:proofErr w:type="spellStart"/>
      <w:r>
        <w:t>Gulfnews</w:t>
      </w:r>
      <w:proofErr w:type="spellEnd"/>
      <w:r>
        <w:t xml:space="preserve"> (2023). </w:t>
      </w:r>
      <w:proofErr w:type="spellStart"/>
      <w:r>
        <w:t>U</w:t>
      </w:r>
      <w:r w:rsidRPr="008A2109">
        <w:rPr>
          <w:i/>
        </w:rPr>
        <w:t>nmanned</w:t>
      </w:r>
      <w:proofErr w:type="spellEnd"/>
      <w:r w:rsidRPr="008A2109">
        <w:rPr>
          <w:i/>
        </w:rPr>
        <w:t xml:space="preserve"> Dubai </w:t>
      </w:r>
      <w:proofErr w:type="spellStart"/>
      <w:r w:rsidRPr="008A2109">
        <w:rPr>
          <w:i/>
        </w:rPr>
        <w:t>smart</w:t>
      </w:r>
      <w:proofErr w:type="spellEnd"/>
      <w:r w:rsidRPr="008A2109">
        <w:rPr>
          <w:i/>
        </w:rPr>
        <w:t xml:space="preserve"> </w:t>
      </w:r>
      <w:proofErr w:type="spellStart"/>
      <w:r w:rsidRPr="008A2109">
        <w:rPr>
          <w:i/>
        </w:rPr>
        <w:t>police</w:t>
      </w:r>
      <w:proofErr w:type="spellEnd"/>
      <w:r w:rsidRPr="008A2109">
        <w:rPr>
          <w:i/>
        </w:rPr>
        <w:t xml:space="preserve"> </w:t>
      </w:r>
      <w:proofErr w:type="spellStart"/>
      <w:r w:rsidRPr="008A2109">
        <w:rPr>
          <w:i/>
        </w:rPr>
        <w:t>stations</w:t>
      </w:r>
      <w:proofErr w:type="spellEnd"/>
      <w:r w:rsidRPr="008A2109">
        <w:rPr>
          <w:i/>
        </w:rPr>
        <w:t xml:space="preserve"> </w:t>
      </w:r>
      <w:proofErr w:type="spellStart"/>
      <w:r w:rsidRPr="008A2109">
        <w:rPr>
          <w:i/>
        </w:rPr>
        <w:t>process</w:t>
      </w:r>
      <w:proofErr w:type="spellEnd"/>
      <w:r w:rsidRPr="008A2109">
        <w:rPr>
          <w:i/>
        </w:rPr>
        <w:t xml:space="preserve"> 107,719 </w:t>
      </w:r>
      <w:proofErr w:type="spellStart"/>
      <w:r w:rsidRPr="008A2109">
        <w:rPr>
          <w:i/>
        </w:rPr>
        <w:t>transactio</w:t>
      </w:r>
      <w:r>
        <w:t>ns</w:t>
      </w:r>
      <w:proofErr w:type="spellEnd"/>
      <w:r>
        <w:t xml:space="preserve">. </w:t>
      </w:r>
      <w:hyperlink r:id="rId291">
        <w:r w:rsidRPr="008A2109">
          <w:rPr>
            <w:color w:val="0563C1"/>
            <w:u w:val="single"/>
          </w:rPr>
          <w:t>https://gulfnews.com/uae/crime/unmanned-dubai-smart-police-stations-process-107719-transactions-1.93504882</w:t>
        </w:r>
      </w:hyperlink>
    </w:p>
    <w:p w14:paraId="7701A9BB" w14:textId="77777777" w:rsidR="008A2109" w:rsidRDefault="008A2109" w:rsidP="008A2109">
      <w:pPr>
        <w:pStyle w:val="ListeParagraf"/>
        <w:numPr>
          <w:ilvl w:val="0"/>
          <w:numId w:val="97"/>
        </w:numPr>
        <w:jc w:val="both"/>
      </w:pPr>
      <w:proofErr w:type="spellStart"/>
      <w:r w:rsidRPr="008A2109">
        <w:rPr>
          <w:color w:val="222222"/>
          <w:highlight w:val="white"/>
        </w:rPr>
        <w:t>Hermosilla</w:t>
      </w:r>
      <w:proofErr w:type="spellEnd"/>
      <w:r w:rsidRPr="008A2109">
        <w:rPr>
          <w:color w:val="222222"/>
          <w:highlight w:val="white"/>
        </w:rPr>
        <w:t xml:space="preserve">, M., </w:t>
      </w:r>
      <w:proofErr w:type="spellStart"/>
      <w:r w:rsidRPr="008A2109">
        <w:rPr>
          <w:color w:val="222222"/>
          <w:highlight w:val="white"/>
        </w:rPr>
        <w:t>Alarcón</w:t>
      </w:r>
      <w:proofErr w:type="spellEnd"/>
      <w:r w:rsidRPr="008A2109">
        <w:rPr>
          <w:color w:val="222222"/>
          <w:highlight w:val="white"/>
        </w:rPr>
        <w:t xml:space="preserve">, N. G., </w:t>
      </w:r>
      <w:proofErr w:type="spellStart"/>
      <w:r w:rsidRPr="008A2109">
        <w:rPr>
          <w:color w:val="222222"/>
          <w:highlight w:val="white"/>
        </w:rPr>
        <w:t>Pombo</w:t>
      </w:r>
      <w:proofErr w:type="spellEnd"/>
      <w:r w:rsidRPr="008A2109">
        <w:rPr>
          <w:color w:val="222222"/>
          <w:highlight w:val="white"/>
        </w:rPr>
        <w:t xml:space="preserve">, C., </w:t>
      </w:r>
      <w:proofErr w:type="spellStart"/>
      <w:r w:rsidRPr="008A2109">
        <w:rPr>
          <w:color w:val="222222"/>
          <w:highlight w:val="white"/>
        </w:rPr>
        <w:t>Ávalos</w:t>
      </w:r>
      <w:proofErr w:type="spellEnd"/>
      <w:r w:rsidRPr="008A2109">
        <w:rPr>
          <w:color w:val="222222"/>
          <w:highlight w:val="white"/>
        </w:rPr>
        <w:t xml:space="preserve">, R. S., Denis, G., &amp; </w:t>
      </w:r>
      <w:proofErr w:type="spellStart"/>
      <w:r w:rsidRPr="008A2109">
        <w:rPr>
          <w:color w:val="222222"/>
          <w:highlight w:val="white"/>
        </w:rPr>
        <w:t>Aracena</w:t>
      </w:r>
      <w:proofErr w:type="spellEnd"/>
      <w:r w:rsidRPr="008A2109">
        <w:rPr>
          <w:color w:val="222222"/>
          <w:highlight w:val="white"/>
        </w:rPr>
        <w:t xml:space="preserve">, C. (2021). </w:t>
      </w:r>
      <w:proofErr w:type="spellStart"/>
      <w:r w:rsidRPr="008A2109">
        <w:rPr>
          <w:color w:val="222222"/>
          <w:highlight w:val="white"/>
        </w:rPr>
        <w:t>Responsible</w:t>
      </w:r>
      <w:proofErr w:type="spellEnd"/>
      <w:r w:rsidRPr="008A2109">
        <w:rPr>
          <w:color w:val="222222"/>
          <w:highlight w:val="white"/>
        </w:rPr>
        <w:t xml:space="preserve"> </w:t>
      </w:r>
      <w:proofErr w:type="spellStart"/>
      <w:r w:rsidRPr="008A2109">
        <w:rPr>
          <w:color w:val="222222"/>
          <w:highlight w:val="white"/>
        </w:rPr>
        <w:t>use</w:t>
      </w:r>
      <w:proofErr w:type="spellEnd"/>
      <w:r w:rsidRPr="008A2109">
        <w:rPr>
          <w:color w:val="222222"/>
          <w:highlight w:val="white"/>
        </w:rPr>
        <w:t xml:space="preserve"> of AI </w:t>
      </w:r>
      <w:proofErr w:type="spellStart"/>
      <w:r w:rsidRPr="008A2109">
        <w:rPr>
          <w:color w:val="222222"/>
          <w:highlight w:val="white"/>
        </w:rPr>
        <w:t>for</w:t>
      </w:r>
      <w:proofErr w:type="spellEnd"/>
      <w:r w:rsidRPr="008A2109">
        <w:rPr>
          <w:color w:val="222222"/>
          <w:highlight w:val="white"/>
        </w:rPr>
        <w:t xml:space="preserve"> </w:t>
      </w:r>
      <w:proofErr w:type="spellStart"/>
      <w:r w:rsidRPr="008A2109">
        <w:rPr>
          <w:color w:val="222222"/>
          <w:highlight w:val="white"/>
        </w:rPr>
        <w:t>public</w:t>
      </w:r>
      <w:proofErr w:type="spellEnd"/>
      <w:r w:rsidRPr="008A2109">
        <w:rPr>
          <w:color w:val="222222"/>
          <w:highlight w:val="white"/>
        </w:rPr>
        <w:t xml:space="preserve"> </w:t>
      </w:r>
      <w:proofErr w:type="spellStart"/>
      <w:r w:rsidRPr="008A2109">
        <w:rPr>
          <w:color w:val="222222"/>
          <w:highlight w:val="white"/>
        </w:rPr>
        <w:t>policy</w:t>
      </w:r>
      <w:proofErr w:type="spellEnd"/>
      <w:r w:rsidRPr="008A2109">
        <w:rPr>
          <w:color w:val="222222"/>
          <w:highlight w:val="white"/>
        </w:rPr>
        <w:t xml:space="preserve">: Project </w:t>
      </w:r>
      <w:proofErr w:type="spellStart"/>
      <w:r w:rsidRPr="008A2109">
        <w:rPr>
          <w:color w:val="222222"/>
          <w:highlight w:val="white"/>
        </w:rPr>
        <w:t>formulation</w:t>
      </w:r>
      <w:proofErr w:type="spellEnd"/>
      <w:r w:rsidRPr="008A2109">
        <w:rPr>
          <w:color w:val="222222"/>
          <w:highlight w:val="white"/>
        </w:rPr>
        <w:t xml:space="preserve"> </w:t>
      </w:r>
      <w:proofErr w:type="spellStart"/>
      <w:r w:rsidRPr="008A2109">
        <w:rPr>
          <w:color w:val="222222"/>
          <w:highlight w:val="white"/>
        </w:rPr>
        <w:t>manual</w:t>
      </w:r>
      <w:proofErr w:type="spellEnd"/>
      <w:r w:rsidRPr="008A2109">
        <w:rPr>
          <w:color w:val="222222"/>
          <w:highlight w:val="white"/>
        </w:rPr>
        <w:t xml:space="preserve">.  </w:t>
      </w:r>
      <w:hyperlink r:id="rId292" w:history="1">
        <w:r w:rsidRPr="00EF5728">
          <w:rPr>
            <w:rStyle w:val="Kpr"/>
          </w:rPr>
          <w:t>http://dx.doi.org/10.18235/0003631</w:t>
        </w:r>
      </w:hyperlink>
      <w:r>
        <w:t xml:space="preserve"> </w:t>
      </w:r>
    </w:p>
    <w:p w14:paraId="15D96F56" w14:textId="77777777" w:rsidR="008A2109" w:rsidRDefault="008A2109" w:rsidP="008A2109">
      <w:pPr>
        <w:pStyle w:val="ListeParagraf"/>
        <w:numPr>
          <w:ilvl w:val="0"/>
          <w:numId w:val="97"/>
        </w:numPr>
        <w:jc w:val="both"/>
      </w:pPr>
      <w:proofErr w:type="spellStart"/>
      <w:r w:rsidRPr="008A2109">
        <w:rPr>
          <w:color w:val="222222"/>
        </w:rPr>
        <w:lastRenderedPageBreak/>
        <w:t>Leyer</w:t>
      </w:r>
      <w:proofErr w:type="spellEnd"/>
      <w:r w:rsidRPr="008A2109">
        <w:rPr>
          <w:color w:val="222222"/>
        </w:rPr>
        <w:t xml:space="preserve">, M., &amp; Schneider, S. (2021). </w:t>
      </w:r>
      <w:proofErr w:type="spellStart"/>
      <w:r w:rsidRPr="008A2109">
        <w:rPr>
          <w:color w:val="222222"/>
        </w:rPr>
        <w:t>Decision</w:t>
      </w:r>
      <w:proofErr w:type="spellEnd"/>
      <w:r w:rsidRPr="008A2109">
        <w:rPr>
          <w:color w:val="222222"/>
        </w:rPr>
        <w:t xml:space="preserve"> </w:t>
      </w:r>
      <w:proofErr w:type="spellStart"/>
      <w:r w:rsidRPr="008A2109">
        <w:rPr>
          <w:color w:val="222222"/>
        </w:rPr>
        <w:t>augmentation</w:t>
      </w:r>
      <w:proofErr w:type="spellEnd"/>
      <w:r w:rsidRPr="008A2109">
        <w:rPr>
          <w:color w:val="222222"/>
        </w:rPr>
        <w:t xml:space="preserve"> </w:t>
      </w:r>
      <w:proofErr w:type="spellStart"/>
      <w:r w:rsidRPr="008A2109">
        <w:rPr>
          <w:color w:val="222222"/>
        </w:rPr>
        <w:t>and</w:t>
      </w:r>
      <w:proofErr w:type="spellEnd"/>
      <w:r w:rsidRPr="008A2109">
        <w:rPr>
          <w:color w:val="222222"/>
        </w:rPr>
        <w:t xml:space="preserve"> </w:t>
      </w:r>
      <w:proofErr w:type="spellStart"/>
      <w:r w:rsidRPr="008A2109">
        <w:rPr>
          <w:color w:val="222222"/>
        </w:rPr>
        <w:t>automation</w:t>
      </w:r>
      <w:proofErr w:type="spellEnd"/>
      <w:r w:rsidRPr="008A2109">
        <w:rPr>
          <w:color w:val="222222"/>
        </w:rPr>
        <w:t xml:space="preserve"> </w:t>
      </w:r>
      <w:proofErr w:type="spellStart"/>
      <w:r w:rsidRPr="008A2109">
        <w:rPr>
          <w:color w:val="222222"/>
        </w:rPr>
        <w:t>with</w:t>
      </w:r>
      <w:proofErr w:type="spellEnd"/>
      <w:r w:rsidRPr="008A2109">
        <w:rPr>
          <w:color w:val="222222"/>
        </w:rPr>
        <w:t xml:space="preserve"> </w:t>
      </w:r>
      <w:proofErr w:type="spellStart"/>
      <w:r w:rsidRPr="008A2109">
        <w:rPr>
          <w:color w:val="222222"/>
        </w:rPr>
        <w:t>artificial</w:t>
      </w:r>
      <w:proofErr w:type="spellEnd"/>
      <w:r w:rsidRPr="008A2109">
        <w:rPr>
          <w:color w:val="222222"/>
        </w:rPr>
        <w:t xml:space="preserve"> </w:t>
      </w:r>
      <w:proofErr w:type="spellStart"/>
      <w:r w:rsidRPr="008A2109">
        <w:rPr>
          <w:color w:val="222222"/>
        </w:rPr>
        <w:t>intelligence</w:t>
      </w:r>
      <w:proofErr w:type="spellEnd"/>
      <w:r w:rsidRPr="008A2109">
        <w:rPr>
          <w:color w:val="222222"/>
        </w:rPr>
        <w:t xml:space="preserve">: </w:t>
      </w:r>
      <w:proofErr w:type="spellStart"/>
      <w:r w:rsidRPr="008A2109">
        <w:rPr>
          <w:color w:val="222222"/>
        </w:rPr>
        <w:t>threat</w:t>
      </w:r>
      <w:proofErr w:type="spellEnd"/>
      <w:r w:rsidRPr="008A2109">
        <w:rPr>
          <w:color w:val="222222"/>
        </w:rPr>
        <w:t xml:space="preserve"> </w:t>
      </w:r>
      <w:proofErr w:type="spellStart"/>
      <w:r w:rsidRPr="008A2109">
        <w:rPr>
          <w:color w:val="222222"/>
        </w:rPr>
        <w:t>or</w:t>
      </w:r>
      <w:proofErr w:type="spellEnd"/>
      <w:r w:rsidRPr="008A2109">
        <w:rPr>
          <w:color w:val="222222"/>
        </w:rPr>
        <w:t xml:space="preserve"> </w:t>
      </w:r>
      <w:proofErr w:type="spellStart"/>
      <w:r w:rsidRPr="008A2109">
        <w:rPr>
          <w:color w:val="222222"/>
        </w:rPr>
        <w:t>opportunity</w:t>
      </w:r>
      <w:proofErr w:type="spellEnd"/>
      <w:r w:rsidRPr="008A2109">
        <w:rPr>
          <w:color w:val="222222"/>
        </w:rPr>
        <w:t xml:space="preserve"> </w:t>
      </w:r>
      <w:proofErr w:type="spellStart"/>
      <w:r w:rsidRPr="008A2109">
        <w:rPr>
          <w:color w:val="222222"/>
        </w:rPr>
        <w:t>for</w:t>
      </w:r>
      <w:proofErr w:type="spellEnd"/>
      <w:r w:rsidRPr="008A2109">
        <w:rPr>
          <w:color w:val="222222"/>
        </w:rPr>
        <w:t xml:space="preserve"> </w:t>
      </w:r>
      <w:proofErr w:type="spellStart"/>
      <w:r w:rsidRPr="008A2109">
        <w:rPr>
          <w:color w:val="222222"/>
        </w:rPr>
        <w:t>managers</w:t>
      </w:r>
      <w:proofErr w:type="spellEnd"/>
      <w:r w:rsidRPr="008A2109">
        <w:rPr>
          <w:color w:val="222222"/>
        </w:rPr>
        <w:t xml:space="preserve">? </w:t>
      </w:r>
      <w:r w:rsidRPr="008A2109">
        <w:rPr>
          <w:i/>
          <w:color w:val="222222"/>
        </w:rPr>
        <w:t xml:space="preserve">Business </w:t>
      </w:r>
      <w:proofErr w:type="spellStart"/>
      <w:r w:rsidRPr="008A2109">
        <w:rPr>
          <w:i/>
          <w:color w:val="222222"/>
        </w:rPr>
        <w:t>Horizons</w:t>
      </w:r>
      <w:proofErr w:type="spellEnd"/>
      <w:r w:rsidRPr="008A2109">
        <w:rPr>
          <w:color w:val="222222"/>
        </w:rPr>
        <w:t xml:space="preserve">, </w:t>
      </w:r>
      <w:r w:rsidRPr="008A2109">
        <w:rPr>
          <w:i/>
          <w:color w:val="222222"/>
        </w:rPr>
        <w:t>64</w:t>
      </w:r>
      <w:r w:rsidRPr="008A2109">
        <w:rPr>
          <w:color w:val="222222"/>
        </w:rPr>
        <w:t xml:space="preserve">(5), 711-724. </w:t>
      </w:r>
      <w:hyperlink r:id="rId293" w:tgtFrame="_blank" w:history="1">
        <w:r w:rsidRPr="008A2109">
          <w:rPr>
            <w:rStyle w:val="Kpr"/>
            <w:rFonts w:eastAsiaTheme="majorEastAsia"/>
          </w:rPr>
          <w:t>https://doi.org/10.1016/j.bushor.2021.02.026</w:t>
        </w:r>
      </w:hyperlink>
    </w:p>
    <w:p w14:paraId="5190E838" w14:textId="77777777" w:rsidR="008A2109" w:rsidRDefault="008A2109" w:rsidP="008A2109">
      <w:pPr>
        <w:pStyle w:val="ListeParagraf"/>
        <w:numPr>
          <w:ilvl w:val="0"/>
          <w:numId w:val="97"/>
        </w:numPr>
        <w:jc w:val="both"/>
      </w:pPr>
      <w:r>
        <w:t xml:space="preserve">Matt, C., </w:t>
      </w:r>
      <w:proofErr w:type="spellStart"/>
      <w:r>
        <w:t>Hess</w:t>
      </w:r>
      <w:proofErr w:type="spellEnd"/>
      <w:r>
        <w:t xml:space="preserve">, T. &amp; </w:t>
      </w:r>
      <w:proofErr w:type="spellStart"/>
      <w:r>
        <w:t>Benlian</w:t>
      </w:r>
      <w:proofErr w:type="spellEnd"/>
      <w:r>
        <w:t xml:space="preserve">, A. (2015). </w:t>
      </w:r>
      <w:proofErr w:type="spellStart"/>
      <w:r>
        <w:t>Digital</w:t>
      </w:r>
      <w:proofErr w:type="spellEnd"/>
      <w:r>
        <w:t xml:space="preserve"> </w:t>
      </w:r>
      <w:proofErr w:type="spellStart"/>
      <w:r>
        <w:t>transformation</w:t>
      </w:r>
      <w:proofErr w:type="spellEnd"/>
      <w:r>
        <w:t xml:space="preserve"> </w:t>
      </w:r>
      <w:proofErr w:type="spellStart"/>
      <w:r>
        <w:t>strategies</w:t>
      </w:r>
      <w:proofErr w:type="spellEnd"/>
      <w:r>
        <w:t xml:space="preserve">. </w:t>
      </w:r>
      <w:proofErr w:type="spellStart"/>
      <w:r w:rsidRPr="008A2109">
        <w:rPr>
          <w:i/>
        </w:rPr>
        <w:t>Bus</w:t>
      </w:r>
      <w:proofErr w:type="spellEnd"/>
      <w:r w:rsidRPr="008A2109">
        <w:rPr>
          <w:i/>
        </w:rPr>
        <w:t xml:space="preserve">. </w:t>
      </w:r>
      <w:proofErr w:type="spellStart"/>
      <w:r w:rsidRPr="008A2109">
        <w:rPr>
          <w:i/>
        </w:rPr>
        <w:t>Inf</w:t>
      </w:r>
      <w:proofErr w:type="spellEnd"/>
      <w:r w:rsidRPr="008A2109">
        <w:rPr>
          <w:i/>
        </w:rPr>
        <w:t xml:space="preserve">. </w:t>
      </w:r>
      <w:proofErr w:type="spellStart"/>
      <w:r w:rsidRPr="008A2109">
        <w:rPr>
          <w:i/>
        </w:rPr>
        <w:t>Syst</w:t>
      </w:r>
      <w:proofErr w:type="spellEnd"/>
      <w:r w:rsidRPr="008A2109">
        <w:rPr>
          <w:i/>
        </w:rPr>
        <w:t xml:space="preserve">. </w:t>
      </w:r>
      <w:proofErr w:type="spellStart"/>
      <w:r w:rsidRPr="008A2109">
        <w:rPr>
          <w:i/>
        </w:rPr>
        <w:t>Eng</w:t>
      </w:r>
      <w:proofErr w:type="spellEnd"/>
      <w:r>
        <w:t xml:space="preserve">. </w:t>
      </w:r>
      <w:r w:rsidRPr="008A2109">
        <w:rPr>
          <w:i/>
        </w:rPr>
        <w:t>57</w:t>
      </w:r>
      <w:r>
        <w:t xml:space="preserve">(5), 339–343. </w:t>
      </w:r>
      <w:hyperlink r:id="rId294">
        <w:r w:rsidRPr="008A2109">
          <w:rPr>
            <w:color w:val="1155CC"/>
            <w:u w:val="single"/>
          </w:rPr>
          <w:t>https://doi.org/10.1007/s12599-015-0401-5</w:t>
        </w:r>
      </w:hyperlink>
      <w:r>
        <w:t xml:space="preserve"> </w:t>
      </w:r>
    </w:p>
    <w:p w14:paraId="3F298C1A" w14:textId="77777777" w:rsidR="008A2109" w:rsidRDefault="008A2109" w:rsidP="008A2109">
      <w:pPr>
        <w:pStyle w:val="ListeParagraf"/>
        <w:numPr>
          <w:ilvl w:val="0"/>
          <w:numId w:val="97"/>
        </w:numPr>
        <w:jc w:val="both"/>
      </w:pPr>
      <w:r>
        <w:t xml:space="preserve">McCarthy, J. (2007). </w:t>
      </w:r>
      <w:proofErr w:type="spellStart"/>
      <w:r>
        <w:t>From</w:t>
      </w:r>
      <w:proofErr w:type="spellEnd"/>
      <w:r>
        <w:t xml:space="preserve"> here </w:t>
      </w:r>
      <w:proofErr w:type="spellStart"/>
      <w:r>
        <w:t>to</w:t>
      </w:r>
      <w:proofErr w:type="spellEnd"/>
      <w:r>
        <w:t xml:space="preserve"> </w:t>
      </w:r>
      <w:proofErr w:type="spellStart"/>
      <w:r>
        <w:t>human-level</w:t>
      </w:r>
      <w:proofErr w:type="spellEnd"/>
      <w:r>
        <w:t xml:space="preserve"> AI. </w:t>
      </w:r>
      <w:proofErr w:type="spellStart"/>
      <w:r w:rsidRPr="008A2109">
        <w:rPr>
          <w:i/>
        </w:rPr>
        <w:t>Artificial</w:t>
      </w:r>
      <w:proofErr w:type="spellEnd"/>
      <w:r w:rsidRPr="008A2109">
        <w:rPr>
          <w:i/>
        </w:rPr>
        <w:t xml:space="preserve"> </w:t>
      </w:r>
      <w:proofErr w:type="spellStart"/>
      <w:r w:rsidRPr="008A2109">
        <w:rPr>
          <w:i/>
        </w:rPr>
        <w:t>Intelligence</w:t>
      </w:r>
      <w:proofErr w:type="spellEnd"/>
      <w:r w:rsidRPr="008A2109">
        <w:rPr>
          <w:i/>
        </w:rPr>
        <w:t>,</w:t>
      </w:r>
      <w:r>
        <w:t xml:space="preserve"> </w:t>
      </w:r>
      <w:r w:rsidRPr="008A2109">
        <w:rPr>
          <w:i/>
        </w:rPr>
        <w:t>171</w:t>
      </w:r>
      <w:r>
        <w:t xml:space="preserve">(18), 1174-1182. </w:t>
      </w:r>
      <w:hyperlink r:id="rId295">
        <w:r w:rsidRPr="008A2109">
          <w:rPr>
            <w:color w:val="1155CC"/>
            <w:u w:val="single"/>
          </w:rPr>
          <w:t>https://doi.org/10.1016/j.artint.2007.10.009</w:t>
        </w:r>
      </w:hyperlink>
      <w:r>
        <w:t xml:space="preserve"> </w:t>
      </w:r>
    </w:p>
    <w:p w14:paraId="37F0A088" w14:textId="77777777" w:rsidR="008A2109" w:rsidRPr="008A2109" w:rsidRDefault="008A2109" w:rsidP="008A2109">
      <w:pPr>
        <w:pStyle w:val="ListeParagraf"/>
        <w:numPr>
          <w:ilvl w:val="0"/>
          <w:numId w:val="97"/>
        </w:numPr>
        <w:jc w:val="both"/>
        <w:rPr>
          <w:color w:val="1155CC"/>
          <w:u w:val="single"/>
        </w:rPr>
      </w:pPr>
      <w:r>
        <w:t xml:space="preserve">Media Office (2021). </w:t>
      </w:r>
      <w:r w:rsidRPr="008A2109">
        <w:rPr>
          <w:i/>
        </w:rPr>
        <w:t xml:space="preserve">Smart </w:t>
      </w:r>
      <w:proofErr w:type="spellStart"/>
      <w:r w:rsidRPr="008A2109">
        <w:rPr>
          <w:i/>
        </w:rPr>
        <w:t>police</w:t>
      </w:r>
      <w:proofErr w:type="spellEnd"/>
      <w:r w:rsidRPr="008A2109">
        <w:rPr>
          <w:i/>
        </w:rPr>
        <w:t xml:space="preserve"> </w:t>
      </w:r>
      <w:proofErr w:type="spellStart"/>
      <w:r w:rsidRPr="008A2109">
        <w:rPr>
          <w:i/>
        </w:rPr>
        <w:t>station</w:t>
      </w:r>
      <w:proofErr w:type="spellEnd"/>
      <w:r w:rsidRPr="008A2109">
        <w:rPr>
          <w:i/>
        </w:rPr>
        <w:t xml:space="preserve"> at Dubai </w:t>
      </w:r>
      <w:proofErr w:type="spellStart"/>
      <w:r w:rsidRPr="008A2109">
        <w:rPr>
          <w:i/>
        </w:rPr>
        <w:t>silicon</w:t>
      </w:r>
      <w:proofErr w:type="spellEnd"/>
      <w:r w:rsidRPr="008A2109">
        <w:rPr>
          <w:i/>
        </w:rPr>
        <w:t xml:space="preserve"> </w:t>
      </w:r>
      <w:proofErr w:type="spellStart"/>
      <w:r w:rsidRPr="008A2109">
        <w:rPr>
          <w:i/>
        </w:rPr>
        <w:t>oasis</w:t>
      </w:r>
      <w:proofErr w:type="spellEnd"/>
      <w:r w:rsidRPr="008A2109">
        <w:rPr>
          <w:i/>
        </w:rPr>
        <w:t xml:space="preserve"> </w:t>
      </w:r>
      <w:proofErr w:type="spellStart"/>
      <w:r w:rsidRPr="008A2109">
        <w:rPr>
          <w:i/>
        </w:rPr>
        <w:t>completes</w:t>
      </w:r>
      <w:proofErr w:type="spellEnd"/>
      <w:r w:rsidRPr="008A2109">
        <w:rPr>
          <w:i/>
        </w:rPr>
        <w:t xml:space="preserve"> 4,656 </w:t>
      </w:r>
      <w:proofErr w:type="spellStart"/>
      <w:r w:rsidRPr="008A2109">
        <w:rPr>
          <w:i/>
        </w:rPr>
        <w:t>smart</w:t>
      </w:r>
      <w:proofErr w:type="spellEnd"/>
      <w:r w:rsidRPr="008A2109">
        <w:rPr>
          <w:i/>
        </w:rPr>
        <w:t xml:space="preserve"> </w:t>
      </w:r>
      <w:proofErr w:type="spellStart"/>
      <w:r w:rsidRPr="008A2109">
        <w:rPr>
          <w:i/>
        </w:rPr>
        <w:t>transactions</w:t>
      </w:r>
      <w:proofErr w:type="spellEnd"/>
      <w:r w:rsidRPr="008A2109">
        <w:rPr>
          <w:i/>
        </w:rPr>
        <w:t xml:space="preserve"> in </w:t>
      </w:r>
      <w:proofErr w:type="spellStart"/>
      <w:r w:rsidRPr="008A2109">
        <w:rPr>
          <w:i/>
        </w:rPr>
        <w:t>five</w:t>
      </w:r>
      <w:proofErr w:type="spellEnd"/>
      <w:r w:rsidRPr="008A2109">
        <w:rPr>
          <w:i/>
        </w:rPr>
        <w:t xml:space="preserve"> </w:t>
      </w:r>
      <w:proofErr w:type="spellStart"/>
      <w:r w:rsidRPr="008A2109">
        <w:rPr>
          <w:i/>
        </w:rPr>
        <w:t>mo</w:t>
      </w:r>
      <w:r>
        <w:t>nths</w:t>
      </w:r>
      <w:proofErr w:type="spellEnd"/>
      <w:r>
        <w:t xml:space="preserve">. </w:t>
      </w:r>
      <w:hyperlink r:id="rId296">
        <w:r w:rsidRPr="008A2109">
          <w:rPr>
            <w:color w:val="0563C1"/>
            <w:highlight w:val="white"/>
            <w:u w:val="single"/>
          </w:rPr>
          <w:t>https://www.mediaoffice.ae/en/news/2021/march/31-03/smart-police-station-at-dubai-silicon-oasis-completes-4656-smart-transactions-in-five-months</w:t>
        </w:r>
      </w:hyperlink>
    </w:p>
    <w:p w14:paraId="254B4824" w14:textId="77777777" w:rsidR="008A2109" w:rsidRDefault="008A2109" w:rsidP="008A2109">
      <w:pPr>
        <w:pStyle w:val="ListeParagraf"/>
        <w:numPr>
          <w:ilvl w:val="0"/>
          <w:numId w:val="97"/>
        </w:numPr>
        <w:jc w:val="both"/>
      </w:pPr>
      <w:proofErr w:type="spellStart"/>
      <w:r>
        <w:t>Mehr</w:t>
      </w:r>
      <w:proofErr w:type="spellEnd"/>
      <w:r>
        <w:t xml:space="preserve">, H. (2017). </w:t>
      </w:r>
      <w:proofErr w:type="spellStart"/>
      <w:r>
        <w:t>Artificial</w:t>
      </w:r>
      <w:proofErr w:type="spellEnd"/>
      <w:r>
        <w:t xml:space="preserve"> </w:t>
      </w:r>
      <w:proofErr w:type="spellStart"/>
      <w:r>
        <w:t>intelligence</w:t>
      </w:r>
      <w:proofErr w:type="spellEnd"/>
      <w:r>
        <w:t xml:space="preserve"> </w:t>
      </w:r>
      <w:proofErr w:type="spellStart"/>
      <w:r>
        <w:t>for</w:t>
      </w:r>
      <w:proofErr w:type="spellEnd"/>
      <w:r>
        <w:t xml:space="preserve"> </w:t>
      </w:r>
      <w:proofErr w:type="spellStart"/>
      <w:r>
        <w:t>citizen</w:t>
      </w:r>
      <w:proofErr w:type="spellEnd"/>
      <w:r>
        <w:t xml:space="preserve"> </w:t>
      </w:r>
      <w:proofErr w:type="spellStart"/>
      <w:r>
        <w:t>services</w:t>
      </w:r>
      <w:proofErr w:type="spellEnd"/>
      <w:r>
        <w:t xml:space="preserve"> </w:t>
      </w:r>
      <w:proofErr w:type="spellStart"/>
      <w:r>
        <w:t>and</w:t>
      </w:r>
      <w:proofErr w:type="spellEnd"/>
      <w:r>
        <w:t xml:space="preserve"> </w:t>
      </w:r>
      <w:proofErr w:type="spellStart"/>
      <w:r>
        <w:t>government</w:t>
      </w:r>
      <w:proofErr w:type="spellEnd"/>
      <w:r>
        <w:t xml:space="preserve">, Harvard </w:t>
      </w:r>
      <w:proofErr w:type="spellStart"/>
      <w:r>
        <w:t>Keneddy</w:t>
      </w:r>
      <w:proofErr w:type="spellEnd"/>
      <w:r>
        <w:t xml:space="preserve"> School.</w:t>
      </w:r>
    </w:p>
    <w:p w14:paraId="541B5289" w14:textId="77777777" w:rsidR="008A2109" w:rsidRPr="008A2109" w:rsidRDefault="008A2109" w:rsidP="008A2109">
      <w:pPr>
        <w:pStyle w:val="ListeParagraf"/>
        <w:numPr>
          <w:ilvl w:val="0"/>
          <w:numId w:val="97"/>
        </w:numPr>
        <w:jc w:val="both"/>
        <w:rPr>
          <w:color w:val="000000"/>
        </w:rPr>
      </w:pPr>
      <w:r w:rsidRPr="008A2109">
        <w:rPr>
          <w:color w:val="000000"/>
        </w:rPr>
        <w:t xml:space="preserve">OECD (2019). </w:t>
      </w:r>
      <w:proofErr w:type="spellStart"/>
      <w:r w:rsidRPr="008A2109">
        <w:rPr>
          <w:i/>
          <w:color w:val="000000"/>
        </w:rPr>
        <w:t>Artificial</w:t>
      </w:r>
      <w:proofErr w:type="spellEnd"/>
      <w:r w:rsidRPr="008A2109">
        <w:rPr>
          <w:i/>
          <w:color w:val="000000"/>
        </w:rPr>
        <w:t xml:space="preserve"> </w:t>
      </w:r>
      <w:proofErr w:type="spellStart"/>
      <w:r w:rsidRPr="008A2109">
        <w:rPr>
          <w:i/>
        </w:rPr>
        <w:t>intelligence</w:t>
      </w:r>
      <w:proofErr w:type="spellEnd"/>
      <w:r w:rsidRPr="008A2109">
        <w:rPr>
          <w:i/>
        </w:rPr>
        <w:t xml:space="preserve"> in </w:t>
      </w:r>
      <w:proofErr w:type="spellStart"/>
      <w:r w:rsidRPr="008A2109">
        <w:rPr>
          <w:i/>
        </w:rPr>
        <w:t>societ</w:t>
      </w:r>
      <w:r w:rsidRPr="008A2109">
        <w:rPr>
          <w:i/>
          <w:color w:val="000000"/>
        </w:rPr>
        <w:t>y</w:t>
      </w:r>
      <w:proofErr w:type="spellEnd"/>
      <w:r w:rsidRPr="008A2109">
        <w:rPr>
          <w:color w:val="000000"/>
        </w:rPr>
        <w:t>. Paris, France: OECD Publishing.</w:t>
      </w:r>
    </w:p>
    <w:p w14:paraId="373A3A38" w14:textId="77777777" w:rsidR="008A2109" w:rsidRDefault="008A2109" w:rsidP="008A2109">
      <w:pPr>
        <w:jc w:val="both"/>
      </w:pPr>
    </w:p>
    <w:p w14:paraId="4FD85820" w14:textId="77777777" w:rsidR="008A2109" w:rsidRDefault="008A2109" w:rsidP="008A2109">
      <w:pPr>
        <w:pStyle w:val="ListeParagraf"/>
        <w:numPr>
          <w:ilvl w:val="0"/>
          <w:numId w:val="97"/>
        </w:numPr>
        <w:jc w:val="both"/>
      </w:pPr>
      <w:proofErr w:type="spellStart"/>
      <w:r>
        <w:t>Payne</w:t>
      </w:r>
      <w:proofErr w:type="spellEnd"/>
      <w:r>
        <w:t>, W. (2024).</w:t>
      </w:r>
      <w:r w:rsidRPr="0095428F">
        <w:t xml:space="preserve"> </w:t>
      </w:r>
      <w:r w:rsidRPr="008A2109">
        <w:rPr>
          <w:i/>
        </w:rPr>
        <w:t xml:space="preserve">Utrecht </w:t>
      </w:r>
      <w:proofErr w:type="spellStart"/>
      <w:r w:rsidRPr="008A2109">
        <w:rPr>
          <w:i/>
        </w:rPr>
        <w:t>opens</w:t>
      </w:r>
      <w:proofErr w:type="spellEnd"/>
      <w:r w:rsidRPr="008A2109">
        <w:rPr>
          <w:i/>
        </w:rPr>
        <w:t xml:space="preserve"> Smart </w:t>
      </w:r>
      <w:proofErr w:type="spellStart"/>
      <w:r w:rsidRPr="008A2109">
        <w:rPr>
          <w:i/>
        </w:rPr>
        <w:t>Police</w:t>
      </w:r>
      <w:proofErr w:type="spellEnd"/>
      <w:r w:rsidRPr="008A2109">
        <w:rPr>
          <w:i/>
        </w:rPr>
        <w:t xml:space="preserve"> Station.</w:t>
      </w:r>
      <w:r>
        <w:t xml:space="preserve"> </w:t>
      </w:r>
      <w:r w:rsidRPr="0095428F">
        <w:t>https://www.iotm2mcouncil.org/iot-library/news/smart-cities-news/utrecht-opens-smart-police-station/#:~:text=The%20Netherlands%20has%20opened%20its,outside%20the%20UAE%20in%202023.</w:t>
      </w:r>
    </w:p>
    <w:p w14:paraId="39B99F0A" w14:textId="77777777" w:rsidR="008A2109" w:rsidRDefault="008A2109" w:rsidP="008A2109">
      <w:pPr>
        <w:pStyle w:val="ListeParagraf"/>
        <w:numPr>
          <w:ilvl w:val="0"/>
          <w:numId w:val="97"/>
        </w:numPr>
        <w:jc w:val="both"/>
      </w:pPr>
      <w:r>
        <w:t xml:space="preserve">SOCI (2023). </w:t>
      </w:r>
      <w:proofErr w:type="spellStart"/>
      <w:r>
        <w:t>The</w:t>
      </w:r>
      <w:proofErr w:type="spellEnd"/>
      <w:r>
        <w:t xml:space="preserve"> </w:t>
      </w:r>
      <w:proofErr w:type="spellStart"/>
      <w:r>
        <w:t>basic</w:t>
      </w:r>
      <w:proofErr w:type="spellEnd"/>
      <w:r>
        <w:t xml:space="preserve"> </w:t>
      </w:r>
      <w:proofErr w:type="spellStart"/>
      <w:r>
        <w:t>components</w:t>
      </w:r>
      <w:proofErr w:type="spellEnd"/>
      <w:r>
        <w:t xml:space="preserve"> </w:t>
      </w:r>
      <w:proofErr w:type="spellStart"/>
      <w:r>
        <w:t>and</w:t>
      </w:r>
      <w:proofErr w:type="spellEnd"/>
      <w:r>
        <w:t xml:space="preserve"> </w:t>
      </w:r>
      <w:proofErr w:type="spellStart"/>
      <w:r>
        <w:t>branches</w:t>
      </w:r>
      <w:proofErr w:type="spellEnd"/>
      <w:r>
        <w:t xml:space="preserve"> of </w:t>
      </w:r>
      <w:proofErr w:type="spellStart"/>
      <w:r>
        <w:t>ai</w:t>
      </w:r>
      <w:proofErr w:type="spellEnd"/>
      <w:r>
        <w:t xml:space="preserve">. </w:t>
      </w:r>
      <w:hyperlink r:id="rId297">
        <w:r w:rsidRPr="008A2109">
          <w:rPr>
            <w:color w:val="1155CC"/>
            <w:u w:val="single"/>
          </w:rPr>
          <w:t>https://www.soci.ai/knowledge-articles/branches-of-artificial-intelligence/</w:t>
        </w:r>
      </w:hyperlink>
      <w:r>
        <w:t xml:space="preserve"> </w:t>
      </w:r>
    </w:p>
    <w:p w14:paraId="21170D30" w14:textId="77777777" w:rsidR="008A2109" w:rsidRDefault="008A2109" w:rsidP="008A2109">
      <w:pPr>
        <w:pStyle w:val="ListeParagraf"/>
        <w:numPr>
          <w:ilvl w:val="0"/>
          <w:numId w:val="97"/>
        </w:numPr>
        <w:jc w:val="both"/>
      </w:pPr>
      <w:proofErr w:type="spellStart"/>
      <w:r w:rsidRPr="008A2109">
        <w:rPr>
          <w:color w:val="212529"/>
          <w:highlight w:val="white"/>
        </w:rPr>
        <w:t>Udawatte</w:t>
      </w:r>
      <w:proofErr w:type="spellEnd"/>
      <w:r w:rsidRPr="008A2109">
        <w:rPr>
          <w:color w:val="212529"/>
          <w:highlight w:val="white"/>
        </w:rPr>
        <w:t>, A</w:t>
      </w:r>
      <w:r w:rsidRPr="008A2109">
        <w:rPr>
          <w:color w:val="212529"/>
        </w:rPr>
        <w:t>.</w:t>
      </w:r>
      <w:r>
        <w:t xml:space="preserve"> (2023). </w:t>
      </w:r>
      <w:proofErr w:type="spellStart"/>
      <w:r w:rsidRPr="008A2109">
        <w:rPr>
          <w:i/>
        </w:rPr>
        <w:t>Filing</w:t>
      </w:r>
      <w:proofErr w:type="spellEnd"/>
      <w:r w:rsidRPr="008A2109">
        <w:rPr>
          <w:i/>
        </w:rPr>
        <w:t xml:space="preserve"> a </w:t>
      </w:r>
      <w:proofErr w:type="spellStart"/>
      <w:r w:rsidRPr="008A2109">
        <w:rPr>
          <w:i/>
        </w:rPr>
        <w:t>case</w:t>
      </w:r>
      <w:proofErr w:type="spellEnd"/>
      <w:r w:rsidRPr="008A2109">
        <w:rPr>
          <w:i/>
        </w:rPr>
        <w:t xml:space="preserve"> in </w:t>
      </w:r>
      <w:proofErr w:type="spellStart"/>
      <w:r w:rsidRPr="008A2109">
        <w:rPr>
          <w:i/>
        </w:rPr>
        <w:t>smart</w:t>
      </w:r>
      <w:proofErr w:type="spellEnd"/>
      <w:r w:rsidRPr="008A2109">
        <w:rPr>
          <w:i/>
        </w:rPr>
        <w:t xml:space="preserve"> </w:t>
      </w:r>
      <w:proofErr w:type="spellStart"/>
      <w:r w:rsidRPr="008A2109">
        <w:rPr>
          <w:i/>
        </w:rPr>
        <w:t>police</w:t>
      </w:r>
      <w:proofErr w:type="spellEnd"/>
      <w:r w:rsidRPr="008A2109">
        <w:rPr>
          <w:i/>
        </w:rPr>
        <w:t xml:space="preserve"> </w:t>
      </w:r>
      <w:proofErr w:type="spellStart"/>
      <w:r w:rsidRPr="008A2109">
        <w:rPr>
          <w:i/>
        </w:rPr>
        <w:t>stations</w:t>
      </w:r>
      <w:proofErr w:type="spellEnd"/>
      <w:r w:rsidRPr="008A2109">
        <w:rPr>
          <w:i/>
        </w:rPr>
        <w:t xml:space="preserve"> in Dubai. </w:t>
      </w:r>
      <w:hyperlink r:id="rId298">
        <w:r w:rsidRPr="008A2109">
          <w:rPr>
            <w:color w:val="1155CC"/>
            <w:highlight w:val="white"/>
            <w:u w:val="single"/>
          </w:rPr>
          <w:t>https://www.mondaq.com/data-protection/1314688/filing-a-case-in-smart-police-stations-in-dubai</w:t>
        </w:r>
      </w:hyperlink>
      <w:r w:rsidRPr="008A2109">
        <w:rPr>
          <w:color w:val="212529"/>
          <w:highlight w:val="white"/>
        </w:rPr>
        <w:t xml:space="preserve"> </w:t>
      </w:r>
    </w:p>
    <w:p w14:paraId="0C61BA04" w14:textId="77777777" w:rsidR="008A2109" w:rsidRDefault="008A2109" w:rsidP="008A2109">
      <w:pPr>
        <w:pStyle w:val="ListeParagraf"/>
        <w:numPr>
          <w:ilvl w:val="0"/>
          <w:numId w:val="97"/>
        </w:numPr>
        <w:jc w:val="both"/>
      </w:pPr>
      <w:proofErr w:type="spellStart"/>
      <w:r>
        <w:t>Walsh</w:t>
      </w:r>
      <w:proofErr w:type="spellEnd"/>
      <w:r>
        <w:t xml:space="preserve">, K. (1991). </w:t>
      </w:r>
      <w:proofErr w:type="spellStart"/>
      <w:r>
        <w:t>Citizens</w:t>
      </w:r>
      <w:proofErr w:type="spellEnd"/>
      <w:r>
        <w:t xml:space="preserve"> </w:t>
      </w:r>
      <w:proofErr w:type="spellStart"/>
      <w:r>
        <w:t>and</w:t>
      </w:r>
      <w:proofErr w:type="spellEnd"/>
      <w:r>
        <w:t xml:space="preserve"> </w:t>
      </w:r>
      <w:proofErr w:type="spellStart"/>
      <w:r>
        <w:t>consumers</w:t>
      </w:r>
      <w:proofErr w:type="spellEnd"/>
      <w:r>
        <w:t xml:space="preserve">: marketing </w:t>
      </w:r>
      <w:proofErr w:type="spellStart"/>
      <w:r>
        <w:t>and</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management</w:t>
      </w:r>
      <w:proofErr w:type="spellEnd"/>
      <w:r>
        <w:t xml:space="preserve">. </w:t>
      </w:r>
      <w:proofErr w:type="spellStart"/>
      <w:r w:rsidRPr="008A2109">
        <w:rPr>
          <w:i/>
        </w:rPr>
        <w:t>Public</w:t>
      </w:r>
      <w:proofErr w:type="spellEnd"/>
      <w:r w:rsidRPr="008A2109">
        <w:rPr>
          <w:i/>
        </w:rPr>
        <w:t xml:space="preserve"> Money &amp; Management,</w:t>
      </w:r>
      <w:r>
        <w:t xml:space="preserve"> </w:t>
      </w:r>
      <w:r w:rsidRPr="008A2109">
        <w:rPr>
          <w:i/>
        </w:rPr>
        <w:t>11</w:t>
      </w:r>
      <w:r>
        <w:t xml:space="preserve">(2), 9–16. https://doi.org/10.1080/ 09540969109387649 </w:t>
      </w:r>
    </w:p>
    <w:p w14:paraId="1C29DB2F" w14:textId="77777777" w:rsidR="008A2109" w:rsidRPr="00097B24" w:rsidRDefault="008A2109" w:rsidP="008A2109">
      <w:pPr>
        <w:spacing w:before="120" w:after="120"/>
        <w:jc w:val="both"/>
      </w:pPr>
    </w:p>
    <w:p w14:paraId="278615DF" w14:textId="191D6EC2" w:rsidR="00FA457D" w:rsidRPr="00D10870" w:rsidRDefault="00D37D80" w:rsidP="00D37D80">
      <w:pPr>
        <w:autoSpaceDE/>
        <w:autoSpaceDN/>
      </w:pPr>
      <w:r>
        <w:br w:type="page"/>
      </w:r>
    </w:p>
    <w:p w14:paraId="5E01C57B" w14:textId="77777777" w:rsidR="00FA457D" w:rsidRPr="00B1089D" w:rsidRDefault="00FA457D" w:rsidP="004C7694">
      <w:pPr>
        <w:pStyle w:val="Tark"/>
      </w:pPr>
      <w:bookmarkStart w:id="241" w:name="_Toc192855264"/>
      <w:r w:rsidRPr="00B1089D">
        <w:lastRenderedPageBreak/>
        <w:t>Ergenlerde Dijital Oyun Bağımlılığı, Sosyal Dışlanma ve Siber Zorbalık Arasındaki İlişkiler</w:t>
      </w:r>
      <w:bookmarkEnd w:id="241"/>
    </w:p>
    <w:p w14:paraId="0501E5BD" w14:textId="77777777" w:rsidR="00FA457D" w:rsidRPr="00B1089D" w:rsidRDefault="00FA457D" w:rsidP="00FA457D">
      <w:pPr>
        <w:widowControl/>
        <w:jc w:val="center"/>
      </w:pPr>
    </w:p>
    <w:p w14:paraId="34D74646" w14:textId="77777777" w:rsidR="00FA457D" w:rsidRPr="00B1089D" w:rsidRDefault="00FA457D" w:rsidP="00FA457D">
      <w:pPr>
        <w:widowControl/>
        <w:jc w:val="center"/>
      </w:pPr>
      <w:r w:rsidRPr="00B1089D">
        <w:t>Fatih CEBECİ</w:t>
      </w:r>
      <w:r w:rsidRPr="00B1089D">
        <w:br/>
        <w:t>Doktor, Aile ve Sosyal Hizmetler Bakanlığı</w:t>
      </w:r>
      <w:r w:rsidRPr="00B1089D">
        <w:br/>
        <w:t>fatihalpcebeci@gmail.com</w:t>
      </w:r>
      <w:r w:rsidRPr="00B1089D">
        <w:br/>
        <w:t>0000-0003-3866-5967</w:t>
      </w:r>
    </w:p>
    <w:p w14:paraId="41AFB143" w14:textId="77777777" w:rsidR="00FA457D" w:rsidRPr="00B1089D" w:rsidRDefault="00FA457D" w:rsidP="00FA457D">
      <w:pPr>
        <w:widowControl/>
        <w:jc w:val="center"/>
      </w:pPr>
    </w:p>
    <w:p w14:paraId="0C303C46" w14:textId="77777777" w:rsidR="00FA457D" w:rsidRPr="00B1089D" w:rsidRDefault="00FA457D" w:rsidP="00FA457D">
      <w:pPr>
        <w:widowControl/>
        <w:jc w:val="center"/>
      </w:pPr>
      <w:r w:rsidRPr="00B1089D">
        <w:t>Ragıp ÇAVUŞ</w:t>
      </w:r>
      <w:r w:rsidRPr="00B1089D">
        <w:br/>
        <w:t>Doktor, Millî Eğitim Bakanlığı</w:t>
      </w:r>
      <w:r w:rsidRPr="00B1089D">
        <w:br/>
        <w:t>ragipchavush@gmail.com</w:t>
      </w:r>
      <w:r w:rsidRPr="00B1089D">
        <w:br/>
        <w:t>0000-0003-3449-5729</w:t>
      </w:r>
    </w:p>
    <w:p w14:paraId="3184F03E" w14:textId="77777777" w:rsidR="00FA457D" w:rsidRPr="00B1089D" w:rsidRDefault="00FA457D" w:rsidP="00FA457D">
      <w:pPr>
        <w:widowControl/>
        <w:jc w:val="center"/>
      </w:pPr>
    </w:p>
    <w:p w14:paraId="540157CF" w14:textId="77777777" w:rsidR="00FA457D" w:rsidRPr="00B1089D" w:rsidRDefault="00FA457D" w:rsidP="00A4535A">
      <w:pPr>
        <w:widowControl/>
        <w:jc w:val="center"/>
      </w:pPr>
      <w:r w:rsidRPr="00B1089D">
        <w:rPr>
          <w:b/>
          <w:bCs/>
        </w:rPr>
        <w:t>Özet</w:t>
      </w:r>
    </w:p>
    <w:p w14:paraId="52927F82" w14:textId="77777777" w:rsidR="00FA457D" w:rsidRPr="00D10870" w:rsidRDefault="00FA457D" w:rsidP="00A4535A">
      <w:pPr>
        <w:widowControl/>
        <w:jc w:val="both"/>
      </w:pPr>
      <w:r w:rsidRPr="00B1089D">
        <w:t xml:space="preserve">Dijital oyun bağımlılığı, sosyal dışlanma ve siber zorbalık, özellikle ergenlerin hem psikososyal gelişimini hem de toplumsal uyumlarını olumsuz etkileyerek küresel bir sorun haline gelmiştir. Bu araştırma, ergenlerin dijital oyun bağımlılığı, sosyal dışlanma ve siber zorbalık düzeyleri arasındaki ilişkileri incelemeyi amaçlamaktadır. Araştırma, genel tarama modeli deseni içerisinde yer alan ilişkisel tarama modeli desenine dayanmaktadır. Araştırma, Türkiye'deki ortaöğretim öğrencilerinden oluşan bir örneklem üzerinde gerçekleştirilmiştir. Kolayda örnekleme yöntemi kullanılarak 390 öğrenciye ulaşılmıştır. Araştırma verileri, çevrimiçi ortamda Google tabanlı bir platform aracılığıyla toplanmıştır. Verilerin toplanmasında </w:t>
      </w:r>
      <w:proofErr w:type="spellStart"/>
      <w:r w:rsidRPr="00B1089D">
        <w:t>Sosyo</w:t>
      </w:r>
      <w:proofErr w:type="spellEnd"/>
      <w:r w:rsidRPr="00B1089D">
        <w:t xml:space="preserve">-demografik bilgi formu, Dijital Oyun Bağımlılığı Ölçeği, Siber Zorbalık Ölçeği ve Ergenler için Sosyal Dışlanma Ölçeği kullanılmıştır. Verilerin analizde betimsel istatistikler, korelasyon analizi ve basit doğrusal regresyon analizinden yararlanılmıştır. Araştırmaya katılan ergenlerin dijital oyun bağımlılıkları ile siber zorbalık düzeylerinin çok düşük, sosyal dışlanma düzeylerinin ise düşük düzeyde olduğu görülmüştür. Öte yandan ergenlerin sosyal dışlanmanın bir alt faktörü olan dışlanmaya ait algılarının da orta düzeyde olduğu tespit edilmiştir. Araştırma sonuçları, dijital oyun bağımlılığı, siber zorbalık ve sosyal dışlanmanın birbiriyle ilişkili olgular olduğunu ortaya koymaktadır. Araştırmada sosyal dışlanma durumunun, ergenlerin dijital oyun bağımlılığı ve siber zorbalık davranışlarının anlamlı bir </w:t>
      </w:r>
      <w:proofErr w:type="spellStart"/>
      <w:r w:rsidRPr="00B1089D">
        <w:t>yordayıcısı</w:t>
      </w:r>
      <w:proofErr w:type="spellEnd"/>
      <w:r w:rsidRPr="00B1089D">
        <w:t xml:space="preserve"> olduğu belirlenmiştir. Ayrıca dijital oyun bağımlığının da siber zorbalığı anlamlı bir şekilde </w:t>
      </w:r>
      <w:proofErr w:type="spellStart"/>
      <w:r w:rsidRPr="00B1089D">
        <w:t>yordadığı</w:t>
      </w:r>
      <w:proofErr w:type="spellEnd"/>
      <w:r w:rsidRPr="00B1089D">
        <w:t xml:space="preserve"> ve her iki değişkenin de siber zorbalık üzerindeki etkisinin sınırlı olduğu sonucuna ulaşılmıştır. Bu bulgular, dijital oyun bağımlılığı ve sosyal dışlanma durumlarının, ergenlerde siber zorbalığı artıran faktörler arasında yer alabileceğini göstermektedir. Sosyal dışlanma durumu ergenlerin dijital oyun bağımlılığına yönelmesine neden olabilirken, bu durum, siber zorbalık davranışlarının da artışına zemin hazırlayabilmektedir. Bu sonuçlardan hareketle, dijital oyun bağımlılığı ve sosyal dışlanma deneyimi yaşayan ergenlerin, siber zorbalıkla mücadeleye yönelik programlara dahil edilmesi, akran zorbalığına ve dijital oyun bağımlılığına dair farkındalık eğitimlerinin yaygınlaştırılması önerilmektedir. Ayrıca bu durumların önlenmesi için erken müdahale programlarının geliştirilmesi ve risk altındaki ergenlerin tespiti amacıyla düzenli tarama çalışmalarının yapılması gerekmektedir.</w:t>
      </w:r>
    </w:p>
    <w:p w14:paraId="593279DD" w14:textId="77777777" w:rsidR="00FA457D" w:rsidRPr="00B1089D" w:rsidRDefault="00FA457D" w:rsidP="00A4535A">
      <w:pPr>
        <w:widowControl/>
        <w:jc w:val="both"/>
      </w:pPr>
    </w:p>
    <w:p w14:paraId="0079F2BF" w14:textId="137B78FC" w:rsidR="00D37D80" w:rsidRDefault="00FA457D" w:rsidP="00A4535A">
      <w:pPr>
        <w:widowControl/>
        <w:jc w:val="both"/>
      </w:pPr>
      <w:r w:rsidRPr="00B1089D">
        <w:rPr>
          <w:b/>
          <w:bCs/>
        </w:rPr>
        <w:t xml:space="preserve">Anahtar </w:t>
      </w:r>
      <w:r w:rsidRPr="00D10870">
        <w:rPr>
          <w:b/>
          <w:bCs/>
        </w:rPr>
        <w:t>Kelimeler</w:t>
      </w:r>
      <w:r w:rsidRPr="00B1089D">
        <w:rPr>
          <w:b/>
          <w:bCs/>
        </w:rPr>
        <w:t>:</w:t>
      </w:r>
      <w:r w:rsidRPr="00B1089D">
        <w:t xml:space="preserve"> Dijital Oyun Bağımlılığı, Siber Zorbalık, Sosyal Dışlanma, Ergenlik</w:t>
      </w:r>
    </w:p>
    <w:p w14:paraId="132160CE" w14:textId="0D35E08D" w:rsidR="00FA457D" w:rsidRDefault="00D37D80" w:rsidP="00D37D80">
      <w:pPr>
        <w:autoSpaceDE/>
        <w:autoSpaceDN/>
        <w:jc w:val="center"/>
        <w:rPr>
          <w:b/>
          <w:bCs/>
        </w:rPr>
      </w:pPr>
      <w:r>
        <w:br w:type="page"/>
      </w:r>
      <w:r w:rsidR="00164C0C" w:rsidRPr="00D37D80">
        <w:rPr>
          <w:b/>
          <w:bCs/>
        </w:rPr>
        <w:lastRenderedPageBreak/>
        <w:t xml:space="preserve">Okul Temelli Psikodrama Uygulamalarının </w:t>
      </w:r>
      <w:proofErr w:type="spellStart"/>
      <w:r w:rsidR="00164C0C" w:rsidRPr="00D37D80">
        <w:rPr>
          <w:b/>
          <w:bCs/>
        </w:rPr>
        <w:t>Döküman</w:t>
      </w:r>
      <w:proofErr w:type="spellEnd"/>
      <w:r w:rsidR="00164C0C" w:rsidRPr="00D37D80">
        <w:rPr>
          <w:b/>
          <w:bCs/>
        </w:rPr>
        <w:t xml:space="preserve"> Analizi </w:t>
      </w:r>
      <w:proofErr w:type="gramStart"/>
      <w:r w:rsidR="00164C0C" w:rsidRPr="00D37D80">
        <w:rPr>
          <w:b/>
          <w:bCs/>
        </w:rPr>
        <w:t>İle</w:t>
      </w:r>
      <w:proofErr w:type="gramEnd"/>
      <w:r w:rsidR="00164C0C" w:rsidRPr="00D37D80">
        <w:rPr>
          <w:b/>
          <w:bCs/>
        </w:rPr>
        <w:t xml:space="preserve"> İncelenmesi</w:t>
      </w:r>
    </w:p>
    <w:p w14:paraId="3F6EA188" w14:textId="77777777" w:rsidR="00D37D80" w:rsidRPr="00D37D80" w:rsidRDefault="00D37D80" w:rsidP="00D37D80">
      <w:pPr>
        <w:autoSpaceDE/>
        <w:autoSpaceDN/>
        <w:jc w:val="center"/>
        <w:rPr>
          <w:b/>
          <w:bCs/>
        </w:rPr>
      </w:pPr>
    </w:p>
    <w:p w14:paraId="028B67E7" w14:textId="77777777" w:rsidR="00FA457D" w:rsidRPr="009C7E04" w:rsidRDefault="00FA457D" w:rsidP="00FA457D">
      <w:pPr>
        <w:jc w:val="center"/>
        <w:rPr>
          <w:b/>
        </w:rPr>
      </w:pPr>
      <w:r w:rsidRPr="009C7E04">
        <w:rPr>
          <w:shd w:val="clear" w:color="auto" w:fill="FFFFFF"/>
        </w:rPr>
        <w:t>Özge Çınar Barut</w:t>
      </w:r>
      <w:r w:rsidRPr="009C7E04">
        <w:br/>
      </w:r>
      <w:r w:rsidRPr="009C7E04">
        <w:rPr>
          <w:shd w:val="clear" w:color="auto" w:fill="FFFFFF"/>
        </w:rPr>
        <w:t>İnönü Üniversitesi /Rehberlik ve Psikolojik danışmanlık</w:t>
      </w:r>
      <w:r w:rsidRPr="009C7E04">
        <w:br/>
      </w:r>
      <w:r w:rsidRPr="009C7E04">
        <w:rPr>
          <w:shd w:val="clear" w:color="auto" w:fill="FFFFFF"/>
        </w:rPr>
        <w:t>ozgecinarbarut@gmail.com</w:t>
      </w:r>
      <w:r w:rsidRPr="009C7E04">
        <w:br/>
      </w:r>
      <w:r w:rsidRPr="009C7E04">
        <w:rPr>
          <w:shd w:val="clear" w:color="auto" w:fill="FFFFFF"/>
        </w:rPr>
        <w:t>0009-0005-7371-3882</w:t>
      </w:r>
      <w:r w:rsidRPr="009C7E04">
        <w:br/>
      </w:r>
      <w:r w:rsidRPr="009C7E04">
        <w:br/>
      </w:r>
      <w:r w:rsidRPr="009C7E04">
        <w:rPr>
          <w:shd w:val="clear" w:color="auto" w:fill="FFFFFF"/>
        </w:rPr>
        <w:t xml:space="preserve">Doç. Dr. Ezgi </w:t>
      </w:r>
      <w:proofErr w:type="spellStart"/>
      <w:r w:rsidRPr="009C7E04">
        <w:rPr>
          <w:shd w:val="clear" w:color="auto" w:fill="FFFFFF"/>
        </w:rPr>
        <w:t>Sumbas</w:t>
      </w:r>
      <w:proofErr w:type="spellEnd"/>
      <w:r w:rsidRPr="009C7E04">
        <w:br/>
      </w:r>
      <w:r w:rsidRPr="009C7E04">
        <w:rPr>
          <w:shd w:val="clear" w:color="auto" w:fill="FFFFFF"/>
        </w:rPr>
        <w:t>İnönü Üniversitesi /Rehberlik ve Psikolojik danışmanlık</w:t>
      </w:r>
      <w:r w:rsidRPr="009C7E04">
        <w:br/>
      </w:r>
      <w:r w:rsidRPr="009C7E04">
        <w:rPr>
          <w:shd w:val="clear" w:color="auto" w:fill="FFFFFF"/>
        </w:rPr>
        <w:t>ezgi.sumbas@inonu.edu.tr</w:t>
      </w:r>
      <w:r w:rsidRPr="009C7E04">
        <w:br/>
      </w:r>
      <w:r w:rsidRPr="009C7E04">
        <w:rPr>
          <w:shd w:val="clear" w:color="auto" w:fill="FFFFFF"/>
        </w:rPr>
        <w:t>0000-0001-5450-6400</w:t>
      </w:r>
      <w:r w:rsidRPr="009C7E04">
        <w:br/>
      </w:r>
      <w:r w:rsidRPr="009C7E04">
        <w:br/>
      </w:r>
      <w:r w:rsidRPr="009C7E04">
        <w:rPr>
          <w:shd w:val="clear" w:color="auto" w:fill="FFFFFF"/>
        </w:rPr>
        <w:t>Doç. Dr. Yağmur Ulusoy Doğmuş</w:t>
      </w:r>
      <w:r w:rsidRPr="009C7E04">
        <w:br/>
      </w:r>
      <w:r w:rsidRPr="009C7E04">
        <w:rPr>
          <w:shd w:val="clear" w:color="auto" w:fill="FFFFFF"/>
        </w:rPr>
        <w:t>İnönü Üniversitesi /Rehberlik ve Psikolojik danışmanlık,</w:t>
      </w:r>
      <w:r w:rsidRPr="009C7E04">
        <w:br/>
      </w:r>
      <w:r w:rsidRPr="009C7E04">
        <w:rPr>
          <w:shd w:val="clear" w:color="auto" w:fill="FFFFFF"/>
        </w:rPr>
        <w:t>yagmur.ulusoy@inonu.edu.tr</w:t>
      </w:r>
      <w:r w:rsidRPr="009C7E04">
        <w:br/>
      </w:r>
      <w:r w:rsidRPr="009C7E04">
        <w:rPr>
          <w:shd w:val="clear" w:color="auto" w:fill="FFFFFF"/>
        </w:rPr>
        <w:t>0000-0002-8906-7396</w:t>
      </w:r>
    </w:p>
    <w:p w14:paraId="391DAAB6" w14:textId="77777777" w:rsidR="00FA457D" w:rsidRPr="009C7E04" w:rsidRDefault="00FA457D" w:rsidP="00FA457D">
      <w:pPr>
        <w:jc w:val="center"/>
      </w:pPr>
    </w:p>
    <w:p w14:paraId="422ADEE3" w14:textId="77777777" w:rsidR="00FA457D" w:rsidRPr="009C7E04" w:rsidRDefault="00FA457D" w:rsidP="00FA457D">
      <w:pPr>
        <w:jc w:val="center"/>
        <w:rPr>
          <w:b/>
        </w:rPr>
      </w:pPr>
      <w:r w:rsidRPr="009C7E04">
        <w:rPr>
          <w:b/>
        </w:rPr>
        <w:t>Ö</w:t>
      </w:r>
      <w:r>
        <w:rPr>
          <w:b/>
        </w:rPr>
        <w:t>zet</w:t>
      </w:r>
    </w:p>
    <w:p w14:paraId="01B581FC" w14:textId="77777777" w:rsidR="00FA457D" w:rsidRDefault="00FA457D" w:rsidP="00FA457D">
      <w:pPr>
        <w:pBdr>
          <w:bottom w:val="single" w:sz="6" w:space="1" w:color="auto"/>
        </w:pBdr>
        <w:jc w:val="both"/>
        <w:rPr>
          <w:sz w:val="23"/>
          <w:szCs w:val="23"/>
          <w:shd w:val="clear" w:color="auto" w:fill="FFFFFF"/>
        </w:rPr>
      </w:pPr>
      <w:r w:rsidRPr="009C7E04">
        <w:rPr>
          <w:shd w:val="clear" w:color="auto" w:fill="FFFFFF"/>
        </w:rPr>
        <w:t xml:space="preserve">Bu çalışmanın amacı, okul temelli psikodrama çalışmalarını dağılımını incelemek ve gözden geçirmektedir. Bu araştırmada, nitel veri toplama yöntemi olan </w:t>
      </w:r>
      <w:proofErr w:type="gramStart"/>
      <w:r w:rsidRPr="009C7E04">
        <w:rPr>
          <w:shd w:val="clear" w:color="auto" w:fill="FFFFFF"/>
        </w:rPr>
        <w:t>doküman</w:t>
      </w:r>
      <w:proofErr w:type="gramEnd"/>
      <w:r w:rsidRPr="009C7E04">
        <w:rPr>
          <w:shd w:val="clear" w:color="auto" w:fill="FFFFFF"/>
        </w:rPr>
        <w:t xml:space="preserve"> analizi kullanılmış ve 2000-2024 yılları arasında İngilizce dilinde yayımlanan okul temelli çalışmalar taranmıştır. </w:t>
      </w:r>
      <w:proofErr w:type="spellStart"/>
      <w:r w:rsidRPr="009C7E04">
        <w:rPr>
          <w:shd w:val="clear" w:color="auto" w:fill="FFFFFF"/>
        </w:rPr>
        <w:t>ScienceDirect</w:t>
      </w:r>
      <w:proofErr w:type="spellEnd"/>
      <w:r w:rsidRPr="009C7E04">
        <w:rPr>
          <w:shd w:val="clear" w:color="auto" w:fill="FFFFFF"/>
        </w:rPr>
        <w:t xml:space="preserve">, ERIC, </w:t>
      </w:r>
      <w:proofErr w:type="spellStart"/>
      <w:r w:rsidRPr="009C7E04">
        <w:rPr>
          <w:shd w:val="clear" w:color="auto" w:fill="FFFFFF"/>
        </w:rPr>
        <w:t>ResearchGate</w:t>
      </w:r>
      <w:proofErr w:type="spellEnd"/>
      <w:r w:rsidRPr="009C7E04">
        <w:rPr>
          <w:shd w:val="clear" w:color="auto" w:fill="FFFFFF"/>
        </w:rPr>
        <w:t xml:space="preserve">, </w:t>
      </w:r>
      <w:proofErr w:type="spellStart"/>
      <w:r w:rsidRPr="009C7E04">
        <w:rPr>
          <w:shd w:val="clear" w:color="auto" w:fill="FFFFFF"/>
        </w:rPr>
        <w:t>PubMed</w:t>
      </w:r>
      <w:proofErr w:type="spellEnd"/>
      <w:r w:rsidRPr="009C7E04">
        <w:rPr>
          <w:shd w:val="clear" w:color="auto" w:fill="FFFFFF"/>
        </w:rPr>
        <w:t xml:space="preserve"> ve </w:t>
      </w:r>
      <w:proofErr w:type="spellStart"/>
      <w:r w:rsidRPr="009C7E04">
        <w:rPr>
          <w:shd w:val="clear" w:color="auto" w:fill="FFFFFF"/>
        </w:rPr>
        <w:t>Scopus</w:t>
      </w:r>
      <w:proofErr w:type="spellEnd"/>
      <w:r w:rsidRPr="009C7E04">
        <w:rPr>
          <w:shd w:val="clear" w:color="auto" w:fill="FFFFFF"/>
        </w:rPr>
        <w:t xml:space="preserve"> olmak üzere beş veri tabanı tarandığında 51çalışmanın araştırmaya dahil edilmesine karar verilmiştir. Çalışmalarda elde edilen veriler, içerik analizi yöntemiyle incelenmiştir. Okul temelli Psikodrama çalışmalarında ilk sırada üniversite öğrencileri yer alırken; bunu sırasıyla lise, ortaokul ve ilkokul öğrencileriyle yürütülen çalışmalar takip etmektedir. Okul temelli Psikodrama çalışmalarının en sık yayımlandığı yılların 2017 ve 2021 olduğu; 2018’den sonra yayımlanan okul temelli psikodrama çalışmalarının sayısında artış olduğu görülmüştür. Dahil edilen çalışmaların odaklandığı değişkenler problem ve sosyal-duygusal gelişim odaklı olmak üzere 2 kategoride toplanmıştır. Problem odaklı çalışmaların sayısının, sosyal-duygusal gelişim odaklı çalışmalardan daha fazla yer aldığı görülmüştür. Okul temelli psikodrama çalışmaları hedef grup olarak en çok üniversite; en az ilkokul öğrencileriyle yürütülmüştür. İlkokul öğrencileriyle yürütülen okul temelli psikodrama çalışmalarının, kaygı ve travma sonrası stres gibi psikolojik sorunlara daha fazla odaklandığı; ortaokul öğrencileriyle yürütülen okul temelli psikodrama çalışmalarının, saldırganlık ve çatışma çözme becerileri gibi problem odaklı olduğu kadar yaratıcı düşünme ve madde toleransı gibi sosyal-duygusal gelişime de odaklandığı bulgularına ulaşılmıştır. </w:t>
      </w:r>
      <w:r w:rsidRPr="00E359E0">
        <w:rPr>
          <w:sz w:val="23"/>
          <w:szCs w:val="23"/>
          <w:shd w:val="clear" w:color="auto" w:fill="FFFFFF"/>
        </w:rPr>
        <w:t>Lise düzeyindeki öğrencileriyle yürütülen okul temelli psikodrama çalışmalarının şiddet algısı ve sınav kaygısı; üniversite öğrencileriyle yürütülen okul temelli psikodrama çalışmalarının depresyon ve anksiyete gibi problem odaklı sorunlara daha fazla odaklandıkları bulgularına ulaşılmıştır.</w:t>
      </w:r>
      <w:r w:rsidRPr="009C7E04">
        <w:rPr>
          <w:shd w:val="clear" w:color="auto" w:fill="FFFFFF"/>
        </w:rPr>
        <w:t xml:space="preserve"> </w:t>
      </w:r>
      <w:r w:rsidRPr="00E359E0">
        <w:rPr>
          <w:sz w:val="23"/>
          <w:szCs w:val="23"/>
          <w:shd w:val="clear" w:color="auto" w:fill="FFFFFF"/>
        </w:rPr>
        <w:t>Sonuç olarak okul temelli Psikodrama çalışmalarının günümüze doğru yaklaştıkça daha fazla yayımlandığı; problem odaklı çalışmaların ön planda olduğu ve üniversitelerde yürütülen çalışmaların ilk sırada; ilkokullarda yürütülen çalışmalar son sırada yer alırken okulöncesinde herhangi bir çalışmaya rastlanılmamıştır.</w:t>
      </w:r>
    </w:p>
    <w:p w14:paraId="4E2F3150" w14:textId="77777777" w:rsidR="00E359E0" w:rsidRPr="009C7E04" w:rsidRDefault="00E359E0" w:rsidP="00FA457D">
      <w:pPr>
        <w:pBdr>
          <w:bottom w:val="single" w:sz="6" w:space="1" w:color="auto"/>
        </w:pBdr>
        <w:jc w:val="both"/>
        <w:rPr>
          <w:shd w:val="clear" w:color="auto" w:fill="FFFFFF"/>
        </w:rPr>
      </w:pPr>
    </w:p>
    <w:p w14:paraId="2B485A05" w14:textId="7B56B9BA" w:rsidR="00FA457D" w:rsidRDefault="00FA457D" w:rsidP="00FA457D">
      <w:pPr>
        <w:pBdr>
          <w:bottom w:val="single" w:sz="6" w:space="1" w:color="auto"/>
        </w:pBdr>
        <w:jc w:val="both"/>
        <w:rPr>
          <w:shd w:val="clear" w:color="auto" w:fill="FFFFFF"/>
        </w:rPr>
      </w:pPr>
      <w:r w:rsidRPr="00E359E0">
        <w:rPr>
          <w:b/>
          <w:bCs/>
          <w:shd w:val="clear" w:color="auto" w:fill="FFFFFF"/>
        </w:rPr>
        <w:t>Anahtar Kelimeler</w:t>
      </w:r>
      <w:r w:rsidRPr="009C7E04">
        <w:rPr>
          <w:shd w:val="clear" w:color="auto" w:fill="FFFFFF"/>
        </w:rPr>
        <w:t xml:space="preserve">: psikodrama, </w:t>
      </w:r>
      <w:proofErr w:type="gramStart"/>
      <w:r w:rsidRPr="009C7E04">
        <w:rPr>
          <w:shd w:val="clear" w:color="auto" w:fill="FFFFFF"/>
        </w:rPr>
        <w:t>doküman</w:t>
      </w:r>
      <w:proofErr w:type="gramEnd"/>
      <w:r w:rsidRPr="009C7E04">
        <w:rPr>
          <w:shd w:val="clear" w:color="auto" w:fill="FFFFFF"/>
        </w:rPr>
        <w:t xml:space="preserve"> analizi, okul temelli çalışmalar</w:t>
      </w:r>
      <w:r w:rsidRPr="009C7E04">
        <w:rPr>
          <w:vanish/>
        </w:rPr>
        <w:t>Formun Üstü</w:t>
      </w:r>
    </w:p>
    <w:p w14:paraId="412569E8" w14:textId="77777777" w:rsidR="00B91022" w:rsidRDefault="00B91022" w:rsidP="00FA457D">
      <w:pPr>
        <w:pBdr>
          <w:bottom w:val="single" w:sz="6" w:space="1" w:color="auto"/>
        </w:pBdr>
        <w:jc w:val="both"/>
        <w:rPr>
          <w:shd w:val="clear" w:color="auto" w:fill="FFFFFF"/>
        </w:rPr>
      </w:pPr>
    </w:p>
    <w:p w14:paraId="4C703CB7" w14:textId="77777777" w:rsidR="00B91022" w:rsidRPr="009C7E04" w:rsidRDefault="00B91022" w:rsidP="00FA457D">
      <w:pPr>
        <w:pBdr>
          <w:bottom w:val="single" w:sz="6" w:space="1" w:color="auto"/>
        </w:pBdr>
        <w:jc w:val="both"/>
        <w:rPr>
          <w:shd w:val="clear" w:color="auto" w:fill="FFFFFF"/>
        </w:rPr>
      </w:pPr>
    </w:p>
    <w:p w14:paraId="11B23183" w14:textId="77777777" w:rsidR="00FA457D" w:rsidRPr="009C7E04" w:rsidRDefault="00FA457D" w:rsidP="00FA457D">
      <w:pPr>
        <w:pBdr>
          <w:top w:val="single" w:sz="6" w:space="1" w:color="auto"/>
        </w:pBdr>
        <w:rPr>
          <w:vanish/>
        </w:rPr>
      </w:pPr>
      <w:r w:rsidRPr="009C7E04">
        <w:rPr>
          <w:vanish/>
        </w:rPr>
        <w:lastRenderedPageBreak/>
        <w:t>Formun Altı</w:t>
      </w:r>
    </w:p>
    <w:p w14:paraId="7C2221D6" w14:textId="77777777" w:rsidR="00FA457D" w:rsidRPr="009C7E04" w:rsidRDefault="00FA457D" w:rsidP="00FA457D">
      <w:pPr>
        <w:jc w:val="both"/>
        <w:rPr>
          <w:b/>
        </w:rPr>
      </w:pPr>
    </w:p>
    <w:p w14:paraId="4479183C" w14:textId="77777777" w:rsidR="00FA457D" w:rsidRPr="00BA51E0" w:rsidRDefault="00FA457D" w:rsidP="0079785E">
      <w:pPr>
        <w:jc w:val="both"/>
        <w:rPr>
          <w:b/>
        </w:rPr>
      </w:pPr>
      <w:r w:rsidRPr="009C7E04">
        <w:rPr>
          <w:b/>
        </w:rPr>
        <w:t>1.GİRİŞ</w:t>
      </w:r>
    </w:p>
    <w:p w14:paraId="74A39B9F" w14:textId="65382578" w:rsidR="00FA457D" w:rsidRDefault="00FA457D" w:rsidP="0079785E">
      <w:pPr>
        <w:jc w:val="both"/>
      </w:pPr>
      <w:r w:rsidRPr="009C7E04">
        <w:t xml:space="preserve">Psikodrama, bireylerin duygusal, bilişsel ve sosyal gelişimlerini desteklemek amacıyla dramatik yöntemlerin kullanıldığı bir grup terapisi tekniğidir. Jacob L. </w:t>
      </w:r>
      <w:proofErr w:type="spellStart"/>
      <w:r w:rsidRPr="009C7E04">
        <w:t>Moreno</w:t>
      </w:r>
      <w:proofErr w:type="spellEnd"/>
      <w:r w:rsidRPr="009C7E04">
        <w:t xml:space="preserve"> tarafından geliştirilen bu yöntem, bireylerin içsel çatışmalarını, geçmiş deneyimlerini ve sosyal rollerini keşfetmelerine olanak sağlar (</w:t>
      </w:r>
      <w:proofErr w:type="spellStart"/>
      <w:r w:rsidRPr="009C7E04">
        <w:t>Moreno</w:t>
      </w:r>
      <w:proofErr w:type="spellEnd"/>
      <w:r w:rsidRPr="009C7E04">
        <w:t>, 1946). Psikodramanın temel amacı, bireylerin kendilerini farklı bakış açılarından görmelerini sağlamak ve bu sayede empati, farkındalık ve problem çözme becerilerini geliştirmektir (</w:t>
      </w:r>
      <w:proofErr w:type="spellStart"/>
      <w:r w:rsidRPr="009C7E04">
        <w:t>Blatner</w:t>
      </w:r>
      <w:proofErr w:type="spellEnd"/>
      <w:r w:rsidRPr="009C7E04">
        <w:t xml:space="preserve">, 2000). </w:t>
      </w:r>
      <w:proofErr w:type="spellStart"/>
      <w:r w:rsidRPr="009C7E04">
        <w:t>Kaner’e</w:t>
      </w:r>
      <w:proofErr w:type="spellEnd"/>
      <w:r w:rsidRPr="009C7E04">
        <w:t xml:space="preserve"> (2019) göre psikodrama sayesinde bireyler ilişkilerindeki sorunların farkına varıp çözüm bulmakta ve davranışlarını yeniden yapılandırabilmeleri için gerekli becerileri kazanabilmektedir.  Dökmen (2017) ise psikodramanın sosyometrik analizler ve grup çalışmaları aracılığıyla sosyal bağlarını güçlendirdiğini ileri sürmektedir.</w:t>
      </w:r>
    </w:p>
    <w:p w14:paraId="43961D32" w14:textId="77777777" w:rsidR="00FA457D" w:rsidRPr="009C7E04" w:rsidRDefault="00FA457D" w:rsidP="0079785E">
      <w:pPr>
        <w:jc w:val="both"/>
      </w:pPr>
    </w:p>
    <w:p w14:paraId="70EAD982" w14:textId="36025545" w:rsidR="00FA457D" w:rsidRDefault="00FA457D" w:rsidP="0079785E">
      <w:pPr>
        <w:jc w:val="both"/>
      </w:pPr>
      <w:r w:rsidRPr="009C7E04">
        <w:t>Psikodrama, oldukça esnek bir yaklaşım olduğu (</w:t>
      </w:r>
      <w:proofErr w:type="spellStart"/>
      <w:r w:rsidRPr="009C7E04">
        <w:t>Imholz</w:t>
      </w:r>
      <w:proofErr w:type="spellEnd"/>
      <w:r w:rsidRPr="009C7E04">
        <w:t xml:space="preserve">, 2008) için çocuktan gence; hasta bireyden sağlıklı </w:t>
      </w:r>
      <w:proofErr w:type="gramStart"/>
      <w:r w:rsidRPr="009C7E04">
        <w:t>bireye;</w:t>
      </w:r>
      <w:proofErr w:type="gramEnd"/>
      <w:r w:rsidRPr="009C7E04">
        <w:t xml:space="preserve"> öğretmenden öğrenciye kadar farklı popülasyonlarda etkili bir şekilde kullanıldığı anlaşılmaktadır (</w:t>
      </w:r>
      <w:proofErr w:type="spellStart"/>
      <w:r w:rsidRPr="009C7E04">
        <w:t>Aytemur</w:t>
      </w:r>
      <w:proofErr w:type="spellEnd"/>
      <w:r w:rsidRPr="009C7E04">
        <w:t xml:space="preserve"> vd.,2012; Karataş ve </w:t>
      </w:r>
      <w:proofErr w:type="spellStart"/>
      <w:r w:rsidRPr="009C7E04">
        <w:t>Gökçakan</w:t>
      </w:r>
      <w:proofErr w:type="spellEnd"/>
      <w:r w:rsidRPr="009C7E04">
        <w:t xml:space="preserve"> 2009; </w:t>
      </w:r>
      <w:proofErr w:type="spellStart"/>
      <w:r w:rsidRPr="009C7E04">
        <w:t>Mindoljevic</w:t>
      </w:r>
      <w:proofErr w:type="spellEnd"/>
      <w:r w:rsidRPr="009C7E04">
        <w:t xml:space="preserve"> </w:t>
      </w:r>
      <w:proofErr w:type="spellStart"/>
      <w:r w:rsidRPr="009C7E04">
        <w:t>Drakulic</w:t>
      </w:r>
      <w:proofErr w:type="spellEnd"/>
      <w:r w:rsidRPr="009C7E04">
        <w:t xml:space="preserve">, 2011; </w:t>
      </w:r>
      <w:proofErr w:type="spellStart"/>
      <w:r w:rsidRPr="009C7E04">
        <w:t>Ramalho</w:t>
      </w:r>
      <w:proofErr w:type="spellEnd"/>
      <w:r w:rsidRPr="009C7E04">
        <w:t xml:space="preserve"> ve </w:t>
      </w:r>
      <w:proofErr w:type="spellStart"/>
      <w:r w:rsidRPr="009C7E04">
        <w:t>Strauch</w:t>
      </w:r>
      <w:proofErr w:type="spellEnd"/>
      <w:r w:rsidRPr="009C7E04">
        <w:t xml:space="preserve"> 2021; Türkan 2010; Gökkaya ve </w:t>
      </w:r>
      <w:proofErr w:type="spellStart"/>
      <w:r w:rsidRPr="009C7E04">
        <w:t>Özdel</w:t>
      </w:r>
      <w:proofErr w:type="spellEnd"/>
      <w:r w:rsidRPr="009C7E04">
        <w:t xml:space="preserve"> 2016; Ulupınar 2014; Maya ve </w:t>
      </w:r>
      <w:proofErr w:type="spellStart"/>
      <w:r w:rsidRPr="009C7E04">
        <w:t>Maraver</w:t>
      </w:r>
      <w:proofErr w:type="spellEnd"/>
      <w:r w:rsidRPr="009C7E04">
        <w:t xml:space="preserve"> 2020). Bu avantajları sayesinde psikodrama hastane, özel klinik, halk eğitim merkezleri, okul gibi çeşitli ortamlarda uygulanabilmektedir (</w:t>
      </w:r>
      <w:proofErr w:type="spellStart"/>
      <w:r w:rsidRPr="009C7E04">
        <w:t>Gatta</w:t>
      </w:r>
      <w:proofErr w:type="spellEnd"/>
      <w:r w:rsidRPr="009C7E04">
        <w:t xml:space="preserve"> ve diğ.,2010; Ulusoy ve Şimşek, 2021; </w:t>
      </w:r>
      <w:proofErr w:type="spellStart"/>
      <w:r w:rsidRPr="009C7E04">
        <w:rPr>
          <w:shd w:val="clear" w:color="auto" w:fill="FFFFFF"/>
        </w:rPr>
        <w:t>McVea</w:t>
      </w:r>
      <w:proofErr w:type="spellEnd"/>
      <w:r w:rsidRPr="009C7E04">
        <w:rPr>
          <w:shd w:val="clear" w:color="auto" w:fill="FFFFFF"/>
        </w:rPr>
        <w:t xml:space="preserve"> ve diğ.,2011;</w:t>
      </w:r>
      <w:r w:rsidRPr="009C7E04">
        <w:t xml:space="preserve"> </w:t>
      </w:r>
      <w:proofErr w:type="spellStart"/>
      <w:r w:rsidRPr="009C7E04">
        <w:t>Orkibi</w:t>
      </w:r>
      <w:proofErr w:type="spellEnd"/>
      <w:r w:rsidRPr="009C7E04">
        <w:t xml:space="preserve"> ve </w:t>
      </w:r>
      <w:proofErr w:type="spellStart"/>
      <w:r w:rsidRPr="009C7E04">
        <w:t>diğ</w:t>
      </w:r>
      <w:proofErr w:type="spellEnd"/>
      <w:r w:rsidRPr="009C7E04">
        <w:t xml:space="preserve">., 2017). Klinikte uygulanan psikodrama çalışmalarının bulgularının sentezlendiği bir çalışmada psikodramanın ruhsal semptomları iyileştirmede etkili olduğu sonucuna ulaşılmıştır (Gonzalez vd., 2021). Aslında psikodramanın ruhsal sorunları azaltmada etkili olduğu kadar (Sözeri Varma vd.,2017; Görkem ve Tüccar, 2018; </w:t>
      </w:r>
      <w:proofErr w:type="spellStart"/>
      <w:proofErr w:type="gramStart"/>
      <w:r w:rsidRPr="009C7E04">
        <w:t>Högberg</w:t>
      </w:r>
      <w:proofErr w:type="spellEnd"/>
      <w:r w:rsidRPr="009C7E04">
        <w:t xml:space="preserve">  ve</w:t>
      </w:r>
      <w:proofErr w:type="gramEnd"/>
      <w:r w:rsidRPr="009C7E04">
        <w:t xml:space="preserve"> </w:t>
      </w:r>
      <w:proofErr w:type="spellStart"/>
      <w:r w:rsidRPr="009C7E04">
        <w:t>Hallström</w:t>
      </w:r>
      <w:proofErr w:type="spellEnd"/>
      <w:r w:rsidRPr="009C7E04">
        <w:t xml:space="preserve"> 2008) eğitim ortamlarında da işlevsel bir şekilde kullanıldığını gösteren çok sayıda kanıt mevcuttur (Akgün ve </w:t>
      </w:r>
      <w:proofErr w:type="spellStart"/>
      <w:r w:rsidRPr="009C7E04">
        <w:t>Vuçinas</w:t>
      </w:r>
      <w:proofErr w:type="spellEnd"/>
      <w:r w:rsidRPr="009C7E04">
        <w:t xml:space="preserve">, 2021; </w:t>
      </w:r>
      <w:proofErr w:type="spellStart"/>
      <w:r w:rsidRPr="009C7E04">
        <w:t>Kruczek</w:t>
      </w:r>
      <w:proofErr w:type="spellEnd"/>
      <w:r w:rsidRPr="009C7E04">
        <w:t xml:space="preserve"> ve </w:t>
      </w:r>
      <w:proofErr w:type="spellStart"/>
      <w:r w:rsidRPr="009C7E04">
        <w:t>Zagelbaum</w:t>
      </w:r>
      <w:proofErr w:type="spellEnd"/>
      <w:r w:rsidRPr="009C7E04">
        <w:t xml:space="preserve"> 2004; Gürgan,2020).</w:t>
      </w:r>
    </w:p>
    <w:p w14:paraId="7CA741F7" w14:textId="77777777" w:rsidR="00FA457D" w:rsidRPr="009C7E04" w:rsidRDefault="00FA457D" w:rsidP="0079785E">
      <w:pPr>
        <w:jc w:val="both"/>
      </w:pPr>
    </w:p>
    <w:p w14:paraId="379A96BE" w14:textId="77777777" w:rsidR="00FA457D" w:rsidRDefault="00FA457D" w:rsidP="0079785E">
      <w:pPr>
        <w:jc w:val="both"/>
      </w:pPr>
      <w:r w:rsidRPr="009C7E04">
        <w:t>Psikodramanın klinikteki uygulamaları daha görünür olsa da (</w:t>
      </w:r>
      <w:proofErr w:type="spellStart"/>
      <w:r w:rsidRPr="009C7E04">
        <w:t>Costa</w:t>
      </w:r>
      <w:proofErr w:type="spellEnd"/>
      <w:r w:rsidRPr="009C7E04">
        <w:t xml:space="preserve"> vd.2006; </w:t>
      </w:r>
      <w:proofErr w:type="spellStart"/>
      <w:r w:rsidRPr="009C7E04">
        <w:t>Gatta</w:t>
      </w:r>
      <w:proofErr w:type="spellEnd"/>
      <w:r w:rsidRPr="009C7E04">
        <w:t xml:space="preserve"> vd., 2010; </w:t>
      </w:r>
      <w:proofErr w:type="spellStart"/>
      <w:r w:rsidRPr="009C7E04">
        <w:t>Singal</w:t>
      </w:r>
      <w:proofErr w:type="spellEnd"/>
      <w:r w:rsidRPr="009C7E04">
        <w:t>, 2003) eğitim ortamlarında da psikodramanın yaygın kullanıldığı söylenebilir (</w:t>
      </w:r>
      <w:proofErr w:type="spellStart"/>
      <w:r w:rsidRPr="009C7E04">
        <w:t>Şarlak</w:t>
      </w:r>
      <w:proofErr w:type="spellEnd"/>
      <w:r w:rsidRPr="009C7E04">
        <w:t xml:space="preserve"> ve Öztürk, 2021). </w:t>
      </w:r>
      <w:proofErr w:type="spellStart"/>
      <w:proofErr w:type="gramStart"/>
      <w:r w:rsidRPr="009C7E04">
        <w:t>Moreno’ya</w:t>
      </w:r>
      <w:proofErr w:type="spellEnd"/>
      <w:r w:rsidRPr="009C7E04">
        <w:t xml:space="preserve">  göre</w:t>
      </w:r>
      <w:proofErr w:type="gramEnd"/>
      <w:r w:rsidRPr="009C7E04">
        <w:t xml:space="preserve"> eğitim, psikodramanın etkilerini azaltabilir; bir öğrencinin </w:t>
      </w:r>
      <w:proofErr w:type="spellStart"/>
      <w:r w:rsidRPr="009C7E04">
        <w:t>spontanlığı</w:t>
      </w:r>
      <w:proofErr w:type="spellEnd"/>
      <w:r w:rsidRPr="009C7E04">
        <w:t xml:space="preserve"> konusunda kafası karışık bir ergene ya da </w:t>
      </w:r>
      <w:proofErr w:type="spellStart"/>
      <w:r w:rsidRPr="009C7E04">
        <w:t>spontanlıktan</w:t>
      </w:r>
      <w:proofErr w:type="spellEnd"/>
      <w:r w:rsidRPr="009C7E04">
        <w:t xml:space="preserve"> yoksun bir yetişkine dönüşebilir. Bu nedenle </w:t>
      </w:r>
      <w:proofErr w:type="spellStart"/>
      <w:r w:rsidRPr="009C7E04">
        <w:t>Moreno</w:t>
      </w:r>
      <w:proofErr w:type="spellEnd"/>
      <w:r w:rsidRPr="009C7E04">
        <w:t xml:space="preserve"> birinci sınıftan üniversiteye kadar tüm eğitim sisteminde eğitim ve sosyal problemlere </w:t>
      </w:r>
      <w:proofErr w:type="spellStart"/>
      <w:r w:rsidRPr="009C7E04">
        <w:t>psikodramatik</w:t>
      </w:r>
      <w:proofErr w:type="spellEnd"/>
      <w:r w:rsidRPr="009C7E04">
        <w:t xml:space="preserve"> yaklaşımla çözümler sunulabileceğini; tüm okulların bir rehberlik laboratuvarı gibi psikodrama sahnesine dönüşebileceğini ileri sürmektedir (</w:t>
      </w:r>
      <w:proofErr w:type="spellStart"/>
      <w:r w:rsidRPr="009C7E04">
        <w:t>Shoobs</w:t>
      </w:r>
      <w:proofErr w:type="spellEnd"/>
      <w:r w:rsidRPr="009C7E04">
        <w:t>, 1944).</w:t>
      </w:r>
    </w:p>
    <w:p w14:paraId="4095D429" w14:textId="77777777" w:rsidR="00FA457D" w:rsidRPr="009C7E04" w:rsidRDefault="00FA457D" w:rsidP="0079785E">
      <w:pPr>
        <w:jc w:val="both"/>
      </w:pPr>
    </w:p>
    <w:p w14:paraId="4EF8FA44" w14:textId="128E0865" w:rsidR="00FA457D" w:rsidRDefault="00FA457D" w:rsidP="0079785E">
      <w:pPr>
        <w:jc w:val="both"/>
      </w:pPr>
      <w:r w:rsidRPr="009C7E04">
        <w:t xml:space="preserve">Okullarda psikodrama uygulamalarının hedefi, öğrencilerin duygusal ve sosyal gelişimlerini desteklerken, problem çözme becerilerini geliştirmek, empati düzeylerini artırmak ve istenmeyen davranışları azaltmaktır. Psikodrama, öğrencilerin ve öğretmenlerin duygusal farkındalık kazanmalarına, kişilerarası ilişkilerini güçlendirmelerine ve iletişim becerilerini geliştirmelerini sağlar (Usluoglu,2023; </w:t>
      </w:r>
      <w:proofErr w:type="spellStart"/>
      <w:r w:rsidRPr="009C7E04">
        <w:t>Baile</w:t>
      </w:r>
      <w:proofErr w:type="spellEnd"/>
      <w:r w:rsidRPr="009C7E04">
        <w:t xml:space="preserve"> vd., 2012). Araştırmalar psikodramanın okul iklimini olumlu yönde değiştirmede etkili bir teknik olduğunu göstermektedir. Buna ek olarak öğrencilerin kendilerini ifade etme kapasitelerini de arttırmaktadır (</w:t>
      </w:r>
      <w:proofErr w:type="spellStart"/>
      <w:r w:rsidRPr="009C7E04">
        <w:t>Kaner</w:t>
      </w:r>
      <w:proofErr w:type="spellEnd"/>
      <w:r w:rsidRPr="009C7E04">
        <w:t xml:space="preserve">, 2019; </w:t>
      </w:r>
      <w:proofErr w:type="spellStart"/>
      <w:r w:rsidRPr="009C7E04">
        <w:t>Göveç</w:t>
      </w:r>
      <w:proofErr w:type="spellEnd"/>
      <w:r w:rsidRPr="009C7E04">
        <w:t xml:space="preserve"> Taşpınar ve </w:t>
      </w:r>
      <w:proofErr w:type="spellStart"/>
      <w:r w:rsidRPr="009C7E04">
        <w:t>Başgül</w:t>
      </w:r>
      <w:proofErr w:type="spellEnd"/>
      <w:r w:rsidRPr="009C7E04">
        <w:t>, 2017; Dökmen, 2017). Ayrıca psikodramanın öğrencilerin sınav kaygısı, stres, akran zorbalığı gibi problemlerini azaltmada başarılı olduğu görülmektedir (</w:t>
      </w:r>
      <w:proofErr w:type="spellStart"/>
      <w:r w:rsidRPr="009C7E04">
        <w:t>Olweus</w:t>
      </w:r>
      <w:proofErr w:type="spellEnd"/>
      <w:r w:rsidRPr="009C7E04">
        <w:t xml:space="preserve">, 1997; </w:t>
      </w:r>
      <w:proofErr w:type="spellStart"/>
      <w:r w:rsidRPr="009C7E04">
        <w:t>Leff</w:t>
      </w:r>
      <w:proofErr w:type="spellEnd"/>
      <w:r w:rsidRPr="009C7E04">
        <w:t xml:space="preserve">, 2007; </w:t>
      </w:r>
      <w:proofErr w:type="spellStart"/>
      <w:r w:rsidRPr="009C7E04">
        <w:t>Göveç</w:t>
      </w:r>
      <w:proofErr w:type="spellEnd"/>
      <w:r w:rsidRPr="009C7E04">
        <w:t xml:space="preserve"> Taşpınar ve </w:t>
      </w:r>
      <w:proofErr w:type="spellStart"/>
      <w:r w:rsidRPr="009C7E04">
        <w:t>Başgül</w:t>
      </w:r>
      <w:proofErr w:type="spellEnd"/>
      <w:r w:rsidRPr="009C7E04">
        <w:t xml:space="preserve">, 2017).  Dahası psikodramanın sadece öğrenciler üzerinde değil öğretmenler üzerinde de olumlu etkiler yarattığı araştırmalar ile kanıtlanmıştır. </w:t>
      </w:r>
      <w:r w:rsidRPr="009C7E04">
        <w:lastRenderedPageBreak/>
        <w:t xml:space="preserve">Öğretmenlerin </w:t>
      </w:r>
      <w:proofErr w:type="spellStart"/>
      <w:r w:rsidRPr="009C7E04">
        <w:t>psikodramatik</w:t>
      </w:r>
      <w:proofErr w:type="spellEnd"/>
      <w:r w:rsidRPr="009C7E04">
        <w:t xml:space="preserve"> tekniklerle iletişim ve empati becerilerinin arttırılması ile sınıf yönetiminde daha etkili oldukları böylece öğrencilerdeki istenmeyen davranışlarını daha etkili şekilde yönetebilme kapasitelerini arttığı görülmüştür (</w:t>
      </w:r>
      <w:proofErr w:type="spellStart"/>
      <w:r w:rsidRPr="009C7E04">
        <w:t>Mavroudis</w:t>
      </w:r>
      <w:proofErr w:type="spellEnd"/>
      <w:r w:rsidRPr="009C7E04">
        <w:t xml:space="preserve"> ve </w:t>
      </w:r>
      <w:proofErr w:type="spellStart"/>
      <w:r w:rsidRPr="009C7E04">
        <w:t>Bournelli</w:t>
      </w:r>
      <w:proofErr w:type="spellEnd"/>
      <w:r w:rsidRPr="009C7E04">
        <w:t xml:space="preserve">, 2016). </w:t>
      </w:r>
      <w:proofErr w:type="gramStart"/>
      <w:r w:rsidRPr="009C7E04">
        <w:t>Ayrıca  öğretmen</w:t>
      </w:r>
      <w:proofErr w:type="gramEnd"/>
      <w:r w:rsidRPr="009C7E04">
        <w:t xml:space="preserve"> adaylarının eğitiminde de psikodrama teknikleri deneyimsel öğrenme yöntemi olarak kullanıldığı görülmektedir. </w:t>
      </w:r>
      <w:proofErr w:type="spellStart"/>
      <w:r w:rsidRPr="009C7E04">
        <w:t>Psycharis</w:t>
      </w:r>
      <w:proofErr w:type="spellEnd"/>
      <w:r w:rsidRPr="009C7E04">
        <w:t xml:space="preserve"> (2017) çalışmasında Hollandalı öğretmen adaylarını mesleki hayatlarında karşılaşabilecekleri kritik durumlara hazırlamak için psikodrama tekniklerinden faydalanmış ve alışık olmadıkları durumlarla başa çıkmalarında psikodrama tekniklerinin deneyimsel öğrenme yöntemi olarak kullanıldığında etkili olduğu sonucuna ulaşmıştır.</w:t>
      </w:r>
    </w:p>
    <w:p w14:paraId="40A5E695" w14:textId="77777777" w:rsidR="00FA457D" w:rsidRPr="009C7E04" w:rsidRDefault="00FA457D" w:rsidP="0079785E">
      <w:pPr>
        <w:jc w:val="both"/>
      </w:pPr>
    </w:p>
    <w:p w14:paraId="378BC0D7" w14:textId="77777777" w:rsidR="00FA457D" w:rsidRDefault="00FA457D" w:rsidP="0079785E">
      <w:pPr>
        <w:jc w:val="both"/>
      </w:pPr>
      <w:r w:rsidRPr="009C7E04">
        <w:t xml:space="preserve">Psikodramanın okul temelli uygulamaları bireysel ve grup düzeyinde olumlu etkiler sağladığı, okul iklimini geliştirdiği; öğrencilerin problem davranışlarını azaltmada </w:t>
      </w:r>
      <w:proofErr w:type="gramStart"/>
      <w:r w:rsidRPr="009C7E04">
        <w:t>doğrudan;</w:t>
      </w:r>
      <w:proofErr w:type="gramEnd"/>
      <w:r w:rsidRPr="009C7E04">
        <w:t xml:space="preserve"> akademik başarılarını artırmada dolaylı olarak katkılar sunduğu anlaşılmaktadır (Altınay, 2015; </w:t>
      </w:r>
      <w:proofErr w:type="spellStart"/>
      <w:r w:rsidRPr="009C7E04">
        <w:t>O'Toole</w:t>
      </w:r>
      <w:proofErr w:type="spellEnd"/>
      <w:r w:rsidRPr="009C7E04">
        <w:t xml:space="preserve"> ve Burton, 2005; Karataş ve </w:t>
      </w:r>
      <w:proofErr w:type="spellStart"/>
      <w:r w:rsidRPr="009C7E04">
        <w:t>Gökçakan</w:t>
      </w:r>
      <w:proofErr w:type="spellEnd"/>
      <w:r w:rsidRPr="009C7E04">
        <w:t xml:space="preserve"> (2009) </w:t>
      </w:r>
      <w:proofErr w:type="spellStart"/>
      <w:r w:rsidRPr="009C7E04">
        <w:t>Biolcati</w:t>
      </w:r>
      <w:proofErr w:type="spellEnd"/>
      <w:r w:rsidRPr="009C7E04">
        <w:t xml:space="preserve"> vd. 2017). Ancak okul temelli psikodrama uygulamalarının sonuçlarını bir araya getirip, sentezleyen herhangi bir çalışma olmadığı için okullarda psikodrama uygulamaları hakkında genel bir yoruma ulaşılamamaktadır. Bu nedenle okul temelli psikodrama uygulamalarının sonuçlarını sentezleyen çalışmalara ihtiyaç duyulmaktadır. Çünkü genelde araştırmacılar, kendi çalışmalarının bir parçası olarak literatürü inceler ve dokümanlardaki bilgileri raporlarına eklerler. Ancak bu dokümanlardan elde edilen verileri yorumlayan bir araştırma planlamak istersek, </w:t>
      </w:r>
      <w:proofErr w:type="gramStart"/>
      <w:r w:rsidRPr="009C7E04">
        <w:t>doküman</w:t>
      </w:r>
      <w:proofErr w:type="gramEnd"/>
      <w:r w:rsidRPr="009C7E04">
        <w:t xml:space="preserve"> analizinden yararlanmak iyi bir seçenek olabilir (</w:t>
      </w:r>
      <w:proofErr w:type="spellStart"/>
      <w:r w:rsidRPr="009C7E04">
        <w:t>Bowen</w:t>
      </w:r>
      <w:proofErr w:type="spellEnd"/>
      <w:r w:rsidRPr="009C7E04">
        <w:t>, 2009).</w:t>
      </w:r>
    </w:p>
    <w:p w14:paraId="0771C25D" w14:textId="77777777" w:rsidR="00FA457D" w:rsidRPr="009C7E04" w:rsidRDefault="00FA457D" w:rsidP="0079785E">
      <w:pPr>
        <w:jc w:val="both"/>
      </w:pPr>
    </w:p>
    <w:p w14:paraId="7A8A049F" w14:textId="796C783B" w:rsidR="00FA457D" w:rsidRPr="00BA51E0" w:rsidRDefault="00FA457D" w:rsidP="0079785E">
      <w:pPr>
        <w:jc w:val="both"/>
      </w:pPr>
      <w:r w:rsidRPr="009C7E04">
        <w:t xml:space="preserve">Okul temelli psikodrama çalışmaları ile ilgili bir </w:t>
      </w:r>
      <w:proofErr w:type="gramStart"/>
      <w:r w:rsidRPr="009C7E04">
        <w:t>doküman</w:t>
      </w:r>
      <w:proofErr w:type="gramEnd"/>
      <w:r w:rsidRPr="009C7E04">
        <w:t xml:space="preserve"> analizi yapmak, psikodramanın okullarda ne tür temalara odaklandığı; hangi yaş gruplarıyla çalışıldığı ve yıllara göre değişimin nasıl gerçekleştiğini ortaya koyabilir. Bu sayede hem okul temelli psikodrama uygulamaları ile ilgili alan yazındaki boşluğun doldurulmasına katkı sağlanmış olur hem de gelecekteki araştırmalara yol gösterecek bilgiler ortaya çıkabilir. Okul temelli psikodrama çalışmalarını incelemek, çocukların ve gençlerin bireysel, sosyal ve duygusal gelişimlerini destekleme noktasında önemli bilgiler verebilir. Okul temelli psikodrama çalışmalarını araştırmanın önemi, aynı zamanda müdahale programlarının daha geniş bir öğrenci kitlesine erişebilirliği ile ilişkilidir. Okullar, ruh sağlığı ve iyi oluşun desteklenmesi için kilit bir ortamdır, onların kişiliklerinin ve sosyal-duygusal becerilerinin henüz gelişmekte olduğu kritik bir dönemde önemli bir rol oynamaktadır ve okulların yalnızca akademik başarıya odaklanmak yerine, çocukların ve gençlerin sağlık ve iyi oluşuna daha aktif katkıda bulunması gerektiği giderek daha fazla kabul görmektedir (</w:t>
      </w:r>
      <w:proofErr w:type="spellStart"/>
      <w:r w:rsidRPr="009C7E04">
        <w:t>Cefai</w:t>
      </w:r>
      <w:proofErr w:type="spellEnd"/>
      <w:r w:rsidRPr="009C7E04">
        <w:t xml:space="preserve"> vd., 2021). Bu nedenle, psikodrama gibi yaratıcı ve yapılandırılmış yöntemlerin, öğrencilerin kaygı, saldırganlık, travma sonrası stres gibi bireysel sorunlarını çözmede etkili olup olmadığını </w:t>
      </w:r>
      <w:proofErr w:type="gramStart"/>
      <w:r w:rsidRPr="009C7E04">
        <w:t>değerlendirmek,</w:t>
      </w:r>
      <w:proofErr w:type="gramEnd"/>
      <w:r w:rsidRPr="009C7E04">
        <w:t xml:space="preserve"> hem bireysel iyilik halini hem de sınıf ortamındaki genel uyumu artırmada önemli bir araç sunabilir. Ayrıca, bu çalışmalar, duygusal farkındalık, empati, iletişim becerileri gibi sosyal-duygusal gelişim alanlarını destekleyerek, öğrencilerin akademik başarılarının yanı sıra yaşam becerilerinin de gelişmesine katkı sağlayabilir.</w:t>
      </w:r>
      <w:r w:rsidR="00E359E0">
        <w:t xml:space="preserve"> </w:t>
      </w:r>
      <w:r w:rsidRPr="00BA51E0">
        <w:t>Psikodrama teknikleriyle yapılan grup çalışmaları, okul ortamındaki çatışmaları azaltabilir ve öğrencilerin sosyal uyumlarını artırabilir (Karataş, 2011). Özellikle öğrencilerin farklı roller üstlenerek empati geliştirmeleri ve pozitif iletişim becerileri kazanmaları, okul ortamında daha sağlıklı ilişkilerin kurulmasına ve dolayısıyla okul ikliminin iyileşmesine katkı sağlayabilir (</w:t>
      </w:r>
      <w:proofErr w:type="spellStart"/>
      <w:r w:rsidRPr="00BA51E0">
        <w:t>Sudha</w:t>
      </w:r>
      <w:proofErr w:type="spellEnd"/>
      <w:r w:rsidRPr="00BA51E0">
        <w:t xml:space="preserve">, 2019). Bu nedenle psikodramanın öğrenciler üzerindeki etkilerini incelemek, eğitim politikaları ve rehberlik programlarına yön vermek açısından önemli veriler sunabilir. Erken müdahalenin uzun vadeli etkileri göz önüne alındığında, okul </w:t>
      </w:r>
      <w:r w:rsidRPr="00BA51E0">
        <w:lastRenderedPageBreak/>
        <w:t>temelli uygulamalar bireylerin yaşam boyu süren olumlu davranış kalıpları geliştirmelerine yardımcı olabilir (</w:t>
      </w:r>
      <w:proofErr w:type="spellStart"/>
      <w:r w:rsidRPr="00BA51E0">
        <w:t>Cefai</w:t>
      </w:r>
      <w:proofErr w:type="spellEnd"/>
      <w:r w:rsidRPr="00BA51E0">
        <w:t xml:space="preserve"> vd., 2021). Bu nedenle, çocuklar ve gençler için okullarda ruh sağlığı programları oluşturmak büyük önem taşımakta, daha kapsayıcı bir yaklaşım sunarak ihtiyaçlara doğrudan yanıt verebilmektedir (Esin &amp; Dursun, 2014)</w:t>
      </w:r>
    </w:p>
    <w:p w14:paraId="1BE03B27" w14:textId="77777777" w:rsidR="00FA457D" w:rsidRPr="00BA51E0" w:rsidRDefault="00FA457D" w:rsidP="0079785E"/>
    <w:p w14:paraId="044A1685" w14:textId="77777777" w:rsidR="00FA457D" w:rsidRPr="009C7E04" w:rsidRDefault="00FA457D" w:rsidP="0079785E">
      <w:pPr>
        <w:jc w:val="both"/>
      </w:pPr>
      <w:r w:rsidRPr="009C7E04">
        <w:t>Psikodramanın okullarda uygulanması yönündeki ilk açıklamalar 1900 yılların başında yapılmış olsa da (</w:t>
      </w:r>
      <w:proofErr w:type="spellStart"/>
      <w:r w:rsidRPr="009C7E04">
        <w:t>Shoobs</w:t>
      </w:r>
      <w:proofErr w:type="spellEnd"/>
      <w:r w:rsidRPr="009C7E04">
        <w:t>, 1944), psikodrama uygulamalarına yönelik araştırmalar 2000 yıllardan itibaren artmaya başlamıştır (</w:t>
      </w:r>
      <w:proofErr w:type="spellStart"/>
      <w:r w:rsidRPr="009C7E04">
        <w:t>Sumbas</w:t>
      </w:r>
      <w:proofErr w:type="spellEnd"/>
      <w:r w:rsidRPr="009C7E04">
        <w:t xml:space="preserve"> ve Ulusoy, 2023). Bu nedenle mevcut çalışmada 2000-2024 yılları arasında yapılan okul temelli psikodrama çalışmalarını dağılımını incelemek ve gözden geçirmek amaçlanmaktadır. Bu bağlamda aşağıdaki soruların cevapları aranmıştır:</w:t>
      </w:r>
    </w:p>
    <w:p w14:paraId="294EAD81" w14:textId="77777777" w:rsidR="00FA457D" w:rsidRPr="009C7E04" w:rsidRDefault="00FA457D">
      <w:pPr>
        <w:widowControl/>
        <w:numPr>
          <w:ilvl w:val="0"/>
          <w:numId w:val="32"/>
        </w:numPr>
        <w:autoSpaceDE/>
        <w:autoSpaceDN/>
        <w:ind w:left="1068" w:firstLine="0"/>
        <w:jc w:val="both"/>
      </w:pPr>
      <w:r w:rsidRPr="009C7E04">
        <w:t>Okul temelli psikodrama çalışmalarının yıllara göre dağılımı nasıldır?</w:t>
      </w:r>
    </w:p>
    <w:p w14:paraId="4A6308C0" w14:textId="77777777" w:rsidR="00FA457D" w:rsidRPr="009C7E04" w:rsidRDefault="00FA457D">
      <w:pPr>
        <w:widowControl/>
        <w:numPr>
          <w:ilvl w:val="0"/>
          <w:numId w:val="32"/>
        </w:numPr>
        <w:autoSpaceDE/>
        <w:autoSpaceDN/>
        <w:ind w:left="1068" w:firstLine="0"/>
        <w:jc w:val="both"/>
      </w:pPr>
      <w:r w:rsidRPr="009C7E04">
        <w:t xml:space="preserve">Okul temelli psikodrama çalışmalarının odaklandığı temaların eğitim kademelerine </w:t>
      </w:r>
      <w:proofErr w:type="gramStart"/>
      <w:r w:rsidRPr="009C7E04">
        <w:t xml:space="preserve">göre  </w:t>
      </w:r>
      <w:r w:rsidRPr="009C7E04">
        <w:rPr>
          <w:rStyle w:val="Gl"/>
          <w:rFonts w:eastAsiaTheme="majorEastAsia"/>
        </w:rPr>
        <w:t>dağılımı</w:t>
      </w:r>
      <w:proofErr w:type="gramEnd"/>
      <w:r w:rsidRPr="009C7E04">
        <w:rPr>
          <w:rStyle w:val="Gl"/>
          <w:rFonts w:eastAsiaTheme="majorEastAsia"/>
        </w:rPr>
        <w:t xml:space="preserve"> nasıldır?</w:t>
      </w:r>
    </w:p>
    <w:p w14:paraId="54539440" w14:textId="77777777" w:rsidR="00FA457D" w:rsidRPr="009C7E04" w:rsidRDefault="00FA457D">
      <w:pPr>
        <w:widowControl/>
        <w:numPr>
          <w:ilvl w:val="0"/>
          <w:numId w:val="32"/>
        </w:numPr>
        <w:autoSpaceDE/>
        <w:autoSpaceDN/>
        <w:ind w:left="1068" w:firstLine="0"/>
        <w:jc w:val="both"/>
      </w:pPr>
      <w:r w:rsidRPr="009C7E04">
        <w:t>Okul temelli psikodrama çalışmaların etkililiği nasıldır?</w:t>
      </w:r>
    </w:p>
    <w:p w14:paraId="256B47AC" w14:textId="77777777" w:rsidR="00FA457D" w:rsidRPr="009C7E04" w:rsidRDefault="00FA457D" w:rsidP="0079785E">
      <w:pPr>
        <w:ind w:left="1068"/>
        <w:jc w:val="both"/>
      </w:pPr>
    </w:p>
    <w:p w14:paraId="1FA964F5" w14:textId="77777777" w:rsidR="00FA457D" w:rsidRPr="009C7E04" w:rsidRDefault="00FA457D" w:rsidP="0079785E">
      <w:pPr>
        <w:pBdr>
          <w:top w:val="nil"/>
          <w:left w:val="nil"/>
          <w:bottom w:val="nil"/>
          <w:right w:val="nil"/>
          <w:between w:val="nil"/>
        </w:pBdr>
        <w:jc w:val="both"/>
      </w:pPr>
      <w:r w:rsidRPr="009C7E04">
        <w:rPr>
          <w:b/>
        </w:rPr>
        <w:t>2.YÖNTEM</w:t>
      </w:r>
    </w:p>
    <w:p w14:paraId="4092CBD1" w14:textId="77777777" w:rsidR="00FA457D" w:rsidRPr="009C7E04" w:rsidRDefault="00FA457D" w:rsidP="0079785E">
      <w:pPr>
        <w:pBdr>
          <w:top w:val="nil"/>
          <w:left w:val="nil"/>
          <w:bottom w:val="nil"/>
          <w:right w:val="nil"/>
          <w:between w:val="nil"/>
        </w:pBdr>
        <w:jc w:val="both"/>
      </w:pPr>
      <w:r w:rsidRPr="009C7E04">
        <w:rPr>
          <w:b/>
        </w:rPr>
        <w:t>2.1. Araştırmanın Modeli</w:t>
      </w:r>
    </w:p>
    <w:p w14:paraId="5AA1EF56" w14:textId="77777777" w:rsidR="00FA457D" w:rsidRPr="009C7E04" w:rsidRDefault="00FA457D" w:rsidP="0079785E">
      <w:pPr>
        <w:pBdr>
          <w:top w:val="nil"/>
          <w:left w:val="nil"/>
          <w:bottom w:val="nil"/>
          <w:right w:val="nil"/>
          <w:between w:val="nil"/>
        </w:pBdr>
        <w:jc w:val="both"/>
      </w:pPr>
      <w:r w:rsidRPr="009C7E04">
        <w:t xml:space="preserve">Bu araştırma 2000-2024 yılları arasında İngilizce dilinde </w:t>
      </w:r>
      <w:proofErr w:type="gramStart"/>
      <w:r w:rsidRPr="009C7E04">
        <w:t>yayınlanan  okul</w:t>
      </w:r>
      <w:proofErr w:type="gramEnd"/>
      <w:r w:rsidRPr="009C7E04">
        <w:t xml:space="preserve"> temelli psikodrama uygulamalarını içeren çalışmaların okul kademelerine, yıllara ve odaklandığı temalara göre dağılımını ortaya koymayı amaçladığı için betimsel bir çalışmadır. Bu araştırmada </w:t>
      </w:r>
      <w:proofErr w:type="gramStart"/>
      <w:r w:rsidRPr="009C7E04">
        <w:t>doküman</w:t>
      </w:r>
      <w:proofErr w:type="gramEnd"/>
      <w:r w:rsidRPr="009C7E04">
        <w:t xml:space="preserve"> analizine başvurulmuştur. </w:t>
      </w:r>
      <w:proofErr w:type="spellStart"/>
      <w:r w:rsidRPr="009C7E04">
        <w:t>Döküman</w:t>
      </w:r>
      <w:proofErr w:type="spellEnd"/>
      <w:r w:rsidRPr="009C7E04">
        <w:t xml:space="preserve"> analizi, yazılı veya görsel belgelerin incelenmesi yoluyla verilerin kategorize edilerek yorumlanmasını sağlayan nitel bir araştırma yöntemidir. Psikoloji araştırmalarında bu yöntem, geçmiş olayları, bireylerin deneyimlerini ve sosyal etkileşimlerini anlamak için sıklıkla kullanılmaktadır (</w:t>
      </w:r>
      <w:proofErr w:type="spellStart"/>
      <w:r w:rsidRPr="009C7E04">
        <w:t>Bowen</w:t>
      </w:r>
      <w:proofErr w:type="spellEnd"/>
      <w:r w:rsidRPr="009C7E04">
        <w:t>, 2017).</w:t>
      </w:r>
    </w:p>
    <w:p w14:paraId="11678AFD" w14:textId="77777777" w:rsidR="00FA457D" w:rsidRPr="009C7E04" w:rsidRDefault="00FA457D" w:rsidP="0079785E">
      <w:pPr>
        <w:pBdr>
          <w:top w:val="nil"/>
          <w:left w:val="nil"/>
          <w:bottom w:val="nil"/>
          <w:right w:val="nil"/>
          <w:between w:val="nil"/>
        </w:pBdr>
        <w:jc w:val="both"/>
      </w:pPr>
    </w:p>
    <w:p w14:paraId="4C4BD018" w14:textId="6DE4B360" w:rsidR="00FA457D" w:rsidRPr="009C7E04" w:rsidRDefault="00FA457D" w:rsidP="0079785E">
      <w:pPr>
        <w:jc w:val="both"/>
      </w:pPr>
      <w:r w:rsidRPr="009C7E04">
        <w:rPr>
          <w:b/>
        </w:rPr>
        <w:t>2.2. Örneklem</w:t>
      </w:r>
    </w:p>
    <w:p w14:paraId="137B0DCD" w14:textId="79C25BEA" w:rsidR="00FA457D" w:rsidRPr="009C7E04" w:rsidRDefault="00FA457D" w:rsidP="0079785E">
      <w:pPr>
        <w:jc w:val="both"/>
      </w:pPr>
      <w:r w:rsidRPr="009C7E04">
        <w:t xml:space="preserve">Araştırmanın örneklemini 2000-2024 yılları arasında yayınlanmış; </w:t>
      </w:r>
      <w:proofErr w:type="spellStart"/>
      <w:r w:rsidRPr="009C7E04">
        <w:t>ResearchGate</w:t>
      </w:r>
      <w:proofErr w:type="spellEnd"/>
      <w:r w:rsidRPr="009C7E04">
        <w:t xml:space="preserve">, </w:t>
      </w:r>
      <w:proofErr w:type="spellStart"/>
      <w:r w:rsidRPr="009C7E04">
        <w:t>PubMed</w:t>
      </w:r>
      <w:proofErr w:type="spellEnd"/>
      <w:r w:rsidRPr="009C7E04">
        <w:t xml:space="preserve">, </w:t>
      </w:r>
      <w:proofErr w:type="spellStart"/>
      <w:r w:rsidRPr="009C7E04">
        <w:t>ScienceDirect</w:t>
      </w:r>
      <w:proofErr w:type="spellEnd"/>
      <w:r w:rsidRPr="009C7E04">
        <w:t xml:space="preserve">, ERIC, </w:t>
      </w:r>
      <w:proofErr w:type="spellStart"/>
      <w:r w:rsidRPr="009C7E04">
        <w:t>Scopus</w:t>
      </w:r>
      <w:proofErr w:type="spellEnd"/>
      <w:r w:rsidRPr="009C7E04">
        <w:t xml:space="preserve"> ve veri </w:t>
      </w:r>
      <w:proofErr w:type="gramStart"/>
      <w:r w:rsidRPr="009C7E04">
        <w:t>tabanlarında  İngilizce</w:t>
      </w:r>
      <w:proofErr w:type="gramEnd"/>
      <w:r w:rsidRPr="009C7E04">
        <w:t xml:space="preserve"> dilinde yayımlanmış, okul temelli psikodrama çalışmalarını içeren makaleler oluşturmaktadır. Bu kapsamda 51 makale örnekleme dahil edilmiştir.</w:t>
      </w:r>
    </w:p>
    <w:p w14:paraId="72CD2638" w14:textId="77777777" w:rsidR="00FA457D" w:rsidRPr="009C7E04" w:rsidRDefault="00FA457D" w:rsidP="0079785E">
      <w:pPr>
        <w:jc w:val="both"/>
      </w:pPr>
    </w:p>
    <w:p w14:paraId="43402DC0" w14:textId="77777777" w:rsidR="00FA457D" w:rsidRPr="009C7E04" w:rsidRDefault="00FA457D" w:rsidP="0079785E">
      <w:pPr>
        <w:pBdr>
          <w:top w:val="nil"/>
          <w:left w:val="nil"/>
          <w:bottom w:val="nil"/>
          <w:right w:val="nil"/>
          <w:between w:val="nil"/>
        </w:pBdr>
        <w:jc w:val="both"/>
      </w:pPr>
      <w:r w:rsidRPr="009C7E04">
        <w:rPr>
          <w:b/>
        </w:rPr>
        <w:t xml:space="preserve">2.3 Verilerin Toplanması </w:t>
      </w:r>
      <w:proofErr w:type="gramStart"/>
      <w:r w:rsidRPr="009C7E04">
        <w:rPr>
          <w:b/>
        </w:rPr>
        <w:t>Ve</w:t>
      </w:r>
      <w:proofErr w:type="gramEnd"/>
      <w:r w:rsidRPr="009C7E04">
        <w:rPr>
          <w:b/>
        </w:rPr>
        <w:t xml:space="preserve"> Analizi</w:t>
      </w:r>
    </w:p>
    <w:p w14:paraId="1027FEE3" w14:textId="77777777" w:rsidR="00FA457D" w:rsidRDefault="00FA457D" w:rsidP="0079785E">
      <w:pPr>
        <w:pBdr>
          <w:top w:val="nil"/>
          <w:left w:val="nil"/>
          <w:bottom w:val="nil"/>
          <w:right w:val="nil"/>
          <w:between w:val="nil"/>
        </w:pBdr>
        <w:jc w:val="both"/>
      </w:pPr>
      <w:proofErr w:type="spellStart"/>
      <w:r w:rsidRPr="009C7E04">
        <w:t>Döküman</w:t>
      </w:r>
      <w:proofErr w:type="spellEnd"/>
      <w:r w:rsidRPr="009C7E04">
        <w:t xml:space="preserve"> analizinin ilk adımı, araştırma sorusuna uygun belgelerin belirlenmesi ve seçilmesidir. (</w:t>
      </w:r>
      <w:proofErr w:type="spellStart"/>
      <w:r w:rsidRPr="009C7E04">
        <w:t>Bowen</w:t>
      </w:r>
      <w:proofErr w:type="spellEnd"/>
      <w:r w:rsidRPr="009C7E04">
        <w:t xml:space="preserve">, 2017). Belge seçimi sırasında, araştırmacılar literatür taramaları ve veri tabanları aracılığıyla geniş bir </w:t>
      </w:r>
      <w:proofErr w:type="spellStart"/>
      <w:r w:rsidRPr="009C7E04">
        <w:t>döküman</w:t>
      </w:r>
      <w:proofErr w:type="spellEnd"/>
      <w:r w:rsidRPr="009C7E04">
        <w:t xml:space="preserve"> havuzuna erişebilir. İlk aşamada yapılan bu sistematik değerlendirme, </w:t>
      </w:r>
      <w:proofErr w:type="spellStart"/>
      <w:r w:rsidRPr="009C7E04">
        <w:t>döküman</w:t>
      </w:r>
      <w:proofErr w:type="spellEnd"/>
      <w:r w:rsidRPr="009C7E04">
        <w:t xml:space="preserve"> analizinin temelini oluşturur ve sonraki adımlarda yapılacak tematik ve içerik analizlerinin doğruluğunu etkiler (</w:t>
      </w:r>
      <w:proofErr w:type="spellStart"/>
      <w:r w:rsidRPr="009C7E04">
        <w:t>Hodder</w:t>
      </w:r>
      <w:proofErr w:type="spellEnd"/>
      <w:r w:rsidRPr="009C7E04">
        <w:t>, 2020).</w:t>
      </w:r>
    </w:p>
    <w:p w14:paraId="6969FFA9" w14:textId="77777777" w:rsidR="00FA457D" w:rsidRPr="009C7E04" w:rsidRDefault="00FA457D" w:rsidP="0079785E">
      <w:pPr>
        <w:pBdr>
          <w:top w:val="nil"/>
          <w:left w:val="nil"/>
          <w:bottom w:val="nil"/>
          <w:right w:val="nil"/>
          <w:between w:val="nil"/>
        </w:pBdr>
        <w:jc w:val="both"/>
      </w:pPr>
    </w:p>
    <w:p w14:paraId="2281F540" w14:textId="77777777" w:rsidR="00FA457D" w:rsidRPr="009C7E04" w:rsidRDefault="00FA457D" w:rsidP="0079785E">
      <w:pPr>
        <w:jc w:val="both"/>
      </w:pPr>
      <w:r w:rsidRPr="009C7E04">
        <w:t xml:space="preserve">Bu araştırmada okul temelli psikodrama </w:t>
      </w:r>
      <w:proofErr w:type="gramStart"/>
      <w:r w:rsidRPr="009C7E04">
        <w:t>çalışmaları  ile</w:t>
      </w:r>
      <w:proofErr w:type="gramEnd"/>
      <w:r w:rsidRPr="009C7E04">
        <w:t xml:space="preserve"> ilgili olarak İngilizce dilinde, 2000-2024 yılları arasında yayınlanan makalelere ulaşmak amaçlandığı için seçilen veri tabanlarında “</w:t>
      </w:r>
      <w:proofErr w:type="spellStart"/>
      <w:r w:rsidRPr="009C7E04">
        <w:rPr>
          <w:i/>
        </w:rPr>
        <w:t>psychodrama</w:t>
      </w:r>
      <w:proofErr w:type="spellEnd"/>
      <w:r w:rsidRPr="009C7E04">
        <w:rPr>
          <w:i/>
        </w:rPr>
        <w:t xml:space="preserve"> </w:t>
      </w:r>
      <w:proofErr w:type="spellStart"/>
      <w:r w:rsidRPr="009C7E04">
        <w:rPr>
          <w:i/>
        </w:rPr>
        <w:t>and</w:t>
      </w:r>
      <w:proofErr w:type="spellEnd"/>
      <w:r w:rsidRPr="009C7E04">
        <w:rPr>
          <w:i/>
        </w:rPr>
        <w:t xml:space="preserve"> </w:t>
      </w:r>
      <w:proofErr w:type="spellStart"/>
      <w:r w:rsidRPr="009C7E04">
        <w:rPr>
          <w:i/>
        </w:rPr>
        <w:t>students</w:t>
      </w:r>
      <w:proofErr w:type="spellEnd"/>
      <w:r w:rsidRPr="009C7E04">
        <w:rPr>
          <w:i/>
        </w:rPr>
        <w:t xml:space="preserve"> </w:t>
      </w:r>
      <w:proofErr w:type="spellStart"/>
      <w:r w:rsidRPr="009C7E04">
        <w:rPr>
          <w:i/>
        </w:rPr>
        <w:t>or</w:t>
      </w:r>
      <w:proofErr w:type="spellEnd"/>
      <w:r w:rsidRPr="009C7E04">
        <w:rPr>
          <w:i/>
        </w:rPr>
        <w:t xml:space="preserve"> </w:t>
      </w:r>
      <w:proofErr w:type="spellStart"/>
      <w:r w:rsidRPr="009C7E04">
        <w:rPr>
          <w:i/>
        </w:rPr>
        <w:t>school</w:t>
      </w:r>
      <w:proofErr w:type="spellEnd"/>
      <w:r w:rsidRPr="009C7E04">
        <w:rPr>
          <w:i/>
        </w:rPr>
        <w:t xml:space="preserve">” </w:t>
      </w:r>
      <w:r w:rsidRPr="009C7E04">
        <w:t>anahtar kelimelerinin kullanılmasına karar verilmiştir. Öncesinde dahil edilme ve dışlama kriterleri belirlenmiştir. Tablo 1’de dahil edilme ve dışlama kriterlerine yer verilmiştir.</w:t>
      </w:r>
    </w:p>
    <w:p w14:paraId="6EAA5F94" w14:textId="77777777" w:rsidR="00FA457D" w:rsidRPr="009C7E04" w:rsidRDefault="00FA457D" w:rsidP="0079785E">
      <w:pPr>
        <w:jc w:val="both"/>
      </w:pPr>
    </w:p>
    <w:p w14:paraId="1921ADF9" w14:textId="77777777" w:rsidR="00FA457D" w:rsidRDefault="00FA457D" w:rsidP="0079785E">
      <w:pPr>
        <w:jc w:val="both"/>
      </w:pPr>
    </w:p>
    <w:p w14:paraId="21B25E1F" w14:textId="77777777" w:rsidR="00E359E0" w:rsidRDefault="00E359E0" w:rsidP="0079785E">
      <w:pPr>
        <w:jc w:val="both"/>
      </w:pPr>
    </w:p>
    <w:p w14:paraId="4B81B89D" w14:textId="77777777" w:rsidR="00E359E0" w:rsidRDefault="00E359E0" w:rsidP="0079785E">
      <w:pPr>
        <w:jc w:val="both"/>
      </w:pPr>
    </w:p>
    <w:p w14:paraId="34E64912" w14:textId="77777777" w:rsidR="00E359E0" w:rsidRPr="009C7E04" w:rsidRDefault="00E359E0" w:rsidP="0079785E">
      <w:pPr>
        <w:jc w:val="both"/>
      </w:pPr>
    </w:p>
    <w:p w14:paraId="3C1BF104" w14:textId="77777777" w:rsidR="00FA457D" w:rsidRPr="009C7E04" w:rsidRDefault="00FA457D" w:rsidP="0079785E">
      <w:pPr>
        <w:jc w:val="both"/>
        <w:rPr>
          <w:b/>
        </w:rPr>
      </w:pPr>
      <w:r w:rsidRPr="009C7E04">
        <w:rPr>
          <w:b/>
        </w:rPr>
        <w:t>Tablo1.Dahil etme ve dışlama kriterleri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gridCol w:w="6168"/>
      </w:tblGrid>
      <w:tr w:rsidR="00FA457D" w:rsidRPr="009C7E04" w14:paraId="08343A9D" w14:textId="77777777" w:rsidTr="000610DA">
        <w:trPr>
          <w:tblHeader/>
          <w:tblCellSpacing w:w="15" w:type="dxa"/>
        </w:trPr>
        <w:tc>
          <w:tcPr>
            <w:tcW w:w="0" w:type="auto"/>
            <w:vAlign w:val="center"/>
            <w:hideMark/>
          </w:tcPr>
          <w:p w14:paraId="16F9EBD7" w14:textId="77777777" w:rsidR="00FA457D" w:rsidRPr="009C7E04" w:rsidRDefault="00FA457D" w:rsidP="0079785E">
            <w:pPr>
              <w:rPr>
                <w:b/>
                <w:bCs/>
                <w:sz w:val="20"/>
                <w:szCs w:val="20"/>
              </w:rPr>
            </w:pPr>
          </w:p>
        </w:tc>
        <w:tc>
          <w:tcPr>
            <w:tcW w:w="0" w:type="auto"/>
            <w:vAlign w:val="center"/>
            <w:hideMark/>
          </w:tcPr>
          <w:p w14:paraId="0CD9523A" w14:textId="77777777" w:rsidR="00FA457D" w:rsidRPr="009C7E04" w:rsidRDefault="00FA457D" w:rsidP="0079785E">
            <w:pPr>
              <w:rPr>
                <w:b/>
                <w:bCs/>
                <w:sz w:val="20"/>
                <w:szCs w:val="20"/>
              </w:rPr>
            </w:pPr>
          </w:p>
        </w:tc>
      </w:tr>
      <w:tr w:rsidR="00FA457D" w:rsidRPr="009C7E04" w14:paraId="43F1F4FB" w14:textId="77777777" w:rsidTr="000610DA">
        <w:trPr>
          <w:tblCellSpacing w:w="15" w:type="dxa"/>
        </w:trPr>
        <w:tc>
          <w:tcPr>
            <w:tcW w:w="0" w:type="auto"/>
            <w:tcBorders>
              <w:top w:val="single" w:sz="4" w:space="0" w:color="auto"/>
            </w:tcBorders>
            <w:vAlign w:val="center"/>
            <w:hideMark/>
          </w:tcPr>
          <w:p w14:paraId="56B94DB5" w14:textId="77777777" w:rsidR="00FA457D" w:rsidRPr="009C7E04" w:rsidRDefault="00FA457D" w:rsidP="0079785E">
            <w:pPr>
              <w:rPr>
                <w:sz w:val="20"/>
                <w:szCs w:val="20"/>
              </w:rPr>
            </w:pPr>
            <w:r w:rsidRPr="009C7E04">
              <w:rPr>
                <w:b/>
                <w:bCs/>
                <w:sz w:val="20"/>
                <w:szCs w:val="20"/>
              </w:rPr>
              <w:t>Dahil Etme Kriterleri</w:t>
            </w:r>
          </w:p>
        </w:tc>
        <w:tc>
          <w:tcPr>
            <w:tcW w:w="0" w:type="auto"/>
            <w:tcBorders>
              <w:top w:val="single" w:sz="4" w:space="0" w:color="auto"/>
            </w:tcBorders>
            <w:vAlign w:val="center"/>
            <w:hideMark/>
          </w:tcPr>
          <w:p w14:paraId="1DE70D32" w14:textId="77777777" w:rsidR="00FA457D" w:rsidRPr="009C7E04" w:rsidRDefault="00FA457D" w:rsidP="0079785E">
            <w:pPr>
              <w:rPr>
                <w:sz w:val="20"/>
                <w:szCs w:val="20"/>
              </w:rPr>
            </w:pPr>
            <w:r w:rsidRPr="009C7E04">
              <w:rPr>
                <w:b/>
                <w:bCs/>
                <w:sz w:val="20"/>
                <w:szCs w:val="20"/>
              </w:rPr>
              <w:t>Gerekçesi</w:t>
            </w:r>
          </w:p>
        </w:tc>
      </w:tr>
      <w:tr w:rsidR="00FA457D" w:rsidRPr="009C7E04" w14:paraId="05862CCA" w14:textId="77777777" w:rsidTr="000610DA">
        <w:trPr>
          <w:tblCellSpacing w:w="15" w:type="dxa"/>
        </w:trPr>
        <w:tc>
          <w:tcPr>
            <w:tcW w:w="0" w:type="auto"/>
            <w:tcBorders>
              <w:top w:val="single" w:sz="4" w:space="0" w:color="auto"/>
            </w:tcBorders>
            <w:vAlign w:val="center"/>
            <w:hideMark/>
          </w:tcPr>
          <w:p w14:paraId="34501567" w14:textId="77777777" w:rsidR="00FA457D" w:rsidRPr="009C7E04" w:rsidRDefault="00FA457D" w:rsidP="0079785E">
            <w:pPr>
              <w:rPr>
                <w:sz w:val="20"/>
                <w:szCs w:val="20"/>
              </w:rPr>
            </w:pPr>
            <w:r w:rsidRPr="009C7E04">
              <w:rPr>
                <w:sz w:val="20"/>
                <w:szCs w:val="20"/>
              </w:rPr>
              <w:t>Eğitim kademelerinin herhangi birine devam eden öğrencilere uygulanan makaleler</w:t>
            </w:r>
          </w:p>
        </w:tc>
        <w:tc>
          <w:tcPr>
            <w:tcW w:w="0" w:type="auto"/>
            <w:tcBorders>
              <w:top w:val="single" w:sz="4" w:space="0" w:color="auto"/>
            </w:tcBorders>
            <w:vAlign w:val="center"/>
            <w:hideMark/>
          </w:tcPr>
          <w:p w14:paraId="7F51F08C" w14:textId="77777777" w:rsidR="00FA457D" w:rsidRPr="009C7E04" w:rsidRDefault="00FA457D" w:rsidP="0079785E">
            <w:pPr>
              <w:rPr>
                <w:sz w:val="20"/>
                <w:szCs w:val="20"/>
              </w:rPr>
            </w:pPr>
            <w:r w:rsidRPr="009C7E04">
              <w:rPr>
                <w:sz w:val="20"/>
                <w:szCs w:val="20"/>
              </w:rPr>
              <w:t>Araştırmanın odağı eğitim sürecindeki öğrenciler olduğu için, eğitim dışı gruplara yönelik çalışmalar dışlanmıştır.</w:t>
            </w:r>
          </w:p>
        </w:tc>
      </w:tr>
      <w:tr w:rsidR="00FA457D" w:rsidRPr="009C7E04" w14:paraId="2A089B5C" w14:textId="77777777" w:rsidTr="000610DA">
        <w:trPr>
          <w:tblCellSpacing w:w="15" w:type="dxa"/>
        </w:trPr>
        <w:tc>
          <w:tcPr>
            <w:tcW w:w="0" w:type="auto"/>
            <w:vAlign w:val="center"/>
            <w:hideMark/>
          </w:tcPr>
          <w:p w14:paraId="0770F3AA" w14:textId="77777777" w:rsidR="00FA457D" w:rsidRPr="009C7E04" w:rsidRDefault="00FA457D" w:rsidP="0079785E">
            <w:pPr>
              <w:rPr>
                <w:sz w:val="20"/>
                <w:szCs w:val="20"/>
              </w:rPr>
            </w:pPr>
            <w:r w:rsidRPr="009C7E04">
              <w:rPr>
                <w:sz w:val="20"/>
                <w:szCs w:val="20"/>
              </w:rPr>
              <w:t>Psikodramanın etkinliğini nicel analizlerle test eden deneysel çalışmaları içeren makaleler</w:t>
            </w:r>
          </w:p>
        </w:tc>
        <w:tc>
          <w:tcPr>
            <w:tcW w:w="0" w:type="auto"/>
            <w:vAlign w:val="center"/>
            <w:hideMark/>
          </w:tcPr>
          <w:p w14:paraId="13406FAA" w14:textId="77777777" w:rsidR="00FA457D" w:rsidRPr="009C7E04" w:rsidRDefault="00FA457D" w:rsidP="0079785E">
            <w:pPr>
              <w:rPr>
                <w:sz w:val="20"/>
                <w:szCs w:val="20"/>
              </w:rPr>
            </w:pPr>
            <w:r w:rsidRPr="009C7E04">
              <w:rPr>
                <w:sz w:val="20"/>
                <w:szCs w:val="20"/>
              </w:rPr>
              <w:t>Bilimsel güvenilirlik ve genellenebilirlik açısından nicel yöntemlerle yapılan deneysel çalışmalar tercih edilmiştir.</w:t>
            </w:r>
          </w:p>
        </w:tc>
      </w:tr>
      <w:tr w:rsidR="00FA457D" w:rsidRPr="009C7E04" w14:paraId="77E4062C" w14:textId="77777777" w:rsidTr="000610DA">
        <w:trPr>
          <w:tblCellSpacing w:w="15" w:type="dxa"/>
        </w:trPr>
        <w:tc>
          <w:tcPr>
            <w:tcW w:w="0" w:type="auto"/>
            <w:vAlign w:val="center"/>
            <w:hideMark/>
          </w:tcPr>
          <w:p w14:paraId="273CE0A8" w14:textId="77777777" w:rsidR="00FA457D" w:rsidRPr="009C7E04" w:rsidRDefault="00FA457D" w:rsidP="0079785E">
            <w:pPr>
              <w:rPr>
                <w:sz w:val="20"/>
                <w:szCs w:val="20"/>
              </w:rPr>
            </w:pPr>
            <w:r w:rsidRPr="009C7E04">
              <w:rPr>
                <w:sz w:val="20"/>
                <w:szCs w:val="20"/>
              </w:rPr>
              <w:t>Hakemli dergilerde yayımlanmış makaleler</w:t>
            </w:r>
          </w:p>
        </w:tc>
        <w:tc>
          <w:tcPr>
            <w:tcW w:w="0" w:type="auto"/>
            <w:vAlign w:val="center"/>
            <w:hideMark/>
          </w:tcPr>
          <w:p w14:paraId="65834467" w14:textId="77777777" w:rsidR="00FA457D" w:rsidRPr="009C7E04" w:rsidRDefault="00FA457D" w:rsidP="0079785E">
            <w:pPr>
              <w:rPr>
                <w:sz w:val="20"/>
                <w:szCs w:val="20"/>
              </w:rPr>
            </w:pPr>
            <w:r w:rsidRPr="009C7E04">
              <w:rPr>
                <w:sz w:val="20"/>
                <w:szCs w:val="20"/>
              </w:rPr>
              <w:t>Akademik güvenilirliği sağlamak için yalnızca hakem sürecinden geçmiş ve bilimsel standartlara uygun makaleler dahil edilmiştir.</w:t>
            </w:r>
          </w:p>
        </w:tc>
      </w:tr>
      <w:tr w:rsidR="00FA457D" w:rsidRPr="009C7E04" w14:paraId="5EFF24D3" w14:textId="77777777" w:rsidTr="000610DA">
        <w:trPr>
          <w:tblCellSpacing w:w="15" w:type="dxa"/>
        </w:trPr>
        <w:tc>
          <w:tcPr>
            <w:tcW w:w="0" w:type="auto"/>
            <w:vAlign w:val="center"/>
            <w:hideMark/>
          </w:tcPr>
          <w:p w14:paraId="01CDAF43" w14:textId="77777777" w:rsidR="00FA457D" w:rsidRPr="009C7E04" w:rsidRDefault="00FA457D" w:rsidP="0079785E">
            <w:pPr>
              <w:rPr>
                <w:sz w:val="20"/>
                <w:szCs w:val="20"/>
              </w:rPr>
            </w:pPr>
            <w:r w:rsidRPr="009C7E04">
              <w:rPr>
                <w:sz w:val="20"/>
                <w:szCs w:val="20"/>
              </w:rPr>
              <w:t>Psikodramanın sadece okullarda uygulamalarını içeren makaleler</w:t>
            </w:r>
          </w:p>
          <w:p w14:paraId="4AC958C2" w14:textId="77777777" w:rsidR="00FA457D" w:rsidRPr="009C7E04" w:rsidRDefault="00FA457D" w:rsidP="0079785E">
            <w:pPr>
              <w:rPr>
                <w:sz w:val="20"/>
                <w:szCs w:val="20"/>
              </w:rPr>
            </w:pPr>
          </w:p>
          <w:p w14:paraId="295EE5E5" w14:textId="77777777" w:rsidR="00FA457D" w:rsidRPr="009C7E04" w:rsidRDefault="00FA457D" w:rsidP="0079785E">
            <w:pPr>
              <w:rPr>
                <w:sz w:val="20"/>
                <w:szCs w:val="20"/>
              </w:rPr>
            </w:pPr>
            <w:proofErr w:type="gramStart"/>
            <w:r w:rsidRPr="009C7E04">
              <w:rPr>
                <w:sz w:val="20"/>
                <w:szCs w:val="20"/>
              </w:rPr>
              <w:t>İngilizce  dilinde</w:t>
            </w:r>
            <w:proofErr w:type="gramEnd"/>
            <w:r w:rsidRPr="009C7E04">
              <w:rPr>
                <w:sz w:val="20"/>
                <w:szCs w:val="20"/>
              </w:rPr>
              <w:t xml:space="preserve"> yayımlanmış makaleler</w:t>
            </w:r>
          </w:p>
        </w:tc>
        <w:tc>
          <w:tcPr>
            <w:tcW w:w="0" w:type="auto"/>
            <w:vAlign w:val="center"/>
            <w:hideMark/>
          </w:tcPr>
          <w:p w14:paraId="38A63D63" w14:textId="77777777" w:rsidR="00FA457D" w:rsidRPr="009C7E04" w:rsidRDefault="00FA457D" w:rsidP="0079785E">
            <w:pPr>
              <w:rPr>
                <w:sz w:val="20"/>
                <w:szCs w:val="20"/>
              </w:rPr>
            </w:pPr>
            <w:r w:rsidRPr="009C7E04">
              <w:rPr>
                <w:sz w:val="20"/>
                <w:szCs w:val="20"/>
              </w:rPr>
              <w:t>Çalışma, eğitim kurumlarında uygulanan psikodrama yöntemlerinin etkisini değerlendirdiğinden, okul dışındaki ortamlar (klinikler, işyerleri vb.) dışlanmıştır.</w:t>
            </w:r>
          </w:p>
          <w:p w14:paraId="5C8DC579" w14:textId="77777777" w:rsidR="00FA457D" w:rsidRPr="009C7E04" w:rsidRDefault="00FA457D" w:rsidP="0079785E">
            <w:pPr>
              <w:rPr>
                <w:sz w:val="20"/>
                <w:szCs w:val="20"/>
              </w:rPr>
            </w:pPr>
          </w:p>
          <w:p w14:paraId="45DD89E0" w14:textId="77777777" w:rsidR="00FA457D" w:rsidRPr="009C7E04" w:rsidRDefault="00FA457D" w:rsidP="0079785E">
            <w:pPr>
              <w:rPr>
                <w:sz w:val="20"/>
                <w:szCs w:val="20"/>
              </w:rPr>
            </w:pPr>
            <w:r w:rsidRPr="009C7E04">
              <w:rPr>
                <w:sz w:val="20"/>
                <w:szCs w:val="20"/>
              </w:rPr>
              <w:t>İngilizce, akademik literatürde en yaygın kullanılan dildir.</w:t>
            </w:r>
          </w:p>
        </w:tc>
      </w:tr>
      <w:tr w:rsidR="00FA457D" w:rsidRPr="009C7E04" w14:paraId="6AD985ED" w14:textId="77777777" w:rsidTr="000610DA">
        <w:trPr>
          <w:tblCellSpacing w:w="15" w:type="dxa"/>
        </w:trPr>
        <w:tc>
          <w:tcPr>
            <w:tcW w:w="0" w:type="auto"/>
            <w:tcBorders>
              <w:top w:val="single" w:sz="4" w:space="0" w:color="auto"/>
              <w:bottom w:val="single" w:sz="4" w:space="0" w:color="auto"/>
            </w:tcBorders>
            <w:vAlign w:val="center"/>
            <w:hideMark/>
          </w:tcPr>
          <w:p w14:paraId="7D34934E" w14:textId="77777777" w:rsidR="00FA457D" w:rsidRPr="009C7E04" w:rsidRDefault="00FA457D" w:rsidP="0079785E">
            <w:pPr>
              <w:rPr>
                <w:b/>
                <w:sz w:val="20"/>
                <w:szCs w:val="20"/>
              </w:rPr>
            </w:pPr>
            <w:r w:rsidRPr="009C7E04">
              <w:rPr>
                <w:b/>
                <w:bCs/>
                <w:sz w:val="20"/>
                <w:szCs w:val="20"/>
              </w:rPr>
              <w:t>Dışlama Kriterleri</w:t>
            </w:r>
          </w:p>
        </w:tc>
        <w:tc>
          <w:tcPr>
            <w:tcW w:w="0" w:type="auto"/>
            <w:tcBorders>
              <w:top w:val="single" w:sz="4" w:space="0" w:color="auto"/>
              <w:bottom w:val="single" w:sz="4" w:space="0" w:color="auto"/>
            </w:tcBorders>
            <w:vAlign w:val="center"/>
            <w:hideMark/>
          </w:tcPr>
          <w:p w14:paraId="650423AD" w14:textId="304D0B88" w:rsidR="00FA457D" w:rsidRPr="009C7E04" w:rsidRDefault="00FA457D" w:rsidP="0079785E">
            <w:pPr>
              <w:rPr>
                <w:b/>
                <w:sz w:val="20"/>
                <w:szCs w:val="20"/>
              </w:rPr>
            </w:pPr>
            <w:r w:rsidRPr="009C7E04">
              <w:rPr>
                <w:b/>
                <w:sz w:val="20"/>
                <w:szCs w:val="20"/>
              </w:rPr>
              <w:t>Gerekçesi</w:t>
            </w:r>
          </w:p>
        </w:tc>
      </w:tr>
      <w:tr w:rsidR="00FA457D" w:rsidRPr="009C7E04" w14:paraId="1978A658" w14:textId="77777777" w:rsidTr="000610DA">
        <w:trPr>
          <w:tblCellSpacing w:w="15" w:type="dxa"/>
        </w:trPr>
        <w:tc>
          <w:tcPr>
            <w:tcW w:w="0" w:type="auto"/>
            <w:vAlign w:val="center"/>
            <w:hideMark/>
          </w:tcPr>
          <w:p w14:paraId="35F3CC62" w14:textId="77777777" w:rsidR="00FA457D" w:rsidRPr="009C7E04" w:rsidRDefault="00FA457D" w:rsidP="0079785E">
            <w:pPr>
              <w:rPr>
                <w:sz w:val="20"/>
                <w:szCs w:val="20"/>
              </w:rPr>
            </w:pPr>
            <w:r w:rsidRPr="009C7E04">
              <w:rPr>
                <w:sz w:val="20"/>
                <w:szCs w:val="20"/>
              </w:rPr>
              <w:t>Eğitimle doğrudan ilgili olmayan gruplara yönelik psikodrama çalışmaları</w:t>
            </w:r>
          </w:p>
        </w:tc>
        <w:tc>
          <w:tcPr>
            <w:tcW w:w="0" w:type="auto"/>
            <w:vAlign w:val="center"/>
            <w:hideMark/>
          </w:tcPr>
          <w:p w14:paraId="64F4AC08" w14:textId="77777777" w:rsidR="00FA457D" w:rsidRPr="009C7E04" w:rsidRDefault="00FA457D" w:rsidP="0079785E">
            <w:pPr>
              <w:rPr>
                <w:sz w:val="20"/>
                <w:szCs w:val="20"/>
              </w:rPr>
            </w:pPr>
            <w:r w:rsidRPr="009C7E04">
              <w:rPr>
                <w:sz w:val="20"/>
                <w:szCs w:val="20"/>
              </w:rPr>
              <w:t xml:space="preserve">Araştırmanın hedef kitlesi öğrencilerdir. Yetişkinler, klinik hastalar veya diğer </w:t>
            </w:r>
            <w:proofErr w:type="gramStart"/>
            <w:r w:rsidRPr="009C7E04">
              <w:rPr>
                <w:sz w:val="20"/>
                <w:szCs w:val="20"/>
              </w:rPr>
              <w:t>mesleklere  yönelik</w:t>
            </w:r>
            <w:proofErr w:type="gramEnd"/>
            <w:r w:rsidRPr="009C7E04">
              <w:rPr>
                <w:sz w:val="20"/>
                <w:szCs w:val="20"/>
              </w:rPr>
              <w:t xml:space="preserve"> psikodrama çalışmaları araştırma kapsamına alınmamıştır.</w:t>
            </w:r>
          </w:p>
        </w:tc>
      </w:tr>
      <w:tr w:rsidR="00FA457D" w:rsidRPr="009C7E04" w14:paraId="4089DF6C" w14:textId="77777777" w:rsidTr="000610DA">
        <w:trPr>
          <w:tblCellSpacing w:w="15" w:type="dxa"/>
        </w:trPr>
        <w:tc>
          <w:tcPr>
            <w:tcW w:w="0" w:type="auto"/>
            <w:vAlign w:val="center"/>
            <w:hideMark/>
          </w:tcPr>
          <w:p w14:paraId="449245FA" w14:textId="77777777" w:rsidR="00FA457D" w:rsidRPr="009C7E04" w:rsidRDefault="00FA457D" w:rsidP="0079785E">
            <w:pPr>
              <w:rPr>
                <w:sz w:val="20"/>
                <w:szCs w:val="20"/>
              </w:rPr>
            </w:pPr>
            <w:r w:rsidRPr="009C7E04">
              <w:rPr>
                <w:sz w:val="20"/>
                <w:szCs w:val="20"/>
              </w:rPr>
              <w:t>Vaka çalışmaları</w:t>
            </w:r>
          </w:p>
        </w:tc>
        <w:tc>
          <w:tcPr>
            <w:tcW w:w="0" w:type="auto"/>
            <w:vAlign w:val="center"/>
            <w:hideMark/>
          </w:tcPr>
          <w:p w14:paraId="3A9350A7" w14:textId="77777777" w:rsidR="00FA457D" w:rsidRPr="009C7E04" w:rsidRDefault="00FA457D" w:rsidP="0079785E">
            <w:pPr>
              <w:rPr>
                <w:sz w:val="20"/>
                <w:szCs w:val="20"/>
              </w:rPr>
            </w:pPr>
            <w:r w:rsidRPr="009C7E04">
              <w:rPr>
                <w:sz w:val="20"/>
                <w:szCs w:val="20"/>
              </w:rPr>
              <w:t>Tek bir birey veya küçük bir grup üzerinde yapılan vaka çalışmaları, genellenebilir sonuçlar sağlamadığı için dışlanmıştır.</w:t>
            </w:r>
          </w:p>
        </w:tc>
      </w:tr>
      <w:tr w:rsidR="00FA457D" w:rsidRPr="009C7E04" w14:paraId="3FF30FE9" w14:textId="77777777" w:rsidTr="000610DA">
        <w:trPr>
          <w:tblCellSpacing w:w="15" w:type="dxa"/>
        </w:trPr>
        <w:tc>
          <w:tcPr>
            <w:tcW w:w="0" w:type="auto"/>
            <w:vAlign w:val="center"/>
            <w:hideMark/>
          </w:tcPr>
          <w:p w14:paraId="044D1A63" w14:textId="77777777" w:rsidR="00FA457D" w:rsidRPr="009C7E04" w:rsidRDefault="00FA457D" w:rsidP="0079785E">
            <w:pPr>
              <w:rPr>
                <w:sz w:val="20"/>
                <w:szCs w:val="20"/>
              </w:rPr>
            </w:pPr>
            <w:r w:rsidRPr="009C7E04">
              <w:rPr>
                <w:sz w:val="20"/>
                <w:szCs w:val="20"/>
              </w:rPr>
              <w:t>Derlemeler</w:t>
            </w:r>
          </w:p>
        </w:tc>
        <w:tc>
          <w:tcPr>
            <w:tcW w:w="0" w:type="auto"/>
            <w:vAlign w:val="center"/>
            <w:hideMark/>
          </w:tcPr>
          <w:p w14:paraId="1CFA0DE0" w14:textId="77777777" w:rsidR="00FA457D" w:rsidRPr="009C7E04" w:rsidRDefault="00FA457D" w:rsidP="0079785E">
            <w:pPr>
              <w:rPr>
                <w:sz w:val="20"/>
                <w:szCs w:val="20"/>
              </w:rPr>
            </w:pPr>
            <w:r w:rsidRPr="009C7E04">
              <w:rPr>
                <w:sz w:val="20"/>
                <w:szCs w:val="20"/>
              </w:rPr>
              <w:t>Literatür taraması veya teorik çerçeve oluşturan çalışmalar, araştırmanın amacı olan uygulamalı incelemeye uygun değildir.</w:t>
            </w:r>
          </w:p>
        </w:tc>
      </w:tr>
      <w:tr w:rsidR="00FA457D" w:rsidRPr="009C7E04" w14:paraId="79C401B9" w14:textId="77777777" w:rsidTr="000610DA">
        <w:trPr>
          <w:tblCellSpacing w:w="15" w:type="dxa"/>
        </w:trPr>
        <w:tc>
          <w:tcPr>
            <w:tcW w:w="0" w:type="auto"/>
            <w:vAlign w:val="center"/>
            <w:hideMark/>
          </w:tcPr>
          <w:p w14:paraId="6AB626B3" w14:textId="77777777" w:rsidR="00FA457D" w:rsidRPr="009C7E04" w:rsidRDefault="00FA457D" w:rsidP="0079785E">
            <w:pPr>
              <w:rPr>
                <w:sz w:val="20"/>
                <w:szCs w:val="20"/>
              </w:rPr>
            </w:pPr>
            <w:r w:rsidRPr="009C7E04">
              <w:rPr>
                <w:sz w:val="20"/>
                <w:szCs w:val="20"/>
              </w:rPr>
              <w:t>Psikodrama teknikleri içeren grup çalışmaları</w:t>
            </w:r>
          </w:p>
        </w:tc>
        <w:tc>
          <w:tcPr>
            <w:tcW w:w="0" w:type="auto"/>
            <w:vAlign w:val="center"/>
            <w:hideMark/>
          </w:tcPr>
          <w:p w14:paraId="68F77EAF" w14:textId="77777777" w:rsidR="00FA457D" w:rsidRPr="009C7E04" w:rsidRDefault="00FA457D" w:rsidP="0079785E">
            <w:pPr>
              <w:rPr>
                <w:sz w:val="20"/>
                <w:szCs w:val="20"/>
              </w:rPr>
            </w:pPr>
            <w:r w:rsidRPr="009C7E04">
              <w:rPr>
                <w:sz w:val="20"/>
                <w:szCs w:val="20"/>
              </w:rPr>
              <w:t>Sadece psikodrama tekniklerinin kullanıldığı grup çalışmaları, psikodrama sürecinin tamamını kapsamayabilir ve elde edilen sonuçların psikodramaya mı yoksa diğer grup süreçlerine mi bağlı olduğu net olarak anlaşılamayabilir.</w:t>
            </w:r>
          </w:p>
        </w:tc>
      </w:tr>
      <w:tr w:rsidR="00FA457D" w:rsidRPr="009C7E04" w14:paraId="5199D7D5" w14:textId="77777777" w:rsidTr="000610DA">
        <w:trPr>
          <w:tblCellSpacing w:w="15" w:type="dxa"/>
        </w:trPr>
        <w:tc>
          <w:tcPr>
            <w:tcW w:w="0" w:type="auto"/>
            <w:vAlign w:val="center"/>
            <w:hideMark/>
          </w:tcPr>
          <w:p w14:paraId="6F83039A" w14:textId="77777777" w:rsidR="00FA457D" w:rsidRPr="009C7E04" w:rsidRDefault="00FA457D" w:rsidP="0079785E">
            <w:pPr>
              <w:rPr>
                <w:sz w:val="20"/>
                <w:szCs w:val="20"/>
              </w:rPr>
            </w:pPr>
            <w:r w:rsidRPr="009C7E04">
              <w:rPr>
                <w:sz w:val="20"/>
                <w:szCs w:val="20"/>
              </w:rPr>
              <w:t>Bildiriler ve kitap bölümleri</w:t>
            </w:r>
          </w:p>
        </w:tc>
        <w:tc>
          <w:tcPr>
            <w:tcW w:w="0" w:type="auto"/>
            <w:vAlign w:val="center"/>
            <w:hideMark/>
          </w:tcPr>
          <w:p w14:paraId="102E0C48" w14:textId="77777777" w:rsidR="00FA457D" w:rsidRPr="009C7E04" w:rsidRDefault="00FA457D" w:rsidP="0079785E">
            <w:pPr>
              <w:rPr>
                <w:sz w:val="20"/>
                <w:szCs w:val="20"/>
              </w:rPr>
            </w:pPr>
            <w:r w:rsidRPr="009C7E04">
              <w:rPr>
                <w:sz w:val="20"/>
                <w:szCs w:val="20"/>
              </w:rPr>
              <w:t>Akademik güvenilirlik açısından yalnızca hakemli dergilerde yayımlanmış makaleler seçilmiş, konferans bildirileri ve kitap bölümleri dışlanmıştır.</w:t>
            </w:r>
          </w:p>
        </w:tc>
      </w:tr>
      <w:tr w:rsidR="00FA457D" w:rsidRPr="009C7E04" w14:paraId="499386E6" w14:textId="77777777" w:rsidTr="000610DA">
        <w:trPr>
          <w:tblCellSpacing w:w="15" w:type="dxa"/>
        </w:trPr>
        <w:tc>
          <w:tcPr>
            <w:tcW w:w="0" w:type="auto"/>
            <w:vAlign w:val="center"/>
            <w:hideMark/>
          </w:tcPr>
          <w:p w14:paraId="15F9F0A1" w14:textId="77777777" w:rsidR="00FA457D" w:rsidRPr="009C7E04" w:rsidRDefault="00FA457D" w:rsidP="0079785E">
            <w:pPr>
              <w:rPr>
                <w:sz w:val="20"/>
                <w:szCs w:val="20"/>
              </w:rPr>
            </w:pPr>
            <w:r w:rsidRPr="009C7E04">
              <w:rPr>
                <w:sz w:val="20"/>
                <w:szCs w:val="20"/>
              </w:rPr>
              <w:t>Müdahale süresi ve kapsamı hakkında bilgi içermeyen makaleler</w:t>
            </w:r>
          </w:p>
        </w:tc>
        <w:tc>
          <w:tcPr>
            <w:tcW w:w="0" w:type="auto"/>
            <w:vAlign w:val="center"/>
            <w:hideMark/>
          </w:tcPr>
          <w:p w14:paraId="309119B2" w14:textId="77777777" w:rsidR="00FA457D" w:rsidRPr="009C7E04" w:rsidRDefault="00FA457D" w:rsidP="0079785E">
            <w:pPr>
              <w:rPr>
                <w:sz w:val="20"/>
                <w:szCs w:val="20"/>
              </w:rPr>
            </w:pPr>
            <w:r w:rsidRPr="009C7E04">
              <w:rPr>
                <w:sz w:val="20"/>
                <w:szCs w:val="20"/>
              </w:rPr>
              <w:t>Bilimsel değerlendirme için müdahalenin süresi ve kapsamına ilişkin açık veriler gereklidir. Bu bilgileri içermeyen çalışmalar dışlanmıştır.</w:t>
            </w:r>
          </w:p>
        </w:tc>
      </w:tr>
      <w:tr w:rsidR="00FA457D" w:rsidRPr="009C7E04" w14:paraId="43E4E55C" w14:textId="77777777" w:rsidTr="000610DA">
        <w:trPr>
          <w:tblCellSpacing w:w="15" w:type="dxa"/>
        </w:trPr>
        <w:tc>
          <w:tcPr>
            <w:tcW w:w="0" w:type="auto"/>
            <w:vAlign w:val="center"/>
            <w:hideMark/>
          </w:tcPr>
          <w:p w14:paraId="3BAAF91A" w14:textId="77777777" w:rsidR="00FA457D" w:rsidRPr="009C7E04" w:rsidRDefault="00FA457D" w:rsidP="0079785E">
            <w:pPr>
              <w:rPr>
                <w:sz w:val="20"/>
                <w:szCs w:val="20"/>
              </w:rPr>
            </w:pPr>
            <w:r w:rsidRPr="009C7E04">
              <w:rPr>
                <w:sz w:val="20"/>
                <w:szCs w:val="20"/>
              </w:rPr>
              <w:t>Klinik ortamda uygulanan psikodrama çalışmaları</w:t>
            </w:r>
          </w:p>
        </w:tc>
        <w:tc>
          <w:tcPr>
            <w:tcW w:w="0" w:type="auto"/>
            <w:vAlign w:val="center"/>
            <w:hideMark/>
          </w:tcPr>
          <w:p w14:paraId="2923223A" w14:textId="77777777" w:rsidR="00FA457D" w:rsidRPr="009C7E04" w:rsidRDefault="00FA457D" w:rsidP="0079785E">
            <w:pPr>
              <w:rPr>
                <w:sz w:val="20"/>
                <w:szCs w:val="20"/>
              </w:rPr>
            </w:pPr>
            <w:r w:rsidRPr="009C7E04">
              <w:rPr>
                <w:sz w:val="20"/>
                <w:szCs w:val="20"/>
              </w:rPr>
              <w:t>Klinik uygulamalar terapötik müdahaleler kapsamında değerlendirildiği için, araştırmanın eğitim odaklı doğasına uygun bulunmamıştır.</w:t>
            </w:r>
          </w:p>
        </w:tc>
      </w:tr>
      <w:tr w:rsidR="00FA457D" w:rsidRPr="009C7E04" w14:paraId="28509D5F" w14:textId="77777777" w:rsidTr="000610DA">
        <w:trPr>
          <w:tblCellSpacing w:w="15" w:type="dxa"/>
        </w:trPr>
        <w:tc>
          <w:tcPr>
            <w:tcW w:w="0" w:type="auto"/>
            <w:vAlign w:val="center"/>
            <w:hideMark/>
          </w:tcPr>
          <w:p w14:paraId="3F3FCF8A" w14:textId="77777777" w:rsidR="00FA457D" w:rsidRPr="009C7E04" w:rsidRDefault="00FA457D" w:rsidP="0079785E">
            <w:pPr>
              <w:rPr>
                <w:sz w:val="20"/>
                <w:szCs w:val="20"/>
              </w:rPr>
            </w:pPr>
            <w:r w:rsidRPr="009C7E04">
              <w:rPr>
                <w:sz w:val="20"/>
                <w:szCs w:val="20"/>
              </w:rPr>
              <w:t>Okul dışında gerçekleştirilen psikodrama çalışmaları</w:t>
            </w:r>
          </w:p>
        </w:tc>
        <w:tc>
          <w:tcPr>
            <w:tcW w:w="0" w:type="auto"/>
            <w:vAlign w:val="center"/>
            <w:hideMark/>
          </w:tcPr>
          <w:p w14:paraId="0E09C82A" w14:textId="77777777" w:rsidR="00FA457D" w:rsidRPr="009C7E04" w:rsidRDefault="00FA457D" w:rsidP="0079785E">
            <w:pPr>
              <w:rPr>
                <w:sz w:val="20"/>
                <w:szCs w:val="20"/>
              </w:rPr>
            </w:pPr>
            <w:r w:rsidRPr="009C7E04">
              <w:rPr>
                <w:sz w:val="20"/>
                <w:szCs w:val="20"/>
              </w:rPr>
              <w:t>Araştırmanın bağlamı okul ortamı olduğu için, farklı sosyal veya mesleki alanlarda yapılan çalışmalar hariç tutulmuştur.</w:t>
            </w:r>
          </w:p>
        </w:tc>
      </w:tr>
      <w:tr w:rsidR="00FA457D" w:rsidRPr="009C7E04" w14:paraId="42B433ED" w14:textId="77777777" w:rsidTr="000610DA">
        <w:trPr>
          <w:tblCellSpacing w:w="15" w:type="dxa"/>
        </w:trPr>
        <w:tc>
          <w:tcPr>
            <w:tcW w:w="0" w:type="auto"/>
            <w:vAlign w:val="center"/>
            <w:hideMark/>
          </w:tcPr>
          <w:p w14:paraId="37B1FC23" w14:textId="77777777" w:rsidR="00FA457D" w:rsidRPr="009C7E04" w:rsidRDefault="00FA457D" w:rsidP="0079785E">
            <w:pPr>
              <w:rPr>
                <w:sz w:val="20"/>
                <w:szCs w:val="20"/>
              </w:rPr>
            </w:pPr>
            <w:r w:rsidRPr="009C7E04">
              <w:rPr>
                <w:sz w:val="20"/>
                <w:szCs w:val="20"/>
              </w:rPr>
              <w:t>Kuramsal temelli çalışmalar</w:t>
            </w:r>
          </w:p>
        </w:tc>
        <w:tc>
          <w:tcPr>
            <w:tcW w:w="0" w:type="auto"/>
            <w:vAlign w:val="center"/>
            <w:hideMark/>
          </w:tcPr>
          <w:p w14:paraId="42228E27" w14:textId="77777777" w:rsidR="00FA457D" w:rsidRPr="009C7E04" w:rsidRDefault="00FA457D" w:rsidP="0079785E">
            <w:pPr>
              <w:rPr>
                <w:sz w:val="20"/>
                <w:szCs w:val="20"/>
              </w:rPr>
            </w:pPr>
            <w:r w:rsidRPr="009C7E04">
              <w:rPr>
                <w:sz w:val="20"/>
                <w:szCs w:val="20"/>
              </w:rPr>
              <w:t>Teorik çerçeve oluşturan, ancak uygulamalı veri içermeyen çalışmalar analiz kapsamına alınmamıştır.</w:t>
            </w:r>
          </w:p>
        </w:tc>
      </w:tr>
      <w:tr w:rsidR="00FA457D" w:rsidRPr="009C7E04" w14:paraId="79B63D4B" w14:textId="77777777" w:rsidTr="000610DA">
        <w:trPr>
          <w:tblCellSpacing w:w="15" w:type="dxa"/>
        </w:trPr>
        <w:tc>
          <w:tcPr>
            <w:tcW w:w="0" w:type="auto"/>
            <w:tcBorders>
              <w:bottom w:val="single" w:sz="4" w:space="0" w:color="auto"/>
            </w:tcBorders>
            <w:vAlign w:val="center"/>
            <w:hideMark/>
          </w:tcPr>
          <w:p w14:paraId="1638E910" w14:textId="77777777" w:rsidR="00FA457D" w:rsidRPr="009C7E04" w:rsidRDefault="00FA457D" w:rsidP="0079785E">
            <w:pPr>
              <w:rPr>
                <w:sz w:val="20"/>
                <w:szCs w:val="20"/>
              </w:rPr>
            </w:pPr>
            <w:r w:rsidRPr="009C7E04">
              <w:rPr>
                <w:sz w:val="20"/>
                <w:szCs w:val="20"/>
              </w:rPr>
              <w:t>Tam metnine ulaşılamayan çalışmalar</w:t>
            </w:r>
          </w:p>
        </w:tc>
        <w:tc>
          <w:tcPr>
            <w:tcW w:w="0" w:type="auto"/>
            <w:tcBorders>
              <w:bottom w:val="single" w:sz="4" w:space="0" w:color="auto"/>
            </w:tcBorders>
            <w:vAlign w:val="center"/>
            <w:hideMark/>
          </w:tcPr>
          <w:p w14:paraId="2051B5C0" w14:textId="77777777" w:rsidR="00FA457D" w:rsidRPr="009C7E04" w:rsidRDefault="00FA457D" w:rsidP="0079785E">
            <w:pPr>
              <w:rPr>
                <w:sz w:val="20"/>
                <w:szCs w:val="20"/>
              </w:rPr>
            </w:pPr>
            <w:r w:rsidRPr="009C7E04">
              <w:rPr>
                <w:sz w:val="20"/>
                <w:szCs w:val="20"/>
              </w:rPr>
              <w:t>Analiz ve değerlendirme için tam metin erişimi zorunlu olduğundan, yalnızca özetine ulaşılan veya tam metni olmayan çalışmalar dahil edilmemiştir.</w:t>
            </w:r>
          </w:p>
        </w:tc>
      </w:tr>
    </w:tbl>
    <w:p w14:paraId="5F5A6F70" w14:textId="77777777" w:rsidR="00FA457D" w:rsidRPr="009C7E04" w:rsidRDefault="00FA457D" w:rsidP="0079785E">
      <w:pPr>
        <w:jc w:val="both"/>
      </w:pPr>
    </w:p>
    <w:p w14:paraId="2B720C02" w14:textId="77777777" w:rsidR="00FA457D" w:rsidRPr="009C7E04" w:rsidRDefault="00FA457D" w:rsidP="0079785E">
      <w:pPr>
        <w:jc w:val="both"/>
      </w:pPr>
      <w:r w:rsidRPr="009C7E04">
        <w:t>Tablo 1’de görüldüğü üzere dahil etme ve dışlama kriterleriyle birlikte gerekçelerine de yer verilmiştir. Son yirmi yılda psikodramaya duyulan ilgi arttığı için (</w:t>
      </w:r>
      <w:proofErr w:type="spellStart"/>
      <w:r w:rsidRPr="009C7E04">
        <w:t>Sumbas</w:t>
      </w:r>
      <w:proofErr w:type="spellEnd"/>
      <w:r w:rsidRPr="009C7E04">
        <w:t xml:space="preserve"> ve Ulusoy, 2023) yayınlanma yılı 2000 ve sonrası olan makaleler dahil edilmiştir. Çalışma kapsamında yalnızca psikodramanın okul temelli uygulamalarına odaklanan araştırmalar dikkate alınmıştır. İlkokul, ortaokul, lise ve üniversite düzeyindeki öğrencileri içeren araştırmalar analize dahil edilmiştir. Grup psikodraması uygulamalarını temel alan çalışmalar önceliklendirilmiş ve psikodramanın etkisini belirlemek için nicel ölçütler kullanan araştırmalar değerlendirmeye alınmıştır. Ayrıca, </w:t>
      </w:r>
      <w:r w:rsidRPr="009C7E04">
        <w:lastRenderedPageBreak/>
        <w:t xml:space="preserve">katılımcıların yaşı ve kademe türüne göre veriler sunan makaleler seçilmiştir. Yalnızca hakemli dergilerde yayımlanmış çalışmalar analize dahil edilmiştir. Psikodramanın terapötik etkilerine dair bulgular içeren ve psikodrama uygulamalarında kullanılan yöntem ve teknikleri detaylandıran araştırmalar da seçime dahil edilmiştir. Bu kriterler, analize alınan çalışmaların niteliğini artırmak ve araştırmanın kapsamını belirgin bir şekilde odaklamak amacıyla belirlenmiştir. Ardından </w:t>
      </w:r>
      <w:proofErr w:type="spellStart"/>
      <w:r w:rsidRPr="009C7E04">
        <w:t>ResearchGate</w:t>
      </w:r>
      <w:proofErr w:type="spellEnd"/>
      <w:r w:rsidRPr="009C7E04">
        <w:t xml:space="preserve">, </w:t>
      </w:r>
      <w:proofErr w:type="spellStart"/>
      <w:r w:rsidRPr="009C7E04">
        <w:t>PubMed</w:t>
      </w:r>
      <w:proofErr w:type="spellEnd"/>
      <w:r w:rsidRPr="009C7E04">
        <w:t xml:space="preserve">, </w:t>
      </w:r>
      <w:proofErr w:type="spellStart"/>
      <w:r w:rsidRPr="009C7E04">
        <w:t>Scopus</w:t>
      </w:r>
      <w:proofErr w:type="spellEnd"/>
      <w:r w:rsidRPr="009C7E04">
        <w:t xml:space="preserve">, </w:t>
      </w:r>
      <w:proofErr w:type="spellStart"/>
      <w:r w:rsidRPr="009C7E04">
        <w:t>ScienceDirect</w:t>
      </w:r>
      <w:proofErr w:type="spellEnd"/>
      <w:r w:rsidRPr="009C7E04">
        <w:t xml:space="preserve"> ve ERIC veri tabanlarında kapsamlı bir literatür taraması gerçekleştirilmiştir. Şekil 1’de dahil edilme ve dışlama kriterlerine göre ulaşılan makale sayılarına yer verilmiştir.</w:t>
      </w:r>
    </w:p>
    <w:p w14:paraId="514366EB" w14:textId="77777777" w:rsidR="00FA457D" w:rsidRPr="009C7E04" w:rsidRDefault="00FA457D" w:rsidP="0079785E">
      <w:pPr>
        <w:jc w:val="both"/>
      </w:pPr>
    </w:p>
    <w:p w14:paraId="21D01612" w14:textId="77777777" w:rsidR="00FA457D" w:rsidRPr="009C7E04" w:rsidRDefault="00FA457D" w:rsidP="0079785E">
      <w:pPr>
        <w:jc w:val="both"/>
      </w:pPr>
      <w:r w:rsidRPr="009C7E04">
        <w:rPr>
          <w:noProof/>
        </w:rPr>
        <w:drawing>
          <wp:inline distT="0" distB="0" distL="0" distR="0" wp14:anchorId="266AF153" wp14:editId="6FB8CC80">
            <wp:extent cx="5486400" cy="4867275"/>
            <wp:effectExtent l="0" t="0" r="38100" b="47625"/>
            <wp:docPr id="8" name="Diy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9" r:lo="rId300" r:qs="rId301" r:cs="rId302"/>
              </a:graphicData>
            </a:graphic>
          </wp:inline>
        </w:drawing>
      </w:r>
    </w:p>
    <w:p w14:paraId="46EB7C11" w14:textId="77777777" w:rsidR="00FA457D" w:rsidRPr="009C7E04" w:rsidRDefault="00FA457D" w:rsidP="0079785E">
      <w:pPr>
        <w:jc w:val="both"/>
      </w:pPr>
    </w:p>
    <w:p w14:paraId="5303759C" w14:textId="77777777" w:rsidR="00FA457D" w:rsidRPr="009C7E04" w:rsidRDefault="00FA457D" w:rsidP="0079785E">
      <w:pPr>
        <w:jc w:val="both"/>
      </w:pPr>
    </w:p>
    <w:p w14:paraId="46C3CEEB" w14:textId="16C02D10" w:rsidR="00FA457D" w:rsidRDefault="00FA457D" w:rsidP="0079785E">
      <w:pPr>
        <w:jc w:val="both"/>
      </w:pPr>
      <w:r w:rsidRPr="009C7E04">
        <w:t xml:space="preserve">Şekil 1’de görüldüğü gibi belirtilen anahtar kelimeler kullanılarak yapılan ilk taramada toplam </w:t>
      </w:r>
      <w:r w:rsidRPr="009C7E04">
        <w:rPr>
          <w:rStyle w:val="Gl"/>
          <w:rFonts w:eastAsiaTheme="majorEastAsia"/>
        </w:rPr>
        <w:t xml:space="preserve">3071 </w:t>
      </w:r>
      <w:r w:rsidRPr="009C7E04">
        <w:rPr>
          <w:bCs/>
        </w:rPr>
        <w:t>(</w:t>
      </w:r>
      <w:proofErr w:type="spellStart"/>
      <w:r w:rsidRPr="009C7E04">
        <w:rPr>
          <w:bCs/>
        </w:rPr>
        <w:t>ResearchGate</w:t>
      </w:r>
      <w:proofErr w:type="spellEnd"/>
      <w:r w:rsidRPr="009C7E04">
        <w:rPr>
          <w:bCs/>
        </w:rPr>
        <w:t xml:space="preserve"> 1070, </w:t>
      </w:r>
      <w:proofErr w:type="spellStart"/>
      <w:r w:rsidRPr="009C7E04">
        <w:rPr>
          <w:bCs/>
        </w:rPr>
        <w:t>PubMed</w:t>
      </w:r>
      <w:proofErr w:type="spellEnd"/>
      <w:r w:rsidRPr="009C7E04">
        <w:rPr>
          <w:bCs/>
        </w:rPr>
        <w:t xml:space="preserve"> 1556, </w:t>
      </w:r>
      <w:proofErr w:type="spellStart"/>
      <w:r w:rsidRPr="009C7E04">
        <w:rPr>
          <w:bCs/>
        </w:rPr>
        <w:t>ScienceDirect</w:t>
      </w:r>
      <w:proofErr w:type="spellEnd"/>
      <w:r w:rsidRPr="009C7E04">
        <w:rPr>
          <w:bCs/>
        </w:rPr>
        <w:t xml:space="preserve"> 789, </w:t>
      </w:r>
      <w:proofErr w:type="spellStart"/>
      <w:r w:rsidRPr="009C7E04">
        <w:rPr>
          <w:bCs/>
        </w:rPr>
        <w:t>Scopus</w:t>
      </w:r>
      <w:proofErr w:type="spellEnd"/>
      <w:r w:rsidRPr="009C7E04">
        <w:rPr>
          <w:bCs/>
        </w:rPr>
        <w:t xml:space="preserve"> 268 ve ERIC 18) </w:t>
      </w:r>
      <w:r w:rsidRPr="009C7E04">
        <w:t xml:space="preserve">ulaşılmıştır. Dahil edilme kriterlerinden en az birini karşılayan </w:t>
      </w:r>
      <w:r w:rsidRPr="009C7E04">
        <w:rPr>
          <w:rStyle w:val="Gl"/>
          <w:rFonts w:eastAsiaTheme="majorEastAsia"/>
        </w:rPr>
        <w:t>659</w:t>
      </w:r>
      <w:r w:rsidRPr="009C7E04">
        <w:rPr>
          <w:rStyle w:val="AklamaBavurusu"/>
        </w:rPr>
        <w:t xml:space="preserve"> ç</w:t>
      </w:r>
      <w:r w:rsidRPr="009C7E04">
        <w:rPr>
          <w:rStyle w:val="Gl"/>
          <w:rFonts w:eastAsiaTheme="majorEastAsia"/>
        </w:rPr>
        <w:t>alışma</w:t>
      </w:r>
      <w:r w:rsidRPr="009C7E04">
        <w:t xml:space="preserve"> belirlenmiştir. Ardından bu çalışmalar metodolojik açısından değerlendirilmiş ve </w:t>
      </w:r>
      <w:r w:rsidRPr="009C7E04">
        <w:rPr>
          <w:rStyle w:val="Gl"/>
          <w:rFonts w:eastAsiaTheme="majorEastAsia"/>
        </w:rPr>
        <w:t>94 makale</w:t>
      </w:r>
      <w:r w:rsidRPr="009C7E04">
        <w:t xml:space="preserve"> detaylı incelemeye alınmıştır. İnceleme sonucunda en az bir dışlama kriterini karşılayan </w:t>
      </w:r>
      <w:r w:rsidRPr="009C7E04">
        <w:rPr>
          <w:rStyle w:val="Gl"/>
          <w:rFonts w:eastAsiaTheme="majorEastAsia"/>
        </w:rPr>
        <w:t xml:space="preserve">43 olduğu tespit edilmiş ve </w:t>
      </w:r>
      <w:r w:rsidRPr="009C7E04">
        <w:t xml:space="preserve">geriye kalan </w:t>
      </w:r>
      <w:r w:rsidRPr="009C7E04">
        <w:rPr>
          <w:rStyle w:val="Gl"/>
          <w:rFonts w:eastAsiaTheme="majorEastAsia"/>
        </w:rPr>
        <w:t xml:space="preserve">51 makalenin dahil edilmesine karar verilmiştir. </w:t>
      </w:r>
      <w:r w:rsidRPr="009C7E04">
        <w:rPr>
          <w:rStyle w:val="AklamaBavurusu"/>
        </w:rPr>
        <w:t>D</w:t>
      </w:r>
      <w:r w:rsidRPr="009C7E04">
        <w:t xml:space="preserve">ışlanan 43 çalışmanın ise eğitimle doğrudan ilgili olmayan gruplara yönelik olduğu (8 çalışma), vaka çalışmaları içerdiği (7 çalışma), okul dışında veya klinikte gerçekleştirildiği (11 çalışma), </w:t>
      </w:r>
      <w:r w:rsidRPr="009C7E04">
        <w:lastRenderedPageBreak/>
        <w:t>deneysel yürütülmediği (7 çalışma</w:t>
      </w:r>
      <w:proofErr w:type="gramStart"/>
      <w:r w:rsidRPr="009C7E04">
        <w:t>),  psikodramanın</w:t>
      </w:r>
      <w:proofErr w:type="gramEnd"/>
      <w:r w:rsidRPr="009C7E04">
        <w:t xml:space="preserve"> sadece tekniklerinden yararlanıldığı (5 çalışma), tam metnine ulaşılamadığı (4 çalışma) ve müdahale süresi ile kapsamı hakkında bilgi içermediği (1 çalışma) tespit edilmiştir.</w:t>
      </w:r>
    </w:p>
    <w:p w14:paraId="60E5E0C4" w14:textId="77777777" w:rsidR="00FA457D" w:rsidRPr="009C7E04" w:rsidRDefault="00FA457D" w:rsidP="0079785E">
      <w:pPr>
        <w:jc w:val="both"/>
      </w:pPr>
    </w:p>
    <w:p w14:paraId="6DEC9F69" w14:textId="77777777" w:rsidR="00FA457D" w:rsidRPr="009C7E04" w:rsidRDefault="00FA457D" w:rsidP="0079785E">
      <w:pPr>
        <w:jc w:val="both"/>
      </w:pPr>
      <w:proofErr w:type="spellStart"/>
      <w:proofErr w:type="gramStart"/>
      <w:r w:rsidRPr="009C7E04">
        <w:t>Flick</w:t>
      </w:r>
      <w:proofErr w:type="spellEnd"/>
      <w:r w:rsidRPr="009C7E04">
        <w:t>(</w:t>
      </w:r>
      <w:proofErr w:type="gramEnd"/>
      <w:r w:rsidRPr="009C7E04">
        <w:t xml:space="preserve">2018), </w:t>
      </w:r>
      <w:proofErr w:type="spellStart"/>
      <w:r w:rsidRPr="009C7E04">
        <w:t>döküman</w:t>
      </w:r>
      <w:proofErr w:type="spellEnd"/>
      <w:r w:rsidRPr="009C7E04">
        <w:t xml:space="preserve"> analizinin temelinde, belgelerdeki bilgilerin organize edilmesi ve kategorize edilmesi olduğunu vurgular. </w:t>
      </w:r>
      <w:proofErr w:type="spellStart"/>
      <w:proofErr w:type="gramStart"/>
      <w:r w:rsidRPr="009C7E04">
        <w:t>Krippendorff</w:t>
      </w:r>
      <w:proofErr w:type="spellEnd"/>
      <w:r w:rsidRPr="009C7E04">
        <w:t>(</w:t>
      </w:r>
      <w:proofErr w:type="gramEnd"/>
      <w:r w:rsidRPr="009C7E04">
        <w:t xml:space="preserve">2018), içerik analizinde kategorize etme yönteminin, </w:t>
      </w:r>
      <w:proofErr w:type="spellStart"/>
      <w:r w:rsidRPr="009C7E04">
        <w:t>dökümanların</w:t>
      </w:r>
      <w:proofErr w:type="spellEnd"/>
      <w:r w:rsidRPr="009C7E04">
        <w:t xml:space="preserve"> anlamlı bir şekilde gruplandırılmasını ve yorumlanmasını sağlayan temel tekniklerden biri olduğunu belirtir. Bu doğrultuda mevcut araştırmaya dahil edilen makaleler üzerinde içerik analizi yapılmıştır. Yapılan </w:t>
      </w:r>
      <w:proofErr w:type="gramStart"/>
      <w:r w:rsidRPr="009C7E04">
        <w:t>analizlerde  okul</w:t>
      </w:r>
      <w:proofErr w:type="gramEnd"/>
      <w:r w:rsidRPr="009C7E04">
        <w:t xml:space="preserve"> temelli psikodrama uygulamalarını içeren makaleler ilkokul, ortaokul, lise ve üniversite olmak dört okul kademesine göre kategorize edilmiştir. Çünkü her okul kademesinin gelişimsel görevleri ve sorumlulukları farklılaşmaktadır (</w:t>
      </w:r>
      <w:proofErr w:type="spellStart"/>
      <w:r w:rsidRPr="009C7E04">
        <w:t>Havighurst</w:t>
      </w:r>
      <w:proofErr w:type="spellEnd"/>
      <w:r w:rsidRPr="009C7E04">
        <w:t xml:space="preserve">, 1972). Ardından dahil edilen makalelerin odaklandığı temalar detaylı bir şekilde kodlanmış; bu kodlamaların sonucunda problem odaklı ve sosyal–duygusal gelişim odaklı olmak üzere 2 kategoride toplanmasına karar verilmiştir. Ayrıca dahil edilen makalelerin odaklandığı temaların, eğitim kademelerine göre dağılımı incelenmiştir. Son olarak dahil edilen makaleler 2000-2010; 2011-2020 ve 2021-2024 yılları arasındaki dönemleri içeren üç kategoriye ayrılmıştır. On yıllık periyotlara ayrılarak yayımlanan okul temelli psikodrama uygulamalarını içeren makalelerin sayısındaki değişimi; son üç yıllık periyotta ise </w:t>
      </w:r>
      <w:proofErr w:type="spellStart"/>
      <w:r w:rsidRPr="009C7E04">
        <w:t>covid</w:t>
      </w:r>
      <w:proofErr w:type="spellEnd"/>
      <w:r w:rsidRPr="009C7E04">
        <w:t xml:space="preserve"> 19 salgınından günümüze doğru geçen süreçteki değişimi ortaya koymak amaçlanmıştır.</w:t>
      </w:r>
    </w:p>
    <w:p w14:paraId="29AC61AD" w14:textId="77777777" w:rsidR="00FA457D" w:rsidRPr="009C7E04" w:rsidRDefault="00FA457D" w:rsidP="0079785E">
      <w:pPr>
        <w:jc w:val="both"/>
      </w:pPr>
    </w:p>
    <w:p w14:paraId="552BFE4A" w14:textId="77777777" w:rsidR="00FA457D" w:rsidRPr="009C7E04" w:rsidRDefault="00FA457D" w:rsidP="0079785E">
      <w:pPr>
        <w:jc w:val="both"/>
        <w:rPr>
          <w:b/>
        </w:rPr>
      </w:pPr>
      <w:r w:rsidRPr="009C7E04">
        <w:rPr>
          <w:b/>
        </w:rPr>
        <w:t>BULGULAR</w:t>
      </w:r>
    </w:p>
    <w:p w14:paraId="13C751EC" w14:textId="77777777" w:rsidR="00FA457D" w:rsidRPr="009C7E04" w:rsidRDefault="00FA457D" w:rsidP="0079785E">
      <w:pPr>
        <w:jc w:val="both"/>
        <w:rPr>
          <w:rStyle w:val="Gl"/>
          <w:b w:val="0"/>
          <w:bCs/>
        </w:rPr>
      </w:pPr>
      <w:r w:rsidRPr="009C7E04">
        <w:t xml:space="preserve">Araştırmada ilk olarak “Okul temelli psikodrama çalışmalarının yıllara göre dağılımı nasıldır?” sorusuna yanıt aranmıştır. </w:t>
      </w:r>
      <w:proofErr w:type="gramStart"/>
      <w:r w:rsidRPr="009C7E04">
        <w:t>şekil</w:t>
      </w:r>
      <w:proofErr w:type="gramEnd"/>
      <w:r w:rsidRPr="009C7E04">
        <w:t xml:space="preserve"> 2’de makale sayıları ile makale sayılarının ortalamalarının yıllara göre dağılımına ilişkin bulgular yer almaktadır.</w:t>
      </w:r>
    </w:p>
    <w:p w14:paraId="609E99EF" w14:textId="77777777" w:rsidR="00FA457D" w:rsidRPr="009C7E04" w:rsidRDefault="00FA457D" w:rsidP="0079785E">
      <w:pPr>
        <w:pStyle w:val="NormalWeb"/>
        <w:spacing w:before="0" w:beforeAutospacing="0" w:after="0" w:afterAutospacing="0"/>
        <w:jc w:val="center"/>
        <w:rPr>
          <w:noProof/>
        </w:rPr>
      </w:pPr>
      <w:r w:rsidRPr="009C7E04">
        <w:rPr>
          <w:noProof/>
        </w:rPr>
        <w:drawing>
          <wp:inline distT="0" distB="0" distL="0" distR="0" wp14:anchorId="1F8A320E" wp14:editId="13AEF7C3">
            <wp:extent cx="4863152" cy="2396613"/>
            <wp:effectExtent l="0" t="0" r="0" b="3810"/>
            <wp:docPr id="817345960" name="Resim 817345960" descr="metin, ekran görüntüsü, yazılım, bilgisayar simges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ekran görüntüsü, yazılım, bilgisayar simgesi içeren bir resim&#10;&#10;Yapay zeka tarafından oluşturulan içerik yanlış olabilir."/>
                    <pic:cNvPicPr/>
                  </pic:nvPicPr>
                  <pic:blipFill rotWithShape="1">
                    <a:blip r:embed="rId304"/>
                    <a:srcRect l="33595" t="19908" r="18227" b="26080"/>
                    <a:stretch/>
                  </pic:blipFill>
                  <pic:spPr bwMode="auto">
                    <a:xfrm>
                      <a:off x="0" y="0"/>
                      <a:ext cx="4867930" cy="2398968"/>
                    </a:xfrm>
                    <a:prstGeom prst="rect">
                      <a:avLst/>
                    </a:prstGeom>
                    <a:ln>
                      <a:noFill/>
                    </a:ln>
                    <a:extLst>
                      <a:ext uri="{53640926-AAD7-44D8-BBD7-CCE9431645EC}">
                        <a14:shadowObscured xmlns:a14="http://schemas.microsoft.com/office/drawing/2010/main"/>
                      </a:ext>
                    </a:extLst>
                  </pic:spPr>
                </pic:pic>
              </a:graphicData>
            </a:graphic>
          </wp:inline>
        </w:drawing>
      </w:r>
    </w:p>
    <w:p w14:paraId="3F843F70" w14:textId="658D6B51" w:rsidR="00FA457D" w:rsidRPr="009C7E04" w:rsidRDefault="00FA457D" w:rsidP="0079785E">
      <w:pPr>
        <w:pStyle w:val="NormalWeb"/>
        <w:spacing w:before="0" w:beforeAutospacing="0" w:after="0" w:afterAutospacing="0"/>
        <w:jc w:val="both"/>
        <w:rPr>
          <w:rStyle w:val="Gl"/>
          <w:rFonts w:eastAsiaTheme="majorEastAsia"/>
          <w:b w:val="0"/>
          <w:bCs/>
          <w:noProof/>
        </w:rPr>
      </w:pPr>
      <w:proofErr w:type="spellStart"/>
      <w:r w:rsidRPr="009C7E04">
        <w:rPr>
          <w:rStyle w:val="Gl"/>
          <w:rFonts w:eastAsia="Calibri"/>
          <w:sz w:val="14"/>
        </w:rPr>
        <w:t>Şekil</w:t>
      </w:r>
      <w:proofErr w:type="spellEnd"/>
      <w:r w:rsidRPr="009C7E04">
        <w:rPr>
          <w:rStyle w:val="Gl"/>
          <w:rFonts w:eastAsia="Calibri"/>
          <w:sz w:val="14"/>
        </w:rPr>
        <w:t xml:space="preserve"> </w:t>
      </w:r>
      <w:proofErr w:type="gramStart"/>
      <w:r w:rsidRPr="009C7E04">
        <w:rPr>
          <w:rStyle w:val="Gl"/>
          <w:rFonts w:eastAsia="Calibri"/>
          <w:sz w:val="14"/>
        </w:rPr>
        <w:t>2.Yıllara</w:t>
      </w:r>
      <w:proofErr w:type="gramEnd"/>
      <w:r w:rsidRPr="009C7E04">
        <w:rPr>
          <w:rStyle w:val="Gl"/>
          <w:rFonts w:eastAsia="Calibri"/>
          <w:sz w:val="14"/>
        </w:rPr>
        <w:t xml:space="preserve"> </w:t>
      </w:r>
      <w:proofErr w:type="spellStart"/>
      <w:r w:rsidRPr="009C7E04">
        <w:rPr>
          <w:rStyle w:val="Gl"/>
          <w:rFonts w:eastAsia="Calibri"/>
          <w:sz w:val="14"/>
        </w:rPr>
        <w:t>göre</w:t>
      </w:r>
      <w:proofErr w:type="spellEnd"/>
      <w:r w:rsidRPr="009C7E04">
        <w:rPr>
          <w:rStyle w:val="Gl"/>
          <w:rFonts w:eastAsia="Calibri"/>
          <w:sz w:val="14"/>
        </w:rPr>
        <w:t xml:space="preserve"> </w:t>
      </w:r>
      <w:proofErr w:type="spellStart"/>
      <w:r w:rsidRPr="009C7E04">
        <w:rPr>
          <w:rStyle w:val="Gl"/>
          <w:rFonts w:eastAsia="Calibri"/>
          <w:sz w:val="14"/>
        </w:rPr>
        <w:t>makale</w:t>
      </w:r>
      <w:proofErr w:type="spellEnd"/>
      <w:r w:rsidRPr="009C7E04">
        <w:rPr>
          <w:rStyle w:val="Gl"/>
          <w:rFonts w:eastAsia="Calibri"/>
          <w:sz w:val="14"/>
        </w:rPr>
        <w:t xml:space="preserve"> </w:t>
      </w:r>
      <w:proofErr w:type="spellStart"/>
      <w:r w:rsidRPr="009C7E04">
        <w:rPr>
          <w:rStyle w:val="Gl"/>
          <w:rFonts w:eastAsia="Calibri"/>
          <w:sz w:val="14"/>
        </w:rPr>
        <w:t>sayıları</w:t>
      </w:r>
      <w:proofErr w:type="spellEnd"/>
      <w:r w:rsidRPr="009C7E04">
        <w:rPr>
          <w:rStyle w:val="Gl"/>
          <w:rFonts w:eastAsia="Calibri"/>
          <w:sz w:val="14"/>
        </w:rPr>
        <w:t xml:space="preserve"> </w:t>
      </w:r>
      <w:proofErr w:type="spellStart"/>
      <w:r w:rsidRPr="009C7E04">
        <w:rPr>
          <w:rStyle w:val="Gl"/>
          <w:rFonts w:eastAsia="Calibri"/>
          <w:sz w:val="14"/>
        </w:rPr>
        <w:t>ve</w:t>
      </w:r>
      <w:proofErr w:type="spellEnd"/>
      <w:r w:rsidRPr="009C7E04">
        <w:rPr>
          <w:rStyle w:val="Gl"/>
          <w:rFonts w:eastAsia="Calibri"/>
          <w:sz w:val="14"/>
        </w:rPr>
        <w:t xml:space="preserve"> </w:t>
      </w:r>
      <w:proofErr w:type="spellStart"/>
      <w:r w:rsidRPr="009C7E04">
        <w:rPr>
          <w:rStyle w:val="Gl"/>
          <w:rFonts w:eastAsia="Calibri"/>
          <w:sz w:val="14"/>
        </w:rPr>
        <w:t>ortalama</w:t>
      </w:r>
      <w:proofErr w:type="spellEnd"/>
      <w:r w:rsidRPr="009C7E04">
        <w:rPr>
          <w:rStyle w:val="Gl"/>
          <w:rFonts w:eastAsia="Calibri"/>
          <w:sz w:val="14"/>
        </w:rPr>
        <w:t xml:space="preserve"> </w:t>
      </w:r>
      <w:proofErr w:type="spellStart"/>
      <w:r w:rsidRPr="009C7E04">
        <w:rPr>
          <w:rStyle w:val="Gl"/>
          <w:rFonts w:eastAsia="Calibri"/>
          <w:sz w:val="14"/>
        </w:rPr>
        <w:t>makale</w:t>
      </w:r>
      <w:proofErr w:type="spellEnd"/>
      <w:r w:rsidRPr="009C7E04">
        <w:rPr>
          <w:rStyle w:val="Gl"/>
          <w:rFonts w:eastAsia="Calibri"/>
          <w:sz w:val="14"/>
        </w:rPr>
        <w:t xml:space="preserve"> </w:t>
      </w:r>
      <w:proofErr w:type="spellStart"/>
      <w:r w:rsidRPr="009C7E04">
        <w:rPr>
          <w:rStyle w:val="Gl"/>
          <w:rFonts w:eastAsia="Calibri"/>
          <w:sz w:val="14"/>
        </w:rPr>
        <w:t>sayısı</w:t>
      </w:r>
      <w:proofErr w:type="spellEnd"/>
    </w:p>
    <w:p w14:paraId="4F828ED1" w14:textId="77777777" w:rsidR="00FA457D" w:rsidRPr="009C7E04" w:rsidRDefault="00FA457D" w:rsidP="0079785E">
      <w:pPr>
        <w:pStyle w:val="NormalWeb"/>
        <w:spacing w:before="0" w:beforeAutospacing="0" w:after="0" w:afterAutospacing="0"/>
        <w:jc w:val="both"/>
      </w:pPr>
    </w:p>
    <w:p w14:paraId="5EADCDAD" w14:textId="77777777" w:rsidR="00FA457D" w:rsidRPr="009C7E04" w:rsidRDefault="00FA457D" w:rsidP="0079785E">
      <w:pPr>
        <w:jc w:val="both"/>
      </w:pPr>
      <w:r w:rsidRPr="009C7E04">
        <w:t xml:space="preserve">Şekil 2’de görüldüğü üzere 2000-2010 yılları arasında yayımlanan toplam 5 makaleye ulaşılmıştır. Yıllık ortalama makale sayısı ise </w:t>
      </w:r>
      <w:proofErr w:type="gramStart"/>
      <w:r w:rsidRPr="009C7E04">
        <w:t>0.50</w:t>
      </w:r>
      <w:proofErr w:type="gramEnd"/>
      <w:r w:rsidRPr="009C7E04">
        <w:t xml:space="preserve"> olarak hesaplanmıştır. Ancak 2011-2020 yılları arasında belirgin bir artış yaşanmış ve bu dönemde yayımlanan toplam 27 makaleye ulaşılmıştır. Yıllık ortalama makale sayısı ise </w:t>
      </w:r>
      <w:proofErr w:type="gramStart"/>
      <w:r w:rsidRPr="009C7E04">
        <w:t>2.70</w:t>
      </w:r>
      <w:proofErr w:type="gramEnd"/>
      <w:r w:rsidRPr="009C7E04">
        <w:t xml:space="preserve"> olarak hesaplanmıştır. Bu artış 2021-2024 yılları arasında da devam etmiştir, bu dönemde yayımlanan toplam 19 makale ulaşılmıştır.  Yıllık ortalama makale sayısı ise </w:t>
      </w:r>
      <w:proofErr w:type="gramStart"/>
      <w:r w:rsidRPr="009C7E04">
        <w:t>4.75</w:t>
      </w:r>
      <w:proofErr w:type="gramEnd"/>
      <w:r w:rsidRPr="009C7E04">
        <w:t xml:space="preserve"> olarak hesaplanmıştır. Araştırmada ikinci olarak “Okul temelli psikodrama çalışmalarının odaklandığı temaların eğitim kademelerine </w:t>
      </w:r>
      <w:proofErr w:type="gramStart"/>
      <w:r w:rsidRPr="009C7E04">
        <w:t xml:space="preserve">göre  </w:t>
      </w:r>
      <w:r w:rsidRPr="009C7E04">
        <w:rPr>
          <w:rStyle w:val="Gl"/>
          <w:rFonts w:eastAsiaTheme="majorEastAsia"/>
        </w:rPr>
        <w:t>dağılımı</w:t>
      </w:r>
      <w:proofErr w:type="gramEnd"/>
      <w:r w:rsidRPr="009C7E04">
        <w:rPr>
          <w:rStyle w:val="Gl"/>
          <w:rFonts w:eastAsiaTheme="majorEastAsia"/>
        </w:rPr>
        <w:t xml:space="preserve"> </w:t>
      </w:r>
      <w:r w:rsidRPr="009C7E04">
        <w:rPr>
          <w:rStyle w:val="Gl"/>
          <w:rFonts w:eastAsiaTheme="majorEastAsia"/>
        </w:rPr>
        <w:lastRenderedPageBreak/>
        <w:t>nasıldır?</w:t>
      </w:r>
      <w:r w:rsidRPr="009C7E04">
        <w:t xml:space="preserve">” sorusuna yanıt aranmıştır. Tablo 2 ve şekil </w:t>
      </w:r>
      <w:proofErr w:type="gramStart"/>
      <w:r w:rsidRPr="009C7E04">
        <w:t>3’de</w:t>
      </w:r>
      <w:proofErr w:type="gramEnd"/>
      <w:r w:rsidRPr="009C7E04">
        <w:t xml:space="preserve"> Okul temelli psikodrama çalışmalarının odaklandığı temalar ile bu temaların eğitim kademelerine göre dağılımına ilişkin bulgular yer almaktadır.</w:t>
      </w:r>
    </w:p>
    <w:p w14:paraId="4CB85950" w14:textId="77777777" w:rsidR="00FA457D" w:rsidRPr="009C7E04" w:rsidRDefault="00FA457D" w:rsidP="0079785E">
      <w:pPr>
        <w:jc w:val="both"/>
      </w:pPr>
    </w:p>
    <w:p w14:paraId="57472861" w14:textId="77777777" w:rsidR="00FA457D" w:rsidRPr="009C7E04" w:rsidRDefault="00FA457D" w:rsidP="0079785E">
      <w:pPr>
        <w:pStyle w:val="NormalWeb"/>
        <w:spacing w:before="0" w:beforeAutospacing="0" w:after="0" w:afterAutospacing="0"/>
        <w:jc w:val="both"/>
        <w:rPr>
          <w:b/>
        </w:rPr>
      </w:pPr>
    </w:p>
    <w:p w14:paraId="5FE4F4AB" w14:textId="77777777" w:rsidR="00FA457D" w:rsidRPr="009C7E04" w:rsidRDefault="00FA457D" w:rsidP="0079785E">
      <w:pPr>
        <w:pStyle w:val="NormalWeb"/>
        <w:spacing w:before="0" w:beforeAutospacing="0" w:after="0" w:afterAutospacing="0"/>
        <w:jc w:val="both"/>
        <w:rPr>
          <w:b/>
        </w:rPr>
      </w:pPr>
      <w:r w:rsidRPr="009C7E04">
        <w:rPr>
          <w:b/>
        </w:rPr>
        <w:t xml:space="preserve">Tablo 2. </w:t>
      </w:r>
      <w:proofErr w:type="spellStart"/>
      <w:r w:rsidRPr="009C7E04">
        <w:rPr>
          <w:b/>
        </w:rPr>
        <w:t>Bağımlı</w:t>
      </w:r>
      <w:proofErr w:type="spellEnd"/>
      <w:r w:rsidRPr="009C7E04">
        <w:rPr>
          <w:b/>
        </w:rPr>
        <w:t xml:space="preserve"> </w:t>
      </w:r>
      <w:proofErr w:type="spellStart"/>
      <w:r w:rsidRPr="009C7E04">
        <w:rPr>
          <w:b/>
        </w:rPr>
        <w:t>değişkenlerin</w:t>
      </w:r>
      <w:proofErr w:type="spellEnd"/>
      <w:r w:rsidRPr="009C7E04">
        <w:rPr>
          <w:b/>
        </w:rPr>
        <w:t xml:space="preserve"> </w:t>
      </w:r>
      <w:proofErr w:type="spellStart"/>
      <w:r w:rsidRPr="009C7E04">
        <w:rPr>
          <w:b/>
        </w:rPr>
        <w:t>eğitim</w:t>
      </w:r>
      <w:proofErr w:type="spellEnd"/>
      <w:r w:rsidRPr="009C7E04">
        <w:rPr>
          <w:b/>
        </w:rPr>
        <w:t xml:space="preserve"> </w:t>
      </w:r>
      <w:proofErr w:type="spellStart"/>
      <w:r w:rsidRPr="009C7E04">
        <w:rPr>
          <w:b/>
        </w:rPr>
        <w:t>kademelerine</w:t>
      </w:r>
      <w:proofErr w:type="spellEnd"/>
      <w:r w:rsidRPr="009C7E04">
        <w:rPr>
          <w:b/>
        </w:rPr>
        <w:t xml:space="preserve"> </w:t>
      </w:r>
      <w:proofErr w:type="spellStart"/>
      <w:r w:rsidRPr="009C7E04">
        <w:rPr>
          <w:b/>
        </w:rPr>
        <w:t>göre</w:t>
      </w:r>
      <w:proofErr w:type="spellEnd"/>
      <w:r w:rsidRPr="009C7E04">
        <w:rPr>
          <w:b/>
        </w:rPr>
        <w:t xml:space="preserve"> </w:t>
      </w:r>
      <w:proofErr w:type="spellStart"/>
      <w:r w:rsidRPr="009C7E04">
        <w:rPr>
          <w:rStyle w:val="Gl"/>
          <w:rFonts w:eastAsiaTheme="majorEastAsia"/>
        </w:rPr>
        <w:t>dağılımı</w:t>
      </w:r>
      <w:proofErr w:type="spellEnd"/>
    </w:p>
    <w:tbl>
      <w:tblPr>
        <w:tblW w:w="967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
        <w:gridCol w:w="2591"/>
        <w:gridCol w:w="4655"/>
        <w:gridCol w:w="627"/>
        <w:gridCol w:w="835"/>
      </w:tblGrid>
      <w:tr w:rsidR="00FA457D" w:rsidRPr="009C7E04" w14:paraId="273EA12C" w14:textId="77777777" w:rsidTr="000610DA">
        <w:tc>
          <w:tcPr>
            <w:tcW w:w="964" w:type="dxa"/>
          </w:tcPr>
          <w:p w14:paraId="6D8B1F62" w14:textId="77777777" w:rsidR="00FA457D" w:rsidRPr="009C7E04" w:rsidRDefault="00FA457D" w:rsidP="0079785E">
            <w:pPr>
              <w:pBdr>
                <w:top w:val="nil"/>
                <w:left w:val="nil"/>
                <w:bottom w:val="nil"/>
                <w:right w:val="nil"/>
                <w:between w:val="nil"/>
              </w:pBdr>
              <w:rPr>
                <w:b/>
                <w:sz w:val="16"/>
                <w:szCs w:val="16"/>
              </w:rPr>
            </w:pPr>
            <w:r w:rsidRPr="009C7E04">
              <w:rPr>
                <w:b/>
                <w:sz w:val="16"/>
                <w:szCs w:val="16"/>
              </w:rPr>
              <w:t>Kademe türü</w:t>
            </w:r>
          </w:p>
        </w:tc>
        <w:tc>
          <w:tcPr>
            <w:tcW w:w="2591" w:type="dxa"/>
          </w:tcPr>
          <w:p w14:paraId="0D3FD596" w14:textId="7D5AFE94" w:rsidR="00FA457D" w:rsidRPr="009C7E04" w:rsidRDefault="00FA457D" w:rsidP="0079785E">
            <w:pPr>
              <w:pBdr>
                <w:top w:val="nil"/>
                <w:left w:val="nil"/>
                <w:bottom w:val="nil"/>
                <w:right w:val="nil"/>
                <w:between w:val="nil"/>
              </w:pBdr>
              <w:rPr>
                <w:b/>
                <w:sz w:val="16"/>
                <w:szCs w:val="16"/>
              </w:rPr>
            </w:pPr>
            <w:r w:rsidRPr="009C7E04">
              <w:rPr>
                <w:b/>
                <w:sz w:val="16"/>
                <w:szCs w:val="16"/>
              </w:rPr>
              <w:t>Makalenin odaklandığı kategori</w:t>
            </w:r>
          </w:p>
        </w:tc>
        <w:tc>
          <w:tcPr>
            <w:tcW w:w="4655" w:type="dxa"/>
          </w:tcPr>
          <w:p w14:paraId="64F18D05"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Bağımlı değişkenler</w:t>
            </w:r>
          </w:p>
        </w:tc>
        <w:tc>
          <w:tcPr>
            <w:tcW w:w="627" w:type="dxa"/>
          </w:tcPr>
          <w:p w14:paraId="21BBD521" w14:textId="77777777" w:rsidR="00FA457D" w:rsidRPr="009C7E04" w:rsidRDefault="00FA457D" w:rsidP="0079785E">
            <w:pPr>
              <w:pBdr>
                <w:top w:val="nil"/>
                <w:left w:val="nil"/>
                <w:bottom w:val="nil"/>
                <w:right w:val="nil"/>
                <w:between w:val="nil"/>
              </w:pBdr>
              <w:rPr>
                <w:b/>
                <w:sz w:val="18"/>
                <w:szCs w:val="18"/>
              </w:rPr>
            </w:pPr>
            <w:proofErr w:type="gramStart"/>
            <w:r w:rsidRPr="009C7E04">
              <w:rPr>
                <w:b/>
                <w:sz w:val="18"/>
                <w:szCs w:val="18"/>
              </w:rPr>
              <w:t>f</w:t>
            </w:r>
            <w:proofErr w:type="gramEnd"/>
          </w:p>
        </w:tc>
        <w:tc>
          <w:tcPr>
            <w:tcW w:w="835" w:type="dxa"/>
          </w:tcPr>
          <w:p w14:paraId="3DEC2470" w14:textId="77777777" w:rsidR="00FA457D" w:rsidRPr="009C7E04" w:rsidRDefault="00FA457D" w:rsidP="0079785E">
            <w:pPr>
              <w:pBdr>
                <w:top w:val="nil"/>
                <w:left w:val="nil"/>
                <w:bottom w:val="nil"/>
                <w:right w:val="nil"/>
                <w:between w:val="nil"/>
              </w:pBdr>
              <w:rPr>
                <w:b/>
                <w:sz w:val="18"/>
                <w:szCs w:val="18"/>
              </w:rPr>
            </w:pPr>
            <w:proofErr w:type="gramStart"/>
            <w:r w:rsidRPr="009C7E04">
              <w:rPr>
                <w:b/>
                <w:sz w:val="18"/>
                <w:szCs w:val="18"/>
              </w:rPr>
              <w:t>Yayın  sayısı</w:t>
            </w:r>
            <w:proofErr w:type="gramEnd"/>
          </w:p>
        </w:tc>
      </w:tr>
      <w:tr w:rsidR="00FA457D" w:rsidRPr="009C7E04" w14:paraId="59718694" w14:textId="77777777" w:rsidTr="000610DA">
        <w:trPr>
          <w:trHeight w:val="336"/>
        </w:trPr>
        <w:tc>
          <w:tcPr>
            <w:tcW w:w="964" w:type="dxa"/>
            <w:vMerge w:val="restart"/>
          </w:tcPr>
          <w:p w14:paraId="28B9EF93" w14:textId="26E57325" w:rsidR="00FA457D" w:rsidRPr="009C7E04" w:rsidRDefault="00FA457D" w:rsidP="0079785E">
            <w:pPr>
              <w:pBdr>
                <w:top w:val="nil"/>
                <w:left w:val="nil"/>
                <w:bottom w:val="nil"/>
                <w:right w:val="nil"/>
                <w:between w:val="nil"/>
              </w:pBdr>
              <w:rPr>
                <w:b/>
                <w:sz w:val="16"/>
                <w:szCs w:val="16"/>
              </w:rPr>
            </w:pPr>
            <w:bookmarkStart w:id="242" w:name="_heading=h.30j0zll" w:colFirst="0" w:colLast="0"/>
            <w:bookmarkEnd w:id="242"/>
            <w:r w:rsidRPr="009C7E04">
              <w:rPr>
                <w:b/>
                <w:sz w:val="16"/>
                <w:szCs w:val="16"/>
              </w:rPr>
              <w:t>İlkokul</w:t>
            </w:r>
          </w:p>
        </w:tc>
        <w:tc>
          <w:tcPr>
            <w:tcW w:w="2591" w:type="dxa"/>
            <w:vMerge w:val="restart"/>
          </w:tcPr>
          <w:p w14:paraId="0028A509" w14:textId="77777777" w:rsidR="00FA457D" w:rsidRPr="009C7E04" w:rsidRDefault="00FA457D" w:rsidP="0079785E">
            <w:pPr>
              <w:pBdr>
                <w:top w:val="nil"/>
                <w:left w:val="nil"/>
                <w:bottom w:val="nil"/>
                <w:right w:val="nil"/>
                <w:between w:val="nil"/>
              </w:pBdr>
              <w:rPr>
                <w:sz w:val="16"/>
                <w:szCs w:val="16"/>
              </w:rPr>
            </w:pPr>
            <w:r w:rsidRPr="009C7E04">
              <w:rPr>
                <w:sz w:val="16"/>
                <w:szCs w:val="16"/>
              </w:rPr>
              <w:t>Problem odaklı</w:t>
            </w:r>
          </w:p>
        </w:tc>
        <w:tc>
          <w:tcPr>
            <w:tcW w:w="4655" w:type="dxa"/>
            <w:tcBorders>
              <w:top w:val="single" w:sz="4" w:space="0" w:color="auto"/>
              <w:bottom w:val="single" w:sz="4" w:space="0" w:color="auto"/>
            </w:tcBorders>
          </w:tcPr>
          <w:p w14:paraId="324FFA73" w14:textId="77777777" w:rsidR="00FA457D" w:rsidRPr="009C7E04" w:rsidRDefault="00FA457D" w:rsidP="0079785E">
            <w:pPr>
              <w:pBdr>
                <w:top w:val="nil"/>
                <w:left w:val="nil"/>
                <w:bottom w:val="nil"/>
                <w:right w:val="nil"/>
                <w:between w:val="nil"/>
              </w:pBdr>
              <w:rPr>
                <w:sz w:val="18"/>
                <w:szCs w:val="18"/>
              </w:rPr>
            </w:pPr>
            <w:r w:rsidRPr="009C7E04">
              <w:rPr>
                <w:sz w:val="18"/>
                <w:szCs w:val="18"/>
              </w:rPr>
              <w:t>TSSB semptomları (</w:t>
            </w:r>
            <w:proofErr w:type="spellStart"/>
            <w:r w:rsidRPr="009C7E04">
              <w:rPr>
                <w:sz w:val="18"/>
                <w:szCs w:val="18"/>
              </w:rPr>
              <w:t>Hamidi</w:t>
            </w:r>
            <w:proofErr w:type="spellEnd"/>
            <w:r w:rsidRPr="009C7E04">
              <w:rPr>
                <w:sz w:val="18"/>
                <w:szCs w:val="18"/>
              </w:rPr>
              <w:t xml:space="preserve"> ve </w:t>
            </w:r>
            <w:proofErr w:type="spellStart"/>
            <w:r w:rsidRPr="009C7E04">
              <w:rPr>
                <w:sz w:val="18"/>
                <w:szCs w:val="18"/>
              </w:rPr>
              <w:t>Sobhani</w:t>
            </w:r>
            <w:proofErr w:type="spellEnd"/>
            <w:r w:rsidRPr="009C7E04">
              <w:rPr>
                <w:sz w:val="18"/>
                <w:szCs w:val="18"/>
              </w:rPr>
              <w:t xml:space="preserve"> </w:t>
            </w:r>
            <w:proofErr w:type="spellStart"/>
            <w:r w:rsidRPr="009C7E04">
              <w:rPr>
                <w:sz w:val="18"/>
                <w:szCs w:val="18"/>
              </w:rPr>
              <w:t>Tabar</w:t>
            </w:r>
            <w:proofErr w:type="spellEnd"/>
            <w:r w:rsidRPr="009C7E04">
              <w:rPr>
                <w:sz w:val="18"/>
                <w:szCs w:val="18"/>
              </w:rPr>
              <w:t xml:space="preserve"> 2021)</w:t>
            </w:r>
          </w:p>
        </w:tc>
        <w:tc>
          <w:tcPr>
            <w:tcW w:w="627" w:type="dxa"/>
            <w:tcBorders>
              <w:top w:val="single" w:sz="4" w:space="0" w:color="auto"/>
              <w:bottom w:val="single" w:sz="4" w:space="0" w:color="auto"/>
            </w:tcBorders>
          </w:tcPr>
          <w:p w14:paraId="4147DFC0"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val="restart"/>
          </w:tcPr>
          <w:p w14:paraId="7D5FA608"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3</w:t>
            </w:r>
          </w:p>
        </w:tc>
      </w:tr>
      <w:tr w:rsidR="00FA457D" w:rsidRPr="009C7E04" w14:paraId="23E48F67" w14:textId="77777777" w:rsidTr="000610DA">
        <w:trPr>
          <w:trHeight w:val="276"/>
        </w:trPr>
        <w:tc>
          <w:tcPr>
            <w:tcW w:w="964" w:type="dxa"/>
            <w:vMerge/>
          </w:tcPr>
          <w:p w14:paraId="7344B766" w14:textId="77777777" w:rsidR="00FA457D" w:rsidRPr="009C7E04" w:rsidRDefault="00FA457D" w:rsidP="0079785E">
            <w:pPr>
              <w:pBdr>
                <w:top w:val="nil"/>
                <w:left w:val="nil"/>
                <w:bottom w:val="nil"/>
                <w:right w:val="nil"/>
                <w:between w:val="nil"/>
              </w:pBdr>
              <w:rPr>
                <w:b/>
                <w:sz w:val="16"/>
                <w:szCs w:val="16"/>
              </w:rPr>
            </w:pPr>
          </w:p>
        </w:tc>
        <w:tc>
          <w:tcPr>
            <w:tcW w:w="2591" w:type="dxa"/>
            <w:vMerge/>
          </w:tcPr>
          <w:p w14:paraId="2E3CC9E1"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6D198019" w14:textId="77777777" w:rsidR="00FA457D" w:rsidRPr="009C7E04" w:rsidRDefault="00FA457D" w:rsidP="0079785E">
            <w:pPr>
              <w:pBdr>
                <w:top w:val="nil"/>
                <w:left w:val="nil"/>
                <w:bottom w:val="nil"/>
                <w:right w:val="nil"/>
                <w:between w:val="nil"/>
              </w:pBdr>
              <w:rPr>
                <w:sz w:val="18"/>
                <w:szCs w:val="18"/>
              </w:rPr>
            </w:pPr>
            <w:r w:rsidRPr="009C7E04">
              <w:rPr>
                <w:sz w:val="18"/>
                <w:szCs w:val="18"/>
              </w:rPr>
              <w:t xml:space="preserve">İhmal İstismar(önleyici) </w:t>
            </w:r>
            <w:proofErr w:type="spellStart"/>
            <w:r w:rsidRPr="009C7E04">
              <w:rPr>
                <w:sz w:val="18"/>
                <w:szCs w:val="18"/>
              </w:rPr>
              <w:t>Sabola</w:t>
            </w:r>
            <w:proofErr w:type="spellEnd"/>
            <w:r w:rsidRPr="009C7E04">
              <w:rPr>
                <w:sz w:val="18"/>
                <w:szCs w:val="18"/>
              </w:rPr>
              <w:t xml:space="preserve"> vd., 2020</w:t>
            </w:r>
          </w:p>
        </w:tc>
        <w:tc>
          <w:tcPr>
            <w:tcW w:w="627" w:type="dxa"/>
            <w:tcBorders>
              <w:top w:val="single" w:sz="4" w:space="0" w:color="auto"/>
              <w:bottom w:val="single" w:sz="4" w:space="0" w:color="auto"/>
            </w:tcBorders>
          </w:tcPr>
          <w:p w14:paraId="0654243D"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64FEF407" w14:textId="77777777" w:rsidR="00FA457D" w:rsidRPr="009C7E04" w:rsidRDefault="00FA457D" w:rsidP="0079785E">
            <w:pPr>
              <w:pBdr>
                <w:top w:val="nil"/>
                <w:left w:val="nil"/>
                <w:bottom w:val="nil"/>
                <w:right w:val="nil"/>
                <w:between w:val="nil"/>
              </w:pBdr>
              <w:rPr>
                <w:b/>
                <w:sz w:val="18"/>
                <w:szCs w:val="18"/>
              </w:rPr>
            </w:pPr>
          </w:p>
        </w:tc>
      </w:tr>
      <w:tr w:rsidR="00FA457D" w:rsidRPr="009C7E04" w14:paraId="10EC762B" w14:textId="77777777" w:rsidTr="000610DA">
        <w:trPr>
          <w:trHeight w:val="192"/>
        </w:trPr>
        <w:tc>
          <w:tcPr>
            <w:tcW w:w="964" w:type="dxa"/>
            <w:vMerge/>
          </w:tcPr>
          <w:p w14:paraId="125E3A9D" w14:textId="77777777" w:rsidR="00FA457D" w:rsidRPr="009C7E04" w:rsidRDefault="00FA457D" w:rsidP="0079785E">
            <w:pPr>
              <w:pBdr>
                <w:top w:val="nil"/>
                <w:left w:val="nil"/>
                <w:bottom w:val="nil"/>
                <w:right w:val="nil"/>
                <w:between w:val="nil"/>
              </w:pBdr>
              <w:rPr>
                <w:b/>
                <w:sz w:val="16"/>
                <w:szCs w:val="16"/>
              </w:rPr>
            </w:pPr>
          </w:p>
        </w:tc>
        <w:tc>
          <w:tcPr>
            <w:tcW w:w="2591" w:type="dxa"/>
            <w:vMerge/>
          </w:tcPr>
          <w:p w14:paraId="43FB447E"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197F7D1A" w14:textId="77777777" w:rsidR="00FA457D" w:rsidRPr="009C7E04" w:rsidRDefault="00FA457D" w:rsidP="0079785E">
            <w:pPr>
              <w:pBdr>
                <w:top w:val="nil"/>
                <w:left w:val="nil"/>
                <w:bottom w:val="nil"/>
                <w:right w:val="nil"/>
                <w:between w:val="nil"/>
              </w:pBdr>
              <w:rPr>
                <w:sz w:val="18"/>
                <w:szCs w:val="18"/>
              </w:rPr>
            </w:pPr>
            <w:r w:rsidRPr="009C7E04">
              <w:rPr>
                <w:sz w:val="18"/>
                <w:szCs w:val="18"/>
              </w:rPr>
              <w:t xml:space="preserve">Akademik başarısızlık, yıkıcı </w:t>
            </w:r>
            <w:proofErr w:type="gramStart"/>
            <w:r w:rsidRPr="009C7E04">
              <w:rPr>
                <w:sz w:val="18"/>
                <w:szCs w:val="18"/>
              </w:rPr>
              <w:t>davranışlar(</w:t>
            </w:r>
            <w:proofErr w:type="gramEnd"/>
            <w:r w:rsidRPr="009C7E04">
              <w:rPr>
                <w:sz w:val="18"/>
                <w:szCs w:val="18"/>
              </w:rPr>
              <w:t>Abu Saba 2022)</w:t>
            </w:r>
          </w:p>
        </w:tc>
        <w:tc>
          <w:tcPr>
            <w:tcW w:w="627" w:type="dxa"/>
            <w:tcBorders>
              <w:top w:val="single" w:sz="4" w:space="0" w:color="auto"/>
              <w:bottom w:val="single" w:sz="4" w:space="0" w:color="auto"/>
            </w:tcBorders>
          </w:tcPr>
          <w:p w14:paraId="4AEF146E"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50EF8C76" w14:textId="77777777" w:rsidR="00FA457D" w:rsidRPr="009C7E04" w:rsidRDefault="00FA457D" w:rsidP="0079785E">
            <w:pPr>
              <w:pBdr>
                <w:top w:val="nil"/>
                <w:left w:val="nil"/>
                <w:bottom w:val="nil"/>
                <w:right w:val="nil"/>
                <w:between w:val="nil"/>
              </w:pBdr>
              <w:rPr>
                <w:b/>
                <w:sz w:val="18"/>
                <w:szCs w:val="18"/>
              </w:rPr>
            </w:pPr>
          </w:p>
        </w:tc>
      </w:tr>
      <w:tr w:rsidR="00FA457D" w:rsidRPr="009C7E04" w14:paraId="78A7D1FB" w14:textId="77777777" w:rsidTr="000610DA">
        <w:trPr>
          <w:trHeight w:val="362"/>
        </w:trPr>
        <w:tc>
          <w:tcPr>
            <w:tcW w:w="964" w:type="dxa"/>
            <w:vMerge/>
            <w:tcBorders>
              <w:bottom w:val="single" w:sz="4" w:space="0" w:color="auto"/>
            </w:tcBorders>
          </w:tcPr>
          <w:p w14:paraId="5A7E074B" w14:textId="77777777" w:rsidR="00FA457D" w:rsidRPr="009C7E04" w:rsidRDefault="00FA457D" w:rsidP="0079785E">
            <w:pPr>
              <w:pBdr>
                <w:top w:val="nil"/>
                <w:left w:val="nil"/>
                <w:bottom w:val="nil"/>
                <w:right w:val="nil"/>
                <w:between w:val="nil"/>
              </w:pBdr>
              <w:rPr>
                <w:sz w:val="16"/>
                <w:szCs w:val="16"/>
              </w:rPr>
            </w:pPr>
          </w:p>
        </w:tc>
        <w:tc>
          <w:tcPr>
            <w:tcW w:w="2591" w:type="dxa"/>
            <w:tcBorders>
              <w:bottom w:val="single" w:sz="4" w:space="0" w:color="auto"/>
            </w:tcBorders>
          </w:tcPr>
          <w:p w14:paraId="2FEAA083" w14:textId="4B7F2430" w:rsidR="00FA457D" w:rsidRPr="009C7E04" w:rsidRDefault="00FA457D" w:rsidP="0079785E">
            <w:pPr>
              <w:pBdr>
                <w:top w:val="nil"/>
                <w:left w:val="nil"/>
                <w:bottom w:val="nil"/>
                <w:right w:val="nil"/>
                <w:between w:val="nil"/>
              </w:pBdr>
              <w:rPr>
                <w:sz w:val="16"/>
                <w:szCs w:val="16"/>
              </w:rPr>
            </w:pPr>
            <w:r w:rsidRPr="009C7E04">
              <w:rPr>
                <w:sz w:val="16"/>
                <w:szCs w:val="16"/>
              </w:rPr>
              <w:t>Sosyal-Duygusal gelişim odaklı</w:t>
            </w:r>
          </w:p>
        </w:tc>
        <w:tc>
          <w:tcPr>
            <w:tcW w:w="4655" w:type="dxa"/>
          </w:tcPr>
          <w:p w14:paraId="571C9A61" w14:textId="77777777" w:rsidR="00FA457D" w:rsidRPr="009C7E04" w:rsidRDefault="00FA457D" w:rsidP="0079785E">
            <w:pPr>
              <w:pBdr>
                <w:top w:val="nil"/>
                <w:left w:val="nil"/>
                <w:bottom w:val="nil"/>
                <w:right w:val="nil"/>
                <w:between w:val="nil"/>
              </w:pBdr>
              <w:rPr>
                <w:sz w:val="18"/>
                <w:szCs w:val="18"/>
              </w:rPr>
            </w:pPr>
            <w:r w:rsidRPr="009C7E04">
              <w:rPr>
                <w:sz w:val="18"/>
                <w:szCs w:val="18"/>
              </w:rPr>
              <w:t>Duygu düzenleme (</w:t>
            </w:r>
            <w:proofErr w:type="spellStart"/>
            <w:r w:rsidRPr="009C7E04">
              <w:rPr>
                <w:sz w:val="18"/>
                <w:szCs w:val="18"/>
              </w:rPr>
              <w:t>Sepanta</w:t>
            </w:r>
            <w:proofErr w:type="spellEnd"/>
            <w:r w:rsidRPr="009C7E04">
              <w:rPr>
                <w:sz w:val="18"/>
                <w:szCs w:val="18"/>
              </w:rPr>
              <w:t xml:space="preserve"> vd. 2019)</w:t>
            </w:r>
          </w:p>
        </w:tc>
        <w:tc>
          <w:tcPr>
            <w:tcW w:w="627" w:type="dxa"/>
            <w:tcBorders>
              <w:bottom w:val="single" w:sz="4" w:space="0" w:color="auto"/>
            </w:tcBorders>
          </w:tcPr>
          <w:p w14:paraId="7F5B5E71"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tcBorders>
              <w:bottom w:val="single" w:sz="4" w:space="0" w:color="auto"/>
            </w:tcBorders>
          </w:tcPr>
          <w:p w14:paraId="6F4301C5"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1</w:t>
            </w:r>
          </w:p>
        </w:tc>
      </w:tr>
      <w:tr w:rsidR="00FA457D" w:rsidRPr="009C7E04" w14:paraId="45B03529" w14:textId="77777777" w:rsidTr="000610DA">
        <w:trPr>
          <w:trHeight w:val="362"/>
        </w:trPr>
        <w:tc>
          <w:tcPr>
            <w:tcW w:w="964" w:type="dxa"/>
            <w:tcBorders>
              <w:bottom w:val="single" w:sz="4" w:space="0" w:color="auto"/>
            </w:tcBorders>
          </w:tcPr>
          <w:p w14:paraId="592F8E48" w14:textId="77777777" w:rsidR="00FA457D" w:rsidRPr="009C7E04" w:rsidRDefault="00FA457D" w:rsidP="0079785E">
            <w:pPr>
              <w:pBdr>
                <w:top w:val="nil"/>
                <w:left w:val="nil"/>
                <w:bottom w:val="nil"/>
                <w:right w:val="nil"/>
                <w:between w:val="nil"/>
              </w:pBdr>
              <w:rPr>
                <w:sz w:val="16"/>
                <w:szCs w:val="16"/>
              </w:rPr>
            </w:pPr>
            <w:r w:rsidRPr="009C7E04">
              <w:rPr>
                <w:b/>
                <w:sz w:val="16"/>
                <w:szCs w:val="16"/>
              </w:rPr>
              <w:t>İlkokul-Ortaokul</w:t>
            </w:r>
          </w:p>
        </w:tc>
        <w:tc>
          <w:tcPr>
            <w:tcW w:w="2591" w:type="dxa"/>
            <w:tcBorders>
              <w:bottom w:val="single" w:sz="4" w:space="0" w:color="auto"/>
            </w:tcBorders>
          </w:tcPr>
          <w:p w14:paraId="107242FD" w14:textId="77777777" w:rsidR="00FA457D" w:rsidRPr="009C7E04" w:rsidRDefault="00FA457D" w:rsidP="0079785E">
            <w:pPr>
              <w:pBdr>
                <w:top w:val="nil"/>
                <w:left w:val="nil"/>
                <w:bottom w:val="nil"/>
                <w:right w:val="nil"/>
                <w:between w:val="nil"/>
              </w:pBdr>
              <w:rPr>
                <w:sz w:val="16"/>
                <w:szCs w:val="16"/>
              </w:rPr>
            </w:pPr>
            <w:r w:rsidRPr="009C7E04">
              <w:rPr>
                <w:sz w:val="16"/>
                <w:szCs w:val="16"/>
              </w:rPr>
              <w:t>Problem odaklı</w:t>
            </w:r>
          </w:p>
        </w:tc>
        <w:tc>
          <w:tcPr>
            <w:tcW w:w="4655" w:type="dxa"/>
          </w:tcPr>
          <w:p w14:paraId="0A80ADCB" w14:textId="77777777" w:rsidR="00FA457D" w:rsidRPr="009C7E04" w:rsidRDefault="00FA457D" w:rsidP="0079785E">
            <w:pPr>
              <w:pBdr>
                <w:top w:val="nil"/>
                <w:left w:val="nil"/>
                <w:bottom w:val="nil"/>
                <w:right w:val="nil"/>
                <w:between w:val="nil"/>
              </w:pBdr>
              <w:rPr>
                <w:sz w:val="18"/>
                <w:szCs w:val="18"/>
              </w:rPr>
            </w:pPr>
            <w:r w:rsidRPr="009C7E04">
              <w:rPr>
                <w:sz w:val="18"/>
                <w:szCs w:val="18"/>
              </w:rPr>
              <w:t>Kaygı (</w:t>
            </w:r>
            <w:proofErr w:type="spellStart"/>
            <w:r w:rsidRPr="009C7E04">
              <w:rPr>
                <w:sz w:val="18"/>
                <w:szCs w:val="18"/>
              </w:rPr>
              <w:t>Akinsola</w:t>
            </w:r>
            <w:proofErr w:type="spellEnd"/>
            <w:r w:rsidRPr="009C7E04">
              <w:rPr>
                <w:sz w:val="18"/>
                <w:szCs w:val="18"/>
              </w:rPr>
              <w:t xml:space="preserve"> ve </w:t>
            </w:r>
            <w:proofErr w:type="spellStart"/>
            <w:r w:rsidRPr="009C7E04">
              <w:rPr>
                <w:sz w:val="18"/>
                <w:szCs w:val="18"/>
              </w:rPr>
              <w:t>Udoka</w:t>
            </w:r>
            <w:proofErr w:type="spellEnd"/>
            <w:r w:rsidRPr="009C7E04">
              <w:rPr>
                <w:sz w:val="18"/>
                <w:szCs w:val="18"/>
              </w:rPr>
              <w:t xml:space="preserve"> 2013)</w:t>
            </w:r>
          </w:p>
        </w:tc>
        <w:tc>
          <w:tcPr>
            <w:tcW w:w="627" w:type="dxa"/>
            <w:tcBorders>
              <w:bottom w:val="single" w:sz="4" w:space="0" w:color="auto"/>
            </w:tcBorders>
          </w:tcPr>
          <w:p w14:paraId="0597FBF9"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tcBorders>
              <w:bottom w:val="single" w:sz="4" w:space="0" w:color="auto"/>
            </w:tcBorders>
          </w:tcPr>
          <w:p w14:paraId="32AA2DEA"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1</w:t>
            </w:r>
          </w:p>
        </w:tc>
      </w:tr>
      <w:tr w:rsidR="00FA457D" w:rsidRPr="009C7E04" w14:paraId="2106BA09" w14:textId="77777777" w:rsidTr="000610DA">
        <w:trPr>
          <w:trHeight w:val="200"/>
        </w:trPr>
        <w:tc>
          <w:tcPr>
            <w:tcW w:w="964" w:type="dxa"/>
            <w:vMerge w:val="restart"/>
            <w:tcBorders>
              <w:top w:val="single" w:sz="4" w:space="0" w:color="auto"/>
            </w:tcBorders>
          </w:tcPr>
          <w:p w14:paraId="13F446DB" w14:textId="679C25CB" w:rsidR="00FA457D" w:rsidRPr="009C7E04" w:rsidRDefault="00FA457D" w:rsidP="0079785E">
            <w:pPr>
              <w:pBdr>
                <w:top w:val="nil"/>
                <w:left w:val="nil"/>
                <w:bottom w:val="nil"/>
                <w:right w:val="nil"/>
                <w:between w:val="nil"/>
              </w:pBdr>
              <w:rPr>
                <w:b/>
                <w:sz w:val="16"/>
                <w:szCs w:val="16"/>
              </w:rPr>
            </w:pPr>
            <w:r w:rsidRPr="009C7E04">
              <w:rPr>
                <w:b/>
                <w:sz w:val="16"/>
                <w:szCs w:val="16"/>
              </w:rPr>
              <w:t>Ortaokul</w:t>
            </w:r>
          </w:p>
        </w:tc>
        <w:tc>
          <w:tcPr>
            <w:tcW w:w="2591" w:type="dxa"/>
            <w:vMerge w:val="restart"/>
            <w:tcBorders>
              <w:top w:val="single" w:sz="4" w:space="0" w:color="auto"/>
            </w:tcBorders>
          </w:tcPr>
          <w:p w14:paraId="1D4EF4AF" w14:textId="77777777" w:rsidR="00FA457D" w:rsidRPr="009C7E04" w:rsidRDefault="00FA457D" w:rsidP="0079785E">
            <w:pPr>
              <w:pBdr>
                <w:top w:val="nil"/>
                <w:left w:val="nil"/>
                <w:bottom w:val="nil"/>
                <w:right w:val="nil"/>
                <w:between w:val="nil"/>
              </w:pBdr>
              <w:rPr>
                <w:b/>
                <w:sz w:val="16"/>
                <w:szCs w:val="16"/>
              </w:rPr>
            </w:pPr>
            <w:r w:rsidRPr="009C7E04">
              <w:rPr>
                <w:sz w:val="16"/>
                <w:szCs w:val="16"/>
              </w:rPr>
              <w:t>Problem odaklı</w:t>
            </w:r>
          </w:p>
        </w:tc>
        <w:tc>
          <w:tcPr>
            <w:tcW w:w="4655" w:type="dxa"/>
          </w:tcPr>
          <w:p w14:paraId="790DAF18" w14:textId="77777777" w:rsidR="00FA457D" w:rsidRPr="009C7E04" w:rsidRDefault="00FA457D" w:rsidP="0079785E">
            <w:pPr>
              <w:rPr>
                <w:sz w:val="18"/>
                <w:szCs w:val="18"/>
              </w:rPr>
            </w:pPr>
            <w:r w:rsidRPr="009C7E04">
              <w:rPr>
                <w:sz w:val="18"/>
                <w:szCs w:val="18"/>
              </w:rPr>
              <w:t>Fiziksel-sözel- dolaylı saldırganlık, öfke, düşmanlık, (</w:t>
            </w:r>
            <w:proofErr w:type="gramStart"/>
            <w:r w:rsidRPr="009C7E04">
              <w:rPr>
                <w:sz w:val="18"/>
                <w:szCs w:val="18"/>
              </w:rPr>
              <w:t>Karataş  ve</w:t>
            </w:r>
            <w:proofErr w:type="gramEnd"/>
            <w:r w:rsidRPr="009C7E04">
              <w:rPr>
                <w:sz w:val="18"/>
                <w:szCs w:val="18"/>
              </w:rPr>
              <w:t xml:space="preserve"> </w:t>
            </w:r>
            <w:proofErr w:type="spellStart"/>
            <w:r w:rsidRPr="009C7E04">
              <w:rPr>
                <w:sz w:val="18"/>
                <w:szCs w:val="18"/>
              </w:rPr>
              <w:t>Gökçakan</w:t>
            </w:r>
            <w:proofErr w:type="spellEnd"/>
            <w:r w:rsidRPr="009C7E04">
              <w:rPr>
                <w:sz w:val="18"/>
                <w:szCs w:val="18"/>
              </w:rPr>
              <w:t xml:space="preserve"> 2009)</w:t>
            </w:r>
          </w:p>
        </w:tc>
        <w:tc>
          <w:tcPr>
            <w:tcW w:w="627" w:type="dxa"/>
          </w:tcPr>
          <w:p w14:paraId="1D031D8A"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val="restart"/>
          </w:tcPr>
          <w:p w14:paraId="1B90E750"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4</w:t>
            </w:r>
          </w:p>
        </w:tc>
      </w:tr>
      <w:tr w:rsidR="00FA457D" w:rsidRPr="009C7E04" w14:paraId="3887D7A9" w14:textId="77777777" w:rsidTr="000610DA">
        <w:trPr>
          <w:trHeight w:val="132"/>
        </w:trPr>
        <w:tc>
          <w:tcPr>
            <w:tcW w:w="964" w:type="dxa"/>
            <w:vMerge/>
          </w:tcPr>
          <w:p w14:paraId="1A1BBA2C"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34C1E7BA" w14:textId="77777777" w:rsidR="00FA457D" w:rsidRPr="009C7E04" w:rsidRDefault="00FA457D" w:rsidP="0079785E">
            <w:pPr>
              <w:pBdr>
                <w:top w:val="nil"/>
                <w:left w:val="nil"/>
                <w:bottom w:val="nil"/>
                <w:right w:val="nil"/>
                <w:between w:val="nil"/>
              </w:pBdr>
              <w:rPr>
                <w:sz w:val="16"/>
                <w:szCs w:val="16"/>
              </w:rPr>
            </w:pPr>
          </w:p>
        </w:tc>
        <w:tc>
          <w:tcPr>
            <w:tcW w:w="4655" w:type="dxa"/>
          </w:tcPr>
          <w:p w14:paraId="0DE397D3" w14:textId="77777777" w:rsidR="00FA457D" w:rsidRPr="009C7E04" w:rsidRDefault="00FA457D" w:rsidP="0079785E">
            <w:pPr>
              <w:rPr>
                <w:sz w:val="18"/>
                <w:szCs w:val="18"/>
              </w:rPr>
            </w:pPr>
            <w:r w:rsidRPr="009C7E04">
              <w:rPr>
                <w:sz w:val="18"/>
                <w:szCs w:val="18"/>
              </w:rPr>
              <w:t xml:space="preserve">Öz yeterlilik, madde toleransı (Karatay ve </w:t>
            </w:r>
            <w:proofErr w:type="spellStart"/>
            <w:r w:rsidRPr="009C7E04">
              <w:rPr>
                <w:sz w:val="18"/>
                <w:szCs w:val="18"/>
              </w:rPr>
              <w:t>Gürarslan</w:t>
            </w:r>
            <w:proofErr w:type="spellEnd"/>
            <w:r w:rsidRPr="009C7E04">
              <w:rPr>
                <w:sz w:val="18"/>
                <w:szCs w:val="18"/>
              </w:rPr>
              <w:t xml:space="preserve"> Baş 2017)</w:t>
            </w:r>
          </w:p>
        </w:tc>
        <w:tc>
          <w:tcPr>
            <w:tcW w:w="627" w:type="dxa"/>
          </w:tcPr>
          <w:p w14:paraId="6F44378A"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2713AAB0" w14:textId="77777777" w:rsidR="00FA457D" w:rsidRPr="009C7E04" w:rsidRDefault="00FA457D" w:rsidP="0079785E">
            <w:pPr>
              <w:pBdr>
                <w:top w:val="nil"/>
                <w:left w:val="nil"/>
                <w:bottom w:val="nil"/>
                <w:right w:val="nil"/>
                <w:between w:val="nil"/>
              </w:pBdr>
              <w:rPr>
                <w:b/>
                <w:sz w:val="18"/>
                <w:szCs w:val="18"/>
              </w:rPr>
            </w:pPr>
          </w:p>
        </w:tc>
      </w:tr>
      <w:tr w:rsidR="00FA457D" w:rsidRPr="009C7E04" w14:paraId="52FD843B" w14:textId="77777777" w:rsidTr="000610DA">
        <w:trPr>
          <w:trHeight w:val="207"/>
        </w:trPr>
        <w:tc>
          <w:tcPr>
            <w:tcW w:w="964" w:type="dxa"/>
            <w:vMerge/>
          </w:tcPr>
          <w:p w14:paraId="4E69514D"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3960C7D2" w14:textId="77777777" w:rsidR="00FA457D" w:rsidRPr="009C7E04" w:rsidRDefault="00FA457D" w:rsidP="0079785E">
            <w:pPr>
              <w:pBdr>
                <w:top w:val="nil"/>
                <w:left w:val="nil"/>
                <w:bottom w:val="nil"/>
                <w:right w:val="nil"/>
                <w:between w:val="nil"/>
              </w:pBdr>
              <w:rPr>
                <w:sz w:val="16"/>
                <w:szCs w:val="16"/>
              </w:rPr>
            </w:pPr>
          </w:p>
        </w:tc>
        <w:tc>
          <w:tcPr>
            <w:tcW w:w="4655" w:type="dxa"/>
          </w:tcPr>
          <w:p w14:paraId="50DE9CC1" w14:textId="77777777" w:rsidR="00FA457D" w:rsidRPr="009C7E04" w:rsidRDefault="00FA457D" w:rsidP="0079785E">
            <w:pPr>
              <w:rPr>
                <w:sz w:val="18"/>
                <w:szCs w:val="18"/>
              </w:rPr>
            </w:pPr>
            <w:r w:rsidRPr="009C7E04">
              <w:rPr>
                <w:sz w:val="18"/>
                <w:szCs w:val="18"/>
              </w:rPr>
              <w:t>Anksiyete, depresyon, obsesif belirtiler, ayrılık kaygısı (</w:t>
            </w:r>
            <w:proofErr w:type="spellStart"/>
            <w:r w:rsidRPr="009C7E04">
              <w:rPr>
                <w:sz w:val="18"/>
                <w:szCs w:val="18"/>
              </w:rPr>
              <w:t>Thabet</w:t>
            </w:r>
            <w:proofErr w:type="spellEnd"/>
            <w:r w:rsidRPr="009C7E04">
              <w:rPr>
                <w:sz w:val="18"/>
                <w:szCs w:val="18"/>
              </w:rPr>
              <w:t xml:space="preserve"> vd., 2009)</w:t>
            </w:r>
          </w:p>
        </w:tc>
        <w:tc>
          <w:tcPr>
            <w:tcW w:w="627" w:type="dxa"/>
            <w:tcBorders>
              <w:bottom w:val="single" w:sz="4" w:space="0" w:color="auto"/>
            </w:tcBorders>
          </w:tcPr>
          <w:p w14:paraId="07306D4F"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67DE3754" w14:textId="77777777" w:rsidR="00FA457D" w:rsidRPr="009C7E04" w:rsidRDefault="00FA457D" w:rsidP="0079785E">
            <w:pPr>
              <w:pBdr>
                <w:top w:val="nil"/>
                <w:left w:val="nil"/>
                <w:bottom w:val="nil"/>
                <w:right w:val="nil"/>
                <w:between w:val="nil"/>
              </w:pBdr>
              <w:rPr>
                <w:b/>
                <w:sz w:val="18"/>
                <w:szCs w:val="18"/>
              </w:rPr>
            </w:pPr>
          </w:p>
        </w:tc>
      </w:tr>
      <w:tr w:rsidR="00FA457D" w:rsidRPr="009C7E04" w14:paraId="16FF8749" w14:textId="77777777" w:rsidTr="000610DA">
        <w:trPr>
          <w:trHeight w:val="124"/>
        </w:trPr>
        <w:tc>
          <w:tcPr>
            <w:tcW w:w="964" w:type="dxa"/>
            <w:vMerge/>
          </w:tcPr>
          <w:p w14:paraId="62C6A8CB" w14:textId="77777777" w:rsidR="00FA457D" w:rsidRPr="009C7E04" w:rsidRDefault="00FA457D" w:rsidP="0079785E">
            <w:pPr>
              <w:pBdr>
                <w:top w:val="nil"/>
                <w:left w:val="nil"/>
                <w:bottom w:val="nil"/>
                <w:right w:val="nil"/>
                <w:between w:val="nil"/>
              </w:pBdr>
              <w:rPr>
                <w:sz w:val="16"/>
                <w:szCs w:val="16"/>
              </w:rPr>
            </w:pPr>
          </w:p>
        </w:tc>
        <w:tc>
          <w:tcPr>
            <w:tcW w:w="2591" w:type="dxa"/>
            <w:vMerge/>
            <w:tcBorders>
              <w:bottom w:val="single" w:sz="4" w:space="0" w:color="auto"/>
            </w:tcBorders>
          </w:tcPr>
          <w:p w14:paraId="7A465A05" w14:textId="77777777" w:rsidR="00FA457D" w:rsidRPr="009C7E04" w:rsidRDefault="00FA457D" w:rsidP="0079785E">
            <w:pPr>
              <w:pBdr>
                <w:top w:val="nil"/>
                <w:left w:val="nil"/>
                <w:bottom w:val="nil"/>
                <w:right w:val="nil"/>
                <w:between w:val="nil"/>
              </w:pBdr>
              <w:rPr>
                <w:sz w:val="16"/>
                <w:szCs w:val="16"/>
              </w:rPr>
            </w:pPr>
          </w:p>
        </w:tc>
        <w:tc>
          <w:tcPr>
            <w:tcW w:w="4655" w:type="dxa"/>
          </w:tcPr>
          <w:p w14:paraId="77F86FB1" w14:textId="77777777" w:rsidR="00FA457D" w:rsidRPr="009C7E04" w:rsidRDefault="00FA457D" w:rsidP="0079785E">
            <w:pPr>
              <w:rPr>
                <w:sz w:val="18"/>
                <w:szCs w:val="18"/>
              </w:rPr>
            </w:pPr>
            <w:r w:rsidRPr="009C7E04">
              <w:rPr>
                <w:sz w:val="18"/>
                <w:szCs w:val="18"/>
              </w:rPr>
              <w:t>Yüksek riskli davranışlar: sigara içme, alkol kullanımı, saldırganlık (</w:t>
            </w:r>
            <w:proofErr w:type="spellStart"/>
            <w:r w:rsidRPr="009C7E04">
              <w:rPr>
                <w:sz w:val="18"/>
                <w:szCs w:val="18"/>
              </w:rPr>
              <w:t>Hamidi</w:t>
            </w:r>
            <w:proofErr w:type="spellEnd"/>
            <w:r w:rsidRPr="009C7E04">
              <w:rPr>
                <w:sz w:val="18"/>
                <w:szCs w:val="18"/>
              </w:rPr>
              <w:t xml:space="preserve"> ve </w:t>
            </w:r>
            <w:proofErr w:type="spellStart"/>
            <w:r w:rsidRPr="009C7E04">
              <w:rPr>
                <w:sz w:val="18"/>
                <w:szCs w:val="18"/>
              </w:rPr>
              <w:t>Khodakarami</w:t>
            </w:r>
            <w:proofErr w:type="spellEnd"/>
            <w:r w:rsidRPr="009C7E04">
              <w:rPr>
                <w:sz w:val="18"/>
                <w:szCs w:val="18"/>
              </w:rPr>
              <w:t xml:space="preserve"> 2020)</w:t>
            </w:r>
          </w:p>
        </w:tc>
        <w:tc>
          <w:tcPr>
            <w:tcW w:w="627" w:type="dxa"/>
          </w:tcPr>
          <w:p w14:paraId="10E1DF80"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Borders>
              <w:bottom w:val="single" w:sz="4" w:space="0" w:color="auto"/>
            </w:tcBorders>
          </w:tcPr>
          <w:p w14:paraId="4447F144" w14:textId="77777777" w:rsidR="00FA457D" w:rsidRPr="009C7E04" w:rsidRDefault="00FA457D" w:rsidP="0079785E">
            <w:pPr>
              <w:pBdr>
                <w:top w:val="nil"/>
                <w:left w:val="nil"/>
                <w:bottom w:val="nil"/>
                <w:right w:val="nil"/>
                <w:between w:val="nil"/>
              </w:pBdr>
              <w:rPr>
                <w:b/>
                <w:sz w:val="18"/>
                <w:szCs w:val="18"/>
              </w:rPr>
            </w:pPr>
          </w:p>
        </w:tc>
      </w:tr>
      <w:tr w:rsidR="00FA457D" w:rsidRPr="009C7E04" w14:paraId="4089E34E" w14:textId="77777777" w:rsidTr="000610DA">
        <w:trPr>
          <w:trHeight w:val="129"/>
        </w:trPr>
        <w:tc>
          <w:tcPr>
            <w:tcW w:w="964" w:type="dxa"/>
            <w:vMerge/>
          </w:tcPr>
          <w:p w14:paraId="63F5BD3B" w14:textId="77777777" w:rsidR="00FA457D" w:rsidRPr="009C7E04" w:rsidRDefault="00FA457D" w:rsidP="0079785E">
            <w:pPr>
              <w:pBdr>
                <w:top w:val="nil"/>
                <w:left w:val="nil"/>
                <w:bottom w:val="nil"/>
                <w:right w:val="nil"/>
                <w:between w:val="nil"/>
              </w:pBdr>
              <w:rPr>
                <w:sz w:val="16"/>
                <w:szCs w:val="16"/>
              </w:rPr>
            </w:pPr>
          </w:p>
        </w:tc>
        <w:tc>
          <w:tcPr>
            <w:tcW w:w="2591" w:type="dxa"/>
            <w:vMerge w:val="restart"/>
            <w:tcBorders>
              <w:top w:val="single" w:sz="4" w:space="0" w:color="auto"/>
            </w:tcBorders>
          </w:tcPr>
          <w:p w14:paraId="656965BC" w14:textId="77777777" w:rsidR="00FA457D" w:rsidRPr="009C7E04" w:rsidRDefault="00FA457D" w:rsidP="0079785E">
            <w:pPr>
              <w:pBdr>
                <w:top w:val="nil"/>
                <w:left w:val="nil"/>
                <w:bottom w:val="nil"/>
                <w:right w:val="nil"/>
                <w:between w:val="nil"/>
              </w:pBdr>
              <w:rPr>
                <w:sz w:val="16"/>
                <w:szCs w:val="16"/>
              </w:rPr>
            </w:pPr>
            <w:r w:rsidRPr="009C7E04">
              <w:rPr>
                <w:sz w:val="16"/>
                <w:szCs w:val="16"/>
              </w:rPr>
              <w:t>Sosyal-Duygusal gelişim odaklı</w:t>
            </w:r>
          </w:p>
        </w:tc>
        <w:tc>
          <w:tcPr>
            <w:tcW w:w="4655" w:type="dxa"/>
          </w:tcPr>
          <w:p w14:paraId="1770CD51" w14:textId="77777777" w:rsidR="00FA457D" w:rsidRPr="009C7E04" w:rsidRDefault="00FA457D" w:rsidP="0079785E">
            <w:pPr>
              <w:rPr>
                <w:sz w:val="18"/>
                <w:szCs w:val="18"/>
              </w:rPr>
            </w:pPr>
            <w:r w:rsidRPr="009C7E04">
              <w:rPr>
                <w:bCs/>
                <w:sz w:val="18"/>
                <w:szCs w:val="18"/>
              </w:rPr>
              <w:t>Derse katılım, motivasyon, empati kurma, kuralları benimseme (</w:t>
            </w:r>
            <w:proofErr w:type="spellStart"/>
            <w:r w:rsidRPr="009C7E04">
              <w:rPr>
                <w:sz w:val="18"/>
                <w:szCs w:val="18"/>
              </w:rPr>
              <w:t>Sokovnina</w:t>
            </w:r>
            <w:proofErr w:type="spellEnd"/>
            <w:r w:rsidRPr="009C7E04">
              <w:rPr>
                <w:sz w:val="18"/>
                <w:szCs w:val="18"/>
              </w:rPr>
              <w:t xml:space="preserve"> ve </w:t>
            </w:r>
            <w:proofErr w:type="spellStart"/>
            <w:r w:rsidRPr="009C7E04">
              <w:rPr>
                <w:sz w:val="18"/>
                <w:szCs w:val="18"/>
              </w:rPr>
              <w:t>Aleshin</w:t>
            </w:r>
            <w:proofErr w:type="spellEnd"/>
            <w:r w:rsidRPr="009C7E04">
              <w:rPr>
                <w:sz w:val="18"/>
                <w:szCs w:val="18"/>
              </w:rPr>
              <w:t xml:space="preserve"> 2015)</w:t>
            </w:r>
          </w:p>
        </w:tc>
        <w:tc>
          <w:tcPr>
            <w:tcW w:w="627" w:type="dxa"/>
          </w:tcPr>
          <w:p w14:paraId="5D81651B"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val="restart"/>
            <w:tcBorders>
              <w:top w:val="single" w:sz="4" w:space="0" w:color="auto"/>
            </w:tcBorders>
          </w:tcPr>
          <w:p w14:paraId="48109DFE"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8</w:t>
            </w:r>
          </w:p>
        </w:tc>
      </w:tr>
      <w:tr w:rsidR="00FA457D" w:rsidRPr="009C7E04" w14:paraId="06C9F57E" w14:textId="77777777" w:rsidTr="000610DA">
        <w:trPr>
          <w:trHeight w:val="144"/>
        </w:trPr>
        <w:tc>
          <w:tcPr>
            <w:tcW w:w="964" w:type="dxa"/>
            <w:vMerge/>
          </w:tcPr>
          <w:p w14:paraId="04E1EC80"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6A3A90B6" w14:textId="77777777" w:rsidR="00FA457D" w:rsidRPr="009C7E04" w:rsidRDefault="00FA457D" w:rsidP="0079785E">
            <w:pPr>
              <w:pBdr>
                <w:top w:val="nil"/>
                <w:left w:val="nil"/>
                <w:bottom w:val="nil"/>
                <w:right w:val="nil"/>
                <w:between w:val="nil"/>
              </w:pBdr>
              <w:rPr>
                <w:sz w:val="16"/>
                <w:szCs w:val="16"/>
              </w:rPr>
            </w:pPr>
          </w:p>
        </w:tc>
        <w:tc>
          <w:tcPr>
            <w:tcW w:w="4655" w:type="dxa"/>
          </w:tcPr>
          <w:p w14:paraId="63CE8862" w14:textId="77777777" w:rsidR="00FA457D" w:rsidRPr="009C7E04" w:rsidRDefault="00FA457D" w:rsidP="0079785E">
            <w:pPr>
              <w:tabs>
                <w:tab w:val="center" w:pos="2219"/>
              </w:tabs>
              <w:rPr>
                <w:bCs/>
                <w:sz w:val="18"/>
                <w:szCs w:val="18"/>
              </w:rPr>
            </w:pPr>
            <w:proofErr w:type="spellStart"/>
            <w:r w:rsidRPr="009C7E04">
              <w:rPr>
                <w:bCs/>
                <w:sz w:val="18"/>
                <w:szCs w:val="18"/>
              </w:rPr>
              <w:t>Özkabul</w:t>
            </w:r>
            <w:proofErr w:type="spellEnd"/>
            <w:r w:rsidRPr="009C7E04">
              <w:rPr>
                <w:bCs/>
                <w:sz w:val="18"/>
                <w:szCs w:val="18"/>
              </w:rPr>
              <w:t xml:space="preserve"> (</w:t>
            </w:r>
            <w:proofErr w:type="spellStart"/>
            <w:r w:rsidRPr="009C7E04">
              <w:rPr>
                <w:sz w:val="18"/>
                <w:szCs w:val="18"/>
              </w:rPr>
              <w:t>Diani</w:t>
            </w:r>
            <w:proofErr w:type="spellEnd"/>
            <w:r w:rsidRPr="009C7E04">
              <w:rPr>
                <w:sz w:val="18"/>
                <w:szCs w:val="18"/>
              </w:rPr>
              <w:t xml:space="preserve"> ve </w:t>
            </w:r>
            <w:proofErr w:type="spellStart"/>
            <w:r w:rsidRPr="009C7E04">
              <w:rPr>
                <w:sz w:val="18"/>
                <w:szCs w:val="18"/>
              </w:rPr>
              <w:t>Siddik</w:t>
            </w:r>
            <w:proofErr w:type="spellEnd"/>
            <w:r w:rsidRPr="009C7E04">
              <w:rPr>
                <w:sz w:val="18"/>
                <w:szCs w:val="18"/>
              </w:rPr>
              <w:t xml:space="preserve"> 2017)</w:t>
            </w:r>
          </w:p>
        </w:tc>
        <w:tc>
          <w:tcPr>
            <w:tcW w:w="627" w:type="dxa"/>
          </w:tcPr>
          <w:p w14:paraId="0552F185"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5A082D98" w14:textId="77777777" w:rsidR="00FA457D" w:rsidRPr="009C7E04" w:rsidRDefault="00FA457D" w:rsidP="0079785E">
            <w:pPr>
              <w:pBdr>
                <w:top w:val="nil"/>
                <w:left w:val="nil"/>
                <w:bottom w:val="nil"/>
                <w:right w:val="nil"/>
                <w:between w:val="nil"/>
              </w:pBdr>
              <w:rPr>
                <w:b/>
                <w:sz w:val="18"/>
                <w:szCs w:val="18"/>
              </w:rPr>
            </w:pPr>
          </w:p>
        </w:tc>
      </w:tr>
      <w:tr w:rsidR="00FA457D" w:rsidRPr="009C7E04" w14:paraId="7A91DA49" w14:textId="77777777" w:rsidTr="000610DA">
        <w:trPr>
          <w:trHeight w:val="76"/>
        </w:trPr>
        <w:tc>
          <w:tcPr>
            <w:tcW w:w="964" w:type="dxa"/>
            <w:vMerge/>
          </w:tcPr>
          <w:p w14:paraId="0CDB8B03"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5D70BA52" w14:textId="77777777" w:rsidR="00FA457D" w:rsidRPr="009C7E04" w:rsidRDefault="00FA457D" w:rsidP="0079785E">
            <w:pPr>
              <w:pBdr>
                <w:top w:val="nil"/>
                <w:left w:val="nil"/>
                <w:bottom w:val="nil"/>
                <w:right w:val="nil"/>
                <w:between w:val="nil"/>
              </w:pBdr>
              <w:rPr>
                <w:sz w:val="16"/>
                <w:szCs w:val="16"/>
              </w:rPr>
            </w:pPr>
          </w:p>
        </w:tc>
        <w:tc>
          <w:tcPr>
            <w:tcW w:w="4655" w:type="dxa"/>
          </w:tcPr>
          <w:p w14:paraId="48A8B986" w14:textId="77777777" w:rsidR="00FA457D" w:rsidRPr="009C7E04" w:rsidRDefault="00FA457D" w:rsidP="0079785E">
            <w:pPr>
              <w:rPr>
                <w:sz w:val="18"/>
                <w:szCs w:val="18"/>
              </w:rPr>
            </w:pPr>
            <w:r w:rsidRPr="009C7E04">
              <w:rPr>
                <w:sz w:val="18"/>
                <w:szCs w:val="18"/>
              </w:rPr>
              <w:t>Öz Yeterlik, Ölüm ve Yaşam Tutumları (</w:t>
            </w:r>
            <w:proofErr w:type="spellStart"/>
            <w:proofErr w:type="gramStart"/>
            <w:r w:rsidRPr="009C7E04">
              <w:rPr>
                <w:sz w:val="18"/>
                <w:szCs w:val="18"/>
              </w:rPr>
              <w:t>Sudha</w:t>
            </w:r>
            <w:proofErr w:type="spellEnd"/>
            <w:r w:rsidRPr="009C7E04">
              <w:rPr>
                <w:sz w:val="18"/>
                <w:szCs w:val="18"/>
              </w:rPr>
              <w:t xml:space="preserve">  2019</w:t>
            </w:r>
            <w:proofErr w:type="gramEnd"/>
            <w:r w:rsidRPr="009C7E04">
              <w:rPr>
                <w:sz w:val="18"/>
                <w:szCs w:val="18"/>
              </w:rPr>
              <w:t>)</w:t>
            </w:r>
          </w:p>
        </w:tc>
        <w:tc>
          <w:tcPr>
            <w:tcW w:w="627" w:type="dxa"/>
          </w:tcPr>
          <w:p w14:paraId="0BE22C70"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7ECF8798" w14:textId="77777777" w:rsidR="00FA457D" w:rsidRPr="009C7E04" w:rsidRDefault="00FA457D" w:rsidP="0079785E">
            <w:pPr>
              <w:pBdr>
                <w:top w:val="nil"/>
                <w:left w:val="nil"/>
                <w:bottom w:val="nil"/>
                <w:right w:val="nil"/>
                <w:between w:val="nil"/>
              </w:pBdr>
              <w:rPr>
                <w:b/>
                <w:sz w:val="18"/>
                <w:szCs w:val="18"/>
              </w:rPr>
            </w:pPr>
          </w:p>
        </w:tc>
      </w:tr>
      <w:tr w:rsidR="00FA457D" w:rsidRPr="009C7E04" w14:paraId="034807E3" w14:textId="77777777" w:rsidTr="000610DA">
        <w:trPr>
          <w:trHeight w:val="164"/>
        </w:trPr>
        <w:tc>
          <w:tcPr>
            <w:tcW w:w="964" w:type="dxa"/>
            <w:vMerge/>
          </w:tcPr>
          <w:p w14:paraId="48701D54"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1021EE45" w14:textId="77777777" w:rsidR="00FA457D" w:rsidRPr="009C7E04" w:rsidRDefault="00FA457D" w:rsidP="0079785E">
            <w:pPr>
              <w:pBdr>
                <w:top w:val="nil"/>
                <w:left w:val="nil"/>
                <w:bottom w:val="nil"/>
                <w:right w:val="nil"/>
                <w:between w:val="nil"/>
              </w:pBdr>
              <w:rPr>
                <w:sz w:val="16"/>
                <w:szCs w:val="16"/>
              </w:rPr>
            </w:pPr>
          </w:p>
        </w:tc>
        <w:tc>
          <w:tcPr>
            <w:tcW w:w="4655" w:type="dxa"/>
          </w:tcPr>
          <w:p w14:paraId="00BE7CE0" w14:textId="77777777" w:rsidR="00FA457D" w:rsidRPr="009C7E04" w:rsidRDefault="00FA457D" w:rsidP="0079785E">
            <w:pPr>
              <w:rPr>
                <w:sz w:val="18"/>
                <w:szCs w:val="18"/>
              </w:rPr>
            </w:pPr>
            <w:r w:rsidRPr="009C7E04">
              <w:rPr>
                <w:sz w:val="18"/>
                <w:szCs w:val="18"/>
              </w:rPr>
              <w:t>Çatışma çözme, duygu yönetimi, problem çözme (Karataş 2011)</w:t>
            </w:r>
          </w:p>
        </w:tc>
        <w:tc>
          <w:tcPr>
            <w:tcW w:w="627" w:type="dxa"/>
          </w:tcPr>
          <w:p w14:paraId="26C94C82"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1388D45F" w14:textId="77777777" w:rsidR="00FA457D" w:rsidRPr="009C7E04" w:rsidRDefault="00FA457D" w:rsidP="0079785E">
            <w:pPr>
              <w:pBdr>
                <w:top w:val="nil"/>
                <w:left w:val="nil"/>
                <w:bottom w:val="nil"/>
                <w:right w:val="nil"/>
                <w:between w:val="nil"/>
              </w:pBdr>
              <w:rPr>
                <w:b/>
                <w:sz w:val="18"/>
                <w:szCs w:val="18"/>
              </w:rPr>
            </w:pPr>
          </w:p>
        </w:tc>
      </w:tr>
      <w:tr w:rsidR="00FA457D" w:rsidRPr="009C7E04" w14:paraId="2EB80B50" w14:textId="77777777" w:rsidTr="000610DA">
        <w:trPr>
          <w:trHeight w:val="82"/>
        </w:trPr>
        <w:tc>
          <w:tcPr>
            <w:tcW w:w="964" w:type="dxa"/>
            <w:vMerge/>
          </w:tcPr>
          <w:p w14:paraId="7D63303E"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613EB97D" w14:textId="77777777" w:rsidR="00FA457D" w:rsidRPr="009C7E04" w:rsidRDefault="00FA457D" w:rsidP="0079785E">
            <w:pPr>
              <w:pBdr>
                <w:top w:val="nil"/>
                <w:left w:val="nil"/>
                <w:bottom w:val="nil"/>
                <w:right w:val="nil"/>
                <w:between w:val="nil"/>
              </w:pBdr>
              <w:rPr>
                <w:sz w:val="16"/>
                <w:szCs w:val="16"/>
              </w:rPr>
            </w:pPr>
          </w:p>
        </w:tc>
        <w:tc>
          <w:tcPr>
            <w:tcW w:w="4655" w:type="dxa"/>
          </w:tcPr>
          <w:p w14:paraId="3E5EEC6B" w14:textId="77777777" w:rsidR="00FA457D" w:rsidRPr="009C7E04" w:rsidRDefault="00FA457D" w:rsidP="0079785E">
            <w:pPr>
              <w:rPr>
                <w:sz w:val="18"/>
                <w:szCs w:val="18"/>
              </w:rPr>
            </w:pPr>
            <w:r w:rsidRPr="009C7E04">
              <w:rPr>
                <w:sz w:val="18"/>
                <w:szCs w:val="18"/>
              </w:rPr>
              <w:t>İçgörü (</w:t>
            </w:r>
            <w:proofErr w:type="spellStart"/>
            <w:r w:rsidRPr="009C7E04">
              <w:rPr>
                <w:sz w:val="18"/>
                <w:szCs w:val="18"/>
              </w:rPr>
              <w:t>Orkibi</w:t>
            </w:r>
            <w:proofErr w:type="spellEnd"/>
            <w:r w:rsidRPr="009C7E04">
              <w:rPr>
                <w:sz w:val="18"/>
                <w:szCs w:val="18"/>
              </w:rPr>
              <w:t xml:space="preserve"> vd.,2017)</w:t>
            </w:r>
          </w:p>
        </w:tc>
        <w:tc>
          <w:tcPr>
            <w:tcW w:w="627" w:type="dxa"/>
          </w:tcPr>
          <w:p w14:paraId="5AA08FF3"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5CBF3744" w14:textId="77777777" w:rsidR="00FA457D" w:rsidRPr="009C7E04" w:rsidRDefault="00FA457D" w:rsidP="0079785E">
            <w:pPr>
              <w:pBdr>
                <w:top w:val="nil"/>
                <w:left w:val="nil"/>
                <w:bottom w:val="nil"/>
                <w:right w:val="nil"/>
                <w:between w:val="nil"/>
              </w:pBdr>
              <w:rPr>
                <w:b/>
                <w:sz w:val="18"/>
                <w:szCs w:val="18"/>
              </w:rPr>
            </w:pPr>
          </w:p>
        </w:tc>
      </w:tr>
      <w:tr w:rsidR="00FA457D" w:rsidRPr="009C7E04" w14:paraId="6AC14EB6" w14:textId="77777777" w:rsidTr="000610DA">
        <w:trPr>
          <w:trHeight w:val="170"/>
        </w:trPr>
        <w:tc>
          <w:tcPr>
            <w:tcW w:w="964" w:type="dxa"/>
            <w:vMerge/>
          </w:tcPr>
          <w:p w14:paraId="6596CD35"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654B5F97" w14:textId="77777777" w:rsidR="00FA457D" w:rsidRPr="009C7E04" w:rsidRDefault="00FA457D" w:rsidP="0079785E">
            <w:pPr>
              <w:pBdr>
                <w:top w:val="nil"/>
                <w:left w:val="nil"/>
                <w:bottom w:val="nil"/>
                <w:right w:val="nil"/>
                <w:between w:val="nil"/>
              </w:pBdr>
              <w:rPr>
                <w:sz w:val="16"/>
                <w:szCs w:val="16"/>
              </w:rPr>
            </w:pPr>
          </w:p>
        </w:tc>
        <w:tc>
          <w:tcPr>
            <w:tcW w:w="4655" w:type="dxa"/>
          </w:tcPr>
          <w:p w14:paraId="179F0EEE" w14:textId="77777777" w:rsidR="00FA457D" w:rsidRPr="009C7E04" w:rsidRDefault="00FA457D" w:rsidP="0079785E">
            <w:pPr>
              <w:rPr>
                <w:sz w:val="18"/>
                <w:szCs w:val="18"/>
              </w:rPr>
            </w:pPr>
            <w:r w:rsidRPr="009C7E04">
              <w:rPr>
                <w:sz w:val="18"/>
                <w:szCs w:val="18"/>
              </w:rPr>
              <w:t>İletişim becerileri (</w:t>
            </w:r>
            <w:proofErr w:type="spellStart"/>
            <w:r w:rsidRPr="009C7E04">
              <w:rPr>
                <w:sz w:val="18"/>
                <w:szCs w:val="18"/>
              </w:rPr>
              <w:t>Nemati</w:t>
            </w:r>
            <w:proofErr w:type="spellEnd"/>
            <w:r w:rsidRPr="009C7E04">
              <w:rPr>
                <w:sz w:val="18"/>
                <w:szCs w:val="18"/>
              </w:rPr>
              <w:t xml:space="preserve"> vd., 2022)</w:t>
            </w:r>
          </w:p>
        </w:tc>
        <w:tc>
          <w:tcPr>
            <w:tcW w:w="627" w:type="dxa"/>
          </w:tcPr>
          <w:p w14:paraId="4C0C8997"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18074A7D" w14:textId="77777777" w:rsidR="00FA457D" w:rsidRPr="009C7E04" w:rsidRDefault="00FA457D" w:rsidP="0079785E">
            <w:pPr>
              <w:pBdr>
                <w:top w:val="nil"/>
                <w:left w:val="nil"/>
                <w:bottom w:val="nil"/>
                <w:right w:val="nil"/>
                <w:between w:val="nil"/>
              </w:pBdr>
              <w:rPr>
                <w:b/>
                <w:sz w:val="18"/>
                <w:szCs w:val="18"/>
              </w:rPr>
            </w:pPr>
          </w:p>
        </w:tc>
      </w:tr>
      <w:tr w:rsidR="00FA457D" w:rsidRPr="009C7E04" w14:paraId="230199F0" w14:textId="77777777" w:rsidTr="000610DA">
        <w:trPr>
          <w:trHeight w:val="103"/>
        </w:trPr>
        <w:tc>
          <w:tcPr>
            <w:tcW w:w="964" w:type="dxa"/>
            <w:vMerge/>
          </w:tcPr>
          <w:p w14:paraId="14F589E4"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2AB7A747" w14:textId="77777777" w:rsidR="00FA457D" w:rsidRPr="009C7E04" w:rsidRDefault="00FA457D" w:rsidP="0079785E">
            <w:pPr>
              <w:pBdr>
                <w:top w:val="nil"/>
                <w:left w:val="nil"/>
                <w:bottom w:val="nil"/>
                <w:right w:val="nil"/>
                <w:between w:val="nil"/>
              </w:pBdr>
              <w:rPr>
                <w:sz w:val="16"/>
                <w:szCs w:val="16"/>
              </w:rPr>
            </w:pPr>
          </w:p>
        </w:tc>
        <w:tc>
          <w:tcPr>
            <w:tcW w:w="4655" w:type="dxa"/>
          </w:tcPr>
          <w:p w14:paraId="62991227" w14:textId="77777777" w:rsidR="00FA457D" w:rsidRPr="009C7E04" w:rsidRDefault="00FA457D" w:rsidP="0079785E">
            <w:pPr>
              <w:rPr>
                <w:sz w:val="18"/>
                <w:szCs w:val="18"/>
              </w:rPr>
            </w:pPr>
            <w:r w:rsidRPr="009C7E04">
              <w:rPr>
                <w:sz w:val="18"/>
                <w:szCs w:val="18"/>
              </w:rPr>
              <w:t>Duygusal iyileşme, sosyal katılım, öz güven ve kimlik gelişimi (</w:t>
            </w:r>
            <w:proofErr w:type="spellStart"/>
            <w:r w:rsidRPr="009C7E04">
              <w:rPr>
                <w:sz w:val="18"/>
                <w:szCs w:val="18"/>
              </w:rPr>
              <w:t>Németh</w:t>
            </w:r>
            <w:proofErr w:type="spellEnd"/>
            <w:r w:rsidRPr="009C7E04">
              <w:rPr>
                <w:sz w:val="18"/>
                <w:szCs w:val="18"/>
              </w:rPr>
              <w:t xml:space="preserve"> ve </w:t>
            </w:r>
            <w:proofErr w:type="spellStart"/>
            <w:r w:rsidRPr="009C7E04">
              <w:rPr>
                <w:sz w:val="18"/>
                <w:szCs w:val="18"/>
              </w:rPr>
              <w:t>Mihály</w:t>
            </w:r>
            <w:proofErr w:type="spellEnd"/>
            <w:r w:rsidRPr="009C7E04">
              <w:rPr>
                <w:sz w:val="18"/>
                <w:szCs w:val="18"/>
              </w:rPr>
              <w:t xml:space="preserve"> 2023)</w:t>
            </w:r>
          </w:p>
        </w:tc>
        <w:tc>
          <w:tcPr>
            <w:tcW w:w="627" w:type="dxa"/>
            <w:tcBorders>
              <w:bottom w:val="single" w:sz="4" w:space="0" w:color="auto"/>
            </w:tcBorders>
          </w:tcPr>
          <w:p w14:paraId="255A4753"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136EF6E0" w14:textId="77777777" w:rsidR="00FA457D" w:rsidRPr="009C7E04" w:rsidRDefault="00FA457D" w:rsidP="0079785E">
            <w:pPr>
              <w:pBdr>
                <w:top w:val="nil"/>
                <w:left w:val="nil"/>
                <w:bottom w:val="nil"/>
                <w:right w:val="nil"/>
                <w:between w:val="nil"/>
              </w:pBdr>
              <w:rPr>
                <w:b/>
                <w:sz w:val="18"/>
                <w:szCs w:val="18"/>
              </w:rPr>
            </w:pPr>
          </w:p>
        </w:tc>
      </w:tr>
      <w:tr w:rsidR="00FA457D" w:rsidRPr="009C7E04" w14:paraId="07E9BD29" w14:textId="77777777" w:rsidTr="000610DA">
        <w:trPr>
          <w:trHeight w:val="215"/>
        </w:trPr>
        <w:tc>
          <w:tcPr>
            <w:tcW w:w="964" w:type="dxa"/>
            <w:vMerge/>
          </w:tcPr>
          <w:p w14:paraId="0F7B4643"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0743230E" w14:textId="77777777" w:rsidR="00FA457D" w:rsidRPr="009C7E04" w:rsidRDefault="00FA457D" w:rsidP="0079785E">
            <w:pPr>
              <w:pBdr>
                <w:top w:val="nil"/>
                <w:left w:val="nil"/>
                <w:bottom w:val="nil"/>
                <w:right w:val="nil"/>
                <w:between w:val="nil"/>
              </w:pBdr>
              <w:rPr>
                <w:sz w:val="16"/>
                <w:szCs w:val="16"/>
              </w:rPr>
            </w:pPr>
          </w:p>
        </w:tc>
        <w:tc>
          <w:tcPr>
            <w:tcW w:w="4655" w:type="dxa"/>
          </w:tcPr>
          <w:p w14:paraId="35A471BB" w14:textId="77777777" w:rsidR="00FA457D" w:rsidRPr="009C7E04" w:rsidRDefault="00FA457D" w:rsidP="0079785E">
            <w:pPr>
              <w:rPr>
                <w:sz w:val="18"/>
                <w:szCs w:val="18"/>
              </w:rPr>
            </w:pPr>
            <w:r w:rsidRPr="009C7E04">
              <w:rPr>
                <w:sz w:val="18"/>
                <w:szCs w:val="18"/>
              </w:rPr>
              <w:t>Yalnızlık (</w:t>
            </w:r>
            <w:proofErr w:type="spellStart"/>
            <w:r w:rsidRPr="009C7E04">
              <w:rPr>
                <w:sz w:val="18"/>
                <w:szCs w:val="18"/>
              </w:rPr>
              <w:t>Orkibi</w:t>
            </w:r>
            <w:proofErr w:type="spellEnd"/>
            <w:r w:rsidRPr="009C7E04">
              <w:rPr>
                <w:sz w:val="18"/>
                <w:szCs w:val="18"/>
              </w:rPr>
              <w:t xml:space="preserve"> vd., 2017)</w:t>
            </w:r>
          </w:p>
        </w:tc>
        <w:tc>
          <w:tcPr>
            <w:tcW w:w="627" w:type="dxa"/>
          </w:tcPr>
          <w:p w14:paraId="00ABDBC5"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5C1AB6F5" w14:textId="77777777" w:rsidR="00FA457D" w:rsidRPr="009C7E04" w:rsidRDefault="00FA457D" w:rsidP="0079785E">
            <w:pPr>
              <w:pBdr>
                <w:top w:val="nil"/>
                <w:left w:val="nil"/>
                <w:bottom w:val="nil"/>
                <w:right w:val="nil"/>
                <w:between w:val="nil"/>
              </w:pBdr>
              <w:rPr>
                <w:b/>
                <w:sz w:val="18"/>
                <w:szCs w:val="18"/>
              </w:rPr>
            </w:pPr>
          </w:p>
        </w:tc>
      </w:tr>
      <w:tr w:rsidR="00FA457D" w:rsidRPr="009C7E04" w14:paraId="5F85F586" w14:textId="77777777" w:rsidTr="000610DA">
        <w:trPr>
          <w:trHeight w:val="215"/>
        </w:trPr>
        <w:tc>
          <w:tcPr>
            <w:tcW w:w="964" w:type="dxa"/>
            <w:vMerge w:val="restart"/>
            <w:tcBorders>
              <w:top w:val="single" w:sz="4" w:space="0" w:color="auto"/>
            </w:tcBorders>
          </w:tcPr>
          <w:p w14:paraId="2D0A78E8" w14:textId="77777777" w:rsidR="00FA457D" w:rsidRPr="009C7E04" w:rsidRDefault="00FA457D" w:rsidP="0079785E">
            <w:pPr>
              <w:pBdr>
                <w:top w:val="nil"/>
                <w:left w:val="nil"/>
                <w:bottom w:val="nil"/>
                <w:right w:val="nil"/>
                <w:between w:val="nil"/>
              </w:pBdr>
              <w:rPr>
                <w:b/>
                <w:sz w:val="16"/>
                <w:szCs w:val="16"/>
              </w:rPr>
            </w:pPr>
            <w:r w:rsidRPr="009C7E04">
              <w:rPr>
                <w:b/>
                <w:sz w:val="16"/>
                <w:szCs w:val="16"/>
              </w:rPr>
              <w:t>Lise</w:t>
            </w:r>
          </w:p>
        </w:tc>
        <w:tc>
          <w:tcPr>
            <w:tcW w:w="2591" w:type="dxa"/>
            <w:vMerge w:val="restart"/>
            <w:tcBorders>
              <w:top w:val="single" w:sz="4" w:space="0" w:color="auto"/>
            </w:tcBorders>
          </w:tcPr>
          <w:p w14:paraId="05CD19CD" w14:textId="6C62CD36" w:rsidR="00FA457D" w:rsidRPr="009C7E04" w:rsidRDefault="00FA457D" w:rsidP="0079785E">
            <w:pPr>
              <w:pBdr>
                <w:top w:val="nil"/>
                <w:left w:val="nil"/>
                <w:bottom w:val="nil"/>
                <w:right w:val="nil"/>
                <w:between w:val="nil"/>
              </w:pBdr>
              <w:rPr>
                <w:sz w:val="16"/>
                <w:szCs w:val="16"/>
              </w:rPr>
            </w:pPr>
            <w:r w:rsidRPr="009C7E04">
              <w:rPr>
                <w:sz w:val="16"/>
                <w:szCs w:val="16"/>
              </w:rPr>
              <w:t>Problem odaklı</w:t>
            </w:r>
          </w:p>
        </w:tc>
        <w:tc>
          <w:tcPr>
            <w:tcW w:w="4655" w:type="dxa"/>
          </w:tcPr>
          <w:p w14:paraId="286385D2" w14:textId="77777777" w:rsidR="00FA457D" w:rsidRPr="009C7E04" w:rsidRDefault="00FA457D" w:rsidP="0079785E">
            <w:pPr>
              <w:rPr>
                <w:sz w:val="18"/>
                <w:szCs w:val="18"/>
              </w:rPr>
            </w:pPr>
            <w:r w:rsidRPr="009C7E04">
              <w:rPr>
                <w:sz w:val="18"/>
                <w:szCs w:val="18"/>
              </w:rPr>
              <w:t xml:space="preserve">Kaygı (Ceylan ve </w:t>
            </w:r>
            <w:proofErr w:type="spellStart"/>
            <w:r w:rsidRPr="009C7E04">
              <w:rPr>
                <w:sz w:val="18"/>
                <w:szCs w:val="18"/>
              </w:rPr>
              <w:t>Akbiyik</w:t>
            </w:r>
            <w:proofErr w:type="spellEnd"/>
            <w:r w:rsidRPr="009C7E04">
              <w:rPr>
                <w:sz w:val="18"/>
                <w:szCs w:val="18"/>
              </w:rPr>
              <w:t xml:space="preserve"> 2023; Şimşek vd., 2020; </w:t>
            </w:r>
            <w:proofErr w:type="spellStart"/>
            <w:proofErr w:type="gramStart"/>
            <w:r w:rsidRPr="009C7E04">
              <w:rPr>
                <w:sz w:val="18"/>
                <w:szCs w:val="18"/>
              </w:rPr>
              <w:t>Dorothea</w:t>
            </w:r>
            <w:proofErr w:type="spellEnd"/>
            <w:r w:rsidRPr="009C7E04">
              <w:rPr>
                <w:sz w:val="18"/>
                <w:szCs w:val="18"/>
              </w:rPr>
              <w:t xml:space="preserve">  2016</w:t>
            </w:r>
            <w:proofErr w:type="gramEnd"/>
            <w:r w:rsidRPr="009C7E04">
              <w:rPr>
                <w:sz w:val="18"/>
                <w:szCs w:val="18"/>
              </w:rPr>
              <w:t>)</w:t>
            </w:r>
          </w:p>
        </w:tc>
        <w:tc>
          <w:tcPr>
            <w:tcW w:w="627" w:type="dxa"/>
          </w:tcPr>
          <w:p w14:paraId="0D11938C" w14:textId="77777777" w:rsidR="00FA457D" w:rsidRPr="009C7E04" w:rsidRDefault="00FA457D" w:rsidP="0079785E">
            <w:pPr>
              <w:pBdr>
                <w:top w:val="nil"/>
                <w:left w:val="nil"/>
                <w:bottom w:val="nil"/>
                <w:right w:val="nil"/>
                <w:between w:val="nil"/>
              </w:pBdr>
              <w:rPr>
                <w:sz w:val="18"/>
                <w:szCs w:val="18"/>
              </w:rPr>
            </w:pPr>
            <w:r w:rsidRPr="009C7E04">
              <w:rPr>
                <w:sz w:val="18"/>
                <w:szCs w:val="18"/>
              </w:rPr>
              <w:t>3</w:t>
            </w:r>
          </w:p>
        </w:tc>
        <w:tc>
          <w:tcPr>
            <w:tcW w:w="835" w:type="dxa"/>
            <w:vMerge w:val="restart"/>
            <w:tcBorders>
              <w:top w:val="single" w:sz="4" w:space="0" w:color="auto"/>
            </w:tcBorders>
          </w:tcPr>
          <w:p w14:paraId="7656158F"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8</w:t>
            </w:r>
          </w:p>
        </w:tc>
      </w:tr>
      <w:tr w:rsidR="00FA457D" w:rsidRPr="009C7E04" w14:paraId="3A2AC123" w14:textId="77777777" w:rsidTr="000610DA">
        <w:trPr>
          <w:trHeight w:val="154"/>
        </w:trPr>
        <w:tc>
          <w:tcPr>
            <w:tcW w:w="964" w:type="dxa"/>
            <w:vMerge/>
          </w:tcPr>
          <w:p w14:paraId="31290925"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0E50A6C3" w14:textId="77777777" w:rsidR="00FA457D" w:rsidRPr="009C7E04" w:rsidRDefault="00FA457D" w:rsidP="0079785E">
            <w:pPr>
              <w:pBdr>
                <w:top w:val="nil"/>
                <w:left w:val="nil"/>
                <w:bottom w:val="nil"/>
                <w:right w:val="nil"/>
                <w:between w:val="nil"/>
              </w:pBdr>
              <w:rPr>
                <w:sz w:val="16"/>
                <w:szCs w:val="16"/>
              </w:rPr>
            </w:pPr>
          </w:p>
        </w:tc>
        <w:tc>
          <w:tcPr>
            <w:tcW w:w="4655" w:type="dxa"/>
          </w:tcPr>
          <w:p w14:paraId="471A43E8" w14:textId="77777777" w:rsidR="00FA457D" w:rsidRPr="009C7E04" w:rsidRDefault="00FA457D" w:rsidP="0079785E">
            <w:pPr>
              <w:rPr>
                <w:sz w:val="18"/>
                <w:szCs w:val="18"/>
              </w:rPr>
            </w:pPr>
            <w:r w:rsidRPr="009C7E04">
              <w:rPr>
                <w:sz w:val="18"/>
                <w:szCs w:val="18"/>
              </w:rPr>
              <w:t>Şiddet algısı, kendini ifade becerileri (</w:t>
            </w:r>
            <w:proofErr w:type="spellStart"/>
            <w:r w:rsidRPr="009C7E04">
              <w:rPr>
                <w:sz w:val="18"/>
                <w:szCs w:val="18"/>
              </w:rPr>
              <w:t>Fong</w:t>
            </w:r>
            <w:proofErr w:type="spellEnd"/>
            <w:r w:rsidRPr="009C7E04">
              <w:rPr>
                <w:sz w:val="18"/>
                <w:szCs w:val="18"/>
              </w:rPr>
              <w:t xml:space="preserve"> 2007)</w:t>
            </w:r>
          </w:p>
        </w:tc>
        <w:tc>
          <w:tcPr>
            <w:tcW w:w="627" w:type="dxa"/>
          </w:tcPr>
          <w:p w14:paraId="55ABF68B"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411E157A" w14:textId="77777777" w:rsidR="00FA457D" w:rsidRPr="009C7E04" w:rsidRDefault="00FA457D" w:rsidP="0079785E">
            <w:pPr>
              <w:pBdr>
                <w:top w:val="nil"/>
                <w:left w:val="nil"/>
                <w:bottom w:val="nil"/>
                <w:right w:val="nil"/>
                <w:between w:val="nil"/>
              </w:pBdr>
              <w:rPr>
                <w:b/>
                <w:sz w:val="18"/>
                <w:szCs w:val="18"/>
              </w:rPr>
            </w:pPr>
          </w:p>
        </w:tc>
      </w:tr>
      <w:tr w:rsidR="00FA457D" w:rsidRPr="009C7E04" w14:paraId="2DAE2328" w14:textId="77777777" w:rsidTr="000610DA">
        <w:trPr>
          <w:trHeight w:val="242"/>
        </w:trPr>
        <w:tc>
          <w:tcPr>
            <w:tcW w:w="964" w:type="dxa"/>
            <w:vMerge/>
          </w:tcPr>
          <w:p w14:paraId="15403110"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5AA6E204" w14:textId="77777777" w:rsidR="00FA457D" w:rsidRPr="009C7E04" w:rsidRDefault="00FA457D" w:rsidP="0079785E">
            <w:pPr>
              <w:pBdr>
                <w:top w:val="nil"/>
                <w:left w:val="nil"/>
                <w:bottom w:val="nil"/>
                <w:right w:val="nil"/>
                <w:between w:val="nil"/>
              </w:pBdr>
              <w:rPr>
                <w:sz w:val="16"/>
                <w:szCs w:val="16"/>
              </w:rPr>
            </w:pPr>
          </w:p>
        </w:tc>
        <w:tc>
          <w:tcPr>
            <w:tcW w:w="4655" w:type="dxa"/>
          </w:tcPr>
          <w:p w14:paraId="4F399DED" w14:textId="77777777" w:rsidR="00FA457D" w:rsidRPr="009C7E04" w:rsidRDefault="00FA457D" w:rsidP="0079785E">
            <w:pPr>
              <w:rPr>
                <w:sz w:val="18"/>
                <w:szCs w:val="18"/>
              </w:rPr>
            </w:pPr>
            <w:r w:rsidRPr="009C7E04">
              <w:rPr>
                <w:sz w:val="18"/>
                <w:szCs w:val="18"/>
              </w:rPr>
              <w:t>Okul korkuları: fizyolojik, duygusal, bilişsel (</w:t>
            </w:r>
            <w:proofErr w:type="spellStart"/>
            <w:r w:rsidRPr="009C7E04">
              <w:rPr>
                <w:sz w:val="18"/>
                <w:szCs w:val="18"/>
              </w:rPr>
              <w:t>Rudokait</w:t>
            </w:r>
            <w:proofErr w:type="spellEnd"/>
            <w:r w:rsidRPr="009C7E04">
              <w:rPr>
                <w:sz w:val="18"/>
                <w:szCs w:val="18"/>
              </w:rPr>
              <w:t xml:space="preserve"> ve </w:t>
            </w:r>
            <w:proofErr w:type="spellStart"/>
            <w:r w:rsidRPr="009C7E04">
              <w:rPr>
                <w:sz w:val="18"/>
                <w:szCs w:val="18"/>
              </w:rPr>
              <w:t>Indriuniene</w:t>
            </w:r>
            <w:proofErr w:type="spellEnd"/>
            <w:r w:rsidRPr="009C7E04">
              <w:rPr>
                <w:sz w:val="18"/>
                <w:szCs w:val="18"/>
              </w:rPr>
              <w:t xml:space="preserve"> 2019)</w:t>
            </w:r>
          </w:p>
        </w:tc>
        <w:tc>
          <w:tcPr>
            <w:tcW w:w="627" w:type="dxa"/>
          </w:tcPr>
          <w:p w14:paraId="706C6B34"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0A59AF7E" w14:textId="77777777" w:rsidR="00FA457D" w:rsidRPr="009C7E04" w:rsidRDefault="00FA457D" w:rsidP="0079785E">
            <w:pPr>
              <w:pBdr>
                <w:top w:val="nil"/>
                <w:left w:val="nil"/>
                <w:bottom w:val="nil"/>
                <w:right w:val="nil"/>
                <w:between w:val="nil"/>
              </w:pBdr>
              <w:rPr>
                <w:b/>
                <w:sz w:val="18"/>
                <w:szCs w:val="18"/>
              </w:rPr>
            </w:pPr>
          </w:p>
        </w:tc>
      </w:tr>
      <w:tr w:rsidR="00FA457D" w:rsidRPr="009C7E04" w14:paraId="5A45EBFE" w14:textId="77777777" w:rsidTr="000610DA">
        <w:trPr>
          <w:trHeight w:val="204"/>
        </w:trPr>
        <w:tc>
          <w:tcPr>
            <w:tcW w:w="964" w:type="dxa"/>
            <w:vMerge/>
          </w:tcPr>
          <w:p w14:paraId="0C8779B8"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4455468F" w14:textId="77777777" w:rsidR="00FA457D" w:rsidRPr="009C7E04" w:rsidRDefault="00FA457D" w:rsidP="0079785E">
            <w:pPr>
              <w:pBdr>
                <w:top w:val="nil"/>
                <w:left w:val="nil"/>
                <w:bottom w:val="nil"/>
                <w:right w:val="nil"/>
                <w:between w:val="nil"/>
              </w:pBdr>
              <w:rPr>
                <w:sz w:val="16"/>
                <w:szCs w:val="16"/>
              </w:rPr>
            </w:pPr>
          </w:p>
        </w:tc>
        <w:tc>
          <w:tcPr>
            <w:tcW w:w="4655" w:type="dxa"/>
          </w:tcPr>
          <w:p w14:paraId="1680B711" w14:textId="77777777" w:rsidR="00FA457D" w:rsidRPr="009C7E04" w:rsidRDefault="00FA457D" w:rsidP="0079785E">
            <w:pPr>
              <w:rPr>
                <w:sz w:val="18"/>
                <w:szCs w:val="18"/>
              </w:rPr>
            </w:pPr>
            <w:r w:rsidRPr="009C7E04">
              <w:rPr>
                <w:sz w:val="18"/>
                <w:szCs w:val="18"/>
              </w:rPr>
              <w:t>Davranış bozuklukları (</w:t>
            </w:r>
            <w:proofErr w:type="spellStart"/>
            <w:r w:rsidRPr="009C7E04">
              <w:rPr>
                <w:sz w:val="18"/>
                <w:szCs w:val="18"/>
              </w:rPr>
              <w:t>Mersouki</w:t>
            </w:r>
            <w:proofErr w:type="spellEnd"/>
            <w:r w:rsidRPr="009C7E04">
              <w:rPr>
                <w:sz w:val="18"/>
                <w:szCs w:val="18"/>
              </w:rPr>
              <w:t xml:space="preserve"> 2022)</w:t>
            </w:r>
          </w:p>
        </w:tc>
        <w:tc>
          <w:tcPr>
            <w:tcW w:w="627" w:type="dxa"/>
          </w:tcPr>
          <w:p w14:paraId="62FBB5DB"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6D7C729D" w14:textId="77777777" w:rsidR="00FA457D" w:rsidRPr="009C7E04" w:rsidRDefault="00FA457D" w:rsidP="0079785E">
            <w:pPr>
              <w:pBdr>
                <w:top w:val="nil"/>
                <w:left w:val="nil"/>
                <w:bottom w:val="nil"/>
                <w:right w:val="nil"/>
                <w:between w:val="nil"/>
              </w:pBdr>
              <w:rPr>
                <w:b/>
                <w:sz w:val="18"/>
                <w:szCs w:val="18"/>
              </w:rPr>
            </w:pPr>
          </w:p>
        </w:tc>
      </w:tr>
      <w:tr w:rsidR="00FA457D" w:rsidRPr="009C7E04" w14:paraId="62199F09" w14:textId="77777777" w:rsidTr="000610DA">
        <w:trPr>
          <w:trHeight w:val="144"/>
        </w:trPr>
        <w:tc>
          <w:tcPr>
            <w:tcW w:w="964" w:type="dxa"/>
            <w:vMerge/>
          </w:tcPr>
          <w:p w14:paraId="477B4BF6"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601DEA4A" w14:textId="77777777" w:rsidR="00FA457D" w:rsidRPr="009C7E04" w:rsidRDefault="00FA457D" w:rsidP="0079785E">
            <w:pPr>
              <w:pBdr>
                <w:top w:val="nil"/>
                <w:left w:val="nil"/>
                <w:bottom w:val="nil"/>
                <w:right w:val="nil"/>
                <w:between w:val="nil"/>
              </w:pBdr>
              <w:rPr>
                <w:sz w:val="16"/>
                <w:szCs w:val="16"/>
              </w:rPr>
            </w:pPr>
          </w:p>
        </w:tc>
        <w:tc>
          <w:tcPr>
            <w:tcW w:w="4655" w:type="dxa"/>
          </w:tcPr>
          <w:p w14:paraId="76B2157C" w14:textId="77777777" w:rsidR="00FA457D" w:rsidRPr="009C7E04" w:rsidRDefault="00FA457D" w:rsidP="0079785E">
            <w:pPr>
              <w:rPr>
                <w:sz w:val="18"/>
                <w:szCs w:val="18"/>
              </w:rPr>
            </w:pPr>
            <w:r w:rsidRPr="009C7E04">
              <w:rPr>
                <w:bCs/>
                <w:sz w:val="18"/>
                <w:szCs w:val="18"/>
              </w:rPr>
              <w:t>Bilişsel esneklik,</w:t>
            </w:r>
            <w:r w:rsidRPr="009C7E04">
              <w:rPr>
                <w:sz w:val="18"/>
                <w:szCs w:val="18"/>
              </w:rPr>
              <w:t xml:space="preserve"> </w:t>
            </w:r>
            <w:r w:rsidRPr="009C7E04">
              <w:rPr>
                <w:bCs/>
                <w:sz w:val="18"/>
                <w:szCs w:val="18"/>
              </w:rPr>
              <w:t>duygusal öz-düzenleme (</w:t>
            </w:r>
            <w:proofErr w:type="spellStart"/>
            <w:r w:rsidRPr="009C7E04">
              <w:rPr>
                <w:sz w:val="18"/>
                <w:szCs w:val="18"/>
              </w:rPr>
              <w:t>Homayoon</w:t>
            </w:r>
            <w:proofErr w:type="spellEnd"/>
            <w:r w:rsidRPr="009C7E04">
              <w:rPr>
                <w:sz w:val="18"/>
                <w:szCs w:val="18"/>
              </w:rPr>
              <w:t xml:space="preserve"> vd., 2024)</w:t>
            </w:r>
          </w:p>
        </w:tc>
        <w:tc>
          <w:tcPr>
            <w:tcW w:w="627" w:type="dxa"/>
          </w:tcPr>
          <w:p w14:paraId="28EF38E0"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7C65A28B" w14:textId="77777777" w:rsidR="00FA457D" w:rsidRPr="009C7E04" w:rsidRDefault="00FA457D" w:rsidP="0079785E">
            <w:pPr>
              <w:pBdr>
                <w:top w:val="nil"/>
                <w:left w:val="nil"/>
                <w:bottom w:val="nil"/>
                <w:right w:val="nil"/>
                <w:between w:val="nil"/>
              </w:pBdr>
              <w:rPr>
                <w:b/>
                <w:sz w:val="18"/>
                <w:szCs w:val="18"/>
              </w:rPr>
            </w:pPr>
          </w:p>
        </w:tc>
      </w:tr>
      <w:tr w:rsidR="00FA457D" w:rsidRPr="009C7E04" w14:paraId="1A212D43" w14:textId="77777777" w:rsidTr="000610DA">
        <w:trPr>
          <w:trHeight w:val="218"/>
        </w:trPr>
        <w:tc>
          <w:tcPr>
            <w:tcW w:w="964" w:type="dxa"/>
            <w:vMerge/>
          </w:tcPr>
          <w:p w14:paraId="0BF715E2"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210F2B03" w14:textId="77777777" w:rsidR="00FA457D" w:rsidRPr="009C7E04" w:rsidRDefault="00FA457D" w:rsidP="0079785E">
            <w:pPr>
              <w:pBdr>
                <w:top w:val="nil"/>
                <w:left w:val="nil"/>
                <w:bottom w:val="nil"/>
                <w:right w:val="nil"/>
                <w:between w:val="nil"/>
              </w:pBdr>
              <w:rPr>
                <w:sz w:val="16"/>
                <w:szCs w:val="16"/>
              </w:rPr>
            </w:pPr>
          </w:p>
        </w:tc>
        <w:tc>
          <w:tcPr>
            <w:tcW w:w="4655" w:type="dxa"/>
          </w:tcPr>
          <w:p w14:paraId="5DF1D67F" w14:textId="77777777" w:rsidR="00FA457D" w:rsidRPr="009C7E04" w:rsidRDefault="00FA457D" w:rsidP="0079785E">
            <w:pPr>
              <w:rPr>
                <w:bCs/>
                <w:sz w:val="18"/>
                <w:szCs w:val="18"/>
              </w:rPr>
            </w:pPr>
            <w:r w:rsidRPr="009C7E04">
              <w:rPr>
                <w:sz w:val="18"/>
                <w:szCs w:val="18"/>
              </w:rPr>
              <w:t>Sosyal anksiyete (</w:t>
            </w:r>
            <w:proofErr w:type="spellStart"/>
            <w:r w:rsidRPr="009C7E04">
              <w:rPr>
                <w:sz w:val="18"/>
                <w:szCs w:val="18"/>
              </w:rPr>
              <w:t>Wan</w:t>
            </w:r>
            <w:proofErr w:type="spellEnd"/>
            <w:r w:rsidRPr="009C7E04">
              <w:rPr>
                <w:sz w:val="18"/>
                <w:szCs w:val="18"/>
              </w:rPr>
              <w:t xml:space="preserve"> 2023)</w:t>
            </w:r>
          </w:p>
        </w:tc>
        <w:tc>
          <w:tcPr>
            <w:tcW w:w="627" w:type="dxa"/>
            <w:tcBorders>
              <w:bottom w:val="single" w:sz="4" w:space="0" w:color="auto"/>
            </w:tcBorders>
          </w:tcPr>
          <w:p w14:paraId="21BEC01F"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Borders>
              <w:bottom w:val="single" w:sz="4" w:space="0" w:color="auto"/>
            </w:tcBorders>
          </w:tcPr>
          <w:p w14:paraId="2DDD3403" w14:textId="77777777" w:rsidR="00FA457D" w:rsidRPr="009C7E04" w:rsidRDefault="00FA457D" w:rsidP="0079785E">
            <w:pPr>
              <w:pBdr>
                <w:top w:val="nil"/>
                <w:left w:val="nil"/>
                <w:bottom w:val="nil"/>
                <w:right w:val="nil"/>
                <w:between w:val="nil"/>
              </w:pBdr>
              <w:rPr>
                <w:b/>
                <w:sz w:val="18"/>
                <w:szCs w:val="18"/>
              </w:rPr>
            </w:pPr>
          </w:p>
        </w:tc>
      </w:tr>
      <w:tr w:rsidR="00FA457D" w:rsidRPr="009C7E04" w14:paraId="357F67FF" w14:textId="77777777" w:rsidTr="000610DA">
        <w:trPr>
          <w:trHeight w:val="182"/>
        </w:trPr>
        <w:tc>
          <w:tcPr>
            <w:tcW w:w="964" w:type="dxa"/>
            <w:vMerge/>
          </w:tcPr>
          <w:p w14:paraId="05D21279"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val="restart"/>
          </w:tcPr>
          <w:p w14:paraId="671B6919" w14:textId="77777777" w:rsidR="00FA457D" w:rsidRPr="009C7E04" w:rsidRDefault="00FA457D" w:rsidP="0079785E">
            <w:pPr>
              <w:pBdr>
                <w:top w:val="nil"/>
                <w:left w:val="nil"/>
                <w:bottom w:val="nil"/>
                <w:right w:val="nil"/>
                <w:between w:val="nil"/>
              </w:pBdr>
              <w:rPr>
                <w:sz w:val="16"/>
                <w:szCs w:val="16"/>
              </w:rPr>
            </w:pPr>
            <w:r w:rsidRPr="009C7E04">
              <w:rPr>
                <w:sz w:val="16"/>
                <w:szCs w:val="16"/>
              </w:rPr>
              <w:t>Sosyal-Duygusal gelişim odaklı</w:t>
            </w:r>
          </w:p>
        </w:tc>
        <w:tc>
          <w:tcPr>
            <w:tcW w:w="4655" w:type="dxa"/>
          </w:tcPr>
          <w:p w14:paraId="219BC651" w14:textId="77777777" w:rsidR="00FA457D" w:rsidRPr="009C7E04" w:rsidRDefault="00FA457D" w:rsidP="0079785E">
            <w:pPr>
              <w:rPr>
                <w:sz w:val="18"/>
                <w:szCs w:val="18"/>
              </w:rPr>
            </w:pPr>
            <w:proofErr w:type="gramStart"/>
            <w:r w:rsidRPr="009C7E04">
              <w:rPr>
                <w:sz w:val="18"/>
                <w:szCs w:val="18"/>
              </w:rPr>
              <w:t>Ölüm  (</w:t>
            </w:r>
            <w:proofErr w:type="spellStart"/>
            <w:proofErr w:type="gramEnd"/>
            <w:r w:rsidRPr="009C7E04">
              <w:rPr>
                <w:sz w:val="18"/>
                <w:szCs w:val="18"/>
              </w:rPr>
              <w:t>Testoni</w:t>
            </w:r>
            <w:proofErr w:type="spellEnd"/>
            <w:r w:rsidRPr="009C7E04">
              <w:rPr>
                <w:sz w:val="18"/>
                <w:szCs w:val="18"/>
              </w:rPr>
              <w:t xml:space="preserve"> vd., 2018; </w:t>
            </w:r>
            <w:proofErr w:type="spellStart"/>
            <w:r w:rsidRPr="009C7E04">
              <w:rPr>
                <w:sz w:val="18"/>
                <w:szCs w:val="18"/>
              </w:rPr>
              <w:t>Testoni</w:t>
            </w:r>
            <w:proofErr w:type="spellEnd"/>
            <w:r w:rsidRPr="009C7E04">
              <w:rPr>
                <w:sz w:val="18"/>
                <w:szCs w:val="18"/>
              </w:rPr>
              <w:t xml:space="preserve"> vd., 2021)</w:t>
            </w:r>
          </w:p>
        </w:tc>
        <w:tc>
          <w:tcPr>
            <w:tcW w:w="627" w:type="dxa"/>
          </w:tcPr>
          <w:p w14:paraId="7013C9EB" w14:textId="77777777" w:rsidR="00FA457D" w:rsidRPr="009C7E04" w:rsidRDefault="00FA457D" w:rsidP="0079785E">
            <w:pPr>
              <w:pBdr>
                <w:top w:val="nil"/>
                <w:left w:val="nil"/>
                <w:bottom w:val="nil"/>
                <w:right w:val="nil"/>
                <w:between w:val="nil"/>
              </w:pBdr>
              <w:rPr>
                <w:sz w:val="18"/>
                <w:szCs w:val="18"/>
              </w:rPr>
            </w:pPr>
            <w:r w:rsidRPr="009C7E04">
              <w:rPr>
                <w:sz w:val="18"/>
                <w:szCs w:val="18"/>
              </w:rPr>
              <w:t>2</w:t>
            </w:r>
          </w:p>
        </w:tc>
        <w:tc>
          <w:tcPr>
            <w:tcW w:w="835" w:type="dxa"/>
            <w:vMerge w:val="restart"/>
          </w:tcPr>
          <w:p w14:paraId="42363AED"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5</w:t>
            </w:r>
          </w:p>
        </w:tc>
      </w:tr>
      <w:tr w:rsidR="00FA457D" w:rsidRPr="009C7E04" w14:paraId="52E32067" w14:textId="77777777" w:rsidTr="000610DA">
        <w:trPr>
          <w:trHeight w:val="129"/>
        </w:trPr>
        <w:tc>
          <w:tcPr>
            <w:tcW w:w="964" w:type="dxa"/>
            <w:vMerge/>
          </w:tcPr>
          <w:p w14:paraId="73C56991"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776FC7E6" w14:textId="77777777" w:rsidR="00FA457D" w:rsidRPr="009C7E04" w:rsidRDefault="00FA457D" w:rsidP="0079785E">
            <w:pPr>
              <w:pBdr>
                <w:top w:val="nil"/>
                <w:left w:val="nil"/>
                <w:bottom w:val="nil"/>
                <w:right w:val="nil"/>
                <w:between w:val="nil"/>
              </w:pBdr>
              <w:rPr>
                <w:sz w:val="16"/>
                <w:szCs w:val="16"/>
              </w:rPr>
            </w:pPr>
          </w:p>
        </w:tc>
        <w:tc>
          <w:tcPr>
            <w:tcW w:w="4655" w:type="dxa"/>
            <w:tcBorders>
              <w:bottom w:val="single" w:sz="4" w:space="0" w:color="auto"/>
            </w:tcBorders>
          </w:tcPr>
          <w:p w14:paraId="1654B5DF" w14:textId="77777777" w:rsidR="00FA457D" w:rsidRPr="009C7E04" w:rsidRDefault="00FA457D" w:rsidP="0079785E">
            <w:pPr>
              <w:rPr>
                <w:sz w:val="18"/>
                <w:szCs w:val="18"/>
              </w:rPr>
            </w:pPr>
            <w:r w:rsidRPr="009C7E04">
              <w:rPr>
                <w:sz w:val="18"/>
                <w:szCs w:val="18"/>
              </w:rPr>
              <w:t>Pozitif benlik kavramı (</w:t>
            </w:r>
            <w:proofErr w:type="spellStart"/>
            <w:r w:rsidRPr="009C7E04">
              <w:rPr>
                <w:sz w:val="18"/>
                <w:szCs w:val="18"/>
              </w:rPr>
              <w:t>Munte</w:t>
            </w:r>
            <w:proofErr w:type="spellEnd"/>
            <w:r w:rsidRPr="009C7E04">
              <w:rPr>
                <w:sz w:val="18"/>
                <w:szCs w:val="18"/>
              </w:rPr>
              <w:t xml:space="preserve"> ve </w:t>
            </w:r>
            <w:proofErr w:type="spellStart"/>
            <w:r w:rsidRPr="009C7E04">
              <w:rPr>
                <w:sz w:val="18"/>
                <w:szCs w:val="18"/>
              </w:rPr>
              <w:t>Arsini</w:t>
            </w:r>
            <w:proofErr w:type="spellEnd"/>
            <w:r w:rsidRPr="009C7E04">
              <w:rPr>
                <w:sz w:val="18"/>
                <w:szCs w:val="18"/>
              </w:rPr>
              <w:t xml:space="preserve"> 2024)</w:t>
            </w:r>
          </w:p>
        </w:tc>
        <w:tc>
          <w:tcPr>
            <w:tcW w:w="627" w:type="dxa"/>
            <w:tcBorders>
              <w:bottom w:val="single" w:sz="4" w:space="0" w:color="auto"/>
            </w:tcBorders>
          </w:tcPr>
          <w:p w14:paraId="4AD1F478"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739C6BDE" w14:textId="77777777" w:rsidR="00FA457D" w:rsidRPr="009C7E04" w:rsidRDefault="00FA457D" w:rsidP="0079785E">
            <w:pPr>
              <w:pBdr>
                <w:top w:val="nil"/>
                <w:left w:val="nil"/>
                <w:bottom w:val="nil"/>
                <w:right w:val="nil"/>
                <w:between w:val="nil"/>
              </w:pBdr>
              <w:rPr>
                <w:b/>
                <w:sz w:val="18"/>
                <w:szCs w:val="18"/>
              </w:rPr>
            </w:pPr>
          </w:p>
        </w:tc>
      </w:tr>
      <w:tr w:rsidR="00FA457D" w:rsidRPr="009C7E04" w14:paraId="54106456" w14:textId="77777777" w:rsidTr="000610DA">
        <w:trPr>
          <w:trHeight w:val="206"/>
        </w:trPr>
        <w:tc>
          <w:tcPr>
            <w:tcW w:w="964" w:type="dxa"/>
            <w:vMerge/>
          </w:tcPr>
          <w:p w14:paraId="6E5EF9E3"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4CA57DF0" w14:textId="77777777" w:rsidR="00FA457D" w:rsidRPr="009C7E04" w:rsidRDefault="00FA457D" w:rsidP="0079785E">
            <w:pPr>
              <w:pBdr>
                <w:top w:val="nil"/>
                <w:left w:val="nil"/>
                <w:bottom w:val="nil"/>
                <w:right w:val="nil"/>
                <w:between w:val="nil"/>
              </w:pBdr>
              <w:rPr>
                <w:sz w:val="16"/>
                <w:szCs w:val="16"/>
              </w:rPr>
            </w:pPr>
          </w:p>
        </w:tc>
        <w:tc>
          <w:tcPr>
            <w:tcW w:w="4655" w:type="dxa"/>
            <w:tcBorders>
              <w:bottom w:val="single" w:sz="4" w:space="0" w:color="auto"/>
            </w:tcBorders>
          </w:tcPr>
          <w:p w14:paraId="03DD3F6D" w14:textId="77777777" w:rsidR="00FA457D" w:rsidRPr="009C7E04" w:rsidRDefault="00FA457D" w:rsidP="0079785E">
            <w:pPr>
              <w:rPr>
                <w:sz w:val="18"/>
                <w:szCs w:val="18"/>
              </w:rPr>
            </w:pPr>
            <w:r w:rsidRPr="009C7E04">
              <w:rPr>
                <w:sz w:val="18"/>
                <w:szCs w:val="18"/>
              </w:rPr>
              <w:t>Beden imgesi (</w:t>
            </w:r>
            <w:proofErr w:type="spellStart"/>
            <w:r w:rsidRPr="009C7E04">
              <w:rPr>
                <w:sz w:val="18"/>
                <w:szCs w:val="18"/>
              </w:rPr>
              <w:t>Arabpour</w:t>
            </w:r>
            <w:proofErr w:type="spellEnd"/>
            <w:r w:rsidRPr="009C7E04">
              <w:rPr>
                <w:sz w:val="18"/>
                <w:szCs w:val="18"/>
              </w:rPr>
              <w:t xml:space="preserve"> </w:t>
            </w:r>
            <w:proofErr w:type="spellStart"/>
            <w:r w:rsidRPr="009C7E04">
              <w:rPr>
                <w:sz w:val="18"/>
                <w:szCs w:val="18"/>
              </w:rPr>
              <w:t>Khanmirzaei</w:t>
            </w:r>
            <w:proofErr w:type="spellEnd"/>
            <w:r w:rsidRPr="009C7E04">
              <w:rPr>
                <w:sz w:val="18"/>
                <w:szCs w:val="18"/>
              </w:rPr>
              <w:t xml:space="preserve"> vd., 2021)</w:t>
            </w:r>
          </w:p>
        </w:tc>
        <w:tc>
          <w:tcPr>
            <w:tcW w:w="627" w:type="dxa"/>
            <w:tcBorders>
              <w:bottom w:val="single" w:sz="4" w:space="0" w:color="auto"/>
            </w:tcBorders>
          </w:tcPr>
          <w:p w14:paraId="59D6E6E7"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24650F80" w14:textId="77777777" w:rsidR="00FA457D" w:rsidRPr="009C7E04" w:rsidRDefault="00FA457D" w:rsidP="0079785E">
            <w:pPr>
              <w:pBdr>
                <w:top w:val="nil"/>
                <w:left w:val="nil"/>
                <w:bottom w:val="nil"/>
                <w:right w:val="nil"/>
                <w:between w:val="nil"/>
              </w:pBdr>
              <w:rPr>
                <w:b/>
                <w:sz w:val="18"/>
                <w:szCs w:val="18"/>
              </w:rPr>
            </w:pPr>
          </w:p>
        </w:tc>
      </w:tr>
      <w:tr w:rsidR="00FA457D" w:rsidRPr="009C7E04" w14:paraId="023CBE38" w14:textId="77777777" w:rsidTr="000610DA">
        <w:trPr>
          <w:trHeight w:val="240"/>
        </w:trPr>
        <w:tc>
          <w:tcPr>
            <w:tcW w:w="964" w:type="dxa"/>
            <w:vMerge/>
          </w:tcPr>
          <w:p w14:paraId="13E611FC" w14:textId="77777777" w:rsidR="00FA457D" w:rsidRPr="009C7E04" w:rsidRDefault="00FA457D" w:rsidP="0079785E">
            <w:pPr>
              <w:pBdr>
                <w:top w:val="nil"/>
                <w:left w:val="nil"/>
                <w:bottom w:val="nil"/>
                <w:right w:val="nil"/>
                <w:between w:val="nil"/>
              </w:pBdr>
              <w:rPr>
                <w:sz w:val="16"/>
                <w:szCs w:val="16"/>
              </w:rPr>
            </w:pPr>
          </w:p>
        </w:tc>
        <w:tc>
          <w:tcPr>
            <w:tcW w:w="2591" w:type="dxa"/>
            <w:vMerge/>
          </w:tcPr>
          <w:p w14:paraId="7C4CA2BF"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tcBorders>
          </w:tcPr>
          <w:p w14:paraId="230C6E0D" w14:textId="77777777" w:rsidR="00FA457D" w:rsidRPr="009C7E04" w:rsidRDefault="00FA457D" w:rsidP="0079785E">
            <w:pPr>
              <w:rPr>
                <w:sz w:val="18"/>
                <w:szCs w:val="18"/>
              </w:rPr>
            </w:pPr>
            <w:r w:rsidRPr="009C7E04">
              <w:rPr>
                <w:sz w:val="18"/>
                <w:szCs w:val="18"/>
              </w:rPr>
              <w:t>Atılganlık (Şimşek vd., 2024)</w:t>
            </w:r>
          </w:p>
        </w:tc>
        <w:tc>
          <w:tcPr>
            <w:tcW w:w="627" w:type="dxa"/>
            <w:tcBorders>
              <w:top w:val="single" w:sz="4" w:space="0" w:color="auto"/>
            </w:tcBorders>
          </w:tcPr>
          <w:p w14:paraId="2EE6BB85"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64B4AC24" w14:textId="77777777" w:rsidR="00FA457D" w:rsidRPr="009C7E04" w:rsidRDefault="00FA457D" w:rsidP="0079785E">
            <w:pPr>
              <w:pBdr>
                <w:top w:val="nil"/>
                <w:left w:val="nil"/>
                <w:bottom w:val="nil"/>
                <w:right w:val="nil"/>
                <w:between w:val="nil"/>
              </w:pBdr>
              <w:rPr>
                <w:b/>
                <w:sz w:val="18"/>
                <w:szCs w:val="18"/>
              </w:rPr>
            </w:pPr>
          </w:p>
        </w:tc>
      </w:tr>
      <w:tr w:rsidR="00FA457D" w:rsidRPr="009C7E04" w14:paraId="2615B801" w14:textId="77777777" w:rsidTr="000610DA">
        <w:trPr>
          <w:trHeight w:val="223"/>
        </w:trPr>
        <w:tc>
          <w:tcPr>
            <w:tcW w:w="964" w:type="dxa"/>
            <w:vMerge w:val="restart"/>
            <w:tcBorders>
              <w:top w:val="single" w:sz="4" w:space="0" w:color="auto"/>
            </w:tcBorders>
          </w:tcPr>
          <w:p w14:paraId="6F5A155A" w14:textId="77777777" w:rsidR="00FA457D" w:rsidRPr="009C7E04" w:rsidRDefault="00FA457D" w:rsidP="0079785E">
            <w:pPr>
              <w:pBdr>
                <w:top w:val="nil"/>
                <w:left w:val="nil"/>
                <w:bottom w:val="nil"/>
                <w:right w:val="nil"/>
                <w:between w:val="nil"/>
              </w:pBdr>
              <w:rPr>
                <w:b/>
                <w:sz w:val="16"/>
                <w:szCs w:val="16"/>
              </w:rPr>
            </w:pPr>
            <w:r w:rsidRPr="009C7E04">
              <w:rPr>
                <w:b/>
                <w:sz w:val="16"/>
                <w:szCs w:val="16"/>
              </w:rPr>
              <w:t>Üniversite</w:t>
            </w:r>
          </w:p>
        </w:tc>
        <w:tc>
          <w:tcPr>
            <w:tcW w:w="2591" w:type="dxa"/>
            <w:vMerge w:val="restart"/>
            <w:tcBorders>
              <w:top w:val="single" w:sz="4" w:space="0" w:color="auto"/>
            </w:tcBorders>
          </w:tcPr>
          <w:p w14:paraId="6DF20193" w14:textId="77777777" w:rsidR="00FA457D" w:rsidRPr="009C7E04" w:rsidRDefault="00FA457D" w:rsidP="0079785E">
            <w:pPr>
              <w:pBdr>
                <w:top w:val="nil"/>
                <w:left w:val="nil"/>
                <w:bottom w:val="nil"/>
                <w:right w:val="nil"/>
                <w:between w:val="nil"/>
              </w:pBdr>
              <w:rPr>
                <w:sz w:val="16"/>
                <w:szCs w:val="16"/>
              </w:rPr>
            </w:pPr>
            <w:r w:rsidRPr="009C7E04">
              <w:rPr>
                <w:sz w:val="16"/>
                <w:szCs w:val="16"/>
              </w:rPr>
              <w:t>Problem odaklı</w:t>
            </w:r>
          </w:p>
        </w:tc>
        <w:tc>
          <w:tcPr>
            <w:tcW w:w="4655" w:type="dxa"/>
          </w:tcPr>
          <w:p w14:paraId="78335A1D" w14:textId="77777777" w:rsidR="00FA457D" w:rsidRPr="009C7E04" w:rsidRDefault="00FA457D" w:rsidP="0079785E">
            <w:pPr>
              <w:rPr>
                <w:sz w:val="18"/>
                <w:szCs w:val="18"/>
              </w:rPr>
            </w:pPr>
            <w:r w:rsidRPr="009C7E04">
              <w:rPr>
                <w:sz w:val="18"/>
                <w:szCs w:val="18"/>
              </w:rPr>
              <w:t xml:space="preserve">Bağlanma </w:t>
            </w:r>
            <w:proofErr w:type="gramStart"/>
            <w:r w:rsidRPr="009C7E04">
              <w:rPr>
                <w:sz w:val="18"/>
                <w:szCs w:val="18"/>
              </w:rPr>
              <w:t>Anksiyetesi,</w:t>
            </w:r>
            <w:proofErr w:type="gramEnd"/>
            <w:r w:rsidRPr="009C7E04">
              <w:rPr>
                <w:sz w:val="18"/>
                <w:szCs w:val="18"/>
              </w:rPr>
              <w:t xml:space="preserve"> ve stres (</w:t>
            </w:r>
            <w:proofErr w:type="spellStart"/>
            <w:r w:rsidRPr="009C7E04">
              <w:rPr>
                <w:sz w:val="18"/>
                <w:szCs w:val="18"/>
              </w:rPr>
              <w:t>Chae</w:t>
            </w:r>
            <w:proofErr w:type="spellEnd"/>
            <w:r w:rsidRPr="009C7E04">
              <w:rPr>
                <w:sz w:val="18"/>
                <w:szCs w:val="18"/>
              </w:rPr>
              <w:t xml:space="preserve"> ve Kim 2016)</w:t>
            </w:r>
          </w:p>
        </w:tc>
        <w:tc>
          <w:tcPr>
            <w:tcW w:w="627" w:type="dxa"/>
          </w:tcPr>
          <w:p w14:paraId="6514F229"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val="restart"/>
            <w:tcBorders>
              <w:top w:val="single" w:sz="4" w:space="0" w:color="auto"/>
            </w:tcBorders>
          </w:tcPr>
          <w:p w14:paraId="6F9AF0D3"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4</w:t>
            </w:r>
          </w:p>
        </w:tc>
      </w:tr>
      <w:tr w:rsidR="00FA457D" w:rsidRPr="009C7E04" w14:paraId="04E0C26A" w14:textId="77777777" w:rsidTr="000610DA">
        <w:trPr>
          <w:trHeight w:val="126"/>
        </w:trPr>
        <w:tc>
          <w:tcPr>
            <w:tcW w:w="964" w:type="dxa"/>
            <w:vMerge/>
          </w:tcPr>
          <w:p w14:paraId="2A40C0D4"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11323CEA" w14:textId="77777777" w:rsidR="00FA457D" w:rsidRPr="009C7E04" w:rsidRDefault="00FA457D" w:rsidP="0079785E">
            <w:pPr>
              <w:pBdr>
                <w:top w:val="nil"/>
                <w:left w:val="nil"/>
                <w:bottom w:val="nil"/>
                <w:right w:val="nil"/>
                <w:between w:val="nil"/>
              </w:pBdr>
              <w:rPr>
                <w:sz w:val="16"/>
                <w:szCs w:val="16"/>
              </w:rPr>
            </w:pPr>
          </w:p>
        </w:tc>
        <w:tc>
          <w:tcPr>
            <w:tcW w:w="4655" w:type="dxa"/>
          </w:tcPr>
          <w:p w14:paraId="4F57A3D0" w14:textId="77777777" w:rsidR="00FA457D" w:rsidRPr="009C7E04" w:rsidRDefault="00FA457D" w:rsidP="0079785E">
            <w:pPr>
              <w:rPr>
                <w:sz w:val="18"/>
                <w:szCs w:val="18"/>
              </w:rPr>
            </w:pPr>
            <w:r w:rsidRPr="009C7E04">
              <w:rPr>
                <w:sz w:val="18"/>
                <w:szCs w:val="18"/>
              </w:rPr>
              <w:t>Depresyon, otomatik düşünceler (</w:t>
            </w:r>
            <w:proofErr w:type="spellStart"/>
            <w:r w:rsidRPr="009C7E04">
              <w:rPr>
                <w:sz w:val="18"/>
                <w:szCs w:val="18"/>
              </w:rPr>
              <w:t>Hamamci</w:t>
            </w:r>
            <w:proofErr w:type="spellEnd"/>
            <w:r w:rsidRPr="009C7E04">
              <w:rPr>
                <w:sz w:val="18"/>
                <w:szCs w:val="18"/>
              </w:rPr>
              <w:t xml:space="preserve"> 2006)</w:t>
            </w:r>
          </w:p>
        </w:tc>
        <w:tc>
          <w:tcPr>
            <w:tcW w:w="627" w:type="dxa"/>
          </w:tcPr>
          <w:p w14:paraId="7034555A"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22BB4207" w14:textId="77777777" w:rsidR="00FA457D" w:rsidRPr="009C7E04" w:rsidRDefault="00FA457D" w:rsidP="0079785E">
            <w:pPr>
              <w:pBdr>
                <w:top w:val="nil"/>
                <w:left w:val="nil"/>
                <w:bottom w:val="nil"/>
                <w:right w:val="nil"/>
                <w:between w:val="nil"/>
              </w:pBdr>
              <w:rPr>
                <w:b/>
                <w:sz w:val="18"/>
                <w:szCs w:val="18"/>
              </w:rPr>
            </w:pPr>
          </w:p>
        </w:tc>
      </w:tr>
      <w:tr w:rsidR="00FA457D" w:rsidRPr="009C7E04" w14:paraId="369933E8" w14:textId="77777777" w:rsidTr="000610DA">
        <w:trPr>
          <w:trHeight w:val="200"/>
        </w:trPr>
        <w:tc>
          <w:tcPr>
            <w:tcW w:w="964" w:type="dxa"/>
            <w:vMerge/>
          </w:tcPr>
          <w:p w14:paraId="3D8F1501"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35259F8E" w14:textId="77777777" w:rsidR="00FA457D" w:rsidRPr="009C7E04" w:rsidRDefault="00FA457D" w:rsidP="0079785E">
            <w:pPr>
              <w:pBdr>
                <w:top w:val="nil"/>
                <w:left w:val="nil"/>
                <w:bottom w:val="nil"/>
                <w:right w:val="nil"/>
                <w:between w:val="nil"/>
              </w:pBdr>
              <w:rPr>
                <w:sz w:val="16"/>
                <w:szCs w:val="16"/>
              </w:rPr>
            </w:pPr>
          </w:p>
        </w:tc>
        <w:tc>
          <w:tcPr>
            <w:tcW w:w="4655" w:type="dxa"/>
          </w:tcPr>
          <w:p w14:paraId="7F66DC67" w14:textId="77777777" w:rsidR="00FA457D" w:rsidRPr="009C7E04" w:rsidRDefault="00FA457D" w:rsidP="0079785E">
            <w:pPr>
              <w:tabs>
                <w:tab w:val="center" w:pos="2219"/>
              </w:tabs>
              <w:rPr>
                <w:sz w:val="18"/>
                <w:szCs w:val="18"/>
              </w:rPr>
            </w:pPr>
            <w:r w:rsidRPr="009C7E04">
              <w:rPr>
                <w:sz w:val="18"/>
                <w:szCs w:val="18"/>
              </w:rPr>
              <w:t>Depresyon, anksiyete, travma belirtileri gibi psikolojik rahatsızlıkların düzeyi (</w:t>
            </w:r>
            <w:proofErr w:type="spellStart"/>
            <w:r w:rsidRPr="009C7E04">
              <w:rPr>
                <w:sz w:val="18"/>
                <w:szCs w:val="18"/>
              </w:rPr>
              <w:t>Biolcati</w:t>
            </w:r>
            <w:proofErr w:type="spellEnd"/>
            <w:r w:rsidRPr="009C7E04">
              <w:rPr>
                <w:sz w:val="18"/>
                <w:szCs w:val="18"/>
              </w:rPr>
              <w:t xml:space="preserve"> vd., 2017)</w:t>
            </w:r>
          </w:p>
        </w:tc>
        <w:tc>
          <w:tcPr>
            <w:tcW w:w="627" w:type="dxa"/>
          </w:tcPr>
          <w:p w14:paraId="2822691C"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4B271D3B" w14:textId="77777777" w:rsidR="00FA457D" w:rsidRPr="009C7E04" w:rsidRDefault="00FA457D" w:rsidP="0079785E">
            <w:pPr>
              <w:pBdr>
                <w:top w:val="nil"/>
                <w:left w:val="nil"/>
                <w:bottom w:val="nil"/>
                <w:right w:val="nil"/>
                <w:between w:val="nil"/>
              </w:pBdr>
              <w:rPr>
                <w:b/>
                <w:sz w:val="18"/>
                <w:szCs w:val="18"/>
              </w:rPr>
            </w:pPr>
          </w:p>
        </w:tc>
      </w:tr>
      <w:tr w:rsidR="00FA457D" w:rsidRPr="009C7E04" w14:paraId="309CCBF4" w14:textId="77777777" w:rsidTr="000610DA">
        <w:trPr>
          <w:trHeight w:val="132"/>
        </w:trPr>
        <w:tc>
          <w:tcPr>
            <w:tcW w:w="964" w:type="dxa"/>
            <w:vMerge/>
          </w:tcPr>
          <w:p w14:paraId="2E690C18"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Borders>
              <w:bottom w:val="single" w:sz="4" w:space="0" w:color="auto"/>
            </w:tcBorders>
          </w:tcPr>
          <w:p w14:paraId="0F01D322" w14:textId="77777777" w:rsidR="00FA457D" w:rsidRPr="009C7E04" w:rsidRDefault="00FA457D" w:rsidP="0079785E">
            <w:pPr>
              <w:pBdr>
                <w:top w:val="nil"/>
                <w:left w:val="nil"/>
                <w:bottom w:val="nil"/>
                <w:right w:val="nil"/>
                <w:between w:val="nil"/>
              </w:pBdr>
              <w:rPr>
                <w:sz w:val="16"/>
                <w:szCs w:val="16"/>
              </w:rPr>
            </w:pPr>
          </w:p>
        </w:tc>
        <w:tc>
          <w:tcPr>
            <w:tcW w:w="4655" w:type="dxa"/>
            <w:tcBorders>
              <w:bottom w:val="single" w:sz="4" w:space="0" w:color="auto"/>
            </w:tcBorders>
          </w:tcPr>
          <w:p w14:paraId="540D6DBB" w14:textId="77777777" w:rsidR="00FA457D" w:rsidRPr="009C7E04" w:rsidRDefault="00FA457D" w:rsidP="0079785E">
            <w:pPr>
              <w:rPr>
                <w:sz w:val="18"/>
                <w:szCs w:val="18"/>
              </w:rPr>
            </w:pPr>
            <w:r w:rsidRPr="009C7E04">
              <w:rPr>
                <w:sz w:val="18"/>
                <w:szCs w:val="18"/>
              </w:rPr>
              <w:t>Umutsuzluk (Karataş 2014)</w:t>
            </w:r>
          </w:p>
        </w:tc>
        <w:tc>
          <w:tcPr>
            <w:tcW w:w="627" w:type="dxa"/>
          </w:tcPr>
          <w:p w14:paraId="2237897C"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Borders>
              <w:bottom w:val="single" w:sz="4" w:space="0" w:color="auto"/>
            </w:tcBorders>
          </w:tcPr>
          <w:p w14:paraId="47A218C3" w14:textId="77777777" w:rsidR="00FA457D" w:rsidRPr="009C7E04" w:rsidRDefault="00FA457D" w:rsidP="0079785E">
            <w:pPr>
              <w:pBdr>
                <w:top w:val="nil"/>
                <w:left w:val="nil"/>
                <w:bottom w:val="nil"/>
                <w:right w:val="nil"/>
                <w:between w:val="nil"/>
              </w:pBdr>
              <w:rPr>
                <w:b/>
                <w:sz w:val="18"/>
                <w:szCs w:val="18"/>
              </w:rPr>
            </w:pPr>
          </w:p>
        </w:tc>
      </w:tr>
      <w:tr w:rsidR="00FA457D" w:rsidRPr="009C7E04" w14:paraId="7096F5DC" w14:textId="77777777" w:rsidTr="000610DA">
        <w:trPr>
          <w:trHeight w:val="189"/>
        </w:trPr>
        <w:tc>
          <w:tcPr>
            <w:tcW w:w="964" w:type="dxa"/>
            <w:vMerge/>
          </w:tcPr>
          <w:p w14:paraId="0A4924B0"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val="restart"/>
            <w:tcBorders>
              <w:top w:val="single" w:sz="4" w:space="0" w:color="auto"/>
            </w:tcBorders>
          </w:tcPr>
          <w:p w14:paraId="33112DA2" w14:textId="77777777" w:rsidR="00FA457D" w:rsidRPr="009C7E04" w:rsidRDefault="00FA457D" w:rsidP="0079785E">
            <w:pPr>
              <w:pBdr>
                <w:top w:val="nil"/>
                <w:left w:val="nil"/>
                <w:bottom w:val="nil"/>
                <w:right w:val="nil"/>
                <w:between w:val="nil"/>
              </w:pBdr>
              <w:rPr>
                <w:sz w:val="16"/>
                <w:szCs w:val="16"/>
              </w:rPr>
            </w:pPr>
            <w:r w:rsidRPr="009C7E04">
              <w:rPr>
                <w:sz w:val="16"/>
                <w:szCs w:val="16"/>
              </w:rPr>
              <w:t>Sosyal-Duygusal gelişim odaklı</w:t>
            </w:r>
          </w:p>
        </w:tc>
        <w:tc>
          <w:tcPr>
            <w:tcW w:w="4655" w:type="dxa"/>
            <w:tcBorders>
              <w:top w:val="single" w:sz="4" w:space="0" w:color="auto"/>
              <w:bottom w:val="single" w:sz="4" w:space="0" w:color="auto"/>
            </w:tcBorders>
          </w:tcPr>
          <w:p w14:paraId="35107472" w14:textId="77777777" w:rsidR="00FA457D" w:rsidRPr="009C7E04" w:rsidRDefault="00FA457D" w:rsidP="0079785E">
            <w:pPr>
              <w:rPr>
                <w:sz w:val="18"/>
                <w:szCs w:val="18"/>
              </w:rPr>
            </w:pPr>
            <w:r w:rsidRPr="009C7E04">
              <w:rPr>
                <w:sz w:val="18"/>
                <w:szCs w:val="18"/>
              </w:rPr>
              <w:t xml:space="preserve">Öznel İyi Oluş (Karataş 2014; </w:t>
            </w:r>
            <w:proofErr w:type="spellStart"/>
            <w:r w:rsidRPr="009C7E04">
              <w:rPr>
                <w:sz w:val="18"/>
                <w:szCs w:val="18"/>
              </w:rPr>
              <w:t>Atintaş</w:t>
            </w:r>
            <w:proofErr w:type="spellEnd"/>
            <w:r w:rsidRPr="009C7E04">
              <w:rPr>
                <w:sz w:val="18"/>
                <w:szCs w:val="18"/>
              </w:rPr>
              <w:t xml:space="preserve"> ve Kırlangıç Şimşek 2020; Kaya ve Deniz 2020; Katmer vd.,2020; Kaya 2020; </w:t>
            </w:r>
            <w:proofErr w:type="spellStart"/>
            <w:r w:rsidRPr="009C7E04">
              <w:rPr>
                <w:sz w:val="18"/>
                <w:szCs w:val="18"/>
              </w:rPr>
              <w:t>Biolcati</w:t>
            </w:r>
            <w:proofErr w:type="spellEnd"/>
            <w:r w:rsidRPr="009C7E04">
              <w:rPr>
                <w:sz w:val="18"/>
                <w:szCs w:val="18"/>
              </w:rPr>
              <w:t xml:space="preserve"> vd., 2023; </w:t>
            </w:r>
            <w:proofErr w:type="spellStart"/>
            <w:proofErr w:type="gramStart"/>
            <w:r w:rsidRPr="009C7E04">
              <w:rPr>
                <w:sz w:val="18"/>
                <w:szCs w:val="18"/>
              </w:rPr>
              <w:t>Dima</w:t>
            </w:r>
            <w:proofErr w:type="spellEnd"/>
            <w:r w:rsidRPr="009C7E04">
              <w:rPr>
                <w:sz w:val="18"/>
                <w:szCs w:val="18"/>
              </w:rPr>
              <w:t>,  2024</w:t>
            </w:r>
            <w:proofErr w:type="gramEnd"/>
            <w:r w:rsidRPr="009C7E04">
              <w:rPr>
                <w:sz w:val="18"/>
                <w:szCs w:val="18"/>
              </w:rPr>
              <w:t>)</w:t>
            </w:r>
          </w:p>
        </w:tc>
        <w:tc>
          <w:tcPr>
            <w:tcW w:w="627" w:type="dxa"/>
            <w:tcBorders>
              <w:bottom w:val="single" w:sz="4" w:space="0" w:color="auto"/>
            </w:tcBorders>
          </w:tcPr>
          <w:p w14:paraId="53501606" w14:textId="77777777" w:rsidR="00FA457D" w:rsidRPr="009C7E04" w:rsidRDefault="00FA457D" w:rsidP="0079785E">
            <w:pPr>
              <w:pBdr>
                <w:top w:val="nil"/>
                <w:left w:val="nil"/>
                <w:bottom w:val="nil"/>
                <w:right w:val="nil"/>
                <w:between w:val="nil"/>
              </w:pBdr>
              <w:rPr>
                <w:sz w:val="18"/>
                <w:szCs w:val="18"/>
              </w:rPr>
            </w:pPr>
            <w:r w:rsidRPr="009C7E04">
              <w:rPr>
                <w:sz w:val="18"/>
                <w:szCs w:val="18"/>
              </w:rPr>
              <w:t>7</w:t>
            </w:r>
          </w:p>
        </w:tc>
        <w:tc>
          <w:tcPr>
            <w:tcW w:w="835" w:type="dxa"/>
            <w:vMerge w:val="restart"/>
            <w:tcBorders>
              <w:top w:val="single" w:sz="4" w:space="0" w:color="auto"/>
            </w:tcBorders>
          </w:tcPr>
          <w:p w14:paraId="4269D180" w14:textId="77777777" w:rsidR="00FA457D" w:rsidRPr="009C7E04" w:rsidRDefault="00FA457D" w:rsidP="0079785E">
            <w:pPr>
              <w:pBdr>
                <w:top w:val="nil"/>
                <w:left w:val="nil"/>
                <w:bottom w:val="nil"/>
                <w:right w:val="nil"/>
                <w:between w:val="nil"/>
              </w:pBdr>
              <w:rPr>
                <w:b/>
                <w:sz w:val="18"/>
                <w:szCs w:val="18"/>
              </w:rPr>
            </w:pPr>
            <w:r w:rsidRPr="009C7E04">
              <w:rPr>
                <w:b/>
                <w:sz w:val="18"/>
                <w:szCs w:val="18"/>
              </w:rPr>
              <w:t>17</w:t>
            </w:r>
          </w:p>
        </w:tc>
      </w:tr>
      <w:tr w:rsidR="00FA457D" w:rsidRPr="009C7E04" w14:paraId="004CC632" w14:textId="77777777" w:rsidTr="000610DA">
        <w:trPr>
          <w:trHeight w:val="161"/>
        </w:trPr>
        <w:tc>
          <w:tcPr>
            <w:tcW w:w="964" w:type="dxa"/>
            <w:vMerge/>
          </w:tcPr>
          <w:p w14:paraId="6A62FB5F"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72524E7D" w14:textId="77777777" w:rsidR="00FA457D" w:rsidRPr="009C7E04" w:rsidRDefault="00FA457D" w:rsidP="0079785E">
            <w:pPr>
              <w:pBdr>
                <w:top w:val="nil"/>
                <w:left w:val="nil"/>
                <w:bottom w:val="nil"/>
                <w:right w:val="nil"/>
                <w:between w:val="nil"/>
              </w:pBdr>
              <w:rPr>
                <w:sz w:val="16"/>
                <w:szCs w:val="16"/>
              </w:rPr>
            </w:pPr>
          </w:p>
        </w:tc>
        <w:tc>
          <w:tcPr>
            <w:tcW w:w="4655" w:type="dxa"/>
            <w:tcBorders>
              <w:bottom w:val="single" w:sz="4" w:space="0" w:color="auto"/>
            </w:tcBorders>
          </w:tcPr>
          <w:p w14:paraId="5A9A0F97" w14:textId="77777777" w:rsidR="00FA457D" w:rsidRPr="009C7E04" w:rsidRDefault="00FA457D" w:rsidP="0079785E">
            <w:pPr>
              <w:rPr>
                <w:sz w:val="18"/>
                <w:szCs w:val="18"/>
              </w:rPr>
            </w:pPr>
            <w:r w:rsidRPr="009C7E04">
              <w:rPr>
                <w:sz w:val="18"/>
                <w:szCs w:val="18"/>
              </w:rPr>
              <w:t xml:space="preserve">Öz-yeterlik (Kaya vd., 2021; </w:t>
            </w:r>
            <w:proofErr w:type="spellStart"/>
            <w:r w:rsidRPr="009C7E04">
              <w:rPr>
                <w:sz w:val="18"/>
                <w:szCs w:val="18"/>
              </w:rPr>
              <w:t>Wieser</w:t>
            </w:r>
            <w:proofErr w:type="spellEnd"/>
            <w:r w:rsidRPr="009C7E04">
              <w:rPr>
                <w:sz w:val="18"/>
                <w:szCs w:val="18"/>
              </w:rPr>
              <w:t xml:space="preserve"> ve </w:t>
            </w:r>
            <w:proofErr w:type="spellStart"/>
            <w:r w:rsidRPr="009C7E04">
              <w:rPr>
                <w:sz w:val="18"/>
                <w:szCs w:val="18"/>
              </w:rPr>
              <w:t>Leitner</w:t>
            </w:r>
            <w:proofErr w:type="spellEnd"/>
            <w:r w:rsidRPr="009C7E04">
              <w:rPr>
                <w:sz w:val="18"/>
                <w:szCs w:val="18"/>
              </w:rPr>
              <w:t xml:space="preserve"> 2023; </w:t>
            </w:r>
            <w:proofErr w:type="spellStart"/>
            <w:r w:rsidRPr="009C7E04">
              <w:rPr>
                <w:rStyle w:val="Gl"/>
                <w:rFonts w:eastAsiaTheme="majorEastAsia"/>
                <w:sz w:val="18"/>
                <w:szCs w:val="18"/>
              </w:rPr>
              <w:t>Ronconi</w:t>
            </w:r>
            <w:proofErr w:type="spellEnd"/>
            <w:r w:rsidRPr="009C7E04">
              <w:rPr>
                <w:rStyle w:val="Gl"/>
                <w:rFonts w:eastAsiaTheme="majorEastAsia"/>
                <w:sz w:val="18"/>
                <w:szCs w:val="18"/>
              </w:rPr>
              <w:t xml:space="preserve"> vd., 2023; </w:t>
            </w:r>
            <w:proofErr w:type="spellStart"/>
            <w:r w:rsidRPr="009C7E04">
              <w:rPr>
                <w:sz w:val="18"/>
                <w:szCs w:val="18"/>
              </w:rPr>
              <w:t>Dima</w:t>
            </w:r>
            <w:proofErr w:type="spellEnd"/>
            <w:r w:rsidRPr="009C7E04">
              <w:rPr>
                <w:sz w:val="18"/>
                <w:szCs w:val="18"/>
              </w:rPr>
              <w:t xml:space="preserve"> 2024)</w:t>
            </w:r>
          </w:p>
        </w:tc>
        <w:tc>
          <w:tcPr>
            <w:tcW w:w="627" w:type="dxa"/>
            <w:tcBorders>
              <w:bottom w:val="single" w:sz="4" w:space="0" w:color="auto"/>
            </w:tcBorders>
          </w:tcPr>
          <w:p w14:paraId="6354E932" w14:textId="77777777" w:rsidR="00FA457D" w:rsidRPr="009C7E04" w:rsidRDefault="00FA457D" w:rsidP="0079785E">
            <w:pPr>
              <w:pBdr>
                <w:top w:val="nil"/>
                <w:left w:val="nil"/>
                <w:bottom w:val="nil"/>
                <w:right w:val="nil"/>
                <w:between w:val="nil"/>
              </w:pBdr>
              <w:rPr>
                <w:sz w:val="18"/>
                <w:szCs w:val="18"/>
              </w:rPr>
            </w:pPr>
            <w:r w:rsidRPr="009C7E04">
              <w:rPr>
                <w:sz w:val="18"/>
                <w:szCs w:val="18"/>
              </w:rPr>
              <w:t>4</w:t>
            </w:r>
          </w:p>
        </w:tc>
        <w:tc>
          <w:tcPr>
            <w:tcW w:w="835" w:type="dxa"/>
            <w:vMerge/>
          </w:tcPr>
          <w:p w14:paraId="4B831F18" w14:textId="77777777" w:rsidR="00FA457D" w:rsidRPr="009C7E04" w:rsidRDefault="00FA457D" w:rsidP="0079785E">
            <w:pPr>
              <w:pBdr>
                <w:top w:val="nil"/>
                <w:left w:val="nil"/>
                <w:bottom w:val="nil"/>
                <w:right w:val="nil"/>
                <w:between w:val="nil"/>
              </w:pBdr>
              <w:rPr>
                <w:b/>
                <w:sz w:val="18"/>
                <w:szCs w:val="18"/>
              </w:rPr>
            </w:pPr>
          </w:p>
        </w:tc>
      </w:tr>
      <w:tr w:rsidR="00FA457D" w:rsidRPr="009C7E04" w14:paraId="035D9C4E" w14:textId="77777777" w:rsidTr="000610DA">
        <w:trPr>
          <w:trHeight w:val="195"/>
        </w:trPr>
        <w:tc>
          <w:tcPr>
            <w:tcW w:w="964" w:type="dxa"/>
            <w:vMerge/>
          </w:tcPr>
          <w:p w14:paraId="1C5C23EA"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15DA80E2"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7A8F1ACA" w14:textId="77777777" w:rsidR="00FA457D" w:rsidRPr="009C7E04" w:rsidRDefault="00FA457D" w:rsidP="0079785E">
            <w:pPr>
              <w:rPr>
                <w:sz w:val="18"/>
                <w:szCs w:val="18"/>
              </w:rPr>
            </w:pPr>
            <w:r w:rsidRPr="009C7E04">
              <w:rPr>
                <w:sz w:val="18"/>
                <w:szCs w:val="18"/>
              </w:rPr>
              <w:t>Psikolojik iyi oluş (</w:t>
            </w:r>
            <w:proofErr w:type="spellStart"/>
            <w:r w:rsidRPr="009C7E04">
              <w:rPr>
                <w:sz w:val="18"/>
                <w:szCs w:val="18"/>
              </w:rPr>
              <w:t>Atintaş</w:t>
            </w:r>
            <w:proofErr w:type="spellEnd"/>
            <w:r w:rsidRPr="009C7E04">
              <w:rPr>
                <w:sz w:val="18"/>
                <w:szCs w:val="18"/>
              </w:rPr>
              <w:t xml:space="preserve"> ve Kırlangıç Şimşek 2020; Kaya ve Deniz 2020; </w:t>
            </w:r>
            <w:proofErr w:type="spellStart"/>
            <w:r w:rsidRPr="009C7E04">
              <w:rPr>
                <w:sz w:val="18"/>
                <w:szCs w:val="18"/>
              </w:rPr>
              <w:t>Biolcati</w:t>
            </w:r>
            <w:proofErr w:type="spellEnd"/>
            <w:r w:rsidRPr="009C7E04">
              <w:rPr>
                <w:sz w:val="18"/>
                <w:szCs w:val="18"/>
              </w:rPr>
              <w:t xml:space="preserve"> vd., 2023)</w:t>
            </w:r>
          </w:p>
        </w:tc>
        <w:tc>
          <w:tcPr>
            <w:tcW w:w="627" w:type="dxa"/>
            <w:tcBorders>
              <w:top w:val="single" w:sz="4" w:space="0" w:color="auto"/>
              <w:bottom w:val="single" w:sz="4" w:space="0" w:color="auto"/>
            </w:tcBorders>
          </w:tcPr>
          <w:p w14:paraId="5F03BC87" w14:textId="77777777" w:rsidR="00FA457D" w:rsidRPr="009C7E04" w:rsidRDefault="00FA457D" w:rsidP="0079785E">
            <w:pPr>
              <w:pBdr>
                <w:top w:val="nil"/>
                <w:left w:val="nil"/>
                <w:bottom w:val="nil"/>
                <w:right w:val="nil"/>
                <w:between w:val="nil"/>
              </w:pBdr>
              <w:rPr>
                <w:sz w:val="18"/>
                <w:szCs w:val="18"/>
              </w:rPr>
            </w:pPr>
            <w:r w:rsidRPr="009C7E04">
              <w:rPr>
                <w:sz w:val="18"/>
                <w:szCs w:val="18"/>
              </w:rPr>
              <w:t>3</w:t>
            </w:r>
          </w:p>
        </w:tc>
        <w:tc>
          <w:tcPr>
            <w:tcW w:w="835" w:type="dxa"/>
            <w:vMerge/>
          </w:tcPr>
          <w:p w14:paraId="2D647EB4" w14:textId="77777777" w:rsidR="00FA457D" w:rsidRPr="009C7E04" w:rsidRDefault="00FA457D" w:rsidP="0079785E">
            <w:pPr>
              <w:pBdr>
                <w:top w:val="nil"/>
                <w:left w:val="nil"/>
                <w:bottom w:val="nil"/>
                <w:right w:val="nil"/>
                <w:between w:val="nil"/>
              </w:pBdr>
              <w:rPr>
                <w:b/>
                <w:sz w:val="18"/>
                <w:szCs w:val="18"/>
              </w:rPr>
            </w:pPr>
          </w:p>
        </w:tc>
      </w:tr>
      <w:tr w:rsidR="00FA457D" w:rsidRPr="009C7E04" w14:paraId="6270B557" w14:textId="77777777" w:rsidTr="000610DA">
        <w:trPr>
          <w:trHeight w:val="207"/>
        </w:trPr>
        <w:tc>
          <w:tcPr>
            <w:tcW w:w="964" w:type="dxa"/>
            <w:vMerge/>
          </w:tcPr>
          <w:p w14:paraId="394218CE"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37BE60B7"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1D912A11" w14:textId="77777777" w:rsidR="00FA457D" w:rsidRPr="009C7E04" w:rsidRDefault="00FA457D" w:rsidP="0079785E">
            <w:pPr>
              <w:tabs>
                <w:tab w:val="left" w:pos="855"/>
              </w:tabs>
              <w:rPr>
                <w:sz w:val="18"/>
                <w:szCs w:val="18"/>
              </w:rPr>
            </w:pPr>
            <w:proofErr w:type="spellStart"/>
            <w:r w:rsidRPr="009C7E04">
              <w:rPr>
                <w:sz w:val="18"/>
                <w:szCs w:val="18"/>
              </w:rPr>
              <w:t>İetişim</w:t>
            </w:r>
            <w:proofErr w:type="spellEnd"/>
            <w:r w:rsidRPr="009C7E04">
              <w:rPr>
                <w:sz w:val="18"/>
                <w:szCs w:val="18"/>
              </w:rPr>
              <w:t xml:space="preserve"> becerileri (Karakaya </w:t>
            </w:r>
            <w:proofErr w:type="spellStart"/>
            <w:r w:rsidRPr="009C7E04">
              <w:rPr>
                <w:sz w:val="18"/>
                <w:szCs w:val="18"/>
              </w:rPr>
              <w:t>Çataldaş</w:t>
            </w:r>
            <w:proofErr w:type="spellEnd"/>
            <w:r w:rsidRPr="009C7E04">
              <w:rPr>
                <w:sz w:val="18"/>
                <w:szCs w:val="18"/>
              </w:rPr>
              <w:t xml:space="preserve"> vd., 2024; </w:t>
            </w:r>
            <w:proofErr w:type="spellStart"/>
            <w:r w:rsidRPr="009C7E04">
              <w:rPr>
                <w:sz w:val="18"/>
                <w:szCs w:val="18"/>
              </w:rPr>
              <w:t>Beauvais</w:t>
            </w:r>
            <w:proofErr w:type="spellEnd"/>
            <w:r w:rsidRPr="009C7E04">
              <w:rPr>
                <w:sz w:val="18"/>
                <w:szCs w:val="18"/>
              </w:rPr>
              <w:t xml:space="preserve"> vd.,</w:t>
            </w:r>
            <w:proofErr w:type="gramStart"/>
            <w:r w:rsidRPr="009C7E04">
              <w:rPr>
                <w:sz w:val="18"/>
                <w:szCs w:val="18"/>
              </w:rPr>
              <w:t>2019 ;</w:t>
            </w:r>
            <w:proofErr w:type="gramEnd"/>
            <w:r w:rsidRPr="009C7E04">
              <w:rPr>
                <w:sz w:val="18"/>
                <w:szCs w:val="18"/>
              </w:rPr>
              <w:t xml:space="preserve"> Çam 2016)</w:t>
            </w:r>
          </w:p>
        </w:tc>
        <w:tc>
          <w:tcPr>
            <w:tcW w:w="627" w:type="dxa"/>
            <w:tcBorders>
              <w:top w:val="single" w:sz="4" w:space="0" w:color="auto"/>
              <w:bottom w:val="single" w:sz="4" w:space="0" w:color="auto"/>
            </w:tcBorders>
          </w:tcPr>
          <w:p w14:paraId="6507A2FE" w14:textId="77777777" w:rsidR="00FA457D" w:rsidRPr="009C7E04" w:rsidRDefault="00FA457D" w:rsidP="0079785E">
            <w:pPr>
              <w:pBdr>
                <w:top w:val="nil"/>
                <w:left w:val="nil"/>
                <w:bottom w:val="nil"/>
                <w:right w:val="nil"/>
                <w:between w:val="nil"/>
              </w:pBdr>
              <w:rPr>
                <w:sz w:val="18"/>
                <w:szCs w:val="18"/>
              </w:rPr>
            </w:pPr>
            <w:r w:rsidRPr="009C7E04">
              <w:rPr>
                <w:sz w:val="18"/>
                <w:szCs w:val="18"/>
              </w:rPr>
              <w:t>3</w:t>
            </w:r>
          </w:p>
        </w:tc>
        <w:tc>
          <w:tcPr>
            <w:tcW w:w="835" w:type="dxa"/>
            <w:vMerge/>
          </w:tcPr>
          <w:p w14:paraId="7104DBCA" w14:textId="77777777" w:rsidR="00FA457D" w:rsidRPr="009C7E04" w:rsidRDefault="00FA457D" w:rsidP="0079785E">
            <w:pPr>
              <w:pBdr>
                <w:top w:val="nil"/>
                <w:left w:val="nil"/>
                <w:bottom w:val="nil"/>
                <w:right w:val="nil"/>
                <w:between w:val="nil"/>
              </w:pBdr>
              <w:rPr>
                <w:b/>
                <w:sz w:val="18"/>
                <w:szCs w:val="18"/>
              </w:rPr>
            </w:pPr>
          </w:p>
        </w:tc>
      </w:tr>
      <w:tr w:rsidR="00FA457D" w:rsidRPr="009C7E04" w14:paraId="037F304D" w14:textId="77777777" w:rsidTr="000610DA">
        <w:trPr>
          <w:trHeight w:val="199"/>
        </w:trPr>
        <w:tc>
          <w:tcPr>
            <w:tcW w:w="964" w:type="dxa"/>
            <w:vMerge/>
          </w:tcPr>
          <w:p w14:paraId="18E9A63F"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569B77FB"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2556C1C2" w14:textId="77777777" w:rsidR="00FA457D" w:rsidRPr="009C7E04" w:rsidRDefault="00FA457D" w:rsidP="0079785E">
            <w:pPr>
              <w:rPr>
                <w:sz w:val="18"/>
                <w:szCs w:val="18"/>
              </w:rPr>
            </w:pPr>
            <w:r w:rsidRPr="009C7E04">
              <w:rPr>
                <w:sz w:val="18"/>
                <w:szCs w:val="18"/>
              </w:rPr>
              <w:t>Ölüm (</w:t>
            </w:r>
            <w:proofErr w:type="spellStart"/>
            <w:r w:rsidRPr="009C7E04">
              <w:rPr>
                <w:sz w:val="18"/>
                <w:szCs w:val="18"/>
              </w:rPr>
              <w:t>Wieser</w:t>
            </w:r>
            <w:proofErr w:type="spellEnd"/>
            <w:r w:rsidRPr="009C7E04">
              <w:rPr>
                <w:sz w:val="18"/>
                <w:szCs w:val="18"/>
              </w:rPr>
              <w:t xml:space="preserve"> ve </w:t>
            </w:r>
            <w:proofErr w:type="spellStart"/>
            <w:r w:rsidRPr="009C7E04">
              <w:rPr>
                <w:sz w:val="18"/>
                <w:szCs w:val="18"/>
              </w:rPr>
              <w:t>Leitner</w:t>
            </w:r>
            <w:proofErr w:type="spellEnd"/>
            <w:r w:rsidRPr="009C7E04">
              <w:rPr>
                <w:sz w:val="18"/>
                <w:szCs w:val="18"/>
              </w:rPr>
              <w:t xml:space="preserve"> </w:t>
            </w:r>
            <w:proofErr w:type="gramStart"/>
            <w:r w:rsidRPr="009C7E04">
              <w:rPr>
                <w:sz w:val="18"/>
                <w:szCs w:val="18"/>
              </w:rPr>
              <w:t xml:space="preserve">202; </w:t>
            </w:r>
            <w:r w:rsidRPr="009C7E04">
              <w:rPr>
                <w:rStyle w:val="Gl"/>
                <w:rFonts w:eastAsiaTheme="majorEastAsia"/>
                <w:sz w:val="18"/>
                <w:szCs w:val="18"/>
              </w:rPr>
              <w:t xml:space="preserve"> </w:t>
            </w:r>
            <w:proofErr w:type="spellStart"/>
            <w:r w:rsidRPr="009C7E04">
              <w:rPr>
                <w:rStyle w:val="Gl"/>
                <w:rFonts w:eastAsiaTheme="majorEastAsia"/>
                <w:sz w:val="18"/>
                <w:szCs w:val="18"/>
              </w:rPr>
              <w:t>Ronconi</w:t>
            </w:r>
            <w:proofErr w:type="spellEnd"/>
            <w:proofErr w:type="gramEnd"/>
            <w:r w:rsidRPr="009C7E04">
              <w:rPr>
                <w:rStyle w:val="Gl"/>
                <w:rFonts w:eastAsiaTheme="majorEastAsia"/>
                <w:sz w:val="18"/>
                <w:szCs w:val="18"/>
              </w:rPr>
              <w:t xml:space="preserve"> vd., 2023)</w:t>
            </w:r>
          </w:p>
        </w:tc>
        <w:tc>
          <w:tcPr>
            <w:tcW w:w="627" w:type="dxa"/>
            <w:tcBorders>
              <w:top w:val="single" w:sz="4" w:space="0" w:color="auto"/>
              <w:bottom w:val="single" w:sz="4" w:space="0" w:color="auto"/>
            </w:tcBorders>
          </w:tcPr>
          <w:p w14:paraId="0C5406B2" w14:textId="77777777" w:rsidR="00FA457D" w:rsidRPr="009C7E04" w:rsidRDefault="00FA457D" w:rsidP="0079785E">
            <w:pPr>
              <w:pBdr>
                <w:top w:val="nil"/>
                <w:left w:val="nil"/>
                <w:bottom w:val="nil"/>
                <w:right w:val="nil"/>
                <w:between w:val="nil"/>
              </w:pBdr>
              <w:rPr>
                <w:sz w:val="18"/>
                <w:szCs w:val="18"/>
              </w:rPr>
            </w:pPr>
            <w:r w:rsidRPr="009C7E04">
              <w:rPr>
                <w:sz w:val="18"/>
                <w:szCs w:val="18"/>
              </w:rPr>
              <w:t>2</w:t>
            </w:r>
          </w:p>
        </w:tc>
        <w:tc>
          <w:tcPr>
            <w:tcW w:w="835" w:type="dxa"/>
            <w:vMerge/>
          </w:tcPr>
          <w:p w14:paraId="0E919EA1" w14:textId="77777777" w:rsidR="00FA457D" w:rsidRPr="009C7E04" w:rsidRDefault="00FA457D" w:rsidP="0079785E">
            <w:pPr>
              <w:pBdr>
                <w:top w:val="nil"/>
                <w:left w:val="nil"/>
                <w:bottom w:val="nil"/>
                <w:right w:val="nil"/>
                <w:between w:val="nil"/>
              </w:pBdr>
              <w:rPr>
                <w:b/>
                <w:sz w:val="18"/>
                <w:szCs w:val="18"/>
              </w:rPr>
            </w:pPr>
          </w:p>
        </w:tc>
      </w:tr>
      <w:tr w:rsidR="00FA457D" w:rsidRPr="009C7E04" w14:paraId="51ABE59C" w14:textId="77777777" w:rsidTr="000610DA">
        <w:trPr>
          <w:trHeight w:val="281"/>
        </w:trPr>
        <w:tc>
          <w:tcPr>
            <w:tcW w:w="964" w:type="dxa"/>
            <w:vMerge/>
          </w:tcPr>
          <w:p w14:paraId="416CBB16"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03520EEA"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7E12EB44" w14:textId="77777777" w:rsidR="00FA457D" w:rsidRPr="009C7E04" w:rsidRDefault="00FA457D" w:rsidP="0079785E">
            <w:pPr>
              <w:rPr>
                <w:sz w:val="18"/>
                <w:szCs w:val="18"/>
              </w:rPr>
            </w:pPr>
            <w:r w:rsidRPr="009C7E04">
              <w:rPr>
                <w:sz w:val="18"/>
                <w:szCs w:val="18"/>
              </w:rPr>
              <w:t xml:space="preserve">Öz farkındalık (Çam 2016; </w:t>
            </w:r>
            <w:proofErr w:type="spellStart"/>
            <w:r w:rsidRPr="009C7E04">
              <w:rPr>
                <w:sz w:val="18"/>
                <w:szCs w:val="18"/>
              </w:rPr>
              <w:t>Dima</w:t>
            </w:r>
            <w:proofErr w:type="spellEnd"/>
            <w:r w:rsidRPr="009C7E04">
              <w:rPr>
                <w:sz w:val="18"/>
                <w:szCs w:val="18"/>
              </w:rPr>
              <w:t xml:space="preserve"> 2024)</w:t>
            </w:r>
          </w:p>
        </w:tc>
        <w:tc>
          <w:tcPr>
            <w:tcW w:w="627" w:type="dxa"/>
            <w:tcBorders>
              <w:top w:val="single" w:sz="4" w:space="0" w:color="auto"/>
              <w:bottom w:val="single" w:sz="4" w:space="0" w:color="auto"/>
            </w:tcBorders>
          </w:tcPr>
          <w:p w14:paraId="36D87BC1" w14:textId="77777777" w:rsidR="00FA457D" w:rsidRPr="009C7E04" w:rsidRDefault="00FA457D" w:rsidP="0079785E">
            <w:pPr>
              <w:pBdr>
                <w:top w:val="nil"/>
                <w:left w:val="nil"/>
                <w:bottom w:val="nil"/>
                <w:right w:val="nil"/>
                <w:between w:val="nil"/>
              </w:pBdr>
              <w:rPr>
                <w:sz w:val="18"/>
                <w:szCs w:val="18"/>
              </w:rPr>
            </w:pPr>
            <w:r w:rsidRPr="009C7E04">
              <w:rPr>
                <w:sz w:val="18"/>
                <w:szCs w:val="18"/>
              </w:rPr>
              <w:t>2</w:t>
            </w:r>
          </w:p>
        </w:tc>
        <w:tc>
          <w:tcPr>
            <w:tcW w:w="835" w:type="dxa"/>
            <w:vMerge/>
          </w:tcPr>
          <w:p w14:paraId="2A1062D2" w14:textId="77777777" w:rsidR="00FA457D" w:rsidRPr="009C7E04" w:rsidRDefault="00FA457D" w:rsidP="0079785E">
            <w:pPr>
              <w:pBdr>
                <w:top w:val="nil"/>
                <w:left w:val="nil"/>
                <w:bottom w:val="nil"/>
                <w:right w:val="nil"/>
                <w:between w:val="nil"/>
              </w:pBdr>
              <w:rPr>
                <w:b/>
                <w:sz w:val="18"/>
                <w:szCs w:val="18"/>
              </w:rPr>
            </w:pPr>
          </w:p>
        </w:tc>
      </w:tr>
      <w:tr w:rsidR="00FA457D" w:rsidRPr="009C7E04" w14:paraId="7A8F9A07" w14:textId="77777777" w:rsidTr="000610DA">
        <w:trPr>
          <w:trHeight w:val="207"/>
        </w:trPr>
        <w:tc>
          <w:tcPr>
            <w:tcW w:w="964" w:type="dxa"/>
            <w:vMerge/>
          </w:tcPr>
          <w:p w14:paraId="4A946AE9"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3AD6534C"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4B465E9B" w14:textId="77777777" w:rsidR="00FA457D" w:rsidRPr="009C7E04" w:rsidRDefault="00FA457D" w:rsidP="0079785E">
            <w:pPr>
              <w:rPr>
                <w:sz w:val="18"/>
                <w:szCs w:val="18"/>
              </w:rPr>
            </w:pPr>
            <w:r w:rsidRPr="009C7E04">
              <w:rPr>
                <w:sz w:val="18"/>
                <w:szCs w:val="18"/>
              </w:rPr>
              <w:t xml:space="preserve">Bağlanma (Doğan 2010; </w:t>
            </w:r>
            <w:proofErr w:type="spellStart"/>
            <w:r w:rsidRPr="009C7E04">
              <w:rPr>
                <w:sz w:val="18"/>
                <w:szCs w:val="18"/>
              </w:rPr>
              <w:t>Chae</w:t>
            </w:r>
            <w:proofErr w:type="spellEnd"/>
            <w:r w:rsidRPr="009C7E04">
              <w:rPr>
                <w:sz w:val="18"/>
                <w:szCs w:val="18"/>
              </w:rPr>
              <w:t xml:space="preserve"> ve Kim 2016)</w:t>
            </w:r>
          </w:p>
        </w:tc>
        <w:tc>
          <w:tcPr>
            <w:tcW w:w="627" w:type="dxa"/>
            <w:tcBorders>
              <w:top w:val="single" w:sz="4" w:space="0" w:color="auto"/>
              <w:bottom w:val="single" w:sz="4" w:space="0" w:color="auto"/>
            </w:tcBorders>
          </w:tcPr>
          <w:p w14:paraId="65A82B89" w14:textId="77777777" w:rsidR="00FA457D" w:rsidRPr="009C7E04" w:rsidRDefault="00FA457D" w:rsidP="0079785E">
            <w:pPr>
              <w:pBdr>
                <w:top w:val="nil"/>
                <w:left w:val="nil"/>
                <w:bottom w:val="nil"/>
                <w:right w:val="nil"/>
                <w:between w:val="nil"/>
              </w:pBdr>
              <w:rPr>
                <w:sz w:val="18"/>
                <w:szCs w:val="18"/>
              </w:rPr>
            </w:pPr>
            <w:r w:rsidRPr="009C7E04">
              <w:rPr>
                <w:sz w:val="18"/>
                <w:szCs w:val="18"/>
              </w:rPr>
              <w:t>2</w:t>
            </w:r>
          </w:p>
        </w:tc>
        <w:tc>
          <w:tcPr>
            <w:tcW w:w="835" w:type="dxa"/>
            <w:vMerge/>
          </w:tcPr>
          <w:p w14:paraId="7F9B0EB1" w14:textId="77777777" w:rsidR="00FA457D" w:rsidRPr="009C7E04" w:rsidRDefault="00FA457D" w:rsidP="0079785E">
            <w:pPr>
              <w:pBdr>
                <w:top w:val="nil"/>
                <w:left w:val="nil"/>
                <w:bottom w:val="nil"/>
                <w:right w:val="nil"/>
                <w:between w:val="nil"/>
              </w:pBdr>
              <w:rPr>
                <w:b/>
                <w:sz w:val="18"/>
                <w:szCs w:val="18"/>
              </w:rPr>
            </w:pPr>
          </w:p>
        </w:tc>
      </w:tr>
      <w:tr w:rsidR="00FA457D" w:rsidRPr="009C7E04" w14:paraId="2B140935" w14:textId="77777777" w:rsidTr="000610DA">
        <w:trPr>
          <w:trHeight w:val="241"/>
        </w:trPr>
        <w:tc>
          <w:tcPr>
            <w:tcW w:w="964" w:type="dxa"/>
            <w:vMerge/>
          </w:tcPr>
          <w:p w14:paraId="7214F6F3"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2952C496"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674C6F27" w14:textId="77777777" w:rsidR="00FA457D" w:rsidRPr="009C7E04" w:rsidRDefault="00FA457D" w:rsidP="0079785E">
            <w:pPr>
              <w:rPr>
                <w:sz w:val="18"/>
                <w:szCs w:val="18"/>
              </w:rPr>
            </w:pPr>
            <w:r w:rsidRPr="009C7E04">
              <w:rPr>
                <w:sz w:val="18"/>
                <w:szCs w:val="18"/>
              </w:rPr>
              <w:t>Empati (</w:t>
            </w:r>
            <w:proofErr w:type="spellStart"/>
            <w:r w:rsidRPr="009C7E04">
              <w:rPr>
                <w:sz w:val="18"/>
                <w:szCs w:val="18"/>
              </w:rPr>
              <w:t>Dogan</w:t>
            </w:r>
            <w:proofErr w:type="spellEnd"/>
            <w:r w:rsidRPr="009C7E04">
              <w:rPr>
                <w:sz w:val="18"/>
                <w:szCs w:val="18"/>
              </w:rPr>
              <w:t xml:space="preserve"> 2018; </w:t>
            </w:r>
            <w:proofErr w:type="spellStart"/>
            <w:r w:rsidRPr="009C7E04">
              <w:rPr>
                <w:sz w:val="18"/>
                <w:szCs w:val="18"/>
              </w:rPr>
              <w:t>Biolcati</w:t>
            </w:r>
            <w:proofErr w:type="spellEnd"/>
            <w:r w:rsidRPr="009C7E04">
              <w:rPr>
                <w:sz w:val="18"/>
                <w:szCs w:val="18"/>
              </w:rPr>
              <w:t xml:space="preserve"> vd., 2023)</w:t>
            </w:r>
          </w:p>
        </w:tc>
        <w:tc>
          <w:tcPr>
            <w:tcW w:w="627" w:type="dxa"/>
            <w:tcBorders>
              <w:top w:val="single" w:sz="4" w:space="0" w:color="auto"/>
              <w:bottom w:val="single" w:sz="4" w:space="0" w:color="auto"/>
            </w:tcBorders>
          </w:tcPr>
          <w:p w14:paraId="7A512200" w14:textId="77777777" w:rsidR="00FA457D" w:rsidRPr="009C7E04" w:rsidRDefault="00FA457D" w:rsidP="0079785E">
            <w:pPr>
              <w:pBdr>
                <w:top w:val="nil"/>
                <w:left w:val="nil"/>
                <w:bottom w:val="nil"/>
                <w:right w:val="nil"/>
                <w:between w:val="nil"/>
              </w:pBdr>
              <w:rPr>
                <w:sz w:val="18"/>
                <w:szCs w:val="18"/>
              </w:rPr>
            </w:pPr>
            <w:r w:rsidRPr="009C7E04">
              <w:rPr>
                <w:sz w:val="18"/>
                <w:szCs w:val="18"/>
              </w:rPr>
              <w:t>2</w:t>
            </w:r>
          </w:p>
        </w:tc>
        <w:tc>
          <w:tcPr>
            <w:tcW w:w="835" w:type="dxa"/>
            <w:vMerge/>
          </w:tcPr>
          <w:p w14:paraId="15925D5A" w14:textId="77777777" w:rsidR="00FA457D" w:rsidRPr="009C7E04" w:rsidRDefault="00FA457D" w:rsidP="0079785E">
            <w:pPr>
              <w:pBdr>
                <w:top w:val="nil"/>
                <w:left w:val="nil"/>
                <w:bottom w:val="nil"/>
                <w:right w:val="nil"/>
                <w:between w:val="nil"/>
              </w:pBdr>
              <w:rPr>
                <w:b/>
                <w:sz w:val="18"/>
                <w:szCs w:val="18"/>
              </w:rPr>
            </w:pPr>
          </w:p>
        </w:tc>
      </w:tr>
      <w:tr w:rsidR="00FA457D" w:rsidRPr="009C7E04" w14:paraId="02719E79" w14:textId="77777777" w:rsidTr="000610DA">
        <w:trPr>
          <w:trHeight w:val="174"/>
        </w:trPr>
        <w:tc>
          <w:tcPr>
            <w:tcW w:w="964" w:type="dxa"/>
            <w:vMerge/>
          </w:tcPr>
          <w:p w14:paraId="3AB202FB"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5A293105"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bottom w:val="single" w:sz="4" w:space="0" w:color="auto"/>
            </w:tcBorders>
          </w:tcPr>
          <w:p w14:paraId="794A84D9" w14:textId="77777777" w:rsidR="00FA457D" w:rsidRPr="009C7E04" w:rsidRDefault="00FA457D" w:rsidP="0079785E">
            <w:pPr>
              <w:rPr>
                <w:sz w:val="18"/>
                <w:szCs w:val="18"/>
              </w:rPr>
            </w:pPr>
            <w:r w:rsidRPr="009C7E04">
              <w:rPr>
                <w:sz w:val="18"/>
                <w:szCs w:val="18"/>
              </w:rPr>
              <w:t xml:space="preserve">Bağışlama (Parlak ve </w:t>
            </w:r>
            <w:proofErr w:type="spellStart"/>
            <w:r w:rsidRPr="009C7E04">
              <w:rPr>
                <w:sz w:val="18"/>
                <w:szCs w:val="18"/>
              </w:rPr>
              <w:t>Oksuz</w:t>
            </w:r>
            <w:proofErr w:type="spellEnd"/>
            <w:r w:rsidRPr="009C7E04">
              <w:rPr>
                <w:sz w:val="18"/>
                <w:szCs w:val="18"/>
              </w:rPr>
              <w:t xml:space="preserve"> </w:t>
            </w:r>
            <w:proofErr w:type="spellStart"/>
            <w:r w:rsidRPr="009C7E04">
              <w:rPr>
                <w:sz w:val="18"/>
                <w:szCs w:val="18"/>
              </w:rPr>
              <w:t>Gul</w:t>
            </w:r>
            <w:proofErr w:type="spellEnd"/>
            <w:r w:rsidRPr="009C7E04">
              <w:rPr>
                <w:sz w:val="18"/>
                <w:szCs w:val="18"/>
              </w:rPr>
              <w:t xml:space="preserve"> 2021)</w:t>
            </w:r>
          </w:p>
        </w:tc>
        <w:tc>
          <w:tcPr>
            <w:tcW w:w="627" w:type="dxa"/>
            <w:tcBorders>
              <w:top w:val="single" w:sz="4" w:space="0" w:color="auto"/>
              <w:bottom w:val="single" w:sz="4" w:space="0" w:color="auto"/>
            </w:tcBorders>
          </w:tcPr>
          <w:p w14:paraId="3AD77896"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7739E0CA" w14:textId="77777777" w:rsidR="00FA457D" w:rsidRPr="009C7E04" w:rsidRDefault="00FA457D" w:rsidP="0079785E">
            <w:pPr>
              <w:pBdr>
                <w:top w:val="nil"/>
                <w:left w:val="nil"/>
                <w:bottom w:val="nil"/>
                <w:right w:val="nil"/>
                <w:between w:val="nil"/>
              </w:pBdr>
              <w:rPr>
                <w:b/>
                <w:sz w:val="18"/>
                <w:szCs w:val="18"/>
              </w:rPr>
            </w:pPr>
          </w:p>
        </w:tc>
      </w:tr>
      <w:tr w:rsidR="00FA457D" w:rsidRPr="009C7E04" w14:paraId="1637D36B" w14:textId="77777777" w:rsidTr="000610DA">
        <w:trPr>
          <w:trHeight w:val="248"/>
        </w:trPr>
        <w:tc>
          <w:tcPr>
            <w:tcW w:w="964" w:type="dxa"/>
            <w:vMerge/>
          </w:tcPr>
          <w:p w14:paraId="5BD92973" w14:textId="77777777" w:rsidR="00FA457D" w:rsidRPr="009C7E04" w:rsidRDefault="00FA457D" w:rsidP="0079785E">
            <w:pPr>
              <w:pBdr>
                <w:top w:val="nil"/>
                <w:left w:val="nil"/>
                <w:bottom w:val="nil"/>
                <w:right w:val="nil"/>
                <w:between w:val="nil"/>
              </w:pBdr>
              <w:jc w:val="center"/>
              <w:rPr>
                <w:sz w:val="16"/>
                <w:szCs w:val="16"/>
              </w:rPr>
            </w:pPr>
          </w:p>
        </w:tc>
        <w:tc>
          <w:tcPr>
            <w:tcW w:w="2591" w:type="dxa"/>
            <w:vMerge/>
          </w:tcPr>
          <w:p w14:paraId="3518020A" w14:textId="77777777" w:rsidR="00FA457D" w:rsidRPr="009C7E04" w:rsidRDefault="00FA457D" w:rsidP="0079785E">
            <w:pPr>
              <w:pBdr>
                <w:top w:val="nil"/>
                <w:left w:val="nil"/>
                <w:bottom w:val="nil"/>
                <w:right w:val="nil"/>
                <w:between w:val="nil"/>
              </w:pBdr>
              <w:rPr>
                <w:sz w:val="16"/>
                <w:szCs w:val="16"/>
              </w:rPr>
            </w:pPr>
          </w:p>
        </w:tc>
        <w:tc>
          <w:tcPr>
            <w:tcW w:w="4655" w:type="dxa"/>
            <w:tcBorders>
              <w:top w:val="single" w:sz="4" w:space="0" w:color="auto"/>
            </w:tcBorders>
          </w:tcPr>
          <w:p w14:paraId="7512FB44" w14:textId="77777777" w:rsidR="00FA457D" w:rsidRPr="009C7E04" w:rsidRDefault="00FA457D" w:rsidP="0079785E">
            <w:pPr>
              <w:rPr>
                <w:sz w:val="18"/>
                <w:szCs w:val="18"/>
              </w:rPr>
            </w:pPr>
            <w:r w:rsidRPr="009C7E04">
              <w:rPr>
                <w:sz w:val="18"/>
                <w:szCs w:val="18"/>
              </w:rPr>
              <w:t>Kişilerarası Güven, Sosyal Kaçınma</w:t>
            </w:r>
            <w:proofErr w:type="gramStart"/>
            <w:r w:rsidRPr="009C7E04">
              <w:rPr>
                <w:sz w:val="18"/>
                <w:szCs w:val="18"/>
              </w:rPr>
              <w:t xml:space="preserve">   (</w:t>
            </w:r>
            <w:proofErr w:type="spellStart"/>
            <w:proofErr w:type="gramEnd"/>
            <w:r w:rsidRPr="009C7E04">
              <w:rPr>
                <w:sz w:val="18"/>
                <w:szCs w:val="18"/>
              </w:rPr>
              <w:t>Ge</w:t>
            </w:r>
            <w:proofErr w:type="spellEnd"/>
            <w:r w:rsidRPr="009C7E04">
              <w:rPr>
                <w:sz w:val="18"/>
                <w:szCs w:val="18"/>
              </w:rPr>
              <w:t xml:space="preserve"> vd., 2011)</w:t>
            </w:r>
          </w:p>
        </w:tc>
        <w:tc>
          <w:tcPr>
            <w:tcW w:w="627" w:type="dxa"/>
            <w:tcBorders>
              <w:top w:val="single" w:sz="4" w:space="0" w:color="auto"/>
            </w:tcBorders>
          </w:tcPr>
          <w:p w14:paraId="743E6466" w14:textId="77777777" w:rsidR="00FA457D" w:rsidRPr="009C7E04" w:rsidRDefault="00FA457D" w:rsidP="0079785E">
            <w:pPr>
              <w:pBdr>
                <w:top w:val="nil"/>
                <w:left w:val="nil"/>
                <w:bottom w:val="nil"/>
                <w:right w:val="nil"/>
                <w:between w:val="nil"/>
              </w:pBdr>
              <w:rPr>
                <w:sz w:val="18"/>
                <w:szCs w:val="18"/>
              </w:rPr>
            </w:pPr>
            <w:r w:rsidRPr="009C7E04">
              <w:rPr>
                <w:sz w:val="18"/>
                <w:szCs w:val="18"/>
              </w:rPr>
              <w:t>1</w:t>
            </w:r>
          </w:p>
        </w:tc>
        <w:tc>
          <w:tcPr>
            <w:tcW w:w="835" w:type="dxa"/>
            <w:vMerge/>
          </w:tcPr>
          <w:p w14:paraId="189E9145" w14:textId="77777777" w:rsidR="00FA457D" w:rsidRPr="009C7E04" w:rsidRDefault="00FA457D" w:rsidP="0079785E">
            <w:pPr>
              <w:pBdr>
                <w:top w:val="nil"/>
                <w:left w:val="nil"/>
                <w:bottom w:val="nil"/>
                <w:right w:val="nil"/>
                <w:between w:val="nil"/>
              </w:pBdr>
              <w:rPr>
                <w:b/>
                <w:sz w:val="18"/>
                <w:szCs w:val="18"/>
              </w:rPr>
            </w:pPr>
          </w:p>
        </w:tc>
      </w:tr>
      <w:tr w:rsidR="00FA457D" w:rsidRPr="009C7E04" w14:paraId="501C2756" w14:textId="77777777" w:rsidTr="000610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Before w:val="4"/>
          <w:wBefore w:w="8837" w:type="dxa"/>
          <w:trHeight w:val="41"/>
        </w:trPr>
        <w:tc>
          <w:tcPr>
            <w:tcW w:w="835" w:type="dxa"/>
            <w:tcBorders>
              <w:left w:val="nil"/>
              <w:bottom w:val="nil"/>
              <w:right w:val="nil"/>
            </w:tcBorders>
          </w:tcPr>
          <w:p w14:paraId="76B6710E" w14:textId="77777777" w:rsidR="00FA457D" w:rsidRPr="009C7E04" w:rsidRDefault="00FA457D" w:rsidP="0079785E">
            <w:pPr>
              <w:rPr>
                <w:sz w:val="18"/>
                <w:szCs w:val="18"/>
              </w:rPr>
            </w:pPr>
          </w:p>
        </w:tc>
      </w:tr>
    </w:tbl>
    <w:p w14:paraId="631DF4D1" w14:textId="77777777" w:rsidR="00FA457D" w:rsidRDefault="00FA457D" w:rsidP="0079785E">
      <w:pPr>
        <w:jc w:val="both"/>
      </w:pPr>
      <w:r w:rsidRPr="009C7E04">
        <w:t xml:space="preserve">Tablo 2’de incelendiğinde dahil edilen çalışmaların %40,62’si problem odaklı, </w:t>
      </w:r>
      <w:proofErr w:type="gramStart"/>
      <w:r w:rsidRPr="009C7E04">
        <w:t>%59.38</w:t>
      </w:r>
      <w:proofErr w:type="gramEnd"/>
      <w:r w:rsidRPr="009C7E04">
        <w:t>’i se sosyal-duygusal gelişim odaklı olduğu görülmektedir.</w:t>
      </w:r>
      <w:r w:rsidRPr="009C7E04">
        <w:rPr>
          <w:b/>
        </w:rPr>
        <w:t xml:space="preserve"> </w:t>
      </w:r>
      <w:r w:rsidRPr="009C7E04">
        <w:t>İlkokul kademesinde çoğunlukla problem odaklı (TSSB, ihmal-istismar, akademik başarısızlık); tek bir çalışmanın ise sosyal-duygusal gelişim odaklı (duygu düzenleme) olduğu görülmektedir. Hem ilkokul hem ortaokul öğrencilerini içeren tek bir çalışmanın ise problem olduğu (kaygı) görülmektedir.</w:t>
      </w:r>
    </w:p>
    <w:p w14:paraId="20E7B91C" w14:textId="77777777" w:rsidR="0079785E" w:rsidRPr="009C7E04" w:rsidRDefault="0079785E" w:rsidP="0079785E">
      <w:pPr>
        <w:jc w:val="both"/>
      </w:pPr>
    </w:p>
    <w:p w14:paraId="0F45E952" w14:textId="77777777" w:rsidR="00FA457D" w:rsidRDefault="00FA457D" w:rsidP="0079785E">
      <w:pPr>
        <w:jc w:val="both"/>
      </w:pPr>
      <w:r w:rsidRPr="009C7E04">
        <w:t>Ortaokul düzeyinde yapılan çalışmaların 4’ü problem odaklı, 8’i ise sosyal-duygusal gelişim odaklıdır. Problem odaklı çalışmalar incelendiğinde, saldırganlık, öfke, düşmanlık ve gibi konuların ele alındığı görülmektedir. Ayrıca, kendi yeterliliği ve madde kullanımı direnci üzerine yapılan çalışmalar da bulunmaktadır. Ruhsal</w:t>
      </w:r>
      <w:r w:rsidRPr="009C7E04">
        <w:rPr>
          <w:rStyle w:val="AklamaBavurusu"/>
        </w:rPr>
        <w:t xml:space="preserve"> sa</w:t>
      </w:r>
      <w:r w:rsidRPr="009C7E04">
        <w:t>ğlık problemleri kapsamında anksiyete, depresyon, obezite belirtileri ve ayrılık kaygısı gibi konular ele alınmıştır. Bunun yanı sıra, sigara içme, alkol kullanımı ve saldırganlık gibi yüksek riskli davranışlarla ilgili çalışmalar da mevcuttur. Sosyal-duygusal gelişim odaklı çalışmalar incelendiğinde, öğrencilerin derse katılımı, motivasyonu, empati kurma becerileri ve kuralları benimseme gibi konulara yönelik araştırmalar olduğu görülmektedir. Bunun yanında, öz kabul, öz yeterlik, ölüm ve yaşam tutumları gibi bireysel gelişimi destekleyen çalışmalar da yer almaktadır. Çatışma çözme, duygu yönetimi ve problem çözme becerilerini geliştirmeye yönelik araştırmalar yapılmıştır. İletişim becerileri, duygusal iyileşme, sosyal katılım, öz güven ile kimlik gelişimi gibi alanlarda da çalışmalar bulunmaktadır. Son olarak, yalnızlık ile ilgili yapılan araştırmalar, öğrencilerin sosyal bağlarını ve psikolojik iyi oluşlarını ele almaktadır.</w:t>
      </w:r>
    </w:p>
    <w:p w14:paraId="144800E9" w14:textId="77777777" w:rsidR="0079785E" w:rsidRPr="009C7E04" w:rsidRDefault="0079785E" w:rsidP="0079785E">
      <w:pPr>
        <w:jc w:val="both"/>
      </w:pPr>
    </w:p>
    <w:p w14:paraId="081497C7" w14:textId="77777777" w:rsidR="00FA457D" w:rsidRDefault="00FA457D" w:rsidP="0079785E">
      <w:pPr>
        <w:jc w:val="both"/>
      </w:pPr>
      <w:r w:rsidRPr="009C7E04">
        <w:t>Lise düzeyinde gerçekleştirilen çalışmaların 8’i problem odaklı, 5’i ise sosyal-duygusal gelişim odaklıdır. Problem odaklı çalışmalar incelendiğinde, kaygı üzerine yapılan araştırmalar öne çıkmaktadır. Şiddet algısı ve kendini ifade becerileri konularında da çalışmalar bulunmaktadır. Okul korkularının fizyolojik, duygusal ve bilişsel boyutları üzerine yapılan araştırmalar, öğrencilerin akademik ve sosyal yaşamlarını nasıl etkilediğini incelemektedir. Bunun yanı sıra, lise öğrencileri arasında davranış bozuklukları, bilişsel esneklik ve duygusal öz-düzenleme becerileri gibi konular da ele alınmıştır. Ayrıca, sosyal anksiyete ile ilgili yapılan çalışmalar, lise öğrencilerinin sosyal ilişkilerini ve akademik başarılarını nasıl etkilediğini araştırmaktadır.</w:t>
      </w:r>
    </w:p>
    <w:p w14:paraId="20D5A2E3" w14:textId="77777777" w:rsidR="0079785E" w:rsidRPr="009C7E04" w:rsidRDefault="0079785E" w:rsidP="0079785E">
      <w:pPr>
        <w:jc w:val="both"/>
      </w:pPr>
    </w:p>
    <w:p w14:paraId="190F6E7C" w14:textId="77777777" w:rsidR="00FA457D" w:rsidRDefault="00FA457D" w:rsidP="0079785E">
      <w:pPr>
        <w:jc w:val="both"/>
      </w:pPr>
      <w:r w:rsidRPr="009C7E04">
        <w:t>Sosyal-duygusal gelişim odaklı çalışmalar incelendiğinde, ölüm olgusunun bireyin psikolojik ve duygusal süreçleri üzerindeki etkisi farklı araştırmalarda ele alınmıştır. Pozitif benlik kavramı, öğrencilerin kendilerini nasıl algıladıkları ve psikolojik iyi oluşları açısından önemli bir konu olarak öne çıkmaktadır. Beden imgesi ile ilgili yapılan araştırmalar, lise öğrencilerinin beden algıları ve bu algıların psikolojik durumları üzerindeki etkilerini incelemektedir. Son olarak, atılganlık ile ilgili çalışmalar, öğrencilerin sosyal ilişkilerde kendilerini ifade etme biçimlerini ve bunun psikolojik iyi oluş üzerindeki etkilerini ele almaktadır.</w:t>
      </w:r>
    </w:p>
    <w:p w14:paraId="484220E1" w14:textId="77777777" w:rsidR="0079785E" w:rsidRPr="009C7E04" w:rsidRDefault="0079785E" w:rsidP="0079785E">
      <w:pPr>
        <w:jc w:val="both"/>
      </w:pPr>
    </w:p>
    <w:p w14:paraId="000E3F93" w14:textId="77777777" w:rsidR="00FA457D" w:rsidRPr="009C7E04" w:rsidRDefault="00FA457D" w:rsidP="0079785E">
      <w:pPr>
        <w:jc w:val="both"/>
      </w:pPr>
      <w:r w:rsidRPr="009C7E04">
        <w:t xml:space="preserve">Üniversite düzeyinde yapılan problem odaklı çalışmalar bağlanma anksiyetesi ve stres, depresyon ve otomatik düşünceler, umutsuzluk konularına odaklanmış olup toplamda 4 çalışma </w:t>
      </w:r>
      <w:r w:rsidRPr="009C7E04">
        <w:lastRenderedPageBreak/>
        <w:t>gerçekleştirilmiştir. Sosyal-duygusal gelişim odaklı araştırmalar daha geniş bir yelpazeye yayılmıştır. Öznel iyi oluş (7), öz yeterlik (4), psikolojik iyi oluş (3) ve iletişim becerileri (3) en çok çalışılan konular arasındadır. Ölüm (2) ve öz farkındalık (2) üzerine de araştırmalar yapılmıştır. Ayrıca, bağlanma, empati ve bağışlama gibi konular da ele alınmıştır. Bunun yanı sıra, kişilerarası güven ve sosyal kaçınma konusuna yönelik de bir araştırma bulunmaktadır.</w:t>
      </w:r>
    </w:p>
    <w:p w14:paraId="3DA9AA8B" w14:textId="77777777" w:rsidR="00FA457D" w:rsidRPr="009C7E04" w:rsidRDefault="00FA457D" w:rsidP="0079785E">
      <w:pPr>
        <w:jc w:val="center"/>
      </w:pPr>
    </w:p>
    <w:p w14:paraId="31005C8F" w14:textId="77777777" w:rsidR="00FA457D" w:rsidRPr="009C7E04" w:rsidRDefault="00FA457D" w:rsidP="0079785E">
      <w:pPr>
        <w:pStyle w:val="Balk3"/>
        <w:jc w:val="center"/>
        <w:rPr>
          <w:rStyle w:val="Gl"/>
          <w:rFonts w:eastAsia="Calibri"/>
          <w:b w:val="0"/>
          <w:bCs/>
          <w:sz w:val="24"/>
          <w:szCs w:val="24"/>
        </w:rPr>
      </w:pPr>
      <w:r w:rsidRPr="009C7E04">
        <w:rPr>
          <w:rStyle w:val="Gl"/>
          <w:rFonts w:eastAsia="Calibri"/>
          <w:b w:val="0"/>
          <w:bCs/>
          <w:noProof/>
          <w:sz w:val="24"/>
          <w:szCs w:val="24"/>
        </w:rPr>
        <w:drawing>
          <wp:inline distT="0" distB="0" distL="0" distR="0" wp14:anchorId="3A63C1EA" wp14:editId="20131230">
            <wp:extent cx="5381625" cy="2279904"/>
            <wp:effectExtent l="0" t="0" r="0" b="6350"/>
            <wp:docPr id="2023385378" name="Resim 2023385378" descr="metin, ekran görüntüsü, çizgi, öykü gelişim çizgisi; kumpas; grafiğini çıkarm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ekran görüntüsü, çizgi, öykü gelişim çizgisi; kumpas; grafiğini çıkarma içeren bir resim&#10;&#10;Yapay zeka tarafından oluşturulan içerik yanlış olabilir."/>
                    <pic:cNvPicPr/>
                  </pic:nvPicPr>
                  <pic:blipFill rotWithShape="1">
                    <a:blip r:embed="rId305"/>
                    <a:srcRect t="2616" b="1"/>
                    <a:stretch/>
                  </pic:blipFill>
                  <pic:spPr bwMode="auto">
                    <a:xfrm>
                      <a:off x="0" y="0"/>
                      <a:ext cx="5407602" cy="2290909"/>
                    </a:xfrm>
                    <a:prstGeom prst="rect">
                      <a:avLst/>
                    </a:prstGeom>
                    <a:ln>
                      <a:noFill/>
                    </a:ln>
                    <a:extLst>
                      <a:ext uri="{53640926-AAD7-44D8-BBD7-CCE9431645EC}">
                        <a14:shadowObscured xmlns:a14="http://schemas.microsoft.com/office/drawing/2010/main"/>
                      </a:ext>
                    </a:extLst>
                  </pic:spPr>
                </pic:pic>
              </a:graphicData>
            </a:graphic>
          </wp:inline>
        </w:drawing>
      </w:r>
    </w:p>
    <w:p w14:paraId="75EB94B1" w14:textId="77777777" w:rsidR="00FA457D" w:rsidRPr="009C7E04" w:rsidRDefault="00FA457D" w:rsidP="0079785E">
      <w:pPr>
        <w:pStyle w:val="Balk3"/>
        <w:spacing w:before="0" w:after="0"/>
        <w:jc w:val="both"/>
        <w:rPr>
          <w:rStyle w:val="Gl"/>
          <w:rFonts w:eastAsia="Calibri"/>
          <w:b w:val="0"/>
          <w:bCs/>
          <w:sz w:val="24"/>
          <w:szCs w:val="24"/>
        </w:rPr>
      </w:pPr>
      <w:r w:rsidRPr="009C7E04">
        <w:rPr>
          <w:rStyle w:val="Gl"/>
          <w:rFonts w:eastAsia="Calibri"/>
          <w:b w:val="0"/>
          <w:bCs/>
          <w:sz w:val="24"/>
          <w:szCs w:val="24"/>
        </w:rPr>
        <w:t>Şekil 3. Okul Temelli Psikodrama Çalışmalarının Kategori Dağılımı</w:t>
      </w:r>
    </w:p>
    <w:p w14:paraId="41312FED" w14:textId="4290E429" w:rsidR="00FA457D" w:rsidRPr="009C7E04" w:rsidRDefault="00FA457D" w:rsidP="0079785E">
      <w:pPr>
        <w:jc w:val="both"/>
      </w:pPr>
      <w:r w:rsidRPr="009C7E04">
        <w:t xml:space="preserve">Şekil </w:t>
      </w:r>
      <w:proofErr w:type="gramStart"/>
      <w:r w:rsidRPr="009C7E04">
        <w:t>3’de</w:t>
      </w:r>
      <w:proofErr w:type="gramEnd"/>
      <w:r w:rsidRPr="009C7E04">
        <w:t xml:space="preserve"> görüldüğü üzere dahil edilen çalışmalardan hiçbiri okulöncesi kademesinde uygulanmamıştır. İlkokul ve ortaokulu kapsayan 1 çalışma olup; bu çalışmanın problem odaklı olduğu görülmektedir. İlkokula yönelik olan 4 çalışmaya ulaşılmış, bunların 3’nün problem odaklı, 1’nin ise sosyal-duygusal gelişim odaklı olduğu görülmüştür. Ortaokul düzeyindeki 12 çalışmaya ulaşılmış, bunların 4’nün problem odaklı, 8’nin sosyal-duygusal gelişim odaklı olduğu görülmüştür. Lise kademesine yönelik olan 13 çalışmaya ulaşılmış; bunların 8’nin problem odaklı, 5’nin sosyal-duygusal gelişim odaklı olduğu görülmüştür. Üniversite kademesine yönelik 21 çalışmaya ulaşılmış; bunların 4’nün problem odaklı, 17’sinin sosyal-duygusal gelişim odaklı olduğu görülmüştür. Araştırmada son olarak “Okul temelli psikodrama çalışmaların etkililiği nasıldır</w:t>
      </w:r>
      <w:r w:rsidRPr="009C7E04">
        <w:rPr>
          <w:rStyle w:val="Gl"/>
          <w:rFonts w:eastAsiaTheme="majorEastAsia"/>
        </w:rPr>
        <w:t>?</w:t>
      </w:r>
      <w:r w:rsidRPr="009C7E04">
        <w:t xml:space="preserve">” sorusuna yanıt aranmıştır. Şekil </w:t>
      </w:r>
      <w:proofErr w:type="gramStart"/>
      <w:r w:rsidRPr="009C7E04">
        <w:t>4’de</w:t>
      </w:r>
      <w:proofErr w:type="gramEnd"/>
      <w:r w:rsidRPr="009C7E04">
        <w:t xml:space="preserve"> Okul temelli psikodrama çalışmalarının etkililiğine ilişkin bulgular yer almaktadır</w:t>
      </w:r>
      <w:r w:rsidR="00E359E0">
        <w:t>.</w:t>
      </w:r>
    </w:p>
    <w:p w14:paraId="17086A45" w14:textId="77777777" w:rsidR="00FA457D" w:rsidRPr="009C7E04" w:rsidRDefault="00FA457D" w:rsidP="0079785E">
      <w:pPr>
        <w:pStyle w:val="Balk3"/>
        <w:spacing w:before="0" w:after="0"/>
        <w:jc w:val="center"/>
        <w:rPr>
          <w:sz w:val="24"/>
          <w:szCs w:val="24"/>
        </w:rPr>
      </w:pPr>
      <w:r w:rsidRPr="009C7E04">
        <w:rPr>
          <w:noProof/>
        </w:rPr>
        <w:lastRenderedPageBreak/>
        <w:drawing>
          <wp:inline distT="0" distB="0" distL="0" distR="0" wp14:anchorId="16AD8FA9" wp14:editId="1B6D002B">
            <wp:extent cx="3286125" cy="3027942"/>
            <wp:effectExtent l="0" t="0" r="0" b="1270"/>
            <wp:docPr id="3" name="Resim 3" descr="ekran görüntüsü, diyagram, daire, meti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ekran görüntüsü, diyagram, daire, metin içeren bir resim&#10;&#10;Yapay zeka tarafından oluşturulan içerik yanlış olabilir."/>
                    <pic:cNvPicPr/>
                  </pic:nvPicPr>
                  <pic:blipFill>
                    <a:blip r:embed="rId306"/>
                    <a:stretch>
                      <a:fillRect/>
                    </a:stretch>
                  </pic:blipFill>
                  <pic:spPr>
                    <a:xfrm>
                      <a:off x="0" y="0"/>
                      <a:ext cx="3290491" cy="3031965"/>
                    </a:xfrm>
                    <a:prstGeom prst="rect">
                      <a:avLst/>
                    </a:prstGeom>
                  </pic:spPr>
                </pic:pic>
              </a:graphicData>
            </a:graphic>
          </wp:inline>
        </w:drawing>
      </w:r>
    </w:p>
    <w:p w14:paraId="38E1A45F" w14:textId="77777777" w:rsidR="00FA457D" w:rsidRPr="009C7E04" w:rsidRDefault="00FA457D" w:rsidP="0079785E">
      <w:pPr>
        <w:pStyle w:val="Balk3"/>
        <w:spacing w:before="0" w:after="0"/>
        <w:jc w:val="both"/>
        <w:rPr>
          <w:b/>
          <w:sz w:val="24"/>
          <w:szCs w:val="24"/>
        </w:rPr>
      </w:pPr>
      <w:r w:rsidRPr="009C7E04">
        <w:rPr>
          <w:rStyle w:val="Gl"/>
          <w:rFonts w:eastAsia="Calibri"/>
          <w:b w:val="0"/>
          <w:bCs/>
          <w:sz w:val="24"/>
          <w:szCs w:val="24"/>
        </w:rPr>
        <w:t>Şekil 4. Okul Temelli Psikodrama Çalışmalarının Etkililik Dağılımı</w:t>
      </w:r>
    </w:p>
    <w:p w14:paraId="436B990B" w14:textId="77777777" w:rsidR="00FA457D" w:rsidRPr="009C7E04" w:rsidRDefault="00FA457D" w:rsidP="0079785E">
      <w:pPr>
        <w:pStyle w:val="NormalWeb"/>
        <w:spacing w:before="0" w:beforeAutospacing="0" w:after="0" w:afterAutospacing="0"/>
        <w:jc w:val="both"/>
      </w:pPr>
    </w:p>
    <w:p w14:paraId="11DB0E3F" w14:textId="2567831C" w:rsidR="00FA457D" w:rsidRPr="009C7E04" w:rsidRDefault="00FA457D" w:rsidP="0079785E">
      <w:pPr>
        <w:pStyle w:val="NormalWeb"/>
        <w:spacing w:before="0" w:beforeAutospacing="0" w:after="0" w:afterAutospacing="0"/>
        <w:jc w:val="both"/>
      </w:pPr>
      <w:proofErr w:type="spellStart"/>
      <w:r w:rsidRPr="009C7E04">
        <w:t>Şekil</w:t>
      </w:r>
      <w:proofErr w:type="spellEnd"/>
      <w:r w:rsidRPr="009C7E04">
        <w:t xml:space="preserve"> 4’te </w:t>
      </w:r>
      <w:proofErr w:type="spellStart"/>
      <w:r w:rsidRPr="009C7E04">
        <w:t>görüldüğü</w:t>
      </w:r>
      <w:proofErr w:type="spellEnd"/>
      <w:r w:rsidRPr="009C7E04">
        <w:t xml:space="preserve"> </w:t>
      </w:r>
      <w:proofErr w:type="spellStart"/>
      <w:r w:rsidRPr="009C7E04">
        <w:t>üzere</w:t>
      </w:r>
      <w:proofErr w:type="spellEnd"/>
      <w:r w:rsidRPr="009C7E04">
        <w:rPr>
          <w:b/>
        </w:rPr>
        <w:t xml:space="preserve"> </w:t>
      </w:r>
      <w:proofErr w:type="spellStart"/>
      <w:r w:rsidRPr="009C7E04">
        <w:t>dahil</w:t>
      </w:r>
      <w:proofErr w:type="spellEnd"/>
      <w:r w:rsidRPr="009C7E04">
        <w:t xml:space="preserve"> </w:t>
      </w:r>
      <w:proofErr w:type="spellStart"/>
      <w:r w:rsidRPr="009C7E04">
        <w:t>edilen</w:t>
      </w:r>
      <w:proofErr w:type="spellEnd"/>
      <w:r w:rsidRPr="009C7E04">
        <w:t xml:space="preserve"> </w:t>
      </w:r>
      <w:proofErr w:type="spellStart"/>
      <w:r w:rsidRPr="009C7E04">
        <w:t>çalışmaların</w:t>
      </w:r>
      <w:proofErr w:type="spellEnd"/>
      <w:r w:rsidRPr="009C7E04">
        <w:t xml:space="preserve"> %80,4 </w:t>
      </w:r>
      <w:proofErr w:type="spellStart"/>
      <w:r w:rsidRPr="009C7E04">
        <w:t>etkili</w:t>
      </w:r>
      <w:proofErr w:type="spellEnd"/>
      <w:r w:rsidRPr="009C7E04">
        <w:t xml:space="preserve">, %19,6’sinin </w:t>
      </w:r>
      <w:proofErr w:type="spellStart"/>
      <w:r w:rsidRPr="009C7E04">
        <w:t>ise</w:t>
      </w:r>
      <w:proofErr w:type="spellEnd"/>
      <w:r w:rsidRPr="009C7E04">
        <w:t xml:space="preserve"> </w:t>
      </w:r>
      <w:proofErr w:type="spellStart"/>
      <w:r w:rsidRPr="009C7E04">
        <w:t>kısmen</w:t>
      </w:r>
      <w:proofErr w:type="spellEnd"/>
      <w:r w:rsidRPr="009C7E04">
        <w:t xml:space="preserve"> </w:t>
      </w:r>
      <w:proofErr w:type="spellStart"/>
      <w:r w:rsidRPr="009C7E04">
        <w:t>etkili</w:t>
      </w:r>
      <w:proofErr w:type="spellEnd"/>
      <w:r w:rsidRPr="009C7E04">
        <w:t xml:space="preserve"> </w:t>
      </w:r>
      <w:proofErr w:type="spellStart"/>
      <w:r w:rsidRPr="009C7E04">
        <w:t>olduğu</w:t>
      </w:r>
      <w:proofErr w:type="spellEnd"/>
      <w:r w:rsidRPr="009C7E04">
        <w:t xml:space="preserve"> </w:t>
      </w:r>
      <w:proofErr w:type="spellStart"/>
      <w:r w:rsidRPr="009C7E04">
        <w:t>bulgularına</w:t>
      </w:r>
      <w:proofErr w:type="spellEnd"/>
      <w:r w:rsidRPr="009C7E04">
        <w:t xml:space="preserve"> </w:t>
      </w:r>
      <w:proofErr w:type="spellStart"/>
      <w:r w:rsidRPr="009C7E04">
        <w:t>ulaşılmıştır</w:t>
      </w:r>
      <w:proofErr w:type="spellEnd"/>
      <w:r w:rsidRPr="009C7E04">
        <w:t>.</w:t>
      </w:r>
    </w:p>
    <w:p w14:paraId="1BBE32CC" w14:textId="77777777" w:rsidR="00FA457D" w:rsidRPr="009C7E04" w:rsidRDefault="00FA457D" w:rsidP="0079785E">
      <w:pPr>
        <w:pStyle w:val="NormalWeb"/>
        <w:spacing w:before="0" w:beforeAutospacing="0" w:after="0" w:afterAutospacing="0"/>
        <w:jc w:val="both"/>
      </w:pPr>
    </w:p>
    <w:p w14:paraId="6AAF8084" w14:textId="77777777" w:rsidR="00FA457D" w:rsidRPr="009C7E04" w:rsidRDefault="00FA457D" w:rsidP="0079785E">
      <w:pPr>
        <w:jc w:val="both"/>
        <w:rPr>
          <w:b/>
        </w:rPr>
      </w:pPr>
      <w:r w:rsidRPr="009C7E04">
        <w:rPr>
          <w:b/>
        </w:rPr>
        <w:t>TARTIŞMA VE SONUÇ</w:t>
      </w:r>
    </w:p>
    <w:p w14:paraId="69E241EF" w14:textId="77777777" w:rsidR="00FA457D" w:rsidRPr="009C7E04" w:rsidRDefault="00FA457D" w:rsidP="0079785E">
      <w:pPr>
        <w:jc w:val="both"/>
        <w:rPr>
          <w:b/>
        </w:rPr>
      </w:pPr>
    </w:p>
    <w:p w14:paraId="280862F0" w14:textId="0F1D91A1" w:rsidR="00FA457D" w:rsidRDefault="00FA457D" w:rsidP="0079785E">
      <w:pPr>
        <w:jc w:val="both"/>
      </w:pPr>
      <w:r w:rsidRPr="009C7E04">
        <w:t xml:space="preserve">Mevcut çalışmada, 2000-2024 yılları arasında İngilizce dilinde </w:t>
      </w:r>
      <w:proofErr w:type="gramStart"/>
      <w:r w:rsidRPr="009C7E04">
        <w:t>yayınlanan  okul</w:t>
      </w:r>
      <w:proofErr w:type="gramEnd"/>
      <w:r w:rsidRPr="009C7E04">
        <w:t xml:space="preserve"> temelli psikodrama uygulamalarını içeren çalışmaların okul kademelerine, yıllara ve odaklandığı temalara göre dağılımını incelemek amaçlanmıştır. Mevcut çalışmada, okul temelli psikodrama uygulamalarını içeren çalışmaların 2000 yılından günümüze doğru artış gösterdiği; okulöncesi kademesi hariç tüm eğitim kademelerinde hem problem hem de sosyal duygusal gelişim odaklı uygulandığı ve bu çalışmaların etkili olduğu bulgularına ulaşılmıştır.</w:t>
      </w:r>
    </w:p>
    <w:p w14:paraId="514A1602" w14:textId="77777777" w:rsidR="0079785E" w:rsidRPr="009C7E04" w:rsidRDefault="0079785E" w:rsidP="0079785E">
      <w:pPr>
        <w:jc w:val="both"/>
      </w:pPr>
    </w:p>
    <w:p w14:paraId="64C8675A" w14:textId="7C6899C3" w:rsidR="00FA457D" w:rsidRPr="009C7E04" w:rsidRDefault="00FA457D" w:rsidP="0079785E">
      <w:pPr>
        <w:jc w:val="both"/>
      </w:pPr>
      <w:r w:rsidRPr="009C7E04">
        <w:t>Okul temelli psikodrama uygulamalarını içeren çalışmaların sayısının artışı, psikodramaya daha fazla ilgi gösterildiğini ortaya koymaktadır. Bu ilginin en önemli sebeplerinden birinin psikodramanın esnek ve yaratıcı olması olabilir (</w:t>
      </w:r>
      <w:proofErr w:type="spellStart"/>
      <w:r w:rsidRPr="009C7E04">
        <w:t>López-González</w:t>
      </w:r>
      <w:proofErr w:type="spellEnd"/>
      <w:r w:rsidRPr="009C7E04">
        <w:t xml:space="preserve"> vd., 2021). Çünkü öğrencilerin okul içindeki faaliyetlerden sıkıldıkları (</w:t>
      </w:r>
      <w:proofErr w:type="spellStart"/>
      <w:r w:rsidRPr="009C7E04">
        <w:t>Daschmann</w:t>
      </w:r>
      <w:proofErr w:type="spellEnd"/>
      <w:r w:rsidRPr="009C7E04">
        <w:t>, 2013) bilinmektedir.  Aynı zamanda okullar öğrencilerin hayatlarında yaygın ortamlardır ve onların ruh sağlığı üzerinde olumlu etki yaratabilir, diğer sosyal faktörlerin bazı olumsuz etkilerini hafifletebilir. Ancak bazıları için okullar önemli stres, endişe ve mutsuzluk kaynağı olabilir. (</w:t>
      </w:r>
      <w:proofErr w:type="spellStart"/>
      <w:r w:rsidRPr="009C7E04">
        <w:t>Dogra</w:t>
      </w:r>
      <w:proofErr w:type="spellEnd"/>
      <w:r w:rsidRPr="009C7E04">
        <w:t xml:space="preserve">, 2010) Bu nedenle psikodrama yaratıcı bir uygulama olarak öğrencilere eğlenceli gelebilir. Özellikle çocukların ve ergenlerin sözel paylaşıma dayanan psikoterapiye katılmaya daha az istekli oldukları düşünülmektedir. </w:t>
      </w:r>
      <w:proofErr w:type="spellStart"/>
      <w:r w:rsidRPr="009C7E04">
        <w:t>Flanagan</w:t>
      </w:r>
      <w:proofErr w:type="spellEnd"/>
      <w:r w:rsidRPr="009C7E04">
        <w:t xml:space="preserve"> ve </w:t>
      </w:r>
      <w:proofErr w:type="spellStart"/>
      <w:r w:rsidRPr="009C7E04">
        <w:t>Bequette</w:t>
      </w:r>
      <w:proofErr w:type="spellEnd"/>
      <w:r w:rsidRPr="009C7E04">
        <w:t xml:space="preserve"> (2013)’in belirttiği gibi psikoterapistlerin ergenlerle psikoterapi yaparken yalnızca sözlü etkileşimlere güvenmemeleri gerekir. Bu gerekçelerden dolayı psikodramanın çocuk ve ergenler için iyi bir seçenek olabileceği düşünülmektedir.</w:t>
      </w:r>
    </w:p>
    <w:p w14:paraId="045FF829" w14:textId="2E1A53D2" w:rsidR="00280CB2" w:rsidRPr="00280CB2" w:rsidRDefault="00FA457D" w:rsidP="0079785E">
      <w:pPr>
        <w:keepNext/>
        <w:keepLines/>
        <w:pageBreakBefore/>
        <w:widowControl/>
        <w:jc w:val="both"/>
      </w:pPr>
      <w:r w:rsidRPr="009C7E04">
        <w:lastRenderedPageBreak/>
        <w:t xml:space="preserve">Mevcut araştırmada, ortalama makale sayıları açısından son üç yıllık dönemde okul temelli psikodrama uygulamalarını içeren çalışmaların sayısındaki artışın daha fazla olduğu bulgularına ulaşılmıştır. Bu dönem </w:t>
      </w:r>
      <w:proofErr w:type="spellStart"/>
      <w:r w:rsidRPr="009C7E04">
        <w:t>covid</w:t>
      </w:r>
      <w:proofErr w:type="spellEnd"/>
      <w:r w:rsidRPr="009C7E04">
        <w:t xml:space="preserve"> 19 </w:t>
      </w:r>
      <w:proofErr w:type="spellStart"/>
      <w:r w:rsidRPr="009C7E04">
        <w:t>pandemesinden</w:t>
      </w:r>
      <w:proofErr w:type="spellEnd"/>
      <w:r w:rsidRPr="009C7E04">
        <w:t xml:space="preserve"> sonraki bir dönem olmasına rağmen, psikodramanın </w:t>
      </w:r>
      <w:proofErr w:type="spellStart"/>
      <w:r w:rsidRPr="009C7E04">
        <w:t>tekonoloji</w:t>
      </w:r>
      <w:proofErr w:type="spellEnd"/>
      <w:r w:rsidRPr="009C7E04">
        <w:t xml:space="preserve"> aracılığıyla birçok kişiye ulaşılabildiğini kanıtlamaktadır. Örneğin </w:t>
      </w:r>
      <w:proofErr w:type="spellStart"/>
      <w:r w:rsidRPr="009C7E04">
        <w:t>Dima</w:t>
      </w:r>
      <w:proofErr w:type="spellEnd"/>
      <w:r w:rsidRPr="009C7E04">
        <w:t xml:space="preserve"> (2024), sosyal hizmet eğitimi kapsamında COVID-19 sürecinde çevrimiçi psikodrama gruplarının üniversite öğrencilerinin</w:t>
      </w:r>
      <w:r w:rsidRPr="009C7E04">
        <w:rPr>
          <w:rStyle w:val="AklamaBavurusu"/>
        </w:rPr>
        <w:t xml:space="preserve"> ö</w:t>
      </w:r>
      <w:r w:rsidRPr="009C7E04">
        <w:t xml:space="preserve">z-yeterlik, kendiliğindenlik ve iyi oluş düzeyleri üzerindeki etkisini incelemiştir. Benzer şekilde, </w:t>
      </w:r>
      <w:proofErr w:type="spellStart"/>
      <w:r w:rsidRPr="009C7E04">
        <w:t>Biolcati</w:t>
      </w:r>
      <w:proofErr w:type="spellEnd"/>
      <w:r w:rsidRPr="009C7E04">
        <w:t xml:space="preserve"> vd. (2023), görüntülü görüşme yoluyla yürütülen analitik psikodrama seanslarının üniversite öğrencilerinin psikolojik iyi oluş üzerindeki etkilerini araştırmıştır. Bu nedenle COVID-19 sürecinde psikodramanın çevrimiçi platformlarda uygulanabilirliği ve bireylerin stresle başa çıkmalarına nasıl yardımcı olabileceğinin önemli bir araştırma konusu haline geldiği sonucuna varılmıştır.</w:t>
      </w:r>
    </w:p>
    <w:p w14:paraId="4FF37BBA" w14:textId="4B6C13B1" w:rsidR="00FA457D" w:rsidRPr="00280CB2" w:rsidRDefault="00FA457D" w:rsidP="0079785E">
      <w:pPr>
        <w:pStyle w:val="Balk3"/>
        <w:spacing w:before="0" w:after="0"/>
        <w:jc w:val="both"/>
        <w:rPr>
          <w:rFonts w:ascii="Times New Roman" w:hAnsi="Times New Roman" w:cs="Times New Roman"/>
          <w:b/>
          <w:color w:val="auto"/>
          <w:sz w:val="24"/>
          <w:szCs w:val="24"/>
        </w:rPr>
      </w:pPr>
      <w:r w:rsidRPr="00280CB2">
        <w:rPr>
          <w:rFonts w:ascii="Times New Roman" w:hAnsi="Times New Roman" w:cs="Times New Roman"/>
          <w:color w:val="auto"/>
          <w:sz w:val="24"/>
          <w:szCs w:val="24"/>
        </w:rPr>
        <w:t xml:space="preserve">Mevcut araştırmada, sosyal-duygusal gelişim </w:t>
      </w:r>
      <w:proofErr w:type="gramStart"/>
      <w:r w:rsidRPr="00280CB2">
        <w:rPr>
          <w:rFonts w:ascii="Times New Roman" w:hAnsi="Times New Roman" w:cs="Times New Roman"/>
          <w:color w:val="auto"/>
          <w:sz w:val="24"/>
          <w:szCs w:val="24"/>
        </w:rPr>
        <w:t>odaklı  olan</w:t>
      </w:r>
      <w:proofErr w:type="gramEnd"/>
      <w:r w:rsidRPr="00280CB2">
        <w:rPr>
          <w:rFonts w:ascii="Times New Roman" w:hAnsi="Times New Roman" w:cs="Times New Roman"/>
          <w:color w:val="auto"/>
          <w:sz w:val="24"/>
          <w:szCs w:val="24"/>
        </w:rPr>
        <w:t xml:space="preserve"> çalışmaların (%59.38) problem odaklı olan çalışmalara %40,62) göre daha yaygın olduğu görülmektedir</w:t>
      </w:r>
      <w:r w:rsidRPr="00280CB2">
        <w:rPr>
          <w:rFonts w:ascii="Times New Roman" w:hAnsi="Times New Roman" w:cs="Times New Roman"/>
          <w:color w:val="auto"/>
          <w:sz w:val="24"/>
          <w:szCs w:val="24"/>
          <w:shd w:val="clear" w:color="auto" w:fill="FFFFFF"/>
        </w:rPr>
        <w:t xml:space="preserve"> </w:t>
      </w:r>
      <w:r w:rsidRPr="00280CB2">
        <w:rPr>
          <w:rFonts w:ascii="Times New Roman" w:hAnsi="Times New Roman" w:cs="Times New Roman"/>
          <w:color w:val="auto"/>
          <w:sz w:val="24"/>
          <w:szCs w:val="24"/>
        </w:rPr>
        <w:t>Bununla birlikte, ilkokul düzeyinde problem odaklı çalışmaların ön plana çıktığı, ortaokul, lise ve üniversite düzeyinde ise daha çok sosyal-duygusal gelişime yönelik çalışmaların yapıldığı bulgularına ulaşılmıştır. Çünkü okul öncesi dönem bireyin akademik başarısı ve toplumsal uyumu açısından kritik bir gelişim evresi olarak değerlendirilmektedir (</w:t>
      </w:r>
      <w:r w:rsidRPr="00280CB2">
        <w:rPr>
          <w:rStyle w:val="Gl"/>
          <w:rFonts w:ascii="Times New Roman" w:hAnsi="Times New Roman" w:cs="Times New Roman"/>
          <w:color w:val="auto"/>
          <w:sz w:val="24"/>
          <w:szCs w:val="24"/>
        </w:rPr>
        <w:t>Kök vd., 2005)</w:t>
      </w:r>
      <w:r w:rsidRPr="00280CB2">
        <w:rPr>
          <w:rFonts w:ascii="Times New Roman" w:hAnsi="Times New Roman" w:cs="Times New Roman"/>
          <w:color w:val="auto"/>
          <w:sz w:val="24"/>
          <w:szCs w:val="24"/>
        </w:rPr>
        <w:t>. Bu dönemde kazanılan sosyal becerilerin, çocukların akademik performansını artırdığı ve toplumla sağlıklı ilişkiler kurmalarına katkı sağladığını ifade edilmektedir (Vural, 2006).  Ayrıca gelişimsel problemlerin erken dönemde tespit edilmesinin, ilerleyen yaşlarda ortaya çıkabilecek sosyal ve duygusal sorunların önlenmesi açısından hayati önem taşıdığını vurgulanmaktadır (</w:t>
      </w:r>
      <w:proofErr w:type="spellStart"/>
      <w:r w:rsidRPr="00280CB2">
        <w:rPr>
          <w:rFonts w:ascii="Times New Roman" w:hAnsi="Times New Roman" w:cs="Times New Roman"/>
          <w:color w:val="auto"/>
          <w:sz w:val="24"/>
          <w:szCs w:val="24"/>
        </w:rPr>
        <w:t>Karoğlu</w:t>
      </w:r>
      <w:proofErr w:type="spellEnd"/>
      <w:r w:rsidRPr="00280CB2">
        <w:rPr>
          <w:rFonts w:ascii="Times New Roman" w:hAnsi="Times New Roman" w:cs="Times New Roman"/>
          <w:color w:val="auto"/>
          <w:sz w:val="24"/>
          <w:szCs w:val="24"/>
        </w:rPr>
        <w:t xml:space="preserve"> ve Ünüvar 2017). Bu nedenle ilkokul düzeyinde problem odaklı çalışmaların; ortaokul, lise ve üniversite düzeyinde ise daha çok sosyal-duygusal gelişime yönelik çalışmaların yoğunlukta olması anlaşılır gelmektedir. Aslında psikodrama, bireyin içsel çatışmalarını dışsallaştırmasına ve ifade etmesine imkân tanıdığı (</w:t>
      </w:r>
      <w:proofErr w:type="spellStart"/>
      <w:r w:rsidRPr="00280CB2">
        <w:rPr>
          <w:rFonts w:ascii="Times New Roman" w:hAnsi="Times New Roman" w:cs="Times New Roman"/>
          <w:color w:val="auto"/>
          <w:sz w:val="24"/>
          <w:szCs w:val="24"/>
        </w:rPr>
        <w:t>Quagelli</w:t>
      </w:r>
      <w:proofErr w:type="spellEnd"/>
      <w:r w:rsidRPr="00280CB2">
        <w:rPr>
          <w:rFonts w:ascii="Times New Roman" w:hAnsi="Times New Roman" w:cs="Times New Roman"/>
          <w:color w:val="auto"/>
          <w:sz w:val="24"/>
          <w:szCs w:val="24"/>
        </w:rPr>
        <w:t>, 2017) için hem problemleri azaltarak hem de sosyal duygusal gelişime katkı sağlayarak çok yönlü bir şekilde kullanılabileceğini göstermektedir. Mevcut araştırmada, okulöncesi kademesinde uygulanan okul temelli psikodrama çalışmalarının olmaması ise dikkat çekicidir. Bunun en temel nedenlerinden biri, bu yaş grubuna yönelik psikodrama eğitimi alan uzmanların sayısının yetersiz olması olabilir. Psikodrama, çocukların duygusal durumlarını sembolik ve etkileşimli yöntemlerle ortaya koymalarına olanak sağlayarak, onların sosyal becerilerini ve öz farkındalıklarını geliştirmelerine katkıda bulunabilir (</w:t>
      </w:r>
      <w:proofErr w:type="spellStart"/>
      <w:r w:rsidRPr="00280CB2">
        <w:rPr>
          <w:rFonts w:ascii="Times New Roman" w:hAnsi="Times New Roman" w:cs="Times New Roman"/>
          <w:color w:val="auto"/>
          <w:sz w:val="24"/>
          <w:szCs w:val="24"/>
        </w:rPr>
        <w:t>Krall</w:t>
      </w:r>
      <w:proofErr w:type="spellEnd"/>
      <w:r w:rsidRPr="00280CB2">
        <w:rPr>
          <w:rFonts w:ascii="Times New Roman" w:hAnsi="Times New Roman" w:cs="Times New Roman"/>
          <w:color w:val="auto"/>
          <w:sz w:val="24"/>
          <w:szCs w:val="24"/>
        </w:rPr>
        <w:t>, 2023).</w:t>
      </w:r>
      <w:r w:rsidRPr="00280CB2">
        <w:rPr>
          <w:rFonts w:ascii="Times New Roman" w:hAnsi="Times New Roman" w:cs="Times New Roman"/>
          <w:color w:val="auto"/>
        </w:rPr>
        <w:t xml:space="preserve"> </w:t>
      </w:r>
      <w:r w:rsidRPr="00280CB2">
        <w:rPr>
          <w:rFonts w:ascii="Times New Roman" w:hAnsi="Times New Roman" w:cs="Times New Roman"/>
          <w:color w:val="auto"/>
          <w:sz w:val="24"/>
          <w:szCs w:val="24"/>
        </w:rPr>
        <w:t>Dahası psikodrama çocukların yani küçük yaşlardaki öğrencilerin sosyal uyum becerilerini güçlendirmekle kalmayıp, aynı zamanda oyun oynama haklarını geri kazanmalarına yardımcı olmaktadır (El-</w:t>
      </w:r>
      <w:proofErr w:type="spellStart"/>
      <w:r w:rsidRPr="00280CB2">
        <w:rPr>
          <w:rFonts w:ascii="Times New Roman" w:hAnsi="Times New Roman" w:cs="Times New Roman"/>
          <w:color w:val="auto"/>
          <w:sz w:val="24"/>
          <w:szCs w:val="24"/>
        </w:rPr>
        <w:t>Mazahy</w:t>
      </w:r>
      <w:proofErr w:type="spellEnd"/>
      <w:r w:rsidRPr="00280CB2">
        <w:rPr>
          <w:rFonts w:ascii="Times New Roman" w:hAnsi="Times New Roman" w:cs="Times New Roman"/>
          <w:color w:val="auto"/>
          <w:sz w:val="24"/>
          <w:szCs w:val="24"/>
        </w:rPr>
        <w:t xml:space="preserve"> vd., 2020). Sonuç olarak, erken müdahale ve psikodrama gibi yaratıcı yöntemler, çocukların sosyal gelişim sürecini desteklemekte ve onların bireysel ve toplumsal uyumlarını arttırabilir.</w:t>
      </w:r>
    </w:p>
    <w:p w14:paraId="7A05645C" w14:textId="156C6C8F" w:rsidR="00FA457D" w:rsidRPr="00280CB2" w:rsidRDefault="00FA457D" w:rsidP="0079785E">
      <w:pPr>
        <w:pStyle w:val="Balk3"/>
        <w:spacing w:before="0" w:after="0"/>
        <w:jc w:val="both"/>
        <w:rPr>
          <w:rFonts w:ascii="Times New Roman" w:hAnsi="Times New Roman" w:cs="Times New Roman"/>
          <w:b/>
          <w:color w:val="000000" w:themeColor="text1"/>
          <w:sz w:val="24"/>
          <w:szCs w:val="24"/>
        </w:rPr>
      </w:pPr>
      <w:r w:rsidRPr="00280CB2">
        <w:rPr>
          <w:rFonts w:ascii="Times New Roman" w:hAnsi="Times New Roman" w:cs="Times New Roman"/>
          <w:color w:val="auto"/>
          <w:sz w:val="24"/>
          <w:szCs w:val="24"/>
        </w:rPr>
        <w:lastRenderedPageBreak/>
        <w:t>Problem odaklı çalışmalar, bireylerin stresle başa çıkma, problem çözme ve psikolojik dayanıklılık geliştirme gibi konulara odaklanırken, sosyal-duygusal gelişim odaklı çalışmalar ise empati, iletişim becerileri ve duygusal farkındalık gibi temalara yoğunlaşmaktadır. Okul temelli psikodrama çalışmalarının, Sosyal-duygusal gelişime daha fazla odaklanması gelişimsel-önleyici rehberlik anlayışıyla örtüşmektedir. Çünkü gelişimsel-önleyici rehberlik anlayışı, problemler ortaya çıkmadan (Korkut, 2003) çalışmaların yürütülmesini amaçlar. Okul iklimini olumlu kılmak için yapılacak çalışmaların, problem davranışların ortaya çıkmasını önleyici olacağı belirtilmiştir (Wang vd., 2010). Önleyici çalışmalar, ağırlıklı olarak eğitim sisteminde gerçekleştirilmektedir. Bunun en önemli gerekçesi çocuk ve gençlerin bu tip hizmetlerden daha fazla yararlanmaları ve bunu yetişkinliklerine taşıyabilmeleridir (Korkut, 2003)</w:t>
      </w:r>
      <w:r w:rsidR="00E359E0">
        <w:rPr>
          <w:rFonts w:ascii="Times New Roman" w:hAnsi="Times New Roman" w:cs="Times New Roman"/>
          <w:color w:val="auto"/>
          <w:sz w:val="24"/>
          <w:szCs w:val="24"/>
        </w:rPr>
        <w:t xml:space="preserve">. </w:t>
      </w:r>
      <w:r w:rsidRPr="00280CB2">
        <w:rPr>
          <w:rFonts w:ascii="Times New Roman" w:hAnsi="Times New Roman" w:cs="Times New Roman"/>
          <w:color w:val="000000" w:themeColor="text1"/>
          <w:sz w:val="24"/>
          <w:szCs w:val="24"/>
        </w:rPr>
        <w:t>Ruh sağlığı sorunlarını erkenden tespit etmek ve hizmetleri iyileştirmek önemlidir (</w:t>
      </w:r>
      <w:proofErr w:type="spellStart"/>
      <w:r w:rsidRPr="00280CB2">
        <w:rPr>
          <w:rFonts w:ascii="Times New Roman" w:hAnsi="Times New Roman" w:cs="Times New Roman"/>
          <w:color w:val="000000" w:themeColor="text1"/>
          <w:sz w:val="24"/>
          <w:szCs w:val="24"/>
        </w:rPr>
        <w:t>Pulungan</w:t>
      </w:r>
      <w:proofErr w:type="spellEnd"/>
      <w:r w:rsidRPr="00280CB2">
        <w:rPr>
          <w:rFonts w:ascii="Times New Roman" w:hAnsi="Times New Roman" w:cs="Times New Roman"/>
          <w:color w:val="000000" w:themeColor="text1"/>
          <w:sz w:val="24"/>
          <w:szCs w:val="24"/>
        </w:rPr>
        <w:t xml:space="preserve"> vd., 2025). Örneğin; klinik açıdan anlamlı kaygı düzeyinin altında yer alan okul çağı çocuklarında kaygıya yönelik erken müdahalelerin ve önleyici yaklaşımların oldukça önemli olduğu düşünülmektedir</w:t>
      </w:r>
      <w:r w:rsidRPr="00280CB2">
        <w:rPr>
          <w:rStyle w:val="Gl"/>
          <w:rFonts w:ascii="Times New Roman" w:hAnsi="Times New Roman" w:cs="Times New Roman"/>
          <w:b w:val="0"/>
          <w:color w:val="000000" w:themeColor="text1"/>
          <w:sz w:val="24"/>
          <w:szCs w:val="24"/>
        </w:rPr>
        <w:t xml:space="preserve"> </w:t>
      </w:r>
      <w:r w:rsidRPr="00280CB2">
        <w:rPr>
          <w:rStyle w:val="Gl"/>
          <w:rFonts w:ascii="Times New Roman" w:hAnsi="Times New Roman" w:cs="Times New Roman"/>
          <w:color w:val="000000" w:themeColor="text1"/>
          <w:sz w:val="24"/>
          <w:szCs w:val="24"/>
        </w:rPr>
        <w:t>(Gedik vd</w:t>
      </w:r>
      <w:r w:rsidRPr="00280CB2">
        <w:rPr>
          <w:rFonts w:ascii="Times New Roman" w:hAnsi="Times New Roman" w:cs="Times New Roman"/>
          <w:color w:val="000000" w:themeColor="text1"/>
          <w:sz w:val="24"/>
          <w:szCs w:val="24"/>
        </w:rPr>
        <w:t>.,2018). Kaygı sorunlarına erken müdahale etmek, gelecekteki kaygı bozukluklarını önleyebilir. Kaygı ile ilgili yapılan araştırmalar önleyici çalışmaları önermektedir (</w:t>
      </w:r>
      <w:proofErr w:type="spellStart"/>
      <w:r w:rsidRPr="00280CB2">
        <w:rPr>
          <w:rFonts w:ascii="Times New Roman" w:hAnsi="Times New Roman" w:cs="Times New Roman"/>
          <w:color w:val="000000" w:themeColor="text1"/>
          <w:sz w:val="24"/>
          <w:szCs w:val="24"/>
        </w:rPr>
        <w:t>Eldeleklioğlu</w:t>
      </w:r>
      <w:proofErr w:type="spellEnd"/>
      <w:r w:rsidRPr="00280CB2">
        <w:rPr>
          <w:rFonts w:ascii="Times New Roman" w:hAnsi="Times New Roman" w:cs="Times New Roman"/>
          <w:color w:val="000000" w:themeColor="text1"/>
          <w:sz w:val="24"/>
          <w:szCs w:val="24"/>
        </w:rPr>
        <w:t xml:space="preserve">, 2008; </w:t>
      </w:r>
      <w:proofErr w:type="spellStart"/>
      <w:r w:rsidRPr="00280CB2">
        <w:rPr>
          <w:rStyle w:val="Gl"/>
          <w:rFonts w:ascii="Times New Roman" w:hAnsi="Times New Roman" w:cs="Times New Roman"/>
          <w:color w:val="000000" w:themeColor="text1"/>
          <w:sz w:val="24"/>
          <w:szCs w:val="24"/>
        </w:rPr>
        <w:t>Ogelman</w:t>
      </w:r>
      <w:proofErr w:type="spellEnd"/>
      <w:r w:rsidRPr="00280CB2">
        <w:rPr>
          <w:rStyle w:val="Gl"/>
          <w:rFonts w:ascii="Times New Roman" w:hAnsi="Times New Roman" w:cs="Times New Roman"/>
          <w:color w:val="000000" w:themeColor="text1"/>
          <w:sz w:val="24"/>
          <w:szCs w:val="24"/>
        </w:rPr>
        <w:t xml:space="preserve"> ve Topaloğlu</w:t>
      </w:r>
      <w:r w:rsidRPr="00280CB2">
        <w:rPr>
          <w:rStyle w:val="Gl"/>
          <w:rFonts w:ascii="Times New Roman" w:hAnsi="Times New Roman" w:cs="Times New Roman"/>
          <w:b w:val="0"/>
          <w:color w:val="000000" w:themeColor="text1"/>
          <w:sz w:val="24"/>
          <w:szCs w:val="24"/>
        </w:rPr>
        <w:t xml:space="preserve"> </w:t>
      </w:r>
      <w:r w:rsidRPr="00280CB2">
        <w:rPr>
          <w:rFonts w:ascii="Times New Roman" w:hAnsi="Times New Roman" w:cs="Times New Roman"/>
          <w:color w:val="000000" w:themeColor="text1"/>
          <w:sz w:val="24"/>
          <w:szCs w:val="24"/>
        </w:rPr>
        <w:t>2014; Baltacı vd., 2021). Ayrıca dünya genelinde kamu sağlığı problemi olarak görülen intihar eylemlerinin en çok 15-19 yaş aralığındaki ergenlik döneminde gerçekleşmesi de dikkat çekmektedir (</w:t>
      </w:r>
      <w:r w:rsidRPr="00280CB2">
        <w:rPr>
          <w:rStyle w:val="Gl"/>
          <w:rFonts w:ascii="Times New Roman" w:hAnsi="Times New Roman" w:cs="Times New Roman"/>
          <w:color w:val="000000" w:themeColor="text1"/>
          <w:sz w:val="24"/>
          <w:szCs w:val="24"/>
        </w:rPr>
        <w:t>Korkmaz,</w:t>
      </w:r>
      <w:r w:rsidRPr="00280CB2">
        <w:rPr>
          <w:rStyle w:val="Gl"/>
          <w:rFonts w:ascii="Times New Roman" w:hAnsi="Times New Roman" w:cs="Times New Roman"/>
          <w:b w:val="0"/>
          <w:color w:val="000000" w:themeColor="text1"/>
          <w:sz w:val="24"/>
          <w:szCs w:val="24"/>
        </w:rPr>
        <w:t xml:space="preserve"> </w:t>
      </w:r>
      <w:r w:rsidRPr="00280CB2">
        <w:rPr>
          <w:rFonts w:ascii="Times New Roman" w:hAnsi="Times New Roman" w:cs="Times New Roman"/>
          <w:color w:val="000000" w:themeColor="text1"/>
          <w:sz w:val="24"/>
          <w:szCs w:val="24"/>
        </w:rPr>
        <w:t xml:space="preserve">2024). İntihar önlenebilen bir eylemdir (Devrimci Özgüven ve </w:t>
      </w:r>
      <w:proofErr w:type="spellStart"/>
      <w:r w:rsidRPr="00280CB2">
        <w:rPr>
          <w:rFonts w:ascii="Times New Roman" w:hAnsi="Times New Roman" w:cs="Times New Roman"/>
          <w:color w:val="000000" w:themeColor="text1"/>
          <w:sz w:val="24"/>
          <w:szCs w:val="24"/>
        </w:rPr>
        <w:t>Hoşgören</w:t>
      </w:r>
      <w:proofErr w:type="spellEnd"/>
      <w:r w:rsidRPr="00280CB2">
        <w:rPr>
          <w:rFonts w:ascii="Times New Roman" w:hAnsi="Times New Roman" w:cs="Times New Roman"/>
          <w:color w:val="000000" w:themeColor="text1"/>
          <w:sz w:val="24"/>
          <w:szCs w:val="24"/>
        </w:rPr>
        <w:t xml:space="preserve"> Alıcı, 2016). Özellikle okul tabanlı önleyici çalışmaların intihar sıklığını azaltmakta yardımcı olabileceği düşünülmektedir (</w:t>
      </w:r>
      <w:proofErr w:type="spellStart"/>
      <w:r w:rsidRPr="00280CB2">
        <w:rPr>
          <w:rFonts w:ascii="Times New Roman" w:hAnsi="Times New Roman" w:cs="Times New Roman"/>
          <w:color w:val="000000" w:themeColor="text1"/>
        </w:rPr>
        <w:t>Randell</w:t>
      </w:r>
      <w:proofErr w:type="spellEnd"/>
      <w:r w:rsidRPr="00280CB2">
        <w:rPr>
          <w:rFonts w:ascii="Times New Roman" w:hAnsi="Times New Roman" w:cs="Times New Roman"/>
          <w:color w:val="000000" w:themeColor="text1"/>
          <w:sz w:val="24"/>
          <w:szCs w:val="24"/>
        </w:rPr>
        <w:t xml:space="preserve"> vd., 2001; Bilginer vd., 2017</w:t>
      </w:r>
      <w:proofErr w:type="gramStart"/>
      <w:r w:rsidRPr="00280CB2">
        <w:rPr>
          <w:rFonts w:ascii="Times New Roman" w:hAnsi="Times New Roman" w:cs="Times New Roman"/>
          <w:color w:val="000000" w:themeColor="text1"/>
          <w:sz w:val="24"/>
          <w:szCs w:val="24"/>
        </w:rPr>
        <w:t>).Eğitim</w:t>
      </w:r>
      <w:proofErr w:type="gramEnd"/>
      <w:r w:rsidRPr="00280CB2">
        <w:rPr>
          <w:rFonts w:ascii="Times New Roman" w:hAnsi="Times New Roman" w:cs="Times New Roman"/>
          <w:color w:val="000000" w:themeColor="text1"/>
          <w:sz w:val="24"/>
          <w:szCs w:val="24"/>
        </w:rPr>
        <w:t xml:space="preserve"> ortamları, önleme programlarının gençlere sunulabileceği uygun bir bağlam olarak tanımlanmıştır. Bunun nedeni, çoğu gencin okula gitmesi ve birçok okulda, genellikle geleneksel yönlendirme yolları ve öğrenci ruh sağlığı sorunlarını yönetme yolları bulunmasıdır (</w:t>
      </w:r>
      <w:proofErr w:type="spellStart"/>
      <w:r w:rsidRPr="00280CB2">
        <w:rPr>
          <w:rFonts w:ascii="Times New Roman" w:hAnsi="Times New Roman" w:cs="Times New Roman"/>
          <w:color w:val="000000" w:themeColor="text1"/>
          <w:sz w:val="24"/>
          <w:szCs w:val="24"/>
        </w:rPr>
        <w:t>Rickwood</w:t>
      </w:r>
      <w:proofErr w:type="spellEnd"/>
      <w:r w:rsidRPr="00280CB2">
        <w:rPr>
          <w:rFonts w:ascii="Times New Roman" w:hAnsi="Times New Roman" w:cs="Times New Roman"/>
          <w:color w:val="000000" w:themeColor="text1"/>
          <w:sz w:val="24"/>
          <w:szCs w:val="24"/>
        </w:rPr>
        <w:t xml:space="preserve"> vd., </w:t>
      </w:r>
      <w:proofErr w:type="gramStart"/>
      <w:r w:rsidRPr="00280CB2">
        <w:rPr>
          <w:rFonts w:ascii="Times New Roman" w:hAnsi="Times New Roman" w:cs="Times New Roman"/>
          <w:color w:val="000000" w:themeColor="text1"/>
          <w:sz w:val="24"/>
          <w:szCs w:val="24"/>
        </w:rPr>
        <w:t>2007 )</w:t>
      </w:r>
      <w:proofErr w:type="gramEnd"/>
      <w:r w:rsidRPr="00280CB2">
        <w:rPr>
          <w:rFonts w:ascii="Times New Roman" w:hAnsi="Times New Roman" w:cs="Times New Roman"/>
          <w:color w:val="000000" w:themeColor="text1"/>
          <w:sz w:val="24"/>
          <w:szCs w:val="24"/>
        </w:rPr>
        <w:t xml:space="preserve"> Mevcut araştırmada, okul temelli psikodrama çalışmalarının tamamına yakınının etkili olduğu bulgusu, </w:t>
      </w:r>
      <w:proofErr w:type="spellStart"/>
      <w:r w:rsidRPr="00280CB2">
        <w:rPr>
          <w:rFonts w:ascii="Times New Roman" w:hAnsi="Times New Roman" w:cs="Times New Roman"/>
          <w:color w:val="000000" w:themeColor="text1"/>
          <w:sz w:val="24"/>
          <w:szCs w:val="24"/>
        </w:rPr>
        <w:t>López-González</w:t>
      </w:r>
      <w:proofErr w:type="spellEnd"/>
      <w:r w:rsidRPr="00280CB2">
        <w:rPr>
          <w:rFonts w:ascii="Times New Roman" w:hAnsi="Times New Roman" w:cs="Times New Roman"/>
          <w:color w:val="000000" w:themeColor="text1"/>
          <w:sz w:val="24"/>
          <w:szCs w:val="24"/>
        </w:rPr>
        <w:t xml:space="preserve"> ve diğerlerinin (2021) yaptığı çalışmayla örtüşmektedir ve psikodramanın okul temelli uygulamalarda işlevsel bir şekilde kullanılabileceğini ortaya koymaktadır. Dahası psikodramanın okul temelli uygulamalarında etkili olması, psikodramanın gelecekte öğrencilerin yaşanabilecekleri sorunlara karşı önleyici bir rol üstlenebileceğini ortaya koymaktadır. Örneğin, </w:t>
      </w:r>
      <w:proofErr w:type="spellStart"/>
      <w:r w:rsidRPr="00280CB2">
        <w:rPr>
          <w:rFonts w:ascii="Times New Roman" w:hAnsi="Times New Roman" w:cs="Times New Roman"/>
          <w:color w:val="000000" w:themeColor="text1"/>
          <w:sz w:val="24"/>
          <w:szCs w:val="24"/>
        </w:rPr>
        <w:t>Sabola</w:t>
      </w:r>
      <w:proofErr w:type="spellEnd"/>
      <w:r w:rsidRPr="00280CB2">
        <w:rPr>
          <w:rFonts w:ascii="Times New Roman" w:hAnsi="Times New Roman" w:cs="Times New Roman"/>
          <w:color w:val="000000" w:themeColor="text1"/>
          <w:sz w:val="24"/>
          <w:szCs w:val="24"/>
        </w:rPr>
        <w:t xml:space="preserve"> (2020) ilkokul öğrencileriyle yaptığı önleyici psikodrama temelli müdahalenin </w:t>
      </w:r>
      <w:r w:rsidRPr="00280CB2">
        <w:rPr>
          <w:rStyle w:val="Gl"/>
          <w:rFonts w:ascii="Times New Roman" w:eastAsia="Calibri" w:hAnsi="Times New Roman" w:cs="Times New Roman"/>
          <w:color w:val="000000" w:themeColor="text1"/>
          <w:sz w:val="24"/>
          <w:szCs w:val="24"/>
        </w:rPr>
        <w:t>çocukların cinsel istismar farkındalığını, önleme becerilerini ve kendini ifade etme yetilerini artırmada etkili olduğu</w:t>
      </w:r>
      <w:r w:rsidRPr="00280CB2">
        <w:rPr>
          <w:rFonts w:ascii="Times New Roman" w:hAnsi="Times New Roman" w:cs="Times New Roman"/>
          <w:color w:val="000000" w:themeColor="text1"/>
          <w:sz w:val="24"/>
          <w:szCs w:val="24"/>
        </w:rPr>
        <w:t xml:space="preserve"> </w:t>
      </w:r>
      <w:proofErr w:type="spellStart"/>
      <w:proofErr w:type="gramStart"/>
      <w:r w:rsidRPr="00280CB2">
        <w:rPr>
          <w:rFonts w:ascii="Times New Roman" w:hAnsi="Times New Roman" w:cs="Times New Roman"/>
          <w:color w:val="000000" w:themeColor="text1"/>
          <w:sz w:val="24"/>
          <w:szCs w:val="24"/>
        </w:rPr>
        <w:t>gösterilmiştir.Sonuç</w:t>
      </w:r>
      <w:proofErr w:type="spellEnd"/>
      <w:proofErr w:type="gramEnd"/>
      <w:r w:rsidRPr="00280CB2">
        <w:rPr>
          <w:rFonts w:ascii="Times New Roman" w:hAnsi="Times New Roman" w:cs="Times New Roman"/>
          <w:color w:val="000000" w:themeColor="text1"/>
          <w:sz w:val="24"/>
          <w:szCs w:val="24"/>
        </w:rPr>
        <w:t xml:space="preserve"> olarak okul temelli psikodrama uygulamalarının ilkokuldan, üniversiteye kadar tüm kademelerde hem problemleri azaltma hem de sosyal duygusal gelişimi desteklemede etkili olduğu anlaşılmaktadır. Ancak her araştırmada olduğu gibi bu araştırmada da bazı sınırlılıklar bulunmaktadır. Bu araştırmada </w:t>
      </w:r>
      <w:proofErr w:type="spellStart"/>
      <w:r w:rsidRPr="00280CB2">
        <w:rPr>
          <w:rFonts w:ascii="Times New Roman" w:hAnsi="Times New Roman" w:cs="Times New Roman"/>
          <w:color w:val="000000" w:themeColor="text1"/>
          <w:sz w:val="24"/>
          <w:szCs w:val="24"/>
        </w:rPr>
        <w:t>ResearchGate</w:t>
      </w:r>
      <w:proofErr w:type="spellEnd"/>
      <w:r w:rsidRPr="00280CB2">
        <w:rPr>
          <w:rFonts w:ascii="Times New Roman" w:hAnsi="Times New Roman" w:cs="Times New Roman"/>
          <w:color w:val="000000" w:themeColor="text1"/>
          <w:sz w:val="24"/>
          <w:szCs w:val="24"/>
        </w:rPr>
        <w:t xml:space="preserve">, </w:t>
      </w:r>
      <w:proofErr w:type="spellStart"/>
      <w:r w:rsidRPr="00280CB2">
        <w:rPr>
          <w:rFonts w:ascii="Times New Roman" w:hAnsi="Times New Roman" w:cs="Times New Roman"/>
          <w:color w:val="000000" w:themeColor="text1"/>
          <w:sz w:val="24"/>
          <w:szCs w:val="24"/>
        </w:rPr>
        <w:t>PubMed</w:t>
      </w:r>
      <w:proofErr w:type="spellEnd"/>
      <w:r w:rsidRPr="00280CB2">
        <w:rPr>
          <w:rFonts w:ascii="Times New Roman" w:hAnsi="Times New Roman" w:cs="Times New Roman"/>
          <w:color w:val="000000" w:themeColor="text1"/>
          <w:sz w:val="24"/>
          <w:szCs w:val="24"/>
        </w:rPr>
        <w:t xml:space="preserve">, </w:t>
      </w:r>
      <w:proofErr w:type="spellStart"/>
      <w:r w:rsidRPr="00280CB2">
        <w:rPr>
          <w:rFonts w:ascii="Times New Roman" w:hAnsi="Times New Roman" w:cs="Times New Roman"/>
          <w:color w:val="000000" w:themeColor="text1"/>
          <w:sz w:val="24"/>
          <w:szCs w:val="24"/>
        </w:rPr>
        <w:t>Scopus</w:t>
      </w:r>
      <w:proofErr w:type="spellEnd"/>
      <w:r w:rsidRPr="00280CB2">
        <w:rPr>
          <w:rFonts w:ascii="Times New Roman" w:hAnsi="Times New Roman" w:cs="Times New Roman"/>
          <w:color w:val="000000" w:themeColor="text1"/>
          <w:sz w:val="24"/>
          <w:szCs w:val="24"/>
        </w:rPr>
        <w:t xml:space="preserve">, </w:t>
      </w:r>
      <w:proofErr w:type="spellStart"/>
      <w:r w:rsidRPr="00280CB2">
        <w:rPr>
          <w:rFonts w:ascii="Times New Roman" w:hAnsi="Times New Roman" w:cs="Times New Roman"/>
          <w:color w:val="000000" w:themeColor="text1"/>
          <w:sz w:val="24"/>
          <w:szCs w:val="24"/>
        </w:rPr>
        <w:t>ScienceDirect</w:t>
      </w:r>
      <w:proofErr w:type="spellEnd"/>
      <w:r w:rsidRPr="00280CB2">
        <w:rPr>
          <w:rFonts w:ascii="Times New Roman" w:hAnsi="Times New Roman" w:cs="Times New Roman"/>
          <w:color w:val="000000" w:themeColor="text1"/>
          <w:sz w:val="24"/>
          <w:szCs w:val="24"/>
        </w:rPr>
        <w:t xml:space="preserve"> ve ERIC dizinlerinde, İngilizce dilinde yayımlanan makaleler dahil edildiği için diğer dillerde yayımlanan çalışmalara ulaşılmaması bu araştırmanın ilk sınırlılığıdır. Bu araştırmanın ikinci sınırlılığı, 2000 yılında önce yayımlanan çalışmaların dahil edilmemesidir. Bu araştırmada sadece deneysel çalışmaların dahil edilmesi bir başka sınırlılıktır. Bu araştırmada, okul temelli psikodrama uygulamalarının yayımlanan yıl, odaklanılan tema ve etkililik kategorilerine göre incelenmesi son sınırlılığıdır. Bu sınırlılıklar ve mevcut çalışmanın bulguları göz önünde bulundurularak, gelecekte araştırmacıların okul öncesi kademesinde psikodrama uygulamalarını etkisini test edecekleri deneysel çalışmalar yürütmeleri önerilmektedir. Bunun dışında gelecekte okul temelli psikodrama uygulamalarının uygulama türü (bireysel-grupla), </w:t>
      </w:r>
      <w:proofErr w:type="gramStart"/>
      <w:r w:rsidRPr="00280CB2">
        <w:rPr>
          <w:rFonts w:ascii="Times New Roman" w:hAnsi="Times New Roman" w:cs="Times New Roman"/>
          <w:color w:val="000000" w:themeColor="text1"/>
          <w:sz w:val="24"/>
          <w:szCs w:val="24"/>
        </w:rPr>
        <w:t>süreç(</w:t>
      </w:r>
      <w:proofErr w:type="gramEnd"/>
      <w:r w:rsidRPr="00280CB2">
        <w:rPr>
          <w:rFonts w:ascii="Times New Roman" w:hAnsi="Times New Roman" w:cs="Times New Roman"/>
          <w:color w:val="000000" w:themeColor="text1"/>
          <w:sz w:val="24"/>
          <w:szCs w:val="24"/>
        </w:rPr>
        <w:t xml:space="preserve">oturum sayısı vb.) ve uygulanan yaklaşım (klasik psikodrama, </w:t>
      </w:r>
      <w:proofErr w:type="spellStart"/>
      <w:r w:rsidRPr="00280CB2">
        <w:rPr>
          <w:rFonts w:ascii="Times New Roman" w:hAnsi="Times New Roman" w:cs="Times New Roman"/>
          <w:color w:val="000000" w:themeColor="text1"/>
          <w:sz w:val="24"/>
          <w:szCs w:val="24"/>
        </w:rPr>
        <w:t>Jungian</w:t>
      </w:r>
      <w:proofErr w:type="spellEnd"/>
      <w:r w:rsidRPr="00280CB2">
        <w:rPr>
          <w:rFonts w:ascii="Times New Roman" w:hAnsi="Times New Roman" w:cs="Times New Roman"/>
          <w:color w:val="000000" w:themeColor="text1"/>
          <w:sz w:val="24"/>
          <w:szCs w:val="24"/>
        </w:rPr>
        <w:t xml:space="preserve"> psikodrama vb.) gibi kategorileri dikkate alan doküman analizleri planlanabilir.</w:t>
      </w:r>
    </w:p>
    <w:p w14:paraId="3BE804C0" w14:textId="77777777" w:rsidR="00FA457D" w:rsidRPr="00280CB2" w:rsidRDefault="00FA457D" w:rsidP="00FA457D">
      <w:pPr>
        <w:ind w:left="360"/>
        <w:rPr>
          <w:b/>
        </w:rPr>
      </w:pPr>
    </w:p>
    <w:p w14:paraId="4F0AFFCF" w14:textId="77777777" w:rsidR="00FA457D" w:rsidRPr="00280CB2" w:rsidRDefault="00FA457D" w:rsidP="00FA457D">
      <w:pPr>
        <w:rPr>
          <w:b/>
        </w:rPr>
      </w:pPr>
    </w:p>
    <w:p w14:paraId="74047BAB" w14:textId="77777777" w:rsidR="00FA457D" w:rsidRPr="00280CB2" w:rsidRDefault="00FA457D" w:rsidP="00FA457D">
      <w:pPr>
        <w:ind w:left="360"/>
        <w:rPr>
          <w:b/>
          <w:u w:val="single"/>
        </w:rPr>
      </w:pPr>
      <w:r w:rsidRPr="00280CB2">
        <w:rPr>
          <w:b/>
        </w:rPr>
        <w:t>KAYNAKÇA</w:t>
      </w:r>
    </w:p>
    <w:p w14:paraId="6B09364C" w14:textId="77777777" w:rsidR="00FA457D" w:rsidRPr="00280CB2" w:rsidRDefault="00FA457D">
      <w:pPr>
        <w:pStyle w:val="ListeParagraf"/>
        <w:numPr>
          <w:ilvl w:val="0"/>
          <w:numId w:val="60"/>
        </w:numPr>
        <w:tabs>
          <w:tab w:val="left" w:pos="0"/>
        </w:tabs>
        <w:jc w:val="both"/>
      </w:pPr>
      <w:r w:rsidRPr="00280CB2">
        <w:t xml:space="preserve">Akgün, R., &amp; </w:t>
      </w:r>
      <w:proofErr w:type="spellStart"/>
      <w:r w:rsidRPr="00280CB2">
        <w:t>Vuçinas</w:t>
      </w:r>
      <w:proofErr w:type="spellEnd"/>
      <w:r w:rsidRPr="00280CB2">
        <w:t xml:space="preserve">, O. (2021). Eğitimde psikodrama dersinin sosyal hizmet bölümü öğrencilerinin kişilik özelliklerine ve mesleki kazanımlarına yönelik etkisi. </w:t>
      </w:r>
      <w:proofErr w:type="gramStart"/>
      <w:r w:rsidRPr="00E359E0">
        <w:rPr>
          <w:rStyle w:val="Vurgu"/>
          <w:rFonts w:eastAsiaTheme="majorEastAsia"/>
        </w:rPr>
        <w:t>OPUS -</w:t>
      </w:r>
      <w:proofErr w:type="gramEnd"/>
      <w:r w:rsidRPr="00E359E0">
        <w:rPr>
          <w:rStyle w:val="Vurgu"/>
          <w:rFonts w:eastAsiaTheme="majorEastAsia"/>
        </w:rPr>
        <w:t xml:space="preserve"> Uluslararası Toplum Araştırmaları Dergisi, 17</w:t>
      </w:r>
      <w:r w:rsidRPr="00280CB2">
        <w:t xml:space="preserve">(34), 231-252. </w:t>
      </w:r>
      <w:hyperlink r:id="rId307" w:history="1">
        <w:r w:rsidRPr="00280CB2">
          <w:rPr>
            <w:rStyle w:val="Kpr"/>
          </w:rPr>
          <w:t>https://doi.org/10.26466/opus.864561</w:t>
        </w:r>
      </w:hyperlink>
    </w:p>
    <w:p w14:paraId="5B74E018" w14:textId="77777777" w:rsidR="00FA457D" w:rsidRPr="00280CB2" w:rsidRDefault="00FA457D">
      <w:pPr>
        <w:pStyle w:val="ListeParagraf"/>
        <w:numPr>
          <w:ilvl w:val="0"/>
          <w:numId w:val="60"/>
        </w:numPr>
        <w:tabs>
          <w:tab w:val="left" w:pos="0"/>
        </w:tabs>
        <w:jc w:val="both"/>
      </w:pPr>
      <w:proofErr w:type="spellStart"/>
      <w:r w:rsidRPr="00280CB2">
        <w:t>Akinsola</w:t>
      </w:r>
      <w:proofErr w:type="spellEnd"/>
      <w:r w:rsidRPr="00280CB2">
        <w:t xml:space="preserve">, E. F., &amp; </w:t>
      </w:r>
      <w:proofErr w:type="spellStart"/>
      <w:r w:rsidRPr="00280CB2">
        <w:t>Udoka</w:t>
      </w:r>
      <w:proofErr w:type="spellEnd"/>
      <w:r w:rsidRPr="00280CB2">
        <w:t xml:space="preserve">, P. A. (2013). </w:t>
      </w:r>
      <w:proofErr w:type="spellStart"/>
      <w:r w:rsidRPr="00280CB2">
        <w:t>Parental</w:t>
      </w:r>
      <w:proofErr w:type="spellEnd"/>
      <w:r w:rsidRPr="00280CB2">
        <w:t xml:space="preserve"> </w:t>
      </w:r>
      <w:proofErr w:type="spellStart"/>
      <w:r w:rsidRPr="00280CB2">
        <w:t>influence</w:t>
      </w:r>
      <w:proofErr w:type="spellEnd"/>
      <w:r w:rsidRPr="00280CB2">
        <w:t xml:space="preserve"> on </w:t>
      </w:r>
      <w:proofErr w:type="spellStart"/>
      <w:r w:rsidRPr="00280CB2">
        <w:t>social</w:t>
      </w:r>
      <w:proofErr w:type="spellEnd"/>
      <w:r w:rsidRPr="00280CB2">
        <w:t xml:space="preserve"> </w:t>
      </w:r>
      <w:proofErr w:type="spellStart"/>
      <w:r w:rsidRPr="00280CB2">
        <w:t>anxiety</w:t>
      </w:r>
      <w:proofErr w:type="spellEnd"/>
      <w:r w:rsidRPr="00280CB2">
        <w:t xml:space="preserve"> in </w:t>
      </w:r>
      <w:proofErr w:type="spellStart"/>
      <w:r w:rsidRPr="00280CB2">
        <w:t>children</w:t>
      </w:r>
      <w:proofErr w:type="spellEnd"/>
      <w:r w:rsidRPr="00280CB2">
        <w:t xml:space="preserve"> </w:t>
      </w:r>
      <w:proofErr w:type="spellStart"/>
      <w:r w:rsidRPr="00280CB2">
        <w:t>and</w:t>
      </w:r>
      <w:proofErr w:type="spellEnd"/>
      <w:r w:rsidRPr="00280CB2">
        <w:t xml:space="preserve"> </w:t>
      </w:r>
      <w:proofErr w:type="spellStart"/>
      <w:r w:rsidRPr="00280CB2">
        <w:t>adolescents</w:t>
      </w:r>
      <w:proofErr w:type="spellEnd"/>
      <w:r w:rsidRPr="00280CB2">
        <w:t xml:space="preserve">: </w:t>
      </w:r>
      <w:proofErr w:type="spellStart"/>
      <w:r w:rsidRPr="00280CB2">
        <w:t>Its</w:t>
      </w:r>
      <w:proofErr w:type="spellEnd"/>
      <w:r w:rsidRPr="00280CB2">
        <w:t xml:space="preserve"> </w:t>
      </w:r>
      <w:proofErr w:type="spellStart"/>
      <w:r w:rsidRPr="00280CB2">
        <w:t>assessment</w:t>
      </w:r>
      <w:proofErr w:type="spellEnd"/>
      <w:r w:rsidRPr="00280CB2">
        <w:t xml:space="preserve"> </w:t>
      </w:r>
      <w:proofErr w:type="spellStart"/>
      <w:r w:rsidRPr="00280CB2">
        <w:t>and</w:t>
      </w:r>
      <w:proofErr w:type="spellEnd"/>
      <w:r w:rsidRPr="00280CB2">
        <w:t xml:space="preserve"> </w:t>
      </w:r>
      <w:proofErr w:type="spellStart"/>
      <w:r w:rsidRPr="00280CB2">
        <w:t>management</w:t>
      </w:r>
      <w:proofErr w:type="spellEnd"/>
      <w:r w:rsidRPr="00280CB2">
        <w:t xml:space="preserve"> </w:t>
      </w:r>
      <w:proofErr w:type="spellStart"/>
      <w:r w:rsidRPr="00280CB2">
        <w:t>using</w:t>
      </w:r>
      <w:proofErr w:type="spellEnd"/>
      <w:r w:rsidRPr="00280CB2">
        <w:t xml:space="preserve"> </w:t>
      </w:r>
      <w:proofErr w:type="spellStart"/>
      <w:r w:rsidRPr="00280CB2">
        <w:t>psychodrama</w:t>
      </w:r>
      <w:proofErr w:type="spellEnd"/>
      <w:r w:rsidRPr="00280CB2">
        <w:t xml:space="preserve">. </w:t>
      </w:r>
      <w:proofErr w:type="spellStart"/>
      <w:r w:rsidRPr="00E359E0">
        <w:rPr>
          <w:i/>
        </w:rPr>
        <w:t>Psychology</w:t>
      </w:r>
      <w:proofErr w:type="spellEnd"/>
      <w:r w:rsidRPr="00E359E0">
        <w:rPr>
          <w:i/>
        </w:rPr>
        <w:t>, 4</w:t>
      </w:r>
      <w:r w:rsidRPr="00280CB2">
        <w:t>(3A), 246–253.</w:t>
      </w:r>
      <w:hyperlink r:id="rId308">
        <w:r w:rsidRPr="00280CB2">
          <w:t xml:space="preserve"> </w:t>
        </w:r>
      </w:hyperlink>
      <w:hyperlink r:id="rId309">
        <w:r w:rsidRPr="00E359E0">
          <w:rPr>
            <w:u w:val="single"/>
          </w:rPr>
          <w:t>https://doi.org/10.4236/psych.2013.43A037</w:t>
        </w:r>
      </w:hyperlink>
    </w:p>
    <w:p w14:paraId="2DC5D482" w14:textId="77777777" w:rsidR="00FA457D" w:rsidRPr="00280CB2" w:rsidRDefault="00FA457D">
      <w:pPr>
        <w:pStyle w:val="ListeParagraf"/>
        <w:numPr>
          <w:ilvl w:val="0"/>
          <w:numId w:val="60"/>
        </w:numPr>
        <w:tabs>
          <w:tab w:val="left" w:pos="0"/>
        </w:tabs>
        <w:jc w:val="both"/>
      </w:pPr>
      <w:r w:rsidRPr="00280CB2">
        <w:t>Altınay, D. (2015). Psikodrama Grup Terapisi El Kitabı. İstanbul: Epsilon Yayınları.</w:t>
      </w:r>
    </w:p>
    <w:p w14:paraId="19764643" w14:textId="77777777" w:rsidR="00FA457D" w:rsidRPr="00280CB2" w:rsidRDefault="00FA457D">
      <w:pPr>
        <w:pStyle w:val="ListeParagraf"/>
        <w:numPr>
          <w:ilvl w:val="0"/>
          <w:numId w:val="60"/>
        </w:numPr>
        <w:tabs>
          <w:tab w:val="left" w:pos="0"/>
        </w:tabs>
        <w:rPr>
          <w:rStyle w:val="Kpr"/>
        </w:rPr>
      </w:pPr>
      <w:proofErr w:type="spellStart"/>
      <w:r w:rsidRPr="00280CB2">
        <w:t>Arabpour</w:t>
      </w:r>
      <w:proofErr w:type="spellEnd"/>
      <w:r w:rsidRPr="00280CB2">
        <w:t xml:space="preserve"> </w:t>
      </w:r>
      <w:proofErr w:type="spellStart"/>
      <w:r w:rsidRPr="00280CB2">
        <w:t>Khanmirzaei</w:t>
      </w:r>
      <w:proofErr w:type="spellEnd"/>
      <w:r w:rsidRPr="00280CB2">
        <w:t xml:space="preserve">, S., </w:t>
      </w:r>
      <w:proofErr w:type="spellStart"/>
      <w:r w:rsidRPr="00280CB2">
        <w:t>Zare</w:t>
      </w:r>
      <w:proofErr w:type="spellEnd"/>
      <w:r w:rsidRPr="00280CB2">
        <w:t xml:space="preserve"> </w:t>
      </w:r>
      <w:proofErr w:type="spellStart"/>
      <w:r w:rsidRPr="00280CB2">
        <w:t>Bahramabadi</w:t>
      </w:r>
      <w:proofErr w:type="spellEnd"/>
      <w:r w:rsidRPr="00280CB2">
        <w:t xml:space="preserve">, M., &amp; </w:t>
      </w:r>
      <w:proofErr w:type="spellStart"/>
      <w:r w:rsidRPr="00280CB2">
        <w:t>Khoramian</w:t>
      </w:r>
      <w:proofErr w:type="spellEnd"/>
      <w:r w:rsidRPr="00280CB2">
        <w:t xml:space="preserve">, F. (2021). </w:t>
      </w:r>
      <w:proofErr w:type="spellStart"/>
      <w:r w:rsidRPr="00E359E0">
        <w:rPr>
          <w:rStyle w:val="Vurgu"/>
          <w:rFonts w:eastAsiaTheme="majorEastAsia"/>
        </w:rPr>
        <w:t>Effectiveness</w:t>
      </w:r>
      <w:proofErr w:type="spellEnd"/>
      <w:r w:rsidRPr="00E359E0">
        <w:rPr>
          <w:rStyle w:val="Vurgu"/>
          <w:rFonts w:eastAsiaTheme="majorEastAsia"/>
        </w:rPr>
        <w:t xml:space="preserve"> of </w:t>
      </w:r>
      <w:proofErr w:type="spellStart"/>
      <w:r w:rsidRPr="00E359E0">
        <w:rPr>
          <w:rStyle w:val="Vurgu"/>
          <w:rFonts w:eastAsiaTheme="majorEastAsia"/>
        </w:rPr>
        <w:t>psychodrama</w:t>
      </w:r>
      <w:proofErr w:type="spellEnd"/>
      <w:r w:rsidRPr="00E359E0">
        <w:rPr>
          <w:rStyle w:val="Vurgu"/>
          <w:rFonts w:eastAsiaTheme="majorEastAsia"/>
        </w:rPr>
        <w:t xml:space="preserve"> on </w:t>
      </w:r>
      <w:proofErr w:type="spellStart"/>
      <w:r w:rsidRPr="00E359E0">
        <w:rPr>
          <w:rStyle w:val="Vurgu"/>
          <w:rFonts w:eastAsiaTheme="majorEastAsia"/>
        </w:rPr>
        <w:t>the</w:t>
      </w:r>
      <w:proofErr w:type="spellEnd"/>
      <w:r w:rsidRPr="00E359E0">
        <w:rPr>
          <w:rStyle w:val="Vurgu"/>
          <w:rFonts w:eastAsiaTheme="majorEastAsia"/>
        </w:rPr>
        <w:t xml:space="preserve"> body </w:t>
      </w:r>
      <w:proofErr w:type="spellStart"/>
      <w:r w:rsidRPr="00E359E0">
        <w:rPr>
          <w:rStyle w:val="Vurgu"/>
          <w:rFonts w:eastAsiaTheme="majorEastAsia"/>
        </w:rPr>
        <w:t>image</w:t>
      </w:r>
      <w:proofErr w:type="spellEnd"/>
      <w:r w:rsidRPr="00E359E0">
        <w:rPr>
          <w:rStyle w:val="Vurgu"/>
          <w:rFonts w:eastAsiaTheme="majorEastAsia"/>
        </w:rPr>
        <w:t xml:space="preserve"> of </w:t>
      </w:r>
      <w:proofErr w:type="spellStart"/>
      <w:r w:rsidRPr="00E359E0">
        <w:rPr>
          <w:rStyle w:val="Vurgu"/>
          <w:rFonts w:eastAsiaTheme="majorEastAsia"/>
        </w:rPr>
        <w:t>senior</w:t>
      </w:r>
      <w:proofErr w:type="spellEnd"/>
      <w:r w:rsidRPr="00E359E0">
        <w:rPr>
          <w:rStyle w:val="Vurgu"/>
          <w:rFonts w:eastAsiaTheme="majorEastAsia"/>
        </w:rPr>
        <w:t xml:space="preserve"> </w:t>
      </w:r>
      <w:proofErr w:type="spellStart"/>
      <w:r w:rsidRPr="00E359E0">
        <w:rPr>
          <w:rStyle w:val="Vurgu"/>
          <w:rFonts w:eastAsiaTheme="majorEastAsia"/>
        </w:rPr>
        <w:t>high</w:t>
      </w:r>
      <w:proofErr w:type="spellEnd"/>
      <w:r w:rsidRPr="00E359E0">
        <w:rPr>
          <w:rStyle w:val="Vurgu"/>
          <w:rFonts w:eastAsiaTheme="majorEastAsia"/>
        </w:rPr>
        <w:t xml:space="preserve"> </w:t>
      </w:r>
      <w:proofErr w:type="spellStart"/>
      <w:r w:rsidRPr="00E359E0">
        <w:rPr>
          <w:rStyle w:val="Vurgu"/>
          <w:rFonts w:eastAsiaTheme="majorEastAsia"/>
        </w:rPr>
        <w:t>female</w:t>
      </w:r>
      <w:proofErr w:type="spellEnd"/>
      <w:r w:rsidRPr="00E359E0">
        <w:rPr>
          <w:rStyle w:val="Vurgu"/>
          <w:rFonts w:eastAsiaTheme="majorEastAsia"/>
        </w:rPr>
        <w:t xml:space="preserve"> </w:t>
      </w:r>
      <w:proofErr w:type="spellStart"/>
      <w:r w:rsidRPr="00E359E0">
        <w:rPr>
          <w:rStyle w:val="Vurgu"/>
          <w:rFonts w:eastAsiaTheme="majorEastAsia"/>
        </w:rPr>
        <w:t>students</w:t>
      </w:r>
      <w:proofErr w:type="spellEnd"/>
      <w:r w:rsidRPr="00E359E0">
        <w:rPr>
          <w:rStyle w:val="Vurgu"/>
          <w:rFonts w:eastAsiaTheme="majorEastAsia"/>
        </w:rPr>
        <w:t xml:space="preserve"> in </w:t>
      </w:r>
      <w:proofErr w:type="spellStart"/>
      <w:r w:rsidRPr="00E359E0">
        <w:rPr>
          <w:rStyle w:val="Vurgu"/>
          <w:rFonts w:eastAsiaTheme="majorEastAsia"/>
        </w:rPr>
        <w:t>Tehran</w:t>
      </w:r>
      <w:proofErr w:type="spellEnd"/>
      <w:r w:rsidRPr="00E359E0">
        <w:rPr>
          <w:rStyle w:val="Vurgu"/>
          <w:rFonts w:eastAsiaTheme="majorEastAsia"/>
        </w:rPr>
        <w:t xml:space="preserve">, </w:t>
      </w:r>
      <w:proofErr w:type="spellStart"/>
      <w:r w:rsidRPr="00E359E0">
        <w:rPr>
          <w:rStyle w:val="Vurgu"/>
          <w:rFonts w:eastAsiaTheme="majorEastAsia"/>
        </w:rPr>
        <w:t>District</w:t>
      </w:r>
      <w:proofErr w:type="spellEnd"/>
      <w:r w:rsidRPr="00E359E0">
        <w:rPr>
          <w:rStyle w:val="Vurgu"/>
          <w:rFonts w:eastAsiaTheme="majorEastAsia"/>
        </w:rPr>
        <w:t xml:space="preserve"> 15.</w:t>
      </w:r>
      <w:r w:rsidRPr="00280CB2">
        <w:t xml:space="preserve"> </w:t>
      </w:r>
      <w:proofErr w:type="spellStart"/>
      <w:r w:rsidRPr="00280CB2">
        <w:t>Journal</w:t>
      </w:r>
      <w:proofErr w:type="spellEnd"/>
      <w:r w:rsidRPr="00280CB2">
        <w:t xml:space="preserve"> of </w:t>
      </w:r>
      <w:proofErr w:type="spellStart"/>
      <w:r w:rsidRPr="00280CB2">
        <w:t>Community</w:t>
      </w:r>
      <w:proofErr w:type="spellEnd"/>
      <w:r w:rsidRPr="00280CB2">
        <w:t xml:space="preserve"> </w:t>
      </w:r>
      <w:proofErr w:type="spellStart"/>
      <w:r w:rsidRPr="00280CB2">
        <w:t>Health</w:t>
      </w:r>
      <w:proofErr w:type="spellEnd"/>
      <w:r w:rsidRPr="00280CB2">
        <w:t xml:space="preserve"> </w:t>
      </w:r>
      <w:proofErr w:type="spellStart"/>
      <w:r w:rsidRPr="00280CB2">
        <w:t>Research</w:t>
      </w:r>
      <w:proofErr w:type="spellEnd"/>
      <w:r w:rsidRPr="00280CB2">
        <w:t xml:space="preserve">, 10(4), 296-305. </w:t>
      </w:r>
      <w:hyperlink r:id="rId310" w:tgtFrame="_new" w:history="1">
        <w:r w:rsidRPr="00280CB2">
          <w:rPr>
            <w:rStyle w:val="Kpr"/>
          </w:rPr>
          <w:t>https://doi.org/10.18502/jchr.v10i4.8335</w:t>
        </w:r>
      </w:hyperlink>
    </w:p>
    <w:p w14:paraId="6972334E" w14:textId="77777777" w:rsidR="00FA457D" w:rsidRPr="00280CB2" w:rsidRDefault="00FA457D">
      <w:pPr>
        <w:pStyle w:val="ListeParagraf"/>
        <w:numPr>
          <w:ilvl w:val="0"/>
          <w:numId w:val="60"/>
        </w:numPr>
        <w:tabs>
          <w:tab w:val="left" w:pos="0"/>
        </w:tabs>
        <w:jc w:val="both"/>
      </w:pPr>
      <w:proofErr w:type="spellStart"/>
      <w:r w:rsidRPr="00280CB2">
        <w:t>Atintaş</w:t>
      </w:r>
      <w:proofErr w:type="spellEnd"/>
      <w:r w:rsidRPr="00280CB2">
        <w:t xml:space="preserve">, M. C., &amp; Kırlangıç Şimşek, B. (2020). </w:t>
      </w:r>
      <w:proofErr w:type="spellStart"/>
      <w:r w:rsidRPr="00280CB2">
        <w:t>Examining</w:t>
      </w:r>
      <w:proofErr w:type="spellEnd"/>
      <w:r w:rsidRPr="00280CB2">
        <w:t xml:space="preserve">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psychodrama</w:t>
      </w:r>
      <w:proofErr w:type="spellEnd"/>
      <w:r w:rsidRPr="00280CB2">
        <w:t xml:space="preserve"> </w:t>
      </w:r>
      <w:proofErr w:type="spellStart"/>
      <w:r w:rsidRPr="00280CB2">
        <w:t>practice</w:t>
      </w:r>
      <w:proofErr w:type="spellEnd"/>
      <w:r w:rsidRPr="00280CB2">
        <w:t xml:space="preserve">: A </w:t>
      </w:r>
      <w:proofErr w:type="spellStart"/>
      <w:r w:rsidRPr="00280CB2">
        <w:t>study</w:t>
      </w:r>
      <w:proofErr w:type="spellEnd"/>
      <w:r w:rsidRPr="00280CB2">
        <w:t xml:space="preserve"> on </w:t>
      </w:r>
      <w:proofErr w:type="spellStart"/>
      <w:r w:rsidRPr="00280CB2">
        <w:t>psychological</w:t>
      </w:r>
      <w:proofErr w:type="spellEnd"/>
      <w:r w:rsidRPr="00280CB2">
        <w:t xml:space="preserve"> </w:t>
      </w:r>
      <w:proofErr w:type="spellStart"/>
      <w:r w:rsidRPr="00280CB2">
        <w:t>well-being</w:t>
      </w:r>
      <w:proofErr w:type="spellEnd"/>
      <w:r w:rsidRPr="00280CB2">
        <w:t xml:space="preserve">, </w:t>
      </w:r>
      <w:proofErr w:type="spellStart"/>
      <w:r w:rsidRPr="00280CB2">
        <w:t>hopelessness</w:t>
      </w:r>
      <w:proofErr w:type="spellEnd"/>
      <w:r w:rsidRPr="00280CB2">
        <w:t xml:space="preserve"> </w:t>
      </w:r>
      <w:proofErr w:type="spellStart"/>
      <w:r w:rsidRPr="00280CB2">
        <w:t>and</w:t>
      </w:r>
      <w:proofErr w:type="spellEnd"/>
      <w:r w:rsidRPr="00280CB2">
        <w:t xml:space="preserve"> </w:t>
      </w:r>
      <w:proofErr w:type="spellStart"/>
      <w:r w:rsidRPr="00280CB2">
        <w:t>insight</w:t>
      </w:r>
      <w:proofErr w:type="spellEnd"/>
      <w:r w:rsidRPr="00280CB2">
        <w:t xml:space="preserve"> in </w:t>
      </w:r>
      <w:proofErr w:type="spellStart"/>
      <w:r w:rsidRPr="00280CB2">
        <w:t>emerging</w:t>
      </w:r>
      <w:proofErr w:type="spellEnd"/>
      <w:r w:rsidRPr="00280CB2">
        <w:t xml:space="preserve"> </w:t>
      </w:r>
      <w:proofErr w:type="spellStart"/>
      <w:r w:rsidRPr="00280CB2">
        <w:t>adults</w:t>
      </w:r>
      <w:proofErr w:type="spellEnd"/>
      <w:r w:rsidRPr="00280CB2">
        <w:t xml:space="preserve">. </w:t>
      </w:r>
      <w:proofErr w:type="spellStart"/>
      <w:r w:rsidRPr="00E359E0">
        <w:rPr>
          <w:i/>
        </w:rPr>
        <w:t>Zeitschrift</w:t>
      </w:r>
      <w:proofErr w:type="spellEnd"/>
      <w:r w:rsidRPr="00E359E0">
        <w:rPr>
          <w:i/>
        </w:rPr>
        <w:t xml:space="preserve"> </w:t>
      </w:r>
      <w:proofErr w:type="spellStart"/>
      <w:r w:rsidRPr="00E359E0">
        <w:rPr>
          <w:i/>
        </w:rPr>
        <w:t>für</w:t>
      </w:r>
      <w:proofErr w:type="spellEnd"/>
      <w:r w:rsidRPr="00E359E0">
        <w:rPr>
          <w:i/>
        </w:rPr>
        <w:t xml:space="preserve"> </w:t>
      </w:r>
      <w:proofErr w:type="spellStart"/>
      <w:r w:rsidRPr="00E359E0">
        <w:rPr>
          <w:i/>
        </w:rPr>
        <w:t>Psychodrama</w:t>
      </w:r>
      <w:proofErr w:type="spellEnd"/>
      <w:r w:rsidRPr="00E359E0">
        <w:rPr>
          <w:i/>
        </w:rPr>
        <w:t xml:space="preserve"> </w:t>
      </w:r>
      <w:proofErr w:type="spellStart"/>
      <w:r w:rsidRPr="00E359E0">
        <w:rPr>
          <w:i/>
        </w:rPr>
        <w:t>und</w:t>
      </w:r>
      <w:proofErr w:type="spellEnd"/>
      <w:r w:rsidRPr="00E359E0">
        <w:rPr>
          <w:i/>
        </w:rPr>
        <w:t xml:space="preserve"> </w:t>
      </w:r>
      <w:proofErr w:type="spellStart"/>
      <w:r w:rsidRPr="00E359E0">
        <w:rPr>
          <w:i/>
        </w:rPr>
        <w:t>Soziometrie</w:t>
      </w:r>
      <w:proofErr w:type="spellEnd"/>
      <w:r w:rsidRPr="00280CB2">
        <w:t xml:space="preserve">, </w:t>
      </w:r>
      <w:r w:rsidRPr="00E359E0">
        <w:rPr>
          <w:i/>
        </w:rPr>
        <w:t>19</w:t>
      </w:r>
      <w:r w:rsidRPr="00280CB2">
        <w:t>(</w:t>
      </w:r>
      <w:proofErr w:type="spellStart"/>
      <w:r w:rsidRPr="00280CB2">
        <w:t>Suppl</w:t>
      </w:r>
      <w:proofErr w:type="spellEnd"/>
      <w:r w:rsidRPr="00280CB2">
        <w:t xml:space="preserve"> 1), 21–31.</w:t>
      </w:r>
      <w:hyperlink r:id="rId311">
        <w:r w:rsidRPr="00280CB2">
          <w:t xml:space="preserve"> </w:t>
        </w:r>
      </w:hyperlink>
      <w:hyperlink r:id="rId312">
        <w:r w:rsidRPr="00E359E0">
          <w:rPr>
            <w:u w:val="single"/>
          </w:rPr>
          <w:t>https://doi.org/10.1007/s11620-020-00560-2</w:t>
        </w:r>
      </w:hyperlink>
    </w:p>
    <w:p w14:paraId="5D2735AA" w14:textId="77777777" w:rsidR="00FA457D" w:rsidRPr="00280CB2" w:rsidRDefault="00FA457D">
      <w:pPr>
        <w:pStyle w:val="ListeParagraf"/>
        <w:numPr>
          <w:ilvl w:val="0"/>
          <w:numId w:val="60"/>
        </w:numPr>
        <w:tabs>
          <w:tab w:val="left" w:pos="0"/>
        </w:tabs>
        <w:jc w:val="both"/>
      </w:pPr>
      <w:proofErr w:type="spellStart"/>
      <w:r w:rsidRPr="00280CB2">
        <w:t>Aytemur</w:t>
      </w:r>
      <w:proofErr w:type="spellEnd"/>
      <w:r w:rsidRPr="00280CB2">
        <w:t xml:space="preserve"> ZA, </w:t>
      </w:r>
      <w:proofErr w:type="spellStart"/>
      <w:r w:rsidRPr="00280CB2">
        <w:t>Pişmişoğlu</w:t>
      </w:r>
      <w:proofErr w:type="spellEnd"/>
      <w:r w:rsidRPr="00280CB2">
        <w:t xml:space="preserve"> B, Kılınç O. Ark. </w:t>
      </w:r>
      <w:proofErr w:type="spellStart"/>
      <w:r w:rsidRPr="00280CB2">
        <w:t>Intensive</w:t>
      </w:r>
      <w:proofErr w:type="spellEnd"/>
      <w:r w:rsidRPr="00280CB2">
        <w:t xml:space="preserve"> </w:t>
      </w:r>
      <w:proofErr w:type="spellStart"/>
      <w:r w:rsidRPr="00280CB2">
        <w:t>clinic</w:t>
      </w:r>
      <w:proofErr w:type="spellEnd"/>
      <w:r w:rsidRPr="00280CB2">
        <w:t xml:space="preserve"> </w:t>
      </w:r>
      <w:proofErr w:type="spellStart"/>
      <w:r w:rsidRPr="00280CB2">
        <w:t>ıntervention</w:t>
      </w:r>
      <w:proofErr w:type="spellEnd"/>
      <w:r w:rsidRPr="00280CB2">
        <w:t xml:space="preserve"> </w:t>
      </w:r>
      <w:proofErr w:type="spellStart"/>
      <w:r w:rsidRPr="00280CB2">
        <w:t>plus</w:t>
      </w:r>
      <w:proofErr w:type="spellEnd"/>
      <w:r w:rsidRPr="00280CB2">
        <w:t xml:space="preserve"> </w:t>
      </w:r>
      <w:proofErr w:type="spellStart"/>
      <w:r w:rsidRPr="00280CB2">
        <w:t>psychodrama</w:t>
      </w:r>
      <w:proofErr w:type="spellEnd"/>
      <w:r w:rsidRPr="00280CB2">
        <w:t xml:space="preserve"> in </w:t>
      </w:r>
      <w:proofErr w:type="spellStart"/>
      <w:r w:rsidRPr="00280CB2">
        <w:t>smoking</w:t>
      </w:r>
      <w:proofErr w:type="spellEnd"/>
      <w:r w:rsidRPr="00280CB2">
        <w:t xml:space="preserve"> </w:t>
      </w:r>
      <w:proofErr w:type="spellStart"/>
      <w:r w:rsidRPr="00280CB2">
        <w:t>cessation</w:t>
      </w:r>
      <w:proofErr w:type="spellEnd"/>
      <w:r w:rsidRPr="00280CB2">
        <w:t xml:space="preserve"> </w:t>
      </w:r>
      <w:proofErr w:type="spellStart"/>
      <w:r w:rsidRPr="00280CB2">
        <w:t>and</w:t>
      </w:r>
      <w:proofErr w:type="spellEnd"/>
      <w:r w:rsidRPr="00280CB2">
        <w:t xml:space="preserve"> </w:t>
      </w:r>
      <w:proofErr w:type="spellStart"/>
      <w:r w:rsidRPr="00280CB2">
        <w:t>effects</w:t>
      </w:r>
      <w:proofErr w:type="spellEnd"/>
      <w:r w:rsidRPr="00280CB2">
        <w:t xml:space="preserve"> on </w:t>
      </w:r>
      <w:proofErr w:type="spellStart"/>
      <w:r w:rsidRPr="00280CB2">
        <w:t>cessation</w:t>
      </w:r>
      <w:proofErr w:type="spellEnd"/>
      <w:r w:rsidRPr="00280CB2">
        <w:t xml:space="preserve"> </w:t>
      </w:r>
      <w:proofErr w:type="spellStart"/>
      <w:r w:rsidRPr="00280CB2">
        <w:t>outcome</w:t>
      </w:r>
      <w:proofErr w:type="spellEnd"/>
      <w:r w:rsidRPr="00280CB2">
        <w:t xml:space="preserve">. </w:t>
      </w:r>
      <w:proofErr w:type="spellStart"/>
      <w:r w:rsidRPr="00280CB2">
        <w:t>Turkiye</w:t>
      </w:r>
      <w:proofErr w:type="spellEnd"/>
      <w:r w:rsidRPr="00280CB2">
        <w:t xml:space="preserve"> Klinikleri J </w:t>
      </w:r>
      <w:proofErr w:type="spellStart"/>
      <w:r w:rsidRPr="00280CB2">
        <w:t>Med</w:t>
      </w:r>
      <w:proofErr w:type="spellEnd"/>
      <w:r w:rsidRPr="00280CB2">
        <w:t xml:space="preserve"> </w:t>
      </w:r>
      <w:proofErr w:type="spellStart"/>
      <w:r w:rsidRPr="00280CB2">
        <w:t>Sci</w:t>
      </w:r>
      <w:proofErr w:type="spellEnd"/>
      <w:r w:rsidRPr="00280CB2">
        <w:t>. 2012; 32(3): 630-637.</w:t>
      </w:r>
    </w:p>
    <w:p w14:paraId="44429E0A" w14:textId="77777777" w:rsidR="00FA457D" w:rsidRPr="00280CB2" w:rsidRDefault="00FA457D">
      <w:pPr>
        <w:pStyle w:val="ListeParagraf"/>
        <w:numPr>
          <w:ilvl w:val="0"/>
          <w:numId w:val="60"/>
        </w:numPr>
        <w:tabs>
          <w:tab w:val="left" w:pos="0"/>
        </w:tabs>
        <w:jc w:val="both"/>
      </w:pPr>
      <w:proofErr w:type="spellStart"/>
      <w:r w:rsidRPr="00280CB2">
        <w:t>Baile</w:t>
      </w:r>
      <w:proofErr w:type="spellEnd"/>
      <w:r w:rsidRPr="00280CB2">
        <w:t xml:space="preserve">, W. F., De </w:t>
      </w:r>
      <w:proofErr w:type="spellStart"/>
      <w:r w:rsidRPr="00280CB2">
        <w:t>Panfilis</w:t>
      </w:r>
      <w:proofErr w:type="spellEnd"/>
      <w:r w:rsidRPr="00280CB2">
        <w:t xml:space="preserve">, L., </w:t>
      </w:r>
      <w:proofErr w:type="spellStart"/>
      <w:r w:rsidRPr="00280CB2">
        <w:t>Tanzi</w:t>
      </w:r>
      <w:proofErr w:type="spellEnd"/>
      <w:r w:rsidRPr="00280CB2">
        <w:t xml:space="preserve">, S., </w:t>
      </w:r>
      <w:proofErr w:type="spellStart"/>
      <w:r w:rsidRPr="00280CB2">
        <w:t>Moroni</w:t>
      </w:r>
      <w:proofErr w:type="spellEnd"/>
      <w:r w:rsidRPr="00280CB2">
        <w:t xml:space="preserve">, M., Walters, R., &amp; </w:t>
      </w:r>
      <w:proofErr w:type="spellStart"/>
      <w:r w:rsidRPr="00280CB2">
        <w:t>Biasco</w:t>
      </w:r>
      <w:proofErr w:type="spellEnd"/>
      <w:r w:rsidRPr="00280CB2">
        <w:t xml:space="preserve">, G. (2012). Using </w:t>
      </w:r>
      <w:proofErr w:type="spellStart"/>
      <w:r w:rsidRPr="00280CB2">
        <w:t>sociodrama</w:t>
      </w:r>
      <w:proofErr w:type="spellEnd"/>
      <w:r w:rsidRPr="00280CB2">
        <w:t xml:space="preserve"> </w:t>
      </w:r>
      <w:proofErr w:type="spellStart"/>
      <w:r w:rsidRPr="00280CB2">
        <w:t>and</w:t>
      </w:r>
      <w:proofErr w:type="spellEnd"/>
      <w:r w:rsidRPr="00280CB2">
        <w:t xml:space="preserve"> </w:t>
      </w:r>
      <w:proofErr w:type="spellStart"/>
      <w:r w:rsidRPr="00280CB2">
        <w:t>psychodrama</w:t>
      </w:r>
      <w:proofErr w:type="spellEnd"/>
      <w:r w:rsidRPr="00280CB2">
        <w:t xml:space="preserve"> </w:t>
      </w:r>
      <w:proofErr w:type="spellStart"/>
      <w:r w:rsidRPr="00280CB2">
        <w:t>to</w:t>
      </w:r>
      <w:proofErr w:type="spellEnd"/>
      <w:r w:rsidRPr="00280CB2">
        <w:t xml:space="preserve"> </w:t>
      </w:r>
      <w:proofErr w:type="spellStart"/>
      <w:r w:rsidRPr="00280CB2">
        <w:t>teach</w:t>
      </w:r>
      <w:proofErr w:type="spellEnd"/>
      <w:r w:rsidRPr="00280CB2">
        <w:t xml:space="preserve"> </w:t>
      </w:r>
      <w:proofErr w:type="spellStart"/>
      <w:r w:rsidRPr="00280CB2">
        <w:t>communication</w:t>
      </w:r>
      <w:proofErr w:type="spellEnd"/>
      <w:r w:rsidRPr="00280CB2">
        <w:t xml:space="preserve"> in </w:t>
      </w:r>
      <w:proofErr w:type="spellStart"/>
      <w:r w:rsidRPr="00280CB2">
        <w:t>end</w:t>
      </w:r>
      <w:proofErr w:type="spellEnd"/>
      <w:r w:rsidRPr="00280CB2">
        <w:t xml:space="preserve">-of-life </w:t>
      </w:r>
      <w:proofErr w:type="spellStart"/>
      <w:r w:rsidRPr="00280CB2">
        <w:t>care</w:t>
      </w:r>
      <w:proofErr w:type="spellEnd"/>
      <w:r w:rsidRPr="00280CB2">
        <w:t xml:space="preserve">. </w:t>
      </w:r>
      <w:proofErr w:type="spellStart"/>
      <w:r w:rsidRPr="00E359E0">
        <w:rPr>
          <w:rStyle w:val="Vurgu"/>
          <w:rFonts w:eastAsiaTheme="majorEastAsia"/>
        </w:rPr>
        <w:t>Journal</w:t>
      </w:r>
      <w:proofErr w:type="spellEnd"/>
      <w:r w:rsidRPr="00E359E0">
        <w:rPr>
          <w:rStyle w:val="Vurgu"/>
          <w:rFonts w:eastAsiaTheme="majorEastAsia"/>
        </w:rPr>
        <w:t xml:space="preserve"> of </w:t>
      </w:r>
      <w:proofErr w:type="spellStart"/>
      <w:r w:rsidRPr="00E359E0">
        <w:rPr>
          <w:rStyle w:val="Vurgu"/>
          <w:rFonts w:eastAsiaTheme="majorEastAsia"/>
        </w:rPr>
        <w:t>Palliative</w:t>
      </w:r>
      <w:proofErr w:type="spellEnd"/>
      <w:r w:rsidRPr="00E359E0">
        <w:rPr>
          <w:rStyle w:val="Vurgu"/>
          <w:rFonts w:eastAsiaTheme="majorEastAsia"/>
        </w:rPr>
        <w:t xml:space="preserve"> </w:t>
      </w:r>
      <w:proofErr w:type="spellStart"/>
      <w:r w:rsidRPr="00E359E0">
        <w:rPr>
          <w:rStyle w:val="Vurgu"/>
          <w:rFonts w:eastAsiaTheme="majorEastAsia"/>
        </w:rPr>
        <w:t>Medicine</w:t>
      </w:r>
      <w:proofErr w:type="spellEnd"/>
      <w:r w:rsidRPr="00E359E0">
        <w:rPr>
          <w:rStyle w:val="Vurgu"/>
          <w:rFonts w:eastAsiaTheme="majorEastAsia"/>
        </w:rPr>
        <w:t>, 15</w:t>
      </w:r>
      <w:r w:rsidRPr="00280CB2">
        <w:t xml:space="preserve">(9), 1076–1080. </w:t>
      </w:r>
      <w:hyperlink r:id="rId313" w:tgtFrame="_new" w:history="1">
        <w:r w:rsidRPr="00280CB2">
          <w:rPr>
            <w:rStyle w:val="Kpr"/>
          </w:rPr>
          <w:t>https://doi.org/10.1089/jpm.2012.0030</w:t>
        </w:r>
      </w:hyperlink>
    </w:p>
    <w:p w14:paraId="4AB5B2F5" w14:textId="77777777" w:rsidR="00FA457D" w:rsidRPr="00280CB2" w:rsidRDefault="00FA457D">
      <w:pPr>
        <w:pStyle w:val="ListeParagraf"/>
        <w:numPr>
          <w:ilvl w:val="0"/>
          <w:numId w:val="60"/>
        </w:numPr>
        <w:tabs>
          <w:tab w:val="left" w:pos="0"/>
        </w:tabs>
        <w:jc w:val="both"/>
      </w:pPr>
      <w:proofErr w:type="spellStart"/>
      <w:r w:rsidRPr="00280CB2">
        <w:t>Beauvais</w:t>
      </w:r>
      <w:proofErr w:type="spellEnd"/>
      <w:r w:rsidRPr="00280CB2">
        <w:t xml:space="preserve">, A. M., </w:t>
      </w:r>
      <w:proofErr w:type="spellStart"/>
      <w:r w:rsidRPr="00280CB2">
        <w:t>Ozbas</w:t>
      </w:r>
      <w:proofErr w:type="spellEnd"/>
      <w:r w:rsidRPr="00280CB2">
        <w:t xml:space="preserve">, A. A., &amp; </w:t>
      </w:r>
      <w:proofErr w:type="spellStart"/>
      <w:r w:rsidRPr="00280CB2">
        <w:t>Wheeler</w:t>
      </w:r>
      <w:proofErr w:type="spellEnd"/>
      <w:r w:rsidRPr="00280CB2">
        <w:t xml:space="preserve">, K. (2019). </w:t>
      </w:r>
      <w:proofErr w:type="spellStart"/>
      <w:r w:rsidRPr="00280CB2">
        <w:t>End</w:t>
      </w:r>
      <w:proofErr w:type="spellEnd"/>
      <w:r w:rsidRPr="00280CB2">
        <w:t xml:space="preserve">-of-life </w:t>
      </w:r>
      <w:proofErr w:type="spellStart"/>
      <w:r w:rsidRPr="00280CB2">
        <w:t>psychodrama</w:t>
      </w:r>
      <w:proofErr w:type="spellEnd"/>
      <w:r w:rsidRPr="00280CB2">
        <w:t xml:space="preserve">: </w:t>
      </w:r>
      <w:proofErr w:type="spellStart"/>
      <w:r w:rsidRPr="00280CB2">
        <w:t>Influencing</w:t>
      </w:r>
      <w:proofErr w:type="spellEnd"/>
      <w:r w:rsidRPr="00280CB2">
        <w:t xml:space="preserve"> </w:t>
      </w:r>
      <w:proofErr w:type="spellStart"/>
      <w:r w:rsidRPr="00280CB2">
        <w:t>nursing</w:t>
      </w:r>
      <w:proofErr w:type="spellEnd"/>
      <w:r w:rsidRPr="00280CB2">
        <w:t xml:space="preserve"> </w:t>
      </w:r>
      <w:proofErr w:type="spellStart"/>
      <w:r w:rsidRPr="00280CB2">
        <w:t>students</w:t>
      </w:r>
      <w:proofErr w:type="spellEnd"/>
      <w:r w:rsidRPr="00280CB2">
        <w:t xml:space="preserve">’ </w:t>
      </w:r>
      <w:proofErr w:type="spellStart"/>
      <w:r w:rsidRPr="00280CB2">
        <w:t>communication</w:t>
      </w:r>
      <w:proofErr w:type="spellEnd"/>
      <w:r w:rsidRPr="00280CB2">
        <w:t xml:space="preserve"> </w:t>
      </w:r>
      <w:proofErr w:type="spellStart"/>
      <w:r w:rsidRPr="00280CB2">
        <w:t>skills</w:t>
      </w:r>
      <w:proofErr w:type="spellEnd"/>
      <w:r w:rsidRPr="00280CB2">
        <w:t xml:space="preserve">, </w:t>
      </w:r>
      <w:proofErr w:type="spellStart"/>
      <w:r w:rsidRPr="00280CB2">
        <w:t>attitudes</w:t>
      </w:r>
      <w:proofErr w:type="spellEnd"/>
      <w:r w:rsidRPr="00280CB2">
        <w:t xml:space="preserve">, </w:t>
      </w:r>
      <w:proofErr w:type="spellStart"/>
      <w:r w:rsidRPr="00280CB2">
        <w:t>emotional</w:t>
      </w:r>
      <w:proofErr w:type="spellEnd"/>
      <w:r w:rsidRPr="00280CB2">
        <w:t xml:space="preserve"> </w:t>
      </w:r>
      <w:proofErr w:type="spellStart"/>
      <w:r w:rsidRPr="00280CB2">
        <w:t>intelligence</w:t>
      </w:r>
      <w:proofErr w:type="spellEnd"/>
      <w:r w:rsidRPr="00280CB2">
        <w:t xml:space="preserve">, </w:t>
      </w:r>
      <w:proofErr w:type="spellStart"/>
      <w:r w:rsidRPr="00280CB2">
        <w:t>and</w:t>
      </w:r>
      <w:proofErr w:type="spellEnd"/>
      <w:r w:rsidRPr="00280CB2">
        <w:t xml:space="preserve"> self-</w:t>
      </w:r>
      <w:proofErr w:type="spellStart"/>
      <w:r w:rsidRPr="00280CB2">
        <w:t>reflection</w:t>
      </w:r>
      <w:proofErr w:type="spellEnd"/>
      <w:r w:rsidRPr="00280CB2">
        <w:t xml:space="preserve">. </w:t>
      </w:r>
      <w:proofErr w:type="spellStart"/>
      <w:r w:rsidRPr="00E359E0">
        <w:rPr>
          <w:i/>
        </w:rPr>
        <w:t>Journal</w:t>
      </w:r>
      <w:proofErr w:type="spellEnd"/>
      <w:r w:rsidRPr="00E359E0">
        <w:rPr>
          <w:i/>
        </w:rPr>
        <w:t xml:space="preserve"> of </w:t>
      </w:r>
      <w:proofErr w:type="spellStart"/>
      <w:r w:rsidRPr="00E359E0">
        <w:rPr>
          <w:i/>
        </w:rPr>
        <w:t>Psychiatric</w:t>
      </w:r>
      <w:proofErr w:type="spellEnd"/>
      <w:r w:rsidRPr="00E359E0">
        <w:rPr>
          <w:i/>
        </w:rPr>
        <w:t xml:space="preserve"> </w:t>
      </w:r>
      <w:proofErr w:type="spellStart"/>
      <w:r w:rsidRPr="00E359E0">
        <w:rPr>
          <w:i/>
        </w:rPr>
        <w:t>Nursing</w:t>
      </w:r>
      <w:proofErr w:type="spellEnd"/>
      <w:r w:rsidRPr="00280CB2">
        <w:t xml:space="preserve">, </w:t>
      </w:r>
      <w:r w:rsidRPr="00E359E0">
        <w:rPr>
          <w:i/>
        </w:rPr>
        <w:t>10</w:t>
      </w:r>
      <w:r w:rsidRPr="00280CB2">
        <w:t xml:space="preserve">(2), 103–110. </w:t>
      </w:r>
      <w:hyperlink r:id="rId314">
        <w:r w:rsidRPr="00E359E0">
          <w:rPr>
            <w:u w:val="single"/>
          </w:rPr>
          <w:t>https://doi.org/10.14744/phd.2019.96636</w:t>
        </w:r>
      </w:hyperlink>
    </w:p>
    <w:p w14:paraId="379F4C3A"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sz w:val="24"/>
          <w:szCs w:val="24"/>
        </w:rPr>
      </w:pPr>
      <w:r w:rsidRPr="00280CB2">
        <w:rPr>
          <w:rFonts w:ascii="Times New Roman" w:hAnsi="Times New Roman" w:cs="Times New Roman"/>
          <w:sz w:val="24"/>
          <w:szCs w:val="24"/>
        </w:rPr>
        <w:t xml:space="preserve">Bilginer, Ç., Çöp, E., Göker, Z., Hekim, Ö., Sekmen, E., &amp; </w:t>
      </w:r>
      <w:proofErr w:type="spellStart"/>
      <w:r w:rsidRPr="00280CB2">
        <w:rPr>
          <w:rFonts w:ascii="Times New Roman" w:hAnsi="Times New Roman" w:cs="Times New Roman"/>
          <w:sz w:val="24"/>
          <w:szCs w:val="24"/>
        </w:rPr>
        <w:t>Üneri</w:t>
      </w:r>
      <w:proofErr w:type="spellEnd"/>
      <w:r w:rsidRPr="00280CB2">
        <w:rPr>
          <w:rFonts w:ascii="Times New Roman" w:hAnsi="Times New Roman" w:cs="Times New Roman"/>
          <w:sz w:val="24"/>
          <w:szCs w:val="24"/>
        </w:rPr>
        <w:t xml:space="preserve">, Ö. (2017). </w:t>
      </w:r>
      <w:r w:rsidRPr="00280CB2">
        <w:rPr>
          <w:rStyle w:val="Gl"/>
          <w:rFonts w:ascii="Times New Roman" w:hAnsi="Times New Roman" w:cs="Times New Roman"/>
          <w:sz w:val="24"/>
          <w:szCs w:val="24"/>
        </w:rPr>
        <w:t>İlaç içerek intihar girişiminde bulunan gençler ve koruyucu-önleyici hizmetlere genel bakış</w:t>
      </w:r>
      <w:r w:rsidRPr="00280CB2">
        <w:rPr>
          <w:rFonts w:ascii="Times New Roman" w:hAnsi="Times New Roman" w:cs="Times New Roman"/>
          <w:sz w:val="24"/>
          <w:szCs w:val="24"/>
        </w:rPr>
        <w:t xml:space="preserve">. </w:t>
      </w:r>
      <w:proofErr w:type="spellStart"/>
      <w:r w:rsidRPr="00280CB2">
        <w:rPr>
          <w:rStyle w:val="Vurgu"/>
          <w:rFonts w:ascii="Times New Roman" w:eastAsia="Calibri" w:hAnsi="Times New Roman" w:cs="Times New Roman"/>
          <w:sz w:val="24"/>
          <w:szCs w:val="24"/>
        </w:rPr>
        <w:t>Dusunen</w:t>
      </w:r>
      <w:proofErr w:type="spellEnd"/>
      <w:r w:rsidRPr="00280CB2">
        <w:rPr>
          <w:rStyle w:val="Vurgu"/>
          <w:rFonts w:ascii="Times New Roman" w:eastAsia="Calibri" w:hAnsi="Times New Roman" w:cs="Times New Roman"/>
          <w:sz w:val="24"/>
          <w:szCs w:val="24"/>
        </w:rPr>
        <w:t xml:space="preserve"> Adam </w:t>
      </w:r>
      <w:proofErr w:type="spellStart"/>
      <w:r w:rsidRPr="00280CB2">
        <w:rPr>
          <w:rStyle w:val="Vurgu"/>
          <w:rFonts w:ascii="Times New Roman" w:eastAsia="Calibri" w:hAnsi="Times New Roman" w:cs="Times New Roman"/>
          <w:sz w:val="24"/>
          <w:szCs w:val="24"/>
        </w:rPr>
        <w:t>The</w:t>
      </w:r>
      <w:proofErr w:type="spellEnd"/>
      <w:r w:rsidRPr="00280CB2">
        <w:rPr>
          <w:rStyle w:val="Vurgu"/>
          <w:rFonts w:ascii="Times New Roman" w:eastAsia="Calibri" w:hAnsi="Times New Roman" w:cs="Times New Roman"/>
          <w:sz w:val="24"/>
          <w:szCs w:val="24"/>
        </w:rPr>
        <w:t xml:space="preserve"> </w:t>
      </w:r>
      <w:proofErr w:type="spellStart"/>
      <w:r w:rsidRPr="00280CB2">
        <w:rPr>
          <w:rStyle w:val="Vurgu"/>
          <w:rFonts w:ascii="Times New Roman" w:eastAsia="Calibri" w:hAnsi="Times New Roman" w:cs="Times New Roman"/>
          <w:sz w:val="24"/>
          <w:szCs w:val="24"/>
        </w:rPr>
        <w:t>Journal</w:t>
      </w:r>
      <w:proofErr w:type="spellEnd"/>
      <w:r w:rsidRPr="00280CB2">
        <w:rPr>
          <w:rStyle w:val="Vurgu"/>
          <w:rFonts w:ascii="Times New Roman" w:eastAsia="Calibri" w:hAnsi="Times New Roman" w:cs="Times New Roman"/>
          <w:sz w:val="24"/>
          <w:szCs w:val="24"/>
        </w:rPr>
        <w:t xml:space="preserve"> of </w:t>
      </w:r>
      <w:proofErr w:type="spellStart"/>
      <w:r w:rsidRPr="00280CB2">
        <w:rPr>
          <w:rStyle w:val="Vurgu"/>
          <w:rFonts w:ascii="Times New Roman" w:eastAsia="Calibri" w:hAnsi="Times New Roman" w:cs="Times New Roman"/>
          <w:sz w:val="24"/>
          <w:szCs w:val="24"/>
        </w:rPr>
        <w:t>Psychiatry</w:t>
      </w:r>
      <w:proofErr w:type="spellEnd"/>
      <w:r w:rsidRPr="00280CB2">
        <w:rPr>
          <w:rStyle w:val="Vurgu"/>
          <w:rFonts w:ascii="Times New Roman" w:eastAsia="Calibri" w:hAnsi="Times New Roman" w:cs="Times New Roman"/>
          <w:sz w:val="24"/>
          <w:szCs w:val="24"/>
        </w:rPr>
        <w:t xml:space="preserve"> </w:t>
      </w:r>
      <w:proofErr w:type="spellStart"/>
      <w:r w:rsidRPr="00280CB2">
        <w:rPr>
          <w:rStyle w:val="Vurgu"/>
          <w:rFonts w:ascii="Times New Roman" w:eastAsia="Calibri" w:hAnsi="Times New Roman" w:cs="Times New Roman"/>
          <w:sz w:val="24"/>
          <w:szCs w:val="24"/>
        </w:rPr>
        <w:t>and</w:t>
      </w:r>
      <w:proofErr w:type="spellEnd"/>
      <w:r w:rsidRPr="00280CB2">
        <w:rPr>
          <w:rStyle w:val="Vurgu"/>
          <w:rFonts w:ascii="Times New Roman" w:eastAsia="Calibri" w:hAnsi="Times New Roman" w:cs="Times New Roman"/>
          <w:sz w:val="24"/>
          <w:szCs w:val="24"/>
        </w:rPr>
        <w:t xml:space="preserve"> </w:t>
      </w:r>
      <w:proofErr w:type="spellStart"/>
      <w:r w:rsidRPr="00280CB2">
        <w:rPr>
          <w:rStyle w:val="Vurgu"/>
          <w:rFonts w:ascii="Times New Roman" w:eastAsia="Calibri" w:hAnsi="Times New Roman" w:cs="Times New Roman"/>
          <w:sz w:val="24"/>
          <w:szCs w:val="24"/>
        </w:rPr>
        <w:t>Neurological</w:t>
      </w:r>
      <w:proofErr w:type="spellEnd"/>
      <w:r w:rsidRPr="00280CB2">
        <w:rPr>
          <w:rStyle w:val="Vurgu"/>
          <w:rFonts w:ascii="Times New Roman" w:eastAsia="Calibri" w:hAnsi="Times New Roman" w:cs="Times New Roman"/>
          <w:sz w:val="24"/>
          <w:szCs w:val="24"/>
        </w:rPr>
        <w:t xml:space="preserve"> </w:t>
      </w:r>
      <w:proofErr w:type="spellStart"/>
      <w:r w:rsidRPr="00280CB2">
        <w:rPr>
          <w:rStyle w:val="Vurgu"/>
          <w:rFonts w:ascii="Times New Roman" w:eastAsia="Calibri" w:hAnsi="Times New Roman" w:cs="Times New Roman"/>
          <w:sz w:val="24"/>
          <w:szCs w:val="24"/>
        </w:rPr>
        <w:t>Sciences</w:t>
      </w:r>
      <w:proofErr w:type="spellEnd"/>
      <w:r w:rsidRPr="00280CB2">
        <w:rPr>
          <w:rStyle w:val="Vurgu"/>
          <w:rFonts w:ascii="Times New Roman" w:eastAsia="Calibri" w:hAnsi="Times New Roman" w:cs="Times New Roman"/>
          <w:sz w:val="24"/>
          <w:szCs w:val="24"/>
        </w:rPr>
        <w:t>, 30</w:t>
      </w:r>
      <w:r w:rsidRPr="00280CB2">
        <w:rPr>
          <w:rFonts w:ascii="Times New Roman" w:hAnsi="Times New Roman" w:cs="Times New Roman"/>
          <w:sz w:val="24"/>
          <w:szCs w:val="24"/>
        </w:rPr>
        <w:t xml:space="preserve">, 243-250. </w:t>
      </w:r>
      <w:hyperlink r:id="rId315" w:history="1">
        <w:r w:rsidRPr="00280CB2">
          <w:rPr>
            <w:rStyle w:val="Kpr"/>
            <w:rFonts w:ascii="Times New Roman" w:hAnsi="Times New Roman" w:cs="Times New Roman"/>
            <w:color w:val="auto"/>
            <w:sz w:val="24"/>
            <w:szCs w:val="24"/>
          </w:rPr>
          <w:t>https://doi.org/10.5350/DAJPN2017300308</w:t>
        </w:r>
      </w:hyperlink>
    </w:p>
    <w:p w14:paraId="753C2422" w14:textId="77777777" w:rsidR="00FA457D" w:rsidRPr="00280CB2" w:rsidRDefault="00FA457D">
      <w:pPr>
        <w:pStyle w:val="ListeParagraf"/>
        <w:numPr>
          <w:ilvl w:val="0"/>
          <w:numId w:val="60"/>
        </w:numPr>
        <w:pBdr>
          <w:top w:val="nil"/>
          <w:left w:val="nil"/>
          <w:bottom w:val="nil"/>
          <w:right w:val="nil"/>
          <w:between w:val="nil"/>
        </w:pBdr>
        <w:tabs>
          <w:tab w:val="left" w:pos="0"/>
        </w:tabs>
        <w:spacing w:before="280"/>
        <w:jc w:val="both"/>
      </w:pPr>
      <w:proofErr w:type="spellStart"/>
      <w:r w:rsidRPr="00280CB2">
        <w:t>Biolcati</w:t>
      </w:r>
      <w:proofErr w:type="spellEnd"/>
      <w:r w:rsidRPr="00280CB2">
        <w:t xml:space="preserve">, R., </w:t>
      </w:r>
      <w:proofErr w:type="spellStart"/>
      <w:r w:rsidRPr="00280CB2">
        <w:t>Agostini</w:t>
      </w:r>
      <w:proofErr w:type="spellEnd"/>
      <w:r w:rsidRPr="00280CB2">
        <w:t xml:space="preserve">, F., &amp; </w:t>
      </w:r>
      <w:proofErr w:type="spellStart"/>
      <w:r w:rsidRPr="00280CB2">
        <w:t>Mancini</w:t>
      </w:r>
      <w:proofErr w:type="spellEnd"/>
      <w:r w:rsidRPr="00280CB2">
        <w:t xml:space="preserve">, G. (2017). </w:t>
      </w:r>
      <w:proofErr w:type="spellStart"/>
      <w:r w:rsidRPr="00280CB2">
        <w:t>Analytical</w:t>
      </w:r>
      <w:proofErr w:type="spellEnd"/>
      <w:r w:rsidRPr="00280CB2">
        <w:t xml:space="preserve"> </w:t>
      </w:r>
      <w:proofErr w:type="spellStart"/>
      <w:r w:rsidRPr="00280CB2">
        <w:t>psychodrama</w:t>
      </w:r>
      <w:proofErr w:type="spellEnd"/>
      <w:r w:rsidRPr="00280CB2">
        <w:t xml:space="preserve"> </w:t>
      </w:r>
      <w:proofErr w:type="spellStart"/>
      <w:r w:rsidRPr="00280CB2">
        <w:t>with</w:t>
      </w:r>
      <w:proofErr w:type="spellEnd"/>
      <w:r w:rsidRPr="00280CB2">
        <w:t xml:space="preserve"> </w:t>
      </w:r>
      <w:proofErr w:type="spellStart"/>
      <w:r w:rsidRPr="00280CB2">
        <w:t>college</w:t>
      </w:r>
      <w:proofErr w:type="spellEnd"/>
      <w:r w:rsidRPr="00280CB2">
        <w:t xml:space="preserve"> </w:t>
      </w:r>
      <w:proofErr w:type="spellStart"/>
      <w:r w:rsidRPr="00280CB2">
        <w:t>students</w:t>
      </w:r>
      <w:proofErr w:type="spellEnd"/>
      <w:r w:rsidRPr="00280CB2">
        <w:t xml:space="preserve"> </w:t>
      </w:r>
      <w:proofErr w:type="spellStart"/>
      <w:r w:rsidRPr="00280CB2">
        <w:t>suffering</w:t>
      </w:r>
      <w:proofErr w:type="spellEnd"/>
      <w:r w:rsidRPr="00280CB2">
        <w:t xml:space="preserve"> </w:t>
      </w:r>
      <w:proofErr w:type="spellStart"/>
      <w:r w:rsidRPr="00280CB2">
        <w:t>from</w:t>
      </w:r>
      <w:proofErr w:type="spellEnd"/>
      <w:r w:rsidRPr="00280CB2">
        <w:t xml:space="preserve"> </w:t>
      </w:r>
      <w:proofErr w:type="spellStart"/>
      <w:r w:rsidRPr="00280CB2">
        <w:t>mental</w:t>
      </w:r>
      <w:proofErr w:type="spellEnd"/>
      <w:r w:rsidRPr="00280CB2">
        <w:t xml:space="preserve"> </w:t>
      </w:r>
      <w:proofErr w:type="spellStart"/>
      <w:r w:rsidRPr="00280CB2">
        <w:t>health</w:t>
      </w:r>
      <w:proofErr w:type="spellEnd"/>
      <w:r w:rsidRPr="00280CB2">
        <w:t xml:space="preserve"> </w:t>
      </w:r>
      <w:proofErr w:type="spellStart"/>
      <w:r w:rsidRPr="00280CB2">
        <w:t>problems</w:t>
      </w:r>
      <w:proofErr w:type="spellEnd"/>
      <w:r w:rsidRPr="00280CB2">
        <w:t xml:space="preserve">: Preliminary </w:t>
      </w:r>
      <w:proofErr w:type="spellStart"/>
      <w:r w:rsidRPr="00280CB2">
        <w:t>outcomes</w:t>
      </w:r>
      <w:proofErr w:type="spellEnd"/>
      <w:r w:rsidRPr="00280CB2">
        <w:t xml:space="preserve">. </w:t>
      </w:r>
      <w:proofErr w:type="spellStart"/>
      <w:r w:rsidRPr="00E359E0">
        <w:rPr>
          <w:i/>
        </w:rPr>
        <w:t>Research</w:t>
      </w:r>
      <w:proofErr w:type="spellEnd"/>
      <w:r w:rsidRPr="00E359E0">
        <w:rPr>
          <w:i/>
        </w:rPr>
        <w:t xml:space="preserve"> in </w:t>
      </w:r>
      <w:proofErr w:type="spellStart"/>
      <w:r w:rsidRPr="00E359E0">
        <w:rPr>
          <w:i/>
        </w:rPr>
        <w:t>Psychotherapy</w:t>
      </w:r>
      <w:proofErr w:type="spellEnd"/>
      <w:r w:rsidRPr="00E359E0">
        <w:rPr>
          <w:i/>
        </w:rPr>
        <w:t xml:space="preserve">: </w:t>
      </w:r>
      <w:proofErr w:type="spellStart"/>
      <w:r w:rsidRPr="00E359E0">
        <w:rPr>
          <w:i/>
        </w:rPr>
        <w:t>Psychopathology</w:t>
      </w:r>
      <w:proofErr w:type="spellEnd"/>
      <w:r w:rsidRPr="00E359E0">
        <w:rPr>
          <w:i/>
        </w:rPr>
        <w:t xml:space="preserve">, </w:t>
      </w:r>
      <w:proofErr w:type="spellStart"/>
      <w:r w:rsidRPr="00E359E0">
        <w:rPr>
          <w:i/>
        </w:rPr>
        <w:t>Process</w:t>
      </w:r>
      <w:proofErr w:type="spellEnd"/>
      <w:r w:rsidRPr="00E359E0">
        <w:rPr>
          <w:i/>
        </w:rPr>
        <w:t xml:space="preserve"> </w:t>
      </w:r>
      <w:proofErr w:type="spellStart"/>
      <w:r w:rsidRPr="00E359E0">
        <w:rPr>
          <w:i/>
        </w:rPr>
        <w:t>and</w:t>
      </w:r>
      <w:proofErr w:type="spellEnd"/>
      <w:r w:rsidRPr="00E359E0">
        <w:rPr>
          <w:i/>
        </w:rPr>
        <w:t xml:space="preserve"> </w:t>
      </w:r>
      <w:proofErr w:type="spellStart"/>
      <w:r w:rsidRPr="00E359E0">
        <w:rPr>
          <w:i/>
        </w:rPr>
        <w:t>Outcome</w:t>
      </w:r>
      <w:proofErr w:type="spellEnd"/>
      <w:r w:rsidRPr="00280CB2">
        <w:t xml:space="preserve">, </w:t>
      </w:r>
      <w:r w:rsidRPr="00E359E0">
        <w:rPr>
          <w:i/>
        </w:rPr>
        <w:t>20</w:t>
      </w:r>
      <w:r w:rsidRPr="00280CB2">
        <w:t xml:space="preserve">(3), 272. </w:t>
      </w:r>
      <w:hyperlink r:id="rId316">
        <w:r w:rsidRPr="00E359E0">
          <w:rPr>
            <w:u w:val="single"/>
          </w:rPr>
          <w:t>https://doi.org/10.4081/ripppo.2017.272</w:t>
        </w:r>
      </w:hyperlink>
    </w:p>
    <w:p w14:paraId="1F432F1B" w14:textId="77777777" w:rsidR="00FA457D" w:rsidRPr="00280CB2" w:rsidRDefault="00FA457D">
      <w:pPr>
        <w:pStyle w:val="ListeParagraf"/>
        <w:numPr>
          <w:ilvl w:val="0"/>
          <w:numId w:val="60"/>
        </w:numPr>
        <w:tabs>
          <w:tab w:val="left" w:pos="0"/>
        </w:tabs>
        <w:jc w:val="both"/>
      </w:pPr>
      <w:proofErr w:type="spellStart"/>
      <w:r w:rsidRPr="00280CB2">
        <w:t>Biolcati</w:t>
      </w:r>
      <w:proofErr w:type="spellEnd"/>
      <w:r w:rsidRPr="00280CB2">
        <w:t xml:space="preserve">, R., </w:t>
      </w:r>
      <w:proofErr w:type="spellStart"/>
      <w:r w:rsidRPr="00280CB2">
        <w:t>Ambrosini</w:t>
      </w:r>
      <w:proofErr w:type="spellEnd"/>
      <w:r w:rsidRPr="00280CB2">
        <w:t xml:space="preserve">, F., </w:t>
      </w:r>
      <w:proofErr w:type="spellStart"/>
      <w:r w:rsidRPr="00280CB2">
        <w:t>Albani</w:t>
      </w:r>
      <w:proofErr w:type="spellEnd"/>
      <w:r w:rsidRPr="00280CB2">
        <w:t xml:space="preserve">, A., &amp; </w:t>
      </w:r>
      <w:proofErr w:type="spellStart"/>
      <w:r w:rsidRPr="00280CB2">
        <w:t>Di</w:t>
      </w:r>
      <w:proofErr w:type="spellEnd"/>
      <w:r w:rsidRPr="00280CB2">
        <w:t xml:space="preserve"> Stefano, G. (2023). </w:t>
      </w:r>
      <w:proofErr w:type="spellStart"/>
      <w:r w:rsidRPr="00280CB2">
        <w:t>Videoconferencing</w:t>
      </w:r>
      <w:proofErr w:type="spellEnd"/>
      <w:r w:rsidRPr="00280CB2">
        <w:t xml:space="preserve"> </w:t>
      </w:r>
      <w:proofErr w:type="spellStart"/>
      <w:r w:rsidRPr="00280CB2">
        <w:t>analytic</w:t>
      </w:r>
      <w:proofErr w:type="spellEnd"/>
      <w:r w:rsidRPr="00280CB2">
        <w:t xml:space="preserve"> </w:t>
      </w:r>
      <w:proofErr w:type="spellStart"/>
      <w:r w:rsidRPr="00280CB2">
        <w:t>psychodrama</w:t>
      </w:r>
      <w:proofErr w:type="spellEnd"/>
      <w:r w:rsidRPr="00280CB2">
        <w:t xml:space="preserve"> in </w:t>
      </w:r>
      <w:proofErr w:type="spellStart"/>
      <w:r w:rsidRPr="00280CB2">
        <w:t>treating</w:t>
      </w:r>
      <w:proofErr w:type="spellEnd"/>
      <w:r w:rsidRPr="00280CB2">
        <w:t xml:space="preserve"> </w:t>
      </w:r>
      <w:proofErr w:type="spellStart"/>
      <w:r w:rsidRPr="00280CB2">
        <w:t>young</w:t>
      </w:r>
      <w:proofErr w:type="spellEnd"/>
      <w:r w:rsidRPr="00280CB2">
        <w:t xml:space="preserve"> </w:t>
      </w:r>
      <w:proofErr w:type="spellStart"/>
      <w:r w:rsidRPr="00280CB2">
        <w:t>adults</w:t>
      </w:r>
      <w:proofErr w:type="spellEnd"/>
      <w:r w:rsidRPr="00280CB2">
        <w:t xml:space="preserve">’ </w:t>
      </w:r>
      <w:proofErr w:type="spellStart"/>
      <w:r w:rsidRPr="00280CB2">
        <w:t>psychological</w:t>
      </w:r>
      <w:proofErr w:type="spellEnd"/>
      <w:r w:rsidRPr="00280CB2">
        <w:t xml:space="preserve"> </w:t>
      </w:r>
      <w:proofErr w:type="spellStart"/>
      <w:r w:rsidRPr="00280CB2">
        <w:t>suffering</w:t>
      </w:r>
      <w:proofErr w:type="spellEnd"/>
      <w:r w:rsidRPr="00280CB2">
        <w:t xml:space="preserve">: Preliminary </w:t>
      </w:r>
      <w:proofErr w:type="spellStart"/>
      <w:r w:rsidRPr="00280CB2">
        <w:t>results</w:t>
      </w:r>
      <w:proofErr w:type="spellEnd"/>
      <w:r w:rsidRPr="00280CB2">
        <w:t xml:space="preserve">. </w:t>
      </w:r>
      <w:proofErr w:type="spellStart"/>
      <w:r w:rsidRPr="00E359E0">
        <w:rPr>
          <w:i/>
        </w:rPr>
        <w:t>Frontiers</w:t>
      </w:r>
      <w:proofErr w:type="spellEnd"/>
      <w:r w:rsidRPr="00E359E0">
        <w:rPr>
          <w:i/>
        </w:rPr>
        <w:t xml:space="preserve"> in </w:t>
      </w:r>
      <w:proofErr w:type="spellStart"/>
      <w:r w:rsidRPr="00E359E0">
        <w:rPr>
          <w:i/>
        </w:rPr>
        <w:t>Psychology</w:t>
      </w:r>
      <w:proofErr w:type="spellEnd"/>
      <w:r w:rsidRPr="00280CB2">
        <w:t xml:space="preserve">, </w:t>
      </w:r>
      <w:r w:rsidRPr="00E359E0">
        <w:rPr>
          <w:i/>
        </w:rPr>
        <w:t>14</w:t>
      </w:r>
      <w:r w:rsidRPr="00280CB2">
        <w:t xml:space="preserve">, 1112711. </w:t>
      </w:r>
      <w:hyperlink r:id="rId317">
        <w:r w:rsidRPr="00E359E0">
          <w:rPr>
            <w:u w:val="single"/>
          </w:rPr>
          <w:t>https://doi.org/10.3389/fpsyg.2023.1112711</w:t>
        </w:r>
      </w:hyperlink>
    </w:p>
    <w:p w14:paraId="6F72D0EF" w14:textId="77777777" w:rsidR="00FA457D" w:rsidRPr="00280CB2" w:rsidRDefault="00FA457D">
      <w:pPr>
        <w:pStyle w:val="ListeParagraf"/>
        <w:numPr>
          <w:ilvl w:val="0"/>
          <w:numId w:val="60"/>
        </w:numPr>
        <w:tabs>
          <w:tab w:val="left" w:pos="0"/>
        </w:tabs>
        <w:jc w:val="both"/>
      </w:pPr>
      <w:proofErr w:type="spellStart"/>
      <w:r w:rsidRPr="00280CB2">
        <w:t>Blatner</w:t>
      </w:r>
      <w:proofErr w:type="spellEnd"/>
      <w:r w:rsidRPr="00280CB2">
        <w:t xml:space="preserve">, A. (2000). </w:t>
      </w:r>
      <w:proofErr w:type="spellStart"/>
      <w:r w:rsidRPr="00280CB2">
        <w:t>Foundations</w:t>
      </w:r>
      <w:proofErr w:type="spellEnd"/>
      <w:r w:rsidRPr="00280CB2">
        <w:t xml:space="preserve"> of </w:t>
      </w:r>
      <w:proofErr w:type="spellStart"/>
      <w:r w:rsidRPr="00280CB2">
        <w:t>Psychodrama</w:t>
      </w:r>
      <w:proofErr w:type="spellEnd"/>
      <w:r w:rsidRPr="00280CB2">
        <w:t xml:space="preserve">: </w:t>
      </w:r>
      <w:proofErr w:type="spellStart"/>
      <w:r w:rsidRPr="00280CB2">
        <w:t>History</w:t>
      </w:r>
      <w:proofErr w:type="spellEnd"/>
      <w:r w:rsidRPr="00280CB2">
        <w:t xml:space="preserve">, </w:t>
      </w:r>
      <w:proofErr w:type="spellStart"/>
      <w:r w:rsidRPr="00280CB2">
        <w:t>Theory</w:t>
      </w:r>
      <w:proofErr w:type="spellEnd"/>
      <w:r w:rsidRPr="00280CB2">
        <w:t xml:space="preserve">, </w:t>
      </w:r>
      <w:proofErr w:type="spellStart"/>
      <w:r w:rsidRPr="00280CB2">
        <w:t>and</w:t>
      </w:r>
      <w:proofErr w:type="spellEnd"/>
      <w:r w:rsidRPr="00280CB2">
        <w:t xml:space="preserve"> </w:t>
      </w:r>
      <w:proofErr w:type="spellStart"/>
      <w:r w:rsidRPr="00280CB2">
        <w:t>Practice</w:t>
      </w:r>
      <w:proofErr w:type="spellEnd"/>
      <w:r w:rsidRPr="00280CB2">
        <w:t xml:space="preserve">. </w:t>
      </w:r>
      <w:proofErr w:type="spellStart"/>
      <w:r w:rsidRPr="00E359E0">
        <w:rPr>
          <w:i/>
        </w:rPr>
        <w:t>Springer</w:t>
      </w:r>
      <w:proofErr w:type="spellEnd"/>
      <w:r w:rsidRPr="00280CB2">
        <w:t>.</w:t>
      </w:r>
    </w:p>
    <w:p w14:paraId="22C64E85" w14:textId="77777777" w:rsidR="00FA457D" w:rsidRPr="00E359E0" w:rsidRDefault="00FA457D">
      <w:pPr>
        <w:pStyle w:val="ListeParagraf"/>
        <w:numPr>
          <w:ilvl w:val="0"/>
          <w:numId w:val="60"/>
        </w:numPr>
        <w:tabs>
          <w:tab w:val="left" w:pos="0"/>
        </w:tabs>
        <w:rPr>
          <w:shd w:val="clear" w:color="auto" w:fill="FFFFFF"/>
        </w:rPr>
      </w:pPr>
      <w:proofErr w:type="spellStart"/>
      <w:r w:rsidRPr="00E359E0">
        <w:rPr>
          <w:shd w:val="clear" w:color="auto" w:fill="FFFFFF"/>
        </w:rPr>
        <w:t>Bowen</w:t>
      </w:r>
      <w:proofErr w:type="spellEnd"/>
      <w:r w:rsidRPr="00E359E0">
        <w:rPr>
          <w:shd w:val="clear" w:color="auto" w:fill="FFFFFF"/>
        </w:rPr>
        <w:t xml:space="preserve">, G. A. (2009). </w:t>
      </w:r>
      <w:proofErr w:type="spellStart"/>
      <w:r w:rsidRPr="00E359E0">
        <w:rPr>
          <w:shd w:val="clear" w:color="auto" w:fill="FFFFFF"/>
        </w:rPr>
        <w:t>Document</w:t>
      </w:r>
      <w:proofErr w:type="spellEnd"/>
      <w:r w:rsidRPr="00E359E0">
        <w:rPr>
          <w:shd w:val="clear" w:color="auto" w:fill="FFFFFF"/>
        </w:rPr>
        <w:t xml:space="preserve"> </w:t>
      </w:r>
      <w:proofErr w:type="spellStart"/>
      <w:r w:rsidRPr="00E359E0">
        <w:rPr>
          <w:shd w:val="clear" w:color="auto" w:fill="FFFFFF"/>
        </w:rPr>
        <w:t>analysis</w:t>
      </w:r>
      <w:proofErr w:type="spellEnd"/>
      <w:r w:rsidRPr="00E359E0">
        <w:rPr>
          <w:shd w:val="clear" w:color="auto" w:fill="FFFFFF"/>
        </w:rPr>
        <w:t xml:space="preserve"> as a </w:t>
      </w:r>
      <w:proofErr w:type="spellStart"/>
      <w:r w:rsidRPr="00E359E0">
        <w:rPr>
          <w:shd w:val="clear" w:color="auto" w:fill="FFFFFF"/>
        </w:rPr>
        <w:t>qualitative</w:t>
      </w:r>
      <w:proofErr w:type="spellEnd"/>
      <w:r w:rsidRPr="00E359E0">
        <w:rPr>
          <w:shd w:val="clear" w:color="auto" w:fill="FFFFFF"/>
        </w:rPr>
        <w:t xml:space="preserve"> </w:t>
      </w:r>
      <w:proofErr w:type="spellStart"/>
      <w:r w:rsidRPr="00E359E0">
        <w:rPr>
          <w:shd w:val="clear" w:color="auto" w:fill="FFFFFF"/>
        </w:rPr>
        <w:t>research</w:t>
      </w:r>
      <w:proofErr w:type="spellEnd"/>
      <w:r w:rsidRPr="00E359E0">
        <w:rPr>
          <w:shd w:val="clear" w:color="auto" w:fill="FFFFFF"/>
        </w:rPr>
        <w:t xml:space="preserve"> </w:t>
      </w:r>
      <w:proofErr w:type="spellStart"/>
      <w:r w:rsidRPr="00E359E0">
        <w:rPr>
          <w:shd w:val="clear" w:color="auto" w:fill="FFFFFF"/>
        </w:rPr>
        <w:t>method</w:t>
      </w:r>
      <w:proofErr w:type="spellEnd"/>
      <w:r w:rsidRPr="00E359E0">
        <w:rPr>
          <w:shd w:val="clear" w:color="auto" w:fill="FFFFFF"/>
        </w:rPr>
        <w:t>. </w:t>
      </w:r>
      <w:proofErr w:type="spellStart"/>
      <w:r w:rsidRPr="00E359E0">
        <w:rPr>
          <w:i/>
          <w:iCs/>
          <w:shd w:val="clear" w:color="auto" w:fill="FFFFFF"/>
        </w:rPr>
        <w:t>Qualitative</w:t>
      </w:r>
      <w:proofErr w:type="spellEnd"/>
      <w:r w:rsidRPr="00E359E0">
        <w:rPr>
          <w:i/>
          <w:iCs/>
          <w:shd w:val="clear" w:color="auto" w:fill="FFFFFF"/>
        </w:rPr>
        <w:t xml:space="preserve"> </w:t>
      </w:r>
      <w:proofErr w:type="spellStart"/>
      <w:r w:rsidRPr="00E359E0">
        <w:rPr>
          <w:i/>
          <w:iCs/>
          <w:shd w:val="clear" w:color="auto" w:fill="FFFFFF"/>
        </w:rPr>
        <w:t>research</w:t>
      </w:r>
      <w:proofErr w:type="spellEnd"/>
      <w:r w:rsidRPr="00E359E0">
        <w:rPr>
          <w:i/>
          <w:iCs/>
          <w:shd w:val="clear" w:color="auto" w:fill="FFFFFF"/>
        </w:rPr>
        <w:t xml:space="preserve"> </w:t>
      </w:r>
      <w:proofErr w:type="spellStart"/>
      <w:r w:rsidRPr="00E359E0">
        <w:rPr>
          <w:i/>
          <w:iCs/>
          <w:shd w:val="clear" w:color="auto" w:fill="FFFFFF"/>
        </w:rPr>
        <w:t>journal</w:t>
      </w:r>
      <w:proofErr w:type="spellEnd"/>
      <w:r w:rsidRPr="00E359E0">
        <w:rPr>
          <w:shd w:val="clear" w:color="auto" w:fill="FFFFFF"/>
        </w:rPr>
        <w:t>, </w:t>
      </w:r>
      <w:r w:rsidRPr="00E359E0">
        <w:rPr>
          <w:i/>
          <w:iCs/>
          <w:shd w:val="clear" w:color="auto" w:fill="FFFFFF"/>
        </w:rPr>
        <w:t>9</w:t>
      </w:r>
      <w:r w:rsidRPr="00E359E0">
        <w:rPr>
          <w:shd w:val="clear" w:color="auto" w:fill="FFFFFF"/>
        </w:rPr>
        <w:t>(2), 27-40.</w:t>
      </w:r>
    </w:p>
    <w:p w14:paraId="2CBF1B29" w14:textId="77777777" w:rsidR="00FA457D" w:rsidRPr="00280CB2" w:rsidRDefault="00FA457D">
      <w:pPr>
        <w:pStyle w:val="ListeParagraf"/>
        <w:numPr>
          <w:ilvl w:val="0"/>
          <w:numId w:val="60"/>
        </w:numPr>
        <w:tabs>
          <w:tab w:val="left" w:pos="0"/>
        </w:tabs>
        <w:jc w:val="both"/>
      </w:pPr>
      <w:proofErr w:type="spellStart"/>
      <w:r w:rsidRPr="00280CB2">
        <w:lastRenderedPageBreak/>
        <w:t>Bowen</w:t>
      </w:r>
      <w:proofErr w:type="spellEnd"/>
      <w:r w:rsidRPr="00280CB2">
        <w:t xml:space="preserve">, G. A. (2017). </w:t>
      </w:r>
      <w:proofErr w:type="spellStart"/>
      <w:r w:rsidRPr="00280CB2">
        <w:t>Document</w:t>
      </w:r>
      <w:proofErr w:type="spellEnd"/>
      <w:r w:rsidRPr="00280CB2">
        <w:t xml:space="preserve"> Analysis as a </w:t>
      </w:r>
      <w:proofErr w:type="spellStart"/>
      <w:r w:rsidRPr="00280CB2">
        <w:t>Qualitative</w:t>
      </w:r>
      <w:proofErr w:type="spellEnd"/>
      <w:r w:rsidRPr="00280CB2">
        <w:t xml:space="preserve"> </w:t>
      </w:r>
      <w:proofErr w:type="spellStart"/>
      <w:r w:rsidRPr="00280CB2">
        <w:t>Research</w:t>
      </w:r>
      <w:proofErr w:type="spellEnd"/>
      <w:r w:rsidRPr="00280CB2">
        <w:t xml:space="preserve"> </w:t>
      </w:r>
      <w:proofErr w:type="spellStart"/>
      <w:r w:rsidRPr="00280CB2">
        <w:t>Method</w:t>
      </w:r>
      <w:proofErr w:type="spellEnd"/>
      <w:r w:rsidRPr="00280CB2">
        <w:t xml:space="preserve">. </w:t>
      </w:r>
      <w:proofErr w:type="spellStart"/>
      <w:r w:rsidRPr="00E359E0">
        <w:rPr>
          <w:i/>
        </w:rPr>
        <w:t>Qualitative</w:t>
      </w:r>
      <w:proofErr w:type="spellEnd"/>
      <w:r w:rsidRPr="00E359E0">
        <w:rPr>
          <w:i/>
        </w:rPr>
        <w:t xml:space="preserve"> </w:t>
      </w:r>
      <w:proofErr w:type="spellStart"/>
      <w:r w:rsidRPr="00E359E0">
        <w:rPr>
          <w:i/>
        </w:rPr>
        <w:t>Research</w:t>
      </w:r>
      <w:proofErr w:type="spellEnd"/>
      <w:r w:rsidRPr="00E359E0">
        <w:rPr>
          <w:i/>
        </w:rPr>
        <w:t xml:space="preserve"> </w:t>
      </w:r>
      <w:proofErr w:type="spellStart"/>
      <w:r w:rsidRPr="00E359E0">
        <w:rPr>
          <w:i/>
        </w:rPr>
        <w:t>Journal</w:t>
      </w:r>
      <w:proofErr w:type="spellEnd"/>
      <w:r w:rsidRPr="00E359E0">
        <w:rPr>
          <w:i/>
        </w:rPr>
        <w:t>, 17</w:t>
      </w:r>
      <w:r w:rsidRPr="00280CB2">
        <w:t>(3), 15-23.</w:t>
      </w:r>
    </w:p>
    <w:p w14:paraId="3A81BB60" w14:textId="0025DA62" w:rsidR="00FA457D" w:rsidRPr="00280CB2" w:rsidRDefault="00FA457D">
      <w:pPr>
        <w:pStyle w:val="ListeParagraf"/>
        <w:numPr>
          <w:ilvl w:val="0"/>
          <w:numId w:val="60"/>
        </w:numPr>
        <w:tabs>
          <w:tab w:val="left" w:pos="0"/>
        </w:tabs>
        <w:jc w:val="both"/>
      </w:pPr>
      <w:r w:rsidRPr="00280CB2">
        <w:t xml:space="preserve">Ceylan, B., &amp; </w:t>
      </w:r>
      <w:proofErr w:type="spellStart"/>
      <w:r w:rsidRPr="00280CB2">
        <w:t>Akbiyik</w:t>
      </w:r>
      <w:proofErr w:type="spellEnd"/>
      <w:r w:rsidRPr="00280CB2">
        <w:t xml:space="preserve">, D. I. (2023). </w:t>
      </w:r>
      <w:proofErr w:type="spellStart"/>
      <w:r w:rsidRPr="00280CB2">
        <w:t>The</w:t>
      </w:r>
      <w:proofErr w:type="spellEnd"/>
      <w:r w:rsidRPr="00280CB2">
        <w:t xml:space="preserve"> </w:t>
      </w:r>
      <w:proofErr w:type="spellStart"/>
      <w:r w:rsidRPr="00280CB2">
        <w:t>effect</w:t>
      </w:r>
      <w:proofErr w:type="spellEnd"/>
      <w:r w:rsidRPr="00280CB2">
        <w:t xml:space="preserve"> of </w:t>
      </w:r>
      <w:proofErr w:type="spellStart"/>
      <w:r w:rsidRPr="00280CB2">
        <w:t>psychodrama</w:t>
      </w:r>
      <w:proofErr w:type="spellEnd"/>
      <w:r w:rsidRPr="00280CB2">
        <w:t xml:space="preserve"> </w:t>
      </w:r>
      <w:proofErr w:type="spellStart"/>
      <w:r w:rsidRPr="00280CB2">
        <w:t>group</w:t>
      </w:r>
      <w:proofErr w:type="spellEnd"/>
      <w:r w:rsidRPr="00280CB2">
        <w:t xml:space="preserve"> </w:t>
      </w:r>
      <w:proofErr w:type="spellStart"/>
      <w:r w:rsidRPr="00280CB2">
        <w:t>intervention</w:t>
      </w:r>
      <w:proofErr w:type="spellEnd"/>
      <w:r w:rsidRPr="00280CB2">
        <w:t xml:space="preserve"> on </w:t>
      </w:r>
      <w:proofErr w:type="spellStart"/>
      <w:r w:rsidRPr="00280CB2">
        <w:t>the</w:t>
      </w:r>
      <w:proofErr w:type="spellEnd"/>
      <w:r w:rsidRPr="00280CB2">
        <w:t xml:space="preserve"> </w:t>
      </w:r>
      <w:proofErr w:type="spellStart"/>
      <w:r w:rsidRPr="00280CB2">
        <w:t>anxiety</w:t>
      </w:r>
      <w:proofErr w:type="spellEnd"/>
      <w:r w:rsidRPr="00280CB2">
        <w:t xml:space="preserve"> </w:t>
      </w:r>
      <w:proofErr w:type="spellStart"/>
      <w:r w:rsidRPr="00280CB2">
        <w:t>levels</w:t>
      </w:r>
      <w:proofErr w:type="spellEnd"/>
      <w:r w:rsidRPr="00280CB2">
        <w:t xml:space="preserve"> of </w:t>
      </w:r>
      <w:proofErr w:type="spellStart"/>
      <w:r w:rsidRPr="00280CB2">
        <w:t>adolescents</w:t>
      </w:r>
      <w:proofErr w:type="spellEnd"/>
      <w:r w:rsidRPr="00280CB2">
        <w:t xml:space="preserve"> </w:t>
      </w:r>
      <w:proofErr w:type="spellStart"/>
      <w:r w:rsidRPr="00280CB2">
        <w:t>preparing</w:t>
      </w:r>
      <w:proofErr w:type="spellEnd"/>
      <w:r w:rsidRPr="00280CB2">
        <w:t xml:space="preserve"> </w:t>
      </w:r>
      <w:proofErr w:type="spellStart"/>
      <w:r w:rsidRPr="00280CB2">
        <w:t>for</w:t>
      </w:r>
      <w:proofErr w:type="spellEnd"/>
      <w:r w:rsidRPr="00280CB2">
        <w:t xml:space="preserve"> </w:t>
      </w:r>
      <w:proofErr w:type="spellStart"/>
      <w:r w:rsidRPr="00280CB2">
        <w:t>the</w:t>
      </w:r>
      <w:proofErr w:type="spellEnd"/>
      <w:r w:rsidRPr="00280CB2">
        <w:t xml:space="preserve"> </w:t>
      </w:r>
      <w:proofErr w:type="spellStart"/>
      <w:r w:rsidRPr="00280CB2">
        <w:t>university</w:t>
      </w:r>
      <w:proofErr w:type="spellEnd"/>
      <w:r w:rsidRPr="00280CB2">
        <w:t xml:space="preserve"> </w:t>
      </w:r>
      <w:proofErr w:type="spellStart"/>
      <w:r w:rsidRPr="00280CB2">
        <w:t>exams</w:t>
      </w:r>
      <w:proofErr w:type="spellEnd"/>
      <w:r w:rsidRPr="00280CB2">
        <w:t xml:space="preserve">. </w:t>
      </w:r>
      <w:r w:rsidRPr="00E359E0">
        <w:rPr>
          <w:i/>
        </w:rPr>
        <w:t xml:space="preserve">International </w:t>
      </w:r>
      <w:proofErr w:type="spellStart"/>
      <w:r w:rsidRPr="00E359E0">
        <w:rPr>
          <w:i/>
        </w:rPr>
        <w:t>Journal</w:t>
      </w:r>
      <w:proofErr w:type="spellEnd"/>
      <w:r w:rsidRPr="00E359E0">
        <w:rPr>
          <w:i/>
        </w:rPr>
        <w:t xml:space="preserve"> of </w:t>
      </w:r>
      <w:proofErr w:type="spellStart"/>
      <w:r w:rsidRPr="00E359E0">
        <w:rPr>
          <w:i/>
        </w:rPr>
        <w:t>Caring</w:t>
      </w:r>
      <w:proofErr w:type="spellEnd"/>
      <w:r w:rsidRPr="00E359E0">
        <w:rPr>
          <w:i/>
        </w:rPr>
        <w:t xml:space="preserve"> </w:t>
      </w:r>
      <w:proofErr w:type="spellStart"/>
      <w:r w:rsidRPr="00E359E0">
        <w:rPr>
          <w:i/>
        </w:rPr>
        <w:t>Sciences</w:t>
      </w:r>
      <w:proofErr w:type="spellEnd"/>
      <w:r w:rsidRPr="00E359E0">
        <w:rPr>
          <w:i/>
        </w:rPr>
        <w:t>, 16</w:t>
      </w:r>
      <w:r w:rsidRPr="00280CB2">
        <w:t>(3), 1299.</w:t>
      </w:r>
    </w:p>
    <w:p w14:paraId="1DFE36A8" w14:textId="77777777" w:rsidR="00FA457D" w:rsidRPr="00E359E0" w:rsidRDefault="00FA457D">
      <w:pPr>
        <w:pStyle w:val="ListeParagraf"/>
        <w:numPr>
          <w:ilvl w:val="0"/>
          <w:numId w:val="60"/>
        </w:numPr>
        <w:pBdr>
          <w:top w:val="nil"/>
          <w:left w:val="nil"/>
          <w:bottom w:val="nil"/>
          <w:right w:val="nil"/>
          <w:between w:val="nil"/>
        </w:pBdr>
        <w:tabs>
          <w:tab w:val="left" w:pos="0"/>
        </w:tabs>
        <w:spacing w:before="280"/>
        <w:jc w:val="both"/>
        <w:rPr>
          <w:u w:val="single"/>
        </w:rPr>
      </w:pPr>
      <w:proofErr w:type="spellStart"/>
      <w:r w:rsidRPr="00280CB2">
        <w:t>Chae</w:t>
      </w:r>
      <w:proofErr w:type="spellEnd"/>
      <w:r w:rsidRPr="00280CB2">
        <w:t xml:space="preserve">, S. E., &amp; Kim, S. J. (2016). </w:t>
      </w:r>
      <w:proofErr w:type="spellStart"/>
      <w:r w:rsidRPr="00280CB2">
        <w:t>Group</w:t>
      </w:r>
      <w:proofErr w:type="spellEnd"/>
      <w:r w:rsidRPr="00280CB2">
        <w:t xml:space="preserve"> </w:t>
      </w:r>
      <w:proofErr w:type="spellStart"/>
      <w:r w:rsidRPr="00280CB2">
        <w:t>psychodrama</w:t>
      </w:r>
      <w:proofErr w:type="spellEnd"/>
      <w:r w:rsidRPr="00280CB2">
        <w:t xml:space="preserve"> </w:t>
      </w:r>
      <w:proofErr w:type="spellStart"/>
      <w:r w:rsidRPr="00280CB2">
        <w:t>for</w:t>
      </w:r>
      <w:proofErr w:type="spellEnd"/>
      <w:r w:rsidRPr="00280CB2">
        <w:t xml:space="preserve"> </w:t>
      </w:r>
      <w:proofErr w:type="spellStart"/>
      <w:r w:rsidRPr="00280CB2">
        <w:t>Korean</w:t>
      </w:r>
      <w:proofErr w:type="spellEnd"/>
      <w:r w:rsidRPr="00280CB2">
        <w:t xml:space="preserve"> </w:t>
      </w:r>
      <w:proofErr w:type="spellStart"/>
      <w:r w:rsidRPr="00280CB2">
        <w:t>college</w:t>
      </w:r>
      <w:proofErr w:type="spellEnd"/>
      <w:r w:rsidRPr="00280CB2">
        <w:t xml:space="preserve"> </w:t>
      </w:r>
      <w:proofErr w:type="spellStart"/>
      <w:r w:rsidRPr="00280CB2">
        <w:t>students</w:t>
      </w:r>
      <w:proofErr w:type="spellEnd"/>
      <w:r w:rsidRPr="00280CB2">
        <w:t xml:space="preserve">. </w:t>
      </w:r>
      <w:proofErr w:type="spellStart"/>
      <w:r w:rsidRPr="00E359E0">
        <w:rPr>
          <w:i/>
        </w:rPr>
        <w:t>The</w:t>
      </w:r>
      <w:proofErr w:type="spellEnd"/>
      <w:r w:rsidRPr="00E359E0">
        <w:rPr>
          <w:i/>
        </w:rPr>
        <w:t xml:space="preserve"> </w:t>
      </w:r>
      <w:proofErr w:type="spellStart"/>
      <w:r w:rsidRPr="00E359E0">
        <w:rPr>
          <w:i/>
        </w:rPr>
        <w:t>Arts</w:t>
      </w:r>
      <w:proofErr w:type="spellEnd"/>
      <w:r w:rsidRPr="00E359E0">
        <w:rPr>
          <w:i/>
        </w:rPr>
        <w:t xml:space="preserve"> in </w:t>
      </w:r>
      <w:proofErr w:type="spellStart"/>
      <w:r w:rsidRPr="00E359E0">
        <w:rPr>
          <w:i/>
        </w:rPr>
        <w:t>Psychotherapy</w:t>
      </w:r>
      <w:proofErr w:type="spellEnd"/>
      <w:r w:rsidRPr="00280CB2">
        <w:t xml:space="preserve">, </w:t>
      </w:r>
      <w:r w:rsidRPr="00E359E0">
        <w:rPr>
          <w:i/>
        </w:rPr>
        <w:t>49</w:t>
      </w:r>
      <w:r w:rsidRPr="00280CB2">
        <w:t xml:space="preserve">, 59–70. </w:t>
      </w:r>
      <w:hyperlink r:id="rId318">
        <w:r w:rsidRPr="00E359E0">
          <w:rPr>
            <w:u w:val="single"/>
          </w:rPr>
          <w:t>https://doi.org/10.1080/87568225.2016.1239512</w:t>
        </w:r>
      </w:hyperlink>
    </w:p>
    <w:p w14:paraId="3C838A45" w14:textId="77777777" w:rsidR="00FA457D" w:rsidRPr="00E359E0" w:rsidRDefault="00FA457D">
      <w:pPr>
        <w:pStyle w:val="ListeParagraf"/>
        <w:numPr>
          <w:ilvl w:val="0"/>
          <w:numId w:val="60"/>
        </w:numPr>
        <w:pBdr>
          <w:top w:val="nil"/>
          <w:left w:val="nil"/>
          <w:bottom w:val="nil"/>
          <w:right w:val="nil"/>
          <w:between w:val="nil"/>
        </w:pBdr>
        <w:tabs>
          <w:tab w:val="left" w:pos="0"/>
        </w:tabs>
        <w:spacing w:before="280"/>
        <w:jc w:val="both"/>
        <w:rPr>
          <w:u w:val="single"/>
        </w:rPr>
      </w:pPr>
      <w:proofErr w:type="spellStart"/>
      <w:r w:rsidRPr="00E359E0">
        <w:rPr>
          <w:shd w:val="clear" w:color="auto" w:fill="FFFFFF"/>
        </w:rPr>
        <w:t>Costa</w:t>
      </w:r>
      <w:proofErr w:type="spellEnd"/>
      <w:r w:rsidRPr="00E359E0">
        <w:rPr>
          <w:shd w:val="clear" w:color="auto" w:fill="FFFFFF"/>
        </w:rPr>
        <w:t xml:space="preserve">, E. M. S., Antonio, R., </w:t>
      </w:r>
      <w:proofErr w:type="spellStart"/>
      <w:r w:rsidRPr="00E359E0">
        <w:rPr>
          <w:shd w:val="clear" w:color="auto" w:fill="FFFFFF"/>
        </w:rPr>
        <w:t>Soares</w:t>
      </w:r>
      <w:proofErr w:type="spellEnd"/>
      <w:r w:rsidRPr="00E359E0">
        <w:rPr>
          <w:shd w:val="clear" w:color="auto" w:fill="FFFFFF"/>
        </w:rPr>
        <w:t xml:space="preserve">, M. B. D. M., &amp; </w:t>
      </w:r>
      <w:proofErr w:type="spellStart"/>
      <w:r w:rsidRPr="00E359E0">
        <w:rPr>
          <w:shd w:val="clear" w:color="auto" w:fill="FFFFFF"/>
        </w:rPr>
        <w:t>Moreno</w:t>
      </w:r>
      <w:proofErr w:type="spellEnd"/>
      <w:r w:rsidRPr="00E359E0">
        <w:rPr>
          <w:shd w:val="clear" w:color="auto" w:fill="FFFFFF"/>
        </w:rPr>
        <w:t xml:space="preserve">, R. A. (2006). </w:t>
      </w:r>
      <w:proofErr w:type="spellStart"/>
      <w:r w:rsidRPr="00E359E0">
        <w:rPr>
          <w:shd w:val="clear" w:color="auto" w:fill="FFFFFF"/>
        </w:rPr>
        <w:t>Psychodramatic</w:t>
      </w:r>
      <w:proofErr w:type="spellEnd"/>
      <w:r w:rsidRPr="00E359E0">
        <w:rPr>
          <w:shd w:val="clear" w:color="auto" w:fill="FFFFFF"/>
        </w:rPr>
        <w:t xml:space="preserve"> </w:t>
      </w:r>
      <w:proofErr w:type="spellStart"/>
      <w:r w:rsidRPr="00E359E0">
        <w:rPr>
          <w:shd w:val="clear" w:color="auto" w:fill="FFFFFF"/>
        </w:rPr>
        <w:t>psychotherapy</w:t>
      </w:r>
      <w:proofErr w:type="spellEnd"/>
      <w:r w:rsidRPr="00E359E0">
        <w:rPr>
          <w:shd w:val="clear" w:color="auto" w:fill="FFFFFF"/>
        </w:rPr>
        <w:t xml:space="preserve"> </w:t>
      </w:r>
      <w:proofErr w:type="spellStart"/>
      <w:r w:rsidRPr="00E359E0">
        <w:rPr>
          <w:shd w:val="clear" w:color="auto" w:fill="FFFFFF"/>
        </w:rPr>
        <w:t>combined</w:t>
      </w:r>
      <w:proofErr w:type="spellEnd"/>
      <w:r w:rsidRPr="00E359E0">
        <w:rPr>
          <w:shd w:val="clear" w:color="auto" w:fill="FFFFFF"/>
        </w:rPr>
        <w:t xml:space="preserve"> </w:t>
      </w:r>
      <w:proofErr w:type="spellStart"/>
      <w:r w:rsidRPr="00E359E0">
        <w:rPr>
          <w:shd w:val="clear" w:color="auto" w:fill="FFFFFF"/>
        </w:rPr>
        <w:t>with</w:t>
      </w:r>
      <w:proofErr w:type="spellEnd"/>
      <w:r w:rsidRPr="00E359E0">
        <w:rPr>
          <w:shd w:val="clear" w:color="auto" w:fill="FFFFFF"/>
        </w:rPr>
        <w:t xml:space="preserve"> </w:t>
      </w:r>
      <w:proofErr w:type="spellStart"/>
      <w:r w:rsidRPr="00E359E0">
        <w:rPr>
          <w:shd w:val="clear" w:color="auto" w:fill="FFFFFF"/>
        </w:rPr>
        <w:t>pharmacotherapy</w:t>
      </w:r>
      <w:proofErr w:type="spellEnd"/>
      <w:r w:rsidRPr="00E359E0">
        <w:rPr>
          <w:shd w:val="clear" w:color="auto" w:fill="FFFFFF"/>
        </w:rPr>
        <w:t xml:space="preserve"> in </w:t>
      </w:r>
      <w:proofErr w:type="spellStart"/>
      <w:r w:rsidRPr="00E359E0">
        <w:rPr>
          <w:shd w:val="clear" w:color="auto" w:fill="FFFFFF"/>
        </w:rPr>
        <w:t>major</w:t>
      </w:r>
      <w:proofErr w:type="spellEnd"/>
      <w:r w:rsidRPr="00E359E0">
        <w:rPr>
          <w:shd w:val="clear" w:color="auto" w:fill="FFFFFF"/>
        </w:rPr>
        <w:t xml:space="preserve"> </w:t>
      </w:r>
      <w:proofErr w:type="spellStart"/>
      <w:r w:rsidRPr="00E359E0">
        <w:rPr>
          <w:shd w:val="clear" w:color="auto" w:fill="FFFFFF"/>
        </w:rPr>
        <w:t>depressive</w:t>
      </w:r>
      <w:proofErr w:type="spellEnd"/>
      <w:r w:rsidRPr="00E359E0">
        <w:rPr>
          <w:shd w:val="clear" w:color="auto" w:fill="FFFFFF"/>
        </w:rPr>
        <w:t xml:space="preserve"> </w:t>
      </w:r>
      <w:proofErr w:type="spellStart"/>
      <w:r w:rsidRPr="00E359E0">
        <w:rPr>
          <w:shd w:val="clear" w:color="auto" w:fill="FFFFFF"/>
        </w:rPr>
        <w:t>disorder</w:t>
      </w:r>
      <w:proofErr w:type="spellEnd"/>
      <w:r w:rsidRPr="00E359E0">
        <w:rPr>
          <w:shd w:val="clear" w:color="auto" w:fill="FFFFFF"/>
        </w:rPr>
        <w:t xml:space="preserve">: an </w:t>
      </w:r>
      <w:proofErr w:type="spellStart"/>
      <w:r w:rsidRPr="00E359E0">
        <w:rPr>
          <w:shd w:val="clear" w:color="auto" w:fill="FFFFFF"/>
        </w:rPr>
        <w:t>open</w:t>
      </w:r>
      <w:proofErr w:type="spellEnd"/>
      <w:r w:rsidRPr="00E359E0">
        <w:rPr>
          <w:shd w:val="clear" w:color="auto" w:fill="FFFFFF"/>
        </w:rPr>
        <w:t xml:space="preserve"> </w:t>
      </w:r>
      <w:proofErr w:type="spellStart"/>
      <w:r w:rsidRPr="00E359E0">
        <w:rPr>
          <w:shd w:val="clear" w:color="auto" w:fill="FFFFFF"/>
        </w:rPr>
        <w:t>and</w:t>
      </w:r>
      <w:proofErr w:type="spellEnd"/>
      <w:r w:rsidRPr="00E359E0">
        <w:rPr>
          <w:shd w:val="clear" w:color="auto" w:fill="FFFFFF"/>
        </w:rPr>
        <w:t xml:space="preserve"> </w:t>
      </w:r>
      <w:proofErr w:type="spellStart"/>
      <w:r w:rsidRPr="00E359E0">
        <w:rPr>
          <w:shd w:val="clear" w:color="auto" w:fill="FFFFFF"/>
        </w:rPr>
        <w:t>naturalistic</w:t>
      </w:r>
      <w:proofErr w:type="spellEnd"/>
      <w:r w:rsidRPr="00E359E0">
        <w:rPr>
          <w:shd w:val="clear" w:color="auto" w:fill="FFFFFF"/>
        </w:rPr>
        <w:t xml:space="preserve"> </w:t>
      </w:r>
      <w:proofErr w:type="spellStart"/>
      <w:r w:rsidRPr="00E359E0">
        <w:rPr>
          <w:shd w:val="clear" w:color="auto" w:fill="FFFFFF"/>
        </w:rPr>
        <w:t>study</w:t>
      </w:r>
      <w:proofErr w:type="spellEnd"/>
      <w:r w:rsidRPr="00E359E0">
        <w:rPr>
          <w:shd w:val="clear" w:color="auto" w:fill="FFFFFF"/>
        </w:rPr>
        <w:t>. </w:t>
      </w:r>
      <w:proofErr w:type="spellStart"/>
      <w:r w:rsidRPr="00E359E0">
        <w:rPr>
          <w:i/>
          <w:iCs/>
          <w:shd w:val="clear" w:color="auto" w:fill="FFFFFF"/>
        </w:rPr>
        <w:t>Brazilian</w:t>
      </w:r>
      <w:proofErr w:type="spellEnd"/>
      <w:r w:rsidRPr="00E359E0">
        <w:rPr>
          <w:i/>
          <w:iCs/>
          <w:shd w:val="clear" w:color="auto" w:fill="FFFFFF"/>
        </w:rPr>
        <w:t xml:space="preserve"> </w:t>
      </w:r>
      <w:proofErr w:type="spellStart"/>
      <w:r w:rsidRPr="00E359E0">
        <w:rPr>
          <w:i/>
          <w:iCs/>
          <w:shd w:val="clear" w:color="auto" w:fill="FFFFFF"/>
        </w:rPr>
        <w:t>Journal</w:t>
      </w:r>
      <w:proofErr w:type="spellEnd"/>
      <w:r w:rsidRPr="00E359E0">
        <w:rPr>
          <w:i/>
          <w:iCs/>
          <w:shd w:val="clear" w:color="auto" w:fill="FFFFFF"/>
        </w:rPr>
        <w:t xml:space="preserve"> of </w:t>
      </w:r>
      <w:proofErr w:type="spellStart"/>
      <w:r w:rsidRPr="00E359E0">
        <w:rPr>
          <w:i/>
          <w:iCs/>
          <w:shd w:val="clear" w:color="auto" w:fill="FFFFFF"/>
        </w:rPr>
        <w:t>Psychiatry</w:t>
      </w:r>
      <w:proofErr w:type="spellEnd"/>
      <w:r w:rsidRPr="00E359E0">
        <w:rPr>
          <w:shd w:val="clear" w:color="auto" w:fill="FFFFFF"/>
        </w:rPr>
        <w:t>, </w:t>
      </w:r>
      <w:r w:rsidRPr="00E359E0">
        <w:rPr>
          <w:i/>
          <w:iCs/>
          <w:shd w:val="clear" w:color="auto" w:fill="FFFFFF"/>
        </w:rPr>
        <w:t>28</w:t>
      </w:r>
      <w:r w:rsidRPr="00E359E0">
        <w:rPr>
          <w:shd w:val="clear" w:color="auto" w:fill="FFFFFF"/>
        </w:rPr>
        <w:t>, 40-43.</w:t>
      </w:r>
    </w:p>
    <w:p w14:paraId="1D5C5E99" w14:textId="77777777" w:rsidR="00FA457D" w:rsidRPr="00280CB2" w:rsidRDefault="00FA457D">
      <w:pPr>
        <w:pStyle w:val="ListeParagraf"/>
        <w:numPr>
          <w:ilvl w:val="0"/>
          <w:numId w:val="60"/>
        </w:numPr>
        <w:tabs>
          <w:tab w:val="left" w:pos="0"/>
        </w:tabs>
      </w:pPr>
      <w:r w:rsidRPr="00280CB2">
        <w:t xml:space="preserve">Çam, O. (2016). </w:t>
      </w:r>
      <w:proofErr w:type="spellStart"/>
      <w:r w:rsidRPr="00280CB2">
        <w:t>The</w:t>
      </w:r>
      <w:proofErr w:type="spellEnd"/>
      <w:r w:rsidRPr="00280CB2">
        <w:t xml:space="preserve"> </w:t>
      </w:r>
      <w:proofErr w:type="spellStart"/>
      <w:r w:rsidRPr="00280CB2">
        <w:t>influence</w:t>
      </w:r>
      <w:proofErr w:type="spellEnd"/>
      <w:r w:rsidRPr="00280CB2">
        <w:t xml:space="preserve"> of </w:t>
      </w:r>
      <w:proofErr w:type="spellStart"/>
      <w:r w:rsidRPr="00280CB2">
        <w:t>psychodrama</w:t>
      </w:r>
      <w:proofErr w:type="spellEnd"/>
      <w:r w:rsidRPr="00280CB2">
        <w:t xml:space="preserve"> on </w:t>
      </w:r>
      <w:proofErr w:type="spellStart"/>
      <w:r w:rsidRPr="00280CB2">
        <w:t>promoting</w:t>
      </w:r>
      <w:proofErr w:type="spellEnd"/>
      <w:r w:rsidRPr="00280CB2">
        <w:t xml:space="preserve"> self-</w:t>
      </w:r>
      <w:proofErr w:type="spellStart"/>
      <w:r w:rsidRPr="00280CB2">
        <w:t>disclosure</w:t>
      </w:r>
      <w:proofErr w:type="spellEnd"/>
      <w:r w:rsidRPr="00280CB2">
        <w:t xml:space="preserve"> in </w:t>
      </w:r>
      <w:proofErr w:type="spellStart"/>
      <w:r w:rsidRPr="00280CB2">
        <w:t>groups</w:t>
      </w:r>
      <w:proofErr w:type="spellEnd"/>
      <w:r w:rsidRPr="00280CB2">
        <w:t xml:space="preserve"> of </w:t>
      </w:r>
      <w:proofErr w:type="spellStart"/>
      <w:r w:rsidRPr="00280CB2">
        <w:t>university</w:t>
      </w:r>
      <w:proofErr w:type="spellEnd"/>
      <w:r w:rsidRPr="00280CB2">
        <w:t xml:space="preserve"> </w:t>
      </w:r>
      <w:proofErr w:type="spellStart"/>
      <w:r w:rsidRPr="00280CB2">
        <w:t>students</w:t>
      </w:r>
      <w:proofErr w:type="spellEnd"/>
      <w:r w:rsidRPr="00280CB2">
        <w:t xml:space="preserve">. </w:t>
      </w:r>
      <w:proofErr w:type="spellStart"/>
      <w:r w:rsidRPr="00E359E0">
        <w:rPr>
          <w:rStyle w:val="Vurgu"/>
          <w:rFonts w:eastAsiaTheme="majorEastAsia"/>
        </w:rPr>
        <w:t>Zeitschrift</w:t>
      </w:r>
      <w:proofErr w:type="spellEnd"/>
      <w:r w:rsidRPr="00E359E0">
        <w:rPr>
          <w:rStyle w:val="Vurgu"/>
          <w:rFonts w:eastAsiaTheme="majorEastAsia"/>
        </w:rPr>
        <w:t xml:space="preserve"> </w:t>
      </w:r>
      <w:proofErr w:type="spellStart"/>
      <w:r w:rsidRPr="00E359E0">
        <w:rPr>
          <w:rStyle w:val="Vurgu"/>
          <w:rFonts w:eastAsiaTheme="majorEastAsia"/>
        </w:rPr>
        <w:t>für</w:t>
      </w:r>
      <w:proofErr w:type="spellEnd"/>
      <w:r w:rsidRPr="00E359E0">
        <w:rPr>
          <w:rStyle w:val="Vurgu"/>
          <w:rFonts w:eastAsiaTheme="majorEastAsia"/>
        </w:rPr>
        <w:t xml:space="preserve"> </w:t>
      </w:r>
      <w:proofErr w:type="spellStart"/>
      <w:r w:rsidRPr="00E359E0">
        <w:rPr>
          <w:rStyle w:val="Vurgu"/>
          <w:rFonts w:eastAsiaTheme="majorEastAsia"/>
        </w:rPr>
        <w:t>Psychodrama</w:t>
      </w:r>
      <w:proofErr w:type="spellEnd"/>
      <w:r w:rsidRPr="00E359E0">
        <w:rPr>
          <w:rStyle w:val="Vurgu"/>
          <w:rFonts w:eastAsiaTheme="majorEastAsia"/>
        </w:rPr>
        <w:t xml:space="preserve"> </w:t>
      </w:r>
      <w:proofErr w:type="spellStart"/>
      <w:r w:rsidRPr="00E359E0">
        <w:rPr>
          <w:rStyle w:val="Vurgu"/>
          <w:rFonts w:eastAsiaTheme="majorEastAsia"/>
        </w:rPr>
        <w:t>und</w:t>
      </w:r>
      <w:proofErr w:type="spellEnd"/>
      <w:r w:rsidRPr="00E359E0">
        <w:rPr>
          <w:rStyle w:val="Vurgu"/>
          <w:rFonts w:eastAsiaTheme="majorEastAsia"/>
        </w:rPr>
        <w:t xml:space="preserve"> </w:t>
      </w:r>
      <w:proofErr w:type="spellStart"/>
      <w:r w:rsidRPr="00E359E0">
        <w:rPr>
          <w:rStyle w:val="Vurgu"/>
          <w:rFonts w:eastAsiaTheme="majorEastAsia"/>
        </w:rPr>
        <w:t>Soziometrie</w:t>
      </w:r>
      <w:proofErr w:type="spellEnd"/>
      <w:r w:rsidRPr="00E359E0">
        <w:rPr>
          <w:rStyle w:val="Vurgu"/>
          <w:rFonts w:eastAsiaTheme="majorEastAsia"/>
        </w:rPr>
        <w:t>, 15</w:t>
      </w:r>
      <w:r w:rsidRPr="00280CB2">
        <w:t>(</w:t>
      </w:r>
      <w:proofErr w:type="spellStart"/>
      <w:r w:rsidRPr="00280CB2">
        <w:t>Suppl</w:t>
      </w:r>
      <w:proofErr w:type="spellEnd"/>
      <w:r w:rsidRPr="00280CB2">
        <w:t xml:space="preserve">), 255–274. </w:t>
      </w:r>
      <w:hyperlink r:id="rId319" w:history="1">
        <w:r w:rsidRPr="00280CB2">
          <w:rPr>
            <w:rStyle w:val="Kpr"/>
          </w:rPr>
          <w:t>https://doi.org/10.1007/s11620-015-0309-6</w:t>
        </w:r>
      </w:hyperlink>
    </w:p>
    <w:p w14:paraId="7BA5CBC6" w14:textId="77777777" w:rsidR="00FA457D" w:rsidRPr="00280CB2" w:rsidRDefault="00FA457D">
      <w:pPr>
        <w:pStyle w:val="ListeParagraf"/>
        <w:numPr>
          <w:ilvl w:val="0"/>
          <w:numId w:val="60"/>
        </w:numPr>
        <w:tabs>
          <w:tab w:val="left" w:pos="0"/>
        </w:tabs>
        <w:jc w:val="both"/>
      </w:pPr>
      <w:proofErr w:type="gramStart"/>
      <w:r w:rsidRPr="00280CB2">
        <w:t>çocuklarda</w:t>
      </w:r>
      <w:proofErr w:type="gramEnd"/>
      <w:r w:rsidRPr="00280CB2">
        <w:t xml:space="preserve"> sosyal becerilerin gelişimine etkisi. Yayınlanmamış yüksek lisans </w:t>
      </w:r>
      <w:proofErr w:type="gramStart"/>
      <w:r w:rsidRPr="00280CB2">
        <w:t>tezi,:</w:t>
      </w:r>
      <w:proofErr w:type="gramEnd"/>
    </w:p>
    <w:p w14:paraId="228773FA" w14:textId="77777777" w:rsidR="00FA457D" w:rsidRPr="00280CB2" w:rsidRDefault="00FA457D">
      <w:pPr>
        <w:pStyle w:val="ListeParagraf"/>
        <w:numPr>
          <w:ilvl w:val="0"/>
          <w:numId w:val="60"/>
        </w:numPr>
        <w:tabs>
          <w:tab w:val="left" w:pos="0"/>
        </w:tabs>
        <w:jc w:val="both"/>
      </w:pPr>
      <w:r w:rsidRPr="00280CB2">
        <w:t xml:space="preserve">D.J. </w:t>
      </w:r>
      <w:proofErr w:type="spellStart"/>
      <w:r w:rsidRPr="00280CB2">
        <w:t>Rickwood</w:t>
      </w:r>
      <w:proofErr w:type="spellEnd"/>
      <w:r w:rsidRPr="00280CB2">
        <w:t xml:space="preserve">, F.P. </w:t>
      </w:r>
      <w:proofErr w:type="spellStart"/>
      <w:r w:rsidRPr="00280CB2">
        <w:t>Deane</w:t>
      </w:r>
      <w:proofErr w:type="spellEnd"/>
      <w:r w:rsidRPr="00280CB2">
        <w:t xml:space="preserve">, C.J. Wilson (2007) </w:t>
      </w:r>
      <w:proofErr w:type="spellStart"/>
      <w:r w:rsidRPr="00280CB2">
        <w:t>When</w:t>
      </w:r>
      <w:proofErr w:type="spellEnd"/>
      <w:r w:rsidRPr="00280CB2">
        <w:t xml:space="preserve"> </w:t>
      </w:r>
      <w:proofErr w:type="spellStart"/>
      <w:r w:rsidRPr="00280CB2">
        <w:t>and</w:t>
      </w:r>
      <w:proofErr w:type="spellEnd"/>
      <w:r w:rsidRPr="00280CB2">
        <w:t xml:space="preserve"> how do </w:t>
      </w:r>
      <w:proofErr w:type="spellStart"/>
      <w:r w:rsidRPr="00280CB2">
        <w:t>young</w:t>
      </w:r>
      <w:proofErr w:type="spellEnd"/>
      <w:r w:rsidRPr="00280CB2">
        <w:t xml:space="preserve"> </w:t>
      </w:r>
      <w:proofErr w:type="spellStart"/>
      <w:r w:rsidRPr="00280CB2">
        <w:t>people</w:t>
      </w:r>
      <w:proofErr w:type="spellEnd"/>
      <w:r w:rsidRPr="00280CB2">
        <w:t xml:space="preserve"> </w:t>
      </w:r>
      <w:proofErr w:type="spellStart"/>
      <w:r w:rsidRPr="00280CB2">
        <w:t>seek</w:t>
      </w:r>
      <w:proofErr w:type="spellEnd"/>
      <w:r w:rsidRPr="00280CB2">
        <w:t xml:space="preserve"> </w:t>
      </w:r>
      <w:proofErr w:type="spellStart"/>
      <w:r w:rsidRPr="00280CB2">
        <w:t>professional</w:t>
      </w:r>
      <w:proofErr w:type="spellEnd"/>
      <w:r w:rsidRPr="00280CB2">
        <w:t xml:space="preserve"> </w:t>
      </w:r>
      <w:proofErr w:type="spellStart"/>
      <w:r w:rsidRPr="00280CB2">
        <w:t>help</w:t>
      </w:r>
      <w:proofErr w:type="spellEnd"/>
      <w:r w:rsidRPr="00280CB2">
        <w:t xml:space="preserve"> </w:t>
      </w:r>
      <w:proofErr w:type="spellStart"/>
      <w:r w:rsidRPr="00280CB2">
        <w:t>for</w:t>
      </w:r>
      <w:proofErr w:type="spellEnd"/>
      <w:r w:rsidRPr="00280CB2">
        <w:t xml:space="preserve"> </w:t>
      </w:r>
      <w:proofErr w:type="spellStart"/>
      <w:r w:rsidRPr="00280CB2">
        <w:t>mental</w:t>
      </w:r>
      <w:proofErr w:type="spellEnd"/>
      <w:r w:rsidRPr="00280CB2">
        <w:t xml:space="preserve"> </w:t>
      </w:r>
      <w:proofErr w:type="spellStart"/>
      <w:r w:rsidRPr="00280CB2">
        <w:t>health</w:t>
      </w:r>
      <w:proofErr w:type="spellEnd"/>
      <w:r w:rsidRPr="00280CB2">
        <w:t xml:space="preserve"> </w:t>
      </w:r>
      <w:proofErr w:type="spellStart"/>
      <w:r w:rsidRPr="00280CB2">
        <w:t>problems</w:t>
      </w:r>
      <w:proofErr w:type="spellEnd"/>
      <w:r w:rsidRPr="00280CB2">
        <w:t xml:space="preserve">? </w:t>
      </w:r>
      <w:proofErr w:type="spellStart"/>
      <w:r w:rsidRPr="00280CB2">
        <w:t>Medical</w:t>
      </w:r>
      <w:proofErr w:type="spellEnd"/>
      <w:r w:rsidRPr="00280CB2">
        <w:t xml:space="preserve"> </w:t>
      </w:r>
      <w:proofErr w:type="spellStart"/>
      <w:r w:rsidRPr="00280CB2">
        <w:t>Journal</w:t>
      </w:r>
      <w:proofErr w:type="spellEnd"/>
      <w:r w:rsidRPr="00280CB2">
        <w:t xml:space="preserve"> of </w:t>
      </w:r>
      <w:proofErr w:type="spellStart"/>
      <w:r w:rsidRPr="00280CB2">
        <w:t>Australia</w:t>
      </w:r>
      <w:proofErr w:type="spellEnd"/>
      <w:r w:rsidRPr="00280CB2">
        <w:t xml:space="preserve">, 187. </w:t>
      </w:r>
      <w:proofErr w:type="spellStart"/>
      <w:r w:rsidRPr="00280CB2">
        <w:t>ss</w:t>
      </w:r>
      <w:proofErr w:type="spellEnd"/>
      <w:r w:rsidRPr="00280CB2">
        <w:t>. S35-S39</w:t>
      </w:r>
    </w:p>
    <w:p w14:paraId="4178F9D7" w14:textId="77777777" w:rsidR="00FA457D" w:rsidRPr="00280CB2" w:rsidRDefault="00FA457D">
      <w:pPr>
        <w:pStyle w:val="ListeParagraf"/>
        <w:numPr>
          <w:ilvl w:val="0"/>
          <w:numId w:val="60"/>
        </w:numPr>
        <w:tabs>
          <w:tab w:val="left" w:pos="0"/>
        </w:tabs>
      </w:pPr>
      <w:proofErr w:type="spellStart"/>
      <w:r w:rsidRPr="00280CB2">
        <w:t>Daschmann</w:t>
      </w:r>
      <w:proofErr w:type="spellEnd"/>
      <w:r w:rsidRPr="00280CB2">
        <w:t xml:space="preserve">, E. C. (2013). </w:t>
      </w:r>
      <w:proofErr w:type="spellStart"/>
      <w:r w:rsidRPr="00280CB2">
        <w:t>Boredom</w:t>
      </w:r>
      <w:proofErr w:type="spellEnd"/>
      <w:r w:rsidRPr="00280CB2">
        <w:t xml:space="preserve"> in </w:t>
      </w:r>
      <w:proofErr w:type="spellStart"/>
      <w:r w:rsidRPr="00280CB2">
        <w:t>school</w:t>
      </w:r>
      <w:proofErr w:type="spellEnd"/>
      <w:r w:rsidRPr="00280CB2">
        <w:t xml:space="preserve"> </w:t>
      </w:r>
      <w:proofErr w:type="spellStart"/>
      <w:r w:rsidRPr="00280CB2">
        <w:t>from</w:t>
      </w:r>
      <w:proofErr w:type="spellEnd"/>
      <w:r w:rsidRPr="00280CB2">
        <w:t xml:space="preserve"> </w:t>
      </w:r>
      <w:proofErr w:type="spellStart"/>
      <w:r w:rsidRPr="00280CB2">
        <w:t>the</w:t>
      </w:r>
      <w:proofErr w:type="spellEnd"/>
      <w:r w:rsidRPr="00280CB2">
        <w:t xml:space="preserve"> </w:t>
      </w:r>
      <w:proofErr w:type="spellStart"/>
      <w:r w:rsidRPr="00280CB2">
        <w:t>perspectives</w:t>
      </w:r>
      <w:proofErr w:type="spellEnd"/>
      <w:r w:rsidRPr="00280CB2">
        <w:t xml:space="preserve"> of </w:t>
      </w:r>
      <w:proofErr w:type="spellStart"/>
      <w:r w:rsidRPr="00280CB2">
        <w:t>students</w:t>
      </w:r>
      <w:proofErr w:type="spellEnd"/>
      <w:r w:rsidRPr="00280CB2">
        <w:t xml:space="preserve">, </w:t>
      </w:r>
      <w:proofErr w:type="spellStart"/>
      <w:r w:rsidRPr="00280CB2">
        <w:t>teachers</w:t>
      </w:r>
      <w:proofErr w:type="spellEnd"/>
      <w:r w:rsidRPr="00280CB2">
        <w:t xml:space="preserve">, </w:t>
      </w:r>
      <w:proofErr w:type="spellStart"/>
      <w:r w:rsidRPr="00280CB2">
        <w:t>and</w:t>
      </w:r>
      <w:proofErr w:type="spellEnd"/>
      <w:r w:rsidRPr="00280CB2">
        <w:t xml:space="preserve"> </w:t>
      </w:r>
      <w:proofErr w:type="spellStart"/>
      <w:r w:rsidRPr="00280CB2">
        <w:t>parents</w:t>
      </w:r>
      <w:proofErr w:type="spellEnd"/>
      <w:r w:rsidRPr="00280CB2">
        <w:t xml:space="preserve"> (</w:t>
      </w:r>
      <w:proofErr w:type="spellStart"/>
      <w:r w:rsidRPr="00280CB2">
        <w:t>Doctoral</w:t>
      </w:r>
      <w:proofErr w:type="spellEnd"/>
      <w:r w:rsidRPr="00280CB2">
        <w:t xml:space="preserve"> </w:t>
      </w:r>
      <w:proofErr w:type="spellStart"/>
      <w:r w:rsidRPr="00280CB2">
        <w:t>dissertation</w:t>
      </w:r>
      <w:proofErr w:type="spellEnd"/>
      <w:r w:rsidRPr="00280CB2">
        <w:t xml:space="preserve">). </w:t>
      </w:r>
      <w:proofErr w:type="spellStart"/>
      <w:r w:rsidRPr="00280CB2">
        <w:t>Universität</w:t>
      </w:r>
      <w:proofErr w:type="spellEnd"/>
      <w:r w:rsidRPr="00280CB2">
        <w:t xml:space="preserve"> </w:t>
      </w:r>
      <w:proofErr w:type="spellStart"/>
      <w:r w:rsidRPr="00280CB2">
        <w:t>Konstanz</w:t>
      </w:r>
      <w:proofErr w:type="spellEnd"/>
      <w:r w:rsidRPr="00280CB2">
        <w:t>.</w:t>
      </w:r>
    </w:p>
    <w:p w14:paraId="59157389"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color w:val="auto"/>
          <w:sz w:val="24"/>
          <w:szCs w:val="24"/>
        </w:rPr>
      </w:pPr>
      <w:r w:rsidRPr="00280CB2">
        <w:rPr>
          <w:rFonts w:ascii="Times New Roman" w:hAnsi="Times New Roman" w:cs="Times New Roman"/>
          <w:color w:val="auto"/>
          <w:sz w:val="24"/>
          <w:szCs w:val="24"/>
        </w:rPr>
        <w:t xml:space="preserve">Devrimci Özgüven, H., &amp; </w:t>
      </w:r>
      <w:proofErr w:type="spellStart"/>
      <w:r w:rsidRPr="00280CB2">
        <w:rPr>
          <w:rFonts w:ascii="Times New Roman" w:hAnsi="Times New Roman" w:cs="Times New Roman"/>
          <w:color w:val="auto"/>
          <w:sz w:val="24"/>
          <w:szCs w:val="24"/>
        </w:rPr>
        <w:t>Hoşgören</w:t>
      </w:r>
      <w:proofErr w:type="spellEnd"/>
      <w:r w:rsidRPr="00280CB2">
        <w:rPr>
          <w:rFonts w:ascii="Times New Roman" w:hAnsi="Times New Roman" w:cs="Times New Roman"/>
          <w:color w:val="auto"/>
          <w:sz w:val="24"/>
          <w:szCs w:val="24"/>
        </w:rPr>
        <w:t xml:space="preserve"> Alıcı, Y. (2016). </w:t>
      </w:r>
      <w:r w:rsidRPr="00280CB2">
        <w:rPr>
          <w:rStyle w:val="Gl"/>
          <w:rFonts w:ascii="Times New Roman" w:hAnsi="Times New Roman" w:cs="Times New Roman"/>
          <w:color w:val="auto"/>
          <w:sz w:val="24"/>
          <w:szCs w:val="24"/>
        </w:rPr>
        <w:t>İntiharı önleme</w:t>
      </w:r>
      <w:r w:rsidRPr="00280CB2">
        <w:rPr>
          <w:rFonts w:ascii="Times New Roman" w:hAnsi="Times New Roman" w:cs="Times New Roman"/>
          <w:color w:val="auto"/>
          <w:sz w:val="24"/>
          <w:szCs w:val="24"/>
        </w:rPr>
        <w:t xml:space="preserve">. </w:t>
      </w:r>
      <w:proofErr w:type="spellStart"/>
      <w:r w:rsidRPr="00280CB2">
        <w:rPr>
          <w:rStyle w:val="Vurgu"/>
          <w:rFonts w:ascii="Times New Roman" w:eastAsia="Calibri" w:hAnsi="Times New Roman" w:cs="Times New Roman"/>
          <w:color w:val="auto"/>
          <w:sz w:val="24"/>
          <w:szCs w:val="24"/>
        </w:rPr>
        <w:t>Turkiye</w:t>
      </w:r>
      <w:proofErr w:type="spellEnd"/>
      <w:r w:rsidRPr="00280CB2">
        <w:rPr>
          <w:rStyle w:val="Vurgu"/>
          <w:rFonts w:ascii="Times New Roman" w:eastAsia="Calibri" w:hAnsi="Times New Roman" w:cs="Times New Roman"/>
          <w:color w:val="auto"/>
          <w:sz w:val="24"/>
          <w:szCs w:val="24"/>
        </w:rPr>
        <w:t xml:space="preserve"> Klinikleri </w:t>
      </w:r>
      <w:proofErr w:type="spellStart"/>
      <w:r w:rsidRPr="00280CB2">
        <w:rPr>
          <w:rStyle w:val="Vurgu"/>
          <w:rFonts w:ascii="Times New Roman" w:eastAsia="Calibri" w:hAnsi="Times New Roman" w:cs="Times New Roman"/>
          <w:color w:val="auto"/>
          <w:sz w:val="24"/>
          <w:szCs w:val="24"/>
        </w:rPr>
        <w:t>Journal</w:t>
      </w:r>
      <w:proofErr w:type="spellEnd"/>
      <w:r w:rsidRPr="00280CB2">
        <w:rPr>
          <w:rStyle w:val="Vurgu"/>
          <w:rFonts w:ascii="Times New Roman" w:eastAsia="Calibri" w:hAnsi="Times New Roman" w:cs="Times New Roman"/>
          <w:color w:val="auto"/>
          <w:sz w:val="24"/>
          <w:szCs w:val="24"/>
        </w:rPr>
        <w:t xml:space="preserve"> of </w:t>
      </w:r>
      <w:proofErr w:type="spellStart"/>
      <w:r w:rsidRPr="00280CB2">
        <w:rPr>
          <w:rStyle w:val="Vurgu"/>
          <w:rFonts w:ascii="Times New Roman" w:eastAsia="Calibri" w:hAnsi="Times New Roman" w:cs="Times New Roman"/>
          <w:color w:val="auto"/>
          <w:sz w:val="24"/>
          <w:szCs w:val="24"/>
        </w:rPr>
        <w:t>Psychiatry</w:t>
      </w:r>
      <w:proofErr w:type="spellEnd"/>
      <w:r w:rsidRPr="00280CB2">
        <w:rPr>
          <w:rStyle w:val="Vurgu"/>
          <w:rFonts w:ascii="Times New Roman" w:eastAsia="Calibri" w:hAnsi="Times New Roman" w:cs="Times New Roman"/>
          <w:color w:val="auto"/>
          <w:sz w:val="24"/>
          <w:szCs w:val="24"/>
        </w:rPr>
        <w:t xml:space="preserve">-Special </w:t>
      </w:r>
      <w:proofErr w:type="spellStart"/>
      <w:r w:rsidRPr="00280CB2">
        <w:rPr>
          <w:rStyle w:val="Vurgu"/>
          <w:rFonts w:ascii="Times New Roman" w:eastAsia="Calibri" w:hAnsi="Times New Roman" w:cs="Times New Roman"/>
          <w:color w:val="auto"/>
          <w:sz w:val="24"/>
          <w:szCs w:val="24"/>
        </w:rPr>
        <w:t>Topics</w:t>
      </w:r>
      <w:proofErr w:type="spellEnd"/>
      <w:r w:rsidRPr="00280CB2">
        <w:rPr>
          <w:rStyle w:val="Vurgu"/>
          <w:rFonts w:ascii="Times New Roman" w:eastAsia="Calibri" w:hAnsi="Times New Roman" w:cs="Times New Roman"/>
          <w:color w:val="auto"/>
          <w:sz w:val="24"/>
          <w:szCs w:val="24"/>
        </w:rPr>
        <w:t>, 9</w:t>
      </w:r>
      <w:r w:rsidRPr="00280CB2">
        <w:rPr>
          <w:rFonts w:ascii="Times New Roman" w:hAnsi="Times New Roman" w:cs="Times New Roman"/>
          <w:color w:val="auto"/>
          <w:sz w:val="24"/>
          <w:szCs w:val="24"/>
        </w:rPr>
        <w:t>(3), 71-76.</w:t>
      </w:r>
    </w:p>
    <w:p w14:paraId="26FE4515" w14:textId="77777777" w:rsidR="00FA457D" w:rsidRPr="00280CB2" w:rsidRDefault="00FA457D">
      <w:pPr>
        <w:pStyle w:val="ListeParagraf"/>
        <w:numPr>
          <w:ilvl w:val="0"/>
          <w:numId w:val="60"/>
        </w:numPr>
        <w:tabs>
          <w:tab w:val="left" w:pos="0"/>
        </w:tabs>
      </w:pPr>
      <w:proofErr w:type="spellStart"/>
      <w:r w:rsidRPr="00280CB2">
        <w:t>Dogra</w:t>
      </w:r>
      <w:proofErr w:type="spellEnd"/>
      <w:r w:rsidRPr="00280CB2">
        <w:t xml:space="preserve"> N (2010) </w:t>
      </w:r>
      <w:proofErr w:type="spellStart"/>
      <w:r w:rsidRPr="00280CB2">
        <w:t>Social</w:t>
      </w:r>
      <w:proofErr w:type="spellEnd"/>
      <w:r w:rsidRPr="00280CB2">
        <w:t xml:space="preserve"> </w:t>
      </w:r>
      <w:proofErr w:type="spellStart"/>
      <w:r w:rsidRPr="00280CB2">
        <w:t>factors</w:t>
      </w:r>
      <w:proofErr w:type="spellEnd"/>
      <w:r w:rsidRPr="00280CB2">
        <w:t xml:space="preserve"> </w:t>
      </w:r>
      <w:proofErr w:type="spellStart"/>
      <w:r w:rsidRPr="00280CB2">
        <w:t>that</w:t>
      </w:r>
      <w:proofErr w:type="spellEnd"/>
      <w:r w:rsidRPr="00280CB2">
        <w:t xml:space="preserve"> </w:t>
      </w:r>
      <w:proofErr w:type="spellStart"/>
      <w:r w:rsidRPr="00280CB2">
        <w:t>influence</w:t>
      </w:r>
      <w:proofErr w:type="spellEnd"/>
      <w:r w:rsidRPr="00280CB2">
        <w:t xml:space="preserve"> </w:t>
      </w:r>
      <w:proofErr w:type="spellStart"/>
      <w:r w:rsidRPr="00280CB2">
        <w:t>child</w:t>
      </w:r>
      <w:proofErr w:type="spellEnd"/>
      <w:r w:rsidRPr="00280CB2">
        <w:t xml:space="preserve"> </w:t>
      </w:r>
      <w:proofErr w:type="spellStart"/>
      <w:r w:rsidRPr="00280CB2">
        <w:t>mental</w:t>
      </w:r>
      <w:proofErr w:type="spellEnd"/>
      <w:r w:rsidRPr="00280CB2">
        <w:t xml:space="preserve"> </w:t>
      </w:r>
      <w:proofErr w:type="spellStart"/>
      <w:r w:rsidRPr="00280CB2">
        <w:t>health</w:t>
      </w:r>
      <w:proofErr w:type="spellEnd"/>
      <w:r w:rsidRPr="00280CB2">
        <w:t xml:space="preserve">. </w:t>
      </w:r>
      <w:proofErr w:type="spellStart"/>
      <w:r w:rsidRPr="00280CB2">
        <w:t>In</w:t>
      </w:r>
      <w:proofErr w:type="spellEnd"/>
      <w:r w:rsidRPr="00280CB2">
        <w:t xml:space="preserve">: </w:t>
      </w:r>
      <w:proofErr w:type="spellStart"/>
      <w:r w:rsidRPr="00280CB2">
        <w:t>Bhugra</w:t>
      </w:r>
      <w:proofErr w:type="spellEnd"/>
      <w:r w:rsidRPr="00280CB2">
        <w:t xml:space="preserve"> D, Morgan C (</w:t>
      </w:r>
      <w:proofErr w:type="spellStart"/>
      <w:r w:rsidRPr="00280CB2">
        <w:t>eds</w:t>
      </w:r>
      <w:proofErr w:type="spellEnd"/>
      <w:r w:rsidRPr="00280CB2">
        <w:t xml:space="preserve">) </w:t>
      </w:r>
      <w:proofErr w:type="spellStart"/>
      <w:r w:rsidRPr="00280CB2">
        <w:t>Principles</w:t>
      </w:r>
      <w:proofErr w:type="spellEnd"/>
      <w:r w:rsidRPr="00280CB2">
        <w:t xml:space="preserve"> of </w:t>
      </w:r>
      <w:proofErr w:type="spellStart"/>
      <w:r w:rsidRPr="00280CB2">
        <w:t>social</w:t>
      </w:r>
      <w:proofErr w:type="spellEnd"/>
      <w:r w:rsidRPr="00280CB2">
        <w:t xml:space="preserve"> </w:t>
      </w:r>
      <w:proofErr w:type="spellStart"/>
      <w:r w:rsidRPr="00280CB2">
        <w:t>psychiatry</w:t>
      </w:r>
      <w:proofErr w:type="spellEnd"/>
      <w:r w:rsidRPr="00280CB2">
        <w:t>, 2. </w:t>
      </w:r>
      <w:proofErr w:type="spellStart"/>
      <w:r w:rsidRPr="00280CB2">
        <w:t>Edt</w:t>
      </w:r>
      <w:proofErr w:type="spellEnd"/>
      <w:r w:rsidRPr="00280CB2">
        <w:t xml:space="preserve">. </w:t>
      </w:r>
      <w:proofErr w:type="spellStart"/>
      <w:r w:rsidRPr="00280CB2">
        <w:t>Wiley</w:t>
      </w:r>
      <w:proofErr w:type="spellEnd"/>
      <w:r w:rsidRPr="00280CB2">
        <w:t xml:space="preserve">-Blackwell, Oxford, </w:t>
      </w:r>
      <w:proofErr w:type="spellStart"/>
      <w:r w:rsidRPr="00280CB2">
        <w:t>ss</w:t>
      </w:r>
      <w:proofErr w:type="spellEnd"/>
      <w:r w:rsidRPr="00280CB2">
        <w:t> 295–304</w:t>
      </w:r>
    </w:p>
    <w:p w14:paraId="03AD0934" w14:textId="47378FE8" w:rsidR="00FA457D" w:rsidRPr="00280CB2" w:rsidRDefault="00FA457D">
      <w:pPr>
        <w:pStyle w:val="ListeParagraf"/>
        <w:numPr>
          <w:ilvl w:val="0"/>
          <w:numId w:val="60"/>
        </w:numPr>
        <w:tabs>
          <w:tab w:val="left" w:pos="0"/>
        </w:tabs>
      </w:pPr>
      <w:r w:rsidRPr="00280CB2">
        <w:t xml:space="preserve">Doğan, T. (2010).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psychodrama</w:t>
      </w:r>
      <w:proofErr w:type="spellEnd"/>
      <w:r w:rsidRPr="00280CB2">
        <w:t xml:space="preserve"> on </w:t>
      </w:r>
      <w:proofErr w:type="spellStart"/>
      <w:r w:rsidRPr="00280CB2">
        <w:t>young</w:t>
      </w:r>
      <w:proofErr w:type="spellEnd"/>
      <w:r w:rsidRPr="00280CB2">
        <w:t xml:space="preserve"> </w:t>
      </w:r>
      <w:proofErr w:type="spellStart"/>
      <w:r w:rsidRPr="00280CB2">
        <w:t>adults</w:t>
      </w:r>
      <w:proofErr w:type="spellEnd"/>
      <w:r w:rsidRPr="00280CB2">
        <w:t xml:space="preserve">’ </w:t>
      </w:r>
      <w:proofErr w:type="spellStart"/>
      <w:r w:rsidRPr="00280CB2">
        <w:t>attachment</w:t>
      </w:r>
      <w:proofErr w:type="spellEnd"/>
      <w:r w:rsidRPr="00280CB2">
        <w:t xml:space="preserve"> </w:t>
      </w:r>
      <w:proofErr w:type="spellStart"/>
      <w:r w:rsidRPr="00280CB2">
        <w:t>styles</w:t>
      </w:r>
      <w:proofErr w:type="spellEnd"/>
      <w:r w:rsidRPr="00280CB2">
        <w:t xml:space="preserve">. </w:t>
      </w:r>
      <w:proofErr w:type="spellStart"/>
      <w:r w:rsidRPr="00E359E0">
        <w:rPr>
          <w:rStyle w:val="Vurgu"/>
          <w:rFonts w:eastAsiaTheme="majorEastAsia"/>
        </w:rPr>
        <w:t>The</w:t>
      </w:r>
      <w:proofErr w:type="spellEnd"/>
      <w:r w:rsidRPr="00E359E0">
        <w:rPr>
          <w:rStyle w:val="Vurgu"/>
          <w:rFonts w:eastAsiaTheme="majorEastAsia"/>
        </w:rPr>
        <w:t xml:space="preserve"> </w:t>
      </w:r>
      <w:proofErr w:type="spellStart"/>
      <w:r w:rsidRPr="00E359E0">
        <w:rPr>
          <w:rStyle w:val="Vurgu"/>
          <w:rFonts w:eastAsiaTheme="majorEastAsia"/>
        </w:rPr>
        <w:t>Arts</w:t>
      </w:r>
      <w:proofErr w:type="spellEnd"/>
      <w:r w:rsidRPr="00E359E0">
        <w:rPr>
          <w:rStyle w:val="Vurgu"/>
          <w:rFonts w:eastAsiaTheme="majorEastAsia"/>
        </w:rPr>
        <w:t xml:space="preserve"> in </w:t>
      </w:r>
      <w:proofErr w:type="spellStart"/>
      <w:r w:rsidRPr="00E359E0">
        <w:rPr>
          <w:rStyle w:val="Vurgu"/>
          <w:rFonts w:eastAsiaTheme="majorEastAsia"/>
        </w:rPr>
        <w:t>Psychotherapy</w:t>
      </w:r>
      <w:proofErr w:type="spellEnd"/>
      <w:r w:rsidRPr="00E359E0">
        <w:rPr>
          <w:rStyle w:val="Vurgu"/>
          <w:rFonts w:eastAsiaTheme="majorEastAsia"/>
        </w:rPr>
        <w:t>, 37</w:t>
      </w:r>
      <w:r w:rsidRPr="00280CB2">
        <w:t xml:space="preserve">(2), 112–119. </w:t>
      </w:r>
      <w:hyperlink r:id="rId320" w:history="1">
        <w:r w:rsidRPr="00280CB2">
          <w:rPr>
            <w:rStyle w:val="Kpr"/>
          </w:rPr>
          <w:t>https://doi.org/10.1016/j.aip.2010.02.001</w:t>
        </w:r>
      </w:hyperlink>
    </w:p>
    <w:p w14:paraId="2046C9D0" w14:textId="77777777" w:rsidR="00FA457D" w:rsidRPr="00280CB2" w:rsidRDefault="00FA457D">
      <w:pPr>
        <w:pStyle w:val="ListeParagraf"/>
        <w:numPr>
          <w:ilvl w:val="0"/>
          <w:numId w:val="60"/>
        </w:numPr>
        <w:tabs>
          <w:tab w:val="left" w:pos="0"/>
        </w:tabs>
        <w:jc w:val="both"/>
      </w:pPr>
      <w:r w:rsidRPr="00280CB2">
        <w:t>Dokuz Eylül Üniversitesi, İzmir.</w:t>
      </w:r>
    </w:p>
    <w:p w14:paraId="56B8F3B2" w14:textId="77777777" w:rsidR="00FA457D" w:rsidRPr="00E359E0" w:rsidRDefault="00FA457D">
      <w:pPr>
        <w:pStyle w:val="ListeParagraf"/>
        <w:numPr>
          <w:ilvl w:val="0"/>
          <w:numId w:val="60"/>
        </w:numPr>
        <w:tabs>
          <w:tab w:val="left" w:pos="0"/>
        </w:tabs>
        <w:jc w:val="both"/>
        <w:rPr>
          <w:u w:val="single"/>
        </w:rPr>
      </w:pPr>
      <w:proofErr w:type="spellStart"/>
      <w:r w:rsidRPr="00280CB2">
        <w:t>Dorothea</w:t>
      </w:r>
      <w:proofErr w:type="spellEnd"/>
      <w:r w:rsidRPr="00280CB2">
        <w:t xml:space="preserve">, G. (2016). </w:t>
      </w:r>
      <w:proofErr w:type="spellStart"/>
      <w:r w:rsidRPr="00280CB2">
        <w:t>Effectiveness</w:t>
      </w:r>
      <w:proofErr w:type="spellEnd"/>
      <w:r w:rsidRPr="00280CB2">
        <w:t xml:space="preserve"> of </w:t>
      </w:r>
      <w:proofErr w:type="spellStart"/>
      <w:r w:rsidRPr="00280CB2">
        <w:t>psychodrama</w:t>
      </w:r>
      <w:proofErr w:type="spellEnd"/>
      <w:r w:rsidRPr="00280CB2">
        <w:t xml:space="preserve"> </w:t>
      </w:r>
      <w:proofErr w:type="spellStart"/>
      <w:r w:rsidRPr="00280CB2">
        <w:t>group</w:t>
      </w:r>
      <w:proofErr w:type="spellEnd"/>
      <w:r w:rsidRPr="00280CB2">
        <w:t xml:space="preserve"> </w:t>
      </w:r>
      <w:proofErr w:type="spellStart"/>
      <w:r w:rsidRPr="00280CB2">
        <w:t>therapy</w:t>
      </w:r>
      <w:proofErr w:type="spellEnd"/>
      <w:r w:rsidRPr="00280CB2">
        <w:t xml:space="preserve"> on </w:t>
      </w:r>
      <w:proofErr w:type="spellStart"/>
      <w:r w:rsidRPr="00280CB2">
        <w:t>pupils</w:t>
      </w:r>
      <w:proofErr w:type="spellEnd"/>
      <w:r w:rsidRPr="00280CB2">
        <w:t xml:space="preserve"> </w:t>
      </w:r>
      <w:proofErr w:type="spellStart"/>
      <w:r w:rsidRPr="00280CB2">
        <w:t>with</w:t>
      </w:r>
      <w:proofErr w:type="spellEnd"/>
      <w:r w:rsidRPr="00280CB2">
        <w:t xml:space="preserve"> </w:t>
      </w:r>
      <w:proofErr w:type="spellStart"/>
      <w:r w:rsidRPr="00280CB2">
        <w:t>mathematics</w:t>
      </w:r>
      <w:proofErr w:type="spellEnd"/>
      <w:r w:rsidRPr="00280CB2">
        <w:t xml:space="preserve"> </w:t>
      </w:r>
      <w:proofErr w:type="spellStart"/>
      <w:r w:rsidRPr="00280CB2">
        <w:t>anxiety</w:t>
      </w:r>
      <w:proofErr w:type="spellEnd"/>
      <w:r w:rsidRPr="00280CB2">
        <w:t xml:space="preserve">. </w:t>
      </w:r>
      <w:proofErr w:type="spellStart"/>
      <w:r w:rsidRPr="00E359E0">
        <w:rPr>
          <w:i/>
        </w:rPr>
        <w:t>Zeitschrift</w:t>
      </w:r>
      <w:proofErr w:type="spellEnd"/>
      <w:r w:rsidRPr="00E359E0">
        <w:rPr>
          <w:i/>
        </w:rPr>
        <w:t xml:space="preserve"> </w:t>
      </w:r>
      <w:proofErr w:type="spellStart"/>
      <w:r w:rsidRPr="00E359E0">
        <w:rPr>
          <w:i/>
        </w:rPr>
        <w:t>für</w:t>
      </w:r>
      <w:proofErr w:type="spellEnd"/>
      <w:r w:rsidRPr="00E359E0">
        <w:rPr>
          <w:i/>
        </w:rPr>
        <w:t xml:space="preserve"> </w:t>
      </w:r>
      <w:proofErr w:type="spellStart"/>
      <w:r w:rsidRPr="00E359E0">
        <w:rPr>
          <w:i/>
        </w:rPr>
        <w:t>Psychodrama</w:t>
      </w:r>
      <w:proofErr w:type="spellEnd"/>
      <w:r w:rsidRPr="00E359E0">
        <w:rPr>
          <w:i/>
        </w:rPr>
        <w:t xml:space="preserve"> </w:t>
      </w:r>
      <w:proofErr w:type="spellStart"/>
      <w:r w:rsidRPr="00E359E0">
        <w:rPr>
          <w:i/>
        </w:rPr>
        <w:t>und</w:t>
      </w:r>
      <w:proofErr w:type="spellEnd"/>
      <w:r w:rsidRPr="00E359E0">
        <w:rPr>
          <w:i/>
        </w:rPr>
        <w:t xml:space="preserve"> </w:t>
      </w:r>
      <w:proofErr w:type="spellStart"/>
      <w:r w:rsidRPr="00E359E0">
        <w:rPr>
          <w:i/>
        </w:rPr>
        <w:t>Soziometrie</w:t>
      </w:r>
      <w:proofErr w:type="spellEnd"/>
      <w:r w:rsidRPr="00E359E0">
        <w:rPr>
          <w:i/>
        </w:rPr>
        <w:t>, 15</w:t>
      </w:r>
      <w:r w:rsidRPr="00280CB2">
        <w:t>(</w:t>
      </w:r>
      <w:proofErr w:type="spellStart"/>
      <w:r w:rsidRPr="00280CB2">
        <w:t>Suppl</w:t>
      </w:r>
      <w:proofErr w:type="spellEnd"/>
      <w:r w:rsidRPr="00280CB2">
        <w:t xml:space="preserve">), 197–215. </w:t>
      </w:r>
      <w:hyperlink r:id="rId321">
        <w:r w:rsidRPr="00E359E0">
          <w:rPr>
            <w:u w:val="single"/>
          </w:rPr>
          <w:t>https://doi.org/10.1007/s11620-015-0299-4</w:t>
        </w:r>
      </w:hyperlink>
    </w:p>
    <w:p w14:paraId="1069EA47" w14:textId="77777777" w:rsidR="00FA457D" w:rsidRPr="00280CB2" w:rsidRDefault="00FA457D">
      <w:pPr>
        <w:pStyle w:val="ListeParagraf"/>
        <w:numPr>
          <w:ilvl w:val="0"/>
          <w:numId w:val="60"/>
        </w:numPr>
        <w:tabs>
          <w:tab w:val="left" w:pos="0"/>
        </w:tabs>
        <w:jc w:val="both"/>
      </w:pPr>
      <w:r w:rsidRPr="00280CB2">
        <w:t>Dökmen, Ü. (2017). Sosyometri ve Psikodrama. İstanbul: Remzi Kitapevi.</w:t>
      </w:r>
    </w:p>
    <w:p w14:paraId="4A4D6DE0"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color w:val="auto"/>
          <w:sz w:val="24"/>
          <w:szCs w:val="24"/>
        </w:rPr>
      </w:pPr>
      <w:proofErr w:type="spellStart"/>
      <w:r w:rsidRPr="00280CB2">
        <w:rPr>
          <w:rFonts w:ascii="Times New Roman" w:hAnsi="Times New Roman" w:cs="Times New Roman"/>
          <w:color w:val="auto"/>
          <w:sz w:val="24"/>
          <w:szCs w:val="24"/>
        </w:rPr>
        <w:t>Eldeleklioğlu</w:t>
      </w:r>
      <w:proofErr w:type="spellEnd"/>
      <w:r w:rsidRPr="00280CB2">
        <w:rPr>
          <w:rFonts w:ascii="Times New Roman" w:hAnsi="Times New Roman" w:cs="Times New Roman"/>
          <w:color w:val="auto"/>
          <w:sz w:val="24"/>
          <w:szCs w:val="24"/>
        </w:rPr>
        <w:t xml:space="preserve">, J. (2008). </w:t>
      </w:r>
      <w:proofErr w:type="spellStart"/>
      <w:r w:rsidRPr="00280CB2">
        <w:rPr>
          <w:rFonts w:ascii="Times New Roman" w:hAnsi="Times New Roman" w:cs="Times New Roman"/>
          <w:color w:val="auto"/>
          <w:sz w:val="24"/>
          <w:szCs w:val="24"/>
        </w:rPr>
        <w:t>Investigation</w:t>
      </w:r>
      <w:proofErr w:type="spellEnd"/>
      <w:r w:rsidRPr="00280CB2">
        <w:rPr>
          <w:rFonts w:ascii="Times New Roman" w:hAnsi="Times New Roman" w:cs="Times New Roman"/>
          <w:color w:val="auto"/>
          <w:sz w:val="24"/>
          <w:szCs w:val="24"/>
        </w:rPr>
        <w:t xml:space="preserve"> of </w:t>
      </w:r>
      <w:proofErr w:type="spellStart"/>
      <w:r w:rsidRPr="00280CB2">
        <w:rPr>
          <w:rFonts w:ascii="Times New Roman" w:hAnsi="Times New Roman" w:cs="Times New Roman"/>
          <w:color w:val="auto"/>
          <w:sz w:val="24"/>
          <w:szCs w:val="24"/>
        </w:rPr>
        <w:t>adolescents</w:t>
      </w:r>
      <w:proofErr w:type="spellEnd"/>
      <w:r w:rsidRPr="00280CB2">
        <w:rPr>
          <w:rFonts w:ascii="Times New Roman" w:hAnsi="Times New Roman" w:cs="Times New Roman"/>
          <w:color w:val="auto"/>
          <w:sz w:val="24"/>
          <w:szCs w:val="24"/>
        </w:rPr>
        <w:t xml:space="preserve">’ time </w:t>
      </w:r>
      <w:proofErr w:type="spellStart"/>
      <w:r w:rsidRPr="00280CB2">
        <w:rPr>
          <w:rFonts w:ascii="Times New Roman" w:hAnsi="Times New Roman" w:cs="Times New Roman"/>
          <w:color w:val="auto"/>
          <w:sz w:val="24"/>
          <w:szCs w:val="24"/>
        </w:rPr>
        <w:t>management</w:t>
      </w:r>
      <w:proofErr w:type="spellEnd"/>
      <w:r w:rsidRPr="00280CB2">
        <w:rPr>
          <w:rFonts w:ascii="Times New Roman" w:hAnsi="Times New Roman" w:cs="Times New Roman"/>
          <w:color w:val="auto"/>
          <w:sz w:val="24"/>
          <w:szCs w:val="24"/>
        </w:rPr>
        <w:t xml:space="preserve"> </w:t>
      </w:r>
      <w:proofErr w:type="spellStart"/>
      <w:r w:rsidRPr="00280CB2">
        <w:rPr>
          <w:rFonts w:ascii="Times New Roman" w:hAnsi="Times New Roman" w:cs="Times New Roman"/>
          <w:color w:val="auto"/>
          <w:sz w:val="24"/>
          <w:szCs w:val="24"/>
        </w:rPr>
        <w:t>skills</w:t>
      </w:r>
      <w:proofErr w:type="spellEnd"/>
      <w:r w:rsidRPr="00280CB2">
        <w:rPr>
          <w:rFonts w:ascii="Times New Roman" w:hAnsi="Times New Roman" w:cs="Times New Roman"/>
          <w:color w:val="auto"/>
          <w:sz w:val="24"/>
          <w:szCs w:val="24"/>
        </w:rPr>
        <w:t xml:space="preserve"> in </w:t>
      </w:r>
      <w:proofErr w:type="spellStart"/>
      <w:r w:rsidRPr="00280CB2">
        <w:rPr>
          <w:rFonts w:ascii="Times New Roman" w:hAnsi="Times New Roman" w:cs="Times New Roman"/>
          <w:color w:val="auto"/>
          <w:sz w:val="24"/>
          <w:szCs w:val="24"/>
        </w:rPr>
        <w:t>terms</w:t>
      </w:r>
      <w:proofErr w:type="spellEnd"/>
      <w:r w:rsidRPr="00280CB2">
        <w:rPr>
          <w:rFonts w:ascii="Times New Roman" w:hAnsi="Times New Roman" w:cs="Times New Roman"/>
          <w:color w:val="auto"/>
          <w:sz w:val="24"/>
          <w:szCs w:val="24"/>
        </w:rPr>
        <w:t xml:space="preserve"> of </w:t>
      </w:r>
      <w:proofErr w:type="spellStart"/>
      <w:r w:rsidRPr="00280CB2">
        <w:rPr>
          <w:rFonts w:ascii="Times New Roman" w:hAnsi="Times New Roman" w:cs="Times New Roman"/>
          <w:color w:val="auto"/>
          <w:sz w:val="24"/>
          <w:szCs w:val="24"/>
        </w:rPr>
        <w:t>anxiety</w:t>
      </w:r>
      <w:proofErr w:type="spellEnd"/>
      <w:r w:rsidRPr="00280CB2">
        <w:rPr>
          <w:rFonts w:ascii="Times New Roman" w:hAnsi="Times New Roman" w:cs="Times New Roman"/>
          <w:color w:val="auto"/>
          <w:sz w:val="24"/>
          <w:szCs w:val="24"/>
        </w:rPr>
        <w:t xml:space="preserve">, </w:t>
      </w:r>
      <w:proofErr w:type="spellStart"/>
      <w:r w:rsidRPr="00280CB2">
        <w:rPr>
          <w:rFonts w:ascii="Times New Roman" w:hAnsi="Times New Roman" w:cs="Times New Roman"/>
          <w:color w:val="auto"/>
          <w:sz w:val="24"/>
          <w:szCs w:val="24"/>
        </w:rPr>
        <w:t>age</w:t>
      </w:r>
      <w:proofErr w:type="spellEnd"/>
      <w:r w:rsidRPr="00280CB2">
        <w:rPr>
          <w:rFonts w:ascii="Times New Roman" w:hAnsi="Times New Roman" w:cs="Times New Roman"/>
          <w:color w:val="auto"/>
          <w:sz w:val="24"/>
          <w:szCs w:val="24"/>
        </w:rPr>
        <w:t xml:space="preserve"> </w:t>
      </w:r>
      <w:proofErr w:type="spellStart"/>
      <w:r w:rsidRPr="00280CB2">
        <w:rPr>
          <w:rFonts w:ascii="Times New Roman" w:hAnsi="Times New Roman" w:cs="Times New Roman"/>
          <w:color w:val="auto"/>
          <w:sz w:val="24"/>
          <w:szCs w:val="24"/>
        </w:rPr>
        <w:t>and</w:t>
      </w:r>
      <w:proofErr w:type="spellEnd"/>
      <w:r w:rsidRPr="00280CB2">
        <w:rPr>
          <w:rFonts w:ascii="Times New Roman" w:hAnsi="Times New Roman" w:cs="Times New Roman"/>
          <w:color w:val="auto"/>
          <w:sz w:val="24"/>
          <w:szCs w:val="24"/>
        </w:rPr>
        <w:t xml:space="preserve"> </w:t>
      </w:r>
      <w:proofErr w:type="spellStart"/>
      <w:r w:rsidRPr="00280CB2">
        <w:rPr>
          <w:rFonts w:ascii="Times New Roman" w:hAnsi="Times New Roman" w:cs="Times New Roman"/>
          <w:color w:val="auto"/>
          <w:sz w:val="24"/>
          <w:szCs w:val="24"/>
        </w:rPr>
        <w:t>gender</w:t>
      </w:r>
      <w:proofErr w:type="spellEnd"/>
      <w:r w:rsidRPr="00280CB2">
        <w:rPr>
          <w:rFonts w:ascii="Times New Roman" w:hAnsi="Times New Roman" w:cs="Times New Roman"/>
          <w:color w:val="auto"/>
          <w:sz w:val="24"/>
          <w:szCs w:val="24"/>
        </w:rPr>
        <w:t xml:space="preserve"> </w:t>
      </w:r>
      <w:proofErr w:type="spellStart"/>
      <w:r w:rsidRPr="00280CB2">
        <w:rPr>
          <w:rFonts w:ascii="Times New Roman" w:hAnsi="Times New Roman" w:cs="Times New Roman"/>
          <w:color w:val="auto"/>
          <w:sz w:val="24"/>
          <w:szCs w:val="24"/>
        </w:rPr>
        <w:t>variables</w:t>
      </w:r>
      <w:proofErr w:type="spellEnd"/>
      <w:r w:rsidRPr="00280CB2">
        <w:rPr>
          <w:rFonts w:ascii="Times New Roman" w:hAnsi="Times New Roman" w:cs="Times New Roman"/>
          <w:color w:val="auto"/>
          <w:sz w:val="24"/>
          <w:szCs w:val="24"/>
        </w:rPr>
        <w:t xml:space="preserve">. </w:t>
      </w:r>
      <w:proofErr w:type="spellStart"/>
      <w:r w:rsidRPr="00280CB2">
        <w:rPr>
          <w:rStyle w:val="Vurgu"/>
          <w:rFonts w:ascii="Times New Roman" w:hAnsi="Times New Roman" w:cs="Times New Roman"/>
          <w:color w:val="auto"/>
          <w:sz w:val="24"/>
          <w:szCs w:val="24"/>
        </w:rPr>
        <w:t>Elementary</w:t>
      </w:r>
      <w:proofErr w:type="spellEnd"/>
      <w:r w:rsidRPr="00280CB2">
        <w:rPr>
          <w:rStyle w:val="Vurgu"/>
          <w:rFonts w:ascii="Times New Roman" w:hAnsi="Times New Roman" w:cs="Times New Roman"/>
          <w:color w:val="auto"/>
          <w:sz w:val="24"/>
          <w:szCs w:val="24"/>
        </w:rPr>
        <w:t xml:space="preserve"> </w:t>
      </w:r>
      <w:proofErr w:type="spellStart"/>
      <w:r w:rsidRPr="00280CB2">
        <w:rPr>
          <w:rStyle w:val="Vurgu"/>
          <w:rFonts w:ascii="Times New Roman" w:hAnsi="Times New Roman" w:cs="Times New Roman"/>
          <w:color w:val="auto"/>
          <w:sz w:val="24"/>
          <w:szCs w:val="24"/>
        </w:rPr>
        <w:t>Education</w:t>
      </w:r>
      <w:proofErr w:type="spellEnd"/>
      <w:r w:rsidRPr="00280CB2">
        <w:rPr>
          <w:rStyle w:val="Vurgu"/>
          <w:rFonts w:ascii="Times New Roman" w:hAnsi="Times New Roman" w:cs="Times New Roman"/>
          <w:color w:val="auto"/>
          <w:sz w:val="24"/>
          <w:szCs w:val="24"/>
        </w:rPr>
        <w:t xml:space="preserve"> Online, 7</w:t>
      </w:r>
      <w:r w:rsidRPr="00280CB2">
        <w:rPr>
          <w:rFonts w:ascii="Times New Roman" w:hAnsi="Times New Roman" w:cs="Times New Roman"/>
          <w:color w:val="auto"/>
          <w:sz w:val="24"/>
          <w:szCs w:val="24"/>
        </w:rPr>
        <w:t xml:space="preserve">(3), 656-663. </w:t>
      </w:r>
      <w:hyperlink r:id="rId322" w:tgtFrame="_new" w:history="1">
        <w:r w:rsidRPr="00280CB2">
          <w:rPr>
            <w:rStyle w:val="Kpr"/>
            <w:rFonts w:ascii="Times New Roman" w:hAnsi="Times New Roman" w:cs="Times New Roman"/>
            <w:color w:val="auto"/>
            <w:sz w:val="24"/>
            <w:szCs w:val="24"/>
          </w:rPr>
          <w:t>http://ilkogretim-online.org.tr</w:t>
        </w:r>
      </w:hyperlink>
    </w:p>
    <w:p w14:paraId="177CFA2D" w14:textId="77777777" w:rsidR="00FA457D" w:rsidRPr="00280CB2" w:rsidRDefault="00FA457D">
      <w:pPr>
        <w:pStyle w:val="ListeParagraf"/>
        <w:numPr>
          <w:ilvl w:val="0"/>
          <w:numId w:val="60"/>
        </w:numPr>
        <w:tabs>
          <w:tab w:val="left" w:pos="0"/>
        </w:tabs>
        <w:jc w:val="both"/>
      </w:pPr>
      <w:r w:rsidRPr="00280CB2">
        <w:t>El-</w:t>
      </w:r>
      <w:proofErr w:type="spellStart"/>
      <w:r w:rsidRPr="00280CB2">
        <w:t>Mazahy</w:t>
      </w:r>
      <w:proofErr w:type="spellEnd"/>
      <w:r w:rsidRPr="00280CB2">
        <w:t xml:space="preserve">, H., </w:t>
      </w:r>
      <w:proofErr w:type="spellStart"/>
      <w:r w:rsidRPr="00280CB2">
        <w:t>Gasseau</w:t>
      </w:r>
      <w:proofErr w:type="spellEnd"/>
      <w:r w:rsidRPr="00280CB2">
        <w:t>, M., El-</w:t>
      </w:r>
      <w:proofErr w:type="spellStart"/>
      <w:r w:rsidRPr="00280CB2">
        <w:t>Rakhawy</w:t>
      </w:r>
      <w:proofErr w:type="spellEnd"/>
      <w:r w:rsidRPr="00280CB2">
        <w:t xml:space="preserve">, M., &amp; </w:t>
      </w:r>
      <w:proofErr w:type="spellStart"/>
      <w:r w:rsidRPr="00280CB2">
        <w:t>Sabry</w:t>
      </w:r>
      <w:proofErr w:type="spellEnd"/>
      <w:r w:rsidRPr="00280CB2">
        <w:t xml:space="preserve">, N. (2020). </w:t>
      </w:r>
      <w:proofErr w:type="spellStart"/>
      <w:r w:rsidRPr="00280CB2">
        <w:t>Engaging</w:t>
      </w:r>
      <w:proofErr w:type="spellEnd"/>
      <w:r w:rsidRPr="00280CB2">
        <w:t xml:space="preserve"> </w:t>
      </w:r>
      <w:proofErr w:type="spellStart"/>
      <w:r w:rsidRPr="00280CB2">
        <w:t>children</w:t>
      </w:r>
      <w:proofErr w:type="spellEnd"/>
      <w:r w:rsidRPr="00280CB2">
        <w:t xml:space="preserve"> in </w:t>
      </w:r>
      <w:proofErr w:type="spellStart"/>
      <w:r w:rsidRPr="00280CB2">
        <w:t>psychodrama</w:t>
      </w:r>
      <w:proofErr w:type="spellEnd"/>
      <w:r w:rsidRPr="00280CB2">
        <w:t xml:space="preserve">: </w:t>
      </w:r>
      <w:proofErr w:type="spellStart"/>
      <w:r w:rsidRPr="00280CB2">
        <w:t>Appropriateness</w:t>
      </w:r>
      <w:proofErr w:type="spellEnd"/>
      <w:r w:rsidRPr="00280CB2">
        <w:t xml:space="preserve"> of </w:t>
      </w:r>
      <w:proofErr w:type="spellStart"/>
      <w:r w:rsidRPr="00280CB2">
        <w:t>technique</w:t>
      </w:r>
      <w:proofErr w:type="spellEnd"/>
      <w:r w:rsidRPr="00280CB2">
        <w:t xml:space="preserve"> </w:t>
      </w:r>
      <w:proofErr w:type="spellStart"/>
      <w:r w:rsidRPr="00280CB2">
        <w:t>to</w:t>
      </w:r>
      <w:proofErr w:type="spellEnd"/>
      <w:r w:rsidRPr="00280CB2">
        <w:t xml:space="preserve"> </w:t>
      </w:r>
      <w:proofErr w:type="spellStart"/>
      <w:r w:rsidRPr="00280CB2">
        <w:t>child</w:t>
      </w:r>
      <w:proofErr w:type="spellEnd"/>
      <w:r w:rsidRPr="00280CB2">
        <w:t xml:space="preserve"> </w:t>
      </w:r>
      <w:proofErr w:type="spellStart"/>
      <w:r w:rsidRPr="00280CB2">
        <w:t>development</w:t>
      </w:r>
      <w:proofErr w:type="spellEnd"/>
      <w:r w:rsidRPr="00280CB2">
        <w:t xml:space="preserve">. Forum: </w:t>
      </w:r>
      <w:proofErr w:type="spellStart"/>
      <w:r w:rsidRPr="00280CB2">
        <w:t>Journal</w:t>
      </w:r>
      <w:proofErr w:type="spellEnd"/>
      <w:r w:rsidRPr="00280CB2">
        <w:t xml:space="preserve"> of </w:t>
      </w:r>
      <w:proofErr w:type="spellStart"/>
      <w:r w:rsidRPr="00280CB2">
        <w:t>the</w:t>
      </w:r>
      <w:proofErr w:type="spellEnd"/>
      <w:r w:rsidRPr="00280CB2">
        <w:t xml:space="preserve"> International </w:t>
      </w:r>
      <w:proofErr w:type="spellStart"/>
      <w:r w:rsidRPr="00280CB2">
        <w:t>Association</w:t>
      </w:r>
      <w:proofErr w:type="spellEnd"/>
      <w:r w:rsidRPr="00280CB2">
        <w:t xml:space="preserve"> </w:t>
      </w:r>
      <w:proofErr w:type="spellStart"/>
      <w:r w:rsidRPr="00280CB2">
        <w:t>for</w:t>
      </w:r>
      <w:proofErr w:type="spellEnd"/>
      <w:r w:rsidRPr="00280CB2">
        <w:t xml:space="preserve"> </w:t>
      </w:r>
      <w:proofErr w:type="spellStart"/>
      <w:r w:rsidRPr="00280CB2">
        <w:t>Group</w:t>
      </w:r>
      <w:proofErr w:type="spellEnd"/>
      <w:r w:rsidRPr="00280CB2">
        <w:t xml:space="preserve"> </w:t>
      </w:r>
      <w:proofErr w:type="spellStart"/>
      <w:r w:rsidRPr="00280CB2">
        <w:t>Psychotherapy</w:t>
      </w:r>
      <w:proofErr w:type="spellEnd"/>
      <w:r w:rsidRPr="00280CB2">
        <w:t xml:space="preserve"> </w:t>
      </w:r>
      <w:proofErr w:type="spellStart"/>
      <w:r w:rsidRPr="00280CB2">
        <w:t>and</w:t>
      </w:r>
      <w:proofErr w:type="spellEnd"/>
      <w:r w:rsidRPr="00280CB2">
        <w:t xml:space="preserve"> </w:t>
      </w:r>
      <w:proofErr w:type="spellStart"/>
      <w:r w:rsidRPr="00280CB2">
        <w:t>Group</w:t>
      </w:r>
      <w:proofErr w:type="spellEnd"/>
      <w:r w:rsidRPr="00280CB2">
        <w:t xml:space="preserve"> </w:t>
      </w:r>
      <w:proofErr w:type="spellStart"/>
      <w:r w:rsidRPr="00280CB2">
        <w:t>Processes</w:t>
      </w:r>
      <w:proofErr w:type="spellEnd"/>
      <w:r w:rsidRPr="00280CB2">
        <w:t>, 8(</w:t>
      </w:r>
      <w:proofErr w:type="spellStart"/>
      <w:r w:rsidRPr="00280CB2">
        <w:t>September</w:t>
      </w:r>
      <w:proofErr w:type="spellEnd"/>
      <w:r w:rsidRPr="00280CB2">
        <w:t>), 78–85.</w:t>
      </w:r>
    </w:p>
    <w:p w14:paraId="309654FC" w14:textId="77777777" w:rsidR="00FA457D" w:rsidRPr="00280CB2" w:rsidRDefault="00FA457D">
      <w:pPr>
        <w:pStyle w:val="ListeParagraf"/>
        <w:numPr>
          <w:ilvl w:val="0"/>
          <w:numId w:val="60"/>
        </w:numPr>
        <w:tabs>
          <w:tab w:val="left" w:pos="0"/>
        </w:tabs>
        <w:jc w:val="both"/>
      </w:pPr>
      <w:proofErr w:type="spellStart"/>
      <w:r w:rsidRPr="00280CB2">
        <w:t>Flick</w:t>
      </w:r>
      <w:proofErr w:type="spellEnd"/>
      <w:r w:rsidRPr="00280CB2">
        <w:t xml:space="preserve">, U. (2018). </w:t>
      </w:r>
      <w:proofErr w:type="spellStart"/>
      <w:r w:rsidRPr="00E359E0">
        <w:rPr>
          <w:i/>
        </w:rPr>
        <w:t>The</w:t>
      </w:r>
      <w:proofErr w:type="spellEnd"/>
      <w:r w:rsidRPr="00E359E0">
        <w:rPr>
          <w:i/>
        </w:rPr>
        <w:t xml:space="preserve"> </w:t>
      </w:r>
      <w:proofErr w:type="spellStart"/>
      <w:r w:rsidRPr="00E359E0">
        <w:rPr>
          <w:i/>
        </w:rPr>
        <w:t>Sage</w:t>
      </w:r>
      <w:proofErr w:type="spellEnd"/>
      <w:r w:rsidRPr="00E359E0">
        <w:rPr>
          <w:i/>
        </w:rPr>
        <w:t xml:space="preserve"> </w:t>
      </w:r>
      <w:proofErr w:type="spellStart"/>
      <w:r w:rsidRPr="00E359E0">
        <w:rPr>
          <w:i/>
        </w:rPr>
        <w:t>Handbook</w:t>
      </w:r>
      <w:proofErr w:type="spellEnd"/>
      <w:r w:rsidRPr="00E359E0">
        <w:rPr>
          <w:i/>
        </w:rPr>
        <w:t xml:space="preserve"> of </w:t>
      </w:r>
      <w:proofErr w:type="spellStart"/>
      <w:r w:rsidRPr="00E359E0">
        <w:rPr>
          <w:i/>
        </w:rPr>
        <w:t>Qualitative</w:t>
      </w:r>
      <w:proofErr w:type="spellEnd"/>
      <w:r w:rsidRPr="00E359E0">
        <w:rPr>
          <w:i/>
        </w:rPr>
        <w:t xml:space="preserve"> Data Analysis</w:t>
      </w:r>
      <w:r w:rsidRPr="00280CB2">
        <w:t xml:space="preserve">. </w:t>
      </w:r>
      <w:proofErr w:type="spellStart"/>
      <w:r w:rsidRPr="00280CB2">
        <w:t>Sage</w:t>
      </w:r>
      <w:proofErr w:type="spellEnd"/>
      <w:r w:rsidRPr="00280CB2">
        <w:t xml:space="preserve"> Publications.</w:t>
      </w:r>
    </w:p>
    <w:p w14:paraId="124709B6" w14:textId="77777777" w:rsidR="00FA457D" w:rsidRPr="00280CB2" w:rsidRDefault="00FA457D">
      <w:pPr>
        <w:pStyle w:val="ListeParagraf"/>
        <w:numPr>
          <w:ilvl w:val="0"/>
          <w:numId w:val="60"/>
        </w:numPr>
        <w:tabs>
          <w:tab w:val="left" w:pos="0"/>
        </w:tabs>
        <w:jc w:val="both"/>
      </w:pPr>
      <w:proofErr w:type="spellStart"/>
      <w:r w:rsidRPr="00280CB2">
        <w:t>Fong</w:t>
      </w:r>
      <w:proofErr w:type="spellEnd"/>
      <w:r w:rsidRPr="00280CB2">
        <w:t xml:space="preserve">, J. (2007). </w:t>
      </w:r>
      <w:proofErr w:type="spellStart"/>
      <w:r w:rsidRPr="00E359E0">
        <w:rPr>
          <w:i/>
        </w:rPr>
        <w:t>Psychodrama</w:t>
      </w:r>
      <w:proofErr w:type="spellEnd"/>
      <w:r w:rsidRPr="00E359E0">
        <w:rPr>
          <w:i/>
        </w:rPr>
        <w:t xml:space="preserve"> as a </w:t>
      </w:r>
      <w:proofErr w:type="spellStart"/>
      <w:r w:rsidRPr="00E359E0">
        <w:rPr>
          <w:i/>
        </w:rPr>
        <w:t>preventive</w:t>
      </w:r>
      <w:proofErr w:type="spellEnd"/>
      <w:r w:rsidRPr="00E359E0">
        <w:rPr>
          <w:i/>
        </w:rPr>
        <w:t xml:space="preserve"> </w:t>
      </w:r>
      <w:proofErr w:type="spellStart"/>
      <w:r w:rsidRPr="00E359E0">
        <w:rPr>
          <w:i/>
        </w:rPr>
        <w:t>measure</w:t>
      </w:r>
      <w:proofErr w:type="spellEnd"/>
      <w:r w:rsidRPr="00E359E0">
        <w:rPr>
          <w:i/>
        </w:rPr>
        <w:t xml:space="preserve">: </w:t>
      </w:r>
      <w:proofErr w:type="spellStart"/>
      <w:r w:rsidRPr="00E359E0">
        <w:rPr>
          <w:i/>
        </w:rPr>
        <w:t>Teenage</w:t>
      </w:r>
      <w:proofErr w:type="spellEnd"/>
      <w:r w:rsidRPr="00E359E0">
        <w:rPr>
          <w:i/>
        </w:rPr>
        <w:t xml:space="preserve"> </w:t>
      </w:r>
      <w:proofErr w:type="spellStart"/>
      <w:r w:rsidRPr="00E359E0">
        <w:rPr>
          <w:i/>
        </w:rPr>
        <w:t>girls</w:t>
      </w:r>
      <w:proofErr w:type="spellEnd"/>
      <w:r w:rsidRPr="00E359E0">
        <w:rPr>
          <w:i/>
        </w:rPr>
        <w:t xml:space="preserve"> </w:t>
      </w:r>
      <w:proofErr w:type="spellStart"/>
      <w:r w:rsidRPr="00E359E0">
        <w:rPr>
          <w:i/>
        </w:rPr>
        <w:t>confronting</w:t>
      </w:r>
      <w:proofErr w:type="spellEnd"/>
      <w:r w:rsidRPr="00E359E0">
        <w:rPr>
          <w:i/>
        </w:rPr>
        <w:t xml:space="preserve"> </w:t>
      </w:r>
      <w:proofErr w:type="spellStart"/>
      <w:r w:rsidRPr="00E359E0">
        <w:rPr>
          <w:i/>
        </w:rPr>
        <w:t>violence</w:t>
      </w:r>
      <w:proofErr w:type="spellEnd"/>
      <w:r w:rsidRPr="00280CB2">
        <w:t xml:space="preserve">. </w:t>
      </w:r>
      <w:proofErr w:type="spellStart"/>
      <w:r w:rsidRPr="00280CB2">
        <w:t>Heldref</w:t>
      </w:r>
      <w:proofErr w:type="spellEnd"/>
      <w:r w:rsidRPr="00280CB2">
        <w:t xml:space="preserve"> Publications.</w:t>
      </w:r>
    </w:p>
    <w:p w14:paraId="4A4C4D81" w14:textId="77777777" w:rsidR="00FA457D" w:rsidRPr="00280CB2" w:rsidRDefault="00FA457D">
      <w:pPr>
        <w:pStyle w:val="AklamaMetni"/>
        <w:numPr>
          <w:ilvl w:val="0"/>
          <w:numId w:val="60"/>
        </w:numPr>
        <w:tabs>
          <w:tab w:val="left" w:pos="0"/>
        </w:tabs>
        <w:rPr>
          <w:rFonts w:ascii="Times New Roman" w:hAnsi="Times New Roman" w:cs="Times New Roman"/>
          <w:sz w:val="24"/>
          <w:szCs w:val="24"/>
          <w:shd w:val="clear" w:color="auto" w:fill="FFFFFF"/>
        </w:rPr>
      </w:pPr>
      <w:proofErr w:type="spellStart"/>
      <w:r w:rsidRPr="00280CB2">
        <w:rPr>
          <w:rFonts w:ascii="Times New Roman" w:hAnsi="Times New Roman" w:cs="Times New Roman"/>
          <w:sz w:val="24"/>
          <w:szCs w:val="24"/>
          <w:shd w:val="clear" w:color="auto" w:fill="FFFFFF"/>
        </w:rPr>
        <w:t>Gatta</w:t>
      </w:r>
      <w:proofErr w:type="spellEnd"/>
      <w:r w:rsidRPr="00280CB2">
        <w:rPr>
          <w:rFonts w:ascii="Times New Roman" w:hAnsi="Times New Roman" w:cs="Times New Roman"/>
          <w:sz w:val="24"/>
          <w:szCs w:val="24"/>
          <w:shd w:val="clear" w:color="auto" w:fill="FFFFFF"/>
        </w:rPr>
        <w:t xml:space="preserve">, M., Andrea, S., Paolo, T. C., Giovanni, C., </w:t>
      </w:r>
      <w:proofErr w:type="spellStart"/>
      <w:r w:rsidRPr="00280CB2">
        <w:rPr>
          <w:rFonts w:ascii="Times New Roman" w:hAnsi="Times New Roman" w:cs="Times New Roman"/>
          <w:sz w:val="24"/>
          <w:szCs w:val="24"/>
          <w:shd w:val="clear" w:color="auto" w:fill="FFFFFF"/>
        </w:rPr>
        <w:t>Rosaria</w:t>
      </w:r>
      <w:proofErr w:type="spellEnd"/>
      <w:r w:rsidRPr="00280CB2">
        <w:rPr>
          <w:rFonts w:ascii="Times New Roman" w:hAnsi="Times New Roman" w:cs="Times New Roman"/>
          <w:sz w:val="24"/>
          <w:szCs w:val="24"/>
          <w:shd w:val="clear" w:color="auto" w:fill="FFFFFF"/>
        </w:rPr>
        <w:t xml:space="preserve">, S., Carolina, B., &amp; </w:t>
      </w:r>
      <w:proofErr w:type="spellStart"/>
      <w:r w:rsidRPr="00280CB2">
        <w:rPr>
          <w:rFonts w:ascii="Times New Roman" w:hAnsi="Times New Roman" w:cs="Times New Roman"/>
          <w:sz w:val="24"/>
          <w:szCs w:val="24"/>
          <w:shd w:val="clear" w:color="auto" w:fill="FFFFFF"/>
        </w:rPr>
        <w:t>PierAntonio</w:t>
      </w:r>
      <w:proofErr w:type="spellEnd"/>
      <w:r w:rsidRPr="00280CB2">
        <w:rPr>
          <w:rFonts w:ascii="Times New Roman" w:hAnsi="Times New Roman" w:cs="Times New Roman"/>
          <w:sz w:val="24"/>
          <w:szCs w:val="24"/>
          <w:shd w:val="clear" w:color="auto" w:fill="FFFFFF"/>
        </w:rPr>
        <w:t xml:space="preserve">, B. (2010). </w:t>
      </w:r>
      <w:proofErr w:type="spellStart"/>
      <w:r w:rsidRPr="00280CB2">
        <w:rPr>
          <w:rFonts w:ascii="Times New Roman" w:hAnsi="Times New Roman" w:cs="Times New Roman"/>
          <w:sz w:val="24"/>
          <w:szCs w:val="24"/>
          <w:shd w:val="clear" w:color="auto" w:fill="FFFFFF"/>
        </w:rPr>
        <w:t>Analytical</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psychodrama</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with</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adolescents</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suffering</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from</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psycho-behavioral</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disorder</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Short-term</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effects</w:t>
      </w:r>
      <w:proofErr w:type="spellEnd"/>
      <w:r w:rsidRPr="00280CB2">
        <w:rPr>
          <w:rFonts w:ascii="Times New Roman" w:hAnsi="Times New Roman" w:cs="Times New Roman"/>
          <w:sz w:val="24"/>
          <w:szCs w:val="24"/>
          <w:shd w:val="clear" w:color="auto" w:fill="FFFFFF"/>
        </w:rPr>
        <w:t xml:space="preserve"> on </w:t>
      </w:r>
      <w:proofErr w:type="spellStart"/>
      <w:r w:rsidRPr="00280CB2">
        <w:rPr>
          <w:rFonts w:ascii="Times New Roman" w:hAnsi="Times New Roman" w:cs="Times New Roman"/>
          <w:sz w:val="24"/>
          <w:szCs w:val="24"/>
          <w:shd w:val="clear" w:color="auto" w:fill="FFFFFF"/>
        </w:rPr>
        <w:t>psychiatric</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symptoms</w:t>
      </w:r>
      <w:proofErr w:type="spellEnd"/>
      <w:r w:rsidRPr="00280CB2">
        <w:rPr>
          <w:rFonts w:ascii="Times New Roman" w:hAnsi="Times New Roman" w:cs="Times New Roman"/>
          <w:sz w:val="24"/>
          <w:szCs w:val="24"/>
          <w:shd w:val="clear" w:color="auto" w:fill="FFFFFF"/>
        </w:rPr>
        <w:t>. </w:t>
      </w:r>
      <w:proofErr w:type="spellStart"/>
      <w:r w:rsidRPr="00280CB2">
        <w:rPr>
          <w:rFonts w:ascii="Times New Roman" w:hAnsi="Times New Roman" w:cs="Times New Roman"/>
          <w:i/>
          <w:iCs/>
          <w:sz w:val="24"/>
          <w:szCs w:val="24"/>
          <w:shd w:val="clear" w:color="auto" w:fill="FFFFFF"/>
        </w:rPr>
        <w:t>The</w:t>
      </w:r>
      <w:proofErr w:type="spellEnd"/>
      <w:r w:rsidRPr="00280CB2">
        <w:rPr>
          <w:rFonts w:ascii="Times New Roman" w:hAnsi="Times New Roman" w:cs="Times New Roman"/>
          <w:i/>
          <w:iCs/>
          <w:sz w:val="24"/>
          <w:szCs w:val="24"/>
          <w:shd w:val="clear" w:color="auto" w:fill="FFFFFF"/>
        </w:rPr>
        <w:t xml:space="preserve"> </w:t>
      </w:r>
      <w:proofErr w:type="spellStart"/>
      <w:r w:rsidRPr="00280CB2">
        <w:rPr>
          <w:rFonts w:ascii="Times New Roman" w:hAnsi="Times New Roman" w:cs="Times New Roman"/>
          <w:i/>
          <w:iCs/>
          <w:sz w:val="24"/>
          <w:szCs w:val="24"/>
          <w:shd w:val="clear" w:color="auto" w:fill="FFFFFF"/>
        </w:rPr>
        <w:t>Arts</w:t>
      </w:r>
      <w:proofErr w:type="spellEnd"/>
      <w:r w:rsidRPr="00280CB2">
        <w:rPr>
          <w:rFonts w:ascii="Times New Roman" w:hAnsi="Times New Roman" w:cs="Times New Roman"/>
          <w:i/>
          <w:iCs/>
          <w:sz w:val="24"/>
          <w:szCs w:val="24"/>
          <w:shd w:val="clear" w:color="auto" w:fill="FFFFFF"/>
        </w:rPr>
        <w:t xml:space="preserve"> in </w:t>
      </w:r>
      <w:proofErr w:type="spellStart"/>
      <w:r w:rsidRPr="00280CB2">
        <w:rPr>
          <w:rFonts w:ascii="Times New Roman" w:hAnsi="Times New Roman" w:cs="Times New Roman"/>
          <w:i/>
          <w:iCs/>
          <w:sz w:val="24"/>
          <w:szCs w:val="24"/>
          <w:shd w:val="clear" w:color="auto" w:fill="FFFFFF"/>
        </w:rPr>
        <w:t>psychotherapy</w:t>
      </w:r>
      <w:proofErr w:type="spellEnd"/>
      <w:r w:rsidRPr="00280CB2">
        <w:rPr>
          <w:rFonts w:ascii="Times New Roman" w:hAnsi="Times New Roman" w:cs="Times New Roman"/>
          <w:sz w:val="24"/>
          <w:szCs w:val="24"/>
          <w:shd w:val="clear" w:color="auto" w:fill="FFFFFF"/>
        </w:rPr>
        <w:t>, </w:t>
      </w:r>
      <w:r w:rsidRPr="00280CB2">
        <w:rPr>
          <w:rFonts w:ascii="Times New Roman" w:hAnsi="Times New Roman" w:cs="Times New Roman"/>
          <w:i/>
          <w:iCs/>
          <w:sz w:val="24"/>
          <w:szCs w:val="24"/>
          <w:shd w:val="clear" w:color="auto" w:fill="FFFFFF"/>
        </w:rPr>
        <w:t>37</w:t>
      </w:r>
      <w:r w:rsidRPr="00280CB2">
        <w:rPr>
          <w:rFonts w:ascii="Times New Roman" w:hAnsi="Times New Roman" w:cs="Times New Roman"/>
          <w:sz w:val="24"/>
          <w:szCs w:val="24"/>
          <w:shd w:val="clear" w:color="auto" w:fill="FFFFFF"/>
        </w:rPr>
        <w:t>(3), 240-247.</w:t>
      </w:r>
    </w:p>
    <w:p w14:paraId="6C462527" w14:textId="77777777" w:rsidR="00FA457D" w:rsidRPr="00280CB2" w:rsidRDefault="00FA457D">
      <w:pPr>
        <w:pStyle w:val="AklamaMetni"/>
        <w:numPr>
          <w:ilvl w:val="0"/>
          <w:numId w:val="60"/>
        </w:numPr>
        <w:tabs>
          <w:tab w:val="left" w:pos="0"/>
        </w:tabs>
        <w:rPr>
          <w:rFonts w:ascii="Times New Roman" w:hAnsi="Times New Roman" w:cs="Times New Roman"/>
          <w:sz w:val="24"/>
          <w:szCs w:val="24"/>
        </w:rPr>
      </w:pPr>
      <w:proofErr w:type="spellStart"/>
      <w:r w:rsidRPr="00280CB2">
        <w:rPr>
          <w:rFonts w:ascii="Times New Roman" w:hAnsi="Times New Roman" w:cs="Times New Roman"/>
          <w:sz w:val="24"/>
          <w:szCs w:val="24"/>
          <w:shd w:val="clear" w:color="auto" w:fill="FFFFFF"/>
        </w:rPr>
        <w:t>Gatta</w:t>
      </w:r>
      <w:proofErr w:type="spellEnd"/>
      <w:r w:rsidRPr="00280CB2">
        <w:rPr>
          <w:rFonts w:ascii="Times New Roman" w:hAnsi="Times New Roman" w:cs="Times New Roman"/>
          <w:sz w:val="24"/>
          <w:szCs w:val="24"/>
          <w:shd w:val="clear" w:color="auto" w:fill="FFFFFF"/>
        </w:rPr>
        <w:t xml:space="preserve">, M., Andrea, S., Paolo, T. C., Giovanni, C., </w:t>
      </w:r>
      <w:proofErr w:type="spellStart"/>
      <w:r w:rsidRPr="00280CB2">
        <w:rPr>
          <w:rFonts w:ascii="Times New Roman" w:hAnsi="Times New Roman" w:cs="Times New Roman"/>
          <w:sz w:val="24"/>
          <w:szCs w:val="24"/>
          <w:shd w:val="clear" w:color="auto" w:fill="FFFFFF"/>
        </w:rPr>
        <w:t>Rosaria</w:t>
      </w:r>
      <w:proofErr w:type="spellEnd"/>
      <w:r w:rsidRPr="00280CB2">
        <w:rPr>
          <w:rFonts w:ascii="Times New Roman" w:hAnsi="Times New Roman" w:cs="Times New Roman"/>
          <w:sz w:val="24"/>
          <w:szCs w:val="24"/>
          <w:shd w:val="clear" w:color="auto" w:fill="FFFFFF"/>
        </w:rPr>
        <w:t xml:space="preserve">, S., Carolina, B., &amp; </w:t>
      </w:r>
      <w:proofErr w:type="spellStart"/>
      <w:r w:rsidRPr="00280CB2">
        <w:rPr>
          <w:rFonts w:ascii="Times New Roman" w:hAnsi="Times New Roman" w:cs="Times New Roman"/>
          <w:sz w:val="24"/>
          <w:szCs w:val="24"/>
          <w:shd w:val="clear" w:color="auto" w:fill="FFFFFF"/>
        </w:rPr>
        <w:t>PierAntonio</w:t>
      </w:r>
      <w:proofErr w:type="spellEnd"/>
      <w:r w:rsidRPr="00280CB2">
        <w:rPr>
          <w:rFonts w:ascii="Times New Roman" w:hAnsi="Times New Roman" w:cs="Times New Roman"/>
          <w:sz w:val="24"/>
          <w:szCs w:val="24"/>
          <w:shd w:val="clear" w:color="auto" w:fill="FFFFFF"/>
        </w:rPr>
        <w:t xml:space="preserve">, B. (2010). </w:t>
      </w:r>
      <w:proofErr w:type="spellStart"/>
      <w:r w:rsidRPr="00280CB2">
        <w:rPr>
          <w:rFonts w:ascii="Times New Roman" w:hAnsi="Times New Roman" w:cs="Times New Roman"/>
          <w:sz w:val="24"/>
          <w:szCs w:val="24"/>
          <w:shd w:val="clear" w:color="auto" w:fill="FFFFFF"/>
        </w:rPr>
        <w:t>Analytical</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psychodrama</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with</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adolescents</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suffering</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from</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lastRenderedPageBreak/>
        <w:t>psycho-behavioral</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disorder</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Short-term</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effects</w:t>
      </w:r>
      <w:proofErr w:type="spellEnd"/>
      <w:r w:rsidRPr="00280CB2">
        <w:rPr>
          <w:rFonts w:ascii="Times New Roman" w:hAnsi="Times New Roman" w:cs="Times New Roman"/>
          <w:sz w:val="24"/>
          <w:szCs w:val="24"/>
          <w:shd w:val="clear" w:color="auto" w:fill="FFFFFF"/>
        </w:rPr>
        <w:t xml:space="preserve"> on </w:t>
      </w:r>
      <w:proofErr w:type="spellStart"/>
      <w:r w:rsidRPr="00280CB2">
        <w:rPr>
          <w:rFonts w:ascii="Times New Roman" w:hAnsi="Times New Roman" w:cs="Times New Roman"/>
          <w:sz w:val="24"/>
          <w:szCs w:val="24"/>
          <w:shd w:val="clear" w:color="auto" w:fill="FFFFFF"/>
        </w:rPr>
        <w:t>psychiatric</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symptoms</w:t>
      </w:r>
      <w:proofErr w:type="spellEnd"/>
      <w:r w:rsidRPr="00280CB2">
        <w:rPr>
          <w:rFonts w:ascii="Times New Roman" w:hAnsi="Times New Roman" w:cs="Times New Roman"/>
          <w:sz w:val="24"/>
          <w:szCs w:val="24"/>
          <w:shd w:val="clear" w:color="auto" w:fill="FFFFFF"/>
        </w:rPr>
        <w:t>. </w:t>
      </w:r>
      <w:proofErr w:type="spellStart"/>
      <w:r w:rsidRPr="00280CB2">
        <w:rPr>
          <w:rFonts w:ascii="Times New Roman" w:hAnsi="Times New Roman" w:cs="Times New Roman"/>
          <w:i/>
          <w:iCs/>
          <w:sz w:val="24"/>
          <w:szCs w:val="24"/>
          <w:shd w:val="clear" w:color="auto" w:fill="FFFFFF"/>
        </w:rPr>
        <w:t>The</w:t>
      </w:r>
      <w:proofErr w:type="spellEnd"/>
      <w:r w:rsidRPr="00280CB2">
        <w:rPr>
          <w:rFonts w:ascii="Times New Roman" w:hAnsi="Times New Roman" w:cs="Times New Roman"/>
          <w:i/>
          <w:iCs/>
          <w:sz w:val="24"/>
          <w:szCs w:val="24"/>
          <w:shd w:val="clear" w:color="auto" w:fill="FFFFFF"/>
        </w:rPr>
        <w:t xml:space="preserve"> </w:t>
      </w:r>
      <w:proofErr w:type="spellStart"/>
      <w:r w:rsidRPr="00280CB2">
        <w:rPr>
          <w:rFonts w:ascii="Times New Roman" w:hAnsi="Times New Roman" w:cs="Times New Roman"/>
          <w:i/>
          <w:iCs/>
          <w:sz w:val="24"/>
          <w:szCs w:val="24"/>
          <w:shd w:val="clear" w:color="auto" w:fill="FFFFFF"/>
        </w:rPr>
        <w:t>Arts</w:t>
      </w:r>
      <w:proofErr w:type="spellEnd"/>
      <w:r w:rsidRPr="00280CB2">
        <w:rPr>
          <w:rFonts w:ascii="Times New Roman" w:hAnsi="Times New Roman" w:cs="Times New Roman"/>
          <w:i/>
          <w:iCs/>
          <w:sz w:val="24"/>
          <w:szCs w:val="24"/>
          <w:shd w:val="clear" w:color="auto" w:fill="FFFFFF"/>
        </w:rPr>
        <w:t xml:space="preserve"> in </w:t>
      </w:r>
      <w:proofErr w:type="spellStart"/>
      <w:r w:rsidRPr="00280CB2">
        <w:rPr>
          <w:rFonts w:ascii="Times New Roman" w:hAnsi="Times New Roman" w:cs="Times New Roman"/>
          <w:i/>
          <w:iCs/>
          <w:sz w:val="24"/>
          <w:szCs w:val="24"/>
          <w:shd w:val="clear" w:color="auto" w:fill="FFFFFF"/>
        </w:rPr>
        <w:t>psychotherapy</w:t>
      </w:r>
      <w:proofErr w:type="spellEnd"/>
      <w:r w:rsidRPr="00280CB2">
        <w:rPr>
          <w:rFonts w:ascii="Times New Roman" w:hAnsi="Times New Roman" w:cs="Times New Roman"/>
          <w:sz w:val="24"/>
          <w:szCs w:val="24"/>
          <w:shd w:val="clear" w:color="auto" w:fill="FFFFFF"/>
        </w:rPr>
        <w:t>, </w:t>
      </w:r>
      <w:r w:rsidRPr="00280CB2">
        <w:rPr>
          <w:rFonts w:ascii="Times New Roman" w:hAnsi="Times New Roman" w:cs="Times New Roman"/>
          <w:i/>
          <w:iCs/>
          <w:sz w:val="24"/>
          <w:szCs w:val="24"/>
          <w:shd w:val="clear" w:color="auto" w:fill="FFFFFF"/>
        </w:rPr>
        <w:t>37</w:t>
      </w:r>
      <w:r w:rsidRPr="00280CB2">
        <w:rPr>
          <w:rFonts w:ascii="Times New Roman" w:hAnsi="Times New Roman" w:cs="Times New Roman"/>
          <w:sz w:val="24"/>
          <w:szCs w:val="24"/>
          <w:shd w:val="clear" w:color="auto" w:fill="FFFFFF"/>
        </w:rPr>
        <w:t>(3), 240-247.</w:t>
      </w:r>
    </w:p>
    <w:p w14:paraId="5A0C3A75"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color w:val="auto"/>
          <w:sz w:val="24"/>
          <w:szCs w:val="24"/>
        </w:rPr>
      </w:pPr>
      <w:r w:rsidRPr="00280CB2">
        <w:rPr>
          <w:rStyle w:val="Gl"/>
          <w:rFonts w:ascii="Times New Roman" w:hAnsi="Times New Roman" w:cs="Times New Roman"/>
          <w:color w:val="auto"/>
          <w:sz w:val="24"/>
          <w:szCs w:val="24"/>
        </w:rPr>
        <w:t xml:space="preserve">Gedik, Z., Gökkaya, F., &amp; </w:t>
      </w:r>
      <w:proofErr w:type="spellStart"/>
      <w:r w:rsidRPr="00280CB2">
        <w:rPr>
          <w:rStyle w:val="Gl"/>
          <w:rFonts w:ascii="Times New Roman" w:hAnsi="Times New Roman" w:cs="Times New Roman"/>
          <w:color w:val="auto"/>
          <w:sz w:val="24"/>
          <w:szCs w:val="24"/>
        </w:rPr>
        <w:t>Tekinsav</w:t>
      </w:r>
      <w:proofErr w:type="spellEnd"/>
      <w:r w:rsidRPr="00280CB2">
        <w:rPr>
          <w:rStyle w:val="Gl"/>
          <w:rFonts w:ascii="Times New Roman" w:hAnsi="Times New Roman" w:cs="Times New Roman"/>
          <w:color w:val="auto"/>
          <w:sz w:val="24"/>
          <w:szCs w:val="24"/>
        </w:rPr>
        <w:t xml:space="preserve"> </w:t>
      </w:r>
      <w:proofErr w:type="spellStart"/>
      <w:r w:rsidRPr="00280CB2">
        <w:rPr>
          <w:rStyle w:val="Gl"/>
          <w:rFonts w:ascii="Times New Roman" w:hAnsi="Times New Roman" w:cs="Times New Roman"/>
          <w:color w:val="auto"/>
          <w:sz w:val="24"/>
          <w:szCs w:val="24"/>
        </w:rPr>
        <w:t>Sütcü</w:t>
      </w:r>
      <w:proofErr w:type="spellEnd"/>
      <w:r w:rsidRPr="00280CB2">
        <w:rPr>
          <w:rStyle w:val="Gl"/>
          <w:rFonts w:ascii="Times New Roman" w:hAnsi="Times New Roman" w:cs="Times New Roman"/>
          <w:color w:val="auto"/>
          <w:sz w:val="24"/>
          <w:szCs w:val="24"/>
        </w:rPr>
        <w:t>, S.</w:t>
      </w:r>
      <w:r w:rsidRPr="00280CB2">
        <w:rPr>
          <w:rFonts w:ascii="Times New Roman" w:hAnsi="Times New Roman" w:cs="Times New Roman"/>
          <w:color w:val="auto"/>
          <w:sz w:val="24"/>
          <w:szCs w:val="24"/>
        </w:rPr>
        <w:t xml:space="preserve"> (2018). Kaygılı çocuklara yönelik okul temelli bir bilişsel davranışçı grup terapisi programının etkililiği: Pilot bir çalışma. </w:t>
      </w:r>
      <w:r w:rsidRPr="00280CB2">
        <w:rPr>
          <w:rStyle w:val="Vurgu"/>
          <w:rFonts w:ascii="Times New Roman" w:hAnsi="Times New Roman" w:cs="Times New Roman"/>
          <w:color w:val="auto"/>
          <w:sz w:val="24"/>
          <w:szCs w:val="24"/>
        </w:rPr>
        <w:t>Uludağ Üniversitesi Fen-Edebiyat Fakültesi Sosyal Bilimler Dergisi, 19</w:t>
      </w:r>
      <w:r w:rsidRPr="00280CB2">
        <w:rPr>
          <w:rFonts w:ascii="Times New Roman" w:hAnsi="Times New Roman" w:cs="Times New Roman"/>
          <w:color w:val="auto"/>
          <w:sz w:val="24"/>
          <w:szCs w:val="24"/>
        </w:rPr>
        <w:t xml:space="preserve">(3), 91-121. </w:t>
      </w:r>
      <w:hyperlink r:id="rId323" w:history="1">
        <w:r w:rsidRPr="00280CB2">
          <w:rPr>
            <w:rStyle w:val="Kpr"/>
            <w:rFonts w:ascii="Times New Roman" w:hAnsi="Times New Roman" w:cs="Times New Roman"/>
            <w:color w:val="auto"/>
            <w:sz w:val="24"/>
            <w:szCs w:val="24"/>
          </w:rPr>
          <w:t>https://doi.org/10.21550/sosbilder.336670</w:t>
        </w:r>
      </w:hyperlink>
    </w:p>
    <w:p w14:paraId="222B8CEC" w14:textId="77777777" w:rsidR="00FA457D" w:rsidRPr="00280CB2" w:rsidRDefault="00FA457D">
      <w:pPr>
        <w:pStyle w:val="ListeParagraf"/>
        <w:numPr>
          <w:ilvl w:val="0"/>
          <w:numId w:val="60"/>
        </w:numPr>
        <w:tabs>
          <w:tab w:val="left" w:pos="0"/>
        </w:tabs>
        <w:jc w:val="both"/>
      </w:pPr>
      <w:r w:rsidRPr="00280CB2">
        <w:t xml:space="preserve">Gökkaya F, </w:t>
      </w:r>
      <w:proofErr w:type="spellStart"/>
      <w:r w:rsidRPr="00280CB2">
        <w:t>Özdel</w:t>
      </w:r>
      <w:proofErr w:type="spellEnd"/>
      <w:r w:rsidRPr="00280CB2">
        <w:t xml:space="preserve"> O. Rehber öğretmenlerin mesleksel tükenmişliğini azaltmada psikodramanın etkinliği. Anadolu Psikiyatri Dergisi. 2016; 17(5): 354-361.</w:t>
      </w:r>
    </w:p>
    <w:p w14:paraId="7BC9FB38" w14:textId="77777777" w:rsidR="00FA457D" w:rsidRPr="00280CB2" w:rsidRDefault="00FA457D">
      <w:pPr>
        <w:pStyle w:val="ListeParagraf"/>
        <w:numPr>
          <w:ilvl w:val="0"/>
          <w:numId w:val="60"/>
        </w:numPr>
        <w:tabs>
          <w:tab w:val="left" w:pos="0"/>
        </w:tabs>
        <w:jc w:val="both"/>
      </w:pPr>
      <w:r w:rsidRPr="00280CB2">
        <w:t xml:space="preserve">Görkem, A., &amp; Tüccar, L. (2018). Psikodramanın üniversite öğrencilerinin kaygı düzeylerine etkisi. </w:t>
      </w:r>
      <w:proofErr w:type="spellStart"/>
      <w:r w:rsidRPr="00E359E0">
        <w:rPr>
          <w:rStyle w:val="Vurgu"/>
          <w:rFonts w:eastAsiaTheme="majorEastAsia"/>
        </w:rPr>
        <w:t>Journal</w:t>
      </w:r>
      <w:proofErr w:type="spellEnd"/>
      <w:r w:rsidRPr="00E359E0">
        <w:rPr>
          <w:rStyle w:val="Vurgu"/>
          <w:rFonts w:eastAsiaTheme="majorEastAsia"/>
        </w:rPr>
        <w:t xml:space="preserve"> of </w:t>
      </w:r>
      <w:proofErr w:type="spellStart"/>
      <w:r w:rsidRPr="00E359E0">
        <w:rPr>
          <w:rStyle w:val="Vurgu"/>
          <w:rFonts w:eastAsiaTheme="majorEastAsia"/>
        </w:rPr>
        <w:t>Turkish</w:t>
      </w:r>
      <w:proofErr w:type="spellEnd"/>
      <w:r w:rsidRPr="00E359E0">
        <w:rPr>
          <w:rStyle w:val="Vurgu"/>
          <w:rFonts w:eastAsiaTheme="majorEastAsia"/>
        </w:rPr>
        <w:t xml:space="preserve"> </w:t>
      </w:r>
      <w:proofErr w:type="spellStart"/>
      <w:r w:rsidRPr="00E359E0">
        <w:rPr>
          <w:rStyle w:val="Vurgu"/>
          <w:rFonts w:eastAsiaTheme="majorEastAsia"/>
        </w:rPr>
        <w:t>Studies</w:t>
      </w:r>
      <w:proofErr w:type="spellEnd"/>
      <w:r w:rsidRPr="00E359E0">
        <w:rPr>
          <w:rStyle w:val="Vurgu"/>
          <w:rFonts w:eastAsiaTheme="majorEastAsia"/>
        </w:rPr>
        <w:t>, 13</w:t>
      </w:r>
      <w:r w:rsidRPr="00280CB2">
        <w:t>(4), 599-620. https://doi.org/10.7827/TurkishStudies.12737 Görkem &amp; Tüccar, 2018</w:t>
      </w:r>
    </w:p>
    <w:p w14:paraId="0EB78A1C" w14:textId="77777777" w:rsidR="00FA457D" w:rsidRPr="00280CB2" w:rsidRDefault="00FA457D">
      <w:pPr>
        <w:pStyle w:val="ListeParagraf"/>
        <w:numPr>
          <w:ilvl w:val="0"/>
          <w:numId w:val="60"/>
        </w:numPr>
        <w:tabs>
          <w:tab w:val="left" w:pos="0"/>
        </w:tabs>
        <w:jc w:val="both"/>
      </w:pPr>
      <w:proofErr w:type="spellStart"/>
      <w:r w:rsidRPr="00280CB2">
        <w:t>Göveç</w:t>
      </w:r>
      <w:proofErr w:type="spellEnd"/>
      <w:r w:rsidRPr="00280CB2">
        <w:t xml:space="preserve"> Taşpınar, N., &amp; </w:t>
      </w:r>
      <w:proofErr w:type="spellStart"/>
      <w:r w:rsidRPr="00280CB2">
        <w:t>Başgül</w:t>
      </w:r>
      <w:proofErr w:type="spellEnd"/>
      <w:r w:rsidRPr="00280CB2">
        <w:t xml:space="preserve">, Ş. S. (2017). Psikodrama ve bilişsel davranışçı terapi yöntemi ile grup çalışmasının sınav kaygısı üzerindeki etkileri. </w:t>
      </w:r>
      <w:r w:rsidRPr="00E359E0">
        <w:rPr>
          <w:i/>
        </w:rPr>
        <w:t>Bilişsel Davranışçı Psikoterapi ve Araştırmalar Dergisi</w:t>
      </w:r>
      <w:r w:rsidRPr="00280CB2">
        <w:t>, 5(1), 1-5.</w:t>
      </w:r>
    </w:p>
    <w:p w14:paraId="323A03E7"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color w:val="auto"/>
          <w:sz w:val="24"/>
          <w:szCs w:val="24"/>
        </w:rPr>
      </w:pPr>
      <w:r w:rsidRPr="00280CB2">
        <w:rPr>
          <w:rStyle w:val="Gl"/>
          <w:rFonts w:ascii="Times New Roman" w:hAnsi="Times New Roman" w:cs="Times New Roman"/>
          <w:color w:val="auto"/>
          <w:sz w:val="24"/>
          <w:szCs w:val="24"/>
        </w:rPr>
        <w:t xml:space="preserve">Gülay </w:t>
      </w:r>
      <w:proofErr w:type="spellStart"/>
      <w:r w:rsidRPr="00280CB2">
        <w:rPr>
          <w:rStyle w:val="Gl"/>
          <w:rFonts w:ascii="Times New Roman" w:hAnsi="Times New Roman" w:cs="Times New Roman"/>
          <w:color w:val="auto"/>
          <w:sz w:val="24"/>
          <w:szCs w:val="24"/>
        </w:rPr>
        <w:t>Ogelman</w:t>
      </w:r>
      <w:proofErr w:type="spellEnd"/>
      <w:r w:rsidRPr="00280CB2">
        <w:rPr>
          <w:rStyle w:val="Gl"/>
          <w:rFonts w:ascii="Times New Roman" w:hAnsi="Times New Roman" w:cs="Times New Roman"/>
          <w:color w:val="auto"/>
          <w:sz w:val="24"/>
          <w:szCs w:val="24"/>
        </w:rPr>
        <w:t>, H., &amp; Çiftçi Topaloğlu, Z.</w:t>
      </w:r>
      <w:r w:rsidRPr="00280CB2">
        <w:rPr>
          <w:rFonts w:ascii="Times New Roman" w:hAnsi="Times New Roman" w:cs="Times New Roman"/>
          <w:color w:val="auto"/>
          <w:sz w:val="24"/>
          <w:szCs w:val="24"/>
        </w:rPr>
        <w:t xml:space="preserve"> (2014). 4-5 yaş çocuklarının sosyal yetkinlik, saldırganlık, kaygı düzeyleri ile anne-babalarının ebeveyn özyeterliği algısı arasındaki ilişkilerin incelenmesi. </w:t>
      </w:r>
      <w:r w:rsidRPr="00280CB2">
        <w:rPr>
          <w:rStyle w:val="Vurgu"/>
          <w:rFonts w:ascii="Times New Roman" w:hAnsi="Times New Roman" w:cs="Times New Roman"/>
          <w:color w:val="auto"/>
          <w:sz w:val="24"/>
          <w:szCs w:val="24"/>
        </w:rPr>
        <w:t>Abant İzzet Baysal Üniversitesi Eğitim Fakültesi Dergisi, 14</w:t>
      </w:r>
      <w:r w:rsidRPr="00280CB2">
        <w:rPr>
          <w:rFonts w:ascii="Times New Roman" w:hAnsi="Times New Roman" w:cs="Times New Roman"/>
          <w:color w:val="auto"/>
          <w:sz w:val="24"/>
          <w:szCs w:val="24"/>
        </w:rPr>
        <w:t>(1), 241-271. https://doi.org/10.17240/aibuefd.2014.14-1-5000091511</w:t>
      </w:r>
    </w:p>
    <w:p w14:paraId="76B48371" w14:textId="77777777" w:rsidR="00FA457D" w:rsidRPr="00280CB2" w:rsidRDefault="00FA457D">
      <w:pPr>
        <w:pStyle w:val="ListeParagraf"/>
        <w:numPr>
          <w:ilvl w:val="0"/>
          <w:numId w:val="60"/>
        </w:numPr>
        <w:tabs>
          <w:tab w:val="left" w:pos="0"/>
        </w:tabs>
        <w:jc w:val="both"/>
      </w:pPr>
      <w:r w:rsidRPr="00280CB2">
        <w:t xml:space="preserve">Gürgan, U. (2020). </w:t>
      </w:r>
      <w:proofErr w:type="spellStart"/>
      <w:r w:rsidRPr="00280CB2">
        <w:t>The</w:t>
      </w:r>
      <w:proofErr w:type="spellEnd"/>
      <w:r w:rsidRPr="00280CB2">
        <w:t xml:space="preserve"> </w:t>
      </w:r>
      <w:proofErr w:type="spellStart"/>
      <w:r w:rsidRPr="00280CB2">
        <w:t>effect</w:t>
      </w:r>
      <w:proofErr w:type="spellEnd"/>
      <w:r w:rsidRPr="00280CB2">
        <w:t xml:space="preserve"> of </w:t>
      </w:r>
      <w:proofErr w:type="spellStart"/>
      <w:r w:rsidRPr="00280CB2">
        <w:t>psychodrama</w:t>
      </w:r>
      <w:proofErr w:type="spellEnd"/>
      <w:r w:rsidRPr="00280CB2">
        <w:t xml:space="preserve"> </w:t>
      </w:r>
      <w:proofErr w:type="spellStart"/>
      <w:r w:rsidRPr="00280CB2">
        <w:t>integrated</w:t>
      </w:r>
      <w:proofErr w:type="spellEnd"/>
      <w:r w:rsidRPr="00280CB2">
        <w:t xml:space="preserve"> </w:t>
      </w:r>
      <w:proofErr w:type="spellStart"/>
      <w:r w:rsidRPr="00280CB2">
        <w:t>psycho-education</w:t>
      </w:r>
      <w:proofErr w:type="spellEnd"/>
      <w:r w:rsidRPr="00280CB2">
        <w:t xml:space="preserve"> program on </w:t>
      </w:r>
      <w:proofErr w:type="spellStart"/>
      <w:r w:rsidRPr="00280CB2">
        <w:t>resilience</w:t>
      </w:r>
      <w:proofErr w:type="spellEnd"/>
      <w:r w:rsidRPr="00280CB2">
        <w:t xml:space="preserve"> </w:t>
      </w:r>
      <w:proofErr w:type="spellStart"/>
      <w:r w:rsidRPr="00280CB2">
        <w:t>and</w:t>
      </w:r>
      <w:proofErr w:type="spellEnd"/>
      <w:r w:rsidRPr="00280CB2">
        <w:t xml:space="preserve"> </w:t>
      </w:r>
      <w:proofErr w:type="spellStart"/>
      <w:r w:rsidRPr="00280CB2">
        <w:t>divorce</w:t>
      </w:r>
      <w:proofErr w:type="spellEnd"/>
      <w:r w:rsidRPr="00280CB2">
        <w:t xml:space="preserve"> </w:t>
      </w:r>
      <w:proofErr w:type="spellStart"/>
      <w:r w:rsidRPr="00280CB2">
        <w:t>adjustment</w:t>
      </w:r>
      <w:proofErr w:type="spellEnd"/>
      <w:r w:rsidRPr="00280CB2">
        <w:t xml:space="preserve"> of </w:t>
      </w:r>
      <w:proofErr w:type="spellStart"/>
      <w:r w:rsidRPr="00280CB2">
        <w:t>children</w:t>
      </w:r>
      <w:proofErr w:type="spellEnd"/>
      <w:r w:rsidRPr="00280CB2">
        <w:t xml:space="preserve"> of </w:t>
      </w:r>
      <w:proofErr w:type="spellStart"/>
      <w:r w:rsidRPr="00280CB2">
        <w:t>divorced</w:t>
      </w:r>
      <w:proofErr w:type="spellEnd"/>
      <w:r w:rsidRPr="00280CB2">
        <w:t xml:space="preserve"> </w:t>
      </w:r>
      <w:proofErr w:type="spellStart"/>
      <w:r w:rsidRPr="00280CB2">
        <w:t>families</w:t>
      </w:r>
      <w:proofErr w:type="spellEnd"/>
      <w:r w:rsidRPr="00280CB2">
        <w:t xml:space="preserve">. World </w:t>
      </w:r>
      <w:proofErr w:type="spellStart"/>
      <w:r w:rsidRPr="00280CB2">
        <w:t>Journal</w:t>
      </w:r>
      <w:proofErr w:type="spellEnd"/>
      <w:r w:rsidRPr="00280CB2">
        <w:t xml:space="preserve"> of </w:t>
      </w:r>
      <w:proofErr w:type="spellStart"/>
      <w:r w:rsidRPr="00280CB2">
        <w:t>Education</w:t>
      </w:r>
      <w:proofErr w:type="spellEnd"/>
      <w:r w:rsidRPr="00280CB2">
        <w:t xml:space="preserve">, 10(1), 56-68. https://doi.org/10.5430/ </w:t>
      </w:r>
      <w:proofErr w:type="gramStart"/>
      <w:r w:rsidRPr="00280CB2">
        <w:t>wje.v</w:t>
      </w:r>
      <w:proofErr w:type="gramEnd"/>
      <w:r w:rsidRPr="00280CB2">
        <w:t>10n1p56</w:t>
      </w:r>
    </w:p>
    <w:p w14:paraId="06236DAE" w14:textId="77777777" w:rsidR="00FA457D" w:rsidRPr="00E359E0" w:rsidRDefault="00FA457D">
      <w:pPr>
        <w:pStyle w:val="ListeParagraf"/>
        <w:numPr>
          <w:ilvl w:val="0"/>
          <w:numId w:val="60"/>
        </w:numPr>
        <w:tabs>
          <w:tab w:val="left" w:pos="0"/>
        </w:tabs>
        <w:jc w:val="both"/>
        <w:rPr>
          <w:u w:val="single"/>
        </w:rPr>
      </w:pPr>
      <w:proofErr w:type="spellStart"/>
      <w:r w:rsidRPr="00280CB2">
        <w:t>Hamamci</w:t>
      </w:r>
      <w:proofErr w:type="spellEnd"/>
      <w:r w:rsidRPr="00280CB2">
        <w:t xml:space="preserve">, Z. (2006). </w:t>
      </w:r>
      <w:proofErr w:type="spellStart"/>
      <w:r w:rsidRPr="00280CB2">
        <w:t>Integrating</w:t>
      </w:r>
      <w:proofErr w:type="spellEnd"/>
      <w:r w:rsidRPr="00280CB2">
        <w:t xml:space="preserve"> </w:t>
      </w:r>
      <w:proofErr w:type="spellStart"/>
      <w:r w:rsidRPr="00280CB2">
        <w:t>psychodrama</w:t>
      </w:r>
      <w:proofErr w:type="spellEnd"/>
      <w:r w:rsidRPr="00280CB2">
        <w:t xml:space="preserve"> </w:t>
      </w:r>
      <w:proofErr w:type="spellStart"/>
      <w:r w:rsidRPr="00280CB2">
        <w:t>and</w:t>
      </w:r>
      <w:proofErr w:type="spellEnd"/>
      <w:r w:rsidRPr="00280CB2">
        <w:t xml:space="preserve"> </w:t>
      </w:r>
      <w:proofErr w:type="spellStart"/>
      <w:r w:rsidRPr="00280CB2">
        <w:t>cognitive</w:t>
      </w:r>
      <w:proofErr w:type="spellEnd"/>
      <w:r w:rsidRPr="00280CB2">
        <w:t xml:space="preserve"> </w:t>
      </w:r>
      <w:proofErr w:type="spellStart"/>
      <w:r w:rsidRPr="00280CB2">
        <w:t>behavioral</w:t>
      </w:r>
      <w:proofErr w:type="spellEnd"/>
      <w:r w:rsidRPr="00280CB2">
        <w:t xml:space="preserve"> </w:t>
      </w:r>
      <w:proofErr w:type="spellStart"/>
      <w:r w:rsidRPr="00280CB2">
        <w:t>therapy</w:t>
      </w:r>
      <w:proofErr w:type="spellEnd"/>
      <w:r w:rsidRPr="00280CB2">
        <w:t xml:space="preserve"> </w:t>
      </w:r>
      <w:proofErr w:type="spellStart"/>
      <w:r w:rsidRPr="00280CB2">
        <w:t>to</w:t>
      </w:r>
      <w:proofErr w:type="spellEnd"/>
      <w:r w:rsidRPr="00280CB2">
        <w:t xml:space="preserve"> </w:t>
      </w:r>
      <w:proofErr w:type="spellStart"/>
      <w:r w:rsidRPr="00280CB2">
        <w:t>treat</w:t>
      </w:r>
      <w:proofErr w:type="spellEnd"/>
      <w:r w:rsidRPr="00280CB2">
        <w:t xml:space="preserve"> </w:t>
      </w:r>
      <w:proofErr w:type="spellStart"/>
      <w:r w:rsidRPr="00280CB2">
        <w:t>moderate</w:t>
      </w:r>
      <w:proofErr w:type="spellEnd"/>
      <w:r w:rsidRPr="00280CB2">
        <w:t xml:space="preserve"> </w:t>
      </w:r>
      <w:proofErr w:type="spellStart"/>
      <w:r w:rsidRPr="00280CB2">
        <w:t>depression</w:t>
      </w:r>
      <w:proofErr w:type="spellEnd"/>
      <w:r w:rsidRPr="00280CB2">
        <w:t xml:space="preserve">. </w:t>
      </w:r>
      <w:proofErr w:type="spellStart"/>
      <w:r w:rsidRPr="00E359E0">
        <w:rPr>
          <w:i/>
        </w:rPr>
        <w:t>The</w:t>
      </w:r>
      <w:proofErr w:type="spellEnd"/>
      <w:r w:rsidRPr="00E359E0">
        <w:rPr>
          <w:i/>
        </w:rPr>
        <w:t xml:space="preserve"> </w:t>
      </w:r>
      <w:proofErr w:type="spellStart"/>
      <w:r w:rsidRPr="00E359E0">
        <w:rPr>
          <w:i/>
        </w:rPr>
        <w:t>Arts</w:t>
      </w:r>
      <w:proofErr w:type="spellEnd"/>
      <w:r w:rsidRPr="00E359E0">
        <w:rPr>
          <w:i/>
        </w:rPr>
        <w:t xml:space="preserve"> in </w:t>
      </w:r>
      <w:proofErr w:type="spellStart"/>
      <w:r w:rsidRPr="00E359E0">
        <w:rPr>
          <w:i/>
        </w:rPr>
        <w:t>Psychotherapy</w:t>
      </w:r>
      <w:proofErr w:type="spellEnd"/>
      <w:r w:rsidRPr="00280CB2">
        <w:t xml:space="preserve">, </w:t>
      </w:r>
      <w:r w:rsidRPr="00E359E0">
        <w:rPr>
          <w:i/>
        </w:rPr>
        <w:t>33</w:t>
      </w:r>
      <w:r w:rsidRPr="00280CB2">
        <w:t xml:space="preserve">(3), 199–207. </w:t>
      </w:r>
      <w:hyperlink r:id="rId324">
        <w:r w:rsidRPr="00E359E0">
          <w:rPr>
            <w:u w:val="single"/>
          </w:rPr>
          <w:t>https://doi.org/10.1016/j.aip.2006.02.001</w:t>
        </w:r>
      </w:hyperlink>
    </w:p>
    <w:p w14:paraId="183367C8" w14:textId="77777777" w:rsidR="00FA457D" w:rsidRPr="00280CB2" w:rsidRDefault="00FA457D">
      <w:pPr>
        <w:pStyle w:val="ListeParagraf"/>
        <w:numPr>
          <w:ilvl w:val="0"/>
          <w:numId w:val="60"/>
        </w:numPr>
        <w:tabs>
          <w:tab w:val="left" w:pos="0"/>
        </w:tabs>
        <w:jc w:val="both"/>
      </w:pPr>
      <w:proofErr w:type="spellStart"/>
      <w:r w:rsidRPr="00280CB2">
        <w:t>Hamidi</w:t>
      </w:r>
      <w:proofErr w:type="spellEnd"/>
      <w:r w:rsidRPr="00280CB2">
        <w:t xml:space="preserve">, F. ve </w:t>
      </w:r>
      <w:proofErr w:type="spellStart"/>
      <w:r w:rsidRPr="00280CB2">
        <w:t>Sobhani</w:t>
      </w:r>
      <w:proofErr w:type="spellEnd"/>
      <w:r w:rsidRPr="00280CB2">
        <w:t xml:space="preserve"> </w:t>
      </w:r>
      <w:proofErr w:type="spellStart"/>
      <w:r w:rsidRPr="00280CB2">
        <w:t>Tabar</w:t>
      </w:r>
      <w:proofErr w:type="spellEnd"/>
      <w:r w:rsidRPr="00280CB2">
        <w:t xml:space="preserve">, S. (2021). </w:t>
      </w:r>
      <w:proofErr w:type="spellStart"/>
      <w:r w:rsidRPr="00280CB2">
        <w:t>Effect</w:t>
      </w:r>
      <w:proofErr w:type="spellEnd"/>
      <w:r w:rsidRPr="00280CB2">
        <w:t xml:space="preserve"> of </w:t>
      </w:r>
      <w:proofErr w:type="spellStart"/>
      <w:r w:rsidRPr="00280CB2">
        <w:t>psychodrama</w:t>
      </w:r>
      <w:proofErr w:type="spellEnd"/>
      <w:r w:rsidRPr="00280CB2">
        <w:t xml:space="preserve"> on post-</w:t>
      </w:r>
      <w:proofErr w:type="spellStart"/>
      <w:r w:rsidRPr="00280CB2">
        <w:t>traumatic</w:t>
      </w:r>
      <w:proofErr w:type="spellEnd"/>
      <w:r w:rsidRPr="00280CB2">
        <w:t xml:space="preserve"> </w:t>
      </w:r>
      <w:proofErr w:type="spellStart"/>
      <w:r w:rsidRPr="00280CB2">
        <w:t>stress</w:t>
      </w:r>
      <w:proofErr w:type="spellEnd"/>
      <w:r w:rsidRPr="00280CB2">
        <w:t xml:space="preserve"> </w:t>
      </w:r>
      <w:proofErr w:type="spellStart"/>
      <w:r w:rsidRPr="00280CB2">
        <w:t>disorder</w:t>
      </w:r>
      <w:proofErr w:type="spellEnd"/>
      <w:r w:rsidRPr="00280CB2">
        <w:t xml:space="preserve"> </w:t>
      </w:r>
      <w:proofErr w:type="spellStart"/>
      <w:r w:rsidRPr="00280CB2">
        <w:t>symptoms</w:t>
      </w:r>
      <w:proofErr w:type="spellEnd"/>
      <w:r w:rsidRPr="00280CB2">
        <w:t xml:space="preserve"> in </w:t>
      </w:r>
      <w:proofErr w:type="spellStart"/>
      <w:r w:rsidRPr="00280CB2">
        <w:t>primary</w:t>
      </w:r>
      <w:proofErr w:type="spellEnd"/>
      <w:r w:rsidRPr="00280CB2">
        <w:t xml:space="preserve"> </w:t>
      </w:r>
      <w:proofErr w:type="spellStart"/>
      <w:r w:rsidRPr="00280CB2">
        <w:t>school</w:t>
      </w:r>
      <w:proofErr w:type="spellEnd"/>
      <w:r w:rsidRPr="00280CB2">
        <w:t xml:space="preserve"> </w:t>
      </w:r>
      <w:proofErr w:type="spellStart"/>
      <w:r w:rsidRPr="00280CB2">
        <w:t>students</w:t>
      </w:r>
      <w:proofErr w:type="spellEnd"/>
      <w:r w:rsidRPr="00280CB2">
        <w:t xml:space="preserve"> </w:t>
      </w:r>
      <w:proofErr w:type="spellStart"/>
      <w:r w:rsidRPr="00280CB2">
        <w:t>living</w:t>
      </w:r>
      <w:proofErr w:type="spellEnd"/>
      <w:r w:rsidRPr="00280CB2">
        <w:t xml:space="preserve"> </w:t>
      </w:r>
      <w:proofErr w:type="spellStart"/>
      <w:r w:rsidRPr="00280CB2">
        <w:t>ineEarthquake-stricken</w:t>
      </w:r>
      <w:proofErr w:type="spellEnd"/>
      <w:r w:rsidRPr="00280CB2">
        <w:t xml:space="preserve"> </w:t>
      </w:r>
      <w:proofErr w:type="spellStart"/>
      <w:r w:rsidRPr="00280CB2">
        <w:t>area</w:t>
      </w:r>
      <w:proofErr w:type="spellEnd"/>
      <w:r w:rsidRPr="00280CB2">
        <w:t xml:space="preserve">. </w:t>
      </w:r>
      <w:proofErr w:type="spellStart"/>
      <w:r w:rsidRPr="00280CB2">
        <w:t>İ</w:t>
      </w:r>
      <w:r w:rsidRPr="00E359E0">
        <w:rPr>
          <w:i/>
        </w:rPr>
        <w:t>ranian</w:t>
      </w:r>
      <w:proofErr w:type="spellEnd"/>
      <w:r w:rsidRPr="00E359E0">
        <w:rPr>
          <w:i/>
        </w:rPr>
        <w:t xml:space="preserve"> </w:t>
      </w:r>
      <w:proofErr w:type="spellStart"/>
      <w:r w:rsidRPr="00E359E0">
        <w:rPr>
          <w:i/>
        </w:rPr>
        <w:t>Journal</w:t>
      </w:r>
      <w:proofErr w:type="spellEnd"/>
      <w:r w:rsidRPr="00E359E0">
        <w:rPr>
          <w:i/>
        </w:rPr>
        <w:t xml:space="preserve"> of </w:t>
      </w:r>
      <w:proofErr w:type="spellStart"/>
      <w:r w:rsidRPr="00E359E0">
        <w:rPr>
          <w:i/>
        </w:rPr>
        <w:t>Psychiatry</w:t>
      </w:r>
      <w:proofErr w:type="spellEnd"/>
      <w:r w:rsidRPr="00E359E0">
        <w:rPr>
          <w:i/>
        </w:rPr>
        <w:t xml:space="preserve"> </w:t>
      </w:r>
      <w:proofErr w:type="spellStart"/>
      <w:r w:rsidRPr="00E359E0">
        <w:rPr>
          <w:i/>
        </w:rPr>
        <w:t>and</w:t>
      </w:r>
      <w:proofErr w:type="spellEnd"/>
      <w:r w:rsidRPr="00E359E0">
        <w:rPr>
          <w:i/>
        </w:rPr>
        <w:t xml:space="preserve"> </w:t>
      </w:r>
      <w:proofErr w:type="spellStart"/>
      <w:r w:rsidRPr="00E359E0">
        <w:rPr>
          <w:i/>
        </w:rPr>
        <w:t>Clinical</w:t>
      </w:r>
      <w:proofErr w:type="spellEnd"/>
      <w:r w:rsidRPr="00E359E0">
        <w:rPr>
          <w:i/>
        </w:rPr>
        <w:t xml:space="preserve"> </w:t>
      </w:r>
      <w:proofErr w:type="spellStart"/>
      <w:proofErr w:type="gramStart"/>
      <w:r w:rsidRPr="00E359E0">
        <w:rPr>
          <w:i/>
        </w:rPr>
        <w:t>Psychology,i</w:t>
      </w:r>
      <w:proofErr w:type="spellEnd"/>
      <w:proofErr w:type="gramEnd"/>
      <w:r w:rsidRPr="00E359E0">
        <w:rPr>
          <w:i/>
        </w:rPr>
        <w:t>, 26</w:t>
      </w:r>
      <w:r w:rsidRPr="00280CB2">
        <w:t xml:space="preserve"> (4) </w:t>
      </w:r>
      <w:hyperlink r:id="rId325">
        <w:r w:rsidRPr="00E359E0">
          <w:rPr>
            <w:u w:val="single"/>
          </w:rPr>
          <w:t>https://doi.org /10.325​​/ijpcp.26.4.319</w:t>
        </w:r>
      </w:hyperlink>
    </w:p>
    <w:p w14:paraId="072126A5" w14:textId="77777777" w:rsidR="00FA457D" w:rsidRPr="00280CB2" w:rsidRDefault="00FA457D">
      <w:pPr>
        <w:pStyle w:val="ListeParagraf"/>
        <w:numPr>
          <w:ilvl w:val="0"/>
          <w:numId w:val="60"/>
        </w:numPr>
        <w:tabs>
          <w:tab w:val="left" w:pos="0"/>
        </w:tabs>
        <w:jc w:val="both"/>
      </w:pPr>
      <w:proofErr w:type="spellStart"/>
      <w:r w:rsidRPr="00280CB2">
        <w:t>Hattab</w:t>
      </w:r>
      <w:proofErr w:type="spellEnd"/>
      <w:r w:rsidRPr="00280CB2">
        <w:t xml:space="preserve">, H. (2023). </w:t>
      </w:r>
      <w:proofErr w:type="spellStart"/>
      <w:r w:rsidRPr="00280CB2">
        <w:t>The</w:t>
      </w:r>
      <w:proofErr w:type="spellEnd"/>
      <w:r w:rsidRPr="00280CB2">
        <w:t xml:space="preserve"> </w:t>
      </w:r>
      <w:proofErr w:type="spellStart"/>
      <w:r w:rsidRPr="00280CB2">
        <w:t>effectiveness</w:t>
      </w:r>
      <w:proofErr w:type="spellEnd"/>
      <w:r w:rsidRPr="00280CB2">
        <w:t xml:space="preserve"> of </w:t>
      </w:r>
      <w:proofErr w:type="spellStart"/>
      <w:r w:rsidRPr="00280CB2">
        <w:t>psychodrama</w:t>
      </w:r>
      <w:proofErr w:type="spellEnd"/>
      <w:r w:rsidRPr="00280CB2">
        <w:t xml:space="preserve"> in </w:t>
      </w:r>
      <w:proofErr w:type="spellStart"/>
      <w:r w:rsidRPr="00280CB2">
        <w:t>the</w:t>
      </w:r>
      <w:proofErr w:type="spellEnd"/>
      <w:r w:rsidRPr="00280CB2">
        <w:t xml:space="preserve"> </w:t>
      </w:r>
      <w:proofErr w:type="spellStart"/>
      <w:r w:rsidRPr="00280CB2">
        <w:t>school</w:t>
      </w:r>
      <w:proofErr w:type="spellEnd"/>
      <w:r w:rsidRPr="00280CB2">
        <w:t xml:space="preserve">. </w:t>
      </w:r>
      <w:proofErr w:type="spellStart"/>
      <w:r w:rsidRPr="00E359E0">
        <w:rPr>
          <w:i/>
        </w:rPr>
        <w:t>Journal</w:t>
      </w:r>
      <w:proofErr w:type="spellEnd"/>
      <w:r w:rsidRPr="00E359E0">
        <w:rPr>
          <w:i/>
        </w:rPr>
        <w:t xml:space="preserve"> of Language </w:t>
      </w:r>
      <w:proofErr w:type="spellStart"/>
      <w:r w:rsidRPr="00E359E0">
        <w:rPr>
          <w:i/>
        </w:rPr>
        <w:t>and</w:t>
      </w:r>
      <w:proofErr w:type="spellEnd"/>
      <w:r w:rsidRPr="00E359E0">
        <w:rPr>
          <w:i/>
        </w:rPr>
        <w:t xml:space="preserve"> </w:t>
      </w:r>
      <w:proofErr w:type="spellStart"/>
      <w:r w:rsidRPr="00E359E0">
        <w:rPr>
          <w:i/>
        </w:rPr>
        <w:t>Linguistic</w:t>
      </w:r>
      <w:proofErr w:type="spellEnd"/>
      <w:r w:rsidRPr="00E359E0">
        <w:rPr>
          <w:i/>
        </w:rPr>
        <w:t xml:space="preserve"> </w:t>
      </w:r>
      <w:proofErr w:type="spellStart"/>
      <w:r w:rsidRPr="00E359E0">
        <w:rPr>
          <w:i/>
        </w:rPr>
        <w:t>Studies</w:t>
      </w:r>
      <w:proofErr w:type="spellEnd"/>
      <w:r w:rsidRPr="00280CB2">
        <w:t xml:space="preserve">, </w:t>
      </w:r>
      <w:r w:rsidRPr="00E359E0">
        <w:rPr>
          <w:i/>
        </w:rPr>
        <w:t>19</w:t>
      </w:r>
      <w:r w:rsidRPr="00280CB2">
        <w:t>(4), 129–136.</w:t>
      </w:r>
    </w:p>
    <w:p w14:paraId="1DD44A41" w14:textId="77777777" w:rsidR="00FA457D" w:rsidRPr="00280CB2" w:rsidRDefault="00FA457D">
      <w:pPr>
        <w:pStyle w:val="ListeParagraf"/>
        <w:numPr>
          <w:ilvl w:val="0"/>
          <w:numId w:val="60"/>
        </w:numPr>
        <w:tabs>
          <w:tab w:val="left" w:pos="0"/>
        </w:tabs>
        <w:jc w:val="both"/>
      </w:pPr>
      <w:proofErr w:type="spellStart"/>
      <w:r w:rsidRPr="00280CB2">
        <w:t>Havighurst</w:t>
      </w:r>
      <w:proofErr w:type="spellEnd"/>
      <w:r w:rsidRPr="00280CB2">
        <w:t xml:space="preserve">, R.J. (1972). </w:t>
      </w:r>
      <w:proofErr w:type="spellStart"/>
      <w:r w:rsidRPr="00280CB2">
        <w:t>Developmental</w:t>
      </w:r>
      <w:proofErr w:type="spellEnd"/>
      <w:r w:rsidRPr="00280CB2">
        <w:t xml:space="preserve"> </w:t>
      </w:r>
      <w:proofErr w:type="spellStart"/>
      <w:r w:rsidRPr="00280CB2">
        <w:t>tasks</w:t>
      </w:r>
      <w:proofErr w:type="spellEnd"/>
      <w:r w:rsidRPr="00280CB2">
        <w:t xml:space="preserve"> </w:t>
      </w:r>
      <w:proofErr w:type="spellStart"/>
      <w:r w:rsidRPr="00280CB2">
        <w:t>and</w:t>
      </w:r>
      <w:proofErr w:type="spellEnd"/>
      <w:r w:rsidRPr="00280CB2">
        <w:t xml:space="preserve"> </w:t>
      </w:r>
      <w:proofErr w:type="spellStart"/>
      <w:r w:rsidRPr="00280CB2">
        <w:t>education</w:t>
      </w:r>
      <w:proofErr w:type="spellEnd"/>
      <w:r w:rsidRPr="00280CB2">
        <w:t xml:space="preserve">. New York: David </w:t>
      </w:r>
      <w:proofErr w:type="spellStart"/>
      <w:r w:rsidRPr="00280CB2">
        <w:t>McKay</w:t>
      </w:r>
      <w:proofErr w:type="spellEnd"/>
      <w:r w:rsidRPr="00280CB2">
        <w:t>.</w:t>
      </w:r>
    </w:p>
    <w:p w14:paraId="74316FEF" w14:textId="77777777" w:rsidR="00FA457D" w:rsidRPr="00280CB2" w:rsidRDefault="00FA457D">
      <w:pPr>
        <w:pStyle w:val="ListeParagraf"/>
        <w:numPr>
          <w:ilvl w:val="0"/>
          <w:numId w:val="60"/>
        </w:numPr>
        <w:tabs>
          <w:tab w:val="left" w:pos="0"/>
        </w:tabs>
        <w:jc w:val="both"/>
      </w:pPr>
      <w:proofErr w:type="spellStart"/>
      <w:r w:rsidRPr="00280CB2">
        <w:t>Hodder</w:t>
      </w:r>
      <w:proofErr w:type="spellEnd"/>
      <w:r w:rsidRPr="00280CB2">
        <w:t xml:space="preserve">, I. (2020). </w:t>
      </w:r>
      <w:proofErr w:type="spellStart"/>
      <w:r w:rsidRPr="00280CB2">
        <w:t>The</w:t>
      </w:r>
      <w:proofErr w:type="spellEnd"/>
      <w:r w:rsidRPr="00280CB2">
        <w:t xml:space="preserve"> </w:t>
      </w:r>
      <w:proofErr w:type="spellStart"/>
      <w:r w:rsidRPr="00280CB2">
        <w:t>Interpretation</w:t>
      </w:r>
      <w:proofErr w:type="spellEnd"/>
      <w:r w:rsidRPr="00280CB2">
        <w:t xml:space="preserve"> of </w:t>
      </w:r>
      <w:proofErr w:type="spellStart"/>
      <w:r w:rsidRPr="00280CB2">
        <w:t>Documents</w:t>
      </w:r>
      <w:proofErr w:type="spellEnd"/>
      <w:r w:rsidRPr="00280CB2">
        <w:t xml:space="preserve"> </w:t>
      </w:r>
      <w:proofErr w:type="spellStart"/>
      <w:r w:rsidRPr="00280CB2">
        <w:t>and</w:t>
      </w:r>
      <w:proofErr w:type="spellEnd"/>
      <w:r w:rsidRPr="00280CB2">
        <w:t xml:space="preserve"> </w:t>
      </w:r>
      <w:proofErr w:type="spellStart"/>
      <w:r w:rsidRPr="00280CB2">
        <w:t>Material</w:t>
      </w:r>
      <w:proofErr w:type="spellEnd"/>
      <w:r w:rsidRPr="00280CB2">
        <w:t xml:space="preserve"> </w:t>
      </w:r>
      <w:proofErr w:type="spellStart"/>
      <w:r w:rsidRPr="00280CB2">
        <w:t>Culture</w:t>
      </w:r>
      <w:proofErr w:type="spellEnd"/>
      <w:r w:rsidRPr="00280CB2">
        <w:t xml:space="preserve">. </w:t>
      </w:r>
      <w:proofErr w:type="spellStart"/>
      <w:r w:rsidRPr="00E359E0">
        <w:rPr>
          <w:i/>
        </w:rPr>
        <w:t>Qualitative</w:t>
      </w:r>
      <w:proofErr w:type="spellEnd"/>
      <w:r w:rsidRPr="00E359E0">
        <w:rPr>
          <w:i/>
        </w:rPr>
        <w:t xml:space="preserve"> </w:t>
      </w:r>
      <w:proofErr w:type="spellStart"/>
      <w:r w:rsidRPr="00E359E0">
        <w:rPr>
          <w:i/>
        </w:rPr>
        <w:t>Research</w:t>
      </w:r>
      <w:proofErr w:type="spellEnd"/>
      <w:r w:rsidRPr="00E359E0">
        <w:rPr>
          <w:i/>
        </w:rPr>
        <w:t xml:space="preserve"> </w:t>
      </w:r>
      <w:proofErr w:type="spellStart"/>
      <w:r w:rsidRPr="00E359E0">
        <w:rPr>
          <w:i/>
        </w:rPr>
        <w:t>Methods</w:t>
      </w:r>
      <w:proofErr w:type="spellEnd"/>
      <w:r w:rsidRPr="00280CB2">
        <w:t xml:space="preserve">, 4th Edition. </w:t>
      </w:r>
      <w:proofErr w:type="spellStart"/>
      <w:r w:rsidRPr="00280CB2">
        <w:t>Sage</w:t>
      </w:r>
      <w:proofErr w:type="spellEnd"/>
      <w:r w:rsidRPr="00280CB2">
        <w:t xml:space="preserve"> Publications.</w:t>
      </w:r>
    </w:p>
    <w:p w14:paraId="27A0193D" w14:textId="39989ADD" w:rsidR="00FA457D" w:rsidRPr="00280CB2" w:rsidRDefault="00FA457D">
      <w:pPr>
        <w:pStyle w:val="ListeParagraf"/>
        <w:numPr>
          <w:ilvl w:val="0"/>
          <w:numId w:val="60"/>
        </w:numPr>
        <w:tabs>
          <w:tab w:val="left" w:pos="0"/>
        </w:tabs>
        <w:jc w:val="both"/>
      </w:pPr>
      <w:proofErr w:type="spellStart"/>
      <w:proofErr w:type="gramStart"/>
      <w:r w:rsidRPr="00280CB2">
        <w:t>Högberg</w:t>
      </w:r>
      <w:proofErr w:type="spellEnd"/>
      <w:r w:rsidRPr="00280CB2">
        <w:t>,  G.</w:t>
      </w:r>
      <w:proofErr w:type="gramEnd"/>
      <w:r w:rsidRPr="00280CB2">
        <w:t xml:space="preserve">,  &amp;  </w:t>
      </w:r>
      <w:proofErr w:type="spellStart"/>
      <w:r w:rsidRPr="00280CB2">
        <w:t>Hällström</w:t>
      </w:r>
      <w:proofErr w:type="spellEnd"/>
      <w:r w:rsidRPr="00280CB2">
        <w:t xml:space="preserve">,  T.  (2008).  </w:t>
      </w:r>
      <w:proofErr w:type="gramStart"/>
      <w:r w:rsidRPr="00280CB2">
        <w:t>Active  multimodal</w:t>
      </w:r>
      <w:proofErr w:type="gramEnd"/>
      <w:r w:rsidRPr="00280CB2">
        <w:t xml:space="preserve">  </w:t>
      </w:r>
      <w:proofErr w:type="spellStart"/>
      <w:r w:rsidRPr="00280CB2">
        <w:t>psychotherapy</w:t>
      </w:r>
      <w:proofErr w:type="spellEnd"/>
      <w:r w:rsidRPr="00280CB2">
        <w:t xml:space="preserve">  in  </w:t>
      </w:r>
      <w:proofErr w:type="spellStart"/>
      <w:r w:rsidRPr="00280CB2">
        <w:t>children</w:t>
      </w:r>
      <w:proofErr w:type="spellEnd"/>
      <w:r w:rsidRPr="00280CB2">
        <w:t xml:space="preserve">  </w:t>
      </w:r>
      <w:proofErr w:type="spellStart"/>
      <w:r w:rsidRPr="00280CB2">
        <w:t>and</w:t>
      </w:r>
      <w:proofErr w:type="spellEnd"/>
      <w:r w:rsidRPr="00280CB2">
        <w:t xml:space="preserve">  </w:t>
      </w:r>
      <w:proofErr w:type="spellStart"/>
      <w:r w:rsidRPr="00280CB2">
        <w:t>adolescents</w:t>
      </w:r>
      <w:proofErr w:type="spellEnd"/>
      <w:r w:rsidRPr="00280CB2">
        <w:t xml:space="preserve">  </w:t>
      </w:r>
      <w:proofErr w:type="spellStart"/>
      <w:r w:rsidRPr="00280CB2">
        <w:t>with</w:t>
      </w:r>
      <w:proofErr w:type="spellEnd"/>
      <w:r w:rsidRPr="00280CB2">
        <w:t xml:space="preserve">  </w:t>
      </w:r>
      <w:proofErr w:type="spellStart"/>
      <w:r w:rsidRPr="00280CB2">
        <w:t>suicidality</w:t>
      </w:r>
      <w:proofErr w:type="spellEnd"/>
      <w:r w:rsidRPr="00280CB2">
        <w:t xml:space="preserve">: </w:t>
      </w:r>
      <w:proofErr w:type="spellStart"/>
      <w:r w:rsidRPr="00280CB2">
        <w:t>description</w:t>
      </w:r>
      <w:proofErr w:type="spellEnd"/>
      <w:r w:rsidRPr="00280CB2">
        <w:t xml:space="preserve">,  </w:t>
      </w:r>
      <w:proofErr w:type="spellStart"/>
      <w:r w:rsidRPr="00280CB2">
        <w:t>evaluation</w:t>
      </w:r>
      <w:proofErr w:type="spellEnd"/>
      <w:r w:rsidRPr="00280CB2">
        <w:t xml:space="preserve">  </w:t>
      </w:r>
      <w:proofErr w:type="spellStart"/>
      <w:r w:rsidRPr="00280CB2">
        <w:t>and</w:t>
      </w:r>
      <w:proofErr w:type="spellEnd"/>
      <w:r w:rsidRPr="00280CB2">
        <w:t xml:space="preserve">  </w:t>
      </w:r>
      <w:proofErr w:type="spellStart"/>
      <w:r w:rsidRPr="00280CB2">
        <w:t>clinical</w:t>
      </w:r>
      <w:proofErr w:type="spellEnd"/>
      <w:r w:rsidRPr="00280CB2">
        <w:t xml:space="preserve">  profile.  </w:t>
      </w:r>
      <w:proofErr w:type="spellStart"/>
      <w:proofErr w:type="gramStart"/>
      <w:r w:rsidRPr="00280CB2">
        <w:t>Clinical</w:t>
      </w:r>
      <w:proofErr w:type="spellEnd"/>
      <w:r w:rsidRPr="00280CB2">
        <w:t xml:space="preserve">  Child</w:t>
      </w:r>
      <w:proofErr w:type="gramEnd"/>
      <w:r w:rsidRPr="00280CB2">
        <w:t xml:space="preserve">  </w:t>
      </w:r>
      <w:proofErr w:type="spellStart"/>
      <w:r w:rsidRPr="00280CB2">
        <w:t>Psychology</w:t>
      </w:r>
      <w:proofErr w:type="spellEnd"/>
      <w:r w:rsidRPr="00280CB2">
        <w:t xml:space="preserve">  </w:t>
      </w:r>
      <w:proofErr w:type="spellStart"/>
      <w:r w:rsidRPr="00280CB2">
        <w:t>and</w:t>
      </w:r>
      <w:proofErr w:type="spellEnd"/>
      <w:r w:rsidRPr="00280CB2">
        <w:t xml:space="preserve">  </w:t>
      </w:r>
      <w:proofErr w:type="spellStart"/>
      <w:r w:rsidRPr="00280CB2">
        <w:t>Psychiatry</w:t>
      </w:r>
      <w:proofErr w:type="spellEnd"/>
      <w:r w:rsidRPr="00280CB2">
        <w:t>. 13(3</w:t>
      </w:r>
      <w:proofErr w:type="gramStart"/>
      <w:r w:rsidRPr="00280CB2">
        <w:t>),  435</w:t>
      </w:r>
      <w:proofErr w:type="gramEnd"/>
      <w:r w:rsidRPr="00280CB2">
        <w:t>-448. http://doi.org/10.1177/1359104507088348.</w:t>
      </w:r>
    </w:p>
    <w:p w14:paraId="43F504EA" w14:textId="77777777" w:rsidR="00FA457D" w:rsidRPr="00280CB2" w:rsidRDefault="00FA457D">
      <w:pPr>
        <w:pStyle w:val="ListeParagraf"/>
        <w:numPr>
          <w:ilvl w:val="0"/>
          <w:numId w:val="60"/>
        </w:numPr>
        <w:tabs>
          <w:tab w:val="left" w:pos="0"/>
        </w:tabs>
        <w:jc w:val="both"/>
      </w:pPr>
      <w:proofErr w:type="spellStart"/>
      <w:r w:rsidRPr="00280CB2">
        <w:t>Imholz</w:t>
      </w:r>
      <w:proofErr w:type="spellEnd"/>
      <w:r w:rsidRPr="00280CB2">
        <w:t xml:space="preserve">, S. (2008). </w:t>
      </w:r>
      <w:proofErr w:type="spellStart"/>
      <w:r w:rsidRPr="00280CB2">
        <w:t>The</w:t>
      </w:r>
      <w:proofErr w:type="spellEnd"/>
      <w:r w:rsidRPr="00280CB2">
        <w:t xml:space="preserve"> </w:t>
      </w:r>
      <w:proofErr w:type="spellStart"/>
      <w:r w:rsidRPr="00280CB2">
        <w:t>therapeutic</w:t>
      </w:r>
      <w:proofErr w:type="spellEnd"/>
      <w:r w:rsidRPr="00280CB2">
        <w:t xml:space="preserve"> </w:t>
      </w:r>
      <w:proofErr w:type="spellStart"/>
      <w:r w:rsidRPr="00280CB2">
        <w:t>stage</w:t>
      </w:r>
      <w:proofErr w:type="spellEnd"/>
      <w:r w:rsidRPr="00280CB2">
        <w:t xml:space="preserve"> </w:t>
      </w:r>
      <w:proofErr w:type="spellStart"/>
      <w:r w:rsidRPr="00280CB2">
        <w:t>encounters</w:t>
      </w:r>
      <w:proofErr w:type="spellEnd"/>
      <w:r w:rsidRPr="00280CB2">
        <w:t xml:space="preserve"> </w:t>
      </w:r>
      <w:proofErr w:type="spellStart"/>
      <w:r w:rsidRPr="00280CB2">
        <w:t>the</w:t>
      </w:r>
      <w:proofErr w:type="spellEnd"/>
      <w:r w:rsidRPr="00280CB2">
        <w:t xml:space="preserve"> </w:t>
      </w:r>
      <w:proofErr w:type="spellStart"/>
      <w:r w:rsidRPr="00280CB2">
        <w:t>virtual</w:t>
      </w:r>
      <w:proofErr w:type="spellEnd"/>
      <w:r w:rsidRPr="00280CB2">
        <w:t xml:space="preserve"> </w:t>
      </w:r>
      <w:proofErr w:type="spellStart"/>
      <w:r w:rsidRPr="00280CB2">
        <w:t>world</w:t>
      </w:r>
      <w:proofErr w:type="spellEnd"/>
      <w:r w:rsidRPr="00280CB2">
        <w:t xml:space="preserve">. </w:t>
      </w:r>
      <w:proofErr w:type="spellStart"/>
      <w:r w:rsidRPr="00E359E0">
        <w:rPr>
          <w:i/>
        </w:rPr>
        <w:t>Thinking</w:t>
      </w:r>
      <w:proofErr w:type="spellEnd"/>
      <w:r w:rsidRPr="00E359E0">
        <w:rPr>
          <w:i/>
        </w:rPr>
        <w:t xml:space="preserve"> </w:t>
      </w:r>
      <w:proofErr w:type="spellStart"/>
      <w:r w:rsidRPr="00E359E0">
        <w:rPr>
          <w:i/>
        </w:rPr>
        <w:t>Skills</w:t>
      </w:r>
      <w:proofErr w:type="spellEnd"/>
      <w:r w:rsidRPr="00E359E0">
        <w:rPr>
          <w:i/>
        </w:rPr>
        <w:t xml:space="preserve"> </w:t>
      </w:r>
      <w:proofErr w:type="spellStart"/>
      <w:r w:rsidRPr="00E359E0">
        <w:rPr>
          <w:i/>
        </w:rPr>
        <w:t>and</w:t>
      </w:r>
      <w:proofErr w:type="spellEnd"/>
      <w:r w:rsidRPr="00E359E0">
        <w:rPr>
          <w:i/>
        </w:rPr>
        <w:t xml:space="preserve"> </w:t>
      </w:r>
      <w:proofErr w:type="spellStart"/>
      <w:r w:rsidRPr="00E359E0">
        <w:rPr>
          <w:i/>
        </w:rPr>
        <w:t>Creativity</w:t>
      </w:r>
      <w:proofErr w:type="spellEnd"/>
      <w:r w:rsidRPr="00E359E0">
        <w:rPr>
          <w:i/>
        </w:rPr>
        <w:t>, 3</w:t>
      </w:r>
      <w:r w:rsidRPr="00280CB2">
        <w:t xml:space="preserve">(1), 47–52. </w:t>
      </w:r>
      <w:proofErr w:type="gramStart"/>
      <w:r w:rsidRPr="00280CB2">
        <w:t>doi:10.1016/j.tsc</w:t>
      </w:r>
      <w:proofErr w:type="gramEnd"/>
      <w:r w:rsidRPr="00280CB2">
        <w:t>.2008.02.001</w:t>
      </w:r>
    </w:p>
    <w:p w14:paraId="29CA50FD" w14:textId="77777777" w:rsidR="00FA457D" w:rsidRPr="00280CB2" w:rsidRDefault="00FA457D">
      <w:pPr>
        <w:pStyle w:val="ListeParagraf"/>
        <w:numPr>
          <w:ilvl w:val="0"/>
          <w:numId w:val="60"/>
        </w:numPr>
        <w:tabs>
          <w:tab w:val="left" w:pos="0"/>
        </w:tabs>
        <w:jc w:val="both"/>
      </w:pPr>
      <w:proofErr w:type="spellStart"/>
      <w:r w:rsidRPr="00280CB2">
        <w:t>Kandemirci</w:t>
      </w:r>
      <w:proofErr w:type="spellEnd"/>
      <w:r w:rsidRPr="00280CB2">
        <w:t>-Bayız, D., &amp; Kalkan-</w:t>
      </w:r>
      <w:proofErr w:type="spellStart"/>
      <w:r w:rsidRPr="00280CB2">
        <w:t>Oğuzhanoğlu</w:t>
      </w:r>
      <w:proofErr w:type="spellEnd"/>
      <w:r w:rsidRPr="00280CB2">
        <w:t xml:space="preserve">, N. (2023). </w:t>
      </w:r>
      <w:r w:rsidRPr="00E359E0">
        <w:rPr>
          <w:i/>
        </w:rPr>
        <w:t>Kaygı yolculuğu: Psikodramanın psikoloji öğrencilerinin kaygı düzeylerine etkisi</w:t>
      </w:r>
      <w:r w:rsidRPr="00280CB2">
        <w:t>. IX. Uluslararası Yükseköğretimde Psikolojik Danışmanlık ve Rehberlik Araştırmaları Kongresi.</w:t>
      </w:r>
    </w:p>
    <w:p w14:paraId="5191B46E" w14:textId="77777777" w:rsidR="00FA457D" w:rsidRPr="00280CB2" w:rsidRDefault="00FA457D">
      <w:pPr>
        <w:pStyle w:val="ListeParagraf"/>
        <w:numPr>
          <w:ilvl w:val="0"/>
          <w:numId w:val="60"/>
        </w:numPr>
        <w:tabs>
          <w:tab w:val="left" w:pos="0"/>
        </w:tabs>
        <w:jc w:val="both"/>
      </w:pPr>
      <w:proofErr w:type="spellStart"/>
      <w:r w:rsidRPr="00280CB2">
        <w:t>Kaner</w:t>
      </w:r>
      <w:proofErr w:type="spellEnd"/>
      <w:r w:rsidRPr="00280CB2">
        <w:t xml:space="preserve">, S. (2019). Psikodrama-Kuram, Teknik ve Araçlar. </w:t>
      </w:r>
      <w:r w:rsidRPr="00E359E0">
        <w:rPr>
          <w:i/>
        </w:rPr>
        <w:t>Ankara Üniversitesi Eğitim Bilimleri Fakültesi Dergisi</w:t>
      </w:r>
      <w:r w:rsidRPr="00280CB2">
        <w:t>, 23(2), 457-480.</w:t>
      </w:r>
    </w:p>
    <w:p w14:paraId="5DC3B47B" w14:textId="77777777" w:rsidR="00FA457D" w:rsidRPr="00E359E0" w:rsidRDefault="00FA457D">
      <w:pPr>
        <w:pStyle w:val="ListeParagraf"/>
        <w:numPr>
          <w:ilvl w:val="0"/>
          <w:numId w:val="60"/>
        </w:numPr>
        <w:tabs>
          <w:tab w:val="left" w:pos="0"/>
        </w:tabs>
        <w:jc w:val="both"/>
        <w:rPr>
          <w:u w:val="single"/>
        </w:rPr>
      </w:pPr>
      <w:r w:rsidRPr="00280CB2">
        <w:t xml:space="preserve">Karakaya </w:t>
      </w:r>
      <w:proofErr w:type="spellStart"/>
      <w:r w:rsidRPr="00280CB2">
        <w:t>Çataldaş</w:t>
      </w:r>
      <w:proofErr w:type="spellEnd"/>
      <w:r w:rsidRPr="00280CB2">
        <w:t xml:space="preserve">, S., </w:t>
      </w:r>
      <w:proofErr w:type="spellStart"/>
      <w:r w:rsidRPr="00280CB2">
        <w:t>Atkan</w:t>
      </w:r>
      <w:proofErr w:type="spellEnd"/>
      <w:r w:rsidRPr="00280CB2">
        <w:t xml:space="preserve">, F., &amp; Eminoğlu, A. (2024). </w:t>
      </w:r>
      <w:proofErr w:type="spellStart"/>
      <w:r w:rsidRPr="00280CB2">
        <w:t>The</w:t>
      </w:r>
      <w:proofErr w:type="spellEnd"/>
      <w:r w:rsidRPr="00280CB2">
        <w:t xml:space="preserve"> </w:t>
      </w:r>
      <w:proofErr w:type="spellStart"/>
      <w:r w:rsidRPr="00280CB2">
        <w:t>effect</w:t>
      </w:r>
      <w:proofErr w:type="spellEnd"/>
      <w:r w:rsidRPr="00280CB2">
        <w:t xml:space="preserve"> of </w:t>
      </w:r>
      <w:proofErr w:type="spellStart"/>
      <w:r w:rsidRPr="00280CB2">
        <w:t>psychodrama-based</w:t>
      </w:r>
      <w:proofErr w:type="spellEnd"/>
      <w:r w:rsidRPr="00280CB2">
        <w:t xml:space="preserve"> </w:t>
      </w:r>
      <w:proofErr w:type="spellStart"/>
      <w:r w:rsidRPr="00280CB2">
        <w:t>intervention</w:t>
      </w:r>
      <w:proofErr w:type="spellEnd"/>
      <w:r w:rsidRPr="00280CB2">
        <w:t xml:space="preserve"> on </w:t>
      </w:r>
      <w:proofErr w:type="spellStart"/>
      <w:r w:rsidRPr="00280CB2">
        <w:t>therapeutic</w:t>
      </w:r>
      <w:proofErr w:type="spellEnd"/>
      <w:r w:rsidRPr="00280CB2">
        <w:t xml:space="preserve"> </w:t>
      </w:r>
      <w:proofErr w:type="spellStart"/>
      <w:r w:rsidRPr="00280CB2">
        <w:t>communication</w:t>
      </w:r>
      <w:proofErr w:type="spellEnd"/>
      <w:r w:rsidRPr="00280CB2">
        <w:t xml:space="preserve"> </w:t>
      </w:r>
      <w:proofErr w:type="spellStart"/>
      <w:r w:rsidRPr="00280CB2">
        <w:t>skills</w:t>
      </w:r>
      <w:proofErr w:type="spellEnd"/>
      <w:r w:rsidRPr="00280CB2">
        <w:t xml:space="preserve"> </w:t>
      </w:r>
      <w:proofErr w:type="spellStart"/>
      <w:r w:rsidRPr="00280CB2">
        <w:t>and</w:t>
      </w:r>
      <w:proofErr w:type="spellEnd"/>
      <w:r w:rsidRPr="00280CB2">
        <w:t xml:space="preserve"> </w:t>
      </w:r>
      <w:proofErr w:type="spellStart"/>
      <w:r w:rsidRPr="00280CB2">
        <w:t>cognitive</w:t>
      </w:r>
      <w:proofErr w:type="spellEnd"/>
      <w:r w:rsidRPr="00280CB2">
        <w:t xml:space="preserve"> </w:t>
      </w:r>
      <w:proofErr w:type="spellStart"/>
      <w:r w:rsidRPr="00280CB2">
        <w:t>flexibility</w:t>
      </w:r>
      <w:proofErr w:type="spellEnd"/>
      <w:r w:rsidRPr="00280CB2">
        <w:t xml:space="preserve"> </w:t>
      </w:r>
      <w:proofErr w:type="spellStart"/>
      <w:r w:rsidRPr="00280CB2">
        <w:t>among</w:t>
      </w:r>
      <w:proofErr w:type="spellEnd"/>
      <w:r w:rsidRPr="00280CB2">
        <w:t xml:space="preserve"> </w:t>
      </w:r>
      <w:proofErr w:type="spellStart"/>
      <w:r w:rsidRPr="00280CB2">
        <w:t>nursing</w:t>
      </w:r>
      <w:proofErr w:type="spellEnd"/>
      <w:r w:rsidRPr="00280CB2">
        <w:t xml:space="preserve"> </w:t>
      </w:r>
      <w:proofErr w:type="spellStart"/>
      <w:r w:rsidRPr="00280CB2">
        <w:t>students</w:t>
      </w:r>
      <w:proofErr w:type="spellEnd"/>
      <w:r w:rsidRPr="00280CB2">
        <w:t xml:space="preserve">: A 12-month </w:t>
      </w:r>
      <w:proofErr w:type="spellStart"/>
      <w:r w:rsidRPr="00280CB2">
        <w:t>follow-up</w:t>
      </w:r>
      <w:proofErr w:type="spellEnd"/>
      <w:r w:rsidRPr="00280CB2">
        <w:t xml:space="preserve"> </w:t>
      </w:r>
      <w:proofErr w:type="spellStart"/>
      <w:r w:rsidRPr="00280CB2">
        <w:t>study</w:t>
      </w:r>
      <w:proofErr w:type="spellEnd"/>
      <w:r w:rsidRPr="00280CB2">
        <w:t xml:space="preserve">. </w:t>
      </w:r>
      <w:proofErr w:type="spellStart"/>
      <w:r w:rsidRPr="00E359E0">
        <w:rPr>
          <w:i/>
        </w:rPr>
        <w:t>Nurse</w:t>
      </w:r>
      <w:proofErr w:type="spellEnd"/>
      <w:r w:rsidRPr="00E359E0">
        <w:rPr>
          <w:i/>
        </w:rPr>
        <w:t xml:space="preserve"> </w:t>
      </w:r>
      <w:proofErr w:type="spellStart"/>
      <w:r w:rsidRPr="00E359E0">
        <w:rPr>
          <w:i/>
        </w:rPr>
        <w:t>Education</w:t>
      </w:r>
      <w:proofErr w:type="spellEnd"/>
      <w:r w:rsidRPr="00E359E0">
        <w:rPr>
          <w:i/>
        </w:rPr>
        <w:t xml:space="preserve"> in </w:t>
      </w:r>
      <w:proofErr w:type="spellStart"/>
      <w:r w:rsidRPr="00E359E0">
        <w:rPr>
          <w:i/>
        </w:rPr>
        <w:t>Practice</w:t>
      </w:r>
      <w:proofErr w:type="spellEnd"/>
      <w:r w:rsidRPr="00280CB2">
        <w:t xml:space="preserve">, </w:t>
      </w:r>
      <w:r w:rsidRPr="00E359E0">
        <w:rPr>
          <w:i/>
        </w:rPr>
        <w:t>80</w:t>
      </w:r>
      <w:r w:rsidRPr="00280CB2">
        <w:t xml:space="preserve">, </w:t>
      </w:r>
      <w:r w:rsidRPr="00280CB2">
        <w:lastRenderedPageBreak/>
        <w:t xml:space="preserve">104118. </w:t>
      </w:r>
      <w:hyperlink r:id="rId326">
        <w:r w:rsidRPr="00E359E0">
          <w:rPr>
            <w:u w:val="single"/>
          </w:rPr>
          <w:t>https://doi.org/10.1016/j.nepr.2024.104118</w:t>
        </w:r>
      </w:hyperlink>
    </w:p>
    <w:p w14:paraId="37EFA854" w14:textId="77777777" w:rsidR="00FA457D" w:rsidRPr="00280CB2" w:rsidRDefault="00FA457D">
      <w:pPr>
        <w:pStyle w:val="ListeParagraf"/>
        <w:numPr>
          <w:ilvl w:val="0"/>
          <w:numId w:val="60"/>
        </w:numPr>
        <w:tabs>
          <w:tab w:val="left" w:pos="0"/>
        </w:tabs>
        <w:jc w:val="both"/>
      </w:pPr>
      <w:r w:rsidRPr="00280CB2">
        <w:t xml:space="preserve">Karataş, Z. (2011). </w:t>
      </w:r>
      <w:proofErr w:type="spellStart"/>
      <w:r w:rsidRPr="00280CB2">
        <w:t>Investigating</w:t>
      </w:r>
      <w:proofErr w:type="spellEnd"/>
      <w:r w:rsidRPr="00280CB2">
        <w:t xml:space="preserve">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Group</w:t>
      </w:r>
      <w:proofErr w:type="spellEnd"/>
      <w:r w:rsidRPr="00280CB2">
        <w:t xml:space="preserve"> </w:t>
      </w:r>
      <w:proofErr w:type="spellStart"/>
      <w:r w:rsidRPr="00280CB2">
        <w:t>Practice</w:t>
      </w:r>
      <w:proofErr w:type="spellEnd"/>
      <w:r w:rsidRPr="00280CB2">
        <w:t xml:space="preserve"> </w:t>
      </w:r>
      <w:proofErr w:type="spellStart"/>
      <w:r w:rsidRPr="00280CB2">
        <w:t>Performed</w:t>
      </w:r>
      <w:proofErr w:type="spellEnd"/>
      <w:r w:rsidRPr="00280CB2">
        <w:t xml:space="preserve"> Using </w:t>
      </w:r>
      <w:proofErr w:type="spellStart"/>
      <w:r w:rsidRPr="00280CB2">
        <w:t>Psychodrama</w:t>
      </w:r>
      <w:proofErr w:type="spellEnd"/>
      <w:r w:rsidRPr="00280CB2">
        <w:t xml:space="preserve"> </w:t>
      </w:r>
      <w:proofErr w:type="spellStart"/>
      <w:r w:rsidRPr="00280CB2">
        <w:t>Techniques</w:t>
      </w:r>
      <w:proofErr w:type="spellEnd"/>
      <w:r w:rsidRPr="00280CB2">
        <w:t xml:space="preserve"> on </w:t>
      </w:r>
      <w:proofErr w:type="spellStart"/>
      <w:r w:rsidRPr="00280CB2">
        <w:t>Adolescents</w:t>
      </w:r>
      <w:proofErr w:type="spellEnd"/>
      <w:r w:rsidRPr="00280CB2">
        <w:t xml:space="preserve">’ </w:t>
      </w:r>
      <w:proofErr w:type="spellStart"/>
      <w:r w:rsidRPr="00280CB2">
        <w:t>Conflict</w:t>
      </w:r>
      <w:proofErr w:type="spellEnd"/>
      <w:r w:rsidRPr="00280CB2">
        <w:t xml:space="preserve"> </w:t>
      </w:r>
      <w:proofErr w:type="spellStart"/>
      <w:r w:rsidRPr="00280CB2">
        <w:t>Resolution</w:t>
      </w:r>
      <w:proofErr w:type="spellEnd"/>
      <w:r w:rsidRPr="00280CB2">
        <w:t xml:space="preserve"> </w:t>
      </w:r>
      <w:proofErr w:type="spellStart"/>
      <w:r w:rsidRPr="00280CB2">
        <w:t>Skills</w:t>
      </w:r>
      <w:proofErr w:type="spellEnd"/>
      <w:r w:rsidRPr="00280CB2">
        <w:t xml:space="preserve">. </w:t>
      </w:r>
      <w:proofErr w:type="spellStart"/>
      <w:r w:rsidRPr="00E359E0">
        <w:rPr>
          <w:i/>
        </w:rPr>
        <w:t>Educational</w:t>
      </w:r>
      <w:proofErr w:type="spellEnd"/>
      <w:r w:rsidRPr="00E359E0">
        <w:rPr>
          <w:i/>
        </w:rPr>
        <w:t xml:space="preserve"> </w:t>
      </w:r>
      <w:proofErr w:type="spellStart"/>
      <w:r w:rsidRPr="00E359E0">
        <w:rPr>
          <w:i/>
        </w:rPr>
        <w:t>Sciences</w:t>
      </w:r>
      <w:proofErr w:type="spellEnd"/>
      <w:r w:rsidRPr="00E359E0">
        <w:rPr>
          <w:i/>
        </w:rPr>
        <w:t xml:space="preserve">: </w:t>
      </w:r>
      <w:proofErr w:type="spellStart"/>
      <w:r w:rsidRPr="00E359E0">
        <w:rPr>
          <w:i/>
        </w:rPr>
        <w:t>Theory</w:t>
      </w:r>
      <w:proofErr w:type="spellEnd"/>
      <w:r w:rsidRPr="00E359E0">
        <w:rPr>
          <w:i/>
        </w:rPr>
        <w:t xml:space="preserve"> &amp; </w:t>
      </w:r>
      <w:proofErr w:type="spellStart"/>
      <w:r w:rsidRPr="00E359E0">
        <w:rPr>
          <w:i/>
        </w:rPr>
        <w:t>Practice</w:t>
      </w:r>
      <w:proofErr w:type="spellEnd"/>
      <w:r w:rsidRPr="00E359E0">
        <w:rPr>
          <w:i/>
        </w:rPr>
        <w:t>, 11(2), 609–614.</w:t>
      </w:r>
    </w:p>
    <w:p w14:paraId="00196999" w14:textId="77777777" w:rsidR="00FA457D" w:rsidRPr="00280CB2" w:rsidRDefault="00FA457D">
      <w:pPr>
        <w:pStyle w:val="ListeParagraf"/>
        <w:numPr>
          <w:ilvl w:val="0"/>
          <w:numId w:val="60"/>
        </w:numPr>
        <w:tabs>
          <w:tab w:val="left" w:pos="0"/>
        </w:tabs>
        <w:jc w:val="both"/>
      </w:pPr>
      <w:r w:rsidRPr="00280CB2">
        <w:t xml:space="preserve">Karataş, Z. ve </w:t>
      </w:r>
      <w:proofErr w:type="spellStart"/>
      <w:r w:rsidRPr="00280CB2">
        <w:t>Gökçakan</w:t>
      </w:r>
      <w:proofErr w:type="spellEnd"/>
      <w:r w:rsidRPr="00280CB2">
        <w:t xml:space="preserve">, Z. (2009). A </w:t>
      </w:r>
      <w:proofErr w:type="spellStart"/>
      <w:r w:rsidRPr="00280CB2">
        <w:t>Comparative</w:t>
      </w:r>
      <w:proofErr w:type="spellEnd"/>
      <w:r w:rsidRPr="00280CB2">
        <w:t xml:space="preserve"> </w:t>
      </w:r>
      <w:proofErr w:type="spellStart"/>
      <w:r w:rsidRPr="00280CB2">
        <w:t>Investigation</w:t>
      </w:r>
      <w:proofErr w:type="spellEnd"/>
      <w:r w:rsidRPr="00280CB2">
        <w:t xml:space="preserve"> of </w:t>
      </w:r>
      <w:proofErr w:type="spellStart"/>
      <w:r w:rsidRPr="00280CB2">
        <w:t>the</w:t>
      </w:r>
      <w:proofErr w:type="spellEnd"/>
      <w:r w:rsidRPr="00280CB2">
        <w:t xml:space="preserve"> </w:t>
      </w:r>
      <w:proofErr w:type="spellStart"/>
      <w:r w:rsidRPr="00280CB2">
        <w:t>Eff</w:t>
      </w:r>
      <w:proofErr w:type="spellEnd"/>
      <w:r w:rsidRPr="00280CB2">
        <w:t xml:space="preserve"> </w:t>
      </w:r>
      <w:proofErr w:type="spellStart"/>
      <w:r w:rsidRPr="00280CB2">
        <w:t>ects</w:t>
      </w:r>
      <w:proofErr w:type="spellEnd"/>
      <w:r w:rsidRPr="00280CB2">
        <w:t xml:space="preserve"> of </w:t>
      </w:r>
      <w:proofErr w:type="spellStart"/>
      <w:r w:rsidRPr="00280CB2">
        <w:t>Cognitive-Behavioral</w:t>
      </w:r>
      <w:proofErr w:type="spellEnd"/>
      <w:r w:rsidRPr="00280CB2">
        <w:t xml:space="preserve"> </w:t>
      </w:r>
      <w:proofErr w:type="spellStart"/>
      <w:r w:rsidRPr="00280CB2">
        <w:t>Group</w:t>
      </w:r>
      <w:proofErr w:type="spellEnd"/>
      <w:r w:rsidRPr="00280CB2">
        <w:t xml:space="preserve"> </w:t>
      </w:r>
      <w:proofErr w:type="spellStart"/>
      <w:r w:rsidRPr="00280CB2">
        <w:t>Practices</w:t>
      </w:r>
      <w:proofErr w:type="spellEnd"/>
      <w:r w:rsidRPr="00280CB2">
        <w:t xml:space="preserve"> </w:t>
      </w:r>
      <w:proofErr w:type="spellStart"/>
      <w:r w:rsidRPr="00280CB2">
        <w:t>and</w:t>
      </w:r>
      <w:proofErr w:type="spellEnd"/>
      <w:r w:rsidRPr="00280CB2">
        <w:t xml:space="preserve"> </w:t>
      </w:r>
      <w:proofErr w:type="spellStart"/>
      <w:r w:rsidRPr="00280CB2">
        <w:t>Psychodrama</w:t>
      </w:r>
      <w:proofErr w:type="spellEnd"/>
      <w:r w:rsidRPr="00280CB2">
        <w:t xml:space="preserve"> on </w:t>
      </w:r>
      <w:proofErr w:type="spellStart"/>
      <w:r w:rsidRPr="00280CB2">
        <w:t>Adolescent</w:t>
      </w:r>
      <w:proofErr w:type="spellEnd"/>
      <w:r w:rsidRPr="00280CB2">
        <w:t xml:space="preserve"> </w:t>
      </w:r>
      <w:proofErr w:type="spellStart"/>
      <w:r w:rsidRPr="00280CB2">
        <w:t>Aggression</w:t>
      </w:r>
      <w:proofErr w:type="spellEnd"/>
      <w:r w:rsidRPr="00280CB2">
        <w:t>.</w:t>
      </w:r>
      <w:r w:rsidRPr="00E359E0">
        <w:rPr>
          <w:i/>
        </w:rPr>
        <w:t xml:space="preserve"> </w:t>
      </w:r>
      <w:proofErr w:type="spellStart"/>
      <w:r w:rsidRPr="00E359E0">
        <w:rPr>
          <w:i/>
        </w:rPr>
        <w:t>Educational</w:t>
      </w:r>
      <w:proofErr w:type="spellEnd"/>
      <w:r w:rsidRPr="00E359E0">
        <w:rPr>
          <w:i/>
        </w:rPr>
        <w:t xml:space="preserve"> </w:t>
      </w:r>
      <w:proofErr w:type="spellStart"/>
      <w:r w:rsidRPr="00E359E0">
        <w:rPr>
          <w:i/>
        </w:rPr>
        <w:t>Sciences</w:t>
      </w:r>
      <w:proofErr w:type="spellEnd"/>
      <w:r w:rsidRPr="00E359E0">
        <w:rPr>
          <w:i/>
        </w:rPr>
        <w:t xml:space="preserve">: </w:t>
      </w:r>
      <w:proofErr w:type="spellStart"/>
      <w:r w:rsidRPr="00E359E0">
        <w:rPr>
          <w:i/>
        </w:rPr>
        <w:t>Theory</w:t>
      </w:r>
      <w:proofErr w:type="spellEnd"/>
      <w:r w:rsidRPr="00E359E0">
        <w:rPr>
          <w:i/>
        </w:rPr>
        <w:t xml:space="preserve"> &amp; </w:t>
      </w:r>
      <w:proofErr w:type="spellStart"/>
      <w:r w:rsidRPr="00E359E0">
        <w:rPr>
          <w:i/>
        </w:rPr>
        <w:t>Practice</w:t>
      </w:r>
      <w:proofErr w:type="spellEnd"/>
      <w:r w:rsidRPr="00E359E0">
        <w:rPr>
          <w:i/>
        </w:rPr>
        <w:t>, 9</w:t>
      </w:r>
      <w:r w:rsidRPr="00280CB2">
        <w:t xml:space="preserve"> (3).</w:t>
      </w:r>
    </w:p>
    <w:p w14:paraId="69F4C635" w14:textId="77777777" w:rsidR="00FA457D" w:rsidRPr="00280CB2" w:rsidRDefault="00FA457D">
      <w:pPr>
        <w:pStyle w:val="ListeParagraf"/>
        <w:numPr>
          <w:ilvl w:val="0"/>
          <w:numId w:val="60"/>
        </w:numPr>
        <w:tabs>
          <w:tab w:val="left" w:pos="0"/>
        </w:tabs>
        <w:spacing w:before="240"/>
        <w:jc w:val="both"/>
      </w:pPr>
      <w:r w:rsidRPr="00280CB2">
        <w:t xml:space="preserve">Karatay, G., &amp; </w:t>
      </w:r>
      <w:proofErr w:type="spellStart"/>
      <w:r w:rsidRPr="00280CB2">
        <w:t>Gürarslan</w:t>
      </w:r>
      <w:proofErr w:type="spellEnd"/>
      <w:r w:rsidRPr="00280CB2">
        <w:t xml:space="preserve"> Baş, N. (2017). </w:t>
      </w:r>
      <w:proofErr w:type="spellStart"/>
      <w:r w:rsidRPr="00280CB2">
        <w:t>Effects</w:t>
      </w:r>
      <w:proofErr w:type="spellEnd"/>
      <w:r w:rsidRPr="00280CB2">
        <w:t xml:space="preserve"> of role-</w:t>
      </w:r>
      <w:proofErr w:type="spellStart"/>
      <w:r w:rsidRPr="00280CB2">
        <w:t>playing</w:t>
      </w:r>
      <w:proofErr w:type="spellEnd"/>
      <w:r w:rsidRPr="00280CB2">
        <w:t xml:space="preserve"> </w:t>
      </w:r>
      <w:proofErr w:type="spellStart"/>
      <w:r w:rsidRPr="00280CB2">
        <w:t>scenarios</w:t>
      </w:r>
      <w:proofErr w:type="spellEnd"/>
      <w:r w:rsidRPr="00280CB2">
        <w:t xml:space="preserve"> on </w:t>
      </w:r>
      <w:proofErr w:type="spellStart"/>
      <w:r w:rsidRPr="00280CB2">
        <w:t>the</w:t>
      </w:r>
      <w:proofErr w:type="spellEnd"/>
      <w:r w:rsidRPr="00280CB2">
        <w:t xml:space="preserve"> self-</w:t>
      </w:r>
      <w:proofErr w:type="spellStart"/>
      <w:r w:rsidRPr="00280CB2">
        <w:t>efficacy</w:t>
      </w:r>
      <w:proofErr w:type="spellEnd"/>
      <w:r w:rsidRPr="00280CB2">
        <w:t xml:space="preserve"> of </w:t>
      </w:r>
      <w:proofErr w:type="spellStart"/>
      <w:r w:rsidRPr="00280CB2">
        <w:t>students</w:t>
      </w:r>
      <w:proofErr w:type="spellEnd"/>
      <w:r w:rsidRPr="00280CB2">
        <w:t xml:space="preserve"> in </w:t>
      </w:r>
      <w:proofErr w:type="spellStart"/>
      <w:r w:rsidRPr="00280CB2">
        <w:t>resisting</w:t>
      </w:r>
      <w:proofErr w:type="spellEnd"/>
      <w:r w:rsidRPr="00280CB2">
        <w:t xml:space="preserve"> </w:t>
      </w:r>
      <w:proofErr w:type="spellStart"/>
      <w:r w:rsidRPr="00280CB2">
        <w:t>against</w:t>
      </w:r>
      <w:proofErr w:type="spellEnd"/>
      <w:r w:rsidRPr="00280CB2">
        <w:t xml:space="preserve"> </w:t>
      </w:r>
      <w:proofErr w:type="spellStart"/>
      <w:r w:rsidRPr="00280CB2">
        <w:t>substance</w:t>
      </w:r>
      <w:proofErr w:type="spellEnd"/>
      <w:r w:rsidRPr="00280CB2">
        <w:t xml:space="preserve"> </w:t>
      </w:r>
      <w:proofErr w:type="spellStart"/>
      <w:r w:rsidRPr="00280CB2">
        <w:t>addiction</w:t>
      </w:r>
      <w:proofErr w:type="spellEnd"/>
      <w:r w:rsidRPr="00280CB2">
        <w:t xml:space="preserve">: A pilot </w:t>
      </w:r>
      <w:proofErr w:type="spellStart"/>
      <w:r w:rsidRPr="00280CB2">
        <w:t>study</w:t>
      </w:r>
      <w:proofErr w:type="spellEnd"/>
      <w:r w:rsidRPr="00280CB2">
        <w:t xml:space="preserve">. </w:t>
      </w:r>
      <w:r w:rsidRPr="00E359E0">
        <w:rPr>
          <w:i/>
        </w:rPr>
        <w:t xml:space="preserve">INQUIRY: </w:t>
      </w:r>
      <w:proofErr w:type="spellStart"/>
      <w:r w:rsidRPr="00E359E0">
        <w:rPr>
          <w:i/>
        </w:rPr>
        <w:t>The</w:t>
      </w:r>
      <w:proofErr w:type="spellEnd"/>
      <w:r w:rsidRPr="00E359E0">
        <w:rPr>
          <w:i/>
        </w:rPr>
        <w:t xml:space="preserve"> </w:t>
      </w:r>
      <w:proofErr w:type="spellStart"/>
      <w:r w:rsidRPr="00E359E0">
        <w:rPr>
          <w:i/>
        </w:rPr>
        <w:t>Journal</w:t>
      </w:r>
      <w:proofErr w:type="spellEnd"/>
      <w:r w:rsidRPr="00E359E0">
        <w:rPr>
          <w:i/>
        </w:rPr>
        <w:t xml:space="preserve"> of </w:t>
      </w:r>
      <w:proofErr w:type="spellStart"/>
      <w:r w:rsidRPr="00E359E0">
        <w:rPr>
          <w:i/>
        </w:rPr>
        <w:t>Health</w:t>
      </w:r>
      <w:proofErr w:type="spellEnd"/>
      <w:r w:rsidRPr="00E359E0">
        <w:rPr>
          <w:i/>
        </w:rPr>
        <w:t xml:space="preserve"> </w:t>
      </w:r>
      <w:proofErr w:type="spellStart"/>
      <w:r w:rsidRPr="00E359E0">
        <w:rPr>
          <w:i/>
        </w:rPr>
        <w:t>Care</w:t>
      </w:r>
      <w:proofErr w:type="spellEnd"/>
      <w:r w:rsidRPr="00E359E0">
        <w:rPr>
          <w:i/>
        </w:rPr>
        <w:t xml:space="preserve"> </w:t>
      </w:r>
      <w:proofErr w:type="spellStart"/>
      <w:r w:rsidRPr="00E359E0">
        <w:rPr>
          <w:i/>
        </w:rPr>
        <w:t>Organization</w:t>
      </w:r>
      <w:proofErr w:type="spellEnd"/>
      <w:r w:rsidRPr="00E359E0">
        <w:rPr>
          <w:i/>
        </w:rPr>
        <w:t xml:space="preserve">, </w:t>
      </w:r>
      <w:proofErr w:type="spellStart"/>
      <w:r w:rsidRPr="00E359E0">
        <w:rPr>
          <w:i/>
        </w:rPr>
        <w:t>Provision</w:t>
      </w:r>
      <w:proofErr w:type="spellEnd"/>
      <w:r w:rsidRPr="00E359E0">
        <w:rPr>
          <w:i/>
        </w:rPr>
        <w:t xml:space="preserve">, </w:t>
      </w:r>
      <w:proofErr w:type="spellStart"/>
      <w:r w:rsidRPr="00E359E0">
        <w:rPr>
          <w:i/>
        </w:rPr>
        <w:t>and</w:t>
      </w:r>
      <w:proofErr w:type="spellEnd"/>
      <w:r w:rsidRPr="00E359E0">
        <w:rPr>
          <w:i/>
        </w:rPr>
        <w:t xml:space="preserve"> </w:t>
      </w:r>
      <w:proofErr w:type="spellStart"/>
      <w:r w:rsidRPr="00E359E0">
        <w:rPr>
          <w:i/>
        </w:rPr>
        <w:t>Financing</w:t>
      </w:r>
      <w:proofErr w:type="spellEnd"/>
      <w:r w:rsidRPr="00280CB2">
        <w:t xml:space="preserve">, </w:t>
      </w:r>
      <w:r w:rsidRPr="00E359E0">
        <w:rPr>
          <w:i/>
        </w:rPr>
        <w:t>54</w:t>
      </w:r>
      <w:r w:rsidRPr="00280CB2">
        <w:t xml:space="preserve">, 1–6. </w:t>
      </w:r>
      <w:hyperlink r:id="rId327" w:history="1">
        <w:r w:rsidRPr="00280CB2">
          <w:rPr>
            <w:rStyle w:val="Kpr"/>
          </w:rPr>
          <w:t>https://doi.org/10.1177/0046958017720624</w:t>
        </w:r>
      </w:hyperlink>
    </w:p>
    <w:p w14:paraId="6E64BEDC" w14:textId="77777777" w:rsidR="00FA457D" w:rsidRPr="00280CB2" w:rsidRDefault="00FA457D">
      <w:pPr>
        <w:pStyle w:val="ListeParagraf"/>
        <w:numPr>
          <w:ilvl w:val="0"/>
          <w:numId w:val="60"/>
        </w:numPr>
        <w:tabs>
          <w:tab w:val="left" w:pos="0"/>
        </w:tabs>
        <w:spacing w:before="240"/>
        <w:jc w:val="both"/>
      </w:pPr>
      <w:proofErr w:type="spellStart"/>
      <w:r w:rsidRPr="00280CB2">
        <w:t>Karoğlu</w:t>
      </w:r>
      <w:proofErr w:type="spellEnd"/>
      <w:r w:rsidRPr="00280CB2">
        <w:t>, H., &amp; Ünüvar, P. (2017). Okul öncesi dönem çocuklarının gelişim özellikleri ve sosyal beceri düzeyleri. Mehmet Akif Ersoy Üniversitesi Eğitim Fakültesi Dergisi, 43, 231-254. https://doi.org/10.21764/efd.12383</w:t>
      </w:r>
    </w:p>
    <w:p w14:paraId="29FB0312" w14:textId="77777777" w:rsidR="00FA457D" w:rsidRPr="00280CB2" w:rsidRDefault="00FA457D">
      <w:pPr>
        <w:pStyle w:val="ListeParagraf"/>
        <w:numPr>
          <w:ilvl w:val="0"/>
          <w:numId w:val="60"/>
        </w:numPr>
        <w:tabs>
          <w:tab w:val="left" w:pos="0"/>
        </w:tabs>
        <w:jc w:val="both"/>
      </w:pPr>
      <w:r w:rsidRPr="00280CB2">
        <w:t xml:space="preserve">Kaya, F., &amp; Deniz, H. (2020).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using</w:t>
      </w:r>
      <w:proofErr w:type="spellEnd"/>
      <w:r w:rsidRPr="00280CB2">
        <w:t xml:space="preserve"> </w:t>
      </w:r>
      <w:proofErr w:type="spellStart"/>
      <w:r w:rsidRPr="00280CB2">
        <w:t>psychodrama</w:t>
      </w:r>
      <w:proofErr w:type="spellEnd"/>
      <w:r w:rsidRPr="00280CB2">
        <w:t xml:space="preserve"> on </w:t>
      </w:r>
      <w:proofErr w:type="spellStart"/>
      <w:r w:rsidRPr="00280CB2">
        <w:t>the</w:t>
      </w:r>
      <w:proofErr w:type="spellEnd"/>
      <w:r w:rsidRPr="00280CB2">
        <w:t xml:space="preserve"> </w:t>
      </w:r>
      <w:proofErr w:type="spellStart"/>
      <w:r w:rsidRPr="00280CB2">
        <w:t>psychological</w:t>
      </w:r>
      <w:proofErr w:type="spellEnd"/>
      <w:r w:rsidRPr="00280CB2">
        <w:t xml:space="preserve"> </w:t>
      </w:r>
      <w:proofErr w:type="spellStart"/>
      <w:r w:rsidRPr="00280CB2">
        <w:t>wellbeing</w:t>
      </w:r>
      <w:proofErr w:type="spellEnd"/>
      <w:r w:rsidRPr="00280CB2">
        <w:t xml:space="preserve"> of </w:t>
      </w:r>
      <w:proofErr w:type="spellStart"/>
      <w:r w:rsidRPr="00280CB2">
        <w:t>university</w:t>
      </w:r>
      <w:proofErr w:type="spellEnd"/>
      <w:r w:rsidRPr="00280CB2">
        <w:t xml:space="preserve"> </w:t>
      </w:r>
      <w:proofErr w:type="spellStart"/>
      <w:r w:rsidRPr="00280CB2">
        <w:t>students</w:t>
      </w:r>
      <w:proofErr w:type="spellEnd"/>
      <w:r w:rsidRPr="00280CB2">
        <w:t xml:space="preserve">. </w:t>
      </w:r>
      <w:proofErr w:type="spellStart"/>
      <w:r w:rsidRPr="00E359E0">
        <w:rPr>
          <w:i/>
        </w:rPr>
        <w:t>Perspectives</w:t>
      </w:r>
      <w:proofErr w:type="spellEnd"/>
      <w:r w:rsidRPr="00E359E0">
        <w:rPr>
          <w:i/>
        </w:rPr>
        <w:t xml:space="preserve"> in </w:t>
      </w:r>
      <w:proofErr w:type="spellStart"/>
      <w:r w:rsidRPr="00E359E0">
        <w:rPr>
          <w:i/>
        </w:rPr>
        <w:t>Psychiatric</w:t>
      </w:r>
      <w:proofErr w:type="spellEnd"/>
      <w:r w:rsidRPr="00E359E0">
        <w:rPr>
          <w:i/>
        </w:rPr>
        <w:t xml:space="preserve"> </w:t>
      </w:r>
      <w:proofErr w:type="spellStart"/>
      <w:r w:rsidRPr="00E359E0">
        <w:rPr>
          <w:i/>
        </w:rPr>
        <w:t>Care</w:t>
      </w:r>
      <w:proofErr w:type="spellEnd"/>
      <w:r w:rsidRPr="00280CB2">
        <w:t xml:space="preserve">, </w:t>
      </w:r>
      <w:r w:rsidRPr="00E359E0">
        <w:rPr>
          <w:i/>
        </w:rPr>
        <w:t>56</w:t>
      </w:r>
      <w:r w:rsidRPr="00280CB2">
        <w:t xml:space="preserve">(4), 905-912. </w:t>
      </w:r>
      <w:hyperlink r:id="rId328">
        <w:r w:rsidRPr="00E359E0">
          <w:rPr>
            <w:u w:val="single"/>
          </w:rPr>
          <w:t>https://doi.org/10.1111/ppc.12510</w:t>
        </w:r>
      </w:hyperlink>
    </w:p>
    <w:p w14:paraId="1DB19AD7" w14:textId="77777777" w:rsidR="00FA457D" w:rsidRPr="00280CB2" w:rsidRDefault="00FA457D">
      <w:pPr>
        <w:pStyle w:val="ListeParagraf"/>
        <w:numPr>
          <w:ilvl w:val="0"/>
          <w:numId w:val="60"/>
        </w:numPr>
        <w:tabs>
          <w:tab w:val="left" w:pos="0"/>
        </w:tabs>
        <w:jc w:val="both"/>
      </w:pPr>
      <w:r w:rsidRPr="00280CB2">
        <w:t>Kaya, Y., Güç, E., Kırlangıç-Şimşek, B., &amp; Cesur-</w:t>
      </w:r>
      <w:proofErr w:type="spellStart"/>
      <w:r w:rsidRPr="00280CB2">
        <w:t>Atintaş</w:t>
      </w:r>
      <w:proofErr w:type="spellEnd"/>
      <w:r w:rsidRPr="00280CB2">
        <w:t xml:space="preserve">, M. (2021). </w:t>
      </w:r>
      <w:proofErr w:type="spellStart"/>
      <w:r w:rsidRPr="00280CB2">
        <w:t>The</w:t>
      </w:r>
      <w:proofErr w:type="spellEnd"/>
      <w:r w:rsidRPr="00280CB2">
        <w:t xml:space="preserve"> </w:t>
      </w:r>
      <w:proofErr w:type="spellStart"/>
      <w:r w:rsidRPr="00280CB2">
        <w:t>effect</w:t>
      </w:r>
      <w:proofErr w:type="spellEnd"/>
      <w:r w:rsidRPr="00280CB2">
        <w:t xml:space="preserve"> of </w:t>
      </w:r>
      <w:proofErr w:type="spellStart"/>
      <w:r w:rsidRPr="00280CB2">
        <w:t>psychodrama</w:t>
      </w:r>
      <w:proofErr w:type="spellEnd"/>
      <w:r w:rsidRPr="00280CB2">
        <w:t xml:space="preserve"> </w:t>
      </w:r>
      <w:proofErr w:type="spellStart"/>
      <w:r w:rsidRPr="00280CB2">
        <w:t>group</w:t>
      </w:r>
      <w:proofErr w:type="spellEnd"/>
      <w:r w:rsidRPr="00280CB2">
        <w:t xml:space="preserve"> </w:t>
      </w:r>
      <w:proofErr w:type="spellStart"/>
      <w:r w:rsidRPr="00280CB2">
        <w:t>practices</w:t>
      </w:r>
      <w:proofErr w:type="spellEnd"/>
      <w:r w:rsidRPr="00280CB2">
        <w:t xml:space="preserve"> on </w:t>
      </w:r>
      <w:proofErr w:type="spellStart"/>
      <w:r w:rsidRPr="00280CB2">
        <w:t>nursing</w:t>
      </w:r>
      <w:proofErr w:type="spellEnd"/>
      <w:r w:rsidRPr="00280CB2">
        <w:t xml:space="preserve"> </w:t>
      </w:r>
      <w:proofErr w:type="spellStart"/>
      <w:r w:rsidRPr="00280CB2">
        <w:t>students</w:t>
      </w:r>
      <w:proofErr w:type="spellEnd"/>
      <w:r w:rsidRPr="00280CB2">
        <w:t>' self-</w:t>
      </w:r>
      <w:proofErr w:type="spellStart"/>
      <w:r w:rsidRPr="00280CB2">
        <w:t>liking</w:t>
      </w:r>
      <w:proofErr w:type="spellEnd"/>
      <w:r w:rsidRPr="00280CB2">
        <w:t>, self-</w:t>
      </w:r>
      <w:proofErr w:type="spellStart"/>
      <w:r w:rsidRPr="00280CB2">
        <w:t>competence</w:t>
      </w:r>
      <w:proofErr w:type="spellEnd"/>
      <w:r w:rsidRPr="00280CB2">
        <w:t xml:space="preserve">, </w:t>
      </w:r>
      <w:proofErr w:type="spellStart"/>
      <w:r w:rsidRPr="00280CB2">
        <w:t>and</w:t>
      </w:r>
      <w:proofErr w:type="spellEnd"/>
      <w:r w:rsidRPr="00280CB2">
        <w:t xml:space="preserve"> self-</w:t>
      </w:r>
      <w:proofErr w:type="spellStart"/>
      <w:r w:rsidRPr="00280CB2">
        <w:t>acceptance</w:t>
      </w:r>
      <w:proofErr w:type="spellEnd"/>
      <w:r w:rsidRPr="00280CB2">
        <w:t xml:space="preserve">: A </w:t>
      </w:r>
      <w:proofErr w:type="spellStart"/>
      <w:r w:rsidRPr="00280CB2">
        <w:t>quasi-experimental</w:t>
      </w:r>
      <w:proofErr w:type="spellEnd"/>
      <w:r w:rsidRPr="00280CB2">
        <w:t xml:space="preserve"> </w:t>
      </w:r>
      <w:proofErr w:type="spellStart"/>
      <w:r w:rsidRPr="00280CB2">
        <w:t>study</w:t>
      </w:r>
      <w:proofErr w:type="spellEnd"/>
      <w:r w:rsidRPr="00280CB2">
        <w:t xml:space="preserve">. </w:t>
      </w:r>
      <w:proofErr w:type="spellStart"/>
      <w:r w:rsidRPr="00E359E0">
        <w:rPr>
          <w:i/>
        </w:rPr>
        <w:t>Perspectives</w:t>
      </w:r>
      <w:proofErr w:type="spellEnd"/>
      <w:r w:rsidRPr="00E359E0">
        <w:rPr>
          <w:i/>
        </w:rPr>
        <w:t xml:space="preserve"> in </w:t>
      </w:r>
      <w:proofErr w:type="spellStart"/>
      <w:r w:rsidRPr="00E359E0">
        <w:rPr>
          <w:i/>
        </w:rPr>
        <w:t>Psychiatric</w:t>
      </w:r>
      <w:proofErr w:type="spellEnd"/>
      <w:r w:rsidRPr="00E359E0">
        <w:rPr>
          <w:i/>
        </w:rPr>
        <w:t xml:space="preserve"> </w:t>
      </w:r>
      <w:proofErr w:type="spellStart"/>
      <w:r w:rsidRPr="00E359E0">
        <w:rPr>
          <w:i/>
        </w:rPr>
        <w:t>Care</w:t>
      </w:r>
      <w:proofErr w:type="spellEnd"/>
      <w:r w:rsidRPr="00280CB2">
        <w:t xml:space="preserve">, </w:t>
      </w:r>
      <w:r w:rsidRPr="00E359E0">
        <w:rPr>
          <w:i/>
        </w:rPr>
        <w:t>57</w:t>
      </w:r>
      <w:r w:rsidRPr="00280CB2">
        <w:t xml:space="preserve">(4), 1805–1813. </w:t>
      </w:r>
      <w:hyperlink r:id="rId329">
        <w:r w:rsidRPr="00E359E0">
          <w:rPr>
            <w:u w:val="single"/>
          </w:rPr>
          <w:t>https://doi.org/10.1111/ppc.12921</w:t>
        </w:r>
      </w:hyperlink>
    </w:p>
    <w:p w14:paraId="418DE0A7" w14:textId="77777777" w:rsidR="00FA457D" w:rsidRPr="00280CB2" w:rsidRDefault="00FA457D">
      <w:pPr>
        <w:pStyle w:val="ListeParagraf"/>
        <w:numPr>
          <w:ilvl w:val="0"/>
          <w:numId w:val="60"/>
        </w:numPr>
        <w:tabs>
          <w:tab w:val="left" w:pos="0"/>
        </w:tabs>
        <w:jc w:val="both"/>
      </w:pPr>
      <w:proofErr w:type="spellStart"/>
      <w:r w:rsidRPr="00280CB2">
        <w:t>Kellermann</w:t>
      </w:r>
      <w:proofErr w:type="spellEnd"/>
      <w:r w:rsidRPr="00280CB2">
        <w:t xml:space="preserve">, P. F. (1992). </w:t>
      </w:r>
      <w:proofErr w:type="spellStart"/>
      <w:r w:rsidRPr="00280CB2">
        <w:t>Focus</w:t>
      </w:r>
      <w:proofErr w:type="spellEnd"/>
      <w:r w:rsidRPr="00280CB2">
        <w:t xml:space="preserve"> on </w:t>
      </w:r>
      <w:proofErr w:type="spellStart"/>
      <w:r w:rsidRPr="00280CB2">
        <w:t>Psychodrama</w:t>
      </w:r>
      <w:proofErr w:type="spellEnd"/>
      <w:r w:rsidRPr="00280CB2">
        <w:t xml:space="preserve">: </w:t>
      </w:r>
      <w:proofErr w:type="spellStart"/>
      <w:r w:rsidRPr="00280CB2">
        <w:t>The</w:t>
      </w:r>
      <w:proofErr w:type="spellEnd"/>
      <w:r w:rsidRPr="00280CB2">
        <w:t xml:space="preserve"> </w:t>
      </w:r>
      <w:proofErr w:type="spellStart"/>
      <w:r w:rsidRPr="00280CB2">
        <w:t>Therapeutic</w:t>
      </w:r>
      <w:proofErr w:type="spellEnd"/>
      <w:r w:rsidRPr="00280CB2">
        <w:t xml:space="preserve"> </w:t>
      </w:r>
      <w:proofErr w:type="spellStart"/>
      <w:r w:rsidRPr="00280CB2">
        <w:t>Aspects</w:t>
      </w:r>
      <w:proofErr w:type="spellEnd"/>
      <w:r w:rsidRPr="00280CB2">
        <w:t xml:space="preserve"> of </w:t>
      </w:r>
      <w:proofErr w:type="spellStart"/>
      <w:r w:rsidRPr="00280CB2">
        <w:t>Psychodrama</w:t>
      </w:r>
      <w:proofErr w:type="spellEnd"/>
      <w:r w:rsidRPr="00280CB2">
        <w:t xml:space="preserve">. </w:t>
      </w:r>
      <w:r w:rsidRPr="00E359E0">
        <w:rPr>
          <w:i/>
        </w:rPr>
        <w:t xml:space="preserve">Jessica </w:t>
      </w:r>
      <w:proofErr w:type="spellStart"/>
      <w:r w:rsidRPr="00E359E0">
        <w:rPr>
          <w:i/>
        </w:rPr>
        <w:t>Kingsley</w:t>
      </w:r>
      <w:proofErr w:type="spellEnd"/>
      <w:r w:rsidRPr="00E359E0">
        <w:rPr>
          <w:i/>
        </w:rPr>
        <w:t xml:space="preserve"> </w:t>
      </w:r>
      <w:proofErr w:type="spellStart"/>
      <w:r w:rsidRPr="00E359E0">
        <w:rPr>
          <w:i/>
        </w:rPr>
        <w:t>Publishers</w:t>
      </w:r>
      <w:proofErr w:type="spellEnd"/>
      <w:r w:rsidRPr="00280CB2">
        <w:t>.</w:t>
      </w:r>
    </w:p>
    <w:p w14:paraId="7AF0497F" w14:textId="77777777" w:rsidR="00FA457D" w:rsidRPr="00E359E0" w:rsidRDefault="00FA457D">
      <w:pPr>
        <w:pStyle w:val="ListeParagraf"/>
        <w:numPr>
          <w:ilvl w:val="0"/>
          <w:numId w:val="60"/>
        </w:numPr>
        <w:tabs>
          <w:tab w:val="left" w:pos="0"/>
        </w:tabs>
        <w:jc w:val="both"/>
        <w:rPr>
          <w:u w:val="single"/>
        </w:rPr>
      </w:pPr>
      <w:proofErr w:type="spellStart"/>
      <w:r w:rsidRPr="00280CB2">
        <w:t>Khalili</w:t>
      </w:r>
      <w:proofErr w:type="spellEnd"/>
      <w:r w:rsidRPr="00280CB2">
        <w:t xml:space="preserve">, F. N., &amp; </w:t>
      </w:r>
      <w:proofErr w:type="spellStart"/>
      <w:r w:rsidRPr="00280CB2">
        <w:t>Swilem</w:t>
      </w:r>
      <w:proofErr w:type="spellEnd"/>
      <w:r w:rsidRPr="00280CB2">
        <w:t xml:space="preserve">, S. (2021). </w:t>
      </w:r>
      <w:proofErr w:type="spellStart"/>
      <w:r w:rsidRPr="00280CB2">
        <w:t>The</w:t>
      </w:r>
      <w:proofErr w:type="spellEnd"/>
      <w:r w:rsidRPr="00280CB2">
        <w:t xml:space="preserve"> </w:t>
      </w:r>
      <w:proofErr w:type="spellStart"/>
      <w:r w:rsidRPr="00280CB2">
        <w:t>efficiency</w:t>
      </w:r>
      <w:proofErr w:type="spellEnd"/>
      <w:r w:rsidRPr="00280CB2">
        <w:t xml:space="preserve"> of a </w:t>
      </w:r>
      <w:proofErr w:type="spellStart"/>
      <w:r w:rsidRPr="00280CB2">
        <w:t>group</w:t>
      </w:r>
      <w:proofErr w:type="spellEnd"/>
      <w:r w:rsidRPr="00280CB2">
        <w:t xml:space="preserve"> </w:t>
      </w:r>
      <w:proofErr w:type="spellStart"/>
      <w:r w:rsidRPr="00280CB2">
        <w:t>counseling</w:t>
      </w:r>
      <w:proofErr w:type="spellEnd"/>
      <w:r w:rsidRPr="00280CB2">
        <w:t xml:space="preserve"> program </w:t>
      </w:r>
      <w:proofErr w:type="spellStart"/>
      <w:r w:rsidRPr="00280CB2">
        <w:t>based</w:t>
      </w:r>
      <w:proofErr w:type="spellEnd"/>
      <w:r w:rsidRPr="00280CB2">
        <w:t xml:space="preserve"> on </w:t>
      </w:r>
      <w:proofErr w:type="spellStart"/>
      <w:r w:rsidRPr="00280CB2">
        <w:t>psychodrama</w:t>
      </w:r>
      <w:proofErr w:type="spellEnd"/>
      <w:r w:rsidRPr="00280CB2">
        <w:t xml:space="preserve"> in </w:t>
      </w:r>
      <w:proofErr w:type="spellStart"/>
      <w:r w:rsidRPr="00280CB2">
        <w:t>enhancing</w:t>
      </w:r>
      <w:proofErr w:type="spellEnd"/>
      <w:r w:rsidRPr="00280CB2">
        <w:t xml:space="preserve"> self-</w:t>
      </w:r>
      <w:proofErr w:type="spellStart"/>
      <w:r w:rsidRPr="00280CB2">
        <w:t>awareness</w:t>
      </w:r>
      <w:proofErr w:type="spellEnd"/>
      <w:r w:rsidRPr="00280CB2">
        <w:t xml:space="preserve"> </w:t>
      </w:r>
      <w:proofErr w:type="spellStart"/>
      <w:r w:rsidRPr="00280CB2">
        <w:t>and</w:t>
      </w:r>
      <w:proofErr w:type="spellEnd"/>
      <w:r w:rsidRPr="00280CB2">
        <w:t xml:space="preserve"> </w:t>
      </w:r>
      <w:proofErr w:type="spellStart"/>
      <w:r w:rsidRPr="00280CB2">
        <w:t>reducing</w:t>
      </w:r>
      <w:proofErr w:type="spellEnd"/>
      <w:r w:rsidRPr="00280CB2">
        <w:t xml:space="preserve"> </w:t>
      </w:r>
      <w:proofErr w:type="spellStart"/>
      <w:r w:rsidRPr="00280CB2">
        <w:t>tension</w:t>
      </w:r>
      <w:proofErr w:type="spellEnd"/>
      <w:r w:rsidRPr="00280CB2">
        <w:t xml:space="preserve"> </w:t>
      </w:r>
      <w:proofErr w:type="spellStart"/>
      <w:r w:rsidRPr="00280CB2">
        <w:t>among</w:t>
      </w:r>
      <w:proofErr w:type="spellEnd"/>
      <w:r w:rsidRPr="00280CB2">
        <w:t xml:space="preserve"> </w:t>
      </w:r>
      <w:proofErr w:type="spellStart"/>
      <w:r w:rsidRPr="00280CB2">
        <w:t>tenth</w:t>
      </w:r>
      <w:proofErr w:type="spellEnd"/>
      <w:r w:rsidRPr="00280CB2">
        <w:t xml:space="preserve"> </w:t>
      </w:r>
      <w:proofErr w:type="spellStart"/>
      <w:r w:rsidRPr="00280CB2">
        <w:t>grade</w:t>
      </w:r>
      <w:proofErr w:type="spellEnd"/>
      <w:r w:rsidRPr="00280CB2">
        <w:t xml:space="preserve"> </w:t>
      </w:r>
      <w:proofErr w:type="spellStart"/>
      <w:r w:rsidRPr="00280CB2">
        <w:t>students</w:t>
      </w:r>
      <w:proofErr w:type="spellEnd"/>
      <w:r w:rsidRPr="00280CB2">
        <w:t xml:space="preserve"> in </w:t>
      </w:r>
      <w:proofErr w:type="spellStart"/>
      <w:r w:rsidRPr="00280CB2">
        <w:t>Qalqilia</w:t>
      </w:r>
      <w:proofErr w:type="spellEnd"/>
      <w:r w:rsidRPr="00280CB2">
        <w:t xml:space="preserve"> City. </w:t>
      </w:r>
      <w:proofErr w:type="spellStart"/>
      <w:r w:rsidRPr="00E359E0">
        <w:rPr>
          <w:i/>
        </w:rPr>
        <w:t>Education</w:t>
      </w:r>
      <w:proofErr w:type="spellEnd"/>
      <w:r w:rsidRPr="00E359E0">
        <w:rPr>
          <w:i/>
        </w:rPr>
        <w:t xml:space="preserve"> in </w:t>
      </w:r>
      <w:proofErr w:type="spellStart"/>
      <w:r w:rsidRPr="00E359E0">
        <w:rPr>
          <w:i/>
        </w:rPr>
        <w:t>the</w:t>
      </w:r>
      <w:proofErr w:type="spellEnd"/>
      <w:r w:rsidRPr="00E359E0">
        <w:rPr>
          <w:i/>
        </w:rPr>
        <w:t xml:space="preserve"> Knowledge </w:t>
      </w:r>
      <w:proofErr w:type="spellStart"/>
      <w:r w:rsidRPr="00E359E0">
        <w:rPr>
          <w:i/>
        </w:rPr>
        <w:t>Society</w:t>
      </w:r>
      <w:proofErr w:type="spellEnd"/>
      <w:r w:rsidRPr="00280CB2">
        <w:t xml:space="preserve">, </w:t>
      </w:r>
      <w:r w:rsidRPr="00E359E0">
        <w:rPr>
          <w:i/>
        </w:rPr>
        <w:t>22</w:t>
      </w:r>
      <w:r w:rsidRPr="00280CB2">
        <w:t xml:space="preserve">, e23921. </w:t>
      </w:r>
      <w:hyperlink r:id="rId330">
        <w:r w:rsidRPr="00E359E0">
          <w:rPr>
            <w:u w:val="single"/>
          </w:rPr>
          <w:t>https://doi.org/10.14201/eks.23921</w:t>
        </w:r>
      </w:hyperlink>
    </w:p>
    <w:p w14:paraId="6F407D60"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sz w:val="24"/>
          <w:szCs w:val="24"/>
        </w:rPr>
      </w:pPr>
      <w:r w:rsidRPr="00280CB2">
        <w:rPr>
          <w:rStyle w:val="Gl"/>
          <w:rFonts w:ascii="Times New Roman" w:hAnsi="Times New Roman" w:cs="Times New Roman"/>
          <w:sz w:val="24"/>
          <w:szCs w:val="24"/>
        </w:rPr>
        <w:t>Korkmaz, Y.</w:t>
      </w:r>
      <w:r w:rsidRPr="00280CB2">
        <w:rPr>
          <w:rFonts w:ascii="Times New Roman" w:hAnsi="Times New Roman" w:cs="Times New Roman"/>
          <w:sz w:val="24"/>
          <w:szCs w:val="24"/>
        </w:rPr>
        <w:t xml:space="preserve"> (2024). Medyaya yansıyan tamamlanmış 15-19 yaş aralığındaki intiharların analizi ve sosyal hizmetin önleyici rolü. </w:t>
      </w:r>
      <w:r w:rsidRPr="00280CB2">
        <w:rPr>
          <w:rStyle w:val="Vurgu"/>
          <w:rFonts w:ascii="Times New Roman" w:eastAsia="Calibri" w:hAnsi="Times New Roman" w:cs="Times New Roman"/>
          <w:sz w:val="24"/>
          <w:szCs w:val="24"/>
        </w:rPr>
        <w:t>Sosyal Bilimler Enstitüsü Dergisi, 14</w:t>
      </w:r>
      <w:r w:rsidRPr="00280CB2">
        <w:rPr>
          <w:rFonts w:ascii="Times New Roman" w:hAnsi="Times New Roman" w:cs="Times New Roman"/>
          <w:sz w:val="24"/>
          <w:szCs w:val="24"/>
        </w:rPr>
        <w:t>(1), 1</w:t>
      </w:r>
    </w:p>
    <w:p w14:paraId="1816CFFA" w14:textId="77777777" w:rsidR="00FA457D" w:rsidRPr="00280CB2" w:rsidRDefault="00FA457D">
      <w:pPr>
        <w:pStyle w:val="ListeParagraf"/>
        <w:numPr>
          <w:ilvl w:val="0"/>
          <w:numId w:val="60"/>
        </w:numPr>
        <w:tabs>
          <w:tab w:val="left" w:pos="0"/>
        </w:tabs>
        <w:jc w:val="both"/>
      </w:pPr>
      <w:r w:rsidRPr="00280CB2">
        <w:t>Korkut, F. (2003). Okullarda Önleyici Rehberlik Hizmetleri. Türk Psikolojik Danışma ve Rehberlik Dergisi, Cilt: II, Sayı: 20.</w:t>
      </w:r>
    </w:p>
    <w:p w14:paraId="3E35664A" w14:textId="77777777" w:rsidR="00FA457D" w:rsidRPr="00280CB2" w:rsidRDefault="00FA457D">
      <w:pPr>
        <w:pStyle w:val="ListeParagraf"/>
        <w:numPr>
          <w:ilvl w:val="0"/>
          <w:numId w:val="60"/>
        </w:numPr>
        <w:tabs>
          <w:tab w:val="left" w:pos="0"/>
        </w:tabs>
        <w:jc w:val="both"/>
      </w:pPr>
      <w:r w:rsidRPr="00280CB2">
        <w:t xml:space="preserve">Kök, M., Tuğluk, M. N., &amp; Bay, E. (2005). Okul öncesi eğitimin öğrencilerin gelişim özellikleri üzerindeki etkisinin incelenmesi. Kâzım Karabekir Eğitim Fakültesi Dergisi, 11, 1-10. </w:t>
      </w:r>
      <w:proofErr w:type="spellStart"/>
      <w:r w:rsidRPr="00280CB2">
        <w:t>DergiPark</w:t>
      </w:r>
      <w:proofErr w:type="spellEnd"/>
      <w:r w:rsidRPr="00280CB2">
        <w:t>.</w:t>
      </w:r>
    </w:p>
    <w:p w14:paraId="21A1EEC4" w14:textId="77777777" w:rsidR="00FA457D" w:rsidRPr="00280CB2" w:rsidRDefault="00FA457D">
      <w:pPr>
        <w:pStyle w:val="ListeParagraf"/>
        <w:numPr>
          <w:ilvl w:val="0"/>
          <w:numId w:val="60"/>
        </w:numPr>
        <w:tabs>
          <w:tab w:val="left" w:pos="0"/>
        </w:tabs>
        <w:jc w:val="both"/>
      </w:pPr>
      <w:proofErr w:type="spellStart"/>
      <w:r w:rsidRPr="00280CB2">
        <w:t>Krall</w:t>
      </w:r>
      <w:proofErr w:type="spellEnd"/>
      <w:r w:rsidRPr="00280CB2">
        <w:t xml:space="preserve">, H. (2023). </w:t>
      </w:r>
      <w:proofErr w:type="spellStart"/>
      <w:r w:rsidRPr="00280CB2">
        <w:t>Psychodrama</w:t>
      </w:r>
      <w:proofErr w:type="spellEnd"/>
      <w:r w:rsidRPr="00280CB2">
        <w:t xml:space="preserve"> </w:t>
      </w:r>
      <w:proofErr w:type="spellStart"/>
      <w:r w:rsidRPr="00280CB2">
        <w:t>with</w:t>
      </w:r>
      <w:proofErr w:type="spellEnd"/>
      <w:r w:rsidRPr="00280CB2">
        <w:t xml:space="preserve"> </w:t>
      </w:r>
      <w:proofErr w:type="spellStart"/>
      <w:r w:rsidRPr="00280CB2">
        <w:t>children</w:t>
      </w:r>
      <w:proofErr w:type="spellEnd"/>
      <w:r w:rsidRPr="00280CB2">
        <w:t xml:space="preserve">: </w:t>
      </w:r>
      <w:proofErr w:type="spellStart"/>
      <w:r w:rsidRPr="00280CB2">
        <w:t>To</w:t>
      </w:r>
      <w:proofErr w:type="spellEnd"/>
      <w:r w:rsidRPr="00280CB2">
        <w:t xml:space="preserve"> </w:t>
      </w:r>
      <w:proofErr w:type="spellStart"/>
      <w:r w:rsidRPr="00280CB2">
        <w:t>promote</w:t>
      </w:r>
      <w:proofErr w:type="spellEnd"/>
      <w:r w:rsidRPr="00280CB2">
        <w:t xml:space="preserve"> </w:t>
      </w:r>
      <w:proofErr w:type="spellStart"/>
      <w:r w:rsidRPr="00280CB2">
        <w:t>social</w:t>
      </w:r>
      <w:proofErr w:type="spellEnd"/>
      <w:r w:rsidRPr="00280CB2">
        <w:t xml:space="preserve"> </w:t>
      </w:r>
      <w:proofErr w:type="spellStart"/>
      <w:r w:rsidRPr="00280CB2">
        <w:t>learning</w:t>
      </w:r>
      <w:proofErr w:type="spellEnd"/>
      <w:r w:rsidRPr="00280CB2">
        <w:t xml:space="preserve"> </w:t>
      </w:r>
      <w:proofErr w:type="spellStart"/>
      <w:r w:rsidRPr="00280CB2">
        <w:t>and</w:t>
      </w:r>
      <w:proofErr w:type="spellEnd"/>
      <w:r w:rsidRPr="00280CB2">
        <w:t xml:space="preserve"> role </w:t>
      </w:r>
      <w:proofErr w:type="spellStart"/>
      <w:r w:rsidRPr="00280CB2">
        <w:t>development</w:t>
      </w:r>
      <w:proofErr w:type="spellEnd"/>
      <w:r w:rsidRPr="00280CB2">
        <w:t xml:space="preserve"> of </w:t>
      </w:r>
      <w:proofErr w:type="spellStart"/>
      <w:r w:rsidRPr="00280CB2">
        <w:t>multiply</w:t>
      </w:r>
      <w:proofErr w:type="spellEnd"/>
      <w:r w:rsidRPr="00280CB2">
        <w:t xml:space="preserve"> </w:t>
      </w:r>
      <w:proofErr w:type="spellStart"/>
      <w:r w:rsidRPr="00280CB2">
        <w:t>stressed</w:t>
      </w:r>
      <w:proofErr w:type="spellEnd"/>
      <w:r w:rsidRPr="00280CB2">
        <w:t xml:space="preserve"> </w:t>
      </w:r>
      <w:proofErr w:type="spellStart"/>
      <w:r w:rsidRPr="00280CB2">
        <w:t>children</w:t>
      </w:r>
      <w:proofErr w:type="spellEnd"/>
      <w:r w:rsidRPr="00280CB2">
        <w:t xml:space="preserve">. </w:t>
      </w:r>
      <w:proofErr w:type="spellStart"/>
      <w:r w:rsidRPr="00280CB2">
        <w:t>Zeitschrift</w:t>
      </w:r>
      <w:proofErr w:type="spellEnd"/>
      <w:r w:rsidRPr="00280CB2">
        <w:t xml:space="preserve"> </w:t>
      </w:r>
      <w:proofErr w:type="spellStart"/>
      <w:r w:rsidRPr="00280CB2">
        <w:t>für</w:t>
      </w:r>
      <w:proofErr w:type="spellEnd"/>
      <w:r w:rsidRPr="00280CB2">
        <w:t xml:space="preserve"> </w:t>
      </w:r>
      <w:proofErr w:type="spellStart"/>
      <w:r w:rsidRPr="00280CB2">
        <w:t>Psychodrama</w:t>
      </w:r>
      <w:proofErr w:type="spellEnd"/>
      <w:r w:rsidRPr="00280CB2">
        <w:t xml:space="preserve"> </w:t>
      </w:r>
      <w:proofErr w:type="spellStart"/>
      <w:r w:rsidRPr="00280CB2">
        <w:t>und</w:t>
      </w:r>
      <w:proofErr w:type="spellEnd"/>
      <w:r w:rsidRPr="00280CB2">
        <w:t xml:space="preserve"> </w:t>
      </w:r>
      <w:proofErr w:type="spellStart"/>
      <w:r w:rsidRPr="00280CB2">
        <w:t>Soziometrie</w:t>
      </w:r>
      <w:proofErr w:type="spellEnd"/>
      <w:r w:rsidRPr="00280CB2">
        <w:t>. https://doi.org/10.1007/s11620-023-00765-1</w:t>
      </w:r>
    </w:p>
    <w:p w14:paraId="5C518C6D" w14:textId="77777777" w:rsidR="00FA457D" w:rsidRPr="00280CB2" w:rsidRDefault="00FA457D">
      <w:pPr>
        <w:pStyle w:val="ListeParagraf"/>
        <w:numPr>
          <w:ilvl w:val="0"/>
          <w:numId w:val="60"/>
        </w:numPr>
        <w:tabs>
          <w:tab w:val="left" w:pos="0"/>
        </w:tabs>
        <w:jc w:val="both"/>
      </w:pPr>
      <w:proofErr w:type="spellStart"/>
      <w:r w:rsidRPr="00280CB2">
        <w:t>Kruczek</w:t>
      </w:r>
      <w:proofErr w:type="spellEnd"/>
      <w:r w:rsidRPr="00280CB2">
        <w:t xml:space="preserve">, T., &amp; </w:t>
      </w:r>
      <w:proofErr w:type="spellStart"/>
      <w:r w:rsidRPr="00280CB2">
        <w:t>Zagelbaum</w:t>
      </w:r>
      <w:proofErr w:type="spellEnd"/>
      <w:r w:rsidRPr="00280CB2">
        <w:t xml:space="preserve">, A. (2004). </w:t>
      </w:r>
      <w:proofErr w:type="spellStart"/>
      <w:r w:rsidRPr="00280CB2">
        <w:t>Increasing</w:t>
      </w:r>
      <w:proofErr w:type="spellEnd"/>
      <w:r w:rsidRPr="00280CB2">
        <w:t xml:space="preserve"> </w:t>
      </w:r>
      <w:proofErr w:type="spellStart"/>
      <w:r w:rsidRPr="00280CB2">
        <w:t>adolescent</w:t>
      </w:r>
      <w:proofErr w:type="spellEnd"/>
      <w:r w:rsidRPr="00280CB2">
        <w:t xml:space="preserve"> </w:t>
      </w:r>
      <w:proofErr w:type="spellStart"/>
      <w:r w:rsidRPr="00280CB2">
        <w:t>awareness</w:t>
      </w:r>
      <w:proofErr w:type="spellEnd"/>
      <w:r w:rsidRPr="00280CB2">
        <w:t xml:space="preserve"> of at risk </w:t>
      </w:r>
      <w:proofErr w:type="spellStart"/>
      <w:r w:rsidRPr="00280CB2">
        <w:t>behaviors</w:t>
      </w:r>
      <w:proofErr w:type="spellEnd"/>
      <w:r w:rsidRPr="00280CB2">
        <w:t xml:space="preserve"> </w:t>
      </w:r>
      <w:proofErr w:type="spellStart"/>
      <w:r w:rsidRPr="00280CB2">
        <w:t>via</w:t>
      </w:r>
      <w:proofErr w:type="spellEnd"/>
      <w:r w:rsidRPr="00280CB2">
        <w:t xml:space="preserve"> </w:t>
      </w:r>
      <w:proofErr w:type="spellStart"/>
      <w:r w:rsidRPr="00280CB2">
        <w:t>psychoeducational</w:t>
      </w:r>
      <w:proofErr w:type="spellEnd"/>
      <w:r w:rsidRPr="00280CB2">
        <w:t xml:space="preserve"> drama. </w:t>
      </w:r>
      <w:proofErr w:type="spellStart"/>
      <w:r w:rsidRPr="00280CB2">
        <w:t>The</w:t>
      </w:r>
      <w:proofErr w:type="spellEnd"/>
      <w:r w:rsidRPr="00280CB2">
        <w:t xml:space="preserve"> </w:t>
      </w:r>
      <w:proofErr w:type="spellStart"/>
      <w:r w:rsidRPr="00280CB2">
        <w:t>Arts</w:t>
      </w:r>
      <w:proofErr w:type="spellEnd"/>
      <w:r w:rsidRPr="00280CB2">
        <w:t xml:space="preserve"> in </w:t>
      </w:r>
      <w:proofErr w:type="spellStart"/>
      <w:r w:rsidRPr="00280CB2">
        <w:t>Psychotherapy</w:t>
      </w:r>
      <w:proofErr w:type="spellEnd"/>
      <w:r w:rsidRPr="00280CB2">
        <w:t xml:space="preserve">, (31), 1–10. </w:t>
      </w:r>
      <w:hyperlink r:id="rId331" w:history="1">
        <w:r w:rsidRPr="00280CB2">
          <w:rPr>
            <w:rStyle w:val="Kpr"/>
          </w:rPr>
          <w:t>https://doi.org/10.1016/j.aip.2003.11.004</w:t>
        </w:r>
      </w:hyperlink>
    </w:p>
    <w:p w14:paraId="3F85066B" w14:textId="77777777" w:rsidR="00FA457D" w:rsidRPr="00280CB2" w:rsidRDefault="00FA457D">
      <w:pPr>
        <w:pStyle w:val="ListeParagraf"/>
        <w:numPr>
          <w:ilvl w:val="0"/>
          <w:numId w:val="60"/>
        </w:numPr>
        <w:tabs>
          <w:tab w:val="left" w:pos="0"/>
        </w:tabs>
        <w:jc w:val="both"/>
      </w:pPr>
      <w:proofErr w:type="spellStart"/>
      <w:r w:rsidRPr="00280CB2">
        <w:t>Leff</w:t>
      </w:r>
      <w:proofErr w:type="spellEnd"/>
      <w:r w:rsidRPr="00280CB2">
        <w:t xml:space="preserve">, S. S. (2007). </w:t>
      </w:r>
      <w:proofErr w:type="spellStart"/>
      <w:r w:rsidRPr="00280CB2">
        <w:t>Bullying</w:t>
      </w:r>
      <w:proofErr w:type="spellEnd"/>
      <w:r w:rsidRPr="00280CB2">
        <w:t xml:space="preserve"> </w:t>
      </w:r>
      <w:proofErr w:type="spellStart"/>
      <w:r w:rsidRPr="00280CB2">
        <w:t>and</w:t>
      </w:r>
      <w:proofErr w:type="spellEnd"/>
      <w:r w:rsidRPr="00280CB2">
        <w:t xml:space="preserve"> </w:t>
      </w:r>
      <w:proofErr w:type="spellStart"/>
      <w:r w:rsidRPr="00280CB2">
        <w:t>peer</w:t>
      </w:r>
      <w:proofErr w:type="spellEnd"/>
      <w:r w:rsidRPr="00280CB2">
        <w:t xml:space="preserve"> </w:t>
      </w:r>
      <w:proofErr w:type="spellStart"/>
      <w:r w:rsidRPr="00280CB2">
        <w:t>victimization</w:t>
      </w:r>
      <w:proofErr w:type="spellEnd"/>
      <w:r w:rsidRPr="00280CB2">
        <w:t xml:space="preserve"> at </w:t>
      </w:r>
      <w:proofErr w:type="spellStart"/>
      <w:r w:rsidRPr="00280CB2">
        <w:t>school</w:t>
      </w:r>
      <w:proofErr w:type="spellEnd"/>
      <w:r w:rsidRPr="00280CB2">
        <w:t xml:space="preserve">: </w:t>
      </w:r>
      <w:proofErr w:type="spellStart"/>
      <w:r w:rsidRPr="00280CB2">
        <w:t>Considerations</w:t>
      </w:r>
      <w:proofErr w:type="spellEnd"/>
      <w:r w:rsidRPr="00280CB2">
        <w:t xml:space="preserve"> </w:t>
      </w:r>
      <w:proofErr w:type="spellStart"/>
      <w:r w:rsidRPr="00280CB2">
        <w:t>and</w:t>
      </w:r>
      <w:proofErr w:type="spellEnd"/>
      <w:r w:rsidRPr="00280CB2">
        <w:t xml:space="preserve"> </w:t>
      </w:r>
      <w:proofErr w:type="spellStart"/>
      <w:r w:rsidRPr="00280CB2">
        <w:t>future</w:t>
      </w:r>
      <w:proofErr w:type="spellEnd"/>
      <w:r w:rsidRPr="00280CB2">
        <w:t xml:space="preserve"> </w:t>
      </w:r>
      <w:proofErr w:type="spellStart"/>
      <w:r w:rsidRPr="00280CB2">
        <w:t>directions</w:t>
      </w:r>
      <w:proofErr w:type="spellEnd"/>
      <w:r w:rsidRPr="00280CB2">
        <w:t xml:space="preserve">. </w:t>
      </w:r>
      <w:r w:rsidRPr="00E359E0">
        <w:rPr>
          <w:i/>
        </w:rPr>
        <w:t xml:space="preserve">School </w:t>
      </w:r>
      <w:proofErr w:type="spellStart"/>
      <w:r w:rsidRPr="00E359E0">
        <w:rPr>
          <w:i/>
        </w:rPr>
        <w:t>Psychology</w:t>
      </w:r>
      <w:proofErr w:type="spellEnd"/>
      <w:r w:rsidRPr="00E359E0">
        <w:rPr>
          <w:i/>
        </w:rPr>
        <w:t xml:space="preserve"> </w:t>
      </w:r>
      <w:proofErr w:type="spellStart"/>
      <w:r w:rsidRPr="00E359E0">
        <w:rPr>
          <w:i/>
        </w:rPr>
        <w:t>Review</w:t>
      </w:r>
      <w:proofErr w:type="spellEnd"/>
      <w:r w:rsidRPr="00280CB2">
        <w:t>, 36(3), 406-412.</w:t>
      </w:r>
    </w:p>
    <w:p w14:paraId="6D540206" w14:textId="77777777" w:rsidR="00FA457D" w:rsidRPr="00280CB2" w:rsidRDefault="00FA457D">
      <w:pPr>
        <w:pStyle w:val="ListeParagraf"/>
        <w:numPr>
          <w:ilvl w:val="0"/>
          <w:numId w:val="60"/>
        </w:numPr>
        <w:tabs>
          <w:tab w:val="left" w:pos="0"/>
        </w:tabs>
        <w:jc w:val="both"/>
      </w:pPr>
      <w:proofErr w:type="spellStart"/>
      <w:r w:rsidRPr="00280CB2">
        <w:t>López-González</w:t>
      </w:r>
      <w:proofErr w:type="spellEnd"/>
      <w:r w:rsidRPr="00280CB2">
        <w:t xml:space="preserve">, M. A., </w:t>
      </w:r>
      <w:proofErr w:type="spellStart"/>
      <w:r w:rsidRPr="00280CB2">
        <w:t>Morales-Landazábal</w:t>
      </w:r>
      <w:proofErr w:type="spellEnd"/>
      <w:r w:rsidRPr="00280CB2">
        <w:t xml:space="preserve">, P., &amp; Topa, G. (2021). </w:t>
      </w:r>
      <w:proofErr w:type="spellStart"/>
      <w:r w:rsidRPr="00280CB2">
        <w:t>Psychodrama</w:t>
      </w:r>
      <w:proofErr w:type="spellEnd"/>
      <w:r w:rsidRPr="00280CB2">
        <w:t xml:space="preserve"> </w:t>
      </w:r>
      <w:proofErr w:type="spellStart"/>
      <w:r w:rsidRPr="00280CB2">
        <w:t>group</w:t>
      </w:r>
      <w:proofErr w:type="spellEnd"/>
      <w:r w:rsidRPr="00280CB2">
        <w:t xml:space="preserve"> </w:t>
      </w:r>
      <w:proofErr w:type="spellStart"/>
      <w:r w:rsidRPr="00280CB2">
        <w:t>therapy</w:t>
      </w:r>
      <w:proofErr w:type="spellEnd"/>
      <w:r w:rsidRPr="00280CB2">
        <w:t xml:space="preserve"> </w:t>
      </w:r>
      <w:proofErr w:type="spellStart"/>
      <w:r w:rsidRPr="00280CB2">
        <w:t>for</w:t>
      </w:r>
      <w:proofErr w:type="spellEnd"/>
      <w:r w:rsidRPr="00280CB2">
        <w:t xml:space="preserve"> </w:t>
      </w:r>
      <w:proofErr w:type="spellStart"/>
      <w:r w:rsidRPr="00280CB2">
        <w:t>social</w:t>
      </w:r>
      <w:proofErr w:type="spellEnd"/>
      <w:r w:rsidRPr="00280CB2">
        <w:t xml:space="preserve"> </w:t>
      </w:r>
      <w:proofErr w:type="spellStart"/>
      <w:r w:rsidRPr="00280CB2">
        <w:t>issues</w:t>
      </w:r>
      <w:proofErr w:type="spellEnd"/>
      <w:r w:rsidRPr="00280CB2">
        <w:t xml:space="preserve">: A </w:t>
      </w:r>
      <w:proofErr w:type="spellStart"/>
      <w:r w:rsidRPr="00280CB2">
        <w:t>systematic</w:t>
      </w:r>
      <w:proofErr w:type="spellEnd"/>
      <w:r w:rsidRPr="00280CB2">
        <w:t xml:space="preserve"> </w:t>
      </w:r>
      <w:proofErr w:type="spellStart"/>
      <w:r w:rsidRPr="00280CB2">
        <w:t>review</w:t>
      </w:r>
      <w:proofErr w:type="spellEnd"/>
      <w:r w:rsidRPr="00280CB2">
        <w:t xml:space="preserve"> of </w:t>
      </w:r>
      <w:proofErr w:type="spellStart"/>
      <w:r w:rsidRPr="00280CB2">
        <w:t>controlled</w:t>
      </w:r>
      <w:proofErr w:type="spellEnd"/>
      <w:r w:rsidRPr="00280CB2">
        <w:t xml:space="preserve"> </w:t>
      </w:r>
      <w:proofErr w:type="spellStart"/>
      <w:r w:rsidRPr="00280CB2">
        <w:t>clinical</w:t>
      </w:r>
      <w:proofErr w:type="spellEnd"/>
      <w:r w:rsidRPr="00280CB2">
        <w:t xml:space="preserve"> </w:t>
      </w:r>
      <w:proofErr w:type="spellStart"/>
      <w:r w:rsidRPr="00280CB2">
        <w:t>trials</w:t>
      </w:r>
      <w:proofErr w:type="spellEnd"/>
      <w:r w:rsidRPr="00280CB2">
        <w:t xml:space="preserve">. </w:t>
      </w:r>
      <w:r w:rsidRPr="00E359E0">
        <w:rPr>
          <w:i/>
        </w:rPr>
        <w:t xml:space="preserve">International </w:t>
      </w:r>
      <w:proofErr w:type="spellStart"/>
      <w:r w:rsidRPr="00E359E0">
        <w:rPr>
          <w:i/>
        </w:rPr>
        <w:t>Journal</w:t>
      </w:r>
      <w:proofErr w:type="spellEnd"/>
      <w:r w:rsidRPr="00E359E0">
        <w:rPr>
          <w:i/>
        </w:rPr>
        <w:t xml:space="preserve"> of </w:t>
      </w:r>
      <w:proofErr w:type="spellStart"/>
      <w:r w:rsidRPr="00E359E0">
        <w:rPr>
          <w:i/>
        </w:rPr>
        <w:t>Environmental</w:t>
      </w:r>
      <w:proofErr w:type="spellEnd"/>
      <w:r w:rsidRPr="00E359E0">
        <w:rPr>
          <w:i/>
        </w:rPr>
        <w:t xml:space="preserve"> </w:t>
      </w:r>
      <w:proofErr w:type="spellStart"/>
      <w:r w:rsidRPr="00E359E0">
        <w:rPr>
          <w:i/>
        </w:rPr>
        <w:t>Research</w:t>
      </w:r>
      <w:proofErr w:type="spellEnd"/>
      <w:r w:rsidRPr="00E359E0">
        <w:rPr>
          <w:i/>
        </w:rPr>
        <w:t xml:space="preserve"> </w:t>
      </w:r>
      <w:proofErr w:type="spellStart"/>
      <w:r w:rsidRPr="00E359E0">
        <w:rPr>
          <w:i/>
        </w:rPr>
        <w:t>and</w:t>
      </w:r>
      <w:proofErr w:type="spellEnd"/>
      <w:r w:rsidRPr="00E359E0">
        <w:rPr>
          <w:i/>
        </w:rPr>
        <w:t xml:space="preserve"> </w:t>
      </w:r>
      <w:proofErr w:type="spellStart"/>
      <w:r w:rsidRPr="00E359E0">
        <w:rPr>
          <w:i/>
        </w:rPr>
        <w:t>Public</w:t>
      </w:r>
      <w:proofErr w:type="spellEnd"/>
      <w:r w:rsidRPr="00E359E0">
        <w:rPr>
          <w:i/>
        </w:rPr>
        <w:t xml:space="preserve"> </w:t>
      </w:r>
      <w:proofErr w:type="spellStart"/>
      <w:r w:rsidRPr="00E359E0">
        <w:rPr>
          <w:i/>
        </w:rPr>
        <w:t>Health</w:t>
      </w:r>
      <w:proofErr w:type="spellEnd"/>
      <w:r w:rsidRPr="00E359E0">
        <w:rPr>
          <w:i/>
        </w:rPr>
        <w:t>, 18</w:t>
      </w:r>
      <w:r w:rsidRPr="00280CB2">
        <w:t xml:space="preserve">(9), 4442. </w:t>
      </w:r>
      <w:hyperlink r:id="rId332">
        <w:r w:rsidRPr="00E359E0">
          <w:rPr>
            <w:u w:val="single"/>
          </w:rPr>
          <w:t>https://doi.org/10.3390/ijerph18094442</w:t>
        </w:r>
      </w:hyperlink>
    </w:p>
    <w:p w14:paraId="4ADE8123" w14:textId="77777777" w:rsidR="00FA457D" w:rsidRPr="00280CB2" w:rsidRDefault="00FA457D">
      <w:pPr>
        <w:pStyle w:val="ListeParagraf"/>
        <w:numPr>
          <w:ilvl w:val="0"/>
          <w:numId w:val="60"/>
        </w:numPr>
        <w:tabs>
          <w:tab w:val="left" w:pos="0"/>
        </w:tabs>
        <w:jc w:val="both"/>
      </w:pPr>
      <w:proofErr w:type="spellStart"/>
      <w:r w:rsidRPr="00280CB2">
        <w:lastRenderedPageBreak/>
        <w:t>Mavroudis</w:t>
      </w:r>
      <w:proofErr w:type="spellEnd"/>
      <w:r w:rsidRPr="00280CB2">
        <w:t xml:space="preserve">, N., &amp; </w:t>
      </w:r>
      <w:proofErr w:type="spellStart"/>
      <w:r w:rsidRPr="00280CB2">
        <w:t>Bournelli</w:t>
      </w:r>
      <w:proofErr w:type="spellEnd"/>
      <w:r w:rsidRPr="00280CB2">
        <w:t xml:space="preserve">, P. (2016). </w:t>
      </w:r>
      <w:proofErr w:type="spellStart"/>
      <w:r w:rsidRPr="00280CB2">
        <w:t>The</w:t>
      </w:r>
      <w:proofErr w:type="spellEnd"/>
      <w:r w:rsidRPr="00280CB2">
        <w:t xml:space="preserve"> role of drama in </w:t>
      </w:r>
      <w:proofErr w:type="spellStart"/>
      <w:r w:rsidRPr="00280CB2">
        <w:t>education</w:t>
      </w:r>
      <w:proofErr w:type="spellEnd"/>
      <w:r w:rsidRPr="00280CB2">
        <w:t xml:space="preserve"> in </w:t>
      </w:r>
      <w:proofErr w:type="spellStart"/>
      <w:r w:rsidRPr="00280CB2">
        <w:t>counteracting</w:t>
      </w:r>
      <w:proofErr w:type="spellEnd"/>
      <w:r w:rsidRPr="00280CB2">
        <w:t xml:space="preserve"> </w:t>
      </w:r>
      <w:proofErr w:type="spellStart"/>
      <w:r w:rsidRPr="00280CB2">
        <w:t>bullying</w:t>
      </w:r>
      <w:proofErr w:type="spellEnd"/>
      <w:r w:rsidRPr="00280CB2">
        <w:t xml:space="preserve"> in </w:t>
      </w:r>
      <w:proofErr w:type="spellStart"/>
      <w:r w:rsidRPr="00280CB2">
        <w:t>schools</w:t>
      </w:r>
      <w:proofErr w:type="spellEnd"/>
      <w:r w:rsidRPr="00280CB2">
        <w:t xml:space="preserve">. </w:t>
      </w:r>
      <w:proofErr w:type="spellStart"/>
      <w:r w:rsidRPr="00E359E0">
        <w:rPr>
          <w:i/>
        </w:rPr>
        <w:t>Cogent</w:t>
      </w:r>
      <w:proofErr w:type="spellEnd"/>
      <w:r w:rsidRPr="00E359E0">
        <w:rPr>
          <w:i/>
        </w:rPr>
        <w:t xml:space="preserve"> </w:t>
      </w:r>
      <w:proofErr w:type="spellStart"/>
      <w:r w:rsidRPr="00E359E0">
        <w:rPr>
          <w:i/>
        </w:rPr>
        <w:t>Education</w:t>
      </w:r>
      <w:proofErr w:type="spellEnd"/>
      <w:r w:rsidRPr="00280CB2">
        <w:t>, 3(1), 1-12. doi:10.1080/2331186X.2016.1233843.</w:t>
      </w:r>
    </w:p>
    <w:p w14:paraId="550CF75A" w14:textId="77777777" w:rsidR="00FA457D" w:rsidRPr="00280CB2" w:rsidRDefault="00FA457D">
      <w:pPr>
        <w:pStyle w:val="AklamaMetni"/>
        <w:numPr>
          <w:ilvl w:val="0"/>
          <w:numId w:val="60"/>
        </w:numPr>
        <w:tabs>
          <w:tab w:val="left" w:pos="0"/>
        </w:tabs>
        <w:rPr>
          <w:rFonts w:ascii="Times New Roman" w:hAnsi="Times New Roman" w:cs="Times New Roman"/>
          <w:sz w:val="24"/>
          <w:szCs w:val="24"/>
          <w:shd w:val="clear" w:color="auto" w:fill="FFFFFF"/>
        </w:rPr>
      </w:pPr>
      <w:proofErr w:type="spellStart"/>
      <w:r w:rsidRPr="00280CB2">
        <w:rPr>
          <w:rFonts w:ascii="Times New Roman" w:hAnsi="Times New Roman" w:cs="Times New Roman"/>
          <w:sz w:val="24"/>
          <w:szCs w:val="24"/>
          <w:shd w:val="clear" w:color="auto" w:fill="FFFFFF"/>
        </w:rPr>
        <w:t>McVea</w:t>
      </w:r>
      <w:proofErr w:type="spellEnd"/>
      <w:r w:rsidRPr="00280CB2">
        <w:rPr>
          <w:rFonts w:ascii="Times New Roman" w:hAnsi="Times New Roman" w:cs="Times New Roman"/>
          <w:sz w:val="24"/>
          <w:szCs w:val="24"/>
          <w:shd w:val="clear" w:color="auto" w:fill="FFFFFF"/>
        </w:rPr>
        <w:t xml:space="preserve">, C. S., </w:t>
      </w:r>
      <w:proofErr w:type="spellStart"/>
      <w:r w:rsidRPr="00280CB2">
        <w:rPr>
          <w:rFonts w:ascii="Times New Roman" w:hAnsi="Times New Roman" w:cs="Times New Roman"/>
          <w:sz w:val="24"/>
          <w:szCs w:val="24"/>
          <w:shd w:val="clear" w:color="auto" w:fill="FFFFFF"/>
        </w:rPr>
        <w:t>Gow</w:t>
      </w:r>
      <w:proofErr w:type="spellEnd"/>
      <w:r w:rsidRPr="00280CB2">
        <w:rPr>
          <w:rFonts w:ascii="Times New Roman" w:hAnsi="Times New Roman" w:cs="Times New Roman"/>
          <w:sz w:val="24"/>
          <w:szCs w:val="24"/>
          <w:shd w:val="clear" w:color="auto" w:fill="FFFFFF"/>
        </w:rPr>
        <w:t xml:space="preserve">, K., &amp; </w:t>
      </w:r>
      <w:proofErr w:type="spellStart"/>
      <w:r w:rsidRPr="00280CB2">
        <w:rPr>
          <w:rFonts w:ascii="Times New Roman" w:hAnsi="Times New Roman" w:cs="Times New Roman"/>
          <w:sz w:val="24"/>
          <w:szCs w:val="24"/>
          <w:shd w:val="clear" w:color="auto" w:fill="FFFFFF"/>
        </w:rPr>
        <w:t>Lowe</w:t>
      </w:r>
      <w:proofErr w:type="spellEnd"/>
      <w:r w:rsidRPr="00280CB2">
        <w:rPr>
          <w:rFonts w:ascii="Times New Roman" w:hAnsi="Times New Roman" w:cs="Times New Roman"/>
          <w:sz w:val="24"/>
          <w:szCs w:val="24"/>
          <w:shd w:val="clear" w:color="auto" w:fill="FFFFFF"/>
        </w:rPr>
        <w:t xml:space="preserve">, R. (2011). </w:t>
      </w:r>
      <w:proofErr w:type="spellStart"/>
      <w:r w:rsidRPr="00280CB2">
        <w:rPr>
          <w:rFonts w:ascii="Times New Roman" w:hAnsi="Times New Roman" w:cs="Times New Roman"/>
          <w:sz w:val="24"/>
          <w:szCs w:val="24"/>
          <w:shd w:val="clear" w:color="auto" w:fill="FFFFFF"/>
        </w:rPr>
        <w:t>Corrective</w:t>
      </w:r>
      <w:proofErr w:type="spellEnd"/>
      <w:r w:rsidRPr="00280CB2">
        <w:rPr>
          <w:rFonts w:ascii="Times New Roman" w:hAnsi="Times New Roman" w:cs="Times New Roman"/>
          <w:sz w:val="24"/>
          <w:szCs w:val="24"/>
          <w:shd w:val="clear" w:color="auto" w:fill="FFFFFF"/>
        </w:rPr>
        <w:t xml:space="preserve"> interpersonal </w:t>
      </w:r>
      <w:proofErr w:type="spellStart"/>
      <w:r w:rsidRPr="00280CB2">
        <w:rPr>
          <w:rFonts w:ascii="Times New Roman" w:hAnsi="Times New Roman" w:cs="Times New Roman"/>
          <w:sz w:val="24"/>
          <w:szCs w:val="24"/>
          <w:shd w:val="clear" w:color="auto" w:fill="FFFFFF"/>
        </w:rPr>
        <w:t>experience</w:t>
      </w:r>
      <w:proofErr w:type="spellEnd"/>
      <w:r w:rsidRPr="00280CB2">
        <w:rPr>
          <w:rFonts w:ascii="Times New Roman" w:hAnsi="Times New Roman" w:cs="Times New Roman"/>
          <w:sz w:val="24"/>
          <w:szCs w:val="24"/>
          <w:shd w:val="clear" w:color="auto" w:fill="FFFFFF"/>
        </w:rPr>
        <w:t xml:space="preserve"> in </w:t>
      </w:r>
      <w:proofErr w:type="spellStart"/>
      <w:r w:rsidRPr="00280CB2">
        <w:rPr>
          <w:rFonts w:ascii="Times New Roman" w:hAnsi="Times New Roman" w:cs="Times New Roman"/>
          <w:sz w:val="24"/>
          <w:szCs w:val="24"/>
          <w:shd w:val="clear" w:color="auto" w:fill="FFFFFF"/>
        </w:rPr>
        <w:t>psychodrama</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group</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therapy</w:t>
      </w:r>
      <w:proofErr w:type="spellEnd"/>
      <w:r w:rsidRPr="00280CB2">
        <w:rPr>
          <w:rFonts w:ascii="Times New Roman" w:hAnsi="Times New Roman" w:cs="Times New Roman"/>
          <w:sz w:val="24"/>
          <w:szCs w:val="24"/>
          <w:shd w:val="clear" w:color="auto" w:fill="FFFFFF"/>
        </w:rPr>
        <w:t xml:space="preserve">: A </w:t>
      </w:r>
      <w:proofErr w:type="spellStart"/>
      <w:r w:rsidRPr="00280CB2">
        <w:rPr>
          <w:rFonts w:ascii="Times New Roman" w:hAnsi="Times New Roman" w:cs="Times New Roman"/>
          <w:sz w:val="24"/>
          <w:szCs w:val="24"/>
          <w:shd w:val="clear" w:color="auto" w:fill="FFFFFF"/>
        </w:rPr>
        <w:t>comprehensive</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process</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analysis</w:t>
      </w:r>
      <w:proofErr w:type="spellEnd"/>
      <w:r w:rsidRPr="00280CB2">
        <w:rPr>
          <w:rFonts w:ascii="Times New Roman" w:hAnsi="Times New Roman" w:cs="Times New Roman"/>
          <w:sz w:val="24"/>
          <w:szCs w:val="24"/>
          <w:shd w:val="clear" w:color="auto" w:fill="FFFFFF"/>
        </w:rPr>
        <w:t xml:space="preserve"> of </w:t>
      </w:r>
      <w:proofErr w:type="spellStart"/>
      <w:r w:rsidRPr="00280CB2">
        <w:rPr>
          <w:rFonts w:ascii="Times New Roman" w:hAnsi="Times New Roman" w:cs="Times New Roman"/>
          <w:sz w:val="24"/>
          <w:szCs w:val="24"/>
          <w:shd w:val="clear" w:color="auto" w:fill="FFFFFF"/>
        </w:rPr>
        <w:t>significant</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therapeutic</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events</w:t>
      </w:r>
      <w:proofErr w:type="spellEnd"/>
      <w:r w:rsidRPr="00280CB2">
        <w:rPr>
          <w:rFonts w:ascii="Times New Roman" w:hAnsi="Times New Roman" w:cs="Times New Roman"/>
          <w:sz w:val="24"/>
          <w:szCs w:val="24"/>
          <w:shd w:val="clear" w:color="auto" w:fill="FFFFFF"/>
        </w:rPr>
        <w:t>. </w:t>
      </w:r>
      <w:proofErr w:type="spellStart"/>
      <w:r w:rsidRPr="00280CB2">
        <w:rPr>
          <w:rFonts w:ascii="Times New Roman" w:hAnsi="Times New Roman" w:cs="Times New Roman"/>
          <w:i/>
          <w:iCs/>
          <w:sz w:val="24"/>
          <w:szCs w:val="24"/>
          <w:shd w:val="clear" w:color="auto" w:fill="FFFFFF"/>
        </w:rPr>
        <w:t>Psychotherapy</w:t>
      </w:r>
      <w:proofErr w:type="spellEnd"/>
      <w:r w:rsidRPr="00280CB2">
        <w:rPr>
          <w:rFonts w:ascii="Times New Roman" w:hAnsi="Times New Roman" w:cs="Times New Roman"/>
          <w:i/>
          <w:iCs/>
          <w:sz w:val="24"/>
          <w:szCs w:val="24"/>
          <w:shd w:val="clear" w:color="auto" w:fill="FFFFFF"/>
        </w:rPr>
        <w:t xml:space="preserve"> </w:t>
      </w:r>
      <w:proofErr w:type="spellStart"/>
      <w:r w:rsidRPr="00280CB2">
        <w:rPr>
          <w:rFonts w:ascii="Times New Roman" w:hAnsi="Times New Roman" w:cs="Times New Roman"/>
          <w:i/>
          <w:iCs/>
          <w:sz w:val="24"/>
          <w:szCs w:val="24"/>
          <w:shd w:val="clear" w:color="auto" w:fill="FFFFFF"/>
        </w:rPr>
        <w:t>Research</w:t>
      </w:r>
      <w:proofErr w:type="spellEnd"/>
      <w:r w:rsidRPr="00280CB2">
        <w:rPr>
          <w:rFonts w:ascii="Times New Roman" w:hAnsi="Times New Roman" w:cs="Times New Roman"/>
          <w:sz w:val="24"/>
          <w:szCs w:val="24"/>
          <w:shd w:val="clear" w:color="auto" w:fill="FFFFFF"/>
        </w:rPr>
        <w:t>, </w:t>
      </w:r>
      <w:r w:rsidRPr="00280CB2">
        <w:rPr>
          <w:rFonts w:ascii="Times New Roman" w:hAnsi="Times New Roman" w:cs="Times New Roman"/>
          <w:i/>
          <w:iCs/>
          <w:sz w:val="24"/>
          <w:szCs w:val="24"/>
          <w:shd w:val="clear" w:color="auto" w:fill="FFFFFF"/>
        </w:rPr>
        <w:t>21</w:t>
      </w:r>
      <w:r w:rsidRPr="00280CB2">
        <w:rPr>
          <w:rFonts w:ascii="Times New Roman" w:hAnsi="Times New Roman" w:cs="Times New Roman"/>
          <w:sz w:val="24"/>
          <w:szCs w:val="24"/>
          <w:shd w:val="clear" w:color="auto" w:fill="FFFFFF"/>
        </w:rPr>
        <w:t>(4), 416-429.</w:t>
      </w:r>
    </w:p>
    <w:p w14:paraId="6D7A1727" w14:textId="77777777" w:rsidR="00FA457D" w:rsidRPr="00280CB2" w:rsidRDefault="00FA457D">
      <w:pPr>
        <w:pStyle w:val="ListeParagraf"/>
        <w:numPr>
          <w:ilvl w:val="0"/>
          <w:numId w:val="60"/>
        </w:numPr>
        <w:tabs>
          <w:tab w:val="left" w:pos="0"/>
        </w:tabs>
        <w:jc w:val="both"/>
      </w:pPr>
      <w:proofErr w:type="spellStart"/>
      <w:r w:rsidRPr="00280CB2">
        <w:t>Mengyu</w:t>
      </w:r>
      <w:proofErr w:type="spellEnd"/>
      <w:r w:rsidRPr="00280CB2">
        <w:t xml:space="preserve"> </w:t>
      </w:r>
      <w:proofErr w:type="spellStart"/>
      <w:r w:rsidRPr="00280CB2">
        <w:t>Lim</w:t>
      </w:r>
      <w:proofErr w:type="spellEnd"/>
      <w:r w:rsidRPr="00280CB2">
        <w:t xml:space="preserve">, Alessandro </w:t>
      </w:r>
      <w:proofErr w:type="spellStart"/>
      <w:r w:rsidRPr="00280CB2">
        <w:t>Carollo</w:t>
      </w:r>
      <w:proofErr w:type="spellEnd"/>
      <w:r w:rsidRPr="00280CB2">
        <w:t xml:space="preserve">, S. H. </w:t>
      </w:r>
      <w:proofErr w:type="spellStart"/>
      <w:r w:rsidRPr="00280CB2">
        <w:t>Annabel</w:t>
      </w:r>
      <w:proofErr w:type="spellEnd"/>
      <w:r w:rsidRPr="00280CB2">
        <w:t xml:space="preserve"> </w:t>
      </w:r>
      <w:proofErr w:type="gramStart"/>
      <w:r w:rsidRPr="00280CB2">
        <w:t>Chen,</w:t>
      </w:r>
      <w:proofErr w:type="gramEnd"/>
      <w:r w:rsidRPr="00280CB2">
        <w:t xml:space="preserve"> ve </w:t>
      </w:r>
      <w:proofErr w:type="spellStart"/>
      <w:r w:rsidRPr="00280CB2">
        <w:t>Gianluca</w:t>
      </w:r>
      <w:proofErr w:type="spellEnd"/>
      <w:r w:rsidRPr="00280CB2">
        <w:t xml:space="preserve"> </w:t>
      </w:r>
      <w:proofErr w:type="spellStart"/>
      <w:r w:rsidRPr="00280CB2">
        <w:t>Esposito</w:t>
      </w:r>
      <w:proofErr w:type="spellEnd"/>
      <w:r w:rsidRPr="00280CB2">
        <w:t xml:space="preserve">. (2021). </w:t>
      </w:r>
      <w:proofErr w:type="spellStart"/>
      <w:r w:rsidRPr="00E359E0">
        <w:rPr>
          <w:i/>
        </w:rPr>
        <w:t>Surveying</w:t>
      </w:r>
      <w:proofErr w:type="spellEnd"/>
      <w:r w:rsidRPr="00E359E0">
        <w:rPr>
          <w:i/>
        </w:rPr>
        <w:t xml:space="preserve"> 80 </w:t>
      </w:r>
      <w:proofErr w:type="spellStart"/>
      <w:r w:rsidRPr="00E359E0">
        <w:rPr>
          <w:i/>
        </w:rPr>
        <w:t>Years</w:t>
      </w:r>
      <w:proofErr w:type="spellEnd"/>
      <w:r w:rsidRPr="00E359E0">
        <w:rPr>
          <w:i/>
        </w:rPr>
        <w:t xml:space="preserve"> of </w:t>
      </w:r>
      <w:proofErr w:type="spellStart"/>
      <w:r w:rsidRPr="00E359E0">
        <w:rPr>
          <w:i/>
        </w:rPr>
        <w:t>Psychodrama</w:t>
      </w:r>
      <w:proofErr w:type="spellEnd"/>
      <w:r w:rsidRPr="00E359E0">
        <w:rPr>
          <w:i/>
        </w:rPr>
        <w:t xml:space="preserve"> </w:t>
      </w:r>
      <w:proofErr w:type="spellStart"/>
      <w:r w:rsidRPr="00E359E0">
        <w:rPr>
          <w:i/>
        </w:rPr>
        <w:t>Research</w:t>
      </w:r>
      <w:proofErr w:type="spellEnd"/>
      <w:r w:rsidRPr="00E359E0">
        <w:rPr>
          <w:i/>
        </w:rPr>
        <w:t xml:space="preserve">: A </w:t>
      </w:r>
      <w:proofErr w:type="spellStart"/>
      <w:r w:rsidRPr="00E359E0">
        <w:rPr>
          <w:i/>
        </w:rPr>
        <w:t>Scientometric</w:t>
      </w:r>
      <w:proofErr w:type="spellEnd"/>
      <w:r w:rsidRPr="00E359E0">
        <w:rPr>
          <w:i/>
        </w:rPr>
        <w:t xml:space="preserve"> </w:t>
      </w:r>
      <w:proofErr w:type="spellStart"/>
      <w:r w:rsidRPr="00E359E0">
        <w:rPr>
          <w:i/>
        </w:rPr>
        <w:t>Review</w:t>
      </w:r>
      <w:proofErr w:type="spellEnd"/>
      <w:r w:rsidRPr="00E359E0">
        <w:rPr>
          <w:i/>
        </w:rPr>
        <w:t>.</w:t>
      </w:r>
      <w:r w:rsidRPr="00280CB2">
        <w:t xml:space="preserve"> </w:t>
      </w:r>
      <w:proofErr w:type="spellStart"/>
      <w:r w:rsidRPr="00280CB2">
        <w:t>Frontiers</w:t>
      </w:r>
      <w:proofErr w:type="spellEnd"/>
      <w:r w:rsidRPr="00280CB2">
        <w:t xml:space="preserve"> in </w:t>
      </w:r>
      <w:proofErr w:type="spellStart"/>
      <w:r w:rsidRPr="00280CB2">
        <w:t>Psychiatry</w:t>
      </w:r>
      <w:proofErr w:type="spellEnd"/>
      <w:r w:rsidRPr="00280CB2">
        <w:t xml:space="preserve">, 12. </w:t>
      </w:r>
      <w:hyperlink r:id="rId333">
        <w:r w:rsidRPr="00E359E0">
          <w:rPr>
            <w:u w:val="single"/>
          </w:rPr>
          <w:t>https://doi.org/10.3389/fpsyt.2021.780542</w:t>
        </w:r>
      </w:hyperlink>
    </w:p>
    <w:p w14:paraId="7FD71CBD" w14:textId="77777777" w:rsidR="00FA457D" w:rsidRPr="00280CB2" w:rsidRDefault="00FA457D">
      <w:pPr>
        <w:pStyle w:val="ListeParagraf"/>
        <w:numPr>
          <w:ilvl w:val="0"/>
          <w:numId w:val="60"/>
        </w:numPr>
        <w:tabs>
          <w:tab w:val="left" w:pos="0"/>
        </w:tabs>
      </w:pPr>
      <w:proofErr w:type="spellStart"/>
      <w:r w:rsidRPr="00280CB2">
        <w:t>Mersouki</w:t>
      </w:r>
      <w:proofErr w:type="spellEnd"/>
      <w:r w:rsidRPr="00280CB2">
        <w:t xml:space="preserve">, M. (2022). </w:t>
      </w:r>
      <w:proofErr w:type="spellStart"/>
      <w:r w:rsidRPr="00E359E0">
        <w:rPr>
          <w:rStyle w:val="Vurgu"/>
          <w:rFonts w:eastAsiaTheme="majorEastAsia"/>
        </w:rPr>
        <w:t>The</w:t>
      </w:r>
      <w:proofErr w:type="spellEnd"/>
      <w:r w:rsidRPr="00E359E0">
        <w:rPr>
          <w:rStyle w:val="Vurgu"/>
          <w:rFonts w:eastAsiaTheme="majorEastAsia"/>
        </w:rPr>
        <w:t xml:space="preserve"> role of </w:t>
      </w:r>
      <w:proofErr w:type="spellStart"/>
      <w:r w:rsidRPr="00E359E0">
        <w:rPr>
          <w:rStyle w:val="Vurgu"/>
          <w:rFonts w:eastAsiaTheme="majorEastAsia"/>
        </w:rPr>
        <w:t>psychodrama</w:t>
      </w:r>
      <w:proofErr w:type="spellEnd"/>
      <w:r w:rsidRPr="00E359E0">
        <w:rPr>
          <w:rStyle w:val="Vurgu"/>
          <w:rFonts w:eastAsiaTheme="majorEastAsia"/>
        </w:rPr>
        <w:t xml:space="preserve"> in </w:t>
      </w:r>
      <w:proofErr w:type="spellStart"/>
      <w:r w:rsidRPr="00E359E0">
        <w:rPr>
          <w:rStyle w:val="Vurgu"/>
          <w:rFonts w:eastAsiaTheme="majorEastAsia"/>
        </w:rPr>
        <w:t>alleviating</w:t>
      </w:r>
      <w:proofErr w:type="spellEnd"/>
      <w:r w:rsidRPr="00E359E0">
        <w:rPr>
          <w:rStyle w:val="Vurgu"/>
          <w:rFonts w:eastAsiaTheme="majorEastAsia"/>
        </w:rPr>
        <w:t xml:space="preserve"> </w:t>
      </w:r>
      <w:proofErr w:type="spellStart"/>
      <w:r w:rsidRPr="00E359E0">
        <w:rPr>
          <w:rStyle w:val="Vurgu"/>
          <w:rFonts w:eastAsiaTheme="majorEastAsia"/>
        </w:rPr>
        <w:t>the</w:t>
      </w:r>
      <w:proofErr w:type="spellEnd"/>
      <w:r w:rsidRPr="00E359E0">
        <w:rPr>
          <w:rStyle w:val="Vurgu"/>
          <w:rFonts w:eastAsiaTheme="majorEastAsia"/>
        </w:rPr>
        <w:t xml:space="preserve"> </w:t>
      </w:r>
      <w:proofErr w:type="spellStart"/>
      <w:r w:rsidRPr="00E359E0">
        <w:rPr>
          <w:rStyle w:val="Vurgu"/>
          <w:rFonts w:eastAsiaTheme="majorEastAsia"/>
        </w:rPr>
        <w:t>behavioral</w:t>
      </w:r>
      <w:proofErr w:type="spellEnd"/>
      <w:r w:rsidRPr="00E359E0">
        <w:rPr>
          <w:rStyle w:val="Vurgu"/>
          <w:rFonts w:eastAsiaTheme="majorEastAsia"/>
        </w:rPr>
        <w:t xml:space="preserve"> </w:t>
      </w:r>
      <w:proofErr w:type="spellStart"/>
      <w:r w:rsidRPr="00E359E0">
        <w:rPr>
          <w:rStyle w:val="Vurgu"/>
          <w:rFonts w:eastAsiaTheme="majorEastAsia"/>
        </w:rPr>
        <w:t>disorders</w:t>
      </w:r>
      <w:proofErr w:type="spellEnd"/>
      <w:r w:rsidRPr="00E359E0">
        <w:rPr>
          <w:rStyle w:val="Vurgu"/>
          <w:rFonts w:eastAsiaTheme="majorEastAsia"/>
        </w:rPr>
        <w:t xml:space="preserve"> of </w:t>
      </w:r>
      <w:proofErr w:type="spellStart"/>
      <w:r w:rsidRPr="00E359E0">
        <w:rPr>
          <w:rStyle w:val="Vurgu"/>
          <w:rFonts w:eastAsiaTheme="majorEastAsia"/>
        </w:rPr>
        <w:t>secondary</w:t>
      </w:r>
      <w:proofErr w:type="spellEnd"/>
      <w:r w:rsidRPr="00E359E0">
        <w:rPr>
          <w:rStyle w:val="Vurgu"/>
          <w:rFonts w:eastAsiaTheme="majorEastAsia"/>
        </w:rPr>
        <w:t xml:space="preserve"> </w:t>
      </w:r>
      <w:proofErr w:type="spellStart"/>
      <w:r w:rsidRPr="00E359E0">
        <w:rPr>
          <w:rStyle w:val="Vurgu"/>
          <w:rFonts w:eastAsiaTheme="majorEastAsia"/>
        </w:rPr>
        <w:t>school</w:t>
      </w:r>
      <w:proofErr w:type="spellEnd"/>
      <w:r w:rsidRPr="00E359E0">
        <w:rPr>
          <w:rStyle w:val="Vurgu"/>
          <w:rFonts w:eastAsiaTheme="majorEastAsia"/>
        </w:rPr>
        <w:t xml:space="preserve"> </w:t>
      </w:r>
      <w:proofErr w:type="spellStart"/>
      <w:r w:rsidRPr="00E359E0">
        <w:rPr>
          <w:rStyle w:val="Vurgu"/>
          <w:rFonts w:eastAsiaTheme="majorEastAsia"/>
        </w:rPr>
        <w:t>students</w:t>
      </w:r>
      <w:proofErr w:type="spellEnd"/>
      <w:r w:rsidRPr="00E359E0">
        <w:rPr>
          <w:rStyle w:val="Vurgu"/>
          <w:rFonts w:eastAsiaTheme="majorEastAsia"/>
        </w:rPr>
        <w:t>.</w:t>
      </w:r>
      <w:r w:rsidRPr="00280CB2">
        <w:t xml:space="preserve"> </w:t>
      </w:r>
      <w:proofErr w:type="spellStart"/>
      <w:r w:rsidRPr="00280CB2">
        <w:t>Revue</w:t>
      </w:r>
      <w:proofErr w:type="spellEnd"/>
      <w:r w:rsidRPr="00280CB2">
        <w:t xml:space="preserve"> </w:t>
      </w:r>
      <w:proofErr w:type="spellStart"/>
      <w:r w:rsidRPr="00280CB2">
        <w:t>Marocaine</w:t>
      </w:r>
      <w:proofErr w:type="spellEnd"/>
      <w:r w:rsidRPr="00280CB2">
        <w:t xml:space="preserve"> de </w:t>
      </w:r>
      <w:proofErr w:type="spellStart"/>
      <w:r w:rsidRPr="00280CB2">
        <w:t>l’évaluation</w:t>
      </w:r>
      <w:proofErr w:type="spellEnd"/>
      <w:r w:rsidRPr="00280CB2">
        <w:t xml:space="preserve"> et de la </w:t>
      </w:r>
      <w:proofErr w:type="spellStart"/>
      <w:r w:rsidRPr="00280CB2">
        <w:t>Recherche</w:t>
      </w:r>
      <w:proofErr w:type="spellEnd"/>
      <w:r w:rsidRPr="00280CB2">
        <w:t xml:space="preserve"> en </w:t>
      </w:r>
      <w:proofErr w:type="spellStart"/>
      <w:r w:rsidRPr="00280CB2">
        <w:t>Education</w:t>
      </w:r>
      <w:proofErr w:type="spellEnd"/>
      <w:r w:rsidRPr="00280CB2">
        <w:t>, 7, 238-244.</w:t>
      </w:r>
    </w:p>
    <w:p w14:paraId="7A767C50" w14:textId="77777777" w:rsidR="00FA457D" w:rsidRPr="00280CB2" w:rsidRDefault="00FA457D">
      <w:pPr>
        <w:pStyle w:val="ListeParagraf"/>
        <w:numPr>
          <w:ilvl w:val="0"/>
          <w:numId w:val="60"/>
        </w:numPr>
        <w:tabs>
          <w:tab w:val="left" w:pos="0"/>
        </w:tabs>
        <w:jc w:val="both"/>
      </w:pPr>
      <w:proofErr w:type="spellStart"/>
      <w:r w:rsidRPr="00280CB2">
        <w:t>Mindoljevic</w:t>
      </w:r>
      <w:proofErr w:type="spellEnd"/>
      <w:r w:rsidRPr="00280CB2">
        <w:t xml:space="preserve"> </w:t>
      </w:r>
      <w:proofErr w:type="spellStart"/>
      <w:r w:rsidRPr="00280CB2">
        <w:t>Drakulic</w:t>
      </w:r>
      <w:proofErr w:type="spellEnd"/>
      <w:r w:rsidRPr="00280CB2">
        <w:t xml:space="preserve">, A. (2011). </w:t>
      </w:r>
      <w:proofErr w:type="spellStart"/>
      <w:r w:rsidRPr="00280CB2">
        <w:t>Clinical</w:t>
      </w:r>
      <w:proofErr w:type="spellEnd"/>
      <w:r w:rsidRPr="00280CB2">
        <w:t xml:space="preserve"> </w:t>
      </w:r>
      <w:proofErr w:type="spellStart"/>
      <w:r w:rsidRPr="00280CB2">
        <w:t>and</w:t>
      </w:r>
      <w:proofErr w:type="spellEnd"/>
      <w:r w:rsidRPr="00280CB2">
        <w:t xml:space="preserve"> </w:t>
      </w:r>
      <w:proofErr w:type="spellStart"/>
      <w:r w:rsidRPr="00280CB2">
        <w:t>non-clinical</w:t>
      </w:r>
      <w:proofErr w:type="spellEnd"/>
      <w:r w:rsidRPr="00280CB2">
        <w:t xml:space="preserve"> </w:t>
      </w:r>
      <w:proofErr w:type="spellStart"/>
      <w:r w:rsidRPr="00280CB2">
        <w:t>setting</w:t>
      </w:r>
      <w:proofErr w:type="spellEnd"/>
      <w:r w:rsidRPr="00280CB2">
        <w:t xml:space="preserve"> </w:t>
      </w:r>
      <w:proofErr w:type="spellStart"/>
      <w:r w:rsidRPr="00280CB2">
        <w:t>specificities</w:t>
      </w:r>
      <w:proofErr w:type="spellEnd"/>
      <w:r w:rsidRPr="00280CB2">
        <w:t xml:space="preserve"> in </w:t>
      </w:r>
      <w:proofErr w:type="spellStart"/>
      <w:r w:rsidRPr="00280CB2">
        <w:t>first</w:t>
      </w:r>
      <w:proofErr w:type="spellEnd"/>
      <w:r w:rsidRPr="00280CB2">
        <w:t xml:space="preserve"> </w:t>
      </w:r>
      <w:proofErr w:type="spellStart"/>
      <w:r w:rsidRPr="00280CB2">
        <w:t>session</w:t>
      </w:r>
      <w:proofErr w:type="spellEnd"/>
      <w:r w:rsidRPr="00280CB2">
        <w:t xml:space="preserve"> </w:t>
      </w:r>
      <w:proofErr w:type="spellStart"/>
      <w:r w:rsidRPr="00280CB2">
        <w:t>short-term</w:t>
      </w:r>
      <w:proofErr w:type="spellEnd"/>
      <w:r w:rsidRPr="00280CB2">
        <w:t xml:space="preserve"> </w:t>
      </w:r>
      <w:proofErr w:type="spellStart"/>
      <w:r w:rsidRPr="00280CB2">
        <w:t>psychotherapy</w:t>
      </w:r>
      <w:proofErr w:type="spellEnd"/>
      <w:r w:rsidRPr="00280CB2">
        <w:t xml:space="preserve"> </w:t>
      </w:r>
      <w:proofErr w:type="spellStart"/>
      <w:r w:rsidRPr="00280CB2">
        <w:t>psychodrama</w:t>
      </w:r>
      <w:proofErr w:type="spellEnd"/>
      <w:r w:rsidRPr="00280CB2">
        <w:t xml:space="preserve"> </w:t>
      </w:r>
      <w:proofErr w:type="spellStart"/>
      <w:r w:rsidRPr="00280CB2">
        <w:t>group</w:t>
      </w:r>
      <w:proofErr w:type="spellEnd"/>
      <w:r w:rsidRPr="00280CB2">
        <w:t xml:space="preserve">. </w:t>
      </w:r>
      <w:proofErr w:type="spellStart"/>
      <w:r w:rsidRPr="00E359E0">
        <w:rPr>
          <w:i/>
        </w:rPr>
        <w:t>Collegium</w:t>
      </w:r>
      <w:proofErr w:type="spellEnd"/>
      <w:r w:rsidRPr="00E359E0">
        <w:rPr>
          <w:i/>
        </w:rPr>
        <w:t xml:space="preserve"> </w:t>
      </w:r>
      <w:proofErr w:type="spellStart"/>
      <w:r w:rsidRPr="00E359E0">
        <w:rPr>
          <w:i/>
        </w:rPr>
        <w:t>Antropologicum</w:t>
      </w:r>
      <w:proofErr w:type="spellEnd"/>
      <w:r w:rsidRPr="00E359E0">
        <w:rPr>
          <w:i/>
        </w:rPr>
        <w:t>, 35</w:t>
      </w:r>
      <w:r w:rsidRPr="00280CB2">
        <w:t>(1), 173-179.</w:t>
      </w:r>
    </w:p>
    <w:p w14:paraId="2E8BFA6E" w14:textId="77777777" w:rsidR="00FA457D" w:rsidRPr="00280CB2" w:rsidRDefault="00FA457D">
      <w:pPr>
        <w:pStyle w:val="ListeParagraf"/>
        <w:numPr>
          <w:ilvl w:val="0"/>
          <w:numId w:val="60"/>
        </w:numPr>
        <w:tabs>
          <w:tab w:val="left" w:pos="0"/>
        </w:tabs>
        <w:jc w:val="both"/>
      </w:pPr>
      <w:proofErr w:type="spellStart"/>
      <w:r w:rsidRPr="00280CB2">
        <w:t>Moreno</w:t>
      </w:r>
      <w:proofErr w:type="spellEnd"/>
      <w:r w:rsidRPr="00280CB2">
        <w:t xml:space="preserve">, J. L. (1946). </w:t>
      </w:r>
      <w:proofErr w:type="spellStart"/>
      <w:r w:rsidRPr="00280CB2">
        <w:t>Psychodrama</w:t>
      </w:r>
      <w:proofErr w:type="spellEnd"/>
      <w:r w:rsidRPr="00280CB2">
        <w:t xml:space="preserve"> Volume I: </w:t>
      </w:r>
      <w:proofErr w:type="spellStart"/>
      <w:r w:rsidRPr="00280CB2">
        <w:t>Foundations</w:t>
      </w:r>
      <w:proofErr w:type="spellEnd"/>
      <w:r w:rsidRPr="00280CB2">
        <w:t xml:space="preserve"> of </w:t>
      </w:r>
      <w:proofErr w:type="spellStart"/>
      <w:r w:rsidRPr="00280CB2">
        <w:t>Psychodrama</w:t>
      </w:r>
      <w:proofErr w:type="spellEnd"/>
      <w:r w:rsidRPr="00280CB2">
        <w:t xml:space="preserve">. </w:t>
      </w:r>
      <w:r w:rsidRPr="00E359E0">
        <w:rPr>
          <w:i/>
        </w:rPr>
        <w:t>Beacon House</w:t>
      </w:r>
      <w:r w:rsidRPr="00280CB2">
        <w:t>.</w:t>
      </w:r>
    </w:p>
    <w:p w14:paraId="4B13210E" w14:textId="77777777" w:rsidR="00FA457D" w:rsidRPr="00280CB2" w:rsidRDefault="00FA457D">
      <w:pPr>
        <w:pStyle w:val="ListeParagraf"/>
        <w:numPr>
          <w:ilvl w:val="0"/>
          <w:numId w:val="60"/>
        </w:numPr>
        <w:tabs>
          <w:tab w:val="left" w:pos="0"/>
        </w:tabs>
      </w:pPr>
      <w:proofErr w:type="spellStart"/>
      <w:r w:rsidRPr="00280CB2">
        <w:t>Munte</w:t>
      </w:r>
      <w:proofErr w:type="spellEnd"/>
      <w:r w:rsidRPr="00280CB2">
        <w:t xml:space="preserve">, R. F., &amp; </w:t>
      </w:r>
      <w:proofErr w:type="spellStart"/>
      <w:r w:rsidRPr="00280CB2">
        <w:t>Arsini</w:t>
      </w:r>
      <w:proofErr w:type="spellEnd"/>
      <w:r w:rsidRPr="00280CB2">
        <w:t xml:space="preserve">, Y. (2024). </w:t>
      </w:r>
      <w:proofErr w:type="spellStart"/>
      <w:r w:rsidRPr="00E359E0">
        <w:rPr>
          <w:rStyle w:val="Gl"/>
          <w:rFonts w:eastAsiaTheme="majorEastAsia"/>
          <w:b w:val="0"/>
          <w:bCs/>
        </w:rPr>
        <w:t>Psychodrama</w:t>
      </w:r>
      <w:proofErr w:type="spellEnd"/>
      <w:r w:rsidRPr="00E359E0">
        <w:rPr>
          <w:rStyle w:val="Gl"/>
          <w:rFonts w:eastAsiaTheme="majorEastAsia"/>
          <w:b w:val="0"/>
          <w:bCs/>
        </w:rPr>
        <w:t xml:space="preserve"> </w:t>
      </w:r>
      <w:proofErr w:type="spellStart"/>
      <w:r w:rsidRPr="00E359E0">
        <w:rPr>
          <w:rStyle w:val="Gl"/>
          <w:rFonts w:eastAsiaTheme="majorEastAsia"/>
          <w:b w:val="0"/>
          <w:bCs/>
        </w:rPr>
        <w:t>technique</w:t>
      </w:r>
      <w:proofErr w:type="spellEnd"/>
      <w:r w:rsidRPr="00E359E0">
        <w:rPr>
          <w:rStyle w:val="Gl"/>
          <w:rFonts w:eastAsiaTheme="majorEastAsia"/>
          <w:b w:val="0"/>
          <w:bCs/>
        </w:rPr>
        <w:t xml:space="preserve"> </w:t>
      </w:r>
      <w:proofErr w:type="spellStart"/>
      <w:r w:rsidRPr="00E359E0">
        <w:rPr>
          <w:rStyle w:val="Gl"/>
          <w:rFonts w:eastAsiaTheme="majorEastAsia"/>
          <w:b w:val="0"/>
          <w:bCs/>
        </w:rPr>
        <w:t>group</w:t>
      </w:r>
      <w:proofErr w:type="spellEnd"/>
      <w:r w:rsidRPr="00E359E0">
        <w:rPr>
          <w:rStyle w:val="Gl"/>
          <w:rFonts w:eastAsiaTheme="majorEastAsia"/>
          <w:b w:val="0"/>
          <w:bCs/>
        </w:rPr>
        <w:t xml:space="preserve"> </w:t>
      </w:r>
      <w:proofErr w:type="spellStart"/>
      <w:r w:rsidRPr="00E359E0">
        <w:rPr>
          <w:rStyle w:val="Gl"/>
          <w:rFonts w:eastAsiaTheme="majorEastAsia"/>
          <w:b w:val="0"/>
          <w:bCs/>
        </w:rPr>
        <w:t>guidance</w:t>
      </w:r>
      <w:proofErr w:type="spellEnd"/>
      <w:r w:rsidRPr="00E359E0">
        <w:rPr>
          <w:rStyle w:val="Gl"/>
          <w:rFonts w:eastAsiaTheme="majorEastAsia"/>
          <w:b w:val="0"/>
          <w:bCs/>
        </w:rPr>
        <w:t xml:space="preserve"> </w:t>
      </w:r>
      <w:proofErr w:type="spellStart"/>
      <w:r w:rsidRPr="00E359E0">
        <w:rPr>
          <w:rStyle w:val="Gl"/>
          <w:rFonts w:eastAsiaTheme="majorEastAsia"/>
          <w:b w:val="0"/>
          <w:bCs/>
        </w:rPr>
        <w:t>to</w:t>
      </w:r>
      <w:proofErr w:type="spellEnd"/>
      <w:r w:rsidRPr="00E359E0">
        <w:rPr>
          <w:rStyle w:val="Gl"/>
          <w:rFonts w:eastAsiaTheme="majorEastAsia"/>
          <w:b w:val="0"/>
          <w:bCs/>
        </w:rPr>
        <w:t xml:space="preserve"> </w:t>
      </w:r>
      <w:proofErr w:type="spellStart"/>
      <w:r w:rsidRPr="00E359E0">
        <w:rPr>
          <w:rStyle w:val="Gl"/>
          <w:rFonts w:eastAsiaTheme="majorEastAsia"/>
          <w:b w:val="0"/>
          <w:bCs/>
        </w:rPr>
        <w:t>develop</w:t>
      </w:r>
      <w:proofErr w:type="spellEnd"/>
      <w:r w:rsidRPr="00E359E0">
        <w:rPr>
          <w:rStyle w:val="Gl"/>
          <w:rFonts w:eastAsiaTheme="majorEastAsia"/>
          <w:b w:val="0"/>
          <w:bCs/>
        </w:rPr>
        <w:t xml:space="preserve"> </w:t>
      </w:r>
      <w:proofErr w:type="spellStart"/>
      <w:r w:rsidRPr="00E359E0">
        <w:rPr>
          <w:rStyle w:val="Gl"/>
          <w:rFonts w:eastAsiaTheme="majorEastAsia"/>
          <w:b w:val="0"/>
          <w:bCs/>
        </w:rPr>
        <w:t>positive</w:t>
      </w:r>
      <w:proofErr w:type="spellEnd"/>
      <w:r w:rsidRPr="00E359E0">
        <w:rPr>
          <w:rStyle w:val="Gl"/>
          <w:rFonts w:eastAsiaTheme="majorEastAsia"/>
          <w:b w:val="0"/>
          <w:bCs/>
        </w:rPr>
        <w:t xml:space="preserve"> self-</w:t>
      </w:r>
      <w:proofErr w:type="spellStart"/>
      <w:r w:rsidRPr="00E359E0">
        <w:rPr>
          <w:rStyle w:val="Gl"/>
          <w:rFonts w:eastAsiaTheme="majorEastAsia"/>
          <w:b w:val="0"/>
          <w:bCs/>
        </w:rPr>
        <w:t>concept</w:t>
      </w:r>
      <w:proofErr w:type="spellEnd"/>
      <w:r w:rsidRPr="00E359E0">
        <w:rPr>
          <w:rStyle w:val="Gl"/>
          <w:rFonts w:eastAsiaTheme="majorEastAsia"/>
          <w:b w:val="0"/>
          <w:bCs/>
        </w:rPr>
        <w:t xml:space="preserve"> </w:t>
      </w:r>
      <w:proofErr w:type="spellStart"/>
      <w:r w:rsidRPr="00E359E0">
        <w:rPr>
          <w:rStyle w:val="Gl"/>
          <w:rFonts w:eastAsiaTheme="majorEastAsia"/>
          <w:b w:val="0"/>
          <w:bCs/>
        </w:rPr>
        <w:t>for</w:t>
      </w:r>
      <w:proofErr w:type="spellEnd"/>
      <w:r w:rsidRPr="00E359E0">
        <w:rPr>
          <w:rStyle w:val="Gl"/>
          <w:rFonts w:eastAsiaTheme="majorEastAsia"/>
          <w:b w:val="0"/>
          <w:bCs/>
        </w:rPr>
        <w:t xml:space="preserve"> </w:t>
      </w:r>
      <w:proofErr w:type="spellStart"/>
      <w:r w:rsidRPr="00E359E0">
        <w:rPr>
          <w:rStyle w:val="Gl"/>
          <w:rFonts w:eastAsiaTheme="majorEastAsia"/>
          <w:b w:val="0"/>
          <w:bCs/>
        </w:rPr>
        <w:t>students</w:t>
      </w:r>
      <w:proofErr w:type="spellEnd"/>
      <w:r w:rsidRPr="00280CB2">
        <w:t xml:space="preserve">. </w:t>
      </w:r>
      <w:r w:rsidRPr="00E359E0">
        <w:rPr>
          <w:rStyle w:val="Vurgu"/>
          <w:rFonts w:eastAsiaTheme="majorEastAsia"/>
        </w:rPr>
        <w:t xml:space="preserve">JMKSP (Jurnal </w:t>
      </w:r>
      <w:proofErr w:type="spellStart"/>
      <w:r w:rsidRPr="00E359E0">
        <w:rPr>
          <w:rStyle w:val="Vurgu"/>
          <w:rFonts w:eastAsiaTheme="majorEastAsia"/>
        </w:rPr>
        <w:t>Manajemen</w:t>
      </w:r>
      <w:proofErr w:type="spellEnd"/>
      <w:r w:rsidRPr="00E359E0">
        <w:rPr>
          <w:rStyle w:val="Vurgu"/>
          <w:rFonts w:eastAsiaTheme="majorEastAsia"/>
        </w:rPr>
        <w:t xml:space="preserve">, </w:t>
      </w:r>
      <w:proofErr w:type="spellStart"/>
      <w:r w:rsidRPr="00E359E0">
        <w:rPr>
          <w:rStyle w:val="Vurgu"/>
          <w:rFonts w:eastAsiaTheme="majorEastAsia"/>
        </w:rPr>
        <w:t>Kepemimpinan</w:t>
      </w:r>
      <w:proofErr w:type="spellEnd"/>
      <w:r w:rsidRPr="00E359E0">
        <w:rPr>
          <w:rStyle w:val="Vurgu"/>
          <w:rFonts w:eastAsiaTheme="majorEastAsia"/>
        </w:rPr>
        <w:t xml:space="preserve">, dan </w:t>
      </w:r>
      <w:proofErr w:type="spellStart"/>
      <w:r w:rsidRPr="00E359E0">
        <w:rPr>
          <w:rStyle w:val="Vurgu"/>
          <w:rFonts w:eastAsiaTheme="majorEastAsia"/>
        </w:rPr>
        <w:t>Supervisi</w:t>
      </w:r>
      <w:proofErr w:type="spellEnd"/>
      <w:r w:rsidRPr="00E359E0">
        <w:rPr>
          <w:rStyle w:val="Vurgu"/>
          <w:rFonts w:eastAsiaTheme="majorEastAsia"/>
        </w:rPr>
        <w:t xml:space="preserve"> </w:t>
      </w:r>
      <w:proofErr w:type="spellStart"/>
      <w:r w:rsidRPr="00E359E0">
        <w:rPr>
          <w:rStyle w:val="Vurgu"/>
          <w:rFonts w:eastAsiaTheme="majorEastAsia"/>
        </w:rPr>
        <w:t>Pendidikan</w:t>
      </w:r>
      <w:proofErr w:type="spellEnd"/>
      <w:r w:rsidRPr="00E359E0">
        <w:rPr>
          <w:rStyle w:val="Vurgu"/>
          <w:rFonts w:eastAsiaTheme="majorEastAsia"/>
        </w:rPr>
        <w:t>)</w:t>
      </w:r>
      <w:r w:rsidRPr="00280CB2">
        <w:t>, 9(2), 1381-1395.</w:t>
      </w:r>
    </w:p>
    <w:p w14:paraId="37E800C9" w14:textId="2E79E182" w:rsidR="00FA457D" w:rsidRPr="00280CB2" w:rsidRDefault="00FA457D">
      <w:pPr>
        <w:pStyle w:val="ListeParagraf"/>
        <w:numPr>
          <w:ilvl w:val="0"/>
          <w:numId w:val="60"/>
        </w:numPr>
        <w:tabs>
          <w:tab w:val="left" w:pos="0"/>
        </w:tabs>
      </w:pPr>
      <w:proofErr w:type="spellStart"/>
      <w:r w:rsidRPr="00280CB2">
        <w:t>Noroozi</w:t>
      </w:r>
      <w:proofErr w:type="spellEnd"/>
      <w:r w:rsidRPr="00280CB2">
        <w:t xml:space="preserve"> </w:t>
      </w:r>
      <w:proofErr w:type="spellStart"/>
      <w:r w:rsidRPr="00280CB2">
        <w:t>Homayoon</w:t>
      </w:r>
      <w:proofErr w:type="spellEnd"/>
      <w:r w:rsidRPr="00280CB2">
        <w:t xml:space="preserve">, M., </w:t>
      </w:r>
      <w:proofErr w:type="spellStart"/>
      <w:r w:rsidRPr="00280CB2">
        <w:t>Hatami</w:t>
      </w:r>
      <w:proofErr w:type="spellEnd"/>
      <w:r w:rsidRPr="00280CB2">
        <w:t xml:space="preserve"> </w:t>
      </w:r>
      <w:proofErr w:type="spellStart"/>
      <w:r w:rsidRPr="00280CB2">
        <w:t>Nejad</w:t>
      </w:r>
      <w:proofErr w:type="spellEnd"/>
      <w:r w:rsidRPr="00280CB2">
        <w:t xml:space="preserve">, M., &amp; Sadri </w:t>
      </w:r>
      <w:proofErr w:type="spellStart"/>
      <w:r w:rsidRPr="00280CB2">
        <w:t>Damichi</w:t>
      </w:r>
      <w:proofErr w:type="spellEnd"/>
      <w:r w:rsidRPr="00280CB2">
        <w:t xml:space="preserve">, E. (2024). </w:t>
      </w:r>
      <w:proofErr w:type="spellStart"/>
      <w:r w:rsidRPr="00E359E0">
        <w:rPr>
          <w:rStyle w:val="Vurgu"/>
          <w:rFonts w:eastAsiaTheme="majorEastAsia"/>
        </w:rPr>
        <w:t>The</w:t>
      </w:r>
      <w:proofErr w:type="spellEnd"/>
      <w:r w:rsidRPr="00E359E0">
        <w:rPr>
          <w:rStyle w:val="Vurgu"/>
          <w:rFonts w:eastAsiaTheme="majorEastAsia"/>
        </w:rPr>
        <w:t xml:space="preserve"> </w:t>
      </w:r>
      <w:proofErr w:type="spellStart"/>
      <w:r w:rsidRPr="00E359E0">
        <w:rPr>
          <w:rStyle w:val="Vurgu"/>
          <w:rFonts w:eastAsiaTheme="majorEastAsia"/>
        </w:rPr>
        <w:t>effectiveness</w:t>
      </w:r>
      <w:proofErr w:type="spellEnd"/>
      <w:r w:rsidRPr="00E359E0">
        <w:rPr>
          <w:rStyle w:val="Vurgu"/>
          <w:rFonts w:eastAsiaTheme="majorEastAsia"/>
        </w:rPr>
        <w:t xml:space="preserve"> of </w:t>
      </w:r>
      <w:proofErr w:type="spellStart"/>
      <w:r w:rsidRPr="00E359E0">
        <w:rPr>
          <w:rStyle w:val="Vurgu"/>
          <w:rFonts w:eastAsiaTheme="majorEastAsia"/>
        </w:rPr>
        <w:t>psychodrama</w:t>
      </w:r>
      <w:proofErr w:type="spellEnd"/>
      <w:r w:rsidRPr="00E359E0">
        <w:rPr>
          <w:rStyle w:val="Vurgu"/>
          <w:rFonts w:eastAsiaTheme="majorEastAsia"/>
        </w:rPr>
        <w:t xml:space="preserve"> </w:t>
      </w:r>
      <w:proofErr w:type="spellStart"/>
      <w:r w:rsidRPr="00E359E0">
        <w:rPr>
          <w:rStyle w:val="Vurgu"/>
          <w:rFonts w:eastAsiaTheme="majorEastAsia"/>
        </w:rPr>
        <w:t>group</w:t>
      </w:r>
      <w:proofErr w:type="spellEnd"/>
      <w:r w:rsidRPr="00E359E0">
        <w:rPr>
          <w:rStyle w:val="Vurgu"/>
          <w:rFonts w:eastAsiaTheme="majorEastAsia"/>
        </w:rPr>
        <w:t xml:space="preserve"> </w:t>
      </w:r>
      <w:proofErr w:type="spellStart"/>
      <w:r w:rsidRPr="00E359E0">
        <w:rPr>
          <w:rStyle w:val="Vurgu"/>
          <w:rFonts w:eastAsiaTheme="majorEastAsia"/>
        </w:rPr>
        <w:t>therapy</w:t>
      </w:r>
      <w:proofErr w:type="spellEnd"/>
      <w:r w:rsidRPr="00E359E0">
        <w:rPr>
          <w:rStyle w:val="Vurgu"/>
          <w:rFonts w:eastAsiaTheme="majorEastAsia"/>
        </w:rPr>
        <w:t xml:space="preserve"> </w:t>
      </w:r>
      <w:proofErr w:type="spellStart"/>
      <w:r w:rsidRPr="00E359E0">
        <w:rPr>
          <w:rStyle w:val="Vurgu"/>
          <w:rFonts w:eastAsiaTheme="majorEastAsia"/>
        </w:rPr>
        <w:t>and</w:t>
      </w:r>
      <w:proofErr w:type="spellEnd"/>
      <w:r w:rsidRPr="00E359E0">
        <w:rPr>
          <w:rStyle w:val="Vurgu"/>
          <w:rFonts w:eastAsiaTheme="majorEastAsia"/>
        </w:rPr>
        <w:t xml:space="preserve"> </w:t>
      </w:r>
      <w:proofErr w:type="spellStart"/>
      <w:r w:rsidRPr="00E359E0">
        <w:rPr>
          <w:rStyle w:val="Vurgu"/>
          <w:rFonts w:eastAsiaTheme="majorEastAsia"/>
        </w:rPr>
        <w:t>cognitive</w:t>
      </w:r>
      <w:proofErr w:type="spellEnd"/>
      <w:r w:rsidRPr="00E359E0">
        <w:rPr>
          <w:rStyle w:val="Vurgu"/>
          <w:rFonts w:eastAsiaTheme="majorEastAsia"/>
        </w:rPr>
        <w:t xml:space="preserve"> </w:t>
      </w:r>
      <w:proofErr w:type="spellStart"/>
      <w:r w:rsidRPr="00E359E0">
        <w:rPr>
          <w:rStyle w:val="Vurgu"/>
          <w:rFonts w:eastAsiaTheme="majorEastAsia"/>
        </w:rPr>
        <w:t>behavioral</w:t>
      </w:r>
      <w:proofErr w:type="spellEnd"/>
      <w:r w:rsidRPr="00E359E0">
        <w:rPr>
          <w:rStyle w:val="Vurgu"/>
          <w:rFonts w:eastAsiaTheme="majorEastAsia"/>
        </w:rPr>
        <w:t xml:space="preserve"> </w:t>
      </w:r>
      <w:proofErr w:type="spellStart"/>
      <w:r w:rsidRPr="00E359E0">
        <w:rPr>
          <w:rStyle w:val="Vurgu"/>
          <w:rFonts w:eastAsiaTheme="majorEastAsia"/>
        </w:rPr>
        <w:t>play</w:t>
      </w:r>
      <w:proofErr w:type="spellEnd"/>
      <w:r w:rsidRPr="00E359E0">
        <w:rPr>
          <w:rStyle w:val="Vurgu"/>
          <w:rFonts w:eastAsiaTheme="majorEastAsia"/>
        </w:rPr>
        <w:t xml:space="preserve"> </w:t>
      </w:r>
      <w:proofErr w:type="spellStart"/>
      <w:r w:rsidRPr="00E359E0">
        <w:rPr>
          <w:rStyle w:val="Vurgu"/>
          <w:rFonts w:eastAsiaTheme="majorEastAsia"/>
        </w:rPr>
        <w:t>therapy</w:t>
      </w:r>
      <w:proofErr w:type="spellEnd"/>
      <w:r w:rsidRPr="00E359E0">
        <w:rPr>
          <w:rStyle w:val="Vurgu"/>
          <w:rFonts w:eastAsiaTheme="majorEastAsia"/>
        </w:rPr>
        <w:t xml:space="preserve"> on </w:t>
      </w:r>
      <w:proofErr w:type="spellStart"/>
      <w:r w:rsidRPr="00E359E0">
        <w:rPr>
          <w:rStyle w:val="Vurgu"/>
          <w:rFonts w:eastAsiaTheme="majorEastAsia"/>
        </w:rPr>
        <w:t>executive</w:t>
      </w:r>
      <w:proofErr w:type="spellEnd"/>
      <w:r w:rsidRPr="00E359E0">
        <w:rPr>
          <w:rStyle w:val="Vurgu"/>
          <w:rFonts w:eastAsiaTheme="majorEastAsia"/>
        </w:rPr>
        <w:t xml:space="preserve"> </w:t>
      </w:r>
      <w:proofErr w:type="spellStart"/>
      <w:r w:rsidRPr="00E359E0">
        <w:rPr>
          <w:rStyle w:val="Vurgu"/>
          <w:rFonts w:eastAsiaTheme="majorEastAsia"/>
        </w:rPr>
        <w:t>functions</w:t>
      </w:r>
      <w:proofErr w:type="spellEnd"/>
      <w:r w:rsidRPr="00E359E0">
        <w:rPr>
          <w:rStyle w:val="Vurgu"/>
          <w:rFonts w:eastAsiaTheme="majorEastAsia"/>
        </w:rPr>
        <w:t xml:space="preserve"> (</w:t>
      </w:r>
      <w:proofErr w:type="spellStart"/>
      <w:r w:rsidRPr="00E359E0">
        <w:rPr>
          <w:rStyle w:val="Vurgu"/>
          <w:rFonts w:eastAsiaTheme="majorEastAsia"/>
        </w:rPr>
        <w:t>working</w:t>
      </w:r>
      <w:proofErr w:type="spellEnd"/>
      <w:r w:rsidRPr="00E359E0">
        <w:rPr>
          <w:rStyle w:val="Vurgu"/>
          <w:rFonts w:eastAsiaTheme="majorEastAsia"/>
        </w:rPr>
        <w:t xml:space="preserve"> </w:t>
      </w:r>
      <w:proofErr w:type="spellStart"/>
      <w:r w:rsidRPr="00E359E0">
        <w:rPr>
          <w:rStyle w:val="Vurgu"/>
          <w:rFonts w:eastAsiaTheme="majorEastAsia"/>
        </w:rPr>
        <w:t>memory</w:t>
      </w:r>
      <w:proofErr w:type="spellEnd"/>
      <w:r w:rsidRPr="00E359E0">
        <w:rPr>
          <w:rStyle w:val="Vurgu"/>
          <w:rFonts w:eastAsiaTheme="majorEastAsia"/>
        </w:rPr>
        <w:t xml:space="preserve">, </w:t>
      </w:r>
      <w:proofErr w:type="spellStart"/>
      <w:r w:rsidRPr="00E359E0">
        <w:rPr>
          <w:rStyle w:val="Vurgu"/>
          <w:rFonts w:eastAsiaTheme="majorEastAsia"/>
        </w:rPr>
        <w:t>response</w:t>
      </w:r>
      <w:proofErr w:type="spellEnd"/>
      <w:r w:rsidRPr="00E359E0">
        <w:rPr>
          <w:rStyle w:val="Vurgu"/>
          <w:rFonts w:eastAsiaTheme="majorEastAsia"/>
        </w:rPr>
        <w:t xml:space="preserve"> </w:t>
      </w:r>
      <w:proofErr w:type="spellStart"/>
      <w:r w:rsidRPr="00E359E0">
        <w:rPr>
          <w:rStyle w:val="Vurgu"/>
          <w:rFonts w:eastAsiaTheme="majorEastAsia"/>
        </w:rPr>
        <w:t>inhibition</w:t>
      </w:r>
      <w:proofErr w:type="spellEnd"/>
      <w:r w:rsidRPr="00E359E0">
        <w:rPr>
          <w:rStyle w:val="Vurgu"/>
          <w:rFonts w:eastAsiaTheme="majorEastAsia"/>
        </w:rPr>
        <w:t xml:space="preserve">, </w:t>
      </w:r>
      <w:proofErr w:type="spellStart"/>
      <w:r w:rsidRPr="00E359E0">
        <w:rPr>
          <w:rStyle w:val="Vurgu"/>
          <w:rFonts w:eastAsiaTheme="majorEastAsia"/>
        </w:rPr>
        <w:t>cognitive</w:t>
      </w:r>
      <w:proofErr w:type="spellEnd"/>
      <w:r w:rsidRPr="00E359E0">
        <w:rPr>
          <w:rStyle w:val="Vurgu"/>
          <w:rFonts w:eastAsiaTheme="majorEastAsia"/>
        </w:rPr>
        <w:t xml:space="preserve"> </w:t>
      </w:r>
      <w:proofErr w:type="spellStart"/>
      <w:r w:rsidRPr="00E359E0">
        <w:rPr>
          <w:rStyle w:val="Vurgu"/>
          <w:rFonts w:eastAsiaTheme="majorEastAsia"/>
        </w:rPr>
        <w:t>flexibility</w:t>
      </w:r>
      <w:proofErr w:type="spellEnd"/>
      <w:r w:rsidRPr="00E359E0">
        <w:rPr>
          <w:rStyle w:val="Vurgu"/>
          <w:rFonts w:eastAsiaTheme="majorEastAsia"/>
        </w:rPr>
        <w:t xml:space="preserve">, </w:t>
      </w:r>
      <w:proofErr w:type="spellStart"/>
      <w:r w:rsidRPr="00E359E0">
        <w:rPr>
          <w:rStyle w:val="Vurgu"/>
          <w:rFonts w:eastAsiaTheme="majorEastAsia"/>
        </w:rPr>
        <w:t>and</w:t>
      </w:r>
      <w:proofErr w:type="spellEnd"/>
      <w:r w:rsidRPr="00E359E0">
        <w:rPr>
          <w:rStyle w:val="Vurgu"/>
          <w:rFonts w:eastAsiaTheme="majorEastAsia"/>
        </w:rPr>
        <w:t xml:space="preserve"> </w:t>
      </w:r>
      <w:proofErr w:type="spellStart"/>
      <w:r w:rsidRPr="00E359E0">
        <w:rPr>
          <w:rStyle w:val="Vurgu"/>
          <w:rFonts w:eastAsiaTheme="majorEastAsia"/>
        </w:rPr>
        <w:t>emotional</w:t>
      </w:r>
      <w:proofErr w:type="spellEnd"/>
      <w:r w:rsidRPr="00E359E0">
        <w:rPr>
          <w:rStyle w:val="Vurgu"/>
          <w:rFonts w:eastAsiaTheme="majorEastAsia"/>
        </w:rPr>
        <w:t xml:space="preserve"> self-</w:t>
      </w:r>
      <w:proofErr w:type="spellStart"/>
      <w:r w:rsidRPr="00E359E0">
        <w:rPr>
          <w:rStyle w:val="Vurgu"/>
          <w:rFonts w:eastAsiaTheme="majorEastAsia"/>
        </w:rPr>
        <w:t>regulation</w:t>
      </w:r>
      <w:proofErr w:type="spellEnd"/>
      <w:r w:rsidRPr="00E359E0">
        <w:rPr>
          <w:rStyle w:val="Vurgu"/>
          <w:rFonts w:eastAsiaTheme="majorEastAsia"/>
        </w:rPr>
        <w:t xml:space="preserve">) in </w:t>
      </w:r>
      <w:proofErr w:type="spellStart"/>
      <w:r w:rsidRPr="00E359E0">
        <w:rPr>
          <w:rStyle w:val="Vurgu"/>
          <w:rFonts w:eastAsiaTheme="majorEastAsia"/>
        </w:rPr>
        <w:t>male</w:t>
      </w:r>
      <w:proofErr w:type="spellEnd"/>
      <w:r w:rsidRPr="00E359E0">
        <w:rPr>
          <w:rStyle w:val="Vurgu"/>
          <w:rFonts w:eastAsiaTheme="majorEastAsia"/>
        </w:rPr>
        <w:t xml:space="preserve"> </w:t>
      </w:r>
      <w:proofErr w:type="spellStart"/>
      <w:r w:rsidRPr="00E359E0">
        <w:rPr>
          <w:rStyle w:val="Vurgu"/>
          <w:rFonts w:eastAsiaTheme="majorEastAsia"/>
        </w:rPr>
        <w:t>students</w:t>
      </w:r>
      <w:proofErr w:type="spellEnd"/>
      <w:r w:rsidRPr="00E359E0">
        <w:rPr>
          <w:rStyle w:val="Vurgu"/>
          <w:rFonts w:eastAsiaTheme="majorEastAsia"/>
        </w:rPr>
        <w:t xml:space="preserve"> </w:t>
      </w:r>
      <w:proofErr w:type="spellStart"/>
      <w:r w:rsidRPr="00E359E0">
        <w:rPr>
          <w:rStyle w:val="Vurgu"/>
          <w:rFonts w:eastAsiaTheme="majorEastAsia"/>
        </w:rPr>
        <w:t>with</w:t>
      </w:r>
      <w:proofErr w:type="spellEnd"/>
      <w:r w:rsidRPr="00E359E0">
        <w:rPr>
          <w:rStyle w:val="Vurgu"/>
          <w:rFonts w:eastAsiaTheme="majorEastAsia"/>
        </w:rPr>
        <w:t xml:space="preserve"> </w:t>
      </w:r>
      <w:proofErr w:type="spellStart"/>
      <w:r w:rsidRPr="00E359E0">
        <w:rPr>
          <w:rStyle w:val="Vurgu"/>
          <w:rFonts w:eastAsiaTheme="majorEastAsia"/>
        </w:rPr>
        <w:t>social</w:t>
      </w:r>
      <w:proofErr w:type="spellEnd"/>
      <w:r w:rsidRPr="00E359E0">
        <w:rPr>
          <w:rStyle w:val="Vurgu"/>
          <w:rFonts w:eastAsiaTheme="majorEastAsia"/>
        </w:rPr>
        <w:t xml:space="preserve"> </w:t>
      </w:r>
      <w:proofErr w:type="spellStart"/>
      <w:r w:rsidRPr="00E359E0">
        <w:rPr>
          <w:rStyle w:val="Vurgu"/>
          <w:rFonts w:eastAsiaTheme="majorEastAsia"/>
        </w:rPr>
        <w:t>anxiety</w:t>
      </w:r>
      <w:proofErr w:type="spellEnd"/>
      <w:r w:rsidRPr="00E359E0">
        <w:rPr>
          <w:rStyle w:val="Vurgu"/>
          <w:rFonts w:eastAsiaTheme="majorEastAsia"/>
        </w:rPr>
        <w:t xml:space="preserve"> </w:t>
      </w:r>
      <w:proofErr w:type="spellStart"/>
      <w:r w:rsidRPr="00E359E0">
        <w:rPr>
          <w:rStyle w:val="Vurgu"/>
          <w:rFonts w:eastAsiaTheme="majorEastAsia"/>
        </w:rPr>
        <w:t>disorder</w:t>
      </w:r>
      <w:proofErr w:type="spellEnd"/>
      <w:r w:rsidRPr="00E359E0">
        <w:rPr>
          <w:rStyle w:val="Vurgu"/>
          <w:rFonts w:eastAsiaTheme="majorEastAsia"/>
        </w:rPr>
        <w:t>.</w:t>
      </w:r>
      <w:r w:rsidRPr="00280CB2">
        <w:t xml:space="preserve"> </w:t>
      </w:r>
      <w:proofErr w:type="spellStart"/>
      <w:r w:rsidRPr="00280CB2">
        <w:t>Neuropsychology</w:t>
      </w:r>
      <w:proofErr w:type="spellEnd"/>
      <w:r w:rsidRPr="00280CB2">
        <w:t xml:space="preserve">, 9(35), 1-17. </w:t>
      </w:r>
      <w:hyperlink r:id="rId334" w:tgtFrame="_new" w:history="1">
        <w:r w:rsidRPr="00280CB2">
          <w:rPr>
            <w:rStyle w:val="Kpr"/>
          </w:rPr>
          <w:t>https://doi.org/10.30473/clpsy.2024.68482.1710</w:t>
        </w:r>
      </w:hyperlink>
    </w:p>
    <w:p w14:paraId="5A72EBAB" w14:textId="77777777" w:rsidR="00FA457D" w:rsidRPr="00280CB2" w:rsidRDefault="00FA457D">
      <w:pPr>
        <w:pStyle w:val="ListeParagraf"/>
        <w:numPr>
          <w:ilvl w:val="0"/>
          <w:numId w:val="60"/>
        </w:numPr>
        <w:tabs>
          <w:tab w:val="left" w:pos="0"/>
        </w:tabs>
        <w:jc w:val="both"/>
      </w:pPr>
      <w:proofErr w:type="spellStart"/>
      <w:r w:rsidRPr="00280CB2">
        <w:t>Olweus</w:t>
      </w:r>
      <w:proofErr w:type="spellEnd"/>
      <w:r w:rsidRPr="00280CB2">
        <w:t xml:space="preserve">, D. (1997). </w:t>
      </w:r>
      <w:proofErr w:type="spellStart"/>
      <w:r w:rsidRPr="00280CB2">
        <w:t>Bully</w:t>
      </w:r>
      <w:proofErr w:type="spellEnd"/>
      <w:r w:rsidRPr="00280CB2">
        <w:t>/</w:t>
      </w:r>
      <w:proofErr w:type="spellStart"/>
      <w:r w:rsidRPr="00280CB2">
        <w:t>victim</w:t>
      </w:r>
      <w:proofErr w:type="spellEnd"/>
      <w:r w:rsidRPr="00280CB2">
        <w:t xml:space="preserve"> </w:t>
      </w:r>
      <w:proofErr w:type="spellStart"/>
      <w:r w:rsidRPr="00280CB2">
        <w:t>problems</w:t>
      </w:r>
      <w:proofErr w:type="spellEnd"/>
      <w:r w:rsidRPr="00280CB2">
        <w:t xml:space="preserve"> in </w:t>
      </w:r>
      <w:proofErr w:type="spellStart"/>
      <w:r w:rsidRPr="00280CB2">
        <w:t>school</w:t>
      </w:r>
      <w:proofErr w:type="spellEnd"/>
      <w:r w:rsidRPr="00280CB2">
        <w:t xml:space="preserve">: </w:t>
      </w:r>
      <w:proofErr w:type="spellStart"/>
      <w:r w:rsidRPr="00280CB2">
        <w:t>Facts</w:t>
      </w:r>
      <w:proofErr w:type="spellEnd"/>
      <w:r w:rsidRPr="00280CB2">
        <w:t xml:space="preserve"> </w:t>
      </w:r>
      <w:proofErr w:type="spellStart"/>
      <w:r w:rsidRPr="00280CB2">
        <w:t>and</w:t>
      </w:r>
      <w:proofErr w:type="spellEnd"/>
      <w:r w:rsidRPr="00280CB2">
        <w:t xml:space="preserve"> </w:t>
      </w:r>
      <w:proofErr w:type="spellStart"/>
      <w:r w:rsidRPr="00280CB2">
        <w:t>intervention</w:t>
      </w:r>
      <w:proofErr w:type="spellEnd"/>
      <w:r w:rsidRPr="00280CB2">
        <w:t xml:space="preserve">. </w:t>
      </w:r>
      <w:proofErr w:type="spellStart"/>
      <w:r w:rsidRPr="00E359E0">
        <w:rPr>
          <w:i/>
        </w:rPr>
        <w:t>European</w:t>
      </w:r>
      <w:proofErr w:type="spellEnd"/>
      <w:r w:rsidRPr="00E359E0">
        <w:rPr>
          <w:i/>
        </w:rPr>
        <w:t xml:space="preserve"> </w:t>
      </w:r>
      <w:proofErr w:type="spellStart"/>
      <w:r w:rsidRPr="00E359E0">
        <w:rPr>
          <w:i/>
        </w:rPr>
        <w:t>Journal</w:t>
      </w:r>
      <w:proofErr w:type="spellEnd"/>
      <w:r w:rsidRPr="00E359E0">
        <w:rPr>
          <w:i/>
        </w:rPr>
        <w:t xml:space="preserve"> of </w:t>
      </w:r>
      <w:proofErr w:type="spellStart"/>
      <w:r w:rsidRPr="00E359E0">
        <w:rPr>
          <w:i/>
        </w:rPr>
        <w:t>Psychology</w:t>
      </w:r>
      <w:proofErr w:type="spellEnd"/>
      <w:r w:rsidRPr="00E359E0">
        <w:rPr>
          <w:i/>
        </w:rPr>
        <w:t xml:space="preserve"> of </w:t>
      </w:r>
      <w:proofErr w:type="spellStart"/>
      <w:r w:rsidRPr="00E359E0">
        <w:rPr>
          <w:i/>
        </w:rPr>
        <w:t>Education</w:t>
      </w:r>
      <w:proofErr w:type="spellEnd"/>
      <w:r w:rsidRPr="00280CB2">
        <w:t>, 12(4), 495-510.</w:t>
      </w:r>
    </w:p>
    <w:p w14:paraId="05C7F85C" w14:textId="77777777" w:rsidR="00FA457D" w:rsidRPr="00280CB2" w:rsidRDefault="00FA457D">
      <w:pPr>
        <w:pStyle w:val="ListeParagraf"/>
        <w:numPr>
          <w:ilvl w:val="0"/>
          <w:numId w:val="60"/>
        </w:numPr>
        <w:tabs>
          <w:tab w:val="left" w:pos="0"/>
        </w:tabs>
        <w:jc w:val="both"/>
      </w:pPr>
      <w:proofErr w:type="spellStart"/>
      <w:r w:rsidRPr="00280CB2">
        <w:t>Orkibi</w:t>
      </w:r>
      <w:proofErr w:type="spellEnd"/>
      <w:r w:rsidRPr="00280CB2">
        <w:t xml:space="preserve">, H., </w:t>
      </w:r>
      <w:proofErr w:type="spellStart"/>
      <w:r w:rsidRPr="00280CB2">
        <w:t>Azoulay</w:t>
      </w:r>
      <w:proofErr w:type="spellEnd"/>
      <w:r w:rsidRPr="00280CB2">
        <w:t xml:space="preserve">, B., </w:t>
      </w:r>
      <w:proofErr w:type="spellStart"/>
      <w:r w:rsidRPr="00280CB2">
        <w:t>Regev</w:t>
      </w:r>
      <w:proofErr w:type="spellEnd"/>
      <w:r w:rsidRPr="00280CB2">
        <w:t xml:space="preserve">, D., &amp; </w:t>
      </w:r>
      <w:proofErr w:type="spellStart"/>
      <w:r w:rsidRPr="00280CB2">
        <w:t>Snir</w:t>
      </w:r>
      <w:proofErr w:type="spellEnd"/>
      <w:r w:rsidRPr="00280CB2">
        <w:t xml:space="preserve">, S. (2017). </w:t>
      </w:r>
      <w:proofErr w:type="spellStart"/>
      <w:r w:rsidRPr="00280CB2">
        <w:t>Adolescents</w:t>
      </w:r>
      <w:proofErr w:type="spellEnd"/>
      <w:r w:rsidRPr="00280CB2">
        <w:t xml:space="preserve">’ </w:t>
      </w:r>
      <w:proofErr w:type="spellStart"/>
      <w:r w:rsidRPr="00280CB2">
        <w:t>dramatic</w:t>
      </w:r>
      <w:proofErr w:type="spellEnd"/>
      <w:r w:rsidRPr="00280CB2">
        <w:t xml:space="preserve"> </w:t>
      </w:r>
      <w:proofErr w:type="spellStart"/>
      <w:r w:rsidRPr="00280CB2">
        <w:t>engagement</w:t>
      </w:r>
      <w:proofErr w:type="spellEnd"/>
      <w:r w:rsidRPr="00280CB2">
        <w:t xml:space="preserve"> </w:t>
      </w:r>
      <w:proofErr w:type="spellStart"/>
      <w:r w:rsidRPr="00280CB2">
        <w:t>predicts</w:t>
      </w:r>
      <w:proofErr w:type="spellEnd"/>
      <w:r w:rsidRPr="00280CB2">
        <w:t xml:space="preserve"> </w:t>
      </w:r>
      <w:proofErr w:type="spellStart"/>
      <w:r w:rsidRPr="00280CB2">
        <w:t>their</w:t>
      </w:r>
      <w:proofErr w:type="spellEnd"/>
      <w:r w:rsidRPr="00280CB2">
        <w:t xml:space="preserve"> in-</w:t>
      </w:r>
      <w:proofErr w:type="spellStart"/>
      <w:r w:rsidRPr="00280CB2">
        <w:t>session</w:t>
      </w:r>
      <w:proofErr w:type="spellEnd"/>
      <w:r w:rsidRPr="00280CB2">
        <w:t xml:space="preserve"> </w:t>
      </w:r>
      <w:proofErr w:type="spellStart"/>
      <w:r w:rsidRPr="00280CB2">
        <w:t>productive</w:t>
      </w:r>
      <w:proofErr w:type="spellEnd"/>
      <w:r w:rsidRPr="00280CB2">
        <w:t xml:space="preserve"> </w:t>
      </w:r>
      <w:proofErr w:type="spellStart"/>
      <w:r w:rsidRPr="00280CB2">
        <w:t>behaviors</w:t>
      </w:r>
      <w:proofErr w:type="spellEnd"/>
      <w:r w:rsidRPr="00280CB2">
        <w:t xml:space="preserve">: A </w:t>
      </w:r>
      <w:proofErr w:type="spellStart"/>
      <w:r w:rsidRPr="00280CB2">
        <w:t>psychodrama</w:t>
      </w:r>
      <w:proofErr w:type="spellEnd"/>
      <w:r w:rsidRPr="00280CB2">
        <w:t xml:space="preserve"> </w:t>
      </w:r>
      <w:proofErr w:type="spellStart"/>
      <w:r w:rsidRPr="00280CB2">
        <w:t>change</w:t>
      </w:r>
      <w:proofErr w:type="spellEnd"/>
      <w:r w:rsidRPr="00280CB2">
        <w:t xml:space="preserve"> </w:t>
      </w:r>
      <w:proofErr w:type="spellStart"/>
      <w:r w:rsidRPr="00280CB2">
        <w:t>process</w:t>
      </w:r>
      <w:proofErr w:type="spellEnd"/>
      <w:r w:rsidRPr="00280CB2">
        <w:t xml:space="preserve"> </w:t>
      </w:r>
      <w:proofErr w:type="spellStart"/>
      <w:r w:rsidRPr="00280CB2">
        <w:t>study</w:t>
      </w:r>
      <w:proofErr w:type="spellEnd"/>
      <w:r w:rsidRPr="00280CB2">
        <w:t xml:space="preserve">. </w:t>
      </w:r>
      <w:proofErr w:type="spellStart"/>
      <w:r w:rsidRPr="00E359E0">
        <w:rPr>
          <w:i/>
        </w:rPr>
        <w:t>The</w:t>
      </w:r>
      <w:proofErr w:type="spellEnd"/>
      <w:r w:rsidRPr="00E359E0">
        <w:rPr>
          <w:i/>
        </w:rPr>
        <w:t xml:space="preserve"> </w:t>
      </w:r>
      <w:proofErr w:type="spellStart"/>
      <w:r w:rsidRPr="00E359E0">
        <w:rPr>
          <w:i/>
        </w:rPr>
        <w:t>Arts</w:t>
      </w:r>
      <w:proofErr w:type="spellEnd"/>
      <w:r w:rsidRPr="00E359E0">
        <w:rPr>
          <w:i/>
        </w:rPr>
        <w:t xml:space="preserve"> in </w:t>
      </w:r>
      <w:proofErr w:type="spellStart"/>
      <w:r w:rsidRPr="00E359E0">
        <w:rPr>
          <w:i/>
        </w:rPr>
        <w:t>Psychotherapy</w:t>
      </w:r>
      <w:proofErr w:type="spellEnd"/>
      <w:r w:rsidRPr="00280CB2">
        <w:t xml:space="preserve">, </w:t>
      </w:r>
      <w:r w:rsidRPr="00E359E0">
        <w:rPr>
          <w:i/>
        </w:rPr>
        <w:t>55</w:t>
      </w:r>
      <w:r w:rsidRPr="00280CB2">
        <w:t xml:space="preserve">, 46–53. </w:t>
      </w:r>
      <w:hyperlink r:id="rId335">
        <w:r w:rsidRPr="00E359E0">
          <w:rPr>
            <w:u w:val="single"/>
          </w:rPr>
          <w:t>https://doi.org/10.1016/j.aip.2017.04.001</w:t>
        </w:r>
      </w:hyperlink>
    </w:p>
    <w:p w14:paraId="638F90DA" w14:textId="77777777" w:rsidR="00FA457D" w:rsidRPr="00280CB2" w:rsidRDefault="00FA457D">
      <w:pPr>
        <w:pStyle w:val="AklamaMetni"/>
        <w:numPr>
          <w:ilvl w:val="0"/>
          <w:numId w:val="60"/>
        </w:numPr>
        <w:tabs>
          <w:tab w:val="left" w:pos="0"/>
        </w:tabs>
        <w:rPr>
          <w:rFonts w:ascii="Times New Roman" w:hAnsi="Times New Roman" w:cs="Times New Roman"/>
          <w:sz w:val="24"/>
          <w:szCs w:val="24"/>
        </w:rPr>
      </w:pPr>
      <w:proofErr w:type="spellStart"/>
      <w:r w:rsidRPr="00280CB2">
        <w:rPr>
          <w:rFonts w:ascii="Times New Roman" w:hAnsi="Times New Roman" w:cs="Times New Roman"/>
          <w:sz w:val="24"/>
          <w:szCs w:val="24"/>
          <w:shd w:val="clear" w:color="auto" w:fill="FFFFFF"/>
        </w:rPr>
        <w:t>Orkibi</w:t>
      </w:r>
      <w:proofErr w:type="spellEnd"/>
      <w:r w:rsidRPr="00280CB2">
        <w:rPr>
          <w:rFonts w:ascii="Times New Roman" w:hAnsi="Times New Roman" w:cs="Times New Roman"/>
          <w:sz w:val="24"/>
          <w:szCs w:val="24"/>
          <w:shd w:val="clear" w:color="auto" w:fill="FFFFFF"/>
        </w:rPr>
        <w:t xml:space="preserve">, H., </w:t>
      </w:r>
      <w:proofErr w:type="spellStart"/>
      <w:r w:rsidRPr="00280CB2">
        <w:rPr>
          <w:rFonts w:ascii="Times New Roman" w:hAnsi="Times New Roman" w:cs="Times New Roman"/>
          <w:sz w:val="24"/>
          <w:szCs w:val="24"/>
          <w:shd w:val="clear" w:color="auto" w:fill="FFFFFF"/>
        </w:rPr>
        <w:t>Azoulay</w:t>
      </w:r>
      <w:proofErr w:type="spellEnd"/>
      <w:r w:rsidRPr="00280CB2">
        <w:rPr>
          <w:rFonts w:ascii="Times New Roman" w:hAnsi="Times New Roman" w:cs="Times New Roman"/>
          <w:sz w:val="24"/>
          <w:szCs w:val="24"/>
          <w:shd w:val="clear" w:color="auto" w:fill="FFFFFF"/>
        </w:rPr>
        <w:t xml:space="preserve">, B., </w:t>
      </w:r>
      <w:proofErr w:type="spellStart"/>
      <w:r w:rsidRPr="00280CB2">
        <w:rPr>
          <w:rFonts w:ascii="Times New Roman" w:hAnsi="Times New Roman" w:cs="Times New Roman"/>
          <w:sz w:val="24"/>
          <w:szCs w:val="24"/>
          <w:shd w:val="clear" w:color="auto" w:fill="FFFFFF"/>
        </w:rPr>
        <w:t>Snir</w:t>
      </w:r>
      <w:proofErr w:type="spellEnd"/>
      <w:r w:rsidRPr="00280CB2">
        <w:rPr>
          <w:rFonts w:ascii="Times New Roman" w:hAnsi="Times New Roman" w:cs="Times New Roman"/>
          <w:sz w:val="24"/>
          <w:szCs w:val="24"/>
          <w:shd w:val="clear" w:color="auto" w:fill="FFFFFF"/>
        </w:rPr>
        <w:t xml:space="preserve">, S., &amp; </w:t>
      </w:r>
      <w:proofErr w:type="spellStart"/>
      <w:r w:rsidRPr="00280CB2">
        <w:rPr>
          <w:rFonts w:ascii="Times New Roman" w:hAnsi="Times New Roman" w:cs="Times New Roman"/>
          <w:sz w:val="24"/>
          <w:szCs w:val="24"/>
          <w:shd w:val="clear" w:color="auto" w:fill="FFFFFF"/>
        </w:rPr>
        <w:t>Regev</w:t>
      </w:r>
      <w:proofErr w:type="spellEnd"/>
      <w:r w:rsidRPr="00280CB2">
        <w:rPr>
          <w:rFonts w:ascii="Times New Roman" w:hAnsi="Times New Roman" w:cs="Times New Roman"/>
          <w:sz w:val="24"/>
          <w:szCs w:val="24"/>
          <w:shd w:val="clear" w:color="auto" w:fill="FFFFFF"/>
        </w:rPr>
        <w:t xml:space="preserve">, D. (2017). </w:t>
      </w:r>
      <w:proofErr w:type="spellStart"/>
      <w:r w:rsidRPr="00280CB2">
        <w:rPr>
          <w:rFonts w:ascii="Times New Roman" w:hAnsi="Times New Roman" w:cs="Times New Roman"/>
          <w:sz w:val="24"/>
          <w:szCs w:val="24"/>
          <w:shd w:val="clear" w:color="auto" w:fill="FFFFFF"/>
        </w:rPr>
        <w:t>In‐session</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behaviours</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and</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adolescents</w:t>
      </w:r>
      <w:proofErr w:type="spellEnd"/>
      <w:r w:rsidRPr="00280CB2">
        <w:rPr>
          <w:rFonts w:ascii="Times New Roman" w:hAnsi="Times New Roman" w:cs="Times New Roman"/>
          <w:sz w:val="24"/>
          <w:szCs w:val="24"/>
          <w:shd w:val="clear" w:color="auto" w:fill="FFFFFF"/>
        </w:rPr>
        <w:t>' self‐</w:t>
      </w:r>
      <w:proofErr w:type="spellStart"/>
      <w:r w:rsidRPr="00280CB2">
        <w:rPr>
          <w:rFonts w:ascii="Times New Roman" w:hAnsi="Times New Roman" w:cs="Times New Roman"/>
          <w:sz w:val="24"/>
          <w:szCs w:val="24"/>
          <w:shd w:val="clear" w:color="auto" w:fill="FFFFFF"/>
        </w:rPr>
        <w:t>concept</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and</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loneliness</w:t>
      </w:r>
      <w:proofErr w:type="spellEnd"/>
      <w:r w:rsidRPr="00280CB2">
        <w:rPr>
          <w:rFonts w:ascii="Times New Roman" w:hAnsi="Times New Roman" w:cs="Times New Roman"/>
          <w:sz w:val="24"/>
          <w:szCs w:val="24"/>
          <w:shd w:val="clear" w:color="auto" w:fill="FFFFFF"/>
        </w:rPr>
        <w:t xml:space="preserve">: A </w:t>
      </w:r>
      <w:proofErr w:type="spellStart"/>
      <w:r w:rsidRPr="00280CB2">
        <w:rPr>
          <w:rFonts w:ascii="Times New Roman" w:hAnsi="Times New Roman" w:cs="Times New Roman"/>
          <w:sz w:val="24"/>
          <w:szCs w:val="24"/>
          <w:shd w:val="clear" w:color="auto" w:fill="FFFFFF"/>
        </w:rPr>
        <w:t>psychodrama</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process</w:t>
      </w:r>
      <w:proofErr w:type="spellEnd"/>
      <w:r w:rsidRPr="00280CB2">
        <w:rPr>
          <w:rFonts w:ascii="Times New Roman" w:hAnsi="Times New Roman" w:cs="Times New Roman"/>
          <w:sz w:val="24"/>
          <w:szCs w:val="24"/>
          <w:shd w:val="clear" w:color="auto" w:fill="FFFFFF"/>
        </w:rPr>
        <w:t>–</w:t>
      </w:r>
      <w:proofErr w:type="spellStart"/>
      <w:r w:rsidRPr="00280CB2">
        <w:rPr>
          <w:rFonts w:ascii="Times New Roman" w:hAnsi="Times New Roman" w:cs="Times New Roman"/>
          <w:sz w:val="24"/>
          <w:szCs w:val="24"/>
          <w:shd w:val="clear" w:color="auto" w:fill="FFFFFF"/>
        </w:rPr>
        <w:t>outcome</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study</w:t>
      </w:r>
      <w:proofErr w:type="spellEnd"/>
      <w:r w:rsidRPr="00280CB2">
        <w:rPr>
          <w:rFonts w:ascii="Times New Roman" w:hAnsi="Times New Roman" w:cs="Times New Roman"/>
          <w:sz w:val="24"/>
          <w:szCs w:val="24"/>
          <w:shd w:val="clear" w:color="auto" w:fill="FFFFFF"/>
        </w:rPr>
        <w:t>. </w:t>
      </w:r>
      <w:proofErr w:type="spellStart"/>
      <w:r w:rsidRPr="00280CB2">
        <w:rPr>
          <w:rFonts w:ascii="Times New Roman" w:hAnsi="Times New Roman" w:cs="Times New Roman"/>
          <w:i/>
          <w:iCs/>
          <w:sz w:val="24"/>
          <w:szCs w:val="24"/>
          <w:shd w:val="clear" w:color="auto" w:fill="FFFFFF"/>
        </w:rPr>
        <w:t>Clinical</w:t>
      </w:r>
      <w:proofErr w:type="spellEnd"/>
      <w:r w:rsidRPr="00280CB2">
        <w:rPr>
          <w:rFonts w:ascii="Times New Roman" w:hAnsi="Times New Roman" w:cs="Times New Roman"/>
          <w:i/>
          <w:iCs/>
          <w:sz w:val="24"/>
          <w:szCs w:val="24"/>
          <w:shd w:val="clear" w:color="auto" w:fill="FFFFFF"/>
        </w:rPr>
        <w:t xml:space="preserve"> </w:t>
      </w:r>
      <w:proofErr w:type="spellStart"/>
      <w:r w:rsidRPr="00280CB2">
        <w:rPr>
          <w:rFonts w:ascii="Times New Roman" w:hAnsi="Times New Roman" w:cs="Times New Roman"/>
          <w:i/>
          <w:iCs/>
          <w:sz w:val="24"/>
          <w:szCs w:val="24"/>
          <w:shd w:val="clear" w:color="auto" w:fill="FFFFFF"/>
        </w:rPr>
        <w:t>psychology</w:t>
      </w:r>
      <w:proofErr w:type="spellEnd"/>
      <w:r w:rsidRPr="00280CB2">
        <w:rPr>
          <w:rFonts w:ascii="Times New Roman" w:hAnsi="Times New Roman" w:cs="Times New Roman"/>
          <w:i/>
          <w:iCs/>
          <w:sz w:val="24"/>
          <w:szCs w:val="24"/>
          <w:shd w:val="clear" w:color="auto" w:fill="FFFFFF"/>
        </w:rPr>
        <w:t xml:space="preserve"> &amp; </w:t>
      </w:r>
      <w:proofErr w:type="spellStart"/>
      <w:r w:rsidRPr="00280CB2">
        <w:rPr>
          <w:rFonts w:ascii="Times New Roman" w:hAnsi="Times New Roman" w:cs="Times New Roman"/>
          <w:i/>
          <w:iCs/>
          <w:sz w:val="24"/>
          <w:szCs w:val="24"/>
          <w:shd w:val="clear" w:color="auto" w:fill="FFFFFF"/>
        </w:rPr>
        <w:t>psychotherapy</w:t>
      </w:r>
      <w:proofErr w:type="spellEnd"/>
      <w:r w:rsidRPr="00280CB2">
        <w:rPr>
          <w:rFonts w:ascii="Times New Roman" w:hAnsi="Times New Roman" w:cs="Times New Roman"/>
          <w:sz w:val="24"/>
          <w:szCs w:val="24"/>
          <w:shd w:val="clear" w:color="auto" w:fill="FFFFFF"/>
        </w:rPr>
        <w:t>, </w:t>
      </w:r>
      <w:r w:rsidRPr="00280CB2">
        <w:rPr>
          <w:rFonts w:ascii="Times New Roman" w:hAnsi="Times New Roman" w:cs="Times New Roman"/>
          <w:i/>
          <w:iCs/>
          <w:sz w:val="24"/>
          <w:szCs w:val="24"/>
          <w:shd w:val="clear" w:color="auto" w:fill="FFFFFF"/>
        </w:rPr>
        <w:t>24</w:t>
      </w:r>
      <w:r w:rsidRPr="00280CB2">
        <w:rPr>
          <w:rFonts w:ascii="Times New Roman" w:hAnsi="Times New Roman" w:cs="Times New Roman"/>
          <w:sz w:val="24"/>
          <w:szCs w:val="24"/>
          <w:shd w:val="clear" w:color="auto" w:fill="FFFFFF"/>
        </w:rPr>
        <w:t>(6), O1455-O1463.</w:t>
      </w:r>
    </w:p>
    <w:p w14:paraId="15B4D437" w14:textId="77777777" w:rsidR="00FA457D" w:rsidRPr="00280CB2" w:rsidRDefault="00FA457D">
      <w:pPr>
        <w:pStyle w:val="ListeParagraf"/>
        <w:numPr>
          <w:ilvl w:val="0"/>
          <w:numId w:val="60"/>
        </w:numPr>
        <w:tabs>
          <w:tab w:val="left" w:pos="0"/>
        </w:tabs>
        <w:jc w:val="both"/>
      </w:pPr>
      <w:proofErr w:type="spellStart"/>
      <w:r w:rsidRPr="00280CB2">
        <w:t>O'Toole</w:t>
      </w:r>
      <w:proofErr w:type="spellEnd"/>
      <w:r w:rsidRPr="00280CB2">
        <w:t xml:space="preserve">, J., &amp; Burton, B. (2005). </w:t>
      </w:r>
      <w:proofErr w:type="spellStart"/>
      <w:r w:rsidRPr="00280CB2">
        <w:t>Acting</w:t>
      </w:r>
      <w:proofErr w:type="spellEnd"/>
      <w:r w:rsidRPr="00280CB2">
        <w:t xml:space="preserve"> </w:t>
      </w:r>
      <w:proofErr w:type="spellStart"/>
      <w:r w:rsidRPr="00280CB2">
        <w:t>against</w:t>
      </w:r>
      <w:proofErr w:type="spellEnd"/>
      <w:r w:rsidRPr="00280CB2">
        <w:t xml:space="preserve"> </w:t>
      </w:r>
      <w:proofErr w:type="spellStart"/>
      <w:r w:rsidRPr="00280CB2">
        <w:t>conflict</w:t>
      </w:r>
      <w:proofErr w:type="spellEnd"/>
      <w:r w:rsidRPr="00280CB2">
        <w:t xml:space="preserve"> </w:t>
      </w:r>
      <w:proofErr w:type="spellStart"/>
      <w:r w:rsidRPr="00280CB2">
        <w:t>and</w:t>
      </w:r>
      <w:proofErr w:type="spellEnd"/>
      <w:r w:rsidRPr="00280CB2">
        <w:t xml:space="preserve"> </w:t>
      </w:r>
      <w:proofErr w:type="spellStart"/>
      <w:r w:rsidRPr="00280CB2">
        <w:t>bullying</w:t>
      </w:r>
      <w:proofErr w:type="spellEnd"/>
      <w:r w:rsidRPr="00280CB2">
        <w:t xml:space="preserve">.   </w:t>
      </w:r>
      <w:proofErr w:type="spellStart"/>
      <w:r w:rsidRPr="00E359E0">
        <w:rPr>
          <w:i/>
        </w:rPr>
        <w:t>Research</w:t>
      </w:r>
      <w:proofErr w:type="spellEnd"/>
      <w:r w:rsidRPr="00E359E0">
        <w:rPr>
          <w:i/>
        </w:rPr>
        <w:t xml:space="preserve"> in Drama </w:t>
      </w:r>
      <w:proofErr w:type="spellStart"/>
      <w:r w:rsidRPr="00E359E0">
        <w:rPr>
          <w:i/>
        </w:rPr>
        <w:t>Education</w:t>
      </w:r>
      <w:proofErr w:type="spellEnd"/>
      <w:r w:rsidRPr="00280CB2">
        <w:t>, 10(3), 269-283.</w:t>
      </w:r>
    </w:p>
    <w:p w14:paraId="553DED5D" w14:textId="77777777" w:rsidR="00FA457D" w:rsidRPr="00280CB2" w:rsidRDefault="00FA457D">
      <w:pPr>
        <w:pStyle w:val="ListeParagraf"/>
        <w:numPr>
          <w:ilvl w:val="0"/>
          <w:numId w:val="60"/>
        </w:numPr>
        <w:tabs>
          <w:tab w:val="left" w:pos="0"/>
        </w:tabs>
        <w:jc w:val="both"/>
      </w:pPr>
      <w:proofErr w:type="spellStart"/>
      <w:r w:rsidRPr="00280CB2">
        <w:t>Psycharis</w:t>
      </w:r>
      <w:proofErr w:type="spellEnd"/>
      <w:r w:rsidRPr="00280CB2">
        <w:t xml:space="preserve">, S. (2017). “I </w:t>
      </w:r>
      <w:proofErr w:type="spellStart"/>
      <w:r w:rsidRPr="00280CB2">
        <w:t>experienced</w:t>
      </w:r>
      <w:proofErr w:type="spellEnd"/>
      <w:r w:rsidRPr="00280CB2">
        <w:t xml:space="preserve"> </w:t>
      </w:r>
      <w:proofErr w:type="spellStart"/>
      <w:r w:rsidRPr="00280CB2">
        <w:t>freedom</w:t>
      </w:r>
      <w:proofErr w:type="spellEnd"/>
      <w:r w:rsidRPr="00280CB2">
        <w:t xml:space="preserve"> </w:t>
      </w:r>
      <w:proofErr w:type="spellStart"/>
      <w:r w:rsidRPr="00280CB2">
        <w:t>within</w:t>
      </w:r>
      <w:proofErr w:type="spellEnd"/>
      <w:r w:rsidRPr="00280CB2">
        <w:t xml:space="preserve"> </w:t>
      </w:r>
      <w:proofErr w:type="spellStart"/>
      <w:r w:rsidRPr="00280CB2">
        <w:t>the</w:t>
      </w:r>
      <w:proofErr w:type="spellEnd"/>
      <w:r w:rsidRPr="00280CB2">
        <w:t xml:space="preserve"> </w:t>
      </w:r>
      <w:proofErr w:type="spellStart"/>
      <w:r w:rsidRPr="00280CB2">
        <w:t>frame</w:t>
      </w:r>
      <w:proofErr w:type="spellEnd"/>
      <w:r w:rsidRPr="00280CB2">
        <w:t xml:space="preserve"> of </w:t>
      </w:r>
      <w:proofErr w:type="spellStart"/>
      <w:r w:rsidRPr="00280CB2">
        <w:t>my</w:t>
      </w:r>
      <w:proofErr w:type="spellEnd"/>
      <w:r w:rsidRPr="00280CB2">
        <w:t xml:space="preserve"> </w:t>
      </w:r>
      <w:proofErr w:type="spellStart"/>
      <w:r w:rsidRPr="00280CB2">
        <w:t>own</w:t>
      </w:r>
      <w:proofErr w:type="spellEnd"/>
      <w:r w:rsidRPr="00280CB2">
        <w:t xml:space="preserve"> </w:t>
      </w:r>
      <w:proofErr w:type="spellStart"/>
      <w:r w:rsidRPr="00280CB2">
        <w:t>narrative</w:t>
      </w:r>
      <w:proofErr w:type="spellEnd"/>
      <w:r w:rsidRPr="00280CB2">
        <w:t xml:space="preserve">”: </w:t>
      </w:r>
      <w:proofErr w:type="spellStart"/>
      <w:r w:rsidRPr="00280CB2">
        <w:t>The</w:t>
      </w:r>
      <w:proofErr w:type="spellEnd"/>
      <w:r w:rsidRPr="00280CB2">
        <w:t xml:space="preserve"> </w:t>
      </w:r>
      <w:proofErr w:type="spellStart"/>
      <w:r w:rsidRPr="00280CB2">
        <w:t>contribution</w:t>
      </w:r>
      <w:proofErr w:type="spellEnd"/>
      <w:r w:rsidRPr="00280CB2">
        <w:t xml:space="preserve"> of </w:t>
      </w:r>
      <w:proofErr w:type="spellStart"/>
      <w:r w:rsidRPr="00280CB2">
        <w:t>psychodrama</w:t>
      </w:r>
      <w:proofErr w:type="spellEnd"/>
      <w:r w:rsidRPr="00280CB2">
        <w:t xml:space="preserve"> </w:t>
      </w:r>
      <w:proofErr w:type="spellStart"/>
      <w:r w:rsidRPr="00280CB2">
        <w:t>techniques</w:t>
      </w:r>
      <w:proofErr w:type="spellEnd"/>
      <w:r w:rsidRPr="00280CB2">
        <w:t xml:space="preserve"> </w:t>
      </w:r>
      <w:proofErr w:type="spellStart"/>
      <w:r w:rsidRPr="00280CB2">
        <w:t>to</w:t>
      </w:r>
      <w:proofErr w:type="spellEnd"/>
      <w:r w:rsidRPr="00280CB2">
        <w:t xml:space="preserve"> </w:t>
      </w:r>
      <w:proofErr w:type="spellStart"/>
      <w:r w:rsidRPr="00280CB2">
        <w:t>experiential</w:t>
      </w:r>
      <w:proofErr w:type="spellEnd"/>
      <w:r w:rsidRPr="00280CB2">
        <w:t xml:space="preserve"> </w:t>
      </w:r>
      <w:proofErr w:type="spellStart"/>
      <w:r w:rsidRPr="00280CB2">
        <w:t>learning</w:t>
      </w:r>
      <w:proofErr w:type="spellEnd"/>
      <w:r w:rsidRPr="00280CB2">
        <w:t xml:space="preserve"> in </w:t>
      </w:r>
      <w:proofErr w:type="spellStart"/>
      <w:r w:rsidRPr="00280CB2">
        <w:t>teacher</w:t>
      </w:r>
      <w:proofErr w:type="spellEnd"/>
      <w:r w:rsidRPr="00280CB2">
        <w:t xml:space="preserve"> </w:t>
      </w:r>
      <w:proofErr w:type="spellStart"/>
      <w:r w:rsidRPr="00280CB2">
        <w:t>training</w:t>
      </w:r>
      <w:proofErr w:type="spellEnd"/>
      <w:r w:rsidRPr="00280CB2">
        <w:t xml:space="preserve">. </w:t>
      </w:r>
      <w:r w:rsidRPr="00E359E0">
        <w:rPr>
          <w:rStyle w:val="Vurgu"/>
          <w:rFonts w:eastAsiaTheme="majorEastAsia"/>
        </w:rPr>
        <w:t xml:space="preserve">International </w:t>
      </w:r>
      <w:proofErr w:type="spellStart"/>
      <w:r w:rsidRPr="00E359E0">
        <w:rPr>
          <w:rStyle w:val="Vurgu"/>
          <w:rFonts w:eastAsiaTheme="majorEastAsia"/>
        </w:rPr>
        <w:t>Review</w:t>
      </w:r>
      <w:proofErr w:type="spellEnd"/>
      <w:r w:rsidRPr="00E359E0">
        <w:rPr>
          <w:rStyle w:val="Vurgu"/>
          <w:rFonts w:eastAsiaTheme="majorEastAsia"/>
        </w:rPr>
        <w:t xml:space="preserve"> of </w:t>
      </w:r>
      <w:proofErr w:type="spellStart"/>
      <w:r w:rsidRPr="00E359E0">
        <w:rPr>
          <w:rStyle w:val="Vurgu"/>
          <w:rFonts w:eastAsiaTheme="majorEastAsia"/>
        </w:rPr>
        <w:t>Education</w:t>
      </w:r>
      <w:proofErr w:type="spellEnd"/>
      <w:r w:rsidRPr="00E359E0">
        <w:rPr>
          <w:rStyle w:val="Vurgu"/>
          <w:rFonts w:eastAsiaTheme="majorEastAsia"/>
        </w:rPr>
        <w:t xml:space="preserve">: </w:t>
      </w:r>
      <w:proofErr w:type="spellStart"/>
      <w:r w:rsidRPr="00E359E0">
        <w:rPr>
          <w:rStyle w:val="Vurgu"/>
          <w:rFonts w:eastAsiaTheme="majorEastAsia"/>
        </w:rPr>
        <w:t>Journal</w:t>
      </w:r>
      <w:proofErr w:type="spellEnd"/>
      <w:r w:rsidRPr="00E359E0">
        <w:rPr>
          <w:rStyle w:val="Vurgu"/>
          <w:rFonts w:eastAsiaTheme="majorEastAsia"/>
        </w:rPr>
        <w:t xml:space="preserve"> of </w:t>
      </w:r>
      <w:proofErr w:type="spellStart"/>
      <w:r w:rsidRPr="00E359E0">
        <w:rPr>
          <w:rStyle w:val="Vurgu"/>
          <w:rFonts w:eastAsiaTheme="majorEastAsia"/>
        </w:rPr>
        <w:t>Lifelong</w:t>
      </w:r>
      <w:proofErr w:type="spellEnd"/>
      <w:r w:rsidRPr="00E359E0">
        <w:rPr>
          <w:rStyle w:val="Vurgu"/>
          <w:rFonts w:eastAsiaTheme="majorEastAsia"/>
        </w:rPr>
        <w:t xml:space="preserve"> Learning, 63</w:t>
      </w:r>
      <w:r w:rsidRPr="00280CB2">
        <w:t>, 71–86.</w:t>
      </w:r>
    </w:p>
    <w:p w14:paraId="43C7E925"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sz w:val="24"/>
          <w:szCs w:val="24"/>
        </w:rPr>
      </w:pPr>
      <w:proofErr w:type="spellStart"/>
      <w:r w:rsidRPr="00280CB2">
        <w:rPr>
          <w:rFonts w:ascii="Times New Roman" w:hAnsi="Times New Roman" w:cs="Times New Roman"/>
          <w:sz w:val="24"/>
          <w:szCs w:val="24"/>
        </w:rPr>
        <w:t>Pulungan</w:t>
      </w:r>
      <w:proofErr w:type="spellEnd"/>
      <w:r w:rsidRPr="00280CB2">
        <w:rPr>
          <w:rFonts w:ascii="Times New Roman" w:hAnsi="Times New Roman" w:cs="Times New Roman"/>
          <w:sz w:val="24"/>
          <w:szCs w:val="24"/>
        </w:rPr>
        <w:t xml:space="preserve">, Z. S. A., Hamid, A. Y. S., </w:t>
      </w:r>
      <w:proofErr w:type="spellStart"/>
      <w:r w:rsidRPr="00280CB2">
        <w:rPr>
          <w:rFonts w:ascii="Times New Roman" w:hAnsi="Times New Roman" w:cs="Times New Roman"/>
          <w:sz w:val="24"/>
          <w:szCs w:val="24"/>
        </w:rPr>
        <w:t>Susanti</w:t>
      </w:r>
      <w:proofErr w:type="spellEnd"/>
      <w:r w:rsidRPr="00280CB2">
        <w:rPr>
          <w:rFonts w:ascii="Times New Roman" w:hAnsi="Times New Roman" w:cs="Times New Roman"/>
          <w:sz w:val="24"/>
          <w:szCs w:val="24"/>
        </w:rPr>
        <w:t xml:space="preserve">, H., &amp; </w:t>
      </w:r>
      <w:proofErr w:type="spellStart"/>
      <w:r w:rsidRPr="00280CB2">
        <w:rPr>
          <w:rFonts w:ascii="Times New Roman" w:hAnsi="Times New Roman" w:cs="Times New Roman"/>
          <w:sz w:val="24"/>
          <w:szCs w:val="24"/>
        </w:rPr>
        <w:t>Dewi</w:t>
      </w:r>
      <w:proofErr w:type="spellEnd"/>
      <w:r w:rsidRPr="00280CB2">
        <w:rPr>
          <w:rFonts w:ascii="Times New Roman" w:hAnsi="Times New Roman" w:cs="Times New Roman"/>
          <w:sz w:val="24"/>
          <w:szCs w:val="24"/>
        </w:rPr>
        <w:t xml:space="preserve">, S. Y. (2025). </w:t>
      </w:r>
      <w:proofErr w:type="spellStart"/>
      <w:r w:rsidRPr="00280CB2">
        <w:rPr>
          <w:rFonts w:ascii="Times New Roman" w:hAnsi="Times New Roman" w:cs="Times New Roman"/>
          <w:sz w:val="24"/>
          <w:szCs w:val="24"/>
        </w:rPr>
        <w:t>Strengthening</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promotive</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and</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preventive</w:t>
      </w:r>
      <w:proofErr w:type="spellEnd"/>
      <w:r w:rsidRPr="00280CB2">
        <w:rPr>
          <w:rFonts w:ascii="Times New Roman" w:hAnsi="Times New Roman" w:cs="Times New Roman"/>
          <w:sz w:val="24"/>
          <w:szCs w:val="24"/>
        </w:rPr>
        <w:t xml:space="preserve"> program: A </w:t>
      </w:r>
      <w:proofErr w:type="spellStart"/>
      <w:r w:rsidRPr="00280CB2">
        <w:rPr>
          <w:rFonts w:ascii="Times New Roman" w:hAnsi="Times New Roman" w:cs="Times New Roman"/>
          <w:sz w:val="24"/>
          <w:szCs w:val="24"/>
        </w:rPr>
        <w:t>policy</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review</w:t>
      </w:r>
      <w:proofErr w:type="spellEnd"/>
      <w:r w:rsidRPr="00280CB2">
        <w:rPr>
          <w:rFonts w:ascii="Times New Roman" w:hAnsi="Times New Roman" w:cs="Times New Roman"/>
          <w:sz w:val="24"/>
          <w:szCs w:val="24"/>
        </w:rPr>
        <w:t xml:space="preserve"> on </w:t>
      </w:r>
      <w:proofErr w:type="spellStart"/>
      <w:r w:rsidRPr="00280CB2">
        <w:rPr>
          <w:rFonts w:ascii="Times New Roman" w:hAnsi="Times New Roman" w:cs="Times New Roman"/>
          <w:sz w:val="24"/>
          <w:szCs w:val="24"/>
        </w:rPr>
        <w:t>adolescent</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mental</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health</w:t>
      </w:r>
      <w:proofErr w:type="spellEnd"/>
      <w:r w:rsidRPr="00280CB2">
        <w:rPr>
          <w:rFonts w:ascii="Times New Roman" w:hAnsi="Times New Roman" w:cs="Times New Roman"/>
          <w:sz w:val="24"/>
          <w:szCs w:val="24"/>
        </w:rPr>
        <w:t xml:space="preserve"> in </w:t>
      </w:r>
      <w:proofErr w:type="spellStart"/>
      <w:r w:rsidRPr="00280CB2">
        <w:rPr>
          <w:rFonts w:ascii="Times New Roman" w:hAnsi="Times New Roman" w:cs="Times New Roman"/>
          <w:sz w:val="24"/>
          <w:szCs w:val="24"/>
        </w:rPr>
        <w:t>prisons</w:t>
      </w:r>
      <w:proofErr w:type="spellEnd"/>
      <w:r w:rsidRPr="00280CB2">
        <w:rPr>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Journal</w:t>
      </w:r>
      <w:proofErr w:type="spellEnd"/>
      <w:r w:rsidRPr="00280CB2">
        <w:rPr>
          <w:rStyle w:val="Vurgu"/>
          <w:rFonts w:ascii="Times New Roman" w:hAnsi="Times New Roman" w:cs="Times New Roman"/>
          <w:sz w:val="24"/>
          <w:szCs w:val="24"/>
        </w:rPr>
        <w:t xml:space="preserve"> of </w:t>
      </w:r>
      <w:proofErr w:type="spellStart"/>
      <w:r w:rsidRPr="00280CB2">
        <w:rPr>
          <w:rStyle w:val="Vurgu"/>
          <w:rFonts w:ascii="Times New Roman" w:hAnsi="Times New Roman" w:cs="Times New Roman"/>
          <w:sz w:val="24"/>
          <w:szCs w:val="24"/>
        </w:rPr>
        <w:t>Liaquat</w:t>
      </w:r>
      <w:proofErr w:type="spellEnd"/>
      <w:r w:rsidRPr="00280CB2">
        <w:rPr>
          <w:rStyle w:val="Vurgu"/>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University</w:t>
      </w:r>
      <w:proofErr w:type="spellEnd"/>
      <w:r w:rsidRPr="00280CB2">
        <w:rPr>
          <w:rStyle w:val="Vurgu"/>
          <w:rFonts w:ascii="Times New Roman" w:hAnsi="Times New Roman" w:cs="Times New Roman"/>
          <w:sz w:val="24"/>
          <w:szCs w:val="24"/>
        </w:rPr>
        <w:t xml:space="preserve"> of </w:t>
      </w:r>
      <w:proofErr w:type="spellStart"/>
      <w:r w:rsidRPr="00280CB2">
        <w:rPr>
          <w:rStyle w:val="Vurgu"/>
          <w:rFonts w:ascii="Times New Roman" w:hAnsi="Times New Roman" w:cs="Times New Roman"/>
          <w:sz w:val="24"/>
          <w:szCs w:val="24"/>
        </w:rPr>
        <w:t>Medical</w:t>
      </w:r>
      <w:proofErr w:type="spellEnd"/>
      <w:r w:rsidRPr="00280CB2">
        <w:rPr>
          <w:rStyle w:val="Vurgu"/>
          <w:rFonts w:ascii="Times New Roman" w:hAnsi="Times New Roman" w:cs="Times New Roman"/>
          <w:sz w:val="24"/>
          <w:szCs w:val="24"/>
        </w:rPr>
        <w:t xml:space="preserve"> &amp; </w:t>
      </w:r>
      <w:proofErr w:type="spellStart"/>
      <w:r w:rsidRPr="00280CB2">
        <w:rPr>
          <w:rStyle w:val="Vurgu"/>
          <w:rFonts w:ascii="Times New Roman" w:hAnsi="Times New Roman" w:cs="Times New Roman"/>
          <w:sz w:val="24"/>
          <w:szCs w:val="24"/>
        </w:rPr>
        <w:t>Health</w:t>
      </w:r>
      <w:proofErr w:type="spellEnd"/>
      <w:r w:rsidRPr="00280CB2">
        <w:rPr>
          <w:rStyle w:val="Vurgu"/>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Sciences</w:t>
      </w:r>
      <w:proofErr w:type="spellEnd"/>
      <w:r w:rsidRPr="00280CB2">
        <w:rPr>
          <w:rStyle w:val="Vurgu"/>
          <w:rFonts w:ascii="Times New Roman" w:hAnsi="Times New Roman" w:cs="Times New Roman"/>
          <w:sz w:val="24"/>
          <w:szCs w:val="24"/>
        </w:rPr>
        <w:t xml:space="preserve">, Special </w:t>
      </w:r>
      <w:proofErr w:type="spellStart"/>
      <w:r w:rsidRPr="00280CB2">
        <w:rPr>
          <w:rStyle w:val="Vurgu"/>
          <w:rFonts w:ascii="Times New Roman" w:hAnsi="Times New Roman" w:cs="Times New Roman"/>
          <w:sz w:val="24"/>
          <w:szCs w:val="24"/>
        </w:rPr>
        <w:t>Issue</w:t>
      </w:r>
      <w:proofErr w:type="spellEnd"/>
      <w:r w:rsidRPr="00280CB2">
        <w:rPr>
          <w:rStyle w:val="Vurgu"/>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The</w:t>
      </w:r>
      <w:proofErr w:type="spellEnd"/>
      <w:r w:rsidRPr="00280CB2">
        <w:rPr>
          <w:rStyle w:val="Vurgu"/>
          <w:rFonts w:ascii="Times New Roman" w:hAnsi="Times New Roman" w:cs="Times New Roman"/>
          <w:sz w:val="24"/>
          <w:szCs w:val="24"/>
        </w:rPr>
        <w:t xml:space="preserve"> 15th International </w:t>
      </w:r>
      <w:proofErr w:type="spellStart"/>
      <w:r w:rsidRPr="00280CB2">
        <w:rPr>
          <w:rStyle w:val="Vurgu"/>
          <w:rFonts w:ascii="Times New Roman" w:hAnsi="Times New Roman" w:cs="Times New Roman"/>
          <w:sz w:val="24"/>
          <w:szCs w:val="24"/>
        </w:rPr>
        <w:t>Nursing</w:t>
      </w:r>
      <w:proofErr w:type="spellEnd"/>
      <w:r w:rsidRPr="00280CB2">
        <w:rPr>
          <w:rStyle w:val="Vurgu"/>
          <w:rFonts w:ascii="Times New Roman" w:hAnsi="Times New Roman" w:cs="Times New Roman"/>
          <w:sz w:val="24"/>
          <w:szCs w:val="24"/>
        </w:rPr>
        <w:t xml:space="preserve"> Conference, </w:t>
      </w:r>
      <w:proofErr w:type="spellStart"/>
      <w:r w:rsidRPr="00280CB2">
        <w:rPr>
          <w:rStyle w:val="Vurgu"/>
          <w:rFonts w:ascii="Times New Roman" w:hAnsi="Times New Roman" w:cs="Times New Roman"/>
          <w:sz w:val="24"/>
          <w:szCs w:val="24"/>
        </w:rPr>
        <w:t>Indonesia</w:t>
      </w:r>
      <w:proofErr w:type="spellEnd"/>
      <w:r w:rsidRPr="00280CB2">
        <w:rPr>
          <w:rStyle w:val="Vurgu"/>
          <w:rFonts w:ascii="Times New Roman" w:hAnsi="Times New Roman" w:cs="Times New Roman"/>
          <w:sz w:val="24"/>
          <w:szCs w:val="24"/>
        </w:rPr>
        <w:t>)</w:t>
      </w:r>
      <w:r w:rsidRPr="00280CB2">
        <w:rPr>
          <w:rFonts w:ascii="Times New Roman" w:hAnsi="Times New Roman" w:cs="Times New Roman"/>
          <w:sz w:val="24"/>
          <w:szCs w:val="24"/>
        </w:rPr>
        <w:t xml:space="preserve">. </w:t>
      </w:r>
      <w:hyperlink r:id="rId336" w:tgtFrame="_new" w:history="1">
        <w:r w:rsidRPr="00280CB2">
          <w:rPr>
            <w:rStyle w:val="Kpr"/>
            <w:rFonts w:ascii="Times New Roman" w:hAnsi="Times New Roman" w:cs="Times New Roman"/>
            <w:color w:val="auto"/>
            <w:sz w:val="24"/>
            <w:szCs w:val="24"/>
          </w:rPr>
          <w:t>https://www.lumhs.edu.pk/jlumhs/special-issue-january2025/10.pdf</w:t>
        </w:r>
      </w:hyperlink>
    </w:p>
    <w:p w14:paraId="6747FA8B" w14:textId="77777777" w:rsidR="00FA457D" w:rsidRPr="00280CB2" w:rsidRDefault="00FA457D">
      <w:pPr>
        <w:pStyle w:val="ListeParagraf"/>
        <w:numPr>
          <w:ilvl w:val="0"/>
          <w:numId w:val="60"/>
        </w:numPr>
        <w:tabs>
          <w:tab w:val="left" w:pos="0"/>
        </w:tabs>
        <w:jc w:val="both"/>
      </w:pPr>
      <w:proofErr w:type="spellStart"/>
      <w:r w:rsidRPr="00280CB2">
        <w:t>Quagelli</w:t>
      </w:r>
      <w:proofErr w:type="spellEnd"/>
      <w:r w:rsidRPr="00280CB2">
        <w:t xml:space="preserve">, E. (2017). On </w:t>
      </w:r>
      <w:proofErr w:type="spellStart"/>
      <w:r w:rsidRPr="00280CB2">
        <w:t>becoming</w:t>
      </w:r>
      <w:proofErr w:type="spellEnd"/>
      <w:r w:rsidRPr="00280CB2">
        <w:t xml:space="preserve"> </w:t>
      </w:r>
      <w:proofErr w:type="spellStart"/>
      <w:r w:rsidRPr="00280CB2">
        <w:t>able</w:t>
      </w:r>
      <w:proofErr w:type="spellEnd"/>
      <w:r w:rsidRPr="00280CB2">
        <w:t xml:space="preserve"> </w:t>
      </w:r>
      <w:proofErr w:type="spellStart"/>
      <w:r w:rsidRPr="00280CB2">
        <w:t>to</w:t>
      </w:r>
      <w:proofErr w:type="spellEnd"/>
      <w:r w:rsidRPr="00280CB2">
        <w:t xml:space="preserve"> </w:t>
      </w:r>
      <w:proofErr w:type="spellStart"/>
      <w:r w:rsidRPr="00280CB2">
        <w:t>play</w:t>
      </w:r>
      <w:proofErr w:type="spellEnd"/>
      <w:r w:rsidRPr="00280CB2">
        <w:t xml:space="preserve">: </w:t>
      </w:r>
      <w:proofErr w:type="spellStart"/>
      <w:r w:rsidRPr="00280CB2">
        <w:t>Individual</w:t>
      </w:r>
      <w:proofErr w:type="spellEnd"/>
      <w:r w:rsidRPr="00280CB2">
        <w:t xml:space="preserve"> </w:t>
      </w:r>
      <w:proofErr w:type="spellStart"/>
      <w:r w:rsidRPr="00280CB2">
        <w:t>child</w:t>
      </w:r>
      <w:proofErr w:type="spellEnd"/>
      <w:r w:rsidRPr="00280CB2">
        <w:t xml:space="preserve"> </w:t>
      </w:r>
      <w:proofErr w:type="spellStart"/>
      <w:r w:rsidRPr="00280CB2">
        <w:t>psychoanalytic</w:t>
      </w:r>
      <w:proofErr w:type="spellEnd"/>
      <w:r w:rsidRPr="00280CB2">
        <w:t xml:space="preserve"> </w:t>
      </w:r>
      <w:proofErr w:type="spellStart"/>
      <w:r w:rsidRPr="00280CB2">
        <w:t>psychodrama</w:t>
      </w:r>
      <w:proofErr w:type="spellEnd"/>
      <w:r w:rsidRPr="00280CB2">
        <w:t xml:space="preserve"> </w:t>
      </w:r>
      <w:proofErr w:type="spellStart"/>
      <w:r w:rsidRPr="00280CB2">
        <w:t>and</w:t>
      </w:r>
      <w:proofErr w:type="spellEnd"/>
      <w:r w:rsidRPr="00280CB2">
        <w:t xml:space="preserve"> </w:t>
      </w:r>
      <w:proofErr w:type="spellStart"/>
      <w:r w:rsidRPr="00280CB2">
        <w:t>symbolization</w:t>
      </w:r>
      <w:proofErr w:type="spellEnd"/>
      <w:r w:rsidRPr="00280CB2">
        <w:t xml:space="preserve"> </w:t>
      </w:r>
      <w:proofErr w:type="spellStart"/>
      <w:r w:rsidRPr="00280CB2">
        <w:t>processes</w:t>
      </w:r>
      <w:proofErr w:type="spellEnd"/>
      <w:r w:rsidRPr="00280CB2">
        <w:t xml:space="preserve">. </w:t>
      </w:r>
      <w:proofErr w:type="spellStart"/>
      <w:r w:rsidRPr="00280CB2">
        <w:t>The</w:t>
      </w:r>
      <w:proofErr w:type="spellEnd"/>
      <w:r w:rsidRPr="00280CB2">
        <w:t xml:space="preserve"> </w:t>
      </w:r>
      <w:proofErr w:type="spellStart"/>
      <w:r w:rsidRPr="00280CB2">
        <w:t>Psychoanalytic</w:t>
      </w:r>
      <w:proofErr w:type="spellEnd"/>
      <w:r w:rsidRPr="00280CB2">
        <w:t xml:space="preserve"> </w:t>
      </w:r>
      <w:proofErr w:type="spellStart"/>
      <w:r w:rsidRPr="00280CB2">
        <w:t>Quarterly</w:t>
      </w:r>
      <w:proofErr w:type="spellEnd"/>
      <w:r w:rsidRPr="00280CB2">
        <w:t>, 86(1), 1-30.</w:t>
      </w:r>
    </w:p>
    <w:p w14:paraId="4F6398FC"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sz w:val="24"/>
          <w:szCs w:val="24"/>
        </w:rPr>
      </w:pPr>
      <w:proofErr w:type="spellStart"/>
      <w:r w:rsidRPr="00280CB2">
        <w:rPr>
          <w:rFonts w:ascii="Times New Roman" w:hAnsi="Times New Roman" w:cs="Times New Roman"/>
          <w:sz w:val="24"/>
          <w:szCs w:val="24"/>
        </w:rPr>
        <w:lastRenderedPageBreak/>
        <w:t>Randell</w:t>
      </w:r>
      <w:proofErr w:type="spellEnd"/>
      <w:r w:rsidRPr="00280CB2">
        <w:rPr>
          <w:rFonts w:ascii="Times New Roman" w:hAnsi="Times New Roman" w:cs="Times New Roman"/>
          <w:sz w:val="24"/>
          <w:szCs w:val="24"/>
        </w:rPr>
        <w:t xml:space="preserve">, B. P., </w:t>
      </w:r>
      <w:proofErr w:type="spellStart"/>
      <w:r w:rsidRPr="00280CB2">
        <w:rPr>
          <w:rFonts w:ascii="Times New Roman" w:hAnsi="Times New Roman" w:cs="Times New Roman"/>
          <w:sz w:val="24"/>
          <w:szCs w:val="24"/>
        </w:rPr>
        <w:t>Eggert</w:t>
      </w:r>
      <w:proofErr w:type="spellEnd"/>
      <w:r w:rsidRPr="00280CB2">
        <w:rPr>
          <w:rFonts w:ascii="Times New Roman" w:hAnsi="Times New Roman" w:cs="Times New Roman"/>
          <w:sz w:val="24"/>
          <w:szCs w:val="24"/>
        </w:rPr>
        <w:t xml:space="preserve">, L. L., &amp; Pike, K. C. (2001). </w:t>
      </w:r>
      <w:proofErr w:type="spellStart"/>
      <w:r w:rsidRPr="00280CB2">
        <w:rPr>
          <w:rFonts w:ascii="Times New Roman" w:hAnsi="Times New Roman" w:cs="Times New Roman"/>
          <w:sz w:val="24"/>
          <w:szCs w:val="24"/>
        </w:rPr>
        <w:t>Immediate</w:t>
      </w:r>
      <w:proofErr w:type="spellEnd"/>
      <w:r w:rsidRPr="00280CB2">
        <w:rPr>
          <w:rFonts w:ascii="Times New Roman" w:hAnsi="Times New Roman" w:cs="Times New Roman"/>
          <w:sz w:val="24"/>
          <w:szCs w:val="24"/>
        </w:rPr>
        <w:t xml:space="preserve"> post </w:t>
      </w:r>
      <w:proofErr w:type="spellStart"/>
      <w:r w:rsidRPr="00280CB2">
        <w:rPr>
          <w:rFonts w:ascii="Times New Roman" w:hAnsi="Times New Roman" w:cs="Times New Roman"/>
          <w:sz w:val="24"/>
          <w:szCs w:val="24"/>
        </w:rPr>
        <w:t>intervention</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effects</w:t>
      </w:r>
      <w:proofErr w:type="spellEnd"/>
      <w:r w:rsidRPr="00280CB2">
        <w:rPr>
          <w:rFonts w:ascii="Times New Roman" w:hAnsi="Times New Roman" w:cs="Times New Roman"/>
          <w:sz w:val="24"/>
          <w:szCs w:val="24"/>
        </w:rPr>
        <w:t xml:space="preserve"> of two </w:t>
      </w:r>
      <w:proofErr w:type="spellStart"/>
      <w:r w:rsidRPr="00280CB2">
        <w:rPr>
          <w:rFonts w:ascii="Times New Roman" w:hAnsi="Times New Roman" w:cs="Times New Roman"/>
          <w:sz w:val="24"/>
          <w:szCs w:val="24"/>
        </w:rPr>
        <w:t>brief</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youth</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suicide</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prevention</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interventions</w:t>
      </w:r>
      <w:proofErr w:type="spellEnd"/>
      <w:r w:rsidRPr="00280CB2">
        <w:rPr>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Suicide</w:t>
      </w:r>
      <w:proofErr w:type="spellEnd"/>
      <w:r w:rsidRPr="00280CB2">
        <w:rPr>
          <w:rStyle w:val="Vurgu"/>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and</w:t>
      </w:r>
      <w:proofErr w:type="spellEnd"/>
      <w:r w:rsidRPr="00280CB2">
        <w:rPr>
          <w:rStyle w:val="Vurgu"/>
          <w:rFonts w:ascii="Times New Roman" w:hAnsi="Times New Roman" w:cs="Times New Roman"/>
          <w:sz w:val="24"/>
          <w:szCs w:val="24"/>
        </w:rPr>
        <w:t xml:space="preserve"> Life-</w:t>
      </w:r>
      <w:proofErr w:type="spellStart"/>
      <w:r w:rsidRPr="00280CB2">
        <w:rPr>
          <w:rStyle w:val="Vurgu"/>
          <w:rFonts w:ascii="Times New Roman" w:hAnsi="Times New Roman" w:cs="Times New Roman"/>
          <w:sz w:val="24"/>
          <w:szCs w:val="24"/>
        </w:rPr>
        <w:t>Threatening</w:t>
      </w:r>
      <w:proofErr w:type="spellEnd"/>
      <w:r w:rsidRPr="00280CB2">
        <w:rPr>
          <w:rStyle w:val="Vurgu"/>
          <w:rFonts w:ascii="Times New Roman" w:hAnsi="Times New Roman" w:cs="Times New Roman"/>
          <w:sz w:val="24"/>
          <w:szCs w:val="24"/>
        </w:rPr>
        <w:t xml:space="preserve"> </w:t>
      </w:r>
      <w:proofErr w:type="spellStart"/>
      <w:r w:rsidRPr="00280CB2">
        <w:rPr>
          <w:rStyle w:val="Vurgu"/>
          <w:rFonts w:ascii="Times New Roman" w:hAnsi="Times New Roman" w:cs="Times New Roman"/>
          <w:sz w:val="24"/>
          <w:szCs w:val="24"/>
        </w:rPr>
        <w:t>Behavior</w:t>
      </w:r>
      <w:proofErr w:type="spellEnd"/>
      <w:r w:rsidRPr="00280CB2">
        <w:rPr>
          <w:rStyle w:val="Vurgu"/>
          <w:rFonts w:ascii="Times New Roman" w:hAnsi="Times New Roman" w:cs="Times New Roman"/>
          <w:sz w:val="24"/>
          <w:szCs w:val="24"/>
        </w:rPr>
        <w:t>, 31</w:t>
      </w:r>
      <w:r w:rsidRPr="00280CB2">
        <w:rPr>
          <w:rFonts w:ascii="Times New Roman" w:hAnsi="Times New Roman" w:cs="Times New Roman"/>
          <w:sz w:val="24"/>
          <w:szCs w:val="24"/>
        </w:rPr>
        <w:t>(1), 41-61.</w:t>
      </w:r>
    </w:p>
    <w:p w14:paraId="3AF0EA5E" w14:textId="77777777" w:rsidR="00FA457D" w:rsidRPr="00280CB2" w:rsidRDefault="00FA457D">
      <w:pPr>
        <w:pStyle w:val="ListeParagraf"/>
        <w:numPr>
          <w:ilvl w:val="0"/>
          <w:numId w:val="60"/>
        </w:numPr>
        <w:tabs>
          <w:tab w:val="left" w:pos="0"/>
        </w:tabs>
        <w:jc w:val="both"/>
      </w:pPr>
      <w:r w:rsidRPr="00280CB2">
        <w:t xml:space="preserve">Rogers, C. A., ve </w:t>
      </w:r>
      <w:proofErr w:type="spellStart"/>
      <w:r w:rsidRPr="00280CB2">
        <w:t>Kosowicz</w:t>
      </w:r>
      <w:proofErr w:type="spellEnd"/>
      <w:r w:rsidRPr="00280CB2">
        <w:t xml:space="preserve">, D. (2019). </w:t>
      </w:r>
      <w:proofErr w:type="spellStart"/>
      <w:r w:rsidRPr="00E359E0">
        <w:rPr>
          <w:i/>
        </w:rPr>
        <w:t>Psychodrama</w:t>
      </w:r>
      <w:proofErr w:type="spellEnd"/>
      <w:r w:rsidRPr="00E359E0">
        <w:rPr>
          <w:i/>
        </w:rPr>
        <w:t xml:space="preserve">: </w:t>
      </w:r>
      <w:proofErr w:type="spellStart"/>
      <w:r w:rsidRPr="00E359E0">
        <w:rPr>
          <w:i/>
        </w:rPr>
        <w:t>Conception</w:t>
      </w:r>
      <w:proofErr w:type="spellEnd"/>
      <w:r w:rsidRPr="00E359E0">
        <w:rPr>
          <w:i/>
        </w:rPr>
        <w:t xml:space="preserve">, </w:t>
      </w:r>
      <w:proofErr w:type="spellStart"/>
      <w:r w:rsidRPr="00E359E0">
        <w:rPr>
          <w:i/>
        </w:rPr>
        <w:t>Evolution</w:t>
      </w:r>
      <w:proofErr w:type="spellEnd"/>
      <w:r w:rsidRPr="00E359E0">
        <w:rPr>
          <w:i/>
        </w:rPr>
        <w:t xml:space="preserve">, </w:t>
      </w:r>
      <w:proofErr w:type="spellStart"/>
      <w:r w:rsidRPr="00E359E0">
        <w:rPr>
          <w:i/>
        </w:rPr>
        <w:t>Evidence</w:t>
      </w:r>
      <w:proofErr w:type="spellEnd"/>
      <w:r w:rsidRPr="00E359E0">
        <w:rPr>
          <w:i/>
        </w:rPr>
        <w:t xml:space="preserve"> </w:t>
      </w:r>
      <w:proofErr w:type="spellStart"/>
      <w:r w:rsidRPr="00E359E0">
        <w:rPr>
          <w:i/>
        </w:rPr>
        <w:t>and</w:t>
      </w:r>
      <w:proofErr w:type="spellEnd"/>
      <w:r w:rsidRPr="00E359E0">
        <w:rPr>
          <w:i/>
        </w:rPr>
        <w:t xml:space="preserve"> Applications</w:t>
      </w:r>
      <w:r w:rsidRPr="00280CB2">
        <w:t xml:space="preserve">. </w:t>
      </w:r>
      <w:proofErr w:type="spellStart"/>
      <w:r w:rsidRPr="00280CB2">
        <w:t>Australian</w:t>
      </w:r>
      <w:proofErr w:type="spellEnd"/>
      <w:r w:rsidRPr="00280CB2">
        <w:t xml:space="preserve"> </w:t>
      </w:r>
      <w:proofErr w:type="spellStart"/>
      <w:r w:rsidRPr="00280CB2">
        <w:t>Counselling</w:t>
      </w:r>
      <w:proofErr w:type="spellEnd"/>
      <w:r w:rsidRPr="00280CB2">
        <w:t xml:space="preserve"> </w:t>
      </w:r>
      <w:proofErr w:type="spellStart"/>
      <w:r w:rsidRPr="00280CB2">
        <w:t>Research</w:t>
      </w:r>
      <w:proofErr w:type="spellEnd"/>
      <w:r w:rsidRPr="00280CB2">
        <w:t xml:space="preserve"> </w:t>
      </w:r>
      <w:proofErr w:type="spellStart"/>
      <w:r w:rsidRPr="00280CB2">
        <w:t>Journal</w:t>
      </w:r>
      <w:proofErr w:type="spellEnd"/>
      <w:r w:rsidRPr="00280CB2">
        <w:t>.</w:t>
      </w:r>
    </w:p>
    <w:p w14:paraId="475BE46D" w14:textId="77777777" w:rsidR="00FA457D" w:rsidRPr="00280CB2" w:rsidRDefault="00FA457D">
      <w:pPr>
        <w:pStyle w:val="ListeParagraf"/>
        <w:numPr>
          <w:ilvl w:val="0"/>
          <w:numId w:val="60"/>
        </w:numPr>
        <w:tabs>
          <w:tab w:val="left" w:pos="0"/>
        </w:tabs>
        <w:jc w:val="both"/>
      </w:pPr>
      <w:proofErr w:type="spellStart"/>
      <w:r w:rsidRPr="00280CB2">
        <w:t>Rudokaite</w:t>
      </w:r>
      <w:proofErr w:type="spellEnd"/>
      <w:r w:rsidRPr="00280CB2">
        <w:t xml:space="preserve">, D., &amp; </w:t>
      </w:r>
      <w:proofErr w:type="spellStart"/>
      <w:r w:rsidRPr="00280CB2">
        <w:t>Indriuniene</w:t>
      </w:r>
      <w:proofErr w:type="spellEnd"/>
      <w:r w:rsidRPr="00280CB2">
        <w:t xml:space="preserve">, V. (2019). </w:t>
      </w:r>
      <w:proofErr w:type="spellStart"/>
      <w:r w:rsidRPr="00280CB2">
        <w:t>Effectiveness</w:t>
      </w:r>
      <w:proofErr w:type="spellEnd"/>
      <w:r w:rsidRPr="00280CB2">
        <w:t xml:space="preserve"> of </w:t>
      </w:r>
      <w:proofErr w:type="spellStart"/>
      <w:r w:rsidRPr="00280CB2">
        <w:t>psychodrama</w:t>
      </w:r>
      <w:proofErr w:type="spellEnd"/>
      <w:r w:rsidRPr="00280CB2">
        <w:t xml:space="preserve"> </w:t>
      </w:r>
      <w:proofErr w:type="spellStart"/>
      <w:r w:rsidRPr="00280CB2">
        <w:t>for</w:t>
      </w:r>
      <w:proofErr w:type="spellEnd"/>
      <w:r w:rsidRPr="00280CB2">
        <w:t xml:space="preserve"> </w:t>
      </w:r>
      <w:proofErr w:type="spellStart"/>
      <w:r w:rsidRPr="00280CB2">
        <w:t>mitigating</w:t>
      </w:r>
      <w:proofErr w:type="spellEnd"/>
      <w:r w:rsidRPr="00280CB2">
        <w:t xml:space="preserve"> </w:t>
      </w:r>
      <w:proofErr w:type="spellStart"/>
      <w:r w:rsidRPr="00280CB2">
        <w:t>school</w:t>
      </w:r>
      <w:proofErr w:type="spellEnd"/>
      <w:r w:rsidRPr="00280CB2">
        <w:t xml:space="preserve"> </w:t>
      </w:r>
      <w:proofErr w:type="spellStart"/>
      <w:r w:rsidRPr="00280CB2">
        <w:t>fears</w:t>
      </w:r>
      <w:proofErr w:type="spellEnd"/>
      <w:r w:rsidRPr="00280CB2">
        <w:t xml:space="preserve"> </w:t>
      </w:r>
      <w:proofErr w:type="spellStart"/>
      <w:r w:rsidRPr="00280CB2">
        <w:t>among</w:t>
      </w:r>
      <w:proofErr w:type="spellEnd"/>
      <w:r w:rsidRPr="00280CB2">
        <w:t xml:space="preserve"> </w:t>
      </w:r>
      <w:proofErr w:type="spellStart"/>
      <w:r w:rsidRPr="00280CB2">
        <w:t>senior</w:t>
      </w:r>
      <w:proofErr w:type="spellEnd"/>
      <w:r w:rsidRPr="00280CB2">
        <w:t xml:space="preserve"> </w:t>
      </w:r>
      <w:proofErr w:type="spellStart"/>
      <w:r w:rsidRPr="00280CB2">
        <w:t>secondary</w:t>
      </w:r>
      <w:proofErr w:type="spellEnd"/>
      <w:r w:rsidRPr="00280CB2">
        <w:t xml:space="preserve"> </w:t>
      </w:r>
      <w:proofErr w:type="spellStart"/>
      <w:r w:rsidRPr="00280CB2">
        <w:t>school</w:t>
      </w:r>
      <w:proofErr w:type="spellEnd"/>
      <w:r w:rsidRPr="00280CB2">
        <w:t xml:space="preserve"> </w:t>
      </w:r>
      <w:proofErr w:type="spellStart"/>
      <w:r w:rsidRPr="00280CB2">
        <w:t>students</w:t>
      </w:r>
      <w:proofErr w:type="spellEnd"/>
      <w:r w:rsidRPr="00280CB2">
        <w:t xml:space="preserve">. </w:t>
      </w:r>
      <w:proofErr w:type="spellStart"/>
      <w:r w:rsidRPr="00E359E0">
        <w:rPr>
          <w:i/>
        </w:rPr>
        <w:t>Zeitschrift</w:t>
      </w:r>
      <w:proofErr w:type="spellEnd"/>
      <w:r w:rsidRPr="00E359E0">
        <w:rPr>
          <w:i/>
        </w:rPr>
        <w:t xml:space="preserve"> </w:t>
      </w:r>
      <w:proofErr w:type="spellStart"/>
      <w:r w:rsidRPr="00E359E0">
        <w:rPr>
          <w:i/>
        </w:rPr>
        <w:t>für</w:t>
      </w:r>
      <w:proofErr w:type="spellEnd"/>
      <w:r w:rsidRPr="00E359E0">
        <w:rPr>
          <w:i/>
        </w:rPr>
        <w:t xml:space="preserve"> </w:t>
      </w:r>
      <w:proofErr w:type="spellStart"/>
      <w:r w:rsidRPr="00E359E0">
        <w:rPr>
          <w:i/>
        </w:rPr>
        <w:t>Psychodrama</w:t>
      </w:r>
      <w:proofErr w:type="spellEnd"/>
      <w:r w:rsidRPr="00E359E0">
        <w:rPr>
          <w:i/>
        </w:rPr>
        <w:t xml:space="preserve"> </w:t>
      </w:r>
      <w:proofErr w:type="spellStart"/>
      <w:r w:rsidRPr="00E359E0">
        <w:rPr>
          <w:i/>
        </w:rPr>
        <w:t>und</w:t>
      </w:r>
      <w:proofErr w:type="spellEnd"/>
      <w:r w:rsidRPr="00E359E0">
        <w:rPr>
          <w:i/>
        </w:rPr>
        <w:t xml:space="preserve"> </w:t>
      </w:r>
      <w:proofErr w:type="spellStart"/>
      <w:r w:rsidRPr="00E359E0">
        <w:rPr>
          <w:i/>
        </w:rPr>
        <w:t>Soziometrie</w:t>
      </w:r>
      <w:proofErr w:type="spellEnd"/>
      <w:r w:rsidRPr="00280CB2">
        <w:t xml:space="preserve">, </w:t>
      </w:r>
      <w:r w:rsidRPr="00E359E0">
        <w:rPr>
          <w:i/>
        </w:rPr>
        <w:t>18</w:t>
      </w:r>
      <w:r w:rsidRPr="00280CB2">
        <w:t xml:space="preserve">(2), 369–385. </w:t>
      </w:r>
      <w:hyperlink r:id="rId337">
        <w:r w:rsidRPr="00E359E0">
          <w:rPr>
            <w:u w:val="single"/>
          </w:rPr>
          <w:t>https://doi.org/10.1007/s11620-019-00501-8</w:t>
        </w:r>
      </w:hyperlink>
    </w:p>
    <w:p w14:paraId="2B56FFFE" w14:textId="14CD0E2C" w:rsidR="00FA457D" w:rsidRPr="00280CB2" w:rsidRDefault="00FA457D">
      <w:pPr>
        <w:pStyle w:val="ListeParagraf"/>
        <w:numPr>
          <w:ilvl w:val="0"/>
          <w:numId w:val="60"/>
        </w:numPr>
        <w:tabs>
          <w:tab w:val="left" w:pos="0"/>
        </w:tabs>
      </w:pPr>
      <w:proofErr w:type="spellStart"/>
      <w:r w:rsidRPr="00280CB2">
        <w:t>Sabola</w:t>
      </w:r>
      <w:proofErr w:type="spellEnd"/>
      <w:r w:rsidRPr="00280CB2">
        <w:t xml:space="preserve">, N. E., </w:t>
      </w:r>
      <w:proofErr w:type="spellStart"/>
      <w:r w:rsidRPr="00280CB2">
        <w:t>Arrab</w:t>
      </w:r>
      <w:proofErr w:type="spellEnd"/>
      <w:r w:rsidRPr="00280CB2">
        <w:t xml:space="preserve">, M. M., EL </w:t>
      </w:r>
      <w:proofErr w:type="spellStart"/>
      <w:r w:rsidRPr="00280CB2">
        <w:t>Berry</w:t>
      </w:r>
      <w:proofErr w:type="spellEnd"/>
      <w:r w:rsidRPr="00280CB2">
        <w:t xml:space="preserve">, K. I., </w:t>
      </w:r>
      <w:proofErr w:type="spellStart"/>
      <w:r w:rsidRPr="00280CB2">
        <w:t>Zayed</w:t>
      </w:r>
      <w:proofErr w:type="spellEnd"/>
      <w:r w:rsidRPr="00280CB2">
        <w:t xml:space="preserve">, D. A., </w:t>
      </w:r>
      <w:proofErr w:type="spellStart"/>
      <w:r w:rsidRPr="00280CB2">
        <w:t>Radwan</w:t>
      </w:r>
      <w:proofErr w:type="spellEnd"/>
      <w:r w:rsidRPr="00280CB2">
        <w:t xml:space="preserve">, H. A., &amp; </w:t>
      </w:r>
      <w:proofErr w:type="spellStart"/>
      <w:r w:rsidRPr="00280CB2">
        <w:t>Elfeshawy</w:t>
      </w:r>
      <w:proofErr w:type="spellEnd"/>
      <w:r w:rsidRPr="00280CB2">
        <w:t xml:space="preserve">, R. (2020). </w:t>
      </w:r>
      <w:proofErr w:type="spellStart"/>
      <w:r w:rsidRPr="00E359E0">
        <w:rPr>
          <w:rStyle w:val="Vurgu"/>
          <w:rFonts w:eastAsiaTheme="majorEastAsia"/>
        </w:rPr>
        <w:t>Effect</w:t>
      </w:r>
      <w:proofErr w:type="spellEnd"/>
      <w:r w:rsidRPr="00E359E0">
        <w:rPr>
          <w:rStyle w:val="Vurgu"/>
          <w:rFonts w:eastAsiaTheme="majorEastAsia"/>
        </w:rPr>
        <w:t xml:space="preserve"> of </w:t>
      </w:r>
      <w:proofErr w:type="spellStart"/>
      <w:r w:rsidRPr="00E359E0">
        <w:rPr>
          <w:rStyle w:val="Vurgu"/>
          <w:rFonts w:eastAsiaTheme="majorEastAsia"/>
        </w:rPr>
        <w:t>psychodrama-based</w:t>
      </w:r>
      <w:proofErr w:type="spellEnd"/>
      <w:r w:rsidRPr="00E359E0">
        <w:rPr>
          <w:rStyle w:val="Vurgu"/>
          <w:rFonts w:eastAsiaTheme="majorEastAsia"/>
        </w:rPr>
        <w:t xml:space="preserve"> </w:t>
      </w:r>
      <w:proofErr w:type="spellStart"/>
      <w:r w:rsidRPr="00E359E0">
        <w:rPr>
          <w:rStyle w:val="Vurgu"/>
          <w:rFonts w:eastAsiaTheme="majorEastAsia"/>
        </w:rPr>
        <w:t>nursing</w:t>
      </w:r>
      <w:proofErr w:type="spellEnd"/>
      <w:r w:rsidRPr="00E359E0">
        <w:rPr>
          <w:rStyle w:val="Vurgu"/>
          <w:rFonts w:eastAsiaTheme="majorEastAsia"/>
        </w:rPr>
        <w:t xml:space="preserve"> </w:t>
      </w:r>
      <w:proofErr w:type="spellStart"/>
      <w:r w:rsidRPr="00E359E0">
        <w:rPr>
          <w:rStyle w:val="Vurgu"/>
          <w:rFonts w:eastAsiaTheme="majorEastAsia"/>
        </w:rPr>
        <w:t>intervention</w:t>
      </w:r>
      <w:proofErr w:type="spellEnd"/>
      <w:r w:rsidRPr="00E359E0">
        <w:rPr>
          <w:rStyle w:val="Vurgu"/>
          <w:rFonts w:eastAsiaTheme="majorEastAsia"/>
        </w:rPr>
        <w:t xml:space="preserve"> on </w:t>
      </w:r>
      <w:proofErr w:type="spellStart"/>
      <w:r w:rsidRPr="00E359E0">
        <w:rPr>
          <w:rStyle w:val="Vurgu"/>
          <w:rFonts w:eastAsiaTheme="majorEastAsia"/>
        </w:rPr>
        <w:t>cognitive</w:t>
      </w:r>
      <w:proofErr w:type="spellEnd"/>
      <w:r w:rsidRPr="00E359E0">
        <w:rPr>
          <w:rStyle w:val="Vurgu"/>
          <w:rFonts w:eastAsiaTheme="majorEastAsia"/>
        </w:rPr>
        <w:t xml:space="preserve"> </w:t>
      </w:r>
      <w:proofErr w:type="spellStart"/>
      <w:r w:rsidRPr="00E359E0">
        <w:rPr>
          <w:rStyle w:val="Vurgu"/>
          <w:rFonts w:eastAsiaTheme="majorEastAsia"/>
        </w:rPr>
        <w:t>awareness</w:t>
      </w:r>
      <w:proofErr w:type="spellEnd"/>
      <w:r w:rsidRPr="00E359E0">
        <w:rPr>
          <w:rStyle w:val="Vurgu"/>
          <w:rFonts w:eastAsiaTheme="majorEastAsia"/>
        </w:rPr>
        <w:t xml:space="preserve">, </w:t>
      </w:r>
      <w:proofErr w:type="spellStart"/>
      <w:r w:rsidRPr="00E359E0">
        <w:rPr>
          <w:rStyle w:val="Vurgu"/>
          <w:rFonts w:eastAsiaTheme="majorEastAsia"/>
        </w:rPr>
        <w:t>prevention</w:t>
      </w:r>
      <w:proofErr w:type="spellEnd"/>
      <w:r w:rsidRPr="00E359E0">
        <w:rPr>
          <w:rStyle w:val="Vurgu"/>
          <w:rFonts w:eastAsiaTheme="majorEastAsia"/>
        </w:rPr>
        <w:t xml:space="preserve"> </w:t>
      </w:r>
      <w:proofErr w:type="spellStart"/>
      <w:r w:rsidRPr="00E359E0">
        <w:rPr>
          <w:rStyle w:val="Vurgu"/>
          <w:rFonts w:eastAsiaTheme="majorEastAsia"/>
        </w:rPr>
        <w:t>skills</w:t>
      </w:r>
      <w:proofErr w:type="spellEnd"/>
      <w:r w:rsidRPr="00E359E0">
        <w:rPr>
          <w:rStyle w:val="Vurgu"/>
          <w:rFonts w:eastAsiaTheme="majorEastAsia"/>
        </w:rPr>
        <w:t xml:space="preserve"> </w:t>
      </w:r>
      <w:proofErr w:type="spellStart"/>
      <w:r w:rsidRPr="00E359E0">
        <w:rPr>
          <w:rStyle w:val="Vurgu"/>
          <w:rFonts w:eastAsiaTheme="majorEastAsia"/>
        </w:rPr>
        <w:t>and</w:t>
      </w:r>
      <w:proofErr w:type="spellEnd"/>
      <w:r w:rsidRPr="00E359E0">
        <w:rPr>
          <w:rStyle w:val="Vurgu"/>
          <w:rFonts w:eastAsiaTheme="majorEastAsia"/>
        </w:rPr>
        <w:t xml:space="preserve"> self-</w:t>
      </w:r>
      <w:proofErr w:type="spellStart"/>
      <w:r w:rsidRPr="00E359E0">
        <w:rPr>
          <w:rStyle w:val="Vurgu"/>
          <w:rFonts w:eastAsiaTheme="majorEastAsia"/>
        </w:rPr>
        <w:t>assertiveness</w:t>
      </w:r>
      <w:proofErr w:type="spellEnd"/>
      <w:r w:rsidRPr="00E359E0">
        <w:rPr>
          <w:rStyle w:val="Vurgu"/>
          <w:rFonts w:eastAsiaTheme="majorEastAsia"/>
        </w:rPr>
        <w:t xml:space="preserve"> </w:t>
      </w:r>
      <w:proofErr w:type="spellStart"/>
      <w:r w:rsidRPr="00E359E0">
        <w:rPr>
          <w:rStyle w:val="Vurgu"/>
          <w:rFonts w:eastAsiaTheme="majorEastAsia"/>
        </w:rPr>
        <w:t>among</w:t>
      </w:r>
      <w:proofErr w:type="spellEnd"/>
      <w:r w:rsidRPr="00E359E0">
        <w:rPr>
          <w:rStyle w:val="Vurgu"/>
          <w:rFonts w:eastAsiaTheme="majorEastAsia"/>
        </w:rPr>
        <w:t xml:space="preserve"> </w:t>
      </w:r>
      <w:proofErr w:type="spellStart"/>
      <w:r w:rsidRPr="00E359E0">
        <w:rPr>
          <w:rStyle w:val="Vurgu"/>
          <w:rFonts w:eastAsiaTheme="majorEastAsia"/>
        </w:rPr>
        <w:t>sexually</w:t>
      </w:r>
      <w:proofErr w:type="spellEnd"/>
      <w:r w:rsidRPr="00E359E0">
        <w:rPr>
          <w:rStyle w:val="Vurgu"/>
          <w:rFonts w:eastAsiaTheme="majorEastAsia"/>
        </w:rPr>
        <w:t xml:space="preserve"> </w:t>
      </w:r>
      <w:proofErr w:type="spellStart"/>
      <w:r w:rsidRPr="00E359E0">
        <w:rPr>
          <w:rStyle w:val="Vurgu"/>
          <w:rFonts w:eastAsiaTheme="majorEastAsia"/>
        </w:rPr>
        <w:t>abused</w:t>
      </w:r>
      <w:proofErr w:type="spellEnd"/>
      <w:r w:rsidRPr="00E359E0">
        <w:rPr>
          <w:rStyle w:val="Vurgu"/>
          <w:rFonts w:eastAsiaTheme="majorEastAsia"/>
        </w:rPr>
        <w:t xml:space="preserve"> ten-</w:t>
      </w:r>
      <w:proofErr w:type="spellStart"/>
      <w:r w:rsidRPr="00E359E0">
        <w:rPr>
          <w:rStyle w:val="Vurgu"/>
          <w:rFonts w:eastAsiaTheme="majorEastAsia"/>
        </w:rPr>
        <w:t>age</w:t>
      </w:r>
      <w:proofErr w:type="spellEnd"/>
      <w:r w:rsidRPr="00E359E0">
        <w:rPr>
          <w:rStyle w:val="Vurgu"/>
          <w:rFonts w:eastAsiaTheme="majorEastAsia"/>
        </w:rPr>
        <w:t xml:space="preserve"> </w:t>
      </w:r>
      <w:proofErr w:type="spellStart"/>
      <w:r w:rsidRPr="00E359E0">
        <w:rPr>
          <w:rStyle w:val="Vurgu"/>
          <w:rFonts w:eastAsiaTheme="majorEastAsia"/>
        </w:rPr>
        <w:t>school</w:t>
      </w:r>
      <w:proofErr w:type="spellEnd"/>
      <w:r w:rsidRPr="00E359E0">
        <w:rPr>
          <w:rStyle w:val="Vurgu"/>
          <w:rFonts w:eastAsiaTheme="majorEastAsia"/>
        </w:rPr>
        <w:t xml:space="preserve"> </w:t>
      </w:r>
      <w:proofErr w:type="spellStart"/>
      <w:r w:rsidRPr="00E359E0">
        <w:rPr>
          <w:rStyle w:val="Vurgu"/>
          <w:rFonts w:eastAsiaTheme="majorEastAsia"/>
        </w:rPr>
        <w:t>children</w:t>
      </w:r>
      <w:proofErr w:type="spellEnd"/>
      <w:r w:rsidRPr="00280CB2">
        <w:t xml:space="preserve">. International </w:t>
      </w:r>
      <w:proofErr w:type="spellStart"/>
      <w:r w:rsidRPr="00280CB2">
        <w:t>Journal</w:t>
      </w:r>
      <w:proofErr w:type="spellEnd"/>
      <w:r w:rsidRPr="00280CB2">
        <w:t xml:space="preserve"> of </w:t>
      </w:r>
      <w:proofErr w:type="spellStart"/>
      <w:r w:rsidRPr="00280CB2">
        <w:t>Psychosocial</w:t>
      </w:r>
      <w:proofErr w:type="spellEnd"/>
      <w:r w:rsidRPr="00280CB2">
        <w:t xml:space="preserve"> </w:t>
      </w:r>
      <w:proofErr w:type="spellStart"/>
      <w:r w:rsidRPr="00280CB2">
        <w:t>Rehabilitation</w:t>
      </w:r>
      <w:proofErr w:type="spellEnd"/>
      <w:r w:rsidRPr="00280CB2">
        <w:t xml:space="preserve">, 24(10), 6501–6518. </w:t>
      </w:r>
      <w:hyperlink r:id="rId338" w:tgtFrame="_new" w:history="1">
        <w:r w:rsidRPr="00280CB2">
          <w:rPr>
            <w:rStyle w:val="Kpr"/>
          </w:rPr>
          <w:t>https://www.researchgate.net/publication/352173002</w:t>
        </w:r>
      </w:hyperlink>
    </w:p>
    <w:p w14:paraId="43A7774F" w14:textId="77777777" w:rsidR="00FA457D" w:rsidRPr="00280CB2" w:rsidRDefault="00FA457D">
      <w:pPr>
        <w:pStyle w:val="ListeParagraf"/>
        <w:numPr>
          <w:ilvl w:val="0"/>
          <w:numId w:val="60"/>
        </w:numPr>
        <w:tabs>
          <w:tab w:val="left" w:pos="0"/>
        </w:tabs>
        <w:jc w:val="both"/>
      </w:pPr>
      <w:proofErr w:type="spellStart"/>
      <w:r w:rsidRPr="00280CB2">
        <w:t>Shoobs</w:t>
      </w:r>
      <w:proofErr w:type="spellEnd"/>
      <w:r w:rsidRPr="00280CB2">
        <w:t xml:space="preserve">, N. E. (1944). </w:t>
      </w:r>
      <w:proofErr w:type="spellStart"/>
      <w:r w:rsidRPr="00280CB2">
        <w:t>Psychodrama</w:t>
      </w:r>
      <w:proofErr w:type="spellEnd"/>
      <w:r w:rsidRPr="00280CB2">
        <w:t xml:space="preserve"> in </w:t>
      </w:r>
      <w:proofErr w:type="spellStart"/>
      <w:r w:rsidRPr="00280CB2">
        <w:t>schools</w:t>
      </w:r>
      <w:proofErr w:type="spellEnd"/>
      <w:r w:rsidRPr="00280CB2">
        <w:t xml:space="preserve">. </w:t>
      </w:r>
      <w:proofErr w:type="spellStart"/>
      <w:r w:rsidRPr="00E359E0">
        <w:rPr>
          <w:rStyle w:val="Vurgu"/>
          <w:rFonts w:eastAsiaTheme="majorEastAsia"/>
        </w:rPr>
        <w:t>Sociometry</w:t>
      </w:r>
      <w:proofErr w:type="spellEnd"/>
      <w:r w:rsidRPr="00E359E0">
        <w:rPr>
          <w:rStyle w:val="Vurgu"/>
          <w:rFonts w:eastAsiaTheme="majorEastAsia"/>
        </w:rPr>
        <w:t>, 7</w:t>
      </w:r>
      <w:r w:rsidRPr="00280CB2">
        <w:t xml:space="preserve">(2), 152–168. </w:t>
      </w:r>
      <w:hyperlink r:id="rId339" w:tgtFrame="_new" w:history="1">
        <w:r w:rsidRPr="00280CB2">
          <w:rPr>
            <w:rStyle w:val="Kpr"/>
          </w:rPr>
          <w:t>https://doi.org/10.2307/2785407</w:t>
        </w:r>
      </w:hyperlink>
    </w:p>
    <w:p w14:paraId="0A98E8D8" w14:textId="77777777" w:rsidR="00FA457D" w:rsidRPr="00280CB2" w:rsidRDefault="00FA457D">
      <w:pPr>
        <w:pStyle w:val="AklamaMetni"/>
        <w:numPr>
          <w:ilvl w:val="0"/>
          <w:numId w:val="60"/>
        </w:numPr>
        <w:tabs>
          <w:tab w:val="left" w:pos="0"/>
        </w:tabs>
        <w:rPr>
          <w:rFonts w:ascii="Times New Roman" w:hAnsi="Times New Roman" w:cs="Times New Roman"/>
          <w:sz w:val="24"/>
          <w:szCs w:val="24"/>
        </w:rPr>
      </w:pPr>
      <w:proofErr w:type="spellStart"/>
      <w:r w:rsidRPr="00280CB2">
        <w:rPr>
          <w:rFonts w:ascii="Times New Roman" w:hAnsi="Times New Roman" w:cs="Times New Roman"/>
          <w:sz w:val="24"/>
          <w:szCs w:val="24"/>
        </w:rPr>
        <w:t>Singal</w:t>
      </w:r>
      <w:proofErr w:type="spellEnd"/>
      <w:r w:rsidRPr="00280CB2">
        <w:rPr>
          <w:rFonts w:ascii="Times New Roman" w:hAnsi="Times New Roman" w:cs="Times New Roman"/>
          <w:sz w:val="24"/>
          <w:szCs w:val="24"/>
        </w:rPr>
        <w:t xml:space="preserve">, S. </w:t>
      </w:r>
      <w:proofErr w:type="spellStart"/>
      <w:r w:rsidRPr="00280CB2">
        <w:rPr>
          <w:rFonts w:ascii="Times New Roman" w:hAnsi="Times New Roman" w:cs="Times New Roman"/>
          <w:sz w:val="24"/>
          <w:szCs w:val="24"/>
        </w:rPr>
        <w:t>The</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efficacy</w:t>
      </w:r>
      <w:proofErr w:type="spellEnd"/>
      <w:r w:rsidRPr="00280CB2">
        <w:rPr>
          <w:rFonts w:ascii="Times New Roman" w:hAnsi="Times New Roman" w:cs="Times New Roman"/>
          <w:sz w:val="24"/>
          <w:szCs w:val="24"/>
        </w:rPr>
        <w:t xml:space="preserve"> of </w:t>
      </w:r>
      <w:proofErr w:type="spellStart"/>
      <w:r w:rsidRPr="00280CB2">
        <w:rPr>
          <w:rFonts w:ascii="Times New Roman" w:hAnsi="Times New Roman" w:cs="Times New Roman"/>
          <w:sz w:val="24"/>
          <w:szCs w:val="24"/>
        </w:rPr>
        <w:t>psychodrama</w:t>
      </w:r>
      <w:proofErr w:type="spellEnd"/>
      <w:r w:rsidRPr="00280CB2">
        <w:rPr>
          <w:rFonts w:ascii="Times New Roman" w:hAnsi="Times New Roman" w:cs="Times New Roman"/>
          <w:sz w:val="24"/>
          <w:szCs w:val="24"/>
        </w:rPr>
        <w:t xml:space="preserve"> in </w:t>
      </w:r>
      <w:proofErr w:type="spellStart"/>
      <w:r w:rsidRPr="00280CB2">
        <w:rPr>
          <w:rFonts w:ascii="Times New Roman" w:hAnsi="Times New Roman" w:cs="Times New Roman"/>
          <w:sz w:val="24"/>
          <w:szCs w:val="24"/>
        </w:rPr>
        <w:t>the</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treatment</w:t>
      </w:r>
      <w:proofErr w:type="spellEnd"/>
      <w:r w:rsidRPr="00280CB2">
        <w:rPr>
          <w:rFonts w:ascii="Times New Roman" w:hAnsi="Times New Roman" w:cs="Times New Roman"/>
          <w:sz w:val="24"/>
          <w:szCs w:val="24"/>
        </w:rPr>
        <w:t xml:space="preserve"> of </w:t>
      </w:r>
      <w:proofErr w:type="spellStart"/>
      <w:r w:rsidRPr="00280CB2">
        <w:rPr>
          <w:rFonts w:ascii="Times New Roman" w:hAnsi="Times New Roman" w:cs="Times New Roman"/>
          <w:sz w:val="24"/>
          <w:szCs w:val="24"/>
        </w:rPr>
        <w:t>oppositional</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and</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defiant</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adolescents</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Ph.D</w:t>
      </w:r>
      <w:proofErr w:type="spellEnd"/>
      <w:r w:rsidRPr="00280CB2">
        <w:rPr>
          <w:rFonts w:ascii="Times New Roman" w:hAnsi="Times New Roman" w:cs="Times New Roman"/>
          <w:sz w:val="24"/>
          <w:szCs w:val="24"/>
        </w:rPr>
        <w:t xml:space="preserve">. </w:t>
      </w:r>
      <w:proofErr w:type="spellStart"/>
      <w:r w:rsidRPr="00280CB2">
        <w:rPr>
          <w:rFonts w:ascii="Times New Roman" w:hAnsi="Times New Roman" w:cs="Times New Roman"/>
          <w:sz w:val="24"/>
          <w:szCs w:val="24"/>
        </w:rPr>
        <w:t>Thesis</w:t>
      </w:r>
      <w:proofErr w:type="spellEnd"/>
      <w:r w:rsidRPr="00280CB2">
        <w:rPr>
          <w:rFonts w:ascii="Times New Roman" w:hAnsi="Times New Roman" w:cs="Times New Roman"/>
          <w:sz w:val="24"/>
          <w:szCs w:val="24"/>
        </w:rPr>
        <w:t xml:space="preserve">, McGill </w:t>
      </w:r>
      <w:proofErr w:type="spellStart"/>
      <w:r w:rsidRPr="00280CB2">
        <w:rPr>
          <w:rFonts w:ascii="Times New Roman" w:hAnsi="Times New Roman" w:cs="Times New Roman"/>
          <w:sz w:val="24"/>
          <w:szCs w:val="24"/>
        </w:rPr>
        <w:t>University</w:t>
      </w:r>
      <w:proofErr w:type="spellEnd"/>
      <w:r w:rsidRPr="00280CB2">
        <w:rPr>
          <w:rFonts w:ascii="Times New Roman" w:hAnsi="Times New Roman" w:cs="Times New Roman"/>
          <w:sz w:val="24"/>
          <w:szCs w:val="24"/>
        </w:rPr>
        <w:t xml:space="preserve">, Montreal, QC, </w:t>
      </w:r>
      <w:proofErr w:type="spellStart"/>
      <w:r w:rsidRPr="00280CB2">
        <w:rPr>
          <w:rFonts w:ascii="Times New Roman" w:hAnsi="Times New Roman" w:cs="Times New Roman"/>
          <w:sz w:val="24"/>
          <w:szCs w:val="24"/>
        </w:rPr>
        <w:t>Canada</w:t>
      </w:r>
      <w:proofErr w:type="spellEnd"/>
      <w:r w:rsidRPr="00280CB2">
        <w:rPr>
          <w:rFonts w:ascii="Times New Roman" w:hAnsi="Times New Roman" w:cs="Times New Roman"/>
          <w:sz w:val="24"/>
          <w:szCs w:val="24"/>
        </w:rPr>
        <w:t>, 2003.</w:t>
      </w:r>
    </w:p>
    <w:p w14:paraId="27296376" w14:textId="19A56E93" w:rsidR="00FA457D" w:rsidRPr="00280CB2" w:rsidRDefault="00FA457D">
      <w:pPr>
        <w:pStyle w:val="ListeParagraf"/>
        <w:numPr>
          <w:ilvl w:val="0"/>
          <w:numId w:val="60"/>
        </w:numPr>
        <w:tabs>
          <w:tab w:val="left" w:pos="0"/>
        </w:tabs>
      </w:pPr>
      <w:proofErr w:type="spellStart"/>
      <w:r w:rsidRPr="00280CB2">
        <w:t>Sokovnina</w:t>
      </w:r>
      <w:proofErr w:type="spellEnd"/>
      <w:r w:rsidRPr="00280CB2">
        <w:t xml:space="preserve">, M. S., &amp; </w:t>
      </w:r>
      <w:proofErr w:type="spellStart"/>
      <w:r w:rsidRPr="00280CB2">
        <w:t>Aleshin</w:t>
      </w:r>
      <w:proofErr w:type="spellEnd"/>
      <w:r w:rsidRPr="00280CB2">
        <w:t xml:space="preserve">, V. N. (2015). </w:t>
      </w:r>
      <w:r w:rsidRPr="00E359E0">
        <w:rPr>
          <w:rStyle w:val="Vurgu"/>
          <w:rFonts w:eastAsiaTheme="majorEastAsia"/>
        </w:rPr>
        <w:t xml:space="preserve">Integration of </w:t>
      </w:r>
      <w:proofErr w:type="spellStart"/>
      <w:r w:rsidRPr="00E359E0">
        <w:rPr>
          <w:rStyle w:val="Vurgu"/>
          <w:rFonts w:eastAsiaTheme="majorEastAsia"/>
        </w:rPr>
        <w:t>psychodrama</w:t>
      </w:r>
      <w:proofErr w:type="spellEnd"/>
      <w:r w:rsidRPr="00E359E0">
        <w:rPr>
          <w:rStyle w:val="Vurgu"/>
          <w:rFonts w:eastAsiaTheme="majorEastAsia"/>
        </w:rPr>
        <w:t xml:space="preserve"> </w:t>
      </w:r>
      <w:proofErr w:type="spellStart"/>
      <w:r w:rsidRPr="00E359E0">
        <w:rPr>
          <w:rStyle w:val="Vurgu"/>
          <w:rFonts w:eastAsiaTheme="majorEastAsia"/>
        </w:rPr>
        <w:t>and</w:t>
      </w:r>
      <w:proofErr w:type="spellEnd"/>
      <w:r w:rsidRPr="00E359E0">
        <w:rPr>
          <w:rStyle w:val="Vurgu"/>
          <w:rFonts w:eastAsiaTheme="majorEastAsia"/>
        </w:rPr>
        <w:t xml:space="preserve"> </w:t>
      </w:r>
      <w:proofErr w:type="spellStart"/>
      <w:r w:rsidRPr="00E359E0">
        <w:rPr>
          <w:rStyle w:val="Vurgu"/>
          <w:rFonts w:eastAsiaTheme="majorEastAsia"/>
        </w:rPr>
        <w:t>transactional</w:t>
      </w:r>
      <w:proofErr w:type="spellEnd"/>
      <w:r w:rsidRPr="00E359E0">
        <w:rPr>
          <w:rStyle w:val="Vurgu"/>
          <w:rFonts w:eastAsiaTheme="majorEastAsia"/>
        </w:rPr>
        <w:t xml:space="preserve"> </w:t>
      </w:r>
      <w:proofErr w:type="spellStart"/>
      <w:r w:rsidRPr="00E359E0">
        <w:rPr>
          <w:rStyle w:val="Vurgu"/>
          <w:rFonts w:eastAsiaTheme="majorEastAsia"/>
        </w:rPr>
        <w:t>analysis</w:t>
      </w:r>
      <w:proofErr w:type="spellEnd"/>
      <w:r w:rsidRPr="00E359E0">
        <w:rPr>
          <w:rStyle w:val="Vurgu"/>
          <w:rFonts w:eastAsiaTheme="majorEastAsia"/>
        </w:rPr>
        <w:t xml:space="preserve"> </w:t>
      </w:r>
      <w:proofErr w:type="spellStart"/>
      <w:r w:rsidRPr="00E359E0">
        <w:rPr>
          <w:rStyle w:val="Vurgu"/>
          <w:rFonts w:eastAsiaTheme="majorEastAsia"/>
        </w:rPr>
        <w:t>methods</w:t>
      </w:r>
      <w:proofErr w:type="spellEnd"/>
      <w:r w:rsidRPr="00E359E0">
        <w:rPr>
          <w:rStyle w:val="Vurgu"/>
          <w:rFonts w:eastAsiaTheme="majorEastAsia"/>
        </w:rPr>
        <w:t xml:space="preserve"> in </w:t>
      </w:r>
      <w:proofErr w:type="spellStart"/>
      <w:r w:rsidRPr="00E359E0">
        <w:rPr>
          <w:rStyle w:val="Vurgu"/>
          <w:rFonts w:eastAsiaTheme="majorEastAsia"/>
        </w:rPr>
        <w:t>psychoeducational</w:t>
      </w:r>
      <w:proofErr w:type="spellEnd"/>
      <w:r w:rsidRPr="00E359E0">
        <w:rPr>
          <w:rStyle w:val="Vurgu"/>
          <w:rFonts w:eastAsiaTheme="majorEastAsia"/>
        </w:rPr>
        <w:t xml:space="preserve"> </w:t>
      </w:r>
      <w:proofErr w:type="spellStart"/>
      <w:r w:rsidRPr="00E359E0">
        <w:rPr>
          <w:rStyle w:val="Vurgu"/>
          <w:rFonts w:eastAsiaTheme="majorEastAsia"/>
        </w:rPr>
        <w:t>work</w:t>
      </w:r>
      <w:proofErr w:type="spellEnd"/>
      <w:r w:rsidRPr="00E359E0">
        <w:rPr>
          <w:rStyle w:val="Vurgu"/>
          <w:rFonts w:eastAsiaTheme="majorEastAsia"/>
        </w:rPr>
        <w:t xml:space="preserve"> </w:t>
      </w:r>
      <w:proofErr w:type="spellStart"/>
      <w:r w:rsidRPr="00E359E0">
        <w:rPr>
          <w:rStyle w:val="Vurgu"/>
          <w:rFonts w:eastAsiaTheme="majorEastAsia"/>
        </w:rPr>
        <w:t>with</w:t>
      </w:r>
      <w:proofErr w:type="spellEnd"/>
      <w:r w:rsidRPr="00E359E0">
        <w:rPr>
          <w:rStyle w:val="Vurgu"/>
          <w:rFonts w:eastAsiaTheme="majorEastAsia"/>
        </w:rPr>
        <w:t xml:space="preserve"> </w:t>
      </w:r>
      <w:proofErr w:type="spellStart"/>
      <w:r w:rsidRPr="00E359E0">
        <w:rPr>
          <w:rStyle w:val="Vurgu"/>
          <w:rFonts w:eastAsiaTheme="majorEastAsia"/>
        </w:rPr>
        <w:t>school-age</w:t>
      </w:r>
      <w:proofErr w:type="spellEnd"/>
      <w:r w:rsidRPr="00E359E0">
        <w:rPr>
          <w:rStyle w:val="Vurgu"/>
          <w:rFonts w:eastAsiaTheme="majorEastAsia"/>
        </w:rPr>
        <w:t xml:space="preserve"> </w:t>
      </w:r>
      <w:proofErr w:type="spellStart"/>
      <w:r w:rsidRPr="00E359E0">
        <w:rPr>
          <w:rStyle w:val="Vurgu"/>
          <w:rFonts w:eastAsiaTheme="majorEastAsia"/>
        </w:rPr>
        <w:t>children</w:t>
      </w:r>
      <w:proofErr w:type="spellEnd"/>
      <w:r w:rsidRPr="00E359E0">
        <w:rPr>
          <w:rStyle w:val="Vurgu"/>
          <w:rFonts w:eastAsiaTheme="majorEastAsia"/>
        </w:rPr>
        <w:t xml:space="preserve"> in </w:t>
      </w:r>
      <w:proofErr w:type="spellStart"/>
      <w:r w:rsidRPr="00E359E0">
        <w:rPr>
          <w:rStyle w:val="Vurgu"/>
          <w:rFonts w:eastAsiaTheme="majorEastAsia"/>
        </w:rPr>
        <w:t>Russia</w:t>
      </w:r>
      <w:proofErr w:type="spellEnd"/>
      <w:r w:rsidRPr="00280CB2">
        <w:t xml:space="preserve">. International </w:t>
      </w:r>
      <w:proofErr w:type="spellStart"/>
      <w:r w:rsidRPr="00280CB2">
        <w:t>Journal</w:t>
      </w:r>
      <w:proofErr w:type="spellEnd"/>
      <w:r w:rsidRPr="00280CB2">
        <w:t xml:space="preserve"> of </w:t>
      </w:r>
      <w:proofErr w:type="spellStart"/>
      <w:r w:rsidRPr="00280CB2">
        <w:t>Transactional</w:t>
      </w:r>
      <w:proofErr w:type="spellEnd"/>
      <w:r w:rsidRPr="00280CB2">
        <w:t xml:space="preserve"> Analysis </w:t>
      </w:r>
      <w:proofErr w:type="spellStart"/>
      <w:r w:rsidRPr="00280CB2">
        <w:t>Research</w:t>
      </w:r>
      <w:proofErr w:type="spellEnd"/>
      <w:r w:rsidRPr="00280CB2">
        <w:t xml:space="preserve">, 6(1), 15-27. </w:t>
      </w:r>
      <w:hyperlink r:id="rId340" w:tgtFrame="_new" w:history="1">
        <w:r w:rsidRPr="00280CB2">
          <w:rPr>
            <w:rStyle w:val="Kpr"/>
          </w:rPr>
          <w:t>https://doi.org/10.29044/v6i1p15</w:t>
        </w:r>
      </w:hyperlink>
    </w:p>
    <w:p w14:paraId="79D97A29" w14:textId="77777777" w:rsidR="00FA457D" w:rsidRPr="00280CB2" w:rsidRDefault="00FA457D">
      <w:pPr>
        <w:pStyle w:val="ListeParagraf"/>
        <w:numPr>
          <w:ilvl w:val="0"/>
          <w:numId w:val="60"/>
        </w:numPr>
        <w:tabs>
          <w:tab w:val="left" w:pos="0"/>
        </w:tabs>
        <w:jc w:val="both"/>
      </w:pPr>
      <w:r w:rsidRPr="00280CB2">
        <w:t xml:space="preserve">Sözeri Varma, G., Karadağ, F., Kalkan </w:t>
      </w:r>
      <w:proofErr w:type="spellStart"/>
      <w:r w:rsidRPr="00280CB2">
        <w:t>Oğuzhanoğlu</w:t>
      </w:r>
      <w:proofErr w:type="spellEnd"/>
      <w:r w:rsidRPr="00280CB2">
        <w:t xml:space="preserve">, N., &amp; </w:t>
      </w:r>
      <w:proofErr w:type="spellStart"/>
      <w:r w:rsidRPr="00280CB2">
        <w:t>Özdel</w:t>
      </w:r>
      <w:proofErr w:type="spellEnd"/>
      <w:r w:rsidRPr="00280CB2">
        <w:t xml:space="preserve">, O. (2017). Depresyon tedavisinde grup psikoterapisi ve psikodramanın yeri. </w:t>
      </w:r>
      <w:r w:rsidRPr="00E359E0">
        <w:rPr>
          <w:rStyle w:val="Vurgu"/>
          <w:rFonts w:eastAsiaTheme="majorEastAsia"/>
        </w:rPr>
        <w:t>Klinik Psikiyatri, 20</w:t>
      </w:r>
      <w:r w:rsidRPr="00280CB2">
        <w:t xml:space="preserve">(4), 308-317. </w:t>
      </w:r>
      <w:hyperlink r:id="rId341" w:history="1">
        <w:r w:rsidRPr="00280CB2">
          <w:rPr>
            <w:rStyle w:val="Kpr"/>
          </w:rPr>
          <w:t>https://doi.org/10.5505/kpd.2017.86158</w:t>
        </w:r>
      </w:hyperlink>
    </w:p>
    <w:p w14:paraId="27305DFF" w14:textId="77777777" w:rsidR="00FA457D" w:rsidRPr="00280CB2" w:rsidRDefault="00FA457D">
      <w:pPr>
        <w:pStyle w:val="ListeParagraf"/>
        <w:numPr>
          <w:ilvl w:val="0"/>
          <w:numId w:val="60"/>
        </w:numPr>
        <w:tabs>
          <w:tab w:val="left" w:pos="0"/>
        </w:tabs>
        <w:jc w:val="both"/>
      </w:pPr>
      <w:proofErr w:type="spellStart"/>
      <w:r w:rsidRPr="00280CB2">
        <w:t>Strauch</w:t>
      </w:r>
      <w:proofErr w:type="spellEnd"/>
      <w:r w:rsidRPr="00280CB2">
        <w:t xml:space="preserve">, V. R. F. (2021). Online </w:t>
      </w:r>
      <w:proofErr w:type="spellStart"/>
      <w:r w:rsidRPr="00280CB2">
        <w:t>psychodrama</w:t>
      </w:r>
      <w:proofErr w:type="spellEnd"/>
      <w:r w:rsidRPr="00280CB2">
        <w:t xml:space="preserve"> </w:t>
      </w:r>
      <w:proofErr w:type="spellStart"/>
      <w:r w:rsidRPr="00280CB2">
        <w:t>with</w:t>
      </w:r>
      <w:proofErr w:type="spellEnd"/>
      <w:r w:rsidRPr="00280CB2">
        <w:t xml:space="preserve"> </w:t>
      </w:r>
      <w:proofErr w:type="spellStart"/>
      <w:r w:rsidRPr="00280CB2">
        <w:t>children</w:t>
      </w:r>
      <w:proofErr w:type="spellEnd"/>
      <w:r w:rsidRPr="00280CB2">
        <w:t xml:space="preserve"> </w:t>
      </w:r>
      <w:proofErr w:type="spellStart"/>
      <w:r w:rsidRPr="00280CB2">
        <w:t>and</w:t>
      </w:r>
      <w:proofErr w:type="spellEnd"/>
      <w:r w:rsidRPr="00280CB2">
        <w:t xml:space="preserve"> </w:t>
      </w:r>
      <w:proofErr w:type="spellStart"/>
      <w:r w:rsidRPr="00280CB2">
        <w:t>the</w:t>
      </w:r>
      <w:proofErr w:type="spellEnd"/>
      <w:r w:rsidRPr="00280CB2">
        <w:t xml:space="preserve"> </w:t>
      </w:r>
      <w:proofErr w:type="spellStart"/>
      <w:r w:rsidRPr="00280CB2">
        <w:t>psychodramatic</w:t>
      </w:r>
      <w:proofErr w:type="spellEnd"/>
      <w:r w:rsidRPr="00280CB2">
        <w:t xml:space="preserve"> </w:t>
      </w:r>
      <w:proofErr w:type="spellStart"/>
      <w:r w:rsidRPr="00280CB2">
        <w:t>sandplay</w:t>
      </w:r>
      <w:proofErr w:type="spellEnd"/>
      <w:r w:rsidRPr="00280CB2">
        <w:t xml:space="preserve"> </w:t>
      </w:r>
      <w:proofErr w:type="spellStart"/>
      <w:r w:rsidRPr="00280CB2">
        <w:t>method</w:t>
      </w:r>
      <w:proofErr w:type="spellEnd"/>
      <w:r w:rsidRPr="00280CB2">
        <w:t xml:space="preserve">. </w:t>
      </w:r>
      <w:proofErr w:type="spellStart"/>
      <w:r w:rsidRPr="00E359E0">
        <w:rPr>
          <w:i/>
        </w:rPr>
        <w:t>Revista</w:t>
      </w:r>
      <w:proofErr w:type="spellEnd"/>
      <w:r w:rsidRPr="00E359E0">
        <w:rPr>
          <w:i/>
        </w:rPr>
        <w:t xml:space="preserve"> </w:t>
      </w:r>
      <w:proofErr w:type="spellStart"/>
      <w:r w:rsidRPr="00E359E0">
        <w:rPr>
          <w:i/>
        </w:rPr>
        <w:t>Brasileira</w:t>
      </w:r>
      <w:proofErr w:type="spellEnd"/>
      <w:r w:rsidRPr="00E359E0">
        <w:rPr>
          <w:i/>
        </w:rPr>
        <w:t xml:space="preserve"> de </w:t>
      </w:r>
      <w:proofErr w:type="spellStart"/>
      <w:r w:rsidRPr="00E359E0">
        <w:rPr>
          <w:i/>
        </w:rPr>
        <w:t>Psicodrama</w:t>
      </w:r>
      <w:proofErr w:type="spellEnd"/>
      <w:r w:rsidRPr="00E359E0">
        <w:rPr>
          <w:i/>
        </w:rPr>
        <w:t>, 29</w:t>
      </w:r>
      <w:r w:rsidRPr="00280CB2">
        <w:t xml:space="preserve">(2), 99–106. </w:t>
      </w:r>
      <w:hyperlink r:id="rId342">
        <w:r w:rsidRPr="00E359E0">
          <w:rPr>
            <w:u w:val="single"/>
          </w:rPr>
          <w:t>https://doi.org/10.15329/2318-0498.00455_IN</w:t>
        </w:r>
      </w:hyperlink>
    </w:p>
    <w:p w14:paraId="0592D715" w14:textId="77777777" w:rsidR="00FA457D" w:rsidRPr="00280CB2" w:rsidRDefault="00FA457D">
      <w:pPr>
        <w:pStyle w:val="ListeParagraf"/>
        <w:numPr>
          <w:ilvl w:val="0"/>
          <w:numId w:val="60"/>
        </w:numPr>
        <w:tabs>
          <w:tab w:val="left" w:pos="0"/>
        </w:tabs>
        <w:jc w:val="both"/>
      </w:pPr>
      <w:proofErr w:type="spellStart"/>
      <w:r w:rsidRPr="00280CB2">
        <w:t>Sudha</w:t>
      </w:r>
      <w:proofErr w:type="spellEnd"/>
      <w:r w:rsidRPr="00280CB2">
        <w:t xml:space="preserve">, R. (2019). </w:t>
      </w:r>
      <w:proofErr w:type="spellStart"/>
      <w:r w:rsidRPr="00280CB2">
        <w:t>Group</w:t>
      </w:r>
      <w:proofErr w:type="spellEnd"/>
      <w:r w:rsidRPr="00280CB2">
        <w:t xml:space="preserve"> </w:t>
      </w:r>
      <w:proofErr w:type="spellStart"/>
      <w:r w:rsidRPr="00280CB2">
        <w:t>therapy</w:t>
      </w:r>
      <w:proofErr w:type="spellEnd"/>
      <w:r w:rsidRPr="00280CB2">
        <w:t xml:space="preserve">, </w:t>
      </w:r>
      <w:proofErr w:type="spellStart"/>
      <w:r w:rsidRPr="00280CB2">
        <w:t>psychodrama</w:t>
      </w:r>
      <w:proofErr w:type="spellEnd"/>
      <w:r w:rsidRPr="00280CB2">
        <w:t xml:space="preserve">, </w:t>
      </w:r>
      <w:proofErr w:type="spellStart"/>
      <w:r w:rsidRPr="00280CB2">
        <w:t>assertiveness</w:t>
      </w:r>
      <w:proofErr w:type="spellEnd"/>
      <w:r w:rsidRPr="00280CB2">
        <w:t xml:space="preserve"> </w:t>
      </w:r>
      <w:proofErr w:type="spellStart"/>
      <w:r w:rsidRPr="00280CB2">
        <w:t>training</w:t>
      </w:r>
      <w:proofErr w:type="spellEnd"/>
      <w:r w:rsidRPr="00280CB2">
        <w:t xml:space="preserve">, </w:t>
      </w:r>
      <w:proofErr w:type="spellStart"/>
      <w:r w:rsidRPr="00280CB2">
        <w:t>and</w:t>
      </w:r>
      <w:proofErr w:type="spellEnd"/>
      <w:r w:rsidRPr="00280CB2">
        <w:t xml:space="preserve"> </w:t>
      </w:r>
      <w:proofErr w:type="spellStart"/>
      <w:r w:rsidRPr="00280CB2">
        <w:t>counselling</w:t>
      </w:r>
      <w:proofErr w:type="spellEnd"/>
      <w:r w:rsidRPr="00280CB2">
        <w:t xml:space="preserve"> </w:t>
      </w:r>
      <w:proofErr w:type="spellStart"/>
      <w:r w:rsidRPr="00280CB2">
        <w:t>for</w:t>
      </w:r>
      <w:proofErr w:type="spellEnd"/>
      <w:r w:rsidRPr="00280CB2">
        <w:t xml:space="preserve"> </w:t>
      </w:r>
      <w:proofErr w:type="spellStart"/>
      <w:r w:rsidRPr="00280CB2">
        <w:t>bullying</w:t>
      </w:r>
      <w:proofErr w:type="spellEnd"/>
      <w:r w:rsidRPr="00280CB2">
        <w:t xml:space="preserve"> </w:t>
      </w:r>
      <w:proofErr w:type="spellStart"/>
      <w:r w:rsidRPr="00280CB2">
        <w:t>among</w:t>
      </w:r>
      <w:proofErr w:type="spellEnd"/>
      <w:r w:rsidRPr="00280CB2">
        <w:t xml:space="preserve"> </w:t>
      </w:r>
      <w:proofErr w:type="spellStart"/>
      <w:r w:rsidRPr="00280CB2">
        <w:t>middle</w:t>
      </w:r>
      <w:proofErr w:type="spellEnd"/>
      <w:r w:rsidRPr="00280CB2">
        <w:t xml:space="preserve"> </w:t>
      </w:r>
      <w:proofErr w:type="spellStart"/>
      <w:r w:rsidRPr="00280CB2">
        <w:t>school</w:t>
      </w:r>
      <w:proofErr w:type="spellEnd"/>
      <w:r w:rsidRPr="00280CB2">
        <w:t xml:space="preserve"> </w:t>
      </w:r>
      <w:proofErr w:type="spellStart"/>
      <w:r w:rsidRPr="00280CB2">
        <w:t>students</w:t>
      </w:r>
      <w:proofErr w:type="spellEnd"/>
      <w:r w:rsidRPr="00280CB2">
        <w:t xml:space="preserve"> in </w:t>
      </w:r>
      <w:proofErr w:type="spellStart"/>
      <w:r w:rsidRPr="00280CB2">
        <w:t>India</w:t>
      </w:r>
      <w:proofErr w:type="spellEnd"/>
      <w:r w:rsidRPr="00280CB2">
        <w:t xml:space="preserve">. </w:t>
      </w:r>
      <w:r w:rsidRPr="00E359E0">
        <w:rPr>
          <w:i/>
        </w:rPr>
        <w:t xml:space="preserve">IRE </w:t>
      </w:r>
      <w:proofErr w:type="spellStart"/>
      <w:r w:rsidRPr="00E359E0">
        <w:rPr>
          <w:i/>
        </w:rPr>
        <w:t>Journals</w:t>
      </w:r>
      <w:proofErr w:type="spellEnd"/>
      <w:r w:rsidRPr="00E359E0">
        <w:rPr>
          <w:i/>
        </w:rPr>
        <w:t>, 3</w:t>
      </w:r>
      <w:r w:rsidRPr="00280CB2">
        <w:t>(1), 206.</w:t>
      </w:r>
    </w:p>
    <w:p w14:paraId="6D51F321" w14:textId="77777777" w:rsidR="00FA457D" w:rsidRPr="00E359E0" w:rsidRDefault="00FA457D">
      <w:pPr>
        <w:pStyle w:val="ListeParagraf"/>
        <w:numPr>
          <w:ilvl w:val="0"/>
          <w:numId w:val="60"/>
        </w:numPr>
        <w:tabs>
          <w:tab w:val="left" w:pos="0"/>
        </w:tabs>
        <w:rPr>
          <w:shd w:val="clear" w:color="auto" w:fill="F7F8FA"/>
        </w:rPr>
      </w:pPr>
      <w:proofErr w:type="spellStart"/>
      <w:r w:rsidRPr="00E359E0">
        <w:rPr>
          <w:shd w:val="clear" w:color="auto" w:fill="F7F8FA"/>
        </w:rPr>
        <w:t>Sumbas</w:t>
      </w:r>
      <w:proofErr w:type="spellEnd"/>
      <w:r w:rsidRPr="00E359E0">
        <w:rPr>
          <w:shd w:val="clear" w:color="auto" w:fill="F7F8FA"/>
        </w:rPr>
        <w:t xml:space="preserve">, E., &amp; Ulusoy, Y. (2023). </w:t>
      </w:r>
      <w:proofErr w:type="spellStart"/>
      <w:r w:rsidRPr="00E359E0">
        <w:rPr>
          <w:shd w:val="clear" w:color="auto" w:fill="F7F8FA"/>
        </w:rPr>
        <w:t>The</w:t>
      </w:r>
      <w:proofErr w:type="spellEnd"/>
      <w:r w:rsidRPr="00E359E0">
        <w:rPr>
          <w:shd w:val="clear" w:color="auto" w:fill="F7F8FA"/>
        </w:rPr>
        <w:t xml:space="preserve"> </w:t>
      </w:r>
      <w:proofErr w:type="spellStart"/>
      <w:r w:rsidRPr="00E359E0">
        <w:rPr>
          <w:shd w:val="clear" w:color="auto" w:fill="F7F8FA"/>
        </w:rPr>
        <w:t>Last</w:t>
      </w:r>
      <w:proofErr w:type="spellEnd"/>
      <w:r w:rsidRPr="00E359E0">
        <w:rPr>
          <w:shd w:val="clear" w:color="auto" w:fill="F7F8FA"/>
        </w:rPr>
        <w:t xml:space="preserve"> 20 </w:t>
      </w:r>
      <w:proofErr w:type="spellStart"/>
      <w:r w:rsidRPr="00E359E0">
        <w:rPr>
          <w:shd w:val="clear" w:color="auto" w:fill="F7F8FA"/>
        </w:rPr>
        <w:t>Years</w:t>
      </w:r>
      <w:proofErr w:type="spellEnd"/>
      <w:r w:rsidRPr="00E359E0">
        <w:rPr>
          <w:shd w:val="clear" w:color="auto" w:fill="F7F8FA"/>
        </w:rPr>
        <w:t xml:space="preserve"> of </w:t>
      </w:r>
      <w:proofErr w:type="spellStart"/>
      <w:r w:rsidRPr="00E359E0">
        <w:rPr>
          <w:shd w:val="clear" w:color="auto" w:fill="F7F8FA"/>
        </w:rPr>
        <w:t>Psychodrama</w:t>
      </w:r>
      <w:proofErr w:type="spellEnd"/>
      <w:r w:rsidRPr="00E359E0">
        <w:rPr>
          <w:shd w:val="clear" w:color="auto" w:fill="F7F8FA"/>
        </w:rPr>
        <w:t xml:space="preserve"> in </w:t>
      </w:r>
      <w:proofErr w:type="spellStart"/>
      <w:r w:rsidRPr="00E359E0">
        <w:rPr>
          <w:shd w:val="clear" w:color="auto" w:fill="F7F8FA"/>
        </w:rPr>
        <w:t>Turkish</w:t>
      </w:r>
      <w:proofErr w:type="spellEnd"/>
      <w:r w:rsidRPr="00E359E0">
        <w:rPr>
          <w:shd w:val="clear" w:color="auto" w:fill="F7F8FA"/>
        </w:rPr>
        <w:t xml:space="preserve"> </w:t>
      </w:r>
      <w:proofErr w:type="spellStart"/>
      <w:r w:rsidRPr="00E359E0">
        <w:rPr>
          <w:shd w:val="clear" w:color="auto" w:fill="F7F8FA"/>
        </w:rPr>
        <w:t>and</w:t>
      </w:r>
      <w:proofErr w:type="spellEnd"/>
      <w:r w:rsidRPr="00E359E0">
        <w:rPr>
          <w:shd w:val="clear" w:color="auto" w:fill="F7F8FA"/>
        </w:rPr>
        <w:t xml:space="preserve"> International </w:t>
      </w:r>
      <w:proofErr w:type="spellStart"/>
      <w:r w:rsidRPr="00E359E0">
        <w:rPr>
          <w:shd w:val="clear" w:color="auto" w:fill="F7F8FA"/>
        </w:rPr>
        <w:t>Academic</w:t>
      </w:r>
      <w:proofErr w:type="spellEnd"/>
      <w:r w:rsidRPr="00E359E0">
        <w:rPr>
          <w:shd w:val="clear" w:color="auto" w:fill="F7F8FA"/>
        </w:rPr>
        <w:t xml:space="preserve"> </w:t>
      </w:r>
      <w:proofErr w:type="spellStart"/>
      <w:r w:rsidRPr="00E359E0">
        <w:rPr>
          <w:shd w:val="clear" w:color="auto" w:fill="F7F8FA"/>
        </w:rPr>
        <w:t>Papers</w:t>
      </w:r>
      <w:proofErr w:type="spellEnd"/>
      <w:r w:rsidRPr="00E359E0">
        <w:rPr>
          <w:shd w:val="clear" w:color="auto" w:fill="F7F8FA"/>
        </w:rPr>
        <w:t xml:space="preserve">: A </w:t>
      </w:r>
      <w:proofErr w:type="spellStart"/>
      <w:r w:rsidRPr="00E359E0">
        <w:rPr>
          <w:shd w:val="clear" w:color="auto" w:fill="F7F8FA"/>
        </w:rPr>
        <w:t>Document</w:t>
      </w:r>
      <w:proofErr w:type="spellEnd"/>
      <w:r w:rsidRPr="00E359E0">
        <w:rPr>
          <w:shd w:val="clear" w:color="auto" w:fill="F7F8FA"/>
        </w:rPr>
        <w:t xml:space="preserve"> Analysis </w:t>
      </w:r>
      <w:proofErr w:type="spellStart"/>
      <w:r w:rsidRPr="00E359E0">
        <w:rPr>
          <w:shd w:val="clear" w:color="auto" w:fill="F7F8FA"/>
        </w:rPr>
        <w:t>Study</w:t>
      </w:r>
      <w:proofErr w:type="spellEnd"/>
      <w:r w:rsidRPr="00E359E0">
        <w:rPr>
          <w:shd w:val="clear" w:color="auto" w:fill="F7F8FA"/>
        </w:rPr>
        <w:t xml:space="preserve">. </w:t>
      </w:r>
      <w:proofErr w:type="spellStart"/>
      <w:r w:rsidRPr="00E359E0">
        <w:rPr>
          <w:shd w:val="clear" w:color="auto" w:fill="F7F8FA"/>
        </w:rPr>
        <w:t>Turkish</w:t>
      </w:r>
      <w:proofErr w:type="spellEnd"/>
      <w:r w:rsidRPr="00E359E0">
        <w:rPr>
          <w:shd w:val="clear" w:color="auto" w:fill="F7F8FA"/>
        </w:rPr>
        <w:t xml:space="preserve"> </w:t>
      </w:r>
      <w:proofErr w:type="spellStart"/>
      <w:r w:rsidRPr="00E359E0">
        <w:rPr>
          <w:shd w:val="clear" w:color="auto" w:fill="F7F8FA"/>
        </w:rPr>
        <w:t>Psychological</w:t>
      </w:r>
      <w:proofErr w:type="spellEnd"/>
      <w:r w:rsidRPr="00E359E0">
        <w:rPr>
          <w:shd w:val="clear" w:color="auto" w:fill="F7F8FA"/>
        </w:rPr>
        <w:t xml:space="preserve"> </w:t>
      </w:r>
      <w:proofErr w:type="spellStart"/>
      <w:r w:rsidRPr="00E359E0">
        <w:rPr>
          <w:shd w:val="clear" w:color="auto" w:fill="F7F8FA"/>
        </w:rPr>
        <w:t>Counseling</w:t>
      </w:r>
      <w:proofErr w:type="spellEnd"/>
      <w:r w:rsidRPr="00E359E0">
        <w:rPr>
          <w:shd w:val="clear" w:color="auto" w:fill="F7F8FA"/>
        </w:rPr>
        <w:t xml:space="preserve"> </w:t>
      </w:r>
      <w:proofErr w:type="spellStart"/>
      <w:r w:rsidRPr="00E359E0">
        <w:rPr>
          <w:shd w:val="clear" w:color="auto" w:fill="F7F8FA"/>
        </w:rPr>
        <w:t>and</w:t>
      </w:r>
      <w:proofErr w:type="spellEnd"/>
      <w:r w:rsidRPr="00E359E0">
        <w:rPr>
          <w:shd w:val="clear" w:color="auto" w:fill="F7F8FA"/>
        </w:rPr>
        <w:t xml:space="preserve"> </w:t>
      </w:r>
      <w:proofErr w:type="spellStart"/>
      <w:r w:rsidRPr="00E359E0">
        <w:rPr>
          <w:shd w:val="clear" w:color="auto" w:fill="F7F8FA"/>
        </w:rPr>
        <w:t>Guidance</w:t>
      </w:r>
      <w:proofErr w:type="spellEnd"/>
      <w:r w:rsidRPr="00E359E0">
        <w:rPr>
          <w:shd w:val="clear" w:color="auto" w:fill="F7F8FA"/>
        </w:rPr>
        <w:t xml:space="preserve"> </w:t>
      </w:r>
      <w:proofErr w:type="spellStart"/>
      <w:r w:rsidRPr="00E359E0">
        <w:rPr>
          <w:shd w:val="clear" w:color="auto" w:fill="F7F8FA"/>
        </w:rPr>
        <w:t>Journal</w:t>
      </w:r>
      <w:proofErr w:type="spellEnd"/>
      <w:r w:rsidRPr="00E359E0">
        <w:rPr>
          <w:shd w:val="clear" w:color="auto" w:fill="F7F8FA"/>
        </w:rPr>
        <w:t xml:space="preserve">, 13(69), 180-193. </w:t>
      </w:r>
      <w:hyperlink r:id="rId343" w:history="1">
        <w:r w:rsidRPr="00E359E0">
          <w:rPr>
            <w:rStyle w:val="Kpr"/>
            <w:color w:val="auto"/>
            <w:shd w:val="clear" w:color="auto" w:fill="F7F8FA"/>
          </w:rPr>
          <w:t>https://doi.org/10.17066/tpdrd.1210122ey</w:t>
        </w:r>
      </w:hyperlink>
    </w:p>
    <w:p w14:paraId="7BE92329" w14:textId="77777777" w:rsidR="00FA457D" w:rsidRPr="00280CB2" w:rsidRDefault="00FA457D">
      <w:pPr>
        <w:pStyle w:val="Balk3"/>
        <w:numPr>
          <w:ilvl w:val="0"/>
          <w:numId w:val="60"/>
        </w:numPr>
        <w:tabs>
          <w:tab w:val="left" w:pos="0"/>
        </w:tabs>
        <w:spacing w:before="0" w:after="0"/>
        <w:jc w:val="both"/>
        <w:rPr>
          <w:rFonts w:ascii="Times New Roman" w:hAnsi="Times New Roman" w:cs="Times New Roman"/>
          <w:b/>
          <w:color w:val="auto"/>
          <w:sz w:val="24"/>
          <w:szCs w:val="24"/>
        </w:rPr>
      </w:pPr>
      <w:r w:rsidRPr="00280CB2">
        <w:rPr>
          <w:rFonts w:ascii="Times New Roman" w:hAnsi="Times New Roman" w:cs="Times New Roman"/>
          <w:color w:val="auto"/>
          <w:sz w:val="24"/>
          <w:szCs w:val="24"/>
        </w:rPr>
        <w:t xml:space="preserve">Şahin Baltacı, H., </w:t>
      </w:r>
      <w:proofErr w:type="spellStart"/>
      <w:r w:rsidRPr="00280CB2">
        <w:rPr>
          <w:rFonts w:ascii="Times New Roman" w:hAnsi="Times New Roman" w:cs="Times New Roman"/>
          <w:color w:val="auto"/>
          <w:sz w:val="24"/>
          <w:szCs w:val="24"/>
        </w:rPr>
        <w:t>Küçüker</w:t>
      </w:r>
      <w:proofErr w:type="spellEnd"/>
      <w:r w:rsidRPr="00280CB2">
        <w:rPr>
          <w:rFonts w:ascii="Times New Roman" w:hAnsi="Times New Roman" w:cs="Times New Roman"/>
          <w:color w:val="auto"/>
          <w:sz w:val="24"/>
          <w:szCs w:val="24"/>
        </w:rPr>
        <w:t xml:space="preserve">, D., Karataş, U. Y., </w:t>
      </w:r>
      <w:proofErr w:type="spellStart"/>
      <w:r w:rsidRPr="00280CB2">
        <w:rPr>
          <w:rFonts w:ascii="Times New Roman" w:hAnsi="Times New Roman" w:cs="Times New Roman"/>
          <w:color w:val="auto"/>
          <w:sz w:val="24"/>
          <w:szCs w:val="24"/>
        </w:rPr>
        <w:t>Özklik</w:t>
      </w:r>
      <w:proofErr w:type="spellEnd"/>
      <w:r w:rsidRPr="00280CB2">
        <w:rPr>
          <w:rFonts w:ascii="Times New Roman" w:hAnsi="Times New Roman" w:cs="Times New Roman"/>
          <w:color w:val="auto"/>
          <w:sz w:val="24"/>
          <w:szCs w:val="24"/>
        </w:rPr>
        <w:t xml:space="preserve">, I., &amp; Özdemir, H. A. (2021). Psikolojik danışma merkezine başvuran üniversite öğrencilerinin depresyon, sosyal kaygı, </w:t>
      </w:r>
      <w:proofErr w:type="spellStart"/>
      <w:r w:rsidRPr="00280CB2">
        <w:rPr>
          <w:rFonts w:ascii="Times New Roman" w:hAnsi="Times New Roman" w:cs="Times New Roman"/>
          <w:color w:val="auto"/>
          <w:sz w:val="24"/>
          <w:szCs w:val="24"/>
        </w:rPr>
        <w:t>durumluluk</w:t>
      </w:r>
      <w:proofErr w:type="spellEnd"/>
      <w:r w:rsidRPr="00280CB2">
        <w:rPr>
          <w:rFonts w:ascii="Times New Roman" w:hAnsi="Times New Roman" w:cs="Times New Roman"/>
          <w:color w:val="auto"/>
          <w:sz w:val="24"/>
          <w:szCs w:val="24"/>
        </w:rPr>
        <w:t xml:space="preserve"> ve sürekli kaygı düzeylerinin incelenmesi. </w:t>
      </w:r>
      <w:r w:rsidRPr="00280CB2">
        <w:rPr>
          <w:rStyle w:val="Vurgu"/>
          <w:rFonts w:ascii="Times New Roman" w:hAnsi="Times New Roman" w:cs="Times New Roman"/>
          <w:color w:val="auto"/>
          <w:sz w:val="24"/>
          <w:szCs w:val="24"/>
        </w:rPr>
        <w:t>Uluslararası Toplum Araştırmaları Dergisi</w:t>
      </w:r>
      <w:r w:rsidRPr="00280CB2">
        <w:rPr>
          <w:rFonts w:ascii="Times New Roman" w:hAnsi="Times New Roman" w:cs="Times New Roman"/>
          <w:color w:val="auto"/>
          <w:sz w:val="24"/>
          <w:szCs w:val="24"/>
        </w:rPr>
        <w:t xml:space="preserve">, </w:t>
      </w:r>
      <w:r w:rsidRPr="00280CB2">
        <w:rPr>
          <w:rStyle w:val="Vurgu"/>
          <w:rFonts w:ascii="Times New Roman" w:hAnsi="Times New Roman" w:cs="Times New Roman"/>
          <w:color w:val="auto"/>
          <w:sz w:val="24"/>
          <w:szCs w:val="24"/>
        </w:rPr>
        <w:t>11</w:t>
      </w:r>
      <w:r w:rsidRPr="00280CB2">
        <w:rPr>
          <w:rFonts w:ascii="Times New Roman" w:hAnsi="Times New Roman" w:cs="Times New Roman"/>
          <w:color w:val="auto"/>
          <w:sz w:val="24"/>
          <w:szCs w:val="24"/>
        </w:rPr>
        <w:t xml:space="preserve">(18), 1-28. </w:t>
      </w:r>
      <w:hyperlink r:id="rId344" w:history="1">
        <w:r w:rsidRPr="00280CB2">
          <w:rPr>
            <w:rStyle w:val="Kpr"/>
            <w:rFonts w:ascii="Times New Roman" w:hAnsi="Times New Roman" w:cs="Times New Roman"/>
            <w:color w:val="auto"/>
            <w:sz w:val="24"/>
            <w:szCs w:val="24"/>
          </w:rPr>
          <w:t>https://doi.org/10.26466/opus.904430</w:t>
        </w:r>
      </w:hyperlink>
    </w:p>
    <w:p w14:paraId="39F6C492" w14:textId="77777777" w:rsidR="00FA457D" w:rsidRPr="00280CB2" w:rsidRDefault="00FA457D">
      <w:pPr>
        <w:pStyle w:val="ListeParagraf"/>
        <w:numPr>
          <w:ilvl w:val="0"/>
          <w:numId w:val="60"/>
        </w:numPr>
        <w:tabs>
          <w:tab w:val="left" w:pos="0"/>
        </w:tabs>
        <w:jc w:val="both"/>
      </w:pPr>
      <w:proofErr w:type="spellStart"/>
      <w:r w:rsidRPr="00280CB2">
        <w:t>Şarlak</w:t>
      </w:r>
      <w:proofErr w:type="spellEnd"/>
      <w:r w:rsidRPr="00280CB2">
        <w:t>, D., &amp; Öztürk, E. (2021). Psikodrama temelli müdahale programları: Sistematik bir değerlendirme [</w:t>
      </w:r>
      <w:proofErr w:type="spellStart"/>
      <w:r w:rsidRPr="00280CB2">
        <w:t>Psychodrama-based</w:t>
      </w:r>
      <w:proofErr w:type="spellEnd"/>
      <w:r w:rsidRPr="00280CB2">
        <w:t xml:space="preserve"> </w:t>
      </w:r>
      <w:proofErr w:type="spellStart"/>
      <w:r w:rsidRPr="00280CB2">
        <w:t>intervention</w:t>
      </w:r>
      <w:proofErr w:type="spellEnd"/>
      <w:r w:rsidRPr="00280CB2">
        <w:t xml:space="preserve"> </w:t>
      </w:r>
      <w:proofErr w:type="spellStart"/>
      <w:r w:rsidRPr="00280CB2">
        <w:t>programs</w:t>
      </w:r>
      <w:proofErr w:type="spellEnd"/>
      <w:r w:rsidRPr="00280CB2">
        <w:t xml:space="preserve">: A </w:t>
      </w:r>
      <w:proofErr w:type="spellStart"/>
      <w:r w:rsidRPr="00280CB2">
        <w:t>systematic</w:t>
      </w:r>
      <w:proofErr w:type="spellEnd"/>
      <w:r w:rsidRPr="00280CB2">
        <w:t xml:space="preserve"> </w:t>
      </w:r>
      <w:proofErr w:type="spellStart"/>
      <w:r w:rsidRPr="00280CB2">
        <w:t>evaluation</w:t>
      </w:r>
      <w:proofErr w:type="spellEnd"/>
      <w:r w:rsidRPr="00280CB2">
        <w:t xml:space="preserve">]. </w:t>
      </w:r>
      <w:r w:rsidRPr="00E359E0">
        <w:rPr>
          <w:i/>
        </w:rPr>
        <w:t xml:space="preserve">Karya </w:t>
      </w:r>
      <w:proofErr w:type="spellStart"/>
      <w:r w:rsidRPr="00E359E0">
        <w:rPr>
          <w:i/>
        </w:rPr>
        <w:t>Journal</w:t>
      </w:r>
      <w:proofErr w:type="spellEnd"/>
      <w:r w:rsidRPr="00E359E0">
        <w:rPr>
          <w:i/>
        </w:rPr>
        <w:t xml:space="preserve"> of </w:t>
      </w:r>
      <w:proofErr w:type="spellStart"/>
      <w:r w:rsidRPr="00E359E0">
        <w:rPr>
          <w:i/>
        </w:rPr>
        <w:t>Health</w:t>
      </w:r>
      <w:proofErr w:type="spellEnd"/>
      <w:r w:rsidRPr="00E359E0">
        <w:rPr>
          <w:i/>
        </w:rPr>
        <w:t xml:space="preserve"> </w:t>
      </w:r>
      <w:proofErr w:type="spellStart"/>
      <w:r w:rsidRPr="00E359E0">
        <w:rPr>
          <w:i/>
        </w:rPr>
        <w:t>Science</w:t>
      </w:r>
      <w:proofErr w:type="spellEnd"/>
      <w:r w:rsidRPr="00E359E0">
        <w:rPr>
          <w:i/>
        </w:rPr>
        <w:t>, 2</w:t>
      </w:r>
      <w:r w:rsidRPr="00280CB2">
        <w:t>(1), 21-29.</w:t>
      </w:r>
    </w:p>
    <w:p w14:paraId="4ADFE570" w14:textId="77777777" w:rsidR="00FA457D" w:rsidRPr="00280CB2" w:rsidRDefault="00FA457D">
      <w:pPr>
        <w:pStyle w:val="ListeParagraf"/>
        <w:numPr>
          <w:ilvl w:val="0"/>
          <w:numId w:val="60"/>
        </w:numPr>
        <w:tabs>
          <w:tab w:val="left" w:pos="0"/>
        </w:tabs>
        <w:jc w:val="both"/>
      </w:pPr>
      <w:proofErr w:type="spellStart"/>
      <w:r w:rsidRPr="00280CB2">
        <w:t>Testoni</w:t>
      </w:r>
      <w:proofErr w:type="spellEnd"/>
      <w:r w:rsidRPr="00280CB2">
        <w:t xml:space="preserve">, I., </w:t>
      </w:r>
      <w:proofErr w:type="spellStart"/>
      <w:r w:rsidRPr="00280CB2">
        <w:t>Ronconi</w:t>
      </w:r>
      <w:proofErr w:type="spellEnd"/>
      <w:r w:rsidRPr="00280CB2">
        <w:t xml:space="preserve">, L., </w:t>
      </w:r>
      <w:proofErr w:type="spellStart"/>
      <w:r w:rsidRPr="00280CB2">
        <w:t>Biancalani</w:t>
      </w:r>
      <w:proofErr w:type="spellEnd"/>
      <w:r w:rsidRPr="00280CB2">
        <w:t xml:space="preserve">, G., </w:t>
      </w:r>
      <w:proofErr w:type="spellStart"/>
      <w:r w:rsidRPr="00280CB2">
        <w:t>Zottino</w:t>
      </w:r>
      <w:proofErr w:type="spellEnd"/>
      <w:r w:rsidRPr="00280CB2">
        <w:t xml:space="preserve">, A., &amp; </w:t>
      </w:r>
      <w:proofErr w:type="spellStart"/>
      <w:r w:rsidRPr="00280CB2">
        <w:t>Wieser</w:t>
      </w:r>
      <w:proofErr w:type="spellEnd"/>
      <w:r w:rsidRPr="00280CB2">
        <w:t xml:space="preserve">, M. A. (2021). My </w:t>
      </w:r>
      <w:proofErr w:type="spellStart"/>
      <w:r w:rsidRPr="00280CB2">
        <w:t>future</w:t>
      </w:r>
      <w:proofErr w:type="spellEnd"/>
      <w:r w:rsidRPr="00280CB2">
        <w:t xml:space="preserve">: </w:t>
      </w:r>
      <w:proofErr w:type="spellStart"/>
      <w:r w:rsidRPr="00280CB2">
        <w:t>Psychodrama</w:t>
      </w:r>
      <w:proofErr w:type="spellEnd"/>
      <w:r w:rsidRPr="00280CB2">
        <w:t xml:space="preserve"> </w:t>
      </w:r>
      <w:proofErr w:type="spellStart"/>
      <w:r w:rsidRPr="00280CB2">
        <w:t>and</w:t>
      </w:r>
      <w:proofErr w:type="spellEnd"/>
      <w:r w:rsidRPr="00280CB2">
        <w:t xml:space="preserve"> </w:t>
      </w:r>
      <w:proofErr w:type="spellStart"/>
      <w:r w:rsidRPr="00280CB2">
        <w:t>meditation</w:t>
      </w:r>
      <w:proofErr w:type="spellEnd"/>
      <w:r w:rsidRPr="00280CB2">
        <w:t xml:space="preserve"> </w:t>
      </w:r>
      <w:proofErr w:type="spellStart"/>
      <w:r w:rsidRPr="00280CB2">
        <w:t>to</w:t>
      </w:r>
      <w:proofErr w:type="spellEnd"/>
      <w:r w:rsidRPr="00280CB2">
        <w:t xml:space="preserve"> </w:t>
      </w:r>
      <w:proofErr w:type="spellStart"/>
      <w:r w:rsidRPr="00280CB2">
        <w:t>improve</w:t>
      </w:r>
      <w:proofErr w:type="spellEnd"/>
      <w:r w:rsidRPr="00280CB2">
        <w:t xml:space="preserve"> </w:t>
      </w:r>
      <w:proofErr w:type="spellStart"/>
      <w:r w:rsidRPr="00280CB2">
        <w:t>well-being</w:t>
      </w:r>
      <w:proofErr w:type="spellEnd"/>
      <w:r w:rsidRPr="00280CB2">
        <w:t xml:space="preserve"> </w:t>
      </w:r>
      <w:proofErr w:type="spellStart"/>
      <w:r w:rsidRPr="00280CB2">
        <w:t>through</w:t>
      </w:r>
      <w:proofErr w:type="spellEnd"/>
      <w:r w:rsidRPr="00280CB2">
        <w:t xml:space="preserve"> </w:t>
      </w:r>
      <w:proofErr w:type="spellStart"/>
      <w:r w:rsidRPr="00280CB2">
        <w:t>the</w:t>
      </w:r>
      <w:proofErr w:type="spellEnd"/>
      <w:r w:rsidRPr="00280CB2">
        <w:t xml:space="preserve"> </w:t>
      </w:r>
      <w:proofErr w:type="spellStart"/>
      <w:r w:rsidRPr="00280CB2">
        <w:t>elaboration</w:t>
      </w:r>
      <w:proofErr w:type="spellEnd"/>
      <w:r w:rsidRPr="00280CB2">
        <w:t xml:space="preserve"> of </w:t>
      </w:r>
      <w:proofErr w:type="spellStart"/>
      <w:r w:rsidRPr="00280CB2">
        <w:t>traumatic</w:t>
      </w:r>
      <w:proofErr w:type="spellEnd"/>
      <w:r w:rsidRPr="00280CB2">
        <w:t xml:space="preserve"> </w:t>
      </w:r>
      <w:proofErr w:type="spellStart"/>
      <w:r w:rsidRPr="00280CB2">
        <w:t>loss</w:t>
      </w:r>
      <w:proofErr w:type="spellEnd"/>
      <w:r w:rsidRPr="00280CB2">
        <w:t xml:space="preserve"> </w:t>
      </w:r>
      <w:proofErr w:type="spellStart"/>
      <w:r w:rsidRPr="00280CB2">
        <w:t>among</w:t>
      </w:r>
      <w:proofErr w:type="spellEnd"/>
      <w:r w:rsidRPr="00280CB2">
        <w:t xml:space="preserve"> </w:t>
      </w:r>
      <w:proofErr w:type="spellStart"/>
      <w:r w:rsidRPr="00280CB2">
        <w:t>Italian</w:t>
      </w:r>
      <w:proofErr w:type="spellEnd"/>
      <w:r w:rsidRPr="00280CB2">
        <w:t xml:space="preserve"> </w:t>
      </w:r>
      <w:proofErr w:type="spellStart"/>
      <w:r w:rsidRPr="00280CB2">
        <w:t>high</w:t>
      </w:r>
      <w:proofErr w:type="spellEnd"/>
      <w:r w:rsidRPr="00280CB2">
        <w:t xml:space="preserve"> </w:t>
      </w:r>
      <w:proofErr w:type="spellStart"/>
      <w:r w:rsidRPr="00280CB2">
        <w:t>school</w:t>
      </w:r>
      <w:proofErr w:type="spellEnd"/>
      <w:r w:rsidRPr="00280CB2">
        <w:t xml:space="preserve"> </w:t>
      </w:r>
      <w:proofErr w:type="spellStart"/>
      <w:r w:rsidRPr="00280CB2">
        <w:t>students</w:t>
      </w:r>
      <w:proofErr w:type="spellEnd"/>
      <w:r w:rsidRPr="00280CB2">
        <w:t xml:space="preserve">. </w:t>
      </w:r>
      <w:proofErr w:type="spellStart"/>
      <w:r w:rsidRPr="00E359E0">
        <w:rPr>
          <w:i/>
        </w:rPr>
        <w:t>Frontiers</w:t>
      </w:r>
      <w:proofErr w:type="spellEnd"/>
      <w:r w:rsidRPr="00E359E0">
        <w:rPr>
          <w:i/>
        </w:rPr>
        <w:t xml:space="preserve"> in </w:t>
      </w:r>
      <w:proofErr w:type="spellStart"/>
      <w:r w:rsidRPr="00E359E0">
        <w:rPr>
          <w:i/>
        </w:rPr>
        <w:t>Psychology</w:t>
      </w:r>
      <w:proofErr w:type="spellEnd"/>
      <w:r w:rsidRPr="00280CB2">
        <w:t xml:space="preserve">, </w:t>
      </w:r>
      <w:r w:rsidRPr="00E359E0">
        <w:rPr>
          <w:i/>
        </w:rPr>
        <w:t>11</w:t>
      </w:r>
      <w:r w:rsidRPr="00280CB2">
        <w:t xml:space="preserve">, 544661. </w:t>
      </w:r>
      <w:hyperlink r:id="rId345">
        <w:r w:rsidRPr="00E359E0">
          <w:rPr>
            <w:u w:val="single"/>
          </w:rPr>
          <w:t>https://doi.org/10.3389/fpsyg.2020.544661</w:t>
        </w:r>
      </w:hyperlink>
    </w:p>
    <w:p w14:paraId="0A71CFB5" w14:textId="77777777" w:rsidR="00FA457D" w:rsidRPr="00280CB2" w:rsidRDefault="00FA457D">
      <w:pPr>
        <w:pStyle w:val="ListeParagraf"/>
        <w:numPr>
          <w:ilvl w:val="0"/>
          <w:numId w:val="60"/>
        </w:numPr>
        <w:tabs>
          <w:tab w:val="left" w:pos="0"/>
        </w:tabs>
        <w:jc w:val="both"/>
      </w:pPr>
      <w:r w:rsidRPr="00280CB2">
        <w:t xml:space="preserve">Türkan D.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psychodrama</w:t>
      </w:r>
      <w:proofErr w:type="spellEnd"/>
      <w:r w:rsidRPr="00280CB2">
        <w:t xml:space="preserve"> on </w:t>
      </w:r>
      <w:proofErr w:type="spellStart"/>
      <w:r w:rsidRPr="00280CB2">
        <w:t>young</w:t>
      </w:r>
      <w:proofErr w:type="spellEnd"/>
      <w:r w:rsidRPr="00280CB2">
        <w:t xml:space="preserve"> </w:t>
      </w:r>
      <w:proofErr w:type="spellStart"/>
      <w:r w:rsidRPr="00280CB2">
        <w:t>adults</w:t>
      </w:r>
      <w:proofErr w:type="spellEnd"/>
      <w:r w:rsidRPr="00280CB2">
        <w:t xml:space="preserve">’ </w:t>
      </w:r>
      <w:proofErr w:type="spellStart"/>
      <w:r w:rsidRPr="00280CB2">
        <w:t>attachment</w:t>
      </w:r>
      <w:proofErr w:type="spellEnd"/>
      <w:r w:rsidRPr="00280CB2">
        <w:t xml:space="preserve"> </w:t>
      </w:r>
      <w:proofErr w:type="spellStart"/>
      <w:r w:rsidRPr="00280CB2">
        <w:t>styles</w:t>
      </w:r>
      <w:proofErr w:type="spellEnd"/>
      <w:r w:rsidRPr="00280CB2">
        <w:t xml:space="preserve">. </w:t>
      </w:r>
      <w:proofErr w:type="spellStart"/>
      <w:r w:rsidRPr="00280CB2">
        <w:t>The</w:t>
      </w:r>
      <w:proofErr w:type="spellEnd"/>
      <w:r w:rsidRPr="00280CB2">
        <w:t xml:space="preserve"> </w:t>
      </w:r>
      <w:proofErr w:type="spellStart"/>
      <w:r w:rsidRPr="00280CB2">
        <w:t>Arts</w:t>
      </w:r>
      <w:proofErr w:type="spellEnd"/>
      <w:r w:rsidRPr="00280CB2">
        <w:t xml:space="preserve"> </w:t>
      </w:r>
      <w:proofErr w:type="spellStart"/>
      <w:r w:rsidRPr="00280CB2">
        <w:t>In</w:t>
      </w:r>
      <w:proofErr w:type="spellEnd"/>
      <w:r w:rsidRPr="00280CB2">
        <w:t xml:space="preserve"> </w:t>
      </w:r>
      <w:proofErr w:type="spellStart"/>
      <w:r w:rsidRPr="00280CB2">
        <w:t>Psychotherapy</w:t>
      </w:r>
      <w:proofErr w:type="spellEnd"/>
      <w:r w:rsidRPr="00280CB2">
        <w:t>. 2010; (37): 112- 119</w:t>
      </w:r>
    </w:p>
    <w:p w14:paraId="4B3A1A4F" w14:textId="77777777" w:rsidR="00FA457D" w:rsidRPr="00280CB2" w:rsidRDefault="00FA457D">
      <w:pPr>
        <w:pStyle w:val="ListeParagraf"/>
        <w:numPr>
          <w:ilvl w:val="0"/>
          <w:numId w:val="60"/>
        </w:numPr>
        <w:tabs>
          <w:tab w:val="left" w:pos="0"/>
        </w:tabs>
        <w:jc w:val="both"/>
      </w:pPr>
      <w:proofErr w:type="spellStart"/>
      <w:r w:rsidRPr="00280CB2">
        <w:t>Ulupinar</w:t>
      </w:r>
      <w:proofErr w:type="spellEnd"/>
      <w:r w:rsidRPr="00280CB2">
        <w:t xml:space="preserve">, S. (2014). </w:t>
      </w:r>
      <w:proofErr w:type="spellStart"/>
      <w:r w:rsidRPr="00280CB2">
        <w:t>The</w:t>
      </w:r>
      <w:proofErr w:type="spellEnd"/>
      <w:r w:rsidRPr="00280CB2">
        <w:t xml:space="preserve"> </w:t>
      </w:r>
      <w:proofErr w:type="spellStart"/>
      <w:r w:rsidRPr="00280CB2">
        <w:t>effect</w:t>
      </w:r>
      <w:proofErr w:type="spellEnd"/>
      <w:r w:rsidRPr="00280CB2">
        <w:t xml:space="preserve"> of </w:t>
      </w:r>
      <w:proofErr w:type="spellStart"/>
      <w:r w:rsidRPr="00280CB2">
        <w:t>psychodrama</w:t>
      </w:r>
      <w:proofErr w:type="spellEnd"/>
      <w:r w:rsidRPr="00280CB2">
        <w:t xml:space="preserve"> </w:t>
      </w:r>
      <w:proofErr w:type="spellStart"/>
      <w:r w:rsidRPr="00280CB2">
        <w:t>application</w:t>
      </w:r>
      <w:proofErr w:type="spellEnd"/>
      <w:r w:rsidRPr="00280CB2">
        <w:t xml:space="preserve"> on </w:t>
      </w:r>
      <w:proofErr w:type="spellStart"/>
      <w:r w:rsidRPr="00280CB2">
        <w:t>nursing</w:t>
      </w:r>
      <w:proofErr w:type="spellEnd"/>
      <w:r w:rsidRPr="00280CB2">
        <w:t xml:space="preserve"> </w:t>
      </w:r>
      <w:proofErr w:type="spellStart"/>
      <w:r w:rsidRPr="00280CB2">
        <w:t>students</w:t>
      </w:r>
      <w:proofErr w:type="spellEnd"/>
      <w:r w:rsidRPr="00280CB2">
        <w:t xml:space="preserve">' </w:t>
      </w:r>
      <w:r w:rsidRPr="00280CB2">
        <w:lastRenderedPageBreak/>
        <w:t>problem-</w:t>
      </w:r>
      <w:proofErr w:type="spellStart"/>
      <w:r w:rsidRPr="00280CB2">
        <w:t>solving</w:t>
      </w:r>
      <w:proofErr w:type="spellEnd"/>
      <w:r w:rsidRPr="00280CB2">
        <w:t xml:space="preserve"> </w:t>
      </w:r>
      <w:proofErr w:type="spellStart"/>
      <w:r w:rsidRPr="00280CB2">
        <w:t>skills</w:t>
      </w:r>
      <w:proofErr w:type="spellEnd"/>
      <w:r w:rsidRPr="00280CB2">
        <w:t xml:space="preserve">. </w:t>
      </w:r>
      <w:r w:rsidRPr="00E359E0">
        <w:rPr>
          <w:i/>
        </w:rPr>
        <w:t>Anadolu Psikiyatri Dergisi-</w:t>
      </w:r>
      <w:proofErr w:type="spellStart"/>
      <w:r w:rsidRPr="00E359E0">
        <w:rPr>
          <w:i/>
        </w:rPr>
        <w:t>Anatolian</w:t>
      </w:r>
      <w:proofErr w:type="spellEnd"/>
      <w:r w:rsidRPr="00E359E0">
        <w:rPr>
          <w:i/>
        </w:rPr>
        <w:t xml:space="preserve"> </w:t>
      </w:r>
      <w:proofErr w:type="spellStart"/>
      <w:r w:rsidRPr="00E359E0">
        <w:rPr>
          <w:i/>
        </w:rPr>
        <w:t>Journal</w:t>
      </w:r>
      <w:proofErr w:type="spellEnd"/>
      <w:r w:rsidRPr="00E359E0">
        <w:rPr>
          <w:i/>
        </w:rPr>
        <w:t xml:space="preserve"> of </w:t>
      </w:r>
      <w:proofErr w:type="spellStart"/>
      <w:r w:rsidRPr="00E359E0">
        <w:rPr>
          <w:i/>
        </w:rPr>
        <w:t>Psychiatry</w:t>
      </w:r>
      <w:proofErr w:type="spellEnd"/>
      <w:r w:rsidRPr="00280CB2">
        <w:t>, 15(1), 55-62</w:t>
      </w:r>
    </w:p>
    <w:p w14:paraId="0F103473" w14:textId="77777777" w:rsidR="00FA457D" w:rsidRPr="00280CB2" w:rsidRDefault="00FA457D">
      <w:pPr>
        <w:pStyle w:val="AklamaMetni"/>
        <w:numPr>
          <w:ilvl w:val="0"/>
          <w:numId w:val="60"/>
        </w:numPr>
        <w:tabs>
          <w:tab w:val="left" w:pos="0"/>
        </w:tabs>
        <w:rPr>
          <w:rFonts w:ascii="Times New Roman" w:hAnsi="Times New Roman" w:cs="Times New Roman"/>
          <w:sz w:val="24"/>
          <w:szCs w:val="24"/>
          <w:shd w:val="clear" w:color="auto" w:fill="FFFFFF"/>
        </w:rPr>
      </w:pPr>
      <w:r w:rsidRPr="00280CB2">
        <w:rPr>
          <w:rFonts w:ascii="Times New Roman" w:hAnsi="Times New Roman" w:cs="Times New Roman"/>
          <w:sz w:val="24"/>
          <w:szCs w:val="24"/>
          <w:shd w:val="clear" w:color="auto" w:fill="FFFFFF"/>
        </w:rPr>
        <w:t xml:space="preserve">Ulusoy, Y., &amp; Şimşek, B. K. (2021). </w:t>
      </w:r>
      <w:proofErr w:type="spellStart"/>
      <w:r w:rsidRPr="00280CB2">
        <w:rPr>
          <w:rFonts w:ascii="Times New Roman" w:hAnsi="Times New Roman" w:cs="Times New Roman"/>
          <w:sz w:val="24"/>
          <w:szCs w:val="24"/>
          <w:shd w:val="clear" w:color="auto" w:fill="FFFFFF"/>
        </w:rPr>
        <w:t>The</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Effect</w:t>
      </w:r>
      <w:proofErr w:type="spellEnd"/>
      <w:r w:rsidRPr="00280CB2">
        <w:rPr>
          <w:rFonts w:ascii="Times New Roman" w:hAnsi="Times New Roman" w:cs="Times New Roman"/>
          <w:sz w:val="24"/>
          <w:szCs w:val="24"/>
          <w:shd w:val="clear" w:color="auto" w:fill="FFFFFF"/>
        </w:rPr>
        <w:t xml:space="preserve"> of </w:t>
      </w:r>
      <w:proofErr w:type="spellStart"/>
      <w:r w:rsidRPr="00280CB2">
        <w:rPr>
          <w:rFonts w:ascii="Times New Roman" w:hAnsi="Times New Roman" w:cs="Times New Roman"/>
          <w:sz w:val="24"/>
          <w:szCs w:val="24"/>
          <w:shd w:val="clear" w:color="auto" w:fill="FFFFFF"/>
        </w:rPr>
        <w:t>Psychodrama</w:t>
      </w:r>
      <w:proofErr w:type="spellEnd"/>
      <w:r w:rsidRPr="00280CB2">
        <w:rPr>
          <w:rFonts w:ascii="Times New Roman" w:hAnsi="Times New Roman" w:cs="Times New Roman"/>
          <w:sz w:val="24"/>
          <w:szCs w:val="24"/>
          <w:shd w:val="clear" w:color="auto" w:fill="FFFFFF"/>
        </w:rPr>
        <w:t xml:space="preserve"> on </w:t>
      </w:r>
      <w:proofErr w:type="spellStart"/>
      <w:r w:rsidRPr="00280CB2">
        <w:rPr>
          <w:rFonts w:ascii="Times New Roman" w:hAnsi="Times New Roman" w:cs="Times New Roman"/>
          <w:sz w:val="24"/>
          <w:szCs w:val="24"/>
          <w:shd w:val="clear" w:color="auto" w:fill="FFFFFF"/>
        </w:rPr>
        <w:t>Women's</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Codependence</w:t>
      </w:r>
      <w:proofErr w:type="spellEnd"/>
      <w:r w:rsidRPr="00280CB2">
        <w:rPr>
          <w:rFonts w:ascii="Times New Roman" w:hAnsi="Times New Roman" w:cs="Times New Roman"/>
          <w:sz w:val="24"/>
          <w:szCs w:val="24"/>
          <w:shd w:val="clear" w:color="auto" w:fill="FFFFFF"/>
        </w:rPr>
        <w:t>, Self-</w:t>
      </w:r>
      <w:proofErr w:type="spellStart"/>
      <w:r w:rsidRPr="00280CB2">
        <w:rPr>
          <w:rFonts w:ascii="Times New Roman" w:hAnsi="Times New Roman" w:cs="Times New Roman"/>
          <w:sz w:val="24"/>
          <w:szCs w:val="24"/>
          <w:shd w:val="clear" w:color="auto" w:fill="FFFFFF"/>
        </w:rPr>
        <w:t>Realization</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and</w:t>
      </w:r>
      <w:proofErr w:type="spellEnd"/>
      <w:r w:rsidRPr="00280CB2">
        <w:rPr>
          <w:rFonts w:ascii="Times New Roman" w:hAnsi="Times New Roman" w:cs="Times New Roman"/>
          <w:sz w:val="24"/>
          <w:szCs w:val="24"/>
          <w:shd w:val="clear" w:color="auto" w:fill="FFFFFF"/>
        </w:rPr>
        <w:t xml:space="preserve"> Problem </w:t>
      </w:r>
      <w:proofErr w:type="spellStart"/>
      <w:r w:rsidRPr="00280CB2">
        <w:rPr>
          <w:rFonts w:ascii="Times New Roman" w:hAnsi="Times New Roman" w:cs="Times New Roman"/>
          <w:sz w:val="24"/>
          <w:szCs w:val="24"/>
          <w:shd w:val="clear" w:color="auto" w:fill="FFFFFF"/>
        </w:rPr>
        <w:t>Solving</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Skill</w:t>
      </w:r>
      <w:proofErr w:type="spellEnd"/>
      <w:r w:rsidRPr="00280CB2">
        <w:rPr>
          <w:rFonts w:ascii="Times New Roman" w:hAnsi="Times New Roman" w:cs="Times New Roman"/>
          <w:sz w:val="24"/>
          <w:szCs w:val="24"/>
          <w:shd w:val="clear" w:color="auto" w:fill="FFFFFF"/>
        </w:rPr>
        <w:t xml:space="preserve"> </w:t>
      </w:r>
      <w:proofErr w:type="spellStart"/>
      <w:r w:rsidRPr="00280CB2">
        <w:rPr>
          <w:rFonts w:ascii="Times New Roman" w:hAnsi="Times New Roman" w:cs="Times New Roman"/>
          <w:sz w:val="24"/>
          <w:szCs w:val="24"/>
          <w:shd w:val="clear" w:color="auto" w:fill="FFFFFF"/>
        </w:rPr>
        <w:t>Perception</w:t>
      </w:r>
      <w:proofErr w:type="spellEnd"/>
      <w:r w:rsidRPr="00280CB2">
        <w:rPr>
          <w:rFonts w:ascii="Times New Roman" w:hAnsi="Times New Roman" w:cs="Times New Roman"/>
          <w:sz w:val="24"/>
          <w:szCs w:val="24"/>
          <w:shd w:val="clear" w:color="auto" w:fill="FFFFFF"/>
        </w:rPr>
        <w:t>. </w:t>
      </w:r>
      <w:proofErr w:type="spellStart"/>
      <w:r w:rsidRPr="00280CB2">
        <w:rPr>
          <w:rFonts w:ascii="Times New Roman" w:hAnsi="Times New Roman" w:cs="Times New Roman"/>
          <w:i/>
          <w:iCs/>
          <w:sz w:val="24"/>
          <w:szCs w:val="24"/>
          <w:shd w:val="clear" w:color="auto" w:fill="FFFFFF"/>
        </w:rPr>
        <w:t>Journal</w:t>
      </w:r>
      <w:proofErr w:type="spellEnd"/>
      <w:r w:rsidRPr="00280CB2">
        <w:rPr>
          <w:rFonts w:ascii="Times New Roman" w:hAnsi="Times New Roman" w:cs="Times New Roman"/>
          <w:i/>
          <w:iCs/>
          <w:sz w:val="24"/>
          <w:szCs w:val="24"/>
          <w:shd w:val="clear" w:color="auto" w:fill="FFFFFF"/>
        </w:rPr>
        <w:t xml:space="preserve"> of </w:t>
      </w:r>
      <w:proofErr w:type="spellStart"/>
      <w:r w:rsidRPr="00280CB2">
        <w:rPr>
          <w:rFonts w:ascii="Times New Roman" w:hAnsi="Times New Roman" w:cs="Times New Roman"/>
          <w:i/>
          <w:iCs/>
          <w:sz w:val="24"/>
          <w:szCs w:val="24"/>
          <w:shd w:val="clear" w:color="auto" w:fill="FFFFFF"/>
        </w:rPr>
        <w:t>History</w:t>
      </w:r>
      <w:proofErr w:type="spellEnd"/>
      <w:r w:rsidRPr="00280CB2">
        <w:rPr>
          <w:rFonts w:ascii="Times New Roman" w:hAnsi="Times New Roman" w:cs="Times New Roman"/>
          <w:i/>
          <w:iCs/>
          <w:sz w:val="24"/>
          <w:szCs w:val="24"/>
          <w:shd w:val="clear" w:color="auto" w:fill="FFFFFF"/>
        </w:rPr>
        <w:t xml:space="preserve">, </w:t>
      </w:r>
      <w:proofErr w:type="spellStart"/>
      <w:r w:rsidRPr="00280CB2">
        <w:rPr>
          <w:rFonts w:ascii="Times New Roman" w:hAnsi="Times New Roman" w:cs="Times New Roman"/>
          <w:i/>
          <w:iCs/>
          <w:sz w:val="24"/>
          <w:szCs w:val="24"/>
          <w:shd w:val="clear" w:color="auto" w:fill="FFFFFF"/>
        </w:rPr>
        <w:t>Culture</w:t>
      </w:r>
      <w:proofErr w:type="spellEnd"/>
      <w:r w:rsidRPr="00280CB2">
        <w:rPr>
          <w:rFonts w:ascii="Times New Roman" w:hAnsi="Times New Roman" w:cs="Times New Roman"/>
          <w:i/>
          <w:iCs/>
          <w:sz w:val="24"/>
          <w:szCs w:val="24"/>
          <w:shd w:val="clear" w:color="auto" w:fill="FFFFFF"/>
        </w:rPr>
        <w:t xml:space="preserve"> &amp; Art </w:t>
      </w:r>
      <w:proofErr w:type="spellStart"/>
      <w:r w:rsidRPr="00280CB2">
        <w:rPr>
          <w:rFonts w:ascii="Times New Roman" w:hAnsi="Times New Roman" w:cs="Times New Roman"/>
          <w:i/>
          <w:iCs/>
          <w:sz w:val="24"/>
          <w:szCs w:val="24"/>
          <w:shd w:val="clear" w:color="auto" w:fill="FFFFFF"/>
        </w:rPr>
        <w:t>Research</w:t>
      </w:r>
      <w:proofErr w:type="spellEnd"/>
      <w:r w:rsidRPr="00280CB2">
        <w:rPr>
          <w:rFonts w:ascii="Times New Roman" w:hAnsi="Times New Roman" w:cs="Times New Roman"/>
          <w:i/>
          <w:iCs/>
          <w:sz w:val="24"/>
          <w:szCs w:val="24"/>
          <w:shd w:val="clear" w:color="auto" w:fill="FFFFFF"/>
        </w:rPr>
        <w:t xml:space="preserve">/Tarih Kültür ve Sanat </w:t>
      </w:r>
      <w:proofErr w:type="spellStart"/>
      <w:r w:rsidRPr="00280CB2">
        <w:rPr>
          <w:rFonts w:ascii="Times New Roman" w:hAnsi="Times New Roman" w:cs="Times New Roman"/>
          <w:i/>
          <w:iCs/>
          <w:sz w:val="24"/>
          <w:szCs w:val="24"/>
          <w:shd w:val="clear" w:color="auto" w:fill="FFFFFF"/>
        </w:rPr>
        <w:t>Arastirmalari</w:t>
      </w:r>
      <w:proofErr w:type="spellEnd"/>
      <w:r w:rsidRPr="00280CB2">
        <w:rPr>
          <w:rFonts w:ascii="Times New Roman" w:hAnsi="Times New Roman" w:cs="Times New Roman"/>
          <w:i/>
          <w:iCs/>
          <w:sz w:val="24"/>
          <w:szCs w:val="24"/>
          <w:shd w:val="clear" w:color="auto" w:fill="FFFFFF"/>
        </w:rPr>
        <w:t xml:space="preserve"> Dergisi</w:t>
      </w:r>
      <w:r w:rsidRPr="00280CB2">
        <w:rPr>
          <w:rFonts w:ascii="Times New Roman" w:hAnsi="Times New Roman" w:cs="Times New Roman"/>
          <w:sz w:val="24"/>
          <w:szCs w:val="24"/>
          <w:shd w:val="clear" w:color="auto" w:fill="FFFFFF"/>
        </w:rPr>
        <w:t>, </w:t>
      </w:r>
      <w:r w:rsidRPr="00280CB2">
        <w:rPr>
          <w:rFonts w:ascii="Times New Roman" w:hAnsi="Times New Roman" w:cs="Times New Roman"/>
          <w:i/>
          <w:iCs/>
          <w:sz w:val="24"/>
          <w:szCs w:val="24"/>
          <w:shd w:val="clear" w:color="auto" w:fill="FFFFFF"/>
        </w:rPr>
        <w:t>10</w:t>
      </w:r>
      <w:r w:rsidRPr="00280CB2">
        <w:rPr>
          <w:rFonts w:ascii="Times New Roman" w:hAnsi="Times New Roman" w:cs="Times New Roman"/>
          <w:sz w:val="24"/>
          <w:szCs w:val="24"/>
          <w:shd w:val="clear" w:color="auto" w:fill="FFFFFF"/>
        </w:rPr>
        <w:t>(1).</w:t>
      </w:r>
    </w:p>
    <w:p w14:paraId="7BB8DAE4" w14:textId="77777777" w:rsidR="00FA457D" w:rsidRPr="00280CB2" w:rsidRDefault="00FA457D">
      <w:pPr>
        <w:pStyle w:val="ListeParagraf"/>
        <w:numPr>
          <w:ilvl w:val="0"/>
          <w:numId w:val="60"/>
        </w:numPr>
        <w:tabs>
          <w:tab w:val="left" w:pos="0"/>
        </w:tabs>
        <w:jc w:val="both"/>
      </w:pPr>
      <w:proofErr w:type="spellStart"/>
      <w:r w:rsidRPr="00280CB2">
        <w:t>Usluoglu</w:t>
      </w:r>
      <w:proofErr w:type="spellEnd"/>
      <w:r w:rsidRPr="00280CB2">
        <w:t xml:space="preserve">, F. (2023). </w:t>
      </w:r>
      <w:proofErr w:type="spellStart"/>
      <w:r w:rsidRPr="00280CB2">
        <w:t>The</w:t>
      </w:r>
      <w:proofErr w:type="spellEnd"/>
      <w:r w:rsidRPr="00280CB2">
        <w:t xml:space="preserve"> </w:t>
      </w:r>
      <w:proofErr w:type="spellStart"/>
      <w:r w:rsidRPr="00280CB2">
        <w:t>effects</w:t>
      </w:r>
      <w:proofErr w:type="spellEnd"/>
      <w:r w:rsidRPr="00280CB2">
        <w:t xml:space="preserve"> of </w:t>
      </w:r>
      <w:proofErr w:type="spellStart"/>
      <w:r w:rsidRPr="00280CB2">
        <w:t>psychodrama</w:t>
      </w:r>
      <w:proofErr w:type="spellEnd"/>
      <w:r w:rsidRPr="00280CB2">
        <w:t xml:space="preserve"> on </w:t>
      </w:r>
      <w:proofErr w:type="spellStart"/>
      <w:r w:rsidRPr="00280CB2">
        <w:t>the</w:t>
      </w:r>
      <w:proofErr w:type="spellEnd"/>
      <w:r w:rsidRPr="00280CB2">
        <w:t xml:space="preserve"> </w:t>
      </w:r>
      <w:proofErr w:type="spellStart"/>
      <w:r w:rsidRPr="00280CB2">
        <w:t>relationship</w:t>
      </w:r>
      <w:proofErr w:type="spellEnd"/>
      <w:r w:rsidRPr="00280CB2">
        <w:t xml:space="preserve"> </w:t>
      </w:r>
      <w:proofErr w:type="spellStart"/>
      <w:r w:rsidRPr="00280CB2">
        <w:t>between</w:t>
      </w:r>
      <w:proofErr w:type="spellEnd"/>
      <w:r w:rsidRPr="00280CB2">
        <w:t xml:space="preserve"> self </w:t>
      </w:r>
      <w:proofErr w:type="spellStart"/>
      <w:r w:rsidRPr="00280CB2">
        <w:t>and</w:t>
      </w:r>
      <w:proofErr w:type="spellEnd"/>
      <w:r w:rsidRPr="00280CB2">
        <w:t xml:space="preserve"> </w:t>
      </w:r>
      <w:proofErr w:type="spellStart"/>
      <w:r w:rsidRPr="00280CB2">
        <w:t>others</w:t>
      </w:r>
      <w:proofErr w:type="spellEnd"/>
      <w:r w:rsidRPr="00280CB2">
        <w:t xml:space="preserve">: A </w:t>
      </w:r>
      <w:proofErr w:type="spellStart"/>
      <w:r w:rsidRPr="00280CB2">
        <w:t>case</w:t>
      </w:r>
      <w:proofErr w:type="spellEnd"/>
      <w:r w:rsidRPr="00280CB2">
        <w:t xml:space="preserve"> </w:t>
      </w:r>
      <w:proofErr w:type="spellStart"/>
      <w:r w:rsidRPr="00280CB2">
        <w:t>study</w:t>
      </w:r>
      <w:proofErr w:type="spellEnd"/>
      <w:r w:rsidRPr="00280CB2">
        <w:t xml:space="preserve">. </w:t>
      </w:r>
      <w:proofErr w:type="spellStart"/>
      <w:r w:rsidRPr="00E359E0">
        <w:rPr>
          <w:rStyle w:val="Vurgu"/>
          <w:rFonts w:eastAsiaTheme="majorEastAsia"/>
        </w:rPr>
        <w:t>Current</w:t>
      </w:r>
      <w:proofErr w:type="spellEnd"/>
      <w:r w:rsidRPr="00E359E0">
        <w:rPr>
          <w:rStyle w:val="Vurgu"/>
          <w:rFonts w:eastAsiaTheme="majorEastAsia"/>
        </w:rPr>
        <w:t xml:space="preserve"> </w:t>
      </w:r>
      <w:proofErr w:type="spellStart"/>
      <w:r w:rsidRPr="00E359E0">
        <w:rPr>
          <w:rStyle w:val="Vurgu"/>
          <w:rFonts w:eastAsiaTheme="majorEastAsia"/>
        </w:rPr>
        <w:t>Psychology</w:t>
      </w:r>
      <w:proofErr w:type="spellEnd"/>
      <w:r w:rsidRPr="00E359E0">
        <w:rPr>
          <w:rStyle w:val="Vurgu"/>
          <w:rFonts w:eastAsiaTheme="majorEastAsia"/>
        </w:rPr>
        <w:t>, 42</w:t>
      </w:r>
      <w:r w:rsidRPr="00280CB2">
        <w:t>, 30863–30877.</w:t>
      </w:r>
    </w:p>
    <w:p w14:paraId="7DB26917" w14:textId="77777777" w:rsidR="00FA457D" w:rsidRPr="00280CB2" w:rsidRDefault="00FA457D">
      <w:pPr>
        <w:pStyle w:val="ListeParagraf"/>
        <w:numPr>
          <w:ilvl w:val="0"/>
          <w:numId w:val="60"/>
        </w:numPr>
        <w:tabs>
          <w:tab w:val="left" w:pos="0"/>
        </w:tabs>
        <w:jc w:val="both"/>
      </w:pPr>
      <w:r w:rsidRPr="00280CB2">
        <w:t>Vural, E.D. (2006). Okul öncesi eğitim programındaki duyuşsal ve sosyal becerilere yönelik</w:t>
      </w:r>
    </w:p>
    <w:p w14:paraId="407698C2" w14:textId="77777777" w:rsidR="00FA457D" w:rsidRPr="00280CB2" w:rsidRDefault="00FA457D">
      <w:pPr>
        <w:pStyle w:val="ListeParagraf"/>
        <w:numPr>
          <w:ilvl w:val="0"/>
          <w:numId w:val="60"/>
        </w:numPr>
        <w:tabs>
          <w:tab w:val="left" w:pos="0"/>
        </w:tabs>
        <w:jc w:val="both"/>
      </w:pPr>
      <w:r w:rsidRPr="00280CB2">
        <w:t xml:space="preserve">Wang, M. ve </w:t>
      </w:r>
      <w:proofErr w:type="spellStart"/>
      <w:r w:rsidRPr="00280CB2">
        <w:t>Holcombe</w:t>
      </w:r>
      <w:proofErr w:type="spellEnd"/>
      <w:r w:rsidRPr="00280CB2">
        <w:t xml:space="preserve">, R. (2010). </w:t>
      </w:r>
      <w:proofErr w:type="spellStart"/>
      <w:r w:rsidRPr="00280CB2">
        <w:t>Adolescents</w:t>
      </w:r>
      <w:proofErr w:type="spellEnd"/>
      <w:r w:rsidRPr="00280CB2">
        <w:t xml:space="preserve">’ </w:t>
      </w:r>
      <w:proofErr w:type="spellStart"/>
      <w:r w:rsidRPr="00280CB2">
        <w:t>Perceptions</w:t>
      </w:r>
      <w:proofErr w:type="spellEnd"/>
      <w:r w:rsidRPr="00280CB2">
        <w:t xml:space="preserve"> of School Environment, </w:t>
      </w:r>
      <w:proofErr w:type="spellStart"/>
      <w:r w:rsidRPr="00280CB2">
        <w:t>Engagement</w:t>
      </w:r>
      <w:proofErr w:type="spellEnd"/>
      <w:r w:rsidRPr="00280CB2">
        <w:t xml:space="preserve">, </w:t>
      </w:r>
      <w:proofErr w:type="spellStart"/>
      <w:r w:rsidRPr="00280CB2">
        <w:t>and</w:t>
      </w:r>
      <w:proofErr w:type="spellEnd"/>
      <w:r w:rsidRPr="00280CB2">
        <w:t xml:space="preserve"> </w:t>
      </w:r>
      <w:proofErr w:type="spellStart"/>
      <w:r w:rsidRPr="00280CB2">
        <w:t>Academic</w:t>
      </w:r>
      <w:proofErr w:type="spellEnd"/>
      <w:r w:rsidRPr="00280CB2">
        <w:t xml:space="preserve"> </w:t>
      </w:r>
      <w:proofErr w:type="spellStart"/>
      <w:r w:rsidRPr="00280CB2">
        <w:t>Achievement</w:t>
      </w:r>
      <w:proofErr w:type="spellEnd"/>
      <w:r w:rsidRPr="00280CB2">
        <w:t xml:space="preserve"> in </w:t>
      </w:r>
      <w:proofErr w:type="spellStart"/>
      <w:r w:rsidRPr="00280CB2">
        <w:t>Middle</w:t>
      </w:r>
      <w:proofErr w:type="spellEnd"/>
      <w:r w:rsidRPr="00280CB2">
        <w:t xml:space="preserve"> School. </w:t>
      </w:r>
      <w:proofErr w:type="spellStart"/>
      <w:r w:rsidRPr="00280CB2">
        <w:t>American</w:t>
      </w:r>
      <w:proofErr w:type="spellEnd"/>
      <w:r w:rsidRPr="00280CB2">
        <w:t xml:space="preserve"> </w:t>
      </w:r>
      <w:proofErr w:type="spellStart"/>
      <w:r w:rsidRPr="00280CB2">
        <w:t>Educational</w:t>
      </w:r>
      <w:proofErr w:type="spellEnd"/>
      <w:r w:rsidRPr="00280CB2">
        <w:t xml:space="preserve"> </w:t>
      </w:r>
      <w:proofErr w:type="spellStart"/>
      <w:r w:rsidRPr="00280CB2">
        <w:t>Research</w:t>
      </w:r>
      <w:proofErr w:type="spellEnd"/>
      <w:r w:rsidRPr="00280CB2">
        <w:t xml:space="preserve"> </w:t>
      </w:r>
      <w:proofErr w:type="spellStart"/>
      <w:r w:rsidRPr="00280CB2">
        <w:t>Journal</w:t>
      </w:r>
      <w:proofErr w:type="spellEnd"/>
      <w:r w:rsidRPr="00280CB2">
        <w:t xml:space="preserve">, 47(3), 633-662. </w:t>
      </w:r>
      <w:proofErr w:type="spellStart"/>
      <w:r w:rsidRPr="00280CB2">
        <w:t>Doi</w:t>
      </w:r>
      <w:proofErr w:type="spellEnd"/>
      <w:r w:rsidRPr="00280CB2">
        <w:t>: 10.3102/0002831209361209</w:t>
      </w:r>
    </w:p>
    <w:p w14:paraId="220298DC" w14:textId="2E25D2FD" w:rsidR="00D37D80" w:rsidRDefault="00FA457D">
      <w:pPr>
        <w:pStyle w:val="ListeParagraf"/>
        <w:numPr>
          <w:ilvl w:val="0"/>
          <w:numId w:val="60"/>
        </w:numPr>
        <w:tabs>
          <w:tab w:val="left" w:pos="0"/>
        </w:tabs>
        <w:jc w:val="both"/>
      </w:pPr>
      <w:proofErr w:type="spellStart"/>
      <w:r w:rsidRPr="00280CB2">
        <w:t>Wieser</w:t>
      </w:r>
      <w:proofErr w:type="spellEnd"/>
      <w:r w:rsidRPr="00280CB2">
        <w:t xml:space="preserve">, M. A., &amp; </w:t>
      </w:r>
      <w:proofErr w:type="spellStart"/>
      <w:r w:rsidRPr="00280CB2">
        <w:t>Leitner</w:t>
      </w:r>
      <w:proofErr w:type="spellEnd"/>
      <w:r w:rsidRPr="00280CB2">
        <w:t xml:space="preserve">, A. (2023). </w:t>
      </w:r>
      <w:proofErr w:type="spellStart"/>
      <w:r w:rsidRPr="00280CB2">
        <w:t>Impact</w:t>
      </w:r>
      <w:proofErr w:type="spellEnd"/>
      <w:r w:rsidRPr="00280CB2">
        <w:t xml:space="preserve"> of </w:t>
      </w:r>
      <w:proofErr w:type="spellStart"/>
      <w:r w:rsidRPr="00280CB2">
        <w:t>teaching</w:t>
      </w:r>
      <w:proofErr w:type="spellEnd"/>
      <w:r w:rsidRPr="00280CB2">
        <w:t xml:space="preserve"> </w:t>
      </w:r>
      <w:proofErr w:type="spellStart"/>
      <w:r w:rsidRPr="00280CB2">
        <w:t>palliative</w:t>
      </w:r>
      <w:proofErr w:type="spellEnd"/>
      <w:r w:rsidRPr="00280CB2">
        <w:t xml:space="preserve"> </w:t>
      </w:r>
      <w:proofErr w:type="spellStart"/>
      <w:r w:rsidRPr="00280CB2">
        <w:t>psychology</w:t>
      </w:r>
      <w:proofErr w:type="spellEnd"/>
      <w:r w:rsidRPr="00280CB2">
        <w:t xml:space="preserve"> </w:t>
      </w:r>
      <w:proofErr w:type="spellStart"/>
      <w:r w:rsidRPr="00280CB2">
        <w:t>with</w:t>
      </w:r>
      <w:proofErr w:type="spellEnd"/>
      <w:r w:rsidRPr="00280CB2">
        <w:t xml:space="preserve"> </w:t>
      </w:r>
      <w:proofErr w:type="spellStart"/>
      <w:r w:rsidRPr="00280CB2">
        <w:t>psychodrama</w:t>
      </w:r>
      <w:proofErr w:type="spellEnd"/>
      <w:r w:rsidRPr="00280CB2">
        <w:t xml:space="preserve"> </w:t>
      </w:r>
      <w:proofErr w:type="spellStart"/>
      <w:r w:rsidRPr="00280CB2">
        <w:t>and</w:t>
      </w:r>
      <w:proofErr w:type="spellEnd"/>
      <w:r w:rsidRPr="00280CB2">
        <w:t xml:space="preserve"> </w:t>
      </w:r>
      <w:proofErr w:type="spellStart"/>
      <w:r w:rsidRPr="00280CB2">
        <w:t>arts</w:t>
      </w:r>
      <w:proofErr w:type="spellEnd"/>
      <w:r w:rsidRPr="00280CB2">
        <w:t xml:space="preserve"> </w:t>
      </w:r>
      <w:proofErr w:type="spellStart"/>
      <w:r w:rsidRPr="00280CB2">
        <w:t>therapies</w:t>
      </w:r>
      <w:proofErr w:type="spellEnd"/>
      <w:r w:rsidRPr="00280CB2">
        <w:t xml:space="preserve"> on </w:t>
      </w:r>
      <w:proofErr w:type="spellStart"/>
      <w:r w:rsidRPr="00280CB2">
        <w:t>psychology</w:t>
      </w:r>
      <w:proofErr w:type="spellEnd"/>
      <w:r w:rsidRPr="00280CB2">
        <w:t xml:space="preserve"> </w:t>
      </w:r>
      <w:proofErr w:type="spellStart"/>
      <w:r w:rsidRPr="00280CB2">
        <w:t>students</w:t>
      </w:r>
      <w:proofErr w:type="spellEnd"/>
      <w:r w:rsidRPr="00280CB2">
        <w:t xml:space="preserve"> in </w:t>
      </w:r>
      <w:proofErr w:type="spellStart"/>
      <w:r w:rsidRPr="00280CB2">
        <w:t>Klagenfurt</w:t>
      </w:r>
      <w:proofErr w:type="spellEnd"/>
      <w:r w:rsidRPr="00280CB2">
        <w:t xml:space="preserve">. </w:t>
      </w:r>
      <w:proofErr w:type="spellStart"/>
      <w:r w:rsidRPr="00E359E0">
        <w:rPr>
          <w:i/>
        </w:rPr>
        <w:t>Behavioral</w:t>
      </w:r>
      <w:proofErr w:type="spellEnd"/>
      <w:r w:rsidRPr="00E359E0">
        <w:rPr>
          <w:i/>
        </w:rPr>
        <w:t xml:space="preserve"> </w:t>
      </w:r>
      <w:proofErr w:type="spellStart"/>
      <w:r w:rsidRPr="00E359E0">
        <w:rPr>
          <w:i/>
        </w:rPr>
        <w:t>Sciences</w:t>
      </w:r>
      <w:proofErr w:type="spellEnd"/>
      <w:r w:rsidRPr="00E359E0">
        <w:rPr>
          <w:i/>
        </w:rPr>
        <w:t>, 13</w:t>
      </w:r>
      <w:r w:rsidRPr="00280CB2">
        <w:t>(11), 931.</w:t>
      </w:r>
      <w:hyperlink r:id="rId346">
        <w:r w:rsidRPr="00280CB2">
          <w:t xml:space="preserve"> </w:t>
        </w:r>
      </w:hyperlink>
      <w:hyperlink r:id="rId347">
        <w:r w:rsidRPr="00E359E0">
          <w:rPr>
            <w:u w:val="single"/>
          </w:rPr>
          <w:t>https://doi.org/10.3390/bs13110931</w:t>
        </w:r>
      </w:hyperlink>
    </w:p>
    <w:p w14:paraId="6948A76A" w14:textId="542C584A" w:rsidR="00E359E0" w:rsidRPr="00D37D80" w:rsidRDefault="00D37D80" w:rsidP="00D37D80">
      <w:pPr>
        <w:autoSpaceDE/>
        <w:autoSpaceDN/>
      </w:pPr>
      <w:r>
        <w:br w:type="page"/>
      </w:r>
    </w:p>
    <w:p w14:paraId="2C06F8B4" w14:textId="77777777" w:rsidR="00E3302B" w:rsidRPr="00F25C28" w:rsidRDefault="00E3302B" w:rsidP="00E3302B">
      <w:pPr>
        <w:ind w:firstLine="708"/>
        <w:jc w:val="center"/>
        <w:rPr>
          <w:rFonts w:eastAsia="Calibri"/>
          <w:b/>
          <w:bCs/>
        </w:rPr>
      </w:pPr>
      <w:r w:rsidRPr="00F25C28">
        <w:rPr>
          <w:rFonts w:eastAsia="Calibri"/>
          <w:b/>
          <w:bCs/>
        </w:rPr>
        <w:lastRenderedPageBreak/>
        <w:t>Sınır Koruma Ölçeği Kısa Formunun Türk Kültürüne Uyarlanması: Geçerlik ve Güvenirlik Çalışması</w:t>
      </w:r>
    </w:p>
    <w:p w14:paraId="227FE370" w14:textId="77777777" w:rsidR="00E3302B" w:rsidRDefault="00E3302B" w:rsidP="00E3302B">
      <w:pPr>
        <w:jc w:val="center"/>
      </w:pPr>
    </w:p>
    <w:p w14:paraId="3858C892" w14:textId="16BF9952" w:rsidR="00E3302B" w:rsidRDefault="00E3302B" w:rsidP="0079785E">
      <w:pPr>
        <w:jc w:val="center"/>
      </w:pPr>
      <w:r>
        <w:t>Akgül Pınar</w:t>
      </w:r>
      <w:r>
        <w:br/>
        <w:t>Yüksek Lisans Öğrencisi, Ankara Hacı Bayram Veli Üniversitesi, Psikoloji</w:t>
      </w:r>
      <w:r>
        <w:br/>
        <w:t>akgulpinar35@gmail.com</w:t>
      </w:r>
      <w:r>
        <w:br/>
      </w:r>
    </w:p>
    <w:p w14:paraId="411356AA" w14:textId="77777777" w:rsidR="00E3302B" w:rsidRDefault="00E3302B" w:rsidP="00E3302B">
      <w:pPr>
        <w:jc w:val="center"/>
      </w:pPr>
      <w:r>
        <w:t>Ahmet Yıldırım</w:t>
      </w:r>
      <w:r>
        <w:br/>
        <w:t>Dr. Öğr. Üyesi, Ankara Hacı Bayram Veli Üniversitesi, Psikoloji</w:t>
      </w:r>
      <w:r>
        <w:br/>
        <w:t>ahmet-yildirim@hbv.edu.tr</w:t>
      </w:r>
      <w:r>
        <w:br/>
        <w:t>0000-0002-0856-9678</w:t>
      </w:r>
    </w:p>
    <w:p w14:paraId="3216E05B" w14:textId="77777777" w:rsidR="00E3302B" w:rsidRDefault="00E3302B" w:rsidP="00E3302B">
      <w:pPr>
        <w:jc w:val="center"/>
      </w:pPr>
    </w:p>
    <w:p w14:paraId="32A9E0F2" w14:textId="77777777" w:rsidR="00E3302B" w:rsidRDefault="00E3302B" w:rsidP="00E3302B">
      <w:pPr>
        <w:jc w:val="center"/>
      </w:pPr>
      <w:r>
        <w:t>Sema Nur Yaprak</w:t>
      </w:r>
      <w:r>
        <w:br/>
        <w:t>Yüksek Lisans Öğrencisi, Ankara Hacı Bayram Veli Üniversitesi, Psikoloji</w:t>
      </w:r>
      <w:r>
        <w:br/>
        <w:t>semayaprak15@gmail.com</w:t>
      </w:r>
    </w:p>
    <w:p w14:paraId="3A276E3E" w14:textId="77777777" w:rsidR="00E3302B" w:rsidRDefault="00E3302B" w:rsidP="00E3302B">
      <w:pPr>
        <w:jc w:val="both"/>
        <w:rPr>
          <w:b/>
          <w:bCs/>
        </w:rPr>
      </w:pPr>
    </w:p>
    <w:p w14:paraId="15BD218F" w14:textId="77777777" w:rsidR="00E3302B" w:rsidRPr="00097B24" w:rsidRDefault="00E3302B" w:rsidP="00E3302B">
      <w:pPr>
        <w:jc w:val="center"/>
        <w:rPr>
          <w:b/>
          <w:bCs/>
        </w:rPr>
      </w:pPr>
      <w:r w:rsidRPr="00097B24">
        <w:rPr>
          <w:b/>
          <w:bCs/>
        </w:rPr>
        <w:t>Özet</w:t>
      </w:r>
    </w:p>
    <w:p w14:paraId="13BD270B" w14:textId="77777777" w:rsidR="00E3302B" w:rsidRDefault="00E3302B" w:rsidP="00E3302B">
      <w:pPr>
        <w:pStyle w:val="Standard"/>
        <w:jc w:val="both"/>
        <w:rPr>
          <w:rFonts w:ascii="Times New Roman" w:hAnsi="Times New Roman" w:cs="Times New Roman"/>
        </w:rPr>
      </w:pPr>
      <w:r w:rsidRPr="00B77A40">
        <w:rPr>
          <w:rFonts w:ascii="Times New Roman" w:hAnsi="Times New Roman" w:cs="Times New Roman"/>
        </w:rPr>
        <w:t xml:space="preserve">Bu çalışmada yetişkin bireylerin sınır koruma becerilerini ölçmeyi amaçlayan Sınır Koruma </w:t>
      </w:r>
      <w:proofErr w:type="spellStart"/>
      <w:r w:rsidRPr="00B77A40">
        <w:rPr>
          <w:rFonts w:ascii="Times New Roman" w:hAnsi="Times New Roman" w:cs="Times New Roman"/>
        </w:rPr>
        <w:t>Ölçeği’ni</w:t>
      </w:r>
      <w:proofErr w:type="spellEnd"/>
      <w:r w:rsidRPr="00B77A40">
        <w:rPr>
          <w:rFonts w:ascii="Times New Roman" w:hAnsi="Times New Roman" w:cs="Times New Roman"/>
        </w:rPr>
        <w:t xml:space="preserve"> (SKÖ) Türk kültürüne uyarlamak ve psikometrik özelliklerini incelemek amaçlanmıştır. Çalışma 241 yetişkin bireyin katılımıyla çevrim içi platformlar üzerinden yürütülmüştür. Elde edilen veriler SPSS, </w:t>
      </w:r>
      <w:proofErr w:type="spellStart"/>
      <w:r w:rsidRPr="00B77A40">
        <w:rPr>
          <w:rFonts w:ascii="Times New Roman" w:hAnsi="Times New Roman" w:cs="Times New Roman"/>
        </w:rPr>
        <w:t>Rstudio</w:t>
      </w:r>
      <w:proofErr w:type="spellEnd"/>
      <w:r w:rsidRPr="00B77A40">
        <w:rPr>
          <w:rFonts w:ascii="Times New Roman" w:hAnsi="Times New Roman" w:cs="Times New Roman"/>
        </w:rPr>
        <w:t xml:space="preserve"> ve </w:t>
      </w:r>
      <w:proofErr w:type="spellStart"/>
      <w:r w:rsidRPr="00B77A40">
        <w:rPr>
          <w:rFonts w:ascii="Times New Roman" w:hAnsi="Times New Roman" w:cs="Times New Roman"/>
        </w:rPr>
        <w:t>Jamovi</w:t>
      </w:r>
      <w:proofErr w:type="spellEnd"/>
      <w:r w:rsidRPr="00B77A40">
        <w:rPr>
          <w:rFonts w:ascii="Times New Roman" w:hAnsi="Times New Roman" w:cs="Times New Roman"/>
        </w:rPr>
        <w:t xml:space="preserve"> programları aracılığıyla incelenmiştir. Doğrulayıcı faktör analizi sonucunda, ölçeğin orijinal formundaki bir boyut model uyum iyiliği indekslerine ilişkin değerleri düşürdüğü için Türk kültürüne uygun olmadığı düşünülerek ölçekten çıkarılmıştır. Analiz sonucunda orijinalinden farklı olarak 4 boyuttan oluşan 11 maddelik bir yapı elde edilmiştir. Modelin uyum iyiliği değerlerinin beklenen aralıklarda olduğu gözlenmiştir (</w:t>
      </w:r>
      <w:r w:rsidRPr="00B77A40">
        <w:rPr>
          <w:rFonts w:ascii="Times New Roman" w:hAnsi="Times New Roman" w:cs="Times New Roman"/>
          <w:color w:val="222222"/>
        </w:rPr>
        <w:t xml:space="preserve">RMSEA = 0,08, </w:t>
      </w:r>
      <w:r w:rsidRPr="00B77A40">
        <w:rPr>
          <w:rFonts w:ascii="Times New Roman" w:hAnsi="Times New Roman" w:cs="Times New Roman"/>
        </w:rPr>
        <w:t xml:space="preserve">CFI = 0,92, TLI = 0,90). Yakınsak geçerlik ölçütü için Boyun Eğici Davranışlar Ölçeği (BEDÖ) kullanılarak </w:t>
      </w:r>
      <w:proofErr w:type="spellStart"/>
      <w:r w:rsidRPr="00B77A40">
        <w:rPr>
          <w:rFonts w:ascii="Times New Roman" w:hAnsi="Times New Roman" w:cs="Times New Roman"/>
        </w:rPr>
        <w:t>Pearson</w:t>
      </w:r>
      <w:proofErr w:type="spellEnd"/>
      <w:r w:rsidRPr="00B77A40">
        <w:rPr>
          <w:rFonts w:ascii="Times New Roman" w:hAnsi="Times New Roman" w:cs="Times New Roman"/>
        </w:rPr>
        <w:t xml:space="preserve"> korelasyon analizi yapılmış, BEDÖ ve SKÖ arasında anlamlı düzeyde pozitif yönde bir korelasyon hesaplanmıştır </w:t>
      </w:r>
      <w:r w:rsidRPr="00B77A40">
        <w:rPr>
          <w:rFonts w:ascii="Times New Roman" w:hAnsi="Times New Roman" w:cs="Times New Roman"/>
          <w:color w:val="222222"/>
        </w:rPr>
        <w:t>(</w:t>
      </w:r>
      <w:r w:rsidRPr="00B77A40">
        <w:rPr>
          <w:rFonts w:ascii="Times New Roman" w:hAnsi="Times New Roman" w:cs="Times New Roman"/>
          <w:i/>
          <w:color w:val="222222"/>
        </w:rPr>
        <w:t>r</w:t>
      </w:r>
      <w:r w:rsidRPr="00B77A40">
        <w:rPr>
          <w:rFonts w:ascii="Times New Roman" w:hAnsi="Times New Roman" w:cs="Times New Roman"/>
          <w:color w:val="222222"/>
        </w:rPr>
        <w:t xml:space="preserve"> = 0,5, </w:t>
      </w:r>
      <w:r w:rsidRPr="00B77A40">
        <w:rPr>
          <w:rFonts w:ascii="Times New Roman" w:hAnsi="Times New Roman" w:cs="Times New Roman"/>
          <w:i/>
          <w:color w:val="222222"/>
        </w:rPr>
        <w:t>p</w:t>
      </w:r>
      <w:r w:rsidRPr="00B77A40">
        <w:rPr>
          <w:rFonts w:ascii="Times New Roman" w:hAnsi="Times New Roman" w:cs="Times New Roman"/>
          <w:color w:val="222222"/>
        </w:rPr>
        <w:t xml:space="preserve"> </w:t>
      </w:r>
      <w:proofErr w:type="gramStart"/>
      <w:r w:rsidRPr="00B77A40">
        <w:rPr>
          <w:rFonts w:ascii="Times New Roman" w:hAnsi="Times New Roman" w:cs="Times New Roman"/>
          <w:color w:val="222222"/>
        </w:rPr>
        <w:t>&lt; 0</w:t>
      </w:r>
      <w:proofErr w:type="gramEnd"/>
      <w:r w:rsidRPr="00B77A40">
        <w:rPr>
          <w:rFonts w:ascii="Times New Roman" w:hAnsi="Times New Roman" w:cs="Times New Roman"/>
          <w:color w:val="222222"/>
        </w:rPr>
        <w:t>,01).</w:t>
      </w:r>
      <w:r w:rsidRPr="00B77A40">
        <w:rPr>
          <w:rFonts w:ascii="Times New Roman" w:hAnsi="Times New Roman" w:cs="Times New Roman"/>
        </w:rPr>
        <w:t xml:space="preserve"> Ölçeğin iç tutarlık anlamında güvenirlik katsayısını ortaya koymak amacıyla Cronbach Alfa ve McDonald Omega kat sayıları kestirilmiş ve ilgili katsayılar 0,83 olarak hesaplanmıştır. Güvenirlik analizi sonuçlarının ölçeğin iç tutarlık anlamında güvenirliği için istenen aralıkta olduğu gözlenmiştir. Sonuç olarak, çalışmanın bulguları </w:t>
      </w:r>
      <w:proofErr w:type="spellStart"/>
      <w:r w:rsidRPr="00B77A40">
        <w:rPr>
          <w:rFonts w:ascii="Times New Roman" w:hAnsi="Times New Roman" w:cs="Times New Roman"/>
        </w:rPr>
        <w:t>SKÖ’nün</w:t>
      </w:r>
      <w:proofErr w:type="spellEnd"/>
      <w:r w:rsidRPr="00B77A40">
        <w:rPr>
          <w:rFonts w:ascii="Times New Roman" w:hAnsi="Times New Roman" w:cs="Times New Roman"/>
        </w:rPr>
        <w:t xml:space="preserve"> Türk kültüründe kul</w:t>
      </w:r>
      <w:r>
        <w:rPr>
          <w:rFonts w:ascii="Times New Roman" w:hAnsi="Times New Roman" w:cs="Times New Roman"/>
        </w:rPr>
        <w:t>lanılabileceğini göstermektedir.</w:t>
      </w:r>
    </w:p>
    <w:p w14:paraId="5A8F9E65" w14:textId="77777777" w:rsidR="00E3302B" w:rsidRDefault="00E3302B" w:rsidP="00E3302B">
      <w:pPr>
        <w:pStyle w:val="Standard"/>
        <w:jc w:val="both"/>
        <w:rPr>
          <w:rFonts w:ascii="Times New Roman" w:hAnsi="Times New Roman" w:cs="Times New Roman"/>
          <w:b/>
          <w:bCs/>
        </w:rPr>
      </w:pPr>
    </w:p>
    <w:p w14:paraId="52BC7AE2" w14:textId="77777777" w:rsidR="00E3302B" w:rsidRPr="00B77A40" w:rsidRDefault="00E3302B" w:rsidP="00E3302B">
      <w:pPr>
        <w:pStyle w:val="Standard"/>
        <w:jc w:val="both"/>
        <w:rPr>
          <w:rFonts w:ascii="Times New Roman" w:hAnsi="Times New Roman" w:cs="Times New Roman"/>
        </w:rPr>
      </w:pPr>
      <w:r w:rsidRPr="00DE7662">
        <w:rPr>
          <w:rFonts w:ascii="Times New Roman" w:hAnsi="Times New Roman" w:cs="Times New Roman"/>
          <w:b/>
          <w:bCs/>
        </w:rPr>
        <w:t>Anahtar Sözcükler:</w:t>
      </w:r>
      <w:r>
        <w:rPr>
          <w:rFonts w:ascii="Times New Roman" w:hAnsi="Times New Roman" w:cs="Times New Roman"/>
        </w:rPr>
        <w:t xml:space="preserve"> </w:t>
      </w:r>
      <w:r w:rsidRPr="00B77A40">
        <w:rPr>
          <w:rFonts w:ascii="Times New Roman" w:hAnsi="Times New Roman" w:cs="Times New Roman"/>
        </w:rPr>
        <w:t xml:space="preserve">Sınır koruma ölçeği, güvenirlik, geçerlik, ölçek uyarlama </w:t>
      </w:r>
    </w:p>
    <w:p w14:paraId="23C3030D" w14:textId="77777777" w:rsidR="00E3302B" w:rsidRDefault="00E3302B" w:rsidP="00E3302B">
      <w:pPr>
        <w:jc w:val="both"/>
        <w:rPr>
          <w:b/>
          <w:bCs/>
        </w:rPr>
      </w:pPr>
    </w:p>
    <w:p w14:paraId="0B58C020" w14:textId="77777777" w:rsidR="00E3302B" w:rsidRDefault="00E3302B" w:rsidP="00E3302B">
      <w:pPr>
        <w:jc w:val="both"/>
        <w:rPr>
          <w:b/>
          <w:bCs/>
        </w:rPr>
      </w:pPr>
    </w:p>
    <w:p w14:paraId="66CF3A27" w14:textId="77777777" w:rsidR="00E3302B" w:rsidRPr="003A1C12" w:rsidRDefault="00E3302B" w:rsidP="00E3302B">
      <w:pPr>
        <w:jc w:val="both"/>
      </w:pPr>
      <w:r w:rsidRPr="008E2967">
        <w:rPr>
          <w:b/>
          <w:bCs/>
        </w:rPr>
        <w:t>Sınır Koruma Ölçeği Kısa Formunun Türk Kültürüne Uyarlanması: Geçerlik ve Güvenirlik Çalışması</w:t>
      </w:r>
    </w:p>
    <w:p w14:paraId="36F6E2A7" w14:textId="1ED27B40" w:rsidR="00E3302B" w:rsidRPr="008E2967" w:rsidRDefault="00E3302B" w:rsidP="00E3302B">
      <w:pPr>
        <w:jc w:val="both"/>
        <w:rPr>
          <w:b/>
          <w:bCs/>
        </w:rPr>
      </w:pPr>
      <w:r w:rsidRPr="008E2967">
        <w:t>Dünya üzerinde evler, şehirler ve ülkeler sınırlarla birbirinden ayrılır ve her birim kendi sınırları içindeki düzenden sorumludur. Benzer şekilde, bir bireyin nerede bittiği ve başkalarının nerede başladığı kişisel sınırlar kavramıyla belirlenir (Gülüm, 2020). Bu sınırların içinde bireylerin kendi duygu, düşünce, inanç, değerler, istek ve ihtiyaçları gibi kendi sorumluluklarında ve üzerinde kontrol sahibi olduğu temel ögeler yer almaktadır (</w:t>
      </w:r>
      <w:proofErr w:type="spellStart"/>
      <w:r w:rsidRPr="008E2967">
        <w:t>Townsend</w:t>
      </w:r>
      <w:proofErr w:type="spellEnd"/>
      <w:r w:rsidRPr="008E2967">
        <w:t xml:space="preserve"> &amp; Cloud, 1992/2022).</w:t>
      </w:r>
      <w:r w:rsidR="0079785E">
        <w:t xml:space="preserve"> </w:t>
      </w:r>
      <w:r w:rsidRPr="008E2967">
        <w:t xml:space="preserve">Özetle, sınırlar içerisinde bireyin kim olduğunu belirleyen unsurları barındırmaktadır. </w:t>
      </w:r>
    </w:p>
    <w:p w14:paraId="3861FD81" w14:textId="77777777" w:rsidR="00E3302B" w:rsidRDefault="00E3302B" w:rsidP="00E3302B">
      <w:pPr>
        <w:jc w:val="both"/>
      </w:pPr>
      <w:r w:rsidRPr="008E2967">
        <w:t xml:space="preserve">Kişisel sınırlar, diğerlerinden net bir şekilde ayırmakla beraber diğerlerini dışlamak anlamına gelmemektedir. Sağlıklı sınırlar, diğerleriyle etkileşimi korurken bireyin kendi olmayı </w:t>
      </w:r>
      <w:r w:rsidRPr="008E2967">
        <w:lastRenderedPageBreak/>
        <w:t xml:space="preserve">sürdürebilmesini ifade eder (Gülüm, 2020). Örneğin, gelecekteki meslek seçimi bireyin kendi kararına bağlıyken bu süreçte birey diğerlerinin fikrini alabilir. </w:t>
      </w:r>
    </w:p>
    <w:p w14:paraId="20462F9D" w14:textId="77777777" w:rsidR="0079785E" w:rsidRPr="008E2967" w:rsidRDefault="0079785E" w:rsidP="00E3302B">
      <w:pPr>
        <w:jc w:val="both"/>
      </w:pPr>
    </w:p>
    <w:p w14:paraId="224719BA" w14:textId="77777777" w:rsidR="00E3302B" w:rsidRDefault="00E3302B" w:rsidP="00E3302B">
      <w:pPr>
        <w:jc w:val="both"/>
      </w:pPr>
      <w:r w:rsidRPr="008E2967">
        <w:t>Sınırlar, bireyin sorumlu olmadığı durumları da belirler (</w:t>
      </w:r>
      <w:proofErr w:type="spellStart"/>
      <w:r w:rsidRPr="008E2967">
        <w:t>Moiseeva</w:t>
      </w:r>
      <w:proofErr w:type="spellEnd"/>
      <w:r w:rsidRPr="008E2967">
        <w:t xml:space="preserve"> ve ark., 2020). Bireyin kendini tanımlayan ve kendi sorumluluğunda olan tüm durumlar, kısaca sınırlar, başka bir birey tarafından kontrol edilmek istenebilir. Sınır ihlali olarak adlandırılan bu durum, ihlal edilen taraf için sınırlarını korumayı gerektirir (</w:t>
      </w:r>
      <w:proofErr w:type="spellStart"/>
      <w:r w:rsidRPr="008E2967">
        <w:t>Townsend</w:t>
      </w:r>
      <w:proofErr w:type="spellEnd"/>
      <w:r w:rsidRPr="008E2967">
        <w:t xml:space="preserve"> &amp; Cloud, 1992/2022). Kişisel sınırları koruma, uygun yer ve koşullarda reddetme ve direnme tepkilerini gerektirir ve hayır diyebilme becerisi ile desteklenir (Çelik &amp; Eryılmaz, 2020). </w:t>
      </w:r>
    </w:p>
    <w:p w14:paraId="11CA3FB8" w14:textId="77777777" w:rsidR="0079785E" w:rsidRPr="008E2967" w:rsidRDefault="0079785E" w:rsidP="00E3302B">
      <w:pPr>
        <w:jc w:val="both"/>
      </w:pPr>
    </w:p>
    <w:p w14:paraId="1CB2C293" w14:textId="77777777" w:rsidR="00E3302B" w:rsidRDefault="00E3302B" w:rsidP="00E3302B">
      <w:pPr>
        <w:jc w:val="both"/>
      </w:pPr>
      <w:r w:rsidRPr="008E2967">
        <w:t>Hayır diyebilme becerisi atılganlık hakları içerisinde ve atılgan davranışın özellikleri arasında yer almıştır (Lazarus, 1973). İnsan olmanın temel özelliklerinden olmasına rağmen herkes bu beceriyi sağlıklı bir şekilde kullanamamaktadır (Bozkurt, 2020).  Çeşitli durumlar, bireyin hayır diyebilmesini etkileyebilir (Albayrak ve ark., 2023).  Sosyal anksiyete, diğerleri tarafından olumsuz değerlendirilme korkusudur ve hayır demeye engel oluşturabilir (Çelik &amp; Eryılmaz, 2020). Diğerlerinin gözünde “bencil” konumuna düşmekten endişelenmek (Gülüm, 2020) ya da diğerlerinden onay almak ve onlar tarafından sevilmek (</w:t>
      </w:r>
      <w:proofErr w:type="spellStart"/>
      <w:r w:rsidRPr="008E2967">
        <w:t>Townsend</w:t>
      </w:r>
      <w:proofErr w:type="spellEnd"/>
      <w:r w:rsidRPr="008E2967">
        <w:t xml:space="preserve"> &amp; Cloud, 1992/2022) gibi düşünceler hayır demeyi zorlaştırabilir. Sınır kavramı, doğası gereği kişinin sorumluk sahibi olmadığı durumları da temsil ettiği için bireylerin sorumluluk sahibi olmadığı durumlar üzerinde sorumlu hissetmesi de hayır demeyi güçleştirir (</w:t>
      </w:r>
      <w:proofErr w:type="spellStart"/>
      <w:r w:rsidRPr="008E2967">
        <w:t>Townsend</w:t>
      </w:r>
      <w:proofErr w:type="spellEnd"/>
      <w:r w:rsidRPr="008E2967">
        <w:t xml:space="preserve"> &amp; Cloud, 1992/2022). Diğerlerini “kırmamak”, “üzmemek</w:t>
      </w:r>
      <w:proofErr w:type="gramStart"/>
      <w:r w:rsidRPr="008E2967">
        <w:t>” ,</w:t>
      </w:r>
      <w:proofErr w:type="gramEnd"/>
      <w:r w:rsidRPr="008E2967">
        <w:t xml:space="preserve"> “incitmemek” veya “hayal kırıklığına uğratmamak”  niyetiyle kişi kendi sınırlarından ödün vererek hayır dememeyi seçebilir (</w:t>
      </w:r>
      <w:proofErr w:type="spellStart"/>
      <w:r w:rsidRPr="008E2967">
        <w:t>Haddou</w:t>
      </w:r>
      <w:proofErr w:type="spellEnd"/>
      <w:r w:rsidRPr="008E2967">
        <w:t>, 2018). Diğerlerinin ne düşündüğüne yönelik kaygıyı kontrol edebilmenin hayır demeyi kolaylaştırdığı düşünülmektedir (Çelik &amp; Eryılmaz, 2020). Ailesi tarafından “</w:t>
      </w:r>
      <w:proofErr w:type="gramStart"/>
      <w:r w:rsidRPr="008E2967">
        <w:t>itaatkar</w:t>
      </w:r>
      <w:proofErr w:type="gramEnd"/>
      <w:r w:rsidRPr="008E2967">
        <w:t xml:space="preserve">” olarak yetiştirilen bireylerin düşük öz güvene sahip olduğu, hayır demeyi öğrenemediği ve hayır demekte zorlandığı bilinmektedir (Gülüm, 2020).  Yücesan ve Ayaz Alkaya (2018) düşük öz güvene ve benlik değerine sahip çekingen ergenlerin, kendilerini göstermek ve kanıtlamak için olumsuz tekliflere hayır demeyip onları kabul edebildiklerini belirtmiştir. </w:t>
      </w:r>
    </w:p>
    <w:p w14:paraId="3FB17AD4" w14:textId="77777777" w:rsidR="0079785E" w:rsidRPr="008E2967" w:rsidRDefault="0079785E" w:rsidP="00E3302B">
      <w:pPr>
        <w:jc w:val="both"/>
      </w:pPr>
    </w:p>
    <w:p w14:paraId="10DF3841" w14:textId="77777777" w:rsidR="00E3302B" w:rsidRDefault="00E3302B" w:rsidP="00E3302B">
      <w:pPr>
        <w:jc w:val="both"/>
      </w:pPr>
      <w:r w:rsidRPr="008E2967">
        <w:t xml:space="preserve">Literatürde sınır koruma ve hayır deme becerisi üzerine olan çalışmalar genellikle çocuklar ve ergenler kapsamında yapılmıştır (Bozkurt, 2020; Çelik &amp; Eryılmaz, 2020; Yılmaz &amp; Sezer, 2018; Yücesan &amp; Ayaz Alkaya, 2018).  Türkçe literatürde Yılmaz ve Sezer (2018) tarafından çocuklar için </w:t>
      </w:r>
      <w:proofErr w:type="spellStart"/>
      <w:proofErr w:type="gramStart"/>
      <w:r w:rsidRPr="008E2967">
        <w:t>geliştirilen“</w:t>
      </w:r>
      <w:proofErr w:type="gramEnd"/>
      <w:r w:rsidRPr="008E2967">
        <w:t>Çocuklar</w:t>
      </w:r>
      <w:proofErr w:type="spellEnd"/>
      <w:r w:rsidRPr="008E2967">
        <w:t xml:space="preserve"> İçin Hayır Diyebilme Becerisi Ölçeği” alandaki tek ölçektir. </w:t>
      </w:r>
    </w:p>
    <w:p w14:paraId="32FC772E" w14:textId="77777777" w:rsidR="0079785E" w:rsidRPr="008E2967" w:rsidRDefault="0079785E" w:rsidP="00E3302B">
      <w:pPr>
        <w:jc w:val="both"/>
      </w:pPr>
    </w:p>
    <w:p w14:paraId="5E7DC797" w14:textId="77777777" w:rsidR="00E3302B" w:rsidRDefault="00E3302B" w:rsidP="00E3302B">
      <w:pPr>
        <w:jc w:val="both"/>
      </w:pPr>
      <w:r w:rsidRPr="008E2967">
        <w:t xml:space="preserve">Çocuklar ve ergenlere göre, yetişkinler için sınır koyma ya da koruma becerisini ölçmeyi amaçlayan çok daha sınırlı sayıda çalışma bulunmaktadır. Kişisel sınırları ele alan ilk araştırmacılardan </w:t>
      </w:r>
      <w:proofErr w:type="spellStart"/>
      <w:r w:rsidRPr="008E2967">
        <w:t>Hortman</w:t>
      </w:r>
      <w:proofErr w:type="spellEnd"/>
      <w:r w:rsidRPr="008E2967">
        <w:t xml:space="preserve"> (1991), sınır kavramını sosyal ilişkilerde karşılaşılan durumları ifade etmekten çok kişinin diğerlerine karşı koyduğu </w:t>
      </w:r>
      <w:proofErr w:type="gramStart"/>
      <w:r w:rsidRPr="008E2967">
        <w:t>kognitif</w:t>
      </w:r>
      <w:proofErr w:type="gramEnd"/>
      <w:r w:rsidRPr="008E2967">
        <w:t xml:space="preserve"> sınırları ifade eden bir kavram olarak değerlendirmiştir (</w:t>
      </w:r>
      <w:proofErr w:type="spellStart"/>
      <w:r w:rsidRPr="008E2967">
        <w:t>Zborowski</w:t>
      </w:r>
      <w:proofErr w:type="spellEnd"/>
      <w:r w:rsidRPr="008E2967">
        <w:t xml:space="preserve"> ve ark, 2003). Bu tanım kapsamında geliştirilen 132 maddelik “</w:t>
      </w:r>
      <w:proofErr w:type="spellStart"/>
      <w:r w:rsidRPr="008E2967">
        <w:t>Boundary</w:t>
      </w:r>
      <w:proofErr w:type="spellEnd"/>
      <w:r w:rsidRPr="008E2967">
        <w:t xml:space="preserve"> </w:t>
      </w:r>
      <w:proofErr w:type="spellStart"/>
      <w:r w:rsidRPr="008E2967">
        <w:t>Questionnarrie</w:t>
      </w:r>
      <w:proofErr w:type="spellEnd"/>
      <w:r w:rsidRPr="008E2967">
        <w:t xml:space="preserve">” (BQ; </w:t>
      </w:r>
      <w:proofErr w:type="spellStart"/>
      <w:r w:rsidRPr="008E2967">
        <w:t>Hartmann</w:t>
      </w:r>
      <w:proofErr w:type="spellEnd"/>
      <w:r w:rsidRPr="008E2967">
        <w:t xml:space="preserve">, 1991 </w:t>
      </w:r>
      <w:proofErr w:type="spellStart"/>
      <w:r w:rsidRPr="008E2967">
        <w:t>akt</w:t>
      </w:r>
      <w:proofErr w:type="spellEnd"/>
      <w:proofErr w:type="gramStart"/>
      <w:r w:rsidRPr="008E2967">
        <w:t xml:space="preserve">.,  </w:t>
      </w:r>
      <w:proofErr w:type="spellStart"/>
      <w:r w:rsidRPr="008E2967">
        <w:t>Blaser</w:t>
      </w:r>
      <w:proofErr w:type="spellEnd"/>
      <w:proofErr w:type="gramEnd"/>
      <w:r w:rsidRPr="008E2967">
        <w:t xml:space="preserve"> ve ark., 2014) konusu bakımından ilk ölçek sayılmaktadır.  Sınır kavramını kişiler arası ilişkiler bağlamında ve hayır deme becerisi üzerinden ele alan ilk ölçek çalışması olan “Sınır Koruma Ölçeği” (</w:t>
      </w:r>
      <w:proofErr w:type="spellStart"/>
      <w:r w:rsidRPr="008E2967">
        <w:t>Boundary</w:t>
      </w:r>
      <w:proofErr w:type="spellEnd"/>
      <w:r w:rsidRPr="008E2967">
        <w:t xml:space="preserve"> </w:t>
      </w:r>
      <w:proofErr w:type="spellStart"/>
      <w:r w:rsidRPr="008E2967">
        <w:t>Protection</w:t>
      </w:r>
      <w:proofErr w:type="spellEnd"/>
      <w:r w:rsidRPr="008E2967">
        <w:t xml:space="preserve"> </w:t>
      </w:r>
      <w:proofErr w:type="spellStart"/>
      <w:r w:rsidRPr="008E2967">
        <w:t>Scale</w:t>
      </w:r>
      <w:proofErr w:type="spellEnd"/>
      <w:r w:rsidRPr="008E2967">
        <w:t xml:space="preserve">; BPS) </w:t>
      </w:r>
      <w:proofErr w:type="spellStart"/>
      <w:r w:rsidRPr="008E2967">
        <w:t>Blaser</w:t>
      </w:r>
      <w:proofErr w:type="spellEnd"/>
      <w:r w:rsidRPr="008E2967">
        <w:t xml:space="preserve"> ve arkadaşları tarafından 2008 yılında geliştirilmiş, sonrasında ölçeğin kısa versiyonu da literatüre eklenmiştir (</w:t>
      </w:r>
      <w:proofErr w:type="spellStart"/>
      <w:r w:rsidRPr="008E2967">
        <w:t>Blaser</w:t>
      </w:r>
      <w:proofErr w:type="spellEnd"/>
      <w:r w:rsidRPr="008E2967">
        <w:t xml:space="preserve"> ve ark., 2014). Türkçe literatürde ise sınır koyma ya da koruma üzerine yetişkinlerle gerçekleştirilen bir çalışma bulunmamakla birlikte bu kapsamda geliştirilen bir ölçek çalışması da mevcut değildir.  </w:t>
      </w:r>
    </w:p>
    <w:p w14:paraId="40A54279" w14:textId="77777777" w:rsidR="0079785E" w:rsidRPr="008E2967" w:rsidRDefault="0079785E" w:rsidP="00E3302B">
      <w:pPr>
        <w:jc w:val="both"/>
      </w:pPr>
    </w:p>
    <w:p w14:paraId="1A5ECB9E" w14:textId="77777777" w:rsidR="00E3302B" w:rsidRDefault="00E3302B" w:rsidP="00E3302B">
      <w:pPr>
        <w:jc w:val="both"/>
      </w:pPr>
      <w:r w:rsidRPr="008E2967">
        <w:lastRenderedPageBreak/>
        <w:t xml:space="preserve">Bu bilgiler ışığında bu çalışmanın amacı yetişkinlere yönelik sınır koruma ve hayır deme becerisini ölçmek için geliştirilen Sınır Koruma Ölçeği Kısa </w:t>
      </w:r>
      <w:proofErr w:type="spellStart"/>
      <w:r w:rsidRPr="008E2967">
        <w:t>Versiyonu’nu</w:t>
      </w:r>
      <w:proofErr w:type="spellEnd"/>
      <w:r w:rsidRPr="008E2967">
        <w:t xml:space="preserve"> (BPS-14; </w:t>
      </w:r>
      <w:proofErr w:type="spellStart"/>
      <w:r w:rsidRPr="008E2967">
        <w:t>Boundary</w:t>
      </w:r>
      <w:proofErr w:type="spellEnd"/>
      <w:r w:rsidRPr="008E2967">
        <w:t xml:space="preserve"> </w:t>
      </w:r>
      <w:proofErr w:type="spellStart"/>
      <w:r w:rsidRPr="008E2967">
        <w:t>Protection</w:t>
      </w:r>
      <w:proofErr w:type="spellEnd"/>
      <w:r w:rsidRPr="008E2967">
        <w:t xml:space="preserve"> </w:t>
      </w:r>
      <w:proofErr w:type="spellStart"/>
      <w:r w:rsidRPr="008E2967">
        <w:t>Scale</w:t>
      </w:r>
      <w:proofErr w:type="spellEnd"/>
      <w:r w:rsidRPr="008E2967">
        <w:t xml:space="preserve">, </w:t>
      </w:r>
      <w:proofErr w:type="spellStart"/>
      <w:r w:rsidRPr="008E2967">
        <w:t>Blaser</w:t>
      </w:r>
      <w:proofErr w:type="spellEnd"/>
      <w:r w:rsidRPr="008E2967">
        <w:t>, 2014</w:t>
      </w:r>
      <w:proofErr w:type="gramStart"/>
      <w:r w:rsidRPr="008E2967">
        <w:t>)  Türk</w:t>
      </w:r>
      <w:proofErr w:type="gramEnd"/>
      <w:r w:rsidRPr="008E2967">
        <w:t xml:space="preserve"> kültürüne uyarlamak, ölçeğin geçerlik ve güvenirlik çalışmalarını gerçekleştirmektir. </w:t>
      </w:r>
    </w:p>
    <w:p w14:paraId="7F548F92" w14:textId="77777777" w:rsidR="00D37D80" w:rsidRPr="008E2967" w:rsidRDefault="00D37D80" w:rsidP="00E3302B">
      <w:pPr>
        <w:jc w:val="both"/>
      </w:pPr>
    </w:p>
    <w:p w14:paraId="41B6251F" w14:textId="77777777" w:rsidR="00E3302B" w:rsidRPr="008E2967" w:rsidRDefault="00E3302B" w:rsidP="00E3302B">
      <w:pPr>
        <w:jc w:val="both"/>
        <w:rPr>
          <w:b/>
          <w:bCs/>
        </w:rPr>
      </w:pPr>
      <w:r w:rsidRPr="008E2967">
        <w:rPr>
          <w:b/>
          <w:bCs/>
        </w:rPr>
        <w:t>YÖNTEM</w:t>
      </w:r>
    </w:p>
    <w:p w14:paraId="03BADCFF" w14:textId="77777777" w:rsidR="00E3302B" w:rsidRPr="008E2967" w:rsidRDefault="00E3302B" w:rsidP="00E3302B">
      <w:pPr>
        <w:jc w:val="both"/>
        <w:rPr>
          <w:b/>
          <w:bCs/>
        </w:rPr>
      </w:pPr>
      <w:r>
        <w:rPr>
          <w:b/>
          <w:bCs/>
        </w:rPr>
        <w:t xml:space="preserve">1.1 </w:t>
      </w:r>
      <w:r w:rsidRPr="008E2967">
        <w:rPr>
          <w:b/>
          <w:bCs/>
        </w:rPr>
        <w:t>Çalışma Grubu</w:t>
      </w:r>
    </w:p>
    <w:p w14:paraId="32BCE819" w14:textId="77777777" w:rsidR="00E3302B" w:rsidRDefault="00E3302B" w:rsidP="00E3302B">
      <w:pPr>
        <w:jc w:val="both"/>
      </w:pPr>
      <w:r w:rsidRPr="008E2967">
        <w:t>Literatürde ölçek geliştirme ve uyarlama çalışmaları için tavsiye edilen katılımcı sayısı, ölçekteki madde sayısının en az 10 katı olması şeklindedir (Güngör, 2016). Bu çalışma, 18 yaş ve üzeri 241 bireyden veri toplanarak gerçekleştirilmiştir. Bireylere çevrim içi platformlar aracılığıyla kartopu yöntemi kullanılarak ulaşılmıştır. Katılımcıların %75,5’ i kadın (</w:t>
      </w:r>
      <w:r w:rsidRPr="008E2967">
        <w:rPr>
          <w:i/>
        </w:rPr>
        <w:t xml:space="preserve">n = </w:t>
      </w:r>
      <w:r w:rsidRPr="008E2967">
        <w:t>182), %24,5’i erkektir (</w:t>
      </w:r>
      <w:r w:rsidRPr="008E2967">
        <w:rPr>
          <w:i/>
        </w:rPr>
        <w:t xml:space="preserve">n </w:t>
      </w:r>
      <w:r w:rsidRPr="008E2967">
        <w:t xml:space="preserve">= 59). Eğitim seviyeleri incelendiğinde çoğunluğunun </w:t>
      </w:r>
      <w:proofErr w:type="gramStart"/>
      <w:r w:rsidRPr="008E2967">
        <w:t>( %</w:t>
      </w:r>
      <w:proofErr w:type="gramEnd"/>
      <w:r w:rsidRPr="008E2967">
        <w:t xml:space="preserve">43,6, </w:t>
      </w:r>
      <w:r w:rsidRPr="008E2967">
        <w:rPr>
          <w:i/>
        </w:rPr>
        <w:t xml:space="preserve">n </w:t>
      </w:r>
      <w:r w:rsidRPr="008E2967">
        <w:t xml:space="preserve">= 105)  lisans ve diğer eğitim durumlarına ilişkin dağılımın sırasıyla lise (%29,5, </w:t>
      </w:r>
      <w:r w:rsidRPr="008E2967">
        <w:rPr>
          <w:i/>
        </w:rPr>
        <w:t xml:space="preserve">n </w:t>
      </w:r>
      <w:r w:rsidRPr="008E2967">
        <w:t xml:space="preserve">= 71), lisansüstü (%10,8, </w:t>
      </w:r>
      <w:r w:rsidRPr="008E2967">
        <w:rPr>
          <w:i/>
        </w:rPr>
        <w:t xml:space="preserve">n </w:t>
      </w:r>
      <w:r w:rsidRPr="008E2967">
        <w:t xml:space="preserve">= 26), ön lisans (%10,8, </w:t>
      </w:r>
      <w:r w:rsidRPr="008E2967">
        <w:rPr>
          <w:i/>
        </w:rPr>
        <w:t xml:space="preserve">n </w:t>
      </w:r>
      <w:r w:rsidRPr="008E2967">
        <w:t xml:space="preserve">= 26) ve temel eğitim (%5,4, </w:t>
      </w:r>
      <w:r w:rsidRPr="008E2967">
        <w:rPr>
          <w:i/>
        </w:rPr>
        <w:t xml:space="preserve">n </w:t>
      </w:r>
      <w:r w:rsidRPr="008E2967">
        <w:t xml:space="preserve">= 13) olduğu gözlenmiştir. Katılımcıların daha önce psikoterapi sürecinden geçip geçmedikleri incelendiğinde ise çoğunluğun daha önce hiç psikoterapi almadığı (%75,9, </w:t>
      </w:r>
      <w:r w:rsidRPr="008E2967">
        <w:rPr>
          <w:i/>
        </w:rPr>
        <w:t xml:space="preserve">n </w:t>
      </w:r>
      <w:r w:rsidRPr="008E2967">
        <w:t xml:space="preserve">= 183), bunu 1-8 seans arası kısa süreli psikoterapi alanların takip ettiği (%15,7, </w:t>
      </w:r>
      <w:r w:rsidRPr="008E2967">
        <w:rPr>
          <w:i/>
        </w:rPr>
        <w:t xml:space="preserve">n </w:t>
      </w:r>
      <w:r w:rsidRPr="008E2967">
        <w:t xml:space="preserve">= 37) ve 8 seans ve üzeri uzun süreli psikoterapi alanların (%8,7, </w:t>
      </w:r>
      <w:r w:rsidRPr="008E2967">
        <w:rPr>
          <w:i/>
        </w:rPr>
        <w:t xml:space="preserve">n </w:t>
      </w:r>
      <w:r w:rsidRPr="008E2967">
        <w:t xml:space="preserve">= 21) en düşük orana sahip olduğu bulgulanmıştır. </w:t>
      </w:r>
    </w:p>
    <w:p w14:paraId="3A2DD692" w14:textId="77777777" w:rsidR="00D37D80" w:rsidRPr="008E2967" w:rsidRDefault="00D37D80" w:rsidP="00E3302B">
      <w:pPr>
        <w:jc w:val="both"/>
      </w:pPr>
    </w:p>
    <w:p w14:paraId="1420C92C" w14:textId="77777777" w:rsidR="00E3302B" w:rsidRPr="008E2967" w:rsidRDefault="00E3302B" w:rsidP="00E3302B">
      <w:pPr>
        <w:jc w:val="both"/>
        <w:rPr>
          <w:b/>
          <w:bCs/>
        </w:rPr>
      </w:pPr>
      <w:r>
        <w:rPr>
          <w:b/>
          <w:bCs/>
        </w:rPr>
        <w:t xml:space="preserve">1.2 </w:t>
      </w:r>
      <w:r w:rsidRPr="008E2967">
        <w:rPr>
          <w:b/>
          <w:bCs/>
        </w:rPr>
        <w:t>Veri Toplama Araçları</w:t>
      </w:r>
    </w:p>
    <w:p w14:paraId="48D25867" w14:textId="77777777" w:rsidR="00E3302B" w:rsidRPr="003A1C12" w:rsidRDefault="00E3302B" w:rsidP="00E3302B">
      <w:pPr>
        <w:jc w:val="both"/>
        <w:rPr>
          <w:b/>
          <w:bCs/>
        </w:rPr>
      </w:pPr>
      <w:r w:rsidRPr="003A1C12">
        <w:rPr>
          <w:b/>
          <w:bCs/>
        </w:rPr>
        <w:t>1.2.1 Demografik Bilgi Formu</w:t>
      </w:r>
    </w:p>
    <w:p w14:paraId="489642D5" w14:textId="77777777" w:rsidR="00E3302B" w:rsidRDefault="00E3302B" w:rsidP="00E3302B">
      <w:pPr>
        <w:jc w:val="both"/>
        <w:rPr>
          <w:bCs/>
        </w:rPr>
      </w:pPr>
      <w:r w:rsidRPr="008E2967">
        <w:rPr>
          <w:bCs/>
        </w:rPr>
        <w:t>Demografik bilgi formu, katılımcıların cinsiyet, eğitim düzeyi ve psikoterapi sürecinden geçip geçmedikleri hakkında bilgi edinmeyi amaçlayan araştırmacılar tarafından oluşturulmuş bir formdur.</w:t>
      </w:r>
    </w:p>
    <w:p w14:paraId="4AED9DBB" w14:textId="77777777" w:rsidR="00D37D80" w:rsidRPr="008E2967" w:rsidRDefault="00D37D80" w:rsidP="00E3302B">
      <w:pPr>
        <w:jc w:val="both"/>
        <w:rPr>
          <w:bCs/>
        </w:rPr>
      </w:pPr>
    </w:p>
    <w:p w14:paraId="478EAFEF" w14:textId="77777777" w:rsidR="00E3302B" w:rsidRPr="003A1C12" w:rsidRDefault="00E3302B" w:rsidP="00E3302B">
      <w:pPr>
        <w:jc w:val="both"/>
        <w:rPr>
          <w:b/>
          <w:bCs/>
          <w:iCs/>
        </w:rPr>
      </w:pPr>
      <w:r w:rsidRPr="003A1C12">
        <w:rPr>
          <w:b/>
          <w:bCs/>
          <w:iCs/>
        </w:rPr>
        <w:t>1.2.2 Sınır Koruma Ölçeği Türkçe Formu (SKÖ)</w:t>
      </w:r>
    </w:p>
    <w:p w14:paraId="48003366" w14:textId="77777777" w:rsidR="00E3302B" w:rsidRDefault="00E3302B" w:rsidP="00E3302B">
      <w:pPr>
        <w:jc w:val="both"/>
      </w:pPr>
      <w:r w:rsidRPr="008E2967">
        <w:t>Sınır Koruma Ölçeği (</w:t>
      </w:r>
      <w:proofErr w:type="spellStart"/>
      <w:r w:rsidRPr="008E2967">
        <w:t>Boundary</w:t>
      </w:r>
      <w:proofErr w:type="spellEnd"/>
      <w:r w:rsidRPr="008E2967">
        <w:t xml:space="preserve"> </w:t>
      </w:r>
      <w:proofErr w:type="spellStart"/>
      <w:r w:rsidRPr="008E2967">
        <w:t>Protection</w:t>
      </w:r>
      <w:proofErr w:type="spellEnd"/>
      <w:r w:rsidRPr="008E2967">
        <w:t xml:space="preserve"> Scale-14; BPS-14), </w:t>
      </w:r>
      <w:proofErr w:type="spellStart"/>
      <w:r w:rsidRPr="008E2967">
        <w:t>Blaser</w:t>
      </w:r>
      <w:proofErr w:type="spellEnd"/>
      <w:r w:rsidRPr="008E2967">
        <w:t xml:space="preserve"> ve arkadaşları tarafından 2014 yılında yetişkin bireylerin kişisel sınırlarını ne derecede koruyabildiklerini ölçmek amacıyla geliştirilmiştir. Ölçeğin 20 maddelik ilk formu sadece Almanca olarak geliştirilmiş, sonrasında bazı maddeler çıkarılarak 14 maddelik İngilizce kısa formu oluşturulmuştur. Sınır Koruma </w:t>
      </w:r>
      <w:proofErr w:type="gramStart"/>
      <w:r w:rsidRPr="008E2967">
        <w:t>Ölçeği ,</w:t>
      </w:r>
      <w:proofErr w:type="gramEnd"/>
      <w:r w:rsidRPr="008E2967">
        <w:t xml:space="preserve"> “sürdürülebilirlik (5 madde)” , “istenmeyen yükler (2 madde)” , “kendi durumunu koruyabilme (2 madde)”, “korunma (2 madde)” ve “sınırları sürdürebilme (2 madde)” olmak üzere 5 boyuttan oluşmaktadır. Ölçeğin puanlaması “</w:t>
      </w:r>
      <w:r w:rsidRPr="008E2967">
        <w:rPr>
          <w:i/>
        </w:rPr>
        <w:t>1 = Neredeyse hiçbir zaman</w:t>
      </w:r>
      <w:proofErr w:type="gramStart"/>
      <w:r w:rsidRPr="008E2967">
        <w:t>” ,</w:t>
      </w:r>
      <w:proofErr w:type="gramEnd"/>
      <w:r w:rsidRPr="008E2967">
        <w:t xml:space="preserve"> “</w:t>
      </w:r>
      <w:r w:rsidRPr="008E2967">
        <w:rPr>
          <w:i/>
        </w:rPr>
        <w:t>2 = Nadiren</w:t>
      </w:r>
      <w:r w:rsidRPr="008E2967">
        <w:t>”, “</w:t>
      </w:r>
      <w:r w:rsidRPr="008E2967">
        <w:rPr>
          <w:i/>
        </w:rPr>
        <w:t>3 = Ara Sıra</w:t>
      </w:r>
      <w:r w:rsidRPr="008E2967">
        <w:t>”, “</w:t>
      </w:r>
      <w:r w:rsidRPr="008E2967">
        <w:rPr>
          <w:i/>
        </w:rPr>
        <w:t>4 = Sıklıkla</w:t>
      </w:r>
      <w:r w:rsidRPr="008E2967">
        <w:t xml:space="preserve">” “5 = </w:t>
      </w:r>
      <w:r w:rsidRPr="008E2967">
        <w:rPr>
          <w:i/>
        </w:rPr>
        <w:t>Neredeyse her zaman</w:t>
      </w:r>
      <w:r w:rsidRPr="008E2967">
        <w:t xml:space="preserve">” olmak üzere 5’li </w:t>
      </w:r>
      <w:proofErr w:type="spellStart"/>
      <w:r w:rsidRPr="008E2967">
        <w:t>Likert</w:t>
      </w:r>
      <w:proofErr w:type="spellEnd"/>
      <w:r w:rsidRPr="008E2967">
        <w:t xml:space="preserve"> tipi ölçek kullanılarak yapılmaktadır. 6, 7, 8, ve 9. maddeler ters maddeler olarak oluşturulmuştur. Ölçekten alınan yüksek puan bireylerin kişisel sınırlarını koruma becerisinin zayıf olduğunu göstermektedir. Sınır Koruma Ölçeğinin kısa formu Cronbach Alfa iç tutarlılık katsayısı 0,79 olarak bulgulanmıştır (</w:t>
      </w:r>
      <w:proofErr w:type="spellStart"/>
      <w:r w:rsidRPr="008E2967">
        <w:t>Blaser</w:t>
      </w:r>
      <w:proofErr w:type="spellEnd"/>
      <w:r w:rsidRPr="008E2967">
        <w:t>, 2014).</w:t>
      </w:r>
    </w:p>
    <w:p w14:paraId="718AC396" w14:textId="77777777" w:rsidR="00D37D80" w:rsidRPr="008E2967" w:rsidRDefault="00D37D80" w:rsidP="00E3302B">
      <w:pPr>
        <w:jc w:val="both"/>
      </w:pPr>
    </w:p>
    <w:p w14:paraId="4AC0A626" w14:textId="77777777" w:rsidR="00E3302B" w:rsidRPr="003A1C12" w:rsidRDefault="00E3302B" w:rsidP="00E3302B">
      <w:pPr>
        <w:jc w:val="both"/>
      </w:pPr>
      <w:r w:rsidRPr="003A1C12">
        <w:rPr>
          <w:b/>
          <w:bCs/>
          <w:iCs/>
        </w:rPr>
        <w:t>1.2.3</w:t>
      </w:r>
      <w:r>
        <w:rPr>
          <w:b/>
          <w:bCs/>
          <w:i/>
          <w:iCs/>
        </w:rPr>
        <w:t xml:space="preserve">. </w:t>
      </w:r>
      <w:r w:rsidRPr="003A1C12">
        <w:rPr>
          <w:b/>
          <w:bCs/>
          <w:iCs/>
        </w:rPr>
        <w:t>Boyun Eğici Davranışlar Ölçeği (BEDÖ)</w:t>
      </w:r>
    </w:p>
    <w:p w14:paraId="5BB2CE54" w14:textId="77777777" w:rsidR="00E3302B" w:rsidRDefault="00E3302B" w:rsidP="00E3302B">
      <w:pPr>
        <w:jc w:val="both"/>
      </w:pPr>
      <w:r w:rsidRPr="008E2967">
        <w:t>Gilbert ve Allan tarafından 1994 yılında boyun eğici sosyal davranışları ölçmek amacıyla geliştirilmiş bir öz değerlendirme ölçeği olan Boyun Eğici Davranışlar Ölçeği, Türk kültürüne Savaşır ve Şahin (1997) tarafından uyarlanmıştır. Ölçek 16 maddeden ve “</w:t>
      </w:r>
      <w:r w:rsidRPr="008E2967">
        <w:rPr>
          <w:i/>
        </w:rPr>
        <w:t>1 = Hiç tanımlamıyor”, “2 = Biraz tanımlıyor”, “3 = Oldukça tanımlıyor</w:t>
      </w:r>
      <w:proofErr w:type="gramStart"/>
      <w:r w:rsidRPr="008E2967">
        <w:rPr>
          <w:i/>
        </w:rPr>
        <w:t>”,“</w:t>
      </w:r>
      <w:proofErr w:type="gramEnd"/>
      <w:r w:rsidRPr="008E2967">
        <w:rPr>
          <w:i/>
        </w:rPr>
        <w:t xml:space="preserve">4 = İyi tanımlıyor” </w:t>
      </w:r>
      <w:r w:rsidRPr="008E2967">
        <w:t xml:space="preserve">ve </w:t>
      </w:r>
      <w:r w:rsidRPr="008E2967">
        <w:rPr>
          <w:i/>
        </w:rPr>
        <w:t>“5 = Çok iyi tanımlıyor”</w:t>
      </w:r>
      <w:r w:rsidRPr="008E2967">
        <w:t xml:space="preserve"> şeklinde 5’li </w:t>
      </w:r>
      <w:proofErr w:type="spellStart"/>
      <w:r w:rsidRPr="008E2967">
        <w:t>Likert</w:t>
      </w:r>
      <w:proofErr w:type="spellEnd"/>
      <w:r w:rsidRPr="008E2967">
        <w:t xml:space="preserve"> tipi değerlendirmeden oluşmaktadır. Ölçekten en düşük 16, en yüksek 80 puan alınmakla beraber yüksek puanlar daha fazla boyun eğici davranışa işaret etmektedir. Ölçeğin Türkçe formu Cronbach Alfa iç tutarlık katsayısı 0,74, test-</w:t>
      </w:r>
      <w:r w:rsidRPr="008E2967">
        <w:lastRenderedPageBreak/>
        <w:t>tekrar test güvenirlik katsayısı 0,84 olarak hesaplanmıştır (Sayar, 2012). Geçerlik çalışmasında ölçeğin Beck Depresyon Envanteri ile korelasyonu 0,66 olarak bulgulanmıştır (Kızıldağ, 2009).</w:t>
      </w:r>
    </w:p>
    <w:p w14:paraId="4E8CDCCB" w14:textId="77777777" w:rsidR="00D37D80" w:rsidRPr="008E2967" w:rsidRDefault="00D37D80" w:rsidP="00E3302B">
      <w:pPr>
        <w:jc w:val="both"/>
      </w:pPr>
    </w:p>
    <w:p w14:paraId="75A25423" w14:textId="77777777" w:rsidR="00E3302B" w:rsidRPr="008E2967" w:rsidRDefault="00E3302B" w:rsidP="00E3302B">
      <w:pPr>
        <w:jc w:val="both"/>
        <w:rPr>
          <w:b/>
          <w:bCs/>
        </w:rPr>
      </w:pPr>
      <w:r>
        <w:rPr>
          <w:b/>
          <w:bCs/>
        </w:rPr>
        <w:t xml:space="preserve">1.3. </w:t>
      </w:r>
      <w:r w:rsidRPr="008E2967">
        <w:rPr>
          <w:b/>
          <w:bCs/>
        </w:rPr>
        <w:t>Verilerin Analizi</w:t>
      </w:r>
    </w:p>
    <w:p w14:paraId="6F82CAEF" w14:textId="77777777" w:rsidR="00E3302B" w:rsidRDefault="00E3302B" w:rsidP="00E3302B">
      <w:pPr>
        <w:jc w:val="both"/>
      </w:pPr>
      <w:r w:rsidRPr="008E2967">
        <w:t xml:space="preserve">Bu çalışmada elde edilen verilerin betimleyici istatistik analizleri SPSS programı aracılığıyla hesaplanmış, geçerlik ve güvenirlik analizleri </w:t>
      </w:r>
      <w:proofErr w:type="spellStart"/>
      <w:r w:rsidRPr="008E2967">
        <w:t>Rstudio</w:t>
      </w:r>
      <w:proofErr w:type="spellEnd"/>
      <w:r w:rsidRPr="008E2967">
        <w:t xml:space="preserve"> ve </w:t>
      </w:r>
      <w:proofErr w:type="spellStart"/>
      <w:r w:rsidRPr="008E2967">
        <w:t>Jamovi</w:t>
      </w:r>
      <w:proofErr w:type="spellEnd"/>
      <w:r w:rsidRPr="008E2967">
        <w:t xml:space="preserve"> programları kullanılarak Doğrulayıcı Faktör Analizi ile gerçekleştirilmiştir.</w:t>
      </w:r>
    </w:p>
    <w:p w14:paraId="37F27893" w14:textId="77777777" w:rsidR="00D37D80" w:rsidRPr="008E2967" w:rsidRDefault="00D37D80" w:rsidP="00E3302B">
      <w:pPr>
        <w:jc w:val="both"/>
      </w:pPr>
    </w:p>
    <w:p w14:paraId="07B01535" w14:textId="77777777" w:rsidR="00E3302B" w:rsidRPr="008E2967" w:rsidRDefault="00E3302B" w:rsidP="00E3302B">
      <w:pPr>
        <w:jc w:val="both"/>
        <w:rPr>
          <w:b/>
          <w:bCs/>
        </w:rPr>
      </w:pPr>
      <w:r>
        <w:rPr>
          <w:b/>
          <w:bCs/>
        </w:rPr>
        <w:t>1.4. İşlem</w:t>
      </w:r>
    </w:p>
    <w:p w14:paraId="092A58C4" w14:textId="77777777" w:rsidR="00E3302B" w:rsidRDefault="00E3302B" w:rsidP="00E3302B">
      <w:pPr>
        <w:jc w:val="both"/>
      </w:pPr>
      <w:r w:rsidRPr="008E2967">
        <w:t xml:space="preserve">Ölçek uyarlamanın ilk adımı olarak Sınır Koruma </w:t>
      </w:r>
      <w:proofErr w:type="spellStart"/>
      <w:r w:rsidRPr="008E2967">
        <w:t>Ölçeği’ni</w:t>
      </w:r>
      <w:proofErr w:type="spellEnd"/>
      <w:r w:rsidRPr="008E2967">
        <w:t xml:space="preserve"> geliştirenlerden ilgili ölçeğin Türk kültürüne uyarlanması için izin alınmıştır. Alınan izne dayalı olarak artalanı psikoloji olup İngilizce ve Türkçe dilleri </w:t>
      </w:r>
      <w:proofErr w:type="gramStart"/>
      <w:r w:rsidRPr="008E2967">
        <w:t>ile birlikte</w:t>
      </w:r>
      <w:proofErr w:type="gramEnd"/>
      <w:r w:rsidRPr="008E2967">
        <w:t xml:space="preserve"> İngiliz ve Türk kültürlerine eşit düzeyde aşina olduğu varsayılan uzmanlar tarafından ölçeğin İngilizceden Türkçeye çevirisi “ileriye doğru çeviri yaklaşımı” benimsenerek yapılmıştır. Daha sonra ölçeğin Türkçe ilk taslak formu uzman görüşüne sunulmuş ve maddelerin karşılaştırılabilirliği bağlamında iki dil uzmanından; maddelerin psikometrik özelliklerine ilişkin bir ölçme ve değerlendirme uzmanından ve son olarak psikoloji alanında çalışan bir uzmandan görüş alınmıştır. Alınan görüşler doğrultusunda düzenlemeler yapılarak ölçeğin Türkçe formu uygulanabilir hale getirilmiştir.</w:t>
      </w:r>
    </w:p>
    <w:p w14:paraId="10C1BDEE" w14:textId="77777777" w:rsidR="0079785E" w:rsidRPr="008E2967" w:rsidRDefault="0079785E" w:rsidP="00E3302B">
      <w:pPr>
        <w:jc w:val="both"/>
      </w:pPr>
    </w:p>
    <w:p w14:paraId="389C07C2" w14:textId="77777777" w:rsidR="00E3302B" w:rsidRDefault="00E3302B" w:rsidP="00E3302B">
      <w:pPr>
        <w:jc w:val="both"/>
      </w:pPr>
      <w:r w:rsidRPr="008E2967">
        <w:t xml:space="preserve">Demografik Bilgi Formu, Sınır Koruma Ölçeği ve Boyun Eğici Davranışlar Ölçeği, Google Formlar üzerinden 18 yaş ve üzeri 241 katılımcıya uygulanmıştır. Ölçeğin yapı geçerliğini sınamak amacıyla doğrulayıcı faktör analizi kullanılmış, yakınsak geçerlik analizi ise BEDÖ ile arasındaki korelasyon </w:t>
      </w:r>
      <w:proofErr w:type="spellStart"/>
      <w:r w:rsidRPr="008E2967">
        <w:t>Pearson</w:t>
      </w:r>
      <w:proofErr w:type="spellEnd"/>
      <w:r w:rsidRPr="008E2967">
        <w:t xml:space="preserve"> korelasyon katsayısı hesaplanarak gerçekleştirilmiştir. Güvenirliğini sınamak için Cronbach Alfa iç tutarlık ve McDonald Omega katsayıları hesaplanmıştır. Analizler SPSS, </w:t>
      </w:r>
      <w:proofErr w:type="spellStart"/>
      <w:r w:rsidRPr="008E2967">
        <w:t>Rstudio</w:t>
      </w:r>
      <w:proofErr w:type="spellEnd"/>
      <w:r w:rsidRPr="008E2967">
        <w:t xml:space="preserve"> ve </w:t>
      </w:r>
      <w:proofErr w:type="spellStart"/>
      <w:r w:rsidRPr="008E2967">
        <w:t>Jamovi</w:t>
      </w:r>
      <w:proofErr w:type="spellEnd"/>
      <w:r w:rsidRPr="008E2967">
        <w:t xml:space="preserve"> programları üzerinden gerçekleştirilmiştir.</w:t>
      </w:r>
    </w:p>
    <w:p w14:paraId="1BA756A1" w14:textId="77777777" w:rsidR="00D37D80" w:rsidRPr="008E2967" w:rsidRDefault="00D37D80" w:rsidP="00E3302B">
      <w:pPr>
        <w:jc w:val="both"/>
      </w:pPr>
    </w:p>
    <w:p w14:paraId="54E26BED" w14:textId="77777777" w:rsidR="00E3302B" w:rsidRPr="008E2967" w:rsidRDefault="00E3302B" w:rsidP="00E3302B">
      <w:pPr>
        <w:jc w:val="both"/>
        <w:rPr>
          <w:b/>
          <w:bCs/>
        </w:rPr>
      </w:pPr>
      <w:r w:rsidRPr="008E2967">
        <w:rPr>
          <w:b/>
          <w:bCs/>
        </w:rPr>
        <w:t>BULGULAR</w:t>
      </w:r>
    </w:p>
    <w:p w14:paraId="0D5343C2" w14:textId="77777777" w:rsidR="00E3302B" w:rsidRPr="008E2967" w:rsidRDefault="00E3302B" w:rsidP="00E3302B">
      <w:pPr>
        <w:jc w:val="both"/>
        <w:rPr>
          <w:b/>
          <w:bCs/>
        </w:rPr>
      </w:pPr>
      <w:r>
        <w:rPr>
          <w:b/>
          <w:bCs/>
        </w:rPr>
        <w:t xml:space="preserve">2.1. </w:t>
      </w:r>
      <w:r w:rsidRPr="008E2967">
        <w:rPr>
          <w:b/>
          <w:bCs/>
        </w:rPr>
        <w:t>Geçerlik Analizleri</w:t>
      </w:r>
    </w:p>
    <w:p w14:paraId="4E5B2917" w14:textId="77777777" w:rsidR="00E3302B" w:rsidRPr="003A1C12" w:rsidRDefault="00E3302B" w:rsidP="00E3302B">
      <w:pPr>
        <w:jc w:val="both"/>
        <w:rPr>
          <w:b/>
          <w:bCs/>
        </w:rPr>
      </w:pPr>
      <w:r w:rsidRPr="003A1C12">
        <w:rPr>
          <w:b/>
          <w:bCs/>
        </w:rPr>
        <w:t>2.1.1. Doğrulayıcı Faktör Analizi (DFA)</w:t>
      </w:r>
    </w:p>
    <w:p w14:paraId="1A44395D" w14:textId="77777777" w:rsidR="00E3302B" w:rsidRPr="008E2967" w:rsidRDefault="00E3302B" w:rsidP="00E3302B">
      <w:pPr>
        <w:jc w:val="both"/>
      </w:pPr>
      <w:r w:rsidRPr="008E2967">
        <w:t xml:space="preserve">Uç değerler incelenmiş ve uç değer olmadığı görüldükten sonra 241 katılımcıya ait veri seti ile analize devam edilmiştir. Ölçeğin faktör yapısını incelemek amacıyla orijinal formdaki 5 boyut ve 14 madde üzerinden doğrulayıcı faktör analizi yapılmıştır. Yapılan ilk analiz sonucunda orijinal ölçekte yer alan “sınırları sürdürebilme” boyutunda yer alan maddeler Türk kültüründe çalışmamış ve ilgili maddelerin uyum iyiliği indekslerine ilişkin değerleri düşürdüğü gözlenmiştir. Bu sebeple ilgili boyut Türkçe formdan çıkarılarak doğrulayıcı faktör analizi 11 madde üzerinde gerçekleştirilmiştir. Yapılan doğrulayıcı faktör analizi sonucunda model uyum iyiliği değeri indeksleri RMSEA = 0,08, CFI = 0,92, TLI = 0, 90 ve olarak hesaplanmıştır (bkz. Tablo 1). Elde edilen değerlerin doğrulayıcı faktör analizinde beklenen aralıklarda oldukları görülmektedir (Kline, 2005 </w:t>
      </w:r>
      <w:proofErr w:type="spellStart"/>
      <w:r w:rsidRPr="008E2967">
        <w:t>akt</w:t>
      </w:r>
      <w:proofErr w:type="spellEnd"/>
      <w:r w:rsidRPr="008E2967">
        <w:t xml:space="preserve">., </w:t>
      </w:r>
      <w:proofErr w:type="spellStart"/>
      <w:r w:rsidRPr="008E2967">
        <w:t>Halfon</w:t>
      </w:r>
      <w:proofErr w:type="spellEnd"/>
      <w:r w:rsidRPr="008E2967">
        <w:t xml:space="preserve"> ve ark., 2020). Analiz sonunda elde edilen yol diyagramı Şekil 1’de sunulmaktadır.</w:t>
      </w:r>
    </w:p>
    <w:p w14:paraId="46596EBD" w14:textId="77777777" w:rsidR="00E3302B" w:rsidRPr="008E2967" w:rsidRDefault="00E3302B" w:rsidP="00E3302B">
      <w:pPr>
        <w:jc w:val="both"/>
        <w:rPr>
          <w:b/>
        </w:rPr>
      </w:pPr>
      <w:r w:rsidRPr="008E2967">
        <w:rPr>
          <w:b/>
        </w:rPr>
        <w:t>Tablo 1</w:t>
      </w:r>
    </w:p>
    <w:p w14:paraId="6FFA2D36" w14:textId="77777777" w:rsidR="00E3302B" w:rsidRPr="00FF09C3" w:rsidRDefault="00E3302B" w:rsidP="00E3302B">
      <w:pPr>
        <w:jc w:val="both"/>
        <w:rPr>
          <w:i/>
          <w:sz w:val="20"/>
          <w:szCs w:val="20"/>
        </w:rPr>
      </w:pPr>
      <w:r w:rsidRPr="00FF09C3">
        <w:rPr>
          <w:i/>
          <w:sz w:val="20"/>
          <w:szCs w:val="20"/>
        </w:rPr>
        <w:t xml:space="preserve">Sınır Koruma </w:t>
      </w:r>
      <w:proofErr w:type="spellStart"/>
      <w:r w:rsidRPr="00FF09C3">
        <w:rPr>
          <w:i/>
          <w:sz w:val="20"/>
          <w:szCs w:val="20"/>
        </w:rPr>
        <w:t>Ölçeği’ne</w:t>
      </w:r>
      <w:proofErr w:type="spellEnd"/>
      <w:r w:rsidRPr="00FF09C3">
        <w:rPr>
          <w:i/>
          <w:sz w:val="20"/>
          <w:szCs w:val="20"/>
        </w:rPr>
        <w:t xml:space="preserve"> Ait Doğrulayıcı Faktör Analizi Sonuçları</w:t>
      </w:r>
    </w:p>
    <w:p w14:paraId="6BA567AD" w14:textId="77777777" w:rsidR="00E3302B" w:rsidRPr="008E2967" w:rsidRDefault="00E3302B" w:rsidP="00E3302B">
      <w:pPr>
        <w:jc w:val="both"/>
      </w:pPr>
    </w:p>
    <w:tbl>
      <w:tblPr>
        <w:tblStyle w:val="TabloKlavuz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799"/>
        <w:gridCol w:w="2363"/>
        <w:gridCol w:w="2011"/>
        <w:gridCol w:w="1897"/>
      </w:tblGrid>
      <w:tr w:rsidR="00E3302B" w:rsidRPr="008E2967" w14:paraId="0E4CE468" w14:textId="77777777" w:rsidTr="0027292C">
        <w:tc>
          <w:tcPr>
            <w:tcW w:w="3063" w:type="dxa"/>
          </w:tcPr>
          <w:p w14:paraId="438749D0"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Model</w:t>
            </w:r>
          </w:p>
        </w:tc>
        <w:tc>
          <w:tcPr>
            <w:tcW w:w="2542" w:type="dxa"/>
          </w:tcPr>
          <w:p w14:paraId="3827950B"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RMSEA</w:t>
            </w:r>
          </w:p>
        </w:tc>
        <w:tc>
          <w:tcPr>
            <w:tcW w:w="2181" w:type="dxa"/>
          </w:tcPr>
          <w:p w14:paraId="618D90B9"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CFI</w:t>
            </w:r>
          </w:p>
        </w:tc>
        <w:tc>
          <w:tcPr>
            <w:tcW w:w="2068" w:type="dxa"/>
          </w:tcPr>
          <w:p w14:paraId="0EF5FF39"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TLI</w:t>
            </w:r>
          </w:p>
        </w:tc>
      </w:tr>
      <w:tr w:rsidR="00E3302B" w:rsidRPr="008E2967" w14:paraId="5FD8D958" w14:textId="77777777" w:rsidTr="0027292C">
        <w:tc>
          <w:tcPr>
            <w:tcW w:w="3063" w:type="dxa"/>
          </w:tcPr>
          <w:p w14:paraId="36E33430" w14:textId="77777777" w:rsidR="00E3302B" w:rsidRPr="008E2967" w:rsidRDefault="00E3302B" w:rsidP="0027292C">
            <w:pPr>
              <w:spacing w:after="200" w:line="276" w:lineRule="auto"/>
              <w:jc w:val="both"/>
              <w:rPr>
                <w:rFonts w:ascii="Times New Roman" w:hAnsi="Times New Roman" w:cs="Times New Roman"/>
              </w:rPr>
            </w:pPr>
          </w:p>
          <w:p w14:paraId="4555D713"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SKÖ</w:t>
            </w:r>
          </w:p>
        </w:tc>
        <w:tc>
          <w:tcPr>
            <w:tcW w:w="2542" w:type="dxa"/>
          </w:tcPr>
          <w:p w14:paraId="0928D23E" w14:textId="77777777" w:rsidR="00E3302B" w:rsidRPr="008E2967" w:rsidRDefault="00E3302B" w:rsidP="0027292C">
            <w:pPr>
              <w:spacing w:after="200" w:line="276" w:lineRule="auto"/>
              <w:jc w:val="both"/>
              <w:rPr>
                <w:rFonts w:ascii="Times New Roman" w:hAnsi="Times New Roman" w:cs="Times New Roman"/>
              </w:rPr>
            </w:pPr>
          </w:p>
          <w:p w14:paraId="7E163BEF"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0,08</w:t>
            </w:r>
          </w:p>
        </w:tc>
        <w:tc>
          <w:tcPr>
            <w:tcW w:w="2181" w:type="dxa"/>
          </w:tcPr>
          <w:p w14:paraId="36062E7F" w14:textId="77777777" w:rsidR="00E3302B" w:rsidRPr="008E2967" w:rsidRDefault="00E3302B" w:rsidP="0027292C">
            <w:pPr>
              <w:spacing w:after="200" w:line="276" w:lineRule="auto"/>
              <w:jc w:val="both"/>
              <w:rPr>
                <w:rFonts w:ascii="Times New Roman" w:hAnsi="Times New Roman" w:cs="Times New Roman"/>
              </w:rPr>
            </w:pPr>
          </w:p>
          <w:p w14:paraId="26327C8E"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0,921</w:t>
            </w:r>
          </w:p>
        </w:tc>
        <w:tc>
          <w:tcPr>
            <w:tcW w:w="2068" w:type="dxa"/>
          </w:tcPr>
          <w:p w14:paraId="79E112D2" w14:textId="77777777" w:rsidR="00E3302B" w:rsidRPr="008E2967" w:rsidRDefault="00E3302B" w:rsidP="0027292C">
            <w:pPr>
              <w:spacing w:after="200" w:line="276" w:lineRule="auto"/>
              <w:jc w:val="both"/>
              <w:rPr>
                <w:rFonts w:ascii="Times New Roman" w:hAnsi="Times New Roman" w:cs="Times New Roman"/>
              </w:rPr>
            </w:pPr>
          </w:p>
          <w:p w14:paraId="4A9C0E2E"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0,90</w:t>
            </w:r>
          </w:p>
        </w:tc>
      </w:tr>
    </w:tbl>
    <w:p w14:paraId="1D16EE9F" w14:textId="77777777" w:rsidR="00E3302B" w:rsidRPr="00FF09C3" w:rsidRDefault="00E3302B" w:rsidP="00E3302B">
      <w:pPr>
        <w:jc w:val="both"/>
        <w:rPr>
          <w:sz w:val="20"/>
          <w:szCs w:val="20"/>
        </w:rPr>
      </w:pPr>
      <w:proofErr w:type="spellStart"/>
      <w:r w:rsidRPr="00FF09C3">
        <w:rPr>
          <w:i/>
          <w:sz w:val="20"/>
          <w:szCs w:val="20"/>
        </w:rPr>
        <w:lastRenderedPageBreak/>
        <w:t>Not.</w:t>
      </w:r>
      <w:r w:rsidRPr="00FF09C3">
        <w:rPr>
          <w:sz w:val="20"/>
          <w:szCs w:val="20"/>
        </w:rPr>
        <w:t>Yapısal</w:t>
      </w:r>
      <w:proofErr w:type="spellEnd"/>
      <w:r w:rsidRPr="00FF09C3">
        <w:rPr>
          <w:sz w:val="20"/>
          <w:szCs w:val="20"/>
        </w:rPr>
        <w:t xml:space="preserve"> Eşitlik Modeli kullanılmıştır. RMSEA = </w:t>
      </w:r>
      <w:proofErr w:type="spellStart"/>
      <w:r w:rsidRPr="00FF09C3">
        <w:rPr>
          <w:sz w:val="20"/>
          <w:szCs w:val="20"/>
        </w:rPr>
        <w:t>root-mean-square</w:t>
      </w:r>
      <w:proofErr w:type="spellEnd"/>
      <w:r w:rsidRPr="00FF09C3">
        <w:rPr>
          <w:sz w:val="20"/>
          <w:szCs w:val="20"/>
        </w:rPr>
        <w:t xml:space="preserve"> </w:t>
      </w:r>
      <w:proofErr w:type="spellStart"/>
      <w:r w:rsidRPr="00FF09C3">
        <w:rPr>
          <w:sz w:val="20"/>
          <w:szCs w:val="20"/>
        </w:rPr>
        <w:t>error</w:t>
      </w:r>
      <w:proofErr w:type="spellEnd"/>
      <w:r w:rsidRPr="00FF09C3">
        <w:rPr>
          <w:sz w:val="20"/>
          <w:szCs w:val="20"/>
        </w:rPr>
        <w:t xml:space="preserve"> of </w:t>
      </w:r>
      <w:proofErr w:type="spellStart"/>
      <w:r w:rsidRPr="00FF09C3">
        <w:rPr>
          <w:sz w:val="20"/>
          <w:szCs w:val="20"/>
        </w:rPr>
        <w:t>approximation</w:t>
      </w:r>
      <w:proofErr w:type="spellEnd"/>
      <w:r w:rsidRPr="00FF09C3">
        <w:rPr>
          <w:sz w:val="20"/>
          <w:szCs w:val="20"/>
        </w:rPr>
        <w:t xml:space="preserve">; CFI = </w:t>
      </w:r>
      <w:proofErr w:type="spellStart"/>
      <w:r w:rsidRPr="00FF09C3">
        <w:rPr>
          <w:sz w:val="20"/>
          <w:szCs w:val="20"/>
        </w:rPr>
        <w:t>comparative</w:t>
      </w:r>
      <w:proofErr w:type="spellEnd"/>
      <w:r w:rsidRPr="00FF09C3">
        <w:rPr>
          <w:sz w:val="20"/>
          <w:szCs w:val="20"/>
        </w:rPr>
        <w:t xml:space="preserve"> fit </w:t>
      </w:r>
      <w:proofErr w:type="spellStart"/>
      <w:r w:rsidRPr="00FF09C3">
        <w:rPr>
          <w:sz w:val="20"/>
          <w:szCs w:val="20"/>
        </w:rPr>
        <w:t>index</w:t>
      </w:r>
      <w:proofErr w:type="spellEnd"/>
      <w:r w:rsidRPr="00FF09C3">
        <w:rPr>
          <w:sz w:val="20"/>
          <w:szCs w:val="20"/>
        </w:rPr>
        <w:t xml:space="preserve">; TLI = </w:t>
      </w:r>
      <w:proofErr w:type="spellStart"/>
      <w:r w:rsidRPr="00FF09C3">
        <w:rPr>
          <w:sz w:val="20"/>
          <w:szCs w:val="20"/>
        </w:rPr>
        <w:t>Tucker</w:t>
      </w:r>
      <w:proofErr w:type="spellEnd"/>
      <w:r w:rsidRPr="00FF09C3">
        <w:rPr>
          <w:sz w:val="20"/>
          <w:szCs w:val="20"/>
        </w:rPr>
        <w:t xml:space="preserve">-Lewis Index. </w:t>
      </w:r>
    </w:p>
    <w:p w14:paraId="37FDDC29" w14:textId="77777777" w:rsidR="00E3302B" w:rsidRDefault="00E3302B" w:rsidP="00E3302B">
      <w:pPr>
        <w:jc w:val="both"/>
        <w:rPr>
          <w:b/>
        </w:rPr>
      </w:pPr>
    </w:p>
    <w:p w14:paraId="20F3F3F4" w14:textId="77777777" w:rsidR="00E3302B" w:rsidRPr="008E2967" w:rsidRDefault="00E3302B" w:rsidP="00E3302B">
      <w:pPr>
        <w:jc w:val="both"/>
        <w:rPr>
          <w:b/>
        </w:rPr>
      </w:pPr>
      <w:r w:rsidRPr="008E2967">
        <w:rPr>
          <w:b/>
        </w:rPr>
        <w:t>Şekil 1</w:t>
      </w:r>
    </w:p>
    <w:p w14:paraId="49E29010" w14:textId="77777777" w:rsidR="00E3302B" w:rsidRPr="00FF09C3" w:rsidRDefault="00E3302B" w:rsidP="00E3302B">
      <w:pPr>
        <w:jc w:val="both"/>
        <w:rPr>
          <w:i/>
          <w:sz w:val="20"/>
          <w:szCs w:val="20"/>
        </w:rPr>
      </w:pPr>
      <w:r w:rsidRPr="00FF09C3">
        <w:rPr>
          <w:i/>
          <w:sz w:val="20"/>
          <w:szCs w:val="20"/>
        </w:rPr>
        <w:t>DFA Yol Diyagramı</w:t>
      </w:r>
    </w:p>
    <w:p w14:paraId="13BD870A" w14:textId="77777777" w:rsidR="00E3302B" w:rsidRPr="008E2967" w:rsidRDefault="00E3302B" w:rsidP="00E3302B">
      <w:pPr>
        <w:jc w:val="both"/>
        <w:rPr>
          <w:i/>
        </w:rPr>
      </w:pPr>
      <w:r w:rsidRPr="008E2967">
        <w:rPr>
          <w:b/>
          <w:noProof/>
        </w:rPr>
        <w:drawing>
          <wp:inline distT="0" distB="0" distL="0" distR="0" wp14:anchorId="622A23D4" wp14:editId="05AD7075">
            <wp:extent cx="5476875" cy="3543300"/>
            <wp:effectExtent l="0" t="0" r="9525" b="0"/>
            <wp:docPr id="2044121217" name="Resim 204412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476875" cy="3543300"/>
                    </a:xfrm>
                    <a:prstGeom prst="rect">
                      <a:avLst/>
                    </a:prstGeom>
                  </pic:spPr>
                </pic:pic>
              </a:graphicData>
            </a:graphic>
          </wp:inline>
        </w:drawing>
      </w:r>
    </w:p>
    <w:p w14:paraId="68F23A36" w14:textId="77777777" w:rsidR="00E3302B" w:rsidRPr="00FF09C3" w:rsidRDefault="00E3302B" w:rsidP="00E3302B">
      <w:pPr>
        <w:jc w:val="both"/>
        <w:rPr>
          <w:i/>
          <w:sz w:val="20"/>
          <w:szCs w:val="20"/>
        </w:rPr>
      </w:pPr>
      <w:r w:rsidRPr="00FF09C3">
        <w:rPr>
          <w:i/>
          <w:sz w:val="20"/>
          <w:szCs w:val="20"/>
        </w:rPr>
        <w:t xml:space="preserve">Not. </w:t>
      </w:r>
      <w:r w:rsidRPr="00FF09C3">
        <w:rPr>
          <w:sz w:val="20"/>
          <w:szCs w:val="20"/>
        </w:rPr>
        <w:t>Sınır Koruma Ölçeği madde ve boyutlara ait yol diyagramı.</w:t>
      </w:r>
    </w:p>
    <w:p w14:paraId="2FB01092" w14:textId="77777777" w:rsidR="00E3302B" w:rsidRPr="008E2967" w:rsidRDefault="00E3302B" w:rsidP="00E3302B">
      <w:pPr>
        <w:jc w:val="both"/>
      </w:pPr>
      <w:r w:rsidRPr="008E2967">
        <w:t>İlgili ölçeğin “korunma” boyutunda yer alan maddelerin faktör yükleri 0,55 ve 0,</w:t>
      </w:r>
      <w:proofErr w:type="gramStart"/>
      <w:r w:rsidRPr="008E2967">
        <w:t>82;  “</w:t>
      </w:r>
      <w:proofErr w:type="gramEnd"/>
      <w:r w:rsidRPr="008E2967">
        <w:t xml:space="preserve">enerjiyi koruma” boyutunda yer alan maddelerin faktör yükleri 0,59 ve 0,75;  “istenmeyen yükler” boyutunda yer alan maddelerin faktör yükleri 0,58 ve 0,84; “sürdürülebilirlik” boyutundaki maddelerin faktör yüklerinin 0,49 ve 0,74 arasında olduğu bulgulanmıştır (Bkz. Tablo 2). Analiz sonucuna göre, ölçeğe ait faktör yüklerinin 0,32 değerinin üzerinde olması modelin doğrulandığını göstermektedir (Büyüköztürk, 2002). Ölçekteki tüm boyutlar arasında anlamlı düzeyde pozitif yönde bir ilişki bulunmaktadır. </w:t>
      </w:r>
    </w:p>
    <w:p w14:paraId="7B7696FE" w14:textId="77777777" w:rsidR="00E3302B" w:rsidRDefault="00E3302B" w:rsidP="00E3302B">
      <w:pPr>
        <w:jc w:val="both"/>
        <w:rPr>
          <w:b/>
        </w:rPr>
      </w:pPr>
    </w:p>
    <w:p w14:paraId="0F8B86E9" w14:textId="77777777" w:rsidR="00E3302B" w:rsidRDefault="00E3302B" w:rsidP="00E3302B">
      <w:pPr>
        <w:jc w:val="both"/>
        <w:rPr>
          <w:b/>
        </w:rPr>
      </w:pPr>
      <w:r w:rsidRPr="008E2967">
        <w:rPr>
          <w:b/>
        </w:rPr>
        <w:t>Tablo 2</w:t>
      </w:r>
    </w:p>
    <w:p w14:paraId="76C35D0D" w14:textId="77777777" w:rsidR="00E3302B" w:rsidRPr="00FF09C3" w:rsidRDefault="00E3302B" w:rsidP="00E3302B">
      <w:pPr>
        <w:jc w:val="both"/>
        <w:rPr>
          <w:b/>
          <w:sz w:val="20"/>
          <w:szCs w:val="20"/>
        </w:rPr>
      </w:pPr>
      <w:r w:rsidRPr="00FF09C3">
        <w:rPr>
          <w:i/>
          <w:sz w:val="20"/>
          <w:szCs w:val="20"/>
        </w:rPr>
        <w:t>Sınır Koruma Ölçeği Boyutlar ve Maddeler</w:t>
      </w:r>
    </w:p>
    <w:p w14:paraId="3FD5B5B5" w14:textId="77777777" w:rsidR="00E3302B" w:rsidRPr="008E2967" w:rsidRDefault="00E3302B" w:rsidP="00E3302B">
      <w:pPr>
        <w:jc w:val="both"/>
        <w:rPr>
          <w:b/>
        </w:rPr>
      </w:pPr>
    </w:p>
    <w:tbl>
      <w:tblPr>
        <w:tblStyle w:val="TabloKlavuzu"/>
        <w:tblW w:w="0" w:type="auto"/>
        <w:tblBorders>
          <w:left w:val="none" w:sz="0" w:space="0" w:color="auto"/>
          <w:right w:val="none" w:sz="0" w:space="0" w:color="auto"/>
        </w:tblBorders>
        <w:tblLook w:val="04A0" w:firstRow="1" w:lastRow="0" w:firstColumn="1" w:lastColumn="0" w:noHBand="0" w:noVBand="1"/>
      </w:tblPr>
      <w:tblGrid>
        <w:gridCol w:w="1779"/>
        <w:gridCol w:w="1777"/>
        <w:gridCol w:w="1752"/>
        <w:gridCol w:w="1820"/>
        <w:gridCol w:w="1942"/>
      </w:tblGrid>
      <w:tr w:rsidR="00E3302B" w:rsidRPr="008E2967" w14:paraId="26C9A592" w14:textId="77777777" w:rsidTr="0027292C">
        <w:tc>
          <w:tcPr>
            <w:tcW w:w="1955" w:type="dxa"/>
            <w:tcBorders>
              <w:top w:val="nil"/>
              <w:bottom w:val="single" w:sz="4" w:space="0" w:color="auto"/>
              <w:right w:val="nil"/>
            </w:tcBorders>
          </w:tcPr>
          <w:p w14:paraId="04A8AF82"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 xml:space="preserve">Boyutlar </w:t>
            </w:r>
          </w:p>
        </w:tc>
        <w:tc>
          <w:tcPr>
            <w:tcW w:w="1955" w:type="dxa"/>
            <w:tcBorders>
              <w:top w:val="nil"/>
              <w:left w:val="nil"/>
              <w:bottom w:val="single" w:sz="4" w:space="0" w:color="auto"/>
              <w:right w:val="nil"/>
            </w:tcBorders>
          </w:tcPr>
          <w:p w14:paraId="5661BE08"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Korunma</w:t>
            </w:r>
          </w:p>
        </w:tc>
        <w:tc>
          <w:tcPr>
            <w:tcW w:w="1956" w:type="dxa"/>
            <w:tcBorders>
              <w:top w:val="nil"/>
              <w:left w:val="nil"/>
              <w:bottom w:val="single" w:sz="4" w:space="0" w:color="auto"/>
              <w:right w:val="nil"/>
            </w:tcBorders>
          </w:tcPr>
          <w:p w14:paraId="7EC40E65"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Enerjiyi Koruma</w:t>
            </w:r>
          </w:p>
        </w:tc>
        <w:tc>
          <w:tcPr>
            <w:tcW w:w="1956" w:type="dxa"/>
            <w:tcBorders>
              <w:top w:val="nil"/>
              <w:left w:val="nil"/>
              <w:bottom w:val="single" w:sz="4" w:space="0" w:color="auto"/>
              <w:right w:val="nil"/>
            </w:tcBorders>
          </w:tcPr>
          <w:p w14:paraId="4269428F"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İstenmeyen Yükler</w:t>
            </w:r>
          </w:p>
        </w:tc>
        <w:tc>
          <w:tcPr>
            <w:tcW w:w="1977" w:type="dxa"/>
            <w:tcBorders>
              <w:top w:val="nil"/>
              <w:left w:val="nil"/>
              <w:bottom w:val="single" w:sz="4" w:space="0" w:color="auto"/>
              <w:right w:val="nil"/>
            </w:tcBorders>
          </w:tcPr>
          <w:p w14:paraId="5B2B4A2E"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Sürdürülebilirlik</w:t>
            </w:r>
          </w:p>
        </w:tc>
      </w:tr>
      <w:tr w:rsidR="00E3302B" w:rsidRPr="008E2967" w14:paraId="1587B6FD" w14:textId="77777777" w:rsidTr="0027292C">
        <w:tc>
          <w:tcPr>
            <w:tcW w:w="1955" w:type="dxa"/>
            <w:tcBorders>
              <w:top w:val="single" w:sz="4" w:space="0" w:color="auto"/>
              <w:left w:val="nil"/>
              <w:bottom w:val="nil"/>
              <w:right w:val="nil"/>
            </w:tcBorders>
          </w:tcPr>
          <w:p w14:paraId="20E1AA3B" w14:textId="77777777" w:rsidR="00E3302B" w:rsidRPr="008E2967" w:rsidRDefault="00E3302B" w:rsidP="0027292C">
            <w:pPr>
              <w:spacing w:after="200" w:line="276" w:lineRule="auto"/>
              <w:jc w:val="both"/>
              <w:rPr>
                <w:rFonts w:ascii="Times New Roman" w:hAnsi="Times New Roman" w:cs="Times New Roman"/>
              </w:rPr>
            </w:pPr>
          </w:p>
          <w:p w14:paraId="0C4C6B42"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 xml:space="preserve">Maddeler </w:t>
            </w:r>
          </w:p>
        </w:tc>
        <w:tc>
          <w:tcPr>
            <w:tcW w:w="1955" w:type="dxa"/>
            <w:tcBorders>
              <w:top w:val="single" w:sz="4" w:space="0" w:color="auto"/>
              <w:left w:val="nil"/>
              <w:bottom w:val="nil"/>
              <w:right w:val="nil"/>
            </w:tcBorders>
          </w:tcPr>
          <w:p w14:paraId="6ABB83F0" w14:textId="77777777" w:rsidR="00E3302B" w:rsidRPr="008E2967" w:rsidRDefault="00E3302B" w:rsidP="0027292C">
            <w:pPr>
              <w:spacing w:after="200" w:line="276" w:lineRule="auto"/>
              <w:jc w:val="both"/>
              <w:rPr>
                <w:rFonts w:ascii="Times New Roman" w:hAnsi="Times New Roman" w:cs="Times New Roman"/>
              </w:rPr>
            </w:pPr>
          </w:p>
          <w:p w14:paraId="36C17A89"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SKÖ6</w:t>
            </w:r>
          </w:p>
        </w:tc>
        <w:tc>
          <w:tcPr>
            <w:tcW w:w="1956" w:type="dxa"/>
            <w:tcBorders>
              <w:top w:val="single" w:sz="4" w:space="0" w:color="auto"/>
              <w:left w:val="nil"/>
              <w:bottom w:val="nil"/>
              <w:right w:val="nil"/>
            </w:tcBorders>
          </w:tcPr>
          <w:p w14:paraId="3786A646" w14:textId="77777777" w:rsidR="00E3302B" w:rsidRPr="008E2967" w:rsidRDefault="00E3302B" w:rsidP="0027292C">
            <w:pPr>
              <w:spacing w:after="200" w:line="276" w:lineRule="auto"/>
              <w:jc w:val="both"/>
              <w:rPr>
                <w:rFonts w:ascii="Times New Roman" w:hAnsi="Times New Roman" w:cs="Times New Roman"/>
              </w:rPr>
            </w:pPr>
          </w:p>
          <w:p w14:paraId="43A5905D"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SKÖ2</w:t>
            </w:r>
          </w:p>
        </w:tc>
        <w:tc>
          <w:tcPr>
            <w:tcW w:w="1956" w:type="dxa"/>
            <w:tcBorders>
              <w:top w:val="single" w:sz="4" w:space="0" w:color="auto"/>
              <w:left w:val="nil"/>
              <w:bottom w:val="nil"/>
              <w:right w:val="nil"/>
            </w:tcBorders>
          </w:tcPr>
          <w:p w14:paraId="41A01DD2" w14:textId="77777777" w:rsidR="00E3302B" w:rsidRPr="008E2967" w:rsidRDefault="00E3302B" w:rsidP="0027292C">
            <w:pPr>
              <w:spacing w:after="200" w:line="276" w:lineRule="auto"/>
              <w:jc w:val="both"/>
              <w:rPr>
                <w:rFonts w:ascii="Times New Roman" w:hAnsi="Times New Roman" w:cs="Times New Roman"/>
              </w:rPr>
            </w:pPr>
          </w:p>
          <w:p w14:paraId="36A4D98E"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SKÖ9</w:t>
            </w:r>
          </w:p>
        </w:tc>
        <w:tc>
          <w:tcPr>
            <w:tcW w:w="1977" w:type="dxa"/>
            <w:tcBorders>
              <w:top w:val="single" w:sz="4" w:space="0" w:color="auto"/>
              <w:left w:val="nil"/>
              <w:bottom w:val="nil"/>
              <w:right w:val="nil"/>
            </w:tcBorders>
          </w:tcPr>
          <w:p w14:paraId="6D3AF560" w14:textId="77777777" w:rsidR="00E3302B" w:rsidRPr="008E2967" w:rsidRDefault="00E3302B" w:rsidP="0027292C">
            <w:pPr>
              <w:spacing w:after="200" w:line="276" w:lineRule="auto"/>
              <w:jc w:val="both"/>
              <w:rPr>
                <w:rFonts w:ascii="Times New Roman" w:hAnsi="Times New Roman" w:cs="Times New Roman"/>
              </w:rPr>
            </w:pPr>
          </w:p>
          <w:p w14:paraId="09E44715"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SKÖ1</w:t>
            </w:r>
          </w:p>
        </w:tc>
      </w:tr>
      <w:tr w:rsidR="00E3302B" w:rsidRPr="008E2967" w14:paraId="0E051B5E" w14:textId="77777777" w:rsidTr="0027292C">
        <w:tc>
          <w:tcPr>
            <w:tcW w:w="1955" w:type="dxa"/>
            <w:tcBorders>
              <w:top w:val="nil"/>
              <w:left w:val="nil"/>
              <w:bottom w:val="nil"/>
              <w:right w:val="nil"/>
            </w:tcBorders>
          </w:tcPr>
          <w:p w14:paraId="1283D0E5" w14:textId="77777777" w:rsidR="00E3302B" w:rsidRPr="008E2967" w:rsidRDefault="00E3302B" w:rsidP="0027292C">
            <w:pPr>
              <w:spacing w:after="200" w:line="276" w:lineRule="auto"/>
              <w:jc w:val="both"/>
              <w:rPr>
                <w:rFonts w:ascii="Times New Roman" w:hAnsi="Times New Roman" w:cs="Times New Roman"/>
              </w:rPr>
            </w:pPr>
          </w:p>
        </w:tc>
        <w:tc>
          <w:tcPr>
            <w:tcW w:w="1955" w:type="dxa"/>
            <w:tcBorders>
              <w:top w:val="nil"/>
              <w:left w:val="nil"/>
              <w:bottom w:val="nil"/>
              <w:right w:val="nil"/>
            </w:tcBorders>
          </w:tcPr>
          <w:p w14:paraId="65F19185" w14:textId="77777777" w:rsidR="00E3302B" w:rsidRPr="008E2967" w:rsidRDefault="00E3302B" w:rsidP="0027292C">
            <w:pPr>
              <w:spacing w:after="200" w:line="276" w:lineRule="auto"/>
              <w:jc w:val="both"/>
              <w:rPr>
                <w:rFonts w:ascii="Times New Roman" w:hAnsi="Times New Roman" w:cs="Times New Roman"/>
              </w:rPr>
            </w:pPr>
          </w:p>
          <w:p w14:paraId="7F687B39"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SKÖ7</w:t>
            </w:r>
          </w:p>
        </w:tc>
        <w:tc>
          <w:tcPr>
            <w:tcW w:w="1956" w:type="dxa"/>
            <w:tcBorders>
              <w:top w:val="nil"/>
              <w:left w:val="nil"/>
              <w:bottom w:val="nil"/>
              <w:right w:val="nil"/>
            </w:tcBorders>
          </w:tcPr>
          <w:p w14:paraId="664C26BA" w14:textId="77777777" w:rsidR="00E3302B" w:rsidRPr="008E2967" w:rsidRDefault="00E3302B" w:rsidP="0027292C">
            <w:pPr>
              <w:spacing w:after="200" w:line="276" w:lineRule="auto"/>
              <w:jc w:val="both"/>
              <w:rPr>
                <w:rFonts w:ascii="Times New Roman" w:hAnsi="Times New Roman" w:cs="Times New Roman"/>
              </w:rPr>
            </w:pPr>
          </w:p>
          <w:p w14:paraId="12769280"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SKÖ4</w:t>
            </w:r>
          </w:p>
        </w:tc>
        <w:tc>
          <w:tcPr>
            <w:tcW w:w="1956" w:type="dxa"/>
            <w:tcBorders>
              <w:top w:val="nil"/>
              <w:left w:val="nil"/>
              <w:bottom w:val="nil"/>
              <w:right w:val="nil"/>
            </w:tcBorders>
          </w:tcPr>
          <w:p w14:paraId="69DF05AD" w14:textId="77777777" w:rsidR="00E3302B" w:rsidRPr="008E2967" w:rsidRDefault="00E3302B" w:rsidP="0027292C">
            <w:pPr>
              <w:spacing w:after="200" w:line="276" w:lineRule="auto"/>
              <w:jc w:val="both"/>
              <w:rPr>
                <w:rFonts w:ascii="Times New Roman" w:hAnsi="Times New Roman" w:cs="Times New Roman"/>
              </w:rPr>
            </w:pPr>
          </w:p>
          <w:p w14:paraId="2BE99B23"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SKÖ10</w:t>
            </w:r>
          </w:p>
        </w:tc>
        <w:tc>
          <w:tcPr>
            <w:tcW w:w="1977" w:type="dxa"/>
            <w:tcBorders>
              <w:top w:val="nil"/>
              <w:left w:val="nil"/>
              <w:bottom w:val="nil"/>
              <w:right w:val="nil"/>
            </w:tcBorders>
          </w:tcPr>
          <w:p w14:paraId="3BF146A9" w14:textId="77777777" w:rsidR="00E3302B" w:rsidRPr="008E2967" w:rsidRDefault="00E3302B" w:rsidP="0027292C">
            <w:pPr>
              <w:spacing w:after="200" w:line="276" w:lineRule="auto"/>
              <w:jc w:val="both"/>
              <w:rPr>
                <w:rFonts w:ascii="Times New Roman" w:hAnsi="Times New Roman" w:cs="Times New Roman"/>
              </w:rPr>
            </w:pPr>
          </w:p>
          <w:p w14:paraId="32309D08"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lastRenderedPageBreak/>
              <w:t>SKÖ3</w:t>
            </w:r>
          </w:p>
        </w:tc>
      </w:tr>
      <w:tr w:rsidR="00E3302B" w:rsidRPr="008E2967" w14:paraId="0628904F" w14:textId="77777777" w:rsidTr="0027292C">
        <w:tc>
          <w:tcPr>
            <w:tcW w:w="1955" w:type="dxa"/>
            <w:tcBorders>
              <w:top w:val="nil"/>
              <w:left w:val="nil"/>
              <w:bottom w:val="nil"/>
              <w:right w:val="nil"/>
            </w:tcBorders>
          </w:tcPr>
          <w:p w14:paraId="74F7A85B" w14:textId="77777777" w:rsidR="00E3302B" w:rsidRPr="008E2967" w:rsidRDefault="00E3302B" w:rsidP="0027292C">
            <w:pPr>
              <w:spacing w:after="200" w:line="276" w:lineRule="auto"/>
              <w:jc w:val="both"/>
              <w:rPr>
                <w:rFonts w:ascii="Times New Roman" w:hAnsi="Times New Roman" w:cs="Times New Roman"/>
              </w:rPr>
            </w:pPr>
          </w:p>
        </w:tc>
        <w:tc>
          <w:tcPr>
            <w:tcW w:w="1955" w:type="dxa"/>
            <w:tcBorders>
              <w:top w:val="nil"/>
              <w:left w:val="nil"/>
              <w:bottom w:val="nil"/>
              <w:right w:val="nil"/>
            </w:tcBorders>
          </w:tcPr>
          <w:p w14:paraId="5C02A8A3"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nil"/>
              <w:right w:val="nil"/>
            </w:tcBorders>
          </w:tcPr>
          <w:p w14:paraId="6D0C5F89"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nil"/>
              <w:right w:val="nil"/>
            </w:tcBorders>
          </w:tcPr>
          <w:p w14:paraId="0EBA014F" w14:textId="77777777" w:rsidR="00E3302B" w:rsidRPr="008E2967" w:rsidRDefault="00E3302B" w:rsidP="0027292C">
            <w:pPr>
              <w:spacing w:after="200" w:line="276" w:lineRule="auto"/>
              <w:jc w:val="both"/>
              <w:rPr>
                <w:rFonts w:ascii="Times New Roman" w:hAnsi="Times New Roman" w:cs="Times New Roman"/>
              </w:rPr>
            </w:pPr>
          </w:p>
        </w:tc>
        <w:tc>
          <w:tcPr>
            <w:tcW w:w="1977" w:type="dxa"/>
            <w:tcBorders>
              <w:top w:val="nil"/>
              <w:left w:val="nil"/>
              <w:bottom w:val="nil"/>
              <w:right w:val="nil"/>
            </w:tcBorders>
          </w:tcPr>
          <w:p w14:paraId="10D0F4D1" w14:textId="77777777" w:rsidR="00E3302B" w:rsidRPr="008E2967" w:rsidRDefault="00E3302B" w:rsidP="0027292C">
            <w:pPr>
              <w:spacing w:after="200" w:line="276" w:lineRule="auto"/>
              <w:jc w:val="both"/>
              <w:rPr>
                <w:rFonts w:ascii="Times New Roman" w:hAnsi="Times New Roman" w:cs="Times New Roman"/>
              </w:rPr>
            </w:pPr>
          </w:p>
          <w:p w14:paraId="3B4CA37C"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SKÖ5</w:t>
            </w:r>
          </w:p>
        </w:tc>
      </w:tr>
      <w:tr w:rsidR="00E3302B" w:rsidRPr="008E2967" w14:paraId="4154632D" w14:textId="77777777" w:rsidTr="0027292C">
        <w:tc>
          <w:tcPr>
            <w:tcW w:w="1955" w:type="dxa"/>
            <w:tcBorders>
              <w:top w:val="nil"/>
              <w:left w:val="nil"/>
              <w:bottom w:val="nil"/>
              <w:right w:val="nil"/>
            </w:tcBorders>
          </w:tcPr>
          <w:p w14:paraId="5D34EC62" w14:textId="77777777" w:rsidR="00E3302B" w:rsidRPr="008E2967" w:rsidRDefault="00E3302B" w:rsidP="0027292C">
            <w:pPr>
              <w:spacing w:after="200" w:line="276" w:lineRule="auto"/>
              <w:jc w:val="both"/>
              <w:rPr>
                <w:rFonts w:ascii="Times New Roman" w:hAnsi="Times New Roman" w:cs="Times New Roman"/>
              </w:rPr>
            </w:pPr>
          </w:p>
        </w:tc>
        <w:tc>
          <w:tcPr>
            <w:tcW w:w="1955" w:type="dxa"/>
            <w:tcBorders>
              <w:top w:val="nil"/>
              <w:left w:val="nil"/>
              <w:bottom w:val="nil"/>
              <w:right w:val="nil"/>
            </w:tcBorders>
          </w:tcPr>
          <w:p w14:paraId="525D4298"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nil"/>
              <w:right w:val="nil"/>
            </w:tcBorders>
          </w:tcPr>
          <w:p w14:paraId="5ED096A3"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nil"/>
              <w:right w:val="nil"/>
            </w:tcBorders>
          </w:tcPr>
          <w:p w14:paraId="032FC7C1" w14:textId="77777777" w:rsidR="00E3302B" w:rsidRPr="008E2967" w:rsidRDefault="00E3302B" w:rsidP="0027292C">
            <w:pPr>
              <w:spacing w:after="200" w:line="276" w:lineRule="auto"/>
              <w:jc w:val="both"/>
              <w:rPr>
                <w:rFonts w:ascii="Times New Roman" w:hAnsi="Times New Roman" w:cs="Times New Roman"/>
              </w:rPr>
            </w:pPr>
          </w:p>
        </w:tc>
        <w:tc>
          <w:tcPr>
            <w:tcW w:w="1977" w:type="dxa"/>
            <w:tcBorders>
              <w:top w:val="nil"/>
              <w:left w:val="nil"/>
              <w:bottom w:val="nil"/>
              <w:right w:val="nil"/>
            </w:tcBorders>
          </w:tcPr>
          <w:p w14:paraId="5B0EF71A" w14:textId="77777777" w:rsidR="00E3302B" w:rsidRPr="008E2967" w:rsidRDefault="00E3302B" w:rsidP="0027292C">
            <w:pPr>
              <w:spacing w:after="200" w:line="276" w:lineRule="auto"/>
              <w:jc w:val="both"/>
              <w:rPr>
                <w:rFonts w:ascii="Times New Roman" w:hAnsi="Times New Roman" w:cs="Times New Roman"/>
              </w:rPr>
            </w:pPr>
          </w:p>
          <w:p w14:paraId="682A7EEE"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SKÖ8</w:t>
            </w:r>
          </w:p>
        </w:tc>
      </w:tr>
      <w:tr w:rsidR="00E3302B" w:rsidRPr="008E2967" w14:paraId="0C9C4B32" w14:textId="77777777" w:rsidTr="0027292C">
        <w:tc>
          <w:tcPr>
            <w:tcW w:w="1955" w:type="dxa"/>
            <w:tcBorders>
              <w:top w:val="nil"/>
              <w:left w:val="nil"/>
              <w:bottom w:val="single" w:sz="4" w:space="0" w:color="auto"/>
              <w:right w:val="nil"/>
            </w:tcBorders>
          </w:tcPr>
          <w:p w14:paraId="5D6D92B5" w14:textId="77777777" w:rsidR="00E3302B" w:rsidRPr="008E2967" w:rsidRDefault="00E3302B" w:rsidP="0027292C">
            <w:pPr>
              <w:spacing w:after="200" w:line="276" w:lineRule="auto"/>
              <w:jc w:val="both"/>
              <w:rPr>
                <w:rFonts w:ascii="Times New Roman" w:hAnsi="Times New Roman" w:cs="Times New Roman"/>
              </w:rPr>
            </w:pPr>
          </w:p>
        </w:tc>
        <w:tc>
          <w:tcPr>
            <w:tcW w:w="1955" w:type="dxa"/>
            <w:tcBorders>
              <w:top w:val="nil"/>
              <w:left w:val="nil"/>
              <w:bottom w:val="single" w:sz="4" w:space="0" w:color="auto"/>
              <w:right w:val="nil"/>
            </w:tcBorders>
          </w:tcPr>
          <w:p w14:paraId="4FA21008"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single" w:sz="4" w:space="0" w:color="auto"/>
              <w:right w:val="nil"/>
            </w:tcBorders>
          </w:tcPr>
          <w:p w14:paraId="174DDA6D" w14:textId="77777777" w:rsidR="00E3302B" w:rsidRPr="008E2967" w:rsidRDefault="00E3302B" w:rsidP="0027292C">
            <w:pPr>
              <w:spacing w:after="200" w:line="276" w:lineRule="auto"/>
              <w:jc w:val="both"/>
              <w:rPr>
                <w:rFonts w:ascii="Times New Roman" w:hAnsi="Times New Roman" w:cs="Times New Roman"/>
              </w:rPr>
            </w:pPr>
          </w:p>
        </w:tc>
        <w:tc>
          <w:tcPr>
            <w:tcW w:w="1956" w:type="dxa"/>
            <w:tcBorders>
              <w:top w:val="nil"/>
              <w:left w:val="nil"/>
              <w:bottom w:val="single" w:sz="4" w:space="0" w:color="auto"/>
              <w:right w:val="nil"/>
            </w:tcBorders>
          </w:tcPr>
          <w:p w14:paraId="20C14112" w14:textId="77777777" w:rsidR="00E3302B" w:rsidRPr="008E2967" w:rsidRDefault="00E3302B" w:rsidP="0027292C">
            <w:pPr>
              <w:spacing w:after="200" w:line="276" w:lineRule="auto"/>
              <w:jc w:val="both"/>
              <w:rPr>
                <w:rFonts w:ascii="Times New Roman" w:hAnsi="Times New Roman" w:cs="Times New Roman"/>
              </w:rPr>
            </w:pPr>
          </w:p>
        </w:tc>
        <w:tc>
          <w:tcPr>
            <w:tcW w:w="1977" w:type="dxa"/>
            <w:tcBorders>
              <w:top w:val="nil"/>
              <w:left w:val="nil"/>
              <w:bottom w:val="single" w:sz="4" w:space="0" w:color="auto"/>
              <w:right w:val="nil"/>
            </w:tcBorders>
          </w:tcPr>
          <w:p w14:paraId="30EA0F3B" w14:textId="77777777" w:rsidR="00E3302B" w:rsidRPr="008E2967" w:rsidRDefault="00E3302B" w:rsidP="0027292C">
            <w:pPr>
              <w:spacing w:after="200" w:line="276" w:lineRule="auto"/>
              <w:jc w:val="both"/>
              <w:rPr>
                <w:rFonts w:ascii="Times New Roman" w:hAnsi="Times New Roman" w:cs="Times New Roman"/>
              </w:rPr>
            </w:pPr>
          </w:p>
          <w:p w14:paraId="1E570D0C" w14:textId="77777777" w:rsidR="00E3302B" w:rsidRPr="008E2967" w:rsidRDefault="00E3302B" w:rsidP="0027292C">
            <w:pPr>
              <w:spacing w:after="200" w:line="276" w:lineRule="auto"/>
              <w:jc w:val="both"/>
              <w:rPr>
                <w:rFonts w:ascii="Times New Roman" w:hAnsi="Times New Roman" w:cs="Times New Roman"/>
              </w:rPr>
            </w:pPr>
            <w:r w:rsidRPr="008E2967">
              <w:rPr>
                <w:rFonts w:ascii="Times New Roman" w:hAnsi="Times New Roman" w:cs="Times New Roman"/>
              </w:rPr>
              <w:t>SKÖ11</w:t>
            </w:r>
          </w:p>
        </w:tc>
      </w:tr>
    </w:tbl>
    <w:p w14:paraId="62FD7BBA" w14:textId="77777777" w:rsidR="00E3302B" w:rsidRPr="00FF09C3" w:rsidRDefault="00E3302B" w:rsidP="00E3302B">
      <w:pPr>
        <w:jc w:val="both"/>
        <w:rPr>
          <w:b/>
          <w:sz w:val="20"/>
          <w:szCs w:val="20"/>
        </w:rPr>
      </w:pPr>
      <w:r w:rsidRPr="00FF09C3">
        <w:rPr>
          <w:i/>
          <w:sz w:val="20"/>
          <w:szCs w:val="20"/>
        </w:rPr>
        <w:t>Not.</w:t>
      </w:r>
      <w:r w:rsidRPr="00FF09C3">
        <w:rPr>
          <w:b/>
          <w:sz w:val="20"/>
          <w:szCs w:val="20"/>
        </w:rPr>
        <w:t xml:space="preserve"> </w:t>
      </w:r>
      <w:r w:rsidRPr="00FF09C3">
        <w:rPr>
          <w:sz w:val="20"/>
          <w:szCs w:val="20"/>
        </w:rPr>
        <w:t xml:space="preserve">Sınır Koruma </w:t>
      </w:r>
      <w:proofErr w:type="spellStart"/>
      <w:r w:rsidRPr="00FF09C3">
        <w:rPr>
          <w:sz w:val="20"/>
          <w:szCs w:val="20"/>
        </w:rPr>
        <w:t>Ölçeği’ne</w:t>
      </w:r>
      <w:proofErr w:type="spellEnd"/>
      <w:r w:rsidRPr="00FF09C3">
        <w:rPr>
          <w:sz w:val="20"/>
          <w:szCs w:val="20"/>
        </w:rPr>
        <w:t xml:space="preserve"> ait boyutlar ve maddeler. Madde örnekleri için Ek 1’e bakınız.</w:t>
      </w:r>
    </w:p>
    <w:p w14:paraId="3180821C" w14:textId="77777777" w:rsidR="00E3302B" w:rsidRPr="003A1C12" w:rsidRDefault="00E3302B" w:rsidP="00E3302B">
      <w:pPr>
        <w:jc w:val="both"/>
        <w:rPr>
          <w:b/>
          <w:bCs/>
        </w:rPr>
      </w:pPr>
      <w:r w:rsidRPr="003A1C12">
        <w:rPr>
          <w:b/>
          <w:bCs/>
        </w:rPr>
        <w:t>2.1.2. Yakınsak Geçerlik</w:t>
      </w:r>
    </w:p>
    <w:p w14:paraId="2A0C4976" w14:textId="77777777" w:rsidR="00E3302B" w:rsidRPr="008E2967" w:rsidRDefault="00E3302B" w:rsidP="00E3302B">
      <w:pPr>
        <w:jc w:val="both"/>
        <w:rPr>
          <w:b/>
          <w:bCs/>
          <w:i/>
        </w:rPr>
      </w:pPr>
      <w:r w:rsidRPr="008E2967">
        <w:t xml:space="preserve">Sınır Koruma </w:t>
      </w:r>
      <w:proofErr w:type="spellStart"/>
      <w:r w:rsidRPr="008E2967">
        <w:t>Ölçeği’nin</w:t>
      </w:r>
      <w:proofErr w:type="spellEnd"/>
      <w:r w:rsidRPr="008E2967">
        <w:t xml:space="preserve"> ölçüt geçerliğine kanıt sunmak amacıyla Boyun Eğici Davranışlar Ölçeği ile arasındaki korelasyon hesaplanmıştır. </w:t>
      </w:r>
      <w:proofErr w:type="spellStart"/>
      <w:r w:rsidRPr="008E2967">
        <w:t>Pearson</w:t>
      </w:r>
      <w:proofErr w:type="spellEnd"/>
      <w:r w:rsidRPr="008E2967">
        <w:t xml:space="preserve"> korelasyon analizi sonucunda SKÖ ve BEDÖ arasında anlamlı düzeyde pozitif bir ilişki bulgulanmıştır (</w:t>
      </w:r>
      <w:r w:rsidRPr="008E2967">
        <w:rPr>
          <w:i/>
        </w:rPr>
        <w:t>r</w:t>
      </w:r>
      <w:r w:rsidRPr="008E2967">
        <w:t xml:space="preserve"> = 0,5, </w:t>
      </w:r>
      <w:r w:rsidRPr="008E2967">
        <w:rPr>
          <w:i/>
        </w:rPr>
        <w:t>p</w:t>
      </w:r>
      <w:r w:rsidRPr="008E2967">
        <w:t xml:space="preserve"> </w:t>
      </w:r>
      <w:proofErr w:type="gramStart"/>
      <w:r w:rsidRPr="008E2967">
        <w:t>&lt; 0</w:t>
      </w:r>
      <w:proofErr w:type="gramEnd"/>
      <w:r w:rsidRPr="008E2967">
        <w:t xml:space="preserve">,01). Bu durum, Türk kültürüne uyarlanan Sınır Koruma </w:t>
      </w:r>
      <w:proofErr w:type="spellStart"/>
      <w:r w:rsidRPr="008E2967">
        <w:t>Ölçeği’nin</w:t>
      </w:r>
      <w:proofErr w:type="spellEnd"/>
      <w:r w:rsidRPr="008E2967">
        <w:t xml:space="preserve"> geçerliğine kanıt sunmaktadır.</w:t>
      </w:r>
    </w:p>
    <w:p w14:paraId="346AECD0" w14:textId="77777777" w:rsidR="00E3302B" w:rsidRPr="008E2967" w:rsidRDefault="00E3302B" w:rsidP="00E3302B">
      <w:pPr>
        <w:jc w:val="both"/>
        <w:rPr>
          <w:b/>
          <w:bCs/>
        </w:rPr>
      </w:pPr>
      <w:r>
        <w:rPr>
          <w:b/>
          <w:bCs/>
        </w:rPr>
        <w:t xml:space="preserve">2.2. </w:t>
      </w:r>
      <w:r w:rsidRPr="008E2967">
        <w:rPr>
          <w:b/>
          <w:bCs/>
        </w:rPr>
        <w:t>Güvenirlik Analizleri</w:t>
      </w:r>
    </w:p>
    <w:p w14:paraId="050BC334" w14:textId="77777777" w:rsidR="00E3302B" w:rsidRDefault="00E3302B" w:rsidP="00E3302B">
      <w:pPr>
        <w:jc w:val="both"/>
      </w:pPr>
      <w:r w:rsidRPr="008E2967">
        <w:t xml:space="preserve">Ölçeğin tüm maddelerinin iç tutarlığını ölçmek için Cronbach Alfa ve McDonald Omega katsayısı hesaplanmış, her iki değer </w:t>
      </w:r>
      <w:proofErr w:type="gramStart"/>
      <w:r w:rsidRPr="008E2967">
        <w:t>de  0</w:t>
      </w:r>
      <w:proofErr w:type="gramEnd"/>
      <w:r w:rsidRPr="008E2967">
        <w:t>,83 olarak bulgulanmıştır. Elde edilen değerler, ölçeğin iç tutarlık anlamında güvenirlik katsayısının kabul edilebilir olduğunu göstermektedir (Güngör, 2016).</w:t>
      </w:r>
    </w:p>
    <w:p w14:paraId="2F4C5AFD" w14:textId="77777777" w:rsidR="00E3302B" w:rsidRDefault="00E3302B" w:rsidP="00E3302B">
      <w:pPr>
        <w:jc w:val="both"/>
        <w:rPr>
          <w:b/>
        </w:rPr>
      </w:pPr>
    </w:p>
    <w:p w14:paraId="1F4B5F20" w14:textId="77777777" w:rsidR="00E3302B" w:rsidRPr="008E2967" w:rsidRDefault="00E3302B" w:rsidP="00E3302B">
      <w:pPr>
        <w:jc w:val="both"/>
        <w:rPr>
          <w:b/>
        </w:rPr>
      </w:pPr>
      <w:r>
        <w:rPr>
          <w:b/>
        </w:rPr>
        <w:t>SONUÇ</w:t>
      </w:r>
    </w:p>
    <w:p w14:paraId="298CFF7B" w14:textId="77777777" w:rsidR="00E3302B" w:rsidRDefault="00E3302B" w:rsidP="00E3302B">
      <w:pPr>
        <w:jc w:val="both"/>
      </w:pPr>
      <w:r w:rsidRPr="008E2967">
        <w:t xml:space="preserve">Bu araştırmanın amacı </w:t>
      </w:r>
      <w:proofErr w:type="spellStart"/>
      <w:r w:rsidRPr="008E2967">
        <w:t>Blaser</w:t>
      </w:r>
      <w:proofErr w:type="spellEnd"/>
      <w:r w:rsidRPr="008E2967">
        <w:t xml:space="preserve"> ve arkadaşları (2014) tarafından geliştirilen Sınır Koruma Ölçeği Kısa Formunu Türk kültürüne uyarlamak ve psikometrik özelliklerini incelemektir. Bu amaç doğrultusunda öncelikle yazarlardan izin alınmış ve ölçeğin İngilizce orijinal formu “ileri doğru çeviri” yaklaşımı ile her iki dil ve kültür ile ölçülen özellikle </w:t>
      </w:r>
      <w:proofErr w:type="spellStart"/>
      <w:r w:rsidRPr="008E2967">
        <w:t>igili</w:t>
      </w:r>
      <w:proofErr w:type="spellEnd"/>
      <w:r w:rsidRPr="008E2967">
        <w:t xml:space="preserve"> kuramsal çerçeveye </w:t>
      </w:r>
      <w:proofErr w:type="gramStart"/>
      <w:r w:rsidRPr="008E2967">
        <w:t>hakim</w:t>
      </w:r>
      <w:proofErr w:type="gramEnd"/>
      <w:r w:rsidRPr="008E2967">
        <w:t xml:space="preserve"> olan üç kişilik komisyon aracılığıyla Türkçeye çevrilmiştir. Türkçe form için artalanı psikoloji olan uzmanların görüşleri alınmış, gelen yorumlar neticesinde ö</w:t>
      </w:r>
      <w:r>
        <w:t xml:space="preserve">lçek veri toplamaya hazır hale </w:t>
      </w:r>
      <w:r w:rsidRPr="008E2967">
        <w:t xml:space="preserve">gelmiştir. </w:t>
      </w:r>
    </w:p>
    <w:p w14:paraId="5FD9D9A3" w14:textId="77777777" w:rsidR="0079785E" w:rsidRPr="008E2967" w:rsidRDefault="0079785E" w:rsidP="00E3302B">
      <w:pPr>
        <w:jc w:val="both"/>
      </w:pPr>
    </w:p>
    <w:p w14:paraId="2131D5A5" w14:textId="77777777" w:rsidR="00E3302B" w:rsidRPr="008E2967" w:rsidRDefault="00E3302B" w:rsidP="00E3302B">
      <w:pPr>
        <w:jc w:val="both"/>
      </w:pPr>
      <w:r w:rsidRPr="008E2967">
        <w:t xml:space="preserve">Sınır Koruma Ölçeği Türkçe formu 18 yaş ve üzeri 241 katılımcıdan veri toplanmış ve toplanan veriler </w:t>
      </w:r>
      <w:proofErr w:type="spellStart"/>
      <w:r w:rsidRPr="008E2967">
        <w:t>üzeirnde</w:t>
      </w:r>
      <w:proofErr w:type="spellEnd"/>
      <w:r w:rsidRPr="008E2967">
        <w:t xml:space="preserve"> doğrulayıcı faktör analizi gerçekleştirilmiştir. Orijinal formdaki 5 boyut 14 madde üzerinden yapılan ilk analiz sonucunda ölçeğin orijinal formunda bulunan “sınırları sürdürebilme” boyutunun, ölçeğin Türkçe formu için elde edilen model uyum iyiliği değerlerini düşürdüğü gözlenmiştir. Bu durumun ilgili boyuttaki maddelerin Türk kültürü ile uyuşmadığından kaynaklandığı düşünülmüş ve bu boyut Türkçe formundan çıkarılmıştır. 4 boyut 11 madde üzerinde gerçekleştirilen ikinci analiz sonucunda ölçeğin model uyum iyiliği indeksi değerlerinin doğrulayıcı faktör analizinde beklenen aralıklarda oldukları </w:t>
      </w:r>
      <w:proofErr w:type="gramStart"/>
      <w:r w:rsidRPr="008E2967">
        <w:t>görülmektedir  (</w:t>
      </w:r>
      <w:proofErr w:type="gramEnd"/>
      <w:r w:rsidRPr="008E2967">
        <w:t xml:space="preserve">RMSEA = 0,08; CFI = 0,92; TLI = 0,90, Kline, 2005 </w:t>
      </w:r>
      <w:proofErr w:type="spellStart"/>
      <w:r w:rsidRPr="008E2967">
        <w:t>akt</w:t>
      </w:r>
      <w:proofErr w:type="spellEnd"/>
      <w:r w:rsidRPr="008E2967">
        <w:t xml:space="preserve">., </w:t>
      </w:r>
      <w:proofErr w:type="spellStart"/>
      <w:r w:rsidRPr="008E2967">
        <w:t>Halfon</w:t>
      </w:r>
      <w:proofErr w:type="spellEnd"/>
      <w:r w:rsidRPr="008E2967">
        <w:t xml:space="preserve"> ve ark., 2020). Sınır Koruma </w:t>
      </w:r>
      <w:proofErr w:type="spellStart"/>
      <w:r w:rsidRPr="008E2967">
        <w:t>Ölçeği’nin</w:t>
      </w:r>
      <w:proofErr w:type="spellEnd"/>
      <w:r w:rsidRPr="008E2967">
        <w:t xml:space="preserve"> nihai hali orijinaliyle benzer şekilde korunma (madde 6 ve 7), enerjiyi koruma (madde 2 ve 4), istenmeyen yükler (madde 9 ve 10) ve sürdürülebilirlik (madde 1,3,5,8,11) olmak üzere 4 boyutlu bir yapıdan oluşmaktadır. Ölçekteki maddelerin faktör yükleri 0,49 ve 0,84 arasında değişmektedir. Bu değerlerin ölçek maddeleri için istenen aralıkta olduğu </w:t>
      </w:r>
      <w:r w:rsidRPr="008E2967">
        <w:lastRenderedPageBreak/>
        <w:t xml:space="preserve">görülmektedir (Büyüköztürk, 2002). </w:t>
      </w:r>
    </w:p>
    <w:p w14:paraId="0FDDEB1E" w14:textId="77777777" w:rsidR="00E3302B" w:rsidRDefault="00E3302B" w:rsidP="00E3302B">
      <w:pPr>
        <w:jc w:val="both"/>
      </w:pPr>
      <w:r w:rsidRPr="008E2967">
        <w:t xml:space="preserve">Sınır Koruma </w:t>
      </w:r>
      <w:proofErr w:type="spellStart"/>
      <w:r w:rsidRPr="008E2967">
        <w:t>Ölçeği’nin</w:t>
      </w:r>
      <w:proofErr w:type="spellEnd"/>
      <w:r w:rsidRPr="008E2967">
        <w:t xml:space="preserve"> ölçüt geçerliğine kanıt sunmak amacıyla Boyun Eğici Davranışlar Ölçeği kullanılmış ve bu</w:t>
      </w:r>
      <w:r>
        <w:t xml:space="preserve"> iki ölçek arasında</w:t>
      </w:r>
      <w:r w:rsidRPr="008E2967">
        <w:t xml:space="preserve"> beklenildiği gibi anlamlı düzeyde pozitif bir ilişki bulgulanmıştır (</w:t>
      </w:r>
      <w:r w:rsidRPr="008E2967">
        <w:rPr>
          <w:i/>
        </w:rPr>
        <w:t>r</w:t>
      </w:r>
      <w:r w:rsidRPr="008E2967">
        <w:t xml:space="preserve"> = 0,5, </w:t>
      </w:r>
      <w:r w:rsidRPr="008E2967">
        <w:rPr>
          <w:i/>
        </w:rPr>
        <w:t>p</w:t>
      </w:r>
      <w:r w:rsidRPr="008E2967">
        <w:t xml:space="preserve"> </w:t>
      </w:r>
      <w:proofErr w:type="gramStart"/>
      <w:r w:rsidRPr="008E2967">
        <w:t>&lt; 0</w:t>
      </w:r>
      <w:proofErr w:type="gramEnd"/>
      <w:r w:rsidRPr="008E2967">
        <w:t>,01). Bu sonuç, ölçeğin Türk kültüründe kullanılabileceğine dair kanıt sunmaktadır.</w:t>
      </w:r>
      <w:r w:rsidRPr="008E2967">
        <w:rPr>
          <w:b/>
          <w:bCs/>
        </w:rPr>
        <w:t xml:space="preserve"> </w:t>
      </w:r>
      <w:r w:rsidRPr="008E2967">
        <w:t xml:space="preserve">Ölçeğin güvenirlik analizleri için Cronbach Alfa ve McDonald Omega iç tutarlık katsayıları 0,83 olarak hesaplanmıştır. Bu değer, ilgili </w:t>
      </w:r>
      <w:proofErr w:type="gramStart"/>
      <w:r w:rsidRPr="008E2967">
        <w:t>ölçeğin  iç</w:t>
      </w:r>
      <w:proofErr w:type="gramEnd"/>
      <w:r w:rsidRPr="008E2967">
        <w:t xml:space="preserve"> tutarlık anlamında güvenirlik katsayısının ölçekler için istenen değer aralığına sahip olduğunu göstermektedir (Güngör, 2016).</w:t>
      </w:r>
    </w:p>
    <w:p w14:paraId="5C826DEF" w14:textId="77777777" w:rsidR="0079785E" w:rsidRPr="008E2967" w:rsidRDefault="0079785E" w:rsidP="00E3302B">
      <w:pPr>
        <w:jc w:val="both"/>
      </w:pPr>
    </w:p>
    <w:p w14:paraId="4F919F03" w14:textId="77777777" w:rsidR="00E3302B" w:rsidRDefault="00E3302B" w:rsidP="00E3302B">
      <w:pPr>
        <w:jc w:val="both"/>
      </w:pPr>
      <w:r w:rsidRPr="008E2967">
        <w:t xml:space="preserve">Bu çalışma bazı sınırlılıklara sahiptir. Çalışmadaki katılımcıların çoğunluğunu kadınların oluşturması temsil edilebilirliği etkileyebilir. Fakat Sınır Koruma </w:t>
      </w:r>
      <w:proofErr w:type="spellStart"/>
      <w:r w:rsidRPr="008E2967">
        <w:t>Ölçeği’nin</w:t>
      </w:r>
      <w:proofErr w:type="spellEnd"/>
      <w:r w:rsidRPr="008E2967">
        <w:t xml:space="preserve"> </w:t>
      </w:r>
      <w:proofErr w:type="spellStart"/>
      <w:r w:rsidRPr="008E2967">
        <w:t>Blaser</w:t>
      </w:r>
      <w:proofErr w:type="spellEnd"/>
      <w:r w:rsidRPr="008E2967">
        <w:t xml:space="preserve"> ve arkadaşları tarafından (2014) gerçekleştirilen orijinal çalışmasında da katılımcıların çoğunluğunun kadın olduğu görülmektedir. Sınır Koruma </w:t>
      </w:r>
      <w:proofErr w:type="spellStart"/>
      <w:r w:rsidRPr="008E2967">
        <w:t>Ölçeği’nin</w:t>
      </w:r>
      <w:proofErr w:type="spellEnd"/>
      <w:r w:rsidRPr="008E2967">
        <w:t xml:space="preserve"> orijinalinden farklı olarak “sınırları sürdürebilme” boyutu literatürdeki ölçek uyarlama çalışmalarından hareketle Türk kültürüne uygun olmayan maddeler içerdiği düşünülerek Türkçe formdan çıkarılmıştır (Akın, 2020; Karakuş &amp; Akbay, 2020). Gelecek çalışmalarda daha geniş bir örnekleme ulaşılarak ölçeğin psikometrik özellikleri tekrar incelenebilir.</w:t>
      </w:r>
    </w:p>
    <w:p w14:paraId="40734EA1" w14:textId="77777777" w:rsidR="0079785E" w:rsidRPr="008E2967" w:rsidRDefault="0079785E" w:rsidP="00E3302B">
      <w:pPr>
        <w:jc w:val="both"/>
      </w:pPr>
    </w:p>
    <w:p w14:paraId="208E0A03" w14:textId="77777777" w:rsidR="00E3302B" w:rsidRPr="008E2967" w:rsidRDefault="00E3302B" w:rsidP="00E3302B">
      <w:pPr>
        <w:jc w:val="both"/>
      </w:pPr>
      <w:r w:rsidRPr="008E2967">
        <w:t xml:space="preserve">Sınır Koruma </w:t>
      </w:r>
      <w:proofErr w:type="spellStart"/>
      <w:r w:rsidRPr="008E2967">
        <w:t>Ölçeği’nin</w:t>
      </w:r>
      <w:proofErr w:type="spellEnd"/>
      <w:r w:rsidRPr="008E2967">
        <w:t xml:space="preserve"> Türk kültürüne uyarlandığı bu çalışma, elde ettiği bulgularla ölçeğin istenen değerlere sahip olduğunu ve Türk kültüründe kullanılabileceğini göstermektedir. Bu yönüyle Sınır Koruma Ölçeği, Türkçe literatürde yetişkinler için sınır koruma becerisini ölçmede öncü olarak kabul edilebilir. </w:t>
      </w:r>
    </w:p>
    <w:p w14:paraId="443CAD3D" w14:textId="77777777" w:rsidR="00E3302B" w:rsidRDefault="00E3302B" w:rsidP="00E3302B">
      <w:pPr>
        <w:jc w:val="both"/>
        <w:rPr>
          <w:b/>
        </w:rPr>
      </w:pPr>
    </w:p>
    <w:p w14:paraId="66CECB15" w14:textId="77777777" w:rsidR="00E3302B" w:rsidRDefault="00E3302B" w:rsidP="00E3302B">
      <w:pPr>
        <w:jc w:val="both"/>
        <w:rPr>
          <w:b/>
        </w:rPr>
      </w:pPr>
      <w:r w:rsidRPr="00FF09C3">
        <w:rPr>
          <w:b/>
        </w:rPr>
        <w:t>KAYNAKÇA</w:t>
      </w:r>
    </w:p>
    <w:p w14:paraId="2651E13D" w14:textId="77777777" w:rsidR="00E3302B" w:rsidRDefault="00E3302B">
      <w:pPr>
        <w:pStyle w:val="Standard"/>
        <w:numPr>
          <w:ilvl w:val="0"/>
          <w:numId w:val="82"/>
        </w:numPr>
        <w:rPr>
          <w:rFonts w:ascii="Times New Roman" w:hAnsi="Times New Roman" w:cs="Times New Roman"/>
          <w:color w:val="222222"/>
        </w:rPr>
      </w:pPr>
      <w:r w:rsidRPr="00FF09C3">
        <w:rPr>
          <w:rFonts w:ascii="Times New Roman" w:hAnsi="Times New Roman" w:cs="Times New Roman"/>
          <w:color w:val="222222"/>
        </w:rPr>
        <w:t xml:space="preserve">Akın, M. S. (2020). Çevrimiçi ikinci el alışveriş motivasyonları: ölçek uyarlama çalışması. </w:t>
      </w:r>
      <w:r w:rsidRPr="00FF09C3">
        <w:rPr>
          <w:rFonts w:ascii="Times New Roman" w:hAnsi="Times New Roman" w:cs="Times New Roman"/>
          <w:i/>
          <w:color w:val="222222"/>
        </w:rPr>
        <w:t>Uygulamalı Sosyal Bilimler Dergisi</w:t>
      </w:r>
      <w:r w:rsidRPr="00FF09C3">
        <w:rPr>
          <w:rFonts w:ascii="Times New Roman" w:hAnsi="Times New Roman" w:cs="Times New Roman"/>
          <w:color w:val="222222"/>
        </w:rPr>
        <w:t xml:space="preserve">, </w:t>
      </w:r>
      <w:r w:rsidRPr="00FF09C3">
        <w:rPr>
          <w:rFonts w:ascii="Times New Roman" w:hAnsi="Times New Roman" w:cs="Times New Roman"/>
          <w:i/>
          <w:color w:val="222222"/>
        </w:rPr>
        <w:t>4</w:t>
      </w:r>
      <w:r w:rsidRPr="00FF09C3">
        <w:rPr>
          <w:rFonts w:ascii="Times New Roman" w:hAnsi="Times New Roman" w:cs="Times New Roman"/>
          <w:color w:val="222222"/>
        </w:rPr>
        <w:t>(2), 74-88.</w:t>
      </w:r>
    </w:p>
    <w:p w14:paraId="2E3A9743" w14:textId="77777777" w:rsidR="00E3302B" w:rsidRDefault="00E3302B" w:rsidP="00E3302B">
      <w:pPr>
        <w:pStyle w:val="Standard"/>
        <w:rPr>
          <w:rFonts w:ascii="Times New Roman" w:hAnsi="Times New Roman" w:cs="Times New Roman"/>
          <w:color w:val="222222"/>
        </w:rPr>
      </w:pPr>
    </w:p>
    <w:p w14:paraId="18C99E5D" w14:textId="77777777" w:rsidR="00E3302B" w:rsidRPr="00FF09C3" w:rsidRDefault="00E3302B">
      <w:pPr>
        <w:pStyle w:val="Standard"/>
        <w:numPr>
          <w:ilvl w:val="0"/>
          <w:numId w:val="82"/>
        </w:numPr>
        <w:rPr>
          <w:rFonts w:ascii="Times New Roman" w:hAnsi="Times New Roman" w:cs="Times New Roman"/>
        </w:rPr>
      </w:pPr>
      <w:r w:rsidRPr="00FF09C3">
        <w:rPr>
          <w:rFonts w:ascii="Times New Roman" w:hAnsi="Times New Roman" w:cs="Times New Roman"/>
        </w:rPr>
        <w:t>Albayrak, S., Asık, E., Aydoğdu, B., Yaman, A., &amp; Üstün, E. (2023). Ergenlerde benlik saygısı ile hayır diyebilme arasındaki ilişki. </w:t>
      </w:r>
      <w:r w:rsidRPr="00FF09C3">
        <w:rPr>
          <w:rFonts w:ascii="Times New Roman" w:hAnsi="Times New Roman" w:cs="Times New Roman"/>
          <w:i/>
          <w:iCs/>
        </w:rPr>
        <w:t>Genel Sağlık Bilimleri Dergisi</w:t>
      </w:r>
      <w:r w:rsidRPr="00FF09C3">
        <w:rPr>
          <w:rFonts w:ascii="Times New Roman" w:hAnsi="Times New Roman" w:cs="Times New Roman"/>
        </w:rPr>
        <w:t>, </w:t>
      </w:r>
      <w:r w:rsidRPr="00FF09C3">
        <w:rPr>
          <w:rFonts w:ascii="Times New Roman" w:hAnsi="Times New Roman" w:cs="Times New Roman"/>
          <w:i/>
          <w:iCs/>
        </w:rPr>
        <w:t>5</w:t>
      </w:r>
      <w:r w:rsidRPr="00FF09C3">
        <w:rPr>
          <w:rFonts w:ascii="Times New Roman" w:hAnsi="Times New Roman" w:cs="Times New Roman"/>
        </w:rPr>
        <w:t xml:space="preserve">(2), 135-144. </w:t>
      </w:r>
      <w:hyperlink r:id="rId349" w:history="1">
        <w:r w:rsidRPr="00FF09C3">
          <w:rPr>
            <w:rStyle w:val="Kpr"/>
            <w:rFonts w:ascii="Times New Roman" w:hAnsi="Times New Roman" w:cs="Times New Roman"/>
          </w:rPr>
          <w:t>https://dergipark.org.tr/en/pub/jgehes/issue/79567/1184857</w:t>
        </w:r>
      </w:hyperlink>
      <w:r w:rsidRPr="00FF09C3">
        <w:rPr>
          <w:rFonts w:ascii="Times New Roman" w:hAnsi="Times New Roman" w:cs="Times New Roman"/>
        </w:rPr>
        <w:t>.</w:t>
      </w:r>
    </w:p>
    <w:p w14:paraId="09CD1208" w14:textId="77777777" w:rsidR="00E3302B" w:rsidRDefault="00E3302B" w:rsidP="00E3302B">
      <w:pPr>
        <w:jc w:val="both"/>
      </w:pPr>
    </w:p>
    <w:p w14:paraId="1B3971E2" w14:textId="77777777" w:rsidR="00E3302B" w:rsidRPr="00FF09C3" w:rsidRDefault="00E3302B">
      <w:pPr>
        <w:pStyle w:val="ListeParagraf"/>
        <w:numPr>
          <w:ilvl w:val="0"/>
          <w:numId w:val="82"/>
        </w:numPr>
        <w:jc w:val="both"/>
      </w:pPr>
      <w:proofErr w:type="spellStart"/>
      <w:r w:rsidRPr="00FF09C3">
        <w:t>Blaser</w:t>
      </w:r>
      <w:proofErr w:type="spellEnd"/>
      <w:r w:rsidRPr="00FF09C3">
        <w:t xml:space="preserve">, K., </w:t>
      </w:r>
      <w:proofErr w:type="spellStart"/>
      <w:r w:rsidRPr="00FF09C3">
        <w:t>Zlabinger</w:t>
      </w:r>
      <w:proofErr w:type="spellEnd"/>
      <w:r w:rsidRPr="00FF09C3">
        <w:t xml:space="preserve">, M., </w:t>
      </w:r>
      <w:proofErr w:type="spellStart"/>
      <w:r w:rsidRPr="00FF09C3">
        <w:t>Hautzinger</w:t>
      </w:r>
      <w:proofErr w:type="spellEnd"/>
      <w:r w:rsidRPr="00FF09C3">
        <w:t xml:space="preserve">, M., &amp; </w:t>
      </w:r>
      <w:proofErr w:type="spellStart"/>
      <w:r w:rsidRPr="00FF09C3">
        <w:t>Hinterberger</w:t>
      </w:r>
      <w:proofErr w:type="spellEnd"/>
      <w:r w:rsidRPr="00FF09C3">
        <w:t xml:space="preserve">, T. (2014). </w:t>
      </w:r>
      <w:proofErr w:type="spellStart"/>
      <w:r w:rsidRPr="00FF09C3">
        <w:t>The</w:t>
      </w:r>
      <w:proofErr w:type="spellEnd"/>
      <w:r w:rsidRPr="00FF09C3">
        <w:t xml:space="preserve"> </w:t>
      </w:r>
      <w:proofErr w:type="spellStart"/>
      <w:r w:rsidRPr="00FF09C3">
        <w:t>relationship</w:t>
      </w:r>
      <w:proofErr w:type="spellEnd"/>
      <w:r w:rsidRPr="00FF09C3">
        <w:t xml:space="preserve"> </w:t>
      </w:r>
      <w:proofErr w:type="spellStart"/>
      <w:r w:rsidRPr="00FF09C3">
        <w:t>between</w:t>
      </w:r>
      <w:proofErr w:type="spellEnd"/>
      <w:r w:rsidRPr="00FF09C3">
        <w:t xml:space="preserve"> </w:t>
      </w:r>
      <w:proofErr w:type="spellStart"/>
      <w:r w:rsidRPr="00FF09C3">
        <w:t>mindfulness</w:t>
      </w:r>
      <w:proofErr w:type="spellEnd"/>
      <w:r w:rsidRPr="00FF09C3">
        <w:t xml:space="preserve"> </w:t>
      </w:r>
      <w:proofErr w:type="spellStart"/>
      <w:r w:rsidRPr="00FF09C3">
        <w:t>and</w:t>
      </w:r>
      <w:proofErr w:type="spellEnd"/>
      <w:r w:rsidRPr="00FF09C3">
        <w:t xml:space="preserve"> </w:t>
      </w:r>
      <w:proofErr w:type="spellStart"/>
      <w:r w:rsidRPr="00FF09C3">
        <w:t>the</w:t>
      </w:r>
      <w:proofErr w:type="spellEnd"/>
      <w:r w:rsidRPr="00FF09C3">
        <w:t xml:space="preserve"> </w:t>
      </w:r>
      <w:proofErr w:type="spellStart"/>
      <w:r w:rsidRPr="00FF09C3">
        <w:t>mental</w:t>
      </w:r>
      <w:proofErr w:type="spellEnd"/>
      <w:r w:rsidRPr="00FF09C3">
        <w:t xml:space="preserve"> self-</w:t>
      </w:r>
      <w:proofErr w:type="spellStart"/>
      <w:r w:rsidRPr="00FF09C3">
        <w:t>boundary</w:t>
      </w:r>
      <w:proofErr w:type="spellEnd"/>
      <w:r w:rsidRPr="00FF09C3">
        <w:t xml:space="preserve">: </w:t>
      </w:r>
      <w:proofErr w:type="spellStart"/>
      <w:r w:rsidRPr="00FF09C3">
        <w:t>Validation</w:t>
      </w:r>
      <w:proofErr w:type="spellEnd"/>
      <w:r w:rsidRPr="00FF09C3">
        <w:t xml:space="preserve"> of </w:t>
      </w:r>
      <w:proofErr w:type="spellStart"/>
      <w:r w:rsidRPr="00FF09C3">
        <w:t>the</w:t>
      </w:r>
      <w:proofErr w:type="spellEnd"/>
      <w:r w:rsidRPr="00FF09C3">
        <w:t xml:space="preserve"> </w:t>
      </w:r>
      <w:proofErr w:type="spellStart"/>
      <w:r w:rsidRPr="00FF09C3">
        <w:t>Boundary</w:t>
      </w:r>
      <w:proofErr w:type="spellEnd"/>
      <w:r w:rsidRPr="00FF09C3">
        <w:t xml:space="preserve"> </w:t>
      </w:r>
      <w:proofErr w:type="spellStart"/>
      <w:r w:rsidRPr="00FF09C3">
        <w:t>Protection</w:t>
      </w:r>
      <w:proofErr w:type="spellEnd"/>
      <w:r w:rsidRPr="00FF09C3">
        <w:t xml:space="preserve"> Scale-14 (BPS-14) </w:t>
      </w:r>
      <w:proofErr w:type="spellStart"/>
      <w:r w:rsidRPr="00FF09C3">
        <w:t>and</w:t>
      </w:r>
      <w:proofErr w:type="spellEnd"/>
      <w:r w:rsidRPr="00FF09C3">
        <w:t xml:space="preserve"> </w:t>
      </w:r>
      <w:proofErr w:type="spellStart"/>
      <w:r w:rsidRPr="00FF09C3">
        <w:t>its</w:t>
      </w:r>
      <w:proofErr w:type="spellEnd"/>
      <w:r w:rsidRPr="00FF09C3">
        <w:t xml:space="preserve"> </w:t>
      </w:r>
      <w:proofErr w:type="spellStart"/>
      <w:r w:rsidRPr="00FF09C3">
        <w:t>correlation</w:t>
      </w:r>
      <w:proofErr w:type="spellEnd"/>
      <w:r w:rsidRPr="00FF09C3">
        <w:t xml:space="preserve"> </w:t>
      </w:r>
      <w:proofErr w:type="spellStart"/>
      <w:r w:rsidRPr="00FF09C3">
        <w:t>with</w:t>
      </w:r>
      <w:proofErr w:type="spellEnd"/>
      <w:r w:rsidRPr="00FF09C3">
        <w:t xml:space="preserve"> </w:t>
      </w:r>
      <w:proofErr w:type="spellStart"/>
      <w:r w:rsidRPr="00FF09C3">
        <w:t>the</w:t>
      </w:r>
      <w:proofErr w:type="spellEnd"/>
      <w:r w:rsidRPr="00FF09C3">
        <w:t xml:space="preserve"> Freiburg </w:t>
      </w:r>
      <w:proofErr w:type="spellStart"/>
      <w:r w:rsidRPr="00FF09C3">
        <w:t>Mindfulness</w:t>
      </w:r>
      <w:proofErr w:type="spellEnd"/>
      <w:r w:rsidRPr="00FF09C3">
        <w:t xml:space="preserve"> Inventory (FMI). </w:t>
      </w:r>
      <w:proofErr w:type="spellStart"/>
      <w:r w:rsidRPr="0079785E">
        <w:rPr>
          <w:i/>
          <w:iCs/>
        </w:rPr>
        <w:t>Journal</w:t>
      </w:r>
      <w:proofErr w:type="spellEnd"/>
      <w:r w:rsidRPr="0079785E">
        <w:rPr>
          <w:i/>
          <w:iCs/>
        </w:rPr>
        <w:t xml:space="preserve"> of </w:t>
      </w:r>
      <w:proofErr w:type="spellStart"/>
      <w:r w:rsidRPr="0079785E">
        <w:rPr>
          <w:i/>
          <w:iCs/>
        </w:rPr>
        <w:t>Educational</w:t>
      </w:r>
      <w:proofErr w:type="spellEnd"/>
      <w:r w:rsidRPr="0079785E">
        <w:rPr>
          <w:i/>
          <w:iCs/>
        </w:rPr>
        <w:t xml:space="preserve"> </w:t>
      </w:r>
      <w:proofErr w:type="spellStart"/>
      <w:r w:rsidRPr="0079785E">
        <w:rPr>
          <w:i/>
          <w:iCs/>
        </w:rPr>
        <w:t>and</w:t>
      </w:r>
      <w:proofErr w:type="spellEnd"/>
      <w:r w:rsidRPr="0079785E">
        <w:rPr>
          <w:i/>
          <w:iCs/>
        </w:rPr>
        <w:t xml:space="preserve"> </w:t>
      </w:r>
      <w:proofErr w:type="spellStart"/>
      <w:r w:rsidRPr="0079785E">
        <w:rPr>
          <w:i/>
          <w:iCs/>
        </w:rPr>
        <w:t>Developmental</w:t>
      </w:r>
      <w:proofErr w:type="spellEnd"/>
      <w:r w:rsidRPr="0079785E">
        <w:rPr>
          <w:i/>
          <w:iCs/>
        </w:rPr>
        <w:t xml:space="preserve"> </w:t>
      </w:r>
      <w:proofErr w:type="spellStart"/>
      <w:r w:rsidRPr="0079785E">
        <w:rPr>
          <w:i/>
          <w:iCs/>
        </w:rPr>
        <w:t>Psychology</w:t>
      </w:r>
      <w:proofErr w:type="spellEnd"/>
      <w:r w:rsidRPr="00FF09C3">
        <w:t>, </w:t>
      </w:r>
      <w:r w:rsidRPr="0079785E">
        <w:rPr>
          <w:i/>
          <w:iCs/>
        </w:rPr>
        <w:t>4</w:t>
      </w:r>
      <w:r w:rsidRPr="00FF09C3">
        <w:t xml:space="preserve">(1), 155. </w:t>
      </w:r>
      <w:hyperlink r:id="rId350" w:history="1">
        <w:r w:rsidRPr="0079785E">
          <w:rPr>
            <w:rStyle w:val="Kpr"/>
            <w:rFonts w:eastAsiaTheme="majorEastAsia"/>
          </w:rPr>
          <w:t>https://pdfs.semanticscholar.org/cf44/9071b46ea92241efbe5b2d34df5979d4f15a.pdf</w:t>
        </w:r>
      </w:hyperlink>
      <w:r w:rsidRPr="00FF09C3">
        <w:t xml:space="preserve"> </w:t>
      </w:r>
    </w:p>
    <w:p w14:paraId="05D2AEB1" w14:textId="77777777" w:rsidR="00E3302B" w:rsidRPr="00FF09C3" w:rsidRDefault="00E3302B">
      <w:pPr>
        <w:pStyle w:val="ListeParagraf"/>
        <w:numPr>
          <w:ilvl w:val="0"/>
          <w:numId w:val="82"/>
        </w:numPr>
        <w:jc w:val="both"/>
      </w:pPr>
      <w:r w:rsidRPr="00FF09C3">
        <w:t xml:space="preserve">Bozkurt, S. (2020). </w:t>
      </w:r>
      <w:r w:rsidRPr="0079785E">
        <w:rPr>
          <w:i/>
        </w:rPr>
        <w:t>Son çocukluk (9-11yaş) çağındaki çocuklarda hayır diyebilme ve atılganlık beceri sıklığı ve kullanılan ölçeklerin tanımlama yeterliliği</w:t>
      </w:r>
      <w:r w:rsidRPr="00FF09C3">
        <w:t xml:space="preserve"> [Yayınlanmamış yüksek lisans tezi]. Mersin Çağ Üniversitesi.</w:t>
      </w:r>
    </w:p>
    <w:p w14:paraId="7E8469A1" w14:textId="77777777" w:rsidR="00E3302B" w:rsidRPr="00FF09C3" w:rsidRDefault="00E3302B">
      <w:pPr>
        <w:pStyle w:val="ListeParagraf"/>
        <w:numPr>
          <w:ilvl w:val="0"/>
          <w:numId w:val="82"/>
        </w:numPr>
        <w:jc w:val="both"/>
      </w:pPr>
      <w:r w:rsidRPr="00FF09C3">
        <w:t xml:space="preserve">Büyüköztürk, Ş. (2002). Faktör analizi: Temel kavramlar ve ölçek geliştirmede kullanımı. </w:t>
      </w:r>
      <w:r w:rsidRPr="0079785E">
        <w:rPr>
          <w:i/>
        </w:rPr>
        <w:t>Kuram ve Uygulamada Eğitim Yönetimi</w:t>
      </w:r>
      <w:r w:rsidRPr="00FF09C3">
        <w:t xml:space="preserve">, </w:t>
      </w:r>
      <w:r w:rsidRPr="0079785E">
        <w:rPr>
          <w:i/>
        </w:rPr>
        <w:t>32</w:t>
      </w:r>
      <w:r w:rsidRPr="00FF09C3">
        <w:t>(32), 470-483.</w:t>
      </w:r>
    </w:p>
    <w:p w14:paraId="38D54192" w14:textId="77777777" w:rsidR="00E3302B" w:rsidRPr="00FF09C3" w:rsidRDefault="00E3302B">
      <w:pPr>
        <w:pStyle w:val="ListeParagraf"/>
        <w:numPr>
          <w:ilvl w:val="0"/>
          <w:numId w:val="82"/>
        </w:numPr>
        <w:jc w:val="both"/>
      </w:pPr>
      <w:r w:rsidRPr="00FF09C3">
        <w:t>Çelik, B., &amp; Eryılmaz, A. (2020). Yüksek ve düşük düzeyde hayır diyebilme özelliklerine sahip olan öğrencilerin anksiyete ve oyun bağımlılığı açısından karşılaştırılması. </w:t>
      </w:r>
      <w:r w:rsidRPr="0079785E">
        <w:rPr>
          <w:i/>
          <w:iCs/>
        </w:rPr>
        <w:t xml:space="preserve">VI. </w:t>
      </w:r>
      <w:proofErr w:type="spellStart"/>
      <w:r w:rsidRPr="0079785E">
        <w:rPr>
          <w:i/>
          <w:iCs/>
        </w:rPr>
        <w:t>Turkcess</w:t>
      </w:r>
      <w:proofErr w:type="spellEnd"/>
      <w:r w:rsidRPr="0079785E">
        <w:rPr>
          <w:i/>
          <w:iCs/>
        </w:rPr>
        <w:t xml:space="preserve"> "Toplum 5.0"“Akıllı Toplum” Tam Metin Kitabı</w:t>
      </w:r>
      <w:r w:rsidRPr="00FF09C3">
        <w:t xml:space="preserve">. </w:t>
      </w:r>
      <w:hyperlink r:id="rId351" w:history="1">
        <w:r w:rsidRPr="0079785E">
          <w:rPr>
            <w:rStyle w:val="Kpr"/>
            <w:rFonts w:eastAsiaTheme="majorEastAsia"/>
          </w:rPr>
          <w:t>https://openaccess.izu.edu.tr/xmlui/handle/20.500.12436/4135</w:t>
        </w:r>
      </w:hyperlink>
      <w:r w:rsidRPr="00FF09C3">
        <w:t xml:space="preserve"> </w:t>
      </w:r>
    </w:p>
    <w:p w14:paraId="68415015" w14:textId="77777777" w:rsidR="00E3302B" w:rsidRPr="00FF09C3" w:rsidRDefault="00E3302B">
      <w:pPr>
        <w:pStyle w:val="ListeParagraf"/>
        <w:numPr>
          <w:ilvl w:val="0"/>
          <w:numId w:val="82"/>
        </w:numPr>
        <w:jc w:val="both"/>
      </w:pPr>
      <w:r w:rsidRPr="00FF09C3">
        <w:t xml:space="preserve">Gilbert, P., Allan, S. (1994). </w:t>
      </w:r>
      <w:proofErr w:type="spellStart"/>
      <w:r w:rsidRPr="00FF09C3">
        <w:t>Assertiveness</w:t>
      </w:r>
      <w:proofErr w:type="spellEnd"/>
      <w:r w:rsidRPr="00FF09C3">
        <w:t xml:space="preserve">, </w:t>
      </w:r>
      <w:proofErr w:type="spellStart"/>
      <w:r w:rsidRPr="00FF09C3">
        <w:t>submissive</w:t>
      </w:r>
      <w:proofErr w:type="spellEnd"/>
      <w:r w:rsidRPr="00FF09C3">
        <w:t xml:space="preserve"> </w:t>
      </w:r>
      <w:proofErr w:type="spellStart"/>
      <w:r w:rsidRPr="00FF09C3">
        <w:t>behaviour</w:t>
      </w:r>
      <w:proofErr w:type="spellEnd"/>
      <w:r w:rsidRPr="00FF09C3">
        <w:t xml:space="preserve"> </w:t>
      </w:r>
      <w:proofErr w:type="spellStart"/>
      <w:r w:rsidRPr="00FF09C3">
        <w:t>and</w:t>
      </w:r>
      <w:proofErr w:type="spellEnd"/>
      <w:r w:rsidRPr="00FF09C3">
        <w:t xml:space="preserve"> </w:t>
      </w:r>
      <w:proofErr w:type="spellStart"/>
      <w:r w:rsidRPr="00FF09C3">
        <w:t>social</w:t>
      </w:r>
      <w:proofErr w:type="spellEnd"/>
      <w:r w:rsidRPr="00FF09C3">
        <w:t xml:space="preserve"> </w:t>
      </w:r>
      <w:proofErr w:type="spellStart"/>
      <w:r w:rsidRPr="00FF09C3">
        <w:t>comparison</w:t>
      </w:r>
      <w:proofErr w:type="spellEnd"/>
      <w:r w:rsidRPr="00FF09C3">
        <w:t xml:space="preserve">. </w:t>
      </w:r>
      <w:proofErr w:type="spellStart"/>
      <w:r w:rsidRPr="0079785E">
        <w:rPr>
          <w:i/>
        </w:rPr>
        <w:t>The</w:t>
      </w:r>
      <w:proofErr w:type="spellEnd"/>
      <w:r w:rsidRPr="0079785E">
        <w:rPr>
          <w:i/>
        </w:rPr>
        <w:t xml:space="preserve"> British </w:t>
      </w:r>
      <w:proofErr w:type="spellStart"/>
      <w:r w:rsidRPr="0079785E">
        <w:rPr>
          <w:i/>
        </w:rPr>
        <w:t>Journal</w:t>
      </w:r>
      <w:proofErr w:type="spellEnd"/>
      <w:r w:rsidRPr="0079785E">
        <w:rPr>
          <w:i/>
        </w:rPr>
        <w:t xml:space="preserve"> Of </w:t>
      </w:r>
      <w:proofErr w:type="spellStart"/>
      <w:r w:rsidRPr="0079785E">
        <w:rPr>
          <w:i/>
        </w:rPr>
        <w:t>Clinical</w:t>
      </w:r>
      <w:proofErr w:type="spellEnd"/>
      <w:r w:rsidRPr="0079785E">
        <w:rPr>
          <w:i/>
        </w:rPr>
        <w:t xml:space="preserve"> </w:t>
      </w:r>
      <w:proofErr w:type="spellStart"/>
      <w:r w:rsidRPr="0079785E">
        <w:rPr>
          <w:i/>
        </w:rPr>
        <w:t>Psychology</w:t>
      </w:r>
      <w:proofErr w:type="spellEnd"/>
      <w:r w:rsidRPr="0079785E">
        <w:rPr>
          <w:i/>
        </w:rPr>
        <w:t>, 33</w:t>
      </w:r>
      <w:r w:rsidRPr="00FF09C3">
        <w:t>, 295-306.</w:t>
      </w:r>
    </w:p>
    <w:p w14:paraId="2CAA31DD" w14:textId="77777777" w:rsidR="00E3302B" w:rsidRPr="00FF09C3" w:rsidRDefault="00E3302B">
      <w:pPr>
        <w:pStyle w:val="ListeParagraf"/>
        <w:numPr>
          <w:ilvl w:val="0"/>
          <w:numId w:val="82"/>
        </w:numPr>
        <w:jc w:val="both"/>
      </w:pPr>
      <w:r w:rsidRPr="00FF09C3">
        <w:lastRenderedPageBreak/>
        <w:t xml:space="preserve">Gülüm, İ. V. (2020). İyileştiren sınırlar. </w:t>
      </w:r>
      <w:proofErr w:type="spellStart"/>
      <w:r w:rsidRPr="00FF09C3">
        <w:t>Psikonet</w:t>
      </w:r>
      <w:proofErr w:type="spellEnd"/>
      <w:r w:rsidRPr="00FF09C3">
        <w:t xml:space="preserve"> yayınları. İstanbul. (7. Basım 2024).</w:t>
      </w:r>
    </w:p>
    <w:p w14:paraId="1847A4E8" w14:textId="77777777" w:rsidR="00E3302B" w:rsidRPr="00FF09C3" w:rsidRDefault="00E3302B">
      <w:pPr>
        <w:pStyle w:val="ListeParagraf"/>
        <w:numPr>
          <w:ilvl w:val="0"/>
          <w:numId w:val="82"/>
        </w:numPr>
        <w:jc w:val="both"/>
      </w:pPr>
      <w:r w:rsidRPr="00FF09C3">
        <w:t>Güngör, D. (2016). Psikolojide ölçme araçlarının geliştirilmesi ve uyarlanması kılavuzu. </w:t>
      </w:r>
      <w:r w:rsidRPr="0079785E">
        <w:rPr>
          <w:i/>
          <w:iCs/>
        </w:rPr>
        <w:t>Türk Psikoloji Yazıları</w:t>
      </w:r>
      <w:r w:rsidRPr="00FF09C3">
        <w:t>, </w:t>
      </w:r>
      <w:r w:rsidRPr="0079785E">
        <w:rPr>
          <w:i/>
          <w:iCs/>
        </w:rPr>
        <w:t>19</w:t>
      </w:r>
      <w:r w:rsidRPr="00FF09C3">
        <w:t>(38), 104-112.</w:t>
      </w:r>
    </w:p>
    <w:p w14:paraId="0F8E25E9" w14:textId="77777777" w:rsidR="00E3302B" w:rsidRPr="00FF09C3" w:rsidRDefault="00E3302B">
      <w:pPr>
        <w:pStyle w:val="ListeParagraf"/>
        <w:numPr>
          <w:ilvl w:val="0"/>
          <w:numId w:val="82"/>
        </w:numPr>
        <w:jc w:val="both"/>
      </w:pPr>
      <w:proofErr w:type="spellStart"/>
      <w:r w:rsidRPr="00FF09C3">
        <w:t>Haddou</w:t>
      </w:r>
      <w:proofErr w:type="spellEnd"/>
      <w:r w:rsidRPr="00FF09C3">
        <w:t xml:space="preserve">, M. (2018). Hayır Demeyi Bilmek (M. Selen, Çev.). İstanbul: İletişim. </w:t>
      </w:r>
    </w:p>
    <w:p w14:paraId="5B511603" w14:textId="77777777" w:rsidR="00E3302B" w:rsidRDefault="00E3302B">
      <w:pPr>
        <w:pStyle w:val="ListeParagraf"/>
        <w:numPr>
          <w:ilvl w:val="0"/>
          <w:numId w:val="82"/>
        </w:numPr>
        <w:jc w:val="both"/>
      </w:pPr>
      <w:proofErr w:type="spellStart"/>
      <w:r w:rsidRPr="00FF09C3">
        <w:t>Halfon</w:t>
      </w:r>
      <w:proofErr w:type="spellEnd"/>
      <w:r w:rsidRPr="00FF09C3">
        <w:t xml:space="preserve">, S., Özsoy, D., Kara, D., &amp; Çavdar, A. (2020). Gözleme dayalı terapötik ittifak ölçeği Türkçe </w:t>
      </w:r>
      <w:proofErr w:type="spellStart"/>
      <w:r w:rsidRPr="00FF09C3">
        <w:t>formu’nun</w:t>
      </w:r>
      <w:proofErr w:type="spellEnd"/>
      <w:r w:rsidRPr="00FF09C3">
        <w:t xml:space="preserve"> (GDTİÖ) psikometrik özellikleri (</w:t>
      </w:r>
      <w:proofErr w:type="spellStart"/>
      <w:r w:rsidRPr="00FF09C3">
        <w:t>GDTİÖ’nün</w:t>
      </w:r>
      <w:proofErr w:type="spellEnd"/>
      <w:r w:rsidRPr="00FF09C3">
        <w:t xml:space="preserve"> Psikometrik Özellikleri). </w:t>
      </w:r>
      <w:r w:rsidRPr="0079785E">
        <w:rPr>
          <w:i/>
        </w:rPr>
        <w:t>Türk Psikoloji Yazıları</w:t>
      </w:r>
      <w:r w:rsidRPr="00FF09C3">
        <w:t>, </w:t>
      </w:r>
      <w:r w:rsidRPr="0079785E">
        <w:rPr>
          <w:i/>
        </w:rPr>
        <w:t>23</w:t>
      </w:r>
      <w:r w:rsidRPr="00FF09C3">
        <w:t>(46), 55-71.</w:t>
      </w:r>
    </w:p>
    <w:p w14:paraId="50C65E09" w14:textId="77777777" w:rsidR="00E3302B" w:rsidRPr="00FF09C3" w:rsidRDefault="00E3302B">
      <w:pPr>
        <w:pStyle w:val="ListeParagraf"/>
        <w:numPr>
          <w:ilvl w:val="0"/>
          <w:numId w:val="82"/>
        </w:numPr>
        <w:jc w:val="both"/>
      </w:pPr>
      <w:r w:rsidRPr="00FF09C3">
        <w:t>Karakuş, S., &amp; Akbay, S. E. (2020). Psikolojik esneklik ölçeği: Uyarlama, geçerlik ve güvenirlik çalışması.</w:t>
      </w:r>
      <w:r>
        <w:t xml:space="preserve"> </w:t>
      </w:r>
      <w:r w:rsidRPr="0079785E">
        <w:rPr>
          <w:i/>
        </w:rPr>
        <w:t>Mersin Üniversitesi Eğitim Fakültesi Dergisi</w:t>
      </w:r>
      <w:r w:rsidRPr="00FF09C3">
        <w:t>,</w:t>
      </w:r>
      <w:r w:rsidRPr="0079785E">
        <w:rPr>
          <w:i/>
        </w:rPr>
        <w:t>16</w:t>
      </w:r>
      <w:r w:rsidRPr="00FF09C3">
        <w:t>(1), 32-43.</w:t>
      </w:r>
    </w:p>
    <w:p w14:paraId="65125D27" w14:textId="77777777" w:rsidR="00E3302B" w:rsidRPr="00FF09C3" w:rsidRDefault="00E3302B">
      <w:pPr>
        <w:pStyle w:val="ListeParagraf"/>
        <w:numPr>
          <w:ilvl w:val="0"/>
          <w:numId w:val="82"/>
        </w:numPr>
        <w:jc w:val="both"/>
      </w:pPr>
      <w:r w:rsidRPr="00FF09C3">
        <w:t xml:space="preserve">Kızıldağ, S. (2009). </w:t>
      </w:r>
      <w:r w:rsidRPr="0079785E">
        <w:rPr>
          <w:i/>
        </w:rPr>
        <w:t xml:space="preserve">Akademik başarının </w:t>
      </w:r>
      <w:proofErr w:type="spellStart"/>
      <w:r w:rsidRPr="0079785E">
        <w:rPr>
          <w:i/>
        </w:rPr>
        <w:t>yordayıcısı</w:t>
      </w:r>
      <w:proofErr w:type="spellEnd"/>
      <w:r w:rsidRPr="0079785E">
        <w:rPr>
          <w:i/>
        </w:rPr>
        <w:t xml:space="preserve"> olarak yalnızlık, boyun eğici davranışlar, sosyal destek</w:t>
      </w:r>
      <w:r w:rsidRPr="00FF09C3">
        <w:t> [Yayınlanmamış yüksek lisans tezi]. Hacettepe Üniversitesi.</w:t>
      </w:r>
    </w:p>
    <w:p w14:paraId="0C8C91DD" w14:textId="77777777" w:rsidR="00E3302B" w:rsidRPr="00FF09C3" w:rsidRDefault="00E3302B">
      <w:pPr>
        <w:pStyle w:val="ListeParagraf"/>
        <w:numPr>
          <w:ilvl w:val="0"/>
          <w:numId w:val="82"/>
        </w:numPr>
        <w:jc w:val="both"/>
      </w:pPr>
      <w:r w:rsidRPr="00FF09C3">
        <w:t xml:space="preserve">Lazarus, A.A. (1973). On </w:t>
      </w:r>
      <w:proofErr w:type="spellStart"/>
      <w:r w:rsidRPr="00FF09C3">
        <w:t>Assertive</w:t>
      </w:r>
      <w:proofErr w:type="spellEnd"/>
      <w:r w:rsidRPr="00FF09C3">
        <w:t xml:space="preserve"> </w:t>
      </w:r>
      <w:proofErr w:type="spellStart"/>
      <w:r w:rsidRPr="00FF09C3">
        <w:t>Behavior</w:t>
      </w:r>
      <w:proofErr w:type="spellEnd"/>
      <w:r w:rsidRPr="00FF09C3">
        <w:t xml:space="preserve">: A </w:t>
      </w:r>
      <w:proofErr w:type="spellStart"/>
      <w:r w:rsidRPr="00FF09C3">
        <w:t>Brief</w:t>
      </w:r>
      <w:proofErr w:type="spellEnd"/>
      <w:r w:rsidRPr="00FF09C3">
        <w:t xml:space="preserve"> </w:t>
      </w:r>
      <w:proofErr w:type="spellStart"/>
      <w:r w:rsidRPr="00FF09C3">
        <w:t>Note</w:t>
      </w:r>
      <w:proofErr w:type="spellEnd"/>
      <w:r w:rsidRPr="00FF09C3">
        <w:t xml:space="preserve">. </w:t>
      </w:r>
      <w:proofErr w:type="spellStart"/>
      <w:r w:rsidRPr="00FF09C3">
        <w:t>Behavior</w:t>
      </w:r>
      <w:proofErr w:type="spellEnd"/>
      <w:r w:rsidRPr="00FF09C3">
        <w:t xml:space="preserve"> </w:t>
      </w:r>
      <w:proofErr w:type="spellStart"/>
      <w:r w:rsidRPr="00FF09C3">
        <w:t>Therapy</w:t>
      </w:r>
      <w:proofErr w:type="spellEnd"/>
      <w:r w:rsidRPr="00FF09C3">
        <w:t>, 4(5): 697-699. doi.org/10.1016/S0005-7894(77)80067-1</w:t>
      </w:r>
    </w:p>
    <w:p w14:paraId="07C485F5" w14:textId="77777777" w:rsidR="00E3302B" w:rsidRPr="00FF09C3" w:rsidRDefault="00E3302B">
      <w:pPr>
        <w:pStyle w:val="ListeParagraf"/>
        <w:numPr>
          <w:ilvl w:val="0"/>
          <w:numId w:val="82"/>
        </w:numPr>
        <w:jc w:val="both"/>
      </w:pPr>
      <w:proofErr w:type="spellStart"/>
      <w:r w:rsidRPr="00FF09C3">
        <w:t>Moiseeva</w:t>
      </w:r>
      <w:proofErr w:type="spellEnd"/>
      <w:r w:rsidRPr="00FF09C3">
        <w:t xml:space="preserve">, N., </w:t>
      </w:r>
      <w:proofErr w:type="spellStart"/>
      <w:r w:rsidRPr="00FF09C3">
        <w:t>Gantseva</w:t>
      </w:r>
      <w:proofErr w:type="spellEnd"/>
      <w:r w:rsidRPr="00FF09C3">
        <w:t xml:space="preserve">, E., &amp; </w:t>
      </w:r>
      <w:proofErr w:type="spellStart"/>
      <w:r w:rsidRPr="00FF09C3">
        <w:t>Lymina</w:t>
      </w:r>
      <w:proofErr w:type="spellEnd"/>
      <w:r w:rsidRPr="00FF09C3">
        <w:t xml:space="preserve">, L. (2020). </w:t>
      </w:r>
      <w:proofErr w:type="spellStart"/>
      <w:r w:rsidRPr="00FF09C3">
        <w:t>The</w:t>
      </w:r>
      <w:proofErr w:type="spellEnd"/>
      <w:r w:rsidRPr="00FF09C3">
        <w:t xml:space="preserve"> </w:t>
      </w:r>
      <w:proofErr w:type="spellStart"/>
      <w:r w:rsidRPr="00FF09C3">
        <w:t>phenomenon</w:t>
      </w:r>
      <w:proofErr w:type="spellEnd"/>
      <w:r w:rsidRPr="00FF09C3">
        <w:t xml:space="preserve"> of </w:t>
      </w:r>
      <w:proofErr w:type="spellStart"/>
      <w:r w:rsidRPr="00FF09C3">
        <w:t>psychological</w:t>
      </w:r>
      <w:proofErr w:type="spellEnd"/>
      <w:r w:rsidRPr="00FF09C3">
        <w:t xml:space="preserve"> </w:t>
      </w:r>
      <w:proofErr w:type="spellStart"/>
      <w:r w:rsidRPr="00FF09C3">
        <w:t>boundaries</w:t>
      </w:r>
      <w:proofErr w:type="spellEnd"/>
      <w:r w:rsidRPr="00FF09C3">
        <w:t>.</w:t>
      </w:r>
      <w:r w:rsidRPr="0079785E">
        <w:rPr>
          <w:i/>
        </w:rPr>
        <w:t xml:space="preserve"> </w:t>
      </w:r>
      <w:proofErr w:type="spellStart"/>
      <w:r w:rsidRPr="0079785E">
        <w:rPr>
          <w:i/>
        </w:rPr>
        <w:t>European</w:t>
      </w:r>
      <w:proofErr w:type="spellEnd"/>
      <w:r w:rsidRPr="0079785E">
        <w:rPr>
          <w:i/>
        </w:rPr>
        <w:t xml:space="preserve"> </w:t>
      </w:r>
      <w:proofErr w:type="spellStart"/>
      <w:r w:rsidRPr="0079785E">
        <w:rPr>
          <w:i/>
        </w:rPr>
        <w:t>Proceedings</w:t>
      </w:r>
      <w:proofErr w:type="spellEnd"/>
      <w:r w:rsidRPr="0079785E">
        <w:rPr>
          <w:i/>
        </w:rPr>
        <w:t xml:space="preserve"> of </w:t>
      </w:r>
      <w:proofErr w:type="spellStart"/>
      <w:r w:rsidRPr="0079785E">
        <w:rPr>
          <w:i/>
        </w:rPr>
        <w:t>Social</w:t>
      </w:r>
      <w:proofErr w:type="spellEnd"/>
      <w:r w:rsidRPr="0079785E">
        <w:rPr>
          <w:i/>
        </w:rPr>
        <w:t xml:space="preserve"> </w:t>
      </w:r>
      <w:proofErr w:type="spellStart"/>
      <w:r w:rsidRPr="0079785E">
        <w:rPr>
          <w:i/>
        </w:rPr>
        <w:t>and</w:t>
      </w:r>
      <w:proofErr w:type="spellEnd"/>
      <w:r w:rsidRPr="0079785E">
        <w:rPr>
          <w:i/>
        </w:rPr>
        <w:t xml:space="preserve"> </w:t>
      </w:r>
      <w:proofErr w:type="spellStart"/>
      <w:r w:rsidRPr="0079785E">
        <w:rPr>
          <w:i/>
        </w:rPr>
        <w:t>Behavioral</w:t>
      </w:r>
      <w:proofErr w:type="spellEnd"/>
      <w:r w:rsidRPr="0079785E">
        <w:rPr>
          <w:i/>
        </w:rPr>
        <w:t xml:space="preserve"> </w:t>
      </w:r>
      <w:proofErr w:type="spellStart"/>
      <w:r w:rsidRPr="0079785E">
        <w:rPr>
          <w:i/>
        </w:rPr>
        <w:t>Sciences</w:t>
      </w:r>
      <w:proofErr w:type="spellEnd"/>
      <w:r w:rsidRPr="0079785E">
        <w:rPr>
          <w:i/>
        </w:rPr>
        <w:t>, 93</w:t>
      </w:r>
      <w:r w:rsidRPr="00FF09C3">
        <w:t xml:space="preserve">, 716-725. </w:t>
      </w:r>
      <w:hyperlink r:id="rId352" w:history="1">
        <w:r w:rsidRPr="0079785E">
          <w:rPr>
            <w:rStyle w:val="Kpr"/>
            <w:rFonts w:eastAsiaTheme="majorEastAsia"/>
          </w:rPr>
          <w:t>https://doi.org/10.15405/epsbs.2020.11.73</w:t>
        </w:r>
      </w:hyperlink>
      <w:r w:rsidRPr="00FF09C3">
        <w:t xml:space="preserve"> </w:t>
      </w:r>
    </w:p>
    <w:p w14:paraId="1953C419" w14:textId="77777777" w:rsidR="00E3302B" w:rsidRPr="00FF09C3" w:rsidRDefault="00E3302B">
      <w:pPr>
        <w:pStyle w:val="ListeParagraf"/>
        <w:numPr>
          <w:ilvl w:val="0"/>
          <w:numId w:val="82"/>
        </w:numPr>
        <w:jc w:val="both"/>
      </w:pPr>
      <w:r w:rsidRPr="00FF09C3">
        <w:t>Savaşır, I., Şahin, N. H. (1997). Bilişsel-Davranışçı terapilerde değerlendirme: Sık kullanılan ölçekler. Ankara: Türk Psikologlar Derneği Yayınları.</w:t>
      </w:r>
    </w:p>
    <w:p w14:paraId="3D96C07C" w14:textId="77777777" w:rsidR="00E3302B" w:rsidRPr="00FF09C3" w:rsidRDefault="00E3302B">
      <w:pPr>
        <w:pStyle w:val="ListeParagraf"/>
        <w:numPr>
          <w:ilvl w:val="0"/>
          <w:numId w:val="82"/>
        </w:numPr>
        <w:jc w:val="both"/>
      </w:pPr>
      <w:r w:rsidRPr="00FF09C3">
        <w:t xml:space="preserve">Sayar, B. (2012). </w:t>
      </w:r>
      <w:r w:rsidRPr="0079785E">
        <w:rPr>
          <w:i/>
        </w:rPr>
        <w:t xml:space="preserve">Üniversite öğrencilerinin mizah tarzları ile umutsuzluk ve boyun eğici davranışları arasındaki ilişkinin incelenmesi </w:t>
      </w:r>
      <w:r w:rsidRPr="00FF09C3">
        <w:t xml:space="preserve">[Yayınlanmamış yüksek lisans tezi]. Sakarya Üniversitesi. </w:t>
      </w:r>
    </w:p>
    <w:p w14:paraId="5B6320DF" w14:textId="77777777" w:rsidR="00E3302B" w:rsidRPr="00FF09C3" w:rsidRDefault="00E3302B">
      <w:pPr>
        <w:pStyle w:val="ListeParagraf"/>
        <w:numPr>
          <w:ilvl w:val="0"/>
          <w:numId w:val="82"/>
        </w:numPr>
        <w:jc w:val="both"/>
      </w:pPr>
      <w:proofErr w:type="spellStart"/>
      <w:r w:rsidRPr="00FF09C3">
        <w:t>Townsend</w:t>
      </w:r>
      <w:proofErr w:type="spellEnd"/>
      <w:r w:rsidRPr="00FF09C3">
        <w:t>, J., &amp; Cloud, H. (2022). Sınırlar (İ. İbik, Çev.; 1. Baskı). Diyojen Yayıncılık. (Orijinal kitap 1992 yılında basılmıştır)</w:t>
      </w:r>
    </w:p>
    <w:p w14:paraId="04F10453" w14:textId="77777777" w:rsidR="00E3302B" w:rsidRPr="00FF09C3" w:rsidRDefault="00E3302B">
      <w:pPr>
        <w:pStyle w:val="ListeParagraf"/>
        <w:numPr>
          <w:ilvl w:val="0"/>
          <w:numId w:val="82"/>
        </w:numPr>
        <w:jc w:val="both"/>
      </w:pPr>
      <w:r w:rsidRPr="00FF09C3">
        <w:t xml:space="preserve">Yılmaz, F., &amp; Sözer, M. A. (2018). Çocuklar için “hayır” diyebilme </w:t>
      </w:r>
      <w:proofErr w:type="spellStart"/>
      <w:r w:rsidRPr="00FF09C3">
        <w:t>becerisiölçeği</w:t>
      </w:r>
      <w:proofErr w:type="spellEnd"/>
      <w:r w:rsidRPr="00FF09C3">
        <w:t>: geçerlik ve güvenirlik çalışması. </w:t>
      </w:r>
      <w:r w:rsidRPr="0079785E">
        <w:rPr>
          <w:i/>
          <w:iCs/>
        </w:rPr>
        <w:t>Eğitimde ve Psikolojide Ölçme ve Değerlendirme Dergisi</w:t>
      </w:r>
      <w:r w:rsidRPr="00FF09C3">
        <w:t>, </w:t>
      </w:r>
      <w:r w:rsidRPr="0079785E">
        <w:rPr>
          <w:i/>
          <w:iCs/>
        </w:rPr>
        <w:t>9</w:t>
      </w:r>
      <w:r w:rsidRPr="00FF09C3">
        <w:t xml:space="preserve">(1), 33-48. </w:t>
      </w:r>
      <w:hyperlink r:id="rId353" w:history="1">
        <w:r w:rsidRPr="0079785E">
          <w:rPr>
            <w:rStyle w:val="Kpr"/>
            <w:rFonts w:eastAsiaTheme="majorEastAsia"/>
          </w:rPr>
          <w:t>https://toad.halileksi.net/wp-content/uploads/2022/07/cocuklar-icin-hayir-diyebilme-becerisi-olcegi-toad.pdf</w:t>
        </w:r>
      </w:hyperlink>
      <w:r w:rsidRPr="00FF09C3">
        <w:t xml:space="preserve"> </w:t>
      </w:r>
    </w:p>
    <w:p w14:paraId="2D3F9A8D" w14:textId="77777777" w:rsidR="00E3302B" w:rsidRPr="00FF09C3" w:rsidRDefault="00E3302B">
      <w:pPr>
        <w:pStyle w:val="ListeParagraf"/>
        <w:numPr>
          <w:ilvl w:val="0"/>
          <w:numId w:val="82"/>
        </w:numPr>
        <w:jc w:val="both"/>
      </w:pPr>
      <w:r w:rsidRPr="00FF09C3">
        <w:t xml:space="preserve">Yücesan, A., &amp; Ayaz Alkaya, S. (2018). Okullarda göz ardı edilen bir konu: Cinsel sağlık eğitimi. Süleyman Demirel Üniversitesi Tıp Fak Dergisi, 25(2), 200-209. </w:t>
      </w:r>
      <w:hyperlink r:id="rId354" w:history="1">
        <w:r w:rsidRPr="0079785E">
          <w:rPr>
            <w:rStyle w:val="Kpr"/>
            <w:rFonts w:eastAsiaTheme="majorEastAsia"/>
          </w:rPr>
          <w:t>https://doi.org/10.17343/sdutfd.342828</w:t>
        </w:r>
      </w:hyperlink>
      <w:r w:rsidRPr="00FF09C3">
        <w:t xml:space="preserve"> </w:t>
      </w:r>
    </w:p>
    <w:p w14:paraId="6010DE2F" w14:textId="7DB32524" w:rsidR="00E3302B" w:rsidRDefault="00E3302B">
      <w:pPr>
        <w:pStyle w:val="ListeParagraf"/>
        <w:numPr>
          <w:ilvl w:val="0"/>
          <w:numId w:val="82"/>
        </w:numPr>
        <w:jc w:val="both"/>
      </w:pPr>
      <w:proofErr w:type="spellStart"/>
      <w:r w:rsidRPr="00FF09C3">
        <w:t>Zborowski</w:t>
      </w:r>
      <w:proofErr w:type="spellEnd"/>
      <w:r w:rsidRPr="00FF09C3">
        <w:t xml:space="preserve">, M. J., </w:t>
      </w:r>
      <w:proofErr w:type="spellStart"/>
      <w:r w:rsidRPr="00FF09C3">
        <w:t>Hartmann</w:t>
      </w:r>
      <w:proofErr w:type="spellEnd"/>
      <w:r w:rsidRPr="00FF09C3">
        <w:t xml:space="preserve">, E., </w:t>
      </w:r>
      <w:proofErr w:type="spellStart"/>
      <w:r w:rsidRPr="00FF09C3">
        <w:t>Newsom</w:t>
      </w:r>
      <w:proofErr w:type="spellEnd"/>
      <w:r w:rsidRPr="00FF09C3">
        <w:t xml:space="preserve">, M. A., &amp; Banar, M. (2003). </w:t>
      </w:r>
      <w:proofErr w:type="spellStart"/>
      <w:r w:rsidRPr="00FF09C3">
        <w:t>The</w:t>
      </w:r>
      <w:proofErr w:type="spellEnd"/>
      <w:r w:rsidRPr="00FF09C3">
        <w:t xml:space="preserve"> </w:t>
      </w:r>
      <w:proofErr w:type="spellStart"/>
      <w:r w:rsidRPr="00FF09C3">
        <w:t>Hartmann</w:t>
      </w:r>
      <w:proofErr w:type="spellEnd"/>
      <w:r w:rsidRPr="00FF09C3">
        <w:t xml:space="preserve"> </w:t>
      </w:r>
      <w:proofErr w:type="spellStart"/>
      <w:r w:rsidRPr="00FF09C3">
        <w:t>Boundary</w:t>
      </w:r>
      <w:proofErr w:type="spellEnd"/>
      <w:r w:rsidRPr="00FF09C3">
        <w:t xml:space="preserve"> </w:t>
      </w:r>
      <w:proofErr w:type="spellStart"/>
      <w:r w:rsidRPr="00FF09C3">
        <w:t>Questionnaire</w:t>
      </w:r>
      <w:proofErr w:type="spellEnd"/>
      <w:r w:rsidRPr="00FF09C3">
        <w:t xml:space="preserve">: two </w:t>
      </w:r>
      <w:proofErr w:type="spellStart"/>
      <w:r w:rsidRPr="00FF09C3">
        <w:t>studies</w:t>
      </w:r>
      <w:proofErr w:type="spellEnd"/>
      <w:r w:rsidRPr="00FF09C3">
        <w:t xml:space="preserve"> </w:t>
      </w:r>
      <w:proofErr w:type="spellStart"/>
      <w:r w:rsidRPr="00FF09C3">
        <w:t>examining</w:t>
      </w:r>
      <w:proofErr w:type="spellEnd"/>
      <w:r w:rsidRPr="00FF09C3">
        <w:t xml:space="preserve"> </w:t>
      </w:r>
      <w:proofErr w:type="spellStart"/>
      <w:r w:rsidRPr="00FF09C3">
        <w:t>personality</w:t>
      </w:r>
      <w:proofErr w:type="spellEnd"/>
      <w:r w:rsidRPr="00FF09C3">
        <w:t xml:space="preserve"> </w:t>
      </w:r>
      <w:proofErr w:type="spellStart"/>
      <w:r w:rsidRPr="00FF09C3">
        <w:t>correlates</w:t>
      </w:r>
      <w:proofErr w:type="spellEnd"/>
      <w:r w:rsidRPr="00FF09C3">
        <w:t xml:space="preserve"> </w:t>
      </w:r>
      <w:proofErr w:type="spellStart"/>
      <w:r w:rsidRPr="00FF09C3">
        <w:t>and</w:t>
      </w:r>
      <w:proofErr w:type="spellEnd"/>
      <w:r w:rsidRPr="00FF09C3">
        <w:t xml:space="preserve"> interpersonal </w:t>
      </w:r>
      <w:proofErr w:type="spellStart"/>
      <w:r w:rsidRPr="00FF09C3">
        <w:t>behavior</w:t>
      </w:r>
      <w:proofErr w:type="spellEnd"/>
      <w:r w:rsidRPr="00FF09C3">
        <w:t>. </w:t>
      </w:r>
      <w:proofErr w:type="spellStart"/>
      <w:r w:rsidRPr="0079785E">
        <w:rPr>
          <w:i/>
          <w:iCs/>
        </w:rPr>
        <w:t>Imagination</w:t>
      </w:r>
      <w:proofErr w:type="spellEnd"/>
      <w:r w:rsidRPr="0079785E">
        <w:rPr>
          <w:i/>
          <w:iCs/>
        </w:rPr>
        <w:t xml:space="preserve">, </w:t>
      </w:r>
      <w:proofErr w:type="spellStart"/>
      <w:r w:rsidRPr="0079785E">
        <w:rPr>
          <w:i/>
          <w:iCs/>
        </w:rPr>
        <w:t>Cognition</w:t>
      </w:r>
      <w:proofErr w:type="spellEnd"/>
      <w:r w:rsidRPr="0079785E">
        <w:rPr>
          <w:i/>
          <w:iCs/>
        </w:rPr>
        <w:t xml:space="preserve"> </w:t>
      </w:r>
      <w:proofErr w:type="spellStart"/>
      <w:r w:rsidRPr="0079785E">
        <w:rPr>
          <w:i/>
          <w:iCs/>
        </w:rPr>
        <w:t>and</w:t>
      </w:r>
      <w:proofErr w:type="spellEnd"/>
      <w:r w:rsidRPr="0079785E">
        <w:rPr>
          <w:i/>
          <w:iCs/>
        </w:rPr>
        <w:t xml:space="preserve"> </w:t>
      </w:r>
      <w:proofErr w:type="spellStart"/>
      <w:r w:rsidRPr="0079785E">
        <w:rPr>
          <w:i/>
          <w:iCs/>
        </w:rPr>
        <w:t>Personality</w:t>
      </w:r>
      <w:proofErr w:type="spellEnd"/>
      <w:r w:rsidRPr="00FF09C3">
        <w:t>, </w:t>
      </w:r>
      <w:r w:rsidRPr="0079785E">
        <w:rPr>
          <w:i/>
          <w:iCs/>
        </w:rPr>
        <w:t>23</w:t>
      </w:r>
      <w:r w:rsidRPr="00FF09C3">
        <w:t xml:space="preserve">(1), 45-62. </w:t>
      </w:r>
      <w:hyperlink r:id="rId355" w:history="1">
        <w:r w:rsidRPr="0079785E">
          <w:rPr>
            <w:rStyle w:val="Kpr"/>
            <w:rFonts w:eastAsiaTheme="majorEastAsia"/>
          </w:rPr>
          <w:t>https://doi.org/10.2190/TPMB-PE1A-L6UU-1JUL</w:t>
        </w:r>
      </w:hyperlink>
      <w:r w:rsidRPr="00FF09C3">
        <w:t xml:space="preserve"> </w:t>
      </w:r>
    </w:p>
    <w:p w14:paraId="3C63E6D1" w14:textId="77777777" w:rsidR="00D37D80" w:rsidRDefault="00D37D80" w:rsidP="00E3302B">
      <w:pPr>
        <w:jc w:val="both"/>
      </w:pPr>
    </w:p>
    <w:p w14:paraId="4EF7B8D0" w14:textId="77777777" w:rsidR="00D37D80" w:rsidRDefault="00D37D80" w:rsidP="00E3302B">
      <w:pPr>
        <w:jc w:val="both"/>
      </w:pPr>
    </w:p>
    <w:p w14:paraId="2EFBA0E9" w14:textId="77777777" w:rsidR="00D37D80" w:rsidRDefault="00D37D80" w:rsidP="00E3302B">
      <w:pPr>
        <w:jc w:val="both"/>
      </w:pPr>
    </w:p>
    <w:p w14:paraId="17964503" w14:textId="77777777" w:rsidR="00D37D80" w:rsidRDefault="00D37D80" w:rsidP="00E3302B">
      <w:pPr>
        <w:jc w:val="both"/>
      </w:pPr>
    </w:p>
    <w:p w14:paraId="54241FB7" w14:textId="77777777" w:rsidR="00D37D80" w:rsidRDefault="00D37D80" w:rsidP="00E3302B">
      <w:pPr>
        <w:jc w:val="both"/>
      </w:pPr>
    </w:p>
    <w:p w14:paraId="531DF544" w14:textId="77777777" w:rsidR="00D37D80" w:rsidRDefault="00D37D80" w:rsidP="00E3302B">
      <w:pPr>
        <w:jc w:val="both"/>
      </w:pPr>
    </w:p>
    <w:p w14:paraId="0A039DEE" w14:textId="77777777" w:rsidR="00D37D80" w:rsidRDefault="00D37D80" w:rsidP="00E3302B">
      <w:pPr>
        <w:jc w:val="both"/>
      </w:pPr>
    </w:p>
    <w:p w14:paraId="542798AB" w14:textId="77777777" w:rsidR="00D37D80" w:rsidRDefault="00D37D80" w:rsidP="00E3302B">
      <w:pPr>
        <w:jc w:val="both"/>
      </w:pPr>
    </w:p>
    <w:p w14:paraId="67445B72" w14:textId="77777777" w:rsidR="00D37D80" w:rsidRDefault="00D37D80" w:rsidP="00E3302B">
      <w:pPr>
        <w:jc w:val="both"/>
      </w:pPr>
    </w:p>
    <w:p w14:paraId="5C91D880" w14:textId="77777777" w:rsidR="00D37D80" w:rsidRDefault="00D37D80" w:rsidP="00E3302B">
      <w:pPr>
        <w:jc w:val="both"/>
      </w:pPr>
    </w:p>
    <w:p w14:paraId="3CC73A2C" w14:textId="77777777" w:rsidR="00D37D80" w:rsidRDefault="00D37D80" w:rsidP="00E3302B">
      <w:pPr>
        <w:jc w:val="both"/>
      </w:pPr>
    </w:p>
    <w:p w14:paraId="654FE935" w14:textId="77777777" w:rsidR="00D37D80" w:rsidRDefault="00D37D80" w:rsidP="00E3302B">
      <w:pPr>
        <w:jc w:val="both"/>
      </w:pPr>
    </w:p>
    <w:p w14:paraId="6A469198" w14:textId="77777777" w:rsidR="00D37D80" w:rsidRDefault="00D37D80" w:rsidP="00E3302B">
      <w:pPr>
        <w:jc w:val="both"/>
      </w:pPr>
    </w:p>
    <w:p w14:paraId="7E4979DB" w14:textId="77777777" w:rsidR="00D37D80" w:rsidRDefault="00D37D80" w:rsidP="00E3302B">
      <w:pPr>
        <w:jc w:val="both"/>
      </w:pPr>
    </w:p>
    <w:p w14:paraId="715920EF" w14:textId="77777777" w:rsidR="00D37D80" w:rsidRDefault="00D37D80" w:rsidP="00E3302B">
      <w:pPr>
        <w:jc w:val="both"/>
      </w:pPr>
    </w:p>
    <w:p w14:paraId="649B2009" w14:textId="77777777" w:rsidR="00D37D80" w:rsidRDefault="00D37D80" w:rsidP="00E3302B">
      <w:pPr>
        <w:jc w:val="both"/>
      </w:pPr>
    </w:p>
    <w:p w14:paraId="70D88F17" w14:textId="77777777" w:rsidR="00D37D80" w:rsidRDefault="00D37D80" w:rsidP="00E3302B">
      <w:pPr>
        <w:jc w:val="both"/>
      </w:pPr>
    </w:p>
    <w:p w14:paraId="0EA5A50F" w14:textId="77777777" w:rsidR="00D37D80" w:rsidRDefault="00D37D80" w:rsidP="00E3302B">
      <w:pPr>
        <w:jc w:val="both"/>
      </w:pPr>
    </w:p>
    <w:p w14:paraId="104C8B89" w14:textId="77777777" w:rsidR="00D37D80" w:rsidRDefault="00D37D80" w:rsidP="00E3302B">
      <w:pPr>
        <w:jc w:val="both"/>
      </w:pPr>
    </w:p>
    <w:p w14:paraId="0228A3DE" w14:textId="77777777" w:rsidR="00E3302B" w:rsidRDefault="00E3302B" w:rsidP="00E3302B">
      <w:pPr>
        <w:jc w:val="both"/>
      </w:pPr>
    </w:p>
    <w:p w14:paraId="6C23399D" w14:textId="77777777" w:rsidR="00E3302B" w:rsidRPr="00593F1B" w:rsidRDefault="00E3302B" w:rsidP="00E3302B">
      <w:pPr>
        <w:spacing w:line="480" w:lineRule="auto"/>
        <w:ind w:left="567" w:hanging="567"/>
        <w:jc w:val="center"/>
        <w:rPr>
          <w:b/>
        </w:rPr>
      </w:pPr>
      <w:r w:rsidRPr="00593F1B">
        <w:rPr>
          <w:b/>
        </w:rPr>
        <w:t>Ek 1</w:t>
      </w:r>
    </w:p>
    <w:p w14:paraId="1E661E32" w14:textId="77777777" w:rsidR="00E3302B" w:rsidRPr="00593F1B" w:rsidRDefault="00E3302B" w:rsidP="00E3302B">
      <w:pPr>
        <w:spacing w:line="480" w:lineRule="auto"/>
        <w:ind w:left="567" w:hanging="567"/>
        <w:jc w:val="center"/>
      </w:pPr>
      <w:r w:rsidRPr="00593F1B">
        <w:t>Sınır Koruma Ölçeği</w:t>
      </w:r>
      <w:r>
        <w:t xml:space="preserve"> Örnek Maddeler</w:t>
      </w:r>
    </w:p>
    <w:p w14:paraId="4EA12C9F" w14:textId="77777777" w:rsidR="00E3302B" w:rsidRDefault="00E3302B" w:rsidP="00E3302B">
      <w:pPr>
        <w:pStyle w:val="GvdeMetni"/>
        <w:rPr>
          <w:color w:val="202124"/>
        </w:rPr>
      </w:pPr>
      <w:r>
        <w:rPr>
          <w:color w:val="202124"/>
        </w:rPr>
        <w:t>Aşağıdaki cümlelerde ifade edilen davranışları ne sıklıkla gösterdiğinizi her bir cümlenin karşısında yer alan dereceleme ölçeğini kullanarak belirtiniz. Her bir madde için yalnızca bir kez işaretleme yapınız.</w:t>
      </w:r>
    </w:p>
    <w:p w14:paraId="18399C0B" w14:textId="77777777" w:rsidR="00E3302B" w:rsidRDefault="00E3302B" w:rsidP="00E3302B">
      <w:pPr>
        <w:pStyle w:val="GvdeMetni"/>
        <w:rPr>
          <w:color w:val="202124"/>
        </w:rPr>
      </w:pPr>
    </w:p>
    <w:tbl>
      <w:tblPr>
        <w:tblpPr w:leftFromText="141" w:rightFromText="141" w:vertAnchor="text" w:horzAnchor="margin" w:tblpXSpec="center" w:tblpY="376"/>
        <w:tblW w:w="10320" w:type="dxa"/>
        <w:tblLayout w:type="fixed"/>
        <w:tblCellMar>
          <w:top w:w="55" w:type="dxa"/>
          <w:left w:w="55" w:type="dxa"/>
          <w:bottom w:w="55" w:type="dxa"/>
          <w:right w:w="55" w:type="dxa"/>
        </w:tblCellMar>
        <w:tblLook w:val="04A0" w:firstRow="1" w:lastRow="0" w:firstColumn="1" w:lastColumn="0" w:noHBand="0" w:noVBand="1"/>
      </w:tblPr>
      <w:tblGrid>
        <w:gridCol w:w="6635"/>
        <w:gridCol w:w="709"/>
        <w:gridCol w:w="708"/>
        <w:gridCol w:w="851"/>
        <w:gridCol w:w="709"/>
        <w:gridCol w:w="708"/>
      </w:tblGrid>
      <w:tr w:rsidR="00E3302B" w14:paraId="2626481C" w14:textId="77777777" w:rsidTr="0027292C">
        <w:trPr>
          <w:cantSplit/>
          <w:trHeight w:val="1305"/>
        </w:trPr>
        <w:tc>
          <w:tcPr>
            <w:tcW w:w="6635" w:type="dxa"/>
            <w:tcBorders>
              <w:top w:val="single" w:sz="2" w:space="0" w:color="000000"/>
              <w:left w:val="single" w:sz="2" w:space="0" w:color="000000"/>
              <w:bottom w:val="single" w:sz="2" w:space="0" w:color="000000"/>
              <w:right w:val="nil"/>
            </w:tcBorders>
          </w:tcPr>
          <w:p w14:paraId="75240206" w14:textId="77777777" w:rsidR="00E3302B" w:rsidRDefault="00E3302B" w:rsidP="0027292C">
            <w:pPr>
              <w:pStyle w:val="Tabloerii"/>
              <w:rPr>
                <w:rFonts w:ascii="Times New Roman" w:hAnsi="Times New Roman" w:cs="Times New Roman"/>
              </w:rPr>
            </w:pPr>
          </w:p>
        </w:tc>
        <w:tc>
          <w:tcPr>
            <w:tcW w:w="709" w:type="dxa"/>
            <w:tcBorders>
              <w:top w:val="single" w:sz="2" w:space="0" w:color="000000"/>
              <w:left w:val="single" w:sz="2" w:space="0" w:color="000000"/>
              <w:bottom w:val="single" w:sz="2" w:space="0" w:color="000000"/>
              <w:right w:val="nil"/>
            </w:tcBorders>
            <w:textDirection w:val="tbRl"/>
            <w:hideMark/>
          </w:tcPr>
          <w:p w14:paraId="016E8A95" w14:textId="77777777" w:rsidR="00E3302B" w:rsidRDefault="00E3302B" w:rsidP="0027292C">
            <w:pPr>
              <w:pStyle w:val="Tabloerii"/>
              <w:ind w:left="113" w:right="113"/>
              <w:rPr>
                <w:rFonts w:ascii="Times New Roman" w:hAnsi="Times New Roman" w:cs="Times New Roman"/>
              </w:rPr>
            </w:pPr>
            <w:r>
              <w:rPr>
                <w:rFonts w:ascii="Times New Roman" w:hAnsi="Times New Roman" w:cs="Times New Roman"/>
              </w:rPr>
              <w:t>Neredeyse hiç</w:t>
            </w:r>
          </w:p>
        </w:tc>
        <w:tc>
          <w:tcPr>
            <w:tcW w:w="708" w:type="dxa"/>
            <w:tcBorders>
              <w:top w:val="single" w:sz="2" w:space="0" w:color="000000"/>
              <w:left w:val="single" w:sz="2" w:space="0" w:color="000000"/>
              <w:bottom w:val="single" w:sz="2" w:space="0" w:color="000000"/>
              <w:right w:val="nil"/>
            </w:tcBorders>
            <w:textDirection w:val="tbRl"/>
            <w:hideMark/>
          </w:tcPr>
          <w:p w14:paraId="08C726E9" w14:textId="77777777" w:rsidR="00E3302B" w:rsidRDefault="00E3302B" w:rsidP="0027292C">
            <w:pPr>
              <w:pStyle w:val="Tabloerii"/>
              <w:ind w:left="113" w:right="113"/>
              <w:rPr>
                <w:rFonts w:ascii="Times New Roman" w:hAnsi="Times New Roman" w:cs="Times New Roman"/>
              </w:rPr>
            </w:pPr>
            <w:r>
              <w:rPr>
                <w:rFonts w:ascii="Times New Roman" w:hAnsi="Times New Roman" w:cs="Times New Roman"/>
              </w:rPr>
              <w:t>Nadiren</w:t>
            </w:r>
          </w:p>
        </w:tc>
        <w:tc>
          <w:tcPr>
            <w:tcW w:w="851" w:type="dxa"/>
            <w:tcBorders>
              <w:top w:val="single" w:sz="2" w:space="0" w:color="000000"/>
              <w:left w:val="single" w:sz="2" w:space="0" w:color="000000"/>
              <w:bottom w:val="single" w:sz="2" w:space="0" w:color="000000"/>
              <w:right w:val="nil"/>
            </w:tcBorders>
            <w:textDirection w:val="tbRl"/>
            <w:hideMark/>
          </w:tcPr>
          <w:p w14:paraId="5B2C75A3" w14:textId="77777777" w:rsidR="00E3302B" w:rsidRDefault="00E3302B" w:rsidP="0027292C">
            <w:pPr>
              <w:pStyle w:val="Tabloerii"/>
              <w:ind w:left="113" w:right="113"/>
              <w:rPr>
                <w:rFonts w:ascii="Times New Roman" w:hAnsi="Times New Roman" w:cs="Times New Roman"/>
              </w:rPr>
            </w:pPr>
            <w:r>
              <w:rPr>
                <w:rFonts w:ascii="Times New Roman" w:hAnsi="Times New Roman" w:cs="Times New Roman"/>
              </w:rPr>
              <w:t xml:space="preserve">Ara sıra </w:t>
            </w:r>
          </w:p>
        </w:tc>
        <w:tc>
          <w:tcPr>
            <w:tcW w:w="709" w:type="dxa"/>
            <w:tcBorders>
              <w:top w:val="single" w:sz="2" w:space="0" w:color="000000"/>
              <w:left w:val="single" w:sz="2" w:space="0" w:color="000000"/>
              <w:bottom w:val="single" w:sz="2" w:space="0" w:color="000000"/>
              <w:right w:val="nil"/>
            </w:tcBorders>
            <w:textDirection w:val="tbRl"/>
            <w:hideMark/>
          </w:tcPr>
          <w:p w14:paraId="53A9CE03" w14:textId="77777777" w:rsidR="00E3302B" w:rsidRDefault="00E3302B" w:rsidP="0027292C">
            <w:pPr>
              <w:pStyle w:val="Tabloerii"/>
              <w:ind w:left="113" w:right="113"/>
              <w:rPr>
                <w:rFonts w:ascii="Times New Roman" w:hAnsi="Times New Roman" w:cs="Times New Roman"/>
              </w:rPr>
            </w:pPr>
            <w:r>
              <w:rPr>
                <w:rFonts w:ascii="Times New Roman" w:hAnsi="Times New Roman" w:cs="Times New Roman"/>
              </w:rPr>
              <w:t>Sıklıkla</w:t>
            </w:r>
          </w:p>
        </w:tc>
        <w:tc>
          <w:tcPr>
            <w:tcW w:w="708" w:type="dxa"/>
            <w:tcBorders>
              <w:top w:val="single" w:sz="2" w:space="0" w:color="000000"/>
              <w:left w:val="single" w:sz="2" w:space="0" w:color="000000"/>
              <w:bottom w:val="single" w:sz="2" w:space="0" w:color="000000"/>
              <w:right w:val="single" w:sz="2" w:space="0" w:color="000000"/>
            </w:tcBorders>
            <w:textDirection w:val="tbRl"/>
            <w:hideMark/>
          </w:tcPr>
          <w:p w14:paraId="34511884" w14:textId="77777777" w:rsidR="00E3302B" w:rsidRDefault="00E3302B" w:rsidP="0027292C">
            <w:pPr>
              <w:pStyle w:val="Tabloerii"/>
              <w:ind w:left="113" w:right="113"/>
              <w:rPr>
                <w:rFonts w:ascii="Times New Roman" w:hAnsi="Times New Roman" w:cs="Times New Roman"/>
              </w:rPr>
            </w:pPr>
            <w:r>
              <w:rPr>
                <w:rFonts w:ascii="Times New Roman" w:hAnsi="Times New Roman" w:cs="Times New Roman"/>
              </w:rPr>
              <w:t xml:space="preserve">Neredeyse her zaman </w:t>
            </w:r>
          </w:p>
        </w:tc>
      </w:tr>
      <w:tr w:rsidR="00E3302B" w14:paraId="06D7C636" w14:textId="77777777" w:rsidTr="0027292C">
        <w:tc>
          <w:tcPr>
            <w:tcW w:w="6635" w:type="dxa"/>
            <w:tcBorders>
              <w:top w:val="nil"/>
              <w:left w:val="single" w:sz="2" w:space="0" w:color="000000"/>
              <w:bottom w:val="single" w:sz="2" w:space="0" w:color="000000"/>
              <w:right w:val="nil"/>
            </w:tcBorders>
            <w:hideMark/>
          </w:tcPr>
          <w:p w14:paraId="25A930F1" w14:textId="77777777" w:rsidR="00E3302B" w:rsidRDefault="00E3302B" w:rsidP="0027292C">
            <w:pPr>
              <w:pStyle w:val="Tabloerii"/>
              <w:rPr>
                <w:rFonts w:ascii="Times New Roman" w:hAnsi="Times New Roman" w:cs="Times New Roman"/>
              </w:rPr>
            </w:pPr>
            <w:r>
              <w:rPr>
                <w:rFonts w:ascii="Times New Roman" w:hAnsi="Times New Roman" w:cs="Times New Roman"/>
              </w:rPr>
              <w:t>1.Çatışmadan kaçınmak için “hayır” yerine “evet” demeyi tercih ederim.</w:t>
            </w:r>
          </w:p>
        </w:tc>
        <w:tc>
          <w:tcPr>
            <w:tcW w:w="709" w:type="dxa"/>
            <w:tcBorders>
              <w:top w:val="nil"/>
              <w:left w:val="single" w:sz="2" w:space="0" w:color="000000"/>
              <w:bottom w:val="single" w:sz="2" w:space="0" w:color="000000"/>
              <w:right w:val="nil"/>
            </w:tcBorders>
          </w:tcPr>
          <w:p w14:paraId="66C74E10"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070AA4B7"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3E5DBF59"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2D827C05"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01DC989F" w14:textId="77777777" w:rsidR="00E3302B" w:rsidRDefault="00E3302B" w:rsidP="0027292C">
            <w:pPr>
              <w:pStyle w:val="Tabloerii"/>
              <w:rPr>
                <w:rFonts w:ascii="Times New Roman" w:hAnsi="Times New Roman" w:cs="Times New Roman"/>
              </w:rPr>
            </w:pPr>
          </w:p>
        </w:tc>
      </w:tr>
      <w:tr w:rsidR="00E3302B" w14:paraId="6E9BE8FD" w14:textId="77777777" w:rsidTr="0027292C">
        <w:tc>
          <w:tcPr>
            <w:tcW w:w="6635" w:type="dxa"/>
            <w:tcBorders>
              <w:top w:val="nil"/>
              <w:left w:val="single" w:sz="2" w:space="0" w:color="000000"/>
              <w:bottom w:val="single" w:sz="2" w:space="0" w:color="000000"/>
              <w:right w:val="nil"/>
            </w:tcBorders>
          </w:tcPr>
          <w:p w14:paraId="1EDBACCF" w14:textId="77777777" w:rsidR="00E3302B" w:rsidRDefault="00E3302B" w:rsidP="0027292C">
            <w:pPr>
              <w:pStyle w:val="Tabloerii"/>
              <w:rPr>
                <w:rFonts w:ascii="Times New Roman" w:hAnsi="Times New Roman" w:cs="Times New Roman"/>
              </w:rPr>
            </w:pPr>
            <w:r>
              <w:rPr>
                <w:rFonts w:ascii="Times New Roman" w:hAnsi="Times New Roman" w:cs="Times New Roman"/>
              </w:rPr>
              <w:t xml:space="preserve">2. Başkaları kolaylıkla tadımı kaçırabilir. </w:t>
            </w:r>
          </w:p>
        </w:tc>
        <w:tc>
          <w:tcPr>
            <w:tcW w:w="709" w:type="dxa"/>
            <w:tcBorders>
              <w:top w:val="nil"/>
              <w:left w:val="single" w:sz="2" w:space="0" w:color="000000"/>
              <w:bottom w:val="single" w:sz="2" w:space="0" w:color="000000"/>
              <w:right w:val="nil"/>
            </w:tcBorders>
          </w:tcPr>
          <w:p w14:paraId="6C814B97"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373DDEF9"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5B9FC2F5"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1B071C4E"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7AD59401" w14:textId="77777777" w:rsidR="00E3302B" w:rsidRDefault="00E3302B" w:rsidP="0027292C">
            <w:pPr>
              <w:pStyle w:val="Tabloerii"/>
              <w:rPr>
                <w:rFonts w:ascii="Times New Roman" w:hAnsi="Times New Roman" w:cs="Times New Roman"/>
              </w:rPr>
            </w:pPr>
          </w:p>
        </w:tc>
      </w:tr>
      <w:tr w:rsidR="00E3302B" w14:paraId="325B1531" w14:textId="77777777" w:rsidTr="0027292C">
        <w:tc>
          <w:tcPr>
            <w:tcW w:w="6635" w:type="dxa"/>
            <w:tcBorders>
              <w:top w:val="nil"/>
              <w:left w:val="single" w:sz="2" w:space="0" w:color="000000"/>
              <w:bottom w:val="single" w:sz="2" w:space="0" w:color="000000"/>
              <w:right w:val="nil"/>
            </w:tcBorders>
            <w:hideMark/>
          </w:tcPr>
          <w:p w14:paraId="6E463110" w14:textId="77777777" w:rsidR="00E3302B" w:rsidRDefault="00E3302B" w:rsidP="0027292C">
            <w:pPr>
              <w:pStyle w:val="Tabloerii"/>
              <w:rPr>
                <w:rFonts w:ascii="Times New Roman" w:hAnsi="Times New Roman" w:cs="Times New Roman"/>
              </w:rPr>
            </w:pPr>
            <w:r>
              <w:rPr>
                <w:rFonts w:ascii="Times New Roman" w:hAnsi="Times New Roman" w:cs="Times New Roman"/>
              </w:rPr>
              <w:t>5.Hayır diyerek başkalarını gücendirmek istemem.</w:t>
            </w:r>
          </w:p>
        </w:tc>
        <w:tc>
          <w:tcPr>
            <w:tcW w:w="709" w:type="dxa"/>
            <w:tcBorders>
              <w:top w:val="nil"/>
              <w:left w:val="single" w:sz="2" w:space="0" w:color="000000"/>
              <w:bottom w:val="single" w:sz="2" w:space="0" w:color="000000"/>
              <w:right w:val="nil"/>
            </w:tcBorders>
          </w:tcPr>
          <w:p w14:paraId="15D51618"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2ABD641F"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3EB6C517"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04B3D64E"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023124BD" w14:textId="77777777" w:rsidR="00E3302B" w:rsidRDefault="00E3302B" w:rsidP="0027292C">
            <w:pPr>
              <w:pStyle w:val="Tabloerii"/>
              <w:rPr>
                <w:rFonts w:ascii="Times New Roman" w:hAnsi="Times New Roman" w:cs="Times New Roman"/>
              </w:rPr>
            </w:pPr>
          </w:p>
        </w:tc>
      </w:tr>
      <w:tr w:rsidR="00E3302B" w14:paraId="3D91C6A1" w14:textId="77777777" w:rsidTr="0027292C">
        <w:tc>
          <w:tcPr>
            <w:tcW w:w="6635" w:type="dxa"/>
            <w:tcBorders>
              <w:top w:val="nil"/>
              <w:left w:val="single" w:sz="2" w:space="0" w:color="000000"/>
              <w:bottom w:val="single" w:sz="2" w:space="0" w:color="000000"/>
              <w:right w:val="nil"/>
            </w:tcBorders>
            <w:hideMark/>
          </w:tcPr>
          <w:p w14:paraId="6B48CAEC" w14:textId="77777777" w:rsidR="00E3302B" w:rsidRDefault="00E3302B" w:rsidP="0027292C">
            <w:pPr>
              <w:pStyle w:val="Tabloerii"/>
              <w:rPr>
                <w:rFonts w:ascii="Times New Roman" w:hAnsi="Times New Roman" w:cs="Times New Roman"/>
              </w:rPr>
            </w:pPr>
            <w:r>
              <w:rPr>
                <w:rFonts w:ascii="Times New Roman" w:hAnsi="Times New Roman" w:cs="Times New Roman"/>
              </w:rPr>
              <w:t>6.Konuyu değiştirmek için doğru anın ne zaman olduğunu bilirim.</w:t>
            </w:r>
          </w:p>
        </w:tc>
        <w:tc>
          <w:tcPr>
            <w:tcW w:w="709" w:type="dxa"/>
            <w:tcBorders>
              <w:top w:val="nil"/>
              <w:left w:val="single" w:sz="2" w:space="0" w:color="000000"/>
              <w:bottom w:val="single" w:sz="2" w:space="0" w:color="000000"/>
              <w:right w:val="nil"/>
            </w:tcBorders>
          </w:tcPr>
          <w:p w14:paraId="629DB392"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56FEE132"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0B12305B"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53D5C9D5"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4BACC1C0" w14:textId="77777777" w:rsidR="00E3302B" w:rsidRDefault="00E3302B" w:rsidP="0027292C">
            <w:pPr>
              <w:pStyle w:val="Tabloerii"/>
              <w:rPr>
                <w:rFonts w:ascii="Times New Roman" w:hAnsi="Times New Roman" w:cs="Times New Roman"/>
              </w:rPr>
            </w:pPr>
          </w:p>
        </w:tc>
      </w:tr>
      <w:tr w:rsidR="00E3302B" w14:paraId="24CBC27E" w14:textId="77777777" w:rsidTr="0027292C">
        <w:tc>
          <w:tcPr>
            <w:tcW w:w="6635" w:type="dxa"/>
            <w:tcBorders>
              <w:top w:val="nil"/>
              <w:left w:val="single" w:sz="2" w:space="0" w:color="000000"/>
              <w:bottom w:val="single" w:sz="2" w:space="0" w:color="000000"/>
              <w:right w:val="nil"/>
            </w:tcBorders>
            <w:hideMark/>
          </w:tcPr>
          <w:p w14:paraId="1C7DED33" w14:textId="77777777" w:rsidR="00E3302B" w:rsidRDefault="00E3302B" w:rsidP="0027292C">
            <w:pPr>
              <w:pStyle w:val="Tabloerii"/>
              <w:rPr>
                <w:rFonts w:ascii="Times New Roman" w:hAnsi="Times New Roman" w:cs="Times New Roman"/>
              </w:rPr>
            </w:pPr>
            <w:r>
              <w:rPr>
                <w:rFonts w:ascii="Times New Roman" w:hAnsi="Times New Roman" w:cs="Times New Roman"/>
              </w:rPr>
              <w:t>8.“Hayır” cevabım kolaylıkla “</w:t>
            </w:r>
            <w:proofErr w:type="spellStart"/>
            <w:r>
              <w:rPr>
                <w:rFonts w:ascii="Times New Roman" w:hAnsi="Times New Roman" w:cs="Times New Roman"/>
              </w:rPr>
              <w:t>evet”e</w:t>
            </w:r>
            <w:proofErr w:type="spellEnd"/>
            <w:r>
              <w:rPr>
                <w:rFonts w:ascii="Times New Roman" w:hAnsi="Times New Roman" w:cs="Times New Roman"/>
              </w:rPr>
              <w:t xml:space="preserve"> döndürülebilir.</w:t>
            </w:r>
          </w:p>
        </w:tc>
        <w:tc>
          <w:tcPr>
            <w:tcW w:w="709" w:type="dxa"/>
            <w:tcBorders>
              <w:top w:val="nil"/>
              <w:left w:val="single" w:sz="2" w:space="0" w:color="000000"/>
              <w:bottom w:val="single" w:sz="2" w:space="0" w:color="000000"/>
              <w:right w:val="nil"/>
            </w:tcBorders>
          </w:tcPr>
          <w:p w14:paraId="260187C8"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23C2DDB9"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05C0C26D"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4EEF7643"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5398B7B0" w14:textId="77777777" w:rsidR="00E3302B" w:rsidRDefault="00E3302B" w:rsidP="0027292C">
            <w:pPr>
              <w:pStyle w:val="Tabloerii"/>
              <w:rPr>
                <w:rFonts w:ascii="Times New Roman" w:hAnsi="Times New Roman" w:cs="Times New Roman"/>
              </w:rPr>
            </w:pPr>
          </w:p>
        </w:tc>
      </w:tr>
      <w:tr w:rsidR="00E3302B" w14:paraId="26241EAA" w14:textId="77777777" w:rsidTr="0027292C">
        <w:tc>
          <w:tcPr>
            <w:tcW w:w="6635" w:type="dxa"/>
            <w:tcBorders>
              <w:top w:val="nil"/>
              <w:left w:val="single" w:sz="2" w:space="0" w:color="000000"/>
              <w:bottom w:val="single" w:sz="2" w:space="0" w:color="000000"/>
              <w:right w:val="nil"/>
            </w:tcBorders>
            <w:hideMark/>
          </w:tcPr>
          <w:p w14:paraId="37F1104D" w14:textId="77777777" w:rsidR="00E3302B" w:rsidRDefault="00E3302B" w:rsidP="0027292C">
            <w:pPr>
              <w:pStyle w:val="Tabloerii"/>
              <w:rPr>
                <w:rFonts w:ascii="Times New Roman" w:hAnsi="Times New Roman" w:cs="Times New Roman"/>
              </w:rPr>
            </w:pPr>
            <w:r>
              <w:rPr>
                <w:rFonts w:ascii="Times New Roman" w:hAnsi="Times New Roman" w:cs="Times New Roman"/>
              </w:rPr>
              <w:t>9.Kaldıracağımdan fazla yükün altına girerim.</w:t>
            </w:r>
          </w:p>
        </w:tc>
        <w:tc>
          <w:tcPr>
            <w:tcW w:w="709" w:type="dxa"/>
            <w:tcBorders>
              <w:top w:val="nil"/>
              <w:left w:val="single" w:sz="2" w:space="0" w:color="000000"/>
              <w:bottom w:val="single" w:sz="2" w:space="0" w:color="000000"/>
              <w:right w:val="nil"/>
            </w:tcBorders>
          </w:tcPr>
          <w:p w14:paraId="360B1A1D"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nil"/>
            </w:tcBorders>
          </w:tcPr>
          <w:p w14:paraId="62F59097" w14:textId="77777777" w:rsidR="00E3302B" w:rsidRDefault="00E3302B" w:rsidP="0027292C">
            <w:pPr>
              <w:pStyle w:val="Tabloerii"/>
              <w:rPr>
                <w:rFonts w:ascii="Times New Roman" w:hAnsi="Times New Roman" w:cs="Times New Roman"/>
              </w:rPr>
            </w:pPr>
          </w:p>
        </w:tc>
        <w:tc>
          <w:tcPr>
            <w:tcW w:w="851" w:type="dxa"/>
            <w:tcBorders>
              <w:top w:val="nil"/>
              <w:left w:val="single" w:sz="2" w:space="0" w:color="000000"/>
              <w:bottom w:val="single" w:sz="2" w:space="0" w:color="000000"/>
              <w:right w:val="nil"/>
            </w:tcBorders>
          </w:tcPr>
          <w:p w14:paraId="01B8EAB1" w14:textId="77777777" w:rsidR="00E3302B" w:rsidRDefault="00E3302B" w:rsidP="0027292C">
            <w:pPr>
              <w:pStyle w:val="Tabloerii"/>
              <w:rPr>
                <w:rFonts w:ascii="Times New Roman" w:hAnsi="Times New Roman" w:cs="Times New Roman"/>
              </w:rPr>
            </w:pPr>
          </w:p>
        </w:tc>
        <w:tc>
          <w:tcPr>
            <w:tcW w:w="709" w:type="dxa"/>
            <w:tcBorders>
              <w:top w:val="nil"/>
              <w:left w:val="single" w:sz="2" w:space="0" w:color="000000"/>
              <w:bottom w:val="single" w:sz="2" w:space="0" w:color="000000"/>
              <w:right w:val="nil"/>
            </w:tcBorders>
          </w:tcPr>
          <w:p w14:paraId="2E10491D" w14:textId="77777777" w:rsidR="00E3302B" w:rsidRDefault="00E3302B" w:rsidP="0027292C">
            <w:pPr>
              <w:pStyle w:val="Tabloerii"/>
              <w:rPr>
                <w:rFonts w:ascii="Times New Roman" w:hAnsi="Times New Roman" w:cs="Times New Roman"/>
              </w:rPr>
            </w:pPr>
          </w:p>
        </w:tc>
        <w:tc>
          <w:tcPr>
            <w:tcW w:w="708" w:type="dxa"/>
            <w:tcBorders>
              <w:top w:val="nil"/>
              <w:left w:val="single" w:sz="2" w:space="0" w:color="000000"/>
              <w:bottom w:val="single" w:sz="2" w:space="0" w:color="000000"/>
              <w:right w:val="single" w:sz="2" w:space="0" w:color="000000"/>
            </w:tcBorders>
          </w:tcPr>
          <w:p w14:paraId="41D1BBF3" w14:textId="77777777" w:rsidR="00E3302B" w:rsidRDefault="00E3302B" w:rsidP="0027292C">
            <w:pPr>
              <w:pStyle w:val="Tabloerii"/>
              <w:rPr>
                <w:rFonts w:ascii="Times New Roman" w:hAnsi="Times New Roman" w:cs="Times New Roman"/>
              </w:rPr>
            </w:pPr>
          </w:p>
        </w:tc>
      </w:tr>
    </w:tbl>
    <w:p w14:paraId="52B91AE0" w14:textId="77777777" w:rsidR="00E3302B" w:rsidRDefault="00E3302B" w:rsidP="00E3302B">
      <w:pPr>
        <w:pStyle w:val="GvdeMetni"/>
        <w:rPr>
          <w:color w:val="202124"/>
        </w:rPr>
      </w:pPr>
    </w:p>
    <w:p w14:paraId="2248E948" w14:textId="77777777" w:rsidR="00E3302B" w:rsidRPr="008E2967" w:rsidRDefault="00E3302B" w:rsidP="00E3302B">
      <w:pPr>
        <w:jc w:val="both"/>
      </w:pPr>
    </w:p>
    <w:p w14:paraId="6AD35B56" w14:textId="5A3D6E24" w:rsidR="006871AB" w:rsidRPr="00B1089D" w:rsidRDefault="00D37D80" w:rsidP="00D37D80">
      <w:pPr>
        <w:autoSpaceDE/>
        <w:autoSpaceDN/>
        <w:rPr>
          <w:u w:val="single"/>
        </w:rPr>
      </w:pPr>
      <w:r>
        <w:rPr>
          <w:u w:val="single"/>
        </w:rPr>
        <w:br w:type="page"/>
      </w:r>
    </w:p>
    <w:p w14:paraId="1FB13361" w14:textId="77777777" w:rsidR="004F4E7D" w:rsidRPr="006F330B" w:rsidRDefault="004F4E7D" w:rsidP="004F4E7D">
      <w:pPr>
        <w:jc w:val="center"/>
      </w:pPr>
    </w:p>
    <w:p w14:paraId="6C0CC7AF" w14:textId="77777777" w:rsidR="004F4E7D" w:rsidRPr="00752137" w:rsidRDefault="004F4E7D" w:rsidP="004F4E7D">
      <w:pPr>
        <w:jc w:val="center"/>
        <w:rPr>
          <w:b/>
          <w:bCs/>
        </w:rPr>
      </w:pPr>
      <w:r w:rsidRPr="00752137">
        <w:rPr>
          <w:b/>
          <w:bCs/>
        </w:rPr>
        <w:t xml:space="preserve">İnsan-Bilgisayar Etkileşiminde Gündelik Nesnelerin Rolü: Yaşlı Bireylerde İlaç Takibini Kolaylaştıran Etkileşimli </w:t>
      </w:r>
      <w:r w:rsidRPr="006F330B">
        <w:rPr>
          <w:b/>
          <w:bCs/>
        </w:rPr>
        <w:t xml:space="preserve">Bir Tasarım </w:t>
      </w:r>
      <w:r w:rsidRPr="00752137">
        <w:rPr>
          <w:b/>
          <w:bCs/>
        </w:rPr>
        <w:t>Önerisi</w:t>
      </w:r>
    </w:p>
    <w:p w14:paraId="41556E4C" w14:textId="77777777" w:rsidR="004F4E7D" w:rsidRPr="006F330B" w:rsidRDefault="004F4E7D" w:rsidP="004F4E7D">
      <w:pPr>
        <w:jc w:val="center"/>
      </w:pPr>
    </w:p>
    <w:p w14:paraId="05753ED7" w14:textId="77777777" w:rsidR="004F4E7D" w:rsidRPr="006F330B" w:rsidRDefault="004F4E7D" w:rsidP="004F4E7D">
      <w:pPr>
        <w:jc w:val="center"/>
      </w:pPr>
      <w:r w:rsidRPr="006F330B">
        <w:t>Şerife Nur Tunç</w:t>
      </w:r>
      <w:r w:rsidRPr="006F330B">
        <w:br/>
        <w:t>Yıldız Teknik Üniversitesi, İnteraktif Medya Tasarımı Anabilim Dalı</w:t>
      </w:r>
      <w:r w:rsidRPr="006F330B">
        <w:br/>
        <w:t>nuurtuunc@gmail.com</w:t>
      </w:r>
      <w:r w:rsidRPr="006F330B">
        <w:br/>
      </w:r>
      <w:hyperlink r:id="rId356" w:history="1">
        <w:proofErr w:type="spellStart"/>
        <w:r w:rsidRPr="006F330B">
          <w:rPr>
            <w:rStyle w:val="Kpr"/>
            <w:rFonts w:eastAsiaTheme="majorEastAsia"/>
            <w:color w:val="auto"/>
          </w:rPr>
          <w:t>Orcid</w:t>
        </w:r>
        <w:proofErr w:type="spellEnd"/>
        <w:r w:rsidRPr="006F330B">
          <w:rPr>
            <w:rStyle w:val="Kpr"/>
            <w:rFonts w:eastAsiaTheme="majorEastAsia"/>
            <w:color w:val="auto"/>
          </w:rPr>
          <w:t xml:space="preserve"> ID: 0009-0000-4863-5898</w:t>
        </w:r>
      </w:hyperlink>
    </w:p>
    <w:p w14:paraId="7DF880CA" w14:textId="77777777" w:rsidR="004F4E7D" w:rsidRPr="006F330B" w:rsidRDefault="004F4E7D" w:rsidP="004F4E7D">
      <w:pPr>
        <w:jc w:val="center"/>
      </w:pPr>
    </w:p>
    <w:p w14:paraId="4171B88C" w14:textId="77777777" w:rsidR="004F4E7D" w:rsidRPr="006F330B" w:rsidRDefault="004F4E7D" w:rsidP="004F4E7D">
      <w:pPr>
        <w:jc w:val="center"/>
        <w:rPr>
          <w:rStyle w:val="Kpr"/>
          <w:rFonts w:eastAsiaTheme="majorEastAsia"/>
          <w:color w:val="auto"/>
        </w:rPr>
      </w:pPr>
      <w:r w:rsidRPr="006F330B">
        <w:rPr>
          <w:rStyle w:val="Kpr"/>
          <w:rFonts w:eastAsiaTheme="majorEastAsia"/>
          <w:color w:val="auto"/>
        </w:rPr>
        <w:t xml:space="preserve">Adviye Ayça </w:t>
      </w:r>
      <w:proofErr w:type="spellStart"/>
      <w:r w:rsidRPr="006F330B">
        <w:rPr>
          <w:rStyle w:val="Kpr"/>
          <w:rFonts w:eastAsiaTheme="majorEastAsia"/>
          <w:color w:val="auto"/>
        </w:rPr>
        <w:t>Ünlüer</w:t>
      </w:r>
      <w:proofErr w:type="spellEnd"/>
    </w:p>
    <w:p w14:paraId="42C1B3BE" w14:textId="77777777" w:rsidR="004F4E7D" w:rsidRPr="006F330B" w:rsidRDefault="004F4E7D" w:rsidP="004F4E7D">
      <w:pPr>
        <w:jc w:val="center"/>
        <w:rPr>
          <w:rStyle w:val="Kpr"/>
          <w:rFonts w:eastAsiaTheme="majorEastAsia"/>
          <w:color w:val="auto"/>
        </w:rPr>
      </w:pPr>
      <w:r w:rsidRPr="006F330B">
        <w:t>Prof. Dr., Yıldız Teknik Üniversitesi, İnteraktif Medya Tasarımı Anabilim Dalı</w:t>
      </w:r>
    </w:p>
    <w:p w14:paraId="1C19548C" w14:textId="77777777" w:rsidR="004F4E7D" w:rsidRPr="006F330B" w:rsidRDefault="004F4E7D" w:rsidP="004F4E7D">
      <w:pPr>
        <w:jc w:val="center"/>
        <w:rPr>
          <w:rStyle w:val="Kpr"/>
          <w:rFonts w:eastAsiaTheme="majorEastAsia"/>
          <w:color w:val="auto"/>
        </w:rPr>
      </w:pPr>
      <w:r w:rsidRPr="006F330B">
        <w:rPr>
          <w:rStyle w:val="Kpr"/>
          <w:rFonts w:eastAsiaTheme="majorEastAsia"/>
          <w:color w:val="auto"/>
        </w:rPr>
        <w:t>aunluer@yildiz.edu.tr</w:t>
      </w:r>
    </w:p>
    <w:p w14:paraId="12CD2E24" w14:textId="77777777" w:rsidR="004F4E7D" w:rsidRPr="006F330B" w:rsidRDefault="004F4E7D" w:rsidP="004F4E7D">
      <w:pPr>
        <w:jc w:val="center"/>
        <w:rPr>
          <w:rStyle w:val="Kpr"/>
          <w:rFonts w:eastAsiaTheme="majorEastAsia"/>
          <w:color w:val="auto"/>
        </w:rPr>
      </w:pPr>
      <w:proofErr w:type="spellStart"/>
      <w:r w:rsidRPr="006F330B">
        <w:rPr>
          <w:rStyle w:val="Kpr"/>
          <w:rFonts w:eastAsiaTheme="majorEastAsia"/>
          <w:color w:val="auto"/>
        </w:rPr>
        <w:t>Orcid</w:t>
      </w:r>
      <w:proofErr w:type="spellEnd"/>
      <w:r w:rsidRPr="006F330B">
        <w:rPr>
          <w:rStyle w:val="Kpr"/>
          <w:rFonts w:eastAsiaTheme="majorEastAsia"/>
          <w:color w:val="auto"/>
        </w:rPr>
        <w:t xml:space="preserve"> ID: 0000-0003-0031-204X</w:t>
      </w:r>
    </w:p>
    <w:p w14:paraId="646FE628" w14:textId="77777777" w:rsidR="004F4E7D" w:rsidRPr="006F330B" w:rsidRDefault="004F4E7D" w:rsidP="004F4E7D">
      <w:pPr>
        <w:jc w:val="both"/>
      </w:pPr>
    </w:p>
    <w:p w14:paraId="33DD6685" w14:textId="77777777" w:rsidR="004F4E7D" w:rsidRPr="006F330B" w:rsidRDefault="004F4E7D" w:rsidP="004F4E7D">
      <w:pPr>
        <w:jc w:val="center"/>
        <w:rPr>
          <w:b/>
          <w:bCs/>
        </w:rPr>
      </w:pPr>
      <w:r w:rsidRPr="006F330B">
        <w:rPr>
          <w:b/>
          <w:bCs/>
        </w:rPr>
        <w:t>Özet</w:t>
      </w:r>
    </w:p>
    <w:p w14:paraId="4FB2DBED" w14:textId="77777777" w:rsidR="004F4E7D" w:rsidRPr="006F330B" w:rsidRDefault="004F4E7D" w:rsidP="004F4E7D">
      <w:pPr>
        <w:jc w:val="both"/>
      </w:pPr>
      <w:r w:rsidRPr="006F330B">
        <w:t xml:space="preserve">Yaşlı bireylerde polifarmasi (çoklu ilaç kullanımı), bilişsel fonksiyonlarda yaşa bağlı gerileme ve prospektif bellek performansındaki düşüş, </w:t>
      </w:r>
      <w:r w:rsidRPr="00F35813">
        <w:t xml:space="preserve">ilaç </w:t>
      </w:r>
      <w:r w:rsidRPr="006F330B">
        <w:t xml:space="preserve">takibini zorlaştırmaktadır. Bu durum, özellikle birden fazla kronik hastalığı olan yaşlılarda tedavinin etkinliğini azaltmakta ve çeşitli sağlık sorunları riskini </w:t>
      </w:r>
      <w:r w:rsidRPr="00F35813">
        <w:t xml:space="preserve">artırmaktadır. </w:t>
      </w:r>
      <w:r w:rsidRPr="00F1695D">
        <w:t xml:space="preserve">Bu </w:t>
      </w:r>
      <w:r w:rsidRPr="006F330B">
        <w:t>çalışma</w:t>
      </w:r>
      <w:r w:rsidRPr="00F1695D">
        <w:t xml:space="preserve">, gündelik nesnelerin </w:t>
      </w:r>
      <w:r w:rsidRPr="006F330B">
        <w:t>etkileşimli</w:t>
      </w:r>
      <w:r w:rsidRPr="00F1695D">
        <w:t xml:space="preserve"> sistemlere dönüştürülmesi perspektifinden, yaşlı bireylerin ilaç takibini kolaylaştırmayı hedefleyen bir tasarım önerisi sunmaktadır.</w:t>
      </w:r>
      <w:r w:rsidRPr="006F330B">
        <w:t xml:space="preserve"> </w:t>
      </w:r>
      <w:r w:rsidRPr="00F1695D">
        <w:t xml:space="preserve">Teorik çerçeve, </w:t>
      </w:r>
      <w:proofErr w:type="spellStart"/>
      <w:r w:rsidRPr="00F1695D">
        <w:t>Weinschenk'in</w:t>
      </w:r>
      <w:proofErr w:type="spellEnd"/>
      <w:r w:rsidRPr="00F1695D">
        <w:t xml:space="preserve"> bilişsel tasarım ilkeleri ve Nielsen'in kullanılabilirlik </w:t>
      </w:r>
      <w:proofErr w:type="spellStart"/>
      <w:r w:rsidRPr="00F1695D">
        <w:t>heuristikleri</w:t>
      </w:r>
      <w:proofErr w:type="spellEnd"/>
      <w:r w:rsidRPr="00F1695D">
        <w:t xml:space="preserve"> üzerine inşa edilmiştir</w:t>
      </w:r>
      <w:r w:rsidRPr="006F330B">
        <w:t>.</w:t>
      </w:r>
      <w:r w:rsidRPr="00F35813">
        <w:t xml:space="preserve"> Araştırma sorusu: </w:t>
      </w:r>
      <w:r w:rsidRPr="006F330B">
        <w:t xml:space="preserve">“Gündelik nesneler, bilişsel ergonomi ve insan-bilgisayar etkileşimi prensipleri temelinde, yaşlı bireylerin ilaç takibini kolaylaştıran etkileşimli tasarımlara dönüştürülebilir mi?” </w:t>
      </w:r>
      <w:r w:rsidRPr="00F1695D">
        <w:t>şeklinde formüle edilmiştir</w:t>
      </w:r>
      <w:r w:rsidRPr="00F35813">
        <w:t>.</w:t>
      </w:r>
      <w:r w:rsidRPr="006F330B">
        <w:t xml:space="preserve"> </w:t>
      </w:r>
      <w:r w:rsidRPr="00F35813">
        <w:t xml:space="preserve">Metodolojik yaklaşım olarak literatür taraması ve kullanıcı merkezli tasarım paradigması benimsenmiştir. Tasarım süreci, kullanıcıların </w:t>
      </w:r>
      <w:proofErr w:type="spellStart"/>
      <w:r w:rsidRPr="00F35813">
        <w:t>mental</w:t>
      </w:r>
      <w:proofErr w:type="spellEnd"/>
      <w:r w:rsidRPr="00F35813">
        <w:t xml:space="preserve"> modelleri, bilişsel yükleri ve fiziksel kısıtlamaları dikkate alınarak yapılandırılmıştır. </w:t>
      </w:r>
      <w:r w:rsidRPr="00F1695D">
        <w:t xml:space="preserve">Sistem, LED ışık matrisi, </w:t>
      </w:r>
      <w:proofErr w:type="spellStart"/>
      <w:r w:rsidRPr="00F1695D">
        <w:t>haptik</w:t>
      </w:r>
      <w:proofErr w:type="spellEnd"/>
      <w:r w:rsidRPr="00F1695D">
        <w:t xml:space="preserve"> geri bildirim</w:t>
      </w:r>
      <w:r w:rsidRPr="006F330B">
        <w:t>,</w:t>
      </w:r>
      <w:r w:rsidRPr="00F1695D">
        <w:t xml:space="preserve"> sesli uyaranlar</w:t>
      </w:r>
      <w:r w:rsidRPr="006F330B">
        <w:t xml:space="preserve"> ve</w:t>
      </w:r>
      <w:r>
        <w:t xml:space="preserve"> </w:t>
      </w:r>
      <w:r w:rsidRPr="00F35813">
        <w:t>kişiselleştirilebilir</w:t>
      </w:r>
      <w:r>
        <w:t xml:space="preserve"> </w:t>
      </w:r>
      <w:r w:rsidRPr="00F35813">
        <w:t>arayüz bileşenler</w:t>
      </w:r>
      <w:r w:rsidRPr="006F330B">
        <w:t>iyle</w:t>
      </w:r>
      <w:r w:rsidRPr="00F1695D">
        <w:t xml:space="preserve"> zenginleştirilmiş çoklu modal etkileşim modeli sunmaktadır. </w:t>
      </w:r>
      <w:r w:rsidRPr="00F35813">
        <w:t>"</w:t>
      </w:r>
      <w:proofErr w:type="spellStart"/>
      <w:r w:rsidRPr="00F35813">
        <w:t>Chunking</w:t>
      </w:r>
      <w:proofErr w:type="spellEnd"/>
      <w:r w:rsidRPr="00F35813">
        <w:t>" prensibi doğrultusunda tasarlanan bölmeli yapı ve sezgisel görsel kodlama, bilişsel yükü azaltmayı amaçlamaktadır.</w:t>
      </w:r>
      <w:r w:rsidRPr="006F330B">
        <w:t xml:space="preserve"> </w:t>
      </w:r>
      <w:r w:rsidRPr="00F35813">
        <w:t xml:space="preserve">Çalışma şu aşamada kavramsal tasarım evresinde olup, </w:t>
      </w:r>
      <w:r w:rsidRPr="006F330B">
        <w:t xml:space="preserve">gelecekte prototipleme ve katılımcı tasarım metotlarıyla değerlendirilmesi planlanmaktadır. </w:t>
      </w:r>
      <w:r w:rsidRPr="00F1695D">
        <w:t xml:space="preserve">Bu araştırmanın, gündelik nesne etkileşimi ve HCI alanlarında yeni tasarım yaklaşımlarına katkı sağlaması öngörülmektedir. Projenin özgünlüğü, </w:t>
      </w:r>
      <w:r w:rsidRPr="006F330B">
        <w:t>tanıdık</w:t>
      </w:r>
      <w:r w:rsidRPr="00F1695D">
        <w:t xml:space="preserve"> bir nesnenin etkileşimli bir sistemle zenginleştirilmesi ve tasarım kararlarının bilişsel ergonomi ve HCI prensipleriyle sistematik olarak temellendirilmesidir</w:t>
      </w:r>
      <w:r w:rsidRPr="006F330B">
        <w:t>. Fiziksel ve dijital dünyalar arasında köprü kuran bu yaklaşım, tanıdık nesnelerin kullanıcı deneyimini zenginleştirerek, insan-bilgisayar etkileşimini daha doğal ve sezgisel hale getirmeyi hedeflemektedir.</w:t>
      </w:r>
    </w:p>
    <w:p w14:paraId="1BABE43F" w14:textId="77777777" w:rsidR="004F4E7D" w:rsidRPr="006F330B" w:rsidRDefault="004F4E7D" w:rsidP="004F4E7D">
      <w:pPr>
        <w:jc w:val="both"/>
      </w:pPr>
    </w:p>
    <w:p w14:paraId="2C6013DD" w14:textId="77777777" w:rsidR="004F4E7D" w:rsidRPr="006F330B" w:rsidRDefault="004F4E7D" w:rsidP="004F4E7D">
      <w:pPr>
        <w:jc w:val="both"/>
      </w:pPr>
      <w:r w:rsidRPr="006F330B">
        <w:rPr>
          <w:b/>
          <w:bCs/>
        </w:rPr>
        <w:t>Anahtar Sözcükler:</w:t>
      </w:r>
      <w:r w:rsidRPr="006F330B">
        <w:t xml:space="preserve"> İnsan-bilgisayar etkile</w:t>
      </w:r>
      <w:r w:rsidRPr="00F35813">
        <w:t xml:space="preserve">şimi, </w:t>
      </w:r>
      <w:r w:rsidRPr="006F330B">
        <w:t>ilaç takibi</w:t>
      </w:r>
      <w:r w:rsidRPr="00F35813">
        <w:t xml:space="preserve">, bilişsel ergonomi, </w:t>
      </w:r>
      <w:r w:rsidRPr="006F330B">
        <w:t xml:space="preserve">etkileşim tasarımı, </w:t>
      </w:r>
      <w:r w:rsidRPr="00F35813">
        <w:t>sezgisel tasarım</w:t>
      </w:r>
    </w:p>
    <w:p w14:paraId="0B292CCE" w14:textId="410C3B1F" w:rsidR="004F4E7D" w:rsidRDefault="004F4E7D">
      <w:pPr>
        <w:autoSpaceDE/>
        <w:autoSpaceDN/>
      </w:pPr>
      <w:r>
        <w:br w:type="page"/>
      </w:r>
    </w:p>
    <w:p w14:paraId="0D44D8F9" w14:textId="77777777" w:rsidR="00FA457D" w:rsidRPr="00B1089D" w:rsidRDefault="00FA457D" w:rsidP="00D37D80">
      <w:pPr>
        <w:autoSpaceDE/>
        <w:autoSpaceDN/>
      </w:pPr>
    </w:p>
    <w:p w14:paraId="6EE3FF2C" w14:textId="2C462A26" w:rsidR="00FA457D" w:rsidRDefault="00FA457D" w:rsidP="004C7694">
      <w:pPr>
        <w:pStyle w:val="Tark"/>
      </w:pPr>
      <w:bookmarkStart w:id="243" w:name="_Toc192855265"/>
      <w:r w:rsidRPr="00B1089D">
        <w:t>Üniversite Öğrencilerinin Derse Katılımlarının Ruh ve Beden Sağlığı Açısından İncelenmesi</w:t>
      </w:r>
      <w:bookmarkEnd w:id="243"/>
    </w:p>
    <w:p w14:paraId="0783AC55" w14:textId="77777777" w:rsidR="0079785E" w:rsidRPr="0079785E" w:rsidRDefault="0079785E" w:rsidP="0079785E">
      <w:pPr>
        <w:pStyle w:val="Metin"/>
      </w:pPr>
    </w:p>
    <w:p w14:paraId="3BC122FC" w14:textId="77777777" w:rsidR="00FA457D" w:rsidRPr="00B1089D" w:rsidRDefault="00FA457D" w:rsidP="00FA457D">
      <w:pPr>
        <w:widowControl/>
        <w:jc w:val="center"/>
      </w:pPr>
      <w:r w:rsidRPr="00B1089D">
        <w:t>Özge Alkan</w:t>
      </w:r>
      <w:r w:rsidRPr="00B1089D">
        <w:br/>
        <w:t>Yıldız Teknik Üniversitesi, Rehberlik ve Psikolojik Danışmanlık</w:t>
      </w:r>
      <w:r w:rsidRPr="00B1089D">
        <w:br/>
        <w:t>ozge00alkan@gmail.com</w:t>
      </w:r>
      <w:r w:rsidRPr="00B1089D">
        <w:br/>
      </w:r>
      <w:proofErr w:type="spellStart"/>
      <w:r w:rsidRPr="00B1089D">
        <w:t>Orcid</w:t>
      </w:r>
      <w:proofErr w:type="spellEnd"/>
      <w:r w:rsidRPr="00B1089D">
        <w:t xml:space="preserve"> ID: 0000-0002-7996-2557</w:t>
      </w:r>
    </w:p>
    <w:p w14:paraId="7B67FBE1" w14:textId="77777777" w:rsidR="00FA457D" w:rsidRPr="00B1089D" w:rsidRDefault="00FA457D" w:rsidP="00FA457D">
      <w:pPr>
        <w:widowControl/>
        <w:jc w:val="center"/>
      </w:pPr>
    </w:p>
    <w:p w14:paraId="5F36DAE0" w14:textId="77777777" w:rsidR="00FA457D" w:rsidRPr="00B1089D" w:rsidRDefault="00FA457D" w:rsidP="00FA457D">
      <w:pPr>
        <w:widowControl/>
        <w:jc w:val="center"/>
      </w:pPr>
      <w:r w:rsidRPr="00B1089D">
        <w:t>Prof. Dr. Ali Eryılmaz</w:t>
      </w:r>
      <w:r w:rsidRPr="00B1089D">
        <w:br/>
        <w:t>Yıldız Teknik Üniversitesi, Rehberlik ve Psikolojik Danışmanlık</w:t>
      </w:r>
    </w:p>
    <w:p w14:paraId="5677B231" w14:textId="77777777" w:rsidR="00FA457D" w:rsidRPr="00B1089D" w:rsidRDefault="00FA457D" w:rsidP="00FA457D">
      <w:pPr>
        <w:widowControl/>
        <w:jc w:val="center"/>
      </w:pPr>
      <w:r w:rsidRPr="00B1089D">
        <w:t>aeryilmz@yildiz.edu.tr</w:t>
      </w:r>
    </w:p>
    <w:p w14:paraId="48FBF471" w14:textId="77777777" w:rsidR="00FA457D" w:rsidRPr="00B1089D" w:rsidRDefault="00FA457D" w:rsidP="00FA457D">
      <w:pPr>
        <w:widowControl/>
        <w:jc w:val="center"/>
      </w:pPr>
      <w:r w:rsidRPr="00B1089D">
        <w:t>0000-0001-9301-5946</w:t>
      </w:r>
    </w:p>
    <w:p w14:paraId="04DD6972" w14:textId="77777777" w:rsidR="00FA457D" w:rsidRPr="00B1089D" w:rsidRDefault="00FA457D" w:rsidP="00FA457D">
      <w:pPr>
        <w:widowControl/>
        <w:jc w:val="center"/>
      </w:pPr>
    </w:p>
    <w:p w14:paraId="3D22FE73" w14:textId="77777777" w:rsidR="00FA457D" w:rsidRPr="00B1089D" w:rsidRDefault="00FA457D" w:rsidP="00FA457D">
      <w:pPr>
        <w:widowControl/>
        <w:jc w:val="center"/>
      </w:pPr>
      <w:r w:rsidRPr="00B1089D">
        <w:rPr>
          <w:b/>
          <w:bCs/>
        </w:rPr>
        <w:t>Özet</w:t>
      </w:r>
    </w:p>
    <w:p w14:paraId="028858EC" w14:textId="77777777" w:rsidR="00FA457D" w:rsidRPr="00B1089D" w:rsidRDefault="00FA457D" w:rsidP="00E359E0">
      <w:pPr>
        <w:widowControl/>
        <w:jc w:val="both"/>
      </w:pPr>
      <w:r w:rsidRPr="00B1089D">
        <w:t xml:space="preserve">Öğrencilerin derse katılım düzeyleri hem kendilerine hem de içerisinde bulundukları öğrenme sürecine katkı sağlamaktadır. Bundan dolayı öğrencilerden derslerine aktif bir şekilde katılım göstermeleri beklenmektedir.  Buradan hareketle üniversite öğrencilerinde derse katılım düzeyinin incelenmesiyle üniversite eğitimine nitelik kazandırılabileceği düşünülmektedir. Bu araştırmada üniversite öğrencilerinin derse katılım düzeylerinin akademik özyeterlik, mükemmeliyetçilik ve sağlık sorunları düzeyleri ile ilişkisi incelenmiştir. Araştırmada Genel Olarak Derslere Katılım Ölçeği, Akademik Özyeterlik Ölçeği, Çok Boyutlu Mükemmeliyetçilik Ölçeği ve Üniversite Öğrencilerinin Sağlık Sorunlarını Belirleme Ölçeği kullanılmıştır. Araştırma grubu 2024-2025 eğitim öğretim yılında Yıldız Teknik Üniversitesi’nde öğrenim gören 360 (297’si kadın, 63’ü erkek) lisans öğrencisinden oluşmaktadır. Araştırmaya katılan öğrencilerin araştırmadaki ölçekleri içtenlikle cevapladıkları ve Yıldız Teknik Üniversitesi örnekleminin evreni temsil ettiği varsayılmaktadır. Bu araştırma Yıldız Teknik Üniversitesi lisans öğrencileri ve kullanılan ölçeklerden elde edilen verilerle sınırlıdır.  Araştırmada elde edilen verilerin analizi için IBM SPSS 23 paket programı kullanılarak Bağımsız Gruplar t-Testi, Tek Yönlü Varyans Analizi (ANOVA), </w:t>
      </w:r>
      <w:proofErr w:type="spellStart"/>
      <w:r w:rsidRPr="00B1089D">
        <w:t>Pearson</w:t>
      </w:r>
      <w:proofErr w:type="spellEnd"/>
      <w:r w:rsidRPr="00B1089D">
        <w:t xml:space="preserve"> Momentler Çarpım Korelasyon Katsayısı ve Standart Çoklu Doğrusal Regresyon Analizi yapılmıştır. Yapılan analizler sonucunda öğrencilerin derse katılım düzeyleri cinsiyete göre anlamlı bir farklılık göstermemiştir. Okudukları okulu yüksek düzeyde seven öğrencilerin derse katılımları düşük düzeyde ve orta düzeyde sevenlere göre anlamlı bir şekilde daha yüksektir. Okudukları bölümü orta düzeyde sevenlerin derse katılımları düşük düzeyde sevenlere göre anlamlı bir şekilde daha yüksek, okudukları bölümü yüksek düzeyde sevenlerin derse katılımları ise düşük düzey ve orta düzeyde sevenlere göre anlamlı bir şekilde daha yüksektir. Mutluluk düzeyleri orta düzeyde olan öğrencilerin derse katılımları düşük düzeyde olanlara göre anlamlı bir şekilde daha yüksek, mutluluk düzeyleri yüksek düzeyde olan öğrencilerin derse katılımları ise düşük düzey ve orta düzeyde olanlara göre anlamlı bir şekilde daha yüksektir. Üniversite öğrencilerinin akademik özyeterlik, düzen ve kişisel standartlar düzeylerinin derse katılım düzeylerini pozitif yönde </w:t>
      </w:r>
      <w:proofErr w:type="spellStart"/>
      <w:r w:rsidRPr="00B1089D">
        <w:t>yordadığı</w:t>
      </w:r>
      <w:proofErr w:type="spellEnd"/>
      <w:r w:rsidRPr="00B1089D">
        <w:t xml:space="preserve">; aile beklentileri ve psikolojik sağlık düzeylerinin ise negatif yönde </w:t>
      </w:r>
      <w:proofErr w:type="spellStart"/>
      <w:r w:rsidRPr="00B1089D">
        <w:t>yordadığı</w:t>
      </w:r>
      <w:proofErr w:type="spellEnd"/>
      <w:r w:rsidRPr="00B1089D">
        <w:t xml:space="preserve"> saptanmıştır. Bu araştırmada elde edilen sonuçlar ışığında öğrencilerin derse katılım düzeylerini etkileyen faktörleri bilmek uygun müdahaleler geliştirmek açısından önem taşımaktadır.</w:t>
      </w:r>
    </w:p>
    <w:p w14:paraId="43C812BA" w14:textId="77777777" w:rsidR="00FA457D" w:rsidRPr="00B1089D" w:rsidRDefault="00FA457D" w:rsidP="00E359E0">
      <w:pPr>
        <w:widowControl/>
        <w:jc w:val="both"/>
      </w:pPr>
    </w:p>
    <w:p w14:paraId="6D833DDD" w14:textId="0BB31360" w:rsidR="00D37D80" w:rsidRDefault="00FA457D" w:rsidP="00E359E0">
      <w:pPr>
        <w:widowControl/>
        <w:jc w:val="both"/>
      </w:pPr>
      <w:r w:rsidRPr="00B1089D">
        <w:rPr>
          <w:b/>
          <w:bCs/>
        </w:rPr>
        <w:lastRenderedPageBreak/>
        <w:t xml:space="preserve">Anahtar </w:t>
      </w:r>
      <w:r w:rsidRPr="00D10870">
        <w:rPr>
          <w:b/>
          <w:bCs/>
        </w:rPr>
        <w:t>Kelimeler</w:t>
      </w:r>
      <w:r w:rsidRPr="00B1089D">
        <w:rPr>
          <w:b/>
          <w:bCs/>
        </w:rPr>
        <w:t>:</w:t>
      </w:r>
      <w:r w:rsidRPr="00B1089D">
        <w:t xml:space="preserve"> Derse katılım, akademik özyeterlik, mükemmeliyetçilik, sağlık sorunları</w:t>
      </w:r>
    </w:p>
    <w:p w14:paraId="11737C5E" w14:textId="03670F8E" w:rsidR="00FA457D" w:rsidRPr="00D37D80" w:rsidRDefault="00D37D80" w:rsidP="00D37D80">
      <w:pPr>
        <w:autoSpaceDE/>
        <w:autoSpaceDN/>
      </w:pPr>
      <w:r>
        <w:br w:type="page"/>
      </w:r>
    </w:p>
    <w:p w14:paraId="1676D0FB" w14:textId="77777777" w:rsidR="00FA457D" w:rsidRDefault="00FA457D" w:rsidP="0079785E">
      <w:pPr>
        <w:pStyle w:val="Tark"/>
        <w:spacing w:before="0" w:after="0"/>
      </w:pPr>
      <w:bookmarkStart w:id="244" w:name="_Toc192855266"/>
      <w:r w:rsidRPr="000B3B32">
        <w:lastRenderedPageBreak/>
        <w:t>Yahudilikte Kadınlara Özgü İbadet ve Dualar</w:t>
      </w:r>
      <w:bookmarkEnd w:id="244"/>
    </w:p>
    <w:p w14:paraId="673BF4D0" w14:textId="77777777" w:rsidR="00FA457D" w:rsidRPr="000B3B32" w:rsidRDefault="00FA457D" w:rsidP="0079785E">
      <w:pPr>
        <w:jc w:val="center"/>
        <w:rPr>
          <w:b/>
        </w:rPr>
      </w:pPr>
    </w:p>
    <w:p w14:paraId="022BC248" w14:textId="7A06D07F" w:rsidR="00FA457D" w:rsidRDefault="00FA457D" w:rsidP="0079785E">
      <w:pPr>
        <w:jc w:val="center"/>
      </w:pPr>
      <w:r w:rsidRPr="000B3B32">
        <w:t>Mümine Gökdal</w:t>
      </w:r>
      <w:r w:rsidRPr="000B3B32">
        <w:br/>
        <w:t>Yüksek Lisans Öğrencisi, Süleyman Demirel Üniversitesi, Sosyal Bilimler Enstitüsü, Felsefe ve Din Bilimleri</w:t>
      </w:r>
      <w:r w:rsidRPr="000B3B32">
        <w:br/>
        <w:t>muminegokdal@gmail.com</w:t>
      </w:r>
      <w:r w:rsidRPr="000B3B32">
        <w:br/>
        <w:t>0000-0003-4205-3541</w:t>
      </w:r>
    </w:p>
    <w:p w14:paraId="63C8FB27" w14:textId="77777777" w:rsidR="00FA457D" w:rsidRPr="000B3B32" w:rsidRDefault="00FA457D" w:rsidP="0079785E">
      <w:pPr>
        <w:jc w:val="center"/>
      </w:pPr>
    </w:p>
    <w:p w14:paraId="3057ED73" w14:textId="77777777" w:rsidR="00FA457D" w:rsidRPr="000B3B32" w:rsidRDefault="00FA457D" w:rsidP="0079785E">
      <w:pPr>
        <w:jc w:val="center"/>
        <w:rPr>
          <w:b/>
        </w:rPr>
      </w:pPr>
      <w:r w:rsidRPr="000B3B32">
        <w:rPr>
          <w:b/>
        </w:rPr>
        <w:t>Özet</w:t>
      </w:r>
    </w:p>
    <w:p w14:paraId="383D1CEF" w14:textId="78CE9363" w:rsidR="00FA457D" w:rsidRPr="000B3B32" w:rsidRDefault="00FA457D" w:rsidP="0079785E">
      <w:pPr>
        <w:jc w:val="both"/>
      </w:pPr>
      <w:r w:rsidRPr="000B3B32">
        <w:t xml:space="preserve">Hemen hemen bütün dinlerde tanrıya veya üst varlığa adanmış ibadetler ve dualar vardır. Bunların bazısı dinin tüm mensuplarına ait olduğu gibi bazısı da ya sadece erkeklere veya sadece kadınlara aittir. Yahudilikte de benzer durum söz konusudur. Bununla beraber Yahudiliğe ait ibadetlerde erkeklerin kadınlara nazaran daha fazla ön planda olduğu görülmektedir. Ancak kadınlar da ibadet ve ritüellerden </w:t>
      </w:r>
      <w:proofErr w:type="gramStart"/>
      <w:r w:rsidRPr="000B3B32">
        <w:t>men edilmiş</w:t>
      </w:r>
      <w:proofErr w:type="gramEnd"/>
      <w:r w:rsidRPr="000B3B32">
        <w:t xml:space="preserve"> değildir. Yahudilikte kadınların yaptığı ibadetler hem ev içi ritüellerinde hem de diğer alanlarda gerçekleştirdikleri bir takım dua ve pratikleri içermektedir. Dolayısıyla Yahudi dininde yer alan ibadet biçimleri oldukça detaylı olduğu gibi kadınlara da bu ibadetlerde önemli roller düşmektedir. Yahudi geleneklerine göre mabette dua etmek ya da dini bayramları kutlamak ibadet olduğu gibi aynı zamanda bayram ve törenlerin hazırlıklarının yapılması da ibadet niteliği taşımaktadır. Bu açıdan bakıldığında kadınların ev içerisinde ve bayramlarda yaptığı hazırlıklar da ibadet olarak kabul edilmektedir. Yahudi kadınları sorumlu oldukları, çocukların aile içi eğitiminden ve ev işlerinden kalan zamanlarında ferdî olarak ve kadınlarla bir araya gelerek dua etmeleriyle Tanrı’ya ibadet etmektedirler. Bazı durumlarda sinagoga giderek kendilerine ayrılan bölümde ibadetin icra edilmesine eşlik etmektedirler. Bu çalışmamızda </w:t>
      </w:r>
      <w:r>
        <w:t xml:space="preserve">Yahudi </w:t>
      </w:r>
      <w:r w:rsidRPr="000B3B32">
        <w:t>kadınların yapmış oldukları ibadetleri ve Yahudi kadınlarına has olan duaları ele alacağız.</w:t>
      </w:r>
    </w:p>
    <w:p w14:paraId="1B8BD398" w14:textId="77777777" w:rsidR="00FA457D" w:rsidRPr="000B3B32" w:rsidRDefault="00FA457D" w:rsidP="0079785E">
      <w:pPr>
        <w:jc w:val="both"/>
      </w:pPr>
    </w:p>
    <w:p w14:paraId="7F47CCD7" w14:textId="48158B5A" w:rsidR="00D37D80" w:rsidRPr="000B3B32" w:rsidRDefault="00FA457D" w:rsidP="0079785E">
      <w:pPr>
        <w:jc w:val="both"/>
      </w:pPr>
      <w:r w:rsidRPr="000B3B32">
        <w:rPr>
          <w:b/>
        </w:rPr>
        <w:t>Anahtar Kelimeler:</w:t>
      </w:r>
      <w:r w:rsidRPr="000B3B32">
        <w:t xml:space="preserve"> Yahudilik, Yahudi Kadınları, Dini Uygulamalar, İbadetler, Dualar.</w:t>
      </w:r>
    </w:p>
    <w:p w14:paraId="7E82649B" w14:textId="77777777" w:rsidR="00FA457D" w:rsidRDefault="00FA457D" w:rsidP="0079785E">
      <w:pPr>
        <w:pStyle w:val="Tark"/>
        <w:spacing w:before="0" w:after="0"/>
      </w:pPr>
      <w:bookmarkStart w:id="245" w:name="_Toc192855267"/>
      <w:proofErr w:type="spellStart"/>
      <w:r w:rsidRPr="000B3B32">
        <w:t>Worship</w:t>
      </w:r>
      <w:proofErr w:type="spellEnd"/>
      <w:r w:rsidRPr="000B3B32">
        <w:t xml:space="preserve"> </w:t>
      </w:r>
      <w:proofErr w:type="spellStart"/>
      <w:r w:rsidRPr="000B3B32">
        <w:t>and</w:t>
      </w:r>
      <w:proofErr w:type="spellEnd"/>
      <w:r w:rsidRPr="000B3B32">
        <w:t xml:space="preserve"> </w:t>
      </w:r>
      <w:proofErr w:type="spellStart"/>
      <w:r w:rsidRPr="000B3B32">
        <w:t>Prayers</w:t>
      </w:r>
      <w:proofErr w:type="spellEnd"/>
      <w:r w:rsidRPr="000B3B32">
        <w:t xml:space="preserve"> of </w:t>
      </w:r>
      <w:proofErr w:type="spellStart"/>
      <w:r w:rsidRPr="000B3B32">
        <w:t>Jewish</w:t>
      </w:r>
      <w:proofErr w:type="spellEnd"/>
      <w:r w:rsidRPr="000B3B32">
        <w:t xml:space="preserve"> </w:t>
      </w:r>
      <w:proofErr w:type="spellStart"/>
      <w:r w:rsidRPr="000B3B32">
        <w:t>Women</w:t>
      </w:r>
      <w:bookmarkEnd w:id="245"/>
      <w:proofErr w:type="spellEnd"/>
    </w:p>
    <w:p w14:paraId="6B5A775B" w14:textId="77777777" w:rsidR="00FA457D" w:rsidRPr="000B3B32" w:rsidRDefault="00FA457D" w:rsidP="0079785E">
      <w:pPr>
        <w:jc w:val="center"/>
        <w:rPr>
          <w:b/>
        </w:rPr>
      </w:pPr>
    </w:p>
    <w:p w14:paraId="08A1D160" w14:textId="77777777" w:rsidR="00FA457D" w:rsidRPr="000B3B32" w:rsidRDefault="00FA457D" w:rsidP="0079785E">
      <w:pPr>
        <w:jc w:val="center"/>
        <w:rPr>
          <w:b/>
        </w:rPr>
      </w:pPr>
      <w:proofErr w:type="spellStart"/>
      <w:r w:rsidRPr="000B3B32">
        <w:rPr>
          <w:b/>
        </w:rPr>
        <w:t>Abstract</w:t>
      </w:r>
      <w:proofErr w:type="spellEnd"/>
    </w:p>
    <w:p w14:paraId="42EA1855" w14:textId="27F92664" w:rsidR="00FA457D" w:rsidRPr="000B3B32" w:rsidRDefault="00FA457D" w:rsidP="0079785E">
      <w:pPr>
        <w:jc w:val="both"/>
      </w:pPr>
      <w:proofErr w:type="spellStart"/>
      <w:r w:rsidRPr="000B3B32">
        <w:t>Almost</w:t>
      </w:r>
      <w:proofErr w:type="spellEnd"/>
      <w:r w:rsidRPr="000B3B32">
        <w:t xml:space="preserve"> </w:t>
      </w:r>
      <w:proofErr w:type="spellStart"/>
      <w:r w:rsidRPr="000B3B32">
        <w:t>all</w:t>
      </w:r>
      <w:proofErr w:type="spellEnd"/>
      <w:r w:rsidRPr="000B3B32">
        <w:t xml:space="preserve"> </w:t>
      </w:r>
      <w:proofErr w:type="spellStart"/>
      <w:r w:rsidRPr="000B3B32">
        <w:t>religions</w:t>
      </w:r>
      <w:proofErr w:type="spellEnd"/>
      <w:r w:rsidRPr="000B3B32">
        <w:t xml:space="preserve"> </w:t>
      </w:r>
      <w:proofErr w:type="spellStart"/>
      <w:r w:rsidRPr="000B3B32">
        <w:t>have</w:t>
      </w:r>
      <w:proofErr w:type="spellEnd"/>
      <w:r w:rsidRPr="000B3B32">
        <w:t xml:space="preserve"> </w:t>
      </w:r>
      <w:proofErr w:type="spellStart"/>
      <w:r w:rsidRPr="000B3B32">
        <w:t>worship</w:t>
      </w:r>
      <w:proofErr w:type="spellEnd"/>
      <w:r w:rsidRPr="000B3B32">
        <w:t xml:space="preserve"> </w:t>
      </w:r>
      <w:proofErr w:type="spellStart"/>
      <w:r w:rsidRPr="000B3B32">
        <w:t>and</w:t>
      </w:r>
      <w:proofErr w:type="spellEnd"/>
      <w:r w:rsidRPr="000B3B32">
        <w:t xml:space="preserve"> </w:t>
      </w:r>
      <w:proofErr w:type="spellStart"/>
      <w:r w:rsidRPr="000B3B32">
        <w:t>prayers</w:t>
      </w:r>
      <w:proofErr w:type="spellEnd"/>
      <w:r w:rsidRPr="000B3B32">
        <w:t xml:space="preserve"> </w:t>
      </w:r>
      <w:proofErr w:type="spellStart"/>
      <w:r w:rsidRPr="000B3B32">
        <w:t>dedicated</w:t>
      </w:r>
      <w:proofErr w:type="spellEnd"/>
      <w:r w:rsidRPr="000B3B32">
        <w:t xml:space="preserve"> </w:t>
      </w:r>
      <w:proofErr w:type="spellStart"/>
      <w:r w:rsidRPr="000B3B32">
        <w:t>to</w:t>
      </w:r>
      <w:proofErr w:type="spellEnd"/>
      <w:r w:rsidRPr="000B3B32">
        <w:t xml:space="preserve"> </w:t>
      </w:r>
      <w:proofErr w:type="spellStart"/>
      <w:r w:rsidRPr="000B3B32">
        <w:t>God</w:t>
      </w:r>
      <w:proofErr w:type="spellEnd"/>
      <w:r w:rsidRPr="000B3B32">
        <w:t xml:space="preserve"> </w:t>
      </w:r>
      <w:proofErr w:type="spellStart"/>
      <w:r w:rsidRPr="000B3B32">
        <w:t>or</w:t>
      </w:r>
      <w:proofErr w:type="spellEnd"/>
      <w:r w:rsidRPr="000B3B32">
        <w:t xml:space="preserve"> a </w:t>
      </w:r>
      <w:proofErr w:type="spellStart"/>
      <w:r w:rsidRPr="000B3B32">
        <w:t>higher</w:t>
      </w:r>
      <w:proofErr w:type="spellEnd"/>
      <w:r w:rsidRPr="000B3B32">
        <w:t xml:space="preserve"> </w:t>
      </w:r>
      <w:proofErr w:type="spellStart"/>
      <w:r w:rsidRPr="000B3B32">
        <w:t>being</w:t>
      </w:r>
      <w:proofErr w:type="spellEnd"/>
      <w:r w:rsidRPr="000B3B32">
        <w:t xml:space="preserve">. </w:t>
      </w:r>
      <w:proofErr w:type="spellStart"/>
      <w:r w:rsidRPr="000B3B32">
        <w:t>While</w:t>
      </w:r>
      <w:proofErr w:type="spellEnd"/>
      <w:r w:rsidRPr="000B3B32">
        <w:t xml:space="preserve"> </w:t>
      </w:r>
      <w:proofErr w:type="spellStart"/>
      <w:r w:rsidRPr="000B3B32">
        <w:t>some</w:t>
      </w:r>
      <w:proofErr w:type="spellEnd"/>
      <w:r w:rsidRPr="000B3B32">
        <w:t xml:space="preserve"> of </w:t>
      </w:r>
      <w:proofErr w:type="spellStart"/>
      <w:r w:rsidRPr="000B3B32">
        <w:t>these</w:t>
      </w:r>
      <w:proofErr w:type="spellEnd"/>
      <w:r w:rsidRPr="000B3B32">
        <w:t xml:space="preserve"> </w:t>
      </w:r>
      <w:proofErr w:type="spellStart"/>
      <w:r w:rsidRPr="000B3B32">
        <w:t>belong</w:t>
      </w:r>
      <w:proofErr w:type="spellEnd"/>
      <w:r w:rsidRPr="000B3B32">
        <w:t xml:space="preserve"> </w:t>
      </w:r>
      <w:proofErr w:type="spellStart"/>
      <w:r w:rsidRPr="000B3B32">
        <w:t>to</w:t>
      </w:r>
      <w:proofErr w:type="spellEnd"/>
      <w:r w:rsidRPr="000B3B32">
        <w:t xml:space="preserve"> </w:t>
      </w:r>
      <w:proofErr w:type="spellStart"/>
      <w:r w:rsidRPr="000B3B32">
        <w:t>all</w:t>
      </w:r>
      <w:proofErr w:type="spellEnd"/>
      <w:r w:rsidRPr="000B3B32">
        <w:t xml:space="preserve"> </w:t>
      </w:r>
      <w:proofErr w:type="spellStart"/>
      <w:r w:rsidRPr="000B3B32">
        <w:t>members</w:t>
      </w:r>
      <w:proofErr w:type="spellEnd"/>
      <w:r w:rsidRPr="000B3B32">
        <w:t xml:space="preserve"> of </w:t>
      </w:r>
      <w:proofErr w:type="spellStart"/>
      <w:r w:rsidRPr="000B3B32">
        <w:t>the</w:t>
      </w:r>
      <w:proofErr w:type="spellEnd"/>
      <w:r w:rsidRPr="000B3B32">
        <w:t xml:space="preserve"> </w:t>
      </w:r>
      <w:proofErr w:type="spellStart"/>
      <w:r w:rsidRPr="000B3B32">
        <w:t>religion</w:t>
      </w:r>
      <w:proofErr w:type="spellEnd"/>
      <w:r w:rsidRPr="000B3B32">
        <w:t xml:space="preserve">, </w:t>
      </w:r>
      <w:proofErr w:type="spellStart"/>
      <w:r w:rsidRPr="000B3B32">
        <w:t>some</w:t>
      </w:r>
      <w:proofErr w:type="spellEnd"/>
      <w:r w:rsidRPr="000B3B32">
        <w:t xml:space="preserve"> of </w:t>
      </w:r>
      <w:proofErr w:type="spellStart"/>
      <w:r w:rsidRPr="000B3B32">
        <w:t>them</w:t>
      </w:r>
      <w:proofErr w:type="spellEnd"/>
      <w:r w:rsidRPr="000B3B32">
        <w:t xml:space="preserve"> </w:t>
      </w:r>
      <w:proofErr w:type="spellStart"/>
      <w:r w:rsidRPr="000B3B32">
        <w:t>belong</w:t>
      </w:r>
      <w:proofErr w:type="spellEnd"/>
      <w:r w:rsidRPr="000B3B32">
        <w:t xml:space="preserve"> </w:t>
      </w:r>
      <w:proofErr w:type="spellStart"/>
      <w:r w:rsidRPr="000B3B32">
        <w:t>only</w:t>
      </w:r>
      <w:proofErr w:type="spellEnd"/>
      <w:r w:rsidRPr="000B3B32">
        <w:t xml:space="preserve"> </w:t>
      </w:r>
      <w:proofErr w:type="spellStart"/>
      <w:r w:rsidRPr="000B3B32">
        <w:t>to</w:t>
      </w:r>
      <w:proofErr w:type="spellEnd"/>
      <w:r w:rsidRPr="000B3B32">
        <w:t xml:space="preserve"> men </w:t>
      </w:r>
      <w:proofErr w:type="spellStart"/>
      <w:r w:rsidRPr="000B3B32">
        <w:t>or</w:t>
      </w:r>
      <w:proofErr w:type="spellEnd"/>
      <w:r w:rsidRPr="000B3B32">
        <w:t xml:space="preserve"> </w:t>
      </w:r>
      <w:proofErr w:type="spellStart"/>
      <w:r w:rsidRPr="000B3B32">
        <w:t>only</w:t>
      </w:r>
      <w:proofErr w:type="spellEnd"/>
      <w:r w:rsidRPr="000B3B32">
        <w:t xml:space="preserve"> </w:t>
      </w:r>
      <w:proofErr w:type="spellStart"/>
      <w:r w:rsidRPr="000B3B32">
        <w:t>women</w:t>
      </w:r>
      <w:proofErr w:type="spellEnd"/>
      <w:r w:rsidRPr="000B3B32">
        <w:t xml:space="preserve">. A </w:t>
      </w:r>
      <w:proofErr w:type="spellStart"/>
      <w:r w:rsidRPr="000B3B32">
        <w:t>similar</w:t>
      </w:r>
      <w:proofErr w:type="spellEnd"/>
      <w:r w:rsidRPr="000B3B32">
        <w:t xml:space="preserve"> </w:t>
      </w:r>
      <w:proofErr w:type="spellStart"/>
      <w:r w:rsidRPr="000B3B32">
        <w:t>situation</w:t>
      </w:r>
      <w:proofErr w:type="spellEnd"/>
      <w:r w:rsidRPr="000B3B32">
        <w:t xml:space="preserve"> </w:t>
      </w:r>
      <w:proofErr w:type="spellStart"/>
      <w:r w:rsidRPr="000B3B32">
        <w:t>exists</w:t>
      </w:r>
      <w:proofErr w:type="spellEnd"/>
      <w:r w:rsidRPr="000B3B32">
        <w:t xml:space="preserve"> in </w:t>
      </w:r>
      <w:proofErr w:type="spellStart"/>
      <w:r w:rsidRPr="000B3B32">
        <w:t>Judaism</w:t>
      </w:r>
      <w:proofErr w:type="spellEnd"/>
      <w:r w:rsidRPr="000B3B32">
        <w:t xml:space="preserve">. </w:t>
      </w:r>
      <w:proofErr w:type="spellStart"/>
      <w:r w:rsidRPr="000B3B32">
        <w:t>However</w:t>
      </w:r>
      <w:proofErr w:type="spellEnd"/>
      <w:r w:rsidRPr="000B3B32">
        <w:t xml:space="preserve">, it is </w:t>
      </w:r>
      <w:proofErr w:type="spellStart"/>
      <w:r w:rsidRPr="000B3B32">
        <w:t>seen</w:t>
      </w:r>
      <w:proofErr w:type="spellEnd"/>
      <w:r w:rsidRPr="000B3B32">
        <w:t xml:space="preserve"> </w:t>
      </w:r>
      <w:proofErr w:type="spellStart"/>
      <w:r w:rsidRPr="000B3B32">
        <w:t>that</w:t>
      </w:r>
      <w:proofErr w:type="spellEnd"/>
      <w:r w:rsidRPr="000B3B32">
        <w:t xml:space="preserve"> men </w:t>
      </w:r>
      <w:proofErr w:type="spellStart"/>
      <w:r w:rsidRPr="000B3B32">
        <w:t>are</w:t>
      </w:r>
      <w:proofErr w:type="spellEnd"/>
      <w:r w:rsidRPr="000B3B32">
        <w:t xml:space="preserve"> </w:t>
      </w:r>
      <w:proofErr w:type="spellStart"/>
      <w:r w:rsidRPr="000B3B32">
        <w:t>more</w:t>
      </w:r>
      <w:proofErr w:type="spellEnd"/>
      <w:r w:rsidRPr="000B3B32">
        <w:t xml:space="preserve"> </w:t>
      </w:r>
      <w:proofErr w:type="spellStart"/>
      <w:r w:rsidRPr="000B3B32">
        <w:t>prominent</w:t>
      </w:r>
      <w:proofErr w:type="spellEnd"/>
      <w:r w:rsidRPr="000B3B32">
        <w:t xml:space="preserve"> </w:t>
      </w:r>
      <w:proofErr w:type="spellStart"/>
      <w:r w:rsidRPr="000B3B32">
        <w:t>than</w:t>
      </w:r>
      <w:proofErr w:type="spellEnd"/>
      <w:r w:rsidRPr="000B3B32">
        <w:t xml:space="preserve"> </w:t>
      </w:r>
      <w:proofErr w:type="spellStart"/>
      <w:r w:rsidRPr="000B3B32">
        <w:t>women</w:t>
      </w:r>
      <w:proofErr w:type="spellEnd"/>
      <w:r w:rsidRPr="000B3B32">
        <w:t xml:space="preserve"> in </w:t>
      </w:r>
      <w:proofErr w:type="spellStart"/>
      <w:r w:rsidRPr="000B3B32">
        <w:t>Jewish</w:t>
      </w:r>
      <w:proofErr w:type="spellEnd"/>
      <w:r w:rsidRPr="000B3B32">
        <w:t xml:space="preserve"> </w:t>
      </w:r>
      <w:proofErr w:type="spellStart"/>
      <w:r w:rsidRPr="000B3B32">
        <w:t>worship</w:t>
      </w:r>
      <w:proofErr w:type="spellEnd"/>
      <w:r w:rsidRPr="000B3B32">
        <w:t xml:space="preserve">. </w:t>
      </w:r>
      <w:proofErr w:type="spellStart"/>
      <w:r w:rsidRPr="000B3B32">
        <w:t>However</w:t>
      </w:r>
      <w:proofErr w:type="spellEnd"/>
      <w:r w:rsidRPr="000B3B32">
        <w:t xml:space="preserve">, </w:t>
      </w:r>
      <w:proofErr w:type="spellStart"/>
      <w:r w:rsidRPr="000B3B32">
        <w:t>women</w:t>
      </w:r>
      <w:proofErr w:type="spellEnd"/>
      <w:r w:rsidRPr="000B3B32">
        <w:t xml:space="preserve"> </w:t>
      </w:r>
      <w:proofErr w:type="spellStart"/>
      <w:r w:rsidRPr="000B3B32">
        <w:t>are</w:t>
      </w:r>
      <w:proofErr w:type="spellEnd"/>
      <w:r w:rsidRPr="000B3B32">
        <w:t xml:space="preserve"> not </w:t>
      </w:r>
      <w:proofErr w:type="spellStart"/>
      <w:r w:rsidRPr="000B3B32">
        <w:t>prohibited</w:t>
      </w:r>
      <w:proofErr w:type="spellEnd"/>
      <w:r w:rsidRPr="000B3B32">
        <w:t xml:space="preserve"> </w:t>
      </w:r>
      <w:proofErr w:type="spellStart"/>
      <w:r w:rsidRPr="000B3B32">
        <w:t>from</w:t>
      </w:r>
      <w:proofErr w:type="spellEnd"/>
      <w:r w:rsidRPr="000B3B32">
        <w:t xml:space="preserve"> </w:t>
      </w:r>
      <w:proofErr w:type="spellStart"/>
      <w:r w:rsidRPr="000B3B32">
        <w:t>worship</w:t>
      </w:r>
      <w:proofErr w:type="spellEnd"/>
      <w:r w:rsidRPr="000B3B32">
        <w:t xml:space="preserve"> </w:t>
      </w:r>
      <w:proofErr w:type="spellStart"/>
      <w:r w:rsidRPr="000B3B32">
        <w:t>and</w:t>
      </w:r>
      <w:proofErr w:type="spellEnd"/>
      <w:r w:rsidRPr="000B3B32">
        <w:t xml:space="preserve"> </w:t>
      </w:r>
      <w:proofErr w:type="spellStart"/>
      <w:r w:rsidRPr="000B3B32">
        <w:t>rituals</w:t>
      </w:r>
      <w:proofErr w:type="spellEnd"/>
      <w:r w:rsidRPr="000B3B32">
        <w:t xml:space="preserve">. </w:t>
      </w:r>
      <w:proofErr w:type="spellStart"/>
      <w:r w:rsidRPr="000B3B32">
        <w:t>The</w:t>
      </w:r>
      <w:proofErr w:type="spellEnd"/>
      <w:r w:rsidRPr="000B3B32">
        <w:t xml:space="preserve"> </w:t>
      </w:r>
      <w:proofErr w:type="spellStart"/>
      <w:r w:rsidRPr="000B3B32">
        <w:t>worship</w:t>
      </w:r>
      <w:proofErr w:type="spellEnd"/>
      <w:r w:rsidRPr="000B3B32">
        <w:t xml:space="preserve"> </w:t>
      </w:r>
      <w:proofErr w:type="spellStart"/>
      <w:r w:rsidRPr="000B3B32">
        <w:t>performed</w:t>
      </w:r>
      <w:proofErr w:type="spellEnd"/>
      <w:r w:rsidRPr="000B3B32">
        <w:t xml:space="preserve"> </w:t>
      </w:r>
      <w:proofErr w:type="spellStart"/>
      <w:r w:rsidRPr="000B3B32">
        <w:t>by</w:t>
      </w:r>
      <w:proofErr w:type="spellEnd"/>
      <w:r w:rsidRPr="000B3B32">
        <w:t xml:space="preserve"> </w:t>
      </w:r>
      <w:proofErr w:type="spellStart"/>
      <w:r w:rsidRPr="000B3B32">
        <w:t>women</w:t>
      </w:r>
      <w:proofErr w:type="spellEnd"/>
      <w:r w:rsidRPr="000B3B32">
        <w:t xml:space="preserve"> in </w:t>
      </w:r>
      <w:proofErr w:type="spellStart"/>
      <w:r w:rsidRPr="000B3B32">
        <w:t>Judaism</w:t>
      </w:r>
      <w:proofErr w:type="spellEnd"/>
      <w:r w:rsidRPr="000B3B32">
        <w:t xml:space="preserve"> </w:t>
      </w:r>
      <w:proofErr w:type="spellStart"/>
      <w:r w:rsidRPr="000B3B32">
        <w:t>includes</w:t>
      </w:r>
      <w:proofErr w:type="spellEnd"/>
      <w:r w:rsidRPr="000B3B32">
        <w:t xml:space="preserve"> a </w:t>
      </w:r>
      <w:proofErr w:type="spellStart"/>
      <w:r w:rsidRPr="000B3B32">
        <w:t>number</w:t>
      </w:r>
      <w:proofErr w:type="spellEnd"/>
      <w:r w:rsidRPr="000B3B32">
        <w:t xml:space="preserve"> of </w:t>
      </w:r>
      <w:proofErr w:type="spellStart"/>
      <w:r w:rsidRPr="000B3B32">
        <w:t>prayers</w:t>
      </w:r>
      <w:proofErr w:type="spellEnd"/>
      <w:r w:rsidRPr="000B3B32">
        <w:t xml:space="preserve"> </w:t>
      </w:r>
      <w:proofErr w:type="spellStart"/>
      <w:r w:rsidRPr="000B3B32">
        <w:t>and</w:t>
      </w:r>
      <w:proofErr w:type="spellEnd"/>
      <w:r w:rsidRPr="000B3B32">
        <w:t xml:space="preserve"> </w:t>
      </w:r>
      <w:proofErr w:type="spellStart"/>
      <w:r w:rsidRPr="000B3B32">
        <w:t>practices</w:t>
      </w:r>
      <w:proofErr w:type="spellEnd"/>
      <w:r w:rsidRPr="000B3B32">
        <w:t xml:space="preserve"> </w:t>
      </w:r>
      <w:proofErr w:type="spellStart"/>
      <w:r w:rsidRPr="000B3B32">
        <w:t>that</w:t>
      </w:r>
      <w:proofErr w:type="spellEnd"/>
      <w:r w:rsidRPr="000B3B32">
        <w:t xml:space="preserve"> they </w:t>
      </w:r>
      <w:proofErr w:type="spellStart"/>
      <w:r w:rsidRPr="000B3B32">
        <w:t>perform</w:t>
      </w:r>
      <w:proofErr w:type="spellEnd"/>
      <w:r w:rsidRPr="000B3B32">
        <w:t xml:space="preserve"> </w:t>
      </w:r>
      <w:proofErr w:type="spellStart"/>
      <w:r w:rsidRPr="000B3B32">
        <w:t>both</w:t>
      </w:r>
      <w:proofErr w:type="spellEnd"/>
      <w:r w:rsidRPr="000B3B32">
        <w:t xml:space="preserve"> in </w:t>
      </w:r>
      <w:proofErr w:type="spellStart"/>
      <w:r w:rsidRPr="000B3B32">
        <w:t>their</w:t>
      </w:r>
      <w:proofErr w:type="spellEnd"/>
      <w:r w:rsidRPr="000B3B32">
        <w:t xml:space="preserve"> </w:t>
      </w:r>
      <w:proofErr w:type="spellStart"/>
      <w:r w:rsidRPr="000B3B32">
        <w:t>domestic</w:t>
      </w:r>
      <w:proofErr w:type="spellEnd"/>
      <w:r w:rsidRPr="000B3B32">
        <w:t xml:space="preserve"> </w:t>
      </w:r>
      <w:proofErr w:type="spellStart"/>
      <w:r w:rsidRPr="000B3B32">
        <w:t>rituals</w:t>
      </w:r>
      <w:proofErr w:type="spellEnd"/>
      <w:r w:rsidRPr="000B3B32">
        <w:t xml:space="preserve"> </w:t>
      </w:r>
      <w:proofErr w:type="spellStart"/>
      <w:r w:rsidRPr="000B3B32">
        <w:t>and</w:t>
      </w:r>
      <w:proofErr w:type="spellEnd"/>
      <w:r w:rsidRPr="000B3B32">
        <w:t xml:space="preserve"> in </w:t>
      </w:r>
      <w:proofErr w:type="spellStart"/>
      <w:r w:rsidRPr="000B3B32">
        <w:t>other</w:t>
      </w:r>
      <w:proofErr w:type="spellEnd"/>
      <w:r w:rsidRPr="000B3B32">
        <w:t xml:space="preserve"> </w:t>
      </w:r>
      <w:proofErr w:type="spellStart"/>
      <w:r w:rsidRPr="000B3B32">
        <w:t>areas</w:t>
      </w:r>
      <w:proofErr w:type="spellEnd"/>
      <w:r w:rsidRPr="000B3B32">
        <w:t xml:space="preserve">. </w:t>
      </w:r>
      <w:proofErr w:type="spellStart"/>
      <w:r w:rsidRPr="000B3B32">
        <w:t>Therefore</w:t>
      </w:r>
      <w:proofErr w:type="spellEnd"/>
      <w:r w:rsidRPr="000B3B32">
        <w:t xml:space="preserve">, </w:t>
      </w:r>
      <w:proofErr w:type="spellStart"/>
      <w:r w:rsidRPr="000B3B32">
        <w:t>the</w:t>
      </w:r>
      <w:proofErr w:type="spellEnd"/>
      <w:r w:rsidRPr="000B3B32">
        <w:t xml:space="preserve"> </w:t>
      </w:r>
      <w:proofErr w:type="spellStart"/>
      <w:r w:rsidRPr="000B3B32">
        <w:t>forms</w:t>
      </w:r>
      <w:proofErr w:type="spellEnd"/>
      <w:r w:rsidRPr="000B3B32">
        <w:t xml:space="preserve"> of </w:t>
      </w:r>
      <w:proofErr w:type="spellStart"/>
      <w:r w:rsidRPr="000B3B32">
        <w:t>worship</w:t>
      </w:r>
      <w:proofErr w:type="spellEnd"/>
      <w:r w:rsidRPr="000B3B32">
        <w:t xml:space="preserve"> in </w:t>
      </w:r>
      <w:proofErr w:type="spellStart"/>
      <w:r w:rsidRPr="000B3B32">
        <w:t>the</w:t>
      </w:r>
      <w:proofErr w:type="spellEnd"/>
      <w:r w:rsidRPr="000B3B32">
        <w:t xml:space="preserve"> </w:t>
      </w:r>
      <w:proofErr w:type="spellStart"/>
      <w:r w:rsidRPr="000B3B32">
        <w:t>Jewish</w:t>
      </w:r>
      <w:proofErr w:type="spellEnd"/>
      <w:r w:rsidRPr="000B3B32">
        <w:t xml:space="preserve"> </w:t>
      </w:r>
      <w:proofErr w:type="spellStart"/>
      <w:r w:rsidRPr="000B3B32">
        <w:t>religion</w:t>
      </w:r>
      <w:proofErr w:type="spellEnd"/>
      <w:r w:rsidRPr="000B3B32">
        <w:t xml:space="preserve"> </w:t>
      </w:r>
      <w:proofErr w:type="spellStart"/>
      <w:r w:rsidRPr="000B3B32">
        <w:t>are</w:t>
      </w:r>
      <w:proofErr w:type="spellEnd"/>
      <w:r w:rsidRPr="000B3B32">
        <w:t xml:space="preserve"> </w:t>
      </w:r>
      <w:proofErr w:type="spellStart"/>
      <w:r w:rsidRPr="000B3B32">
        <w:t>quite</w:t>
      </w:r>
      <w:proofErr w:type="spellEnd"/>
      <w:r w:rsidRPr="000B3B32">
        <w:t xml:space="preserve"> </w:t>
      </w:r>
      <w:proofErr w:type="spellStart"/>
      <w:r w:rsidRPr="000B3B32">
        <w:t>detailed</w:t>
      </w:r>
      <w:proofErr w:type="spellEnd"/>
      <w:r w:rsidRPr="000B3B32">
        <w:t xml:space="preserve">, </w:t>
      </w:r>
      <w:proofErr w:type="spellStart"/>
      <w:r w:rsidRPr="000B3B32">
        <w:t>and</w:t>
      </w:r>
      <w:proofErr w:type="spellEnd"/>
      <w:r w:rsidRPr="000B3B32">
        <w:t xml:space="preserve"> </w:t>
      </w:r>
      <w:proofErr w:type="spellStart"/>
      <w:r w:rsidRPr="000B3B32">
        <w:t>women</w:t>
      </w:r>
      <w:proofErr w:type="spellEnd"/>
      <w:r w:rsidRPr="000B3B32">
        <w:t xml:space="preserve"> </w:t>
      </w:r>
      <w:proofErr w:type="spellStart"/>
      <w:r w:rsidRPr="000B3B32">
        <w:t>also</w:t>
      </w:r>
      <w:proofErr w:type="spellEnd"/>
      <w:r w:rsidRPr="000B3B32">
        <w:t xml:space="preserve"> </w:t>
      </w:r>
      <w:proofErr w:type="spellStart"/>
      <w:r w:rsidRPr="000B3B32">
        <w:t>play</w:t>
      </w:r>
      <w:proofErr w:type="spellEnd"/>
      <w:r w:rsidRPr="000B3B32">
        <w:t xml:space="preserve"> </w:t>
      </w:r>
      <w:proofErr w:type="spellStart"/>
      <w:r w:rsidRPr="000B3B32">
        <w:t>important</w:t>
      </w:r>
      <w:proofErr w:type="spellEnd"/>
      <w:r w:rsidRPr="000B3B32">
        <w:t xml:space="preserve"> </w:t>
      </w:r>
      <w:proofErr w:type="spellStart"/>
      <w:r w:rsidRPr="000B3B32">
        <w:t>roles</w:t>
      </w:r>
      <w:proofErr w:type="spellEnd"/>
      <w:r w:rsidRPr="000B3B32">
        <w:t xml:space="preserve"> in </w:t>
      </w:r>
      <w:proofErr w:type="spellStart"/>
      <w:r w:rsidRPr="000B3B32">
        <w:t>these</w:t>
      </w:r>
      <w:proofErr w:type="spellEnd"/>
      <w:r w:rsidRPr="000B3B32">
        <w:t xml:space="preserve"> </w:t>
      </w:r>
      <w:proofErr w:type="spellStart"/>
      <w:r w:rsidRPr="000B3B32">
        <w:t>worships</w:t>
      </w:r>
      <w:proofErr w:type="spellEnd"/>
      <w:r w:rsidRPr="000B3B32">
        <w:t xml:space="preserve">. </w:t>
      </w:r>
      <w:proofErr w:type="spellStart"/>
      <w:r w:rsidRPr="000B3B32">
        <w:t>According</w:t>
      </w:r>
      <w:proofErr w:type="spellEnd"/>
      <w:r w:rsidRPr="000B3B32">
        <w:t xml:space="preserve"> </w:t>
      </w:r>
      <w:proofErr w:type="spellStart"/>
      <w:r w:rsidRPr="000B3B32">
        <w:t>to</w:t>
      </w:r>
      <w:proofErr w:type="spellEnd"/>
      <w:r w:rsidRPr="000B3B32">
        <w:t xml:space="preserve"> </w:t>
      </w:r>
      <w:proofErr w:type="spellStart"/>
      <w:r w:rsidRPr="000B3B32">
        <w:t>Jewish</w:t>
      </w:r>
      <w:proofErr w:type="spellEnd"/>
      <w:r w:rsidRPr="000B3B32">
        <w:t xml:space="preserve"> </w:t>
      </w:r>
      <w:proofErr w:type="spellStart"/>
      <w:r w:rsidRPr="000B3B32">
        <w:t>traditions</w:t>
      </w:r>
      <w:proofErr w:type="spellEnd"/>
      <w:r w:rsidRPr="000B3B32">
        <w:t xml:space="preserve">, </w:t>
      </w:r>
      <w:proofErr w:type="spellStart"/>
      <w:r w:rsidRPr="000B3B32">
        <w:t>praying</w:t>
      </w:r>
      <w:proofErr w:type="spellEnd"/>
      <w:r w:rsidRPr="000B3B32">
        <w:t xml:space="preserve"> in </w:t>
      </w:r>
      <w:proofErr w:type="spellStart"/>
      <w:r w:rsidRPr="000B3B32">
        <w:t>the</w:t>
      </w:r>
      <w:proofErr w:type="spellEnd"/>
      <w:r w:rsidRPr="000B3B32">
        <w:t xml:space="preserve"> </w:t>
      </w:r>
      <w:proofErr w:type="spellStart"/>
      <w:r w:rsidRPr="000B3B32">
        <w:t>temple</w:t>
      </w:r>
      <w:proofErr w:type="spellEnd"/>
      <w:r w:rsidRPr="000B3B32">
        <w:t xml:space="preserve"> </w:t>
      </w:r>
      <w:proofErr w:type="spellStart"/>
      <w:r w:rsidRPr="000B3B32">
        <w:t>or</w:t>
      </w:r>
      <w:proofErr w:type="spellEnd"/>
      <w:r w:rsidRPr="000B3B32">
        <w:t xml:space="preserve"> </w:t>
      </w:r>
      <w:proofErr w:type="spellStart"/>
      <w:r w:rsidRPr="000B3B32">
        <w:t>celebrating</w:t>
      </w:r>
      <w:proofErr w:type="spellEnd"/>
      <w:r w:rsidRPr="000B3B32">
        <w:t xml:space="preserve"> </w:t>
      </w:r>
      <w:proofErr w:type="spellStart"/>
      <w:r w:rsidRPr="000B3B32">
        <w:t>religious</w:t>
      </w:r>
      <w:proofErr w:type="spellEnd"/>
      <w:r w:rsidRPr="000B3B32">
        <w:t xml:space="preserve"> </w:t>
      </w:r>
      <w:proofErr w:type="spellStart"/>
      <w:r w:rsidRPr="000B3B32">
        <w:t>holidays</w:t>
      </w:r>
      <w:proofErr w:type="spellEnd"/>
      <w:r w:rsidRPr="000B3B32">
        <w:t xml:space="preserve"> is an </w:t>
      </w:r>
      <w:proofErr w:type="spellStart"/>
      <w:r w:rsidRPr="000B3B32">
        <w:t>act</w:t>
      </w:r>
      <w:proofErr w:type="spellEnd"/>
      <w:r w:rsidRPr="000B3B32">
        <w:t xml:space="preserve"> of </w:t>
      </w:r>
      <w:proofErr w:type="spellStart"/>
      <w:r w:rsidRPr="000B3B32">
        <w:t>worship</w:t>
      </w:r>
      <w:proofErr w:type="spellEnd"/>
      <w:r w:rsidRPr="000B3B32">
        <w:t xml:space="preserve">, as </w:t>
      </w:r>
      <w:proofErr w:type="spellStart"/>
      <w:r w:rsidRPr="000B3B32">
        <w:t>well</w:t>
      </w:r>
      <w:proofErr w:type="spellEnd"/>
      <w:r w:rsidRPr="000B3B32">
        <w:t xml:space="preserve"> as </w:t>
      </w:r>
      <w:proofErr w:type="spellStart"/>
      <w:r w:rsidRPr="000B3B32">
        <w:t>making</w:t>
      </w:r>
      <w:proofErr w:type="spellEnd"/>
      <w:r w:rsidRPr="000B3B32">
        <w:t xml:space="preserve"> </w:t>
      </w:r>
      <w:proofErr w:type="spellStart"/>
      <w:r w:rsidRPr="000B3B32">
        <w:t>preparations</w:t>
      </w:r>
      <w:proofErr w:type="spellEnd"/>
      <w:r w:rsidRPr="000B3B32">
        <w:t xml:space="preserve"> </w:t>
      </w:r>
      <w:proofErr w:type="spellStart"/>
      <w:r w:rsidRPr="000B3B32">
        <w:t>for</w:t>
      </w:r>
      <w:proofErr w:type="spellEnd"/>
      <w:r w:rsidRPr="000B3B32">
        <w:t xml:space="preserve"> </w:t>
      </w:r>
      <w:proofErr w:type="spellStart"/>
      <w:r w:rsidRPr="000B3B32">
        <w:t>holidays</w:t>
      </w:r>
      <w:proofErr w:type="spellEnd"/>
      <w:r w:rsidRPr="000B3B32">
        <w:t xml:space="preserve"> </w:t>
      </w:r>
      <w:proofErr w:type="spellStart"/>
      <w:r w:rsidRPr="000B3B32">
        <w:t>and</w:t>
      </w:r>
      <w:proofErr w:type="spellEnd"/>
      <w:r w:rsidRPr="000B3B32">
        <w:t xml:space="preserve"> </w:t>
      </w:r>
      <w:proofErr w:type="spellStart"/>
      <w:r w:rsidRPr="000B3B32">
        <w:t>ceremonies</w:t>
      </w:r>
      <w:proofErr w:type="spellEnd"/>
      <w:r w:rsidRPr="000B3B32">
        <w:t xml:space="preserve">. </w:t>
      </w:r>
      <w:proofErr w:type="spellStart"/>
      <w:r w:rsidRPr="000B3B32">
        <w:t>From</w:t>
      </w:r>
      <w:proofErr w:type="spellEnd"/>
      <w:r w:rsidRPr="000B3B32">
        <w:t xml:space="preserve"> </w:t>
      </w:r>
      <w:proofErr w:type="spellStart"/>
      <w:r w:rsidRPr="000B3B32">
        <w:t>this</w:t>
      </w:r>
      <w:proofErr w:type="spellEnd"/>
      <w:r w:rsidRPr="000B3B32">
        <w:t xml:space="preserve"> </w:t>
      </w:r>
      <w:proofErr w:type="spellStart"/>
      <w:r w:rsidRPr="000B3B32">
        <w:t>perspective</w:t>
      </w:r>
      <w:proofErr w:type="spellEnd"/>
      <w:r w:rsidRPr="000B3B32">
        <w:t xml:space="preserve">, </w:t>
      </w:r>
      <w:proofErr w:type="spellStart"/>
      <w:r w:rsidRPr="000B3B32">
        <w:t>the</w:t>
      </w:r>
      <w:proofErr w:type="spellEnd"/>
      <w:r w:rsidRPr="000B3B32">
        <w:t xml:space="preserve"> </w:t>
      </w:r>
      <w:proofErr w:type="spellStart"/>
      <w:r w:rsidRPr="000B3B32">
        <w:t>preparations</w:t>
      </w:r>
      <w:proofErr w:type="spellEnd"/>
      <w:r w:rsidRPr="000B3B32">
        <w:t xml:space="preserve"> </w:t>
      </w:r>
      <w:proofErr w:type="spellStart"/>
      <w:r w:rsidRPr="000B3B32">
        <w:t>made</w:t>
      </w:r>
      <w:proofErr w:type="spellEnd"/>
      <w:r w:rsidRPr="000B3B32">
        <w:t xml:space="preserve"> </w:t>
      </w:r>
      <w:proofErr w:type="spellStart"/>
      <w:r w:rsidRPr="000B3B32">
        <w:t>by</w:t>
      </w:r>
      <w:proofErr w:type="spellEnd"/>
      <w:r w:rsidRPr="000B3B32">
        <w:t xml:space="preserve"> </w:t>
      </w:r>
      <w:proofErr w:type="spellStart"/>
      <w:r w:rsidRPr="000B3B32">
        <w:t>women</w:t>
      </w:r>
      <w:proofErr w:type="spellEnd"/>
      <w:r w:rsidRPr="000B3B32">
        <w:t xml:space="preserve"> at </w:t>
      </w:r>
      <w:proofErr w:type="spellStart"/>
      <w:r w:rsidRPr="000B3B32">
        <w:t>home</w:t>
      </w:r>
      <w:proofErr w:type="spellEnd"/>
      <w:r w:rsidRPr="000B3B32">
        <w:t xml:space="preserve"> </w:t>
      </w:r>
      <w:proofErr w:type="spellStart"/>
      <w:r w:rsidRPr="000B3B32">
        <w:t>and</w:t>
      </w:r>
      <w:proofErr w:type="spellEnd"/>
      <w:r w:rsidRPr="000B3B32">
        <w:t xml:space="preserve"> </w:t>
      </w:r>
      <w:proofErr w:type="spellStart"/>
      <w:r w:rsidRPr="000B3B32">
        <w:t>during</w:t>
      </w:r>
      <w:proofErr w:type="spellEnd"/>
      <w:r w:rsidRPr="000B3B32">
        <w:t xml:space="preserve"> </w:t>
      </w:r>
      <w:proofErr w:type="spellStart"/>
      <w:r w:rsidRPr="000B3B32">
        <w:t>holidays</w:t>
      </w:r>
      <w:proofErr w:type="spellEnd"/>
      <w:r w:rsidRPr="000B3B32">
        <w:t xml:space="preserve"> </w:t>
      </w:r>
      <w:proofErr w:type="spellStart"/>
      <w:r w:rsidRPr="000B3B32">
        <w:t>are</w:t>
      </w:r>
      <w:proofErr w:type="spellEnd"/>
      <w:r w:rsidRPr="000B3B32">
        <w:t xml:space="preserve"> </w:t>
      </w:r>
      <w:proofErr w:type="spellStart"/>
      <w:r w:rsidRPr="000B3B32">
        <w:t>also</w:t>
      </w:r>
      <w:proofErr w:type="spellEnd"/>
      <w:r w:rsidRPr="000B3B32">
        <w:t xml:space="preserve"> </w:t>
      </w:r>
      <w:proofErr w:type="spellStart"/>
      <w:r w:rsidRPr="000B3B32">
        <w:t>considered</w:t>
      </w:r>
      <w:proofErr w:type="spellEnd"/>
      <w:r w:rsidRPr="000B3B32">
        <w:t xml:space="preserve"> as </w:t>
      </w:r>
      <w:proofErr w:type="spellStart"/>
      <w:r w:rsidRPr="000B3B32">
        <w:t>worship</w:t>
      </w:r>
      <w:proofErr w:type="spellEnd"/>
      <w:r w:rsidRPr="000B3B32">
        <w:t xml:space="preserve">. </w:t>
      </w:r>
      <w:proofErr w:type="spellStart"/>
      <w:r w:rsidRPr="000B3B32">
        <w:t>Jewish</w:t>
      </w:r>
      <w:proofErr w:type="spellEnd"/>
      <w:r w:rsidRPr="000B3B32">
        <w:t xml:space="preserve"> </w:t>
      </w:r>
      <w:proofErr w:type="spellStart"/>
      <w:r w:rsidRPr="000B3B32">
        <w:t>women</w:t>
      </w:r>
      <w:proofErr w:type="spellEnd"/>
      <w:r w:rsidRPr="000B3B32">
        <w:t xml:space="preserve"> </w:t>
      </w:r>
      <w:proofErr w:type="spellStart"/>
      <w:r w:rsidRPr="000B3B32">
        <w:t>worship</w:t>
      </w:r>
      <w:proofErr w:type="spellEnd"/>
      <w:r w:rsidRPr="000B3B32">
        <w:t xml:space="preserve"> </w:t>
      </w:r>
      <w:proofErr w:type="spellStart"/>
      <w:r w:rsidRPr="000B3B32">
        <w:t>God</w:t>
      </w:r>
      <w:proofErr w:type="spellEnd"/>
      <w:r w:rsidRPr="000B3B32">
        <w:t xml:space="preserve"> </w:t>
      </w:r>
      <w:proofErr w:type="spellStart"/>
      <w:r w:rsidRPr="000B3B32">
        <w:t>individually</w:t>
      </w:r>
      <w:proofErr w:type="spellEnd"/>
      <w:r w:rsidRPr="000B3B32">
        <w:t xml:space="preserve"> </w:t>
      </w:r>
      <w:proofErr w:type="spellStart"/>
      <w:r w:rsidRPr="000B3B32">
        <w:t>and</w:t>
      </w:r>
      <w:proofErr w:type="spellEnd"/>
      <w:r w:rsidRPr="000B3B32">
        <w:t xml:space="preserve"> </w:t>
      </w:r>
      <w:proofErr w:type="spellStart"/>
      <w:r w:rsidRPr="000B3B32">
        <w:t>by</w:t>
      </w:r>
      <w:proofErr w:type="spellEnd"/>
      <w:r w:rsidRPr="000B3B32">
        <w:t xml:space="preserve"> </w:t>
      </w:r>
      <w:proofErr w:type="spellStart"/>
      <w:r w:rsidRPr="000B3B32">
        <w:t>gathering</w:t>
      </w:r>
      <w:proofErr w:type="spellEnd"/>
      <w:r w:rsidRPr="000B3B32">
        <w:t xml:space="preserve"> </w:t>
      </w:r>
      <w:proofErr w:type="spellStart"/>
      <w:r w:rsidRPr="000B3B32">
        <w:t>together</w:t>
      </w:r>
      <w:proofErr w:type="spellEnd"/>
      <w:r w:rsidRPr="000B3B32">
        <w:t xml:space="preserve"> </w:t>
      </w:r>
      <w:proofErr w:type="spellStart"/>
      <w:r w:rsidRPr="000B3B32">
        <w:t>with</w:t>
      </w:r>
      <w:proofErr w:type="spellEnd"/>
      <w:r w:rsidRPr="000B3B32">
        <w:t xml:space="preserve"> </w:t>
      </w:r>
      <w:proofErr w:type="spellStart"/>
      <w:r w:rsidRPr="000B3B32">
        <w:t>women</w:t>
      </w:r>
      <w:proofErr w:type="spellEnd"/>
      <w:r w:rsidRPr="000B3B32">
        <w:t xml:space="preserve"> </w:t>
      </w:r>
      <w:proofErr w:type="spellStart"/>
      <w:r w:rsidRPr="000B3B32">
        <w:t>and</w:t>
      </w:r>
      <w:proofErr w:type="spellEnd"/>
      <w:r w:rsidRPr="000B3B32">
        <w:t xml:space="preserve"> </w:t>
      </w:r>
      <w:proofErr w:type="spellStart"/>
      <w:r w:rsidRPr="000B3B32">
        <w:t>praying</w:t>
      </w:r>
      <w:proofErr w:type="spellEnd"/>
      <w:r w:rsidRPr="000B3B32">
        <w:t xml:space="preserve"> in </w:t>
      </w:r>
      <w:proofErr w:type="spellStart"/>
      <w:r w:rsidRPr="000B3B32">
        <w:t>the</w:t>
      </w:r>
      <w:proofErr w:type="spellEnd"/>
      <w:r w:rsidRPr="000B3B32">
        <w:t xml:space="preserve"> time they </w:t>
      </w:r>
      <w:proofErr w:type="spellStart"/>
      <w:r w:rsidRPr="000B3B32">
        <w:t>are</w:t>
      </w:r>
      <w:proofErr w:type="spellEnd"/>
      <w:r w:rsidRPr="000B3B32">
        <w:t xml:space="preserve"> </w:t>
      </w:r>
      <w:proofErr w:type="spellStart"/>
      <w:r w:rsidRPr="000B3B32">
        <w:t>responsible</w:t>
      </w:r>
      <w:proofErr w:type="spellEnd"/>
      <w:r w:rsidRPr="000B3B32">
        <w:t xml:space="preserve"> </w:t>
      </w:r>
      <w:proofErr w:type="spellStart"/>
      <w:r w:rsidRPr="000B3B32">
        <w:t>for</w:t>
      </w:r>
      <w:proofErr w:type="spellEnd"/>
      <w:r w:rsidRPr="000B3B32">
        <w:t xml:space="preserve">, </w:t>
      </w:r>
      <w:proofErr w:type="spellStart"/>
      <w:r w:rsidRPr="000B3B32">
        <w:t>the</w:t>
      </w:r>
      <w:proofErr w:type="spellEnd"/>
      <w:r w:rsidRPr="000B3B32">
        <w:t xml:space="preserve"> </w:t>
      </w:r>
      <w:proofErr w:type="spellStart"/>
      <w:r w:rsidRPr="000B3B32">
        <w:t>family</w:t>
      </w:r>
      <w:proofErr w:type="spellEnd"/>
      <w:r w:rsidRPr="000B3B32">
        <w:t xml:space="preserve"> </w:t>
      </w:r>
      <w:proofErr w:type="spellStart"/>
      <w:r w:rsidRPr="000B3B32">
        <w:t>education</w:t>
      </w:r>
      <w:proofErr w:type="spellEnd"/>
      <w:r w:rsidRPr="000B3B32">
        <w:t xml:space="preserve"> of </w:t>
      </w:r>
      <w:proofErr w:type="spellStart"/>
      <w:r w:rsidRPr="000B3B32">
        <w:t>their</w:t>
      </w:r>
      <w:proofErr w:type="spellEnd"/>
      <w:r w:rsidRPr="000B3B32">
        <w:t xml:space="preserve"> </w:t>
      </w:r>
      <w:proofErr w:type="spellStart"/>
      <w:r w:rsidRPr="000B3B32">
        <w:t>children</w:t>
      </w:r>
      <w:proofErr w:type="spellEnd"/>
      <w:r w:rsidRPr="000B3B32">
        <w:t xml:space="preserve"> </w:t>
      </w:r>
      <w:proofErr w:type="spellStart"/>
      <w:r w:rsidRPr="000B3B32">
        <w:t>and</w:t>
      </w:r>
      <w:proofErr w:type="spellEnd"/>
      <w:r w:rsidRPr="000B3B32">
        <w:t xml:space="preserve"> </w:t>
      </w:r>
      <w:proofErr w:type="spellStart"/>
      <w:r w:rsidRPr="000B3B32">
        <w:t>the</w:t>
      </w:r>
      <w:proofErr w:type="spellEnd"/>
      <w:r w:rsidRPr="000B3B32">
        <w:t xml:space="preserve"> </w:t>
      </w:r>
      <w:proofErr w:type="spellStart"/>
      <w:r w:rsidRPr="000B3B32">
        <w:t>housework</w:t>
      </w:r>
      <w:proofErr w:type="spellEnd"/>
      <w:r w:rsidRPr="000B3B32">
        <w:t xml:space="preserve">. </w:t>
      </w:r>
      <w:proofErr w:type="spellStart"/>
      <w:r w:rsidRPr="000B3B32">
        <w:t>In</w:t>
      </w:r>
      <w:proofErr w:type="spellEnd"/>
      <w:r w:rsidRPr="000B3B32">
        <w:t xml:space="preserve"> </w:t>
      </w:r>
      <w:proofErr w:type="spellStart"/>
      <w:r w:rsidRPr="000B3B32">
        <w:t>some</w:t>
      </w:r>
      <w:proofErr w:type="spellEnd"/>
      <w:r w:rsidRPr="000B3B32">
        <w:t xml:space="preserve"> </w:t>
      </w:r>
      <w:proofErr w:type="spellStart"/>
      <w:r w:rsidRPr="000B3B32">
        <w:t>cases</w:t>
      </w:r>
      <w:proofErr w:type="spellEnd"/>
      <w:r w:rsidRPr="000B3B32">
        <w:t xml:space="preserve">, they </w:t>
      </w:r>
      <w:proofErr w:type="spellStart"/>
      <w:r w:rsidRPr="000B3B32">
        <w:t>go</w:t>
      </w:r>
      <w:proofErr w:type="spellEnd"/>
      <w:r w:rsidRPr="000B3B32">
        <w:t xml:space="preserve"> </w:t>
      </w:r>
      <w:proofErr w:type="spellStart"/>
      <w:r w:rsidRPr="000B3B32">
        <w:t>to</w:t>
      </w:r>
      <w:proofErr w:type="spellEnd"/>
      <w:r w:rsidRPr="000B3B32">
        <w:t xml:space="preserve"> </w:t>
      </w:r>
      <w:proofErr w:type="spellStart"/>
      <w:r w:rsidRPr="000B3B32">
        <w:t>the</w:t>
      </w:r>
      <w:proofErr w:type="spellEnd"/>
      <w:r w:rsidRPr="000B3B32">
        <w:t xml:space="preserve"> </w:t>
      </w:r>
      <w:proofErr w:type="spellStart"/>
      <w:r w:rsidRPr="000B3B32">
        <w:t>synagogue</w:t>
      </w:r>
      <w:proofErr w:type="spellEnd"/>
      <w:r w:rsidRPr="000B3B32">
        <w:t xml:space="preserve"> </w:t>
      </w:r>
      <w:proofErr w:type="spellStart"/>
      <w:r w:rsidRPr="000B3B32">
        <w:t>and</w:t>
      </w:r>
      <w:proofErr w:type="spellEnd"/>
      <w:r w:rsidRPr="000B3B32">
        <w:t xml:space="preserve"> </w:t>
      </w:r>
      <w:proofErr w:type="spellStart"/>
      <w:r w:rsidRPr="000B3B32">
        <w:t>accompany</w:t>
      </w:r>
      <w:proofErr w:type="spellEnd"/>
      <w:r w:rsidRPr="000B3B32">
        <w:t xml:space="preserve"> </w:t>
      </w:r>
      <w:proofErr w:type="spellStart"/>
      <w:r w:rsidRPr="000B3B32">
        <w:t>the</w:t>
      </w:r>
      <w:proofErr w:type="spellEnd"/>
      <w:r w:rsidRPr="000B3B32">
        <w:t xml:space="preserve"> </w:t>
      </w:r>
      <w:proofErr w:type="spellStart"/>
      <w:r w:rsidRPr="000B3B32">
        <w:t>worship</w:t>
      </w:r>
      <w:proofErr w:type="spellEnd"/>
      <w:r w:rsidRPr="000B3B32">
        <w:t xml:space="preserve"> in </w:t>
      </w:r>
      <w:proofErr w:type="spellStart"/>
      <w:r w:rsidRPr="000B3B32">
        <w:t>the</w:t>
      </w:r>
      <w:proofErr w:type="spellEnd"/>
      <w:r w:rsidRPr="000B3B32">
        <w:t xml:space="preserve"> </w:t>
      </w:r>
      <w:proofErr w:type="spellStart"/>
      <w:r w:rsidRPr="000B3B32">
        <w:t>section</w:t>
      </w:r>
      <w:proofErr w:type="spellEnd"/>
      <w:r w:rsidRPr="000B3B32">
        <w:t xml:space="preserve"> </w:t>
      </w:r>
      <w:proofErr w:type="spellStart"/>
      <w:r w:rsidRPr="000B3B32">
        <w:t>reserved</w:t>
      </w:r>
      <w:proofErr w:type="spellEnd"/>
      <w:r w:rsidRPr="000B3B32">
        <w:t xml:space="preserve"> </w:t>
      </w:r>
      <w:proofErr w:type="spellStart"/>
      <w:r w:rsidRPr="000B3B32">
        <w:t>for</w:t>
      </w:r>
      <w:proofErr w:type="spellEnd"/>
      <w:r w:rsidRPr="000B3B32">
        <w:t xml:space="preserve"> </w:t>
      </w:r>
      <w:proofErr w:type="spellStart"/>
      <w:r w:rsidRPr="000B3B32">
        <w:t>them</w:t>
      </w:r>
      <w:proofErr w:type="spellEnd"/>
      <w:r w:rsidRPr="000B3B32">
        <w:t xml:space="preserve">. </w:t>
      </w:r>
      <w:proofErr w:type="spellStart"/>
      <w:r w:rsidRPr="000B3B32">
        <w:t>In</w:t>
      </w:r>
      <w:proofErr w:type="spellEnd"/>
      <w:r w:rsidRPr="000B3B32">
        <w:t xml:space="preserve"> </w:t>
      </w:r>
      <w:proofErr w:type="spellStart"/>
      <w:r w:rsidRPr="000B3B32">
        <w:t>this</w:t>
      </w:r>
      <w:proofErr w:type="spellEnd"/>
      <w:r w:rsidRPr="000B3B32">
        <w:t xml:space="preserve"> </w:t>
      </w:r>
      <w:proofErr w:type="spellStart"/>
      <w:r w:rsidRPr="000B3B32">
        <w:t>study</w:t>
      </w:r>
      <w:proofErr w:type="spellEnd"/>
      <w:r w:rsidRPr="000B3B32">
        <w:t xml:space="preserve">, </w:t>
      </w:r>
      <w:proofErr w:type="spellStart"/>
      <w:r w:rsidRPr="000B3B32">
        <w:t>we</w:t>
      </w:r>
      <w:proofErr w:type="spellEnd"/>
      <w:r w:rsidRPr="000B3B32">
        <w:t xml:space="preserve"> </w:t>
      </w:r>
      <w:proofErr w:type="spellStart"/>
      <w:r w:rsidRPr="000B3B32">
        <w:t>will</w:t>
      </w:r>
      <w:proofErr w:type="spellEnd"/>
      <w:r w:rsidRPr="000B3B32">
        <w:t xml:space="preserve"> </w:t>
      </w:r>
      <w:proofErr w:type="spellStart"/>
      <w:r w:rsidRPr="000B3B32">
        <w:t>discuss</w:t>
      </w:r>
      <w:proofErr w:type="spellEnd"/>
      <w:r w:rsidRPr="000B3B32">
        <w:t xml:space="preserve"> </w:t>
      </w:r>
      <w:proofErr w:type="spellStart"/>
      <w:r w:rsidRPr="000B3B32">
        <w:t>the</w:t>
      </w:r>
      <w:proofErr w:type="spellEnd"/>
      <w:r w:rsidRPr="000B3B32">
        <w:t xml:space="preserve"> </w:t>
      </w:r>
      <w:proofErr w:type="spellStart"/>
      <w:r w:rsidRPr="000B3B32">
        <w:t>prayers</w:t>
      </w:r>
      <w:proofErr w:type="spellEnd"/>
      <w:r w:rsidRPr="000B3B32">
        <w:t xml:space="preserve"> </w:t>
      </w:r>
      <w:proofErr w:type="spellStart"/>
      <w:r w:rsidRPr="000B3B32">
        <w:t>performed</w:t>
      </w:r>
      <w:proofErr w:type="spellEnd"/>
      <w:r w:rsidRPr="000B3B32">
        <w:t xml:space="preserve"> </w:t>
      </w:r>
      <w:proofErr w:type="spellStart"/>
      <w:r w:rsidRPr="000B3B32">
        <w:t>by</w:t>
      </w:r>
      <w:proofErr w:type="spellEnd"/>
      <w:r w:rsidRPr="000B3B32">
        <w:t xml:space="preserve"> </w:t>
      </w:r>
      <w:proofErr w:type="spellStart"/>
      <w:r w:rsidRPr="000B3B32">
        <w:t>women</w:t>
      </w:r>
      <w:proofErr w:type="spellEnd"/>
      <w:r w:rsidRPr="000B3B32">
        <w:t xml:space="preserve"> </w:t>
      </w:r>
      <w:proofErr w:type="spellStart"/>
      <w:r w:rsidRPr="000B3B32">
        <w:t>and</w:t>
      </w:r>
      <w:proofErr w:type="spellEnd"/>
      <w:r w:rsidRPr="000B3B32">
        <w:t xml:space="preserve"> </w:t>
      </w:r>
      <w:proofErr w:type="spellStart"/>
      <w:r w:rsidRPr="000B3B32">
        <w:t>the</w:t>
      </w:r>
      <w:proofErr w:type="spellEnd"/>
      <w:r w:rsidRPr="000B3B32">
        <w:t xml:space="preserve"> </w:t>
      </w:r>
      <w:proofErr w:type="spellStart"/>
      <w:r w:rsidRPr="000B3B32">
        <w:t>prayers</w:t>
      </w:r>
      <w:proofErr w:type="spellEnd"/>
      <w:r w:rsidRPr="000B3B32">
        <w:t xml:space="preserve"> </w:t>
      </w:r>
      <w:proofErr w:type="spellStart"/>
      <w:r w:rsidRPr="000B3B32">
        <w:t>specific</w:t>
      </w:r>
      <w:proofErr w:type="spellEnd"/>
      <w:r w:rsidRPr="000B3B32">
        <w:t xml:space="preserve"> </w:t>
      </w:r>
      <w:proofErr w:type="spellStart"/>
      <w:r w:rsidRPr="000B3B32">
        <w:t>to</w:t>
      </w:r>
      <w:proofErr w:type="spellEnd"/>
      <w:r w:rsidRPr="000B3B32">
        <w:t xml:space="preserve"> </w:t>
      </w:r>
      <w:proofErr w:type="spellStart"/>
      <w:r w:rsidRPr="000B3B32">
        <w:t>Jewish</w:t>
      </w:r>
      <w:proofErr w:type="spellEnd"/>
      <w:r w:rsidRPr="000B3B32">
        <w:t xml:space="preserve"> </w:t>
      </w:r>
      <w:proofErr w:type="spellStart"/>
      <w:r w:rsidRPr="000B3B32">
        <w:t>women</w:t>
      </w:r>
      <w:proofErr w:type="spellEnd"/>
      <w:r w:rsidRPr="000B3B32">
        <w:t>.</w:t>
      </w:r>
    </w:p>
    <w:p w14:paraId="29B44128" w14:textId="77777777" w:rsidR="00FA457D" w:rsidRPr="000B3B32" w:rsidRDefault="00FA457D" w:rsidP="0079785E">
      <w:pPr>
        <w:jc w:val="both"/>
      </w:pPr>
    </w:p>
    <w:p w14:paraId="033471ED" w14:textId="77777777" w:rsidR="00FA457D" w:rsidRPr="000B3B32" w:rsidRDefault="00FA457D" w:rsidP="0079785E">
      <w:pPr>
        <w:jc w:val="both"/>
      </w:pPr>
      <w:proofErr w:type="spellStart"/>
      <w:r w:rsidRPr="000B3B32">
        <w:rPr>
          <w:b/>
        </w:rPr>
        <w:t>Key</w:t>
      </w:r>
      <w:r>
        <w:rPr>
          <w:b/>
        </w:rPr>
        <w:t>w</w:t>
      </w:r>
      <w:r w:rsidRPr="000B3B32">
        <w:rPr>
          <w:b/>
        </w:rPr>
        <w:t>ords</w:t>
      </w:r>
      <w:proofErr w:type="spellEnd"/>
      <w:r w:rsidRPr="000B3B32">
        <w:rPr>
          <w:b/>
        </w:rPr>
        <w:t xml:space="preserve">: </w:t>
      </w:r>
      <w:proofErr w:type="spellStart"/>
      <w:r w:rsidRPr="000B3B32">
        <w:t>Judaism</w:t>
      </w:r>
      <w:proofErr w:type="spellEnd"/>
      <w:r w:rsidRPr="000B3B32">
        <w:t xml:space="preserve">, </w:t>
      </w:r>
      <w:proofErr w:type="spellStart"/>
      <w:r w:rsidRPr="000B3B32">
        <w:t>Jewish</w:t>
      </w:r>
      <w:proofErr w:type="spellEnd"/>
      <w:r w:rsidRPr="000B3B32">
        <w:t xml:space="preserve"> </w:t>
      </w:r>
      <w:proofErr w:type="spellStart"/>
      <w:r w:rsidRPr="000B3B32">
        <w:t>Women</w:t>
      </w:r>
      <w:proofErr w:type="spellEnd"/>
      <w:r w:rsidRPr="000B3B32">
        <w:t xml:space="preserve">, </w:t>
      </w:r>
      <w:proofErr w:type="spellStart"/>
      <w:r w:rsidRPr="000B3B32">
        <w:t>Religious</w:t>
      </w:r>
      <w:proofErr w:type="spellEnd"/>
      <w:r w:rsidRPr="000B3B32">
        <w:t xml:space="preserve"> </w:t>
      </w:r>
      <w:proofErr w:type="spellStart"/>
      <w:r w:rsidRPr="000B3B32">
        <w:t>Practices</w:t>
      </w:r>
      <w:proofErr w:type="spellEnd"/>
      <w:r w:rsidRPr="000B3B32">
        <w:t xml:space="preserve">, </w:t>
      </w:r>
      <w:proofErr w:type="spellStart"/>
      <w:r w:rsidRPr="000B3B32">
        <w:t>Worship</w:t>
      </w:r>
      <w:proofErr w:type="spellEnd"/>
      <w:r w:rsidRPr="000B3B32">
        <w:t xml:space="preserve">, </w:t>
      </w:r>
      <w:proofErr w:type="spellStart"/>
      <w:r w:rsidRPr="000B3B32">
        <w:t>Prayers</w:t>
      </w:r>
      <w:proofErr w:type="spellEnd"/>
      <w:r w:rsidRPr="000B3B32">
        <w:t>.</w:t>
      </w:r>
    </w:p>
    <w:p w14:paraId="0E035523" w14:textId="77777777" w:rsidR="00FA457D" w:rsidRPr="000B3B32" w:rsidRDefault="00FA457D" w:rsidP="0079785E">
      <w:pPr>
        <w:jc w:val="both"/>
      </w:pPr>
    </w:p>
    <w:p w14:paraId="30E5D07F" w14:textId="77777777" w:rsidR="00FA457D" w:rsidRPr="000B3B32" w:rsidRDefault="00FA457D" w:rsidP="0079785E">
      <w:pPr>
        <w:jc w:val="both"/>
        <w:rPr>
          <w:b/>
        </w:rPr>
      </w:pPr>
      <w:r w:rsidRPr="000B3B32">
        <w:rPr>
          <w:b/>
        </w:rPr>
        <w:t>GİRİŞ</w:t>
      </w:r>
    </w:p>
    <w:p w14:paraId="7B7C6C21" w14:textId="77777777" w:rsidR="00FA457D" w:rsidRDefault="00FA457D" w:rsidP="0079785E">
      <w:pPr>
        <w:adjustRightInd w:val="0"/>
        <w:jc w:val="both"/>
        <w:rPr>
          <w:sz w:val="20"/>
          <w:szCs w:val="20"/>
        </w:rPr>
      </w:pPr>
      <w:r w:rsidRPr="000B3B32">
        <w:t>Yeryüzündeki bütün dinlerde inanma, ibadet etmeyi de beraberinde getirmiş olup her dinin kendi amentülerine ve din kurucu veya tebliğcilerinin ortaya koyduğu farza bağlı olarak yapılan ibadet şekilleri oluşmuştur. Daha sonraları ibadetlerin yapılması için gerekli olduğu düşüncesiyle mabetler inşa edilmiştir. Günümüzde mensubu bulunan dinlerin kimisinde belli bir ibadet mekânı mevcut değilken kimi dinlerde de ibadetler</w:t>
      </w:r>
      <w:r>
        <w:t>,</w:t>
      </w:r>
      <w:r w:rsidRPr="000B3B32">
        <w:t xml:space="preserve"> yapılan bu mabetlerde icra edilmektedir. </w:t>
      </w:r>
      <w:r w:rsidRPr="003E5D51">
        <w:rPr>
          <w:sz w:val="20"/>
          <w:szCs w:val="20"/>
        </w:rPr>
        <w:fldChar w:fldCharType="begin"/>
      </w:r>
      <w:r w:rsidRPr="003E5D51">
        <w:rPr>
          <w:sz w:val="20"/>
          <w:szCs w:val="20"/>
        </w:rPr>
        <w:instrText xml:space="preserve"> ADDIN ZOTERO_ITEM CSL_CITATION {"citationID":"zxrtZRZt","properties":{"formattedCitation":"(K\\uc0\\u252{}\\uc0\\u231{}\\uc0\\u252{}k, 1988, ss. 26-27)","plainCitation":"(Küçük, 1988, ss. 26-27)","noteIndex":0},"citationItems":[{"id":66,"uris":["http://zotero.org/users/16525729/items/MVYVCPYR"],"itemData":{"id":66,"type":"article-journal","archive_location":"TDV İslâm Araştırmaları Merkezi","container-title":"Diyanet İlmi Dergisi","issue":"3","language":"tr","license":"Her türlü telif hakkı Diyanet İlmi Dergine aittir.","note":"number: 3","page":"25-54","source":"ktpmakale.isam.org.tr","title":"Dinlerde Mabet ve İbadet","volume":"24","author":[{"family":"Küçük","given":"Abdurrahman"}],"issued":{"date-parts":[["1988"]]}},"locator":"26-27","label":"page"}],"schema":"https://github.com/citation-style-language/schema/raw/master/csl-citation.json"} </w:instrText>
      </w:r>
      <w:r w:rsidRPr="003E5D51">
        <w:rPr>
          <w:sz w:val="20"/>
          <w:szCs w:val="20"/>
        </w:rPr>
        <w:fldChar w:fldCharType="separate"/>
      </w:r>
      <w:r w:rsidRPr="003E5D51">
        <w:rPr>
          <w:sz w:val="20"/>
          <w:szCs w:val="20"/>
        </w:rPr>
        <w:t>(Küçük, 1988, ss. 26-27)</w:t>
      </w:r>
      <w:r w:rsidRPr="003E5D51">
        <w:rPr>
          <w:sz w:val="20"/>
          <w:szCs w:val="20"/>
        </w:rPr>
        <w:fldChar w:fldCharType="end"/>
      </w:r>
    </w:p>
    <w:p w14:paraId="2F4D2D5B" w14:textId="77777777" w:rsidR="0079785E" w:rsidRPr="000B3B32" w:rsidRDefault="0079785E" w:rsidP="0079785E">
      <w:pPr>
        <w:adjustRightInd w:val="0"/>
        <w:jc w:val="both"/>
      </w:pPr>
    </w:p>
    <w:p w14:paraId="6F4D1F94" w14:textId="1C4293AF" w:rsidR="00FA457D" w:rsidRDefault="00FA457D" w:rsidP="0079785E">
      <w:pPr>
        <w:jc w:val="both"/>
      </w:pPr>
      <w:r w:rsidRPr="000B3B32">
        <w:t>İnsanlar başlangıçtan günümüze kadar kendinden üstün bir yaratıcıya karşı inanç hissetmiş ve bunun neticesinde de çeşitli eylemler ve tapınmalar ile ibadet ederek bu inancını ifade etmiştir. İbadetin olmadığı bir inanç yapısı bulunmamaktadır. Dinlerdeki ibadet türleri ve yapılış şekilleri farklılık arz etse de yapılış amaçları benzerlik arz etmektedir.</w:t>
      </w:r>
    </w:p>
    <w:p w14:paraId="114A1E46" w14:textId="77777777" w:rsidR="0079785E" w:rsidRPr="000B3B32" w:rsidRDefault="0079785E" w:rsidP="0079785E">
      <w:pPr>
        <w:jc w:val="both"/>
      </w:pPr>
    </w:p>
    <w:p w14:paraId="7CC158B0" w14:textId="77777777" w:rsidR="00FA457D" w:rsidRDefault="00FA457D" w:rsidP="0079785E">
      <w:pPr>
        <w:jc w:val="both"/>
        <w:rPr>
          <w:sz w:val="20"/>
          <w:szCs w:val="20"/>
        </w:rPr>
      </w:pPr>
      <w:r w:rsidRPr="000B3B32">
        <w:t>Yahudilikte de bütün inanç, ibadet ve uygulamalar şeriata yani kutsal kitaba dayanmaktadır. Tevrat’ta Hz. Musa dönemindeki Yahudi ibadetlerine dair metinlere rastlanılmaktadır. Bu dönemde Hz. Musa, Tanrı’ya ibadette bulunmak için çadıra girerken diğer Yahudiler çadırın çevresinde toplanırlardı. Günümüzde Yahudilerin en önemli ibadetlerinden biri de sinagogda haham eşliğinde Tevrat metinleri okumaktır.</w:t>
      </w:r>
      <w:r w:rsidRPr="003E5D51">
        <w:rPr>
          <w:sz w:val="20"/>
          <w:szCs w:val="20"/>
        </w:rPr>
        <w:fldChar w:fldCharType="begin"/>
      </w:r>
      <w:r w:rsidRPr="003E5D51">
        <w:rPr>
          <w:sz w:val="20"/>
          <w:szCs w:val="20"/>
        </w:rPr>
        <w:instrText xml:space="preserve"> ADDIN ZOTERO_ITEM CSL_CITATION {"citationID":"TzyUwwFt","properties":{"formattedCitation":"(Hamidullah &amp; Aksu, 2008, s. 17)","plainCitation":"(Hamidullah &amp; Aksu, 2008, s. 17)","noteIndex":0},"citationItems":[{"id":121,"uris":["http://zotero.org/users/16525729/items/DV7KCSCL"],"itemData":{"id":121,"type":"article-journal","archive_location":"TDV İslâm Araştırmaları Merkezi","container-title":"Hikmet Yurdu","issue":"1","language":"tr","license":"Her türlü telif hakkı Hikmet Yurdune aittir.","note":"number: 1","page":"9-30","source":"ktpmakale.isam.org.tr","title":"İnsan Toplumlarında İbadet Tarihi","volume":"I","author":[{"family":"Hamidullah","given":"Muhammed"},{"family":"Aksu","given":"Zahit"}],"issued":{"date-parts":[["2008"]]}},"locator":"17","label":"page"}],"schema":"https://github.com/citation-style-language/schema/raw/master/csl-citation.json"} </w:instrText>
      </w:r>
      <w:r w:rsidRPr="003E5D51">
        <w:rPr>
          <w:sz w:val="20"/>
          <w:szCs w:val="20"/>
        </w:rPr>
        <w:fldChar w:fldCharType="separate"/>
      </w:r>
      <w:r w:rsidRPr="003E5D51">
        <w:rPr>
          <w:sz w:val="20"/>
          <w:szCs w:val="20"/>
        </w:rPr>
        <w:t>(Hamidullah &amp; Aksu, 2008, s. 17)</w:t>
      </w:r>
      <w:r w:rsidRPr="003E5D51">
        <w:rPr>
          <w:sz w:val="20"/>
          <w:szCs w:val="20"/>
        </w:rPr>
        <w:fldChar w:fldCharType="end"/>
      </w:r>
      <w:r w:rsidRPr="000B3B32">
        <w:t xml:space="preserve"> Yahudilerde </w:t>
      </w:r>
      <w:proofErr w:type="spellStart"/>
      <w:r w:rsidRPr="000B3B32">
        <w:t>mabedte</w:t>
      </w:r>
      <w:proofErr w:type="spellEnd"/>
      <w:r w:rsidRPr="000B3B32">
        <w:t xml:space="preserve"> yapılan toplu haldeki ibadet için “</w:t>
      </w:r>
      <w:proofErr w:type="spellStart"/>
      <w:r w:rsidRPr="000B3B32">
        <w:t>hiştahava</w:t>
      </w:r>
      <w:proofErr w:type="spellEnd"/>
      <w:r w:rsidRPr="000B3B32">
        <w:t xml:space="preserve">” ifadesi kullanılmaktadır ve Tanrıya yapılan ibadeti ifade etmektedir. Yahudi dininde ibadet sadece </w:t>
      </w:r>
      <w:proofErr w:type="spellStart"/>
      <w:r w:rsidRPr="000B3B32">
        <w:t>mabedde</w:t>
      </w:r>
      <w:proofErr w:type="spellEnd"/>
      <w:r w:rsidRPr="000B3B32">
        <w:t xml:space="preserve"> yapılan uygulama ve davranışlardan ibaret olmayıp bütün hayatı içine alan bir dindarlık olarak anlaşılmaktadır. </w:t>
      </w:r>
      <w:r w:rsidRPr="003E5D51">
        <w:rPr>
          <w:sz w:val="20"/>
          <w:szCs w:val="20"/>
        </w:rPr>
        <w:fldChar w:fldCharType="begin"/>
      </w:r>
      <w:r w:rsidRPr="003E5D51">
        <w:rPr>
          <w:sz w:val="20"/>
          <w:szCs w:val="20"/>
        </w:rPr>
        <w:instrText xml:space="preserve"> ADDIN ZOTERO_ITEM CSL_CITATION {"citationID":"FFlb2f8t","properties":{"formattedCitation":"(\\uc0\\u214{}zen, 1999, s. 23)","plainCitation":"(Özen, 1999, s. 23)","noteIndex":0},"citationItems":[{"id":87,"uris":["http://zotero.org/users/16525729/items/HFJLTIVL"],"itemData":{"id":87,"type":"thesis","abstract":"Danışman: Prof. Dr. Ömer Faruk Harman, Felsefe ve Din Bilimleri Anabilim Dalı Dinler Tarihi Bilim Dalı,","archive_location":"TDV İslâm Araştırmaları Merkezi","event-place":"İstanbul","genre":"Doktora Tezi","language":"Türkçe","license":"Her türlü telif hakkı Marmara Üniversitesine aittir.","note":"volume: 264 y.","number-of-pages":"264 y.","publisher":"Marmara Üniversitesi","publisher-place":"İstanbul","source":"kutuphane.isam.org.tr","title":"Yahudilik'te İbadet","URL":"https://kutuphane.isam.org.tr/detayilhtezt.php?navdil=tr&amp;tidno=10098&amp;BilimDali=Din","author":[{"family":"Özen","given":"Adem"}],"accessed":{"date-parts":[["2025",2,28]]},"issued":{"date-parts":[["1999"]]}},"locator":"23","label":"page"}],"schema":"https://github.com/citation-style-language/schema/raw/master/csl-citation.json"} </w:instrText>
      </w:r>
      <w:r w:rsidRPr="003E5D51">
        <w:rPr>
          <w:sz w:val="20"/>
          <w:szCs w:val="20"/>
        </w:rPr>
        <w:fldChar w:fldCharType="separate"/>
      </w:r>
      <w:r w:rsidRPr="003E5D51">
        <w:rPr>
          <w:sz w:val="20"/>
          <w:szCs w:val="20"/>
        </w:rPr>
        <w:t>(Özen, 1999, s. 23)</w:t>
      </w:r>
      <w:r w:rsidRPr="003E5D51">
        <w:rPr>
          <w:sz w:val="20"/>
          <w:szCs w:val="20"/>
        </w:rPr>
        <w:fldChar w:fldCharType="end"/>
      </w:r>
      <w:r w:rsidRPr="003E5D51">
        <w:rPr>
          <w:sz w:val="20"/>
          <w:szCs w:val="20"/>
        </w:rPr>
        <w:t xml:space="preserve"> </w:t>
      </w:r>
      <w:r w:rsidRPr="000B3B32">
        <w:t xml:space="preserve">Yahudilik inancında ibadetler sinagogda cemaat halinde yapıldığı gibi ferdi olarak da yapılmaktadır. Ferdi ibadet Yahudi olan kişinin evinde icra ettiği ibadet ve duaları kapsamaktadır. Sinagog içerisinde yapılan ibadetler ise daha geniş kapsamlı olup bu ibadetlerde </w:t>
      </w:r>
      <w:proofErr w:type="spellStart"/>
      <w:r w:rsidRPr="000B3B32">
        <w:t>minyan</w:t>
      </w:r>
      <w:proofErr w:type="spellEnd"/>
      <w:r w:rsidRPr="000B3B32">
        <w:t xml:space="preserve"> şartı ara</w:t>
      </w:r>
      <w:r>
        <w:t>n</w:t>
      </w:r>
      <w:r w:rsidRPr="000B3B32">
        <w:t>maktadır. Söz konusu şart gereğince 12 yaşını doldurmuş en az on erkeğin ibadet esnasında sinagogda hazır bulunması gerekmektedir.</w:t>
      </w:r>
      <w:r w:rsidRPr="003E5D51">
        <w:rPr>
          <w:sz w:val="20"/>
          <w:szCs w:val="20"/>
        </w:rPr>
        <w:fldChar w:fldCharType="begin"/>
      </w:r>
      <w:r w:rsidRPr="003E5D51">
        <w:rPr>
          <w:sz w:val="20"/>
          <w:szCs w:val="20"/>
        </w:rPr>
        <w:instrText xml:space="preserve"> ADDIN ZOTERO_ITEM CSL_CITATION {"citationID":"RZlA7Muc","properties":{"formattedCitation":"(T\\uc0\\u252{}mer vd., 2015, ss. 337-338)","plainCitation":"(Tümer vd., 2015, ss. 337-338)","noteIndex":0},"citationItems":[{"id":68,"uris":["http://zotero.org/users/16525729/items/YZDYMGVX"],"itemData":{"id":68,"type":"book","abstract":"Yeryüzünde yedibuçuk milyar civarında insan yaşamaktadır. Bu insanların yaklaşık yedi milyarı şu veya bu dinin mensubudur. Herhangi bir dine mensup olmayanlar ile inancı bilinemeyenlerin oranı genel nüfus içinde oldukça düşüktür. Bu durum; insanoğlu için dinin vazgeçilmez olduğunu/dinsiz insanlar\" olsa da \"bir toplumun toptan dinsiz olmadığım\" ortaya koymaktadır. Bu nedenle dünya nüfusunun büyük çoğunluğunun benimsediği dinleri ve bu dinlere dayalı kültürleri tanımak önem taşımaktadır. Günümüz teknolojisinin gelişmesi ve internet ortamının/ağ erişimleri­nin yaygınlaşması; dünyayı küçültmüş, insanların birbiri hakkında bilgi edin­me yollarını ve imkânlarını artırmıştır. Bu gelişmeye paralel olarak tarihte oldu-ğu gibi günümüzde de vazgeçilmezliğini koruyan din/dinler hakkında bilgi sahibi olma arzusu; her aydın hatta her insan için vazgeçilmez bir gerekli­lik haline almıştır. Sözkonusu edilen gereklilik, günümüzde bir ilâhiyatçı, bir din görevlisi, bir \"din bilgini\" ve bir araştırıcı hatta bir diplomat için daha da önem kazanmıştır. Çünkü bir din hakkında konuşup yazmak,yorum ve karşılaş­tırma yapmak,muhatapla olumlu diyalog kurmak,dışişlerinde ve uluslararası ilişkilerde başarılı olmak; kişinin mensubu olduğu din başta olmak üzere diğer dinleri tanımakla/bilmekle yakından ilgilidir. Dinleri tanımanın ve bunlara dayalı kültürleri bilmenin yolu da Dinler Tarihi'nden geçmektedir. Zaten Kanunî Sultan Süleyman'ın, Süleymaniye Camiî Vakfiyesi'nde, Süleymaniye Camii imamında aranacak vasıflar arasına, \"İslâm'ın yüce gerçeğini ortaya koyabilmesi için Mukayeseli Dinler ve Dinler Tarihini bilecektir\" şartını koyması Dinler Tarihinin / Dinler Tarihi kitabının önemi için dikkate değer bir örnek olmalıdır.","edition":"6","event-place":"Ankara","ISBN":"978-605-2030-19-6","language":"tr","number-of-pages":"592","publisher":"Berikan Yayınevi","publisher-place":"Ankara","title":"Dinler Tarihi","author":[{"family":"Tümer","given":"Günay"},{"family":"Küçük","given":"Abdurrahman"},{"family":"Küçük","given":"Mehmet Alparslan"}],"issued":{"date-parts":[["2015"]]}},"locator":"337-338","label":"page"}],"schema":"https://github.com/citation-style-language/schema/raw/master/csl-citation.json"} </w:instrText>
      </w:r>
      <w:r w:rsidRPr="003E5D51">
        <w:rPr>
          <w:sz w:val="20"/>
          <w:szCs w:val="20"/>
        </w:rPr>
        <w:fldChar w:fldCharType="separate"/>
      </w:r>
      <w:r w:rsidRPr="003E5D51">
        <w:rPr>
          <w:sz w:val="20"/>
          <w:szCs w:val="20"/>
        </w:rPr>
        <w:t>(Tümer vd., 2015, ss. 337-338)</w:t>
      </w:r>
      <w:r w:rsidRPr="003E5D51">
        <w:rPr>
          <w:sz w:val="20"/>
          <w:szCs w:val="20"/>
        </w:rPr>
        <w:fldChar w:fldCharType="end"/>
      </w:r>
      <w:r w:rsidRPr="003E5D51">
        <w:rPr>
          <w:sz w:val="20"/>
          <w:szCs w:val="20"/>
        </w:rPr>
        <w:t xml:space="preserve"> </w:t>
      </w:r>
      <w:r w:rsidRPr="000B3B32">
        <w:t xml:space="preserve">Sinagog içerisinde yapılan ibadetler belirli duaların okunması, Tevrat okunması ve dini içerikli yapılan konuşmalardan meydana gelmektedir. Yahudi inancına göre dua okunurken baş kapalı olmalıdır. Hatta bazı dualarda erkeklerin </w:t>
      </w:r>
      <w:proofErr w:type="spellStart"/>
      <w:r w:rsidRPr="000B3B32">
        <w:t>tefilin</w:t>
      </w:r>
      <w:proofErr w:type="spellEnd"/>
      <w:r w:rsidRPr="000B3B32">
        <w:rPr>
          <w:rStyle w:val="DipnotBavurusu"/>
          <w:rFonts w:eastAsiaTheme="majorEastAsia"/>
        </w:rPr>
        <w:footnoteReference w:id="69"/>
      </w:r>
      <w:r w:rsidRPr="000B3B32">
        <w:t xml:space="preserve"> (dua bilekliği) ve </w:t>
      </w:r>
      <w:proofErr w:type="spellStart"/>
      <w:r w:rsidRPr="000B3B32">
        <w:t>tallit</w:t>
      </w:r>
      <w:proofErr w:type="spellEnd"/>
      <w:r w:rsidRPr="000B3B32">
        <w:rPr>
          <w:rStyle w:val="DipnotBavurusu"/>
          <w:rFonts w:eastAsiaTheme="majorEastAsia"/>
        </w:rPr>
        <w:footnoteReference w:id="70"/>
      </w:r>
      <w:r w:rsidRPr="000B3B32">
        <w:t xml:space="preserve"> (dua atkısı) gibi özel ibadet eşyalarını kullanmaları gerekir. Yahudi inancındaki dualar önceki zamanlarda serbest olarak yapılırken sonraları bu dualara bazı ilahiler eklenmiş ve içeriği artırılmıştır. </w:t>
      </w:r>
      <w:r w:rsidRPr="003E5D51">
        <w:rPr>
          <w:sz w:val="20"/>
          <w:szCs w:val="20"/>
        </w:rPr>
        <w:fldChar w:fldCharType="begin"/>
      </w:r>
      <w:r w:rsidRPr="003E5D51">
        <w:rPr>
          <w:sz w:val="20"/>
          <w:szCs w:val="20"/>
        </w:rPr>
        <w:instrText xml:space="preserve"> ADDIN ZOTERO_ITEM CSL_CITATION {"citationID":"fiYviOlM","properties":{"formattedCitation":"(Schimmel, 2011, ss. 152-153)","plainCitation":"(Schimmel, 2011, ss. 152-153)","noteIndex":0},"citationItems":[{"id":93,"uris":["http://zotero.org/users/16525729/items/YV3N6942"],"itemData":{"id":93,"type":"book","abstract":"Din deyince neyi anlamalıyız? İnsan ile insaüstü kudret arasındaki münasebetin mahiyeti nedir? Dinler tarihi’nin muhtevası nedir? Din fenomenolojisi, Din sosyolojisi, Din psikolojisi, Din felsefesi, Din metafiziği bize neyi anlatır? Beşerî dinler ve ilahî dinlerin kesiştiği noktalar nelerdir? İsveçli büyük episkopos Nathan Söderblom, vefatından birkaç dakika önce demişti ki: “Biliyorum ki, Allah yaşıyor. Bunu din tarihinin verdiği malumatla ispat edebilirim.” Schimmel’in Ankara Üniversitesi İlahiyat Fakültesi’nde verdiği ders notlarından derlediğimiz bu çalışma dinler tarihi sahasında müstesna bir yere sahiptir. Schimmel’e göre dinlerin tarihini araştırırken, objektif bir gözle bakmaya çalışmalı, her dinde gizli olan hakikati anlayıp anlatmaya uğraşmalıdır. Kendi dininin ülkülerini, başka dinlerin ülküleriyle karşılaştırmalı, kendi dininin zayıf gibi gelen noktalarını, başka dinlerin zayıf görünen noktalarıyla mukayese etmelidir. Fakat yanlış bir perspektifle, yabancı dinlerin ilk anda acaip görünen özellikleri hakkında derhal kesin yargıya varmamalıdır.","edition":"2","event-place":"İstanbul","ISBN":"978-605-5976-24-8","language":"tr","number-of-pages":"323","publisher":"Külliyat Yayınları","publisher-place":"İstanbul","source":"KitapYurdu.com","title":"Dinler Tarihine Giriş","author":[{"family":"Schimmel","given":"Annemarie"}],"issued":{"date-parts":[["2011"]]}},"locator":"152-153","label":"page"}],"schema":"https://github.com/citation-style-language/schema/raw/master/csl-citation.json"} </w:instrText>
      </w:r>
      <w:r w:rsidRPr="003E5D51">
        <w:rPr>
          <w:sz w:val="20"/>
          <w:szCs w:val="20"/>
        </w:rPr>
        <w:fldChar w:fldCharType="separate"/>
      </w:r>
      <w:r w:rsidRPr="003E5D51">
        <w:rPr>
          <w:sz w:val="20"/>
          <w:szCs w:val="20"/>
        </w:rPr>
        <w:t>(Schimmel, 2011, ss. 152-153)</w:t>
      </w:r>
      <w:r w:rsidRPr="003E5D51">
        <w:rPr>
          <w:sz w:val="20"/>
          <w:szCs w:val="20"/>
        </w:rPr>
        <w:fldChar w:fldCharType="end"/>
      </w:r>
    </w:p>
    <w:p w14:paraId="14BF89AB" w14:textId="77777777" w:rsidR="0079785E" w:rsidRPr="003E5D51" w:rsidRDefault="0079785E" w:rsidP="0079785E">
      <w:pPr>
        <w:jc w:val="both"/>
        <w:rPr>
          <w:sz w:val="20"/>
          <w:szCs w:val="20"/>
        </w:rPr>
      </w:pPr>
    </w:p>
    <w:p w14:paraId="207455BF" w14:textId="77777777" w:rsidR="00FA457D" w:rsidRPr="003E5D51" w:rsidRDefault="00FA457D" w:rsidP="0079785E">
      <w:pPr>
        <w:jc w:val="both"/>
        <w:rPr>
          <w:sz w:val="20"/>
          <w:szCs w:val="20"/>
        </w:rPr>
      </w:pPr>
      <w:r w:rsidRPr="000B3B32">
        <w:t>Yahudi inancında ibadetler genel olarak günlük, haftalık ve yıllık olmak üzere üç bölüme ayrılırken bunlar arasından günlük ibadetler Yahudi din adamı Ezra</w:t>
      </w:r>
      <w:r w:rsidRPr="000B3B32">
        <w:rPr>
          <w:rStyle w:val="DipnotBavurusu"/>
          <w:rFonts w:eastAsiaTheme="majorEastAsia"/>
        </w:rPr>
        <w:footnoteReference w:id="71"/>
      </w:r>
      <w:r w:rsidRPr="000B3B32">
        <w:t xml:space="preserve"> tarafından reforme edildiği bilinmektedir. Sabah duası olan </w:t>
      </w:r>
      <w:proofErr w:type="spellStart"/>
      <w:r w:rsidRPr="009904B8">
        <w:rPr>
          <w:i/>
          <w:iCs/>
        </w:rPr>
        <w:t>şaharit</w:t>
      </w:r>
      <w:proofErr w:type="spellEnd"/>
      <w:r w:rsidRPr="000B3B32">
        <w:t xml:space="preserve"> güneşin yükselmesiyle icra edilirken öğle duası olan </w:t>
      </w:r>
      <w:r w:rsidRPr="009904B8">
        <w:rPr>
          <w:i/>
          <w:iCs/>
        </w:rPr>
        <w:t>minha</w:t>
      </w:r>
      <w:r w:rsidRPr="000B3B32">
        <w:t xml:space="preserve"> öğleden sonra ve akşam duası olan </w:t>
      </w:r>
      <w:proofErr w:type="spellStart"/>
      <w:r w:rsidRPr="009904B8">
        <w:rPr>
          <w:i/>
          <w:iCs/>
        </w:rPr>
        <w:t>arvit</w:t>
      </w:r>
      <w:proofErr w:type="spellEnd"/>
      <w:r w:rsidRPr="000B3B32">
        <w:t xml:space="preserve"> ise güneş battıktan sonraki süreçte yapılmaktadır. Üç defa yapılan günlük ibadetlerin Yahudi ataları tarafından oluşturulduğu düşüncesi </w:t>
      </w:r>
      <w:proofErr w:type="spellStart"/>
      <w:r w:rsidRPr="000B3B32">
        <w:t>Yahudilik’te</w:t>
      </w:r>
      <w:proofErr w:type="spellEnd"/>
      <w:r w:rsidRPr="000B3B32">
        <w:t xml:space="preserve"> </w:t>
      </w:r>
      <w:proofErr w:type="gramStart"/>
      <w:r w:rsidRPr="000B3B32">
        <w:t>hakim</w:t>
      </w:r>
      <w:proofErr w:type="gramEnd"/>
      <w:r w:rsidRPr="000B3B32">
        <w:t xml:space="preserve"> bir anlayıştır. </w:t>
      </w:r>
      <w:r w:rsidRPr="003E5D51">
        <w:rPr>
          <w:sz w:val="20"/>
          <w:szCs w:val="20"/>
        </w:rPr>
        <w:fldChar w:fldCharType="begin"/>
      </w:r>
      <w:r w:rsidRPr="003E5D51">
        <w:rPr>
          <w:sz w:val="20"/>
          <w:szCs w:val="20"/>
        </w:rPr>
        <w:instrText xml:space="preserve"> ADDIN ZOTERO_ITEM CSL_CITATION {"citationID":"OfSIt8dk","properties":{"formattedCitation":"(G\\uc0\\u252{}nd\\uc0\\u252{}z, 2018, ss. 223-225)","plainCitation":"(Gündüz, 2018, ss. 223-225)","noteIndex":0},"citationItems":[{"id":34,"uris":["http://zotero.org/users/16525729/items/2FKHUG68"],"itemData":{"id":34,"type":"article-journal","abstract":"Yahudilikte günlük ibadet (tefila), İslam’daki \nnamazla ilgili olarak süregelen bir tartışma konusudur. Bazıları Yahudi günlük \nibadetlerinin özellikle şekil ve biçim açısından İslam’daki namazın (salât) \nkökeni olduğunu ve Hz. Muhammed’in namazı Yahudi kültür çevresinden öğrendiğini \ntartışmaktadır. Ancak Yahudilikte günlük ibadetlerin gelişimine dair tarihsel \nsüreç bunun desteklememektedir; zira Hz. Muhammed’in peygamberliği döneminde \nİslam’daki namaza benzer bir şekil ve biçime rastlanmamaktadır. İlk elden \nYahudi dinsel literatürü incelendiğinde Yahudilikte günlük ibadetlerin \ntapınaktaki günlük kurban ritüellerinden hareketle günde üç vakit olacak \nşekilde Yazıcı Ezra başkanlığındaki bir heyet tarafından düzenlendiği \nanlaşılır. İkinci Tapınağın yıkılışı sonrası günlük ibadet geleneğinde bazı \ndeğişiklikler oldu ve İslami dönemin başlangıcında günlük ibadetler genelde \nayakta durmak suretiyle eda edilmekteydi. İlerleyen İslam egemenliği döneminde ise \nYahudi kültüründeki günlük ibadet geleneği İslami uygulamalardan etkilendi. \nSadece Anan ben David tarafından kurulan 8. yy Karailiği değil, ana gövde \nRabbinik gelenek de İslam geleneğinden etkilendi. Böylelikle 12. yy’ın ünlü \nYahudi din bilgini Maimonides, şekil ve biçim açısından ibadet öncesi \ntemizlenme ritüelini ve ibadetleri yeniden düzenlemek suretiyle Rabbinik \nYahudiliğin günlük ibadetlerini gözden geçirdi. Böylece kolların ve ayakların \nyıkanması, tam rükû ve secde gibi şekiller Ortaçağda Yahudiliğin hem Karailik \nhem de Rabbinik geleneğinde ortaya çıktı. Günümüz Yahudiliğine geldiğimizde, \nRabbinik gelenek bağlısı Yemen ve Etiyopya Yahudiliği gibi bazı gruplarla Karai \nve Samiri Yahudiliği haricinde Yahudilerin kahir çoğunluğu günlük ibadetlerini \ngenelde ayakta icra ederler ve tam rükû ve secde gibi ritüellere yer vermezler. \nBununla birlikte genelde Talmide Ha-Rambam olarak bilinen bazı revizyonist \ngruplar Yahudi günlük ibadetlerinin şeklini ve biçimini Ortaçağda Maimonides \ngibi Yahudi din bilginlerinin tanımlamalarından hareketle yeniden inşa etmeye çalışmaktadırlar.","container-title":"İslami İlimler Dergisi","DOI":"10.34082/islamiilimler.511589","ISSN":"1306-7044","issue":"2","page":"215-238","source":"DOI.org (Crossref)","title":"Namaz ve Yahudilikteki Günlük İbadet","volume":"13","author":[{"family":"Gündüz","given":"Şinasi"}],"issued":{"date-parts":[["2018",12,23]]}},"locator":"223-225","label":"page"}],"schema":"https://github.com/citation-style-language/schema/raw/master/csl-citation.json"} </w:instrText>
      </w:r>
      <w:r w:rsidRPr="003E5D51">
        <w:rPr>
          <w:sz w:val="20"/>
          <w:szCs w:val="20"/>
        </w:rPr>
        <w:fldChar w:fldCharType="separate"/>
      </w:r>
      <w:r w:rsidRPr="003E5D51">
        <w:rPr>
          <w:sz w:val="20"/>
          <w:szCs w:val="20"/>
        </w:rPr>
        <w:t>(Gündüz, 2018, ss. 223-225)</w:t>
      </w:r>
      <w:r w:rsidRPr="003E5D51">
        <w:rPr>
          <w:sz w:val="20"/>
          <w:szCs w:val="20"/>
        </w:rPr>
        <w:fldChar w:fldCharType="end"/>
      </w:r>
    </w:p>
    <w:p w14:paraId="2A0A32F7" w14:textId="77777777" w:rsidR="00FA457D" w:rsidRDefault="00FA457D" w:rsidP="0079785E">
      <w:pPr>
        <w:jc w:val="both"/>
        <w:rPr>
          <w:sz w:val="20"/>
          <w:szCs w:val="20"/>
        </w:rPr>
      </w:pPr>
      <w:r w:rsidRPr="000B3B32">
        <w:lastRenderedPageBreak/>
        <w:t xml:space="preserve">Yahudi inancında haftalık ibadet mukaddes kabul edilen günlerden biri olan </w:t>
      </w:r>
      <w:proofErr w:type="spellStart"/>
      <w:r w:rsidRPr="000B3B32">
        <w:t>Şabat</w:t>
      </w:r>
      <w:proofErr w:type="spellEnd"/>
      <w:r w:rsidRPr="000B3B32">
        <w:t xml:space="preserve"> (</w:t>
      </w:r>
      <w:proofErr w:type="spellStart"/>
      <w:r w:rsidRPr="000B3B32">
        <w:t>Sebt</w:t>
      </w:r>
      <w:proofErr w:type="spellEnd"/>
      <w:r w:rsidRPr="000B3B32">
        <w:t xml:space="preserve">) gününde yani </w:t>
      </w:r>
      <w:proofErr w:type="gramStart"/>
      <w:r w:rsidRPr="000B3B32">
        <w:t>Cumartesi</w:t>
      </w:r>
      <w:proofErr w:type="gramEnd"/>
      <w:r w:rsidRPr="000B3B32">
        <w:t xml:space="preserve"> günü icra edilmektedir. </w:t>
      </w:r>
      <w:proofErr w:type="spellStart"/>
      <w:r w:rsidRPr="000B3B32">
        <w:t>Şabat</w:t>
      </w:r>
      <w:proofErr w:type="spellEnd"/>
      <w:r w:rsidRPr="000B3B32">
        <w:t xml:space="preserve"> gününün esasını dinlenme, dua ve ibadet etme oluşturmaktadır. Bununla birlikte </w:t>
      </w:r>
      <w:proofErr w:type="spellStart"/>
      <w:r w:rsidRPr="000B3B32">
        <w:t>Şabat</w:t>
      </w:r>
      <w:proofErr w:type="spellEnd"/>
      <w:r w:rsidRPr="000B3B32">
        <w:t xml:space="preserve"> süresi boyunca yapılması yasak olan birtakım eylemler de bulunmaktadır. </w:t>
      </w:r>
      <w:proofErr w:type="spellStart"/>
      <w:r w:rsidRPr="000B3B32">
        <w:t>Şabat</w:t>
      </w:r>
      <w:proofErr w:type="spellEnd"/>
      <w:r>
        <w:t>,</w:t>
      </w:r>
      <w:r w:rsidRPr="000B3B32">
        <w:t xml:space="preserve"> </w:t>
      </w:r>
      <w:proofErr w:type="gramStart"/>
      <w:r w:rsidRPr="000B3B32">
        <w:t>Cuma</w:t>
      </w:r>
      <w:proofErr w:type="gramEnd"/>
      <w:r w:rsidRPr="000B3B32">
        <w:t xml:space="preserve"> günü akşam başlar ve Cumartesi günü Güneş’in batışına kadar devam eder. Yahudiler için </w:t>
      </w:r>
      <w:proofErr w:type="spellStart"/>
      <w:r w:rsidRPr="000B3B32">
        <w:t>Şabat</w:t>
      </w:r>
      <w:proofErr w:type="spellEnd"/>
      <w:r w:rsidRPr="000B3B32">
        <w:t xml:space="preserve"> günü evde ve sinagogda yerine getirilmesi gereken birtakım uygulamaları da beraberinde getirmektedir. Sinagog içerisinde yapılacak olan ibadetler daha çok erkekler tarafından icra edilen cemaat halinde yapılan dualar, Tanrı’ya yapılan şükranlar, okunan </w:t>
      </w:r>
      <w:proofErr w:type="spellStart"/>
      <w:r w:rsidRPr="000B3B32">
        <w:t>Mezmurlar</w:t>
      </w:r>
      <w:proofErr w:type="spellEnd"/>
      <w:r w:rsidRPr="000B3B32">
        <w:t xml:space="preserve"> ve Tevrat bölümlerinden oluşmaktadır. Evde gerçekleştirilen ibadetler ise evin hanımının </w:t>
      </w:r>
      <w:proofErr w:type="spellStart"/>
      <w:r w:rsidRPr="000B3B32">
        <w:t>Şabat</w:t>
      </w:r>
      <w:proofErr w:type="spellEnd"/>
      <w:r w:rsidRPr="000B3B32">
        <w:t xml:space="preserve"> sofrasını kurması, </w:t>
      </w:r>
      <w:proofErr w:type="spellStart"/>
      <w:r w:rsidRPr="000B3B32">
        <w:t>Şabat</w:t>
      </w:r>
      <w:proofErr w:type="spellEnd"/>
      <w:r w:rsidRPr="000B3B32">
        <w:t xml:space="preserve"> ekmeğini, </w:t>
      </w:r>
      <w:proofErr w:type="spellStart"/>
      <w:r w:rsidRPr="000B3B32">
        <w:t>Şabat</w:t>
      </w:r>
      <w:proofErr w:type="spellEnd"/>
      <w:r w:rsidRPr="000B3B32">
        <w:t xml:space="preserve"> mumlarını hazırlaması ve mumları dua ederek yakması gibi eylemlerden meydana gelirken günün sonunda aile bireyleri </w:t>
      </w:r>
      <w:proofErr w:type="spellStart"/>
      <w:r w:rsidRPr="000B3B32">
        <w:t>Şabat</w:t>
      </w:r>
      <w:proofErr w:type="spellEnd"/>
      <w:r w:rsidRPr="000B3B32">
        <w:t xml:space="preserve"> sofrasında toplanır ve evin reisi tarafından </w:t>
      </w:r>
      <w:proofErr w:type="spellStart"/>
      <w:r w:rsidRPr="000B3B32">
        <w:t>minyan</w:t>
      </w:r>
      <w:proofErr w:type="spellEnd"/>
      <w:r w:rsidRPr="000B3B32">
        <w:t xml:space="preserve"> olanlara kutsanmış şaraptan içirilir bu günün önemi hakkındaki sohbetler eşliğinde akşam yemeği yenilmesiyle de </w:t>
      </w:r>
      <w:proofErr w:type="spellStart"/>
      <w:r w:rsidRPr="000B3B32">
        <w:t>Şabat</w:t>
      </w:r>
      <w:proofErr w:type="spellEnd"/>
      <w:r w:rsidRPr="000B3B32">
        <w:t xml:space="preserve"> günü sona ermektedir.</w:t>
      </w:r>
      <w:r w:rsidRPr="003E5D51">
        <w:rPr>
          <w:sz w:val="20"/>
          <w:szCs w:val="20"/>
        </w:rPr>
        <w:fldChar w:fldCharType="begin"/>
      </w:r>
      <w:r w:rsidRPr="003E5D51">
        <w:rPr>
          <w:sz w:val="20"/>
          <w:szCs w:val="20"/>
        </w:rPr>
        <w:instrText xml:space="preserve"> ADDIN ZOTERO_ITEM CSL_CITATION {"citationID":"erGWyS1J","properties":{"formattedCitation":"(G\\uc0\\u252{}\\uc0\\u231{}, 2011, ss. 139-140)","plainCitation":"(Güç, 2011, ss. 139-140)","noteIndex":0},"citationItems":[{"id":30,"uris":["http://zotero.org/users/16525729/items/QVLT8UWF"],"itemData":{"id":30,"type":"book","abstract":"İbadet, insanlık tarihinin bugüne kadar müşahede ettiği bütün dinlerin ayrılmaz bir parçasıdır. İbadetin yerine getirildiği mekânların başında mabedler gelmektedir. Bundan dolayı dinler açısından mabed ve ibadet, tıpkı dinlerin dogmaları, kutsal metinleri gibi çok önemli bir yere sahiptir. Bir bakıma dinlerin tarihi, mabed ve ibadetlerin tarihidir. Başka bir deyişle mabed ve ibadetlerin ortaya çıkışları, gelişim süreçleri ve belirli bir andaki durumları, bu mabed ve ibadetlerin söz konusu olduğu toplumun dini hakkında bir fikir vermektedir.","edition":"1","event-place":"İstanbul","ISBN":"978-625-428-424-3","publisher":"Düşünce Yayınları","publisher-place":"İstanbul","source":"Amazon","title":"Dinlerde Mabed ve İbadet","author":[{"family":"Güç","given":"Ahmet"}],"issued":{"date-parts":[["2011"]]}},"locator":"139-140","label":"page"}],"schema":"https://github.com/citation-style-language/schema/raw/master/csl-citation.json"} </w:instrText>
      </w:r>
      <w:r w:rsidRPr="003E5D51">
        <w:rPr>
          <w:sz w:val="20"/>
          <w:szCs w:val="20"/>
        </w:rPr>
        <w:fldChar w:fldCharType="separate"/>
      </w:r>
      <w:r w:rsidRPr="003E5D51">
        <w:rPr>
          <w:sz w:val="20"/>
          <w:szCs w:val="20"/>
        </w:rPr>
        <w:t>(Güç, 2011, ss. 139-140)</w:t>
      </w:r>
      <w:r w:rsidRPr="003E5D51">
        <w:rPr>
          <w:sz w:val="20"/>
          <w:szCs w:val="20"/>
        </w:rPr>
        <w:fldChar w:fldCharType="end"/>
      </w:r>
    </w:p>
    <w:p w14:paraId="111D6070" w14:textId="77777777" w:rsidR="0079785E" w:rsidRPr="003E5D51" w:rsidRDefault="0079785E" w:rsidP="0079785E">
      <w:pPr>
        <w:jc w:val="both"/>
        <w:rPr>
          <w:sz w:val="20"/>
          <w:szCs w:val="20"/>
        </w:rPr>
      </w:pPr>
    </w:p>
    <w:p w14:paraId="6451F882" w14:textId="412873BF" w:rsidR="00FA457D" w:rsidRDefault="00FA457D" w:rsidP="0079785E">
      <w:pPr>
        <w:jc w:val="both"/>
        <w:rPr>
          <w:sz w:val="20"/>
          <w:szCs w:val="20"/>
        </w:rPr>
      </w:pPr>
      <w:r w:rsidRPr="000B3B32">
        <w:t xml:space="preserve">Yahudi inancında yıllık ibadetler ise daha çok Yahudilerin önemli gün ve dini festivallerinden meydana gelmektedir. Yahudilerin günümüzde de kutlamaya devam ettikleri bu dini festivallerin önceki zamanlarda yaşanan zorlukları anlamak ve unutmamak adına önemli bir yeri vardır. Yahudiler için bu dini gün ve festivallerde günlük ibadetlerden farklı olarak yerine getirdikleri birtakım uygulamalar ve pratikler yer almaktadır. </w:t>
      </w:r>
      <w:r w:rsidRPr="003E5D51">
        <w:rPr>
          <w:sz w:val="20"/>
          <w:szCs w:val="20"/>
        </w:rPr>
        <w:fldChar w:fldCharType="begin"/>
      </w:r>
      <w:r w:rsidRPr="003E5D51">
        <w:rPr>
          <w:sz w:val="20"/>
          <w:szCs w:val="20"/>
        </w:rPr>
        <w:instrText xml:space="preserve"> ADDIN ZOTERO_ITEM CSL_CITATION {"citationID":"nUjfCrOd","properties":{"formattedCitation":"(Yasd\\uc0\\u305{}man, 2002, ss. 100-101)","plainCitation":"(Yasdıman, 2002, ss. 100-101)","noteIndex":0},"citationItems":[{"id":107,"uris":["http://zotero.org/users/16525729/items/MYA26BRU"],"itemData":{"id":107,"type":"book","edition":"1","event-place":"İzmir","publisher":"İlkem Ofset","publisher-place":"İzmir","title":"Yahudilik Üzerine Yazılar","URL":"https://www.google.com/search?q=Yasd%C4%B1man%2C+Hakk%C4%B1+%C5%9Eah.+Yahudilik+%C3%9Czerine+Yaz%C4%B1lar.+&amp;sca_esv=3d270dcc4f030842&amp;rlz=1C1PRFE_trTR698TR698&amp;ei=lHfBZ6OgKYD0xc8PzcOK4AU&amp;ved=0ahUKEwijuqGX_eWLAxUAevEDHc2hAlwQ4dUDCBA&amp;uact=5&amp;oq=Yasd%C4%B1man%2C+Hakk%C4%B1+%C5%9Eah.+Yahudilik+%C3%9Czerine+Yaz%C4%B1lar.+&amp;gs_lp=Egxnd3Mtd2l6LXNlcnAiNVlhc2TEsW1hbiwgSGFra8SxIMWeYWguIFlhaHVkaWxpayDDnHplcmluZSBZYXrEsWxhci4gMgUQIRigAUiZHFDuFFjuFHACeACQAQCYAcMBoAHDAaoBAzAuMbgBA8gBAPgBAfgBApgCA6AC6QGoAgrCAgcQIxgnGOoCwgINECMY8AUYJxjJAhjqAsICBxAuGCcY6gLCAgoQIxjwBRgnGOoCmAMO8QVnutlrng1QjpIHBTIuMC4xoAeQAg&amp;sclient=gws-wiz-serp&amp;sei=xX7BZ-HnN8e-xc8PromY2AQ","author":[{"family":"Yasdıman","given":"Hakkı Şah"}],"accessed":{"date-parts":[["2025",2,28]]},"issued":{"date-parts":[["2002"]]}},"locator":"100-101","label":"page"}],"schema":"https://github.com/citation-style-language/schema/raw/master/csl-citation.json"} </w:instrText>
      </w:r>
      <w:r w:rsidRPr="003E5D51">
        <w:rPr>
          <w:sz w:val="20"/>
          <w:szCs w:val="20"/>
        </w:rPr>
        <w:fldChar w:fldCharType="separate"/>
      </w:r>
      <w:r w:rsidRPr="003E5D51">
        <w:rPr>
          <w:sz w:val="20"/>
          <w:szCs w:val="20"/>
        </w:rPr>
        <w:t>(Yasdıman, 2002, ss. 100-101)</w:t>
      </w:r>
      <w:r w:rsidRPr="003E5D51">
        <w:rPr>
          <w:sz w:val="20"/>
          <w:szCs w:val="20"/>
        </w:rPr>
        <w:fldChar w:fldCharType="end"/>
      </w:r>
    </w:p>
    <w:p w14:paraId="18AB0032" w14:textId="77777777" w:rsidR="0079785E" w:rsidRPr="000B3B32" w:rsidRDefault="0079785E" w:rsidP="0079785E">
      <w:pPr>
        <w:jc w:val="both"/>
      </w:pPr>
    </w:p>
    <w:p w14:paraId="37B777B5" w14:textId="77777777" w:rsidR="00FA457D" w:rsidRDefault="00FA457D" w:rsidP="0079785E">
      <w:pPr>
        <w:jc w:val="both"/>
      </w:pPr>
      <w:r w:rsidRPr="000B3B32">
        <w:t>Yahudilikte önemli bir yer teşkil eden ibadetlerin uygulanmasında erkeklerin ve kadınların bazı durumlar bakımından farklılık oluşturduğu görülmektedir. Yahudi inancında erkeklerin ibadet noktasında daha aktif olarak yer aldığı anlaşılmaktadır. Özellikle sinagogda yapılan ibadetlerin çoğunda ve diğer Yahudi ibadetlerinin en önemli noktalarında erkekler ana karakter durumundadır. Bunun temel sebebi erkek ve kadınlara farklı konumlardan bakan Yahudi anlayışına dayanmaktadır. Bu anlayışa göre erkeklerin temel görevi Tevrat’ı öğrenmek ve uygulamak, ailesinin ihtiyaçlarını karşılamak iken Yahudi hanımlarının görevi ise erkeğin rahat bir şekilde, başka herhangi bir şeyle meşgul olmadan Tevrat öğrenebilmesi için gerekli diğer işleri yerine getirmektir. Bu bağlamda bakılacak olursa kadın ibadetlerde daha az yer almaktadır. Gerek evdeki ferdi ibadetlerde gerekse sinagog ibadetlerinde kadının uygulamaları erkeklere nazaran daha azdır. Bununla birlikte Yahudi kadınlarının da yerine getirdiği bir takım dini ritüeller, uygulamalar ve dualar bulunmaktadır.</w:t>
      </w:r>
    </w:p>
    <w:p w14:paraId="0EE1884C" w14:textId="77777777" w:rsidR="0079785E" w:rsidRPr="000B3B32" w:rsidRDefault="0079785E" w:rsidP="0079785E">
      <w:pPr>
        <w:jc w:val="both"/>
      </w:pPr>
    </w:p>
    <w:p w14:paraId="1478247D" w14:textId="47ED31B1" w:rsidR="00FA457D" w:rsidRDefault="00FA457D" w:rsidP="0079785E">
      <w:pPr>
        <w:jc w:val="both"/>
      </w:pPr>
      <w:r w:rsidRPr="000B3B32">
        <w:t>Çalışmamızın konusunu Yahudi kadınlarının yaptığı ibadetler ve dualar oluşturmaktadır. Bu bakımdan öncelikle Yahudi erkeklerin ve kadınların konumu hakkında genel bilgiler kısaca aktarılarak Yahudi kadınların ibadetlerdeki konumu ortaya konulacaktır. Sonrasında Yahudi kadınlarının yaptığı ibadetlere ve dualar hakkında bilgi verilerek bu uygulamaların önemi aktarılacaktır. Çalışmanın amacı ise Yahudi kadınlarının ev içerisinde, günlük hayatlarında veya yaşamlarının belli zamanlarında yerine getirdikleri dini ibadetlerde kendilerine has bazı dua ve uygulamalarının olduğunu belirtmek ve çok fazla bilinmeyen Yahudi kadın dualarının icra edilmesi hakkındaki verileri ortaya çıkarmaktır.</w:t>
      </w:r>
    </w:p>
    <w:p w14:paraId="48CF1F49" w14:textId="77777777" w:rsidR="0079785E" w:rsidRPr="000B3B32" w:rsidRDefault="0079785E" w:rsidP="0079785E">
      <w:pPr>
        <w:jc w:val="both"/>
      </w:pPr>
    </w:p>
    <w:p w14:paraId="601C78B2" w14:textId="71981BD4" w:rsidR="00FA457D" w:rsidRPr="000B3B32" w:rsidRDefault="00FA457D" w:rsidP="0079785E">
      <w:pPr>
        <w:jc w:val="both"/>
        <w:rPr>
          <w:b/>
        </w:rPr>
      </w:pPr>
      <w:r w:rsidRPr="000B3B32">
        <w:rPr>
          <w:b/>
        </w:rPr>
        <w:t>1. YAHUDİ İNANCINDA KADINLARIN KONUMU</w:t>
      </w:r>
    </w:p>
    <w:p w14:paraId="3F4F21BA" w14:textId="77777777" w:rsidR="00FA457D" w:rsidRDefault="00FA457D" w:rsidP="0079785E">
      <w:pPr>
        <w:adjustRightInd w:val="0"/>
        <w:jc w:val="both"/>
        <w:rPr>
          <w:sz w:val="20"/>
          <w:szCs w:val="20"/>
        </w:rPr>
      </w:pPr>
      <w:r w:rsidRPr="000B3B32">
        <w:t xml:space="preserve">Yahudi dininde erkeklere ve kadınlara olan bakış açısının farklılığı ilk olarak Tevrat’taki Yaratılış bölümünde görülmektedir. Bu bölümde yer alan erkeğin ve kadının yaratılmasına dair iki tür anlatım ile karşılaşılmaktadır. Bunlardan ilk anlatım ‘Tanrı insanı kendi suretinde yarattı, onu Tanrı suretinde yarattı. Onları erkek ve dişi olarak yarattı’ </w:t>
      </w:r>
      <w:r w:rsidRPr="003E5D51">
        <w:rPr>
          <w:sz w:val="20"/>
          <w:szCs w:val="20"/>
        </w:rPr>
        <w:fldChar w:fldCharType="begin"/>
      </w:r>
      <w:r w:rsidRPr="003E5D51">
        <w:rPr>
          <w:sz w:val="20"/>
          <w:szCs w:val="20"/>
        </w:rPr>
        <w:instrText xml:space="preserve"> ADDIN ZOTERO_ITEM CSL_CITATION {"citationID":"A71DHnvG","properties":{"formattedCitation":"({\\i{}Kutsal Kitap: Tevrat Zebur \\uc0\\u304{}ncil}, 2020, B\\uc0\\u246{}l\\uc0\\u252{}m Yarat\\uc0\\u305{}l\\uc0\\u305{}\\uc0\\u351{},1:27)","plainCitation":"(Kutsal Kitap: Tevrat Zebur İncil, 2020, Bölüm Yaratılış,1:27)","noteIndex":0},"citationItems":[{"id":62,"uris":["http://zotero.org/users/16525729/items/LT9UDTL6"],"itemData":{"id":62,"type":"book","event-place":"İstanbul","publisher":"Kitab-ı Mukaddes Şirketi- Yeni Yaşam Yayınları","publisher-place":"İstanbul","title":"Kutsal Kitap: Tevrat Zebur İncil","URL":"https://www.google.com/search?q=kutsal+kitap+tevrat+zebur+incil+%C4%B1sbn+kodu&amp;sca_esv=3a00b5f4c73ad6fb&amp;rlz=1C1PRFE_trTR698TR698&amp;ei=L17BZ_qTDfCOxc8P7Lf1oAQ&amp;oq=Kutsal+Kitap%3A+Tevrat%2C+Zebur%2C+%C4%B0ncil+ISBN+&amp;gs_lp=Egxnd3Mtd2l6LXNlcnAiKUt1dHNhbCBLaXRhcDogVGV2cmF0LCBaZWJ1ciwgxLBuY2lsIElTQk4gKgIIAjIFECEYoAEyBRAhGKABMgUQIRigATIFECEYoAEyBRAhGKABSI43UKYGWIEecAF4AJABAJgB1gGgAbcJqgEFMC42LjK4AQHIAQD4AQGYAgigApsJwgIKEAAYsAMY1gQYR8ICChAuGIAEGEMYigXCAgUQABiABMICBhAAGBYYHsICCBAAGKIEGIkFwgIIEAAYgAQYogSYAwCIBgGQBgiSBwUxLjUuMqAHoSg&amp;sclient=gws-wiz-serp","accessed":{"date-parts":[["2025",2,28]]},"issued":{"date-parts":[["2020"]]}},"locator":"Yaratılış,1:27","label":"chapter"}],"schema":"https://github.com/citation-style-language/schema/raw/master/csl-citation.json"} </w:instrText>
      </w:r>
      <w:r w:rsidRPr="003E5D51">
        <w:rPr>
          <w:sz w:val="20"/>
          <w:szCs w:val="20"/>
        </w:rPr>
        <w:fldChar w:fldCharType="separate"/>
      </w:r>
      <w:r w:rsidRPr="003E5D51">
        <w:rPr>
          <w:sz w:val="20"/>
          <w:szCs w:val="20"/>
        </w:rPr>
        <w:t>(</w:t>
      </w:r>
      <w:r w:rsidRPr="003E5D51">
        <w:rPr>
          <w:i/>
          <w:iCs/>
          <w:sz w:val="20"/>
          <w:szCs w:val="20"/>
        </w:rPr>
        <w:t>Kutsal Kitap: Tevrat Zebur İncil</w:t>
      </w:r>
      <w:r w:rsidRPr="003E5D51">
        <w:rPr>
          <w:sz w:val="20"/>
          <w:szCs w:val="20"/>
        </w:rPr>
        <w:t xml:space="preserve">, </w:t>
      </w:r>
      <w:r w:rsidRPr="003E5D51">
        <w:rPr>
          <w:sz w:val="20"/>
          <w:szCs w:val="20"/>
        </w:rPr>
        <w:lastRenderedPageBreak/>
        <w:t>2020, Bölüm Yaratılış,1:27)</w:t>
      </w:r>
      <w:r w:rsidRPr="003E5D51">
        <w:rPr>
          <w:sz w:val="20"/>
          <w:szCs w:val="20"/>
        </w:rPr>
        <w:fldChar w:fldCharType="end"/>
      </w:r>
      <w:r w:rsidRPr="000B3B32">
        <w:t xml:space="preserve"> şeklindedir. Yaratılış babındaki bu anlatım üzerine, kadın ve erkeğin aynı zaman diliminde yaratıldığına dair ifadelerin yer aldığı görülmektedir. Diğer babda yer alan ‘Sonra, ‘Âdem’in yalnız kalması iyi değil’ dedi, ‘Ona uygun bir yardımcı yaratacağım’ </w:t>
      </w:r>
      <w:r w:rsidRPr="003E5D51">
        <w:rPr>
          <w:sz w:val="20"/>
          <w:szCs w:val="20"/>
        </w:rPr>
        <w:fldChar w:fldCharType="begin"/>
      </w:r>
      <w:r w:rsidRPr="003E5D51">
        <w:rPr>
          <w:sz w:val="20"/>
          <w:szCs w:val="20"/>
        </w:rPr>
        <w:instrText xml:space="preserve"> ADDIN ZOTERO_ITEM CSL_CITATION {"citationID":"d3hwtoUU","properties":{"formattedCitation":"({\\i{}Kutsal Kitap: Tevrat Zebur \\uc0\\u304{}ncil}, 2020, B\\uc0\\u246{}l\\uc0\\u252{}m Yarat\\uc0\\u305{}l\\uc0\\u305{}\\uc0\\u351{},2:18)","plainCitation":"(Kutsal Kitap: Tevrat Zebur İncil, 2020, Bölüm Yaratılış,2:18)","noteIndex":0},"citationItems":[{"id":62,"uris":["http://zotero.org/users/16525729/items/LT9UDTL6"],"itemData":{"id":62,"type":"book","event-place":"İstanbul","publisher":"Kitab-ı Mukaddes Şirketi- Yeni Yaşam Yayınları","publisher-place":"İstanbul","title":"Kutsal Kitap: Tevrat Zebur İncil","URL":"https://www.google.com/search?q=kutsal+kitap+tevrat+zebur+incil+%C4%B1sbn+kodu&amp;sca_esv=3a00b5f4c73ad6fb&amp;rlz=1C1PRFE_trTR698TR698&amp;ei=L17BZ_qTDfCOxc8P7Lf1oAQ&amp;oq=Kutsal+Kitap%3A+Tevrat%2C+Zebur%2C+%C4%B0ncil+ISBN+&amp;gs_lp=Egxnd3Mtd2l6LXNlcnAiKUt1dHNhbCBLaXRhcDogVGV2cmF0LCBaZWJ1ciwgxLBuY2lsIElTQk4gKgIIAjIFECEYoAEyBRAhGKABMgUQIRigATIFECEYoAEyBRAhGKABSI43UKYGWIEecAF4AJABAJgB1gGgAbcJqgEFMC42LjK4AQHIAQD4AQGYAgigApsJwgIKEAAYsAMY1gQYR8ICChAuGIAEGEMYigXCAgUQABiABMICBhAAGBYYHsICCBAAGKIEGIkFwgIIEAAYgAQYogSYAwCIBgGQBgiSBwUxLjUuMqAHoSg&amp;sclient=gws-wiz-serp","accessed":{"date-parts":[["2025",2,28]]},"issued":{"date-parts":[["2020"]]}},"locator":"Yaratılış,2:18","label":"chapter"}],"schema":"https://github.com/citation-style-language/schema/raw/master/csl-citation.json"} </w:instrText>
      </w:r>
      <w:r w:rsidRPr="003E5D51">
        <w:rPr>
          <w:sz w:val="20"/>
          <w:szCs w:val="20"/>
        </w:rPr>
        <w:fldChar w:fldCharType="separate"/>
      </w:r>
      <w:r w:rsidRPr="003E5D51">
        <w:rPr>
          <w:sz w:val="20"/>
          <w:szCs w:val="20"/>
        </w:rPr>
        <w:t>(</w:t>
      </w:r>
      <w:r w:rsidRPr="003E5D51">
        <w:rPr>
          <w:i/>
          <w:iCs/>
          <w:sz w:val="20"/>
          <w:szCs w:val="20"/>
        </w:rPr>
        <w:t>Kutsal Kitap: Tevrat Zebur İncil</w:t>
      </w:r>
      <w:r w:rsidRPr="003E5D51">
        <w:rPr>
          <w:sz w:val="20"/>
          <w:szCs w:val="20"/>
        </w:rPr>
        <w:t>, 2020, Bölüm Yaratılış,2:18)</w:t>
      </w:r>
      <w:r w:rsidRPr="003E5D51">
        <w:rPr>
          <w:sz w:val="20"/>
          <w:szCs w:val="20"/>
        </w:rPr>
        <w:fldChar w:fldCharType="end"/>
      </w:r>
      <w:r w:rsidRPr="003E5D51">
        <w:rPr>
          <w:sz w:val="20"/>
          <w:szCs w:val="20"/>
        </w:rPr>
        <w:t xml:space="preserve"> </w:t>
      </w:r>
      <w:r w:rsidRPr="000B3B32">
        <w:t xml:space="preserve">ifadelerine bağlı olarak kadın erkeğe yardımcı olması amacıyla ve onunla aynı zamanda değil daha sonra ihtiyaç duyulması halinde yaratılması da kadının Yahudi dinindeki konumunu ortaya koymaktadır. Tevrat ifadelerinin yanında Yahudi tarihi de dikkate alındığında kadınların durumu açıkça ortaya çıkmaktadır. Yahudi toplumları </w:t>
      </w:r>
      <w:proofErr w:type="spellStart"/>
      <w:r w:rsidRPr="000B3B32">
        <w:t>Talmud</w:t>
      </w:r>
      <w:proofErr w:type="spellEnd"/>
      <w:r w:rsidRPr="000B3B32">
        <w:t xml:space="preserve"> öncesi zamanda ataerkil bir yapıya sahip olduğundan erkekler toplumsal konum olarak kadınlardan üstün bir konumdaydı öyle ki mülkiyet hakları dahi erkeklerin elindeydi. Kadınların toplumsal statüsü olmadığı gibi dini statüleri de neredeyse yoktu. Birinci ve İkinci </w:t>
      </w:r>
      <w:proofErr w:type="spellStart"/>
      <w:r w:rsidRPr="000B3B32">
        <w:t>Mabed</w:t>
      </w:r>
      <w:proofErr w:type="spellEnd"/>
      <w:r w:rsidRPr="000B3B32">
        <w:t xml:space="preserve"> yıllarında kadınlar dini törenlere iştirak edemezdi</w:t>
      </w:r>
      <w:r w:rsidRPr="003E5D51">
        <w:rPr>
          <w:sz w:val="20"/>
          <w:szCs w:val="20"/>
        </w:rPr>
        <w:t xml:space="preserve">. </w:t>
      </w:r>
      <w:r w:rsidRPr="003E5D51">
        <w:rPr>
          <w:sz w:val="20"/>
          <w:szCs w:val="20"/>
        </w:rPr>
        <w:fldChar w:fldCharType="begin"/>
      </w:r>
      <w:r w:rsidRPr="003E5D51">
        <w:rPr>
          <w:sz w:val="20"/>
          <w:szCs w:val="20"/>
        </w:rPr>
        <w:instrText xml:space="preserve"> ADDIN ZOTERO_ITEM CSL_CITATION {"citationID":"8ljpoos4","properties":{"formattedCitation":"(Hi\\uc0\\u231{}y\\uc0\\u305{}lmaz, 2023, s. 38)","plainCitation":"(Hiçyılmaz, 2023, s. 38)","noteIndex":0},"citationItems":[{"id":46,"uris":["http://zotero.org/users/16525729/items/GD3HXWH3"],"itemData":{"id":46,"type":"thesis","event-place":"Denizli","genre":"Yüksek Lisans","publisher":"Pamukkale Üniversitesi","publisher-place":"Denizli","title":"Yahudilik'te Aile ve Kadın","URL":"https://tez.yok.gov.tr/UlusalTezMerkezi/tezSorguSonucYeni.jsp","author":[{"family":"Hiçyılmaz","given":"Muhammed İsmail"}],"accessed":{"date-parts":[["2025",2,28]]},"issued":{"date-parts":[["2023"]]}},"locator":"38","label":"page"}],"schema":"https://github.com/citation-style-language/schema/raw/master/csl-citation.json"} </w:instrText>
      </w:r>
      <w:r w:rsidRPr="003E5D51">
        <w:rPr>
          <w:sz w:val="20"/>
          <w:szCs w:val="20"/>
        </w:rPr>
        <w:fldChar w:fldCharType="separate"/>
      </w:r>
      <w:r w:rsidRPr="003E5D51">
        <w:rPr>
          <w:sz w:val="20"/>
          <w:szCs w:val="20"/>
        </w:rPr>
        <w:t>(Hiçyılmaz, 2023, s. 38)</w:t>
      </w:r>
      <w:r w:rsidRPr="003E5D51">
        <w:rPr>
          <w:sz w:val="20"/>
          <w:szCs w:val="20"/>
        </w:rPr>
        <w:fldChar w:fldCharType="end"/>
      </w:r>
    </w:p>
    <w:p w14:paraId="2DFE7C59" w14:textId="77777777" w:rsidR="0079785E" w:rsidRPr="000B3B32" w:rsidRDefault="0079785E" w:rsidP="0079785E">
      <w:pPr>
        <w:adjustRightInd w:val="0"/>
        <w:jc w:val="both"/>
      </w:pPr>
    </w:p>
    <w:p w14:paraId="555220DA" w14:textId="77777777" w:rsidR="0079785E" w:rsidRDefault="00FA457D" w:rsidP="0079785E">
      <w:pPr>
        <w:jc w:val="both"/>
        <w:rPr>
          <w:sz w:val="20"/>
          <w:szCs w:val="20"/>
        </w:rPr>
      </w:pPr>
      <w:r w:rsidRPr="000B3B32">
        <w:t xml:space="preserve">Yahudi dininde yer alan bazı uygulamalar da erkekler ve kadınlara aitlik açısından farklılıkların olduğunu ortaya koymaktadır. Bu uygulamalardan biri olan bar </w:t>
      </w:r>
      <w:proofErr w:type="spellStart"/>
      <w:r w:rsidRPr="000B3B32">
        <w:t>mitzva</w:t>
      </w:r>
      <w:proofErr w:type="spellEnd"/>
      <w:r w:rsidRPr="000B3B32">
        <w:t xml:space="preserve"> ve bat </w:t>
      </w:r>
      <w:proofErr w:type="spellStart"/>
      <w:r w:rsidRPr="000B3B32">
        <w:t>mitzva</w:t>
      </w:r>
      <w:proofErr w:type="spellEnd"/>
      <w:r w:rsidRPr="000B3B32">
        <w:t xml:space="preserve"> törenlerinin gerek kutlanmaya başlangıç tarihi gerek törenin içerisinde yer alan birtakım pratikler bu farklı yaklaşımı ortaya koymaktadır. Bu törenler yetişkinliğe geçiş ve sorumluluk sahibi olmaya bir adım atmadır. Törende </w:t>
      </w:r>
      <w:proofErr w:type="spellStart"/>
      <w:r w:rsidRPr="000B3B32">
        <w:t>sinagogtaki</w:t>
      </w:r>
      <w:proofErr w:type="spellEnd"/>
      <w:r w:rsidRPr="000B3B32">
        <w:t xml:space="preserve"> dolapta muhafaza edilen Tevrat çıkarılır ve kürsüye konarak bar </w:t>
      </w:r>
      <w:proofErr w:type="spellStart"/>
      <w:r w:rsidRPr="000B3B32">
        <w:t>mitzva</w:t>
      </w:r>
      <w:proofErr w:type="spellEnd"/>
      <w:r w:rsidRPr="000B3B32">
        <w:t xml:space="preserve"> veya bat </w:t>
      </w:r>
      <w:proofErr w:type="spellStart"/>
      <w:r w:rsidRPr="000B3B32">
        <w:t>mitzvanın</w:t>
      </w:r>
      <w:proofErr w:type="spellEnd"/>
      <w:r w:rsidRPr="000B3B32">
        <w:t xml:space="preserve"> okuyacağı bölüm belirlenir. Önce dua edilir sonra Tevrat okunur ve okunan bölümün önemi hakkında konuşma yapılarak gerçekleştirilir.</w:t>
      </w:r>
      <w:r w:rsidRPr="003E5D51">
        <w:rPr>
          <w:sz w:val="20"/>
          <w:szCs w:val="20"/>
        </w:rPr>
        <w:fldChar w:fldCharType="begin"/>
      </w:r>
      <w:r w:rsidRPr="003E5D51">
        <w:rPr>
          <w:sz w:val="20"/>
          <w:szCs w:val="20"/>
        </w:rPr>
        <w:instrText xml:space="preserve"> ADDIN ZOTERO_ITEM CSL_CITATION {"citationID":"UCvPDYkG","properties":{"formattedCitation":"({\\i{}The Significance of the Torah in a Bar Mitzvah and Bat Mitzvah Ceremony}, 2023)","plainCitation":"(The Significance of the Torah in a Bar Mitzvah and Bat Mitzvah Ceremony, 2023)","noteIndex":0},"citationItems":[{"id":8,"uris":["http://zotero.org/users/16525729/items/SZLAUW7N"],"itemData":{"id":8,"type":"webpage","abstract":"The Torah is the cornerstone of Jewish tradition, and it holds great significance in the lives of Jews around the world. It is no surprise then, that the","container-title":"Bar/Bat Mitzvah Rabbi","language":"en-GB","note":"section: Bar Mitzvahs &amp; Bat Mitzvahs","title":"The Significance of the Torah in a Bar Mitzvah and Bat Mitzvah Ceremony","URL":"https://barbatmitzvahrabbi.com/the-significance-of-the-torah-in-a-bar-mitzvah-and-bat-mitzvah-ceremony/","accessed":{"date-parts":[["2025",2,26]]},"issued":{"date-parts":[["2023",4,29]]}}}],"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i/>
          <w:iCs/>
          <w:sz w:val="20"/>
          <w:szCs w:val="20"/>
        </w:rPr>
        <w:t>The</w:t>
      </w:r>
      <w:proofErr w:type="spellEnd"/>
      <w:r w:rsidRPr="003E5D51">
        <w:rPr>
          <w:i/>
          <w:iCs/>
          <w:sz w:val="20"/>
          <w:szCs w:val="20"/>
        </w:rPr>
        <w:t xml:space="preserve"> Significance of the Torah in a Bar Mitzvah and Bat Mitzvah Ceremony</w:t>
      </w:r>
      <w:r w:rsidRPr="003E5D51">
        <w:rPr>
          <w:sz w:val="20"/>
          <w:szCs w:val="20"/>
        </w:rPr>
        <w:t>, 2023)</w:t>
      </w:r>
      <w:r w:rsidRPr="003E5D51">
        <w:rPr>
          <w:sz w:val="20"/>
          <w:szCs w:val="20"/>
        </w:rPr>
        <w:fldChar w:fldCharType="end"/>
      </w:r>
      <w:r w:rsidRPr="003E5D51">
        <w:rPr>
          <w:sz w:val="20"/>
          <w:szCs w:val="20"/>
        </w:rPr>
        <w:t xml:space="preserve"> </w:t>
      </w:r>
    </w:p>
    <w:p w14:paraId="59CDA6F9" w14:textId="16F52326" w:rsidR="00FA457D" w:rsidRPr="003E5D51" w:rsidRDefault="00FA457D" w:rsidP="0079785E">
      <w:pPr>
        <w:jc w:val="both"/>
        <w:rPr>
          <w:sz w:val="20"/>
          <w:szCs w:val="20"/>
        </w:rPr>
      </w:pPr>
      <w:r w:rsidRPr="003E5D51">
        <w:rPr>
          <w:sz w:val="20"/>
          <w:szCs w:val="20"/>
        </w:rPr>
        <w:fldChar w:fldCharType="begin"/>
      </w:r>
      <w:r w:rsidRPr="003E5D51">
        <w:rPr>
          <w:sz w:val="20"/>
          <w:szCs w:val="20"/>
        </w:rPr>
        <w:instrText xml:space="preserve"> ADDIN ZOTERO_TEMP </w:instrText>
      </w:r>
      <w:r w:rsidRPr="003E5D51">
        <w:rPr>
          <w:sz w:val="20"/>
          <w:szCs w:val="20"/>
        </w:rPr>
        <w:fldChar w:fldCharType="end"/>
      </w:r>
    </w:p>
    <w:p w14:paraId="418B8675" w14:textId="73708D9F" w:rsidR="00FA457D" w:rsidRDefault="00FA457D" w:rsidP="0079785E">
      <w:pPr>
        <w:jc w:val="both"/>
        <w:rPr>
          <w:sz w:val="20"/>
          <w:szCs w:val="20"/>
        </w:rPr>
      </w:pPr>
      <w:r w:rsidRPr="000B3B32">
        <w:t xml:space="preserve">Yahudi dininde erkeklerin dini ibadetler ile mükellef olmasının başlangıcı küçük yaşlara dayanmaktadır. Yahudi bir erkek çocuğu 13 yaşını tamamlaması ile bar </w:t>
      </w:r>
      <w:proofErr w:type="spellStart"/>
      <w:r w:rsidRPr="000B3B32">
        <w:t>mitzva</w:t>
      </w:r>
      <w:proofErr w:type="spellEnd"/>
      <w:r w:rsidRPr="000B3B32">
        <w:t xml:space="preserve"> töreni yapılarak artık reşit sayılmakta ve Yahudi dini cemaatine dahil edilmektedir. Böylece dini yükümlülüklerden de mesul hale gelmektedir.</w:t>
      </w:r>
      <w:r w:rsidRPr="003E5D51">
        <w:rPr>
          <w:sz w:val="20"/>
          <w:szCs w:val="20"/>
        </w:rPr>
        <w:fldChar w:fldCharType="begin"/>
      </w:r>
      <w:r w:rsidRPr="003E5D51">
        <w:rPr>
          <w:sz w:val="20"/>
          <w:szCs w:val="20"/>
        </w:rPr>
        <w:instrText xml:space="preserve"> ADDIN ZOTERO_ITEM CSL_CITATION {"citationID":"FKwr0zT8","properties":{"formattedCitation":"(Sar\\uc0\\u305{}k\\uc0\\u231{}\\uc0\\u305{}o\\uc0\\u287{}lu, 2014, ss. 273-274)","plainCitation":"(Sarıkçıoğlu, 2014, ss. 273-274)","noteIndex":0},"citationItems":[{"id":91,"uris":["http://zotero.org/users/16525729/items/HGB8FMXW"],"itemData":{"id":91,"type":"book","abstract":"Başlangıçtan Günümüze Dinler Tarihi - FAKÜLTE KİTABEVİ - Ekrem Sarıkçıoğlu - Tarihte ve günümüzde yaygın anlamda herhangi bir dini benimse","edition":"5","event-place":"Isparta","language":"tr","publisher":"Fakülte Kitabevi Yayınları","publisher-place":"Isparta","title":"Başlangıçtan Günümüze Dinler Tarihi","URL":"https://www.kitapyurdu.com/kitap/baslangictan-gunumuze-dinler-tarihi/49986.html","author":[{"family":"Sarıkçıoğlu","given":"Ekrem"}],"accessed":{"date-parts":[["2025",2,28]]},"issued":{"date-parts":[["2014"]]}},"locator":"273-274","label":"page"}],"schema":"https://github.com/citation-style-language/schema/raw/master/csl-citation.json"} </w:instrText>
      </w:r>
      <w:r w:rsidRPr="003E5D51">
        <w:rPr>
          <w:sz w:val="20"/>
          <w:szCs w:val="20"/>
        </w:rPr>
        <w:fldChar w:fldCharType="separate"/>
      </w:r>
      <w:r w:rsidRPr="003E5D51">
        <w:rPr>
          <w:sz w:val="20"/>
          <w:szCs w:val="20"/>
        </w:rPr>
        <w:t>(Sarıkçıoğlu, 2014, ss. 273-274)</w:t>
      </w:r>
      <w:r w:rsidRPr="003E5D51">
        <w:rPr>
          <w:sz w:val="20"/>
          <w:szCs w:val="20"/>
        </w:rPr>
        <w:fldChar w:fldCharType="end"/>
      </w:r>
      <w:r w:rsidRPr="003E5D51">
        <w:rPr>
          <w:sz w:val="20"/>
          <w:szCs w:val="20"/>
        </w:rPr>
        <w:t xml:space="preserve"> </w:t>
      </w:r>
      <w:r w:rsidRPr="000B3B32">
        <w:t xml:space="preserve">Buna bağlı olarak erkeklerin reşitliği ve ibadetlerden sorumlu tutulması bar </w:t>
      </w:r>
      <w:proofErr w:type="spellStart"/>
      <w:r w:rsidRPr="000B3B32">
        <w:t>mitzva</w:t>
      </w:r>
      <w:proofErr w:type="spellEnd"/>
      <w:r w:rsidRPr="000B3B32">
        <w:t xml:space="preserve"> töreni adı altında kutlanırken buna karşılık Yahudi kız çocukların reşit olması ile ilgili olan bat </w:t>
      </w:r>
      <w:proofErr w:type="spellStart"/>
      <w:r w:rsidRPr="000B3B32">
        <w:t>mitzva</w:t>
      </w:r>
      <w:proofErr w:type="spellEnd"/>
      <w:r w:rsidRPr="000B3B32">
        <w:t xml:space="preserve"> törenine ilk zamanlarda rastlanmamaktadır. Yahudi geleneğinde bar </w:t>
      </w:r>
      <w:proofErr w:type="spellStart"/>
      <w:r w:rsidRPr="000B3B32">
        <w:t>mitzva</w:t>
      </w:r>
      <w:proofErr w:type="spellEnd"/>
      <w:r w:rsidRPr="000B3B32">
        <w:t xml:space="preserve"> töreni XV. yüzyıl sonrası</w:t>
      </w:r>
      <w:r>
        <w:t>,</w:t>
      </w:r>
      <w:r w:rsidRPr="000B3B32">
        <w:t xml:space="preserve"> bat </w:t>
      </w:r>
      <w:proofErr w:type="spellStart"/>
      <w:r w:rsidRPr="000B3B32">
        <w:t>mitzva</w:t>
      </w:r>
      <w:proofErr w:type="spellEnd"/>
      <w:r w:rsidRPr="000B3B32">
        <w:t xml:space="preserve"> töreni ise XIX. yüzyılda kutlanmaya başlanmış olduğu görülmektedir.</w:t>
      </w:r>
      <w:r w:rsidRPr="003E5D51">
        <w:rPr>
          <w:sz w:val="20"/>
          <w:szCs w:val="20"/>
        </w:rPr>
        <w:fldChar w:fldCharType="begin"/>
      </w:r>
      <w:r w:rsidRPr="003E5D51">
        <w:rPr>
          <w:sz w:val="20"/>
          <w:szCs w:val="20"/>
        </w:rPr>
        <w:instrText xml:space="preserve"> ADDIN ZOTERO_ITEM CSL_CITATION {"citationID":"3FLD788I","properties":{"formattedCitation":"(Meral, 2021, s. 258)","plainCitation":"(Meral, 2021, s. 258)","noteIndex":0},"citationItems":[{"id":72,"uris":["http://zotero.org/users/16525729/items/ZDVM4ZGQ"],"itemData":{"id":72,"type":"book","abstract":"Günümüzde siyasi kararlardan hukukî adımlara, sosyal ilişkilerden eğitime kadar birçok konunun dinî referanslarla ifade edildiği görülmektedir. Bu durum, Yahudilik söz konusu olduğunda daha da belirgin olmaktadır. Yahudilik, hayatın tamamına dair söyleyecek sözü olan bir dindir. Nitekim bir Yahudi’nin yirmi dört saatinin nasıl geçeceği Yahudi şeriatı tarafından tanzim edilmektedir. Bu açıdan bakıldığında Yahudilik, bir din olmanın da ötesinde bir yaşam biçimidir. Siyaset, kültür, eğitim ve ilahiyat alanlarında gündemimize giren Yahudilik konusunda sağlıklı bilgilere ulaşmak zaruri bir ihtiyaç olarak karşımıza çıkmaktadır. Bir dini bütün bileşenleriyle öğrenmek önem arz etmektedir. Diğer türlü körlerin fili tarif etmeleri gibi konunun sadece bir yönü ön plana çıkarılarak resmin bütünü kaçırılmaktadır. Yahudilik söz konusu olduğunda dinle kültürün, tarihle teolojinin, toprak parçasıyla inancın iç içe geçtiği bir yapıyla muhatap olduğumuz görülmektedir. Bu kitapta tarihten teolojiye, literatürden yaşama, mezheplerden ötekine bakışa kadar Yahudiliğin her alanına dair bilgiler Yahudi kaynakları ışığında sunulmuştur.","edition":"1","event-place":"İstanbul","ISBN":"978-605-06488-7-4","language":"tr","number-of-pages":"456","publisher":"Milel ve Nihal Dizisi","publisher-place":"İstanbul","source":"KitapYurdu.com","title":"Yahudi Kaynakları Işığında Yahudilik","author":[{"family":"Meral","given":"Yasin"}],"issued":{"date-parts":[["2021",10,7]]}},"locator":"258","label":"page"}],"schema":"https://github.com/citation-style-language/schema/raw/master/csl-citation.json"} </w:instrText>
      </w:r>
      <w:r w:rsidRPr="003E5D51">
        <w:rPr>
          <w:sz w:val="20"/>
          <w:szCs w:val="20"/>
        </w:rPr>
        <w:fldChar w:fldCharType="separate"/>
      </w:r>
      <w:r w:rsidRPr="003E5D51">
        <w:rPr>
          <w:sz w:val="20"/>
          <w:szCs w:val="20"/>
        </w:rPr>
        <w:t>(Meral, 2021, s. 258)</w:t>
      </w:r>
      <w:r w:rsidRPr="003E5D51">
        <w:rPr>
          <w:sz w:val="20"/>
          <w:szCs w:val="20"/>
        </w:rPr>
        <w:fldChar w:fldCharType="end"/>
      </w:r>
      <w:r w:rsidRPr="000B3B32">
        <w:t xml:space="preserve"> Bunlara ek olarak Yahudi inancında yer alan Tanrı’nın İsrailoğulları ile sözleşmesinin temsili olan sünnet uygulamasının erkeklere has olması, </w:t>
      </w:r>
      <w:proofErr w:type="spellStart"/>
      <w:r w:rsidRPr="000B3B32">
        <w:t>kohenlerin</w:t>
      </w:r>
      <w:proofErr w:type="spellEnd"/>
      <w:r w:rsidRPr="000B3B32">
        <w:t xml:space="preserve"> sadece Yahudi erkeklerinden oluşması, </w:t>
      </w:r>
      <w:proofErr w:type="spellStart"/>
      <w:r w:rsidRPr="000B3B32">
        <w:t>Pidyon</w:t>
      </w:r>
      <w:proofErr w:type="spellEnd"/>
      <w:r w:rsidRPr="000B3B32">
        <w:t xml:space="preserve"> ha ben</w:t>
      </w:r>
      <w:r w:rsidRPr="000B3B32">
        <w:rPr>
          <w:rStyle w:val="DipnotBavurusu"/>
          <w:rFonts w:eastAsiaTheme="majorEastAsia"/>
        </w:rPr>
        <w:footnoteReference w:id="72"/>
      </w:r>
      <w:r w:rsidRPr="000B3B32">
        <w:t xml:space="preserve"> ritüelinin sadece ilk doğan erkek çocuklarına yapılması ve ilk doğan çocuk kız olduğu takdirde yapılmaması kadınlara ve erkeklere olan bakış açısını ortaya koyan örnekler olarak kabul edilebilir.</w:t>
      </w:r>
      <w:r w:rsidRPr="003E5D51">
        <w:rPr>
          <w:sz w:val="20"/>
          <w:szCs w:val="20"/>
        </w:rPr>
        <w:fldChar w:fldCharType="begin"/>
      </w:r>
      <w:r w:rsidRPr="003E5D51">
        <w:rPr>
          <w:sz w:val="20"/>
          <w:szCs w:val="20"/>
        </w:rPr>
        <w:instrText xml:space="preserve"> ADDIN ZOTERO_ITEM CSL_CITATION {"citationID":"HPuDW5ME","properties":{"formattedCitation":"(\\uc0\\u199{}inpolat, 2017, ss. 178-179)","plainCitation":"(Çinpolat, 2017, ss. 178-179)","noteIndex":0},"citationItems":[{"id":17,"uris":["http://zotero.org/users/16525729/items/98EILBTN"],"itemData":{"id":17,"type":"book","edition":"1","event-place":"Ankara","ISBN":"978-605-9503-10-5","language":"tur","note":"OCLC: 1461769741","publisher":"Araştırma Yayınları","publisher-place":"Ankara","source":"Open WorldCat","title":"Yahudilik, Hristiyanlık ve İslam'da Çocuk Algısı","author":[{"family":"Çinpolat","given":"Salih"}],"issued":{"date-parts":[["2017"]]}},"locator":"178-179","label":"page"}],"schema":"https://github.com/citation-style-language/schema/raw/master/csl-citation.json"}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sz w:val="20"/>
          <w:szCs w:val="20"/>
        </w:rPr>
        <w:t>Çinpolat</w:t>
      </w:r>
      <w:proofErr w:type="spellEnd"/>
      <w:r w:rsidRPr="003E5D51">
        <w:rPr>
          <w:sz w:val="20"/>
          <w:szCs w:val="20"/>
        </w:rPr>
        <w:t>, 2017, ss. 178-179)</w:t>
      </w:r>
      <w:r w:rsidRPr="003E5D51">
        <w:rPr>
          <w:sz w:val="20"/>
          <w:szCs w:val="20"/>
        </w:rPr>
        <w:fldChar w:fldCharType="end"/>
      </w:r>
      <w:r w:rsidRPr="000B3B32">
        <w:t xml:space="preserve"> Ortodoks Yahudilerinin sabah dualarında söyledikleri </w:t>
      </w:r>
      <w:r w:rsidRPr="000B3B32">
        <w:rPr>
          <w:i/>
        </w:rPr>
        <w:t>“Beni kadın olarak yaratmadığın için sana şükürler olsun Tanrım!”</w:t>
      </w:r>
      <w:r w:rsidRPr="000B3B32">
        <w:t xml:space="preserve"> ifadesi de kadının ibadetteki konumuna olan bakışı ortaya koymaktadır. Buradaki duanın kadını aşağılama niteliği taşımadığı ve erkeklerin kadınlara emredilmeyen </w:t>
      </w:r>
      <w:proofErr w:type="spellStart"/>
      <w:r w:rsidRPr="000B3B32">
        <w:t>Tora’nın</w:t>
      </w:r>
      <w:proofErr w:type="spellEnd"/>
      <w:r w:rsidRPr="000B3B32">
        <w:t xml:space="preserve"> tüm emirlerini uygulama hakkını elde ettikleri için Tanrı’ya şükretmeleri maksadını içerdiği şeklinde açıklama yapılsa da modern dönem Yahudileri tarafından kabul edilmemiştir.</w:t>
      </w:r>
      <w:r w:rsidRPr="003E5D51">
        <w:rPr>
          <w:sz w:val="20"/>
          <w:szCs w:val="20"/>
        </w:rPr>
        <w:fldChar w:fldCharType="begin"/>
      </w:r>
      <w:r w:rsidRPr="003E5D51">
        <w:rPr>
          <w:sz w:val="20"/>
          <w:szCs w:val="20"/>
        </w:rPr>
        <w:instrText xml:space="preserve"> ADDIN ZOTERO_ITEM CSL_CITATION {"citationID":"pMn3QUiA","properties":{"formattedCitation":"(Bozkurt, 2023, s. 41)","plainCitation":"(Bozkurt, 2023, s. 41)","noteIndex":0},"citationItems":[{"id":13,"uris":["http://zotero.org/users/16525729/items/SHID35SR"],"itemData":{"id":13,"type":"book","abstract":"On the place and role of women in monotheistic religions","edition":"1","event-place":"Ankara","ISBN":"978-625-7387-72-9","language":"tur","note":"OCLC: 1499134413","publisher":"Ankara Okulu Yayınları","publisher-place":"Ankara","source":"Open WorldCat","title":"Monoteist Dinlerde Kadın: Tarihsel ve Çağdaş Yaklaşımlar","title-short":"Monoteist dinlerde kadın","author":[{"family":"Bozkurt","given":"Nahide"}],"issued":{"date-parts":[["2023"]]}},"locator":"41","label":"page"}],"schema":"https://github.com/citation-style-language/schema/raw/master/csl-citation.json"} </w:instrText>
      </w:r>
      <w:r w:rsidRPr="003E5D51">
        <w:rPr>
          <w:sz w:val="20"/>
          <w:szCs w:val="20"/>
        </w:rPr>
        <w:fldChar w:fldCharType="separate"/>
      </w:r>
      <w:r w:rsidRPr="003E5D51">
        <w:rPr>
          <w:sz w:val="20"/>
          <w:szCs w:val="20"/>
        </w:rPr>
        <w:t>(Bozkurt, 2023, s. 41)</w:t>
      </w:r>
      <w:r w:rsidRPr="003E5D51">
        <w:rPr>
          <w:sz w:val="20"/>
          <w:szCs w:val="20"/>
        </w:rPr>
        <w:fldChar w:fldCharType="end"/>
      </w:r>
    </w:p>
    <w:p w14:paraId="3AAD24BC" w14:textId="77777777" w:rsidR="0079785E" w:rsidRPr="000B3B32" w:rsidRDefault="0079785E" w:rsidP="0079785E">
      <w:pPr>
        <w:jc w:val="both"/>
      </w:pPr>
    </w:p>
    <w:p w14:paraId="20B214D7" w14:textId="3FF60579" w:rsidR="00FA457D" w:rsidRDefault="00FA457D" w:rsidP="0079785E">
      <w:pPr>
        <w:jc w:val="both"/>
        <w:rPr>
          <w:sz w:val="20"/>
          <w:szCs w:val="20"/>
        </w:rPr>
      </w:pPr>
      <w:r w:rsidRPr="000B3B32">
        <w:t xml:space="preserve">Tevrat’ta kadın, erkeğe nispetle çok fazla aktif olmayan, daha az haklara sahip ve arka planda yer almasına karşın, kadına verilmiş olan özellikler dolayısıyla da toplumun tertibi ve sıhhatinde, madden ve manen devam ettirilmesinde önemli bir rol oynamaktadır. Kadın neslin </w:t>
      </w:r>
      <w:r w:rsidRPr="000B3B32">
        <w:lastRenderedPageBreak/>
        <w:t xml:space="preserve">devam ettirilmesi noktasında en önemli etken olduğu gibi eşinin cinsel ihtiyacını karşılamak ve eşine sadakat ile bağlı kalmak açısından da toplumun ahlaki yapısının muhafaza edilmesinde de etkili olmaktadır. Tevrat ilkelerinde yer alan kadın-erkek farklılığı sadece toplumsal konum ve pratikler bağlamında değil dinsel açıdan da mevcuttur. Tevrat’ta yer alan hükümlerin ekseriyetine tabi olmayan kadın, </w:t>
      </w:r>
      <w:proofErr w:type="spellStart"/>
      <w:r w:rsidRPr="000B3B32">
        <w:t>Mabet’te</w:t>
      </w:r>
      <w:proofErr w:type="spellEnd"/>
      <w:r w:rsidRPr="000B3B32">
        <w:t xml:space="preserve"> icra edilen ayinlerin belirli uygulamalarından da sorumlu tutulmamıştır. Ayrıca Tevrat’taki İsrailoğulları (bene </w:t>
      </w:r>
      <w:proofErr w:type="spellStart"/>
      <w:r w:rsidRPr="000B3B32">
        <w:t>Yisrael</w:t>
      </w:r>
      <w:proofErr w:type="spellEnd"/>
      <w:r w:rsidRPr="000B3B32">
        <w:t>) lafzı ekseriyetle Yahudi erkeklerini belirtmek amacıyla ifade edilmiş, dinsel hükümlerin ekseriyetinde erkekler yer almış, kadınlar ise daha geri planda kalmışlardır.</w:t>
      </w:r>
      <w:r w:rsidRPr="003E5D51">
        <w:rPr>
          <w:sz w:val="20"/>
          <w:szCs w:val="20"/>
        </w:rPr>
        <w:fldChar w:fldCharType="begin"/>
      </w:r>
      <w:r w:rsidRPr="003E5D51">
        <w:rPr>
          <w:sz w:val="20"/>
          <w:szCs w:val="20"/>
        </w:rPr>
        <w:instrText xml:space="preserve"> ADDIN ZOTERO_ITEM CSL_CITATION {"citationID":"kX0GiG7a","properties":{"formattedCitation":"(G\\uc0\\u252{}rkan, 2018, ss. 307-308)","plainCitation":"(Gürkan, 2018, ss. 307-308)","noteIndex":0},"citationItems":[{"id":38,"uris":["http://zotero.org/users/16525729/items/5KXQWWGG"],"itemData":{"id":38,"type":"book","abstract":"Yahudilik - İSAM - İSLAM ARAŞTIRMALARI MERKEZİ - Salime Leyla Gürkan - Hiçbir din Yahudilik hiçbir topluluk yahudiler kadar tartışılmamıştır.","edition":"7","event-place":"Ankara","language":"tr","publisher":"İSAM Yayınları","publisher-place":"Ankara","title":"Yahudilik","URL":"https://www.kitapyurdu.com/kitap/yahudilik/374102.html","author":[{"family":"Gürkan","given":"Salime Leyla"}],"accessed":{"date-parts":[["2025",2,28]]},"issued":{"date-parts":[["2018"]]}},"locator":"307-308","label":"page"}],"schema":"https://github.com/citation-style-language/schema/raw/master/csl-citation.json"} </w:instrText>
      </w:r>
      <w:r w:rsidRPr="003E5D51">
        <w:rPr>
          <w:sz w:val="20"/>
          <w:szCs w:val="20"/>
        </w:rPr>
        <w:fldChar w:fldCharType="separate"/>
      </w:r>
      <w:r w:rsidRPr="003E5D51">
        <w:rPr>
          <w:sz w:val="20"/>
          <w:szCs w:val="20"/>
        </w:rPr>
        <w:t>(Gürkan, 2018, ss. 307-308)</w:t>
      </w:r>
      <w:r w:rsidRPr="003E5D51">
        <w:rPr>
          <w:sz w:val="20"/>
          <w:szCs w:val="20"/>
        </w:rPr>
        <w:fldChar w:fldCharType="end"/>
      </w:r>
    </w:p>
    <w:p w14:paraId="5311AEFD" w14:textId="77777777" w:rsidR="0079785E" w:rsidRPr="003E5D51" w:rsidRDefault="0079785E" w:rsidP="0079785E">
      <w:pPr>
        <w:jc w:val="both"/>
        <w:rPr>
          <w:sz w:val="20"/>
          <w:szCs w:val="20"/>
        </w:rPr>
      </w:pPr>
    </w:p>
    <w:p w14:paraId="6AD649E1" w14:textId="5C3CBE69" w:rsidR="00FA457D" w:rsidRDefault="00FA457D" w:rsidP="0079785E">
      <w:pPr>
        <w:jc w:val="both"/>
        <w:rPr>
          <w:sz w:val="20"/>
          <w:szCs w:val="20"/>
        </w:rPr>
      </w:pPr>
      <w:r w:rsidRPr="000B3B32">
        <w:t>Yahudi inancında geleneksel olarak kadınların dinsel vazifeleri daha çok ev içerisinde bulunurken</w:t>
      </w:r>
      <w:r>
        <w:t xml:space="preserve"> </w:t>
      </w:r>
      <w:r w:rsidRPr="000B3B32">
        <w:t xml:space="preserve">erkeklerin vazifeleri de evden çok mabede doğru gelişme göstermiştir. Kadınların evdeki vazifelerini aksatmalarına sebep olacağı düşüncesiyle kadınlar sinagog ayinlerine dahil edilmemiş ve Yahudi yasalarının bazı emirlerini yapmaktan da sorumlu tutulmamışlardır. Yahudi kadınlar sadece yiyeceklerin </w:t>
      </w:r>
      <w:proofErr w:type="spellStart"/>
      <w:r w:rsidRPr="000B3B32">
        <w:t>kaşer</w:t>
      </w:r>
      <w:proofErr w:type="spellEnd"/>
      <w:r w:rsidRPr="000B3B32">
        <w:t xml:space="preserve"> kurallarına uygun olarak hazır hale getirilmesinden, </w:t>
      </w:r>
      <w:proofErr w:type="spellStart"/>
      <w:r w:rsidRPr="000B3B32">
        <w:t>Sebt</w:t>
      </w:r>
      <w:proofErr w:type="spellEnd"/>
      <w:r w:rsidRPr="000B3B32">
        <w:t xml:space="preserve"> sırasındaki hazırlıklardan ve dini bayramlarda evle ilgili düzenlemelerden mesuldür. Bunun yanında 13 yaşını doldurmuş bir Yahudi erkeğin mevcut olmaması halinde </w:t>
      </w:r>
      <w:proofErr w:type="spellStart"/>
      <w:r w:rsidRPr="000B3B32">
        <w:t>Sebt</w:t>
      </w:r>
      <w:proofErr w:type="spellEnd"/>
      <w:r w:rsidRPr="000B3B32">
        <w:t xml:space="preserve"> günü çocukların takdis edilmesi, </w:t>
      </w:r>
      <w:proofErr w:type="spellStart"/>
      <w:r w:rsidRPr="000B3B32">
        <w:t>Mezuza’nın</w:t>
      </w:r>
      <w:proofErr w:type="spellEnd"/>
      <w:r w:rsidRPr="000B3B32">
        <w:rPr>
          <w:rStyle w:val="DipnotBavurusu"/>
          <w:rFonts w:eastAsiaTheme="majorEastAsia"/>
        </w:rPr>
        <w:footnoteReference w:id="73"/>
      </w:r>
      <w:r w:rsidRPr="000B3B32">
        <w:t xml:space="preserve"> ev kapısının üzerine asılması gibi ev ile ilgili bir takım vazifeleri yerine getirme hakkına sahiptir.</w:t>
      </w:r>
      <w:r w:rsidRPr="003E5D51">
        <w:rPr>
          <w:sz w:val="20"/>
          <w:szCs w:val="20"/>
        </w:rPr>
        <w:fldChar w:fldCharType="begin"/>
      </w:r>
      <w:r w:rsidRPr="003E5D51">
        <w:rPr>
          <w:sz w:val="20"/>
          <w:szCs w:val="20"/>
        </w:rPr>
        <w:instrText xml:space="preserve"> ADDIN ZOTERO_ITEM CSL_CITATION {"citationID":"eY2RjYDh","properties":{"formattedCitation":"(Ayd\\uc0\\u305{}n, 2016, ss. 333-334)","plainCitation":"(Aydın, 2016, ss. 333-334)","noteIndex":0},"citationItems":[{"id":5,"uris":["http://zotero.org/users/16525729/items/IQA7TKDJ"],"itemData":{"id":5,"type":"book","edition":"6","event-place":"İstanbul","ISBN":"978-605-5623-23-4","language":"tur","note":"OCLC: 903895330","publisher":"Ensar Neşriyat","publisher-place":"İstanbul","source":"Open WorldCat","title":"Anahatlarıyla Dinler Tarihi (Tarih, İnanç ve İbadet)","title-short":"Anahatlarıyla Dinler Tarihi","author":[{"family":"Aydın","given":"Mahmut"}],"issued":{"date-parts":[["2016"]]}},"locator":"333-334","label":"page"}],"schema":"https://github.com/citation-style-language/schema/raw/master/csl-citation.json"} </w:instrText>
      </w:r>
      <w:r w:rsidRPr="003E5D51">
        <w:rPr>
          <w:sz w:val="20"/>
          <w:szCs w:val="20"/>
        </w:rPr>
        <w:fldChar w:fldCharType="separate"/>
      </w:r>
      <w:r w:rsidRPr="003E5D51">
        <w:rPr>
          <w:sz w:val="20"/>
          <w:szCs w:val="20"/>
        </w:rPr>
        <w:t>(Aydın, 2016, ss. 333-334)</w:t>
      </w:r>
      <w:r w:rsidRPr="003E5D51">
        <w:rPr>
          <w:sz w:val="20"/>
          <w:szCs w:val="20"/>
        </w:rPr>
        <w:fldChar w:fldCharType="end"/>
      </w:r>
      <w:r w:rsidRPr="003E5D51">
        <w:rPr>
          <w:sz w:val="20"/>
          <w:szCs w:val="20"/>
        </w:rPr>
        <w:t xml:space="preserve"> </w:t>
      </w:r>
      <w:r w:rsidRPr="000B3B32">
        <w:t xml:space="preserve">Bunun yanında Yahudi kadınları evdeki düzenlemeler ve hazırlıklar konusunda tüm aşamalarda etken bir role sahiptir. Bir </w:t>
      </w:r>
      <w:proofErr w:type="spellStart"/>
      <w:r w:rsidRPr="000B3B32">
        <w:t>Pesah</w:t>
      </w:r>
      <w:proofErr w:type="spellEnd"/>
      <w:r w:rsidRPr="000B3B32">
        <w:t xml:space="preserve"> bayramında Yahudi kadınlarının hazırlığı ve temizlikler günler öncesinden başlamakta ve ‘</w:t>
      </w:r>
      <w:proofErr w:type="spellStart"/>
      <w:r w:rsidRPr="000B3B32">
        <w:t>Hametz</w:t>
      </w:r>
      <w:proofErr w:type="spellEnd"/>
      <w:r w:rsidRPr="000B3B32">
        <w:t xml:space="preserve">’ sayılan evdeki tüm gıdalar bayram öncesinde evden çıkarılmaktadır. Aynı zamanda mutfak eşyalarının </w:t>
      </w:r>
      <w:proofErr w:type="spellStart"/>
      <w:r w:rsidRPr="000B3B32">
        <w:t>koşerlenmesi</w:t>
      </w:r>
      <w:proofErr w:type="spellEnd"/>
      <w:r w:rsidRPr="000B3B32">
        <w:t xml:space="preserve"> ve </w:t>
      </w:r>
      <w:proofErr w:type="spellStart"/>
      <w:r w:rsidRPr="000B3B32">
        <w:t>Seder</w:t>
      </w:r>
      <w:proofErr w:type="spellEnd"/>
      <w:r w:rsidRPr="000B3B32">
        <w:t xml:space="preserve"> yemeğinin</w:t>
      </w:r>
      <w:r w:rsidRPr="000B3B32">
        <w:rPr>
          <w:rStyle w:val="DipnotBavurusu"/>
          <w:rFonts w:eastAsiaTheme="majorEastAsia"/>
        </w:rPr>
        <w:footnoteReference w:id="74"/>
      </w:r>
      <w:r w:rsidRPr="000B3B32">
        <w:t xml:space="preserve"> hazırlanması gibi görevler de Yahudi kadınları tarafından yerine getirilmektedir.</w:t>
      </w:r>
      <w:r w:rsidRPr="003E5D51">
        <w:rPr>
          <w:sz w:val="20"/>
          <w:szCs w:val="20"/>
        </w:rPr>
        <w:fldChar w:fldCharType="begin"/>
      </w:r>
      <w:r w:rsidRPr="003E5D51">
        <w:rPr>
          <w:sz w:val="20"/>
          <w:szCs w:val="20"/>
        </w:rPr>
        <w:instrText xml:space="preserve"> ADDIN ZOTERO_ITEM CSL_CITATION {"citationID":"5v6rAYDq","properties":{"formattedCitation":"(Alt\\uc0\\u305{}nta\\uc0\\u351{}, 2018, ss. 16-17)","plainCitation":"(Altıntaş, 2018, ss. 16-17)","noteIndex":0},"citationItems":[{"id":1,"uris":["http://zotero.org/users/16525729/items/HIIC6S9L"],"itemData":{"id":1,"type":"book","edition":"3","event-place":"İstanbul","publisher":"Gözlem Gazetecilik ve Basın Yayın","publisher-place":"İstanbul","title":"Yahudilik’te Kavram ve Değerler","editor":[{"family":"Altıntaş","given":"Yusuf"}],"issued":{"date-parts":[["2018"]]}},"locator":"16-17","label":"page"}],"schema":"https://github.com/citation-style-language/schema/raw/master/csl-citation.json"} </w:instrText>
      </w:r>
      <w:r w:rsidRPr="003E5D51">
        <w:rPr>
          <w:sz w:val="20"/>
          <w:szCs w:val="20"/>
        </w:rPr>
        <w:fldChar w:fldCharType="separate"/>
      </w:r>
      <w:r w:rsidRPr="003E5D51">
        <w:rPr>
          <w:sz w:val="20"/>
          <w:szCs w:val="20"/>
        </w:rPr>
        <w:t>(Altıntaş, 2018, ss. 16-17)</w:t>
      </w:r>
      <w:r w:rsidRPr="003E5D51">
        <w:rPr>
          <w:sz w:val="20"/>
          <w:szCs w:val="20"/>
        </w:rPr>
        <w:fldChar w:fldCharType="end"/>
      </w:r>
      <w:r w:rsidRPr="000B3B32">
        <w:t xml:space="preserve"> Yahudi kadınları bunların yanı sıra çocukların aile içi eğitimi ve </w:t>
      </w:r>
      <w:proofErr w:type="spellStart"/>
      <w:r w:rsidRPr="000B3B32">
        <w:t>ahlakî</w:t>
      </w:r>
      <w:proofErr w:type="spellEnd"/>
      <w:r w:rsidRPr="000B3B32">
        <w:t xml:space="preserve"> terbiyelerinin kazandırılmasında da önemli rol sahibidir. Yahudi anneler çocuklarına, küçüklüklerinde ve yetişkinliklerinde öğütler vererek onlara yol göstermişlerdir.</w:t>
      </w:r>
      <w:r w:rsidRPr="003E5D51">
        <w:rPr>
          <w:sz w:val="20"/>
          <w:szCs w:val="20"/>
        </w:rPr>
        <w:fldChar w:fldCharType="begin"/>
      </w:r>
      <w:r w:rsidRPr="003E5D51">
        <w:rPr>
          <w:sz w:val="20"/>
          <w:szCs w:val="20"/>
        </w:rPr>
        <w:instrText xml:space="preserve"> ADDIN ZOTERO_ITEM CSL_CITATION {"citationID":"F4kPBOXf","properties":{"formattedCitation":"(Vaux, 2003, s. 85)","plainCitation":"(Vaux, 2003, s. 85)","noteIndex":0},"citationItems":[{"id":117,"uris":["http://zotero.org/users/16525729/items/HZKCRJ6Q"],"itemData":{"id":117,"type":"book","edition":"1","event-place":"Bursa","publisher":"Arasta Yayınları","publisher-place":"Bursa","title":"Yahudilikte Aile","URL":"https://katalog.hacettepe.edu.tr/client/en_US/default/search/detailnonmodal/ent:$002f$002fSD_ILS$002f0$002fSD_ILS:98559/ada?qu=A%C4%B0LE.&amp;ic=true&amp;ps=300","author":[{"family":"Vaux","given":"Ronald","dropping-particle":"de"}],"accessed":{"date-parts":[["2025",2,28]]},"issued":{"date-parts":[["2003"]]}},"locator":"85","label":"page"}],"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sz w:val="20"/>
          <w:szCs w:val="20"/>
        </w:rPr>
        <w:t>Vaux</w:t>
      </w:r>
      <w:proofErr w:type="spellEnd"/>
      <w:r w:rsidRPr="003E5D51">
        <w:rPr>
          <w:sz w:val="20"/>
          <w:szCs w:val="20"/>
        </w:rPr>
        <w:t>, 2003, s. 85)</w:t>
      </w:r>
      <w:r w:rsidRPr="003E5D51">
        <w:rPr>
          <w:sz w:val="20"/>
          <w:szCs w:val="20"/>
        </w:rPr>
        <w:fldChar w:fldCharType="end"/>
      </w:r>
    </w:p>
    <w:p w14:paraId="1D2C14B3" w14:textId="77777777" w:rsidR="0079785E" w:rsidRPr="000B3B32" w:rsidRDefault="0079785E" w:rsidP="0079785E">
      <w:pPr>
        <w:jc w:val="both"/>
      </w:pPr>
    </w:p>
    <w:p w14:paraId="39DD2B68" w14:textId="2161989D" w:rsidR="00FA457D" w:rsidRDefault="00FA457D" w:rsidP="0079785E">
      <w:pPr>
        <w:jc w:val="both"/>
        <w:rPr>
          <w:sz w:val="20"/>
          <w:szCs w:val="20"/>
        </w:rPr>
      </w:pPr>
      <w:proofErr w:type="spellStart"/>
      <w:r w:rsidRPr="000B3B32">
        <w:t>Yahudilik’te</w:t>
      </w:r>
      <w:proofErr w:type="spellEnd"/>
      <w:r w:rsidRPr="000B3B32">
        <w:t xml:space="preserve"> kadının toplumsal konumu incelendiğinde aile yapısı ve ev içi yükümlülüklerden meydana geldiği görülmektedir. Yahudilerin yaşamında iki esas nokta vardır bunlardan biri Tanrı’ya tapınmak için erkeklerin Tora eğitimi alması bu alanda faaliyetlerde bulunması iken diğer nokta ise Yahudi kadınlarının Tanrı’ya ibadet noktasında sorumlu olmadıkları konuları da içeren mükellefiyetlerin yanı sıra ev ve aile hayatında mükellefiyetlerini de yerine getirmesidir. Yahudi sosyal yapısında, kadının toplumsal yaşamdaki görevi daha çok aile yaşamına yardımcı olan bir konumda olmuştur. Özellikle evli Yahudi kadınların en önemli görevi kocasına bağlı olması, ona her anlamda dayanak olması ve yardım etmesidir. Bunun üzerine kadının hem kocasına hem de Tanrısına olan görevlerini yerine getirmesi düşünülemez. Bu nedenle önceliği kocasına olan görevlerini yapmak olmalı, sonrasında müsait olduğu zamanlarda da Rabbinin bazı buyruklarını yerine getirmelidir. </w:t>
      </w:r>
      <w:r w:rsidRPr="003E5D51">
        <w:rPr>
          <w:sz w:val="20"/>
          <w:szCs w:val="20"/>
        </w:rPr>
        <w:fldChar w:fldCharType="begin"/>
      </w:r>
      <w:r w:rsidRPr="003E5D51">
        <w:rPr>
          <w:sz w:val="20"/>
          <w:szCs w:val="20"/>
        </w:rPr>
        <w:instrText xml:space="preserve"> ADDIN ZOTERO_ITEM CSL_CITATION {"citationID":"AX0X4HMQ","properties":{"formattedCitation":"(I\\uc0\\u351{}\\uc0\\u305{}k, 2022, ss. 92-93)","plainCitation":"(Işık, 2022, ss. 92-93)","noteIndex":0},"citationItems":[{"id":48,"uris":["http://zotero.org/users/16525729/items/Q89ZU667"],"itemData":{"id":48,"type":"book","abstract":"Geleneksel Yahudilik ataerkil ve erkek merkezli bir konuma sahiptir. Bu nedenle kadınların Yahudi toplumundaki rolü ve statülerine karar verenler yine erkeklerdir. Yahudi erkekler, günlük dualarına kadın olmadıklarından dolayı Tanrı’ya şükrederek başlamaktadırlar. Bu durum, kadınların Yahudilikteki statülerini açıkça ortaya koymaktadır. Yahudilik temelde ataerkil bir toplum olmasının yanında erkek merkezli bir dinsel tutumun yüceltildiği bir din görünümündedir. […]","edition":"1","event-place":"Ankara","language":"tr","publisher":"İlahiyat Yayınları","publisher-place":"Ankara","title":"Yahudilikte Kadın ve Statüsü - Tanah Temelinde","URL":"https://www.ilahiyatyayin.com/yahudilikte-kadin-ve-statusu-tanah-temelinde/","author":[{"family":"Işık","given":"Ramazan"}],"accessed":{"date-parts":[["2025",2,28]]},"issued":{"date-parts":[["2022"]]}},"locator":"92-93","label":"page"}],"schema":"https://github.com/citation-style-language/schema/raw/master/csl-citation.json"} </w:instrText>
      </w:r>
      <w:r w:rsidRPr="003E5D51">
        <w:rPr>
          <w:sz w:val="20"/>
          <w:szCs w:val="20"/>
        </w:rPr>
        <w:fldChar w:fldCharType="separate"/>
      </w:r>
      <w:r w:rsidRPr="003E5D51">
        <w:rPr>
          <w:sz w:val="20"/>
          <w:szCs w:val="20"/>
        </w:rPr>
        <w:t>(Işık, 2022, ss. 92-93)</w:t>
      </w:r>
      <w:r w:rsidRPr="003E5D51">
        <w:rPr>
          <w:sz w:val="20"/>
          <w:szCs w:val="20"/>
        </w:rPr>
        <w:fldChar w:fldCharType="end"/>
      </w:r>
    </w:p>
    <w:p w14:paraId="39B60F60" w14:textId="77777777" w:rsidR="0079785E" w:rsidRPr="000B3B32" w:rsidRDefault="0079785E" w:rsidP="0079785E">
      <w:pPr>
        <w:jc w:val="both"/>
      </w:pPr>
    </w:p>
    <w:p w14:paraId="74D7198F" w14:textId="38288A0A" w:rsidR="00FA457D" w:rsidRDefault="00FA457D" w:rsidP="0079785E">
      <w:pPr>
        <w:jc w:val="both"/>
        <w:rPr>
          <w:sz w:val="20"/>
          <w:szCs w:val="20"/>
        </w:rPr>
      </w:pPr>
      <w:r w:rsidRPr="000B3B32">
        <w:t xml:space="preserve">Yahudi gelenekleri uyarınca her ne kadar kadınların dini ve toplumsal konulardan uzaklaştırılmış oldukları görülse de kadınların bazı alanlarda toplumsal roller edindikleri de bir </w:t>
      </w:r>
      <w:r w:rsidRPr="000B3B32">
        <w:lastRenderedPageBreak/>
        <w:t xml:space="preserve">gerçektir. Sinagog yazıtlarına dair yapılan araştırmalar bu duruma örnek teşkil etmektedir. Mesela kadınlar sinagoglar için önemli bağışlar yapmakta, sinagogun annesi gibi önemli mesuliyetler almaktadırlar. Ayrıca erken dönemlerde bazı Yahudi kadınlarının </w:t>
      </w:r>
      <w:proofErr w:type="spellStart"/>
      <w:r w:rsidRPr="000B3B32">
        <w:t>Epitropoi</w:t>
      </w:r>
      <w:proofErr w:type="spellEnd"/>
      <w:r>
        <w:t>/</w:t>
      </w:r>
      <w:r w:rsidRPr="0020063B">
        <w:t xml:space="preserve"> </w:t>
      </w:r>
      <w:proofErr w:type="spellStart"/>
      <w:r w:rsidRPr="000B3B32">
        <w:t>Epitropos</w:t>
      </w:r>
      <w:proofErr w:type="spellEnd"/>
      <w:r w:rsidRPr="000B3B32">
        <w:t xml:space="preserve"> olarak atandıkları da görülmektedir. Bir kimsenin mülkiyetini yönetmek ile görevlendirilmiş kişi olan </w:t>
      </w:r>
      <w:proofErr w:type="spellStart"/>
      <w:r w:rsidRPr="000B3B32">
        <w:t>Epitropos</w:t>
      </w:r>
      <w:proofErr w:type="spellEnd"/>
      <w:r w:rsidRPr="000B3B32">
        <w:rPr>
          <w:rStyle w:val="DipnotBavurusu"/>
          <w:rFonts w:eastAsiaTheme="majorEastAsia"/>
        </w:rPr>
        <w:footnoteReference w:id="75"/>
      </w:r>
      <w:r w:rsidRPr="000B3B32">
        <w:t xml:space="preserve"> farklı şekillerde atanmaktadır. Bu atamalardan biri Yahudi kocanın karısını </w:t>
      </w:r>
      <w:proofErr w:type="spellStart"/>
      <w:r w:rsidRPr="000B3B32">
        <w:t>Epitropos</w:t>
      </w:r>
      <w:proofErr w:type="spellEnd"/>
      <w:r w:rsidRPr="000B3B32">
        <w:t xml:space="preserve"> olarak atamasıdır. Kişi karısını işyerini yönetmesi için </w:t>
      </w:r>
      <w:proofErr w:type="spellStart"/>
      <w:r w:rsidRPr="000B3B32">
        <w:t>Epitropos</w:t>
      </w:r>
      <w:proofErr w:type="spellEnd"/>
      <w:r w:rsidRPr="000B3B32">
        <w:t xml:space="preserve"> olarak atayabildiği gibi mallarının yöneticisi olarak da atayabilir ya da bir sözleşme ile mülkünün bağışını karısına verme yoluyla da </w:t>
      </w:r>
      <w:proofErr w:type="spellStart"/>
      <w:r w:rsidRPr="000B3B32">
        <w:t>Epitropos</w:t>
      </w:r>
      <w:proofErr w:type="spellEnd"/>
      <w:r w:rsidRPr="000B3B32">
        <w:t xml:space="preserve"> olarak atamış olur. Bu durum neticesinde eşleri tarafından </w:t>
      </w:r>
      <w:proofErr w:type="spellStart"/>
      <w:r w:rsidRPr="000B3B32">
        <w:t>Epitropos</w:t>
      </w:r>
      <w:proofErr w:type="spellEnd"/>
      <w:r w:rsidRPr="000B3B32">
        <w:t xml:space="preserve"> olarak atanan kadınlar hem sosyal statü bakımından hem de ekonomik hayatta söz hakkına sahip olmaları açısından önemli bir role sahip olmaktadırlar.</w:t>
      </w:r>
      <w:r w:rsidRPr="003E5D51">
        <w:rPr>
          <w:sz w:val="20"/>
          <w:szCs w:val="20"/>
        </w:rPr>
        <w:fldChar w:fldCharType="begin"/>
      </w:r>
      <w:r w:rsidRPr="003E5D51">
        <w:rPr>
          <w:sz w:val="20"/>
          <w:szCs w:val="20"/>
        </w:rPr>
        <w:instrText xml:space="preserve"> ADDIN ZOTERO_ITEM CSL_CITATION {"citationID":"11EZynZX","properties":{"formattedCitation":"(Vana, 2013, ss. 18-33)","plainCitation":"(Vana, 2013, ss. 18-33)","noteIndex":0},"citationItems":[{"id":115,"uris":["http://zotero.org/users/16525729/items/4685CLVY"],"itemData":{"id":115,"type":"book","abstract":"Elinizdeki kitap, Yahudilik’de kadınla ilgili yaklaşımların yanlışlığını ve Yahudi din hukukçularının, Yahudi Şeriatına ters düşen görüşlerini sergileyen üç makaleden oluşmaktadır. Birinci makalede, Yahudi Şeriatı yasaklamadığı halde, Yahudi Şeriat uzmanlarının, kadınların yönetim işlerinde çalışmalarını yasakladıkları, açıklanmaktadır. İkinci makalede, Yahudi Şeriatına göre kadınların dini görevlerde bulunmalarında bir sakınca olmadığı halde, erkeklerin onur ve şereflerinin yükseltilmesi adına, Yahudi hukukçularının, Yahudi kadınlarının onurlarını zedeledikleri ve dini görevlerden uzaklaştırıldıkları, belirtilmektedir. Üçüncü makalede, Helenistik ve Roma dönemindeki nişanlanma ve evlenme âdetleri anlatılmakta, bu konuda yapılan işlemlerde, Yahudi Şeriatının dışına çıkıldığına vurgu yapılmaktadır. Prof.Dr. Mehmet AYDIN","edition":"1","event-place":"Konya","ISBN":"978-605-4336-91-3","language":"tr","number-of-pages":"168","publisher":"Nüve Kültür Merkezi","publisher-place":"Konya","source":"KitapYurdu.com","title":"Yahudilik'de Kadın (Epitropos'luk-Kadın Dua Grupları-Evlenme)","author":[{"family":"Vana","given":"Liliana"}],"translator":[{"family":"Aydın","given":"Mehmet"}],"issued":{"date-parts":[["2013",1,1]]}},"locator":"18-33","label":"page"}],"schema":"https://github.com/citation-style-language/schema/raw/master/csl-citation.json"} </w:instrText>
      </w:r>
      <w:r w:rsidRPr="003E5D51">
        <w:rPr>
          <w:sz w:val="20"/>
          <w:szCs w:val="20"/>
        </w:rPr>
        <w:fldChar w:fldCharType="separate"/>
      </w:r>
      <w:r w:rsidRPr="003E5D51">
        <w:rPr>
          <w:sz w:val="20"/>
          <w:szCs w:val="20"/>
        </w:rPr>
        <w:t>(Vana, 2013, ss. 18-33)</w:t>
      </w:r>
      <w:r w:rsidRPr="003E5D51">
        <w:rPr>
          <w:sz w:val="20"/>
          <w:szCs w:val="20"/>
        </w:rPr>
        <w:fldChar w:fldCharType="end"/>
      </w:r>
      <w:r w:rsidRPr="000B3B32">
        <w:t xml:space="preserve"> Kadınların ev işleri haricinde ticari faaliyetlerde bulunduğunu kanıtlayan </w:t>
      </w:r>
      <w:proofErr w:type="spellStart"/>
      <w:r w:rsidRPr="000B3B32">
        <w:t>Tanah</w:t>
      </w:r>
      <w:proofErr w:type="spellEnd"/>
      <w:r w:rsidRPr="000B3B32">
        <w:t xml:space="preserve"> metinleri de mevcuttur. </w:t>
      </w:r>
      <w:r w:rsidRPr="000B3B32">
        <w:rPr>
          <w:i/>
        </w:rPr>
        <w:t>“(Kadın) keten esvap yapar, satar ve tüccara kuşaklar verir”</w:t>
      </w:r>
      <w:r w:rsidRPr="000B3B32">
        <w:t xml:space="preserve"> ifadesi bu duruma örnek teşkil etmektedir. Kadınlar eşlerine manevi destek olmanın yanı sıra çalışarak ekonomik anlamda da eşlerini desteklemişlerdir.</w:t>
      </w:r>
      <w:r w:rsidRPr="003E5D51">
        <w:rPr>
          <w:sz w:val="20"/>
          <w:szCs w:val="20"/>
        </w:rPr>
        <w:fldChar w:fldCharType="begin"/>
      </w:r>
      <w:r w:rsidRPr="003E5D51">
        <w:rPr>
          <w:sz w:val="20"/>
          <w:szCs w:val="20"/>
        </w:rPr>
        <w:instrText xml:space="preserve"> ADDIN ZOTERO_ITEM CSL_CITATION {"citationID":"XMeOBTwk","properties":{"formattedCitation":"(S\\uc0\\u252{}leyman Turan &amp; Asife \\uc0\\u220{}nal, 2021, s. 76)","plainCitation":"(Süleyman Turan &amp; Asife Ünal, 2021, s. 76)","noteIndex":0},"citationItems":[{"id":101,"uris":["http://zotero.org/users/16525729/items/4TZ27IYL"],"itemData":{"id":101,"type":"book","edition":"1","event-place":"İstanbul","publisher":"Eğitim Yayınevi","publisher-place":"İstanbul","title":"Dinlerde Aile","URL":"https://www.okurkitap.com/urun/dinlerde-aile-9786057382603?srsltid=AfmBOorh7IdLlKegILYVpLOH3tQ8qs1oq8Rsbsy7OOmDvsH9_LWbJ2pP","author":[{"literal":"Süleyman Turan"},{"literal":"Asife Ünal"}],"accessed":{"date-parts":[["2025",2,28]]},"issued":{"date-parts":[["2021"]]}},"locator":"76","label":"page"}],"schema":"https://github.com/citation-style-language/schema/raw/master/csl-citation.json"} </w:instrText>
      </w:r>
      <w:r w:rsidRPr="003E5D51">
        <w:rPr>
          <w:sz w:val="20"/>
          <w:szCs w:val="20"/>
        </w:rPr>
        <w:fldChar w:fldCharType="separate"/>
      </w:r>
      <w:r w:rsidRPr="003E5D51">
        <w:rPr>
          <w:sz w:val="20"/>
          <w:szCs w:val="20"/>
        </w:rPr>
        <w:t>(Süleyman Turan &amp; Asife Ünal, 2021, s. 76)</w:t>
      </w:r>
      <w:r w:rsidRPr="003E5D51">
        <w:rPr>
          <w:sz w:val="20"/>
          <w:szCs w:val="20"/>
        </w:rPr>
        <w:fldChar w:fldCharType="end"/>
      </w:r>
    </w:p>
    <w:p w14:paraId="581967A4" w14:textId="77777777" w:rsidR="0079785E" w:rsidRPr="000B3B32" w:rsidRDefault="0079785E" w:rsidP="0079785E">
      <w:pPr>
        <w:jc w:val="both"/>
      </w:pPr>
    </w:p>
    <w:p w14:paraId="4FB7CDAF" w14:textId="14AD740A" w:rsidR="00E359E0" w:rsidRDefault="00FA457D" w:rsidP="0079785E">
      <w:pPr>
        <w:jc w:val="both"/>
        <w:rPr>
          <w:sz w:val="20"/>
          <w:szCs w:val="20"/>
        </w:rPr>
      </w:pPr>
      <w:r w:rsidRPr="000B3B32">
        <w:t>İzmir Yahudi cemaati kadınlarına yönelik yapılan bir alan çalışmasında Yahudi bir kadın olmanın ve bunun getirdiği yükümlülüklerin neler olduğu konusunda onların düşüncelerine yer verilmiş ve kendilerini nasıl tanımladıkları bu çalışma kapsamında ortaya çıkmıştır. İzmir Yahudi kadınlarına göre kadın olmak genel anlamda güzel bir his, sevinç veren, gururlandıran imtiyaz sahibi bir duygudur, bazı güçlükleri barındırsa da ayrıcalıklı ve güzeldir. Onlara göre kadın olmak ikinci derecede bir mevkide olmak değil aksine ikinci derecede olmamak için çaba sarf etmektir. Öyle ki bazılarına göre erkek olmaktan daha iyidir. Kadın oldukları için mutlu olduklarını, bununla gurur duyduklarını, şanslı hissettiklerini, erkeklerden daha ayrıcalıklı hissettiklerini ifade etmişlerdir. İzmir Yahudi kadınlarının çoğunun ifadelerine bakıldığında olumlu görüş belirttikleri ve bu durumdan oldukça memnun oldukları görülmektedir.</w:t>
      </w:r>
      <w:r w:rsidRPr="003E5D51">
        <w:rPr>
          <w:sz w:val="20"/>
          <w:szCs w:val="20"/>
        </w:rPr>
        <w:fldChar w:fldCharType="begin"/>
      </w:r>
      <w:r w:rsidRPr="003E5D51">
        <w:rPr>
          <w:sz w:val="20"/>
          <w:szCs w:val="20"/>
        </w:rPr>
        <w:instrText xml:space="preserve"> ADDIN ZOTERO_ITEM CSL_CITATION {"citationID":"tw5npIlA","properties":{"formattedCitation":"(Ok\\uc0\\u231{}ay, 2013, ss. 107-111)","plainCitation":"(Okçay, 2013, ss. 107-111)","noteIndex":0},"citationItems":[{"id":76,"uris":["http://zotero.org/users/16525729/items/8AVS9UFV"],"itemData":{"id":76,"type":"book","abstract":"Bu çalışma, ilk tek tanrılı din olan Yahudilik ve bu dinin en temel aktarıcısı Kadın, tartışmanın ana temalarını oluşturuyor. Yer İzmir. İzmir çünkü Osmanlı’dan günümüze “Nev-i Şahsına Münhasır” bir kent olma özelliğini hiçbir zaman yitirmemiştir ve Sefarad Yahudilerenin de önemli bir merkezi olarak eşsiz bir öneme sahiptir. “500 Yıllık Komşularımız” kavramı da bu konuya işaret ediyor.","edition":"1","event-place":"Ankara","ISBN":"978-605-4657-32-2","language":"tr","number-of-pages":"240","publisher":"Phoenix Yayınevi","publisher-place":"Ankara","source":"KitapYurdu.com","title":"İzmir Yahudi Cemaati Kadın Kimliği (Beş Yüz Yıllık Komşularımız)","author":[{"family":"Okçay","given":"Hale"}],"issued":{"date-parts":[["2013",2,22]]}},"locator":"107-111","label":"page"}],"schema":"https://github.com/citation-style-language/schema/raw/master/csl-citation.json"}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sz w:val="20"/>
          <w:szCs w:val="20"/>
        </w:rPr>
        <w:t>Okçay</w:t>
      </w:r>
      <w:proofErr w:type="spellEnd"/>
      <w:r w:rsidRPr="003E5D51">
        <w:rPr>
          <w:sz w:val="20"/>
          <w:szCs w:val="20"/>
        </w:rPr>
        <w:t>, 2013, ss. 107-111)</w:t>
      </w:r>
      <w:r w:rsidRPr="003E5D51">
        <w:rPr>
          <w:sz w:val="20"/>
          <w:szCs w:val="20"/>
        </w:rPr>
        <w:fldChar w:fldCharType="end"/>
      </w:r>
      <w:r w:rsidR="00D37D80">
        <w:rPr>
          <w:sz w:val="20"/>
          <w:szCs w:val="20"/>
        </w:rPr>
        <w:t>.</w:t>
      </w:r>
    </w:p>
    <w:p w14:paraId="611E44A9" w14:textId="77777777" w:rsidR="00D37D80" w:rsidRPr="00D37D80" w:rsidRDefault="00D37D80" w:rsidP="0079785E">
      <w:pPr>
        <w:jc w:val="both"/>
        <w:rPr>
          <w:sz w:val="20"/>
          <w:szCs w:val="20"/>
        </w:rPr>
      </w:pPr>
    </w:p>
    <w:p w14:paraId="4043CEC0" w14:textId="77777777" w:rsidR="00FA457D" w:rsidRPr="000B3B32" w:rsidRDefault="00FA457D" w:rsidP="0079785E">
      <w:pPr>
        <w:jc w:val="both"/>
      </w:pPr>
      <w:r w:rsidRPr="000B3B32">
        <w:rPr>
          <w:b/>
        </w:rPr>
        <w:t xml:space="preserve">2. YAHUDİ KADINLARININ İBADET </w:t>
      </w:r>
      <w:r>
        <w:rPr>
          <w:b/>
        </w:rPr>
        <w:t>ve</w:t>
      </w:r>
      <w:r w:rsidRPr="000B3B32">
        <w:rPr>
          <w:b/>
        </w:rPr>
        <w:t xml:space="preserve"> DUALARI</w:t>
      </w:r>
    </w:p>
    <w:p w14:paraId="045F7A63" w14:textId="77777777" w:rsidR="00FA457D" w:rsidRDefault="00FA457D" w:rsidP="0079785E">
      <w:pPr>
        <w:jc w:val="both"/>
      </w:pPr>
      <w:r w:rsidRPr="000B3B32">
        <w:t xml:space="preserve">Burada Yahudi kadınlara özgü ibadet ve dualar üzerinde durulacaktır. Bunlardan en önemlisi temizlik ayinidir. İbranice ismi </w:t>
      </w:r>
      <w:proofErr w:type="spellStart"/>
      <w:r w:rsidRPr="000B3B32">
        <w:t>mikve</w:t>
      </w:r>
      <w:proofErr w:type="spellEnd"/>
      <w:r w:rsidRPr="000B3B32">
        <w:t xml:space="preserve"> olan bu uygulama kendine has kuralları ve pratikleri içermektedir.</w:t>
      </w:r>
    </w:p>
    <w:p w14:paraId="1E038D88" w14:textId="77777777" w:rsidR="0079785E" w:rsidRPr="000B3B32" w:rsidRDefault="0079785E" w:rsidP="0079785E">
      <w:pPr>
        <w:jc w:val="both"/>
      </w:pPr>
    </w:p>
    <w:p w14:paraId="5DE6EB40" w14:textId="0B3C0E67" w:rsidR="00FA457D" w:rsidRPr="00424346" w:rsidRDefault="00FA457D">
      <w:pPr>
        <w:pStyle w:val="ListeParagraf"/>
        <w:widowControl/>
        <w:numPr>
          <w:ilvl w:val="1"/>
          <w:numId w:val="34"/>
        </w:numPr>
        <w:autoSpaceDE/>
        <w:autoSpaceDN/>
        <w:jc w:val="both"/>
        <w:rPr>
          <w:b/>
        </w:rPr>
      </w:pPr>
      <w:r w:rsidRPr="00424346">
        <w:rPr>
          <w:b/>
        </w:rPr>
        <w:t xml:space="preserve">Yahudi Kadınlarının Temizlik Ayini: </w:t>
      </w:r>
      <w:proofErr w:type="spellStart"/>
      <w:r w:rsidRPr="00424346">
        <w:rPr>
          <w:b/>
        </w:rPr>
        <w:t>Mikve</w:t>
      </w:r>
      <w:proofErr w:type="spellEnd"/>
    </w:p>
    <w:p w14:paraId="7EDBD46E" w14:textId="1A012FD4" w:rsidR="00FA457D" w:rsidRDefault="00FA457D" w:rsidP="0079785E">
      <w:pPr>
        <w:jc w:val="both"/>
        <w:rPr>
          <w:sz w:val="20"/>
          <w:szCs w:val="20"/>
        </w:rPr>
      </w:pPr>
      <w:proofErr w:type="spellStart"/>
      <w:r w:rsidRPr="000B3B32">
        <w:t>Mikve</w:t>
      </w:r>
      <w:proofErr w:type="spellEnd"/>
      <w:r w:rsidRPr="000B3B32">
        <w:t>” sözcüğü “suyun toplanması” şeklinde çevrilirken esasında bu toplanma belli bir alanda biriken saf yağmur suyunu belirtmek için kullanılmaktadır.</w:t>
      </w:r>
      <w:r w:rsidRPr="003E5D51">
        <w:rPr>
          <w:sz w:val="20"/>
          <w:szCs w:val="20"/>
        </w:rPr>
        <w:fldChar w:fldCharType="begin"/>
      </w:r>
      <w:r w:rsidRPr="003E5D51">
        <w:rPr>
          <w:sz w:val="20"/>
          <w:szCs w:val="20"/>
        </w:rPr>
        <w:instrText xml:space="preserve"> ADDIN ZOTERO_ITEM CSL_CITATION {"citationID":"ajSEw2Kg","properties":{"formattedCitation":"(Lesches, 2001, s. 37)","plainCitation":"(Lesches, 2001, s. 37)","noteIndex":0},"citationItems":[{"id":70,"uris":["http://zotero.org/users/16525729/items/JXTR9I9W"],"itemData":{"id":70,"type":"book","event-place":"Montreal","ISBN":"978-0-9689146-0-1","language":"en","note":"Google-Books-ID: 3t8RAQAAIAAJ","number-of-pages":"110","publisher":"National Library of Canada Cataloguing in Publication Data","publisher-place":"Montreal","source":"Google Books","title":"Understanding Mikvah (An Overview of Mikvah Construction)","title-short":"Understanding Mikvah","author":[{"family":"Lesches","given":"Schneur Zalman"}],"issued":{"date-parts":[["2001"]]}},"locator":"37","label":"page"}],"schema":"https://github.com/citation-style-language/schema/raw/master/csl-citation.json"}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sz w:val="20"/>
          <w:szCs w:val="20"/>
        </w:rPr>
        <w:t>Lesches</w:t>
      </w:r>
      <w:proofErr w:type="spellEnd"/>
      <w:r w:rsidRPr="003E5D51">
        <w:rPr>
          <w:sz w:val="20"/>
          <w:szCs w:val="20"/>
        </w:rPr>
        <w:t>, 2001, s. 37)</w:t>
      </w:r>
      <w:r w:rsidRPr="003E5D51">
        <w:rPr>
          <w:sz w:val="20"/>
          <w:szCs w:val="20"/>
        </w:rPr>
        <w:fldChar w:fldCharType="end"/>
      </w:r>
      <w:r w:rsidRPr="003E5D51">
        <w:rPr>
          <w:sz w:val="20"/>
          <w:szCs w:val="20"/>
        </w:rPr>
        <w:t xml:space="preserve"> </w:t>
      </w:r>
      <w:r w:rsidRPr="000B3B32">
        <w:t>Yahudi bir kişinin farklı sebeplerden ötürü ruhanî ve bedenî temizliğini kaybettiği durumlarda temizlenmesi için girdiği havuz şeklindeki arınma yerine “</w:t>
      </w:r>
      <w:proofErr w:type="spellStart"/>
      <w:r w:rsidRPr="000B3B32">
        <w:t>mikve</w:t>
      </w:r>
      <w:proofErr w:type="spellEnd"/>
      <w:r w:rsidRPr="000B3B32">
        <w:t xml:space="preserve">” adı verilir. </w:t>
      </w:r>
      <w:proofErr w:type="spellStart"/>
      <w:r w:rsidRPr="000B3B32">
        <w:t>Mikve</w:t>
      </w:r>
      <w:proofErr w:type="spellEnd"/>
      <w:r w:rsidRPr="000B3B32">
        <w:t xml:space="preserve"> suyu</w:t>
      </w:r>
      <w:r>
        <w:t xml:space="preserve">nun </w:t>
      </w:r>
      <w:r w:rsidRPr="000B3B32">
        <w:t xml:space="preserve">yağmur ve kar gibi doğal kaynak sularından elde edilmesi gerekir aynı zamanda bu suyun hacmi de 40 </w:t>
      </w:r>
      <w:proofErr w:type="spellStart"/>
      <w:r w:rsidRPr="000B3B32">
        <w:t>seah</w:t>
      </w:r>
      <w:proofErr w:type="spellEnd"/>
      <w:r w:rsidRPr="000B3B32">
        <w:t xml:space="preserve"> (750 1.) dan aşağı miktarda olmamalıdır, suyun yüksekliği ise en az 120 cm olmalıdır. </w:t>
      </w:r>
      <w:proofErr w:type="spellStart"/>
      <w:r w:rsidRPr="000B3B32">
        <w:t>Mikvede</w:t>
      </w:r>
      <w:proofErr w:type="spellEnd"/>
      <w:r w:rsidRPr="000B3B32">
        <w:t xml:space="preserve"> yapılan bu arınma işlemine ise “</w:t>
      </w:r>
      <w:proofErr w:type="spellStart"/>
      <w:r w:rsidRPr="000B3B32">
        <w:t>tevila</w:t>
      </w:r>
      <w:proofErr w:type="spellEnd"/>
      <w:r w:rsidRPr="000B3B32">
        <w:t xml:space="preserve">” adı verilir. Yahudi kanunlarına göre </w:t>
      </w:r>
      <w:proofErr w:type="spellStart"/>
      <w:r w:rsidRPr="000B3B32">
        <w:t>mikvenin</w:t>
      </w:r>
      <w:proofErr w:type="spellEnd"/>
      <w:r w:rsidRPr="000B3B32">
        <w:t xml:space="preserve"> üç hususta kullanıldığı görülmektedir. Bu üç husustan biri olan Yahudi kadınlarının âdet zamanı sonrasında temizlenmeleri için </w:t>
      </w:r>
      <w:proofErr w:type="spellStart"/>
      <w:r w:rsidRPr="000B3B32">
        <w:t>tevila</w:t>
      </w:r>
      <w:proofErr w:type="spellEnd"/>
      <w:r w:rsidRPr="000B3B32">
        <w:t xml:space="preserve"> yapmaları belirli kuralları içeren bir uygulamadır. Bu âdet </w:t>
      </w:r>
      <w:r w:rsidRPr="000B3B32">
        <w:lastRenderedPageBreak/>
        <w:t>süresince kadın “nida” olarak sayılmaktadır ve cinsel birliktelikten uzak olması gerekmektedir.</w:t>
      </w:r>
      <w:r w:rsidRPr="003E5D51">
        <w:rPr>
          <w:sz w:val="20"/>
          <w:szCs w:val="20"/>
        </w:rPr>
        <w:fldChar w:fldCharType="begin"/>
      </w:r>
      <w:r w:rsidRPr="003E5D51">
        <w:rPr>
          <w:sz w:val="20"/>
          <w:szCs w:val="20"/>
        </w:rPr>
        <w:instrText xml:space="preserve"> ADDIN ZOTERO_ITEM CSL_CITATION {"citationID":"hvF8c7if","properties":{"formattedCitation":"(Alt\\uc0\\u305{}nta\\uc0\\u351{}, 2018, ss. 242-243)","plainCitation":"(Altıntaş, 2018, ss. 242-243)","noteIndex":0},"citationItems":[{"id":1,"uris":["http://zotero.org/users/16525729/items/HIIC6S9L"],"itemData":{"id":1,"type":"book","edition":"3","event-place":"İstanbul","publisher":"Gözlem Gazetecilik ve Basın Yayın","publisher-place":"İstanbul","title":"Yahudilik’te Kavram ve Değerler","editor":[{"family":"Altıntaş","given":"Yusuf"}],"issued":{"date-parts":[["2018"]]}},"locator":"242-243","label":"page"}],"schema":"https://github.com/citation-style-language/schema/raw/master/csl-citation.json"} </w:instrText>
      </w:r>
      <w:r w:rsidRPr="003E5D51">
        <w:rPr>
          <w:sz w:val="20"/>
          <w:szCs w:val="20"/>
        </w:rPr>
        <w:fldChar w:fldCharType="separate"/>
      </w:r>
      <w:r w:rsidRPr="003E5D51">
        <w:rPr>
          <w:sz w:val="20"/>
          <w:szCs w:val="20"/>
        </w:rPr>
        <w:t>(Altıntaş, 2018, ss. 242-243)</w:t>
      </w:r>
      <w:r w:rsidRPr="003E5D51">
        <w:rPr>
          <w:sz w:val="20"/>
          <w:szCs w:val="20"/>
        </w:rPr>
        <w:fldChar w:fldCharType="end"/>
      </w:r>
      <w:r w:rsidRPr="003E5D51">
        <w:rPr>
          <w:sz w:val="20"/>
          <w:szCs w:val="20"/>
        </w:rPr>
        <w:t xml:space="preserve"> </w:t>
      </w:r>
      <w:r w:rsidRPr="000B3B32">
        <w:t xml:space="preserve">Burada ifade edilen nida uygulaması Tevrat’ta yer alan </w:t>
      </w:r>
      <w:proofErr w:type="spellStart"/>
      <w:r w:rsidRPr="000B3B32">
        <w:t>Levililer</w:t>
      </w:r>
      <w:proofErr w:type="spellEnd"/>
      <w:r w:rsidRPr="000B3B32">
        <w:t xml:space="preserve"> 15:19 </w:t>
      </w:r>
      <w:proofErr w:type="gramStart"/>
      <w:r w:rsidRPr="000B3B32">
        <w:t>metininde</w:t>
      </w:r>
      <w:proofErr w:type="gramEnd"/>
      <w:r w:rsidRPr="000B3B32">
        <w:t xml:space="preserve"> yer alan emire dayandırılmaktadır. Buradaki ifadede yer alan ‘Âdet gördüğü için kan kaybeden kadın yedi gün kirli sayılacak. Ona dokunan da akşama kadar kirli sayılacak’</w:t>
      </w:r>
      <w:r w:rsidRPr="003E5D51">
        <w:rPr>
          <w:sz w:val="20"/>
          <w:szCs w:val="20"/>
        </w:rPr>
        <w:fldChar w:fldCharType="begin"/>
      </w:r>
      <w:r w:rsidRPr="003E5D51">
        <w:rPr>
          <w:sz w:val="20"/>
          <w:szCs w:val="20"/>
        </w:rPr>
        <w:instrText xml:space="preserve"> ADDIN ZOTERO_ITEM CSL_CITATION {"citationID":"a74s9ncN","properties":{"formattedCitation":"({\\i{}Kutsal Kitap: Tevrat Zebur \\uc0\\u304{}ncil}, 2020, B\\uc0\\u246{}l\\uc0\\u252{}m Levililer, 15:19)","plainCitation":"(Kutsal Kitap: Tevrat Zebur İncil, 2020, Bölüm Levililer, 15:19)","noteIndex":0},"citationItems":[{"id":62,"uris":["http://zotero.org/users/16525729/items/LT9UDTL6"],"itemData":{"id":62,"type":"book","event-place":"İstanbul","publisher":"Kitab-ı Mukaddes Şirketi- Yeni Yaşam Yayınları","publisher-place":"İstanbul","title":"Kutsal Kitap: Tevrat Zebur İncil","URL":"https://www.google.com/search?q=kutsal+kitap+tevrat+zebur+incil+%C4%B1sbn+kodu&amp;sca_esv=3a00b5f4c73ad6fb&amp;rlz=1C1PRFE_trTR698TR698&amp;ei=L17BZ_qTDfCOxc8P7Lf1oAQ&amp;oq=Kutsal+Kitap%3A+Tevrat%2C+Zebur%2C+%C4%B0ncil+ISBN+&amp;gs_lp=Egxnd3Mtd2l6LXNlcnAiKUt1dHNhbCBLaXRhcDogVGV2cmF0LCBaZWJ1ciwgxLBuY2lsIElTQk4gKgIIAjIFECEYoAEyBRAhGKABMgUQIRigATIFECEYoAEyBRAhGKABSI43UKYGWIEecAF4AJABAJgB1gGgAbcJqgEFMC42LjK4AQHIAQD4AQGYAgigApsJwgIKEAAYsAMY1gQYR8ICChAuGIAEGEMYigXCAgUQABiABMICBhAAGBYYHsICCBAAGKIEGIkFwgIIEAAYgAQYogSYAwCIBgGQBgiSBwUxLjUuMqAHoSg&amp;sclient=gws-wiz-serp","accessed":{"date-parts":[["2025",2,28]]},"issued":{"date-parts":[["2020"]]}},"locator":"Levililer, 15:19","label":"chapter"}],"schema":"https://github.com/citation-style-language/schema/raw/master/csl-citation.json"} </w:instrText>
      </w:r>
      <w:r w:rsidRPr="003E5D51">
        <w:rPr>
          <w:sz w:val="20"/>
          <w:szCs w:val="20"/>
        </w:rPr>
        <w:fldChar w:fldCharType="separate"/>
      </w:r>
      <w:r w:rsidRPr="003E5D51">
        <w:rPr>
          <w:sz w:val="20"/>
          <w:szCs w:val="20"/>
        </w:rPr>
        <w:t>(</w:t>
      </w:r>
      <w:r w:rsidRPr="003E5D51">
        <w:rPr>
          <w:i/>
          <w:iCs/>
          <w:sz w:val="20"/>
          <w:szCs w:val="20"/>
        </w:rPr>
        <w:t>Kutsal Kitap: Tevrat Zebur İncil</w:t>
      </w:r>
      <w:r w:rsidRPr="003E5D51">
        <w:rPr>
          <w:sz w:val="20"/>
          <w:szCs w:val="20"/>
        </w:rPr>
        <w:t>, 2020, Bölüm Levililer, 15:19)</w:t>
      </w:r>
      <w:r w:rsidRPr="003E5D51">
        <w:rPr>
          <w:sz w:val="20"/>
          <w:szCs w:val="20"/>
        </w:rPr>
        <w:fldChar w:fldCharType="end"/>
      </w:r>
      <w:r w:rsidRPr="000B3B32">
        <w:t xml:space="preserve"> buyruğuna bakıldığında sebebi anlaşılmaktadır. Yahudi yasaları gereğince kadın sadece âdet döneminde nida sayılmamakta aynı zamanda doğum yaptıktan sonra ve düşük geçirdikten sonra kanama gerçekleşirse bu sürede de nida sayılmaktadır.</w:t>
      </w:r>
      <w:r w:rsidRPr="003E5D51">
        <w:rPr>
          <w:sz w:val="20"/>
          <w:szCs w:val="20"/>
        </w:rPr>
        <w:fldChar w:fldCharType="begin"/>
      </w:r>
      <w:r w:rsidRPr="003E5D51">
        <w:rPr>
          <w:sz w:val="20"/>
          <w:szCs w:val="20"/>
        </w:rPr>
        <w:instrText xml:space="preserve"> ADDIN ZOTERO_ITEM CSL_CITATION {"citationID":"Thh0ENAE","properties":{"formattedCitation":"({\\i{}Beliefs &amp; Practices}, t.y.)","plainCitation":"(Beliefs &amp; Practices, t.y.)","noteIndex":0},"citationItems":[{"id":74,"uris":["http://zotero.org/users/16525729/items/JUXQRVWN"],"itemData":{"id":74,"type":"webpage","abstract":"Explore Jewish Life and Judaism at My Jewish Learning, a trans-denominational website of information about Judaism. Visit us today!","container-title":"My Jewish Learning","language":"en-US","title":"Beliefs &amp; Practices","URL":"https://www.myjewishlearning.com/category/study/beliefs-practices/","accessed":{"date-parts":[["2025",2,28]]}}}],"schema":"https://github.com/citation-style-language/schema/raw/master/csl-citation.json"} </w:instrText>
      </w:r>
      <w:r w:rsidRPr="003E5D51">
        <w:rPr>
          <w:sz w:val="20"/>
          <w:szCs w:val="20"/>
        </w:rPr>
        <w:fldChar w:fldCharType="separate"/>
      </w:r>
      <w:r w:rsidRPr="003E5D51">
        <w:rPr>
          <w:sz w:val="20"/>
          <w:szCs w:val="20"/>
        </w:rPr>
        <w:t>(</w:t>
      </w:r>
      <w:proofErr w:type="spellStart"/>
      <w:r w:rsidRPr="003E5D51">
        <w:rPr>
          <w:i/>
          <w:iCs/>
          <w:sz w:val="20"/>
          <w:szCs w:val="20"/>
        </w:rPr>
        <w:t>Beliefs</w:t>
      </w:r>
      <w:proofErr w:type="spellEnd"/>
      <w:r w:rsidRPr="003E5D51">
        <w:rPr>
          <w:i/>
          <w:iCs/>
          <w:sz w:val="20"/>
          <w:szCs w:val="20"/>
        </w:rPr>
        <w:t xml:space="preserve"> &amp; Practices</w:t>
      </w:r>
      <w:r w:rsidRPr="003E5D51">
        <w:rPr>
          <w:sz w:val="20"/>
          <w:szCs w:val="20"/>
        </w:rPr>
        <w:t>, t.y.)</w:t>
      </w:r>
      <w:r w:rsidRPr="003E5D51">
        <w:rPr>
          <w:sz w:val="20"/>
          <w:szCs w:val="20"/>
        </w:rPr>
        <w:fldChar w:fldCharType="end"/>
      </w:r>
      <w:r w:rsidRPr="000B3B32">
        <w:t xml:space="preserve"> Doğan çocuğun cinsiyetine göre ise kadının kirli sayıldığı süre değişmektedir. Eğer erkek çocuk dünyaya gelirse kadın 7 gün kirli kabul edilirken kız çocuğu dünyaya gelirse 14 gün kirli kabul edilmektedir. Kadın bu günlerden sonra </w:t>
      </w:r>
      <w:proofErr w:type="spellStart"/>
      <w:r w:rsidRPr="000B3B32">
        <w:t>mikveye</w:t>
      </w:r>
      <w:proofErr w:type="spellEnd"/>
      <w:r w:rsidRPr="000B3B32">
        <w:t xml:space="preserve"> girip temizlenmelidir.</w:t>
      </w:r>
      <w:r w:rsidRPr="003E5D51">
        <w:rPr>
          <w:sz w:val="20"/>
          <w:szCs w:val="20"/>
        </w:rPr>
        <w:fldChar w:fldCharType="begin"/>
      </w:r>
      <w:r w:rsidRPr="003E5D51">
        <w:rPr>
          <w:sz w:val="20"/>
          <w:szCs w:val="20"/>
        </w:rPr>
        <w:instrText xml:space="preserve"> ADDIN ZOTERO_ITEM CSL_CITATION {"citationID":"3M9mshEg","properties":{"formattedCitation":"(Tural, 2022, s. 156)","plainCitation":"(Tural, 2022, s. 156)","noteIndex":0},"citationItems":[{"id":99,"uris":["http://zotero.org/users/16525729/items/SUUID778"],"itemData":{"id":99,"type":"article-journal","abstract":"Arınma ritüelleri, maddi veya manevi kirlilikten arınmak, ibadete başlamak veya kutsalı tecrübe etmeye uygun hale gelmek için yapılan uygulamalardır. Yahudilikte var olan arınma ritüellerinin incelenmesinin amaçlandığı bu çalışmada; belge tarama modeliyle ulaşılan veriler neticesinde arınma ritüellerinin ne zaman veya hangi durumlarda yapıldığının analitik tespiti için fenomenolojik yöntem, arınma ritüellerinin hangi malzemeler kullanılarak ve ne şekilde yapıldığının analitik tespiti için morfolojik yöntem kullanılmıştır. Yahudilikte var olan arınma ritüellerinin otantikliği veya orijinalliği gibi konularla zamanla Yahudi toplumunda ortaya çıkmış olan heretik akımlarda görülen uygulama farklılıkları gibi unsurlar göz ardı edilerek kapsam dışında tutulmuştur. Bu çalışmayla ulaşılan bulgular ve yapılan değerlendirmelerin bir başka din ile Yahudilik arasında, arınma ritüelleri üzerine yapılacak karşılaştırmalı herhangi bir çalışmaya katkı sunacağı varsayılmaktadır. Manevi arınmayı gerçekleştirdiğine inanan kişilerin psikolojik rahatlama hissetmesine yardımcı olan arınma ritüellerinin şekillendirdiği hijyen anlayışının halk sağlığına da katkısı bulunmaktadır. Bu yüzden dinlerde var olan arınma ritüellerinin incelenmesinin faydalı olacağı varsayılmaktadır. Yahudilikte, arınma ritüelleri için belirlenen kurallar ve uygulamaların kapsamı kirlilik ve suçluluk psikolojisiyle birlikte işlenmiş ve arınma olgusu yazgıyla ilişkilendirilmiştir. Aynı zamanda bu ritüellerin düzenli olarak yapılmasını sağlamak için birçok psikolojik ve toplumsal müeyyideler geliştirilmiştir. Herhangi bir nedenle arınma ritüellerini yerine getiremeyenlerin kendilerini kirli, tanrısal inayetten yoksun ve korumasız hissetmesi ve bu dönemde yaşadığı talihsizliklerle kendi kirliliği arasında bir bağ kurmasını sağlamaya yönelik yaptırımlar belirlenmiştir. Ritüelleri kasten yapmayanlar ise dışlanarak cezalandırılmıştır. Fenomenolojik açıdan Yahudilikteki arınma ritüellerinin; geçiş mensekleri olan doğum, düğün ve ölüm gibi durumlarda, uykudan uyanma ve yemek yeme gibi gündelik aktivitelerde, ibadete başlamadan veya ibadethaneye girmeden önce ve dini açıdan kutsal olan günlerde ve bayramlarda yapıldığı görülmüştür. Tipolojik açıdan maddi ve manevi arınma çeşitlerinin tespit edildiği arınma ritüellerinin Morfolojik açıdan; suyla yıkamak, ateşle yakmak, dua etmek, oruç tutmak, muska takmak, günahını itiraf etmek, tövbe etmek, sadaka vermek, fidye ödemek, kurban kesmek veya gulfe (prepisyum) derisi kesilmek suretiyle değişik şekillerde gerçekleştirildiği tespit edilmiştir.","container-title":"Türk Din Psikolojisi Dergisi","ISSN":"2687-2722","issue":"5","language":"tr","note":"number: 5\npublisher: Mustafa KOÇ","page":"131-168","source":"dergipark.org.tr","title":"Psiko-Fenomenolojik Açıdan Yahudilik'te Arınma Ritüelleri","author":[{"family":"Tural","given":"Mustafa"}],"issued":{"date-parts":[["2022",6,30]]}},"locator":"156","label":"page"}],"schema":"https://github.com/citation-style-language/schema/raw/master/csl-citation.json"} </w:instrText>
      </w:r>
      <w:r w:rsidRPr="003E5D51">
        <w:rPr>
          <w:sz w:val="20"/>
          <w:szCs w:val="20"/>
        </w:rPr>
        <w:fldChar w:fldCharType="separate"/>
      </w:r>
      <w:r w:rsidRPr="003E5D51">
        <w:rPr>
          <w:sz w:val="20"/>
          <w:szCs w:val="20"/>
        </w:rPr>
        <w:t>(Tural, 2022, s. 156)</w:t>
      </w:r>
      <w:r w:rsidRPr="003E5D51">
        <w:rPr>
          <w:sz w:val="20"/>
          <w:szCs w:val="20"/>
        </w:rPr>
        <w:fldChar w:fldCharType="end"/>
      </w:r>
    </w:p>
    <w:p w14:paraId="406B7F9F" w14:textId="77777777" w:rsidR="0079785E" w:rsidRPr="003E5D51" w:rsidRDefault="0079785E" w:rsidP="0079785E">
      <w:pPr>
        <w:jc w:val="both"/>
        <w:rPr>
          <w:sz w:val="20"/>
          <w:szCs w:val="20"/>
        </w:rPr>
      </w:pPr>
    </w:p>
    <w:p w14:paraId="52718C87" w14:textId="77777777" w:rsidR="00FA457D" w:rsidRDefault="00FA457D" w:rsidP="0079785E">
      <w:pPr>
        <w:jc w:val="both"/>
      </w:pPr>
      <w:proofErr w:type="spellStart"/>
      <w:r w:rsidRPr="000B3B32">
        <w:t>Tevila</w:t>
      </w:r>
      <w:proofErr w:type="spellEnd"/>
      <w:r w:rsidRPr="000B3B32">
        <w:t xml:space="preserve"> yapmak isteyen kadın öncelikle baştan aşağı bütün vücudunu yıkamalı, saçlarını ise yıkadıktan sonra tarayarak toplamalıdır. Çünkü </w:t>
      </w:r>
      <w:proofErr w:type="spellStart"/>
      <w:r w:rsidRPr="000B3B32">
        <w:t>tevila</w:t>
      </w:r>
      <w:proofErr w:type="spellEnd"/>
      <w:r w:rsidRPr="000B3B32">
        <w:t xml:space="preserve"> esnasında </w:t>
      </w:r>
      <w:proofErr w:type="spellStart"/>
      <w:r w:rsidRPr="000B3B32">
        <w:t>mikveye</w:t>
      </w:r>
      <w:proofErr w:type="spellEnd"/>
      <w:r w:rsidRPr="000B3B32">
        <w:t xml:space="preserve"> saç düşmemelidir. Tırnaklarını kesmeli, dişlerini temizlemeli ve ağzını da bol suyla yıkamalıdır. </w:t>
      </w:r>
      <w:proofErr w:type="spellStart"/>
      <w:r w:rsidRPr="000B3B32">
        <w:t>Tevila</w:t>
      </w:r>
      <w:proofErr w:type="spellEnd"/>
      <w:r w:rsidRPr="000B3B32">
        <w:t xml:space="preserve"> yapacak olan kadın </w:t>
      </w:r>
      <w:proofErr w:type="spellStart"/>
      <w:r w:rsidRPr="000B3B32">
        <w:t>mikveye</w:t>
      </w:r>
      <w:proofErr w:type="spellEnd"/>
      <w:r w:rsidRPr="000B3B32">
        <w:t xml:space="preserve"> bir defada tamamen dalması gerekir. </w:t>
      </w:r>
      <w:proofErr w:type="spellStart"/>
      <w:r w:rsidRPr="000B3B32">
        <w:t>Mikvedeki</w:t>
      </w:r>
      <w:proofErr w:type="spellEnd"/>
      <w:r w:rsidRPr="000B3B32">
        <w:t xml:space="preserve"> suya girme esnasında gözler kapatılmamalı, ağız ve eller ise açık olmalıdır. Suya bir defada tam girip çıktıktan sonra </w:t>
      </w:r>
      <w:proofErr w:type="spellStart"/>
      <w:r w:rsidRPr="000B3B32">
        <w:t>mikvede</w:t>
      </w:r>
      <w:proofErr w:type="spellEnd"/>
      <w:r w:rsidRPr="000B3B32">
        <w:t xml:space="preserve"> </w:t>
      </w:r>
      <w:r w:rsidRPr="000B3B32">
        <w:rPr>
          <w:i/>
        </w:rPr>
        <w:t>“</w:t>
      </w:r>
      <w:proofErr w:type="spellStart"/>
      <w:r w:rsidRPr="000B3B32">
        <w:rPr>
          <w:i/>
        </w:rPr>
        <w:t>Baruh</w:t>
      </w:r>
      <w:proofErr w:type="spellEnd"/>
      <w:r w:rsidRPr="000B3B32">
        <w:rPr>
          <w:i/>
        </w:rPr>
        <w:t xml:space="preserve"> ata Ad…</w:t>
      </w:r>
      <w:proofErr w:type="spellStart"/>
      <w:r w:rsidRPr="000B3B32">
        <w:rPr>
          <w:i/>
        </w:rPr>
        <w:t>eloenu</w:t>
      </w:r>
      <w:proofErr w:type="spellEnd"/>
      <w:r w:rsidRPr="000B3B32">
        <w:rPr>
          <w:i/>
        </w:rPr>
        <w:t xml:space="preserve"> </w:t>
      </w:r>
      <w:proofErr w:type="spellStart"/>
      <w:r w:rsidRPr="000B3B32">
        <w:rPr>
          <w:i/>
        </w:rPr>
        <w:t>meleh</w:t>
      </w:r>
      <w:proofErr w:type="spellEnd"/>
      <w:r w:rsidRPr="000B3B32">
        <w:rPr>
          <w:i/>
        </w:rPr>
        <w:t xml:space="preserve"> </w:t>
      </w:r>
      <w:proofErr w:type="spellStart"/>
      <w:r w:rsidRPr="000B3B32">
        <w:rPr>
          <w:i/>
        </w:rPr>
        <w:t>aolam</w:t>
      </w:r>
      <w:proofErr w:type="spellEnd"/>
      <w:r w:rsidRPr="000B3B32">
        <w:rPr>
          <w:i/>
        </w:rPr>
        <w:t xml:space="preserve">, aşer </w:t>
      </w:r>
      <w:proofErr w:type="spellStart"/>
      <w:r w:rsidRPr="000B3B32">
        <w:rPr>
          <w:i/>
        </w:rPr>
        <w:t>kideşanu</w:t>
      </w:r>
      <w:proofErr w:type="spellEnd"/>
      <w:r w:rsidRPr="000B3B32">
        <w:rPr>
          <w:i/>
        </w:rPr>
        <w:t xml:space="preserve"> </w:t>
      </w:r>
      <w:proofErr w:type="spellStart"/>
      <w:r w:rsidRPr="000B3B32">
        <w:rPr>
          <w:i/>
        </w:rPr>
        <w:t>bemitsvotav</w:t>
      </w:r>
      <w:proofErr w:type="spellEnd"/>
      <w:r w:rsidRPr="000B3B32">
        <w:rPr>
          <w:i/>
        </w:rPr>
        <w:t xml:space="preserve"> </w:t>
      </w:r>
      <w:proofErr w:type="spellStart"/>
      <w:r w:rsidRPr="000B3B32">
        <w:rPr>
          <w:i/>
        </w:rPr>
        <w:t>vetsivanu</w:t>
      </w:r>
      <w:proofErr w:type="spellEnd"/>
      <w:r w:rsidRPr="000B3B32">
        <w:rPr>
          <w:i/>
        </w:rPr>
        <w:t xml:space="preserve"> al </w:t>
      </w:r>
      <w:proofErr w:type="spellStart"/>
      <w:r w:rsidRPr="000B3B32">
        <w:rPr>
          <w:i/>
        </w:rPr>
        <w:t>mitsvat</w:t>
      </w:r>
      <w:proofErr w:type="spellEnd"/>
      <w:r w:rsidRPr="000B3B32">
        <w:rPr>
          <w:i/>
        </w:rPr>
        <w:t xml:space="preserve"> </w:t>
      </w:r>
      <w:proofErr w:type="spellStart"/>
      <w:proofErr w:type="gramStart"/>
      <w:r w:rsidRPr="000B3B32">
        <w:rPr>
          <w:i/>
        </w:rPr>
        <w:t>tevila</w:t>
      </w:r>
      <w:proofErr w:type="spellEnd"/>
      <w:r w:rsidRPr="000B3B32">
        <w:rPr>
          <w:i/>
        </w:rPr>
        <w:t>./</w:t>
      </w:r>
      <w:proofErr w:type="gramEnd"/>
      <w:r w:rsidRPr="000B3B32">
        <w:rPr>
          <w:i/>
        </w:rPr>
        <w:t xml:space="preserve"> Bizleri buyruklarıyla kutsayıp, bizlere </w:t>
      </w:r>
      <w:proofErr w:type="spellStart"/>
      <w:r w:rsidRPr="000B3B32">
        <w:rPr>
          <w:i/>
        </w:rPr>
        <w:t>Tevila</w:t>
      </w:r>
      <w:proofErr w:type="spellEnd"/>
      <w:r w:rsidRPr="000B3B32">
        <w:rPr>
          <w:i/>
        </w:rPr>
        <w:t xml:space="preserve"> buyruğunu buyuran evrenin Hükümranı Tanrımız sen kutsalsın”</w:t>
      </w:r>
      <w:r w:rsidRPr="000B3B32">
        <w:t xml:space="preserve"> </w:t>
      </w:r>
      <w:proofErr w:type="spellStart"/>
      <w:r w:rsidRPr="000B3B32">
        <w:t>berahası</w:t>
      </w:r>
      <w:proofErr w:type="spellEnd"/>
      <w:r w:rsidRPr="000B3B32">
        <w:t xml:space="preserve"> okunmalıdır. </w:t>
      </w:r>
      <w:proofErr w:type="spellStart"/>
      <w:r w:rsidRPr="000B3B32">
        <w:t>Beraha</w:t>
      </w:r>
      <w:proofErr w:type="spellEnd"/>
      <w:r w:rsidRPr="000B3B32">
        <w:t xml:space="preserve"> okuduktan sonra da 6 defa tekrar tamamen </w:t>
      </w:r>
      <w:proofErr w:type="spellStart"/>
      <w:r w:rsidRPr="000B3B32">
        <w:t>mikveye</w:t>
      </w:r>
      <w:proofErr w:type="spellEnd"/>
      <w:r w:rsidRPr="000B3B32">
        <w:t xml:space="preserve"> dalmak gerekir.</w:t>
      </w:r>
      <w:r w:rsidRPr="003E5D51">
        <w:rPr>
          <w:sz w:val="20"/>
          <w:szCs w:val="20"/>
        </w:rPr>
        <w:fldChar w:fldCharType="begin"/>
      </w:r>
      <w:r w:rsidRPr="003E5D51">
        <w:rPr>
          <w:sz w:val="20"/>
          <w:szCs w:val="20"/>
        </w:rPr>
        <w:instrText xml:space="preserve"> ADDIN ZOTERO_ITEM CSL_CITATION {"citationID":"HiiB83LW","properties":{"formattedCitation":"(Alt\\uc0\\u305{}nta\\uc0\\u351{}, 2018, ss. 243-244)","plainCitation":"(Altıntaş, 2018, ss. 243-244)","noteIndex":0},"citationItems":[{"id":1,"uris":["http://zotero.org/users/16525729/items/HIIC6S9L"],"itemData":{"id":1,"type":"book","edition":"3","event-place":"İstanbul","publisher":"Gözlem Gazetecilik ve Basın Yayın","publisher-place":"İstanbul","title":"Yahudilik’te Kavram ve Değerler","editor":[{"family":"Altıntaş","given":"Yusuf"}],"issued":{"date-parts":[["2018"]]}},"locator":"243-244","label":"page"}],"schema":"https://github.com/citation-style-language/schema/raw/master/csl-citation.json"} </w:instrText>
      </w:r>
      <w:r w:rsidRPr="003E5D51">
        <w:rPr>
          <w:sz w:val="20"/>
          <w:szCs w:val="20"/>
        </w:rPr>
        <w:fldChar w:fldCharType="separate"/>
      </w:r>
      <w:r w:rsidRPr="003E5D51">
        <w:rPr>
          <w:sz w:val="20"/>
          <w:szCs w:val="20"/>
        </w:rPr>
        <w:t>(Altıntaş, 2018, ss. 243-244)</w:t>
      </w:r>
      <w:r w:rsidRPr="003E5D51">
        <w:rPr>
          <w:sz w:val="20"/>
          <w:szCs w:val="20"/>
        </w:rPr>
        <w:fldChar w:fldCharType="end"/>
      </w:r>
      <w:r w:rsidRPr="000B3B32">
        <w:t xml:space="preserve"> Yahudi kadınlarının </w:t>
      </w:r>
      <w:proofErr w:type="spellStart"/>
      <w:r w:rsidRPr="000B3B32">
        <w:t>mikveye</w:t>
      </w:r>
      <w:proofErr w:type="spellEnd"/>
      <w:r w:rsidRPr="000B3B32">
        <w:t xml:space="preserve"> girerken okudukları dualardan biri de şöyledir:</w:t>
      </w:r>
    </w:p>
    <w:p w14:paraId="1E69FE21" w14:textId="77777777" w:rsidR="0079785E" w:rsidRPr="000B3B32" w:rsidRDefault="0079785E" w:rsidP="0079785E">
      <w:pPr>
        <w:jc w:val="both"/>
      </w:pPr>
    </w:p>
    <w:p w14:paraId="6928E797" w14:textId="77777777" w:rsidR="00FA457D" w:rsidRDefault="00FA457D" w:rsidP="0079785E">
      <w:pPr>
        <w:jc w:val="both"/>
      </w:pPr>
      <w:r w:rsidRPr="000B3B32">
        <w:rPr>
          <w:i/>
        </w:rPr>
        <w:t xml:space="preserve">“Bütün alemin Rabbi / Sen kutsallaştırdın / Halkın İsrail’i / Bütün halkların üstünde / Ve emir verdin / Bir kadının yapması gereken / Kendini kirlilikten arındır / Vücudunu suya batırarak / O arınsın diye / Tanrım </w:t>
      </w:r>
      <w:proofErr w:type="spellStart"/>
      <w:r w:rsidRPr="000B3B32">
        <w:rPr>
          <w:i/>
        </w:rPr>
        <w:t>Tanrım</w:t>
      </w:r>
      <w:proofErr w:type="spellEnd"/>
      <w:r w:rsidRPr="000B3B32">
        <w:rPr>
          <w:i/>
        </w:rPr>
        <w:t xml:space="preserve"> / Bugün zamanı geldi / Kendimi temizlemem için / Benim kirliliğimden / Tanrım </w:t>
      </w:r>
      <w:proofErr w:type="spellStart"/>
      <w:r w:rsidRPr="000B3B32">
        <w:rPr>
          <w:i/>
        </w:rPr>
        <w:t>Tanrım</w:t>
      </w:r>
      <w:proofErr w:type="spellEnd"/>
      <w:r w:rsidRPr="000B3B32">
        <w:rPr>
          <w:i/>
        </w:rPr>
        <w:t xml:space="preserve"> / Bu senin istediğin olsun / Bu benim temizliğim / </w:t>
      </w:r>
      <w:proofErr w:type="spellStart"/>
      <w:r w:rsidRPr="000B3B32">
        <w:rPr>
          <w:i/>
        </w:rPr>
        <w:t>Mikve</w:t>
      </w:r>
      <w:proofErr w:type="spellEnd"/>
      <w:r w:rsidRPr="000B3B32">
        <w:rPr>
          <w:i/>
        </w:rPr>
        <w:t xml:space="preserve"> suyunda / Arıtma ile sayılır / İsrail yönetimi altındaki tüm dindar kadınlar arasında / Kim kendi zamanında </w:t>
      </w:r>
      <w:proofErr w:type="spellStart"/>
      <w:r w:rsidRPr="000B3B32">
        <w:rPr>
          <w:i/>
        </w:rPr>
        <w:t>mikveye</w:t>
      </w:r>
      <w:proofErr w:type="spellEnd"/>
      <w:r w:rsidRPr="000B3B32">
        <w:rPr>
          <w:i/>
        </w:rPr>
        <w:t xml:space="preserve"> gider / Kendilerini temizlemek için …” </w:t>
      </w:r>
      <w:r w:rsidRPr="000B3B32">
        <w:t>şeklinde devam eden duanın sadece bir kısmı buraya alınmıştır.</w:t>
      </w:r>
    </w:p>
    <w:p w14:paraId="4F8023B4" w14:textId="77777777" w:rsidR="00E359E0" w:rsidRPr="000B3B32" w:rsidRDefault="00E359E0" w:rsidP="0079785E">
      <w:pPr>
        <w:jc w:val="both"/>
        <w:rPr>
          <w:i/>
        </w:rPr>
      </w:pPr>
    </w:p>
    <w:p w14:paraId="61496FCF" w14:textId="3A94AA83" w:rsidR="00FA457D" w:rsidRPr="000B3B32" w:rsidRDefault="00FA457D" w:rsidP="0079785E">
      <w:pPr>
        <w:jc w:val="both"/>
      </w:pPr>
      <w:r w:rsidRPr="000B3B32">
        <w:t xml:space="preserve">Temizlendikten sonra </w:t>
      </w:r>
      <w:proofErr w:type="spellStart"/>
      <w:r w:rsidRPr="000B3B32">
        <w:t>mikveden</w:t>
      </w:r>
      <w:proofErr w:type="spellEnd"/>
      <w:r w:rsidRPr="000B3B32">
        <w:t xml:space="preserve"> çıkacakları zaman samimî bir kalp ile şu duayı okumaları gereklidir:</w:t>
      </w:r>
    </w:p>
    <w:p w14:paraId="59533DE0" w14:textId="77777777" w:rsidR="00FA457D" w:rsidRDefault="00FA457D" w:rsidP="0079785E">
      <w:pPr>
        <w:jc w:val="both"/>
      </w:pPr>
      <w:r w:rsidRPr="000B3B32">
        <w:rPr>
          <w:i/>
        </w:rPr>
        <w:t xml:space="preserve">“Tüm dünyanın yaratıcısı / Bütün ruhların Rabbi / Kim yükseklerde oturuyor / Ve arasında yaşıyor / Seçtiği İsrail halkının / Ve kim büyük bir sevgiyle / Bize temiz olmamızı emretti / Ve kendimizi temizlememizi / Tüm yabancı maddelerden / Sen safsın / Ve bütün kulların / Saftır / Ve onların arasında / Hiçbir kirlilik yok / Tanrım </w:t>
      </w:r>
      <w:proofErr w:type="spellStart"/>
      <w:r w:rsidRPr="000B3B32">
        <w:rPr>
          <w:i/>
        </w:rPr>
        <w:t>Tanrım</w:t>
      </w:r>
      <w:proofErr w:type="spellEnd"/>
      <w:r w:rsidRPr="000B3B32">
        <w:rPr>
          <w:i/>
        </w:rPr>
        <w:t xml:space="preserve"> / Ben senin sadık hizmetçin ve kızın / Sevgiyle sakladım / Bugünkü emrinizi / Ve kendimi temizledim / Kirliliğimden / Arınmış olarak / Kocama gelip birleşebileyim / Onunla birlikte ışıltı içinde / Ve saf düşüncelerle ….”</w:t>
      </w:r>
      <w:r w:rsidRPr="003E5D51">
        <w:rPr>
          <w:i/>
          <w:sz w:val="20"/>
          <w:szCs w:val="20"/>
        </w:rPr>
        <w:fldChar w:fldCharType="begin"/>
      </w:r>
      <w:r w:rsidRPr="003E5D51">
        <w:rPr>
          <w:i/>
          <w:sz w:val="20"/>
          <w:szCs w:val="20"/>
        </w:rPr>
        <w:instrText xml:space="preserve"> ADDIN ZOTERO_ITEM CSL_CITATION {"citationID":"WAQJltQI","properties":{"formattedCitation":"(Kay, 2004, ss. 158-160)","plainCitation":"(Kay, 2004, ss. 158-160)","noteIndex":0},"citationItems":[{"id":58,"uris":["http://zotero.org/users/16525729/items/AMPARZB5"],"itemData":{"id":58,"type":"book","abstract":"Access 135+ million publications and connect with 20+ million researchers. Join for free and gain visibility by uploading your research.","event-place":"Philadelphia","language":"en","publisher":"The Jewish Publication Society","publisher-place":"Philadelphia","title":"Seyder Tkhines (The Forgotten Book of Common Prayer for Jewish Women)","title-short":"Seyder Tkhines","URL":"https://www.researchgate.net/publication/236792098_Seyder_Tkhines_The_Forgotten_Book_of_Common_Prayer_for_Jewish_Women_review","author":[{"family":"Kay","given":"Devra"}],"accessed":{"date-parts":[["2025",2,28]]},"issued":{"date-parts":[["2004"]]}},"locator":"158-160","label":"page"}],"schema":"https://github.com/citation-style-language/schema/raw/master/csl-citation.json"} </w:instrText>
      </w:r>
      <w:r w:rsidRPr="003E5D51">
        <w:rPr>
          <w:i/>
          <w:sz w:val="20"/>
          <w:szCs w:val="20"/>
        </w:rPr>
        <w:fldChar w:fldCharType="separate"/>
      </w:r>
      <w:r w:rsidRPr="003E5D51">
        <w:rPr>
          <w:sz w:val="20"/>
          <w:szCs w:val="20"/>
        </w:rPr>
        <w:t>(Kay, 2004, ss. 158-160)</w:t>
      </w:r>
      <w:r w:rsidRPr="003E5D51">
        <w:rPr>
          <w:i/>
          <w:sz w:val="20"/>
          <w:szCs w:val="20"/>
        </w:rPr>
        <w:fldChar w:fldCharType="end"/>
      </w:r>
      <w:r w:rsidRPr="000B3B32">
        <w:rPr>
          <w:i/>
        </w:rPr>
        <w:t xml:space="preserve"> </w:t>
      </w:r>
      <w:r w:rsidRPr="000B3B32">
        <w:t>şeklinde devam etmektedir.</w:t>
      </w:r>
    </w:p>
    <w:p w14:paraId="0BA8DC79" w14:textId="77777777" w:rsidR="0079785E" w:rsidRPr="000B3B32" w:rsidRDefault="0079785E" w:rsidP="0079785E">
      <w:pPr>
        <w:jc w:val="both"/>
      </w:pPr>
    </w:p>
    <w:p w14:paraId="6979A6DE" w14:textId="745E3CE7" w:rsidR="00FA457D" w:rsidRPr="00424346" w:rsidRDefault="00FA457D">
      <w:pPr>
        <w:pStyle w:val="ListeParagraf"/>
        <w:widowControl/>
        <w:numPr>
          <w:ilvl w:val="1"/>
          <w:numId w:val="34"/>
        </w:numPr>
        <w:autoSpaceDE/>
        <w:autoSpaceDN/>
        <w:jc w:val="both"/>
        <w:rPr>
          <w:b/>
        </w:rPr>
      </w:pPr>
      <w:r w:rsidRPr="00424346">
        <w:rPr>
          <w:b/>
        </w:rPr>
        <w:t xml:space="preserve">Bat </w:t>
      </w:r>
      <w:proofErr w:type="spellStart"/>
      <w:r w:rsidRPr="00424346">
        <w:rPr>
          <w:b/>
        </w:rPr>
        <w:t>Mitzva</w:t>
      </w:r>
      <w:proofErr w:type="spellEnd"/>
    </w:p>
    <w:p w14:paraId="7B039372" w14:textId="77777777" w:rsidR="00FA457D" w:rsidRPr="000B3B32" w:rsidRDefault="00FA457D" w:rsidP="0079785E">
      <w:pPr>
        <w:jc w:val="both"/>
      </w:pPr>
      <w:r w:rsidRPr="000B3B32">
        <w:t xml:space="preserve">Yahudi din adamlarına göre kızlar fiziksel ve duygusal açıdan erkeklerden önce olgunluğa eriştikleri için 12 yaşını tamamladıklarında Yahudi dininin yükümlülüklerinden sorumlu olmaktadırlar. Ancak kadınlar erkeklerle aynı ibadet ve sorumluluklara sahip olmadıkları için bar </w:t>
      </w:r>
      <w:proofErr w:type="spellStart"/>
      <w:r w:rsidRPr="000B3B32">
        <w:t>mitzva</w:t>
      </w:r>
      <w:proofErr w:type="spellEnd"/>
      <w:r w:rsidRPr="000B3B32">
        <w:t xml:space="preserve"> törenine benzer bir </w:t>
      </w:r>
      <w:proofErr w:type="gramStart"/>
      <w:r w:rsidRPr="000B3B32">
        <w:t>resmi</w:t>
      </w:r>
      <w:proofErr w:type="gramEnd"/>
      <w:r w:rsidRPr="000B3B32">
        <w:t xml:space="preserve"> tören yapılmasına da ihtiyaç duyulmuyordu.</w:t>
      </w:r>
    </w:p>
    <w:p w14:paraId="533C85D5" w14:textId="77777777" w:rsidR="00FA457D" w:rsidRDefault="00FA457D" w:rsidP="0079785E">
      <w:pPr>
        <w:jc w:val="both"/>
      </w:pPr>
      <w:r w:rsidRPr="000B3B32">
        <w:t xml:space="preserve">On dokuzuncu </w:t>
      </w:r>
      <w:r>
        <w:t>yüzyıla</w:t>
      </w:r>
      <w:r w:rsidRPr="000B3B32">
        <w:t xml:space="preserve"> gelindiğinde bazı Yahudi aileleri kendi takvimlerine göre 12 yaşına </w:t>
      </w:r>
      <w:r w:rsidRPr="000B3B32">
        <w:lastRenderedPageBreak/>
        <w:t xml:space="preserve">gelmiş kızlarının doğum gününü özel bir yemek düzenleyerek sinagog dışı bir törenle kutladı. Günümüzde ise bu törenin Ortodoks olmayan sinagogların genelinde kızlar 13 yaşına eriştiklerinde yapıldığı görülmektedir. Sinagog içerisinde icra edilen ilk bat </w:t>
      </w:r>
      <w:proofErr w:type="spellStart"/>
      <w:r w:rsidRPr="000B3B32">
        <w:t>mitzva</w:t>
      </w:r>
      <w:proofErr w:type="spellEnd"/>
      <w:r w:rsidRPr="000B3B32">
        <w:t xml:space="preserve"> töreni ise Yahudi İlahiyat Fakültesi profesörü Haham </w:t>
      </w:r>
      <w:proofErr w:type="spellStart"/>
      <w:r w:rsidRPr="000B3B32">
        <w:t>Mordecai</w:t>
      </w:r>
      <w:proofErr w:type="spellEnd"/>
      <w:r w:rsidRPr="000B3B32">
        <w:t xml:space="preserve"> Kaplan’ın kızı Judith için 1922 yılında yapılmıştır.</w:t>
      </w:r>
      <w:r w:rsidRPr="00292237">
        <w:rPr>
          <w:sz w:val="20"/>
          <w:szCs w:val="20"/>
        </w:rPr>
        <w:fldChar w:fldCharType="begin"/>
      </w:r>
      <w:r w:rsidRPr="00292237">
        <w:rPr>
          <w:sz w:val="20"/>
          <w:szCs w:val="20"/>
        </w:rPr>
        <w:instrText xml:space="preserve"> ADDIN ZOTERO_ITEM CSL_CITATION {"citationID":"28sbOY4o","properties":{"formattedCitation":"(Eisenberg, 2004, s. 26)","plainCitation":"(Eisenberg, 2004, s. 26)","noteIndex":0},"citationItems":[{"id":20,"uris":["http://zotero.org/users/16525729/items/SH243MZ7"],"itemData":{"id":20,"type":"book","abstract":"Thanks to these generous donors for making the publication of this book possible:Miles z”l and Chris Lerman; David Lerman and Shelley WallockThe bestselling guide to understanding Jewish traditions, now in paperback This is a comprehensive and authoritative resource with ready answers to questions about almost all aspects of Jewish life and practice: life-cycle events, holidays, ritual and prayer, Jewish traditions and customs, and more. Ronald Eisenberg has distilled an immense amount of material from classic and contemporary sources into a single volume, which provides thousands of insights into the origins, history, and current interpretations of a wealth of Jewish traditions and customs. Divided into four sections—Synagogue and Prayers, Sabbaths and Festivals, Life-Cycle Events, and Miscellaneous (a large section that includes such diverse topics as Jewish literature, food, and plants and animals)—this is an encyclopedic reference for anyone who wants easily accessible, accurate information about all things Jewish. Eisenberg writes for a wide, diversified audience, and is respectful of the range of practices and beliefs within today's American Jewish community—from Orthodox to liberal.","edition":"First Edition","event-place":"Philadelphia","ISBN":"978-1-84549-329-5","language":"English","number-of-pages":"806","publisher":"The Jewish Publication Society","publisher-place":"Philadelphia","source":"Amazon","title":"The JPS Guide to Jewish Traditions","author":[{"family":"Eisenberg","given":"Dr Ronald L."}],"issued":{"date-parts":[["2004",10,4]]}},"locator":"26","label":"page"}],"schema":"https://github.com/citation-style-language/schema/raw/master/csl-citation.json"} </w:instrText>
      </w:r>
      <w:r w:rsidRPr="00292237">
        <w:rPr>
          <w:sz w:val="20"/>
          <w:szCs w:val="20"/>
        </w:rPr>
        <w:fldChar w:fldCharType="separate"/>
      </w:r>
      <w:r w:rsidRPr="00292237">
        <w:rPr>
          <w:sz w:val="20"/>
          <w:szCs w:val="20"/>
        </w:rPr>
        <w:t>(</w:t>
      </w:r>
      <w:proofErr w:type="spellStart"/>
      <w:r w:rsidRPr="00292237">
        <w:rPr>
          <w:sz w:val="20"/>
          <w:szCs w:val="20"/>
        </w:rPr>
        <w:t>Eisenberg</w:t>
      </w:r>
      <w:proofErr w:type="spellEnd"/>
      <w:r w:rsidRPr="00292237">
        <w:rPr>
          <w:sz w:val="20"/>
          <w:szCs w:val="20"/>
        </w:rPr>
        <w:t>, 2004, s. 26)</w:t>
      </w:r>
      <w:r w:rsidRPr="00292237">
        <w:rPr>
          <w:sz w:val="20"/>
          <w:szCs w:val="20"/>
        </w:rPr>
        <w:fldChar w:fldCharType="end"/>
      </w:r>
      <w:r w:rsidRPr="000B3B32">
        <w:t xml:space="preserve"> Aynı zamanda </w:t>
      </w:r>
      <w:proofErr w:type="spellStart"/>
      <w:r w:rsidRPr="000B3B32">
        <w:t>Society</w:t>
      </w:r>
      <w:proofErr w:type="spellEnd"/>
      <w:r w:rsidRPr="000B3B32">
        <w:t xml:space="preserve"> </w:t>
      </w:r>
      <w:proofErr w:type="spellStart"/>
      <w:r w:rsidRPr="000B3B32">
        <w:t>for</w:t>
      </w:r>
      <w:proofErr w:type="spellEnd"/>
      <w:r w:rsidRPr="000B3B32">
        <w:t xml:space="preserve"> </w:t>
      </w:r>
      <w:proofErr w:type="spellStart"/>
      <w:r w:rsidRPr="000B3B32">
        <w:t>Advancement</w:t>
      </w:r>
      <w:proofErr w:type="spellEnd"/>
      <w:r w:rsidRPr="000B3B32">
        <w:t xml:space="preserve"> of </w:t>
      </w:r>
      <w:proofErr w:type="spellStart"/>
      <w:r w:rsidRPr="000B3B32">
        <w:t>Judaism’in</w:t>
      </w:r>
      <w:proofErr w:type="spellEnd"/>
      <w:r w:rsidRPr="000B3B32">
        <w:t xml:space="preserve"> kurucu olan </w:t>
      </w:r>
      <w:proofErr w:type="spellStart"/>
      <w:r w:rsidRPr="000B3B32">
        <w:t>Mordecai</w:t>
      </w:r>
      <w:proofErr w:type="spellEnd"/>
      <w:r w:rsidRPr="000B3B32">
        <w:t xml:space="preserve"> Kaplan 18 Mart 1922’de on iki buçuk yaşında olan kızı için bir tören düzenlemek istemiş ve </w:t>
      </w:r>
      <w:proofErr w:type="spellStart"/>
      <w:r w:rsidRPr="000B3B32">
        <w:t>cematini</w:t>
      </w:r>
      <w:proofErr w:type="spellEnd"/>
      <w:r w:rsidRPr="000B3B32">
        <w:t xml:space="preserve"> yemeğe çağırmıştır. Yemek öncesi hazırlıklar için kızı Judith Kaplan Einstein şunları ifade etmiştir:</w:t>
      </w:r>
    </w:p>
    <w:p w14:paraId="01F7AE15" w14:textId="77777777" w:rsidR="0079785E" w:rsidRPr="000B3B32" w:rsidRDefault="0079785E" w:rsidP="0079785E">
      <w:pPr>
        <w:jc w:val="both"/>
      </w:pPr>
    </w:p>
    <w:p w14:paraId="53E71B50" w14:textId="77777777" w:rsidR="00FA457D" w:rsidRDefault="00FA457D" w:rsidP="0079785E">
      <w:pPr>
        <w:jc w:val="both"/>
        <w:rPr>
          <w:i/>
        </w:rPr>
      </w:pPr>
      <w:r w:rsidRPr="000B3B32">
        <w:rPr>
          <w:i/>
        </w:rPr>
        <w:t xml:space="preserve">“Prosedürün kendisi dışında her şey hazırlık aşamasındaydı. Cuma gecesi, </w:t>
      </w:r>
      <w:proofErr w:type="spellStart"/>
      <w:r w:rsidRPr="000B3B32">
        <w:rPr>
          <w:i/>
        </w:rPr>
        <w:t>Şabat</w:t>
      </w:r>
      <w:proofErr w:type="spellEnd"/>
      <w:r w:rsidRPr="000B3B32">
        <w:rPr>
          <w:i/>
        </w:rPr>
        <w:t xml:space="preserve"> yemeğinden sonra babam beni imtihana aldı; Tora okumalarından önce ve sonra gelen </w:t>
      </w:r>
      <w:proofErr w:type="spellStart"/>
      <w:r w:rsidRPr="000B3B32">
        <w:rPr>
          <w:i/>
        </w:rPr>
        <w:t>berahaları</w:t>
      </w:r>
      <w:proofErr w:type="spellEnd"/>
      <w:r w:rsidRPr="000B3B32">
        <w:rPr>
          <w:i/>
        </w:rPr>
        <w:t xml:space="preserve"> yüksek sesle okuttu. Haftalık kısımdan bir pasaj seçti. Diksiyonumu ne kadar da şiddetli bir şekilde düzeltiyordu… Daha sonra hem İbranice hem de İngilizce olarak okuduğum haftalık bölümden bir pasaj seçti.”</w:t>
      </w:r>
    </w:p>
    <w:p w14:paraId="02DF5185" w14:textId="77777777" w:rsidR="0079785E" w:rsidRPr="000B3B32" w:rsidRDefault="0079785E" w:rsidP="0079785E">
      <w:pPr>
        <w:jc w:val="both"/>
        <w:rPr>
          <w:i/>
        </w:rPr>
      </w:pPr>
    </w:p>
    <w:p w14:paraId="640FAB38" w14:textId="5E535789" w:rsidR="00FA457D" w:rsidRPr="000B3B32" w:rsidRDefault="00FA457D" w:rsidP="0079785E">
      <w:pPr>
        <w:jc w:val="both"/>
      </w:pPr>
      <w:r w:rsidRPr="000B3B32">
        <w:t xml:space="preserve">Yapılan törende </w:t>
      </w:r>
      <w:proofErr w:type="spellStart"/>
      <w:r w:rsidRPr="000B3B32">
        <w:t>Mordecai</w:t>
      </w:r>
      <w:proofErr w:type="spellEnd"/>
      <w:r w:rsidRPr="000B3B32">
        <w:t xml:space="preserve"> Kaplan Tevrat’tan bazı bölümler okurken kızı Judith de Tora </w:t>
      </w:r>
      <w:proofErr w:type="spellStart"/>
      <w:r w:rsidRPr="000B3B32">
        <w:t>berahalarını</w:t>
      </w:r>
      <w:proofErr w:type="spellEnd"/>
      <w:r w:rsidRPr="000B3B32">
        <w:t xml:space="preserve"> ve </w:t>
      </w:r>
      <w:proofErr w:type="spellStart"/>
      <w:r w:rsidRPr="000B3B32">
        <w:t>Siddur’dan</w:t>
      </w:r>
      <w:proofErr w:type="spellEnd"/>
      <w:r w:rsidRPr="000B3B32">
        <w:t xml:space="preserve"> bir kısım okumuştur.</w:t>
      </w:r>
      <w:r w:rsidRPr="00292237">
        <w:rPr>
          <w:sz w:val="20"/>
          <w:szCs w:val="20"/>
        </w:rPr>
        <w:fldChar w:fldCharType="begin"/>
      </w:r>
      <w:r w:rsidRPr="00292237">
        <w:rPr>
          <w:sz w:val="20"/>
          <w:szCs w:val="20"/>
        </w:rPr>
        <w:instrText xml:space="preserve"> ADDIN ZOTERO_ITEM CSL_CITATION {"citationID":"7BXBJVLG","properties":{"formattedCitation":"(Saliho\\uc0\\u287{}lu &amp; Bedir, 2019, ss. 184-185)","plainCitation":"(Salihoğlu &amp; Bedir, 2019, ss. 184-185)","noteIndex":0},"citationItems":[{"id":89,"uris":["http://zotero.org/users/16525729/items/WZ96UW3V"],"itemData":{"id":89,"type":"article-journal","abstract":"Yeniden Yapılanmacı hareketin kurucusu olan Mordecai Kaplan, fikirleri ve eserleri ile Amerikan Yahudi toplumu üzerinde oldukça etkili olmuştur. Kaplan, modernizmin Yahudi yaşamında bir parçalanma meydana getirdiğini gözlemlemiş ve Yahudiliği yeniden yapılandırarak bu dini modern müntesipleri için daha anlamlı bir hale getirmeye çalışmıştır. Bu amaçla kaleme aldığı Judaism as a Civilization adlı kitabında, Amerikan Yahudi yaşamını canlandırmak için kapsamlı bir yeniden yapılanma programı önermekle kalmamış, aynı zamanda yeni nesil Yahudilerin karşılaştığı zorlukların etkileyici bir analizini de sunmuştur. Bu kitabında Kaplan, Yahudiliği gelişen bir medeniyet olarak yeniden tanımlamış ve Yahudilik içerisinde farklı bir din yorumu geliştirmiştir. Bu anlayış çerçevesinde geliştirdiği sinagog merkezi, bat mitzva töreni gibi birçok kavram, Amerikan Yahudilerinin büyük bir çoğunluğu tarafından kabul edilmiştir. Kaplan ayrıca Yeniden Yapılanmacı hareket aracılığıyla Amerikan Yahudi toplumu içerisinde kadın haklarına ve cinsiyet eşitliğine yönelik pek çok yeniliğe de öncülük etmiştir.","container-title":"Oksident Dergisi","DOI":"10.5281/zenodo.3582402","ISSN":"2687-2749","issue":"2","language":"tr","note":"number: 2\npublisher: Muhammet TARAKCI","page":"171-192","source":"dergipark.org.tr","title":"Mordecai Kaplan’ın Yahudi Dinî Hayatında Yaptığı Yenilikler","volume":"1","author":[{"family":"Salihoğlu","given":"Mahmut"},{"family":"Bedir","given":"Şefaat"}],"issued":{"date-parts":[["2019",12,31]]}},"locator":"184-185","label":"page"}],"schema":"https://github.com/citation-style-language/schema/raw/master/csl-citation.json"} </w:instrText>
      </w:r>
      <w:r w:rsidRPr="00292237">
        <w:rPr>
          <w:sz w:val="20"/>
          <w:szCs w:val="20"/>
        </w:rPr>
        <w:fldChar w:fldCharType="separate"/>
      </w:r>
      <w:r w:rsidRPr="00292237">
        <w:rPr>
          <w:sz w:val="20"/>
          <w:szCs w:val="20"/>
        </w:rPr>
        <w:t>(Salihoğlu &amp; Bedir, 2019, ss. 184-185)</w:t>
      </w:r>
      <w:r w:rsidRPr="00292237">
        <w:rPr>
          <w:sz w:val="20"/>
          <w:szCs w:val="20"/>
        </w:rPr>
        <w:fldChar w:fldCharType="end"/>
      </w:r>
    </w:p>
    <w:p w14:paraId="48287768" w14:textId="77777777" w:rsidR="00FA457D" w:rsidRPr="000B3B32" w:rsidRDefault="00FA457D" w:rsidP="0079785E">
      <w:pPr>
        <w:jc w:val="both"/>
      </w:pPr>
      <w:r w:rsidRPr="000B3B32">
        <w:t xml:space="preserve">Bat </w:t>
      </w:r>
      <w:proofErr w:type="spellStart"/>
      <w:r w:rsidRPr="000B3B32">
        <w:t>mitzva</w:t>
      </w:r>
      <w:proofErr w:type="spellEnd"/>
      <w:r w:rsidRPr="000B3B32">
        <w:t xml:space="preserve"> töreninde okunan geleneksel dualardan biri şu şekildedir:</w:t>
      </w:r>
    </w:p>
    <w:p w14:paraId="5379B87B" w14:textId="77777777" w:rsidR="00FA457D" w:rsidRDefault="00FA457D" w:rsidP="0079785E">
      <w:pPr>
        <w:pStyle w:val="NormalWeb"/>
        <w:spacing w:before="0" w:beforeAutospacing="0" w:after="0" w:afterAutospacing="0"/>
        <w:jc w:val="both"/>
        <w:rPr>
          <w:i/>
        </w:rPr>
      </w:pPr>
      <w:r w:rsidRPr="000B3B32">
        <w:rPr>
          <w:i/>
          <w:iCs/>
        </w:rPr>
        <w:t xml:space="preserve">Baruch </w:t>
      </w:r>
      <w:proofErr w:type="spellStart"/>
      <w:r w:rsidRPr="000B3B32">
        <w:rPr>
          <w:i/>
          <w:iCs/>
        </w:rPr>
        <w:t>atah</w:t>
      </w:r>
      <w:proofErr w:type="spellEnd"/>
      <w:r w:rsidRPr="000B3B32">
        <w:rPr>
          <w:i/>
          <w:iCs/>
        </w:rPr>
        <w:t xml:space="preserve"> Adonai Eloheinu </w:t>
      </w:r>
      <w:proofErr w:type="spellStart"/>
      <w:r w:rsidRPr="000B3B32">
        <w:rPr>
          <w:i/>
          <w:iCs/>
        </w:rPr>
        <w:t>melech</w:t>
      </w:r>
      <w:proofErr w:type="spellEnd"/>
      <w:r w:rsidRPr="000B3B32">
        <w:rPr>
          <w:i/>
          <w:iCs/>
        </w:rPr>
        <w:t xml:space="preserve"> </w:t>
      </w:r>
      <w:proofErr w:type="spellStart"/>
      <w:r w:rsidRPr="000B3B32">
        <w:rPr>
          <w:i/>
          <w:iCs/>
        </w:rPr>
        <w:t>ha’olam</w:t>
      </w:r>
      <w:proofErr w:type="spellEnd"/>
      <w:r w:rsidRPr="000B3B32">
        <w:rPr>
          <w:i/>
          <w:iCs/>
        </w:rPr>
        <w:t xml:space="preserve">, /Ne </w:t>
      </w:r>
      <w:proofErr w:type="spellStart"/>
      <w:r w:rsidRPr="000B3B32">
        <w:rPr>
          <w:i/>
          <w:iCs/>
        </w:rPr>
        <w:t>mutlu</w:t>
      </w:r>
      <w:proofErr w:type="spellEnd"/>
      <w:r w:rsidRPr="000B3B32">
        <w:rPr>
          <w:i/>
          <w:iCs/>
        </w:rPr>
        <w:t xml:space="preserve"> sana </w:t>
      </w:r>
      <w:proofErr w:type="spellStart"/>
      <w:r w:rsidRPr="000B3B32">
        <w:rPr>
          <w:i/>
          <w:iCs/>
        </w:rPr>
        <w:t>Tanrımız</w:t>
      </w:r>
      <w:proofErr w:type="spellEnd"/>
      <w:r w:rsidRPr="000B3B32">
        <w:rPr>
          <w:i/>
          <w:iCs/>
        </w:rPr>
        <w:t xml:space="preserve"> Adonai, </w:t>
      </w:r>
      <w:proofErr w:type="spellStart"/>
      <w:r w:rsidRPr="000B3B32">
        <w:rPr>
          <w:i/>
          <w:iCs/>
        </w:rPr>
        <w:t>evrenin</w:t>
      </w:r>
      <w:proofErr w:type="spellEnd"/>
      <w:r w:rsidRPr="000B3B32">
        <w:rPr>
          <w:i/>
          <w:iCs/>
        </w:rPr>
        <w:t xml:space="preserve"> </w:t>
      </w:r>
      <w:proofErr w:type="spellStart"/>
      <w:r w:rsidRPr="000B3B32">
        <w:rPr>
          <w:i/>
          <w:iCs/>
        </w:rPr>
        <w:t>kralı</w:t>
      </w:r>
      <w:proofErr w:type="spellEnd"/>
      <w:r w:rsidRPr="000B3B32">
        <w:rPr>
          <w:i/>
          <w:iCs/>
        </w:rPr>
        <w:br/>
      </w:r>
      <w:proofErr w:type="spellStart"/>
      <w:r w:rsidRPr="000B3B32">
        <w:rPr>
          <w:i/>
          <w:iCs/>
        </w:rPr>
        <w:t>Shehecheyanu</w:t>
      </w:r>
      <w:proofErr w:type="spellEnd"/>
      <w:r w:rsidRPr="000B3B32">
        <w:rPr>
          <w:i/>
          <w:iCs/>
        </w:rPr>
        <w:t xml:space="preserve"> </w:t>
      </w:r>
      <w:proofErr w:type="spellStart"/>
      <w:r w:rsidRPr="000B3B32">
        <w:rPr>
          <w:i/>
          <w:iCs/>
        </w:rPr>
        <w:t>v’kiyemanu</w:t>
      </w:r>
      <w:proofErr w:type="spellEnd"/>
      <w:r w:rsidRPr="000B3B32">
        <w:rPr>
          <w:i/>
          <w:iCs/>
        </w:rPr>
        <w:t xml:space="preserve"> </w:t>
      </w:r>
      <w:proofErr w:type="spellStart"/>
      <w:r w:rsidRPr="000B3B32">
        <w:rPr>
          <w:i/>
          <w:iCs/>
        </w:rPr>
        <w:t>v’higi’anu</w:t>
      </w:r>
      <w:proofErr w:type="spellEnd"/>
      <w:r w:rsidRPr="000B3B32">
        <w:rPr>
          <w:i/>
          <w:iCs/>
        </w:rPr>
        <w:t xml:space="preserve"> </w:t>
      </w:r>
      <w:proofErr w:type="spellStart"/>
      <w:r w:rsidRPr="000B3B32">
        <w:rPr>
          <w:i/>
          <w:iCs/>
        </w:rPr>
        <w:t>lazman</w:t>
      </w:r>
      <w:proofErr w:type="spellEnd"/>
      <w:r w:rsidRPr="000B3B32">
        <w:rPr>
          <w:i/>
          <w:iCs/>
        </w:rPr>
        <w:t xml:space="preserve"> </w:t>
      </w:r>
      <w:proofErr w:type="spellStart"/>
      <w:r w:rsidRPr="000B3B32">
        <w:rPr>
          <w:i/>
          <w:iCs/>
        </w:rPr>
        <w:t>hazeh</w:t>
      </w:r>
      <w:proofErr w:type="spellEnd"/>
      <w:r w:rsidRPr="000B3B32">
        <w:t>. /</w:t>
      </w:r>
      <w:r w:rsidRPr="000B3B32">
        <w:rPr>
          <w:i/>
        </w:rPr>
        <w:t xml:space="preserve">Bize </w:t>
      </w:r>
      <w:proofErr w:type="spellStart"/>
      <w:r w:rsidRPr="000B3B32">
        <w:rPr>
          <w:i/>
        </w:rPr>
        <w:t>hayat</w:t>
      </w:r>
      <w:proofErr w:type="spellEnd"/>
      <w:r w:rsidRPr="000B3B32">
        <w:rPr>
          <w:i/>
        </w:rPr>
        <w:t xml:space="preserve"> </w:t>
      </w:r>
      <w:proofErr w:type="spellStart"/>
      <w:r w:rsidRPr="000B3B32">
        <w:rPr>
          <w:i/>
        </w:rPr>
        <w:t>veren</w:t>
      </w:r>
      <w:proofErr w:type="spellEnd"/>
      <w:r w:rsidRPr="000B3B32">
        <w:rPr>
          <w:i/>
        </w:rPr>
        <w:t xml:space="preserve">, </w:t>
      </w:r>
      <w:proofErr w:type="spellStart"/>
      <w:r w:rsidRPr="000B3B32">
        <w:rPr>
          <w:i/>
        </w:rPr>
        <w:t>bizi</w:t>
      </w:r>
      <w:proofErr w:type="spellEnd"/>
      <w:r w:rsidRPr="000B3B32">
        <w:rPr>
          <w:i/>
        </w:rPr>
        <w:t xml:space="preserve"> </w:t>
      </w:r>
      <w:proofErr w:type="spellStart"/>
      <w:r w:rsidRPr="000B3B32">
        <w:rPr>
          <w:i/>
        </w:rPr>
        <w:t>ayakta</w:t>
      </w:r>
      <w:proofErr w:type="spellEnd"/>
      <w:r w:rsidRPr="000B3B32">
        <w:rPr>
          <w:i/>
        </w:rPr>
        <w:t xml:space="preserve"> </w:t>
      </w:r>
      <w:proofErr w:type="spellStart"/>
      <w:r w:rsidRPr="000B3B32">
        <w:rPr>
          <w:i/>
        </w:rPr>
        <w:t>tutan</w:t>
      </w:r>
      <w:proofErr w:type="spellEnd"/>
      <w:r w:rsidRPr="000B3B32">
        <w:rPr>
          <w:i/>
        </w:rPr>
        <w:t xml:space="preserve"> </w:t>
      </w:r>
      <w:proofErr w:type="spellStart"/>
      <w:r w:rsidRPr="000B3B32">
        <w:rPr>
          <w:i/>
        </w:rPr>
        <w:t>bu</w:t>
      </w:r>
      <w:proofErr w:type="spellEnd"/>
      <w:r w:rsidRPr="000B3B32">
        <w:rPr>
          <w:i/>
        </w:rPr>
        <w:t xml:space="preserve"> ana </w:t>
      </w:r>
      <w:proofErr w:type="spellStart"/>
      <w:r w:rsidRPr="000B3B32">
        <w:rPr>
          <w:i/>
        </w:rPr>
        <w:t>getiren</w:t>
      </w:r>
      <w:proofErr w:type="spellEnd"/>
    </w:p>
    <w:p w14:paraId="5FA195CE" w14:textId="77777777" w:rsidR="0079785E" w:rsidRPr="000B3B32" w:rsidRDefault="0079785E" w:rsidP="0079785E">
      <w:pPr>
        <w:pStyle w:val="NormalWeb"/>
        <w:spacing w:before="0" w:beforeAutospacing="0" w:after="0" w:afterAutospacing="0"/>
        <w:jc w:val="both"/>
        <w:rPr>
          <w:i/>
        </w:rPr>
      </w:pPr>
    </w:p>
    <w:p w14:paraId="7FA72F81" w14:textId="3E521915" w:rsidR="00FA457D" w:rsidRDefault="00FA457D" w:rsidP="0079785E">
      <w:pPr>
        <w:jc w:val="both"/>
        <w:rPr>
          <w:sz w:val="20"/>
          <w:szCs w:val="20"/>
        </w:rPr>
      </w:pPr>
      <w:r w:rsidRPr="000B3B32">
        <w:t xml:space="preserve">Günümüzde gerçekleşen bat </w:t>
      </w:r>
      <w:proofErr w:type="spellStart"/>
      <w:r w:rsidRPr="000B3B32">
        <w:t>mitzva</w:t>
      </w:r>
      <w:proofErr w:type="spellEnd"/>
      <w:r w:rsidRPr="000B3B32">
        <w:t xml:space="preserve"> kutlamaları değişiklik göstermektedir. Bu kutlamalar bazen kendi aralarında yapılan küçük bir davet gibi yapılırken bazen de büyük bir şöleni andırmaktadır. Bat </w:t>
      </w:r>
      <w:proofErr w:type="spellStart"/>
      <w:r w:rsidRPr="000B3B32">
        <w:t>mitzva</w:t>
      </w:r>
      <w:proofErr w:type="spellEnd"/>
      <w:r w:rsidRPr="000B3B32">
        <w:t xml:space="preserve"> kızı bu töreni ailesiyle yapabildiği gibi arkadaşlarını da törene çağırabilir. Bu törende bat </w:t>
      </w:r>
      <w:proofErr w:type="spellStart"/>
      <w:r w:rsidRPr="000B3B32">
        <w:t>mitzva</w:t>
      </w:r>
      <w:proofErr w:type="spellEnd"/>
      <w:r w:rsidRPr="000B3B32">
        <w:t xml:space="preserve"> kızının bir konuşma hazırlanması beklenir. Törendeki bu konuşmada </w:t>
      </w:r>
      <w:proofErr w:type="spellStart"/>
      <w:r w:rsidRPr="000B3B32">
        <w:t>Tora’dan</w:t>
      </w:r>
      <w:proofErr w:type="spellEnd"/>
      <w:r w:rsidRPr="000B3B32">
        <w:t xml:space="preserve"> bazı bölümler okunduğu gibi Yahudi geleneğindeki önemli kadınların hayat hikayeleri, bat </w:t>
      </w:r>
      <w:proofErr w:type="spellStart"/>
      <w:r w:rsidRPr="000B3B32">
        <w:t>mitzva</w:t>
      </w:r>
      <w:proofErr w:type="spellEnd"/>
      <w:r w:rsidRPr="000B3B32">
        <w:t xml:space="preserve"> kızının gelenekteki durumu da anlatılabilir. Törene katılanlar bat </w:t>
      </w:r>
      <w:proofErr w:type="spellStart"/>
      <w:r w:rsidRPr="000B3B32">
        <w:t>mitzva</w:t>
      </w:r>
      <w:proofErr w:type="spellEnd"/>
      <w:r w:rsidRPr="000B3B32">
        <w:t xml:space="preserve"> kızına hediye alabilirler. Hediyeler dinî kitap ve objelerden olabildiği gibi para da olabilir. Ayrıca kız bugünden sonra ilk defa </w:t>
      </w:r>
      <w:proofErr w:type="spellStart"/>
      <w:r w:rsidRPr="000B3B32">
        <w:t>Şabat</w:t>
      </w:r>
      <w:proofErr w:type="spellEnd"/>
      <w:r w:rsidRPr="000B3B32">
        <w:t xml:space="preserve"> mumu yakacak ise hediye olarak şamdan alınır.</w:t>
      </w:r>
      <w:r w:rsidRPr="00292237">
        <w:rPr>
          <w:sz w:val="20"/>
          <w:szCs w:val="20"/>
        </w:rPr>
        <w:fldChar w:fldCharType="begin"/>
      </w:r>
      <w:r w:rsidRPr="00292237">
        <w:rPr>
          <w:sz w:val="20"/>
          <w:szCs w:val="20"/>
        </w:rPr>
        <w:instrText xml:space="preserve"> ADDIN ZOTERO_ITEM CSL_CITATION {"citationID":"fzImGLT5","properties":{"formattedCitation":"({\\i{}Bat Mitzvah}, t.y.)","plainCitation":"(Bat Mitzvah, t.y.)","noteIndex":0},"citationItems":[{"id":14,"uris":["http://zotero.org/users/16525729/items/B3GNMERS"],"itemData":{"id":14,"type":"webpage","abstract":"Official homepage for worldwide Chabad-Lubavitch movement that promotes Judaism and provides daily Torah lectures and Jewish insights. Chabad-Lubavitch is a philosophy, a movement, and an organization. Chabad is considered to be the most dynamic force in Jewish life today.","container-title":"Chabad","language":"en","title":"Bat Mitzvah","URL":"https://www.chabad.org/","accessed":{"date-parts":[["2025",2,26]]}}}],"schema":"https://github.com/citation-style-language/schema/raw/master/csl-citation.json"}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Bat Mitzvah</w:t>
      </w:r>
      <w:r w:rsidRPr="00292237">
        <w:rPr>
          <w:sz w:val="20"/>
          <w:szCs w:val="20"/>
        </w:rPr>
        <w:t>, t.y.)</w:t>
      </w:r>
      <w:r w:rsidRPr="00292237">
        <w:rPr>
          <w:sz w:val="20"/>
          <w:szCs w:val="20"/>
        </w:rPr>
        <w:fldChar w:fldCharType="end"/>
      </w:r>
    </w:p>
    <w:p w14:paraId="0326544D" w14:textId="77777777" w:rsidR="0079785E" w:rsidRPr="000B3B32" w:rsidRDefault="0079785E" w:rsidP="0079785E">
      <w:pPr>
        <w:jc w:val="both"/>
      </w:pPr>
    </w:p>
    <w:p w14:paraId="4BD66C7C" w14:textId="6E990D33" w:rsidR="00FA457D" w:rsidRDefault="00FA457D" w:rsidP="0079785E">
      <w:pPr>
        <w:jc w:val="both"/>
        <w:rPr>
          <w:sz w:val="20"/>
          <w:szCs w:val="20"/>
        </w:rPr>
      </w:pPr>
      <w:r w:rsidRPr="000B3B32">
        <w:t xml:space="preserve">Bat </w:t>
      </w:r>
      <w:proofErr w:type="spellStart"/>
      <w:r w:rsidRPr="000B3B32">
        <w:t>mitzva</w:t>
      </w:r>
      <w:proofErr w:type="spellEnd"/>
      <w:r w:rsidRPr="000B3B32">
        <w:t xml:space="preserve"> töreninin Türkiye’de yapılışına bakılacak olursa </w:t>
      </w:r>
      <w:proofErr w:type="spellStart"/>
      <w:r w:rsidRPr="000B3B32">
        <w:t>mitzva</w:t>
      </w:r>
      <w:proofErr w:type="spellEnd"/>
      <w:r w:rsidRPr="000B3B32">
        <w:t xml:space="preserve"> töreni için kızlar </w:t>
      </w:r>
      <w:proofErr w:type="gramStart"/>
      <w:r w:rsidRPr="000B3B32">
        <w:t>Cumartesi</w:t>
      </w:r>
      <w:proofErr w:type="gramEnd"/>
      <w:r w:rsidRPr="000B3B32">
        <w:t xml:space="preserve"> günü beyaz elbiseler giyerek sinagoga gelirler. Sinagogda </w:t>
      </w:r>
      <w:proofErr w:type="spellStart"/>
      <w:r w:rsidRPr="000B3B32">
        <w:t>tevaya</w:t>
      </w:r>
      <w:proofErr w:type="spellEnd"/>
      <w:r w:rsidRPr="000B3B32">
        <w:t xml:space="preserve"> çıkarak bugün için özel olarak hazırladıkları konuşmayı yaparlar hem İbranice hem de Türkçe olarak bar </w:t>
      </w:r>
      <w:proofErr w:type="spellStart"/>
      <w:r w:rsidRPr="000B3B32">
        <w:t>mitzva</w:t>
      </w:r>
      <w:proofErr w:type="spellEnd"/>
      <w:r w:rsidRPr="000B3B32">
        <w:t xml:space="preserve"> duası okurlar. Bat </w:t>
      </w:r>
      <w:proofErr w:type="spellStart"/>
      <w:r w:rsidRPr="000B3B32">
        <w:t>mitzva</w:t>
      </w:r>
      <w:proofErr w:type="spellEnd"/>
      <w:r w:rsidRPr="000B3B32">
        <w:t xml:space="preserve"> töreninin Yahudilik için önemi, Yahudi olma bilincinin gençlere kazandırılıp ihya edilmesini sağlamaktır.</w:t>
      </w:r>
      <w:r w:rsidRPr="00292237">
        <w:rPr>
          <w:sz w:val="20"/>
          <w:szCs w:val="20"/>
        </w:rPr>
        <w:fldChar w:fldCharType="begin"/>
      </w:r>
      <w:r w:rsidRPr="00292237">
        <w:rPr>
          <w:sz w:val="20"/>
          <w:szCs w:val="20"/>
        </w:rPr>
        <w:instrText xml:space="preserve"> ADDIN ZOTERO_ITEM CSL_CITATION {"citationID":"9bfD9D0Q","properties":{"formattedCitation":"(\\uc0\\u220{}nal &amp; Ero\\uc0\\u287{}lu, 2016, ss. 352-353)","plainCitation":"(Ünal &amp; Eroğlu, 2016, ss. 352-353)","noteIndex":0},"citationItems":[{"id":105,"uris":["http://zotero.org/users/16525729/items/4RBUKJ5Y"],"itemData":{"id":105,"type":"chapter","abstract":"Bat Mitsva ve Günümüzde Yahudi Kadının Cemaate Katılımı pdf","container-title":"Türkiye'de Dinler Tarihinin Kurumsallaşması Sürecinde Prof. Dr. Abdurrahman Küçük","event-place":"Ankara","publisher":"Berikan Yayınevi","publisher-place":"Ankara","source":"www.academia.edu","title":"Bat Mitsva ve Günümüzde Yahudi Kadının Cemaate Katılımı","author":[{"family":"Ünal","given":"Asife"},{"family":"Eroğlu","given":"Ahmet Hikmet (ed)"}],"accessed":{"date-parts":[["2025",2,28]]},"issued":{"date-parts":[["2016"]]}},"locator":"352-353","label":"page"}],"schema":"https://github.com/citation-style-language/schema/raw/master/csl-citation.json"} </w:instrText>
      </w:r>
      <w:r w:rsidRPr="00292237">
        <w:rPr>
          <w:sz w:val="20"/>
          <w:szCs w:val="20"/>
        </w:rPr>
        <w:fldChar w:fldCharType="separate"/>
      </w:r>
      <w:r w:rsidRPr="00292237">
        <w:rPr>
          <w:sz w:val="20"/>
          <w:szCs w:val="20"/>
        </w:rPr>
        <w:t>(Ünal &amp; Eroğlu, 2016, ss. 352-353)</w:t>
      </w:r>
      <w:r w:rsidRPr="00292237">
        <w:rPr>
          <w:sz w:val="20"/>
          <w:szCs w:val="20"/>
        </w:rPr>
        <w:fldChar w:fldCharType="end"/>
      </w:r>
    </w:p>
    <w:p w14:paraId="7AF9C2C3" w14:textId="77777777" w:rsidR="0079785E" w:rsidRPr="000B3B32" w:rsidRDefault="0079785E" w:rsidP="0079785E">
      <w:pPr>
        <w:jc w:val="both"/>
      </w:pPr>
    </w:p>
    <w:p w14:paraId="7C0CBE5D" w14:textId="77777777" w:rsidR="00FA457D" w:rsidRPr="00424346" w:rsidRDefault="00FA457D">
      <w:pPr>
        <w:pStyle w:val="ListeParagraf"/>
        <w:widowControl/>
        <w:numPr>
          <w:ilvl w:val="1"/>
          <w:numId w:val="34"/>
        </w:numPr>
        <w:autoSpaceDE/>
        <w:autoSpaceDN/>
        <w:jc w:val="both"/>
        <w:rPr>
          <w:b/>
        </w:rPr>
      </w:pPr>
      <w:r w:rsidRPr="00424346">
        <w:rPr>
          <w:b/>
        </w:rPr>
        <w:t>Hamilelik ve Doğum Esnasında Yapılan Dualar</w:t>
      </w:r>
    </w:p>
    <w:p w14:paraId="0FEFF684" w14:textId="77777777" w:rsidR="00FA457D" w:rsidRDefault="00FA457D" w:rsidP="0079785E">
      <w:pPr>
        <w:jc w:val="both"/>
      </w:pPr>
      <w:proofErr w:type="spellStart"/>
      <w:r w:rsidRPr="000B3B32">
        <w:t>Yahudilik’te</w:t>
      </w:r>
      <w:proofErr w:type="spellEnd"/>
      <w:r w:rsidRPr="000B3B32">
        <w:t xml:space="preserve"> çocuk sahibi olmak Tevrat metinlerinde geçen teşvik edici emirlerden dolayı oldukça önemlidir. Dolayısıyla çocuk sahibi olmaktan kaçınmak veya buna dair önlemler almak Yahudi dininde hoş karşılanmamaktadır. Bu nedenle Yahudi bir kadın çocuk sahibi olmak istemesine rağmen çocuğu olmadığında dua etme ihtiyacı hissetmektedir. Buna dair bir dua örneği Yahudi dua kitabı olan </w:t>
      </w:r>
      <w:proofErr w:type="spellStart"/>
      <w:r w:rsidRPr="000B3B32">
        <w:t>Siddur’da</w:t>
      </w:r>
      <w:proofErr w:type="spellEnd"/>
      <w:r w:rsidRPr="000B3B32">
        <w:t xml:space="preserve"> yer almaktadır.</w:t>
      </w:r>
    </w:p>
    <w:p w14:paraId="5BBCE59B" w14:textId="77777777" w:rsidR="0079785E" w:rsidRPr="000B3B32" w:rsidRDefault="0079785E" w:rsidP="0079785E">
      <w:pPr>
        <w:jc w:val="both"/>
      </w:pPr>
    </w:p>
    <w:p w14:paraId="03D0DBD5" w14:textId="77777777" w:rsidR="00FA457D" w:rsidRPr="000B3B32" w:rsidRDefault="00FA457D" w:rsidP="0079785E">
      <w:pPr>
        <w:jc w:val="both"/>
      </w:pPr>
      <w:r w:rsidRPr="000B3B32">
        <w:t xml:space="preserve">Çocuğu olmayan kadınlar için </w:t>
      </w:r>
      <w:proofErr w:type="spellStart"/>
      <w:r w:rsidRPr="000B3B32">
        <w:t>Siddur’da</w:t>
      </w:r>
      <w:proofErr w:type="spellEnd"/>
      <w:r w:rsidRPr="000B3B32">
        <w:t xml:space="preserve"> geçen bir </w:t>
      </w:r>
      <w:proofErr w:type="spellStart"/>
      <w:r w:rsidRPr="000B3B32">
        <w:t>tkhine</w:t>
      </w:r>
      <w:proofErr w:type="spellEnd"/>
      <w:r w:rsidRPr="000B3B32">
        <w:t xml:space="preserve"> şu şekildedir:</w:t>
      </w:r>
    </w:p>
    <w:p w14:paraId="7E8E1E7E" w14:textId="009C3DD0" w:rsidR="00FA457D" w:rsidRDefault="00FA457D" w:rsidP="0079785E">
      <w:pPr>
        <w:jc w:val="both"/>
        <w:rPr>
          <w:i/>
        </w:rPr>
      </w:pPr>
      <w:r w:rsidRPr="000B3B32">
        <w:rPr>
          <w:i/>
        </w:rPr>
        <w:t xml:space="preserve">“Tanrım ve atalarımın Tanrısı beni çamurdan yarattın ve bana bir ruh, bu dünyada bir hayat </w:t>
      </w:r>
      <w:r w:rsidRPr="000B3B32">
        <w:rPr>
          <w:i/>
        </w:rPr>
        <w:lastRenderedPageBreak/>
        <w:t xml:space="preserve">ve her şeyi büyük bir rahmetle verdin. Ama sen beni, ne yazık ki bana çocuklar verilmediği için bir bakıma işe yaramaz bir kap haline getirdin. Hayatım ne kadar acı! Meyve vermeyen büyümüş bir ağaç gibiyim. Üzerimde büyük bir acı var ve bunu paylaşacak kimsem yok. Yer ve gök benim adıma ağıt yaksın diye yalvarıyorum çünkü yıllarım duman gibi kayıp gidiyor. Yine de üzüntümden dolayı dünyayı suçlamıyorum. Ahiret gününe layık olabilmek için, büyük günahlarımla bağışlanma dileyerek (sana) gelmeyecek miyim? Vay benim hayattım! Gözlerimden yaşlar akıyor; yüreğim ne kadar kederli! Mutlu olamıyorum. Yıllarıma ve doğduğum güne ağıt yakıyorum, sızlanıyorum. Ne konuşabilirim veya söyleyebilirim? Acımı kim iyileştirebilir ve acı hayatımı düzeltebilir? Bana çok sevgi dolu, şefkat ve merhamet gösterdin. İşe yaramaz olmama rağmen beni büyüttün. Üzücü hayatımı düşün ve sevgili Tanrım günahlarımı bağışla. Eğer dünya nimetlerine layık değilsem, bari ahirette layık olayım ki ruhum orada utanmasın. Kozmosun efendisi, acı kalbimi senden önce söylemeliyim. Kime kızacağım? Kimi suçlayacağım? Ben doğayım diye giyinip babama güzel görünen annem mi? Niyeti cennetin iyiliği için, senin isteğini yerine getirmekti, böylece dünya boş bir çorak arazi değil, insanlarla dolu bir yer olacaktı. Altında doğduğum kötü </w:t>
      </w:r>
      <w:proofErr w:type="spellStart"/>
      <w:r w:rsidRPr="000B3B32">
        <w:rPr>
          <w:i/>
        </w:rPr>
        <w:t>mazeli</w:t>
      </w:r>
      <w:proofErr w:type="spellEnd"/>
      <w:r w:rsidRPr="000B3B32">
        <w:rPr>
          <w:i/>
        </w:rPr>
        <w:t xml:space="preserve"> mi suçlayacağım? Tüm kaderler senin emirlerini yerine getirmeli çünkü göklerin tüm orduları sana boyun eğiyor ve emirlerine uyuyor. Ebeveyni mi suçlayacağım? Hayır, herkes sizin tarafınızdan kendisine atanan rolünü yerine getirdi. Görevlerini yerine getirdiler ve benim size hizmet etmek ve dünyadaki (hayatı) çoğaltmak için çocuk doğurmak için uygun şekilde yaratılmamı sağladılar. Birçok günahımdan dolayı tamamen yalnız olmam Tanrı’nın isteğidir. Günah işlediğim için kimseye kızamam, sadece kendime kızarım. Kalbim ne kadar üzgün! Sular evimi kapladı! Etrafıma bakıyorum ve sığınabileceğim Yaratıcım olan senden başka kimseyi göremiyorum. Zamanı gelince kendimi ve ruhumu senin ellerine bırakacağım. Beni büyük bir şefkat ve merhametle karşıla. İtiraflarımı ve doğduğum gün için ağladığım sıcak gözyaşlarımı kabul et. Ruhumu şiddetli azaptan ve </w:t>
      </w:r>
      <w:proofErr w:type="spellStart"/>
      <w:r w:rsidRPr="000B3B32">
        <w:rPr>
          <w:i/>
        </w:rPr>
        <w:t>Cehennem’den</w:t>
      </w:r>
      <w:proofErr w:type="spellEnd"/>
      <w:r w:rsidRPr="000B3B32">
        <w:rPr>
          <w:i/>
        </w:rPr>
        <w:t xml:space="preserve"> kurtar. (Ruhum) Şeytan’dan korunsun ve kanatlarının altında sonsuz sığınak bulsun. Amin” </w:t>
      </w:r>
      <w:r w:rsidRPr="000B3B32">
        <w:rPr>
          <w:i/>
        </w:rPr>
        <w:fldChar w:fldCharType="begin"/>
      </w:r>
      <w:r w:rsidRPr="000B3B32">
        <w:rPr>
          <w:i/>
        </w:rPr>
        <w:instrText xml:space="preserve"> ADDIN ZOTERO_ITEM CSL_CITATION {"citationID":"CJjt4c3e","properties":{"formattedCitation":"({\\i{}Gebelik, Hamilelik ve Do\\uc0\\u287{}um}, 2025)","plainCitation":"(Gebelik, Hamilelik ve Doğum, 2025)","noteIndex":0},"citationItems":[{"id":81,"uris":["http://zotero.org/users/16525729/items/NVUR5V62"],"itemData":{"id":81,"type":"webpage","abstract":"A non-denominational and non-prescriptive libré Open Access archive of Jewish prayers composed in every era, region, and language Jews have ever prayed.","container-title":"Open Siddur","language":"en-US","title":"Gebelik, Hamilelik ve Doğum","URL":"https://opensiddur.org/","accessed":{"date-parts":[["2025",2,28]]},"issued":{"date-parts":[["2025",2,28]]}}}],"schema":"https://github.com/citation-style-language/schema/raw/master/csl-citation.json"} </w:instrText>
      </w:r>
      <w:r w:rsidRPr="000B3B32">
        <w:rPr>
          <w:i/>
        </w:rPr>
        <w:fldChar w:fldCharType="separate"/>
      </w:r>
      <w:r w:rsidRPr="00292237">
        <w:rPr>
          <w:sz w:val="20"/>
          <w:szCs w:val="20"/>
        </w:rPr>
        <w:t>(</w:t>
      </w:r>
      <w:r w:rsidRPr="00292237">
        <w:rPr>
          <w:i/>
          <w:iCs/>
          <w:sz w:val="20"/>
          <w:szCs w:val="20"/>
        </w:rPr>
        <w:t>Gebelik, Hamilelik ve Doğum</w:t>
      </w:r>
      <w:r w:rsidRPr="00292237">
        <w:rPr>
          <w:sz w:val="20"/>
          <w:szCs w:val="20"/>
        </w:rPr>
        <w:t>, 2025)</w:t>
      </w:r>
      <w:r w:rsidRPr="000B3B32">
        <w:rPr>
          <w:i/>
        </w:rPr>
        <w:fldChar w:fldCharType="end"/>
      </w:r>
    </w:p>
    <w:p w14:paraId="2BFEF807" w14:textId="77777777" w:rsidR="0079785E" w:rsidRPr="000B3B32" w:rsidRDefault="0079785E" w:rsidP="0079785E">
      <w:pPr>
        <w:jc w:val="both"/>
        <w:rPr>
          <w:i/>
        </w:rPr>
      </w:pPr>
    </w:p>
    <w:p w14:paraId="2D34B6BE" w14:textId="77777777" w:rsidR="00FA457D" w:rsidRPr="000B3B32" w:rsidRDefault="00FA457D" w:rsidP="0079785E">
      <w:pPr>
        <w:jc w:val="both"/>
      </w:pPr>
      <w:proofErr w:type="spellStart"/>
      <w:r w:rsidRPr="000B3B32">
        <w:t>Yahudilik’te</w:t>
      </w:r>
      <w:proofErr w:type="spellEnd"/>
      <w:r w:rsidRPr="000B3B32">
        <w:t xml:space="preserve"> kadınlar hamilelik öncesi dua ettiği gibi hamilelik boyunca hatta doğum sırasında da dua etmektedir. Yahudi kadınlarının iyi bir hamilelik süreci yaşamak için hamileliği sırasında söyleyebileceği pek çok </w:t>
      </w:r>
      <w:proofErr w:type="spellStart"/>
      <w:r w:rsidRPr="000B3B32">
        <w:t>tkhine</w:t>
      </w:r>
      <w:proofErr w:type="spellEnd"/>
      <w:r w:rsidRPr="000B3B32">
        <w:t xml:space="preserve"> örneği bulunmaktadır. Onlardan biri de şu şekildedir:</w:t>
      </w:r>
    </w:p>
    <w:p w14:paraId="5A537150"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“Alemin Rabbi </w:t>
      </w:r>
      <w:proofErr w:type="spellStart"/>
      <w:r w:rsidRPr="000B3B32">
        <w:rPr>
          <w:rFonts w:ascii="Times New Roman" w:hAnsi="Times New Roman" w:cs="Times New Roman"/>
          <w:i/>
          <w:sz w:val="24"/>
          <w:szCs w:val="24"/>
        </w:rPr>
        <w:t>Allahım</w:t>
      </w:r>
      <w:proofErr w:type="spellEnd"/>
      <w:r w:rsidRPr="000B3B32">
        <w:rPr>
          <w:rFonts w:ascii="Times New Roman" w:hAnsi="Times New Roman" w:cs="Times New Roman"/>
          <w:i/>
          <w:sz w:val="24"/>
          <w:szCs w:val="24"/>
        </w:rPr>
        <w:t xml:space="preserve"> / Kırık bir kalple sana alçakgönüllülükle yalvarıyorum / </w:t>
      </w:r>
      <w:proofErr w:type="gramStart"/>
      <w:r w:rsidRPr="000B3B32">
        <w:rPr>
          <w:rFonts w:ascii="Times New Roman" w:hAnsi="Times New Roman" w:cs="Times New Roman"/>
          <w:i/>
          <w:sz w:val="24"/>
          <w:szCs w:val="24"/>
        </w:rPr>
        <w:t>Ve</w:t>
      </w:r>
      <w:proofErr w:type="gramEnd"/>
      <w:r w:rsidRPr="000B3B32">
        <w:rPr>
          <w:rFonts w:ascii="Times New Roman" w:hAnsi="Times New Roman" w:cs="Times New Roman"/>
          <w:i/>
          <w:sz w:val="24"/>
          <w:szCs w:val="24"/>
        </w:rPr>
        <w:t xml:space="preserve"> zayıf bedenim ile / Bebeğimi Tevrat'ta doğrulamak için / Onurlu ve zengin bir insan olarak. / Sana yalvarıyorum, / bütün alemin Rabbi / Şerefimi azaltma / Bana bir çocuk verdiğinde, / Böylece şerefi ve zenginliği olabilir, / Ve Senin tarafından onurlandırılmak, / Çünkü bu senin kutsal Tevrat'ında yazılıdır. / Çoğaltalım ve senin kutsal </w:t>
      </w:r>
      <w:proofErr w:type="spellStart"/>
      <w:r w:rsidRPr="000B3B32">
        <w:rPr>
          <w:rFonts w:ascii="Times New Roman" w:hAnsi="Times New Roman" w:cs="Times New Roman"/>
          <w:i/>
          <w:sz w:val="24"/>
          <w:szCs w:val="24"/>
        </w:rPr>
        <w:t>Tora'nı</w:t>
      </w:r>
      <w:proofErr w:type="spellEnd"/>
      <w:r w:rsidRPr="000B3B32">
        <w:rPr>
          <w:rFonts w:ascii="Times New Roman" w:hAnsi="Times New Roman" w:cs="Times New Roman"/>
          <w:i/>
          <w:sz w:val="24"/>
          <w:szCs w:val="24"/>
        </w:rPr>
        <w:t xml:space="preserve"> dolduralım / Emirlerinizi öğrenmek ve yerine getirmek için. / İbrahim'in bereketi de öyle olsun, / İshak ve Yakup onaylandı / Söz verdiğin gibi. / Ey Evrenin Efendisi / Gözyaşlarımı kabul et, / Yani sonsuza kadar kilitli kalmayabilirler. / Ağlayışımı duy ki layık olayım, / Aziz kadın Hannah gibi, / Oğlu olduğu gibi bir oğlu da olsun / Peygamber Samuel. / Bana şeref vermen için yalvarıyorum / Böylece bir oğul sahibi olmaya layık olabilirim, / </w:t>
      </w:r>
      <w:proofErr w:type="spellStart"/>
      <w:r w:rsidRPr="000B3B32">
        <w:rPr>
          <w:rFonts w:ascii="Times New Roman" w:hAnsi="Times New Roman" w:cs="Times New Roman"/>
          <w:i/>
          <w:sz w:val="24"/>
          <w:szCs w:val="24"/>
        </w:rPr>
        <w:t>Talmud</w:t>
      </w:r>
      <w:proofErr w:type="spellEnd"/>
      <w:r w:rsidRPr="000B3B32">
        <w:rPr>
          <w:rFonts w:ascii="Times New Roman" w:hAnsi="Times New Roman" w:cs="Times New Roman"/>
          <w:i/>
          <w:sz w:val="24"/>
          <w:szCs w:val="24"/>
        </w:rPr>
        <w:t xml:space="preserve"> bilgini.</w:t>
      </w:r>
    </w:p>
    <w:p w14:paraId="4E2EDF2E" w14:textId="04FC17C7" w:rsidR="00FA457D" w:rsidRDefault="00FA457D" w:rsidP="0079785E">
      <w:pPr>
        <w:pStyle w:val="AralkYok"/>
        <w:jc w:val="both"/>
        <w:rPr>
          <w:rFonts w:ascii="Times New Roman" w:hAnsi="Times New Roman" w:cs="Times New Roman"/>
          <w:i/>
          <w:sz w:val="20"/>
          <w:szCs w:val="20"/>
        </w:rPr>
      </w:pPr>
      <w:r w:rsidRPr="000B3B32">
        <w:rPr>
          <w:rFonts w:ascii="Times New Roman" w:hAnsi="Times New Roman" w:cs="Times New Roman"/>
          <w:i/>
          <w:sz w:val="24"/>
          <w:szCs w:val="24"/>
        </w:rPr>
        <w:t xml:space="preserve">…” </w:t>
      </w:r>
      <w:r w:rsidRPr="00292237">
        <w:rPr>
          <w:rFonts w:ascii="Times New Roman" w:hAnsi="Times New Roman" w:cs="Times New Roman"/>
          <w:i/>
          <w:sz w:val="20"/>
          <w:szCs w:val="20"/>
        </w:rPr>
        <w:fldChar w:fldCharType="begin"/>
      </w:r>
      <w:r w:rsidRPr="00292237">
        <w:rPr>
          <w:rFonts w:ascii="Times New Roman" w:hAnsi="Times New Roman" w:cs="Times New Roman"/>
          <w:i/>
          <w:sz w:val="20"/>
          <w:szCs w:val="20"/>
        </w:rPr>
        <w:instrText xml:space="preserve"> ADDIN ZOTERO_ITEM CSL_CITATION {"citationID":"SEeQrM5L","properties":{"formattedCitation":"(Kay, 2004, ss. 203-204)","plainCitation":"(Kay, 2004, ss. 203-204)","noteIndex":0},"citationItems":[{"id":58,"uris":["http://zotero.org/users/16525729/items/AMPARZB5"],"itemData":{"id":58,"type":"book","abstract":"Access 135+ million publications and connect with 20+ million researchers. Join for free and gain visibility by uploading your research.","event-place":"Philadelphia","language":"en","publisher":"The Jewish Publication Society","publisher-place":"Philadelphia","title":"Seyder Tkhines (The Forgotten Book of Common Prayer for Jewish Women)","title-short":"Seyder Tkhines","URL":"https://www.researchgate.net/publication/236792098_Seyder_Tkhines_The_Forgotten_Book_of_Common_Prayer_for_Jewish_Women_review","author":[{"family":"Kay","given":"Devra"}],"accessed":{"date-parts":[["2025",2,28]]},"issued":{"date-parts":[["2004"]]}},"locator":"203-204","label":"page"}],"schema":"https://github.com/citation-style-language/schema/raw/master/csl-citation.json"} </w:instrText>
      </w:r>
      <w:r w:rsidRPr="00292237">
        <w:rPr>
          <w:rFonts w:ascii="Times New Roman" w:hAnsi="Times New Roman" w:cs="Times New Roman"/>
          <w:i/>
          <w:sz w:val="20"/>
          <w:szCs w:val="20"/>
        </w:rPr>
        <w:fldChar w:fldCharType="separate"/>
      </w:r>
      <w:r w:rsidRPr="00292237">
        <w:rPr>
          <w:rFonts w:ascii="Times New Roman" w:hAnsi="Times New Roman" w:cs="Times New Roman"/>
          <w:sz w:val="20"/>
          <w:szCs w:val="20"/>
        </w:rPr>
        <w:t>(Kay, 2004, ss. 203-204)</w:t>
      </w:r>
      <w:r w:rsidRPr="00292237">
        <w:rPr>
          <w:rFonts w:ascii="Times New Roman" w:hAnsi="Times New Roman" w:cs="Times New Roman"/>
          <w:i/>
          <w:sz w:val="20"/>
          <w:szCs w:val="20"/>
        </w:rPr>
        <w:fldChar w:fldCharType="end"/>
      </w:r>
    </w:p>
    <w:p w14:paraId="4BE031F3" w14:textId="77777777" w:rsidR="0079785E" w:rsidRPr="000B3B32" w:rsidRDefault="0079785E" w:rsidP="0079785E">
      <w:pPr>
        <w:pStyle w:val="AralkYok"/>
        <w:jc w:val="both"/>
        <w:rPr>
          <w:rFonts w:ascii="Times New Roman" w:hAnsi="Times New Roman" w:cs="Times New Roman"/>
          <w:i/>
          <w:sz w:val="24"/>
          <w:szCs w:val="24"/>
        </w:rPr>
      </w:pPr>
    </w:p>
    <w:p w14:paraId="7734CEBC" w14:textId="5628DE25" w:rsidR="00FA457D" w:rsidRPr="000B3B32" w:rsidRDefault="00FA457D" w:rsidP="0079785E">
      <w:pPr>
        <w:pStyle w:val="AralkYok"/>
        <w:jc w:val="both"/>
        <w:rPr>
          <w:rFonts w:ascii="Times New Roman" w:hAnsi="Times New Roman" w:cs="Times New Roman"/>
          <w:sz w:val="24"/>
          <w:szCs w:val="24"/>
        </w:rPr>
      </w:pPr>
      <w:r w:rsidRPr="000B3B32">
        <w:rPr>
          <w:rFonts w:ascii="Times New Roman" w:hAnsi="Times New Roman" w:cs="Times New Roman"/>
          <w:sz w:val="24"/>
          <w:szCs w:val="24"/>
        </w:rPr>
        <w:t xml:space="preserve">Buna benzer şekilde hamilelik sırasında okunan başka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örnekleri de mevcuttur. Yahudi kadınlar doğum öncesinde doğumun kolay geçmesi için, çocuklarının sağlıklı bir şekilde doğması için bazı dualar okumaktadır. Doğum öncesi okumaları gereken dualardan biri de şöyledir:</w:t>
      </w:r>
    </w:p>
    <w:p w14:paraId="3FEBF922" w14:textId="77777777" w:rsidR="00FA457D"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“Yüce, </w:t>
      </w:r>
      <w:proofErr w:type="gramStart"/>
      <w:r w:rsidRPr="000B3B32">
        <w:rPr>
          <w:rFonts w:ascii="Times New Roman" w:hAnsi="Times New Roman" w:cs="Times New Roman"/>
          <w:i/>
          <w:sz w:val="24"/>
          <w:szCs w:val="24"/>
        </w:rPr>
        <w:t>hakim</w:t>
      </w:r>
      <w:proofErr w:type="gramEnd"/>
      <w:r w:rsidRPr="000B3B32">
        <w:rPr>
          <w:rFonts w:ascii="Times New Roman" w:hAnsi="Times New Roman" w:cs="Times New Roman"/>
          <w:i/>
          <w:sz w:val="24"/>
          <w:szCs w:val="24"/>
        </w:rPr>
        <w:t xml:space="preserve"> ve adalet sahibi Allah, sen biz kadınları, insanlığın yaratılışından bu yana hak </w:t>
      </w:r>
      <w:r w:rsidRPr="000B3B32">
        <w:rPr>
          <w:rFonts w:ascii="Times New Roman" w:hAnsi="Times New Roman" w:cs="Times New Roman"/>
          <w:i/>
          <w:sz w:val="24"/>
          <w:szCs w:val="24"/>
        </w:rPr>
        <w:lastRenderedPageBreak/>
        <w:t xml:space="preserve">ve doğrulukla cezalandırdın ki, çocuklarımızı acı içinde doğuralım. Cezalandırdığında, biz cezalandırıldığımızda ve merhametli olduğunda, senin merhametinle </w:t>
      </w:r>
      <w:proofErr w:type="spellStart"/>
      <w:r w:rsidRPr="000B3B32">
        <w:rPr>
          <w:rFonts w:ascii="Times New Roman" w:hAnsi="Times New Roman" w:cs="Times New Roman"/>
          <w:i/>
          <w:sz w:val="24"/>
          <w:szCs w:val="24"/>
        </w:rPr>
        <w:t>lütuflanmamız</w:t>
      </w:r>
      <w:proofErr w:type="spellEnd"/>
      <w:r w:rsidRPr="000B3B32">
        <w:rPr>
          <w:rFonts w:ascii="Times New Roman" w:hAnsi="Times New Roman" w:cs="Times New Roman"/>
          <w:i/>
          <w:sz w:val="24"/>
          <w:szCs w:val="24"/>
        </w:rPr>
        <w:t xml:space="preserve"> senin eserindir. Sana dua ettiklerinde dualarını kabul ettiğin ve rahimlerini açmanı isteyerek senin adını andığın kimselere merhamet ettiğin gibi, Allah da bütün aziz erkek ve kadınların faziletiyle bana merhamet eyle. Rahimlerini lütuf ve merhametinle açtın ve onların vaktinde doğurmalarını sağladın.</w:t>
      </w:r>
    </w:p>
    <w:p w14:paraId="74C66099" w14:textId="77777777" w:rsidR="0079785E" w:rsidRPr="000B3B32" w:rsidRDefault="0079785E" w:rsidP="0079785E">
      <w:pPr>
        <w:pStyle w:val="AralkYok"/>
        <w:jc w:val="both"/>
        <w:rPr>
          <w:rFonts w:ascii="Times New Roman" w:hAnsi="Times New Roman" w:cs="Times New Roman"/>
          <w:i/>
          <w:sz w:val="24"/>
          <w:szCs w:val="24"/>
        </w:rPr>
      </w:pPr>
    </w:p>
    <w:p w14:paraId="5AC16A7C" w14:textId="77777777" w:rsidR="00FA457D"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Allah'ım, atamız, sen dünya yaratılmadan önce de vardın ve kıyamete kadar büyük bir merhametle bütün dünyaya destek olacaksın. Kötü melekleri susturun ve bastırın ve onları sarayınızdan kovun. Eğer benim günahlarımdan ve kötülüklerimden söz ederlerse önünüzde durmasınlar ve onların sözlerini kabul etmeyin. Kutsal kapılarınızdaki bütün delikleri kapatın ki, onların sesleri duyulmasın. Ama izin verin, çocuklarınız </w:t>
      </w:r>
      <w:proofErr w:type="spellStart"/>
      <w:r w:rsidRPr="000B3B32">
        <w:rPr>
          <w:rFonts w:ascii="Times New Roman" w:hAnsi="Times New Roman" w:cs="Times New Roman"/>
          <w:i/>
          <w:sz w:val="24"/>
          <w:szCs w:val="24"/>
        </w:rPr>
        <w:t>Yisrael</w:t>
      </w:r>
      <w:proofErr w:type="spellEnd"/>
      <w:r w:rsidRPr="000B3B32">
        <w:rPr>
          <w:rFonts w:ascii="Times New Roman" w:hAnsi="Times New Roman" w:cs="Times New Roman"/>
          <w:i/>
          <w:sz w:val="24"/>
          <w:szCs w:val="24"/>
        </w:rPr>
        <w:t xml:space="preserve"> hakkında iyi konuşan iyi melekler benim için şefaat etsinler ve bunu sadece güzel sözlerle yapsınlar. Ve rahmimin anahtarını sağ elinize alın ve acı çekmeden, ıstırap çekmeden kilidimi açın ve bu doğumun her türlü zarardan uzak, hastalıksız ve </w:t>
      </w:r>
      <w:proofErr w:type="spellStart"/>
      <w:r w:rsidRPr="000B3B32">
        <w:rPr>
          <w:rFonts w:ascii="Times New Roman" w:hAnsi="Times New Roman" w:cs="Times New Roman"/>
          <w:i/>
          <w:sz w:val="24"/>
          <w:szCs w:val="24"/>
        </w:rPr>
        <w:t>yetser</w:t>
      </w:r>
      <w:proofErr w:type="spellEnd"/>
      <w:r w:rsidRPr="000B3B32">
        <w:rPr>
          <w:rFonts w:ascii="Times New Roman" w:hAnsi="Times New Roman" w:cs="Times New Roman"/>
          <w:i/>
          <w:sz w:val="24"/>
          <w:szCs w:val="24"/>
        </w:rPr>
        <w:t xml:space="preserve"> hara olmadan olmasına izin verin ki çocuğum başlangıçtan itibaren iyi huylu olsun. Beni ve çocuğumu tüm kötü ruhlardan ve kötü insanlardan koru, nazar bize zarar vermesin.</w:t>
      </w:r>
    </w:p>
    <w:p w14:paraId="109A2EAF" w14:textId="77777777" w:rsidR="0079785E" w:rsidRPr="000B3B32" w:rsidRDefault="0079785E" w:rsidP="0079785E">
      <w:pPr>
        <w:pStyle w:val="AralkYok"/>
        <w:jc w:val="both"/>
        <w:rPr>
          <w:rFonts w:ascii="Times New Roman" w:hAnsi="Times New Roman" w:cs="Times New Roman"/>
          <w:i/>
          <w:sz w:val="24"/>
          <w:szCs w:val="24"/>
        </w:rPr>
      </w:pPr>
    </w:p>
    <w:p w14:paraId="491F0EC8" w14:textId="78DF2742"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Yüce Tanrım, duamı kabul et ve peygamber aracılığıyla seninle konuşmasına izin verdiğinde duasını kabul ettiğin ve ona mutluluk getiren </w:t>
      </w:r>
      <w:proofErr w:type="spellStart"/>
      <w:r w:rsidRPr="000B3B32">
        <w:rPr>
          <w:rFonts w:ascii="Times New Roman" w:hAnsi="Times New Roman" w:cs="Times New Roman"/>
          <w:i/>
          <w:sz w:val="24"/>
          <w:szCs w:val="24"/>
        </w:rPr>
        <w:t>Hannah'nın</w:t>
      </w:r>
      <w:proofErr w:type="spellEnd"/>
      <w:r w:rsidRPr="000B3B32">
        <w:rPr>
          <w:rFonts w:ascii="Times New Roman" w:hAnsi="Times New Roman" w:cs="Times New Roman"/>
          <w:i/>
          <w:sz w:val="24"/>
          <w:szCs w:val="24"/>
        </w:rPr>
        <w:t xml:space="preserve"> gözyaşları gibi gözyaşlarımı kabına al. İsrail'in Tanrısı, diğer </w:t>
      </w:r>
      <w:proofErr w:type="spellStart"/>
      <w:r w:rsidRPr="000B3B32">
        <w:rPr>
          <w:rFonts w:ascii="Times New Roman" w:hAnsi="Times New Roman" w:cs="Times New Roman"/>
          <w:i/>
          <w:sz w:val="24"/>
          <w:szCs w:val="24"/>
        </w:rPr>
        <w:t>salih</w:t>
      </w:r>
      <w:proofErr w:type="spellEnd"/>
      <w:r w:rsidRPr="000B3B32">
        <w:rPr>
          <w:rFonts w:ascii="Times New Roman" w:hAnsi="Times New Roman" w:cs="Times New Roman"/>
          <w:i/>
          <w:sz w:val="24"/>
          <w:szCs w:val="24"/>
        </w:rPr>
        <w:t xml:space="preserve"> kadınların gözyaşlarını kabul ettiğin gibi, bizim gözyaşlarımızı da kabul etmeyi arzula, çünkü sana bütün kalbiyle seslenenlerin dualarını kabul eden sensin. Ağzımdan çıkan sözler senin önünde lütuf bulsun, Tanrım, yaratıcım ve kurtarıcım.”</w:t>
      </w:r>
      <w:r w:rsidRPr="00292237">
        <w:rPr>
          <w:rFonts w:ascii="Times New Roman" w:hAnsi="Times New Roman" w:cs="Times New Roman"/>
          <w:i/>
          <w:sz w:val="20"/>
          <w:szCs w:val="20"/>
        </w:rPr>
        <w:fldChar w:fldCharType="begin"/>
      </w:r>
      <w:r w:rsidRPr="00292237">
        <w:rPr>
          <w:rFonts w:ascii="Times New Roman" w:hAnsi="Times New Roman" w:cs="Times New Roman"/>
          <w:i/>
          <w:sz w:val="20"/>
          <w:szCs w:val="20"/>
        </w:rPr>
        <w:instrText xml:space="preserve"> ADDIN ZOTERO_ITEM CSL_CITATION {"citationID":"eK6akMwm","properties":{"formattedCitation":"({\\i{}Gebelik, Hamilelik ve Do\\uc0\\u287{}um}, 2025)","plainCitation":"(Gebelik, Hamilelik ve Doğum, 2025)","noteIndex":0},"citationItems":[{"id":81,"uris":["http://zotero.org/users/16525729/items/NVUR5V62"],"itemData":{"id":81,"type":"webpage","abstract":"A non-denominational and non-prescriptive libré Open Access archive of Jewish prayers composed in every era, region, and language Jews have ever prayed.","container-title":"Open Siddur","language":"en-US","title":"Gebelik, Hamilelik ve Doğum","URL":"https://opensiddur.org/","accessed":{"date-parts":[["2025",2,28]]},"issued":{"date-parts":[["2025",2,28]]}}}],"schema":"https://github.com/citation-style-language/schema/raw/master/csl-citation.json"} </w:instrText>
      </w:r>
      <w:r w:rsidRPr="00292237">
        <w:rPr>
          <w:rFonts w:ascii="Times New Roman" w:hAnsi="Times New Roman" w:cs="Times New Roman"/>
          <w:i/>
          <w:sz w:val="20"/>
          <w:szCs w:val="20"/>
        </w:rPr>
        <w:fldChar w:fldCharType="separate"/>
      </w:r>
      <w:r w:rsidRPr="00292237">
        <w:rPr>
          <w:rFonts w:ascii="Times New Roman" w:hAnsi="Times New Roman" w:cs="Times New Roman"/>
          <w:sz w:val="20"/>
          <w:szCs w:val="20"/>
        </w:rPr>
        <w:t>(</w:t>
      </w:r>
      <w:r w:rsidRPr="00292237">
        <w:rPr>
          <w:rFonts w:ascii="Times New Roman" w:hAnsi="Times New Roman" w:cs="Times New Roman"/>
          <w:i/>
          <w:iCs/>
          <w:sz w:val="20"/>
          <w:szCs w:val="20"/>
        </w:rPr>
        <w:t>Gebelik, Hamilelik ve Doğum</w:t>
      </w:r>
      <w:r w:rsidRPr="00292237">
        <w:rPr>
          <w:rFonts w:ascii="Times New Roman" w:hAnsi="Times New Roman" w:cs="Times New Roman"/>
          <w:sz w:val="20"/>
          <w:szCs w:val="20"/>
        </w:rPr>
        <w:t>, 2025)</w:t>
      </w:r>
      <w:r w:rsidRPr="00292237">
        <w:rPr>
          <w:rFonts w:ascii="Times New Roman" w:hAnsi="Times New Roman" w:cs="Times New Roman"/>
          <w:i/>
          <w:sz w:val="20"/>
          <w:szCs w:val="20"/>
        </w:rPr>
        <w:fldChar w:fldCharType="end"/>
      </w:r>
    </w:p>
    <w:p w14:paraId="4786F289" w14:textId="77777777" w:rsidR="00FA457D" w:rsidRPr="000B3B32" w:rsidRDefault="00FA457D" w:rsidP="0079785E">
      <w:pPr>
        <w:pStyle w:val="AralkYok"/>
        <w:jc w:val="both"/>
        <w:rPr>
          <w:rFonts w:ascii="Times New Roman" w:hAnsi="Times New Roman" w:cs="Times New Roman"/>
          <w:i/>
          <w:sz w:val="24"/>
          <w:szCs w:val="24"/>
        </w:rPr>
      </w:pPr>
    </w:p>
    <w:p w14:paraId="1F13507B" w14:textId="23F20C8F" w:rsidR="00FA457D" w:rsidRPr="000B3B32" w:rsidRDefault="00FA457D" w:rsidP="0079785E">
      <w:pPr>
        <w:jc w:val="both"/>
      </w:pPr>
      <w:r w:rsidRPr="000B3B32">
        <w:t xml:space="preserve">Eski dönemlerde teknolojik fırsatların olmaması ve tıbbın yeteri kadar gelişmemesi gibi etkenler doğum esnasında genç yaşta ölümlere neden olmuştur. Yahudi inancına göre kadınlar </w:t>
      </w:r>
      <w:proofErr w:type="spellStart"/>
      <w:r w:rsidRPr="000B3B32">
        <w:t>mikveye</w:t>
      </w:r>
      <w:proofErr w:type="spellEnd"/>
      <w:r w:rsidRPr="000B3B32">
        <w:t xml:space="preserve"> daldırma ritüeli, </w:t>
      </w:r>
      <w:proofErr w:type="spellStart"/>
      <w:r w:rsidRPr="000B3B32">
        <w:t>hallayı</w:t>
      </w:r>
      <w:proofErr w:type="spellEnd"/>
      <w:r w:rsidRPr="000B3B32">
        <w:t xml:space="preserve"> ayırma ve </w:t>
      </w:r>
      <w:proofErr w:type="spellStart"/>
      <w:r w:rsidRPr="000B3B32">
        <w:t>Şabat</w:t>
      </w:r>
      <w:proofErr w:type="spellEnd"/>
      <w:r w:rsidRPr="000B3B32">
        <w:t xml:space="preserve"> mumları ile festival mumlarını yakma ritüellerinde ihmaller yaptıklarından dolayı doğum sırasında ölümler yaşandığına inanılmaktadır. Bu tür bir ölümün ya da olumsuzluğun yaşanmaması için doğum yapan kadın için yapılan bazı kısa dualar da yer almaktadır. Bu dualar arasından üç kısa dua örneği şu şekildedir:</w:t>
      </w:r>
    </w:p>
    <w:p w14:paraId="430348F0" w14:textId="17D88DE9"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“Tanrı ona bir çığlıkla yardım etsin.”</w:t>
      </w:r>
    </w:p>
    <w:p w14:paraId="7011F940"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“İyi bir son' (iyi bir kurtarma).”</w:t>
      </w:r>
    </w:p>
    <w:p w14:paraId="7C93F2D3" w14:textId="69C8F3D1" w:rsidR="00FA457D" w:rsidRDefault="00FA457D" w:rsidP="0079785E">
      <w:pPr>
        <w:pStyle w:val="AralkYok"/>
        <w:jc w:val="both"/>
        <w:rPr>
          <w:rFonts w:ascii="Times New Roman" w:hAnsi="Times New Roman" w:cs="Times New Roman"/>
          <w:i/>
          <w:sz w:val="20"/>
          <w:szCs w:val="20"/>
        </w:rPr>
      </w:pPr>
      <w:r w:rsidRPr="000B3B32">
        <w:rPr>
          <w:rFonts w:ascii="Times New Roman" w:hAnsi="Times New Roman" w:cs="Times New Roman"/>
          <w:i/>
          <w:sz w:val="24"/>
          <w:szCs w:val="24"/>
        </w:rPr>
        <w:t>“Onun payı, doğum yapan iyi kadınlardan olsun" (kolay doğum yapsın).</w:t>
      </w:r>
      <w:r w:rsidRPr="000B3B32">
        <w:rPr>
          <w:rStyle w:val="DipnotBavurusu"/>
          <w:rFonts w:ascii="Times New Roman" w:eastAsiaTheme="majorEastAsia" w:hAnsi="Times New Roman" w:cs="Times New Roman"/>
          <w:i/>
          <w:sz w:val="24"/>
          <w:szCs w:val="24"/>
        </w:rPr>
        <w:t xml:space="preserve">” </w:t>
      </w:r>
      <w:r w:rsidRPr="00292237">
        <w:rPr>
          <w:rFonts w:ascii="Times New Roman" w:hAnsi="Times New Roman" w:cs="Times New Roman"/>
          <w:i/>
          <w:sz w:val="20"/>
          <w:szCs w:val="20"/>
        </w:rPr>
        <w:fldChar w:fldCharType="begin"/>
      </w:r>
      <w:r w:rsidRPr="00292237">
        <w:rPr>
          <w:rFonts w:ascii="Times New Roman" w:hAnsi="Times New Roman" w:cs="Times New Roman"/>
          <w:i/>
          <w:sz w:val="20"/>
          <w:szCs w:val="20"/>
        </w:rPr>
        <w:instrText xml:space="preserve"> ADDIN ZOTERO_ITEM CSL_CITATION {"citationID":"bCOkI8Ll","properties":{"formattedCitation":"(Dori, 2020, s. 96)","plainCitation":"(Dori, 2020, s. 96)","noteIndex":0},"citationItems":[{"id":18,"uris":["http://zotero.org/users/16525729/items/XDTL7W9A"],"itemData":{"id":18,"type":"article-journal","abstract":"This article discusses a limited number of ritual incantations or short prayers, used by Ladino-speaking women during crises – birth, war, or drought. These prayers, transmitted from one woman to another, were chosen because they are absent from the two major recent books on women’s prayers – Aliza Lavie’s A Jewish Woman’s Prayer Book (2008), which includes women’s prayers from different ethnic communities, some in Ladino, and Ora (Rodrigue) Schwarzwald’s Seder Nashim (2012), prayers from a sixteenth century Ladino prayer book. This article seeks to document those short prayers before they are lost. They are quoted directly from Ladino-speaking informers, and discuss their life experiences, cultural norms, and individual discomforts.","container-title":"International Journal of Social Science Studies","DOI":"10.11114/ijsss.v8i1.4663","ISSN":"2324-8041","issue":"1","language":"en-US","license":"Copyright (c) 2019 International Journal of Social Science Studies","note":"number: 1","page":"90-98","source":"redfame.com","title":"Short Women’s Prayers in Spoken Ladino During Three Times of Crisis","volume":"8","author":[{"family":"Dori","given":"Nitsa"}],"issued":{"date-parts":[["2020"]]}},"locator":"96","label":"page"}],"schema":"https://github.com/citation-style-language/schema/raw/master/csl-citation.json"} </w:instrText>
      </w:r>
      <w:r w:rsidRPr="00292237">
        <w:rPr>
          <w:rFonts w:ascii="Times New Roman" w:hAnsi="Times New Roman" w:cs="Times New Roman"/>
          <w:i/>
          <w:sz w:val="20"/>
          <w:szCs w:val="20"/>
        </w:rPr>
        <w:fldChar w:fldCharType="separate"/>
      </w:r>
      <w:r w:rsidRPr="00292237">
        <w:rPr>
          <w:rFonts w:ascii="Times New Roman" w:hAnsi="Times New Roman" w:cs="Times New Roman"/>
          <w:sz w:val="20"/>
          <w:szCs w:val="20"/>
        </w:rPr>
        <w:t>(Dori, 2020, s. 96)</w:t>
      </w:r>
      <w:r w:rsidRPr="00292237">
        <w:rPr>
          <w:rFonts w:ascii="Times New Roman" w:hAnsi="Times New Roman" w:cs="Times New Roman"/>
          <w:i/>
          <w:sz w:val="20"/>
          <w:szCs w:val="20"/>
        </w:rPr>
        <w:fldChar w:fldCharType="end"/>
      </w:r>
    </w:p>
    <w:p w14:paraId="6FDAAA94" w14:textId="77777777" w:rsidR="0079785E" w:rsidRPr="000B3B32" w:rsidRDefault="0079785E" w:rsidP="0079785E">
      <w:pPr>
        <w:pStyle w:val="AralkYok"/>
        <w:jc w:val="both"/>
        <w:rPr>
          <w:rFonts w:ascii="Times New Roman" w:hAnsi="Times New Roman" w:cs="Times New Roman"/>
          <w:sz w:val="24"/>
          <w:szCs w:val="24"/>
        </w:rPr>
      </w:pPr>
    </w:p>
    <w:p w14:paraId="52D77C1E" w14:textId="77777777" w:rsidR="00FA457D" w:rsidRPr="000B3B32" w:rsidRDefault="00FA457D">
      <w:pPr>
        <w:pStyle w:val="AralkYok"/>
        <w:widowControl/>
        <w:numPr>
          <w:ilvl w:val="1"/>
          <w:numId w:val="34"/>
        </w:numPr>
        <w:jc w:val="both"/>
        <w:rPr>
          <w:rFonts w:ascii="Times New Roman" w:hAnsi="Times New Roman" w:cs="Times New Roman"/>
          <w:b/>
          <w:sz w:val="24"/>
          <w:szCs w:val="24"/>
        </w:rPr>
      </w:pPr>
      <w:r w:rsidRPr="000B3B32">
        <w:rPr>
          <w:rFonts w:ascii="Times New Roman" w:hAnsi="Times New Roman" w:cs="Times New Roman"/>
          <w:b/>
          <w:sz w:val="24"/>
          <w:szCs w:val="24"/>
        </w:rPr>
        <w:t>Kadınların Günlük Duaları</w:t>
      </w:r>
    </w:p>
    <w:p w14:paraId="2FC1614B" w14:textId="5D3E8066" w:rsidR="00FA457D" w:rsidRDefault="00FA457D" w:rsidP="0079785E">
      <w:pPr>
        <w:pStyle w:val="AralkYok"/>
        <w:jc w:val="both"/>
        <w:rPr>
          <w:rFonts w:ascii="Times New Roman" w:hAnsi="Times New Roman" w:cs="Times New Roman"/>
          <w:sz w:val="24"/>
          <w:szCs w:val="24"/>
        </w:rPr>
      </w:pPr>
      <w:r w:rsidRPr="000B3B32">
        <w:rPr>
          <w:rFonts w:ascii="Times New Roman" w:hAnsi="Times New Roman" w:cs="Times New Roman"/>
          <w:sz w:val="24"/>
          <w:szCs w:val="24"/>
        </w:rPr>
        <w:t xml:space="preserve">Kadınların günlük olarak okuduğu iki adet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bulunmakta</w:t>
      </w:r>
      <w:r>
        <w:rPr>
          <w:rFonts w:ascii="Times New Roman" w:hAnsi="Times New Roman" w:cs="Times New Roman"/>
          <w:sz w:val="24"/>
          <w:szCs w:val="24"/>
        </w:rPr>
        <w:t xml:space="preserve">dır </w:t>
      </w:r>
      <w:r w:rsidRPr="000B3B32">
        <w:rPr>
          <w:rFonts w:ascii="Times New Roman" w:hAnsi="Times New Roman" w:cs="Times New Roman"/>
          <w:sz w:val="24"/>
          <w:szCs w:val="24"/>
        </w:rPr>
        <w:t xml:space="preserve">ve bu </w:t>
      </w:r>
      <w:proofErr w:type="spellStart"/>
      <w:r w:rsidRPr="000B3B32">
        <w:rPr>
          <w:rFonts w:ascii="Times New Roman" w:hAnsi="Times New Roman" w:cs="Times New Roman"/>
          <w:sz w:val="24"/>
          <w:szCs w:val="24"/>
        </w:rPr>
        <w:t>tkhineler</w:t>
      </w:r>
      <w:proofErr w:type="spellEnd"/>
      <w:r w:rsidRPr="000B3B32">
        <w:rPr>
          <w:rFonts w:ascii="Times New Roman" w:hAnsi="Times New Roman" w:cs="Times New Roman"/>
          <w:sz w:val="24"/>
          <w:szCs w:val="24"/>
        </w:rPr>
        <w:t xml:space="preserve"> iki işlevi yerine getiri</w:t>
      </w:r>
      <w:r>
        <w:rPr>
          <w:rFonts w:ascii="Times New Roman" w:hAnsi="Times New Roman" w:cs="Times New Roman"/>
          <w:sz w:val="24"/>
          <w:szCs w:val="24"/>
        </w:rPr>
        <w:t>r</w:t>
      </w:r>
      <w:r w:rsidRPr="000B3B32">
        <w:rPr>
          <w:rFonts w:ascii="Times New Roman" w:hAnsi="Times New Roman" w:cs="Times New Roman"/>
          <w:sz w:val="24"/>
          <w:szCs w:val="24"/>
        </w:rPr>
        <w:t>. Bunlar öncelikle kadınların günde bir kez ibadet yaparak dinî vazifelerini yerine getirmelerini sağl</w:t>
      </w:r>
      <w:r>
        <w:rPr>
          <w:rFonts w:ascii="Times New Roman" w:hAnsi="Times New Roman" w:cs="Times New Roman"/>
          <w:sz w:val="24"/>
          <w:szCs w:val="24"/>
        </w:rPr>
        <w:t>amıştır</w:t>
      </w:r>
      <w:r w:rsidRPr="000B3B32">
        <w:rPr>
          <w:rFonts w:ascii="Times New Roman" w:hAnsi="Times New Roman" w:cs="Times New Roman"/>
          <w:sz w:val="24"/>
          <w:szCs w:val="24"/>
        </w:rPr>
        <w:t>. Ayrıca kadınlar için, Yahudi sinagog merkezli ayine de bir alternatif sun</w:t>
      </w:r>
      <w:r>
        <w:rPr>
          <w:rFonts w:ascii="Times New Roman" w:hAnsi="Times New Roman" w:cs="Times New Roman"/>
          <w:sz w:val="24"/>
          <w:szCs w:val="24"/>
        </w:rPr>
        <w:t>muştur</w:t>
      </w:r>
      <w:r w:rsidRPr="000B3B32">
        <w:rPr>
          <w:rFonts w:ascii="Times New Roman" w:hAnsi="Times New Roman" w:cs="Times New Roman"/>
          <w:sz w:val="24"/>
          <w:szCs w:val="24"/>
        </w:rPr>
        <w:t xml:space="preserve">. Dahası bu </w:t>
      </w:r>
      <w:proofErr w:type="spellStart"/>
      <w:r w:rsidRPr="000B3B32">
        <w:rPr>
          <w:rFonts w:ascii="Times New Roman" w:hAnsi="Times New Roman" w:cs="Times New Roman"/>
          <w:sz w:val="24"/>
          <w:szCs w:val="24"/>
        </w:rPr>
        <w:t>tkhineler</w:t>
      </w:r>
      <w:proofErr w:type="spellEnd"/>
      <w:r w:rsidRPr="000B3B32">
        <w:rPr>
          <w:rFonts w:ascii="Times New Roman" w:hAnsi="Times New Roman" w:cs="Times New Roman"/>
          <w:sz w:val="24"/>
          <w:szCs w:val="24"/>
        </w:rPr>
        <w:t xml:space="preserve"> kadınların anlayabilmesi için İbraniceden daha anlaşılır bir dilde yazılmışlardı</w:t>
      </w:r>
      <w:r>
        <w:rPr>
          <w:rFonts w:ascii="Times New Roman" w:hAnsi="Times New Roman" w:cs="Times New Roman"/>
          <w:sz w:val="24"/>
          <w:szCs w:val="24"/>
        </w:rPr>
        <w:t>r</w:t>
      </w:r>
      <w:r w:rsidRPr="000B3B32">
        <w:rPr>
          <w:rFonts w:ascii="Times New Roman" w:hAnsi="Times New Roman" w:cs="Times New Roman"/>
          <w:sz w:val="24"/>
          <w:szCs w:val="24"/>
        </w:rPr>
        <w:t>.</w:t>
      </w:r>
    </w:p>
    <w:p w14:paraId="47FB4D4A" w14:textId="77777777" w:rsidR="0079785E" w:rsidRPr="000B3B32" w:rsidRDefault="0079785E" w:rsidP="0079785E">
      <w:pPr>
        <w:pStyle w:val="AralkYok"/>
        <w:jc w:val="both"/>
        <w:rPr>
          <w:rFonts w:ascii="Times New Roman" w:hAnsi="Times New Roman" w:cs="Times New Roman"/>
          <w:sz w:val="24"/>
          <w:szCs w:val="24"/>
        </w:rPr>
      </w:pPr>
    </w:p>
    <w:p w14:paraId="28BE3E48" w14:textId="41D0C356" w:rsidR="00FA457D" w:rsidRPr="000B3B32" w:rsidRDefault="00FA457D" w:rsidP="0079785E">
      <w:pPr>
        <w:pStyle w:val="AralkYok"/>
        <w:jc w:val="both"/>
        <w:rPr>
          <w:rFonts w:ascii="Times New Roman" w:hAnsi="Times New Roman" w:cs="Times New Roman"/>
          <w:sz w:val="24"/>
          <w:szCs w:val="24"/>
        </w:rPr>
      </w:pPr>
      <w:r w:rsidRPr="000B3B32">
        <w:rPr>
          <w:rFonts w:ascii="Times New Roman" w:hAnsi="Times New Roman" w:cs="Times New Roman"/>
          <w:sz w:val="24"/>
          <w:szCs w:val="24"/>
        </w:rPr>
        <w:t xml:space="preserve">Yahudi kadınların her gün okumak durumunda oldukları iki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bulunmakt</w:t>
      </w:r>
      <w:r>
        <w:rPr>
          <w:rFonts w:ascii="Times New Roman" w:hAnsi="Times New Roman" w:cs="Times New Roman"/>
          <w:sz w:val="24"/>
          <w:szCs w:val="24"/>
        </w:rPr>
        <w:t>adır</w:t>
      </w:r>
      <w:r w:rsidRPr="000B3B32">
        <w:rPr>
          <w:rFonts w:ascii="Times New Roman" w:hAnsi="Times New Roman" w:cs="Times New Roman"/>
          <w:sz w:val="24"/>
          <w:szCs w:val="24"/>
        </w:rPr>
        <w:t>. Bunlardan ilki haftanın her günü okunu</w:t>
      </w:r>
      <w:r>
        <w:rPr>
          <w:rFonts w:ascii="Times New Roman" w:hAnsi="Times New Roman" w:cs="Times New Roman"/>
          <w:sz w:val="24"/>
          <w:szCs w:val="24"/>
        </w:rPr>
        <w:t>r</w:t>
      </w:r>
      <w:r w:rsidRPr="000B3B32">
        <w:rPr>
          <w:rFonts w:ascii="Times New Roman" w:hAnsi="Times New Roman" w:cs="Times New Roman"/>
          <w:sz w:val="24"/>
          <w:szCs w:val="24"/>
        </w:rPr>
        <w:t xml:space="preserve"> ve diğerinden daha uzundu</w:t>
      </w:r>
      <w:r>
        <w:rPr>
          <w:rFonts w:ascii="Times New Roman" w:hAnsi="Times New Roman" w:cs="Times New Roman"/>
          <w:sz w:val="24"/>
          <w:szCs w:val="24"/>
        </w:rPr>
        <w:t>r</w:t>
      </w:r>
      <w:r w:rsidRPr="000B3B32">
        <w:rPr>
          <w:rFonts w:ascii="Times New Roman" w:hAnsi="Times New Roman" w:cs="Times New Roman"/>
          <w:sz w:val="24"/>
          <w:szCs w:val="24"/>
        </w:rPr>
        <w:t xml:space="preserve">. Diğer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de bunu takip ederek haftanın her günü okunmakta</w:t>
      </w:r>
      <w:r>
        <w:rPr>
          <w:rFonts w:ascii="Times New Roman" w:hAnsi="Times New Roman" w:cs="Times New Roman"/>
          <w:sz w:val="24"/>
          <w:szCs w:val="24"/>
        </w:rPr>
        <w:t>dır</w:t>
      </w:r>
      <w:r w:rsidRPr="000B3B32">
        <w:rPr>
          <w:rFonts w:ascii="Times New Roman" w:hAnsi="Times New Roman" w:cs="Times New Roman"/>
          <w:sz w:val="24"/>
          <w:szCs w:val="24"/>
        </w:rPr>
        <w:t xml:space="preserve">. Bu iki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kadınlar için günlük ibadet niteliğindeydi.</w:t>
      </w:r>
    </w:p>
    <w:p w14:paraId="2568274D" w14:textId="77777777" w:rsidR="00FA457D" w:rsidRPr="000B3B32" w:rsidRDefault="00FA457D" w:rsidP="0079785E">
      <w:pPr>
        <w:jc w:val="both"/>
      </w:pPr>
      <w:r w:rsidRPr="000B3B32">
        <w:t xml:space="preserve">Kadınların her gün söylediği bir </w:t>
      </w:r>
      <w:proofErr w:type="spellStart"/>
      <w:r w:rsidRPr="000B3B32">
        <w:t>tkhine</w:t>
      </w:r>
      <w:proofErr w:type="spellEnd"/>
      <w:r w:rsidRPr="000B3B32">
        <w:t xml:space="preserve"> örneği şu şekildeydi:</w:t>
      </w:r>
    </w:p>
    <w:p w14:paraId="27B871F7"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lastRenderedPageBreak/>
        <w:t xml:space="preserve">“Bütün alemin Rabbi, / Tanrım, Tanrım, / Ve atalarımın Tanrısı, / İbrahim, İshak ve Yakup. / Büyük, güçlü ve muhteşem Tanrım / </w:t>
      </w:r>
      <w:proofErr w:type="gramStart"/>
      <w:r w:rsidRPr="000B3B32">
        <w:rPr>
          <w:rFonts w:ascii="Times New Roman" w:hAnsi="Times New Roman" w:cs="Times New Roman"/>
          <w:i/>
          <w:sz w:val="24"/>
          <w:szCs w:val="24"/>
        </w:rPr>
        <w:t>Ve</w:t>
      </w:r>
      <w:proofErr w:type="gramEnd"/>
      <w:r w:rsidRPr="000B3B32">
        <w:rPr>
          <w:rFonts w:ascii="Times New Roman" w:hAnsi="Times New Roman" w:cs="Times New Roman"/>
          <w:i/>
          <w:sz w:val="24"/>
          <w:szCs w:val="24"/>
        </w:rPr>
        <w:t xml:space="preserve"> bütün dünyanın Rabbi, / Yukarıda ve aşağıda, / Yeryüzündeki her şeyin üzerinde tek Rab, / Her canlı, etten ve kandan / Ve güneşin altında yetişen her şey, / Ve yukarıdaki Cennetteki meleklerin Rabbi, / Ve güneşten, aydan ve yıldızlardan, / Her şey O'nun eseridir, / Ve O, tek başına yönetir. / O sayar ve O hesaplar / </w:t>
      </w:r>
      <w:proofErr w:type="gramStart"/>
      <w:r w:rsidRPr="000B3B32">
        <w:rPr>
          <w:rFonts w:ascii="Times New Roman" w:hAnsi="Times New Roman" w:cs="Times New Roman"/>
          <w:i/>
          <w:sz w:val="24"/>
          <w:szCs w:val="24"/>
        </w:rPr>
        <w:t>Ve</w:t>
      </w:r>
      <w:proofErr w:type="gramEnd"/>
      <w:r w:rsidRPr="000B3B32">
        <w:rPr>
          <w:rFonts w:ascii="Times New Roman" w:hAnsi="Times New Roman" w:cs="Times New Roman"/>
          <w:i/>
          <w:sz w:val="24"/>
          <w:szCs w:val="24"/>
        </w:rPr>
        <w:t xml:space="preserve"> her şey yaratılmıştır / İhtiyaçlarına göre, / Doğası gereği / Ve amacına göre. / Ve sen, kutlu Tanrım, / Cennette hiçbir yaratığa ihtiyacın yok / </w:t>
      </w:r>
      <w:proofErr w:type="gramStart"/>
      <w:r w:rsidRPr="000B3B32">
        <w:rPr>
          <w:rFonts w:ascii="Times New Roman" w:hAnsi="Times New Roman" w:cs="Times New Roman"/>
          <w:i/>
          <w:sz w:val="24"/>
          <w:szCs w:val="24"/>
        </w:rPr>
        <w:t>Veya</w:t>
      </w:r>
      <w:proofErr w:type="gramEnd"/>
      <w:r w:rsidRPr="000B3B32">
        <w:rPr>
          <w:rFonts w:ascii="Times New Roman" w:hAnsi="Times New Roman" w:cs="Times New Roman"/>
          <w:i/>
          <w:sz w:val="24"/>
          <w:szCs w:val="24"/>
        </w:rPr>
        <w:t xml:space="preserve"> yeryüzünde, / Ya da suyun altında / Çünkü Sen tek bir Tanrısın, teksin / Sen sonsuzsun / Ve Yaratılıştan önce yalnızdık / Göklerden ve yerden / Ve sen kalacaksın / Sonuçta Yaratılış sonsuzluğa iner. / Adınız övülüyor. / Senin krallığın diğerlerinden daha yüksek / Adınız sonsuza kadar övülsün. / Adını ateşte arıyorlar / Ama bulamıyorlar / </w:t>
      </w:r>
      <w:proofErr w:type="gramStart"/>
      <w:r w:rsidRPr="000B3B32">
        <w:rPr>
          <w:rFonts w:ascii="Times New Roman" w:hAnsi="Times New Roman" w:cs="Times New Roman"/>
          <w:i/>
          <w:sz w:val="24"/>
          <w:szCs w:val="24"/>
        </w:rPr>
        <w:t>Ve</w:t>
      </w:r>
      <w:proofErr w:type="gramEnd"/>
      <w:r w:rsidRPr="000B3B32">
        <w:rPr>
          <w:rFonts w:ascii="Times New Roman" w:hAnsi="Times New Roman" w:cs="Times New Roman"/>
          <w:i/>
          <w:sz w:val="24"/>
          <w:szCs w:val="24"/>
        </w:rPr>
        <w:t xml:space="preserve"> Senin Adından korkuyorlar.</w:t>
      </w:r>
    </w:p>
    <w:p w14:paraId="69F8E506" w14:textId="77777777" w:rsidR="00FA457D" w:rsidRPr="000B3B32" w:rsidRDefault="00FA457D" w:rsidP="0079785E">
      <w:pPr>
        <w:pStyle w:val="AralkYok"/>
        <w:jc w:val="both"/>
        <w:rPr>
          <w:rFonts w:ascii="Times New Roman" w:hAnsi="Times New Roman" w:cs="Times New Roman"/>
          <w:sz w:val="24"/>
          <w:szCs w:val="24"/>
        </w:rPr>
      </w:pPr>
      <w:r w:rsidRPr="000B3B32">
        <w:rPr>
          <w:rFonts w:ascii="Times New Roman" w:hAnsi="Times New Roman" w:cs="Times New Roman"/>
          <w:i/>
          <w:sz w:val="24"/>
          <w:szCs w:val="24"/>
        </w:rPr>
        <w:t>…”</w:t>
      </w:r>
    </w:p>
    <w:p w14:paraId="0C76FE49" w14:textId="00E2A4DF" w:rsidR="00FA457D" w:rsidRDefault="00FA457D" w:rsidP="0079785E">
      <w:pPr>
        <w:pStyle w:val="AralkYok"/>
        <w:jc w:val="both"/>
        <w:rPr>
          <w:rFonts w:ascii="Times New Roman" w:hAnsi="Times New Roman" w:cs="Times New Roman"/>
          <w:sz w:val="20"/>
          <w:szCs w:val="20"/>
        </w:rPr>
      </w:pPr>
      <w:r w:rsidRPr="000B3B32">
        <w:rPr>
          <w:rFonts w:ascii="Times New Roman" w:hAnsi="Times New Roman" w:cs="Times New Roman"/>
          <w:sz w:val="24"/>
          <w:szCs w:val="24"/>
        </w:rPr>
        <w:t xml:space="preserve">Bu verilen </w:t>
      </w:r>
      <w:proofErr w:type="spellStart"/>
      <w:r w:rsidRPr="000B3B32">
        <w:rPr>
          <w:rFonts w:ascii="Times New Roman" w:hAnsi="Times New Roman" w:cs="Times New Roman"/>
          <w:sz w:val="24"/>
          <w:szCs w:val="24"/>
        </w:rPr>
        <w:t>tkhine</w:t>
      </w:r>
      <w:proofErr w:type="spellEnd"/>
      <w:r w:rsidRPr="000B3B32">
        <w:rPr>
          <w:rFonts w:ascii="Times New Roman" w:hAnsi="Times New Roman" w:cs="Times New Roman"/>
          <w:sz w:val="24"/>
          <w:szCs w:val="24"/>
        </w:rPr>
        <w:t xml:space="preserve"> örneği uzun olduğu için sadece bir kısmı verilmiştir. </w:t>
      </w:r>
      <w:r w:rsidRPr="00292237">
        <w:rPr>
          <w:rFonts w:ascii="Times New Roman" w:hAnsi="Times New Roman" w:cs="Times New Roman"/>
          <w:sz w:val="20"/>
          <w:szCs w:val="20"/>
        </w:rPr>
        <w:fldChar w:fldCharType="begin"/>
      </w:r>
      <w:r w:rsidRPr="00292237">
        <w:rPr>
          <w:rFonts w:ascii="Times New Roman" w:hAnsi="Times New Roman" w:cs="Times New Roman"/>
          <w:sz w:val="20"/>
          <w:szCs w:val="20"/>
        </w:rPr>
        <w:instrText xml:space="preserve"> ADDIN ZOTERO_ITEM CSL_CITATION {"citationID":"wGN9QqrH","properties":{"formattedCitation":"(Kay, 2004, ss. 125-126)","plainCitation":"(Kay, 2004, ss. 125-126)","noteIndex":0},"citationItems":[{"id":58,"uris":["http://zotero.org/users/16525729/items/AMPARZB5"],"itemData":{"id":58,"type":"book","abstract":"Access 135+ million publications and connect with 20+ million researchers. Join for free and gain visibility by uploading your research.","event-place":"Philadelphia","language":"en","publisher":"The Jewish Publication Society","publisher-place":"Philadelphia","title":"Seyder Tkhines (The Forgotten Book of Common Prayer for Jewish Women)","title-short":"Seyder Tkhines","URL":"https://www.researchgate.net/publication/236792098_Seyder_Tkhines_The_Forgotten_Book_of_Common_Prayer_for_Jewish_Women_review","author":[{"family":"Kay","given":"Devra"}],"accessed":{"date-parts":[["2025",2,28]]},"issued":{"date-parts":[["2004"]]}},"locator":"125-126","label":"page"}],"schema":"https://github.com/citation-style-language/schema/raw/master/csl-citation.json"} </w:instrText>
      </w:r>
      <w:r w:rsidRPr="00292237">
        <w:rPr>
          <w:rFonts w:ascii="Times New Roman" w:hAnsi="Times New Roman" w:cs="Times New Roman"/>
          <w:sz w:val="20"/>
          <w:szCs w:val="20"/>
        </w:rPr>
        <w:fldChar w:fldCharType="separate"/>
      </w:r>
      <w:r w:rsidRPr="00292237">
        <w:rPr>
          <w:rFonts w:ascii="Times New Roman" w:hAnsi="Times New Roman" w:cs="Times New Roman"/>
          <w:sz w:val="20"/>
          <w:szCs w:val="20"/>
        </w:rPr>
        <w:t>(Kay, 2004, ss. 125-126)</w:t>
      </w:r>
      <w:r w:rsidRPr="00292237">
        <w:rPr>
          <w:rFonts w:ascii="Times New Roman" w:hAnsi="Times New Roman" w:cs="Times New Roman"/>
          <w:sz w:val="20"/>
          <w:szCs w:val="20"/>
        </w:rPr>
        <w:fldChar w:fldCharType="end"/>
      </w:r>
    </w:p>
    <w:p w14:paraId="1A97FF64" w14:textId="77777777" w:rsidR="0079785E" w:rsidRPr="000B3B32" w:rsidRDefault="0079785E" w:rsidP="0079785E">
      <w:pPr>
        <w:pStyle w:val="AralkYok"/>
        <w:jc w:val="both"/>
        <w:rPr>
          <w:rFonts w:ascii="Times New Roman" w:hAnsi="Times New Roman" w:cs="Times New Roman"/>
          <w:sz w:val="24"/>
          <w:szCs w:val="24"/>
        </w:rPr>
      </w:pPr>
    </w:p>
    <w:p w14:paraId="4C05E799" w14:textId="77777777" w:rsidR="00FA457D" w:rsidRPr="000B3B32" w:rsidRDefault="00FA457D">
      <w:pPr>
        <w:pStyle w:val="AralkYok"/>
        <w:widowControl/>
        <w:numPr>
          <w:ilvl w:val="1"/>
          <w:numId w:val="34"/>
        </w:numPr>
        <w:jc w:val="both"/>
        <w:rPr>
          <w:rFonts w:ascii="Times New Roman" w:hAnsi="Times New Roman" w:cs="Times New Roman"/>
          <w:b/>
          <w:sz w:val="24"/>
          <w:szCs w:val="24"/>
        </w:rPr>
      </w:pPr>
      <w:r w:rsidRPr="000B3B32">
        <w:rPr>
          <w:rFonts w:ascii="Times New Roman" w:hAnsi="Times New Roman" w:cs="Times New Roman"/>
          <w:b/>
          <w:sz w:val="24"/>
          <w:szCs w:val="24"/>
        </w:rPr>
        <w:t>Kadınların Ev İçerisinde İcra Ettikleri İbadet ve Uygulamalar</w:t>
      </w:r>
    </w:p>
    <w:p w14:paraId="1992B173" w14:textId="11DB9E56" w:rsidR="00FA457D" w:rsidRDefault="00FA457D" w:rsidP="0079785E">
      <w:pPr>
        <w:jc w:val="both"/>
      </w:pPr>
      <w:proofErr w:type="spellStart"/>
      <w:r w:rsidRPr="000B3B32">
        <w:t>Yahudilik’te</w:t>
      </w:r>
      <w:proofErr w:type="spellEnd"/>
      <w:r w:rsidRPr="000B3B32">
        <w:t xml:space="preserve"> kadınların ev içinde yaptıkları uygulamalara dair en önemli kanıtlardan biri arkeolojik verilerdir. Özellikle bazı arkeologların yaptığı keşifler Yahudi kadınlarının dini inançları ve uygulamaları ile ilgili anlayışın değişmeye başlamasına neden olmuştur. Buradan elde edilen bilgilerle kadınların evdeki görev ve sorumlulukları ve aynı şekilde aile içi dindarlık eylemleri de açıkça ortaya çıkmıştır. Kadınların dini uygulamadaki ya da manevi alandaki etkili olduğu yer ev içidir ve bu açıkça ifade edilmişse de şimdilerde yapay kaynaklara ve mimari kalıntılara başvurularak bu durum aydınlatılmaktadır. Yahudi dininin çatısı altında kadınlar, erkekler ile aynı rollere sahip olmasalar da kadınlar ritüel ve inanç alanlarında sorumluluğu erkeklerle birlikte paylaş</w:t>
      </w:r>
      <w:r>
        <w:t>mışlar</w:t>
      </w:r>
      <w:r w:rsidRPr="000B3B32">
        <w:t xml:space="preserve"> ve ailelerinin, akraba gruplarının ve uluslarının refahını sağlamaya çalış</w:t>
      </w:r>
      <w:r>
        <w:t>mışlardır.</w:t>
      </w:r>
    </w:p>
    <w:p w14:paraId="0C00A883" w14:textId="77777777" w:rsidR="0079785E" w:rsidRPr="000B3B32" w:rsidRDefault="0079785E" w:rsidP="0079785E">
      <w:pPr>
        <w:jc w:val="both"/>
      </w:pPr>
    </w:p>
    <w:p w14:paraId="2BAE4C97" w14:textId="3155F9DF" w:rsidR="00FA457D" w:rsidRDefault="00FA457D" w:rsidP="0079785E">
      <w:pPr>
        <w:jc w:val="both"/>
        <w:rPr>
          <w:sz w:val="20"/>
          <w:szCs w:val="20"/>
        </w:rPr>
      </w:pPr>
      <w:r w:rsidRPr="000B3B32">
        <w:t xml:space="preserve">Tevrat metinleri her ne kadar aksini ifade etse </w:t>
      </w:r>
      <w:proofErr w:type="gramStart"/>
      <w:r w:rsidRPr="000B3B32">
        <w:t>de,</w:t>
      </w:r>
      <w:proofErr w:type="gramEnd"/>
      <w:r w:rsidRPr="000B3B32">
        <w:t xml:space="preserve"> İsrail dini sadece İsrail’in erkek tanrısı </w:t>
      </w:r>
      <w:proofErr w:type="spellStart"/>
      <w:r w:rsidRPr="000B3B32">
        <w:t>Yahve’den</w:t>
      </w:r>
      <w:proofErr w:type="spellEnd"/>
      <w:r w:rsidRPr="000B3B32">
        <w:t xml:space="preserve"> ibaret değildi</w:t>
      </w:r>
      <w:r>
        <w:t>r</w:t>
      </w:r>
      <w:r w:rsidRPr="000B3B32">
        <w:t xml:space="preserve">. İsrailoğulları </w:t>
      </w:r>
      <w:proofErr w:type="spellStart"/>
      <w:r w:rsidRPr="000B3B32">
        <w:t>Yahve’nin</w:t>
      </w:r>
      <w:proofErr w:type="spellEnd"/>
      <w:r w:rsidRPr="000B3B32">
        <w:t xml:space="preserve"> yanı sıra tanrıça </w:t>
      </w:r>
      <w:proofErr w:type="spellStart"/>
      <w:r w:rsidRPr="000B3B32">
        <w:t>Aşera’ya</w:t>
      </w:r>
      <w:proofErr w:type="spellEnd"/>
      <w:r w:rsidRPr="000B3B32">
        <w:t xml:space="preserve"> da ibadet </w:t>
      </w:r>
      <w:r>
        <w:t>etmişlerdir</w:t>
      </w:r>
      <w:r w:rsidRPr="000B3B32">
        <w:t xml:space="preserve">. Her iki tanrıya da tapınmak Yahudilerin tamamı değilse de özellikle bazıları için oldukça önemliydi. Tevrat metinleri ve arkeolojik kanıtlara bakıldığında </w:t>
      </w:r>
      <w:proofErr w:type="spellStart"/>
      <w:r w:rsidRPr="000B3B32">
        <w:t>Aşera’ya</w:t>
      </w:r>
      <w:proofErr w:type="spellEnd"/>
      <w:r w:rsidRPr="000B3B32">
        <w:t xml:space="preserve"> sadece </w:t>
      </w:r>
      <w:proofErr w:type="spellStart"/>
      <w:r w:rsidRPr="000B3B32">
        <w:t>Jarusselam</w:t>
      </w:r>
      <w:proofErr w:type="spellEnd"/>
      <w:r w:rsidRPr="000B3B32">
        <w:t xml:space="preserve"> ve Yahuda da değil </w:t>
      </w:r>
      <w:proofErr w:type="spellStart"/>
      <w:r w:rsidRPr="000B3B32">
        <w:t>Samariye</w:t>
      </w:r>
      <w:proofErr w:type="spellEnd"/>
      <w:r w:rsidRPr="000B3B32">
        <w:t xml:space="preserve">, </w:t>
      </w:r>
      <w:proofErr w:type="spellStart"/>
      <w:r w:rsidRPr="000B3B32">
        <w:t>Beytel</w:t>
      </w:r>
      <w:proofErr w:type="spellEnd"/>
      <w:r w:rsidRPr="000B3B32">
        <w:t xml:space="preserve"> ve Dan gibi kült merkezlerinde de tapınıldığı görülmektedir. </w:t>
      </w:r>
      <w:r w:rsidRPr="00292237">
        <w:rPr>
          <w:sz w:val="20"/>
          <w:szCs w:val="20"/>
        </w:rPr>
        <w:fldChar w:fldCharType="begin"/>
      </w:r>
      <w:r w:rsidRPr="00292237">
        <w:rPr>
          <w:sz w:val="20"/>
          <w:szCs w:val="20"/>
        </w:rPr>
        <w:instrText xml:space="preserve"> ADDIN ZOTERO_ITEM CSL_CITATION {"citationID":"XKJx10Q5","properties":{"formattedCitation":"(Nakhai, 2019, s. 3)","plainCitation":"(Nakhai, 2019, s. 3)","noteIndex":0},"citationItems":[{"id":123,"uris":["http://zotero.org/users/16525729/items/K4BQXDFM"],"itemData":{"id":123,"type":"article-journal","abstract":"Historically, those studying Israelite religion have ignored the existence of women in Iron Age Israel (1200–587 BCE). They have, therefore, accounted neither for the religious beliefs of half of ancient Israel’s population nor for the responsibilities that women assumed for maintaining religious rituals and traditions. Such reconstructions of Israelite religion are seriously flawed. Only in the last four decades have scholars, primarily women, begun to explore women’s essential roles in Israel’s religious culture. This article utilizes evidence from the Hebrew Bible and from archaeological sites throughout Israel. It demonstrates that some women had roles within the Jerusalem Temple. Most women, however, resided in towns and villages throughout the Land. There, they undertook responsibility for clan-based and community-based religious rituals and rites, including pilgrimage, seasonal festivals, rites of military victory, and rites of mourning. They fulfilled, as well, essential roles within the sphere of domestic or household religion. At home, they provided medico-magical healing for all family members, as well as care for women and babies throughout pregnancy, childbirth, and beyond. They, and the men in their communities, worshipped Yahweh, Israel’s primary deity, and the goddess Asherah, as well; for most people, these two divinities were inextricably linked.","container-title":"Religions","DOI":"10.3390/rel10020122","ISSN":"2077-1444","issue":"2","language":"en","license":"http://creativecommons.org/licenses/by/3.0/","note":"number: 2\npublisher: Multidisciplinary Digital Publishing Institute","page":"122","source":"www.mdpi.com","title":"Women in Israelite Religion: The State of Research Is All New Research","title-short":"Women in Israelite Religion","volume":"10","author":[{"family":"Nakhai","given":"Beth Alpert"}],"issued":{"date-parts":[["2019",2]]}},"locator":"3","label":"page"}],"schema":"https://github.com/citation-style-language/schema/raw/master/csl-citation.json"} </w:instrText>
      </w:r>
      <w:r w:rsidRPr="00292237">
        <w:rPr>
          <w:sz w:val="20"/>
          <w:szCs w:val="20"/>
        </w:rPr>
        <w:fldChar w:fldCharType="separate"/>
      </w:r>
      <w:r w:rsidRPr="00292237">
        <w:rPr>
          <w:sz w:val="20"/>
          <w:szCs w:val="20"/>
        </w:rPr>
        <w:t>(Nakhai, 2019, s. 3)</w:t>
      </w:r>
      <w:r w:rsidRPr="00292237">
        <w:rPr>
          <w:sz w:val="20"/>
          <w:szCs w:val="20"/>
        </w:rPr>
        <w:fldChar w:fldCharType="end"/>
      </w:r>
    </w:p>
    <w:p w14:paraId="19F5EE2E" w14:textId="77777777" w:rsidR="0079785E" w:rsidRPr="000B3B32" w:rsidRDefault="0079785E" w:rsidP="0079785E">
      <w:pPr>
        <w:jc w:val="both"/>
      </w:pPr>
    </w:p>
    <w:p w14:paraId="58BCFF17" w14:textId="4A5FC0EE" w:rsidR="00FA457D" w:rsidRDefault="00FA457D" w:rsidP="0079785E">
      <w:pPr>
        <w:jc w:val="both"/>
      </w:pPr>
      <w:r w:rsidRPr="000B3B32">
        <w:t xml:space="preserve">Tevrat metinlerinden, </w:t>
      </w:r>
      <w:proofErr w:type="spellStart"/>
      <w:r w:rsidRPr="000B3B32">
        <w:t>epigraflardan</w:t>
      </w:r>
      <w:proofErr w:type="spellEnd"/>
      <w:r w:rsidRPr="000B3B32">
        <w:t xml:space="preserve"> ve edebi olmayan pek çok kaynaktan yararlanan bilim insanları, aile dini ve cinsiyet ile ilgili çeşitli iddialarda bulundular. Bu bilim adamlarından bazıları sadece eski İsrailli ailelerin bir ya da birkaç tanrıya taptığını iddia etmekte kalma</w:t>
      </w:r>
      <w:r>
        <w:t>mış</w:t>
      </w:r>
      <w:r w:rsidRPr="000B3B32">
        <w:t xml:space="preserve"> aynı zamanda bunun kadınların hayatında oldukça önemli olduğunu ifade et</w:t>
      </w:r>
      <w:r>
        <w:t>miştir</w:t>
      </w:r>
      <w:r w:rsidRPr="000B3B32">
        <w:t xml:space="preserve">. Orada bulunan bir </w:t>
      </w:r>
      <w:proofErr w:type="spellStart"/>
      <w:r w:rsidRPr="000B3B32">
        <w:t>Yahudiye</w:t>
      </w:r>
      <w:proofErr w:type="spellEnd"/>
      <w:r w:rsidRPr="000B3B32">
        <w:t xml:space="preserve"> sütun heykelciğinin rolü hakkında bazı tartışmalar ortaya çık</w:t>
      </w:r>
      <w:r>
        <w:t>mıştır.</w:t>
      </w:r>
      <w:r w:rsidRPr="000B3B32">
        <w:t xml:space="preserve"> Bazı uzmanlara göre bunlar birer kült nesnelerinden ibaret iken bazılarına göre de bunlar kadınların özel olarak kullandığı bazı objelerdi. Hatta bazılarına göre bunlar kadınların doğum ritüellerinde kullandığı, kadınlara özel bir koruma alanını ifade e</w:t>
      </w:r>
      <w:r>
        <w:t>tmiştir</w:t>
      </w:r>
      <w:r w:rsidRPr="000B3B32">
        <w:t>.</w:t>
      </w:r>
    </w:p>
    <w:p w14:paraId="5FC3AB45" w14:textId="77777777" w:rsidR="0079785E" w:rsidRPr="000B3B32" w:rsidRDefault="0079785E" w:rsidP="0079785E">
      <w:pPr>
        <w:jc w:val="both"/>
      </w:pPr>
    </w:p>
    <w:p w14:paraId="65930512" w14:textId="77777777" w:rsidR="00FA457D" w:rsidRDefault="00FA457D" w:rsidP="0079785E">
      <w:pPr>
        <w:jc w:val="both"/>
      </w:pPr>
      <w:r w:rsidRPr="000B3B32">
        <w:t xml:space="preserve">Susan </w:t>
      </w:r>
      <w:proofErr w:type="spellStart"/>
      <w:r w:rsidRPr="000B3B32">
        <w:t>Ackerman’a</w:t>
      </w:r>
      <w:proofErr w:type="spellEnd"/>
      <w:r w:rsidRPr="000B3B32">
        <w:t xml:space="preserve"> göre tanrıçaya tapınmanın kadınların hayatında hem evde hem de tapınakta, önemli bir yeri bulunmaktadır. </w:t>
      </w:r>
      <w:proofErr w:type="spellStart"/>
      <w:r w:rsidRPr="000B3B32">
        <w:t>Yeremya</w:t>
      </w:r>
      <w:proofErr w:type="spellEnd"/>
      <w:r w:rsidRPr="000B3B32">
        <w:t xml:space="preserve"> 7:18’deki şekliyle Cennetin Kraliçesi kültünde eşlerin merkezi ritüel rolüyle ev içi uygulaması önerildiği görülmektedir ve şu şekilde bir ifade geçmektedir:</w:t>
      </w:r>
    </w:p>
    <w:p w14:paraId="2173883C" w14:textId="77777777" w:rsidR="0079785E" w:rsidRPr="000B3B32" w:rsidRDefault="0079785E" w:rsidP="0079785E">
      <w:pPr>
        <w:jc w:val="both"/>
      </w:pPr>
    </w:p>
    <w:p w14:paraId="54367D12" w14:textId="77777777" w:rsidR="00FA457D" w:rsidRDefault="00FA457D" w:rsidP="0079785E">
      <w:pPr>
        <w:pStyle w:val="AralkYok"/>
        <w:jc w:val="both"/>
        <w:rPr>
          <w:rFonts w:ascii="Times New Roman" w:hAnsi="Times New Roman" w:cs="Times New Roman"/>
          <w:sz w:val="20"/>
          <w:szCs w:val="20"/>
        </w:rPr>
      </w:pPr>
      <w:r w:rsidRPr="000B3B32">
        <w:rPr>
          <w:rFonts w:ascii="Times New Roman" w:hAnsi="Times New Roman" w:cs="Times New Roman"/>
          <w:sz w:val="24"/>
          <w:szCs w:val="24"/>
        </w:rPr>
        <w:lastRenderedPageBreak/>
        <w:t xml:space="preserve">“Tanrıçaya kek yapmak için hamur yoğurmak ve ateş yakan adamlar ve odun toplayan çocuklar.” </w:t>
      </w:r>
      <w:r w:rsidRPr="00292237">
        <w:rPr>
          <w:rFonts w:ascii="Times New Roman" w:hAnsi="Times New Roman" w:cs="Times New Roman"/>
          <w:sz w:val="20"/>
          <w:szCs w:val="20"/>
        </w:rPr>
        <w:fldChar w:fldCharType="begin"/>
      </w:r>
      <w:r w:rsidRPr="00292237">
        <w:rPr>
          <w:rFonts w:ascii="Times New Roman" w:hAnsi="Times New Roman" w:cs="Times New Roman"/>
          <w:sz w:val="20"/>
          <w:szCs w:val="20"/>
        </w:rPr>
        <w:instrText xml:space="preserve"> ADDIN ZOTERO_ITEM CSL_CITATION {"citationID":"2Ww5ckoD","properties":{"formattedCitation":"(Olyan, 2010, ss. 55-56)","plainCitation":"(Olyan, 2010, ss. 55-56)","noteIndex":0},"citationItems":[{"id":78,"uris":["http://zotero.org/users/16525729/items/593TRZF5"],"itemData":{"id":78,"type":"article-journal","abstract":"Abstract What we know about the roles of women in Israelite family religion is a topic in need of reassessment. In this article, the author evaluates a number of common claims which have been made about family religion and gender. These include the idea that goddess worship was especially important to women; that Judean pillar figurines were used primarily or exclusively by women in their ritual activities; that the religious practices of ancient Israelite women overlapped little with those of men; and that birth-related ritual contexts were a special preserve of women.","container-title":"Journal of Ancient Near Eastern Religions","DOI":"10.1163/156921210X500503","issue":"1","language":"en","note":"publisher: Brill","page":"55-67","source":"brill.com","title":"What Do We Really Know About Women’s Rites in the Israelite Family Context?","volume":"10","author":[{"family":"Olyan","given":"Saul M."}],"issued":{"date-parts":[["2010",1,1]]}},"locator":"55-56","label":"page"}],"schema":"https://github.com/citation-style-language/schema/raw/master/csl-citation.json"} </w:instrText>
      </w:r>
      <w:r w:rsidRPr="00292237">
        <w:rPr>
          <w:rFonts w:ascii="Times New Roman" w:hAnsi="Times New Roman" w:cs="Times New Roman"/>
          <w:sz w:val="20"/>
          <w:szCs w:val="20"/>
        </w:rPr>
        <w:fldChar w:fldCharType="separate"/>
      </w:r>
      <w:r w:rsidRPr="00292237">
        <w:rPr>
          <w:rFonts w:ascii="Times New Roman" w:hAnsi="Times New Roman" w:cs="Times New Roman"/>
          <w:sz w:val="20"/>
          <w:szCs w:val="20"/>
        </w:rPr>
        <w:t>(Olyan, 2010, ss. 55-56)</w:t>
      </w:r>
      <w:r w:rsidRPr="00292237">
        <w:rPr>
          <w:rFonts w:ascii="Times New Roman" w:hAnsi="Times New Roman" w:cs="Times New Roman"/>
          <w:sz w:val="20"/>
          <w:szCs w:val="20"/>
        </w:rPr>
        <w:fldChar w:fldCharType="end"/>
      </w:r>
    </w:p>
    <w:p w14:paraId="34221EE5" w14:textId="77777777" w:rsidR="0079785E" w:rsidRPr="000B3B32" w:rsidRDefault="0079785E" w:rsidP="0079785E">
      <w:pPr>
        <w:pStyle w:val="AralkYok"/>
        <w:jc w:val="both"/>
        <w:rPr>
          <w:rFonts w:ascii="Times New Roman" w:hAnsi="Times New Roman" w:cs="Times New Roman"/>
          <w:sz w:val="24"/>
          <w:szCs w:val="24"/>
        </w:rPr>
      </w:pPr>
    </w:p>
    <w:p w14:paraId="49690D34" w14:textId="567955A5" w:rsidR="00FA457D" w:rsidRDefault="00FA457D" w:rsidP="0079785E">
      <w:pPr>
        <w:pStyle w:val="AralkYok"/>
        <w:jc w:val="both"/>
        <w:rPr>
          <w:rFonts w:ascii="Times New Roman" w:hAnsi="Times New Roman" w:cs="Times New Roman"/>
          <w:sz w:val="24"/>
          <w:szCs w:val="24"/>
        </w:rPr>
      </w:pPr>
      <w:r w:rsidRPr="000B3B32">
        <w:rPr>
          <w:rFonts w:ascii="Times New Roman" w:hAnsi="Times New Roman" w:cs="Times New Roman"/>
          <w:sz w:val="24"/>
          <w:szCs w:val="24"/>
        </w:rPr>
        <w:t xml:space="preserve">Burada geçen ifadelerden de anlaşılabileceği gibi kadınların da bazı ritüellerde yapmaları gereken bir takım önemli görevleri bulunmaktadır. Örneğin; evde ve aile arasında gerçekleştirilen ritüellerden önce yapılan hazırlıklardan biri olan hamur yapmak, yemek pişirmek, sofra hazırlamak, </w:t>
      </w:r>
      <w:proofErr w:type="spellStart"/>
      <w:r w:rsidRPr="000B3B32">
        <w:rPr>
          <w:rFonts w:ascii="Times New Roman" w:hAnsi="Times New Roman" w:cs="Times New Roman"/>
          <w:sz w:val="24"/>
          <w:szCs w:val="24"/>
        </w:rPr>
        <w:t>Şabat</w:t>
      </w:r>
      <w:proofErr w:type="spellEnd"/>
      <w:r w:rsidRPr="000B3B32">
        <w:rPr>
          <w:rFonts w:ascii="Times New Roman" w:hAnsi="Times New Roman" w:cs="Times New Roman"/>
          <w:sz w:val="24"/>
          <w:szCs w:val="24"/>
        </w:rPr>
        <w:t xml:space="preserve"> mumlarını yakmak ya da yiyecekleri </w:t>
      </w:r>
      <w:proofErr w:type="spellStart"/>
      <w:r w:rsidRPr="000B3B32">
        <w:rPr>
          <w:rFonts w:ascii="Times New Roman" w:hAnsi="Times New Roman" w:cs="Times New Roman"/>
          <w:sz w:val="24"/>
          <w:szCs w:val="24"/>
        </w:rPr>
        <w:t>koşerlemek</w:t>
      </w:r>
      <w:proofErr w:type="spellEnd"/>
      <w:r w:rsidRPr="000B3B32">
        <w:rPr>
          <w:rFonts w:ascii="Times New Roman" w:hAnsi="Times New Roman" w:cs="Times New Roman"/>
          <w:sz w:val="24"/>
          <w:szCs w:val="24"/>
        </w:rPr>
        <w:t xml:space="preserve"> gibi birtakım uygulamalar oldukça önemlidir.</w:t>
      </w:r>
    </w:p>
    <w:p w14:paraId="78913EF8" w14:textId="77777777" w:rsidR="0079785E" w:rsidRPr="000B3B32" w:rsidRDefault="0079785E" w:rsidP="0079785E">
      <w:pPr>
        <w:pStyle w:val="AralkYok"/>
        <w:jc w:val="both"/>
        <w:rPr>
          <w:rFonts w:ascii="Times New Roman" w:hAnsi="Times New Roman" w:cs="Times New Roman"/>
          <w:sz w:val="24"/>
          <w:szCs w:val="24"/>
        </w:rPr>
      </w:pPr>
    </w:p>
    <w:p w14:paraId="5E2C72C8" w14:textId="07D781BF" w:rsidR="00FA457D" w:rsidRDefault="00FA457D" w:rsidP="0079785E">
      <w:pPr>
        <w:jc w:val="both"/>
      </w:pPr>
      <w:proofErr w:type="spellStart"/>
      <w:r w:rsidRPr="000B3B32">
        <w:t>Şabat</w:t>
      </w:r>
      <w:proofErr w:type="spellEnd"/>
      <w:r w:rsidRPr="000B3B32">
        <w:t xml:space="preserve"> ile ilgili hüküm Tevrat’taki On Emir’de </w:t>
      </w:r>
      <w:r>
        <w:t>dördüncü s</w:t>
      </w:r>
      <w:r w:rsidRPr="000B3B32">
        <w:t>ırada yer almaktadır ve metinde şu şekilde geçmektedir:</w:t>
      </w:r>
    </w:p>
    <w:p w14:paraId="12E5B783" w14:textId="77777777" w:rsidR="0079785E" w:rsidRPr="000B3B32" w:rsidRDefault="0079785E" w:rsidP="0079785E">
      <w:pPr>
        <w:jc w:val="both"/>
      </w:pPr>
    </w:p>
    <w:p w14:paraId="6A3C5C43" w14:textId="77777777" w:rsidR="00FA457D" w:rsidRDefault="00FA457D" w:rsidP="0079785E">
      <w:pPr>
        <w:jc w:val="both"/>
        <w:rPr>
          <w:i/>
          <w:sz w:val="20"/>
          <w:szCs w:val="20"/>
        </w:rPr>
      </w:pPr>
      <w:r w:rsidRPr="000B3B32">
        <w:rPr>
          <w:i/>
        </w:rPr>
        <w:t>“</w:t>
      </w:r>
      <w:proofErr w:type="spellStart"/>
      <w:r w:rsidRPr="000B3B32">
        <w:rPr>
          <w:i/>
        </w:rPr>
        <w:t>Şabat</w:t>
      </w:r>
      <w:proofErr w:type="spellEnd"/>
      <w:r w:rsidRPr="000B3B32">
        <w:rPr>
          <w:i/>
        </w:rPr>
        <w:t xml:space="preserve"> gününü takdis etmek için onu hatırında tut. Altı gün işleyeceksin ve bütün işini yapacaksın; fakat yedinci gün, Tanrın </w:t>
      </w:r>
      <w:proofErr w:type="spellStart"/>
      <w:r w:rsidRPr="000B3B32">
        <w:rPr>
          <w:i/>
        </w:rPr>
        <w:t>Rab’be</w:t>
      </w:r>
      <w:proofErr w:type="spellEnd"/>
      <w:r w:rsidRPr="000B3B32">
        <w:rPr>
          <w:i/>
        </w:rPr>
        <w:t xml:space="preserve"> </w:t>
      </w:r>
      <w:proofErr w:type="spellStart"/>
      <w:r w:rsidRPr="000B3B32">
        <w:rPr>
          <w:i/>
        </w:rPr>
        <w:t>Şabattır</w:t>
      </w:r>
      <w:proofErr w:type="spellEnd"/>
      <w:r w:rsidRPr="000B3B32">
        <w:rPr>
          <w:i/>
        </w:rPr>
        <w:t xml:space="preserve">, sen ve oğlun ve kızın, kölen ve cariyen, hayvanların ve kapılarında olan garibin hiçbir iş yapmayacaksınız; çünkü Rab gökleri, yeri ve denizi ve onlarda olan bütün şeyleri altı günde yarattı ve yedinci günde istirahat etti; bunun için Rab </w:t>
      </w:r>
      <w:proofErr w:type="spellStart"/>
      <w:r w:rsidRPr="000B3B32">
        <w:rPr>
          <w:i/>
        </w:rPr>
        <w:t>Şabat</w:t>
      </w:r>
      <w:proofErr w:type="spellEnd"/>
      <w:r w:rsidRPr="000B3B32">
        <w:rPr>
          <w:i/>
        </w:rPr>
        <w:t xml:space="preserve"> gününü mübarek kıldı ve onu takdis etti.” </w:t>
      </w:r>
      <w:r w:rsidRPr="00292237">
        <w:rPr>
          <w:i/>
          <w:sz w:val="20"/>
          <w:szCs w:val="20"/>
        </w:rPr>
        <w:t>(Çıkış: 20:8-11)</w:t>
      </w:r>
    </w:p>
    <w:p w14:paraId="69DF4BE0" w14:textId="77777777" w:rsidR="0079785E" w:rsidRPr="000B3B32" w:rsidRDefault="0079785E" w:rsidP="0079785E">
      <w:pPr>
        <w:jc w:val="both"/>
        <w:rPr>
          <w:i/>
        </w:rPr>
      </w:pPr>
    </w:p>
    <w:p w14:paraId="28AC6EFA" w14:textId="719937F4" w:rsidR="00FA457D" w:rsidRDefault="00FA457D" w:rsidP="0079785E">
      <w:pPr>
        <w:jc w:val="both"/>
        <w:rPr>
          <w:sz w:val="20"/>
          <w:szCs w:val="20"/>
        </w:rPr>
      </w:pPr>
      <w:r w:rsidRPr="000B3B32">
        <w:t xml:space="preserve">Bu nedenledir ki Yahudiler </w:t>
      </w:r>
      <w:proofErr w:type="spellStart"/>
      <w:r w:rsidRPr="000B3B32">
        <w:t>Şabat’a</w:t>
      </w:r>
      <w:proofErr w:type="spellEnd"/>
      <w:r w:rsidRPr="000B3B32">
        <w:t xml:space="preserve"> çok önem vermektedir onun gerektirdiği her emri yerine getirirken yasaklarına uymayı da ihmal etmemektedirler. </w:t>
      </w:r>
      <w:proofErr w:type="spellStart"/>
      <w:r w:rsidRPr="000B3B32">
        <w:t>Şabat</w:t>
      </w:r>
      <w:proofErr w:type="spellEnd"/>
      <w:r w:rsidRPr="000B3B32">
        <w:t xml:space="preserve"> öncesinde bazı hazırlıkların yapılması gerekmektedir. </w:t>
      </w:r>
      <w:proofErr w:type="spellStart"/>
      <w:r w:rsidRPr="000B3B32">
        <w:t>Şabat</w:t>
      </w:r>
      <w:proofErr w:type="spellEnd"/>
      <w:r w:rsidRPr="000B3B32">
        <w:t xml:space="preserve"> için öncelikle evin hanımı alışveriş yapmalıdır. Evde yardımcısı olsa da bunu kendisinin yapması gerekir. Sonrasında ev temizlenmeli ve mutfak eşyaları </w:t>
      </w:r>
      <w:proofErr w:type="spellStart"/>
      <w:r w:rsidRPr="000B3B32">
        <w:t>koşerlenmelidir</w:t>
      </w:r>
      <w:proofErr w:type="spellEnd"/>
      <w:r w:rsidRPr="000B3B32">
        <w:t xml:space="preserve">. </w:t>
      </w:r>
      <w:proofErr w:type="spellStart"/>
      <w:r w:rsidRPr="000B3B32">
        <w:t>Şabat</w:t>
      </w:r>
      <w:proofErr w:type="spellEnd"/>
      <w:r w:rsidRPr="000B3B32">
        <w:t xml:space="preserve"> sofrası için Yahudi hanımlarının yaptığı bu hazırlıklar oldukça önemlidir çünkü aile </w:t>
      </w:r>
      <w:proofErr w:type="spellStart"/>
      <w:r w:rsidRPr="000B3B32">
        <w:t>Şabat</w:t>
      </w:r>
      <w:proofErr w:type="spellEnd"/>
      <w:r w:rsidRPr="000B3B32">
        <w:t xml:space="preserve"> akşamı sofra etrafında bir araya gelmektedir.</w:t>
      </w:r>
      <w:r w:rsidRPr="000B3B32">
        <w:fldChar w:fldCharType="begin"/>
      </w:r>
      <w:r w:rsidRPr="000B3B32">
        <w:instrText xml:space="preserve"> ADDIN ZOTERO_ITEM CSL_CITATION {"citationID":"yxU2sGAV","properties":{"formattedCitation":"(Alt\\uc0\\u305{}nta\\uc0\\u351{}, 2018, ss. 174-177)","plainCitation":"(Altıntaş, 2018, ss. 174-177)","noteIndex":0},"citationItems":[{"id":1,"uris":["http://zotero.org/users/16525729/items/HIIC6S9L"],"itemData":{"id":1,"type":"book","edition":"3","event-place":"İstanbul","publisher":"Gözlem Gazetecilik ve Basın Yayın","publisher-place":"İstanbul","title":"Yahudilik’te Kavram ve Değerler","editor":[{"family":"Altıntaş","given":"Yusuf"}],"issued":{"date-parts":[["2018"]]}},"locator":"174-177","label":"page"}],"schema":"https://github.com/citation-style-language/schema/raw/master/csl-citation.json"} </w:instrText>
      </w:r>
      <w:r w:rsidRPr="000B3B32">
        <w:fldChar w:fldCharType="separate"/>
      </w:r>
      <w:r w:rsidRPr="000B3B32">
        <w:t>(Altıntaş, 2018, ss. 174-177)</w:t>
      </w:r>
      <w:r w:rsidRPr="000B3B32">
        <w:fldChar w:fldCharType="end"/>
      </w:r>
      <w:r w:rsidRPr="000B3B32">
        <w:t xml:space="preserve"> Yahudiler çok eski zamanlardan günümüze kadar her nerede olurlarsa olsunlar </w:t>
      </w:r>
      <w:proofErr w:type="gramStart"/>
      <w:r w:rsidRPr="000B3B32">
        <w:t>Cuma</w:t>
      </w:r>
      <w:proofErr w:type="gramEnd"/>
      <w:r w:rsidRPr="000B3B32">
        <w:t xml:space="preserve"> akşamları aile üyeleri ile bir arada </w:t>
      </w:r>
      <w:proofErr w:type="spellStart"/>
      <w:r w:rsidRPr="000B3B32">
        <w:t>Şabat</w:t>
      </w:r>
      <w:proofErr w:type="spellEnd"/>
      <w:r w:rsidRPr="000B3B32">
        <w:t xml:space="preserve"> yemeği etrafında toplanarak bunu devam ettirmeye gayret etmişlerdir. </w:t>
      </w:r>
      <w:proofErr w:type="spellStart"/>
      <w:r w:rsidRPr="000B3B32">
        <w:t>Yahudilik’te</w:t>
      </w:r>
      <w:proofErr w:type="spellEnd"/>
      <w:r w:rsidRPr="000B3B32">
        <w:t xml:space="preserve"> </w:t>
      </w:r>
      <w:proofErr w:type="spellStart"/>
      <w:r w:rsidRPr="000B3B32">
        <w:t>Şabat</w:t>
      </w:r>
      <w:proofErr w:type="spellEnd"/>
      <w:r w:rsidRPr="000B3B32">
        <w:t xml:space="preserve"> günü önemli olduğu kadar </w:t>
      </w:r>
      <w:proofErr w:type="spellStart"/>
      <w:r w:rsidRPr="000B3B32">
        <w:t>Şabat</w:t>
      </w:r>
      <w:proofErr w:type="spellEnd"/>
      <w:r w:rsidRPr="000B3B32">
        <w:t xml:space="preserve"> sofrasında kullanılan eşyalardan yiyeceklere ve bunların miktarına kadar her şeye dikkat edilmektedir. </w:t>
      </w:r>
      <w:r w:rsidRPr="00292237">
        <w:rPr>
          <w:sz w:val="20"/>
          <w:szCs w:val="20"/>
        </w:rPr>
        <w:fldChar w:fldCharType="begin"/>
      </w:r>
      <w:r w:rsidRPr="00292237">
        <w:rPr>
          <w:sz w:val="20"/>
          <w:szCs w:val="20"/>
        </w:rPr>
        <w:instrText xml:space="preserve"> ADDIN ZOTERO_ITEM CSL_CITATION {"citationID":"U8SGq09o","properties":{"formattedCitation":"({\\i{}\\uc0\\u350{}abat Sofras\\uc0\\u305{}}, t.y.)","plainCitation":"(Şabat Sofrası, t.y.)","noteIndex":0},"citationItems":[{"id":95,"uris":["http://zotero.org/users/16525729/items/LVQ28FQT"],"itemData":{"id":95,"type":"webpage","container-title":"Sevivon","title":"Şabat Sofrası","URL":"https://www.sevivon.com/index.php?option=com_content&amp;view=article&amp;id=500:sabat-sofrasi&amp;catid=71&amp;Itemid=243","accessed":{"date-parts":[["2025",2,28]]}}}],"schema":"https://github.com/citation-style-language/schema/raw/master/csl-citation.json"}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Şabat Sofrası</w:t>
      </w:r>
      <w:r w:rsidRPr="00292237">
        <w:rPr>
          <w:sz w:val="20"/>
          <w:szCs w:val="20"/>
        </w:rPr>
        <w:t>, t.y.)</w:t>
      </w:r>
      <w:r w:rsidRPr="00292237">
        <w:rPr>
          <w:sz w:val="20"/>
          <w:szCs w:val="20"/>
        </w:rPr>
        <w:fldChar w:fldCharType="end"/>
      </w:r>
    </w:p>
    <w:p w14:paraId="5244E675" w14:textId="77777777" w:rsidR="0079785E" w:rsidRPr="000B3B32" w:rsidRDefault="0079785E" w:rsidP="0079785E">
      <w:pPr>
        <w:jc w:val="both"/>
      </w:pPr>
    </w:p>
    <w:p w14:paraId="7A2A313A" w14:textId="1E0474FE" w:rsidR="00FA457D" w:rsidRDefault="00FA457D" w:rsidP="0079785E">
      <w:pPr>
        <w:jc w:val="both"/>
        <w:rPr>
          <w:sz w:val="20"/>
          <w:szCs w:val="20"/>
        </w:rPr>
      </w:pPr>
      <w:proofErr w:type="spellStart"/>
      <w:r w:rsidRPr="000B3B32">
        <w:t>Şabat</w:t>
      </w:r>
      <w:proofErr w:type="spellEnd"/>
      <w:r w:rsidRPr="000B3B32">
        <w:t xml:space="preserve"> sofrasının ve ekmeğinin hazırlanması kadına düşen dinî bir görevdir. </w:t>
      </w:r>
      <w:proofErr w:type="spellStart"/>
      <w:r w:rsidRPr="000B3B32">
        <w:t>Şabat</w:t>
      </w:r>
      <w:proofErr w:type="spellEnd"/>
      <w:r w:rsidRPr="000B3B32">
        <w:t xml:space="preserve"> sofrası için yapılması gerekenlerden biri de </w:t>
      </w:r>
      <w:r w:rsidRPr="000B3B32">
        <w:rPr>
          <w:i/>
        </w:rPr>
        <w:t>“</w:t>
      </w:r>
      <w:proofErr w:type="spellStart"/>
      <w:r w:rsidRPr="000B3B32">
        <w:rPr>
          <w:i/>
        </w:rPr>
        <w:t>Challah</w:t>
      </w:r>
      <w:proofErr w:type="spellEnd"/>
      <w:r w:rsidRPr="000B3B32">
        <w:rPr>
          <w:i/>
        </w:rPr>
        <w:t xml:space="preserve">” </w:t>
      </w:r>
      <w:proofErr w:type="spellStart"/>
      <w:r w:rsidRPr="000B3B32">
        <w:t>Şabat</w:t>
      </w:r>
      <w:proofErr w:type="spellEnd"/>
      <w:r w:rsidRPr="000B3B32">
        <w:t xml:space="preserve"> ekmeğidir. Her </w:t>
      </w:r>
      <w:proofErr w:type="spellStart"/>
      <w:r w:rsidRPr="000B3B32">
        <w:t>Şabat</w:t>
      </w:r>
      <w:proofErr w:type="spellEnd"/>
      <w:r w:rsidRPr="000B3B32">
        <w:t xml:space="preserve"> yemeği için iki somun </w:t>
      </w:r>
      <w:proofErr w:type="spellStart"/>
      <w:r w:rsidRPr="000B3B32">
        <w:t>Şabat</w:t>
      </w:r>
      <w:proofErr w:type="spellEnd"/>
      <w:r w:rsidRPr="000B3B32">
        <w:t xml:space="preserve"> ekmeği bezle örtülü bir şekilde sofraya konulmalıdır. Bu Yahudilere, </w:t>
      </w:r>
      <w:proofErr w:type="gramStart"/>
      <w:r w:rsidRPr="000B3B32">
        <w:t>Cuma</w:t>
      </w:r>
      <w:proofErr w:type="gramEnd"/>
      <w:r w:rsidRPr="000B3B32">
        <w:t xml:space="preserve"> günü</w:t>
      </w:r>
      <w:r>
        <w:t xml:space="preserve">nde ve </w:t>
      </w:r>
      <w:proofErr w:type="spellStart"/>
      <w:r w:rsidRPr="000B3B32">
        <w:t>Şabat</w:t>
      </w:r>
      <w:proofErr w:type="spellEnd"/>
      <w:r w:rsidRPr="000B3B32">
        <w:t xml:space="preserve"> için de iki kat </w:t>
      </w:r>
      <w:proofErr w:type="spellStart"/>
      <w:r w:rsidRPr="000B3B32">
        <w:t>manna</w:t>
      </w:r>
      <w:proofErr w:type="spellEnd"/>
      <w:r w:rsidRPr="000B3B32">
        <w:t xml:space="preserve"> düşmesini hatırlatmaktadır. </w:t>
      </w:r>
      <w:proofErr w:type="spellStart"/>
      <w:r w:rsidRPr="000B3B32">
        <w:t>Mişna’ya</w:t>
      </w:r>
      <w:proofErr w:type="spellEnd"/>
      <w:r w:rsidRPr="000B3B32">
        <w:t xml:space="preserve"> göre Yahudiler, </w:t>
      </w:r>
      <w:proofErr w:type="spellStart"/>
      <w:r w:rsidRPr="000B3B32">
        <w:t>challah</w:t>
      </w:r>
      <w:proofErr w:type="spellEnd"/>
      <w:r w:rsidRPr="000B3B32">
        <w:t xml:space="preserve"> hazırlarken beş tahılın –buğday, arpa, kılçıksız buğday, yulaf, çavdar- en az üç tanesini kullanmalıdır. </w:t>
      </w:r>
      <w:proofErr w:type="spellStart"/>
      <w:r w:rsidRPr="000B3B32">
        <w:t>Şabat</w:t>
      </w:r>
      <w:proofErr w:type="spellEnd"/>
      <w:r w:rsidRPr="000B3B32">
        <w:t xml:space="preserve"> gününde </w:t>
      </w:r>
      <w:proofErr w:type="spellStart"/>
      <w:r w:rsidRPr="000B3B32">
        <w:t>challah</w:t>
      </w:r>
      <w:proofErr w:type="spellEnd"/>
      <w:r w:rsidRPr="000B3B32">
        <w:t xml:space="preserve"> dekoratif bir bezle örtülmelidir. Bu örtü çölde </w:t>
      </w:r>
      <w:proofErr w:type="spellStart"/>
      <w:r w:rsidRPr="000B3B32">
        <w:t>mannayı</w:t>
      </w:r>
      <w:proofErr w:type="spellEnd"/>
      <w:r w:rsidRPr="000B3B32">
        <w:t xml:space="preserve"> koruyan çiy tabakasını temsil etmektedir. Başka bir açıklamaya göre de bu uygulama geleneksel </w:t>
      </w:r>
      <w:proofErr w:type="spellStart"/>
      <w:r w:rsidRPr="000B3B32">
        <w:t>Şabat</w:t>
      </w:r>
      <w:proofErr w:type="spellEnd"/>
      <w:r w:rsidRPr="000B3B32">
        <w:t xml:space="preserve"> gününün gelinine benzetilmesinden dolayı yapılmaktadır. Düğün gölgeliği altında dua edilip gelin duvağı nasıl açılıyorsa </w:t>
      </w:r>
      <w:proofErr w:type="spellStart"/>
      <w:r w:rsidRPr="000B3B32">
        <w:t>Şabat</w:t>
      </w:r>
      <w:proofErr w:type="spellEnd"/>
      <w:r w:rsidRPr="000B3B32">
        <w:t xml:space="preserve"> sofrasında dua edildikten sonra, örtü kaldırılıp ekmek kesilir. </w:t>
      </w:r>
      <w:r w:rsidRPr="00292237">
        <w:rPr>
          <w:sz w:val="20"/>
          <w:szCs w:val="20"/>
        </w:rPr>
        <w:fldChar w:fldCharType="begin"/>
      </w:r>
      <w:r w:rsidRPr="00292237">
        <w:rPr>
          <w:sz w:val="20"/>
          <w:szCs w:val="20"/>
        </w:rPr>
        <w:instrText xml:space="preserve"> ADDIN ZOTERO_ITEM CSL_CITATION {"citationID":"hm1WTbCk","properties":{"formattedCitation":"(Eisenberg, 2004, ss. 141-142)","plainCitation":"(Eisenberg, 2004, ss. 141-142)","noteIndex":0},"citationItems":[{"id":20,"uris":["http://zotero.org/users/16525729/items/SH243MZ7"],"itemData":{"id":20,"type":"book","abstract":"Thanks to these generous donors for making the publication of this book possible:Miles z”l and Chris Lerman; David Lerman and Shelley WallockThe bestselling guide to understanding Jewish traditions, now in paperback This is a comprehensive and authoritative resource with ready answers to questions about almost all aspects of Jewish life and practice: life-cycle events, holidays, ritual and prayer, Jewish traditions and customs, and more. Ronald Eisenberg has distilled an immense amount of material from classic and contemporary sources into a single volume, which provides thousands of insights into the origins, history, and current interpretations of a wealth of Jewish traditions and customs. Divided into four sections—Synagogue and Prayers, Sabbaths and Festivals, Life-Cycle Events, and Miscellaneous (a large section that includes such diverse topics as Jewish literature, food, and plants and animals)—this is an encyclopedic reference for anyone who wants easily accessible, accurate information about all things Jewish. Eisenberg writes for a wide, diversified audience, and is respectful of the range of practices and beliefs within today's American Jewish community—from Orthodox to liberal.","edition":"First Edition","event-place":"Philadelphia","ISBN":"978-1-84549-329-5","language":"English","number-of-pages":"806","publisher":"The Jewish Publication Society","publisher-place":"Philadelphia","source":"Amazon","title":"The JPS Guide to Jewish Traditions","author":[{"family":"Eisenberg","given":"Dr Ronald L."}],"issued":{"date-parts":[["2004",10,4]]}},"locator":"141-142","label":"page"}],"schema":"https://github.com/citation-style-language/schema/raw/master/csl-citation.json"} </w:instrText>
      </w:r>
      <w:r w:rsidRPr="00292237">
        <w:rPr>
          <w:sz w:val="20"/>
          <w:szCs w:val="20"/>
        </w:rPr>
        <w:fldChar w:fldCharType="separate"/>
      </w:r>
      <w:r w:rsidRPr="00292237">
        <w:rPr>
          <w:sz w:val="20"/>
          <w:szCs w:val="20"/>
        </w:rPr>
        <w:t>(Eisenberg, 2004, ss. 141-142)</w:t>
      </w:r>
      <w:r w:rsidRPr="00292237">
        <w:rPr>
          <w:sz w:val="20"/>
          <w:szCs w:val="20"/>
        </w:rPr>
        <w:fldChar w:fldCharType="end"/>
      </w:r>
    </w:p>
    <w:p w14:paraId="08372A67" w14:textId="77777777" w:rsidR="0079785E" w:rsidRPr="000B3B32" w:rsidRDefault="0079785E" w:rsidP="0079785E">
      <w:pPr>
        <w:jc w:val="both"/>
      </w:pPr>
    </w:p>
    <w:p w14:paraId="3FAF780E" w14:textId="77777777" w:rsidR="00FA457D" w:rsidRPr="000B3B32" w:rsidRDefault="00FA457D" w:rsidP="0079785E">
      <w:pPr>
        <w:jc w:val="both"/>
      </w:pPr>
      <w:proofErr w:type="spellStart"/>
      <w:r w:rsidRPr="000B3B32">
        <w:t>Challah</w:t>
      </w:r>
      <w:proofErr w:type="spellEnd"/>
      <w:r w:rsidRPr="000B3B32">
        <w:t xml:space="preserve"> ekmeğinin hamuru yapılırken aşağıdaki dua edilmelidir:</w:t>
      </w:r>
    </w:p>
    <w:p w14:paraId="499D7FD6" w14:textId="77777777" w:rsidR="00FA457D" w:rsidRDefault="00FA457D" w:rsidP="0079785E">
      <w:pPr>
        <w:jc w:val="both"/>
        <w:rPr>
          <w:i/>
        </w:rPr>
      </w:pPr>
      <w:r w:rsidRPr="0083506F">
        <w:rPr>
          <w:i/>
        </w:rPr>
        <w:t>“</w:t>
      </w:r>
      <w:proofErr w:type="spellStart"/>
      <w:r w:rsidRPr="0083506F">
        <w:rPr>
          <w:i/>
        </w:rPr>
        <w:t>Baruh</w:t>
      </w:r>
      <w:proofErr w:type="spellEnd"/>
      <w:r w:rsidRPr="0083506F">
        <w:rPr>
          <w:i/>
        </w:rPr>
        <w:t xml:space="preserve"> Ata </w:t>
      </w:r>
      <w:proofErr w:type="spellStart"/>
      <w:r w:rsidRPr="0083506F">
        <w:rPr>
          <w:i/>
        </w:rPr>
        <w:t>Adonay</w:t>
      </w:r>
      <w:proofErr w:type="spellEnd"/>
      <w:r w:rsidRPr="0083506F">
        <w:rPr>
          <w:i/>
        </w:rPr>
        <w:t xml:space="preserve">, </w:t>
      </w:r>
      <w:proofErr w:type="spellStart"/>
      <w:r w:rsidRPr="0083506F">
        <w:rPr>
          <w:i/>
        </w:rPr>
        <w:t>Eloenu</w:t>
      </w:r>
      <w:proofErr w:type="spellEnd"/>
      <w:r w:rsidRPr="0083506F">
        <w:rPr>
          <w:i/>
        </w:rPr>
        <w:t xml:space="preserve"> </w:t>
      </w:r>
      <w:proofErr w:type="spellStart"/>
      <w:r w:rsidRPr="0083506F">
        <w:rPr>
          <w:i/>
        </w:rPr>
        <w:t>Meleh</w:t>
      </w:r>
      <w:proofErr w:type="spellEnd"/>
      <w:r w:rsidRPr="0083506F">
        <w:rPr>
          <w:i/>
        </w:rPr>
        <w:t xml:space="preserve"> </w:t>
      </w:r>
      <w:proofErr w:type="spellStart"/>
      <w:r w:rsidRPr="0083506F">
        <w:rPr>
          <w:i/>
        </w:rPr>
        <w:t>Aolam</w:t>
      </w:r>
      <w:proofErr w:type="spellEnd"/>
      <w:r w:rsidRPr="0083506F">
        <w:rPr>
          <w:i/>
        </w:rPr>
        <w:t xml:space="preserve">, aşer </w:t>
      </w:r>
      <w:proofErr w:type="spellStart"/>
      <w:r w:rsidRPr="0083506F">
        <w:rPr>
          <w:i/>
        </w:rPr>
        <w:t>kideşanu</w:t>
      </w:r>
      <w:proofErr w:type="spellEnd"/>
      <w:r w:rsidRPr="0083506F">
        <w:rPr>
          <w:i/>
        </w:rPr>
        <w:t xml:space="preserve"> </w:t>
      </w:r>
      <w:proofErr w:type="spellStart"/>
      <w:r w:rsidRPr="0083506F">
        <w:rPr>
          <w:i/>
        </w:rPr>
        <w:t>bemitsvotav</w:t>
      </w:r>
      <w:proofErr w:type="spellEnd"/>
      <w:r w:rsidRPr="0083506F">
        <w:rPr>
          <w:i/>
        </w:rPr>
        <w:t xml:space="preserve">, </w:t>
      </w:r>
      <w:proofErr w:type="spellStart"/>
      <w:r w:rsidRPr="0083506F">
        <w:rPr>
          <w:i/>
        </w:rPr>
        <w:t>vetsivanu</w:t>
      </w:r>
      <w:proofErr w:type="spellEnd"/>
      <w:r w:rsidRPr="0083506F">
        <w:rPr>
          <w:i/>
        </w:rPr>
        <w:t xml:space="preserve"> </w:t>
      </w:r>
      <w:proofErr w:type="spellStart"/>
      <w:r w:rsidRPr="0083506F">
        <w:rPr>
          <w:i/>
        </w:rPr>
        <w:t>leafriş</w:t>
      </w:r>
      <w:proofErr w:type="spellEnd"/>
      <w:r w:rsidRPr="0083506F">
        <w:rPr>
          <w:i/>
        </w:rPr>
        <w:t xml:space="preserve"> hala </w:t>
      </w:r>
      <w:proofErr w:type="spellStart"/>
      <w:r w:rsidRPr="0083506F">
        <w:rPr>
          <w:i/>
        </w:rPr>
        <w:t>teruma</w:t>
      </w:r>
      <w:proofErr w:type="spellEnd"/>
      <w:r w:rsidRPr="0083506F">
        <w:rPr>
          <w:i/>
        </w:rPr>
        <w:t>”</w:t>
      </w:r>
      <w:r>
        <w:rPr>
          <w:i/>
        </w:rPr>
        <w:t xml:space="preserve">, </w:t>
      </w:r>
      <w:r w:rsidRPr="000B3B32">
        <w:rPr>
          <w:i/>
        </w:rPr>
        <w:t>“Kutsalsın Sen Tanrım, Evren’in Kralı, emirleriyle bizi kutsayan ve haladan</w:t>
      </w:r>
      <w:r w:rsidRPr="000B3B32">
        <w:rPr>
          <w:rStyle w:val="DipnotBavurusu"/>
          <w:i/>
        </w:rPr>
        <w:footnoteReference w:id="76"/>
      </w:r>
      <w:r w:rsidRPr="000B3B32">
        <w:rPr>
          <w:i/>
        </w:rPr>
        <w:t xml:space="preserve"> </w:t>
      </w:r>
      <w:proofErr w:type="spellStart"/>
      <w:r w:rsidRPr="000B3B32">
        <w:rPr>
          <w:i/>
        </w:rPr>
        <w:lastRenderedPageBreak/>
        <w:t>terumayı</w:t>
      </w:r>
      <w:proofErr w:type="spellEnd"/>
      <w:r w:rsidRPr="000B3B32">
        <w:rPr>
          <w:rStyle w:val="DipnotBavurusu"/>
          <w:i/>
        </w:rPr>
        <w:footnoteReference w:id="77"/>
      </w:r>
      <w:r w:rsidRPr="000B3B32">
        <w:rPr>
          <w:i/>
        </w:rPr>
        <w:t xml:space="preserve"> ayırmayı emreden”</w:t>
      </w:r>
    </w:p>
    <w:p w14:paraId="5248C29A" w14:textId="77777777" w:rsidR="0079785E" w:rsidRPr="000B3B32" w:rsidRDefault="0079785E" w:rsidP="0079785E">
      <w:pPr>
        <w:jc w:val="both"/>
      </w:pPr>
    </w:p>
    <w:p w14:paraId="3A3E0AE9" w14:textId="77777777" w:rsidR="00FA457D" w:rsidRDefault="00FA457D" w:rsidP="0079785E">
      <w:pPr>
        <w:jc w:val="both"/>
        <w:rPr>
          <w:sz w:val="20"/>
          <w:szCs w:val="20"/>
        </w:rPr>
      </w:pPr>
      <w:r w:rsidRPr="000B3B32">
        <w:t>“</w:t>
      </w:r>
      <w:proofErr w:type="spellStart"/>
      <w:r w:rsidRPr="000B3B32">
        <w:t>Şabat</w:t>
      </w:r>
      <w:proofErr w:type="spellEnd"/>
      <w:r w:rsidRPr="000B3B32">
        <w:t xml:space="preserve"> Işıkları” olarak da isimlendirilen mumlar ya da kandillerin yakılması Yahudi takvimi esas alınarak yapılmaktadır. Buradaki zaman dilimleri her ne kadar bölgelere göre farklılık oluştursa da </w:t>
      </w:r>
      <w:proofErr w:type="spellStart"/>
      <w:r w:rsidRPr="000B3B32">
        <w:rPr>
          <w:i/>
        </w:rPr>
        <w:t>Kabalat</w:t>
      </w:r>
      <w:proofErr w:type="spellEnd"/>
      <w:r w:rsidRPr="000B3B32">
        <w:rPr>
          <w:i/>
        </w:rPr>
        <w:t xml:space="preserve"> </w:t>
      </w:r>
      <w:proofErr w:type="spellStart"/>
      <w:r w:rsidRPr="000B3B32">
        <w:rPr>
          <w:i/>
        </w:rPr>
        <w:t>Şabat</w:t>
      </w:r>
      <w:proofErr w:type="spellEnd"/>
      <w:r w:rsidRPr="000B3B32">
        <w:rPr>
          <w:i/>
        </w:rPr>
        <w:t xml:space="preserve"> </w:t>
      </w:r>
      <w:r w:rsidRPr="000B3B32">
        <w:t xml:space="preserve">saatinde mumlar yakılmalıdır. Cuma gününün akşamında yakılan </w:t>
      </w:r>
      <w:proofErr w:type="spellStart"/>
      <w:r w:rsidRPr="000B3B32">
        <w:t>Şabat</w:t>
      </w:r>
      <w:proofErr w:type="spellEnd"/>
      <w:r w:rsidRPr="000B3B32">
        <w:t xml:space="preserve"> mumları cumartesi akşamı </w:t>
      </w:r>
      <w:proofErr w:type="spellStart"/>
      <w:r w:rsidRPr="000B3B32">
        <w:t>Şabat’ın</w:t>
      </w:r>
      <w:proofErr w:type="spellEnd"/>
      <w:r w:rsidRPr="000B3B32">
        <w:t xml:space="preserve"> sona ermesiyle de söndürülür. </w:t>
      </w:r>
      <w:proofErr w:type="spellStart"/>
      <w:r w:rsidRPr="000B3B32">
        <w:t>Şabat</w:t>
      </w:r>
      <w:proofErr w:type="spellEnd"/>
      <w:r w:rsidRPr="000B3B32">
        <w:t xml:space="preserve"> mumları genelde 2 tane kandil şeklinde bulunsa da ikiden az olmaması koşuluyla farklılıklara da bazı bölgelerde rastlanılmaktadır. Bazı yerlerde bu sayı 3 iken bazı yerlerde de haftanın 7 gününe ithafen 7 mum yakılabilmektedir. Bu mumların yakılması dinî bir uygulama olup bu işlem ev hanımı tarafından yapılmalıdır. Evin hanımı mumları yakabilecek durumda değilse aile bireylerinden birinin </w:t>
      </w:r>
      <w:proofErr w:type="spellStart"/>
      <w:r w:rsidRPr="000B3B32">
        <w:t>Şabat</w:t>
      </w:r>
      <w:proofErr w:type="spellEnd"/>
      <w:r w:rsidRPr="000B3B32">
        <w:t xml:space="preserve"> mumlarını yakması gerekmektedir. </w:t>
      </w:r>
      <w:r w:rsidRPr="00292237">
        <w:rPr>
          <w:sz w:val="20"/>
          <w:szCs w:val="20"/>
        </w:rPr>
        <w:fldChar w:fldCharType="begin"/>
      </w:r>
      <w:r w:rsidRPr="00292237">
        <w:rPr>
          <w:sz w:val="20"/>
          <w:szCs w:val="20"/>
        </w:rPr>
        <w:instrText xml:space="preserve"> ADDIN ZOTERO_ITEM CSL_CITATION {"citationID":"kJLBAzRf","properties":{"formattedCitation":"({\\i{}\\uc0\\u350{}abat D\\uc0\\u252{}zeni - Sevivon}, t.y.)","plainCitation":"(Şabat Düzeni - Sevivon, t.y.)","noteIndex":0},"citationItems":[{"id":125,"uris":["http://zotero.org/users/16525729/items/I5774DLK"],"itemData":{"id":125,"type":"webpage","container-title":"Sevivon","title":"Şabat Düzeni - Sevivon","URL":"https://www.sevivon.com/index.php?option=com_content&amp;view=article&amp;id=499:sabat-duzeni&amp;catid=71&amp;Itemid=243","accessed":{"date-parts":[["2025",2,28]]}}}],"schema":"https://github.com/citation-style-language/schema/raw/master/csl-citation.json"}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Şabat Düzeni - Sevivon</w:t>
      </w:r>
      <w:r w:rsidRPr="00292237">
        <w:rPr>
          <w:sz w:val="20"/>
          <w:szCs w:val="20"/>
        </w:rPr>
        <w:t>, t.y.)</w:t>
      </w:r>
      <w:r w:rsidRPr="00292237">
        <w:rPr>
          <w:sz w:val="20"/>
          <w:szCs w:val="20"/>
        </w:rPr>
        <w:fldChar w:fldCharType="end"/>
      </w:r>
    </w:p>
    <w:p w14:paraId="5E332B02" w14:textId="77777777" w:rsidR="0079785E" w:rsidRPr="000B3B32" w:rsidRDefault="0079785E" w:rsidP="0079785E">
      <w:pPr>
        <w:jc w:val="both"/>
      </w:pPr>
    </w:p>
    <w:p w14:paraId="79356222" w14:textId="77777777" w:rsidR="00FA457D" w:rsidRDefault="00FA457D" w:rsidP="0079785E">
      <w:pPr>
        <w:jc w:val="both"/>
      </w:pPr>
      <w:proofErr w:type="spellStart"/>
      <w:r w:rsidRPr="000B3B32">
        <w:t>Şabat</w:t>
      </w:r>
      <w:proofErr w:type="spellEnd"/>
      <w:r w:rsidRPr="000B3B32">
        <w:t xml:space="preserve"> mumları gün batımının öncesinde yakılmalıdır. Gün batımından sonra </w:t>
      </w:r>
      <w:proofErr w:type="spellStart"/>
      <w:r w:rsidRPr="000B3B32">
        <w:t>Şabat</w:t>
      </w:r>
      <w:proofErr w:type="spellEnd"/>
      <w:r w:rsidRPr="000B3B32">
        <w:t xml:space="preserve"> mumlarını yakmak ise </w:t>
      </w:r>
      <w:proofErr w:type="spellStart"/>
      <w:r w:rsidRPr="000B3B32">
        <w:t>Şabat'a</w:t>
      </w:r>
      <w:proofErr w:type="spellEnd"/>
      <w:r w:rsidRPr="000B3B32">
        <w:t xml:space="preserve"> karşı bir saygısızlık olarak görülmektedir. </w:t>
      </w:r>
      <w:proofErr w:type="spellStart"/>
      <w:r w:rsidRPr="000B3B32">
        <w:t>Şabat</w:t>
      </w:r>
      <w:proofErr w:type="spellEnd"/>
      <w:r w:rsidRPr="000B3B32">
        <w:t xml:space="preserve"> mumlarını yakma vakitleri gün batımından 18 dakika öncesidir, bu uygulama zamana bağlı olduğundan dolayı istenilen vakitte yakabilmek için gerekli zamanı gözetip son zamana bırakmamak gerekir.</w:t>
      </w:r>
    </w:p>
    <w:p w14:paraId="3539B4AF" w14:textId="77777777" w:rsidR="0079785E" w:rsidRPr="000B3B32" w:rsidRDefault="0079785E" w:rsidP="0079785E">
      <w:pPr>
        <w:jc w:val="both"/>
      </w:pPr>
    </w:p>
    <w:p w14:paraId="1002BC39" w14:textId="77777777" w:rsidR="00FA457D" w:rsidRDefault="00FA457D" w:rsidP="0079785E">
      <w:pPr>
        <w:jc w:val="both"/>
      </w:pPr>
      <w:r w:rsidRPr="000B3B32">
        <w:t xml:space="preserve">Yahudi kadınları </w:t>
      </w:r>
      <w:proofErr w:type="spellStart"/>
      <w:r w:rsidRPr="000B3B32">
        <w:t>Şabat</w:t>
      </w:r>
      <w:proofErr w:type="spellEnd"/>
      <w:r w:rsidRPr="000B3B32">
        <w:t xml:space="preserve"> mumlarını yakarken gözlerini kapatmalı ve şu </w:t>
      </w:r>
      <w:proofErr w:type="spellStart"/>
      <w:r w:rsidRPr="000B3B32">
        <w:t>berahayı</w:t>
      </w:r>
      <w:proofErr w:type="spellEnd"/>
      <w:r w:rsidRPr="000B3B32">
        <w:t xml:space="preserve"> okumalıdır:</w:t>
      </w:r>
    </w:p>
    <w:p w14:paraId="74223CE3" w14:textId="77777777" w:rsidR="0079785E" w:rsidRPr="000B3B32" w:rsidRDefault="0079785E" w:rsidP="0079785E">
      <w:pPr>
        <w:jc w:val="both"/>
      </w:pPr>
    </w:p>
    <w:p w14:paraId="53FB9293" w14:textId="77777777" w:rsidR="00FA457D" w:rsidRPr="0083506F" w:rsidRDefault="00FA457D" w:rsidP="0079785E">
      <w:pPr>
        <w:jc w:val="both"/>
        <w:rPr>
          <w:bCs/>
        </w:rPr>
      </w:pPr>
      <w:r w:rsidRPr="0083506F">
        <w:rPr>
          <w:bCs/>
        </w:rPr>
        <w:t>בָּ</w:t>
      </w:r>
      <w:proofErr w:type="spellStart"/>
      <w:r w:rsidRPr="0083506F">
        <w:rPr>
          <w:bCs/>
        </w:rPr>
        <w:t>רוּך</w:t>
      </w:r>
      <w:proofErr w:type="spellEnd"/>
      <w:r w:rsidRPr="0083506F">
        <w:rPr>
          <w:bCs/>
        </w:rPr>
        <w:t xml:space="preserve">ְ </w:t>
      </w:r>
      <w:proofErr w:type="spellStart"/>
      <w:r w:rsidRPr="0083506F">
        <w:rPr>
          <w:bCs/>
        </w:rPr>
        <w:t>אַת</w:t>
      </w:r>
      <w:proofErr w:type="spellEnd"/>
      <w:r w:rsidRPr="0083506F">
        <w:rPr>
          <w:bCs/>
        </w:rPr>
        <w:t xml:space="preserve">ָּה </w:t>
      </w:r>
      <w:proofErr w:type="spellStart"/>
      <w:r w:rsidRPr="0083506F">
        <w:rPr>
          <w:bCs/>
        </w:rPr>
        <w:t>אַדֹנ</w:t>
      </w:r>
      <w:proofErr w:type="spellEnd"/>
      <w:r w:rsidRPr="0083506F">
        <w:rPr>
          <w:bCs/>
        </w:rPr>
        <w:t>ָ-י אֱ-</w:t>
      </w:r>
      <w:proofErr w:type="spellStart"/>
      <w:r w:rsidRPr="0083506F">
        <w:rPr>
          <w:bCs/>
        </w:rPr>
        <w:t>לֹהֵינו</w:t>
      </w:r>
      <w:proofErr w:type="spellEnd"/>
      <w:r w:rsidRPr="0083506F">
        <w:rPr>
          <w:bCs/>
        </w:rPr>
        <w:t xml:space="preserve">ּ </w:t>
      </w:r>
      <w:proofErr w:type="spellStart"/>
      <w:r w:rsidRPr="0083506F">
        <w:rPr>
          <w:bCs/>
        </w:rPr>
        <w:t>מֶלֶך</w:t>
      </w:r>
      <w:proofErr w:type="spellEnd"/>
      <w:r w:rsidRPr="0083506F">
        <w:rPr>
          <w:bCs/>
        </w:rPr>
        <w:t xml:space="preserve">ְ </w:t>
      </w:r>
      <w:proofErr w:type="spellStart"/>
      <w:r w:rsidRPr="0083506F">
        <w:rPr>
          <w:bCs/>
        </w:rPr>
        <w:t>הָעוֹלָם</w:t>
      </w:r>
      <w:proofErr w:type="spellEnd"/>
      <w:r w:rsidRPr="0083506F">
        <w:rPr>
          <w:bCs/>
        </w:rPr>
        <w:t xml:space="preserve"> </w:t>
      </w:r>
      <w:proofErr w:type="spellStart"/>
      <w:r w:rsidRPr="0083506F">
        <w:rPr>
          <w:bCs/>
        </w:rPr>
        <w:t>אֲש</w:t>
      </w:r>
      <w:proofErr w:type="spellEnd"/>
      <w:r w:rsidRPr="0083506F">
        <w:rPr>
          <w:bCs/>
        </w:rPr>
        <w:t xml:space="preserve">ֶׁר </w:t>
      </w:r>
      <w:proofErr w:type="spellStart"/>
      <w:r w:rsidRPr="0083506F">
        <w:rPr>
          <w:bCs/>
        </w:rPr>
        <w:t>קִד</w:t>
      </w:r>
      <w:proofErr w:type="spellEnd"/>
      <w:r w:rsidRPr="0083506F">
        <w:rPr>
          <w:bCs/>
        </w:rPr>
        <w:t>ְּשָׁ</w:t>
      </w:r>
      <w:proofErr w:type="spellStart"/>
      <w:r w:rsidRPr="0083506F">
        <w:rPr>
          <w:bCs/>
        </w:rPr>
        <w:t>נו</w:t>
      </w:r>
      <w:proofErr w:type="spellEnd"/>
      <w:r w:rsidRPr="0083506F">
        <w:rPr>
          <w:bCs/>
        </w:rPr>
        <w:t>ּ בְּ</w:t>
      </w:r>
      <w:proofErr w:type="spellStart"/>
      <w:r w:rsidRPr="0083506F">
        <w:rPr>
          <w:bCs/>
        </w:rPr>
        <w:t>מִצְוֹתָיו</w:t>
      </w:r>
      <w:proofErr w:type="spellEnd"/>
      <w:r w:rsidRPr="0083506F">
        <w:rPr>
          <w:bCs/>
        </w:rPr>
        <w:t xml:space="preserve"> </w:t>
      </w:r>
      <w:proofErr w:type="spellStart"/>
      <w:r w:rsidRPr="0083506F">
        <w:rPr>
          <w:bCs/>
        </w:rPr>
        <w:t>וְצִו</w:t>
      </w:r>
      <w:proofErr w:type="spellEnd"/>
      <w:r w:rsidRPr="0083506F">
        <w:rPr>
          <w:bCs/>
        </w:rPr>
        <w:t>ָּ</w:t>
      </w:r>
      <w:proofErr w:type="spellStart"/>
      <w:r w:rsidRPr="0083506F">
        <w:rPr>
          <w:bCs/>
        </w:rPr>
        <w:t>נו</w:t>
      </w:r>
      <w:proofErr w:type="spellEnd"/>
      <w:r w:rsidRPr="0083506F">
        <w:rPr>
          <w:bCs/>
        </w:rPr>
        <w:t xml:space="preserve">ּ </w:t>
      </w:r>
      <w:proofErr w:type="spellStart"/>
      <w:r w:rsidRPr="0083506F">
        <w:rPr>
          <w:bCs/>
        </w:rPr>
        <w:t>לְהַדְלִיק</w:t>
      </w:r>
      <w:proofErr w:type="spellEnd"/>
      <w:r w:rsidRPr="0083506F">
        <w:rPr>
          <w:bCs/>
        </w:rPr>
        <w:t xml:space="preserve"> </w:t>
      </w:r>
      <w:proofErr w:type="spellStart"/>
      <w:r w:rsidRPr="0083506F">
        <w:rPr>
          <w:bCs/>
        </w:rPr>
        <w:t>נֵר</w:t>
      </w:r>
      <w:proofErr w:type="spellEnd"/>
      <w:r w:rsidRPr="0083506F">
        <w:rPr>
          <w:bCs/>
        </w:rPr>
        <w:t xml:space="preserve"> שֶׁל שַׁבָּת </w:t>
      </w:r>
      <w:proofErr w:type="spellStart"/>
      <w:r w:rsidRPr="0083506F">
        <w:rPr>
          <w:bCs/>
        </w:rPr>
        <w:t>קֹדֶש</w:t>
      </w:r>
      <w:proofErr w:type="spellEnd"/>
      <w:r w:rsidRPr="0083506F">
        <w:rPr>
          <w:bCs/>
        </w:rPr>
        <w:t>ׁ</w:t>
      </w:r>
    </w:p>
    <w:p w14:paraId="7532F042" w14:textId="2C08F6BD" w:rsidR="00FA457D" w:rsidRPr="000B3B32" w:rsidRDefault="00FA457D" w:rsidP="0079785E">
      <w:pPr>
        <w:jc w:val="both"/>
        <w:rPr>
          <w:i/>
        </w:rPr>
      </w:pPr>
      <w:r w:rsidRPr="000B3B32">
        <w:rPr>
          <w:i/>
        </w:rPr>
        <w:t xml:space="preserve">“Bizi emirleriyle kutsayan ve </w:t>
      </w:r>
      <w:proofErr w:type="spellStart"/>
      <w:r w:rsidRPr="000B3B32">
        <w:rPr>
          <w:i/>
        </w:rPr>
        <w:t>Şabat</w:t>
      </w:r>
      <w:proofErr w:type="spellEnd"/>
      <w:r w:rsidRPr="000B3B32">
        <w:rPr>
          <w:i/>
        </w:rPr>
        <w:t xml:space="preserve"> için bir mum yakmamızı emreden dünyanın Kralı, Tanrımız Rab, ne mutlu sana.”</w:t>
      </w:r>
      <w:r>
        <w:rPr>
          <w:i/>
        </w:rPr>
        <w:t xml:space="preserve"> </w:t>
      </w:r>
      <w:r w:rsidRPr="00292237">
        <w:rPr>
          <w:i/>
          <w:sz w:val="20"/>
          <w:szCs w:val="20"/>
        </w:rPr>
        <w:fldChar w:fldCharType="begin"/>
      </w:r>
      <w:r w:rsidRPr="00292237">
        <w:rPr>
          <w:i/>
          <w:sz w:val="20"/>
          <w:szCs w:val="20"/>
        </w:rPr>
        <w:instrText xml:space="preserve"> ADDIN ZOTERO_ITEM CSL_CITATION {"citationID":"bB472qhL","properties":{"formattedCitation":"({\\i{}Blessings &amp; Instructions for Shabbat Candles - How to Light Shabbat Candles}, t.y.)","plainCitation":"(Blessings &amp; Instructions for Shabbat Candles - How to Light Shabbat Candles, t.y.)","noteIndex":0},"citationItems":[{"id":127,"uris":["http://zotero.org/users/16525729/items/D8ALHK7B"],"itemData":{"id":127,"type":"webpage","abstract":"A step-by-step guide to performing this beautiful mitzvah, with prayers and instructions.","container-title":"Chabad","language":"en","title":"Blessings &amp; Instructions for Shabbat Candles - How to Light Shabbat Candles","URL":"https://www.chabad.org/library/article_cdo/aid/87131/jewish/How-to-Light-Shabbat-Candles.htm","accessed":{"date-parts":[["2025",2,28]]}}}],"schema":"https://github.com/citation-style-language/schema/raw/master/csl-citation.json"} </w:instrText>
      </w:r>
      <w:r w:rsidRPr="00292237">
        <w:rPr>
          <w:i/>
          <w:sz w:val="20"/>
          <w:szCs w:val="20"/>
        </w:rPr>
        <w:fldChar w:fldCharType="separate"/>
      </w:r>
      <w:r w:rsidRPr="00292237">
        <w:rPr>
          <w:sz w:val="20"/>
          <w:szCs w:val="20"/>
        </w:rPr>
        <w:t>(</w:t>
      </w:r>
      <w:r w:rsidRPr="00292237">
        <w:rPr>
          <w:i/>
          <w:iCs/>
          <w:sz w:val="20"/>
          <w:szCs w:val="20"/>
        </w:rPr>
        <w:t>Blessings &amp; Instructions for Shabbat Candles - How to Light Shabbat Candles</w:t>
      </w:r>
      <w:r w:rsidRPr="00292237">
        <w:rPr>
          <w:sz w:val="20"/>
          <w:szCs w:val="20"/>
        </w:rPr>
        <w:t>, t.y.)</w:t>
      </w:r>
      <w:r w:rsidRPr="00292237">
        <w:rPr>
          <w:i/>
          <w:sz w:val="20"/>
          <w:szCs w:val="20"/>
        </w:rPr>
        <w:fldChar w:fldCharType="end"/>
      </w:r>
    </w:p>
    <w:p w14:paraId="3E381288" w14:textId="77777777" w:rsidR="00FA457D" w:rsidRPr="000B3B32" w:rsidRDefault="00FA457D" w:rsidP="0079785E">
      <w:pPr>
        <w:jc w:val="both"/>
      </w:pPr>
      <w:proofErr w:type="spellStart"/>
      <w:r w:rsidRPr="000B3B32">
        <w:t>Khane</w:t>
      </w:r>
      <w:proofErr w:type="spellEnd"/>
      <w:r w:rsidRPr="000B3B32">
        <w:t xml:space="preserve"> </w:t>
      </w:r>
      <w:proofErr w:type="spellStart"/>
      <w:r w:rsidRPr="000B3B32">
        <w:t>Kats</w:t>
      </w:r>
      <w:proofErr w:type="spellEnd"/>
      <w:r w:rsidRPr="000B3B32">
        <w:t xml:space="preserve"> adlı kitapta yer alan </w:t>
      </w:r>
      <w:proofErr w:type="spellStart"/>
      <w:r w:rsidRPr="000B3B32">
        <w:t>Şabat</w:t>
      </w:r>
      <w:proofErr w:type="spellEnd"/>
      <w:r w:rsidRPr="000B3B32">
        <w:t xml:space="preserve"> duasından kısa bir bölüm şu şekildedir:</w:t>
      </w:r>
    </w:p>
    <w:p w14:paraId="082BBD4E"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“Sevgili Tanrım, / Bütün ruhların yaratıcısı, / Seni övmek isterim, / Ve teşekkür ederim,</w:t>
      </w:r>
    </w:p>
    <w:p w14:paraId="110A2145"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 Bizi tercih ettiğiniz için / Sevgili insanlarınız olarak. / Sen bizim Tanrımızsın, / Cenneti ve yeri kim yarattı, / Ve bize kutsal </w:t>
      </w:r>
      <w:proofErr w:type="spellStart"/>
      <w:r w:rsidRPr="000B3B32">
        <w:rPr>
          <w:rFonts w:ascii="Times New Roman" w:hAnsi="Times New Roman" w:cs="Times New Roman"/>
          <w:i/>
          <w:sz w:val="24"/>
          <w:szCs w:val="24"/>
        </w:rPr>
        <w:t>Şabat'ı</w:t>
      </w:r>
      <w:proofErr w:type="spellEnd"/>
      <w:r w:rsidRPr="000B3B32">
        <w:rPr>
          <w:rFonts w:ascii="Times New Roman" w:hAnsi="Times New Roman" w:cs="Times New Roman"/>
          <w:i/>
          <w:sz w:val="24"/>
          <w:szCs w:val="24"/>
        </w:rPr>
        <w:t xml:space="preserve"> verdi. / Bize merhametli ol.</w:t>
      </w:r>
    </w:p>
    <w:p w14:paraId="4CAB15EE"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 xml:space="preserve">/ Gözlemliyoruz ve saygı duyuyoruz / Bu sevgili, kutsal </w:t>
      </w:r>
      <w:proofErr w:type="spellStart"/>
      <w:r w:rsidRPr="000B3B32">
        <w:rPr>
          <w:rFonts w:ascii="Times New Roman" w:hAnsi="Times New Roman" w:cs="Times New Roman"/>
          <w:i/>
          <w:sz w:val="24"/>
          <w:szCs w:val="24"/>
        </w:rPr>
        <w:t>Şabat</w:t>
      </w:r>
      <w:proofErr w:type="spellEnd"/>
      <w:r w:rsidRPr="000B3B32">
        <w:rPr>
          <w:rFonts w:ascii="Times New Roman" w:hAnsi="Times New Roman" w:cs="Times New Roman"/>
          <w:i/>
          <w:sz w:val="24"/>
          <w:szCs w:val="24"/>
        </w:rPr>
        <w:t xml:space="preserve">, / Güzel etlerle, / Ve iyi yemek </w:t>
      </w:r>
      <w:proofErr w:type="spellStart"/>
      <w:r w:rsidRPr="000B3B32">
        <w:rPr>
          <w:rFonts w:ascii="Times New Roman" w:hAnsi="Times New Roman" w:cs="Times New Roman"/>
          <w:i/>
          <w:sz w:val="24"/>
          <w:szCs w:val="24"/>
        </w:rPr>
        <w:t>yemek</w:t>
      </w:r>
      <w:proofErr w:type="spellEnd"/>
      <w:r w:rsidRPr="000B3B32">
        <w:rPr>
          <w:rFonts w:ascii="Times New Roman" w:hAnsi="Times New Roman" w:cs="Times New Roman"/>
          <w:i/>
          <w:sz w:val="24"/>
          <w:szCs w:val="24"/>
        </w:rPr>
        <w:t xml:space="preserve"> için / Hazırladığımız, / Ve içmek için tatlı içecekler, / Ve tüm zevkler / Gerçekleştirmek.</w:t>
      </w:r>
    </w:p>
    <w:p w14:paraId="5A751856" w14:textId="77777777" w:rsidR="00FA457D" w:rsidRPr="000B3B32" w:rsidRDefault="00FA457D" w:rsidP="0079785E">
      <w:pPr>
        <w:pStyle w:val="AralkYok"/>
        <w:jc w:val="both"/>
        <w:rPr>
          <w:rFonts w:ascii="Times New Roman" w:hAnsi="Times New Roman" w:cs="Times New Roman"/>
          <w:i/>
          <w:sz w:val="24"/>
          <w:szCs w:val="24"/>
        </w:rPr>
      </w:pPr>
      <w:r w:rsidRPr="000B3B32">
        <w:rPr>
          <w:rFonts w:ascii="Times New Roman" w:hAnsi="Times New Roman" w:cs="Times New Roman"/>
          <w:i/>
          <w:sz w:val="24"/>
          <w:szCs w:val="24"/>
        </w:rPr>
        <w:t>Bize layık olan / Kocalarımız ve çocuklarımız olsun / Uzun yaşamak / Şeref ve bolluk içinde.</w:t>
      </w:r>
    </w:p>
    <w:p w14:paraId="59338304" w14:textId="77777777" w:rsidR="00FA457D" w:rsidRDefault="00FA457D" w:rsidP="0079785E">
      <w:pPr>
        <w:pStyle w:val="AralkYok"/>
        <w:jc w:val="both"/>
        <w:rPr>
          <w:rFonts w:ascii="Times New Roman" w:hAnsi="Times New Roman" w:cs="Times New Roman"/>
          <w:i/>
          <w:sz w:val="20"/>
          <w:szCs w:val="20"/>
        </w:rPr>
      </w:pPr>
      <w:r w:rsidRPr="000B3B32">
        <w:rPr>
          <w:rFonts w:ascii="Times New Roman" w:hAnsi="Times New Roman" w:cs="Times New Roman"/>
          <w:i/>
          <w:sz w:val="24"/>
          <w:szCs w:val="24"/>
        </w:rPr>
        <w:t xml:space="preserve">Sevgili kutsal </w:t>
      </w:r>
      <w:proofErr w:type="spellStart"/>
      <w:r w:rsidRPr="000B3B32">
        <w:rPr>
          <w:rFonts w:ascii="Times New Roman" w:hAnsi="Times New Roman" w:cs="Times New Roman"/>
          <w:i/>
          <w:sz w:val="24"/>
          <w:szCs w:val="24"/>
        </w:rPr>
        <w:t>Şabat'ta</w:t>
      </w:r>
      <w:proofErr w:type="spellEnd"/>
      <w:r w:rsidRPr="000B3B32">
        <w:rPr>
          <w:rFonts w:ascii="Times New Roman" w:hAnsi="Times New Roman" w:cs="Times New Roman"/>
          <w:i/>
          <w:sz w:val="24"/>
          <w:szCs w:val="24"/>
        </w:rPr>
        <w:t xml:space="preserve">, / Cenneti görüyoruz. / layık olabilir miyiz / Bu dünyada olmak, / Ve bir sonrakinde. / Ve sevgili Mesih / Bizi sağ elinden tut / </w:t>
      </w:r>
      <w:proofErr w:type="gramStart"/>
      <w:r w:rsidRPr="000B3B32">
        <w:rPr>
          <w:rFonts w:ascii="Times New Roman" w:hAnsi="Times New Roman" w:cs="Times New Roman"/>
          <w:i/>
          <w:sz w:val="24"/>
          <w:szCs w:val="24"/>
        </w:rPr>
        <w:t>Ve</w:t>
      </w:r>
      <w:proofErr w:type="gramEnd"/>
      <w:r w:rsidRPr="000B3B32">
        <w:rPr>
          <w:rFonts w:ascii="Times New Roman" w:hAnsi="Times New Roman" w:cs="Times New Roman"/>
          <w:i/>
          <w:sz w:val="24"/>
          <w:szCs w:val="24"/>
        </w:rPr>
        <w:t xml:space="preserve"> bizi Kutsal Topraklara götür. / Amin”</w:t>
      </w:r>
      <w:r w:rsidRPr="00292237">
        <w:rPr>
          <w:rFonts w:ascii="Times New Roman" w:hAnsi="Times New Roman" w:cs="Times New Roman"/>
          <w:i/>
          <w:sz w:val="20"/>
          <w:szCs w:val="20"/>
        </w:rPr>
        <w:t xml:space="preserve"> </w:t>
      </w:r>
      <w:r w:rsidRPr="00292237">
        <w:rPr>
          <w:rFonts w:ascii="Times New Roman" w:hAnsi="Times New Roman" w:cs="Times New Roman"/>
          <w:i/>
          <w:sz w:val="20"/>
          <w:szCs w:val="20"/>
        </w:rPr>
        <w:fldChar w:fldCharType="begin"/>
      </w:r>
      <w:r w:rsidRPr="00292237">
        <w:rPr>
          <w:rFonts w:ascii="Times New Roman" w:hAnsi="Times New Roman" w:cs="Times New Roman"/>
          <w:i/>
          <w:sz w:val="20"/>
          <w:szCs w:val="20"/>
        </w:rPr>
        <w:instrText xml:space="preserve"> ADDIN ZOTERO_ITEM CSL_CITATION {"citationID":"0uvDh7bh","properties":{"formattedCitation":"(Kay, 2004, ss. 217-218)","plainCitation":"(Kay, 2004, ss. 217-218)","noteIndex":0},"citationItems":[{"id":58,"uris":["http://zotero.org/users/16525729/items/AMPARZB5"],"itemData":{"id":58,"type":"book","abstract":"Access 135+ million publications and connect with 20+ million researchers. Join for free and gain visibility by uploading your research.","event-place":"Philadelphia","language":"en","publisher":"The Jewish Publication Society","publisher-place":"Philadelphia","title":"Seyder Tkhines (The Forgotten Book of Common Prayer for Jewish Women)","title-short":"Seyder Tkhines","URL":"https://www.researchgate.net/publication/236792098_Seyder_Tkhines_The_Forgotten_Book_of_Common_Prayer_for_Jewish_Women_review","author":[{"family":"Kay","given":"Devra"}],"accessed":{"date-parts":[["2025",2,28]]},"issued":{"date-parts":[["2004"]]}},"locator":"217-218","label":"page"}],"schema":"https://github.com/citation-style-language/schema/raw/master/csl-citation.json"} </w:instrText>
      </w:r>
      <w:r w:rsidRPr="00292237">
        <w:rPr>
          <w:rFonts w:ascii="Times New Roman" w:hAnsi="Times New Roman" w:cs="Times New Roman"/>
          <w:i/>
          <w:sz w:val="20"/>
          <w:szCs w:val="20"/>
        </w:rPr>
        <w:fldChar w:fldCharType="separate"/>
      </w:r>
      <w:r w:rsidRPr="00292237">
        <w:rPr>
          <w:rFonts w:ascii="Times New Roman" w:hAnsi="Times New Roman" w:cs="Times New Roman"/>
          <w:sz w:val="20"/>
          <w:szCs w:val="20"/>
        </w:rPr>
        <w:t>(Kay, 2004, ss. 217-218)</w:t>
      </w:r>
      <w:r w:rsidRPr="00292237">
        <w:rPr>
          <w:rFonts w:ascii="Times New Roman" w:hAnsi="Times New Roman" w:cs="Times New Roman"/>
          <w:i/>
          <w:sz w:val="20"/>
          <w:szCs w:val="20"/>
        </w:rPr>
        <w:fldChar w:fldCharType="end"/>
      </w:r>
    </w:p>
    <w:p w14:paraId="75F64B28" w14:textId="77777777" w:rsidR="0079785E" w:rsidRPr="000B3B32" w:rsidRDefault="0079785E" w:rsidP="0079785E">
      <w:pPr>
        <w:pStyle w:val="AralkYok"/>
        <w:jc w:val="both"/>
        <w:rPr>
          <w:rFonts w:ascii="Times New Roman" w:hAnsi="Times New Roman" w:cs="Times New Roman"/>
          <w:i/>
          <w:sz w:val="24"/>
          <w:szCs w:val="24"/>
        </w:rPr>
      </w:pPr>
    </w:p>
    <w:p w14:paraId="2836203F" w14:textId="77777777" w:rsidR="00FA457D" w:rsidRDefault="00FA457D" w:rsidP="0079785E">
      <w:pPr>
        <w:jc w:val="both"/>
      </w:pPr>
      <w:proofErr w:type="spellStart"/>
      <w:r w:rsidRPr="000B3B32">
        <w:t>Şabat</w:t>
      </w:r>
      <w:proofErr w:type="spellEnd"/>
      <w:r w:rsidRPr="000B3B32">
        <w:t xml:space="preserve"> günü erkekler sinagoga ibadet etmeye giderken kadınlar evde </w:t>
      </w:r>
      <w:proofErr w:type="spellStart"/>
      <w:r w:rsidRPr="000B3B32">
        <w:t>Şabat</w:t>
      </w:r>
      <w:proofErr w:type="spellEnd"/>
      <w:r w:rsidRPr="000B3B32">
        <w:t xml:space="preserve"> için gerekli hazırlıkları yapmakla sorumlu olduğu bilinmektedir. Ancak bunlarla birlikte </w:t>
      </w:r>
      <w:proofErr w:type="spellStart"/>
      <w:r w:rsidRPr="000B3B32">
        <w:t>Şabat</w:t>
      </w:r>
      <w:proofErr w:type="spellEnd"/>
      <w:r w:rsidRPr="000B3B32">
        <w:t xml:space="preserve"> günü Yahudi kadınlarının Tora okuyabileceğine dair bazı ifadeler yer almaktadır:</w:t>
      </w:r>
    </w:p>
    <w:p w14:paraId="27D45177" w14:textId="77777777" w:rsidR="0079785E" w:rsidRPr="000B3B32" w:rsidRDefault="0079785E" w:rsidP="0079785E">
      <w:pPr>
        <w:jc w:val="both"/>
      </w:pPr>
    </w:p>
    <w:p w14:paraId="3F7FEB07" w14:textId="77777777" w:rsidR="00FA457D" w:rsidRDefault="00FA457D" w:rsidP="0079785E">
      <w:pPr>
        <w:jc w:val="both"/>
        <w:rPr>
          <w:i/>
        </w:rPr>
      </w:pPr>
      <w:r w:rsidRPr="000B3B32">
        <w:rPr>
          <w:i/>
        </w:rPr>
        <w:t xml:space="preserve">“Üstatlarımız şöyle öğretmiştir: Herkes </w:t>
      </w:r>
      <w:proofErr w:type="spellStart"/>
      <w:r w:rsidRPr="000B3B32">
        <w:rPr>
          <w:i/>
        </w:rPr>
        <w:t>Shabbat</w:t>
      </w:r>
      <w:proofErr w:type="spellEnd"/>
      <w:r w:rsidRPr="000B3B32">
        <w:rPr>
          <w:i/>
        </w:rPr>
        <w:t xml:space="preserve"> günü yedi </w:t>
      </w:r>
      <w:proofErr w:type="spellStart"/>
      <w:r w:rsidRPr="000B3B32">
        <w:rPr>
          <w:i/>
        </w:rPr>
        <w:t>Torah</w:t>
      </w:r>
      <w:proofErr w:type="spellEnd"/>
      <w:r w:rsidRPr="000B3B32">
        <w:rPr>
          <w:i/>
        </w:rPr>
        <w:t xml:space="preserve"> okuyucusu arasında kendisini sayabilir. Hatta bir kadın ve bir çocuk dahi… Bununla beraber, Yahudi şeriat üstatları şöyle demiştir: bir kadın, saygısından dolayı, halka Tora okumayacaktır.”</w:t>
      </w:r>
    </w:p>
    <w:p w14:paraId="7442F7A7" w14:textId="77777777" w:rsidR="0079785E" w:rsidRPr="000B3B32" w:rsidRDefault="0079785E" w:rsidP="0079785E">
      <w:pPr>
        <w:jc w:val="both"/>
        <w:rPr>
          <w:i/>
        </w:rPr>
      </w:pPr>
    </w:p>
    <w:p w14:paraId="296832BA" w14:textId="6EEE688E" w:rsidR="00FA457D" w:rsidRPr="000B3B32" w:rsidRDefault="00FA457D" w:rsidP="0079785E">
      <w:pPr>
        <w:jc w:val="both"/>
      </w:pPr>
      <w:r w:rsidRPr="000B3B32">
        <w:t>Burada geçen ifadelerden anlaşılabileceği gibi aslında Yahudi kadınları Tora okumakla yükümlüdürler ve kendilerini dinleyenlere karşı açıktan Tora okuyabilirler.</w:t>
      </w:r>
      <w:r w:rsidRPr="00292237">
        <w:rPr>
          <w:sz w:val="20"/>
          <w:szCs w:val="20"/>
        </w:rPr>
        <w:fldChar w:fldCharType="begin"/>
      </w:r>
      <w:r w:rsidRPr="00292237">
        <w:rPr>
          <w:sz w:val="20"/>
          <w:szCs w:val="20"/>
        </w:rPr>
        <w:instrText xml:space="preserve"> ADDIN ZOTERO_ITEM CSL_CITATION {"citationID":"2YdLUMCG","properties":{"formattedCitation":"(Vana, 2013, s. 60)","plainCitation":"(Vana, 2013, s. 60)","noteIndex":0},"citationItems":[{"id":115,"uris":["http://zotero.org/users/16525729/items/4685CLVY"],"itemData":{"id":115,"type":"book","abstract":"Elinizdeki kitap, Yahudilik’de kadınla ilgili yaklaşımların yanlışlığını ve Yahudi din hukukçularının, Yahudi Şeriatına ters düşen görüşlerini sergileyen üç makaleden oluşmaktadır. Birinci makalede, Yahudi Şeriatı yasaklamadığı halde, Yahudi Şeriat uzmanlarının, kadınların yönetim işlerinde çalışmalarını yasakladıkları, açıklanmaktadır. İkinci makalede, Yahudi Şeriatına göre kadınların dini görevlerde bulunmalarında bir sakınca olmadığı halde, erkeklerin onur ve şereflerinin yükseltilmesi adına, Yahudi hukukçularının, Yahudi kadınlarının onurlarını zedeledikleri ve dini görevlerden uzaklaştırıldıkları, belirtilmektedir. Üçüncü makalede, Helenistik ve Roma dönemindeki nişanlanma ve evlenme âdetleri anlatılmakta, bu konuda yapılan işlemlerde, Yahudi Şeriatının dışına çıkıldığına vurgu yapılmaktadır. Prof.Dr. Mehmet AYDIN","edition":"1","event-place":"Konya","ISBN":"978-605-4336-91-3","language":"tr","number-of-pages":"168","publisher":"Nüve Kültür Merkezi","publisher-place":"Konya","source":"KitapYurdu.com","title":"Yahudilik'de Kadın (Epitropos'luk-Kadın Dua Grupları-Evlenme)","author":[{"family":"Vana","given":"Liliana"}],"translator":[{"family":"Aydın","given":"Mehmet"}],"issued":{"date-parts":[["2013",1,1]]}},"locator":"60","label":"page"}],"schema":"https://github.com/citation-style-language/schema/raw/master/csl-citation.json"} </w:instrText>
      </w:r>
      <w:r w:rsidRPr="00292237">
        <w:rPr>
          <w:sz w:val="20"/>
          <w:szCs w:val="20"/>
        </w:rPr>
        <w:fldChar w:fldCharType="separate"/>
      </w:r>
      <w:r w:rsidRPr="00292237">
        <w:rPr>
          <w:sz w:val="20"/>
          <w:szCs w:val="20"/>
        </w:rPr>
        <w:t>(Vana, 2013, s. 60)</w:t>
      </w:r>
      <w:r w:rsidRPr="00292237">
        <w:rPr>
          <w:sz w:val="20"/>
          <w:szCs w:val="20"/>
        </w:rPr>
        <w:fldChar w:fldCharType="end"/>
      </w:r>
    </w:p>
    <w:p w14:paraId="1D6ED27A" w14:textId="77777777" w:rsidR="00FA457D" w:rsidRDefault="00FA457D" w:rsidP="0079785E">
      <w:pPr>
        <w:jc w:val="both"/>
        <w:rPr>
          <w:i/>
          <w:sz w:val="20"/>
          <w:szCs w:val="20"/>
        </w:rPr>
      </w:pPr>
      <w:r>
        <w:t xml:space="preserve">Halkbilimci </w:t>
      </w:r>
      <w:r w:rsidRPr="000B3B32">
        <w:t xml:space="preserve">Lucy M. L. </w:t>
      </w:r>
      <w:proofErr w:type="spellStart"/>
      <w:r w:rsidRPr="000B3B32">
        <w:t>Garnett’in</w:t>
      </w:r>
      <w:proofErr w:type="spellEnd"/>
      <w:r w:rsidRPr="000B3B32">
        <w:t xml:space="preserve"> gözlemlemelerine göre bazı Yahudi kadınlar </w:t>
      </w:r>
      <w:proofErr w:type="spellStart"/>
      <w:r w:rsidRPr="000B3B32">
        <w:t>Şabat</w:t>
      </w:r>
      <w:proofErr w:type="spellEnd"/>
      <w:r w:rsidRPr="000B3B32">
        <w:t xml:space="preserve"> </w:t>
      </w:r>
      <w:r w:rsidRPr="000B3B32">
        <w:lastRenderedPageBreak/>
        <w:t xml:space="preserve">zamanında </w:t>
      </w:r>
      <w:proofErr w:type="spellStart"/>
      <w:r w:rsidRPr="000B3B32">
        <w:t>sinogoga</w:t>
      </w:r>
      <w:proofErr w:type="spellEnd"/>
      <w:r w:rsidRPr="000B3B32">
        <w:t xml:space="preserve"> gitmektedirler: </w:t>
      </w:r>
      <w:r w:rsidRPr="000B3B32">
        <w:rPr>
          <w:i/>
        </w:rPr>
        <w:t xml:space="preserve">“evlenmemiş kızların toplu ibadetlere katılması şart değildir. Ama anaç kadınlar </w:t>
      </w:r>
      <w:proofErr w:type="spellStart"/>
      <w:r w:rsidRPr="000B3B32">
        <w:rPr>
          <w:i/>
        </w:rPr>
        <w:t>Şabat</w:t>
      </w:r>
      <w:proofErr w:type="spellEnd"/>
      <w:r w:rsidRPr="000B3B32">
        <w:rPr>
          <w:i/>
        </w:rPr>
        <w:t xml:space="preserve"> ve bayram günlerinde daima sinagoga gider. Kadınlar toplu ibadet yerlerinde erkeklerin arasına karışmaz ve bir ahşap kafesle görüşü perdelenmiş bir galeride ayrı oturur.” </w:t>
      </w:r>
      <w:r w:rsidRPr="00292237">
        <w:rPr>
          <w:i/>
          <w:sz w:val="20"/>
          <w:szCs w:val="20"/>
        </w:rPr>
        <w:fldChar w:fldCharType="begin"/>
      </w:r>
      <w:r w:rsidRPr="00292237">
        <w:rPr>
          <w:i/>
          <w:sz w:val="20"/>
          <w:szCs w:val="20"/>
        </w:rPr>
        <w:instrText xml:space="preserve"> ADDIN ZOTERO_ITEM CSL_CITATION {"citationID":"KvdS3WW7","properties":{"formattedCitation":"(Ok\\uc0\\u231{}ay, 2013, s. 146)","plainCitation":"(Okçay, 2013, s. 146)","noteIndex":0},"citationItems":[{"id":76,"uris":["http://zotero.org/users/16525729/items/8AVS9UFV"],"itemData":{"id":76,"type":"book","abstract":"Bu çalışma, ilk tek tanrılı din olan Yahudilik ve bu dinin en temel aktarıcısı Kadın, tartışmanın ana temalarını oluşturuyor. Yer İzmir. İzmir çünkü Osmanlı’dan günümüze “Nev-i Şahsına Münhasır” bir kent olma özelliğini hiçbir zaman yitirmemiştir ve Sefarad Yahudilerenin de önemli bir merkezi olarak eşsiz bir öneme sahiptir. “500 Yıllık Komşularımız” kavramı da bu konuya işaret ediyor.","edition":"1","event-place":"Ankara","ISBN":"978-605-4657-32-2","language":"tr","number-of-pages":"240","publisher":"Phoenix Yayınevi","publisher-place":"Ankara","source":"KitapYurdu.com","title":"İzmir Yahudi Cemaati Kadın Kimliği (Beş Yüz Yıllık Komşularımız)","author":[{"family":"Okçay","given":"Hale"}],"issued":{"date-parts":[["2013",2,22]]}},"locator":"146","label":"page"}],"schema":"https://github.com/citation-style-language/schema/raw/master/csl-citation.json"} </w:instrText>
      </w:r>
      <w:r w:rsidRPr="00292237">
        <w:rPr>
          <w:i/>
          <w:sz w:val="20"/>
          <w:szCs w:val="20"/>
        </w:rPr>
        <w:fldChar w:fldCharType="separate"/>
      </w:r>
      <w:r w:rsidRPr="00292237">
        <w:rPr>
          <w:sz w:val="20"/>
          <w:szCs w:val="20"/>
        </w:rPr>
        <w:t>(Okçay, 2013, s. 146)</w:t>
      </w:r>
      <w:r w:rsidRPr="00292237">
        <w:rPr>
          <w:i/>
          <w:sz w:val="20"/>
          <w:szCs w:val="20"/>
        </w:rPr>
        <w:fldChar w:fldCharType="end"/>
      </w:r>
    </w:p>
    <w:p w14:paraId="3F8D620B" w14:textId="77777777" w:rsidR="00FA457D" w:rsidRPr="000B3B32" w:rsidRDefault="00FA457D" w:rsidP="0079785E">
      <w:pPr>
        <w:jc w:val="both"/>
      </w:pPr>
    </w:p>
    <w:p w14:paraId="2DF72407" w14:textId="77777777" w:rsidR="00FA457D" w:rsidRPr="00424346" w:rsidRDefault="00FA457D">
      <w:pPr>
        <w:pStyle w:val="ListeParagraf"/>
        <w:widowControl/>
        <w:numPr>
          <w:ilvl w:val="1"/>
          <w:numId w:val="34"/>
        </w:numPr>
        <w:autoSpaceDE/>
        <w:autoSpaceDN/>
        <w:jc w:val="both"/>
        <w:rPr>
          <w:b/>
        </w:rPr>
      </w:pPr>
      <w:r w:rsidRPr="00424346">
        <w:rPr>
          <w:b/>
        </w:rPr>
        <w:t xml:space="preserve">Kapı </w:t>
      </w:r>
      <w:proofErr w:type="spellStart"/>
      <w:r w:rsidRPr="00424346">
        <w:rPr>
          <w:b/>
        </w:rPr>
        <w:t>Süvelerine</w:t>
      </w:r>
      <w:proofErr w:type="spellEnd"/>
      <w:r w:rsidRPr="00424346">
        <w:rPr>
          <w:b/>
        </w:rPr>
        <w:t xml:space="preserve"> </w:t>
      </w:r>
      <w:proofErr w:type="spellStart"/>
      <w:r w:rsidRPr="00424346">
        <w:rPr>
          <w:b/>
        </w:rPr>
        <w:t>Mezuzanın</w:t>
      </w:r>
      <w:proofErr w:type="spellEnd"/>
      <w:r w:rsidRPr="00424346">
        <w:rPr>
          <w:b/>
        </w:rPr>
        <w:t xml:space="preserve"> Takılması</w:t>
      </w:r>
    </w:p>
    <w:p w14:paraId="7D2DE6D3" w14:textId="77777777" w:rsidR="00FA457D" w:rsidRDefault="00FA457D" w:rsidP="0079785E">
      <w:pPr>
        <w:jc w:val="both"/>
      </w:pPr>
      <w:r w:rsidRPr="000B3B32">
        <w:t>“Kapı pervazı” anlamında kullanılan “</w:t>
      </w:r>
      <w:proofErr w:type="spellStart"/>
      <w:r w:rsidRPr="000B3B32">
        <w:t>Mezuza</w:t>
      </w:r>
      <w:proofErr w:type="spellEnd"/>
      <w:r w:rsidRPr="000B3B32">
        <w:t xml:space="preserve">” İbranice bir kelimedir. Yahudi geleneğinde </w:t>
      </w:r>
      <w:proofErr w:type="spellStart"/>
      <w:r w:rsidRPr="000B3B32">
        <w:t>mezuza</w:t>
      </w:r>
      <w:proofErr w:type="spellEnd"/>
      <w:r w:rsidRPr="000B3B32">
        <w:t xml:space="preserve"> daha çok kapı pervazına sabitlenen ahşap, plastik, metal ya da cam gibi maddelerden elde edilmiş kılıfların içerisine konulan </w:t>
      </w:r>
      <w:proofErr w:type="spellStart"/>
      <w:r w:rsidRPr="000B3B32">
        <w:t>Tora’dan</w:t>
      </w:r>
      <w:proofErr w:type="spellEnd"/>
      <w:r w:rsidRPr="000B3B32">
        <w:t xml:space="preserve"> bazı kısımların yazılmış olduğu parşömenlere verilen isimdir. </w:t>
      </w:r>
      <w:proofErr w:type="spellStart"/>
      <w:r w:rsidRPr="000B3B32">
        <w:t>Mezuza’nın</w:t>
      </w:r>
      <w:proofErr w:type="spellEnd"/>
      <w:r w:rsidRPr="000B3B32">
        <w:t xml:space="preserve"> içerisinde </w:t>
      </w:r>
      <w:proofErr w:type="spellStart"/>
      <w:r w:rsidRPr="000B3B32">
        <w:t>Tora’nın</w:t>
      </w:r>
      <w:proofErr w:type="spellEnd"/>
      <w:r w:rsidRPr="000B3B32">
        <w:t xml:space="preserve"> </w:t>
      </w:r>
      <w:proofErr w:type="spellStart"/>
      <w:r w:rsidRPr="000B3B32">
        <w:t>Tesniye</w:t>
      </w:r>
      <w:proofErr w:type="spellEnd"/>
      <w:r w:rsidRPr="000B3B32">
        <w:t xml:space="preserve"> bölümünden 6:4-9 kısmındaki “Şema” ve 11:13-21 bölümündeki “Ve-Haya” metinleri bulunmaktadır. </w:t>
      </w:r>
      <w:proofErr w:type="spellStart"/>
      <w:r w:rsidRPr="000B3B32">
        <w:t>Mezuza</w:t>
      </w:r>
      <w:proofErr w:type="spellEnd"/>
      <w:r w:rsidRPr="000B3B32">
        <w:t xml:space="preserve"> parşömenleri hayvan derisinden yapılmış olup üzerinde ise “</w:t>
      </w:r>
      <w:proofErr w:type="spellStart"/>
      <w:r w:rsidRPr="000B3B32">
        <w:t>Şaday</w:t>
      </w:r>
      <w:proofErr w:type="spellEnd"/>
      <w:r w:rsidRPr="000B3B32">
        <w:t xml:space="preserve"> / Kudret” yazısı bulunmaktadır. “</w:t>
      </w:r>
      <w:proofErr w:type="spellStart"/>
      <w:r w:rsidRPr="000B3B32">
        <w:t>Şaday</w:t>
      </w:r>
      <w:proofErr w:type="spellEnd"/>
      <w:r w:rsidRPr="000B3B32">
        <w:t>” esasında “</w:t>
      </w:r>
      <w:proofErr w:type="spellStart"/>
      <w:r w:rsidRPr="000B3B32">
        <w:t>Şomer</w:t>
      </w:r>
      <w:proofErr w:type="spellEnd"/>
      <w:r w:rsidRPr="000B3B32">
        <w:t xml:space="preserve"> </w:t>
      </w:r>
      <w:proofErr w:type="spellStart"/>
      <w:r w:rsidRPr="000B3B32">
        <w:t>Dlatot</w:t>
      </w:r>
      <w:proofErr w:type="spellEnd"/>
      <w:r w:rsidRPr="000B3B32">
        <w:t xml:space="preserve"> </w:t>
      </w:r>
      <w:proofErr w:type="spellStart"/>
      <w:r w:rsidRPr="000B3B32">
        <w:t>Yisrael</w:t>
      </w:r>
      <w:proofErr w:type="spellEnd"/>
      <w:r w:rsidRPr="000B3B32">
        <w:t xml:space="preserve"> / İsrail Kapılarının Koruyucusu “kelimelerinin baş harflerinden oluşmaktadır ve kutsallık içerir.</w:t>
      </w:r>
    </w:p>
    <w:p w14:paraId="363F7B52" w14:textId="77777777" w:rsidR="0079785E" w:rsidRPr="000B3B32" w:rsidRDefault="0079785E" w:rsidP="0079785E">
      <w:pPr>
        <w:jc w:val="both"/>
      </w:pPr>
    </w:p>
    <w:p w14:paraId="64FD1507" w14:textId="77777777" w:rsidR="00FA457D" w:rsidRPr="000B3B32" w:rsidRDefault="00FA457D" w:rsidP="0079785E">
      <w:pPr>
        <w:jc w:val="both"/>
      </w:pPr>
      <w:r w:rsidRPr="000B3B32">
        <w:t xml:space="preserve">Yahudi inancına göre kişi, evdeki tuvalet, banyo, kiler ve ahır kapılarının haricindeki bütün diğer kapı pervazlarına </w:t>
      </w:r>
      <w:proofErr w:type="spellStart"/>
      <w:r w:rsidRPr="000B3B32">
        <w:t>mezuza</w:t>
      </w:r>
      <w:proofErr w:type="spellEnd"/>
      <w:r w:rsidRPr="000B3B32">
        <w:t xml:space="preserve"> takmalıdır. Özellikle de kişi başka bir eve taşındığında mutlaka </w:t>
      </w:r>
      <w:proofErr w:type="spellStart"/>
      <w:r w:rsidRPr="000B3B32">
        <w:t>mezuza</w:t>
      </w:r>
      <w:proofErr w:type="spellEnd"/>
      <w:r w:rsidRPr="000B3B32">
        <w:t xml:space="preserve"> takmayı unutmamalıdır. Kişi yeni evine geçtiği zaman öncelikle </w:t>
      </w:r>
      <w:proofErr w:type="spellStart"/>
      <w:r w:rsidRPr="000B3B32">
        <w:t>Şeehiyanu</w:t>
      </w:r>
      <w:proofErr w:type="spellEnd"/>
      <w:r w:rsidRPr="000B3B32">
        <w:t xml:space="preserve"> duasını okumalı şükretmelidir. </w:t>
      </w:r>
      <w:proofErr w:type="spellStart"/>
      <w:r w:rsidRPr="000B3B32">
        <w:t>Şeehiyanu</w:t>
      </w:r>
      <w:proofErr w:type="spellEnd"/>
      <w:r w:rsidRPr="000B3B32">
        <w:t xml:space="preserve"> duası şu şekildedir:</w:t>
      </w:r>
    </w:p>
    <w:p w14:paraId="5C1C886E" w14:textId="4B2DFCC2" w:rsidR="00FA457D" w:rsidRDefault="00FA457D" w:rsidP="0079785E">
      <w:pPr>
        <w:jc w:val="both"/>
        <w:rPr>
          <w:i/>
        </w:rPr>
      </w:pPr>
      <w:r w:rsidRPr="000B3B32">
        <w:rPr>
          <w:i/>
        </w:rPr>
        <w:t>“</w:t>
      </w:r>
      <w:proofErr w:type="spellStart"/>
      <w:r w:rsidRPr="000B3B32">
        <w:rPr>
          <w:i/>
        </w:rPr>
        <w:t>Baruh</w:t>
      </w:r>
      <w:proofErr w:type="spellEnd"/>
      <w:r w:rsidRPr="000B3B32">
        <w:rPr>
          <w:i/>
        </w:rPr>
        <w:t xml:space="preserve"> ata </w:t>
      </w:r>
      <w:proofErr w:type="spellStart"/>
      <w:r w:rsidRPr="000B3B32">
        <w:rPr>
          <w:i/>
        </w:rPr>
        <w:t>Adonay</w:t>
      </w:r>
      <w:proofErr w:type="spellEnd"/>
      <w:r w:rsidRPr="000B3B32">
        <w:rPr>
          <w:i/>
        </w:rPr>
        <w:t xml:space="preserve">, </w:t>
      </w:r>
      <w:proofErr w:type="spellStart"/>
      <w:r w:rsidRPr="000B3B32">
        <w:rPr>
          <w:i/>
        </w:rPr>
        <w:t>eloenu</w:t>
      </w:r>
      <w:proofErr w:type="spellEnd"/>
      <w:r w:rsidRPr="000B3B32">
        <w:rPr>
          <w:i/>
        </w:rPr>
        <w:t xml:space="preserve"> </w:t>
      </w:r>
      <w:proofErr w:type="spellStart"/>
      <w:r w:rsidRPr="000B3B32">
        <w:rPr>
          <w:i/>
        </w:rPr>
        <w:t>meleh</w:t>
      </w:r>
      <w:proofErr w:type="spellEnd"/>
      <w:r w:rsidRPr="000B3B32">
        <w:rPr>
          <w:i/>
        </w:rPr>
        <w:t xml:space="preserve"> </w:t>
      </w:r>
      <w:proofErr w:type="spellStart"/>
      <w:r w:rsidRPr="000B3B32">
        <w:rPr>
          <w:i/>
        </w:rPr>
        <w:t>aolam</w:t>
      </w:r>
      <w:proofErr w:type="spellEnd"/>
      <w:r w:rsidRPr="000B3B32">
        <w:rPr>
          <w:i/>
        </w:rPr>
        <w:t xml:space="preserve"> </w:t>
      </w:r>
      <w:proofErr w:type="spellStart"/>
      <w:r w:rsidRPr="000B3B32">
        <w:rPr>
          <w:i/>
        </w:rPr>
        <w:t>şeehiyanu</w:t>
      </w:r>
      <w:proofErr w:type="spellEnd"/>
      <w:r w:rsidRPr="000B3B32">
        <w:rPr>
          <w:i/>
        </w:rPr>
        <w:t xml:space="preserve"> ve </w:t>
      </w:r>
      <w:proofErr w:type="spellStart"/>
      <w:r w:rsidRPr="000B3B32">
        <w:rPr>
          <w:i/>
        </w:rPr>
        <w:t>kiyemanu</w:t>
      </w:r>
      <w:proofErr w:type="spellEnd"/>
      <w:r w:rsidRPr="000B3B32">
        <w:rPr>
          <w:i/>
        </w:rPr>
        <w:t xml:space="preserve"> ve </w:t>
      </w:r>
      <w:proofErr w:type="spellStart"/>
      <w:r w:rsidRPr="000B3B32">
        <w:rPr>
          <w:i/>
        </w:rPr>
        <w:t>igiyanu</w:t>
      </w:r>
      <w:proofErr w:type="spellEnd"/>
      <w:r w:rsidRPr="000B3B32">
        <w:rPr>
          <w:i/>
        </w:rPr>
        <w:t xml:space="preserve"> la </w:t>
      </w:r>
      <w:proofErr w:type="spellStart"/>
      <w:r w:rsidRPr="000B3B32">
        <w:rPr>
          <w:i/>
        </w:rPr>
        <w:t>zeman</w:t>
      </w:r>
      <w:proofErr w:type="spellEnd"/>
      <w:r w:rsidRPr="000B3B32">
        <w:rPr>
          <w:i/>
        </w:rPr>
        <w:t xml:space="preserve"> </w:t>
      </w:r>
      <w:proofErr w:type="spellStart"/>
      <w:r w:rsidRPr="000B3B32">
        <w:rPr>
          <w:i/>
        </w:rPr>
        <w:t>aze</w:t>
      </w:r>
      <w:proofErr w:type="spellEnd"/>
      <w:r w:rsidRPr="000B3B32">
        <w:rPr>
          <w:i/>
        </w:rPr>
        <w:t xml:space="preserve">. / Bizleri yaşatıp baki kılan ve bu zamana ulaştıran evrenin Hükümranı Tanrımız </w:t>
      </w:r>
      <w:proofErr w:type="spellStart"/>
      <w:r w:rsidRPr="000B3B32">
        <w:rPr>
          <w:i/>
        </w:rPr>
        <w:t>Adonay</w:t>
      </w:r>
      <w:proofErr w:type="spellEnd"/>
      <w:r w:rsidRPr="000B3B32">
        <w:rPr>
          <w:i/>
        </w:rPr>
        <w:t>. Sen kutsalsın”</w:t>
      </w:r>
    </w:p>
    <w:p w14:paraId="69391AFE" w14:textId="77777777" w:rsidR="0079785E" w:rsidRPr="000B3B32" w:rsidRDefault="0079785E" w:rsidP="0079785E">
      <w:pPr>
        <w:jc w:val="both"/>
        <w:rPr>
          <w:i/>
        </w:rPr>
      </w:pPr>
    </w:p>
    <w:p w14:paraId="4DAACA76" w14:textId="3E466AFB" w:rsidR="00FA457D" w:rsidRPr="000B3B32" w:rsidRDefault="00FA457D" w:rsidP="0079785E">
      <w:pPr>
        <w:jc w:val="both"/>
      </w:pPr>
      <w:proofErr w:type="spellStart"/>
      <w:r w:rsidRPr="000B3B32">
        <w:t>Şeehiyanu</w:t>
      </w:r>
      <w:proofErr w:type="spellEnd"/>
      <w:r w:rsidRPr="000B3B32">
        <w:t xml:space="preserve"> duası sonrasında da </w:t>
      </w:r>
      <w:proofErr w:type="spellStart"/>
      <w:r w:rsidRPr="000B3B32">
        <w:t>mezuza</w:t>
      </w:r>
      <w:proofErr w:type="spellEnd"/>
      <w:r w:rsidRPr="000B3B32">
        <w:t xml:space="preserve"> duasını okuması gerekir:</w:t>
      </w:r>
    </w:p>
    <w:p w14:paraId="2C25FD4A" w14:textId="2E82E41E" w:rsidR="00FA457D" w:rsidRDefault="00FA457D" w:rsidP="0079785E">
      <w:pPr>
        <w:jc w:val="both"/>
      </w:pPr>
      <w:r w:rsidRPr="000B3B32">
        <w:rPr>
          <w:i/>
        </w:rPr>
        <w:t>“</w:t>
      </w:r>
      <w:proofErr w:type="spellStart"/>
      <w:r w:rsidRPr="000B3B32">
        <w:rPr>
          <w:i/>
        </w:rPr>
        <w:t>Baruh</w:t>
      </w:r>
      <w:proofErr w:type="spellEnd"/>
      <w:r w:rsidRPr="000B3B32">
        <w:rPr>
          <w:i/>
        </w:rPr>
        <w:t xml:space="preserve"> ata </w:t>
      </w:r>
      <w:proofErr w:type="spellStart"/>
      <w:r w:rsidRPr="000B3B32">
        <w:rPr>
          <w:i/>
        </w:rPr>
        <w:t>Adonay</w:t>
      </w:r>
      <w:proofErr w:type="spellEnd"/>
      <w:r w:rsidRPr="000B3B32">
        <w:rPr>
          <w:i/>
        </w:rPr>
        <w:t xml:space="preserve">. </w:t>
      </w:r>
      <w:proofErr w:type="spellStart"/>
      <w:r w:rsidRPr="000B3B32">
        <w:rPr>
          <w:i/>
        </w:rPr>
        <w:t>Eloenu</w:t>
      </w:r>
      <w:proofErr w:type="spellEnd"/>
      <w:r w:rsidRPr="000B3B32">
        <w:rPr>
          <w:i/>
        </w:rPr>
        <w:t xml:space="preserve"> </w:t>
      </w:r>
      <w:proofErr w:type="spellStart"/>
      <w:r w:rsidRPr="000B3B32">
        <w:rPr>
          <w:i/>
        </w:rPr>
        <w:t>meleh</w:t>
      </w:r>
      <w:proofErr w:type="spellEnd"/>
      <w:r w:rsidRPr="000B3B32">
        <w:rPr>
          <w:i/>
        </w:rPr>
        <w:t xml:space="preserve"> </w:t>
      </w:r>
      <w:proofErr w:type="spellStart"/>
      <w:r w:rsidRPr="000B3B32">
        <w:rPr>
          <w:i/>
        </w:rPr>
        <w:t>aolam</w:t>
      </w:r>
      <w:proofErr w:type="spellEnd"/>
      <w:r w:rsidRPr="000B3B32">
        <w:rPr>
          <w:i/>
        </w:rPr>
        <w:t xml:space="preserve"> aşer </w:t>
      </w:r>
      <w:proofErr w:type="spellStart"/>
      <w:r w:rsidRPr="000B3B32">
        <w:rPr>
          <w:i/>
        </w:rPr>
        <w:t>kideşanu</w:t>
      </w:r>
      <w:proofErr w:type="spellEnd"/>
      <w:r w:rsidRPr="000B3B32">
        <w:rPr>
          <w:i/>
        </w:rPr>
        <w:t xml:space="preserve"> </w:t>
      </w:r>
      <w:proofErr w:type="spellStart"/>
      <w:r w:rsidRPr="000B3B32">
        <w:rPr>
          <w:i/>
        </w:rPr>
        <w:t>bemitsvotav</w:t>
      </w:r>
      <w:proofErr w:type="spellEnd"/>
      <w:r w:rsidRPr="000B3B32">
        <w:rPr>
          <w:i/>
        </w:rPr>
        <w:t xml:space="preserve"> </w:t>
      </w:r>
      <w:proofErr w:type="spellStart"/>
      <w:r w:rsidRPr="000B3B32">
        <w:rPr>
          <w:i/>
        </w:rPr>
        <w:t>vetsivanu</w:t>
      </w:r>
      <w:proofErr w:type="spellEnd"/>
      <w:r w:rsidRPr="000B3B32">
        <w:rPr>
          <w:i/>
        </w:rPr>
        <w:t xml:space="preserve"> </w:t>
      </w:r>
      <w:proofErr w:type="spellStart"/>
      <w:r w:rsidRPr="000B3B32">
        <w:rPr>
          <w:i/>
        </w:rPr>
        <w:t>Likboa</w:t>
      </w:r>
      <w:proofErr w:type="spellEnd"/>
      <w:r w:rsidRPr="000B3B32">
        <w:rPr>
          <w:i/>
        </w:rPr>
        <w:t xml:space="preserve"> </w:t>
      </w:r>
      <w:proofErr w:type="spellStart"/>
      <w:r w:rsidRPr="000B3B32">
        <w:rPr>
          <w:i/>
        </w:rPr>
        <w:t>mezuza</w:t>
      </w:r>
      <w:proofErr w:type="spellEnd"/>
      <w:r w:rsidRPr="000B3B32">
        <w:rPr>
          <w:i/>
        </w:rPr>
        <w:t xml:space="preserve">. / Bizleri talimatlarıyla kutsayıp bize </w:t>
      </w:r>
      <w:proofErr w:type="spellStart"/>
      <w:r w:rsidRPr="000B3B32">
        <w:rPr>
          <w:i/>
        </w:rPr>
        <w:t>Mezuza</w:t>
      </w:r>
      <w:proofErr w:type="spellEnd"/>
      <w:r w:rsidRPr="000B3B32">
        <w:rPr>
          <w:i/>
        </w:rPr>
        <w:t xml:space="preserve"> takmayı buyuran, evrenin Hükümranı Tanrımız </w:t>
      </w:r>
      <w:proofErr w:type="spellStart"/>
      <w:r w:rsidRPr="000B3B32">
        <w:rPr>
          <w:i/>
        </w:rPr>
        <w:t>Adonay</w:t>
      </w:r>
      <w:proofErr w:type="spellEnd"/>
      <w:r w:rsidRPr="000B3B32">
        <w:rPr>
          <w:i/>
        </w:rPr>
        <w:t xml:space="preserve"> Sen kutsalsın.”</w:t>
      </w:r>
      <w:r w:rsidRPr="000B3B32">
        <w:t xml:space="preserve"> Bu </w:t>
      </w:r>
      <w:proofErr w:type="spellStart"/>
      <w:r w:rsidRPr="000B3B32">
        <w:t>mezuza</w:t>
      </w:r>
      <w:proofErr w:type="spellEnd"/>
      <w:r w:rsidRPr="000B3B32">
        <w:t xml:space="preserve"> duasının okunmasından sonra </w:t>
      </w:r>
      <w:proofErr w:type="spellStart"/>
      <w:r w:rsidRPr="000B3B32">
        <w:t>mezuza</w:t>
      </w:r>
      <w:proofErr w:type="spellEnd"/>
      <w:r w:rsidRPr="000B3B32">
        <w:t xml:space="preserve"> kapının sağ tarafındaki pervaza, üst ucu odaya doğru olacak şekilde omuz mesafesinde bir yerine yerleştirilmelidir. </w:t>
      </w:r>
      <w:r w:rsidRPr="00292237">
        <w:rPr>
          <w:sz w:val="20"/>
          <w:szCs w:val="20"/>
        </w:rPr>
        <w:fldChar w:fldCharType="begin"/>
      </w:r>
      <w:r w:rsidRPr="00292237">
        <w:rPr>
          <w:sz w:val="20"/>
          <w:szCs w:val="20"/>
        </w:rPr>
        <w:instrText xml:space="preserve"> ADDIN ZOTERO_ITEM CSL_CITATION {"citationID":"cR555w35","properties":{"formattedCitation":"(Alt\\uc0\\u305{}nta\\uc0\\u351{}, 2018, ss. 234-236)","plainCitation":"(Altıntaş, 2018, ss. 234-236)","noteIndex":0},"citationItems":[{"id":1,"uris":["http://zotero.org/users/16525729/items/HIIC6S9L"],"itemData":{"id":1,"type":"book","edition":"3","event-place":"İstanbul","publisher":"Gözlem Gazetecilik ve Basın Yayın","publisher-place":"İstanbul","title":"Yahudilik’te Kavram ve Değerler","editor":[{"family":"Altıntaş","given":"Yusuf"}],"issued":{"date-parts":[["2018"]]}},"locator":"234-236","label":"page"}],"schema":"https://github.com/citation-style-language/schema/raw/master/csl-citation.json"} </w:instrText>
      </w:r>
      <w:r w:rsidRPr="00292237">
        <w:rPr>
          <w:sz w:val="20"/>
          <w:szCs w:val="20"/>
        </w:rPr>
        <w:fldChar w:fldCharType="separate"/>
      </w:r>
      <w:r w:rsidRPr="00292237">
        <w:rPr>
          <w:sz w:val="20"/>
          <w:szCs w:val="20"/>
        </w:rPr>
        <w:t>(Altıntaş, 2018, ss. 234-236)</w:t>
      </w:r>
      <w:r w:rsidRPr="00292237">
        <w:rPr>
          <w:sz w:val="20"/>
          <w:szCs w:val="20"/>
        </w:rPr>
        <w:fldChar w:fldCharType="end"/>
      </w:r>
      <w:r w:rsidRPr="000B3B32">
        <w:t xml:space="preserve"> Ayrıca </w:t>
      </w:r>
      <w:proofErr w:type="spellStart"/>
      <w:r w:rsidRPr="000B3B32">
        <w:t>Mezuza</w:t>
      </w:r>
      <w:proofErr w:type="spellEnd"/>
      <w:r w:rsidRPr="000B3B32">
        <w:t xml:space="preserve"> </w:t>
      </w:r>
      <w:proofErr w:type="spellStart"/>
      <w:r w:rsidRPr="000B3B32">
        <w:t>porşömenleri</w:t>
      </w:r>
      <w:proofErr w:type="spellEnd"/>
      <w:r w:rsidRPr="000B3B32">
        <w:t xml:space="preserve"> el yazısıyla yazılmış olmalıdır basılı halde olan yazıların </w:t>
      </w:r>
      <w:proofErr w:type="spellStart"/>
      <w:r w:rsidRPr="000B3B32">
        <w:t>Mezuzada</w:t>
      </w:r>
      <w:proofErr w:type="spellEnd"/>
      <w:r w:rsidRPr="000B3B32">
        <w:t xml:space="preserve"> kullanılması doğru değildir. </w:t>
      </w:r>
      <w:r w:rsidRPr="00292237">
        <w:rPr>
          <w:sz w:val="20"/>
          <w:szCs w:val="20"/>
        </w:rPr>
        <w:fldChar w:fldCharType="begin"/>
      </w:r>
      <w:r w:rsidRPr="00292237">
        <w:rPr>
          <w:sz w:val="20"/>
          <w:szCs w:val="20"/>
        </w:rPr>
        <w:instrText xml:space="preserve"> ADDIN ZOTERO_ITEM CSL_CITATION {"citationID":"CRVrm8HS","properties":{"formattedCitation":"(Atasa\\uc0\\u287{}un, 2001, s. 150)","plainCitation":"(Atasağun, 2001, s. 150)","noteIndex":0},"citationItems":[{"id":3,"uris":["http://zotero.org/users/16525729/items/WAY4ARJY"],"itemData":{"id":3,"type":"article-journal","container-title":"Necmettin Erbakan Üniversitesi İlahiyat Fakültesi Dergisi","issue":"11","page":"125-156","title":"Yahudilikte Dînî Sembol Ve Kavramlar","volume":"11","author":[{"family":"Atasağun","given":"Galip"}],"issued":{"date-parts":[["2001"]]}},"locator":"150","label":"page"}],"schema":"https://github.com/citation-style-language/schema/raw/master/csl-citation.json"} </w:instrText>
      </w:r>
      <w:r w:rsidRPr="00292237">
        <w:rPr>
          <w:sz w:val="20"/>
          <w:szCs w:val="20"/>
        </w:rPr>
        <w:fldChar w:fldCharType="separate"/>
      </w:r>
      <w:r w:rsidRPr="00292237">
        <w:rPr>
          <w:sz w:val="20"/>
          <w:szCs w:val="20"/>
        </w:rPr>
        <w:t>(Atasağun, 2001, s. 150)</w:t>
      </w:r>
      <w:r w:rsidRPr="00292237">
        <w:rPr>
          <w:sz w:val="20"/>
          <w:szCs w:val="20"/>
        </w:rPr>
        <w:fldChar w:fldCharType="end"/>
      </w:r>
      <w:r w:rsidRPr="000B3B32">
        <w:t xml:space="preserve"> Yahudi bilginlerine göre </w:t>
      </w:r>
      <w:proofErr w:type="spellStart"/>
      <w:r w:rsidRPr="000B3B32">
        <w:t>Mezuzanın</w:t>
      </w:r>
      <w:proofErr w:type="spellEnd"/>
      <w:r w:rsidRPr="000B3B32">
        <w:t xml:space="preserve"> ne olduğunun anlaşılması Yahudiler için oldukça önemlidir. </w:t>
      </w:r>
      <w:proofErr w:type="spellStart"/>
      <w:r w:rsidRPr="000B3B32">
        <w:t>Mezuza</w:t>
      </w:r>
      <w:proofErr w:type="spellEnd"/>
      <w:r w:rsidRPr="000B3B32">
        <w:t xml:space="preserve">, batıl inançlardan koruyan bir muska veya tılsım olmadığı gibi şans getirmesi beklenen bir obje de değildir. </w:t>
      </w:r>
      <w:proofErr w:type="spellStart"/>
      <w:r w:rsidRPr="000B3B32">
        <w:t>Mezuza</w:t>
      </w:r>
      <w:proofErr w:type="spellEnd"/>
      <w:r w:rsidRPr="000B3B32">
        <w:t xml:space="preserve"> sadece evlerin de bir </w:t>
      </w:r>
      <w:proofErr w:type="spellStart"/>
      <w:r w:rsidRPr="000B3B32">
        <w:t>mabed</w:t>
      </w:r>
      <w:proofErr w:type="spellEnd"/>
      <w:r w:rsidRPr="000B3B32">
        <w:t xml:space="preserve"> olarak düşünülmesine vesile olan bir hatırlatma aracıdır.</w:t>
      </w:r>
      <w:r w:rsidRPr="00292237">
        <w:rPr>
          <w:sz w:val="20"/>
          <w:szCs w:val="20"/>
        </w:rPr>
        <w:fldChar w:fldCharType="begin"/>
      </w:r>
      <w:r w:rsidRPr="00292237">
        <w:rPr>
          <w:sz w:val="20"/>
          <w:szCs w:val="20"/>
        </w:rPr>
        <w:instrText xml:space="preserve"> ADDIN ZOTERO_ITEM CSL_CITATION {"citationID":"GzcIvpLC","properties":{"formattedCitation":"(Blech, 2003, s. 263)","plainCitation":"(Blech, 2003, s. 263)","noteIndex":0},"citationItems":[{"id":10,"uris":["http://zotero.org/users/16525729/items/ZCTCN3T2"],"itemData":{"id":10,"type":"book","abstract":"Cankurtaran simidinizi daha takmayın! Rabi Benjamin Blech tarafından sıcak bir sohbet tarzında yazılmış olan \"Nedenleri ve Niçinleriyle Yahudilik\", bu eski inancın her yönünü anlamamıza yardım edecek, eğlenceli ve anlaşılması kolay bir kitap. Rabi Blech, rehber niteliğinde olan bu kitabında: * Yahudi'nin neye inandığını ayrıntılı şekilde açıklayacak. * Bütün bayramları ve nasıl kutlandıklarını özetleyecek. * Yahudi kutsamaları ve kaşerut (Yahudi dinince uygun sayılan) kuralları hakkında basit açıklamalar verecek. * Yahudi simgeleri, duaları, kitapları vedini objeleri hakkında geniş bilgi verecek.","edition":"1.","event-place":"İstanbul","ISBN":"978-975-7304-70-8","language":"tr","number-of-pages":"409","publisher":"Gözlem Gazetecilik Basın Ve Yayın A.ş","publisher-place":"İstanbul","source":"KitapYurdu.com","title":"Nedenleri ve Niçinleriyle Yahudilik","author":[{"family":"Blech","given":"Rabi Benjamin"}],"translator":[{"family":"Vali","given":"Estreya Seval"}],"issued":{"date-parts":[["2003"]]}},"locator":"263","label":"page"}],"schema":"https://github.com/citation-style-language/schema/raw/master/csl-citation.json"} </w:instrText>
      </w:r>
      <w:r w:rsidRPr="00292237">
        <w:rPr>
          <w:sz w:val="20"/>
          <w:szCs w:val="20"/>
        </w:rPr>
        <w:fldChar w:fldCharType="separate"/>
      </w:r>
      <w:r w:rsidRPr="00292237">
        <w:rPr>
          <w:sz w:val="20"/>
          <w:szCs w:val="20"/>
        </w:rPr>
        <w:t>(</w:t>
      </w:r>
      <w:proofErr w:type="spellStart"/>
      <w:r w:rsidRPr="00292237">
        <w:rPr>
          <w:sz w:val="20"/>
          <w:szCs w:val="20"/>
        </w:rPr>
        <w:t>Blech</w:t>
      </w:r>
      <w:proofErr w:type="spellEnd"/>
      <w:r w:rsidRPr="00292237">
        <w:rPr>
          <w:sz w:val="20"/>
          <w:szCs w:val="20"/>
        </w:rPr>
        <w:t>, 2003, s. 263)</w:t>
      </w:r>
      <w:r w:rsidRPr="00292237">
        <w:rPr>
          <w:sz w:val="20"/>
          <w:szCs w:val="20"/>
        </w:rPr>
        <w:fldChar w:fldCharType="end"/>
      </w:r>
      <w:r w:rsidRPr="000B3B32">
        <w:t xml:space="preserve"> Kadın- erkek bütün Yahudiler </w:t>
      </w:r>
      <w:proofErr w:type="spellStart"/>
      <w:r w:rsidRPr="000B3B32">
        <w:t>mezuza</w:t>
      </w:r>
      <w:proofErr w:type="spellEnd"/>
      <w:r w:rsidRPr="000B3B32">
        <w:t xml:space="preserve"> bulunan kapılardan geçerken </w:t>
      </w:r>
      <w:proofErr w:type="spellStart"/>
      <w:r w:rsidRPr="000B3B32">
        <w:t>mezuzaya</w:t>
      </w:r>
      <w:proofErr w:type="spellEnd"/>
      <w:r w:rsidRPr="000B3B32">
        <w:t xml:space="preserve"> dokunmalı ve dokunduğu parmakları öpmelidir bu davranış </w:t>
      </w:r>
      <w:proofErr w:type="spellStart"/>
      <w:r w:rsidRPr="000B3B32">
        <w:t>mitzvalara</w:t>
      </w:r>
      <w:proofErr w:type="spellEnd"/>
      <w:r w:rsidRPr="000B3B32">
        <w:t xml:space="preserve"> karşı duyulan saygıyı gösterir. Yahudiler bulundukları evden taşınacakları zaman da kapılarda bulunan </w:t>
      </w:r>
      <w:proofErr w:type="spellStart"/>
      <w:r w:rsidRPr="000B3B32">
        <w:t>mezuzaları</w:t>
      </w:r>
      <w:proofErr w:type="spellEnd"/>
      <w:r w:rsidRPr="000B3B32">
        <w:t xml:space="preserve"> çıkarmalıdır ki kendisinden sonra yerleşecek olan kimse ya da ev sahibi tarafından </w:t>
      </w:r>
      <w:proofErr w:type="spellStart"/>
      <w:r w:rsidRPr="000B3B32">
        <w:t>mezuzaya</w:t>
      </w:r>
      <w:proofErr w:type="spellEnd"/>
      <w:r w:rsidRPr="000B3B32">
        <w:t xml:space="preserve"> karşı bir saygısızlık yapılmasın.</w:t>
      </w:r>
      <w:r w:rsidRPr="00292237">
        <w:rPr>
          <w:sz w:val="20"/>
          <w:szCs w:val="20"/>
        </w:rPr>
        <w:fldChar w:fldCharType="begin"/>
      </w:r>
      <w:r w:rsidRPr="00292237">
        <w:rPr>
          <w:sz w:val="20"/>
          <w:szCs w:val="20"/>
        </w:rPr>
        <w:instrText xml:space="preserve"> ADDIN ZOTERO_ITEM CSL_CITATION {"citationID":"rDjeeqaZ","properties":{"formattedCitation":"({\\i{}Signs and Symbols}, t.y.)","plainCitation":"(Signs and Symbols, t.y.)","noteIndex":0},"citationItems":[{"id":50,"uris":["http://zotero.org/users/16525729/items/ZU7GTCLA"],"itemData":{"id":50,"type":"webpage","container-title":"Judaism 101 (JewFAQ)","title":"Signs and Symbols","URL":"https://www.jewfaq.org/signs_and_symbols","accessed":{"date-parts":[["2025",2,28]]}}}],"schema":"https://github.com/citation-style-language/schema/raw/master/csl-citation.json"} </w:instrText>
      </w:r>
      <w:r w:rsidRPr="00292237">
        <w:rPr>
          <w:sz w:val="20"/>
          <w:szCs w:val="20"/>
        </w:rPr>
        <w:fldChar w:fldCharType="separate"/>
      </w:r>
      <w:r w:rsidRPr="00292237">
        <w:rPr>
          <w:sz w:val="20"/>
          <w:szCs w:val="20"/>
        </w:rPr>
        <w:t>(</w:t>
      </w:r>
      <w:proofErr w:type="spellStart"/>
      <w:r w:rsidRPr="00292237">
        <w:rPr>
          <w:i/>
          <w:iCs/>
          <w:sz w:val="20"/>
          <w:szCs w:val="20"/>
        </w:rPr>
        <w:t>Signs</w:t>
      </w:r>
      <w:proofErr w:type="spellEnd"/>
      <w:r w:rsidRPr="00292237">
        <w:rPr>
          <w:i/>
          <w:iCs/>
          <w:sz w:val="20"/>
          <w:szCs w:val="20"/>
        </w:rPr>
        <w:t xml:space="preserve"> and Symbols</w:t>
      </w:r>
      <w:r w:rsidRPr="00292237">
        <w:rPr>
          <w:sz w:val="20"/>
          <w:szCs w:val="20"/>
        </w:rPr>
        <w:t>, t.y.)</w:t>
      </w:r>
      <w:r w:rsidRPr="00292237">
        <w:rPr>
          <w:sz w:val="20"/>
          <w:szCs w:val="20"/>
        </w:rPr>
        <w:fldChar w:fldCharType="end"/>
      </w:r>
    </w:p>
    <w:p w14:paraId="4872D35A" w14:textId="77777777" w:rsidR="00FA457D" w:rsidRPr="000B3B32" w:rsidRDefault="00FA457D" w:rsidP="0079785E">
      <w:pPr>
        <w:jc w:val="both"/>
      </w:pPr>
    </w:p>
    <w:p w14:paraId="78230ADE" w14:textId="77777777" w:rsidR="00FA457D" w:rsidRPr="00424346" w:rsidRDefault="00FA457D">
      <w:pPr>
        <w:pStyle w:val="ListeParagraf"/>
        <w:widowControl/>
        <w:numPr>
          <w:ilvl w:val="1"/>
          <w:numId w:val="34"/>
        </w:numPr>
        <w:autoSpaceDE/>
        <w:autoSpaceDN/>
        <w:jc w:val="both"/>
        <w:rPr>
          <w:b/>
        </w:rPr>
      </w:pPr>
      <w:r w:rsidRPr="00424346">
        <w:rPr>
          <w:b/>
        </w:rPr>
        <w:t xml:space="preserve">Yahudi Kadınlarının Yiyecekleri </w:t>
      </w:r>
      <w:proofErr w:type="spellStart"/>
      <w:r w:rsidRPr="00424346">
        <w:rPr>
          <w:b/>
        </w:rPr>
        <w:t>Koşerlemesi</w:t>
      </w:r>
      <w:proofErr w:type="spellEnd"/>
    </w:p>
    <w:p w14:paraId="7364EB6B" w14:textId="77777777" w:rsidR="00FA457D" w:rsidRDefault="00FA457D" w:rsidP="0079785E">
      <w:pPr>
        <w:adjustRightInd w:val="0"/>
        <w:jc w:val="both"/>
        <w:rPr>
          <w:sz w:val="20"/>
          <w:szCs w:val="20"/>
        </w:rPr>
      </w:pPr>
      <w:r w:rsidRPr="000B3B32">
        <w:rPr>
          <w:i/>
        </w:rPr>
        <w:t>Koşer</w:t>
      </w:r>
      <w:r w:rsidRPr="000B3B32">
        <w:t xml:space="preserve"> ya da </w:t>
      </w:r>
      <w:proofErr w:type="spellStart"/>
      <w:r w:rsidRPr="000B3B32">
        <w:rPr>
          <w:i/>
        </w:rPr>
        <w:t>kaşer</w:t>
      </w:r>
      <w:proofErr w:type="spellEnd"/>
      <w:r w:rsidRPr="000B3B32">
        <w:t xml:space="preserve"> olarak da ifade edilen İbranice bir kelime olan koşer, Yahudi şeriatına göre yenilebilir ve kullanılabilir olan ürünleri ifade etmek için kullanılır. Bir ürünün koşer niteliği </w:t>
      </w:r>
      <w:proofErr w:type="spellStart"/>
      <w:r w:rsidRPr="000B3B32">
        <w:t>taşiyabilmesi</w:t>
      </w:r>
      <w:proofErr w:type="spellEnd"/>
      <w:r w:rsidRPr="000B3B32">
        <w:t xml:space="preserve"> için </w:t>
      </w:r>
      <w:proofErr w:type="spellStart"/>
      <w:r w:rsidRPr="000B3B32">
        <w:t>kaşerut</w:t>
      </w:r>
      <w:proofErr w:type="spellEnd"/>
      <w:r w:rsidRPr="000B3B32">
        <w:t>/</w:t>
      </w:r>
      <w:proofErr w:type="spellStart"/>
      <w:r w:rsidRPr="000B3B32">
        <w:t>kaşrut</w:t>
      </w:r>
      <w:proofErr w:type="spellEnd"/>
      <w:r w:rsidRPr="000B3B32">
        <w:t xml:space="preserve"> kurallarına uygun olması gerekir. </w:t>
      </w:r>
      <w:r w:rsidRPr="00292237">
        <w:rPr>
          <w:sz w:val="20"/>
          <w:szCs w:val="20"/>
        </w:rPr>
        <w:fldChar w:fldCharType="begin"/>
      </w:r>
      <w:r w:rsidRPr="00292237">
        <w:rPr>
          <w:sz w:val="20"/>
          <w:szCs w:val="20"/>
        </w:rPr>
        <w:instrText xml:space="preserve"> ADDIN ZOTERO_ITEM CSL_CITATION {"citationID":"hE91E4AW","properties":{"formattedCitation":"({\\i{}Ko\\uc0\\u351{}er}, 2024)","plainCitation":"(Koşer, 2024)","noteIndex":0},"citationItems":[{"id":119,"uris":["http://zotero.org/users/16525729/items/ZMVRUHHL"],"itemData":{"id":119,"type":"webpage","abstract":"Koşer veya kaşer (İbranice: כשׁר; Sefarad Yahudilerince kaşer, Aşkenaz Yahudilerince koşer diye telaffuz edilir), Yahudiliğe göre; yenilmesi ve kullanılmasında dinen bir sakınca bulunmayan ürünlerdir. Bunları belirleyen kurallara ise kaşerut ya da kaşrut kuralları adı verilir.\nYahudiliğe göre; yenilmesi serbest veya yasak olan hayvanların listesi Tevrat'ta verilmiştir. Buna göre:\n\nKarada yaşayanlardan geviş getiren ve çift tırnaklı olan hayvanların yenmesi serbest, bu özelliği taşımayanlar ise yasaktır; bunlara ek olarak domuz, tavşan ve deve eti yasaktır.\nHer türlü böcek, sürüngen ve kemirgenin yenilmesi yasaktır.\nKuşlardan Tevrat'ta ismi geçen yirmi kuş dışında kalanların yenilmesi yasaktır.\nBalıklardan pullu ve yüzgeçli olanlar dışında kalanların, kabuklu hayvanların (midye, istiridye) ve ahtapot, kalamar, ıstakoz, karides, kerevit, yengeç, denizkestanesinin yenilmesi yasaktır.\nYenilmesi yasak olan hayvanlardan çıkan yumurta, süt gibi her türlü ürünün (bal hariç) yenmesi yasaktır.\nYenilmesi serbest olan hayvanların kesiminin şehita adı verilen özel bir kesim tekniği ile bu işin eğitimini almış ve anatomi bilgisi olan şohet adında yetkili tarafından yapılması gereklidir.\nŞehita eğitimini almamış kişi tarafından veya şehita kurallarına uyulmadan yapılmış kesim hayvanın etini trefa (murdar) hale getirir.","container-title":"Wikipedia","language":"tr","license":"Creative Commons Attribution-ShareAlike License","note":"Page Version ID: 34447056","title":"Koşer","URL":"https://tr.wikipedia.org/w/index.php?title=Ko%C5%9Fer&amp;oldid=34447056","accessed":{"date-parts":[["2025",2,28]]},"issued":{"date-parts":[["2024",12,5]]}}}],"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Koşer</w:t>
      </w:r>
      <w:r w:rsidRPr="00292237">
        <w:rPr>
          <w:sz w:val="20"/>
          <w:szCs w:val="20"/>
        </w:rPr>
        <w:t>, 2024)</w:t>
      </w:r>
      <w:r w:rsidRPr="00292237">
        <w:rPr>
          <w:sz w:val="20"/>
          <w:szCs w:val="20"/>
        </w:rPr>
        <w:fldChar w:fldCharType="end"/>
      </w:r>
      <w:r w:rsidRPr="00292237">
        <w:rPr>
          <w:sz w:val="20"/>
          <w:szCs w:val="20"/>
        </w:rPr>
        <w:t xml:space="preserve"> (Altıntaş, 2018, </w:t>
      </w:r>
      <w:proofErr w:type="spellStart"/>
      <w:r w:rsidRPr="00292237">
        <w:rPr>
          <w:sz w:val="20"/>
          <w:szCs w:val="20"/>
        </w:rPr>
        <w:t>ss</w:t>
      </w:r>
      <w:proofErr w:type="spellEnd"/>
      <w:r w:rsidRPr="00292237">
        <w:rPr>
          <w:sz w:val="20"/>
          <w:szCs w:val="20"/>
        </w:rPr>
        <w:t>. 124-127)</w:t>
      </w:r>
    </w:p>
    <w:p w14:paraId="3D32F292" w14:textId="77777777" w:rsidR="0079785E" w:rsidRPr="000B3B32" w:rsidRDefault="0079785E" w:rsidP="0079785E">
      <w:pPr>
        <w:adjustRightInd w:val="0"/>
        <w:jc w:val="both"/>
      </w:pPr>
    </w:p>
    <w:p w14:paraId="01A862FB" w14:textId="77777777" w:rsidR="00FA457D" w:rsidRDefault="00FA457D" w:rsidP="0079785E">
      <w:pPr>
        <w:jc w:val="both"/>
        <w:rPr>
          <w:sz w:val="20"/>
          <w:szCs w:val="20"/>
        </w:rPr>
      </w:pPr>
      <w:r w:rsidRPr="000B3B32">
        <w:t xml:space="preserve">Yahudi inancına göre dışardan alınacak veya tüketilecek olan gıda ve yiyeceklerde koşer </w:t>
      </w:r>
      <w:r w:rsidRPr="000B3B32">
        <w:lastRenderedPageBreak/>
        <w:t xml:space="preserve">sertifikasının olması önemlidir. Bu nedenle üretim yerlerinde gerekli kontroller yapıldıktan sonra kurallara uygun olarak üretilmiş ürünlere haham tarafından koşer belgesi verilir. </w:t>
      </w:r>
      <w:r w:rsidRPr="00292237">
        <w:rPr>
          <w:sz w:val="20"/>
          <w:szCs w:val="20"/>
        </w:rPr>
        <w:fldChar w:fldCharType="begin"/>
      </w:r>
      <w:r w:rsidRPr="00292237">
        <w:rPr>
          <w:sz w:val="20"/>
          <w:szCs w:val="20"/>
        </w:rPr>
        <w:instrText xml:space="preserve"> ADDIN ZOTERO_ITEM CSL_CITATION {"citationID":"gVl9zpKc","properties":{"formattedCitation":"({\\i{}Kosher Nedir?}, t.y.)","plainCitation":"(Kosher Nedir?, t.y.)","noteIndex":0},"citationItems":[{"id":60,"uris":["http://zotero.org/users/16525729/items/7BH2WC8R"],"itemData":{"id":60,"type":"webpage","abstract":"Kosher belgesi musevi inancına uygun olarak üretilmiş ürünleri tescilleyen bir belgedir. İşletmelerde üretim yapılırken tüm aşamaların ve kullanılan malzeme ve hatta ekipmanların musevi inançlarına uygunluğu din adamları(haham) tarafından üretim yerinde kontrol edilir.","container-title":"Kosher","language":"tr","title":"Kosher Nedir?","title-short":"Kosher Nedir?","URL":"https://www.kosher.com.tr/","accessed":{"date-parts":[["2025",2,28]]}}}],"schema":"https://github.com/citation-style-language/schema/raw/master/csl-citation.json"}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Kosher Nedir?</w:t>
      </w:r>
      <w:r w:rsidRPr="00292237">
        <w:rPr>
          <w:sz w:val="20"/>
          <w:szCs w:val="20"/>
        </w:rPr>
        <w:t>, t.y.)</w:t>
      </w:r>
      <w:r w:rsidRPr="00292237">
        <w:rPr>
          <w:sz w:val="20"/>
          <w:szCs w:val="20"/>
        </w:rPr>
        <w:fldChar w:fldCharType="end"/>
      </w:r>
    </w:p>
    <w:p w14:paraId="54F58A36" w14:textId="77777777" w:rsidR="0079785E" w:rsidRPr="000B3B32" w:rsidRDefault="0079785E" w:rsidP="0079785E">
      <w:pPr>
        <w:jc w:val="both"/>
      </w:pPr>
    </w:p>
    <w:p w14:paraId="33E9FB72" w14:textId="6E7630EE" w:rsidR="00FA457D" w:rsidRDefault="00FA457D" w:rsidP="0079785E">
      <w:pPr>
        <w:jc w:val="both"/>
      </w:pPr>
      <w:r w:rsidRPr="000B3B32">
        <w:t>Yahudi yaşamındaki koşer evlerde de kadınlar tarafından dikkatli bir şekilde uygulanmaktadır. Kesilen etler suyun içine konularak kandan arınması sağlanmalıdır. Aynı zamanda etin suya konulması için kullanılan eşya başka amaçlarla kullanılmamalıdır. Suda en asgarî yarım saat bekleyen et sonrasında çıkmayan kanların da arınması için tuzlama işlemi yapılarak temizlenmelidir. Aynı şekilde tuzlama için kullanılmış olan tuz başka bir amaç için kullanılmamalıdır. Tuzlama sonrasında et tekrardan yıkanarak suyu da güzelce akıtılmalıdır. Bu işlemi gerçekleştiren kişi de evin kadınıdır.</w:t>
      </w:r>
    </w:p>
    <w:p w14:paraId="02C037ED" w14:textId="77777777" w:rsidR="0079785E" w:rsidRPr="000B3B32" w:rsidRDefault="0079785E" w:rsidP="0079785E">
      <w:pPr>
        <w:jc w:val="both"/>
      </w:pPr>
    </w:p>
    <w:p w14:paraId="32600A1A" w14:textId="47401917" w:rsidR="00FA457D" w:rsidRDefault="00FA457D" w:rsidP="0079785E">
      <w:pPr>
        <w:jc w:val="both"/>
      </w:pPr>
      <w:r w:rsidRPr="000B3B32">
        <w:t xml:space="preserve">Tevrat’ta bulunan </w:t>
      </w:r>
      <w:r w:rsidRPr="000B3B32">
        <w:rPr>
          <w:i/>
        </w:rPr>
        <w:t>“Oğlağı anasının sütünde pişirmeyeceksin”</w:t>
      </w:r>
      <w:r w:rsidRPr="000B3B32">
        <w:t xml:space="preserve"> emri nedeniyle et ürünü ile süt ürünleri aynı anda tüketilmemelidir hatta aynı zaman diliminde aynı </w:t>
      </w:r>
      <w:proofErr w:type="gramStart"/>
      <w:r w:rsidRPr="000B3B32">
        <w:t>mekan</w:t>
      </w:r>
      <w:proofErr w:type="gramEnd"/>
      <w:r w:rsidRPr="000B3B32">
        <w:t xml:space="preserve"> içerisinde de pişirilmemesine dikkat edilmelidir. Bunlar bir arada pişirilmek zorunda kalınsa bile aralarında belli bir mesafe bulunmalı her ikisinin kaplarının üzeri de kapalı halde olmalıdır. Yahudi kadınlarının özellikle bu hususlara çok dikkat etmeleri gereklidir. Bunun yanında et pişirmek için kullanılan kap süt pişirmek için de kullanılamaz. Et ve süt için kullanılan tencere, tabak, çatal, bıçak gibi eşyalar ayrı olmalıdır.</w:t>
      </w:r>
    </w:p>
    <w:p w14:paraId="3CBED571" w14:textId="77777777" w:rsidR="0079785E" w:rsidRPr="000B3B32" w:rsidRDefault="0079785E" w:rsidP="0079785E">
      <w:pPr>
        <w:jc w:val="both"/>
      </w:pPr>
    </w:p>
    <w:p w14:paraId="29704394" w14:textId="77777777" w:rsidR="00FA457D" w:rsidRDefault="00FA457D" w:rsidP="0079785E">
      <w:pPr>
        <w:jc w:val="both"/>
        <w:rPr>
          <w:sz w:val="20"/>
          <w:szCs w:val="20"/>
        </w:rPr>
      </w:pPr>
      <w:r w:rsidRPr="000B3B32">
        <w:t xml:space="preserve">Ayrıca eve alınan yeni bir eşya da kullanılmadan önce </w:t>
      </w:r>
      <w:proofErr w:type="spellStart"/>
      <w:r w:rsidRPr="000B3B32">
        <w:t>koşerlenmelidir</w:t>
      </w:r>
      <w:proofErr w:type="spellEnd"/>
      <w:r w:rsidRPr="000B3B32">
        <w:t>. Örneğin ev için alınmış olan bir tabak ya da kap akarsuda ya da “</w:t>
      </w:r>
      <w:proofErr w:type="spellStart"/>
      <w:r w:rsidRPr="000B3B32">
        <w:t>Mikve</w:t>
      </w:r>
      <w:proofErr w:type="spellEnd"/>
      <w:r w:rsidRPr="000B3B32">
        <w:t xml:space="preserve">” suyunda dua edilerek </w:t>
      </w:r>
      <w:proofErr w:type="spellStart"/>
      <w:r w:rsidRPr="000B3B32">
        <w:t>Tevila</w:t>
      </w:r>
      <w:proofErr w:type="spellEnd"/>
      <w:r w:rsidRPr="000B3B32">
        <w:t xml:space="preserve"> yapılıp koşer hale getirilmelidir. </w:t>
      </w:r>
      <w:r w:rsidRPr="00292237">
        <w:rPr>
          <w:sz w:val="20"/>
          <w:szCs w:val="20"/>
        </w:rPr>
        <w:fldChar w:fldCharType="begin"/>
      </w:r>
      <w:r w:rsidRPr="00292237">
        <w:rPr>
          <w:sz w:val="20"/>
          <w:szCs w:val="20"/>
        </w:rPr>
        <w:instrText xml:space="preserve"> ADDIN ZOTERO_ITEM CSL_CITATION {"citationID":"nxsM1n5n","properties":{"formattedCitation":"(Alt\\uc0\\u305{}nta\\uc0\\u351{}, 2018, ss. 124-127)","plainCitation":"(Altıntaş, 2018, ss. 124-127)","noteIndex":0},"citationItems":[{"id":1,"uris":["http://zotero.org/users/16525729/items/HIIC6S9L"],"itemData":{"id":1,"type":"book","edition":"3","event-place":"İstanbul","publisher":"Gözlem Gazetecilik ve Basın Yayın","publisher-place":"İstanbul","title":"Yahudilik’te Kavram ve Değerler","editor":[{"family":"Altıntaş","given":"Yusuf"}],"issued":{"date-parts":[["2018"]]}},"locator":"124-127","label":"page"}],"schema":"https://github.com/citation-style-language/schema/raw/master/csl-citation.json"} </w:instrText>
      </w:r>
      <w:r w:rsidRPr="00292237">
        <w:rPr>
          <w:sz w:val="20"/>
          <w:szCs w:val="20"/>
        </w:rPr>
        <w:fldChar w:fldCharType="separate"/>
      </w:r>
      <w:r w:rsidRPr="00292237">
        <w:rPr>
          <w:sz w:val="20"/>
          <w:szCs w:val="20"/>
        </w:rPr>
        <w:t>(Altıntaş, 2018, ss. 124-127)</w:t>
      </w:r>
      <w:r w:rsidRPr="00292237">
        <w:rPr>
          <w:sz w:val="20"/>
          <w:szCs w:val="20"/>
        </w:rPr>
        <w:fldChar w:fldCharType="end"/>
      </w:r>
      <w:r w:rsidRPr="000B3B32">
        <w:t xml:space="preserve"> Yeni alınan mutfak kapları suya (</w:t>
      </w:r>
      <w:proofErr w:type="spellStart"/>
      <w:r w:rsidRPr="000B3B32">
        <w:t>mikve</w:t>
      </w:r>
      <w:proofErr w:type="spellEnd"/>
      <w:r w:rsidRPr="000B3B32">
        <w:t xml:space="preserve">) daldırılmadan önce şu </w:t>
      </w:r>
      <w:proofErr w:type="spellStart"/>
      <w:r w:rsidRPr="000B3B32">
        <w:t>beraha</w:t>
      </w:r>
      <w:proofErr w:type="spellEnd"/>
      <w:r w:rsidRPr="000B3B32">
        <w:t xml:space="preserve"> okunmalıdır: “Bizi emirleriyle kutsayan ve bize bir geminin (kapların) suya batırılmasıyla ilgili emir veren evrenin kralı Tanrımız ne mutlu sana” </w:t>
      </w:r>
      <w:r w:rsidRPr="00292237">
        <w:rPr>
          <w:sz w:val="20"/>
          <w:szCs w:val="20"/>
        </w:rPr>
        <w:fldChar w:fldCharType="begin"/>
      </w:r>
      <w:r w:rsidRPr="00292237">
        <w:rPr>
          <w:sz w:val="20"/>
          <w:szCs w:val="20"/>
        </w:rPr>
        <w:instrText xml:space="preserve"> ADDIN ZOTERO_ITEM CSL_CITATION {"citationID":"NahHkq65","properties":{"formattedCitation":"({\\i{}Spirituality &amp; the Feminine}, t.y.)","plainCitation":"(Spirituality &amp; the Feminine, t.y.)","noteIndex":0},"citationItems":[{"id":129,"uris":["http://zotero.org/users/16525729/items/5P23E6C3"],"itemData":{"id":129,"type":"webpage","container-title":"Chabad","language":"en","title":"Spirituality &amp; the Feminine","URL":"https://www.chabad.org/theJewishWoman/article_cdo/aid/313387/jewish/Spirituality-the-Feminine.htm","accessed":{"date-parts":[["2025",2,28]]}}}],"schema":"https://github.com/citation-style-language/schema/raw/master/csl-citation.json"}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Spirituality &amp; the Feminine</w:t>
      </w:r>
      <w:r w:rsidRPr="00292237">
        <w:rPr>
          <w:sz w:val="20"/>
          <w:szCs w:val="20"/>
        </w:rPr>
        <w:t>, t.y.)</w:t>
      </w:r>
      <w:r w:rsidRPr="00292237">
        <w:rPr>
          <w:sz w:val="20"/>
          <w:szCs w:val="20"/>
        </w:rPr>
        <w:fldChar w:fldCharType="end"/>
      </w:r>
    </w:p>
    <w:p w14:paraId="5FDE0BF9" w14:textId="77777777" w:rsidR="0079785E" w:rsidRPr="000B3B32" w:rsidRDefault="0079785E" w:rsidP="0079785E">
      <w:pPr>
        <w:jc w:val="both"/>
      </w:pPr>
    </w:p>
    <w:p w14:paraId="52DD4278" w14:textId="77777777" w:rsidR="00FA457D" w:rsidRPr="00424346" w:rsidRDefault="00FA457D">
      <w:pPr>
        <w:pStyle w:val="ListeParagraf"/>
        <w:widowControl/>
        <w:numPr>
          <w:ilvl w:val="1"/>
          <w:numId w:val="34"/>
        </w:numPr>
        <w:autoSpaceDE/>
        <w:autoSpaceDN/>
        <w:jc w:val="both"/>
        <w:rPr>
          <w:b/>
        </w:rPr>
      </w:pPr>
      <w:r w:rsidRPr="00424346">
        <w:rPr>
          <w:b/>
        </w:rPr>
        <w:t>Özel Günlerin Yiyeceklerinin Hazırlanması</w:t>
      </w:r>
    </w:p>
    <w:p w14:paraId="0D4BD28C" w14:textId="010F604D" w:rsidR="00FA457D" w:rsidRDefault="00FA457D" w:rsidP="0079785E">
      <w:pPr>
        <w:jc w:val="both"/>
      </w:pPr>
      <w:r w:rsidRPr="000B3B32">
        <w:t xml:space="preserve">Yahudiler için önemli bayramlardan biri olan </w:t>
      </w:r>
      <w:proofErr w:type="spellStart"/>
      <w:r w:rsidRPr="000B3B32">
        <w:t>Fısıh</w:t>
      </w:r>
      <w:proofErr w:type="spellEnd"/>
      <w:r w:rsidRPr="000B3B32">
        <w:t xml:space="preserve"> (</w:t>
      </w:r>
      <w:proofErr w:type="spellStart"/>
      <w:r w:rsidRPr="000B3B32">
        <w:t>Pesah</w:t>
      </w:r>
      <w:proofErr w:type="spellEnd"/>
      <w:r w:rsidRPr="000B3B32">
        <w:t>), Tevrat’ta ifade edildiği üzere, Yahudilerin kölelikten kurtularak Mısır’dan çıkışlarının hatırasına her yıl Yahudi takvimine göre Nisan ayının 15-21. günleri arasında kutlanmaktadır.</w:t>
      </w:r>
      <w:r w:rsidRPr="00292237">
        <w:rPr>
          <w:sz w:val="20"/>
          <w:szCs w:val="20"/>
        </w:rPr>
        <w:fldChar w:fldCharType="begin"/>
      </w:r>
      <w:r w:rsidRPr="00292237">
        <w:rPr>
          <w:sz w:val="20"/>
          <w:szCs w:val="20"/>
        </w:rPr>
        <w:instrText xml:space="preserve"> ADDIN ZOTERO_ITEM CSL_CITATION {"citationID":"pai6BIpc","properties":{"formattedCitation":"(G\\uc0\\u252{}nd\\uc0\\u252{}z, 2021, s. 97)","plainCitation":"(Gündüz, 2021, s. 97)","noteIndex":0},"citationItems":[{"id":32,"uris":["http://zotero.org/users/16525729/items/CIN2W3MR"],"itemData":{"id":32,"type":"book","abstract":"21Yüzyıl pozitivist kehanetin aksine, dinlerin değerinin yükseldiği ve dini mensubiyetlik duygusunun canlandığı günlere şahitlik ederek başladı. Dini alandaki bu hareketlenme sadece din ve teolojik düşünce zemininde değil, politikadan ekonomiye, hukuktan sanata kadar modern yaşamın bütün kompartımanlarında fark edilmektedir. Günümüzde politik kararların, hukuki tartışmaların ve sanata konu olan temaların sanıldığından daha fazla dini referanslara dayandığını görmek zor değildir. Dolayısıyle kökleri kadim çağlara uzanan dinlere dair doğru bilgi, modern toplumların anlaşılması adına da artık bir zaruret haline gelmiştir. Elinizdeki kitap bu gerçeği dikkate alarak hazırlanmıştır. Yeryüzünde varlık bulan dinlerin tarihsel süreçlerini, inanç esaslarını, ibadetlerini, ahlak öğretilerini ve dünya görüşlerini ele alan bu kitap sadece ilahiyat çalışmaları için değil, din kurumunu artık göz ardı edemeyen bütün sosyal bilim araştırmacıları için de önemli bir kaynak olacaktır.","edition":"5","event-place":"İstanbul","ISBN":"978-605-06488-0-5","language":"tr","number-of-pages":"384","publisher":"Milel Nihal Yayınları","publisher-place":"İstanbul","title":"Dünya Dinleri","editor":[{"family":"Gündüz","given":"Şinasi"}],"issued":{"date-parts":[["2021"]]}},"locator":"97","label":"page"}],"schema":"https://github.com/citation-style-language/schema/raw/master/csl-citation.json"} </w:instrText>
      </w:r>
      <w:r w:rsidRPr="00292237">
        <w:rPr>
          <w:sz w:val="20"/>
          <w:szCs w:val="20"/>
        </w:rPr>
        <w:fldChar w:fldCharType="separate"/>
      </w:r>
      <w:r w:rsidRPr="00292237">
        <w:rPr>
          <w:sz w:val="20"/>
          <w:szCs w:val="20"/>
        </w:rPr>
        <w:t>(Gündüz, 2021, s. 97)</w:t>
      </w:r>
      <w:r w:rsidRPr="00292237">
        <w:rPr>
          <w:sz w:val="20"/>
          <w:szCs w:val="20"/>
        </w:rPr>
        <w:fldChar w:fldCharType="end"/>
      </w:r>
      <w:r w:rsidRPr="000B3B32">
        <w:t xml:space="preserve"> </w:t>
      </w:r>
      <w:proofErr w:type="spellStart"/>
      <w:r w:rsidRPr="000B3B32">
        <w:t>Fısıh</w:t>
      </w:r>
      <w:proofErr w:type="spellEnd"/>
      <w:r w:rsidRPr="000B3B32">
        <w:t xml:space="preserve"> Bayramı'nın ilk iki gecesinde (İsrail'de ise sadece ilk gece) bir </w:t>
      </w:r>
      <w:proofErr w:type="spellStart"/>
      <w:r w:rsidRPr="000B3B32">
        <w:t>Seder</w:t>
      </w:r>
      <w:proofErr w:type="spellEnd"/>
      <w:r w:rsidRPr="000B3B32">
        <w:t xml:space="preserve"> yemeği düzenlenir. </w:t>
      </w:r>
      <w:r w:rsidRPr="00292237">
        <w:rPr>
          <w:sz w:val="20"/>
          <w:szCs w:val="20"/>
        </w:rPr>
        <w:fldChar w:fldCharType="begin"/>
      </w:r>
      <w:r w:rsidRPr="00292237">
        <w:rPr>
          <w:sz w:val="20"/>
          <w:szCs w:val="20"/>
        </w:rPr>
        <w:instrText xml:space="preserve"> ADDIN ZOTERO_ITEM CSL_CITATION {"citationID":"gg45vzCJ","properties":{"formattedCitation":"({\\i{}What Is Passover (Pesach)?}, t.y.)","plainCitation":"(What Is Passover (Pesach)?, t.y.)","noteIndex":0},"citationItems":[{"id":131,"uris":["http://zotero.org/users/16525729/items/7B7SP74E"],"itemData":{"id":131,"type":"webpage","abstract":"Passover is an 8-day festival celebrating the Israelites' Exodus from Egyptian slavery. The most important event in Jewish history is marked by eating matzah and bitter herbs, drinking wine, telling the Passover story and not eating leaven (chametz).","container-title":"Chabad","language":"en","title":"What Is Passover (Pesach)? - Passover","title-short":"What Is Passover (Pesach)?","URL":"https://www.chabad.org/holidays/passover/pesach_cdo/aid/871715/jewish/What-Is-Passover-Pesach.htm","accessed":{"date-parts":[["2025",2,28]]}}}],"schema":"https://github.com/citation-style-language/schema/raw/master/csl-citation.json"}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What Is Passover (Pesach</w:t>
      </w:r>
      <w:proofErr w:type="gramStart"/>
      <w:r w:rsidRPr="00292237">
        <w:rPr>
          <w:i/>
          <w:iCs/>
          <w:sz w:val="20"/>
          <w:szCs w:val="20"/>
        </w:rPr>
        <w:t>)?</w:t>
      </w:r>
      <w:r w:rsidRPr="00292237">
        <w:rPr>
          <w:sz w:val="20"/>
          <w:szCs w:val="20"/>
        </w:rPr>
        <w:t>,</w:t>
      </w:r>
      <w:proofErr w:type="gramEnd"/>
      <w:r w:rsidRPr="00292237">
        <w:rPr>
          <w:sz w:val="20"/>
          <w:szCs w:val="20"/>
        </w:rPr>
        <w:t xml:space="preserve"> t.y.)</w:t>
      </w:r>
      <w:r w:rsidRPr="00292237">
        <w:rPr>
          <w:sz w:val="20"/>
          <w:szCs w:val="20"/>
        </w:rPr>
        <w:fldChar w:fldCharType="end"/>
      </w:r>
      <w:r w:rsidRPr="000B3B32">
        <w:t xml:space="preserve"> </w:t>
      </w:r>
      <w:proofErr w:type="spellStart"/>
      <w:r w:rsidRPr="000B3B32">
        <w:t>Fısıh</w:t>
      </w:r>
      <w:proofErr w:type="spellEnd"/>
      <w:r w:rsidRPr="000B3B32">
        <w:t xml:space="preserve"> bayramında en büyük görev kadına düşmektedir. </w:t>
      </w:r>
      <w:proofErr w:type="spellStart"/>
      <w:r w:rsidRPr="000B3B32">
        <w:t>Seder</w:t>
      </w:r>
      <w:proofErr w:type="spellEnd"/>
      <w:r w:rsidRPr="000B3B32">
        <w:t xml:space="preserve"> yemeği için Yahudi kadınları gerekli olan hazırlıkları yapmaktadırlar. </w:t>
      </w:r>
      <w:proofErr w:type="spellStart"/>
      <w:r w:rsidRPr="000B3B32">
        <w:t>Fısıh</w:t>
      </w:r>
      <w:proofErr w:type="spellEnd"/>
      <w:r w:rsidRPr="000B3B32">
        <w:t xml:space="preserve"> bayramı yaklaşınca Yahudi kadınlar evleri temizleyerek bayram için hazır hale getirmektedirler. Aynı zamanda evde bulunan “</w:t>
      </w:r>
      <w:proofErr w:type="spellStart"/>
      <w:r w:rsidRPr="000B3B32">
        <w:t>hametz</w:t>
      </w:r>
      <w:proofErr w:type="spellEnd"/>
      <w:r w:rsidRPr="000B3B32">
        <w:t>” yani mayalı yiyecekleri de kaldırmaları gerekmektedir.</w:t>
      </w:r>
    </w:p>
    <w:p w14:paraId="5AF9DA44" w14:textId="77777777" w:rsidR="0079785E" w:rsidRPr="000B3B32" w:rsidRDefault="0079785E" w:rsidP="0079785E">
      <w:pPr>
        <w:jc w:val="both"/>
      </w:pPr>
    </w:p>
    <w:p w14:paraId="30D8F1AB" w14:textId="45EE0E63" w:rsidR="00FA457D" w:rsidRDefault="00FA457D" w:rsidP="0079785E">
      <w:pPr>
        <w:jc w:val="both"/>
        <w:rPr>
          <w:sz w:val="20"/>
          <w:szCs w:val="20"/>
        </w:rPr>
      </w:pPr>
      <w:proofErr w:type="spellStart"/>
      <w:r w:rsidRPr="000B3B32">
        <w:t>Fısıh</w:t>
      </w:r>
      <w:proofErr w:type="spellEnd"/>
      <w:r w:rsidRPr="000B3B32">
        <w:t xml:space="preserve"> bayramında kurulan </w:t>
      </w:r>
      <w:proofErr w:type="spellStart"/>
      <w:r w:rsidRPr="000B3B32">
        <w:t>Seder</w:t>
      </w:r>
      <w:proofErr w:type="spellEnd"/>
      <w:r w:rsidRPr="000B3B32">
        <w:t xml:space="preserve"> sofrası da kendi içerisinde önemli anlamlar barındırmaktadır. </w:t>
      </w:r>
      <w:proofErr w:type="spellStart"/>
      <w:r w:rsidRPr="000B3B32">
        <w:t>Seder</w:t>
      </w:r>
      <w:proofErr w:type="spellEnd"/>
      <w:r w:rsidRPr="000B3B32">
        <w:t xml:space="preserve"> sofrasında mumlar yakılır, </w:t>
      </w:r>
      <w:proofErr w:type="spellStart"/>
      <w:r w:rsidRPr="000B3B32">
        <w:t>Pesah</w:t>
      </w:r>
      <w:proofErr w:type="spellEnd"/>
      <w:r w:rsidRPr="000B3B32">
        <w:t xml:space="preserve"> öyküsünün anlatıldığı </w:t>
      </w:r>
      <w:proofErr w:type="spellStart"/>
      <w:r w:rsidRPr="000B3B32">
        <w:t>Agada</w:t>
      </w:r>
      <w:proofErr w:type="spellEnd"/>
      <w:r w:rsidRPr="000B3B32">
        <w:t xml:space="preserve"> kitabı okunur. </w:t>
      </w:r>
      <w:proofErr w:type="spellStart"/>
      <w:r w:rsidRPr="000B3B32">
        <w:t>Seder</w:t>
      </w:r>
      <w:proofErr w:type="spellEnd"/>
      <w:r w:rsidRPr="000B3B32">
        <w:t xml:space="preserve"> sofrasında bulunan en önemli şey </w:t>
      </w:r>
      <w:proofErr w:type="spellStart"/>
      <w:r w:rsidRPr="000B3B32">
        <w:t>Seder</w:t>
      </w:r>
      <w:proofErr w:type="spellEnd"/>
      <w:r w:rsidRPr="000B3B32">
        <w:t xml:space="preserve"> tabağıdır. </w:t>
      </w:r>
      <w:proofErr w:type="spellStart"/>
      <w:r w:rsidRPr="000B3B32">
        <w:t>Seder</w:t>
      </w:r>
      <w:proofErr w:type="spellEnd"/>
      <w:r w:rsidRPr="000B3B32">
        <w:t xml:space="preserve"> tabağında iki tanesi </w:t>
      </w:r>
      <w:proofErr w:type="spellStart"/>
      <w:r w:rsidRPr="000B3B32">
        <w:t>Şabat</w:t>
      </w:r>
      <w:proofErr w:type="spellEnd"/>
      <w:r w:rsidRPr="000B3B32">
        <w:t xml:space="preserve"> günü için yapılan Man</w:t>
      </w:r>
      <w:r w:rsidRPr="000B3B32">
        <w:rPr>
          <w:rStyle w:val="DipnotBavurusu"/>
          <w:rFonts w:eastAsiaTheme="majorEastAsia"/>
        </w:rPr>
        <w:footnoteReference w:id="78"/>
      </w:r>
      <w:r w:rsidRPr="000B3B32">
        <w:t xml:space="preserve"> anısını temsil eden diğeri de Mısır’dan çıkış hatırına kölelik zamanındaki ekmeği temsil eden üç tane </w:t>
      </w:r>
      <w:r w:rsidRPr="000B3B32">
        <w:rPr>
          <w:i/>
        </w:rPr>
        <w:t>“Matsa”</w:t>
      </w:r>
      <w:r w:rsidRPr="000B3B32">
        <w:t xml:space="preserve"> bulunmaktadır. </w:t>
      </w:r>
      <w:proofErr w:type="spellStart"/>
      <w:r w:rsidRPr="000B3B32">
        <w:t>Seder</w:t>
      </w:r>
      <w:proofErr w:type="spellEnd"/>
      <w:r w:rsidRPr="000B3B32">
        <w:t xml:space="preserve"> tabağındaki </w:t>
      </w:r>
      <w:r w:rsidRPr="000B3B32">
        <w:rPr>
          <w:i/>
        </w:rPr>
        <w:t>“</w:t>
      </w:r>
      <w:proofErr w:type="spellStart"/>
      <w:r w:rsidRPr="000B3B32">
        <w:rPr>
          <w:i/>
        </w:rPr>
        <w:t>Karpas</w:t>
      </w:r>
      <w:proofErr w:type="spellEnd"/>
      <w:r w:rsidRPr="000B3B32">
        <w:rPr>
          <w:i/>
        </w:rPr>
        <w:t>”</w:t>
      </w:r>
      <w:r w:rsidRPr="000B3B32">
        <w:t xml:space="preserve"> Mısır’da Yahudilerin yedikleri fakir yemeklerini temsil etmektedir. </w:t>
      </w:r>
      <w:proofErr w:type="spellStart"/>
      <w:r w:rsidRPr="000B3B32">
        <w:t>Seder</w:t>
      </w:r>
      <w:proofErr w:type="spellEnd"/>
      <w:r w:rsidRPr="000B3B32">
        <w:t xml:space="preserve"> tabağında maydanoz ya da kereviz yaprağı yer alırken yanındaki sirke ise Mısır’daki ter ve gözyaşının sembolüdür. Mısır’daki hüzünlü </w:t>
      </w:r>
      <w:r w:rsidRPr="000B3B32">
        <w:lastRenderedPageBreak/>
        <w:t xml:space="preserve">yılların anısına </w:t>
      </w:r>
      <w:proofErr w:type="spellStart"/>
      <w:proofErr w:type="gramStart"/>
      <w:r w:rsidRPr="000B3B32">
        <w:t>yenilen”Maror</w:t>
      </w:r>
      <w:proofErr w:type="spellEnd"/>
      <w:proofErr w:type="gramEnd"/>
      <w:r w:rsidRPr="000B3B32">
        <w:t>” için acı ot yaprakları ve marul yaprakları kullanılmaktadır. Elma, tarçın, badem ve şarapla yapılan “</w:t>
      </w:r>
      <w:proofErr w:type="spellStart"/>
      <w:r w:rsidRPr="000B3B32">
        <w:t>Haroset</w:t>
      </w:r>
      <w:proofErr w:type="spellEnd"/>
      <w:r w:rsidRPr="000B3B32">
        <w:t xml:space="preserve">” ise Firavun tarafından Yahudilere yaptırılan inşaat harcına benzetilir. </w:t>
      </w:r>
      <w:proofErr w:type="spellStart"/>
      <w:r w:rsidRPr="000B3B32">
        <w:t>Mabed’de</w:t>
      </w:r>
      <w:proofErr w:type="spellEnd"/>
      <w:r w:rsidRPr="000B3B32">
        <w:t xml:space="preserve"> kurban için takdim edilen kuzu hatırına ateşten geçirilen etli kemik parçası olan </w:t>
      </w:r>
      <w:proofErr w:type="spellStart"/>
      <w:r w:rsidRPr="000B3B32">
        <w:t>korban</w:t>
      </w:r>
      <w:proofErr w:type="spellEnd"/>
      <w:r w:rsidRPr="000B3B32">
        <w:t xml:space="preserve"> da </w:t>
      </w:r>
      <w:proofErr w:type="spellStart"/>
      <w:r w:rsidRPr="000B3B32">
        <w:t>Seder</w:t>
      </w:r>
      <w:proofErr w:type="spellEnd"/>
      <w:r w:rsidRPr="000B3B32">
        <w:t xml:space="preserve"> sofrasında yer almaktadır. </w:t>
      </w:r>
      <w:proofErr w:type="spellStart"/>
      <w:r w:rsidRPr="000B3B32">
        <w:t>Seder’de</w:t>
      </w:r>
      <w:proofErr w:type="spellEnd"/>
      <w:r w:rsidRPr="000B3B32">
        <w:t xml:space="preserve"> bulunan haşlanmış yumurta bazı Yahudiler için adakları anımsatırken bazılarına göre de yası simgelemektedir. </w:t>
      </w:r>
      <w:r w:rsidRPr="00292237">
        <w:rPr>
          <w:sz w:val="20"/>
          <w:szCs w:val="20"/>
        </w:rPr>
        <w:fldChar w:fldCharType="begin"/>
      </w:r>
      <w:r w:rsidRPr="00292237">
        <w:rPr>
          <w:sz w:val="20"/>
          <w:szCs w:val="20"/>
        </w:rPr>
        <w:instrText xml:space="preserve"> ADDIN ZOTERO_ITEM CSL_CITATION {"citationID":"3w8KAHtW","properties":{"formattedCitation":"(Alt\\uc0\\u305{}nta\\uc0\\u351{}, 2018, ss. 16-19)","plainCitation":"(Altıntaş, 2018, ss. 16-19)","noteIndex":0},"citationItems":[{"id":1,"uris":["http://zotero.org/users/16525729/items/HIIC6S9L"],"itemData":{"id":1,"type":"book","edition":"3","event-place":"İstanbul","publisher":"Gözlem Gazetecilik ve Basın Yayın","publisher-place":"İstanbul","title":"Yahudilik’te Kavram ve Değerler","editor":[{"family":"Altıntaş","given":"Yusuf"}],"issued":{"date-parts":[["2018"]]}},"locator":"16-19","label":"page"}],"schema":"https://github.com/citation-style-language/schema/raw/master/csl-citation.json"} </w:instrText>
      </w:r>
      <w:r w:rsidRPr="00292237">
        <w:rPr>
          <w:sz w:val="20"/>
          <w:szCs w:val="20"/>
        </w:rPr>
        <w:fldChar w:fldCharType="separate"/>
      </w:r>
      <w:r w:rsidRPr="00292237">
        <w:rPr>
          <w:sz w:val="20"/>
          <w:szCs w:val="20"/>
        </w:rPr>
        <w:t>(Altıntaş, 2018, ss. 16-19)</w:t>
      </w:r>
      <w:r w:rsidRPr="00292237">
        <w:rPr>
          <w:sz w:val="20"/>
          <w:szCs w:val="20"/>
        </w:rPr>
        <w:fldChar w:fldCharType="end"/>
      </w:r>
    </w:p>
    <w:p w14:paraId="68D549C2" w14:textId="77777777" w:rsidR="0079785E" w:rsidRPr="000B3B32" w:rsidRDefault="0079785E" w:rsidP="0079785E">
      <w:pPr>
        <w:jc w:val="both"/>
      </w:pPr>
    </w:p>
    <w:p w14:paraId="0DBBF86D" w14:textId="77777777" w:rsidR="00FA457D" w:rsidRDefault="00FA457D" w:rsidP="0079785E">
      <w:pPr>
        <w:jc w:val="both"/>
        <w:rPr>
          <w:sz w:val="20"/>
          <w:szCs w:val="20"/>
        </w:rPr>
      </w:pPr>
      <w:r w:rsidRPr="000B3B32">
        <w:t xml:space="preserve">Yahudiler için önemli bayramlardan biri olan </w:t>
      </w:r>
      <w:r w:rsidRPr="000B3B32">
        <w:rPr>
          <w:i/>
        </w:rPr>
        <w:t>“</w:t>
      </w:r>
      <w:proofErr w:type="spellStart"/>
      <w:r w:rsidRPr="000B3B32">
        <w:rPr>
          <w:i/>
        </w:rPr>
        <w:t>Sukot</w:t>
      </w:r>
      <w:proofErr w:type="spellEnd"/>
      <w:r w:rsidRPr="000B3B32">
        <w:rPr>
          <w:i/>
        </w:rPr>
        <w:t>”</w:t>
      </w:r>
      <w:r w:rsidRPr="000B3B32">
        <w:t xml:space="preserve"> yani Çardaklar Bayramı, Mısır’dan çıktıktan sonra çölde kaldıkları sırada çardaklarda kalmalarının bir simgesi olarak kutlanılır. Bunun hatırasını yaşatmak adına Yahudiler evlerindeki bahçelere ya da balkonlara temsilî çardaklar kurmaktadırlar. </w:t>
      </w:r>
      <w:r w:rsidRPr="00292237">
        <w:rPr>
          <w:sz w:val="20"/>
          <w:szCs w:val="20"/>
        </w:rPr>
        <w:fldChar w:fldCharType="begin"/>
      </w:r>
      <w:r w:rsidRPr="00292237">
        <w:rPr>
          <w:sz w:val="20"/>
          <w:szCs w:val="20"/>
        </w:rPr>
        <w:instrText xml:space="preserve"> ADDIN ZOTERO_ITEM CSL_CITATION {"citationID":"SkO5pkbO","properties":{"formattedCitation":"(G\\uc0\\u252{}nd\\uc0\\u252{}z, 2021, s. 99)","plainCitation":"(Gündüz, 2021, s. 99)","noteIndex":0},"citationItems":[{"id":32,"uris":["http://zotero.org/users/16525729/items/CIN2W3MR"],"itemData":{"id":32,"type":"book","abstract":"21Yüzyıl pozitivist kehanetin aksine, dinlerin değerinin yükseldiği ve dini mensubiyetlik duygusunun canlandığı günlere şahitlik ederek başladı. Dini alandaki bu hareketlenme sadece din ve teolojik düşünce zemininde değil, politikadan ekonomiye, hukuktan sanata kadar modern yaşamın bütün kompartımanlarında fark edilmektedir. Günümüzde politik kararların, hukuki tartışmaların ve sanata konu olan temaların sanıldığından daha fazla dini referanslara dayandığını görmek zor değildir. Dolayısıyle kökleri kadim çağlara uzanan dinlere dair doğru bilgi, modern toplumların anlaşılması adına da artık bir zaruret haline gelmiştir. Elinizdeki kitap bu gerçeği dikkate alarak hazırlanmıştır. Yeryüzünde varlık bulan dinlerin tarihsel süreçlerini, inanç esaslarını, ibadetlerini, ahlak öğretilerini ve dünya görüşlerini ele alan bu kitap sadece ilahiyat çalışmaları için değil, din kurumunu artık göz ardı edemeyen bütün sosyal bilim araştırmacıları için de önemli bir kaynak olacaktır.","edition":"5","event-place":"İstanbul","ISBN":"978-605-06488-0-5","language":"tr","number-of-pages":"384","publisher":"Milel Nihal Yayınları","publisher-place":"İstanbul","title":"Dünya Dinleri","editor":[{"family":"Gündüz","given":"Şinasi"}],"issued":{"date-parts":[["2021"]]}},"locator":"99","label":"page"}],"schema":"https://github.com/citation-style-language/schema/raw/master/csl-citation.json"} </w:instrText>
      </w:r>
      <w:r w:rsidRPr="00292237">
        <w:rPr>
          <w:sz w:val="20"/>
          <w:szCs w:val="20"/>
        </w:rPr>
        <w:fldChar w:fldCharType="separate"/>
      </w:r>
      <w:r w:rsidRPr="00292237">
        <w:rPr>
          <w:sz w:val="20"/>
          <w:szCs w:val="20"/>
        </w:rPr>
        <w:t>(Gündüz, 2021, s. 99)</w:t>
      </w:r>
      <w:r w:rsidRPr="00292237">
        <w:rPr>
          <w:sz w:val="20"/>
          <w:szCs w:val="20"/>
        </w:rPr>
        <w:fldChar w:fldCharType="end"/>
      </w:r>
      <w:r w:rsidRPr="000B3B32">
        <w:t xml:space="preserve"> Kurulan bu çardaklarda güneş kaybolmadan önce kandiller yakılmalıdır. </w:t>
      </w:r>
      <w:proofErr w:type="spellStart"/>
      <w:r w:rsidRPr="000B3B32">
        <w:t>Sukot</w:t>
      </w:r>
      <w:proofErr w:type="spellEnd"/>
      <w:r w:rsidRPr="000B3B32">
        <w:t xml:space="preserve"> bayramında önemli olan diğer bir husus ise </w:t>
      </w:r>
      <w:r w:rsidRPr="000B3B32">
        <w:rPr>
          <w:i/>
        </w:rPr>
        <w:t>“</w:t>
      </w:r>
      <w:proofErr w:type="spellStart"/>
      <w:r w:rsidRPr="000B3B32">
        <w:rPr>
          <w:i/>
        </w:rPr>
        <w:t>Arbaat</w:t>
      </w:r>
      <w:proofErr w:type="spellEnd"/>
      <w:r w:rsidRPr="000B3B32">
        <w:rPr>
          <w:i/>
        </w:rPr>
        <w:t xml:space="preserve"> Aminim” </w:t>
      </w:r>
      <w:r w:rsidRPr="000B3B32">
        <w:t xml:space="preserve">olarak </w:t>
      </w:r>
      <w:proofErr w:type="spellStart"/>
      <w:r w:rsidRPr="000B3B32">
        <w:t>adandırılan</w:t>
      </w:r>
      <w:proofErr w:type="spellEnd"/>
      <w:r w:rsidRPr="000B3B32">
        <w:t xml:space="preserve"> dört bitki türüdür. Bayram esnasında Yahudilerin elinde olması gereken bu dört bitki en iyilerinden seçilmelidir ve bu bitkilerin hepsinden mevcut olması gereklidir yoksa </w:t>
      </w:r>
      <w:proofErr w:type="spellStart"/>
      <w:r w:rsidRPr="000B3B32">
        <w:t>mitzva</w:t>
      </w:r>
      <w:proofErr w:type="spellEnd"/>
      <w:r w:rsidRPr="000B3B32">
        <w:t xml:space="preserve"> yerine getirilmemiş olarak kabul edilir. </w:t>
      </w:r>
      <w:proofErr w:type="spellStart"/>
      <w:r w:rsidRPr="000B3B32">
        <w:t>Arbaat</w:t>
      </w:r>
      <w:proofErr w:type="spellEnd"/>
      <w:r w:rsidRPr="000B3B32">
        <w:t xml:space="preserve"> Aminim, </w:t>
      </w:r>
      <w:proofErr w:type="spellStart"/>
      <w:r w:rsidRPr="000B3B32">
        <w:rPr>
          <w:i/>
        </w:rPr>
        <w:t>Lulav</w:t>
      </w:r>
      <w:proofErr w:type="spellEnd"/>
      <w:r w:rsidRPr="000B3B32">
        <w:t xml:space="preserve"> (Palmiye dalı), </w:t>
      </w:r>
      <w:proofErr w:type="spellStart"/>
      <w:r w:rsidRPr="000B3B32">
        <w:rPr>
          <w:i/>
        </w:rPr>
        <w:t>Etrog</w:t>
      </w:r>
      <w:proofErr w:type="spellEnd"/>
      <w:r w:rsidRPr="000B3B32">
        <w:t xml:space="preserve"> (Turunçgil meyvesi), </w:t>
      </w:r>
      <w:proofErr w:type="spellStart"/>
      <w:r w:rsidRPr="000B3B32">
        <w:rPr>
          <w:i/>
        </w:rPr>
        <w:t>Adas</w:t>
      </w:r>
      <w:proofErr w:type="spellEnd"/>
      <w:r w:rsidRPr="000B3B32">
        <w:t xml:space="preserve"> (Mersin dalı) ve </w:t>
      </w:r>
      <w:proofErr w:type="spellStart"/>
      <w:r w:rsidRPr="000B3B32">
        <w:rPr>
          <w:i/>
        </w:rPr>
        <w:t>Arava</w:t>
      </w:r>
      <w:proofErr w:type="spellEnd"/>
      <w:r w:rsidRPr="000B3B32">
        <w:t xml:space="preserve"> (Söğüt dalı) olmak üzere bu dört bitkiden meydana gelmektedir. Kadınlar </w:t>
      </w:r>
      <w:proofErr w:type="spellStart"/>
      <w:r w:rsidRPr="000B3B32">
        <w:t>Arbaat</w:t>
      </w:r>
      <w:proofErr w:type="spellEnd"/>
      <w:r w:rsidRPr="000B3B32">
        <w:t xml:space="preserve"> Aminim ve </w:t>
      </w:r>
      <w:proofErr w:type="spellStart"/>
      <w:r w:rsidRPr="000B3B32">
        <w:t>Suka</w:t>
      </w:r>
      <w:proofErr w:type="spellEnd"/>
      <w:r w:rsidRPr="000B3B32">
        <w:t xml:space="preserve"> </w:t>
      </w:r>
      <w:proofErr w:type="spellStart"/>
      <w:r w:rsidRPr="000B3B32">
        <w:t>mitzvasından</w:t>
      </w:r>
      <w:proofErr w:type="spellEnd"/>
      <w:r w:rsidRPr="000B3B32">
        <w:t xml:space="preserve"> sorumlu sayılmasalar da bu </w:t>
      </w:r>
      <w:proofErr w:type="spellStart"/>
      <w:r w:rsidRPr="000B3B32">
        <w:t>mitzvaları</w:t>
      </w:r>
      <w:proofErr w:type="spellEnd"/>
      <w:r w:rsidRPr="000B3B32">
        <w:t xml:space="preserve"> yerine getirerek okunması gereken </w:t>
      </w:r>
      <w:proofErr w:type="spellStart"/>
      <w:r w:rsidRPr="000B3B32">
        <w:t>berahaları</w:t>
      </w:r>
      <w:proofErr w:type="spellEnd"/>
      <w:r w:rsidRPr="000B3B32">
        <w:t xml:space="preserve"> da okumaktadırlar. </w:t>
      </w:r>
      <w:r w:rsidRPr="00292237">
        <w:rPr>
          <w:sz w:val="20"/>
          <w:szCs w:val="20"/>
        </w:rPr>
        <w:fldChar w:fldCharType="begin"/>
      </w:r>
      <w:r w:rsidRPr="00292237">
        <w:rPr>
          <w:sz w:val="20"/>
          <w:szCs w:val="20"/>
        </w:rPr>
        <w:instrText xml:space="preserve"> ADDIN ZOTERO_ITEM CSL_CITATION {"citationID":"9du8BP31","properties":{"formattedCitation":"(Farsi, 2009, ss. 293-296)","plainCitation":"(Farsi, 2009, ss. 293-296)","noteIndex":0},"citationItems":[{"id":24,"uris":["http://zotero.org/users/16525729/items/4SK49MFK"],"itemData":{"id":24,"type":"book","event-place":"İstanbul","ISBN":"978-975-7304-80-7","language":"tr","number-of-pages":"443","publisher":"Gözlem Gazetecilik Basın Ve Yayın A.ş","publisher-place":"İstanbul","source":"KitapYurdu.com","title":"Dini Uygulama Rehberi / El Gid Para El Pratikante","author":[{"family":"Farsi","given":"Moşe"}],"translator":[{"family":"Yanar","given":"Mordehay"}],"issued":{"date-parts":[["2009"]]}},"locator":"293-296","label":"page"}],"schema":"https://github.com/citation-style-language/schema/raw/master/csl-citation.json"} </w:instrText>
      </w:r>
      <w:r w:rsidRPr="00292237">
        <w:rPr>
          <w:sz w:val="20"/>
          <w:szCs w:val="20"/>
        </w:rPr>
        <w:fldChar w:fldCharType="separate"/>
      </w:r>
      <w:r w:rsidRPr="00292237">
        <w:rPr>
          <w:sz w:val="20"/>
          <w:szCs w:val="20"/>
        </w:rPr>
        <w:t>(Farsi, 2009, ss. 293-296)</w:t>
      </w:r>
      <w:r w:rsidRPr="00292237">
        <w:rPr>
          <w:sz w:val="20"/>
          <w:szCs w:val="20"/>
        </w:rPr>
        <w:fldChar w:fldCharType="end"/>
      </w:r>
    </w:p>
    <w:p w14:paraId="757F5F7E" w14:textId="77777777" w:rsidR="0079785E" w:rsidRPr="000B3B32" w:rsidRDefault="0079785E" w:rsidP="0079785E">
      <w:pPr>
        <w:jc w:val="both"/>
      </w:pPr>
    </w:p>
    <w:p w14:paraId="7F363620" w14:textId="77777777" w:rsidR="00FA457D" w:rsidRDefault="00FA457D" w:rsidP="0079785E">
      <w:pPr>
        <w:jc w:val="both"/>
      </w:pPr>
      <w:r w:rsidRPr="000B3B32">
        <w:t xml:space="preserve">Yahudi dinî bayramlarında ve törenlerinde gıdaları ve mutfak eşyalarını </w:t>
      </w:r>
      <w:proofErr w:type="spellStart"/>
      <w:r w:rsidRPr="000B3B32">
        <w:t>koşerlemek</w:t>
      </w:r>
      <w:proofErr w:type="spellEnd"/>
      <w:r w:rsidRPr="000B3B32">
        <w:t>, sofrayı ve yemekleri hazır hale getirmek, mumları yakmak gibi görevler Yahudi kadınları tarafından yerine getirilmektedir.</w:t>
      </w:r>
    </w:p>
    <w:p w14:paraId="5A66129B" w14:textId="77777777" w:rsidR="0079785E" w:rsidRPr="000B3B32" w:rsidRDefault="0079785E" w:rsidP="0079785E">
      <w:pPr>
        <w:jc w:val="both"/>
      </w:pPr>
    </w:p>
    <w:p w14:paraId="5DC7633B" w14:textId="77777777" w:rsidR="00FA457D" w:rsidRPr="00424346" w:rsidRDefault="00FA457D">
      <w:pPr>
        <w:pStyle w:val="ListeParagraf"/>
        <w:widowControl/>
        <w:numPr>
          <w:ilvl w:val="1"/>
          <w:numId w:val="34"/>
        </w:numPr>
        <w:autoSpaceDE/>
        <w:autoSpaceDN/>
        <w:jc w:val="both"/>
        <w:rPr>
          <w:b/>
        </w:rPr>
      </w:pPr>
      <w:r w:rsidRPr="00424346">
        <w:rPr>
          <w:b/>
        </w:rPr>
        <w:t>Kadınların Sinagogdaki Yeri</w:t>
      </w:r>
    </w:p>
    <w:p w14:paraId="4536C725" w14:textId="58AAD072" w:rsidR="00FA457D" w:rsidRDefault="00FA457D" w:rsidP="0079785E">
      <w:pPr>
        <w:jc w:val="both"/>
      </w:pPr>
      <w:r w:rsidRPr="000B3B32">
        <w:t xml:space="preserve">Kadınların sinagog içerisinde konumlarının sınırlı olmasının nedenini izah edebilmek için öncelikle Yahudi inancındaki emirlerin yapısının anlaşılması ve erkek ile kadın arasındaki farkın ortaya konulması gereklidir. Yahudilik inancında, kadınların bazı emirleri yerine getirme sorumluluğundan muaf oldukları nedeniyle bu emirleri yapsalar da topluluk için bu geçerli sayılmamaktadır. Örneğin Yahudi kadınları günlük dua törenine katılsalar da bu </w:t>
      </w:r>
      <w:proofErr w:type="spellStart"/>
      <w:r w:rsidRPr="000B3B32">
        <w:t>minyan</w:t>
      </w:r>
      <w:proofErr w:type="spellEnd"/>
      <w:r w:rsidRPr="000B3B32">
        <w:t xml:space="preserve"> olarak sayılmamaktadır. Ancak bununla birlikte kadınların emirleri yerine getirme noktasında erkeklerden daha az sorumluluklarının olması onlardan daha az üstün oldukları anlamı taşımamaktadır.</w:t>
      </w:r>
    </w:p>
    <w:p w14:paraId="17A1F1D0" w14:textId="77777777" w:rsidR="0079785E" w:rsidRPr="000B3B32" w:rsidRDefault="0079785E" w:rsidP="0079785E">
      <w:pPr>
        <w:jc w:val="both"/>
      </w:pPr>
    </w:p>
    <w:p w14:paraId="6182A1D1" w14:textId="77777777" w:rsidR="00FA457D" w:rsidRDefault="00FA457D" w:rsidP="0079785E">
      <w:pPr>
        <w:jc w:val="both"/>
        <w:rPr>
          <w:sz w:val="20"/>
          <w:szCs w:val="20"/>
        </w:rPr>
      </w:pPr>
      <w:r w:rsidRPr="000B3B32">
        <w:t xml:space="preserve">Kadın-erkek ayrımında göze çarpan diğer uygulama sinagog ibadetlerinde, ibadet esnasında kadınların ve erkeklerin yerlerinin ayrı olmasıdır. Yahudi hukukuna göre kadınların ve erkeklerin alanları, aralarına çekilen bir duvar ya da bölme ile ayrılmalıdır. Çünkü ibadet esnasında erkek dikkatini kıza değil sadece ibadete yoğunlaştırmalıdır. Bu sayede erkeklerin ibadet etmeye daha iyi odaklanacaklarına inanılmaktadırlar. Ancak kadınların </w:t>
      </w:r>
      <w:proofErr w:type="spellStart"/>
      <w:r w:rsidRPr="000B3B32">
        <w:t>sinagogtaki</w:t>
      </w:r>
      <w:proofErr w:type="spellEnd"/>
      <w:r w:rsidRPr="000B3B32">
        <w:t xml:space="preserve"> ibadetlere daha az katılması onların dinî yaşamdan dışlandığı anlamını taşımamaktadır. Çünkü dinî yaşam sadece sinagog ibadetlerinden ibaret değildir. Aksine günün her alanında yerine getirilmesi gereken emirlere uymak ve dinin gerektirdiği kuralları uygulamak da ibadet niteliğindedir. </w:t>
      </w:r>
      <w:r w:rsidRPr="00292237">
        <w:rPr>
          <w:sz w:val="20"/>
          <w:szCs w:val="20"/>
        </w:rPr>
        <w:fldChar w:fldCharType="begin"/>
      </w:r>
      <w:r w:rsidRPr="00292237">
        <w:rPr>
          <w:sz w:val="20"/>
          <w:szCs w:val="20"/>
        </w:rPr>
        <w:instrText xml:space="preserve"> ADDIN ZOTERO_ITEM CSL_CITATION {"citationID":"wtvjpiBg","properties":{"formattedCitation":"({\\i{}The Role of Women}, t.y.)","plainCitation":"(The Role of Women, t.y.)","noteIndex":0},"citationItems":[{"id":133,"uris":["http://zotero.org/users/16525729/items/Y7JE2FI3"],"itemData":{"id":133,"type":"webpage","container-title":"Judaism 101 (JEWFAQ)","title":"The Role of Women","URL":"https://www.jewfaq.org/role_of_women","accessed":{"date-parts":[["2025",2,28]]}}}],"schema":"https://github.com/citation-style-language/schema/raw/master/csl-citation.json"} </w:instrText>
      </w:r>
      <w:r w:rsidRPr="00292237">
        <w:rPr>
          <w:sz w:val="20"/>
          <w:szCs w:val="20"/>
        </w:rPr>
        <w:fldChar w:fldCharType="separate"/>
      </w:r>
      <w:r w:rsidRPr="00292237">
        <w:rPr>
          <w:sz w:val="20"/>
          <w:szCs w:val="20"/>
        </w:rPr>
        <w:t>(</w:t>
      </w:r>
      <w:r w:rsidRPr="00292237">
        <w:rPr>
          <w:i/>
          <w:iCs/>
          <w:sz w:val="20"/>
          <w:szCs w:val="20"/>
        </w:rPr>
        <w:t>The Role of Women</w:t>
      </w:r>
      <w:r w:rsidRPr="00292237">
        <w:rPr>
          <w:sz w:val="20"/>
          <w:szCs w:val="20"/>
        </w:rPr>
        <w:t>, t.y.)</w:t>
      </w:r>
      <w:r w:rsidRPr="00292237">
        <w:rPr>
          <w:sz w:val="20"/>
          <w:szCs w:val="20"/>
        </w:rPr>
        <w:fldChar w:fldCharType="end"/>
      </w:r>
    </w:p>
    <w:p w14:paraId="6B115772" w14:textId="77777777" w:rsidR="0079785E" w:rsidRPr="000B3B32" w:rsidRDefault="0079785E" w:rsidP="0079785E">
      <w:pPr>
        <w:jc w:val="both"/>
      </w:pPr>
    </w:p>
    <w:p w14:paraId="6B86C4C9" w14:textId="77777777" w:rsidR="00FA457D" w:rsidRDefault="00FA457D" w:rsidP="0079785E">
      <w:pPr>
        <w:jc w:val="both"/>
      </w:pPr>
      <w:proofErr w:type="spellStart"/>
      <w:r w:rsidRPr="000B3B32">
        <w:t>Yahudilik’te</w:t>
      </w:r>
      <w:proofErr w:type="spellEnd"/>
      <w:r w:rsidRPr="000B3B32">
        <w:t xml:space="preserve"> her ne kadar </w:t>
      </w:r>
      <w:proofErr w:type="spellStart"/>
      <w:r w:rsidRPr="000B3B32">
        <w:t>sinagogta</w:t>
      </w:r>
      <w:proofErr w:type="spellEnd"/>
      <w:r w:rsidRPr="000B3B32">
        <w:t xml:space="preserve"> Tora okuma kadınlar tarafından gerçekleştirilmese de kadınlar Tora zamanından beri kült mekanlarında yer alarak bu ibadetlere olan ilgilerini kanıtlamışlardır. Yahudi bilginlerine göre, kadınların </w:t>
      </w:r>
      <w:proofErr w:type="spellStart"/>
      <w:r w:rsidRPr="000B3B32">
        <w:t>Purim</w:t>
      </w:r>
      <w:proofErr w:type="spellEnd"/>
      <w:r w:rsidRPr="000B3B32">
        <w:t xml:space="preserve"> bayramında </w:t>
      </w:r>
      <w:proofErr w:type="spellStart"/>
      <w:r w:rsidRPr="000B3B32">
        <w:t>Megillah</w:t>
      </w:r>
      <w:proofErr w:type="spellEnd"/>
      <w:r w:rsidRPr="000B3B32">
        <w:t xml:space="preserve"> okunmasını dinlemeleri dinî açıdan mecburidir. Ayrıca Yahudi inancında sinagog ile ilgili vazifelerin yerine </w:t>
      </w:r>
      <w:r w:rsidRPr="000B3B32">
        <w:lastRenderedPageBreak/>
        <w:t xml:space="preserve">getirilmesinde esas alınan şey </w:t>
      </w:r>
      <w:proofErr w:type="spellStart"/>
      <w:r w:rsidRPr="000B3B32">
        <w:t>Halakhique</w:t>
      </w:r>
      <w:proofErr w:type="spellEnd"/>
      <w:r w:rsidRPr="000B3B32">
        <w:t xml:space="preserve"> kurallarıdır. Bu kurallar çerçevesinde ise kadınların </w:t>
      </w:r>
      <w:proofErr w:type="spellStart"/>
      <w:r w:rsidRPr="000B3B32">
        <w:t>Megillah</w:t>
      </w:r>
      <w:proofErr w:type="spellEnd"/>
      <w:r w:rsidRPr="000B3B32">
        <w:t xml:space="preserve"> okumasına katılmaları gerektiği açıkça görülmektedir. Bu kurallardan üç tanesi şunlardır:</w:t>
      </w:r>
    </w:p>
    <w:p w14:paraId="32141A10" w14:textId="77777777" w:rsidR="0079785E" w:rsidRPr="000B3B32" w:rsidRDefault="0079785E" w:rsidP="0079785E">
      <w:pPr>
        <w:jc w:val="both"/>
      </w:pPr>
    </w:p>
    <w:p w14:paraId="2C384882" w14:textId="2C0B7A9C" w:rsidR="00FA457D" w:rsidRPr="0083506F" w:rsidRDefault="00FA457D">
      <w:pPr>
        <w:pStyle w:val="ListeParagraf"/>
        <w:widowControl/>
        <w:numPr>
          <w:ilvl w:val="0"/>
          <w:numId w:val="33"/>
        </w:numPr>
        <w:autoSpaceDE/>
        <w:autoSpaceDN/>
        <w:jc w:val="both"/>
        <w:rPr>
          <w:bCs/>
          <w:i/>
        </w:rPr>
      </w:pPr>
      <w:proofErr w:type="spellStart"/>
      <w:r w:rsidRPr="0083506F">
        <w:rPr>
          <w:bCs/>
          <w:i/>
        </w:rPr>
        <w:t>Mitzwot’lara</w:t>
      </w:r>
      <w:proofErr w:type="spellEnd"/>
      <w:r w:rsidRPr="0083506F">
        <w:rPr>
          <w:bCs/>
          <w:i/>
        </w:rPr>
        <w:t xml:space="preserve"> (emirlere) riayet, İsrail milletinin, erkek ve kadınlarına bir mecburiyettir.</w:t>
      </w:r>
    </w:p>
    <w:p w14:paraId="064275E0" w14:textId="77777777" w:rsidR="00FA457D" w:rsidRPr="0083506F" w:rsidRDefault="00FA457D">
      <w:pPr>
        <w:pStyle w:val="ListeParagraf"/>
        <w:widowControl/>
        <w:numPr>
          <w:ilvl w:val="0"/>
          <w:numId w:val="33"/>
        </w:numPr>
        <w:autoSpaceDE/>
        <w:autoSpaceDN/>
        <w:jc w:val="both"/>
        <w:rPr>
          <w:bCs/>
          <w:i/>
        </w:rPr>
      </w:pPr>
      <w:r w:rsidRPr="0083506F">
        <w:rPr>
          <w:bCs/>
          <w:i/>
        </w:rPr>
        <w:t>Kadınlar zamana bağlı pozitif dinî buyruklardan, ayrı olarak sorumlu tutulmuşlardır. Fakat, istedikleri takdirde onları yapabilirler.</w:t>
      </w:r>
    </w:p>
    <w:p w14:paraId="3EB0D343" w14:textId="77777777" w:rsidR="00FA457D" w:rsidRPr="0083506F" w:rsidRDefault="00FA457D">
      <w:pPr>
        <w:pStyle w:val="ListeParagraf"/>
        <w:widowControl/>
        <w:numPr>
          <w:ilvl w:val="0"/>
          <w:numId w:val="33"/>
        </w:numPr>
        <w:autoSpaceDE/>
        <w:autoSpaceDN/>
        <w:jc w:val="both"/>
        <w:rPr>
          <w:bCs/>
          <w:i/>
        </w:rPr>
      </w:pPr>
      <w:r w:rsidRPr="0083506F">
        <w:rPr>
          <w:bCs/>
          <w:i/>
        </w:rPr>
        <w:t xml:space="preserve">Bir </w:t>
      </w:r>
      <w:proofErr w:type="spellStart"/>
      <w:r w:rsidRPr="0083506F">
        <w:rPr>
          <w:bCs/>
          <w:i/>
        </w:rPr>
        <w:t>mitzwah’ı</w:t>
      </w:r>
      <w:proofErr w:type="spellEnd"/>
      <w:r w:rsidRPr="0083506F">
        <w:rPr>
          <w:bCs/>
          <w:i/>
        </w:rPr>
        <w:t xml:space="preserve"> (emri) yapmakla mükellef olan her şahıs, bazı şartlarda, aynı mükellefiyetteki bir başka şahsı temize çıkarabilir.</w:t>
      </w:r>
    </w:p>
    <w:p w14:paraId="20A596B8" w14:textId="77777777" w:rsidR="00FA457D" w:rsidRPr="000B3B32" w:rsidRDefault="00FA457D" w:rsidP="0079785E">
      <w:pPr>
        <w:jc w:val="both"/>
      </w:pPr>
      <w:r w:rsidRPr="000B3B32">
        <w:t xml:space="preserve">Bunlarla birlikte </w:t>
      </w:r>
      <w:proofErr w:type="spellStart"/>
      <w:r w:rsidRPr="000B3B32">
        <w:t>Mishnah</w:t>
      </w:r>
      <w:proofErr w:type="spellEnd"/>
      <w:r w:rsidRPr="000B3B32">
        <w:t xml:space="preserve"> ve </w:t>
      </w:r>
      <w:proofErr w:type="spellStart"/>
      <w:r w:rsidRPr="000B3B32">
        <w:t>Talmud</w:t>
      </w:r>
      <w:proofErr w:type="spellEnd"/>
      <w:r w:rsidRPr="000B3B32">
        <w:t xml:space="preserve"> içerisindeki şu ifadeler de bunu kanıtlar niteliğindedir:</w:t>
      </w:r>
    </w:p>
    <w:p w14:paraId="0B93E178" w14:textId="77777777" w:rsidR="00FA457D" w:rsidRDefault="00FA457D" w:rsidP="0079785E">
      <w:pPr>
        <w:jc w:val="both"/>
        <w:rPr>
          <w:sz w:val="20"/>
          <w:szCs w:val="20"/>
        </w:rPr>
      </w:pPr>
      <w:r w:rsidRPr="0083506F">
        <w:rPr>
          <w:bCs/>
          <w:i/>
        </w:rPr>
        <w:t xml:space="preserve">“Küçük çocuklar, zihinsel özürlüler ve sağırlar hariç herkes, </w:t>
      </w:r>
      <w:proofErr w:type="spellStart"/>
      <w:r w:rsidRPr="0083506F">
        <w:rPr>
          <w:bCs/>
          <w:i/>
        </w:rPr>
        <w:t>Megillah</w:t>
      </w:r>
      <w:proofErr w:type="spellEnd"/>
      <w:r w:rsidRPr="0083506F">
        <w:rPr>
          <w:bCs/>
          <w:i/>
        </w:rPr>
        <w:t xml:space="preserve"> okumaya yetkilidir. (</w:t>
      </w:r>
      <w:proofErr w:type="spellStart"/>
      <w:r w:rsidRPr="0083506F">
        <w:rPr>
          <w:bCs/>
          <w:i/>
        </w:rPr>
        <w:t>Kesherin</w:t>
      </w:r>
      <w:proofErr w:type="spellEnd"/>
      <w:r w:rsidRPr="0083506F">
        <w:rPr>
          <w:bCs/>
          <w:i/>
        </w:rPr>
        <w:t xml:space="preserve">) Herkes, </w:t>
      </w:r>
      <w:proofErr w:type="spellStart"/>
      <w:r w:rsidRPr="0083506F">
        <w:rPr>
          <w:bCs/>
          <w:i/>
        </w:rPr>
        <w:t>Megillah</w:t>
      </w:r>
      <w:proofErr w:type="spellEnd"/>
      <w:r w:rsidRPr="0083506F">
        <w:rPr>
          <w:bCs/>
          <w:i/>
        </w:rPr>
        <w:t xml:space="preserve"> okumaya yetkilidir. Buna, Rabbi </w:t>
      </w:r>
      <w:proofErr w:type="spellStart"/>
      <w:r w:rsidRPr="0083506F">
        <w:rPr>
          <w:bCs/>
          <w:i/>
        </w:rPr>
        <w:t>Yehoshua</w:t>
      </w:r>
      <w:proofErr w:type="spellEnd"/>
      <w:r w:rsidRPr="0083506F">
        <w:rPr>
          <w:bCs/>
          <w:i/>
        </w:rPr>
        <w:t xml:space="preserve">’ ben Levy’nin kanaatine göre kadınlar dâhildir. Çünkü Rabbi </w:t>
      </w:r>
      <w:proofErr w:type="spellStart"/>
      <w:r w:rsidRPr="0083506F">
        <w:rPr>
          <w:bCs/>
          <w:i/>
        </w:rPr>
        <w:t>Yehoshua</w:t>
      </w:r>
      <w:proofErr w:type="spellEnd"/>
      <w:r w:rsidRPr="0083506F">
        <w:rPr>
          <w:bCs/>
          <w:i/>
        </w:rPr>
        <w:t xml:space="preserve">’ ben Levy şöyle diyordu: “Kadınlar, </w:t>
      </w:r>
      <w:proofErr w:type="spellStart"/>
      <w:r w:rsidRPr="0083506F">
        <w:rPr>
          <w:bCs/>
          <w:i/>
        </w:rPr>
        <w:t>Megillah</w:t>
      </w:r>
      <w:proofErr w:type="spellEnd"/>
      <w:r w:rsidRPr="0083506F">
        <w:rPr>
          <w:bCs/>
          <w:i/>
        </w:rPr>
        <w:t xml:space="preserve"> okumak zorundadır.”</w:t>
      </w:r>
      <w:r w:rsidRPr="000B3B32">
        <w:rPr>
          <w:b/>
          <w:i/>
        </w:rPr>
        <w:t xml:space="preserve"> </w:t>
      </w:r>
      <w:r w:rsidRPr="000B3B32">
        <w:t xml:space="preserve">Burada yer alan ifadelerden anlaşılacağı gibi kadınların da erkekler ile aynı şekilde </w:t>
      </w:r>
      <w:proofErr w:type="spellStart"/>
      <w:r w:rsidRPr="000B3B32">
        <w:t>Megillah</w:t>
      </w:r>
      <w:proofErr w:type="spellEnd"/>
      <w:r w:rsidRPr="000B3B32">
        <w:t xml:space="preserve"> okumasına </w:t>
      </w:r>
      <w:proofErr w:type="spellStart"/>
      <w:r w:rsidRPr="000B3B32">
        <w:t>Purim</w:t>
      </w:r>
      <w:proofErr w:type="spellEnd"/>
      <w:r w:rsidRPr="000B3B32">
        <w:t xml:space="preserve"> bayramına katılmaları bir zorunluluktur. </w:t>
      </w:r>
      <w:r w:rsidRPr="00292237">
        <w:rPr>
          <w:sz w:val="20"/>
          <w:szCs w:val="20"/>
        </w:rPr>
        <w:fldChar w:fldCharType="begin"/>
      </w:r>
      <w:r w:rsidRPr="00292237">
        <w:rPr>
          <w:sz w:val="20"/>
          <w:szCs w:val="20"/>
        </w:rPr>
        <w:instrText xml:space="preserve"> ADDIN ZOTERO_ITEM CSL_CITATION {"citationID":"jSMQX1r9","properties":{"formattedCitation":"(Vana, 2013, ss. 56-59)","plainCitation":"(Vana, 2013, ss. 56-59)","noteIndex":0},"citationItems":[{"id":115,"uris":["http://zotero.org/users/16525729/items/4685CLVY"],"itemData":{"id":115,"type":"book","abstract":"Elinizdeki kitap, Yahudilik’de kadınla ilgili yaklaşımların yanlışlığını ve Yahudi din hukukçularının, Yahudi Şeriatına ters düşen görüşlerini sergileyen üç makaleden oluşmaktadır. Birinci makalede, Yahudi Şeriatı yasaklamadığı halde, Yahudi Şeriat uzmanlarının, kadınların yönetim işlerinde çalışmalarını yasakladıkları, açıklanmaktadır. İkinci makalede, Yahudi Şeriatına göre kadınların dini görevlerde bulunmalarında bir sakınca olmadığı halde, erkeklerin onur ve şereflerinin yükseltilmesi adına, Yahudi hukukçularının, Yahudi kadınlarının onurlarını zedeledikleri ve dini görevlerden uzaklaştırıldıkları, belirtilmektedir. Üçüncü makalede, Helenistik ve Roma dönemindeki nişanlanma ve evlenme âdetleri anlatılmakta, bu konuda yapılan işlemlerde, Yahudi Şeriatının dışına çıkıldığına vurgu yapılmaktadır. Prof.Dr. Mehmet AYDIN","edition":"1","event-place":"Konya","ISBN":"978-605-4336-91-3","language":"tr","number-of-pages":"168","publisher":"Nüve Kültür Merkezi","publisher-place":"Konya","source":"KitapYurdu.com","title":"Yahudilik'de Kadın (Epitropos'luk-Kadın Dua Grupları-Evlenme)","author":[{"family":"Vana","given":"Liliana"}],"translator":[{"family":"Aydın","given":"Mehmet"}],"issued":{"date-parts":[["2013",1,1]]}},"locator":"56-59","label":"page"}],"schema":"https://github.com/citation-style-language/schema/raw/master/csl-citation.json"} </w:instrText>
      </w:r>
      <w:r w:rsidRPr="00292237">
        <w:rPr>
          <w:sz w:val="20"/>
          <w:szCs w:val="20"/>
        </w:rPr>
        <w:fldChar w:fldCharType="separate"/>
      </w:r>
      <w:r w:rsidRPr="00292237">
        <w:rPr>
          <w:sz w:val="20"/>
          <w:szCs w:val="20"/>
        </w:rPr>
        <w:t>(Vana, 2013, ss. 56-59)</w:t>
      </w:r>
      <w:r w:rsidRPr="00292237">
        <w:rPr>
          <w:sz w:val="20"/>
          <w:szCs w:val="20"/>
        </w:rPr>
        <w:fldChar w:fldCharType="end"/>
      </w:r>
    </w:p>
    <w:p w14:paraId="42B37D73" w14:textId="77777777" w:rsidR="0079785E" w:rsidRPr="000B3B32" w:rsidRDefault="0079785E" w:rsidP="0079785E">
      <w:pPr>
        <w:jc w:val="both"/>
        <w:rPr>
          <w:b/>
          <w:i/>
        </w:rPr>
      </w:pPr>
    </w:p>
    <w:p w14:paraId="433D7D27" w14:textId="77777777" w:rsidR="00FA457D" w:rsidRPr="000B3B32" w:rsidRDefault="00FA457D" w:rsidP="0079785E">
      <w:pPr>
        <w:jc w:val="both"/>
        <w:rPr>
          <w:b/>
        </w:rPr>
      </w:pPr>
      <w:r w:rsidRPr="000B3B32">
        <w:rPr>
          <w:b/>
        </w:rPr>
        <w:t>SONUÇ</w:t>
      </w:r>
    </w:p>
    <w:p w14:paraId="28F722BA" w14:textId="4F6B7A4D" w:rsidR="00FA457D" w:rsidRDefault="00FA457D" w:rsidP="0079785E">
      <w:pPr>
        <w:jc w:val="both"/>
      </w:pPr>
      <w:r w:rsidRPr="000B3B32">
        <w:t>Yahudi inancında yer alan ibadet ve uygulamalar, Yahudi hayatının her alanına etki etmiş olmakla birlikte bu ibadetlerde herkese ayrı bir sorumluluk da yüklenmiştir. Yahudilerin ibadetlerine genel olarak bakıldığında erkek merkezli bir ibadet portresi oluşsa da esasında kadınlar da yapılan ibadetlerde oldukça önemli roller üstlenmektedir.</w:t>
      </w:r>
    </w:p>
    <w:p w14:paraId="13E7483C" w14:textId="77777777" w:rsidR="0079785E" w:rsidRPr="000B3B32" w:rsidRDefault="0079785E" w:rsidP="0079785E">
      <w:pPr>
        <w:jc w:val="both"/>
      </w:pPr>
    </w:p>
    <w:p w14:paraId="2BFC0014" w14:textId="77777777" w:rsidR="00FA457D" w:rsidRDefault="00FA457D" w:rsidP="0079785E">
      <w:pPr>
        <w:jc w:val="both"/>
      </w:pPr>
      <w:r w:rsidRPr="000B3B32">
        <w:t>Yahudi kadınlarının ibadet noktasında geri planda gibi görünmesinin sebebi Yahudi geleneğindeki anlayışa bağlı olarak ortaya çıkmıştır. Bu anlayışa göre Tora öğrenmek, Yahudi erkekleri için en birincil vazifedir. Yahudi erkekleri rahat bir şekilde Tora öğrenimi görebilmeleri için de kadınların ev işleri ve çocuk bakımı gibi birtakım sorumlulukları yüklenmeleri gerekmektedir. Yahudi kadınlarının emirlere riayet edip ibadetlere katılması durumunda bu sorumlulukları yerine getirmeyi aksatacakları düşüncesiyle kadınlar bazı emirlerden muaf tutulmuşlardır. Çünkü bu anlayışa göre kadınların en önemli görevleri ev işlerinde eşlerine yardımcı olarak onların ihtiyaçlarının karşılanmasıdır.</w:t>
      </w:r>
    </w:p>
    <w:p w14:paraId="4331E1C6" w14:textId="77777777" w:rsidR="0079785E" w:rsidRPr="000B3B32" w:rsidRDefault="0079785E" w:rsidP="0079785E">
      <w:pPr>
        <w:jc w:val="both"/>
      </w:pPr>
    </w:p>
    <w:p w14:paraId="7D9BD62E" w14:textId="693FCEB0" w:rsidR="00FA457D" w:rsidRDefault="00FA457D" w:rsidP="0079785E">
      <w:pPr>
        <w:jc w:val="both"/>
      </w:pPr>
      <w:r w:rsidRPr="000B3B32">
        <w:t xml:space="preserve">Yahudi hukuku incelendiğinde kadınların da erkekler gibi Tora öğrenmek ve okumakta eşit haklara sahip oldukları görülmektedir. Ancak daha sonraları bazı Yahudi din adamlarının yaptığı birtakım düzenlemeler neticesinde kadınlar tedrici olarak bu haklardan uzaklaştırılmışlar ve neredeyse eve kapalı hale gelmişlerdir. Ancak Yahudi kadınları tüm bu kısıtlamalarla mücadele ederek hem evle ilgili sorumluluklarını yerine getirmiş hem de dua etmek için kendilerine bir zaman dilimi oluşturmuşlardır. Yahudi kadınları kimi zaman sinagoglara giderek kendilerine ayrılan bölümde ibadete eşlik etmişler; kimi zaman ise dinî bayramların ve törenlerin hazırlanmasında etken bir rol oynamışlardır. Kadınların ibadet için toplanması cemaat anlamında bir </w:t>
      </w:r>
      <w:proofErr w:type="spellStart"/>
      <w:r w:rsidRPr="000B3B32">
        <w:t>minyan</w:t>
      </w:r>
      <w:proofErr w:type="spellEnd"/>
      <w:r w:rsidRPr="000B3B32">
        <w:t xml:space="preserve"> kabul edilmese de onlar kendi aralarında bir araya gelerek dua grupları oluşturmuşlar ve ibadet etmelerinin herhangi bir aksamaya neden olmayacağını da ortaya koymuşlardır. Özellikle modern çağda İsrail’de bazı kadın hareketlerinin, bazı din adamları karşı çıksa da Batı Duvarı önünde topluca ibadet etmeleri de bu noktada örnek teşkil etmektedir.</w:t>
      </w:r>
    </w:p>
    <w:p w14:paraId="3DF1CD9E" w14:textId="77777777" w:rsidR="0079785E" w:rsidRPr="000B3B32" w:rsidRDefault="0079785E" w:rsidP="0079785E">
      <w:pPr>
        <w:jc w:val="both"/>
      </w:pPr>
    </w:p>
    <w:p w14:paraId="5E749786" w14:textId="4FE9134C" w:rsidR="00FA457D" w:rsidRDefault="00FA457D" w:rsidP="0079785E">
      <w:pPr>
        <w:jc w:val="both"/>
      </w:pPr>
      <w:r w:rsidRPr="000B3B32">
        <w:t xml:space="preserve">Ev eşyalarının kullanılmadan önce temizlenmesi, yiyeceklerin </w:t>
      </w:r>
      <w:proofErr w:type="spellStart"/>
      <w:r w:rsidRPr="000B3B32">
        <w:t>koşerlenerek</w:t>
      </w:r>
      <w:proofErr w:type="spellEnd"/>
      <w:r w:rsidRPr="000B3B32">
        <w:t xml:space="preserve"> Yahudi kurallarına </w:t>
      </w:r>
      <w:r w:rsidRPr="000B3B32">
        <w:lastRenderedPageBreak/>
        <w:t xml:space="preserve">uygun olarak hazır hale getirilmesi, Yahudi bayramlarında kurulan sofraların gerektiği şekilde hazırlanması Yahudi kadınlarının sorumluluklarından sadece bazılarıdır. Esasında Yahudi kadınları </w:t>
      </w:r>
      <w:proofErr w:type="spellStart"/>
      <w:r w:rsidRPr="000B3B32">
        <w:t>mikveye</w:t>
      </w:r>
      <w:proofErr w:type="spellEnd"/>
      <w:r w:rsidRPr="000B3B32">
        <w:t xml:space="preserve"> girip temizlenirken, mumları yakarken ya da ekmek için hamur hazırlarken yaptığı gibi günlük yaşamlarındaki her alanda dua etmektedir. Bu bağlamda görülmektedir ki Yahudi kadınları hayatlarının her noktasında Tanrı’ya olan bağlılıklarını ve şükranlarını ifade etmişlerdir.</w:t>
      </w:r>
    </w:p>
    <w:p w14:paraId="39E5D06A" w14:textId="77777777" w:rsidR="00FA457D" w:rsidRPr="000B3B32" w:rsidRDefault="00FA457D" w:rsidP="0079785E">
      <w:pPr>
        <w:jc w:val="both"/>
      </w:pPr>
    </w:p>
    <w:p w14:paraId="40793917" w14:textId="77777777" w:rsidR="00FA457D" w:rsidRPr="000B3B32" w:rsidRDefault="00FA457D" w:rsidP="0079785E">
      <w:pPr>
        <w:jc w:val="both"/>
        <w:rPr>
          <w:b/>
        </w:rPr>
      </w:pPr>
      <w:r w:rsidRPr="000B3B32">
        <w:rPr>
          <w:b/>
        </w:rPr>
        <w:t>KAYNAKÇA</w:t>
      </w:r>
    </w:p>
    <w:p w14:paraId="0590053F" w14:textId="77777777" w:rsidR="00FA457D" w:rsidRPr="000B3B32" w:rsidRDefault="00FA457D">
      <w:pPr>
        <w:pStyle w:val="ListeParagraf"/>
        <w:numPr>
          <w:ilvl w:val="0"/>
          <w:numId w:val="61"/>
        </w:numPr>
        <w:jc w:val="both"/>
      </w:pPr>
      <w:r w:rsidRPr="000B3B32">
        <w:t xml:space="preserve">Altıntaş, Y. (Ed.). (2018). </w:t>
      </w:r>
      <w:proofErr w:type="spellStart"/>
      <w:r w:rsidRPr="000B3B32">
        <w:t>Yahudilik’te</w:t>
      </w:r>
      <w:proofErr w:type="spellEnd"/>
      <w:r w:rsidRPr="000B3B32">
        <w:t xml:space="preserve"> Kavram ve Değerler (3. </w:t>
      </w:r>
      <w:proofErr w:type="spellStart"/>
      <w:r w:rsidRPr="000B3B32">
        <w:t>bs</w:t>
      </w:r>
      <w:proofErr w:type="spellEnd"/>
      <w:r w:rsidRPr="000B3B32">
        <w:t>). Gözlem Gazetecilik ve Basın Yayın.</w:t>
      </w:r>
    </w:p>
    <w:p w14:paraId="0125E5DB" w14:textId="77777777" w:rsidR="00FA457D" w:rsidRPr="000B3B32" w:rsidRDefault="00FA457D">
      <w:pPr>
        <w:pStyle w:val="ListeParagraf"/>
        <w:numPr>
          <w:ilvl w:val="0"/>
          <w:numId w:val="61"/>
        </w:numPr>
        <w:jc w:val="both"/>
      </w:pPr>
      <w:proofErr w:type="spellStart"/>
      <w:r w:rsidRPr="000B3B32">
        <w:t>Atasağun</w:t>
      </w:r>
      <w:proofErr w:type="spellEnd"/>
      <w:r w:rsidRPr="000B3B32">
        <w:t xml:space="preserve">, G. (2001). Yahudilikte </w:t>
      </w:r>
      <w:proofErr w:type="spellStart"/>
      <w:r w:rsidRPr="000B3B32">
        <w:t>Dînî</w:t>
      </w:r>
      <w:proofErr w:type="spellEnd"/>
      <w:r w:rsidRPr="000B3B32">
        <w:t xml:space="preserve"> Sembol </w:t>
      </w:r>
      <w:proofErr w:type="gramStart"/>
      <w:r w:rsidRPr="000B3B32">
        <w:t>Ve</w:t>
      </w:r>
      <w:proofErr w:type="gramEnd"/>
      <w:r w:rsidRPr="000B3B32">
        <w:t xml:space="preserve"> Kavramlar. Necmettin Erbakan Üniversitesi İlahiyat Fakültesi Dergisi, 11(11), 125-156.</w:t>
      </w:r>
    </w:p>
    <w:p w14:paraId="25EFBD3B" w14:textId="77777777" w:rsidR="00FA457D" w:rsidRPr="000B3B32" w:rsidRDefault="00FA457D">
      <w:pPr>
        <w:pStyle w:val="ListeParagraf"/>
        <w:numPr>
          <w:ilvl w:val="0"/>
          <w:numId w:val="61"/>
        </w:numPr>
        <w:jc w:val="both"/>
      </w:pPr>
      <w:r w:rsidRPr="000B3B32">
        <w:t xml:space="preserve">Aydın, M. (2016). </w:t>
      </w:r>
      <w:proofErr w:type="spellStart"/>
      <w:r w:rsidRPr="000B3B32">
        <w:t>Anahatlarıyla</w:t>
      </w:r>
      <w:proofErr w:type="spellEnd"/>
      <w:r w:rsidRPr="000B3B32">
        <w:t xml:space="preserve"> Dinler Tarihi (Tarih, İnanç ve İbadet) (6. </w:t>
      </w:r>
      <w:proofErr w:type="spellStart"/>
      <w:r w:rsidRPr="000B3B32">
        <w:t>bs</w:t>
      </w:r>
      <w:proofErr w:type="spellEnd"/>
      <w:r w:rsidRPr="000B3B32">
        <w:t>). Ensar Neşriyat.</w:t>
      </w:r>
    </w:p>
    <w:p w14:paraId="793B3C86" w14:textId="77777777" w:rsidR="00FA457D" w:rsidRPr="000B3B32" w:rsidRDefault="00FA457D">
      <w:pPr>
        <w:pStyle w:val="ListeParagraf"/>
        <w:numPr>
          <w:ilvl w:val="0"/>
          <w:numId w:val="61"/>
        </w:numPr>
        <w:jc w:val="both"/>
      </w:pPr>
      <w:r w:rsidRPr="000B3B32">
        <w:t xml:space="preserve">Bat </w:t>
      </w:r>
      <w:proofErr w:type="spellStart"/>
      <w:r w:rsidRPr="000B3B32">
        <w:t>Mitzvah</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Chabad</w:t>
      </w:r>
      <w:proofErr w:type="spellEnd"/>
      <w:r w:rsidRPr="000B3B32">
        <w:t>. Geliş tarihi 26 Şubat 2025, gönderen https://www.chabad.org/</w:t>
      </w:r>
    </w:p>
    <w:p w14:paraId="708DDFF1" w14:textId="77777777" w:rsidR="00FA457D" w:rsidRPr="000B3B32" w:rsidRDefault="00FA457D">
      <w:pPr>
        <w:pStyle w:val="ListeParagraf"/>
        <w:numPr>
          <w:ilvl w:val="0"/>
          <w:numId w:val="61"/>
        </w:numPr>
        <w:jc w:val="both"/>
      </w:pPr>
      <w:proofErr w:type="spellStart"/>
      <w:r w:rsidRPr="000B3B32">
        <w:t>Beliefs</w:t>
      </w:r>
      <w:proofErr w:type="spellEnd"/>
      <w:r w:rsidRPr="000B3B32">
        <w:t xml:space="preserve"> &amp; </w:t>
      </w:r>
      <w:proofErr w:type="spellStart"/>
      <w:r w:rsidRPr="000B3B32">
        <w:t>Practices</w:t>
      </w:r>
      <w:proofErr w:type="spellEnd"/>
      <w:r w:rsidRPr="000B3B32">
        <w:t>. (</w:t>
      </w:r>
      <w:proofErr w:type="spellStart"/>
      <w:proofErr w:type="gramStart"/>
      <w:r w:rsidRPr="000B3B32">
        <w:t>t.y</w:t>
      </w:r>
      <w:proofErr w:type="spellEnd"/>
      <w:r w:rsidRPr="000B3B32">
        <w:t>.</w:t>
      </w:r>
      <w:proofErr w:type="gramEnd"/>
      <w:r w:rsidRPr="000B3B32">
        <w:t xml:space="preserve">). My </w:t>
      </w:r>
      <w:proofErr w:type="spellStart"/>
      <w:r w:rsidRPr="000B3B32">
        <w:t>Jewish</w:t>
      </w:r>
      <w:proofErr w:type="spellEnd"/>
      <w:r w:rsidRPr="000B3B32">
        <w:t xml:space="preserve"> Learning. Geliş tarihi 28 Şubat 2025, gönderen https://www.myjewishlearning.com/category/study/beliefs-practices/</w:t>
      </w:r>
    </w:p>
    <w:p w14:paraId="0DD52181" w14:textId="77777777" w:rsidR="00FA457D" w:rsidRPr="000B3B32" w:rsidRDefault="00FA457D">
      <w:pPr>
        <w:pStyle w:val="ListeParagraf"/>
        <w:numPr>
          <w:ilvl w:val="0"/>
          <w:numId w:val="61"/>
        </w:numPr>
        <w:jc w:val="both"/>
      </w:pPr>
      <w:proofErr w:type="spellStart"/>
      <w:r w:rsidRPr="000B3B32">
        <w:t>Blech</w:t>
      </w:r>
      <w:proofErr w:type="spellEnd"/>
      <w:r w:rsidRPr="000B3B32">
        <w:t xml:space="preserve">, R. B. (2003). Nedenleri ve Niçinleriyle Yahudilik (E. S. Vali, Çev.; 1.). Gözlem Gazetecilik Basın </w:t>
      </w:r>
      <w:proofErr w:type="gramStart"/>
      <w:r w:rsidRPr="000B3B32">
        <w:t>Ve</w:t>
      </w:r>
      <w:proofErr w:type="gramEnd"/>
      <w:r w:rsidRPr="000B3B32">
        <w:t xml:space="preserve"> Yayın </w:t>
      </w:r>
      <w:proofErr w:type="spellStart"/>
      <w:r w:rsidRPr="000B3B32">
        <w:t>A.ş</w:t>
      </w:r>
      <w:proofErr w:type="spellEnd"/>
      <w:r w:rsidRPr="000B3B32">
        <w:t>.</w:t>
      </w:r>
    </w:p>
    <w:p w14:paraId="44731C91" w14:textId="77777777" w:rsidR="00FA457D" w:rsidRPr="000B3B32" w:rsidRDefault="00FA457D">
      <w:pPr>
        <w:pStyle w:val="ListeParagraf"/>
        <w:numPr>
          <w:ilvl w:val="0"/>
          <w:numId w:val="61"/>
        </w:numPr>
        <w:jc w:val="both"/>
      </w:pPr>
      <w:proofErr w:type="spellStart"/>
      <w:r w:rsidRPr="000B3B32">
        <w:t>Blessings</w:t>
      </w:r>
      <w:proofErr w:type="spellEnd"/>
      <w:r w:rsidRPr="000B3B32">
        <w:t xml:space="preserve"> &amp; </w:t>
      </w:r>
      <w:proofErr w:type="spellStart"/>
      <w:r w:rsidRPr="000B3B32">
        <w:t>Instructions</w:t>
      </w:r>
      <w:proofErr w:type="spellEnd"/>
      <w:r w:rsidRPr="000B3B32">
        <w:t xml:space="preserve"> </w:t>
      </w:r>
      <w:proofErr w:type="spellStart"/>
      <w:r w:rsidRPr="000B3B32">
        <w:t>for</w:t>
      </w:r>
      <w:proofErr w:type="spellEnd"/>
      <w:r w:rsidRPr="000B3B32">
        <w:t xml:space="preserve"> </w:t>
      </w:r>
      <w:proofErr w:type="spellStart"/>
      <w:r w:rsidRPr="000B3B32">
        <w:t>Shabbat</w:t>
      </w:r>
      <w:proofErr w:type="spellEnd"/>
      <w:r w:rsidRPr="000B3B32">
        <w:t xml:space="preserve"> </w:t>
      </w:r>
      <w:proofErr w:type="spellStart"/>
      <w:r w:rsidRPr="000B3B32">
        <w:t>Candles</w:t>
      </w:r>
      <w:proofErr w:type="spellEnd"/>
      <w:r w:rsidRPr="000B3B32">
        <w:t xml:space="preserve">—How </w:t>
      </w:r>
      <w:proofErr w:type="spellStart"/>
      <w:r w:rsidRPr="000B3B32">
        <w:t>to</w:t>
      </w:r>
      <w:proofErr w:type="spellEnd"/>
      <w:r w:rsidRPr="000B3B32">
        <w:t xml:space="preserve"> </w:t>
      </w:r>
      <w:proofErr w:type="spellStart"/>
      <w:r w:rsidRPr="000B3B32">
        <w:t>Light</w:t>
      </w:r>
      <w:proofErr w:type="spellEnd"/>
      <w:r w:rsidRPr="000B3B32">
        <w:t xml:space="preserve"> </w:t>
      </w:r>
      <w:proofErr w:type="spellStart"/>
      <w:r w:rsidRPr="000B3B32">
        <w:t>Shabbat</w:t>
      </w:r>
      <w:proofErr w:type="spellEnd"/>
      <w:r w:rsidRPr="000B3B32">
        <w:t xml:space="preserve"> </w:t>
      </w:r>
      <w:proofErr w:type="spellStart"/>
      <w:r w:rsidRPr="000B3B32">
        <w:t>Candles</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Chabad</w:t>
      </w:r>
      <w:proofErr w:type="spellEnd"/>
      <w:r w:rsidRPr="000B3B32">
        <w:t>. Geliş tarihi 28 Şubat 2025, gönderen https://www.chabad.org/library/article_cdo/aid/87131/jewish/How-to-Light-Shabbat-Candles.htm</w:t>
      </w:r>
    </w:p>
    <w:p w14:paraId="0F1BC431" w14:textId="77777777" w:rsidR="00FA457D" w:rsidRPr="000B3B32" w:rsidRDefault="00FA457D">
      <w:pPr>
        <w:pStyle w:val="ListeParagraf"/>
        <w:numPr>
          <w:ilvl w:val="0"/>
          <w:numId w:val="61"/>
        </w:numPr>
        <w:jc w:val="both"/>
      </w:pPr>
      <w:r w:rsidRPr="000B3B32">
        <w:t xml:space="preserve">Bozkurt, N. (2023). Monoteist Dinlerde Kadın: Tarihsel ve Çağdaş Yaklaşımlar (1. </w:t>
      </w:r>
      <w:proofErr w:type="spellStart"/>
      <w:r w:rsidRPr="000B3B32">
        <w:t>bs</w:t>
      </w:r>
      <w:proofErr w:type="spellEnd"/>
      <w:r w:rsidRPr="000B3B32">
        <w:t>). Ankara Okulu Yayınları.</w:t>
      </w:r>
    </w:p>
    <w:p w14:paraId="3742334A" w14:textId="77777777" w:rsidR="00FA457D" w:rsidRPr="000B3B32" w:rsidRDefault="00FA457D">
      <w:pPr>
        <w:pStyle w:val="ListeParagraf"/>
        <w:numPr>
          <w:ilvl w:val="0"/>
          <w:numId w:val="61"/>
        </w:numPr>
        <w:jc w:val="both"/>
      </w:pPr>
      <w:proofErr w:type="spellStart"/>
      <w:r w:rsidRPr="000B3B32">
        <w:t>Çinpolat</w:t>
      </w:r>
      <w:proofErr w:type="spellEnd"/>
      <w:r w:rsidRPr="000B3B32">
        <w:t xml:space="preserve">, S. (2017). Yahudilik, Hristiyanlık ve İslam’da Çocuk Algısı (1. </w:t>
      </w:r>
      <w:proofErr w:type="spellStart"/>
      <w:r w:rsidRPr="000B3B32">
        <w:t>bs</w:t>
      </w:r>
      <w:proofErr w:type="spellEnd"/>
      <w:r w:rsidRPr="000B3B32">
        <w:t>). Araştırma Yayınları.</w:t>
      </w:r>
    </w:p>
    <w:p w14:paraId="01B66D29" w14:textId="77777777" w:rsidR="00FA457D" w:rsidRPr="000B3B32" w:rsidRDefault="00FA457D">
      <w:pPr>
        <w:pStyle w:val="ListeParagraf"/>
        <w:numPr>
          <w:ilvl w:val="0"/>
          <w:numId w:val="61"/>
        </w:numPr>
        <w:jc w:val="both"/>
      </w:pPr>
      <w:proofErr w:type="spellStart"/>
      <w:r w:rsidRPr="000B3B32">
        <w:t>Dori</w:t>
      </w:r>
      <w:proofErr w:type="spellEnd"/>
      <w:r w:rsidRPr="000B3B32">
        <w:t xml:space="preserve">, N. (2020). </w:t>
      </w:r>
      <w:proofErr w:type="spellStart"/>
      <w:r w:rsidRPr="000B3B32">
        <w:t>Short</w:t>
      </w:r>
      <w:proofErr w:type="spellEnd"/>
      <w:r w:rsidRPr="000B3B32">
        <w:t xml:space="preserve"> </w:t>
      </w:r>
      <w:proofErr w:type="spellStart"/>
      <w:r w:rsidRPr="000B3B32">
        <w:t>Women’s</w:t>
      </w:r>
      <w:proofErr w:type="spellEnd"/>
      <w:r w:rsidRPr="000B3B32">
        <w:t xml:space="preserve"> </w:t>
      </w:r>
      <w:proofErr w:type="spellStart"/>
      <w:r w:rsidRPr="000B3B32">
        <w:t>Prayers</w:t>
      </w:r>
      <w:proofErr w:type="spellEnd"/>
      <w:r w:rsidRPr="000B3B32">
        <w:t xml:space="preserve"> in </w:t>
      </w:r>
      <w:proofErr w:type="spellStart"/>
      <w:r w:rsidRPr="000B3B32">
        <w:t>Spoken</w:t>
      </w:r>
      <w:proofErr w:type="spellEnd"/>
      <w:r w:rsidRPr="000B3B32">
        <w:t xml:space="preserve"> </w:t>
      </w:r>
      <w:proofErr w:type="spellStart"/>
      <w:r w:rsidRPr="000B3B32">
        <w:t>Ladino</w:t>
      </w:r>
      <w:proofErr w:type="spellEnd"/>
      <w:r w:rsidRPr="000B3B32">
        <w:t xml:space="preserve"> </w:t>
      </w:r>
      <w:proofErr w:type="spellStart"/>
      <w:r w:rsidRPr="000B3B32">
        <w:t>During</w:t>
      </w:r>
      <w:proofErr w:type="spellEnd"/>
      <w:r w:rsidRPr="000B3B32">
        <w:t xml:space="preserve"> Three Times of </w:t>
      </w:r>
      <w:proofErr w:type="spellStart"/>
      <w:r w:rsidRPr="000B3B32">
        <w:t>Crisis</w:t>
      </w:r>
      <w:proofErr w:type="spellEnd"/>
      <w:r w:rsidRPr="000B3B32">
        <w:t xml:space="preserve">. International </w:t>
      </w:r>
      <w:proofErr w:type="spellStart"/>
      <w:r w:rsidRPr="000B3B32">
        <w:t>Journal</w:t>
      </w:r>
      <w:proofErr w:type="spellEnd"/>
      <w:r w:rsidRPr="000B3B32">
        <w:t xml:space="preserve"> of </w:t>
      </w:r>
      <w:proofErr w:type="spellStart"/>
      <w:r w:rsidRPr="000B3B32">
        <w:t>Social</w:t>
      </w:r>
      <w:proofErr w:type="spellEnd"/>
      <w:r w:rsidRPr="000B3B32">
        <w:t xml:space="preserve"> </w:t>
      </w:r>
      <w:proofErr w:type="spellStart"/>
      <w:r w:rsidRPr="000B3B32">
        <w:t>Science</w:t>
      </w:r>
      <w:proofErr w:type="spellEnd"/>
      <w:r w:rsidRPr="000B3B32">
        <w:t xml:space="preserve"> </w:t>
      </w:r>
      <w:proofErr w:type="spellStart"/>
      <w:r w:rsidRPr="000B3B32">
        <w:t>Studies</w:t>
      </w:r>
      <w:proofErr w:type="spellEnd"/>
      <w:r w:rsidRPr="000B3B32">
        <w:t xml:space="preserve">, 8(1), </w:t>
      </w:r>
      <w:proofErr w:type="spellStart"/>
      <w:r w:rsidRPr="000B3B32">
        <w:t>Article</w:t>
      </w:r>
      <w:proofErr w:type="spellEnd"/>
      <w:r w:rsidRPr="000B3B32">
        <w:t xml:space="preserve"> 1. https://doi.org/10.11114/ijsss.v8i1.4663</w:t>
      </w:r>
    </w:p>
    <w:p w14:paraId="4E86781D" w14:textId="77777777" w:rsidR="00FA457D" w:rsidRPr="000B3B32" w:rsidRDefault="00FA457D">
      <w:pPr>
        <w:pStyle w:val="ListeParagraf"/>
        <w:numPr>
          <w:ilvl w:val="0"/>
          <w:numId w:val="61"/>
        </w:numPr>
        <w:jc w:val="both"/>
      </w:pPr>
      <w:proofErr w:type="spellStart"/>
      <w:r w:rsidRPr="000B3B32">
        <w:t>Eisenberg</w:t>
      </w:r>
      <w:proofErr w:type="spellEnd"/>
      <w:r w:rsidRPr="000B3B32">
        <w:t xml:space="preserve">, D. R. L. (2004). </w:t>
      </w:r>
      <w:proofErr w:type="spellStart"/>
      <w:r w:rsidRPr="000B3B32">
        <w:t>The</w:t>
      </w:r>
      <w:proofErr w:type="spellEnd"/>
      <w:r w:rsidRPr="000B3B32">
        <w:t xml:space="preserve"> JPS Guide </w:t>
      </w:r>
      <w:proofErr w:type="spellStart"/>
      <w:r w:rsidRPr="000B3B32">
        <w:t>to</w:t>
      </w:r>
      <w:proofErr w:type="spellEnd"/>
      <w:r w:rsidRPr="000B3B32">
        <w:t xml:space="preserve"> </w:t>
      </w:r>
      <w:proofErr w:type="spellStart"/>
      <w:r w:rsidRPr="000B3B32">
        <w:t>Jewish</w:t>
      </w:r>
      <w:proofErr w:type="spellEnd"/>
      <w:r w:rsidRPr="000B3B32">
        <w:t xml:space="preserve"> </w:t>
      </w:r>
      <w:proofErr w:type="spellStart"/>
      <w:r w:rsidRPr="000B3B32">
        <w:t>Traditions</w:t>
      </w:r>
      <w:proofErr w:type="spellEnd"/>
      <w:r w:rsidRPr="000B3B32">
        <w:t xml:space="preserve"> (First Edition). </w:t>
      </w:r>
      <w:proofErr w:type="spellStart"/>
      <w:r w:rsidRPr="000B3B32">
        <w:t>The</w:t>
      </w:r>
      <w:proofErr w:type="spellEnd"/>
      <w:r w:rsidRPr="000B3B32">
        <w:t xml:space="preserve"> </w:t>
      </w:r>
      <w:proofErr w:type="spellStart"/>
      <w:r w:rsidRPr="000B3B32">
        <w:t>Jewish</w:t>
      </w:r>
      <w:proofErr w:type="spellEnd"/>
      <w:r w:rsidRPr="000B3B32">
        <w:t xml:space="preserve"> </w:t>
      </w:r>
      <w:proofErr w:type="spellStart"/>
      <w:r w:rsidRPr="000B3B32">
        <w:t>Publication</w:t>
      </w:r>
      <w:proofErr w:type="spellEnd"/>
      <w:r w:rsidRPr="000B3B32">
        <w:t xml:space="preserve"> </w:t>
      </w:r>
      <w:proofErr w:type="spellStart"/>
      <w:r w:rsidRPr="000B3B32">
        <w:t>Society</w:t>
      </w:r>
      <w:proofErr w:type="spellEnd"/>
      <w:r w:rsidRPr="000B3B32">
        <w:t>.</w:t>
      </w:r>
    </w:p>
    <w:p w14:paraId="17BACF8D" w14:textId="77777777" w:rsidR="00FA457D" w:rsidRPr="000B3B32" w:rsidRDefault="00FA457D">
      <w:pPr>
        <w:pStyle w:val="ListeParagraf"/>
        <w:numPr>
          <w:ilvl w:val="0"/>
          <w:numId w:val="61"/>
        </w:numPr>
        <w:jc w:val="both"/>
      </w:pPr>
      <w:proofErr w:type="spellStart"/>
      <w:r w:rsidRPr="000B3B32">
        <w:t>Farsi</w:t>
      </w:r>
      <w:proofErr w:type="spellEnd"/>
      <w:r w:rsidRPr="000B3B32">
        <w:t xml:space="preserve">, M. (2009). Dini Uygulama Rehberi / El </w:t>
      </w:r>
      <w:proofErr w:type="spellStart"/>
      <w:r w:rsidRPr="000B3B32">
        <w:t>Gid</w:t>
      </w:r>
      <w:proofErr w:type="spellEnd"/>
      <w:r w:rsidRPr="000B3B32">
        <w:t xml:space="preserve"> Para El </w:t>
      </w:r>
      <w:proofErr w:type="spellStart"/>
      <w:r w:rsidRPr="000B3B32">
        <w:t>Pratikante</w:t>
      </w:r>
      <w:proofErr w:type="spellEnd"/>
      <w:r w:rsidRPr="000B3B32">
        <w:t xml:space="preserve"> (M. Yanar, Çev.). Gözlem Gazetecilik Basın </w:t>
      </w:r>
      <w:proofErr w:type="gramStart"/>
      <w:r w:rsidRPr="000B3B32">
        <w:t>Ve</w:t>
      </w:r>
      <w:proofErr w:type="gramEnd"/>
      <w:r w:rsidRPr="000B3B32">
        <w:t xml:space="preserve"> Yayın </w:t>
      </w:r>
      <w:proofErr w:type="spellStart"/>
      <w:r w:rsidRPr="000B3B32">
        <w:t>A.ş</w:t>
      </w:r>
      <w:proofErr w:type="spellEnd"/>
      <w:r w:rsidRPr="000B3B32">
        <w:t>.</w:t>
      </w:r>
    </w:p>
    <w:p w14:paraId="74B904A0" w14:textId="77777777" w:rsidR="00FA457D" w:rsidRPr="000B3B32" w:rsidRDefault="00FA457D">
      <w:pPr>
        <w:pStyle w:val="ListeParagraf"/>
        <w:numPr>
          <w:ilvl w:val="0"/>
          <w:numId w:val="61"/>
        </w:numPr>
        <w:jc w:val="both"/>
      </w:pPr>
      <w:r w:rsidRPr="000B3B32">
        <w:t xml:space="preserve">Gebelik, Hamilelik ve Doğum. (2025, Şubat 28). Open </w:t>
      </w:r>
      <w:proofErr w:type="spellStart"/>
      <w:r w:rsidRPr="000B3B32">
        <w:t>Siddur</w:t>
      </w:r>
      <w:proofErr w:type="spellEnd"/>
      <w:r w:rsidRPr="000B3B32">
        <w:t>. https://opensiddur.org/</w:t>
      </w:r>
    </w:p>
    <w:p w14:paraId="78F35500" w14:textId="77777777" w:rsidR="00FA457D" w:rsidRPr="000B3B32" w:rsidRDefault="00FA457D">
      <w:pPr>
        <w:pStyle w:val="ListeParagraf"/>
        <w:numPr>
          <w:ilvl w:val="0"/>
          <w:numId w:val="61"/>
        </w:numPr>
        <w:jc w:val="both"/>
      </w:pPr>
      <w:r w:rsidRPr="000B3B32">
        <w:t xml:space="preserve">Güç, A. (2011). Dinlerde </w:t>
      </w:r>
      <w:proofErr w:type="spellStart"/>
      <w:r w:rsidRPr="000B3B32">
        <w:t>Mabed</w:t>
      </w:r>
      <w:proofErr w:type="spellEnd"/>
      <w:r w:rsidRPr="000B3B32">
        <w:t xml:space="preserve"> ve İbadet (1. </w:t>
      </w:r>
      <w:proofErr w:type="spellStart"/>
      <w:r w:rsidRPr="000B3B32">
        <w:t>bs</w:t>
      </w:r>
      <w:proofErr w:type="spellEnd"/>
      <w:r w:rsidRPr="000B3B32">
        <w:t>). Düşünce Yayınları.</w:t>
      </w:r>
    </w:p>
    <w:p w14:paraId="2A10C9FA" w14:textId="77777777" w:rsidR="00FA457D" w:rsidRPr="000B3B32" w:rsidRDefault="00FA457D">
      <w:pPr>
        <w:pStyle w:val="ListeParagraf"/>
        <w:numPr>
          <w:ilvl w:val="0"/>
          <w:numId w:val="61"/>
        </w:numPr>
        <w:jc w:val="both"/>
      </w:pPr>
      <w:r w:rsidRPr="000B3B32">
        <w:t xml:space="preserve">Gündüz, Ş. (2018). Namaz ve </w:t>
      </w:r>
      <w:proofErr w:type="spellStart"/>
      <w:r w:rsidRPr="000B3B32">
        <w:t>Yahudilik’te</w:t>
      </w:r>
      <w:proofErr w:type="spellEnd"/>
      <w:r w:rsidRPr="000B3B32">
        <w:t xml:space="preserve"> İbadet. İslami İlimler Dergisi, 13(2), 215-238.</w:t>
      </w:r>
    </w:p>
    <w:p w14:paraId="612141BA" w14:textId="77777777" w:rsidR="00FA457D" w:rsidRPr="000B3B32" w:rsidRDefault="00FA457D">
      <w:pPr>
        <w:pStyle w:val="ListeParagraf"/>
        <w:numPr>
          <w:ilvl w:val="0"/>
          <w:numId w:val="61"/>
        </w:numPr>
        <w:jc w:val="both"/>
      </w:pPr>
      <w:r w:rsidRPr="000B3B32">
        <w:t xml:space="preserve">Gündüz, Ş. (Ed.). (2021). Dünya Dinleri (5. </w:t>
      </w:r>
      <w:proofErr w:type="spellStart"/>
      <w:r w:rsidRPr="000B3B32">
        <w:t>bs</w:t>
      </w:r>
      <w:proofErr w:type="spellEnd"/>
      <w:r w:rsidRPr="000B3B32">
        <w:t>). Milel Nihal Yayınları.</w:t>
      </w:r>
    </w:p>
    <w:p w14:paraId="53E36877" w14:textId="77777777" w:rsidR="00FA457D" w:rsidRPr="000B3B32" w:rsidRDefault="00FA457D">
      <w:pPr>
        <w:pStyle w:val="ListeParagraf"/>
        <w:numPr>
          <w:ilvl w:val="0"/>
          <w:numId w:val="61"/>
        </w:numPr>
        <w:jc w:val="both"/>
      </w:pPr>
      <w:r w:rsidRPr="000B3B32">
        <w:t xml:space="preserve">Gürkan, S. L. (2018). Yahudilik (7. </w:t>
      </w:r>
      <w:proofErr w:type="spellStart"/>
      <w:r w:rsidRPr="000B3B32">
        <w:t>bs</w:t>
      </w:r>
      <w:proofErr w:type="spellEnd"/>
      <w:r w:rsidRPr="000B3B32">
        <w:t>). İSAM Yayınları.</w:t>
      </w:r>
    </w:p>
    <w:p w14:paraId="562B8CA6" w14:textId="77777777" w:rsidR="00FA457D" w:rsidRPr="000B3B32" w:rsidRDefault="00FA457D">
      <w:pPr>
        <w:pStyle w:val="ListeParagraf"/>
        <w:numPr>
          <w:ilvl w:val="0"/>
          <w:numId w:val="61"/>
        </w:numPr>
        <w:jc w:val="both"/>
      </w:pPr>
      <w:r w:rsidRPr="000B3B32">
        <w:t xml:space="preserve">Hamidullah, M., &amp; Aksu, Z. (2008). İnsan Toplumlarında İbadet Tarihi. Hikmet Yurdu, </w:t>
      </w:r>
      <w:proofErr w:type="gramStart"/>
      <w:r w:rsidRPr="000B3B32">
        <w:t>I(</w:t>
      </w:r>
      <w:proofErr w:type="gramEnd"/>
      <w:r w:rsidRPr="000B3B32">
        <w:t>1), 9-30.</w:t>
      </w:r>
    </w:p>
    <w:p w14:paraId="5FBF99F7" w14:textId="77777777" w:rsidR="00FA457D" w:rsidRPr="000B3B32" w:rsidRDefault="00FA457D">
      <w:pPr>
        <w:pStyle w:val="ListeParagraf"/>
        <w:numPr>
          <w:ilvl w:val="0"/>
          <w:numId w:val="61"/>
        </w:numPr>
        <w:jc w:val="both"/>
      </w:pPr>
      <w:proofErr w:type="spellStart"/>
      <w:r w:rsidRPr="000B3B32">
        <w:t>Hiçyılmaz</w:t>
      </w:r>
      <w:proofErr w:type="spellEnd"/>
      <w:r w:rsidRPr="000B3B32">
        <w:t xml:space="preserve">, M. İ. (2023). </w:t>
      </w:r>
      <w:proofErr w:type="spellStart"/>
      <w:r w:rsidRPr="000B3B32">
        <w:t>Yahudilik’te</w:t>
      </w:r>
      <w:proofErr w:type="spellEnd"/>
      <w:r w:rsidRPr="000B3B32">
        <w:t xml:space="preserve"> Aile ve Kadın [Yüksek Lisans]. Pamukkale Üniversitesi.</w:t>
      </w:r>
    </w:p>
    <w:p w14:paraId="54827484" w14:textId="77777777" w:rsidR="00FA457D" w:rsidRPr="000B3B32" w:rsidRDefault="00FA457D">
      <w:pPr>
        <w:pStyle w:val="ListeParagraf"/>
        <w:numPr>
          <w:ilvl w:val="0"/>
          <w:numId w:val="61"/>
        </w:numPr>
        <w:jc w:val="both"/>
      </w:pPr>
      <w:r w:rsidRPr="000B3B32">
        <w:t>Işık, R. (2022). Yahudilikte Kadın ve Statüsü—</w:t>
      </w:r>
      <w:proofErr w:type="spellStart"/>
      <w:r w:rsidRPr="000B3B32">
        <w:t>Tanah</w:t>
      </w:r>
      <w:proofErr w:type="spellEnd"/>
      <w:r w:rsidRPr="000B3B32">
        <w:t xml:space="preserve"> Temelinde (1. </w:t>
      </w:r>
      <w:proofErr w:type="spellStart"/>
      <w:r w:rsidRPr="000B3B32">
        <w:t>bs</w:t>
      </w:r>
      <w:proofErr w:type="spellEnd"/>
      <w:r w:rsidRPr="000B3B32">
        <w:t>). İlahiyat Yayınları.</w:t>
      </w:r>
    </w:p>
    <w:p w14:paraId="2BBCD95A" w14:textId="77777777" w:rsidR="00FA457D" w:rsidRPr="000B3B32" w:rsidRDefault="00FA457D">
      <w:pPr>
        <w:pStyle w:val="ListeParagraf"/>
        <w:numPr>
          <w:ilvl w:val="0"/>
          <w:numId w:val="61"/>
        </w:numPr>
        <w:jc w:val="both"/>
      </w:pPr>
      <w:r w:rsidRPr="000B3B32">
        <w:lastRenderedPageBreak/>
        <w:t xml:space="preserve">Kay, D. (2004). </w:t>
      </w:r>
      <w:proofErr w:type="spellStart"/>
      <w:r w:rsidRPr="000B3B32">
        <w:t>Seyder</w:t>
      </w:r>
      <w:proofErr w:type="spellEnd"/>
      <w:r w:rsidRPr="000B3B32">
        <w:t xml:space="preserve"> </w:t>
      </w:r>
      <w:proofErr w:type="spellStart"/>
      <w:r w:rsidRPr="000B3B32">
        <w:t>Tkhines</w:t>
      </w:r>
      <w:proofErr w:type="spellEnd"/>
      <w:r w:rsidRPr="000B3B32">
        <w:t xml:space="preserve"> (</w:t>
      </w:r>
      <w:proofErr w:type="spellStart"/>
      <w:r w:rsidRPr="000B3B32">
        <w:t>The</w:t>
      </w:r>
      <w:proofErr w:type="spellEnd"/>
      <w:r w:rsidRPr="000B3B32">
        <w:t xml:space="preserve"> </w:t>
      </w:r>
      <w:proofErr w:type="spellStart"/>
      <w:r w:rsidRPr="000B3B32">
        <w:t>Forgotten</w:t>
      </w:r>
      <w:proofErr w:type="spellEnd"/>
      <w:r w:rsidRPr="000B3B32">
        <w:t xml:space="preserve"> </w:t>
      </w:r>
      <w:proofErr w:type="spellStart"/>
      <w:r w:rsidRPr="000B3B32">
        <w:t>Book</w:t>
      </w:r>
      <w:proofErr w:type="spellEnd"/>
      <w:r w:rsidRPr="000B3B32">
        <w:t xml:space="preserve"> of </w:t>
      </w:r>
      <w:proofErr w:type="spellStart"/>
      <w:r w:rsidRPr="000B3B32">
        <w:t>Common</w:t>
      </w:r>
      <w:proofErr w:type="spellEnd"/>
      <w:r w:rsidRPr="000B3B32">
        <w:t xml:space="preserve"> </w:t>
      </w:r>
      <w:proofErr w:type="spellStart"/>
      <w:r w:rsidRPr="000B3B32">
        <w:t>Prayer</w:t>
      </w:r>
      <w:proofErr w:type="spellEnd"/>
      <w:r w:rsidRPr="000B3B32">
        <w:t xml:space="preserve"> </w:t>
      </w:r>
      <w:proofErr w:type="spellStart"/>
      <w:r w:rsidRPr="000B3B32">
        <w:t>for</w:t>
      </w:r>
      <w:proofErr w:type="spellEnd"/>
      <w:r w:rsidRPr="000B3B32">
        <w:t xml:space="preserve"> </w:t>
      </w:r>
      <w:proofErr w:type="spellStart"/>
      <w:r w:rsidRPr="000B3B32">
        <w:t>Jewish</w:t>
      </w:r>
      <w:proofErr w:type="spellEnd"/>
      <w:r w:rsidRPr="000B3B32">
        <w:t xml:space="preserve"> </w:t>
      </w:r>
      <w:proofErr w:type="spellStart"/>
      <w:r w:rsidRPr="000B3B32">
        <w:t>Women</w:t>
      </w:r>
      <w:proofErr w:type="spellEnd"/>
      <w:r w:rsidRPr="000B3B32">
        <w:t xml:space="preserve">). </w:t>
      </w:r>
      <w:proofErr w:type="spellStart"/>
      <w:r w:rsidRPr="000B3B32">
        <w:t>The</w:t>
      </w:r>
      <w:proofErr w:type="spellEnd"/>
      <w:r w:rsidRPr="000B3B32">
        <w:t xml:space="preserve"> </w:t>
      </w:r>
      <w:proofErr w:type="spellStart"/>
      <w:r w:rsidRPr="000B3B32">
        <w:t>Jewish</w:t>
      </w:r>
      <w:proofErr w:type="spellEnd"/>
      <w:r w:rsidRPr="000B3B32">
        <w:t xml:space="preserve"> </w:t>
      </w:r>
      <w:proofErr w:type="spellStart"/>
      <w:r w:rsidRPr="000B3B32">
        <w:t>Publication</w:t>
      </w:r>
      <w:proofErr w:type="spellEnd"/>
      <w:r w:rsidRPr="000B3B32">
        <w:t xml:space="preserve"> </w:t>
      </w:r>
      <w:proofErr w:type="spellStart"/>
      <w:r w:rsidRPr="000B3B32">
        <w:t>Society</w:t>
      </w:r>
      <w:proofErr w:type="spellEnd"/>
      <w:r w:rsidRPr="000B3B32">
        <w:t>.</w:t>
      </w:r>
    </w:p>
    <w:p w14:paraId="06EB0CAB" w14:textId="77777777" w:rsidR="00FA457D" w:rsidRPr="000B3B32" w:rsidRDefault="00FA457D">
      <w:pPr>
        <w:pStyle w:val="ListeParagraf"/>
        <w:numPr>
          <w:ilvl w:val="0"/>
          <w:numId w:val="61"/>
        </w:numPr>
        <w:jc w:val="both"/>
      </w:pPr>
      <w:proofErr w:type="spellStart"/>
      <w:r w:rsidRPr="000B3B32">
        <w:t>Kosher</w:t>
      </w:r>
      <w:proofErr w:type="spellEnd"/>
      <w:r w:rsidRPr="000B3B32">
        <w:t xml:space="preserve"> Nedir? (</w:t>
      </w:r>
      <w:proofErr w:type="spellStart"/>
      <w:proofErr w:type="gramStart"/>
      <w:r w:rsidRPr="000B3B32">
        <w:t>t.y</w:t>
      </w:r>
      <w:proofErr w:type="spellEnd"/>
      <w:r w:rsidRPr="000B3B32">
        <w:t>.</w:t>
      </w:r>
      <w:proofErr w:type="gramEnd"/>
      <w:r w:rsidRPr="000B3B32">
        <w:t xml:space="preserve">). </w:t>
      </w:r>
      <w:proofErr w:type="spellStart"/>
      <w:r w:rsidRPr="000B3B32">
        <w:t>Kosher</w:t>
      </w:r>
      <w:proofErr w:type="spellEnd"/>
      <w:r w:rsidRPr="000B3B32">
        <w:t>. Geliş tarihi 28 Şubat 2025, gönderen https://www.kosher.com.tr/</w:t>
      </w:r>
    </w:p>
    <w:p w14:paraId="0251ADBA" w14:textId="77777777" w:rsidR="00FA457D" w:rsidRPr="000B3B32" w:rsidRDefault="00FA457D">
      <w:pPr>
        <w:pStyle w:val="ListeParagraf"/>
        <w:numPr>
          <w:ilvl w:val="0"/>
          <w:numId w:val="61"/>
        </w:numPr>
        <w:jc w:val="both"/>
      </w:pPr>
      <w:r w:rsidRPr="000B3B32">
        <w:t>Koşer. (2024, Aralık 5). Wikipedia. https://tr.wikipedia.org/w/index.php?title=Ko%C5%9Fer&amp;oldid=34447056</w:t>
      </w:r>
    </w:p>
    <w:p w14:paraId="1282757D" w14:textId="77777777" w:rsidR="00FA457D" w:rsidRPr="000B3B32" w:rsidRDefault="00FA457D">
      <w:pPr>
        <w:pStyle w:val="ListeParagraf"/>
        <w:numPr>
          <w:ilvl w:val="0"/>
          <w:numId w:val="61"/>
        </w:numPr>
        <w:jc w:val="both"/>
      </w:pPr>
      <w:r w:rsidRPr="000B3B32">
        <w:t xml:space="preserve">Kutsal Kitap: Tevrat Zebur İncil. (2020). </w:t>
      </w:r>
      <w:proofErr w:type="spellStart"/>
      <w:r w:rsidRPr="000B3B32">
        <w:t>Kitab</w:t>
      </w:r>
      <w:proofErr w:type="spellEnd"/>
      <w:r w:rsidRPr="000B3B32">
        <w:t>-ı Mukaddes Şirketi- Yeni Yaşam Yayınları.</w:t>
      </w:r>
    </w:p>
    <w:p w14:paraId="31E209BD" w14:textId="77777777" w:rsidR="00FA457D" w:rsidRPr="000B3B32" w:rsidRDefault="00FA457D">
      <w:pPr>
        <w:pStyle w:val="ListeParagraf"/>
        <w:numPr>
          <w:ilvl w:val="0"/>
          <w:numId w:val="61"/>
        </w:numPr>
        <w:jc w:val="both"/>
      </w:pPr>
      <w:r w:rsidRPr="000B3B32">
        <w:t>Küçük, A. (1988). Dinlerde Mabet ve İbadet. Diyanet İlmi Dergisi, 24(3), 25-54.</w:t>
      </w:r>
    </w:p>
    <w:p w14:paraId="479C7386" w14:textId="77777777" w:rsidR="00FA457D" w:rsidRPr="000B3B32" w:rsidRDefault="00FA457D">
      <w:pPr>
        <w:pStyle w:val="ListeParagraf"/>
        <w:numPr>
          <w:ilvl w:val="0"/>
          <w:numId w:val="61"/>
        </w:numPr>
        <w:jc w:val="both"/>
      </w:pPr>
      <w:proofErr w:type="spellStart"/>
      <w:r w:rsidRPr="000B3B32">
        <w:t>Lesches</w:t>
      </w:r>
      <w:proofErr w:type="spellEnd"/>
      <w:r w:rsidRPr="000B3B32">
        <w:t xml:space="preserve">, S. Z. (2001). </w:t>
      </w:r>
      <w:proofErr w:type="spellStart"/>
      <w:r w:rsidRPr="000B3B32">
        <w:t>Understanding</w:t>
      </w:r>
      <w:proofErr w:type="spellEnd"/>
      <w:r w:rsidRPr="000B3B32">
        <w:t xml:space="preserve"> </w:t>
      </w:r>
      <w:proofErr w:type="spellStart"/>
      <w:r w:rsidRPr="000B3B32">
        <w:t>Mikvah</w:t>
      </w:r>
      <w:proofErr w:type="spellEnd"/>
      <w:r w:rsidRPr="000B3B32">
        <w:t xml:space="preserve"> (An </w:t>
      </w:r>
      <w:proofErr w:type="spellStart"/>
      <w:r w:rsidRPr="000B3B32">
        <w:t>Overview</w:t>
      </w:r>
      <w:proofErr w:type="spellEnd"/>
      <w:r w:rsidRPr="000B3B32">
        <w:t xml:space="preserve"> of </w:t>
      </w:r>
      <w:proofErr w:type="spellStart"/>
      <w:r w:rsidRPr="000B3B32">
        <w:t>Mikvah</w:t>
      </w:r>
      <w:proofErr w:type="spellEnd"/>
      <w:r w:rsidRPr="000B3B32">
        <w:t xml:space="preserve"> Construction). </w:t>
      </w:r>
      <w:proofErr w:type="spellStart"/>
      <w:r w:rsidRPr="000B3B32">
        <w:t>National</w:t>
      </w:r>
      <w:proofErr w:type="spellEnd"/>
      <w:r w:rsidRPr="000B3B32">
        <w:t xml:space="preserve"> Library of </w:t>
      </w:r>
      <w:proofErr w:type="spellStart"/>
      <w:r w:rsidRPr="000B3B32">
        <w:t>Canada</w:t>
      </w:r>
      <w:proofErr w:type="spellEnd"/>
      <w:r w:rsidRPr="000B3B32">
        <w:t xml:space="preserve"> </w:t>
      </w:r>
      <w:proofErr w:type="spellStart"/>
      <w:r w:rsidRPr="000B3B32">
        <w:t>Cataloguing</w:t>
      </w:r>
      <w:proofErr w:type="spellEnd"/>
      <w:r w:rsidRPr="000B3B32">
        <w:t xml:space="preserve"> in </w:t>
      </w:r>
      <w:proofErr w:type="spellStart"/>
      <w:r w:rsidRPr="000B3B32">
        <w:t>Publication</w:t>
      </w:r>
      <w:proofErr w:type="spellEnd"/>
      <w:r w:rsidRPr="000B3B32">
        <w:t xml:space="preserve"> Data.</w:t>
      </w:r>
    </w:p>
    <w:p w14:paraId="5808A9AE" w14:textId="77777777" w:rsidR="00FA457D" w:rsidRPr="000B3B32" w:rsidRDefault="00FA457D">
      <w:pPr>
        <w:pStyle w:val="ListeParagraf"/>
        <w:numPr>
          <w:ilvl w:val="0"/>
          <w:numId w:val="61"/>
        </w:numPr>
        <w:jc w:val="both"/>
      </w:pPr>
      <w:r w:rsidRPr="000B3B32">
        <w:t xml:space="preserve">Meral, Y. (2021). Yahudi Kaynakları Işığında Yahudilik (1. </w:t>
      </w:r>
      <w:proofErr w:type="spellStart"/>
      <w:r w:rsidRPr="000B3B32">
        <w:t>bs</w:t>
      </w:r>
      <w:proofErr w:type="spellEnd"/>
      <w:r w:rsidRPr="000B3B32">
        <w:t>). Milel ve Nihal Dizisi.</w:t>
      </w:r>
    </w:p>
    <w:p w14:paraId="5F62556C" w14:textId="77777777" w:rsidR="00FA457D" w:rsidRPr="000B3B32" w:rsidRDefault="00FA457D">
      <w:pPr>
        <w:pStyle w:val="ListeParagraf"/>
        <w:numPr>
          <w:ilvl w:val="0"/>
          <w:numId w:val="61"/>
        </w:numPr>
        <w:jc w:val="both"/>
      </w:pPr>
      <w:proofErr w:type="spellStart"/>
      <w:r w:rsidRPr="000B3B32">
        <w:t>Nakhai</w:t>
      </w:r>
      <w:proofErr w:type="spellEnd"/>
      <w:r w:rsidRPr="000B3B32">
        <w:t xml:space="preserve">, B. A. (2019). </w:t>
      </w:r>
      <w:proofErr w:type="spellStart"/>
      <w:r w:rsidRPr="000B3B32">
        <w:t>Women</w:t>
      </w:r>
      <w:proofErr w:type="spellEnd"/>
      <w:r w:rsidRPr="000B3B32">
        <w:t xml:space="preserve"> in </w:t>
      </w:r>
      <w:proofErr w:type="spellStart"/>
      <w:r w:rsidRPr="000B3B32">
        <w:t>Israelite</w:t>
      </w:r>
      <w:proofErr w:type="spellEnd"/>
      <w:r w:rsidRPr="000B3B32">
        <w:t xml:space="preserve"> </w:t>
      </w:r>
      <w:proofErr w:type="spellStart"/>
      <w:r w:rsidRPr="000B3B32">
        <w:t>Religion</w:t>
      </w:r>
      <w:proofErr w:type="spellEnd"/>
      <w:r w:rsidRPr="000B3B32">
        <w:t xml:space="preserve">: </w:t>
      </w:r>
      <w:proofErr w:type="spellStart"/>
      <w:r w:rsidRPr="000B3B32">
        <w:t>The</w:t>
      </w:r>
      <w:proofErr w:type="spellEnd"/>
      <w:r w:rsidRPr="000B3B32">
        <w:t xml:space="preserve"> </w:t>
      </w:r>
      <w:proofErr w:type="spellStart"/>
      <w:r w:rsidRPr="000B3B32">
        <w:t>State</w:t>
      </w:r>
      <w:proofErr w:type="spellEnd"/>
      <w:r w:rsidRPr="000B3B32">
        <w:t xml:space="preserve"> of </w:t>
      </w:r>
      <w:proofErr w:type="spellStart"/>
      <w:r w:rsidRPr="000B3B32">
        <w:t>Research</w:t>
      </w:r>
      <w:proofErr w:type="spellEnd"/>
      <w:r w:rsidRPr="000B3B32">
        <w:t xml:space="preserve"> Is </w:t>
      </w:r>
      <w:proofErr w:type="spellStart"/>
      <w:r w:rsidRPr="000B3B32">
        <w:t>All</w:t>
      </w:r>
      <w:proofErr w:type="spellEnd"/>
      <w:r w:rsidRPr="000B3B32">
        <w:t xml:space="preserve"> New </w:t>
      </w:r>
      <w:proofErr w:type="spellStart"/>
      <w:r w:rsidRPr="000B3B32">
        <w:t>Research</w:t>
      </w:r>
      <w:proofErr w:type="spellEnd"/>
      <w:r w:rsidRPr="000B3B32">
        <w:t xml:space="preserve">. </w:t>
      </w:r>
      <w:proofErr w:type="spellStart"/>
      <w:r w:rsidRPr="000B3B32">
        <w:t>Religions</w:t>
      </w:r>
      <w:proofErr w:type="spellEnd"/>
      <w:r w:rsidRPr="000B3B32">
        <w:t xml:space="preserve">, 10(2), </w:t>
      </w:r>
      <w:proofErr w:type="spellStart"/>
      <w:r w:rsidRPr="000B3B32">
        <w:t>Article</w:t>
      </w:r>
      <w:proofErr w:type="spellEnd"/>
      <w:r w:rsidRPr="000B3B32">
        <w:t xml:space="preserve"> 2. https://doi.org/10.3390/rel10020122</w:t>
      </w:r>
    </w:p>
    <w:p w14:paraId="5A73E893" w14:textId="77777777" w:rsidR="00FA457D" w:rsidRPr="000B3B32" w:rsidRDefault="00FA457D">
      <w:pPr>
        <w:pStyle w:val="ListeParagraf"/>
        <w:numPr>
          <w:ilvl w:val="0"/>
          <w:numId w:val="61"/>
        </w:numPr>
        <w:jc w:val="both"/>
      </w:pPr>
      <w:proofErr w:type="spellStart"/>
      <w:r w:rsidRPr="000B3B32">
        <w:t>Okçay</w:t>
      </w:r>
      <w:proofErr w:type="spellEnd"/>
      <w:r w:rsidRPr="000B3B32">
        <w:t xml:space="preserve">, H. (2013). İzmir Yahudi Cemaati Kadın Kimliği (Beş Yüz Yıllık Komşularımız) (1. </w:t>
      </w:r>
      <w:proofErr w:type="spellStart"/>
      <w:r w:rsidRPr="000B3B32">
        <w:t>bs</w:t>
      </w:r>
      <w:proofErr w:type="spellEnd"/>
      <w:r w:rsidRPr="000B3B32">
        <w:t>). Phoenix Yayınevi.</w:t>
      </w:r>
    </w:p>
    <w:p w14:paraId="2BAE2F2A" w14:textId="77777777" w:rsidR="00FA457D" w:rsidRPr="000B3B32" w:rsidRDefault="00FA457D">
      <w:pPr>
        <w:pStyle w:val="ListeParagraf"/>
        <w:numPr>
          <w:ilvl w:val="0"/>
          <w:numId w:val="61"/>
        </w:numPr>
        <w:jc w:val="both"/>
      </w:pPr>
      <w:proofErr w:type="spellStart"/>
      <w:r w:rsidRPr="000B3B32">
        <w:t>Olyan</w:t>
      </w:r>
      <w:proofErr w:type="spellEnd"/>
      <w:r w:rsidRPr="000B3B32">
        <w:t xml:space="preserve">, S. M. (2010). </w:t>
      </w:r>
      <w:proofErr w:type="spellStart"/>
      <w:r w:rsidRPr="000B3B32">
        <w:t>What</w:t>
      </w:r>
      <w:proofErr w:type="spellEnd"/>
      <w:r w:rsidRPr="000B3B32">
        <w:t xml:space="preserve"> Do </w:t>
      </w:r>
      <w:proofErr w:type="spellStart"/>
      <w:r w:rsidRPr="000B3B32">
        <w:t>We</w:t>
      </w:r>
      <w:proofErr w:type="spellEnd"/>
      <w:r w:rsidRPr="000B3B32">
        <w:t xml:space="preserve"> </w:t>
      </w:r>
      <w:proofErr w:type="spellStart"/>
      <w:r w:rsidRPr="000B3B32">
        <w:t>Really</w:t>
      </w:r>
      <w:proofErr w:type="spellEnd"/>
      <w:r w:rsidRPr="000B3B32">
        <w:t xml:space="preserve"> </w:t>
      </w:r>
      <w:proofErr w:type="spellStart"/>
      <w:r w:rsidRPr="000B3B32">
        <w:t>Know</w:t>
      </w:r>
      <w:proofErr w:type="spellEnd"/>
      <w:r w:rsidRPr="000B3B32">
        <w:t xml:space="preserve"> </w:t>
      </w:r>
      <w:proofErr w:type="spellStart"/>
      <w:r w:rsidRPr="000B3B32">
        <w:t>About</w:t>
      </w:r>
      <w:proofErr w:type="spellEnd"/>
      <w:r w:rsidRPr="000B3B32">
        <w:t xml:space="preserve"> </w:t>
      </w:r>
      <w:proofErr w:type="spellStart"/>
      <w:r w:rsidRPr="000B3B32">
        <w:t>Women’s</w:t>
      </w:r>
      <w:proofErr w:type="spellEnd"/>
      <w:r w:rsidRPr="000B3B32">
        <w:t xml:space="preserve"> </w:t>
      </w:r>
      <w:proofErr w:type="spellStart"/>
      <w:r w:rsidRPr="000B3B32">
        <w:t>Rites</w:t>
      </w:r>
      <w:proofErr w:type="spellEnd"/>
      <w:r w:rsidRPr="000B3B32">
        <w:t xml:space="preserve"> in </w:t>
      </w:r>
      <w:proofErr w:type="spellStart"/>
      <w:r w:rsidRPr="000B3B32">
        <w:t>the</w:t>
      </w:r>
      <w:proofErr w:type="spellEnd"/>
      <w:r w:rsidRPr="000B3B32">
        <w:t xml:space="preserve"> </w:t>
      </w:r>
      <w:proofErr w:type="spellStart"/>
      <w:r w:rsidRPr="000B3B32">
        <w:t>Israelite</w:t>
      </w:r>
      <w:proofErr w:type="spellEnd"/>
      <w:r w:rsidRPr="000B3B32">
        <w:t xml:space="preserve"> </w:t>
      </w:r>
      <w:proofErr w:type="spellStart"/>
      <w:r w:rsidRPr="000B3B32">
        <w:t>Family</w:t>
      </w:r>
      <w:proofErr w:type="spellEnd"/>
      <w:r w:rsidRPr="000B3B32">
        <w:t xml:space="preserve"> </w:t>
      </w:r>
      <w:proofErr w:type="spellStart"/>
      <w:r w:rsidRPr="000B3B32">
        <w:t>Context</w:t>
      </w:r>
      <w:proofErr w:type="spellEnd"/>
      <w:r w:rsidRPr="000B3B32">
        <w:t xml:space="preserve">? </w:t>
      </w:r>
      <w:proofErr w:type="spellStart"/>
      <w:r w:rsidRPr="000B3B32">
        <w:t>Journal</w:t>
      </w:r>
      <w:proofErr w:type="spellEnd"/>
      <w:r w:rsidRPr="000B3B32">
        <w:t xml:space="preserve"> of Ancient </w:t>
      </w:r>
      <w:proofErr w:type="spellStart"/>
      <w:r w:rsidRPr="000B3B32">
        <w:t>Near</w:t>
      </w:r>
      <w:proofErr w:type="spellEnd"/>
      <w:r w:rsidRPr="000B3B32">
        <w:t xml:space="preserve"> </w:t>
      </w:r>
      <w:proofErr w:type="spellStart"/>
      <w:r w:rsidRPr="000B3B32">
        <w:t>Eastern</w:t>
      </w:r>
      <w:proofErr w:type="spellEnd"/>
      <w:r w:rsidRPr="000B3B32">
        <w:t xml:space="preserve"> </w:t>
      </w:r>
      <w:proofErr w:type="spellStart"/>
      <w:r w:rsidRPr="000B3B32">
        <w:t>Religions</w:t>
      </w:r>
      <w:proofErr w:type="spellEnd"/>
      <w:r w:rsidRPr="000B3B32">
        <w:t>, 10(1), 55-67. https://doi.org/10.1163/156921210X500503</w:t>
      </w:r>
    </w:p>
    <w:p w14:paraId="545416FA" w14:textId="77777777" w:rsidR="00FA457D" w:rsidRPr="000B3B32" w:rsidRDefault="00FA457D">
      <w:pPr>
        <w:pStyle w:val="ListeParagraf"/>
        <w:numPr>
          <w:ilvl w:val="0"/>
          <w:numId w:val="61"/>
        </w:numPr>
        <w:jc w:val="both"/>
      </w:pPr>
      <w:r w:rsidRPr="000B3B32">
        <w:t xml:space="preserve">Özen, A. (1999). </w:t>
      </w:r>
      <w:proofErr w:type="spellStart"/>
      <w:r w:rsidRPr="000B3B32">
        <w:t>Yahudilik’te</w:t>
      </w:r>
      <w:proofErr w:type="spellEnd"/>
      <w:r w:rsidRPr="000B3B32">
        <w:t xml:space="preserve"> İbadet [Doktora Tezi]. Marmara Üniversitesi.</w:t>
      </w:r>
    </w:p>
    <w:p w14:paraId="390261EB" w14:textId="77777777" w:rsidR="00FA457D" w:rsidRPr="000B3B32" w:rsidRDefault="00FA457D">
      <w:pPr>
        <w:pStyle w:val="ListeParagraf"/>
        <w:numPr>
          <w:ilvl w:val="0"/>
          <w:numId w:val="61"/>
        </w:numPr>
        <w:jc w:val="both"/>
      </w:pPr>
      <w:r w:rsidRPr="000B3B32">
        <w:t xml:space="preserve">Salihoğlu, M., &amp; Bedir, Ş. (2019). </w:t>
      </w:r>
      <w:proofErr w:type="spellStart"/>
      <w:r w:rsidRPr="000B3B32">
        <w:t>Mordecai</w:t>
      </w:r>
      <w:proofErr w:type="spellEnd"/>
      <w:r w:rsidRPr="000B3B32">
        <w:t xml:space="preserve"> Kaplan’ın Yahudi Dinî Hayatında Yaptığı Yenilikler. </w:t>
      </w:r>
      <w:proofErr w:type="spellStart"/>
      <w:r w:rsidRPr="000B3B32">
        <w:t>Oksident</w:t>
      </w:r>
      <w:proofErr w:type="spellEnd"/>
      <w:r w:rsidRPr="000B3B32">
        <w:t xml:space="preserve"> Dergisi, 1(2), 171-192. https://doi.org/10.5281/zenodo.3582402</w:t>
      </w:r>
    </w:p>
    <w:p w14:paraId="2B7339D5" w14:textId="77777777" w:rsidR="00FA457D" w:rsidRPr="000B3B32" w:rsidRDefault="00FA457D">
      <w:pPr>
        <w:pStyle w:val="ListeParagraf"/>
        <w:numPr>
          <w:ilvl w:val="0"/>
          <w:numId w:val="61"/>
        </w:numPr>
        <w:jc w:val="both"/>
      </w:pPr>
      <w:r w:rsidRPr="000B3B32">
        <w:t xml:space="preserve">Sarıkçıoğlu, E. (2014). Başlangıçtan Günümüze Dinler Tarihi (5. </w:t>
      </w:r>
      <w:proofErr w:type="spellStart"/>
      <w:r w:rsidRPr="000B3B32">
        <w:t>bs</w:t>
      </w:r>
      <w:proofErr w:type="spellEnd"/>
      <w:r w:rsidRPr="000B3B32">
        <w:t>). Fakülte Kitabevi Yayınları.</w:t>
      </w:r>
    </w:p>
    <w:p w14:paraId="7E7E6276" w14:textId="77777777" w:rsidR="00FA457D" w:rsidRPr="000B3B32" w:rsidRDefault="00FA457D">
      <w:pPr>
        <w:pStyle w:val="ListeParagraf"/>
        <w:numPr>
          <w:ilvl w:val="0"/>
          <w:numId w:val="61"/>
        </w:numPr>
        <w:jc w:val="both"/>
      </w:pPr>
      <w:proofErr w:type="spellStart"/>
      <w:r w:rsidRPr="000B3B32">
        <w:t>Schimmel</w:t>
      </w:r>
      <w:proofErr w:type="spellEnd"/>
      <w:r w:rsidRPr="000B3B32">
        <w:t xml:space="preserve">, A. (2011). Dinler Tarihine Giriş (2. </w:t>
      </w:r>
      <w:proofErr w:type="spellStart"/>
      <w:r w:rsidRPr="000B3B32">
        <w:t>bs</w:t>
      </w:r>
      <w:proofErr w:type="spellEnd"/>
      <w:r w:rsidRPr="000B3B32">
        <w:t>). Külliyat Yayınları.</w:t>
      </w:r>
    </w:p>
    <w:p w14:paraId="51945103" w14:textId="77777777" w:rsidR="00FA457D" w:rsidRPr="000B3B32" w:rsidRDefault="00FA457D">
      <w:pPr>
        <w:pStyle w:val="ListeParagraf"/>
        <w:numPr>
          <w:ilvl w:val="0"/>
          <w:numId w:val="61"/>
        </w:numPr>
        <w:jc w:val="both"/>
      </w:pPr>
      <w:proofErr w:type="spellStart"/>
      <w:r w:rsidRPr="000B3B32">
        <w:t>Signs</w:t>
      </w:r>
      <w:proofErr w:type="spellEnd"/>
      <w:r w:rsidRPr="000B3B32">
        <w:t xml:space="preserve"> </w:t>
      </w:r>
      <w:proofErr w:type="spellStart"/>
      <w:r w:rsidRPr="000B3B32">
        <w:t>and</w:t>
      </w:r>
      <w:proofErr w:type="spellEnd"/>
      <w:r w:rsidRPr="000B3B32">
        <w:t xml:space="preserve"> </w:t>
      </w:r>
      <w:proofErr w:type="spellStart"/>
      <w:r w:rsidRPr="000B3B32">
        <w:t>Symbols</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Judaism</w:t>
      </w:r>
      <w:proofErr w:type="spellEnd"/>
      <w:r w:rsidRPr="000B3B32">
        <w:t xml:space="preserve"> 101 (</w:t>
      </w:r>
      <w:proofErr w:type="spellStart"/>
      <w:r w:rsidRPr="000B3B32">
        <w:t>JewFAQ</w:t>
      </w:r>
      <w:proofErr w:type="spellEnd"/>
      <w:r w:rsidRPr="000B3B32">
        <w:t>). Geliş tarihi 28 Şubat 2025, gönderen https://www.jewfaq.org/signs_and_symbols</w:t>
      </w:r>
    </w:p>
    <w:p w14:paraId="41F4BB94" w14:textId="77777777" w:rsidR="00FA457D" w:rsidRPr="000B3B32" w:rsidRDefault="00FA457D">
      <w:pPr>
        <w:pStyle w:val="ListeParagraf"/>
        <w:numPr>
          <w:ilvl w:val="0"/>
          <w:numId w:val="61"/>
        </w:numPr>
        <w:jc w:val="both"/>
      </w:pPr>
      <w:proofErr w:type="spellStart"/>
      <w:r w:rsidRPr="000B3B32">
        <w:t>Spirituality</w:t>
      </w:r>
      <w:proofErr w:type="spellEnd"/>
      <w:r w:rsidRPr="000B3B32">
        <w:t xml:space="preserve"> &amp; </w:t>
      </w:r>
      <w:proofErr w:type="spellStart"/>
      <w:r w:rsidRPr="000B3B32">
        <w:t>the</w:t>
      </w:r>
      <w:proofErr w:type="spellEnd"/>
      <w:r w:rsidRPr="000B3B32">
        <w:t xml:space="preserve"> </w:t>
      </w:r>
      <w:proofErr w:type="spellStart"/>
      <w:r w:rsidRPr="000B3B32">
        <w:t>Feminine</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Chabad</w:t>
      </w:r>
      <w:proofErr w:type="spellEnd"/>
      <w:r w:rsidRPr="000B3B32">
        <w:t>. Geliş tarihi 28 Şubat 2025, gönderen https://www.chabad.org/theJewishWoman/article_cdo/aid/313387/jewish/Spirituality-the-Feminine.htm</w:t>
      </w:r>
    </w:p>
    <w:p w14:paraId="64CCEE49" w14:textId="77777777" w:rsidR="00FA457D" w:rsidRPr="000B3B32" w:rsidRDefault="00FA457D">
      <w:pPr>
        <w:pStyle w:val="ListeParagraf"/>
        <w:numPr>
          <w:ilvl w:val="0"/>
          <w:numId w:val="61"/>
        </w:numPr>
        <w:jc w:val="both"/>
      </w:pPr>
      <w:r w:rsidRPr="000B3B32">
        <w:t xml:space="preserve">Süleyman Turan &amp; </w:t>
      </w:r>
      <w:proofErr w:type="spellStart"/>
      <w:r w:rsidRPr="000B3B32">
        <w:t>Asife</w:t>
      </w:r>
      <w:proofErr w:type="spellEnd"/>
      <w:r w:rsidRPr="000B3B32">
        <w:t xml:space="preserve"> Ünal. (2021). Dinlerde Aile (1. </w:t>
      </w:r>
      <w:proofErr w:type="spellStart"/>
      <w:r w:rsidRPr="000B3B32">
        <w:t>bs</w:t>
      </w:r>
      <w:proofErr w:type="spellEnd"/>
      <w:r w:rsidRPr="000B3B32">
        <w:t>). Eğitim Yayınevi.</w:t>
      </w:r>
    </w:p>
    <w:p w14:paraId="24DE5856" w14:textId="77777777" w:rsidR="00FA457D" w:rsidRPr="000B3B32" w:rsidRDefault="00FA457D">
      <w:pPr>
        <w:pStyle w:val="ListeParagraf"/>
        <w:numPr>
          <w:ilvl w:val="0"/>
          <w:numId w:val="61"/>
        </w:numPr>
        <w:jc w:val="both"/>
      </w:pPr>
      <w:proofErr w:type="spellStart"/>
      <w:r w:rsidRPr="000B3B32">
        <w:t>Şabat</w:t>
      </w:r>
      <w:proofErr w:type="spellEnd"/>
      <w:r w:rsidRPr="000B3B32">
        <w:t xml:space="preserve"> Düzeni—</w:t>
      </w:r>
      <w:proofErr w:type="spellStart"/>
      <w:r w:rsidRPr="000B3B32">
        <w:t>Sevivon</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Sevivon</w:t>
      </w:r>
      <w:proofErr w:type="spellEnd"/>
      <w:r w:rsidRPr="000B3B32">
        <w:t>. Geliş tarihi 28 Şubat 2025, gönderen https://www.sevivon.com/index.php?option=com_content&amp;view=article&amp;id=499:sabat-duzeni&amp;catid=71&amp;Itemid=243</w:t>
      </w:r>
    </w:p>
    <w:p w14:paraId="00EFB1B7" w14:textId="77777777" w:rsidR="00FA457D" w:rsidRPr="000B3B32" w:rsidRDefault="00FA457D">
      <w:pPr>
        <w:pStyle w:val="ListeParagraf"/>
        <w:numPr>
          <w:ilvl w:val="0"/>
          <w:numId w:val="61"/>
        </w:numPr>
        <w:jc w:val="both"/>
      </w:pPr>
      <w:proofErr w:type="spellStart"/>
      <w:r w:rsidRPr="000B3B32">
        <w:t>Şabat</w:t>
      </w:r>
      <w:proofErr w:type="spellEnd"/>
      <w:r w:rsidRPr="000B3B32">
        <w:t xml:space="preserve"> Sofrası. (</w:t>
      </w:r>
      <w:proofErr w:type="spellStart"/>
      <w:proofErr w:type="gramStart"/>
      <w:r w:rsidRPr="000B3B32">
        <w:t>t.y</w:t>
      </w:r>
      <w:proofErr w:type="spellEnd"/>
      <w:r w:rsidRPr="000B3B32">
        <w:t>.</w:t>
      </w:r>
      <w:proofErr w:type="gramEnd"/>
      <w:r w:rsidRPr="000B3B32">
        <w:t xml:space="preserve">). </w:t>
      </w:r>
      <w:proofErr w:type="spellStart"/>
      <w:r w:rsidRPr="000B3B32">
        <w:t>Sevivon</w:t>
      </w:r>
      <w:proofErr w:type="spellEnd"/>
      <w:r w:rsidRPr="000B3B32">
        <w:t>. Geliş tarihi 28 Şubat 2025, gönderen https://www.sevivon.com/index.php?option=com_content&amp;view=article&amp;id=500:sabat-sofrasi&amp;catid=71&amp;Itemid=243</w:t>
      </w:r>
    </w:p>
    <w:p w14:paraId="06815E20" w14:textId="77777777" w:rsidR="00FA457D" w:rsidRPr="000B3B32" w:rsidRDefault="00FA457D">
      <w:pPr>
        <w:pStyle w:val="ListeParagraf"/>
        <w:numPr>
          <w:ilvl w:val="0"/>
          <w:numId w:val="61"/>
        </w:numPr>
        <w:jc w:val="both"/>
      </w:pPr>
      <w:proofErr w:type="spellStart"/>
      <w:r w:rsidRPr="000B3B32">
        <w:t>The</w:t>
      </w:r>
      <w:proofErr w:type="spellEnd"/>
      <w:r w:rsidRPr="000B3B32">
        <w:t xml:space="preserve"> Role of </w:t>
      </w:r>
      <w:proofErr w:type="spellStart"/>
      <w:r w:rsidRPr="000B3B32">
        <w:t>Women</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Judaism</w:t>
      </w:r>
      <w:proofErr w:type="spellEnd"/>
      <w:r w:rsidRPr="000B3B32">
        <w:t xml:space="preserve"> 101 (JEWFAQ). Geliş tarihi 28 Şubat 2025, gönderen https://www.jewfaq.org/role_of_women</w:t>
      </w:r>
    </w:p>
    <w:p w14:paraId="2C049E49" w14:textId="77777777" w:rsidR="00FA457D" w:rsidRPr="000B3B32" w:rsidRDefault="00FA457D">
      <w:pPr>
        <w:pStyle w:val="ListeParagraf"/>
        <w:numPr>
          <w:ilvl w:val="0"/>
          <w:numId w:val="61"/>
        </w:numPr>
        <w:jc w:val="both"/>
      </w:pPr>
      <w:proofErr w:type="spellStart"/>
      <w:r w:rsidRPr="000B3B32">
        <w:t>The</w:t>
      </w:r>
      <w:proofErr w:type="spellEnd"/>
      <w:r w:rsidRPr="000B3B32">
        <w:t xml:space="preserve"> </w:t>
      </w:r>
      <w:proofErr w:type="spellStart"/>
      <w:r w:rsidRPr="000B3B32">
        <w:t>Significance</w:t>
      </w:r>
      <w:proofErr w:type="spellEnd"/>
      <w:r w:rsidRPr="000B3B32">
        <w:t xml:space="preserve"> of </w:t>
      </w:r>
      <w:proofErr w:type="spellStart"/>
      <w:r w:rsidRPr="000B3B32">
        <w:t>the</w:t>
      </w:r>
      <w:proofErr w:type="spellEnd"/>
      <w:r w:rsidRPr="000B3B32">
        <w:t xml:space="preserve"> </w:t>
      </w:r>
      <w:proofErr w:type="spellStart"/>
      <w:r w:rsidRPr="000B3B32">
        <w:t>Torah</w:t>
      </w:r>
      <w:proofErr w:type="spellEnd"/>
      <w:r w:rsidRPr="000B3B32">
        <w:t xml:space="preserve"> in a Bar </w:t>
      </w:r>
      <w:proofErr w:type="spellStart"/>
      <w:r w:rsidRPr="000B3B32">
        <w:t>Mitzvah</w:t>
      </w:r>
      <w:proofErr w:type="spellEnd"/>
      <w:r w:rsidRPr="000B3B32">
        <w:t xml:space="preserve"> </w:t>
      </w:r>
      <w:proofErr w:type="spellStart"/>
      <w:r w:rsidRPr="000B3B32">
        <w:t>and</w:t>
      </w:r>
      <w:proofErr w:type="spellEnd"/>
      <w:r w:rsidRPr="000B3B32">
        <w:t xml:space="preserve"> Bat </w:t>
      </w:r>
      <w:proofErr w:type="spellStart"/>
      <w:r w:rsidRPr="000B3B32">
        <w:t>Mitzvah</w:t>
      </w:r>
      <w:proofErr w:type="spellEnd"/>
      <w:r w:rsidRPr="000B3B32">
        <w:t xml:space="preserve"> </w:t>
      </w:r>
      <w:proofErr w:type="spellStart"/>
      <w:r w:rsidRPr="000B3B32">
        <w:t>Ceremony</w:t>
      </w:r>
      <w:proofErr w:type="spellEnd"/>
      <w:r w:rsidRPr="000B3B32">
        <w:t xml:space="preserve">. (2023, Nisan 29). Bar/Bat </w:t>
      </w:r>
      <w:proofErr w:type="spellStart"/>
      <w:r w:rsidRPr="000B3B32">
        <w:t>Mitzvah</w:t>
      </w:r>
      <w:proofErr w:type="spellEnd"/>
      <w:r w:rsidRPr="000B3B32">
        <w:t xml:space="preserve"> Rabbi. https://barbatmitzvahrabbi.com/the-significance-of-the-torah-in-a-bar-mitzvah-and-bat-mitzvah-ceremony/</w:t>
      </w:r>
    </w:p>
    <w:p w14:paraId="48391F62" w14:textId="77777777" w:rsidR="00FA457D" w:rsidRPr="000B3B32" w:rsidRDefault="00FA457D">
      <w:pPr>
        <w:pStyle w:val="ListeParagraf"/>
        <w:numPr>
          <w:ilvl w:val="0"/>
          <w:numId w:val="61"/>
        </w:numPr>
        <w:jc w:val="both"/>
      </w:pPr>
      <w:r w:rsidRPr="000B3B32">
        <w:t xml:space="preserve">Tural, M. (2022). </w:t>
      </w:r>
      <w:proofErr w:type="spellStart"/>
      <w:r w:rsidRPr="000B3B32">
        <w:t>Psiko</w:t>
      </w:r>
      <w:proofErr w:type="spellEnd"/>
      <w:r w:rsidRPr="000B3B32">
        <w:t xml:space="preserve">-Fenomenolojik Açıdan </w:t>
      </w:r>
      <w:proofErr w:type="spellStart"/>
      <w:r w:rsidRPr="000B3B32">
        <w:t>Yahudilik’te</w:t>
      </w:r>
      <w:proofErr w:type="spellEnd"/>
      <w:r w:rsidRPr="000B3B32">
        <w:t xml:space="preserve"> Arınma Ritüelleri. Türk Din Psikolojisi Dergisi, 5, </w:t>
      </w:r>
      <w:proofErr w:type="spellStart"/>
      <w:r w:rsidRPr="000B3B32">
        <w:t>Article</w:t>
      </w:r>
      <w:proofErr w:type="spellEnd"/>
      <w:r w:rsidRPr="000B3B32">
        <w:t xml:space="preserve"> 5.</w:t>
      </w:r>
    </w:p>
    <w:p w14:paraId="5275CA61" w14:textId="77777777" w:rsidR="00FA457D" w:rsidRPr="000B3B32" w:rsidRDefault="00FA457D">
      <w:pPr>
        <w:pStyle w:val="ListeParagraf"/>
        <w:numPr>
          <w:ilvl w:val="0"/>
          <w:numId w:val="61"/>
        </w:numPr>
        <w:jc w:val="both"/>
      </w:pPr>
      <w:r w:rsidRPr="000B3B32">
        <w:t xml:space="preserve">Tümer, G., Küçük, A., &amp; Küçük, M. A. (2015). Dinler Tarihi (6. </w:t>
      </w:r>
      <w:proofErr w:type="spellStart"/>
      <w:r w:rsidRPr="000B3B32">
        <w:t>bs</w:t>
      </w:r>
      <w:proofErr w:type="spellEnd"/>
      <w:r w:rsidRPr="000B3B32">
        <w:t>). Berikan Yayınevi.</w:t>
      </w:r>
    </w:p>
    <w:p w14:paraId="0BE1D03F" w14:textId="77777777" w:rsidR="00FA457D" w:rsidRPr="000B3B32" w:rsidRDefault="00FA457D">
      <w:pPr>
        <w:pStyle w:val="ListeParagraf"/>
        <w:numPr>
          <w:ilvl w:val="0"/>
          <w:numId w:val="61"/>
        </w:numPr>
        <w:jc w:val="both"/>
      </w:pPr>
      <w:r w:rsidRPr="000B3B32">
        <w:t>Ünal, A., &amp; Eroğlu, A. H. (</w:t>
      </w:r>
      <w:proofErr w:type="spellStart"/>
      <w:r w:rsidRPr="000B3B32">
        <w:t>ed</w:t>
      </w:r>
      <w:proofErr w:type="spellEnd"/>
      <w:r w:rsidRPr="000B3B32">
        <w:t xml:space="preserve">). (2016). Bat </w:t>
      </w:r>
      <w:proofErr w:type="spellStart"/>
      <w:r w:rsidRPr="000B3B32">
        <w:t>Mitsva</w:t>
      </w:r>
      <w:proofErr w:type="spellEnd"/>
      <w:r w:rsidRPr="000B3B32">
        <w:t xml:space="preserve"> ve Günümüzde Yahudi Kadının Cemaate Katılımı. İçinde Türkiye’de Dinler Tarihinin Kurumsallaşması Sürecinde Prof. </w:t>
      </w:r>
      <w:r w:rsidRPr="000B3B32">
        <w:lastRenderedPageBreak/>
        <w:t>Dr. Abdurrahman Küçük. Berikan Yayınevi.</w:t>
      </w:r>
    </w:p>
    <w:p w14:paraId="70FEAEAA" w14:textId="77777777" w:rsidR="00FA457D" w:rsidRPr="000B3B32" w:rsidRDefault="00FA457D">
      <w:pPr>
        <w:pStyle w:val="ListeParagraf"/>
        <w:numPr>
          <w:ilvl w:val="0"/>
          <w:numId w:val="61"/>
        </w:numPr>
        <w:jc w:val="both"/>
      </w:pPr>
      <w:r w:rsidRPr="000B3B32">
        <w:t xml:space="preserve">Vana, L. (2013). </w:t>
      </w:r>
      <w:proofErr w:type="spellStart"/>
      <w:r w:rsidRPr="000B3B32">
        <w:t>Yahudilik’de</w:t>
      </w:r>
      <w:proofErr w:type="spellEnd"/>
      <w:r w:rsidRPr="000B3B32">
        <w:t xml:space="preserve"> Kadın (</w:t>
      </w:r>
      <w:proofErr w:type="spellStart"/>
      <w:r w:rsidRPr="000B3B32">
        <w:t>Epitropos’luk</w:t>
      </w:r>
      <w:proofErr w:type="spellEnd"/>
      <w:r w:rsidRPr="000B3B32">
        <w:t xml:space="preserve">-Kadın Dua Grupları-Evlenme) (M. Aydın, Çev.; 1. </w:t>
      </w:r>
      <w:proofErr w:type="spellStart"/>
      <w:r w:rsidRPr="000B3B32">
        <w:t>bs</w:t>
      </w:r>
      <w:proofErr w:type="spellEnd"/>
      <w:r w:rsidRPr="000B3B32">
        <w:t>). Nüve Kültür Merkezi.</w:t>
      </w:r>
    </w:p>
    <w:p w14:paraId="757FAF48" w14:textId="77777777" w:rsidR="00FA457D" w:rsidRPr="000B3B32" w:rsidRDefault="00FA457D">
      <w:pPr>
        <w:pStyle w:val="ListeParagraf"/>
        <w:numPr>
          <w:ilvl w:val="0"/>
          <w:numId w:val="61"/>
        </w:numPr>
        <w:jc w:val="both"/>
      </w:pPr>
      <w:proofErr w:type="spellStart"/>
      <w:r w:rsidRPr="000B3B32">
        <w:t>Vaux</w:t>
      </w:r>
      <w:proofErr w:type="spellEnd"/>
      <w:r w:rsidRPr="000B3B32">
        <w:t xml:space="preserve">, R. de. (2003). Yahudilikte Aile (1. </w:t>
      </w:r>
      <w:proofErr w:type="spellStart"/>
      <w:r w:rsidRPr="000B3B32">
        <w:t>bs</w:t>
      </w:r>
      <w:proofErr w:type="spellEnd"/>
      <w:r w:rsidRPr="000B3B32">
        <w:t>). Arasta Yayınları.</w:t>
      </w:r>
    </w:p>
    <w:p w14:paraId="3E74635A" w14:textId="77777777" w:rsidR="00FA457D" w:rsidRPr="000B3B32" w:rsidRDefault="00FA457D">
      <w:pPr>
        <w:pStyle w:val="ListeParagraf"/>
        <w:numPr>
          <w:ilvl w:val="0"/>
          <w:numId w:val="61"/>
        </w:numPr>
        <w:jc w:val="both"/>
      </w:pPr>
      <w:proofErr w:type="spellStart"/>
      <w:r w:rsidRPr="000B3B32">
        <w:t>What</w:t>
      </w:r>
      <w:proofErr w:type="spellEnd"/>
      <w:r w:rsidRPr="000B3B32">
        <w:t xml:space="preserve"> Is </w:t>
      </w:r>
      <w:proofErr w:type="spellStart"/>
      <w:r w:rsidRPr="000B3B32">
        <w:t>Passover</w:t>
      </w:r>
      <w:proofErr w:type="spellEnd"/>
      <w:r w:rsidRPr="000B3B32">
        <w:t xml:space="preserve"> (</w:t>
      </w:r>
      <w:proofErr w:type="spellStart"/>
      <w:r w:rsidRPr="000B3B32">
        <w:t>Pesach</w:t>
      </w:r>
      <w:proofErr w:type="spellEnd"/>
      <w:r w:rsidRPr="000B3B32">
        <w:t xml:space="preserve">)? - </w:t>
      </w:r>
      <w:proofErr w:type="spellStart"/>
      <w:r w:rsidRPr="000B3B32">
        <w:t>Passover</w:t>
      </w:r>
      <w:proofErr w:type="spellEnd"/>
      <w:r w:rsidRPr="000B3B32">
        <w:t>. (</w:t>
      </w:r>
      <w:proofErr w:type="spellStart"/>
      <w:proofErr w:type="gramStart"/>
      <w:r w:rsidRPr="000B3B32">
        <w:t>t.y</w:t>
      </w:r>
      <w:proofErr w:type="spellEnd"/>
      <w:r w:rsidRPr="000B3B32">
        <w:t>.</w:t>
      </w:r>
      <w:proofErr w:type="gramEnd"/>
      <w:r w:rsidRPr="000B3B32">
        <w:t xml:space="preserve">). </w:t>
      </w:r>
      <w:proofErr w:type="spellStart"/>
      <w:r w:rsidRPr="000B3B32">
        <w:t>Chabad</w:t>
      </w:r>
      <w:proofErr w:type="spellEnd"/>
      <w:r w:rsidRPr="000B3B32">
        <w:t>. Geliş tarihi 28 Şubat 2025, gönderen https://www.chabad.org/holidays/passover/pesach_cdo/aid/871715/jewish/What-Is-Passover-Pesach.htm</w:t>
      </w:r>
    </w:p>
    <w:p w14:paraId="121459D3" w14:textId="327AD4F4" w:rsidR="00D37D80" w:rsidRDefault="00FA457D">
      <w:pPr>
        <w:pStyle w:val="ListeParagraf"/>
        <w:numPr>
          <w:ilvl w:val="0"/>
          <w:numId w:val="61"/>
        </w:numPr>
        <w:jc w:val="both"/>
      </w:pPr>
      <w:proofErr w:type="spellStart"/>
      <w:r w:rsidRPr="000B3B32">
        <w:t>Yasdıman</w:t>
      </w:r>
      <w:proofErr w:type="spellEnd"/>
      <w:r w:rsidRPr="000B3B32">
        <w:t xml:space="preserve">, H. Ş. (2002). Yahudilik Üzerine Yazılar (1. </w:t>
      </w:r>
      <w:proofErr w:type="spellStart"/>
      <w:r w:rsidRPr="000B3B32">
        <w:t>bs</w:t>
      </w:r>
      <w:proofErr w:type="spellEnd"/>
      <w:r w:rsidRPr="000B3B32">
        <w:t>). İlkem Ofset.</w:t>
      </w:r>
    </w:p>
    <w:p w14:paraId="3919B146" w14:textId="10923C65" w:rsidR="00E3302B" w:rsidRPr="00D37D80" w:rsidRDefault="00D37D80" w:rsidP="00D37D80">
      <w:pPr>
        <w:autoSpaceDE/>
        <w:autoSpaceDN/>
      </w:pPr>
      <w:r>
        <w:br w:type="page"/>
      </w:r>
    </w:p>
    <w:p w14:paraId="29B29DFA" w14:textId="682EA266" w:rsidR="00E3302B" w:rsidRDefault="00E3302B" w:rsidP="0079785E">
      <w:pPr>
        <w:jc w:val="center"/>
        <w:rPr>
          <w:b/>
        </w:rPr>
      </w:pPr>
      <w:proofErr w:type="spellStart"/>
      <w:r w:rsidRPr="00960502">
        <w:rPr>
          <w:b/>
        </w:rPr>
        <w:lastRenderedPageBreak/>
        <w:t>Timeless</w:t>
      </w:r>
      <w:proofErr w:type="spellEnd"/>
      <w:r w:rsidRPr="00960502">
        <w:rPr>
          <w:b/>
        </w:rPr>
        <w:t xml:space="preserve"> </w:t>
      </w:r>
      <w:proofErr w:type="spellStart"/>
      <w:r w:rsidRPr="00960502">
        <w:rPr>
          <w:b/>
        </w:rPr>
        <w:t>Obsessions</w:t>
      </w:r>
      <w:proofErr w:type="spellEnd"/>
      <w:r w:rsidRPr="00960502">
        <w:rPr>
          <w:b/>
        </w:rPr>
        <w:t xml:space="preserve">: </w:t>
      </w:r>
      <w:proofErr w:type="spellStart"/>
      <w:r w:rsidRPr="00960502">
        <w:rPr>
          <w:b/>
        </w:rPr>
        <w:t>The</w:t>
      </w:r>
      <w:proofErr w:type="spellEnd"/>
      <w:r w:rsidRPr="00960502">
        <w:rPr>
          <w:b/>
        </w:rPr>
        <w:t xml:space="preserve"> </w:t>
      </w:r>
      <w:proofErr w:type="spellStart"/>
      <w:r w:rsidRPr="00960502">
        <w:rPr>
          <w:b/>
        </w:rPr>
        <w:t>Parallels</w:t>
      </w:r>
      <w:proofErr w:type="spellEnd"/>
      <w:r w:rsidRPr="00960502">
        <w:rPr>
          <w:b/>
        </w:rPr>
        <w:t xml:space="preserve"> </w:t>
      </w:r>
      <w:proofErr w:type="spellStart"/>
      <w:r w:rsidR="00D37D80">
        <w:rPr>
          <w:b/>
        </w:rPr>
        <w:t>B</w:t>
      </w:r>
      <w:r w:rsidRPr="00960502">
        <w:rPr>
          <w:b/>
        </w:rPr>
        <w:t>etween</w:t>
      </w:r>
      <w:proofErr w:type="spellEnd"/>
      <w:r w:rsidRPr="00960502">
        <w:rPr>
          <w:b/>
        </w:rPr>
        <w:t xml:space="preserve"> </w:t>
      </w:r>
      <w:proofErr w:type="spellStart"/>
      <w:r w:rsidRPr="00960502">
        <w:rPr>
          <w:b/>
        </w:rPr>
        <w:t>the</w:t>
      </w:r>
      <w:proofErr w:type="spellEnd"/>
      <w:r w:rsidRPr="00960502">
        <w:rPr>
          <w:b/>
        </w:rPr>
        <w:t xml:space="preserve"> Picture of Dorian </w:t>
      </w:r>
      <w:proofErr w:type="spellStart"/>
      <w:r w:rsidRPr="00960502">
        <w:rPr>
          <w:b/>
        </w:rPr>
        <w:t>Gray</w:t>
      </w:r>
      <w:proofErr w:type="spellEnd"/>
      <w:r w:rsidRPr="00960502">
        <w:rPr>
          <w:b/>
        </w:rPr>
        <w:t xml:space="preserve"> </w:t>
      </w:r>
      <w:proofErr w:type="spellStart"/>
      <w:r w:rsidRPr="00960502">
        <w:rPr>
          <w:b/>
        </w:rPr>
        <w:t>and</w:t>
      </w:r>
      <w:proofErr w:type="spellEnd"/>
      <w:r w:rsidRPr="00960502">
        <w:rPr>
          <w:b/>
        </w:rPr>
        <w:t xml:space="preserve"> </w:t>
      </w:r>
      <w:proofErr w:type="spellStart"/>
      <w:r w:rsidR="00D37D80">
        <w:rPr>
          <w:b/>
        </w:rPr>
        <w:t>Th</w:t>
      </w:r>
      <w:r w:rsidRPr="00960502">
        <w:rPr>
          <w:b/>
        </w:rPr>
        <w:t>e</w:t>
      </w:r>
      <w:proofErr w:type="spellEnd"/>
      <w:r w:rsidRPr="00960502">
        <w:rPr>
          <w:b/>
        </w:rPr>
        <w:t xml:space="preserve"> </w:t>
      </w:r>
      <w:proofErr w:type="spellStart"/>
      <w:r w:rsidRPr="00960502">
        <w:rPr>
          <w:b/>
        </w:rPr>
        <w:t>Substance</w:t>
      </w:r>
      <w:proofErr w:type="spellEnd"/>
    </w:p>
    <w:p w14:paraId="7D7B371F" w14:textId="77777777" w:rsidR="0079785E" w:rsidRDefault="0079785E" w:rsidP="0079785E">
      <w:pPr>
        <w:jc w:val="center"/>
        <w:rPr>
          <w:b/>
        </w:rPr>
      </w:pPr>
    </w:p>
    <w:p w14:paraId="4463479A" w14:textId="77777777" w:rsidR="00E3302B" w:rsidRDefault="00E3302B" w:rsidP="0079785E">
      <w:pPr>
        <w:jc w:val="center"/>
      </w:pPr>
      <w:r>
        <w:t>Tuba Arslan</w:t>
      </w:r>
      <w:r>
        <w:br/>
      </w:r>
      <w:proofErr w:type="spellStart"/>
      <w:r>
        <w:t>Ogr.Gor</w:t>
      </w:r>
      <w:proofErr w:type="spellEnd"/>
      <w:r>
        <w:t xml:space="preserve">, Ankara </w:t>
      </w:r>
      <w:proofErr w:type="spellStart"/>
      <w:r>
        <w:t>Yildirim</w:t>
      </w:r>
      <w:proofErr w:type="spellEnd"/>
      <w:r>
        <w:t xml:space="preserve"> </w:t>
      </w:r>
      <w:proofErr w:type="spellStart"/>
      <w:r>
        <w:t>Beyazit</w:t>
      </w:r>
      <w:proofErr w:type="spellEnd"/>
      <w:r>
        <w:t xml:space="preserve"> </w:t>
      </w:r>
      <w:proofErr w:type="spellStart"/>
      <w:r>
        <w:t>Universitesi</w:t>
      </w:r>
      <w:proofErr w:type="spellEnd"/>
      <w:r>
        <w:t xml:space="preserve">, </w:t>
      </w:r>
      <w:proofErr w:type="spellStart"/>
      <w:r>
        <w:t>Yabanci</w:t>
      </w:r>
      <w:proofErr w:type="spellEnd"/>
      <w:r>
        <w:t xml:space="preserve"> Diller </w:t>
      </w:r>
      <w:proofErr w:type="spellStart"/>
      <w:r>
        <w:t>Yuksekokulu</w:t>
      </w:r>
      <w:proofErr w:type="spellEnd"/>
      <w:r>
        <w:br/>
        <w:t>arslanntubaa@hotmail.com</w:t>
      </w:r>
      <w:r>
        <w:br/>
      </w:r>
      <w:r w:rsidRPr="00960502">
        <w:t>0000-0003-0919-1416</w:t>
      </w:r>
    </w:p>
    <w:p w14:paraId="2FBEB93C" w14:textId="77777777" w:rsidR="00E3302B" w:rsidRDefault="00E3302B" w:rsidP="0079785E">
      <w:pPr>
        <w:jc w:val="center"/>
      </w:pPr>
      <w:r>
        <w:t xml:space="preserve">Sadik </w:t>
      </w:r>
      <w:proofErr w:type="spellStart"/>
      <w:r>
        <w:t>Caliskan</w:t>
      </w:r>
      <w:proofErr w:type="spellEnd"/>
      <w:r>
        <w:br/>
      </w:r>
      <w:proofErr w:type="spellStart"/>
      <w:r>
        <w:t>Doc.Dr</w:t>
      </w:r>
      <w:proofErr w:type="spellEnd"/>
      <w:r>
        <w:t xml:space="preserve">. </w:t>
      </w:r>
      <w:proofErr w:type="spellStart"/>
      <w:r>
        <w:t>Inonu</w:t>
      </w:r>
      <w:proofErr w:type="spellEnd"/>
      <w:r>
        <w:t xml:space="preserve"> </w:t>
      </w:r>
      <w:proofErr w:type="spellStart"/>
      <w:proofErr w:type="gramStart"/>
      <w:r>
        <w:t>Universitesi</w:t>
      </w:r>
      <w:proofErr w:type="spellEnd"/>
      <w:r>
        <w:t xml:space="preserve"> ,</w:t>
      </w:r>
      <w:proofErr w:type="spellStart"/>
      <w:r>
        <w:t>Iletisim</w:t>
      </w:r>
      <w:proofErr w:type="spellEnd"/>
      <w:proofErr w:type="gramEnd"/>
      <w:r>
        <w:t xml:space="preserve"> </w:t>
      </w:r>
      <w:proofErr w:type="spellStart"/>
      <w:r>
        <w:t>Fakultesi</w:t>
      </w:r>
      <w:proofErr w:type="spellEnd"/>
      <w:r>
        <w:br/>
      </w:r>
      <w:hyperlink r:id="rId357" w:history="1">
        <w:r w:rsidRPr="003D3095">
          <w:rPr>
            <w:rStyle w:val="Kpr"/>
            <w:rFonts w:eastAsiaTheme="majorEastAsia"/>
          </w:rPr>
          <w:t>sadik.caliskan@inonu.edu.tr</w:t>
        </w:r>
      </w:hyperlink>
      <w:r>
        <w:t xml:space="preserve"> </w:t>
      </w:r>
    </w:p>
    <w:p w14:paraId="3B039F58" w14:textId="7AFEA2DC" w:rsidR="00D37D80" w:rsidRDefault="00E3302B" w:rsidP="0079785E">
      <w:pPr>
        <w:jc w:val="center"/>
      </w:pPr>
      <w:r>
        <w:t>0000-0001-6699-0424</w:t>
      </w:r>
    </w:p>
    <w:p w14:paraId="01CE61E5" w14:textId="77777777" w:rsidR="0079785E" w:rsidRDefault="0079785E" w:rsidP="0079785E">
      <w:pPr>
        <w:jc w:val="center"/>
      </w:pPr>
    </w:p>
    <w:p w14:paraId="019D830A" w14:textId="77777777" w:rsidR="00E3302B" w:rsidRPr="00960502" w:rsidRDefault="00E3302B" w:rsidP="0079785E">
      <w:pPr>
        <w:jc w:val="center"/>
        <w:rPr>
          <w:b/>
        </w:rPr>
      </w:pPr>
      <w:proofErr w:type="spellStart"/>
      <w:r w:rsidRPr="00960502">
        <w:rPr>
          <w:b/>
        </w:rPr>
        <w:t>Abstract</w:t>
      </w:r>
      <w:proofErr w:type="spellEnd"/>
    </w:p>
    <w:p w14:paraId="74A44006" w14:textId="1D3DB183" w:rsidR="00E3302B" w:rsidRDefault="00E3302B" w:rsidP="0079785E">
      <w:pPr>
        <w:pStyle w:val="NormalWeb"/>
        <w:spacing w:before="0" w:beforeAutospacing="0" w:after="0" w:afterAutospacing="0"/>
        <w:jc w:val="both"/>
        <w:rPr>
          <w:shd w:val="clear" w:color="auto" w:fill="FFFFFF"/>
        </w:rPr>
      </w:pPr>
      <w:r w:rsidRPr="00EF5DAD">
        <w:rPr>
          <w:shd w:val="clear" w:color="auto" w:fill="FFFFFF"/>
        </w:rPr>
        <w:t xml:space="preserve">This work investigates the captivating connections between Oscar Wilde’s famous gothic horror novel </w:t>
      </w:r>
      <w:r w:rsidRPr="00666505">
        <w:rPr>
          <w:i/>
          <w:shd w:val="clear" w:color="auto" w:fill="FFFFFF"/>
        </w:rPr>
        <w:t>The Picture of Dorian Gray</w:t>
      </w:r>
      <w:r w:rsidRPr="00EF5DAD">
        <w:rPr>
          <w:shd w:val="clear" w:color="auto" w:fill="FFFFFF"/>
        </w:rPr>
        <w:t xml:space="preserve"> and </w:t>
      </w:r>
      <w:r w:rsidRPr="00666505">
        <w:rPr>
          <w:i/>
          <w:shd w:val="clear" w:color="auto" w:fill="FFFFFF"/>
        </w:rPr>
        <w:t>The Substance</w:t>
      </w:r>
      <w:r w:rsidRPr="00EF5DAD">
        <w:rPr>
          <w:shd w:val="clear" w:color="auto" w:fill="FFFFFF"/>
        </w:rPr>
        <w:t xml:space="preserve"> (1890), a body horror film written and directed by Coralie </w:t>
      </w:r>
      <w:proofErr w:type="spellStart"/>
      <w:r w:rsidRPr="00EF5DAD">
        <w:rPr>
          <w:shd w:val="clear" w:color="auto" w:fill="FFFFFF"/>
        </w:rPr>
        <w:t>Fargeat</w:t>
      </w:r>
      <w:proofErr w:type="spellEnd"/>
      <w:r w:rsidRPr="00EF5DAD">
        <w:rPr>
          <w:shd w:val="clear" w:color="auto" w:fill="FFFFFF"/>
        </w:rPr>
        <w:t xml:space="preserve"> and released in 2024. Although the two works originate from different types of mediums and periods, they both reflect the </w:t>
      </w:r>
      <w:proofErr w:type="gramStart"/>
      <w:r w:rsidRPr="00EF5DAD">
        <w:rPr>
          <w:shd w:val="clear" w:color="auto" w:fill="FFFFFF"/>
        </w:rPr>
        <w:t>damages</w:t>
      </w:r>
      <w:proofErr w:type="gramEnd"/>
      <w:r w:rsidRPr="00EF5DAD">
        <w:rPr>
          <w:shd w:val="clear" w:color="auto" w:fill="FFFFFF"/>
        </w:rPr>
        <w:t xml:space="preserve"> caused by the obsession with everlasting youth and beauty, the universal destructiveness of the pursuit of ideal beauty, and the consequences of these standards. </w:t>
      </w:r>
      <w:r w:rsidRPr="00666505">
        <w:rPr>
          <w:i/>
          <w:shd w:val="clear" w:color="auto" w:fill="FFFFFF"/>
        </w:rPr>
        <w:t>The Substance</w:t>
      </w:r>
      <w:r w:rsidRPr="00EF5DAD">
        <w:rPr>
          <w:shd w:val="clear" w:color="auto" w:fill="FFFFFF"/>
        </w:rPr>
        <w:t xml:space="preserve"> </w:t>
      </w:r>
      <w:r>
        <w:rPr>
          <w:shd w:val="clear" w:color="auto" w:fill="FFFFFF"/>
        </w:rPr>
        <w:t xml:space="preserve">parallels the earlier work </w:t>
      </w:r>
      <w:r w:rsidRPr="00EF5DAD">
        <w:rPr>
          <w:shd w:val="clear" w:color="auto" w:fill="FFFFFF"/>
        </w:rPr>
        <w:t xml:space="preserve">but gives it a 21st-century feminist twist. </w:t>
      </w:r>
      <w:r w:rsidRPr="00666505">
        <w:rPr>
          <w:i/>
          <w:shd w:val="clear" w:color="auto" w:fill="FFFFFF"/>
        </w:rPr>
        <w:t>The Picture of Dorian Gray</w:t>
      </w:r>
      <w:r w:rsidRPr="00EF5DAD">
        <w:rPr>
          <w:shd w:val="clear" w:color="auto" w:fill="FFFFFF"/>
        </w:rPr>
        <w:t>, on the other hand, deals with the excesses of Victorian vanity, writing on beauty and morality.</w:t>
      </w:r>
      <w:r w:rsidR="0079785E">
        <w:rPr>
          <w:shd w:val="clear" w:color="auto" w:fill="FFFFFF"/>
        </w:rPr>
        <w:t xml:space="preserve"> </w:t>
      </w:r>
      <w:r w:rsidRPr="00C824A0">
        <w:rPr>
          <w:i/>
          <w:shd w:val="clear" w:color="auto" w:fill="FFFFFF"/>
        </w:rPr>
        <w:t>The Picture of Dorian</w:t>
      </w:r>
      <w:r w:rsidRPr="00EF5DAD">
        <w:rPr>
          <w:shd w:val="clear" w:color="auto" w:fill="FFFFFF"/>
        </w:rPr>
        <w:t xml:space="preserve"> Gray comments on the loss of inner depth and the decline of morals when the focus is on external beauty. Using elements of horror and tragedy, the two tales question the societal fixation with the perfection of physical beauty and youth. They both study the duality of self, the pitfalls of external verifications of self, and the deteriorating effect of self-absorption</w:t>
      </w:r>
      <w:proofErr w:type="gramStart"/>
      <w:r w:rsidRPr="00EF5DAD">
        <w:rPr>
          <w:shd w:val="clear" w:color="auto" w:fill="FFFFFF"/>
        </w:rPr>
        <w:t xml:space="preserve"> While</w:t>
      </w:r>
      <w:proofErr w:type="gramEnd"/>
      <w:r w:rsidRPr="00EF5DAD">
        <w:rPr>
          <w:shd w:val="clear" w:color="auto" w:fill="FFFFFF"/>
        </w:rPr>
        <w:t xml:space="preserve"> </w:t>
      </w:r>
      <w:proofErr w:type="gramStart"/>
      <w:r w:rsidRPr="00C824A0">
        <w:rPr>
          <w:i/>
          <w:shd w:val="clear" w:color="auto" w:fill="FFFFFF"/>
        </w:rPr>
        <w:t>The</w:t>
      </w:r>
      <w:proofErr w:type="gramEnd"/>
      <w:r w:rsidRPr="00C824A0">
        <w:rPr>
          <w:i/>
          <w:shd w:val="clear" w:color="auto" w:fill="FFFFFF"/>
        </w:rPr>
        <w:t xml:space="preserve"> Substance</w:t>
      </w:r>
      <w:r w:rsidRPr="00EF5DAD">
        <w:rPr>
          <w:shd w:val="clear" w:color="auto" w:fill="FFFFFF"/>
        </w:rPr>
        <w:t xml:space="preserve"> focuses on the pressure of modern beautification and entertainment, </w:t>
      </w:r>
      <w:r w:rsidRPr="00C824A0">
        <w:rPr>
          <w:i/>
          <w:shd w:val="clear" w:color="auto" w:fill="FFFFFF"/>
        </w:rPr>
        <w:t xml:space="preserve">The Picture of Dorian Gray </w:t>
      </w:r>
      <w:r w:rsidRPr="00C824A0">
        <w:rPr>
          <w:shd w:val="clear" w:color="auto" w:fill="FFFFFF"/>
        </w:rPr>
        <w:t xml:space="preserve">offers </w:t>
      </w:r>
      <w:r w:rsidRPr="00EF5DAD">
        <w:rPr>
          <w:shd w:val="clear" w:color="auto" w:fill="FFFFFF"/>
        </w:rPr>
        <w:t xml:space="preserve">an ageless analysis of morals and identity judgments’, along with social conventions critics as shallow and corrupting. </w:t>
      </w:r>
      <w:r w:rsidRPr="00C824A0">
        <w:rPr>
          <w:shd w:val="clear" w:color="auto" w:fill="FFFFFF"/>
        </w:rPr>
        <w:t xml:space="preserve">This study employs a comparative textual and cinematic analysis to explore the thematic connections between </w:t>
      </w:r>
      <w:r w:rsidRPr="00C824A0">
        <w:rPr>
          <w:i/>
          <w:shd w:val="clear" w:color="auto" w:fill="FFFFFF"/>
        </w:rPr>
        <w:t>The Picture of Dorian Gray</w:t>
      </w:r>
      <w:r w:rsidRPr="00C824A0">
        <w:rPr>
          <w:shd w:val="clear" w:color="auto" w:fill="FFFFFF"/>
        </w:rPr>
        <w:t xml:space="preserve"> and </w:t>
      </w:r>
      <w:r w:rsidRPr="00C824A0">
        <w:rPr>
          <w:i/>
          <w:shd w:val="clear" w:color="auto" w:fill="FFFFFF"/>
        </w:rPr>
        <w:t>The Substance</w:t>
      </w:r>
      <w:r w:rsidRPr="00C824A0">
        <w:rPr>
          <w:shd w:val="clear" w:color="auto" w:fill="FFFFFF"/>
        </w:rPr>
        <w:t xml:space="preserve">. Key scenes from the film are juxtaposed with corresponding moments in the novel to uncover shared motifs of beauty, self-destruction, and societal critique. By closely analyzing the dialogue, visual symbolism, and narrative structures of </w:t>
      </w:r>
      <w:r w:rsidRPr="00C824A0">
        <w:rPr>
          <w:i/>
          <w:shd w:val="clear" w:color="auto" w:fill="FFFFFF"/>
        </w:rPr>
        <w:t>The Substance</w:t>
      </w:r>
      <w:r w:rsidRPr="00C824A0">
        <w:rPr>
          <w:shd w:val="clear" w:color="auto" w:fill="FFFFFF"/>
        </w:rPr>
        <w:t>, as well as Wilde’s character development and prose, this method highlights the transformation of the original themes into a feminist, 21st-century context.</w:t>
      </w:r>
      <w:r w:rsidR="0079785E">
        <w:rPr>
          <w:shd w:val="clear" w:color="auto" w:fill="FFFFFF"/>
        </w:rPr>
        <w:t xml:space="preserve"> </w:t>
      </w:r>
      <w:r w:rsidRPr="00EF5DAD">
        <w:rPr>
          <w:shd w:val="clear" w:color="auto" w:fill="FFFFFF"/>
        </w:rPr>
        <w:t xml:space="preserve">This comparative study of these two works reflects their critique of societal norms and hence puts to light that these themes, though different times and mediums, still stand relevant. The given comparison provides </w:t>
      </w:r>
      <w:proofErr w:type="gramStart"/>
      <w:r w:rsidRPr="00EF5DAD">
        <w:rPr>
          <w:shd w:val="clear" w:color="auto" w:fill="FFFFFF"/>
        </w:rPr>
        <w:t>a very unique</w:t>
      </w:r>
      <w:proofErr w:type="gramEnd"/>
      <w:r w:rsidRPr="00EF5DAD">
        <w:rPr>
          <w:shd w:val="clear" w:color="auto" w:fill="FFFFFF"/>
        </w:rPr>
        <w:t xml:space="preserve"> perspective on the enduring impact of societal ideals on individual identity and mental well-being.</w:t>
      </w:r>
    </w:p>
    <w:p w14:paraId="5762FFFA" w14:textId="77777777" w:rsidR="0079785E" w:rsidRDefault="0079785E" w:rsidP="0079785E">
      <w:pPr>
        <w:pStyle w:val="NormalWeb"/>
        <w:spacing w:before="0" w:beforeAutospacing="0" w:after="0" w:afterAutospacing="0"/>
        <w:jc w:val="both"/>
        <w:rPr>
          <w:shd w:val="clear" w:color="auto" w:fill="FFFFFF"/>
        </w:rPr>
      </w:pPr>
    </w:p>
    <w:p w14:paraId="795D218F" w14:textId="02E543DD" w:rsidR="00E3302B" w:rsidRDefault="00E3302B" w:rsidP="0079785E">
      <w:pPr>
        <w:pStyle w:val="NormalWeb"/>
        <w:spacing w:before="0" w:beforeAutospacing="0" w:after="0" w:afterAutospacing="0"/>
        <w:jc w:val="both"/>
        <w:rPr>
          <w:shd w:val="clear" w:color="auto" w:fill="FFFFFF"/>
        </w:rPr>
      </w:pPr>
      <w:r w:rsidRPr="00EF5DAD">
        <w:rPr>
          <w:rStyle w:val="editortnoteditedwurp8"/>
          <w:rFonts w:eastAsiaTheme="majorEastAsia"/>
          <w:b/>
          <w:spacing w:val="2"/>
          <w:shd w:val="clear" w:color="auto" w:fill="FFFFFF"/>
        </w:rPr>
        <w:t>Key</w:t>
      </w:r>
      <w:r w:rsidR="00D37D80">
        <w:rPr>
          <w:rStyle w:val="editortnoteditedwurp8"/>
          <w:rFonts w:eastAsiaTheme="majorEastAsia"/>
          <w:b/>
          <w:spacing w:val="2"/>
          <w:shd w:val="clear" w:color="auto" w:fill="FFFFFF"/>
        </w:rPr>
        <w:t>w</w:t>
      </w:r>
      <w:r w:rsidRPr="00EF5DAD">
        <w:rPr>
          <w:rStyle w:val="editortnoteditedwurp8"/>
          <w:rFonts w:eastAsiaTheme="majorEastAsia"/>
          <w:b/>
          <w:spacing w:val="2"/>
          <w:shd w:val="clear" w:color="auto" w:fill="FFFFFF"/>
        </w:rPr>
        <w:t>ords</w:t>
      </w:r>
      <w:r>
        <w:rPr>
          <w:rStyle w:val="editortnoteditedwurp8"/>
          <w:rFonts w:eastAsiaTheme="majorEastAsia"/>
          <w:spacing w:val="2"/>
          <w:shd w:val="clear" w:color="auto" w:fill="FFFFFF"/>
        </w:rPr>
        <w:t>:</w:t>
      </w:r>
      <w:r>
        <w:rPr>
          <w:i/>
          <w:shd w:val="clear" w:color="auto" w:fill="FFFFFF"/>
        </w:rPr>
        <w:t xml:space="preserve"> </w:t>
      </w:r>
      <w:r w:rsidRPr="00256AF6">
        <w:rPr>
          <w:shd w:val="clear" w:color="auto" w:fill="FFFFFF"/>
        </w:rPr>
        <w:t>external beauty, obsession</w:t>
      </w:r>
      <w:r>
        <w:rPr>
          <w:shd w:val="clear" w:color="auto" w:fill="FFFFFF"/>
        </w:rPr>
        <w:t>, everlasting youth, duality of self, self-destruction</w:t>
      </w:r>
    </w:p>
    <w:p w14:paraId="6BA30586" w14:textId="77777777" w:rsidR="0079785E" w:rsidRPr="0079785E" w:rsidRDefault="0079785E" w:rsidP="0079785E">
      <w:pPr>
        <w:pStyle w:val="NormalWeb"/>
        <w:spacing w:before="0" w:beforeAutospacing="0" w:after="0" w:afterAutospacing="0"/>
        <w:jc w:val="both"/>
        <w:rPr>
          <w:rStyle w:val="selectable-text"/>
          <w:spacing w:val="2"/>
          <w:shd w:val="clear" w:color="auto" w:fill="FFFFFF"/>
        </w:rPr>
      </w:pPr>
    </w:p>
    <w:p w14:paraId="04DD66CF" w14:textId="77777777" w:rsidR="00E3302B" w:rsidRDefault="00E3302B" w:rsidP="0079785E">
      <w:pPr>
        <w:jc w:val="both"/>
        <w:rPr>
          <w:rStyle w:val="selectable-text"/>
          <w:rFonts w:eastAsiaTheme="majorEastAsia"/>
          <w:b/>
        </w:rPr>
      </w:pPr>
      <w:r w:rsidRPr="00FA72CD">
        <w:rPr>
          <w:rStyle w:val="selectable-text"/>
          <w:rFonts w:eastAsiaTheme="majorEastAsia"/>
          <w:b/>
        </w:rPr>
        <w:t>Background:</w:t>
      </w:r>
    </w:p>
    <w:p w14:paraId="3CBDD06B" w14:textId="77777777" w:rsidR="00E3302B" w:rsidRDefault="00E3302B" w:rsidP="0079785E">
      <w:pPr>
        <w:jc w:val="both"/>
        <w:rPr>
          <w:rStyle w:val="selectable-text"/>
          <w:rFonts w:eastAsiaTheme="majorEastAsia"/>
        </w:rPr>
      </w:pPr>
      <w:proofErr w:type="spellStart"/>
      <w:r w:rsidRPr="00FA72CD">
        <w:rPr>
          <w:rStyle w:val="selectable-text"/>
          <w:rFonts w:eastAsiaTheme="majorEastAsia"/>
          <w:i/>
        </w:rPr>
        <w:t>The</w:t>
      </w:r>
      <w:proofErr w:type="spellEnd"/>
      <w:r w:rsidRPr="00FA72CD">
        <w:rPr>
          <w:rStyle w:val="selectable-text"/>
          <w:rFonts w:eastAsiaTheme="majorEastAsia"/>
          <w:i/>
        </w:rPr>
        <w:t xml:space="preserve"> Picture of Dorian </w:t>
      </w:r>
      <w:proofErr w:type="spellStart"/>
      <w:r w:rsidRPr="00FA72CD">
        <w:rPr>
          <w:rStyle w:val="selectable-text"/>
          <w:rFonts w:eastAsiaTheme="majorEastAsia"/>
          <w:i/>
        </w:rPr>
        <w:t>Gray</w:t>
      </w:r>
      <w:proofErr w:type="spellEnd"/>
      <w:r w:rsidRPr="00FA72CD">
        <w:rPr>
          <w:rStyle w:val="selectable-text"/>
          <w:rFonts w:eastAsiaTheme="majorEastAsia"/>
        </w:rPr>
        <w:t xml:space="preserve"> </w:t>
      </w:r>
      <w:r>
        <w:rPr>
          <w:rStyle w:val="selectable-text"/>
          <w:rFonts w:eastAsiaTheme="majorEastAsia"/>
        </w:rPr>
        <w:t xml:space="preserve">(1890) </w:t>
      </w:r>
      <w:r w:rsidRPr="00FA72CD">
        <w:rPr>
          <w:rStyle w:val="selectable-text"/>
          <w:rFonts w:eastAsiaTheme="majorEastAsia"/>
        </w:rPr>
        <w:t xml:space="preserve">is a </w:t>
      </w:r>
      <w:proofErr w:type="spellStart"/>
      <w:r w:rsidRPr="00FA72CD">
        <w:rPr>
          <w:rStyle w:val="selectable-text"/>
          <w:rFonts w:eastAsiaTheme="majorEastAsia"/>
        </w:rPr>
        <w:t>gothic</w:t>
      </w:r>
      <w:proofErr w:type="spellEnd"/>
      <w:r w:rsidRPr="00FA72CD">
        <w:rPr>
          <w:rStyle w:val="selectable-text"/>
          <w:rFonts w:eastAsiaTheme="majorEastAsia"/>
        </w:rPr>
        <w:t xml:space="preserve"> </w:t>
      </w:r>
      <w:proofErr w:type="spellStart"/>
      <w:r w:rsidRPr="00FA72CD">
        <w:rPr>
          <w:rStyle w:val="selectable-text"/>
          <w:rFonts w:eastAsiaTheme="majorEastAsia"/>
        </w:rPr>
        <w:t>novel</w:t>
      </w:r>
      <w:proofErr w:type="spellEnd"/>
      <w:r w:rsidRPr="00FA72CD">
        <w:rPr>
          <w:rStyle w:val="selectable-text"/>
          <w:rFonts w:eastAsiaTheme="majorEastAsia"/>
        </w:rPr>
        <w:t xml:space="preserve"> </w:t>
      </w:r>
      <w:proofErr w:type="spellStart"/>
      <w:r w:rsidRPr="00FA72CD">
        <w:rPr>
          <w:rStyle w:val="selectable-text"/>
          <w:rFonts w:eastAsiaTheme="majorEastAsia"/>
        </w:rPr>
        <w:t>by</w:t>
      </w:r>
      <w:proofErr w:type="spellEnd"/>
      <w:r w:rsidRPr="00FA72CD">
        <w:rPr>
          <w:rStyle w:val="selectable-text"/>
          <w:rFonts w:eastAsiaTheme="majorEastAsia"/>
        </w:rPr>
        <w:t xml:space="preserve"> Oscar Wilde, </w:t>
      </w:r>
      <w:proofErr w:type="spellStart"/>
      <w:r w:rsidRPr="00FA72CD">
        <w:rPr>
          <w:rStyle w:val="selectable-text"/>
          <w:rFonts w:eastAsiaTheme="majorEastAsia"/>
        </w:rPr>
        <w:t>regarded</w:t>
      </w:r>
      <w:proofErr w:type="spellEnd"/>
      <w:r w:rsidRPr="00FA72CD">
        <w:rPr>
          <w:rStyle w:val="selectable-text"/>
          <w:rFonts w:eastAsiaTheme="majorEastAsia"/>
        </w:rPr>
        <w:t xml:space="preserve"> as </w:t>
      </w:r>
      <w:proofErr w:type="spellStart"/>
      <w:r w:rsidRPr="00FA72CD">
        <w:rPr>
          <w:rStyle w:val="selectable-text"/>
          <w:rFonts w:eastAsiaTheme="majorEastAsia"/>
        </w:rPr>
        <w:t>one</w:t>
      </w:r>
      <w:proofErr w:type="spellEnd"/>
      <w:r w:rsidRPr="00FA72CD">
        <w:rPr>
          <w:rStyle w:val="selectable-text"/>
          <w:rFonts w:eastAsiaTheme="majorEastAsia"/>
        </w:rPr>
        <w:t xml:space="preserve"> of </w:t>
      </w:r>
      <w:proofErr w:type="spellStart"/>
      <w:r w:rsidRPr="00FA72CD">
        <w:rPr>
          <w:rStyle w:val="selectable-text"/>
          <w:rFonts w:eastAsiaTheme="majorEastAsia"/>
        </w:rPr>
        <w:t>the</w:t>
      </w:r>
      <w:proofErr w:type="spellEnd"/>
      <w:r w:rsidRPr="00FA72CD">
        <w:rPr>
          <w:rStyle w:val="selectable-text"/>
          <w:rFonts w:eastAsiaTheme="majorEastAsia"/>
        </w:rPr>
        <w:t xml:space="preserve"> </w:t>
      </w:r>
      <w:proofErr w:type="spellStart"/>
      <w:r w:rsidRPr="00FA72CD">
        <w:rPr>
          <w:rStyle w:val="selectable-text"/>
          <w:rFonts w:eastAsiaTheme="majorEastAsia"/>
        </w:rPr>
        <w:t>most</w:t>
      </w:r>
      <w:proofErr w:type="spellEnd"/>
      <w:r w:rsidRPr="00FA72CD">
        <w:rPr>
          <w:rStyle w:val="selectable-text"/>
          <w:rFonts w:eastAsiaTheme="majorEastAsia"/>
        </w:rPr>
        <w:t xml:space="preserve"> </w:t>
      </w:r>
      <w:proofErr w:type="spellStart"/>
      <w:r w:rsidRPr="00FA72CD">
        <w:rPr>
          <w:rStyle w:val="selectable-text"/>
          <w:rFonts w:eastAsiaTheme="majorEastAsia"/>
        </w:rPr>
        <w:t>significant</w:t>
      </w:r>
      <w:proofErr w:type="spellEnd"/>
      <w:r w:rsidRPr="00FA72CD">
        <w:rPr>
          <w:rStyle w:val="selectable-text"/>
          <w:rFonts w:eastAsiaTheme="majorEastAsia"/>
        </w:rPr>
        <w:t xml:space="preserve">, </w:t>
      </w:r>
      <w:proofErr w:type="spellStart"/>
      <w:r w:rsidRPr="00FA72CD">
        <w:rPr>
          <w:rStyle w:val="selectable-text"/>
          <w:rFonts w:eastAsiaTheme="majorEastAsia"/>
        </w:rPr>
        <w:t>foremost</w:t>
      </w:r>
      <w:proofErr w:type="spellEnd"/>
      <w:r w:rsidRPr="00FA72CD">
        <w:rPr>
          <w:rStyle w:val="selectable-text"/>
          <w:rFonts w:eastAsiaTheme="majorEastAsia"/>
        </w:rPr>
        <w:t xml:space="preserve"> </w:t>
      </w:r>
      <w:proofErr w:type="spellStart"/>
      <w:r w:rsidRPr="00FA72CD">
        <w:rPr>
          <w:rStyle w:val="selectable-text"/>
          <w:rFonts w:eastAsiaTheme="majorEastAsia"/>
        </w:rPr>
        <w:t>works</w:t>
      </w:r>
      <w:proofErr w:type="spellEnd"/>
      <w:r w:rsidRPr="00FA72CD">
        <w:rPr>
          <w:rStyle w:val="selectable-text"/>
          <w:rFonts w:eastAsiaTheme="majorEastAsia"/>
        </w:rPr>
        <w:t xml:space="preserve"> of </w:t>
      </w:r>
      <w:proofErr w:type="spellStart"/>
      <w:r w:rsidRPr="00FA72CD">
        <w:rPr>
          <w:rStyle w:val="selectable-text"/>
          <w:rFonts w:eastAsiaTheme="majorEastAsia"/>
        </w:rPr>
        <w:t>the</w:t>
      </w:r>
      <w:proofErr w:type="spellEnd"/>
      <w:r w:rsidRPr="00FA72CD">
        <w:rPr>
          <w:rStyle w:val="selectable-text"/>
          <w:rFonts w:eastAsiaTheme="majorEastAsia"/>
        </w:rPr>
        <w:t xml:space="preserve"> </w:t>
      </w:r>
      <w:proofErr w:type="spellStart"/>
      <w:r w:rsidRPr="00FA72CD">
        <w:rPr>
          <w:rStyle w:val="selectable-text"/>
          <w:rFonts w:eastAsiaTheme="majorEastAsia"/>
        </w:rPr>
        <w:t>field</w:t>
      </w:r>
      <w:proofErr w:type="spellEnd"/>
      <w:r w:rsidRPr="00FA72CD">
        <w:rPr>
          <w:rStyle w:val="selectable-text"/>
          <w:rFonts w:eastAsiaTheme="majorEastAsia"/>
        </w:rPr>
        <w:t xml:space="preserve">. </w:t>
      </w:r>
      <w:r>
        <w:rPr>
          <w:rStyle w:val="selectable-text"/>
          <w:rFonts w:eastAsiaTheme="majorEastAsia"/>
        </w:rPr>
        <w:t xml:space="preserve">Through </w:t>
      </w:r>
      <w:proofErr w:type="spellStart"/>
      <w:r>
        <w:rPr>
          <w:rStyle w:val="selectable-text"/>
          <w:rFonts w:eastAsiaTheme="majorEastAsia"/>
        </w:rPr>
        <w:t>the</w:t>
      </w:r>
      <w:proofErr w:type="spellEnd"/>
      <w:r>
        <w:rPr>
          <w:rStyle w:val="selectable-text"/>
          <w:rFonts w:eastAsiaTheme="majorEastAsia"/>
        </w:rPr>
        <w:t xml:space="preserve"> protagonist Dorian </w:t>
      </w:r>
      <w:proofErr w:type="spellStart"/>
      <w:r>
        <w:rPr>
          <w:rStyle w:val="selectable-text"/>
          <w:rFonts w:eastAsiaTheme="majorEastAsia"/>
        </w:rPr>
        <w:t>Gray</w:t>
      </w:r>
      <w:proofErr w:type="spellEnd"/>
      <w:r>
        <w:rPr>
          <w:rStyle w:val="selectable-text"/>
          <w:rFonts w:eastAsiaTheme="majorEastAsia"/>
        </w:rPr>
        <w:t xml:space="preserve">, </w:t>
      </w:r>
      <w:proofErr w:type="spellStart"/>
      <w:r>
        <w:rPr>
          <w:rStyle w:val="selectable-text"/>
          <w:rFonts w:eastAsiaTheme="majorEastAsia"/>
        </w:rPr>
        <w:t>Wilde`s</w:t>
      </w:r>
      <w:proofErr w:type="spellEnd"/>
      <w:r>
        <w:rPr>
          <w:rStyle w:val="selectable-text"/>
          <w:rFonts w:eastAsiaTheme="majorEastAsia"/>
        </w:rPr>
        <w:t xml:space="preserve"> </w:t>
      </w:r>
      <w:proofErr w:type="spellStart"/>
      <w:r>
        <w:rPr>
          <w:rStyle w:val="selectable-text"/>
          <w:rFonts w:eastAsiaTheme="majorEastAsia"/>
        </w:rPr>
        <w:t>only</w:t>
      </w:r>
      <w:proofErr w:type="spellEnd"/>
      <w:r>
        <w:rPr>
          <w:rStyle w:val="selectable-text"/>
          <w:rFonts w:eastAsiaTheme="majorEastAsia"/>
        </w:rPr>
        <w:t xml:space="preserve"> </w:t>
      </w:r>
      <w:proofErr w:type="spellStart"/>
      <w:r>
        <w:rPr>
          <w:rStyle w:val="selectable-text"/>
          <w:rFonts w:eastAsiaTheme="majorEastAsia"/>
        </w:rPr>
        <w:t>novel</w:t>
      </w:r>
      <w:proofErr w:type="spellEnd"/>
      <w:r>
        <w:rPr>
          <w:rStyle w:val="selectable-text"/>
          <w:rFonts w:eastAsiaTheme="majorEastAsia"/>
        </w:rPr>
        <w:t xml:space="preserve">, </w:t>
      </w:r>
      <w:proofErr w:type="spellStart"/>
      <w:r>
        <w:rPr>
          <w:rStyle w:val="selectable-text"/>
          <w:rFonts w:eastAsiaTheme="majorEastAsia"/>
        </w:rPr>
        <w:t>includes</w:t>
      </w:r>
      <w:proofErr w:type="spellEnd"/>
      <w:r>
        <w:rPr>
          <w:rStyle w:val="selectable-text"/>
          <w:rFonts w:eastAsiaTheme="majorEastAsia"/>
        </w:rPr>
        <w:t xml:space="preserve"> </w:t>
      </w:r>
      <w:proofErr w:type="spellStart"/>
      <w:r>
        <w:rPr>
          <w:rStyle w:val="selectable-text"/>
          <w:rFonts w:eastAsiaTheme="majorEastAsia"/>
        </w:rPr>
        <w:t>themes</w:t>
      </w:r>
      <w:proofErr w:type="spellEnd"/>
      <w:r>
        <w:rPr>
          <w:rStyle w:val="selectable-text"/>
          <w:rFonts w:eastAsiaTheme="majorEastAsia"/>
        </w:rPr>
        <w:t xml:space="preserve"> of </w:t>
      </w:r>
      <w:proofErr w:type="spellStart"/>
      <w:r>
        <w:rPr>
          <w:rStyle w:val="selectable-text"/>
          <w:rFonts w:eastAsiaTheme="majorEastAsia"/>
        </w:rPr>
        <w:t>aestheticism</w:t>
      </w:r>
      <w:proofErr w:type="spellEnd"/>
      <w:r>
        <w:rPr>
          <w:rStyle w:val="selectable-text"/>
          <w:rFonts w:eastAsiaTheme="majorEastAsia"/>
        </w:rPr>
        <w:t>, self –</w:t>
      </w:r>
      <w:proofErr w:type="spellStart"/>
      <w:r>
        <w:rPr>
          <w:rStyle w:val="selectable-text"/>
          <w:rFonts w:eastAsiaTheme="majorEastAsia"/>
        </w:rPr>
        <w:t>destruction</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morality</w:t>
      </w:r>
      <w:proofErr w:type="spellEnd"/>
      <w:r>
        <w:rPr>
          <w:rStyle w:val="selectable-text"/>
          <w:rFonts w:eastAsiaTheme="majorEastAsia"/>
        </w:rPr>
        <w:t xml:space="preserve">. Dorian </w:t>
      </w:r>
      <w:proofErr w:type="spellStart"/>
      <w:r>
        <w:rPr>
          <w:rStyle w:val="selectable-text"/>
          <w:rFonts w:eastAsiaTheme="majorEastAsia"/>
        </w:rPr>
        <w:t>Gray</w:t>
      </w:r>
      <w:proofErr w:type="spellEnd"/>
      <w:r>
        <w:rPr>
          <w:rStyle w:val="selectable-text"/>
          <w:rFonts w:eastAsiaTheme="majorEastAsia"/>
        </w:rPr>
        <w:t xml:space="preserve"> is a </w:t>
      </w:r>
      <w:proofErr w:type="spellStart"/>
      <w:r>
        <w:rPr>
          <w:rStyle w:val="selectable-text"/>
          <w:rFonts w:eastAsiaTheme="majorEastAsia"/>
        </w:rPr>
        <w:t>young</w:t>
      </w:r>
      <w:proofErr w:type="spellEnd"/>
      <w:r>
        <w:rPr>
          <w:rStyle w:val="selectable-text"/>
          <w:rFonts w:eastAsiaTheme="majorEastAsia"/>
        </w:rPr>
        <w:t xml:space="preserve"> </w:t>
      </w:r>
      <w:proofErr w:type="spellStart"/>
      <w:r>
        <w:rPr>
          <w:rStyle w:val="selectable-text"/>
          <w:rFonts w:eastAsiaTheme="majorEastAsia"/>
        </w:rPr>
        <w:t>man</w:t>
      </w:r>
      <w:proofErr w:type="spellEnd"/>
      <w:r>
        <w:rPr>
          <w:rStyle w:val="selectable-text"/>
          <w:rFonts w:eastAsiaTheme="majorEastAsia"/>
        </w:rPr>
        <w:t xml:space="preserve"> </w:t>
      </w:r>
      <w:proofErr w:type="spellStart"/>
      <w:r>
        <w:rPr>
          <w:rStyle w:val="selectable-text"/>
          <w:rFonts w:eastAsiaTheme="majorEastAsia"/>
        </w:rPr>
        <w:t>whose</w:t>
      </w:r>
      <w:proofErr w:type="spellEnd"/>
      <w:r>
        <w:rPr>
          <w:rStyle w:val="selectable-text"/>
          <w:rFonts w:eastAsiaTheme="majorEastAsia"/>
        </w:rPr>
        <w:t xml:space="preserve"> </w:t>
      </w:r>
      <w:proofErr w:type="spellStart"/>
      <w:r>
        <w:rPr>
          <w:rStyle w:val="selectable-text"/>
          <w:rFonts w:eastAsiaTheme="majorEastAsia"/>
        </w:rPr>
        <w:t>beauty</w:t>
      </w:r>
      <w:proofErr w:type="spellEnd"/>
      <w:r>
        <w:rPr>
          <w:rStyle w:val="selectable-text"/>
          <w:rFonts w:eastAsiaTheme="majorEastAsia"/>
        </w:rPr>
        <w:t xml:space="preserve"> </w:t>
      </w:r>
      <w:proofErr w:type="spellStart"/>
      <w:r>
        <w:rPr>
          <w:rStyle w:val="selectable-text"/>
          <w:rFonts w:eastAsiaTheme="majorEastAsia"/>
        </w:rPr>
        <w:t>mesmerizes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artist Basil </w:t>
      </w:r>
      <w:proofErr w:type="spellStart"/>
      <w:r>
        <w:rPr>
          <w:rStyle w:val="selectable-text"/>
          <w:rFonts w:eastAsiaTheme="majorEastAsia"/>
        </w:rPr>
        <w:t>Hallward</w:t>
      </w:r>
      <w:proofErr w:type="spellEnd"/>
      <w:r>
        <w:rPr>
          <w:rStyle w:val="selectable-text"/>
          <w:rFonts w:eastAsiaTheme="majorEastAsia"/>
        </w:rPr>
        <w:t xml:space="preserve"> </w:t>
      </w:r>
      <w:proofErr w:type="spellStart"/>
      <w:r>
        <w:rPr>
          <w:rStyle w:val="selectable-text"/>
          <w:rFonts w:eastAsiaTheme="majorEastAsia"/>
        </w:rPr>
        <w:t>who</w:t>
      </w:r>
      <w:proofErr w:type="spellEnd"/>
      <w:r>
        <w:rPr>
          <w:rStyle w:val="selectable-text"/>
          <w:rFonts w:eastAsiaTheme="majorEastAsia"/>
        </w:rPr>
        <w:t xml:space="preserve"> </w:t>
      </w:r>
      <w:proofErr w:type="spellStart"/>
      <w:r>
        <w:rPr>
          <w:rStyle w:val="selectable-text"/>
          <w:rFonts w:eastAsiaTheme="majorEastAsia"/>
        </w:rPr>
        <w:t>paints</w:t>
      </w:r>
      <w:proofErr w:type="spellEnd"/>
      <w:r>
        <w:rPr>
          <w:rStyle w:val="selectable-text"/>
          <w:rFonts w:eastAsiaTheme="majorEastAsia"/>
        </w:rPr>
        <w:t xml:space="preserve"> his </w:t>
      </w:r>
      <w:proofErr w:type="spellStart"/>
      <w:r>
        <w:rPr>
          <w:rStyle w:val="selectable-text"/>
          <w:rFonts w:eastAsiaTheme="majorEastAsia"/>
        </w:rPr>
        <w:t>portrait</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introduces</w:t>
      </w:r>
      <w:proofErr w:type="spellEnd"/>
      <w:r>
        <w:rPr>
          <w:rStyle w:val="selectable-text"/>
          <w:rFonts w:eastAsiaTheme="majorEastAsia"/>
        </w:rPr>
        <w:t xml:space="preserve"> </w:t>
      </w:r>
      <w:proofErr w:type="spellStart"/>
      <w:r>
        <w:rPr>
          <w:rStyle w:val="selectable-text"/>
          <w:rFonts w:eastAsiaTheme="majorEastAsia"/>
        </w:rPr>
        <w:t>him</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his </w:t>
      </w:r>
      <w:proofErr w:type="spellStart"/>
      <w:r>
        <w:rPr>
          <w:rStyle w:val="selectable-text"/>
          <w:rFonts w:eastAsiaTheme="majorEastAsia"/>
        </w:rPr>
        <w:t>friend</w:t>
      </w:r>
      <w:proofErr w:type="spellEnd"/>
      <w:r>
        <w:rPr>
          <w:rStyle w:val="selectable-text"/>
          <w:rFonts w:eastAsiaTheme="majorEastAsia"/>
        </w:rPr>
        <w:t xml:space="preserve"> Lord Henry. </w:t>
      </w:r>
      <w:proofErr w:type="spellStart"/>
      <w:r>
        <w:rPr>
          <w:rStyle w:val="selectable-text"/>
          <w:rFonts w:eastAsiaTheme="majorEastAsia"/>
        </w:rPr>
        <w:t>In</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same</w:t>
      </w:r>
      <w:proofErr w:type="spellEnd"/>
      <w:r>
        <w:rPr>
          <w:rStyle w:val="selectable-text"/>
          <w:rFonts w:eastAsiaTheme="majorEastAsia"/>
        </w:rPr>
        <w:t xml:space="preserve"> </w:t>
      </w:r>
      <w:proofErr w:type="spellStart"/>
      <w:r>
        <w:rPr>
          <w:rStyle w:val="selectable-text"/>
          <w:rFonts w:eastAsiaTheme="majorEastAsia"/>
        </w:rPr>
        <w:t>way</w:t>
      </w:r>
      <w:proofErr w:type="spellEnd"/>
      <w:r>
        <w:rPr>
          <w:rStyle w:val="selectable-text"/>
          <w:rFonts w:eastAsiaTheme="majorEastAsia"/>
        </w:rPr>
        <w:t xml:space="preserve">, </w:t>
      </w:r>
      <w:proofErr w:type="spellStart"/>
      <w:r>
        <w:rPr>
          <w:rStyle w:val="selectable-text"/>
          <w:rFonts w:eastAsiaTheme="majorEastAsia"/>
        </w:rPr>
        <w:t>Dorian`s</w:t>
      </w:r>
      <w:proofErr w:type="spellEnd"/>
      <w:r>
        <w:rPr>
          <w:rStyle w:val="selectable-text"/>
          <w:rFonts w:eastAsiaTheme="majorEastAsia"/>
        </w:rPr>
        <w:t xml:space="preserve"> </w:t>
      </w:r>
      <w:proofErr w:type="spellStart"/>
      <w:r>
        <w:rPr>
          <w:rStyle w:val="selectable-text"/>
          <w:rFonts w:eastAsiaTheme="majorEastAsia"/>
        </w:rPr>
        <w:t>striking</w:t>
      </w:r>
      <w:proofErr w:type="spellEnd"/>
      <w:r>
        <w:rPr>
          <w:rStyle w:val="selectable-text"/>
          <w:rFonts w:eastAsiaTheme="majorEastAsia"/>
        </w:rPr>
        <w:t xml:space="preserve"> </w:t>
      </w:r>
      <w:proofErr w:type="spellStart"/>
      <w:r>
        <w:rPr>
          <w:rStyle w:val="selectable-text"/>
          <w:rFonts w:eastAsiaTheme="majorEastAsia"/>
        </w:rPr>
        <w:t>beauty</w:t>
      </w:r>
      <w:proofErr w:type="spellEnd"/>
      <w:r>
        <w:rPr>
          <w:rStyle w:val="selectable-text"/>
          <w:rFonts w:eastAsiaTheme="majorEastAsia"/>
        </w:rPr>
        <w:t xml:space="preserve"> </w:t>
      </w:r>
      <w:proofErr w:type="spellStart"/>
      <w:r>
        <w:rPr>
          <w:rStyle w:val="selectable-text"/>
          <w:rFonts w:eastAsiaTheme="majorEastAsia"/>
        </w:rPr>
        <w:t>leaves</w:t>
      </w:r>
      <w:proofErr w:type="spellEnd"/>
      <w:r>
        <w:rPr>
          <w:rStyle w:val="selectable-text"/>
          <w:rFonts w:eastAsiaTheme="majorEastAsia"/>
        </w:rPr>
        <w:t xml:space="preserve"> </w:t>
      </w:r>
      <w:r>
        <w:rPr>
          <w:rStyle w:val="selectable-text"/>
          <w:rFonts w:eastAsiaTheme="majorEastAsia"/>
        </w:rPr>
        <w:lastRenderedPageBreak/>
        <w:t xml:space="preserve">Henry in </w:t>
      </w:r>
      <w:proofErr w:type="spellStart"/>
      <w:r>
        <w:rPr>
          <w:rStyle w:val="selectable-text"/>
          <w:rFonts w:eastAsiaTheme="majorEastAsia"/>
        </w:rPr>
        <w:t>awe</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Henry is </w:t>
      </w:r>
      <w:proofErr w:type="spellStart"/>
      <w:r>
        <w:rPr>
          <w:rStyle w:val="selectable-text"/>
          <w:rFonts w:eastAsiaTheme="majorEastAsia"/>
        </w:rPr>
        <w:t>already</w:t>
      </w:r>
      <w:proofErr w:type="spellEnd"/>
      <w:r>
        <w:rPr>
          <w:rStyle w:val="selectable-text"/>
          <w:rFonts w:eastAsiaTheme="majorEastAsia"/>
        </w:rPr>
        <w:t xml:space="preserve"> </w:t>
      </w:r>
      <w:proofErr w:type="spellStart"/>
      <w:r>
        <w:rPr>
          <w:rStyle w:val="selectable-text"/>
          <w:rFonts w:eastAsiaTheme="majorEastAsia"/>
        </w:rPr>
        <w:t>renowned</w:t>
      </w:r>
      <w:proofErr w:type="spellEnd"/>
      <w:r>
        <w:rPr>
          <w:rStyle w:val="selectable-text"/>
          <w:rFonts w:eastAsiaTheme="majorEastAsia"/>
        </w:rPr>
        <w:t xml:space="preserve"> </w:t>
      </w:r>
      <w:proofErr w:type="spellStart"/>
      <w:r>
        <w:rPr>
          <w:rStyle w:val="selectable-text"/>
          <w:rFonts w:eastAsiaTheme="majorEastAsia"/>
        </w:rPr>
        <w:t>for</w:t>
      </w:r>
      <w:proofErr w:type="spellEnd"/>
      <w:r>
        <w:rPr>
          <w:rStyle w:val="selectable-text"/>
          <w:rFonts w:eastAsiaTheme="majorEastAsia"/>
        </w:rPr>
        <w:t xml:space="preserve"> his </w:t>
      </w:r>
      <w:proofErr w:type="spellStart"/>
      <w:r>
        <w:rPr>
          <w:rStyle w:val="selectable-text"/>
          <w:rFonts w:eastAsiaTheme="majorEastAsia"/>
        </w:rPr>
        <w:t>ability</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provoke </w:t>
      </w:r>
      <w:proofErr w:type="spellStart"/>
      <w:r>
        <w:rPr>
          <w:rStyle w:val="selectable-text"/>
          <w:rFonts w:eastAsiaTheme="majorEastAsia"/>
        </w:rPr>
        <w:t>people</w:t>
      </w:r>
      <w:proofErr w:type="spellEnd"/>
      <w:r>
        <w:rPr>
          <w:rStyle w:val="selectable-text"/>
          <w:rFonts w:eastAsiaTheme="majorEastAsia"/>
        </w:rPr>
        <w:t xml:space="preserve"> </w:t>
      </w:r>
      <w:proofErr w:type="spellStart"/>
      <w:r>
        <w:rPr>
          <w:rStyle w:val="selectable-text"/>
          <w:rFonts w:eastAsiaTheme="majorEastAsia"/>
        </w:rPr>
        <w:t>for</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selfish</w:t>
      </w:r>
      <w:proofErr w:type="spellEnd"/>
      <w:r>
        <w:rPr>
          <w:rStyle w:val="selectable-text"/>
          <w:rFonts w:eastAsiaTheme="majorEastAsia"/>
        </w:rPr>
        <w:t xml:space="preserve"> </w:t>
      </w:r>
      <w:proofErr w:type="spellStart"/>
      <w:r>
        <w:rPr>
          <w:rStyle w:val="selectable-text"/>
          <w:rFonts w:eastAsiaTheme="majorEastAsia"/>
        </w:rPr>
        <w:t>pursuit</w:t>
      </w:r>
      <w:proofErr w:type="spellEnd"/>
      <w:r>
        <w:rPr>
          <w:rStyle w:val="selectable-text"/>
          <w:rFonts w:eastAsiaTheme="majorEastAsia"/>
        </w:rPr>
        <w:t xml:space="preserve"> of </w:t>
      </w:r>
      <w:proofErr w:type="spellStart"/>
      <w:r>
        <w:rPr>
          <w:rStyle w:val="selectable-text"/>
          <w:rFonts w:eastAsiaTheme="majorEastAsia"/>
        </w:rPr>
        <w:t>pleasure</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beauty</w:t>
      </w:r>
      <w:proofErr w:type="spellEnd"/>
      <w:r>
        <w:rPr>
          <w:rStyle w:val="selectable-text"/>
          <w:rFonts w:eastAsiaTheme="majorEastAsia"/>
        </w:rPr>
        <w:t xml:space="preserve">.  Dorian is </w:t>
      </w:r>
      <w:proofErr w:type="spellStart"/>
      <w:r>
        <w:rPr>
          <w:rStyle w:val="selectable-text"/>
          <w:rFonts w:eastAsiaTheme="majorEastAsia"/>
        </w:rPr>
        <w:t>intrigued</w:t>
      </w:r>
      <w:proofErr w:type="spellEnd"/>
      <w:r>
        <w:rPr>
          <w:rStyle w:val="selectable-text"/>
          <w:rFonts w:eastAsiaTheme="majorEastAsia"/>
        </w:rPr>
        <w:t xml:space="preserve"> </w:t>
      </w:r>
      <w:proofErr w:type="spellStart"/>
      <w:r>
        <w:rPr>
          <w:rStyle w:val="selectable-text"/>
          <w:rFonts w:eastAsiaTheme="majorEastAsia"/>
        </w:rPr>
        <w:t>by</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hedonistic</w:t>
      </w:r>
      <w:proofErr w:type="spellEnd"/>
      <w:r>
        <w:rPr>
          <w:rStyle w:val="selectable-text"/>
          <w:rFonts w:eastAsiaTheme="majorEastAsia"/>
        </w:rPr>
        <w:t xml:space="preserve"> </w:t>
      </w:r>
      <w:proofErr w:type="spellStart"/>
      <w:r>
        <w:rPr>
          <w:rStyle w:val="selectable-text"/>
          <w:rFonts w:eastAsiaTheme="majorEastAsia"/>
        </w:rPr>
        <w:t>ideals</w:t>
      </w:r>
      <w:proofErr w:type="spellEnd"/>
      <w:r>
        <w:rPr>
          <w:rStyle w:val="selectable-text"/>
          <w:rFonts w:eastAsiaTheme="majorEastAsia"/>
        </w:rPr>
        <w:t xml:space="preserve"> of Lord Henry, </w:t>
      </w:r>
      <w:proofErr w:type="spellStart"/>
      <w:r>
        <w:rPr>
          <w:rStyle w:val="selectable-text"/>
          <w:rFonts w:eastAsiaTheme="majorEastAsia"/>
        </w:rPr>
        <w:t>and</w:t>
      </w:r>
      <w:proofErr w:type="spellEnd"/>
      <w:r>
        <w:rPr>
          <w:rStyle w:val="selectable-text"/>
          <w:rFonts w:eastAsiaTheme="majorEastAsia"/>
        </w:rPr>
        <w:t xml:space="preserve"> his </w:t>
      </w:r>
      <w:proofErr w:type="spellStart"/>
      <w:r>
        <w:rPr>
          <w:rStyle w:val="selectable-text"/>
          <w:rFonts w:eastAsiaTheme="majorEastAsia"/>
        </w:rPr>
        <w:t>ability</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articulate</w:t>
      </w:r>
      <w:proofErr w:type="spellEnd"/>
      <w:r>
        <w:rPr>
          <w:rStyle w:val="selectable-text"/>
          <w:rFonts w:eastAsiaTheme="majorEastAsia"/>
        </w:rPr>
        <w:t xml:space="preserve"> his </w:t>
      </w:r>
      <w:proofErr w:type="spellStart"/>
      <w:r>
        <w:rPr>
          <w:rStyle w:val="selectable-text"/>
          <w:rFonts w:eastAsiaTheme="majorEastAsia"/>
        </w:rPr>
        <w:t>admiration</w:t>
      </w:r>
      <w:proofErr w:type="spellEnd"/>
      <w:r>
        <w:rPr>
          <w:rStyle w:val="selectable-text"/>
          <w:rFonts w:eastAsiaTheme="majorEastAsia"/>
        </w:rPr>
        <w:t xml:space="preserve"> </w:t>
      </w:r>
      <w:proofErr w:type="spellStart"/>
      <w:r>
        <w:rPr>
          <w:rStyle w:val="selectable-text"/>
          <w:rFonts w:eastAsiaTheme="majorEastAsia"/>
        </w:rPr>
        <w:t>influences</w:t>
      </w:r>
      <w:proofErr w:type="spellEnd"/>
      <w:r>
        <w:rPr>
          <w:rStyle w:val="selectable-text"/>
          <w:rFonts w:eastAsiaTheme="majorEastAsia"/>
        </w:rPr>
        <w:t xml:space="preserve"> </w:t>
      </w:r>
      <w:proofErr w:type="spellStart"/>
      <w:r>
        <w:rPr>
          <w:rStyle w:val="selectable-text"/>
          <w:rFonts w:eastAsiaTheme="majorEastAsia"/>
        </w:rPr>
        <w:t>Dorian’s</w:t>
      </w:r>
      <w:proofErr w:type="spellEnd"/>
      <w:r>
        <w:rPr>
          <w:rStyle w:val="selectable-text"/>
          <w:rFonts w:eastAsiaTheme="majorEastAsia"/>
        </w:rPr>
        <w:t xml:space="preserve"> </w:t>
      </w:r>
      <w:proofErr w:type="spellStart"/>
      <w:r>
        <w:rPr>
          <w:rStyle w:val="selectable-text"/>
          <w:rFonts w:eastAsiaTheme="majorEastAsia"/>
        </w:rPr>
        <w:t>perception</w:t>
      </w:r>
      <w:proofErr w:type="spellEnd"/>
      <w:r>
        <w:rPr>
          <w:rStyle w:val="selectable-text"/>
          <w:rFonts w:eastAsiaTheme="majorEastAsia"/>
        </w:rPr>
        <w:t xml:space="preserve"> of </w:t>
      </w:r>
      <w:proofErr w:type="spellStart"/>
      <w:r>
        <w:rPr>
          <w:rStyle w:val="selectable-text"/>
          <w:rFonts w:eastAsiaTheme="majorEastAsia"/>
        </w:rPr>
        <w:t>himself</w:t>
      </w:r>
      <w:proofErr w:type="spellEnd"/>
      <w:proofErr w:type="gramStart"/>
      <w:r>
        <w:rPr>
          <w:rStyle w:val="selectable-text"/>
          <w:rFonts w:eastAsiaTheme="majorEastAsia"/>
        </w:rPr>
        <w:t>; ”</w:t>
      </w:r>
      <w:proofErr w:type="spellStart"/>
      <w:r>
        <w:rPr>
          <w:rStyle w:val="selectable-text"/>
          <w:rFonts w:eastAsiaTheme="majorEastAsia"/>
        </w:rPr>
        <w:t>You</w:t>
      </w:r>
      <w:proofErr w:type="spellEnd"/>
      <w:proofErr w:type="gramEnd"/>
      <w:r>
        <w:rPr>
          <w:rStyle w:val="selectable-text"/>
          <w:rFonts w:eastAsiaTheme="majorEastAsia"/>
        </w:rPr>
        <w:t xml:space="preserve"> </w:t>
      </w:r>
      <w:proofErr w:type="spellStart"/>
      <w:r>
        <w:rPr>
          <w:rStyle w:val="selectable-text"/>
          <w:rFonts w:eastAsiaTheme="majorEastAsia"/>
        </w:rPr>
        <w:t>have</w:t>
      </w:r>
      <w:proofErr w:type="spellEnd"/>
      <w:r>
        <w:rPr>
          <w:rStyle w:val="selectable-text"/>
          <w:rFonts w:eastAsiaTheme="majorEastAsia"/>
        </w:rPr>
        <w:t xml:space="preserve"> a </w:t>
      </w:r>
      <w:proofErr w:type="spellStart"/>
      <w:r>
        <w:rPr>
          <w:rStyle w:val="selectable-text"/>
          <w:rFonts w:eastAsiaTheme="majorEastAsia"/>
        </w:rPr>
        <w:t>wonderfully</w:t>
      </w:r>
      <w:proofErr w:type="spellEnd"/>
      <w:r>
        <w:rPr>
          <w:rStyle w:val="selectable-text"/>
          <w:rFonts w:eastAsiaTheme="majorEastAsia"/>
        </w:rPr>
        <w:t xml:space="preserve"> </w:t>
      </w:r>
      <w:proofErr w:type="spellStart"/>
      <w:r>
        <w:rPr>
          <w:rStyle w:val="selectable-text"/>
          <w:rFonts w:eastAsiaTheme="majorEastAsia"/>
        </w:rPr>
        <w:t>beautiful</w:t>
      </w:r>
      <w:proofErr w:type="spellEnd"/>
      <w:r>
        <w:rPr>
          <w:rStyle w:val="selectable-text"/>
          <w:rFonts w:eastAsiaTheme="majorEastAsia"/>
        </w:rPr>
        <w:t xml:space="preserve"> </w:t>
      </w:r>
      <w:proofErr w:type="spellStart"/>
      <w:r>
        <w:rPr>
          <w:rStyle w:val="selectable-text"/>
          <w:rFonts w:eastAsiaTheme="majorEastAsia"/>
        </w:rPr>
        <w:t>face</w:t>
      </w:r>
      <w:proofErr w:type="spellEnd"/>
      <w:r>
        <w:rPr>
          <w:rStyle w:val="selectable-text"/>
          <w:rFonts w:eastAsiaTheme="majorEastAsia"/>
        </w:rPr>
        <w:t xml:space="preserve">, </w:t>
      </w:r>
      <w:proofErr w:type="spellStart"/>
      <w:r>
        <w:rPr>
          <w:rStyle w:val="selectable-text"/>
          <w:rFonts w:eastAsiaTheme="majorEastAsia"/>
        </w:rPr>
        <w:t>Mr</w:t>
      </w:r>
      <w:proofErr w:type="spellEnd"/>
      <w:r>
        <w:rPr>
          <w:rStyle w:val="selectable-text"/>
          <w:rFonts w:eastAsiaTheme="majorEastAsia"/>
        </w:rPr>
        <w:t xml:space="preserve">. </w:t>
      </w:r>
      <w:proofErr w:type="spellStart"/>
      <w:r>
        <w:rPr>
          <w:rStyle w:val="selectable-text"/>
          <w:rFonts w:eastAsiaTheme="majorEastAsia"/>
        </w:rPr>
        <w:t>Gray</w:t>
      </w:r>
      <w:proofErr w:type="spellEnd"/>
      <w:r>
        <w:rPr>
          <w:rStyle w:val="selectable-text"/>
          <w:rFonts w:eastAsiaTheme="majorEastAsia"/>
        </w:rPr>
        <w:t>…</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Beauty</w:t>
      </w:r>
      <w:proofErr w:type="spellEnd"/>
      <w:r>
        <w:rPr>
          <w:rStyle w:val="selectable-text"/>
          <w:rFonts w:eastAsiaTheme="majorEastAsia"/>
        </w:rPr>
        <w:t xml:space="preserve"> is </w:t>
      </w:r>
      <w:proofErr w:type="spellStart"/>
      <w:r>
        <w:rPr>
          <w:rStyle w:val="selectable-text"/>
          <w:rFonts w:eastAsiaTheme="majorEastAsia"/>
        </w:rPr>
        <w:t>higher</w:t>
      </w:r>
      <w:proofErr w:type="spellEnd"/>
      <w:r>
        <w:rPr>
          <w:rStyle w:val="selectable-text"/>
          <w:rFonts w:eastAsiaTheme="majorEastAsia"/>
        </w:rPr>
        <w:t xml:space="preserve"> </w:t>
      </w:r>
      <w:proofErr w:type="spellStart"/>
      <w:r>
        <w:rPr>
          <w:rStyle w:val="selectable-text"/>
          <w:rFonts w:eastAsiaTheme="majorEastAsia"/>
        </w:rPr>
        <w:t>than</w:t>
      </w:r>
      <w:proofErr w:type="spellEnd"/>
      <w:r>
        <w:rPr>
          <w:rStyle w:val="selectable-text"/>
          <w:rFonts w:eastAsiaTheme="majorEastAsia"/>
        </w:rPr>
        <w:t xml:space="preserve"> </w:t>
      </w:r>
      <w:proofErr w:type="spellStart"/>
      <w:r>
        <w:rPr>
          <w:rStyle w:val="selectable-text"/>
          <w:rFonts w:eastAsiaTheme="majorEastAsia"/>
        </w:rPr>
        <w:t>Genius</w:t>
      </w:r>
      <w:proofErr w:type="spellEnd"/>
      <w:r>
        <w:rPr>
          <w:rStyle w:val="selectable-text"/>
          <w:rFonts w:eastAsiaTheme="majorEastAsia"/>
        </w:rPr>
        <w:t xml:space="preserve">” (Wilde, 2003, p.25).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narrative</w:t>
      </w:r>
      <w:proofErr w:type="spellEnd"/>
      <w:r>
        <w:rPr>
          <w:rStyle w:val="selectable-text"/>
          <w:rFonts w:eastAsiaTheme="majorEastAsia"/>
        </w:rPr>
        <w:t xml:space="preserve"> </w:t>
      </w:r>
      <w:proofErr w:type="spellStart"/>
      <w:r>
        <w:rPr>
          <w:rStyle w:val="selectable-text"/>
          <w:rFonts w:eastAsiaTheme="majorEastAsia"/>
        </w:rPr>
        <w:t>shifts</w:t>
      </w:r>
      <w:proofErr w:type="spellEnd"/>
      <w:r>
        <w:rPr>
          <w:rStyle w:val="selectable-text"/>
          <w:rFonts w:eastAsiaTheme="majorEastAsia"/>
        </w:rPr>
        <w:t xml:space="preserve"> </w:t>
      </w:r>
      <w:proofErr w:type="spellStart"/>
      <w:r>
        <w:rPr>
          <w:rStyle w:val="selectable-text"/>
          <w:rFonts w:eastAsiaTheme="majorEastAsia"/>
        </w:rPr>
        <w:t>toward</w:t>
      </w:r>
      <w:proofErr w:type="spellEnd"/>
      <w:r>
        <w:rPr>
          <w:rStyle w:val="selectable-text"/>
          <w:rFonts w:eastAsiaTheme="majorEastAsia"/>
        </w:rPr>
        <w:t xml:space="preserve"> a </w:t>
      </w:r>
      <w:proofErr w:type="spellStart"/>
      <w:r>
        <w:rPr>
          <w:rStyle w:val="selectable-text"/>
          <w:rFonts w:eastAsiaTheme="majorEastAsia"/>
        </w:rPr>
        <w:t>tragic</w:t>
      </w:r>
      <w:proofErr w:type="spellEnd"/>
      <w:r>
        <w:rPr>
          <w:rStyle w:val="selectable-text"/>
          <w:rFonts w:eastAsiaTheme="majorEastAsia"/>
        </w:rPr>
        <w:t xml:space="preserve"> </w:t>
      </w:r>
      <w:proofErr w:type="spellStart"/>
      <w:r>
        <w:rPr>
          <w:rStyle w:val="selectable-text"/>
          <w:rFonts w:eastAsiaTheme="majorEastAsia"/>
        </w:rPr>
        <w:t>turn</w:t>
      </w:r>
      <w:proofErr w:type="spellEnd"/>
      <w:r>
        <w:rPr>
          <w:rStyle w:val="selectable-text"/>
          <w:rFonts w:eastAsiaTheme="majorEastAsia"/>
        </w:rPr>
        <w:t xml:space="preserve"> </w:t>
      </w:r>
      <w:proofErr w:type="spellStart"/>
      <w:r>
        <w:rPr>
          <w:rStyle w:val="selectable-text"/>
          <w:rFonts w:eastAsiaTheme="majorEastAsia"/>
        </w:rPr>
        <w:t>when</w:t>
      </w:r>
      <w:proofErr w:type="spellEnd"/>
      <w:r>
        <w:rPr>
          <w:rStyle w:val="selectable-text"/>
          <w:rFonts w:eastAsiaTheme="majorEastAsia"/>
        </w:rPr>
        <w:t xml:space="preserve"> Dorian </w:t>
      </w:r>
      <w:proofErr w:type="spellStart"/>
      <w:r>
        <w:rPr>
          <w:rStyle w:val="selectable-text"/>
          <w:rFonts w:eastAsiaTheme="majorEastAsia"/>
        </w:rPr>
        <w:t>wishes</w:t>
      </w:r>
      <w:proofErr w:type="spellEnd"/>
      <w:r>
        <w:rPr>
          <w:rStyle w:val="selectable-text"/>
          <w:rFonts w:eastAsiaTheme="majorEastAsia"/>
        </w:rPr>
        <w:t xml:space="preserve"> </w:t>
      </w:r>
      <w:proofErr w:type="spellStart"/>
      <w:r>
        <w:rPr>
          <w:rStyle w:val="selectable-text"/>
          <w:rFonts w:eastAsiaTheme="majorEastAsia"/>
        </w:rPr>
        <w:t>never</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grow</w:t>
      </w:r>
      <w:proofErr w:type="spellEnd"/>
      <w:r>
        <w:rPr>
          <w:rStyle w:val="selectable-text"/>
          <w:rFonts w:eastAsiaTheme="majorEastAsia"/>
        </w:rPr>
        <w:t xml:space="preserve"> </w:t>
      </w:r>
      <w:proofErr w:type="spellStart"/>
      <w:r>
        <w:rPr>
          <w:rStyle w:val="selectable-text"/>
          <w:rFonts w:eastAsiaTheme="majorEastAsia"/>
        </w:rPr>
        <w:t>old</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stay</w:t>
      </w:r>
      <w:proofErr w:type="spellEnd"/>
      <w:r>
        <w:rPr>
          <w:rStyle w:val="selectable-text"/>
          <w:rFonts w:eastAsiaTheme="majorEastAsia"/>
        </w:rPr>
        <w:t xml:space="preserve"> </w:t>
      </w:r>
      <w:proofErr w:type="spellStart"/>
      <w:r>
        <w:rPr>
          <w:rStyle w:val="selectable-text"/>
          <w:rFonts w:eastAsiaTheme="majorEastAsia"/>
        </w:rPr>
        <w:t>eternally</w:t>
      </w:r>
      <w:proofErr w:type="spellEnd"/>
      <w:r>
        <w:rPr>
          <w:rStyle w:val="selectable-text"/>
          <w:rFonts w:eastAsiaTheme="majorEastAsia"/>
        </w:rPr>
        <w:t xml:space="preserve"> </w:t>
      </w:r>
      <w:proofErr w:type="spellStart"/>
      <w:r>
        <w:rPr>
          <w:rStyle w:val="selectable-text"/>
          <w:rFonts w:eastAsiaTheme="majorEastAsia"/>
        </w:rPr>
        <w:t>young</w:t>
      </w:r>
      <w:proofErr w:type="spellEnd"/>
      <w:r>
        <w:rPr>
          <w:rStyle w:val="selectable-text"/>
          <w:rFonts w:eastAsiaTheme="majorEastAsia"/>
        </w:rPr>
        <w:t xml:space="preserve"> </w:t>
      </w:r>
      <w:proofErr w:type="spellStart"/>
      <w:r>
        <w:rPr>
          <w:rStyle w:val="selectable-text"/>
          <w:rFonts w:eastAsiaTheme="majorEastAsia"/>
        </w:rPr>
        <w:t>while</w:t>
      </w:r>
      <w:proofErr w:type="spellEnd"/>
      <w:r>
        <w:rPr>
          <w:rStyle w:val="selectable-text"/>
          <w:rFonts w:eastAsiaTheme="majorEastAsia"/>
        </w:rPr>
        <w:t xml:space="preserve"> his </w:t>
      </w:r>
      <w:proofErr w:type="spellStart"/>
      <w:r>
        <w:rPr>
          <w:rStyle w:val="selectable-text"/>
          <w:rFonts w:eastAsiaTheme="majorEastAsia"/>
        </w:rPr>
        <w:t>portrait</w:t>
      </w:r>
      <w:proofErr w:type="spellEnd"/>
      <w:r>
        <w:rPr>
          <w:rStyle w:val="selectable-text"/>
          <w:rFonts w:eastAsiaTheme="majorEastAsia"/>
        </w:rPr>
        <w:t xml:space="preserve"> </w:t>
      </w:r>
      <w:proofErr w:type="spellStart"/>
      <w:r>
        <w:rPr>
          <w:rStyle w:val="selectable-text"/>
          <w:rFonts w:eastAsiaTheme="majorEastAsia"/>
        </w:rPr>
        <w:t>ages</w:t>
      </w:r>
      <w:proofErr w:type="spellEnd"/>
      <w:r>
        <w:rPr>
          <w:rStyle w:val="selectable-text"/>
          <w:rFonts w:eastAsiaTheme="majorEastAsia"/>
        </w:rPr>
        <w:t xml:space="preserve"> </w:t>
      </w:r>
      <w:proofErr w:type="spellStart"/>
      <w:r>
        <w:rPr>
          <w:rStyle w:val="selectable-text"/>
          <w:rFonts w:eastAsiaTheme="majorEastAsia"/>
        </w:rPr>
        <w:t>instead</w:t>
      </w:r>
      <w:proofErr w:type="spellEnd"/>
      <w:r>
        <w:rPr>
          <w:rStyle w:val="selectable-text"/>
          <w:rFonts w:eastAsiaTheme="majorEastAsia"/>
        </w:rPr>
        <w:t xml:space="preserve">. His </w:t>
      </w:r>
      <w:proofErr w:type="spellStart"/>
      <w:r>
        <w:rPr>
          <w:rStyle w:val="selectable-text"/>
          <w:rFonts w:eastAsiaTheme="majorEastAsia"/>
        </w:rPr>
        <w:t>wish</w:t>
      </w:r>
      <w:proofErr w:type="spellEnd"/>
      <w:r>
        <w:rPr>
          <w:rStyle w:val="selectable-text"/>
          <w:rFonts w:eastAsiaTheme="majorEastAsia"/>
        </w:rPr>
        <w:t xml:space="preserve"> </w:t>
      </w:r>
      <w:proofErr w:type="spellStart"/>
      <w:r>
        <w:rPr>
          <w:rStyle w:val="selectable-text"/>
          <w:rFonts w:eastAsiaTheme="majorEastAsia"/>
        </w:rPr>
        <w:t>being</w:t>
      </w:r>
      <w:proofErr w:type="spellEnd"/>
      <w:r>
        <w:rPr>
          <w:rStyle w:val="selectable-text"/>
          <w:rFonts w:eastAsiaTheme="majorEastAsia"/>
        </w:rPr>
        <w:t xml:space="preserve"> </w:t>
      </w:r>
      <w:proofErr w:type="spellStart"/>
      <w:r>
        <w:rPr>
          <w:rStyle w:val="selectable-text"/>
          <w:rFonts w:eastAsiaTheme="majorEastAsia"/>
        </w:rPr>
        <w:t>granted</w:t>
      </w:r>
      <w:proofErr w:type="spellEnd"/>
      <w:r>
        <w:rPr>
          <w:rStyle w:val="selectable-text"/>
          <w:rFonts w:eastAsiaTheme="majorEastAsia"/>
        </w:rPr>
        <w:t xml:space="preserve"> </w:t>
      </w:r>
      <w:proofErr w:type="spellStart"/>
      <w:r>
        <w:rPr>
          <w:rStyle w:val="selectable-text"/>
          <w:rFonts w:eastAsiaTheme="majorEastAsia"/>
        </w:rPr>
        <w:t>results</w:t>
      </w:r>
      <w:proofErr w:type="spellEnd"/>
      <w:r>
        <w:rPr>
          <w:rStyle w:val="selectable-text"/>
          <w:rFonts w:eastAsiaTheme="majorEastAsia"/>
        </w:rPr>
        <w:t xml:space="preserve"> in his moral </w:t>
      </w:r>
      <w:proofErr w:type="spellStart"/>
      <w:r>
        <w:rPr>
          <w:rStyle w:val="selectable-text"/>
          <w:rFonts w:eastAsiaTheme="majorEastAsia"/>
        </w:rPr>
        <w:t>decline</w:t>
      </w:r>
      <w:proofErr w:type="spellEnd"/>
      <w:r>
        <w:rPr>
          <w:rStyle w:val="selectable-text"/>
          <w:rFonts w:eastAsiaTheme="majorEastAsia"/>
        </w:rPr>
        <w:t xml:space="preserve">, as he </w:t>
      </w:r>
      <w:proofErr w:type="spellStart"/>
      <w:r>
        <w:rPr>
          <w:rStyle w:val="selectable-text"/>
          <w:rFonts w:eastAsiaTheme="majorEastAsia"/>
        </w:rPr>
        <w:t>immerses</w:t>
      </w:r>
      <w:proofErr w:type="spellEnd"/>
      <w:r>
        <w:rPr>
          <w:rStyle w:val="selectable-text"/>
          <w:rFonts w:eastAsiaTheme="majorEastAsia"/>
        </w:rPr>
        <w:t xml:space="preserve"> </w:t>
      </w:r>
      <w:proofErr w:type="spellStart"/>
      <w:r>
        <w:rPr>
          <w:rStyle w:val="selectable-text"/>
          <w:rFonts w:eastAsiaTheme="majorEastAsia"/>
        </w:rPr>
        <w:t>himself</w:t>
      </w:r>
      <w:proofErr w:type="spellEnd"/>
      <w:r>
        <w:rPr>
          <w:rStyle w:val="selectable-text"/>
          <w:rFonts w:eastAsiaTheme="majorEastAsia"/>
        </w:rPr>
        <w:t xml:space="preserve"> </w:t>
      </w:r>
      <w:proofErr w:type="spellStart"/>
      <w:r>
        <w:rPr>
          <w:rStyle w:val="selectable-text"/>
          <w:rFonts w:eastAsiaTheme="majorEastAsia"/>
        </w:rPr>
        <w:t>into</w:t>
      </w:r>
      <w:proofErr w:type="spellEnd"/>
      <w:r>
        <w:rPr>
          <w:rStyle w:val="selectable-text"/>
          <w:rFonts w:eastAsiaTheme="majorEastAsia"/>
        </w:rPr>
        <w:t xml:space="preserve"> a life of </w:t>
      </w:r>
      <w:proofErr w:type="spellStart"/>
      <w:r>
        <w:rPr>
          <w:rStyle w:val="selectable-text"/>
          <w:rFonts w:eastAsiaTheme="majorEastAsia"/>
        </w:rPr>
        <w:t>luxury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cruelty</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portrait</w:t>
      </w:r>
      <w:proofErr w:type="spellEnd"/>
      <w:r>
        <w:rPr>
          <w:rStyle w:val="selectable-text"/>
          <w:rFonts w:eastAsiaTheme="majorEastAsia"/>
        </w:rPr>
        <w:t xml:space="preserve">, </w:t>
      </w:r>
      <w:proofErr w:type="spellStart"/>
      <w:r>
        <w:rPr>
          <w:rStyle w:val="selectable-text"/>
          <w:rFonts w:eastAsiaTheme="majorEastAsia"/>
        </w:rPr>
        <w:t>symbolizing</w:t>
      </w:r>
      <w:proofErr w:type="spellEnd"/>
      <w:r>
        <w:rPr>
          <w:rStyle w:val="selectable-text"/>
          <w:rFonts w:eastAsiaTheme="majorEastAsia"/>
        </w:rPr>
        <w:t xml:space="preserve"> </w:t>
      </w:r>
      <w:proofErr w:type="spellStart"/>
      <w:r>
        <w:rPr>
          <w:rStyle w:val="selectable-text"/>
          <w:rFonts w:eastAsiaTheme="majorEastAsia"/>
        </w:rPr>
        <w:t>Dorian`s</w:t>
      </w:r>
      <w:proofErr w:type="spellEnd"/>
      <w:r>
        <w:rPr>
          <w:rStyle w:val="selectable-text"/>
          <w:rFonts w:eastAsiaTheme="majorEastAsia"/>
        </w:rPr>
        <w:t xml:space="preserve"> </w:t>
      </w:r>
      <w:proofErr w:type="spellStart"/>
      <w:r>
        <w:rPr>
          <w:rStyle w:val="selectable-text"/>
          <w:rFonts w:eastAsiaTheme="majorEastAsia"/>
        </w:rPr>
        <w:t>internal</w:t>
      </w:r>
      <w:proofErr w:type="spellEnd"/>
      <w:r>
        <w:rPr>
          <w:rStyle w:val="selectable-text"/>
          <w:rFonts w:eastAsiaTheme="majorEastAsia"/>
        </w:rPr>
        <w:t xml:space="preserve"> </w:t>
      </w:r>
      <w:proofErr w:type="spellStart"/>
      <w:r>
        <w:rPr>
          <w:rStyle w:val="selectable-text"/>
          <w:rFonts w:eastAsiaTheme="majorEastAsia"/>
        </w:rPr>
        <w:t>reality</w:t>
      </w:r>
      <w:proofErr w:type="spellEnd"/>
      <w:r>
        <w:rPr>
          <w:rStyle w:val="selectable-text"/>
          <w:rFonts w:eastAsiaTheme="majorEastAsia"/>
        </w:rPr>
        <w:t xml:space="preserve">, </w:t>
      </w:r>
      <w:proofErr w:type="spellStart"/>
      <w:r>
        <w:rPr>
          <w:rStyle w:val="selectable-text"/>
          <w:rFonts w:eastAsiaTheme="majorEastAsia"/>
        </w:rPr>
        <w:t>deteriorates</w:t>
      </w:r>
      <w:proofErr w:type="spellEnd"/>
      <w:r>
        <w:rPr>
          <w:rStyle w:val="selectable-text"/>
          <w:rFonts w:eastAsiaTheme="majorEastAsia"/>
        </w:rPr>
        <w:t xml:space="preserve"> </w:t>
      </w:r>
      <w:proofErr w:type="spellStart"/>
      <w:r>
        <w:rPr>
          <w:rStyle w:val="selectable-text"/>
          <w:rFonts w:eastAsiaTheme="majorEastAsia"/>
        </w:rPr>
        <w:t>while</w:t>
      </w:r>
      <w:proofErr w:type="spellEnd"/>
      <w:r>
        <w:rPr>
          <w:rStyle w:val="selectable-text"/>
          <w:rFonts w:eastAsiaTheme="majorEastAsia"/>
        </w:rPr>
        <w:t xml:space="preserve"> his </w:t>
      </w:r>
      <w:proofErr w:type="spellStart"/>
      <w:r>
        <w:rPr>
          <w:rStyle w:val="selectable-text"/>
          <w:rFonts w:eastAsiaTheme="majorEastAsia"/>
        </w:rPr>
        <w:t>external</w:t>
      </w:r>
      <w:proofErr w:type="spellEnd"/>
      <w:r>
        <w:rPr>
          <w:rStyle w:val="selectable-text"/>
          <w:rFonts w:eastAsiaTheme="majorEastAsia"/>
        </w:rPr>
        <w:t xml:space="preserve"> </w:t>
      </w:r>
      <w:proofErr w:type="spellStart"/>
      <w:r>
        <w:rPr>
          <w:rStyle w:val="selectable-text"/>
          <w:rFonts w:eastAsiaTheme="majorEastAsia"/>
        </w:rPr>
        <w:t>looks</w:t>
      </w:r>
      <w:proofErr w:type="spellEnd"/>
      <w:r>
        <w:rPr>
          <w:rStyle w:val="selectable-text"/>
          <w:rFonts w:eastAsiaTheme="majorEastAsia"/>
        </w:rPr>
        <w:t xml:space="preserve"> </w:t>
      </w:r>
      <w:proofErr w:type="spellStart"/>
      <w:r>
        <w:rPr>
          <w:rStyle w:val="selectable-text"/>
          <w:rFonts w:eastAsiaTheme="majorEastAsia"/>
        </w:rPr>
        <w:t>remain</w:t>
      </w:r>
      <w:proofErr w:type="spellEnd"/>
      <w:r>
        <w:rPr>
          <w:rStyle w:val="selectable-text"/>
          <w:rFonts w:eastAsiaTheme="majorEastAsia"/>
        </w:rPr>
        <w:t xml:space="preserve"> </w:t>
      </w:r>
      <w:proofErr w:type="spellStart"/>
      <w:r>
        <w:rPr>
          <w:rStyle w:val="selectable-text"/>
          <w:rFonts w:eastAsiaTheme="majorEastAsia"/>
        </w:rPr>
        <w:t>radiant</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perfect</w:t>
      </w:r>
      <w:proofErr w:type="spellEnd"/>
      <w:r>
        <w:rPr>
          <w:rStyle w:val="selectable-text"/>
          <w:rFonts w:eastAsiaTheme="majorEastAsia"/>
        </w:rPr>
        <w:t xml:space="preserve">. Wilde </w:t>
      </w:r>
      <w:proofErr w:type="spellStart"/>
      <w:r>
        <w:rPr>
          <w:rStyle w:val="selectable-text"/>
          <w:rFonts w:eastAsiaTheme="majorEastAsia"/>
        </w:rPr>
        <w:t>invites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reader</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reflect</w:t>
      </w:r>
      <w:proofErr w:type="spellEnd"/>
      <w:r>
        <w:rPr>
          <w:rStyle w:val="selectable-text"/>
          <w:rFonts w:eastAsiaTheme="majorEastAsia"/>
        </w:rPr>
        <w:t xml:space="preserve"> on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superficiality</w:t>
      </w:r>
      <w:proofErr w:type="spellEnd"/>
      <w:r>
        <w:rPr>
          <w:rStyle w:val="selectable-text"/>
          <w:rFonts w:eastAsiaTheme="majorEastAsia"/>
        </w:rPr>
        <w:t xml:space="preserve"> of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society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consequences</w:t>
      </w:r>
      <w:proofErr w:type="spellEnd"/>
      <w:r>
        <w:rPr>
          <w:rStyle w:val="selectable-text"/>
          <w:rFonts w:eastAsiaTheme="majorEastAsia"/>
        </w:rPr>
        <w:t xml:space="preserve"> of </w:t>
      </w:r>
      <w:proofErr w:type="spellStart"/>
      <w:r>
        <w:rPr>
          <w:rStyle w:val="selectable-text"/>
          <w:rFonts w:eastAsiaTheme="majorEastAsia"/>
        </w:rPr>
        <w:t>exchanging</w:t>
      </w:r>
      <w:proofErr w:type="spellEnd"/>
      <w:r>
        <w:rPr>
          <w:rStyle w:val="selectable-text"/>
          <w:rFonts w:eastAsiaTheme="majorEastAsia"/>
        </w:rPr>
        <w:t xml:space="preserve"> </w:t>
      </w:r>
      <w:proofErr w:type="spellStart"/>
      <w:r>
        <w:rPr>
          <w:rStyle w:val="selectable-text"/>
          <w:rFonts w:eastAsiaTheme="majorEastAsia"/>
        </w:rPr>
        <w:t>pleasure</w:t>
      </w:r>
      <w:proofErr w:type="spellEnd"/>
      <w:r>
        <w:rPr>
          <w:rStyle w:val="selectable-text"/>
          <w:rFonts w:eastAsiaTheme="majorEastAsia"/>
        </w:rPr>
        <w:t xml:space="preserve"> </w:t>
      </w:r>
      <w:proofErr w:type="spellStart"/>
      <w:r>
        <w:rPr>
          <w:rStyle w:val="selectable-text"/>
          <w:rFonts w:eastAsiaTheme="majorEastAsia"/>
        </w:rPr>
        <w:t>with</w:t>
      </w:r>
      <w:proofErr w:type="spellEnd"/>
      <w:r>
        <w:rPr>
          <w:rStyle w:val="selectable-text"/>
          <w:rFonts w:eastAsiaTheme="majorEastAsia"/>
        </w:rPr>
        <w:t xml:space="preserve"> </w:t>
      </w:r>
      <w:proofErr w:type="spellStart"/>
      <w:r>
        <w:rPr>
          <w:rStyle w:val="selectable-text"/>
          <w:rFonts w:eastAsiaTheme="majorEastAsia"/>
        </w:rPr>
        <w:t>ethical</w:t>
      </w:r>
      <w:proofErr w:type="spellEnd"/>
      <w:r>
        <w:rPr>
          <w:rStyle w:val="selectable-text"/>
          <w:rFonts w:eastAsiaTheme="majorEastAsia"/>
        </w:rPr>
        <w:t xml:space="preserve"> </w:t>
      </w:r>
      <w:proofErr w:type="spellStart"/>
      <w:r>
        <w:rPr>
          <w:rStyle w:val="selectable-text"/>
          <w:rFonts w:eastAsiaTheme="majorEastAsia"/>
        </w:rPr>
        <w:t>values</w:t>
      </w:r>
      <w:proofErr w:type="spellEnd"/>
      <w:r>
        <w:rPr>
          <w:rStyle w:val="selectable-text"/>
          <w:rFonts w:eastAsiaTheme="majorEastAsia"/>
        </w:rPr>
        <w:t xml:space="preserve">. </w:t>
      </w:r>
      <w:proofErr w:type="spellStart"/>
      <w:r>
        <w:rPr>
          <w:rStyle w:val="selectable-text"/>
          <w:rFonts w:eastAsiaTheme="majorEastAsia"/>
        </w:rPr>
        <w:t>For</w:t>
      </w:r>
      <w:proofErr w:type="spellEnd"/>
      <w:r>
        <w:rPr>
          <w:rStyle w:val="selectable-text"/>
          <w:rFonts w:eastAsiaTheme="majorEastAsia"/>
        </w:rPr>
        <w:t xml:space="preserve"> Wilde art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artist had </w:t>
      </w:r>
      <w:proofErr w:type="spellStart"/>
      <w:r>
        <w:rPr>
          <w:rStyle w:val="selectable-text"/>
          <w:rFonts w:eastAsiaTheme="majorEastAsia"/>
        </w:rPr>
        <w:t>transformative</w:t>
      </w:r>
      <w:proofErr w:type="spellEnd"/>
      <w:r>
        <w:rPr>
          <w:rStyle w:val="selectable-text"/>
          <w:rFonts w:eastAsiaTheme="majorEastAsia"/>
        </w:rPr>
        <w:t xml:space="preserve"> </w:t>
      </w:r>
      <w:proofErr w:type="spellStart"/>
      <w:r>
        <w:rPr>
          <w:rStyle w:val="selectable-text"/>
          <w:rFonts w:eastAsiaTheme="majorEastAsia"/>
        </w:rPr>
        <w:t>power</w:t>
      </w:r>
      <w:proofErr w:type="spellEnd"/>
      <w:r>
        <w:rPr>
          <w:rStyle w:val="selectable-text"/>
          <w:rFonts w:eastAsiaTheme="majorEastAsia"/>
        </w:rPr>
        <w:t xml:space="preserve"> on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society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although</w:t>
      </w:r>
      <w:proofErr w:type="spellEnd"/>
      <w:r>
        <w:rPr>
          <w:rStyle w:val="selectable-text"/>
          <w:rFonts w:eastAsiaTheme="majorEastAsia"/>
        </w:rPr>
        <w:t xml:space="preserve"> he </w:t>
      </w:r>
      <w:proofErr w:type="spellStart"/>
      <w:r>
        <w:rPr>
          <w:rStyle w:val="selectable-text"/>
          <w:rFonts w:eastAsiaTheme="majorEastAsia"/>
        </w:rPr>
        <w:t>criticized</w:t>
      </w:r>
      <w:proofErr w:type="spellEnd"/>
      <w:r>
        <w:rPr>
          <w:rStyle w:val="selectable-text"/>
          <w:rFonts w:eastAsiaTheme="majorEastAsia"/>
        </w:rPr>
        <w:t xml:space="preserve"> </w:t>
      </w:r>
      <w:proofErr w:type="spellStart"/>
      <w:r>
        <w:rPr>
          <w:rStyle w:val="selectable-text"/>
          <w:rFonts w:eastAsiaTheme="majorEastAsia"/>
        </w:rPr>
        <w:t>Victorian</w:t>
      </w:r>
      <w:proofErr w:type="spellEnd"/>
      <w:r>
        <w:rPr>
          <w:rStyle w:val="selectable-text"/>
          <w:rFonts w:eastAsiaTheme="majorEastAsia"/>
        </w:rPr>
        <w:t xml:space="preserve"> </w:t>
      </w:r>
      <w:proofErr w:type="spellStart"/>
      <w:r>
        <w:rPr>
          <w:rStyle w:val="selectable-text"/>
          <w:rFonts w:eastAsiaTheme="majorEastAsia"/>
        </w:rPr>
        <w:t>society</w:t>
      </w:r>
      <w:proofErr w:type="spellEnd"/>
      <w:r>
        <w:rPr>
          <w:rStyle w:val="selectable-text"/>
          <w:rFonts w:eastAsiaTheme="majorEastAsia"/>
        </w:rPr>
        <w:t xml:space="preserve"> he </w:t>
      </w:r>
      <w:proofErr w:type="spellStart"/>
      <w:r>
        <w:rPr>
          <w:rStyle w:val="selectable-text"/>
          <w:rFonts w:eastAsiaTheme="majorEastAsia"/>
        </w:rPr>
        <w:t>believed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societal</w:t>
      </w:r>
      <w:proofErr w:type="spellEnd"/>
      <w:r>
        <w:rPr>
          <w:rStyle w:val="selectable-text"/>
          <w:rFonts w:eastAsiaTheme="majorEastAsia"/>
        </w:rPr>
        <w:t xml:space="preserve"> </w:t>
      </w:r>
      <w:proofErr w:type="spellStart"/>
      <w:r>
        <w:rPr>
          <w:rStyle w:val="selectable-text"/>
          <w:rFonts w:eastAsiaTheme="majorEastAsia"/>
        </w:rPr>
        <w:t>progress</w:t>
      </w:r>
      <w:proofErr w:type="spellEnd"/>
      <w:r>
        <w:rPr>
          <w:rStyle w:val="selectable-text"/>
          <w:rFonts w:eastAsiaTheme="majorEastAsia"/>
        </w:rPr>
        <w:t xml:space="preserve"> </w:t>
      </w:r>
      <w:proofErr w:type="spellStart"/>
      <w:r>
        <w:rPr>
          <w:rStyle w:val="selectable-text"/>
          <w:rFonts w:eastAsiaTheme="majorEastAsia"/>
        </w:rPr>
        <w:t>was</w:t>
      </w:r>
      <w:proofErr w:type="spellEnd"/>
      <w:r>
        <w:rPr>
          <w:rStyle w:val="selectable-text"/>
          <w:rFonts w:eastAsiaTheme="majorEastAsia"/>
        </w:rPr>
        <w:t xml:space="preserve"> </w:t>
      </w:r>
      <w:proofErr w:type="spellStart"/>
      <w:r>
        <w:rPr>
          <w:rStyle w:val="selectable-text"/>
          <w:rFonts w:eastAsiaTheme="majorEastAsia"/>
        </w:rPr>
        <w:t>dependent</w:t>
      </w:r>
      <w:proofErr w:type="spellEnd"/>
      <w:r>
        <w:rPr>
          <w:rStyle w:val="selectable-text"/>
          <w:rFonts w:eastAsiaTheme="majorEastAsia"/>
        </w:rPr>
        <w:t xml:space="preserve"> on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individual’s</w:t>
      </w:r>
      <w:proofErr w:type="spellEnd"/>
      <w:r>
        <w:rPr>
          <w:rStyle w:val="selectable-text"/>
          <w:rFonts w:eastAsiaTheme="majorEastAsia"/>
        </w:rPr>
        <w:t xml:space="preserve"> self-</w:t>
      </w:r>
      <w:proofErr w:type="spellStart"/>
      <w:r>
        <w:rPr>
          <w:rStyle w:val="selectable-text"/>
          <w:rFonts w:eastAsiaTheme="majorEastAsia"/>
        </w:rPr>
        <w:t>realization</w:t>
      </w:r>
      <w:proofErr w:type="spellEnd"/>
      <w:r>
        <w:rPr>
          <w:rStyle w:val="selectable-text"/>
          <w:rFonts w:eastAsiaTheme="majorEastAsia"/>
        </w:rPr>
        <w:t xml:space="preserve"> (Baker 1969). </w:t>
      </w:r>
      <w:proofErr w:type="spellStart"/>
      <w:r>
        <w:rPr>
          <w:rStyle w:val="selectable-text"/>
          <w:rFonts w:eastAsiaTheme="majorEastAsia"/>
        </w:rPr>
        <w:t>However</w:t>
      </w:r>
      <w:proofErr w:type="spellEnd"/>
      <w:r>
        <w:rPr>
          <w:rStyle w:val="selectable-text"/>
          <w:rFonts w:eastAsiaTheme="majorEastAsia"/>
        </w:rPr>
        <w:t xml:space="preserve">, in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famous</w:t>
      </w:r>
      <w:proofErr w:type="spellEnd"/>
      <w:r>
        <w:rPr>
          <w:rStyle w:val="selectable-text"/>
          <w:rFonts w:eastAsiaTheme="majorEastAsia"/>
        </w:rPr>
        <w:t xml:space="preserve"> </w:t>
      </w:r>
      <w:proofErr w:type="spellStart"/>
      <w:r>
        <w:rPr>
          <w:rStyle w:val="selectable-text"/>
          <w:rFonts w:eastAsiaTheme="majorEastAsia"/>
        </w:rPr>
        <w:t>preface</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novel</w:t>
      </w:r>
      <w:proofErr w:type="spellEnd"/>
      <w:r>
        <w:rPr>
          <w:rStyle w:val="selectable-text"/>
          <w:rFonts w:eastAsiaTheme="majorEastAsia"/>
        </w:rPr>
        <w:t xml:space="preserve"> he </w:t>
      </w:r>
      <w:proofErr w:type="spellStart"/>
      <w:r>
        <w:rPr>
          <w:rStyle w:val="selectable-text"/>
          <w:rFonts w:eastAsiaTheme="majorEastAsia"/>
        </w:rPr>
        <w:t>claims</w:t>
      </w:r>
      <w:proofErr w:type="spellEnd"/>
      <w:r>
        <w:rPr>
          <w:rStyle w:val="selectable-text"/>
          <w:rFonts w:eastAsiaTheme="majorEastAsia"/>
        </w:rPr>
        <w:t xml:space="preserve"> </w:t>
      </w:r>
      <w:proofErr w:type="spellStart"/>
      <w:r>
        <w:rPr>
          <w:rStyle w:val="selectable-text"/>
          <w:rFonts w:eastAsiaTheme="majorEastAsia"/>
        </w:rPr>
        <w:t>that</w:t>
      </w:r>
      <w:proofErr w:type="spellEnd"/>
      <w:r>
        <w:rPr>
          <w:rStyle w:val="selectable-text"/>
          <w:rFonts w:eastAsiaTheme="majorEastAsia"/>
        </w:rPr>
        <w:t xml:space="preserve"> “</w:t>
      </w:r>
      <w:proofErr w:type="spellStart"/>
      <w:r>
        <w:rPr>
          <w:rStyle w:val="selectable-text"/>
          <w:rFonts w:eastAsiaTheme="majorEastAsia"/>
        </w:rPr>
        <w:t>All</w:t>
      </w:r>
      <w:proofErr w:type="spellEnd"/>
      <w:r>
        <w:rPr>
          <w:rStyle w:val="selectable-text"/>
          <w:rFonts w:eastAsiaTheme="majorEastAsia"/>
        </w:rPr>
        <w:t xml:space="preserve"> art is </w:t>
      </w:r>
      <w:proofErr w:type="spellStart"/>
      <w:r>
        <w:rPr>
          <w:rStyle w:val="selectable-text"/>
          <w:rFonts w:eastAsiaTheme="majorEastAsia"/>
        </w:rPr>
        <w:t>useless</w:t>
      </w:r>
      <w:proofErr w:type="spellEnd"/>
      <w:r>
        <w:rPr>
          <w:rStyle w:val="selectable-text"/>
          <w:rFonts w:eastAsiaTheme="majorEastAsia"/>
        </w:rPr>
        <w:t xml:space="preserve">”, </w:t>
      </w:r>
      <w:proofErr w:type="spellStart"/>
      <w:r>
        <w:rPr>
          <w:rStyle w:val="selectable-text"/>
          <w:rFonts w:eastAsiaTheme="majorEastAsia"/>
        </w:rPr>
        <w:t>suggesting</w:t>
      </w:r>
      <w:proofErr w:type="spellEnd"/>
      <w:r>
        <w:rPr>
          <w:rStyle w:val="selectable-text"/>
          <w:rFonts w:eastAsiaTheme="majorEastAsia"/>
        </w:rPr>
        <w:t xml:space="preserve"> art </w:t>
      </w:r>
      <w:proofErr w:type="spellStart"/>
      <w:r>
        <w:rPr>
          <w:rStyle w:val="selectable-text"/>
          <w:rFonts w:eastAsiaTheme="majorEastAsia"/>
        </w:rPr>
        <w:t>should</w:t>
      </w:r>
      <w:proofErr w:type="spellEnd"/>
      <w:r>
        <w:rPr>
          <w:rStyle w:val="selectable-text"/>
          <w:rFonts w:eastAsiaTheme="majorEastAsia"/>
        </w:rPr>
        <w:t xml:space="preserve"> not be </w:t>
      </w:r>
      <w:proofErr w:type="spellStart"/>
      <w:r>
        <w:rPr>
          <w:rStyle w:val="selectable-text"/>
          <w:rFonts w:eastAsiaTheme="majorEastAsia"/>
        </w:rPr>
        <w:t>valued</w:t>
      </w:r>
      <w:proofErr w:type="spellEnd"/>
      <w:r>
        <w:rPr>
          <w:rStyle w:val="selectable-text"/>
          <w:rFonts w:eastAsiaTheme="majorEastAsia"/>
        </w:rPr>
        <w:t xml:space="preserve"> </w:t>
      </w:r>
      <w:proofErr w:type="spellStart"/>
      <w:r>
        <w:rPr>
          <w:rStyle w:val="selectable-text"/>
          <w:rFonts w:eastAsiaTheme="majorEastAsia"/>
        </w:rPr>
        <w:t>for</w:t>
      </w:r>
      <w:proofErr w:type="spellEnd"/>
      <w:r>
        <w:rPr>
          <w:rStyle w:val="selectable-text"/>
          <w:rFonts w:eastAsiaTheme="majorEastAsia"/>
        </w:rPr>
        <w:t xml:space="preserve"> </w:t>
      </w:r>
      <w:proofErr w:type="spellStart"/>
      <w:r>
        <w:rPr>
          <w:rStyle w:val="selectable-text"/>
          <w:rFonts w:eastAsiaTheme="majorEastAsia"/>
        </w:rPr>
        <w:t>its</w:t>
      </w:r>
      <w:proofErr w:type="spellEnd"/>
      <w:r>
        <w:rPr>
          <w:rStyle w:val="selectable-text"/>
          <w:rFonts w:eastAsiaTheme="majorEastAsia"/>
        </w:rPr>
        <w:t xml:space="preserve"> moral </w:t>
      </w:r>
      <w:proofErr w:type="spellStart"/>
      <w:r>
        <w:rPr>
          <w:rStyle w:val="selectable-text"/>
          <w:rFonts w:eastAsiaTheme="majorEastAsia"/>
        </w:rPr>
        <w:t>utility</w:t>
      </w:r>
      <w:proofErr w:type="spellEnd"/>
      <w:r>
        <w:rPr>
          <w:rStyle w:val="selectable-text"/>
          <w:rFonts w:eastAsiaTheme="majorEastAsia"/>
        </w:rPr>
        <w:t xml:space="preserve">. </w:t>
      </w:r>
      <w:proofErr w:type="spellStart"/>
      <w:r>
        <w:rPr>
          <w:rStyle w:val="selectable-text"/>
          <w:rFonts w:eastAsiaTheme="majorEastAsia"/>
        </w:rPr>
        <w:t>This</w:t>
      </w:r>
      <w:proofErr w:type="spellEnd"/>
      <w:r>
        <w:rPr>
          <w:rStyle w:val="selectable-text"/>
          <w:rFonts w:eastAsiaTheme="majorEastAsia"/>
        </w:rPr>
        <w:t xml:space="preserve"> </w:t>
      </w:r>
      <w:proofErr w:type="spellStart"/>
      <w:r>
        <w:rPr>
          <w:rStyle w:val="selectable-text"/>
          <w:rFonts w:eastAsiaTheme="majorEastAsia"/>
        </w:rPr>
        <w:t>interplay</w:t>
      </w:r>
      <w:proofErr w:type="spellEnd"/>
      <w:r>
        <w:rPr>
          <w:rStyle w:val="selectable-text"/>
          <w:rFonts w:eastAsiaTheme="majorEastAsia"/>
        </w:rPr>
        <w:t xml:space="preserve"> </w:t>
      </w:r>
      <w:proofErr w:type="spellStart"/>
      <w:r>
        <w:rPr>
          <w:rStyle w:val="selectable-text"/>
          <w:rFonts w:eastAsiaTheme="majorEastAsia"/>
        </w:rPr>
        <w:t>between</w:t>
      </w:r>
      <w:proofErr w:type="spellEnd"/>
      <w:r>
        <w:rPr>
          <w:rStyle w:val="selectable-text"/>
          <w:rFonts w:eastAsiaTheme="majorEastAsia"/>
        </w:rPr>
        <w:t xml:space="preserve"> art, </w:t>
      </w:r>
      <w:proofErr w:type="spellStart"/>
      <w:r>
        <w:rPr>
          <w:rStyle w:val="selectable-text"/>
          <w:rFonts w:eastAsiaTheme="majorEastAsia"/>
        </w:rPr>
        <w:t>society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individual</w:t>
      </w:r>
      <w:proofErr w:type="spellEnd"/>
      <w:r>
        <w:rPr>
          <w:rStyle w:val="selectable-text"/>
          <w:rFonts w:eastAsiaTheme="majorEastAsia"/>
        </w:rPr>
        <w:t xml:space="preserve"> </w:t>
      </w:r>
      <w:proofErr w:type="spellStart"/>
      <w:r>
        <w:rPr>
          <w:rStyle w:val="selectable-text"/>
          <w:rFonts w:eastAsiaTheme="majorEastAsia"/>
        </w:rPr>
        <w:t>was</w:t>
      </w:r>
      <w:proofErr w:type="spellEnd"/>
      <w:r>
        <w:rPr>
          <w:rStyle w:val="selectable-text"/>
          <w:rFonts w:eastAsiaTheme="majorEastAsia"/>
        </w:rPr>
        <w:t xml:space="preserve"> </w:t>
      </w:r>
      <w:proofErr w:type="spellStart"/>
      <w:r>
        <w:rPr>
          <w:rStyle w:val="selectable-text"/>
          <w:rFonts w:eastAsiaTheme="majorEastAsia"/>
        </w:rPr>
        <w:t>central</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his </w:t>
      </w:r>
      <w:proofErr w:type="spellStart"/>
      <w:r>
        <w:rPr>
          <w:rStyle w:val="selectable-text"/>
          <w:rFonts w:eastAsiaTheme="majorEastAsia"/>
        </w:rPr>
        <w:t>philosophical</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aesthetic</w:t>
      </w:r>
      <w:proofErr w:type="spellEnd"/>
      <w:r>
        <w:rPr>
          <w:rStyle w:val="selectable-text"/>
          <w:rFonts w:eastAsiaTheme="majorEastAsia"/>
        </w:rPr>
        <w:t xml:space="preserve"> </w:t>
      </w:r>
      <w:proofErr w:type="spellStart"/>
      <w:r>
        <w:rPr>
          <w:rStyle w:val="selectable-text"/>
          <w:rFonts w:eastAsiaTheme="majorEastAsia"/>
        </w:rPr>
        <w:t>vision</w:t>
      </w:r>
      <w:proofErr w:type="spellEnd"/>
      <w:r>
        <w:rPr>
          <w:rStyle w:val="selectable-text"/>
          <w:rFonts w:eastAsiaTheme="majorEastAsia"/>
        </w:rPr>
        <w:t>.</w:t>
      </w:r>
      <w:r w:rsidRPr="008848EF">
        <w:rPr>
          <w:rStyle w:val="selectable-text"/>
          <w:rFonts w:eastAsiaTheme="majorEastAsia"/>
        </w:rPr>
        <w:t xml:space="preserve"> </w:t>
      </w:r>
      <w:proofErr w:type="spellStart"/>
      <w:r w:rsidRPr="008848EF">
        <w:rPr>
          <w:rStyle w:val="selectable-text"/>
          <w:rFonts w:eastAsiaTheme="majorEastAsia"/>
        </w:rPr>
        <w:t>Because</w:t>
      </w:r>
      <w:proofErr w:type="spellEnd"/>
      <w:r>
        <w:rPr>
          <w:rStyle w:val="selectable-text"/>
          <w:rFonts w:eastAsiaTheme="majorEastAsia"/>
        </w:rPr>
        <w:t xml:space="preserve"> it is </w:t>
      </w:r>
      <w:proofErr w:type="spellStart"/>
      <w:r w:rsidRPr="008848EF">
        <w:rPr>
          <w:rStyle w:val="selectable-text"/>
          <w:rFonts w:eastAsiaTheme="majorEastAsia"/>
        </w:rPr>
        <w:t>Wilde</w:t>
      </w:r>
      <w:r>
        <w:rPr>
          <w:rStyle w:val="selectable-text"/>
          <w:rFonts w:eastAsiaTheme="majorEastAsia"/>
        </w:rPr>
        <w:t>`s</w:t>
      </w:r>
      <w:proofErr w:type="spellEnd"/>
      <w:r>
        <w:rPr>
          <w:rStyle w:val="selectable-text"/>
          <w:rFonts w:eastAsiaTheme="majorEastAsia"/>
        </w:rPr>
        <w:t xml:space="preserve"> </w:t>
      </w:r>
      <w:proofErr w:type="spellStart"/>
      <w:r>
        <w:rPr>
          <w:rStyle w:val="selectable-text"/>
          <w:rFonts w:eastAsiaTheme="majorEastAsia"/>
        </w:rPr>
        <w:t>only</w:t>
      </w:r>
      <w:proofErr w:type="spellEnd"/>
      <w:r>
        <w:rPr>
          <w:rStyle w:val="selectable-text"/>
          <w:rFonts w:eastAsiaTheme="majorEastAsia"/>
        </w:rPr>
        <w:t xml:space="preserve"> </w:t>
      </w:r>
      <w:proofErr w:type="spellStart"/>
      <w:r>
        <w:rPr>
          <w:rStyle w:val="selectable-text"/>
          <w:rFonts w:eastAsiaTheme="majorEastAsia"/>
        </w:rPr>
        <w:t>novel</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a </w:t>
      </w:r>
      <w:proofErr w:type="spellStart"/>
      <w:r>
        <w:rPr>
          <w:rStyle w:val="selectable-text"/>
          <w:rFonts w:eastAsiaTheme="majorEastAsia"/>
        </w:rPr>
        <w:t>seminal</w:t>
      </w:r>
      <w:proofErr w:type="spellEnd"/>
      <w:r>
        <w:rPr>
          <w:rStyle w:val="selectable-text"/>
          <w:rFonts w:eastAsiaTheme="majorEastAsia"/>
        </w:rPr>
        <w:t xml:space="preserve"> </w:t>
      </w:r>
      <w:proofErr w:type="spellStart"/>
      <w:r>
        <w:rPr>
          <w:rStyle w:val="selectable-text"/>
          <w:rFonts w:eastAsiaTheme="majorEastAsia"/>
        </w:rPr>
        <w:t>work</w:t>
      </w:r>
      <w:proofErr w:type="spellEnd"/>
      <w:r>
        <w:rPr>
          <w:rStyle w:val="selectable-text"/>
          <w:rFonts w:eastAsiaTheme="majorEastAsia"/>
        </w:rPr>
        <w:t xml:space="preserve"> of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Aesthetic</w:t>
      </w:r>
      <w:proofErr w:type="spellEnd"/>
      <w:r>
        <w:rPr>
          <w:rStyle w:val="selectable-text"/>
          <w:rFonts w:eastAsiaTheme="majorEastAsia"/>
        </w:rPr>
        <w:t xml:space="preserve"> </w:t>
      </w:r>
      <w:proofErr w:type="spellStart"/>
      <w:r>
        <w:rPr>
          <w:rStyle w:val="selectable-text"/>
          <w:rFonts w:eastAsiaTheme="majorEastAsia"/>
        </w:rPr>
        <w:t>Movement</w:t>
      </w:r>
      <w:proofErr w:type="spellEnd"/>
      <w:r>
        <w:rPr>
          <w:rStyle w:val="selectable-text"/>
          <w:rFonts w:eastAsiaTheme="majorEastAsia"/>
        </w:rPr>
        <w:t xml:space="preserve">, </w:t>
      </w:r>
      <w:proofErr w:type="spellStart"/>
      <w:r w:rsidRPr="008848EF">
        <w:rPr>
          <w:rStyle w:val="selectable-text"/>
          <w:rFonts w:eastAsiaTheme="majorEastAsia"/>
          <w:i/>
        </w:rPr>
        <w:t>The</w:t>
      </w:r>
      <w:proofErr w:type="spellEnd"/>
      <w:r w:rsidRPr="008848EF">
        <w:rPr>
          <w:rStyle w:val="selectable-text"/>
          <w:rFonts w:eastAsiaTheme="majorEastAsia"/>
          <w:i/>
        </w:rPr>
        <w:t xml:space="preserve"> Picture of Dorian </w:t>
      </w:r>
      <w:proofErr w:type="spellStart"/>
      <w:r w:rsidRPr="008848EF">
        <w:rPr>
          <w:rStyle w:val="selectable-text"/>
          <w:rFonts w:eastAsiaTheme="majorEastAsia"/>
          <w:i/>
        </w:rPr>
        <w:t>Gray</w:t>
      </w:r>
      <w:proofErr w:type="spellEnd"/>
      <w:r>
        <w:rPr>
          <w:rStyle w:val="selectable-text"/>
          <w:rFonts w:eastAsiaTheme="majorEastAsia"/>
        </w:rPr>
        <w:t xml:space="preserve"> has </w:t>
      </w:r>
      <w:proofErr w:type="spellStart"/>
      <w:r>
        <w:rPr>
          <w:rStyle w:val="selectable-text"/>
          <w:rFonts w:eastAsiaTheme="majorEastAsia"/>
        </w:rPr>
        <w:t>been</w:t>
      </w:r>
      <w:proofErr w:type="spellEnd"/>
      <w:r>
        <w:rPr>
          <w:rStyle w:val="selectable-text"/>
          <w:rFonts w:eastAsiaTheme="majorEastAsia"/>
        </w:rPr>
        <w:t xml:space="preserve"> </w:t>
      </w:r>
      <w:proofErr w:type="spellStart"/>
      <w:r>
        <w:rPr>
          <w:rStyle w:val="selectable-text"/>
          <w:rFonts w:eastAsiaTheme="majorEastAsia"/>
        </w:rPr>
        <w:t>extensively</w:t>
      </w:r>
      <w:proofErr w:type="spellEnd"/>
      <w:r>
        <w:rPr>
          <w:rStyle w:val="selectable-text"/>
          <w:rFonts w:eastAsiaTheme="majorEastAsia"/>
        </w:rPr>
        <w:t xml:space="preserve"> </w:t>
      </w:r>
      <w:proofErr w:type="spellStart"/>
      <w:r w:rsidRPr="008848EF">
        <w:rPr>
          <w:rStyle w:val="selectable-text"/>
          <w:rFonts w:eastAsiaTheme="majorEastAsia"/>
        </w:rPr>
        <w:t>discussed</w:t>
      </w:r>
      <w:proofErr w:type="spellEnd"/>
      <w:r w:rsidRPr="008848EF">
        <w:rPr>
          <w:rStyle w:val="selectable-text"/>
          <w:rFonts w:eastAsiaTheme="majorEastAsia"/>
        </w:rPr>
        <w:t xml:space="preserve"> </w:t>
      </w:r>
      <w:proofErr w:type="spellStart"/>
      <w:r w:rsidRPr="008848EF">
        <w:rPr>
          <w:rStyle w:val="selectable-text"/>
          <w:rFonts w:eastAsiaTheme="majorEastAsia"/>
        </w:rPr>
        <w:t>and</w:t>
      </w:r>
      <w:proofErr w:type="spellEnd"/>
      <w:r w:rsidRPr="008848EF">
        <w:rPr>
          <w:rStyle w:val="selectable-text"/>
          <w:rFonts w:eastAsiaTheme="majorEastAsia"/>
        </w:rPr>
        <w:t xml:space="preserve"> </w:t>
      </w:r>
      <w:proofErr w:type="spellStart"/>
      <w:r w:rsidRPr="008848EF">
        <w:rPr>
          <w:rStyle w:val="selectable-text"/>
          <w:rFonts w:eastAsiaTheme="majorEastAsia"/>
        </w:rPr>
        <w:t>researched</w:t>
      </w:r>
      <w:proofErr w:type="spellEnd"/>
      <w:r w:rsidRPr="008848EF">
        <w:rPr>
          <w:rStyle w:val="selectable-text"/>
          <w:rFonts w:eastAsiaTheme="majorEastAsia"/>
        </w:rPr>
        <w:t xml:space="preserve">, </w:t>
      </w:r>
      <w:proofErr w:type="spellStart"/>
      <w:r w:rsidRPr="008848EF">
        <w:rPr>
          <w:rStyle w:val="selectable-text"/>
          <w:rFonts w:eastAsiaTheme="majorEastAsia"/>
        </w:rPr>
        <w:t>and</w:t>
      </w:r>
      <w:proofErr w:type="spellEnd"/>
      <w:r w:rsidRPr="008848EF">
        <w:rPr>
          <w:rStyle w:val="selectable-text"/>
          <w:rFonts w:eastAsiaTheme="majorEastAsia"/>
        </w:rPr>
        <w:t xml:space="preserve"> </w:t>
      </w:r>
      <w:proofErr w:type="spellStart"/>
      <w:r w:rsidRPr="008848EF">
        <w:rPr>
          <w:rStyle w:val="selectable-text"/>
          <w:rFonts w:eastAsiaTheme="majorEastAsia"/>
        </w:rPr>
        <w:t>continues</w:t>
      </w:r>
      <w:proofErr w:type="spellEnd"/>
      <w:r w:rsidRPr="008848EF">
        <w:rPr>
          <w:rStyle w:val="selectable-text"/>
          <w:rFonts w:eastAsiaTheme="majorEastAsia"/>
        </w:rPr>
        <w:t xml:space="preserve"> </w:t>
      </w:r>
      <w:proofErr w:type="spellStart"/>
      <w:r w:rsidRPr="008848EF">
        <w:rPr>
          <w:rStyle w:val="selectable-text"/>
          <w:rFonts w:eastAsiaTheme="majorEastAsia"/>
        </w:rPr>
        <w:t>to</w:t>
      </w:r>
      <w:proofErr w:type="spellEnd"/>
      <w:r w:rsidRPr="008848EF">
        <w:rPr>
          <w:rStyle w:val="selectable-text"/>
          <w:rFonts w:eastAsiaTheme="majorEastAsia"/>
        </w:rPr>
        <w:t xml:space="preserve"> </w:t>
      </w:r>
      <w:r>
        <w:rPr>
          <w:rStyle w:val="selectable-text"/>
          <w:rFonts w:eastAsiaTheme="majorEastAsia"/>
        </w:rPr>
        <w:t xml:space="preserve">be a </w:t>
      </w:r>
      <w:proofErr w:type="spellStart"/>
      <w:r>
        <w:rPr>
          <w:rStyle w:val="selectable-text"/>
          <w:rFonts w:eastAsiaTheme="majorEastAsia"/>
        </w:rPr>
        <w:t>central</w:t>
      </w:r>
      <w:proofErr w:type="spellEnd"/>
      <w:r>
        <w:rPr>
          <w:rStyle w:val="selectable-text"/>
          <w:rFonts w:eastAsiaTheme="majorEastAsia"/>
        </w:rPr>
        <w:t xml:space="preserve"> </w:t>
      </w:r>
      <w:proofErr w:type="spellStart"/>
      <w:r>
        <w:rPr>
          <w:rStyle w:val="selectable-text"/>
          <w:rFonts w:eastAsiaTheme="majorEastAsia"/>
        </w:rPr>
        <w:t>text</w:t>
      </w:r>
      <w:proofErr w:type="spellEnd"/>
      <w:r>
        <w:rPr>
          <w:rStyle w:val="selectable-text"/>
          <w:rFonts w:eastAsiaTheme="majorEastAsia"/>
        </w:rPr>
        <w:t xml:space="preserve"> in </w:t>
      </w:r>
      <w:proofErr w:type="spellStart"/>
      <w:r>
        <w:rPr>
          <w:rStyle w:val="selectable-text"/>
          <w:rFonts w:eastAsiaTheme="majorEastAsia"/>
        </w:rPr>
        <w:t>aesthetic</w:t>
      </w:r>
      <w:proofErr w:type="spellEnd"/>
      <w:r>
        <w:rPr>
          <w:rStyle w:val="selectable-text"/>
          <w:rFonts w:eastAsiaTheme="majorEastAsia"/>
        </w:rPr>
        <w:t xml:space="preserve"> </w:t>
      </w:r>
      <w:proofErr w:type="spellStart"/>
      <w:r>
        <w:rPr>
          <w:rStyle w:val="selectable-text"/>
          <w:rFonts w:eastAsiaTheme="majorEastAsia"/>
        </w:rPr>
        <w:t>philosophy</w:t>
      </w:r>
      <w:proofErr w:type="spellEnd"/>
      <w:r>
        <w:rPr>
          <w:rStyle w:val="selectable-text"/>
          <w:rFonts w:eastAsiaTheme="majorEastAsia"/>
        </w:rPr>
        <w:t xml:space="preserve">. Richard </w:t>
      </w:r>
      <w:proofErr w:type="spellStart"/>
      <w:r>
        <w:rPr>
          <w:rStyle w:val="selectable-text"/>
          <w:rFonts w:eastAsiaTheme="majorEastAsia"/>
        </w:rPr>
        <w:t>Ellmann</w:t>
      </w:r>
      <w:proofErr w:type="spellEnd"/>
      <w:r>
        <w:rPr>
          <w:rStyle w:val="selectable-text"/>
          <w:rFonts w:eastAsiaTheme="majorEastAsia"/>
        </w:rPr>
        <w:t xml:space="preserve"> (1987) </w:t>
      </w:r>
      <w:proofErr w:type="spellStart"/>
      <w:r w:rsidRPr="008848EF">
        <w:rPr>
          <w:rStyle w:val="selectable-text"/>
          <w:rFonts w:eastAsiaTheme="majorEastAsia"/>
        </w:rPr>
        <w:t>who</w:t>
      </w:r>
      <w:proofErr w:type="spellEnd"/>
      <w:r w:rsidRPr="008848EF">
        <w:rPr>
          <w:rStyle w:val="selectable-text"/>
          <w:rFonts w:eastAsiaTheme="majorEastAsia"/>
        </w:rPr>
        <w:t xml:space="preserve"> </w:t>
      </w:r>
      <w:proofErr w:type="spellStart"/>
      <w:r w:rsidRPr="008848EF">
        <w:rPr>
          <w:rStyle w:val="selectable-text"/>
          <w:rFonts w:eastAsiaTheme="majorEastAsia"/>
        </w:rPr>
        <w:t>examined</w:t>
      </w:r>
      <w:proofErr w:type="spellEnd"/>
      <w:r w:rsidRPr="008848EF">
        <w:rPr>
          <w:rStyle w:val="selectable-text"/>
          <w:rFonts w:eastAsiaTheme="majorEastAsia"/>
        </w:rPr>
        <w:t xml:space="preserve"> Wilde in </w:t>
      </w:r>
      <w:proofErr w:type="spellStart"/>
      <w:r w:rsidRPr="008848EF">
        <w:rPr>
          <w:rStyle w:val="selectable-text"/>
          <w:rFonts w:eastAsiaTheme="majorEastAsia"/>
        </w:rPr>
        <w:t>detail</w:t>
      </w:r>
      <w:proofErr w:type="spellEnd"/>
      <w:r w:rsidRPr="008848EF">
        <w:rPr>
          <w:rStyle w:val="selectable-text"/>
          <w:rFonts w:eastAsiaTheme="majorEastAsia"/>
        </w:rPr>
        <w:t xml:space="preserve">, his </w:t>
      </w:r>
      <w:proofErr w:type="spellStart"/>
      <w:r w:rsidRPr="008848EF">
        <w:rPr>
          <w:rStyle w:val="selectable-text"/>
          <w:rFonts w:eastAsiaTheme="majorEastAsia"/>
        </w:rPr>
        <w:t>sensational</w:t>
      </w:r>
      <w:proofErr w:type="spellEnd"/>
      <w:r w:rsidRPr="008848EF">
        <w:rPr>
          <w:rStyle w:val="selectable-text"/>
          <w:rFonts w:eastAsiaTheme="majorEastAsia"/>
        </w:rPr>
        <w:t xml:space="preserve"> life </w:t>
      </w:r>
      <w:proofErr w:type="spellStart"/>
      <w:r w:rsidRPr="008848EF">
        <w:rPr>
          <w:rStyle w:val="selectable-text"/>
          <w:rFonts w:eastAsiaTheme="majorEastAsia"/>
        </w:rPr>
        <w:t>and</w:t>
      </w:r>
      <w:proofErr w:type="spellEnd"/>
      <w:r w:rsidRPr="008848EF">
        <w:rPr>
          <w:rStyle w:val="selectable-text"/>
          <w:rFonts w:eastAsiaTheme="majorEastAsia"/>
        </w:rPr>
        <w:t xml:space="preserve"> </w:t>
      </w:r>
      <w:proofErr w:type="spellStart"/>
      <w:r w:rsidRPr="008848EF">
        <w:rPr>
          <w:rStyle w:val="selectable-text"/>
          <w:rFonts w:eastAsiaTheme="majorEastAsia"/>
        </w:rPr>
        <w:t>works</w:t>
      </w:r>
      <w:proofErr w:type="spellEnd"/>
      <w:r w:rsidRPr="008848EF">
        <w:rPr>
          <w:rStyle w:val="selectable-text"/>
          <w:rFonts w:eastAsiaTheme="majorEastAsia"/>
        </w:rPr>
        <w:t xml:space="preserve">, </w:t>
      </w:r>
      <w:proofErr w:type="spellStart"/>
      <w:r w:rsidRPr="008848EF">
        <w:rPr>
          <w:rStyle w:val="selectable-text"/>
          <w:rFonts w:eastAsiaTheme="majorEastAsia"/>
        </w:rPr>
        <w:t>and</w:t>
      </w:r>
      <w:proofErr w:type="spellEnd"/>
      <w:r w:rsidRPr="008848EF">
        <w:rPr>
          <w:rStyle w:val="selectable-text"/>
          <w:rFonts w:eastAsiaTheme="majorEastAsia"/>
        </w:rPr>
        <w:t xml:space="preserve"> </w:t>
      </w:r>
      <w:proofErr w:type="spellStart"/>
      <w:r w:rsidRPr="008848EF">
        <w:rPr>
          <w:rStyle w:val="selectable-text"/>
          <w:rFonts w:eastAsiaTheme="majorEastAsia"/>
        </w:rPr>
        <w:t>wrote</w:t>
      </w:r>
      <w:proofErr w:type="spellEnd"/>
      <w:r w:rsidRPr="008848EF">
        <w:rPr>
          <w:rStyle w:val="selectable-text"/>
          <w:rFonts w:eastAsiaTheme="majorEastAsia"/>
        </w:rPr>
        <w:t xml:space="preserve"> </w:t>
      </w:r>
      <w:proofErr w:type="spellStart"/>
      <w:r w:rsidRPr="008848EF">
        <w:rPr>
          <w:rStyle w:val="selectable-text"/>
          <w:rFonts w:eastAsiaTheme="majorEastAsia"/>
        </w:rPr>
        <w:t>one</w:t>
      </w:r>
      <w:proofErr w:type="spellEnd"/>
      <w:r w:rsidRPr="008848EF">
        <w:rPr>
          <w:rStyle w:val="selectable-text"/>
          <w:rFonts w:eastAsiaTheme="majorEastAsia"/>
        </w:rPr>
        <w:t xml:space="preserve"> of his </w:t>
      </w:r>
      <w:proofErr w:type="spellStart"/>
      <w:r w:rsidRPr="008848EF">
        <w:rPr>
          <w:rStyle w:val="selectable-text"/>
          <w:rFonts w:eastAsiaTheme="majorEastAsia"/>
        </w:rPr>
        <w:t>most</w:t>
      </w:r>
      <w:proofErr w:type="spellEnd"/>
      <w:r w:rsidRPr="008848EF">
        <w:rPr>
          <w:rStyle w:val="selectable-text"/>
          <w:rFonts w:eastAsiaTheme="majorEastAsia"/>
        </w:rPr>
        <w:t xml:space="preserve"> </w:t>
      </w:r>
      <w:proofErr w:type="spellStart"/>
      <w:r w:rsidRPr="008848EF">
        <w:rPr>
          <w:rStyle w:val="selectable-text"/>
          <w:rFonts w:eastAsiaTheme="majorEastAsia"/>
        </w:rPr>
        <w:t>prominent</w:t>
      </w:r>
      <w:proofErr w:type="spellEnd"/>
      <w:r w:rsidRPr="008848EF">
        <w:rPr>
          <w:rStyle w:val="selectable-text"/>
          <w:rFonts w:eastAsiaTheme="majorEastAsia"/>
        </w:rPr>
        <w:t xml:space="preserve"> </w:t>
      </w:r>
      <w:proofErr w:type="spellStart"/>
      <w:r w:rsidRPr="008848EF">
        <w:rPr>
          <w:rStyle w:val="selectable-text"/>
          <w:rFonts w:eastAsiaTheme="majorEastAsia"/>
        </w:rPr>
        <w:t>biographies</w:t>
      </w:r>
      <w:proofErr w:type="spellEnd"/>
      <w:r>
        <w:rPr>
          <w:rStyle w:val="selectable-text"/>
          <w:rFonts w:eastAsiaTheme="majorEastAsia"/>
        </w:rPr>
        <w:t xml:space="preserve"> </w:t>
      </w:r>
      <w:proofErr w:type="spellStart"/>
      <w:r>
        <w:rPr>
          <w:rStyle w:val="selectable-text"/>
          <w:rFonts w:eastAsiaTheme="majorEastAsia"/>
        </w:rPr>
        <w:t>argued</w:t>
      </w:r>
      <w:proofErr w:type="spellEnd"/>
      <w:r>
        <w:rPr>
          <w:rStyle w:val="selectable-text"/>
          <w:rFonts w:eastAsiaTheme="majorEastAsia"/>
        </w:rPr>
        <w:t xml:space="preserve"> </w:t>
      </w:r>
      <w:proofErr w:type="spellStart"/>
      <w:r>
        <w:rPr>
          <w:rStyle w:val="selectable-text"/>
          <w:rFonts w:eastAsiaTheme="majorEastAsia"/>
        </w:rPr>
        <w:t>that</w:t>
      </w:r>
      <w:proofErr w:type="spellEnd"/>
      <w:r>
        <w:rPr>
          <w:rStyle w:val="selectable-text"/>
          <w:rFonts w:eastAsiaTheme="majorEastAsia"/>
        </w:rPr>
        <w:t xml:space="preserve"> Dorian </w:t>
      </w:r>
      <w:proofErr w:type="spellStart"/>
      <w:r>
        <w:rPr>
          <w:rStyle w:val="selectable-text"/>
          <w:rFonts w:eastAsiaTheme="majorEastAsia"/>
        </w:rPr>
        <w:t>was</w:t>
      </w:r>
      <w:proofErr w:type="spellEnd"/>
      <w:r>
        <w:rPr>
          <w:rStyle w:val="selectable-text"/>
          <w:rFonts w:eastAsiaTheme="majorEastAsia"/>
        </w:rPr>
        <w:t xml:space="preserve"> a </w:t>
      </w:r>
      <w:proofErr w:type="spellStart"/>
      <w:r>
        <w:rPr>
          <w:rStyle w:val="selectable-text"/>
          <w:rFonts w:eastAsiaTheme="majorEastAsia"/>
        </w:rPr>
        <w:t>reflection</w:t>
      </w:r>
      <w:proofErr w:type="spellEnd"/>
      <w:r>
        <w:rPr>
          <w:rStyle w:val="selectable-text"/>
          <w:rFonts w:eastAsiaTheme="majorEastAsia"/>
        </w:rPr>
        <w:t xml:space="preserve"> of </w:t>
      </w:r>
      <w:proofErr w:type="spellStart"/>
      <w:r>
        <w:rPr>
          <w:rStyle w:val="selectable-text"/>
          <w:rFonts w:eastAsiaTheme="majorEastAsia"/>
        </w:rPr>
        <w:t>Wilde`s</w:t>
      </w:r>
      <w:proofErr w:type="spellEnd"/>
      <w:r>
        <w:rPr>
          <w:rStyle w:val="selectable-text"/>
          <w:rFonts w:eastAsiaTheme="majorEastAsia"/>
        </w:rPr>
        <w:t xml:space="preserve"> </w:t>
      </w:r>
      <w:proofErr w:type="spellStart"/>
      <w:r>
        <w:rPr>
          <w:rStyle w:val="selectable-text"/>
          <w:rFonts w:eastAsiaTheme="majorEastAsia"/>
        </w:rPr>
        <w:t>own</w:t>
      </w:r>
      <w:proofErr w:type="spellEnd"/>
      <w:r>
        <w:rPr>
          <w:rStyle w:val="selectable-text"/>
          <w:rFonts w:eastAsiaTheme="majorEastAsia"/>
        </w:rPr>
        <w:t xml:space="preserve"> </w:t>
      </w:r>
      <w:proofErr w:type="spellStart"/>
      <w:r>
        <w:rPr>
          <w:rStyle w:val="selectable-text"/>
          <w:rFonts w:eastAsiaTheme="majorEastAsia"/>
        </w:rPr>
        <w:t>struggles</w:t>
      </w:r>
      <w:proofErr w:type="spellEnd"/>
      <w:r>
        <w:rPr>
          <w:rStyle w:val="selectable-text"/>
          <w:rFonts w:eastAsiaTheme="majorEastAsia"/>
        </w:rPr>
        <w:t xml:space="preserve"> </w:t>
      </w:r>
      <w:proofErr w:type="spellStart"/>
      <w:r>
        <w:rPr>
          <w:rStyle w:val="selectable-text"/>
          <w:rFonts w:eastAsiaTheme="majorEastAsia"/>
        </w:rPr>
        <w:t>with</w:t>
      </w:r>
      <w:proofErr w:type="spellEnd"/>
      <w:r>
        <w:rPr>
          <w:rStyle w:val="selectable-text"/>
          <w:rFonts w:eastAsiaTheme="majorEastAsia"/>
        </w:rPr>
        <w:t xml:space="preserve"> </w:t>
      </w:r>
      <w:proofErr w:type="spellStart"/>
      <w:r>
        <w:rPr>
          <w:rStyle w:val="selectable-text"/>
          <w:rFonts w:eastAsiaTheme="majorEastAsia"/>
        </w:rPr>
        <w:t>identity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public</w:t>
      </w:r>
      <w:proofErr w:type="spellEnd"/>
      <w:r>
        <w:rPr>
          <w:rStyle w:val="selectable-text"/>
          <w:rFonts w:eastAsiaTheme="majorEastAsia"/>
        </w:rPr>
        <w:t xml:space="preserve"> </w:t>
      </w:r>
      <w:proofErr w:type="spellStart"/>
      <w:r>
        <w:rPr>
          <w:rStyle w:val="selectable-text"/>
          <w:rFonts w:eastAsiaTheme="majorEastAsia"/>
        </w:rPr>
        <w:t>perception</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highlighted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novels</w:t>
      </w:r>
      <w:proofErr w:type="spellEnd"/>
      <w:r>
        <w:rPr>
          <w:rStyle w:val="selectable-text"/>
          <w:rFonts w:eastAsiaTheme="majorEastAsia"/>
        </w:rPr>
        <w:t xml:space="preserve"> two-</w:t>
      </w:r>
      <w:proofErr w:type="spellStart"/>
      <w:r>
        <w:rPr>
          <w:rStyle w:val="selectable-text"/>
          <w:rFonts w:eastAsiaTheme="majorEastAsia"/>
        </w:rPr>
        <w:t>fold</w:t>
      </w:r>
      <w:proofErr w:type="spellEnd"/>
      <w:r>
        <w:rPr>
          <w:rStyle w:val="selectable-text"/>
          <w:rFonts w:eastAsiaTheme="majorEastAsia"/>
        </w:rPr>
        <w:t xml:space="preserve"> </w:t>
      </w:r>
      <w:proofErr w:type="spellStart"/>
      <w:r>
        <w:rPr>
          <w:rStyle w:val="selectable-text"/>
          <w:rFonts w:eastAsiaTheme="majorEastAsia"/>
        </w:rPr>
        <w:t>criticism</w:t>
      </w:r>
      <w:proofErr w:type="spellEnd"/>
      <w:r>
        <w:rPr>
          <w:rStyle w:val="selectable-text"/>
          <w:rFonts w:eastAsiaTheme="majorEastAsia"/>
        </w:rPr>
        <w:t xml:space="preserve"> of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Victorian</w:t>
      </w:r>
      <w:proofErr w:type="spellEnd"/>
      <w:r>
        <w:rPr>
          <w:rStyle w:val="selectable-text"/>
          <w:rFonts w:eastAsiaTheme="majorEastAsia"/>
        </w:rPr>
        <w:t xml:space="preserve"> </w:t>
      </w:r>
      <w:proofErr w:type="spellStart"/>
      <w:r>
        <w:rPr>
          <w:rStyle w:val="selectable-text"/>
          <w:rFonts w:eastAsiaTheme="majorEastAsia"/>
        </w:rPr>
        <w:t>society’s</w:t>
      </w:r>
      <w:proofErr w:type="spellEnd"/>
      <w:r>
        <w:rPr>
          <w:rStyle w:val="selectable-text"/>
          <w:rFonts w:eastAsiaTheme="majorEastAsia"/>
        </w:rPr>
        <w:t xml:space="preserve"> moral </w:t>
      </w:r>
      <w:proofErr w:type="spellStart"/>
      <w:r>
        <w:rPr>
          <w:rStyle w:val="selectable-text"/>
          <w:rFonts w:eastAsiaTheme="majorEastAsia"/>
        </w:rPr>
        <w:t>rigidity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excess</w:t>
      </w:r>
      <w:proofErr w:type="spellEnd"/>
      <w:r>
        <w:rPr>
          <w:rStyle w:val="selectable-text"/>
          <w:rFonts w:eastAsiaTheme="majorEastAsia"/>
        </w:rPr>
        <w:t xml:space="preserve"> in </w:t>
      </w:r>
      <w:proofErr w:type="spellStart"/>
      <w:r>
        <w:rPr>
          <w:rStyle w:val="selectable-text"/>
          <w:rFonts w:eastAsiaTheme="majorEastAsia"/>
        </w:rPr>
        <w:t>aesthetic</w:t>
      </w:r>
      <w:proofErr w:type="spellEnd"/>
      <w:r>
        <w:rPr>
          <w:rStyle w:val="selectable-text"/>
          <w:rFonts w:eastAsiaTheme="majorEastAsia"/>
        </w:rPr>
        <w:t xml:space="preserve"> </w:t>
      </w:r>
      <w:proofErr w:type="spellStart"/>
      <w:r>
        <w:rPr>
          <w:rStyle w:val="selectable-text"/>
          <w:rFonts w:eastAsiaTheme="majorEastAsia"/>
        </w:rPr>
        <w:t>ideals</w:t>
      </w:r>
      <w:proofErr w:type="spellEnd"/>
      <w:r>
        <w:rPr>
          <w:rStyle w:val="selectable-text"/>
          <w:rFonts w:eastAsiaTheme="majorEastAsia"/>
        </w:rPr>
        <w:t xml:space="preserve">. Eve </w:t>
      </w:r>
      <w:proofErr w:type="spellStart"/>
      <w:r>
        <w:rPr>
          <w:rStyle w:val="selectable-text"/>
          <w:rFonts w:eastAsiaTheme="majorEastAsia"/>
        </w:rPr>
        <w:t>Kosofksky</w:t>
      </w:r>
      <w:proofErr w:type="spellEnd"/>
      <w:r>
        <w:rPr>
          <w:rStyle w:val="selectable-text"/>
          <w:rFonts w:eastAsiaTheme="majorEastAsia"/>
        </w:rPr>
        <w:t xml:space="preserve"> </w:t>
      </w:r>
      <w:proofErr w:type="spellStart"/>
      <w:proofErr w:type="gramStart"/>
      <w:r>
        <w:rPr>
          <w:rStyle w:val="selectable-text"/>
          <w:rFonts w:eastAsiaTheme="majorEastAsia"/>
        </w:rPr>
        <w:t>Sedwick</w:t>
      </w:r>
      <w:proofErr w:type="spellEnd"/>
      <w:r>
        <w:rPr>
          <w:rStyle w:val="selectable-text"/>
          <w:rFonts w:eastAsiaTheme="majorEastAsia"/>
        </w:rPr>
        <w:t>(</w:t>
      </w:r>
      <w:proofErr w:type="gramEnd"/>
      <w:r>
        <w:rPr>
          <w:rStyle w:val="selectable-text"/>
          <w:rFonts w:eastAsiaTheme="majorEastAsia"/>
        </w:rPr>
        <w:t xml:space="preserve">1990) </w:t>
      </w:r>
      <w:proofErr w:type="spellStart"/>
      <w:r>
        <w:rPr>
          <w:rStyle w:val="selectable-text"/>
          <w:rFonts w:eastAsiaTheme="majorEastAsia"/>
        </w:rPr>
        <w:t>studies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novel</w:t>
      </w:r>
      <w:proofErr w:type="spellEnd"/>
      <w:r>
        <w:rPr>
          <w:rStyle w:val="selectable-text"/>
          <w:rFonts w:eastAsiaTheme="majorEastAsia"/>
        </w:rPr>
        <w:t xml:space="preserve"> </w:t>
      </w:r>
      <w:proofErr w:type="spellStart"/>
      <w:r>
        <w:rPr>
          <w:rStyle w:val="selectable-text"/>
          <w:rFonts w:eastAsiaTheme="majorEastAsia"/>
        </w:rPr>
        <w:t>through</w:t>
      </w:r>
      <w:proofErr w:type="spellEnd"/>
      <w:r>
        <w:rPr>
          <w:rStyle w:val="selectable-text"/>
          <w:rFonts w:eastAsiaTheme="majorEastAsia"/>
        </w:rPr>
        <w:t xml:space="preserve"> queer </w:t>
      </w:r>
      <w:proofErr w:type="spellStart"/>
      <w:r>
        <w:rPr>
          <w:rStyle w:val="selectable-text"/>
          <w:rFonts w:eastAsiaTheme="majorEastAsia"/>
        </w:rPr>
        <w:t>theory</w:t>
      </w:r>
      <w:proofErr w:type="spellEnd"/>
      <w:r>
        <w:rPr>
          <w:rStyle w:val="selectable-text"/>
          <w:rFonts w:eastAsiaTheme="majorEastAsia"/>
        </w:rPr>
        <w:t xml:space="preserve">, </w:t>
      </w:r>
      <w:proofErr w:type="spellStart"/>
      <w:r>
        <w:rPr>
          <w:rStyle w:val="selectable-text"/>
          <w:rFonts w:eastAsiaTheme="majorEastAsia"/>
        </w:rPr>
        <w:t>uncovering</w:t>
      </w:r>
      <w:proofErr w:type="spellEnd"/>
      <w:r>
        <w:rPr>
          <w:rStyle w:val="selectable-text"/>
          <w:rFonts w:eastAsiaTheme="majorEastAsia"/>
        </w:rPr>
        <w:t xml:space="preserve"> </w:t>
      </w:r>
      <w:proofErr w:type="spellStart"/>
      <w:r>
        <w:rPr>
          <w:rStyle w:val="selectable-text"/>
          <w:rFonts w:eastAsiaTheme="majorEastAsia"/>
        </w:rPr>
        <w:t>its</w:t>
      </w:r>
      <w:proofErr w:type="spellEnd"/>
      <w:r>
        <w:rPr>
          <w:rStyle w:val="selectable-text"/>
          <w:rFonts w:eastAsiaTheme="majorEastAsia"/>
        </w:rPr>
        <w:t xml:space="preserve"> </w:t>
      </w:r>
      <w:proofErr w:type="spellStart"/>
      <w:r>
        <w:rPr>
          <w:rStyle w:val="selectable-text"/>
          <w:rFonts w:eastAsiaTheme="majorEastAsia"/>
        </w:rPr>
        <w:t>coded</w:t>
      </w:r>
      <w:proofErr w:type="spellEnd"/>
      <w:r>
        <w:rPr>
          <w:rStyle w:val="selectable-text"/>
          <w:rFonts w:eastAsiaTheme="majorEastAsia"/>
        </w:rPr>
        <w:t xml:space="preserve"> </w:t>
      </w:r>
      <w:proofErr w:type="spellStart"/>
      <w:r>
        <w:rPr>
          <w:rStyle w:val="selectable-text"/>
          <w:rFonts w:eastAsiaTheme="majorEastAsia"/>
        </w:rPr>
        <w:t>homoeroticism</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repression</w:t>
      </w:r>
      <w:proofErr w:type="spellEnd"/>
      <w:r>
        <w:rPr>
          <w:rStyle w:val="selectable-text"/>
          <w:rFonts w:eastAsiaTheme="majorEastAsia"/>
        </w:rPr>
        <w:t xml:space="preserve"> of </w:t>
      </w:r>
      <w:proofErr w:type="spellStart"/>
      <w:r>
        <w:rPr>
          <w:rStyle w:val="selectable-text"/>
          <w:rFonts w:eastAsiaTheme="majorEastAsia"/>
        </w:rPr>
        <w:t>non-formative</w:t>
      </w:r>
      <w:proofErr w:type="spellEnd"/>
      <w:r>
        <w:rPr>
          <w:rStyle w:val="selectable-text"/>
          <w:rFonts w:eastAsiaTheme="majorEastAsia"/>
        </w:rPr>
        <w:t xml:space="preserve"> </w:t>
      </w:r>
      <w:proofErr w:type="spellStart"/>
      <w:r>
        <w:rPr>
          <w:rStyle w:val="selectable-text"/>
          <w:rFonts w:eastAsiaTheme="majorEastAsia"/>
        </w:rPr>
        <w:t>desires</w:t>
      </w:r>
      <w:proofErr w:type="spellEnd"/>
      <w:r>
        <w:rPr>
          <w:rStyle w:val="selectable-text"/>
          <w:rFonts w:eastAsiaTheme="majorEastAsia"/>
        </w:rPr>
        <w:t xml:space="preserve">. </w:t>
      </w:r>
      <w:proofErr w:type="spellStart"/>
      <w:r>
        <w:rPr>
          <w:rStyle w:val="selectable-text"/>
          <w:rFonts w:eastAsiaTheme="majorEastAsia"/>
        </w:rPr>
        <w:t>Sedgwick</w:t>
      </w:r>
      <w:proofErr w:type="spellEnd"/>
      <w:r>
        <w:rPr>
          <w:rStyle w:val="selectable-text"/>
          <w:rFonts w:eastAsiaTheme="majorEastAsia"/>
        </w:rPr>
        <w:t xml:space="preserve"> </w:t>
      </w:r>
      <w:proofErr w:type="spellStart"/>
      <w:r>
        <w:rPr>
          <w:rStyle w:val="selectable-text"/>
          <w:rFonts w:eastAsiaTheme="majorEastAsia"/>
        </w:rPr>
        <w:t>suggest</w:t>
      </w:r>
      <w:proofErr w:type="spellEnd"/>
      <w:r>
        <w:rPr>
          <w:rStyle w:val="selectable-text"/>
          <w:rFonts w:eastAsiaTheme="majorEastAsia"/>
        </w:rPr>
        <w:t xml:space="preserve"> </w:t>
      </w:r>
      <w:proofErr w:type="spellStart"/>
      <w:r>
        <w:rPr>
          <w:rStyle w:val="selectable-text"/>
          <w:rFonts w:eastAsiaTheme="majorEastAsia"/>
        </w:rPr>
        <w:t>that</w:t>
      </w:r>
      <w:proofErr w:type="spellEnd"/>
      <w:r>
        <w:rPr>
          <w:rStyle w:val="selectable-text"/>
          <w:rFonts w:eastAsiaTheme="majorEastAsia"/>
        </w:rPr>
        <w:t xml:space="preserve"> </w:t>
      </w:r>
      <w:proofErr w:type="spellStart"/>
      <w:r>
        <w:rPr>
          <w:rStyle w:val="selectable-text"/>
          <w:rFonts w:eastAsiaTheme="majorEastAsia"/>
        </w:rPr>
        <w:t>Dorian`s</w:t>
      </w:r>
      <w:proofErr w:type="spellEnd"/>
      <w:r>
        <w:rPr>
          <w:rStyle w:val="selectable-text"/>
          <w:rFonts w:eastAsiaTheme="majorEastAsia"/>
        </w:rPr>
        <w:t xml:space="preserve"> </w:t>
      </w:r>
      <w:proofErr w:type="spellStart"/>
      <w:r>
        <w:rPr>
          <w:rStyle w:val="selectable-text"/>
          <w:rFonts w:eastAsiaTheme="majorEastAsia"/>
        </w:rPr>
        <w:t>internal</w:t>
      </w:r>
      <w:proofErr w:type="spellEnd"/>
      <w:r>
        <w:rPr>
          <w:rStyle w:val="selectable-text"/>
          <w:rFonts w:eastAsiaTheme="majorEastAsia"/>
        </w:rPr>
        <w:t xml:space="preserve"> </w:t>
      </w:r>
      <w:proofErr w:type="spellStart"/>
      <w:r>
        <w:rPr>
          <w:rStyle w:val="selectable-text"/>
          <w:rFonts w:eastAsiaTheme="majorEastAsia"/>
        </w:rPr>
        <w:t>conflict</w:t>
      </w:r>
      <w:proofErr w:type="spellEnd"/>
      <w:r>
        <w:rPr>
          <w:rStyle w:val="selectable-text"/>
          <w:rFonts w:eastAsiaTheme="majorEastAsia"/>
        </w:rPr>
        <w:t xml:space="preserve"> </w:t>
      </w:r>
      <w:proofErr w:type="spellStart"/>
      <w:r>
        <w:rPr>
          <w:rStyle w:val="selectable-text"/>
          <w:rFonts w:eastAsiaTheme="majorEastAsia"/>
        </w:rPr>
        <w:t>reflects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social</w:t>
      </w:r>
      <w:proofErr w:type="spellEnd"/>
      <w:r>
        <w:rPr>
          <w:rStyle w:val="selectable-text"/>
          <w:rFonts w:eastAsiaTheme="majorEastAsia"/>
        </w:rPr>
        <w:t xml:space="preserve"> </w:t>
      </w:r>
      <w:proofErr w:type="spellStart"/>
      <w:r>
        <w:rPr>
          <w:rStyle w:val="selectable-text"/>
          <w:rFonts w:eastAsiaTheme="majorEastAsia"/>
        </w:rPr>
        <w:t>anxieties</w:t>
      </w:r>
      <w:proofErr w:type="spellEnd"/>
      <w:r>
        <w:rPr>
          <w:rStyle w:val="selectable-text"/>
          <w:rFonts w:eastAsiaTheme="majorEastAsia"/>
        </w:rPr>
        <w:t xml:space="preserve"> </w:t>
      </w:r>
      <w:proofErr w:type="spellStart"/>
      <w:r>
        <w:rPr>
          <w:rStyle w:val="selectable-text"/>
          <w:rFonts w:eastAsiaTheme="majorEastAsia"/>
        </w:rPr>
        <w:t>about</w:t>
      </w:r>
      <w:proofErr w:type="spellEnd"/>
      <w:r>
        <w:rPr>
          <w:rStyle w:val="selectable-text"/>
          <w:rFonts w:eastAsiaTheme="majorEastAsia"/>
        </w:rPr>
        <w:t xml:space="preserve"> </w:t>
      </w:r>
      <w:proofErr w:type="spellStart"/>
      <w:r>
        <w:rPr>
          <w:rStyle w:val="selectable-text"/>
          <w:rFonts w:eastAsiaTheme="majorEastAsia"/>
        </w:rPr>
        <w:t>identity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cost</w:t>
      </w:r>
      <w:proofErr w:type="spellEnd"/>
      <w:r>
        <w:rPr>
          <w:rStyle w:val="selectable-text"/>
          <w:rFonts w:eastAsiaTheme="majorEastAsia"/>
        </w:rPr>
        <w:t xml:space="preserve"> of self-</w:t>
      </w:r>
      <w:proofErr w:type="spellStart"/>
      <w:r>
        <w:rPr>
          <w:rStyle w:val="selectable-text"/>
          <w:rFonts w:eastAsiaTheme="majorEastAsia"/>
        </w:rPr>
        <w:t>deception</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moral </w:t>
      </w:r>
      <w:proofErr w:type="spellStart"/>
      <w:r>
        <w:rPr>
          <w:rStyle w:val="selectable-text"/>
          <w:rFonts w:eastAsiaTheme="majorEastAsia"/>
        </w:rPr>
        <w:t>evasion</w:t>
      </w:r>
      <w:proofErr w:type="spellEnd"/>
      <w:r>
        <w:rPr>
          <w:rStyle w:val="selectable-text"/>
          <w:rFonts w:eastAsiaTheme="majorEastAsia"/>
        </w:rPr>
        <w:t xml:space="preserve">. </w:t>
      </w:r>
      <w:proofErr w:type="spellStart"/>
      <w:r>
        <w:rPr>
          <w:rStyle w:val="selectable-text"/>
          <w:rFonts w:eastAsiaTheme="majorEastAsia"/>
        </w:rPr>
        <w:t>Regenia</w:t>
      </w:r>
      <w:proofErr w:type="spellEnd"/>
      <w:r>
        <w:rPr>
          <w:rStyle w:val="selectable-text"/>
          <w:rFonts w:eastAsiaTheme="majorEastAsia"/>
        </w:rPr>
        <w:t xml:space="preserve"> </w:t>
      </w:r>
      <w:proofErr w:type="spellStart"/>
      <w:r>
        <w:rPr>
          <w:rStyle w:val="selectable-text"/>
          <w:rFonts w:eastAsiaTheme="majorEastAsia"/>
        </w:rPr>
        <w:t>Gagnier`s</w:t>
      </w:r>
      <w:proofErr w:type="spellEnd"/>
      <w:r>
        <w:rPr>
          <w:rStyle w:val="selectable-text"/>
          <w:rFonts w:eastAsiaTheme="majorEastAsia"/>
        </w:rPr>
        <w:t xml:space="preserve"> (1986) </w:t>
      </w:r>
      <w:proofErr w:type="spellStart"/>
      <w:r>
        <w:rPr>
          <w:rStyle w:val="selectable-text"/>
          <w:rFonts w:eastAsiaTheme="majorEastAsia"/>
        </w:rPr>
        <w:t>work</w:t>
      </w:r>
      <w:proofErr w:type="spellEnd"/>
      <w:r>
        <w:rPr>
          <w:rStyle w:val="selectable-text"/>
          <w:rFonts w:eastAsiaTheme="majorEastAsia"/>
        </w:rPr>
        <w:t xml:space="preserve"> </w:t>
      </w:r>
      <w:proofErr w:type="spellStart"/>
      <w:r>
        <w:rPr>
          <w:rStyle w:val="selectable-text"/>
          <w:rFonts w:eastAsiaTheme="majorEastAsia"/>
        </w:rPr>
        <w:t>argues</w:t>
      </w:r>
      <w:proofErr w:type="spellEnd"/>
      <w:r>
        <w:rPr>
          <w:rStyle w:val="selectable-text"/>
          <w:rFonts w:eastAsiaTheme="majorEastAsia"/>
        </w:rPr>
        <w:t xml:space="preserve"> </w:t>
      </w:r>
      <w:proofErr w:type="spellStart"/>
      <w:r>
        <w:rPr>
          <w:rStyle w:val="selectable-text"/>
          <w:rFonts w:eastAsiaTheme="majorEastAsia"/>
        </w:rPr>
        <w:t>that</w:t>
      </w:r>
      <w:proofErr w:type="spellEnd"/>
      <w:r>
        <w:rPr>
          <w:rStyle w:val="selectable-text"/>
          <w:rFonts w:eastAsiaTheme="majorEastAsia"/>
        </w:rPr>
        <w:t xml:space="preserve"> </w:t>
      </w:r>
      <w:proofErr w:type="spellStart"/>
      <w:r>
        <w:rPr>
          <w:rStyle w:val="selectable-text"/>
          <w:rFonts w:eastAsiaTheme="majorEastAsia"/>
        </w:rPr>
        <w:t>Dorian`s</w:t>
      </w:r>
      <w:proofErr w:type="spellEnd"/>
      <w:r>
        <w:rPr>
          <w:rStyle w:val="selectable-text"/>
          <w:rFonts w:eastAsiaTheme="majorEastAsia"/>
        </w:rPr>
        <w:t xml:space="preserve"> </w:t>
      </w:r>
      <w:proofErr w:type="spellStart"/>
      <w:r>
        <w:rPr>
          <w:rStyle w:val="selectable-text"/>
          <w:rFonts w:eastAsiaTheme="majorEastAsia"/>
        </w:rPr>
        <w:t>Faustian</w:t>
      </w:r>
      <w:proofErr w:type="spellEnd"/>
      <w:r>
        <w:rPr>
          <w:rStyle w:val="selectable-text"/>
          <w:rFonts w:eastAsiaTheme="majorEastAsia"/>
        </w:rPr>
        <w:t xml:space="preserve"> </w:t>
      </w:r>
      <w:proofErr w:type="spellStart"/>
      <w:r>
        <w:rPr>
          <w:rStyle w:val="selectable-text"/>
          <w:rFonts w:eastAsiaTheme="majorEastAsia"/>
        </w:rPr>
        <w:t>pact</w:t>
      </w:r>
      <w:proofErr w:type="spellEnd"/>
      <w:r>
        <w:rPr>
          <w:rStyle w:val="selectable-text"/>
          <w:rFonts w:eastAsiaTheme="majorEastAsia"/>
        </w:rPr>
        <w:t xml:space="preserve"> </w:t>
      </w:r>
      <w:proofErr w:type="spellStart"/>
      <w:r>
        <w:rPr>
          <w:rStyle w:val="selectable-text"/>
          <w:rFonts w:eastAsiaTheme="majorEastAsia"/>
        </w:rPr>
        <w:t>symbolizes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consequences</w:t>
      </w:r>
      <w:proofErr w:type="spellEnd"/>
      <w:r>
        <w:rPr>
          <w:rStyle w:val="selectable-text"/>
          <w:rFonts w:eastAsiaTheme="majorEastAsia"/>
        </w:rPr>
        <w:t xml:space="preserve"> of an </w:t>
      </w:r>
      <w:proofErr w:type="spellStart"/>
      <w:r>
        <w:rPr>
          <w:rStyle w:val="selectable-text"/>
          <w:rFonts w:eastAsiaTheme="majorEastAsia"/>
        </w:rPr>
        <w:t>uncontrolled</w:t>
      </w:r>
      <w:proofErr w:type="spellEnd"/>
      <w:r>
        <w:rPr>
          <w:rStyle w:val="selectable-text"/>
          <w:rFonts w:eastAsiaTheme="majorEastAsia"/>
        </w:rPr>
        <w:t xml:space="preserve"> </w:t>
      </w:r>
      <w:proofErr w:type="spellStart"/>
      <w:r>
        <w:rPr>
          <w:rStyle w:val="selectable-text"/>
          <w:rFonts w:eastAsiaTheme="majorEastAsia"/>
        </w:rPr>
        <w:t>pursuit</w:t>
      </w:r>
      <w:proofErr w:type="spellEnd"/>
      <w:r>
        <w:rPr>
          <w:rStyle w:val="selectable-text"/>
          <w:rFonts w:eastAsiaTheme="majorEastAsia"/>
        </w:rPr>
        <w:t xml:space="preserve"> of </w:t>
      </w:r>
      <w:proofErr w:type="spellStart"/>
      <w:r>
        <w:rPr>
          <w:rStyle w:val="selectable-text"/>
          <w:rFonts w:eastAsiaTheme="majorEastAsia"/>
        </w:rPr>
        <w:t>pleasure</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commercialization</w:t>
      </w:r>
      <w:proofErr w:type="spellEnd"/>
      <w:r>
        <w:rPr>
          <w:rStyle w:val="selectable-text"/>
          <w:rFonts w:eastAsiaTheme="majorEastAsia"/>
        </w:rPr>
        <w:t xml:space="preserve"> of </w:t>
      </w:r>
      <w:proofErr w:type="spellStart"/>
      <w:r>
        <w:rPr>
          <w:rStyle w:val="selectable-text"/>
          <w:rFonts w:eastAsiaTheme="majorEastAsia"/>
        </w:rPr>
        <w:t>beauty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contextualizes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novel</w:t>
      </w:r>
      <w:proofErr w:type="spellEnd"/>
      <w:r>
        <w:rPr>
          <w:rStyle w:val="selectable-text"/>
          <w:rFonts w:eastAsiaTheme="majorEastAsia"/>
        </w:rPr>
        <w:t xml:space="preserve"> </w:t>
      </w:r>
      <w:proofErr w:type="spellStart"/>
      <w:r>
        <w:rPr>
          <w:rStyle w:val="selectable-text"/>
          <w:rFonts w:eastAsiaTheme="majorEastAsia"/>
        </w:rPr>
        <w:t>within</w:t>
      </w:r>
      <w:proofErr w:type="spellEnd"/>
      <w:r>
        <w:rPr>
          <w:rStyle w:val="selectable-text"/>
          <w:rFonts w:eastAsiaTheme="majorEastAsia"/>
        </w:rPr>
        <w:t xml:space="preserve"> </w:t>
      </w:r>
      <w:proofErr w:type="spellStart"/>
      <w:r>
        <w:rPr>
          <w:rStyle w:val="selectable-text"/>
          <w:rFonts w:eastAsiaTheme="majorEastAsia"/>
        </w:rPr>
        <w:t>Victorian</w:t>
      </w:r>
      <w:proofErr w:type="spellEnd"/>
      <w:r>
        <w:rPr>
          <w:rStyle w:val="selectable-text"/>
          <w:rFonts w:eastAsiaTheme="majorEastAsia"/>
        </w:rPr>
        <w:t xml:space="preserve"> </w:t>
      </w:r>
      <w:proofErr w:type="spellStart"/>
      <w:r>
        <w:rPr>
          <w:rStyle w:val="selectable-text"/>
          <w:rFonts w:eastAsiaTheme="majorEastAsia"/>
        </w:rPr>
        <w:t>debates</w:t>
      </w:r>
      <w:proofErr w:type="spellEnd"/>
      <w:r>
        <w:rPr>
          <w:rStyle w:val="selectable-text"/>
          <w:rFonts w:eastAsiaTheme="majorEastAsia"/>
        </w:rPr>
        <w:t xml:space="preserve"> on </w:t>
      </w:r>
      <w:proofErr w:type="spellStart"/>
      <w:r>
        <w:rPr>
          <w:rStyle w:val="selectable-text"/>
          <w:rFonts w:eastAsiaTheme="majorEastAsia"/>
        </w:rPr>
        <w:t>morality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individualism</w:t>
      </w:r>
      <w:proofErr w:type="spellEnd"/>
      <w:r>
        <w:rPr>
          <w:rStyle w:val="selectable-text"/>
          <w:rFonts w:eastAsiaTheme="majorEastAsia"/>
        </w:rPr>
        <w:t xml:space="preserve">. </w:t>
      </w:r>
    </w:p>
    <w:p w14:paraId="64DDEE2A" w14:textId="77777777" w:rsidR="0079785E" w:rsidRDefault="0079785E" w:rsidP="0079785E">
      <w:pPr>
        <w:jc w:val="both"/>
        <w:rPr>
          <w:rStyle w:val="selectable-text"/>
          <w:rFonts w:eastAsiaTheme="majorEastAsia"/>
        </w:rPr>
      </w:pPr>
    </w:p>
    <w:p w14:paraId="58F15BB5" w14:textId="77777777" w:rsidR="00E3302B" w:rsidRDefault="00E3302B" w:rsidP="0079785E">
      <w:pPr>
        <w:jc w:val="both"/>
        <w:rPr>
          <w:rStyle w:val="selectable-text"/>
          <w:rFonts w:eastAsiaTheme="majorEastAsia"/>
        </w:rPr>
      </w:pPr>
      <w:proofErr w:type="spellStart"/>
      <w:r w:rsidRPr="00925732">
        <w:rPr>
          <w:rStyle w:val="selectable-text"/>
          <w:rFonts w:eastAsiaTheme="majorEastAsia"/>
          <w:i/>
        </w:rPr>
        <w:t>The</w:t>
      </w:r>
      <w:proofErr w:type="spellEnd"/>
      <w:r w:rsidRPr="00925732">
        <w:rPr>
          <w:rStyle w:val="selectable-text"/>
          <w:rFonts w:eastAsiaTheme="majorEastAsia"/>
          <w:i/>
        </w:rPr>
        <w:t xml:space="preserve"> </w:t>
      </w:r>
      <w:proofErr w:type="spellStart"/>
      <w:r w:rsidRPr="00925732">
        <w:rPr>
          <w:rStyle w:val="selectable-text"/>
          <w:rFonts w:eastAsiaTheme="majorEastAsia"/>
          <w:i/>
        </w:rPr>
        <w:t>Substance</w:t>
      </w:r>
      <w:proofErr w:type="spellEnd"/>
      <w:r>
        <w:rPr>
          <w:rStyle w:val="selectable-text"/>
          <w:rFonts w:eastAsiaTheme="majorEastAsia"/>
        </w:rPr>
        <w:t xml:space="preserve"> is a </w:t>
      </w:r>
      <w:proofErr w:type="spellStart"/>
      <w:r>
        <w:rPr>
          <w:rStyle w:val="selectable-text"/>
          <w:rFonts w:eastAsiaTheme="majorEastAsia"/>
        </w:rPr>
        <w:t>psychological</w:t>
      </w:r>
      <w:proofErr w:type="spellEnd"/>
      <w:r>
        <w:rPr>
          <w:rStyle w:val="selectable-text"/>
          <w:rFonts w:eastAsiaTheme="majorEastAsia"/>
        </w:rPr>
        <w:t xml:space="preserve"> </w:t>
      </w:r>
      <w:proofErr w:type="spellStart"/>
      <w:r>
        <w:rPr>
          <w:rStyle w:val="selectable-text"/>
          <w:rFonts w:eastAsiaTheme="majorEastAsia"/>
        </w:rPr>
        <w:t>horror</w:t>
      </w:r>
      <w:proofErr w:type="spellEnd"/>
      <w:r>
        <w:rPr>
          <w:rStyle w:val="selectable-text"/>
          <w:rFonts w:eastAsiaTheme="majorEastAsia"/>
        </w:rPr>
        <w:t xml:space="preserve"> film </w:t>
      </w:r>
      <w:proofErr w:type="spellStart"/>
      <w:r>
        <w:rPr>
          <w:rStyle w:val="selectable-text"/>
          <w:rFonts w:eastAsiaTheme="majorEastAsia"/>
        </w:rPr>
        <w:t>written</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directed</w:t>
      </w:r>
      <w:proofErr w:type="spellEnd"/>
      <w:r>
        <w:rPr>
          <w:rStyle w:val="selectable-text"/>
          <w:rFonts w:eastAsiaTheme="majorEastAsia"/>
        </w:rPr>
        <w:t xml:space="preserve"> </w:t>
      </w:r>
      <w:proofErr w:type="spellStart"/>
      <w:r>
        <w:rPr>
          <w:rStyle w:val="selectable-text"/>
          <w:rFonts w:eastAsiaTheme="majorEastAsia"/>
        </w:rPr>
        <w:t>by</w:t>
      </w:r>
      <w:proofErr w:type="spellEnd"/>
      <w:r>
        <w:rPr>
          <w:rStyle w:val="selectable-text"/>
          <w:rFonts w:eastAsiaTheme="majorEastAsia"/>
        </w:rPr>
        <w:t xml:space="preserve"> </w:t>
      </w:r>
      <w:proofErr w:type="spellStart"/>
      <w:r>
        <w:rPr>
          <w:rStyle w:val="selectable-text"/>
          <w:rFonts w:eastAsiaTheme="majorEastAsia"/>
        </w:rPr>
        <w:t>Coralie</w:t>
      </w:r>
      <w:proofErr w:type="spellEnd"/>
      <w:r>
        <w:rPr>
          <w:rStyle w:val="selectable-text"/>
          <w:rFonts w:eastAsiaTheme="majorEastAsia"/>
        </w:rPr>
        <w:t xml:space="preserve"> </w:t>
      </w:r>
      <w:proofErr w:type="spellStart"/>
      <w:r>
        <w:rPr>
          <w:rStyle w:val="selectable-text"/>
          <w:rFonts w:eastAsiaTheme="majorEastAsia"/>
        </w:rPr>
        <w:t>Fargeat</w:t>
      </w:r>
      <w:proofErr w:type="spellEnd"/>
      <w:r>
        <w:rPr>
          <w:rStyle w:val="selectable-text"/>
          <w:rFonts w:eastAsiaTheme="majorEastAsia"/>
        </w:rPr>
        <w:t xml:space="preserve"> in 2024. </w:t>
      </w:r>
      <w:proofErr w:type="spellStart"/>
      <w:r>
        <w:rPr>
          <w:rStyle w:val="selectable-text"/>
          <w:rFonts w:eastAsiaTheme="majorEastAsia"/>
        </w:rPr>
        <w:t>The</w:t>
      </w:r>
      <w:proofErr w:type="spellEnd"/>
      <w:r>
        <w:rPr>
          <w:rStyle w:val="selectable-text"/>
          <w:rFonts w:eastAsiaTheme="majorEastAsia"/>
        </w:rPr>
        <w:t xml:space="preserve"> film </w:t>
      </w:r>
      <w:proofErr w:type="spellStart"/>
      <w:r>
        <w:rPr>
          <w:rStyle w:val="selectable-text"/>
          <w:rFonts w:eastAsiaTheme="majorEastAsia"/>
        </w:rPr>
        <w:t>criticizes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modern </w:t>
      </w:r>
      <w:proofErr w:type="spellStart"/>
      <w:r>
        <w:rPr>
          <w:rStyle w:val="selectable-text"/>
          <w:rFonts w:eastAsiaTheme="majorEastAsia"/>
        </w:rPr>
        <w:t>standardization</w:t>
      </w:r>
      <w:proofErr w:type="spellEnd"/>
      <w:r>
        <w:rPr>
          <w:rStyle w:val="selectable-text"/>
          <w:rFonts w:eastAsiaTheme="majorEastAsia"/>
        </w:rPr>
        <w:t xml:space="preserve"> of </w:t>
      </w:r>
      <w:proofErr w:type="spellStart"/>
      <w:r>
        <w:rPr>
          <w:rStyle w:val="selectable-text"/>
          <w:rFonts w:eastAsiaTheme="majorEastAsia"/>
        </w:rPr>
        <w:t>beauty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ageism</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pressure</w:t>
      </w:r>
      <w:proofErr w:type="spellEnd"/>
      <w:r>
        <w:rPr>
          <w:rStyle w:val="selectable-text"/>
          <w:rFonts w:eastAsiaTheme="majorEastAsia"/>
        </w:rPr>
        <w:t xml:space="preserve"> </w:t>
      </w:r>
      <w:proofErr w:type="spellStart"/>
      <w:r>
        <w:rPr>
          <w:rStyle w:val="selectable-text"/>
          <w:rFonts w:eastAsiaTheme="majorEastAsia"/>
        </w:rPr>
        <w:t>exerted</w:t>
      </w:r>
      <w:proofErr w:type="spellEnd"/>
      <w:r>
        <w:rPr>
          <w:rStyle w:val="selectable-text"/>
          <w:rFonts w:eastAsiaTheme="majorEastAsia"/>
        </w:rPr>
        <w:t xml:space="preserve"> on </w:t>
      </w:r>
      <w:proofErr w:type="spellStart"/>
      <w:r>
        <w:rPr>
          <w:rStyle w:val="selectable-text"/>
          <w:rFonts w:eastAsiaTheme="majorEastAsia"/>
        </w:rPr>
        <w:t>women</w:t>
      </w:r>
      <w:proofErr w:type="spellEnd"/>
      <w:r>
        <w:rPr>
          <w:rStyle w:val="selectable-text"/>
          <w:rFonts w:eastAsiaTheme="majorEastAsia"/>
        </w:rPr>
        <w:t xml:space="preserve">, </w:t>
      </w:r>
      <w:proofErr w:type="spellStart"/>
      <w:r>
        <w:rPr>
          <w:rStyle w:val="selectable-text"/>
          <w:rFonts w:eastAsiaTheme="majorEastAsia"/>
        </w:rPr>
        <w:t>particularly</w:t>
      </w:r>
      <w:proofErr w:type="spellEnd"/>
      <w:r>
        <w:rPr>
          <w:rStyle w:val="selectable-text"/>
          <w:rFonts w:eastAsiaTheme="majorEastAsia"/>
        </w:rPr>
        <w:t xml:space="preserve"> </w:t>
      </w:r>
      <w:proofErr w:type="spellStart"/>
      <w:r>
        <w:rPr>
          <w:rStyle w:val="selectable-text"/>
          <w:rFonts w:eastAsiaTheme="majorEastAsia"/>
        </w:rPr>
        <w:t>by</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entertainment</w:t>
      </w:r>
      <w:proofErr w:type="spellEnd"/>
      <w:r>
        <w:rPr>
          <w:rStyle w:val="selectable-text"/>
          <w:rFonts w:eastAsiaTheme="majorEastAsia"/>
        </w:rPr>
        <w:t xml:space="preserve"> </w:t>
      </w:r>
      <w:proofErr w:type="spellStart"/>
      <w:r>
        <w:rPr>
          <w:rStyle w:val="selectable-text"/>
          <w:rFonts w:eastAsiaTheme="majorEastAsia"/>
        </w:rPr>
        <w:t>industry</w:t>
      </w:r>
      <w:proofErr w:type="spellEnd"/>
      <w:r>
        <w:rPr>
          <w:rStyle w:val="selectable-text"/>
          <w:rFonts w:eastAsiaTheme="majorEastAsia"/>
        </w:rPr>
        <w:t xml:space="preserve">. Elisabeth </w:t>
      </w:r>
      <w:proofErr w:type="spellStart"/>
      <w:r>
        <w:rPr>
          <w:rStyle w:val="selectable-text"/>
          <w:rFonts w:eastAsiaTheme="majorEastAsia"/>
        </w:rPr>
        <w:t>Sparkle</w:t>
      </w:r>
      <w:proofErr w:type="spellEnd"/>
      <w:r>
        <w:rPr>
          <w:rStyle w:val="selectable-text"/>
          <w:rFonts w:eastAsiaTheme="majorEastAsia"/>
        </w:rPr>
        <w:t xml:space="preserve"> (Demi </w:t>
      </w:r>
      <w:proofErr w:type="spellStart"/>
      <w:r>
        <w:rPr>
          <w:rStyle w:val="selectable-text"/>
          <w:rFonts w:eastAsiaTheme="majorEastAsia"/>
        </w:rPr>
        <w:t>Moore</w:t>
      </w:r>
      <w:proofErr w:type="spellEnd"/>
      <w:r>
        <w:rPr>
          <w:rStyle w:val="selectable-text"/>
          <w:rFonts w:eastAsiaTheme="majorEastAsia"/>
        </w:rPr>
        <w:t xml:space="preserve">) an </w:t>
      </w:r>
      <w:proofErr w:type="spellStart"/>
      <w:r>
        <w:rPr>
          <w:rStyle w:val="selectable-text"/>
          <w:rFonts w:eastAsiaTheme="majorEastAsia"/>
        </w:rPr>
        <w:t>aerobic</w:t>
      </w:r>
      <w:proofErr w:type="spellEnd"/>
      <w:r>
        <w:rPr>
          <w:rStyle w:val="selectable-text"/>
          <w:rFonts w:eastAsiaTheme="majorEastAsia"/>
        </w:rPr>
        <w:t xml:space="preserve"> star, </w:t>
      </w:r>
      <w:proofErr w:type="spellStart"/>
      <w:r>
        <w:rPr>
          <w:rStyle w:val="selectable-text"/>
          <w:rFonts w:eastAsiaTheme="majorEastAsia"/>
        </w:rPr>
        <w:t>once</w:t>
      </w:r>
      <w:proofErr w:type="spellEnd"/>
      <w:r>
        <w:rPr>
          <w:rStyle w:val="selectable-text"/>
          <w:rFonts w:eastAsiaTheme="majorEastAsia"/>
        </w:rPr>
        <w:t xml:space="preserve"> </w:t>
      </w:r>
      <w:proofErr w:type="spellStart"/>
      <w:r>
        <w:rPr>
          <w:rStyle w:val="selectable-text"/>
          <w:rFonts w:eastAsiaTheme="majorEastAsia"/>
        </w:rPr>
        <w:t>so</w:t>
      </w:r>
      <w:proofErr w:type="spellEnd"/>
      <w:r>
        <w:rPr>
          <w:rStyle w:val="selectable-text"/>
          <w:rFonts w:eastAsiaTheme="majorEastAsia"/>
        </w:rPr>
        <w:t xml:space="preserve"> </w:t>
      </w:r>
      <w:proofErr w:type="spellStart"/>
      <w:r>
        <w:rPr>
          <w:rStyle w:val="selectable-text"/>
          <w:rFonts w:eastAsiaTheme="majorEastAsia"/>
        </w:rPr>
        <w:t>famous</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have</w:t>
      </w:r>
      <w:proofErr w:type="spellEnd"/>
      <w:r>
        <w:rPr>
          <w:rStyle w:val="selectable-text"/>
          <w:rFonts w:eastAsiaTheme="majorEastAsia"/>
        </w:rPr>
        <w:t xml:space="preserve"> </w:t>
      </w:r>
      <w:proofErr w:type="spellStart"/>
      <w:r>
        <w:rPr>
          <w:rStyle w:val="selectable-text"/>
          <w:rFonts w:eastAsiaTheme="majorEastAsia"/>
        </w:rPr>
        <w:t>earned</w:t>
      </w:r>
      <w:proofErr w:type="spellEnd"/>
      <w:r>
        <w:rPr>
          <w:rStyle w:val="selectable-text"/>
          <w:rFonts w:eastAsiaTheme="majorEastAsia"/>
        </w:rPr>
        <w:t xml:space="preserve"> a star on </w:t>
      </w:r>
      <w:proofErr w:type="spellStart"/>
      <w:r>
        <w:rPr>
          <w:rStyle w:val="selectable-text"/>
          <w:rFonts w:eastAsiaTheme="majorEastAsia"/>
        </w:rPr>
        <w:t>the</w:t>
      </w:r>
      <w:proofErr w:type="spellEnd"/>
      <w:r>
        <w:rPr>
          <w:rStyle w:val="selectable-text"/>
          <w:rFonts w:eastAsiaTheme="majorEastAsia"/>
        </w:rPr>
        <w:t xml:space="preserve"> Hollywood </w:t>
      </w:r>
      <w:proofErr w:type="spellStart"/>
      <w:r>
        <w:rPr>
          <w:rStyle w:val="selectable-text"/>
          <w:rFonts w:eastAsiaTheme="majorEastAsia"/>
        </w:rPr>
        <w:t>Walk</w:t>
      </w:r>
      <w:proofErr w:type="spellEnd"/>
      <w:r>
        <w:rPr>
          <w:rStyle w:val="selectable-text"/>
          <w:rFonts w:eastAsiaTheme="majorEastAsia"/>
        </w:rPr>
        <w:t xml:space="preserve"> of </w:t>
      </w:r>
      <w:proofErr w:type="spellStart"/>
      <w:r>
        <w:rPr>
          <w:rStyle w:val="selectable-text"/>
          <w:rFonts w:eastAsiaTheme="majorEastAsia"/>
        </w:rPr>
        <w:t>Fame</w:t>
      </w:r>
      <w:proofErr w:type="spellEnd"/>
      <w:r>
        <w:rPr>
          <w:rStyle w:val="selectable-text"/>
          <w:rFonts w:eastAsiaTheme="majorEastAsia"/>
        </w:rPr>
        <w:t xml:space="preserve">, is </w:t>
      </w:r>
      <w:proofErr w:type="spellStart"/>
      <w:r>
        <w:rPr>
          <w:rStyle w:val="selectable-text"/>
          <w:rFonts w:eastAsiaTheme="majorEastAsia"/>
        </w:rPr>
        <w:t>fired</w:t>
      </w:r>
      <w:proofErr w:type="spellEnd"/>
      <w:r>
        <w:rPr>
          <w:rStyle w:val="selectable-text"/>
          <w:rFonts w:eastAsiaTheme="majorEastAsia"/>
        </w:rPr>
        <w:t xml:space="preserve"> </w:t>
      </w:r>
      <w:proofErr w:type="spellStart"/>
      <w:r>
        <w:rPr>
          <w:rStyle w:val="selectable-text"/>
          <w:rFonts w:eastAsiaTheme="majorEastAsia"/>
        </w:rPr>
        <w:t>by</w:t>
      </w:r>
      <w:proofErr w:type="spellEnd"/>
      <w:r>
        <w:rPr>
          <w:rStyle w:val="selectable-text"/>
          <w:rFonts w:eastAsiaTheme="majorEastAsia"/>
        </w:rPr>
        <w:t xml:space="preserve"> her </w:t>
      </w:r>
      <w:proofErr w:type="spellStart"/>
      <w:r w:rsidRPr="001E4CCB">
        <w:rPr>
          <w:rStyle w:val="selectable-text"/>
          <w:rFonts w:eastAsiaTheme="majorEastAsia"/>
        </w:rPr>
        <w:t>misogynist</w:t>
      </w:r>
      <w:proofErr w:type="spellEnd"/>
      <w:r w:rsidRPr="001E4CCB">
        <w:rPr>
          <w:rStyle w:val="selectable-text"/>
          <w:rFonts w:eastAsiaTheme="majorEastAsia"/>
        </w:rPr>
        <w:t xml:space="preserve"> </w:t>
      </w:r>
      <w:proofErr w:type="spellStart"/>
      <w:r w:rsidRPr="001E4CCB">
        <w:rPr>
          <w:rStyle w:val="selectable-text"/>
          <w:rFonts w:eastAsiaTheme="majorEastAsia"/>
        </w:rPr>
        <w:t>boss</w:t>
      </w:r>
      <w:proofErr w:type="spellEnd"/>
      <w:r w:rsidRPr="001E4CCB">
        <w:rPr>
          <w:rStyle w:val="selectable-text"/>
          <w:rFonts w:eastAsiaTheme="majorEastAsia"/>
        </w:rPr>
        <w:t xml:space="preserve">, </w:t>
      </w:r>
      <w:proofErr w:type="spellStart"/>
      <w:r w:rsidRPr="001E4CCB">
        <w:rPr>
          <w:rStyle w:val="selectable-text"/>
          <w:rFonts w:eastAsiaTheme="majorEastAsia"/>
        </w:rPr>
        <w:t>who</w:t>
      </w:r>
      <w:proofErr w:type="spellEnd"/>
      <w:r w:rsidRPr="001E4CCB">
        <w:rPr>
          <w:rStyle w:val="selectable-text"/>
          <w:rFonts w:eastAsiaTheme="majorEastAsia"/>
        </w:rPr>
        <w:t xml:space="preserve"> </w:t>
      </w:r>
      <w:proofErr w:type="spellStart"/>
      <w:r w:rsidRPr="001E4CCB">
        <w:rPr>
          <w:rStyle w:val="selectable-text"/>
          <w:rFonts w:eastAsiaTheme="majorEastAsia"/>
        </w:rPr>
        <w:t>brutally</w:t>
      </w:r>
      <w:proofErr w:type="spellEnd"/>
      <w:r w:rsidRPr="001E4CCB">
        <w:rPr>
          <w:rStyle w:val="selectable-text"/>
          <w:rFonts w:eastAsiaTheme="majorEastAsia"/>
        </w:rPr>
        <w:t xml:space="preserve"> </w:t>
      </w:r>
      <w:proofErr w:type="spellStart"/>
      <w:r w:rsidRPr="001E4CCB">
        <w:rPr>
          <w:rStyle w:val="selectable-text"/>
          <w:rFonts w:eastAsiaTheme="majorEastAsia"/>
        </w:rPr>
        <w:t>implies</w:t>
      </w:r>
      <w:proofErr w:type="spellEnd"/>
      <w:r w:rsidRPr="001E4CCB">
        <w:rPr>
          <w:rStyle w:val="selectable-text"/>
          <w:rFonts w:eastAsiaTheme="majorEastAsia"/>
        </w:rPr>
        <w:t xml:space="preserve"> </w:t>
      </w:r>
      <w:proofErr w:type="spellStart"/>
      <w:r w:rsidRPr="001E4CCB">
        <w:rPr>
          <w:rStyle w:val="selectable-text"/>
          <w:rFonts w:eastAsiaTheme="majorEastAsia"/>
        </w:rPr>
        <w:t>that</w:t>
      </w:r>
      <w:proofErr w:type="spellEnd"/>
      <w:r w:rsidRPr="001E4CCB">
        <w:rPr>
          <w:rStyle w:val="selectable-text"/>
          <w:rFonts w:eastAsiaTheme="majorEastAsia"/>
        </w:rPr>
        <w:t xml:space="preserve"> </w:t>
      </w:r>
      <w:proofErr w:type="spellStart"/>
      <w:r w:rsidRPr="001E4CCB">
        <w:rPr>
          <w:rStyle w:val="selectable-text"/>
          <w:rFonts w:eastAsiaTheme="majorEastAsia"/>
        </w:rPr>
        <w:t>sh</w:t>
      </w:r>
      <w:r>
        <w:rPr>
          <w:rStyle w:val="selectable-text"/>
          <w:rFonts w:eastAsiaTheme="majorEastAsia"/>
        </w:rPr>
        <w:t>e</w:t>
      </w:r>
      <w:proofErr w:type="spellEnd"/>
      <w:r>
        <w:rPr>
          <w:rStyle w:val="selectable-text"/>
          <w:rFonts w:eastAsiaTheme="majorEastAsia"/>
        </w:rPr>
        <w:t xml:space="preserve"> is </w:t>
      </w:r>
      <w:proofErr w:type="spellStart"/>
      <w:r>
        <w:rPr>
          <w:rStyle w:val="selectable-text"/>
          <w:rFonts w:eastAsiaTheme="majorEastAsia"/>
        </w:rPr>
        <w:t>no</w:t>
      </w:r>
      <w:proofErr w:type="spellEnd"/>
      <w:r>
        <w:rPr>
          <w:rStyle w:val="selectable-text"/>
          <w:rFonts w:eastAsiaTheme="majorEastAsia"/>
        </w:rPr>
        <w:t xml:space="preserve"> </w:t>
      </w:r>
      <w:proofErr w:type="spellStart"/>
      <w:r>
        <w:rPr>
          <w:rStyle w:val="selectable-text"/>
          <w:rFonts w:eastAsiaTheme="majorEastAsia"/>
        </w:rPr>
        <w:t>longer</w:t>
      </w:r>
      <w:proofErr w:type="spellEnd"/>
      <w:r>
        <w:rPr>
          <w:rStyle w:val="selectable-text"/>
          <w:rFonts w:eastAsiaTheme="majorEastAsia"/>
        </w:rPr>
        <w:t xml:space="preserve"> of </w:t>
      </w:r>
      <w:proofErr w:type="spellStart"/>
      <w:r>
        <w:rPr>
          <w:rStyle w:val="selectable-text"/>
          <w:rFonts w:eastAsiaTheme="majorEastAsia"/>
        </w:rPr>
        <w:t>any</w:t>
      </w:r>
      <w:proofErr w:type="spellEnd"/>
      <w:r>
        <w:rPr>
          <w:rStyle w:val="selectable-text"/>
          <w:rFonts w:eastAsiaTheme="majorEastAsia"/>
        </w:rPr>
        <w:t xml:space="preserve"> </w:t>
      </w:r>
      <w:proofErr w:type="spellStart"/>
      <w:r>
        <w:rPr>
          <w:rStyle w:val="selectable-text"/>
          <w:rFonts w:eastAsiaTheme="majorEastAsia"/>
        </w:rPr>
        <w:t>use</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them</w:t>
      </w:r>
      <w:proofErr w:type="spellEnd"/>
      <w:r>
        <w:rPr>
          <w:rStyle w:val="selectable-text"/>
          <w:rFonts w:eastAsiaTheme="majorEastAsia"/>
        </w:rPr>
        <w:t xml:space="preserve"> </w:t>
      </w:r>
      <w:proofErr w:type="spellStart"/>
      <w:r>
        <w:rPr>
          <w:rStyle w:val="selectable-text"/>
          <w:rFonts w:eastAsiaTheme="majorEastAsia"/>
        </w:rPr>
        <w:t>when</w:t>
      </w:r>
      <w:proofErr w:type="spellEnd"/>
      <w:r>
        <w:rPr>
          <w:rStyle w:val="selectable-text"/>
          <w:rFonts w:eastAsiaTheme="majorEastAsia"/>
        </w:rPr>
        <w:t xml:space="preserve"> </w:t>
      </w:r>
      <w:proofErr w:type="spellStart"/>
      <w:r>
        <w:rPr>
          <w:rStyle w:val="selectable-text"/>
          <w:rFonts w:eastAsiaTheme="majorEastAsia"/>
        </w:rPr>
        <w:t>she</w:t>
      </w:r>
      <w:proofErr w:type="spellEnd"/>
      <w:r>
        <w:rPr>
          <w:rStyle w:val="selectable-text"/>
          <w:rFonts w:eastAsiaTheme="majorEastAsia"/>
        </w:rPr>
        <w:t xml:space="preserve"> </w:t>
      </w:r>
      <w:proofErr w:type="spellStart"/>
      <w:r>
        <w:rPr>
          <w:rStyle w:val="selectable-text"/>
          <w:rFonts w:eastAsiaTheme="majorEastAsia"/>
        </w:rPr>
        <w:t>turns</w:t>
      </w:r>
      <w:proofErr w:type="spellEnd"/>
      <w:r>
        <w:rPr>
          <w:rStyle w:val="selectable-text"/>
          <w:rFonts w:eastAsiaTheme="majorEastAsia"/>
        </w:rPr>
        <w:t xml:space="preserve"> 50. </w:t>
      </w:r>
      <w:proofErr w:type="spellStart"/>
      <w:r>
        <w:rPr>
          <w:rStyle w:val="selectable-text"/>
          <w:rFonts w:eastAsiaTheme="majorEastAsia"/>
        </w:rPr>
        <w:t>Soon</w:t>
      </w:r>
      <w:proofErr w:type="spellEnd"/>
      <w:r>
        <w:rPr>
          <w:rStyle w:val="selectable-text"/>
          <w:rFonts w:eastAsiaTheme="majorEastAsia"/>
        </w:rPr>
        <w:t xml:space="preserve"> her </w:t>
      </w:r>
      <w:proofErr w:type="spellStart"/>
      <w:r>
        <w:rPr>
          <w:rStyle w:val="selectable-text"/>
          <w:rFonts w:eastAsiaTheme="majorEastAsia"/>
        </w:rPr>
        <w:t>path</w:t>
      </w:r>
      <w:proofErr w:type="spellEnd"/>
      <w:r>
        <w:rPr>
          <w:rStyle w:val="selectable-text"/>
          <w:rFonts w:eastAsiaTheme="majorEastAsia"/>
        </w:rPr>
        <w:t xml:space="preserve"> </w:t>
      </w:r>
      <w:proofErr w:type="spellStart"/>
      <w:r>
        <w:rPr>
          <w:rStyle w:val="selectable-text"/>
          <w:rFonts w:eastAsiaTheme="majorEastAsia"/>
        </w:rPr>
        <w:t>intersects</w:t>
      </w:r>
      <w:proofErr w:type="spellEnd"/>
      <w:r>
        <w:rPr>
          <w:rStyle w:val="selectable-text"/>
          <w:rFonts w:eastAsiaTheme="majorEastAsia"/>
        </w:rPr>
        <w:t xml:space="preserve"> </w:t>
      </w:r>
      <w:proofErr w:type="spellStart"/>
      <w:r>
        <w:rPr>
          <w:rStyle w:val="selectable-text"/>
          <w:rFonts w:eastAsiaTheme="majorEastAsia"/>
        </w:rPr>
        <w:t>with</w:t>
      </w:r>
      <w:proofErr w:type="spellEnd"/>
      <w:r>
        <w:rPr>
          <w:rStyle w:val="selectable-text"/>
          <w:rFonts w:eastAsiaTheme="majorEastAsia"/>
        </w:rPr>
        <w:t xml:space="preserve"> a </w:t>
      </w:r>
      <w:proofErr w:type="spellStart"/>
      <w:r>
        <w:rPr>
          <w:rStyle w:val="selectable-text"/>
          <w:rFonts w:eastAsiaTheme="majorEastAsia"/>
        </w:rPr>
        <w:t>black</w:t>
      </w:r>
      <w:proofErr w:type="spellEnd"/>
      <w:r>
        <w:rPr>
          <w:rStyle w:val="selectable-text"/>
          <w:rFonts w:eastAsiaTheme="majorEastAsia"/>
        </w:rPr>
        <w:t xml:space="preserve">-market </w:t>
      </w:r>
      <w:proofErr w:type="spellStart"/>
      <w:r>
        <w:rPr>
          <w:rStyle w:val="selectable-text"/>
          <w:rFonts w:eastAsiaTheme="majorEastAsia"/>
        </w:rPr>
        <w:t>drug</w:t>
      </w:r>
      <w:proofErr w:type="spellEnd"/>
      <w:r>
        <w:rPr>
          <w:rStyle w:val="selectable-text"/>
          <w:rFonts w:eastAsiaTheme="majorEastAsia"/>
        </w:rPr>
        <w:t xml:space="preserve"> </w:t>
      </w:r>
      <w:proofErr w:type="spellStart"/>
      <w:r>
        <w:rPr>
          <w:rStyle w:val="selectable-text"/>
          <w:rFonts w:eastAsiaTheme="majorEastAsia"/>
        </w:rPr>
        <w:t>called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Substance</w:t>
      </w:r>
      <w:proofErr w:type="spellEnd"/>
      <w:r>
        <w:rPr>
          <w:rStyle w:val="selectable-text"/>
          <w:rFonts w:eastAsiaTheme="majorEastAsia"/>
        </w:rPr>
        <w:t xml:space="preserve">” </w:t>
      </w:r>
      <w:proofErr w:type="spellStart"/>
      <w:r>
        <w:rPr>
          <w:rStyle w:val="selectable-text"/>
          <w:rFonts w:eastAsiaTheme="majorEastAsia"/>
        </w:rPr>
        <w:t>which</w:t>
      </w:r>
      <w:proofErr w:type="spellEnd"/>
      <w:r>
        <w:rPr>
          <w:rStyle w:val="selectable-text"/>
          <w:rFonts w:eastAsiaTheme="majorEastAsia"/>
        </w:rPr>
        <w:t xml:space="preserve"> </w:t>
      </w:r>
      <w:proofErr w:type="spellStart"/>
      <w:r>
        <w:rPr>
          <w:rStyle w:val="selectable-text"/>
          <w:rFonts w:eastAsiaTheme="majorEastAsia"/>
        </w:rPr>
        <w:t>promises</w:t>
      </w:r>
      <w:proofErr w:type="spellEnd"/>
      <w:r>
        <w:rPr>
          <w:rStyle w:val="selectable-text"/>
          <w:rFonts w:eastAsiaTheme="majorEastAsia"/>
        </w:rPr>
        <w:t xml:space="preserve"> her “a </w:t>
      </w:r>
      <w:proofErr w:type="spellStart"/>
      <w:r>
        <w:rPr>
          <w:rStyle w:val="selectable-text"/>
          <w:rFonts w:eastAsiaTheme="majorEastAsia"/>
        </w:rPr>
        <w:t>better</w:t>
      </w:r>
      <w:proofErr w:type="spellEnd"/>
      <w:r>
        <w:rPr>
          <w:rStyle w:val="selectable-text"/>
          <w:rFonts w:eastAsiaTheme="majorEastAsia"/>
        </w:rPr>
        <w:t xml:space="preserve"> </w:t>
      </w:r>
      <w:proofErr w:type="spellStart"/>
      <w:r>
        <w:rPr>
          <w:rStyle w:val="selectable-text"/>
          <w:rFonts w:eastAsiaTheme="majorEastAsia"/>
        </w:rPr>
        <w:t>version</w:t>
      </w:r>
      <w:proofErr w:type="spellEnd"/>
      <w:r>
        <w:rPr>
          <w:rStyle w:val="selectable-text"/>
          <w:rFonts w:eastAsiaTheme="majorEastAsia"/>
        </w:rPr>
        <w:t xml:space="preserve">” of </w:t>
      </w:r>
      <w:proofErr w:type="spellStart"/>
      <w:r>
        <w:rPr>
          <w:rStyle w:val="selectable-text"/>
          <w:rFonts w:eastAsiaTheme="majorEastAsia"/>
        </w:rPr>
        <w:t>herself</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drug</w:t>
      </w:r>
      <w:proofErr w:type="spellEnd"/>
      <w:r>
        <w:rPr>
          <w:rStyle w:val="selectable-text"/>
          <w:rFonts w:eastAsiaTheme="majorEastAsia"/>
        </w:rPr>
        <w:t xml:space="preserve"> </w:t>
      </w:r>
      <w:proofErr w:type="spellStart"/>
      <w:r>
        <w:rPr>
          <w:rStyle w:val="selectable-text"/>
          <w:rFonts w:eastAsiaTheme="majorEastAsia"/>
        </w:rPr>
        <w:t>produces</w:t>
      </w:r>
      <w:proofErr w:type="spellEnd"/>
      <w:r>
        <w:rPr>
          <w:rStyle w:val="selectable-text"/>
          <w:rFonts w:eastAsiaTheme="majorEastAsia"/>
        </w:rPr>
        <w:t xml:space="preserve"> a </w:t>
      </w:r>
      <w:proofErr w:type="spellStart"/>
      <w:r>
        <w:rPr>
          <w:rStyle w:val="selectable-text"/>
          <w:rFonts w:eastAsiaTheme="majorEastAsia"/>
        </w:rPr>
        <w:t>younger</w:t>
      </w:r>
      <w:proofErr w:type="spellEnd"/>
      <w:r>
        <w:rPr>
          <w:rStyle w:val="selectable-text"/>
          <w:rFonts w:eastAsiaTheme="majorEastAsia"/>
        </w:rPr>
        <w:t xml:space="preserve">, </w:t>
      </w:r>
      <w:proofErr w:type="spellStart"/>
      <w:r>
        <w:rPr>
          <w:rStyle w:val="selectable-text"/>
          <w:rFonts w:eastAsiaTheme="majorEastAsia"/>
        </w:rPr>
        <w:t>more</w:t>
      </w:r>
      <w:proofErr w:type="spellEnd"/>
      <w:r>
        <w:rPr>
          <w:rStyle w:val="selectable-text"/>
          <w:rFonts w:eastAsiaTheme="majorEastAsia"/>
        </w:rPr>
        <w:t xml:space="preserve"> </w:t>
      </w:r>
      <w:proofErr w:type="spellStart"/>
      <w:r>
        <w:rPr>
          <w:rStyle w:val="selectable-text"/>
          <w:rFonts w:eastAsiaTheme="majorEastAsia"/>
        </w:rPr>
        <w:t>desirable</w:t>
      </w:r>
      <w:proofErr w:type="spellEnd"/>
      <w:r>
        <w:rPr>
          <w:rStyle w:val="selectable-text"/>
          <w:rFonts w:eastAsiaTheme="majorEastAsia"/>
        </w:rPr>
        <w:t xml:space="preserve"> </w:t>
      </w:r>
      <w:proofErr w:type="spellStart"/>
      <w:r>
        <w:rPr>
          <w:rStyle w:val="selectable-text"/>
          <w:rFonts w:eastAsiaTheme="majorEastAsia"/>
        </w:rPr>
        <w:t>version</w:t>
      </w:r>
      <w:proofErr w:type="spellEnd"/>
      <w:r>
        <w:rPr>
          <w:rStyle w:val="selectable-text"/>
          <w:rFonts w:eastAsiaTheme="majorEastAsia"/>
        </w:rPr>
        <w:t xml:space="preserve"> of </w:t>
      </w:r>
      <w:proofErr w:type="spellStart"/>
      <w:r>
        <w:rPr>
          <w:rStyle w:val="selectable-text"/>
          <w:rFonts w:eastAsiaTheme="majorEastAsia"/>
        </w:rPr>
        <w:t>herself</w:t>
      </w:r>
      <w:proofErr w:type="spellEnd"/>
      <w:r>
        <w:rPr>
          <w:rStyle w:val="selectable-text"/>
          <w:rFonts w:eastAsiaTheme="majorEastAsia"/>
        </w:rPr>
        <w:t xml:space="preserve">, </w:t>
      </w:r>
      <w:proofErr w:type="spellStart"/>
      <w:r>
        <w:rPr>
          <w:rStyle w:val="selectable-text"/>
          <w:rFonts w:eastAsiaTheme="majorEastAsia"/>
        </w:rPr>
        <w:t>Sue</w:t>
      </w:r>
      <w:proofErr w:type="spellEnd"/>
      <w:r>
        <w:rPr>
          <w:rStyle w:val="selectable-text"/>
          <w:rFonts w:eastAsiaTheme="majorEastAsia"/>
        </w:rPr>
        <w:t xml:space="preserve"> (Margaret </w:t>
      </w:r>
      <w:proofErr w:type="spellStart"/>
      <w:r>
        <w:rPr>
          <w:rStyle w:val="selectable-text"/>
          <w:rFonts w:eastAsiaTheme="majorEastAsia"/>
        </w:rPr>
        <w:t>Qualley</w:t>
      </w:r>
      <w:proofErr w:type="spellEnd"/>
      <w:r>
        <w:rPr>
          <w:rStyle w:val="selectable-text"/>
          <w:rFonts w:eastAsiaTheme="majorEastAsia"/>
        </w:rPr>
        <w:t xml:space="preserve">), </w:t>
      </w:r>
      <w:proofErr w:type="spellStart"/>
      <w:r>
        <w:rPr>
          <w:rStyle w:val="selectable-text"/>
          <w:rFonts w:eastAsiaTheme="majorEastAsia"/>
        </w:rPr>
        <w:t>through</w:t>
      </w:r>
      <w:proofErr w:type="spellEnd"/>
      <w:r>
        <w:rPr>
          <w:rStyle w:val="selectable-text"/>
          <w:rFonts w:eastAsiaTheme="majorEastAsia"/>
        </w:rPr>
        <w:t xml:space="preserve"> a </w:t>
      </w:r>
      <w:proofErr w:type="spellStart"/>
      <w:r>
        <w:rPr>
          <w:rStyle w:val="selectable-text"/>
          <w:rFonts w:eastAsiaTheme="majorEastAsia"/>
        </w:rPr>
        <w:t>grotesque</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horrifying</w:t>
      </w:r>
      <w:proofErr w:type="spellEnd"/>
      <w:r>
        <w:rPr>
          <w:rStyle w:val="selectable-text"/>
          <w:rFonts w:eastAsiaTheme="majorEastAsia"/>
        </w:rPr>
        <w:t xml:space="preserve"> </w:t>
      </w:r>
      <w:proofErr w:type="spellStart"/>
      <w:r>
        <w:rPr>
          <w:rStyle w:val="selectable-text"/>
          <w:rFonts w:eastAsiaTheme="majorEastAsia"/>
        </w:rPr>
        <w:t>process</w:t>
      </w:r>
      <w:proofErr w:type="spellEnd"/>
      <w:r>
        <w:rPr>
          <w:rStyle w:val="selectable-text"/>
          <w:rFonts w:eastAsiaTheme="majorEastAsia"/>
        </w:rPr>
        <w:t xml:space="preserve">. </w:t>
      </w:r>
      <w:proofErr w:type="spellStart"/>
      <w:r>
        <w:rPr>
          <w:rStyle w:val="selectable-text"/>
          <w:rFonts w:eastAsiaTheme="majorEastAsia"/>
        </w:rPr>
        <w:t>Elisabeth’s</w:t>
      </w:r>
      <w:proofErr w:type="spellEnd"/>
      <w:r>
        <w:rPr>
          <w:rStyle w:val="selectable-text"/>
          <w:rFonts w:eastAsiaTheme="majorEastAsia"/>
        </w:rPr>
        <w:t xml:space="preserve"> </w:t>
      </w:r>
      <w:proofErr w:type="spellStart"/>
      <w:r>
        <w:rPr>
          <w:rStyle w:val="selectable-text"/>
          <w:rFonts w:eastAsiaTheme="majorEastAsia"/>
        </w:rPr>
        <w:t>reliance</w:t>
      </w:r>
      <w:proofErr w:type="spellEnd"/>
      <w:r>
        <w:rPr>
          <w:rStyle w:val="selectable-text"/>
          <w:rFonts w:eastAsiaTheme="majorEastAsia"/>
        </w:rPr>
        <w:t xml:space="preserve"> on </w:t>
      </w:r>
      <w:proofErr w:type="spellStart"/>
      <w:r>
        <w:rPr>
          <w:rStyle w:val="selectable-text"/>
          <w:rFonts w:eastAsiaTheme="majorEastAsia"/>
        </w:rPr>
        <w:t>Sue</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keep</w:t>
      </w:r>
      <w:proofErr w:type="spellEnd"/>
      <w:r>
        <w:rPr>
          <w:rStyle w:val="selectable-text"/>
          <w:rFonts w:eastAsiaTheme="majorEastAsia"/>
        </w:rPr>
        <w:t xml:space="preserve"> her </w:t>
      </w:r>
      <w:proofErr w:type="spellStart"/>
      <w:r>
        <w:rPr>
          <w:rStyle w:val="selectable-text"/>
          <w:rFonts w:eastAsiaTheme="majorEastAsia"/>
        </w:rPr>
        <w:t>public</w:t>
      </w:r>
      <w:proofErr w:type="spellEnd"/>
      <w:r>
        <w:rPr>
          <w:rStyle w:val="selectable-text"/>
          <w:rFonts w:eastAsiaTheme="majorEastAsia"/>
        </w:rPr>
        <w:t xml:space="preserve"> </w:t>
      </w:r>
      <w:proofErr w:type="spellStart"/>
      <w:r>
        <w:rPr>
          <w:rStyle w:val="selectable-text"/>
          <w:rFonts w:eastAsiaTheme="majorEastAsia"/>
        </w:rPr>
        <w:t>image</w:t>
      </w:r>
      <w:proofErr w:type="spellEnd"/>
      <w:r>
        <w:rPr>
          <w:rStyle w:val="selectable-text"/>
          <w:rFonts w:eastAsiaTheme="majorEastAsia"/>
        </w:rPr>
        <w:t xml:space="preserve"> </w:t>
      </w:r>
      <w:proofErr w:type="spellStart"/>
      <w:r>
        <w:rPr>
          <w:rStyle w:val="selectable-text"/>
          <w:rFonts w:eastAsiaTheme="majorEastAsia"/>
        </w:rPr>
        <w:t>increases</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that</w:t>
      </w:r>
      <w:proofErr w:type="spellEnd"/>
      <w:r>
        <w:rPr>
          <w:rStyle w:val="selectable-text"/>
          <w:rFonts w:eastAsiaTheme="majorEastAsia"/>
        </w:rPr>
        <w:t xml:space="preserve"> is </w:t>
      </w:r>
      <w:proofErr w:type="spellStart"/>
      <w:r>
        <w:rPr>
          <w:rStyle w:val="selectable-text"/>
          <w:rFonts w:eastAsiaTheme="majorEastAsia"/>
        </w:rPr>
        <w:t>when</w:t>
      </w:r>
      <w:proofErr w:type="spellEnd"/>
      <w:r>
        <w:rPr>
          <w:rStyle w:val="selectable-text"/>
          <w:rFonts w:eastAsiaTheme="majorEastAsia"/>
        </w:rPr>
        <w:t xml:space="preserve"> </w:t>
      </w:r>
      <w:proofErr w:type="spellStart"/>
      <w:r>
        <w:rPr>
          <w:rStyle w:val="selectable-text"/>
          <w:rFonts w:eastAsiaTheme="majorEastAsia"/>
        </w:rPr>
        <w:t>things</w:t>
      </w:r>
      <w:proofErr w:type="spellEnd"/>
      <w:r>
        <w:rPr>
          <w:rStyle w:val="selectable-text"/>
          <w:rFonts w:eastAsiaTheme="majorEastAsia"/>
        </w:rPr>
        <w:t xml:space="preserve"> </w:t>
      </w:r>
      <w:proofErr w:type="spellStart"/>
      <w:r>
        <w:rPr>
          <w:rStyle w:val="selectable-text"/>
          <w:rFonts w:eastAsiaTheme="majorEastAsia"/>
        </w:rPr>
        <w:t>get</w:t>
      </w:r>
      <w:proofErr w:type="spellEnd"/>
      <w:r>
        <w:rPr>
          <w:rStyle w:val="selectable-text"/>
          <w:rFonts w:eastAsiaTheme="majorEastAsia"/>
        </w:rPr>
        <w:t xml:space="preserve"> </w:t>
      </w:r>
      <w:proofErr w:type="spellStart"/>
      <w:r>
        <w:rPr>
          <w:rStyle w:val="selectable-text"/>
          <w:rFonts w:eastAsiaTheme="majorEastAsia"/>
        </w:rPr>
        <w:t>awry</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leads</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destructive</w:t>
      </w:r>
      <w:proofErr w:type="spellEnd"/>
      <w:r>
        <w:rPr>
          <w:rStyle w:val="selectable-text"/>
          <w:rFonts w:eastAsiaTheme="majorEastAsia"/>
        </w:rPr>
        <w:t xml:space="preserve"> </w:t>
      </w:r>
      <w:proofErr w:type="spellStart"/>
      <w:r>
        <w:rPr>
          <w:rStyle w:val="selectable-text"/>
          <w:rFonts w:eastAsiaTheme="majorEastAsia"/>
        </w:rPr>
        <w:t>consequences</w:t>
      </w:r>
      <w:proofErr w:type="spellEnd"/>
      <w:r>
        <w:rPr>
          <w:rStyle w:val="selectable-text"/>
          <w:rFonts w:eastAsiaTheme="majorEastAsia"/>
        </w:rPr>
        <w:t xml:space="preserve">. </w:t>
      </w:r>
      <w:proofErr w:type="spellStart"/>
      <w:r>
        <w:rPr>
          <w:rStyle w:val="selectable-text"/>
          <w:rFonts w:eastAsiaTheme="majorEastAsia"/>
        </w:rPr>
        <w:t>Coralie</w:t>
      </w:r>
      <w:proofErr w:type="spellEnd"/>
      <w:r>
        <w:rPr>
          <w:rStyle w:val="selectable-text"/>
          <w:rFonts w:eastAsiaTheme="majorEastAsia"/>
        </w:rPr>
        <w:t xml:space="preserve"> </w:t>
      </w:r>
      <w:proofErr w:type="spellStart"/>
      <w:r>
        <w:rPr>
          <w:rStyle w:val="selectable-text"/>
          <w:rFonts w:eastAsiaTheme="majorEastAsia"/>
        </w:rPr>
        <w:t>Fargeat</w:t>
      </w:r>
      <w:proofErr w:type="spellEnd"/>
      <w:r>
        <w:rPr>
          <w:rStyle w:val="selectable-text"/>
          <w:rFonts w:eastAsiaTheme="majorEastAsia"/>
        </w:rPr>
        <w:t xml:space="preserve"> </w:t>
      </w:r>
      <w:proofErr w:type="spellStart"/>
      <w:r>
        <w:rPr>
          <w:rStyle w:val="selectable-text"/>
          <w:rFonts w:eastAsiaTheme="majorEastAsia"/>
        </w:rPr>
        <w:t>harshly</w:t>
      </w:r>
      <w:proofErr w:type="spellEnd"/>
      <w:r>
        <w:rPr>
          <w:rStyle w:val="selectable-text"/>
          <w:rFonts w:eastAsiaTheme="majorEastAsia"/>
        </w:rPr>
        <w:t xml:space="preserve"> </w:t>
      </w:r>
      <w:proofErr w:type="spellStart"/>
      <w:r>
        <w:rPr>
          <w:rStyle w:val="selectable-text"/>
          <w:rFonts w:eastAsiaTheme="majorEastAsia"/>
        </w:rPr>
        <w:t>criticizes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pressure</w:t>
      </w:r>
      <w:proofErr w:type="spellEnd"/>
      <w:r>
        <w:rPr>
          <w:rStyle w:val="selectable-text"/>
          <w:rFonts w:eastAsiaTheme="majorEastAsia"/>
        </w:rPr>
        <w:t xml:space="preserve"> </w:t>
      </w:r>
      <w:proofErr w:type="spellStart"/>
      <w:r>
        <w:rPr>
          <w:rStyle w:val="selectable-text"/>
          <w:rFonts w:eastAsiaTheme="majorEastAsia"/>
        </w:rPr>
        <w:t>placed</w:t>
      </w:r>
      <w:proofErr w:type="spellEnd"/>
      <w:r>
        <w:rPr>
          <w:rStyle w:val="selectable-text"/>
          <w:rFonts w:eastAsiaTheme="majorEastAsia"/>
        </w:rPr>
        <w:t xml:space="preserve"> on </w:t>
      </w:r>
      <w:proofErr w:type="spellStart"/>
      <w:r>
        <w:rPr>
          <w:rStyle w:val="selectable-text"/>
          <w:rFonts w:eastAsiaTheme="majorEastAsia"/>
        </w:rPr>
        <w:t>women</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adhere</w:t>
      </w:r>
      <w:proofErr w:type="spellEnd"/>
      <w:r>
        <w:rPr>
          <w:rStyle w:val="selectable-text"/>
          <w:rFonts w:eastAsiaTheme="majorEastAsia"/>
        </w:rPr>
        <w:t xml:space="preserve"> </w:t>
      </w:r>
      <w:proofErr w:type="spellStart"/>
      <w:r>
        <w:rPr>
          <w:rStyle w:val="selectable-text"/>
          <w:rFonts w:eastAsiaTheme="majorEastAsia"/>
        </w:rPr>
        <w:t>to</w:t>
      </w:r>
      <w:proofErr w:type="spellEnd"/>
      <w:r>
        <w:rPr>
          <w:rStyle w:val="selectable-text"/>
          <w:rFonts w:eastAsiaTheme="majorEastAsia"/>
        </w:rPr>
        <w:t xml:space="preserve"> </w:t>
      </w:r>
      <w:proofErr w:type="spellStart"/>
      <w:r>
        <w:rPr>
          <w:rStyle w:val="selectable-text"/>
          <w:rFonts w:eastAsiaTheme="majorEastAsia"/>
        </w:rPr>
        <w:t>unobtainable</w:t>
      </w:r>
      <w:proofErr w:type="spellEnd"/>
      <w:r>
        <w:rPr>
          <w:rStyle w:val="selectable-text"/>
          <w:rFonts w:eastAsiaTheme="majorEastAsia"/>
        </w:rPr>
        <w:t xml:space="preserve"> </w:t>
      </w:r>
      <w:proofErr w:type="spellStart"/>
      <w:r>
        <w:rPr>
          <w:rStyle w:val="selectable-text"/>
          <w:rFonts w:eastAsiaTheme="majorEastAsia"/>
        </w:rPr>
        <w:t>beauty</w:t>
      </w:r>
      <w:proofErr w:type="spellEnd"/>
      <w:r>
        <w:rPr>
          <w:rStyle w:val="selectable-text"/>
          <w:rFonts w:eastAsiaTheme="majorEastAsia"/>
        </w:rPr>
        <w:t xml:space="preserve"> </w:t>
      </w:r>
      <w:proofErr w:type="spellStart"/>
      <w:r>
        <w:rPr>
          <w:rStyle w:val="selectable-text"/>
          <w:rFonts w:eastAsiaTheme="majorEastAsia"/>
        </w:rPr>
        <w:t>standards</w:t>
      </w:r>
      <w:proofErr w:type="spellEnd"/>
      <w:r>
        <w:rPr>
          <w:rStyle w:val="selectable-text"/>
          <w:rFonts w:eastAsiaTheme="majorEastAsia"/>
        </w:rPr>
        <w:t xml:space="preserve"> </w:t>
      </w:r>
      <w:proofErr w:type="spellStart"/>
      <w:r>
        <w:rPr>
          <w:rStyle w:val="selectable-text"/>
          <w:rFonts w:eastAsiaTheme="majorEastAsia"/>
        </w:rPr>
        <w:t>and</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outcomes</w:t>
      </w:r>
      <w:proofErr w:type="spellEnd"/>
      <w:r>
        <w:rPr>
          <w:rStyle w:val="selectable-text"/>
          <w:rFonts w:eastAsiaTheme="majorEastAsia"/>
        </w:rPr>
        <w:t xml:space="preserve"> </w:t>
      </w:r>
      <w:proofErr w:type="spellStart"/>
      <w:r>
        <w:rPr>
          <w:rStyle w:val="selectable-text"/>
          <w:rFonts w:eastAsiaTheme="majorEastAsia"/>
        </w:rPr>
        <w:t>when</w:t>
      </w:r>
      <w:proofErr w:type="spellEnd"/>
      <w:r>
        <w:rPr>
          <w:rStyle w:val="selectable-text"/>
          <w:rFonts w:eastAsiaTheme="majorEastAsia"/>
        </w:rPr>
        <w:t xml:space="preserve"> </w:t>
      </w:r>
      <w:proofErr w:type="spellStart"/>
      <w:r>
        <w:rPr>
          <w:rStyle w:val="selectable-text"/>
          <w:rFonts w:eastAsiaTheme="majorEastAsia"/>
        </w:rPr>
        <w:t>one</w:t>
      </w:r>
      <w:proofErr w:type="spellEnd"/>
      <w:r>
        <w:rPr>
          <w:rStyle w:val="selectable-text"/>
          <w:rFonts w:eastAsiaTheme="majorEastAsia"/>
        </w:rPr>
        <w:t xml:space="preserve"> </w:t>
      </w:r>
      <w:proofErr w:type="spellStart"/>
      <w:r>
        <w:rPr>
          <w:rStyle w:val="selectable-text"/>
          <w:rFonts w:eastAsiaTheme="majorEastAsia"/>
        </w:rPr>
        <w:t>sacrifices</w:t>
      </w:r>
      <w:proofErr w:type="spellEnd"/>
      <w:r>
        <w:rPr>
          <w:rStyle w:val="selectable-text"/>
          <w:rFonts w:eastAsiaTheme="majorEastAsia"/>
        </w:rPr>
        <w:t xml:space="preserve"> </w:t>
      </w:r>
      <w:proofErr w:type="spellStart"/>
      <w:r>
        <w:rPr>
          <w:rStyle w:val="selectable-text"/>
          <w:rFonts w:eastAsiaTheme="majorEastAsia"/>
        </w:rPr>
        <w:t>the</w:t>
      </w:r>
      <w:proofErr w:type="spellEnd"/>
      <w:r>
        <w:rPr>
          <w:rStyle w:val="selectable-text"/>
          <w:rFonts w:eastAsiaTheme="majorEastAsia"/>
        </w:rPr>
        <w:t xml:space="preserve"> </w:t>
      </w:r>
      <w:proofErr w:type="spellStart"/>
      <w:r>
        <w:rPr>
          <w:rStyle w:val="selectable-text"/>
          <w:rFonts w:eastAsiaTheme="majorEastAsia"/>
        </w:rPr>
        <w:t>identity</w:t>
      </w:r>
      <w:proofErr w:type="spellEnd"/>
      <w:r>
        <w:rPr>
          <w:rStyle w:val="selectable-text"/>
          <w:rFonts w:eastAsiaTheme="majorEastAsia"/>
        </w:rPr>
        <w:t xml:space="preserve"> </w:t>
      </w:r>
      <w:proofErr w:type="spellStart"/>
      <w:r>
        <w:rPr>
          <w:rStyle w:val="selectable-text"/>
          <w:rFonts w:eastAsiaTheme="majorEastAsia"/>
        </w:rPr>
        <w:t>for</w:t>
      </w:r>
      <w:proofErr w:type="spellEnd"/>
      <w:r>
        <w:rPr>
          <w:rStyle w:val="selectable-text"/>
          <w:rFonts w:eastAsiaTheme="majorEastAsia"/>
        </w:rPr>
        <w:t xml:space="preserve"> </w:t>
      </w:r>
      <w:proofErr w:type="spellStart"/>
      <w:r>
        <w:rPr>
          <w:rStyle w:val="selectable-text"/>
          <w:rFonts w:eastAsiaTheme="majorEastAsia"/>
        </w:rPr>
        <w:t>external</w:t>
      </w:r>
      <w:proofErr w:type="spellEnd"/>
      <w:r>
        <w:rPr>
          <w:rStyle w:val="selectable-text"/>
          <w:rFonts w:eastAsiaTheme="majorEastAsia"/>
        </w:rPr>
        <w:t xml:space="preserve"> </w:t>
      </w:r>
      <w:proofErr w:type="spellStart"/>
      <w:r>
        <w:rPr>
          <w:rStyle w:val="selectable-text"/>
          <w:rFonts w:eastAsiaTheme="majorEastAsia"/>
        </w:rPr>
        <w:t>validation</w:t>
      </w:r>
      <w:proofErr w:type="spellEnd"/>
      <w:r>
        <w:rPr>
          <w:rStyle w:val="selectable-text"/>
          <w:rFonts w:eastAsiaTheme="majorEastAsia"/>
        </w:rPr>
        <w:t xml:space="preserve">. </w:t>
      </w:r>
    </w:p>
    <w:p w14:paraId="77B86266" w14:textId="77777777" w:rsidR="0079785E" w:rsidRDefault="0079785E" w:rsidP="0079785E">
      <w:pPr>
        <w:jc w:val="both"/>
        <w:rPr>
          <w:rStyle w:val="selectable-text"/>
          <w:rFonts w:eastAsiaTheme="majorEastAsia"/>
        </w:rPr>
      </w:pPr>
    </w:p>
    <w:p w14:paraId="3E58097E" w14:textId="77777777" w:rsidR="00E3302B" w:rsidRDefault="00E3302B" w:rsidP="0079785E">
      <w:pPr>
        <w:jc w:val="both"/>
        <w:rPr>
          <w:shd w:val="clear" w:color="auto" w:fill="FFFFFF"/>
        </w:rPr>
      </w:pPr>
      <w:r w:rsidRPr="003A646A">
        <w:rPr>
          <w:rStyle w:val="selectable-text"/>
          <w:rFonts w:eastAsiaTheme="majorEastAsia"/>
        </w:rPr>
        <w:t xml:space="preserve">Film </w:t>
      </w:r>
      <w:proofErr w:type="spellStart"/>
      <w:r w:rsidRPr="003A646A">
        <w:rPr>
          <w:rStyle w:val="selectable-text"/>
          <w:rFonts w:eastAsiaTheme="majorEastAsia"/>
        </w:rPr>
        <w:t>reviewers</w:t>
      </w:r>
      <w:proofErr w:type="spellEnd"/>
      <w:r w:rsidRPr="003A646A">
        <w:rPr>
          <w:rStyle w:val="selectable-text"/>
          <w:rFonts w:eastAsiaTheme="majorEastAsia"/>
        </w:rPr>
        <w:t xml:space="preserve"> </w:t>
      </w:r>
      <w:proofErr w:type="spellStart"/>
      <w:r w:rsidRPr="003A646A">
        <w:rPr>
          <w:rStyle w:val="selectable-text"/>
          <w:rFonts w:eastAsiaTheme="majorEastAsia"/>
        </w:rPr>
        <w:t>and</w:t>
      </w:r>
      <w:proofErr w:type="spellEnd"/>
      <w:r w:rsidRPr="003A646A">
        <w:rPr>
          <w:rStyle w:val="selectable-text"/>
          <w:rFonts w:eastAsiaTheme="majorEastAsia"/>
        </w:rPr>
        <w:t xml:space="preserve"> </w:t>
      </w:r>
      <w:proofErr w:type="spellStart"/>
      <w:r w:rsidRPr="003A646A">
        <w:rPr>
          <w:rStyle w:val="selectable-text"/>
          <w:rFonts w:eastAsiaTheme="majorEastAsia"/>
        </w:rPr>
        <w:t>critics</w:t>
      </w:r>
      <w:proofErr w:type="spellEnd"/>
      <w:r w:rsidRPr="003A646A">
        <w:rPr>
          <w:rStyle w:val="selectable-text"/>
          <w:rFonts w:eastAsiaTheme="majorEastAsia"/>
        </w:rPr>
        <w:t xml:space="preserve"> </w:t>
      </w:r>
      <w:proofErr w:type="spellStart"/>
      <w:r w:rsidRPr="003A646A">
        <w:rPr>
          <w:rStyle w:val="selectable-text"/>
          <w:rFonts w:eastAsiaTheme="majorEastAsia"/>
        </w:rPr>
        <w:t>mostly</w:t>
      </w:r>
      <w:proofErr w:type="spellEnd"/>
      <w:r w:rsidRPr="003A646A">
        <w:rPr>
          <w:rStyle w:val="selectable-text"/>
          <w:rFonts w:eastAsiaTheme="majorEastAsia"/>
        </w:rPr>
        <w:t xml:space="preserve"> </w:t>
      </w:r>
      <w:proofErr w:type="spellStart"/>
      <w:r w:rsidRPr="003A646A">
        <w:rPr>
          <w:rStyle w:val="selectable-text"/>
          <w:rFonts w:eastAsiaTheme="majorEastAsia"/>
        </w:rPr>
        <w:t>referred</w:t>
      </w:r>
      <w:proofErr w:type="spellEnd"/>
      <w:r w:rsidRPr="003A646A">
        <w:rPr>
          <w:rStyle w:val="selectable-text"/>
          <w:rFonts w:eastAsiaTheme="majorEastAsia"/>
        </w:rPr>
        <w:t xml:space="preserve"> </w:t>
      </w:r>
      <w:proofErr w:type="spellStart"/>
      <w:r w:rsidRPr="003A646A">
        <w:rPr>
          <w:rStyle w:val="selectable-text"/>
          <w:rFonts w:eastAsiaTheme="majorEastAsia"/>
        </w:rPr>
        <w:t>to</w:t>
      </w:r>
      <w:proofErr w:type="spellEnd"/>
      <w:r w:rsidRPr="003A646A">
        <w:rPr>
          <w:rStyle w:val="selectable-text"/>
          <w:rFonts w:eastAsiaTheme="majorEastAsia"/>
        </w:rPr>
        <w:t xml:space="preserve"> </w:t>
      </w:r>
      <w:proofErr w:type="spellStart"/>
      <w:r w:rsidRPr="003A646A">
        <w:rPr>
          <w:rStyle w:val="selectable-text"/>
          <w:rFonts w:eastAsiaTheme="majorEastAsia"/>
          <w:i/>
        </w:rPr>
        <w:t>The</w:t>
      </w:r>
      <w:proofErr w:type="spellEnd"/>
      <w:r w:rsidRPr="003A646A">
        <w:rPr>
          <w:rStyle w:val="selectable-text"/>
          <w:rFonts w:eastAsiaTheme="majorEastAsia"/>
          <w:i/>
        </w:rPr>
        <w:t xml:space="preserve"> </w:t>
      </w:r>
      <w:proofErr w:type="spellStart"/>
      <w:r w:rsidRPr="003A646A">
        <w:rPr>
          <w:rStyle w:val="selectable-text"/>
          <w:rFonts w:eastAsiaTheme="majorEastAsia"/>
          <w:i/>
        </w:rPr>
        <w:t>Subtance</w:t>
      </w:r>
      <w:proofErr w:type="spellEnd"/>
      <w:r w:rsidRPr="003A646A">
        <w:rPr>
          <w:rStyle w:val="selectable-text"/>
          <w:rFonts w:eastAsiaTheme="majorEastAsia"/>
        </w:rPr>
        <w:t xml:space="preserve"> as a “feminist body </w:t>
      </w:r>
      <w:proofErr w:type="spellStart"/>
      <w:r w:rsidRPr="003A646A">
        <w:rPr>
          <w:rStyle w:val="selectable-text"/>
          <w:rFonts w:eastAsiaTheme="majorEastAsia"/>
        </w:rPr>
        <w:t>horror</w:t>
      </w:r>
      <w:proofErr w:type="spellEnd"/>
      <w:r w:rsidRPr="003A646A">
        <w:rPr>
          <w:rStyle w:val="selectable-text"/>
          <w:rFonts w:eastAsiaTheme="majorEastAsia"/>
        </w:rPr>
        <w:t xml:space="preserve"> </w:t>
      </w:r>
      <w:proofErr w:type="gramStart"/>
      <w:r w:rsidRPr="003A646A">
        <w:rPr>
          <w:rStyle w:val="selectable-text"/>
          <w:rFonts w:eastAsiaTheme="majorEastAsia"/>
        </w:rPr>
        <w:t>film”(</w:t>
      </w:r>
      <w:proofErr w:type="spellStart"/>
      <w:proofErr w:type="gramEnd"/>
      <w:r w:rsidRPr="003A646A">
        <w:rPr>
          <w:rStyle w:val="selectable-text"/>
          <w:rFonts w:eastAsiaTheme="majorEastAsia"/>
        </w:rPr>
        <w:t>Jayarajah</w:t>
      </w:r>
      <w:proofErr w:type="spellEnd"/>
      <w:r w:rsidRPr="003A646A">
        <w:rPr>
          <w:rStyle w:val="selectable-text"/>
          <w:rFonts w:eastAsiaTheme="majorEastAsia"/>
        </w:rPr>
        <w:t xml:space="preserve"> 2025, </w:t>
      </w:r>
      <w:proofErr w:type="spellStart"/>
      <w:r w:rsidRPr="003A646A">
        <w:rPr>
          <w:rStyle w:val="selectable-text"/>
          <w:rFonts w:eastAsiaTheme="majorEastAsia"/>
        </w:rPr>
        <w:t>Hess</w:t>
      </w:r>
      <w:proofErr w:type="spellEnd"/>
      <w:r w:rsidRPr="003A646A">
        <w:rPr>
          <w:rStyle w:val="selectable-text"/>
          <w:rFonts w:eastAsiaTheme="majorEastAsia"/>
        </w:rPr>
        <w:t xml:space="preserve"> 2024). </w:t>
      </w:r>
      <w:r w:rsidRPr="003A646A">
        <w:rPr>
          <w:rStyle w:val="selectable-text"/>
          <w:rFonts w:eastAsiaTheme="majorEastAsia"/>
          <w:i/>
        </w:rPr>
        <w:t>New York Times</w:t>
      </w:r>
      <w:r w:rsidRPr="003A646A">
        <w:rPr>
          <w:rStyle w:val="selectable-text"/>
          <w:rFonts w:eastAsiaTheme="majorEastAsia"/>
        </w:rPr>
        <w:t xml:space="preserve"> </w:t>
      </w:r>
      <w:proofErr w:type="spellStart"/>
      <w:r w:rsidRPr="003A646A">
        <w:rPr>
          <w:rStyle w:val="selectable-text"/>
          <w:rFonts w:eastAsiaTheme="majorEastAsia"/>
        </w:rPr>
        <w:t>reviewed</w:t>
      </w:r>
      <w:proofErr w:type="spellEnd"/>
      <w:r w:rsidRPr="003A646A">
        <w:rPr>
          <w:rStyle w:val="selectable-text"/>
          <w:rFonts w:eastAsiaTheme="majorEastAsia"/>
        </w:rPr>
        <w:t xml:space="preserve"> it as a “</w:t>
      </w:r>
      <w:proofErr w:type="spellStart"/>
      <w:r w:rsidRPr="003A646A">
        <w:rPr>
          <w:shd w:val="clear" w:color="auto" w:fill="FFFFFF"/>
        </w:rPr>
        <w:t>mirror-haunted</w:t>
      </w:r>
      <w:proofErr w:type="spellEnd"/>
      <w:r w:rsidRPr="003A646A">
        <w:rPr>
          <w:shd w:val="clear" w:color="auto" w:fill="FFFFFF"/>
        </w:rPr>
        <w:t xml:space="preserve"> </w:t>
      </w:r>
      <w:proofErr w:type="spellStart"/>
      <w:r w:rsidRPr="003A646A">
        <w:rPr>
          <w:shd w:val="clear" w:color="auto" w:fill="FFFFFF"/>
        </w:rPr>
        <w:t>gory</w:t>
      </w:r>
      <w:proofErr w:type="spellEnd"/>
      <w:r w:rsidRPr="003A646A">
        <w:rPr>
          <w:shd w:val="clear" w:color="auto" w:fill="FFFFFF"/>
        </w:rPr>
        <w:t xml:space="preserve"> </w:t>
      </w:r>
      <w:proofErr w:type="spellStart"/>
      <w:r w:rsidRPr="003A646A">
        <w:rPr>
          <w:shd w:val="clear" w:color="auto" w:fill="FFFFFF"/>
        </w:rPr>
        <w:t>fable</w:t>
      </w:r>
      <w:proofErr w:type="spellEnd"/>
      <w:r w:rsidRPr="003A646A">
        <w:rPr>
          <w:shd w:val="clear" w:color="auto" w:fill="FFFFFF"/>
        </w:rPr>
        <w:t xml:space="preserve"> </w:t>
      </w:r>
      <w:proofErr w:type="spellStart"/>
      <w:r w:rsidRPr="003A646A">
        <w:rPr>
          <w:shd w:val="clear" w:color="auto" w:fill="FFFFFF"/>
        </w:rPr>
        <w:t>about</w:t>
      </w:r>
      <w:proofErr w:type="spellEnd"/>
      <w:r w:rsidRPr="003A646A">
        <w:rPr>
          <w:shd w:val="clear" w:color="auto" w:fill="FFFFFF"/>
        </w:rPr>
        <w:t xml:space="preserve"> </w:t>
      </w:r>
      <w:proofErr w:type="spellStart"/>
      <w:r w:rsidRPr="003A646A">
        <w:rPr>
          <w:shd w:val="clear" w:color="auto" w:fill="FFFFFF"/>
        </w:rPr>
        <w:t>fame</w:t>
      </w:r>
      <w:proofErr w:type="spellEnd"/>
      <w:r w:rsidRPr="003A646A">
        <w:rPr>
          <w:shd w:val="clear" w:color="auto" w:fill="FFFFFF"/>
        </w:rPr>
        <w:t>, self-</w:t>
      </w:r>
      <w:proofErr w:type="spellStart"/>
      <w:r w:rsidRPr="003A646A">
        <w:rPr>
          <w:shd w:val="clear" w:color="auto" w:fill="FFFFFF"/>
        </w:rPr>
        <w:t>hatred</w:t>
      </w:r>
      <w:proofErr w:type="spellEnd"/>
      <w:r w:rsidRPr="003A646A">
        <w:rPr>
          <w:shd w:val="clear" w:color="auto" w:fill="FFFFFF"/>
        </w:rPr>
        <w:t xml:space="preserve"> </w:t>
      </w:r>
      <w:proofErr w:type="spellStart"/>
      <w:r w:rsidRPr="003A646A">
        <w:rPr>
          <w:shd w:val="clear" w:color="auto" w:fill="FFFFFF"/>
        </w:rPr>
        <w:t>and</w:t>
      </w:r>
      <w:proofErr w:type="spellEnd"/>
      <w:r w:rsidRPr="003A646A">
        <w:rPr>
          <w:shd w:val="clear" w:color="auto" w:fill="FFFFFF"/>
        </w:rPr>
        <w:t xml:space="preserve"> </w:t>
      </w:r>
      <w:proofErr w:type="spellStart"/>
      <w:r w:rsidRPr="003A646A">
        <w:rPr>
          <w:shd w:val="clear" w:color="auto" w:fill="FFFFFF"/>
        </w:rPr>
        <w:t>the</w:t>
      </w:r>
      <w:proofErr w:type="spellEnd"/>
      <w:r w:rsidRPr="003A646A">
        <w:rPr>
          <w:shd w:val="clear" w:color="auto" w:fill="FFFFFF"/>
        </w:rPr>
        <w:t xml:space="preserve"> </w:t>
      </w:r>
      <w:proofErr w:type="spellStart"/>
      <w:r w:rsidRPr="003A646A">
        <w:rPr>
          <w:shd w:val="clear" w:color="auto" w:fill="FFFFFF"/>
        </w:rPr>
        <w:t>terror</w:t>
      </w:r>
      <w:proofErr w:type="spellEnd"/>
      <w:r w:rsidRPr="003A646A">
        <w:rPr>
          <w:shd w:val="clear" w:color="auto" w:fill="FFFFFF"/>
        </w:rPr>
        <w:t xml:space="preserve"> </w:t>
      </w:r>
      <w:proofErr w:type="spellStart"/>
      <w:r w:rsidRPr="003A646A">
        <w:rPr>
          <w:shd w:val="clear" w:color="auto" w:fill="FFFFFF"/>
        </w:rPr>
        <w:t>that</w:t>
      </w:r>
      <w:proofErr w:type="spellEnd"/>
      <w:r w:rsidRPr="003A646A">
        <w:rPr>
          <w:shd w:val="clear" w:color="auto" w:fill="FFFFFF"/>
        </w:rPr>
        <w:t xml:space="preserve"> </w:t>
      </w:r>
      <w:proofErr w:type="spellStart"/>
      <w:r w:rsidRPr="003A646A">
        <w:rPr>
          <w:shd w:val="clear" w:color="auto" w:fill="FFFFFF"/>
        </w:rPr>
        <w:t>accompanies</w:t>
      </w:r>
      <w:proofErr w:type="spellEnd"/>
      <w:r w:rsidRPr="003A646A">
        <w:rPr>
          <w:shd w:val="clear" w:color="auto" w:fill="FFFFFF"/>
        </w:rPr>
        <w:t xml:space="preserve"> an </w:t>
      </w:r>
      <w:proofErr w:type="spellStart"/>
      <w:r w:rsidRPr="003A646A">
        <w:rPr>
          <w:shd w:val="clear" w:color="auto" w:fill="FFFFFF"/>
        </w:rPr>
        <w:t>identity</w:t>
      </w:r>
      <w:proofErr w:type="spellEnd"/>
      <w:r w:rsidRPr="003A646A">
        <w:rPr>
          <w:shd w:val="clear" w:color="auto" w:fill="FFFFFF"/>
        </w:rPr>
        <w:t xml:space="preserve"> </w:t>
      </w:r>
      <w:proofErr w:type="spellStart"/>
      <w:r w:rsidRPr="003A646A">
        <w:rPr>
          <w:shd w:val="clear" w:color="auto" w:fill="FFFFFF"/>
        </w:rPr>
        <w:t>constructed</w:t>
      </w:r>
      <w:proofErr w:type="spellEnd"/>
      <w:r w:rsidRPr="003A646A">
        <w:rPr>
          <w:shd w:val="clear" w:color="auto" w:fill="FFFFFF"/>
        </w:rPr>
        <w:t xml:space="preserve"> on </w:t>
      </w:r>
      <w:proofErr w:type="spellStart"/>
      <w:r w:rsidRPr="003A646A">
        <w:rPr>
          <w:shd w:val="clear" w:color="auto" w:fill="FFFFFF"/>
        </w:rPr>
        <w:t>the</w:t>
      </w:r>
      <w:proofErr w:type="spellEnd"/>
      <w:r w:rsidRPr="003A646A">
        <w:rPr>
          <w:shd w:val="clear" w:color="auto" w:fill="FFFFFF"/>
        </w:rPr>
        <w:t xml:space="preserve"> </w:t>
      </w:r>
      <w:proofErr w:type="spellStart"/>
      <w:r w:rsidRPr="003A646A">
        <w:rPr>
          <w:shd w:val="clear" w:color="auto" w:fill="FFFFFF"/>
        </w:rPr>
        <w:t>backs</w:t>
      </w:r>
      <w:proofErr w:type="spellEnd"/>
      <w:r w:rsidRPr="003A646A">
        <w:rPr>
          <w:shd w:val="clear" w:color="auto" w:fill="FFFFFF"/>
        </w:rPr>
        <w:t xml:space="preserve"> of </w:t>
      </w:r>
      <w:proofErr w:type="spellStart"/>
      <w:r w:rsidRPr="003A646A">
        <w:rPr>
          <w:shd w:val="clear" w:color="auto" w:fill="FFFFFF"/>
        </w:rPr>
        <w:t>other</w:t>
      </w:r>
      <w:proofErr w:type="spellEnd"/>
      <w:r w:rsidRPr="003A646A">
        <w:rPr>
          <w:shd w:val="clear" w:color="auto" w:fill="FFFFFF"/>
        </w:rPr>
        <w:t xml:space="preserve"> </w:t>
      </w:r>
      <w:proofErr w:type="spellStart"/>
      <w:r w:rsidRPr="003A646A">
        <w:rPr>
          <w:shd w:val="clear" w:color="auto" w:fill="FFFFFF"/>
        </w:rPr>
        <w:t>people’s</w:t>
      </w:r>
      <w:proofErr w:type="spellEnd"/>
      <w:r w:rsidRPr="003A646A">
        <w:rPr>
          <w:shd w:val="clear" w:color="auto" w:fill="FFFFFF"/>
        </w:rPr>
        <w:t xml:space="preserve"> </w:t>
      </w:r>
      <w:proofErr w:type="spellStart"/>
      <w:r w:rsidRPr="003A646A">
        <w:rPr>
          <w:shd w:val="clear" w:color="auto" w:fill="FFFFFF"/>
        </w:rPr>
        <w:t>stares</w:t>
      </w:r>
      <w:proofErr w:type="spellEnd"/>
      <w:r w:rsidRPr="003A646A">
        <w:rPr>
          <w:shd w:val="clear" w:color="auto" w:fill="FFFFFF"/>
        </w:rPr>
        <w:t xml:space="preserve">” </w:t>
      </w:r>
      <w:r>
        <w:rPr>
          <w:shd w:val="clear" w:color="auto" w:fill="FFFFFF"/>
        </w:rPr>
        <w:t>(2024</w:t>
      </w:r>
      <w:r w:rsidRPr="00FF3917">
        <w:rPr>
          <w:shd w:val="clear" w:color="auto" w:fill="FFFFFF"/>
        </w:rPr>
        <w:t xml:space="preserve">). </w:t>
      </w:r>
      <w:proofErr w:type="spellStart"/>
      <w:r w:rsidRPr="00FF3917">
        <w:rPr>
          <w:shd w:val="clear" w:color="auto" w:fill="FFFFFF"/>
        </w:rPr>
        <w:t>Regarding</w:t>
      </w:r>
      <w:proofErr w:type="spellEnd"/>
      <w:r w:rsidRPr="00FF3917">
        <w:rPr>
          <w:shd w:val="clear" w:color="auto" w:fill="FFFFFF"/>
        </w:rPr>
        <w:t xml:space="preserve"> </w:t>
      </w:r>
      <w:proofErr w:type="spellStart"/>
      <w:r w:rsidRPr="00FF3917">
        <w:rPr>
          <w:i/>
          <w:shd w:val="clear" w:color="auto" w:fill="FFFFFF"/>
        </w:rPr>
        <w:t>The</w:t>
      </w:r>
      <w:proofErr w:type="spellEnd"/>
      <w:r w:rsidRPr="00FF3917">
        <w:rPr>
          <w:i/>
          <w:shd w:val="clear" w:color="auto" w:fill="FFFFFF"/>
        </w:rPr>
        <w:t xml:space="preserve"> </w:t>
      </w:r>
      <w:proofErr w:type="spellStart"/>
      <w:r w:rsidRPr="00FF3917">
        <w:rPr>
          <w:i/>
          <w:shd w:val="clear" w:color="auto" w:fill="FFFFFF"/>
        </w:rPr>
        <w:t>Guardian`s</w:t>
      </w:r>
      <w:proofErr w:type="spellEnd"/>
      <w:r w:rsidRPr="00FF3917">
        <w:rPr>
          <w:i/>
          <w:shd w:val="clear" w:color="auto" w:fill="FFFFFF"/>
        </w:rPr>
        <w:t xml:space="preserve"> </w:t>
      </w:r>
      <w:proofErr w:type="spellStart"/>
      <w:r w:rsidRPr="00FF3917">
        <w:rPr>
          <w:shd w:val="clear" w:color="auto" w:fill="FFFFFF"/>
        </w:rPr>
        <w:t>review</w:t>
      </w:r>
      <w:proofErr w:type="spellEnd"/>
      <w:r w:rsidRPr="00FF3917">
        <w:rPr>
          <w:shd w:val="clear" w:color="auto" w:fill="FFFFFF"/>
        </w:rPr>
        <w:t xml:space="preserve">, it </w:t>
      </w:r>
      <w:proofErr w:type="spellStart"/>
      <w:r w:rsidRPr="00FF3917">
        <w:rPr>
          <w:shd w:val="clear" w:color="auto" w:fill="FFFFFF"/>
        </w:rPr>
        <w:t>acknowledges</w:t>
      </w:r>
      <w:proofErr w:type="spellEnd"/>
      <w:r w:rsidRPr="00FF3917">
        <w:rPr>
          <w:shd w:val="clear" w:color="auto" w:fill="FFFFFF"/>
        </w:rPr>
        <w:t xml:space="preserve"> </w:t>
      </w:r>
      <w:proofErr w:type="spellStart"/>
      <w:r w:rsidRPr="00FF3917">
        <w:rPr>
          <w:shd w:val="clear" w:color="auto" w:fill="FFFFFF"/>
        </w:rPr>
        <w:t>both</w:t>
      </w:r>
      <w:proofErr w:type="spellEnd"/>
      <w:r w:rsidRPr="00FF3917">
        <w:rPr>
          <w:shd w:val="clear" w:color="auto" w:fill="FFFFFF"/>
        </w:rPr>
        <w:t xml:space="preserve"> </w:t>
      </w:r>
      <w:proofErr w:type="spellStart"/>
      <w:r w:rsidRPr="00FF3917">
        <w:rPr>
          <w:shd w:val="clear" w:color="auto" w:fill="FFFFFF"/>
        </w:rPr>
        <w:t>the</w:t>
      </w:r>
      <w:proofErr w:type="spellEnd"/>
      <w:r w:rsidRPr="00FF3917">
        <w:rPr>
          <w:shd w:val="clear" w:color="auto" w:fill="FFFFFF"/>
        </w:rPr>
        <w:t xml:space="preserve"> </w:t>
      </w:r>
      <w:proofErr w:type="spellStart"/>
      <w:r w:rsidRPr="00FF3917">
        <w:rPr>
          <w:shd w:val="clear" w:color="auto" w:fill="FFFFFF"/>
        </w:rPr>
        <w:t>weaknesses</w:t>
      </w:r>
      <w:proofErr w:type="spellEnd"/>
      <w:r w:rsidRPr="00FF3917">
        <w:rPr>
          <w:shd w:val="clear" w:color="auto" w:fill="FFFFFF"/>
        </w:rPr>
        <w:t xml:space="preserve"> of </w:t>
      </w:r>
      <w:proofErr w:type="spellStart"/>
      <w:r w:rsidRPr="00FF3917">
        <w:rPr>
          <w:shd w:val="clear" w:color="auto" w:fill="FFFFFF"/>
        </w:rPr>
        <w:t>the</w:t>
      </w:r>
      <w:proofErr w:type="spellEnd"/>
      <w:r w:rsidRPr="00FF3917">
        <w:rPr>
          <w:shd w:val="clear" w:color="auto" w:fill="FFFFFF"/>
        </w:rPr>
        <w:t xml:space="preserve"> film </w:t>
      </w:r>
      <w:proofErr w:type="spellStart"/>
      <w:r w:rsidRPr="00FF3917">
        <w:rPr>
          <w:shd w:val="clear" w:color="auto" w:fill="FFFFFF"/>
        </w:rPr>
        <w:t>and</w:t>
      </w:r>
      <w:proofErr w:type="spellEnd"/>
      <w:r w:rsidRPr="00FF3917">
        <w:rPr>
          <w:shd w:val="clear" w:color="auto" w:fill="FFFFFF"/>
        </w:rPr>
        <w:t xml:space="preserve"> </w:t>
      </w:r>
      <w:proofErr w:type="spellStart"/>
      <w:r w:rsidRPr="00FF3917">
        <w:rPr>
          <w:shd w:val="clear" w:color="auto" w:fill="FFFFFF"/>
        </w:rPr>
        <w:t>the</w:t>
      </w:r>
      <w:proofErr w:type="spellEnd"/>
      <w:r w:rsidRPr="00FF3917">
        <w:rPr>
          <w:shd w:val="clear" w:color="auto" w:fill="FFFFFF"/>
        </w:rPr>
        <w:t xml:space="preserve"> </w:t>
      </w:r>
      <w:proofErr w:type="spellStart"/>
      <w:r w:rsidRPr="00FF3917">
        <w:rPr>
          <w:shd w:val="clear" w:color="auto" w:fill="FFFFFF"/>
        </w:rPr>
        <w:t>praises</w:t>
      </w:r>
      <w:proofErr w:type="spellEnd"/>
      <w:r w:rsidRPr="00FF3917">
        <w:rPr>
          <w:shd w:val="clear" w:color="auto" w:fill="FFFFFF"/>
        </w:rPr>
        <w:t xml:space="preserve"> </w:t>
      </w:r>
      <w:proofErr w:type="spellStart"/>
      <w:r w:rsidRPr="00FF3917">
        <w:rPr>
          <w:shd w:val="clear" w:color="auto" w:fill="FFFFFF"/>
        </w:rPr>
        <w:t>while</w:t>
      </w:r>
      <w:proofErr w:type="spellEnd"/>
      <w:r w:rsidRPr="00FF3917">
        <w:rPr>
          <w:shd w:val="clear" w:color="auto" w:fill="FFFFFF"/>
        </w:rPr>
        <w:t xml:space="preserve"> </w:t>
      </w:r>
      <w:proofErr w:type="spellStart"/>
      <w:r w:rsidRPr="00FF3917">
        <w:rPr>
          <w:shd w:val="clear" w:color="auto" w:fill="FFFFFF"/>
        </w:rPr>
        <w:t>mentioning</w:t>
      </w:r>
      <w:proofErr w:type="spellEnd"/>
      <w:r w:rsidRPr="00FF3917">
        <w:rPr>
          <w:shd w:val="clear" w:color="auto" w:fill="FFFFFF"/>
        </w:rPr>
        <w:t xml:space="preserve"> </w:t>
      </w:r>
      <w:proofErr w:type="spellStart"/>
      <w:r w:rsidRPr="00FF3917">
        <w:rPr>
          <w:shd w:val="clear" w:color="auto" w:fill="FFFFFF"/>
        </w:rPr>
        <w:t>its</w:t>
      </w:r>
      <w:proofErr w:type="spellEnd"/>
      <w:r w:rsidRPr="00FF3917">
        <w:rPr>
          <w:shd w:val="clear" w:color="auto" w:fill="FFFFFF"/>
        </w:rPr>
        <w:t xml:space="preserve"> </w:t>
      </w:r>
      <w:proofErr w:type="spellStart"/>
      <w:r w:rsidRPr="00FF3917">
        <w:rPr>
          <w:shd w:val="clear" w:color="auto" w:fill="FFFFFF"/>
        </w:rPr>
        <w:t>resemblance</w:t>
      </w:r>
      <w:proofErr w:type="spellEnd"/>
      <w:r w:rsidRPr="00FF3917">
        <w:rPr>
          <w:shd w:val="clear" w:color="auto" w:fill="FFFFFF"/>
        </w:rPr>
        <w:t xml:space="preserve"> </w:t>
      </w:r>
      <w:proofErr w:type="spellStart"/>
      <w:r w:rsidRPr="00FF3917">
        <w:rPr>
          <w:shd w:val="clear" w:color="auto" w:fill="FFFFFF"/>
        </w:rPr>
        <w:t>to</w:t>
      </w:r>
      <w:proofErr w:type="spellEnd"/>
      <w:r w:rsidRPr="00FF3917">
        <w:rPr>
          <w:shd w:val="clear" w:color="auto" w:fill="FFFFFF"/>
        </w:rPr>
        <w:t xml:space="preserve"> </w:t>
      </w:r>
      <w:r w:rsidRPr="00FF3917">
        <w:rPr>
          <w:i/>
          <w:shd w:val="clear" w:color="auto" w:fill="FFFFFF"/>
        </w:rPr>
        <w:t xml:space="preserve">Dorian </w:t>
      </w:r>
      <w:proofErr w:type="spellStart"/>
      <w:r w:rsidRPr="00FF3917">
        <w:rPr>
          <w:i/>
          <w:shd w:val="clear" w:color="auto" w:fill="FFFFFF"/>
        </w:rPr>
        <w:t>Gray</w:t>
      </w:r>
      <w:proofErr w:type="spellEnd"/>
      <w:r w:rsidRPr="00FF3917">
        <w:rPr>
          <w:rStyle w:val="Gl"/>
          <w:rFonts w:eastAsiaTheme="majorEastAsia"/>
        </w:rPr>
        <w:t xml:space="preserve">. </w:t>
      </w:r>
      <w:proofErr w:type="spellStart"/>
      <w:r w:rsidRPr="00FF3917">
        <w:rPr>
          <w:rStyle w:val="Gl"/>
          <w:rFonts w:eastAsiaTheme="majorEastAsia"/>
        </w:rPr>
        <w:t>The</w:t>
      </w:r>
      <w:proofErr w:type="spellEnd"/>
      <w:r w:rsidRPr="00FF3917">
        <w:rPr>
          <w:rStyle w:val="Gl"/>
          <w:rFonts w:eastAsiaTheme="majorEastAsia"/>
        </w:rPr>
        <w:t xml:space="preserve"> </w:t>
      </w:r>
      <w:proofErr w:type="spellStart"/>
      <w:r w:rsidRPr="00FF3917">
        <w:rPr>
          <w:rStyle w:val="Gl"/>
          <w:rFonts w:eastAsiaTheme="majorEastAsia"/>
        </w:rPr>
        <w:t>films</w:t>
      </w:r>
      <w:proofErr w:type="spellEnd"/>
      <w:r w:rsidRPr="00FF3917">
        <w:rPr>
          <w:rStyle w:val="Gl"/>
          <w:rFonts w:eastAsiaTheme="majorEastAsia"/>
        </w:rPr>
        <w:t xml:space="preserve"> </w:t>
      </w:r>
      <w:proofErr w:type="spellStart"/>
      <w:r w:rsidRPr="00FF3917">
        <w:rPr>
          <w:rStyle w:val="Gl"/>
          <w:rFonts w:eastAsiaTheme="majorEastAsia"/>
        </w:rPr>
        <w:t>audacity</w:t>
      </w:r>
      <w:proofErr w:type="spellEnd"/>
      <w:r w:rsidRPr="00FF3917">
        <w:rPr>
          <w:rStyle w:val="Gl"/>
          <w:rFonts w:eastAsiaTheme="majorEastAsia"/>
        </w:rPr>
        <w:t xml:space="preserve"> is </w:t>
      </w:r>
      <w:proofErr w:type="spellStart"/>
      <w:r w:rsidRPr="00FF3917">
        <w:rPr>
          <w:rStyle w:val="Gl"/>
          <w:rFonts w:eastAsiaTheme="majorEastAsia"/>
        </w:rPr>
        <w:t>addressed</w:t>
      </w:r>
      <w:proofErr w:type="spellEnd"/>
      <w:r w:rsidRPr="00FF3917">
        <w:rPr>
          <w:rStyle w:val="Gl"/>
          <w:rFonts w:eastAsiaTheme="majorEastAsia"/>
        </w:rPr>
        <w:t xml:space="preserve">, how it </w:t>
      </w:r>
      <w:proofErr w:type="spellStart"/>
      <w:r w:rsidRPr="00FF3917">
        <w:rPr>
          <w:rStyle w:val="Gl"/>
          <w:rFonts w:eastAsiaTheme="majorEastAsia"/>
        </w:rPr>
        <w:t>boldly</w:t>
      </w:r>
      <w:proofErr w:type="spellEnd"/>
      <w:r w:rsidRPr="00FF3917">
        <w:rPr>
          <w:rStyle w:val="Gl"/>
          <w:rFonts w:eastAsiaTheme="majorEastAsia"/>
        </w:rPr>
        <w:t xml:space="preserve"> </w:t>
      </w:r>
      <w:proofErr w:type="spellStart"/>
      <w:r w:rsidRPr="00FF3917">
        <w:rPr>
          <w:rStyle w:val="Gl"/>
          <w:rFonts w:eastAsiaTheme="majorEastAsia"/>
        </w:rPr>
        <w:t>and</w:t>
      </w:r>
      <w:proofErr w:type="spellEnd"/>
      <w:r w:rsidRPr="00FF3917">
        <w:rPr>
          <w:rStyle w:val="Gl"/>
          <w:rFonts w:eastAsiaTheme="majorEastAsia"/>
        </w:rPr>
        <w:t xml:space="preserve"> </w:t>
      </w:r>
      <w:proofErr w:type="spellStart"/>
      <w:r w:rsidRPr="00FF3917">
        <w:rPr>
          <w:rStyle w:val="Gl"/>
          <w:rFonts w:eastAsiaTheme="majorEastAsia"/>
        </w:rPr>
        <w:t>rigorously</w:t>
      </w:r>
      <w:proofErr w:type="spellEnd"/>
      <w:r w:rsidRPr="00FF3917">
        <w:rPr>
          <w:rStyle w:val="Gl"/>
          <w:rFonts w:eastAsiaTheme="majorEastAsia"/>
        </w:rPr>
        <w:t xml:space="preserve"> </w:t>
      </w:r>
      <w:proofErr w:type="spellStart"/>
      <w:r w:rsidRPr="00FF3917">
        <w:rPr>
          <w:rStyle w:val="Gl"/>
          <w:rFonts w:eastAsiaTheme="majorEastAsia"/>
        </w:rPr>
        <w:t>attacks</w:t>
      </w:r>
      <w:proofErr w:type="spellEnd"/>
      <w:r w:rsidRPr="00FF3917">
        <w:rPr>
          <w:rStyle w:val="Gl"/>
          <w:rFonts w:eastAsiaTheme="majorEastAsia"/>
        </w:rPr>
        <w:t xml:space="preserve"> </w:t>
      </w:r>
      <w:proofErr w:type="spellStart"/>
      <w:r>
        <w:rPr>
          <w:rStyle w:val="Gl"/>
          <w:rFonts w:eastAsiaTheme="majorEastAsia"/>
        </w:rPr>
        <w:t>the</w:t>
      </w:r>
      <w:proofErr w:type="spellEnd"/>
      <w:r w:rsidRPr="00FF3917">
        <w:rPr>
          <w:rStyle w:val="Gl"/>
          <w:rFonts w:eastAsiaTheme="majorEastAsia"/>
        </w:rPr>
        <w:t xml:space="preserve"> </w:t>
      </w:r>
      <w:proofErr w:type="spellStart"/>
      <w:r w:rsidRPr="00FF3917">
        <w:rPr>
          <w:rStyle w:val="Gl"/>
          <w:rFonts w:eastAsiaTheme="majorEastAsia"/>
        </w:rPr>
        <w:t>controversies</w:t>
      </w:r>
      <w:proofErr w:type="spellEnd"/>
      <w:r w:rsidRPr="00FF3917">
        <w:rPr>
          <w:rStyle w:val="Gl"/>
          <w:rFonts w:eastAsiaTheme="majorEastAsia"/>
        </w:rPr>
        <w:t xml:space="preserve"> </w:t>
      </w:r>
      <w:proofErr w:type="spellStart"/>
      <w:r w:rsidRPr="00FF3917">
        <w:rPr>
          <w:rStyle w:val="Gl"/>
          <w:rFonts w:eastAsiaTheme="majorEastAsia"/>
        </w:rPr>
        <w:t>around</w:t>
      </w:r>
      <w:proofErr w:type="spellEnd"/>
      <w:r w:rsidRPr="00FF3917">
        <w:rPr>
          <w:rStyle w:val="Gl"/>
          <w:rFonts w:eastAsiaTheme="majorEastAsia"/>
        </w:rPr>
        <w:t xml:space="preserve"> </w:t>
      </w:r>
      <w:proofErr w:type="spellStart"/>
      <w:r w:rsidRPr="00FF3917">
        <w:rPr>
          <w:rStyle w:val="Gl"/>
          <w:rFonts w:eastAsiaTheme="majorEastAsia"/>
        </w:rPr>
        <w:lastRenderedPageBreak/>
        <w:t>aging</w:t>
      </w:r>
      <w:proofErr w:type="spellEnd"/>
      <w:r w:rsidRPr="00FF3917">
        <w:rPr>
          <w:rStyle w:val="Gl"/>
          <w:rFonts w:eastAsiaTheme="majorEastAsia"/>
        </w:rPr>
        <w:t xml:space="preserve"> </w:t>
      </w:r>
      <w:proofErr w:type="spellStart"/>
      <w:r w:rsidRPr="00FF3917">
        <w:rPr>
          <w:rStyle w:val="Gl"/>
          <w:rFonts w:eastAsiaTheme="majorEastAsia"/>
        </w:rPr>
        <w:t>wom</w:t>
      </w:r>
      <w:r>
        <w:rPr>
          <w:rStyle w:val="Gl"/>
          <w:rFonts w:eastAsiaTheme="majorEastAsia"/>
        </w:rPr>
        <w:t>an</w:t>
      </w:r>
      <w:proofErr w:type="spellEnd"/>
      <w:r>
        <w:rPr>
          <w:rStyle w:val="Gl"/>
          <w:rFonts w:eastAsiaTheme="majorEastAsia"/>
        </w:rPr>
        <w:t xml:space="preserve"> </w:t>
      </w:r>
      <w:proofErr w:type="spellStart"/>
      <w:r>
        <w:rPr>
          <w:rStyle w:val="Gl"/>
          <w:rFonts w:eastAsiaTheme="majorEastAsia"/>
        </w:rPr>
        <w:t>and</w:t>
      </w:r>
      <w:proofErr w:type="spellEnd"/>
      <w:r>
        <w:rPr>
          <w:rStyle w:val="Gl"/>
          <w:rFonts w:eastAsiaTheme="majorEastAsia"/>
        </w:rPr>
        <w:t xml:space="preserve"> </w:t>
      </w:r>
      <w:proofErr w:type="spellStart"/>
      <w:r w:rsidRPr="00FF3917">
        <w:rPr>
          <w:rStyle w:val="Gl"/>
          <w:rFonts w:eastAsiaTheme="majorEastAsia"/>
        </w:rPr>
        <w:t>constant</w:t>
      </w:r>
      <w:proofErr w:type="spellEnd"/>
      <w:r w:rsidRPr="00FF3917">
        <w:rPr>
          <w:rStyle w:val="Gl"/>
          <w:rFonts w:eastAsiaTheme="majorEastAsia"/>
        </w:rPr>
        <w:t xml:space="preserve"> online </w:t>
      </w:r>
      <w:proofErr w:type="spellStart"/>
      <w:r w:rsidRPr="00FF3917">
        <w:rPr>
          <w:rStyle w:val="Gl"/>
          <w:rFonts w:eastAsiaTheme="majorEastAsia"/>
        </w:rPr>
        <w:t>scrutiny</w:t>
      </w:r>
      <w:proofErr w:type="spellEnd"/>
      <w:r w:rsidRPr="00FF3917">
        <w:rPr>
          <w:rStyle w:val="Gl"/>
          <w:rFonts w:eastAsiaTheme="majorEastAsia"/>
        </w:rPr>
        <w:t xml:space="preserve"> (</w:t>
      </w:r>
      <w:proofErr w:type="spellStart"/>
      <w:r w:rsidRPr="00FF3917">
        <w:t>Horton</w:t>
      </w:r>
      <w:proofErr w:type="spellEnd"/>
      <w:r w:rsidRPr="00FF3917">
        <w:t>, 2024).</w:t>
      </w:r>
      <w:r>
        <w:t xml:space="preserve"> </w:t>
      </w:r>
      <w:proofErr w:type="spellStart"/>
      <w:r w:rsidRPr="00B93159">
        <w:rPr>
          <w:color w:val="000000"/>
          <w:spacing w:val="3"/>
          <w:shd w:val="clear" w:color="auto" w:fill="FFFFFF"/>
        </w:rPr>
        <w:t>Chrissy</w:t>
      </w:r>
      <w:proofErr w:type="spellEnd"/>
      <w:r w:rsidRPr="00B93159">
        <w:rPr>
          <w:color w:val="000000"/>
          <w:spacing w:val="3"/>
          <w:shd w:val="clear" w:color="auto" w:fill="FFFFFF"/>
        </w:rPr>
        <w:t xml:space="preserve"> </w:t>
      </w:r>
      <w:proofErr w:type="spellStart"/>
      <w:r w:rsidRPr="00B93159">
        <w:rPr>
          <w:color w:val="000000"/>
          <w:spacing w:val="3"/>
          <w:shd w:val="clear" w:color="auto" w:fill="FFFFFF"/>
        </w:rPr>
        <w:t>Jayarajah</w:t>
      </w:r>
      <w:proofErr w:type="spellEnd"/>
      <w:r>
        <w:rPr>
          <w:color w:val="000000"/>
          <w:spacing w:val="3"/>
          <w:shd w:val="clear" w:color="auto" w:fill="FFFFFF"/>
        </w:rPr>
        <w:t xml:space="preserve"> in her </w:t>
      </w:r>
      <w:proofErr w:type="spellStart"/>
      <w:r>
        <w:rPr>
          <w:color w:val="000000"/>
          <w:spacing w:val="3"/>
          <w:shd w:val="clear" w:color="auto" w:fill="FFFFFF"/>
        </w:rPr>
        <w:t>latest</w:t>
      </w:r>
      <w:proofErr w:type="spellEnd"/>
      <w:r>
        <w:rPr>
          <w:color w:val="000000"/>
          <w:spacing w:val="3"/>
          <w:shd w:val="clear" w:color="auto" w:fill="FFFFFF"/>
        </w:rPr>
        <w:t xml:space="preserve"> </w:t>
      </w:r>
      <w:proofErr w:type="spellStart"/>
      <w:r>
        <w:rPr>
          <w:color w:val="000000"/>
          <w:spacing w:val="3"/>
          <w:shd w:val="clear" w:color="auto" w:fill="FFFFFF"/>
        </w:rPr>
        <w:t>publication</w:t>
      </w:r>
      <w:proofErr w:type="spellEnd"/>
      <w:r>
        <w:rPr>
          <w:color w:val="000000"/>
          <w:spacing w:val="3"/>
          <w:shd w:val="clear" w:color="auto" w:fill="FFFFFF"/>
        </w:rPr>
        <w:t xml:space="preserve"> </w:t>
      </w:r>
      <w:proofErr w:type="spellStart"/>
      <w:r>
        <w:rPr>
          <w:color w:val="000000"/>
          <w:spacing w:val="3"/>
          <w:shd w:val="clear" w:color="auto" w:fill="FFFFFF"/>
        </w:rPr>
        <w:t>titled</w:t>
      </w:r>
      <w:proofErr w:type="spellEnd"/>
      <w:r>
        <w:rPr>
          <w:color w:val="000000"/>
          <w:spacing w:val="3"/>
          <w:shd w:val="clear" w:color="auto" w:fill="FFFFFF"/>
        </w:rPr>
        <w:t xml:space="preserve"> “</w:t>
      </w:r>
      <w:proofErr w:type="spellStart"/>
      <w:r w:rsidRPr="00CD5320">
        <w:rPr>
          <w:i/>
          <w:shd w:val="clear" w:color="auto" w:fill="FFFFFF"/>
        </w:rPr>
        <w:t>The</w:t>
      </w:r>
      <w:proofErr w:type="spellEnd"/>
      <w:r w:rsidRPr="00CD5320">
        <w:rPr>
          <w:i/>
          <w:shd w:val="clear" w:color="auto" w:fill="FFFFFF"/>
        </w:rPr>
        <w:t xml:space="preserve"> </w:t>
      </w:r>
      <w:proofErr w:type="spellStart"/>
      <w:r w:rsidRPr="00CD5320">
        <w:rPr>
          <w:i/>
          <w:shd w:val="clear" w:color="auto" w:fill="FFFFFF"/>
        </w:rPr>
        <w:t>Substance</w:t>
      </w:r>
      <w:proofErr w:type="spellEnd"/>
      <w:r w:rsidRPr="00CD5320">
        <w:rPr>
          <w:i/>
          <w:shd w:val="clear" w:color="auto" w:fill="FFFFFF"/>
        </w:rPr>
        <w:t xml:space="preserve"> </w:t>
      </w:r>
      <w:proofErr w:type="spellStart"/>
      <w:r w:rsidRPr="00CD5320">
        <w:rPr>
          <w:i/>
          <w:shd w:val="clear" w:color="auto" w:fill="FFFFFF"/>
        </w:rPr>
        <w:t>and</w:t>
      </w:r>
      <w:proofErr w:type="spellEnd"/>
      <w:r w:rsidRPr="00CD5320">
        <w:rPr>
          <w:i/>
          <w:shd w:val="clear" w:color="auto" w:fill="FFFFFF"/>
        </w:rPr>
        <w:t xml:space="preserve"> </w:t>
      </w:r>
      <w:proofErr w:type="spellStart"/>
      <w:r w:rsidRPr="00CD5320">
        <w:rPr>
          <w:i/>
          <w:shd w:val="clear" w:color="auto" w:fill="FFFFFF"/>
        </w:rPr>
        <w:t>the</w:t>
      </w:r>
      <w:proofErr w:type="spellEnd"/>
      <w:r w:rsidRPr="00CD5320">
        <w:rPr>
          <w:i/>
          <w:shd w:val="clear" w:color="auto" w:fill="FFFFFF"/>
        </w:rPr>
        <w:t xml:space="preserve"> </w:t>
      </w:r>
      <w:proofErr w:type="spellStart"/>
      <w:r w:rsidRPr="00CD5320">
        <w:rPr>
          <w:i/>
          <w:shd w:val="clear" w:color="auto" w:fill="FFFFFF"/>
        </w:rPr>
        <w:t>Pursuit</w:t>
      </w:r>
      <w:proofErr w:type="spellEnd"/>
      <w:r w:rsidRPr="00CD5320">
        <w:rPr>
          <w:i/>
          <w:shd w:val="clear" w:color="auto" w:fill="FFFFFF"/>
        </w:rPr>
        <w:t xml:space="preserve"> of </w:t>
      </w:r>
      <w:proofErr w:type="spellStart"/>
      <w:r w:rsidRPr="00CD5320">
        <w:rPr>
          <w:i/>
          <w:shd w:val="clear" w:color="auto" w:fill="FFFFFF"/>
        </w:rPr>
        <w:t>Perfection</w:t>
      </w:r>
      <w:proofErr w:type="spellEnd"/>
      <w:r w:rsidRPr="00B93159">
        <w:rPr>
          <w:shd w:val="clear" w:color="auto" w:fill="FFFFFF"/>
        </w:rPr>
        <w:t xml:space="preserve">” </w:t>
      </w:r>
      <w:proofErr w:type="spellStart"/>
      <w:r>
        <w:rPr>
          <w:shd w:val="clear" w:color="auto" w:fill="FFFFFF"/>
        </w:rPr>
        <w:t>refers</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R.D. </w:t>
      </w:r>
      <w:proofErr w:type="spellStart"/>
      <w:r>
        <w:rPr>
          <w:shd w:val="clear" w:color="auto" w:fill="FFFFFF"/>
        </w:rPr>
        <w:t>Laing`s</w:t>
      </w:r>
      <w:proofErr w:type="spellEnd"/>
      <w:r>
        <w:rPr>
          <w:shd w:val="clear" w:color="auto" w:fill="FFFFFF"/>
        </w:rPr>
        <w:t xml:space="preserve"> </w:t>
      </w:r>
      <w:proofErr w:type="spellStart"/>
      <w:r>
        <w:rPr>
          <w:shd w:val="clear" w:color="auto" w:fill="FFFFFF"/>
        </w:rPr>
        <w:t>book</w:t>
      </w:r>
      <w:proofErr w:type="spellEnd"/>
      <w:r>
        <w:rPr>
          <w:shd w:val="clear" w:color="auto" w:fill="FFFFFF"/>
        </w:rPr>
        <w:t xml:space="preserve"> </w:t>
      </w:r>
      <w:proofErr w:type="spellStart"/>
      <w:r w:rsidRPr="009C561A">
        <w:rPr>
          <w:i/>
          <w:shd w:val="clear" w:color="auto" w:fill="FFFFFF"/>
        </w:rPr>
        <w:t>Divided</w:t>
      </w:r>
      <w:proofErr w:type="spellEnd"/>
      <w:r w:rsidRPr="009C561A">
        <w:rPr>
          <w:i/>
          <w:shd w:val="clear" w:color="auto" w:fill="FFFFFF"/>
        </w:rPr>
        <w:t xml:space="preserve"> Self,</w:t>
      </w:r>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elicit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psychological</w:t>
      </w:r>
      <w:proofErr w:type="spellEnd"/>
      <w:r>
        <w:rPr>
          <w:shd w:val="clear" w:color="auto" w:fill="FFFFFF"/>
        </w:rPr>
        <w:t xml:space="preserve"> </w:t>
      </w:r>
      <w:proofErr w:type="spellStart"/>
      <w:r>
        <w:rPr>
          <w:shd w:val="clear" w:color="auto" w:fill="FFFFFF"/>
        </w:rPr>
        <w:t>complexity</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film </w:t>
      </w:r>
      <w:proofErr w:type="spellStart"/>
      <w:r>
        <w:rPr>
          <w:shd w:val="clear" w:color="auto" w:fill="FFFFFF"/>
        </w:rPr>
        <w:t>which</w:t>
      </w:r>
      <w:proofErr w:type="spellEnd"/>
      <w:r>
        <w:rPr>
          <w:shd w:val="clear" w:color="auto" w:fill="FFFFFF"/>
        </w:rPr>
        <w:t xml:space="preserve"> </w:t>
      </w:r>
      <w:proofErr w:type="spellStart"/>
      <w:r>
        <w:rPr>
          <w:shd w:val="clear" w:color="auto" w:fill="FFFFFF"/>
        </w:rPr>
        <w:t>portrays</w:t>
      </w:r>
      <w:proofErr w:type="spellEnd"/>
      <w:r>
        <w:rPr>
          <w:shd w:val="clear" w:color="auto" w:fill="FFFFFF"/>
        </w:rPr>
        <w:t xml:space="preserve"> </w:t>
      </w:r>
      <w:proofErr w:type="spellStart"/>
      <w:r>
        <w:rPr>
          <w:shd w:val="clear" w:color="auto" w:fill="FFFFFF"/>
        </w:rPr>
        <w:t>Elisabeth`s</w:t>
      </w:r>
      <w:proofErr w:type="spellEnd"/>
      <w:r>
        <w:rPr>
          <w:shd w:val="clear" w:color="auto" w:fill="FFFFFF"/>
        </w:rPr>
        <w:t xml:space="preserve"> </w:t>
      </w:r>
      <w:proofErr w:type="spellStart"/>
      <w:r>
        <w:rPr>
          <w:shd w:val="clear" w:color="auto" w:fill="FFFFFF"/>
        </w:rPr>
        <w:t>internal</w:t>
      </w:r>
      <w:proofErr w:type="spellEnd"/>
      <w:r>
        <w:rPr>
          <w:shd w:val="clear" w:color="auto" w:fill="FFFFFF"/>
        </w:rPr>
        <w:t xml:space="preserve"> </w:t>
      </w:r>
      <w:proofErr w:type="spellStart"/>
      <w:r>
        <w:rPr>
          <w:shd w:val="clear" w:color="auto" w:fill="FFFFFF"/>
        </w:rPr>
        <w:t>struggle</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madness</w:t>
      </w:r>
      <w:proofErr w:type="spellEnd"/>
      <w:r>
        <w:rPr>
          <w:shd w:val="clear" w:color="auto" w:fill="FFFFFF"/>
        </w:rPr>
        <w:t xml:space="preserve"> </w:t>
      </w:r>
      <w:proofErr w:type="spellStart"/>
      <w:r>
        <w:rPr>
          <w:shd w:val="clear" w:color="auto" w:fill="FFFFFF"/>
        </w:rPr>
        <w:t>behind</w:t>
      </w:r>
      <w:proofErr w:type="spellEnd"/>
      <w:r>
        <w:rPr>
          <w:shd w:val="clear" w:color="auto" w:fill="FFFFFF"/>
        </w:rPr>
        <w:t xml:space="preserve"> her </w:t>
      </w:r>
      <w:proofErr w:type="spellStart"/>
      <w:r>
        <w:rPr>
          <w:shd w:val="clear" w:color="auto" w:fill="FFFFFF"/>
        </w:rPr>
        <w:t>splendid</w:t>
      </w:r>
      <w:proofErr w:type="spellEnd"/>
      <w:r>
        <w:rPr>
          <w:shd w:val="clear" w:color="auto" w:fill="FFFFFF"/>
        </w:rPr>
        <w:t xml:space="preserve"> </w:t>
      </w:r>
      <w:proofErr w:type="spellStart"/>
      <w:r>
        <w:rPr>
          <w:shd w:val="clear" w:color="auto" w:fill="FFFFFF"/>
        </w:rPr>
        <w:t>exterior</w:t>
      </w:r>
      <w:proofErr w:type="spellEnd"/>
      <w:r>
        <w:rPr>
          <w:shd w:val="clear" w:color="auto" w:fill="FFFFFF"/>
        </w:rPr>
        <w:t xml:space="preserve">. </w:t>
      </w:r>
      <w:proofErr w:type="spellStart"/>
      <w:r w:rsidRPr="009C561A">
        <w:rPr>
          <w:shd w:val="clear" w:color="auto" w:fill="FFFFFF"/>
        </w:rPr>
        <w:t>She</w:t>
      </w:r>
      <w:proofErr w:type="spellEnd"/>
      <w:r>
        <w:rPr>
          <w:shd w:val="clear" w:color="auto" w:fill="FFFFFF"/>
        </w:rPr>
        <w:t xml:space="preserve"> </w:t>
      </w:r>
      <w:proofErr w:type="spellStart"/>
      <w:r w:rsidRPr="009C561A">
        <w:rPr>
          <w:shd w:val="clear" w:color="auto" w:fill="FFFFFF"/>
        </w:rPr>
        <w:t>points</w:t>
      </w:r>
      <w:proofErr w:type="spellEnd"/>
      <w:r>
        <w:rPr>
          <w:shd w:val="clear" w:color="auto" w:fill="FFFFFF"/>
        </w:rPr>
        <w:t xml:space="preserve">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fact</w:t>
      </w:r>
      <w:proofErr w:type="spellEnd"/>
      <w:r>
        <w:rPr>
          <w:shd w:val="clear" w:color="auto" w:fill="FFFFFF"/>
        </w:rPr>
        <w:t xml:space="preserve">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film </w:t>
      </w:r>
      <w:proofErr w:type="spellStart"/>
      <w:r>
        <w:rPr>
          <w:shd w:val="clear" w:color="auto" w:fill="FFFFFF"/>
        </w:rPr>
        <w:t>reflects</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truth</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w:t>
      </w:r>
      <w:proofErr w:type="spellStart"/>
      <w:r>
        <w:rPr>
          <w:shd w:val="clear" w:color="auto" w:fill="FFFFFF"/>
        </w:rPr>
        <w:t>contemporary</w:t>
      </w:r>
      <w:proofErr w:type="spellEnd"/>
      <w:r>
        <w:rPr>
          <w:shd w:val="clear" w:color="auto" w:fill="FFFFFF"/>
        </w:rPr>
        <w:t xml:space="preserve"> </w:t>
      </w:r>
      <w:proofErr w:type="spellStart"/>
      <w:r>
        <w:rPr>
          <w:shd w:val="clear" w:color="auto" w:fill="FFFFFF"/>
        </w:rPr>
        <w:t>society</w:t>
      </w:r>
      <w:proofErr w:type="spellEnd"/>
      <w:r>
        <w:rPr>
          <w:shd w:val="clear" w:color="auto" w:fill="FFFFFF"/>
        </w:rPr>
        <w:t xml:space="preserve"> is </w:t>
      </w:r>
      <w:proofErr w:type="spellStart"/>
      <w:r>
        <w:rPr>
          <w:shd w:val="clear" w:color="auto" w:fill="FFFFFF"/>
        </w:rPr>
        <w:t>what</w:t>
      </w:r>
      <w:proofErr w:type="spellEnd"/>
      <w:r>
        <w:rPr>
          <w:shd w:val="clear" w:color="auto" w:fill="FFFFFF"/>
        </w:rPr>
        <w:t xml:space="preserve"> </w:t>
      </w:r>
      <w:proofErr w:type="spellStart"/>
      <w:r>
        <w:rPr>
          <w:shd w:val="clear" w:color="auto" w:fill="FFFFFF"/>
        </w:rPr>
        <w:t>makes</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body </w:t>
      </w:r>
      <w:proofErr w:type="spellStart"/>
      <w:r w:rsidRPr="00CE1D0E">
        <w:rPr>
          <w:shd w:val="clear" w:color="auto" w:fill="FFFFFF"/>
        </w:rPr>
        <w:t>horror</w:t>
      </w:r>
      <w:proofErr w:type="spellEnd"/>
      <w:r>
        <w:rPr>
          <w:shd w:val="clear" w:color="auto" w:fill="FFFFFF"/>
        </w:rPr>
        <w:t xml:space="preserve"> </w:t>
      </w:r>
      <w:proofErr w:type="spellStart"/>
      <w:r>
        <w:rPr>
          <w:shd w:val="clear" w:color="auto" w:fill="FFFFFF"/>
        </w:rPr>
        <w:t>elements</w:t>
      </w:r>
      <w:proofErr w:type="spellEnd"/>
      <w:r>
        <w:rPr>
          <w:shd w:val="clear" w:color="auto" w:fill="FFFFFF"/>
        </w:rPr>
        <w:t xml:space="preserve"> </w:t>
      </w:r>
      <w:proofErr w:type="spellStart"/>
      <w:r>
        <w:rPr>
          <w:shd w:val="clear" w:color="auto" w:fill="FFFFFF"/>
        </w:rPr>
        <w:t>even</w:t>
      </w:r>
      <w:proofErr w:type="spellEnd"/>
      <w:r>
        <w:rPr>
          <w:shd w:val="clear" w:color="auto" w:fill="FFFFFF"/>
        </w:rPr>
        <w:t xml:space="preserve"> </w:t>
      </w:r>
      <w:proofErr w:type="spellStart"/>
      <w:r w:rsidRPr="00CE1D0E">
        <w:rPr>
          <w:shd w:val="clear" w:color="auto" w:fill="FFFFFF"/>
        </w:rPr>
        <w:t>more</w:t>
      </w:r>
      <w:proofErr w:type="spellEnd"/>
      <w:r>
        <w:rPr>
          <w:shd w:val="clear" w:color="auto" w:fill="FFFFFF"/>
        </w:rPr>
        <w:t xml:space="preserve"> </w:t>
      </w:r>
      <w:proofErr w:type="spellStart"/>
      <w:r>
        <w:rPr>
          <w:shd w:val="clear" w:color="auto" w:fill="FFFFFF"/>
        </w:rPr>
        <w:t>unsettling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film </w:t>
      </w:r>
      <w:proofErr w:type="spellStart"/>
      <w:r>
        <w:rPr>
          <w:shd w:val="clear" w:color="auto" w:fill="FFFFFF"/>
        </w:rPr>
        <w:t>addresses</w:t>
      </w:r>
      <w:proofErr w:type="spellEnd"/>
      <w:r>
        <w:rPr>
          <w:shd w:val="clear" w:color="auto" w:fill="FFFFFF"/>
        </w:rPr>
        <w:t xml:space="preserve"> a </w:t>
      </w:r>
      <w:proofErr w:type="spellStart"/>
      <w:r>
        <w:rPr>
          <w:shd w:val="clear" w:color="auto" w:fill="FFFFFF"/>
        </w:rPr>
        <w:t>deeply</w:t>
      </w:r>
      <w:proofErr w:type="spellEnd"/>
      <w:r>
        <w:rPr>
          <w:shd w:val="clear" w:color="auto" w:fill="FFFFFF"/>
        </w:rPr>
        <w:t xml:space="preserve"> </w:t>
      </w:r>
      <w:proofErr w:type="spellStart"/>
      <w:r>
        <w:rPr>
          <w:shd w:val="clear" w:color="auto" w:fill="FFFFFF"/>
        </w:rPr>
        <w:t>poignant</w:t>
      </w:r>
      <w:proofErr w:type="spellEnd"/>
      <w:r>
        <w:rPr>
          <w:shd w:val="clear" w:color="auto" w:fill="FFFFFF"/>
        </w:rPr>
        <w:t xml:space="preserve"> </w:t>
      </w:r>
      <w:proofErr w:type="spellStart"/>
      <w:r w:rsidRPr="000065AE">
        <w:rPr>
          <w:shd w:val="clear" w:color="auto" w:fill="FFFFFF"/>
        </w:rPr>
        <w:t>issue</w:t>
      </w:r>
      <w:proofErr w:type="spellEnd"/>
      <w:r>
        <w:rPr>
          <w:shd w:val="clear" w:color="auto" w:fill="FFFFFF"/>
        </w:rPr>
        <w:t xml:space="preserve">, </w:t>
      </w:r>
      <w:proofErr w:type="spellStart"/>
      <w:r w:rsidRPr="000065AE">
        <w:rPr>
          <w:shd w:val="clear" w:color="auto" w:fill="FFFFFF"/>
        </w:rPr>
        <w:t>particularly</w:t>
      </w:r>
      <w:proofErr w:type="spellEnd"/>
      <w:r>
        <w:rPr>
          <w:shd w:val="clear" w:color="auto" w:fill="FFFFFF"/>
        </w:rPr>
        <w:t xml:space="preserve"> </w:t>
      </w:r>
      <w:proofErr w:type="spellStart"/>
      <w:r w:rsidRPr="000065AE">
        <w:rPr>
          <w:shd w:val="clear" w:color="auto" w:fill="FFFFFF"/>
        </w:rPr>
        <w:t>relevant</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sidRPr="000065AE">
        <w:rPr>
          <w:shd w:val="clear" w:color="auto" w:fill="FFFFFF"/>
        </w:rPr>
        <w:t>the</w:t>
      </w:r>
      <w:proofErr w:type="spellEnd"/>
      <w:r>
        <w:rPr>
          <w:shd w:val="clear" w:color="auto" w:fill="FFFFFF"/>
        </w:rPr>
        <w:t xml:space="preserve"> modern </w:t>
      </w:r>
      <w:proofErr w:type="spellStart"/>
      <w:r w:rsidRPr="000065AE">
        <w:rPr>
          <w:shd w:val="clear" w:color="auto" w:fill="FFFFFF"/>
        </w:rPr>
        <w:t>society</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most</w:t>
      </w:r>
      <w:proofErr w:type="spellEnd"/>
      <w:r>
        <w:rPr>
          <w:shd w:val="clear" w:color="auto" w:fill="FFFFFF"/>
        </w:rPr>
        <w:t xml:space="preserve"> </w:t>
      </w:r>
      <w:proofErr w:type="spellStart"/>
      <w:r>
        <w:rPr>
          <w:shd w:val="clear" w:color="auto" w:fill="FFFFFF"/>
        </w:rPr>
        <w:t>notably</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women</w:t>
      </w:r>
      <w:proofErr w:type="spellEnd"/>
      <w:r>
        <w:rPr>
          <w:shd w:val="clear" w:color="auto" w:fill="FFFFFF"/>
        </w:rPr>
        <w:t xml:space="preserve">, </w:t>
      </w:r>
      <w:proofErr w:type="spellStart"/>
      <w:r>
        <w:rPr>
          <w:shd w:val="clear" w:color="auto" w:fill="FFFFFF"/>
        </w:rPr>
        <w:t>shedding</w:t>
      </w:r>
      <w:proofErr w:type="spellEnd"/>
      <w:r>
        <w:rPr>
          <w:shd w:val="clear" w:color="auto" w:fill="FFFFFF"/>
        </w:rPr>
        <w:t xml:space="preserve"> </w:t>
      </w:r>
      <w:proofErr w:type="spellStart"/>
      <w:r>
        <w:rPr>
          <w:shd w:val="clear" w:color="auto" w:fill="FFFFFF"/>
        </w:rPr>
        <w:t>light</w:t>
      </w:r>
      <w:proofErr w:type="spellEnd"/>
      <w:r>
        <w:rPr>
          <w:shd w:val="clear" w:color="auto" w:fill="FFFFFF"/>
        </w:rPr>
        <w:t xml:space="preserve"> on a </w:t>
      </w:r>
      <w:proofErr w:type="spellStart"/>
      <w:r>
        <w:rPr>
          <w:shd w:val="clear" w:color="auto" w:fill="FFFFFF"/>
        </w:rPr>
        <w:t>persistent</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painful</w:t>
      </w:r>
      <w:proofErr w:type="spellEnd"/>
      <w:r>
        <w:rPr>
          <w:shd w:val="clear" w:color="auto" w:fill="FFFFFF"/>
        </w:rPr>
        <w:t xml:space="preserve"> </w:t>
      </w:r>
      <w:proofErr w:type="spellStart"/>
      <w:r>
        <w:rPr>
          <w:shd w:val="clear" w:color="auto" w:fill="FFFFFF"/>
        </w:rPr>
        <w:t>wound</w:t>
      </w:r>
      <w:proofErr w:type="spellEnd"/>
      <w:r>
        <w:rPr>
          <w:shd w:val="clear" w:color="auto" w:fill="FFFFFF"/>
        </w:rPr>
        <w:t xml:space="preserve"> </w:t>
      </w:r>
      <w:proofErr w:type="spellStart"/>
      <w:r>
        <w:rPr>
          <w:shd w:val="clear" w:color="auto" w:fill="FFFFFF"/>
        </w:rPr>
        <w:t>that</w:t>
      </w:r>
      <w:proofErr w:type="spellEnd"/>
      <w:r>
        <w:rPr>
          <w:shd w:val="clear" w:color="auto" w:fill="FFFFFF"/>
        </w:rPr>
        <w:t xml:space="preserve"> </w:t>
      </w:r>
      <w:proofErr w:type="spellStart"/>
      <w:r>
        <w:rPr>
          <w:shd w:val="clear" w:color="auto" w:fill="FFFFFF"/>
        </w:rPr>
        <w:t>many</w:t>
      </w:r>
      <w:proofErr w:type="spellEnd"/>
      <w:r>
        <w:rPr>
          <w:shd w:val="clear" w:color="auto" w:fill="FFFFFF"/>
        </w:rPr>
        <w:t xml:space="preserve"> </w:t>
      </w:r>
      <w:proofErr w:type="spellStart"/>
      <w:r>
        <w:rPr>
          <w:shd w:val="clear" w:color="auto" w:fill="FFFFFF"/>
        </w:rPr>
        <w:t>are</w:t>
      </w:r>
      <w:proofErr w:type="spellEnd"/>
      <w:r>
        <w:rPr>
          <w:shd w:val="clear" w:color="auto" w:fill="FFFFFF"/>
        </w:rPr>
        <w:t xml:space="preserve"> </w:t>
      </w:r>
      <w:proofErr w:type="spellStart"/>
      <w:r>
        <w:rPr>
          <w:shd w:val="clear" w:color="auto" w:fill="FFFFFF"/>
        </w:rPr>
        <w:t>forced</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endure</w:t>
      </w:r>
      <w:proofErr w:type="spellEnd"/>
      <w:r>
        <w:rPr>
          <w:shd w:val="clear" w:color="auto" w:fill="FFFFFF"/>
        </w:rPr>
        <w:t xml:space="preserve">. </w:t>
      </w:r>
      <w:proofErr w:type="spellStart"/>
      <w:proofErr w:type="gramStart"/>
      <w:r>
        <w:rPr>
          <w:shd w:val="clear" w:color="auto" w:fill="FFFFFF"/>
        </w:rPr>
        <w:t>Furthermore</w:t>
      </w:r>
      <w:proofErr w:type="spellEnd"/>
      <w:r>
        <w:rPr>
          <w:shd w:val="clear" w:color="auto" w:fill="FFFFFF"/>
        </w:rPr>
        <w:t xml:space="preserve">, </w:t>
      </w:r>
      <w:r w:rsidRPr="000065AE">
        <w:rPr>
          <w:shd w:val="clear" w:color="auto" w:fill="FFFFFF"/>
        </w:rPr>
        <w:t xml:space="preserve"> </w:t>
      </w:r>
      <w:proofErr w:type="spellStart"/>
      <w:r w:rsidRPr="000065AE">
        <w:rPr>
          <w:shd w:val="clear" w:color="auto" w:fill="FFFFFF"/>
        </w:rPr>
        <w:t>the</w:t>
      </w:r>
      <w:proofErr w:type="spellEnd"/>
      <w:proofErr w:type="gramEnd"/>
      <w:r w:rsidRPr="000065AE">
        <w:rPr>
          <w:shd w:val="clear" w:color="auto" w:fill="FFFFFF"/>
        </w:rPr>
        <w:t xml:space="preserve"> </w:t>
      </w:r>
      <w:proofErr w:type="spellStart"/>
      <w:r w:rsidRPr="000065AE">
        <w:rPr>
          <w:shd w:val="clear" w:color="auto" w:fill="FFFFFF"/>
        </w:rPr>
        <w:t>difference</w:t>
      </w:r>
      <w:proofErr w:type="spellEnd"/>
      <w:r w:rsidRPr="000065AE">
        <w:rPr>
          <w:shd w:val="clear" w:color="auto" w:fill="FFFFFF"/>
        </w:rPr>
        <w:t xml:space="preserve"> in </w:t>
      </w:r>
      <w:proofErr w:type="spellStart"/>
      <w:r w:rsidRPr="000065AE">
        <w:rPr>
          <w:shd w:val="clear" w:color="auto" w:fill="FFFFFF"/>
        </w:rPr>
        <w:t>period</w:t>
      </w:r>
      <w:proofErr w:type="spellEnd"/>
      <w:r w:rsidRPr="000065AE">
        <w:rPr>
          <w:shd w:val="clear" w:color="auto" w:fill="FFFFFF"/>
        </w:rPr>
        <w:t xml:space="preserve"> </w:t>
      </w:r>
      <w:proofErr w:type="spellStart"/>
      <w:r w:rsidRPr="000065AE">
        <w:rPr>
          <w:shd w:val="clear" w:color="auto" w:fill="FFFFFF"/>
        </w:rPr>
        <w:t>between</w:t>
      </w:r>
      <w:proofErr w:type="spellEnd"/>
      <w:r w:rsidRPr="000065AE">
        <w:rPr>
          <w:shd w:val="clear" w:color="auto" w:fill="FFFFFF"/>
        </w:rPr>
        <w:t xml:space="preserve"> </w:t>
      </w:r>
      <w:proofErr w:type="spellStart"/>
      <w:r w:rsidRPr="000065AE">
        <w:rPr>
          <w:shd w:val="clear" w:color="auto" w:fill="FFFFFF"/>
        </w:rPr>
        <w:t>the</w:t>
      </w:r>
      <w:proofErr w:type="spellEnd"/>
      <w:r w:rsidRPr="000065AE">
        <w:rPr>
          <w:shd w:val="clear" w:color="auto" w:fill="FFFFFF"/>
        </w:rPr>
        <w:t xml:space="preserve"> two </w:t>
      </w:r>
      <w:proofErr w:type="spellStart"/>
      <w:r w:rsidRPr="000065AE">
        <w:rPr>
          <w:shd w:val="clear" w:color="auto" w:fill="FFFFFF"/>
        </w:rPr>
        <w:t>works</w:t>
      </w:r>
      <w:proofErr w:type="spellEnd"/>
      <w:r w:rsidRPr="000065AE">
        <w:rPr>
          <w:shd w:val="clear" w:color="auto" w:fill="FFFFFF"/>
        </w:rPr>
        <w:t xml:space="preserve"> </w:t>
      </w:r>
      <w:proofErr w:type="spellStart"/>
      <w:r w:rsidRPr="000065AE">
        <w:rPr>
          <w:shd w:val="clear" w:color="auto" w:fill="FFFFFF"/>
        </w:rPr>
        <w:t>also</w:t>
      </w:r>
      <w:proofErr w:type="spellEnd"/>
      <w:r w:rsidRPr="000065AE">
        <w:rPr>
          <w:shd w:val="clear" w:color="auto" w:fill="FFFFFF"/>
        </w:rPr>
        <w:t xml:space="preserve"> </w:t>
      </w:r>
      <w:proofErr w:type="spellStart"/>
      <w:r w:rsidRPr="000065AE">
        <w:rPr>
          <w:shd w:val="clear" w:color="auto" w:fill="FFFFFF"/>
        </w:rPr>
        <w:t>shows</w:t>
      </w:r>
      <w:proofErr w:type="spellEnd"/>
      <w:r w:rsidRPr="000065AE">
        <w:rPr>
          <w:shd w:val="clear" w:color="auto" w:fill="FFFFFF"/>
        </w:rPr>
        <w:t xml:space="preserve"> </w:t>
      </w:r>
      <w:proofErr w:type="spellStart"/>
      <w:r w:rsidRPr="000065AE">
        <w:rPr>
          <w:shd w:val="clear" w:color="auto" w:fill="FFFFFF"/>
        </w:rPr>
        <w:t>that</w:t>
      </w:r>
      <w:proofErr w:type="spellEnd"/>
      <w:r w:rsidRPr="000065AE">
        <w:rPr>
          <w:shd w:val="clear" w:color="auto" w:fill="FFFFFF"/>
        </w:rPr>
        <w:t xml:space="preserve"> </w:t>
      </w:r>
      <w:proofErr w:type="spellStart"/>
      <w:r w:rsidRPr="000065AE">
        <w:rPr>
          <w:shd w:val="clear" w:color="auto" w:fill="FFFFFF"/>
        </w:rPr>
        <w:t>this</w:t>
      </w:r>
      <w:proofErr w:type="spellEnd"/>
      <w:r w:rsidRPr="000065AE">
        <w:rPr>
          <w:shd w:val="clear" w:color="auto" w:fill="FFFFFF"/>
        </w:rPr>
        <w:t xml:space="preserve"> </w:t>
      </w:r>
      <w:proofErr w:type="spellStart"/>
      <w:r w:rsidRPr="000065AE">
        <w:rPr>
          <w:shd w:val="clear" w:color="auto" w:fill="FFFFFF"/>
        </w:rPr>
        <w:t>phenomenon</w:t>
      </w:r>
      <w:proofErr w:type="spellEnd"/>
      <w:r w:rsidRPr="000065AE">
        <w:rPr>
          <w:shd w:val="clear" w:color="auto" w:fill="FFFFFF"/>
        </w:rPr>
        <w:t xml:space="preserve"> is </w:t>
      </w:r>
      <w:proofErr w:type="spellStart"/>
      <w:r w:rsidRPr="000065AE">
        <w:rPr>
          <w:shd w:val="clear" w:color="auto" w:fill="FFFFFF"/>
        </w:rPr>
        <w:t>universal</w:t>
      </w:r>
      <w:proofErr w:type="spellEnd"/>
      <w:r w:rsidRPr="000065AE">
        <w:rPr>
          <w:shd w:val="clear" w:color="auto" w:fill="FFFFFF"/>
        </w:rPr>
        <w:t xml:space="preserve">, </w:t>
      </w:r>
      <w:proofErr w:type="spellStart"/>
      <w:r w:rsidRPr="000065AE">
        <w:rPr>
          <w:shd w:val="clear" w:color="auto" w:fill="FFFFFF"/>
        </w:rPr>
        <w:t>perhaps</w:t>
      </w:r>
      <w:proofErr w:type="spellEnd"/>
      <w:r w:rsidRPr="000065AE">
        <w:rPr>
          <w:shd w:val="clear" w:color="auto" w:fill="FFFFFF"/>
        </w:rPr>
        <w:t xml:space="preserve"> </w:t>
      </w:r>
      <w:proofErr w:type="spellStart"/>
      <w:r w:rsidRPr="000065AE">
        <w:rPr>
          <w:shd w:val="clear" w:color="auto" w:fill="FFFFFF"/>
        </w:rPr>
        <w:t>with</w:t>
      </w:r>
      <w:proofErr w:type="spellEnd"/>
      <w:r w:rsidRPr="000065AE">
        <w:rPr>
          <w:shd w:val="clear" w:color="auto" w:fill="FFFFFF"/>
        </w:rPr>
        <w:t xml:space="preserve"> </w:t>
      </w:r>
      <w:proofErr w:type="spellStart"/>
      <w:r w:rsidRPr="000065AE">
        <w:rPr>
          <w:shd w:val="clear" w:color="auto" w:fill="FFFFFF"/>
        </w:rPr>
        <w:t>roots</w:t>
      </w:r>
      <w:proofErr w:type="spellEnd"/>
      <w:r w:rsidRPr="000065AE">
        <w:rPr>
          <w:shd w:val="clear" w:color="auto" w:fill="FFFFFF"/>
        </w:rPr>
        <w:t xml:space="preserve"> </w:t>
      </w:r>
      <w:proofErr w:type="spellStart"/>
      <w:r w:rsidRPr="000065AE">
        <w:rPr>
          <w:shd w:val="clear" w:color="auto" w:fill="FFFFFF"/>
        </w:rPr>
        <w:t>dating</w:t>
      </w:r>
      <w:proofErr w:type="spellEnd"/>
      <w:r w:rsidRPr="000065AE">
        <w:rPr>
          <w:shd w:val="clear" w:color="auto" w:fill="FFFFFF"/>
        </w:rPr>
        <w:t xml:space="preserve"> </w:t>
      </w:r>
      <w:proofErr w:type="spellStart"/>
      <w:r w:rsidRPr="000065AE">
        <w:rPr>
          <w:shd w:val="clear" w:color="auto" w:fill="FFFFFF"/>
        </w:rPr>
        <w:t>back</w:t>
      </w:r>
      <w:proofErr w:type="spellEnd"/>
      <w:r w:rsidRPr="000065AE">
        <w:rPr>
          <w:shd w:val="clear" w:color="auto" w:fill="FFFFFF"/>
        </w:rPr>
        <w:t xml:space="preserve"> </w:t>
      </w:r>
      <w:proofErr w:type="spellStart"/>
      <w:r w:rsidRPr="000065AE">
        <w:rPr>
          <w:shd w:val="clear" w:color="auto" w:fill="FFFFFF"/>
        </w:rPr>
        <w:t>to</w:t>
      </w:r>
      <w:proofErr w:type="spellEnd"/>
      <w:r w:rsidRPr="000065AE">
        <w:rPr>
          <w:shd w:val="clear" w:color="auto" w:fill="FFFFFF"/>
        </w:rPr>
        <w:t xml:space="preserve"> </w:t>
      </w:r>
      <w:proofErr w:type="spellStart"/>
      <w:r w:rsidRPr="000065AE">
        <w:rPr>
          <w:shd w:val="clear" w:color="auto" w:fill="FFFFFF"/>
        </w:rPr>
        <w:t>human</w:t>
      </w:r>
      <w:proofErr w:type="spellEnd"/>
      <w:r w:rsidRPr="000065AE">
        <w:rPr>
          <w:shd w:val="clear" w:color="auto" w:fill="FFFFFF"/>
        </w:rPr>
        <w:t xml:space="preserve"> </w:t>
      </w:r>
      <w:proofErr w:type="spellStart"/>
      <w:r w:rsidRPr="000065AE">
        <w:rPr>
          <w:shd w:val="clear" w:color="auto" w:fill="FFFFFF"/>
        </w:rPr>
        <w:t>existence</w:t>
      </w:r>
      <w:proofErr w:type="spellEnd"/>
      <w:r w:rsidRPr="000065AE">
        <w:rPr>
          <w:shd w:val="clear" w:color="auto" w:fill="FFFFFF"/>
        </w:rPr>
        <w:t>.</w:t>
      </w:r>
    </w:p>
    <w:p w14:paraId="5270FF56" w14:textId="77777777" w:rsidR="00E3302B" w:rsidRDefault="00E3302B" w:rsidP="0079785E">
      <w:pPr>
        <w:pStyle w:val="NormalWeb"/>
        <w:spacing w:before="0" w:beforeAutospacing="0" w:after="0" w:afterAutospacing="0"/>
        <w:jc w:val="both"/>
      </w:pPr>
      <w:r>
        <w:t>By juxtaposing these two works, the study highlights their critique of societal norms, underscoring the relevance of these themes across time and mediums. This comparison offers a unique perspective on the enduring impact of societal ideals on individual identity and mental well-being.</w:t>
      </w:r>
    </w:p>
    <w:p w14:paraId="6235F078" w14:textId="77777777" w:rsidR="0079785E" w:rsidRDefault="0079785E" w:rsidP="0079785E">
      <w:pPr>
        <w:pStyle w:val="NormalWeb"/>
        <w:spacing w:before="0" w:beforeAutospacing="0" w:after="0" w:afterAutospacing="0"/>
        <w:jc w:val="both"/>
      </w:pPr>
    </w:p>
    <w:p w14:paraId="54007AE8" w14:textId="77777777" w:rsidR="00E3302B" w:rsidRPr="004014EA" w:rsidRDefault="00E3302B">
      <w:pPr>
        <w:widowControl/>
        <w:numPr>
          <w:ilvl w:val="0"/>
          <w:numId w:val="70"/>
        </w:numPr>
        <w:autoSpaceDE/>
        <w:autoSpaceDN/>
        <w:jc w:val="both"/>
      </w:pPr>
      <w:proofErr w:type="spellStart"/>
      <w:r w:rsidRPr="004014EA">
        <w:t>In</w:t>
      </w:r>
      <w:proofErr w:type="spellEnd"/>
      <w:r w:rsidRPr="004014EA">
        <w:t xml:space="preserve"> </w:t>
      </w:r>
      <w:proofErr w:type="spellStart"/>
      <w:r w:rsidRPr="004014EA">
        <w:rPr>
          <w:i/>
          <w:iCs/>
        </w:rPr>
        <w:t>The</w:t>
      </w:r>
      <w:proofErr w:type="spellEnd"/>
      <w:r w:rsidRPr="004014EA">
        <w:rPr>
          <w:i/>
          <w:iCs/>
        </w:rPr>
        <w:t xml:space="preserve"> Picture of Dorian </w:t>
      </w:r>
      <w:proofErr w:type="spellStart"/>
      <w:r w:rsidRPr="004014EA">
        <w:rPr>
          <w:i/>
          <w:iCs/>
        </w:rPr>
        <w:t>Gray</w:t>
      </w:r>
      <w:proofErr w:type="spellEnd"/>
      <w:r w:rsidRPr="004014EA">
        <w:t xml:space="preserve">, </w:t>
      </w:r>
      <w:proofErr w:type="spellStart"/>
      <w:r>
        <w:t>Victorian</w:t>
      </w:r>
      <w:proofErr w:type="spellEnd"/>
      <w:r>
        <w:t xml:space="preserve"> </w:t>
      </w:r>
      <w:proofErr w:type="spellStart"/>
      <w:r w:rsidRPr="004014EA">
        <w:t>social</w:t>
      </w:r>
      <w:proofErr w:type="spellEnd"/>
      <w:r w:rsidRPr="004014EA">
        <w:t xml:space="preserve"> </w:t>
      </w:r>
      <w:proofErr w:type="spellStart"/>
      <w:r w:rsidRPr="004014EA">
        <w:t>conventions</w:t>
      </w:r>
      <w:proofErr w:type="spellEnd"/>
      <w:r w:rsidRPr="004014EA">
        <w:t xml:space="preserve"> </w:t>
      </w:r>
      <w:proofErr w:type="spellStart"/>
      <w:r w:rsidRPr="004014EA">
        <w:t>are</w:t>
      </w:r>
      <w:proofErr w:type="spellEnd"/>
      <w:r w:rsidRPr="004014EA">
        <w:t xml:space="preserve"> </w:t>
      </w:r>
      <w:proofErr w:type="spellStart"/>
      <w:r w:rsidRPr="004014EA">
        <w:t>critiqued</w:t>
      </w:r>
      <w:proofErr w:type="spellEnd"/>
      <w:r w:rsidRPr="004014EA">
        <w:t xml:space="preserve"> as </w:t>
      </w:r>
      <w:proofErr w:type="spellStart"/>
      <w:r w:rsidRPr="004014EA">
        <w:t>shallow</w:t>
      </w:r>
      <w:proofErr w:type="spellEnd"/>
      <w:r w:rsidRPr="004014EA">
        <w:t xml:space="preserve"> </w:t>
      </w:r>
      <w:proofErr w:type="spellStart"/>
      <w:r w:rsidRPr="004014EA">
        <w:t>and</w:t>
      </w:r>
      <w:proofErr w:type="spellEnd"/>
      <w:r w:rsidRPr="004014EA">
        <w:t xml:space="preserve"> </w:t>
      </w:r>
      <w:proofErr w:type="spellStart"/>
      <w:r w:rsidRPr="004014EA">
        <w:t>corrupting</w:t>
      </w:r>
      <w:proofErr w:type="spellEnd"/>
      <w:r w:rsidRPr="004014EA">
        <w:t xml:space="preserve">, </w:t>
      </w:r>
      <w:proofErr w:type="spellStart"/>
      <w:r w:rsidRPr="004014EA">
        <w:t>highlighting</w:t>
      </w:r>
      <w:proofErr w:type="spellEnd"/>
      <w:r w:rsidRPr="004014EA">
        <w:t xml:space="preserve"> how </w:t>
      </w:r>
      <w:proofErr w:type="spellStart"/>
      <w:r w:rsidRPr="004014EA">
        <w:t>societal</w:t>
      </w:r>
      <w:proofErr w:type="spellEnd"/>
      <w:r w:rsidRPr="004014EA">
        <w:t xml:space="preserve"> </w:t>
      </w:r>
      <w:proofErr w:type="spellStart"/>
      <w:r w:rsidRPr="004014EA">
        <w:t>expectations</w:t>
      </w:r>
      <w:proofErr w:type="spellEnd"/>
      <w:r w:rsidRPr="004014EA">
        <w:t xml:space="preserve"> </w:t>
      </w:r>
      <w:proofErr w:type="spellStart"/>
      <w:r w:rsidRPr="004014EA">
        <w:t>around</w:t>
      </w:r>
      <w:proofErr w:type="spellEnd"/>
      <w:r w:rsidRPr="004014EA">
        <w:t xml:space="preserve"> </w:t>
      </w:r>
      <w:proofErr w:type="spellStart"/>
      <w:r w:rsidRPr="004014EA">
        <w:t>beauty</w:t>
      </w:r>
      <w:proofErr w:type="spellEnd"/>
      <w:r w:rsidRPr="004014EA">
        <w:t xml:space="preserve">, </w:t>
      </w:r>
      <w:proofErr w:type="spellStart"/>
      <w:r w:rsidRPr="004014EA">
        <w:t>morality</w:t>
      </w:r>
      <w:proofErr w:type="spellEnd"/>
      <w:r w:rsidRPr="004014EA">
        <w:t xml:space="preserve">, </w:t>
      </w:r>
      <w:proofErr w:type="spellStart"/>
      <w:r w:rsidRPr="004014EA">
        <w:t>and</w:t>
      </w:r>
      <w:proofErr w:type="spellEnd"/>
      <w:r w:rsidRPr="004014EA">
        <w:t xml:space="preserve"> </w:t>
      </w:r>
      <w:proofErr w:type="spellStart"/>
      <w:r w:rsidRPr="004014EA">
        <w:t>reputation</w:t>
      </w:r>
      <w:proofErr w:type="spellEnd"/>
      <w:r w:rsidRPr="004014EA">
        <w:t xml:space="preserve"> </w:t>
      </w:r>
      <w:proofErr w:type="spellStart"/>
      <w:r w:rsidRPr="004014EA">
        <w:t>contribute</w:t>
      </w:r>
      <w:proofErr w:type="spellEnd"/>
      <w:r w:rsidRPr="004014EA">
        <w:t xml:space="preserve"> </w:t>
      </w:r>
      <w:proofErr w:type="spellStart"/>
      <w:r w:rsidRPr="004014EA">
        <w:t>to</w:t>
      </w:r>
      <w:proofErr w:type="spellEnd"/>
      <w:r w:rsidRPr="004014EA">
        <w:t xml:space="preserve"> </w:t>
      </w:r>
      <w:proofErr w:type="spellStart"/>
      <w:r w:rsidRPr="004014EA">
        <w:t>Dorian's</w:t>
      </w:r>
      <w:proofErr w:type="spellEnd"/>
      <w:r w:rsidRPr="004014EA">
        <w:t xml:space="preserve"> </w:t>
      </w:r>
      <w:proofErr w:type="spellStart"/>
      <w:r w:rsidRPr="004014EA">
        <w:t>downfall</w:t>
      </w:r>
      <w:proofErr w:type="spellEnd"/>
      <w:r w:rsidRPr="004014EA">
        <w:t>.</w:t>
      </w:r>
    </w:p>
    <w:p w14:paraId="3177E901" w14:textId="77777777" w:rsidR="00E3302B" w:rsidRPr="004014EA" w:rsidRDefault="00E3302B">
      <w:pPr>
        <w:widowControl/>
        <w:numPr>
          <w:ilvl w:val="0"/>
          <w:numId w:val="70"/>
        </w:numPr>
        <w:autoSpaceDE/>
        <w:autoSpaceDN/>
        <w:jc w:val="both"/>
      </w:pPr>
      <w:proofErr w:type="spellStart"/>
      <w:r w:rsidRPr="004014EA">
        <w:t>In</w:t>
      </w:r>
      <w:proofErr w:type="spellEnd"/>
      <w:r w:rsidRPr="004014EA">
        <w:t xml:space="preserve"> </w:t>
      </w:r>
      <w:proofErr w:type="spellStart"/>
      <w:r w:rsidRPr="004014EA">
        <w:rPr>
          <w:i/>
          <w:iCs/>
        </w:rPr>
        <w:t>The</w:t>
      </w:r>
      <w:proofErr w:type="spellEnd"/>
      <w:r w:rsidRPr="004014EA">
        <w:rPr>
          <w:i/>
          <w:iCs/>
        </w:rPr>
        <w:t xml:space="preserve"> </w:t>
      </w:r>
      <w:proofErr w:type="spellStart"/>
      <w:r w:rsidRPr="004014EA">
        <w:rPr>
          <w:i/>
          <w:iCs/>
        </w:rPr>
        <w:t>Substance</w:t>
      </w:r>
      <w:proofErr w:type="spellEnd"/>
      <w:r w:rsidRPr="004014EA">
        <w:t xml:space="preserve">, </w:t>
      </w:r>
      <w:r>
        <w:t xml:space="preserve">Modern </w:t>
      </w:r>
      <w:proofErr w:type="spellStart"/>
      <w:r w:rsidRPr="004014EA">
        <w:t>social</w:t>
      </w:r>
      <w:proofErr w:type="spellEnd"/>
      <w:r w:rsidRPr="004014EA">
        <w:t xml:space="preserve"> </w:t>
      </w:r>
      <w:proofErr w:type="spellStart"/>
      <w:r w:rsidRPr="004014EA">
        <w:t>conventions</w:t>
      </w:r>
      <w:proofErr w:type="spellEnd"/>
      <w:r w:rsidRPr="004014EA">
        <w:t xml:space="preserve"> </w:t>
      </w:r>
      <w:proofErr w:type="spellStart"/>
      <w:r w:rsidRPr="004014EA">
        <w:t>around</w:t>
      </w:r>
      <w:proofErr w:type="spellEnd"/>
      <w:r w:rsidRPr="004014EA">
        <w:t xml:space="preserve"> </w:t>
      </w:r>
      <w:proofErr w:type="spellStart"/>
      <w:r w:rsidRPr="004014EA">
        <w:t>conformity</w:t>
      </w:r>
      <w:proofErr w:type="spellEnd"/>
      <w:r w:rsidRPr="004014EA">
        <w:t xml:space="preserve"> </w:t>
      </w:r>
      <w:proofErr w:type="spellStart"/>
      <w:r w:rsidRPr="004014EA">
        <w:t>and</w:t>
      </w:r>
      <w:proofErr w:type="spellEnd"/>
      <w:r w:rsidRPr="004014EA">
        <w:t xml:space="preserve"> </w:t>
      </w:r>
      <w:proofErr w:type="spellStart"/>
      <w:r w:rsidRPr="004014EA">
        <w:t>perfecti</w:t>
      </w:r>
      <w:r>
        <w:t>on</w:t>
      </w:r>
      <w:proofErr w:type="spellEnd"/>
      <w:r>
        <w:t xml:space="preserve"> </w:t>
      </w:r>
      <w:proofErr w:type="spellStart"/>
      <w:r>
        <w:t>are</w:t>
      </w:r>
      <w:proofErr w:type="spellEnd"/>
      <w:r>
        <w:t xml:space="preserve"> </w:t>
      </w:r>
      <w:proofErr w:type="spellStart"/>
      <w:r>
        <w:t>explored</w:t>
      </w:r>
      <w:proofErr w:type="spellEnd"/>
      <w:r>
        <w:t xml:space="preserve"> </w:t>
      </w:r>
      <w:proofErr w:type="spellStart"/>
      <w:r>
        <w:t>through</w:t>
      </w:r>
      <w:proofErr w:type="spellEnd"/>
      <w:r>
        <w:t xml:space="preserve"> a feminist</w:t>
      </w:r>
      <w:r w:rsidRPr="004014EA">
        <w:t xml:space="preserve"> lens, </w:t>
      </w:r>
      <w:proofErr w:type="spellStart"/>
      <w:r w:rsidRPr="004014EA">
        <w:t>examinin</w:t>
      </w:r>
      <w:r>
        <w:t>g</w:t>
      </w:r>
      <w:proofErr w:type="spellEnd"/>
      <w:r>
        <w:t xml:space="preserve"> how they </w:t>
      </w:r>
      <w:proofErr w:type="spellStart"/>
      <w:r>
        <w:t>pressure</w:t>
      </w:r>
      <w:proofErr w:type="spellEnd"/>
      <w:r>
        <w:t xml:space="preserve"> </w:t>
      </w:r>
      <w:proofErr w:type="spellStart"/>
      <w:r>
        <w:t>individuals</w:t>
      </w:r>
      <w:proofErr w:type="spellEnd"/>
      <w:r>
        <w:t xml:space="preserve">, </w:t>
      </w:r>
      <w:proofErr w:type="spellStart"/>
      <w:r>
        <w:t>especially</w:t>
      </w:r>
      <w:proofErr w:type="spellEnd"/>
      <w:r>
        <w:t xml:space="preserve"> </w:t>
      </w:r>
      <w:proofErr w:type="spellStart"/>
      <w:r>
        <w:t>women</w:t>
      </w:r>
      <w:proofErr w:type="spellEnd"/>
      <w:r>
        <w:t xml:space="preserve"> in </w:t>
      </w:r>
      <w:proofErr w:type="spellStart"/>
      <w:r>
        <w:t>show</w:t>
      </w:r>
      <w:proofErr w:type="spellEnd"/>
      <w:r>
        <w:t xml:space="preserve"> </w:t>
      </w:r>
      <w:proofErr w:type="spellStart"/>
      <w:r>
        <w:t>business</w:t>
      </w:r>
      <w:proofErr w:type="spellEnd"/>
      <w:r>
        <w:t xml:space="preserve">, </w:t>
      </w:r>
      <w:proofErr w:type="spellStart"/>
      <w:r w:rsidRPr="004014EA">
        <w:t>to</w:t>
      </w:r>
      <w:proofErr w:type="spellEnd"/>
      <w:r w:rsidRPr="004014EA">
        <w:t xml:space="preserve"> </w:t>
      </w:r>
      <w:proofErr w:type="spellStart"/>
      <w:r w:rsidRPr="004014EA">
        <w:t>prioritize</w:t>
      </w:r>
      <w:proofErr w:type="spellEnd"/>
      <w:r w:rsidRPr="004014EA">
        <w:t xml:space="preserve"> </w:t>
      </w:r>
      <w:proofErr w:type="spellStart"/>
      <w:r w:rsidRPr="004014EA">
        <w:t>external</w:t>
      </w:r>
      <w:proofErr w:type="spellEnd"/>
      <w:r w:rsidRPr="004014EA">
        <w:t xml:space="preserve"> </w:t>
      </w:r>
      <w:proofErr w:type="spellStart"/>
      <w:r w:rsidRPr="004014EA">
        <w:t>appearances</w:t>
      </w:r>
      <w:proofErr w:type="spellEnd"/>
      <w:r w:rsidRPr="004014EA">
        <w:t xml:space="preserve"> </w:t>
      </w:r>
      <w:proofErr w:type="spellStart"/>
      <w:r w:rsidRPr="004014EA">
        <w:t>or</w:t>
      </w:r>
      <w:proofErr w:type="spellEnd"/>
      <w:r w:rsidRPr="004014EA">
        <w:t xml:space="preserve"> </w:t>
      </w:r>
      <w:proofErr w:type="spellStart"/>
      <w:r w:rsidRPr="004014EA">
        <w:t>ideals</w:t>
      </w:r>
      <w:proofErr w:type="spellEnd"/>
      <w:r w:rsidRPr="004014EA">
        <w:t xml:space="preserve">, </w:t>
      </w:r>
      <w:proofErr w:type="spellStart"/>
      <w:r w:rsidRPr="004014EA">
        <w:t>often</w:t>
      </w:r>
      <w:proofErr w:type="spellEnd"/>
      <w:r w:rsidRPr="004014EA">
        <w:t xml:space="preserve"> at </w:t>
      </w:r>
      <w:proofErr w:type="spellStart"/>
      <w:r w:rsidRPr="004014EA">
        <w:t>the</w:t>
      </w:r>
      <w:proofErr w:type="spellEnd"/>
      <w:r w:rsidRPr="004014EA">
        <w:t xml:space="preserve"> </w:t>
      </w:r>
      <w:proofErr w:type="spellStart"/>
      <w:r w:rsidRPr="004014EA">
        <w:t>expense</w:t>
      </w:r>
      <w:proofErr w:type="spellEnd"/>
      <w:r w:rsidRPr="004014EA">
        <w:t xml:space="preserve"> of </w:t>
      </w:r>
      <w:proofErr w:type="spellStart"/>
      <w:r w:rsidRPr="004014EA">
        <w:t>authenticity</w:t>
      </w:r>
      <w:proofErr w:type="spellEnd"/>
      <w:r w:rsidRPr="004014EA">
        <w:t xml:space="preserve"> </w:t>
      </w:r>
      <w:proofErr w:type="spellStart"/>
      <w:r w:rsidRPr="004014EA">
        <w:t>and</w:t>
      </w:r>
      <w:proofErr w:type="spellEnd"/>
      <w:r w:rsidRPr="004014EA">
        <w:t xml:space="preserve"> </w:t>
      </w:r>
      <w:proofErr w:type="spellStart"/>
      <w:r w:rsidRPr="004014EA">
        <w:t>humanity</w:t>
      </w:r>
      <w:proofErr w:type="spellEnd"/>
      <w:r w:rsidRPr="004014EA">
        <w:t>.</w:t>
      </w:r>
    </w:p>
    <w:p w14:paraId="60329338" w14:textId="77777777" w:rsidR="00E3302B" w:rsidRDefault="00E3302B" w:rsidP="0079785E">
      <w:pPr>
        <w:jc w:val="both"/>
      </w:pPr>
      <w:proofErr w:type="spellStart"/>
      <w:r w:rsidRPr="004014EA">
        <w:t>Both</w:t>
      </w:r>
      <w:proofErr w:type="spellEnd"/>
      <w:r w:rsidRPr="004014EA">
        <w:t xml:space="preserve"> </w:t>
      </w:r>
      <w:proofErr w:type="spellStart"/>
      <w:r w:rsidRPr="004014EA">
        <w:t>works</w:t>
      </w:r>
      <w:proofErr w:type="spellEnd"/>
      <w:r w:rsidRPr="004014EA">
        <w:t xml:space="preserve"> </w:t>
      </w:r>
      <w:proofErr w:type="spellStart"/>
      <w:r w:rsidRPr="004014EA">
        <w:t>expose</w:t>
      </w:r>
      <w:proofErr w:type="spellEnd"/>
      <w:r w:rsidRPr="004014EA">
        <w:t xml:space="preserve"> </w:t>
      </w:r>
      <w:proofErr w:type="spellStart"/>
      <w:r w:rsidRPr="004014EA">
        <w:t>the</w:t>
      </w:r>
      <w:proofErr w:type="spellEnd"/>
      <w:r w:rsidRPr="004014EA">
        <w:t xml:space="preserve"> </w:t>
      </w:r>
      <w:proofErr w:type="spellStart"/>
      <w:r w:rsidRPr="004014EA">
        <w:t>destructive</w:t>
      </w:r>
      <w:proofErr w:type="spellEnd"/>
      <w:r w:rsidRPr="004014EA">
        <w:t xml:space="preserve"> </w:t>
      </w:r>
      <w:proofErr w:type="spellStart"/>
      <w:r w:rsidRPr="004014EA">
        <w:t>power</w:t>
      </w:r>
      <w:proofErr w:type="spellEnd"/>
      <w:r w:rsidRPr="004014EA">
        <w:t xml:space="preserve"> of </w:t>
      </w:r>
      <w:proofErr w:type="spellStart"/>
      <w:r w:rsidRPr="004014EA">
        <w:t>societal</w:t>
      </w:r>
      <w:proofErr w:type="spellEnd"/>
      <w:r w:rsidRPr="004014EA">
        <w:t xml:space="preserve"> </w:t>
      </w:r>
      <w:proofErr w:type="spellStart"/>
      <w:r w:rsidRPr="004014EA">
        <w:t>norms</w:t>
      </w:r>
      <w:proofErr w:type="spellEnd"/>
      <w:r w:rsidRPr="004014EA">
        <w:t xml:space="preserve"> on </w:t>
      </w:r>
      <w:proofErr w:type="spellStart"/>
      <w:r w:rsidRPr="004014EA">
        <w:t>identity</w:t>
      </w:r>
      <w:proofErr w:type="spellEnd"/>
      <w:r w:rsidRPr="004014EA">
        <w:t xml:space="preserve"> </w:t>
      </w:r>
      <w:proofErr w:type="spellStart"/>
      <w:r w:rsidRPr="004014EA">
        <w:t>and</w:t>
      </w:r>
      <w:proofErr w:type="spellEnd"/>
      <w:r w:rsidRPr="004014EA">
        <w:t xml:space="preserve"> </w:t>
      </w:r>
      <w:proofErr w:type="spellStart"/>
      <w:r w:rsidRPr="004014EA">
        <w:t>morality</w:t>
      </w:r>
      <w:proofErr w:type="spellEnd"/>
      <w:r w:rsidRPr="004014EA">
        <w:t>.</w:t>
      </w:r>
    </w:p>
    <w:p w14:paraId="0BC25399" w14:textId="77777777" w:rsidR="0079785E" w:rsidRPr="004014EA" w:rsidRDefault="0079785E" w:rsidP="0079785E">
      <w:pPr>
        <w:jc w:val="both"/>
      </w:pPr>
    </w:p>
    <w:p w14:paraId="0F46AC9B" w14:textId="77777777" w:rsidR="00E3302B" w:rsidRDefault="00E3302B">
      <w:pPr>
        <w:pStyle w:val="NormalWeb"/>
        <w:numPr>
          <w:ilvl w:val="0"/>
          <w:numId w:val="71"/>
        </w:numPr>
        <w:spacing w:before="0" w:beforeAutospacing="0" w:after="0" w:afterAutospacing="0"/>
        <w:jc w:val="both"/>
        <w:rPr>
          <w:b/>
        </w:rPr>
      </w:pPr>
      <w:r w:rsidRPr="00822B4F">
        <w:rPr>
          <w:b/>
        </w:rPr>
        <w:t>The Faustian Pact: Trading the Soul (or Body) for Youth</w:t>
      </w:r>
      <w:r>
        <w:rPr>
          <w:b/>
        </w:rPr>
        <w:t xml:space="preserve"> </w:t>
      </w:r>
    </w:p>
    <w:p w14:paraId="255860F2" w14:textId="77777777" w:rsidR="00E3302B" w:rsidRDefault="00E3302B" w:rsidP="0079785E">
      <w:pPr>
        <w:pStyle w:val="NormalWeb"/>
        <w:spacing w:before="0" w:beforeAutospacing="0" w:after="0" w:afterAutospacing="0"/>
        <w:jc w:val="both"/>
      </w:pPr>
      <w:r>
        <w:t xml:space="preserve">Both works have a Faustian bargain at the center of their narrative, a treaty that trades </w:t>
      </w:r>
      <w:proofErr w:type="gramStart"/>
      <w:r>
        <w:t>ones</w:t>
      </w:r>
      <w:proofErr w:type="gramEnd"/>
      <w:r>
        <w:t xml:space="preserve"> soul, or in the case of </w:t>
      </w:r>
      <w:r w:rsidRPr="008972B1">
        <w:rPr>
          <w:i/>
        </w:rPr>
        <w:t>The Substance</w:t>
      </w:r>
      <w:r>
        <w:t xml:space="preserve">, </w:t>
      </w:r>
      <w:proofErr w:type="gramStart"/>
      <w:r>
        <w:t>one`s</w:t>
      </w:r>
      <w:proofErr w:type="gramEnd"/>
      <w:r>
        <w:t xml:space="preserve"> identity and body, with eternal beauty and youth. </w:t>
      </w:r>
      <w:r w:rsidRPr="00822B4F">
        <w:t xml:space="preserve">In </w:t>
      </w:r>
      <w:r w:rsidRPr="00822B4F">
        <w:rPr>
          <w:rStyle w:val="Vurgu"/>
        </w:rPr>
        <w:t>The Picture of Dorian Gray</w:t>
      </w:r>
      <w:r>
        <w:t xml:space="preserve">, Dorian’s desperate wish </w:t>
      </w:r>
      <w:proofErr w:type="gramStart"/>
      <w:r>
        <w:t>-</w:t>
      </w:r>
      <w:r w:rsidRPr="00822B4F">
        <w:t>“</w:t>
      </w:r>
      <w:proofErr w:type="gramEnd"/>
      <w:r w:rsidRPr="00822B4F">
        <w:t xml:space="preserve">If it were I who was to be always young, and the picture that was to grow old! For </w:t>
      </w:r>
      <w:r>
        <w:tab/>
      </w:r>
      <w:r w:rsidRPr="00822B4F">
        <w:t xml:space="preserve">that—for that—I would give everything! Yes, there is nothing in the whole world I would not give! I would give my soul for </w:t>
      </w:r>
      <w:r>
        <w:t>that!” (Wilde, 2003, Chapter 2)-s</w:t>
      </w:r>
      <w:r w:rsidRPr="00822B4F">
        <w:t>ets the stage for his moral and psychological unraveling.</w:t>
      </w:r>
      <w:r>
        <w:t xml:space="preserve"> Soon his wish is mysteriously granted and while the portrait becomes the monstrous depiction of his inner deterioration, his physical appearance remains as beautiful and as young not touched by time. </w:t>
      </w:r>
      <w:r w:rsidRPr="00822B4F">
        <w:t>This duality between outward beauty and inner decay serves as a powerful metaphor for the consequences of vanity and hedonism.</w:t>
      </w:r>
      <w:r>
        <w:t xml:space="preserve"> Likewise in </w:t>
      </w:r>
      <w:r w:rsidRPr="008972B1">
        <w:rPr>
          <w:i/>
        </w:rPr>
        <w:t>The Substance</w:t>
      </w:r>
      <w:r>
        <w:t xml:space="preserve">, once Elisabeth Sparkle encounters a </w:t>
      </w:r>
      <w:proofErr w:type="gramStart"/>
      <w:r>
        <w:t>black market</w:t>
      </w:r>
      <w:proofErr w:type="gramEnd"/>
      <w:r>
        <w:t xml:space="preserve"> drug, namely the substance, that promises “a better version” of her, Sue, she is ready for the Faustian exchange not knowing what it will cost her.  Elisabeth`s transformation is depicted in the bloodiest scenes to reveal her suffering, she undergoes a grotesque </w:t>
      </w:r>
      <w:r w:rsidRPr="00822B4F">
        <w:t xml:space="preserve">a grotesque process of self-extraction, literally splitting her identity into two: the aging Elisabeth and the youthful Sue (Hess, 2024). </w:t>
      </w:r>
      <w:r w:rsidRPr="00450B7F">
        <w:t>Now Elizabeth's war is wi</w:t>
      </w:r>
      <w:r>
        <w:t xml:space="preserve">th herself, within herself, in a similar way </w:t>
      </w:r>
      <w:r w:rsidRPr="00450B7F">
        <w:t>Dorian is lef</w:t>
      </w:r>
      <w:r>
        <w:t xml:space="preserve">t alone with his inner darkness. </w:t>
      </w:r>
      <w:r w:rsidRPr="00822B4F">
        <w:t>As Elisabeth becomes increasingly dependent on Sue to maintain her public image, she loses control over her body and sense of self. This externalization of beauty and identity leads to her gradual self-destruction, paralleling Dorian’s moral downfall. Both characters sacrifice their authentic selves in pursuit of an unattainable ideal, illustrating the destructive power of societal validation and the illusion of eternal youth.</w:t>
      </w:r>
    </w:p>
    <w:p w14:paraId="607BBC39" w14:textId="77777777" w:rsidR="0079785E" w:rsidRPr="00822B4F" w:rsidRDefault="0079785E" w:rsidP="0079785E">
      <w:pPr>
        <w:pStyle w:val="NormalWeb"/>
        <w:spacing w:before="0" w:beforeAutospacing="0" w:after="0" w:afterAutospacing="0"/>
        <w:jc w:val="both"/>
      </w:pPr>
    </w:p>
    <w:p w14:paraId="4A8BE4F4" w14:textId="77777777" w:rsidR="00E3302B" w:rsidRPr="00822B4F" w:rsidRDefault="00E3302B" w:rsidP="0079785E">
      <w:pPr>
        <w:pStyle w:val="NormalWeb"/>
        <w:spacing w:before="0" w:beforeAutospacing="0" w:after="0" w:afterAutospacing="0"/>
        <w:jc w:val="both"/>
        <w:rPr>
          <w:b/>
        </w:rPr>
      </w:pPr>
      <w:r w:rsidRPr="00822B4F">
        <w:rPr>
          <w:b/>
        </w:rPr>
        <w:t>II. The Portrait vs. The Mirror: Symbolizing Internal Decay</w:t>
      </w:r>
    </w:p>
    <w:p w14:paraId="73DB3197" w14:textId="77777777" w:rsidR="00E3302B" w:rsidRPr="00822B4F" w:rsidRDefault="00E3302B" w:rsidP="0079785E">
      <w:pPr>
        <w:pStyle w:val="NormalWeb"/>
        <w:spacing w:before="0" w:beforeAutospacing="0" w:after="0" w:afterAutospacing="0"/>
        <w:jc w:val="both"/>
      </w:pPr>
      <w:r w:rsidRPr="00822B4F">
        <w:lastRenderedPageBreak/>
        <w:t xml:space="preserve">Both works employ potent visual symbols to explore the theme of internal deterioration. In </w:t>
      </w:r>
      <w:r w:rsidRPr="00822B4F">
        <w:rPr>
          <w:rStyle w:val="Vurgu"/>
        </w:rPr>
        <w:t>The Picture of Dorian Gray</w:t>
      </w:r>
      <w:r w:rsidRPr="00822B4F">
        <w:t>, the portrait serves as a supernatural mirror, reflecting Dorian’s hidden sins and moral decay. As Dorian indulges in a life of hedonism and cruelty, the portrait grows increasingly grotesque, while his physical appearance remains flawless. This duality underscores the tension between appearance and reality, exposing the hollowness of a life devoted solely to external beauty (Ellmann, 1987).</w:t>
      </w:r>
    </w:p>
    <w:p w14:paraId="3B0A5C9A" w14:textId="77777777" w:rsidR="00E3302B" w:rsidRDefault="00E3302B" w:rsidP="0079785E">
      <w:pPr>
        <w:pStyle w:val="NormalWeb"/>
        <w:spacing w:before="0" w:beforeAutospacing="0" w:after="0" w:afterAutospacing="0"/>
        <w:jc w:val="both"/>
      </w:pPr>
      <w:r w:rsidRPr="00822B4F">
        <w:t xml:space="preserve">In </w:t>
      </w:r>
      <w:r w:rsidRPr="00822B4F">
        <w:rPr>
          <w:rStyle w:val="Vurgu"/>
        </w:rPr>
        <w:t>The Substance</w:t>
      </w:r>
      <w:r w:rsidRPr="00822B4F">
        <w:t>, Elisabeth’s past glory is immortalized in visual representations—her portrait from her aerobics-star prime, mirrors reflecting her insecurities, and Hollywood billboards showcasing her youthful image (Bradshaw, 2024). Sue, as a living embodiment of Elisabeth’s idealized self, functions as a monstrous double, much like Dorian’s portrait. The physical strain Elisabeth endures to maintain Sue mirrors the psychological burden Dorian faces in concealing his corruption. Both works emphasize how an obsession with beauty and youth leads to fragmentation and self-destruction, using visual symbols to externalize the characters’ internal decay.</w:t>
      </w:r>
    </w:p>
    <w:p w14:paraId="00F35708" w14:textId="77777777" w:rsidR="0079785E" w:rsidRPr="00822B4F" w:rsidRDefault="0079785E" w:rsidP="0079785E">
      <w:pPr>
        <w:pStyle w:val="NormalWeb"/>
        <w:spacing w:before="0" w:beforeAutospacing="0" w:after="0" w:afterAutospacing="0"/>
        <w:jc w:val="both"/>
      </w:pPr>
    </w:p>
    <w:p w14:paraId="178F4542" w14:textId="77777777" w:rsidR="00E3302B" w:rsidRPr="00822B4F" w:rsidRDefault="00E3302B" w:rsidP="0079785E">
      <w:pPr>
        <w:pStyle w:val="NormalWeb"/>
        <w:spacing w:before="0" w:beforeAutospacing="0" w:after="0" w:afterAutospacing="0"/>
        <w:jc w:val="both"/>
        <w:rPr>
          <w:b/>
        </w:rPr>
      </w:pPr>
      <w:r w:rsidRPr="00822B4F">
        <w:rPr>
          <w:b/>
        </w:rPr>
        <w:t xml:space="preserve">III. </w:t>
      </w:r>
      <w:r w:rsidRPr="00FC0EEB">
        <w:rPr>
          <w:b/>
        </w:rPr>
        <w:t>The Sacrifice of Self for Societal Acceptance</w:t>
      </w:r>
    </w:p>
    <w:p w14:paraId="6E60A920" w14:textId="77777777" w:rsidR="00E3302B" w:rsidRPr="00822B4F" w:rsidRDefault="00E3302B" w:rsidP="0079785E">
      <w:pPr>
        <w:pStyle w:val="NormalWeb"/>
        <w:spacing w:before="0" w:beforeAutospacing="0" w:after="0" w:afterAutospacing="0"/>
        <w:jc w:val="both"/>
      </w:pPr>
      <w:r w:rsidRPr="00822B4F">
        <w:t>A central thematic connection between the two works is the fear of losing relevance in a society that values youth and beauty above all else. Dorian’s vanity isolates him, as he prioritizes his appearance over genuine human connection, ultimately leading to his descent into madness (Sedgwick, 1990). Wilde critiques Victorian society’s superficiality and hedonism, highlighting how societal pressures to maintain external allure can erode inner virtue.</w:t>
      </w:r>
    </w:p>
    <w:p w14:paraId="0D451AA7" w14:textId="77777777" w:rsidR="00E3302B" w:rsidRDefault="00E3302B" w:rsidP="0079785E">
      <w:pPr>
        <w:pStyle w:val="NormalWeb"/>
        <w:spacing w:before="0" w:beforeAutospacing="0" w:after="0" w:afterAutospacing="0"/>
        <w:jc w:val="both"/>
      </w:pPr>
      <w:r w:rsidRPr="00822B4F">
        <w:t xml:space="preserve">Similarly, </w:t>
      </w:r>
      <w:r w:rsidRPr="00822B4F">
        <w:rPr>
          <w:rStyle w:val="Vurgu"/>
        </w:rPr>
        <w:t>The Substance</w:t>
      </w:r>
      <w:r w:rsidRPr="00822B4F">
        <w:t xml:space="preserve"> critiques the toxic pressures placed on women to remain youthful and desirable, particularly within the entertainment industry. Elisabeth is discarded by Hollywood executives who deem her past her “last f***able day” (Horton, 2024), a brutal commentary on the industry’s ageism and misogyny. Her reliance on the drug reflects the unattainable beauty standards imposed on women, pushing them toward self-destruction. While Dorian’s fears are personal, Elisabeth’s struggle is systemic, emphasizing the gendered double standards and societal control over female aging (</w:t>
      </w:r>
      <w:proofErr w:type="spellStart"/>
      <w:r w:rsidRPr="00822B4F">
        <w:t>Jayarajah</w:t>
      </w:r>
      <w:proofErr w:type="spellEnd"/>
      <w:r w:rsidRPr="00822B4F">
        <w:t xml:space="preserve">, 2025). This shift from individual to systemic critique highlights how </w:t>
      </w:r>
      <w:r w:rsidRPr="00822B4F">
        <w:rPr>
          <w:rStyle w:val="Vurgu"/>
        </w:rPr>
        <w:t>The Substance</w:t>
      </w:r>
      <w:r w:rsidRPr="00822B4F">
        <w:t xml:space="preserve"> updates Wilde’s themes for a contemporary audience, exposing the intersection of ageism, misogyny, and capitalism.</w:t>
      </w:r>
    </w:p>
    <w:p w14:paraId="253DA0DD" w14:textId="77777777" w:rsidR="0079785E" w:rsidRPr="00822B4F" w:rsidRDefault="0079785E" w:rsidP="0079785E">
      <w:pPr>
        <w:pStyle w:val="NormalWeb"/>
        <w:spacing w:before="0" w:beforeAutospacing="0" w:after="0" w:afterAutospacing="0"/>
        <w:jc w:val="both"/>
      </w:pPr>
    </w:p>
    <w:p w14:paraId="4DA4E923" w14:textId="4A90C981" w:rsidR="0079785E" w:rsidRPr="00E9568F" w:rsidRDefault="00E3302B" w:rsidP="0079785E">
      <w:pPr>
        <w:pStyle w:val="NormalWeb"/>
        <w:spacing w:before="0" w:beforeAutospacing="0" w:after="0" w:afterAutospacing="0"/>
        <w:jc w:val="both"/>
        <w:rPr>
          <w:b/>
        </w:rPr>
      </w:pPr>
      <w:r w:rsidRPr="00E9568F">
        <w:rPr>
          <w:b/>
        </w:rPr>
        <w:t>IV. A Feminist Reimagining: The Role of Gender</w:t>
      </w:r>
    </w:p>
    <w:p w14:paraId="66F8D78F" w14:textId="77777777" w:rsidR="00E3302B" w:rsidRPr="00822B4F" w:rsidRDefault="00E3302B" w:rsidP="0079785E">
      <w:pPr>
        <w:pStyle w:val="NormalWeb"/>
        <w:spacing w:before="0" w:beforeAutospacing="0" w:after="0" w:afterAutospacing="0"/>
        <w:jc w:val="both"/>
      </w:pPr>
      <w:r w:rsidRPr="00822B4F">
        <w:t xml:space="preserve">While </w:t>
      </w:r>
      <w:r w:rsidRPr="00822B4F">
        <w:rPr>
          <w:rStyle w:val="Vurgu"/>
        </w:rPr>
        <w:t>The Picture of Dorian Gray</w:t>
      </w:r>
      <w:r w:rsidRPr="00822B4F">
        <w:t xml:space="preserve"> centers on an individual male protagonist’s downfall, </w:t>
      </w:r>
      <w:r w:rsidRPr="00822B4F">
        <w:rPr>
          <w:rStyle w:val="Vurgu"/>
        </w:rPr>
        <w:t>The Substance</w:t>
      </w:r>
      <w:r w:rsidRPr="00822B4F">
        <w:t xml:space="preserve"> reinterprets its themes through a feminist lens. Wilde’s novel focuses on personal corruption, exploring how Dorian’s unchecked desires and moral apathy lead to his ruin. In contrast, </w:t>
      </w:r>
      <w:proofErr w:type="spellStart"/>
      <w:r w:rsidRPr="00822B4F">
        <w:t>Fargeat’s</w:t>
      </w:r>
      <w:proofErr w:type="spellEnd"/>
      <w:r w:rsidRPr="00822B4F">
        <w:t xml:space="preserve"> film critiques the broader social structures that impose beauty ideals on women, particularly in industries like Hollywood (The New York Times, 2024).</w:t>
      </w:r>
    </w:p>
    <w:p w14:paraId="73727D9C" w14:textId="77777777" w:rsidR="00E3302B" w:rsidRDefault="00E3302B" w:rsidP="0079785E">
      <w:pPr>
        <w:pStyle w:val="NormalWeb"/>
        <w:spacing w:before="0" w:beforeAutospacing="0" w:after="0" w:afterAutospacing="0"/>
        <w:jc w:val="both"/>
      </w:pPr>
      <w:r w:rsidRPr="00822B4F">
        <w:t xml:space="preserve">Dorian is free to indulge in vice without immediate consequence, reflecting the privilege afforded to men in his society. Elisabeth, however, is constrained by an industry that commodifies women’s youth and discards them once they no longer fit </w:t>
      </w:r>
      <w:proofErr w:type="gramStart"/>
      <w:r w:rsidRPr="00822B4F">
        <w:t>its</w:t>
      </w:r>
      <w:proofErr w:type="gramEnd"/>
      <w:r w:rsidRPr="00822B4F">
        <w:t xml:space="preserve"> ideals. This shift from individual to systemic critique underscores how </w:t>
      </w:r>
      <w:r w:rsidRPr="00822B4F">
        <w:rPr>
          <w:rStyle w:val="Vurgu"/>
        </w:rPr>
        <w:t>The Substance</w:t>
      </w:r>
      <w:r w:rsidRPr="00822B4F">
        <w:t xml:space="preserve"> updates Wilde’s themes for a contemporary audience, exposing the intersection of ageism, misogyny, and capitalism. By centering a female protagonist, the film highlights the gendered dimensions of beauty standards and the societal pressures that disproportionately affect women.</w:t>
      </w:r>
    </w:p>
    <w:p w14:paraId="685F8915" w14:textId="77777777" w:rsidR="0079785E" w:rsidRPr="00822B4F" w:rsidRDefault="0079785E" w:rsidP="0079785E">
      <w:pPr>
        <w:pStyle w:val="NormalWeb"/>
        <w:spacing w:before="0" w:beforeAutospacing="0" w:after="0" w:afterAutospacing="0"/>
        <w:jc w:val="both"/>
      </w:pPr>
    </w:p>
    <w:p w14:paraId="0A49C2C2" w14:textId="77777777" w:rsidR="00E3302B" w:rsidRPr="00E9568F" w:rsidRDefault="00E3302B" w:rsidP="0079785E">
      <w:pPr>
        <w:pStyle w:val="NormalWeb"/>
        <w:spacing w:before="0" w:beforeAutospacing="0" w:after="0" w:afterAutospacing="0"/>
        <w:jc w:val="both"/>
        <w:rPr>
          <w:b/>
        </w:rPr>
      </w:pPr>
      <w:r w:rsidRPr="00E9568F">
        <w:rPr>
          <w:b/>
        </w:rPr>
        <w:t>V. The Tragic End: Facing the Consequences</w:t>
      </w:r>
    </w:p>
    <w:p w14:paraId="4AC15455" w14:textId="77777777" w:rsidR="00E3302B" w:rsidRDefault="00E3302B" w:rsidP="0079785E">
      <w:pPr>
        <w:pStyle w:val="NormalWeb"/>
        <w:spacing w:before="0" w:beforeAutospacing="0" w:after="0" w:afterAutospacing="0"/>
        <w:jc w:val="both"/>
      </w:pPr>
      <w:r w:rsidRPr="00822B4F">
        <w:lastRenderedPageBreak/>
        <w:t xml:space="preserve">Both narratives conclude with the protagonists facing the inevitable consequences of their choices. In </w:t>
      </w:r>
      <w:r w:rsidRPr="00822B4F">
        <w:rPr>
          <w:rStyle w:val="Vurgu"/>
        </w:rPr>
        <w:t>The Picture of Dorian Gray</w:t>
      </w:r>
      <w:r w:rsidRPr="00822B4F">
        <w:t>, Dorian’s attempt to destroy the portrait—a final act of defiance against his moral reckoning—results in his own death. The final image of his withered body, restored to its true age, serves as a stark reminder of the cost of his vanity and hedonism (Wilde, 2003).</w:t>
      </w:r>
    </w:p>
    <w:p w14:paraId="045FC535" w14:textId="77777777" w:rsidR="0079785E" w:rsidRPr="00822B4F" w:rsidRDefault="0079785E" w:rsidP="0079785E">
      <w:pPr>
        <w:pStyle w:val="NormalWeb"/>
        <w:spacing w:before="0" w:beforeAutospacing="0" w:after="0" w:afterAutospacing="0"/>
        <w:jc w:val="both"/>
      </w:pPr>
    </w:p>
    <w:p w14:paraId="75CD2222" w14:textId="77777777" w:rsidR="00E3302B" w:rsidRDefault="00E3302B" w:rsidP="0079785E">
      <w:pPr>
        <w:pStyle w:val="NormalWeb"/>
        <w:spacing w:before="0" w:beforeAutospacing="0" w:after="0" w:afterAutospacing="0"/>
        <w:jc w:val="both"/>
      </w:pPr>
      <w:r w:rsidRPr="00822B4F">
        <w:t xml:space="preserve">In </w:t>
      </w:r>
      <w:r w:rsidRPr="00822B4F">
        <w:rPr>
          <w:rStyle w:val="Vurgu"/>
        </w:rPr>
        <w:t>The Substance</w:t>
      </w:r>
      <w:r w:rsidRPr="00822B4F">
        <w:t xml:space="preserve">, Elisabeth’s overuse of the drug leads to monstrous consequences, as Sue’s dominance over her body and identity becomes irreversible. Elisabeth’s physical and psychological collapse leaves her broken, a shadow of her former self. The final shot of her decayed body lying on her Hollywood Walk of Fame star starkly symbolizes the toll of societal expectations and the inescapability of these pressures in modern society (Hess, 2024). Unlike Wilde’s resolution, which restores a sense of moral order, </w:t>
      </w:r>
      <w:r w:rsidRPr="00822B4F">
        <w:rPr>
          <w:rStyle w:val="Vurgu"/>
        </w:rPr>
        <w:t>The Substance</w:t>
      </w:r>
      <w:r w:rsidRPr="00822B4F">
        <w:t xml:space="preserve"> offers a more ambiguous ending, reflecting the ongoing and pervasive nature of these issues.</w:t>
      </w:r>
    </w:p>
    <w:p w14:paraId="1EC8CDF2" w14:textId="77777777" w:rsidR="0079785E" w:rsidRPr="00822B4F" w:rsidRDefault="0079785E" w:rsidP="0079785E">
      <w:pPr>
        <w:pStyle w:val="NormalWeb"/>
        <w:spacing w:before="0" w:beforeAutospacing="0" w:after="0" w:afterAutospacing="0"/>
        <w:jc w:val="both"/>
      </w:pPr>
    </w:p>
    <w:p w14:paraId="59A369B6" w14:textId="77777777" w:rsidR="00E3302B" w:rsidRPr="00E9568F" w:rsidRDefault="00E3302B" w:rsidP="0079785E">
      <w:pPr>
        <w:pStyle w:val="NormalWeb"/>
        <w:spacing w:before="0" w:beforeAutospacing="0" w:after="0" w:afterAutospacing="0"/>
        <w:jc w:val="both"/>
        <w:rPr>
          <w:b/>
        </w:rPr>
      </w:pPr>
      <w:r w:rsidRPr="00E9568F">
        <w:rPr>
          <w:b/>
        </w:rPr>
        <w:t>Conclusion: A Tale as Old as Mirrors</w:t>
      </w:r>
    </w:p>
    <w:p w14:paraId="6D1B5297" w14:textId="77777777" w:rsidR="00E3302B" w:rsidRDefault="00E3302B" w:rsidP="0079785E">
      <w:pPr>
        <w:pStyle w:val="NormalWeb"/>
        <w:spacing w:before="0" w:beforeAutospacing="0" w:after="0" w:afterAutospacing="0"/>
        <w:jc w:val="both"/>
      </w:pPr>
      <w:r w:rsidRPr="00822B4F">
        <w:t xml:space="preserve">Both </w:t>
      </w:r>
      <w:r w:rsidRPr="00822B4F">
        <w:rPr>
          <w:rStyle w:val="Vurgu"/>
        </w:rPr>
        <w:t>The Picture of Dorian Gray</w:t>
      </w:r>
      <w:r w:rsidRPr="00822B4F">
        <w:t xml:space="preserve"> and </w:t>
      </w:r>
      <w:r w:rsidRPr="00822B4F">
        <w:rPr>
          <w:rStyle w:val="Vurgu"/>
        </w:rPr>
        <w:t>The Substance</w:t>
      </w:r>
      <w:r w:rsidRPr="00822B4F">
        <w:t xml:space="preserve"> serve as cautionary tales about the perils of external validation and the societal obsession with youth and beauty. Wilde critiques individual vanity and moral corruption, while </w:t>
      </w:r>
      <w:proofErr w:type="spellStart"/>
      <w:r w:rsidRPr="00822B4F">
        <w:t>Fargeat</w:t>
      </w:r>
      <w:proofErr w:type="spellEnd"/>
      <w:r w:rsidRPr="00822B4F">
        <w:t xml:space="preserve"> expands this critique to address systemic beauty standards and the exploitation of women. Though separated by over a century, these works illustrate how society’s fixation on youth remains a powerful force, shaping identity, self-worth, and ultimately, self-destruction.</w:t>
      </w:r>
    </w:p>
    <w:p w14:paraId="22AAAECC" w14:textId="77777777" w:rsidR="0079785E" w:rsidRPr="00822B4F" w:rsidRDefault="0079785E" w:rsidP="0079785E">
      <w:pPr>
        <w:pStyle w:val="NormalWeb"/>
        <w:spacing w:before="0" w:beforeAutospacing="0" w:after="0" w:afterAutospacing="0"/>
        <w:jc w:val="both"/>
      </w:pPr>
    </w:p>
    <w:p w14:paraId="0B90503B" w14:textId="66165C3D" w:rsidR="00E3302B" w:rsidRDefault="00E3302B" w:rsidP="0079785E">
      <w:pPr>
        <w:pStyle w:val="NormalWeb"/>
        <w:spacing w:before="0" w:beforeAutospacing="0" w:after="0" w:afterAutospacing="0"/>
        <w:jc w:val="both"/>
      </w:pPr>
      <w:r w:rsidRPr="00822B4F">
        <w:rPr>
          <w:rStyle w:val="Vurgu"/>
        </w:rPr>
        <w:t>The Substance</w:t>
      </w:r>
      <w:r w:rsidRPr="00822B4F">
        <w:t>’s body horror elements amplify its exploration of the fragility of human existence, made even more unsettling by its contemporary relevance. Through its feminist lens, the film critiques gender ideologies and the relentless self-scrutiny imposed on women, delivering a powerful and unsettling commentary that challenges cultural norms and redefines the horror genre. Together, these works remind us that the pursuit of eternal youth and beauty is not only futile but also profoundly destructive, a timeless obsession that continues to haunt us across generations.</w:t>
      </w:r>
    </w:p>
    <w:p w14:paraId="3A6F5AA1" w14:textId="77777777" w:rsidR="0079785E" w:rsidRPr="00D37D80" w:rsidRDefault="0079785E" w:rsidP="0079785E">
      <w:pPr>
        <w:pStyle w:val="NormalWeb"/>
        <w:spacing w:before="0" w:beforeAutospacing="0" w:after="0" w:afterAutospacing="0"/>
        <w:jc w:val="both"/>
        <w:rPr>
          <w:rStyle w:val="selectable-text"/>
        </w:rPr>
      </w:pPr>
    </w:p>
    <w:p w14:paraId="3A62AA58" w14:textId="77777777" w:rsidR="00E3302B" w:rsidRPr="0079785E" w:rsidRDefault="00E3302B" w:rsidP="0079785E">
      <w:pPr>
        <w:pStyle w:val="Balk3"/>
        <w:spacing w:before="0" w:after="0"/>
        <w:jc w:val="both"/>
        <w:rPr>
          <w:rStyle w:val="Gl"/>
          <w:rFonts w:ascii="Times New Roman" w:hAnsi="Times New Roman" w:cs="Times New Roman"/>
          <w:color w:val="000000" w:themeColor="text1"/>
          <w:sz w:val="24"/>
          <w:szCs w:val="24"/>
        </w:rPr>
      </w:pPr>
      <w:r w:rsidRPr="0079785E">
        <w:rPr>
          <w:rStyle w:val="Gl"/>
          <w:rFonts w:ascii="Times New Roman" w:hAnsi="Times New Roman" w:cs="Times New Roman"/>
          <w:color w:val="000000" w:themeColor="text1"/>
          <w:sz w:val="24"/>
          <w:szCs w:val="24"/>
        </w:rPr>
        <w:t>REFERENCES</w:t>
      </w:r>
    </w:p>
    <w:p w14:paraId="571E684A" w14:textId="77777777" w:rsidR="00E3302B" w:rsidRPr="0079785E" w:rsidRDefault="00E3302B">
      <w:pPr>
        <w:widowControl/>
        <w:numPr>
          <w:ilvl w:val="0"/>
          <w:numId w:val="83"/>
        </w:numPr>
        <w:autoSpaceDE/>
        <w:autoSpaceDN/>
        <w:jc w:val="both"/>
        <w:rPr>
          <w:bCs/>
        </w:rPr>
      </w:pPr>
      <w:r w:rsidRPr="0079785E">
        <w:rPr>
          <w:bCs/>
        </w:rPr>
        <w:t xml:space="preserve">Baker, H. A., </w:t>
      </w:r>
      <w:proofErr w:type="spellStart"/>
      <w:r w:rsidRPr="0079785E">
        <w:rPr>
          <w:bCs/>
        </w:rPr>
        <w:t>Jr</w:t>
      </w:r>
      <w:proofErr w:type="spellEnd"/>
      <w:r w:rsidRPr="0079785E">
        <w:rPr>
          <w:bCs/>
        </w:rPr>
        <w:t xml:space="preserve">. (1969). A </w:t>
      </w:r>
      <w:proofErr w:type="spellStart"/>
      <w:r w:rsidRPr="0079785E">
        <w:rPr>
          <w:bCs/>
        </w:rPr>
        <w:t>tragedy</w:t>
      </w:r>
      <w:proofErr w:type="spellEnd"/>
      <w:r w:rsidRPr="0079785E">
        <w:rPr>
          <w:bCs/>
        </w:rPr>
        <w:t xml:space="preserve"> of </w:t>
      </w:r>
      <w:proofErr w:type="spellStart"/>
      <w:r w:rsidRPr="0079785E">
        <w:rPr>
          <w:bCs/>
        </w:rPr>
        <w:t>the</w:t>
      </w:r>
      <w:proofErr w:type="spellEnd"/>
      <w:r w:rsidRPr="0079785E">
        <w:rPr>
          <w:bCs/>
        </w:rPr>
        <w:t xml:space="preserve"> artist: </w:t>
      </w:r>
      <w:proofErr w:type="spellStart"/>
      <w:r w:rsidRPr="0079785E">
        <w:rPr>
          <w:rStyle w:val="Vurgu"/>
          <w:bCs/>
        </w:rPr>
        <w:t>The</w:t>
      </w:r>
      <w:proofErr w:type="spellEnd"/>
      <w:r w:rsidRPr="0079785E">
        <w:rPr>
          <w:rStyle w:val="Vurgu"/>
          <w:bCs/>
        </w:rPr>
        <w:t xml:space="preserve"> Picture of Dorian </w:t>
      </w:r>
      <w:proofErr w:type="spellStart"/>
      <w:r w:rsidRPr="0079785E">
        <w:rPr>
          <w:rStyle w:val="Vurgu"/>
          <w:bCs/>
        </w:rPr>
        <w:t>Gray</w:t>
      </w:r>
      <w:proofErr w:type="spellEnd"/>
      <w:r w:rsidRPr="0079785E">
        <w:rPr>
          <w:bCs/>
        </w:rPr>
        <w:t xml:space="preserve">. </w:t>
      </w:r>
      <w:proofErr w:type="spellStart"/>
      <w:r w:rsidRPr="0079785E">
        <w:rPr>
          <w:rStyle w:val="Vurgu"/>
          <w:bCs/>
        </w:rPr>
        <w:t>Nineteenth</w:t>
      </w:r>
      <w:proofErr w:type="spellEnd"/>
      <w:r w:rsidRPr="0079785E">
        <w:rPr>
          <w:rStyle w:val="Vurgu"/>
          <w:bCs/>
        </w:rPr>
        <w:t>-Century Fiction, 24</w:t>
      </w:r>
      <w:r w:rsidRPr="0079785E">
        <w:rPr>
          <w:bCs/>
        </w:rPr>
        <w:t xml:space="preserve">(3), 349–355. </w:t>
      </w:r>
      <w:hyperlink r:id="rId358" w:tgtFrame="_new" w:history="1">
        <w:r w:rsidRPr="0079785E">
          <w:rPr>
            <w:rStyle w:val="Kpr"/>
            <w:rFonts w:eastAsiaTheme="majorEastAsia"/>
            <w:bCs/>
          </w:rPr>
          <w:t>https://doi.org/10.2307/2932862</w:t>
        </w:r>
      </w:hyperlink>
    </w:p>
    <w:p w14:paraId="4493D3FF" w14:textId="77777777" w:rsidR="00E3302B" w:rsidRPr="0079785E" w:rsidRDefault="00E3302B">
      <w:pPr>
        <w:widowControl/>
        <w:numPr>
          <w:ilvl w:val="0"/>
          <w:numId w:val="83"/>
        </w:numPr>
        <w:autoSpaceDE/>
        <w:autoSpaceDN/>
        <w:jc w:val="both"/>
        <w:rPr>
          <w:bCs/>
        </w:rPr>
      </w:pPr>
      <w:r w:rsidRPr="0079785E">
        <w:rPr>
          <w:bCs/>
        </w:rPr>
        <w:t xml:space="preserve">Wilde, O. (2003). </w:t>
      </w:r>
      <w:proofErr w:type="spellStart"/>
      <w:r w:rsidRPr="0079785E">
        <w:rPr>
          <w:rStyle w:val="Vurgu"/>
          <w:bCs/>
        </w:rPr>
        <w:t>The</w:t>
      </w:r>
      <w:proofErr w:type="spellEnd"/>
      <w:r w:rsidRPr="0079785E">
        <w:rPr>
          <w:rStyle w:val="Vurgu"/>
          <w:bCs/>
        </w:rPr>
        <w:t xml:space="preserve"> </w:t>
      </w:r>
      <w:proofErr w:type="spellStart"/>
      <w:r w:rsidRPr="0079785E">
        <w:rPr>
          <w:rStyle w:val="Vurgu"/>
          <w:bCs/>
        </w:rPr>
        <w:t>picture</w:t>
      </w:r>
      <w:proofErr w:type="spellEnd"/>
      <w:r w:rsidRPr="0079785E">
        <w:rPr>
          <w:rStyle w:val="Vurgu"/>
          <w:bCs/>
        </w:rPr>
        <w:t xml:space="preserve"> of Dorian </w:t>
      </w:r>
      <w:proofErr w:type="spellStart"/>
      <w:r w:rsidRPr="0079785E">
        <w:rPr>
          <w:rStyle w:val="Vurgu"/>
          <w:bCs/>
        </w:rPr>
        <w:t>Gray</w:t>
      </w:r>
      <w:proofErr w:type="spellEnd"/>
      <w:r w:rsidRPr="0079785E">
        <w:rPr>
          <w:bCs/>
        </w:rPr>
        <w:t xml:space="preserve">. </w:t>
      </w:r>
      <w:proofErr w:type="spellStart"/>
      <w:r w:rsidRPr="0079785E">
        <w:rPr>
          <w:bCs/>
        </w:rPr>
        <w:t>Penguin</w:t>
      </w:r>
      <w:proofErr w:type="spellEnd"/>
      <w:r w:rsidRPr="0079785E">
        <w:rPr>
          <w:bCs/>
        </w:rPr>
        <w:t xml:space="preserve"> </w:t>
      </w:r>
      <w:proofErr w:type="spellStart"/>
      <w:r w:rsidRPr="0079785E">
        <w:rPr>
          <w:bCs/>
        </w:rPr>
        <w:t>Classics</w:t>
      </w:r>
      <w:proofErr w:type="spellEnd"/>
      <w:r w:rsidRPr="0079785E">
        <w:rPr>
          <w:bCs/>
        </w:rPr>
        <w:t>. (</w:t>
      </w:r>
      <w:proofErr w:type="spellStart"/>
      <w:r w:rsidRPr="0079785E">
        <w:rPr>
          <w:bCs/>
        </w:rPr>
        <w:t>Original</w:t>
      </w:r>
      <w:proofErr w:type="spellEnd"/>
      <w:r w:rsidRPr="0079785E">
        <w:rPr>
          <w:bCs/>
        </w:rPr>
        <w:t xml:space="preserve"> </w:t>
      </w:r>
      <w:proofErr w:type="spellStart"/>
      <w:r w:rsidRPr="0079785E">
        <w:rPr>
          <w:bCs/>
        </w:rPr>
        <w:t>work</w:t>
      </w:r>
      <w:proofErr w:type="spellEnd"/>
      <w:r w:rsidRPr="0079785E">
        <w:rPr>
          <w:bCs/>
        </w:rPr>
        <w:t xml:space="preserve"> </w:t>
      </w:r>
      <w:proofErr w:type="spellStart"/>
      <w:r w:rsidRPr="0079785E">
        <w:rPr>
          <w:bCs/>
        </w:rPr>
        <w:t>published</w:t>
      </w:r>
      <w:proofErr w:type="spellEnd"/>
      <w:r w:rsidRPr="0079785E">
        <w:rPr>
          <w:bCs/>
        </w:rPr>
        <w:t xml:space="preserve"> 1891).</w:t>
      </w:r>
    </w:p>
    <w:p w14:paraId="7638B3CD" w14:textId="77777777" w:rsidR="00E3302B" w:rsidRPr="0079785E" w:rsidRDefault="00E3302B">
      <w:pPr>
        <w:widowControl/>
        <w:numPr>
          <w:ilvl w:val="0"/>
          <w:numId w:val="83"/>
        </w:numPr>
        <w:autoSpaceDE/>
        <w:autoSpaceDN/>
        <w:jc w:val="both"/>
        <w:rPr>
          <w:bCs/>
        </w:rPr>
      </w:pPr>
      <w:proofErr w:type="spellStart"/>
      <w:r w:rsidRPr="0079785E">
        <w:rPr>
          <w:bCs/>
        </w:rPr>
        <w:t>Ellmann</w:t>
      </w:r>
      <w:proofErr w:type="spellEnd"/>
      <w:r w:rsidRPr="0079785E">
        <w:rPr>
          <w:bCs/>
        </w:rPr>
        <w:t xml:space="preserve">, R. (1987). </w:t>
      </w:r>
      <w:r w:rsidRPr="0079785E">
        <w:rPr>
          <w:rStyle w:val="Vurgu"/>
          <w:bCs/>
        </w:rPr>
        <w:t>Oscar Wilde</w:t>
      </w:r>
      <w:r w:rsidRPr="0079785E">
        <w:rPr>
          <w:bCs/>
        </w:rPr>
        <w:t xml:space="preserve">. </w:t>
      </w:r>
      <w:proofErr w:type="spellStart"/>
      <w:r w:rsidRPr="0079785E">
        <w:rPr>
          <w:bCs/>
        </w:rPr>
        <w:t>Hamish</w:t>
      </w:r>
      <w:proofErr w:type="spellEnd"/>
      <w:r w:rsidRPr="0079785E">
        <w:rPr>
          <w:bCs/>
        </w:rPr>
        <w:t xml:space="preserve"> Hamilton.</w:t>
      </w:r>
    </w:p>
    <w:p w14:paraId="7856BB53" w14:textId="77777777" w:rsidR="00E3302B" w:rsidRPr="0079785E" w:rsidRDefault="00E3302B">
      <w:pPr>
        <w:widowControl/>
        <w:numPr>
          <w:ilvl w:val="0"/>
          <w:numId w:val="83"/>
        </w:numPr>
        <w:autoSpaceDE/>
        <w:autoSpaceDN/>
        <w:jc w:val="both"/>
        <w:rPr>
          <w:bCs/>
        </w:rPr>
      </w:pPr>
      <w:proofErr w:type="spellStart"/>
      <w:r w:rsidRPr="0079785E">
        <w:rPr>
          <w:bCs/>
        </w:rPr>
        <w:t>Sedgwick</w:t>
      </w:r>
      <w:proofErr w:type="spellEnd"/>
      <w:r w:rsidRPr="0079785E">
        <w:rPr>
          <w:bCs/>
        </w:rPr>
        <w:t xml:space="preserve">, E. K. (1990). </w:t>
      </w:r>
      <w:proofErr w:type="spellStart"/>
      <w:r w:rsidRPr="0079785E">
        <w:rPr>
          <w:rStyle w:val="Vurgu"/>
          <w:bCs/>
        </w:rPr>
        <w:t>Epistemology</w:t>
      </w:r>
      <w:proofErr w:type="spellEnd"/>
      <w:r w:rsidRPr="0079785E">
        <w:rPr>
          <w:rStyle w:val="Vurgu"/>
          <w:bCs/>
        </w:rPr>
        <w:t xml:space="preserve"> of </w:t>
      </w:r>
      <w:proofErr w:type="spellStart"/>
      <w:r w:rsidRPr="0079785E">
        <w:rPr>
          <w:rStyle w:val="Vurgu"/>
          <w:bCs/>
        </w:rPr>
        <w:t>the</w:t>
      </w:r>
      <w:proofErr w:type="spellEnd"/>
      <w:r w:rsidRPr="0079785E">
        <w:rPr>
          <w:rStyle w:val="Vurgu"/>
          <w:bCs/>
        </w:rPr>
        <w:t xml:space="preserve"> </w:t>
      </w:r>
      <w:proofErr w:type="spellStart"/>
      <w:r w:rsidRPr="0079785E">
        <w:rPr>
          <w:rStyle w:val="Vurgu"/>
          <w:bCs/>
        </w:rPr>
        <w:t>closet</w:t>
      </w:r>
      <w:proofErr w:type="spellEnd"/>
      <w:r w:rsidRPr="0079785E">
        <w:rPr>
          <w:bCs/>
        </w:rPr>
        <w:t xml:space="preserve">. </w:t>
      </w:r>
      <w:proofErr w:type="spellStart"/>
      <w:r w:rsidRPr="0079785E">
        <w:rPr>
          <w:bCs/>
        </w:rPr>
        <w:t>University</w:t>
      </w:r>
      <w:proofErr w:type="spellEnd"/>
      <w:r w:rsidRPr="0079785E">
        <w:rPr>
          <w:bCs/>
        </w:rPr>
        <w:t xml:space="preserve"> of California </w:t>
      </w:r>
      <w:proofErr w:type="spellStart"/>
      <w:r w:rsidRPr="0079785E">
        <w:rPr>
          <w:bCs/>
        </w:rPr>
        <w:t>Press</w:t>
      </w:r>
      <w:proofErr w:type="spellEnd"/>
      <w:r w:rsidRPr="0079785E">
        <w:rPr>
          <w:bCs/>
        </w:rPr>
        <w:t>.</w:t>
      </w:r>
    </w:p>
    <w:p w14:paraId="4495A6FE" w14:textId="2F1DF6D3" w:rsidR="00E3302B" w:rsidRPr="0079785E" w:rsidRDefault="00E3302B">
      <w:pPr>
        <w:widowControl/>
        <w:numPr>
          <w:ilvl w:val="0"/>
          <w:numId w:val="83"/>
        </w:numPr>
        <w:autoSpaceDE/>
        <w:autoSpaceDN/>
        <w:jc w:val="both"/>
        <w:rPr>
          <w:bCs/>
        </w:rPr>
      </w:pPr>
      <w:proofErr w:type="spellStart"/>
      <w:r w:rsidRPr="0079785E">
        <w:rPr>
          <w:bCs/>
        </w:rPr>
        <w:t>Jayarajah</w:t>
      </w:r>
      <w:proofErr w:type="spellEnd"/>
      <w:r w:rsidRPr="0079785E">
        <w:rPr>
          <w:bCs/>
        </w:rPr>
        <w:t xml:space="preserve">, C. (2025). </w:t>
      </w:r>
      <w:proofErr w:type="spellStart"/>
      <w:r w:rsidRPr="0079785E">
        <w:rPr>
          <w:bCs/>
        </w:rPr>
        <w:t>The</w:t>
      </w:r>
      <w:proofErr w:type="spellEnd"/>
      <w:r w:rsidRPr="0079785E">
        <w:rPr>
          <w:bCs/>
        </w:rPr>
        <w:t xml:space="preserve"> </w:t>
      </w:r>
      <w:proofErr w:type="spellStart"/>
      <w:r w:rsidRPr="0079785E">
        <w:rPr>
          <w:bCs/>
        </w:rPr>
        <w:t>Substance</w:t>
      </w:r>
      <w:proofErr w:type="spellEnd"/>
      <w:r w:rsidRPr="0079785E">
        <w:rPr>
          <w:bCs/>
        </w:rPr>
        <w:t xml:space="preserve"> </w:t>
      </w:r>
      <w:proofErr w:type="spellStart"/>
      <w:r w:rsidRPr="0079785E">
        <w:rPr>
          <w:bCs/>
        </w:rPr>
        <w:t>and</w:t>
      </w:r>
      <w:proofErr w:type="spellEnd"/>
      <w:r w:rsidRPr="0079785E">
        <w:rPr>
          <w:bCs/>
        </w:rPr>
        <w:t xml:space="preserve"> </w:t>
      </w:r>
      <w:proofErr w:type="spellStart"/>
      <w:r w:rsidRPr="0079785E">
        <w:rPr>
          <w:bCs/>
        </w:rPr>
        <w:t>the</w:t>
      </w:r>
      <w:proofErr w:type="spellEnd"/>
      <w:r w:rsidRPr="0079785E">
        <w:rPr>
          <w:bCs/>
        </w:rPr>
        <w:t xml:space="preserve"> </w:t>
      </w:r>
      <w:proofErr w:type="spellStart"/>
      <w:r w:rsidRPr="0079785E">
        <w:rPr>
          <w:bCs/>
        </w:rPr>
        <w:t>pursuit</w:t>
      </w:r>
      <w:proofErr w:type="spellEnd"/>
      <w:r w:rsidRPr="0079785E">
        <w:rPr>
          <w:bCs/>
        </w:rPr>
        <w:t xml:space="preserve"> of </w:t>
      </w:r>
      <w:proofErr w:type="spellStart"/>
      <w:r w:rsidRPr="0079785E">
        <w:rPr>
          <w:bCs/>
        </w:rPr>
        <w:t>perfection</w:t>
      </w:r>
      <w:proofErr w:type="spellEnd"/>
      <w:r w:rsidRPr="0079785E">
        <w:rPr>
          <w:bCs/>
        </w:rPr>
        <w:t xml:space="preserve">. </w:t>
      </w:r>
      <w:proofErr w:type="spellStart"/>
      <w:r w:rsidRPr="0079785E">
        <w:rPr>
          <w:rStyle w:val="Vurgu"/>
          <w:bCs/>
        </w:rPr>
        <w:t>BJPsych</w:t>
      </w:r>
      <w:proofErr w:type="spellEnd"/>
      <w:r w:rsidRPr="0079785E">
        <w:rPr>
          <w:rStyle w:val="Vurgu"/>
          <w:bCs/>
        </w:rPr>
        <w:t xml:space="preserve"> </w:t>
      </w:r>
      <w:proofErr w:type="spellStart"/>
      <w:r w:rsidRPr="0079785E">
        <w:rPr>
          <w:rStyle w:val="Vurgu"/>
          <w:bCs/>
        </w:rPr>
        <w:t>Bulletin</w:t>
      </w:r>
      <w:proofErr w:type="spellEnd"/>
      <w:r w:rsidRPr="0079785E">
        <w:rPr>
          <w:bCs/>
        </w:rPr>
        <w:t>, 1–1. https://doi.org/10.1192/bjb.2025.13</w:t>
      </w:r>
    </w:p>
    <w:p w14:paraId="3C343FFB" w14:textId="77777777" w:rsidR="00E3302B" w:rsidRPr="0079785E" w:rsidRDefault="00E3302B">
      <w:pPr>
        <w:widowControl/>
        <w:numPr>
          <w:ilvl w:val="0"/>
          <w:numId w:val="83"/>
        </w:numPr>
        <w:autoSpaceDE/>
        <w:autoSpaceDN/>
        <w:jc w:val="both"/>
        <w:rPr>
          <w:bCs/>
        </w:rPr>
      </w:pPr>
      <w:proofErr w:type="spellStart"/>
      <w:r w:rsidRPr="0079785E">
        <w:rPr>
          <w:bCs/>
        </w:rPr>
        <w:t>Fargeat</w:t>
      </w:r>
      <w:proofErr w:type="spellEnd"/>
      <w:r w:rsidRPr="0079785E">
        <w:rPr>
          <w:bCs/>
        </w:rPr>
        <w:t>, C. (</w:t>
      </w:r>
      <w:proofErr w:type="spellStart"/>
      <w:r w:rsidRPr="0079785E">
        <w:rPr>
          <w:bCs/>
        </w:rPr>
        <w:t>Director</w:t>
      </w:r>
      <w:proofErr w:type="spellEnd"/>
      <w:r w:rsidRPr="0079785E">
        <w:rPr>
          <w:bCs/>
        </w:rPr>
        <w:t xml:space="preserve">). (2024). </w:t>
      </w:r>
      <w:proofErr w:type="spellStart"/>
      <w:r w:rsidRPr="0079785E">
        <w:rPr>
          <w:rStyle w:val="Vurgu"/>
          <w:bCs/>
        </w:rPr>
        <w:t>The</w:t>
      </w:r>
      <w:proofErr w:type="spellEnd"/>
      <w:r w:rsidRPr="0079785E">
        <w:rPr>
          <w:rStyle w:val="Vurgu"/>
          <w:bCs/>
        </w:rPr>
        <w:t xml:space="preserve"> </w:t>
      </w:r>
      <w:proofErr w:type="spellStart"/>
      <w:r w:rsidRPr="0079785E">
        <w:rPr>
          <w:rStyle w:val="Vurgu"/>
          <w:bCs/>
        </w:rPr>
        <w:t>Substance</w:t>
      </w:r>
      <w:proofErr w:type="spellEnd"/>
      <w:r w:rsidRPr="0079785E">
        <w:rPr>
          <w:bCs/>
        </w:rPr>
        <w:t xml:space="preserve"> [Film]. Universal </w:t>
      </w:r>
      <w:proofErr w:type="spellStart"/>
      <w:r w:rsidRPr="0079785E">
        <w:rPr>
          <w:bCs/>
        </w:rPr>
        <w:t>Pictures</w:t>
      </w:r>
      <w:proofErr w:type="spellEnd"/>
      <w:r w:rsidRPr="0079785E">
        <w:rPr>
          <w:bCs/>
        </w:rPr>
        <w:t>.</w:t>
      </w:r>
    </w:p>
    <w:p w14:paraId="3B8754A1" w14:textId="77777777" w:rsidR="00E3302B" w:rsidRPr="0079785E" w:rsidRDefault="00E3302B">
      <w:pPr>
        <w:pStyle w:val="Balk3"/>
        <w:numPr>
          <w:ilvl w:val="0"/>
          <w:numId w:val="83"/>
        </w:numPr>
        <w:spacing w:before="0" w:after="0"/>
        <w:jc w:val="both"/>
        <w:rPr>
          <w:bCs/>
          <w:sz w:val="24"/>
          <w:szCs w:val="24"/>
        </w:rPr>
      </w:pPr>
      <w:proofErr w:type="spellStart"/>
      <w:r w:rsidRPr="0079785E">
        <w:rPr>
          <w:rStyle w:val="Gl"/>
          <w:b w:val="0"/>
          <w:bCs/>
          <w:sz w:val="24"/>
          <w:szCs w:val="24"/>
        </w:rPr>
        <w:t>Newspaper</w:t>
      </w:r>
      <w:proofErr w:type="spellEnd"/>
      <w:r w:rsidRPr="0079785E">
        <w:rPr>
          <w:rStyle w:val="Gl"/>
          <w:b w:val="0"/>
          <w:bCs/>
          <w:sz w:val="24"/>
          <w:szCs w:val="24"/>
        </w:rPr>
        <w:t xml:space="preserve"> </w:t>
      </w:r>
      <w:proofErr w:type="spellStart"/>
      <w:r w:rsidRPr="0079785E">
        <w:rPr>
          <w:rStyle w:val="Gl"/>
          <w:b w:val="0"/>
          <w:bCs/>
          <w:sz w:val="24"/>
          <w:szCs w:val="24"/>
        </w:rPr>
        <w:t>and</w:t>
      </w:r>
      <w:proofErr w:type="spellEnd"/>
      <w:r w:rsidRPr="0079785E">
        <w:rPr>
          <w:rStyle w:val="Gl"/>
          <w:b w:val="0"/>
          <w:bCs/>
          <w:sz w:val="24"/>
          <w:szCs w:val="24"/>
        </w:rPr>
        <w:t xml:space="preserve"> Magazine </w:t>
      </w:r>
      <w:proofErr w:type="spellStart"/>
      <w:r w:rsidRPr="0079785E">
        <w:rPr>
          <w:rStyle w:val="Gl"/>
          <w:b w:val="0"/>
          <w:bCs/>
          <w:sz w:val="24"/>
          <w:szCs w:val="24"/>
        </w:rPr>
        <w:t>Articles</w:t>
      </w:r>
      <w:proofErr w:type="spellEnd"/>
    </w:p>
    <w:p w14:paraId="51C6732A" w14:textId="77777777" w:rsidR="00E3302B" w:rsidRPr="0079785E" w:rsidRDefault="00E3302B">
      <w:pPr>
        <w:widowControl/>
        <w:numPr>
          <w:ilvl w:val="0"/>
          <w:numId w:val="83"/>
        </w:numPr>
        <w:autoSpaceDE/>
        <w:autoSpaceDN/>
        <w:jc w:val="both"/>
        <w:rPr>
          <w:bCs/>
        </w:rPr>
      </w:pPr>
      <w:proofErr w:type="spellStart"/>
      <w:r w:rsidRPr="0079785E">
        <w:rPr>
          <w:bCs/>
        </w:rPr>
        <w:t>Hess</w:t>
      </w:r>
      <w:proofErr w:type="spellEnd"/>
      <w:r w:rsidRPr="0079785E">
        <w:rPr>
          <w:bCs/>
        </w:rPr>
        <w:t xml:space="preserve">, A. (2024, </w:t>
      </w:r>
      <w:proofErr w:type="spellStart"/>
      <w:r w:rsidRPr="0079785E">
        <w:rPr>
          <w:bCs/>
        </w:rPr>
        <w:t>September</w:t>
      </w:r>
      <w:proofErr w:type="spellEnd"/>
      <w:r w:rsidRPr="0079785E">
        <w:rPr>
          <w:bCs/>
        </w:rPr>
        <w:t xml:space="preserve"> 12). </w:t>
      </w:r>
      <w:proofErr w:type="spellStart"/>
      <w:r w:rsidRPr="0079785E">
        <w:rPr>
          <w:rStyle w:val="Vurgu"/>
          <w:bCs/>
        </w:rPr>
        <w:t>The</w:t>
      </w:r>
      <w:proofErr w:type="spellEnd"/>
      <w:r w:rsidRPr="0079785E">
        <w:rPr>
          <w:rStyle w:val="Vurgu"/>
          <w:bCs/>
        </w:rPr>
        <w:t xml:space="preserve"> </w:t>
      </w:r>
      <w:proofErr w:type="spellStart"/>
      <w:r w:rsidRPr="0079785E">
        <w:rPr>
          <w:rStyle w:val="Vurgu"/>
          <w:bCs/>
        </w:rPr>
        <w:t>Substance</w:t>
      </w:r>
      <w:proofErr w:type="spellEnd"/>
      <w:r w:rsidRPr="0079785E">
        <w:rPr>
          <w:rStyle w:val="Vurgu"/>
          <w:bCs/>
        </w:rPr>
        <w:t xml:space="preserve"> is a </w:t>
      </w:r>
      <w:proofErr w:type="spellStart"/>
      <w:r w:rsidRPr="0079785E">
        <w:rPr>
          <w:rStyle w:val="Vurgu"/>
          <w:bCs/>
        </w:rPr>
        <w:t>wild</w:t>
      </w:r>
      <w:proofErr w:type="spellEnd"/>
      <w:r w:rsidRPr="0079785E">
        <w:rPr>
          <w:rStyle w:val="Vurgu"/>
          <w:bCs/>
        </w:rPr>
        <w:t>, body-</w:t>
      </w:r>
      <w:proofErr w:type="spellStart"/>
      <w:r w:rsidRPr="0079785E">
        <w:rPr>
          <w:rStyle w:val="Vurgu"/>
          <w:bCs/>
        </w:rPr>
        <w:t>horror</w:t>
      </w:r>
      <w:proofErr w:type="spellEnd"/>
      <w:r w:rsidRPr="0079785E">
        <w:rPr>
          <w:rStyle w:val="Vurgu"/>
          <w:bCs/>
        </w:rPr>
        <w:t xml:space="preserve"> </w:t>
      </w:r>
      <w:proofErr w:type="spellStart"/>
      <w:r w:rsidRPr="0079785E">
        <w:rPr>
          <w:rStyle w:val="Vurgu"/>
          <w:bCs/>
        </w:rPr>
        <w:t>masterpiece</w:t>
      </w:r>
      <w:proofErr w:type="spellEnd"/>
      <w:r w:rsidRPr="0079785E">
        <w:rPr>
          <w:bCs/>
        </w:rPr>
        <w:t xml:space="preserve">. </w:t>
      </w:r>
      <w:r w:rsidRPr="0079785E">
        <w:rPr>
          <w:rStyle w:val="Vurgu"/>
          <w:bCs/>
        </w:rPr>
        <w:t>Slate</w:t>
      </w:r>
      <w:r w:rsidRPr="0079785E">
        <w:rPr>
          <w:bCs/>
        </w:rPr>
        <w:t xml:space="preserve">. </w:t>
      </w:r>
      <w:hyperlink r:id="rId359" w:tgtFrame="_new" w:history="1">
        <w:r w:rsidRPr="0079785E">
          <w:rPr>
            <w:rStyle w:val="Kpr"/>
            <w:rFonts w:eastAsiaTheme="majorEastAsia"/>
            <w:bCs/>
          </w:rPr>
          <w:t>https://slate.com/culture/2024/09/the-substance-demi-moore-movie-margaret-qualley.html</w:t>
        </w:r>
      </w:hyperlink>
    </w:p>
    <w:p w14:paraId="453CE175" w14:textId="77777777" w:rsidR="00E3302B" w:rsidRPr="0079785E" w:rsidRDefault="00E3302B">
      <w:pPr>
        <w:widowControl/>
        <w:numPr>
          <w:ilvl w:val="0"/>
          <w:numId w:val="83"/>
        </w:numPr>
        <w:autoSpaceDE/>
        <w:autoSpaceDN/>
        <w:jc w:val="both"/>
        <w:rPr>
          <w:bCs/>
        </w:rPr>
      </w:pPr>
      <w:proofErr w:type="spellStart"/>
      <w:r w:rsidRPr="0079785E">
        <w:rPr>
          <w:bCs/>
        </w:rPr>
        <w:t>The</w:t>
      </w:r>
      <w:proofErr w:type="spellEnd"/>
      <w:r w:rsidRPr="0079785E">
        <w:rPr>
          <w:bCs/>
        </w:rPr>
        <w:t xml:space="preserve"> New York Times. (2024, </w:t>
      </w:r>
      <w:proofErr w:type="spellStart"/>
      <w:r w:rsidRPr="0079785E">
        <w:rPr>
          <w:bCs/>
        </w:rPr>
        <w:t>September</w:t>
      </w:r>
      <w:proofErr w:type="spellEnd"/>
      <w:r w:rsidRPr="0079785E">
        <w:rPr>
          <w:bCs/>
        </w:rPr>
        <w:t xml:space="preserve"> 19). </w:t>
      </w:r>
      <w:proofErr w:type="spellStart"/>
      <w:r w:rsidRPr="0079785E">
        <w:rPr>
          <w:rStyle w:val="Vurgu"/>
          <w:bCs/>
        </w:rPr>
        <w:t>The</w:t>
      </w:r>
      <w:proofErr w:type="spellEnd"/>
      <w:r w:rsidRPr="0079785E">
        <w:rPr>
          <w:rStyle w:val="Vurgu"/>
          <w:bCs/>
        </w:rPr>
        <w:t xml:space="preserve"> </w:t>
      </w:r>
      <w:proofErr w:type="spellStart"/>
      <w:r w:rsidRPr="0079785E">
        <w:rPr>
          <w:rStyle w:val="Vurgu"/>
          <w:bCs/>
        </w:rPr>
        <w:t>Substance</w:t>
      </w:r>
      <w:proofErr w:type="spellEnd"/>
      <w:r w:rsidRPr="0079785E">
        <w:rPr>
          <w:rStyle w:val="Vurgu"/>
          <w:bCs/>
        </w:rPr>
        <w:t xml:space="preserve"> </w:t>
      </w:r>
      <w:proofErr w:type="spellStart"/>
      <w:r w:rsidRPr="0079785E">
        <w:rPr>
          <w:rStyle w:val="Vurgu"/>
          <w:bCs/>
        </w:rPr>
        <w:t>review</w:t>
      </w:r>
      <w:proofErr w:type="spellEnd"/>
      <w:r w:rsidRPr="0079785E">
        <w:rPr>
          <w:bCs/>
        </w:rPr>
        <w:t xml:space="preserve">. </w:t>
      </w:r>
      <w:hyperlink r:id="rId360" w:tgtFrame="_new" w:history="1">
        <w:r w:rsidRPr="0079785E">
          <w:rPr>
            <w:rStyle w:val="Kpr"/>
            <w:rFonts w:eastAsiaTheme="majorEastAsia"/>
            <w:bCs/>
          </w:rPr>
          <w:t>https://www.nytimes.com/2024/09/19/movies/the-substance-review.html</w:t>
        </w:r>
      </w:hyperlink>
    </w:p>
    <w:p w14:paraId="4BA21F1E" w14:textId="77777777" w:rsidR="00E3302B" w:rsidRPr="0079785E" w:rsidRDefault="00E3302B">
      <w:pPr>
        <w:widowControl/>
        <w:numPr>
          <w:ilvl w:val="0"/>
          <w:numId w:val="83"/>
        </w:numPr>
        <w:autoSpaceDE/>
        <w:autoSpaceDN/>
        <w:jc w:val="both"/>
        <w:rPr>
          <w:bCs/>
        </w:rPr>
      </w:pPr>
      <w:proofErr w:type="spellStart"/>
      <w:r w:rsidRPr="0079785E">
        <w:rPr>
          <w:bCs/>
        </w:rPr>
        <w:lastRenderedPageBreak/>
        <w:t>Horton</w:t>
      </w:r>
      <w:proofErr w:type="spellEnd"/>
      <w:r w:rsidRPr="0079785E">
        <w:rPr>
          <w:bCs/>
        </w:rPr>
        <w:t xml:space="preserve">, A. (2024, </w:t>
      </w:r>
      <w:proofErr w:type="spellStart"/>
      <w:r w:rsidRPr="0079785E">
        <w:rPr>
          <w:bCs/>
        </w:rPr>
        <w:t>September</w:t>
      </w:r>
      <w:proofErr w:type="spellEnd"/>
      <w:r w:rsidRPr="0079785E">
        <w:rPr>
          <w:bCs/>
        </w:rPr>
        <w:t xml:space="preserve"> 28). </w:t>
      </w:r>
      <w:proofErr w:type="spellStart"/>
      <w:r w:rsidRPr="0079785E">
        <w:rPr>
          <w:rStyle w:val="Vurgu"/>
          <w:bCs/>
        </w:rPr>
        <w:t>Substance</w:t>
      </w:r>
      <w:proofErr w:type="spellEnd"/>
      <w:r w:rsidRPr="0079785E">
        <w:rPr>
          <w:rStyle w:val="Vurgu"/>
          <w:bCs/>
        </w:rPr>
        <w:t xml:space="preserve"> </w:t>
      </w:r>
      <w:proofErr w:type="spellStart"/>
      <w:r w:rsidRPr="0079785E">
        <w:rPr>
          <w:rStyle w:val="Vurgu"/>
          <w:bCs/>
        </w:rPr>
        <w:t>movie</w:t>
      </w:r>
      <w:proofErr w:type="spellEnd"/>
      <w:r w:rsidRPr="0079785E">
        <w:rPr>
          <w:rStyle w:val="Vurgu"/>
          <w:bCs/>
        </w:rPr>
        <w:t xml:space="preserve">: Demi </w:t>
      </w:r>
      <w:proofErr w:type="spellStart"/>
      <w:r w:rsidRPr="0079785E">
        <w:rPr>
          <w:rStyle w:val="Vurgu"/>
          <w:bCs/>
        </w:rPr>
        <w:t>Moore</w:t>
      </w:r>
      <w:proofErr w:type="spellEnd"/>
      <w:r w:rsidRPr="0079785E">
        <w:rPr>
          <w:bCs/>
        </w:rPr>
        <w:t xml:space="preserve">. </w:t>
      </w:r>
      <w:proofErr w:type="spellStart"/>
      <w:r w:rsidRPr="0079785E">
        <w:rPr>
          <w:rStyle w:val="Vurgu"/>
          <w:bCs/>
        </w:rPr>
        <w:t>The</w:t>
      </w:r>
      <w:proofErr w:type="spellEnd"/>
      <w:r w:rsidRPr="0079785E">
        <w:rPr>
          <w:rStyle w:val="Vurgu"/>
          <w:bCs/>
        </w:rPr>
        <w:t xml:space="preserve"> Guardian</w:t>
      </w:r>
      <w:r w:rsidRPr="0079785E">
        <w:rPr>
          <w:bCs/>
        </w:rPr>
        <w:t xml:space="preserve">. </w:t>
      </w:r>
      <w:hyperlink r:id="rId361" w:tgtFrame="_new" w:history="1">
        <w:r w:rsidRPr="0079785E">
          <w:rPr>
            <w:rStyle w:val="Kpr"/>
            <w:rFonts w:eastAsiaTheme="majorEastAsia"/>
            <w:bCs/>
          </w:rPr>
          <w:t>https://www.theguardian.com/film/2024/sep/28/substance-movie-demi-moore</w:t>
        </w:r>
      </w:hyperlink>
    </w:p>
    <w:p w14:paraId="2590A508" w14:textId="28C2902D" w:rsidR="00D37D80" w:rsidRDefault="00E3302B">
      <w:pPr>
        <w:widowControl/>
        <w:numPr>
          <w:ilvl w:val="0"/>
          <w:numId w:val="83"/>
        </w:numPr>
        <w:autoSpaceDE/>
        <w:autoSpaceDN/>
        <w:jc w:val="both"/>
      </w:pPr>
      <w:proofErr w:type="spellStart"/>
      <w:r w:rsidRPr="0079785E">
        <w:rPr>
          <w:bCs/>
        </w:rPr>
        <w:t>Bradshaw</w:t>
      </w:r>
      <w:proofErr w:type="spellEnd"/>
      <w:r w:rsidRPr="0079785E">
        <w:rPr>
          <w:bCs/>
        </w:rPr>
        <w:t xml:space="preserve">, P. (2024, May 20). </w:t>
      </w:r>
      <w:proofErr w:type="spellStart"/>
      <w:r w:rsidRPr="0079785E">
        <w:rPr>
          <w:rStyle w:val="Vurgu"/>
          <w:bCs/>
        </w:rPr>
        <w:t>Substance</w:t>
      </w:r>
      <w:proofErr w:type="spellEnd"/>
      <w:r w:rsidRPr="0079785E">
        <w:rPr>
          <w:rStyle w:val="Vurgu"/>
          <w:bCs/>
        </w:rPr>
        <w:t xml:space="preserve"> </w:t>
      </w:r>
      <w:proofErr w:type="spellStart"/>
      <w:r w:rsidRPr="0079785E">
        <w:rPr>
          <w:rStyle w:val="Vurgu"/>
          <w:bCs/>
        </w:rPr>
        <w:t>review</w:t>
      </w:r>
      <w:proofErr w:type="spellEnd"/>
      <w:r w:rsidRPr="0079785E">
        <w:rPr>
          <w:bCs/>
        </w:rPr>
        <w:t xml:space="preserve">. </w:t>
      </w:r>
      <w:proofErr w:type="spellStart"/>
      <w:r w:rsidRPr="0079785E">
        <w:rPr>
          <w:rStyle w:val="Vurgu"/>
          <w:bCs/>
        </w:rPr>
        <w:t>The</w:t>
      </w:r>
      <w:proofErr w:type="spellEnd"/>
      <w:r w:rsidRPr="0079785E">
        <w:rPr>
          <w:rStyle w:val="Vurgu"/>
          <w:bCs/>
        </w:rPr>
        <w:t xml:space="preserve"> Guardian</w:t>
      </w:r>
      <w:r w:rsidRPr="0079785E">
        <w:rPr>
          <w:bCs/>
        </w:rPr>
        <w:t xml:space="preserve">. </w:t>
      </w:r>
      <w:hyperlink r:id="rId362" w:tgtFrame="_new" w:history="1">
        <w:r w:rsidRPr="0079785E">
          <w:rPr>
            <w:rStyle w:val="Kpr"/>
            <w:rFonts w:eastAsiaTheme="majorEastAsia"/>
            <w:bCs/>
          </w:rPr>
          <w:t>https://www.theguardian.com/film/2024/may/20/substance-review</w:t>
        </w:r>
      </w:hyperlink>
    </w:p>
    <w:p w14:paraId="6A2B54B9" w14:textId="542F40CE" w:rsidR="00E359E0" w:rsidRPr="00D37D80" w:rsidRDefault="00D37D80" w:rsidP="00D37D80">
      <w:pPr>
        <w:autoSpaceDE/>
        <w:autoSpaceDN/>
      </w:pPr>
      <w:r>
        <w:br w:type="page"/>
      </w:r>
    </w:p>
    <w:p w14:paraId="1ADE9227" w14:textId="22C325E7" w:rsidR="00FA457D" w:rsidRPr="00B1089D" w:rsidRDefault="00FA457D" w:rsidP="004C7694">
      <w:pPr>
        <w:pStyle w:val="Tark"/>
      </w:pPr>
      <w:bookmarkStart w:id="246" w:name="_Toc192855268"/>
      <w:r w:rsidRPr="00B1089D">
        <w:lastRenderedPageBreak/>
        <w:t xml:space="preserve">Eğitimin Sosyolojik Temelleri Perspektiften </w:t>
      </w:r>
      <w:proofErr w:type="spellStart"/>
      <w:r w:rsidRPr="00B1089D">
        <w:t>Transhümanizm</w:t>
      </w:r>
      <w:proofErr w:type="spellEnd"/>
      <w:r w:rsidRPr="00B1089D">
        <w:t>: Teknolojik İlerleme ve Toplumsal Değişim</w:t>
      </w:r>
      <w:bookmarkEnd w:id="246"/>
    </w:p>
    <w:p w14:paraId="6799A706" w14:textId="77777777" w:rsidR="00FA457D" w:rsidRPr="00B1089D" w:rsidRDefault="00FA457D" w:rsidP="00FA457D">
      <w:pPr>
        <w:widowControl/>
        <w:jc w:val="center"/>
      </w:pPr>
    </w:p>
    <w:p w14:paraId="0CA98E9D" w14:textId="77777777" w:rsidR="00FA457D" w:rsidRPr="00B1089D" w:rsidRDefault="00FA457D" w:rsidP="00FA457D">
      <w:pPr>
        <w:widowControl/>
        <w:jc w:val="center"/>
      </w:pPr>
      <w:r w:rsidRPr="00B1089D">
        <w:t>Dr. Gökmen Güneş</w:t>
      </w:r>
      <w:r w:rsidRPr="00B1089D">
        <w:br/>
        <w:t xml:space="preserve">Kırşehir Ölçme Değerlendirme Merkezi/Sosyal Bilgiler Öğretmeni </w:t>
      </w:r>
      <w:r w:rsidRPr="00B1089D">
        <w:br/>
        <w:t>gokmengunes40@gmail.com</w:t>
      </w:r>
      <w:r w:rsidRPr="00B1089D">
        <w:br/>
        <w:t>0000-0001-8112-8062</w:t>
      </w:r>
    </w:p>
    <w:p w14:paraId="5FD0D30F" w14:textId="77777777" w:rsidR="00FA457D" w:rsidRPr="00B1089D" w:rsidRDefault="00FA457D" w:rsidP="00FA457D">
      <w:pPr>
        <w:widowControl/>
        <w:jc w:val="center"/>
      </w:pPr>
    </w:p>
    <w:p w14:paraId="693DBEDD" w14:textId="77777777" w:rsidR="00FA457D" w:rsidRPr="00B1089D" w:rsidRDefault="00FA457D" w:rsidP="00FA457D">
      <w:pPr>
        <w:widowControl/>
        <w:jc w:val="center"/>
      </w:pPr>
      <w:r w:rsidRPr="00B1089D">
        <w:rPr>
          <w:b/>
          <w:bCs/>
        </w:rPr>
        <w:t>Özet</w:t>
      </w:r>
    </w:p>
    <w:p w14:paraId="00D00B04" w14:textId="77777777" w:rsidR="00FA457D" w:rsidRPr="00B1089D" w:rsidRDefault="00FA457D" w:rsidP="00E359E0">
      <w:pPr>
        <w:widowControl/>
        <w:jc w:val="both"/>
      </w:pPr>
      <w:r w:rsidRPr="00B1089D">
        <w:t xml:space="preserve">Bu çalışma, </w:t>
      </w:r>
      <w:proofErr w:type="spellStart"/>
      <w:r w:rsidRPr="00B1089D">
        <w:t>transhümanizm</w:t>
      </w:r>
      <w:proofErr w:type="spellEnd"/>
      <w:r w:rsidRPr="00B1089D">
        <w:t xml:space="preserve"> akımının toplumsal değişimlere olan etkilerini sosyolojik açıdan ele almayı amaçlamaktadır. Çalışmadaki veriler derleme çalışması ile elde edilmiştir. Araştırmada </w:t>
      </w:r>
      <w:proofErr w:type="spellStart"/>
      <w:r w:rsidRPr="00B1089D">
        <w:t>transhümanizmin</w:t>
      </w:r>
      <w:proofErr w:type="spellEnd"/>
      <w:r w:rsidRPr="00B1089D">
        <w:t xml:space="preserve"> toplumsal yapı üzerindeki etkileri çeşitli boyutlarıyla incelenmiş ve bu bağlamda ortaya çıkabilecek toplumsal sorunlar analiz edilmiştir. Araştırma bulguları </w:t>
      </w:r>
      <w:proofErr w:type="spellStart"/>
      <w:r w:rsidRPr="00B1089D">
        <w:t>transhümanizmin</w:t>
      </w:r>
      <w:proofErr w:type="spellEnd"/>
      <w:r w:rsidRPr="00B1089D">
        <w:t xml:space="preserve">, toplumsal eşitsizlik ve sınıfsal farklılıklar, kültür, etik değerler, aile ve din gibi temel unsurlar etrafında şekillenen toplumsal sorunlara yol açabileceğini göstermektedir. Bu bağlamda, </w:t>
      </w:r>
      <w:proofErr w:type="spellStart"/>
      <w:r w:rsidRPr="00B1089D">
        <w:t>transhümanizme</w:t>
      </w:r>
      <w:proofErr w:type="spellEnd"/>
      <w:r w:rsidRPr="00B1089D">
        <w:t xml:space="preserve"> karşı en yaygın yaklaşım insanın mevcut bedeninin değerli olduğu ve bunun korunması gerektiği düşüncesidir. Araştırmada öne çıkan bir diğer bulgu ise </w:t>
      </w:r>
      <w:proofErr w:type="spellStart"/>
      <w:r w:rsidRPr="00B1089D">
        <w:t>transhümanist</w:t>
      </w:r>
      <w:proofErr w:type="spellEnd"/>
      <w:r w:rsidRPr="00B1089D">
        <w:t xml:space="preserve"> teknolojilere erişimdeki olası eşitsizliklerin sınıf farklılıklarını arttırabileceği ve toplumsal kaos çıkabileceği yönündedir. Ayrıca </w:t>
      </w:r>
      <w:proofErr w:type="spellStart"/>
      <w:r w:rsidRPr="00B1089D">
        <w:t>transhümanizmin</w:t>
      </w:r>
      <w:proofErr w:type="spellEnd"/>
      <w:r w:rsidRPr="00B1089D">
        <w:t xml:space="preserve"> ahlaki ve etik sorunlara yol açabileceği bu nedenle kişisel hak ve toplumsal normların düzenlenmesi gerekliliği tespit edilmiştir. Sonuç olarak mevcut çalışma </w:t>
      </w:r>
      <w:proofErr w:type="spellStart"/>
      <w:r w:rsidRPr="00B1089D">
        <w:t>transhümanizmin</w:t>
      </w:r>
      <w:proofErr w:type="spellEnd"/>
      <w:r w:rsidRPr="00B1089D">
        <w:t xml:space="preserve"> toplumsal sorunlara sebep olabileceğini insan doğasının korunması ile toplumsal bütünlüğün sağlanabileceğini ortaya koymaktadır. Toplumsal açıdan ortaya çıkabilecek problemlere karşı yeni girişimleri sağlamak için eğitim sosyolojisinin sorumlulukları açıklanarak bu tür toplumsal problemlerin eğitim aracılığıyla nasıl giderilebileceğinin cevabı eğitim sosyolojisi açısından değerlendirilmiştir. Bu bağlamda </w:t>
      </w:r>
      <w:proofErr w:type="spellStart"/>
      <w:r w:rsidRPr="00B1089D">
        <w:t>transhümanizmin</w:t>
      </w:r>
      <w:proofErr w:type="spellEnd"/>
      <w:r w:rsidRPr="00B1089D">
        <w:t xml:space="preserve"> gerçekleşmesi </w:t>
      </w:r>
      <w:proofErr w:type="gramStart"/>
      <w:r w:rsidRPr="00B1089D">
        <w:t>ile birlikte</w:t>
      </w:r>
      <w:proofErr w:type="gramEnd"/>
      <w:r w:rsidRPr="00B1089D">
        <w:t xml:space="preserve"> ortaya çıkabilecek sorunlara karşı eğitim kurumlarının, toplumsal normların aktarılmasında, etik sorunlarda, toplumsal aidiyet duygusunda, kültürel değerlerin aktarımında ve eşitsizliklerin giderilmesinde büyük sorumluluk sahibi olduğu tespit edilmiştir. Ayrıca bu tür olası problemlerin atlatılabilmesi için eğitim sosyolojisinin teknolojik yenilikler bağlamında ortaya çıkan veya çıkma olasılığı yüksek olan çalışmaları araştırarak toplumu bu tür olaylara hazırlaması önerilmiştir. Araştırma </w:t>
      </w:r>
      <w:proofErr w:type="spellStart"/>
      <w:r w:rsidRPr="00B1089D">
        <w:t>transhümanizmle</w:t>
      </w:r>
      <w:proofErr w:type="spellEnd"/>
      <w:r w:rsidRPr="00B1089D">
        <w:t xml:space="preserve"> ilgili sosyolojik tartışmalara katkı sağlayarak gelecekteki teknolojik yeniliklere yönelik farkındalığı artırmayı amaçlamaktadır.</w:t>
      </w:r>
    </w:p>
    <w:p w14:paraId="48434D0D" w14:textId="77777777" w:rsidR="00FA457D" w:rsidRPr="00B1089D" w:rsidRDefault="00FA457D" w:rsidP="00E359E0">
      <w:pPr>
        <w:widowControl/>
        <w:jc w:val="both"/>
      </w:pPr>
    </w:p>
    <w:p w14:paraId="58EFD931" w14:textId="77777777" w:rsidR="00FA457D" w:rsidRDefault="00FA457D" w:rsidP="00E359E0">
      <w:pPr>
        <w:widowControl/>
        <w:jc w:val="both"/>
      </w:pPr>
      <w:r w:rsidRPr="00B1089D">
        <w:rPr>
          <w:b/>
          <w:bCs/>
        </w:rPr>
        <w:t xml:space="preserve">Anahtar </w:t>
      </w:r>
      <w:r w:rsidRPr="00D10870">
        <w:rPr>
          <w:b/>
          <w:bCs/>
        </w:rPr>
        <w:t>Kelimeler</w:t>
      </w:r>
      <w:r w:rsidRPr="00B1089D">
        <w:rPr>
          <w:b/>
          <w:bCs/>
        </w:rPr>
        <w:t>:</w:t>
      </w:r>
      <w:r w:rsidRPr="00B1089D">
        <w:t xml:space="preserve"> Sosyoloji, Toplumsal Değişim, </w:t>
      </w:r>
      <w:proofErr w:type="spellStart"/>
      <w:r w:rsidRPr="00B1089D">
        <w:t>Transhümanizm</w:t>
      </w:r>
      <w:proofErr w:type="spellEnd"/>
      <w:r w:rsidRPr="00B1089D">
        <w:t>, Teknoloji</w:t>
      </w:r>
    </w:p>
    <w:p w14:paraId="046C2092" w14:textId="77777777" w:rsidR="00FA457D" w:rsidRPr="00B1089D" w:rsidRDefault="00FA457D" w:rsidP="00FA457D">
      <w:pPr>
        <w:widowControl/>
      </w:pPr>
    </w:p>
    <w:p w14:paraId="432A2681" w14:textId="77777777" w:rsidR="00FA457D" w:rsidRPr="00B1089D" w:rsidRDefault="00FA457D" w:rsidP="00E359E0">
      <w:pPr>
        <w:widowControl/>
        <w:jc w:val="center"/>
      </w:pPr>
      <w:proofErr w:type="spellStart"/>
      <w:r w:rsidRPr="00B1089D">
        <w:rPr>
          <w:b/>
          <w:bCs/>
        </w:rPr>
        <w:t>Abstract</w:t>
      </w:r>
      <w:proofErr w:type="spellEnd"/>
    </w:p>
    <w:p w14:paraId="4313F5CF" w14:textId="77777777" w:rsidR="00FA457D" w:rsidRPr="00B1089D" w:rsidRDefault="00FA457D" w:rsidP="00E359E0">
      <w:pPr>
        <w:widowControl/>
        <w:jc w:val="both"/>
      </w:pP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impacts</w:t>
      </w:r>
      <w:proofErr w:type="spellEnd"/>
      <w:r w:rsidRPr="00B1089D">
        <w:t xml:space="preserve"> of </w:t>
      </w:r>
      <w:proofErr w:type="spellStart"/>
      <w:r w:rsidRPr="00B1089D">
        <w:t>the</w:t>
      </w:r>
      <w:proofErr w:type="spellEnd"/>
      <w:r w:rsidRPr="00B1089D">
        <w:t xml:space="preserve"> </w:t>
      </w:r>
      <w:proofErr w:type="spellStart"/>
      <w:r w:rsidRPr="00B1089D">
        <w:t>transhumanism</w:t>
      </w:r>
      <w:proofErr w:type="spellEnd"/>
      <w:r w:rsidRPr="00B1089D">
        <w:t xml:space="preserve"> </w:t>
      </w:r>
      <w:proofErr w:type="spellStart"/>
      <w:r w:rsidRPr="00B1089D">
        <w:t>movement</w:t>
      </w:r>
      <w:proofErr w:type="spellEnd"/>
      <w:r w:rsidRPr="00B1089D">
        <w:t xml:space="preserve"> on </w:t>
      </w:r>
      <w:proofErr w:type="spellStart"/>
      <w:r w:rsidRPr="00B1089D">
        <w:t>social</w:t>
      </w:r>
      <w:proofErr w:type="spellEnd"/>
      <w:r w:rsidRPr="00B1089D">
        <w:t xml:space="preserve"> </w:t>
      </w:r>
      <w:proofErr w:type="spellStart"/>
      <w:r w:rsidRPr="00B1089D">
        <w:t>changes</w:t>
      </w:r>
      <w:proofErr w:type="spellEnd"/>
      <w:r w:rsidRPr="00B1089D">
        <w:t xml:space="preserve"> </w:t>
      </w:r>
      <w:proofErr w:type="spellStart"/>
      <w:r w:rsidRPr="00B1089D">
        <w:t>from</w:t>
      </w:r>
      <w:proofErr w:type="spellEnd"/>
      <w:r w:rsidRPr="00B1089D">
        <w:t xml:space="preserve"> a </w:t>
      </w:r>
      <w:proofErr w:type="spellStart"/>
      <w:r w:rsidRPr="00B1089D">
        <w:t>sociological</w:t>
      </w:r>
      <w:proofErr w:type="spellEnd"/>
      <w:r w:rsidRPr="00B1089D">
        <w:t xml:space="preserve"> </w:t>
      </w:r>
      <w:proofErr w:type="spellStart"/>
      <w:r w:rsidRPr="00B1089D">
        <w:t>perspective</w:t>
      </w:r>
      <w:proofErr w:type="spellEnd"/>
      <w:r w:rsidRPr="00B1089D">
        <w:t xml:space="preserve">. </w:t>
      </w:r>
      <w:proofErr w:type="spellStart"/>
      <w:r w:rsidRPr="00B1089D">
        <w:t>The</w:t>
      </w:r>
      <w:proofErr w:type="spellEnd"/>
      <w:r w:rsidRPr="00B1089D">
        <w:t xml:space="preserve"> </w:t>
      </w:r>
      <w:proofErr w:type="gramStart"/>
      <w:r w:rsidRPr="00B1089D">
        <w:t>data</w:t>
      </w:r>
      <w:proofErr w:type="gramEnd"/>
      <w:r w:rsidRPr="00B1089D">
        <w:t xml:space="preserve"> in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were</w:t>
      </w:r>
      <w:proofErr w:type="spellEnd"/>
      <w:r w:rsidRPr="00B1089D">
        <w:t xml:space="preserve"> </w:t>
      </w:r>
      <w:proofErr w:type="spellStart"/>
      <w:r w:rsidRPr="00B1089D">
        <w:t>obtained</w:t>
      </w:r>
      <w:proofErr w:type="spellEnd"/>
      <w:r w:rsidRPr="00B1089D">
        <w:t xml:space="preserve"> </w:t>
      </w:r>
      <w:proofErr w:type="spellStart"/>
      <w:r w:rsidRPr="00B1089D">
        <w:t>through</w:t>
      </w:r>
      <w:proofErr w:type="spellEnd"/>
      <w:r w:rsidRPr="00B1089D">
        <w:t xml:space="preserve"> a </w:t>
      </w:r>
      <w:proofErr w:type="spellStart"/>
      <w:r w:rsidRPr="00B1089D">
        <w:t>literature</w:t>
      </w:r>
      <w:proofErr w:type="spellEnd"/>
      <w:r w:rsidRPr="00B1089D">
        <w:t xml:space="preserve"> </w:t>
      </w:r>
      <w:proofErr w:type="spellStart"/>
      <w:r w:rsidRPr="00B1089D">
        <w:t>review</w:t>
      </w:r>
      <w:proofErr w:type="spellEnd"/>
      <w:r w:rsidRPr="00B1089D">
        <w:t xml:space="preserve">.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investigates</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transhumanism</w:t>
      </w:r>
      <w:proofErr w:type="spellEnd"/>
      <w:r w:rsidRPr="00B1089D">
        <w:t xml:space="preserve"> on </w:t>
      </w:r>
      <w:proofErr w:type="spellStart"/>
      <w:r w:rsidRPr="00B1089D">
        <w:t>social</w:t>
      </w:r>
      <w:proofErr w:type="spellEnd"/>
      <w:r w:rsidRPr="00B1089D">
        <w:t xml:space="preserve"> </w:t>
      </w:r>
      <w:proofErr w:type="spellStart"/>
      <w:r w:rsidRPr="00B1089D">
        <w:t>structure</w:t>
      </w:r>
      <w:proofErr w:type="spellEnd"/>
      <w:r w:rsidRPr="00B1089D">
        <w:t xml:space="preserve"> </w:t>
      </w:r>
      <w:proofErr w:type="spellStart"/>
      <w:r w:rsidRPr="00B1089D">
        <w:t>from</w:t>
      </w:r>
      <w:proofErr w:type="spellEnd"/>
      <w:r w:rsidRPr="00B1089D">
        <w:t xml:space="preserve"> </w:t>
      </w:r>
      <w:proofErr w:type="spellStart"/>
      <w:r w:rsidRPr="00B1089D">
        <w:t>various</w:t>
      </w:r>
      <w:proofErr w:type="spellEnd"/>
      <w:r w:rsidRPr="00B1089D">
        <w:t xml:space="preserve"> </w:t>
      </w:r>
      <w:proofErr w:type="spellStart"/>
      <w:r w:rsidRPr="00B1089D">
        <w:t>dimensions</w:t>
      </w:r>
      <w:proofErr w:type="spellEnd"/>
      <w:r w:rsidRPr="00B1089D">
        <w:t xml:space="preserve"> </w:t>
      </w:r>
      <w:proofErr w:type="spellStart"/>
      <w:r w:rsidRPr="00B1089D">
        <w:t>and</w:t>
      </w:r>
      <w:proofErr w:type="spellEnd"/>
      <w:r w:rsidRPr="00B1089D">
        <w:t xml:space="preserve"> </w:t>
      </w:r>
      <w:proofErr w:type="spellStart"/>
      <w:r w:rsidRPr="00B1089D">
        <w:t>analyzes</w:t>
      </w:r>
      <w:proofErr w:type="spellEnd"/>
      <w:r w:rsidRPr="00B1089D">
        <w:t xml:space="preserve"> </w:t>
      </w:r>
      <w:proofErr w:type="spellStart"/>
      <w:r w:rsidRPr="00B1089D">
        <w:t>the</w:t>
      </w:r>
      <w:proofErr w:type="spellEnd"/>
      <w:r w:rsidRPr="00B1089D">
        <w:t xml:space="preserve"> </w:t>
      </w:r>
      <w:proofErr w:type="spellStart"/>
      <w:r w:rsidRPr="00B1089D">
        <w:t>potential</w:t>
      </w:r>
      <w:proofErr w:type="spellEnd"/>
      <w:r w:rsidRPr="00B1089D">
        <w:t xml:space="preserve"> </w:t>
      </w:r>
      <w:proofErr w:type="spellStart"/>
      <w:r w:rsidRPr="00B1089D">
        <w:t>social</w:t>
      </w:r>
      <w:proofErr w:type="spellEnd"/>
      <w:r w:rsidRPr="00B1089D">
        <w:t xml:space="preserve"> </w:t>
      </w:r>
      <w:proofErr w:type="spellStart"/>
      <w:r w:rsidRPr="00B1089D">
        <w:t>issues</w:t>
      </w:r>
      <w:proofErr w:type="spellEnd"/>
      <w:r w:rsidRPr="00B1089D">
        <w:t xml:space="preserve"> </w:t>
      </w:r>
      <w:proofErr w:type="spellStart"/>
      <w:r w:rsidRPr="00B1089D">
        <w:t>that</w:t>
      </w:r>
      <w:proofErr w:type="spellEnd"/>
      <w:r w:rsidRPr="00B1089D">
        <w:t xml:space="preserve"> </w:t>
      </w:r>
      <w:proofErr w:type="spellStart"/>
      <w:r w:rsidRPr="00B1089D">
        <w:t>may</w:t>
      </w:r>
      <w:proofErr w:type="spellEnd"/>
      <w:r w:rsidRPr="00B1089D">
        <w:t xml:space="preserve"> </w:t>
      </w:r>
      <w:proofErr w:type="spellStart"/>
      <w:r w:rsidRPr="00B1089D">
        <w:t>arise</w:t>
      </w:r>
      <w:proofErr w:type="spellEnd"/>
      <w:r w:rsidRPr="00B1089D">
        <w:t xml:space="preserve"> in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w:t>
      </w:r>
      <w:proofErr w:type="spellStart"/>
      <w:r w:rsidRPr="00B1089D">
        <w:t>findings</w:t>
      </w:r>
      <w:proofErr w:type="spellEnd"/>
      <w:r w:rsidRPr="00B1089D">
        <w:t xml:space="preserve"> </w:t>
      </w:r>
      <w:proofErr w:type="spellStart"/>
      <w:r w:rsidRPr="00B1089D">
        <w:t>indicate</w:t>
      </w:r>
      <w:proofErr w:type="spellEnd"/>
      <w:r w:rsidRPr="00B1089D">
        <w:t xml:space="preserve"> </w:t>
      </w:r>
      <w:proofErr w:type="spellStart"/>
      <w:r w:rsidRPr="00B1089D">
        <w:t>that</w:t>
      </w:r>
      <w:proofErr w:type="spellEnd"/>
      <w:r w:rsidRPr="00B1089D">
        <w:t xml:space="preserve"> </w:t>
      </w:r>
      <w:proofErr w:type="spellStart"/>
      <w:r w:rsidRPr="00B1089D">
        <w:t>transhumanism</w:t>
      </w:r>
      <w:proofErr w:type="spellEnd"/>
      <w:r w:rsidRPr="00B1089D">
        <w:t xml:space="preserve"> </w:t>
      </w:r>
      <w:proofErr w:type="spellStart"/>
      <w:r w:rsidRPr="00B1089D">
        <w:t>may</w:t>
      </w:r>
      <w:proofErr w:type="spellEnd"/>
      <w:r w:rsidRPr="00B1089D">
        <w:t xml:space="preserve">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social</w:t>
      </w:r>
      <w:proofErr w:type="spellEnd"/>
      <w:r w:rsidRPr="00B1089D">
        <w:t xml:space="preserve"> </w:t>
      </w:r>
      <w:proofErr w:type="spellStart"/>
      <w:r w:rsidRPr="00B1089D">
        <w:t>problems</w:t>
      </w:r>
      <w:proofErr w:type="spellEnd"/>
      <w:r w:rsidRPr="00B1089D">
        <w:t xml:space="preserve"> </w:t>
      </w:r>
      <w:proofErr w:type="spellStart"/>
      <w:r w:rsidRPr="00B1089D">
        <w:t>shaped</w:t>
      </w:r>
      <w:proofErr w:type="spellEnd"/>
      <w:r w:rsidRPr="00B1089D">
        <w:t xml:space="preserve"> </w:t>
      </w:r>
      <w:proofErr w:type="spellStart"/>
      <w:r w:rsidRPr="00B1089D">
        <w:t>around</w:t>
      </w:r>
      <w:proofErr w:type="spellEnd"/>
      <w:r w:rsidRPr="00B1089D">
        <w:t xml:space="preserve"> </w:t>
      </w:r>
      <w:proofErr w:type="spellStart"/>
      <w:r w:rsidRPr="00B1089D">
        <w:t>fundamental</w:t>
      </w:r>
      <w:proofErr w:type="spellEnd"/>
      <w:r w:rsidRPr="00B1089D">
        <w:t xml:space="preserve"> </w:t>
      </w:r>
      <w:proofErr w:type="spellStart"/>
      <w:r w:rsidRPr="00B1089D">
        <w:t>elements</w:t>
      </w:r>
      <w:proofErr w:type="spellEnd"/>
      <w:r w:rsidRPr="00B1089D">
        <w:t xml:space="preserve"> </w:t>
      </w:r>
      <w:proofErr w:type="spellStart"/>
      <w:r w:rsidRPr="00B1089D">
        <w:t>such</w:t>
      </w:r>
      <w:proofErr w:type="spellEnd"/>
      <w:r w:rsidRPr="00B1089D">
        <w:t xml:space="preserve"> as </w:t>
      </w:r>
      <w:proofErr w:type="spellStart"/>
      <w:r w:rsidRPr="00B1089D">
        <w:t>social</w:t>
      </w:r>
      <w:proofErr w:type="spellEnd"/>
      <w:r w:rsidRPr="00B1089D">
        <w:t xml:space="preserve"> </w:t>
      </w:r>
      <w:proofErr w:type="spellStart"/>
      <w:r w:rsidRPr="00B1089D">
        <w:t>inequality</w:t>
      </w:r>
      <w:proofErr w:type="spellEnd"/>
      <w:r w:rsidRPr="00B1089D">
        <w:t xml:space="preserve"> </w:t>
      </w:r>
      <w:proofErr w:type="spellStart"/>
      <w:r w:rsidRPr="00B1089D">
        <w:t>and</w:t>
      </w:r>
      <w:proofErr w:type="spellEnd"/>
      <w:r w:rsidRPr="00B1089D">
        <w:t xml:space="preserve"> </w:t>
      </w:r>
      <w:proofErr w:type="spellStart"/>
      <w:r w:rsidRPr="00B1089D">
        <w:t>class</w:t>
      </w:r>
      <w:proofErr w:type="spellEnd"/>
      <w:r w:rsidRPr="00B1089D">
        <w:t xml:space="preserve"> </w:t>
      </w:r>
      <w:proofErr w:type="spellStart"/>
      <w:r w:rsidRPr="00B1089D">
        <w:t>differences</w:t>
      </w:r>
      <w:proofErr w:type="spellEnd"/>
      <w:r w:rsidRPr="00B1089D">
        <w:t xml:space="preserve">, </w:t>
      </w:r>
      <w:proofErr w:type="spellStart"/>
      <w:r w:rsidRPr="00B1089D">
        <w:t>culture</w:t>
      </w:r>
      <w:proofErr w:type="spellEnd"/>
      <w:r w:rsidRPr="00B1089D">
        <w:t xml:space="preserve">, </w:t>
      </w:r>
      <w:proofErr w:type="spellStart"/>
      <w:r w:rsidRPr="00B1089D">
        <w:t>ethical</w:t>
      </w:r>
      <w:proofErr w:type="spellEnd"/>
      <w:r w:rsidRPr="00B1089D">
        <w:t xml:space="preserve"> </w:t>
      </w:r>
      <w:proofErr w:type="spellStart"/>
      <w:r w:rsidRPr="00B1089D">
        <w:t>values</w:t>
      </w:r>
      <w:proofErr w:type="spellEnd"/>
      <w:r w:rsidRPr="00B1089D">
        <w:t xml:space="preserve">, </w:t>
      </w:r>
      <w:proofErr w:type="spellStart"/>
      <w:r w:rsidRPr="00B1089D">
        <w:t>family</w:t>
      </w:r>
      <w:proofErr w:type="spellEnd"/>
      <w:r w:rsidRPr="00B1089D">
        <w:t xml:space="preserve">, </w:t>
      </w:r>
      <w:proofErr w:type="spellStart"/>
      <w:r w:rsidRPr="00B1089D">
        <w:t>and</w:t>
      </w:r>
      <w:proofErr w:type="spellEnd"/>
      <w:r w:rsidRPr="00B1089D">
        <w:t xml:space="preserve"> </w:t>
      </w:r>
      <w:proofErr w:type="spellStart"/>
      <w:r w:rsidRPr="00B1089D">
        <w:t>religion</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regard</w:t>
      </w:r>
      <w:proofErr w:type="spellEnd"/>
      <w:r w:rsidRPr="00B1089D">
        <w:t xml:space="preserve">, </w:t>
      </w:r>
      <w:proofErr w:type="spellStart"/>
      <w:r w:rsidRPr="00B1089D">
        <w:t>the</w:t>
      </w:r>
      <w:proofErr w:type="spellEnd"/>
      <w:r w:rsidRPr="00B1089D">
        <w:t xml:space="preserve"> </w:t>
      </w:r>
      <w:proofErr w:type="spellStart"/>
      <w:r w:rsidRPr="00B1089D">
        <w:t>most</w:t>
      </w:r>
      <w:proofErr w:type="spellEnd"/>
      <w:r w:rsidRPr="00B1089D">
        <w:t xml:space="preserve"> </w:t>
      </w:r>
      <w:proofErr w:type="spellStart"/>
      <w:r w:rsidRPr="00B1089D">
        <w:t>common</w:t>
      </w:r>
      <w:proofErr w:type="spellEnd"/>
      <w:r w:rsidRPr="00B1089D">
        <w:t xml:space="preserve"> </w:t>
      </w:r>
      <w:proofErr w:type="spellStart"/>
      <w:r w:rsidRPr="00B1089D">
        <w:t>approach</w:t>
      </w:r>
      <w:proofErr w:type="spellEnd"/>
      <w:r w:rsidRPr="00B1089D">
        <w:t xml:space="preserve"> </w:t>
      </w:r>
      <w:proofErr w:type="spellStart"/>
      <w:r w:rsidRPr="00B1089D">
        <w:t>to</w:t>
      </w:r>
      <w:proofErr w:type="spellEnd"/>
      <w:r w:rsidRPr="00B1089D">
        <w:t xml:space="preserve"> </w:t>
      </w:r>
      <w:proofErr w:type="spellStart"/>
      <w:r w:rsidRPr="00B1089D">
        <w:t>transhumanism</w:t>
      </w:r>
      <w:proofErr w:type="spellEnd"/>
      <w:r w:rsidRPr="00B1089D">
        <w:t xml:space="preserve"> is </w:t>
      </w:r>
      <w:proofErr w:type="spellStart"/>
      <w:r w:rsidRPr="00B1089D">
        <w:t>the</w:t>
      </w:r>
      <w:proofErr w:type="spellEnd"/>
      <w:r w:rsidRPr="00B1089D">
        <w:t xml:space="preserve"> </w:t>
      </w:r>
      <w:proofErr w:type="spellStart"/>
      <w:r w:rsidRPr="00B1089D">
        <w:t>belief</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human</w:t>
      </w:r>
      <w:proofErr w:type="spellEnd"/>
      <w:r w:rsidRPr="00B1089D">
        <w:t xml:space="preserve"> body in </w:t>
      </w:r>
      <w:proofErr w:type="spellStart"/>
      <w:r w:rsidRPr="00B1089D">
        <w:t>its</w:t>
      </w:r>
      <w:proofErr w:type="spellEnd"/>
      <w:r w:rsidRPr="00B1089D">
        <w:t xml:space="preserve"> </w:t>
      </w:r>
      <w:proofErr w:type="spellStart"/>
      <w:r w:rsidRPr="00B1089D">
        <w:t>current</w:t>
      </w:r>
      <w:proofErr w:type="spellEnd"/>
      <w:r w:rsidRPr="00B1089D">
        <w:t xml:space="preserve"> form is </w:t>
      </w:r>
      <w:proofErr w:type="spellStart"/>
      <w:r w:rsidRPr="00B1089D">
        <w:t>valuable</w:t>
      </w:r>
      <w:proofErr w:type="spellEnd"/>
      <w:r w:rsidRPr="00B1089D">
        <w:t xml:space="preserve"> </w:t>
      </w:r>
      <w:proofErr w:type="spellStart"/>
      <w:r w:rsidRPr="00B1089D">
        <w:t>and</w:t>
      </w:r>
      <w:proofErr w:type="spellEnd"/>
      <w:r w:rsidRPr="00B1089D">
        <w:t xml:space="preserve"> </w:t>
      </w:r>
      <w:proofErr w:type="spellStart"/>
      <w:r w:rsidRPr="00B1089D">
        <w:t>should</w:t>
      </w:r>
      <w:proofErr w:type="spellEnd"/>
      <w:r w:rsidRPr="00B1089D">
        <w:t xml:space="preserve"> be </w:t>
      </w:r>
      <w:proofErr w:type="spellStart"/>
      <w:r w:rsidRPr="00B1089D">
        <w:t>preserved</w:t>
      </w:r>
      <w:proofErr w:type="spellEnd"/>
      <w:r w:rsidRPr="00B1089D">
        <w:t xml:space="preserve">. </w:t>
      </w:r>
      <w:proofErr w:type="spellStart"/>
      <w:r w:rsidRPr="00B1089D">
        <w:t>Another</w:t>
      </w:r>
      <w:proofErr w:type="spellEnd"/>
      <w:r w:rsidRPr="00B1089D">
        <w:t xml:space="preserve"> </w:t>
      </w:r>
      <w:proofErr w:type="spellStart"/>
      <w:r w:rsidRPr="00B1089D">
        <w:t>prominent</w:t>
      </w:r>
      <w:proofErr w:type="spellEnd"/>
      <w:r w:rsidRPr="00B1089D">
        <w:t xml:space="preserve"> </w:t>
      </w:r>
      <w:proofErr w:type="spellStart"/>
      <w:r w:rsidRPr="00B1089D">
        <w:t>finding</w:t>
      </w:r>
      <w:proofErr w:type="spellEnd"/>
      <w:r w:rsidRPr="00B1089D">
        <w:t xml:space="preserve"> of </w:t>
      </w:r>
      <w:proofErr w:type="spellStart"/>
      <w:r w:rsidRPr="00B1089D">
        <w:t>the</w:t>
      </w:r>
      <w:proofErr w:type="spellEnd"/>
      <w:r w:rsidRPr="00B1089D">
        <w:t xml:space="preserve"> </w:t>
      </w:r>
      <w:proofErr w:type="spellStart"/>
      <w:r w:rsidRPr="00B1089D">
        <w:t>study</w:t>
      </w:r>
      <w:proofErr w:type="spellEnd"/>
      <w:r w:rsidRPr="00B1089D">
        <w:t xml:space="preserve"> is </w:t>
      </w:r>
      <w:proofErr w:type="spellStart"/>
      <w:r w:rsidRPr="00B1089D">
        <w:t>that</w:t>
      </w:r>
      <w:proofErr w:type="spellEnd"/>
      <w:r w:rsidRPr="00B1089D">
        <w:t xml:space="preserve"> </w:t>
      </w:r>
      <w:proofErr w:type="spellStart"/>
      <w:r w:rsidRPr="00B1089D">
        <w:t>possible</w:t>
      </w:r>
      <w:proofErr w:type="spellEnd"/>
      <w:r w:rsidRPr="00B1089D">
        <w:t xml:space="preserve"> </w:t>
      </w:r>
      <w:proofErr w:type="spellStart"/>
      <w:r w:rsidRPr="00B1089D">
        <w:t>inequalities</w:t>
      </w:r>
      <w:proofErr w:type="spellEnd"/>
      <w:r w:rsidRPr="00B1089D">
        <w:t xml:space="preserve"> in </w:t>
      </w:r>
      <w:proofErr w:type="spellStart"/>
      <w:r w:rsidRPr="00B1089D">
        <w:t>access</w:t>
      </w:r>
      <w:proofErr w:type="spellEnd"/>
      <w:r w:rsidRPr="00B1089D">
        <w:t xml:space="preserve"> </w:t>
      </w:r>
      <w:proofErr w:type="spellStart"/>
      <w:r w:rsidRPr="00B1089D">
        <w:t>to</w:t>
      </w:r>
      <w:proofErr w:type="spellEnd"/>
      <w:r w:rsidRPr="00B1089D">
        <w:t xml:space="preserve"> </w:t>
      </w:r>
      <w:proofErr w:type="spellStart"/>
      <w:r w:rsidRPr="00B1089D">
        <w:t>transhumanist</w:t>
      </w:r>
      <w:proofErr w:type="spellEnd"/>
      <w:r w:rsidRPr="00B1089D">
        <w:t xml:space="preserve"> </w:t>
      </w:r>
      <w:proofErr w:type="spellStart"/>
      <w:r w:rsidRPr="00B1089D">
        <w:t>technologies</w:t>
      </w:r>
      <w:proofErr w:type="spellEnd"/>
      <w:r w:rsidRPr="00B1089D">
        <w:t xml:space="preserve"> </w:t>
      </w:r>
      <w:proofErr w:type="spellStart"/>
      <w:r w:rsidRPr="00B1089D">
        <w:t>may</w:t>
      </w:r>
      <w:proofErr w:type="spellEnd"/>
      <w:r w:rsidRPr="00B1089D">
        <w:t xml:space="preserve"> </w:t>
      </w:r>
      <w:proofErr w:type="spellStart"/>
      <w:r w:rsidRPr="00B1089D">
        <w:t>exacerbate</w:t>
      </w:r>
      <w:proofErr w:type="spellEnd"/>
      <w:r w:rsidRPr="00B1089D">
        <w:t xml:space="preserve"> </w:t>
      </w:r>
      <w:proofErr w:type="spellStart"/>
      <w:r w:rsidRPr="00B1089D">
        <w:t>class</w:t>
      </w:r>
      <w:proofErr w:type="spellEnd"/>
      <w:r w:rsidRPr="00B1089D">
        <w:t xml:space="preserve"> </w:t>
      </w:r>
      <w:proofErr w:type="spellStart"/>
      <w:r w:rsidRPr="00B1089D">
        <w:t>differences</w:t>
      </w:r>
      <w:proofErr w:type="spellEnd"/>
      <w:r w:rsidRPr="00B1089D">
        <w:t xml:space="preserve"> </w:t>
      </w:r>
      <w:proofErr w:type="spellStart"/>
      <w:r w:rsidRPr="00B1089D">
        <w:t>and</w:t>
      </w:r>
      <w:proofErr w:type="spellEnd"/>
      <w:r w:rsidRPr="00B1089D">
        <w:t xml:space="preserve">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social</w:t>
      </w:r>
      <w:proofErr w:type="spellEnd"/>
      <w:r w:rsidRPr="00B1089D">
        <w:t xml:space="preserve"> </w:t>
      </w:r>
      <w:proofErr w:type="spellStart"/>
      <w:r w:rsidRPr="00B1089D">
        <w:t>chaos</w:t>
      </w:r>
      <w:proofErr w:type="spellEnd"/>
      <w:r w:rsidRPr="00B1089D">
        <w:t xml:space="preserve">. </w:t>
      </w:r>
      <w:proofErr w:type="spellStart"/>
      <w:r w:rsidRPr="00B1089D">
        <w:t>Additionally</w:t>
      </w:r>
      <w:proofErr w:type="spellEnd"/>
      <w:r w:rsidRPr="00B1089D">
        <w:t xml:space="preserve">, it has </w:t>
      </w:r>
      <w:proofErr w:type="spellStart"/>
      <w:r w:rsidRPr="00B1089D">
        <w:t>been</w:t>
      </w:r>
      <w:proofErr w:type="spellEnd"/>
      <w:r w:rsidRPr="00B1089D">
        <w:t xml:space="preserve"> </w:t>
      </w:r>
      <w:proofErr w:type="spellStart"/>
      <w:r w:rsidRPr="00B1089D">
        <w:t>determined</w:t>
      </w:r>
      <w:proofErr w:type="spellEnd"/>
      <w:r w:rsidRPr="00B1089D">
        <w:t xml:space="preserve"> </w:t>
      </w:r>
      <w:proofErr w:type="spellStart"/>
      <w:r w:rsidRPr="00B1089D">
        <w:t>that</w:t>
      </w:r>
      <w:proofErr w:type="spellEnd"/>
      <w:r w:rsidRPr="00B1089D">
        <w:t xml:space="preserve"> </w:t>
      </w:r>
      <w:proofErr w:type="spellStart"/>
      <w:r w:rsidRPr="00B1089D">
        <w:t>transhumanism</w:t>
      </w:r>
      <w:proofErr w:type="spellEnd"/>
      <w:r w:rsidRPr="00B1089D">
        <w:t xml:space="preserve"> </w:t>
      </w:r>
      <w:proofErr w:type="spellStart"/>
      <w:r w:rsidRPr="00B1089D">
        <w:lastRenderedPageBreak/>
        <w:t>could</w:t>
      </w:r>
      <w:proofErr w:type="spellEnd"/>
      <w:r w:rsidRPr="00B1089D">
        <w:t xml:space="preserve"> </w:t>
      </w:r>
      <w:proofErr w:type="spellStart"/>
      <w:r w:rsidRPr="00B1089D">
        <w:t>give</w:t>
      </w:r>
      <w:proofErr w:type="spellEnd"/>
      <w:r w:rsidRPr="00B1089D">
        <w:t xml:space="preserve"> </w:t>
      </w:r>
      <w:proofErr w:type="spellStart"/>
      <w:r w:rsidRPr="00B1089D">
        <w:t>rise</w:t>
      </w:r>
      <w:proofErr w:type="spellEnd"/>
      <w:r w:rsidRPr="00B1089D">
        <w:t xml:space="preserve"> </w:t>
      </w:r>
      <w:proofErr w:type="spellStart"/>
      <w:r w:rsidRPr="00B1089D">
        <w:t>to</w:t>
      </w:r>
      <w:proofErr w:type="spellEnd"/>
      <w:r w:rsidRPr="00B1089D">
        <w:t xml:space="preserve"> moral </w:t>
      </w:r>
      <w:proofErr w:type="spellStart"/>
      <w:r w:rsidRPr="00B1089D">
        <w:t>and</w:t>
      </w:r>
      <w:proofErr w:type="spellEnd"/>
      <w:r w:rsidRPr="00B1089D">
        <w:t xml:space="preserve"> </w:t>
      </w:r>
      <w:proofErr w:type="spellStart"/>
      <w:r w:rsidRPr="00B1089D">
        <w:t>ethical</w:t>
      </w:r>
      <w:proofErr w:type="spellEnd"/>
      <w:r w:rsidRPr="00B1089D">
        <w:t xml:space="preserve"> </w:t>
      </w:r>
      <w:proofErr w:type="spellStart"/>
      <w:r w:rsidRPr="00B1089D">
        <w:t>issues</w:t>
      </w:r>
      <w:proofErr w:type="spellEnd"/>
      <w:r w:rsidRPr="00B1089D">
        <w:t xml:space="preserve">, </w:t>
      </w:r>
      <w:proofErr w:type="spellStart"/>
      <w:r w:rsidRPr="00B1089D">
        <w:t>making</w:t>
      </w:r>
      <w:proofErr w:type="spellEnd"/>
      <w:r w:rsidRPr="00B1089D">
        <w:t xml:space="preserve"> it </w:t>
      </w:r>
      <w:proofErr w:type="spellStart"/>
      <w:r w:rsidRPr="00B1089D">
        <w:t>necessary</w:t>
      </w:r>
      <w:proofErr w:type="spellEnd"/>
      <w:r w:rsidRPr="00B1089D">
        <w:t xml:space="preserve"> </w:t>
      </w:r>
      <w:proofErr w:type="spellStart"/>
      <w:r w:rsidRPr="00B1089D">
        <w:t>to</w:t>
      </w:r>
      <w:proofErr w:type="spellEnd"/>
      <w:r w:rsidRPr="00B1089D">
        <w:t xml:space="preserve"> </w:t>
      </w:r>
      <w:proofErr w:type="spellStart"/>
      <w:r w:rsidRPr="00B1089D">
        <w:t>regulate</w:t>
      </w:r>
      <w:proofErr w:type="spellEnd"/>
      <w:r w:rsidRPr="00B1089D">
        <w:t xml:space="preserve"> </w:t>
      </w:r>
      <w:proofErr w:type="spellStart"/>
      <w:r w:rsidRPr="00B1089D">
        <w:t>personal</w:t>
      </w:r>
      <w:proofErr w:type="spellEnd"/>
      <w:r w:rsidRPr="00B1089D">
        <w:t xml:space="preserve"> </w:t>
      </w:r>
      <w:proofErr w:type="spellStart"/>
      <w:r w:rsidRPr="00B1089D">
        <w:t>rights</w:t>
      </w:r>
      <w:proofErr w:type="spellEnd"/>
      <w:r w:rsidRPr="00B1089D">
        <w:t xml:space="preserve"> </w:t>
      </w:r>
      <w:proofErr w:type="spellStart"/>
      <w:r w:rsidRPr="00B1089D">
        <w:t>and</w:t>
      </w:r>
      <w:proofErr w:type="spellEnd"/>
      <w:r w:rsidRPr="00B1089D">
        <w:t xml:space="preserve"> </w:t>
      </w:r>
      <w:proofErr w:type="spellStart"/>
      <w:r w:rsidRPr="00B1089D">
        <w:t>social</w:t>
      </w:r>
      <w:proofErr w:type="spellEnd"/>
      <w:r w:rsidRPr="00B1089D">
        <w:t xml:space="preserve"> </w:t>
      </w:r>
      <w:proofErr w:type="spellStart"/>
      <w:r w:rsidRPr="00B1089D">
        <w:t>norms</w:t>
      </w:r>
      <w:proofErr w:type="spellEnd"/>
      <w:r w:rsidRPr="00B1089D">
        <w:t xml:space="preserve">. </w:t>
      </w:r>
      <w:proofErr w:type="spellStart"/>
      <w:r w:rsidRPr="00B1089D">
        <w:t>In</w:t>
      </w:r>
      <w:proofErr w:type="spellEnd"/>
      <w:r w:rsidRPr="00B1089D">
        <w:t xml:space="preserve"> </w:t>
      </w:r>
      <w:proofErr w:type="spellStart"/>
      <w:r w:rsidRPr="00B1089D">
        <w:t>conclusion</w:t>
      </w:r>
      <w:proofErr w:type="spellEnd"/>
      <w:r w:rsidRPr="00B1089D">
        <w:t xml:space="preserve">, </w:t>
      </w:r>
      <w:proofErr w:type="spellStart"/>
      <w:r w:rsidRPr="00B1089D">
        <w:t>the</w:t>
      </w:r>
      <w:proofErr w:type="spellEnd"/>
      <w:r w:rsidRPr="00B1089D">
        <w:t xml:space="preserve"> </w:t>
      </w:r>
      <w:proofErr w:type="spellStart"/>
      <w:r w:rsidRPr="00B1089D">
        <w:t>present</w:t>
      </w:r>
      <w:proofErr w:type="spellEnd"/>
      <w:r w:rsidRPr="00B1089D">
        <w:t xml:space="preserve"> </w:t>
      </w:r>
      <w:proofErr w:type="spellStart"/>
      <w:r w:rsidRPr="00B1089D">
        <w:t>study</w:t>
      </w:r>
      <w:proofErr w:type="spellEnd"/>
      <w:r w:rsidRPr="00B1089D">
        <w:t xml:space="preserve"> </w:t>
      </w:r>
      <w:proofErr w:type="spellStart"/>
      <w:r w:rsidRPr="00B1089D">
        <w:t>suggests</w:t>
      </w:r>
      <w:proofErr w:type="spellEnd"/>
      <w:r w:rsidRPr="00B1089D">
        <w:t xml:space="preserve"> </w:t>
      </w:r>
      <w:proofErr w:type="spellStart"/>
      <w:r w:rsidRPr="00B1089D">
        <w:t>that</w:t>
      </w:r>
      <w:proofErr w:type="spellEnd"/>
      <w:r w:rsidRPr="00B1089D">
        <w:t xml:space="preserve"> </w:t>
      </w:r>
      <w:proofErr w:type="spellStart"/>
      <w:r w:rsidRPr="00B1089D">
        <w:t>transhumanism</w:t>
      </w:r>
      <w:proofErr w:type="spellEnd"/>
      <w:r w:rsidRPr="00B1089D">
        <w:t xml:space="preserve"> </w:t>
      </w:r>
      <w:proofErr w:type="spellStart"/>
      <w:r w:rsidRPr="00B1089D">
        <w:t>may</w:t>
      </w:r>
      <w:proofErr w:type="spellEnd"/>
      <w:r w:rsidRPr="00B1089D">
        <w:t xml:space="preserve"> </w:t>
      </w:r>
      <w:proofErr w:type="spellStart"/>
      <w:r w:rsidRPr="00B1089D">
        <w:t>cause</w:t>
      </w:r>
      <w:proofErr w:type="spellEnd"/>
      <w:r w:rsidRPr="00B1089D">
        <w:t xml:space="preserve"> </w:t>
      </w:r>
      <w:proofErr w:type="spellStart"/>
      <w:r w:rsidRPr="00B1089D">
        <w:t>social</w:t>
      </w:r>
      <w:proofErr w:type="spellEnd"/>
      <w:r w:rsidRPr="00B1089D">
        <w:t xml:space="preserve"> </w:t>
      </w:r>
      <w:proofErr w:type="spellStart"/>
      <w:r w:rsidRPr="00B1089D">
        <w:t>problems</w:t>
      </w:r>
      <w:proofErr w:type="spellEnd"/>
      <w:r w:rsidRPr="00B1089D">
        <w:t xml:space="preserve">, </w:t>
      </w:r>
      <w:proofErr w:type="spellStart"/>
      <w:r w:rsidRPr="00B1089D">
        <w:t>and</w:t>
      </w:r>
      <w:proofErr w:type="spellEnd"/>
      <w:r w:rsidRPr="00B1089D">
        <w:t xml:space="preserve"> </w:t>
      </w:r>
      <w:proofErr w:type="spellStart"/>
      <w:r w:rsidRPr="00B1089D">
        <w:t>preserving</w:t>
      </w:r>
      <w:proofErr w:type="spellEnd"/>
      <w:r w:rsidRPr="00B1089D">
        <w:t xml:space="preserve"> </w:t>
      </w:r>
      <w:proofErr w:type="spellStart"/>
      <w:r w:rsidRPr="00B1089D">
        <w:t>human</w:t>
      </w:r>
      <w:proofErr w:type="spellEnd"/>
      <w:r w:rsidRPr="00B1089D">
        <w:t xml:space="preserve"> </w:t>
      </w:r>
      <w:proofErr w:type="spellStart"/>
      <w:r w:rsidRPr="00B1089D">
        <w:t>nature</w:t>
      </w:r>
      <w:proofErr w:type="spellEnd"/>
      <w:r w:rsidRPr="00B1089D">
        <w:t xml:space="preserve"> is </w:t>
      </w:r>
      <w:proofErr w:type="spellStart"/>
      <w:r w:rsidRPr="00B1089D">
        <w:t>essential</w:t>
      </w:r>
      <w:proofErr w:type="spellEnd"/>
      <w:r w:rsidRPr="00B1089D">
        <w:t xml:space="preserve"> </w:t>
      </w:r>
      <w:proofErr w:type="spellStart"/>
      <w:r w:rsidRPr="00B1089D">
        <w:t>for</w:t>
      </w:r>
      <w:proofErr w:type="spellEnd"/>
      <w:r w:rsidRPr="00B1089D">
        <w:t xml:space="preserve"> </w:t>
      </w:r>
      <w:proofErr w:type="spellStart"/>
      <w:r w:rsidRPr="00B1089D">
        <w:t>maintaining</w:t>
      </w:r>
      <w:proofErr w:type="spellEnd"/>
      <w:r w:rsidRPr="00B1089D">
        <w:t xml:space="preserve"> </w:t>
      </w:r>
      <w:proofErr w:type="spellStart"/>
      <w:r w:rsidRPr="00B1089D">
        <w:t>social</w:t>
      </w:r>
      <w:proofErr w:type="spellEnd"/>
      <w:r w:rsidRPr="00B1089D">
        <w:t xml:space="preserve"> </w:t>
      </w:r>
      <w:proofErr w:type="spellStart"/>
      <w:r w:rsidRPr="00B1089D">
        <w:t>cohesion</w:t>
      </w:r>
      <w:proofErr w:type="spellEnd"/>
      <w:r w:rsidRPr="00B1089D">
        <w:t xml:space="preserve">. </w:t>
      </w:r>
      <w:proofErr w:type="spellStart"/>
      <w:r w:rsidRPr="00B1089D">
        <w:t>To</w:t>
      </w:r>
      <w:proofErr w:type="spellEnd"/>
      <w:r w:rsidRPr="00B1089D">
        <w:t xml:space="preserve"> </w:t>
      </w:r>
      <w:proofErr w:type="spellStart"/>
      <w:r w:rsidRPr="00B1089D">
        <w:t>address</w:t>
      </w:r>
      <w:proofErr w:type="spellEnd"/>
      <w:r w:rsidRPr="00B1089D">
        <w:t xml:space="preserve"> </w:t>
      </w:r>
      <w:proofErr w:type="spellStart"/>
      <w:r w:rsidRPr="00B1089D">
        <w:t>potential</w:t>
      </w:r>
      <w:proofErr w:type="spellEnd"/>
      <w:r w:rsidRPr="00B1089D">
        <w:t xml:space="preserve"> </w:t>
      </w:r>
      <w:proofErr w:type="spellStart"/>
      <w:r w:rsidRPr="00B1089D">
        <w:t>social</w:t>
      </w:r>
      <w:proofErr w:type="spellEnd"/>
      <w:r w:rsidRPr="00B1089D">
        <w:t xml:space="preserve"> </w:t>
      </w:r>
      <w:proofErr w:type="spellStart"/>
      <w:r w:rsidRPr="00B1089D">
        <w:t>issues</w:t>
      </w:r>
      <w:proofErr w:type="spellEnd"/>
      <w:r w:rsidRPr="00B1089D">
        <w:t xml:space="preserve">, </w:t>
      </w:r>
      <w:proofErr w:type="spellStart"/>
      <w:r w:rsidRPr="00B1089D">
        <w:t>the</w:t>
      </w:r>
      <w:proofErr w:type="spellEnd"/>
      <w:r w:rsidRPr="00B1089D">
        <w:t xml:space="preserve"> </w:t>
      </w:r>
      <w:proofErr w:type="spellStart"/>
      <w:r w:rsidRPr="00B1089D">
        <w:t>responsibilities</w:t>
      </w:r>
      <w:proofErr w:type="spellEnd"/>
      <w:r w:rsidRPr="00B1089D">
        <w:t xml:space="preserve"> of </w:t>
      </w:r>
      <w:proofErr w:type="spellStart"/>
      <w:r w:rsidRPr="00B1089D">
        <w:t>the</w:t>
      </w:r>
      <w:proofErr w:type="spellEnd"/>
      <w:r w:rsidRPr="00B1089D">
        <w:t xml:space="preserve"> </w:t>
      </w:r>
      <w:proofErr w:type="spellStart"/>
      <w:r w:rsidRPr="00B1089D">
        <w:t>sociology</w:t>
      </w:r>
      <w:proofErr w:type="spellEnd"/>
      <w:r w:rsidRPr="00B1089D">
        <w:t xml:space="preserve"> of </w:t>
      </w:r>
      <w:proofErr w:type="spellStart"/>
      <w:r w:rsidRPr="00B1089D">
        <w:t>education</w:t>
      </w:r>
      <w:proofErr w:type="spellEnd"/>
      <w:r w:rsidRPr="00B1089D">
        <w:t xml:space="preserve"> </w:t>
      </w:r>
      <w:proofErr w:type="spellStart"/>
      <w:r w:rsidRPr="00B1089D">
        <w:t>have</w:t>
      </w:r>
      <w:proofErr w:type="spellEnd"/>
      <w:r w:rsidRPr="00B1089D">
        <w:t xml:space="preserve"> </w:t>
      </w:r>
      <w:proofErr w:type="spellStart"/>
      <w:r w:rsidRPr="00B1089D">
        <w:t>been</w:t>
      </w:r>
      <w:proofErr w:type="spellEnd"/>
      <w:r w:rsidRPr="00B1089D">
        <w:t xml:space="preserve"> </w:t>
      </w:r>
      <w:proofErr w:type="spellStart"/>
      <w:r w:rsidRPr="00B1089D">
        <w:t>clarified</w:t>
      </w:r>
      <w:proofErr w:type="spellEnd"/>
      <w:r w:rsidRPr="00B1089D">
        <w:t xml:space="preserve">, </w:t>
      </w:r>
      <w:proofErr w:type="spellStart"/>
      <w:r w:rsidRPr="00B1089D">
        <w:t>and</w:t>
      </w:r>
      <w:proofErr w:type="spellEnd"/>
      <w:r w:rsidRPr="00B1089D">
        <w:t xml:space="preserve"> an </w:t>
      </w:r>
      <w:proofErr w:type="spellStart"/>
      <w:r w:rsidRPr="00B1089D">
        <w:t>evaluation</w:t>
      </w:r>
      <w:proofErr w:type="spellEnd"/>
      <w:r w:rsidRPr="00B1089D">
        <w:t xml:space="preserve"> has </w:t>
      </w:r>
      <w:proofErr w:type="spellStart"/>
      <w:r w:rsidRPr="00B1089D">
        <w:t>been</w:t>
      </w:r>
      <w:proofErr w:type="spellEnd"/>
      <w:r w:rsidRPr="00B1089D">
        <w:t xml:space="preserve"> </w:t>
      </w:r>
      <w:proofErr w:type="spellStart"/>
      <w:r w:rsidRPr="00B1089D">
        <w:t>made</w:t>
      </w:r>
      <w:proofErr w:type="spellEnd"/>
      <w:r w:rsidRPr="00B1089D">
        <w:t xml:space="preserve"> on how </w:t>
      </w:r>
      <w:proofErr w:type="spellStart"/>
      <w:r w:rsidRPr="00B1089D">
        <w:t>such</w:t>
      </w:r>
      <w:proofErr w:type="spellEnd"/>
      <w:r w:rsidRPr="00B1089D">
        <w:t xml:space="preserve"> </w:t>
      </w:r>
      <w:proofErr w:type="spellStart"/>
      <w:r w:rsidRPr="00B1089D">
        <w:t>problems</w:t>
      </w:r>
      <w:proofErr w:type="spellEnd"/>
      <w:r w:rsidRPr="00B1089D">
        <w:t xml:space="preserve"> can be </w:t>
      </w:r>
      <w:proofErr w:type="spellStart"/>
      <w:r w:rsidRPr="00B1089D">
        <w:t>mitigated</w:t>
      </w:r>
      <w:proofErr w:type="spellEnd"/>
      <w:r w:rsidRPr="00B1089D">
        <w:t xml:space="preserve"> </w:t>
      </w:r>
      <w:proofErr w:type="spellStart"/>
      <w:r w:rsidRPr="00B1089D">
        <w:t>through</w:t>
      </w:r>
      <w:proofErr w:type="spellEnd"/>
      <w:r w:rsidRPr="00B1089D">
        <w:t xml:space="preserve"> </w:t>
      </w:r>
      <w:proofErr w:type="spellStart"/>
      <w:r w:rsidRPr="00B1089D">
        <w:t>education</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it has </w:t>
      </w:r>
      <w:proofErr w:type="spellStart"/>
      <w:r w:rsidRPr="00B1089D">
        <w:t>been</w:t>
      </w:r>
      <w:proofErr w:type="spellEnd"/>
      <w:r w:rsidRPr="00B1089D">
        <w:t xml:space="preserve"> </w:t>
      </w:r>
      <w:proofErr w:type="spellStart"/>
      <w:r w:rsidRPr="00B1089D">
        <w:t>determined</w:t>
      </w:r>
      <w:proofErr w:type="spellEnd"/>
      <w:r w:rsidRPr="00B1089D">
        <w:t xml:space="preserve"> </w:t>
      </w:r>
      <w:proofErr w:type="spellStart"/>
      <w:r w:rsidRPr="00B1089D">
        <w:t>that</w:t>
      </w:r>
      <w:proofErr w:type="spellEnd"/>
      <w:r w:rsidRPr="00B1089D">
        <w:t xml:space="preserve"> </w:t>
      </w:r>
      <w:proofErr w:type="spellStart"/>
      <w:r w:rsidRPr="00B1089D">
        <w:t>educational</w:t>
      </w:r>
      <w:proofErr w:type="spellEnd"/>
      <w:r w:rsidRPr="00B1089D">
        <w:t xml:space="preserve"> </w:t>
      </w:r>
      <w:proofErr w:type="spellStart"/>
      <w:r w:rsidRPr="00B1089D">
        <w:t>institutions</w:t>
      </w:r>
      <w:proofErr w:type="spellEnd"/>
      <w:r w:rsidRPr="00B1089D">
        <w:t xml:space="preserve"> </w:t>
      </w:r>
      <w:proofErr w:type="spellStart"/>
      <w:r w:rsidRPr="00B1089D">
        <w:t>bear</w:t>
      </w:r>
      <w:proofErr w:type="spellEnd"/>
      <w:r w:rsidRPr="00B1089D">
        <w:t xml:space="preserve"> </w:t>
      </w:r>
      <w:proofErr w:type="spellStart"/>
      <w:r w:rsidRPr="00B1089D">
        <w:t>significant</w:t>
      </w:r>
      <w:proofErr w:type="spellEnd"/>
      <w:r w:rsidRPr="00B1089D">
        <w:t xml:space="preserve"> </w:t>
      </w:r>
      <w:proofErr w:type="spellStart"/>
      <w:r w:rsidRPr="00B1089D">
        <w:t>responsibility</w:t>
      </w:r>
      <w:proofErr w:type="spellEnd"/>
      <w:r w:rsidRPr="00B1089D">
        <w:t xml:space="preserve"> in </w:t>
      </w:r>
      <w:proofErr w:type="spellStart"/>
      <w:r w:rsidRPr="00B1089D">
        <w:t>transmitting</w:t>
      </w:r>
      <w:proofErr w:type="spellEnd"/>
      <w:r w:rsidRPr="00B1089D">
        <w:t xml:space="preserve"> </w:t>
      </w:r>
      <w:proofErr w:type="spellStart"/>
      <w:r w:rsidRPr="00B1089D">
        <w:t>social</w:t>
      </w:r>
      <w:proofErr w:type="spellEnd"/>
      <w:r w:rsidRPr="00B1089D">
        <w:t xml:space="preserve"> </w:t>
      </w:r>
      <w:proofErr w:type="spellStart"/>
      <w:r w:rsidRPr="00B1089D">
        <w:t>norms</w:t>
      </w:r>
      <w:proofErr w:type="spellEnd"/>
      <w:r w:rsidRPr="00B1089D">
        <w:t xml:space="preserve">, </w:t>
      </w:r>
      <w:proofErr w:type="spellStart"/>
      <w:r w:rsidRPr="00B1089D">
        <w:t>addressing</w:t>
      </w:r>
      <w:proofErr w:type="spellEnd"/>
      <w:r w:rsidRPr="00B1089D">
        <w:t xml:space="preserve"> </w:t>
      </w:r>
      <w:proofErr w:type="spellStart"/>
      <w:r w:rsidRPr="00B1089D">
        <w:t>ethical</w:t>
      </w:r>
      <w:proofErr w:type="spellEnd"/>
      <w:r w:rsidRPr="00B1089D">
        <w:t xml:space="preserve"> </w:t>
      </w:r>
      <w:proofErr w:type="spellStart"/>
      <w:r w:rsidRPr="00B1089D">
        <w:t>issues</w:t>
      </w:r>
      <w:proofErr w:type="spellEnd"/>
      <w:r w:rsidRPr="00B1089D">
        <w:t xml:space="preserve">, </w:t>
      </w:r>
      <w:proofErr w:type="spellStart"/>
      <w:r w:rsidRPr="00B1089D">
        <w:t>fostering</w:t>
      </w:r>
      <w:proofErr w:type="spellEnd"/>
      <w:r w:rsidRPr="00B1089D">
        <w:t xml:space="preserve"> a sense of </w:t>
      </w:r>
      <w:proofErr w:type="spellStart"/>
      <w:r w:rsidRPr="00B1089D">
        <w:t>social</w:t>
      </w:r>
      <w:proofErr w:type="spellEnd"/>
      <w:r w:rsidRPr="00B1089D">
        <w:t xml:space="preserve"> </w:t>
      </w:r>
      <w:proofErr w:type="spellStart"/>
      <w:r w:rsidRPr="00B1089D">
        <w:t>belonging</w:t>
      </w:r>
      <w:proofErr w:type="spellEnd"/>
      <w:r w:rsidRPr="00B1089D">
        <w:t xml:space="preserve">, </w:t>
      </w:r>
      <w:proofErr w:type="spellStart"/>
      <w:r w:rsidRPr="00B1089D">
        <w:t>preserving</w:t>
      </w:r>
      <w:proofErr w:type="spellEnd"/>
      <w:r w:rsidRPr="00B1089D">
        <w:t xml:space="preserve"> </w:t>
      </w:r>
      <w:proofErr w:type="spellStart"/>
      <w:r w:rsidRPr="00B1089D">
        <w:t>cultural</w:t>
      </w:r>
      <w:proofErr w:type="spellEnd"/>
      <w:r w:rsidRPr="00B1089D">
        <w:t xml:space="preserve"> </w:t>
      </w:r>
      <w:proofErr w:type="spellStart"/>
      <w:r w:rsidRPr="00B1089D">
        <w:t>values</w:t>
      </w:r>
      <w:proofErr w:type="spellEnd"/>
      <w:r w:rsidRPr="00B1089D">
        <w:t xml:space="preserve">, </w:t>
      </w:r>
      <w:proofErr w:type="spellStart"/>
      <w:r w:rsidRPr="00B1089D">
        <w:t>and</w:t>
      </w:r>
      <w:proofErr w:type="spellEnd"/>
      <w:r w:rsidRPr="00B1089D">
        <w:t xml:space="preserve"> </w:t>
      </w:r>
      <w:proofErr w:type="spellStart"/>
      <w:r w:rsidRPr="00B1089D">
        <w:t>reducing</w:t>
      </w:r>
      <w:proofErr w:type="spellEnd"/>
      <w:r w:rsidRPr="00B1089D">
        <w:t xml:space="preserve"> </w:t>
      </w:r>
      <w:proofErr w:type="spellStart"/>
      <w:r w:rsidRPr="00B1089D">
        <w:t>inequalities</w:t>
      </w:r>
      <w:proofErr w:type="spellEnd"/>
      <w:r w:rsidRPr="00B1089D">
        <w:t xml:space="preserve"> in </w:t>
      </w:r>
      <w:proofErr w:type="spellStart"/>
      <w:r w:rsidRPr="00B1089D">
        <w:t>the</w:t>
      </w:r>
      <w:proofErr w:type="spellEnd"/>
      <w:r w:rsidRPr="00B1089D">
        <w:t xml:space="preserve"> </w:t>
      </w:r>
      <w:proofErr w:type="spellStart"/>
      <w:r w:rsidRPr="00B1089D">
        <w:t>wake</w:t>
      </w:r>
      <w:proofErr w:type="spellEnd"/>
      <w:r w:rsidRPr="00B1089D">
        <w:t xml:space="preserve"> of </w:t>
      </w:r>
      <w:proofErr w:type="spellStart"/>
      <w:r w:rsidRPr="00B1089D">
        <w:t>transhumanism</w:t>
      </w:r>
      <w:proofErr w:type="spellEnd"/>
      <w:r w:rsidRPr="00B1089D">
        <w:t xml:space="preserve">. </w:t>
      </w:r>
      <w:proofErr w:type="spellStart"/>
      <w:r w:rsidRPr="00B1089D">
        <w:t>Furthermore</w:t>
      </w:r>
      <w:proofErr w:type="spellEnd"/>
      <w:r w:rsidRPr="00B1089D">
        <w:t xml:space="preserve">, </w:t>
      </w:r>
      <w:proofErr w:type="spellStart"/>
      <w:r w:rsidRPr="00B1089D">
        <w:t>to</w:t>
      </w:r>
      <w:proofErr w:type="spellEnd"/>
      <w:r w:rsidRPr="00B1089D">
        <w:t xml:space="preserve"> </w:t>
      </w:r>
      <w:proofErr w:type="spellStart"/>
      <w:r w:rsidRPr="00B1089D">
        <w:t>overcome</w:t>
      </w:r>
      <w:proofErr w:type="spellEnd"/>
      <w:r w:rsidRPr="00B1089D">
        <w:t xml:space="preserve"> </w:t>
      </w:r>
      <w:proofErr w:type="spellStart"/>
      <w:r w:rsidRPr="00B1089D">
        <w:t>these</w:t>
      </w:r>
      <w:proofErr w:type="spellEnd"/>
      <w:r w:rsidRPr="00B1089D">
        <w:t xml:space="preserve"> </w:t>
      </w:r>
      <w:proofErr w:type="spellStart"/>
      <w:r w:rsidRPr="00B1089D">
        <w:t>potential</w:t>
      </w:r>
      <w:proofErr w:type="spellEnd"/>
      <w:r w:rsidRPr="00B1089D">
        <w:t xml:space="preserve"> </w:t>
      </w:r>
      <w:proofErr w:type="spellStart"/>
      <w:r w:rsidRPr="00B1089D">
        <w:t>problems</w:t>
      </w:r>
      <w:proofErr w:type="spellEnd"/>
      <w:r w:rsidRPr="00B1089D">
        <w:t xml:space="preserve">, it is </w:t>
      </w:r>
      <w:proofErr w:type="spellStart"/>
      <w:r w:rsidRPr="00B1089D">
        <w:t>recommended</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sociology</w:t>
      </w:r>
      <w:proofErr w:type="spellEnd"/>
      <w:r w:rsidRPr="00B1089D">
        <w:t xml:space="preserve"> of </w:t>
      </w:r>
      <w:proofErr w:type="spellStart"/>
      <w:r w:rsidRPr="00B1089D">
        <w:t>education</w:t>
      </w:r>
      <w:proofErr w:type="spellEnd"/>
      <w:r w:rsidRPr="00B1089D">
        <w:t xml:space="preserve"> </w:t>
      </w:r>
      <w:proofErr w:type="spellStart"/>
      <w:r w:rsidRPr="00B1089D">
        <w:t>research</w:t>
      </w:r>
      <w:proofErr w:type="spellEnd"/>
      <w:r w:rsidRPr="00B1089D">
        <w:t xml:space="preserve"> </w:t>
      </w:r>
      <w:proofErr w:type="spellStart"/>
      <w:r w:rsidRPr="00B1089D">
        <w:t>technological</w:t>
      </w:r>
      <w:proofErr w:type="spellEnd"/>
      <w:r w:rsidRPr="00B1089D">
        <w:t xml:space="preserve"> </w:t>
      </w:r>
      <w:proofErr w:type="spellStart"/>
      <w:r w:rsidRPr="00B1089D">
        <w:t>innovations</w:t>
      </w:r>
      <w:proofErr w:type="spellEnd"/>
      <w:r w:rsidRPr="00B1089D">
        <w:t xml:space="preserve"> </w:t>
      </w:r>
      <w:proofErr w:type="spellStart"/>
      <w:r w:rsidRPr="00B1089D">
        <w:t>that</w:t>
      </w:r>
      <w:proofErr w:type="spellEnd"/>
      <w:r w:rsidRPr="00B1089D">
        <w:t xml:space="preserve"> </w:t>
      </w:r>
      <w:proofErr w:type="spellStart"/>
      <w:r w:rsidRPr="00B1089D">
        <w:t>have</w:t>
      </w:r>
      <w:proofErr w:type="spellEnd"/>
      <w:r w:rsidRPr="00B1089D">
        <w:t xml:space="preserve"> </w:t>
      </w:r>
      <w:proofErr w:type="spellStart"/>
      <w:r w:rsidRPr="00B1089D">
        <w:t>emerged</w:t>
      </w:r>
      <w:proofErr w:type="spellEnd"/>
      <w:r w:rsidRPr="00B1089D">
        <w:t xml:space="preserve"> </w:t>
      </w:r>
      <w:proofErr w:type="spellStart"/>
      <w:r w:rsidRPr="00B1089D">
        <w:t>or</w:t>
      </w:r>
      <w:proofErr w:type="spellEnd"/>
      <w:r w:rsidRPr="00B1089D">
        <w:t xml:space="preserve"> </w:t>
      </w:r>
      <w:proofErr w:type="spellStart"/>
      <w:r w:rsidRPr="00B1089D">
        <w:t>are</w:t>
      </w:r>
      <w:proofErr w:type="spellEnd"/>
      <w:r w:rsidRPr="00B1089D">
        <w:t xml:space="preserve"> </w:t>
      </w:r>
      <w:proofErr w:type="spellStart"/>
      <w:r w:rsidRPr="00B1089D">
        <w:t>likely</w:t>
      </w:r>
      <w:proofErr w:type="spellEnd"/>
      <w:r w:rsidRPr="00B1089D">
        <w:t xml:space="preserve"> </w:t>
      </w:r>
      <w:proofErr w:type="spellStart"/>
      <w:r w:rsidRPr="00B1089D">
        <w:t>to</w:t>
      </w:r>
      <w:proofErr w:type="spellEnd"/>
      <w:r w:rsidRPr="00B1089D">
        <w:t xml:space="preserve"> </w:t>
      </w:r>
      <w:proofErr w:type="spellStart"/>
      <w:r w:rsidRPr="00B1089D">
        <w:t>emerge</w:t>
      </w:r>
      <w:proofErr w:type="spellEnd"/>
      <w:r w:rsidRPr="00B1089D">
        <w:t xml:space="preserve"> </w:t>
      </w:r>
      <w:proofErr w:type="spellStart"/>
      <w:r w:rsidRPr="00B1089D">
        <w:t>and</w:t>
      </w:r>
      <w:proofErr w:type="spellEnd"/>
      <w:r w:rsidRPr="00B1089D">
        <w:t xml:space="preserve"> </w:t>
      </w:r>
      <w:proofErr w:type="spellStart"/>
      <w:r w:rsidRPr="00B1089D">
        <w:t>prepare</w:t>
      </w:r>
      <w:proofErr w:type="spellEnd"/>
      <w:r w:rsidRPr="00B1089D">
        <w:t xml:space="preserve"> </w:t>
      </w:r>
      <w:proofErr w:type="spellStart"/>
      <w:r w:rsidRPr="00B1089D">
        <w:t>society</w:t>
      </w:r>
      <w:proofErr w:type="spellEnd"/>
      <w:r w:rsidRPr="00B1089D">
        <w:t xml:space="preserve"> </w:t>
      </w:r>
      <w:proofErr w:type="spellStart"/>
      <w:r w:rsidRPr="00B1089D">
        <w:t>for</w:t>
      </w:r>
      <w:proofErr w:type="spellEnd"/>
      <w:r w:rsidRPr="00B1089D">
        <w:t xml:space="preserve"> </w:t>
      </w:r>
      <w:proofErr w:type="spellStart"/>
      <w:r w:rsidRPr="00B1089D">
        <w:t>such</w:t>
      </w:r>
      <w:proofErr w:type="spellEnd"/>
      <w:r w:rsidRPr="00B1089D">
        <w:t xml:space="preserve"> </w:t>
      </w:r>
      <w:proofErr w:type="spellStart"/>
      <w:r w:rsidRPr="00B1089D">
        <w:t>developments</w:t>
      </w:r>
      <w:proofErr w:type="spellEnd"/>
      <w:r w:rsidRPr="00B1089D">
        <w:t xml:space="preserve">. </w:t>
      </w:r>
      <w:proofErr w:type="spellStart"/>
      <w:r w:rsidRPr="00B1089D">
        <w:t>This</w:t>
      </w:r>
      <w:proofErr w:type="spellEnd"/>
      <w:r w:rsidRPr="00B1089D">
        <w:t xml:space="preserve"> </w:t>
      </w:r>
      <w:proofErr w:type="spellStart"/>
      <w:r w:rsidRPr="00B1089D">
        <w:t>research</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contribute</w:t>
      </w:r>
      <w:proofErr w:type="spellEnd"/>
      <w:r w:rsidRPr="00B1089D">
        <w:t xml:space="preserve"> </w:t>
      </w:r>
      <w:proofErr w:type="spellStart"/>
      <w:r w:rsidRPr="00B1089D">
        <w:t>to</w:t>
      </w:r>
      <w:proofErr w:type="spellEnd"/>
      <w:r w:rsidRPr="00B1089D">
        <w:t xml:space="preserve"> </w:t>
      </w:r>
      <w:proofErr w:type="spellStart"/>
      <w:r w:rsidRPr="00B1089D">
        <w:t>sociological</w:t>
      </w:r>
      <w:proofErr w:type="spellEnd"/>
      <w:r w:rsidRPr="00B1089D">
        <w:t xml:space="preserve"> </w:t>
      </w:r>
      <w:proofErr w:type="spellStart"/>
      <w:r w:rsidRPr="00B1089D">
        <w:t>discussions</w:t>
      </w:r>
      <w:proofErr w:type="spellEnd"/>
      <w:r w:rsidRPr="00B1089D">
        <w:t xml:space="preserve"> on </w:t>
      </w:r>
      <w:proofErr w:type="spellStart"/>
      <w:r w:rsidRPr="00B1089D">
        <w:t>transhumanism</w:t>
      </w:r>
      <w:proofErr w:type="spellEnd"/>
      <w:r w:rsidRPr="00B1089D">
        <w:t xml:space="preserve"> </w:t>
      </w:r>
      <w:proofErr w:type="spellStart"/>
      <w:r w:rsidRPr="00B1089D">
        <w:t>and</w:t>
      </w:r>
      <w:proofErr w:type="spellEnd"/>
      <w:r w:rsidRPr="00B1089D">
        <w:t xml:space="preserve"> </w:t>
      </w:r>
      <w:proofErr w:type="spellStart"/>
      <w:r w:rsidRPr="00B1089D">
        <w:t>raise</w:t>
      </w:r>
      <w:proofErr w:type="spellEnd"/>
      <w:r w:rsidRPr="00B1089D">
        <w:t xml:space="preserve"> </w:t>
      </w:r>
      <w:proofErr w:type="spellStart"/>
      <w:r w:rsidRPr="00B1089D">
        <w:t>awareness</w:t>
      </w:r>
      <w:proofErr w:type="spellEnd"/>
      <w:r w:rsidRPr="00B1089D">
        <w:t xml:space="preserve"> </w:t>
      </w:r>
      <w:proofErr w:type="spellStart"/>
      <w:r w:rsidRPr="00B1089D">
        <w:t>regarding</w:t>
      </w:r>
      <w:proofErr w:type="spellEnd"/>
      <w:r w:rsidRPr="00B1089D">
        <w:t xml:space="preserve"> </w:t>
      </w:r>
      <w:proofErr w:type="spellStart"/>
      <w:r w:rsidRPr="00B1089D">
        <w:t>future</w:t>
      </w:r>
      <w:proofErr w:type="spellEnd"/>
      <w:r w:rsidRPr="00B1089D">
        <w:t xml:space="preserve"> </w:t>
      </w:r>
      <w:proofErr w:type="spellStart"/>
      <w:r w:rsidRPr="00B1089D">
        <w:t>technological</w:t>
      </w:r>
      <w:proofErr w:type="spellEnd"/>
      <w:r w:rsidRPr="00B1089D">
        <w:t xml:space="preserve"> </w:t>
      </w:r>
      <w:proofErr w:type="spellStart"/>
      <w:r w:rsidRPr="00B1089D">
        <w:t>advancements</w:t>
      </w:r>
      <w:proofErr w:type="spellEnd"/>
      <w:r w:rsidRPr="00B1089D">
        <w:t>.</w:t>
      </w:r>
    </w:p>
    <w:p w14:paraId="6FC9E2F5" w14:textId="77777777" w:rsidR="00FA457D" w:rsidRPr="00B1089D" w:rsidRDefault="00FA457D" w:rsidP="00E359E0">
      <w:pPr>
        <w:widowControl/>
        <w:jc w:val="both"/>
      </w:pPr>
    </w:p>
    <w:p w14:paraId="1274B732" w14:textId="7AD5C352" w:rsidR="00D37D80" w:rsidRDefault="00FA457D" w:rsidP="00E359E0">
      <w:pPr>
        <w:widowControl/>
        <w:jc w:val="both"/>
      </w:pPr>
      <w:proofErr w:type="spellStart"/>
      <w:r w:rsidRPr="00B1089D">
        <w:rPr>
          <w:b/>
          <w:bCs/>
        </w:rPr>
        <w:t>Keywords</w:t>
      </w:r>
      <w:proofErr w:type="spellEnd"/>
      <w:r w:rsidRPr="00B1089D">
        <w:t xml:space="preserve">: </w:t>
      </w:r>
      <w:proofErr w:type="spellStart"/>
      <w:r w:rsidRPr="00B1089D">
        <w:t>Sociology</w:t>
      </w:r>
      <w:proofErr w:type="spellEnd"/>
      <w:r w:rsidRPr="00B1089D">
        <w:t xml:space="preserve">, </w:t>
      </w:r>
      <w:proofErr w:type="spellStart"/>
      <w:r w:rsidRPr="00B1089D">
        <w:t>Social</w:t>
      </w:r>
      <w:proofErr w:type="spellEnd"/>
      <w:r w:rsidRPr="00B1089D">
        <w:t xml:space="preserve"> </w:t>
      </w:r>
      <w:proofErr w:type="spellStart"/>
      <w:r w:rsidRPr="00B1089D">
        <w:t>Change</w:t>
      </w:r>
      <w:proofErr w:type="spellEnd"/>
      <w:r w:rsidRPr="00B1089D">
        <w:t xml:space="preserve">, </w:t>
      </w:r>
      <w:proofErr w:type="spellStart"/>
      <w:r w:rsidRPr="00B1089D">
        <w:t>Transhumanism</w:t>
      </w:r>
      <w:proofErr w:type="spellEnd"/>
      <w:r w:rsidRPr="00B1089D">
        <w:t xml:space="preserve">, </w:t>
      </w:r>
      <w:proofErr w:type="spellStart"/>
      <w:r w:rsidRPr="00B1089D">
        <w:t>Technology</w:t>
      </w:r>
      <w:proofErr w:type="spellEnd"/>
    </w:p>
    <w:p w14:paraId="73E5DA36" w14:textId="734D8A4B" w:rsidR="00E359E0" w:rsidRPr="00B1089D" w:rsidRDefault="00D37D80" w:rsidP="00D37D80">
      <w:pPr>
        <w:autoSpaceDE/>
        <w:autoSpaceDN/>
      </w:pPr>
      <w:r>
        <w:br w:type="page"/>
      </w:r>
    </w:p>
    <w:p w14:paraId="5D078393" w14:textId="77777777" w:rsidR="00FA457D" w:rsidRPr="00B1089D" w:rsidRDefault="00FA457D" w:rsidP="004C7694">
      <w:pPr>
        <w:pStyle w:val="Tark"/>
      </w:pPr>
      <w:bookmarkStart w:id="247" w:name="_Toc192855269"/>
      <w:proofErr w:type="spellStart"/>
      <w:r w:rsidRPr="00B1089D">
        <w:lastRenderedPageBreak/>
        <w:t>What</w:t>
      </w:r>
      <w:proofErr w:type="spellEnd"/>
      <w:r w:rsidRPr="00B1089D">
        <w:t xml:space="preserve"> is </w:t>
      </w:r>
      <w:proofErr w:type="spellStart"/>
      <w:r w:rsidRPr="00B1089D">
        <w:t>Measured</w:t>
      </w:r>
      <w:proofErr w:type="spellEnd"/>
      <w:r w:rsidRPr="00B1089D">
        <w:t xml:space="preserve">, </w:t>
      </w:r>
      <w:proofErr w:type="spellStart"/>
      <w:r w:rsidRPr="00B1089D">
        <w:t>What</w:t>
      </w:r>
      <w:proofErr w:type="spellEnd"/>
      <w:r w:rsidRPr="00B1089D">
        <w:t xml:space="preserve"> is </w:t>
      </w:r>
      <w:proofErr w:type="spellStart"/>
      <w:r w:rsidRPr="00B1089D">
        <w:t>Ignored</w:t>
      </w:r>
      <w:proofErr w:type="spellEnd"/>
      <w:r w:rsidRPr="00B1089D">
        <w:t xml:space="preserve">? </w:t>
      </w:r>
      <w:proofErr w:type="spellStart"/>
      <w:r w:rsidRPr="00B1089D">
        <w:t>The</w:t>
      </w:r>
      <w:proofErr w:type="spellEnd"/>
      <w:r w:rsidRPr="00B1089D">
        <w:t xml:space="preserve"> </w:t>
      </w:r>
      <w:proofErr w:type="spellStart"/>
      <w:r w:rsidRPr="00B1089D">
        <w:t>Ethical</w:t>
      </w:r>
      <w:proofErr w:type="spellEnd"/>
      <w:r w:rsidRPr="00B1089D">
        <w:t xml:space="preserve"> </w:t>
      </w:r>
      <w:proofErr w:type="spellStart"/>
      <w:r w:rsidRPr="00B1089D">
        <w:t>Dilemmas</w:t>
      </w:r>
      <w:proofErr w:type="spellEnd"/>
      <w:r w:rsidRPr="00B1089D">
        <w:t xml:space="preserve"> </w:t>
      </w:r>
      <w:proofErr w:type="spellStart"/>
      <w:r w:rsidRPr="00B1089D">
        <w:t>and</w:t>
      </w:r>
      <w:proofErr w:type="spellEnd"/>
      <w:r w:rsidRPr="00B1089D">
        <w:t xml:space="preserve"> </w:t>
      </w:r>
      <w:proofErr w:type="spellStart"/>
      <w:r w:rsidRPr="00B1089D">
        <w:t>Biopolitical</w:t>
      </w:r>
      <w:proofErr w:type="spellEnd"/>
      <w:r w:rsidRPr="00B1089D">
        <w:t xml:space="preserve"> Framework of </w:t>
      </w:r>
      <w:proofErr w:type="spellStart"/>
      <w:r w:rsidRPr="00B1089D">
        <w:t>Disease</w:t>
      </w:r>
      <w:proofErr w:type="spellEnd"/>
      <w:r w:rsidRPr="00B1089D">
        <w:t xml:space="preserve"> </w:t>
      </w:r>
      <w:proofErr w:type="spellStart"/>
      <w:r w:rsidRPr="00B1089D">
        <w:t>Burden</w:t>
      </w:r>
      <w:proofErr w:type="spellEnd"/>
      <w:r w:rsidRPr="00B1089D">
        <w:t xml:space="preserve"> </w:t>
      </w:r>
      <w:proofErr w:type="spellStart"/>
      <w:r w:rsidRPr="00B1089D">
        <w:t>Indicators</w:t>
      </w:r>
      <w:bookmarkEnd w:id="247"/>
      <w:proofErr w:type="spellEnd"/>
    </w:p>
    <w:p w14:paraId="044F7626" w14:textId="77777777" w:rsidR="00FA457D" w:rsidRPr="00B1089D" w:rsidRDefault="00FA457D" w:rsidP="00FA457D">
      <w:pPr>
        <w:widowControl/>
        <w:jc w:val="center"/>
      </w:pPr>
    </w:p>
    <w:p w14:paraId="777437D0" w14:textId="77777777" w:rsidR="00FA457D" w:rsidRPr="00B1089D" w:rsidRDefault="00FA457D" w:rsidP="00FA457D">
      <w:pPr>
        <w:widowControl/>
        <w:jc w:val="center"/>
      </w:pPr>
      <w:r w:rsidRPr="00B1089D">
        <w:t>Balkır Uysal</w:t>
      </w:r>
      <w:r w:rsidRPr="00B1089D">
        <w:br/>
        <w:t xml:space="preserve">Dr., Kastamonu </w:t>
      </w:r>
      <w:proofErr w:type="spellStart"/>
      <w:r w:rsidRPr="00B1089D">
        <w:t>University</w:t>
      </w:r>
      <w:proofErr w:type="spellEnd"/>
      <w:r w:rsidRPr="00B1089D">
        <w:t xml:space="preserve">, </w:t>
      </w:r>
      <w:proofErr w:type="spellStart"/>
      <w:r w:rsidRPr="00B1089D">
        <w:t>Department</w:t>
      </w:r>
      <w:proofErr w:type="spellEnd"/>
      <w:r w:rsidRPr="00B1089D">
        <w:t xml:space="preserve"> of </w:t>
      </w:r>
      <w:proofErr w:type="spellStart"/>
      <w:r w:rsidRPr="00B1089D">
        <w:t>Social</w:t>
      </w:r>
      <w:proofErr w:type="spellEnd"/>
      <w:r w:rsidRPr="00B1089D">
        <w:t xml:space="preserve"> Services</w:t>
      </w:r>
      <w:r w:rsidRPr="00B1089D">
        <w:br/>
        <w:t>balkiruysal@kastamonu.edu.tr</w:t>
      </w:r>
      <w:r w:rsidRPr="00B1089D">
        <w:br/>
        <w:t>https://orcid.org/0000-0003-0684-002X</w:t>
      </w:r>
    </w:p>
    <w:p w14:paraId="408E269E" w14:textId="3B9630E3" w:rsidR="00FA457D" w:rsidRPr="00B1089D" w:rsidRDefault="00FA457D" w:rsidP="00FA457D">
      <w:pPr>
        <w:widowControl/>
        <w:tabs>
          <w:tab w:val="left" w:pos="3432"/>
        </w:tabs>
      </w:pPr>
    </w:p>
    <w:p w14:paraId="286C3F36" w14:textId="77777777" w:rsidR="00FA457D" w:rsidRPr="00B1089D" w:rsidRDefault="00FA457D" w:rsidP="00FA457D">
      <w:pPr>
        <w:widowControl/>
        <w:jc w:val="center"/>
      </w:pPr>
      <w:proofErr w:type="spellStart"/>
      <w:r w:rsidRPr="00B1089D">
        <w:rPr>
          <w:b/>
          <w:bCs/>
        </w:rPr>
        <w:t>Abstract</w:t>
      </w:r>
      <w:proofErr w:type="spellEnd"/>
    </w:p>
    <w:p w14:paraId="5BC1BCDA" w14:textId="0BDE4BFC" w:rsidR="00FA457D" w:rsidRPr="00B1089D" w:rsidRDefault="00FA457D" w:rsidP="00E359E0">
      <w:pPr>
        <w:widowControl/>
        <w:jc w:val="both"/>
      </w:pPr>
      <w:proofErr w:type="spellStart"/>
      <w:r w:rsidRPr="00B1089D">
        <w:t>Metric</w:t>
      </w:r>
      <w:proofErr w:type="spellEnd"/>
      <w:r w:rsidRPr="00B1089D">
        <w:t xml:space="preserve"> </w:t>
      </w:r>
      <w:proofErr w:type="spellStart"/>
      <w:r w:rsidRPr="00B1089D">
        <w:t>indicators</w:t>
      </w:r>
      <w:proofErr w:type="spellEnd"/>
      <w:r w:rsidRPr="00B1089D">
        <w:t xml:space="preserve"> </w:t>
      </w:r>
      <w:proofErr w:type="spellStart"/>
      <w:r w:rsidRPr="00B1089D">
        <w:t>increasingly</w:t>
      </w:r>
      <w:proofErr w:type="spellEnd"/>
      <w:r w:rsidRPr="00B1089D">
        <w:t xml:space="preserve"> </w:t>
      </w:r>
      <w:proofErr w:type="spellStart"/>
      <w:r w:rsidRPr="00B1089D">
        <w:t>shape</w:t>
      </w:r>
      <w:proofErr w:type="spellEnd"/>
      <w:r w:rsidRPr="00B1089D">
        <w:t xml:space="preserve"> </w:t>
      </w:r>
      <w:proofErr w:type="spellStart"/>
      <w:r w:rsidRPr="00B1089D">
        <w:t>health</w:t>
      </w:r>
      <w:proofErr w:type="spellEnd"/>
      <w:r w:rsidRPr="00B1089D">
        <w:t xml:space="preserve"> </w:t>
      </w:r>
      <w:proofErr w:type="spellStart"/>
      <w:r w:rsidRPr="00B1089D">
        <w:t>policy</w:t>
      </w:r>
      <w:proofErr w:type="spellEnd"/>
      <w:r w:rsidRPr="00B1089D">
        <w:t xml:space="preserve"> </w:t>
      </w:r>
      <w:proofErr w:type="spellStart"/>
      <w:r w:rsidRPr="00B1089D">
        <w:t>planning</w:t>
      </w:r>
      <w:proofErr w:type="spellEnd"/>
      <w:r w:rsidRPr="00B1089D">
        <w:t xml:space="preserve"> </w:t>
      </w:r>
      <w:proofErr w:type="spellStart"/>
      <w:r w:rsidRPr="00B1089D">
        <w:t>and</w:t>
      </w:r>
      <w:proofErr w:type="spellEnd"/>
      <w:r w:rsidRPr="00B1089D">
        <w:t xml:space="preserve"> </w:t>
      </w:r>
      <w:proofErr w:type="spellStart"/>
      <w:r w:rsidRPr="00B1089D">
        <w:t>resource</w:t>
      </w:r>
      <w:proofErr w:type="spellEnd"/>
      <w:r w:rsidRPr="00B1089D">
        <w:t xml:space="preserve"> </w:t>
      </w:r>
      <w:proofErr w:type="spellStart"/>
      <w:r w:rsidRPr="00B1089D">
        <w:t>allocation</w:t>
      </w:r>
      <w:proofErr w:type="spellEnd"/>
      <w:r w:rsidRPr="00B1089D">
        <w:t xml:space="preserve"> </w:t>
      </w:r>
      <w:proofErr w:type="spellStart"/>
      <w:r w:rsidRPr="00B1089D">
        <w:t>processes</w:t>
      </w:r>
      <w:proofErr w:type="spellEnd"/>
      <w:r w:rsidRPr="00B1089D">
        <w:t xml:space="preserve">. </w:t>
      </w:r>
      <w:proofErr w:type="spellStart"/>
      <w:r w:rsidRPr="00B1089D">
        <w:t>For</w:t>
      </w:r>
      <w:proofErr w:type="spellEnd"/>
      <w:r w:rsidRPr="00B1089D">
        <w:t xml:space="preserve"> </w:t>
      </w:r>
      <w:proofErr w:type="spellStart"/>
      <w:r w:rsidRPr="00B1089D">
        <w:t>example</w:t>
      </w:r>
      <w:proofErr w:type="spellEnd"/>
      <w:r w:rsidRPr="00B1089D">
        <w:t xml:space="preserve">, </w:t>
      </w:r>
      <w:proofErr w:type="spellStart"/>
      <w:r w:rsidRPr="00B1089D">
        <w:t>indicators</w:t>
      </w:r>
      <w:proofErr w:type="spellEnd"/>
      <w:r w:rsidRPr="00B1089D">
        <w:t xml:space="preserve"> </w:t>
      </w:r>
      <w:proofErr w:type="spellStart"/>
      <w:r w:rsidRPr="00B1089D">
        <w:t>such</w:t>
      </w:r>
      <w:proofErr w:type="spellEnd"/>
      <w:r w:rsidRPr="00B1089D">
        <w:t xml:space="preserve"> as </w:t>
      </w:r>
      <w:proofErr w:type="spellStart"/>
      <w:r w:rsidRPr="00B1089D">
        <w:t>Disability-Adjusted</w:t>
      </w:r>
      <w:proofErr w:type="spellEnd"/>
      <w:r w:rsidRPr="00B1089D">
        <w:t xml:space="preserve"> Life </w:t>
      </w:r>
      <w:proofErr w:type="spellStart"/>
      <w:r w:rsidRPr="00B1089D">
        <w:t>Year</w:t>
      </w:r>
      <w:proofErr w:type="spellEnd"/>
      <w:r w:rsidRPr="00B1089D">
        <w:t xml:space="preserve"> (DALY) </w:t>
      </w:r>
      <w:proofErr w:type="spellStart"/>
      <w:r w:rsidRPr="00B1089D">
        <w:t>and</w:t>
      </w:r>
      <w:proofErr w:type="spellEnd"/>
      <w:r w:rsidRPr="00B1089D">
        <w:t xml:space="preserve"> </w:t>
      </w:r>
      <w:proofErr w:type="spellStart"/>
      <w:r w:rsidRPr="00B1089D">
        <w:t>Quality-Adjusted</w:t>
      </w:r>
      <w:proofErr w:type="spellEnd"/>
      <w:r w:rsidRPr="00B1089D">
        <w:t xml:space="preserve"> Life </w:t>
      </w:r>
      <w:proofErr w:type="spellStart"/>
      <w:r w:rsidRPr="00B1089D">
        <w:t>Years</w:t>
      </w:r>
      <w:proofErr w:type="spellEnd"/>
      <w:r w:rsidRPr="00B1089D">
        <w:t xml:space="preserve"> (QALY) </w:t>
      </w:r>
      <w:proofErr w:type="spellStart"/>
      <w:r w:rsidRPr="00B1089D">
        <w:t>are</w:t>
      </w:r>
      <w:proofErr w:type="spellEnd"/>
      <w:r w:rsidRPr="00B1089D">
        <w:t xml:space="preserve"> </w:t>
      </w:r>
      <w:proofErr w:type="spellStart"/>
      <w:r w:rsidRPr="00B1089D">
        <w:t>widely</w:t>
      </w:r>
      <w:proofErr w:type="spellEnd"/>
      <w:r w:rsidRPr="00B1089D">
        <w:t xml:space="preserve">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assess</w:t>
      </w:r>
      <w:proofErr w:type="spellEnd"/>
      <w:r w:rsidRPr="00B1089D">
        <w:t xml:space="preserve"> </w:t>
      </w:r>
      <w:proofErr w:type="spellStart"/>
      <w:r w:rsidRPr="00B1089D">
        <w:t>diseases</w:t>
      </w:r>
      <w:proofErr w:type="spellEnd"/>
      <w:r w:rsidRPr="00B1089D">
        <w:t xml:space="preserve">' </w:t>
      </w:r>
      <w:proofErr w:type="spellStart"/>
      <w:r w:rsidRPr="00B1089D">
        <w:t>impact</w:t>
      </w:r>
      <w:proofErr w:type="spellEnd"/>
      <w:r w:rsidRPr="00B1089D">
        <w:t xml:space="preserve"> on </w:t>
      </w:r>
      <w:proofErr w:type="spellStart"/>
      <w:r w:rsidRPr="00B1089D">
        <w:t>society</w:t>
      </w:r>
      <w:proofErr w:type="spellEnd"/>
      <w:r w:rsidRPr="00B1089D">
        <w:t xml:space="preserve"> </w:t>
      </w:r>
      <w:proofErr w:type="spellStart"/>
      <w:r w:rsidRPr="00B1089D">
        <w:t>and</w:t>
      </w:r>
      <w:proofErr w:type="spellEnd"/>
      <w:r w:rsidRPr="00B1089D">
        <w:t xml:space="preserve"> </w:t>
      </w:r>
      <w:proofErr w:type="spellStart"/>
      <w:r w:rsidRPr="00B1089D">
        <w:t>measure</w:t>
      </w:r>
      <w:proofErr w:type="spellEnd"/>
      <w:r w:rsidRPr="00B1089D">
        <w:t xml:space="preserve"> </w:t>
      </w:r>
      <w:proofErr w:type="spellStart"/>
      <w:r w:rsidRPr="00B1089D">
        <w:t>the</w:t>
      </w:r>
      <w:proofErr w:type="spellEnd"/>
      <w:r w:rsidRPr="00B1089D">
        <w:t xml:space="preserve"> </w:t>
      </w:r>
      <w:proofErr w:type="spellStart"/>
      <w:r w:rsidRPr="00B1089D">
        <w:t>cost-effectiveness</w:t>
      </w:r>
      <w:proofErr w:type="spellEnd"/>
      <w:r w:rsidRPr="00B1089D">
        <w:t xml:space="preserve"> of </w:t>
      </w:r>
      <w:proofErr w:type="spellStart"/>
      <w:r w:rsidRPr="00B1089D">
        <w:t>health</w:t>
      </w:r>
      <w:proofErr w:type="spellEnd"/>
      <w:r w:rsidRPr="00B1089D">
        <w:t xml:space="preserve"> </w:t>
      </w:r>
      <w:proofErr w:type="spellStart"/>
      <w:r w:rsidRPr="00B1089D">
        <w:t>services</w:t>
      </w:r>
      <w:proofErr w:type="spellEnd"/>
      <w:r w:rsidRPr="00B1089D">
        <w:t xml:space="preserve">. </w:t>
      </w:r>
      <w:proofErr w:type="spellStart"/>
      <w:r w:rsidRPr="00B1089D">
        <w:t>However</w:t>
      </w:r>
      <w:proofErr w:type="spellEnd"/>
      <w:r w:rsidRPr="00B1089D">
        <w:t xml:space="preserve">, </w:t>
      </w:r>
      <w:proofErr w:type="spellStart"/>
      <w:r w:rsidRPr="00B1089D">
        <w:t>there</w:t>
      </w:r>
      <w:proofErr w:type="spellEnd"/>
      <w:r w:rsidRPr="00B1089D">
        <w:t xml:space="preserve"> </w:t>
      </w:r>
      <w:proofErr w:type="spellStart"/>
      <w:r w:rsidRPr="00B1089D">
        <w:t>are</w:t>
      </w:r>
      <w:proofErr w:type="spellEnd"/>
      <w:r w:rsidRPr="00B1089D">
        <w:t xml:space="preserve"> </w:t>
      </w:r>
      <w:proofErr w:type="spellStart"/>
      <w:r w:rsidRPr="00B1089D">
        <w:t>ongoing</w:t>
      </w:r>
      <w:proofErr w:type="spellEnd"/>
      <w:r w:rsidRPr="00B1089D">
        <w:t xml:space="preserve"> </w:t>
      </w:r>
      <w:proofErr w:type="spellStart"/>
      <w:r w:rsidRPr="00B1089D">
        <w:t>discussions</w:t>
      </w:r>
      <w:proofErr w:type="spellEnd"/>
      <w:r w:rsidRPr="00B1089D">
        <w:t xml:space="preserve"> on </w:t>
      </w:r>
      <w:proofErr w:type="spellStart"/>
      <w:r w:rsidRPr="00B1089D">
        <w:t>such</w:t>
      </w:r>
      <w:proofErr w:type="spellEnd"/>
      <w:r w:rsidRPr="00B1089D">
        <w:t xml:space="preserve"> </w:t>
      </w:r>
      <w:proofErr w:type="spellStart"/>
      <w:r w:rsidRPr="00B1089D">
        <w:t>measurements</w:t>
      </w:r>
      <w:proofErr w:type="spellEnd"/>
      <w:r w:rsidRPr="00B1089D">
        <w:t xml:space="preserve">' </w:t>
      </w:r>
      <w:proofErr w:type="spellStart"/>
      <w:r w:rsidRPr="00B1089D">
        <w:t>methodological</w:t>
      </w:r>
      <w:proofErr w:type="spellEnd"/>
      <w:r w:rsidRPr="00B1089D">
        <w:t xml:space="preserve"> </w:t>
      </w:r>
      <w:proofErr w:type="spellStart"/>
      <w:r w:rsidRPr="00B1089D">
        <w:t>and</w:t>
      </w:r>
      <w:proofErr w:type="spellEnd"/>
      <w:r w:rsidRPr="00B1089D">
        <w:t xml:space="preserve"> </w:t>
      </w:r>
      <w:proofErr w:type="spellStart"/>
      <w:r w:rsidRPr="00B1089D">
        <w:t>ethical</w:t>
      </w:r>
      <w:proofErr w:type="spellEnd"/>
      <w:r w:rsidRPr="00B1089D">
        <w:t xml:space="preserve"> </w:t>
      </w:r>
      <w:proofErr w:type="spellStart"/>
      <w:r w:rsidRPr="00B1089D">
        <w:t>problems</w:t>
      </w:r>
      <w:proofErr w:type="spellEnd"/>
      <w:r w:rsidRPr="00B1089D">
        <w:t xml:space="preserve">. </w:t>
      </w:r>
      <w:proofErr w:type="spellStart"/>
      <w:r w:rsidRPr="00B1089D">
        <w:t>While</w:t>
      </w:r>
      <w:proofErr w:type="spellEnd"/>
      <w:r w:rsidRPr="00B1089D">
        <w:t xml:space="preserve"> </w:t>
      </w:r>
      <w:proofErr w:type="spellStart"/>
      <w:r w:rsidRPr="00B1089D">
        <w:t>individuals</w:t>
      </w:r>
      <w:proofErr w:type="spellEnd"/>
      <w:r w:rsidRPr="00B1089D">
        <w:t xml:space="preserve">' life </w:t>
      </w:r>
      <w:proofErr w:type="spellStart"/>
      <w:r w:rsidRPr="00B1089D">
        <w:t>activities</w:t>
      </w:r>
      <w:proofErr w:type="spellEnd"/>
      <w:r w:rsidRPr="00B1089D">
        <w:t xml:space="preserve"> </w:t>
      </w:r>
      <w:proofErr w:type="spellStart"/>
      <w:r w:rsidRPr="00B1089D">
        <w:t>are</w:t>
      </w:r>
      <w:proofErr w:type="spellEnd"/>
      <w:r w:rsidRPr="00B1089D">
        <w:t xml:space="preserve"> </w:t>
      </w:r>
      <w:proofErr w:type="spellStart"/>
      <w:r w:rsidRPr="00B1089D">
        <w:t>reduced</w:t>
      </w:r>
      <w:proofErr w:type="spellEnd"/>
      <w:r w:rsidRPr="00B1089D">
        <w:t xml:space="preserve"> </w:t>
      </w:r>
      <w:proofErr w:type="spellStart"/>
      <w:r w:rsidRPr="00B1089D">
        <w:t>to</w:t>
      </w:r>
      <w:proofErr w:type="spellEnd"/>
      <w:r w:rsidRPr="00B1089D">
        <w:t xml:space="preserve"> a </w:t>
      </w:r>
      <w:proofErr w:type="spellStart"/>
      <w:r w:rsidRPr="00B1089D">
        <w:t>purely</w:t>
      </w:r>
      <w:proofErr w:type="spellEnd"/>
      <w:r w:rsidRPr="00B1089D">
        <w:t xml:space="preserve"> </w:t>
      </w:r>
      <w:proofErr w:type="spellStart"/>
      <w:r w:rsidRPr="00B1089D">
        <w:t>quantitative</w:t>
      </w:r>
      <w:proofErr w:type="spellEnd"/>
      <w:r w:rsidRPr="00B1089D">
        <w:t xml:space="preserve"> </w:t>
      </w:r>
      <w:proofErr w:type="spellStart"/>
      <w:r w:rsidRPr="00B1089D">
        <w:t>level</w:t>
      </w:r>
      <w:proofErr w:type="spellEnd"/>
      <w:r w:rsidRPr="00B1089D">
        <w:t xml:space="preserve">, </w:t>
      </w:r>
      <w:proofErr w:type="spellStart"/>
      <w:r w:rsidRPr="00B1089D">
        <w:t>important</w:t>
      </w:r>
      <w:proofErr w:type="spellEnd"/>
      <w:r w:rsidRPr="00B1089D">
        <w:t xml:space="preserve"> </w:t>
      </w:r>
      <w:proofErr w:type="spellStart"/>
      <w:r w:rsidRPr="00B1089D">
        <w:t>elements</w:t>
      </w:r>
      <w:proofErr w:type="spellEnd"/>
      <w:r w:rsidRPr="00B1089D">
        <w:t xml:space="preserve"> </w:t>
      </w:r>
      <w:proofErr w:type="spellStart"/>
      <w:r w:rsidRPr="00B1089D">
        <w:t>such</w:t>
      </w:r>
      <w:proofErr w:type="spellEnd"/>
      <w:r w:rsidRPr="00B1089D">
        <w:t xml:space="preserve"> as </w:t>
      </w:r>
      <w:proofErr w:type="spellStart"/>
      <w:r w:rsidRPr="00B1089D">
        <w:t>subjective</w:t>
      </w:r>
      <w:proofErr w:type="spellEnd"/>
      <w:r w:rsidRPr="00B1089D">
        <w:t xml:space="preserve"> </w:t>
      </w:r>
      <w:proofErr w:type="spellStart"/>
      <w:r w:rsidRPr="00B1089D">
        <w:t>experiences</w:t>
      </w:r>
      <w:proofErr w:type="spellEnd"/>
      <w:r w:rsidRPr="00B1089D">
        <w:t xml:space="preserve">, </w:t>
      </w:r>
      <w:proofErr w:type="spellStart"/>
      <w:r w:rsidRPr="00B1089D">
        <w:t>cultural</w:t>
      </w:r>
      <w:proofErr w:type="spellEnd"/>
      <w:r w:rsidRPr="00B1089D">
        <w:t xml:space="preserve"> </w:t>
      </w:r>
      <w:proofErr w:type="spellStart"/>
      <w:r w:rsidRPr="00B1089D">
        <w:t>context</w:t>
      </w:r>
      <w:proofErr w:type="spellEnd"/>
      <w:r w:rsidRPr="00B1089D">
        <w:t xml:space="preserve">, </w:t>
      </w:r>
      <w:proofErr w:type="spellStart"/>
      <w:r w:rsidRPr="00B1089D">
        <w:t>and</w:t>
      </w:r>
      <w:proofErr w:type="spellEnd"/>
      <w:r w:rsidRPr="00B1089D">
        <w:t xml:space="preserve"> </w:t>
      </w:r>
      <w:proofErr w:type="spellStart"/>
      <w:r w:rsidRPr="00B1089D">
        <w:t>social</w:t>
      </w:r>
      <w:proofErr w:type="spellEnd"/>
      <w:r w:rsidRPr="00B1089D">
        <w:t xml:space="preserve"> </w:t>
      </w:r>
      <w:proofErr w:type="spellStart"/>
      <w:r w:rsidRPr="00B1089D">
        <w:t>structure</w:t>
      </w:r>
      <w:proofErr w:type="spellEnd"/>
      <w:r w:rsidRPr="00B1089D">
        <w:t xml:space="preserve"> can be </w:t>
      </w:r>
      <w:proofErr w:type="spellStart"/>
      <w:r w:rsidRPr="00B1089D">
        <w:t>left</w:t>
      </w:r>
      <w:proofErr w:type="spellEnd"/>
      <w:r w:rsidRPr="00B1089D">
        <w:t xml:space="preserve"> </w:t>
      </w:r>
      <w:proofErr w:type="spellStart"/>
      <w:r w:rsidRPr="00B1089D">
        <w:t>out</w:t>
      </w:r>
      <w:proofErr w:type="spellEnd"/>
      <w:r w:rsidRPr="00B1089D">
        <w:t xml:space="preserve"> of </w:t>
      </w:r>
      <w:proofErr w:type="spellStart"/>
      <w:r w:rsidRPr="00B1089D">
        <w:t>evaluation</w:t>
      </w:r>
      <w:proofErr w:type="spellEnd"/>
      <w:r w:rsidRPr="00B1089D">
        <w:t xml:space="preserve">. </w:t>
      </w:r>
      <w:proofErr w:type="spellStart"/>
      <w:r w:rsidRPr="00B1089D">
        <w:t>Moreover</w:t>
      </w:r>
      <w:proofErr w:type="spellEnd"/>
      <w:r w:rsidRPr="00B1089D">
        <w:t xml:space="preserve">, it is </w:t>
      </w:r>
      <w:proofErr w:type="spellStart"/>
      <w:r w:rsidRPr="00B1089D">
        <w:t>criticized</w:t>
      </w:r>
      <w:proofErr w:type="spellEnd"/>
      <w:r w:rsidRPr="00B1089D">
        <w:t xml:space="preserve"> </w:t>
      </w:r>
      <w:proofErr w:type="spellStart"/>
      <w:r w:rsidRPr="00B1089D">
        <w:t>that</w:t>
      </w:r>
      <w:proofErr w:type="spellEnd"/>
      <w:r w:rsidRPr="00B1089D">
        <w:t xml:space="preserve"> </w:t>
      </w:r>
      <w:proofErr w:type="spellStart"/>
      <w:r w:rsidRPr="00B1089D">
        <w:t>shaping</w:t>
      </w:r>
      <w:proofErr w:type="spellEnd"/>
      <w:r w:rsidRPr="00B1089D">
        <w:t xml:space="preserve"> </w:t>
      </w:r>
      <w:proofErr w:type="spellStart"/>
      <w:r w:rsidRPr="00B1089D">
        <w:t>health</w:t>
      </w:r>
      <w:proofErr w:type="spellEnd"/>
      <w:r w:rsidRPr="00B1089D">
        <w:t xml:space="preserve"> </w:t>
      </w:r>
      <w:proofErr w:type="spellStart"/>
      <w:r w:rsidRPr="00B1089D">
        <w:t>services</w:t>
      </w:r>
      <w:proofErr w:type="spellEnd"/>
      <w:r w:rsidRPr="00B1089D">
        <w:t xml:space="preserve"> </w:t>
      </w:r>
      <w:proofErr w:type="spellStart"/>
      <w:r w:rsidRPr="00B1089D">
        <w:t>according</w:t>
      </w:r>
      <w:proofErr w:type="spellEnd"/>
      <w:r w:rsidRPr="00B1089D">
        <w:t xml:space="preserve"> </w:t>
      </w:r>
      <w:proofErr w:type="spellStart"/>
      <w:r w:rsidRPr="00B1089D">
        <w:t>to</w:t>
      </w:r>
      <w:proofErr w:type="spellEnd"/>
      <w:r w:rsidRPr="00B1089D">
        <w:t xml:space="preserve"> </w:t>
      </w:r>
      <w:proofErr w:type="spellStart"/>
      <w:r w:rsidRPr="00B1089D">
        <w:t>criteria</w:t>
      </w:r>
      <w:proofErr w:type="spellEnd"/>
      <w:r w:rsidRPr="00B1089D">
        <w:t xml:space="preserve"> </w:t>
      </w:r>
      <w:proofErr w:type="spellStart"/>
      <w:r w:rsidRPr="00B1089D">
        <w:t>such</w:t>
      </w:r>
      <w:proofErr w:type="spellEnd"/>
      <w:r w:rsidRPr="00B1089D">
        <w:t xml:space="preserve"> as </w:t>
      </w:r>
      <w:proofErr w:type="spellStart"/>
      <w:r w:rsidRPr="00B1089D">
        <w:t>economic</w:t>
      </w:r>
      <w:proofErr w:type="spellEnd"/>
      <w:r w:rsidRPr="00B1089D">
        <w:t xml:space="preserve"> </w:t>
      </w:r>
      <w:proofErr w:type="spellStart"/>
      <w:r w:rsidRPr="00B1089D">
        <w:t>efficiency</w:t>
      </w:r>
      <w:proofErr w:type="spellEnd"/>
      <w:r w:rsidRPr="00B1089D">
        <w:t xml:space="preserve"> </w:t>
      </w:r>
      <w:proofErr w:type="spellStart"/>
      <w:r w:rsidRPr="00B1089D">
        <w:t>and</w:t>
      </w:r>
      <w:proofErr w:type="spellEnd"/>
      <w:r w:rsidRPr="00B1089D">
        <w:t xml:space="preserve"> </w:t>
      </w:r>
      <w:proofErr w:type="spellStart"/>
      <w:r w:rsidRPr="00B1089D">
        <w:t>cost-effectiveness</w:t>
      </w:r>
      <w:proofErr w:type="spellEnd"/>
      <w:r w:rsidRPr="00B1089D">
        <w:t xml:space="preserve"> </w:t>
      </w:r>
      <w:proofErr w:type="spellStart"/>
      <w:r w:rsidRPr="00B1089D">
        <w:t>creates</w:t>
      </w:r>
      <w:proofErr w:type="spellEnd"/>
      <w:r w:rsidRPr="00B1089D">
        <w:t xml:space="preserve"> a </w:t>
      </w:r>
      <w:proofErr w:type="spellStart"/>
      <w:r w:rsidRPr="00B1089D">
        <w:t>health</w:t>
      </w:r>
      <w:proofErr w:type="spellEnd"/>
      <w:r w:rsidRPr="00B1089D">
        <w:t xml:space="preserve"> </w:t>
      </w:r>
      <w:proofErr w:type="spellStart"/>
      <w:r w:rsidRPr="00B1089D">
        <w:t>concept</w:t>
      </w:r>
      <w:proofErr w:type="spellEnd"/>
      <w:r w:rsidRPr="00B1089D">
        <w:t xml:space="preserve"> </w:t>
      </w:r>
      <w:proofErr w:type="spellStart"/>
      <w:r w:rsidRPr="00B1089D">
        <w:t>that</w:t>
      </w:r>
      <w:proofErr w:type="spellEnd"/>
      <w:r w:rsidRPr="00B1089D">
        <w:t xml:space="preserve"> </w:t>
      </w:r>
      <w:proofErr w:type="spellStart"/>
      <w:r w:rsidRPr="00B1089D">
        <w:t>prioritizes</w:t>
      </w:r>
      <w:proofErr w:type="spellEnd"/>
      <w:r w:rsidRPr="00B1089D">
        <w:t xml:space="preserve"> “</w:t>
      </w:r>
      <w:proofErr w:type="spellStart"/>
      <w:r w:rsidRPr="00B1089D">
        <w:t>young</w:t>
      </w:r>
      <w:proofErr w:type="spellEnd"/>
      <w:r w:rsidRPr="00B1089D">
        <w:t xml:space="preserve">, </w:t>
      </w:r>
      <w:proofErr w:type="spellStart"/>
      <w:r w:rsidRPr="00B1089D">
        <w:t>healthy</w:t>
      </w:r>
      <w:proofErr w:type="spellEnd"/>
      <w:r w:rsidRPr="00B1089D">
        <w:t xml:space="preserve"> </w:t>
      </w:r>
      <w:proofErr w:type="spellStart"/>
      <w:r w:rsidRPr="00B1089D">
        <w:t>and</w:t>
      </w:r>
      <w:proofErr w:type="spellEnd"/>
      <w:r w:rsidRPr="00B1089D">
        <w:t xml:space="preserve"> </w:t>
      </w:r>
      <w:proofErr w:type="spellStart"/>
      <w:r w:rsidRPr="00B1089D">
        <w:t>productive</w:t>
      </w:r>
      <w:proofErr w:type="spellEnd"/>
      <w:r w:rsidRPr="00B1089D">
        <w:t xml:space="preserve">” </w:t>
      </w:r>
      <w:proofErr w:type="spellStart"/>
      <w:r w:rsidRPr="00B1089D">
        <w:t>individuals</w:t>
      </w:r>
      <w:proofErr w:type="spellEnd"/>
      <w:r w:rsidRPr="00B1089D">
        <w:t xml:space="preserve"> in </w:t>
      </w:r>
      <w:proofErr w:type="spellStart"/>
      <w:r w:rsidRPr="00B1089D">
        <w:t>particular</w:t>
      </w:r>
      <w:proofErr w:type="spellEnd"/>
      <w:r w:rsidRPr="00B1089D">
        <w:t xml:space="preserve">; it is </w:t>
      </w:r>
      <w:proofErr w:type="spellStart"/>
      <w:r w:rsidRPr="00B1089D">
        <w:t>stated</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access</w:t>
      </w:r>
      <w:proofErr w:type="spellEnd"/>
      <w:r w:rsidRPr="00B1089D">
        <w:t xml:space="preserve"> of </w:t>
      </w:r>
      <w:proofErr w:type="spellStart"/>
      <w:r w:rsidRPr="00B1089D">
        <w:t>elderly</w:t>
      </w:r>
      <w:proofErr w:type="spellEnd"/>
      <w:r w:rsidRPr="00B1089D">
        <w:t xml:space="preserve"> </w:t>
      </w:r>
      <w:proofErr w:type="spellStart"/>
      <w:r w:rsidRPr="00B1089D">
        <w:t>individuals</w:t>
      </w:r>
      <w:proofErr w:type="spellEnd"/>
      <w:r w:rsidRPr="00B1089D">
        <w:t xml:space="preserve">, </w:t>
      </w:r>
      <w:proofErr w:type="spellStart"/>
      <w:r w:rsidRPr="00B1089D">
        <w:t>disabled</w:t>
      </w:r>
      <w:proofErr w:type="spellEnd"/>
      <w:r w:rsidRPr="00B1089D">
        <w:t xml:space="preserve"> </w:t>
      </w:r>
      <w:proofErr w:type="spellStart"/>
      <w:r w:rsidRPr="00B1089D">
        <w:t>people</w:t>
      </w:r>
      <w:proofErr w:type="spellEnd"/>
      <w:r w:rsidRPr="00B1089D">
        <w:t xml:space="preserve">, </w:t>
      </w:r>
      <w:proofErr w:type="spellStart"/>
      <w:r w:rsidRPr="00B1089D">
        <w:t>and</w:t>
      </w:r>
      <w:proofErr w:type="spellEnd"/>
      <w:r w:rsidRPr="00B1089D">
        <w:t xml:space="preserve"> </w:t>
      </w:r>
      <w:proofErr w:type="spellStart"/>
      <w:r w:rsidRPr="00B1089D">
        <w:t>those</w:t>
      </w:r>
      <w:proofErr w:type="spellEnd"/>
      <w:r w:rsidRPr="00B1089D">
        <w:t xml:space="preserve"> </w:t>
      </w:r>
      <w:proofErr w:type="spellStart"/>
      <w:r w:rsidRPr="00B1089D">
        <w:t>with</w:t>
      </w:r>
      <w:proofErr w:type="spellEnd"/>
      <w:r w:rsidRPr="00B1089D">
        <w:t xml:space="preserve"> </w:t>
      </w:r>
      <w:proofErr w:type="spellStart"/>
      <w:r w:rsidRPr="00B1089D">
        <w:t>chronic</w:t>
      </w:r>
      <w:proofErr w:type="spellEnd"/>
      <w:r w:rsidRPr="00B1089D">
        <w:t xml:space="preserve"> </w:t>
      </w:r>
      <w:proofErr w:type="spellStart"/>
      <w:r w:rsidRPr="00B1089D">
        <w:t>diseases</w:t>
      </w:r>
      <w:proofErr w:type="spellEnd"/>
      <w:r w:rsidRPr="00B1089D">
        <w:t xml:space="preserve"> </w:t>
      </w:r>
      <w:proofErr w:type="spellStart"/>
      <w:r w:rsidRPr="00B1089D">
        <w:t>to</w:t>
      </w:r>
      <w:proofErr w:type="spellEnd"/>
      <w:r w:rsidRPr="00B1089D">
        <w:t xml:space="preserve"> </w:t>
      </w:r>
      <w:proofErr w:type="spellStart"/>
      <w:r w:rsidRPr="00B1089D">
        <w:t>health</w:t>
      </w:r>
      <w:proofErr w:type="spellEnd"/>
      <w:r w:rsidRPr="00B1089D">
        <w:t xml:space="preserve"> </w:t>
      </w:r>
      <w:proofErr w:type="spellStart"/>
      <w:r w:rsidRPr="00B1089D">
        <w:t>services</w:t>
      </w:r>
      <w:proofErr w:type="spellEnd"/>
      <w:r w:rsidRPr="00B1089D">
        <w:t xml:space="preserve"> can be </w:t>
      </w:r>
      <w:proofErr w:type="spellStart"/>
      <w:r w:rsidRPr="00B1089D">
        <w:t>indirectly</w:t>
      </w:r>
      <w:proofErr w:type="spellEnd"/>
      <w:r w:rsidRPr="00B1089D">
        <w:t xml:space="preserve"> </w:t>
      </w:r>
      <w:proofErr w:type="spellStart"/>
      <w:r w:rsidRPr="00B1089D">
        <w:t>limited</w:t>
      </w:r>
      <w:proofErr w:type="spellEnd"/>
      <w:r w:rsidRPr="00B1089D">
        <w:t xml:space="preserve">. </w:t>
      </w:r>
      <w:proofErr w:type="spellStart"/>
      <w:r w:rsidRPr="00B1089D">
        <w:t>In</w:t>
      </w:r>
      <w:proofErr w:type="spellEnd"/>
      <w:r w:rsidRPr="00B1089D">
        <w:t xml:space="preserve"> </w:t>
      </w:r>
      <w:proofErr w:type="spellStart"/>
      <w:r w:rsidRPr="00B1089D">
        <w:t>addition</w:t>
      </w:r>
      <w:proofErr w:type="spellEnd"/>
      <w:r w:rsidRPr="00B1089D">
        <w:t xml:space="preserve">, </w:t>
      </w:r>
      <w:proofErr w:type="spellStart"/>
      <w:r w:rsidRPr="00B1089D">
        <w:t>health</w:t>
      </w:r>
      <w:proofErr w:type="spellEnd"/>
      <w:r w:rsidRPr="00B1089D">
        <w:t xml:space="preserve"> </w:t>
      </w:r>
      <w:proofErr w:type="spellStart"/>
      <w:r w:rsidRPr="00B1089D">
        <w:t>and</w:t>
      </w:r>
      <w:proofErr w:type="spellEnd"/>
      <w:r w:rsidRPr="00B1089D">
        <w:t xml:space="preserve"> </w:t>
      </w:r>
      <w:proofErr w:type="spellStart"/>
      <w:r w:rsidRPr="00B1089D">
        <w:t>disease</w:t>
      </w:r>
      <w:proofErr w:type="spellEnd"/>
      <w:r w:rsidRPr="00B1089D">
        <w:t xml:space="preserve"> </w:t>
      </w:r>
      <w:proofErr w:type="spellStart"/>
      <w:r w:rsidRPr="00B1089D">
        <w:t>metrics</w:t>
      </w:r>
      <w:proofErr w:type="spellEnd"/>
      <w:r w:rsidRPr="00B1089D">
        <w:t xml:space="preserve"> </w:t>
      </w:r>
      <w:proofErr w:type="spellStart"/>
      <w:r w:rsidRPr="00B1089D">
        <w:t>serve</w:t>
      </w:r>
      <w:proofErr w:type="spellEnd"/>
      <w:r w:rsidRPr="00B1089D">
        <w:t xml:space="preserve"> a </w:t>
      </w:r>
      <w:proofErr w:type="spellStart"/>
      <w:r w:rsidRPr="00B1089D">
        <w:t>biopolitical</w:t>
      </w:r>
      <w:proofErr w:type="spellEnd"/>
      <w:r w:rsidRPr="00B1089D">
        <w:t xml:space="preserve"> </w:t>
      </w:r>
      <w:proofErr w:type="spellStart"/>
      <w:r w:rsidRPr="00B1089D">
        <w:t>function</w:t>
      </w:r>
      <w:proofErr w:type="spellEnd"/>
      <w:r w:rsidRPr="00B1089D">
        <w:t xml:space="preserve"> in </w:t>
      </w:r>
      <w:proofErr w:type="spellStart"/>
      <w:r w:rsidRPr="00B1089D">
        <w:t>population</w:t>
      </w:r>
      <w:proofErr w:type="spellEnd"/>
      <w:r w:rsidRPr="00B1089D">
        <w:t xml:space="preserve"> </w:t>
      </w:r>
      <w:proofErr w:type="spellStart"/>
      <w:r w:rsidRPr="00B1089D">
        <w:t>management</w:t>
      </w:r>
      <w:proofErr w:type="spellEnd"/>
      <w:r w:rsidRPr="00B1089D">
        <w:t xml:space="preserve"> </w:t>
      </w:r>
      <w:proofErr w:type="spellStart"/>
      <w:r w:rsidRPr="00B1089D">
        <w:t>and</w:t>
      </w:r>
      <w:proofErr w:type="spellEnd"/>
      <w:r w:rsidRPr="00B1089D">
        <w:t xml:space="preserve"> </w:t>
      </w:r>
      <w:proofErr w:type="spellStart"/>
      <w:r w:rsidRPr="00B1089D">
        <w:t>shaping</w:t>
      </w:r>
      <w:proofErr w:type="spellEnd"/>
      <w:r w:rsidRPr="00B1089D">
        <w:t xml:space="preserve"> global </w:t>
      </w:r>
      <w:proofErr w:type="spellStart"/>
      <w:r w:rsidRPr="00B1089D">
        <w:t>health</w:t>
      </w:r>
      <w:proofErr w:type="spellEnd"/>
      <w:r w:rsidRPr="00B1089D">
        <w:t xml:space="preserve"> </w:t>
      </w:r>
      <w:proofErr w:type="spellStart"/>
      <w:r w:rsidRPr="00B1089D">
        <w:t>policies</w:t>
      </w:r>
      <w:proofErr w:type="spellEnd"/>
      <w:r w:rsidRPr="00B1089D">
        <w:t xml:space="preserve">. </w:t>
      </w:r>
      <w:proofErr w:type="spellStart"/>
      <w:r w:rsidRPr="00B1089D">
        <w:t>Assessments</w:t>
      </w:r>
      <w:proofErr w:type="spellEnd"/>
      <w:r w:rsidRPr="00B1089D">
        <w:t xml:space="preserve"> </w:t>
      </w:r>
      <w:proofErr w:type="spellStart"/>
      <w:r w:rsidRPr="00B1089D">
        <w:t>made</w:t>
      </w:r>
      <w:proofErr w:type="spellEnd"/>
      <w:r w:rsidRPr="00B1089D">
        <w:t xml:space="preserve"> </w:t>
      </w:r>
      <w:proofErr w:type="spellStart"/>
      <w:r w:rsidRPr="00B1089D">
        <w:t>according</w:t>
      </w:r>
      <w:proofErr w:type="spellEnd"/>
      <w:r w:rsidRPr="00B1089D">
        <w:t xml:space="preserve"> </w:t>
      </w:r>
      <w:proofErr w:type="spellStart"/>
      <w:r w:rsidRPr="00B1089D">
        <w:t>to</w:t>
      </w:r>
      <w:proofErr w:type="spellEnd"/>
      <w:r w:rsidRPr="00B1089D">
        <w:t xml:space="preserve"> </w:t>
      </w:r>
      <w:proofErr w:type="spellStart"/>
      <w:r w:rsidRPr="00B1089D">
        <w:t>specific</w:t>
      </w:r>
      <w:proofErr w:type="spellEnd"/>
      <w:r w:rsidRPr="00B1089D">
        <w:t xml:space="preserve"> </w:t>
      </w:r>
      <w:proofErr w:type="spellStart"/>
      <w:r w:rsidRPr="00B1089D">
        <w:t>standards</w:t>
      </w:r>
      <w:proofErr w:type="spellEnd"/>
      <w:r w:rsidRPr="00B1089D">
        <w:t xml:space="preserve"> can </w:t>
      </w:r>
      <w:proofErr w:type="spellStart"/>
      <w:r w:rsidRPr="00B1089D">
        <w:t>create</w:t>
      </w:r>
      <w:proofErr w:type="spellEnd"/>
      <w:r w:rsidRPr="00B1089D">
        <w:t xml:space="preserve"> </w:t>
      </w:r>
      <w:proofErr w:type="spellStart"/>
      <w:r w:rsidRPr="00B1089D">
        <w:t>distinctions</w:t>
      </w:r>
      <w:proofErr w:type="spellEnd"/>
      <w:r w:rsidRPr="00B1089D">
        <w:t xml:space="preserve"> </w:t>
      </w:r>
      <w:proofErr w:type="spellStart"/>
      <w:r w:rsidRPr="00B1089D">
        <w:t>about</w:t>
      </w:r>
      <w:proofErr w:type="spellEnd"/>
      <w:r w:rsidRPr="00B1089D">
        <w:t xml:space="preserve"> </w:t>
      </w:r>
      <w:proofErr w:type="spellStart"/>
      <w:r w:rsidRPr="00B1089D">
        <w:t>which</w:t>
      </w:r>
      <w:proofErr w:type="spellEnd"/>
      <w:r w:rsidRPr="00B1089D">
        <w:t xml:space="preserve"> </w:t>
      </w:r>
      <w:proofErr w:type="spellStart"/>
      <w:r w:rsidRPr="00B1089D">
        <w:t>lives</w:t>
      </w:r>
      <w:proofErr w:type="spellEnd"/>
      <w:r w:rsidRPr="00B1089D">
        <w:t xml:space="preserve"> </w:t>
      </w:r>
      <w:proofErr w:type="spellStart"/>
      <w:r w:rsidRPr="00B1089D">
        <w:t>are</w:t>
      </w:r>
      <w:proofErr w:type="spellEnd"/>
      <w:r w:rsidRPr="00B1089D">
        <w:t xml:space="preserve"> </w:t>
      </w:r>
      <w:proofErr w:type="spellStart"/>
      <w:r w:rsidRPr="00B1089D">
        <w:t>deemed</w:t>
      </w:r>
      <w:proofErr w:type="spellEnd"/>
      <w:r w:rsidRPr="00B1089D">
        <w:t xml:space="preserve"> “</w:t>
      </w:r>
      <w:proofErr w:type="spellStart"/>
      <w:r w:rsidRPr="00B1089D">
        <w:t>more</w:t>
      </w:r>
      <w:proofErr w:type="spellEnd"/>
      <w:r w:rsidRPr="00B1089D">
        <w:t xml:space="preserve"> </w:t>
      </w:r>
      <w:proofErr w:type="spellStart"/>
      <w:r w:rsidRPr="00B1089D">
        <w:t>worthy</w:t>
      </w:r>
      <w:proofErr w:type="spellEnd"/>
      <w:r w:rsidRPr="00B1089D">
        <w:t xml:space="preserve"> of </w:t>
      </w:r>
      <w:proofErr w:type="spellStart"/>
      <w:r w:rsidRPr="00B1089D">
        <w:t>investment</w:t>
      </w:r>
      <w:proofErr w:type="spellEnd"/>
      <w:r w:rsidRPr="00B1089D">
        <w:t xml:space="preserve">” </w:t>
      </w:r>
      <w:proofErr w:type="spellStart"/>
      <w:r w:rsidRPr="00B1089D">
        <w:t>regarding</w:t>
      </w:r>
      <w:proofErr w:type="spellEnd"/>
      <w:r w:rsidRPr="00B1089D">
        <w:t xml:space="preserve"> </w:t>
      </w:r>
      <w:proofErr w:type="spellStart"/>
      <w:r w:rsidRPr="00B1089D">
        <w:t>health</w:t>
      </w:r>
      <w:proofErr w:type="spellEnd"/>
      <w:r w:rsidRPr="00B1089D">
        <w:t xml:space="preserve"> </w:t>
      </w:r>
      <w:proofErr w:type="spellStart"/>
      <w:r w:rsidRPr="00B1089D">
        <w:t>services</w:t>
      </w:r>
      <w:proofErr w:type="spellEnd"/>
      <w:r w:rsidRPr="00B1089D">
        <w:t xml:space="preserve">. </w:t>
      </w:r>
      <w:proofErr w:type="spellStart"/>
      <w:r w:rsidRPr="00B1089D">
        <w:t>Thus</w:t>
      </w:r>
      <w:proofErr w:type="spellEnd"/>
      <w:r w:rsidRPr="00B1089D">
        <w:t xml:space="preserve">, an </w:t>
      </w:r>
      <w:proofErr w:type="spellStart"/>
      <w:r w:rsidRPr="00B1089D">
        <w:t>implicit</w:t>
      </w:r>
      <w:proofErr w:type="spellEnd"/>
      <w:r w:rsidRPr="00B1089D">
        <w:t xml:space="preserve"> </w:t>
      </w:r>
      <w:proofErr w:type="spellStart"/>
      <w:r w:rsidRPr="00B1089D">
        <w:t>or</w:t>
      </w:r>
      <w:proofErr w:type="spellEnd"/>
      <w:r w:rsidRPr="00B1089D">
        <w:t xml:space="preserve"> </w:t>
      </w:r>
      <w:proofErr w:type="spellStart"/>
      <w:r w:rsidRPr="00B1089D">
        <w:t>embedded</w:t>
      </w:r>
      <w:proofErr w:type="spellEnd"/>
      <w:r w:rsidRPr="00B1089D">
        <w:t xml:space="preserve"> </w:t>
      </w:r>
      <w:proofErr w:type="spellStart"/>
      <w:r w:rsidRPr="00B1089D">
        <w:t>hierarchy</w:t>
      </w:r>
      <w:proofErr w:type="spellEnd"/>
      <w:r w:rsidRPr="00B1089D">
        <w:t xml:space="preserve"> can be </w:t>
      </w:r>
      <w:proofErr w:type="spellStart"/>
      <w:r w:rsidRPr="00B1089D">
        <w:t>created</w:t>
      </w:r>
      <w:proofErr w:type="spellEnd"/>
      <w:r w:rsidRPr="00B1089D">
        <w:t xml:space="preserve"> </w:t>
      </w:r>
      <w:proofErr w:type="spellStart"/>
      <w:r w:rsidRPr="00B1089D">
        <w:t>when</w:t>
      </w:r>
      <w:proofErr w:type="spellEnd"/>
      <w:r w:rsidRPr="00B1089D">
        <w:t xml:space="preserve"> </w:t>
      </w:r>
      <w:proofErr w:type="spellStart"/>
      <w:r w:rsidRPr="00B1089D">
        <w:t>deciding</w:t>
      </w:r>
      <w:proofErr w:type="spellEnd"/>
      <w:r w:rsidRPr="00B1089D">
        <w:t xml:space="preserve"> </w:t>
      </w:r>
      <w:proofErr w:type="spellStart"/>
      <w:r w:rsidRPr="00B1089D">
        <w:t>which</w:t>
      </w:r>
      <w:proofErr w:type="spellEnd"/>
      <w:r w:rsidRPr="00B1089D">
        <w:t xml:space="preserve"> </w:t>
      </w:r>
      <w:proofErr w:type="spellStart"/>
      <w:r w:rsidRPr="00B1089D">
        <w:t>areas</w:t>
      </w:r>
      <w:proofErr w:type="spellEnd"/>
      <w:r w:rsidRPr="00B1089D">
        <w:t xml:space="preserve"> </w:t>
      </w:r>
      <w:proofErr w:type="spellStart"/>
      <w:r w:rsidRPr="00B1089D">
        <w:t>to</w:t>
      </w:r>
      <w:proofErr w:type="spellEnd"/>
      <w:r w:rsidRPr="00B1089D">
        <w:t xml:space="preserve"> </w:t>
      </w:r>
      <w:proofErr w:type="spellStart"/>
      <w:r w:rsidRPr="00B1089D">
        <w:t>prioritize</w:t>
      </w:r>
      <w:proofErr w:type="spellEnd"/>
      <w:r w:rsidRPr="00B1089D">
        <w:t xml:space="preserve"> </w:t>
      </w:r>
      <w:proofErr w:type="spellStart"/>
      <w:r w:rsidRPr="00B1089D">
        <w:t>within</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discuss</w:t>
      </w:r>
      <w:proofErr w:type="spellEnd"/>
      <w:r w:rsidRPr="00B1089D">
        <w:t xml:space="preserve"> </w:t>
      </w:r>
      <w:proofErr w:type="spellStart"/>
      <w:r w:rsidRPr="00B1089D">
        <w:t>what</w:t>
      </w:r>
      <w:proofErr w:type="spellEnd"/>
      <w:r w:rsidRPr="00B1089D">
        <w:t xml:space="preserve"> </w:t>
      </w:r>
      <w:proofErr w:type="spellStart"/>
      <w:r w:rsidRPr="00B1089D">
        <w:t>these</w:t>
      </w:r>
      <w:proofErr w:type="spellEnd"/>
      <w:r w:rsidRPr="00B1089D">
        <w:t xml:space="preserve"> </w:t>
      </w:r>
      <w:proofErr w:type="spellStart"/>
      <w:r w:rsidRPr="00B1089D">
        <w:t>indicators</w:t>
      </w:r>
      <w:proofErr w:type="spellEnd"/>
      <w:r w:rsidRPr="00B1089D">
        <w:t xml:space="preserve"> </w:t>
      </w:r>
      <w:proofErr w:type="spellStart"/>
      <w:r w:rsidRPr="00B1089D">
        <w:t>measure</w:t>
      </w:r>
      <w:proofErr w:type="spellEnd"/>
      <w:r w:rsidRPr="00B1089D">
        <w:t xml:space="preserve"> </w:t>
      </w:r>
      <w:proofErr w:type="spellStart"/>
      <w:r w:rsidRPr="00B1089D">
        <w:t>and</w:t>
      </w:r>
      <w:proofErr w:type="spellEnd"/>
      <w:r w:rsidRPr="00B1089D">
        <w:t xml:space="preserve"> </w:t>
      </w:r>
      <w:proofErr w:type="spellStart"/>
      <w:r w:rsidRPr="00B1089D">
        <w:t>ignore</w:t>
      </w:r>
      <w:proofErr w:type="spellEnd"/>
      <w:r w:rsidRPr="00B1089D">
        <w:t xml:space="preserve"> </w:t>
      </w:r>
      <w:proofErr w:type="spellStart"/>
      <w:r w:rsidRPr="00B1089D">
        <w:t>by</w:t>
      </w:r>
      <w:proofErr w:type="spellEnd"/>
      <w:r w:rsidRPr="00B1089D">
        <w:t xml:space="preserve"> </w:t>
      </w:r>
      <w:proofErr w:type="spellStart"/>
      <w:r w:rsidRPr="00B1089D">
        <w:t>addressing</w:t>
      </w:r>
      <w:proofErr w:type="spellEnd"/>
      <w:r w:rsidRPr="00B1089D">
        <w:t xml:space="preserve"> </w:t>
      </w:r>
      <w:proofErr w:type="spellStart"/>
      <w:r w:rsidRPr="00B1089D">
        <w:t>the</w:t>
      </w:r>
      <w:proofErr w:type="spellEnd"/>
      <w:r w:rsidRPr="00B1089D">
        <w:t xml:space="preserve"> </w:t>
      </w:r>
      <w:proofErr w:type="spellStart"/>
      <w:r w:rsidRPr="00B1089D">
        <w:t>ethical</w:t>
      </w:r>
      <w:proofErr w:type="spellEnd"/>
      <w:r w:rsidRPr="00B1089D">
        <w:t xml:space="preserve"> </w:t>
      </w:r>
      <w:proofErr w:type="spellStart"/>
      <w:r w:rsidRPr="00B1089D">
        <w:t>dilemmas</w:t>
      </w:r>
      <w:proofErr w:type="spellEnd"/>
      <w:r w:rsidRPr="00B1089D">
        <w:t xml:space="preserve"> </w:t>
      </w:r>
      <w:proofErr w:type="spellStart"/>
      <w:r w:rsidRPr="00B1089D">
        <w:t>and</w:t>
      </w:r>
      <w:proofErr w:type="spellEnd"/>
      <w:r w:rsidRPr="00B1089D">
        <w:t xml:space="preserve"> </w:t>
      </w:r>
      <w:proofErr w:type="spellStart"/>
      <w:r w:rsidRPr="00B1089D">
        <w:t>biopolitical</w:t>
      </w:r>
      <w:proofErr w:type="spellEnd"/>
      <w:r w:rsidRPr="00B1089D">
        <w:t xml:space="preserve"> </w:t>
      </w:r>
      <w:proofErr w:type="spellStart"/>
      <w:r w:rsidRPr="00B1089D">
        <w:t>framework</w:t>
      </w:r>
      <w:proofErr w:type="spellEnd"/>
      <w:r w:rsidRPr="00B1089D">
        <w:t xml:space="preserve"> of </w:t>
      </w:r>
      <w:proofErr w:type="spellStart"/>
      <w:r w:rsidRPr="00B1089D">
        <w:t>disease</w:t>
      </w:r>
      <w:proofErr w:type="spellEnd"/>
      <w:r w:rsidRPr="00B1089D">
        <w:t xml:space="preserve"> </w:t>
      </w:r>
      <w:proofErr w:type="spellStart"/>
      <w:r w:rsidRPr="00B1089D">
        <w:t>burden</w:t>
      </w:r>
      <w:proofErr w:type="spellEnd"/>
      <w:r w:rsidRPr="00B1089D">
        <w:t xml:space="preserve"> </w:t>
      </w:r>
      <w:proofErr w:type="spellStart"/>
      <w:r w:rsidRPr="00B1089D">
        <w:t>indicators</w:t>
      </w:r>
      <w:proofErr w:type="spellEnd"/>
      <w:r w:rsidRPr="00B1089D">
        <w:t xml:space="preserve">. </w:t>
      </w:r>
      <w:proofErr w:type="spellStart"/>
      <w:r w:rsidRPr="00B1089D">
        <w:t>Ultimately</w:t>
      </w:r>
      <w:proofErr w:type="spellEnd"/>
      <w:r w:rsidRPr="00B1089D">
        <w:t xml:space="preserve">, it </w:t>
      </w:r>
      <w:proofErr w:type="spellStart"/>
      <w:r w:rsidRPr="00B1089D">
        <w:t>will</w:t>
      </w:r>
      <w:proofErr w:type="spellEnd"/>
      <w:r w:rsidRPr="00B1089D">
        <w:t xml:space="preserve"> be </w:t>
      </w:r>
      <w:proofErr w:type="spellStart"/>
      <w:r w:rsidRPr="00B1089D">
        <w:t>attempted</w:t>
      </w:r>
      <w:proofErr w:type="spellEnd"/>
      <w:r w:rsidRPr="00B1089D">
        <w:t xml:space="preserve"> </w:t>
      </w:r>
      <w:proofErr w:type="spellStart"/>
      <w:r w:rsidRPr="00B1089D">
        <w:t>to</w:t>
      </w:r>
      <w:proofErr w:type="spellEnd"/>
      <w:r w:rsidRPr="00B1089D">
        <w:t xml:space="preserve"> </w:t>
      </w:r>
      <w:proofErr w:type="spellStart"/>
      <w:r w:rsidRPr="00B1089D">
        <w:t>question</w:t>
      </w:r>
      <w:proofErr w:type="spellEnd"/>
      <w:r w:rsidRPr="00B1089D">
        <w:t xml:space="preserve"> </w:t>
      </w:r>
      <w:proofErr w:type="spellStart"/>
      <w:r w:rsidRPr="00B1089D">
        <w:t>whether</w:t>
      </w:r>
      <w:proofErr w:type="spellEnd"/>
      <w:r w:rsidRPr="00B1089D">
        <w:t xml:space="preserve"> </w:t>
      </w:r>
      <w:proofErr w:type="spellStart"/>
      <w:r w:rsidRPr="00B1089D">
        <w:t>the</w:t>
      </w:r>
      <w:proofErr w:type="spellEnd"/>
      <w:r w:rsidRPr="00B1089D">
        <w:t xml:space="preserve"> </w:t>
      </w:r>
      <w:proofErr w:type="spellStart"/>
      <w:r w:rsidRPr="00B1089D">
        <w:t>use</w:t>
      </w:r>
      <w:proofErr w:type="spellEnd"/>
      <w:r w:rsidRPr="00B1089D">
        <w:t xml:space="preserve"> of </w:t>
      </w:r>
      <w:proofErr w:type="spellStart"/>
      <w:r w:rsidRPr="00B1089D">
        <w:t>these</w:t>
      </w:r>
      <w:proofErr w:type="spellEnd"/>
      <w:r w:rsidRPr="00B1089D">
        <w:t xml:space="preserve"> </w:t>
      </w:r>
      <w:proofErr w:type="spellStart"/>
      <w:r w:rsidRPr="00B1089D">
        <w:t>indicators</w:t>
      </w:r>
      <w:proofErr w:type="spellEnd"/>
      <w:r w:rsidRPr="00B1089D">
        <w:t xml:space="preserve"> in global </w:t>
      </w:r>
      <w:proofErr w:type="spellStart"/>
      <w:r w:rsidRPr="00B1089D">
        <w:t>health</w:t>
      </w:r>
      <w:proofErr w:type="spellEnd"/>
      <w:r w:rsidRPr="00B1089D">
        <w:t xml:space="preserve"> </w:t>
      </w:r>
      <w:proofErr w:type="spellStart"/>
      <w:r w:rsidRPr="00B1089D">
        <w:t>policies</w:t>
      </w:r>
      <w:proofErr w:type="spellEnd"/>
      <w:r w:rsidRPr="00B1089D">
        <w:t xml:space="preserve"> </w:t>
      </w:r>
      <w:proofErr w:type="spellStart"/>
      <w:r w:rsidRPr="00B1089D">
        <w:t>carries</w:t>
      </w:r>
      <w:proofErr w:type="spellEnd"/>
      <w:r w:rsidRPr="00B1089D">
        <w:t xml:space="preserve"> </w:t>
      </w:r>
      <w:proofErr w:type="spellStart"/>
      <w:r w:rsidRPr="00B1089D">
        <w:t>the</w:t>
      </w:r>
      <w:proofErr w:type="spellEnd"/>
      <w:r w:rsidRPr="00B1089D">
        <w:t xml:space="preserve"> risk of </w:t>
      </w:r>
      <w:proofErr w:type="spellStart"/>
      <w:r w:rsidRPr="00B1089D">
        <w:t>deepening</w:t>
      </w:r>
      <w:proofErr w:type="spellEnd"/>
      <w:r w:rsidRPr="00B1089D">
        <w:t xml:space="preserve"> </w:t>
      </w:r>
      <w:proofErr w:type="spellStart"/>
      <w:r w:rsidRPr="00B1089D">
        <w:t>health</w:t>
      </w:r>
      <w:proofErr w:type="spellEnd"/>
      <w:r w:rsidRPr="00B1089D">
        <w:t xml:space="preserve"> </w:t>
      </w:r>
      <w:proofErr w:type="spellStart"/>
      <w:r w:rsidRPr="00B1089D">
        <w:t>inequalities</w:t>
      </w:r>
      <w:proofErr w:type="spellEnd"/>
      <w:r w:rsidRPr="00B1089D">
        <w:t>.</w:t>
      </w:r>
    </w:p>
    <w:p w14:paraId="3276E6EA" w14:textId="77777777" w:rsidR="00FA457D" w:rsidRPr="00B1089D" w:rsidRDefault="00FA457D" w:rsidP="00E359E0">
      <w:pPr>
        <w:widowControl/>
        <w:jc w:val="both"/>
      </w:pPr>
    </w:p>
    <w:p w14:paraId="2BECF516" w14:textId="01F8326B" w:rsidR="00D37D80" w:rsidRDefault="00FA457D" w:rsidP="00E359E0">
      <w:pPr>
        <w:widowControl/>
        <w:jc w:val="both"/>
      </w:pPr>
      <w:proofErr w:type="spellStart"/>
      <w:r w:rsidRPr="00B1089D">
        <w:rPr>
          <w:b/>
          <w:bCs/>
        </w:rPr>
        <w:t>Keywords</w:t>
      </w:r>
      <w:proofErr w:type="spellEnd"/>
      <w:r w:rsidRPr="00B1089D">
        <w:rPr>
          <w:b/>
          <w:bCs/>
        </w:rPr>
        <w:t xml:space="preserve">: </w:t>
      </w:r>
      <w:proofErr w:type="spellStart"/>
      <w:r w:rsidRPr="00B1089D">
        <w:t>Disease</w:t>
      </w:r>
      <w:proofErr w:type="spellEnd"/>
      <w:r w:rsidRPr="00B1089D">
        <w:t xml:space="preserve"> </w:t>
      </w:r>
      <w:proofErr w:type="spellStart"/>
      <w:r w:rsidRPr="00B1089D">
        <w:t>Burden</w:t>
      </w:r>
      <w:proofErr w:type="spellEnd"/>
      <w:r w:rsidRPr="00B1089D">
        <w:t xml:space="preserve">, </w:t>
      </w:r>
      <w:proofErr w:type="spellStart"/>
      <w:r w:rsidRPr="00B1089D">
        <w:t>Ethics</w:t>
      </w:r>
      <w:proofErr w:type="spellEnd"/>
      <w:r w:rsidRPr="00B1089D">
        <w:t xml:space="preserve">, </w:t>
      </w:r>
      <w:proofErr w:type="spellStart"/>
      <w:r w:rsidRPr="00B1089D">
        <w:t>Biopolitics</w:t>
      </w:r>
      <w:proofErr w:type="spellEnd"/>
      <w:r w:rsidRPr="00B1089D">
        <w:t xml:space="preserve">, </w:t>
      </w:r>
      <w:proofErr w:type="spellStart"/>
      <w:r w:rsidRPr="00B1089D">
        <w:t>Health</w:t>
      </w:r>
      <w:proofErr w:type="spellEnd"/>
      <w:r w:rsidRPr="00B1089D">
        <w:t xml:space="preserve"> </w:t>
      </w:r>
      <w:proofErr w:type="spellStart"/>
      <w:r w:rsidRPr="00B1089D">
        <w:t>Policy</w:t>
      </w:r>
      <w:proofErr w:type="spellEnd"/>
      <w:r w:rsidRPr="00B1089D">
        <w:t xml:space="preserve">, Healthcare </w:t>
      </w:r>
      <w:proofErr w:type="spellStart"/>
      <w:r w:rsidRPr="00B1089D">
        <w:t>Equity</w:t>
      </w:r>
      <w:proofErr w:type="spellEnd"/>
    </w:p>
    <w:p w14:paraId="008569E5" w14:textId="33B05424" w:rsidR="00E359E0" w:rsidRPr="006871AB" w:rsidRDefault="00D37D80" w:rsidP="00D37D80">
      <w:pPr>
        <w:autoSpaceDE/>
        <w:autoSpaceDN/>
      </w:pPr>
      <w:r>
        <w:br w:type="page"/>
      </w:r>
    </w:p>
    <w:p w14:paraId="48A06704" w14:textId="5CF49D91" w:rsidR="00FA457D" w:rsidRDefault="00FA457D" w:rsidP="0079785E">
      <w:pPr>
        <w:pStyle w:val="Tark"/>
      </w:pPr>
      <w:bookmarkStart w:id="248" w:name="_Toc192855270"/>
      <w:proofErr w:type="spellStart"/>
      <w:r w:rsidRPr="00B1089D">
        <w:lastRenderedPageBreak/>
        <w:t>Measuring</w:t>
      </w:r>
      <w:proofErr w:type="spellEnd"/>
      <w:r w:rsidRPr="00B1089D">
        <w:t xml:space="preserve"> </w:t>
      </w:r>
      <w:proofErr w:type="spellStart"/>
      <w:r w:rsidRPr="00B1089D">
        <w:t>the</w:t>
      </w:r>
      <w:proofErr w:type="spellEnd"/>
      <w:r w:rsidRPr="00B1089D">
        <w:t xml:space="preserve"> </w:t>
      </w:r>
      <w:proofErr w:type="spellStart"/>
      <w:r w:rsidRPr="00B1089D">
        <w:t>Economic</w:t>
      </w:r>
      <w:proofErr w:type="spellEnd"/>
      <w:r w:rsidRPr="00B1089D">
        <w:t xml:space="preserve"> Security </w:t>
      </w:r>
      <w:proofErr w:type="spellStart"/>
      <w:r w:rsidRPr="00B1089D">
        <w:t>from</w:t>
      </w:r>
      <w:proofErr w:type="spellEnd"/>
      <w:r w:rsidRPr="00B1089D">
        <w:t xml:space="preserve"> </w:t>
      </w:r>
      <w:proofErr w:type="spellStart"/>
      <w:r w:rsidRPr="00B1089D">
        <w:t>Copenhagen</w:t>
      </w:r>
      <w:proofErr w:type="spellEnd"/>
      <w:r w:rsidRPr="00B1089D">
        <w:t xml:space="preserve"> </w:t>
      </w:r>
      <w:proofErr w:type="spellStart"/>
      <w:r w:rsidRPr="00B1089D">
        <w:t>School’s</w:t>
      </w:r>
      <w:proofErr w:type="spellEnd"/>
      <w:r w:rsidRPr="00B1089D">
        <w:t xml:space="preserve"> </w:t>
      </w:r>
      <w:proofErr w:type="spellStart"/>
      <w:r w:rsidRPr="00B1089D">
        <w:t>Perspective</w:t>
      </w:r>
      <w:proofErr w:type="spellEnd"/>
      <w:r w:rsidRPr="00B1089D">
        <w:t xml:space="preserve">: </w:t>
      </w:r>
      <w:proofErr w:type="spellStart"/>
      <w:r w:rsidRPr="00B1089D">
        <w:t>Comparison</w:t>
      </w:r>
      <w:proofErr w:type="spellEnd"/>
      <w:r w:rsidRPr="00B1089D">
        <w:t xml:space="preserve"> of </w:t>
      </w:r>
      <w:proofErr w:type="spellStart"/>
      <w:r w:rsidRPr="00B1089D">
        <w:t>Selected</w:t>
      </w:r>
      <w:proofErr w:type="spellEnd"/>
      <w:r w:rsidRPr="00B1089D">
        <w:t xml:space="preserve"> </w:t>
      </w:r>
      <w:proofErr w:type="spellStart"/>
      <w:r w:rsidRPr="00B1089D">
        <w:t>Regions</w:t>
      </w:r>
      <w:bookmarkEnd w:id="248"/>
      <w:proofErr w:type="spellEnd"/>
    </w:p>
    <w:p w14:paraId="4FA6625E" w14:textId="77777777" w:rsidR="0079785E" w:rsidRPr="0079785E" w:rsidRDefault="0079785E" w:rsidP="0079785E">
      <w:pPr>
        <w:pStyle w:val="Metin"/>
      </w:pPr>
    </w:p>
    <w:p w14:paraId="4C9CEF3A" w14:textId="6A15BC04" w:rsidR="00FA457D" w:rsidRPr="00D10870" w:rsidRDefault="00FA457D" w:rsidP="006871AB">
      <w:pPr>
        <w:widowControl/>
        <w:tabs>
          <w:tab w:val="left" w:pos="2904"/>
          <w:tab w:val="center" w:pos="4536"/>
        </w:tabs>
        <w:jc w:val="center"/>
      </w:pPr>
      <w:r w:rsidRPr="00D10870">
        <w:t>Görkem Durak</w:t>
      </w:r>
    </w:p>
    <w:p w14:paraId="3B9257B1" w14:textId="77777777" w:rsidR="00FA457D" w:rsidRPr="00D10870" w:rsidRDefault="00FA457D" w:rsidP="00FA457D">
      <w:pPr>
        <w:widowControl/>
        <w:tabs>
          <w:tab w:val="left" w:pos="2904"/>
          <w:tab w:val="center" w:pos="4536"/>
        </w:tabs>
      </w:pPr>
    </w:p>
    <w:p w14:paraId="783AF00C" w14:textId="77777777" w:rsidR="00FA457D" w:rsidRPr="00B1089D" w:rsidRDefault="00FA457D" w:rsidP="00FA457D">
      <w:pPr>
        <w:widowControl/>
        <w:tabs>
          <w:tab w:val="left" w:pos="2904"/>
          <w:tab w:val="center" w:pos="4536"/>
        </w:tabs>
        <w:jc w:val="center"/>
        <w:rPr>
          <w:b/>
          <w:bCs/>
        </w:rPr>
      </w:pPr>
      <w:proofErr w:type="spellStart"/>
      <w:r w:rsidRPr="00D10870">
        <w:rPr>
          <w:b/>
          <w:bCs/>
        </w:rPr>
        <w:t>Abstract</w:t>
      </w:r>
      <w:proofErr w:type="spellEnd"/>
    </w:p>
    <w:p w14:paraId="0817F8E5" w14:textId="77777777" w:rsidR="00FA457D" w:rsidRPr="00D10870" w:rsidRDefault="00FA457D" w:rsidP="00E359E0">
      <w:pPr>
        <w:widowControl/>
        <w:jc w:val="both"/>
      </w:pPr>
      <w:proofErr w:type="spellStart"/>
      <w:r w:rsidRPr="00B1089D">
        <w:t>Economic</w:t>
      </w:r>
      <w:proofErr w:type="spellEnd"/>
      <w:r w:rsidRPr="00B1089D">
        <w:t xml:space="preserve"> </w:t>
      </w:r>
      <w:proofErr w:type="spellStart"/>
      <w:r w:rsidRPr="00B1089D">
        <w:t>security</w:t>
      </w:r>
      <w:proofErr w:type="spellEnd"/>
      <w:r w:rsidRPr="00B1089D">
        <w:t xml:space="preserve"> has </w:t>
      </w:r>
      <w:proofErr w:type="spellStart"/>
      <w:r w:rsidRPr="00B1089D">
        <w:t>become</w:t>
      </w:r>
      <w:proofErr w:type="spellEnd"/>
      <w:r w:rsidRPr="00B1089D">
        <w:t xml:space="preserve"> </w:t>
      </w:r>
      <w:proofErr w:type="spellStart"/>
      <w:r w:rsidRPr="00B1089D">
        <w:t>vital</w:t>
      </w:r>
      <w:proofErr w:type="spellEnd"/>
      <w:r w:rsidRPr="00B1089D">
        <w:t xml:space="preserve"> </w:t>
      </w:r>
      <w:proofErr w:type="spellStart"/>
      <w:r w:rsidRPr="00B1089D">
        <w:t>for</w:t>
      </w:r>
      <w:proofErr w:type="spellEnd"/>
      <w:r w:rsidRPr="00B1089D">
        <w:t xml:space="preserve"> </w:t>
      </w:r>
      <w:proofErr w:type="spellStart"/>
      <w:r w:rsidRPr="00B1089D">
        <w:t>governments</w:t>
      </w:r>
      <w:proofErr w:type="spellEnd"/>
      <w:r w:rsidRPr="00B1089D">
        <w:t xml:space="preserve"> in </w:t>
      </w:r>
      <w:proofErr w:type="spellStart"/>
      <w:r w:rsidRPr="00B1089D">
        <w:t>today's</w:t>
      </w:r>
      <w:proofErr w:type="spellEnd"/>
      <w:r w:rsidRPr="00B1089D">
        <w:t xml:space="preserve"> </w:t>
      </w:r>
      <w:proofErr w:type="spellStart"/>
      <w:r w:rsidRPr="00B1089D">
        <w:t>world</w:t>
      </w:r>
      <w:proofErr w:type="spellEnd"/>
      <w:r w:rsidRPr="00B1089D">
        <w:t xml:space="preserve">, </w:t>
      </w:r>
      <w:proofErr w:type="spellStart"/>
      <w:r w:rsidRPr="00B1089D">
        <w:t>marked</w:t>
      </w:r>
      <w:proofErr w:type="spellEnd"/>
      <w:r w:rsidRPr="00B1089D">
        <w:t xml:space="preserve"> </w:t>
      </w:r>
      <w:proofErr w:type="spellStart"/>
      <w:r w:rsidRPr="00B1089D">
        <w:t>by</w:t>
      </w:r>
      <w:proofErr w:type="spellEnd"/>
      <w:r w:rsidRPr="00B1089D">
        <w:t xml:space="preserve"> </w:t>
      </w:r>
      <w:proofErr w:type="spellStart"/>
      <w:r w:rsidRPr="00B1089D">
        <w:t>interdependencies</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challenges</w:t>
      </w:r>
      <w:proofErr w:type="spellEnd"/>
      <w:r w:rsidRPr="00B1089D">
        <w:t xml:space="preserve">. Barry </w:t>
      </w:r>
      <w:proofErr w:type="spellStart"/>
      <w:r w:rsidRPr="00B1089D">
        <w:t>Buzan's</w:t>
      </w:r>
      <w:proofErr w:type="spellEnd"/>
      <w:r w:rsidRPr="00B1089D">
        <w:t xml:space="preserve"> </w:t>
      </w:r>
      <w:proofErr w:type="spellStart"/>
      <w:r w:rsidRPr="00B1089D">
        <w:t>security</w:t>
      </w:r>
      <w:proofErr w:type="spellEnd"/>
      <w:r w:rsidRPr="00B1089D">
        <w:t xml:space="preserve"> </w:t>
      </w:r>
      <w:proofErr w:type="spellStart"/>
      <w:r w:rsidRPr="00B1089D">
        <w:t>sector</w:t>
      </w:r>
      <w:proofErr w:type="spellEnd"/>
      <w:r w:rsidRPr="00B1089D">
        <w:t xml:space="preserve"> </w:t>
      </w:r>
      <w:proofErr w:type="spellStart"/>
      <w:r w:rsidRPr="00B1089D">
        <w:t>approach</w:t>
      </w:r>
      <w:proofErr w:type="spellEnd"/>
      <w:r w:rsidRPr="00B1089D">
        <w:t xml:space="preserve"> </w:t>
      </w:r>
      <w:proofErr w:type="spellStart"/>
      <w:r w:rsidRPr="00B1089D">
        <w:t>highlights</w:t>
      </w:r>
      <w:proofErr w:type="spellEnd"/>
      <w:r w:rsidRPr="00B1089D">
        <w:t xml:space="preserve"> </w:t>
      </w:r>
      <w:proofErr w:type="spellStart"/>
      <w:r w:rsidRPr="00B1089D">
        <w:t>non-traditional</w:t>
      </w:r>
      <w:proofErr w:type="spellEnd"/>
      <w:r w:rsidRPr="00B1089D">
        <w:t xml:space="preserve"> </w:t>
      </w:r>
      <w:proofErr w:type="spellStart"/>
      <w:r w:rsidRPr="00B1089D">
        <w:t>security</w:t>
      </w:r>
      <w:proofErr w:type="spellEnd"/>
      <w:r w:rsidRPr="00B1089D">
        <w:t xml:space="preserve"> </w:t>
      </w:r>
      <w:proofErr w:type="spellStart"/>
      <w:r w:rsidRPr="00B1089D">
        <w:t>elements</w:t>
      </w:r>
      <w:proofErr w:type="spellEnd"/>
      <w:r w:rsidRPr="00B1089D">
        <w:t xml:space="preserve"> </w:t>
      </w:r>
      <w:proofErr w:type="spellStart"/>
      <w:r w:rsidRPr="00B1089D">
        <w:t>and</w:t>
      </w:r>
      <w:proofErr w:type="spellEnd"/>
      <w:r w:rsidRPr="00B1089D">
        <w:t xml:space="preserve"> </w:t>
      </w:r>
      <w:proofErr w:type="spellStart"/>
      <w:r w:rsidRPr="00B1089D">
        <w:t>offers</w:t>
      </w:r>
      <w:proofErr w:type="spellEnd"/>
      <w:r w:rsidRPr="00B1089D">
        <w:t xml:space="preserve"> a </w:t>
      </w:r>
      <w:proofErr w:type="spellStart"/>
      <w:r w:rsidRPr="00B1089D">
        <w:t>framework</w:t>
      </w:r>
      <w:proofErr w:type="spellEnd"/>
      <w:r w:rsidRPr="00B1089D">
        <w:t xml:space="preserve"> </w:t>
      </w:r>
      <w:proofErr w:type="spellStart"/>
      <w:r w:rsidRPr="00B1089D">
        <w:t>for</w:t>
      </w:r>
      <w:proofErr w:type="spellEnd"/>
      <w:r w:rsidRPr="00B1089D">
        <w:t xml:space="preserve"> </w:t>
      </w:r>
      <w:proofErr w:type="spellStart"/>
      <w:r w:rsidRPr="00B1089D">
        <w:t>analysing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Its</w:t>
      </w:r>
      <w:proofErr w:type="spellEnd"/>
      <w:r w:rsidRPr="00B1089D">
        <w:t xml:space="preserve"> </w:t>
      </w:r>
      <w:proofErr w:type="spellStart"/>
      <w:r w:rsidRPr="00B1089D">
        <w:t>tangible</w:t>
      </w:r>
      <w:proofErr w:type="spellEnd"/>
      <w:r w:rsidRPr="00B1089D">
        <w:t xml:space="preserve"> </w:t>
      </w:r>
      <w:proofErr w:type="spellStart"/>
      <w:r w:rsidRPr="00B1089D">
        <w:t>dimension</w:t>
      </w:r>
      <w:proofErr w:type="spellEnd"/>
      <w:r w:rsidRPr="00B1089D">
        <w:t xml:space="preserve"> </w:t>
      </w:r>
      <w:proofErr w:type="spellStart"/>
      <w:r w:rsidRPr="00B1089D">
        <w:t>includes</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to</w:t>
      </w:r>
      <w:proofErr w:type="spellEnd"/>
      <w:r w:rsidRPr="00B1089D">
        <w:t xml:space="preserve"> </w:t>
      </w:r>
      <w:proofErr w:type="spellStart"/>
      <w:r w:rsidRPr="00B1089D">
        <w:t>produce</w:t>
      </w:r>
      <w:proofErr w:type="spellEnd"/>
      <w:r w:rsidRPr="00B1089D">
        <w:t xml:space="preserve"> </w:t>
      </w:r>
      <w:proofErr w:type="spellStart"/>
      <w:r w:rsidRPr="00B1089D">
        <w:t>sufficient</w:t>
      </w:r>
      <w:proofErr w:type="spellEnd"/>
      <w:r w:rsidRPr="00B1089D">
        <w:t xml:space="preserve"> </w:t>
      </w:r>
      <w:proofErr w:type="spellStart"/>
      <w:r w:rsidRPr="00B1089D">
        <w:t>resources</w:t>
      </w:r>
      <w:proofErr w:type="spellEnd"/>
      <w:r w:rsidRPr="00B1089D">
        <w:t xml:space="preserve"> </w:t>
      </w:r>
      <w:proofErr w:type="spellStart"/>
      <w:r w:rsidRPr="00B1089D">
        <w:t>for</w:t>
      </w:r>
      <w:proofErr w:type="spellEnd"/>
      <w:r w:rsidRPr="00B1089D">
        <w:t xml:space="preserve"> </w:t>
      </w:r>
      <w:proofErr w:type="spellStart"/>
      <w:r w:rsidRPr="00B1089D">
        <w:t>primary</w:t>
      </w:r>
      <w:proofErr w:type="spellEnd"/>
      <w:r w:rsidRPr="00B1089D">
        <w:t xml:space="preserve"> </w:t>
      </w:r>
      <w:proofErr w:type="spellStart"/>
      <w:r w:rsidRPr="00B1089D">
        <w:t>goods</w:t>
      </w:r>
      <w:proofErr w:type="spellEnd"/>
      <w:r w:rsidRPr="00B1089D">
        <w:t xml:space="preserve">, </w:t>
      </w:r>
      <w:proofErr w:type="spellStart"/>
      <w:r w:rsidRPr="00B1089D">
        <w:t>such</w:t>
      </w:r>
      <w:proofErr w:type="spellEnd"/>
      <w:r w:rsidRPr="00B1089D">
        <w:t xml:space="preserve"> as </w:t>
      </w:r>
      <w:proofErr w:type="spellStart"/>
      <w:r w:rsidRPr="00B1089D">
        <w:t>raw</w:t>
      </w:r>
      <w:proofErr w:type="spellEnd"/>
      <w:r w:rsidRPr="00B1089D">
        <w:t xml:space="preserve"> </w:t>
      </w:r>
      <w:proofErr w:type="spellStart"/>
      <w:r w:rsidRPr="00B1089D">
        <w:t>materials</w:t>
      </w:r>
      <w:proofErr w:type="spellEnd"/>
      <w:r w:rsidRPr="00B1089D">
        <w:t xml:space="preserve"> </w:t>
      </w:r>
      <w:proofErr w:type="spellStart"/>
      <w:r w:rsidRPr="00B1089D">
        <w:t>and</w:t>
      </w:r>
      <w:proofErr w:type="spellEnd"/>
      <w:r w:rsidRPr="00B1089D">
        <w:t xml:space="preserve"> </w:t>
      </w:r>
      <w:proofErr w:type="spellStart"/>
      <w:r w:rsidRPr="00B1089D">
        <w:t>foodstuffs</w:t>
      </w:r>
      <w:proofErr w:type="spellEnd"/>
      <w:r w:rsidRPr="00B1089D">
        <w:t xml:space="preserve"> </w:t>
      </w:r>
      <w:proofErr w:type="spellStart"/>
      <w:r w:rsidRPr="00B1089D">
        <w:t>which</w:t>
      </w:r>
      <w:proofErr w:type="spellEnd"/>
      <w:r w:rsidRPr="00B1089D">
        <w:t xml:space="preserve"> </w:t>
      </w:r>
      <w:proofErr w:type="spellStart"/>
      <w:r w:rsidRPr="00B1089D">
        <w:t>feed</w:t>
      </w:r>
      <w:proofErr w:type="spellEnd"/>
      <w:r w:rsidRPr="00B1089D">
        <w:t xml:space="preserve"> </w:t>
      </w:r>
      <w:proofErr w:type="spellStart"/>
      <w:r w:rsidRPr="00B1089D">
        <w:t>the</w:t>
      </w:r>
      <w:proofErr w:type="spellEnd"/>
      <w:r w:rsidRPr="00B1089D">
        <w:t xml:space="preserve"> </w:t>
      </w:r>
      <w:proofErr w:type="spellStart"/>
      <w:r w:rsidRPr="00B1089D">
        <w:t>population</w:t>
      </w:r>
      <w:proofErr w:type="spellEnd"/>
      <w:r w:rsidRPr="00B1089D">
        <w:t xml:space="preserve">. </w:t>
      </w:r>
      <w:proofErr w:type="spellStart"/>
      <w:r w:rsidRPr="00B1089D">
        <w:t>The</w:t>
      </w:r>
      <w:proofErr w:type="spellEnd"/>
      <w:r w:rsidRPr="00B1089D">
        <w:t xml:space="preserve"> </w:t>
      </w:r>
      <w:proofErr w:type="spellStart"/>
      <w:r w:rsidRPr="00B1089D">
        <w:t>intangible</w:t>
      </w:r>
      <w:proofErr w:type="spellEnd"/>
      <w:r w:rsidRPr="00B1089D">
        <w:t xml:space="preserve"> </w:t>
      </w:r>
      <w:proofErr w:type="spellStart"/>
      <w:r w:rsidRPr="00B1089D">
        <w:t>dimension</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concerns</w:t>
      </w:r>
      <w:proofErr w:type="spellEnd"/>
      <w:r w:rsidRPr="00B1089D">
        <w:t xml:space="preserve"> </w:t>
      </w:r>
      <w:proofErr w:type="spellStart"/>
      <w:r w:rsidRPr="00B1089D">
        <w:t>effectively</w:t>
      </w:r>
      <w:proofErr w:type="spellEnd"/>
      <w:r w:rsidRPr="00B1089D">
        <w:t xml:space="preserve"> </w:t>
      </w:r>
      <w:proofErr w:type="spellStart"/>
      <w:r w:rsidRPr="00B1089D">
        <w:t>adopting</w:t>
      </w:r>
      <w:proofErr w:type="spellEnd"/>
      <w:r w:rsidRPr="00B1089D">
        <w:t xml:space="preserve"> </w:t>
      </w:r>
      <w:proofErr w:type="spellStart"/>
      <w:r w:rsidRPr="00B1089D">
        <w:t>cutting-edge</w:t>
      </w:r>
      <w:proofErr w:type="spellEnd"/>
      <w:r w:rsidRPr="00B1089D">
        <w:t xml:space="preserve"> </w:t>
      </w:r>
      <w:proofErr w:type="spellStart"/>
      <w:r w:rsidRPr="00B1089D">
        <w:t>and</w:t>
      </w:r>
      <w:proofErr w:type="spellEnd"/>
      <w:r w:rsidRPr="00B1089D">
        <w:t xml:space="preserve"> </w:t>
      </w:r>
      <w:proofErr w:type="spellStart"/>
      <w:r w:rsidRPr="00B1089D">
        <w:t>successful</w:t>
      </w:r>
      <w:proofErr w:type="spellEnd"/>
      <w:r w:rsidRPr="00B1089D">
        <w:t xml:space="preserve"> </w:t>
      </w:r>
      <w:proofErr w:type="spellStart"/>
      <w:r w:rsidRPr="00B1089D">
        <w:t>strategies</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uses</w:t>
      </w:r>
      <w:proofErr w:type="spellEnd"/>
      <w:r w:rsidRPr="00B1089D">
        <w:t xml:space="preserve"> panel </w:t>
      </w:r>
      <w:proofErr w:type="gramStart"/>
      <w:r w:rsidRPr="00B1089D">
        <w:t>data</w:t>
      </w:r>
      <w:proofErr w:type="gramEnd"/>
      <w:r w:rsidRPr="00B1089D">
        <w:t xml:space="preserve"> </w:t>
      </w:r>
      <w:proofErr w:type="spellStart"/>
      <w:r w:rsidRPr="00B1089D">
        <w:t>estimation</w:t>
      </w:r>
      <w:proofErr w:type="spellEnd"/>
      <w:r w:rsidRPr="00B1089D">
        <w:t xml:space="preserve"> </w:t>
      </w:r>
      <w:proofErr w:type="spellStart"/>
      <w:r w:rsidRPr="00B1089D">
        <w:t>models</w:t>
      </w:r>
      <w:proofErr w:type="spellEnd"/>
      <w:r w:rsidRPr="00B1089D">
        <w:t xml:space="preserve"> </w:t>
      </w:r>
      <w:proofErr w:type="spellStart"/>
      <w:r w:rsidRPr="00B1089D">
        <w:t>to</w:t>
      </w:r>
      <w:proofErr w:type="spellEnd"/>
      <w:r w:rsidRPr="00B1089D">
        <w:t xml:space="preserve"> </w:t>
      </w:r>
      <w:proofErr w:type="spellStart"/>
      <w:r w:rsidRPr="00B1089D">
        <w:t>answer</w:t>
      </w:r>
      <w:proofErr w:type="spellEnd"/>
      <w:r w:rsidRPr="00B1089D">
        <w:t xml:space="preserve"> how </w:t>
      </w:r>
      <w:proofErr w:type="spellStart"/>
      <w:r w:rsidRPr="00B1089D">
        <w:t>governance</w:t>
      </w:r>
      <w:proofErr w:type="spellEnd"/>
      <w:r w:rsidRPr="00B1089D">
        <w:t xml:space="preserve"> </w:t>
      </w:r>
      <w:proofErr w:type="spellStart"/>
      <w:r w:rsidRPr="00B1089D">
        <w:t>affects</w:t>
      </w:r>
      <w:proofErr w:type="spellEnd"/>
      <w:r w:rsidRPr="00B1089D">
        <w:t xml:space="preserve"> a </w:t>
      </w:r>
      <w:proofErr w:type="spellStart"/>
      <w:r w:rsidRPr="00B1089D">
        <w:t>country's</w:t>
      </w:r>
      <w:proofErr w:type="spellEnd"/>
      <w:r w:rsidRPr="00B1089D">
        <w:t xml:space="preserve"> GDP </w:t>
      </w:r>
      <w:proofErr w:type="spellStart"/>
      <w:r w:rsidRPr="00B1089D">
        <w:t>within</w:t>
      </w:r>
      <w:proofErr w:type="spellEnd"/>
      <w:r w:rsidRPr="00B1089D">
        <w:t xml:space="preserve"> </w:t>
      </w:r>
      <w:proofErr w:type="spellStart"/>
      <w:r w:rsidRPr="00B1089D">
        <w:t>three</w:t>
      </w:r>
      <w:proofErr w:type="spellEnd"/>
      <w:r w:rsidRPr="00B1089D">
        <w:t xml:space="preserve"> </w:t>
      </w:r>
      <w:proofErr w:type="spellStart"/>
      <w:r w:rsidRPr="00B1089D">
        <w:t>Regional</w:t>
      </w:r>
      <w:proofErr w:type="spellEnd"/>
      <w:r w:rsidRPr="00B1089D">
        <w:t xml:space="preserve"> Security </w:t>
      </w:r>
      <w:proofErr w:type="spellStart"/>
      <w:r w:rsidRPr="00B1089D">
        <w:t>Complexes</w:t>
      </w:r>
      <w:proofErr w:type="spellEnd"/>
      <w:r w:rsidRPr="00B1089D">
        <w:t xml:space="preserve"> (RSC) </w:t>
      </w:r>
      <w:proofErr w:type="spellStart"/>
      <w:r w:rsidRPr="00B1089D">
        <w:t>encompassing</w:t>
      </w:r>
      <w:proofErr w:type="spellEnd"/>
      <w:r w:rsidRPr="00B1089D">
        <w:t xml:space="preserve"> 51 </w:t>
      </w:r>
      <w:proofErr w:type="spellStart"/>
      <w:r w:rsidRPr="00B1089D">
        <w:t>countries</w:t>
      </w:r>
      <w:proofErr w:type="spellEnd"/>
      <w:r w:rsidRPr="00B1089D">
        <w:t xml:space="preserve"> </w:t>
      </w:r>
      <w:proofErr w:type="spellStart"/>
      <w:r w:rsidRPr="00B1089D">
        <w:t>using</w:t>
      </w:r>
      <w:proofErr w:type="spellEnd"/>
      <w:r w:rsidRPr="00B1089D">
        <w:t xml:space="preserve"> </w:t>
      </w:r>
      <w:proofErr w:type="spellStart"/>
      <w:r w:rsidRPr="00B1089D">
        <w:t>the</w:t>
      </w:r>
      <w:proofErr w:type="spellEnd"/>
      <w:r w:rsidRPr="00B1089D">
        <w:t xml:space="preserve"> </w:t>
      </w:r>
      <w:proofErr w:type="spellStart"/>
      <w:r w:rsidRPr="00B1089D">
        <w:t>statistical</w:t>
      </w:r>
      <w:proofErr w:type="spellEnd"/>
      <w:r w:rsidRPr="00B1089D">
        <w:t xml:space="preserve"> data </w:t>
      </w:r>
      <w:proofErr w:type="spellStart"/>
      <w:r w:rsidRPr="00B1089D">
        <w:t>from</w:t>
      </w:r>
      <w:proofErr w:type="spellEnd"/>
      <w:r w:rsidRPr="00B1089D">
        <w:t xml:space="preserve"> 2006 </w:t>
      </w:r>
      <w:proofErr w:type="spellStart"/>
      <w:r w:rsidRPr="00B1089D">
        <w:t>to</w:t>
      </w:r>
      <w:proofErr w:type="spellEnd"/>
      <w:r w:rsidRPr="00B1089D">
        <w:t xml:space="preserve"> 2019.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reveals</w:t>
      </w:r>
      <w:proofErr w:type="spellEnd"/>
      <w:r w:rsidRPr="00B1089D">
        <w:t xml:space="preserve"> a </w:t>
      </w:r>
      <w:proofErr w:type="spellStart"/>
      <w:r w:rsidRPr="00B1089D">
        <w:t>robust</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higher-quality</w:t>
      </w:r>
      <w:proofErr w:type="spellEnd"/>
      <w:r w:rsidRPr="00B1089D">
        <w:t xml:space="preserve"> </w:t>
      </w:r>
      <w:proofErr w:type="spellStart"/>
      <w:r w:rsidRPr="00B1089D">
        <w:t>institutions</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highlighting</w:t>
      </w:r>
      <w:proofErr w:type="spellEnd"/>
      <w:r w:rsidRPr="00B1089D">
        <w:t xml:space="preserve"> </w:t>
      </w:r>
      <w:proofErr w:type="spellStart"/>
      <w:r w:rsidRPr="00B1089D">
        <w:t>the</w:t>
      </w:r>
      <w:proofErr w:type="spellEnd"/>
      <w:r w:rsidRPr="00B1089D">
        <w:t xml:space="preserve"> </w:t>
      </w:r>
      <w:proofErr w:type="spellStart"/>
      <w:r w:rsidRPr="00B1089D">
        <w:t>crucial</w:t>
      </w:r>
      <w:proofErr w:type="spellEnd"/>
      <w:r w:rsidRPr="00B1089D">
        <w:t xml:space="preserve"> role of </w:t>
      </w:r>
      <w:proofErr w:type="spellStart"/>
      <w:r w:rsidRPr="00B1089D">
        <w:t>institutions</w:t>
      </w:r>
      <w:proofErr w:type="spellEnd"/>
      <w:r w:rsidRPr="00B1089D">
        <w:t xml:space="preserve"> in </w:t>
      </w:r>
      <w:proofErr w:type="spellStart"/>
      <w:r w:rsidRPr="00B1089D">
        <w:t>fostering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Furthermore</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underscores</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to</w:t>
      </w:r>
      <w:proofErr w:type="spellEnd"/>
      <w:r w:rsidRPr="00B1089D">
        <w:t xml:space="preserve"> </w:t>
      </w:r>
      <w:proofErr w:type="spellStart"/>
      <w:r w:rsidRPr="00B1089D">
        <w:t>acknowledge</w:t>
      </w:r>
      <w:proofErr w:type="spellEnd"/>
      <w:r w:rsidRPr="00B1089D">
        <w:t xml:space="preserve"> </w:t>
      </w:r>
      <w:proofErr w:type="spellStart"/>
      <w:r w:rsidRPr="00B1089D">
        <w:t>regional</w:t>
      </w:r>
      <w:proofErr w:type="spellEnd"/>
      <w:r w:rsidRPr="00B1089D">
        <w:t xml:space="preserve"> </w:t>
      </w:r>
      <w:proofErr w:type="spellStart"/>
      <w:r w:rsidRPr="00B1089D">
        <w:t>disparities</w:t>
      </w:r>
      <w:proofErr w:type="spellEnd"/>
      <w:r w:rsidRPr="00B1089D">
        <w:t xml:space="preserve"> in </w:t>
      </w:r>
      <w:proofErr w:type="spellStart"/>
      <w:r w:rsidRPr="00B1089D">
        <w:t>crafting</w:t>
      </w:r>
      <w:proofErr w:type="spellEnd"/>
      <w:r w:rsidRPr="00B1089D">
        <w:t xml:space="preserve"> </w:t>
      </w:r>
      <w:proofErr w:type="spellStart"/>
      <w:r w:rsidRPr="00B1089D">
        <w:t>tailored</w:t>
      </w:r>
      <w:proofErr w:type="spellEnd"/>
      <w:r w:rsidRPr="00B1089D">
        <w:t xml:space="preserve"> </w:t>
      </w:r>
      <w:proofErr w:type="spellStart"/>
      <w:r w:rsidRPr="00B1089D">
        <w:t>policy</w:t>
      </w:r>
      <w:proofErr w:type="spellEnd"/>
      <w:r w:rsidRPr="00B1089D">
        <w:t xml:space="preserve"> </w:t>
      </w:r>
      <w:proofErr w:type="spellStart"/>
      <w:r w:rsidRPr="00B1089D">
        <w:t>interventions</w:t>
      </w:r>
      <w:proofErr w:type="spellEnd"/>
      <w:r w:rsidRPr="00B1089D">
        <w:t xml:space="preserve"> </w:t>
      </w:r>
      <w:proofErr w:type="spellStart"/>
      <w:r w:rsidRPr="00B1089D">
        <w:t>to</w:t>
      </w:r>
      <w:proofErr w:type="spellEnd"/>
      <w:r w:rsidRPr="00B1089D">
        <w:t xml:space="preserve"> </w:t>
      </w:r>
      <w:proofErr w:type="spellStart"/>
      <w:r w:rsidRPr="00B1089D">
        <w:t>promote</w:t>
      </w:r>
      <w:proofErr w:type="spellEnd"/>
      <w:r w:rsidRPr="00B1089D">
        <w:t xml:space="preserve"> </w:t>
      </w:r>
      <w:proofErr w:type="spellStart"/>
      <w:r w:rsidRPr="00B1089D">
        <w:t>sustainable</w:t>
      </w:r>
      <w:proofErr w:type="spellEnd"/>
      <w:r w:rsidRPr="00B1089D">
        <w:t xml:space="preserve"> </w:t>
      </w:r>
      <w:proofErr w:type="spellStart"/>
      <w:r w:rsidRPr="00B1089D">
        <w:t>economic</w:t>
      </w:r>
      <w:proofErr w:type="spellEnd"/>
      <w:r w:rsidRPr="00B1089D">
        <w:t xml:space="preserve"> </w:t>
      </w:r>
      <w:proofErr w:type="spellStart"/>
      <w:r w:rsidRPr="00B1089D">
        <w:t>development</w:t>
      </w:r>
      <w:proofErr w:type="spellEnd"/>
      <w:r w:rsidRPr="00B1089D">
        <w:t xml:space="preserve">, </w:t>
      </w:r>
      <w:proofErr w:type="spellStart"/>
      <w:r w:rsidRPr="00B1089D">
        <w:t>enhancing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for</w:t>
      </w:r>
      <w:proofErr w:type="spellEnd"/>
      <w:r w:rsidRPr="00B1089D">
        <w:t xml:space="preserve"> </w:t>
      </w:r>
      <w:proofErr w:type="spellStart"/>
      <w:r w:rsidRPr="00B1089D">
        <w:t>different</w:t>
      </w:r>
      <w:proofErr w:type="spellEnd"/>
      <w:r w:rsidRPr="00B1089D">
        <w:t xml:space="preserve"> </w:t>
      </w:r>
      <w:proofErr w:type="spellStart"/>
      <w:r w:rsidRPr="00B1089D">
        <w:t>regions</w:t>
      </w:r>
      <w:proofErr w:type="spellEnd"/>
      <w:r w:rsidRPr="00B1089D">
        <w:t>.</w:t>
      </w:r>
    </w:p>
    <w:p w14:paraId="1AB41879" w14:textId="77777777" w:rsidR="00FA457D" w:rsidRPr="00D10870" w:rsidRDefault="00FA457D" w:rsidP="00E359E0">
      <w:pPr>
        <w:widowControl/>
        <w:jc w:val="both"/>
      </w:pPr>
    </w:p>
    <w:p w14:paraId="0A1BA50A" w14:textId="77777777" w:rsidR="00FA457D" w:rsidRPr="00B1089D" w:rsidRDefault="00FA457D" w:rsidP="00E359E0">
      <w:pPr>
        <w:widowControl/>
        <w:jc w:val="both"/>
      </w:pPr>
      <w:proofErr w:type="spellStart"/>
      <w:r w:rsidRPr="00D10870">
        <w:rPr>
          <w:b/>
          <w:bCs/>
        </w:rPr>
        <w:t>Keywords</w:t>
      </w:r>
      <w:proofErr w:type="spellEnd"/>
      <w:r w:rsidRPr="00D10870">
        <w:rPr>
          <w:b/>
          <w:bCs/>
        </w:rPr>
        <w:t xml:space="preserve">: </w:t>
      </w:r>
      <w:proofErr w:type="spellStart"/>
      <w:r w:rsidRPr="00B1089D">
        <w:t>Copenhagen</w:t>
      </w:r>
      <w:proofErr w:type="spellEnd"/>
      <w:r w:rsidRPr="00B1089D">
        <w:t xml:space="preserve"> School, </w:t>
      </w:r>
      <w:proofErr w:type="spellStart"/>
      <w:r w:rsidRPr="00B1089D">
        <w:t>Economic</w:t>
      </w:r>
      <w:proofErr w:type="spellEnd"/>
      <w:r w:rsidRPr="00B1089D">
        <w:t xml:space="preserve"> Security, </w:t>
      </w:r>
      <w:proofErr w:type="spellStart"/>
      <w:r w:rsidRPr="00B1089D">
        <w:t>Securitisation</w:t>
      </w:r>
      <w:proofErr w:type="spellEnd"/>
      <w:r w:rsidRPr="00B1089D">
        <w:t xml:space="preserve">, </w:t>
      </w:r>
      <w:proofErr w:type="spellStart"/>
      <w:r w:rsidRPr="00B1089D">
        <w:t>Regional</w:t>
      </w:r>
      <w:proofErr w:type="spellEnd"/>
      <w:r w:rsidRPr="00B1089D">
        <w:t xml:space="preserve"> Security </w:t>
      </w:r>
      <w:proofErr w:type="spellStart"/>
      <w:r w:rsidRPr="00B1089D">
        <w:t>Complexes</w:t>
      </w:r>
      <w:proofErr w:type="spellEnd"/>
      <w:r w:rsidRPr="00B1089D">
        <w:t xml:space="preserve">, Security </w:t>
      </w:r>
      <w:proofErr w:type="spellStart"/>
      <w:r w:rsidRPr="00B1089D">
        <w:t>Sectors</w:t>
      </w:r>
      <w:proofErr w:type="spellEnd"/>
      <w:r w:rsidRPr="00B1089D">
        <w:t xml:space="preserve">, </w:t>
      </w:r>
      <w:proofErr w:type="spellStart"/>
      <w:r w:rsidRPr="00B1089D">
        <w:t>Driscoll</w:t>
      </w:r>
      <w:proofErr w:type="spellEnd"/>
      <w:r w:rsidRPr="00B1089D">
        <w:t xml:space="preserve"> </w:t>
      </w:r>
      <w:proofErr w:type="spellStart"/>
      <w:r w:rsidRPr="00B1089D">
        <w:t>and</w:t>
      </w:r>
      <w:proofErr w:type="spellEnd"/>
      <w:r w:rsidRPr="00B1089D">
        <w:t xml:space="preserve"> </w:t>
      </w:r>
      <w:proofErr w:type="spellStart"/>
      <w:r w:rsidRPr="00B1089D">
        <w:t>Kraay</w:t>
      </w:r>
      <w:proofErr w:type="spellEnd"/>
      <w:r w:rsidRPr="00B1089D">
        <w:t xml:space="preserve"> Standard </w:t>
      </w:r>
      <w:proofErr w:type="spellStart"/>
      <w:r w:rsidRPr="00B1089D">
        <w:t>Errors</w:t>
      </w:r>
      <w:proofErr w:type="spellEnd"/>
    </w:p>
    <w:p w14:paraId="61972442" w14:textId="77777777" w:rsidR="00FA457D" w:rsidRPr="00B1089D" w:rsidRDefault="00FA457D" w:rsidP="00E359E0">
      <w:pPr>
        <w:widowControl/>
        <w:jc w:val="both"/>
      </w:pPr>
    </w:p>
    <w:p w14:paraId="7E56D795" w14:textId="77777777" w:rsidR="00FA457D" w:rsidRPr="00B1089D" w:rsidRDefault="00FA457D" w:rsidP="00E359E0">
      <w:pPr>
        <w:widowControl/>
        <w:jc w:val="both"/>
      </w:pPr>
      <w:proofErr w:type="spellStart"/>
      <w:r w:rsidRPr="00B1089D">
        <w:rPr>
          <w:b/>
          <w:bCs/>
        </w:rPr>
        <w:t>Introduction</w:t>
      </w:r>
      <w:proofErr w:type="spellEnd"/>
    </w:p>
    <w:p w14:paraId="649966A3" w14:textId="77777777" w:rsidR="00FA457D" w:rsidRPr="00B1089D" w:rsidRDefault="00FA457D" w:rsidP="00E359E0">
      <w:pPr>
        <w:widowControl/>
        <w:jc w:val="both"/>
      </w:pPr>
      <w:r w:rsidRPr="00B1089D">
        <w:t xml:space="preserve">Barry </w:t>
      </w:r>
      <w:proofErr w:type="spellStart"/>
      <w:r w:rsidRPr="00B1089D">
        <w:t>Buzan's</w:t>
      </w:r>
      <w:proofErr w:type="spellEnd"/>
      <w:r w:rsidRPr="00B1089D">
        <w:t xml:space="preserve"> 1983 </w:t>
      </w:r>
      <w:proofErr w:type="spellStart"/>
      <w:r w:rsidRPr="00B1089D">
        <w:t>study</w:t>
      </w:r>
      <w:proofErr w:type="spellEnd"/>
      <w:r w:rsidRPr="00B1089D">
        <w:t xml:space="preserve"> </w:t>
      </w:r>
      <w:proofErr w:type="spellStart"/>
      <w:r w:rsidRPr="00B1089D">
        <w:t>recognised</w:t>
      </w:r>
      <w:proofErr w:type="spellEnd"/>
      <w:r w:rsidRPr="00B1089D">
        <w:t xml:space="preserve"> </w:t>
      </w:r>
      <w:proofErr w:type="spellStart"/>
      <w:r w:rsidRPr="00B1089D">
        <w:t>non-military</w:t>
      </w:r>
      <w:proofErr w:type="spellEnd"/>
      <w:r w:rsidRPr="00B1089D">
        <w:t xml:space="preserve"> </w:t>
      </w:r>
      <w:proofErr w:type="spellStart"/>
      <w:r w:rsidRPr="00B1089D">
        <w:t>subjects</w:t>
      </w:r>
      <w:proofErr w:type="spellEnd"/>
      <w:r w:rsidRPr="00B1089D">
        <w:t xml:space="preserve">, </w:t>
      </w:r>
      <w:proofErr w:type="spellStart"/>
      <w:r w:rsidRPr="00B1089D">
        <w:t>prompting</w:t>
      </w:r>
      <w:proofErr w:type="spellEnd"/>
      <w:r w:rsidRPr="00B1089D">
        <w:t xml:space="preserve"> </w:t>
      </w:r>
      <w:proofErr w:type="spellStart"/>
      <w:r w:rsidRPr="00B1089D">
        <w:t>security</w:t>
      </w:r>
      <w:proofErr w:type="spellEnd"/>
      <w:r w:rsidRPr="00B1089D">
        <w:t xml:space="preserve"> </w:t>
      </w:r>
      <w:proofErr w:type="spellStart"/>
      <w:r w:rsidRPr="00B1089D">
        <w:t>studies</w:t>
      </w:r>
      <w:proofErr w:type="spellEnd"/>
      <w:r w:rsidRPr="00B1089D">
        <w:t xml:space="preserve"> </w:t>
      </w:r>
      <w:proofErr w:type="spellStart"/>
      <w:r w:rsidRPr="00B1089D">
        <w:t>to</w:t>
      </w:r>
      <w:proofErr w:type="spellEnd"/>
      <w:r w:rsidRPr="00B1089D">
        <w:t xml:space="preserve"> </w:t>
      </w:r>
      <w:proofErr w:type="spellStart"/>
      <w:r w:rsidRPr="00B1089D">
        <w:t>broaden</w:t>
      </w:r>
      <w:proofErr w:type="spellEnd"/>
      <w:r w:rsidRPr="00B1089D">
        <w:t xml:space="preserve"> </w:t>
      </w:r>
      <w:proofErr w:type="spellStart"/>
      <w:r w:rsidRPr="00B1089D">
        <w:t>its</w:t>
      </w:r>
      <w:proofErr w:type="spellEnd"/>
      <w:r w:rsidRPr="00B1089D">
        <w:t xml:space="preserve"> </w:t>
      </w:r>
      <w:proofErr w:type="spellStart"/>
      <w:r w:rsidRPr="00B1089D">
        <w:t>content</w:t>
      </w:r>
      <w:proofErr w:type="spellEnd"/>
      <w:r w:rsidRPr="00B1089D">
        <w:t xml:space="preserve"> </w:t>
      </w:r>
      <w:proofErr w:type="spellStart"/>
      <w:r w:rsidRPr="00B1089D">
        <w:t>with</w:t>
      </w:r>
      <w:proofErr w:type="spellEnd"/>
      <w:r w:rsidRPr="00B1089D">
        <w:t xml:space="preserve"> </w:t>
      </w:r>
      <w:proofErr w:type="spellStart"/>
      <w:r w:rsidRPr="00B1089D">
        <w:t>novel</w:t>
      </w:r>
      <w:proofErr w:type="spellEnd"/>
      <w:r w:rsidRPr="00B1089D">
        <w:t xml:space="preserve"> </w:t>
      </w:r>
      <w:proofErr w:type="spellStart"/>
      <w:r w:rsidRPr="00B1089D">
        <w:t>approaches</w:t>
      </w:r>
      <w:proofErr w:type="spellEnd"/>
      <w:r w:rsidRPr="00B1089D">
        <w:t xml:space="preserve">. </w:t>
      </w:r>
      <w:proofErr w:type="spellStart"/>
      <w:r w:rsidRPr="00B1089D">
        <w:t>Thus</w:t>
      </w:r>
      <w:proofErr w:type="spellEnd"/>
      <w:r w:rsidRPr="00B1089D">
        <w:t xml:space="preserve">, </w:t>
      </w:r>
      <w:proofErr w:type="spellStart"/>
      <w:r w:rsidRPr="00B1089D">
        <w:t>security</w:t>
      </w:r>
      <w:proofErr w:type="spellEnd"/>
      <w:r w:rsidRPr="00B1089D">
        <w:t xml:space="preserve"> </w:t>
      </w:r>
      <w:proofErr w:type="spellStart"/>
      <w:r w:rsidRPr="00B1089D">
        <w:t>studies</w:t>
      </w:r>
      <w:proofErr w:type="spellEnd"/>
      <w:r w:rsidRPr="00B1089D">
        <w:t xml:space="preserve"> </w:t>
      </w:r>
      <w:proofErr w:type="spellStart"/>
      <w:r w:rsidRPr="00B1089D">
        <w:t>expanded</w:t>
      </w:r>
      <w:proofErr w:type="spellEnd"/>
      <w:r w:rsidRPr="00B1089D">
        <w:t xml:space="preserve"> </w:t>
      </w:r>
      <w:proofErr w:type="spellStart"/>
      <w:r w:rsidRPr="00B1089D">
        <w:t>its</w:t>
      </w:r>
      <w:proofErr w:type="spellEnd"/>
      <w:r w:rsidRPr="00B1089D">
        <w:t xml:space="preserve"> </w:t>
      </w:r>
      <w:proofErr w:type="spellStart"/>
      <w:r w:rsidRPr="00B1089D">
        <w:t>context</w:t>
      </w:r>
      <w:proofErr w:type="spellEnd"/>
      <w:r w:rsidRPr="00B1089D">
        <w:t xml:space="preserve"> </w:t>
      </w:r>
      <w:proofErr w:type="spellStart"/>
      <w:r w:rsidRPr="00B1089D">
        <w:t>to</w:t>
      </w:r>
      <w:proofErr w:type="spellEnd"/>
      <w:r w:rsidRPr="00B1089D">
        <w:t xml:space="preserve"> </w:t>
      </w:r>
      <w:proofErr w:type="spellStart"/>
      <w:r w:rsidRPr="00B1089D">
        <w:t>include</w:t>
      </w:r>
      <w:proofErr w:type="spellEnd"/>
      <w:r w:rsidRPr="00B1089D">
        <w:t xml:space="preserve"> </w:t>
      </w:r>
      <w:proofErr w:type="spellStart"/>
      <w:r w:rsidRPr="00B1089D">
        <w:t>identity</w:t>
      </w:r>
      <w:proofErr w:type="spellEnd"/>
      <w:r w:rsidRPr="00B1089D">
        <w:t xml:space="preserve">, </w:t>
      </w:r>
      <w:proofErr w:type="spellStart"/>
      <w:r w:rsidRPr="00B1089D">
        <w:t>health</w:t>
      </w:r>
      <w:proofErr w:type="spellEnd"/>
      <w:r w:rsidRPr="00B1089D">
        <w:t xml:space="preserve">, </w:t>
      </w:r>
      <w:proofErr w:type="spellStart"/>
      <w:r w:rsidRPr="00B1089D">
        <w:t>economy</w:t>
      </w:r>
      <w:proofErr w:type="spellEnd"/>
      <w:r w:rsidRPr="00B1089D">
        <w:t xml:space="preserve">, </w:t>
      </w:r>
      <w:proofErr w:type="spellStart"/>
      <w:r w:rsidRPr="00B1089D">
        <w:t>environment</w:t>
      </w:r>
      <w:proofErr w:type="spellEnd"/>
      <w:r w:rsidRPr="00B1089D">
        <w:t xml:space="preserve">, </w:t>
      </w:r>
      <w:proofErr w:type="spellStart"/>
      <w:r w:rsidRPr="00B1089D">
        <w:t>and</w:t>
      </w:r>
      <w:proofErr w:type="spellEnd"/>
      <w:r w:rsidRPr="00B1089D">
        <w:t xml:space="preserve"> </w:t>
      </w:r>
      <w:proofErr w:type="spellStart"/>
      <w:r w:rsidRPr="00B1089D">
        <w:t>humanity</w:t>
      </w:r>
      <w:proofErr w:type="spellEnd"/>
      <w:r w:rsidRPr="00B1089D">
        <w:t xml:space="preserve"> (</w:t>
      </w:r>
      <w:proofErr w:type="spellStart"/>
      <w:r w:rsidRPr="00B1089D">
        <w:t>Buzan</w:t>
      </w:r>
      <w:proofErr w:type="spellEnd"/>
      <w:r w:rsidRPr="00B1089D">
        <w:t xml:space="preserve"> &amp; Hansen 2009: 203).</w:t>
      </w:r>
    </w:p>
    <w:p w14:paraId="6C0370A0" w14:textId="77777777" w:rsidR="00FA457D" w:rsidRPr="00D10870" w:rsidRDefault="00FA457D" w:rsidP="00E359E0">
      <w:pPr>
        <w:widowControl/>
        <w:jc w:val="both"/>
      </w:pPr>
      <w:proofErr w:type="spellStart"/>
      <w:r w:rsidRPr="00B1089D">
        <w:t>During</w:t>
      </w:r>
      <w:proofErr w:type="spellEnd"/>
      <w:r w:rsidRPr="00B1089D">
        <w:t xml:space="preserve"> </w:t>
      </w:r>
      <w:proofErr w:type="spellStart"/>
      <w:r w:rsidRPr="00B1089D">
        <w:t>the</w:t>
      </w:r>
      <w:proofErr w:type="spellEnd"/>
      <w:r w:rsidRPr="00B1089D">
        <w:t xml:space="preserve"> 1990s </w:t>
      </w:r>
      <w:proofErr w:type="spellStart"/>
      <w:r w:rsidRPr="00B1089D">
        <w:t>and</w:t>
      </w:r>
      <w:proofErr w:type="spellEnd"/>
      <w:r w:rsidRPr="00B1089D">
        <w:t xml:space="preserve"> 2000s, a </w:t>
      </w:r>
      <w:proofErr w:type="spellStart"/>
      <w:r w:rsidRPr="00B1089D">
        <w:t>notable</w:t>
      </w:r>
      <w:proofErr w:type="spellEnd"/>
      <w:r w:rsidRPr="00B1089D">
        <w:t xml:space="preserve"> </w:t>
      </w:r>
      <w:proofErr w:type="spellStart"/>
      <w:r w:rsidRPr="00B1089D">
        <w:t>shift</w:t>
      </w:r>
      <w:proofErr w:type="spellEnd"/>
      <w:r w:rsidRPr="00B1089D">
        <w:t xml:space="preserve"> </w:t>
      </w:r>
      <w:proofErr w:type="spellStart"/>
      <w:r w:rsidRPr="00B1089D">
        <w:t>occurred</w:t>
      </w:r>
      <w:proofErr w:type="spellEnd"/>
      <w:r w:rsidRPr="00B1089D">
        <w:t xml:space="preserve"> in </w:t>
      </w:r>
      <w:proofErr w:type="spellStart"/>
      <w:r w:rsidRPr="00B1089D">
        <w:t>security</w:t>
      </w:r>
      <w:proofErr w:type="spellEnd"/>
      <w:r w:rsidRPr="00B1089D">
        <w:t xml:space="preserve">, </w:t>
      </w:r>
      <w:proofErr w:type="spellStart"/>
      <w:r w:rsidRPr="00B1089D">
        <w:t>with</w:t>
      </w:r>
      <w:proofErr w:type="spellEnd"/>
      <w:r w:rsidRPr="00B1089D">
        <w:t xml:space="preserve"> </w:t>
      </w:r>
      <w:proofErr w:type="spellStart"/>
      <w:r w:rsidRPr="00B1089D">
        <w:t>national</w:t>
      </w:r>
      <w:proofErr w:type="spellEnd"/>
      <w:r w:rsidRPr="00B1089D">
        <w:t xml:space="preserve"> </w:t>
      </w:r>
      <w:proofErr w:type="spellStart"/>
      <w:r w:rsidRPr="00B1089D">
        <w:t>governments</w:t>
      </w:r>
      <w:proofErr w:type="spellEnd"/>
      <w:r w:rsidRPr="00B1089D">
        <w:t xml:space="preserve"> </w:t>
      </w:r>
      <w:proofErr w:type="spellStart"/>
      <w:r w:rsidRPr="00B1089D">
        <w:t>and</w:t>
      </w:r>
      <w:proofErr w:type="spellEnd"/>
      <w:r w:rsidRPr="00B1089D">
        <w:t xml:space="preserve"> </w:t>
      </w:r>
      <w:proofErr w:type="spellStart"/>
      <w:r w:rsidRPr="00B1089D">
        <w:t>international</w:t>
      </w:r>
      <w:proofErr w:type="spellEnd"/>
      <w:r w:rsidRPr="00B1089D">
        <w:t xml:space="preserve"> </w:t>
      </w:r>
      <w:proofErr w:type="spellStart"/>
      <w:r w:rsidRPr="00B1089D">
        <w:t>organisations</w:t>
      </w:r>
      <w:proofErr w:type="spellEnd"/>
      <w:r w:rsidRPr="00B1089D">
        <w:t xml:space="preserve"> </w:t>
      </w:r>
      <w:proofErr w:type="spellStart"/>
      <w:r w:rsidRPr="00B1089D">
        <w:t>adapting</w:t>
      </w:r>
      <w:proofErr w:type="spellEnd"/>
      <w:r w:rsidRPr="00B1089D">
        <w:t xml:space="preserve"> </w:t>
      </w:r>
      <w:proofErr w:type="spellStart"/>
      <w:r w:rsidRPr="00B1089D">
        <w:t>their</w:t>
      </w:r>
      <w:proofErr w:type="spellEnd"/>
      <w:r w:rsidRPr="00B1089D">
        <w:t xml:space="preserve"> </w:t>
      </w:r>
      <w:proofErr w:type="spellStart"/>
      <w:r w:rsidRPr="00B1089D">
        <w:t>official</w:t>
      </w:r>
      <w:proofErr w:type="spellEnd"/>
      <w:r w:rsidRPr="00B1089D">
        <w:t xml:space="preserve"> </w:t>
      </w:r>
      <w:proofErr w:type="spellStart"/>
      <w:r w:rsidRPr="00B1089D">
        <w:t>perspectives</w:t>
      </w:r>
      <w:proofErr w:type="spellEnd"/>
      <w:r w:rsidRPr="00B1089D">
        <w:t xml:space="preserve"> </w:t>
      </w:r>
      <w:proofErr w:type="spellStart"/>
      <w:r w:rsidRPr="00B1089D">
        <w:t>to</w:t>
      </w:r>
      <w:proofErr w:type="spellEnd"/>
      <w:r w:rsidRPr="00B1089D">
        <w:t xml:space="preserve"> </w:t>
      </w:r>
      <w:proofErr w:type="spellStart"/>
      <w:r w:rsidRPr="00B1089D">
        <w:t>align</w:t>
      </w:r>
      <w:proofErr w:type="spellEnd"/>
      <w:r w:rsidRPr="00B1089D">
        <w:t xml:space="preserve"> </w:t>
      </w:r>
      <w:proofErr w:type="spellStart"/>
      <w:r w:rsidRPr="00B1089D">
        <w:t>with</w:t>
      </w:r>
      <w:proofErr w:type="spellEnd"/>
      <w:r w:rsidRPr="00B1089D">
        <w:t xml:space="preserve"> a </w:t>
      </w:r>
      <w:proofErr w:type="spellStart"/>
      <w:r w:rsidRPr="00B1089D">
        <w:t>more</w:t>
      </w:r>
      <w:proofErr w:type="spellEnd"/>
      <w:r w:rsidRPr="00B1089D">
        <w:t xml:space="preserve"> </w:t>
      </w:r>
      <w:proofErr w:type="spellStart"/>
      <w:r w:rsidRPr="00B1089D">
        <w:t>comprehensive</w:t>
      </w:r>
      <w:proofErr w:type="spellEnd"/>
      <w:r w:rsidRPr="00B1089D">
        <w:t xml:space="preserve"> </w:t>
      </w:r>
      <w:proofErr w:type="spellStart"/>
      <w:r w:rsidRPr="00B1089D">
        <w:t>understanding</w:t>
      </w:r>
      <w:proofErr w:type="spellEnd"/>
      <w:r w:rsidRPr="00B1089D">
        <w:t xml:space="preserve"> of </w:t>
      </w:r>
      <w:proofErr w:type="spellStart"/>
      <w:r w:rsidRPr="00B1089D">
        <w:t>security</w:t>
      </w:r>
      <w:proofErr w:type="spellEnd"/>
      <w:r w:rsidRPr="00B1089D">
        <w:t xml:space="preserve">. </w:t>
      </w:r>
      <w:proofErr w:type="spellStart"/>
      <w:r w:rsidRPr="00B1089D">
        <w:t>This</w:t>
      </w:r>
      <w:proofErr w:type="spellEnd"/>
      <w:r w:rsidRPr="00B1089D">
        <w:t xml:space="preserve"> </w:t>
      </w:r>
      <w:proofErr w:type="spellStart"/>
      <w:r w:rsidRPr="00B1089D">
        <w:t>evolution</w:t>
      </w:r>
      <w:proofErr w:type="spellEnd"/>
      <w:r w:rsidRPr="00B1089D">
        <w:t xml:space="preserve"> led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inclusion</w:t>
      </w:r>
      <w:proofErr w:type="spellEnd"/>
      <w:r w:rsidRPr="00B1089D">
        <w:t xml:space="preserve"> of </w:t>
      </w:r>
      <w:proofErr w:type="spellStart"/>
      <w:r w:rsidRPr="00B1089D">
        <w:t>diverse</w:t>
      </w:r>
      <w:proofErr w:type="spellEnd"/>
      <w:r w:rsidRPr="00B1089D">
        <w:t xml:space="preserve"> </w:t>
      </w:r>
      <w:proofErr w:type="spellStart"/>
      <w:r w:rsidRPr="00B1089D">
        <w:t>challenges</w:t>
      </w:r>
      <w:proofErr w:type="spellEnd"/>
      <w:r w:rsidRPr="00B1089D">
        <w:t xml:space="preserve"> </w:t>
      </w:r>
      <w:proofErr w:type="spellStart"/>
      <w:r w:rsidRPr="00B1089D">
        <w:t>within</w:t>
      </w:r>
      <w:proofErr w:type="spellEnd"/>
      <w:r w:rsidRPr="00B1089D">
        <w:t xml:space="preserve"> </w:t>
      </w:r>
      <w:proofErr w:type="spellStart"/>
      <w:r w:rsidRPr="00B1089D">
        <w:t>security</w:t>
      </w:r>
      <w:proofErr w:type="spellEnd"/>
      <w:r w:rsidRPr="00B1089D">
        <w:t xml:space="preserve"> </w:t>
      </w:r>
      <w:proofErr w:type="spellStart"/>
      <w:r w:rsidRPr="00B1089D">
        <w:t>agendas</w:t>
      </w:r>
      <w:proofErr w:type="spellEnd"/>
      <w:r w:rsidRPr="00B1089D">
        <w:t xml:space="preserve">, </w:t>
      </w:r>
      <w:proofErr w:type="spellStart"/>
      <w:r w:rsidRPr="00B1089D">
        <w:t>including</w:t>
      </w:r>
      <w:proofErr w:type="spellEnd"/>
      <w:r w:rsidRPr="00B1089D">
        <w:t xml:space="preserve"> </w:t>
      </w:r>
      <w:proofErr w:type="spellStart"/>
      <w:r w:rsidRPr="00B1089D">
        <w:t>migration</w:t>
      </w:r>
      <w:proofErr w:type="spellEnd"/>
      <w:r w:rsidRPr="00B1089D">
        <w:t xml:space="preserve">, </w:t>
      </w:r>
      <w:proofErr w:type="spellStart"/>
      <w:r w:rsidRPr="00B1089D">
        <w:t>terrorism</w:t>
      </w:r>
      <w:proofErr w:type="spellEnd"/>
      <w:r w:rsidRPr="00B1089D">
        <w:t xml:space="preserve">, </w:t>
      </w:r>
      <w:proofErr w:type="spellStart"/>
      <w:r w:rsidRPr="00B1089D">
        <w:t>disarmament</w:t>
      </w:r>
      <w:proofErr w:type="spellEnd"/>
      <w:r w:rsidRPr="00B1089D">
        <w:t xml:space="preserve">, </w:t>
      </w:r>
      <w:proofErr w:type="spellStart"/>
      <w:r w:rsidRPr="00B1089D">
        <w:t>transnational</w:t>
      </w:r>
      <w:proofErr w:type="spellEnd"/>
      <w:r w:rsidRPr="00B1089D">
        <w:t xml:space="preserve"> </w:t>
      </w:r>
      <w:proofErr w:type="spellStart"/>
      <w:r w:rsidRPr="00B1089D">
        <w:t>crime</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intricacies</w:t>
      </w:r>
      <w:proofErr w:type="spellEnd"/>
      <w:r w:rsidRPr="00B1089D">
        <w:t xml:space="preserve"> of </w:t>
      </w:r>
      <w:proofErr w:type="spellStart"/>
      <w:r w:rsidRPr="00B1089D">
        <w:t>conflict</w:t>
      </w:r>
      <w:proofErr w:type="spellEnd"/>
      <w:r w:rsidRPr="00B1089D">
        <w:t xml:space="preserve"> </w:t>
      </w:r>
      <w:proofErr w:type="spellStart"/>
      <w:r w:rsidRPr="00B1089D">
        <w:t>prevention</w:t>
      </w:r>
      <w:proofErr w:type="spellEnd"/>
      <w:r w:rsidRPr="00B1089D">
        <w:t xml:space="preserve"> </w:t>
      </w:r>
      <w:proofErr w:type="spellStart"/>
      <w:r w:rsidRPr="00B1089D">
        <w:t>and</w:t>
      </w:r>
      <w:proofErr w:type="spellEnd"/>
      <w:r w:rsidRPr="00B1089D">
        <w:t xml:space="preserve"> </w:t>
      </w:r>
      <w:proofErr w:type="spellStart"/>
      <w:r w:rsidRPr="00B1089D">
        <w:t>crisis</w:t>
      </w:r>
      <w:proofErr w:type="spellEnd"/>
      <w:r w:rsidRPr="00B1089D">
        <w:t xml:space="preserve"> </w:t>
      </w:r>
      <w:proofErr w:type="spellStart"/>
      <w:r w:rsidRPr="00B1089D">
        <w:t>management</w:t>
      </w:r>
      <w:proofErr w:type="spellEnd"/>
      <w:r w:rsidRPr="00B1089D">
        <w:t xml:space="preserve"> (</w:t>
      </w:r>
      <w:proofErr w:type="spellStart"/>
      <w:r w:rsidRPr="00B1089D">
        <w:t>Tangör</w:t>
      </w:r>
      <w:proofErr w:type="spellEnd"/>
      <w:r w:rsidRPr="00B1089D">
        <w:t xml:space="preserve"> 2004: 255).</w:t>
      </w:r>
    </w:p>
    <w:p w14:paraId="5B049C2A" w14:textId="77777777" w:rsidR="00FA457D" w:rsidRPr="00B1089D" w:rsidRDefault="00FA457D" w:rsidP="00E359E0">
      <w:pPr>
        <w:widowControl/>
        <w:jc w:val="both"/>
      </w:pPr>
    </w:p>
    <w:p w14:paraId="5AE7E2C7" w14:textId="5EDACB81" w:rsidR="00FA457D" w:rsidRPr="00D10870" w:rsidRDefault="00FA457D" w:rsidP="00E359E0">
      <w:pPr>
        <w:widowControl/>
        <w:jc w:val="both"/>
      </w:pPr>
      <w:proofErr w:type="spellStart"/>
      <w:r w:rsidRPr="00B1089D">
        <w:t>According</w:t>
      </w:r>
      <w:proofErr w:type="spellEnd"/>
      <w:r w:rsidRPr="00B1089D">
        <w:t xml:space="preserve"> </w:t>
      </w:r>
      <w:proofErr w:type="spellStart"/>
      <w:r w:rsidRPr="00B1089D">
        <w:t>to</w:t>
      </w:r>
      <w:proofErr w:type="spellEnd"/>
      <w:r w:rsidRPr="00B1089D">
        <w:t xml:space="preserve"> Barry </w:t>
      </w:r>
      <w:proofErr w:type="spellStart"/>
      <w:r w:rsidRPr="00B1089D">
        <w:t>Buzan</w:t>
      </w:r>
      <w:proofErr w:type="spellEnd"/>
      <w:r w:rsidRPr="00B1089D">
        <w:t xml:space="preserve">, </w:t>
      </w:r>
      <w:proofErr w:type="spellStart"/>
      <w:r w:rsidRPr="00B1089D">
        <w:t>security</w:t>
      </w:r>
      <w:proofErr w:type="spellEnd"/>
      <w:r w:rsidRPr="00B1089D">
        <w:t xml:space="preserve"> is </w:t>
      </w:r>
      <w:proofErr w:type="spellStart"/>
      <w:r w:rsidRPr="00B1089D">
        <w:t>defined</w:t>
      </w:r>
      <w:proofErr w:type="spellEnd"/>
      <w:r w:rsidRPr="00B1089D">
        <w:t xml:space="preserve"> as </w:t>
      </w:r>
      <w:proofErr w:type="spellStart"/>
      <w:r w:rsidRPr="00B1089D">
        <w:t>the</w:t>
      </w:r>
      <w:proofErr w:type="spellEnd"/>
      <w:r w:rsidRPr="00B1089D">
        <w:t xml:space="preserve"> </w:t>
      </w:r>
      <w:proofErr w:type="spellStart"/>
      <w:r w:rsidRPr="00B1089D">
        <w:t>ability</w:t>
      </w:r>
      <w:proofErr w:type="spellEnd"/>
      <w:r w:rsidRPr="00B1089D">
        <w:t xml:space="preserve"> of </w:t>
      </w:r>
      <w:proofErr w:type="spellStart"/>
      <w:r w:rsidRPr="00B1089D">
        <w:t>states</w:t>
      </w:r>
      <w:proofErr w:type="spellEnd"/>
      <w:r w:rsidRPr="00B1089D">
        <w:t xml:space="preserve"> </w:t>
      </w:r>
      <w:proofErr w:type="spellStart"/>
      <w:r w:rsidRPr="00B1089D">
        <w:t>and</w:t>
      </w:r>
      <w:proofErr w:type="spellEnd"/>
      <w:r w:rsidRPr="00B1089D">
        <w:t xml:space="preserve"> </w:t>
      </w:r>
      <w:proofErr w:type="spellStart"/>
      <w:r w:rsidRPr="00B1089D">
        <w:t>societies</w:t>
      </w:r>
      <w:proofErr w:type="spellEnd"/>
      <w:r w:rsidRPr="00B1089D">
        <w:t xml:space="preserve"> </w:t>
      </w:r>
      <w:proofErr w:type="spellStart"/>
      <w:r w:rsidRPr="00B1089D">
        <w:t>to</w:t>
      </w:r>
      <w:proofErr w:type="spellEnd"/>
      <w:r w:rsidRPr="00B1089D">
        <w:t xml:space="preserve"> </w:t>
      </w:r>
      <w:proofErr w:type="spellStart"/>
      <w:r w:rsidRPr="00B1089D">
        <w:t>preserve</w:t>
      </w:r>
      <w:proofErr w:type="spellEnd"/>
      <w:r w:rsidRPr="00B1089D">
        <w:t xml:space="preserve"> </w:t>
      </w:r>
      <w:proofErr w:type="spellStart"/>
      <w:r w:rsidRPr="00B1089D">
        <w:t>their</w:t>
      </w:r>
      <w:proofErr w:type="spellEnd"/>
      <w:r w:rsidRPr="00B1089D">
        <w:t xml:space="preserve"> </w:t>
      </w:r>
      <w:proofErr w:type="spellStart"/>
      <w:r w:rsidRPr="00B1089D">
        <w:t>identity</w:t>
      </w:r>
      <w:proofErr w:type="spellEnd"/>
      <w:r w:rsidRPr="00B1089D">
        <w:t xml:space="preserve"> </w:t>
      </w:r>
      <w:proofErr w:type="spellStart"/>
      <w:r w:rsidRPr="00B1089D">
        <w:t>and</w:t>
      </w:r>
      <w:proofErr w:type="spellEnd"/>
      <w:r w:rsidRPr="00B1089D">
        <w:t xml:space="preserve"> </w:t>
      </w:r>
      <w:proofErr w:type="spellStart"/>
      <w:r w:rsidRPr="00B1089D">
        <w:t>functional</w:t>
      </w:r>
      <w:proofErr w:type="spellEnd"/>
      <w:r w:rsidRPr="00B1089D">
        <w:t xml:space="preserve"> </w:t>
      </w:r>
      <w:proofErr w:type="spellStart"/>
      <w:r w:rsidRPr="00B1089D">
        <w:t>integrity</w:t>
      </w:r>
      <w:proofErr w:type="spellEnd"/>
      <w:r w:rsidRPr="00B1089D">
        <w:t xml:space="preserve"> </w:t>
      </w:r>
      <w:proofErr w:type="spellStart"/>
      <w:r w:rsidRPr="00B1089D">
        <w:t>independently</w:t>
      </w:r>
      <w:proofErr w:type="spellEnd"/>
      <w:r w:rsidRPr="00B1089D">
        <w:t xml:space="preserve"> (</w:t>
      </w:r>
      <w:proofErr w:type="spellStart"/>
      <w:r w:rsidRPr="00B1089D">
        <w:t>Buzan</w:t>
      </w:r>
      <w:proofErr w:type="spellEnd"/>
      <w:r w:rsidRPr="00B1089D">
        <w:t xml:space="preserve"> 1991: 432). </w:t>
      </w:r>
      <w:proofErr w:type="spellStart"/>
      <w:r w:rsidRPr="00B1089D">
        <w:t>Additionally</w:t>
      </w:r>
      <w:proofErr w:type="spellEnd"/>
      <w:r w:rsidRPr="00B1089D">
        <w:t xml:space="preserve">, David </w:t>
      </w:r>
      <w:proofErr w:type="spellStart"/>
      <w:r w:rsidRPr="00B1089D">
        <w:t>Baldwin</w:t>
      </w:r>
      <w:proofErr w:type="spellEnd"/>
      <w:r w:rsidRPr="00B1089D">
        <w:t xml:space="preserve"> </w:t>
      </w:r>
      <w:proofErr w:type="spellStart"/>
      <w:r w:rsidRPr="00B1089D">
        <w:t>questioned</w:t>
      </w:r>
      <w:proofErr w:type="spellEnd"/>
      <w:r w:rsidRPr="00B1089D">
        <w:t xml:space="preserve"> </w:t>
      </w:r>
      <w:proofErr w:type="spellStart"/>
      <w:r w:rsidRPr="00B1089D">
        <w:t>the</w:t>
      </w:r>
      <w:proofErr w:type="spellEnd"/>
      <w:r w:rsidRPr="00B1089D">
        <w:t xml:space="preserve"> </w:t>
      </w:r>
      <w:proofErr w:type="spellStart"/>
      <w:r w:rsidRPr="00B1089D">
        <w:t>expansion</w:t>
      </w:r>
      <w:proofErr w:type="spellEnd"/>
      <w:r w:rsidRPr="00B1089D">
        <w:t xml:space="preserve"> of </w:t>
      </w:r>
      <w:proofErr w:type="spellStart"/>
      <w:r w:rsidRPr="00B1089D">
        <w:t>the</w:t>
      </w:r>
      <w:proofErr w:type="spellEnd"/>
      <w:r w:rsidRPr="00B1089D">
        <w:t xml:space="preserve"> </w:t>
      </w:r>
      <w:proofErr w:type="spellStart"/>
      <w:r w:rsidRPr="00B1089D">
        <w:t>security</w:t>
      </w:r>
      <w:proofErr w:type="spellEnd"/>
      <w:r w:rsidRPr="00B1089D">
        <w:t xml:space="preserve"> </w:t>
      </w:r>
      <w:proofErr w:type="spellStart"/>
      <w:r w:rsidRPr="00B1089D">
        <w:t>concept</w:t>
      </w:r>
      <w:proofErr w:type="spellEnd"/>
      <w:r w:rsidRPr="00B1089D">
        <w:t xml:space="preserve">, </w:t>
      </w:r>
      <w:proofErr w:type="spellStart"/>
      <w:r w:rsidRPr="00B1089D">
        <w:t>emphasising</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clarity</w:t>
      </w:r>
      <w:proofErr w:type="spellEnd"/>
      <w:r w:rsidRPr="00B1089D">
        <w:t xml:space="preserve"> in </w:t>
      </w:r>
      <w:proofErr w:type="spellStart"/>
      <w:r w:rsidRPr="00B1089D">
        <w:t>discussions</w:t>
      </w:r>
      <w:proofErr w:type="spellEnd"/>
      <w:r w:rsidRPr="00B1089D">
        <w:t xml:space="preserve">. </w:t>
      </w:r>
      <w:proofErr w:type="spellStart"/>
      <w:r w:rsidRPr="00B1089D">
        <w:t>McSweeney</w:t>
      </w:r>
      <w:proofErr w:type="spellEnd"/>
      <w:r w:rsidRPr="00B1089D">
        <w:t xml:space="preserve"> </w:t>
      </w:r>
      <w:proofErr w:type="spellStart"/>
      <w:r w:rsidRPr="00B1089D">
        <w:t>argued</w:t>
      </w:r>
      <w:proofErr w:type="spellEnd"/>
      <w:r w:rsidRPr="00B1089D">
        <w:t xml:space="preserve"> </w:t>
      </w:r>
      <w:proofErr w:type="spellStart"/>
      <w:r w:rsidRPr="00B1089D">
        <w:t>that</w:t>
      </w:r>
      <w:proofErr w:type="spellEnd"/>
      <w:r w:rsidRPr="00B1089D">
        <w:t xml:space="preserve"> </w:t>
      </w:r>
      <w:proofErr w:type="spellStart"/>
      <w:r w:rsidRPr="00B1089D">
        <w:t>security</w:t>
      </w:r>
      <w:proofErr w:type="spellEnd"/>
      <w:r w:rsidRPr="00B1089D">
        <w:t xml:space="preserve"> is </w:t>
      </w:r>
      <w:proofErr w:type="spellStart"/>
      <w:r w:rsidRPr="00B1089D">
        <w:t>inherently</w:t>
      </w:r>
      <w:proofErr w:type="spellEnd"/>
      <w:r w:rsidRPr="00B1089D">
        <w:t xml:space="preserve"> </w:t>
      </w:r>
      <w:proofErr w:type="spellStart"/>
      <w:r w:rsidRPr="00B1089D">
        <w:t>difficult</w:t>
      </w:r>
      <w:proofErr w:type="spellEnd"/>
      <w:r w:rsidRPr="00B1089D">
        <w:t xml:space="preserve"> </w:t>
      </w:r>
      <w:proofErr w:type="spellStart"/>
      <w:r w:rsidRPr="00B1089D">
        <w:t>to</w:t>
      </w:r>
      <w:proofErr w:type="spellEnd"/>
      <w:r w:rsidRPr="00B1089D">
        <w:t xml:space="preserve"> define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its</w:t>
      </w:r>
      <w:proofErr w:type="spellEnd"/>
      <w:r w:rsidRPr="00B1089D">
        <w:t xml:space="preserve"> </w:t>
      </w:r>
      <w:proofErr w:type="spellStart"/>
      <w:r w:rsidRPr="00B1089D">
        <w:t>complex</w:t>
      </w:r>
      <w:proofErr w:type="spellEnd"/>
      <w:r w:rsidRPr="00B1089D">
        <w:t xml:space="preserve"> </w:t>
      </w:r>
      <w:proofErr w:type="spellStart"/>
      <w:r w:rsidRPr="00B1089D">
        <w:t>and</w:t>
      </w:r>
      <w:proofErr w:type="spellEnd"/>
      <w:r w:rsidRPr="00B1089D">
        <w:t xml:space="preserve"> </w:t>
      </w:r>
      <w:proofErr w:type="spellStart"/>
      <w:r w:rsidRPr="00B1089D">
        <w:t>multifaceted</w:t>
      </w:r>
      <w:proofErr w:type="spellEnd"/>
      <w:r w:rsidRPr="00B1089D">
        <w:t xml:space="preserve"> </w:t>
      </w:r>
      <w:proofErr w:type="spellStart"/>
      <w:r w:rsidRPr="00B1089D">
        <w:t>nature</w:t>
      </w:r>
      <w:proofErr w:type="spellEnd"/>
      <w:r w:rsidRPr="00B1089D">
        <w:t xml:space="preserve"> (Baysal &amp; Lüleci 2015</w:t>
      </w:r>
      <w:proofErr w:type="gramStart"/>
      <w:r w:rsidRPr="00B1089D">
        <w:t>).Barry</w:t>
      </w:r>
      <w:proofErr w:type="gramEnd"/>
      <w:r w:rsidRPr="00B1089D">
        <w:t xml:space="preserve"> </w:t>
      </w:r>
      <w:proofErr w:type="spellStart"/>
      <w:r w:rsidRPr="00B1089D">
        <w:t>Buzan's</w:t>
      </w:r>
      <w:proofErr w:type="spellEnd"/>
      <w:r w:rsidRPr="00B1089D">
        <w:t xml:space="preserve"> </w:t>
      </w:r>
      <w:proofErr w:type="spellStart"/>
      <w:r w:rsidRPr="00B1089D">
        <w:t>security</w:t>
      </w:r>
      <w:proofErr w:type="spellEnd"/>
      <w:r w:rsidRPr="00B1089D">
        <w:t xml:space="preserve"> </w:t>
      </w:r>
      <w:proofErr w:type="spellStart"/>
      <w:r w:rsidRPr="00B1089D">
        <w:t>sector</w:t>
      </w:r>
      <w:proofErr w:type="spellEnd"/>
      <w:r w:rsidRPr="00B1089D">
        <w:t xml:space="preserve"> </w:t>
      </w:r>
      <w:proofErr w:type="spellStart"/>
      <w:r w:rsidRPr="00B1089D">
        <w:t>approach</w:t>
      </w:r>
      <w:proofErr w:type="spellEnd"/>
      <w:r w:rsidRPr="00B1089D">
        <w:t xml:space="preserve"> </w:t>
      </w:r>
      <w:proofErr w:type="spellStart"/>
      <w:r w:rsidRPr="00B1089D">
        <w:t>provides</w:t>
      </w:r>
      <w:proofErr w:type="spellEnd"/>
      <w:r w:rsidRPr="00B1089D">
        <w:t xml:space="preserve"> a </w:t>
      </w:r>
      <w:proofErr w:type="spellStart"/>
      <w:r w:rsidRPr="00B1089D">
        <w:t>framework</w:t>
      </w:r>
      <w:proofErr w:type="spellEnd"/>
      <w:r w:rsidRPr="00B1089D">
        <w:t xml:space="preserve"> </w:t>
      </w:r>
      <w:proofErr w:type="spellStart"/>
      <w:r w:rsidRPr="00B1089D">
        <w:t>for</w:t>
      </w:r>
      <w:proofErr w:type="spellEnd"/>
      <w:r w:rsidRPr="00B1089D">
        <w:t xml:space="preserve"> </w:t>
      </w:r>
      <w:proofErr w:type="spellStart"/>
      <w:r w:rsidRPr="00B1089D">
        <w:t>examining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However</w:t>
      </w:r>
      <w:proofErr w:type="spellEnd"/>
      <w:r w:rsidRPr="00B1089D">
        <w:t xml:space="preserve">, </w:t>
      </w:r>
      <w:proofErr w:type="spellStart"/>
      <w:r w:rsidRPr="00B1089D">
        <w:t>the</w:t>
      </w:r>
      <w:proofErr w:type="spellEnd"/>
      <w:r w:rsidRPr="00B1089D">
        <w:t xml:space="preserve"> </w:t>
      </w:r>
      <w:proofErr w:type="spellStart"/>
      <w:r w:rsidRPr="00B1089D">
        <w:t>empirical</w:t>
      </w:r>
      <w:proofErr w:type="spellEnd"/>
      <w:r w:rsidRPr="00B1089D">
        <w:t xml:space="preserve"> </w:t>
      </w:r>
      <w:proofErr w:type="spellStart"/>
      <w:r w:rsidRPr="00B1089D">
        <w:t>application</w:t>
      </w:r>
      <w:proofErr w:type="spellEnd"/>
      <w:r w:rsidRPr="00B1089D">
        <w:t xml:space="preserve"> of </w:t>
      </w:r>
      <w:proofErr w:type="spellStart"/>
      <w:r w:rsidRPr="00B1089D">
        <w:t>this</w:t>
      </w:r>
      <w:proofErr w:type="spellEnd"/>
      <w:r w:rsidRPr="00B1089D">
        <w:t xml:space="preserve"> </w:t>
      </w:r>
      <w:proofErr w:type="spellStart"/>
      <w:r w:rsidRPr="00B1089D">
        <w:t>method</w:t>
      </w:r>
      <w:proofErr w:type="spellEnd"/>
      <w:r w:rsidRPr="00B1089D">
        <w:t xml:space="preserve"> </w:t>
      </w:r>
      <w:proofErr w:type="spellStart"/>
      <w:r w:rsidRPr="00B1089D">
        <w:t>remains</w:t>
      </w:r>
      <w:proofErr w:type="spellEnd"/>
      <w:r w:rsidRPr="00B1089D">
        <w:t xml:space="preserve"> </w:t>
      </w:r>
      <w:proofErr w:type="spellStart"/>
      <w:r w:rsidRPr="00B1089D">
        <w:t>unexplored</w:t>
      </w:r>
      <w:proofErr w:type="spellEnd"/>
      <w:r w:rsidRPr="00B1089D">
        <w:t xml:space="preserve">, </w:t>
      </w:r>
      <w:proofErr w:type="spellStart"/>
      <w:r w:rsidRPr="00B1089D">
        <w:t>leaving</w:t>
      </w:r>
      <w:proofErr w:type="spellEnd"/>
      <w:r w:rsidRPr="00B1089D">
        <w:t xml:space="preserve"> a </w:t>
      </w:r>
      <w:proofErr w:type="spellStart"/>
      <w:r w:rsidRPr="00B1089D">
        <w:t>substantial</w:t>
      </w:r>
      <w:proofErr w:type="spellEnd"/>
      <w:r w:rsidRPr="00B1089D">
        <w:t xml:space="preserve"> </w:t>
      </w:r>
      <w:proofErr w:type="spellStart"/>
      <w:r w:rsidRPr="00B1089D">
        <w:t>gap</w:t>
      </w:r>
      <w:proofErr w:type="spellEnd"/>
      <w:r w:rsidRPr="00B1089D">
        <w:t>.</w:t>
      </w:r>
    </w:p>
    <w:p w14:paraId="0CF3DF3D" w14:textId="77777777" w:rsidR="00FA457D" w:rsidRPr="00B1089D" w:rsidRDefault="00FA457D" w:rsidP="00E359E0">
      <w:pPr>
        <w:widowControl/>
        <w:jc w:val="both"/>
      </w:pPr>
    </w:p>
    <w:p w14:paraId="02C7CCB4" w14:textId="77777777" w:rsidR="00FA457D" w:rsidRPr="00D10870" w:rsidRDefault="00FA457D" w:rsidP="00E359E0">
      <w:pPr>
        <w:widowControl/>
        <w:jc w:val="both"/>
      </w:pPr>
      <w:proofErr w:type="spellStart"/>
      <w:r w:rsidRPr="00B1089D">
        <w:t>This</w:t>
      </w:r>
      <w:proofErr w:type="spellEnd"/>
      <w:r w:rsidRPr="00B1089D">
        <w:t xml:space="preserve"> </w:t>
      </w:r>
      <w:proofErr w:type="spellStart"/>
      <w:r w:rsidRPr="00B1089D">
        <w:t>research</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close</w:t>
      </w:r>
      <w:proofErr w:type="spellEnd"/>
      <w:r w:rsidRPr="00B1089D">
        <w:t xml:space="preserve"> </w:t>
      </w:r>
      <w:proofErr w:type="spellStart"/>
      <w:r w:rsidRPr="00B1089D">
        <w:t>this</w:t>
      </w:r>
      <w:proofErr w:type="spellEnd"/>
      <w:r w:rsidRPr="00B1089D">
        <w:t xml:space="preserve"> </w:t>
      </w:r>
      <w:proofErr w:type="spellStart"/>
      <w:r w:rsidRPr="00B1089D">
        <w:t>gap</w:t>
      </w:r>
      <w:proofErr w:type="spellEnd"/>
      <w:r w:rsidRPr="00B1089D">
        <w:t xml:space="preserve"> </w:t>
      </w:r>
      <w:proofErr w:type="spellStart"/>
      <w:r w:rsidRPr="00B1089D">
        <w:t>using</w:t>
      </w:r>
      <w:proofErr w:type="spellEnd"/>
      <w:r w:rsidRPr="00B1089D">
        <w:t xml:space="preserve"> </w:t>
      </w:r>
      <w:proofErr w:type="spellStart"/>
      <w:r w:rsidRPr="00B1089D">
        <w:t>Buzan's</w:t>
      </w:r>
      <w:proofErr w:type="spellEnd"/>
      <w:r w:rsidRPr="00B1089D">
        <w:t xml:space="preserve"> </w:t>
      </w:r>
      <w:proofErr w:type="spellStart"/>
      <w:r w:rsidRPr="00B1089D">
        <w:t>paradigm</w:t>
      </w:r>
      <w:proofErr w:type="spellEnd"/>
      <w:r w:rsidRPr="00B1089D">
        <w:t xml:space="preserve"> </w:t>
      </w:r>
      <w:proofErr w:type="spellStart"/>
      <w:r w:rsidRPr="00B1089D">
        <w:t>to</w:t>
      </w:r>
      <w:proofErr w:type="spellEnd"/>
      <w:r w:rsidRPr="00B1089D">
        <w:t xml:space="preserve"> </w:t>
      </w:r>
      <w:proofErr w:type="spellStart"/>
      <w:r w:rsidRPr="00B1089D">
        <w:t>assess</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It</w:t>
      </w:r>
      <w:proofErr w:type="spellEnd"/>
      <w:r w:rsidRPr="00B1089D">
        <w:t xml:space="preserve"> </w:t>
      </w:r>
      <w:proofErr w:type="spellStart"/>
      <w:r w:rsidRPr="00B1089D">
        <w:t>sheds</w:t>
      </w:r>
      <w:proofErr w:type="spellEnd"/>
      <w:r w:rsidRPr="00B1089D">
        <w:t xml:space="preserve"> </w:t>
      </w:r>
      <w:proofErr w:type="spellStart"/>
      <w:r w:rsidRPr="00B1089D">
        <w:t>light</w:t>
      </w:r>
      <w:proofErr w:type="spellEnd"/>
      <w:r w:rsidRPr="00B1089D">
        <w:t xml:space="preserve"> on </w:t>
      </w:r>
      <w:proofErr w:type="spellStart"/>
      <w:r w:rsidRPr="00B1089D">
        <w:t>states</w:t>
      </w:r>
      <w:proofErr w:type="spellEnd"/>
      <w:r w:rsidRPr="00B1089D">
        <w:t xml:space="preserve">' </w:t>
      </w:r>
      <w:proofErr w:type="spellStart"/>
      <w:r w:rsidRPr="00B1089D">
        <w:t>complex</w:t>
      </w:r>
      <w:proofErr w:type="spellEnd"/>
      <w:r w:rsidRPr="00B1089D">
        <w:t xml:space="preserve"> </w:t>
      </w:r>
      <w:proofErr w:type="spellStart"/>
      <w:r w:rsidRPr="00B1089D">
        <w:t>challenges</w:t>
      </w:r>
      <w:proofErr w:type="spellEnd"/>
      <w:r w:rsidRPr="00B1089D">
        <w:t xml:space="preserve"> in </w:t>
      </w:r>
      <w:proofErr w:type="spellStart"/>
      <w:r w:rsidRPr="00B1089D">
        <w:t>protecting</w:t>
      </w:r>
      <w:proofErr w:type="spellEnd"/>
      <w:r w:rsidRPr="00B1089D">
        <w:t xml:space="preserve"> </w:t>
      </w:r>
      <w:proofErr w:type="spellStart"/>
      <w:r w:rsidRPr="00B1089D">
        <w:t>their</w:t>
      </w:r>
      <w:proofErr w:type="spellEnd"/>
      <w:r w:rsidRPr="00B1089D">
        <w:t xml:space="preserve"> </w:t>
      </w:r>
      <w:proofErr w:type="spellStart"/>
      <w:r w:rsidRPr="00B1089D">
        <w:t>economic</w:t>
      </w:r>
      <w:proofErr w:type="spellEnd"/>
      <w:r w:rsidRPr="00B1089D">
        <w:t xml:space="preserve"> </w:t>
      </w:r>
      <w:proofErr w:type="spellStart"/>
      <w:r w:rsidRPr="00B1089D">
        <w:t>interests</w:t>
      </w:r>
      <w:proofErr w:type="spellEnd"/>
      <w:r w:rsidRPr="00B1089D">
        <w:t xml:space="preserve"> in a global </w:t>
      </w:r>
      <w:proofErr w:type="spellStart"/>
      <w:r w:rsidRPr="00B1089D">
        <w:t>system</w:t>
      </w:r>
      <w:proofErr w:type="spellEnd"/>
      <w:r w:rsidRPr="00B1089D">
        <w:t xml:space="preserve">. </w:t>
      </w:r>
      <w:proofErr w:type="spellStart"/>
      <w:r w:rsidRPr="00B1089D">
        <w:t>This</w:t>
      </w:r>
      <w:proofErr w:type="spellEnd"/>
      <w:r w:rsidRPr="00B1089D">
        <w:t xml:space="preserve"> </w:t>
      </w:r>
      <w:proofErr w:type="spellStart"/>
      <w:r w:rsidRPr="00B1089D">
        <w:t>research</w:t>
      </w:r>
      <w:proofErr w:type="spellEnd"/>
      <w:r w:rsidRPr="00B1089D">
        <w:t xml:space="preserve"> </w:t>
      </w:r>
      <w:proofErr w:type="spellStart"/>
      <w:r w:rsidRPr="00B1089D">
        <w:t>will</w:t>
      </w:r>
      <w:proofErr w:type="spellEnd"/>
      <w:r w:rsidRPr="00B1089D">
        <w:t xml:space="preserve"> </w:t>
      </w:r>
      <w:proofErr w:type="spellStart"/>
      <w:r w:rsidRPr="00B1089D">
        <w:t>provide</w:t>
      </w:r>
      <w:proofErr w:type="spellEnd"/>
      <w:r w:rsidRPr="00B1089D">
        <w:t xml:space="preserve"> </w:t>
      </w:r>
      <w:proofErr w:type="spellStart"/>
      <w:r w:rsidRPr="00B1089D">
        <w:t>insights</w:t>
      </w:r>
      <w:proofErr w:type="spellEnd"/>
      <w:r w:rsidRPr="00B1089D">
        <w:t xml:space="preserve"> </w:t>
      </w:r>
      <w:proofErr w:type="spellStart"/>
      <w:r w:rsidRPr="00B1089D">
        <w:t>into</w:t>
      </w:r>
      <w:proofErr w:type="spellEnd"/>
      <w:r w:rsidRPr="00B1089D">
        <w:t xml:space="preserve"> </w:t>
      </w:r>
      <w:proofErr w:type="spellStart"/>
      <w:r w:rsidRPr="00B1089D">
        <w:t>policy</w:t>
      </w:r>
      <w:proofErr w:type="spellEnd"/>
      <w:r w:rsidRPr="00B1089D">
        <w:t xml:space="preserve"> </w:t>
      </w:r>
      <w:proofErr w:type="spellStart"/>
      <w:r w:rsidRPr="00B1089D">
        <w:t>formation</w:t>
      </w:r>
      <w:proofErr w:type="spellEnd"/>
      <w:r w:rsidRPr="00B1089D">
        <w:t xml:space="preserve"> </w:t>
      </w:r>
      <w:proofErr w:type="spellStart"/>
      <w:r w:rsidRPr="00B1089D">
        <w:t>for</w:t>
      </w:r>
      <w:proofErr w:type="spellEnd"/>
      <w:r w:rsidRPr="00B1089D">
        <w:t xml:space="preserve"> </w:t>
      </w:r>
      <w:proofErr w:type="spellStart"/>
      <w:r w:rsidRPr="00B1089D">
        <w:t>solid</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proofErr w:type="gramStart"/>
      <w:r w:rsidRPr="00B1089D">
        <w:t>frameworks.This</w:t>
      </w:r>
      <w:proofErr w:type="spellEnd"/>
      <w:proofErr w:type="gramEnd"/>
      <w:r w:rsidRPr="00B1089D">
        <w:t xml:space="preserve"> </w:t>
      </w:r>
      <w:proofErr w:type="spellStart"/>
      <w:r w:rsidRPr="00B1089D">
        <w:t>research</w:t>
      </w:r>
      <w:proofErr w:type="spellEnd"/>
      <w:r w:rsidRPr="00B1089D">
        <w:t xml:space="preserve"> </w:t>
      </w:r>
      <w:proofErr w:type="spellStart"/>
      <w:r w:rsidRPr="00B1089D">
        <w:t>fills</w:t>
      </w:r>
      <w:proofErr w:type="spellEnd"/>
      <w:r w:rsidRPr="00B1089D">
        <w:t xml:space="preserve"> a </w:t>
      </w:r>
      <w:proofErr w:type="spellStart"/>
      <w:r w:rsidRPr="00B1089D">
        <w:t>gap</w:t>
      </w:r>
      <w:proofErr w:type="spellEnd"/>
      <w:r w:rsidRPr="00B1089D">
        <w:t xml:space="preserve"> in </w:t>
      </w:r>
      <w:proofErr w:type="spellStart"/>
      <w:r w:rsidRPr="00B1089D">
        <w:t>the</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literature</w:t>
      </w:r>
      <w:proofErr w:type="spellEnd"/>
      <w:r w:rsidRPr="00B1089D">
        <w:t xml:space="preserve"> </w:t>
      </w:r>
      <w:proofErr w:type="spellStart"/>
      <w:r w:rsidRPr="00B1089D">
        <w:t>by</w:t>
      </w:r>
      <w:proofErr w:type="spellEnd"/>
      <w:r w:rsidRPr="00B1089D">
        <w:t xml:space="preserve"> </w:t>
      </w:r>
      <w:proofErr w:type="spellStart"/>
      <w:r w:rsidRPr="00B1089D">
        <w:t>adopting</w:t>
      </w:r>
      <w:proofErr w:type="spellEnd"/>
      <w:r w:rsidRPr="00B1089D">
        <w:t xml:space="preserve"> Barry </w:t>
      </w:r>
      <w:proofErr w:type="spellStart"/>
      <w:r w:rsidRPr="00B1089D">
        <w:t>Buzan's</w:t>
      </w:r>
      <w:proofErr w:type="spellEnd"/>
      <w:r w:rsidRPr="00B1089D">
        <w:t xml:space="preserve"> </w:t>
      </w:r>
      <w:proofErr w:type="spellStart"/>
      <w:r w:rsidRPr="00B1089D">
        <w:t>security</w:t>
      </w:r>
      <w:proofErr w:type="spellEnd"/>
      <w:r w:rsidRPr="00B1089D">
        <w:t xml:space="preserve"> </w:t>
      </w:r>
      <w:proofErr w:type="spellStart"/>
      <w:r w:rsidRPr="00B1089D">
        <w:t>sector</w:t>
      </w:r>
      <w:proofErr w:type="spellEnd"/>
      <w:r w:rsidRPr="00B1089D">
        <w:t xml:space="preserve"> </w:t>
      </w:r>
      <w:proofErr w:type="spellStart"/>
      <w:r w:rsidRPr="00B1089D">
        <w:t>approach</w:t>
      </w:r>
      <w:proofErr w:type="spellEnd"/>
      <w:r w:rsidRPr="00B1089D">
        <w:t xml:space="preserve">. </w:t>
      </w:r>
      <w:proofErr w:type="spellStart"/>
      <w:r w:rsidRPr="00B1089D">
        <w:t>Moreover</w:t>
      </w:r>
      <w:proofErr w:type="spellEnd"/>
      <w:r w:rsidRPr="00B1089D">
        <w:t xml:space="preserve">, </w:t>
      </w:r>
      <w:proofErr w:type="spellStart"/>
      <w:r w:rsidRPr="00B1089D">
        <w:t>this</w:t>
      </w:r>
      <w:proofErr w:type="spellEnd"/>
      <w:r w:rsidRPr="00B1089D">
        <w:t xml:space="preserve"> </w:t>
      </w:r>
      <w:proofErr w:type="spellStart"/>
      <w:r w:rsidRPr="00B1089D">
        <w:t>research</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provide</w:t>
      </w:r>
      <w:proofErr w:type="spellEnd"/>
      <w:r w:rsidRPr="00B1089D">
        <w:t xml:space="preserve"> a </w:t>
      </w:r>
      <w:proofErr w:type="spellStart"/>
      <w:r w:rsidRPr="00B1089D">
        <w:t>solid</w:t>
      </w:r>
      <w:proofErr w:type="spellEnd"/>
      <w:r w:rsidRPr="00B1089D">
        <w:t xml:space="preserve"> </w:t>
      </w:r>
      <w:proofErr w:type="spellStart"/>
      <w:r w:rsidRPr="00B1089D">
        <w:t>empirical</w:t>
      </w:r>
      <w:proofErr w:type="spellEnd"/>
      <w:r w:rsidRPr="00B1089D">
        <w:t xml:space="preserve"> </w:t>
      </w:r>
      <w:proofErr w:type="spellStart"/>
      <w:r w:rsidRPr="00B1089D">
        <w:t>analysis</w:t>
      </w:r>
      <w:proofErr w:type="spellEnd"/>
      <w:r w:rsidRPr="00B1089D">
        <w:t xml:space="preserve"> </w:t>
      </w:r>
      <w:proofErr w:type="spellStart"/>
      <w:r w:rsidRPr="00B1089D">
        <w:t>based</w:t>
      </w:r>
      <w:proofErr w:type="spellEnd"/>
      <w:r w:rsidRPr="00B1089D">
        <w:t xml:space="preserve"> on </w:t>
      </w:r>
      <w:proofErr w:type="spellStart"/>
      <w:r w:rsidRPr="00B1089D">
        <w:t>Buzan's</w:t>
      </w:r>
      <w:proofErr w:type="spellEnd"/>
      <w:r w:rsidRPr="00B1089D">
        <w:t xml:space="preserve"> </w:t>
      </w:r>
      <w:proofErr w:type="spellStart"/>
      <w:r w:rsidRPr="00B1089D">
        <w:t>approach</w:t>
      </w:r>
      <w:proofErr w:type="spellEnd"/>
      <w:r w:rsidRPr="00B1089D">
        <w:t xml:space="preserve"> </w:t>
      </w:r>
      <w:proofErr w:type="spellStart"/>
      <w:r w:rsidRPr="00B1089D">
        <w:t>from</w:t>
      </w:r>
      <w:proofErr w:type="spellEnd"/>
      <w:r w:rsidRPr="00B1089D">
        <w:t xml:space="preserve"> a </w:t>
      </w:r>
      <w:proofErr w:type="spellStart"/>
      <w:r w:rsidRPr="00B1089D">
        <w:t>regional</w:t>
      </w:r>
      <w:proofErr w:type="spellEnd"/>
      <w:r w:rsidRPr="00B1089D">
        <w:t xml:space="preserve"> </w:t>
      </w:r>
      <w:proofErr w:type="spellStart"/>
      <w:r w:rsidRPr="00B1089D">
        <w:t>perspective</w:t>
      </w:r>
      <w:proofErr w:type="spellEnd"/>
      <w:r w:rsidRPr="00B1089D">
        <w:t>.</w:t>
      </w:r>
    </w:p>
    <w:p w14:paraId="4604C8F1" w14:textId="77777777" w:rsidR="00FA457D" w:rsidRPr="00B1089D" w:rsidRDefault="00FA457D" w:rsidP="00E359E0">
      <w:pPr>
        <w:widowControl/>
        <w:jc w:val="both"/>
      </w:pPr>
    </w:p>
    <w:p w14:paraId="409D9E32" w14:textId="77777777"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begins</w:t>
      </w:r>
      <w:proofErr w:type="spellEnd"/>
      <w:r w:rsidRPr="00B1089D">
        <w:t xml:space="preserve"> </w:t>
      </w:r>
      <w:proofErr w:type="spellStart"/>
      <w:r w:rsidRPr="00B1089D">
        <w:t>with</w:t>
      </w:r>
      <w:proofErr w:type="spellEnd"/>
      <w:r w:rsidRPr="00B1089D">
        <w:t xml:space="preserve"> a </w:t>
      </w:r>
      <w:proofErr w:type="spellStart"/>
      <w:r w:rsidRPr="00B1089D">
        <w:t>theoretical</w:t>
      </w:r>
      <w:proofErr w:type="spellEnd"/>
      <w:r w:rsidRPr="00B1089D">
        <w:t xml:space="preserve"> </w:t>
      </w:r>
      <w:proofErr w:type="spellStart"/>
      <w:r w:rsidRPr="00B1089D">
        <w:t>foundation</w:t>
      </w:r>
      <w:proofErr w:type="spellEnd"/>
      <w:r w:rsidRPr="00B1089D">
        <w:t xml:space="preserve">, </w:t>
      </w:r>
      <w:proofErr w:type="spellStart"/>
      <w:r w:rsidRPr="00B1089D">
        <w:t>emphasising</w:t>
      </w:r>
      <w:proofErr w:type="spellEnd"/>
      <w:r w:rsidRPr="00B1089D">
        <w:t xml:space="preserve"> </w:t>
      </w:r>
      <w:proofErr w:type="spellStart"/>
      <w:r w:rsidRPr="00B1089D">
        <w:t>the</w:t>
      </w:r>
      <w:proofErr w:type="spellEnd"/>
      <w:r w:rsidRPr="00B1089D">
        <w:t xml:space="preserve"> </w:t>
      </w:r>
      <w:proofErr w:type="spellStart"/>
      <w:r w:rsidRPr="00B1089D">
        <w:t>relevance</w:t>
      </w:r>
      <w:proofErr w:type="spellEnd"/>
      <w:r w:rsidRPr="00B1089D">
        <w:t xml:space="preserve"> </w:t>
      </w:r>
      <w:proofErr w:type="spellStart"/>
      <w:r w:rsidRPr="00B1089D">
        <w:t>and</w:t>
      </w:r>
      <w:proofErr w:type="spellEnd"/>
      <w:r w:rsidRPr="00B1089D">
        <w:t xml:space="preserve"> </w:t>
      </w:r>
      <w:proofErr w:type="spellStart"/>
      <w:r w:rsidRPr="00B1089D">
        <w:t>applicability</w:t>
      </w:r>
      <w:proofErr w:type="spellEnd"/>
      <w:r w:rsidRPr="00B1089D">
        <w:t xml:space="preserve"> of </w:t>
      </w:r>
      <w:proofErr w:type="spellStart"/>
      <w:r w:rsidRPr="00B1089D">
        <w:t>Buzan's</w:t>
      </w:r>
      <w:proofErr w:type="spellEnd"/>
      <w:r w:rsidRPr="00B1089D">
        <w:t xml:space="preserve"> </w:t>
      </w:r>
      <w:proofErr w:type="spellStart"/>
      <w:r w:rsidRPr="00B1089D">
        <w:t>method</w:t>
      </w:r>
      <w:proofErr w:type="spellEnd"/>
      <w:r w:rsidRPr="00B1089D">
        <w:t xml:space="preserve">. </w:t>
      </w:r>
      <w:proofErr w:type="spellStart"/>
      <w:r w:rsidRPr="00B1089D">
        <w:t>It</w:t>
      </w:r>
      <w:proofErr w:type="spellEnd"/>
      <w:r w:rsidRPr="00B1089D">
        <w:t xml:space="preserve"> </w:t>
      </w:r>
      <w:proofErr w:type="spellStart"/>
      <w:r w:rsidRPr="00B1089D">
        <w:t>highlights</w:t>
      </w:r>
      <w:proofErr w:type="spellEnd"/>
      <w:r w:rsidRPr="00B1089D">
        <w:t xml:space="preserve"> </w:t>
      </w:r>
      <w:proofErr w:type="spellStart"/>
      <w:r w:rsidRPr="00B1089D">
        <w:t>the</w:t>
      </w:r>
      <w:proofErr w:type="spellEnd"/>
      <w:r w:rsidRPr="00B1089D">
        <w:t xml:space="preserve"> </w:t>
      </w:r>
      <w:proofErr w:type="spellStart"/>
      <w:r w:rsidRPr="00B1089D">
        <w:t>multidimensional</w:t>
      </w:r>
      <w:proofErr w:type="spellEnd"/>
      <w:r w:rsidRPr="00B1089D">
        <w:t xml:space="preserve"> </w:t>
      </w:r>
      <w:proofErr w:type="spellStart"/>
      <w:r w:rsidRPr="00B1089D">
        <w:t>nature</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which</w:t>
      </w:r>
      <w:proofErr w:type="spellEnd"/>
      <w:r w:rsidRPr="00B1089D">
        <w:t xml:space="preserve"> </w:t>
      </w:r>
      <w:proofErr w:type="spellStart"/>
      <w:r w:rsidRPr="00B1089D">
        <w:t>encompasses</w:t>
      </w:r>
      <w:proofErr w:type="spellEnd"/>
      <w:r w:rsidRPr="00B1089D">
        <w:t xml:space="preserve"> </w:t>
      </w:r>
      <w:proofErr w:type="spellStart"/>
      <w:r w:rsidRPr="00B1089D">
        <w:t>individual</w:t>
      </w:r>
      <w:proofErr w:type="spellEnd"/>
      <w:r w:rsidRPr="00B1089D">
        <w:t xml:space="preserve">, </w:t>
      </w:r>
      <w:proofErr w:type="spellStart"/>
      <w:r w:rsidRPr="00B1089D">
        <w:t>national</w:t>
      </w:r>
      <w:proofErr w:type="spellEnd"/>
      <w:r w:rsidRPr="00B1089D">
        <w:t xml:space="preserve">, </w:t>
      </w:r>
      <w:proofErr w:type="spellStart"/>
      <w:r w:rsidRPr="00B1089D">
        <w:t>and</w:t>
      </w:r>
      <w:proofErr w:type="spellEnd"/>
      <w:r w:rsidRPr="00B1089D">
        <w:t xml:space="preserve"> </w:t>
      </w:r>
      <w:proofErr w:type="spellStart"/>
      <w:r w:rsidRPr="00B1089D">
        <w:t>international</w:t>
      </w:r>
      <w:proofErr w:type="spellEnd"/>
      <w:r w:rsidRPr="00B1089D">
        <w:t xml:space="preserve"> </w:t>
      </w:r>
      <w:proofErr w:type="spellStart"/>
      <w:r w:rsidRPr="00B1089D">
        <w:t>levels</w:t>
      </w:r>
      <w:proofErr w:type="spellEnd"/>
      <w:r w:rsidRPr="00B1089D">
        <w:t xml:space="preserve"> of </w:t>
      </w:r>
      <w:proofErr w:type="spellStart"/>
      <w:r w:rsidRPr="00B1089D">
        <w:t>analysis</w:t>
      </w:r>
      <w:proofErr w:type="spellEnd"/>
      <w:r w:rsidRPr="00B1089D">
        <w:t xml:space="preserve">. </w:t>
      </w:r>
      <w:proofErr w:type="spellStart"/>
      <w:r w:rsidRPr="00B1089D">
        <w:t>The</w:t>
      </w:r>
      <w:proofErr w:type="spellEnd"/>
      <w:r w:rsidRPr="00B1089D">
        <w:t xml:space="preserve"> </w:t>
      </w:r>
      <w:proofErr w:type="spellStart"/>
      <w:r w:rsidRPr="00B1089D">
        <w:t>literature</w:t>
      </w:r>
      <w:proofErr w:type="spellEnd"/>
      <w:r w:rsidRPr="00B1089D">
        <w:t xml:space="preserve"> on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output</w:t>
      </w:r>
      <w:proofErr w:type="spellEnd"/>
      <w:r w:rsidRPr="00B1089D">
        <w:t xml:space="preserve"> is </w:t>
      </w:r>
      <w:proofErr w:type="spellStart"/>
      <w:r w:rsidRPr="00B1089D">
        <w:t>examined</w:t>
      </w:r>
      <w:proofErr w:type="spellEnd"/>
      <w:r w:rsidRPr="00B1089D">
        <w:t xml:space="preserve"> </w:t>
      </w:r>
      <w:proofErr w:type="spellStart"/>
      <w:r w:rsidRPr="00B1089D">
        <w:t>next</w:t>
      </w:r>
      <w:proofErr w:type="spellEnd"/>
      <w:r w:rsidRPr="00B1089D">
        <w:t xml:space="preserve">, </w:t>
      </w:r>
      <w:proofErr w:type="spellStart"/>
      <w:r w:rsidRPr="00B1089D">
        <w:t>and</w:t>
      </w:r>
      <w:proofErr w:type="spellEnd"/>
      <w:r w:rsidRPr="00B1089D">
        <w:t xml:space="preserve"> </w:t>
      </w:r>
      <w:proofErr w:type="spellStart"/>
      <w:r w:rsidRPr="00B1089D">
        <w:t>several</w:t>
      </w:r>
      <w:proofErr w:type="spellEnd"/>
      <w:r w:rsidRPr="00B1089D">
        <w:t xml:space="preserve"> </w:t>
      </w:r>
      <w:proofErr w:type="spellStart"/>
      <w:r w:rsidRPr="00B1089D">
        <w:t>calculation</w:t>
      </w:r>
      <w:proofErr w:type="spellEnd"/>
      <w:r w:rsidRPr="00B1089D">
        <w:t xml:space="preserve"> </w:t>
      </w:r>
      <w:proofErr w:type="spellStart"/>
      <w:r w:rsidRPr="00B1089D">
        <w:t>methods</w:t>
      </w:r>
      <w:proofErr w:type="spellEnd"/>
      <w:r w:rsidRPr="00B1089D">
        <w:t xml:space="preserve"> </w:t>
      </w:r>
      <w:proofErr w:type="spellStart"/>
      <w:r w:rsidRPr="00B1089D">
        <w:t>are</w:t>
      </w:r>
      <w:proofErr w:type="spellEnd"/>
      <w:r w:rsidRPr="00B1089D">
        <w:t xml:space="preserve"> </w:t>
      </w:r>
      <w:proofErr w:type="spellStart"/>
      <w:r w:rsidRPr="00B1089D">
        <w:t>discussed</w:t>
      </w:r>
      <w:proofErr w:type="spellEnd"/>
      <w:r w:rsidRPr="00B1089D">
        <w:t xml:space="preserve">. </w:t>
      </w:r>
      <w:proofErr w:type="spellStart"/>
      <w:r w:rsidRPr="00B1089D">
        <w:t>Lastly</w:t>
      </w:r>
      <w:proofErr w:type="spellEnd"/>
      <w:r w:rsidRPr="00B1089D">
        <w:t xml:space="preserve">,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design</w:t>
      </w:r>
      <w:proofErr w:type="spellEnd"/>
      <w:r w:rsidRPr="00B1089D">
        <w:t xml:space="preserve"> </w:t>
      </w:r>
      <w:proofErr w:type="spellStart"/>
      <w:r w:rsidRPr="00B1089D">
        <w:t>and</w:t>
      </w:r>
      <w:proofErr w:type="spellEnd"/>
      <w:r w:rsidRPr="00B1089D">
        <w:t xml:space="preserve"> </w:t>
      </w:r>
      <w:proofErr w:type="spellStart"/>
      <w:r w:rsidRPr="00B1089D">
        <w:t>empirical</w:t>
      </w:r>
      <w:proofErr w:type="spellEnd"/>
      <w:r w:rsidRPr="00B1089D">
        <w:t xml:space="preserve"> </w:t>
      </w:r>
      <w:proofErr w:type="spellStart"/>
      <w:r w:rsidRPr="00B1089D">
        <w:t>results</w:t>
      </w:r>
      <w:proofErr w:type="spellEnd"/>
      <w:r w:rsidRPr="00B1089D">
        <w:t xml:space="preserve"> </w:t>
      </w:r>
      <w:proofErr w:type="spellStart"/>
      <w:r w:rsidRPr="00B1089D">
        <w:t>are</w:t>
      </w:r>
      <w:proofErr w:type="spellEnd"/>
      <w:r w:rsidRPr="00B1089D">
        <w:t xml:space="preserve"> </w:t>
      </w:r>
      <w:proofErr w:type="spellStart"/>
      <w:r w:rsidRPr="00B1089D">
        <w:t>presented</w:t>
      </w:r>
      <w:proofErr w:type="spellEnd"/>
      <w:r w:rsidRPr="00B1089D">
        <w:t xml:space="preserve">, </w:t>
      </w:r>
      <w:proofErr w:type="spellStart"/>
      <w:r w:rsidRPr="00B1089D">
        <w:t>concluding</w:t>
      </w:r>
      <w:proofErr w:type="spellEnd"/>
      <w:r w:rsidRPr="00B1089D">
        <w:t xml:space="preserve"> </w:t>
      </w:r>
      <w:proofErr w:type="spellStart"/>
      <w:r w:rsidRPr="00B1089D">
        <w:t>with</w:t>
      </w:r>
      <w:proofErr w:type="spellEnd"/>
      <w:r w:rsidRPr="00B1089D">
        <w:t xml:space="preserve"> </w:t>
      </w:r>
      <w:proofErr w:type="spellStart"/>
      <w:r w:rsidRPr="00B1089D">
        <w:t>actionable</w:t>
      </w:r>
      <w:proofErr w:type="spellEnd"/>
      <w:r w:rsidRPr="00B1089D">
        <w:t xml:space="preserve"> </w:t>
      </w:r>
      <w:proofErr w:type="spellStart"/>
      <w:r w:rsidRPr="00B1089D">
        <w:t>political</w:t>
      </w:r>
      <w:proofErr w:type="spellEnd"/>
      <w:r w:rsidRPr="00B1089D">
        <w:t xml:space="preserve"> </w:t>
      </w:r>
      <w:proofErr w:type="spellStart"/>
      <w:r w:rsidRPr="00B1089D">
        <w:t>advice</w:t>
      </w:r>
      <w:proofErr w:type="spellEnd"/>
      <w:r w:rsidRPr="00B1089D">
        <w:t xml:space="preserve"> </w:t>
      </w:r>
      <w:proofErr w:type="spellStart"/>
      <w:r w:rsidRPr="00B1089D">
        <w:t>for</w:t>
      </w:r>
      <w:proofErr w:type="spellEnd"/>
      <w:r w:rsidRPr="00B1089D">
        <w:t xml:space="preserve"> </w:t>
      </w:r>
      <w:proofErr w:type="spellStart"/>
      <w:r w:rsidRPr="00B1089D">
        <w:t>policymakers</w:t>
      </w:r>
      <w:proofErr w:type="spellEnd"/>
      <w:r w:rsidRPr="00B1089D">
        <w:t xml:space="preserve"> </w:t>
      </w:r>
      <w:proofErr w:type="spellStart"/>
      <w:r w:rsidRPr="00B1089D">
        <w:t>based</w:t>
      </w:r>
      <w:proofErr w:type="spellEnd"/>
      <w:r w:rsidRPr="00B1089D">
        <w:t xml:space="preserve"> on </w:t>
      </w:r>
      <w:proofErr w:type="spellStart"/>
      <w:r w:rsidRPr="00B1089D">
        <w:t>the</w:t>
      </w:r>
      <w:proofErr w:type="spellEnd"/>
      <w:r w:rsidRPr="00B1089D">
        <w:t xml:space="preserve"> </w:t>
      </w:r>
      <w:proofErr w:type="spellStart"/>
      <w:r w:rsidRPr="00B1089D">
        <w:t>findings</w:t>
      </w:r>
      <w:proofErr w:type="spellEnd"/>
      <w:r w:rsidRPr="00B1089D">
        <w:t>.</w:t>
      </w:r>
    </w:p>
    <w:p w14:paraId="79CAAA12" w14:textId="77777777" w:rsidR="00FA457D" w:rsidRPr="00B1089D" w:rsidRDefault="00FA457D" w:rsidP="00E359E0">
      <w:pPr>
        <w:widowControl/>
        <w:jc w:val="both"/>
      </w:pPr>
    </w:p>
    <w:p w14:paraId="6EEB606F" w14:textId="77777777" w:rsidR="00FA457D" w:rsidRPr="00B1089D" w:rsidRDefault="00FA457D" w:rsidP="00E359E0">
      <w:pPr>
        <w:widowControl/>
        <w:jc w:val="both"/>
      </w:pPr>
      <w:proofErr w:type="spellStart"/>
      <w:r w:rsidRPr="00B1089D">
        <w:rPr>
          <w:b/>
          <w:bCs/>
        </w:rPr>
        <w:t>Levels</w:t>
      </w:r>
      <w:proofErr w:type="spellEnd"/>
      <w:r w:rsidRPr="00B1089D">
        <w:rPr>
          <w:b/>
          <w:bCs/>
        </w:rPr>
        <w:t xml:space="preserve"> of </w:t>
      </w:r>
      <w:proofErr w:type="spellStart"/>
      <w:r w:rsidRPr="00B1089D">
        <w:rPr>
          <w:b/>
          <w:bCs/>
        </w:rPr>
        <w:t>Economic</w:t>
      </w:r>
      <w:proofErr w:type="spellEnd"/>
      <w:r w:rsidRPr="00B1089D">
        <w:rPr>
          <w:b/>
          <w:bCs/>
        </w:rPr>
        <w:t xml:space="preserve"> Security</w:t>
      </w:r>
    </w:p>
    <w:p w14:paraId="56DF71BE" w14:textId="77777777" w:rsidR="00FA457D" w:rsidRPr="00B1089D" w:rsidRDefault="00FA457D" w:rsidP="00E359E0">
      <w:pPr>
        <w:widowControl/>
        <w:jc w:val="both"/>
      </w:pPr>
      <w:proofErr w:type="spellStart"/>
      <w:r w:rsidRPr="00B1089D">
        <w:t>Economic</w:t>
      </w:r>
      <w:proofErr w:type="spellEnd"/>
      <w:r w:rsidRPr="00B1089D">
        <w:t xml:space="preserve"> </w:t>
      </w:r>
      <w:proofErr w:type="spellStart"/>
      <w:r w:rsidRPr="00B1089D">
        <w:t>security</w:t>
      </w:r>
      <w:proofErr w:type="spellEnd"/>
      <w:r w:rsidRPr="00B1089D">
        <w:t xml:space="preserve"> can be </w:t>
      </w:r>
      <w:proofErr w:type="spellStart"/>
      <w:r w:rsidRPr="00B1089D">
        <w:t>analysed</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w:t>
      </w:r>
      <w:proofErr w:type="spellStart"/>
      <w:r w:rsidRPr="00B1089D">
        <w:t>individual</w:t>
      </w:r>
      <w:proofErr w:type="spellEnd"/>
      <w:r w:rsidRPr="00B1089D">
        <w:t xml:space="preserve">, </w:t>
      </w:r>
      <w:proofErr w:type="spellStart"/>
      <w:r w:rsidRPr="00B1089D">
        <w:t>the</w:t>
      </w:r>
      <w:proofErr w:type="spellEnd"/>
      <w:r w:rsidRPr="00B1089D">
        <w:t xml:space="preserve"> </w:t>
      </w:r>
      <w:proofErr w:type="spellStart"/>
      <w:r w:rsidRPr="00B1089D">
        <w:t>firm</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class</w:t>
      </w:r>
      <w:proofErr w:type="spellEnd"/>
      <w:r w:rsidRPr="00B1089D">
        <w:t xml:space="preserve"> </w:t>
      </w:r>
      <w:proofErr w:type="spellStart"/>
      <w:r w:rsidRPr="00B1089D">
        <w:t>perspective</w:t>
      </w:r>
      <w:proofErr w:type="spellEnd"/>
      <w:r w:rsidRPr="00B1089D">
        <w:t xml:space="preserve">. </w:t>
      </w:r>
      <w:proofErr w:type="spellStart"/>
      <w:r w:rsidRPr="00B1089D">
        <w:t>This</w:t>
      </w:r>
      <w:proofErr w:type="spellEnd"/>
      <w:r w:rsidRPr="00B1089D">
        <w:t xml:space="preserve"> </w:t>
      </w:r>
      <w:proofErr w:type="spellStart"/>
      <w:r w:rsidRPr="00B1089D">
        <w:t>type</w:t>
      </w:r>
      <w:proofErr w:type="spellEnd"/>
      <w:r w:rsidRPr="00B1089D">
        <w:t xml:space="preserve"> of </w:t>
      </w:r>
      <w:proofErr w:type="spellStart"/>
      <w:r w:rsidRPr="00B1089D">
        <w:t>analysis</w:t>
      </w:r>
      <w:proofErr w:type="spellEnd"/>
      <w:r w:rsidRPr="00B1089D">
        <w:t xml:space="preserve"> </w:t>
      </w:r>
      <w:proofErr w:type="spellStart"/>
      <w:r w:rsidRPr="00B1089D">
        <w:t>helps</w:t>
      </w:r>
      <w:proofErr w:type="spellEnd"/>
      <w:r w:rsidRPr="00B1089D">
        <w:t xml:space="preserve"> </w:t>
      </w:r>
      <w:proofErr w:type="spellStart"/>
      <w:r w:rsidRPr="00B1089D">
        <w:t>to</w:t>
      </w:r>
      <w:proofErr w:type="spellEnd"/>
      <w:r w:rsidRPr="00B1089D">
        <w:t xml:space="preserve"> </w:t>
      </w:r>
      <w:proofErr w:type="spellStart"/>
      <w:r w:rsidRPr="00B1089D">
        <w:t>understand</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system</w:t>
      </w:r>
      <w:proofErr w:type="spellEnd"/>
      <w:r w:rsidRPr="00B1089D">
        <w:t xml:space="preserve">. </w:t>
      </w:r>
      <w:proofErr w:type="spellStart"/>
      <w:r w:rsidRPr="00B1089D">
        <w:t>Different</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problems</w:t>
      </w:r>
      <w:proofErr w:type="spellEnd"/>
      <w:r w:rsidRPr="00B1089D">
        <w:t xml:space="preserve"> </w:t>
      </w:r>
      <w:proofErr w:type="spellStart"/>
      <w:r w:rsidRPr="00B1089D">
        <w:t>exist</w:t>
      </w:r>
      <w:proofErr w:type="spellEnd"/>
      <w:r w:rsidRPr="00B1089D">
        <w:t xml:space="preserve"> at </w:t>
      </w:r>
      <w:proofErr w:type="spellStart"/>
      <w:r w:rsidRPr="00B1089D">
        <w:t>these</w:t>
      </w:r>
      <w:proofErr w:type="spellEnd"/>
      <w:r w:rsidRPr="00B1089D">
        <w:t xml:space="preserve"> </w:t>
      </w:r>
      <w:proofErr w:type="spellStart"/>
      <w:r w:rsidRPr="00B1089D">
        <w:t>levels</w:t>
      </w:r>
      <w:proofErr w:type="spellEnd"/>
      <w:r w:rsidRPr="00B1089D">
        <w:t xml:space="preserve"> </w:t>
      </w:r>
      <w:proofErr w:type="spellStart"/>
      <w:r w:rsidRPr="00B1089D">
        <w:t>and</w:t>
      </w:r>
      <w:proofErr w:type="spellEnd"/>
      <w:r w:rsidRPr="00B1089D">
        <w:t xml:space="preserve"> </w:t>
      </w:r>
      <w:proofErr w:type="spellStart"/>
      <w:r w:rsidRPr="00B1089D">
        <w:t>must</w:t>
      </w:r>
      <w:proofErr w:type="spellEnd"/>
      <w:r w:rsidRPr="00B1089D">
        <w:t xml:space="preserve"> be </w:t>
      </w:r>
      <w:proofErr w:type="spellStart"/>
      <w:r w:rsidRPr="00B1089D">
        <w:t>analysed</w:t>
      </w:r>
      <w:proofErr w:type="spellEnd"/>
      <w:r w:rsidRPr="00B1089D">
        <w:t xml:space="preserve"> </w:t>
      </w:r>
      <w:proofErr w:type="spellStart"/>
      <w:r w:rsidRPr="00B1089D">
        <w:t>separately</w:t>
      </w:r>
      <w:proofErr w:type="spellEnd"/>
      <w:r w:rsidRPr="00B1089D">
        <w:t xml:space="preserve">. </w:t>
      </w:r>
      <w:proofErr w:type="spellStart"/>
      <w:r w:rsidRPr="00B1089D">
        <w:t>For</w:t>
      </w:r>
      <w:proofErr w:type="spellEnd"/>
      <w:r w:rsidRPr="00B1089D">
        <w:t xml:space="preserve"> </w:t>
      </w:r>
      <w:proofErr w:type="spellStart"/>
      <w:r w:rsidRPr="00B1089D">
        <w:t>example</w:t>
      </w:r>
      <w:proofErr w:type="spellEnd"/>
      <w:r w:rsidRPr="00B1089D">
        <w:t xml:space="preserve">, </w:t>
      </w:r>
      <w:proofErr w:type="spellStart"/>
      <w:r w:rsidRPr="00B1089D">
        <w:t>we</w:t>
      </w:r>
      <w:proofErr w:type="spellEnd"/>
      <w:r w:rsidRPr="00B1089D">
        <w:t xml:space="preserve"> </w:t>
      </w:r>
      <w:proofErr w:type="spellStart"/>
      <w:r w:rsidRPr="00B1089D">
        <w:t>face</w:t>
      </w:r>
      <w:proofErr w:type="spellEnd"/>
      <w:r w:rsidRPr="00B1089D">
        <w:t xml:space="preserve"> a dilemma </w:t>
      </w:r>
      <w:proofErr w:type="spellStart"/>
      <w:r w:rsidRPr="00B1089D">
        <w:t>regarding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if</w:t>
      </w:r>
      <w:proofErr w:type="spellEnd"/>
      <w:r w:rsidRPr="00B1089D">
        <w:t xml:space="preserve"> </w:t>
      </w:r>
      <w:proofErr w:type="spellStart"/>
      <w:r w:rsidRPr="00B1089D">
        <w:t>we</w:t>
      </w:r>
      <w:proofErr w:type="spellEnd"/>
      <w:r w:rsidRPr="00B1089D">
        <w:t xml:space="preserve"> </w:t>
      </w:r>
      <w:proofErr w:type="spellStart"/>
      <w:r w:rsidRPr="00B1089D">
        <w:t>consider</w:t>
      </w:r>
      <w:proofErr w:type="spellEnd"/>
      <w:r w:rsidRPr="00B1089D">
        <w:t xml:space="preserve"> </w:t>
      </w:r>
      <w:proofErr w:type="spellStart"/>
      <w:r w:rsidRPr="00B1089D">
        <w:t>the</w:t>
      </w:r>
      <w:proofErr w:type="spellEnd"/>
      <w:r w:rsidRPr="00B1089D">
        <w:t xml:space="preserve"> </w:t>
      </w:r>
      <w:proofErr w:type="spellStart"/>
      <w:r w:rsidRPr="00B1089D">
        <w:t>individual</w:t>
      </w:r>
      <w:proofErr w:type="spellEnd"/>
      <w:r w:rsidRPr="00B1089D">
        <w:t xml:space="preserve"> </w:t>
      </w:r>
      <w:proofErr w:type="spellStart"/>
      <w:r w:rsidRPr="00B1089D">
        <w:t>the</w:t>
      </w:r>
      <w:proofErr w:type="spellEnd"/>
      <w:r w:rsidRPr="00B1089D">
        <w:t xml:space="preserve"> </w:t>
      </w:r>
      <w:proofErr w:type="spellStart"/>
      <w:r w:rsidRPr="00B1089D">
        <w:t>basic</w:t>
      </w:r>
      <w:proofErr w:type="spellEnd"/>
      <w:r w:rsidRPr="00B1089D">
        <w:t xml:space="preserve"> </w:t>
      </w:r>
      <w:proofErr w:type="spellStart"/>
      <w:r w:rsidRPr="00B1089D">
        <w:t>unit</w:t>
      </w:r>
      <w:proofErr w:type="spellEnd"/>
      <w:r w:rsidRPr="00B1089D">
        <w:t xml:space="preserve">. </w:t>
      </w:r>
      <w:proofErr w:type="spellStart"/>
      <w:r w:rsidRPr="00B1089D">
        <w:t>Because</w:t>
      </w:r>
      <w:proofErr w:type="spellEnd"/>
      <w:r w:rsidRPr="00B1089D">
        <w:t xml:space="preserve"> </w:t>
      </w:r>
      <w:proofErr w:type="spellStart"/>
      <w:r w:rsidRPr="00B1089D">
        <w:t>there</w:t>
      </w:r>
      <w:proofErr w:type="spellEnd"/>
      <w:r w:rsidRPr="00B1089D">
        <w:t xml:space="preserve"> is a dilemma </w:t>
      </w:r>
      <w:proofErr w:type="spellStart"/>
      <w:r w:rsidRPr="00B1089D">
        <w:t>about</w:t>
      </w:r>
      <w:proofErr w:type="spellEnd"/>
      <w:r w:rsidRPr="00B1089D">
        <w:t xml:space="preserve"> </w:t>
      </w:r>
      <w:proofErr w:type="spellStart"/>
      <w:r w:rsidRPr="00B1089D">
        <w:t>whether</w:t>
      </w:r>
      <w:proofErr w:type="spellEnd"/>
      <w:r w:rsidRPr="00B1089D">
        <w:t xml:space="preserve"> </w:t>
      </w:r>
      <w:proofErr w:type="spellStart"/>
      <w:r w:rsidRPr="00B1089D">
        <w:t>to</w:t>
      </w:r>
      <w:proofErr w:type="spellEnd"/>
      <w:r w:rsidRPr="00B1089D">
        <w:t xml:space="preserve"> </w:t>
      </w:r>
      <w:proofErr w:type="spellStart"/>
      <w:r w:rsidRPr="00B1089D">
        <w:t>fulfil</w:t>
      </w:r>
      <w:proofErr w:type="spellEnd"/>
      <w:r w:rsidRPr="00B1089D">
        <w:t xml:space="preserve"> </w:t>
      </w:r>
      <w:proofErr w:type="spellStart"/>
      <w:r w:rsidRPr="00B1089D">
        <w:t>basic</w:t>
      </w:r>
      <w:proofErr w:type="spellEnd"/>
      <w:r w:rsidRPr="00B1089D">
        <w:t xml:space="preserve"> </w:t>
      </w:r>
      <w:proofErr w:type="spellStart"/>
      <w:r w:rsidRPr="00B1089D">
        <w:t>human</w:t>
      </w:r>
      <w:proofErr w:type="spellEnd"/>
      <w:r w:rsidRPr="00B1089D">
        <w:t xml:space="preserve"> </w:t>
      </w:r>
      <w:proofErr w:type="spellStart"/>
      <w:r w:rsidRPr="00B1089D">
        <w:t>needs</w:t>
      </w:r>
      <w:proofErr w:type="spellEnd"/>
      <w:r w:rsidRPr="00B1089D">
        <w:t xml:space="preserve"> </w:t>
      </w:r>
      <w:proofErr w:type="spellStart"/>
      <w:r w:rsidRPr="00B1089D">
        <w:t>or</w:t>
      </w:r>
      <w:proofErr w:type="spellEnd"/>
      <w:r w:rsidRPr="00B1089D">
        <w:t xml:space="preserve"> </w:t>
      </w:r>
      <w:proofErr w:type="spellStart"/>
      <w:r w:rsidRPr="00B1089D">
        <w:t>to</w:t>
      </w:r>
      <w:proofErr w:type="spellEnd"/>
      <w:r w:rsidRPr="00B1089D">
        <w:t xml:space="preserve"> be </w:t>
      </w:r>
      <w:proofErr w:type="spellStart"/>
      <w:r w:rsidRPr="00B1089D">
        <w:t>defined</w:t>
      </w:r>
      <w:proofErr w:type="spellEnd"/>
      <w:r w:rsidRPr="00B1089D">
        <w:t xml:space="preserve"> </w:t>
      </w:r>
      <w:proofErr w:type="spellStart"/>
      <w:r w:rsidRPr="00B1089D">
        <w:t>by</w:t>
      </w:r>
      <w:proofErr w:type="spellEnd"/>
      <w:r w:rsidRPr="00B1089D">
        <w:t xml:space="preserve"> </w:t>
      </w:r>
      <w:proofErr w:type="spellStart"/>
      <w:r w:rsidRPr="00B1089D">
        <w:t>living</w:t>
      </w:r>
      <w:proofErr w:type="spellEnd"/>
      <w:r w:rsidRPr="00B1089D">
        <w:t xml:space="preserve"> at a </w:t>
      </w:r>
      <w:proofErr w:type="spellStart"/>
      <w:r w:rsidRPr="00B1089D">
        <w:t>certain</w:t>
      </w:r>
      <w:proofErr w:type="spellEnd"/>
      <w:r w:rsidRPr="00B1089D">
        <w:t xml:space="preserve"> </w:t>
      </w:r>
      <w:proofErr w:type="spellStart"/>
      <w:r w:rsidRPr="00B1089D">
        <w:t>level</w:t>
      </w:r>
      <w:proofErr w:type="spellEnd"/>
      <w:r w:rsidRPr="00B1089D">
        <w:t xml:space="preserve"> of </w:t>
      </w:r>
      <w:proofErr w:type="spellStart"/>
      <w:r w:rsidRPr="00B1089D">
        <w:t>welfare</w:t>
      </w:r>
      <w:proofErr w:type="spellEnd"/>
      <w:r w:rsidRPr="00B1089D">
        <w:t xml:space="preserve">, </w:t>
      </w:r>
      <w:proofErr w:type="spellStart"/>
      <w:r w:rsidRPr="00B1089D">
        <w:t>if</w:t>
      </w:r>
      <w:proofErr w:type="spellEnd"/>
      <w:r w:rsidRPr="00B1089D">
        <w:t xml:space="preserve"> </w:t>
      </w:r>
      <w:proofErr w:type="spellStart"/>
      <w:r w:rsidRPr="00B1089D">
        <w:t>the</w:t>
      </w:r>
      <w:proofErr w:type="spellEnd"/>
      <w:r w:rsidRPr="00B1089D">
        <w:t xml:space="preserve"> </w:t>
      </w:r>
      <w:proofErr w:type="spellStart"/>
      <w:r w:rsidRPr="00B1089D">
        <w:t>fulfilment</w:t>
      </w:r>
      <w:proofErr w:type="spellEnd"/>
      <w:r w:rsidRPr="00B1089D">
        <w:t xml:space="preserve"> of </w:t>
      </w:r>
      <w:proofErr w:type="spellStart"/>
      <w:r w:rsidRPr="00B1089D">
        <w:t>basic</w:t>
      </w:r>
      <w:proofErr w:type="spellEnd"/>
      <w:r w:rsidRPr="00B1089D">
        <w:t xml:space="preserve"> </w:t>
      </w:r>
      <w:proofErr w:type="spellStart"/>
      <w:r w:rsidRPr="00B1089D">
        <w:t>human</w:t>
      </w:r>
      <w:proofErr w:type="spellEnd"/>
      <w:r w:rsidRPr="00B1089D">
        <w:t xml:space="preserve"> </w:t>
      </w:r>
      <w:proofErr w:type="spellStart"/>
      <w:r w:rsidRPr="00B1089D">
        <w:t>needs</w:t>
      </w:r>
      <w:proofErr w:type="spellEnd"/>
      <w:r w:rsidRPr="00B1089D">
        <w:t xml:space="preserve"> is </w:t>
      </w:r>
      <w:proofErr w:type="spellStart"/>
      <w:r w:rsidRPr="00B1089D">
        <w:t>considered</w:t>
      </w:r>
      <w:proofErr w:type="spellEnd"/>
      <w:r w:rsidRPr="00B1089D">
        <w:t xml:space="preserve"> </w:t>
      </w:r>
      <w:proofErr w:type="spellStart"/>
      <w:r w:rsidRPr="00B1089D">
        <w:t>sufficient</w:t>
      </w:r>
      <w:proofErr w:type="spellEnd"/>
      <w:r w:rsidRPr="00B1089D">
        <w:t xml:space="preserve">, </w:t>
      </w:r>
      <w:proofErr w:type="spellStart"/>
      <w:r w:rsidRPr="00B1089D">
        <w:t>the</w:t>
      </w:r>
      <w:proofErr w:type="spellEnd"/>
      <w:r w:rsidRPr="00B1089D">
        <w:t xml:space="preserve"> </w:t>
      </w:r>
      <w:proofErr w:type="spellStart"/>
      <w:r w:rsidRPr="00B1089D">
        <w:t>Soviet-style</w:t>
      </w:r>
      <w:proofErr w:type="spellEnd"/>
      <w:r w:rsidRPr="00B1089D">
        <w:t xml:space="preserve"> </w:t>
      </w:r>
      <w:proofErr w:type="spellStart"/>
      <w:r w:rsidRPr="00B1089D">
        <w:t>may</w:t>
      </w:r>
      <w:proofErr w:type="spellEnd"/>
      <w:r w:rsidRPr="00B1089D">
        <w:t xml:space="preserve"> </w:t>
      </w:r>
      <w:proofErr w:type="spellStart"/>
      <w:r w:rsidRPr="00B1089D">
        <w:t>decrease</w:t>
      </w:r>
      <w:proofErr w:type="spellEnd"/>
      <w:r w:rsidRPr="00B1089D">
        <w:t xml:space="preserve"> </w:t>
      </w:r>
      <w:proofErr w:type="spellStart"/>
      <w:r w:rsidRPr="00B1089D">
        <w:t>the</w:t>
      </w:r>
      <w:proofErr w:type="spellEnd"/>
      <w:r w:rsidRPr="00B1089D">
        <w:t xml:space="preserve"> </w:t>
      </w:r>
      <w:proofErr w:type="spellStart"/>
      <w:r w:rsidRPr="00B1089D">
        <w:t>individual's</w:t>
      </w:r>
      <w:proofErr w:type="spellEnd"/>
      <w:r w:rsidRPr="00B1089D">
        <w:t xml:space="preserve"> </w:t>
      </w:r>
      <w:proofErr w:type="spellStart"/>
      <w:r w:rsidRPr="00B1089D">
        <w:t>standard</w:t>
      </w:r>
      <w:proofErr w:type="spellEnd"/>
      <w:r w:rsidRPr="00B1089D">
        <w:t xml:space="preserve"> of </w:t>
      </w:r>
      <w:proofErr w:type="spellStart"/>
      <w:r w:rsidRPr="00B1089D">
        <w:t>living</w:t>
      </w:r>
      <w:proofErr w:type="spellEnd"/>
      <w:r w:rsidRPr="00B1089D">
        <w:t xml:space="preserve">. On </w:t>
      </w:r>
      <w:proofErr w:type="spellStart"/>
      <w:r w:rsidRPr="00B1089D">
        <w:t>the</w:t>
      </w:r>
      <w:proofErr w:type="spellEnd"/>
      <w:r w:rsidRPr="00B1089D">
        <w:t xml:space="preserve"> </w:t>
      </w:r>
      <w:proofErr w:type="spellStart"/>
      <w:r w:rsidRPr="00B1089D">
        <w:t>other</w:t>
      </w:r>
      <w:proofErr w:type="spellEnd"/>
      <w:r w:rsidRPr="00B1089D">
        <w:t xml:space="preserve"> </w:t>
      </w:r>
      <w:proofErr w:type="spellStart"/>
      <w:r w:rsidRPr="00B1089D">
        <w:t>hand</w:t>
      </w:r>
      <w:proofErr w:type="spellEnd"/>
      <w:r w:rsidRPr="00B1089D">
        <w:t xml:space="preserve">, </w:t>
      </w:r>
      <w:proofErr w:type="spellStart"/>
      <w:r w:rsidRPr="00B1089D">
        <w:t>if</w:t>
      </w:r>
      <w:proofErr w:type="spellEnd"/>
      <w:r w:rsidRPr="00B1089D">
        <w:t xml:space="preserve"> a </w:t>
      </w:r>
      <w:proofErr w:type="spellStart"/>
      <w:r w:rsidRPr="00B1089D">
        <w:t>certain</w:t>
      </w:r>
      <w:proofErr w:type="spellEnd"/>
      <w:r w:rsidRPr="00B1089D">
        <w:t xml:space="preserve"> </w:t>
      </w:r>
      <w:proofErr w:type="spellStart"/>
      <w:r w:rsidRPr="00B1089D">
        <w:t>standard</w:t>
      </w:r>
      <w:proofErr w:type="spellEnd"/>
      <w:r w:rsidRPr="00B1089D">
        <w:t xml:space="preserve"> of </w:t>
      </w:r>
      <w:proofErr w:type="spellStart"/>
      <w:r w:rsidRPr="00B1089D">
        <w:t>living</w:t>
      </w:r>
      <w:proofErr w:type="spellEnd"/>
      <w:r w:rsidRPr="00B1089D">
        <w:t xml:space="preserve"> </w:t>
      </w:r>
      <w:proofErr w:type="spellStart"/>
      <w:r w:rsidRPr="00B1089D">
        <w:t>and</w:t>
      </w:r>
      <w:proofErr w:type="spellEnd"/>
      <w:r w:rsidRPr="00B1089D">
        <w:t xml:space="preserve"> </w:t>
      </w:r>
      <w:proofErr w:type="spellStart"/>
      <w:r w:rsidRPr="00B1089D">
        <w:t>welfare</w:t>
      </w:r>
      <w:proofErr w:type="spellEnd"/>
      <w:r w:rsidRPr="00B1089D">
        <w:t xml:space="preserve"> </w:t>
      </w:r>
      <w:proofErr w:type="spellStart"/>
      <w:r w:rsidRPr="00B1089D">
        <w:t>conditions</w:t>
      </w:r>
      <w:proofErr w:type="spellEnd"/>
      <w:r w:rsidRPr="00B1089D">
        <w:t xml:space="preserve"> </w:t>
      </w:r>
      <w:proofErr w:type="spellStart"/>
      <w:r w:rsidRPr="00B1089D">
        <w:t>are</w:t>
      </w:r>
      <w:proofErr w:type="spellEnd"/>
      <w:r w:rsidRPr="00B1089D">
        <w:t xml:space="preserve"> </w:t>
      </w:r>
      <w:proofErr w:type="spellStart"/>
      <w:r w:rsidRPr="00B1089D">
        <w:t>aimed</w:t>
      </w:r>
      <w:proofErr w:type="spellEnd"/>
      <w:r w:rsidRPr="00B1089D">
        <w:t xml:space="preserve">, market </w:t>
      </w:r>
      <w:proofErr w:type="spellStart"/>
      <w:r w:rsidRPr="00B1089D">
        <w:t>intervention</w:t>
      </w:r>
      <w:proofErr w:type="spellEnd"/>
      <w:r w:rsidRPr="00B1089D">
        <w:t xml:space="preserve"> </w:t>
      </w:r>
      <w:proofErr w:type="spellStart"/>
      <w:r w:rsidRPr="00B1089D">
        <w:t>will</w:t>
      </w:r>
      <w:proofErr w:type="spellEnd"/>
      <w:r w:rsidRPr="00B1089D">
        <w:t xml:space="preserve"> be </w:t>
      </w:r>
      <w:proofErr w:type="spellStart"/>
      <w:r w:rsidRPr="00B1089D">
        <w:t>necessary</w:t>
      </w:r>
      <w:proofErr w:type="spellEnd"/>
      <w:r w:rsidRPr="00B1089D">
        <w:t xml:space="preserve"> (</w:t>
      </w:r>
      <w:proofErr w:type="spellStart"/>
      <w:r w:rsidRPr="00B1089D">
        <w:t>Buzan</w:t>
      </w:r>
      <w:proofErr w:type="spellEnd"/>
      <w:r w:rsidRPr="00B1089D">
        <w:t xml:space="preserve"> 2015: 193).</w:t>
      </w:r>
    </w:p>
    <w:p w14:paraId="551B63C2" w14:textId="77777777" w:rsidR="00FA457D" w:rsidRPr="00B1089D" w:rsidRDefault="00FA457D" w:rsidP="00E359E0">
      <w:pPr>
        <w:widowControl/>
        <w:jc w:val="both"/>
      </w:pPr>
      <w:proofErr w:type="spellStart"/>
      <w:r w:rsidRPr="00B1089D">
        <w:t>Economic</w:t>
      </w:r>
      <w:proofErr w:type="spellEnd"/>
      <w:r w:rsidRPr="00B1089D">
        <w:t xml:space="preserve"> </w:t>
      </w:r>
      <w:proofErr w:type="spellStart"/>
      <w:r w:rsidRPr="00B1089D">
        <w:t>security</w:t>
      </w:r>
      <w:proofErr w:type="spellEnd"/>
      <w:r w:rsidRPr="00B1089D">
        <w:t xml:space="preserve"> is a </w:t>
      </w:r>
      <w:proofErr w:type="spellStart"/>
      <w:r w:rsidRPr="00B1089D">
        <w:t>multifaceted</w:t>
      </w:r>
      <w:proofErr w:type="spellEnd"/>
      <w:r w:rsidRPr="00B1089D">
        <w:t xml:space="preserve"> </w:t>
      </w:r>
      <w:proofErr w:type="spellStart"/>
      <w:r w:rsidRPr="00B1089D">
        <w:t>concept</w:t>
      </w:r>
      <w:proofErr w:type="spellEnd"/>
      <w:r w:rsidRPr="00B1089D">
        <w:t xml:space="preserve"> </w:t>
      </w:r>
      <w:proofErr w:type="spellStart"/>
      <w:r w:rsidRPr="00B1089D">
        <w:t>encompassing</w:t>
      </w:r>
      <w:proofErr w:type="spellEnd"/>
      <w:r w:rsidRPr="00B1089D">
        <w:t xml:space="preserve"> </w:t>
      </w:r>
      <w:proofErr w:type="spellStart"/>
      <w:r w:rsidRPr="00B1089D">
        <w:t>various</w:t>
      </w:r>
      <w:proofErr w:type="spellEnd"/>
      <w:r w:rsidRPr="00B1089D">
        <w:t xml:space="preserve"> </w:t>
      </w:r>
      <w:proofErr w:type="spellStart"/>
      <w:r w:rsidRPr="00B1089D">
        <w:t>levels</w:t>
      </w:r>
      <w:proofErr w:type="spellEnd"/>
      <w:r w:rsidRPr="00B1089D">
        <w:t xml:space="preserve"> of </w:t>
      </w:r>
      <w:proofErr w:type="spellStart"/>
      <w:r w:rsidRPr="00B1089D">
        <w:t>analysis</w:t>
      </w:r>
      <w:proofErr w:type="spellEnd"/>
      <w:r w:rsidRPr="00B1089D">
        <w:t xml:space="preserve">, </w:t>
      </w:r>
      <w:proofErr w:type="spellStart"/>
      <w:r w:rsidRPr="00B1089D">
        <w:t>with</w:t>
      </w:r>
      <w:proofErr w:type="spellEnd"/>
      <w:r w:rsidRPr="00B1089D">
        <w:t xml:space="preserve"> </w:t>
      </w:r>
      <w:proofErr w:type="spellStart"/>
      <w:r w:rsidRPr="00B1089D">
        <w:t>existing</w:t>
      </w:r>
      <w:proofErr w:type="spellEnd"/>
      <w:r w:rsidRPr="00B1089D">
        <w:t xml:space="preserve"> </w:t>
      </w:r>
      <w:proofErr w:type="spellStart"/>
      <w:r w:rsidRPr="00B1089D">
        <w:t>literature</w:t>
      </w:r>
      <w:proofErr w:type="spellEnd"/>
      <w:r w:rsidRPr="00B1089D">
        <w:t xml:space="preserve"> </w:t>
      </w:r>
      <w:proofErr w:type="spellStart"/>
      <w:r w:rsidRPr="00B1089D">
        <w:t>identifying</w:t>
      </w:r>
      <w:proofErr w:type="spellEnd"/>
      <w:r w:rsidRPr="00B1089D">
        <w:t xml:space="preserve"> </w:t>
      </w:r>
      <w:proofErr w:type="spellStart"/>
      <w:r w:rsidRPr="00B1089D">
        <w:t>three</w:t>
      </w:r>
      <w:proofErr w:type="spellEnd"/>
      <w:r w:rsidRPr="00B1089D">
        <w:t xml:space="preserve"> </w:t>
      </w:r>
      <w:proofErr w:type="spellStart"/>
      <w:r w:rsidRPr="00B1089D">
        <w:t>primary</w:t>
      </w:r>
      <w:proofErr w:type="spellEnd"/>
      <w:r w:rsidRPr="00B1089D">
        <w:t xml:space="preserve"> </w:t>
      </w:r>
      <w:proofErr w:type="spellStart"/>
      <w:r w:rsidRPr="00B1089D">
        <w:t>dimensions</w:t>
      </w:r>
      <w:proofErr w:type="spellEnd"/>
      <w:r w:rsidRPr="00B1089D">
        <w:t xml:space="preserve">: </w:t>
      </w:r>
      <w:proofErr w:type="spellStart"/>
      <w:r w:rsidRPr="00B1089D">
        <w:t>individual</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national</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and</w:t>
      </w:r>
      <w:proofErr w:type="spellEnd"/>
      <w:r w:rsidRPr="00B1089D">
        <w:t xml:space="preserve"> </w:t>
      </w:r>
      <w:proofErr w:type="spellStart"/>
      <w:r w:rsidRPr="00B1089D">
        <w:t>international</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At </w:t>
      </w:r>
      <w:proofErr w:type="spellStart"/>
      <w:r w:rsidRPr="00B1089D">
        <w:t>the</w:t>
      </w:r>
      <w:proofErr w:type="spellEnd"/>
      <w:r w:rsidRPr="00B1089D">
        <w:t xml:space="preserve"> </w:t>
      </w:r>
      <w:proofErr w:type="spellStart"/>
      <w:r w:rsidRPr="00B1089D">
        <w:t>individual</w:t>
      </w:r>
      <w:proofErr w:type="spellEnd"/>
      <w:r w:rsidRPr="00B1089D">
        <w:t xml:space="preserve"> </w:t>
      </w:r>
      <w:proofErr w:type="spellStart"/>
      <w:r w:rsidRPr="00B1089D">
        <w:t>level</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relates</w:t>
      </w:r>
      <w:proofErr w:type="spellEnd"/>
      <w:r w:rsidRPr="00B1089D">
        <w:t xml:space="preserve"> </w:t>
      </w:r>
      <w:proofErr w:type="spellStart"/>
      <w:r w:rsidRPr="00B1089D">
        <w:t>to</w:t>
      </w:r>
      <w:proofErr w:type="spellEnd"/>
      <w:r w:rsidRPr="00B1089D">
        <w:t xml:space="preserve"> </w:t>
      </w:r>
      <w:proofErr w:type="spellStart"/>
      <w:r w:rsidRPr="00B1089D">
        <w:t>individuals</w:t>
      </w:r>
      <w:proofErr w:type="spellEnd"/>
      <w:r w:rsidRPr="00B1089D">
        <w:t xml:space="preserve">' </w:t>
      </w:r>
      <w:proofErr w:type="spellStart"/>
      <w:r w:rsidRPr="00B1089D">
        <w:t>financial</w:t>
      </w:r>
      <w:proofErr w:type="spellEnd"/>
      <w:r w:rsidRPr="00B1089D">
        <w:t xml:space="preserve"> </w:t>
      </w:r>
      <w:proofErr w:type="spellStart"/>
      <w:r w:rsidRPr="00B1089D">
        <w:t>well-being</w:t>
      </w:r>
      <w:proofErr w:type="spellEnd"/>
      <w:r w:rsidRPr="00B1089D">
        <w:t xml:space="preserve"> </w:t>
      </w:r>
      <w:proofErr w:type="spellStart"/>
      <w:r w:rsidRPr="00B1089D">
        <w:t>and</w:t>
      </w:r>
      <w:proofErr w:type="spellEnd"/>
      <w:r w:rsidRPr="00B1089D">
        <w:t xml:space="preserve"> </w:t>
      </w:r>
      <w:proofErr w:type="spellStart"/>
      <w:r w:rsidRPr="00B1089D">
        <w:t>stability</w:t>
      </w:r>
      <w:proofErr w:type="spellEnd"/>
      <w:r w:rsidRPr="00B1089D">
        <w:t xml:space="preserve">, </w:t>
      </w:r>
      <w:proofErr w:type="spellStart"/>
      <w:r w:rsidRPr="00B1089D">
        <w:t>ensuring</w:t>
      </w:r>
      <w:proofErr w:type="spellEnd"/>
      <w:r w:rsidRPr="00B1089D">
        <w:t xml:space="preserve"> </w:t>
      </w:r>
      <w:proofErr w:type="spellStart"/>
      <w:r w:rsidRPr="00B1089D">
        <w:t>their</w:t>
      </w:r>
      <w:proofErr w:type="spellEnd"/>
      <w:r w:rsidRPr="00B1089D">
        <w:t xml:space="preserve"> </w:t>
      </w:r>
      <w:proofErr w:type="spellStart"/>
      <w:r w:rsidRPr="00B1089D">
        <w:t>ability</w:t>
      </w:r>
      <w:proofErr w:type="spellEnd"/>
      <w:r w:rsidRPr="00B1089D">
        <w:t xml:space="preserve"> </w:t>
      </w:r>
      <w:proofErr w:type="spellStart"/>
      <w:r w:rsidRPr="00B1089D">
        <w:t>to</w:t>
      </w:r>
      <w:proofErr w:type="spellEnd"/>
      <w:r w:rsidRPr="00B1089D">
        <w:t xml:space="preserve"> </w:t>
      </w:r>
      <w:proofErr w:type="spellStart"/>
      <w:r w:rsidRPr="00B1089D">
        <w:t>meet</w:t>
      </w:r>
      <w:proofErr w:type="spellEnd"/>
      <w:r w:rsidRPr="00B1089D">
        <w:t xml:space="preserve"> </w:t>
      </w:r>
      <w:proofErr w:type="spellStart"/>
      <w:r w:rsidRPr="00B1089D">
        <w:t>basic</w:t>
      </w:r>
      <w:proofErr w:type="spellEnd"/>
      <w:r w:rsidRPr="00B1089D">
        <w:t xml:space="preserve"> </w:t>
      </w:r>
      <w:proofErr w:type="spellStart"/>
      <w:r w:rsidRPr="00B1089D">
        <w:t>needs</w:t>
      </w:r>
      <w:proofErr w:type="spellEnd"/>
      <w:r w:rsidRPr="00B1089D">
        <w:t xml:space="preserve"> </w:t>
      </w:r>
      <w:proofErr w:type="spellStart"/>
      <w:r w:rsidRPr="00B1089D">
        <w:t>and</w:t>
      </w:r>
      <w:proofErr w:type="spellEnd"/>
      <w:r w:rsidRPr="00B1089D">
        <w:t xml:space="preserve"> </w:t>
      </w:r>
      <w:proofErr w:type="spellStart"/>
      <w:r w:rsidRPr="00B1089D">
        <w:t>navigate</w:t>
      </w:r>
      <w:proofErr w:type="spellEnd"/>
      <w:r w:rsidRPr="00B1089D">
        <w:t xml:space="preserve"> </w:t>
      </w:r>
      <w:proofErr w:type="spellStart"/>
      <w:r w:rsidRPr="00B1089D">
        <w:t>economic</w:t>
      </w:r>
      <w:proofErr w:type="spellEnd"/>
      <w:r w:rsidRPr="00B1089D">
        <w:t xml:space="preserve"> </w:t>
      </w:r>
      <w:proofErr w:type="spellStart"/>
      <w:r w:rsidRPr="00B1089D">
        <w:t>uncertainties</w:t>
      </w:r>
      <w:proofErr w:type="spellEnd"/>
      <w:r w:rsidRPr="00B1089D">
        <w:t xml:space="preserve">. </w:t>
      </w:r>
      <w:proofErr w:type="spellStart"/>
      <w:r w:rsidRPr="00B1089D">
        <w:t>National</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centres</w:t>
      </w:r>
      <w:proofErr w:type="spellEnd"/>
      <w:r w:rsidRPr="00B1089D">
        <w:t xml:space="preserve"> on a </w:t>
      </w:r>
      <w:proofErr w:type="spellStart"/>
      <w:r w:rsidRPr="00B1089D">
        <w:t>country's</w:t>
      </w:r>
      <w:proofErr w:type="spellEnd"/>
      <w:r w:rsidRPr="00B1089D">
        <w:t xml:space="preserve"> </w:t>
      </w:r>
      <w:proofErr w:type="spellStart"/>
      <w:r w:rsidRPr="00B1089D">
        <w:t>capacity</w:t>
      </w:r>
      <w:proofErr w:type="spellEnd"/>
      <w:r w:rsidRPr="00B1089D">
        <w:t xml:space="preserve"> </w:t>
      </w:r>
      <w:proofErr w:type="spellStart"/>
      <w:r w:rsidRPr="00B1089D">
        <w:t>to</w:t>
      </w:r>
      <w:proofErr w:type="spellEnd"/>
      <w:r w:rsidRPr="00B1089D">
        <w:t xml:space="preserve"> </w:t>
      </w:r>
      <w:proofErr w:type="spellStart"/>
      <w:r w:rsidRPr="00B1089D">
        <w:t>safeguard</w:t>
      </w:r>
      <w:proofErr w:type="spellEnd"/>
      <w:r w:rsidRPr="00B1089D">
        <w:t xml:space="preserve"> </w:t>
      </w:r>
      <w:proofErr w:type="spellStart"/>
      <w:r w:rsidRPr="00B1089D">
        <w:t>its</w:t>
      </w:r>
      <w:proofErr w:type="spellEnd"/>
      <w:r w:rsidRPr="00B1089D">
        <w:t xml:space="preserve"> </w:t>
      </w:r>
      <w:proofErr w:type="spellStart"/>
      <w:r w:rsidRPr="00B1089D">
        <w:t>economic</w:t>
      </w:r>
      <w:proofErr w:type="spellEnd"/>
      <w:r w:rsidRPr="00B1089D">
        <w:t xml:space="preserve"> </w:t>
      </w:r>
      <w:proofErr w:type="spellStart"/>
      <w:r w:rsidRPr="00B1089D">
        <w:t>interests</w:t>
      </w:r>
      <w:proofErr w:type="spellEnd"/>
      <w:r w:rsidRPr="00B1089D">
        <w:t xml:space="preserve">, </w:t>
      </w:r>
      <w:proofErr w:type="spellStart"/>
      <w:r w:rsidRPr="00B1089D">
        <w:t>promote</w:t>
      </w:r>
      <w:proofErr w:type="spellEnd"/>
      <w:r w:rsidRPr="00B1089D">
        <w:t xml:space="preserve"> </w:t>
      </w:r>
      <w:proofErr w:type="spellStart"/>
      <w:r w:rsidRPr="00B1089D">
        <w:t>development</w:t>
      </w:r>
      <w:proofErr w:type="spellEnd"/>
      <w:r w:rsidRPr="00B1089D">
        <w:t xml:space="preserve">, </w:t>
      </w:r>
      <w:proofErr w:type="spellStart"/>
      <w:r w:rsidRPr="00B1089D">
        <w:t>and</w:t>
      </w:r>
      <w:proofErr w:type="spellEnd"/>
      <w:r w:rsidRPr="00B1089D">
        <w:t xml:space="preserve"> </w:t>
      </w:r>
      <w:proofErr w:type="spellStart"/>
      <w:r w:rsidRPr="00B1089D">
        <w:t>mitigate</w:t>
      </w:r>
      <w:proofErr w:type="spellEnd"/>
      <w:r w:rsidRPr="00B1089D">
        <w:t xml:space="preserve"> </w:t>
      </w:r>
      <w:proofErr w:type="spellStart"/>
      <w:r w:rsidRPr="00B1089D">
        <w:t>risks</w:t>
      </w:r>
      <w:proofErr w:type="spellEnd"/>
      <w:r w:rsidRPr="00B1089D">
        <w:t xml:space="preserve"> at </w:t>
      </w:r>
      <w:proofErr w:type="spellStart"/>
      <w:r w:rsidRPr="00B1089D">
        <w:t>the</w:t>
      </w:r>
      <w:proofErr w:type="spellEnd"/>
      <w:r w:rsidRPr="00B1089D">
        <w:t xml:space="preserve"> </w:t>
      </w:r>
      <w:proofErr w:type="spellStart"/>
      <w:r w:rsidRPr="00B1089D">
        <w:t>national</w:t>
      </w:r>
      <w:proofErr w:type="spellEnd"/>
      <w:r w:rsidRPr="00B1089D">
        <w:t xml:space="preserve"> </w:t>
      </w:r>
      <w:proofErr w:type="spellStart"/>
      <w:r w:rsidRPr="00B1089D">
        <w:t>level</w:t>
      </w:r>
      <w:proofErr w:type="spellEnd"/>
      <w:r w:rsidRPr="00B1089D">
        <w:t xml:space="preserve">. On </w:t>
      </w:r>
      <w:proofErr w:type="spellStart"/>
      <w:r w:rsidRPr="00B1089D">
        <w:t>the</w:t>
      </w:r>
      <w:proofErr w:type="spellEnd"/>
      <w:r w:rsidRPr="00B1089D">
        <w:t xml:space="preserve"> </w:t>
      </w:r>
      <w:proofErr w:type="spellStart"/>
      <w:r w:rsidRPr="00B1089D">
        <w:t>international</w:t>
      </w:r>
      <w:proofErr w:type="spellEnd"/>
      <w:r w:rsidRPr="00B1089D">
        <w:t xml:space="preserve"> </w:t>
      </w:r>
      <w:proofErr w:type="spellStart"/>
      <w:r w:rsidRPr="00B1089D">
        <w:t>stage</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involves</w:t>
      </w:r>
      <w:proofErr w:type="spellEnd"/>
      <w:r w:rsidRPr="00B1089D">
        <w:t xml:space="preserve"> </w:t>
      </w:r>
      <w:proofErr w:type="spellStart"/>
      <w:r w:rsidRPr="00B1089D">
        <w:t>the</w:t>
      </w:r>
      <w:proofErr w:type="spellEnd"/>
      <w:r w:rsidRPr="00B1089D">
        <w:t xml:space="preserve"> </w:t>
      </w:r>
      <w:proofErr w:type="spellStart"/>
      <w:r w:rsidRPr="00B1089D">
        <w:t>collaborative</w:t>
      </w:r>
      <w:proofErr w:type="spellEnd"/>
      <w:r w:rsidRPr="00B1089D">
        <w:t xml:space="preserve"> </w:t>
      </w:r>
      <w:proofErr w:type="spellStart"/>
      <w:r w:rsidRPr="00B1089D">
        <w:t>efforts</w:t>
      </w:r>
      <w:proofErr w:type="spellEnd"/>
      <w:r w:rsidRPr="00B1089D">
        <w:t xml:space="preserve"> </w:t>
      </w:r>
      <w:proofErr w:type="spellStart"/>
      <w:r w:rsidRPr="00B1089D">
        <w:t>among</w:t>
      </w:r>
      <w:proofErr w:type="spellEnd"/>
      <w:r w:rsidRPr="00B1089D">
        <w:t xml:space="preserve"> </w:t>
      </w:r>
      <w:proofErr w:type="spellStart"/>
      <w:r w:rsidRPr="00B1089D">
        <w:t>nations</w:t>
      </w:r>
      <w:proofErr w:type="spellEnd"/>
      <w:r w:rsidRPr="00B1089D">
        <w:t xml:space="preserve"> </w:t>
      </w:r>
      <w:proofErr w:type="spellStart"/>
      <w:r w:rsidRPr="00B1089D">
        <w:t>to</w:t>
      </w:r>
      <w:proofErr w:type="spellEnd"/>
      <w:r w:rsidRPr="00B1089D">
        <w:t xml:space="preserve"> </w:t>
      </w:r>
      <w:proofErr w:type="spellStart"/>
      <w:r w:rsidRPr="00B1089D">
        <w:t>foster</w:t>
      </w:r>
      <w:proofErr w:type="spellEnd"/>
      <w:r w:rsidRPr="00B1089D">
        <w:t xml:space="preserve"> global </w:t>
      </w:r>
      <w:proofErr w:type="spellStart"/>
      <w:r w:rsidRPr="00B1089D">
        <w:t>economic</w:t>
      </w:r>
      <w:proofErr w:type="spellEnd"/>
      <w:r w:rsidRPr="00B1089D">
        <w:t xml:space="preserve"> </w:t>
      </w:r>
      <w:proofErr w:type="spellStart"/>
      <w:r w:rsidRPr="00B1089D">
        <w:t>stability</w:t>
      </w:r>
      <w:proofErr w:type="spellEnd"/>
      <w:r w:rsidRPr="00B1089D">
        <w:t xml:space="preserve">, </w:t>
      </w:r>
      <w:proofErr w:type="spellStart"/>
      <w:r w:rsidRPr="00B1089D">
        <w:t>manage</w:t>
      </w:r>
      <w:proofErr w:type="spellEnd"/>
      <w:r w:rsidRPr="00B1089D">
        <w:t xml:space="preserve"> </w:t>
      </w:r>
      <w:proofErr w:type="spellStart"/>
      <w:r w:rsidRPr="00B1089D">
        <w:t>interdependencies</w:t>
      </w:r>
      <w:proofErr w:type="spellEnd"/>
      <w:r w:rsidRPr="00B1089D">
        <w:t xml:space="preserve">, </w:t>
      </w:r>
      <w:proofErr w:type="spellStart"/>
      <w:r w:rsidRPr="00B1089D">
        <w:t>and</w:t>
      </w:r>
      <w:proofErr w:type="spellEnd"/>
      <w:r w:rsidRPr="00B1089D">
        <w:t xml:space="preserve"> </w:t>
      </w:r>
      <w:proofErr w:type="spellStart"/>
      <w:r w:rsidRPr="00B1089D">
        <w:t>address</w:t>
      </w:r>
      <w:proofErr w:type="spellEnd"/>
      <w:r w:rsidRPr="00B1089D">
        <w:t xml:space="preserve"> </w:t>
      </w:r>
      <w:proofErr w:type="spellStart"/>
      <w:r w:rsidRPr="00B1089D">
        <w:t>shared</w:t>
      </w:r>
      <w:proofErr w:type="spellEnd"/>
      <w:r w:rsidRPr="00B1089D">
        <w:t xml:space="preserve"> </w:t>
      </w:r>
      <w:proofErr w:type="spellStart"/>
      <w:r w:rsidRPr="00B1089D">
        <w:t>challenges</w:t>
      </w:r>
      <w:proofErr w:type="spellEnd"/>
      <w:r w:rsidRPr="00B1089D">
        <w:t xml:space="preserve">. </w:t>
      </w:r>
      <w:proofErr w:type="spellStart"/>
      <w:r w:rsidRPr="00B1089D">
        <w:t>These</w:t>
      </w:r>
      <w:proofErr w:type="spellEnd"/>
      <w:r w:rsidRPr="00B1089D">
        <w:t xml:space="preserve"> </w:t>
      </w:r>
      <w:proofErr w:type="spellStart"/>
      <w:r w:rsidRPr="00B1089D">
        <w:t>distinct</w:t>
      </w:r>
      <w:proofErr w:type="spellEnd"/>
      <w:r w:rsidRPr="00B1089D">
        <w:t xml:space="preserve"> </w:t>
      </w:r>
      <w:proofErr w:type="spellStart"/>
      <w:r w:rsidRPr="00B1089D">
        <w:t>dimensions</w:t>
      </w:r>
      <w:proofErr w:type="spellEnd"/>
      <w:r w:rsidRPr="00B1089D">
        <w:t xml:space="preserve"> </w:t>
      </w:r>
      <w:proofErr w:type="spellStart"/>
      <w:r w:rsidRPr="00B1089D">
        <w:t>highlight</w:t>
      </w:r>
      <w:proofErr w:type="spellEnd"/>
      <w:r w:rsidRPr="00B1089D">
        <w:t xml:space="preserve"> </w:t>
      </w:r>
      <w:proofErr w:type="spellStart"/>
      <w:r w:rsidRPr="00B1089D">
        <w:t>the</w:t>
      </w:r>
      <w:proofErr w:type="spellEnd"/>
      <w:r w:rsidRPr="00B1089D">
        <w:t xml:space="preserve"> </w:t>
      </w:r>
      <w:proofErr w:type="spellStart"/>
      <w:r w:rsidRPr="00B1089D">
        <w:t>diverse</w:t>
      </w:r>
      <w:proofErr w:type="spellEnd"/>
      <w:r w:rsidRPr="00B1089D">
        <w:t xml:space="preserve"> </w:t>
      </w:r>
      <w:proofErr w:type="spellStart"/>
      <w:r w:rsidRPr="00B1089D">
        <w:t>perspectives</w:t>
      </w:r>
      <w:proofErr w:type="spellEnd"/>
      <w:r w:rsidRPr="00B1089D">
        <w:t xml:space="preserve"> </w:t>
      </w:r>
      <w:proofErr w:type="spellStart"/>
      <w:r w:rsidRPr="00B1089D">
        <w:t>and</w:t>
      </w:r>
      <w:proofErr w:type="spellEnd"/>
      <w:r w:rsidRPr="00B1089D">
        <w:t xml:space="preserve"> </w:t>
      </w:r>
      <w:proofErr w:type="spellStart"/>
      <w:r w:rsidRPr="00B1089D">
        <w:t>considerations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broader</w:t>
      </w:r>
      <w:proofErr w:type="spellEnd"/>
      <w:r w:rsidRPr="00B1089D">
        <w:t xml:space="preserve"> </w:t>
      </w:r>
      <w:proofErr w:type="spellStart"/>
      <w:r w:rsidRPr="00B1089D">
        <w:t>concept</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w:t>
      </w:r>
    </w:p>
    <w:p w14:paraId="16CEEC3C" w14:textId="77777777" w:rsidR="00FA457D" w:rsidRPr="00B1089D" w:rsidRDefault="00FA457D" w:rsidP="00E359E0">
      <w:pPr>
        <w:widowControl/>
        <w:jc w:val="both"/>
      </w:pPr>
    </w:p>
    <w:p w14:paraId="1B497CB6" w14:textId="77777777" w:rsidR="00FA457D" w:rsidRPr="00B1089D" w:rsidRDefault="00FA457D" w:rsidP="00E359E0">
      <w:pPr>
        <w:widowControl/>
        <w:jc w:val="both"/>
      </w:pPr>
      <w:proofErr w:type="spellStart"/>
      <w:r w:rsidRPr="00B1089D">
        <w:rPr>
          <w:b/>
          <w:bCs/>
        </w:rPr>
        <w:t>Copenhagen</w:t>
      </w:r>
      <w:proofErr w:type="spellEnd"/>
      <w:r w:rsidRPr="00B1089D">
        <w:rPr>
          <w:b/>
          <w:bCs/>
        </w:rPr>
        <w:t xml:space="preserve"> School </w:t>
      </w:r>
      <w:proofErr w:type="spellStart"/>
      <w:r w:rsidRPr="00B1089D">
        <w:rPr>
          <w:b/>
          <w:bCs/>
        </w:rPr>
        <w:t>and</w:t>
      </w:r>
      <w:proofErr w:type="spellEnd"/>
      <w:r w:rsidRPr="00B1089D">
        <w:rPr>
          <w:b/>
          <w:bCs/>
        </w:rPr>
        <w:t xml:space="preserve"> Security </w:t>
      </w:r>
      <w:proofErr w:type="spellStart"/>
      <w:r w:rsidRPr="00B1089D">
        <w:rPr>
          <w:b/>
          <w:bCs/>
        </w:rPr>
        <w:t>Sectors</w:t>
      </w:r>
      <w:proofErr w:type="spellEnd"/>
    </w:p>
    <w:p w14:paraId="6D420D75" w14:textId="77777777" w:rsidR="00FA457D" w:rsidRPr="00D10870" w:rsidRDefault="00FA457D" w:rsidP="00E359E0">
      <w:pPr>
        <w:widowControl/>
        <w:jc w:val="both"/>
      </w:pPr>
      <w:proofErr w:type="spellStart"/>
      <w:r w:rsidRPr="00B1089D">
        <w:t>Before</w:t>
      </w:r>
      <w:proofErr w:type="spellEnd"/>
      <w:r w:rsidRPr="00B1089D">
        <w:t xml:space="preserve"> </w:t>
      </w:r>
      <w:proofErr w:type="spellStart"/>
      <w:r w:rsidRPr="00B1089D">
        <w:t>the</w:t>
      </w:r>
      <w:proofErr w:type="spellEnd"/>
      <w:r w:rsidRPr="00B1089D">
        <w:t xml:space="preserve"> post-</w:t>
      </w:r>
      <w:proofErr w:type="spellStart"/>
      <w:r w:rsidRPr="00B1089D">
        <w:t>Cold</w:t>
      </w:r>
      <w:proofErr w:type="spellEnd"/>
      <w:r w:rsidRPr="00B1089D">
        <w:t xml:space="preserve"> </w:t>
      </w:r>
      <w:proofErr w:type="spellStart"/>
      <w:r w:rsidRPr="00B1089D">
        <w:t>War</w:t>
      </w:r>
      <w:proofErr w:type="spellEnd"/>
      <w:r w:rsidRPr="00B1089D">
        <w:t xml:space="preserve"> </w:t>
      </w:r>
      <w:proofErr w:type="spellStart"/>
      <w:r w:rsidRPr="00B1089D">
        <w:t>era</w:t>
      </w:r>
      <w:proofErr w:type="spellEnd"/>
      <w:r w:rsidRPr="00B1089D">
        <w:t xml:space="preserve">, </w:t>
      </w:r>
      <w:proofErr w:type="spellStart"/>
      <w:r w:rsidRPr="00B1089D">
        <w:t>security</w:t>
      </w:r>
      <w:proofErr w:type="spellEnd"/>
      <w:r w:rsidRPr="00B1089D">
        <w:t xml:space="preserve"> </w:t>
      </w:r>
      <w:proofErr w:type="spellStart"/>
      <w:r w:rsidRPr="00B1089D">
        <w:t>was</w:t>
      </w:r>
      <w:proofErr w:type="spellEnd"/>
      <w:r w:rsidRPr="00B1089D">
        <w:t xml:space="preserve"> </w:t>
      </w:r>
      <w:proofErr w:type="spellStart"/>
      <w:r w:rsidRPr="00B1089D">
        <w:t>primarily</w:t>
      </w:r>
      <w:proofErr w:type="spellEnd"/>
      <w:r w:rsidRPr="00B1089D">
        <w:t xml:space="preserve"> </w:t>
      </w:r>
      <w:proofErr w:type="spellStart"/>
      <w:r w:rsidRPr="00B1089D">
        <w:t>viewed</w:t>
      </w:r>
      <w:proofErr w:type="spellEnd"/>
      <w:r w:rsidRPr="00B1089D">
        <w:t xml:space="preserve"> as a </w:t>
      </w:r>
      <w:proofErr w:type="spellStart"/>
      <w:r w:rsidRPr="00B1089D">
        <w:t>military</w:t>
      </w:r>
      <w:proofErr w:type="spellEnd"/>
      <w:r w:rsidRPr="00B1089D">
        <w:t xml:space="preserve"> </w:t>
      </w:r>
      <w:proofErr w:type="spellStart"/>
      <w:r w:rsidRPr="00B1089D">
        <w:t>issue</w:t>
      </w:r>
      <w:proofErr w:type="spellEnd"/>
      <w:r w:rsidRPr="00B1089D">
        <w:t xml:space="preserve">, </w:t>
      </w:r>
      <w:proofErr w:type="spellStart"/>
      <w:r w:rsidRPr="00B1089D">
        <w:t>addressed</w:t>
      </w:r>
      <w:proofErr w:type="spellEnd"/>
      <w:r w:rsidRPr="00B1089D">
        <w:t xml:space="preserve"> </w:t>
      </w:r>
      <w:proofErr w:type="spellStart"/>
      <w:r w:rsidRPr="00B1089D">
        <w:t>through</w:t>
      </w:r>
      <w:proofErr w:type="spellEnd"/>
      <w:r w:rsidRPr="00B1089D">
        <w:t xml:space="preserve"> </w:t>
      </w:r>
      <w:proofErr w:type="spellStart"/>
      <w:r w:rsidRPr="00B1089D">
        <w:t>state</w:t>
      </w:r>
      <w:proofErr w:type="spellEnd"/>
      <w:r w:rsidRPr="00B1089D">
        <w:t xml:space="preserve"> </w:t>
      </w:r>
      <w:proofErr w:type="spellStart"/>
      <w:r w:rsidRPr="00B1089D">
        <w:t>power</w:t>
      </w:r>
      <w:proofErr w:type="spellEnd"/>
      <w:r w:rsidRPr="00B1089D">
        <w:t xml:space="preserve"> </w:t>
      </w:r>
      <w:proofErr w:type="spellStart"/>
      <w:r w:rsidRPr="00B1089D">
        <w:t>policies</w:t>
      </w:r>
      <w:proofErr w:type="spellEnd"/>
      <w:r w:rsidRPr="00B1089D">
        <w:t xml:space="preserve">. </w:t>
      </w:r>
      <w:proofErr w:type="spellStart"/>
      <w:r w:rsidRPr="00B1089D">
        <w:t>However</w:t>
      </w:r>
      <w:proofErr w:type="spellEnd"/>
      <w:r w:rsidRPr="00B1089D">
        <w:t xml:space="preserve">, in </w:t>
      </w:r>
      <w:proofErr w:type="spellStart"/>
      <w:r w:rsidRPr="00B1089D">
        <w:t>the</w:t>
      </w:r>
      <w:proofErr w:type="spellEnd"/>
      <w:r w:rsidRPr="00B1089D">
        <w:t xml:space="preserve"> post-</w:t>
      </w:r>
      <w:proofErr w:type="spellStart"/>
      <w:r w:rsidRPr="00B1089D">
        <w:t>Cold</w:t>
      </w:r>
      <w:proofErr w:type="spellEnd"/>
      <w:r w:rsidRPr="00B1089D">
        <w:t xml:space="preserve"> </w:t>
      </w:r>
      <w:proofErr w:type="spellStart"/>
      <w:r w:rsidRPr="00B1089D">
        <w:t>War</w:t>
      </w:r>
      <w:proofErr w:type="spellEnd"/>
      <w:r w:rsidRPr="00B1089D">
        <w:t xml:space="preserve"> </w:t>
      </w:r>
      <w:proofErr w:type="spellStart"/>
      <w:r w:rsidRPr="00B1089D">
        <w:t>period</w:t>
      </w:r>
      <w:proofErr w:type="spellEnd"/>
      <w:r w:rsidRPr="00B1089D">
        <w:t xml:space="preserve">, </w:t>
      </w:r>
      <w:proofErr w:type="spellStart"/>
      <w:r w:rsidRPr="00B1089D">
        <w:t>security</w:t>
      </w:r>
      <w:proofErr w:type="spellEnd"/>
      <w:r w:rsidRPr="00B1089D">
        <w:t xml:space="preserve"> </w:t>
      </w:r>
      <w:proofErr w:type="spellStart"/>
      <w:r w:rsidRPr="00B1089D">
        <w:t>studies</w:t>
      </w:r>
      <w:proofErr w:type="spellEnd"/>
      <w:r w:rsidRPr="00B1089D">
        <w:t xml:space="preserve"> </w:t>
      </w:r>
      <w:proofErr w:type="spellStart"/>
      <w:r w:rsidRPr="00B1089D">
        <w:t>became</w:t>
      </w:r>
      <w:proofErr w:type="spellEnd"/>
      <w:r w:rsidRPr="00B1089D">
        <w:t xml:space="preserve"> </w:t>
      </w:r>
      <w:proofErr w:type="spellStart"/>
      <w:r w:rsidRPr="00B1089D">
        <w:t>more</w:t>
      </w:r>
      <w:proofErr w:type="spellEnd"/>
      <w:r w:rsidRPr="00B1089D">
        <w:t xml:space="preserve"> </w:t>
      </w:r>
      <w:proofErr w:type="spellStart"/>
      <w:r w:rsidRPr="00B1089D">
        <w:t>multidimensional</w:t>
      </w:r>
      <w:proofErr w:type="spellEnd"/>
      <w:r w:rsidRPr="00B1089D">
        <w:t xml:space="preserve">. </w:t>
      </w:r>
      <w:proofErr w:type="spellStart"/>
      <w:r w:rsidRPr="00B1089D">
        <w:t>Expansionist</w:t>
      </w:r>
      <w:proofErr w:type="spellEnd"/>
      <w:r w:rsidRPr="00B1089D">
        <w:t xml:space="preserve"> </w:t>
      </w:r>
      <w:proofErr w:type="spellStart"/>
      <w:r w:rsidRPr="00B1089D">
        <w:t>and</w:t>
      </w:r>
      <w:proofErr w:type="spellEnd"/>
      <w:r w:rsidRPr="00B1089D">
        <w:t xml:space="preserve"> </w:t>
      </w:r>
      <w:proofErr w:type="spellStart"/>
      <w:r w:rsidRPr="00B1089D">
        <w:t>deepening</w:t>
      </w:r>
      <w:proofErr w:type="spellEnd"/>
      <w:r w:rsidRPr="00B1089D">
        <w:t xml:space="preserve"> </w:t>
      </w:r>
      <w:proofErr w:type="spellStart"/>
      <w:r w:rsidRPr="00B1089D">
        <w:t>approaches</w:t>
      </w:r>
      <w:proofErr w:type="spellEnd"/>
      <w:r w:rsidRPr="00B1089D">
        <w:t xml:space="preserve"> </w:t>
      </w:r>
      <w:proofErr w:type="spellStart"/>
      <w:r w:rsidRPr="00B1089D">
        <w:t>gained</w:t>
      </w:r>
      <w:proofErr w:type="spellEnd"/>
      <w:r w:rsidRPr="00B1089D">
        <w:t xml:space="preserve"> </w:t>
      </w:r>
      <w:proofErr w:type="spellStart"/>
      <w:r w:rsidRPr="00B1089D">
        <w:t>prominence</w:t>
      </w:r>
      <w:proofErr w:type="spellEnd"/>
      <w:r w:rsidRPr="00B1089D">
        <w:t xml:space="preserve">, </w:t>
      </w:r>
      <w:proofErr w:type="spellStart"/>
      <w:r w:rsidRPr="00B1089D">
        <w:t>with</w:t>
      </w:r>
      <w:proofErr w:type="spellEnd"/>
      <w:r w:rsidRPr="00B1089D">
        <w:t xml:space="preserve"> </w:t>
      </w:r>
      <w:proofErr w:type="spellStart"/>
      <w:r w:rsidRPr="00B1089D">
        <w:t>constructivists</w:t>
      </w:r>
      <w:proofErr w:type="spellEnd"/>
      <w:r w:rsidRPr="00B1089D">
        <w:t xml:space="preserve"> </w:t>
      </w:r>
      <w:proofErr w:type="spellStart"/>
      <w:r w:rsidRPr="00B1089D">
        <w:t>contributing</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field</w:t>
      </w:r>
      <w:proofErr w:type="spellEnd"/>
      <w:r w:rsidRPr="00B1089D">
        <w:t xml:space="preserve">. </w:t>
      </w:r>
      <w:proofErr w:type="spellStart"/>
      <w:r w:rsidRPr="00B1089D">
        <w:t>Emerging</w:t>
      </w:r>
      <w:proofErr w:type="spellEnd"/>
      <w:r w:rsidRPr="00B1089D">
        <w:t xml:space="preserve"> in </w:t>
      </w:r>
      <w:proofErr w:type="spellStart"/>
      <w:r w:rsidRPr="00B1089D">
        <w:t>the</w:t>
      </w:r>
      <w:proofErr w:type="spellEnd"/>
      <w:r w:rsidRPr="00B1089D">
        <w:t xml:space="preserve"> 1990s </w:t>
      </w:r>
      <w:proofErr w:type="spellStart"/>
      <w:r w:rsidRPr="00B1089D">
        <w:t>from</w:t>
      </w:r>
      <w:proofErr w:type="spellEnd"/>
      <w:r w:rsidRPr="00B1089D">
        <w:t xml:space="preserve"> </w:t>
      </w:r>
      <w:proofErr w:type="spellStart"/>
      <w:r w:rsidRPr="00B1089D">
        <w:t>scholars</w:t>
      </w:r>
      <w:proofErr w:type="spellEnd"/>
      <w:r w:rsidRPr="00B1089D">
        <w:t xml:space="preserve"> at </w:t>
      </w:r>
      <w:proofErr w:type="spellStart"/>
      <w:r w:rsidRPr="00B1089D">
        <w:t>the</w:t>
      </w:r>
      <w:proofErr w:type="spellEnd"/>
      <w:r w:rsidRPr="00B1089D">
        <w:t xml:space="preserve"> </w:t>
      </w:r>
      <w:proofErr w:type="spellStart"/>
      <w:r w:rsidRPr="00B1089D">
        <w:t>Copenhagen</w:t>
      </w:r>
      <w:proofErr w:type="spellEnd"/>
      <w:r w:rsidRPr="00B1089D">
        <w:t xml:space="preserve"> </w:t>
      </w:r>
      <w:proofErr w:type="spellStart"/>
      <w:r w:rsidRPr="00B1089D">
        <w:t>Institute</w:t>
      </w:r>
      <w:proofErr w:type="spellEnd"/>
      <w:r w:rsidRPr="00B1089D">
        <w:t xml:space="preserve"> </w:t>
      </w:r>
      <w:proofErr w:type="spellStart"/>
      <w:r w:rsidRPr="00B1089D">
        <w:t>for</w:t>
      </w:r>
      <w:proofErr w:type="spellEnd"/>
      <w:r w:rsidRPr="00B1089D">
        <w:t xml:space="preserve"> </w:t>
      </w:r>
      <w:proofErr w:type="spellStart"/>
      <w:r w:rsidRPr="00B1089D">
        <w:t>Conflict</w:t>
      </w:r>
      <w:proofErr w:type="spellEnd"/>
      <w:r w:rsidRPr="00B1089D">
        <w:t xml:space="preserve"> </w:t>
      </w:r>
      <w:proofErr w:type="spellStart"/>
      <w:r w:rsidRPr="00B1089D">
        <w:t>and</w:t>
      </w:r>
      <w:proofErr w:type="spellEnd"/>
      <w:r w:rsidRPr="00B1089D">
        <w:t xml:space="preserve"> </w:t>
      </w:r>
      <w:proofErr w:type="spellStart"/>
      <w:r w:rsidRPr="00B1089D">
        <w:t>Peace</w:t>
      </w:r>
      <w:proofErr w:type="spellEnd"/>
      <w:r w:rsidRPr="00B1089D">
        <w:t xml:space="preserve"> </w:t>
      </w:r>
      <w:proofErr w:type="spellStart"/>
      <w:r w:rsidRPr="00B1089D">
        <w:t>Studies</w:t>
      </w:r>
      <w:proofErr w:type="spellEnd"/>
      <w:r w:rsidRPr="00B1089D">
        <w:t xml:space="preserve">, </w:t>
      </w:r>
      <w:proofErr w:type="spellStart"/>
      <w:r w:rsidRPr="00B1089D">
        <w:t>the</w:t>
      </w:r>
      <w:proofErr w:type="spellEnd"/>
      <w:r w:rsidRPr="00B1089D">
        <w:t xml:space="preserve"> </w:t>
      </w:r>
      <w:proofErr w:type="spellStart"/>
      <w:r w:rsidRPr="00B1089D">
        <w:t>Copenhagen</w:t>
      </w:r>
      <w:proofErr w:type="spellEnd"/>
      <w:r w:rsidRPr="00B1089D">
        <w:t xml:space="preserve"> School </w:t>
      </w:r>
      <w:proofErr w:type="spellStart"/>
      <w:r w:rsidRPr="00B1089D">
        <w:t>broadened</w:t>
      </w:r>
      <w:proofErr w:type="spellEnd"/>
      <w:r w:rsidRPr="00B1089D">
        <w:t xml:space="preserve"> </w:t>
      </w:r>
      <w:proofErr w:type="spellStart"/>
      <w:r w:rsidRPr="00B1089D">
        <w:t>the</w:t>
      </w:r>
      <w:proofErr w:type="spellEnd"/>
      <w:r w:rsidRPr="00B1089D">
        <w:t xml:space="preserve"> </w:t>
      </w:r>
      <w:proofErr w:type="spellStart"/>
      <w:r w:rsidRPr="00B1089D">
        <w:t>concept</w:t>
      </w:r>
      <w:proofErr w:type="spellEnd"/>
      <w:r w:rsidRPr="00B1089D">
        <w:t xml:space="preserve"> of </w:t>
      </w:r>
      <w:proofErr w:type="spellStart"/>
      <w:r w:rsidRPr="00B1089D">
        <w:t>security</w:t>
      </w:r>
      <w:proofErr w:type="spellEnd"/>
      <w:r w:rsidRPr="00B1089D">
        <w:t xml:space="preserve"> </w:t>
      </w:r>
      <w:proofErr w:type="spellStart"/>
      <w:r w:rsidRPr="00B1089D">
        <w:t>by</w:t>
      </w:r>
      <w:proofErr w:type="spellEnd"/>
      <w:r w:rsidRPr="00B1089D">
        <w:t xml:space="preserve"> </w:t>
      </w:r>
      <w:proofErr w:type="spellStart"/>
      <w:r w:rsidRPr="00B1089D">
        <w:t>introducing</w:t>
      </w:r>
      <w:proofErr w:type="spellEnd"/>
      <w:r w:rsidRPr="00B1089D">
        <w:t xml:space="preserve"> </w:t>
      </w:r>
      <w:proofErr w:type="spellStart"/>
      <w:r w:rsidRPr="00B1089D">
        <w:t>new</w:t>
      </w:r>
      <w:proofErr w:type="spellEnd"/>
      <w:r w:rsidRPr="00B1089D">
        <w:t xml:space="preserve"> </w:t>
      </w:r>
      <w:proofErr w:type="spellStart"/>
      <w:r w:rsidRPr="00B1089D">
        <w:t>ideas</w:t>
      </w:r>
      <w:proofErr w:type="spellEnd"/>
      <w:r w:rsidRPr="00B1089D">
        <w:t xml:space="preserve"> </w:t>
      </w:r>
      <w:proofErr w:type="spellStart"/>
      <w:r w:rsidRPr="00B1089D">
        <w:t>like</w:t>
      </w:r>
      <w:proofErr w:type="spellEnd"/>
      <w:r w:rsidRPr="00B1089D">
        <w:t xml:space="preserve"> </w:t>
      </w:r>
      <w:proofErr w:type="spellStart"/>
      <w:r w:rsidRPr="00B1089D">
        <w:t>security</w:t>
      </w:r>
      <w:proofErr w:type="spellEnd"/>
      <w:r w:rsidRPr="00B1089D">
        <w:t xml:space="preserve"> </w:t>
      </w:r>
      <w:proofErr w:type="spellStart"/>
      <w:r w:rsidRPr="00B1089D">
        <w:t>sectors</w:t>
      </w:r>
      <w:proofErr w:type="spellEnd"/>
      <w:r w:rsidRPr="00B1089D">
        <w:t>.</w:t>
      </w:r>
    </w:p>
    <w:p w14:paraId="1A0B3C50" w14:textId="77777777" w:rsidR="00FA457D" w:rsidRPr="00B1089D" w:rsidRDefault="00FA457D" w:rsidP="00E359E0">
      <w:pPr>
        <w:widowControl/>
        <w:jc w:val="both"/>
      </w:pPr>
    </w:p>
    <w:p w14:paraId="3C1597D0" w14:textId="77777777" w:rsidR="00FA457D" w:rsidRPr="00B1089D" w:rsidRDefault="00FA457D" w:rsidP="00E359E0">
      <w:pPr>
        <w:widowControl/>
        <w:jc w:val="both"/>
      </w:pPr>
      <w:r w:rsidRPr="00B1089D">
        <w:rPr>
          <w:b/>
          <w:bCs/>
          <w:i/>
          <w:iCs/>
        </w:rPr>
        <w:t xml:space="preserve">Security </w:t>
      </w:r>
      <w:proofErr w:type="spellStart"/>
      <w:r w:rsidRPr="00B1089D">
        <w:rPr>
          <w:b/>
          <w:bCs/>
          <w:i/>
          <w:iCs/>
        </w:rPr>
        <w:t>Sectors</w:t>
      </w:r>
      <w:proofErr w:type="spellEnd"/>
    </w:p>
    <w:p w14:paraId="236DDCBB" w14:textId="77777777" w:rsidR="00FA457D" w:rsidRPr="00D10870" w:rsidRDefault="00FA457D" w:rsidP="00E359E0">
      <w:pPr>
        <w:widowControl/>
        <w:jc w:val="both"/>
      </w:pPr>
      <w:r w:rsidRPr="00B1089D">
        <w:t xml:space="preserve">Barry </w:t>
      </w:r>
      <w:proofErr w:type="spellStart"/>
      <w:r w:rsidRPr="00B1089D">
        <w:t>Buzan's</w:t>
      </w:r>
      <w:proofErr w:type="spellEnd"/>
      <w:r w:rsidRPr="00B1089D">
        <w:t xml:space="preserve"> </w:t>
      </w:r>
      <w:proofErr w:type="spellStart"/>
      <w:r w:rsidRPr="00B1089D">
        <w:t>work</w:t>
      </w:r>
      <w:proofErr w:type="spellEnd"/>
      <w:r w:rsidRPr="00B1089D">
        <w:t xml:space="preserve"> </w:t>
      </w:r>
      <w:r w:rsidRPr="00B1089D">
        <w:rPr>
          <w:i/>
          <w:iCs/>
        </w:rPr>
        <w:t xml:space="preserve">Man, </w:t>
      </w:r>
      <w:proofErr w:type="spellStart"/>
      <w:r w:rsidRPr="00B1089D">
        <w:rPr>
          <w:i/>
          <w:iCs/>
        </w:rPr>
        <w:t>State</w:t>
      </w:r>
      <w:proofErr w:type="spellEnd"/>
      <w:r w:rsidRPr="00B1089D">
        <w:rPr>
          <w:i/>
          <w:iCs/>
        </w:rPr>
        <w:t xml:space="preserve">, </w:t>
      </w:r>
      <w:proofErr w:type="spellStart"/>
      <w:r w:rsidRPr="00B1089D">
        <w:rPr>
          <w:i/>
          <w:iCs/>
        </w:rPr>
        <w:t>and</w:t>
      </w:r>
      <w:proofErr w:type="spellEnd"/>
      <w:r w:rsidRPr="00B1089D">
        <w:rPr>
          <w:i/>
          <w:iCs/>
        </w:rPr>
        <w:t xml:space="preserve"> </w:t>
      </w:r>
      <w:proofErr w:type="spellStart"/>
      <w:r w:rsidRPr="00B1089D">
        <w:rPr>
          <w:i/>
          <w:iCs/>
        </w:rPr>
        <w:t>Fear</w:t>
      </w:r>
      <w:proofErr w:type="spellEnd"/>
      <w:r w:rsidRPr="00B1089D">
        <w:t xml:space="preserve"> </w:t>
      </w:r>
      <w:proofErr w:type="spellStart"/>
      <w:r w:rsidRPr="00B1089D">
        <w:t>identifies</w:t>
      </w:r>
      <w:proofErr w:type="spellEnd"/>
      <w:r w:rsidRPr="00B1089D">
        <w:t xml:space="preserve"> </w:t>
      </w:r>
      <w:proofErr w:type="spellStart"/>
      <w:r w:rsidRPr="00B1089D">
        <w:t>five</w:t>
      </w:r>
      <w:proofErr w:type="spellEnd"/>
      <w:r w:rsidRPr="00B1089D">
        <w:t xml:space="preserve"> </w:t>
      </w:r>
      <w:proofErr w:type="spellStart"/>
      <w:r w:rsidRPr="00B1089D">
        <w:t>key</w:t>
      </w:r>
      <w:proofErr w:type="spellEnd"/>
      <w:r w:rsidRPr="00B1089D">
        <w:t xml:space="preserve"> </w:t>
      </w:r>
      <w:proofErr w:type="spellStart"/>
      <w:r w:rsidRPr="00B1089D">
        <w:t>areas</w:t>
      </w:r>
      <w:proofErr w:type="spellEnd"/>
      <w:r w:rsidRPr="00B1089D">
        <w:t xml:space="preserve"> </w:t>
      </w:r>
      <w:proofErr w:type="spellStart"/>
      <w:r w:rsidRPr="00B1089D">
        <w:t>that</w:t>
      </w:r>
      <w:proofErr w:type="spellEnd"/>
      <w:r w:rsidRPr="00B1089D">
        <w:t xml:space="preserve"> </w:t>
      </w:r>
      <w:proofErr w:type="spellStart"/>
      <w:r w:rsidRPr="00B1089D">
        <w:t>influence</w:t>
      </w:r>
      <w:proofErr w:type="spellEnd"/>
      <w:r w:rsidRPr="00B1089D">
        <w:t xml:space="preserve"> </w:t>
      </w:r>
      <w:proofErr w:type="spellStart"/>
      <w:r w:rsidRPr="00B1089D">
        <w:t>the</w:t>
      </w:r>
      <w:proofErr w:type="spellEnd"/>
      <w:r w:rsidRPr="00B1089D">
        <w:t xml:space="preserve"> </w:t>
      </w:r>
      <w:proofErr w:type="spellStart"/>
      <w:r w:rsidRPr="00B1089D">
        <w:t>security</w:t>
      </w:r>
      <w:proofErr w:type="spellEnd"/>
      <w:r w:rsidRPr="00B1089D">
        <w:t xml:space="preserve"> of </w:t>
      </w:r>
      <w:proofErr w:type="spellStart"/>
      <w:r w:rsidRPr="00B1089D">
        <w:t>human</w:t>
      </w:r>
      <w:proofErr w:type="spellEnd"/>
      <w:r w:rsidRPr="00B1089D">
        <w:t xml:space="preserve"> </w:t>
      </w:r>
      <w:proofErr w:type="spellStart"/>
      <w:r w:rsidRPr="00B1089D">
        <w:t>societies</w:t>
      </w:r>
      <w:proofErr w:type="spellEnd"/>
      <w:r w:rsidRPr="00B1089D">
        <w:t xml:space="preserve">: </w:t>
      </w:r>
      <w:proofErr w:type="spellStart"/>
      <w:r w:rsidRPr="00B1089D">
        <w:t>Military</w:t>
      </w:r>
      <w:proofErr w:type="spellEnd"/>
      <w:r w:rsidRPr="00B1089D">
        <w:t xml:space="preserve">, </w:t>
      </w:r>
      <w:proofErr w:type="spellStart"/>
      <w:r w:rsidRPr="00B1089D">
        <w:t>political</w:t>
      </w:r>
      <w:proofErr w:type="spellEnd"/>
      <w:r w:rsidRPr="00B1089D">
        <w:t xml:space="preserve">, </w:t>
      </w:r>
      <w:proofErr w:type="spellStart"/>
      <w:r w:rsidRPr="00B1089D">
        <w:t>economic</w:t>
      </w:r>
      <w:proofErr w:type="spellEnd"/>
      <w:r w:rsidRPr="00B1089D">
        <w:t xml:space="preserve">, </w:t>
      </w:r>
      <w:proofErr w:type="spellStart"/>
      <w:r w:rsidRPr="00B1089D">
        <w:t>social</w:t>
      </w:r>
      <w:proofErr w:type="spellEnd"/>
      <w:r w:rsidRPr="00B1089D">
        <w:t xml:space="preserve">, </w:t>
      </w:r>
      <w:proofErr w:type="spellStart"/>
      <w:r w:rsidRPr="00B1089D">
        <w:t>and</w:t>
      </w:r>
      <w:proofErr w:type="spellEnd"/>
      <w:r w:rsidRPr="00B1089D">
        <w:t xml:space="preserve"> </w:t>
      </w:r>
      <w:proofErr w:type="spellStart"/>
      <w:r w:rsidRPr="00B1089D">
        <w:t>environmental</w:t>
      </w:r>
      <w:proofErr w:type="spellEnd"/>
      <w:r w:rsidRPr="00B1089D">
        <w:t xml:space="preserve"> </w:t>
      </w:r>
      <w:proofErr w:type="spellStart"/>
      <w:r w:rsidRPr="00B1089D">
        <w:t>factors</w:t>
      </w:r>
      <w:proofErr w:type="spellEnd"/>
      <w:r w:rsidRPr="00B1089D">
        <w:t xml:space="preserve">.  </w:t>
      </w:r>
      <w:proofErr w:type="spellStart"/>
      <w:r w:rsidRPr="00B1089D">
        <w:t>These</w:t>
      </w:r>
      <w:proofErr w:type="spellEnd"/>
      <w:r w:rsidRPr="00B1089D">
        <w:t xml:space="preserve"> </w:t>
      </w:r>
      <w:proofErr w:type="spellStart"/>
      <w:r w:rsidRPr="00B1089D">
        <w:t>five</w:t>
      </w:r>
      <w:proofErr w:type="spellEnd"/>
      <w:r w:rsidRPr="00B1089D">
        <w:t xml:space="preserve"> </w:t>
      </w:r>
      <w:proofErr w:type="spellStart"/>
      <w:r w:rsidRPr="00B1089D">
        <w:t>sectors</w:t>
      </w:r>
      <w:proofErr w:type="spellEnd"/>
      <w:r w:rsidRPr="00B1089D">
        <w:t xml:space="preserve"> </w:t>
      </w:r>
      <w:proofErr w:type="spellStart"/>
      <w:r w:rsidRPr="00B1089D">
        <w:t>cannot</w:t>
      </w:r>
      <w:proofErr w:type="spellEnd"/>
      <w:r w:rsidRPr="00B1089D">
        <w:t xml:space="preserve"> </w:t>
      </w:r>
      <w:proofErr w:type="spellStart"/>
      <w:r w:rsidRPr="00B1089D">
        <w:t>exist</w:t>
      </w:r>
      <w:proofErr w:type="spellEnd"/>
      <w:r w:rsidRPr="00B1089D">
        <w:t xml:space="preserve"> </w:t>
      </w:r>
      <w:proofErr w:type="spellStart"/>
      <w:r w:rsidRPr="00B1089D">
        <w:t>independently</w:t>
      </w:r>
      <w:proofErr w:type="spellEnd"/>
      <w:r w:rsidRPr="00B1089D">
        <w:t xml:space="preserve"> of </w:t>
      </w:r>
      <w:proofErr w:type="spellStart"/>
      <w:r w:rsidRPr="00B1089D">
        <w:t>one</w:t>
      </w:r>
      <w:proofErr w:type="spellEnd"/>
      <w:r w:rsidRPr="00B1089D">
        <w:t xml:space="preserve"> </w:t>
      </w:r>
      <w:proofErr w:type="spellStart"/>
      <w:r w:rsidRPr="00B1089D">
        <w:t>another</w:t>
      </w:r>
      <w:proofErr w:type="spellEnd"/>
      <w:r w:rsidRPr="00B1089D">
        <w:t xml:space="preserve">. </w:t>
      </w:r>
      <w:proofErr w:type="spellStart"/>
      <w:r w:rsidRPr="00B1089D">
        <w:t>Each</w:t>
      </w:r>
      <w:proofErr w:type="spellEnd"/>
      <w:r w:rsidRPr="00B1089D">
        <w:t xml:space="preserve"> </w:t>
      </w:r>
      <w:proofErr w:type="spellStart"/>
      <w:r w:rsidRPr="00B1089D">
        <w:t>specifies</w:t>
      </w:r>
      <w:proofErr w:type="spellEnd"/>
      <w:r w:rsidRPr="00B1089D">
        <w:t xml:space="preserve"> a </w:t>
      </w:r>
      <w:proofErr w:type="spellStart"/>
      <w:r w:rsidRPr="00B1089D">
        <w:t>focus</w:t>
      </w:r>
      <w:proofErr w:type="spellEnd"/>
      <w:r w:rsidRPr="00B1089D">
        <w:t xml:space="preserve"> </w:t>
      </w:r>
      <w:proofErr w:type="spellStart"/>
      <w:r w:rsidRPr="00B1089D">
        <w:t>and</w:t>
      </w:r>
      <w:proofErr w:type="spellEnd"/>
      <w:r w:rsidRPr="00B1089D">
        <w:t xml:space="preserve"> </w:t>
      </w:r>
      <w:proofErr w:type="spellStart"/>
      <w:r w:rsidRPr="00B1089D">
        <w:t>priority</w:t>
      </w:r>
      <w:proofErr w:type="spellEnd"/>
      <w:r w:rsidRPr="00B1089D">
        <w:t xml:space="preserve"> </w:t>
      </w:r>
      <w:proofErr w:type="spellStart"/>
      <w:r w:rsidRPr="00B1089D">
        <w:t>order</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concept</w:t>
      </w:r>
      <w:proofErr w:type="spellEnd"/>
      <w:r w:rsidRPr="00B1089D">
        <w:t xml:space="preserve"> of </w:t>
      </w:r>
      <w:proofErr w:type="spellStart"/>
      <w:r w:rsidRPr="00B1089D">
        <w:t>security</w:t>
      </w:r>
      <w:proofErr w:type="spellEnd"/>
      <w:r w:rsidRPr="00B1089D">
        <w:t xml:space="preserve">, </w:t>
      </w:r>
      <w:proofErr w:type="spellStart"/>
      <w:r w:rsidRPr="00B1089D">
        <w:t>and</w:t>
      </w:r>
      <w:proofErr w:type="spellEnd"/>
      <w:r w:rsidRPr="00B1089D">
        <w:t xml:space="preserve"> they </w:t>
      </w:r>
      <w:proofErr w:type="spellStart"/>
      <w:r w:rsidRPr="00B1089D">
        <w:t>are</w:t>
      </w:r>
      <w:proofErr w:type="spellEnd"/>
      <w:r w:rsidRPr="00B1089D">
        <w:t xml:space="preserve"> </w:t>
      </w:r>
      <w:proofErr w:type="spellStart"/>
      <w:r w:rsidRPr="00B1089D">
        <w:t>inextricably</w:t>
      </w:r>
      <w:proofErr w:type="spellEnd"/>
      <w:r w:rsidRPr="00B1089D">
        <w:t xml:space="preserve"> </w:t>
      </w:r>
      <w:proofErr w:type="spellStart"/>
      <w:r w:rsidRPr="00B1089D">
        <w:t>intertwined</w:t>
      </w:r>
      <w:proofErr w:type="spellEnd"/>
      <w:r w:rsidRPr="00B1089D">
        <w:t xml:space="preserve"> (</w:t>
      </w:r>
      <w:proofErr w:type="spellStart"/>
      <w:r w:rsidRPr="00B1089D">
        <w:t>Buzan</w:t>
      </w:r>
      <w:proofErr w:type="spellEnd"/>
      <w:r w:rsidRPr="00B1089D">
        <w:t xml:space="preserve"> 2015: 38). </w:t>
      </w:r>
      <w:proofErr w:type="spellStart"/>
      <w:r w:rsidRPr="00B1089D">
        <w:t>The</w:t>
      </w:r>
      <w:proofErr w:type="spellEnd"/>
      <w:r w:rsidRPr="00B1089D">
        <w:t xml:space="preserve"> </w:t>
      </w:r>
      <w:proofErr w:type="spellStart"/>
      <w:r w:rsidRPr="00B1089D">
        <w:t>following</w:t>
      </w:r>
      <w:proofErr w:type="spellEnd"/>
      <w:r w:rsidRPr="00B1089D">
        <w:t xml:space="preserve"> </w:t>
      </w:r>
      <w:proofErr w:type="spellStart"/>
      <w:r w:rsidRPr="00B1089D">
        <w:t>sectors</w:t>
      </w:r>
      <w:proofErr w:type="spellEnd"/>
      <w:r w:rsidRPr="00B1089D">
        <w:t xml:space="preserve"> </w:t>
      </w:r>
      <w:proofErr w:type="spellStart"/>
      <w:r w:rsidRPr="00B1089D">
        <w:t>are</w:t>
      </w:r>
      <w:proofErr w:type="spellEnd"/>
      <w:r w:rsidRPr="00B1089D">
        <w:t xml:space="preserve"> </w:t>
      </w:r>
      <w:proofErr w:type="spellStart"/>
      <w:r w:rsidRPr="00B1089D">
        <w:t>listed</w:t>
      </w:r>
      <w:proofErr w:type="spellEnd"/>
      <w:r w:rsidRPr="00B1089D">
        <w:t xml:space="preserve"> </w:t>
      </w:r>
      <w:proofErr w:type="spellStart"/>
      <w:r w:rsidRPr="00B1089D">
        <w:t>below</w:t>
      </w:r>
      <w:proofErr w:type="spellEnd"/>
      <w:r w:rsidRPr="00B1089D">
        <w:t>:</w:t>
      </w:r>
    </w:p>
    <w:p w14:paraId="48B9C76D" w14:textId="77777777" w:rsidR="00FA457D" w:rsidRPr="00B1089D" w:rsidRDefault="00FA457D" w:rsidP="00E359E0">
      <w:pPr>
        <w:widowControl/>
        <w:jc w:val="both"/>
      </w:pPr>
    </w:p>
    <w:p w14:paraId="1A24841B" w14:textId="0ABDFCD7" w:rsidR="00FA457D" w:rsidRPr="00D10870" w:rsidRDefault="00FA457D" w:rsidP="00E359E0">
      <w:pPr>
        <w:widowControl/>
        <w:jc w:val="both"/>
      </w:pPr>
      <w:proofErr w:type="spellStart"/>
      <w:r w:rsidRPr="00B1089D">
        <w:t>Political</w:t>
      </w:r>
      <w:proofErr w:type="spellEnd"/>
      <w:r w:rsidRPr="00B1089D">
        <w:t xml:space="preserve"> </w:t>
      </w:r>
      <w:proofErr w:type="spellStart"/>
      <w:r w:rsidRPr="00B1089D">
        <w:t>Sector</w:t>
      </w:r>
      <w:proofErr w:type="spellEnd"/>
      <w:r w:rsidRPr="00B1089D">
        <w:t xml:space="preserve">: </w:t>
      </w:r>
      <w:proofErr w:type="spellStart"/>
      <w:r w:rsidRPr="00B1089D">
        <w:t>Political</w:t>
      </w:r>
      <w:proofErr w:type="spellEnd"/>
      <w:r w:rsidRPr="00B1089D">
        <w:t xml:space="preserve"> </w:t>
      </w:r>
      <w:proofErr w:type="spellStart"/>
      <w:r w:rsidRPr="00B1089D">
        <w:t>threats</w:t>
      </w:r>
      <w:proofErr w:type="spellEnd"/>
      <w:r w:rsidRPr="00B1089D">
        <w:t xml:space="preserve"> </w:t>
      </w:r>
      <w:proofErr w:type="spellStart"/>
      <w:r w:rsidRPr="00B1089D">
        <w:t>significantly</w:t>
      </w:r>
      <w:proofErr w:type="spellEnd"/>
      <w:r w:rsidRPr="00B1089D">
        <w:t xml:space="preserve"> </w:t>
      </w:r>
      <w:proofErr w:type="spellStart"/>
      <w:r w:rsidRPr="00B1089D">
        <w:t>impact</w:t>
      </w:r>
      <w:proofErr w:type="spellEnd"/>
      <w:r w:rsidRPr="00B1089D">
        <w:t xml:space="preserve"> </w:t>
      </w:r>
      <w:proofErr w:type="spellStart"/>
      <w:r w:rsidRPr="00B1089D">
        <w:t>the</w:t>
      </w:r>
      <w:proofErr w:type="spellEnd"/>
      <w:r w:rsidRPr="00B1089D">
        <w:t xml:space="preserve"> </w:t>
      </w:r>
      <w:proofErr w:type="spellStart"/>
      <w:r w:rsidRPr="00B1089D">
        <w:t>organisation</w:t>
      </w:r>
      <w:proofErr w:type="spellEnd"/>
      <w:r w:rsidRPr="00B1089D">
        <w:t xml:space="preserve"> </w:t>
      </w:r>
      <w:proofErr w:type="spellStart"/>
      <w:r w:rsidRPr="00B1089D">
        <w:t>and</w:t>
      </w:r>
      <w:proofErr w:type="spellEnd"/>
      <w:r w:rsidRPr="00B1089D">
        <w:t xml:space="preserve"> </w:t>
      </w:r>
      <w:proofErr w:type="spellStart"/>
      <w:r w:rsidRPr="00B1089D">
        <w:t>stability</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presenting</w:t>
      </w:r>
      <w:proofErr w:type="spellEnd"/>
      <w:r w:rsidRPr="00B1089D">
        <w:t xml:space="preserve"> </w:t>
      </w:r>
      <w:proofErr w:type="spellStart"/>
      <w:r w:rsidRPr="00B1089D">
        <w:t>challenges</w:t>
      </w:r>
      <w:proofErr w:type="spellEnd"/>
      <w:r w:rsidRPr="00B1089D">
        <w:t xml:space="preserve"> </w:t>
      </w:r>
      <w:proofErr w:type="spellStart"/>
      <w:r w:rsidRPr="00B1089D">
        <w:t>to</w:t>
      </w:r>
      <w:proofErr w:type="spellEnd"/>
      <w:r w:rsidRPr="00B1089D">
        <w:t xml:space="preserve"> </w:t>
      </w:r>
      <w:proofErr w:type="spellStart"/>
      <w:r w:rsidRPr="00B1089D">
        <w:t>its</w:t>
      </w:r>
      <w:proofErr w:type="spellEnd"/>
      <w:r w:rsidRPr="00B1089D">
        <w:t xml:space="preserve"> </w:t>
      </w:r>
      <w:proofErr w:type="spellStart"/>
      <w:r w:rsidRPr="00B1089D">
        <w:t>political</w:t>
      </w:r>
      <w:proofErr w:type="spellEnd"/>
      <w:r w:rsidRPr="00B1089D">
        <w:t xml:space="preserve"> </w:t>
      </w:r>
      <w:proofErr w:type="spellStart"/>
      <w:r w:rsidRPr="00B1089D">
        <w:t>system</w:t>
      </w:r>
      <w:proofErr w:type="spellEnd"/>
      <w:r w:rsidRPr="00B1089D">
        <w:t xml:space="preserve">. </w:t>
      </w:r>
      <w:proofErr w:type="spellStart"/>
      <w:r w:rsidRPr="00B1089D">
        <w:t>These</w:t>
      </w:r>
      <w:proofErr w:type="spellEnd"/>
      <w:r w:rsidRPr="00B1089D">
        <w:t xml:space="preserve"> </w:t>
      </w:r>
      <w:proofErr w:type="spellStart"/>
      <w:r w:rsidRPr="00B1089D">
        <w:t>threats</w:t>
      </w:r>
      <w:proofErr w:type="spellEnd"/>
      <w:r w:rsidRPr="00B1089D">
        <w:t xml:space="preserve">, </w:t>
      </w:r>
      <w:proofErr w:type="spellStart"/>
      <w:r w:rsidRPr="00B1089D">
        <w:t>akin</w:t>
      </w:r>
      <w:proofErr w:type="spellEnd"/>
      <w:r w:rsidRPr="00B1089D">
        <w:t xml:space="preserve"> </w:t>
      </w:r>
      <w:proofErr w:type="spellStart"/>
      <w:r w:rsidRPr="00B1089D">
        <w:t>to</w:t>
      </w:r>
      <w:proofErr w:type="spellEnd"/>
      <w:r w:rsidRPr="00B1089D">
        <w:t xml:space="preserve"> </w:t>
      </w:r>
      <w:proofErr w:type="spellStart"/>
      <w:r w:rsidRPr="00B1089D">
        <w:t>military</w:t>
      </w:r>
      <w:proofErr w:type="spellEnd"/>
      <w:r w:rsidRPr="00B1089D">
        <w:t xml:space="preserve"> </w:t>
      </w:r>
      <w:proofErr w:type="spellStart"/>
      <w:r w:rsidRPr="00B1089D">
        <w:t>ones</w:t>
      </w:r>
      <w:proofErr w:type="spellEnd"/>
      <w:r w:rsidRPr="00B1089D">
        <w:t xml:space="preserve">, </w:t>
      </w:r>
      <w:proofErr w:type="spellStart"/>
      <w:r w:rsidRPr="00B1089D">
        <w:t>place</w:t>
      </w:r>
      <w:proofErr w:type="spellEnd"/>
      <w:r w:rsidRPr="00B1089D">
        <w:t xml:space="preserve"> </w:t>
      </w:r>
      <w:proofErr w:type="spellStart"/>
      <w:r w:rsidRPr="00B1089D">
        <w:t>state</w:t>
      </w:r>
      <w:proofErr w:type="spellEnd"/>
      <w:r w:rsidRPr="00B1089D">
        <w:t xml:space="preserve"> </w:t>
      </w:r>
      <w:proofErr w:type="spellStart"/>
      <w:r w:rsidRPr="00B1089D">
        <w:t>sovereignty</w:t>
      </w:r>
      <w:proofErr w:type="spellEnd"/>
      <w:r w:rsidRPr="00B1089D">
        <w:t xml:space="preserve"> at </w:t>
      </w:r>
      <w:proofErr w:type="spellStart"/>
      <w:r w:rsidRPr="00B1089D">
        <w:t>their</w:t>
      </w:r>
      <w:proofErr w:type="spellEnd"/>
      <w:r w:rsidRPr="00B1089D">
        <w:t xml:space="preserve"> </w:t>
      </w:r>
      <w:proofErr w:type="spellStart"/>
      <w:r w:rsidRPr="00B1089D">
        <w:t>core</w:t>
      </w:r>
      <w:proofErr w:type="spellEnd"/>
      <w:r w:rsidRPr="00B1089D">
        <w:t xml:space="preserve">, </w:t>
      </w:r>
      <w:proofErr w:type="spellStart"/>
      <w:r w:rsidRPr="00B1089D">
        <w:t>with</w:t>
      </w:r>
      <w:proofErr w:type="spellEnd"/>
      <w:r w:rsidRPr="00B1089D">
        <w:t xml:space="preserve"> </w:t>
      </w:r>
      <w:proofErr w:type="spellStart"/>
      <w:r w:rsidRPr="00B1089D">
        <w:t>political</w:t>
      </w:r>
      <w:proofErr w:type="spellEnd"/>
      <w:r w:rsidRPr="00B1089D">
        <w:t xml:space="preserve"> </w:t>
      </w:r>
      <w:proofErr w:type="spellStart"/>
      <w:r w:rsidRPr="00B1089D">
        <w:t>security</w:t>
      </w:r>
      <w:proofErr w:type="spellEnd"/>
      <w:r w:rsidRPr="00B1089D">
        <w:t xml:space="preserve"> </w:t>
      </w:r>
      <w:proofErr w:type="spellStart"/>
      <w:r w:rsidRPr="00B1089D">
        <w:t>closely</w:t>
      </w:r>
      <w:proofErr w:type="spellEnd"/>
      <w:r w:rsidRPr="00B1089D">
        <w:t xml:space="preserve"> </w:t>
      </w:r>
      <w:proofErr w:type="spellStart"/>
      <w:r w:rsidRPr="00B1089D">
        <w:t>tied</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beliefs</w:t>
      </w:r>
      <w:proofErr w:type="spellEnd"/>
      <w:r w:rsidRPr="00B1089D">
        <w:t xml:space="preserve"> </w:t>
      </w:r>
      <w:proofErr w:type="spellStart"/>
      <w:r w:rsidRPr="00B1089D">
        <w:t>and</w:t>
      </w:r>
      <w:proofErr w:type="spellEnd"/>
      <w:r w:rsidRPr="00B1089D">
        <w:t xml:space="preserve"> </w:t>
      </w:r>
      <w:proofErr w:type="spellStart"/>
      <w:r w:rsidRPr="00B1089D">
        <w:t>foundational</w:t>
      </w:r>
      <w:proofErr w:type="spellEnd"/>
      <w:r w:rsidRPr="00B1089D">
        <w:t xml:space="preserve"> </w:t>
      </w:r>
      <w:proofErr w:type="spellStart"/>
      <w:r w:rsidRPr="00B1089D">
        <w:t>principles</w:t>
      </w:r>
      <w:proofErr w:type="spellEnd"/>
      <w:r w:rsidRPr="00B1089D">
        <w:t xml:space="preserve"> </w:t>
      </w:r>
      <w:proofErr w:type="spellStart"/>
      <w:r w:rsidRPr="00B1089D">
        <w:t>that</w:t>
      </w:r>
      <w:proofErr w:type="spellEnd"/>
      <w:r w:rsidRPr="00B1089D">
        <w:t xml:space="preserve"> </w:t>
      </w:r>
      <w:proofErr w:type="spellStart"/>
      <w:r w:rsidRPr="00B1089D">
        <w:t>empower</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While</w:t>
      </w:r>
      <w:proofErr w:type="spellEnd"/>
      <w:r w:rsidRPr="00B1089D">
        <w:t xml:space="preserve"> </w:t>
      </w:r>
      <w:proofErr w:type="spellStart"/>
      <w:r w:rsidRPr="00B1089D">
        <w:t>military</w:t>
      </w:r>
      <w:proofErr w:type="spellEnd"/>
      <w:r w:rsidRPr="00B1089D">
        <w:t xml:space="preserve"> </w:t>
      </w:r>
      <w:proofErr w:type="spellStart"/>
      <w:r w:rsidRPr="00B1089D">
        <w:t>threats</w:t>
      </w:r>
      <w:proofErr w:type="spellEnd"/>
      <w:r w:rsidRPr="00B1089D">
        <w:t xml:space="preserve"> can be </w:t>
      </w:r>
      <w:proofErr w:type="spellStart"/>
      <w:r w:rsidRPr="00B1089D">
        <w:t>addressed</w:t>
      </w:r>
      <w:proofErr w:type="spellEnd"/>
      <w:r w:rsidRPr="00B1089D">
        <w:t xml:space="preserve"> </w:t>
      </w:r>
      <w:proofErr w:type="spellStart"/>
      <w:r w:rsidRPr="00B1089D">
        <w:t>through</w:t>
      </w:r>
      <w:proofErr w:type="spellEnd"/>
      <w:r w:rsidRPr="00B1089D">
        <w:t xml:space="preserve"> </w:t>
      </w:r>
      <w:proofErr w:type="spellStart"/>
      <w:r w:rsidRPr="00B1089D">
        <w:t>military</w:t>
      </w:r>
      <w:proofErr w:type="spellEnd"/>
      <w:r w:rsidRPr="00B1089D">
        <w:t xml:space="preserve"> </w:t>
      </w:r>
      <w:proofErr w:type="spellStart"/>
      <w:r w:rsidRPr="00B1089D">
        <w:lastRenderedPageBreak/>
        <w:t>mechanisms</w:t>
      </w:r>
      <w:proofErr w:type="spellEnd"/>
      <w:r w:rsidRPr="00B1089D">
        <w:t xml:space="preserve">, </w:t>
      </w:r>
      <w:proofErr w:type="spellStart"/>
      <w:r w:rsidRPr="00B1089D">
        <w:t>non-military</w:t>
      </w:r>
      <w:proofErr w:type="spellEnd"/>
      <w:r w:rsidRPr="00B1089D">
        <w:t xml:space="preserve"> </w:t>
      </w:r>
      <w:proofErr w:type="spellStart"/>
      <w:r w:rsidRPr="00B1089D">
        <w:t>risks</w:t>
      </w:r>
      <w:proofErr w:type="spellEnd"/>
      <w:r w:rsidRPr="00B1089D">
        <w:t xml:space="preserve"> </w:t>
      </w:r>
      <w:proofErr w:type="spellStart"/>
      <w:r w:rsidRPr="00B1089D">
        <w:t>fall</w:t>
      </w:r>
      <w:proofErr w:type="spellEnd"/>
      <w:r w:rsidRPr="00B1089D">
        <w:t xml:space="preserve"> </w:t>
      </w:r>
      <w:proofErr w:type="spellStart"/>
      <w:r w:rsidRPr="00B1089D">
        <w:t>under</w:t>
      </w:r>
      <w:proofErr w:type="spellEnd"/>
      <w:r w:rsidRPr="00B1089D">
        <w:t xml:space="preserve"> </w:t>
      </w:r>
      <w:proofErr w:type="spellStart"/>
      <w:r w:rsidRPr="00B1089D">
        <w:t>the</w:t>
      </w:r>
      <w:proofErr w:type="spellEnd"/>
      <w:r w:rsidRPr="00B1089D">
        <w:t xml:space="preserve"> </w:t>
      </w:r>
      <w:proofErr w:type="spellStart"/>
      <w:r w:rsidRPr="00B1089D">
        <w:t>political</w:t>
      </w:r>
      <w:proofErr w:type="spellEnd"/>
      <w:r w:rsidRPr="00B1089D">
        <w:t xml:space="preserve"> </w:t>
      </w:r>
      <w:proofErr w:type="spellStart"/>
      <w:r w:rsidRPr="00B1089D">
        <w:t>sector</w:t>
      </w:r>
      <w:proofErr w:type="spellEnd"/>
      <w:r w:rsidRPr="00B1089D">
        <w:t xml:space="preserve">, </w:t>
      </w:r>
      <w:proofErr w:type="spellStart"/>
      <w:r w:rsidRPr="00B1089D">
        <w:t>which</w:t>
      </w:r>
      <w:proofErr w:type="spellEnd"/>
      <w:r w:rsidRPr="00B1089D">
        <w:t xml:space="preserve"> </w:t>
      </w:r>
      <w:proofErr w:type="spellStart"/>
      <w:r w:rsidRPr="00B1089D">
        <w:t>presents</w:t>
      </w:r>
      <w:proofErr w:type="spellEnd"/>
      <w:r w:rsidRPr="00B1089D">
        <w:t xml:space="preserve"> </w:t>
      </w:r>
      <w:proofErr w:type="spellStart"/>
      <w:r w:rsidRPr="00B1089D">
        <w:t>unique</w:t>
      </w:r>
      <w:proofErr w:type="spellEnd"/>
      <w:r w:rsidRPr="00B1089D">
        <w:t xml:space="preserve"> </w:t>
      </w:r>
      <w:proofErr w:type="spellStart"/>
      <w:r w:rsidRPr="00B1089D">
        <w:t>complexities</w:t>
      </w:r>
      <w:proofErr w:type="spellEnd"/>
      <w:r w:rsidRPr="00B1089D">
        <w:t>.</w:t>
      </w:r>
    </w:p>
    <w:p w14:paraId="05ECBBAE" w14:textId="77777777" w:rsidR="00FA457D" w:rsidRPr="00B1089D" w:rsidRDefault="00FA457D" w:rsidP="00E359E0">
      <w:pPr>
        <w:widowControl/>
        <w:jc w:val="both"/>
      </w:pPr>
    </w:p>
    <w:p w14:paraId="65E8BAB4" w14:textId="77777777" w:rsidR="00FA457D" w:rsidRPr="00D10870" w:rsidRDefault="00FA457D" w:rsidP="00E359E0">
      <w:pPr>
        <w:widowControl/>
        <w:jc w:val="both"/>
      </w:pPr>
      <w:r w:rsidRPr="00B1089D">
        <w:t xml:space="preserve">Barry </w:t>
      </w:r>
      <w:proofErr w:type="spellStart"/>
      <w:r w:rsidRPr="00B1089D">
        <w:t>Buzan</w:t>
      </w:r>
      <w:proofErr w:type="spellEnd"/>
      <w:r w:rsidRPr="00B1089D">
        <w:t xml:space="preserve"> </w:t>
      </w:r>
      <w:proofErr w:type="spellStart"/>
      <w:r w:rsidRPr="00B1089D">
        <w:t>emphasises</w:t>
      </w:r>
      <w:proofErr w:type="spellEnd"/>
      <w:r w:rsidRPr="00B1089D">
        <w:t xml:space="preserve"> </w:t>
      </w:r>
      <w:proofErr w:type="spellStart"/>
      <w:r w:rsidRPr="00B1089D">
        <w:t>that</w:t>
      </w:r>
      <w:proofErr w:type="spellEnd"/>
      <w:r w:rsidRPr="00B1089D">
        <w:t xml:space="preserve"> </w:t>
      </w:r>
      <w:proofErr w:type="spellStart"/>
      <w:r w:rsidRPr="00B1089D">
        <w:t>political</w:t>
      </w:r>
      <w:proofErr w:type="spellEnd"/>
      <w:r w:rsidRPr="00B1089D">
        <w:t xml:space="preserve"> </w:t>
      </w:r>
      <w:proofErr w:type="spellStart"/>
      <w:r w:rsidRPr="00B1089D">
        <w:t>threats</w:t>
      </w:r>
      <w:proofErr w:type="spellEnd"/>
      <w:r w:rsidRPr="00B1089D">
        <w:t xml:space="preserve"> </w:t>
      </w:r>
      <w:proofErr w:type="spellStart"/>
      <w:r w:rsidRPr="00B1089D">
        <w:t>target</w:t>
      </w:r>
      <w:proofErr w:type="spellEnd"/>
      <w:r w:rsidRPr="00B1089D">
        <w:t xml:space="preserve"> </w:t>
      </w:r>
      <w:proofErr w:type="spellStart"/>
      <w:r w:rsidRPr="00B1089D">
        <w:t>the</w:t>
      </w:r>
      <w:proofErr w:type="spellEnd"/>
      <w:r w:rsidRPr="00B1089D">
        <w:t xml:space="preserve"> </w:t>
      </w:r>
      <w:proofErr w:type="spellStart"/>
      <w:r w:rsidRPr="00B1089D">
        <w:t>organisational</w:t>
      </w:r>
      <w:proofErr w:type="spellEnd"/>
      <w:r w:rsidRPr="00B1089D">
        <w:t xml:space="preserve"> </w:t>
      </w:r>
      <w:proofErr w:type="spellStart"/>
      <w:r w:rsidRPr="00B1089D">
        <w:t>stability</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and</w:t>
      </w:r>
      <w:proofErr w:type="spellEnd"/>
      <w:r w:rsidRPr="00B1089D">
        <w:t xml:space="preserve"> can </w:t>
      </w:r>
      <w:proofErr w:type="spellStart"/>
      <w:r w:rsidRPr="00B1089D">
        <w:t>manifest</w:t>
      </w:r>
      <w:proofErr w:type="spellEnd"/>
      <w:r w:rsidRPr="00B1089D">
        <w:t xml:space="preserve"> in </w:t>
      </w:r>
      <w:proofErr w:type="spellStart"/>
      <w:r w:rsidRPr="00B1089D">
        <w:t>various</w:t>
      </w:r>
      <w:proofErr w:type="spellEnd"/>
      <w:r w:rsidRPr="00B1089D">
        <w:t xml:space="preserve"> </w:t>
      </w:r>
      <w:proofErr w:type="spellStart"/>
      <w:r w:rsidRPr="00B1089D">
        <w:t>forms</w:t>
      </w:r>
      <w:proofErr w:type="spellEnd"/>
      <w:r w:rsidRPr="00B1089D">
        <w:t xml:space="preserve">, </w:t>
      </w:r>
      <w:proofErr w:type="spellStart"/>
      <w:r w:rsidRPr="00B1089D">
        <w:t>from</w:t>
      </w:r>
      <w:proofErr w:type="spellEnd"/>
      <w:r w:rsidRPr="00B1089D">
        <w:t xml:space="preserve"> </w:t>
      </w:r>
      <w:proofErr w:type="spellStart"/>
      <w:r w:rsidRPr="00B1089D">
        <w:t>pressuring</w:t>
      </w:r>
      <w:proofErr w:type="spellEnd"/>
      <w:r w:rsidRPr="00B1089D">
        <w:t xml:space="preserve"> </w:t>
      </w:r>
      <w:proofErr w:type="spellStart"/>
      <w:r w:rsidRPr="00B1089D">
        <w:t>the</w:t>
      </w:r>
      <w:proofErr w:type="spellEnd"/>
      <w:r w:rsidRPr="00B1089D">
        <w:t xml:space="preserve"> </w:t>
      </w:r>
      <w:proofErr w:type="spellStart"/>
      <w:r w:rsidRPr="00B1089D">
        <w:t>government</w:t>
      </w:r>
      <w:proofErr w:type="spellEnd"/>
      <w:r w:rsidRPr="00B1089D">
        <w:t xml:space="preserve"> on </w:t>
      </w:r>
      <w:proofErr w:type="spellStart"/>
      <w:r w:rsidRPr="00B1089D">
        <w:t>specific</w:t>
      </w:r>
      <w:proofErr w:type="spellEnd"/>
      <w:r w:rsidRPr="00B1089D">
        <w:t xml:space="preserve"> </w:t>
      </w:r>
      <w:proofErr w:type="spellStart"/>
      <w:r w:rsidRPr="00B1089D">
        <w:t>policies</w:t>
      </w:r>
      <w:proofErr w:type="spellEnd"/>
      <w:r w:rsidRPr="00B1089D">
        <w:t xml:space="preserve"> </w:t>
      </w:r>
      <w:proofErr w:type="spellStart"/>
      <w:r w:rsidRPr="00B1089D">
        <w:t>to</w:t>
      </w:r>
      <w:proofErr w:type="spellEnd"/>
      <w:r w:rsidRPr="00B1089D">
        <w:t xml:space="preserve"> </w:t>
      </w:r>
      <w:proofErr w:type="spellStart"/>
      <w:r w:rsidRPr="00B1089D">
        <w:t>attempts</w:t>
      </w:r>
      <w:proofErr w:type="spellEnd"/>
      <w:r w:rsidRPr="00B1089D">
        <w:t xml:space="preserve"> at </w:t>
      </w:r>
      <w:proofErr w:type="spellStart"/>
      <w:r w:rsidRPr="00B1089D">
        <w:t>governmental</w:t>
      </w:r>
      <w:proofErr w:type="spellEnd"/>
      <w:r w:rsidRPr="00B1089D">
        <w:t xml:space="preserve"> </w:t>
      </w:r>
      <w:proofErr w:type="spellStart"/>
      <w:r w:rsidRPr="00B1089D">
        <w:t>overthrow</w:t>
      </w:r>
      <w:proofErr w:type="spellEnd"/>
      <w:r w:rsidRPr="00B1089D">
        <w:t xml:space="preserve"> </w:t>
      </w:r>
      <w:proofErr w:type="spellStart"/>
      <w:r w:rsidRPr="00B1089D">
        <w:t>or</w:t>
      </w:r>
      <w:proofErr w:type="spellEnd"/>
      <w:r w:rsidRPr="00B1089D">
        <w:t xml:space="preserve"> </w:t>
      </w:r>
      <w:proofErr w:type="spellStart"/>
      <w:r w:rsidRPr="00B1089D">
        <w:t>fostering</w:t>
      </w:r>
      <w:proofErr w:type="spellEnd"/>
      <w:r w:rsidRPr="00B1089D">
        <w:t xml:space="preserve"> </w:t>
      </w:r>
      <w:proofErr w:type="spellStart"/>
      <w:r w:rsidRPr="00B1089D">
        <w:t>secessionism</w:t>
      </w:r>
      <w:proofErr w:type="spellEnd"/>
      <w:r w:rsidRPr="00B1089D">
        <w:t xml:space="preserve">. </w:t>
      </w:r>
      <w:proofErr w:type="spellStart"/>
      <w:r w:rsidRPr="00B1089D">
        <w:t>Such</w:t>
      </w:r>
      <w:proofErr w:type="spellEnd"/>
      <w:r w:rsidRPr="00B1089D">
        <w:t xml:space="preserve"> </w:t>
      </w:r>
      <w:proofErr w:type="spellStart"/>
      <w:r w:rsidRPr="00B1089D">
        <w:t>threats</w:t>
      </w:r>
      <w:proofErr w:type="spellEnd"/>
      <w:r w:rsidRPr="00B1089D">
        <w:t xml:space="preserve"> </w:t>
      </w:r>
      <w:proofErr w:type="spellStart"/>
      <w:r w:rsidRPr="00B1089D">
        <w:t>aim</w:t>
      </w:r>
      <w:proofErr w:type="spellEnd"/>
      <w:r w:rsidRPr="00B1089D">
        <w:t xml:space="preserve"> </w:t>
      </w:r>
      <w:proofErr w:type="spellStart"/>
      <w:r w:rsidRPr="00B1089D">
        <w:t>to</w:t>
      </w:r>
      <w:proofErr w:type="spellEnd"/>
      <w:r w:rsidRPr="00B1089D">
        <w:t xml:space="preserve"> </w:t>
      </w:r>
      <w:proofErr w:type="spellStart"/>
      <w:r w:rsidRPr="00B1089D">
        <w:t>disrupt</w:t>
      </w:r>
      <w:proofErr w:type="spellEnd"/>
      <w:r w:rsidRPr="00B1089D">
        <w:t xml:space="preserve"> </w:t>
      </w:r>
      <w:proofErr w:type="spellStart"/>
      <w:r w:rsidRPr="00B1089D">
        <w:t>the</w:t>
      </w:r>
      <w:proofErr w:type="spellEnd"/>
      <w:r w:rsidRPr="00B1089D">
        <w:t xml:space="preserve"> </w:t>
      </w:r>
      <w:proofErr w:type="spellStart"/>
      <w:r w:rsidRPr="00B1089D">
        <w:t>political</w:t>
      </w:r>
      <w:proofErr w:type="spellEnd"/>
      <w:r w:rsidRPr="00B1089D">
        <w:t xml:space="preserve"> </w:t>
      </w:r>
      <w:proofErr w:type="spellStart"/>
      <w:r w:rsidRPr="00B1089D">
        <w:t>fabric</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weakening</w:t>
      </w:r>
      <w:proofErr w:type="spellEnd"/>
      <w:r w:rsidRPr="00B1089D">
        <w:t xml:space="preserve"> it </w:t>
      </w:r>
      <w:proofErr w:type="spellStart"/>
      <w:r w:rsidRPr="00B1089D">
        <w:t>ahead</w:t>
      </w:r>
      <w:proofErr w:type="spellEnd"/>
      <w:r w:rsidRPr="00B1089D">
        <w:t xml:space="preserve"> of a </w:t>
      </w:r>
      <w:proofErr w:type="spellStart"/>
      <w:r w:rsidRPr="00B1089D">
        <w:t>potential</w:t>
      </w:r>
      <w:proofErr w:type="spellEnd"/>
      <w:r w:rsidRPr="00B1089D">
        <w:t xml:space="preserve"> </w:t>
      </w:r>
      <w:proofErr w:type="spellStart"/>
      <w:r w:rsidRPr="00B1089D">
        <w:t>military</w:t>
      </w:r>
      <w:proofErr w:type="spellEnd"/>
      <w:r w:rsidRPr="00B1089D">
        <w:t xml:space="preserve"> </w:t>
      </w:r>
      <w:proofErr w:type="spellStart"/>
      <w:r w:rsidRPr="00B1089D">
        <w:t>attack</w:t>
      </w:r>
      <w:proofErr w:type="spellEnd"/>
      <w:r w:rsidRPr="00B1089D">
        <w:t xml:space="preserve">. </w:t>
      </w:r>
      <w:proofErr w:type="spellStart"/>
      <w:r w:rsidRPr="00B1089D">
        <w:t>The</w:t>
      </w:r>
      <w:proofErr w:type="spellEnd"/>
      <w:r w:rsidRPr="00B1089D">
        <w:t xml:space="preserve"> </w:t>
      </w:r>
      <w:proofErr w:type="spellStart"/>
      <w:r w:rsidRPr="00B1089D">
        <w:t>focus</w:t>
      </w:r>
      <w:proofErr w:type="spellEnd"/>
      <w:r w:rsidRPr="00B1089D">
        <w:t xml:space="preserve"> of </w:t>
      </w:r>
      <w:proofErr w:type="spellStart"/>
      <w:r w:rsidRPr="00B1089D">
        <w:t>these</w:t>
      </w:r>
      <w:proofErr w:type="spellEnd"/>
      <w:r w:rsidRPr="00B1089D">
        <w:t xml:space="preserve"> </w:t>
      </w:r>
      <w:proofErr w:type="spellStart"/>
      <w:r w:rsidRPr="00B1089D">
        <w:t>threats</w:t>
      </w:r>
      <w:proofErr w:type="spellEnd"/>
      <w:r w:rsidRPr="00B1089D">
        <w:t xml:space="preserve"> </w:t>
      </w:r>
      <w:proofErr w:type="spellStart"/>
      <w:r w:rsidRPr="00B1089D">
        <w:t>often</w:t>
      </w:r>
      <w:proofErr w:type="spellEnd"/>
      <w:r w:rsidRPr="00B1089D">
        <w:t xml:space="preserve"> </w:t>
      </w:r>
      <w:proofErr w:type="spellStart"/>
      <w:r w:rsidRPr="00B1089D">
        <w:t>revolves</w:t>
      </w:r>
      <w:proofErr w:type="spellEnd"/>
      <w:r w:rsidRPr="00B1089D">
        <w:t xml:space="preserve"> </w:t>
      </w:r>
      <w:proofErr w:type="spellStart"/>
      <w:r w:rsidRPr="00B1089D">
        <w:t>around</w:t>
      </w:r>
      <w:proofErr w:type="spellEnd"/>
      <w:r w:rsidRPr="00B1089D">
        <w:t xml:space="preserve"> </w:t>
      </w:r>
      <w:proofErr w:type="spellStart"/>
      <w:r w:rsidRPr="00B1089D">
        <w:t>the</w:t>
      </w:r>
      <w:proofErr w:type="spellEnd"/>
      <w:r w:rsidRPr="00B1089D">
        <w:t xml:space="preserve"> </w:t>
      </w:r>
      <w:proofErr w:type="spellStart"/>
      <w:r w:rsidRPr="00B1089D">
        <w:t>essence</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including</w:t>
      </w:r>
      <w:proofErr w:type="spellEnd"/>
      <w:r w:rsidRPr="00B1089D">
        <w:t xml:space="preserve"> </w:t>
      </w:r>
      <w:proofErr w:type="spellStart"/>
      <w:r w:rsidRPr="00B1089D">
        <w:t>its</w:t>
      </w:r>
      <w:proofErr w:type="spellEnd"/>
      <w:r w:rsidRPr="00B1089D">
        <w:t xml:space="preserve"> </w:t>
      </w:r>
      <w:proofErr w:type="spellStart"/>
      <w:r w:rsidRPr="00B1089D">
        <w:t>national</w:t>
      </w:r>
      <w:proofErr w:type="spellEnd"/>
      <w:r w:rsidRPr="00B1089D">
        <w:t xml:space="preserve"> </w:t>
      </w:r>
      <w:proofErr w:type="spellStart"/>
      <w:r w:rsidRPr="00B1089D">
        <w:t>identity</w:t>
      </w:r>
      <w:proofErr w:type="spellEnd"/>
      <w:r w:rsidRPr="00B1089D">
        <w:t xml:space="preserve">, </w:t>
      </w:r>
      <w:proofErr w:type="spellStart"/>
      <w:r w:rsidRPr="00B1089D">
        <w:t>organising</w:t>
      </w:r>
      <w:proofErr w:type="spellEnd"/>
      <w:r w:rsidRPr="00B1089D">
        <w:t xml:space="preserve"> </w:t>
      </w:r>
      <w:proofErr w:type="spellStart"/>
      <w:r w:rsidRPr="00B1089D">
        <w:t>ideology</w:t>
      </w:r>
      <w:proofErr w:type="spellEnd"/>
      <w:r w:rsidRPr="00B1089D">
        <w:t xml:space="preserve">,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expressions</w:t>
      </w:r>
      <w:proofErr w:type="spellEnd"/>
      <w:r w:rsidRPr="00B1089D">
        <w:t xml:space="preserve">. </w:t>
      </w:r>
      <w:proofErr w:type="spellStart"/>
      <w:r w:rsidRPr="00B1089D">
        <w:t>Given</w:t>
      </w:r>
      <w:proofErr w:type="spellEnd"/>
      <w:r w:rsidRPr="00B1089D">
        <w:t xml:space="preserve"> </w:t>
      </w:r>
      <w:proofErr w:type="spellStart"/>
      <w:r w:rsidRPr="00B1089D">
        <w:t>the</w:t>
      </w:r>
      <w:proofErr w:type="spellEnd"/>
      <w:r w:rsidRPr="00B1089D">
        <w:t xml:space="preserve"> </w:t>
      </w:r>
      <w:proofErr w:type="spellStart"/>
      <w:r w:rsidRPr="00B1089D">
        <w:t>inherently</w:t>
      </w:r>
      <w:proofErr w:type="spellEnd"/>
      <w:r w:rsidRPr="00B1089D">
        <w:t xml:space="preserve"> </w:t>
      </w:r>
      <w:proofErr w:type="spellStart"/>
      <w:r w:rsidRPr="00B1089D">
        <w:t>political</w:t>
      </w:r>
      <w:proofErr w:type="spellEnd"/>
      <w:r w:rsidRPr="00B1089D">
        <w:t xml:space="preserve"> </w:t>
      </w:r>
      <w:proofErr w:type="spellStart"/>
      <w:r w:rsidRPr="00B1089D">
        <w:t>nature</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political</w:t>
      </w:r>
      <w:proofErr w:type="spellEnd"/>
      <w:r w:rsidRPr="00B1089D">
        <w:t xml:space="preserve"> </w:t>
      </w:r>
      <w:proofErr w:type="spellStart"/>
      <w:r w:rsidRPr="00B1089D">
        <w:t>threats</w:t>
      </w:r>
      <w:proofErr w:type="spellEnd"/>
      <w:r w:rsidRPr="00B1089D">
        <w:t xml:space="preserve"> can </w:t>
      </w:r>
      <w:proofErr w:type="spellStart"/>
      <w:r w:rsidRPr="00B1089D">
        <w:t>pose</w:t>
      </w:r>
      <w:proofErr w:type="spellEnd"/>
      <w:r w:rsidRPr="00B1089D">
        <w:t xml:space="preserve"> </w:t>
      </w:r>
      <w:proofErr w:type="spellStart"/>
      <w:r w:rsidRPr="00B1089D">
        <w:t>significant</w:t>
      </w:r>
      <w:proofErr w:type="spellEnd"/>
      <w:r w:rsidRPr="00B1089D">
        <w:t xml:space="preserve"> </w:t>
      </w:r>
      <w:proofErr w:type="spellStart"/>
      <w:r w:rsidRPr="00B1089D">
        <w:t>risks</w:t>
      </w:r>
      <w:proofErr w:type="spellEnd"/>
      <w:r w:rsidRPr="00B1089D">
        <w:t xml:space="preserve">, </w:t>
      </w:r>
      <w:proofErr w:type="spellStart"/>
      <w:r w:rsidRPr="00B1089D">
        <w:t>particularly</w:t>
      </w:r>
      <w:proofErr w:type="spellEnd"/>
      <w:r w:rsidRPr="00B1089D">
        <w:t xml:space="preserve"> </w:t>
      </w:r>
      <w:proofErr w:type="spellStart"/>
      <w:r w:rsidRPr="00B1089D">
        <w:t>for</w:t>
      </w:r>
      <w:proofErr w:type="spellEnd"/>
      <w:r w:rsidRPr="00B1089D">
        <w:t xml:space="preserve"> </w:t>
      </w:r>
      <w:proofErr w:type="spellStart"/>
      <w:r w:rsidRPr="00B1089D">
        <w:t>weaker</w:t>
      </w:r>
      <w:proofErr w:type="spellEnd"/>
      <w:r w:rsidRPr="00B1089D">
        <w:t xml:space="preserve"> </w:t>
      </w:r>
      <w:proofErr w:type="spellStart"/>
      <w:r w:rsidRPr="00B1089D">
        <w:t>states</w:t>
      </w:r>
      <w:proofErr w:type="spellEnd"/>
      <w:r w:rsidRPr="00B1089D">
        <w:t xml:space="preserve">, </w:t>
      </w:r>
      <w:proofErr w:type="spellStart"/>
      <w:r w:rsidRPr="00B1089D">
        <w:t>thus</w:t>
      </w:r>
      <w:proofErr w:type="spellEnd"/>
      <w:r w:rsidRPr="00B1089D">
        <w:t xml:space="preserve"> </w:t>
      </w:r>
      <w:proofErr w:type="spellStart"/>
      <w:r w:rsidRPr="00B1089D">
        <w:t>highlighting</w:t>
      </w:r>
      <w:proofErr w:type="spellEnd"/>
      <w:r w:rsidRPr="00B1089D">
        <w:t xml:space="preserve"> </w:t>
      </w:r>
      <w:proofErr w:type="spellStart"/>
      <w:r w:rsidRPr="00B1089D">
        <w:t>the</w:t>
      </w:r>
      <w:proofErr w:type="spellEnd"/>
      <w:r w:rsidRPr="00B1089D">
        <w:t xml:space="preserve"> </w:t>
      </w:r>
      <w:proofErr w:type="spellStart"/>
      <w:r w:rsidRPr="00B1089D">
        <w:t>challenges</w:t>
      </w:r>
      <w:proofErr w:type="spellEnd"/>
      <w:r w:rsidRPr="00B1089D">
        <w:t xml:space="preserve"> of </w:t>
      </w:r>
      <w:proofErr w:type="spellStart"/>
      <w:r w:rsidRPr="00B1089D">
        <w:t>defining</w:t>
      </w:r>
      <w:proofErr w:type="spellEnd"/>
      <w:r w:rsidRPr="00B1089D">
        <w:t xml:space="preserve"> </w:t>
      </w:r>
      <w:proofErr w:type="spellStart"/>
      <w:r w:rsidRPr="00B1089D">
        <w:t>political</w:t>
      </w:r>
      <w:proofErr w:type="spellEnd"/>
      <w:r w:rsidRPr="00B1089D">
        <w:t xml:space="preserve"> </w:t>
      </w:r>
      <w:proofErr w:type="spellStart"/>
      <w:r w:rsidRPr="00B1089D">
        <w:t>security</w:t>
      </w:r>
      <w:proofErr w:type="spellEnd"/>
      <w:r w:rsidRPr="00B1089D">
        <w:t>.</w:t>
      </w:r>
    </w:p>
    <w:p w14:paraId="2C4F89F2" w14:textId="77777777" w:rsidR="00FA457D" w:rsidRPr="00B1089D" w:rsidRDefault="00FA457D" w:rsidP="00E359E0">
      <w:pPr>
        <w:widowControl/>
        <w:jc w:val="both"/>
      </w:pPr>
    </w:p>
    <w:p w14:paraId="026BDABD" w14:textId="77777777" w:rsidR="00FA457D" w:rsidRPr="00B1089D" w:rsidRDefault="00FA457D" w:rsidP="00E359E0">
      <w:pPr>
        <w:widowControl/>
        <w:jc w:val="both"/>
      </w:pPr>
      <w:proofErr w:type="spellStart"/>
      <w:r w:rsidRPr="00B1089D">
        <w:t>Military</w:t>
      </w:r>
      <w:proofErr w:type="spellEnd"/>
      <w:r w:rsidRPr="00B1089D">
        <w:t xml:space="preserve"> </w:t>
      </w:r>
      <w:proofErr w:type="spellStart"/>
      <w:r w:rsidRPr="00B1089D">
        <w:t>Sector</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serves</w:t>
      </w:r>
      <w:proofErr w:type="spellEnd"/>
      <w:r w:rsidRPr="00B1089D">
        <w:t xml:space="preserve"> as </w:t>
      </w:r>
      <w:proofErr w:type="spellStart"/>
      <w:r w:rsidRPr="00B1089D">
        <w:t>the</w:t>
      </w:r>
      <w:proofErr w:type="spellEnd"/>
      <w:r w:rsidRPr="00B1089D">
        <w:t xml:space="preserve"> </w:t>
      </w:r>
      <w:proofErr w:type="spellStart"/>
      <w:r w:rsidRPr="00B1089D">
        <w:t>primary</w:t>
      </w:r>
      <w:proofErr w:type="spellEnd"/>
      <w:r w:rsidRPr="00B1089D">
        <w:t xml:space="preserve"> </w:t>
      </w:r>
      <w:proofErr w:type="spellStart"/>
      <w:r w:rsidRPr="00B1089D">
        <w:t>referent</w:t>
      </w:r>
      <w:proofErr w:type="spellEnd"/>
      <w:r w:rsidRPr="00B1089D">
        <w:t xml:space="preserve"> </w:t>
      </w:r>
      <w:proofErr w:type="spellStart"/>
      <w:r w:rsidRPr="00B1089D">
        <w:t>object</w:t>
      </w:r>
      <w:proofErr w:type="spellEnd"/>
      <w:r w:rsidRPr="00B1089D">
        <w:t xml:space="preserve"> in </w:t>
      </w:r>
      <w:proofErr w:type="spellStart"/>
      <w:r w:rsidRPr="00B1089D">
        <w:t>discussions</w:t>
      </w:r>
      <w:proofErr w:type="spellEnd"/>
      <w:r w:rsidRPr="00B1089D">
        <w:t xml:space="preserve"> of </w:t>
      </w:r>
      <w:proofErr w:type="spellStart"/>
      <w:r w:rsidRPr="00B1089D">
        <w:t>military</w:t>
      </w:r>
      <w:proofErr w:type="spellEnd"/>
      <w:r w:rsidRPr="00B1089D">
        <w:t xml:space="preserve"> </w:t>
      </w:r>
      <w:proofErr w:type="spellStart"/>
      <w:r w:rsidRPr="00B1089D">
        <w:t>security</w:t>
      </w:r>
      <w:proofErr w:type="spellEnd"/>
      <w:r w:rsidRPr="00B1089D">
        <w:t xml:space="preserve">, </w:t>
      </w:r>
      <w:proofErr w:type="spellStart"/>
      <w:r w:rsidRPr="00B1089D">
        <w:t>with</w:t>
      </w:r>
      <w:proofErr w:type="spellEnd"/>
      <w:r w:rsidRPr="00B1089D">
        <w:t xml:space="preserve"> </w:t>
      </w:r>
      <w:proofErr w:type="spellStart"/>
      <w:r w:rsidRPr="00B1089D">
        <w:t>ruling</w:t>
      </w:r>
      <w:proofErr w:type="spellEnd"/>
      <w:r w:rsidRPr="00B1089D">
        <w:t xml:space="preserve"> </w:t>
      </w:r>
      <w:proofErr w:type="spellStart"/>
      <w:r w:rsidRPr="00B1089D">
        <w:t>elites</w:t>
      </w:r>
      <w:proofErr w:type="spellEnd"/>
      <w:r w:rsidRPr="00B1089D">
        <w:t xml:space="preserve"> </w:t>
      </w:r>
      <w:proofErr w:type="spellStart"/>
      <w:r w:rsidRPr="00B1089D">
        <w:t>acting</w:t>
      </w:r>
      <w:proofErr w:type="spellEnd"/>
      <w:r w:rsidRPr="00B1089D">
        <w:t xml:space="preserve"> as </w:t>
      </w:r>
      <w:proofErr w:type="spellStart"/>
      <w:r w:rsidRPr="00B1089D">
        <w:t>the</w:t>
      </w:r>
      <w:proofErr w:type="spellEnd"/>
      <w:r w:rsidRPr="00B1089D">
        <w:t xml:space="preserve"> main </w:t>
      </w:r>
      <w:proofErr w:type="spellStart"/>
      <w:r w:rsidRPr="00B1089D">
        <w:t>securitising</w:t>
      </w:r>
      <w:proofErr w:type="spellEnd"/>
      <w:r w:rsidRPr="00B1089D">
        <w:t xml:space="preserve"> </w:t>
      </w:r>
      <w:proofErr w:type="spellStart"/>
      <w:r w:rsidRPr="00B1089D">
        <w:t>actors</w:t>
      </w:r>
      <w:proofErr w:type="spellEnd"/>
      <w:r w:rsidRPr="00B1089D">
        <w:t xml:space="preserve">. </w:t>
      </w:r>
      <w:proofErr w:type="spellStart"/>
      <w:r w:rsidRPr="00B1089D">
        <w:t>This</w:t>
      </w:r>
      <w:proofErr w:type="spellEnd"/>
      <w:r w:rsidRPr="00B1089D">
        <w:t xml:space="preserve"> </w:t>
      </w:r>
      <w:proofErr w:type="spellStart"/>
      <w:r w:rsidRPr="00B1089D">
        <w:t>dominance</w:t>
      </w:r>
      <w:proofErr w:type="spellEnd"/>
      <w:r w:rsidRPr="00B1089D">
        <w:t xml:space="preserve"> is </w:t>
      </w:r>
      <w:proofErr w:type="spellStart"/>
      <w:r w:rsidRPr="00B1089D">
        <w:t>mainly</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states</w:t>
      </w:r>
      <w:proofErr w:type="spellEnd"/>
      <w:r w:rsidRPr="00B1089D">
        <w:t xml:space="preserve">' </w:t>
      </w:r>
      <w:proofErr w:type="spellStart"/>
      <w:r w:rsidRPr="00B1089D">
        <w:t>significant</w:t>
      </w:r>
      <w:proofErr w:type="spellEnd"/>
      <w:r w:rsidRPr="00B1089D">
        <w:t xml:space="preserve"> </w:t>
      </w:r>
      <w:proofErr w:type="spellStart"/>
      <w:r w:rsidRPr="00B1089D">
        <w:t>military</w:t>
      </w:r>
      <w:proofErr w:type="spellEnd"/>
      <w:r w:rsidRPr="00B1089D">
        <w:t xml:space="preserve"> </w:t>
      </w:r>
      <w:proofErr w:type="spellStart"/>
      <w:r w:rsidRPr="00B1089D">
        <w:t>resources</w:t>
      </w:r>
      <w:proofErr w:type="spellEnd"/>
      <w:r w:rsidRPr="00B1089D">
        <w:t xml:space="preserve">, </w:t>
      </w:r>
      <w:proofErr w:type="spellStart"/>
      <w:r w:rsidRPr="00B1089D">
        <w:t>and</w:t>
      </w:r>
      <w:proofErr w:type="spellEnd"/>
      <w:r w:rsidRPr="00B1089D">
        <w:t xml:space="preserve"> </w:t>
      </w:r>
      <w:proofErr w:type="spellStart"/>
      <w:r w:rsidRPr="00B1089D">
        <w:t>these</w:t>
      </w:r>
      <w:proofErr w:type="spellEnd"/>
      <w:r w:rsidRPr="00B1089D">
        <w:t xml:space="preserve"> </w:t>
      </w:r>
      <w:proofErr w:type="spellStart"/>
      <w:r w:rsidRPr="00B1089D">
        <w:t>elites</w:t>
      </w:r>
      <w:proofErr w:type="spellEnd"/>
      <w:r w:rsidRPr="00B1089D">
        <w:t xml:space="preserve"> </w:t>
      </w:r>
      <w:proofErr w:type="spellStart"/>
      <w:r w:rsidRPr="00B1089D">
        <w:t>have</w:t>
      </w:r>
      <w:proofErr w:type="spellEnd"/>
      <w:r w:rsidRPr="00B1089D">
        <w:t xml:space="preserve"> </w:t>
      </w:r>
      <w:proofErr w:type="spellStart"/>
      <w:r w:rsidRPr="00B1089D">
        <w:t>established</w:t>
      </w:r>
      <w:proofErr w:type="spellEnd"/>
      <w:r w:rsidRPr="00B1089D">
        <w:t xml:space="preserve"> </w:t>
      </w:r>
      <w:proofErr w:type="spellStart"/>
      <w:r w:rsidRPr="00B1089D">
        <w:t>themselves</w:t>
      </w:r>
      <w:proofErr w:type="spellEnd"/>
      <w:r w:rsidRPr="00B1089D">
        <w:t xml:space="preserve"> as </w:t>
      </w:r>
      <w:proofErr w:type="spellStart"/>
      <w:r w:rsidRPr="00B1089D">
        <w:t>the</w:t>
      </w:r>
      <w:proofErr w:type="spellEnd"/>
      <w:r w:rsidRPr="00B1089D">
        <w:t xml:space="preserve"> </w:t>
      </w:r>
      <w:proofErr w:type="spellStart"/>
      <w:r w:rsidRPr="00B1089D">
        <w:t>legitimate</w:t>
      </w:r>
      <w:proofErr w:type="spellEnd"/>
      <w:r w:rsidRPr="00B1089D">
        <w:t xml:space="preserve"> </w:t>
      </w:r>
      <w:proofErr w:type="spellStart"/>
      <w:r w:rsidRPr="00B1089D">
        <w:t>authority</w:t>
      </w:r>
      <w:proofErr w:type="spellEnd"/>
      <w:r w:rsidRPr="00B1089D">
        <w:t xml:space="preserve">. </w:t>
      </w:r>
      <w:proofErr w:type="spellStart"/>
      <w:r w:rsidRPr="00B1089D">
        <w:t>The</w:t>
      </w:r>
      <w:proofErr w:type="spellEnd"/>
      <w:r w:rsidRPr="00B1089D">
        <w:t xml:space="preserve"> modern </w:t>
      </w:r>
      <w:proofErr w:type="spellStart"/>
      <w:r w:rsidRPr="00B1089D">
        <w:t>concept</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is </w:t>
      </w:r>
      <w:proofErr w:type="spellStart"/>
      <w:r w:rsidRPr="00B1089D">
        <w:t>grounded</w:t>
      </w:r>
      <w:proofErr w:type="spellEnd"/>
      <w:r w:rsidRPr="00B1089D">
        <w:t xml:space="preserve"> in </w:t>
      </w:r>
      <w:proofErr w:type="spellStart"/>
      <w:r w:rsidRPr="00B1089D">
        <w:t>its</w:t>
      </w:r>
      <w:proofErr w:type="spellEnd"/>
      <w:r w:rsidRPr="00B1089D">
        <w:t xml:space="preserve"> </w:t>
      </w:r>
      <w:proofErr w:type="spellStart"/>
      <w:r w:rsidRPr="00B1089D">
        <w:t>sovereignty</w:t>
      </w:r>
      <w:proofErr w:type="spellEnd"/>
      <w:r w:rsidRPr="00B1089D">
        <w:t xml:space="preserve"> </w:t>
      </w:r>
      <w:proofErr w:type="spellStart"/>
      <w:r w:rsidRPr="00B1089D">
        <w:t>over</w:t>
      </w:r>
      <w:proofErr w:type="spellEnd"/>
      <w:r w:rsidRPr="00B1089D">
        <w:t xml:space="preserve"> a </w:t>
      </w:r>
      <w:proofErr w:type="spellStart"/>
      <w:r w:rsidRPr="00B1089D">
        <w:t>specific</w:t>
      </w:r>
      <w:proofErr w:type="spellEnd"/>
      <w:r w:rsidRPr="00B1089D">
        <w:t xml:space="preserve"> </w:t>
      </w:r>
      <w:proofErr w:type="spellStart"/>
      <w:r w:rsidRPr="00B1089D">
        <w:t>territory</w:t>
      </w:r>
      <w:proofErr w:type="spellEnd"/>
      <w:r w:rsidRPr="00B1089D">
        <w:t xml:space="preserve"> </w:t>
      </w:r>
      <w:proofErr w:type="spellStart"/>
      <w:r w:rsidRPr="00B1089D">
        <w:t>and</w:t>
      </w:r>
      <w:proofErr w:type="spellEnd"/>
      <w:r w:rsidRPr="00B1089D">
        <w:t xml:space="preserve"> </w:t>
      </w:r>
      <w:proofErr w:type="spellStart"/>
      <w:r w:rsidRPr="00B1089D">
        <w:t>population</w:t>
      </w:r>
      <w:proofErr w:type="spellEnd"/>
      <w:r w:rsidRPr="00B1089D">
        <w:t xml:space="preserve">, </w:t>
      </w:r>
      <w:proofErr w:type="spellStart"/>
      <w:r w:rsidRPr="00B1089D">
        <w:t>underscoring</w:t>
      </w:r>
      <w:proofErr w:type="spellEnd"/>
      <w:r w:rsidRPr="00B1089D">
        <w:t xml:space="preserve"> </w:t>
      </w:r>
      <w:proofErr w:type="spellStart"/>
      <w:r w:rsidRPr="00B1089D">
        <w:t>its</w:t>
      </w:r>
      <w:proofErr w:type="spellEnd"/>
      <w:r w:rsidRPr="00B1089D">
        <w:t xml:space="preserve"> </w:t>
      </w:r>
      <w:proofErr w:type="spellStart"/>
      <w:r w:rsidRPr="00B1089D">
        <w:t>inherently</w:t>
      </w:r>
      <w:proofErr w:type="spellEnd"/>
      <w:r w:rsidRPr="00B1089D">
        <w:t xml:space="preserve"> </w:t>
      </w:r>
      <w:proofErr w:type="spellStart"/>
      <w:r w:rsidRPr="00B1089D">
        <w:t>territorial</w:t>
      </w:r>
      <w:proofErr w:type="spellEnd"/>
      <w:r w:rsidRPr="00B1089D">
        <w:t xml:space="preserve"> </w:t>
      </w:r>
      <w:proofErr w:type="spellStart"/>
      <w:r w:rsidRPr="00B1089D">
        <w:t>structure</w:t>
      </w:r>
      <w:proofErr w:type="spellEnd"/>
      <w:r w:rsidRPr="00B1089D">
        <w:t xml:space="preserve">. </w:t>
      </w:r>
      <w:proofErr w:type="spellStart"/>
      <w:r w:rsidRPr="00B1089D">
        <w:t>While</w:t>
      </w:r>
      <w:proofErr w:type="spellEnd"/>
      <w:r w:rsidRPr="00B1089D">
        <w:t xml:space="preserve"> </w:t>
      </w:r>
      <w:proofErr w:type="spellStart"/>
      <w:r w:rsidRPr="00B1089D">
        <w:t>instances</w:t>
      </w:r>
      <w:proofErr w:type="spellEnd"/>
      <w:r w:rsidRPr="00B1089D">
        <w:t xml:space="preserve"> of </w:t>
      </w:r>
      <w:proofErr w:type="spellStart"/>
      <w:r w:rsidRPr="00B1089D">
        <w:t>state</w:t>
      </w:r>
      <w:proofErr w:type="spellEnd"/>
      <w:r w:rsidRPr="00B1089D">
        <w:t xml:space="preserve"> </w:t>
      </w:r>
      <w:proofErr w:type="spellStart"/>
      <w:r w:rsidRPr="00B1089D">
        <w:t>failure</w:t>
      </w:r>
      <w:proofErr w:type="spellEnd"/>
      <w:r w:rsidRPr="00B1089D">
        <w:t xml:space="preserve"> can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periods</w:t>
      </w:r>
      <w:proofErr w:type="spellEnd"/>
      <w:r w:rsidRPr="00B1089D">
        <w:t xml:space="preserve"> of </w:t>
      </w:r>
      <w:proofErr w:type="spellStart"/>
      <w:r w:rsidRPr="00B1089D">
        <w:t>anarchy</w:t>
      </w:r>
      <w:proofErr w:type="spellEnd"/>
      <w:r w:rsidRPr="00B1089D">
        <w:t xml:space="preserve">, </w:t>
      </w:r>
      <w:proofErr w:type="spellStart"/>
      <w:r w:rsidRPr="00B1089D">
        <w:t>the</w:t>
      </w:r>
      <w:proofErr w:type="spellEnd"/>
      <w:r w:rsidRPr="00B1089D">
        <w:t xml:space="preserve"> </w:t>
      </w:r>
      <w:proofErr w:type="spellStart"/>
      <w:r w:rsidRPr="00B1089D">
        <w:t>traditional</w:t>
      </w:r>
      <w:proofErr w:type="spellEnd"/>
      <w:r w:rsidRPr="00B1089D">
        <w:t xml:space="preserve"> </w:t>
      </w:r>
      <w:proofErr w:type="spellStart"/>
      <w:r w:rsidRPr="00B1089D">
        <w:t>focus</w:t>
      </w:r>
      <w:proofErr w:type="spellEnd"/>
      <w:r w:rsidRPr="00B1089D">
        <w:t xml:space="preserve"> of </w:t>
      </w:r>
      <w:proofErr w:type="spellStart"/>
      <w:r w:rsidRPr="00B1089D">
        <w:t>military</w:t>
      </w:r>
      <w:proofErr w:type="spellEnd"/>
      <w:r w:rsidRPr="00B1089D">
        <w:t xml:space="preserve"> </w:t>
      </w:r>
      <w:proofErr w:type="spellStart"/>
      <w:r w:rsidRPr="00B1089D">
        <w:t>security</w:t>
      </w:r>
      <w:proofErr w:type="spellEnd"/>
      <w:r w:rsidRPr="00B1089D">
        <w:t xml:space="preserve"> </w:t>
      </w:r>
      <w:proofErr w:type="spellStart"/>
      <w:r w:rsidRPr="00B1089D">
        <w:t>remains</w:t>
      </w:r>
      <w:proofErr w:type="spellEnd"/>
      <w:r w:rsidRPr="00B1089D">
        <w:t xml:space="preserve"> on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However</w:t>
      </w:r>
      <w:proofErr w:type="spellEnd"/>
      <w:r w:rsidRPr="00B1089D">
        <w:t xml:space="preserve">, </w:t>
      </w:r>
      <w:proofErr w:type="spellStart"/>
      <w:r w:rsidRPr="00B1089D">
        <w:t>other</w:t>
      </w:r>
      <w:proofErr w:type="spellEnd"/>
      <w:r w:rsidRPr="00B1089D">
        <w:t xml:space="preserve"> </w:t>
      </w:r>
      <w:proofErr w:type="spellStart"/>
      <w:r w:rsidRPr="00B1089D">
        <w:t>referent</w:t>
      </w:r>
      <w:proofErr w:type="spellEnd"/>
      <w:r w:rsidRPr="00B1089D">
        <w:t xml:space="preserve"> </w:t>
      </w:r>
      <w:proofErr w:type="spellStart"/>
      <w:r w:rsidRPr="00B1089D">
        <w:t>objects</w:t>
      </w:r>
      <w:proofErr w:type="spellEnd"/>
      <w:r w:rsidRPr="00B1089D">
        <w:t xml:space="preserve"> </w:t>
      </w:r>
      <w:proofErr w:type="spellStart"/>
      <w:r w:rsidRPr="00B1089D">
        <w:t>and</w:t>
      </w:r>
      <w:proofErr w:type="spellEnd"/>
      <w:r w:rsidRPr="00B1089D">
        <w:t xml:space="preserve"> </w:t>
      </w:r>
      <w:proofErr w:type="spellStart"/>
      <w:r w:rsidRPr="00B1089D">
        <w:t>securitising</w:t>
      </w:r>
      <w:proofErr w:type="spellEnd"/>
      <w:r w:rsidRPr="00B1089D">
        <w:t xml:space="preserve"> </w:t>
      </w:r>
      <w:proofErr w:type="spellStart"/>
      <w:r w:rsidRPr="00B1089D">
        <w:t>actors</w:t>
      </w:r>
      <w:proofErr w:type="spellEnd"/>
      <w:r w:rsidRPr="00B1089D">
        <w:t xml:space="preserve"> </w:t>
      </w:r>
      <w:proofErr w:type="spellStart"/>
      <w:r w:rsidRPr="00B1089D">
        <w:t>also</w:t>
      </w:r>
      <w:proofErr w:type="spellEnd"/>
      <w:r w:rsidRPr="00B1089D">
        <w:t xml:space="preserve"> </w:t>
      </w:r>
      <w:proofErr w:type="spellStart"/>
      <w:r w:rsidRPr="00B1089D">
        <w:t>play</w:t>
      </w:r>
      <w:proofErr w:type="spellEnd"/>
      <w:r w:rsidRPr="00B1089D">
        <w:t xml:space="preserve"> a role.</w:t>
      </w:r>
    </w:p>
    <w:p w14:paraId="7EB3459F"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military</w:t>
      </w:r>
      <w:proofErr w:type="spellEnd"/>
      <w:r w:rsidRPr="00B1089D">
        <w:t xml:space="preserve"> </w:t>
      </w:r>
      <w:proofErr w:type="spellStart"/>
      <w:r w:rsidRPr="00B1089D">
        <w:t>security</w:t>
      </w:r>
      <w:proofErr w:type="spellEnd"/>
      <w:r w:rsidRPr="00B1089D">
        <w:t xml:space="preserve"> </w:t>
      </w:r>
      <w:proofErr w:type="spellStart"/>
      <w:r w:rsidRPr="00B1089D">
        <w:t>agenda</w:t>
      </w:r>
      <w:proofErr w:type="spellEnd"/>
      <w:r w:rsidRPr="00B1089D">
        <w:t xml:space="preserve"> </w:t>
      </w:r>
      <w:proofErr w:type="spellStart"/>
      <w:r w:rsidRPr="00B1089D">
        <w:t>mainly</w:t>
      </w:r>
      <w:proofErr w:type="spellEnd"/>
      <w:r w:rsidRPr="00B1089D">
        <w:t xml:space="preserve"> </w:t>
      </w:r>
      <w:proofErr w:type="spellStart"/>
      <w:r w:rsidRPr="00B1089D">
        <w:t>focuses</w:t>
      </w:r>
      <w:proofErr w:type="spellEnd"/>
      <w:r w:rsidRPr="00B1089D">
        <w:t xml:space="preserve"> on a </w:t>
      </w:r>
      <w:proofErr w:type="spellStart"/>
      <w:r w:rsidRPr="00B1089D">
        <w:t>government's</w:t>
      </w:r>
      <w:proofErr w:type="spellEnd"/>
      <w:r w:rsidRPr="00B1089D">
        <w:t xml:space="preserve"> </w:t>
      </w:r>
      <w:proofErr w:type="spellStart"/>
      <w:r w:rsidRPr="00B1089D">
        <w:t>capacity</w:t>
      </w:r>
      <w:proofErr w:type="spellEnd"/>
      <w:r w:rsidRPr="00B1089D">
        <w:t xml:space="preserve"> </w:t>
      </w:r>
      <w:proofErr w:type="spellStart"/>
      <w:r w:rsidRPr="00B1089D">
        <w:t>to</w:t>
      </w:r>
      <w:proofErr w:type="spellEnd"/>
      <w:r w:rsidRPr="00B1089D">
        <w:t xml:space="preserve"> </w:t>
      </w:r>
      <w:proofErr w:type="spellStart"/>
      <w:r w:rsidRPr="00B1089D">
        <w:t>protect</w:t>
      </w:r>
      <w:proofErr w:type="spellEnd"/>
      <w:r w:rsidRPr="00B1089D">
        <w:t xml:space="preserve"> </w:t>
      </w:r>
      <w:proofErr w:type="spellStart"/>
      <w:r w:rsidRPr="00B1089D">
        <w:t>against</w:t>
      </w:r>
      <w:proofErr w:type="spellEnd"/>
      <w:r w:rsidRPr="00B1089D">
        <w:t xml:space="preserve"> </w:t>
      </w:r>
      <w:proofErr w:type="spellStart"/>
      <w:r w:rsidRPr="00B1089D">
        <w:t>military</w:t>
      </w:r>
      <w:proofErr w:type="spellEnd"/>
      <w:r w:rsidRPr="00B1089D">
        <w:t xml:space="preserve"> </w:t>
      </w:r>
      <w:proofErr w:type="spellStart"/>
      <w:r w:rsidRPr="00B1089D">
        <w:t>and</w:t>
      </w:r>
      <w:proofErr w:type="spellEnd"/>
      <w:r w:rsidRPr="00B1089D">
        <w:t xml:space="preserve"> </w:t>
      </w:r>
      <w:proofErr w:type="spellStart"/>
      <w:r w:rsidRPr="00B1089D">
        <w:t>non-military</w:t>
      </w:r>
      <w:proofErr w:type="spellEnd"/>
      <w:r w:rsidRPr="00B1089D">
        <w:t xml:space="preserve"> </w:t>
      </w:r>
      <w:proofErr w:type="spellStart"/>
      <w:r w:rsidRPr="00B1089D">
        <w:t>threats</w:t>
      </w:r>
      <w:proofErr w:type="spellEnd"/>
      <w:r w:rsidRPr="00B1089D">
        <w:t xml:space="preserve">. </w:t>
      </w:r>
      <w:proofErr w:type="spellStart"/>
      <w:r w:rsidRPr="00B1089D">
        <w:t>In</w:t>
      </w:r>
      <w:proofErr w:type="spellEnd"/>
      <w:r w:rsidRPr="00B1089D">
        <w:t xml:space="preserve"> </w:t>
      </w:r>
      <w:proofErr w:type="spellStart"/>
      <w:r w:rsidRPr="00B1089D">
        <w:t>some</w:t>
      </w:r>
      <w:proofErr w:type="spellEnd"/>
      <w:r w:rsidRPr="00B1089D">
        <w:t xml:space="preserve"> </w:t>
      </w:r>
      <w:proofErr w:type="spellStart"/>
      <w:r w:rsidRPr="00B1089D">
        <w:t>democracies</w:t>
      </w:r>
      <w:proofErr w:type="spellEnd"/>
      <w:r w:rsidRPr="00B1089D">
        <w:t xml:space="preserve">, </w:t>
      </w:r>
      <w:proofErr w:type="spellStart"/>
      <w:r w:rsidRPr="00B1089D">
        <w:t>the</w:t>
      </w:r>
      <w:proofErr w:type="spellEnd"/>
      <w:r w:rsidRPr="00B1089D">
        <w:t xml:space="preserve"> role of </w:t>
      </w:r>
      <w:proofErr w:type="spellStart"/>
      <w:r w:rsidRPr="00B1089D">
        <w:t>the</w:t>
      </w:r>
      <w:proofErr w:type="spellEnd"/>
      <w:r w:rsidRPr="00B1089D">
        <w:t xml:space="preserve"> </w:t>
      </w:r>
      <w:proofErr w:type="spellStart"/>
      <w:r w:rsidRPr="00B1089D">
        <w:t>armed</w:t>
      </w:r>
      <w:proofErr w:type="spellEnd"/>
      <w:r w:rsidRPr="00B1089D">
        <w:t xml:space="preserve"> </w:t>
      </w:r>
      <w:proofErr w:type="spellStart"/>
      <w:r w:rsidRPr="00B1089D">
        <w:t>forces</w:t>
      </w:r>
      <w:proofErr w:type="spellEnd"/>
      <w:r w:rsidRPr="00B1089D">
        <w:t xml:space="preserve"> has </w:t>
      </w:r>
      <w:proofErr w:type="spellStart"/>
      <w:r w:rsidRPr="00B1089D">
        <w:t>increasingly</w:t>
      </w:r>
      <w:proofErr w:type="spellEnd"/>
      <w:r w:rsidRPr="00B1089D">
        <w:t xml:space="preserve"> </w:t>
      </w:r>
      <w:proofErr w:type="spellStart"/>
      <w:r w:rsidRPr="00B1089D">
        <w:t>shifted</w:t>
      </w:r>
      <w:proofErr w:type="spellEnd"/>
      <w:r w:rsidRPr="00B1089D">
        <w:t xml:space="preserve"> </w:t>
      </w:r>
      <w:proofErr w:type="spellStart"/>
      <w:r w:rsidRPr="00B1089D">
        <w:t>towards</w:t>
      </w:r>
      <w:proofErr w:type="spellEnd"/>
      <w:r w:rsidRPr="00B1089D">
        <w:t xml:space="preserve"> </w:t>
      </w:r>
      <w:proofErr w:type="spellStart"/>
      <w:r w:rsidRPr="00B1089D">
        <w:t>state</w:t>
      </w:r>
      <w:proofErr w:type="spellEnd"/>
      <w:r w:rsidRPr="00B1089D">
        <w:t xml:space="preserve"> </w:t>
      </w:r>
      <w:proofErr w:type="spellStart"/>
      <w:r w:rsidRPr="00B1089D">
        <w:t>defence</w:t>
      </w:r>
      <w:proofErr w:type="spellEnd"/>
      <w:r w:rsidRPr="00B1089D">
        <w:t xml:space="preserve"> </w:t>
      </w:r>
      <w:proofErr w:type="spellStart"/>
      <w:r w:rsidRPr="00B1089D">
        <w:t>while</w:t>
      </w:r>
      <w:proofErr w:type="spellEnd"/>
      <w:r w:rsidRPr="00B1089D">
        <w:t xml:space="preserve"> </w:t>
      </w:r>
      <w:proofErr w:type="spellStart"/>
      <w:r w:rsidRPr="00B1089D">
        <w:t>also</w:t>
      </w:r>
      <w:proofErr w:type="spellEnd"/>
      <w:r w:rsidRPr="00B1089D">
        <w:t xml:space="preserve"> </w:t>
      </w:r>
      <w:proofErr w:type="spellStart"/>
      <w:r w:rsidRPr="00B1089D">
        <w:t>encompassing</w:t>
      </w:r>
      <w:proofErr w:type="spellEnd"/>
      <w:r w:rsidRPr="00B1089D">
        <w:t xml:space="preserve"> </w:t>
      </w:r>
      <w:proofErr w:type="spellStart"/>
      <w:r w:rsidRPr="00B1089D">
        <w:t>non-existential</w:t>
      </w:r>
      <w:proofErr w:type="spellEnd"/>
      <w:r w:rsidRPr="00B1089D">
        <w:t xml:space="preserve"> </w:t>
      </w:r>
      <w:proofErr w:type="spellStart"/>
      <w:r w:rsidRPr="00B1089D">
        <w:t>tasks</w:t>
      </w:r>
      <w:proofErr w:type="spellEnd"/>
      <w:r w:rsidRPr="00B1089D">
        <w:t xml:space="preserve"> </w:t>
      </w:r>
      <w:proofErr w:type="spellStart"/>
      <w:r w:rsidRPr="00B1089D">
        <w:t>like</w:t>
      </w:r>
      <w:proofErr w:type="spellEnd"/>
      <w:r w:rsidRPr="00B1089D">
        <w:t xml:space="preserve"> </w:t>
      </w:r>
      <w:proofErr w:type="spellStart"/>
      <w:r w:rsidRPr="00B1089D">
        <w:t>peacekeeping</w:t>
      </w:r>
      <w:proofErr w:type="spellEnd"/>
      <w:r w:rsidRPr="00B1089D">
        <w:t xml:space="preserve"> </w:t>
      </w:r>
      <w:proofErr w:type="spellStart"/>
      <w:r w:rsidRPr="00B1089D">
        <w:t>and</w:t>
      </w:r>
      <w:proofErr w:type="spellEnd"/>
      <w:r w:rsidRPr="00B1089D">
        <w:t xml:space="preserve"> </w:t>
      </w:r>
      <w:proofErr w:type="spellStart"/>
      <w:r w:rsidRPr="00B1089D">
        <w:t>humanitarian</w:t>
      </w:r>
      <w:proofErr w:type="spellEnd"/>
      <w:r w:rsidRPr="00B1089D">
        <w:t xml:space="preserve"> </w:t>
      </w:r>
      <w:proofErr w:type="spellStart"/>
      <w:r w:rsidRPr="00B1089D">
        <w:t>intervention</w:t>
      </w:r>
      <w:proofErr w:type="spellEnd"/>
      <w:r w:rsidRPr="00B1089D">
        <w:t xml:space="preserve"> </w:t>
      </w:r>
      <w:proofErr w:type="spellStart"/>
      <w:r w:rsidRPr="00B1089D">
        <w:t>missions</w:t>
      </w:r>
      <w:proofErr w:type="spellEnd"/>
      <w:r w:rsidRPr="00B1089D">
        <w:t xml:space="preserve">. </w:t>
      </w:r>
      <w:proofErr w:type="spellStart"/>
      <w:r w:rsidRPr="00B1089D">
        <w:t>Military</w:t>
      </w:r>
      <w:proofErr w:type="spellEnd"/>
      <w:r w:rsidRPr="00B1089D">
        <w:t xml:space="preserve"> </w:t>
      </w:r>
      <w:proofErr w:type="spellStart"/>
      <w:r w:rsidRPr="00B1089D">
        <w:t>threats</w:t>
      </w:r>
      <w:proofErr w:type="spellEnd"/>
      <w:r w:rsidRPr="00B1089D">
        <w:t xml:space="preserve"> </w:t>
      </w:r>
      <w:proofErr w:type="spellStart"/>
      <w:r w:rsidRPr="00B1089D">
        <w:t>remain</w:t>
      </w:r>
      <w:proofErr w:type="spellEnd"/>
      <w:r w:rsidRPr="00B1089D">
        <w:t xml:space="preserve"> a </w:t>
      </w:r>
      <w:proofErr w:type="spellStart"/>
      <w:r w:rsidRPr="00B1089D">
        <w:t>significant</w:t>
      </w:r>
      <w:proofErr w:type="spellEnd"/>
      <w:r w:rsidRPr="00B1089D">
        <w:t xml:space="preserve"> </w:t>
      </w:r>
      <w:proofErr w:type="spellStart"/>
      <w:r w:rsidRPr="00B1089D">
        <w:t>source</w:t>
      </w:r>
      <w:proofErr w:type="spellEnd"/>
      <w:r w:rsidRPr="00B1089D">
        <w:t xml:space="preserve"> of </w:t>
      </w:r>
      <w:proofErr w:type="spellStart"/>
      <w:r w:rsidRPr="00B1089D">
        <w:t>national</w:t>
      </w:r>
      <w:proofErr w:type="spellEnd"/>
      <w:r w:rsidRPr="00B1089D">
        <w:t xml:space="preserve"> </w:t>
      </w:r>
      <w:proofErr w:type="spellStart"/>
      <w:r w:rsidRPr="00B1089D">
        <w:t>security</w:t>
      </w:r>
      <w:proofErr w:type="spellEnd"/>
      <w:r w:rsidRPr="00B1089D">
        <w:t xml:space="preserve"> </w:t>
      </w:r>
      <w:proofErr w:type="spellStart"/>
      <w:r w:rsidRPr="00B1089D">
        <w:t>concerns</w:t>
      </w:r>
      <w:proofErr w:type="spellEnd"/>
      <w:r w:rsidRPr="00B1089D">
        <w:t xml:space="preserve">, </w:t>
      </w:r>
      <w:proofErr w:type="spellStart"/>
      <w:r w:rsidRPr="00B1089D">
        <w:t>impacting</w:t>
      </w:r>
      <w:proofErr w:type="spellEnd"/>
      <w:r w:rsidRPr="00B1089D">
        <w:t xml:space="preserve"> </w:t>
      </w:r>
      <w:proofErr w:type="spellStart"/>
      <w:r w:rsidRPr="00B1089D">
        <w:t>all</w:t>
      </w:r>
      <w:proofErr w:type="spellEnd"/>
      <w:r w:rsidRPr="00B1089D">
        <w:t xml:space="preserve"> </w:t>
      </w:r>
      <w:proofErr w:type="spellStart"/>
      <w:r w:rsidRPr="00B1089D">
        <w:t>levels</w:t>
      </w:r>
      <w:proofErr w:type="spellEnd"/>
      <w:r w:rsidRPr="00B1089D">
        <w:t xml:space="preserve"> of </w:t>
      </w:r>
      <w:proofErr w:type="spellStart"/>
      <w:r w:rsidRPr="00B1089D">
        <w:t>government</w:t>
      </w:r>
      <w:proofErr w:type="spellEnd"/>
      <w:r w:rsidRPr="00B1089D">
        <w:t xml:space="preserve">. </w:t>
      </w:r>
      <w:proofErr w:type="spellStart"/>
      <w:r w:rsidRPr="00B1089D">
        <w:t>Unlike</w:t>
      </w:r>
      <w:proofErr w:type="spellEnd"/>
      <w:r w:rsidRPr="00B1089D">
        <w:t xml:space="preserve"> </w:t>
      </w:r>
      <w:proofErr w:type="spellStart"/>
      <w:r w:rsidRPr="00B1089D">
        <w:t>other</w:t>
      </w:r>
      <w:proofErr w:type="spellEnd"/>
      <w:r w:rsidRPr="00B1089D">
        <w:t xml:space="preserve"> </w:t>
      </w:r>
      <w:proofErr w:type="spellStart"/>
      <w:r w:rsidRPr="00B1089D">
        <w:t>security</w:t>
      </w:r>
      <w:proofErr w:type="spellEnd"/>
      <w:r w:rsidRPr="00B1089D">
        <w:t xml:space="preserve"> </w:t>
      </w:r>
      <w:proofErr w:type="spellStart"/>
      <w:r w:rsidRPr="00B1089D">
        <w:t>sectors</w:t>
      </w:r>
      <w:proofErr w:type="spellEnd"/>
      <w:r w:rsidRPr="00B1089D">
        <w:t xml:space="preserve">, </w:t>
      </w:r>
      <w:proofErr w:type="spellStart"/>
      <w:r w:rsidRPr="00B1089D">
        <w:t>military</w:t>
      </w:r>
      <w:proofErr w:type="spellEnd"/>
      <w:r w:rsidRPr="00B1089D">
        <w:t xml:space="preserve"> </w:t>
      </w:r>
      <w:proofErr w:type="spellStart"/>
      <w:r w:rsidRPr="00B1089D">
        <w:t>risks</w:t>
      </w:r>
      <w:proofErr w:type="spellEnd"/>
      <w:r w:rsidRPr="00B1089D">
        <w:t xml:space="preserve"> </w:t>
      </w:r>
      <w:proofErr w:type="spellStart"/>
      <w:r w:rsidRPr="00B1089D">
        <w:t>involve</w:t>
      </w:r>
      <w:proofErr w:type="spellEnd"/>
      <w:r w:rsidRPr="00B1089D">
        <w:t xml:space="preserve"> </w:t>
      </w:r>
      <w:proofErr w:type="spellStart"/>
      <w:r w:rsidRPr="00B1089D">
        <w:t>the</w:t>
      </w:r>
      <w:proofErr w:type="spellEnd"/>
      <w:r w:rsidRPr="00B1089D">
        <w:t xml:space="preserve"> </w:t>
      </w:r>
      <w:proofErr w:type="spellStart"/>
      <w:r w:rsidRPr="00B1089D">
        <w:t>potential</w:t>
      </w:r>
      <w:proofErr w:type="spellEnd"/>
      <w:r w:rsidRPr="00B1089D">
        <w:t xml:space="preserve"> </w:t>
      </w:r>
      <w:proofErr w:type="spellStart"/>
      <w:r w:rsidRPr="00B1089D">
        <w:t>use</w:t>
      </w:r>
      <w:proofErr w:type="spellEnd"/>
      <w:r w:rsidRPr="00B1089D">
        <w:t xml:space="preserve"> of </w:t>
      </w:r>
      <w:proofErr w:type="spellStart"/>
      <w:r w:rsidRPr="00B1089D">
        <w:t>force</w:t>
      </w:r>
      <w:proofErr w:type="spellEnd"/>
      <w:r w:rsidRPr="00B1089D">
        <w:t xml:space="preserve">, </w:t>
      </w:r>
      <w:proofErr w:type="spellStart"/>
      <w:r w:rsidRPr="00B1089D">
        <w:t>which</w:t>
      </w:r>
      <w:proofErr w:type="spellEnd"/>
      <w:r w:rsidRPr="00B1089D">
        <w:t xml:space="preserve"> can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structural</w:t>
      </w:r>
      <w:proofErr w:type="spellEnd"/>
      <w:r w:rsidRPr="00B1089D">
        <w:t xml:space="preserve"> </w:t>
      </w:r>
      <w:proofErr w:type="spellStart"/>
      <w:r w:rsidRPr="00B1089D">
        <w:t>disintegration</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closure</w:t>
      </w:r>
      <w:proofErr w:type="spellEnd"/>
      <w:r w:rsidRPr="00B1089D">
        <w:t xml:space="preserve"> of </w:t>
      </w:r>
      <w:proofErr w:type="spellStart"/>
      <w:r w:rsidRPr="00B1089D">
        <w:t>diplomatic</w:t>
      </w:r>
      <w:proofErr w:type="spellEnd"/>
      <w:r w:rsidRPr="00B1089D">
        <w:t xml:space="preserve"> </w:t>
      </w:r>
      <w:proofErr w:type="spellStart"/>
      <w:r w:rsidRPr="00B1089D">
        <w:t>channels</w:t>
      </w:r>
      <w:proofErr w:type="spellEnd"/>
      <w:r w:rsidRPr="00B1089D">
        <w:t>.</w:t>
      </w:r>
    </w:p>
    <w:p w14:paraId="3E82D11C" w14:textId="77777777" w:rsidR="00FA457D" w:rsidRPr="00B1089D" w:rsidRDefault="00FA457D" w:rsidP="00E359E0">
      <w:pPr>
        <w:widowControl/>
        <w:jc w:val="both"/>
      </w:pPr>
    </w:p>
    <w:p w14:paraId="3B9D02C1" w14:textId="77777777" w:rsidR="00FA457D" w:rsidRPr="00D10870" w:rsidRDefault="00FA457D" w:rsidP="00E359E0">
      <w:pPr>
        <w:widowControl/>
        <w:jc w:val="both"/>
      </w:pPr>
      <w:proofErr w:type="spellStart"/>
      <w:r w:rsidRPr="00B1089D">
        <w:t>Societal</w:t>
      </w:r>
      <w:proofErr w:type="spellEnd"/>
      <w:r w:rsidRPr="00B1089D">
        <w:t xml:space="preserve"> </w:t>
      </w:r>
      <w:proofErr w:type="spellStart"/>
      <w:r w:rsidRPr="00B1089D">
        <w:t>Sector</w:t>
      </w:r>
      <w:proofErr w:type="spellEnd"/>
      <w:r w:rsidRPr="00B1089D">
        <w:t xml:space="preserve">: </w:t>
      </w:r>
      <w:proofErr w:type="spellStart"/>
      <w:r w:rsidRPr="00B1089D">
        <w:t>This</w:t>
      </w:r>
      <w:proofErr w:type="spellEnd"/>
      <w:r w:rsidRPr="00B1089D">
        <w:t xml:space="preserve"> </w:t>
      </w:r>
      <w:proofErr w:type="spellStart"/>
      <w:r w:rsidRPr="00B1089D">
        <w:t>sector</w:t>
      </w:r>
      <w:proofErr w:type="spellEnd"/>
      <w:r w:rsidRPr="00B1089D">
        <w:t xml:space="preserve"> of </w:t>
      </w:r>
      <w:proofErr w:type="spellStart"/>
      <w:r w:rsidRPr="00B1089D">
        <w:t>security</w:t>
      </w:r>
      <w:proofErr w:type="spellEnd"/>
      <w:r w:rsidRPr="00B1089D">
        <w:t xml:space="preserve"> </w:t>
      </w:r>
      <w:proofErr w:type="spellStart"/>
      <w:r w:rsidRPr="00B1089D">
        <w:t>focuses</w:t>
      </w:r>
      <w:proofErr w:type="spellEnd"/>
      <w:r w:rsidRPr="00B1089D">
        <w:t xml:space="preserve"> on </w:t>
      </w:r>
      <w:proofErr w:type="spellStart"/>
      <w:r w:rsidRPr="00B1089D">
        <w:t>the</w:t>
      </w:r>
      <w:proofErr w:type="spellEnd"/>
      <w:r w:rsidRPr="00B1089D">
        <w:t xml:space="preserve"> </w:t>
      </w:r>
      <w:proofErr w:type="spellStart"/>
      <w:r w:rsidRPr="00B1089D">
        <w:t>stability</w:t>
      </w:r>
      <w:proofErr w:type="spellEnd"/>
      <w:r w:rsidRPr="00B1089D">
        <w:t xml:space="preserve"> of </w:t>
      </w:r>
      <w:proofErr w:type="spellStart"/>
      <w:r w:rsidRPr="00B1089D">
        <w:t>state</w:t>
      </w:r>
      <w:proofErr w:type="spellEnd"/>
      <w:r w:rsidRPr="00B1089D">
        <w:t xml:space="preserve"> </w:t>
      </w:r>
      <w:proofErr w:type="spellStart"/>
      <w:r w:rsidRPr="00B1089D">
        <w:t>organisations</w:t>
      </w:r>
      <w:proofErr w:type="spellEnd"/>
      <w:r w:rsidRPr="00B1089D">
        <w:t xml:space="preserve">, </w:t>
      </w:r>
      <w:proofErr w:type="spellStart"/>
      <w:r w:rsidRPr="00B1089D">
        <w:t>government</w:t>
      </w:r>
      <w:proofErr w:type="spellEnd"/>
      <w:r w:rsidRPr="00B1089D">
        <w:t xml:space="preserve"> </w:t>
      </w:r>
      <w:proofErr w:type="spellStart"/>
      <w:r w:rsidRPr="00B1089D">
        <w:t>institutions</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ideologies</w:t>
      </w:r>
      <w:proofErr w:type="spellEnd"/>
      <w:r w:rsidRPr="00B1089D">
        <w:t xml:space="preserve"> </w:t>
      </w:r>
      <w:proofErr w:type="spellStart"/>
      <w:r w:rsidRPr="00B1089D">
        <w:t>that</w:t>
      </w:r>
      <w:proofErr w:type="spellEnd"/>
      <w:r w:rsidRPr="00B1089D">
        <w:t xml:space="preserve"> </w:t>
      </w:r>
      <w:proofErr w:type="spellStart"/>
      <w:r w:rsidRPr="00B1089D">
        <w:t>provide</w:t>
      </w:r>
      <w:proofErr w:type="spellEnd"/>
      <w:r w:rsidRPr="00B1089D">
        <w:t xml:space="preserve"> </w:t>
      </w:r>
      <w:proofErr w:type="spellStart"/>
      <w:r w:rsidRPr="00B1089D">
        <w:t>legitimacy</w:t>
      </w:r>
      <w:proofErr w:type="spellEnd"/>
      <w:r w:rsidRPr="00B1089D">
        <w:t xml:space="preserve">. A </w:t>
      </w:r>
      <w:proofErr w:type="spellStart"/>
      <w:r w:rsidRPr="00B1089D">
        <w:t>fundamental</w:t>
      </w:r>
      <w:proofErr w:type="spellEnd"/>
      <w:r w:rsidRPr="00B1089D">
        <w:t xml:space="preserve"> </w:t>
      </w:r>
      <w:proofErr w:type="spellStart"/>
      <w:r w:rsidRPr="00B1089D">
        <w:t>aspect</w:t>
      </w:r>
      <w:proofErr w:type="spellEnd"/>
      <w:r w:rsidRPr="00B1089D">
        <w:t xml:space="preserve"> of </w:t>
      </w:r>
      <w:proofErr w:type="spellStart"/>
      <w:r w:rsidRPr="00B1089D">
        <w:t>societal</w:t>
      </w:r>
      <w:proofErr w:type="spellEnd"/>
      <w:r w:rsidRPr="00B1089D">
        <w:t xml:space="preserve"> </w:t>
      </w:r>
      <w:proofErr w:type="spellStart"/>
      <w:r w:rsidRPr="00B1089D">
        <w:t>security</w:t>
      </w:r>
      <w:proofErr w:type="spellEnd"/>
      <w:r w:rsidRPr="00B1089D">
        <w:t xml:space="preserve"> is </w:t>
      </w:r>
      <w:proofErr w:type="spellStart"/>
      <w:r w:rsidRPr="00B1089D">
        <w:t>recognising</w:t>
      </w:r>
      <w:proofErr w:type="spellEnd"/>
      <w:r w:rsidRPr="00B1089D">
        <w:t xml:space="preserve"> </w:t>
      </w:r>
      <w:proofErr w:type="spellStart"/>
      <w:r w:rsidRPr="00B1089D">
        <w:t>individuals</w:t>
      </w:r>
      <w:proofErr w:type="spellEnd"/>
      <w:r w:rsidRPr="00B1089D">
        <w:t xml:space="preserve"> as </w:t>
      </w:r>
      <w:proofErr w:type="spellStart"/>
      <w:r w:rsidRPr="00B1089D">
        <w:t>members</w:t>
      </w:r>
      <w:proofErr w:type="spellEnd"/>
      <w:r w:rsidRPr="00B1089D">
        <w:t xml:space="preserve"> of </w:t>
      </w:r>
      <w:proofErr w:type="spellStart"/>
      <w:r w:rsidRPr="00B1089D">
        <w:t>communities</w:t>
      </w:r>
      <w:proofErr w:type="spellEnd"/>
      <w:r w:rsidRPr="00B1089D">
        <w:t xml:space="preserve">, as </w:t>
      </w:r>
      <w:proofErr w:type="spellStart"/>
      <w:r w:rsidRPr="00B1089D">
        <w:t>their</w:t>
      </w:r>
      <w:proofErr w:type="spellEnd"/>
      <w:r w:rsidRPr="00B1089D">
        <w:t xml:space="preserve"> </w:t>
      </w:r>
      <w:proofErr w:type="spellStart"/>
      <w:r w:rsidRPr="00B1089D">
        <w:t>identities</w:t>
      </w:r>
      <w:proofErr w:type="spellEnd"/>
      <w:r w:rsidRPr="00B1089D">
        <w:t xml:space="preserve"> </w:t>
      </w:r>
      <w:proofErr w:type="spellStart"/>
      <w:r w:rsidRPr="00B1089D">
        <w:t>are</w:t>
      </w:r>
      <w:proofErr w:type="spellEnd"/>
      <w:r w:rsidRPr="00B1089D">
        <w:t xml:space="preserve"> </w:t>
      </w:r>
      <w:proofErr w:type="spellStart"/>
      <w:r w:rsidRPr="00B1089D">
        <w:t>often</w:t>
      </w:r>
      <w:proofErr w:type="spellEnd"/>
      <w:r w:rsidRPr="00B1089D">
        <w:t xml:space="preserve"> </w:t>
      </w:r>
      <w:proofErr w:type="spellStart"/>
      <w:r w:rsidRPr="00B1089D">
        <w:t>tied</w:t>
      </w:r>
      <w:proofErr w:type="spellEnd"/>
      <w:r w:rsidRPr="00B1089D">
        <w:t xml:space="preserve"> </w:t>
      </w:r>
      <w:proofErr w:type="spellStart"/>
      <w:r w:rsidRPr="00B1089D">
        <w:t>to</w:t>
      </w:r>
      <w:proofErr w:type="spellEnd"/>
      <w:r w:rsidRPr="00B1089D">
        <w:t xml:space="preserve"> </w:t>
      </w:r>
      <w:proofErr w:type="spellStart"/>
      <w:r w:rsidRPr="00B1089D">
        <w:t>political</w:t>
      </w:r>
      <w:proofErr w:type="spellEnd"/>
      <w:r w:rsidRPr="00B1089D">
        <w:t xml:space="preserve"> </w:t>
      </w:r>
      <w:proofErr w:type="spellStart"/>
      <w:r w:rsidRPr="00B1089D">
        <w:t>groups</w:t>
      </w:r>
      <w:proofErr w:type="spellEnd"/>
      <w:r w:rsidRPr="00B1089D">
        <w:t xml:space="preserve"> </w:t>
      </w:r>
      <w:proofErr w:type="spellStart"/>
      <w:r w:rsidRPr="00B1089D">
        <w:t>engaged</w:t>
      </w:r>
      <w:proofErr w:type="spellEnd"/>
      <w:r w:rsidRPr="00B1089D">
        <w:t xml:space="preserve"> in </w:t>
      </w:r>
      <w:proofErr w:type="spellStart"/>
      <w:r w:rsidRPr="00B1089D">
        <w:t>governance</w:t>
      </w:r>
      <w:proofErr w:type="spellEnd"/>
      <w:r w:rsidRPr="00B1089D">
        <w:t xml:space="preserve">. </w:t>
      </w:r>
      <w:proofErr w:type="spellStart"/>
      <w:r w:rsidRPr="00B1089D">
        <w:t>In</w:t>
      </w:r>
      <w:proofErr w:type="spellEnd"/>
      <w:r w:rsidRPr="00B1089D">
        <w:t xml:space="preserve"> </w:t>
      </w:r>
      <w:proofErr w:type="spellStart"/>
      <w:r w:rsidRPr="00B1089D">
        <w:t>interstate</w:t>
      </w:r>
      <w:proofErr w:type="spellEnd"/>
      <w:r w:rsidRPr="00B1089D">
        <w:t xml:space="preserve"> </w:t>
      </w:r>
      <w:proofErr w:type="spellStart"/>
      <w:r w:rsidRPr="00B1089D">
        <w:t>relations</w:t>
      </w:r>
      <w:proofErr w:type="spellEnd"/>
      <w:r w:rsidRPr="00B1089D">
        <w:t xml:space="preserve">, </w:t>
      </w:r>
      <w:proofErr w:type="spellStart"/>
      <w:r w:rsidRPr="00B1089D">
        <w:t>external</w:t>
      </w:r>
      <w:proofErr w:type="spellEnd"/>
      <w:r w:rsidRPr="00B1089D">
        <w:t xml:space="preserve"> </w:t>
      </w:r>
      <w:proofErr w:type="spellStart"/>
      <w:r w:rsidRPr="00B1089D">
        <w:t>threats</w:t>
      </w:r>
      <w:proofErr w:type="spellEnd"/>
      <w:r w:rsidRPr="00B1089D">
        <w:t xml:space="preserve"> at </w:t>
      </w:r>
      <w:proofErr w:type="spellStart"/>
      <w:r w:rsidRPr="00B1089D">
        <w:t>the</w:t>
      </w:r>
      <w:proofErr w:type="spellEnd"/>
      <w:r w:rsidRPr="00B1089D">
        <w:t xml:space="preserve"> </w:t>
      </w:r>
      <w:proofErr w:type="spellStart"/>
      <w:r w:rsidRPr="00B1089D">
        <w:t>societal</w:t>
      </w:r>
      <w:proofErr w:type="spellEnd"/>
      <w:r w:rsidRPr="00B1089D">
        <w:t xml:space="preserve"> </w:t>
      </w:r>
      <w:proofErr w:type="spellStart"/>
      <w:r w:rsidRPr="00B1089D">
        <w:t>level</w:t>
      </w:r>
      <w:proofErr w:type="spellEnd"/>
      <w:r w:rsidRPr="00B1089D">
        <w:t xml:space="preserve"> can </w:t>
      </w:r>
      <w:proofErr w:type="spellStart"/>
      <w:r w:rsidRPr="00B1089D">
        <w:t>challenge</w:t>
      </w:r>
      <w:proofErr w:type="spellEnd"/>
      <w:r w:rsidRPr="00B1089D">
        <w:t xml:space="preserve"> </w:t>
      </w:r>
      <w:proofErr w:type="spellStart"/>
      <w:r w:rsidRPr="00B1089D">
        <w:t>national</w:t>
      </w:r>
      <w:proofErr w:type="spellEnd"/>
      <w:r w:rsidRPr="00B1089D">
        <w:t xml:space="preserve"> </w:t>
      </w:r>
      <w:proofErr w:type="spellStart"/>
      <w:r w:rsidRPr="00B1089D">
        <w:t>identity</w:t>
      </w:r>
      <w:proofErr w:type="spellEnd"/>
      <w:r w:rsidRPr="00B1089D">
        <w:t xml:space="preserve">, </w:t>
      </w:r>
      <w:proofErr w:type="spellStart"/>
      <w:r w:rsidRPr="00B1089D">
        <w:t>leading</w:t>
      </w:r>
      <w:proofErr w:type="spellEnd"/>
      <w:r w:rsidRPr="00B1089D">
        <w:t xml:space="preserve"> </w:t>
      </w:r>
      <w:proofErr w:type="spellStart"/>
      <w:r w:rsidRPr="00B1089D">
        <w:t>to</w:t>
      </w:r>
      <w:proofErr w:type="spellEnd"/>
      <w:r w:rsidRPr="00B1089D">
        <w:t xml:space="preserve"> </w:t>
      </w:r>
      <w:proofErr w:type="spellStart"/>
      <w:r w:rsidRPr="00B1089D">
        <w:t>potential</w:t>
      </w:r>
      <w:proofErr w:type="spellEnd"/>
      <w:r w:rsidRPr="00B1089D">
        <w:t xml:space="preserve"> </w:t>
      </w:r>
      <w:proofErr w:type="spellStart"/>
      <w:r w:rsidRPr="00B1089D">
        <w:t>political</w:t>
      </w:r>
      <w:proofErr w:type="spellEnd"/>
      <w:r w:rsidRPr="00B1089D">
        <w:t xml:space="preserve"> </w:t>
      </w:r>
      <w:proofErr w:type="spellStart"/>
      <w:r w:rsidRPr="00B1089D">
        <w:t>repercussions</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close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social</w:t>
      </w:r>
      <w:proofErr w:type="spellEnd"/>
      <w:r w:rsidRPr="00B1089D">
        <w:t xml:space="preserve"> </w:t>
      </w:r>
      <w:proofErr w:type="spellStart"/>
      <w:r w:rsidRPr="00B1089D">
        <w:t>conditions</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development</w:t>
      </w:r>
      <w:proofErr w:type="spellEnd"/>
      <w:r w:rsidRPr="00B1089D">
        <w:t xml:space="preserve"> of </w:t>
      </w:r>
      <w:proofErr w:type="spellStart"/>
      <w:r w:rsidRPr="00B1089D">
        <w:t>values</w:t>
      </w:r>
      <w:proofErr w:type="spellEnd"/>
      <w:r w:rsidRPr="00B1089D">
        <w:t xml:space="preserve">, </w:t>
      </w:r>
      <w:proofErr w:type="spellStart"/>
      <w:r w:rsidRPr="00B1089D">
        <w:t>traditions</w:t>
      </w:r>
      <w:proofErr w:type="spellEnd"/>
      <w:r w:rsidRPr="00B1089D">
        <w:t xml:space="preserve">, </w:t>
      </w:r>
      <w:proofErr w:type="spellStart"/>
      <w:r w:rsidRPr="00B1089D">
        <w:t>and</w:t>
      </w:r>
      <w:proofErr w:type="spellEnd"/>
      <w:r w:rsidRPr="00B1089D">
        <w:t xml:space="preserve"> </w:t>
      </w:r>
      <w:proofErr w:type="spellStart"/>
      <w:r w:rsidRPr="00B1089D">
        <w:t>societal</w:t>
      </w:r>
      <w:proofErr w:type="spellEnd"/>
      <w:r w:rsidRPr="00B1089D">
        <w:t xml:space="preserve"> </w:t>
      </w:r>
      <w:proofErr w:type="spellStart"/>
      <w:r w:rsidRPr="00B1089D">
        <w:t>norms</w:t>
      </w:r>
      <w:proofErr w:type="spellEnd"/>
      <w:r w:rsidRPr="00B1089D">
        <w:t>.</w:t>
      </w:r>
    </w:p>
    <w:p w14:paraId="117F68F4" w14:textId="77777777" w:rsidR="00FA457D" w:rsidRPr="00B1089D" w:rsidRDefault="00FA457D" w:rsidP="00E359E0">
      <w:pPr>
        <w:widowControl/>
        <w:jc w:val="both"/>
      </w:pPr>
    </w:p>
    <w:p w14:paraId="5FEA0D04" w14:textId="77777777" w:rsidR="00FA457D" w:rsidRPr="00B1089D" w:rsidRDefault="00FA457D" w:rsidP="00E359E0">
      <w:pPr>
        <w:widowControl/>
        <w:jc w:val="both"/>
      </w:pPr>
      <w:r w:rsidRPr="00B1089D">
        <w:t xml:space="preserve">Identity is a </w:t>
      </w:r>
      <w:proofErr w:type="spellStart"/>
      <w:r w:rsidRPr="00B1089D">
        <w:t>key</w:t>
      </w:r>
      <w:proofErr w:type="spellEnd"/>
      <w:r w:rsidRPr="00B1089D">
        <w:t xml:space="preserve"> </w:t>
      </w:r>
      <w:proofErr w:type="spellStart"/>
      <w:r w:rsidRPr="00B1089D">
        <w:t>concept</w:t>
      </w:r>
      <w:proofErr w:type="spellEnd"/>
      <w:r w:rsidRPr="00B1089D">
        <w:t xml:space="preserve"> in </w:t>
      </w:r>
      <w:proofErr w:type="spellStart"/>
      <w:r w:rsidRPr="00B1089D">
        <w:t>the</w:t>
      </w:r>
      <w:proofErr w:type="spellEnd"/>
      <w:r w:rsidRPr="00B1089D">
        <w:t xml:space="preserve"> </w:t>
      </w:r>
      <w:proofErr w:type="spellStart"/>
      <w:r w:rsidRPr="00B1089D">
        <w:t>societal</w:t>
      </w:r>
      <w:proofErr w:type="spellEnd"/>
      <w:r w:rsidRPr="00B1089D">
        <w:t xml:space="preserve"> </w:t>
      </w:r>
      <w:proofErr w:type="spellStart"/>
      <w:r w:rsidRPr="00B1089D">
        <w:t>sector</w:t>
      </w:r>
      <w:proofErr w:type="spellEnd"/>
      <w:r w:rsidRPr="00B1089D">
        <w:t xml:space="preserve">, </w:t>
      </w:r>
      <w:proofErr w:type="spellStart"/>
      <w:r w:rsidRPr="00B1089D">
        <w:t>where</w:t>
      </w:r>
      <w:proofErr w:type="spellEnd"/>
      <w:r w:rsidRPr="00B1089D">
        <w:t xml:space="preserve"> </w:t>
      </w:r>
      <w:proofErr w:type="spellStart"/>
      <w:r w:rsidRPr="00B1089D">
        <w:t>communities</w:t>
      </w:r>
      <w:proofErr w:type="spellEnd"/>
      <w:r w:rsidRPr="00B1089D">
        <w:t xml:space="preserve"> </w:t>
      </w:r>
      <w:proofErr w:type="spellStart"/>
      <w:r w:rsidRPr="00B1089D">
        <w:t>may</w:t>
      </w:r>
      <w:proofErr w:type="spellEnd"/>
      <w:r w:rsidRPr="00B1089D">
        <w:t xml:space="preserve"> </w:t>
      </w:r>
      <w:proofErr w:type="spellStart"/>
      <w:r w:rsidRPr="00B1089D">
        <w:t>experience</w:t>
      </w:r>
      <w:proofErr w:type="spellEnd"/>
      <w:r w:rsidRPr="00B1089D">
        <w:t xml:space="preserve"> </w:t>
      </w:r>
      <w:proofErr w:type="spellStart"/>
      <w:r w:rsidRPr="00B1089D">
        <w:t>insecurity</w:t>
      </w:r>
      <w:proofErr w:type="spellEnd"/>
      <w:r w:rsidRPr="00B1089D">
        <w:t xml:space="preserve"> </w:t>
      </w:r>
      <w:proofErr w:type="spellStart"/>
      <w:r w:rsidRPr="00B1089D">
        <w:t>if</w:t>
      </w:r>
      <w:proofErr w:type="spellEnd"/>
      <w:r w:rsidRPr="00B1089D">
        <w:t xml:space="preserve"> they </w:t>
      </w:r>
      <w:proofErr w:type="spellStart"/>
      <w:r w:rsidRPr="00B1089D">
        <w:t>perceive</w:t>
      </w:r>
      <w:proofErr w:type="spellEnd"/>
      <w:r w:rsidRPr="00B1089D">
        <w:t xml:space="preserve"> a </w:t>
      </w:r>
      <w:proofErr w:type="spellStart"/>
      <w:r w:rsidRPr="00B1089D">
        <w:t>threat</w:t>
      </w:r>
      <w:proofErr w:type="spellEnd"/>
      <w:r w:rsidRPr="00B1089D">
        <w:t xml:space="preserve"> </w:t>
      </w:r>
      <w:proofErr w:type="spellStart"/>
      <w:r w:rsidRPr="00B1089D">
        <w:t>to</w:t>
      </w:r>
      <w:proofErr w:type="spellEnd"/>
      <w:r w:rsidRPr="00B1089D">
        <w:t xml:space="preserve"> </w:t>
      </w:r>
      <w:proofErr w:type="spellStart"/>
      <w:r w:rsidRPr="00B1089D">
        <w:t>their</w:t>
      </w:r>
      <w:proofErr w:type="spellEnd"/>
      <w:r w:rsidRPr="00B1089D">
        <w:t xml:space="preserve"> </w:t>
      </w:r>
      <w:proofErr w:type="spellStart"/>
      <w:r w:rsidRPr="00B1089D">
        <w:t>existence</w:t>
      </w:r>
      <w:proofErr w:type="spellEnd"/>
      <w:r w:rsidRPr="00B1089D">
        <w:t xml:space="preserve">. </w:t>
      </w:r>
      <w:proofErr w:type="spellStart"/>
      <w:r w:rsidRPr="00B1089D">
        <w:t>Although</w:t>
      </w:r>
      <w:proofErr w:type="spellEnd"/>
      <w:r w:rsidRPr="00B1089D">
        <w:t xml:space="preserve"> </w:t>
      </w:r>
      <w:proofErr w:type="spellStart"/>
      <w:r w:rsidRPr="00B1089D">
        <w:t>distinct</w:t>
      </w:r>
      <w:proofErr w:type="spellEnd"/>
      <w:r w:rsidRPr="00B1089D">
        <w:t xml:space="preserve"> </w:t>
      </w:r>
      <w:proofErr w:type="spellStart"/>
      <w:r w:rsidRPr="00B1089D">
        <w:t>identity</w:t>
      </w:r>
      <w:proofErr w:type="spellEnd"/>
      <w:r w:rsidRPr="00B1089D">
        <w:t xml:space="preserve"> </w:t>
      </w:r>
      <w:proofErr w:type="spellStart"/>
      <w:r w:rsidRPr="00B1089D">
        <w:t>groups</w:t>
      </w:r>
      <w:proofErr w:type="spellEnd"/>
      <w:r w:rsidRPr="00B1089D">
        <w:t xml:space="preserve"> </w:t>
      </w:r>
      <w:proofErr w:type="spellStart"/>
      <w:r w:rsidRPr="00B1089D">
        <w:t>are</w:t>
      </w:r>
      <w:proofErr w:type="spellEnd"/>
      <w:r w:rsidRPr="00B1089D">
        <w:t xml:space="preserve"> </w:t>
      </w:r>
      <w:proofErr w:type="spellStart"/>
      <w:r w:rsidRPr="00B1089D">
        <w:t>vital</w:t>
      </w:r>
      <w:proofErr w:type="spellEnd"/>
      <w:r w:rsidRPr="00B1089D">
        <w:t xml:space="preserve"> </w:t>
      </w:r>
      <w:proofErr w:type="spellStart"/>
      <w:r w:rsidRPr="00B1089D">
        <w:t>to</w:t>
      </w:r>
      <w:proofErr w:type="spellEnd"/>
      <w:r w:rsidRPr="00B1089D">
        <w:t xml:space="preserve"> </w:t>
      </w:r>
      <w:proofErr w:type="spellStart"/>
      <w:r w:rsidRPr="00B1089D">
        <w:t>societal</w:t>
      </w:r>
      <w:proofErr w:type="spellEnd"/>
      <w:r w:rsidRPr="00B1089D">
        <w:t xml:space="preserve"> </w:t>
      </w:r>
      <w:proofErr w:type="spellStart"/>
      <w:r w:rsidRPr="00B1089D">
        <w:t>security</w:t>
      </w:r>
      <w:proofErr w:type="spellEnd"/>
      <w:r w:rsidRPr="00B1089D">
        <w:t xml:space="preserve">, </w:t>
      </w:r>
      <w:proofErr w:type="spellStart"/>
      <w:r w:rsidRPr="00B1089D">
        <w:t>their</w:t>
      </w:r>
      <w:proofErr w:type="spellEnd"/>
      <w:r w:rsidRPr="00B1089D">
        <w:t xml:space="preserve"> </w:t>
      </w:r>
      <w:proofErr w:type="spellStart"/>
      <w:r w:rsidRPr="00B1089D">
        <w:t>traits</w:t>
      </w:r>
      <w:proofErr w:type="spellEnd"/>
      <w:r w:rsidRPr="00B1089D">
        <w:t xml:space="preserve"> can </w:t>
      </w:r>
      <w:proofErr w:type="spellStart"/>
      <w:r w:rsidRPr="00B1089D">
        <w:t>differ</w:t>
      </w:r>
      <w:proofErr w:type="spellEnd"/>
      <w:r w:rsidRPr="00B1089D">
        <w:t xml:space="preserve"> </w:t>
      </w:r>
      <w:proofErr w:type="spellStart"/>
      <w:r w:rsidRPr="00B1089D">
        <w:t>significantly</w:t>
      </w:r>
      <w:proofErr w:type="spellEnd"/>
      <w:r w:rsidRPr="00B1089D">
        <w:t xml:space="preserve"> </w:t>
      </w:r>
      <w:proofErr w:type="spellStart"/>
      <w:r w:rsidRPr="00B1089D">
        <w:t>across</w:t>
      </w:r>
      <w:proofErr w:type="spellEnd"/>
      <w:r w:rsidRPr="00B1089D">
        <w:t xml:space="preserve"> </w:t>
      </w:r>
      <w:proofErr w:type="spellStart"/>
      <w:r w:rsidRPr="00B1089D">
        <w:t>various</w:t>
      </w:r>
      <w:proofErr w:type="spellEnd"/>
      <w:r w:rsidRPr="00B1089D">
        <w:t xml:space="preserve"> </w:t>
      </w:r>
      <w:proofErr w:type="spellStart"/>
      <w:r w:rsidRPr="00B1089D">
        <w:t>times</w:t>
      </w:r>
      <w:proofErr w:type="spellEnd"/>
      <w:r w:rsidRPr="00B1089D">
        <w:t xml:space="preserve"> </w:t>
      </w:r>
      <w:proofErr w:type="spellStart"/>
      <w:r w:rsidRPr="00B1089D">
        <w:t>and</w:t>
      </w:r>
      <w:proofErr w:type="spellEnd"/>
      <w:r w:rsidRPr="00B1089D">
        <w:t xml:space="preserve"> </w:t>
      </w:r>
      <w:proofErr w:type="spellStart"/>
      <w:r w:rsidRPr="00B1089D">
        <w:t>regions</w:t>
      </w:r>
      <w:proofErr w:type="spellEnd"/>
      <w:r w:rsidRPr="00B1089D">
        <w:t xml:space="preserve">. </w:t>
      </w:r>
      <w:proofErr w:type="spellStart"/>
      <w:r w:rsidRPr="00B1089D">
        <w:t>It</w:t>
      </w:r>
      <w:proofErr w:type="spellEnd"/>
      <w:r w:rsidRPr="00B1089D">
        <w:t xml:space="preserve"> is </w:t>
      </w:r>
      <w:proofErr w:type="spellStart"/>
      <w:r w:rsidRPr="00B1089D">
        <w:t>important</w:t>
      </w:r>
      <w:proofErr w:type="spellEnd"/>
      <w:r w:rsidRPr="00B1089D">
        <w:t xml:space="preserve"> </w:t>
      </w:r>
      <w:proofErr w:type="spellStart"/>
      <w:r w:rsidRPr="00B1089D">
        <w:t>to</w:t>
      </w:r>
      <w:proofErr w:type="spellEnd"/>
      <w:r w:rsidRPr="00B1089D">
        <w:t xml:space="preserve"> </w:t>
      </w:r>
      <w:proofErr w:type="spellStart"/>
      <w:r w:rsidRPr="00B1089D">
        <w:t>address</w:t>
      </w:r>
      <w:proofErr w:type="spellEnd"/>
      <w:r w:rsidRPr="00B1089D">
        <w:t xml:space="preserve"> two </w:t>
      </w:r>
      <w:proofErr w:type="spellStart"/>
      <w:r w:rsidRPr="00B1089D">
        <w:t>common</w:t>
      </w:r>
      <w:proofErr w:type="spellEnd"/>
      <w:r w:rsidRPr="00B1089D">
        <w:t xml:space="preserve"> </w:t>
      </w:r>
      <w:proofErr w:type="spellStart"/>
      <w:r w:rsidRPr="00B1089D">
        <w:t>misconceptions</w:t>
      </w:r>
      <w:proofErr w:type="spellEnd"/>
      <w:r w:rsidRPr="00B1089D">
        <w:t xml:space="preserve"> </w:t>
      </w:r>
      <w:proofErr w:type="spellStart"/>
      <w:r w:rsidRPr="00B1089D">
        <w:t>regarding</w:t>
      </w:r>
      <w:proofErr w:type="spellEnd"/>
      <w:r w:rsidRPr="00B1089D">
        <w:t xml:space="preserve"> </w:t>
      </w:r>
      <w:proofErr w:type="spellStart"/>
      <w:r w:rsidRPr="00B1089D">
        <w:t>societal</w:t>
      </w:r>
      <w:proofErr w:type="spellEnd"/>
      <w:r w:rsidRPr="00B1089D">
        <w:t xml:space="preserve"> </w:t>
      </w:r>
      <w:proofErr w:type="spellStart"/>
      <w:r w:rsidRPr="00B1089D">
        <w:t>security</w:t>
      </w:r>
      <w:proofErr w:type="spellEnd"/>
      <w:r w:rsidRPr="00B1089D">
        <w:t xml:space="preserve">. </w:t>
      </w:r>
      <w:proofErr w:type="spellStart"/>
      <w:r w:rsidRPr="00B1089D">
        <w:t>Firstly</w:t>
      </w:r>
      <w:proofErr w:type="spellEnd"/>
      <w:r w:rsidRPr="00B1089D">
        <w:t xml:space="preserve">, </w:t>
      </w:r>
      <w:proofErr w:type="spellStart"/>
      <w:r w:rsidRPr="00B1089D">
        <w:t>societal</w:t>
      </w:r>
      <w:proofErr w:type="spellEnd"/>
      <w:r w:rsidRPr="00B1089D">
        <w:t xml:space="preserve"> </w:t>
      </w:r>
      <w:proofErr w:type="spellStart"/>
      <w:r w:rsidRPr="00B1089D">
        <w:t>security</w:t>
      </w:r>
      <w:proofErr w:type="spellEnd"/>
      <w:r w:rsidRPr="00B1089D">
        <w:t xml:space="preserve"> </w:t>
      </w:r>
      <w:proofErr w:type="spellStart"/>
      <w:r w:rsidRPr="00B1089D">
        <w:t>should</w:t>
      </w:r>
      <w:proofErr w:type="spellEnd"/>
      <w:r w:rsidRPr="00B1089D">
        <w:t xml:space="preserve"> not be </w:t>
      </w:r>
      <w:proofErr w:type="spellStart"/>
      <w:r w:rsidRPr="00B1089D">
        <w:t>conflated</w:t>
      </w:r>
      <w:proofErr w:type="spellEnd"/>
      <w:r w:rsidRPr="00B1089D">
        <w:t xml:space="preserve"> </w:t>
      </w:r>
      <w:proofErr w:type="spellStart"/>
      <w:r w:rsidRPr="00B1089D">
        <w:t>with</w:t>
      </w:r>
      <w:proofErr w:type="spellEnd"/>
      <w:r w:rsidRPr="00B1089D">
        <w:t xml:space="preserve"> </w:t>
      </w:r>
      <w:proofErr w:type="spellStart"/>
      <w:r w:rsidRPr="00B1089D">
        <w:t>social</w:t>
      </w:r>
      <w:proofErr w:type="spellEnd"/>
      <w:r w:rsidRPr="00B1089D">
        <w:t xml:space="preserve"> </w:t>
      </w:r>
      <w:proofErr w:type="spellStart"/>
      <w:r w:rsidRPr="00B1089D">
        <w:t>security</w:t>
      </w:r>
      <w:proofErr w:type="spellEnd"/>
      <w:r w:rsidRPr="00B1089D">
        <w:t xml:space="preserve">; </w:t>
      </w:r>
      <w:proofErr w:type="spellStart"/>
      <w:r w:rsidRPr="00B1089D">
        <w:t>the</w:t>
      </w:r>
      <w:proofErr w:type="spellEnd"/>
      <w:r w:rsidRPr="00B1089D">
        <w:t xml:space="preserve"> </w:t>
      </w:r>
      <w:proofErr w:type="spellStart"/>
      <w:r w:rsidRPr="00B1089D">
        <w:t>latter</w:t>
      </w:r>
      <w:proofErr w:type="spellEnd"/>
      <w:r w:rsidRPr="00B1089D">
        <w:t xml:space="preserve"> </w:t>
      </w:r>
      <w:proofErr w:type="spellStart"/>
      <w:r w:rsidRPr="00B1089D">
        <w:t>primarily</w:t>
      </w:r>
      <w:proofErr w:type="spellEnd"/>
      <w:r w:rsidRPr="00B1089D">
        <w:t xml:space="preserve"> </w:t>
      </w:r>
      <w:proofErr w:type="spellStart"/>
      <w:r w:rsidRPr="00B1089D">
        <w:t>focuses</w:t>
      </w:r>
      <w:proofErr w:type="spellEnd"/>
      <w:r w:rsidRPr="00B1089D">
        <w:t xml:space="preserve"> on </w:t>
      </w:r>
      <w:proofErr w:type="spellStart"/>
      <w:r w:rsidRPr="00B1089D">
        <w:t>individuals</w:t>
      </w:r>
      <w:proofErr w:type="spellEnd"/>
      <w:r w:rsidRPr="00B1089D">
        <w:t xml:space="preserve"> </w:t>
      </w:r>
      <w:proofErr w:type="spellStart"/>
      <w:r w:rsidRPr="00B1089D">
        <w:t>and</w:t>
      </w:r>
      <w:proofErr w:type="spellEnd"/>
      <w:r w:rsidRPr="00B1089D">
        <w:t xml:space="preserve"> is </w:t>
      </w:r>
      <w:proofErr w:type="spellStart"/>
      <w:r w:rsidRPr="00B1089D">
        <w:t>mainly</w:t>
      </w:r>
      <w:proofErr w:type="spellEnd"/>
      <w:r w:rsidRPr="00B1089D">
        <w:t xml:space="preserve"> </w:t>
      </w:r>
      <w:proofErr w:type="spellStart"/>
      <w:r w:rsidRPr="00B1089D">
        <w:t>economic</w:t>
      </w:r>
      <w:proofErr w:type="spellEnd"/>
      <w:r w:rsidRPr="00B1089D">
        <w:t xml:space="preserve">, </w:t>
      </w:r>
      <w:proofErr w:type="spellStart"/>
      <w:r w:rsidRPr="00B1089D">
        <w:t>whereas</w:t>
      </w:r>
      <w:proofErr w:type="spellEnd"/>
      <w:r w:rsidRPr="00B1089D">
        <w:t xml:space="preserve"> </w:t>
      </w:r>
      <w:proofErr w:type="spellStart"/>
      <w:r w:rsidRPr="00B1089D">
        <w:t>societal</w:t>
      </w:r>
      <w:proofErr w:type="spellEnd"/>
      <w:r w:rsidRPr="00B1089D">
        <w:t xml:space="preserve"> </w:t>
      </w:r>
      <w:proofErr w:type="spellStart"/>
      <w:r w:rsidRPr="00B1089D">
        <w:t>security</w:t>
      </w:r>
      <w:proofErr w:type="spellEnd"/>
      <w:r w:rsidRPr="00B1089D">
        <w:t xml:space="preserve"> </w:t>
      </w:r>
      <w:proofErr w:type="spellStart"/>
      <w:r w:rsidRPr="00B1089D">
        <w:t>centres</w:t>
      </w:r>
      <w:proofErr w:type="spellEnd"/>
      <w:r w:rsidRPr="00B1089D">
        <w:t xml:space="preserve"> on </w:t>
      </w:r>
      <w:proofErr w:type="spellStart"/>
      <w:r w:rsidRPr="00B1089D">
        <w:t>collective</w:t>
      </w:r>
      <w:proofErr w:type="spellEnd"/>
      <w:r w:rsidRPr="00B1089D">
        <w:t xml:space="preserve"> </w:t>
      </w:r>
      <w:proofErr w:type="spellStart"/>
      <w:r w:rsidRPr="00B1089D">
        <w:t>identities</w:t>
      </w:r>
      <w:proofErr w:type="spellEnd"/>
      <w:r w:rsidRPr="00B1089D">
        <w:t xml:space="preserve">. </w:t>
      </w:r>
      <w:proofErr w:type="spellStart"/>
      <w:r w:rsidRPr="00B1089D">
        <w:t>Secondly</w:t>
      </w:r>
      <w:proofErr w:type="spellEnd"/>
      <w:r w:rsidRPr="00B1089D">
        <w:t xml:space="preserve">, </w:t>
      </w:r>
      <w:proofErr w:type="spellStart"/>
      <w:r w:rsidRPr="00B1089D">
        <w:t>the</w:t>
      </w:r>
      <w:proofErr w:type="spellEnd"/>
      <w:r w:rsidRPr="00B1089D">
        <w:t xml:space="preserve"> </w:t>
      </w:r>
      <w:proofErr w:type="spellStart"/>
      <w:r w:rsidRPr="00B1089D">
        <w:t>term</w:t>
      </w:r>
      <w:proofErr w:type="spellEnd"/>
      <w:r w:rsidRPr="00B1089D">
        <w:t xml:space="preserve"> "</w:t>
      </w:r>
      <w:proofErr w:type="spellStart"/>
      <w:r w:rsidRPr="00B1089D">
        <w:t>societal</w:t>
      </w:r>
      <w:proofErr w:type="spellEnd"/>
      <w:r w:rsidRPr="00B1089D">
        <w:t xml:space="preserve">" is </w:t>
      </w:r>
      <w:proofErr w:type="spellStart"/>
      <w:r w:rsidRPr="00B1089D">
        <w:t>sometimes</w:t>
      </w:r>
      <w:proofErr w:type="spellEnd"/>
      <w:r w:rsidRPr="00B1089D">
        <w:t xml:space="preserve"> </w:t>
      </w:r>
      <w:proofErr w:type="spellStart"/>
      <w:r w:rsidRPr="00B1089D">
        <w:t>used</w:t>
      </w:r>
      <w:proofErr w:type="spellEnd"/>
      <w:r w:rsidRPr="00B1089D">
        <w:t xml:space="preserve"> </w:t>
      </w:r>
      <w:proofErr w:type="spellStart"/>
      <w:r w:rsidRPr="00B1089D">
        <w:t>too</w:t>
      </w:r>
      <w:proofErr w:type="spellEnd"/>
      <w:r w:rsidRPr="00B1089D">
        <w:t xml:space="preserve"> </w:t>
      </w:r>
      <w:proofErr w:type="spellStart"/>
      <w:r w:rsidRPr="00B1089D">
        <w:t>broadly</w:t>
      </w:r>
      <w:proofErr w:type="spellEnd"/>
      <w:r w:rsidRPr="00B1089D">
        <w:t xml:space="preserve">, </w:t>
      </w:r>
      <w:proofErr w:type="spellStart"/>
      <w:r w:rsidRPr="00B1089D">
        <w:t>potentially</w:t>
      </w:r>
      <w:proofErr w:type="spellEnd"/>
      <w:r w:rsidRPr="00B1089D">
        <w:t xml:space="preserve"> </w:t>
      </w:r>
      <w:proofErr w:type="spellStart"/>
      <w:r w:rsidRPr="00B1089D">
        <w:t>including</w:t>
      </w:r>
      <w:proofErr w:type="spellEnd"/>
      <w:r w:rsidRPr="00B1089D">
        <w:t xml:space="preserve"> </w:t>
      </w:r>
      <w:proofErr w:type="spellStart"/>
      <w:r w:rsidRPr="00B1089D">
        <w:t>groups</w:t>
      </w:r>
      <w:proofErr w:type="spellEnd"/>
      <w:r w:rsidRPr="00B1089D">
        <w:t xml:space="preserve"> </w:t>
      </w:r>
      <w:proofErr w:type="spellStart"/>
      <w:r w:rsidRPr="00B1089D">
        <w:t>that</w:t>
      </w:r>
      <w:proofErr w:type="spellEnd"/>
      <w:r w:rsidRPr="00B1089D">
        <w:t xml:space="preserve"> </w:t>
      </w:r>
      <w:proofErr w:type="spellStart"/>
      <w:r w:rsidRPr="00B1089D">
        <w:t>lack</w:t>
      </w:r>
      <w:proofErr w:type="spellEnd"/>
      <w:r w:rsidRPr="00B1089D">
        <w:t xml:space="preserve"> </w:t>
      </w:r>
      <w:proofErr w:type="spellStart"/>
      <w:r w:rsidRPr="00B1089D">
        <w:t>distinct</w:t>
      </w:r>
      <w:proofErr w:type="spellEnd"/>
      <w:r w:rsidRPr="00B1089D">
        <w:t xml:space="preserve"> </w:t>
      </w:r>
      <w:proofErr w:type="spellStart"/>
      <w:r w:rsidRPr="00B1089D">
        <w:t>identities</w:t>
      </w:r>
      <w:proofErr w:type="spellEnd"/>
      <w:r w:rsidRPr="00B1089D">
        <w:t xml:space="preserve">, </w:t>
      </w:r>
      <w:proofErr w:type="spellStart"/>
      <w:r w:rsidRPr="00B1089D">
        <w:t>which</w:t>
      </w:r>
      <w:proofErr w:type="spellEnd"/>
      <w:r w:rsidRPr="00B1089D">
        <w:t xml:space="preserve"> can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ambiguity</w:t>
      </w:r>
      <w:proofErr w:type="spellEnd"/>
      <w:r w:rsidRPr="00B1089D">
        <w:t xml:space="preserve"> in </w:t>
      </w:r>
      <w:proofErr w:type="spellStart"/>
      <w:r w:rsidRPr="00B1089D">
        <w:t>discussions</w:t>
      </w:r>
      <w:proofErr w:type="spellEnd"/>
      <w:r w:rsidRPr="00B1089D">
        <w:t xml:space="preserve"> </w:t>
      </w:r>
      <w:proofErr w:type="spellStart"/>
      <w:r w:rsidRPr="00B1089D">
        <w:t>about</w:t>
      </w:r>
      <w:proofErr w:type="spellEnd"/>
      <w:r w:rsidRPr="00B1089D">
        <w:t xml:space="preserve"> </w:t>
      </w:r>
      <w:proofErr w:type="spellStart"/>
      <w:r w:rsidRPr="00B1089D">
        <w:t>societal</w:t>
      </w:r>
      <w:proofErr w:type="spellEnd"/>
      <w:r w:rsidRPr="00B1089D">
        <w:t xml:space="preserve"> </w:t>
      </w:r>
      <w:proofErr w:type="spellStart"/>
      <w:r w:rsidRPr="00B1089D">
        <w:t>security</w:t>
      </w:r>
      <w:proofErr w:type="spellEnd"/>
      <w:r w:rsidRPr="00B1089D">
        <w:t>.</w:t>
      </w:r>
    </w:p>
    <w:p w14:paraId="31022B05" w14:textId="77777777" w:rsidR="00FA457D" w:rsidRPr="00D10870" w:rsidRDefault="00FA457D" w:rsidP="00E359E0">
      <w:pPr>
        <w:widowControl/>
        <w:jc w:val="both"/>
      </w:pPr>
      <w:proofErr w:type="spellStart"/>
      <w:r w:rsidRPr="00B1089D">
        <w:t>Environmental</w:t>
      </w:r>
      <w:proofErr w:type="spellEnd"/>
      <w:r w:rsidRPr="00B1089D">
        <w:t xml:space="preserve"> </w:t>
      </w:r>
      <w:proofErr w:type="spellStart"/>
      <w:r w:rsidRPr="00B1089D">
        <w:t>Sector</w:t>
      </w:r>
      <w:proofErr w:type="spellEnd"/>
      <w:r w:rsidRPr="00B1089D">
        <w:t xml:space="preserve">: </w:t>
      </w:r>
      <w:proofErr w:type="spellStart"/>
      <w:r w:rsidRPr="00B1089D">
        <w:t>Environmental</w:t>
      </w:r>
      <w:proofErr w:type="spellEnd"/>
      <w:r w:rsidRPr="00B1089D">
        <w:t xml:space="preserve"> </w:t>
      </w:r>
      <w:proofErr w:type="spellStart"/>
      <w:r w:rsidRPr="00B1089D">
        <w:t>disasters</w:t>
      </w:r>
      <w:proofErr w:type="spellEnd"/>
      <w:r w:rsidRPr="00B1089D">
        <w:t xml:space="preserve"> can </w:t>
      </w:r>
      <w:proofErr w:type="spellStart"/>
      <w:r w:rsidRPr="00B1089D">
        <w:t>damage</w:t>
      </w:r>
      <w:proofErr w:type="spellEnd"/>
      <w:r w:rsidRPr="00B1089D">
        <w:t xml:space="preserve"> a </w:t>
      </w:r>
      <w:proofErr w:type="spellStart"/>
      <w:r w:rsidRPr="00B1089D">
        <w:t>country</w:t>
      </w:r>
      <w:proofErr w:type="spellEnd"/>
      <w:r w:rsidRPr="00B1089D">
        <w:t xml:space="preserve"> </w:t>
      </w:r>
      <w:proofErr w:type="spellStart"/>
      <w:r w:rsidRPr="00B1089D">
        <w:t>comparable</w:t>
      </w:r>
      <w:proofErr w:type="spellEnd"/>
      <w:r w:rsidRPr="00B1089D">
        <w:t xml:space="preserve"> </w:t>
      </w:r>
      <w:proofErr w:type="spellStart"/>
      <w:r w:rsidRPr="00B1089D">
        <w:t>to</w:t>
      </w:r>
      <w:proofErr w:type="spellEnd"/>
      <w:r w:rsidRPr="00B1089D">
        <w:t xml:space="preserve"> </w:t>
      </w:r>
      <w:proofErr w:type="spellStart"/>
      <w:r w:rsidRPr="00B1089D">
        <w:t>warfare</w:t>
      </w:r>
      <w:proofErr w:type="spellEnd"/>
      <w:r w:rsidRPr="00B1089D">
        <w:t xml:space="preserve">. </w:t>
      </w:r>
      <w:proofErr w:type="spellStart"/>
      <w:r w:rsidRPr="00B1089D">
        <w:t>Escalating</w:t>
      </w:r>
      <w:proofErr w:type="spellEnd"/>
      <w:r w:rsidRPr="00B1089D">
        <w:t xml:space="preserve"> </w:t>
      </w:r>
      <w:proofErr w:type="spellStart"/>
      <w:r w:rsidRPr="00B1089D">
        <w:t>human</w:t>
      </w:r>
      <w:proofErr w:type="spellEnd"/>
      <w:r w:rsidRPr="00B1089D">
        <w:t xml:space="preserve"> </w:t>
      </w:r>
      <w:proofErr w:type="spellStart"/>
      <w:r w:rsidRPr="00B1089D">
        <w:t>intervention</w:t>
      </w:r>
      <w:proofErr w:type="spellEnd"/>
      <w:r w:rsidRPr="00B1089D">
        <w:t xml:space="preserve"> has </w:t>
      </w:r>
      <w:proofErr w:type="spellStart"/>
      <w:r w:rsidRPr="00B1089D">
        <w:t>brought</w:t>
      </w:r>
      <w:proofErr w:type="spellEnd"/>
      <w:r w:rsidRPr="00B1089D">
        <w:t xml:space="preserve"> </w:t>
      </w:r>
      <w:proofErr w:type="spellStart"/>
      <w:r w:rsidRPr="00B1089D">
        <w:t>environmental</w:t>
      </w:r>
      <w:proofErr w:type="spellEnd"/>
      <w:r w:rsidRPr="00B1089D">
        <w:t xml:space="preserve"> </w:t>
      </w:r>
      <w:proofErr w:type="spellStart"/>
      <w:r w:rsidRPr="00B1089D">
        <w:t>issues</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forefront</w:t>
      </w:r>
      <w:proofErr w:type="spellEnd"/>
      <w:r w:rsidRPr="00B1089D">
        <w:t xml:space="preserve">. </w:t>
      </w:r>
      <w:proofErr w:type="spellStart"/>
      <w:r w:rsidRPr="00B1089D">
        <w:t>Environmental</w:t>
      </w:r>
      <w:proofErr w:type="spellEnd"/>
      <w:r w:rsidRPr="00B1089D">
        <w:t xml:space="preserve"> </w:t>
      </w:r>
      <w:proofErr w:type="spellStart"/>
      <w:r w:rsidRPr="00B1089D">
        <w:t>security</w:t>
      </w:r>
      <w:proofErr w:type="spellEnd"/>
      <w:r w:rsidRPr="00B1089D">
        <w:t xml:space="preserve"> is </w:t>
      </w:r>
      <w:proofErr w:type="spellStart"/>
      <w:r w:rsidRPr="00B1089D">
        <w:t>now</w:t>
      </w:r>
      <w:proofErr w:type="spellEnd"/>
      <w:r w:rsidRPr="00B1089D">
        <w:t xml:space="preserve"> </w:t>
      </w:r>
      <w:proofErr w:type="spellStart"/>
      <w:r w:rsidRPr="00B1089D">
        <w:t>recognised</w:t>
      </w:r>
      <w:proofErr w:type="spellEnd"/>
      <w:r w:rsidRPr="00B1089D">
        <w:t xml:space="preserve"> as </w:t>
      </w:r>
      <w:proofErr w:type="spellStart"/>
      <w:r w:rsidRPr="00B1089D">
        <w:t>essential</w:t>
      </w:r>
      <w:proofErr w:type="spellEnd"/>
      <w:r w:rsidRPr="00B1089D">
        <w:t xml:space="preserve"> </w:t>
      </w:r>
      <w:proofErr w:type="spellStart"/>
      <w:r w:rsidRPr="00B1089D">
        <w:t>for</w:t>
      </w:r>
      <w:proofErr w:type="spellEnd"/>
      <w:r w:rsidRPr="00B1089D">
        <w:t xml:space="preserve"> </w:t>
      </w:r>
      <w:proofErr w:type="spellStart"/>
      <w:r w:rsidRPr="00B1089D">
        <w:t>preserving</w:t>
      </w:r>
      <w:proofErr w:type="spellEnd"/>
      <w:r w:rsidRPr="00B1089D">
        <w:t xml:space="preserve"> </w:t>
      </w:r>
      <w:proofErr w:type="spellStart"/>
      <w:r w:rsidRPr="00B1089D">
        <w:t>the</w:t>
      </w:r>
      <w:proofErr w:type="spellEnd"/>
      <w:r w:rsidRPr="00B1089D">
        <w:t xml:space="preserve"> </w:t>
      </w:r>
      <w:proofErr w:type="spellStart"/>
      <w:r w:rsidRPr="00B1089D">
        <w:t>environment</w:t>
      </w:r>
      <w:proofErr w:type="spellEnd"/>
      <w:r w:rsidRPr="00B1089D">
        <w:t xml:space="preserve">, </w:t>
      </w:r>
      <w:proofErr w:type="spellStart"/>
      <w:r w:rsidRPr="00B1089D">
        <w:t>and</w:t>
      </w:r>
      <w:proofErr w:type="spellEnd"/>
      <w:r w:rsidRPr="00B1089D">
        <w:t xml:space="preserve"> it </w:t>
      </w:r>
      <w:proofErr w:type="spellStart"/>
      <w:r w:rsidRPr="00B1089D">
        <w:t>serves</w:t>
      </w:r>
      <w:proofErr w:type="spellEnd"/>
      <w:r w:rsidRPr="00B1089D">
        <w:t xml:space="preserve"> as a </w:t>
      </w:r>
      <w:proofErr w:type="spellStart"/>
      <w:r w:rsidRPr="00B1089D">
        <w:t>critical</w:t>
      </w:r>
      <w:proofErr w:type="spellEnd"/>
      <w:r w:rsidRPr="00B1089D">
        <w:t xml:space="preserve"> life </w:t>
      </w:r>
      <w:proofErr w:type="spellStart"/>
      <w:r w:rsidRPr="00B1089D">
        <w:t>support</w:t>
      </w:r>
      <w:proofErr w:type="spellEnd"/>
      <w:r w:rsidRPr="00B1089D">
        <w:t xml:space="preserve"> </w:t>
      </w:r>
      <w:proofErr w:type="spellStart"/>
      <w:r w:rsidRPr="00B1089D">
        <w:t>system</w:t>
      </w:r>
      <w:proofErr w:type="spellEnd"/>
      <w:r w:rsidRPr="00B1089D">
        <w:t>.</w:t>
      </w:r>
    </w:p>
    <w:p w14:paraId="3B392D1E" w14:textId="77777777" w:rsidR="00FA457D" w:rsidRPr="00B1089D" w:rsidRDefault="00FA457D" w:rsidP="00E359E0">
      <w:pPr>
        <w:widowControl/>
        <w:jc w:val="both"/>
      </w:pPr>
    </w:p>
    <w:p w14:paraId="1B84AA9F"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environmental</w:t>
      </w:r>
      <w:proofErr w:type="spellEnd"/>
      <w:r w:rsidRPr="00B1089D">
        <w:t xml:space="preserve"> </w:t>
      </w:r>
      <w:proofErr w:type="spellStart"/>
      <w:r w:rsidRPr="00B1089D">
        <w:t>security</w:t>
      </w:r>
      <w:proofErr w:type="spellEnd"/>
      <w:r w:rsidRPr="00B1089D">
        <w:t xml:space="preserve"> </w:t>
      </w:r>
      <w:proofErr w:type="spellStart"/>
      <w:r w:rsidRPr="00B1089D">
        <w:t>traces</w:t>
      </w:r>
      <w:proofErr w:type="spellEnd"/>
      <w:r w:rsidRPr="00B1089D">
        <w:t xml:space="preserve"> </w:t>
      </w:r>
      <w:proofErr w:type="spellStart"/>
      <w:r w:rsidRPr="00B1089D">
        <w:t>back</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UN Conference on </w:t>
      </w:r>
      <w:proofErr w:type="spellStart"/>
      <w:r w:rsidRPr="00B1089D">
        <w:t>the</w:t>
      </w:r>
      <w:proofErr w:type="spellEnd"/>
      <w:r w:rsidRPr="00B1089D">
        <w:t xml:space="preserve"> Human Environment </w:t>
      </w:r>
      <w:proofErr w:type="spellStart"/>
      <w:r w:rsidRPr="00B1089D">
        <w:t>and</w:t>
      </w:r>
      <w:proofErr w:type="spellEnd"/>
      <w:r w:rsidRPr="00B1089D">
        <w:t xml:space="preserve"> has </w:t>
      </w:r>
      <w:proofErr w:type="spellStart"/>
      <w:r w:rsidRPr="00B1089D">
        <w:t>gained</w:t>
      </w:r>
      <w:proofErr w:type="spellEnd"/>
      <w:r w:rsidRPr="00B1089D">
        <w:t xml:space="preserve"> momentum </w:t>
      </w:r>
      <w:proofErr w:type="spellStart"/>
      <w:r w:rsidRPr="00B1089D">
        <w:t>over</w:t>
      </w:r>
      <w:proofErr w:type="spellEnd"/>
      <w:r w:rsidRPr="00B1089D">
        <w:t xml:space="preserve"> </w:t>
      </w:r>
      <w:proofErr w:type="spellStart"/>
      <w:r w:rsidRPr="00B1089D">
        <w:t>the</w:t>
      </w:r>
      <w:proofErr w:type="spellEnd"/>
      <w:r w:rsidRPr="00B1089D">
        <w:t xml:space="preserve"> </w:t>
      </w:r>
      <w:proofErr w:type="spellStart"/>
      <w:r w:rsidRPr="00B1089D">
        <w:t>past</w:t>
      </w:r>
      <w:proofErr w:type="spellEnd"/>
      <w:r w:rsidRPr="00B1089D">
        <w:t xml:space="preserve"> two </w:t>
      </w:r>
      <w:proofErr w:type="spellStart"/>
      <w:r w:rsidRPr="00B1089D">
        <w:t>decades</w:t>
      </w:r>
      <w:proofErr w:type="spellEnd"/>
      <w:r w:rsidRPr="00B1089D">
        <w:t xml:space="preserve">. </w:t>
      </w:r>
      <w:proofErr w:type="spellStart"/>
      <w:r w:rsidRPr="00B1089D">
        <w:t>This</w:t>
      </w:r>
      <w:proofErr w:type="spellEnd"/>
      <w:r w:rsidRPr="00B1089D">
        <w:t xml:space="preserve"> </w:t>
      </w:r>
      <w:proofErr w:type="spellStart"/>
      <w:r w:rsidRPr="00B1089D">
        <w:t>discussion</w:t>
      </w:r>
      <w:proofErr w:type="spellEnd"/>
      <w:r w:rsidRPr="00B1089D">
        <w:t xml:space="preserve"> </w:t>
      </w:r>
      <w:proofErr w:type="spellStart"/>
      <w:r w:rsidRPr="00B1089D">
        <w:t>encompasses</w:t>
      </w:r>
      <w:proofErr w:type="spellEnd"/>
      <w:r w:rsidRPr="00B1089D">
        <w:t xml:space="preserve"> </w:t>
      </w:r>
      <w:proofErr w:type="spellStart"/>
      <w:r w:rsidRPr="00B1089D">
        <w:t>both</w:t>
      </w:r>
      <w:proofErr w:type="spellEnd"/>
      <w:r w:rsidRPr="00B1089D">
        <w:t xml:space="preserve"> </w:t>
      </w:r>
      <w:proofErr w:type="spellStart"/>
      <w:r w:rsidRPr="00B1089D">
        <w:t>scientific</w:t>
      </w:r>
      <w:proofErr w:type="spellEnd"/>
      <w:r w:rsidRPr="00B1089D">
        <w:t xml:space="preserve"> </w:t>
      </w:r>
      <w:proofErr w:type="spellStart"/>
      <w:r w:rsidRPr="00B1089D">
        <w:t>and</w:t>
      </w:r>
      <w:proofErr w:type="spellEnd"/>
      <w:r w:rsidRPr="00B1089D">
        <w:t xml:space="preserve"> </w:t>
      </w:r>
      <w:proofErr w:type="spellStart"/>
      <w:r w:rsidRPr="00B1089D">
        <w:t>political</w:t>
      </w:r>
      <w:proofErr w:type="spellEnd"/>
      <w:r w:rsidRPr="00B1089D">
        <w:t xml:space="preserve"> </w:t>
      </w:r>
      <w:proofErr w:type="spellStart"/>
      <w:r w:rsidRPr="00B1089D">
        <w:t>agendas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environmental</w:t>
      </w:r>
      <w:proofErr w:type="spellEnd"/>
      <w:r w:rsidRPr="00B1089D">
        <w:t xml:space="preserve"> </w:t>
      </w:r>
      <w:proofErr w:type="spellStart"/>
      <w:r w:rsidRPr="00B1089D">
        <w:t>sector</w:t>
      </w:r>
      <w:proofErr w:type="spellEnd"/>
      <w:r w:rsidRPr="00B1089D">
        <w:t xml:space="preserve">. </w:t>
      </w:r>
      <w:proofErr w:type="spellStart"/>
      <w:r w:rsidRPr="00B1089D">
        <w:t>The</w:t>
      </w:r>
      <w:proofErr w:type="spellEnd"/>
      <w:r w:rsidRPr="00B1089D">
        <w:t xml:space="preserve"> </w:t>
      </w:r>
      <w:proofErr w:type="spellStart"/>
      <w:r w:rsidRPr="00B1089D">
        <w:t>scientific</w:t>
      </w:r>
      <w:proofErr w:type="spellEnd"/>
      <w:r w:rsidRPr="00B1089D">
        <w:t xml:space="preserve"> </w:t>
      </w:r>
      <w:proofErr w:type="spellStart"/>
      <w:r w:rsidRPr="00B1089D">
        <w:t>agenda</w:t>
      </w:r>
      <w:proofErr w:type="spellEnd"/>
      <w:r w:rsidRPr="00B1089D">
        <w:t xml:space="preserve"> is </w:t>
      </w:r>
      <w:proofErr w:type="spellStart"/>
      <w:r w:rsidRPr="00B1089D">
        <w:t>developed</w:t>
      </w:r>
      <w:proofErr w:type="spellEnd"/>
      <w:r w:rsidRPr="00B1089D">
        <w:t xml:space="preserve"> </w:t>
      </w:r>
      <w:proofErr w:type="spellStart"/>
      <w:r w:rsidRPr="00B1089D">
        <w:t>by</w:t>
      </w:r>
      <w:proofErr w:type="spellEnd"/>
      <w:r w:rsidRPr="00B1089D">
        <w:t xml:space="preserve"> </w:t>
      </w:r>
      <w:proofErr w:type="spellStart"/>
      <w:r w:rsidRPr="00B1089D">
        <w:t>scientists</w:t>
      </w:r>
      <w:proofErr w:type="spellEnd"/>
      <w:r w:rsidRPr="00B1089D">
        <w:t xml:space="preserve"> </w:t>
      </w:r>
      <w:proofErr w:type="spellStart"/>
      <w:r w:rsidRPr="00B1089D">
        <w:t>and</w:t>
      </w:r>
      <w:proofErr w:type="spellEnd"/>
      <w:r w:rsidRPr="00B1089D">
        <w:t xml:space="preserve"> </w:t>
      </w:r>
      <w:proofErr w:type="spellStart"/>
      <w:r w:rsidRPr="00B1089D">
        <w:t>research</w:t>
      </w:r>
      <w:proofErr w:type="spellEnd"/>
      <w:r w:rsidRPr="00B1089D">
        <w:t xml:space="preserve"> </w:t>
      </w:r>
      <w:proofErr w:type="spellStart"/>
      <w:r w:rsidRPr="00B1089D">
        <w:t>institutions</w:t>
      </w:r>
      <w:proofErr w:type="spellEnd"/>
      <w:r w:rsidRPr="00B1089D">
        <w:t xml:space="preserve"> </w:t>
      </w:r>
      <w:proofErr w:type="spellStart"/>
      <w:r w:rsidRPr="00B1089D">
        <w:t>independently</w:t>
      </w:r>
      <w:proofErr w:type="spellEnd"/>
      <w:r w:rsidRPr="00B1089D">
        <w:t xml:space="preserve"> of </w:t>
      </w:r>
      <w:proofErr w:type="spellStart"/>
      <w:r w:rsidRPr="00B1089D">
        <w:t>political</w:t>
      </w:r>
      <w:proofErr w:type="spellEnd"/>
      <w:r w:rsidRPr="00B1089D">
        <w:t xml:space="preserve"> </w:t>
      </w:r>
      <w:proofErr w:type="spellStart"/>
      <w:r w:rsidRPr="00B1089D">
        <w:t>influence</w:t>
      </w:r>
      <w:proofErr w:type="spellEnd"/>
      <w:r w:rsidRPr="00B1089D">
        <w:t xml:space="preserve">, </w:t>
      </w:r>
      <w:proofErr w:type="spellStart"/>
      <w:r w:rsidRPr="00B1089D">
        <w:t>focusing</w:t>
      </w:r>
      <w:proofErr w:type="spellEnd"/>
      <w:r w:rsidRPr="00B1089D">
        <w:t xml:space="preserve"> on </w:t>
      </w:r>
      <w:proofErr w:type="spellStart"/>
      <w:r w:rsidRPr="00B1089D">
        <w:t>environmental</w:t>
      </w:r>
      <w:proofErr w:type="spellEnd"/>
      <w:r w:rsidRPr="00B1089D">
        <w:t xml:space="preserve"> </w:t>
      </w:r>
      <w:proofErr w:type="spellStart"/>
      <w:r w:rsidRPr="00B1089D">
        <w:t>issues</w:t>
      </w:r>
      <w:proofErr w:type="spellEnd"/>
      <w:r w:rsidRPr="00B1089D">
        <w:t xml:space="preserve">. </w:t>
      </w:r>
      <w:proofErr w:type="spellStart"/>
      <w:r w:rsidRPr="00B1089D">
        <w:t>In</w:t>
      </w:r>
      <w:proofErr w:type="spellEnd"/>
      <w:r w:rsidRPr="00B1089D">
        <w:t xml:space="preserve"> </w:t>
      </w:r>
      <w:proofErr w:type="spellStart"/>
      <w:r w:rsidRPr="00B1089D">
        <w:t>contrast</w:t>
      </w:r>
      <w:proofErr w:type="spellEnd"/>
      <w:r w:rsidRPr="00B1089D">
        <w:t xml:space="preserve">, </w:t>
      </w:r>
      <w:proofErr w:type="spellStart"/>
      <w:r w:rsidRPr="00B1089D">
        <w:t>the</w:t>
      </w:r>
      <w:proofErr w:type="spellEnd"/>
      <w:r w:rsidRPr="00B1089D">
        <w:t xml:space="preserve"> </w:t>
      </w:r>
      <w:proofErr w:type="spellStart"/>
      <w:r w:rsidRPr="00B1089D">
        <w:t>political</w:t>
      </w:r>
      <w:proofErr w:type="spellEnd"/>
      <w:r w:rsidRPr="00B1089D">
        <w:t xml:space="preserve"> </w:t>
      </w:r>
      <w:proofErr w:type="spellStart"/>
      <w:r w:rsidRPr="00B1089D">
        <w:t>agenda</w:t>
      </w:r>
      <w:proofErr w:type="spellEnd"/>
      <w:r w:rsidRPr="00B1089D">
        <w:t xml:space="preserve"> </w:t>
      </w:r>
      <w:proofErr w:type="spellStart"/>
      <w:r w:rsidRPr="00B1089D">
        <w:t>engages</w:t>
      </w:r>
      <w:proofErr w:type="spellEnd"/>
      <w:r w:rsidRPr="00B1089D">
        <w:t xml:space="preserve"> in </w:t>
      </w:r>
      <w:proofErr w:type="spellStart"/>
      <w:r w:rsidRPr="00B1089D">
        <w:t>decision-making</w:t>
      </w:r>
      <w:proofErr w:type="spellEnd"/>
      <w:r w:rsidRPr="00B1089D">
        <w:t xml:space="preserve"> </w:t>
      </w:r>
      <w:proofErr w:type="spellStart"/>
      <w:r w:rsidRPr="00B1089D">
        <w:t>and</w:t>
      </w:r>
      <w:proofErr w:type="spellEnd"/>
      <w:r w:rsidRPr="00B1089D">
        <w:t xml:space="preserve"> </w:t>
      </w:r>
      <w:proofErr w:type="spellStart"/>
      <w:r w:rsidRPr="00B1089D">
        <w:t>policy</w:t>
      </w:r>
      <w:proofErr w:type="spellEnd"/>
      <w:r w:rsidRPr="00B1089D">
        <w:t xml:space="preserve"> </w:t>
      </w:r>
      <w:proofErr w:type="spellStart"/>
      <w:r w:rsidRPr="00B1089D">
        <w:t>formulation</w:t>
      </w:r>
      <w:proofErr w:type="spellEnd"/>
      <w:r w:rsidRPr="00B1089D">
        <w:t xml:space="preserve"> </w:t>
      </w:r>
      <w:proofErr w:type="spellStart"/>
      <w:r w:rsidRPr="00B1089D">
        <w:t>to</w:t>
      </w:r>
      <w:proofErr w:type="spellEnd"/>
      <w:r w:rsidRPr="00B1089D">
        <w:t xml:space="preserve"> </w:t>
      </w:r>
      <w:proofErr w:type="spellStart"/>
      <w:r w:rsidRPr="00B1089D">
        <w:t>tackle</w:t>
      </w:r>
      <w:proofErr w:type="spellEnd"/>
      <w:r w:rsidRPr="00B1089D">
        <w:t xml:space="preserve"> </w:t>
      </w:r>
      <w:proofErr w:type="spellStart"/>
      <w:r w:rsidRPr="00B1089D">
        <w:t>environmental</w:t>
      </w:r>
      <w:proofErr w:type="spellEnd"/>
      <w:r w:rsidRPr="00B1089D">
        <w:t xml:space="preserve"> </w:t>
      </w:r>
      <w:proofErr w:type="spellStart"/>
      <w:r w:rsidRPr="00B1089D">
        <w:t>concerns</w:t>
      </w:r>
      <w:proofErr w:type="spellEnd"/>
      <w:r w:rsidRPr="00B1089D">
        <w:t>.</w:t>
      </w:r>
    </w:p>
    <w:p w14:paraId="4B925D9E" w14:textId="77777777" w:rsidR="00FA457D" w:rsidRPr="00B1089D" w:rsidRDefault="00FA457D" w:rsidP="00E359E0">
      <w:pPr>
        <w:widowControl/>
        <w:jc w:val="both"/>
      </w:pPr>
    </w:p>
    <w:p w14:paraId="491E57A8" w14:textId="77777777" w:rsidR="00FA457D" w:rsidRPr="00D10870" w:rsidRDefault="00FA457D" w:rsidP="00E359E0">
      <w:pPr>
        <w:widowControl/>
        <w:jc w:val="both"/>
      </w:pPr>
      <w:proofErr w:type="spellStart"/>
      <w:r w:rsidRPr="00B1089D">
        <w:t>Economic</w:t>
      </w:r>
      <w:proofErr w:type="spellEnd"/>
      <w:r w:rsidRPr="00B1089D">
        <w:t xml:space="preserve"> </w:t>
      </w:r>
      <w:proofErr w:type="spellStart"/>
      <w:r w:rsidRPr="00B1089D">
        <w:t>Sector</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is </w:t>
      </w:r>
      <w:proofErr w:type="spellStart"/>
      <w:r w:rsidRPr="00B1089D">
        <w:t>best</w:t>
      </w:r>
      <w:proofErr w:type="spellEnd"/>
      <w:r w:rsidRPr="00B1089D">
        <w:t xml:space="preserve"> </w:t>
      </w:r>
      <w:proofErr w:type="spellStart"/>
      <w:r w:rsidRPr="00B1089D">
        <w:t>understood</w:t>
      </w:r>
      <w:proofErr w:type="spellEnd"/>
      <w:r w:rsidRPr="00B1089D">
        <w:t xml:space="preserve"> </w:t>
      </w:r>
      <w:proofErr w:type="spellStart"/>
      <w:r w:rsidRPr="00B1089D">
        <w:t>through</w:t>
      </w:r>
      <w:proofErr w:type="spellEnd"/>
      <w:r w:rsidRPr="00B1089D">
        <w:t xml:space="preserve"> </w:t>
      </w:r>
      <w:proofErr w:type="spellStart"/>
      <w:r w:rsidRPr="00B1089D">
        <w:t>basic</w:t>
      </w:r>
      <w:proofErr w:type="spellEnd"/>
      <w:r w:rsidRPr="00B1089D">
        <w:t xml:space="preserve"> </w:t>
      </w:r>
      <w:proofErr w:type="spellStart"/>
      <w:r w:rsidRPr="00B1089D">
        <w:t>human</w:t>
      </w:r>
      <w:proofErr w:type="spellEnd"/>
      <w:r w:rsidRPr="00B1089D">
        <w:t xml:space="preserve"> </w:t>
      </w:r>
      <w:proofErr w:type="spellStart"/>
      <w:r w:rsidRPr="00B1089D">
        <w:t>needs</w:t>
      </w:r>
      <w:proofErr w:type="spellEnd"/>
      <w:r w:rsidRPr="00B1089D">
        <w:t xml:space="preserve">. </w:t>
      </w:r>
      <w:proofErr w:type="spellStart"/>
      <w:r w:rsidRPr="00B1089D">
        <w:t>The</w:t>
      </w:r>
      <w:proofErr w:type="spellEnd"/>
      <w:r w:rsidRPr="00B1089D">
        <w:t xml:space="preserve"> </w:t>
      </w:r>
      <w:proofErr w:type="spellStart"/>
      <w:r w:rsidRPr="00B1089D">
        <w:t>availability</w:t>
      </w:r>
      <w:proofErr w:type="spellEnd"/>
      <w:r w:rsidRPr="00B1089D">
        <w:t xml:space="preserve"> of </w:t>
      </w:r>
      <w:proofErr w:type="spellStart"/>
      <w:r w:rsidRPr="00B1089D">
        <w:t>necessities</w:t>
      </w:r>
      <w:proofErr w:type="spellEnd"/>
      <w:r w:rsidRPr="00B1089D">
        <w:t xml:space="preserve"> </w:t>
      </w:r>
      <w:proofErr w:type="spellStart"/>
      <w:r w:rsidRPr="00B1089D">
        <w:t>impacts</w:t>
      </w:r>
      <w:proofErr w:type="spellEnd"/>
      <w:r w:rsidRPr="00B1089D">
        <w:t xml:space="preserve"> </w:t>
      </w:r>
      <w:proofErr w:type="spellStart"/>
      <w:r w:rsidRPr="00B1089D">
        <w:t>individuals</w:t>
      </w:r>
      <w:proofErr w:type="spellEnd"/>
      <w:r w:rsidRPr="00B1089D">
        <w:t xml:space="preserve">' </w:t>
      </w:r>
      <w:proofErr w:type="spellStart"/>
      <w:r w:rsidRPr="00B1089D">
        <w:t>lives</w:t>
      </w:r>
      <w:proofErr w:type="spellEnd"/>
      <w:r w:rsidRPr="00B1089D">
        <w:t xml:space="preserve">. </w:t>
      </w:r>
      <w:proofErr w:type="spellStart"/>
      <w:r w:rsidRPr="00B1089D">
        <w:t>From</w:t>
      </w:r>
      <w:proofErr w:type="spellEnd"/>
      <w:r w:rsidRPr="00B1089D">
        <w:t xml:space="preserve"> a </w:t>
      </w:r>
      <w:proofErr w:type="spellStart"/>
      <w:r w:rsidRPr="00B1089D">
        <w:t>different</w:t>
      </w:r>
      <w:proofErr w:type="spellEnd"/>
      <w:r w:rsidRPr="00B1089D">
        <w:t xml:space="preserve"> </w:t>
      </w:r>
      <w:proofErr w:type="spellStart"/>
      <w:r w:rsidRPr="00B1089D">
        <w:t>perspective</w:t>
      </w:r>
      <w:proofErr w:type="spellEnd"/>
      <w:r w:rsidRPr="00B1089D">
        <w:t xml:space="preserve">, </w:t>
      </w:r>
      <w:proofErr w:type="spellStart"/>
      <w:r w:rsidRPr="00B1089D">
        <w:t>economic</w:t>
      </w:r>
      <w:proofErr w:type="spellEnd"/>
      <w:r w:rsidRPr="00B1089D">
        <w:t xml:space="preserve"> </w:t>
      </w:r>
      <w:proofErr w:type="spellStart"/>
      <w:r w:rsidRPr="00B1089D">
        <w:t>securitisation</w:t>
      </w:r>
      <w:proofErr w:type="spellEnd"/>
      <w:r w:rsidRPr="00B1089D">
        <w:t xml:space="preserve"> </w:t>
      </w:r>
      <w:proofErr w:type="spellStart"/>
      <w:r w:rsidRPr="00B1089D">
        <w:t>may</w:t>
      </w:r>
      <w:proofErr w:type="spellEnd"/>
      <w:r w:rsidRPr="00B1089D">
        <w:t xml:space="preserve"> </w:t>
      </w:r>
      <w:proofErr w:type="spellStart"/>
      <w:r w:rsidRPr="00B1089D">
        <w:t>require</w:t>
      </w:r>
      <w:proofErr w:type="spellEnd"/>
      <w:r w:rsidRPr="00B1089D">
        <w:t xml:space="preserve"> </w:t>
      </w:r>
      <w:proofErr w:type="spellStart"/>
      <w:r w:rsidRPr="00B1089D">
        <w:t>existential</w:t>
      </w:r>
      <w:proofErr w:type="spellEnd"/>
      <w:r w:rsidRPr="00B1089D">
        <w:t xml:space="preserve"> </w:t>
      </w:r>
      <w:proofErr w:type="spellStart"/>
      <w:r w:rsidRPr="00B1089D">
        <w:t>features</w:t>
      </w:r>
      <w:proofErr w:type="spellEnd"/>
      <w:r w:rsidRPr="00B1089D">
        <w:t xml:space="preserve"> </w:t>
      </w:r>
      <w:proofErr w:type="spellStart"/>
      <w:r w:rsidRPr="00B1089D">
        <w:t>for</w:t>
      </w:r>
      <w:proofErr w:type="spellEnd"/>
      <w:r w:rsidRPr="00B1089D">
        <w:t xml:space="preserve"> </w:t>
      </w:r>
      <w:proofErr w:type="spellStart"/>
      <w:r w:rsidRPr="00B1089D">
        <w:t>firms</w:t>
      </w:r>
      <w:proofErr w:type="spellEnd"/>
      <w:r w:rsidRPr="00B1089D">
        <w:t xml:space="preserve">, </w:t>
      </w:r>
      <w:proofErr w:type="spellStart"/>
      <w:r w:rsidRPr="00B1089D">
        <w:t>especially</w:t>
      </w:r>
      <w:proofErr w:type="spellEnd"/>
      <w:r w:rsidRPr="00B1089D">
        <w:t xml:space="preserve"> </w:t>
      </w:r>
      <w:proofErr w:type="spellStart"/>
      <w:r w:rsidRPr="00B1089D">
        <w:t>when</w:t>
      </w:r>
      <w:proofErr w:type="spellEnd"/>
      <w:r w:rsidRPr="00B1089D">
        <w:t xml:space="preserve"> </w:t>
      </w:r>
      <w:proofErr w:type="spellStart"/>
      <w:r w:rsidRPr="00B1089D">
        <w:t>their</w:t>
      </w:r>
      <w:proofErr w:type="spellEnd"/>
      <w:r w:rsidRPr="00B1089D">
        <w:t xml:space="preserve"> </w:t>
      </w:r>
      <w:proofErr w:type="spellStart"/>
      <w:r w:rsidRPr="00B1089D">
        <w:t>failure</w:t>
      </w:r>
      <w:proofErr w:type="spellEnd"/>
      <w:r w:rsidRPr="00B1089D">
        <w:t xml:space="preserve"> </w:t>
      </w:r>
      <w:proofErr w:type="spellStart"/>
      <w:r w:rsidRPr="00B1089D">
        <w:t>threatens</w:t>
      </w:r>
      <w:proofErr w:type="spellEnd"/>
      <w:r w:rsidRPr="00B1089D">
        <w:t xml:space="preserve"> </w:t>
      </w:r>
      <w:proofErr w:type="spellStart"/>
      <w:r w:rsidRPr="00B1089D">
        <w:t>the</w:t>
      </w:r>
      <w:proofErr w:type="spellEnd"/>
      <w:r w:rsidRPr="00B1089D">
        <w:t xml:space="preserve"> </w:t>
      </w:r>
      <w:proofErr w:type="spellStart"/>
      <w:r w:rsidRPr="00B1089D">
        <w:t>economy</w:t>
      </w:r>
      <w:proofErr w:type="spellEnd"/>
      <w:r w:rsidRPr="00B1089D">
        <w:t>.</w:t>
      </w:r>
    </w:p>
    <w:p w14:paraId="2C159908" w14:textId="77777777" w:rsidR="00FA457D" w:rsidRPr="00B1089D" w:rsidRDefault="00FA457D" w:rsidP="00E359E0">
      <w:pPr>
        <w:widowControl/>
        <w:jc w:val="both"/>
      </w:pPr>
    </w:p>
    <w:p w14:paraId="539C88F1" w14:textId="77777777" w:rsidR="00FA457D" w:rsidRPr="00D10870" w:rsidRDefault="00FA457D" w:rsidP="00E359E0">
      <w:pPr>
        <w:widowControl/>
        <w:jc w:val="both"/>
      </w:pPr>
      <w:proofErr w:type="spellStart"/>
      <w:r w:rsidRPr="00B1089D">
        <w:t>States</w:t>
      </w:r>
      <w:proofErr w:type="spellEnd"/>
      <w:r w:rsidRPr="00B1089D">
        <w:t xml:space="preserve"> </w:t>
      </w:r>
      <w:proofErr w:type="spellStart"/>
      <w:r w:rsidRPr="00B1089D">
        <w:t>possess</w:t>
      </w:r>
      <w:proofErr w:type="spellEnd"/>
      <w:r w:rsidRPr="00B1089D">
        <w:t xml:space="preserve"> </w:t>
      </w:r>
      <w:proofErr w:type="spellStart"/>
      <w:r w:rsidRPr="00B1089D">
        <w:t>the</w:t>
      </w:r>
      <w:proofErr w:type="spellEnd"/>
      <w:r w:rsidRPr="00B1089D">
        <w:t xml:space="preserve"> </w:t>
      </w:r>
      <w:proofErr w:type="spellStart"/>
      <w:r w:rsidRPr="00B1089D">
        <w:t>characteristics</w:t>
      </w:r>
      <w:proofErr w:type="spellEnd"/>
      <w:r w:rsidRPr="00B1089D">
        <w:t xml:space="preserve"> </w:t>
      </w:r>
      <w:proofErr w:type="spellStart"/>
      <w:r w:rsidRPr="00B1089D">
        <w:t>necessary</w:t>
      </w:r>
      <w:proofErr w:type="spellEnd"/>
      <w:r w:rsidRPr="00B1089D">
        <w:t xml:space="preserve"> </w:t>
      </w:r>
      <w:proofErr w:type="spellStart"/>
      <w:r w:rsidRPr="00B1089D">
        <w:t>for</w:t>
      </w:r>
      <w:proofErr w:type="spellEnd"/>
      <w:r w:rsidRPr="00B1089D">
        <w:t xml:space="preserve"> </w:t>
      </w:r>
      <w:proofErr w:type="spellStart"/>
      <w:r w:rsidRPr="00B1089D">
        <w:t>securitisation</w:t>
      </w:r>
      <w:proofErr w:type="spellEnd"/>
      <w:r w:rsidRPr="00B1089D">
        <w:t xml:space="preserve">, </w:t>
      </w:r>
      <w:proofErr w:type="spellStart"/>
      <w:r w:rsidRPr="00B1089D">
        <w:t>rooted</w:t>
      </w:r>
      <w:proofErr w:type="spellEnd"/>
      <w:r w:rsidRPr="00B1089D">
        <w:t xml:space="preserve"> as </w:t>
      </w:r>
      <w:proofErr w:type="spellStart"/>
      <w:r w:rsidRPr="00B1089D">
        <w:t>enduring</w:t>
      </w:r>
      <w:proofErr w:type="spellEnd"/>
      <w:r w:rsidRPr="00B1089D">
        <w:t xml:space="preserve"> </w:t>
      </w:r>
      <w:proofErr w:type="spellStart"/>
      <w:r w:rsidRPr="00B1089D">
        <w:t>structures</w:t>
      </w:r>
      <w:proofErr w:type="spellEnd"/>
      <w:r w:rsidRPr="00B1089D">
        <w:t xml:space="preserve">. </w:t>
      </w:r>
      <w:proofErr w:type="spellStart"/>
      <w:r w:rsidRPr="00B1089D">
        <w:t>States</w:t>
      </w:r>
      <w:proofErr w:type="spellEnd"/>
      <w:r w:rsidRPr="00B1089D">
        <w:t xml:space="preserve"> </w:t>
      </w:r>
      <w:proofErr w:type="spellStart"/>
      <w:r w:rsidRPr="00B1089D">
        <w:t>cannot</w:t>
      </w:r>
      <w:proofErr w:type="spellEnd"/>
      <w:r w:rsidRPr="00B1089D">
        <w:t xml:space="preserve"> </w:t>
      </w:r>
      <w:proofErr w:type="spellStart"/>
      <w:r w:rsidRPr="00B1089D">
        <w:t>dissolve</w:t>
      </w:r>
      <w:proofErr w:type="spellEnd"/>
      <w:r w:rsidRPr="00B1089D">
        <w:t xml:space="preserve"> as </w:t>
      </w:r>
      <w:proofErr w:type="spellStart"/>
      <w:r w:rsidRPr="00B1089D">
        <w:t>economic</w:t>
      </w:r>
      <w:proofErr w:type="spellEnd"/>
      <w:r w:rsidRPr="00B1089D">
        <w:t xml:space="preserve"> </w:t>
      </w:r>
      <w:proofErr w:type="spellStart"/>
      <w:r w:rsidRPr="00B1089D">
        <w:t>players</w:t>
      </w:r>
      <w:proofErr w:type="spellEnd"/>
      <w:r w:rsidRPr="00B1089D">
        <w:t xml:space="preserve">; they </w:t>
      </w:r>
      <w:proofErr w:type="spellStart"/>
      <w:r w:rsidRPr="00B1089D">
        <w:t>must</w:t>
      </w:r>
      <w:proofErr w:type="spellEnd"/>
      <w:r w:rsidRPr="00B1089D">
        <w:t xml:space="preserve"> </w:t>
      </w:r>
      <w:proofErr w:type="spellStart"/>
      <w:r w:rsidRPr="00B1089D">
        <w:t>navigate</w:t>
      </w:r>
      <w:proofErr w:type="spellEnd"/>
      <w:r w:rsidRPr="00B1089D">
        <w:t xml:space="preserve"> </w:t>
      </w:r>
      <w:proofErr w:type="spellStart"/>
      <w:r w:rsidRPr="00B1089D">
        <w:t>the</w:t>
      </w:r>
      <w:proofErr w:type="spellEnd"/>
      <w:r w:rsidRPr="00B1089D">
        <w:t xml:space="preserve"> </w:t>
      </w:r>
      <w:proofErr w:type="spellStart"/>
      <w:r w:rsidRPr="00B1089D">
        <w:t>economic</w:t>
      </w:r>
      <w:proofErr w:type="spellEnd"/>
      <w:r w:rsidRPr="00B1089D">
        <w:t xml:space="preserve"> </w:t>
      </w:r>
      <w:proofErr w:type="spellStart"/>
      <w:r w:rsidRPr="00B1089D">
        <w:t>landscape</w:t>
      </w:r>
      <w:proofErr w:type="spellEnd"/>
      <w:r w:rsidRPr="00B1089D">
        <w:t xml:space="preserve"> </w:t>
      </w:r>
      <w:proofErr w:type="spellStart"/>
      <w:r w:rsidRPr="00B1089D">
        <w:t>even</w:t>
      </w:r>
      <w:proofErr w:type="spellEnd"/>
      <w:r w:rsidRPr="00B1089D">
        <w:t xml:space="preserve"> </w:t>
      </w:r>
      <w:proofErr w:type="spellStart"/>
      <w:r w:rsidRPr="00B1089D">
        <w:t>if</w:t>
      </w:r>
      <w:proofErr w:type="spellEnd"/>
      <w:r w:rsidRPr="00B1089D">
        <w:t xml:space="preserve"> they fail </w:t>
      </w:r>
      <w:proofErr w:type="spellStart"/>
      <w:r w:rsidRPr="00B1089D">
        <w:t>to</w:t>
      </w:r>
      <w:proofErr w:type="spellEnd"/>
      <w:r w:rsidRPr="00B1089D">
        <w:t xml:space="preserve"> </w:t>
      </w:r>
      <w:proofErr w:type="spellStart"/>
      <w:r w:rsidRPr="00B1089D">
        <w:t>secure</w:t>
      </w:r>
      <w:proofErr w:type="spellEnd"/>
      <w:r w:rsidRPr="00B1089D">
        <w:t xml:space="preserve"> a </w:t>
      </w:r>
      <w:proofErr w:type="spellStart"/>
      <w:r w:rsidRPr="00B1089D">
        <w:t>winning</w:t>
      </w:r>
      <w:proofErr w:type="spellEnd"/>
      <w:r w:rsidRPr="00B1089D">
        <w:t xml:space="preserve"> </w:t>
      </w:r>
      <w:proofErr w:type="spellStart"/>
      <w:r w:rsidRPr="00B1089D">
        <w:t>position</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for</w:t>
      </w:r>
      <w:proofErr w:type="spellEnd"/>
      <w:r w:rsidRPr="00B1089D">
        <w:t xml:space="preserve"> </w:t>
      </w:r>
      <w:proofErr w:type="spellStart"/>
      <w:r w:rsidRPr="00B1089D">
        <w:t>states</w:t>
      </w:r>
      <w:proofErr w:type="spellEnd"/>
      <w:r w:rsidRPr="00B1089D">
        <w:t xml:space="preserve"> </w:t>
      </w:r>
      <w:proofErr w:type="spellStart"/>
      <w:r w:rsidRPr="00B1089D">
        <w:t>involves</w:t>
      </w:r>
      <w:proofErr w:type="spellEnd"/>
      <w:r w:rsidRPr="00B1089D">
        <w:t xml:space="preserve"> </w:t>
      </w:r>
      <w:proofErr w:type="spellStart"/>
      <w:r w:rsidRPr="00B1089D">
        <w:t>securing</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and</w:t>
      </w:r>
      <w:proofErr w:type="spellEnd"/>
      <w:r w:rsidRPr="00B1089D">
        <w:t xml:space="preserve"> market </w:t>
      </w:r>
      <w:proofErr w:type="spellStart"/>
      <w:r w:rsidRPr="00B1089D">
        <w:t>resources</w:t>
      </w:r>
      <w:proofErr w:type="spellEnd"/>
      <w:r w:rsidRPr="00B1089D">
        <w:t xml:space="preserve"> </w:t>
      </w:r>
      <w:proofErr w:type="spellStart"/>
      <w:r w:rsidRPr="00B1089D">
        <w:t>essential</w:t>
      </w:r>
      <w:proofErr w:type="spellEnd"/>
      <w:r w:rsidRPr="00B1089D">
        <w:t xml:space="preserve"> </w:t>
      </w:r>
      <w:proofErr w:type="spellStart"/>
      <w:r w:rsidRPr="00B1089D">
        <w:t>for</w:t>
      </w:r>
      <w:proofErr w:type="spellEnd"/>
      <w:r w:rsidRPr="00B1089D">
        <w:t xml:space="preserve"> </w:t>
      </w:r>
      <w:proofErr w:type="spellStart"/>
      <w:r w:rsidRPr="00B1089D">
        <w:t>their</w:t>
      </w:r>
      <w:proofErr w:type="spellEnd"/>
      <w:r w:rsidRPr="00B1089D">
        <w:t xml:space="preserve"> </w:t>
      </w:r>
      <w:proofErr w:type="spellStart"/>
      <w:r w:rsidRPr="00B1089D">
        <w:t>continued</w:t>
      </w:r>
      <w:proofErr w:type="spellEnd"/>
      <w:r w:rsidRPr="00B1089D">
        <w:t xml:space="preserve"> </w:t>
      </w:r>
      <w:proofErr w:type="spellStart"/>
      <w:r w:rsidRPr="00B1089D">
        <w:t>existence</w:t>
      </w:r>
      <w:proofErr w:type="spellEnd"/>
      <w:r w:rsidRPr="00B1089D">
        <w:t xml:space="preserve"> </w:t>
      </w:r>
      <w:proofErr w:type="spellStart"/>
      <w:r w:rsidRPr="00B1089D">
        <w:t>and</w:t>
      </w:r>
      <w:proofErr w:type="spellEnd"/>
      <w:r w:rsidRPr="00B1089D">
        <w:t xml:space="preserve"> </w:t>
      </w:r>
      <w:proofErr w:type="spellStart"/>
      <w:r w:rsidRPr="00B1089D">
        <w:t>maintaining</w:t>
      </w:r>
      <w:proofErr w:type="spellEnd"/>
      <w:r w:rsidRPr="00B1089D">
        <w:t xml:space="preserve"> </w:t>
      </w:r>
      <w:proofErr w:type="spellStart"/>
      <w:r w:rsidRPr="00B1089D">
        <w:t>the</w:t>
      </w:r>
      <w:proofErr w:type="spellEnd"/>
      <w:r w:rsidRPr="00B1089D">
        <w:t xml:space="preserve"> </w:t>
      </w:r>
      <w:proofErr w:type="spellStart"/>
      <w:r w:rsidRPr="00B1089D">
        <w:t>desired</w:t>
      </w:r>
      <w:proofErr w:type="spellEnd"/>
      <w:r w:rsidRPr="00B1089D">
        <w:t xml:space="preserve"> </w:t>
      </w:r>
      <w:proofErr w:type="spellStart"/>
      <w:r w:rsidRPr="00B1089D">
        <w:t>level</w:t>
      </w:r>
      <w:proofErr w:type="spellEnd"/>
      <w:r w:rsidRPr="00B1089D">
        <w:t xml:space="preserve"> of </w:t>
      </w:r>
      <w:proofErr w:type="spellStart"/>
      <w:r w:rsidRPr="00B1089D">
        <w:t>well-being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also</w:t>
      </w:r>
      <w:proofErr w:type="spellEnd"/>
      <w:r w:rsidRPr="00B1089D">
        <w:t xml:space="preserve"> </w:t>
      </w:r>
      <w:proofErr w:type="spellStart"/>
      <w:r w:rsidRPr="00B1089D">
        <w:t>involves</w:t>
      </w:r>
      <w:proofErr w:type="spellEnd"/>
      <w:r w:rsidRPr="00B1089D">
        <w:t xml:space="preserve"> </w:t>
      </w:r>
      <w:proofErr w:type="spellStart"/>
      <w:r w:rsidRPr="00B1089D">
        <w:t>maintaining</w:t>
      </w:r>
      <w:proofErr w:type="spellEnd"/>
      <w:r w:rsidRPr="00B1089D">
        <w:t xml:space="preserve"> </w:t>
      </w:r>
      <w:proofErr w:type="spellStart"/>
      <w:r w:rsidRPr="00B1089D">
        <w:t>sufficient</w:t>
      </w:r>
      <w:proofErr w:type="spellEnd"/>
      <w:r w:rsidRPr="00B1089D">
        <w:t xml:space="preserve"> </w:t>
      </w:r>
      <w:proofErr w:type="spellStart"/>
      <w:r w:rsidRPr="00B1089D">
        <w:t>agricultural</w:t>
      </w:r>
      <w:proofErr w:type="spellEnd"/>
      <w:r w:rsidRPr="00B1089D">
        <w:t xml:space="preserve"> </w:t>
      </w:r>
      <w:proofErr w:type="spellStart"/>
      <w:r w:rsidRPr="00B1089D">
        <w:t>output</w:t>
      </w:r>
      <w:proofErr w:type="spellEnd"/>
      <w:r w:rsidRPr="00B1089D">
        <w:t xml:space="preserve"> </w:t>
      </w:r>
      <w:proofErr w:type="spellStart"/>
      <w:r w:rsidRPr="00B1089D">
        <w:t>to</w:t>
      </w:r>
      <w:proofErr w:type="spellEnd"/>
      <w:r w:rsidRPr="00B1089D">
        <w:t xml:space="preserve"> </w:t>
      </w:r>
      <w:proofErr w:type="spellStart"/>
      <w:r w:rsidRPr="00B1089D">
        <w:t>sustain</w:t>
      </w:r>
      <w:proofErr w:type="spellEnd"/>
      <w:r w:rsidRPr="00B1089D">
        <w:t xml:space="preserve"> </w:t>
      </w:r>
      <w:proofErr w:type="spellStart"/>
      <w:r w:rsidRPr="00B1089D">
        <w:t>the</w:t>
      </w:r>
      <w:proofErr w:type="spellEnd"/>
      <w:r w:rsidRPr="00B1089D">
        <w:t xml:space="preserve"> </w:t>
      </w:r>
      <w:proofErr w:type="spellStart"/>
      <w:r w:rsidRPr="00B1089D">
        <w:t>population</w:t>
      </w:r>
      <w:proofErr w:type="spellEnd"/>
      <w:r w:rsidRPr="00B1089D">
        <w:t xml:space="preserve"> </w:t>
      </w:r>
      <w:proofErr w:type="spellStart"/>
      <w:r w:rsidRPr="00B1089D">
        <w:t>and</w:t>
      </w:r>
      <w:proofErr w:type="spellEnd"/>
      <w:r w:rsidRPr="00B1089D">
        <w:t xml:space="preserve"> </w:t>
      </w:r>
      <w:proofErr w:type="spellStart"/>
      <w:r w:rsidRPr="00B1089D">
        <w:t>ensuring</w:t>
      </w:r>
      <w:proofErr w:type="spellEnd"/>
      <w:r w:rsidRPr="00B1089D">
        <w:t xml:space="preserve"> </w:t>
      </w:r>
      <w:proofErr w:type="spellStart"/>
      <w:r w:rsidRPr="00B1089D">
        <w:t>the</w:t>
      </w:r>
      <w:proofErr w:type="spellEnd"/>
      <w:r w:rsidRPr="00B1089D">
        <w:t xml:space="preserve"> </w:t>
      </w:r>
      <w:proofErr w:type="spellStart"/>
      <w:r w:rsidRPr="00B1089D">
        <w:t>production</w:t>
      </w:r>
      <w:proofErr w:type="spellEnd"/>
      <w:r w:rsidRPr="00B1089D">
        <w:t xml:space="preserve"> of </w:t>
      </w:r>
      <w:proofErr w:type="spellStart"/>
      <w:r w:rsidRPr="00B1089D">
        <w:t>raw</w:t>
      </w:r>
      <w:proofErr w:type="spellEnd"/>
      <w:r w:rsidRPr="00B1089D">
        <w:t xml:space="preserve"> </w:t>
      </w:r>
      <w:proofErr w:type="spellStart"/>
      <w:r w:rsidRPr="00B1089D">
        <w:t>materials</w:t>
      </w:r>
      <w:proofErr w:type="spellEnd"/>
      <w:r w:rsidRPr="00B1089D">
        <w:t xml:space="preserve"> </w:t>
      </w:r>
      <w:proofErr w:type="spellStart"/>
      <w:r w:rsidRPr="00B1089D">
        <w:t>to</w:t>
      </w:r>
      <w:proofErr w:type="spellEnd"/>
      <w:r w:rsidRPr="00B1089D">
        <w:t xml:space="preserve"> </w:t>
      </w:r>
      <w:proofErr w:type="spellStart"/>
      <w:r w:rsidRPr="00B1089D">
        <w:t>support</w:t>
      </w:r>
      <w:proofErr w:type="spellEnd"/>
      <w:r w:rsidRPr="00B1089D">
        <w:t xml:space="preserve"> </w:t>
      </w:r>
      <w:proofErr w:type="spellStart"/>
      <w:r w:rsidRPr="00B1089D">
        <w:t>industries</w:t>
      </w:r>
      <w:proofErr w:type="spellEnd"/>
      <w:r w:rsidRPr="00B1089D">
        <w:t>.</w:t>
      </w:r>
    </w:p>
    <w:p w14:paraId="373E78DE" w14:textId="77777777" w:rsidR="00FA457D" w:rsidRPr="00B1089D" w:rsidRDefault="00FA457D" w:rsidP="00E359E0">
      <w:pPr>
        <w:widowControl/>
        <w:jc w:val="both"/>
      </w:pPr>
    </w:p>
    <w:p w14:paraId="72AFA507" w14:textId="359989F1" w:rsidR="00FA457D" w:rsidRPr="00D10870" w:rsidRDefault="00FA457D" w:rsidP="00E359E0">
      <w:pPr>
        <w:widowControl/>
        <w:jc w:val="both"/>
      </w:pPr>
      <w:proofErr w:type="spellStart"/>
      <w:r w:rsidRPr="00B1089D">
        <w:t>Securing</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survival</w:t>
      </w:r>
      <w:proofErr w:type="spellEnd"/>
      <w:r w:rsidRPr="00B1089D">
        <w:t xml:space="preserve"> </w:t>
      </w:r>
      <w:proofErr w:type="spellStart"/>
      <w:r w:rsidRPr="00B1089D">
        <w:t>by</w:t>
      </w:r>
      <w:proofErr w:type="spellEnd"/>
      <w:r w:rsidRPr="00B1089D">
        <w:t xml:space="preserve"> </w:t>
      </w:r>
      <w:proofErr w:type="spellStart"/>
      <w:r w:rsidRPr="00B1089D">
        <w:t>maintaining</w:t>
      </w:r>
      <w:proofErr w:type="spellEnd"/>
      <w:r w:rsidRPr="00B1089D">
        <w:t xml:space="preserve"> </w:t>
      </w:r>
      <w:proofErr w:type="spellStart"/>
      <w:r w:rsidRPr="00B1089D">
        <w:t>favourable</w:t>
      </w:r>
      <w:proofErr w:type="spellEnd"/>
      <w:r w:rsidRPr="00B1089D">
        <w:t xml:space="preserve"> </w:t>
      </w:r>
      <w:proofErr w:type="spellStart"/>
      <w:r w:rsidRPr="00B1089D">
        <w:t>economic</w:t>
      </w:r>
      <w:proofErr w:type="spellEnd"/>
      <w:r w:rsidRPr="00B1089D">
        <w:t xml:space="preserve"> </w:t>
      </w:r>
      <w:proofErr w:type="spellStart"/>
      <w:r w:rsidRPr="00B1089D">
        <w:t>conditions</w:t>
      </w:r>
      <w:proofErr w:type="spellEnd"/>
      <w:r w:rsidRPr="00B1089D">
        <w:t xml:space="preserve"> is </w:t>
      </w:r>
      <w:proofErr w:type="spellStart"/>
      <w:r w:rsidRPr="00B1089D">
        <w:t>the</w:t>
      </w:r>
      <w:proofErr w:type="spellEnd"/>
      <w:r w:rsidRPr="00B1089D">
        <w:t xml:space="preserve"> </w:t>
      </w:r>
      <w:proofErr w:type="spellStart"/>
      <w:r w:rsidRPr="00B1089D">
        <w:t>fundamental</w:t>
      </w:r>
      <w:proofErr w:type="spellEnd"/>
      <w:r w:rsidRPr="00B1089D">
        <w:t xml:space="preserve"> </w:t>
      </w:r>
      <w:proofErr w:type="spellStart"/>
      <w:r w:rsidRPr="00B1089D">
        <w:t>goal</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However</w:t>
      </w:r>
      <w:proofErr w:type="spellEnd"/>
      <w:r w:rsidRPr="00B1089D">
        <w:t xml:space="preserve">, </w:t>
      </w:r>
      <w:proofErr w:type="spellStart"/>
      <w:r w:rsidRPr="00B1089D">
        <w:t>the</w:t>
      </w:r>
      <w:proofErr w:type="spellEnd"/>
      <w:r w:rsidRPr="00B1089D">
        <w:t xml:space="preserve"> </w:t>
      </w:r>
      <w:proofErr w:type="spellStart"/>
      <w:r w:rsidRPr="00B1089D">
        <w:t>internal</w:t>
      </w:r>
      <w:proofErr w:type="spellEnd"/>
      <w:r w:rsidRPr="00B1089D">
        <w:t xml:space="preserve"> </w:t>
      </w:r>
      <w:proofErr w:type="spellStart"/>
      <w:r w:rsidRPr="00B1089D">
        <w:t>complexity</w:t>
      </w:r>
      <w:proofErr w:type="spellEnd"/>
      <w:r w:rsidRPr="00B1089D">
        <w:t xml:space="preserve"> of a </w:t>
      </w:r>
      <w:proofErr w:type="spellStart"/>
      <w:r w:rsidRPr="00B1089D">
        <w:t>state</w:t>
      </w:r>
      <w:proofErr w:type="spellEnd"/>
      <w:r w:rsidRPr="00B1089D">
        <w:t xml:space="preserve"> </w:t>
      </w:r>
      <w:proofErr w:type="spellStart"/>
      <w:r w:rsidRPr="00B1089D">
        <w:t>distinguishes</w:t>
      </w:r>
      <w:proofErr w:type="spellEnd"/>
      <w:r w:rsidRPr="00B1089D">
        <w:t xml:space="preserve"> it </w:t>
      </w:r>
      <w:proofErr w:type="spellStart"/>
      <w:r w:rsidRPr="00B1089D">
        <w:t>from</w:t>
      </w:r>
      <w:proofErr w:type="spellEnd"/>
      <w:r w:rsidRPr="00B1089D">
        <w:t xml:space="preserve"> an </w:t>
      </w:r>
      <w:proofErr w:type="spellStart"/>
      <w:r w:rsidRPr="00B1089D">
        <w:t>individual</w:t>
      </w:r>
      <w:proofErr w:type="spellEnd"/>
      <w:r w:rsidRPr="00B1089D">
        <w:t xml:space="preserve">. </w:t>
      </w:r>
      <w:proofErr w:type="spellStart"/>
      <w:r w:rsidRPr="00B1089D">
        <w:t>Ensuring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requires</w:t>
      </w:r>
      <w:proofErr w:type="spellEnd"/>
      <w:r w:rsidRPr="00B1089D">
        <w:t xml:space="preserve"> </w:t>
      </w:r>
      <w:proofErr w:type="spellStart"/>
      <w:r w:rsidRPr="00B1089D">
        <w:t>considering</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internal</w:t>
      </w:r>
      <w:proofErr w:type="spellEnd"/>
      <w:r w:rsidRPr="00B1089D">
        <w:t xml:space="preserve"> </w:t>
      </w:r>
      <w:proofErr w:type="spellStart"/>
      <w:r w:rsidRPr="00B1089D">
        <w:t>structure</w:t>
      </w:r>
      <w:proofErr w:type="spellEnd"/>
      <w:r w:rsidRPr="00B1089D">
        <w:t xml:space="preserve">, </w:t>
      </w:r>
      <w:proofErr w:type="spellStart"/>
      <w:r w:rsidRPr="00B1089D">
        <w:t>where</w:t>
      </w:r>
      <w:proofErr w:type="spellEnd"/>
      <w:r w:rsidRPr="00B1089D">
        <w:t xml:space="preserve"> </w:t>
      </w:r>
      <w:proofErr w:type="spellStart"/>
      <w:r w:rsidRPr="00B1089D">
        <w:t>adopting</w:t>
      </w:r>
      <w:proofErr w:type="spellEnd"/>
      <w:r w:rsidRPr="00B1089D">
        <w:t xml:space="preserve"> </w:t>
      </w:r>
      <w:proofErr w:type="spellStart"/>
      <w:r w:rsidRPr="00B1089D">
        <w:t>advanced</w:t>
      </w:r>
      <w:proofErr w:type="spellEnd"/>
      <w:r w:rsidRPr="00B1089D">
        <w:t xml:space="preserve"> </w:t>
      </w:r>
      <w:proofErr w:type="spellStart"/>
      <w:r w:rsidRPr="00B1089D">
        <w:t>procedures</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w:t>
      </w:r>
      <w:proofErr w:type="spellStart"/>
      <w:r w:rsidRPr="00B1089D">
        <w:t>international</w:t>
      </w:r>
      <w:proofErr w:type="spellEnd"/>
      <w:r w:rsidRPr="00B1089D">
        <w:t xml:space="preserve"> </w:t>
      </w:r>
      <w:proofErr w:type="spellStart"/>
      <w:r w:rsidRPr="00B1089D">
        <w:t>system</w:t>
      </w:r>
      <w:proofErr w:type="spellEnd"/>
      <w:r w:rsidRPr="00B1089D">
        <w:t xml:space="preserve"> </w:t>
      </w:r>
      <w:proofErr w:type="spellStart"/>
      <w:r w:rsidRPr="00B1089D">
        <w:t>becomes</w:t>
      </w:r>
      <w:proofErr w:type="spellEnd"/>
      <w:r w:rsidRPr="00B1089D">
        <w:t xml:space="preserve"> </w:t>
      </w:r>
      <w:proofErr w:type="spellStart"/>
      <w:r w:rsidRPr="00B1089D">
        <w:t>crucial</w:t>
      </w:r>
      <w:proofErr w:type="spellEnd"/>
      <w:r w:rsidRPr="00B1089D">
        <w:t xml:space="preserve"> </w:t>
      </w:r>
      <w:proofErr w:type="spellStart"/>
      <w:r w:rsidRPr="00B1089D">
        <w:t>for</w:t>
      </w:r>
      <w:proofErr w:type="spellEnd"/>
      <w:r w:rsidRPr="00B1089D">
        <w:t xml:space="preserve"> </w:t>
      </w:r>
      <w:proofErr w:type="spellStart"/>
      <w:r w:rsidRPr="00B1089D">
        <w:t>survival</w:t>
      </w:r>
      <w:proofErr w:type="spellEnd"/>
      <w:r w:rsidRPr="00B1089D">
        <w:t xml:space="preserve">. A </w:t>
      </w:r>
      <w:proofErr w:type="spellStart"/>
      <w:r w:rsidRPr="00B1089D">
        <w:t>comprehensive</w:t>
      </w:r>
      <w:proofErr w:type="spellEnd"/>
      <w:r w:rsidRPr="00B1089D">
        <w:t xml:space="preserve"> </w:t>
      </w:r>
      <w:proofErr w:type="spellStart"/>
      <w:r w:rsidRPr="00B1089D">
        <w:t>understanding</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involves</w:t>
      </w:r>
      <w:proofErr w:type="spellEnd"/>
      <w:r w:rsidRPr="00B1089D">
        <w:t xml:space="preserve"> </w:t>
      </w:r>
      <w:proofErr w:type="spellStart"/>
      <w:r w:rsidRPr="00B1089D">
        <w:t>recognising</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internal</w:t>
      </w:r>
      <w:proofErr w:type="spellEnd"/>
      <w:r w:rsidRPr="00B1089D">
        <w:t xml:space="preserve"> </w:t>
      </w:r>
      <w:proofErr w:type="spellStart"/>
      <w:r w:rsidRPr="00B1089D">
        <w:t>and</w:t>
      </w:r>
      <w:proofErr w:type="spellEnd"/>
      <w:r w:rsidRPr="00B1089D">
        <w:t xml:space="preserve"> </w:t>
      </w:r>
      <w:proofErr w:type="spellStart"/>
      <w:r w:rsidRPr="00B1089D">
        <w:t>external</w:t>
      </w:r>
      <w:proofErr w:type="spellEnd"/>
      <w:r w:rsidRPr="00B1089D">
        <w:t xml:space="preserve"> </w:t>
      </w:r>
      <w:proofErr w:type="spellStart"/>
      <w:r w:rsidRPr="00B1089D">
        <w:t>dimensions</w:t>
      </w:r>
      <w:proofErr w:type="spellEnd"/>
      <w:r w:rsidRPr="00B1089D">
        <w:t xml:space="preserve"> </w:t>
      </w:r>
      <w:proofErr w:type="spellStart"/>
      <w:r w:rsidRPr="00B1089D">
        <w:t>and</w:t>
      </w:r>
      <w:proofErr w:type="spellEnd"/>
      <w:r w:rsidRPr="00B1089D">
        <w:t xml:space="preserve"> </w:t>
      </w:r>
      <w:proofErr w:type="spellStart"/>
      <w:r w:rsidRPr="00B1089D">
        <w:t>acknowledging</w:t>
      </w:r>
      <w:proofErr w:type="spellEnd"/>
      <w:r w:rsidRPr="00B1089D">
        <w:t xml:space="preserve"> </w:t>
      </w:r>
      <w:proofErr w:type="spellStart"/>
      <w:r w:rsidRPr="00B1089D">
        <w:t>the</w:t>
      </w:r>
      <w:proofErr w:type="spellEnd"/>
      <w:r w:rsidRPr="00B1089D">
        <w:t xml:space="preserve"> </w:t>
      </w:r>
      <w:proofErr w:type="spellStart"/>
      <w:r w:rsidRPr="00B1089D">
        <w:t>interplay</w:t>
      </w:r>
      <w:proofErr w:type="spellEnd"/>
      <w:r w:rsidRPr="00B1089D">
        <w:t xml:space="preserve"> </w:t>
      </w:r>
      <w:proofErr w:type="spellStart"/>
      <w:r w:rsidRPr="00B1089D">
        <w:t>between</w:t>
      </w:r>
      <w:proofErr w:type="spellEnd"/>
      <w:r w:rsidRPr="00B1089D">
        <w:t xml:space="preserve"> </w:t>
      </w:r>
      <w:proofErr w:type="spellStart"/>
      <w:r w:rsidRPr="00B1089D">
        <w:t>domestic</w:t>
      </w:r>
      <w:proofErr w:type="spellEnd"/>
      <w:r w:rsidRPr="00B1089D">
        <w:t xml:space="preserve"> </w:t>
      </w:r>
      <w:proofErr w:type="spellStart"/>
      <w:r w:rsidRPr="00B1089D">
        <w:t>complexities</w:t>
      </w:r>
      <w:proofErr w:type="spellEnd"/>
      <w:r w:rsidRPr="00B1089D">
        <w:t xml:space="preserve"> </w:t>
      </w:r>
      <w:proofErr w:type="spellStart"/>
      <w:r w:rsidRPr="00B1089D">
        <w:t>and</w:t>
      </w:r>
      <w:proofErr w:type="spellEnd"/>
      <w:r w:rsidRPr="00B1089D">
        <w:t xml:space="preserve"> global </w:t>
      </w:r>
      <w:proofErr w:type="spellStart"/>
      <w:r w:rsidRPr="00B1089D">
        <w:t>dynamics</w:t>
      </w:r>
      <w:proofErr w:type="spellEnd"/>
      <w:r w:rsidRPr="00B1089D">
        <w:t xml:space="preserve"> in </w:t>
      </w:r>
      <w:proofErr w:type="spellStart"/>
      <w:r w:rsidRPr="00B1089D">
        <w:t>shaping</w:t>
      </w:r>
      <w:proofErr w:type="spellEnd"/>
      <w:r w:rsidRPr="00B1089D">
        <w:t xml:space="preserve"> a </w:t>
      </w:r>
      <w:proofErr w:type="spellStart"/>
      <w:r w:rsidRPr="00B1089D">
        <w:t>nation's</w:t>
      </w:r>
      <w:proofErr w:type="spellEnd"/>
      <w:r w:rsidRPr="00B1089D">
        <w:t xml:space="preserve"> </w:t>
      </w:r>
      <w:proofErr w:type="spellStart"/>
      <w:r w:rsidRPr="00B1089D">
        <w:t>economic</w:t>
      </w:r>
      <w:proofErr w:type="spellEnd"/>
      <w:r w:rsidRPr="00B1089D">
        <w:t xml:space="preserve"> </w:t>
      </w:r>
      <w:proofErr w:type="spellStart"/>
      <w:r w:rsidRPr="00B1089D">
        <w:t>resilience</w:t>
      </w:r>
      <w:proofErr w:type="spellEnd"/>
      <w:r w:rsidRPr="00B1089D">
        <w:t>.</w:t>
      </w:r>
    </w:p>
    <w:p w14:paraId="575AE937" w14:textId="77777777" w:rsidR="00FA457D" w:rsidRPr="00B1089D" w:rsidRDefault="00FA457D" w:rsidP="00E359E0">
      <w:pPr>
        <w:widowControl/>
        <w:jc w:val="both"/>
      </w:pPr>
    </w:p>
    <w:p w14:paraId="55B1BD91" w14:textId="77777777" w:rsidR="00FA457D" w:rsidRPr="00B1089D" w:rsidRDefault="00FA457D" w:rsidP="00FA457D">
      <w:pPr>
        <w:widowControl/>
      </w:pPr>
      <w:r w:rsidRPr="00D10870">
        <w:rPr>
          <w:noProof/>
        </w:rPr>
        <w:drawing>
          <wp:inline distT="0" distB="0" distL="0" distR="0" wp14:anchorId="3FAC26D2" wp14:editId="4A5A1EC7">
            <wp:extent cx="5402580" cy="2644140"/>
            <wp:effectExtent l="0" t="0" r="7620" b="3810"/>
            <wp:docPr id="1241379825" name="Resim 41" descr="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curity"/>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402580" cy="2644140"/>
                    </a:xfrm>
                    <a:prstGeom prst="rect">
                      <a:avLst/>
                    </a:prstGeom>
                    <a:noFill/>
                    <a:ln>
                      <a:noFill/>
                    </a:ln>
                  </pic:spPr>
                </pic:pic>
              </a:graphicData>
            </a:graphic>
          </wp:inline>
        </w:drawing>
      </w:r>
    </w:p>
    <w:p w14:paraId="1EC254AC" w14:textId="77777777" w:rsidR="00FA457D" w:rsidRPr="00B1089D" w:rsidRDefault="00FA457D" w:rsidP="00FA457D">
      <w:pPr>
        <w:widowControl/>
      </w:pPr>
      <w:proofErr w:type="spellStart"/>
      <w:r w:rsidRPr="00B1089D">
        <w:rPr>
          <w:b/>
          <w:bCs/>
        </w:rPr>
        <w:t>Figure</w:t>
      </w:r>
      <w:proofErr w:type="spellEnd"/>
      <w:r w:rsidRPr="00B1089D">
        <w:rPr>
          <w:b/>
          <w:bCs/>
        </w:rPr>
        <w:t xml:space="preserve"> 1.</w:t>
      </w:r>
      <w:r w:rsidRPr="00B1089D">
        <w:t xml:space="preserve"> </w:t>
      </w:r>
      <w:proofErr w:type="spellStart"/>
      <w:r w:rsidRPr="00B1089D">
        <w:t>The</w:t>
      </w:r>
      <w:proofErr w:type="spellEnd"/>
      <w:r w:rsidRPr="00B1089D">
        <w:t xml:space="preserve"> </w:t>
      </w:r>
      <w:proofErr w:type="spellStart"/>
      <w:r w:rsidRPr="00B1089D">
        <w:t>Structure</w:t>
      </w:r>
      <w:proofErr w:type="spellEnd"/>
      <w:r w:rsidRPr="00B1089D">
        <w:t xml:space="preserve"> of </w:t>
      </w:r>
      <w:proofErr w:type="spellStart"/>
      <w:r w:rsidRPr="00B1089D">
        <w:t>Economic</w:t>
      </w:r>
      <w:proofErr w:type="spellEnd"/>
      <w:r w:rsidRPr="00B1089D">
        <w:t xml:space="preserve"> Security.</w:t>
      </w:r>
    </w:p>
    <w:p w14:paraId="2036FAAA"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preparation</w:t>
      </w:r>
      <w:proofErr w:type="spellEnd"/>
      <w:r w:rsidRPr="00B1089D">
        <w:t>.</w:t>
      </w:r>
    </w:p>
    <w:p w14:paraId="783B1DBA" w14:textId="77777777" w:rsidR="00FA457D" w:rsidRPr="00B1089D" w:rsidRDefault="00FA457D" w:rsidP="00E359E0">
      <w:pPr>
        <w:widowControl/>
        <w:jc w:val="both"/>
      </w:pPr>
      <w:proofErr w:type="spellStart"/>
      <w:r w:rsidRPr="00B1089D">
        <w:lastRenderedPageBreak/>
        <w:t>Ensuring</w:t>
      </w:r>
      <w:proofErr w:type="spellEnd"/>
      <w:r w:rsidRPr="00B1089D">
        <w:t xml:space="preserve"> a </w:t>
      </w:r>
      <w:proofErr w:type="spellStart"/>
      <w:r w:rsidRPr="00B1089D">
        <w:t>country's</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requires</w:t>
      </w:r>
      <w:proofErr w:type="spellEnd"/>
      <w:r w:rsidRPr="00B1089D">
        <w:t xml:space="preserve"> </w:t>
      </w:r>
      <w:proofErr w:type="spellStart"/>
      <w:r w:rsidRPr="00B1089D">
        <w:t>careful</w:t>
      </w:r>
      <w:proofErr w:type="spellEnd"/>
      <w:r w:rsidRPr="00B1089D">
        <w:t xml:space="preserve"> </w:t>
      </w:r>
      <w:proofErr w:type="spellStart"/>
      <w:r w:rsidRPr="00B1089D">
        <w:t>consideration</w:t>
      </w:r>
      <w:proofErr w:type="spellEnd"/>
      <w:r w:rsidRPr="00B1089D">
        <w:t xml:space="preserve"> of </w:t>
      </w:r>
      <w:proofErr w:type="spellStart"/>
      <w:r w:rsidRPr="00B1089D">
        <w:t>its</w:t>
      </w:r>
      <w:proofErr w:type="spellEnd"/>
      <w:r w:rsidRPr="00B1089D">
        <w:t xml:space="preserve"> </w:t>
      </w:r>
      <w:proofErr w:type="spellStart"/>
      <w:r w:rsidRPr="00B1089D">
        <w:t>internal</w:t>
      </w:r>
      <w:proofErr w:type="spellEnd"/>
      <w:r w:rsidRPr="00B1089D">
        <w:t xml:space="preserve"> </w:t>
      </w:r>
      <w:proofErr w:type="spellStart"/>
      <w:r w:rsidRPr="00B1089D">
        <w:t>economic</w:t>
      </w:r>
      <w:proofErr w:type="spellEnd"/>
      <w:r w:rsidRPr="00B1089D">
        <w:t xml:space="preserve"> </w:t>
      </w:r>
      <w:proofErr w:type="spellStart"/>
      <w:r w:rsidRPr="00B1089D">
        <w:t>structure</w:t>
      </w:r>
      <w:proofErr w:type="spellEnd"/>
      <w:r w:rsidRPr="00B1089D">
        <w:t xml:space="preserve">. </w:t>
      </w:r>
      <w:proofErr w:type="spellStart"/>
      <w:r w:rsidRPr="00B1089D">
        <w:t>Unlike</w:t>
      </w:r>
      <w:proofErr w:type="spellEnd"/>
      <w:r w:rsidRPr="00B1089D">
        <w:t xml:space="preserve"> </w:t>
      </w:r>
      <w:proofErr w:type="spellStart"/>
      <w:r w:rsidRPr="00B1089D">
        <w:t>individuals</w:t>
      </w:r>
      <w:proofErr w:type="spellEnd"/>
      <w:r w:rsidRPr="00B1089D">
        <w:t xml:space="preserve">, </w:t>
      </w:r>
      <w:proofErr w:type="spellStart"/>
      <w:r w:rsidRPr="00B1089D">
        <w:t>states</w:t>
      </w:r>
      <w:proofErr w:type="spellEnd"/>
      <w:r w:rsidRPr="00B1089D">
        <w:t xml:space="preserve"> </w:t>
      </w:r>
      <w:proofErr w:type="spellStart"/>
      <w:r w:rsidRPr="00B1089D">
        <w:t>possess</w:t>
      </w:r>
      <w:proofErr w:type="spellEnd"/>
      <w:r w:rsidRPr="00B1089D">
        <w:t xml:space="preserve"> a </w:t>
      </w:r>
      <w:proofErr w:type="spellStart"/>
      <w:r w:rsidRPr="00B1089D">
        <w:t>complex</w:t>
      </w:r>
      <w:proofErr w:type="spellEnd"/>
      <w:r w:rsidRPr="00B1089D">
        <w:t xml:space="preserve"> </w:t>
      </w:r>
      <w:proofErr w:type="spellStart"/>
      <w:r w:rsidRPr="00B1089D">
        <w:t>internal</w:t>
      </w:r>
      <w:proofErr w:type="spellEnd"/>
      <w:r w:rsidRPr="00B1089D">
        <w:t xml:space="preserve"> </w:t>
      </w:r>
      <w:proofErr w:type="spellStart"/>
      <w:r w:rsidRPr="00B1089D">
        <w:t>structure</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survival</w:t>
      </w:r>
      <w:proofErr w:type="spellEnd"/>
      <w:r w:rsidRPr="00B1089D">
        <w:t xml:space="preserve"> </w:t>
      </w:r>
      <w:proofErr w:type="spellStart"/>
      <w:r w:rsidRPr="00B1089D">
        <w:t>relies</w:t>
      </w:r>
      <w:proofErr w:type="spellEnd"/>
      <w:r w:rsidRPr="00B1089D">
        <w:t xml:space="preserve"> on </w:t>
      </w:r>
      <w:proofErr w:type="spellStart"/>
      <w:r w:rsidRPr="00B1089D">
        <w:t>embracing</w:t>
      </w:r>
      <w:proofErr w:type="spellEnd"/>
      <w:r w:rsidRPr="00B1089D">
        <w:t xml:space="preserve"> </w:t>
      </w:r>
      <w:proofErr w:type="spellStart"/>
      <w:r w:rsidRPr="00B1089D">
        <w:t>the</w:t>
      </w:r>
      <w:proofErr w:type="spellEnd"/>
      <w:r w:rsidRPr="00B1089D">
        <w:t xml:space="preserve"> </w:t>
      </w:r>
      <w:proofErr w:type="spellStart"/>
      <w:r w:rsidRPr="00B1089D">
        <w:t>most</w:t>
      </w:r>
      <w:proofErr w:type="spellEnd"/>
      <w:r w:rsidRPr="00B1089D">
        <w:t xml:space="preserve"> </w:t>
      </w:r>
      <w:proofErr w:type="spellStart"/>
      <w:r w:rsidRPr="00B1089D">
        <w:t>advanced</w:t>
      </w:r>
      <w:proofErr w:type="spellEnd"/>
      <w:r w:rsidRPr="00B1089D">
        <w:t xml:space="preserve"> </w:t>
      </w:r>
      <w:proofErr w:type="spellStart"/>
      <w:r w:rsidRPr="00B1089D">
        <w:t>and</w:t>
      </w:r>
      <w:proofErr w:type="spellEnd"/>
      <w:r w:rsidRPr="00B1089D">
        <w:t xml:space="preserve"> </w:t>
      </w:r>
      <w:proofErr w:type="spellStart"/>
      <w:r w:rsidRPr="00B1089D">
        <w:t>successful</w:t>
      </w:r>
      <w:proofErr w:type="spellEnd"/>
      <w:r w:rsidRPr="00B1089D">
        <w:t xml:space="preserve"> </w:t>
      </w:r>
      <w:proofErr w:type="spellStart"/>
      <w:r w:rsidRPr="00B1089D">
        <w:t>procedures</w:t>
      </w:r>
      <w:proofErr w:type="spellEnd"/>
      <w:r w:rsidRPr="00B1089D">
        <w:t xml:space="preserve"> </w:t>
      </w:r>
      <w:proofErr w:type="spellStart"/>
      <w:r w:rsidRPr="00B1089D">
        <w:t>from</w:t>
      </w:r>
      <w:proofErr w:type="spellEnd"/>
      <w:r w:rsidRPr="00B1089D">
        <w:t xml:space="preserve"> </w:t>
      </w:r>
      <w:proofErr w:type="spellStart"/>
      <w:r w:rsidRPr="00B1089D">
        <w:t>other</w:t>
      </w:r>
      <w:proofErr w:type="spellEnd"/>
      <w:r w:rsidRPr="00B1089D">
        <w:t xml:space="preserve"> </w:t>
      </w:r>
      <w:proofErr w:type="spellStart"/>
      <w:r w:rsidRPr="00B1089D">
        <w:t>regions</w:t>
      </w:r>
      <w:proofErr w:type="spellEnd"/>
      <w:r w:rsidRPr="00B1089D">
        <w:t xml:space="preserve"> as </w:t>
      </w:r>
      <w:proofErr w:type="spellStart"/>
      <w:r w:rsidRPr="00B1089D">
        <w:t>endorsed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international</w:t>
      </w:r>
      <w:proofErr w:type="spellEnd"/>
      <w:r w:rsidRPr="00B1089D">
        <w:t xml:space="preserve"> </w:t>
      </w:r>
      <w:proofErr w:type="spellStart"/>
      <w:r w:rsidRPr="00B1089D">
        <w:t>system</w:t>
      </w:r>
      <w:proofErr w:type="spellEnd"/>
      <w:r w:rsidRPr="00B1089D">
        <w:t xml:space="preserve">. </w:t>
      </w:r>
      <w:proofErr w:type="spellStart"/>
      <w:r w:rsidRPr="00B1089D">
        <w:t>Figure</w:t>
      </w:r>
      <w:proofErr w:type="spellEnd"/>
      <w:r w:rsidRPr="00B1089D">
        <w:t xml:space="preserve"> 1 </w:t>
      </w:r>
      <w:proofErr w:type="spellStart"/>
      <w:r w:rsidRPr="00B1089D">
        <w:t>illustrates</w:t>
      </w:r>
      <w:proofErr w:type="spellEnd"/>
      <w:r w:rsidRPr="00B1089D">
        <w:t xml:space="preserve"> </w:t>
      </w:r>
      <w:proofErr w:type="spellStart"/>
      <w:r w:rsidRPr="00B1089D">
        <w:t>the</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structure</w:t>
      </w:r>
      <w:proofErr w:type="spellEnd"/>
      <w:r w:rsidRPr="00B1089D">
        <w:t xml:space="preserve"> </w:t>
      </w:r>
      <w:proofErr w:type="spellStart"/>
      <w:r w:rsidRPr="00B1089D">
        <w:t>based</w:t>
      </w:r>
      <w:proofErr w:type="spellEnd"/>
      <w:r w:rsidRPr="00B1089D">
        <w:t xml:space="preserve"> on Barry </w:t>
      </w:r>
      <w:proofErr w:type="spellStart"/>
      <w:r w:rsidRPr="00B1089D">
        <w:t>Buzan’s</w:t>
      </w:r>
      <w:proofErr w:type="spellEnd"/>
      <w:r w:rsidRPr="00B1089D">
        <w:t xml:space="preserve"> </w:t>
      </w:r>
      <w:proofErr w:type="spellStart"/>
      <w:r w:rsidRPr="00B1089D">
        <w:t>approach</w:t>
      </w:r>
      <w:proofErr w:type="spellEnd"/>
      <w:r w:rsidRPr="00B1089D">
        <w:t xml:space="preserve"> </w:t>
      </w:r>
      <w:proofErr w:type="spellStart"/>
      <w:r w:rsidRPr="00B1089D">
        <w:t>to</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w:t>
      </w:r>
    </w:p>
    <w:p w14:paraId="0EF05DD6" w14:textId="77777777" w:rsidR="00FA457D" w:rsidRPr="00B1089D" w:rsidRDefault="00FA457D" w:rsidP="00E359E0">
      <w:pPr>
        <w:widowControl/>
        <w:jc w:val="both"/>
      </w:pPr>
    </w:p>
    <w:p w14:paraId="364C988F" w14:textId="77777777" w:rsidR="00FA457D" w:rsidRPr="00B1089D" w:rsidRDefault="00FA457D" w:rsidP="00E359E0">
      <w:pPr>
        <w:widowControl/>
        <w:jc w:val="both"/>
      </w:pPr>
      <w:proofErr w:type="spellStart"/>
      <w:r w:rsidRPr="00B1089D">
        <w:rPr>
          <w:b/>
          <w:bCs/>
        </w:rPr>
        <w:t>Studies</w:t>
      </w:r>
      <w:proofErr w:type="spellEnd"/>
      <w:r w:rsidRPr="00B1089D">
        <w:rPr>
          <w:b/>
          <w:bCs/>
        </w:rPr>
        <w:t xml:space="preserve"> on </w:t>
      </w:r>
      <w:proofErr w:type="spellStart"/>
      <w:r w:rsidRPr="00B1089D">
        <w:rPr>
          <w:b/>
          <w:bCs/>
        </w:rPr>
        <w:t>Governance</w:t>
      </w:r>
      <w:proofErr w:type="spellEnd"/>
      <w:r w:rsidRPr="00B1089D">
        <w:rPr>
          <w:b/>
          <w:bCs/>
        </w:rPr>
        <w:t xml:space="preserve"> </w:t>
      </w:r>
      <w:proofErr w:type="spellStart"/>
      <w:r w:rsidRPr="00B1089D">
        <w:rPr>
          <w:b/>
          <w:bCs/>
        </w:rPr>
        <w:t>and</w:t>
      </w:r>
      <w:proofErr w:type="spellEnd"/>
      <w:r w:rsidRPr="00B1089D">
        <w:rPr>
          <w:b/>
          <w:bCs/>
        </w:rPr>
        <w:t xml:space="preserve"> GDP</w:t>
      </w:r>
    </w:p>
    <w:p w14:paraId="33857A2B" w14:textId="77777777" w:rsidR="00FA457D" w:rsidRPr="00D10870" w:rsidRDefault="00FA457D" w:rsidP="00E359E0">
      <w:pPr>
        <w:widowControl/>
        <w:jc w:val="both"/>
      </w:pPr>
      <w:proofErr w:type="spellStart"/>
      <w:r w:rsidRPr="00B1089D">
        <w:t>Aixalá</w:t>
      </w:r>
      <w:proofErr w:type="spellEnd"/>
      <w:r w:rsidRPr="00B1089D">
        <w:t xml:space="preserve"> </w:t>
      </w:r>
      <w:proofErr w:type="spellStart"/>
      <w:r w:rsidRPr="00B1089D">
        <w:t>and</w:t>
      </w:r>
      <w:proofErr w:type="spellEnd"/>
      <w:r w:rsidRPr="00B1089D">
        <w:t xml:space="preserve"> </w:t>
      </w:r>
      <w:proofErr w:type="spellStart"/>
      <w:r w:rsidRPr="00B1089D">
        <w:t>Fabro's</w:t>
      </w:r>
      <w:proofErr w:type="spellEnd"/>
      <w:r w:rsidRPr="00B1089D">
        <w:t xml:space="preserve"> (2007) </w:t>
      </w:r>
      <w:proofErr w:type="spellStart"/>
      <w:r w:rsidRPr="00B1089D">
        <w:t>study</w:t>
      </w:r>
      <w:proofErr w:type="spellEnd"/>
      <w:r w:rsidRPr="00B1089D">
        <w:t xml:space="preserve">, </w:t>
      </w:r>
      <w:proofErr w:type="spellStart"/>
      <w:r w:rsidRPr="00B1089D">
        <w:t>using</w:t>
      </w:r>
      <w:proofErr w:type="spellEnd"/>
      <w:r w:rsidRPr="00B1089D">
        <w:t xml:space="preserve"> a </w:t>
      </w:r>
      <w:proofErr w:type="spellStart"/>
      <w:r w:rsidRPr="00B1089D">
        <w:t>sample</w:t>
      </w:r>
      <w:proofErr w:type="spellEnd"/>
      <w:r w:rsidRPr="00B1089D">
        <w:t xml:space="preserve"> of 165 </w:t>
      </w:r>
      <w:proofErr w:type="spellStart"/>
      <w:r w:rsidRPr="00B1089D">
        <w:t>countries</w:t>
      </w:r>
      <w:proofErr w:type="spellEnd"/>
      <w:r w:rsidRPr="00B1089D">
        <w:t xml:space="preserve"> </w:t>
      </w:r>
      <w:proofErr w:type="spellStart"/>
      <w:r w:rsidRPr="00B1089D">
        <w:t>and</w:t>
      </w:r>
      <w:proofErr w:type="spellEnd"/>
      <w:r w:rsidRPr="00B1089D">
        <w:t xml:space="preserve"> </w:t>
      </w:r>
      <w:proofErr w:type="spellStart"/>
      <w:r w:rsidRPr="00B1089D">
        <w:t>instrumental</w:t>
      </w:r>
      <w:proofErr w:type="spellEnd"/>
      <w:r w:rsidRPr="00B1089D">
        <w:t xml:space="preserve"> </w:t>
      </w:r>
      <w:proofErr w:type="spellStart"/>
      <w:r w:rsidRPr="00B1089D">
        <w:t>variable</w:t>
      </w:r>
      <w:proofErr w:type="spellEnd"/>
      <w:r w:rsidRPr="00B1089D">
        <w:t xml:space="preserve"> </w:t>
      </w:r>
      <w:proofErr w:type="spellStart"/>
      <w:r w:rsidRPr="00B1089D">
        <w:t>methods</w:t>
      </w:r>
      <w:proofErr w:type="spellEnd"/>
      <w:r w:rsidRPr="00B1089D">
        <w:t xml:space="preserve">, </w:t>
      </w:r>
      <w:proofErr w:type="spellStart"/>
      <w:r w:rsidRPr="00B1089D">
        <w:t>shows</w:t>
      </w:r>
      <w:proofErr w:type="spellEnd"/>
      <w:r w:rsidRPr="00B1089D">
        <w:t xml:space="preserve"> </w:t>
      </w:r>
      <w:proofErr w:type="spellStart"/>
      <w:r w:rsidRPr="00B1089D">
        <w:t>that</w:t>
      </w:r>
      <w:proofErr w:type="spellEnd"/>
      <w:r w:rsidRPr="00B1089D">
        <w:t xml:space="preserve"> </w:t>
      </w:r>
      <w:proofErr w:type="spellStart"/>
      <w:r w:rsidRPr="00B1089D">
        <w:t>adding</w:t>
      </w:r>
      <w:proofErr w:type="spellEnd"/>
      <w:r w:rsidRPr="00B1089D">
        <w:t xml:space="preserve"> </w:t>
      </w:r>
      <w:proofErr w:type="spellStart"/>
      <w:r w:rsidRPr="00B1089D">
        <w:t>institutional</w:t>
      </w:r>
      <w:proofErr w:type="spellEnd"/>
      <w:r w:rsidRPr="00B1089D">
        <w:t xml:space="preserve"> </w:t>
      </w:r>
      <w:proofErr w:type="spellStart"/>
      <w:r w:rsidRPr="00B1089D">
        <w:t>indicators</w:t>
      </w:r>
      <w:proofErr w:type="spellEnd"/>
      <w:r w:rsidRPr="00B1089D">
        <w:t xml:space="preserve"> </w:t>
      </w:r>
      <w:proofErr w:type="spellStart"/>
      <w:r w:rsidRPr="00B1089D">
        <w:t>to</w:t>
      </w:r>
      <w:proofErr w:type="spellEnd"/>
      <w:r w:rsidRPr="00B1089D">
        <w:t xml:space="preserve"> a </w:t>
      </w:r>
      <w:proofErr w:type="spellStart"/>
      <w:r w:rsidRPr="00B1089D">
        <w:t>traditional</w:t>
      </w:r>
      <w:proofErr w:type="spellEnd"/>
      <w:r w:rsidRPr="00B1089D">
        <w:t xml:space="preserve"> </w:t>
      </w:r>
      <w:proofErr w:type="spellStart"/>
      <w:r w:rsidRPr="00B1089D">
        <w:t>growth</w:t>
      </w:r>
      <w:proofErr w:type="spellEnd"/>
      <w:r w:rsidRPr="00B1089D">
        <w:t xml:space="preserve"> model </w:t>
      </w:r>
      <w:proofErr w:type="spellStart"/>
      <w:r w:rsidRPr="00B1089D">
        <w:t>significantly</w:t>
      </w:r>
      <w:proofErr w:type="spellEnd"/>
      <w:r w:rsidRPr="00B1089D">
        <w:t xml:space="preserve"> </w:t>
      </w:r>
      <w:proofErr w:type="spellStart"/>
      <w:r w:rsidRPr="00B1089D">
        <w:t>improves</w:t>
      </w:r>
      <w:proofErr w:type="spellEnd"/>
      <w:r w:rsidRPr="00B1089D">
        <w:t xml:space="preserve"> </w:t>
      </w:r>
      <w:proofErr w:type="spellStart"/>
      <w:r w:rsidRPr="00B1089D">
        <w:t>its</w:t>
      </w:r>
      <w:proofErr w:type="spellEnd"/>
      <w:r w:rsidRPr="00B1089D">
        <w:t xml:space="preserve"> </w:t>
      </w:r>
      <w:proofErr w:type="spellStart"/>
      <w:r w:rsidRPr="00B1089D">
        <w:t>explanatory</w:t>
      </w:r>
      <w:proofErr w:type="spellEnd"/>
      <w:r w:rsidRPr="00B1089D">
        <w:t xml:space="preserve"> </w:t>
      </w:r>
      <w:proofErr w:type="spellStart"/>
      <w:r w:rsidRPr="00B1089D">
        <w:t>power</w:t>
      </w:r>
      <w:proofErr w:type="spellEnd"/>
      <w:r w:rsidRPr="00B1089D">
        <w:t xml:space="preserve">. </w:t>
      </w:r>
      <w:proofErr w:type="spellStart"/>
      <w:r w:rsidRPr="00B1089D">
        <w:t>The</w:t>
      </w:r>
      <w:proofErr w:type="spellEnd"/>
      <w:r w:rsidRPr="00B1089D">
        <w:t xml:space="preserve"> </w:t>
      </w:r>
      <w:proofErr w:type="spellStart"/>
      <w:r w:rsidRPr="00B1089D">
        <w:t>results</w:t>
      </w:r>
      <w:proofErr w:type="spellEnd"/>
      <w:r w:rsidRPr="00B1089D">
        <w:t xml:space="preserve"> </w:t>
      </w:r>
      <w:proofErr w:type="spellStart"/>
      <w:r w:rsidRPr="00B1089D">
        <w:t>are</w:t>
      </w:r>
      <w:proofErr w:type="spellEnd"/>
      <w:r w:rsidRPr="00B1089D">
        <w:t xml:space="preserve"> </w:t>
      </w:r>
      <w:proofErr w:type="spellStart"/>
      <w:r w:rsidRPr="00B1089D">
        <w:t>robust</w:t>
      </w:r>
      <w:proofErr w:type="spellEnd"/>
      <w:r w:rsidRPr="00B1089D">
        <w:t xml:space="preserve"> </w:t>
      </w:r>
      <w:proofErr w:type="spellStart"/>
      <w:r w:rsidRPr="00B1089D">
        <w:t>across</w:t>
      </w:r>
      <w:proofErr w:type="spellEnd"/>
      <w:r w:rsidRPr="00B1089D">
        <w:t xml:space="preserve"> </w:t>
      </w:r>
      <w:proofErr w:type="spellStart"/>
      <w:r w:rsidRPr="00B1089D">
        <w:t>various</w:t>
      </w:r>
      <w:proofErr w:type="spellEnd"/>
      <w:r w:rsidRPr="00B1089D">
        <w:t xml:space="preserve"> </w:t>
      </w:r>
      <w:proofErr w:type="spellStart"/>
      <w:r w:rsidRPr="00B1089D">
        <w:t>techniques</w:t>
      </w:r>
      <w:proofErr w:type="spellEnd"/>
      <w:r w:rsidRPr="00B1089D">
        <w:t xml:space="preserve">, </w:t>
      </w:r>
      <w:proofErr w:type="spellStart"/>
      <w:r w:rsidRPr="00B1089D">
        <w:t>with</w:t>
      </w:r>
      <w:proofErr w:type="spellEnd"/>
      <w:r w:rsidRPr="00B1089D">
        <w:t xml:space="preserve"> </w:t>
      </w:r>
      <w:proofErr w:type="spellStart"/>
      <w:r w:rsidRPr="00B1089D">
        <w:t>dimensions</w:t>
      </w:r>
      <w:proofErr w:type="spellEnd"/>
      <w:r w:rsidRPr="00B1089D">
        <w:t xml:space="preserve"> </w:t>
      </w:r>
      <w:proofErr w:type="spellStart"/>
      <w:r w:rsidRPr="00B1089D">
        <w:t>like</w:t>
      </w:r>
      <w:proofErr w:type="spellEnd"/>
      <w:r w:rsidRPr="00B1089D">
        <w:t xml:space="preserve"> </w:t>
      </w:r>
      <w:proofErr w:type="spellStart"/>
      <w:r w:rsidRPr="00B1089D">
        <w:t>the</w:t>
      </w:r>
      <w:proofErr w:type="spellEnd"/>
      <w:r w:rsidRPr="00B1089D">
        <w:t xml:space="preserve"> </w:t>
      </w:r>
      <w:proofErr w:type="spellStart"/>
      <w:r w:rsidRPr="00B1089D">
        <w:t>rule</w:t>
      </w:r>
      <w:proofErr w:type="spellEnd"/>
      <w:r w:rsidRPr="00B1089D">
        <w:t xml:space="preserve"> of </w:t>
      </w:r>
      <w:proofErr w:type="spellStart"/>
      <w:r w:rsidRPr="00B1089D">
        <w:t>law</w:t>
      </w:r>
      <w:proofErr w:type="spellEnd"/>
      <w:r w:rsidRPr="00B1089D">
        <w:t xml:space="preserve">, </w:t>
      </w:r>
      <w:proofErr w:type="spellStart"/>
      <w:r w:rsidRPr="00B1089D">
        <w:t>control</w:t>
      </w:r>
      <w:proofErr w:type="spellEnd"/>
      <w:r w:rsidRPr="00B1089D">
        <w:t xml:space="preserve"> of </w:t>
      </w:r>
      <w:proofErr w:type="spellStart"/>
      <w:r w:rsidRPr="00B1089D">
        <w:t>corruption</w:t>
      </w:r>
      <w:proofErr w:type="spellEnd"/>
      <w:r w:rsidRPr="00B1089D">
        <w:t xml:space="preserve">, </w:t>
      </w:r>
      <w:proofErr w:type="spellStart"/>
      <w:r w:rsidRPr="00B1089D">
        <w:t>and</w:t>
      </w:r>
      <w:proofErr w:type="spellEnd"/>
      <w:r w:rsidRPr="00B1089D">
        <w:t xml:space="preserve">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positively</w:t>
      </w:r>
      <w:proofErr w:type="spellEnd"/>
      <w:r w:rsidRPr="00B1089D">
        <w:t xml:space="preserve"> </w:t>
      </w:r>
      <w:proofErr w:type="spellStart"/>
      <w:r w:rsidRPr="00B1089D">
        <w:t>linked</w:t>
      </w:r>
      <w:proofErr w:type="spellEnd"/>
      <w:r w:rsidRPr="00B1089D">
        <w:t xml:space="preserve"> </w:t>
      </w:r>
      <w:proofErr w:type="spellStart"/>
      <w:r w:rsidRPr="00B1089D">
        <w:t>to</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highlights</w:t>
      </w:r>
      <w:proofErr w:type="spellEnd"/>
      <w:r w:rsidRPr="00B1089D">
        <w:t xml:space="preserve"> </w:t>
      </w:r>
      <w:proofErr w:type="spellStart"/>
      <w:r w:rsidRPr="00B1089D">
        <w:t>the</w:t>
      </w:r>
      <w:proofErr w:type="spellEnd"/>
      <w:r w:rsidRPr="00B1089D">
        <w:t xml:space="preserve"> </w:t>
      </w:r>
      <w:proofErr w:type="spellStart"/>
      <w:r w:rsidRPr="00B1089D">
        <w:t>crucial</w:t>
      </w:r>
      <w:proofErr w:type="spellEnd"/>
      <w:r w:rsidRPr="00B1089D">
        <w:t xml:space="preserve"> role of </w:t>
      </w:r>
      <w:proofErr w:type="spellStart"/>
      <w:r w:rsidRPr="00B1089D">
        <w:t>institutional</w:t>
      </w:r>
      <w:proofErr w:type="spellEnd"/>
      <w:r w:rsidRPr="00B1089D">
        <w:t xml:space="preserve"> </w:t>
      </w:r>
      <w:proofErr w:type="spellStart"/>
      <w:r w:rsidRPr="00B1089D">
        <w:t>quality</w:t>
      </w:r>
      <w:proofErr w:type="spellEnd"/>
      <w:r w:rsidRPr="00B1089D">
        <w:t xml:space="preserve"> in </w:t>
      </w:r>
      <w:proofErr w:type="spellStart"/>
      <w:r w:rsidRPr="00B1089D">
        <w:t>explaining</w:t>
      </w:r>
      <w:proofErr w:type="spellEnd"/>
      <w:r w:rsidRPr="00B1089D">
        <w:t xml:space="preserve"> </w:t>
      </w:r>
      <w:proofErr w:type="spellStart"/>
      <w:r w:rsidRPr="00B1089D">
        <w:t>income</w:t>
      </w:r>
      <w:proofErr w:type="spellEnd"/>
      <w:r w:rsidRPr="00B1089D">
        <w:t xml:space="preserve"> </w:t>
      </w:r>
      <w:proofErr w:type="spellStart"/>
      <w:r w:rsidRPr="00B1089D">
        <w:t>disparities</w:t>
      </w:r>
      <w:proofErr w:type="spellEnd"/>
      <w:r w:rsidRPr="00B1089D">
        <w:t xml:space="preserve"> </w:t>
      </w:r>
      <w:proofErr w:type="spellStart"/>
      <w:r w:rsidRPr="00B1089D">
        <w:t>among</w:t>
      </w:r>
      <w:proofErr w:type="spellEnd"/>
      <w:r w:rsidRPr="00B1089D">
        <w:t xml:space="preserve"> </w:t>
      </w:r>
      <w:proofErr w:type="spellStart"/>
      <w:r w:rsidRPr="00B1089D">
        <w:t>nations</w:t>
      </w:r>
      <w:proofErr w:type="spellEnd"/>
      <w:r w:rsidRPr="00B1089D">
        <w:t xml:space="preserve">, </w:t>
      </w:r>
      <w:proofErr w:type="spellStart"/>
      <w:r w:rsidRPr="00B1089D">
        <w:t>surpassing</w:t>
      </w:r>
      <w:proofErr w:type="spellEnd"/>
      <w:r w:rsidRPr="00B1089D">
        <w:t xml:space="preserve"> </w:t>
      </w:r>
      <w:proofErr w:type="spellStart"/>
      <w:r w:rsidRPr="00B1089D">
        <w:t>conventional</w:t>
      </w:r>
      <w:proofErr w:type="spellEnd"/>
      <w:r w:rsidRPr="00B1089D">
        <w:t xml:space="preserve"> </w:t>
      </w:r>
      <w:proofErr w:type="spellStart"/>
      <w:r w:rsidRPr="00B1089D">
        <w:t>variables</w:t>
      </w:r>
      <w:proofErr w:type="spellEnd"/>
      <w:r w:rsidRPr="00B1089D">
        <w:t xml:space="preserve">, </w:t>
      </w:r>
      <w:proofErr w:type="spellStart"/>
      <w:r w:rsidRPr="00B1089D">
        <w:t>and</w:t>
      </w:r>
      <w:proofErr w:type="spellEnd"/>
      <w:r w:rsidRPr="00B1089D">
        <w:t xml:space="preserve"> </w:t>
      </w:r>
      <w:proofErr w:type="spellStart"/>
      <w:r w:rsidRPr="00B1089D">
        <w:t>recommends</w:t>
      </w:r>
      <w:proofErr w:type="spellEnd"/>
      <w:r w:rsidRPr="00B1089D">
        <w:t xml:space="preserve"> </w:t>
      </w:r>
      <w:proofErr w:type="spellStart"/>
      <w:r w:rsidRPr="00B1089D">
        <w:t>institutional</w:t>
      </w:r>
      <w:proofErr w:type="spellEnd"/>
      <w:r w:rsidRPr="00B1089D">
        <w:t xml:space="preserve"> </w:t>
      </w:r>
      <w:proofErr w:type="spellStart"/>
      <w:r w:rsidRPr="00B1089D">
        <w:t>reforms</w:t>
      </w:r>
      <w:proofErr w:type="spellEnd"/>
      <w:r w:rsidRPr="00B1089D">
        <w:t xml:space="preserve"> </w:t>
      </w:r>
      <w:proofErr w:type="spellStart"/>
      <w:r w:rsidRPr="00B1089D">
        <w:t>for</w:t>
      </w:r>
      <w:proofErr w:type="spellEnd"/>
      <w:r w:rsidRPr="00B1089D">
        <w:t xml:space="preserve"> </w:t>
      </w:r>
      <w:proofErr w:type="spellStart"/>
      <w:r w:rsidRPr="00B1089D">
        <w:t>governments</w:t>
      </w:r>
      <w:proofErr w:type="spellEnd"/>
      <w:r w:rsidRPr="00B1089D">
        <w:t xml:space="preserve"> </w:t>
      </w:r>
      <w:proofErr w:type="spellStart"/>
      <w:r w:rsidRPr="00B1089D">
        <w:t>aiming</w:t>
      </w:r>
      <w:proofErr w:type="spellEnd"/>
      <w:r w:rsidRPr="00B1089D">
        <w:t xml:space="preserve"> </w:t>
      </w:r>
      <w:proofErr w:type="spellStart"/>
      <w:r w:rsidRPr="00B1089D">
        <w:t>to</w:t>
      </w:r>
      <w:proofErr w:type="spellEnd"/>
      <w:r w:rsidRPr="00B1089D">
        <w:t xml:space="preserve"> </w:t>
      </w:r>
      <w:proofErr w:type="spellStart"/>
      <w:r w:rsidRPr="00B1089D">
        <w:t>boost</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Aixalá</w:t>
      </w:r>
      <w:proofErr w:type="spellEnd"/>
      <w:r w:rsidRPr="00B1089D">
        <w:t xml:space="preserve"> &amp; </w:t>
      </w:r>
      <w:proofErr w:type="spellStart"/>
      <w:r w:rsidRPr="00B1089D">
        <w:t>Fabro</w:t>
      </w:r>
      <w:proofErr w:type="spellEnd"/>
      <w:r w:rsidRPr="00B1089D">
        <w:t xml:space="preserve"> 2007: 74).</w:t>
      </w:r>
    </w:p>
    <w:p w14:paraId="22ACA3C2" w14:textId="77777777" w:rsidR="00FA457D" w:rsidRPr="00B1089D" w:rsidRDefault="00FA457D" w:rsidP="00E359E0">
      <w:pPr>
        <w:widowControl/>
        <w:jc w:val="both"/>
      </w:pPr>
    </w:p>
    <w:p w14:paraId="5412FEAD" w14:textId="77777777" w:rsidR="00FA457D" w:rsidRPr="00B1089D" w:rsidRDefault="00FA457D" w:rsidP="00E359E0">
      <w:pPr>
        <w:widowControl/>
        <w:jc w:val="both"/>
      </w:pPr>
      <w:proofErr w:type="spellStart"/>
      <w:r w:rsidRPr="00B1089D">
        <w:t>Huynh</w:t>
      </w:r>
      <w:proofErr w:type="spellEnd"/>
      <w:r w:rsidRPr="00B1089D">
        <w:t xml:space="preserve"> </w:t>
      </w:r>
      <w:proofErr w:type="spellStart"/>
      <w:r w:rsidRPr="00B1089D">
        <w:t>and</w:t>
      </w:r>
      <w:proofErr w:type="spellEnd"/>
      <w:r w:rsidRPr="00B1089D">
        <w:t xml:space="preserve"> </w:t>
      </w:r>
      <w:proofErr w:type="spellStart"/>
      <w:r w:rsidRPr="00B1089D">
        <w:t>Jacho-Chávez</w:t>
      </w:r>
      <w:proofErr w:type="spellEnd"/>
      <w:r w:rsidRPr="00B1089D">
        <w:t xml:space="preserve"> (2009)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using</w:t>
      </w:r>
      <w:proofErr w:type="spellEnd"/>
      <w:r w:rsidRPr="00B1089D">
        <w:t xml:space="preserve"> World Bank </w:t>
      </w:r>
      <w:proofErr w:type="spellStart"/>
      <w:r w:rsidRPr="00B1089D">
        <w:t>indicators</w:t>
      </w:r>
      <w:proofErr w:type="spellEnd"/>
      <w:r w:rsidRPr="00B1089D">
        <w:t xml:space="preserve">. They </w:t>
      </w:r>
      <w:proofErr w:type="spellStart"/>
      <w:r w:rsidRPr="00B1089D">
        <w:t>find</w:t>
      </w:r>
      <w:proofErr w:type="spellEnd"/>
      <w:r w:rsidRPr="00B1089D">
        <w:t xml:space="preserve"> </w:t>
      </w:r>
      <w:proofErr w:type="spellStart"/>
      <w:r w:rsidRPr="00B1089D">
        <w:t>that</w:t>
      </w:r>
      <w:proofErr w:type="spellEnd"/>
      <w:r w:rsidRPr="00B1089D">
        <w:t xml:space="preserve"> </w:t>
      </w:r>
      <w:proofErr w:type="spellStart"/>
      <w:r w:rsidRPr="00B1089D">
        <w:t>only</w:t>
      </w:r>
      <w:proofErr w:type="spellEnd"/>
      <w:r w:rsidRPr="00B1089D">
        <w:t xml:space="preserve"> </w:t>
      </w:r>
      <w:proofErr w:type="spellStart"/>
      <w:r w:rsidRPr="00B1089D">
        <w:t>voice</w:t>
      </w:r>
      <w:proofErr w:type="spellEnd"/>
      <w:r w:rsidRPr="00B1089D">
        <w:t xml:space="preserv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rule</w:t>
      </w:r>
      <w:proofErr w:type="spellEnd"/>
      <w:r w:rsidRPr="00B1089D">
        <w:t xml:space="preserve"> of </w:t>
      </w:r>
      <w:proofErr w:type="spellStart"/>
      <w:r w:rsidRPr="00B1089D">
        <w:t>law</w:t>
      </w:r>
      <w:proofErr w:type="spellEnd"/>
      <w:r w:rsidRPr="00B1089D">
        <w:t xml:space="preserve"> </w:t>
      </w:r>
      <w:proofErr w:type="spellStart"/>
      <w:r w:rsidRPr="00B1089D">
        <w:t>significantly</w:t>
      </w:r>
      <w:proofErr w:type="spellEnd"/>
      <w:r w:rsidRPr="00B1089D">
        <w:t xml:space="preserve"> </w:t>
      </w:r>
      <w:proofErr w:type="spellStart"/>
      <w:r w:rsidRPr="00B1089D">
        <w:t>correlate</w:t>
      </w:r>
      <w:proofErr w:type="spellEnd"/>
      <w:r w:rsidRPr="00B1089D">
        <w:t xml:space="preserve"> </w:t>
      </w:r>
      <w:proofErr w:type="spellStart"/>
      <w:r w:rsidRPr="00B1089D">
        <w:t>with</w:t>
      </w:r>
      <w:proofErr w:type="spellEnd"/>
      <w:r w:rsidRPr="00B1089D">
        <w:t xml:space="preserve"> </w:t>
      </w:r>
      <w:proofErr w:type="spellStart"/>
      <w:r w:rsidRPr="00B1089D">
        <w:t>growth</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reveals</w:t>
      </w:r>
      <w:proofErr w:type="spellEnd"/>
      <w:r w:rsidRPr="00B1089D">
        <w:t xml:space="preserve"> </w:t>
      </w:r>
      <w:proofErr w:type="spellStart"/>
      <w:r w:rsidRPr="00B1089D">
        <w:t>nonlinear</w:t>
      </w:r>
      <w:proofErr w:type="spellEnd"/>
      <w:r w:rsidRPr="00B1089D">
        <w:t xml:space="preserve"> </w:t>
      </w:r>
      <w:proofErr w:type="spellStart"/>
      <w:r w:rsidRPr="00B1089D">
        <w:t>relationships</w:t>
      </w:r>
      <w:proofErr w:type="spellEnd"/>
      <w:r w:rsidRPr="00B1089D">
        <w:t xml:space="preserve"> </w:t>
      </w:r>
      <w:proofErr w:type="spellStart"/>
      <w:r w:rsidRPr="00B1089D">
        <w:t>and</w:t>
      </w:r>
      <w:proofErr w:type="spellEnd"/>
      <w:r w:rsidRPr="00B1089D">
        <w:t xml:space="preserve"> </w:t>
      </w:r>
      <w:proofErr w:type="spellStart"/>
      <w:r w:rsidRPr="00B1089D">
        <w:t>emphasises</w:t>
      </w:r>
      <w:proofErr w:type="spellEnd"/>
      <w:r w:rsidRPr="00B1089D">
        <w:t xml:space="preserve"> </w:t>
      </w:r>
      <w:proofErr w:type="spellStart"/>
      <w:r w:rsidRPr="00B1089D">
        <w:t>that</w:t>
      </w:r>
      <w:proofErr w:type="spellEnd"/>
      <w:r w:rsidRPr="00B1089D">
        <w:t xml:space="preserve"> </w:t>
      </w:r>
      <w:proofErr w:type="spellStart"/>
      <w:r w:rsidRPr="00B1089D">
        <w:t>stability</w:t>
      </w:r>
      <w:proofErr w:type="spellEnd"/>
      <w:r w:rsidRPr="00B1089D">
        <w:t xml:space="preserve">, not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drives</w:t>
      </w:r>
      <w:proofErr w:type="spellEnd"/>
      <w:r w:rsidRPr="00B1089D">
        <w:t xml:space="preserve"> </w:t>
      </w:r>
      <w:proofErr w:type="spellStart"/>
      <w:r w:rsidRPr="00B1089D">
        <w:t>growth</w:t>
      </w:r>
      <w:proofErr w:type="spellEnd"/>
      <w:r w:rsidRPr="00B1089D">
        <w:t xml:space="preserve"> in </w:t>
      </w:r>
      <w:proofErr w:type="spellStart"/>
      <w:r w:rsidRPr="00B1089D">
        <w:t>poorer</w:t>
      </w:r>
      <w:proofErr w:type="spellEnd"/>
      <w:r w:rsidRPr="00B1089D">
        <w:t xml:space="preserve"> </w:t>
      </w:r>
      <w:proofErr w:type="spellStart"/>
      <w:r w:rsidRPr="00B1089D">
        <w:t>nations</w:t>
      </w:r>
      <w:proofErr w:type="spellEnd"/>
      <w:r w:rsidRPr="00B1089D">
        <w:t xml:space="preserve">. </w:t>
      </w:r>
      <w:proofErr w:type="spellStart"/>
      <w:r w:rsidRPr="00B1089D">
        <w:t>It</w:t>
      </w:r>
      <w:proofErr w:type="spellEnd"/>
      <w:r w:rsidRPr="00B1089D">
        <w:t xml:space="preserve"> </w:t>
      </w:r>
      <w:proofErr w:type="spellStart"/>
      <w:r w:rsidRPr="00B1089D">
        <w:t>also</w:t>
      </w:r>
      <w:proofErr w:type="spellEnd"/>
      <w:r w:rsidRPr="00B1089D">
        <w:t xml:space="preserve"> </w:t>
      </w:r>
      <w:proofErr w:type="spellStart"/>
      <w:r w:rsidRPr="00B1089D">
        <w:t>advocates</w:t>
      </w:r>
      <w:proofErr w:type="spellEnd"/>
      <w:r w:rsidRPr="00B1089D">
        <w:t xml:space="preserve"> </w:t>
      </w:r>
      <w:proofErr w:type="spellStart"/>
      <w:r w:rsidRPr="00B1089D">
        <w:t>caution</w:t>
      </w:r>
      <w:proofErr w:type="spellEnd"/>
      <w:r w:rsidRPr="00B1089D">
        <w:t xml:space="preserve"> </w:t>
      </w:r>
      <w:proofErr w:type="spellStart"/>
      <w:r w:rsidRPr="00B1089D">
        <w:t>with</w:t>
      </w:r>
      <w:proofErr w:type="spellEnd"/>
      <w:r w:rsidRPr="00B1089D">
        <w:t xml:space="preserve"> </w:t>
      </w:r>
      <w:proofErr w:type="spellStart"/>
      <w:r w:rsidRPr="00B1089D">
        <w:t>parametric</w:t>
      </w:r>
      <w:proofErr w:type="spellEnd"/>
      <w:r w:rsidRPr="00B1089D">
        <w:t xml:space="preserve"> </w:t>
      </w:r>
      <w:proofErr w:type="spellStart"/>
      <w:r w:rsidRPr="00B1089D">
        <w:t>models</w:t>
      </w:r>
      <w:proofErr w:type="spellEnd"/>
      <w:r w:rsidRPr="00B1089D">
        <w:t xml:space="preserve"> </w:t>
      </w:r>
      <w:proofErr w:type="spellStart"/>
      <w:r w:rsidRPr="00B1089D">
        <w:t>and</w:t>
      </w:r>
      <w:proofErr w:type="spellEnd"/>
      <w:r w:rsidRPr="00B1089D">
        <w:t xml:space="preserve"> </w:t>
      </w:r>
      <w:proofErr w:type="spellStart"/>
      <w:r w:rsidRPr="00B1089D">
        <w:t>suggests</w:t>
      </w:r>
      <w:proofErr w:type="spellEnd"/>
      <w:r w:rsidRPr="00B1089D">
        <w:t xml:space="preserve"> </w:t>
      </w:r>
      <w:proofErr w:type="spellStart"/>
      <w:r w:rsidRPr="00B1089D">
        <w:t>growth</w:t>
      </w:r>
      <w:proofErr w:type="spellEnd"/>
      <w:r w:rsidRPr="00B1089D">
        <w:t xml:space="preserve"> </w:t>
      </w:r>
      <w:proofErr w:type="spellStart"/>
      <w:r w:rsidRPr="00B1089D">
        <w:t>diagnostics</w:t>
      </w:r>
      <w:proofErr w:type="spellEnd"/>
      <w:r w:rsidRPr="00B1089D">
        <w:t xml:space="preserve"> </w:t>
      </w:r>
      <w:proofErr w:type="spellStart"/>
      <w:r w:rsidRPr="00B1089D">
        <w:t>to</w:t>
      </w:r>
      <w:proofErr w:type="spellEnd"/>
      <w:r w:rsidRPr="00B1089D">
        <w:t xml:space="preserve"> </w:t>
      </w:r>
      <w:proofErr w:type="spellStart"/>
      <w:r w:rsidRPr="00B1089D">
        <w:t>address</w:t>
      </w:r>
      <w:proofErr w:type="spellEnd"/>
      <w:r w:rsidRPr="00B1089D">
        <w:t xml:space="preserve"> </w:t>
      </w:r>
      <w:proofErr w:type="spellStart"/>
      <w:r w:rsidRPr="00B1089D">
        <w:t>country-specific</w:t>
      </w:r>
      <w:proofErr w:type="spellEnd"/>
      <w:r w:rsidRPr="00B1089D">
        <w:t xml:space="preserve"> </w:t>
      </w:r>
      <w:proofErr w:type="spellStart"/>
      <w:r w:rsidRPr="00B1089D">
        <w:t>barriers</w:t>
      </w:r>
      <w:proofErr w:type="spellEnd"/>
      <w:r w:rsidRPr="00B1089D">
        <w:t xml:space="preserve"> </w:t>
      </w:r>
      <w:proofErr w:type="spellStart"/>
      <w:r w:rsidRPr="00B1089D">
        <w:t>while</w:t>
      </w:r>
      <w:proofErr w:type="spellEnd"/>
      <w:r w:rsidRPr="00B1089D">
        <w:t xml:space="preserve"> </w:t>
      </w:r>
      <w:proofErr w:type="spellStart"/>
      <w:r w:rsidRPr="00B1089D">
        <w:t>calling</w:t>
      </w:r>
      <w:proofErr w:type="spellEnd"/>
      <w:r w:rsidRPr="00B1089D">
        <w:t xml:space="preserve"> </w:t>
      </w:r>
      <w:proofErr w:type="spellStart"/>
      <w:r w:rsidRPr="00B1089D">
        <w:t>for</w:t>
      </w:r>
      <w:proofErr w:type="spellEnd"/>
      <w:r w:rsidRPr="00B1089D">
        <w:t xml:space="preserve"> </w:t>
      </w:r>
      <w:proofErr w:type="spellStart"/>
      <w:r w:rsidRPr="00B1089D">
        <w:t>future</w:t>
      </w:r>
      <w:proofErr w:type="spellEnd"/>
      <w:r w:rsidRPr="00B1089D">
        <w:t xml:space="preserve"> </w:t>
      </w:r>
      <w:proofErr w:type="spellStart"/>
      <w:r w:rsidRPr="00B1089D">
        <w:t>causality</w:t>
      </w:r>
      <w:proofErr w:type="spellEnd"/>
      <w:r w:rsidRPr="00B1089D">
        <w:t xml:space="preserve"> </w:t>
      </w:r>
      <w:proofErr w:type="spellStart"/>
      <w:r w:rsidRPr="00B1089D">
        <w:t>and</w:t>
      </w:r>
      <w:proofErr w:type="spellEnd"/>
      <w:r w:rsidRPr="00B1089D">
        <w:t xml:space="preserve"> </w:t>
      </w:r>
      <w:proofErr w:type="spellStart"/>
      <w:r w:rsidRPr="00B1089D">
        <w:t>governance</w:t>
      </w:r>
      <w:proofErr w:type="spellEnd"/>
      <w:r w:rsidRPr="00B1089D">
        <w:t xml:space="preserve"> </w:t>
      </w:r>
      <w:proofErr w:type="spellStart"/>
      <w:r w:rsidRPr="00B1089D">
        <w:t>dynamics</w:t>
      </w:r>
      <w:proofErr w:type="spellEnd"/>
      <w:r w:rsidRPr="00B1089D">
        <w:t xml:space="preserve"> </w:t>
      </w:r>
      <w:proofErr w:type="spellStart"/>
      <w:r w:rsidRPr="00B1089D">
        <w:t>research</w:t>
      </w:r>
      <w:proofErr w:type="spellEnd"/>
      <w:r w:rsidRPr="00B1089D">
        <w:t>. (</w:t>
      </w:r>
      <w:proofErr w:type="spellStart"/>
      <w:r w:rsidRPr="00B1089D">
        <w:t>Huynh</w:t>
      </w:r>
      <w:proofErr w:type="spellEnd"/>
      <w:r w:rsidRPr="00B1089D">
        <w:t xml:space="preserve"> &amp; </w:t>
      </w:r>
      <w:proofErr w:type="spellStart"/>
      <w:r w:rsidRPr="00B1089D">
        <w:t>Jacho-Chávez</w:t>
      </w:r>
      <w:proofErr w:type="spellEnd"/>
      <w:r w:rsidRPr="00B1089D">
        <w:t xml:space="preserve"> 2009: 141).</w:t>
      </w:r>
    </w:p>
    <w:p w14:paraId="77C10B56" w14:textId="77777777" w:rsidR="00FA457D" w:rsidRPr="00B1089D" w:rsidRDefault="00FA457D" w:rsidP="00E359E0">
      <w:pPr>
        <w:widowControl/>
        <w:jc w:val="both"/>
      </w:pPr>
      <w:proofErr w:type="spellStart"/>
      <w:r w:rsidRPr="00B1089D">
        <w:t>Zhuang</w:t>
      </w:r>
      <w:proofErr w:type="spellEnd"/>
      <w:r w:rsidRPr="00B1089D">
        <w:t xml:space="preserve">, </w:t>
      </w:r>
      <w:proofErr w:type="spellStart"/>
      <w:r w:rsidRPr="00B1089D">
        <w:t>Dios</w:t>
      </w:r>
      <w:proofErr w:type="spellEnd"/>
      <w:r w:rsidRPr="00B1089D">
        <w:t xml:space="preserve">, </w:t>
      </w:r>
      <w:proofErr w:type="spellStart"/>
      <w:r w:rsidRPr="00B1089D">
        <w:t>and</w:t>
      </w:r>
      <w:proofErr w:type="spellEnd"/>
      <w:r w:rsidRPr="00B1089D">
        <w:t xml:space="preserve"> </w:t>
      </w:r>
      <w:proofErr w:type="spellStart"/>
      <w:r w:rsidRPr="00B1089D">
        <w:t>Lagman</w:t>
      </w:r>
      <w:proofErr w:type="spellEnd"/>
      <w:r w:rsidRPr="00B1089D">
        <w:t>-</w:t>
      </w:r>
      <w:proofErr w:type="gramStart"/>
      <w:r w:rsidRPr="00B1089D">
        <w:t>Martin</w:t>
      </w:r>
      <w:proofErr w:type="gramEnd"/>
      <w:r w:rsidRPr="00B1089D">
        <w:t xml:space="preserve"> (2010) </w:t>
      </w:r>
      <w:proofErr w:type="spellStart"/>
      <w:r w:rsidRPr="00B1089D">
        <w:t>examine</w:t>
      </w:r>
      <w:proofErr w:type="spellEnd"/>
      <w:r w:rsidRPr="00B1089D">
        <w:t xml:space="preserve"> </w:t>
      </w:r>
      <w:proofErr w:type="spellStart"/>
      <w:r w:rsidRPr="00B1089D">
        <w:t>the</w:t>
      </w:r>
      <w:proofErr w:type="spellEnd"/>
      <w:r w:rsidRPr="00B1089D">
        <w:t xml:space="preserve"> role of </w:t>
      </w:r>
      <w:proofErr w:type="spellStart"/>
      <w:r w:rsidRPr="00B1089D">
        <w:t>governance</w:t>
      </w:r>
      <w:proofErr w:type="spellEnd"/>
      <w:r w:rsidRPr="00B1089D">
        <w:t xml:space="preserve"> in </w:t>
      </w:r>
      <w:proofErr w:type="spellStart"/>
      <w:r w:rsidRPr="00B1089D">
        <w:t>promoting</w:t>
      </w:r>
      <w:proofErr w:type="spellEnd"/>
      <w:r w:rsidRPr="00B1089D">
        <w:t xml:space="preserve"> </w:t>
      </w:r>
      <w:proofErr w:type="spellStart"/>
      <w:r w:rsidRPr="00B1089D">
        <w:t>growth</w:t>
      </w:r>
      <w:proofErr w:type="spellEnd"/>
      <w:r w:rsidRPr="00B1089D">
        <w:t xml:space="preserve"> </w:t>
      </w:r>
      <w:proofErr w:type="spellStart"/>
      <w:r w:rsidRPr="00B1089D">
        <w:t>and</w:t>
      </w:r>
      <w:proofErr w:type="spellEnd"/>
      <w:r w:rsidRPr="00B1089D">
        <w:t xml:space="preserve"> </w:t>
      </w:r>
      <w:proofErr w:type="spellStart"/>
      <w:r w:rsidRPr="00B1089D">
        <w:t>inclusiveness</w:t>
      </w:r>
      <w:proofErr w:type="spellEnd"/>
      <w:r w:rsidRPr="00B1089D">
        <w:t xml:space="preserve"> in </w:t>
      </w:r>
      <w:proofErr w:type="spellStart"/>
      <w:r w:rsidRPr="00B1089D">
        <w:t>developing</w:t>
      </w:r>
      <w:proofErr w:type="spellEnd"/>
      <w:r w:rsidRPr="00B1089D">
        <w:t xml:space="preserve"> </w:t>
      </w:r>
      <w:proofErr w:type="spellStart"/>
      <w:r w:rsidRPr="00B1089D">
        <w:t>Asia</w:t>
      </w:r>
      <w:proofErr w:type="spellEnd"/>
      <w:r w:rsidRPr="00B1089D">
        <w:t xml:space="preserve">. Using </w:t>
      </w:r>
      <w:proofErr w:type="gramStart"/>
      <w:r w:rsidRPr="00B1089D">
        <w:t>data</w:t>
      </w:r>
      <w:proofErr w:type="gramEnd"/>
      <w:r w:rsidRPr="00B1089D">
        <w:t xml:space="preserve"> </w:t>
      </w:r>
      <w:proofErr w:type="spellStart"/>
      <w:r w:rsidRPr="00B1089D">
        <w:t>from</w:t>
      </w:r>
      <w:proofErr w:type="spellEnd"/>
      <w:r w:rsidRPr="00B1089D">
        <w:t xml:space="preserve"> 1998 </w:t>
      </w:r>
      <w:proofErr w:type="spellStart"/>
      <w:r w:rsidRPr="00B1089D">
        <w:t>to</w:t>
      </w:r>
      <w:proofErr w:type="spellEnd"/>
      <w:r w:rsidRPr="00B1089D">
        <w:t xml:space="preserve"> 2008, they </w:t>
      </w:r>
      <w:proofErr w:type="spellStart"/>
      <w:r w:rsidRPr="00B1089D">
        <w:t>found</w:t>
      </w:r>
      <w:proofErr w:type="spellEnd"/>
      <w:r w:rsidRPr="00B1089D">
        <w:t xml:space="preserve"> </w:t>
      </w:r>
      <w:proofErr w:type="spellStart"/>
      <w:r w:rsidRPr="00B1089D">
        <w:t>that</w:t>
      </w:r>
      <w:proofErr w:type="spellEnd"/>
      <w:r w:rsidRPr="00B1089D">
        <w:t xml:space="preserve"> </w:t>
      </w:r>
      <w:proofErr w:type="spellStart"/>
      <w:r w:rsidRPr="00B1089D">
        <w:t>economies</w:t>
      </w:r>
      <w:proofErr w:type="spellEnd"/>
      <w:r w:rsidRPr="00B1089D">
        <w:t xml:space="preserve"> </w:t>
      </w:r>
      <w:proofErr w:type="spellStart"/>
      <w:r w:rsidRPr="00B1089D">
        <w:t>with</w:t>
      </w:r>
      <w:proofErr w:type="spellEnd"/>
      <w:r w:rsidRPr="00B1089D">
        <w:t xml:space="preserve"> </w:t>
      </w:r>
      <w:proofErr w:type="spellStart"/>
      <w:r w:rsidRPr="00B1089D">
        <w:t>above-average</w:t>
      </w:r>
      <w:proofErr w:type="spellEnd"/>
      <w:r w:rsidRPr="00B1089D">
        <w:t xml:space="preserve">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rule</w:t>
      </w:r>
      <w:proofErr w:type="spellEnd"/>
      <w:r w:rsidRPr="00B1089D">
        <w:t xml:space="preserve"> of </w:t>
      </w:r>
      <w:proofErr w:type="spellStart"/>
      <w:r w:rsidRPr="00B1089D">
        <w:t>law</w:t>
      </w:r>
      <w:proofErr w:type="spellEnd"/>
      <w:r w:rsidRPr="00B1089D">
        <w:t xml:space="preserve">, </w:t>
      </w:r>
      <w:proofErr w:type="spellStart"/>
      <w:r w:rsidRPr="00B1089D">
        <w:t>and</w:t>
      </w:r>
      <w:proofErr w:type="spellEnd"/>
      <w:r w:rsidRPr="00B1089D">
        <w:t xml:space="preserve"> </w:t>
      </w:r>
      <w:proofErr w:type="spellStart"/>
      <w:r w:rsidRPr="00B1089D">
        <w:t>regulatory</w:t>
      </w:r>
      <w:proofErr w:type="spellEnd"/>
      <w:r w:rsidRPr="00B1089D">
        <w:t xml:space="preserve"> </w:t>
      </w:r>
      <w:proofErr w:type="spellStart"/>
      <w:r w:rsidRPr="00B1089D">
        <w:t>quality</w:t>
      </w:r>
      <w:proofErr w:type="spellEnd"/>
      <w:r w:rsidRPr="00B1089D">
        <w:t xml:space="preserve"> </w:t>
      </w:r>
      <w:proofErr w:type="spellStart"/>
      <w:r w:rsidRPr="00B1089D">
        <w:t>experienced</w:t>
      </w:r>
      <w:proofErr w:type="spellEnd"/>
      <w:r w:rsidRPr="00B1089D">
        <w:t xml:space="preserve"> </w:t>
      </w:r>
      <w:proofErr w:type="spellStart"/>
      <w:r w:rsidRPr="00B1089D">
        <w:t>faster</w:t>
      </w:r>
      <w:proofErr w:type="spellEnd"/>
      <w:r w:rsidRPr="00B1089D">
        <w:t xml:space="preserve"> </w:t>
      </w:r>
      <w:proofErr w:type="spellStart"/>
      <w:r w:rsidRPr="00B1089D">
        <w:t>growth</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highlights</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improving</w:t>
      </w:r>
      <w:proofErr w:type="spellEnd"/>
      <w:r w:rsidRPr="00B1089D">
        <w:t xml:space="preserve"> </w:t>
      </w:r>
      <w:proofErr w:type="spellStart"/>
      <w:r w:rsidRPr="00B1089D">
        <w:t>governance</w:t>
      </w:r>
      <w:proofErr w:type="spellEnd"/>
      <w:r w:rsidRPr="00B1089D">
        <w:t xml:space="preserve"> as a </w:t>
      </w:r>
      <w:proofErr w:type="spellStart"/>
      <w:r w:rsidRPr="00B1089D">
        <w:t>critical</w:t>
      </w:r>
      <w:proofErr w:type="spellEnd"/>
      <w:r w:rsidRPr="00B1089D">
        <w:t xml:space="preserve"> </w:t>
      </w:r>
      <w:proofErr w:type="spellStart"/>
      <w:r w:rsidRPr="00B1089D">
        <w:t>development</w:t>
      </w:r>
      <w:proofErr w:type="spellEnd"/>
      <w:r w:rsidRPr="00B1089D">
        <w:t xml:space="preserve"> </w:t>
      </w:r>
      <w:proofErr w:type="spellStart"/>
      <w:r w:rsidRPr="00B1089D">
        <w:t>strategy</w:t>
      </w:r>
      <w:proofErr w:type="spellEnd"/>
      <w:r w:rsidRPr="00B1089D">
        <w:t xml:space="preserve"> </w:t>
      </w:r>
      <w:proofErr w:type="spellStart"/>
      <w:r w:rsidRPr="00B1089D">
        <w:t>while</w:t>
      </w:r>
      <w:proofErr w:type="spellEnd"/>
      <w:r w:rsidRPr="00B1089D">
        <w:t xml:space="preserve"> </w:t>
      </w:r>
      <w:proofErr w:type="spellStart"/>
      <w:r w:rsidRPr="00B1089D">
        <w:t>acknowledging</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better</w:t>
      </w:r>
      <w:proofErr w:type="spellEnd"/>
      <w:r w:rsidRPr="00B1089D">
        <w:t xml:space="preserve"> </w:t>
      </w:r>
      <w:proofErr w:type="spellStart"/>
      <w:r w:rsidRPr="00B1089D">
        <w:t>measurement</w:t>
      </w:r>
      <w:proofErr w:type="spellEnd"/>
      <w:r w:rsidRPr="00B1089D">
        <w:t xml:space="preserve"> </w:t>
      </w:r>
      <w:proofErr w:type="spellStart"/>
      <w:r w:rsidRPr="00B1089D">
        <w:t>methods</w:t>
      </w:r>
      <w:proofErr w:type="spellEnd"/>
      <w:r w:rsidRPr="00B1089D">
        <w:t xml:space="preserve">. Not </w:t>
      </w:r>
      <w:proofErr w:type="spellStart"/>
      <w:r w:rsidRPr="00B1089D">
        <w:t>all</w:t>
      </w:r>
      <w:proofErr w:type="spellEnd"/>
      <w:r w:rsidRPr="00B1089D">
        <w:t xml:space="preserve"> </w:t>
      </w:r>
      <w:proofErr w:type="spellStart"/>
      <w:r w:rsidRPr="00B1089D">
        <w:t>governance</w:t>
      </w:r>
      <w:proofErr w:type="spellEnd"/>
      <w:r w:rsidRPr="00B1089D">
        <w:t xml:space="preserve"> </w:t>
      </w:r>
      <w:proofErr w:type="spellStart"/>
      <w:r w:rsidRPr="00B1089D">
        <w:t>dimensions</w:t>
      </w:r>
      <w:proofErr w:type="spellEnd"/>
      <w:r w:rsidRPr="00B1089D">
        <w:t xml:space="preserve"> </w:t>
      </w:r>
      <w:proofErr w:type="spellStart"/>
      <w:r w:rsidRPr="00B1089D">
        <w:t>are</w:t>
      </w:r>
      <w:proofErr w:type="spellEnd"/>
      <w:r w:rsidRPr="00B1089D">
        <w:t xml:space="preserve"> </w:t>
      </w:r>
      <w:proofErr w:type="spellStart"/>
      <w:r w:rsidRPr="00B1089D">
        <w:t>significantly</w:t>
      </w:r>
      <w:proofErr w:type="spellEnd"/>
      <w:r w:rsidRPr="00B1089D">
        <w:t xml:space="preserve"> </w:t>
      </w:r>
      <w:proofErr w:type="spellStart"/>
      <w:r w:rsidRPr="00B1089D">
        <w:t>related</w:t>
      </w:r>
      <w:proofErr w:type="spellEnd"/>
      <w:r w:rsidRPr="00B1089D">
        <w:t xml:space="preserve"> </w:t>
      </w:r>
      <w:proofErr w:type="spellStart"/>
      <w:r w:rsidRPr="00B1089D">
        <w:t>to</w:t>
      </w:r>
      <w:proofErr w:type="spellEnd"/>
      <w:r w:rsidRPr="00B1089D">
        <w:t xml:space="preserve"> </w:t>
      </w:r>
      <w:proofErr w:type="spellStart"/>
      <w:r w:rsidRPr="00B1089D">
        <w:t>growth</w:t>
      </w:r>
      <w:proofErr w:type="spellEnd"/>
      <w:r w:rsidRPr="00B1089D">
        <w:t xml:space="preserve"> (</w:t>
      </w:r>
      <w:proofErr w:type="spellStart"/>
      <w:r w:rsidRPr="00B1089D">
        <w:t>Zhuang</w:t>
      </w:r>
      <w:proofErr w:type="spellEnd"/>
      <w:r w:rsidRPr="00B1089D">
        <w:t xml:space="preserve"> et al. 2010: 45).</w:t>
      </w:r>
    </w:p>
    <w:p w14:paraId="43DCCFF0" w14:textId="77777777" w:rsidR="00FA457D" w:rsidRPr="00B1089D" w:rsidRDefault="00FA457D" w:rsidP="00E359E0">
      <w:pPr>
        <w:widowControl/>
        <w:jc w:val="both"/>
      </w:pPr>
      <w:proofErr w:type="spellStart"/>
      <w:r w:rsidRPr="00B1089D">
        <w:t>AlBassam</w:t>
      </w:r>
      <w:proofErr w:type="spellEnd"/>
      <w:r w:rsidRPr="00B1089D">
        <w:t xml:space="preserve"> (2013) </w:t>
      </w:r>
      <w:proofErr w:type="spellStart"/>
      <w:r w:rsidRPr="00B1089D">
        <w:t>examines</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the</w:t>
      </w:r>
      <w:proofErr w:type="spellEnd"/>
      <w:r w:rsidRPr="00B1089D">
        <w:t xml:space="preserve"> global </w:t>
      </w:r>
      <w:proofErr w:type="spellStart"/>
      <w:r w:rsidRPr="00B1089D">
        <w:t>economic</w:t>
      </w:r>
      <w:proofErr w:type="spellEnd"/>
      <w:r w:rsidRPr="00B1089D">
        <w:t xml:space="preserve"> </w:t>
      </w:r>
      <w:proofErr w:type="spellStart"/>
      <w:r w:rsidRPr="00B1089D">
        <w:t>crisis</w:t>
      </w:r>
      <w:proofErr w:type="spellEnd"/>
      <w:r w:rsidRPr="00B1089D">
        <w:t xml:space="preserve"> on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finds</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crisis</w:t>
      </w:r>
      <w:proofErr w:type="spellEnd"/>
      <w:r w:rsidRPr="00B1089D">
        <w:t xml:space="preserve"> has not </w:t>
      </w:r>
      <w:proofErr w:type="spellStart"/>
      <w:r w:rsidRPr="00B1089D">
        <w:t>significantly</w:t>
      </w:r>
      <w:proofErr w:type="spellEnd"/>
      <w:r w:rsidRPr="00B1089D">
        <w:t xml:space="preserve"> </w:t>
      </w:r>
      <w:proofErr w:type="spellStart"/>
      <w:r w:rsidRPr="00B1089D">
        <w:t>changed</w:t>
      </w:r>
      <w:proofErr w:type="spellEnd"/>
      <w:r w:rsidRPr="00B1089D">
        <w:t xml:space="preserve"> </w:t>
      </w:r>
      <w:proofErr w:type="spellStart"/>
      <w:r w:rsidRPr="00B1089D">
        <w:t>this</w:t>
      </w:r>
      <w:proofErr w:type="spellEnd"/>
      <w:r w:rsidRPr="00B1089D">
        <w:t xml:space="preserve"> </w:t>
      </w:r>
      <w:proofErr w:type="spellStart"/>
      <w:r w:rsidRPr="00B1089D">
        <w:t>relationship</w:t>
      </w:r>
      <w:proofErr w:type="spellEnd"/>
      <w:r w:rsidRPr="00B1089D">
        <w:t xml:space="preserve"> but </w:t>
      </w:r>
      <w:proofErr w:type="spellStart"/>
      <w:r w:rsidRPr="00B1089D">
        <w:t>reveals</w:t>
      </w:r>
      <w:proofErr w:type="spellEnd"/>
      <w:r w:rsidRPr="00B1089D">
        <w:t xml:space="preserve"> </w:t>
      </w:r>
      <w:proofErr w:type="spellStart"/>
      <w:r w:rsidRPr="00B1089D">
        <w:t>variations</w:t>
      </w:r>
      <w:proofErr w:type="spellEnd"/>
      <w:r w:rsidRPr="00B1089D">
        <w:t xml:space="preserve"> </w:t>
      </w:r>
      <w:proofErr w:type="spellStart"/>
      <w:r w:rsidRPr="00B1089D">
        <w:t>based</w:t>
      </w:r>
      <w:proofErr w:type="spellEnd"/>
      <w:r w:rsidRPr="00B1089D">
        <w:t xml:space="preserve"> on </w:t>
      </w:r>
      <w:proofErr w:type="spellStart"/>
      <w:r w:rsidRPr="00B1089D">
        <w:t>countries</w:t>
      </w:r>
      <w:proofErr w:type="spellEnd"/>
      <w:r w:rsidRPr="00B1089D">
        <w:t xml:space="preserve">' </w:t>
      </w:r>
      <w:proofErr w:type="spellStart"/>
      <w:r w:rsidRPr="00B1089D">
        <w:t>development</w:t>
      </w:r>
      <w:proofErr w:type="spellEnd"/>
      <w:r w:rsidRPr="00B1089D">
        <w:t xml:space="preserve"> </w:t>
      </w:r>
      <w:proofErr w:type="spellStart"/>
      <w:r w:rsidRPr="00B1089D">
        <w:t>levels</w:t>
      </w:r>
      <w:proofErr w:type="spellEnd"/>
      <w:r w:rsidRPr="00B1089D">
        <w:t>. High-</w:t>
      </w:r>
      <w:proofErr w:type="spellStart"/>
      <w:r w:rsidRPr="00B1089D">
        <w:t>developed</w:t>
      </w:r>
      <w:proofErr w:type="spellEnd"/>
      <w:r w:rsidRPr="00B1089D">
        <w:t xml:space="preserve"> </w:t>
      </w:r>
      <w:proofErr w:type="spellStart"/>
      <w:r w:rsidRPr="00B1089D">
        <w:t>nations</w:t>
      </w:r>
      <w:proofErr w:type="spellEnd"/>
      <w:r w:rsidRPr="00B1089D">
        <w:t xml:space="preserve"> </w:t>
      </w:r>
      <w:proofErr w:type="spellStart"/>
      <w:r w:rsidRPr="00B1089D">
        <w:t>show</w:t>
      </w:r>
      <w:proofErr w:type="spellEnd"/>
      <w:r w:rsidRPr="00B1089D">
        <w:t xml:space="preserve"> </w:t>
      </w:r>
      <w:proofErr w:type="spellStart"/>
      <w:r w:rsidRPr="00B1089D">
        <w:t>strong</w:t>
      </w:r>
      <w:proofErr w:type="spellEnd"/>
      <w:r w:rsidRPr="00B1089D">
        <w:t xml:space="preserve"> post-</w:t>
      </w:r>
      <w:proofErr w:type="spellStart"/>
      <w:r w:rsidRPr="00B1089D">
        <w:t>crisis</w:t>
      </w:r>
      <w:proofErr w:type="spellEnd"/>
      <w:r w:rsidRPr="00B1089D">
        <w:t xml:space="preserve"> </w:t>
      </w:r>
      <w:proofErr w:type="spellStart"/>
      <w:r w:rsidRPr="00B1089D">
        <w:t>links</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growth</w:t>
      </w:r>
      <w:proofErr w:type="spellEnd"/>
      <w:r w:rsidRPr="00B1089D">
        <w:t xml:space="preserve">, </w:t>
      </w:r>
      <w:proofErr w:type="spellStart"/>
      <w:r w:rsidRPr="00B1089D">
        <w:t>while</w:t>
      </w:r>
      <w:proofErr w:type="spellEnd"/>
      <w:r w:rsidRPr="00B1089D">
        <w:t xml:space="preserve"> </w:t>
      </w:r>
      <w:proofErr w:type="spellStart"/>
      <w:r w:rsidRPr="00B1089D">
        <w:t>less-developed</w:t>
      </w:r>
      <w:proofErr w:type="spellEnd"/>
      <w:r w:rsidRPr="00B1089D">
        <w:t xml:space="preserve"> </w:t>
      </w:r>
      <w:proofErr w:type="spellStart"/>
      <w:r w:rsidRPr="00B1089D">
        <w:t>nations</w:t>
      </w:r>
      <w:proofErr w:type="spellEnd"/>
      <w:r w:rsidRPr="00B1089D">
        <w:t xml:space="preserve"> </w:t>
      </w:r>
      <w:proofErr w:type="spellStart"/>
      <w:r w:rsidRPr="00B1089D">
        <w:t>show</w:t>
      </w:r>
      <w:proofErr w:type="spellEnd"/>
      <w:r w:rsidRPr="00B1089D">
        <w:t xml:space="preserve"> a </w:t>
      </w:r>
      <w:proofErr w:type="spellStart"/>
      <w:r w:rsidRPr="00B1089D">
        <w:t>significant</w:t>
      </w:r>
      <w:proofErr w:type="spellEnd"/>
      <w:r w:rsidRPr="00B1089D">
        <w:t xml:space="preserve"> link </w:t>
      </w:r>
      <w:proofErr w:type="spellStart"/>
      <w:r w:rsidRPr="00B1089D">
        <w:t>only</w:t>
      </w:r>
      <w:proofErr w:type="spellEnd"/>
      <w:r w:rsidRPr="00B1089D">
        <w:t xml:space="preserve"> </w:t>
      </w:r>
      <w:proofErr w:type="spellStart"/>
      <w:r w:rsidRPr="00B1089D">
        <w:t>with</w:t>
      </w:r>
      <w:proofErr w:type="spellEnd"/>
      <w:r w:rsidRPr="00B1089D">
        <w:t xml:space="preserve"> </w:t>
      </w:r>
      <w:proofErr w:type="spellStart"/>
      <w:r w:rsidRPr="00B1089D">
        <w:t>control</w:t>
      </w:r>
      <w:proofErr w:type="spellEnd"/>
      <w:r w:rsidRPr="00B1089D">
        <w:t xml:space="preserve"> of </w:t>
      </w:r>
      <w:proofErr w:type="spellStart"/>
      <w:r w:rsidRPr="00B1089D">
        <w:t>corruption</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emphasises</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resilient</w:t>
      </w:r>
      <w:proofErr w:type="spellEnd"/>
      <w:r w:rsidRPr="00B1089D">
        <w:t xml:space="preserve"> </w:t>
      </w:r>
      <w:proofErr w:type="spellStart"/>
      <w:r w:rsidRPr="00B1089D">
        <w:t>governance</w:t>
      </w:r>
      <w:proofErr w:type="spellEnd"/>
      <w:r w:rsidRPr="00B1089D">
        <w:t xml:space="preserve"> </w:t>
      </w:r>
      <w:proofErr w:type="spellStart"/>
      <w:r w:rsidRPr="00B1089D">
        <w:t>strategies</w:t>
      </w:r>
      <w:proofErr w:type="spellEnd"/>
      <w:r w:rsidRPr="00B1089D">
        <w:t xml:space="preserve"> </w:t>
      </w:r>
      <w:proofErr w:type="spellStart"/>
      <w:r w:rsidRPr="00B1089D">
        <w:t>during</w:t>
      </w:r>
      <w:proofErr w:type="spellEnd"/>
      <w:r w:rsidRPr="00B1089D">
        <w:t xml:space="preserve"> </w:t>
      </w:r>
      <w:proofErr w:type="spellStart"/>
      <w:r w:rsidRPr="00B1089D">
        <w:t>crises</w:t>
      </w:r>
      <w:proofErr w:type="spellEnd"/>
      <w:r w:rsidRPr="00B1089D">
        <w:t xml:space="preserve"> </w:t>
      </w:r>
      <w:proofErr w:type="spellStart"/>
      <w:r w:rsidRPr="00B1089D">
        <w:t>and</w:t>
      </w:r>
      <w:proofErr w:type="spellEnd"/>
      <w:r w:rsidRPr="00B1089D">
        <w:t xml:space="preserve"> </w:t>
      </w:r>
      <w:proofErr w:type="spellStart"/>
      <w:r w:rsidRPr="00B1089D">
        <w:t>suggests</w:t>
      </w:r>
      <w:proofErr w:type="spellEnd"/>
      <w:r w:rsidRPr="00B1089D">
        <w:t xml:space="preserve"> </w:t>
      </w:r>
      <w:proofErr w:type="spellStart"/>
      <w:r w:rsidRPr="00B1089D">
        <w:t>further</w:t>
      </w:r>
      <w:proofErr w:type="spellEnd"/>
      <w:r w:rsidRPr="00B1089D">
        <w:t xml:space="preserve"> </w:t>
      </w:r>
      <w:proofErr w:type="spellStart"/>
      <w:r w:rsidRPr="00B1089D">
        <w:t>research</w:t>
      </w:r>
      <w:proofErr w:type="spellEnd"/>
      <w:r w:rsidRPr="00B1089D">
        <w:t xml:space="preserve"> </w:t>
      </w:r>
      <w:proofErr w:type="spellStart"/>
      <w:r w:rsidRPr="00B1089D">
        <w:t>into</w:t>
      </w:r>
      <w:proofErr w:type="spellEnd"/>
      <w:r w:rsidRPr="00B1089D">
        <w:t xml:space="preserve"> </w:t>
      </w:r>
      <w:proofErr w:type="spellStart"/>
      <w:r w:rsidRPr="00B1089D">
        <w:t>the</w:t>
      </w:r>
      <w:proofErr w:type="spellEnd"/>
      <w:r w:rsidRPr="00B1089D">
        <w:t xml:space="preserve"> role of </w:t>
      </w:r>
      <w:proofErr w:type="spellStart"/>
      <w:r w:rsidRPr="00B1089D">
        <w:t>political</w:t>
      </w:r>
      <w:proofErr w:type="spellEnd"/>
      <w:r w:rsidRPr="00B1089D">
        <w:t xml:space="preserve"> </w:t>
      </w:r>
      <w:proofErr w:type="spellStart"/>
      <w:r w:rsidRPr="00B1089D">
        <w:t>systems</w:t>
      </w:r>
      <w:proofErr w:type="spellEnd"/>
      <w:r w:rsidRPr="00B1089D">
        <w:t xml:space="preserve"> </w:t>
      </w:r>
      <w:proofErr w:type="spellStart"/>
      <w:r w:rsidRPr="00B1089D">
        <w:t>and</w:t>
      </w:r>
      <w:proofErr w:type="spellEnd"/>
      <w:r w:rsidRPr="00B1089D">
        <w:t xml:space="preserve"> </w:t>
      </w:r>
      <w:proofErr w:type="spellStart"/>
      <w:r w:rsidRPr="00B1089D">
        <w:t>regional</w:t>
      </w:r>
      <w:proofErr w:type="spellEnd"/>
      <w:r w:rsidRPr="00B1089D">
        <w:t xml:space="preserve"> </w:t>
      </w:r>
      <w:proofErr w:type="spellStart"/>
      <w:r w:rsidRPr="00B1089D">
        <w:t>analyses</w:t>
      </w:r>
      <w:proofErr w:type="spellEnd"/>
      <w:r w:rsidRPr="00B1089D">
        <w:t xml:space="preserve"> (</w:t>
      </w:r>
      <w:proofErr w:type="spellStart"/>
      <w:r w:rsidRPr="00B1089D">
        <w:t>Albassam</w:t>
      </w:r>
      <w:proofErr w:type="spellEnd"/>
      <w:r w:rsidRPr="00B1089D">
        <w:t xml:space="preserve"> 2013: 13).</w:t>
      </w:r>
    </w:p>
    <w:p w14:paraId="09220108" w14:textId="5E4DA11D" w:rsidR="00FA457D" w:rsidRPr="00D10870" w:rsidRDefault="00FA457D" w:rsidP="00E359E0">
      <w:pPr>
        <w:widowControl/>
        <w:jc w:val="both"/>
      </w:pPr>
      <w:proofErr w:type="spellStart"/>
      <w:r w:rsidRPr="00B1089D">
        <w:t>Emara</w:t>
      </w:r>
      <w:proofErr w:type="spellEnd"/>
      <w:r w:rsidRPr="00B1089D">
        <w:t xml:space="preserve"> </w:t>
      </w:r>
      <w:proofErr w:type="spellStart"/>
      <w:r w:rsidRPr="00B1089D">
        <w:t>and</w:t>
      </w:r>
      <w:proofErr w:type="spellEnd"/>
      <w:r w:rsidRPr="00B1089D">
        <w:t xml:space="preserve"> </w:t>
      </w:r>
      <w:proofErr w:type="spellStart"/>
      <w:r w:rsidRPr="00B1089D">
        <w:t>Jhonsa</w:t>
      </w:r>
      <w:proofErr w:type="spellEnd"/>
      <w:r w:rsidRPr="00B1089D">
        <w:t xml:space="preserve"> (2014) </w:t>
      </w:r>
      <w:proofErr w:type="spellStart"/>
      <w:r w:rsidRPr="00B1089D">
        <w:t>analyse</w:t>
      </w:r>
      <w:proofErr w:type="spellEnd"/>
      <w:r w:rsidRPr="00B1089D">
        <w:t xml:space="preserve"> </w:t>
      </w:r>
      <w:proofErr w:type="gramStart"/>
      <w:r w:rsidRPr="00B1089D">
        <w:t>data</w:t>
      </w:r>
      <w:proofErr w:type="gramEnd"/>
      <w:r w:rsidRPr="00B1089D">
        <w:t xml:space="preserve"> </w:t>
      </w:r>
      <w:proofErr w:type="spellStart"/>
      <w:r w:rsidRPr="00B1089D">
        <w:t>from</w:t>
      </w:r>
      <w:proofErr w:type="spellEnd"/>
      <w:r w:rsidRPr="00B1089D">
        <w:t xml:space="preserve"> 197 </w:t>
      </w:r>
      <w:proofErr w:type="spellStart"/>
      <w:r w:rsidRPr="00B1089D">
        <w:t>countries</w:t>
      </w:r>
      <w:proofErr w:type="spellEnd"/>
      <w:r w:rsidRPr="00B1089D">
        <w:t xml:space="preserve"> </w:t>
      </w:r>
      <w:proofErr w:type="spellStart"/>
      <w:r w:rsidRPr="00B1089D">
        <w:t>and</w:t>
      </w:r>
      <w:proofErr w:type="spellEnd"/>
      <w:r w:rsidRPr="00B1089D">
        <w:t xml:space="preserve"> </w:t>
      </w:r>
      <w:proofErr w:type="spellStart"/>
      <w:r w:rsidRPr="00B1089D">
        <w:t>find</w:t>
      </w:r>
      <w:proofErr w:type="spellEnd"/>
      <w:r w:rsidRPr="00B1089D">
        <w:t xml:space="preserve"> a </w:t>
      </w:r>
      <w:proofErr w:type="spellStart"/>
      <w:r w:rsidRPr="00B1089D">
        <w:t>positive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w:t>
      </w:r>
      <w:proofErr w:type="spellStart"/>
      <w:r w:rsidRPr="00B1089D">
        <w:t>per</w:t>
      </w:r>
      <w:proofErr w:type="spellEnd"/>
      <w:r w:rsidRPr="00B1089D">
        <w:t xml:space="preserve"> </w:t>
      </w:r>
      <w:proofErr w:type="spellStart"/>
      <w:r w:rsidRPr="00B1089D">
        <w:t>capita</w:t>
      </w:r>
      <w:proofErr w:type="spellEnd"/>
      <w:r w:rsidRPr="00B1089D">
        <w:t xml:space="preserve"> </w:t>
      </w:r>
      <w:proofErr w:type="spellStart"/>
      <w:r w:rsidRPr="00B1089D">
        <w:t>income</w:t>
      </w:r>
      <w:proofErr w:type="spellEnd"/>
      <w:r w:rsidRPr="00B1089D">
        <w:t xml:space="preserve">. </w:t>
      </w:r>
      <w:proofErr w:type="spellStart"/>
      <w:r w:rsidRPr="00B1089D">
        <w:t>Despite</w:t>
      </w:r>
      <w:proofErr w:type="spellEnd"/>
      <w:r w:rsidRPr="00B1089D">
        <w:t xml:space="preserve"> </w:t>
      </w:r>
      <w:proofErr w:type="spellStart"/>
      <w:r w:rsidRPr="00B1089D">
        <w:t>weak</w:t>
      </w:r>
      <w:proofErr w:type="spellEnd"/>
      <w:r w:rsidRPr="00B1089D">
        <w:t xml:space="preserve"> </w:t>
      </w:r>
      <w:proofErr w:type="spellStart"/>
      <w:r w:rsidRPr="00B1089D">
        <w:t>governance</w:t>
      </w:r>
      <w:proofErr w:type="spellEnd"/>
      <w:r w:rsidRPr="00B1089D">
        <w:t xml:space="preserve">, 22 MENA </w:t>
      </w:r>
      <w:proofErr w:type="spellStart"/>
      <w:r w:rsidRPr="00B1089D">
        <w:t>countries</w:t>
      </w:r>
      <w:proofErr w:type="spellEnd"/>
      <w:r w:rsidRPr="00B1089D">
        <w:t xml:space="preserve"> </w:t>
      </w:r>
      <w:proofErr w:type="spellStart"/>
      <w:r w:rsidRPr="00B1089D">
        <w:t>show</w:t>
      </w:r>
      <w:proofErr w:type="spellEnd"/>
      <w:r w:rsidRPr="00B1089D">
        <w:t xml:space="preserve"> </w:t>
      </w:r>
      <w:proofErr w:type="spellStart"/>
      <w:r w:rsidRPr="00B1089D">
        <w:t>higher-than-average</w:t>
      </w:r>
      <w:proofErr w:type="spellEnd"/>
      <w:r w:rsidRPr="00B1089D">
        <w:t xml:space="preserve"> </w:t>
      </w:r>
      <w:proofErr w:type="spellStart"/>
      <w:r w:rsidRPr="00B1089D">
        <w:t>income</w:t>
      </w:r>
      <w:proofErr w:type="spellEnd"/>
      <w:r w:rsidRPr="00B1089D">
        <w:t xml:space="preserve"> </w:t>
      </w:r>
      <w:proofErr w:type="spellStart"/>
      <w:r w:rsidRPr="00B1089D">
        <w:t>levels</w:t>
      </w:r>
      <w:proofErr w:type="spellEnd"/>
      <w:r w:rsidRPr="00B1089D">
        <w:t xml:space="preserve">, </w:t>
      </w:r>
      <w:proofErr w:type="spellStart"/>
      <w:r w:rsidRPr="00B1089D">
        <w:t>often</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natural</w:t>
      </w:r>
      <w:proofErr w:type="spellEnd"/>
      <w:r w:rsidRPr="00B1089D">
        <w:t xml:space="preserve"> </w:t>
      </w:r>
      <w:proofErr w:type="spellStart"/>
      <w:r w:rsidRPr="00B1089D">
        <w:t>resources</w:t>
      </w:r>
      <w:proofErr w:type="spellEnd"/>
      <w:r w:rsidRPr="00B1089D">
        <w:t xml:space="preserve"> </w:t>
      </w:r>
      <w:proofErr w:type="spellStart"/>
      <w:r w:rsidRPr="00B1089D">
        <w:t>like</w:t>
      </w:r>
      <w:proofErr w:type="spellEnd"/>
      <w:r w:rsidRPr="00B1089D">
        <w:t xml:space="preserve"> </w:t>
      </w:r>
      <w:proofErr w:type="spellStart"/>
      <w:r w:rsidRPr="00B1089D">
        <w:t>oil</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stresses</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MENA </w:t>
      </w:r>
      <w:proofErr w:type="spellStart"/>
      <w:r w:rsidRPr="00B1089D">
        <w:t>nations</w:t>
      </w:r>
      <w:proofErr w:type="spellEnd"/>
      <w:r w:rsidRPr="00B1089D">
        <w:t xml:space="preserve"> </w:t>
      </w:r>
      <w:proofErr w:type="spellStart"/>
      <w:r w:rsidRPr="00B1089D">
        <w:t>to</w:t>
      </w:r>
      <w:proofErr w:type="spellEnd"/>
      <w:r w:rsidRPr="00B1089D">
        <w:t xml:space="preserve"> </w:t>
      </w:r>
      <w:proofErr w:type="spellStart"/>
      <w:r w:rsidRPr="00B1089D">
        <w:t>improve</w:t>
      </w:r>
      <w:proofErr w:type="spellEnd"/>
      <w:r w:rsidRPr="00B1089D">
        <w:t xml:space="preserve"> </w:t>
      </w:r>
      <w:proofErr w:type="spellStart"/>
      <w:r w:rsidRPr="00B1089D">
        <w:t>regulation</w:t>
      </w:r>
      <w:proofErr w:type="spellEnd"/>
      <w:r w:rsidRPr="00B1089D">
        <w:t xml:space="preserve">, </w:t>
      </w:r>
      <w:proofErr w:type="spellStart"/>
      <w:r w:rsidRPr="00B1089D">
        <w:t>reduce</w:t>
      </w:r>
      <w:proofErr w:type="spellEnd"/>
      <w:r w:rsidRPr="00B1089D">
        <w:t xml:space="preserve"> </w:t>
      </w:r>
      <w:proofErr w:type="spellStart"/>
      <w:r w:rsidRPr="00B1089D">
        <w:t>corruption</w:t>
      </w:r>
      <w:proofErr w:type="spellEnd"/>
      <w:r w:rsidRPr="00B1089D">
        <w:t xml:space="preserve">, </w:t>
      </w:r>
      <w:proofErr w:type="spellStart"/>
      <w:r w:rsidRPr="00B1089D">
        <w:t>enhance</w:t>
      </w:r>
      <w:proofErr w:type="spellEnd"/>
      <w:r w:rsidRPr="00B1089D">
        <w:t xml:space="preserve"> </w:t>
      </w:r>
      <w:proofErr w:type="spellStart"/>
      <w:r w:rsidRPr="00B1089D">
        <w:t>the</w:t>
      </w:r>
      <w:proofErr w:type="spellEnd"/>
      <w:r w:rsidRPr="00B1089D">
        <w:t xml:space="preserve"> </w:t>
      </w:r>
      <w:proofErr w:type="spellStart"/>
      <w:r w:rsidRPr="00B1089D">
        <w:t>rule</w:t>
      </w:r>
      <w:proofErr w:type="spellEnd"/>
      <w:r w:rsidRPr="00B1089D">
        <w:t xml:space="preserve"> of </w:t>
      </w:r>
      <w:proofErr w:type="spellStart"/>
      <w:r w:rsidRPr="00B1089D">
        <w:t>law</w:t>
      </w:r>
      <w:proofErr w:type="spellEnd"/>
      <w:r w:rsidRPr="00B1089D">
        <w:t xml:space="preserve">, </w:t>
      </w:r>
      <w:proofErr w:type="spellStart"/>
      <w:r w:rsidRPr="00B1089D">
        <w:t>and</w:t>
      </w:r>
      <w:proofErr w:type="spellEnd"/>
      <w:r w:rsidRPr="00B1089D">
        <w:t xml:space="preserve"> </w:t>
      </w:r>
      <w:proofErr w:type="spellStart"/>
      <w:r w:rsidRPr="00B1089D">
        <w:t>boost</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and</w:t>
      </w:r>
      <w:proofErr w:type="spellEnd"/>
      <w:r w:rsidRPr="00B1089D">
        <w:t xml:space="preserve"> </w:t>
      </w:r>
      <w:proofErr w:type="spellStart"/>
      <w:r w:rsidRPr="00B1089D">
        <w:t>government</w:t>
      </w:r>
      <w:proofErr w:type="spellEnd"/>
      <w:r w:rsidRPr="00B1089D">
        <w:t xml:space="preserve"> </w:t>
      </w:r>
      <w:proofErr w:type="spellStart"/>
      <w:r w:rsidRPr="00B1089D">
        <w:t>accountability</w:t>
      </w:r>
      <w:proofErr w:type="spellEnd"/>
      <w:r w:rsidRPr="00B1089D">
        <w:t xml:space="preserve">. </w:t>
      </w:r>
      <w:proofErr w:type="spellStart"/>
      <w:r w:rsidRPr="00B1089D">
        <w:t>It</w:t>
      </w:r>
      <w:proofErr w:type="spellEnd"/>
      <w:r w:rsidRPr="00B1089D">
        <w:t xml:space="preserve"> </w:t>
      </w:r>
      <w:proofErr w:type="spellStart"/>
      <w:r w:rsidRPr="00B1089D">
        <w:t>also</w:t>
      </w:r>
      <w:proofErr w:type="spellEnd"/>
      <w:r w:rsidRPr="00B1089D">
        <w:t xml:space="preserve"> </w:t>
      </w:r>
      <w:proofErr w:type="spellStart"/>
      <w:r w:rsidRPr="00B1089D">
        <w:t>suggests</w:t>
      </w:r>
      <w:proofErr w:type="spellEnd"/>
      <w:r w:rsidRPr="00B1089D">
        <w:t xml:space="preserve"> </w:t>
      </w:r>
      <w:proofErr w:type="spellStart"/>
      <w:r w:rsidRPr="00B1089D">
        <w:t>that</w:t>
      </w:r>
      <w:proofErr w:type="spellEnd"/>
      <w:r w:rsidRPr="00B1089D">
        <w:t xml:space="preserve"> </w:t>
      </w:r>
      <w:proofErr w:type="spellStart"/>
      <w:r w:rsidRPr="00B1089D">
        <w:t>external</w:t>
      </w:r>
      <w:proofErr w:type="spellEnd"/>
      <w:r w:rsidRPr="00B1089D">
        <w:t xml:space="preserve"> </w:t>
      </w:r>
      <w:proofErr w:type="spellStart"/>
      <w:r w:rsidRPr="00B1089D">
        <w:t>income</w:t>
      </w:r>
      <w:proofErr w:type="spellEnd"/>
      <w:r w:rsidRPr="00B1089D">
        <w:t xml:space="preserve">, </w:t>
      </w:r>
      <w:proofErr w:type="spellStart"/>
      <w:r w:rsidRPr="00B1089D">
        <w:t>such</w:t>
      </w:r>
      <w:proofErr w:type="spellEnd"/>
      <w:r w:rsidRPr="00B1089D">
        <w:t xml:space="preserve"> as </w:t>
      </w:r>
      <w:proofErr w:type="spellStart"/>
      <w:r w:rsidRPr="00B1089D">
        <w:t>multilateral</w:t>
      </w:r>
      <w:proofErr w:type="spellEnd"/>
      <w:r w:rsidRPr="00B1089D">
        <w:t xml:space="preserve"> </w:t>
      </w:r>
      <w:proofErr w:type="spellStart"/>
      <w:r w:rsidRPr="00B1089D">
        <w:t>aid</w:t>
      </w:r>
      <w:proofErr w:type="spellEnd"/>
      <w:r w:rsidRPr="00B1089D">
        <w:t xml:space="preserve">, </w:t>
      </w:r>
      <w:proofErr w:type="spellStart"/>
      <w:r w:rsidRPr="00B1089D">
        <w:t>could</w:t>
      </w:r>
      <w:proofErr w:type="spellEnd"/>
      <w:r w:rsidRPr="00B1089D">
        <w:t xml:space="preserve"> </w:t>
      </w:r>
      <w:proofErr w:type="spellStart"/>
      <w:r w:rsidRPr="00B1089D">
        <w:t>help</w:t>
      </w:r>
      <w:proofErr w:type="spellEnd"/>
      <w:r w:rsidRPr="00B1089D">
        <w:t xml:space="preserve"> </w:t>
      </w:r>
      <w:proofErr w:type="spellStart"/>
      <w:r w:rsidRPr="00B1089D">
        <w:t>improve</w:t>
      </w:r>
      <w:proofErr w:type="spellEnd"/>
      <w:r w:rsidRPr="00B1089D">
        <w:t xml:space="preserve"> </w:t>
      </w:r>
      <w:proofErr w:type="spellStart"/>
      <w:r w:rsidRPr="00B1089D">
        <w:t>governance</w:t>
      </w:r>
      <w:proofErr w:type="spellEnd"/>
      <w:r w:rsidRPr="00B1089D">
        <w:t xml:space="preserve"> (</w:t>
      </w:r>
      <w:proofErr w:type="spellStart"/>
      <w:r w:rsidRPr="00B1089D">
        <w:t>Emara</w:t>
      </w:r>
      <w:proofErr w:type="spellEnd"/>
      <w:r w:rsidRPr="00B1089D">
        <w:t xml:space="preserve"> &amp; </w:t>
      </w:r>
      <w:proofErr w:type="spellStart"/>
      <w:r w:rsidRPr="00B1089D">
        <w:t>Jhonsa</w:t>
      </w:r>
      <w:proofErr w:type="spellEnd"/>
      <w:r w:rsidRPr="00B1089D">
        <w:t xml:space="preserve"> 2014: 180).</w:t>
      </w:r>
    </w:p>
    <w:p w14:paraId="788E5762" w14:textId="77777777" w:rsidR="00FA457D" w:rsidRPr="00B1089D" w:rsidRDefault="00FA457D" w:rsidP="00E359E0">
      <w:pPr>
        <w:widowControl/>
        <w:jc w:val="both"/>
      </w:pPr>
    </w:p>
    <w:p w14:paraId="07BB55BF" w14:textId="77777777" w:rsidR="00FA457D" w:rsidRPr="00D10870" w:rsidRDefault="00FA457D" w:rsidP="00E359E0">
      <w:pPr>
        <w:widowControl/>
        <w:jc w:val="both"/>
      </w:pPr>
      <w:proofErr w:type="spellStart"/>
      <w:r w:rsidRPr="00B1089D">
        <w:t>Epaphra</w:t>
      </w:r>
      <w:proofErr w:type="spellEnd"/>
      <w:r w:rsidRPr="00B1089D">
        <w:t xml:space="preserve"> </w:t>
      </w:r>
      <w:proofErr w:type="spellStart"/>
      <w:r w:rsidRPr="00B1089D">
        <w:t>and</w:t>
      </w:r>
      <w:proofErr w:type="spellEnd"/>
      <w:r w:rsidRPr="00B1089D">
        <w:t xml:space="preserve"> </w:t>
      </w:r>
      <w:proofErr w:type="spellStart"/>
      <w:r w:rsidRPr="00B1089D">
        <w:t>Kombe</w:t>
      </w:r>
      <w:proofErr w:type="spellEnd"/>
      <w:r w:rsidRPr="00B1089D">
        <w:t xml:space="preserve"> </w:t>
      </w:r>
      <w:proofErr w:type="spellStart"/>
      <w:r w:rsidRPr="00B1089D">
        <w:t>analysed</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governance</w:t>
      </w:r>
      <w:proofErr w:type="spellEnd"/>
      <w:r w:rsidRPr="00B1089D">
        <w:t xml:space="preserve"> </w:t>
      </w:r>
      <w:proofErr w:type="spellStart"/>
      <w:r w:rsidRPr="00B1089D">
        <w:t>indicators</w:t>
      </w:r>
      <w:proofErr w:type="spellEnd"/>
      <w:r w:rsidRPr="00B1089D">
        <w:t xml:space="preserve"> on </w:t>
      </w:r>
      <w:proofErr w:type="spellStart"/>
      <w:r w:rsidRPr="00B1089D">
        <w:t>economic</w:t>
      </w:r>
      <w:proofErr w:type="spellEnd"/>
      <w:r w:rsidRPr="00B1089D">
        <w:t xml:space="preserve"> </w:t>
      </w:r>
      <w:proofErr w:type="spellStart"/>
      <w:r w:rsidRPr="00B1089D">
        <w:t>growth</w:t>
      </w:r>
      <w:proofErr w:type="spellEnd"/>
      <w:r w:rsidRPr="00B1089D">
        <w:t xml:space="preserve"> in 48 </w:t>
      </w:r>
      <w:proofErr w:type="spellStart"/>
      <w:r w:rsidRPr="00B1089D">
        <w:t>African</w:t>
      </w:r>
      <w:proofErr w:type="spellEnd"/>
      <w:r w:rsidRPr="00B1089D">
        <w:t xml:space="preserve"> </w:t>
      </w:r>
      <w:proofErr w:type="spellStart"/>
      <w:r w:rsidRPr="00B1089D">
        <w:t>countries</w:t>
      </w:r>
      <w:proofErr w:type="spellEnd"/>
      <w:r w:rsidRPr="00B1089D">
        <w:t xml:space="preserve"> </w:t>
      </w:r>
      <w:proofErr w:type="spellStart"/>
      <w:r w:rsidRPr="00B1089D">
        <w:t>from</w:t>
      </w:r>
      <w:proofErr w:type="spellEnd"/>
      <w:r w:rsidRPr="00B1089D">
        <w:t xml:space="preserve"> 1996 </w:t>
      </w:r>
      <w:proofErr w:type="spellStart"/>
      <w:r w:rsidRPr="00B1089D">
        <w:t>to</w:t>
      </w:r>
      <w:proofErr w:type="spellEnd"/>
      <w:r w:rsidRPr="00B1089D">
        <w:t xml:space="preserve"> 2016 </w:t>
      </w:r>
      <w:proofErr w:type="spellStart"/>
      <w:r w:rsidRPr="00B1089D">
        <w:t>using</w:t>
      </w:r>
      <w:proofErr w:type="spellEnd"/>
      <w:r w:rsidRPr="00B1089D">
        <w:t xml:space="preserve"> GMM </w:t>
      </w:r>
      <w:proofErr w:type="spellStart"/>
      <w:r w:rsidRPr="00B1089D">
        <w:t>and</w:t>
      </w:r>
      <w:proofErr w:type="spellEnd"/>
      <w:r w:rsidRPr="00B1089D">
        <w:t xml:space="preserve"> panel </w:t>
      </w:r>
      <w:proofErr w:type="gramStart"/>
      <w:r w:rsidRPr="00B1089D">
        <w:t>data</w:t>
      </w:r>
      <w:proofErr w:type="gramEnd"/>
      <w:r w:rsidRPr="00B1089D">
        <w:t xml:space="preserve"> </w:t>
      </w:r>
      <w:proofErr w:type="spellStart"/>
      <w:r w:rsidRPr="00B1089D">
        <w:t>models</w:t>
      </w:r>
      <w:proofErr w:type="spellEnd"/>
      <w:r w:rsidRPr="00B1089D">
        <w:t xml:space="preserve">. They </w:t>
      </w:r>
      <w:proofErr w:type="spellStart"/>
      <w:r w:rsidRPr="00B1089D">
        <w:t>find</w:t>
      </w:r>
      <w:proofErr w:type="spellEnd"/>
      <w:r w:rsidRPr="00B1089D">
        <w:t xml:space="preserve"> </w:t>
      </w:r>
      <w:proofErr w:type="spellStart"/>
      <w:r w:rsidRPr="00B1089D">
        <w:t>that</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has a </w:t>
      </w:r>
      <w:proofErr w:type="spellStart"/>
      <w:r w:rsidRPr="00B1089D">
        <w:t>significant</w:t>
      </w:r>
      <w:proofErr w:type="spellEnd"/>
      <w:r w:rsidRPr="00B1089D">
        <w:t xml:space="preserve"> </w:t>
      </w:r>
      <w:proofErr w:type="spellStart"/>
      <w:r w:rsidRPr="00B1089D">
        <w:t>influence</w:t>
      </w:r>
      <w:proofErr w:type="spellEnd"/>
      <w:r w:rsidRPr="00B1089D">
        <w:t xml:space="preserve"> on </w:t>
      </w:r>
      <w:proofErr w:type="spellStart"/>
      <w:r w:rsidRPr="00B1089D">
        <w:t>growth</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highlights</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lastRenderedPageBreak/>
        <w:t>improving</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for</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in </w:t>
      </w:r>
      <w:proofErr w:type="spellStart"/>
      <w:r w:rsidRPr="00B1089D">
        <w:t>Africa</w:t>
      </w:r>
      <w:proofErr w:type="spellEnd"/>
      <w:r w:rsidRPr="00B1089D">
        <w:t xml:space="preserve">. </w:t>
      </w:r>
      <w:proofErr w:type="spellStart"/>
      <w:r w:rsidRPr="00B1089D">
        <w:t>It</w:t>
      </w:r>
      <w:proofErr w:type="spellEnd"/>
      <w:r w:rsidRPr="00B1089D">
        <w:t xml:space="preserve"> </w:t>
      </w:r>
      <w:proofErr w:type="spellStart"/>
      <w:r w:rsidRPr="00B1089D">
        <w:t>calls</w:t>
      </w:r>
      <w:proofErr w:type="spellEnd"/>
      <w:r w:rsidRPr="00B1089D">
        <w:t xml:space="preserve"> </w:t>
      </w:r>
      <w:proofErr w:type="spellStart"/>
      <w:r w:rsidRPr="00B1089D">
        <w:t>for</w:t>
      </w:r>
      <w:proofErr w:type="spellEnd"/>
      <w:r w:rsidRPr="00B1089D">
        <w:t xml:space="preserve"> a </w:t>
      </w:r>
      <w:proofErr w:type="spellStart"/>
      <w:r w:rsidRPr="00B1089D">
        <w:t>policy</w:t>
      </w:r>
      <w:proofErr w:type="spellEnd"/>
      <w:r w:rsidRPr="00B1089D">
        <w:t xml:space="preserve"> </w:t>
      </w:r>
      <w:proofErr w:type="spellStart"/>
      <w:r w:rsidRPr="00B1089D">
        <w:t>approach</w:t>
      </w:r>
      <w:proofErr w:type="spellEnd"/>
      <w:r w:rsidRPr="00B1089D">
        <w:t xml:space="preserve"> </w:t>
      </w:r>
      <w:proofErr w:type="spellStart"/>
      <w:r w:rsidRPr="00B1089D">
        <w:t>that</w:t>
      </w:r>
      <w:proofErr w:type="spellEnd"/>
      <w:r w:rsidRPr="00B1089D">
        <w:t xml:space="preserve"> </w:t>
      </w:r>
      <w:proofErr w:type="spellStart"/>
      <w:r w:rsidRPr="00B1089D">
        <w:t>addresses</w:t>
      </w:r>
      <w:proofErr w:type="spellEnd"/>
      <w:r w:rsidRPr="00B1089D">
        <w:t xml:space="preserve"> </w:t>
      </w:r>
      <w:proofErr w:type="spellStart"/>
      <w:r w:rsidRPr="00B1089D">
        <w:t>governance</w:t>
      </w:r>
      <w:proofErr w:type="spellEnd"/>
      <w:r w:rsidRPr="00B1089D">
        <w:t xml:space="preserve"> </w:t>
      </w:r>
      <w:proofErr w:type="spellStart"/>
      <w:r w:rsidRPr="00B1089D">
        <w:t>issues</w:t>
      </w:r>
      <w:proofErr w:type="spellEnd"/>
      <w:r w:rsidRPr="00B1089D">
        <w:t xml:space="preserve">, </w:t>
      </w:r>
      <w:proofErr w:type="spellStart"/>
      <w:r w:rsidRPr="00B1089D">
        <w:t>political</w:t>
      </w:r>
      <w:proofErr w:type="spellEnd"/>
      <w:r w:rsidRPr="00B1089D">
        <w:t xml:space="preserve"> </w:t>
      </w:r>
      <w:proofErr w:type="spellStart"/>
      <w:r w:rsidRPr="00B1089D">
        <w:t>instability</w:t>
      </w:r>
      <w:proofErr w:type="spellEnd"/>
      <w:r w:rsidRPr="00B1089D">
        <w:t xml:space="preserve">, </w:t>
      </w:r>
      <w:proofErr w:type="spellStart"/>
      <w:r w:rsidRPr="00B1089D">
        <w:t>and</w:t>
      </w:r>
      <w:proofErr w:type="spellEnd"/>
      <w:r w:rsidRPr="00B1089D">
        <w:t xml:space="preserve"> </w:t>
      </w:r>
      <w:proofErr w:type="spellStart"/>
      <w:r w:rsidRPr="00B1089D">
        <w:t>structural</w:t>
      </w:r>
      <w:proofErr w:type="spellEnd"/>
      <w:r w:rsidRPr="00B1089D">
        <w:t xml:space="preserve"> </w:t>
      </w:r>
      <w:proofErr w:type="spellStart"/>
      <w:r w:rsidRPr="00B1089D">
        <w:t>factors</w:t>
      </w:r>
      <w:proofErr w:type="spellEnd"/>
      <w:r w:rsidRPr="00B1089D">
        <w:t xml:space="preserve"> (</w:t>
      </w:r>
      <w:proofErr w:type="spellStart"/>
      <w:r w:rsidRPr="00B1089D">
        <w:t>Epaphra</w:t>
      </w:r>
      <w:proofErr w:type="spellEnd"/>
      <w:r w:rsidRPr="00B1089D">
        <w:t xml:space="preserve"> &amp; </w:t>
      </w:r>
      <w:proofErr w:type="spellStart"/>
      <w:r w:rsidRPr="00B1089D">
        <w:t>Kombe</w:t>
      </w:r>
      <w:proofErr w:type="spellEnd"/>
      <w:r w:rsidRPr="00B1089D">
        <w:t xml:space="preserve"> 2017: 586).</w:t>
      </w:r>
    </w:p>
    <w:p w14:paraId="38D53FB4" w14:textId="77777777" w:rsidR="00FA457D" w:rsidRPr="00B1089D" w:rsidRDefault="00FA457D" w:rsidP="00E359E0">
      <w:pPr>
        <w:widowControl/>
        <w:jc w:val="both"/>
      </w:pPr>
    </w:p>
    <w:p w14:paraId="67F9A285" w14:textId="77777777" w:rsidR="00FA457D" w:rsidRPr="00D10870" w:rsidRDefault="00FA457D" w:rsidP="00E359E0">
      <w:pPr>
        <w:widowControl/>
        <w:jc w:val="both"/>
      </w:pPr>
      <w:proofErr w:type="spellStart"/>
      <w:r w:rsidRPr="00B1089D">
        <w:t>Salawu</w:t>
      </w:r>
      <w:proofErr w:type="spellEnd"/>
      <w:r w:rsidRPr="00B1089D">
        <w:t xml:space="preserve"> et al. (2018)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governance</w:t>
      </w:r>
      <w:proofErr w:type="spellEnd"/>
      <w:r w:rsidRPr="00B1089D">
        <w:t xml:space="preserve"> on </w:t>
      </w:r>
      <w:proofErr w:type="spellStart"/>
      <w:r w:rsidRPr="00B1089D">
        <w:t>economic</w:t>
      </w:r>
      <w:proofErr w:type="spellEnd"/>
      <w:r w:rsidRPr="00B1089D">
        <w:t xml:space="preserve"> </w:t>
      </w:r>
      <w:proofErr w:type="spellStart"/>
      <w:r w:rsidRPr="00B1089D">
        <w:t>growth</w:t>
      </w:r>
      <w:proofErr w:type="spellEnd"/>
      <w:r w:rsidRPr="00B1089D">
        <w:t xml:space="preserve"> in </w:t>
      </w:r>
      <w:proofErr w:type="spellStart"/>
      <w:r w:rsidRPr="00B1089D">
        <w:t>Nigeria</w:t>
      </w:r>
      <w:proofErr w:type="spellEnd"/>
      <w:r w:rsidRPr="00B1089D">
        <w:t xml:space="preserve">, South </w:t>
      </w:r>
      <w:proofErr w:type="spellStart"/>
      <w:r w:rsidRPr="00B1089D">
        <w:t>Africa</w:t>
      </w:r>
      <w:proofErr w:type="spellEnd"/>
      <w:r w:rsidRPr="00B1089D">
        <w:t xml:space="preserve">, </w:t>
      </w:r>
      <w:proofErr w:type="spellStart"/>
      <w:r w:rsidRPr="00B1089D">
        <w:t>and</w:t>
      </w:r>
      <w:proofErr w:type="spellEnd"/>
      <w:r w:rsidRPr="00B1089D">
        <w:t xml:space="preserve"> </w:t>
      </w:r>
      <w:proofErr w:type="spellStart"/>
      <w:r w:rsidRPr="00B1089D">
        <w:t>Ghana</w:t>
      </w:r>
      <w:proofErr w:type="spellEnd"/>
      <w:r w:rsidRPr="00B1089D">
        <w:t xml:space="preserve"> </w:t>
      </w:r>
      <w:proofErr w:type="spellStart"/>
      <w:r w:rsidRPr="00B1089D">
        <w:t>from</w:t>
      </w:r>
      <w:proofErr w:type="spellEnd"/>
      <w:r w:rsidRPr="00B1089D">
        <w:t xml:space="preserve"> 1996 </w:t>
      </w:r>
      <w:proofErr w:type="spellStart"/>
      <w:r w:rsidRPr="00B1089D">
        <w:t>to</w:t>
      </w:r>
      <w:proofErr w:type="spellEnd"/>
      <w:r w:rsidRPr="00B1089D">
        <w:t xml:space="preserve"> 2015. They </w:t>
      </w:r>
      <w:proofErr w:type="spellStart"/>
      <w:r w:rsidRPr="00B1089D">
        <w:t>find</w:t>
      </w:r>
      <w:proofErr w:type="spellEnd"/>
      <w:r w:rsidRPr="00B1089D">
        <w:t xml:space="preserve"> </w:t>
      </w:r>
      <w:proofErr w:type="spellStart"/>
      <w:r w:rsidRPr="00B1089D">
        <w:t>that</w:t>
      </w:r>
      <w:proofErr w:type="spellEnd"/>
      <w:r w:rsidRPr="00B1089D">
        <w:t xml:space="preserve"> </w:t>
      </w:r>
      <w:proofErr w:type="spellStart"/>
      <w:r w:rsidRPr="00B1089D">
        <w:t>Ghana</w:t>
      </w:r>
      <w:proofErr w:type="spellEnd"/>
      <w:r w:rsidRPr="00B1089D">
        <w:t xml:space="preserve"> </w:t>
      </w:r>
      <w:proofErr w:type="spellStart"/>
      <w:r w:rsidRPr="00B1089D">
        <w:t>and</w:t>
      </w:r>
      <w:proofErr w:type="spellEnd"/>
      <w:r w:rsidRPr="00B1089D">
        <w:t xml:space="preserve"> South </w:t>
      </w:r>
      <w:proofErr w:type="spellStart"/>
      <w:r w:rsidRPr="00B1089D">
        <w:t>Africa</w:t>
      </w:r>
      <w:proofErr w:type="spellEnd"/>
      <w:r w:rsidRPr="00B1089D">
        <w:t xml:space="preserve"> </w:t>
      </w:r>
      <w:proofErr w:type="spellStart"/>
      <w:r w:rsidRPr="00B1089D">
        <w:t>benefit</w:t>
      </w:r>
      <w:proofErr w:type="spellEnd"/>
      <w:r w:rsidRPr="00B1089D">
        <w:t xml:space="preserve"> </w:t>
      </w:r>
      <w:proofErr w:type="spellStart"/>
      <w:r w:rsidRPr="00B1089D">
        <w:t>from</w:t>
      </w:r>
      <w:proofErr w:type="spellEnd"/>
      <w:r w:rsidRPr="00B1089D">
        <w:t xml:space="preserve"> </w:t>
      </w:r>
      <w:proofErr w:type="spellStart"/>
      <w:r w:rsidRPr="00B1089D">
        <w:t>better</w:t>
      </w:r>
      <w:proofErr w:type="spellEnd"/>
      <w:r w:rsidRPr="00B1089D">
        <w:t xml:space="preserve"> </w:t>
      </w:r>
      <w:proofErr w:type="spellStart"/>
      <w:r w:rsidRPr="00B1089D">
        <w:t>governance</w:t>
      </w:r>
      <w:proofErr w:type="spellEnd"/>
      <w:r w:rsidRPr="00B1089D">
        <w:t xml:space="preserve">, </w:t>
      </w:r>
      <w:proofErr w:type="spellStart"/>
      <w:r w:rsidRPr="00B1089D">
        <w:t>while</w:t>
      </w:r>
      <w:proofErr w:type="spellEnd"/>
      <w:r w:rsidRPr="00B1089D">
        <w:t xml:space="preserve"> </w:t>
      </w:r>
      <w:proofErr w:type="spellStart"/>
      <w:r w:rsidRPr="00B1089D">
        <w:t>Nigeria's</w:t>
      </w:r>
      <w:proofErr w:type="spellEnd"/>
      <w:r w:rsidRPr="00B1089D">
        <w:t xml:space="preserve"> </w:t>
      </w:r>
      <w:proofErr w:type="spellStart"/>
      <w:r w:rsidRPr="00B1089D">
        <w:t>poor</w:t>
      </w:r>
      <w:proofErr w:type="spellEnd"/>
      <w:r w:rsidRPr="00B1089D">
        <w:t xml:space="preserve"> </w:t>
      </w:r>
      <w:proofErr w:type="spellStart"/>
      <w:r w:rsidRPr="00B1089D">
        <w:t>governance</w:t>
      </w:r>
      <w:proofErr w:type="spellEnd"/>
      <w:r w:rsidRPr="00B1089D">
        <w:t xml:space="preserve"> </w:t>
      </w:r>
      <w:proofErr w:type="spellStart"/>
      <w:r w:rsidRPr="00B1089D">
        <w:t>negatively</w:t>
      </w:r>
      <w:proofErr w:type="spellEnd"/>
      <w:r w:rsidRPr="00B1089D">
        <w:t xml:space="preserve"> </w:t>
      </w:r>
      <w:proofErr w:type="spellStart"/>
      <w:r w:rsidRPr="00B1089D">
        <w:t>impacts</w:t>
      </w:r>
      <w:proofErr w:type="spellEnd"/>
      <w:r w:rsidRPr="00B1089D">
        <w:t xml:space="preserve"> </w:t>
      </w:r>
      <w:proofErr w:type="spellStart"/>
      <w:r w:rsidRPr="00B1089D">
        <w:t>growth</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and</w:t>
      </w:r>
      <w:proofErr w:type="spellEnd"/>
      <w:r w:rsidRPr="00B1089D">
        <w:t xml:space="preserve"> </w:t>
      </w:r>
      <w:proofErr w:type="spellStart"/>
      <w:r w:rsidRPr="00B1089D">
        <w:t>control</w:t>
      </w:r>
      <w:proofErr w:type="spellEnd"/>
      <w:r w:rsidRPr="00B1089D">
        <w:t xml:space="preserve"> of </w:t>
      </w:r>
      <w:proofErr w:type="spellStart"/>
      <w:r w:rsidRPr="00B1089D">
        <w:t>corruption</w:t>
      </w:r>
      <w:proofErr w:type="spellEnd"/>
      <w:r w:rsidRPr="00B1089D">
        <w:t xml:space="preserve"> </w:t>
      </w:r>
      <w:proofErr w:type="spellStart"/>
      <w:r w:rsidRPr="00B1089D">
        <w:t>boost</w:t>
      </w:r>
      <w:proofErr w:type="spellEnd"/>
      <w:r w:rsidRPr="00B1089D">
        <w:t xml:space="preserve"> </w:t>
      </w:r>
      <w:proofErr w:type="spellStart"/>
      <w:r w:rsidRPr="00B1089D">
        <w:t>growth</w:t>
      </w:r>
      <w:proofErr w:type="spellEnd"/>
      <w:r w:rsidRPr="00B1089D">
        <w:t xml:space="preserve"> in </w:t>
      </w:r>
      <w:proofErr w:type="spellStart"/>
      <w:r w:rsidRPr="00B1089D">
        <w:t>Ghana</w:t>
      </w:r>
      <w:proofErr w:type="spellEnd"/>
      <w:r w:rsidRPr="00B1089D">
        <w:t xml:space="preserve"> </w:t>
      </w:r>
      <w:proofErr w:type="spellStart"/>
      <w:r w:rsidRPr="00B1089D">
        <w:t>and</w:t>
      </w:r>
      <w:proofErr w:type="spellEnd"/>
      <w:r w:rsidRPr="00B1089D">
        <w:t xml:space="preserve"> South </w:t>
      </w:r>
      <w:proofErr w:type="spellStart"/>
      <w:r w:rsidRPr="00B1089D">
        <w:t>Africa</w:t>
      </w:r>
      <w:proofErr w:type="spellEnd"/>
      <w:r w:rsidRPr="00B1089D">
        <w:t xml:space="preserve">, but in </w:t>
      </w:r>
      <w:proofErr w:type="spellStart"/>
      <w:r w:rsidRPr="00B1089D">
        <w:t>Nigeria</w:t>
      </w:r>
      <w:proofErr w:type="spellEnd"/>
      <w:r w:rsidRPr="00B1089D">
        <w:t xml:space="preserve">, </w:t>
      </w:r>
      <w:proofErr w:type="spellStart"/>
      <w:r w:rsidRPr="00B1089D">
        <w:t>voice</w:t>
      </w:r>
      <w:proofErr w:type="spellEnd"/>
      <w:r w:rsidRPr="00B1089D">
        <w:t xml:space="preserv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and</w:t>
      </w:r>
      <w:proofErr w:type="spellEnd"/>
      <w:r w:rsidRPr="00B1089D">
        <w:t xml:space="preserve"> </w:t>
      </w:r>
      <w:proofErr w:type="spellStart"/>
      <w:r w:rsidRPr="00B1089D">
        <w:t>control</w:t>
      </w:r>
      <w:proofErr w:type="spellEnd"/>
      <w:r w:rsidRPr="00B1089D">
        <w:t xml:space="preserve"> of </w:t>
      </w:r>
      <w:proofErr w:type="spellStart"/>
      <w:r w:rsidRPr="00B1089D">
        <w:t>corruption</w:t>
      </w:r>
      <w:proofErr w:type="spellEnd"/>
      <w:r w:rsidRPr="00B1089D">
        <w:t xml:space="preserve"> </w:t>
      </w:r>
      <w:proofErr w:type="spellStart"/>
      <w:r w:rsidRPr="00B1089D">
        <w:t>delay</w:t>
      </w:r>
      <w:proofErr w:type="spellEnd"/>
      <w:r w:rsidRPr="00B1089D">
        <w:t xml:space="preserve"> </w:t>
      </w:r>
      <w:proofErr w:type="spellStart"/>
      <w:r w:rsidRPr="00B1089D">
        <w:t>progress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urges</w:t>
      </w:r>
      <w:proofErr w:type="spellEnd"/>
      <w:r w:rsidRPr="00B1089D">
        <w:t xml:space="preserve"> </w:t>
      </w:r>
      <w:proofErr w:type="spellStart"/>
      <w:r w:rsidRPr="00B1089D">
        <w:t>Sub-Saharan</w:t>
      </w:r>
      <w:proofErr w:type="spellEnd"/>
      <w:r w:rsidRPr="00B1089D">
        <w:t xml:space="preserve"> </w:t>
      </w:r>
      <w:proofErr w:type="spellStart"/>
      <w:r w:rsidRPr="00B1089D">
        <w:t>countries</w:t>
      </w:r>
      <w:proofErr w:type="spellEnd"/>
      <w:r w:rsidRPr="00B1089D">
        <w:t xml:space="preserve">, </w:t>
      </w:r>
      <w:proofErr w:type="spellStart"/>
      <w:r w:rsidRPr="00B1089D">
        <w:t>especially</w:t>
      </w:r>
      <w:proofErr w:type="spellEnd"/>
      <w:r w:rsidRPr="00B1089D">
        <w:t xml:space="preserve"> </w:t>
      </w:r>
      <w:proofErr w:type="spellStart"/>
      <w:r w:rsidRPr="00B1089D">
        <w:t>Nigeria</w:t>
      </w:r>
      <w:proofErr w:type="spellEnd"/>
      <w:r w:rsidRPr="00B1089D">
        <w:t xml:space="preserve">, </w:t>
      </w:r>
      <w:proofErr w:type="spellStart"/>
      <w:r w:rsidRPr="00B1089D">
        <w:t>to</w:t>
      </w:r>
      <w:proofErr w:type="spellEnd"/>
      <w:r w:rsidRPr="00B1089D">
        <w:t xml:space="preserve"> </w:t>
      </w:r>
      <w:proofErr w:type="spellStart"/>
      <w:r w:rsidRPr="00B1089D">
        <w:t>enhance</w:t>
      </w:r>
      <w:proofErr w:type="spellEnd"/>
      <w:r w:rsidRPr="00B1089D">
        <w:t xml:space="preserve"> </w:t>
      </w:r>
      <w:proofErr w:type="spellStart"/>
      <w:r w:rsidRPr="00B1089D">
        <w:t>governance</w:t>
      </w:r>
      <w:proofErr w:type="spellEnd"/>
      <w:r w:rsidRPr="00B1089D">
        <w:t xml:space="preserve"> </w:t>
      </w:r>
      <w:proofErr w:type="spellStart"/>
      <w:r w:rsidRPr="00B1089D">
        <w:t>for</w:t>
      </w:r>
      <w:proofErr w:type="spellEnd"/>
      <w:r w:rsidRPr="00B1089D">
        <w:t xml:space="preserve"> </w:t>
      </w:r>
      <w:proofErr w:type="spellStart"/>
      <w:r w:rsidRPr="00B1089D">
        <w:t>sustained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Salawu</w:t>
      </w:r>
      <w:proofErr w:type="spellEnd"/>
      <w:r w:rsidRPr="00B1089D">
        <w:t xml:space="preserve"> et al. 2018).</w:t>
      </w:r>
    </w:p>
    <w:p w14:paraId="6EDCC91E" w14:textId="77777777" w:rsidR="00FA457D" w:rsidRPr="00B1089D" w:rsidRDefault="00FA457D" w:rsidP="00E359E0">
      <w:pPr>
        <w:widowControl/>
        <w:jc w:val="both"/>
      </w:pPr>
    </w:p>
    <w:p w14:paraId="271C66F5" w14:textId="77777777" w:rsidR="00FA457D" w:rsidRPr="00D10870" w:rsidRDefault="00FA457D" w:rsidP="00E359E0">
      <w:pPr>
        <w:widowControl/>
        <w:jc w:val="both"/>
      </w:pPr>
      <w:proofErr w:type="spellStart"/>
      <w:r w:rsidRPr="00B1089D">
        <w:t>Appiah</w:t>
      </w:r>
      <w:proofErr w:type="spellEnd"/>
      <w:r w:rsidRPr="00B1089D">
        <w:t xml:space="preserve">, </w:t>
      </w:r>
      <w:proofErr w:type="spellStart"/>
      <w:r w:rsidRPr="00B1089D">
        <w:t>Li</w:t>
      </w:r>
      <w:proofErr w:type="spellEnd"/>
      <w:r w:rsidRPr="00B1089D">
        <w:t xml:space="preserve">, </w:t>
      </w:r>
      <w:proofErr w:type="spellStart"/>
      <w:r w:rsidRPr="00B1089D">
        <w:t>and</w:t>
      </w:r>
      <w:proofErr w:type="spellEnd"/>
      <w:r w:rsidRPr="00B1089D">
        <w:t xml:space="preserve"> </w:t>
      </w:r>
      <w:proofErr w:type="spellStart"/>
      <w:r w:rsidRPr="00B1089D">
        <w:t>Frowne</w:t>
      </w:r>
      <w:proofErr w:type="spellEnd"/>
      <w:r w:rsidRPr="00B1089D">
        <w:t xml:space="preserve"> (2020) </w:t>
      </w:r>
      <w:proofErr w:type="spellStart"/>
      <w:r w:rsidRPr="00B1089D">
        <w:t>explore</w:t>
      </w:r>
      <w:proofErr w:type="spellEnd"/>
      <w:r w:rsidRPr="00B1089D">
        <w:t xml:space="preserve"> </w:t>
      </w:r>
      <w:proofErr w:type="spellStart"/>
      <w:r w:rsidRPr="00B1089D">
        <w:t>the</w:t>
      </w:r>
      <w:proofErr w:type="spellEnd"/>
      <w:r w:rsidRPr="00B1089D">
        <w:t xml:space="preserve"> link </w:t>
      </w:r>
      <w:proofErr w:type="spellStart"/>
      <w:r w:rsidRPr="00B1089D">
        <w:t>between</w:t>
      </w:r>
      <w:proofErr w:type="spellEnd"/>
      <w:r w:rsidRPr="00B1089D">
        <w:t xml:space="preserve"> </w:t>
      </w:r>
      <w:proofErr w:type="spellStart"/>
      <w:r w:rsidRPr="00B1089D">
        <w:t>financial</w:t>
      </w:r>
      <w:proofErr w:type="spellEnd"/>
      <w:r w:rsidRPr="00B1089D">
        <w:t xml:space="preserve"> </w:t>
      </w:r>
      <w:proofErr w:type="spellStart"/>
      <w:r w:rsidRPr="00B1089D">
        <w:t>development</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in ECOWAS </w:t>
      </w:r>
      <w:proofErr w:type="spellStart"/>
      <w:r w:rsidRPr="00B1089D">
        <w:t>from</w:t>
      </w:r>
      <w:proofErr w:type="spellEnd"/>
      <w:r w:rsidRPr="00B1089D">
        <w:t xml:space="preserve"> 1996 </w:t>
      </w:r>
      <w:proofErr w:type="spellStart"/>
      <w:r w:rsidRPr="00B1089D">
        <w:t>to</w:t>
      </w:r>
      <w:proofErr w:type="spellEnd"/>
      <w:r w:rsidRPr="00B1089D">
        <w:t xml:space="preserve"> 2017. They </w:t>
      </w:r>
      <w:proofErr w:type="spellStart"/>
      <w:r w:rsidRPr="00B1089D">
        <w:t>find</w:t>
      </w:r>
      <w:proofErr w:type="spellEnd"/>
      <w:r w:rsidRPr="00B1089D">
        <w:t xml:space="preserve"> </w:t>
      </w:r>
      <w:proofErr w:type="spellStart"/>
      <w:r w:rsidRPr="00B1089D">
        <w:t>that</w:t>
      </w:r>
      <w:proofErr w:type="spellEnd"/>
      <w:r w:rsidRPr="00B1089D">
        <w:t xml:space="preserve"> </w:t>
      </w:r>
      <w:proofErr w:type="spellStart"/>
      <w:r w:rsidRPr="00B1089D">
        <w:t>financial</w:t>
      </w:r>
      <w:proofErr w:type="spellEnd"/>
      <w:r w:rsidRPr="00B1089D">
        <w:t xml:space="preserve"> </w:t>
      </w:r>
      <w:proofErr w:type="spellStart"/>
      <w:r w:rsidRPr="00B1089D">
        <w:t>development</w:t>
      </w:r>
      <w:proofErr w:type="spellEnd"/>
      <w:r w:rsidRPr="00B1089D">
        <w:t xml:space="preserve"> </w:t>
      </w:r>
      <w:proofErr w:type="spellStart"/>
      <w:r w:rsidRPr="00B1089D">
        <w:t>does</w:t>
      </w:r>
      <w:proofErr w:type="spellEnd"/>
      <w:r w:rsidRPr="00B1089D">
        <w:t xml:space="preserve"> not </w:t>
      </w:r>
      <w:proofErr w:type="spellStart"/>
      <w:r w:rsidRPr="00B1089D">
        <w:t>significantly</w:t>
      </w:r>
      <w:proofErr w:type="spellEnd"/>
      <w:r w:rsidRPr="00B1089D">
        <w:t xml:space="preserve"> </w:t>
      </w:r>
      <w:proofErr w:type="spellStart"/>
      <w:r w:rsidRPr="00B1089D">
        <w:t>boost</w:t>
      </w:r>
      <w:proofErr w:type="spellEnd"/>
      <w:r w:rsidRPr="00B1089D">
        <w:t xml:space="preserve"> </w:t>
      </w:r>
      <w:proofErr w:type="spellStart"/>
      <w:r w:rsidRPr="00B1089D">
        <w:t>growth</w:t>
      </w:r>
      <w:proofErr w:type="spellEnd"/>
      <w:r w:rsidRPr="00B1089D">
        <w:t xml:space="preserve">, </w:t>
      </w:r>
      <w:proofErr w:type="spellStart"/>
      <w:r w:rsidRPr="00B1089D">
        <w:t>while</w:t>
      </w:r>
      <w:proofErr w:type="spellEnd"/>
      <w:r w:rsidRPr="00B1089D">
        <w:t xml:space="preserve"> </w:t>
      </w:r>
      <w:proofErr w:type="spellStart"/>
      <w:r w:rsidRPr="00B1089D">
        <w:t>corruption</w:t>
      </w:r>
      <w:proofErr w:type="spellEnd"/>
      <w:r w:rsidRPr="00B1089D">
        <w:t xml:space="preserve"> </w:t>
      </w:r>
      <w:proofErr w:type="spellStart"/>
      <w:r w:rsidRPr="00B1089D">
        <w:t>control</w:t>
      </w:r>
      <w:proofErr w:type="spellEnd"/>
      <w:r w:rsidRPr="00B1089D">
        <w:t xml:space="preserve"> </w:t>
      </w:r>
      <w:proofErr w:type="spellStart"/>
      <w:r w:rsidRPr="00B1089D">
        <w:t>reduces</w:t>
      </w:r>
      <w:proofErr w:type="spellEnd"/>
      <w:r w:rsidRPr="00B1089D">
        <w:t xml:space="preserve"> </w:t>
      </w:r>
      <w:proofErr w:type="spellStart"/>
      <w:r w:rsidRPr="00B1089D">
        <w:t>growth</w:t>
      </w:r>
      <w:proofErr w:type="spellEnd"/>
      <w:r w:rsidRPr="00B1089D">
        <w:t xml:space="preserve"> </w:t>
      </w:r>
      <w:proofErr w:type="spellStart"/>
      <w:r w:rsidRPr="00B1089D">
        <w:t>and</w:t>
      </w:r>
      <w:proofErr w:type="spellEnd"/>
      <w:r w:rsidRPr="00B1089D">
        <w:t xml:space="preserve"> </w:t>
      </w:r>
      <w:proofErr w:type="spellStart"/>
      <w:r w:rsidRPr="00B1089D">
        <w:t>regulatory</w:t>
      </w:r>
      <w:proofErr w:type="spellEnd"/>
      <w:r w:rsidRPr="00B1089D">
        <w:t xml:space="preserve"> </w:t>
      </w:r>
      <w:proofErr w:type="spellStart"/>
      <w:r w:rsidRPr="00B1089D">
        <w:t>quality</w:t>
      </w:r>
      <w:proofErr w:type="spellEnd"/>
      <w:r w:rsidRPr="00B1089D">
        <w:t xml:space="preserve"> </w:t>
      </w:r>
      <w:proofErr w:type="spellStart"/>
      <w:r w:rsidRPr="00B1089D">
        <w:t>increases</w:t>
      </w:r>
      <w:proofErr w:type="spellEnd"/>
      <w:r w:rsidRPr="00B1089D">
        <w:t xml:space="preserve"> it.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stresses</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strong</w:t>
      </w:r>
      <w:proofErr w:type="spellEnd"/>
      <w:r w:rsidRPr="00B1089D">
        <w:t xml:space="preserve"> </w:t>
      </w:r>
      <w:proofErr w:type="spellStart"/>
      <w:r w:rsidRPr="00B1089D">
        <w:t>institutions</w:t>
      </w:r>
      <w:proofErr w:type="spellEnd"/>
      <w:r w:rsidRPr="00B1089D">
        <w:t xml:space="preserve"> in </w:t>
      </w:r>
      <w:proofErr w:type="spellStart"/>
      <w:r w:rsidRPr="00B1089D">
        <w:t>promoting</w:t>
      </w:r>
      <w:proofErr w:type="spellEnd"/>
      <w:r w:rsidRPr="00B1089D">
        <w:t xml:space="preserve"> </w:t>
      </w:r>
      <w:proofErr w:type="spellStart"/>
      <w:r w:rsidRPr="00B1089D">
        <w:t>growth</w:t>
      </w:r>
      <w:proofErr w:type="spellEnd"/>
      <w:r w:rsidRPr="00B1089D">
        <w:t xml:space="preserve">, </w:t>
      </w:r>
      <w:proofErr w:type="spellStart"/>
      <w:r w:rsidRPr="00B1089D">
        <w:t>urging</w:t>
      </w:r>
      <w:proofErr w:type="spellEnd"/>
      <w:r w:rsidRPr="00B1089D">
        <w:t xml:space="preserve"> ECOWAS </w:t>
      </w:r>
      <w:proofErr w:type="spellStart"/>
      <w:r w:rsidRPr="00B1089D">
        <w:t>countries</w:t>
      </w:r>
      <w:proofErr w:type="spellEnd"/>
      <w:r w:rsidRPr="00B1089D">
        <w:t xml:space="preserve"> </w:t>
      </w:r>
      <w:proofErr w:type="spellStart"/>
      <w:r w:rsidRPr="00B1089D">
        <w:t>to</w:t>
      </w:r>
      <w:proofErr w:type="spellEnd"/>
      <w:r w:rsidRPr="00B1089D">
        <w:t xml:space="preserve"> </w:t>
      </w:r>
      <w:proofErr w:type="spellStart"/>
      <w:r w:rsidRPr="00B1089D">
        <w:t>improve</w:t>
      </w:r>
      <w:proofErr w:type="spellEnd"/>
      <w:r w:rsidRPr="00B1089D">
        <w:t xml:space="preserve"> </w:t>
      </w:r>
      <w:proofErr w:type="spellStart"/>
      <w:r w:rsidRPr="00B1089D">
        <w:t>their</w:t>
      </w:r>
      <w:proofErr w:type="spellEnd"/>
      <w:r w:rsidRPr="00B1089D">
        <w:t xml:space="preserve"> </w:t>
      </w:r>
      <w:proofErr w:type="spellStart"/>
      <w:r w:rsidRPr="00B1089D">
        <w:t>institutional</w:t>
      </w:r>
      <w:proofErr w:type="spellEnd"/>
      <w:r w:rsidRPr="00B1089D">
        <w:t xml:space="preserve"> </w:t>
      </w:r>
      <w:proofErr w:type="spellStart"/>
      <w:r w:rsidRPr="00B1089D">
        <w:t>frameworks</w:t>
      </w:r>
      <w:proofErr w:type="spellEnd"/>
      <w:r w:rsidRPr="00B1089D">
        <w:t xml:space="preserve"> (</w:t>
      </w:r>
      <w:proofErr w:type="spellStart"/>
      <w:r w:rsidRPr="00B1089D">
        <w:t>Appiah</w:t>
      </w:r>
      <w:proofErr w:type="spellEnd"/>
      <w:r w:rsidRPr="00B1089D">
        <w:t xml:space="preserve"> et al. 2020: 14).</w:t>
      </w:r>
    </w:p>
    <w:p w14:paraId="07A67D94" w14:textId="77777777" w:rsidR="00FA457D" w:rsidRPr="00B1089D" w:rsidRDefault="00FA457D" w:rsidP="00E359E0">
      <w:pPr>
        <w:widowControl/>
        <w:jc w:val="both"/>
      </w:pPr>
    </w:p>
    <w:p w14:paraId="192C4F90" w14:textId="77777777" w:rsidR="00FA457D" w:rsidRPr="00D10870" w:rsidRDefault="00FA457D" w:rsidP="00E359E0">
      <w:pPr>
        <w:widowControl/>
        <w:jc w:val="both"/>
      </w:pPr>
      <w:proofErr w:type="spellStart"/>
      <w:r w:rsidRPr="00B1089D">
        <w:t>Nedić</w:t>
      </w:r>
      <w:proofErr w:type="spellEnd"/>
      <w:r w:rsidRPr="00B1089D">
        <w:t xml:space="preserve"> et al. (2020)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effect</w:t>
      </w:r>
      <w:proofErr w:type="spellEnd"/>
      <w:r w:rsidRPr="00B1089D">
        <w:t xml:space="preserve"> of </w:t>
      </w:r>
      <w:proofErr w:type="spellStart"/>
      <w:r w:rsidRPr="00B1089D">
        <w:t>institutional</w:t>
      </w:r>
      <w:proofErr w:type="spellEnd"/>
      <w:r w:rsidRPr="00B1089D">
        <w:t xml:space="preserve"> reform on </w:t>
      </w:r>
      <w:proofErr w:type="spellStart"/>
      <w:r w:rsidRPr="00B1089D">
        <w:t>economic</w:t>
      </w:r>
      <w:proofErr w:type="spellEnd"/>
      <w:r w:rsidRPr="00B1089D">
        <w:t xml:space="preserve"> </w:t>
      </w:r>
      <w:proofErr w:type="spellStart"/>
      <w:r w:rsidRPr="00B1089D">
        <w:t>growth</w:t>
      </w:r>
      <w:proofErr w:type="spellEnd"/>
      <w:r w:rsidRPr="00B1089D">
        <w:t xml:space="preserve"> in </w:t>
      </w:r>
      <w:proofErr w:type="spellStart"/>
      <w:r w:rsidRPr="00B1089D">
        <w:t>five</w:t>
      </w:r>
      <w:proofErr w:type="spellEnd"/>
      <w:r w:rsidRPr="00B1089D">
        <w:t xml:space="preserve"> Western Balkan </w:t>
      </w:r>
      <w:proofErr w:type="spellStart"/>
      <w:r w:rsidRPr="00B1089D">
        <w:t>countries</w:t>
      </w:r>
      <w:proofErr w:type="spellEnd"/>
      <w:r w:rsidRPr="00B1089D">
        <w:t xml:space="preserve"> </w:t>
      </w:r>
      <w:proofErr w:type="spellStart"/>
      <w:r w:rsidRPr="00B1089D">
        <w:t>from</w:t>
      </w:r>
      <w:proofErr w:type="spellEnd"/>
      <w:r w:rsidRPr="00B1089D">
        <w:t xml:space="preserve"> 2006 </w:t>
      </w:r>
      <w:proofErr w:type="spellStart"/>
      <w:r w:rsidRPr="00B1089D">
        <w:t>to</w:t>
      </w:r>
      <w:proofErr w:type="spellEnd"/>
      <w:r w:rsidRPr="00B1089D">
        <w:t xml:space="preserve"> 2016. </w:t>
      </w:r>
      <w:proofErr w:type="spellStart"/>
      <w:r w:rsidRPr="00B1089D">
        <w:t>Their</w:t>
      </w:r>
      <w:proofErr w:type="spellEnd"/>
      <w:r w:rsidRPr="00B1089D">
        <w:t xml:space="preserve"> model </w:t>
      </w:r>
      <w:proofErr w:type="spellStart"/>
      <w:r w:rsidRPr="00B1089D">
        <w:t>shows</w:t>
      </w:r>
      <w:proofErr w:type="spellEnd"/>
      <w:r w:rsidRPr="00B1089D">
        <w:t xml:space="preserve"> </w:t>
      </w:r>
      <w:proofErr w:type="spellStart"/>
      <w:r w:rsidRPr="00B1089D">
        <w:t>that</w:t>
      </w:r>
      <w:proofErr w:type="spellEnd"/>
      <w:r w:rsidRPr="00B1089D">
        <w:t xml:space="preserve">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and</w:t>
      </w:r>
      <w:proofErr w:type="spellEnd"/>
      <w:r w:rsidRPr="00B1089D">
        <w:t xml:space="preserve"> </w:t>
      </w:r>
      <w:proofErr w:type="spellStart"/>
      <w:r w:rsidRPr="00B1089D">
        <w:t>regulatory</w:t>
      </w:r>
      <w:proofErr w:type="spellEnd"/>
      <w:r w:rsidRPr="00B1089D">
        <w:t xml:space="preserve"> </w:t>
      </w:r>
      <w:proofErr w:type="spellStart"/>
      <w:r w:rsidRPr="00B1089D">
        <w:t>quality</w:t>
      </w:r>
      <w:proofErr w:type="spellEnd"/>
      <w:r w:rsidRPr="00B1089D">
        <w:t xml:space="preserve"> </w:t>
      </w:r>
      <w:proofErr w:type="spellStart"/>
      <w:r w:rsidRPr="00B1089D">
        <w:t>have</w:t>
      </w:r>
      <w:proofErr w:type="spellEnd"/>
      <w:r w:rsidRPr="00B1089D">
        <w:t xml:space="preserve"> a </w:t>
      </w:r>
      <w:proofErr w:type="spellStart"/>
      <w:r w:rsidRPr="00B1089D">
        <w:t>positive</w:t>
      </w:r>
      <w:proofErr w:type="spellEnd"/>
      <w:r w:rsidRPr="00B1089D">
        <w:t xml:space="preserve"> </w:t>
      </w:r>
      <w:proofErr w:type="spellStart"/>
      <w:r w:rsidRPr="00B1089D">
        <w:t>impact</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highlights</w:t>
      </w:r>
      <w:proofErr w:type="spellEnd"/>
      <w:r w:rsidRPr="00B1089D">
        <w:t xml:space="preserve"> </w:t>
      </w:r>
      <w:proofErr w:type="spellStart"/>
      <w:r w:rsidRPr="00B1089D">
        <w:t>that</w:t>
      </w:r>
      <w:proofErr w:type="spellEnd"/>
      <w:r w:rsidRPr="00B1089D">
        <w:t xml:space="preserve"> </w:t>
      </w:r>
      <w:proofErr w:type="spellStart"/>
      <w:r w:rsidRPr="00B1089D">
        <w:t>improving</w:t>
      </w:r>
      <w:proofErr w:type="spellEnd"/>
      <w:r w:rsidRPr="00B1089D">
        <w:t xml:space="preserve"> </w:t>
      </w:r>
      <w:proofErr w:type="spellStart"/>
      <w:r w:rsidRPr="00B1089D">
        <w:t>public</w:t>
      </w:r>
      <w:proofErr w:type="spellEnd"/>
      <w:r w:rsidRPr="00B1089D">
        <w:t xml:space="preserve"> </w:t>
      </w:r>
      <w:proofErr w:type="spellStart"/>
      <w:r w:rsidRPr="00B1089D">
        <w:t>sector</w:t>
      </w:r>
      <w:proofErr w:type="spellEnd"/>
      <w:r w:rsidRPr="00B1089D">
        <w:t xml:space="preserve"> </w:t>
      </w:r>
      <w:proofErr w:type="spellStart"/>
      <w:r w:rsidRPr="00B1089D">
        <w:t>efficiency</w:t>
      </w:r>
      <w:proofErr w:type="spellEnd"/>
      <w:r w:rsidRPr="00B1089D">
        <w:t xml:space="preserve"> </w:t>
      </w:r>
      <w:proofErr w:type="spellStart"/>
      <w:r w:rsidRPr="00B1089D">
        <w:t>and</w:t>
      </w:r>
      <w:proofErr w:type="spellEnd"/>
      <w:r w:rsidRPr="00B1089D">
        <w:t xml:space="preserve"> </w:t>
      </w:r>
      <w:proofErr w:type="spellStart"/>
      <w:r w:rsidRPr="00B1089D">
        <w:t>combating</w:t>
      </w:r>
      <w:proofErr w:type="spellEnd"/>
      <w:r w:rsidRPr="00B1089D">
        <w:t xml:space="preserve"> </w:t>
      </w:r>
      <w:proofErr w:type="spellStart"/>
      <w:r w:rsidRPr="00B1089D">
        <w:t>corruption</w:t>
      </w:r>
      <w:proofErr w:type="spellEnd"/>
      <w:r w:rsidRPr="00B1089D">
        <w:t xml:space="preserve"> </w:t>
      </w:r>
      <w:proofErr w:type="spellStart"/>
      <w:r w:rsidRPr="00B1089D">
        <w:t>are</w:t>
      </w:r>
      <w:proofErr w:type="spellEnd"/>
      <w:r w:rsidRPr="00B1089D">
        <w:t xml:space="preserve"> </w:t>
      </w:r>
      <w:proofErr w:type="spellStart"/>
      <w:r w:rsidRPr="00B1089D">
        <w:t>crucial</w:t>
      </w:r>
      <w:proofErr w:type="spellEnd"/>
      <w:r w:rsidRPr="00B1089D">
        <w:t xml:space="preserve"> </w:t>
      </w:r>
      <w:proofErr w:type="spellStart"/>
      <w:r w:rsidRPr="00B1089D">
        <w:t>to</w:t>
      </w:r>
      <w:proofErr w:type="spellEnd"/>
      <w:r w:rsidRPr="00B1089D">
        <w:t xml:space="preserve"> </w:t>
      </w:r>
      <w:proofErr w:type="spellStart"/>
      <w:r w:rsidRPr="00B1089D">
        <w:t>fostering</w:t>
      </w:r>
      <w:proofErr w:type="spellEnd"/>
      <w:r w:rsidRPr="00B1089D">
        <w:t xml:space="preserve"> </w:t>
      </w:r>
      <w:proofErr w:type="spellStart"/>
      <w:r w:rsidRPr="00B1089D">
        <w:t>long-term</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Nedić</w:t>
      </w:r>
      <w:proofErr w:type="spellEnd"/>
      <w:r w:rsidRPr="00B1089D">
        <w:t xml:space="preserve"> et al. 2020: 19).</w:t>
      </w:r>
    </w:p>
    <w:p w14:paraId="53F51503" w14:textId="77777777" w:rsidR="00FA457D" w:rsidRPr="00B1089D" w:rsidRDefault="00FA457D" w:rsidP="00E359E0">
      <w:pPr>
        <w:widowControl/>
        <w:jc w:val="both"/>
      </w:pPr>
    </w:p>
    <w:p w14:paraId="7C33FBCA" w14:textId="77777777" w:rsidR="00FA457D" w:rsidRPr="00D10870" w:rsidRDefault="00FA457D" w:rsidP="00E359E0">
      <w:pPr>
        <w:widowControl/>
        <w:jc w:val="both"/>
      </w:pPr>
      <w:proofErr w:type="spellStart"/>
      <w:r w:rsidRPr="00B1089D">
        <w:t>Radulović</w:t>
      </w:r>
      <w:proofErr w:type="spellEnd"/>
      <w:r w:rsidRPr="00B1089D">
        <w:t xml:space="preserve"> (2020) </w:t>
      </w:r>
      <w:proofErr w:type="spellStart"/>
      <w:r w:rsidRPr="00B1089D">
        <w:t>analyses</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w:t>
      </w:r>
      <w:proofErr w:type="spellStart"/>
      <w:r w:rsidRPr="00B1089D">
        <w:t>economic</w:t>
      </w:r>
      <w:proofErr w:type="spellEnd"/>
      <w:r w:rsidRPr="00B1089D">
        <w:t xml:space="preserve"> </w:t>
      </w:r>
      <w:proofErr w:type="spellStart"/>
      <w:r w:rsidRPr="00B1089D">
        <w:t>growth</w:t>
      </w:r>
      <w:proofErr w:type="spellEnd"/>
      <w:r w:rsidRPr="00B1089D">
        <w:t xml:space="preserve"> in </w:t>
      </w:r>
      <w:proofErr w:type="spellStart"/>
      <w:r w:rsidRPr="00B1089D">
        <w:t>Southeastern</w:t>
      </w:r>
      <w:proofErr w:type="spellEnd"/>
      <w:r w:rsidRPr="00B1089D">
        <w:t xml:space="preserve"> Europe (SEE) </w:t>
      </w:r>
      <w:proofErr w:type="spellStart"/>
      <w:r w:rsidRPr="00B1089D">
        <w:t>from</w:t>
      </w:r>
      <w:proofErr w:type="spellEnd"/>
      <w:r w:rsidRPr="00B1089D">
        <w:t xml:space="preserve"> 1996 </w:t>
      </w:r>
      <w:proofErr w:type="spellStart"/>
      <w:r w:rsidRPr="00B1089D">
        <w:t>to</w:t>
      </w:r>
      <w:proofErr w:type="spellEnd"/>
      <w:r w:rsidRPr="00B1089D">
        <w:t xml:space="preserve"> 2017, </w:t>
      </w:r>
      <w:proofErr w:type="spellStart"/>
      <w:r w:rsidRPr="00B1089D">
        <w:t>comparing</w:t>
      </w:r>
      <w:proofErr w:type="spellEnd"/>
      <w:r w:rsidRPr="00B1089D">
        <w:t xml:space="preserve"> EU </w:t>
      </w:r>
      <w:proofErr w:type="spellStart"/>
      <w:r w:rsidRPr="00B1089D">
        <w:t>and</w:t>
      </w:r>
      <w:proofErr w:type="spellEnd"/>
      <w:r w:rsidRPr="00B1089D">
        <w:t xml:space="preserve"> </w:t>
      </w:r>
      <w:proofErr w:type="spellStart"/>
      <w:r w:rsidRPr="00B1089D">
        <w:t>non</w:t>
      </w:r>
      <w:proofErr w:type="spellEnd"/>
      <w:r w:rsidRPr="00B1089D">
        <w:t xml:space="preserve">-EU </w:t>
      </w:r>
      <w:proofErr w:type="spellStart"/>
      <w:r w:rsidRPr="00B1089D">
        <w:t>countries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finds</w:t>
      </w:r>
      <w:proofErr w:type="spellEnd"/>
      <w:r w:rsidRPr="00B1089D">
        <w:t xml:space="preserve"> a </w:t>
      </w:r>
      <w:proofErr w:type="spellStart"/>
      <w:r w:rsidRPr="00B1089D">
        <w:t>strong</w:t>
      </w:r>
      <w:proofErr w:type="spellEnd"/>
      <w:r w:rsidRPr="00B1089D">
        <w:t xml:space="preserve"> </w:t>
      </w:r>
      <w:proofErr w:type="spellStart"/>
      <w:r w:rsidRPr="00B1089D">
        <w:t>long-term</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w:t>
      </w:r>
      <w:proofErr w:type="spellStart"/>
      <w:r w:rsidRPr="00B1089D">
        <w:t>growth</w:t>
      </w:r>
      <w:proofErr w:type="spellEnd"/>
      <w:r w:rsidRPr="00B1089D">
        <w:t xml:space="preserve"> in EU </w:t>
      </w:r>
      <w:proofErr w:type="spellStart"/>
      <w:r w:rsidRPr="00B1089D">
        <w:t>countries</w:t>
      </w:r>
      <w:proofErr w:type="spellEnd"/>
      <w:r w:rsidRPr="00B1089D">
        <w:t xml:space="preserve">, </w:t>
      </w:r>
      <w:proofErr w:type="spellStart"/>
      <w:r w:rsidRPr="00B1089D">
        <w:t>with</w:t>
      </w:r>
      <w:proofErr w:type="spellEnd"/>
      <w:r w:rsidRPr="00B1089D">
        <w:t xml:space="preserve"> </w:t>
      </w:r>
      <w:proofErr w:type="spellStart"/>
      <w:r w:rsidRPr="00B1089D">
        <w:t>all</w:t>
      </w:r>
      <w:proofErr w:type="spellEnd"/>
      <w:r w:rsidRPr="00B1089D">
        <w:t xml:space="preserve"> </w:t>
      </w:r>
      <w:proofErr w:type="spellStart"/>
      <w:r w:rsidRPr="00B1089D">
        <w:t>governance</w:t>
      </w:r>
      <w:proofErr w:type="spellEnd"/>
      <w:r w:rsidRPr="00B1089D">
        <w:t xml:space="preserve"> </w:t>
      </w:r>
      <w:proofErr w:type="spellStart"/>
      <w:r w:rsidRPr="00B1089D">
        <w:t>dimensions</w:t>
      </w:r>
      <w:proofErr w:type="spellEnd"/>
      <w:r w:rsidRPr="00B1089D">
        <w:t xml:space="preserve"> </w:t>
      </w:r>
      <w:proofErr w:type="spellStart"/>
      <w:r w:rsidRPr="00B1089D">
        <w:t>significant</w:t>
      </w:r>
      <w:proofErr w:type="spellEnd"/>
      <w:r w:rsidRPr="00B1089D">
        <w:t xml:space="preserve">. </w:t>
      </w:r>
      <w:proofErr w:type="spellStart"/>
      <w:r w:rsidRPr="00B1089D">
        <w:t>Only</w:t>
      </w:r>
      <w:proofErr w:type="spellEnd"/>
      <w:r w:rsidRPr="00B1089D">
        <w:t xml:space="preserve"> </w:t>
      </w:r>
      <w:proofErr w:type="spellStart"/>
      <w:r w:rsidRPr="00B1089D">
        <w:t>specific</w:t>
      </w:r>
      <w:proofErr w:type="spellEnd"/>
      <w:r w:rsidRPr="00B1089D">
        <w:t xml:space="preserve"> </w:t>
      </w:r>
      <w:proofErr w:type="spellStart"/>
      <w:r w:rsidRPr="00B1089D">
        <w:t>factors</w:t>
      </w:r>
      <w:proofErr w:type="spellEnd"/>
      <w:r w:rsidRPr="00B1089D">
        <w:t xml:space="preserve"> </w:t>
      </w:r>
      <w:proofErr w:type="spellStart"/>
      <w:r w:rsidRPr="00B1089D">
        <w:t>like</w:t>
      </w:r>
      <w:proofErr w:type="spellEnd"/>
      <w:r w:rsidRPr="00B1089D">
        <w:t xml:space="preserve">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and</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matter</w:t>
      </w:r>
      <w:proofErr w:type="spellEnd"/>
      <w:r w:rsidRPr="00B1089D">
        <w:t xml:space="preserve"> in </w:t>
      </w:r>
      <w:proofErr w:type="spellStart"/>
      <w:r w:rsidRPr="00B1089D">
        <w:t>non</w:t>
      </w:r>
      <w:proofErr w:type="spellEnd"/>
      <w:r w:rsidRPr="00B1089D">
        <w:t xml:space="preserve">-EU </w:t>
      </w:r>
      <w:proofErr w:type="spellStart"/>
      <w:r w:rsidRPr="00B1089D">
        <w:t>countries</w:t>
      </w:r>
      <w:proofErr w:type="spellEnd"/>
      <w:r w:rsidRPr="00B1089D">
        <w:t xml:space="preserve">.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emphasises</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particularly</w:t>
      </w:r>
      <w:proofErr w:type="spellEnd"/>
      <w:r w:rsidRPr="00B1089D">
        <w:t xml:space="preserve"> </w:t>
      </w:r>
      <w:proofErr w:type="spellStart"/>
      <w:r w:rsidRPr="00B1089D">
        <w:t>controlling</w:t>
      </w:r>
      <w:proofErr w:type="spellEnd"/>
      <w:r w:rsidRPr="00B1089D">
        <w:t xml:space="preserve"> </w:t>
      </w:r>
      <w:proofErr w:type="spellStart"/>
      <w:r w:rsidRPr="00B1089D">
        <w:t>corruption</w:t>
      </w:r>
      <w:proofErr w:type="spellEnd"/>
      <w:r w:rsidRPr="00B1089D">
        <w:t xml:space="preserve">, </w:t>
      </w:r>
      <w:proofErr w:type="spellStart"/>
      <w:r w:rsidRPr="00B1089D">
        <w:t>for</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in SEE </w:t>
      </w:r>
      <w:proofErr w:type="spellStart"/>
      <w:r w:rsidRPr="00B1089D">
        <w:t>countries</w:t>
      </w:r>
      <w:proofErr w:type="spellEnd"/>
      <w:r w:rsidRPr="00B1089D">
        <w:t xml:space="preserve">, </w:t>
      </w:r>
      <w:proofErr w:type="spellStart"/>
      <w:r w:rsidRPr="00B1089D">
        <w:t>highlighting</w:t>
      </w:r>
      <w:proofErr w:type="spellEnd"/>
      <w:r w:rsidRPr="00B1089D">
        <w:t xml:space="preserve"> </w:t>
      </w:r>
      <w:proofErr w:type="spellStart"/>
      <w:r w:rsidRPr="00B1089D">
        <w:t>critical</w:t>
      </w:r>
      <w:proofErr w:type="spellEnd"/>
      <w:r w:rsidRPr="00B1089D">
        <w:t xml:space="preserve"> </w:t>
      </w:r>
      <w:proofErr w:type="spellStart"/>
      <w:r w:rsidRPr="00B1089D">
        <w:t>challenges</w:t>
      </w:r>
      <w:proofErr w:type="spellEnd"/>
      <w:r w:rsidRPr="00B1089D">
        <w:t xml:space="preserve"> </w:t>
      </w:r>
      <w:proofErr w:type="spellStart"/>
      <w:r w:rsidRPr="00B1089D">
        <w:t>for</w:t>
      </w:r>
      <w:proofErr w:type="spellEnd"/>
      <w:r w:rsidRPr="00B1089D">
        <w:t xml:space="preserve"> </w:t>
      </w:r>
      <w:proofErr w:type="spellStart"/>
      <w:r w:rsidRPr="00B1089D">
        <w:t>non</w:t>
      </w:r>
      <w:proofErr w:type="spellEnd"/>
      <w:r w:rsidRPr="00B1089D">
        <w:t xml:space="preserve">-EU </w:t>
      </w:r>
      <w:proofErr w:type="spellStart"/>
      <w:r w:rsidRPr="00B1089D">
        <w:t>nations</w:t>
      </w:r>
      <w:proofErr w:type="spellEnd"/>
      <w:r w:rsidRPr="00B1089D">
        <w:t xml:space="preserve"> </w:t>
      </w:r>
      <w:proofErr w:type="spellStart"/>
      <w:r w:rsidRPr="00B1089D">
        <w:t>aiming</w:t>
      </w:r>
      <w:proofErr w:type="spellEnd"/>
      <w:r w:rsidRPr="00B1089D">
        <w:t xml:space="preserve"> </w:t>
      </w:r>
      <w:proofErr w:type="spellStart"/>
      <w:r w:rsidRPr="00B1089D">
        <w:t>for</w:t>
      </w:r>
      <w:proofErr w:type="spellEnd"/>
      <w:r w:rsidRPr="00B1089D">
        <w:t xml:space="preserve"> EU </w:t>
      </w:r>
      <w:proofErr w:type="spellStart"/>
      <w:r w:rsidRPr="00B1089D">
        <w:t>accession</w:t>
      </w:r>
      <w:proofErr w:type="spellEnd"/>
      <w:r w:rsidRPr="00B1089D">
        <w:t xml:space="preserve"> (</w:t>
      </w:r>
      <w:proofErr w:type="spellStart"/>
      <w:r w:rsidRPr="00B1089D">
        <w:t>Radulović</w:t>
      </w:r>
      <w:proofErr w:type="spellEnd"/>
      <w:r w:rsidRPr="00B1089D">
        <w:t xml:space="preserve"> 2020: 178).</w:t>
      </w:r>
    </w:p>
    <w:p w14:paraId="714F5D34" w14:textId="77777777" w:rsidR="00FA457D" w:rsidRPr="00B1089D" w:rsidRDefault="00FA457D" w:rsidP="00E359E0">
      <w:pPr>
        <w:widowControl/>
        <w:jc w:val="both"/>
      </w:pPr>
    </w:p>
    <w:p w14:paraId="0CB79898" w14:textId="77777777" w:rsidR="00FA457D" w:rsidRPr="00D10870" w:rsidRDefault="00FA457D" w:rsidP="00E359E0">
      <w:pPr>
        <w:widowControl/>
        <w:jc w:val="both"/>
      </w:pPr>
      <w:proofErr w:type="spellStart"/>
      <w:r w:rsidRPr="00B1089D">
        <w:t>Mohammed</w:t>
      </w:r>
      <w:proofErr w:type="spellEnd"/>
      <w:r w:rsidRPr="00B1089D">
        <w:t xml:space="preserve"> </w:t>
      </w:r>
      <w:proofErr w:type="spellStart"/>
      <w:r w:rsidRPr="00B1089D">
        <w:t>and</w:t>
      </w:r>
      <w:proofErr w:type="spellEnd"/>
      <w:r w:rsidRPr="00B1089D">
        <w:t xml:space="preserve"> Ekşi (2021)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development</w:t>
      </w:r>
      <w:proofErr w:type="spellEnd"/>
      <w:r w:rsidRPr="00B1089D">
        <w:t xml:space="preserve">, </w:t>
      </w:r>
      <w:proofErr w:type="spellStart"/>
      <w:r w:rsidRPr="00B1089D">
        <w:t>focusing</w:t>
      </w:r>
      <w:proofErr w:type="spellEnd"/>
      <w:r w:rsidRPr="00B1089D">
        <w:t xml:space="preserve"> on MSCI </w:t>
      </w:r>
      <w:proofErr w:type="spellStart"/>
      <w:r w:rsidRPr="00B1089D">
        <w:t>countries</w:t>
      </w:r>
      <w:proofErr w:type="spellEnd"/>
      <w:r w:rsidRPr="00B1089D">
        <w:t xml:space="preserve"> </w:t>
      </w:r>
      <w:proofErr w:type="spellStart"/>
      <w:r w:rsidRPr="00B1089D">
        <w:t>from</w:t>
      </w:r>
      <w:proofErr w:type="spellEnd"/>
      <w:r w:rsidRPr="00B1089D">
        <w:t xml:space="preserve"> 2002 </w:t>
      </w:r>
      <w:proofErr w:type="spellStart"/>
      <w:r w:rsidRPr="00B1089D">
        <w:t>to</w:t>
      </w:r>
      <w:proofErr w:type="spellEnd"/>
      <w:r w:rsidRPr="00B1089D">
        <w:t xml:space="preserve"> 2018. </w:t>
      </w:r>
      <w:proofErr w:type="spellStart"/>
      <w:r w:rsidRPr="00B1089D">
        <w:t>Contrary</w:t>
      </w:r>
      <w:proofErr w:type="spellEnd"/>
      <w:r w:rsidRPr="00B1089D">
        <w:t xml:space="preserve"> </w:t>
      </w:r>
      <w:proofErr w:type="spellStart"/>
      <w:r w:rsidRPr="00B1089D">
        <w:t>to</w:t>
      </w:r>
      <w:proofErr w:type="spellEnd"/>
      <w:r w:rsidRPr="00B1089D">
        <w:t xml:space="preserve"> </w:t>
      </w:r>
      <w:proofErr w:type="spellStart"/>
      <w:r w:rsidRPr="00B1089D">
        <w:t>previous</w:t>
      </w:r>
      <w:proofErr w:type="spellEnd"/>
      <w:r w:rsidRPr="00B1089D">
        <w:t xml:space="preserve"> </w:t>
      </w:r>
      <w:proofErr w:type="spellStart"/>
      <w:r w:rsidRPr="00B1089D">
        <w:t>studies</w:t>
      </w:r>
      <w:proofErr w:type="spellEnd"/>
      <w:r w:rsidRPr="00B1089D">
        <w:t xml:space="preserve"> </w:t>
      </w:r>
      <w:proofErr w:type="spellStart"/>
      <w:r w:rsidRPr="00B1089D">
        <w:t>highlighting</w:t>
      </w:r>
      <w:proofErr w:type="spellEnd"/>
      <w:r w:rsidRPr="00B1089D">
        <w:t xml:space="preserve"> </w:t>
      </w:r>
      <w:proofErr w:type="spellStart"/>
      <w:r w:rsidRPr="00B1089D">
        <w:t>the</w:t>
      </w:r>
      <w:proofErr w:type="spellEnd"/>
      <w:r w:rsidRPr="00B1089D">
        <w:t xml:space="preserve"> </w:t>
      </w:r>
      <w:proofErr w:type="spellStart"/>
      <w:r w:rsidRPr="00B1089D">
        <w:t>positive</w:t>
      </w:r>
      <w:proofErr w:type="spellEnd"/>
      <w:r w:rsidRPr="00B1089D">
        <w:t xml:space="preserve"> </w:t>
      </w:r>
      <w:proofErr w:type="spellStart"/>
      <w:r w:rsidRPr="00B1089D">
        <w:t>impact</w:t>
      </w:r>
      <w:proofErr w:type="spellEnd"/>
      <w:r w:rsidRPr="00B1089D">
        <w:t xml:space="preserve"> of </w:t>
      </w:r>
      <w:proofErr w:type="spellStart"/>
      <w:r w:rsidRPr="00B1089D">
        <w:t>governance</w:t>
      </w:r>
      <w:proofErr w:type="spellEnd"/>
      <w:r w:rsidRPr="00B1089D">
        <w:t xml:space="preserve"> on </w:t>
      </w:r>
      <w:proofErr w:type="spellStart"/>
      <w:r w:rsidRPr="00B1089D">
        <w:t>growth</w:t>
      </w:r>
      <w:proofErr w:type="spellEnd"/>
      <w:r w:rsidRPr="00B1089D">
        <w:t xml:space="preserve">, </w:t>
      </w:r>
      <w:proofErr w:type="spellStart"/>
      <w:r w:rsidRPr="00B1089D">
        <w:t>their</w:t>
      </w:r>
      <w:proofErr w:type="spellEnd"/>
      <w:r w:rsidRPr="00B1089D">
        <w:t xml:space="preserve"> </w:t>
      </w:r>
      <w:proofErr w:type="spellStart"/>
      <w:r w:rsidRPr="00B1089D">
        <w:t>findings</w:t>
      </w:r>
      <w:proofErr w:type="spellEnd"/>
      <w:r w:rsidRPr="00B1089D">
        <w:t xml:space="preserve"> </w:t>
      </w:r>
      <w:proofErr w:type="spellStart"/>
      <w:r w:rsidRPr="00B1089D">
        <w:t>reveal</w:t>
      </w:r>
      <w:proofErr w:type="spellEnd"/>
      <w:r w:rsidRPr="00B1089D">
        <w:t xml:space="preserve"> </w:t>
      </w:r>
      <w:proofErr w:type="spellStart"/>
      <w:r w:rsidRPr="00B1089D">
        <w:t>no</w:t>
      </w:r>
      <w:proofErr w:type="spellEnd"/>
      <w:r w:rsidRPr="00B1089D">
        <w:t xml:space="preserve"> </w:t>
      </w:r>
      <w:proofErr w:type="spellStart"/>
      <w:r w:rsidRPr="00B1089D">
        <w:t>significant</w:t>
      </w:r>
      <w:proofErr w:type="spellEnd"/>
      <w:r w:rsidRPr="00B1089D">
        <w:t xml:space="preserve"> </w:t>
      </w:r>
      <w:proofErr w:type="spellStart"/>
      <w:r w:rsidRPr="00B1089D">
        <w:t>correlation</w:t>
      </w:r>
      <w:proofErr w:type="spellEnd"/>
      <w:r w:rsidRPr="00B1089D">
        <w:t xml:space="preserve">.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emphasises</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improvements</w:t>
      </w:r>
      <w:proofErr w:type="spellEnd"/>
      <w:r w:rsidRPr="00B1089D">
        <w:t xml:space="preserve"> in </w:t>
      </w:r>
      <w:proofErr w:type="spellStart"/>
      <w:r w:rsidRPr="00B1089D">
        <w:t>governance</w:t>
      </w:r>
      <w:proofErr w:type="spellEnd"/>
      <w:r w:rsidRPr="00B1089D">
        <w:t xml:space="preserve">, </w:t>
      </w:r>
      <w:proofErr w:type="spellStart"/>
      <w:r w:rsidRPr="00B1089D">
        <w:t>particularly</w:t>
      </w:r>
      <w:proofErr w:type="spellEnd"/>
      <w:r w:rsidRPr="00B1089D">
        <w:t xml:space="preserve"> in </w:t>
      </w:r>
      <w:proofErr w:type="spellStart"/>
      <w:r w:rsidRPr="00B1089D">
        <w:t>light</w:t>
      </w:r>
      <w:proofErr w:type="spellEnd"/>
      <w:r w:rsidRPr="00B1089D">
        <w:t xml:space="preserve"> of </w:t>
      </w:r>
      <w:proofErr w:type="spellStart"/>
      <w:r w:rsidRPr="00B1089D">
        <w:t>the</w:t>
      </w:r>
      <w:proofErr w:type="spellEnd"/>
      <w:r w:rsidRPr="00B1089D">
        <w:t xml:space="preserve"> 2008/2009 </w:t>
      </w:r>
      <w:proofErr w:type="spellStart"/>
      <w:r w:rsidRPr="00B1089D">
        <w:t>financial</w:t>
      </w:r>
      <w:proofErr w:type="spellEnd"/>
      <w:r w:rsidRPr="00B1089D">
        <w:t xml:space="preserve"> </w:t>
      </w:r>
      <w:proofErr w:type="spellStart"/>
      <w:r w:rsidRPr="00B1089D">
        <w:t>crisis</w:t>
      </w:r>
      <w:proofErr w:type="spellEnd"/>
      <w:r w:rsidRPr="00B1089D">
        <w:t xml:space="preserve">. </w:t>
      </w:r>
      <w:proofErr w:type="spellStart"/>
      <w:r w:rsidRPr="00B1089D">
        <w:t>The</w:t>
      </w:r>
      <w:proofErr w:type="spellEnd"/>
      <w:r w:rsidRPr="00B1089D">
        <w:t xml:space="preserve"> </w:t>
      </w:r>
      <w:proofErr w:type="spellStart"/>
      <w:r w:rsidRPr="00B1089D">
        <w:t>authors</w:t>
      </w:r>
      <w:proofErr w:type="spellEnd"/>
      <w:r w:rsidRPr="00B1089D">
        <w:t xml:space="preserve"> </w:t>
      </w:r>
      <w:proofErr w:type="spellStart"/>
      <w:r w:rsidRPr="00B1089D">
        <w:t>recommend</w:t>
      </w:r>
      <w:proofErr w:type="spellEnd"/>
      <w:r w:rsidRPr="00B1089D">
        <w:t xml:space="preserve"> </w:t>
      </w:r>
      <w:proofErr w:type="spellStart"/>
      <w:r w:rsidRPr="00B1089D">
        <w:t>that</w:t>
      </w:r>
      <w:proofErr w:type="spellEnd"/>
      <w:r w:rsidRPr="00B1089D">
        <w:t xml:space="preserve"> </w:t>
      </w:r>
      <w:proofErr w:type="spellStart"/>
      <w:r w:rsidRPr="00B1089D">
        <w:t>emerging</w:t>
      </w:r>
      <w:proofErr w:type="spellEnd"/>
      <w:r w:rsidRPr="00B1089D">
        <w:t xml:space="preserve"> market </w:t>
      </w:r>
      <w:proofErr w:type="spellStart"/>
      <w:r w:rsidRPr="00B1089D">
        <w:t>governments</w:t>
      </w:r>
      <w:proofErr w:type="spellEnd"/>
      <w:r w:rsidRPr="00B1089D">
        <w:t xml:space="preserve"> </w:t>
      </w:r>
      <w:proofErr w:type="spellStart"/>
      <w:r w:rsidRPr="00B1089D">
        <w:t>prioritise</w:t>
      </w:r>
      <w:proofErr w:type="spellEnd"/>
      <w:r w:rsidRPr="00B1089D">
        <w:t xml:space="preserve"> </w:t>
      </w:r>
      <w:proofErr w:type="spellStart"/>
      <w:r w:rsidRPr="00B1089D">
        <w:t>governance</w:t>
      </w:r>
      <w:proofErr w:type="spellEnd"/>
      <w:r w:rsidRPr="00B1089D">
        <w:t xml:space="preserve">, </w:t>
      </w:r>
      <w:proofErr w:type="spellStart"/>
      <w:r w:rsidRPr="00B1089D">
        <w:t>regulate</w:t>
      </w:r>
      <w:proofErr w:type="spellEnd"/>
      <w:r w:rsidRPr="00B1089D">
        <w:t xml:space="preserve"> </w:t>
      </w:r>
      <w:proofErr w:type="spellStart"/>
      <w:r w:rsidRPr="00B1089D">
        <w:t>financial</w:t>
      </w:r>
      <w:proofErr w:type="spellEnd"/>
      <w:r w:rsidRPr="00B1089D">
        <w:t xml:space="preserve"> </w:t>
      </w:r>
      <w:proofErr w:type="spellStart"/>
      <w:r w:rsidRPr="00B1089D">
        <w:t>institutions</w:t>
      </w:r>
      <w:proofErr w:type="spellEnd"/>
      <w:r w:rsidRPr="00B1089D">
        <w:t xml:space="preserve">, </w:t>
      </w:r>
      <w:proofErr w:type="spellStart"/>
      <w:r w:rsidRPr="00B1089D">
        <w:t>and</w:t>
      </w:r>
      <w:proofErr w:type="spellEnd"/>
      <w:r w:rsidRPr="00B1089D">
        <w:t xml:space="preserve"> </w:t>
      </w:r>
      <w:proofErr w:type="spellStart"/>
      <w:r w:rsidRPr="00B1089D">
        <w:t>invest</w:t>
      </w:r>
      <w:proofErr w:type="spellEnd"/>
      <w:r w:rsidRPr="00B1089D">
        <w:t xml:space="preserve"> in </w:t>
      </w:r>
      <w:proofErr w:type="spellStart"/>
      <w:r w:rsidRPr="00B1089D">
        <w:t>human</w:t>
      </w:r>
      <w:proofErr w:type="spellEnd"/>
      <w:r w:rsidRPr="00B1089D">
        <w:t xml:space="preserve"> </w:t>
      </w:r>
      <w:proofErr w:type="spellStart"/>
      <w:r w:rsidRPr="00B1089D">
        <w:t>capital</w:t>
      </w:r>
      <w:proofErr w:type="spellEnd"/>
      <w:r w:rsidRPr="00B1089D">
        <w:t xml:space="preserve"> </w:t>
      </w:r>
      <w:proofErr w:type="spellStart"/>
      <w:r w:rsidRPr="00B1089D">
        <w:t>for</w:t>
      </w:r>
      <w:proofErr w:type="spellEnd"/>
      <w:r w:rsidRPr="00B1089D">
        <w:t xml:space="preserve"> </w:t>
      </w:r>
      <w:proofErr w:type="spellStart"/>
      <w:r w:rsidRPr="00B1089D">
        <w:t>sustainable</w:t>
      </w:r>
      <w:proofErr w:type="spellEnd"/>
      <w:r w:rsidRPr="00B1089D">
        <w:t xml:space="preserve"> </w:t>
      </w:r>
      <w:proofErr w:type="spellStart"/>
      <w:r w:rsidRPr="00B1089D">
        <w:t>growth</w:t>
      </w:r>
      <w:proofErr w:type="spellEnd"/>
      <w:r w:rsidRPr="00B1089D">
        <w:t xml:space="preserve"> </w:t>
      </w:r>
      <w:proofErr w:type="spellStart"/>
      <w:r w:rsidRPr="00B1089D">
        <w:t>while</w:t>
      </w:r>
      <w:proofErr w:type="spellEnd"/>
      <w:r w:rsidRPr="00B1089D">
        <w:t xml:space="preserve"> </w:t>
      </w:r>
      <w:proofErr w:type="spellStart"/>
      <w:r w:rsidRPr="00B1089D">
        <w:t>acknowledging</w:t>
      </w:r>
      <w:proofErr w:type="spellEnd"/>
      <w:r w:rsidRPr="00B1089D">
        <w:t xml:space="preserve"> </w:t>
      </w:r>
      <w:proofErr w:type="spellStart"/>
      <w:r w:rsidRPr="00B1089D">
        <w:t>limitations</w:t>
      </w:r>
      <w:proofErr w:type="spellEnd"/>
      <w:r w:rsidRPr="00B1089D">
        <w:t xml:space="preserve"> in </w:t>
      </w:r>
      <w:proofErr w:type="spellStart"/>
      <w:r w:rsidRPr="00B1089D">
        <w:t>their</w:t>
      </w:r>
      <w:proofErr w:type="spellEnd"/>
      <w:r w:rsidRPr="00B1089D">
        <w:t xml:space="preserve"> </w:t>
      </w:r>
      <w:proofErr w:type="spellStart"/>
      <w:r w:rsidRPr="00B1089D">
        <w:t>sample</w:t>
      </w:r>
      <w:proofErr w:type="spellEnd"/>
      <w:r w:rsidRPr="00B1089D">
        <w:t xml:space="preserve"> </w:t>
      </w:r>
      <w:proofErr w:type="spellStart"/>
      <w:r w:rsidRPr="00B1089D">
        <w:t>and</w:t>
      </w:r>
      <w:proofErr w:type="spellEnd"/>
      <w:r w:rsidRPr="00B1089D">
        <w:t xml:space="preserve"> </w:t>
      </w:r>
      <w:proofErr w:type="gramStart"/>
      <w:r w:rsidRPr="00B1089D">
        <w:t>data</w:t>
      </w:r>
      <w:proofErr w:type="gramEnd"/>
      <w:r w:rsidRPr="00B1089D">
        <w:t xml:space="preserve"> </w:t>
      </w:r>
      <w:proofErr w:type="spellStart"/>
      <w:r w:rsidRPr="00B1089D">
        <w:t>sets</w:t>
      </w:r>
      <w:proofErr w:type="spellEnd"/>
      <w:r w:rsidRPr="00B1089D">
        <w:t xml:space="preserve"> (</w:t>
      </w:r>
      <w:proofErr w:type="spellStart"/>
      <w:r w:rsidRPr="00B1089D">
        <w:t>Almohammed</w:t>
      </w:r>
      <w:proofErr w:type="spellEnd"/>
      <w:r w:rsidRPr="00B1089D">
        <w:t xml:space="preserve"> &amp; Ekşi 2021: 49).</w:t>
      </w:r>
    </w:p>
    <w:p w14:paraId="7A65A6B4" w14:textId="77777777" w:rsidR="00FA457D" w:rsidRPr="00B1089D" w:rsidRDefault="00FA457D" w:rsidP="00E359E0">
      <w:pPr>
        <w:widowControl/>
        <w:jc w:val="both"/>
      </w:pPr>
    </w:p>
    <w:p w14:paraId="28B93D08" w14:textId="632AC913" w:rsidR="00FA457D" w:rsidRPr="00B1089D" w:rsidRDefault="00FA457D" w:rsidP="00E359E0">
      <w:pPr>
        <w:widowControl/>
        <w:jc w:val="both"/>
      </w:pPr>
      <w:proofErr w:type="spellStart"/>
      <w:r w:rsidRPr="00B1089D">
        <w:t>Bah</w:t>
      </w:r>
      <w:proofErr w:type="spellEnd"/>
      <w:r w:rsidRPr="00B1089D">
        <w:t xml:space="preserve"> et al. (2021)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w:t>
      </w:r>
      <w:proofErr w:type="spellStart"/>
      <w:r w:rsidRPr="00B1089D">
        <w:t>exports</w:t>
      </w:r>
      <w:proofErr w:type="spellEnd"/>
      <w:r w:rsidRPr="00B1089D">
        <w:t xml:space="preserve"> in </w:t>
      </w:r>
      <w:proofErr w:type="spellStart"/>
      <w:r w:rsidRPr="00B1089D">
        <w:t>sub-Saharan</w:t>
      </w:r>
      <w:proofErr w:type="spellEnd"/>
      <w:r w:rsidRPr="00B1089D">
        <w:t xml:space="preserve"> </w:t>
      </w:r>
      <w:proofErr w:type="spellStart"/>
      <w:r w:rsidRPr="00B1089D">
        <w:t>African</w:t>
      </w:r>
      <w:proofErr w:type="spellEnd"/>
      <w:r w:rsidRPr="00B1089D">
        <w:t xml:space="preserve"> </w:t>
      </w:r>
      <w:proofErr w:type="spellStart"/>
      <w:r w:rsidRPr="00B1089D">
        <w:t>countries</w:t>
      </w:r>
      <w:proofErr w:type="spellEnd"/>
      <w:r w:rsidRPr="00B1089D">
        <w:t xml:space="preserve"> </w:t>
      </w:r>
      <w:proofErr w:type="spellStart"/>
      <w:r w:rsidRPr="00B1089D">
        <w:t>from</w:t>
      </w:r>
      <w:proofErr w:type="spellEnd"/>
      <w:r w:rsidRPr="00B1089D">
        <w:t xml:space="preserve"> 1996 </w:t>
      </w:r>
      <w:proofErr w:type="spellStart"/>
      <w:r w:rsidRPr="00B1089D">
        <w:t>to</w:t>
      </w:r>
      <w:proofErr w:type="spellEnd"/>
      <w:r w:rsidRPr="00B1089D">
        <w:t xml:space="preserve"> 2019 </w:t>
      </w:r>
      <w:proofErr w:type="spellStart"/>
      <w:r w:rsidRPr="00B1089D">
        <w:t>using</w:t>
      </w:r>
      <w:proofErr w:type="spellEnd"/>
      <w:r w:rsidRPr="00B1089D">
        <w:t xml:space="preserve"> </w:t>
      </w:r>
      <w:proofErr w:type="spellStart"/>
      <w:r w:rsidRPr="00B1089D">
        <w:t>the</w:t>
      </w:r>
      <w:proofErr w:type="spellEnd"/>
      <w:r w:rsidRPr="00B1089D">
        <w:t xml:space="preserve"> GMM </w:t>
      </w:r>
      <w:proofErr w:type="spellStart"/>
      <w:r w:rsidRPr="00B1089D">
        <w:t>approach</w:t>
      </w:r>
      <w:proofErr w:type="spellEnd"/>
      <w:r w:rsidRPr="00B1089D">
        <w:t xml:space="preserve">. </w:t>
      </w:r>
      <w:proofErr w:type="spellStart"/>
      <w:r w:rsidRPr="00B1089D">
        <w:t>Their</w:t>
      </w:r>
      <w:proofErr w:type="spellEnd"/>
      <w:r w:rsidRPr="00B1089D">
        <w:t xml:space="preserve"> </w:t>
      </w:r>
      <w:proofErr w:type="spellStart"/>
      <w:r w:rsidRPr="00B1089D">
        <w:t>analysis</w:t>
      </w:r>
      <w:proofErr w:type="spellEnd"/>
      <w:r w:rsidRPr="00B1089D">
        <w:t xml:space="preserve"> of </w:t>
      </w:r>
      <w:proofErr w:type="spellStart"/>
      <w:r w:rsidRPr="00B1089D">
        <w:t>six</w:t>
      </w:r>
      <w:proofErr w:type="spellEnd"/>
      <w:r w:rsidRPr="00B1089D">
        <w:t xml:space="preserve"> </w:t>
      </w:r>
      <w:proofErr w:type="spellStart"/>
      <w:r w:rsidRPr="00B1089D">
        <w:t>governance</w:t>
      </w:r>
      <w:proofErr w:type="spellEnd"/>
      <w:r w:rsidRPr="00B1089D">
        <w:t xml:space="preserve"> </w:t>
      </w:r>
      <w:proofErr w:type="spellStart"/>
      <w:r w:rsidRPr="00B1089D">
        <w:t>indicators</w:t>
      </w:r>
      <w:proofErr w:type="spellEnd"/>
      <w:r w:rsidRPr="00B1089D">
        <w:t xml:space="preserve"> </w:t>
      </w:r>
      <w:proofErr w:type="spellStart"/>
      <w:r w:rsidRPr="00B1089D">
        <w:t>shows</w:t>
      </w:r>
      <w:proofErr w:type="spellEnd"/>
      <w:r w:rsidRPr="00B1089D">
        <w:t xml:space="preserve"> </w:t>
      </w:r>
      <w:proofErr w:type="spellStart"/>
      <w:r w:rsidRPr="00B1089D">
        <w:t>that</w:t>
      </w:r>
      <w:proofErr w:type="spellEnd"/>
      <w:r w:rsidRPr="00B1089D">
        <w:t xml:space="preserve"> </w:t>
      </w:r>
      <w:proofErr w:type="spellStart"/>
      <w:r w:rsidRPr="00B1089D">
        <w:t>overall</w:t>
      </w:r>
      <w:proofErr w:type="spellEnd"/>
      <w:r w:rsidRPr="00B1089D">
        <w:t xml:space="preserve"> </w:t>
      </w:r>
      <w:proofErr w:type="spellStart"/>
      <w:r w:rsidRPr="00B1089D">
        <w:t>exports</w:t>
      </w:r>
      <w:proofErr w:type="spellEnd"/>
      <w:r w:rsidRPr="00B1089D">
        <w:t xml:space="preserve"> </w:t>
      </w:r>
      <w:proofErr w:type="spellStart"/>
      <w:r w:rsidRPr="00B1089D">
        <w:t>and</w:t>
      </w:r>
      <w:proofErr w:type="spellEnd"/>
      <w:r w:rsidRPr="00B1089D">
        <w:t xml:space="preserve"> </w:t>
      </w:r>
      <w:proofErr w:type="spellStart"/>
      <w:r w:rsidRPr="00B1089D">
        <w:t>services</w:t>
      </w:r>
      <w:proofErr w:type="spellEnd"/>
      <w:r w:rsidRPr="00B1089D">
        <w:t xml:space="preserve"> </w:t>
      </w:r>
      <w:proofErr w:type="spellStart"/>
      <w:r w:rsidRPr="00B1089D">
        <w:t>benefit</w:t>
      </w:r>
      <w:proofErr w:type="spellEnd"/>
      <w:r w:rsidRPr="00B1089D">
        <w:t xml:space="preserve"> </w:t>
      </w:r>
      <w:proofErr w:type="spellStart"/>
      <w:r w:rsidRPr="00B1089D">
        <w:t>from</w:t>
      </w:r>
      <w:proofErr w:type="spellEnd"/>
      <w:r w:rsidRPr="00B1089D">
        <w:t xml:space="preserve"> </w:t>
      </w:r>
      <w:proofErr w:type="spellStart"/>
      <w:r w:rsidRPr="00B1089D">
        <w:t>these</w:t>
      </w:r>
      <w:proofErr w:type="spellEnd"/>
      <w:r w:rsidRPr="00B1089D">
        <w:t xml:space="preserve"> </w:t>
      </w:r>
      <w:proofErr w:type="spellStart"/>
      <w:r w:rsidRPr="00B1089D">
        <w:t>indicators</w:t>
      </w:r>
      <w:proofErr w:type="spellEnd"/>
      <w:r w:rsidRPr="00B1089D">
        <w:t xml:space="preserve">, </w:t>
      </w:r>
      <w:proofErr w:type="spellStart"/>
      <w:r w:rsidRPr="00B1089D">
        <w:t>though</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w:t>
      </w:r>
      <w:proofErr w:type="spellStart"/>
      <w:r w:rsidRPr="00B1089D">
        <w:t>vary</w:t>
      </w:r>
      <w:proofErr w:type="spellEnd"/>
      <w:r w:rsidRPr="00B1089D">
        <w:t xml:space="preserve"> </w:t>
      </w:r>
      <w:proofErr w:type="spellStart"/>
      <w:r w:rsidRPr="00B1089D">
        <w:t>by</w:t>
      </w:r>
      <w:proofErr w:type="spellEnd"/>
      <w:r w:rsidRPr="00B1089D">
        <w:t xml:space="preserve"> </w:t>
      </w:r>
      <w:proofErr w:type="spellStart"/>
      <w:r w:rsidRPr="00B1089D">
        <w:t>export</w:t>
      </w:r>
      <w:proofErr w:type="spellEnd"/>
      <w:r w:rsidRPr="00B1089D">
        <w:t xml:space="preserve"> </w:t>
      </w:r>
      <w:proofErr w:type="spellStart"/>
      <w:r w:rsidRPr="00B1089D">
        <w:t>component</w:t>
      </w:r>
      <w:proofErr w:type="spellEnd"/>
      <w:r w:rsidRPr="00B1089D">
        <w:t xml:space="preserve">. </w:t>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voice</w:t>
      </w:r>
      <w:proofErr w:type="spellEnd"/>
      <w:r w:rsidRPr="00B1089D">
        <w:t xml:space="preserv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control</w:t>
      </w:r>
      <w:proofErr w:type="spellEnd"/>
      <w:r w:rsidRPr="00B1089D">
        <w:t xml:space="preserve"> of </w:t>
      </w:r>
      <w:proofErr w:type="spellStart"/>
      <w:r w:rsidRPr="00B1089D">
        <w:lastRenderedPageBreak/>
        <w:t>corruption</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rule</w:t>
      </w:r>
      <w:proofErr w:type="spellEnd"/>
      <w:r w:rsidRPr="00B1089D">
        <w:t xml:space="preserve"> of </w:t>
      </w:r>
      <w:proofErr w:type="spellStart"/>
      <w:r w:rsidRPr="00B1089D">
        <w:t>law</w:t>
      </w:r>
      <w:proofErr w:type="spellEnd"/>
      <w:r w:rsidRPr="00B1089D">
        <w:t xml:space="preserve"> </w:t>
      </w:r>
      <w:proofErr w:type="spellStart"/>
      <w:r w:rsidRPr="00B1089D">
        <w:t>positively</w:t>
      </w:r>
      <w:proofErr w:type="spellEnd"/>
      <w:r w:rsidRPr="00B1089D">
        <w:t xml:space="preserve"> </w:t>
      </w:r>
      <w:proofErr w:type="spellStart"/>
      <w:r w:rsidRPr="00B1089D">
        <w:t>impact</w:t>
      </w:r>
      <w:proofErr w:type="spellEnd"/>
      <w:r w:rsidRPr="00B1089D">
        <w:t xml:space="preserve"> </w:t>
      </w:r>
      <w:proofErr w:type="spellStart"/>
      <w:r w:rsidRPr="00B1089D">
        <w:t>goods</w:t>
      </w:r>
      <w:proofErr w:type="spellEnd"/>
      <w:r w:rsidRPr="00B1089D">
        <w:t xml:space="preserve"> </w:t>
      </w:r>
      <w:proofErr w:type="spellStart"/>
      <w:r w:rsidRPr="00B1089D">
        <w:t>exports</w:t>
      </w:r>
      <w:proofErr w:type="spellEnd"/>
      <w:r w:rsidRPr="00B1089D">
        <w:t xml:space="preserve">, </w:t>
      </w:r>
      <w:proofErr w:type="spellStart"/>
      <w:r w:rsidRPr="00B1089D">
        <w:t>while</w:t>
      </w:r>
      <w:proofErr w:type="spellEnd"/>
      <w:r w:rsidRPr="00B1089D">
        <w:t xml:space="preserve"> </w:t>
      </w:r>
      <w:proofErr w:type="spellStart"/>
      <w:r w:rsidRPr="00B1089D">
        <w:t>only</w:t>
      </w:r>
      <w:proofErr w:type="spellEnd"/>
      <w:r w:rsidRPr="00B1089D">
        <w:t xml:space="preserve"> </w:t>
      </w:r>
      <w:proofErr w:type="spellStart"/>
      <w:r w:rsidRPr="00B1089D">
        <w:t>voice</w:t>
      </w:r>
      <w:proofErr w:type="spellEnd"/>
      <w:r w:rsidRPr="00B1089D">
        <w:t xml:space="preserv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significantly</w:t>
      </w:r>
      <w:proofErr w:type="spellEnd"/>
      <w:r w:rsidRPr="00B1089D">
        <w:t xml:space="preserve"> </w:t>
      </w:r>
      <w:proofErr w:type="spellStart"/>
      <w:r w:rsidRPr="00B1089D">
        <w:t>affect</w:t>
      </w:r>
      <w:proofErr w:type="spellEnd"/>
      <w:r w:rsidRPr="00B1089D">
        <w:t xml:space="preserve"> </w:t>
      </w:r>
      <w:proofErr w:type="spellStart"/>
      <w:r w:rsidRPr="00B1089D">
        <w:t>primary</w:t>
      </w:r>
      <w:proofErr w:type="spellEnd"/>
      <w:r w:rsidRPr="00B1089D">
        <w:t xml:space="preserve"> </w:t>
      </w:r>
      <w:proofErr w:type="spellStart"/>
      <w:r w:rsidRPr="00B1089D">
        <w:t>commodity</w:t>
      </w:r>
      <w:proofErr w:type="spellEnd"/>
      <w:r w:rsidRPr="00B1089D">
        <w:t xml:space="preserve"> </w:t>
      </w:r>
      <w:proofErr w:type="spellStart"/>
      <w:r w:rsidRPr="00B1089D">
        <w:t>exports</w:t>
      </w:r>
      <w:proofErr w:type="spellEnd"/>
      <w:r w:rsidRPr="00B1089D">
        <w:t xml:space="preserve">. </w:t>
      </w:r>
      <w:proofErr w:type="spellStart"/>
      <w:r w:rsidRPr="00B1089D">
        <w:t>The</w:t>
      </w:r>
      <w:proofErr w:type="spellEnd"/>
      <w:r w:rsidRPr="00B1089D">
        <w:t xml:space="preserve"> </w:t>
      </w:r>
      <w:proofErr w:type="spellStart"/>
      <w:r w:rsidRPr="00B1089D">
        <w:t>findings</w:t>
      </w:r>
      <w:proofErr w:type="spellEnd"/>
      <w:r w:rsidRPr="00B1089D">
        <w:t xml:space="preserve"> </w:t>
      </w:r>
      <w:proofErr w:type="spellStart"/>
      <w:r w:rsidRPr="00B1089D">
        <w:t>highlight</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sub-Saharan</w:t>
      </w:r>
      <w:proofErr w:type="spellEnd"/>
      <w:r w:rsidRPr="00B1089D">
        <w:t xml:space="preserve"> </w:t>
      </w:r>
      <w:proofErr w:type="spellStart"/>
      <w:r w:rsidRPr="00B1089D">
        <w:t>African</w:t>
      </w:r>
      <w:proofErr w:type="spellEnd"/>
      <w:r w:rsidRPr="00B1089D">
        <w:t xml:space="preserve"> </w:t>
      </w:r>
      <w:proofErr w:type="spellStart"/>
      <w:r w:rsidRPr="00B1089D">
        <w:t>countries</w:t>
      </w:r>
      <w:proofErr w:type="spellEnd"/>
      <w:r w:rsidRPr="00B1089D">
        <w:t xml:space="preserve"> </w:t>
      </w:r>
      <w:proofErr w:type="spellStart"/>
      <w:r w:rsidRPr="00B1089D">
        <w:t>to</w:t>
      </w:r>
      <w:proofErr w:type="spellEnd"/>
      <w:r w:rsidRPr="00B1089D">
        <w:t xml:space="preserve"> </w:t>
      </w:r>
      <w:proofErr w:type="spellStart"/>
      <w:r w:rsidRPr="00B1089D">
        <w:t>strengthen</w:t>
      </w:r>
      <w:proofErr w:type="spellEnd"/>
      <w:r w:rsidRPr="00B1089D">
        <w:t xml:space="preserve"> </w:t>
      </w:r>
      <w:proofErr w:type="spellStart"/>
      <w:r w:rsidRPr="00B1089D">
        <w:t>political</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improve</w:t>
      </w:r>
      <w:proofErr w:type="spellEnd"/>
      <w:r w:rsidRPr="00B1089D">
        <w:t xml:space="preserve"> </w:t>
      </w:r>
      <w:proofErr w:type="spellStart"/>
      <w:r w:rsidRPr="00B1089D">
        <w:t>the</w:t>
      </w:r>
      <w:proofErr w:type="spellEnd"/>
      <w:r w:rsidRPr="00B1089D">
        <w:t xml:space="preserve"> </w:t>
      </w:r>
      <w:proofErr w:type="spellStart"/>
      <w:r w:rsidRPr="00B1089D">
        <w:t>commercial</w:t>
      </w:r>
      <w:proofErr w:type="spellEnd"/>
      <w:r w:rsidRPr="00B1089D">
        <w:t xml:space="preserve"> </w:t>
      </w:r>
      <w:proofErr w:type="spellStart"/>
      <w:r w:rsidRPr="00B1089D">
        <w:t>environment</w:t>
      </w:r>
      <w:proofErr w:type="spellEnd"/>
      <w:r w:rsidRPr="00B1089D">
        <w:t xml:space="preserve"> </w:t>
      </w:r>
      <w:proofErr w:type="spellStart"/>
      <w:r w:rsidRPr="00B1089D">
        <w:t>to</w:t>
      </w:r>
      <w:proofErr w:type="spellEnd"/>
      <w:r w:rsidRPr="00B1089D">
        <w:t xml:space="preserve"> </w:t>
      </w:r>
      <w:proofErr w:type="spellStart"/>
      <w:r w:rsidRPr="00B1089D">
        <w:t>enhance</w:t>
      </w:r>
      <w:proofErr w:type="spellEnd"/>
      <w:r w:rsidRPr="00B1089D">
        <w:t xml:space="preserve"> </w:t>
      </w:r>
      <w:proofErr w:type="spellStart"/>
      <w:r w:rsidRPr="00B1089D">
        <w:t>trade</w:t>
      </w:r>
      <w:proofErr w:type="spellEnd"/>
      <w:r w:rsidRPr="00B1089D">
        <w:t xml:space="preserve"> </w:t>
      </w:r>
      <w:proofErr w:type="spellStart"/>
      <w:r w:rsidRPr="00B1089D">
        <w:t>and</w:t>
      </w:r>
      <w:proofErr w:type="spellEnd"/>
      <w:r w:rsidRPr="00B1089D">
        <w:t xml:space="preserve"> </w:t>
      </w:r>
      <w:proofErr w:type="spellStart"/>
      <w:r w:rsidRPr="00B1089D">
        <w:t>investment</w:t>
      </w:r>
      <w:proofErr w:type="spellEnd"/>
      <w:r w:rsidRPr="00B1089D">
        <w:t xml:space="preserve"> </w:t>
      </w:r>
      <w:proofErr w:type="spellStart"/>
      <w:r w:rsidRPr="00B1089D">
        <w:t>confidence</w:t>
      </w:r>
      <w:proofErr w:type="spellEnd"/>
      <w:r w:rsidRPr="00B1089D">
        <w:t xml:space="preserve"> (</w:t>
      </w:r>
      <w:proofErr w:type="spellStart"/>
      <w:r w:rsidRPr="00B1089D">
        <w:t>Bah</w:t>
      </w:r>
      <w:proofErr w:type="spellEnd"/>
      <w:r w:rsidRPr="00B1089D">
        <w:t xml:space="preserve"> et al. 2021: 11).</w:t>
      </w:r>
    </w:p>
    <w:p w14:paraId="65671646" w14:textId="77777777" w:rsidR="00FA457D" w:rsidRPr="00D10870" w:rsidRDefault="00FA457D" w:rsidP="00E359E0">
      <w:pPr>
        <w:widowControl/>
        <w:jc w:val="both"/>
      </w:pPr>
      <w:proofErr w:type="spellStart"/>
      <w:r w:rsidRPr="00B1089D">
        <w:t>All</w:t>
      </w:r>
      <w:proofErr w:type="spellEnd"/>
      <w:r w:rsidRPr="00B1089D">
        <w:t xml:space="preserve"> </w:t>
      </w:r>
      <w:proofErr w:type="spellStart"/>
      <w:r w:rsidRPr="00B1089D">
        <w:t>the</w:t>
      </w:r>
      <w:proofErr w:type="spellEnd"/>
      <w:r w:rsidRPr="00B1089D">
        <w:t xml:space="preserve"> </w:t>
      </w:r>
      <w:proofErr w:type="spellStart"/>
      <w:r w:rsidRPr="00B1089D">
        <w:t>studies</w:t>
      </w:r>
      <w:proofErr w:type="spellEnd"/>
      <w:r w:rsidRPr="00B1089D">
        <w:t xml:space="preserve"> </w:t>
      </w:r>
      <w:proofErr w:type="spellStart"/>
      <w:r w:rsidRPr="00B1089D">
        <w:t>discussed</w:t>
      </w:r>
      <w:proofErr w:type="spellEnd"/>
      <w:r w:rsidRPr="00B1089D">
        <w:t xml:space="preserve"> </w:t>
      </w:r>
      <w:proofErr w:type="spellStart"/>
      <w:r w:rsidRPr="00B1089D">
        <w:t>above</w:t>
      </w:r>
      <w:proofErr w:type="spellEnd"/>
      <w:r w:rsidRPr="00B1089D">
        <w:t xml:space="preserve">, </w:t>
      </w:r>
      <w:proofErr w:type="spellStart"/>
      <w:r w:rsidRPr="00B1089D">
        <w:t>examining</w:t>
      </w:r>
      <w:proofErr w:type="spellEnd"/>
      <w:r w:rsidRPr="00B1089D">
        <w:t xml:space="preserve"> </w:t>
      </w:r>
      <w:proofErr w:type="spellStart"/>
      <w:r w:rsidRPr="00B1089D">
        <w:t>the</w:t>
      </w:r>
      <w:proofErr w:type="spellEnd"/>
      <w:r w:rsidRPr="00B1089D">
        <w:t xml:space="preserve"> </w:t>
      </w:r>
      <w:proofErr w:type="spellStart"/>
      <w:r w:rsidRPr="00B1089D">
        <w:t>complex</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WGI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are</w:t>
      </w:r>
      <w:proofErr w:type="spellEnd"/>
      <w:r w:rsidRPr="00B1089D">
        <w:t xml:space="preserve"> </w:t>
      </w:r>
      <w:proofErr w:type="spellStart"/>
      <w:r w:rsidRPr="00B1089D">
        <w:t>summarised</w:t>
      </w:r>
      <w:proofErr w:type="spellEnd"/>
      <w:r w:rsidRPr="00B1089D">
        <w:t xml:space="preserve"> in </w:t>
      </w:r>
      <w:proofErr w:type="spellStart"/>
      <w:r w:rsidRPr="00B1089D">
        <w:t>Table</w:t>
      </w:r>
      <w:proofErr w:type="spellEnd"/>
      <w:r w:rsidRPr="00B1089D">
        <w:t xml:space="preserve"> 1, </w:t>
      </w:r>
      <w:proofErr w:type="spellStart"/>
      <w:r w:rsidRPr="00B1089D">
        <w:t>offering</w:t>
      </w:r>
      <w:proofErr w:type="spellEnd"/>
      <w:r w:rsidRPr="00B1089D">
        <w:t xml:space="preserve"> a </w:t>
      </w:r>
      <w:proofErr w:type="spellStart"/>
      <w:r w:rsidRPr="00B1089D">
        <w:t>holistic</w:t>
      </w:r>
      <w:proofErr w:type="spellEnd"/>
      <w:r w:rsidRPr="00B1089D">
        <w:t xml:space="preserve"> </w:t>
      </w:r>
      <w:proofErr w:type="spellStart"/>
      <w:r w:rsidRPr="00B1089D">
        <w:t>overview</w:t>
      </w:r>
      <w:proofErr w:type="spellEnd"/>
      <w:r w:rsidRPr="00B1089D">
        <w:t xml:space="preserve"> of </w:t>
      </w:r>
      <w:proofErr w:type="spellStart"/>
      <w:r w:rsidRPr="00B1089D">
        <w:t>the</w:t>
      </w:r>
      <w:proofErr w:type="spellEnd"/>
      <w:r w:rsidRPr="00B1089D">
        <w:t xml:space="preserve"> </w:t>
      </w:r>
      <w:proofErr w:type="spellStart"/>
      <w:r w:rsidRPr="00B1089D">
        <w:t>diverse</w:t>
      </w:r>
      <w:proofErr w:type="spellEnd"/>
      <w:r w:rsidRPr="00B1089D">
        <w:t xml:space="preserve"> </w:t>
      </w:r>
      <w:proofErr w:type="spellStart"/>
      <w:r w:rsidRPr="00B1089D">
        <w:t>perspectives</w:t>
      </w:r>
      <w:proofErr w:type="spellEnd"/>
      <w:r w:rsidRPr="00B1089D">
        <w:t xml:space="preserve"> </w:t>
      </w:r>
      <w:proofErr w:type="spellStart"/>
      <w:r w:rsidRPr="00B1089D">
        <w:t>and</w:t>
      </w:r>
      <w:proofErr w:type="spellEnd"/>
      <w:r w:rsidRPr="00B1089D">
        <w:t xml:space="preserve"> </w:t>
      </w:r>
      <w:proofErr w:type="spellStart"/>
      <w:r w:rsidRPr="00B1089D">
        <w:t>findings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literature</w:t>
      </w:r>
      <w:proofErr w:type="spellEnd"/>
      <w:r w:rsidRPr="00B1089D">
        <w:t>.</w:t>
      </w:r>
    </w:p>
    <w:p w14:paraId="3ECE6860" w14:textId="77777777" w:rsidR="00FA457D" w:rsidRPr="00B1089D" w:rsidRDefault="00FA457D" w:rsidP="00FA457D">
      <w:pPr>
        <w:widowControl/>
      </w:pPr>
    </w:p>
    <w:p w14:paraId="0F8708C3" w14:textId="77777777" w:rsidR="00FA457D" w:rsidRPr="00B1089D" w:rsidRDefault="00FA457D" w:rsidP="00FA457D">
      <w:pPr>
        <w:widowControl/>
      </w:pPr>
      <w:proofErr w:type="spellStart"/>
      <w:r w:rsidRPr="00B1089D">
        <w:rPr>
          <w:b/>
          <w:bCs/>
        </w:rPr>
        <w:t>Table</w:t>
      </w:r>
      <w:proofErr w:type="spellEnd"/>
      <w:r w:rsidRPr="00B1089D">
        <w:rPr>
          <w:b/>
          <w:bCs/>
        </w:rPr>
        <w:t xml:space="preserve"> 1.</w:t>
      </w:r>
      <w:r w:rsidRPr="00B1089D">
        <w:t xml:space="preserve"> </w:t>
      </w:r>
      <w:proofErr w:type="spellStart"/>
      <w:r w:rsidRPr="00B1089D">
        <w:t>Literature</w:t>
      </w:r>
      <w:proofErr w:type="spellEnd"/>
      <w:r w:rsidRPr="00B1089D">
        <w:t xml:space="preserve"> </w:t>
      </w:r>
      <w:proofErr w:type="spellStart"/>
      <w:r w:rsidRPr="00B1089D">
        <w:t>Review</w:t>
      </w:r>
      <w:proofErr w:type="spellEnd"/>
      <w:r w:rsidRPr="00B1089D">
        <w:t xml:space="preserve"> on WGI </w:t>
      </w:r>
      <w:proofErr w:type="spellStart"/>
      <w:r w:rsidRPr="00B1089D">
        <w:t>and</w:t>
      </w:r>
      <w:proofErr w:type="spellEnd"/>
      <w:r w:rsidRPr="00B1089D">
        <w:t xml:space="preserve"> GDP </w:t>
      </w:r>
      <w:proofErr w:type="spellStart"/>
      <w:r w:rsidRPr="00B1089D">
        <w:t>Studies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647"/>
        <w:gridCol w:w="1759"/>
        <w:gridCol w:w="1833"/>
        <w:gridCol w:w="1974"/>
        <w:gridCol w:w="2847"/>
      </w:tblGrid>
      <w:tr w:rsidR="00FA457D" w:rsidRPr="00B1089D" w14:paraId="214AB676" w14:textId="77777777" w:rsidTr="000610DA">
        <w:trPr>
          <w:trHeight w:val="36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A67EB2B" w14:textId="77777777" w:rsidR="00FA457D" w:rsidRPr="00B1089D" w:rsidRDefault="00FA457D" w:rsidP="000610DA">
            <w:pPr>
              <w:widowControl/>
            </w:pPr>
            <w:proofErr w:type="spellStart"/>
            <w:r w:rsidRPr="00B1089D">
              <w:rPr>
                <w:b/>
                <w:bCs/>
              </w:rPr>
              <w:t>Year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FB5B1A8" w14:textId="77777777" w:rsidR="00FA457D" w:rsidRPr="00B1089D" w:rsidRDefault="00FA457D" w:rsidP="000610DA">
            <w:pPr>
              <w:widowControl/>
            </w:pPr>
            <w:proofErr w:type="spellStart"/>
            <w:r w:rsidRPr="00B1089D">
              <w:rPr>
                <w:b/>
                <w:bCs/>
              </w:rPr>
              <w:t>Researcher</w:t>
            </w:r>
            <w:proofErr w:type="spellEnd"/>
            <w:r w:rsidRPr="00B1089D">
              <w:rPr>
                <w:b/>
                <w:bCs/>
              </w:rPr>
              <w:t>(s)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86D3620" w14:textId="77777777" w:rsidR="00FA457D" w:rsidRPr="00B1089D" w:rsidRDefault="00FA457D" w:rsidP="000610DA">
            <w:pPr>
              <w:widowControl/>
            </w:pPr>
            <w:r w:rsidRPr="00B1089D">
              <w:rPr>
                <w:b/>
                <w:bCs/>
              </w:rPr>
              <w:t>Country-</w:t>
            </w:r>
            <w:proofErr w:type="spellStart"/>
            <w:r w:rsidRPr="00B1089D">
              <w:rPr>
                <w:b/>
                <w:bCs/>
              </w:rPr>
              <w:t>Period</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0C23707" w14:textId="77777777" w:rsidR="00FA457D" w:rsidRPr="00B1089D" w:rsidRDefault="00FA457D" w:rsidP="000610DA">
            <w:pPr>
              <w:widowControl/>
            </w:pPr>
            <w:proofErr w:type="spellStart"/>
            <w:r w:rsidRPr="00B1089D">
              <w:rPr>
                <w:b/>
                <w:bCs/>
              </w:rPr>
              <w:t>Methodology</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5C5D35F" w14:textId="77777777" w:rsidR="00FA457D" w:rsidRPr="00B1089D" w:rsidRDefault="00FA457D" w:rsidP="000610DA">
            <w:pPr>
              <w:widowControl/>
            </w:pPr>
            <w:proofErr w:type="spellStart"/>
            <w:r w:rsidRPr="00B1089D">
              <w:rPr>
                <w:b/>
                <w:bCs/>
              </w:rPr>
              <w:t>The</w:t>
            </w:r>
            <w:proofErr w:type="spellEnd"/>
            <w:r w:rsidRPr="00B1089D">
              <w:rPr>
                <w:b/>
                <w:bCs/>
              </w:rPr>
              <w:t xml:space="preserve"> </w:t>
            </w:r>
            <w:proofErr w:type="spellStart"/>
            <w:r w:rsidRPr="00B1089D">
              <w:rPr>
                <w:b/>
                <w:bCs/>
              </w:rPr>
              <w:t>Effect</w:t>
            </w:r>
            <w:proofErr w:type="spellEnd"/>
            <w:r w:rsidRPr="00B1089D">
              <w:rPr>
                <w:b/>
                <w:bCs/>
              </w:rPr>
              <w:t xml:space="preserve"> on GDP</w:t>
            </w:r>
          </w:p>
        </w:tc>
      </w:tr>
      <w:tr w:rsidR="00FA457D" w:rsidRPr="00B1089D" w14:paraId="024877B3"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A468344" w14:textId="77777777" w:rsidR="00FA457D" w:rsidRPr="00B1089D" w:rsidRDefault="00FA457D" w:rsidP="000610DA">
            <w:pPr>
              <w:widowControl/>
            </w:pPr>
            <w:r w:rsidRPr="00B1089D">
              <w:t>2007</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E269C9A" w14:textId="77777777" w:rsidR="00FA457D" w:rsidRPr="00B1089D" w:rsidRDefault="00FA457D" w:rsidP="000610DA">
            <w:pPr>
              <w:widowControl/>
            </w:pPr>
            <w:proofErr w:type="spellStart"/>
            <w:r w:rsidRPr="00B1089D">
              <w:t>Aixalá</w:t>
            </w:r>
            <w:proofErr w:type="spellEnd"/>
            <w:r w:rsidRPr="00B1089D">
              <w:t xml:space="preserve"> </w:t>
            </w:r>
            <w:proofErr w:type="spellStart"/>
            <w:r w:rsidRPr="00B1089D">
              <w:t>and</w:t>
            </w:r>
            <w:proofErr w:type="spellEnd"/>
            <w:r w:rsidRPr="00B1089D">
              <w:t xml:space="preserve"> </w:t>
            </w:r>
            <w:proofErr w:type="spellStart"/>
            <w:r w:rsidRPr="00B1089D">
              <w:t>Gema</w:t>
            </w:r>
            <w:proofErr w:type="spellEnd"/>
            <w:r w:rsidRPr="00B1089D">
              <w:t xml:space="preserve"> </w:t>
            </w:r>
            <w:proofErr w:type="spellStart"/>
            <w:r w:rsidRPr="00B1089D">
              <w:t>Fabro</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A526BB3" w14:textId="77777777" w:rsidR="00FA457D" w:rsidRPr="00B1089D" w:rsidRDefault="00FA457D" w:rsidP="000610DA">
            <w:pPr>
              <w:widowControl/>
            </w:pPr>
            <w:proofErr w:type="gramStart"/>
            <w:r w:rsidRPr="00B1089D">
              <w:t>1996 -</w:t>
            </w:r>
            <w:proofErr w:type="gramEnd"/>
            <w:r w:rsidRPr="00B1089D">
              <w:t xml:space="preserve"> 2000</w:t>
            </w:r>
            <w:r w:rsidRPr="00B1089D">
              <w:br/>
              <w:t xml:space="preserve">165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6FAB53A" w14:textId="77777777" w:rsidR="00FA457D" w:rsidRPr="00B1089D" w:rsidRDefault="00FA457D" w:rsidP="000610DA">
            <w:pPr>
              <w:widowControl/>
            </w:pPr>
            <w:r w:rsidRPr="00B1089D">
              <w:t xml:space="preserve">OLS, 2SLS </w:t>
            </w:r>
            <w:proofErr w:type="spellStart"/>
            <w:r w:rsidRPr="00B1089D">
              <w:t>and</w:t>
            </w:r>
            <w:proofErr w:type="spellEnd"/>
            <w:r w:rsidRPr="00B1089D">
              <w:t xml:space="preserve"> 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B074E03"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r w:rsidR="00FA457D" w:rsidRPr="00B1089D" w14:paraId="41B1669E"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124C0C1" w14:textId="77777777" w:rsidR="00FA457D" w:rsidRPr="00B1089D" w:rsidRDefault="00FA457D" w:rsidP="000610DA">
            <w:pPr>
              <w:widowControl/>
            </w:pPr>
            <w:r w:rsidRPr="00B1089D">
              <w:t>2009</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A0384D4" w14:textId="77777777" w:rsidR="00FA457D" w:rsidRPr="00B1089D" w:rsidRDefault="00FA457D" w:rsidP="000610DA">
            <w:pPr>
              <w:widowControl/>
            </w:pPr>
            <w:proofErr w:type="spellStart"/>
            <w:r w:rsidRPr="00B1089D">
              <w:t>Huynh</w:t>
            </w:r>
            <w:proofErr w:type="spellEnd"/>
            <w:r w:rsidRPr="00B1089D">
              <w:t xml:space="preserve"> </w:t>
            </w:r>
            <w:proofErr w:type="spellStart"/>
            <w:r w:rsidRPr="00B1089D">
              <w:t>and</w:t>
            </w:r>
            <w:proofErr w:type="spellEnd"/>
            <w:r w:rsidRPr="00B1089D">
              <w:t xml:space="preserve"> </w:t>
            </w:r>
            <w:proofErr w:type="spellStart"/>
            <w:r w:rsidRPr="00B1089D">
              <w:t>Jacho-Chávez</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40BAC42" w14:textId="77777777" w:rsidR="00FA457D" w:rsidRPr="00B1089D" w:rsidRDefault="00FA457D" w:rsidP="000610DA">
            <w:pPr>
              <w:widowControl/>
            </w:pPr>
            <w:proofErr w:type="gramStart"/>
            <w:r w:rsidRPr="00B1089D">
              <w:t>1996 -</w:t>
            </w:r>
            <w:proofErr w:type="gramEnd"/>
            <w:r w:rsidRPr="00B1089D">
              <w:t xml:space="preserve"> 2006 </w:t>
            </w:r>
            <w:r w:rsidRPr="00B1089D">
              <w:br/>
              <w:t xml:space="preserve">125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EDC2163" w14:textId="77777777" w:rsidR="00FA457D" w:rsidRPr="00B1089D" w:rsidRDefault="00FA457D" w:rsidP="000610DA">
            <w:pPr>
              <w:widowControl/>
            </w:pPr>
            <w:r w:rsidRPr="00B1089D">
              <w:t xml:space="preserve">OLS, </w:t>
            </w:r>
            <w:proofErr w:type="spellStart"/>
            <w:r w:rsidRPr="00B1089D">
              <w:t>Random-effects</w:t>
            </w:r>
            <w:proofErr w:type="spellEnd"/>
            <w:r w:rsidRPr="00B1089D">
              <w:t xml:space="preserve"> </w:t>
            </w:r>
            <w:proofErr w:type="spellStart"/>
            <w:r w:rsidRPr="00B1089D">
              <w:t>and</w:t>
            </w:r>
            <w:proofErr w:type="spellEnd"/>
            <w:r w:rsidRPr="00B1089D">
              <w:t xml:space="preserve"> </w:t>
            </w:r>
            <w:proofErr w:type="spellStart"/>
            <w:r w:rsidRPr="00B1089D">
              <w:t>Fixed-effects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DF9C2C3" w14:textId="7B70BB2F" w:rsidR="00FA457D" w:rsidRPr="00B1089D" w:rsidRDefault="00FA457D" w:rsidP="000610DA">
            <w:pPr>
              <w:widowControl/>
            </w:pPr>
            <w:r w:rsidRPr="00B1089D">
              <w:t xml:space="preserve">Voice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significantly</w:t>
            </w:r>
            <w:proofErr w:type="spellEnd"/>
            <w:r w:rsidRPr="00B1089D">
              <w:t xml:space="preserve"> </w:t>
            </w:r>
            <w:proofErr w:type="spellStart"/>
            <w:r w:rsidRPr="00B1089D">
              <w:t>negative</w:t>
            </w:r>
            <w:proofErr w:type="spellEnd"/>
          </w:p>
        </w:tc>
      </w:tr>
      <w:tr w:rsidR="00FA457D" w:rsidRPr="00B1089D" w14:paraId="59AFD6C6"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DBA8294" w14:textId="77777777" w:rsidR="00FA457D" w:rsidRPr="00B1089D" w:rsidRDefault="00FA457D" w:rsidP="000610DA">
            <w:pPr>
              <w:widowControl/>
            </w:pPr>
            <w:r w:rsidRPr="00B1089D">
              <w:t>2010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30570A" w14:textId="77777777" w:rsidR="00FA457D" w:rsidRPr="00B1089D" w:rsidRDefault="00FA457D" w:rsidP="000610DA">
            <w:pPr>
              <w:widowControl/>
            </w:pPr>
            <w:proofErr w:type="spellStart"/>
            <w:r w:rsidRPr="00B1089D">
              <w:t>Zhuang</w:t>
            </w:r>
            <w:proofErr w:type="spellEnd"/>
            <w:r w:rsidRPr="00B1089D">
              <w:t xml:space="preserve"> et al.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487C3FE" w14:textId="77777777" w:rsidR="00FA457D" w:rsidRPr="00B1089D" w:rsidRDefault="00FA457D" w:rsidP="000610DA">
            <w:pPr>
              <w:widowControl/>
            </w:pPr>
            <w:r w:rsidRPr="00B1089D">
              <w:t xml:space="preserve">1998- 2008 </w:t>
            </w:r>
            <w:r w:rsidRPr="00B1089D">
              <w:br/>
            </w:r>
            <w:proofErr w:type="spellStart"/>
            <w:r w:rsidRPr="00B1089D">
              <w:t>Asian</w:t>
            </w:r>
            <w:proofErr w:type="spellEnd"/>
            <w:r w:rsidRPr="00B1089D">
              <w:t xml:space="preserve"> </w:t>
            </w:r>
            <w:proofErr w:type="spellStart"/>
            <w:r w:rsidRPr="00B1089D">
              <w:t>Counties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776CB4D" w14:textId="77777777" w:rsidR="00FA457D" w:rsidRPr="00B1089D" w:rsidRDefault="00FA457D" w:rsidP="000610DA">
            <w:pPr>
              <w:widowControl/>
            </w:pPr>
            <w:r w:rsidRPr="00B1089D">
              <w:t xml:space="preserve">Simple </w:t>
            </w:r>
            <w:proofErr w:type="spellStart"/>
            <w:r w:rsidRPr="00B1089D">
              <w:t>regression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362359F"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r w:rsidR="00FA457D" w:rsidRPr="00B1089D" w14:paraId="2A19C42B"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9CF44BE" w14:textId="77777777" w:rsidR="00FA457D" w:rsidRPr="00B1089D" w:rsidRDefault="00FA457D" w:rsidP="000610DA">
            <w:pPr>
              <w:widowControl/>
            </w:pPr>
            <w:r w:rsidRPr="00B1089D">
              <w:t>2013</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8D0C8F" w14:textId="77777777" w:rsidR="00FA457D" w:rsidRPr="00B1089D" w:rsidRDefault="00FA457D" w:rsidP="000610DA">
            <w:pPr>
              <w:widowControl/>
            </w:pPr>
            <w:proofErr w:type="spellStart"/>
            <w:r w:rsidRPr="00B1089D">
              <w:t>AlBassam</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1279421" w14:textId="77777777" w:rsidR="00FA457D" w:rsidRPr="00B1089D" w:rsidRDefault="00FA457D" w:rsidP="000610DA">
            <w:pPr>
              <w:widowControl/>
            </w:pPr>
            <w:r w:rsidRPr="00B1089D">
              <w:t xml:space="preserve">2006 </w:t>
            </w:r>
            <w:proofErr w:type="spellStart"/>
            <w:r w:rsidRPr="00B1089D">
              <w:t>to</w:t>
            </w:r>
            <w:proofErr w:type="spellEnd"/>
            <w:r w:rsidRPr="00B1089D">
              <w:t xml:space="preserve"> 2011</w:t>
            </w:r>
            <w:r w:rsidRPr="00B1089D">
              <w:br/>
              <w:t xml:space="preserve">215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66A8915" w14:textId="77777777" w:rsidR="00FA457D" w:rsidRPr="00B1089D" w:rsidRDefault="00FA457D" w:rsidP="000610DA">
            <w:pPr>
              <w:widowControl/>
            </w:pPr>
            <w:r w:rsidRPr="00B1089D">
              <w:t>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019D553"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r w:rsidR="00FA457D" w:rsidRPr="00B1089D" w14:paraId="34DB91DB"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9877891" w14:textId="77777777" w:rsidR="00FA457D" w:rsidRPr="00B1089D" w:rsidRDefault="00FA457D" w:rsidP="000610DA">
            <w:pPr>
              <w:widowControl/>
            </w:pPr>
            <w:r w:rsidRPr="00B1089D">
              <w:t>2014</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D292F71" w14:textId="77777777" w:rsidR="00FA457D" w:rsidRPr="00B1089D" w:rsidRDefault="00FA457D" w:rsidP="000610DA">
            <w:pPr>
              <w:widowControl/>
            </w:pPr>
            <w:proofErr w:type="spellStart"/>
            <w:r w:rsidRPr="00B1089D">
              <w:t>Emara</w:t>
            </w:r>
            <w:proofErr w:type="spellEnd"/>
            <w:r w:rsidRPr="00B1089D">
              <w:t xml:space="preserve"> </w:t>
            </w:r>
            <w:proofErr w:type="spellStart"/>
            <w:r w:rsidRPr="00B1089D">
              <w:t>and</w:t>
            </w:r>
            <w:proofErr w:type="spellEnd"/>
            <w:r w:rsidRPr="00B1089D">
              <w:t xml:space="preserve"> </w:t>
            </w:r>
            <w:proofErr w:type="spellStart"/>
            <w:r w:rsidRPr="00B1089D">
              <w:t>Jhonsa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00DB095" w14:textId="77777777" w:rsidR="00FA457D" w:rsidRPr="00B1089D" w:rsidRDefault="00FA457D" w:rsidP="000610DA">
            <w:pPr>
              <w:widowControl/>
            </w:pPr>
            <w:r w:rsidRPr="00B1089D">
              <w:t>2009</w:t>
            </w:r>
            <w:r w:rsidRPr="00B1089D">
              <w:br/>
              <w:t xml:space="preserve">MENA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83C1640" w14:textId="77777777" w:rsidR="00FA457D" w:rsidRPr="00B1089D" w:rsidRDefault="00FA457D" w:rsidP="000610DA">
            <w:pPr>
              <w:widowControl/>
            </w:pPr>
            <w:proofErr w:type="gramStart"/>
            <w:r w:rsidRPr="00B1089D">
              <w:t>OLS -</w:t>
            </w:r>
            <w:proofErr w:type="gramEnd"/>
            <w:r w:rsidRPr="00B1089D">
              <w:t xml:space="preserve"> 2SLS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42E7215"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r w:rsidR="00FA457D" w:rsidRPr="00B1089D" w14:paraId="3BC6EE08"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6774CB5" w14:textId="77777777" w:rsidR="00FA457D" w:rsidRPr="00B1089D" w:rsidRDefault="00FA457D" w:rsidP="000610DA">
            <w:pPr>
              <w:widowControl/>
            </w:pPr>
            <w:r w:rsidRPr="00B1089D">
              <w:t>2017</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9C6A6E8" w14:textId="77777777" w:rsidR="00FA457D" w:rsidRPr="00B1089D" w:rsidRDefault="00FA457D" w:rsidP="000610DA">
            <w:pPr>
              <w:widowControl/>
            </w:pPr>
            <w:proofErr w:type="spellStart"/>
            <w:r w:rsidRPr="00B1089D">
              <w:t>Epaphra</w:t>
            </w:r>
            <w:proofErr w:type="spellEnd"/>
            <w:r w:rsidRPr="00B1089D">
              <w:t xml:space="preserve"> </w:t>
            </w:r>
            <w:proofErr w:type="spellStart"/>
            <w:r w:rsidRPr="00B1089D">
              <w:t>and</w:t>
            </w:r>
            <w:proofErr w:type="spellEnd"/>
            <w:r w:rsidRPr="00B1089D">
              <w:t xml:space="preserve"> </w:t>
            </w:r>
            <w:proofErr w:type="spellStart"/>
            <w:r w:rsidRPr="00B1089D">
              <w:t>Kombe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4FDBC05" w14:textId="77777777" w:rsidR="00FA457D" w:rsidRPr="00B1089D" w:rsidRDefault="00FA457D" w:rsidP="000610DA">
            <w:pPr>
              <w:widowControl/>
            </w:pPr>
            <w:r w:rsidRPr="00B1089D">
              <w:t>1996-2016</w:t>
            </w:r>
            <w:r w:rsidRPr="00B1089D">
              <w:br/>
              <w:t xml:space="preserve">48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522C5F6" w14:textId="77777777" w:rsidR="00FA457D" w:rsidRPr="00B1089D" w:rsidRDefault="00FA457D" w:rsidP="000610DA">
            <w:pPr>
              <w:widowControl/>
            </w:pPr>
            <w:r w:rsidRPr="00B1089D">
              <w:t>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2114669"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r w:rsidR="00FA457D" w:rsidRPr="00B1089D" w14:paraId="38AB3E9A"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9A6721C" w14:textId="77777777" w:rsidR="00FA457D" w:rsidRPr="00B1089D" w:rsidRDefault="00FA457D" w:rsidP="000610DA">
            <w:pPr>
              <w:widowControl/>
            </w:pPr>
            <w:r w:rsidRPr="00B1089D">
              <w:t>2018</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17487C4" w14:textId="77777777" w:rsidR="00FA457D" w:rsidRPr="00B1089D" w:rsidRDefault="00FA457D" w:rsidP="000610DA">
            <w:pPr>
              <w:widowControl/>
            </w:pPr>
            <w:proofErr w:type="spellStart"/>
            <w:r w:rsidRPr="00B1089D">
              <w:t>Salawu</w:t>
            </w:r>
            <w:proofErr w:type="spellEnd"/>
            <w:r w:rsidRPr="00B1089D">
              <w:t xml:space="preserve"> et </w:t>
            </w:r>
            <w:proofErr w:type="spellStart"/>
            <w:proofErr w:type="gramStart"/>
            <w:r w:rsidRPr="00B1089D">
              <w:t>a.l</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E89641C" w14:textId="77777777" w:rsidR="00FA457D" w:rsidRPr="00B1089D" w:rsidRDefault="00FA457D" w:rsidP="000610DA">
            <w:pPr>
              <w:widowControl/>
            </w:pPr>
            <w:r w:rsidRPr="00B1089D">
              <w:t>1996-2015</w:t>
            </w:r>
            <w:r w:rsidRPr="00B1089D">
              <w:br/>
            </w:r>
            <w:proofErr w:type="spellStart"/>
            <w:r w:rsidRPr="00B1089D">
              <w:t>Sub-Saharan</w:t>
            </w:r>
            <w:proofErr w:type="spellEnd"/>
            <w:r w:rsidRPr="00B1089D">
              <w:t xml:space="preserve">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D27452" w14:textId="77777777" w:rsidR="00FA457D" w:rsidRPr="00B1089D" w:rsidRDefault="00FA457D" w:rsidP="000610DA">
            <w:pPr>
              <w:widowControl/>
            </w:pPr>
            <w:r w:rsidRPr="00B1089D">
              <w:t xml:space="preserve">PCA, OLS </w:t>
            </w:r>
            <w:proofErr w:type="spellStart"/>
            <w:r w:rsidRPr="00B1089D">
              <w:t>and</w:t>
            </w:r>
            <w:proofErr w:type="spellEnd"/>
            <w:r w:rsidRPr="00B1089D">
              <w:t xml:space="preserve"> 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C521B7"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r w:rsidRPr="00B1089D">
              <w:t xml:space="preserve"> </w:t>
            </w:r>
            <w:proofErr w:type="spellStart"/>
            <w:r w:rsidRPr="00B1089D">
              <w:t>effect</w:t>
            </w:r>
            <w:proofErr w:type="spellEnd"/>
            <w:r w:rsidRPr="00B1089D">
              <w:t xml:space="preserve"> on </w:t>
            </w:r>
            <w:proofErr w:type="spellStart"/>
            <w:r w:rsidRPr="00B1089D">
              <w:t>some</w:t>
            </w:r>
            <w:proofErr w:type="spellEnd"/>
            <w:r w:rsidRPr="00B1089D">
              <w:t xml:space="preserve"> </w:t>
            </w:r>
            <w:proofErr w:type="spellStart"/>
            <w:r w:rsidRPr="00B1089D">
              <w:t>countries</w:t>
            </w:r>
            <w:proofErr w:type="spellEnd"/>
            <w:r w:rsidRPr="00B1089D">
              <w:t xml:space="preserve"> </w:t>
            </w:r>
            <w:proofErr w:type="spellStart"/>
            <w:r w:rsidRPr="00B1089D">
              <w:t>and</w:t>
            </w:r>
            <w:proofErr w:type="spellEnd"/>
            <w:r w:rsidRPr="00B1089D">
              <w:t xml:space="preserve"> </w:t>
            </w:r>
            <w:proofErr w:type="spellStart"/>
            <w:r w:rsidRPr="00B1089D">
              <w:t>negative</w:t>
            </w:r>
            <w:proofErr w:type="spellEnd"/>
            <w:r w:rsidRPr="00B1089D">
              <w:t xml:space="preserve"> </w:t>
            </w:r>
            <w:proofErr w:type="spellStart"/>
            <w:r w:rsidRPr="00B1089D">
              <w:t>effect</w:t>
            </w:r>
            <w:proofErr w:type="spellEnd"/>
            <w:r w:rsidRPr="00B1089D">
              <w:t xml:space="preserve"> on </w:t>
            </w:r>
            <w:proofErr w:type="spellStart"/>
            <w:r w:rsidRPr="00B1089D">
              <w:t>some</w:t>
            </w:r>
            <w:proofErr w:type="spellEnd"/>
            <w:r w:rsidRPr="00B1089D">
              <w:t xml:space="preserve"> </w:t>
            </w:r>
            <w:proofErr w:type="spellStart"/>
            <w:r w:rsidRPr="00B1089D">
              <w:t>countries</w:t>
            </w:r>
            <w:proofErr w:type="spellEnd"/>
          </w:p>
        </w:tc>
      </w:tr>
      <w:tr w:rsidR="00FA457D" w:rsidRPr="00B1089D" w14:paraId="51045B6A"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C8D5A9C" w14:textId="77777777" w:rsidR="00FA457D" w:rsidRPr="00B1089D" w:rsidRDefault="00FA457D" w:rsidP="000610DA">
            <w:pPr>
              <w:widowControl/>
            </w:pPr>
            <w:r w:rsidRPr="00B1089D">
              <w:t>2020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5D9E324" w14:textId="77777777" w:rsidR="00FA457D" w:rsidRPr="00B1089D" w:rsidRDefault="00FA457D" w:rsidP="000610DA">
            <w:pPr>
              <w:widowControl/>
            </w:pPr>
            <w:proofErr w:type="spellStart"/>
            <w:r w:rsidRPr="00B1089D">
              <w:t>Appiah</w:t>
            </w:r>
            <w:proofErr w:type="spellEnd"/>
            <w:r w:rsidRPr="00B1089D">
              <w:t xml:space="preserve">, </w:t>
            </w:r>
            <w:proofErr w:type="spellStart"/>
            <w:r w:rsidRPr="00B1089D">
              <w:t>Li</w:t>
            </w:r>
            <w:proofErr w:type="spellEnd"/>
            <w:r w:rsidRPr="00B1089D">
              <w:t xml:space="preserve"> </w:t>
            </w:r>
            <w:proofErr w:type="spellStart"/>
            <w:r w:rsidRPr="00B1089D">
              <w:t>and</w:t>
            </w:r>
            <w:proofErr w:type="spellEnd"/>
            <w:r w:rsidRPr="00B1089D">
              <w:t xml:space="preserve"> </w:t>
            </w:r>
            <w:proofErr w:type="spellStart"/>
            <w:r w:rsidRPr="00B1089D">
              <w:t>Frowne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2EBDF6D" w14:textId="77777777" w:rsidR="00FA457D" w:rsidRPr="00B1089D" w:rsidRDefault="00FA457D" w:rsidP="000610DA">
            <w:pPr>
              <w:widowControl/>
            </w:pPr>
            <w:r w:rsidRPr="00B1089D">
              <w:t>1996-2017</w:t>
            </w:r>
            <w:r w:rsidRPr="00B1089D">
              <w:br/>
              <w:t xml:space="preserve">15 </w:t>
            </w:r>
            <w:proofErr w:type="spellStart"/>
            <w:r w:rsidRPr="00B1089D">
              <w:t>Emerging</w:t>
            </w:r>
            <w:proofErr w:type="spellEnd"/>
            <w:r w:rsidRPr="00B1089D">
              <w:t xml:space="preserve"> </w:t>
            </w:r>
            <w:proofErr w:type="spellStart"/>
            <w:r w:rsidRPr="00B1089D">
              <w:t>economies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ECOWAS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DE74278" w14:textId="77777777" w:rsidR="00FA457D" w:rsidRPr="00B1089D" w:rsidRDefault="00FA457D" w:rsidP="000610DA">
            <w:pPr>
              <w:widowControl/>
            </w:pPr>
            <w:r w:rsidRPr="00B1089D">
              <w:t>Two-step SGMM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BEDE8AF" w14:textId="77777777" w:rsidR="00FA457D" w:rsidRPr="00B1089D" w:rsidRDefault="00FA457D" w:rsidP="000610DA">
            <w:pPr>
              <w:widowControl/>
            </w:pPr>
            <w:proofErr w:type="spellStart"/>
            <w:r w:rsidRPr="00B1089D">
              <w:t>Regulatory</w:t>
            </w:r>
            <w:proofErr w:type="spellEnd"/>
            <w:r w:rsidRPr="00B1089D">
              <w:t xml:space="preserve"> </w:t>
            </w:r>
            <w:proofErr w:type="spellStart"/>
            <w:r w:rsidRPr="00B1089D">
              <w:t>quality</w:t>
            </w:r>
            <w:proofErr w:type="spellEnd"/>
            <w:r w:rsidRPr="00B1089D">
              <w:t xml:space="preserve"> </w:t>
            </w:r>
            <w:proofErr w:type="spellStart"/>
            <w:r w:rsidRPr="00B1089D">
              <w:t>positive</w:t>
            </w:r>
            <w:proofErr w:type="spellEnd"/>
            <w:r w:rsidRPr="00B1089D">
              <w:br/>
            </w:r>
            <w:proofErr w:type="spellStart"/>
            <w:r w:rsidRPr="00B1089D">
              <w:t>control</w:t>
            </w:r>
            <w:proofErr w:type="spellEnd"/>
            <w:r w:rsidRPr="00B1089D">
              <w:t xml:space="preserve"> of </w:t>
            </w:r>
            <w:proofErr w:type="spellStart"/>
            <w:r w:rsidRPr="00B1089D">
              <w:t>corruption</w:t>
            </w:r>
            <w:proofErr w:type="spellEnd"/>
            <w:r w:rsidRPr="00B1089D">
              <w:t xml:space="preserve"> </w:t>
            </w:r>
            <w:proofErr w:type="spellStart"/>
            <w:r w:rsidRPr="00B1089D">
              <w:t>negative</w:t>
            </w:r>
            <w:proofErr w:type="spellEnd"/>
          </w:p>
        </w:tc>
      </w:tr>
      <w:tr w:rsidR="00FA457D" w:rsidRPr="00B1089D" w14:paraId="1598159A"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33C32E" w14:textId="77777777" w:rsidR="00FA457D" w:rsidRPr="00B1089D" w:rsidRDefault="00FA457D" w:rsidP="000610DA">
            <w:pPr>
              <w:widowControl/>
            </w:pPr>
            <w:r w:rsidRPr="00B1089D">
              <w:t>2020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FD39519" w14:textId="77777777" w:rsidR="00FA457D" w:rsidRPr="00B1089D" w:rsidRDefault="00FA457D" w:rsidP="000610DA">
            <w:pPr>
              <w:widowControl/>
            </w:pPr>
            <w:proofErr w:type="spellStart"/>
            <w:r w:rsidRPr="00B1089D">
              <w:t>Nedić</w:t>
            </w:r>
            <w:proofErr w:type="spellEnd"/>
            <w:r w:rsidRPr="00B1089D">
              <w:t xml:space="preserve"> et al.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30BD4AC" w14:textId="77777777" w:rsidR="00FA457D" w:rsidRPr="00B1089D" w:rsidRDefault="00FA457D" w:rsidP="000610DA">
            <w:pPr>
              <w:widowControl/>
            </w:pPr>
            <w:r w:rsidRPr="00B1089D">
              <w:t>2006-2016</w:t>
            </w:r>
            <w:r w:rsidRPr="00B1089D">
              <w:br/>
              <w:t xml:space="preserve">WB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7EA963D" w14:textId="77777777" w:rsidR="00FA457D" w:rsidRPr="00B1089D" w:rsidRDefault="00FA457D" w:rsidP="000610DA">
            <w:pPr>
              <w:widowControl/>
            </w:pPr>
            <w:r w:rsidRPr="00B1089D">
              <w:t xml:space="preserve">Panel </w:t>
            </w:r>
            <w:proofErr w:type="gramStart"/>
            <w:r w:rsidRPr="00B1089D">
              <w:t>data</w:t>
            </w:r>
            <w:proofErr w:type="gramEnd"/>
            <w:r w:rsidRPr="00B1089D">
              <w:t xml:space="preserve"> multiple </w:t>
            </w:r>
            <w:proofErr w:type="spellStart"/>
            <w:r w:rsidRPr="00B1089D">
              <w:t>linear</w:t>
            </w:r>
            <w:proofErr w:type="spellEnd"/>
            <w:r w:rsidRPr="00B1089D">
              <w:t xml:space="preserve"> </w:t>
            </w:r>
            <w:proofErr w:type="spellStart"/>
            <w:r w:rsidRPr="00B1089D">
              <w:t>regression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D926E24" w14:textId="77777777" w:rsidR="00FA457D" w:rsidRPr="00B1089D" w:rsidRDefault="00FA457D" w:rsidP="000610DA">
            <w:pPr>
              <w:widowControl/>
            </w:pPr>
            <w:proofErr w:type="spellStart"/>
            <w:r w:rsidRPr="00B1089D">
              <w:t>Other</w:t>
            </w:r>
            <w:proofErr w:type="spellEnd"/>
            <w:r w:rsidRPr="00B1089D">
              <w:t xml:space="preserve"> </w:t>
            </w:r>
            <w:proofErr w:type="spellStart"/>
            <w:r w:rsidRPr="00B1089D">
              <w:t>WGIs</w:t>
            </w:r>
            <w:proofErr w:type="spellEnd"/>
            <w:r w:rsidRPr="00B1089D">
              <w:t xml:space="preserve"> </w:t>
            </w:r>
            <w:proofErr w:type="spellStart"/>
            <w:r w:rsidRPr="00B1089D">
              <w:t>positive</w:t>
            </w:r>
            <w:proofErr w:type="spellEnd"/>
            <w:r w:rsidRPr="00B1089D">
              <w:br/>
            </w: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and</w:t>
            </w:r>
            <w:proofErr w:type="spellEnd"/>
            <w:r w:rsidRPr="00B1089D">
              <w:t xml:space="preserve"> Voice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negative</w:t>
            </w:r>
            <w:proofErr w:type="spellEnd"/>
          </w:p>
        </w:tc>
      </w:tr>
      <w:tr w:rsidR="00FA457D" w:rsidRPr="00B1089D" w14:paraId="3CE462A2"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681631B" w14:textId="77777777" w:rsidR="00FA457D" w:rsidRPr="00B1089D" w:rsidRDefault="00FA457D" w:rsidP="000610DA">
            <w:pPr>
              <w:widowControl/>
            </w:pPr>
            <w:r w:rsidRPr="00B1089D">
              <w:t>2020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C3B217" w14:textId="77777777" w:rsidR="00FA457D" w:rsidRPr="00B1089D" w:rsidRDefault="00FA457D" w:rsidP="000610DA">
            <w:pPr>
              <w:widowControl/>
            </w:pPr>
            <w:proofErr w:type="spellStart"/>
            <w:r w:rsidRPr="00B1089D">
              <w:t>Radulović</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A93E76E" w14:textId="77777777" w:rsidR="00FA457D" w:rsidRPr="00B1089D" w:rsidRDefault="00FA457D" w:rsidP="000610DA">
            <w:pPr>
              <w:widowControl/>
            </w:pPr>
            <w:r w:rsidRPr="00B1089D">
              <w:t>1996–2017</w:t>
            </w:r>
            <w:r w:rsidRPr="00B1089D">
              <w:br/>
              <w:t>South-East Europe</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7226750" w14:textId="77777777" w:rsidR="00FA457D" w:rsidRPr="00B1089D" w:rsidRDefault="00FA457D" w:rsidP="000610DA">
            <w:pPr>
              <w:widowControl/>
            </w:pPr>
            <w:r w:rsidRPr="00B1089D">
              <w:t>ARDL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DE247AD" w14:textId="77777777" w:rsidR="00FA457D" w:rsidRPr="00B1089D" w:rsidRDefault="00FA457D" w:rsidP="000610DA">
            <w:pPr>
              <w:widowControl/>
            </w:pPr>
            <w:proofErr w:type="spellStart"/>
            <w:r w:rsidRPr="00B1089D">
              <w:t>Other</w:t>
            </w:r>
            <w:proofErr w:type="spellEnd"/>
            <w:r w:rsidRPr="00B1089D">
              <w:t xml:space="preserve"> </w:t>
            </w:r>
            <w:proofErr w:type="spellStart"/>
            <w:r w:rsidRPr="00B1089D">
              <w:t>WGIs</w:t>
            </w:r>
            <w:proofErr w:type="spellEnd"/>
            <w:r w:rsidRPr="00B1089D">
              <w:t xml:space="preserve"> </w:t>
            </w:r>
            <w:proofErr w:type="spellStart"/>
            <w:r w:rsidRPr="00B1089D">
              <w:t>positive</w:t>
            </w:r>
            <w:proofErr w:type="spellEnd"/>
            <w:r w:rsidRPr="00B1089D">
              <w:br/>
              <w:t xml:space="preserve">Voice </w:t>
            </w:r>
            <w:proofErr w:type="spellStart"/>
            <w:r w:rsidRPr="00B1089D">
              <w:t>and</w:t>
            </w:r>
            <w:proofErr w:type="spellEnd"/>
            <w:r w:rsidRPr="00B1089D">
              <w:t xml:space="preserve"> </w:t>
            </w:r>
            <w:proofErr w:type="spellStart"/>
            <w:r w:rsidRPr="00B1089D">
              <w:t>Accountability</w:t>
            </w:r>
            <w:proofErr w:type="spellEnd"/>
            <w:r w:rsidRPr="00B1089D">
              <w:t xml:space="preserve"> </w:t>
            </w:r>
            <w:proofErr w:type="spellStart"/>
            <w:r w:rsidRPr="00B1089D">
              <w:t>negative</w:t>
            </w:r>
            <w:proofErr w:type="spellEnd"/>
          </w:p>
        </w:tc>
      </w:tr>
      <w:tr w:rsidR="00FA457D" w:rsidRPr="00B1089D" w14:paraId="597F59BB"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0A8AFD4" w14:textId="77777777" w:rsidR="00FA457D" w:rsidRPr="00B1089D" w:rsidRDefault="00FA457D" w:rsidP="000610DA">
            <w:pPr>
              <w:widowControl/>
            </w:pPr>
            <w:r w:rsidRPr="00B1089D">
              <w:t>2021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26E1CBB" w14:textId="77777777" w:rsidR="00FA457D" w:rsidRPr="00B1089D" w:rsidRDefault="00FA457D" w:rsidP="000610DA">
            <w:pPr>
              <w:widowControl/>
            </w:pPr>
            <w:proofErr w:type="spellStart"/>
            <w:r w:rsidRPr="00B1089D">
              <w:t>Almohammed</w:t>
            </w:r>
            <w:proofErr w:type="spellEnd"/>
            <w:r w:rsidRPr="00B1089D">
              <w:t xml:space="preserve"> </w:t>
            </w:r>
            <w:proofErr w:type="spellStart"/>
            <w:r w:rsidRPr="00B1089D">
              <w:t>and</w:t>
            </w:r>
            <w:proofErr w:type="spellEnd"/>
            <w:r w:rsidRPr="00B1089D">
              <w:t xml:space="preserve"> Ekşi</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550D4B3" w14:textId="77777777" w:rsidR="00FA457D" w:rsidRPr="00B1089D" w:rsidRDefault="00FA457D" w:rsidP="000610DA">
            <w:pPr>
              <w:widowControl/>
            </w:pPr>
            <w:r w:rsidRPr="00B1089D">
              <w:t>2002-2018</w:t>
            </w:r>
            <w:r w:rsidRPr="00B1089D">
              <w:br/>
              <w:t xml:space="preserve"> MSCI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FCBBA9" w14:textId="77777777" w:rsidR="00FA457D" w:rsidRPr="00B1089D" w:rsidRDefault="00FA457D" w:rsidP="000610DA">
            <w:pPr>
              <w:widowControl/>
            </w:pPr>
            <w:r w:rsidRPr="00B1089D">
              <w:t xml:space="preserve">PCA </w:t>
            </w:r>
            <w:proofErr w:type="spellStart"/>
            <w:r w:rsidRPr="00B1089D">
              <w:t>and</w:t>
            </w:r>
            <w:proofErr w:type="spellEnd"/>
            <w:r w:rsidRPr="00B1089D">
              <w:t xml:space="preserve"> 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2B80AB4" w14:textId="77777777" w:rsidR="00FA457D" w:rsidRPr="00B1089D" w:rsidRDefault="00FA457D" w:rsidP="000610DA">
            <w:pPr>
              <w:widowControl/>
            </w:pPr>
            <w:r w:rsidRPr="00B1089D">
              <w:t xml:space="preserve">No </w:t>
            </w:r>
            <w:proofErr w:type="spellStart"/>
            <w:r w:rsidRPr="00B1089D">
              <w:t>significant</w:t>
            </w:r>
            <w:proofErr w:type="spellEnd"/>
            <w:r w:rsidRPr="00B1089D">
              <w:t xml:space="preserve"> </w:t>
            </w:r>
            <w:proofErr w:type="spellStart"/>
            <w:r w:rsidRPr="00B1089D">
              <w:t>relationship</w:t>
            </w:r>
            <w:proofErr w:type="spellEnd"/>
          </w:p>
        </w:tc>
      </w:tr>
      <w:tr w:rsidR="00FA457D" w:rsidRPr="00B1089D" w14:paraId="716CF252" w14:textId="77777777" w:rsidTr="000610DA">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5A23992" w14:textId="77777777" w:rsidR="00FA457D" w:rsidRPr="00B1089D" w:rsidRDefault="00FA457D" w:rsidP="000610DA">
            <w:pPr>
              <w:widowControl/>
            </w:pPr>
            <w:r w:rsidRPr="00B1089D">
              <w:t>2021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B875953" w14:textId="77777777" w:rsidR="00FA457D" w:rsidRPr="00B1089D" w:rsidRDefault="00FA457D" w:rsidP="000610DA">
            <w:pPr>
              <w:widowControl/>
            </w:pPr>
            <w:proofErr w:type="spellStart"/>
            <w:r w:rsidRPr="00B1089D">
              <w:t>Bah</w:t>
            </w:r>
            <w:proofErr w:type="spellEnd"/>
            <w:r w:rsidRPr="00B1089D">
              <w:t xml:space="preserve"> et al.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27AA356" w14:textId="77777777" w:rsidR="00FA457D" w:rsidRPr="00B1089D" w:rsidRDefault="00FA457D" w:rsidP="000610DA">
            <w:pPr>
              <w:widowControl/>
            </w:pPr>
            <w:r w:rsidRPr="00B1089D">
              <w:t>1996–2019</w:t>
            </w:r>
            <w:r w:rsidRPr="00B1089D">
              <w:br/>
            </w:r>
            <w:proofErr w:type="spellStart"/>
            <w:r w:rsidRPr="00B1089D">
              <w:t>Sub-Saharan</w:t>
            </w:r>
            <w:proofErr w:type="spellEnd"/>
            <w:r w:rsidRPr="00B1089D">
              <w:t xml:space="preserve"> </w:t>
            </w:r>
            <w:proofErr w:type="spellStart"/>
            <w:r w:rsidRPr="00B1089D">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5D90072" w14:textId="77777777" w:rsidR="00FA457D" w:rsidRPr="00B1089D" w:rsidRDefault="00FA457D" w:rsidP="000610DA">
            <w:pPr>
              <w:widowControl/>
            </w:pPr>
            <w:r w:rsidRPr="00B1089D">
              <w:t>SGMM</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F2E5F7" w14:textId="77777777" w:rsidR="00FA457D" w:rsidRPr="00B1089D" w:rsidRDefault="00FA457D" w:rsidP="000610DA">
            <w:pPr>
              <w:widowControl/>
            </w:pPr>
            <w:proofErr w:type="spellStart"/>
            <w:r w:rsidRPr="00B1089D">
              <w:t>Significant</w:t>
            </w:r>
            <w:proofErr w:type="spellEnd"/>
            <w:r w:rsidRPr="00B1089D">
              <w:t xml:space="preserve"> </w:t>
            </w:r>
            <w:proofErr w:type="spellStart"/>
            <w:r w:rsidRPr="00B1089D">
              <w:t>Positive</w:t>
            </w:r>
            <w:proofErr w:type="spellEnd"/>
          </w:p>
        </w:tc>
      </w:tr>
    </w:tbl>
    <w:p w14:paraId="7B991977"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preparation</w:t>
      </w:r>
      <w:proofErr w:type="spellEnd"/>
      <w:r w:rsidRPr="00B1089D">
        <w:t>.</w:t>
      </w:r>
    </w:p>
    <w:p w14:paraId="3B72D6CD" w14:textId="77777777" w:rsidR="00FA457D" w:rsidRPr="00B1089D" w:rsidRDefault="00FA457D" w:rsidP="00E359E0">
      <w:pPr>
        <w:widowControl/>
        <w:jc w:val="both"/>
      </w:pPr>
      <w:proofErr w:type="spellStart"/>
      <w:r w:rsidRPr="00B1089D">
        <w:lastRenderedPageBreak/>
        <w:t>In</w:t>
      </w:r>
      <w:proofErr w:type="spellEnd"/>
      <w:r w:rsidRPr="00B1089D">
        <w:t xml:space="preserve"> </w:t>
      </w:r>
      <w:proofErr w:type="spellStart"/>
      <w:r w:rsidRPr="00B1089D">
        <w:t>summary</w:t>
      </w:r>
      <w:proofErr w:type="spellEnd"/>
      <w:r w:rsidRPr="00B1089D">
        <w:t xml:space="preserve">, </w:t>
      </w:r>
      <w:proofErr w:type="spellStart"/>
      <w:r w:rsidRPr="00B1089D">
        <w:t>the</w:t>
      </w:r>
      <w:proofErr w:type="spellEnd"/>
      <w:r w:rsidRPr="00B1089D">
        <w:t xml:space="preserve"> </w:t>
      </w:r>
      <w:proofErr w:type="spellStart"/>
      <w:r w:rsidRPr="00B1089D">
        <w:t>discussions</w:t>
      </w:r>
      <w:proofErr w:type="spellEnd"/>
      <w:r w:rsidRPr="00B1089D">
        <w:t xml:space="preserve"> </w:t>
      </w:r>
      <w:proofErr w:type="spellStart"/>
      <w:r w:rsidRPr="00B1089D">
        <w:t>across</w:t>
      </w:r>
      <w:proofErr w:type="spellEnd"/>
      <w:r w:rsidRPr="00B1089D">
        <w:t xml:space="preserve"> </w:t>
      </w:r>
      <w:proofErr w:type="spellStart"/>
      <w:r w:rsidRPr="00B1089D">
        <w:t>these</w:t>
      </w:r>
      <w:proofErr w:type="spellEnd"/>
      <w:r w:rsidRPr="00B1089D">
        <w:t xml:space="preserve"> </w:t>
      </w:r>
      <w:proofErr w:type="spellStart"/>
      <w:r w:rsidRPr="00B1089D">
        <w:t>studies</w:t>
      </w:r>
      <w:proofErr w:type="spellEnd"/>
      <w:r w:rsidRPr="00B1089D">
        <w:t xml:space="preserve"> </w:t>
      </w:r>
      <w:proofErr w:type="spellStart"/>
      <w:r w:rsidRPr="00B1089D">
        <w:t>reveal</w:t>
      </w:r>
      <w:proofErr w:type="spellEnd"/>
      <w:r w:rsidRPr="00B1089D">
        <w:t xml:space="preserve"> a </w:t>
      </w:r>
      <w:proofErr w:type="spellStart"/>
      <w:r w:rsidRPr="00B1089D">
        <w:t>complex</w:t>
      </w:r>
      <w:proofErr w:type="spellEnd"/>
      <w:r w:rsidRPr="00B1089D">
        <w:t xml:space="preserve"> </w:t>
      </w:r>
      <w:proofErr w:type="spellStart"/>
      <w:r w:rsidRPr="00B1089D">
        <w:t>and</w:t>
      </w:r>
      <w:proofErr w:type="spellEnd"/>
      <w:r w:rsidRPr="00B1089D">
        <w:t xml:space="preserve"> </w:t>
      </w:r>
      <w:proofErr w:type="spellStart"/>
      <w:r w:rsidRPr="00B1089D">
        <w:t>multifaceted</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GDP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with</w:t>
      </w:r>
      <w:proofErr w:type="spellEnd"/>
      <w:r w:rsidRPr="00B1089D">
        <w:t xml:space="preserve"> </w:t>
      </w:r>
      <w:proofErr w:type="spellStart"/>
      <w:r w:rsidRPr="00B1089D">
        <w:t>variations</w:t>
      </w:r>
      <w:proofErr w:type="spellEnd"/>
      <w:r w:rsidRPr="00B1089D">
        <w:t xml:space="preserve"> </w:t>
      </w:r>
      <w:proofErr w:type="spellStart"/>
      <w:r w:rsidRPr="00B1089D">
        <w:t>arising</w:t>
      </w:r>
      <w:proofErr w:type="spellEnd"/>
      <w:r w:rsidRPr="00B1089D">
        <w:t xml:space="preserve"> </w:t>
      </w:r>
      <w:proofErr w:type="spellStart"/>
      <w:r w:rsidRPr="00B1089D">
        <w:t>from</w:t>
      </w:r>
      <w:proofErr w:type="spellEnd"/>
      <w:r w:rsidRPr="00B1089D">
        <w:t xml:space="preserve"> </w:t>
      </w:r>
      <w:proofErr w:type="spellStart"/>
      <w:r w:rsidRPr="00B1089D">
        <w:t>regional</w:t>
      </w:r>
      <w:proofErr w:type="spellEnd"/>
      <w:r w:rsidRPr="00B1089D">
        <w:t xml:space="preserve"> </w:t>
      </w:r>
      <w:proofErr w:type="spellStart"/>
      <w:r w:rsidRPr="00B1089D">
        <w:t>contexts</w:t>
      </w:r>
      <w:proofErr w:type="spellEnd"/>
      <w:r w:rsidRPr="00B1089D">
        <w:t xml:space="preserve">, </w:t>
      </w:r>
      <w:proofErr w:type="spellStart"/>
      <w:r w:rsidRPr="00B1089D">
        <w:t>different</w:t>
      </w:r>
      <w:proofErr w:type="spellEnd"/>
      <w:r w:rsidRPr="00B1089D">
        <w:t xml:space="preserve"> </w:t>
      </w:r>
      <w:proofErr w:type="spellStart"/>
      <w:r w:rsidRPr="00B1089D">
        <w:t>governance</w:t>
      </w:r>
      <w:proofErr w:type="spellEnd"/>
      <w:r w:rsidRPr="00B1089D">
        <w:t xml:space="preserve"> </w:t>
      </w:r>
      <w:proofErr w:type="spellStart"/>
      <w:r w:rsidRPr="00B1089D">
        <w:t>dimensions</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specificities</w:t>
      </w:r>
      <w:proofErr w:type="spellEnd"/>
      <w:r w:rsidRPr="00B1089D">
        <w:t xml:space="preserve"> of </w:t>
      </w:r>
      <w:proofErr w:type="spellStart"/>
      <w:r w:rsidRPr="00B1089D">
        <w:t>economic</w:t>
      </w:r>
      <w:proofErr w:type="spellEnd"/>
      <w:r w:rsidRPr="00B1089D">
        <w:t xml:space="preserve"> </w:t>
      </w:r>
      <w:proofErr w:type="spellStart"/>
      <w:r w:rsidRPr="00B1089D">
        <w:t>indicators</w:t>
      </w:r>
      <w:proofErr w:type="spellEnd"/>
      <w:r w:rsidRPr="00B1089D">
        <w:t xml:space="preserve"> </w:t>
      </w:r>
      <w:proofErr w:type="spellStart"/>
      <w:r w:rsidRPr="00B1089D">
        <w:t>under</w:t>
      </w:r>
      <w:proofErr w:type="spellEnd"/>
      <w:r w:rsidRPr="00B1089D">
        <w:t xml:space="preserve"> </w:t>
      </w:r>
      <w:proofErr w:type="spellStart"/>
      <w:r w:rsidRPr="00B1089D">
        <w:t>consideration</w:t>
      </w:r>
      <w:proofErr w:type="spellEnd"/>
      <w:r w:rsidRPr="00B1089D">
        <w:t xml:space="preserve">. </w:t>
      </w:r>
      <w:proofErr w:type="spellStart"/>
      <w:r w:rsidRPr="00B1089D">
        <w:t>The</w:t>
      </w:r>
      <w:proofErr w:type="spellEnd"/>
      <w:r w:rsidRPr="00B1089D">
        <w:t xml:space="preserve"> </w:t>
      </w:r>
      <w:proofErr w:type="spellStart"/>
      <w:r w:rsidRPr="00B1089D">
        <w:t>discrepancies</w:t>
      </w:r>
      <w:proofErr w:type="spellEnd"/>
      <w:r w:rsidRPr="00B1089D">
        <w:t xml:space="preserve"> </w:t>
      </w:r>
      <w:proofErr w:type="spellStart"/>
      <w:r w:rsidRPr="00B1089D">
        <w:t>observed</w:t>
      </w:r>
      <w:proofErr w:type="spellEnd"/>
      <w:r w:rsidRPr="00B1089D">
        <w:t xml:space="preserve"> </w:t>
      </w:r>
      <w:proofErr w:type="spellStart"/>
      <w:r w:rsidRPr="00B1089D">
        <w:t>underscore</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nuanced</w:t>
      </w:r>
      <w:proofErr w:type="spellEnd"/>
      <w:r w:rsidRPr="00B1089D">
        <w:t xml:space="preserve">, </w:t>
      </w:r>
      <w:proofErr w:type="spellStart"/>
      <w:r w:rsidRPr="00B1089D">
        <w:t>context-specific</w:t>
      </w:r>
      <w:proofErr w:type="spellEnd"/>
      <w:r w:rsidRPr="00B1089D">
        <w:t xml:space="preserve"> </w:t>
      </w:r>
      <w:proofErr w:type="spellStart"/>
      <w:r w:rsidRPr="00B1089D">
        <w:t>analyses</w:t>
      </w:r>
      <w:proofErr w:type="spellEnd"/>
      <w:r w:rsidRPr="00B1089D">
        <w:t xml:space="preserve"> </w:t>
      </w:r>
      <w:proofErr w:type="spellStart"/>
      <w:r w:rsidRPr="00B1089D">
        <w:t>when</w:t>
      </w:r>
      <w:proofErr w:type="spellEnd"/>
      <w:r w:rsidRPr="00B1089D">
        <w:t xml:space="preserve"> </w:t>
      </w:r>
      <w:proofErr w:type="spellStart"/>
      <w:r w:rsidRPr="00B1089D">
        <w:t>formulating</w:t>
      </w:r>
      <w:proofErr w:type="spellEnd"/>
      <w:r w:rsidRPr="00B1089D">
        <w:t xml:space="preserve"> </w:t>
      </w:r>
      <w:proofErr w:type="spellStart"/>
      <w:r w:rsidRPr="00B1089D">
        <w:t>policies</w:t>
      </w:r>
      <w:proofErr w:type="spellEnd"/>
      <w:r w:rsidRPr="00B1089D">
        <w:t xml:space="preserve"> </w:t>
      </w:r>
      <w:proofErr w:type="spellStart"/>
      <w:r w:rsidRPr="00B1089D">
        <w:t>to</w:t>
      </w:r>
      <w:proofErr w:type="spellEnd"/>
      <w:r w:rsidRPr="00B1089D">
        <w:t xml:space="preserve"> </w:t>
      </w:r>
      <w:proofErr w:type="spellStart"/>
      <w:r w:rsidRPr="00B1089D">
        <w:t>promote</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through</w:t>
      </w:r>
      <w:proofErr w:type="spellEnd"/>
      <w:r w:rsidRPr="00B1089D">
        <w:t xml:space="preserve"> </w:t>
      </w:r>
      <w:proofErr w:type="spellStart"/>
      <w:r w:rsidRPr="00B1089D">
        <w:t>institutional</w:t>
      </w:r>
      <w:proofErr w:type="spellEnd"/>
      <w:r w:rsidRPr="00B1089D">
        <w:t xml:space="preserve"> </w:t>
      </w:r>
      <w:proofErr w:type="spellStart"/>
      <w:r w:rsidRPr="00B1089D">
        <w:t>reforms</w:t>
      </w:r>
      <w:proofErr w:type="spellEnd"/>
      <w:r w:rsidRPr="00B1089D">
        <w:t>.</w:t>
      </w:r>
    </w:p>
    <w:p w14:paraId="3FA757F4" w14:textId="77777777" w:rsidR="00FA457D" w:rsidRPr="00B1089D" w:rsidRDefault="00FA457D" w:rsidP="00E359E0">
      <w:pPr>
        <w:widowControl/>
        <w:jc w:val="both"/>
      </w:pPr>
    </w:p>
    <w:p w14:paraId="11E6118C" w14:textId="77777777" w:rsidR="00FA457D" w:rsidRPr="00B1089D" w:rsidRDefault="00FA457D" w:rsidP="00E359E0">
      <w:pPr>
        <w:widowControl/>
        <w:jc w:val="both"/>
      </w:pPr>
      <w:proofErr w:type="gramStart"/>
      <w:r w:rsidRPr="00B1089D">
        <w:rPr>
          <w:b/>
          <w:bCs/>
        </w:rPr>
        <w:t>Data</w:t>
      </w:r>
      <w:proofErr w:type="gramEnd"/>
    </w:p>
    <w:p w14:paraId="423BDC89" w14:textId="77777777" w:rsidR="00FA457D" w:rsidRPr="00D10870" w:rsidRDefault="00FA457D" w:rsidP="00E359E0">
      <w:pPr>
        <w:widowControl/>
        <w:jc w:val="both"/>
      </w:pPr>
      <w:proofErr w:type="spellStart"/>
      <w:r w:rsidRPr="00B1089D">
        <w:t>This</w:t>
      </w:r>
      <w:proofErr w:type="spellEnd"/>
      <w:r w:rsidRPr="00B1089D">
        <w:t xml:space="preserve"> </w:t>
      </w:r>
      <w:proofErr w:type="spellStart"/>
      <w:r w:rsidRPr="00B1089D">
        <w:t>research</w:t>
      </w:r>
      <w:proofErr w:type="spellEnd"/>
      <w:r w:rsidRPr="00B1089D">
        <w:t xml:space="preserve"> </w:t>
      </w:r>
      <w:proofErr w:type="spellStart"/>
      <w:r w:rsidRPr="00B1089D">
        <w:t>focuses</w:t>
      </w:r>
      <w:proofErr w:type="spellEnd"/>
      <w:r w:rsidRPr="00B1089D">
        <w:t xml:space="preserve"> on </w:t>
      </w:r>
      <w:proofErr w:type="spellStart"/>
      <w:r w:rsidRPr="00B1089D">
        <w:t>examining</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as </w:t>
      </w:r>
      <w:proofErr w:type="spellStart"/>
      <w:r w:rsidRPr="00B1089D">
        <w:t>measured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WGI,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measured</w:t>
      </w:r>
      <w:proofErr w:type="spellEnd"/>
      <w:r w:rsidRPr="00B1089D">
        <w:t xml:space="preserve"> </w:t>
      </w:r>
      <w:proofErr w:type="spellStart"/>
      <w:r w:rsidRPr="00B1089D">
        <w:t>by</w:t>
      </w:r>
      <w:proofErr w:type="spellEnd"/>
      <w:r w:rsidRPr="00B1089D">
        <w:t xml:space="preserve"> Real GDP at </w:t>
      </w:r>
      <w:proofErr w:type="spellStart"/>
      <w:r w:rsidRPr="00B1089D">
        <w:t>constant</w:t>
      </w:r>
      <w:proofErr w:type="spellEnd"/>
      <w:r w:rsidRPr="00B1089D">
        <w:t xml:space="preserve"> 2017 </w:t>
      </w:r>
      <w:proofErr w:type="spellStart"/>
      <w:r w:rsidRPr="00B1089D">
        <w:t>national</w:t>
      </w:r>
      <w:proofErr w:type="spellEnd"/>
      <w:r w:rsidRPr="00B1089D">
        <w:t xml:space="preserve"> </w:t>
      </w:r>
      <w:proofErr w:type="spellStart"/>
      <w:r w:rsidRPr="00B1089D">
        <w:t>prices</w:t>
      </w:r>
      <w:proofErr w:type="spellEnd"/>
      <w:r w:rsidRPr="00B1089D">
        <w:t xml:space="preserve">.  </w:t>
      </w:r>
      <w:proofErr w:type="spellStart"/>
      <w:r w:rsidRPr="00B1089D">
        <w:t>Additionally</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incorporates</w:t>
      </w:r>
      <w:proofErr w:type="spellEnd"/>
      <w:r w:rsidRPr="00B1089D">
        <w:t xml:space="preserve"> </w:t>
      </w:r>
      <w:proofErr w:type="spellStart"/>
      <w:r w:rsidRPr="00B1089D">
        <w:t>capital</w:t>
      </w:r>
      <w:proofErr w:type="spellEnd"/>
      <w:r w:rsidRPr="00B1089D">
        <w:t xml:space="preserve"> </w:t>
      </w:r>
      <w:proofErr w:type="spellStart"/>
      <w:r w:rsidRPr="00B1089D">
        <w:t>and</w:t>
      </w:r>
      <w:proofErr w:type="spellEnd"/>
      <w:r w:rsidRPr="00B1089D">
        <w:t xml:space="preserve"> </w:t>
      </w:r>
      <w:proofErr w:type="spellStart"/>
      <w:r w:rsidRPr="00B1089D">
        <w:t>labour</w:t>
      </w:r>
      <w:proofErr w:type="spellEnd"/>
      <w:r w:rsidRPr="00B1089D">
        <w:t xml:space="preserve"> as </w:t>
      </w:r>
      <w:proofErr w:type="spellStart"/>
      <w:r w:rsidRPr="00B1089D">
        <w:t>control</w:t>
      </w:r>
      <w:proofErr w:type="spellEnd"/>
      <w:r w:rsidRPr="00B1089D">
        <w:t xml:space="preserve"> </w:t>
      </w:r>
      <w:proofErr w:type="spellStart"/>
      <w:r w:rsidRPr="00B1089D">
        <w:t>variables</w:t>
      </w:r>
      <w:proofErr w:type="spellEnd"/>
      <w:r w:rsidRPr="00B1089D">
        <w:t xml:space="preserve">. </w:t>
      </w:r>
      <w:proofErr w:type="spellStart"/>
      <w:r w:rsidRPr="00B1089D">
        <w:t>The</w:t>
      </w:r>
      <w:proofErr w:type="spellEnd"/>
      <w:r w:rsidRPr="00B1089D">
        <w:t xml:space="preserve"> </w:t>
      </w:r>
      <w:proofErr w:type="spellStart"/>
      <w:r w:rsidRPr="00B1089D">
        <w:t>dataset</w:t>
      </w:r>
      <w:proofErr w:type="spellEnd"/>
      <w:r w:rsidRPr="00B1089D">
        <w:t xml:space="preserve"> </w:t>
      </w:r>
      <w:proofErr w:type="spellStart"/>
      <w:r w:rsidRPr="00B1089D">
        <w:t>encompasses</w:t>
      </w:r>
      <w:proofErr w:type="spellEnd"/>
      <w:r w:rsidRPr="00B1089D">
        <w:t xml:space="preserve"> </w:t>
      </w:r>
      <w:proofErr w:type="spellStart"/>
      <w:r w:rsidRPr="00B1089D">
        <w:t>various</w:t>
      </w:r>
      <w:proofErr w:type="spellEnd"/>
      <w:r w:rsidRPr="00B1089D">
        <w:t xml:space="preserve"> </w:t>
      </w:r>
      <w:proofErr w:type="spellStart"/>
      <w:r w:rsidRPr="00B1089D">
        <w:t>countries</w:t>
      </w:r>
      <w:proofErr w:type="spellEnd"/>
      <w:r w:rsidRPr="00B1089D">
        <w:t xml:space="preserve"> </w:t>
      </w:r>
      <w:proofErr w:type="spellStart"/>
      <w:r w:rsidRPr="00B1089D">
        <w:t>across</w:t>
      </w:r>
      <w:proofErr w:type="spellEnd"/>
      <w:r w:rsidRPr="00B1089D">
        <w:t xml:space="preserve"> </w:t>
      </w:r>
      <w:proofErr w:type="spellStart"/>
      <w:r w:rsidRPr="00B1089D">
        <w:t>three</w:t>
      </w:r>
      <w:proofErr w:type="spellEnd"/>
      <w:r w:rsidRPr="00B1089D">
        <w:t xml:space="preserve"> </w:t>
      </w:r>
      <w:proofErr w:type="spellStart"/>
      <w:r w:rsidRPr="00B1089D">
        <w:t>RSCs</w:t>
      </w:r>
      <w:proofErr w:type="spellEnd"/>
      <w:r w:rsidRPr="00B1089D">
        <w:t xml:space="preserve"> </w:t>
      </w:r>
      <w:proofErr w:type="spellStart"/>
      <w:r w:rsidRPr="00B1089D">
        <w:t>comprising</w:t>
      </w:r>
      <w:proofErr w:type="spellEnd"/>
      <w:r w:rsidRPr="00B1089D">
        <w:t xml:space="preserve"> 51 </w:t>
      </w:r>
      <w:proofErr w:type="spellStart"/>
      <w:r w:rsidRPr="00B1089D">
        <w:t>countries</w:t>
      </w:r>
      <w:proofErr w:type="spellEnd"/>
      <w:r w:rsidRPr="00B1089D">
        <w:t xml:space="preserve">. </w:t>
      </w:r>
      <w:proofErr w:type="spellStart"/>
      <w:r w:rsidRPr="00B1089D">
        <w:t>These</w:t>
      </w:r>
      <w:proofErr w:type="spellEnd"/>
      <w:r w:rsidRPr="00B1089D">
        <w:t xml:space="preserve"> </w:t>
      </w:r>
      <w:proofErr w:type="spellStart"/>
      <w:r w:rsidRPr="00B1089D">
        <w:t>counties</w:t>
      </w:r>
      <w:proofErr w:type="spellEnd"/>
      <w:r w:rsidRPr="00B1089D">
        <w:t xml:space="preserve"> </w:t>
      </w:r>
      <w:proofErr w:type="spellStart"/>
      <w:r w:rsidRPr="00B1089D">
        <w:t>are</w:t>
      </w:r>
      <w:proofErr w:type="spellEnd"/>
      <w:r w:rsidRPr="00B1089D">
        <w:t xml:space="preserve"> </w:t>
      </w:r>
      <w:proofErr w:type="spellStart"/>
      <w:r w:rsidRPr="00B1089D">
        <w:t>selected</w:t>
      </w:r>
      <w:proofErr w:type="spellEnd"/>
      <w:r w:rsidRPr="00B1089D">
        <w:t xml:space="preserve"> </w:t>
      </w:r>
      <w:proofErr w:type="spellStart"/>
      <w:r w:rsidRPr="00B1089D">
        <w:t>and</w:t>
      </w:r>
      <w:proofErr w:type="spellEnd"/>
      <w:r w:rsidRPr="00B1089D">
        <w:t xml:space="preserve"> </w:t>
      </w:r>
      <w:proofErr w:type="spellStart"/>
      <w:r w:rsidRPr="00B1089D">
        <w:t>grouped</w:t>
      </w:r>
      <w:proofErr w:type="spellEnd"/>
      <w:r w:rsidRPr="00B1089D">
        <w:t xml:space="preserve"> </w:t>
      </w:r>
      <w:proofErr w:type="spellStart"/>
      <w:r w:rsidRPr="00B1089D">
        <w:t>based</w:t>
      </w:r>
      <w:proofErr w:type="spellEnd"/>
      <w:r w:rsidRPr="00B1089D">
        <w:t xml:space="preserve"> on </w:t>
      </w:r>
      <w:proofErr w:type="spellStart"/>
      <w:r w:rsidRPr="00B1089D">
        <w:t>the</w:t>
      </w:r>
      <w:proofErr w:type="spellEnd"/>
      <w:r w:rsidRPr="00B1089D">
        <w:t xml:space="preserve"> RCS </w:t>
      </w:r>
      <w:proofErr w:type="spellStart"/>
      <w:r w:rsidRPr="00B1089D">
        <w:t>theory</w:t>
      </w:r>
      <w:proofErr w:type="spellEnd"/>
      <w:r w:rsidRPr="00B1089D">
        <w:t xml:space="preserve"> of </w:t>
      </w:r>
      <w:proofErr w:type="spellStart"/>
      <w:r w:rsidRPr="00B1089D">
        <w:t>Buzan</w:t>
      </w:r>
      <w:proofErr w:type="spellEnd"/>
      <w:r w:rsidRPr="00B1089D">
        <w:t xml:space="preserve"> </w:t>
      </w:r>
      <w:proofErr w:type="spellStart"/>
      <w:r w:rsidRPr="00B1089D">
        <w:t>and</w:t>
      </w:r>
      <w:proofErr w:type="spellEnd"/>
      <w:r w:rsidRPr="00B1089D">
        <w:t xml:space="preserve"> </w:t>
      </w:r>
      <w:proofErr w:type="spellStart"/>
      <w:r w:rsidRPr="00B1089D">
        <w:t>Wæver</w:t>
      </w:r>
      <w:proofErr w:type="spellEnd"/>
      <w:r w:rsidRPr="00B1089D">
        <w:t xml:space="preserve"> (2003). </w:t>
      </w:r>
      <w:proofErr w:type="gramStart"/>
      <w:r w:rsidRPr="00B1089D">
        <w:t>Data</w:t>
      </w:r>
      <w:proofErr w:type="gramEnd"/>
      <w:r w:rsidRPr="00B1089D">
        <w:t xml:space="preserve"> </w:t>
      </w:r>
      <w:proofErr w:type="spellStart"/>
      <w:r w:rsidRPr="00B1089D">
        <w:t>from</w:t>
      </w:r>
      <w:proofErr w:type="spellEnd"/>
      <w:r w:rsidRPr="00B1089D">
        <w:t xml:space="preserve"> 2006 </w:t>
      </w:r>
      <w:proofErr w:type="spellStart"/>
      <w:r w:rsidRPr="00B1089D">
        <w:t>to</w:t>
      </w:r>
      <w:proofErr w:type="spellEnd"/>
      <w:r w:rsidRPr="00B1089D">
        <w:t xml:space="preserve"> 2019 </w:t>
      </w:r>
      <w:proofErr w:type="spellStart"/>
      <w:r w:rsidRPr="00B1089D">
        <w:t>provide</w:t>
      </w:r>
      <w:proofErr w:type="spellEnd"/>
      <w:r w:rsidRPr="00B1089D">
        <w:t xml:space="preserve"> an </w:t>
      </w:r>
      <w:proofErr w:type="spellStart"/>
      <w:r w:rsidRPr="00B1089D">
        <w:t>analysis</w:t>
      </w:r>
      <w:proofErr w:type="spellEnd"/>
      <w:r w:rsidRPr="00B1089D">
        <w:t xml:space="preserve"> of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performance</w:t>
      </w:r>
      <w:proofErr w:type="spellEnd"/>
      <w:r w:rsidRPr="00B1089D">
        <w:t xml:space="preserve">. </w:t>
      </w:r>
      <w:proofErr w:type="spellStart"/>
      <w:r w:rsidRPr="00B1089D">
        <w:t>Moreover</w:t>
      </w:r>
      <w:proofErr w:type="spellEnd"/>
      <w:r w:rsidRPr="00B1089D">
        <w:t xml:space="preserve">, </w:t>
      </w:r>
      <w:proofErr w:type="spellStart"/>
      <w:r w:rsidRPr="00B1089D">
        <w:t>including</w:t>
      </w:r>
      <w:proofErr w:type="spellEnd"/>
      <w:r w:rsidRPr="00B1089D">
        <w:t xml:space="preserve"> </w:t>
      </w:r>
      <w:proofErr w:type="spellStart"/>
      <w:r w:rsidRPr="00B1089D">
        <w:t>dummy</w:t>
      </w:r>
      <w:proofErr w:type="spellEnd"/>
      <w:r w:rsidRPr="00B1089D">
        <w:t xml:space="preserve"> </w:t>
      </w:r>
      <w:proofErr w:type="spellStart"/>
      <w:r w:rsidRPr="00B1089D">
        <w:t>variables</w:t>
      </w:r>
      <w:proofErr w:type="spellEnd"/>
      <w:r w:rsidRPr="00B1089D">
        <w:t xml:space="preserve"> </w:t>
      </w:r>
      <w:proofErr w:type="spellStart"/>
      <w:r w:rsidRPr="00B1089D">
        <w:t>for</w:t>
      </w:r>
      <w:proofErr w:type="spellEnd"/>
      <w:r w:rsidRPr="00B1089D">
        <w:t xml:space="preserve"> </w:t>
      </w:r>
      <w:proofErr w:type="spellStart"/>
      <w:r w:rsidRPr="00B1089D">
        <w:t>the</w:t>
      </w:r>
      <w:proofErr w:type="spellEnd"/>
      <w:r w:rsidRPr="00B1089D">
        <w:t xml:space="preserve"> 2008 </w:t>
      </w:r>
      <w:proofErr w:type="spellStart"/>
      <w:r w:rsidRPr="00B1089D">
        <w:t>financial</w:t>
      </w:r>
      <w:proofErr w:type="spellEnd"/>
      <w:r w:rsidRPr="00B1089D">
        <w:t xml:space="preserve"> </w:t>
      </w:r>
      <w:proofErr w:type="spellStart"/>
      <w:r w:rsidRPr="00B1089D">
        <w:t>crisis</w:t>
      </w:r>
      <w:proofErr w:type="spellEnd"/>
      <w:r w:rsidRPr="00B1089D">
        <w:t xml:space="preserve"> </w:t>
      </w:r>
      <w:proofErr w:type="spellStart"/>
      <w:r w:rsidRPr="00B1089D">
        <w:t>period</w:t>
      </w:r>
      <w:proofErr w:type="spellEnd"/>
      <w:r w:rsidRPr="00B1089D">
        <w:t xml:space="preserve"> </w:t>
      </w:r>
      <w:proofErr w:type="spellStart"/>
      <w:r w:rsidRPr="00B1089D">
        <w:t>captures</w:t>
      </w:r>
      <w:proofErr w:type="spellEnd"/>
      <w:r w:rsidRPr="00B1089D">
        <w:t xml:space="preserve"> </w:t>
      </w:r>
      <w:proofErr w:type="spellStart"/>
      <w:r w:rsidRPr="00B1089D">
        <w:t>its</w:t>
      </w:r>
      <w:proofErr w:type="spellEnd"/>
      <w:r w:rsidRPr="00B1089D">
        <w:t xml:space="preserve"> </w:t>
      </w:r>
      <w:proofErr w:type="spellStart"/>
      <w:r w:rsidRPr="00B1089D">
        <w:t>potential</w:t>
      </w:r>
      <w:proofErr w:type="spellEnd"/>
      <w:r w:rsidRPr="00B1089D">
        <w:t xml:space="preserve"> </w:t>
      </w:r>
      <w:proofErr w:type="spellStart"/>
      <w:r w:rsidRPr="00B1089D">
        <w:t>impact</w:t>
      </w:r>
      <w:proofErr w:type="spellEnd"/>
      <w:r w:rsidRPr="00B1089D">
        <w:t xml:space="preserve"> on </w:t>
      </w:r>
      <w:proofErr w:type="spellStart"/>
      <w:r w:rsidRPr="00B1089D">
        <w:t>the</w:t>
      </w:r>
      <w:proofErr w:type="spellEnd"/>
      <w:r w:rsidRPr="00B1089D">
        <w:t xml:space="preserve"> </w:t>
      </w:r>
      <w:proofErr w:type="spellStart"/>
      <w:r w:rsidRPr="00B1089D">
        <w:t>relationship</w:t>
      </w:r>
      <w:proofErr w:type="spellEnd"/>
      <w:r w:rsidRPr="00B1089D">
        <w:t>.</w:t>
      </w:r>
    </w:p>
    <w:p w14:paraId="0D8841D9" w14:textId="77777777" w:rsidR="00FA457D" w:rsidRPr="00B1089D" w:rsidRDefault="00FA457D" w:rsidP="00E359E0">
      <w:pPr>
        <w:widowControl/>
        <w:jc w:val="both"/>
      </w:pPr>
    </w:p>
    <w:p w14:paraId="3F52DFA6" w14:textId="77777777"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variable</w:t>
      </w:r>
      <w:proofErr w:type="spellEnd"/>
      <w:r w:rsidRPr="00B1089D">
        <w:t xml:space="preserve"> </w:t>
      </w:r>
      <w:proofErr w:type="spellStart"/>
      <w:r w:rsidRPr="00B1089D">
        <w:t>for</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is Real GDP at </w:t>
      </w:r>
      <w:proofErr w:type="spellStart"/>
      <w:r w:rsidRPr="00B1089D">
        <w:t>constant</w:t>
      </w:r>
      <w:proofErr w:type="spellEnd"/>
      <w:r w:rsidRPr="00B1089D">
        <w:t xml:space="preserve"> 2017 </w:t>
      </w:r>
      <w:proofErr w:type="spellStart"/>
      <w:r w:rsidRPr="00B1089D">
        <w:t>national</w:t>
      </w:r>
      <w:proofErr w:type="spellEnd"/>
      <w:r w:rsidRPr="00B1089D">
        <w:t xml:space="preserve"> </w:t>
      </w:r>
      <w:proofErr w:type="spellStart"/>
      <w:r w:rsidRPr="00B1089D">
        <w:t>prices</w:t>
      </w:r>
      <w:proofErr w:type="spellEnd"/>
      <w:r w:rsidRPr="00B1089D">
        <w:t xml:space="preserve">. </w:t>
      </w:r>
      <w:proofErr w:type="spellStart"/>
      <w:r w:rsidRPr="00B1089D">
        <w:t>The</w:t>
      </w:r>
      <w:proofErr w:type="spellEnd"/>
      <w:r w:rsidRPr="00B1089D">
        <w:t xml:space="preserve"> Real GDP </w:t>
      </w:r>
      <w:proofErr w:type="gramStart"/>
      <w:r w:rsidRPr="00B1089D">
        <w:t>data</w:t>
      </w:r>
      <w:proofErr w:type="gramEnd"/>
      <w:r w:rsidRPr="00B1089D">
        <w:t xml:space="preserve"> is </w:t>
      </w:r>
      <w:proofErr w:type="spellStart"/>
      <w:r w:rsidRPr="00B1089D">
        <w:t>obtained</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Penn World </w:t>
      </w:r>
      <w:proofErr w:type="spellStart"/>
      <w:r w:rsidRPr="00B1089D">
        <w:t>Table</w:t>
      </w:r>
      <w:proofErr w:type="spellEnd"/>
      <w:r w:rsidRPr="00B1089D">
        <w:t xml:space="preserve"> (PWT). </w:t>
      </w:r>
      <w:proofErr w:type="spellStart"/>
      <w:r w:rsidRPr="00B1089D">
        <w:t>This</w:t>
      </w:r>
      <w:proofErr w:type="spellEnd"/>
      <w:r w:rsidRPr="00B1089D">
        <w:t xml:space="preserve"> </w:t>
      </w:r>
      <w:proofErr w:type="spellStart"/>
      <w:r w:rsidRPr="00B1089D">
        <w:t>dataset</w:t>
      </w:r>
      <w:proofErr w:type="spellEnd"/>
      <w:r w:rsidRPr="00B1089D">
        <w:t xml:space="preserve"> </w:t>
      </w:r>
      <w:proofErr w:type="spellStart"/>
      <w:r w:rsidRPr="00B1089D">
        <w:t>offers</w:t>
      </w:r>
      <w:proofErr w:type="spellEnd"/>
      <w:r w:rsidRPr="00B1089D">
        <w:t xml:space="preserve"> </w:t>
      </w:r>
      <w:proofErr w:type="spellStart"/>
      <w:r w:rsidRPr="00B1089D">
        <w:t>economic</w:t>
      </w:r>
      <w:proofErr w:type="spellEnd"/>
      <w:r w:rsidRPr="00B1089D">
        <w:t xml:space="preserve"> </w:t>
      </w:r>
      <w:proofErr w:type="spellStart"/>
      <w:r w:rsidRPr="00B1089D">
        <w:t>output</w:t>
      </w:r>
      <w:proofErr w:type="spellEnd"/>
      <w:r w:rsidRPr="00B1089D">
        <w:t xml:space="preserve"> </w:t>
      </w:r>
      <w:proofErr w:type="spellStart"/>
      <w:r w:rsidRPr="00B1089D">
        <w:t>across</w:t>
      </w:r>
      <w:proofErr w:type="spellEnd"/>
      <w:r w:rsidRPr="00B1089D">
        <w:t xml:space="preserve"> </w:t>
      </w:r>
      <w:proofErr w:type="spellStart"/>
      <w:r w:rsidRPr="00B1089D">
        <w:t>countries</w:t>
      </w:r>
      <w:proofErr w:type="spellEnd"/>
      <w:r w:rsidRPr="00B1089D">
        <w:t xml:space="preserve">, </w:t>
      </w:r>
      <w:proofErr w:type="spellStart"/>
      <w:r w:rsidRPr="00B1089D">
        <w:t>ensuring</w:t>
      </w:r>
      <w:proofErr w:type="spellEnd"/>
      <w:r w:rsidRPr="00B1089D">
        <w:t xml:space="preserve"> </w:t>
      </w:r>
      <w:proofErr w:type="spellStart"/>
      <w:r w:rsidRPr="00B1089D">
        <w:t>the</w:t>
      </w:r>
      <w:proofErr w:type="spellEnd"/>
      <w:r w:rsidRPr="00B1089D">
        <w:t xml:space="preserve"> </w:t>
      </w:r>
      <w:proofErr w:type="spellStart"/>
      <w:r w:rsidRPr="00B1089D">
        <w:t>reliability</w:t>
      </w:r>
      <w:proofErr w:type="spellEnd"/>
      <w:r w:rsidRPr="00B1089D">
        <w:t xml:space="preserve"> of </w:t>
      </w:r>
      <w:proofErr w:type="spellStart"/>
      <w:r w:rsidRPr="00B1089D">
        <w:t>our</w:t>
      </w:r>
      <w:proofErr w:type="spellEnd"/>
      <w:r w:rsidRPr="00B1089D">
        <w:t xml:space="preserve"> </w:t>
      </w:r>
      <w:proofErr w:type="spellStart"/>
      <w:r w:rsidRPr="00B1089D">
        <w:t>findings</w:t>
      </w:r>
      <w:proofErr w:type="spellEnd"/>
      <w:r w:rsidRPr="00B1089D">
        <w:t>.</w:t>
      </w:r>
    </w:p>
    <w:p w14:paraId="695AB786" w14:textId="77777777" w:rsidR="00FA457D" w:rsidRPr="00B1089D" w:rsidRDefault="00FA457D" w:rsidP="00E359E0">
      <w:pPr>
        <w:widowControl/>
        <w:jc w:val="both"/>
      </w:pPr>
      <w:r w:rsidRPr="00B1089D">
        <w:t xml:space="preserve">Since 1996, </w:t>
      </w:r>
      <w:proofErr w:type="spellStart"/>
      <w:r w:rsidRPr="00B1089D">
        <w:t>the</w:t>
      </w:r>
      <w:proofErr w:type="spellEnd"/>
      <w:r w:rsidRPr="00B1089D">
        <w:t xml:space="preserve"> WGI has </w:t>
      </w:r>
      <w:proofErr w:type="spellStart"/>
      <w:r w:rsidRPr="00B1089D">
        <w:t>been</w:t>
      </w:r>
      <w:proofErr w:type="spellEnd"/>
      <w:r w:rsidRPr="00B1089D">
        <w:t xml:space="preserve"> </w:t>
      </w:r>
      <w:proofErr w:type="spellStart"/>
      <w:r w:rsidRPr="00B1089D">
        <w:t>measuring</w:t>
      </w:r>
      <w:proofErr w:type="spellEnd"/>
      <w:r w:rsidRPr="00B1089D">
        <w:t xml:space="preserve"> </w:t>
      </w:r>
      <w:proofErr w:type="spellStart"/>
      <w:r w:rsidRPr="00B1089D">
        <w:t>six</w:t>
      </w:r>
      <w:proofErr w:type="spellEnd"/>
      <w:r w:rsidRPr="00B1089D">
        <w:t xml:space="preserve"> </w:t>
      </w:r>
      <w:proofErr w:type="spellStart"/>
      <w:r w:rsidRPr="00B1089D">
        <w:t>elements</w:t>
      </w:r>
      <w:proofErr w:type="spellEnd"/>
      <w:r w:rsidRPr="00B1089D">
        <w:t xml:space="preserve"> of </w:t>
      </w:r>
      <w:proofErr w:type="spellStart"/>
      <w:r w:rsidRPr="00B1089D">
        <w:t>governance</w:t>
      </w:r>
      <w:proofErr w:type="spellEnd"/>
      <w:r w:rsidRPr="00B1089D">
        <w:t xml:space="preserve">. </w:t>
      </w:r>
      <w:proofErr w:type="spellStart"/>
      <w:r w:rsidRPr="00B1089D">
        <w:t>These</w:t>
      </w:r>
      <w:proofErr w:type="spellEnd"/>
      <w:r w:rsidRPr="00B1089D">
        <w:t xml:space="preserve"> </w:t>
      </w:r>
      <w:proofErr w:type="spellStart"/>
      <w:r w:rsidRPr="00B1089D">
        <w:t>are</w:t>
      </w:r>
      <w:proofErr w:type="spellEnd"/>
      <w:r w:rsidRPr="00B1089D">
        <w:t>:</w:t>
      </w:r>
    </w:p>
    <w:p w14:paraId="583F6FD0" w14:textId="77777777" w:rsidR="00FA457D" w:rsidRPr="00B1089D" w:rsidRDefault="00FA457D">
      <w:pPr>
        <w:widowControl/>
        <w:numPr>
          <w:ilvl w:val="0"/>
          <w:numId w:val="5"/>
        </w:numPr>
        <w:jc w:val="both"/>
      </w:pPr>
      <w:r w:rsidRPr="00B1089D">
        <w:t xml:space="preserve">Voice </w:t>
      </w:r>
      <w:proofErr w:type="spellStart"/>
      <w:r w:rsidRPr="00B1089D">
        <w:t>and</w:t>
      </w:r>
      <w:proofErr w:type="spellEnd"/>
      <w:r w:rsidRPr="00B1089D">
        <w:t xml:space="preserve"> </w:t>
      </w:r>
      <w:proofErr w:type="spellStart"/>
      <w:r w:rsidRPr="00B1089D">
        <w:t>Accountability</w:t>
      </w:r>
      <w:proofErr w:type="spellEnd"/>
    </w:p>
    <w:p w14:paraId="14B15A21" w14:textId="77777777" w:rsidR="00FA457D" w:rsidRPr="00B1089D" w:rsidRDefault="00FA457D">
      <w:pPr>
        <w:widowControl/>
        <w:numPr>
          <w:ilvl w:val="0"/>
          <w:numId w:val="5"/>
        </w:numPr>
        <w:jc w:val="both"/>
      </w:pPr>
      <w:proofErr w:type="spellStart"/>
      <w:r w:rsidRPr="00B1089D">
        <w:t>Political</w:t>
      </w:r>
      <w:proofErr w:type="spellEnd"/>
      <w:r w:rsidRPr="00B1089D">
        <w:t xml:space="preserve"> </w:t>
      </w:r>
      <w:proofErr w:type="spellStart"/>
      <w:r w:rsidRPr="00B1089D">
        <w:t>Stability</w:t>
      </w:r>
      <w:proofErr w:type="spellEnd"/>
      <w:r w:rsidRPr="00B1089D">
        <w:t xml:space="preserve"> </w:t>
      </w:r>
      <w:proofErr w:type="spellStart"/>
      <w:r w:rsidRPr="00B1089D">
        <w:t>and</w:t>
      </w:r>
      <w:proofErr w:type="spellEnd"/>
      <w:r w:rsidRPr="00B1089D">
        <w:t xml:space="preserve"> </w:t>
      </w:r>
      <w:proofErr w:type="spellStart"/>
      <w:r w:rsidRPr="00B1089D">
        <w:t>Absence</w:t>
      </w:r>
      <w:proofErr w:type="spellEnd"/>
      <w:r w:rsidRPr="00B1089D">
        <w:t xml:space="preserve"> of </w:t>
      </w:r>
      <w:proofErr w:type="spellStart"/>
      <w:r w:rsidRPr="00B1089D">
        <w:t>Violence</w:t>
      </w:r>
      <w:proofErr w:type="spellEnd"/>
      <w:r w:rsidRPr="00B1089D">
        <w:t>/</w:t>
      </w:r>
      <w:proofErr w:type="spellStart"/>
      <w:r w:rsidRPr="00B1089D">
        <w:t>Terrorism</w:t>
      </w:r>
      <w:proofErr w:type="spellEnd"/>
    </w:p>
    <w:p w14:paraId="72DB561D" w14:textId="77777777" w:rsidR="00FA457D" w:rsidRPr="00B1089D" w:rsidRDefault="00FA457D">
      <w:pPr>
        <w:widowControl/>
        <w:numPr>
          <w:ilvl w:val="0"/>
          <w:numId w:val="5"/>
        </w:numPr>
        <w:jc w:val="both"/>
      </w:pPr>
      <w:proofErr w:type="spellStart"/>
      <w:r w:rsidRPr="00B1089D">
        <w:t>Government</w:t>
      </w:r>
      <w:proofErr w:type="spellEnd"/>
      <w:r w:rsidRPr="00B1089D">
        <w:t xml:space="preserve"> </w:t>
      </w:r>
      <w:proofErr w:type="spellStart"/>
      <w:r w:rsidRPr="00B1089D">
        <w:t>Effectiveness</w:t>
      </w:r>
      <w:proofErr w:type="spellEnd"/>
    </w:p>
    <w:p w14:paraId="6383843A" w14:textId="77777777" w:rsidR="00FA457D" w:rsidRPr="00B1089D" w:rsidRDefault="00FA457D">
      <w:pPr>
        <w:widowControl/>
        <w:numPr>
          <w:ilvl w:val="0"/>
          <w:numId w:val="5"/>
        </w:numPr>
        <w:jc w:val="both"/>
      </w:pPr>
      <w:proofErr w:type="spellStart"/>
      <w:r w:rsidRPr="00B1089D">
        <w:t>Regulatory</w:t>
      </w:r>
      <w:proofErr w:type="spellEnd"/>
      <w:r w:rsidRPr="00B1089D">
        <w:t xml:space="preserve"> </w:t>
      </w:r>
      <w:proofErr w:type="spellStart"/>
      <w:r w:rsidRPr="00B1089D">
        <w:t>Quality</w:t>
      </w:r>
      <w:proofErr w:type="spellEnd"/>
    </w:p>
    <w:p w14:paraId="4774A246" w14:textId="77777777" w:rsidR="00FA457D" w:rsidRPr="00B1089D" w:rsidRDefault="00FA457D">
      <w:pPr>
        <w:widowControl/>
        <w:numPr>
          <w:ilvl w:val="0"/>
          <w:numId w:val="5"/>
        </w:numPr>
        <w:jc w:val="both"/>
      </w:pPr>
      <w:proofErr w:type="spellStart"/>
      <w:r w:rsidRPr="00B1089D">
        <w:t>Rule</w:t>
      </w:r>
      <w:proofErr w:type="spellEnd"/>
      <w:r w:rsidRPr="00B1089D">
        <w:t xml:space="preserve"> of </w:t>
      </w:r>
      <w:proofErr w:type="spellStart"/>
      <w:r w:rsidRPr="00B1089D">
        <w:t>Law</w:t>
      </w:r>
      <w:proofErr w:type="spellEnd"/>
    </w:p>
    <w:p w14:paraId="60824546" w14:textId="77777777" w:rsidR="00FA457D" w:rsidRPr="00B1089D" w:rsidRDefault="00FA457D">
      <w:pPr>
        <w:widowControl/>
        <w:numPr>
          <w:ilvl w:val="0"/>
          <w:numId w:val="5"/>
        </w:numPr>
        <w:jc w:val="both"/>
      </w:pPr>
      <w:r w:rsidRPr="00B1089D">
        <w:t xml:space="preserve">Control of </w:t>
      </w:r>
      <w:proofErr w:type="spellStart"/>
      <w:r w:rsidRPr="00B1089D">
        <w:t>Corruption</w:t>
      </w:r>
      <w:proofErr w:type="spellEnd"/>
    </w:p>
    <w:p w14:paraId="00A87336" w14:textId="2EC9FFBF" w:rsidR="00FA457D" w:rsidRPr="00B1089D" w:rsidRDefault="00FA457D" w:rsidP="00E359E0">
      <w:pPr>
        <w:widowControl/>
        <w:jc w:val="both"/>
      </w:pPr>
      <w:proofErr w:type="spellStart"/>
      <w:r w:rsidRPr="00B1089D">
        <w:t>These</w:t>
      </w:r>
      <w:proofErr w:type="spellEnd"/>
      <w:r w:rsidRPr="00B1089D">
        <w:t xml:space="preserve"> </w:t>
      </w:r>
      <w:proofErr w:type="spellStart"/>
      <w:r w:rsidRPr="00B1089D">
        <w:t>six</w:t>
      </w:r>
      <w:proofErr w:type="spellEnd"/>
      <w:r w:rsidRPr="00B1089D">
        <w:t xml:space="preserve"> </w:t>
      </w:r>
      <w:proofErr w:type="spellStart"/>
      <w:r w:rsidRPr="00B1089D">
        <w:t>governance</w:t>
      </w:r>
      <w:proofErr w:type="spellEnd"/>
      <w:r w:rsidRPr="00B1089D">
        <w:t xml:space="preserve"> </w:t>
      </w:r>
      <w:proofErr w:type="spellStart"/>
      <w:r w:rsidRPr="00B1089D">
        <w:t>characteristics</w:t>
      </w:r>
      <w:proofErr w:type="spellEnd"/>
      <w:r w:rsidRPr="00B1089D">
        <w:t xml:space="preserve"> </w:t>
      </w:r>
      <w:proofErr w:type="spellStart"/>
      <w:r w:rsidRPr="00B1089D">
        <w:t>are</w:t>
      </w:r>
      <w:proofErr w:type="spellEnd"/>
      <w:r w:rsidRPr="00B1089D">
        <w:t xml:space="preserve"> </w:t>
      </w:r>
      <w:proofErr w:type="spellStart"/>
      <w:r w:rsidRPr="00B1089D">
        <w:t>interconnected</w:t>
      </w:r>
      <w:proofErr w:type="spellEnd"/>
      <w:r w:rsidRPr="00B1089D">
        <w:t xml:space="preserve"> </w:t>
      </w:r>
      <w:proofErr w:type="spellStart"/>
      <w:r w:rsidRPr="00B1089D">
        <w:t>and</w:t>
      </w:r>
      <w:proofErr w:type="spellEnd"/>
      <w:r w:rsidRPr="00B1089D">
        <w:t xml:space="preserve"> </w:t>
      </w:r>
      <w:proofErr w:type="spellStart"/>
      <w:r w:rsidRPr="00B1089D">
        <w:t>based</w:t>
      </w:r>
      <w:proofErr w:type="spellEnd"/>
      <w:r w:rsidRPr="00B1089D">
        <w:t xml:space="preserve"> on </w:t>
      </w:r>
      <w:proofErr w:type="spellStart"/>
      <w:r w:rsidRPr="00B1089D">
        <w:t>hundreds</w:t>
      </w:r>
      <w:proofErr w:type="spellEnd"/>
      <w:r w:rsidRPr="00B1089D">
        <w:t xml:space="preserve"> of </w:t>
      </w:r>
      <w:proofErr w:type="spellStart"/>
      <w:r w:rsidRPr="00B1089D">
        <w:t>distinct</w:t>
      </w:r>
      <w:proofErr w:type="spellEnd"/>
      <w:r w:rsidRPr="00B1089D">
        <w:t xml:space="preserve"> </w:t>
      </w:r>
      <w:proofErr w:type="spellStart"/>
      <w:r w:rsidRPr="00B1089D">
        <w:t>variables</w:t>
      </w:r>
      <w:proofErr w:type="spellEnd"/>
      <w:r w:rsidRPr="00B1089D">
        <w:t xml:space="preserve"> </w:t>
      </w:r>
      <w:proofErr w:type="spellStart"/>
      <w:r w:rsidRPr="00B1089D">
        <w:t>from</w:t>
      </w:r>
      <w:proofErr w:type="spellEnd"/>
      <w:r w:rsidRPr="00B1089D">
        <w:t xml:space="preserve"> </w:t>
      </w:r>
      <w:proofErr w:type="spellStart"/>
      <w:r w:rsidRPr="00B1089D">
        <w:t>various</w:t>
      </w:r>
      <w:proofErr w:type="spellEnd"/>
      <w:r w:rsidRPr="00B1089D">
        <w:t xml:space="preserve"> </w:t>
      </w:r>
      <w:proofErr w:type="gramStart"/>
      <w:r w:rsidRPr="00B1089D">
        <w:t>data</w:t>
      </w:r>
      <w:proofErr w:type="gramEnd"/>
      <w:r w:rsidRPr="00B1089D">
        <w:t xml:space="preserve"> </w:t>
      </w:r>
      <w:proofErr w:type="spellStart"/>
      <w:r w:rsidRPr="00B1089D">
        <w:t>sources</w:t>
      </w:r>
      <w:proofErr w:type="spellEnd"/>
      <w:r w:rsidRPr="00B1089D">
        <w:t xml:space="preserve">. </w:t>
      </w:r>
      <w:proofErr w:type="spellStart"/>
      <w:r w:rsidRPr="00B1089D">
        <w:t>The</w:t>
      </w:r>
      <w:proofErr w:type="spellEnd"/>
      <w:r w:rsidRPr="00B1089D">
        <w:t xml:space="preserve"> </w:t>
      </w:r>
      <w:proofErr w:type="gramStart"/>
      <w:r w:rsidRPr="00B1089D">
        <w:t>data</w:t>
      </w:r>
      <w:proofErr w:type="gramEnd"/>
      <w:r w:rsidRPr="00B1089D">
        <w:t xml:space="preserve"> </w:t>
      </w:r>
      <w:proofErr w:type="spellStart"/>
      <w:r w:rsidRPr="00B1089D">
        <w:t>reflect</w:t>
      </w:r>
      <w:proofErr w:type="spellEnd"/>
      <w:r w:rsidRPr="00B1089D">
        <w:t xml:space="preserve"> </w:t>
      </w:r>
      <w:proofErr w:type="spellStart"/>
      <w:r w:rsidRPr="00B1089D">
        <w:t>perspectives</w:t>
      </w:r>
      <w:proofErr w:type="spellEnd"/>
      <w:r w:rsidRPr="00B1089D">
        <w:t xml:space="preserve"> </w:t>
      </w:r>
      <w:proofErr w:type="spellStart"/>
      <w:r w:rsidRPr="00B1089D">
        <w:t>from</w:t>
      </w:r>
      <w:proofErr w:type="spellEnd"/>
      <w:r w:rsidRPr="00B1089D">
        <w:t xml:space="preserve"> </w:t>
      </w:r>
      <w:proofErr w:type="spellStart"/>
      <w:r w:rsidRPr="00B1089D">
        <w:t>survey</w:t>
      </w:r>
      <w:proofErr w:type="spellEnd"/>
      <w:r w:rsidRPr="00B1089D">
        <w:t xml:space="preserve"> </w:t>
      </w:r>
      <w:proofErr w:type="spellStart"/>
      <w:r w:rsidRPr="00B1089D">
        <w:t>respondents</w:t>
      </w:r>
      <w:proofErr w:type="spellEnd"/>
      <w:r w:rsidRPr="00B1089D">
        <w:t xml:space="preserve"> </w:t>
      </w:r>
      <w:proofErr w:type="spellStart"/>
      <w:r w:rsidRPr="00B1089D">
        <w:t>and</w:t>
      </w:r>
      <w:proofErr w:type="spellEnd"/>
      <w:r w:rsidRPr="00B1089D">
        <w:t xml:space="preserve"> </w:t>
      </w:r>
      <w:proofErr w:type="spellStart"/>
      <w:r w:rsidRPr="00B1089D">
        <w:t>experts</w:t>
      </w:r>
      <w:proofErr w:type="spellEnd"/>
      <w:r w:rsidRPr="00B1089D">
        <w:t xml:space="preserve"> in </w:t>
      </w:r>
      <w:proofErr w:type="spellStart"/>
      <w:r w:rsidRPr="00B1089D">
        <w:t>the</w:t>
      </w:r>
      <w:proofErr w:type="spellEnd"/>
      <w:r w:rsidRPr="00B1089D">
        <w:t xml:space="preserve"> </w:t>
      </w:r>
      <w:proofErr w:type="spellStart"/>
      <w:r w:rsidRPr="00B1089D">
        <w:t>public</w:t>
      </w:r>
      <w:proofErr w:type="spellEnd"/>
      <w:r w:rsidRPr="00B1089D">
        <w:t xml:space="preserve">, </w:t>
      </w:r>
      <w:proofErr w:type="spellStart"/>
      <w:r w:rsidRPr="00B1089D">
        <w:t>commercial</w:t>
      </w:r>
      <w:proofErr w:type="spellEnd"/>
      <w:r w:rsidRPr="00B1089D">
        <w:t xml:space="preserve">, </w:t>
      </w:r>
      <w:proofErr w:type="spellStart"/>
      <w:r w:rsidRPr="00B1089D">
        <w:t>and</w:t>
      </w:r>
      <w:proofErr w:type="spellEnd"/>
      <w:r w:rsidRPr="00B1089D">
        <w:t xml:space="preserve"> NGO </w:t>
      </w:r>
      <w:proofErr w:type="spellStart"/>
      <w:r w:rsidRPr="00B1089D">
        <w:t>sectors</w:t>
      </w:r>
      <w:proofErr w:type="spellEnd"/>
      <w:r w:rsidRPr="00B1089D">
        <w:t xml:space="preserve"> </w:t>
      </w:r>
      <w:proofErr w:type="spellStart"/>
      <w:r w:rsidRPr="00B1089D">
        <w:t>globally</w:t>
      </w:r>
      <w:proofErr w:type="spellEnd"/>
      <w:r w:rsidRPr="00B1089D">
        <w:t xml:space="preserve">. </w:t>
      </w:r>
      <w:proofErr w:type="spellStart"/>
      <w:r w:rsidRPr="00B1089D">
        <w:t>Additionally</w:t>
      </w:r>
      <w:proofErr w:type="spellEnd"/>
      <w:r w:rsidRPr="00B1089D">
        <w:t xml:space="preserve">, </w:t>
      </w:r>
      <w:proofErr w:type="spellStart"/>
      <w:r w:rsidRPr="00B1089D">
        <w:t>the</w:t>
      </w:r>
      <w:proofErr w:type="spellEnd"/>
      <w:r w:rsidRPr="00B1089D">
        <w:t xml:space="preserve"> WGI </w:t>
      </w:r>
      <w:proofErr w:type="spellStart"/>
      <w:r w:rsidRPr="00B1089D">
        <w:t>provides</w:t>
      </w:r>
      <w:proofErr w:type="spellEnd"/>
      <w:r w:rsidRPr="00B1089D">
        <w:t xml:space="preserve"> </w:t>
      </w:r>
      <w:proofErr w:type="spellStart"/>
      <w:r w:rsidRPr="00B1089D">
        <w:t>margins</w:t>
      </w:r>
      <w:proofErr w:type="spellEnd"/>
      <w:r w:rsidRPr="00B1089D">
        <w:t xml:space="preserve"> of </w:t>
      </w:r>
      <w:proofErr w:type="spellStart"/>
      <w:r w:rsidRPr="00B1089D">
        <w:t>error</w:t>
      </w:r>
      <w:proofErr w:type="spellEnd"/>
      <w:r w:rsidRPr="00B1089D">
        <w:t xml:space="preserve"> </w:t>
      </w:r>
      <w:proofErr w:type="spellStart"/>
      <w:r w:rsidRPr="00B1089D">
        <w:t>for</w:t>
      </w:r>
      <w:proofErr w:type="spellEnd"/>
      <w:r w:rsidRPr="00B1089D">
        <w:t xml:space="preserve"> </w:t>
      </w:r>
      <w:proofErr w:type="spellStart"/>
      <w:r w:rsidRPr="00B1089D">
        <w:t>each</w:t>
      </w:r>
      <w:proofErr w:type="spellEnd"/>
      <w:r w:rsidRPr="00B1089D">
        <w:t xml:space="preserve"> </w:t>
      </w:r>
      <w:proofErr w:type="spellStart"/>
      <w:r w:rsidRPr="00B1089D">
        <w:t>country's</w:t>
      </w:r>
      <w:proofErr w:type="spellEnd"/>
      <w:r w:rsidRPr="00B1089D">
        <w:t xml:space="preserve"> </w:t>
      </w:r>
      <w:proofErr w:type="spellStart"/>
      <w:r w:rsidRPr="00B1089D">
        <w:t>estimate</w:t>
      </w:r>
      <w:proofErr w:type="spellEnd"/>
      <w:r w:rsidRPr="00B1089D">
        <w:t xml:space="preserve">. </w:t>
      </w:r>
      <w:proofErr w:type="spellStart"/>
      <w:r w:rsidRPr="00B1089D">
        <w:t>Despite</w:t>
      </w:r>
      <w:proofErr w:type="spellEnd"/>
      <w:r w:rsidRPr="00B1089D">
        <w:t xml:space="preserve"> </w:t>
      </w:r>
      <w:proofErr w:type="spellStart"/>
      <w:r w:rsidRPr="00B1089D">
        <w:t>these</w:t>
      </w:r>
      <w:proofErr w:type="spellEnd"/>
      <w:r w:rsidRPr="00B1089D">
        <w:t xml:space="preserve"> </w:t>
      </w:r>
      <w:proofErr w:type="spellStart"/>
      <w:r w:rsidRPr="00B1089D">
        <w:t>uncertainties</w:t>
      </w:r>
      <w:proofErr w:type="spellEnd"/>
      <w:r w:rsidRPr="00B1089D">
        <w:t xml:space="preserve">, </w:t>
      </w:r>
      <w:proofErr w:type="spellStart"/>
      <w:r w:rsidRPr="00B1089D">
        <w:t>the</w:t>
      </w:r>
      <w:proofErr w:type="spellEnd"/>
      <w:r w:rsidRPr="00B1089D">
        <w:t xml:space="preserve"> WGI </w:t>
      </w:r>
      <w:proofErr w:type="spellStart"/>
      <w:r w:rsidRPr="00B1089D">
        <w:t>facilitates</w:t>
      </w:r>
      <w:proofErr w:type="spellEnd"/>
      <w:r w:rsidRPr="00B1089D">
        <w:t xml:space="preserve"> </w:t>
      </w:r>
      <w:proofErr w:type="spellStart"/>
      <w:r w:rsidRPr="00B1089D">
        <w:t>meaningful</w:t>
      </w:r>
      <w:proofErr w:type="spellEnd"/>
      <w:r w:rsidRPr="00B1089D">
        <w:t xml:space="preserve"> </w:t>
      </w:r>
      <w:proofErr w:type="spellStart"/>
      <w:r w:rsidRPr="00B1089D">
        <w:t>cross-country</w:t>
      </w:r>
      <w:proofErr w:type="spellEnd"/>
      <w:r w:rsidRPr="00B1089D">
        <w:t xml:space="preserve"> </w:t>
      </w:r>
      <w:proofErr w:type="spellStart"/>
      <w:r w:rsidRPr="00B1089D">
        <w:t>and</w:t>
      </w:r>
      <w:proofErr w:type="spellEnd"/>
      <w:r w:rsidRPr="00B1089D">
        <w:t xml:space="preserve"> time </w:t>
      </w:r>
      <w:proofErr w:type="spellStart"/>
      <w:r w:rsidRPr="00B1089D">
        <w:t>comparisons</w:t>
      </w:r>
      <w:proofErr w:type="spellEnd"/>
      <w:r w:rsidRPr="00B1089D">
        <w:t xml:space="preserve"> (Kaufmann et al. 2010: 1).</w:t>
      </w:r>
    </w:p>
    <w:p w14:paraId="59589DDB" w14:textId="77777777" w:rsidR="00FA457D" w:rsidRPr="00D10870" w:rsidRDefault="00FA457D" w:rsidP="00E359E0">
      <w:pPr>
        <w:widowControl/>
        <w:jc w:val="both"/>
      </w:pPr>
      <w:proofErr w:type="spellStart"/>
      <w:r w:rsidRPr="00B1089D">
        <w:t>The</w:t>
      </w:r>
      <w:proofErr w:type="spellEnd"/>
      <w:r w:rsidRPr="00B1089D">
        <w:t xml:space="preserve"> model </w:t>
      </w:r>
      <w:proofErr w:type="spellStart"/>
      <w:r w:rsidRPr="00B1089D">
        <w:t>employs</w:t>
      </w:r>
      <w:proofErr w:type="spellEnd"/>
      <w:r w:rsidRPr="00B1089D">
        <w:t xml:space="preserve"> </w:t>
      </w:r>
      <w:proofErr w:type="spellStart"/>
      <w:r w:rsidRPr="00B1089D">
        <w:t>capital</w:t>
      </w:r>
      <w:proofErr w:type="spellEnd"/>
      <w:r w:rsidRPr="00B1089D">
        <w:t xml:space="preserve"> </w:t>
      </w:r>
      <w:proofErr w:type="spellStart"/>
      <w:r w:rsidRPr="00B1089D">
        <w:t>and</w:t>
      </w:r>
      <w:proofErr w:type="spellEnd"/>
      <w:r w:rsidRPr="00B1089D">
        <w:t xml:space="preserve"> </w:t>
      </w:r>
      <w:proofErr w:type="spellStart"/>
      <w:r w:rsidRPr="00B1089D">
        <w:t>labour</w:t>
      </w:r>
      <w:proofErr w:type="spellEnd"/>
      <w:r w:rsidRPr="00B1089D">
        <w:t xml:space="preserve"> </w:t>
      </w:r>
      <w:proofErr w:type="spellStart"/>
      <w:r w:rsidRPr="00B1089D">
        <w:t>variables</w:t>
      </w:r>
      <w:proofErr w:type="spellEnd"/>
      <w:r w:rsidRPr="00B1089D">
        <w:t xml:space="preserve"> as </w:t>
      </w:r>
      <w:proofErr w:type="spellStart"/>
      <w:r w:rsidRPr="00B1089D">
        <w:t>control</w:t>
      </w:r>
      <w:proofErr w:type="spellEnd"/>
      <w:r w:rsidRPr="00B1089D">
        <w:t xml:space="preserve"> </w:t>
      </w:r>
      <w:proofErr w:type="spellStart"/>
      <w:r w:rsidRPr="00B1089D">
        <w:t>variables</w:t>
      </w:r>
      <w:proofErr w:type="spellEnd"/>
      <w:r w:rsidRPr="00B1089D">
        <w:t xml:space="preserve"> </w:t>
      </w:r>
      <w:proofErr w:type="spellStart"/>
      <w:r w:rsidRPr="00B1089D">
        <w:t>to</w:t>
      </w:r>
      <w:proofErr w:type="spellEnd"/>
      <w:r w:rsidRPr="00B1089D">
        <w:t xml:space="preserve"> </w:t>
      </w:r>
      <w:proofErr w:type="spellStart"/>
      <w:r w:rsidRPr="00B1089D">
        <w:t>understand</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WGI </w:t>
      </w:r>
      <w:proofErr w:type="spellStart"/>
      <w:r w:rsidRPr="00B1089D">
        <w:t>and</w:t>
      </w:r>
      <w:proofErr w:type="spellEnd"/>
      <w:r w:rsidRPr="00B1089D">
        <w:t xml:space="preserve"> GDP. </w:t>
      </w:r>
      <w:proofErr w:type="spellStart"/>
      <w:r w:rsidRPr="00B1089D">
        <w:t>By</w:t>
      </w:r>
      <w:proofErr w:type="spellEnd"/>
      <w:r w:rsidRPr="00B1089D">
        <w:t xml:space="preserve"> </w:t>
      </w:r>
      <w:proofErr w:type="spellStart"/>
      <w:r w:rsidRPr="00B1089D">
        <w:t>including</w:t>
      </w:r>
      <w:proofErr w:type="spellEnd"/>
      <w:r w:rsidRPr="00B1089D">
        <w:t xml:space="preserve"> </w:t>
      </w:r>
      <w:proofErr w:type="spellStart"/>
      <w:r w:rsidRPr="00B1089D">
        <w:t>capital</w:t>
      </w:r>
      <w:proofErr w:type="spellEnd"/>
      <w:r w:rsidRPr="00B1089D">
        <w:t xml:space="preserve"> </w:t>
      </w:r>
      <w:proofErr w:type="spellStart"/>
      <w:r w:rsidRPr="00B1089D">
        <w:t>and</w:t>
      </w:r>
      <w:proofErr w:type="spellEnd"/>
      <w:r w:rsidRPr="00B1089D">
        <w:t xml:space="preserve"> </w:t>
      </w:r>
      <w:proofErr w:type="spellStart"/>
      <w:r w:rsidRPr="00B1089D">
        <w:t>labour</w:t>
      </w:r>
      <w:proofErr w:type="spellEnd"/>
      <w:r w:rsidRPr="00B1089D">
        <w:t xml:space="preserve"> as </w:t>
      </w:r>
      <w:proofErr w:type="spellStart"/>
      <w:r w:rsidRPr="00B1089D">
        <w:t>controls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isolate</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governance</w:t>
      </w:r>
      <w:proofErr w:type="spellEnd"/>
      <w:r w:rsidRPr="00B1089D">
        <w:t xml:space="preserve"> </w:t>
      </w:r>
      <w:proofErr w:type="spellStart"/>
      <w:r w:rsidRPr="00B1089D">
        <w:t>quality</w:t>
      </w:r>
      <w:proofErr w:type="spellEnd"/>
      <w:r w:rsidRPr="00B1089D">
        <w:t xml:space="preserve"> on GDP. </w:t>
      </w:r>
      <w:proofErr w:type="spellStart"/>
      <w:r w:rsidRPr="00B1089D">
        <w:t>This</w:t>
      </w:r>
      <w:proofErr w:type="spellEnd"/>
      <w:r w:rsidRPr="00B1089D">
        <w:t xml:space="preserve"> </w:t>
      </w:r>
      <w:proofErr w:type="spellStart"/>
      <w:r w:rsidRPr="00B1089D">
        <w:t>approach</w:t>
      </w:r>
      <w:proofErr w:type="spellEnd"/>
      <w:r w:rsidRPr="00B1089D">
        <w:t xml:space="preserve"> </w:t>
      </w:r>
      <w:proofErr w:type="spellStart"/>
      <w:r w:rsidRPr="00B1089D">
        <w:t>enhances</w:t>
      </w:r>
      <w:proofErr w:type="spellEnd"/>
      <w:r w:rsidRPr="00B1089D">
        <w:t xml:space="preserve"> </w:t>
      </w:r>
      <w:proofErr w:type="spellStart"/>
      <w:r w:rsidRPr="00B1089D">
        <w:t>the</w:t>
      </w:r>
      <w:proofErr w:type="spellEnd"/>
      <w:r w:rsidRPr="00B1089D">
        <w:t xml:space="preserve"> </w:t>
      </w:r>
      <w:proofErr w:type="spellStart"/>
      <w:r w:rsidRPr="00B1089D">
        <w:t>precision</w:t>
      </w:r>
      <w:proofErr w:type="spellEnd"/>
      <w:r w:rsidRPr="00B1089D">
        <w:t xml:space="preserve"> of </w:t>
      </w:r>
      <w:proofErr w:type="spellStart"/>
      <w:r w:rsidRPr="00B1089D">
        <w:t>analysis</w:t>
      </w:r>
      <w:proofErr w:type="spellEnd"/>
      <w:r w:rsidRPr="00B1089D">
        <w:t>.</w:t>
      </w:r>
    </w:p>
    <w:p w14:paraId="37ACC017" w14:textId="77777777" w:rsidR="00FA457D" w:rsidRPr="00B1089D" w:rsidRDefault="00FA457D" w:rsidP="00E359E0">
      <w:pPr>
        <w:widowControl/>
        <w:jc w:val="both"/>
      </w:pPr>
    </w:p>
    <w:p w14:paraId="7951F603" w14:textId="16651E07" w:rsidR="00FA457D" w:rsidRPr="00D10870" w:rsidRDefault="00FA457D" w:rsidP="00E359E0">
      <w:pPr>
        <w:widowControl/>
        <w:jc w:val="both"/>
      </w:pPr>
      <w:proofErr w:type="spellStart"/>
      <w:r w:rsidRPr="00B1089D">
        <w:t>Year</w:t>
      </w:r>
      <w:proofErr w:type="spellEnd"/>
      <w:r w:rsidRPr="00B1089D">
        <w:t xml:space="preserve"> </w:t>
      </w:r>
      <w:proofErr w:type="spellStart"/>
      <w:r w:rsidRPr="00B1089D">
        <w:t>dummy</w:t>
      </w:r>
      <w:proofErr w:type="spellEnd"/>
      <w:r w:rsidRPr="00B1089D">
        <w:t xml:space="preserve"> </w:t>
      </w:r>
      <w:proofErr w:type="spellStart"/>
      <w:r w:rsidRPr="00B1089D">
        <w:t>variables</w:t>
      </w:r>
      <w:proofErr w:type="spellEnd"/>
      <w:r w:rsidRPr="00B1089D">
        <w:t xml:space="preserve"> </w:t>
      </w:r>
      <w:proofErr w:type="spellStart"/>
      <w:r w:rsidRPr="00B1089D">
        <w:t>are</w:t>
      </w:r>
      <w:proofErr w:type="spellEnd"/>
      <w:r w:rsidRPr="00B1089D">
        <w:t xml:space="preserve"> </w:t>
      </w:r>
      <w:proofErr w:type="spellStart"/>
      <w:r w:rsidRPr="00B1089D">
        <w:t>introduced</w:t>
      </w:r>
      <w:proofErr w:type="spellEnd"/>
      <w:r w:rsidRPr="00B1089D">
        <w:t xml:space="preserve"> </w:t>
      </w:r>
      <w:proofErr w:type="spellStart"/>
      <w:r w:rsidRPr="00B1089D">
        <w:t>to</w:t>
      </w:r>
      <w:proofErr w:type="spellEnd"/>
      <w:r w:rsidRPr="00B1089D">
        <w:t xml:space="preserve"> </w:t>
      </w:r>
      <w:proofErr w:type="spellStart"/>
      <w:r w:rsidRPr="00B1089D">
        <w:t>account</w:t>
      </w:r>
      <w:proofErr w:type="spellEnd"/>
      <w:r w:rsidRPr="00B1089D">
        <w:t xml:space="preserve"> </w:t>
      </w:r>
      <w:proofErr w:type="spellStart"/>
      <w:r w:rsidRPr="00B1089D">
        <w:t>for</w:t>
      </w:r>
      <w:proofErr w:type="spellEnd"/>
      <w:r w:rsidRPr="00B1089D">
        <w:t xml:space="preserve"> </w:t>
      </w:r>
      <w:proofErr w:type="spellStart"/>
      <w:r w:rsidRPr="00B1089D">
        <w:t>potential</w:t>
      </w:r>
      <w:proofErr w:type="spellEnd"/>
      <w:r w:rsidRPr="00B1089D">
        <w:t xml:space="preserve"> time-</w:t>
      </w:r>
      <w:proofErr w:type="spellStart"/>
      <w:r w:rsidRPr="00B1089D">
        <w:t>specific</w:t>
      </w:r>
      <w:proofErr w:type="spellEnd"/>
      <w:r w:rsidRPr="00B1089D">
        <w:t xml:space="preserve"> </w:t>
      </w:r>
      <w:proofErr w:type="spellStart"/>
      <w:r w:rsidRPr="00B1089D">
        <w:t>effects</w:t>
      </w:r>
      <w:proofErr w:type="spellEnd"/>
      <w:r w:rsidRPr="00B1089D">
        <w:t xml:space="preserve"> </w:t>
      </w:r>
      <w:proofErr w:type="spellStart"/>
      <w:r w:rsidRPr="00B1089D">
        <w:t>that</w:t>
      </w:r>
      <w:proofErr w:type="spellEnd"/>
      <w:r w:rsidRPr="00B1089D">
        <w:t xml:space="preserve"> </w:t>
      </w:r>
      <w:proofErr w:type="spellStart"/>
      <w:r w:rsidRPr="00B1089D">
        <w:t>may</w:t>
      </w:r>
      <w:proofErr w:type="spellEnd"/>
      <w:r w:rsidRPr="00B1089D">
        <w:t xml:space="preserve"> </w:t>
      </w:r>
      <w:proofErr w:type="spellStart"/>
      <w:r w:rsidRPr="00B1089D">
        <w:t>influence</w:t>
      </w:r>
      <w:proofErr w:type="spellEnd"/>
      <w:r w:rsidRPr="00B1089D">
        <w:t xml:space="preserve">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variable</w:t>
      </w:r>
      <w:proofErr w:type="spellEnd"/>
      <w:r w:rsidRPr="00B1089D">
        <w:t xml:space="preserve"> (GDP). A </w:t>
      </w:r>
      <w:proofErr w:type="spellStart"/>
      <w:r w:rsidRPr="00B1089D">
        <w:t>separate</w:t>
      </w:r>
      <w:proofErr w:type="spellEnd"/>
      <w:r w:rsidRPr="00B1089D">
        <w:t xml:space="preserve"> </w:t>
      </w:r>
      <w:proofErr w:type="spellStart"/>
      <w:r w:rsidRPr="00B1089D">
        <w:t>dummy</w:t>
      </w:r>
      <w:proofErr w:type="spellEnd"/>
      <w:r w:rsidRPr="00B1089D">
        <w:t xml:space="preserve"> </w:t>
      </w:r>
      <w:proofErr w:type="spellStart"/>
      <w:r w:rsidRPr="00B1089D">
        <w:t>variable</w:t>
      </w:r>
      <w:proofErr w:type="spellEnd"/>
      <w:r w:rsidRPr="00B1089D">
        <w:t xml:space="preserve"> </w:t>
      </w:r>
      <w:proofErr w:type="spellStart"/>
      <w:r w:rsidRPr="00B1089D">
        <w:t>represents</w:t>
      </w:r>
      <w:proofErr w:type="spellEnd"/>
      <w:r w:rsidRPr="00B1089D">
        <w:t xml:space="preserve"> </w:t>
      </w:r>
      <w:proofErr w:type="spellStart"/>
      <w:r w:rsidRPr="00B1089D">
        <w:t>each</w:t>
      </w:r>
      <w:proofErr w:type="spellEnd"/>
      <w:r w:rsidRPr="00B1089D">
        <w:t xml:space="preserve"> </w:t>
      </w:r>
      <w:proofErr w:type="spellStart"/>
      <w:r w:rsidRPr="00B1089D">
        <w:t>year</w:t>
      </w:r>
      <w:proofErr w:type="spellEnd"/>
      <w:r w:rsidRPr="00B1089D">
        <w:t xml:space="preserve"> in </w:t>
      </w:r>
      <w:proofErr w:type="spellStart"/>
      <w:r w:rsidRPr="00B1089D">
        <w:t>the</w:t>
      </w:r>
      <w:proofErr w:type="spellEnd"/>
      <w:r w:rsidRPr="00B1089D">
        <w:t xml:space="preserve"> </w:t>
      </w:r>
      <w:proofErr w:type="spellStart"/>
      <w:r w:rsidRPr="00B1089D">
        <w:t>dataset</w:t>
      </w:r>
      <w:proofErr w:type="spellEnd"/>
      <w:r w:rsidRPr="00B1089D">
        <w:t xml:space="preserve">. A </w:t>
      </w:r>
      <w:proofErr w:type="spellStart"/>
      <w:r w:rsidRPr="00B1089D">
        <w:t>positive</w:t>
      </w:r>
      <w:proofErr w:type="spellEnd"/>
      <w:r w:rsidRPr="00B1089D">
        <w:t xml:space="preserve"> </w:t>
      </w:r>
      <w:proofErr w:type="spellStart"/>
      <w:r w:rsidRPr="00B1089D">
        <w:t>or</w:t>
      </w:r>
      <w:proofErr w:type="spellEnd"/>
      <w:r w:rsidRPr="00B1089D">
        <w:t xml:space="preserve"> </w:t>
      </w:r>
      <w:proofErr w:type="spellStart"/>
      <w:r w:rsidRPr="00B1089D">
        <w:t>negative</w:t>
      </w:r>
      <w:proofErr w:type="spellEnd"/>
      <w:r w:rsidRPr="00B1089D">
        <w:t xml:space="preserve"> </w:t>
      </w:r>
      <w:proofErr w:type="spellStart"/>
      <w:r w:rsidRPr="00B1089D">
        <w:t>coefficient</w:t>
      </w:r>
      <w:proofErr w:type="spellEnd"/>
      <w:r w:rsidRPr="00B1089D">
        <w:t xml:space="preserve"> </w:t>
      </w:r>
      <w:proofErr w:type="spellStart"/>
      <w:r w:rsidRPr="00B1089D">
        <w:t>for</w:t>
      </w:r>
      <w:proofErr w:type="spellEnd"/>
      <w:r w:rsidRPr="00B1089D">
        <w:t xml:space="preserve"> </w:t>
      </w:r>
      <w:proofErr w:type="spellStart"/>
      <w:r w:rsidRPr="00B1089D">
        <w:t>these</w:t>
      </w:r>
      <w:proofErr w:type="spellEnd"/>
      <w:r w:rsidRPr="00B1089D">
        <w:t xml:space="preserve"> </w:t>
      </w:r>
      <w:proofErr w:type="spellStart"/>
      <w:r w:rsidRPr="00B1089D">
        <w:t>dummy</w:t>
      </w:r>
      <w:proofErr w:type="spellEnd"/>
      <w:r w:rsidRPr="00B1089D">
        <w:t xml:space="preserve"> </w:t>
      </w:r>
      <w:proofErr w:type="spellStart"/>
      <w:r w:rsidRPr="00B1089D">
        <w:t>variables</w:t>
      </w:r>
      <w:proofErr w:type="spellEnd"/>
      <w:r w:rsidRPr="00B1089D">
        <w:t xml:space="preserve"> </w:t>
      </w:r>
      <w:proofErr w:type="spellStart"/>
      <w:r w:rsidRPr="00B1089D">
        <w:t>indicates</w:t>
      </w:r>
      <w:proofErr w:type="spellEnd"/>
      <w:r w:rsidRPr="00B1089D">
        <w:t xml:space="preserve"> how </w:t>
      </w:r>
      <w:proofErr w:type="spellStart"/>
      <w:r w:rsidRPr="00B1089D">
        <w:t>the</w:t>
      </w:r>
      <w:proofErr w:type="spellEnd"/>
      <w:r w:rsidRPr="00B1089D">
        <w:t xml:space="preserve"> </w:t>
      </w:r>
      <w:proofErr w:type="spellStart"/>
      <w:r w:rsidRPr="00B1089D">
        <w:t>respective</w:t>
      </w:r>
      <w:proofErr w:type="spellEnd"/>
      <w:r w:rsidRPr="00B1089D">
        <w:t xml:space="preserve"> </w:t>
      </w:r>
      <w:proofErr w:type="spellStart"/>
      <w:r w:rsidRPr="00B1089D">
        <w:t>year</w:t>
      </w:r>
      <w:proofErr w:type="spellEnd"/>
      <w:r w:rsidRPr="00B1089D">
        <w:t xml:space="preserve"> </w:t>
      </w:r>
      <w:proofErr w:type="spellStart"/>
      <w:r w:rsidRPr="00B1089D">
        <w:t>impacts</w:t>
      </w:r>
      <w:proofErr w:type="spellEnd"/>
      <w:r w:rsidRPr="00B1089D">
        <w:t xml:space="preserve"> GDP </w:t>
      </w:r>
      <w:proofErr w:type="spellStart"/>
      <w:r w:rsidRPr="00B1089D">
        <w:t>relative</w:t>
      </w:r>
      <w:proofErr w:type="spellEnd"/>
      <w:r w:rsidRPr="00B1089D">
        <w:t xml:space="preserve"> </w:t>
      </w:r>
      <w:proofErr w:type="spellStart"/>
      <w:r w:rsidRPr="00B1089D">
        <w:t>to</w:t>
      </w:r>
      <w:proofErr w:type="spellEnd"/>
      <w:r w:rsidRPr="00B1089D">
        <w:t xml:space="preserve"> a reference </w:t>
      </w:r>
      <w:proofErr w:type="spellStart"/>
      <w:proofErr w:type="gramStart"/>
      <w:r w:rsidRPr="00B1089D">
        <w:t>year.The</w:t>
      </w:r>
      <w:proofErr w:type="spellEnd"/>
      <w:proofErr w:type="gramEnd"/>
      <w:r w:rsidRPr="00B1089D">
        <w:t xml:space="preserve"> 2008 Financial </w:t>
      </w:r>
      <w:proofErr w:type="spellStart"/>
      <w:r w:rsidRPr="00B1089D">
        <w:t>Crisis</w:t>
      </w:r>
      <w:proofErr w:type="spellEnd"/>
      <w:r w:rsidRPr="00B1089D">
        <w:t xml:space="preserve"> </w:t>
      </w:r>
      <w:proofErr w:type="spellStart"/>
      <w:r w:rsidRPr="00B1089D">
        <w:t>dummy</w:t>
      </w:r>
      <w:proofErr w:type="spellEnd"/>
      <w:r w:rsidRPr="00B1089D">
        <w:t xml:space="preserve"> </w:t>
      </w:r>
      <w:proofErr w:type="spellStart"/>
      <w:r w:rsidRPr="00B1089D">
        <w:t>variable</w:t>
      </w:r>
      <w:proofErr w:type="spellEnd"/>
      <w:r w:rsidRPr="00B1089D">
        <w:t xml:space="preserve"> is a </w:t>
      </w:r>
      <w:proofErr w:type="spellStart"/>
      <w:r w:rsidRPr="00B1089D">
        <w:t>binary</w:t>
      </w:r>
      <w:proofErr w:type="spellEnd"/>
      <w:r w:rsidRPr="00B1089D">
        <w:t xml:space="preserve"> </w:t>
      </w:r>
      <w:proofErr w:type="spellStart"/>
      <w:r w:rsidRPr="00B1089D">
        <w:t>variable</w:t>
      </w:r>
      <w:proofErr w:type="spellEnd"/>
      <w:r w:rsidRPr="00B1089D">
        <w:t xml:space="preserve"> </w:t>
      </w:r>
      <w:proofErr w:type="spellStart"/>
      <w:r w:rsidRPr="00B1089D">
        <w:t>designed</w:t>
      </w:r>
      <w:proofErr w:type="spellEnd"/>
      <w:r w:rsidRPr="00B1089D">
        <w:t xml:space="preserve"> </w:t>
      </w:r>
      <w:proofErr w:type="spellStart"/>
      <w:r w:rsidRPr="00B1089D">
        <w:t>to</w:t>
      </w:r>
      <w:proofErr w:type="spellEnd"/>
      <w:r w:rsidRPr="00B1089D">
        <w:t xml:space="preserve"> </w:t>
      </w:r>
      <w:proofErr w:type="spellStart"/>
      <w:r w:rsidRPr="00B1089D">
        <w:t>assess</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the</w:t>
      </w:r>
      <w:proofErr w:type="spellEnd"/>
      <w:r w:rsidRPr="00B1089D">
        <w:t xml:space="preserve"> global </w:t>
      </w:r>
      <w:proofErr w:type="spellStart"/>
      <w:r w:rsidRPr="00B1089D">
        <w:t>financial</w:t>
      </w:r>
      <w:proofErr w:type="spellEnd"/>
      <w:r w:rsidRPr="00B1089D">
        <w:t xml:space="preserve"> </w:t>
      </w:r>
      <w:proofErr w:type="spellStart"/>
      <w:r w:rsidRPr="00B1089D">
        <w:t>crisis</w:t>
      </w:r>
      <w:proofErr w:type="spellEnd"/>
      <w:r w:rsidRPr="00B1089D">
        <w:t xml:space="preserve"> on GDP. </w:t>
      </w:r>
      <w:proofErr w:type="spellStart"/>
      <w:r w:rsidRPr="00B1089D">
        <w:t>This</w:t>
      </w:r>
      <w:proofErr w:type="spellEnd"/>
      <w:r w:rsidRPr="00B1089D">
        <w:t xml:space="preserve"> </w:t>
      </w:r>
      <w:proofErr w:type="spellStart"/>
      <w:r w:rsidRPr="00B1089D">
        <w:t>representation</w:t>
      </w:r>
      <w:proofErr w:type="spellEnd"/>
      <w:r w:rsidRPr="00B1089D">
        <w:t xml:space="preserve"> </w:t>
      </w:r>
      <w:proofErr w:type="spellStart"/>
      <w:r w:rsidRPr="00B1089D">
        <w:t>takes</w:t>
      </w:r>
      <w:proofErr w:type="spellEnd"/>
      <w:r w:rsidRPr="00B1089D">
        <w:t xml:space="preserve"> </w:t>
      </w:r>
      <w:proofErr w:type="spellStart"/>
      <w:r w:rsidRPr="00B1089D">
        <w:t>the</w:t>
      </w:r>
      <w:proofErr w:type="spellEnd"/>
      <w:r w:rsidRPr="00B1089D">
        <w:t xml:space="preserve"> </w:t>
      </w:r>
      <w:proofErr w:type="spellStart"/>
      <w:r w:rsidRPr="00B1089D">
        <w:t>value</w:t>
      </w:r>
      <w:proofErr w:type="spellEnd"/>
      <w:r w:rsidRPr="00B1089D">
        <w:t xml:space="preserve"> of 1 </w:t>
      </w:r>
      <w:proofErr w:type="spellStart"/>
      <w:r w:rsidRPr="00B1089D">
        <w:t>for</w:t>
      </w:r>
      <w:proofErr w:type="spellEnd"/>
      <w:r w:rsidRPr="00B1089D">
        <w:t xml:space="preserve"> </w:t>
      </w:r>
      <w:proofErr w:type="spellStart"/>
      <w:r w:rsidRPr="00B1089D">
        <w:t>observations</w:t>
      </w:r>
      <w:proofErr w:type="spellEnd"/>
      <w:r w:rsidRPr="00B1089D">
        <w:t xml:space="preserve"> </w:t>
      </w:r>
      <w:proofErr w:type="spellStart"/>
      <w:r w:rsidRPr="00B1089D">
        <w:t>corresponding</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years</w:t>
      </w:r>
      <w:proofErr w:type="spellEnd"/>
      <w:r w:rsidRPr="00B1089D">
        <w:t xml:space="preserve"> </w:t>
      </w:r>
      <w:proofErr w:type="spellStart"/>
      <w:r w:rsidRPr="00B1089D">
        <w:t>during</w:t>
      </w:r>
      <w:proofErr w:type="spellEnd"/>
      <w:r w:rsidRPr="00B1089D">
        <w:t xml:space="preserve"> </w:t>
      </w:r>
      <w:proofErr w:type="spellStart"/>
      <w:r w:rsidRPr="00B1089D">
        <w:t>and</w:t>
      </w:r>
      <w:proofErr w:type="spellEnd"/>
      <w:r w:rsidRPr="00B1089D">
        <w:t xml:space="preserve"> </w:t>
      </w:r>
      <w:proofErr w:type="spellStart"/>
      <w:r w:rsidRPr="00B1089D">
        <w:t>after</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crisis</w:t>
      </w:r>
      <w:proofErr w:type="spellEnd"/>
      <w:r w:rsidRPr="00B1089D">
        <w:t xml:space="preserve"> (post-2008), </w:t>
      </w:r>
      <w:proofErr w:type="spellStart"/>
      <w:r w:rsidRPr="00B1089D">
        <w:t>while</w:t>
      </w:r>
      <w:proofErr w:type="spellEnd"/>
      <w:r w:rsidRPr="00B1089D">
        <w:t xml:space="preserve"> </w:t>
      </w:r>
      <w:proofErr w:type="spellStart"/>
      <w:r w:rsidRPr="00B1089D">
        <w:t>years</w:t>
      </w:r>
      <w:proofErr w:type="spellEnd"/>
      <w:r w:rsidRPr="00B1089D">
        <w:t xml:space="preserve"> </w:t>
      </w:r>
      <w:proofErr w:type="spellStart"/>
      <w:r w:rsidRPr="00B1089D">
        <w:t>before</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crisis</w:t>
      </w:r>
      <w:proofErr w:type="spellEnd"/>
      <w:r w:rsidRPr="00B1089D">
        <w:t xml:space="preserve"> </w:t>
      </w:r>
      <w:proofErr w:type="spellStart"/>
      <w:r w:rsidRPr="00B1089D">
        <w:t>are</w:t>
      </w:r>
      <w:proofErr w:type="spellEnd"/>
      <w:r w:rsidRPr="00B1089D">
        <w:t xml:space="preserve"> </w:t>
      </w:r>
      <w:proofErr w:type="spellStart"/>
      <w:r w:rsidRPr="00B1089D">
        <w:t>coded</w:t>
      </w:r>
      <w:proofErr w:type="spellEnd"/>
      <w:r w:rsidRPr="00B1089D">
        <w:t xml:space="preserve"> as 0. </w:t>
      </w:r>
      <w:proofErr w:type="spellStart"/>
      <w:r w:rsidRPr="00B1089D">
        <w:t>This</w:t>
      </w:r>
      <w:proofErr w:type="spellEnd"/>
      <w:r w:rsidRPr="00B1089D">
        <w:t xml:space="preserve"> </w:t>
      </w:r>
      <w:proofErr w:type="spellStart"/>
      <w:r w:rsidRPr="00B1089D">
        <w:t>binary</w:t>
      </w:r>
      <w:proofErr w:type="spellEnd"/>
      <w:r w:rsidRPr="00B1089D">
        <w:t xml:space="preserve"> </w:t>
      </w:r>
      <w:proofErr w:type="spellStart"/>
      <w:r w:rsidRPr="00B1089D">
        <w:t>coding</w:t>
      </w:r>
      <w:proofErr w:type="spellEnd"/>
      <w:r w:rsidRPr="00B1089D">
        <w:t xml:space="preserve"> </w:t>
      </w:r>
      <w:proofErr w:type="spellStart"/>
      <w:r w:rsidRPr="00B1089D">
        <w:t>allows</w:t>
      </w:r>
      <w:proofErr w:type="spellEnd"/>
      <w:r w:rsidRPr="00B1089D">
        <w:t xml:space="preserve"> </w:t>
      </w:r>
      <w:proofErr w:type="spellStart"/>
      <w:r w:rsidRPr="00B1089D">
        <w:t>the</w:t>
      </w:r>
      <w:proofErr w:type="spellEnd"/>
      <w:r w:rsidRPr="00B1089D">
        <w:t xml:space="preserve"> model </w:t>
      </w:r>
      <w:proofErr w:type="spellStart"/>
      <w:r w:rsidRPr="00B1089D">
        <w:t>to</w:t>
      </w:r>
      <w:proofErr w:type="spellEnd"/>
      <w:r w:rsidRPr="00B1089D">
        <w:t xml:space="preserve"> </w:t>
      </w:r>
      <w:proofErr w:type="spellStart"/>
      <w:r w:rsidRPr="00B1089D">
        <w:t>distinguish</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crisis</w:t>
      </w:r>
      <w:proofErr w:type="spellEnd"/>
      <w:r w:rsidRPr="00B1089D">
        <w:t xml:space="preserve"> </w:t>
      </w:r>
      <w:proofErr w:type="spellStart"/>
      <w:r w:rsidRPr="00B1089D">
        <w:t>period</w:t>
      </w:r>
      <w:proofErr w:type="spellEnd"/>
      <w:r w:rsidRPr="00B1089D">
        <w:t xml:space="preserve"> </w:t>
      </w:r>
      <w:proofErr w:type="spellStart"/>
      <w:r w:rsidRPr="00B1089D">
        <w:t>and</w:t>
      </w:r>
      <w:proofErr w:type="spellEnd"/>
      <w:r w:rsidRPr="00B1089D">
        <w:t xml:space="preserve"> </w:t>
      </w:r>
      <w:proofErr w:type="spellStart"/>
      <w:r w:rsidRPr="00B1089D">
        <w:t>evaluate</w:t>
      </w:r>
      <w:proofErr w:type="spellEnd"/>
      <w:r w:rsidRPr="00B1089D">
        <w:t xml:space="preserve"> </w:t>
      </w:r>
      <w:proofErr w:type="spellStart"/>
      <w:r w:rsidRPr="00B1089D">
        <w:t>its</w:t>
      </w:r>
      <w:proofErr w:type="spellEnd"/>
      <w:r w:rsidRPr="00B1089D">
        <w:t xml:space="preserve"> </w:t>
      </w:r>
      <w:proofErr w:type="spellStart"/>
      <w:r w:rsidRPr="00B1089D">
        <w:t>specific</w:t>
      </w:r>
      <w:proofErr w:type="spellEnd"/>
      <w:r w:rsidRPr="00B1089D">
        <w:t xml:space="preserve"> </w:t>
      </w:r>
      <w:proofErr w:type="spellStart"/>
      <w:r w:rsidRPr="00B1089D">
        <w:t>influence</w:t>
      </w:r>
      <w:proofErr w:type="spellEnd"/>
      <w:r w:rsidRPr="00B1089D">
        <w:t xml:space="preserve"> on GDP </w:t>
      </w:r>
      <w:proofErr w:type="spellStart"/>
      <w:r w:rsidRPr="00B1089D">
        <w:t>compared</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years</w:t>
      </w:r>
      <w:proofErr w:type="spellEnd"/>
      <w:r w:rsidRPr="00B1089D">
        <w:t xml:space="preserve"> </w:t>
      </w:r>
      <w:proofErr w:type="spellStart"/>
      <w:r w:rsidRPr="00B1089D">
        <w:t>preceding</w:t>
      </w:r>
      <w:proofErr w:type="spellEnd"/>
      <w:r w:rsidRPr="00B1089D">
        <w:t xml:space="preserve"> it. </w:t>
      </w:r>
      <w:proofErr w:type="spellStart"/>
      <w:r w:rsidRPr="00B1089D">
        <w:t>The</w:t>
      </w:r>
      <w:proofErr w:type="spellEnd"/>
      <w:r w:rsidRPr="00B1089D">
        <w:t xml:space="preserve"> </w:t>
      </w:r>
      <w:proofErr w:type="spellStart"/>
      <w:r w:rsidRPr="00B1089D">
        <w:t>study's</w:t>
      </w:r>
      <w:proofErr w:type="spellEnd"/>
      <w:r w:rsidRPr="00B1089D">
        <w:t xml:space="preserve"> </w:t>
      </w:r>
      <w:proofErr w:type="spellStart"/>
      <w:r w:rsidRPr="00B1089D">
        <w:t>variables</w:t>
      </w:r>
      <w:proofErr w:type="spellEnd"/>
      <w:r w:rsidRPr="00B1089D">
        <w:t xml:space="preserve"> </w:t>
      </w:r>
      <w:proofErr w:type="spellStart"/>
      <w:r w:rsidRPr="00B1089D">
        <w:t>are</w:t>
      </w:r>
      <w:proofErr w:type="spellEnd"/>
      <w:r w:rsidRPr="00B1089D">
        <w:t xml:space="preserve"> </w:t>
      </w:r>
      <w:proofErr w:type="spellStart"/>
      <w:r w:rsidRPr="00B1089D">
        <w:t>summarized</w:t>
      </w:r>
      <w:proofErr w:type="spellEnd"/>
      <w:r w:rsidRPr="00B1089D">
        <w:t xml:space="preserve"> in </w:t>
      </w:r>
      <w:proofErr w:type="spellStart"/>
      <w:r w:rsidRPr="00B1089D">
        <w:t>Table</w:t>
      </w:r>
      <w:proofErr w:type="spellEnd"/>
      <w:r w:rsidRPr="00B1089D">
        <w:t xml:space="preserve"> 2.</w:t>
      </w:r>
    </w:p>
    <w:p w14:paraId="5857D21D" w14:textId="77777777" w:rsidR="00FA457D" w:rsidRPr="00B1089D" w:rsidRDefault="00FA457D" w:rsidP="00FA457D">
      <w:pPr>
        <w:widowControl/>
      </w:pPr>
    </w:p>
    <w:p w14:paraId="3C249AA5" w14:textId="77777777" w:rsidR="00FA457D" w:rsidRPr="00B1089D" w:rsidRDefault="00FA457D" w:rsidP="00FA457D">
      <w:pPr>
        <w:widowControl/>
      </w:pPr>
      <w:proofErr w:type="spellStart"/>
      <w:r w:rsidRPr="00B1089D">
        <w:rPr>
          <w:b/>
          <w:bCs/>
        </w:rPr>
        <w:lastRenderedPageBreak/>
        <w:t>Table</w:t>
      </w:r>
      <w:proofErr w:type="spellEnd"/>
      <w:r w:rsidRPr="00B1089D">
        <w:rPr>
          <w:b/>
          <w:bCs/>
        </w:rPr>
        <w:t xml:space="preserve"> 2.</w:t>
      </w:r>
      <w:r w:rsidRPr="00B1089D">
        <w:t xml:space="preserve"> </w:t>
      </w:r>
      <w:proofErr w:type="spellStart"/>
      <w:r w:rsidRPr="00B1089D">
        <w:t>Summary</w:t>
      </w:r>
      <w:proofErr w:type="spellEnd"/>
      <w:r w:rsidRPr="00B1089D">
        <w:t xml:space="preserve"> of </w:t>
      </w:r>
      <w:proofErr w:type="spellStart"/>
      <w:r w:rsidRPr="00B1089D">
        <w:t>Descriptive</w:t>
      </w:r>
      <w:proofErr w:type="spellEnd"/>
      <w:r w:rsidRPr="00B1089D">
        <w:t xml:space="preserve"> </w:t>
      </w:r>
      <w:proofErr w:type="spellStart"/>
      <w:r w:rsidRPr="00B1089D">
        <w:t>Statics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4003"/>
        <w:gridCol w:w="897"/>
        <w:gridCol w:w="1070"/>
        <w:gridCol w:w="1070"/>
        <w:gridCol w:w="830"/>
        <w:gridCol w:w="1190"/>
      </w:tblGrid>
      <w:tr w:rsidR="00FA457D" w:rsidRPr="00B1089D" w14:paraId="100CE638"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4D8C4C" w14:textId="77777777" w:rsidR="00FA457D" w:rsidRPr="00B1089D" w:rsidRDefault="00FA457D" w:rsidP="000610DA">
            <w:pPr>
              <w:widowControl/>
            </w:pPr>
            <w:proofErr w:type="spellStart"/>
            <w:r w:rsidRPr="00B1089D">
              <w:rPr>
                <w:b/>
                <w:bCs/>
              </w:rPr>
              <w:t>Variable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0C3014" w14:textId="77777777" w:rsidR="00FA457D" w:rsidRPr="00B1089D" w:rsidRDefault="00FA457D" w:rsidP="000610DA">
            <w:pPr>
              <w:widowControl/>
            </w:pPr>
            <w:proofErr w:type="spellStart"/>
            <w:r w:rsidRPr="00B1089D">
              <w:rPr>
                <w:b/>
                <w:bCs/>
              </w:rPr>
              <w:t>Sym</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9D3B65" w14:textId="77777777" w:rsidR="00FA457D" w:rsidRPr="00B1089D" w:rsidRDefault="00FA457D" w:rsidP="000610DA">
            <w:pPr>
              <w:widowControl/>
            </w:pPr>
            <w:proofErr w:type="spellStart"/>
            <w:r w:rsidRPr="00B1089D">
              <w:rPr>
                <w:b/>
                <w:bCs/>
              </w:rPr>
              <w:t>Mean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FC5A26" w14:textId="77777777" w:rsidR="00FA457D" w:rsidRPr="00B1089D" w:rsidRDefault="00FA457D" w:rsidP="000610DA">
            <w:pPr>
              <w:widowControl/>
            </w:pPr>
            <w:proofErr w:type="spellStart"/>
            <w:r w:rsidRPr="00B1089D">
              <w:rPr>
                <w:b/>
                <w:bCs/>
              </w:rPr>
              <w:t>Std.Dv</w:t>
            </w:r>
            <w:proofErr w:type="spellEnd"/>
            <w:r w:rsidRPr="00B1089D">
              <w:rPr>
                <w:b/>
                <w:bC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1B3016" w14:textId="77777777" w:rsidR="00FA457D" w:rsidRPr="00B1089D" w:rsidRDefault="00FA457D" w:rsidP="000610DA">
            <w:pPr>
              <w:widowControl/>
            </w:pPr>
            <w:proofErr w:type="spellStart"/>
            <w:r w:rsidRPr="00B1089D">
              <w:rPr>
                <w:b/>
                <w:bCs/>
              </w:rPr>
              <w:t>Min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106C06" w14:textId="77777777" w:rsidR="00FA457D" w:rsidRPr="00B1089D" w:rsidRDefault="00FA457D" w:rsidP="000610DA">
            <w:pPr>
              <w:widowControl/>
            </w:pPr>
            <w:proofErr w:type="spellStart"/>
            <w:r w:rsidRPr="00B1089D">
              <w:rPr>
                <w:b/>
                <w:bCs/>
              </w:rPr>
              <w:t>Max</w:t>
            </w:r>
            <w:proofErr w:type="spellEnd"/>
          </w:p>
        </w:tc>
      </w:tr>
      <w:tr w:rsidR="00FA457D" w:rsidRPr="00B1089D" w14:paraId="7315A037"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9E8AE9F" w14:textId="403DABA3" w:rsidR="00FA457D" w:rsidRPr="00B1089D" w:rsidRDefault="00FA457D" w:rsidP="000610DA">
            <w:pPr>
              <w:widowControl/>
            </w:pPr>
            <w:proofErr w:type="spellStart"/>
            <w:r w:rsidRPr="00B1089D">
              <w:t>The</w:t>
            </w:r>
            <w:proofErr w:type="spellEnd"/>
            <w:r w:rsidRPr="00B1089D">
              <w:t xml:space="preserve"> </w:t>
            </w:r>
            <w:proofErr w:type="spellStart"/>
            <w:r w:rsidRPr="00B1089D">
              <w:t>Logarithm</w:t>
            </w:r>
            <w:proofErr w:type="spellEnd"/>
            <w:r w:rsidRPr="00B1089D">
              <w:t xml:space="preserve"> of GDP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7FFBC4" w14:textId="77777777" w:rsidR="00FA457D" w:rsidRPr="00B1089D" w:rsidRDefault="00FA457D" w:rsidP="000610DA">
            <w:pPr>
              <w:widowControl/>
            </w:pPr>
            <w:proofErr w:type="spellStart"/>
            <w:proofErr w:type="gramStart"/>
            <w:r w:rsidRPr="00B1089D">
              <w:t>lnGDP</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EA62E0" w14:textId="77777777" w:rsidR="00FA457D" w:rsidRPr="00B1089D" w:rsidRDefault="00FA457D" w:rsidP="000610DA">
            <w:pPr>
              <w:widowControl/>
            </w:pPr>
            <w:r w:rsidRPr="00B1089D">
              <w:t>12.52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0DFE898" w14:textId="77777777" w:rsidR="00FA457D" w:rsidRPr="00B1089D" w:rsidRDefault="00FA457D" w:rsidP="000610DA">
            <w:pPr>
              <w:widowControl/>
            </w:pPr>
            <w:r w:rsidRPr="00B1089D">
              <w:t>1.39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EAD20E" w14:textId="77777777" w:rsidR="00FA457D" w:rsidRPr="00B1089D" w:rsidRDefault="00FA457D" w:rsidP="000610DA">
            <w:pPr>
              <w:widowControl/>
            </w:pPr>
            <w:r w:rsidRPr="00B1089D">
              <w:t>9.47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3893DD2" w14:textId="77777777" w:rsidR="00FA457D" w:rsidRPr="00B1089D" w:rsidRDefault="00FA457D" w:rsidP="000610DA">
            <w:pPr>
              <w:widowControl/>
            </w:pPr>
            <w:r w:rsidRPr="00B1089D">
              <w:t>15.28</w:t>
            </w:r>
          </w:p>
        </w:tc>
      </w:tr>
      <w:tr w:rsidR="00FA457D" w:rsidRPr="00B1089D" w14:paraId="27119644" w14:textId="77777777" w:rsidTr="000610DA">
        <w:trPr>
          <w:trHeight w:val="23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FB052CC" w14:textId="77777777" w:rsidR="00FA457D" w:rsidRPr="00B1089D" w:rsidRDefault="00FA457D" w:rsidP="000610DA">
            <w:pPr>
              <w:widowControl/>
            </w:pPr>
            <w:r w:rsidRPr="00B1089D">
              <w:t xml:space="preserve">Control of </w:t>
            </w:r>
            <w:proofErr w:type="spellStart"/>
            <w:r w:rsidRPr="00B1089D">
              <w:t>Corruption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A65167A" w14:textId="77777777" w:rsidR="00FA457D" w:rsidRPr="00B1089D" w:rsidRDefault="00FA457D" w:rsidP="000610DA">
            <w:pPr>
              <w:widowControl/>
            </w:pPr>
            <w:proofErr w:type="spellStart"/>
            <w:proofErr w:type="gramStart"/>
            <w:r w:rsidRPr="00B1089D">
              <w:t>wcc</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1C3345" w14:textId="77777777" w:rsidR="00FA457D" w:rsidRPr="00B1089D" w:rsidRDefault="00FA457D" w:rsidP="000610DA">
            <w:pPr>
              <w:widowControl/>
            </w:pPr>
            <w:r w:rsidRPr="00B1089D">
              <w:t>62.90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E79597" w14:textId="77777777" w:rsidR="00FA457D" w:rsidRPr="00B1089D" w:rsidRDefault="00FA457D" w:rsidP="000610DA">
            <w:pPr>
              <w:widowControl/>
            </w:pPr>
            <w:r w:rsidRPr="00B1089D">
              <w:t>27.51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628C2F" w14:textId="77777777" w:rsidR="00FA457D" w:rsidRPr="00B1089D" w:rsidRDefault="00FA457D" w:rsidP="000610DA">
            <w:pPr>
              <w:widowControl/>
            </w:pPr>
            <w:r w:rsidRPr="00B1089D">
              <w:t>1.46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A8C81B" w14:textId="77777777" w:rsidR="00FA457D" w:rsidRPr="00B1089D" w:rsidRDefault="00FA457D" w:rsidP="000610DA">
            <w:pPr>
              <w:widowControl/>
            </w:pPr>
            <w:r w:rsidRPr="00B1089D">
              <w:t>100</w:t>
            </w:r>
          </w:p>
        </w:tc>
      </w:tr>
      <w:tr w:rsidR="00FA457D" w:rsidRPr="00B1089D" w14:paraId="1D6E0463"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BE7C1A" w14:textId="77777777" w:rsidR="00FA457D" w:rsidRPr="00B1089D" w:rsidRDefault="00FA457D" w:rsidP="000610DA">
            <w:pPr>
              <w:widowControl/>
            </w:pPr>
            <w:proofErr w:type="spellStart"/>
            <w:r w:rsidRPr="00B1089D">
              <w:t>Government</w:t>
            </w:r>
            <w:proofErr w:type="spellEnd"/>
            <w:r w:rsidRPr="00B1089D">
              <w:t xml:space="preserve"> </w:t>
            </w:r>
            <w:proofErr w:type="spellStart"/>
            <w:r w:rsidRPr="00B1089D">
              <w:t>Effectiveness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ABE3A2" w14:textId="77777777" w:rsidR="00FA457D" w:rsidRPr="00B1089D" w:rsidRDefault="00FA457D" w:rsidP="000610DA">
            <w:pPr>
              <w:widowControl/>
            </w:pPr>
            <w:proofErr w:type="spellStart"/>
            <w:proofErr w:type="gramStart"/>
            <w:r w:rsidRPr="00B1089D">
              <w:t>wge</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348B729" w14:textId="77777777" w:rsidR="00FA457D" w:rsidRPr="00B1089D" w:rsidRDefault="00FA457D" w:rsidP="000610DA">
            <w:pPr>
              <w:widowControl/>
            </w:pPr>
            <w:r w:rsidRPr="00B1089D">
              <w:t>67.12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A77CBC" w14:textId="77777777" w:rsidR="00FA457D" w:rsidRPr="00B1089D" w:rsidRDefault="00FA457D" w:rsidP="000610DA">
            <w:pPr>
              <w:widowControl/>
            </w:pPr>
            <w:r w:rsidRPr="00B1089D">
              <w:t>24.21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68EDCB" w14:textId="77777777" w:rsidR="00FA457D" w:rsidRPr="00B1089D" w:rsidRDefault="00FA457D" w:rsidP="000610DA">
            <w:pPr>
              <w:widowControl/>
            </w:pPr>
            <w:r w:rsidRPr="00B1089D">
              <w:t>0.98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77791C" w14:textId="77777777" w:rsidR="00FA457D" w:rsidRPr="00B1089D" w:rsidRDefault="00FA457D" w:rsidP="000610DA">
            <w:pPr>
              <w:widowControl/>
            </w:pPr>
            <w:r w:rsidRPr="00B1089D">
              <w:t>100</w:t>
            </w:r>
          </w:p>
        </w:tc>
      </w:tr>
      <w:tr w:rsidR="00FA457D" w:rsidRPr="00B1089D" w14:paraId="648A750F" w14:textId="77777777" w:rsidTr="000610DA">
        <w:trPr>
          <w:trHeight w:val="26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AAFBF2" w14:textId="77777777" w:rsidR="00FA457D" w:rsidRPr="00B1089D" w:rsidRDefault="00FA457D" w:rsidP="000610DA">
            <w:pPr>
              <w:widowControl/>
            </w:pPr>
            <w:proofErr w:type="spellStart"/>
            <w:r w:rsidRPr="00B1089D">
              <w:t>Pol</w:t>
            </w:r>
            <w:proofErr w:type="spellEnd"/>
            <w:r w:rsidRPr="00B1089D">
              <w:t xml:space="preserve">. </w:t>
            </w:r>
            <w:proofErr w:type="spellStart"/>
            <w:r w:rsidRPr="00B1089D">
              <w:t>Stability</w:t>
            </w:r>
            <w:proofErr w:type="spellEnd"/>
            <w:r w:rsidRPr="00B1089D">
              <w:t xml:space="preserve"> &amp; </w:t>
            </w:r>
            <w:proofErr w:type="spellStart"/>
            <w:r w:rsidRPr="00B1089D">
              <w:t>Absence</w:t>
            </w:r>
            <w:proofErr w:type="spellEnd"/>
            <w:r w:rsidRPr="00B1089D">
              <w:t xml:space="preserve"> of </w:t>
            </w:r>
            <w:proofErr w:type="spellStart"/>
            <w:r w:rsidRPr="00B1089D">
              <w:t>Violence</w:t>
            </w:r>
            <w:proofErr w:type="spellEnd"/>
            <w:r w:rsidRPr="00B1089D">
              <w:t>/Ter.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902C4F" w14:textId="77777777" w:rsidR="00FA457D" w:rsidRPr="00B1089D" w:rsidRDefault="00FA457D" w:rsidP="000610DA">
            <w:pPr>
              <w:widowControl/>
            </w:pPr>
            <w:proofErr w:type="spellStart"/>
            <w:proofErr w:type="gramStart"/>
            <w:r w:rsidRPr="00B1089D">
              <w:t>wps</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00B1C8" w14:textId="77777777" w:rsidR="00FA457D" w:rsidRPr="00B1089D" w:rsidRDefault="00FA457D" w:rsidP="000610DA">
            <w:pPr>
              <w:widowControl/>
            </w:pPr>
            <w:r w:rsidRPr="00B1089D">
              <w:t>55.10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DB132C0" w14:textId="77777777" w:rsidR="00FA457D" w:rsidRPr="00B1089D" w:rsidRDefault="00FA457D" w:rsidP="000610DA">
            <w:pPr>
              <w:widowControl/>
            </w:pPr>
            <w:r w:rsidRPr="00B1089D">
              <w:t>28.25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1F4DB93" w14:textId="77777777" w:rsidR="00FA457D" w:rsidRPr="00B1089D" w:rsidRDefault="00FA457D" w:rsidP="000610DA">
            <w:pPr>
              <w:widowControl/>
            </w:pPr>
            <w:r w:rsidRPr="00B1089D">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985890" w14:textId="77777777" w:rsidR="00FA457D" w:rsidRPr="00B1089D" w:rsidRDefault="00FA457D" w:rsidP="000610DA">
            <w:pPr>
              <w:widowControl/>
            </w:pPr>
            <w:r w:rsidRPr="00B1089D">
              <w:t>100</w:t>
            </w:r>
          </w:p>
        </w:tc>
      </w:tr>
      <w:tr w:rsidR="00FA457D" w:rsidRPr="00B1089D" w14:paraId="70A9839C"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B9BE41" w14:textId="77777777" w:rsidR="00FA457D" w:rsidRPr="00B1089D" w:rsidRDefault="00FA457D" w:rsidP="000610DA">
            <w:pPr>
              <w:widowControl/>
            </w:pPr>
            <w:proofErr w:type="spellStart"/>
            <w:r w:rsidRPr="00B1089D">
              <w:t>Regulatory</w:t>
            </w:r>
            <w:proofErr w:type="spellEnd"/>
            <w:r w:rsidRPr="00B1089D">
              <w:t xml:space="preserve"> </w:t>
            </w:r>
            <w:proofErr w:type="spellStart"/>
            <w:r w:rsidRPr="00B1089D">
              <w:t>Quality</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C49C7B" w14:textId="77777777" w:rsidR="00FA457D" w:rsidRPr="00B1089D" w:rsidRDefault="00FA457D" w:rsidP="000610DA">
            <w:pPr>
              <w:widowControl/>
            </w:pPr>
            <w:proofErr w:type="spellStart"/>
            <w:proofErr w:type="gramStart"/>
            <w:r w:rsidRPr="00B1089D">
              <w:t>wrq</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B3DE7E" w14:textId="77777777" w:rsidR="00FA457D" w:rsidRPr="00B1089D" w:rsidRDefault="00FA457D" w:rsidP="000610DA">
            <w:pPr>
              <w:widowControl/>
            </w:pPr>
            <w:r w:rsidRPr="00B1089D">
              <w:t>68.15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6B7060" w14:textId="77777777" w:rsidR="00FA457D" w:rsidRPr="00B1089D" w:rsidRDefault="00FA457D" w:rsidP="000610DA">
            <w:pPr>
              <w:widowControl/>
            </w:pPr>
            <w:r w:rsidRPr="00B1089D">
              <w:t>25.99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C2DC3B" w14:textId="77777777" w:rsidR="00FA457D" w:rsidRPr="00B1089D" w:rsidRDefault="00FA457D" w:rsidP="000610DA">
            <w:pPr>
              <w:widowControl/>
            </w:pPr>
            <w:r w:rsidRPr="00B1089D">
              <w:t>2.84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487969A" w14:textId="77777777" w:rsidR="00FA457D" w:rsidRPr="00B1089D" w:rsidRDefault="00FA457D" w:rsidP="000610DA">
            <w:pPr>
              <w:widowControl/>
            </w:pPr>
            <w:r w:rsidRPr="00B1089D">
              <w:t>100</w:t>
            </w:r>
          </w:p>
        </w:tc>
      </w:tr>
      <w:tr w:rsidR="00FA457D" w:rsidRPr="00B1089D" w14:paraId="3311D971" w14:textId="77777777" w:rsidTr="000610DA">
        <w:trPr>
          <w:trHeight w:val="23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2AE691" w14:textId="77777777" w:rsidR="00FA457D" w:rsidRPr="00B1089D" w:rsidRDefault="00FA457D" w:rsidP="000610DA">
            <w:pPr>
              <w:widowControl/>
            </w:pPr>
            <w:proofErr w:type="spellStart"/>
            <w:r w:rsidRPr="00B1089D">
              <w:t>Rule</w:t>
            </w:r>
            <w:proofErr w:type="spellEnd"/>
            <w:r w:rsidRPr="00B1089D">
              <w:t xml:space="preserve"> of </w:t>
            </w:r>
            <w:proofErr w:type="spellStart"/>
            <w:r w:rsidRPr="00B1089D">
              <w:t>Law</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DC1BEC" w14:textId="77777777" w:rsidR="00FA457D" w:rsidRPr="00B1089D" w:rsidRDefault="00FA457D" w:rsidP="000610DA">
            <w:pPr>
              <w:widowControl/>
            </w:pPr>
            <w:proofErr w:type="spellStart"/>
            <w:proofErr w:type="gramStart"/>
            <w:r w:rsidRPr="00B1089D">
              <w:t>wrl</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27FF02" w14:textId="77777777" w:rsidR="00FA457D" w:rsidRPr="00B1089D" w:rsidRDefault="00FA457D" w:rsidP="000610DA">
            <w:pPr>
              <w:widowControl/>
            </w:pPr>
            <w:r w:rsidRPr="00B1089D">
              <w:t>64.18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6EB423" w14:textId="77777777" w:rsidR="00FA457D" w:rsidRPr="00B1089D" w:rsidRDefault="00FA457D" w:rsidP="000610DA">
            <w:pPr>
              <w:widowControl/>
            </w:pPr>
            <w:r w:rsidRPr="00B1089D">
              <w:t>27.63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0017656" w14:textId="77777777" w:rsidR="00FA457D" w:rsidRPr="00B1089D" w:rsidRDefault="00FA457D" w:rsidP="000610DA">
            <w:pPr>
              <w:widowControl/>
            </w:pPr>
            <w:r w:rsidRPr="00B1089D">
              <w:t>0.96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258FFD" w14:textId="77777777" w:rsidR="00FA457D" w:rsidRPr="00B1089D" w:rsidRDefault="00FA457D" w:rsidP="000610DA">
            <w:pPr>
              <w:widowControl/>
            </w:pPr>
            <w:r w:rsidRPr="00B1089D">
              <w:t>100</w:t>
            </w:r>
          </w:p>
        </w:tc>
      </w:tr>
      <w:tr w:rsidR="00FA457D" w:rsidRPr="00B1089D" w14:paraId="63232A8D"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CF998B" w14:textId="77777777" w:rsidR="00FA457D" w:rsidRPr="00B1089D" w:rsidRDefault="00FA457D" w:rsidP="000610DA">
            <w:pPr>
              <w:widowControl/>
            </w:pPr>
            <w:r w:rsidRPr="00B1089D">
              <w:t xml:space="preserve">Voice </w:t>
            </w:r>
            <w:proofErr w:type="spellStart"/>
            <w:r w:rsidRPr="00B1089D">
              <w:t>and</w:t>
            </w:r>
            <w:proofErr w:type="spellEnd"/>
            <w:r w:rsidRPr="00B1089D">
              <w:t xml:space="preserve"> </w:t>
            </w:r>
            <w:proofErr w:type="spellStart"/>
            <w:r w:rsidRPr="00B1089D">
              <w:t>Accountability</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D424D01" w14:textId="77777777" w:rsidR="00FA457D" w:rsidRPr="00B1089D" w:rsidRDefault="00FA457D" w:rsidP="000610DA">
            <w:pPr>
              <w:widowControl/>
            </w:pPr>
            <w:proofErr w:type="spellStart"/>
            <w:proofErr w:type="gramStart"/>
            <w:r w:rsidRPr="00B1089D">
              <w:t>wva</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90DB3B" w14:textId="77777777" w:rsidR="00FA457D" w:rsidRPr="00B1089D" w:rsidRDefault="00FA457D" w:rsidP="000610DA">
            <w:pPr>
              <w:widowControl/>
            </w:pPr>
            <w:r w:rsidRPr="00B1089D">
              <w:t>60.20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37454B" w14:textId="77777777" w:rsidR="00FA457D" w:rsidRPr="00B1089D" w:rsidRDefault="00FA457D" w:rsidP="000610DA">
            <w:pPr>
              <w:widowControl/>
            </w:pPr>
            <w:r w:rsidRPr="00B1089D">
              <w:t>32.12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E6A2671" w14:textId="77777777" w:rsidR="00FA457D" w:rsidRPr="00B1089D" w:rsidRDefault="00FA457D" w:rsidP="000610DA">
            <w:pPr>
              <w:widowControl/>
            </w:pPr>
            <w:r w:rsidRPr="00B1089D">
              <w:t>0.95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9516883" w14:textId="77777777" w:rsidR="00FA457D" w:rsidRPr="00B1089D" w:rsidRDefault="00FA457D" w:rsidP="000610DA">
            <w:pPr>
              <w:widowControl/>
            </w:pPr>
            <w:r w:rsidRPr="00B1089D">
              <w:t>100</w:t>
            </w:r>
          </w:p>
        </w:tc>
      </w:tr>
      <w:tr w:rsidR="00FA457D" w:rsidRPr="00B1089D" w14:paraId="5A4F64F5"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244F91" w14:textId="77777777" w:rsidR="00FA457D" w:rsidRPr="00B1089D" w:rsidRDefault="00FA457D" w:rsidP="000610DA">
            <w:pPr>
              <w:widowControl/>
            </w:pPr>
            <w:proofErr w:type="spellStart"/>
            <w:r w:rsidRPr="00B1089D">
              <w:t>Labour</w:t>
            </w:r>
            <w:proofErr w:type="spellEnd"/>
            <w:r w:rsidRPr="00B1089D">
              <w:t xml:space="preserve"> (mil)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0D608B" w14:textId="77777777" w:rsidR="00FA457D" w:rsidRPr="00B1089D" w:rsidRDefault="00FA457D" w:rsidP="000610DA">
            <w:pPr>
              <w:widowControl/>
            </w:pPr>
            <w:proofErr w:type="spellStart"/>
            <w:proofErr w:type="gramStart"/>
            <w:r w:rsidRPr="00B1089D">
              <w:t>lab</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3D796E" w14:textId="77777777" w:rsidR="00FA457D" w:rsidRPr="00B1089D" w:rsidRDefault="00FA457D" w:rsidP="000610DA">
            <w:pPr>
              <w:widowControl/>
            </w:pPr>
            <w:r w:rsidRPr="00B1089D">
              <w:t>9.38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684F00" w14:textId="77777777" w:rsidR="00FA457D" w:rsidRPr="00B1089D" w:rsidRDefault="00FA457D" w:rsidP="000610DA">
            <w:pPr>
              <w:widowControl/>
            </w:pPr>
            <w:r w:rsidRPr="00B1089D">
              <w:t>12.82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AB64E6" w14:textId="77777777" w:rsidR="00FA457D" w:rsidRPr="00B1089D" w:rsidRDefault="00FA457D" w:rsidP="000610DA">
            <w:pPr>
              <w:widowControl/>
            </w:pPr>
            <w:r w:rsidRPr="00B1089D">
              <w:t>0.16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4ACAB6" w14:textId="77777777" w:rsidR="00FA457D" w:rsidRPr="00B1089D" w:rsidRDefault="00FA457D" w:rsidP="000610DA">
            <w:pPr>
              <w:widowControl/>
            </w:pPr>
            <w:r w:rsidRPr="00B1089D">
              <w:t>72.16</w:t>
            </w:r>
          </w:p>
        </w:tc>
      </w:tr>
      <w:tr w:rsidR="00FA457D" w:rsidRPr="00B1089D" w14:paraId="0DAA588B" w14:textId="77777777" w:rsidTr="000610D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E0F7BA" w14:textId="77777777" w:rsidR="00FA457D" w:rsidRPr="00B1089D" w:rsidRDefault="00FA457D" w:rsidP="000610DA">
            <w:pPr>
              <w:widowControl/>
            </w:pPr>
            <w:proofErr w:type="spellStart"/>
            <w:r w:rsidRPr="00B1089D">
              <w:t>Capital</w:t>
            </w:r>
            <w:proofErr w:type="spellEnd"/>
            <w:r w:rsidRPr="00B1089D">
              <w:t xml:space="preserve"> (mil)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8C638C" w14:textId="77777777" w:rsidR="00FA457D" w:rsidRPr="00B1089D" w:rsidRDefault="00FA457D" w:rsidP="000610DA">
            <w:pPr>
              <w:widowControl/>
            </w:pPr>
            <w:proofErr w:type="spellStart"/>
            <w:proofErr w:type="gramStart"/>
            <w:r w:rsidRPr="00B1089D">
              <w:t>cap</w:t>
            </w:r>
            <w:proofErr w:type="spellEnd"/>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3D3EEEA" w14:textId="77777777" w:rsidR="00FA457D" w:rsidRPr="00B1089D" w:rsidRDefault="00FA457D" w:rsidP="000610DA">
            <w:pPr>
              <w:widowControl/>
            </w:pPr>
            <w:r w:rsidRPr="00B1089D">
              <w:t>2864761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48166FF" w14:textId="77777777" w:rsidR="00FA457D" w:rsidRPr="00B1089D" w:rsidRDefault="00FA457D" w:rsidP="000610DA">
            <w:pPr>
              <w:widowControl/>
            </w:pPr>
            <w:r w:rsidRPr="00B1089D">
              <w:t>4321420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58EBE5" w14:textId="77777777" w:rsidR="00FA457D" w:rsidRPr="00B1089D" w:rsidRDefault="00FA457D" w:rsidP="000610DA">
            <w:pPr>
              <w:widowControl/>
            </w:pPr>
            <w:r w:rsidRPr="00B1089D">
              <w:t>47046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5EB74A" w14:textId="77777777" w:rsidR="00FA457D" w:rsidRPr="00B1089D" w:rsidRDefault="00FA457D" w:rsidP="000610DA">
            <w:pPr>
              <w:widowControl/>
            </w:pPr>
            <w:r w:rsidRPr="00B1089D">
              <w:t>19606062</w:t>
            </w:r>
          </w:p>
        </w:tc>
      </w:tr>
    </w:tbl>
    <w:p w14:paraId="5B138AFC"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calculation</w:t>
      </w:r>
      <w:proofErr w:type="spellEnd"/>
    </w:p>
    <w:p w14:paraId="17C7D21F" w14:textId="77777777" w:rsidR="00FA457D" w:rsidRPr="00B1089D" w:rsidRDefault="00FA457D" w:rsidP="00E359E0">
      <w:pPr>
        <w:widowControl/>
        <w:jc w:val="both"/>
      </w:pPr>
      <w:proofErr w:type="spellStart"/>
      <w:r w:rsidRPr="00B1089D">
        <w:t>Table</w:t>
      </w:r>
      <w:proofErr w:type="spellEnd"/>
      <w:r w:rsidRPr="00B1089D">
        <w:t xml:space="preserve"> 2 </w:t>
      </w:r>
      <w:proofErr w:type="spellStart"/>
      <w:r w:rsidRPr="00B1089D">
        <w:t>represents</w:t>
      </w:r>
      <w:proofErr w:type="spellEnd"/>
      <w:r w:rsidRPr="00B1089D">
        <w:t xml:space="preserve"> </w:t>
      </w:r>
      <w:proofErr w:type="spellStart"/>
      <w:r w:rsidRPr="00B1089D">
        <w:t>the</w:t>
      </w:r>
      <w:proofErr w:type="spellEnd"/>
      <w:r w:rsidRPr="00B1089D">
        <w:t xml:space="preserve"> </w:t>
      </w:r>
      <w:proofErr w:type="spellStart"/>
      <w:r w:rsidRPr="00B1089D">
        <w:t>summary</w:t>
      </w:r>
      <w:proofErr w:type="spellEnd"/>
      <w:r w:rsidRPr="00B1089D">
        <w:t xml:space="preserve"> </w:t>
      </w:r>
      <w:proofErr w:type="spellStart"/>
      <w:r w:rsidRPr="00B1089D">
        <w:t>statistics</w:t>
      </w:r>
      <w:proofErr w:type="spellEnd"/>
      <w:r w:rsidRPr="00B1089D">
        <w:t xml:space="preserve"> of </w:t>
      </w:r>
      <w:proofErr w:type="spellStart"/>
      <w:r w:rsidRPr="00B1089D">
        <w:t>variables</w:t>
      </w:r>
      <w:proofErr w:type="spellEnd"/>
      <w:r w:rsidRPr="00B1089D">
        <w:t xml:space="preserve">. </w:t>
      </w:r>
      <w:proofErr w:type="spellStart"/>
      <w:r w:rsidRPr="00B1089D">
        <w:t>The</w:t>
      </w:r>
      <w:proofErr w:type="spellEnd"/>
      <w:r w:rsidRPr="00B1089D">
        <w:t xml:space="preserve"> </w:t>
      </w:r>
      <w:proofErr w:type="spellStart"/>
      <w:r w:rsidRPr="00B1089D">
        <w:t>standard</w:t>
      </w:r>
      <w:proofErr w:type="spellEnd"/>
      <w:r w:rsidRPr="00B1089D">
        <w:t xml:space="preserve"> </w:t>
      </w:r>
      <w:proofErr w:type="spellStart"/>
      <w:r w:rsidRPr="00B1089D">
        <w:t>deviation</w:t>
      </w:r>
      <w:proofErr w:type="spellEnd"/>
      <w:r w:rsidRPr="00B1089D">
        <w:t xml:space="preserve">, minimum </w:t>
      </w:r>
      <w:proofErr w:type="spellStart"/>
      <w:r w:rsidRPr="00B1089D">
        <w:t>and</w:t>
      </w:r>
      <w:proofErr w:type="spellEnd"/>
      <w:r w:rsidRPr="00B1089D">
        <w:t xml:space="preserve"> </w:t>
      </w:r>
      <w:proofErr w:type="spellStart"/>
      <w:r w:rsidRPr="00B1089D">
        <w:t>maximum</w:t>
      </w:r>
      <w:proofErr w:type="spellEnd"/>
      <w:r w:rsidRPr="00B1089D">
        <w:t xml:space="preserve"> </w:t>
      </w:r>
      <w:proofErr w:type="spellStart"/>
      <w:r w:rsidRPr="00B1089D">
        <w:t>values</w:t>
      </w:r>
      <w:proofErr w:type="spellEnd"/>
      <w:r w:rsidRPr="00B1089D">
        <w:t xml:space="preserve">, </w:t>
      </w:r>
      <w:proofErr w:type="spellStart"/>
      <w:r w:rsidRPr="00B1089D">
        <w:t>and</w:t>
      </w:r>
      <w:proofErr w:type="spellEnd"/>
      <w:r w:rsidRPr="00B1089D">
        <w:t xml:space="preserve"> </w:t>
      </w:r>
      <w:proofErr w:type="spellStart"/>
      <w:r w:rsidRPr="00B1089D">
        <w:t>mean</w:t>
      </w:r>
      <w:proofErr w:type="spellEnd"/>
      <w:r w:rsidRPr="00B1089D">
        <w:t xml:space="preserve"> </w:t>
      </w:r>
      <w:proofErr w:type="spellStart"/>
      <w:r w:rsidRPr="00B1089D">
        <w:t>are</w:t>
      </w:r>
      <w:proofErr w:type="spellEnd"/>
      <w:r w:rsidRPr="00B1089D">
        <w:t xml:space="preserve">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quantify</w:t>
      </w:r>
      <w:proofErr w:type="spellEnd"/>
      <w:r w:rsidRPr="00B1089D">
        <w:t xml:space="preserve"> </w:t>
      </w:r>
      <w:proofErr w:type="spellStart"/>
      <w:r w:rsidRPr="00B1089D">
        <w:t>central</w:t>
      </w:r>
      <w:proofErr w:type="spellEnd"/>
      <w:r w:rsidRPr="00B1089D">
        <w:t xml:space="preserve"> </w:t>
      </w:r>
      <w:proofErr w:type="spellStart"/>
      <w:r w:rsidRPr="00B1089D">
        <w:t>tendency</w:t>
      </w:r>
      <w:proofErr w:type="spellEnd"/>
      <w:r w:rsidRPr="00B1089D">
        <w:t xml:space="preserve">, </w:t>
      </w:r>
      <w:proofErr w:type="spellStart"/>
      <w:r w:rsidRPr="00B1089D">
        <w:t>whereas</w:t>
      </w:r>
      <w:proofErr w:type="spellEnd"/>
      <w:r w:rsidRPr="00B1089D">
        <w:t xml:space="preserve"> </w:t>
      </w:r>
      <w:proofErr w:type="spellStart"/>
      <w:r w:rsidRPr="00B1089D">
        <w:t>the</w:t>
      </w:r>
      <w:proofErr w:type="spellEnd"/>
      <w:r w:rsidRPr="00B1089D">
        <w:t xml:space="preserve"> minimum </w:t>
      </w:r>
      <w:proofErr w:type="spellStart"/>
      <w:r w:rsidRPr="00B1089D">
        <w:t>and</w:t>
      </w:r>
      <w:proofErr w:type="spellEnd"/>
      <w:r w:rsidRPr="00B1089D">
        <w:t xml:space="preserve"> </w:t>
      </w:r>
      <w:proofErr w:type="spellStart"/>
      <w:r w:rsidRPr="00B1089D">
        <w:t>maximum</w:t>
      </w:r>
      <w:proofErr w:type="spellEnd"/>
      <w:r w:rsidRPr="00B1089D">
        <w:t xml:space="preserve"> </w:t>
      </w:r>
      <w:proofErr w:type="spellStart"/>
      <w:r w:rsidRPr="00B1089D">
        <w:t>values</w:t>
      </w:r>
      <w:proofErr w:type="spellEnd"/>
      <w:r w:rsidRPr="00B1089D">
        <w:t xml:space="preserve"> </w:t>
      </w:r>
      <w:proofErr w:type="spellStart"/>
      <w:r w:rsidRPr="00B1089D">
        <w:t>are</w:t>
      </w:r>
      <w:proofErr w:type="spellEnd"/>
      <w:r w:rsidRPr="00B1089D">
        <w:t xml:space="preserve">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measure</w:t>
      </w:r>
      <w:proofErr w:type="spellEnd"/>
      <w:r w:rsidRPr="00B1089D">
        <w:t xml:space="preserve"> </w:t>
      </w:r>
      <w:proofErr w:type="spellStart"/>
      <w:r w:rsidRPr="00B1089D">
        <w:t>central</w:t>
      </w:r>
      <w:proofErr w:type="spellEnd"/>
      <w:r w:rsidRPr="00B1089D">
        <w:t xml:space="preserve"> </w:t>
      </w:r>
      <w:proofErr w:type="spellStart"/>
      <w:r w:rsidRPr="00B1089D">
        <w:t>distribution</w:t>
      </w:r>
      <w:proofErr w:type="spellEnd"/>
      <w:r w:rsidRPr="00B1089D">
        <w:t xml:space="preserve">. 714 </w:t>
      </w:r>
      <w:proofErr w:type="spellStart"/>
      <w:r w:rsidRPr="00B1089D">
        <w:t>observations</w:t>
      </w:r>
      <w:proofErr w:type="spellEnd"/>
      <w:r w:rsidRPr="00B1089D">
        <w:t xml:space="preserve"> </w:t>
      </w:r>
      <w:proofErr w:type="spellStart"/>
      <w:r w:rsidRPr="00B1089D">
        <w:t>make</w:t>
      </w:r>
      <w:proofErr w:type="spellEnd"/>
      <w:r w:rsidRPr="00B1089D">
        <w:t xml:space="preserve"> </w:t>
      </w:r>
      <w:proofErr w:type="spellStart"/>
      <w:r w:rsidRPr="00B1089D">
        <w:t>up</w:t>
      </w:r>
      <w:proofErr w:type="spellEnd"/>
      <w:r w:rsidRPr="00B1089D">
        <w:t xml:space="preserve"> </w:t>
      </w:r>
      <w:proofErr w:type="spellStart"/>
      <w:r w:rsidRPr="00B1089D">
        <w:t>the</w:t>
      </w:r>
      <w:proofErr w:type="spellEnd"/>
      <w:r w:rsidRPr="00B1089D">
        <w:t xml:space="preserve"> </w:t>
      </w:r>
      <w:proofErr w:type="spellStart"/>
      <w:r w:rsidRPr="00B1089D">
        <w:t>observed</w:t>
      </w:r>
      <w:proofErr w:type="spellEnd"/>
      <w:r w:rsidRPr="00B1089D">
        <w:t xml:space="preserve"> </w:t>
      </w:r>
      <w:proofErr w:type="spellStart"/>
      <w:r w:rsidRPr="00B1089D">
        <w:t>sample</w:t>
      </w:r>
      <w:proofErr w:type="spellEnd"/>
      <w:r w:rsidRPr="00B1089D">
        <w:t>.</w:t>
      </w:r>
    </w:p>
    <w:p w14:paraId="67D4AA4E" w14:textId="77777777" w:rsidR="00FA457D" w:rsidRPr="00D10870" w:rsidRDefault="00FA457D" w:rsidP="00E359E0">
      <w:pPr>
        <w:widowControl/>
        <w:jc w:val="both"/>
      </w:pPr>
      <w:proofErr w:type="spellStart"/>
      <w:r w:rsidRPr="00B1089D">
        <w:t>Correlation</w:t>
      </w:r>
      <w:proofErr w:type="spellEnd"/>
      <w:r w:rsidRPr="00B1089D">
        <w:t xml:space="preserve"> </w:t>
      </w:r>
      <w:proofErr w:type="spellStart"/>
      <w:r w:rsidRPr="00B1089D">
        <w:t>Matrix</w:t>
      </w:r>
      <w:proofErr w:type="spellEnd"/>
      <w:r w:rsidRPr="00B1089D">
        <w:t xml:space="preserve"> </w:t>
      </w:r>
      <w:proofErr w:type="spellStart"/>
      <w:r w:rsidRPr="00B1089D">
        <w:t>presents</w:t>
      </w:r>
      <w:proofErr w:type="spellEnd"/>
      <w:r w:rsidRPr="00B1089D">
        <w:t xml:space="preserve"> </w:t>
      </w:r>
      <w:proofErr w:type="spellStart"/>
      <w:r w:rsidRPr="00B1089D">
        <w:t>the</w:t>
      </w:r>
      <w:proofErr w:type="spellEnd"/>
      <w:r w:rsidRPr="00B1089D">
        <w:t xml:space="preserve"> </w:t>
      </w:r>
      <w:proofErr w:type="spellStart"/>
      <w:r w:rsidRPr="00B1089D">
        <w:t>pairwise</w:t>
      </w:r>
      <w:proofErr w:type="spellEnd"/>
      <w:r w:rsidRPr="00B1089D">
        <w:t xml:space="preserve"> </w:t>
      </w:r>
      <w:proofErr w:type="spellStart"/>
      <w:r w:rsidRPr="00B1089D">
        <w:t>correlations</w:t>
      </w:r>
      <w:proofErr w:type="spellEnd"/>
      <w:r w:rsidRPr="00B1089D">
        <w:t xml:space="preserve"> </w:t>
      </w:r>
      <w:proofErr w:type="spellStart"/>
      <w:r w:rsidRPr="00B1089D">
        <w:t>among</w:t>
      </w:r>
      <w:proofErr w:type="spellEnd"/>
      <w:r w:rsidRPr="00B1089D">
        <w:t xml:space="preserve">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and</w:t>
      </w:r>
      <w:proofErr w:type="spellEnd"/>
      <w:r w:rsidRPr="00B1089D">
        <w:t xml:space="preserve"> </w:t>
      </w:r>
      <w:proofErr w:type="spellStart"/>
      <w:r w:rsidRPr="00B1089D">
        <w:t>indexes</w:t>
      </w:r>
      <w:proofErr w:type="spellEnd"/>
      <w:r w:rsidRPr="00B1089D">
        <w:t xml:space="preserve"> of WGI, </w:t>
      </w:r>
      <w:proofErr w:type="spellStart"/>
      <w:r w:rsidRPr="00B1089D">
        <w:t>aiding</w:t>
      </w:r>
      <w:proofErr w:type="spellEnd"/>
      <w:r w:rsidRPr="00B1089D">
        <w:t xml:space="preserve"> in </w:t>
      </w:r>
      <w:proofErr w:type="spellStart"/>
      <w:r w:rsidRPr="00B1089D">
        <w:t>identifying</w:t>
      </w:r>
      <w:proofErr w:type="spellEnd"/>
      <w:r w:rsidRPr="00B1089D">
        <w:t xml:space="preserve"> </w:t>
      </w:r>
      <w:proofErr w:type="spellStart"/>
      <w:r w:rsidRPr="00B1089D">
        <w:t>potential</w:t>
      </w:r>
      <w:proofErr w:type="spellEnd"/>
      <w:r w:rsidRPr="00B1089D">
        <w:t xml:space="preserve"> </w:t>
      </w:r>
      <w:proofErr w:type="spellStart"/>
      <w:r w:rsidRPr="00B1089D">
        <w:t>multicollinearity</w:t>
      </w:r>
      <w:proofErr w:type="spellEnd"/>
      <w:r w:rsidRPr="00B1089D">
        <w:t xml:space="preserve"> </w:t>
      </w:r>
      <w:proofErr w:type="spellStart"/>
      <w:r w:rsidRPr="00B1089D">
        <w:t>and</w:t>
      </w:r>
      <w:proofErr w:type="spellEnd"/>
      <w:r w:rsidRPr="00B1089D">
        <w:t xml:space="preserve"> </w:t>
      </w:r>
      <w:proofErr w:type="spellStart"/>
      <w:r w:rsidRPr="00B1089D">
        <w:t>interdependencies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dataset</w:t>
      </w:r>
      <w:proofErr w:type="spellEnd"/>
      <w:r w:rsidRPr="00B1089D">
        <w:t xml:space="preserve">. </w:t>
      </w:r>
      <w:proofErr w:type="spellStart"/>
      <w:r w:rsidRPr="00B1089D">
        <w:t>The</w:t>
      </w:r>
      <w:proofErr w:type="spellEnd"/>
      <w:r w:rsidRPr="00B1089D">
        <w:t xml:space="preserve"> </w:t>
      </w:r>
      <w:proofErr w:type="spellStart"/>
      <w:r w:rsidRPr="00B1089D">
        <w:t>correlation</w:t>
      </w:r>
      <w:proofErr w:type="spellEnd"/>
      <w:r w:rsidRPr="00B1089D">
        <w:t xml:space="preserve"> </w:t>
      </w:r>
      <w:proofErr w:type="spellStart"/>
      <w:r w:rsidRPr="00B1089D">
        <w:t>matrix</w:t>
      </w:r>
      <w:proofErr w:type="spellEnd"/>
      <w:r w:rsidRPr="00B1089D">
        <w:t xml:space="preserve"> of </w:t>
      </w:r>
      <w:proofErr w:type="spellStart"/>
      <w:r w:rsidRPr="00B1089D">
        <w:t>dependent</w:t>
      </w:r>
      <w:proofErr w:type="spellEnd"/>
      <w:r w:rsidRPr="00B1089D">
        <w:t xml:space="preserve"> </w:t>
      </w:r>
      <w:proofErr w:type="spellStart"/>
      <w:r w:rsidRPr="00B1089D">
        <w:t>and</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is </w:t>
      </w:r>
      <w:proofErr w:type="spellStart"/>
      <w:r w:rsidRPr="00B1089D">
        <w:t>given</w:t>
      </w:r>
      <w:proofErr w:type="spellEnd"/>
      <w:r w:rsidRPr="00B1089D">
        <w:t xml:space="preserve"> in </w:t>
      </w:r>
      <w:proofErr w:type="spellStart"/>
      <w:r w:rsidRPr="00B1089D">
        <w:t>Table</w:t>
      </w:r>
      <w:proofErr w:type="spellEnd"/>
      <w:r w:rsidRPr="00B1089D">
        <w:t xml:space="preserve"> 3.</w:t>
      </w:r>
    </w:p>
    <w:p w14:paraId="64965145" w14:textId="77777777" w:rsidR="00FA457D" w:rsidRPr="00B1089D" w:rsidRDefault="00FA457D" w:rsidP="00FA457D">
      <w:pPr>
        <w:widowControl/>
      </w:pPr>
    </w:p>
    <w:p w14:paraId="75B8A339" w14:textId="77777777" w:rsidR="00FA457D" w:rsidRPr="00B1089D" w:rsidRDefault="00FA457D" w:rsidP="00FA457D">
      <w:pPr>
        <w:widowControl/>
      </w:pPr>
      <w:proofErr w:type="spellStart"/>
      <w:r w:rsidRPr="00B1089D">
        <w:rPr>
          <w:b/>
          <w:bCs/>
        </w:rPr>
        <w:t>Table</w:t>
      </w:r>
      <w:proofErr w:type="spellEnd"/>
      <w:r w:rsidRPr="00B1089D">
        <w:rPr>
          <w:b/>
          <w:bCs/>
        </w:rPr>
        <w:t xml:space="preserve"> 3.</w:t>
      </w:r>
      <w:r w:rsidRPr="00B1089D">
        <w:t xml:space="preserve"> </w:t>
      </w:r>
      <w:proofErr w:type="spellStart"/>
      <w:r w:rsidRPr="00B1089D">
        <w:t>Correlation</w:t>
      </w:r>
      <w:proofErr w:type="spellEnd"/>
      <w:r w:rsidRPr="00B1089D">
        <w:t xml:space="preserve"> </w:t>
      </w:r>
      <w:proofErr w:type="spellStart"/>
      <w:r w:rsidRPr="00B1089D">
        <w:t>Matrix</w:t>
      </w:r>
      <w:proofErr w:type="spellEnd"/>
      <w:r w:rsidRPr="00B1089D">
        <w:t xml:space="preserve"> of </w:t>
      </w:r>
      <w:proofErr w:type="spellStart"/>
      <w:r w:rsidRPr="00B1089D">
        <w:t>Dependent</w:t>
      </w:r>
      <w:proofErr w:type="spellEnd"/>
      <w:r w:rsidRPr="00B1089D">
        <w:t xml:space="preserve"> </w:t>
      </w:r>
      <w:proofErr w:type="spellStart"/>
      <w:r w:rsidRPr="00B1089D">
        <w:t>and</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847"/>
        <w:gridCol w:w="880"/>
        <w:gridCol w:w="800"/>
        <w:gridCol w:w="800"/>
        <w:gridCol w:w="800"/>
        <w:gridCol w:w="800"/>
        <w:gridCol w:w="800"/>
        <w:gridCol w:w="554"/>
      </w:tblGrid>
      <w:tr w:rsidR="00FA457D" w:rsidRPr="00B1089D" w14:paraId="630291A2" w14:textId="77777777" w:rsidTr="000610DA">
        <w:trPr>
          <w:trHeight w:val="300"/>
        </w:trPr>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475AB5C5" w14:textId="18EE75CB" w:rsidR="00FA457D" w:rsidRPr="00B1089D" w:rsidRDefault="00FA457D" w:rsidP="000610DA">
            <w:pPr>
              <w:widowControl/>
            </w:pPr>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7DFC2E57" w14:textId="77777777" w:rsidR="00FA457D" w:rsidRPr="00B1089D" w:rsidRDefault="00FA457D" w:rsidP="000610DA">
            <w:pPr>
              <w:widowControl/>
            </w:pPr>
            <w:proofErr w:type="spellStart"/>
            <w:proofErr w:type="gramStart"/>
            <w:r w:rsidRPr="00B1089D">
              <w:rPr>
                <w:b/>
                <w:bCs/>
              </w:rPr>
              <w:t>lnGDP</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4E8AAF66" w14:textId="77777777" w:rsidR="00FA457D" w:rsidRPr="00B1089D" w:rsidRDefault="00FA457D" w:rsidP="000610DA">
            <w:pPr>
              <w:widowControl/>
            </w:pPr>
            <w:proofErr w:type="spellStart"/>
            <w:proofErr w:type="gramStart"/>
            <w:r w:rsidRPr="00B1089D">
              <w:rPr>
                <w:b/>
                <w:bCs/>
              </w:rPr>
              <w:t>wcc</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3977B632" w14:textId="77777777" w:rsidR="00FA457D" w:rsidRPr="00B1089D" w:rsidRDefault="00FA457D" w:rsidP="000610DA">
            <w:pPr>
              <w:widowControl/>
            </w:pPr>
            <w:proofErr w:type="spellStart"/>
            <w:proofErr w:type="gramStart"/>
            <w:r w:rsidRPr="00B1089D">
              <w:rPr>
                <w:b/>
                <w:bCs/>
              </w:rPr>
              <w:t>wge</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40956359" w14:textId="77777777" w:rsidR="00FA457D" w:rsidRPr="00B1089D" w:rsidRDefault="00FA457D" w:rsidP="000610DA">
            <w:pPr>
              <w:widowControl/>
            </w:pPr>
            <w:proofErr w:type="spellStart"/>
            <w:proofErr w:type="gramStart"/>
            <w:r w:rsidRPr="00B1089D">
              <w:rPr>
                <w:b/>
                <w:bCs/>
              </w:rPr>
              <w:t>wps</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3E11163D" w14:textId="77777777" w:rsidR="00FA457D" w:rsidRPr="00B1089D" w:rsidRDefault="00FA457D" w:rsidP="000610DA">
            <w:pPr>
              <w:widowControl/>
            </w:pPr>
            <w:proofErr w:type="spellStart"/>
            <w:proofErr w:type="gramStart"/>
            <w:r w:rsidRPr="00B1089D">
              <w:rPr>
                <w:b/>
                <w:bCs/>
              </w:rPr>
              <w:t>wrq</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308EF1E3" w14:textId="77777777" w:rsidR="00FA457D" w:rsidRPr="00B1089D" w:rsidRDefault="00FA457D" w:rsidP="000610DA">
            <w:pPr>
              <w:widowControl/>
            </w:pPr>
            <w:proofErr w:type="spellStart"/>
            <w:proofErr w:type="gramStart"/>
            <w:r w:rsidRPr="00B1089D">
              <w:rPr>
                <w:b/>
                <w:bCs/>
              </w:rPr>
              <w:t>wrl</w:t>
            </w:r>
            <w:proofErr w:type="spellEnd"/>
            <w:proofErr w:type="gramEnd"/>
          </w:p>
        </w:tc>
        <w:tc>
          <w:tcPr>
            <w:tcW w:w="0" w:type="auto"/>
            <w:tcBorders>
              <w:top w:val="single" w:sz="8" w:space="0" w:color="000000"/>
              <w:bottom w:val="single" w:sz="4" w:space="0" w:color="000000"/>
            </w:tcBorders>
            <w:tcMar>
              <w:top w:w="0" w:type="dxa"/>
              <w:left w:w="70" w:type="dxa"/>
              <w:bottom w:w="0" w:type="dxa"/>
              <w:right w:w="70" w:type="dxa"/>
            </w:tcMar>
            <w:vAlign w:val="bottom"/>
            <w:hideMark/>
          </w:tcPr>
          <w:p w14:paraId="76E24F21" w14:textId="77777777" w:rsidR="00FA457D" w:rsidRPr="00B1089D" w:rsidRDefault="00FA457D" w:rsidP="000610DA">
            <w:pPr>
              <w:widowControl/>
            </w:pPr>
            <w:proofErr w:type="spellStart"/>
            <w:proofErr w:type="gramStart"/>
            <w:r w:rsidRPr="00B1089D">
              <w:rPr>
                <w:b/>
                <w:bCs/>
              </w:rPr>
              <w:t>wva</w:t>
            </w:r>
            <w:proofErr w:type="spellEnd"/>
            <w:proofErr w:type="gramEnd"/>
          </w:p>
        </w:tc>
      </w:tr>
      <w:tr w:rsidR="00FA457D" w:rsidRPr="00B1089D" w14:paraId="1727C94C" w14:textId="77777777" w:rsidTr="000610DA">
        <w:trPr>
          <w:trHeight w:val="300"/>
        </w:trPr>
        <w:tc>
          <w:tcPr>
            <w:tcW w:w="0" w:type="auto"/>
            <w:tcBorders>
              <w:top w:val="single" w:sz="4" w:space="0" w:color="000000"/>
            </w:tcBorders>
            <w:tcMar>
              <w:top w:w="0" w:type="dxa"/>
              <w:left w:w="70" w:type="dxa"/>
              <w:bottom w:w="0" w:type="dxa"/>
              <w:right w:w="70" w:type="dxa"/>
            </w:tcMar>
            <w:vAlign w:val="bottom"/>
            <w:hideMark/>
          </w:tcPr>
          <w:p w14:paraId="7499DC60" w14:textId="77777777" w:rsidR="00FA457D" w:rsidRPr="00B1089D" w:rsidRDefault="00FA457D" w:rsidP="000610DA">
            <w:pPr>
              <w:widowControl/>
            </w:pPr>
            <w:proofErr w:type="spellStart"/>
            <w:proofErr w:type="gramStart"/>
            <w:r w:rsidRPr="00B1089D">
              <w:rPr>
                <w:b/>
                <w:bCs/>
              </w:rPr>
              <w:t>lnGDP</w:t>
            </w:r>
            <w:proofErr w:type="spellEnd"/>
            <w:proofErr w:type="gramEnd"/>
          </w:p>
        </w:tc>
        <w:tc>
          <w:tcPr>
            <w:tcW w:w="0" w:type="auto"/>
            <w:tcBorders>
              <w:top w:val="single" w:sz="4" w:space="0" w:color="000000"/>
            </w:tcBorders>
            <w:tcMar>
              <w:top w:w="0" w:type="dxa"/>
              <w:left w:w="70" w:type="dxa"/>
              <w:bottom w:w="0" w:type="dxa"/>
              <w:right w:w="70" w:type="dxa"/>
            </w:tcMar>
            <w:vAlign w:val="bottom"/>
            <w:hideMark/>
          </w:tcPr>
          <w:p w14:paraId="4DA837A0" w14:textId="77777777" w:rsidR="00FA457D" w:rsidRPr="00B1089D" w:rsidRDefault="00FA457D" w:rsidP="000610DA">
            <w:pPr>
              <w:widowControl/>
            </w:pPr>
            <w:r w:rsidRPr="00B1089D">
              <w:t>1</w:t>
            </w:r>
          </w:p>
        </w:tc>
        <w:tc>
          <w:tcPr>
            <w:tcW w:w="0" w:type="auto"/>
            <w:tcBorders>
              <w:top w:val="single" w:sz="4" w:space="0" w:color="000000"/>
            </w:tcBorders>
            <w:tcMar>
              <w:top w:w="0" w:type="dxa"/>
              <w:left w:w="70" w:type="dxa"/>
              <w:bottom w:w="0" w:type="dxa"/>
              <w:right w:w="70" w:type="dxa"/>
            </w:tcMar>
            <w:vAlign w:val="bottom"/>
            <w:hideMark/>
          </w:tcPr>
          <w:p w14:paraId="496ACC91" w14:textId="77777777" w:rsidR="00FA457D" w:rsidRPr="00B1089D" w:rsidRDefault="00FA457D" w:rsidP="000610DA">
            <w:pPr>
              <w:widowControl/>
            </w:pPr>
          </w:p>
        </w:tc>
        <w:tc>
          <w:tcPr>
            <w:tcW w:w="0" w:type="auto"/>
            <w:tcBorders>
              <w:top w:val="single" w:sz="4" w:space="0" w:color="000000"/>
            </w:tcBorders>
            <w:tcMar>
              <w:top w:w="0" w:type="dxa"/>
              <w:left w:w="70" w:type="dxa"/>
              <w:bottom w:w="0" w:type="dxa"/>
              <w:right w:w="70" w:type="dxa"/>
            </w:tcMar>
            <w:vAlign w:val="bottom"/>
            <w:hideMark/>
          </w:tcPr>
          <w:p w14:paraId="2136AF8B" w14:textId="77777777" w:rsidR="00FA457D" w:rsidRPr="00B1089D" w:rsidRDefault="00FA457D" w:rsidP="000610DA">
            <w:pPr>
              <w:widowControl/>
            </w:pPr>
          </w:p>
        </w:tc>
        <w:tc>
          <w:tcPr>
            <w:tcW w:w="0" w:type="auto"/>
            <w:tcBorders>
              <w:top w:val="single" w:sz="4" w:space="0" w:color="000000"/>
            </w:tcBorders>
            <w:tcMar>
              <w:top w:w="0" w:type="dxa"/>
              <w:left w:w="70" w:type="dxa"/>
              <w:bottom w:w="0" w:type="dxa"/>
              <w:right w:w="70" w:type="dxa"/>
            </w:tcMar>
            <w:vAlign w:val="bottom"/>
            <w:hideMark/>
          </w:tcPr>
          <w:p w14:paraId="49F92B4E" w14:textId="77777777" w:rsidR="00FA457D" w:rsidRPr="00B1089D" w:rsidRDefault="00FA457D" w:rsidP="000610DA">
            <w:pPr>
              <w:widowControl/>
            </w:pPr>
          </w:p>
        </w:tc>
        <w:tc>
          <w:tcPr>
            <w:tcW w:w="0" w:type="auto"/>
            <w:tcBorders>
              <w:top w:val="single" w:sz="4" w:space="0" w:color="000000"/>
            </w:tcBorders>
            <w:tcMar>
              <w:top w:w="0" w:type="dxa"/>
              <w:left w:w="70" w:type="dxa"/>
              <w:bottom w:w="0" w:type="dxa"/>
              <w:right w:w="70" w:type="dxa"/>
            </w:tcMar>
            <w:vAlign w:val="bottom"/>
            <w:hideMark/>
          </w:tcPr>
          <w:p w14:paraId="76FF37EF" w14:textId="77777777" w:rsidR="00FA457D" w:rsidRPr="00B1089D" w:rsidRDefault="00FA457D" w:rsidP="000610DA">
            <w:pPr>
              <w:widowControl/>
            </w:pPr>
          </w:p>
        </w:tc>
        <w:tc>
          <w:tcPr>
            <w:tcW w:w="0" w:type="auto"/>
            <w:tcBorders>
              <w:top w:val="single" w:sz="4" w:space="0" w:color="000000"/>
            </w:tcBorders>
            <w:tcMar>
              <w:top w:w="0" w:type="dxa"/>
              <w:left w:w="70" w:type="dxa"/>
              <w:bottom w:w="0" w:type="dxa"/>
              <w:right w:w="70" w:type="dxa"/>
            </w:tcMar>
            <w:vAlign w:val="bottom"/>
            <w:hideMark/>
          </w:tcPr>
          <w:p w14:paraId="3811BB8B" w14:textId="77777777" w:rsidR="00FA457D" w:rsidRPr="00B1089D" w:rsidRDefault="00FA457D" w:rsidP="000610DA">
            <w:pPr>
              <w:widowControl/>
            </w:pPr>
          </w:p>
        </w:tc>
        <w:tc>
          <w:tcPr>
            <w:tcW w:w="0" w:type="auto"/>
            <w:tcBorders>
              <w:top w:val="single" w:sz="4" w:space="0" w:color="000000"/>
            </w:tcBorders>
            <w:tcMar>
              <w:top w:w="0" w:type="dxa"/>
              <w:left w:w="70" w:type="dxa"/>
              <w:bottom w:w="0" w:type="dxa"/>
              <w:right w:w="70" w:type="dxa"/>
            </w:tcMar>
            <w:vAlign w:val="bottom"/>
            <w:hideMark/>
          </w:tcPr>
          <w:p w14:paraId="1B5496BE" w14:textId="77777777" w:rsidR="00FA457D" w:rsidRPr="00B1089D" w:rsidRDefault="00FA457D" w:rsidP="000610DA">
            <w:pPr>
              <w:widowControl/>
            </w:pPr>
          </w:p>
        </w:tc>
      </w:tr>
      <w:tr w:rsidR="00FA457D" w:rsidRPr="00B1089D" w14:paraId="4F19DC92" w14:textId="77777777" w:rsidTr="000610DA">
        <w:trPr>
          <w:trHeight w:val="300"/>
        </w:trPr>
        <w:tc>
          <w:tcPr>
            <w:tcW w:w="0" w:type="auto"/>
            <w:tcMar>
              <w:top w:w="0" w:type="dxa"/>
              <w:left w:w="70" w:type="dxa"/>
              <w:bottom w:w="0" w:type="dxa"/>
              <w:right w:w="70" w:type="dxa"/>
            </w:tcMar>
            <w:vAlign w:val="bottom"/>
            <w:hideMark/>
          </w:tcPr>
          <w:p w14:paraId="6C622D04" w14:textId="77777777" w:rsidR="00FA457D" w:rsidRPr="00B1089D" w:rsidRDefault="00FA457D" w:rsidP="000610DA">
            <w:pPr>
              <w:widowControl/>
            </w:pPr>
            <w:proofErr w:type="spellStart"/>
            <w:proofErr w:type="gramStart"/>
            <w:r w:rsidRPr="00B1089D">
              <w:rPr>
                <w:b/>
                <w:bCs/>
              </w:rPr>
              <w:t>wcc</w:t>
            </w:r>
            <w:proofErr w:type="spellEnd"/>
            <w:proofErr w:type="gramEnd"/>
          </w:p>
        </w:tc>
        <w:tc>
          <w:tcPr>
            <w:tcW w:w="0" w:type="auto"/>
            <w:tcMar>
              <w:top w:w="0" w:type="dxa"/>
              <w:left w:w="70" w:type="dxa"/>
              <w:bottom w:w="0" w:type="dxa"/>
              <w:right w:w="70" w:type="dxa"/>
            </w:tcMar>
            <w:vAlign w:val="bottom"/>
            <w:hideMark/>
          </w:tcPr>
          <w:p w14:paraId="0D65EC71" w14:textId="77777777" w:rsidR="00FA457D" w:rsidRPr="00B1089D" w:rsidRDefault="00FA457D" w:rsidP="000610DA">
            <w:pPr>
              <w:widowControl/>
            </w:pPr>
            <w:r w:rsidRPr="00B1089D">
              <w:t>0.0641</w:t>
            </w:r>
          </w:p>
        </w:tc>
        <w:tc>
          <w:tcPr>
            <w:tcW w:w="0" w:type="auto"/>
            <w:tcMar>
              <w:top w:w="0" w:type="dxa"/>
              <w:left w:w="70" w:type="dxa"/>
              <w:bottom w:w="0" w:type="dxa"/>
              <w:right w:w="70" w:type="dxa"/>
            </w:tcMar>
            <w:vAlign w:val="bottom"/>
            <w:hideMark/>
          </w:tcPr>
          <w:p w14:paraId="1A2C5371" w14:textId="77777777" w:rsidR="00FA457D" w:rsidRPr="00B1089D" w:rsidRDefault="00FA457D" w:rsidP="000610DA">
            <w:pPr>
              <w:widowControl/>
            </w:pPr>
            <w:r w:rsidRPr="00B1089D">
              <w:t>1</w:t>
            </w:r>
          </w:p>
        </w:tc>
        <w:tc>
          <w:tcPr>
            <w:tcW w:w="0" w:type="auto"/>
            <w:tcMar>
              <w:top w:w="0" w:type="dxa"/>
              <w:left w:w="70" w:type="dxa"/>
              <w:bottom w:w="0" w:type="dxa"/>
              <w:right w:w="70" w:type="dxa"/>
            </w:tcMar>
            <w:vAlign w:val="bottom"/>
            <w:hideMark/>
          </w:tcPr>
          <w:p w14:paraId="3189C5DB"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0D78380E"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580B2E3A"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3FF9494D"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597DEDD5" w14:textId="77777777" w:rsidR="00FA457D" w:rsidRPr="00B1089D" w:rsidRDefault="00FA457D" w:rsidP="000610DA">
            <w:pPr>
              <w:widowControl/>
            </w:pPr>
          </w:p>
        </w:tc>
      </w:tr>
      <w:tr w:rsidR="00FA457D" w:rsidRPr="00B1089D" w14:paraId="54020973" w14:textId="77777777" w:rsidTr="000610DA">
        <w:trPr>
          <w:trHeight w:val="300"/>
        </w:trPr>
        <w:tc>
          <w:tcPr>
            <w:tcW w:w="0" w:type="auto"/>
            <w:tcMar>
              <w:top w:w="0" w:type="dxa"/>
              <w:left w:w="70" w:type="dxa"/>
              <w:bottom w:w="0" w:type="dxa"/>
              <w:right w:w="70" w:type="dxa"/>
            </w:tcMar>
            <w:vAlign w:val="bottom"/>
            <w:hideMark/>
          </w:tcPr>
          <w:p w14:paraId="2E2F9EDD" w14:textId="77777777" w:rsidR="00FA457D" w:rsidRPr="00B1089D" w:rsidRDefault="00FA457D" w:rsidP="000610DA">
            <w:pPr>
              <w:widowControl/>
            </w:pPr>
            <w:proofErr w:type="spellStart"/>
            <w:proofErr w:type="gramStart"/>
            <w:r w:rsidRPr="00B1089D">
              <w:rPr>
                <w:b/>
                <w:bCs/>
              </w:rPr>
              <w:t>wge</w:t>
            </w:r>
            <w:proofErr w:type="spellEnd"/>
            <w:proofErr w:type="gramEnd"/>
          </w:p>
        </w:tc>
        <w:tc>
          <w:tcPr>
            <w:tcW w:w="0" w:type="auto"/>
            <w:tcMar>
              <w:top w:w="0" w:type="dxa"/>
              <w:left w:w="70" w:type="dxa"/>
              <w:bottom w:w="0" w:type="dxa"/>
              <w:right w:w="70" w:type="dxa"/>
            </w:tcMar>
            <w:vAlign w:val="bottom"/>
            <w:hideMark/>
          </w:tcPr>
          <w:p w14:paraId="73EE453F" w14:textId="77777777" w:rsidR="00FA457D" w:rsidRPr="00B1089D" w:rsidRDefault="00FA457D" w:rsidP="000610DA">
            <w:pPr>
              <w:widowControl/>
            </w:pPr>
            <w:r w:rsidRPr="00B1089D">
              <w:t>0.0808</w:t>
            </w:r>
          </w:p>
        </w:tc>
        <w:tc>
          <w:tcPr>
            <w:tcW w:w="0" w:type="auto"/>
            <w:tcMar>
              <w:top w:w="0" w:type="dxa"/>
              <w:left w:w="70" w:type="dxa"/>
              <w:bottom w:w="0" w:type="dxa"/>
              <w:right w:w="70" w:type="dxa"/>
            </w:tcMar>
            <w:vAlign w:val="bottom"/>
            <w:hideMark/>
          </w:tcPr>
          <w:p w14:paraId="16E36E3C" w14:textId="77777777" w:rsidR="00FA457D" w:rsidRPr="00B1089D" w:rsidRDefault="00FA457D" w:rsidP="000610DA">
            <w:pPr>
              <w:widowControl/>
            </w:pPr>
            <w:r w:rsidRPr="00B1089D">
              <w:t>0.9447</w:t>
            </w:r>
          </w:p>
        </w:tc>
        <w:tc>
          <w:tcPr>
            <w:tcW w:w="0" w:type="auto"/>
            <w:tcMar>
              <w:top w:w="0" w:type="dxa"/>
              <w:left w:w="70" w:type="dxa"/>
              <w:bottom w:w="0" w:type="dxa"/>
              <w:right w:w="70" w:type="dxa"/>
            </w:tcMar>
            <w:vAlign w:val="bottom"/>
            <w:hideMark/>
          </w:tcPr>
          <w:p w14:paraId="2E08C073" w14:textId="77777777" w:rsidR="00FA457D" w:rsidRPr="00B1089D" w:rsidRDefault="00FA457D" w:rsidP="000610DA">
            <w:pPr>
              <w:widowControl/>
            </w:pPr>
            <w:r w:rsidRPr="00B1089D">
              <w:t>1</w:t>
            </w:r>
          </w:p>
        </w:tc>
        <w:tc>
          <w:tcPr>
            <w:tcW w:w="0" w:type="auto"/>
            <w:tcMar>
              <w:top w:w="0" w:type="dxa"/>
              <w:left w:w="70" w:type="dxa"/>
              <w:bottom w:w="0" w:type="dxa"/>
              <w:right w:w="70" w:type="dxa"/>
            </w:tcMar>
            <w:vAlign w:val="bottom"/>
            <w:hideMark/>
          </w:tcPr>
          <w:p w14:paraId="20CBCEA6"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45C38C19"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79E27418"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7F8CB4D3" w14:textId="77777777" w:rsidR="00FA457D" w:rsidRPr="00B1089D" w:rsidRDefault="00FA457D" w:rsidP="000610DA">
            <w:pPr>
              <w:widowControl/>
            </w:pPr>
          </w:p>
        </w:tc>
      </w:tr>
      <w:tr w:rsidR="00FA457D" w:rsidRPr="00B1089D" w14:paraId="4D89718D" w14:textId="77777777" w:rsidTr="000610DA">
        <w:trPr>
          <w:trHeight w:val="300"/>
        </w:trPr>
        <w:tc>
          <w:tcPr>
            <w:tcW w:w="0" w:type="auto"/>
            <w:tcMar>
              <w:top w:w="0" w:type="dxa"/>
              <w:left w:w="70" w:type="dxa"/>
              <w:bottom w:w="0" w:type="dxa"/>
              <w:right w:w="70" w:type="dxa"/>
            </w:tcMar>
            <w:vAlign w:val="bottom"/>
            <w:hideMark/>
          </w:tcPr>
          <w:p w14:paraId="6D3151EC" w14:textId="77777777" w:rsidR="00FA457D" w:rsidRPr="00B1089D" w:rsidRDefault="00FA457D" w:rsidP="000610DA">
            <w:pPr>
              <w:widowControl/>
            </w:pPr>
            <w:proofErr w:type="spellStart"/>
            <w:proofErr w:type="gramStart"/>
            <w:r w:rsidRPr="00B1089D">
              <w:rPr>
                <w:b/>
                <w:bCs/>
              </w:rPr>
              <w:t>wps</w:t>
            </w:r>
            <w:proofErr w:type="spellEnd"/>
            <w:proofErr w:type="gramEnd"/>
          </w:p>
        </w:tc>
        <w:tc>
          <w:tcPr>
            <w:tcW w:w="0" w:type="auto"/>
            <w:tcMar>
              <w:top w:w="0" w:type="dxa"/>
              <w:left w:w="70" w:type="dxa"/>
              <w:bottom w:w="0" w:type="dxa"/>
              <w:right w:w="70" w:type="dxa"/>
            </w:tcMar>
            <w:vAlign w:val="bottom"/>
            <w:hideMark/>
          </w:tcPr>
          <w:p w14:paraId="1820C013" w14:textId="77777777" w:rsidR="00FA457D" w:rsidRPr="00B1089D" w:rsidRDefault="00FA457D" w:rsidP="000610DA">
            <w:pPr>
              <w:widowControl/>
            </w:pPr>
            <w:r w:rsidRPr="00B1089D">
              <w:t>-0.0932</w:t>
            </w:r>
          </w:p>
        </w:tc>
        <w:tc>
          <w:tcPr>
            <w:tcW w:w="0" w:type="auto"/>
            <w:tcMar>
              <w:top w:w="0" w:type="dxa"/>
              <w:left w:w="70" w:type="dxa"/>
              <w:bottom w:w="0" w:type="dxa"/>
              <w:right w:w="70" w:type="dxa"/>
            </w:tcMar>
            <w:vAlign w:val="bottom"/>
            <w:hideMark/>
          </w:tcPr>
          <w:p w14:paraId="3B755DC3" w14:textId="77777777" w:rsidR="00FA457D" w:rsidRPr="00B1089D" w:rsidRDefault="00FA457D" w:rsidP="000610DA">
            <w:pPr>
              <w:widowControl/>
            </w:pPr>
            <w:r w:rsidRPr="00B1089D">
              <w:t>0.7679</w:t>
            </w:r>
          </w:p>
        </w:tc>
        <w:tc>
          <w:tcPr>
            <w:tcW w:w="0" w:type="auto"/>
            <w:tcMar>
              <w:top w:w="0" w:type="dxa"/>
              <w:left w:w="70" w:type="dxa"/>
              <w:bottom w:w="0" w:type="dxa"/>
              <w:right w:w="70" w:type="dxa"/>
            </w:tcMar>
            <w:vAlign w:val="bottom"/>
            <w:hideMark/>
          </w:tcPr>
          <w:p w14:paraId="209AD8E9" w14:textId="77777777" w:rsidR="00FA457D" w:rsidRPr="00B1089D" w:rsidRDefault="00FA457D" w:rsidP="000610DA">
            <w:pPr>
              <w:widowControl/>
            </w:pPr>
            <w:r w:rsidRPr="00B1089D">
              <w:t>0.7597</w:t>
            </w:r>
          </w:p>
        </w:tc>
        <w:tc>
          <w:tcPr>
            <w:tcW w:w="0" w:type="auto"/>
            <w:tcMar>
              <w:top w:w="0" w:type="dxa"/>
              <w:left w:w="70" w:type="dxa"/>
              <w:bottom w:w="0" w:type="dxa"/>
              <w:right w:w="70" w:type="dxa"/>
            </w:tcMar>
            <w:vAlign w:val="bottom"/>
            <w:hideMark/>
          </w:tcPr>
          <w:p w14:paraId="6F8018AA" w14:textId="77777777" w:rsidR="00FA457D" w:rsidRPr="00B1089D" w:rsidRDefault="00FA457D" w:rsidP="000610DA">
            <w:pPr>
              <w:widowControl/>
            </w:pPr>
            <w:r w:rsidRPr="00B1089D">
              <w:t>1</w:t>
            </w:r>
          </w:p>
        </w:tc>
        <w:tc>
          <w:tcPr>
            <w:tcW w:w="0" w:type="auto"/>
            <w:tcMar>
              <w:top w:w="0" w:type="dxa"/>
              <w:left w:w="70" w:type="dxa"/>
              <w:bottom w:w="0" w:type="dxa"/>
              <w:right w:w="70" w:type="dxa"/>
            </w:tcMar>
            <w:vAlign w:val="bottom"/>
            <w:hideMark/>
          </w:tcPr>
          <w:p w14:paraId="203F308A"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3335DE7F"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34A5891A" w14:textId="77777777" w:rsidR="00FA457D" w:rsidRPr="00B1089D" w:rsidRDefault="00FA457D" w:rsidP="000610DA">
            <w:pPr>
              <w:widowControl/>
            </w:pPr>
          </w:p>
        </w:tc>
      </w:tr>
      <w:tr w:rsidR="00FA457D" w:rsidRPr="00B1089D" w14:paraId="530C9578" w14:textId="77777777" w:rsidTr="000610DA">
        <w:trPr>
          <w:trHeight w:val="300"/>
        </w:trPr>
        <w:tc>
          <w:tcPr>
            <w:tcW w:w="0" w:type="auto"/>
            <w:tcMar>
              <w:top w:w="0" w:type="dxa"/>
              <w:left w:w="70" w:type="dxa"/>
              <w:bottom w:w="0" w:type="dxa"/>
              <w:right w:w="70" w:type="dxa"/>
            </w:tcMar>
            <w:vAlign w:val="bottom"/>
            <w:hideMark/>
          </w:tcPr>
          <w:p w14:paraId="2CD61686" w14:textId="77777777" w:rsidR="00FA457D" w:rsidRPr="00B1089D" w:rsidRDefault="00FA457D" w:rsidP="000610DA">
            <w:pPr>
              <w:widowControl/>
            </w:pPr>
            <w:proofErr w:type="spellStart"/>
            <w:proofErr w:type="gramStart"/>
            <w:r w:rsidRPr="00B1089D">
              <w:rPr>
                <w:b/>
                <w:bCs/>
              </w:rPr>
              <w:t>wrq</w:t>
            </w:r>
            <w:proofErr w:type="spellEnd"/>
            <w:proofErr w:type="gramEnd"/>
          </w:p>
        </w:tc>
        <w:tc>
          <w:tcPr>
            <w:tcW w:w="0" w:type="auto"/>
            <w:tcMar>
              <w:top w:w="0" w:type="dxa"/>
              <w:left w:w="70" w:type="dxa"/>
              <w:bottom w:w="0" w:type="dxa"/>
              <w:right w:w="70" w:type="dxa"/>
            </w:tcMar>
            <w:vAlign w:val="bottom"/>
            <w:hideMark/>
          </w:tcPr>
          <w:p w14:paraId="2C2AE687" w14:textId="77777777" w:rsidR="00FA457D" w:rsidRPr="00B1089D" w:rsidRDefault="00FA457D" w:rsidP="000610DA">
            <w:pPr>
              <w:widowControl/>
            </w:pPr>
            <w:r w:rsidRPr="00B1089D">
              <w:t>-0.0207</w:t>
            </w:r>
          </w:p>
        </w:tc>
        <w:tc>
          <w:tcPr>
            <w:tcW w:w="0" w:type="auto"/>
            <w:tcMar>
              <w:top w:w="0" w:type="dxa"/>
              <w:left w:w="70" w:type="dxa"/>
              <w:bottom w:w="0" w:type="dxa"/>
              <w:right w:w="70" w:type="dxa"/>
            </w:tcMar>
            <w:vAlign w:val="bottom"/>
            <w:hideMark/>
          </w:tcPr>
          <w:p w14:paraId="04DA8657" w14:textId="77777777" w:rsidR="00FA457D" w:rsidRPr="00B1089D" w:rsidRDefault="00FA457D" w:rsidP="000610DA">
            <w:pPr>
              <w:widowControl/>
            </w:pPr>
            <w:r w:rsidRPr="00B1089D">
              <w:t>0.8879</w:t>
            </w:r>
          </w:p>
        </w:tc>
        <w:tc>
          <w:tcPr>
            <w:tcW w:w="0" w:type="auto"/>
            <w:tcMar>
              <w:top w:w="0" w:type="dxa"/>
              <w:left w:w="70" w:type="dxa"/>
              <w:bottom w:w="0" w:type="dxa"/>
              <w:right w:w="70" w:type="dxa"/>
            </w:tcMar>
            <w:vAlign w:val="bottom"/>
            <w:hideMark/>
          </w:tcPr>
          <w:p w14:paraId="4E605B0C" w14:textId="77777777" w:rsidR="00FA457D" w:rsidRPr="00B1089D" w:rsidRDefault="00FA457D" w:rsidP="000610DA">
            <w:pPr>
              <w:widowControl/>
            </w:pPr>
            <w:r w:rsidRPr="00B1089D">
              <w:t>0.9208</w:t>
            </w:r>
          </w:p>
        </w:tc>
        <w:tc>
          <w:tcPr>
            <w:tcW w:w="0" w:type="auto"/>
            <w:tcMar>
              <w:top w:w="0" w:type="dxa"/>
              <w:left w:w="70" w:type="dxa"/>
              <w:bottom w:w="0" w:type="dxa"/>
              <w:right w:w="70" w:type="dxa"/>
            </w:tcMar>
            <w:vAlign w:val="bottom"/>
            <w:hideMark/>
          </w:tcPr>
          <w:p w14:paraId="6191B1FA" w14:textId="77777777" w:rsidR="00FA457D" w:rsidRPr="00B1089D" w:rsidRDefault="00FA457D" w:rsidP="000610DA">
            <w:pPr>
              <w:widowControl/>
            </w:pPr>
            <w:r w:rsidRPr="00B1089D">
              <w:t>0.7382</w:t>
            </w:r>
          </w:p>
        </w:tc>
        <w:tc>
          <w:tcPr>
            <w:tcW w:w="0" w:type="auto"/>
            <w:tcMar>
              <w:top w:w="0" w:type="dxa"/>
              <w:left w:w="70" w:type="dxa"/>
              <w:bottom w:w="0" w:type="dxa"/>
              <w:right w:w="70" w:type="dxa"/>
            </w:tcMar>
            <w:vAlign w:val="bottom"/>
            <w:hideMark/>
          </w:tcPr>
          <w:p w14:paraId="2D659CC3" w14:textId="77777777" w:rsidR="00FA457D" w:rsidRPr="00B1089D" w:rsidRDefault="00FA457D" w:rsidP="000610DA">
            <w:pPr>
              <w:widowControl/>
            </w:pPr>
            <w:r w:rsidRPr="00B1089D">
              <w:t>1</w:t>
            </w:r>
          </w:p>
        </w:tc>
        <w:tc>
          <w:tcPr>
            <w:tcW w:w="0" w:type="auto"/>
            <w:tcMar>
              <w:top w:w="0" w:type="dxa"/>
              <w:left w:w="70" w:type="dxa"/>
              <w:bottom w:w="0" w:type="dxa"/>
              <w:right w:w="70" w:type="dxa"/>
            </w:tcMar>
            <w:vAlign w:val="bottom"/>
            <w:hideMark/>
          </w:tcPr>
          <w:p w14:paraId="2E3BAF9F" w14:textId="77777777" w:rsidR="00FA457D" w:rsidRPr="00B1089D" w:rsidRDefault="00FA457D" w:rsidP="000610DA">
            <w:pPr>
              <w:widowControl/>
            </w:pPr>
          </w:p>
        </w:tc>
        <w:tc>
          <w:tcPr>
            <w:tcW w:w="0" w:type="auto"/>
            <w:tcMar>
              <w:top w:w="0" w:type="dxa"/>
              <w:left w:w="70" w:type="dxa"/>
              <w:bottom w:w="0" w:type="dxa"/>
              <w:right w:w="70" w:type="dxa"/>
            </w:tcMar>
            <w:vAlign w:val="bottom"/>
            <w:hideMark/>
          </w:tcPr>
          <w:p w14:paraId="42CD24E1" w14:textId="77777777" w:rsidR="00FA457D" w:rsidRPr="00B1089D" w:rsidRDefault="00FA457D" w:rsidP="000610DA">
            <w:pPr>
              <w:widowControl/>
            </w:pPr>
          </w:p>
        </w:tc>
      </w:tr>
      <w:tr w:rsidR="00FA457D" w:rsidRPr="00B1089D" w14:paraId="605E53BA" w14:textId="77777777" w:rsidTr="000610DA">
        <w:trPr>
          <w:trHeight w:val="300"/>
        </w:trPr>
        <w:tc>
          <w:tcPr>
            <w:tcW w:w="0" w:type="auto"/>
            <w:tcMar>
              <w:top w:w="0" w:type="dxa"/>
              <w:left w:w="70" w:type="dxa"/>
              <w:bottom w:w="0" w:type="dxa"/>
              <w:right w:w="70" w:type="dxa"/>
            </w:tcMar>
            <w:vAlign w:val="bottom"/>
            <w:hideMark/>
          </w:tcPr>
          <w:p w14:paraId="24CEEC3F" w14:textId="77777777" w:rsidR="00FA457D" w:rsidRPr="00B1089D" w:rsidRDefault="00FA457D" w:rsidP="000610DA">
            <w:pPr>
              <w:widowControl/>
            </w:pPr>
            <w:proofErr w:type="spellStart"/>
            <w:proofErr w:type="gramStart"/>
            <w:r w:rsidRPr="00B1089D">
              <w:rPr>
                <w:b/>
                <w:bCs/>
              </w:rPr>
              <w:t>wrl</w:t>
            </w:r>
            <w:proofErr w:type="spellEnd"/>
            <w:proofErr w:type="gramEnd"/>
          </w:p>
        </w:tc>
        <w:tc>
          <w:tcPr>
            <w:tcW w:w="0" w:type="auto"/>
            <w:tcMar>
              <w:top w:w="0" w:type="dxa"/>
              <w:left w:w="70" w:type="dxa"/>
              <w:bottom w:w="0" w:type="dxa"/>
              <w:right w:w="70" w:type="dxa"/>
            </w:tcMar>
            <w:vAlign w:val="bottom"/>
            <w:hideMark/>
          </w:tcPr>
          <w:p w14:paraId="3149E396" w14:textId="77777777" w:rsidR="00FA457D" w:rsidRPr="00B1089D" w:rsidRDefault="00FA457D" w:rsidP="000610DA">
            <w:pPr>
              <w:widowControl/>
            </w:pPr>
            <w:r w:rsidRPr="00B1089D">
              <w:t>0.0463</w:t>
            </w:r>
          </w:p>
        </w:tc>
        <w:tc>
          <w:tcPr>
            <w:tcW w:w="0" w:type="auto"/>
            <w:tcMar>
              <w:top w:w="0" w:type="dxa"/>
              <w:left w:w="70" w:type="dxa"/>
              <w:bottom w:w="0" w:type="dxa"/>
              <w:right w:w="70" w:type="dxa"/>
            </w:tcMar>
            <w:vAlign w:val="bottom"/>
            <w:hideMark/>
          </w:tcPr>
          <w:p w14:paraId="7AACBBE5" w14:textId="77777777" w:rsidR="00FA457D" w:rsidRPr="00B1089D" w:rsidRDefault="00FA457D" w:rsidP="000610DA">
            <w:pPr>
              <w:widowControl/>
            </w:pPr>
            <w:r w:rsidRPr="00B1089D">
              <w:t>0.9601</w:t>
            </w:r>
          </w:p>
        </w:tc>
        <w:tc>
          <w:tcPr>
            <w:tcW w:w="0" w:type="auto"/>
            <w:tcMar>
              <w:top w:w="0" w:type="dxa"/>
              <w:left w:w="70" w:type="dxa"/>
              <w:bottom w:w="0" w:type="dxa"/>
              <w:right w:w="70" w:type="dxa"/>
            </w:tcMar>
            <w:vAlign w:val="bottom"/>
            <w:hideMark/>
          </w:tcPr>
          <w:p w14:paraId="4FB12831" w14:textId="77777777" w:rsidR="00FA457D" w:rsidRPr="00B1089D" w:rsidRDefault="00FA457D" w:rsidP="000610DA">
            <w:pPr>
              <w:widowControl/>
            </w:pPr>
            <w:r w:rsidRPr="00B1089D">
              <w:t>0.9585</w:t>
            </w:r>
          </w:p>
        </w:tc>
        <w:tc>
          <w:tcPr>
            <w:tcW w:w="0" w:type="auto"/>
            <w:tcMar>
              <w:top w:w="0" w:type="dxa"/>
              <w:left w:w="70" w:type="dxa"/>
              <w:bottom w:w="0" w:type="dxa"/>
              <w:right w:w="70" w:type="dxa"/>
            </w:tcMar>
            <w:vAlign w:val="bottom"/>
            <w:hideMark/>
          </w:tcPr>
          <w:p w14:paraId="5A5FBE22" w14:textId="77777777" w:rsidR="00FA457D" w:rsidRPr="00B1089D" w:rsidRDefault="00FA457D" w:rsidP="000610DA">
            <w:pPr>
              <w:widowControl/>
            </w:pPr>
            <w:r w:rsidRPr="00B1089D">
              <w:t>0.7805</w:t>
            </w:r>
          </w:p>
        </w:tc>
        <w:tc>
          <w:tcPr>
            <w:tcW w:w="0" w:type="auto"/>
            <w:tcMar>
              <w:top w:w="0" w:type="dxa"/>
              <w:left w:w="70" w:type="dxa"/>
              <w:bottom w:w="0" w:type="dxa"/>
              <w:right w:w="70" w:type="dxa"/>
            </w:tcMar>
            <w:vAlign w:val="bottom"/>
            <w:hideMark/>
          </w:tcPr>
          <w:p w14:paraId="260E127E" w14:textId="77777777" w:rsidR="00FA457D" w:rsidRPr="00B1089D" w:rsidRDefault="00FA457D" w:rsidP="000610DA">
            <w:pPr>
              <w:widowControl/>
            </w:pPr>
            <w:r w:rsidRPr="00B1089D">
              <w:t>0.9424</w:t>
            </w:r>
          </w:p>
        </w:tc>
        <w:tc>
          <w:tcPr>
            <w:tcW w:w="0" w:type="auto"/>
            <w:tcMar>
              <w:top w:w="0" w:type="dxa"/>
              <w:left w:w="70" w:type="dxa"/>
              <w:bottom w:w="0" w:type="dxa"/>
              <w:right w:w="70" w:type="dxa"/>
            </w:tcMar>
            <w:vAlign w:val="bottom"/>
            <w:hideMark/>
          </w:tcPr>
          <w:p w14:paraId="04E83415" w14:textId="77777777" w:rsidR="00FA457D" w:rsidRPr="00B1089D" w:rsidRDefault="00FA457D" w:rsidP="000610DA">
            <w:pPr>
              <w:widowControl/>
            </w:pPr>
            <w:r w:rsidRPr="00B1089D">
              <w:t>1</w:t>
            </w:r>
          </w:p>
        </w:tc>
        <w:tc>
          <w:tcPr>
            <w:tcW w:w="0" w:type="auto"/>
            <w:tcMar>
              <w:top w:w="0" w:type="dxa"/>
              <w:left w:w="70" w:type="dxa"/>
              <w:bottom w:w="0" w:type="dxa"/>
              <w:right w:w="70" w:type="dxa"/>
            </w:tcMar>
            <w:vAlign w:val="bottom"/>
            <w:hideMark/>
          </w:tcPr>
          <w:p w14:paraId="5B22C7F8" w14:textId="77777777" w:rsidR="00FA457D" w:rsidRPr="00B1089D" w:rsidRDefault="00FA457D" w:rsidP="000610DA">
            <w:pPr>
              <w:widowControl/>
            </w:pPr>
          </w:p>
        </w:tc>
      </w:tr>
      <w:tr w:rsidR="00FA457D" w:rsidRPr="00B1089D" w14:paraId="07249D0B" w14:textId="77777777" w:rsidTr="000610DA">
        <w:trPr>
          <w:trHeight w:val="315"/>
        </w:trPr>
        <w:tc>
          <w:tcPr>
            <w:tcW w:w="0" w:type="auto"/>
            <w:tcBorders>
              <w:bottom w:val="single" w:sz="8" w:space="0" w:color="000000"/>
            </w:tcBorders>
            <w:tcMar>
              <w:top w:w="0" w:type="dxa"/>
              <w:left w:w="70" w:type="dxa"/>
              <w:bottom w:w="0" w:type="dxa"/>
              <w:right w:w="70" w:type="dxa"/>
            </w:tcMar>
            <w:vAlign w:val="bottom"/>
            <w:hideMark/>
          </w:tcPr>
          <w:p w14:paraId="1DBEF039" w14:textId="77777777" w:rsidR="00FA457D" w:rsidRPr="00B1089D" w:rsidRDefault="00FA457D" w:rsidP="000610DA">
            <w:pPr>
              <w:widowControl/>
            </w:pPr>
            <w:proofErr w:type="spellStart"/>
            <w:proofErr w:type="gramStart"/>
            <w:r w:rsidRPr="00B1089D">
              <w:rPr>
                <w:b/>
                <w:bCs/>
              </w:rPr>
              <w:t>wva</w:t>
            </w:r>
            <w:proofErr w:type="spellEnd"/>
            <w:proofErr w:type="gramEnd"/>
          </w:p>
        </w:tc>
        <w:tc>
          <w:tcPr>
            <w:tcW w:w="0" w:type="auto"/>
            <w:tcBorders>
              <w:bottom w:val="single" w:sz="8" w:space="0" w:color="000000"/>
            </w:tcBorders>
            <w:tcMar>
              <w:top w:w="0" w:type="dxa"/>
              <w:left w:w="70" w:type="dxa"/>
              <w:bottom w:w="0" w:type="dxa"/>
              <w:right w:w="70" w:type="dxa"/>
            </w:tcMar>
            <w:vAlign w:val="bottom"/>
            <w:hideMark/>
          </w:tcPr>
          <w:p w14:paraId="41127287" w14:textId="77777777" w:rsidR="00FA457D" w:rsidRPr="00B1089D" w:rsidRDefault="00FA457D" w:rsidP="000610DA">
            <w:pPr>
              <w:widowControl/>
            </w:pPr>
            <w:r w:rsidRPr="00B1089D">
              <w:t>0.0221</w:t>
            </w:r>
          </w:p>
        </w:tc>
        <w:tc>
          <w:tcPr>
            <w:tcW w:w="0" w:type="auto"/>
            <w:tcBorders>
              <w:bottom w:val="single" w:sz="8" w:space="0" w:color="000000"/>
            </w:tcBorders>
            <w:tcMar>
              <w:top w:w="0" w:type="dxa"/>
              <w:left w:w="70" w:type="dxa"/>
              <w:bottom w:w="0" w:type="dxa"/>
              <w:right w:w="70" w:type="dxa"/>
            </w:tcMar>
            <w:vAlign w:val="bottom"/>
            <w:hideMark/>
          </w:tcPr>
          <w:p w14:paraId="7BC08B3E" w14:textId="77777777" w:rsidR="00FA457D" w:rsidRPr="00B1089D" w:rsidRDefault="00FA457D" w:rsidP="000610DA">
            <w:pPr>
              <w:widowControl/>
            </w:pPr>
            <w:r w:rsidRPr="00B1089D">
              <w:t>0.8224</w:t>
            </w:r>
          </w:p>
        </w:tc>
        <w:tc>
          <w:tcPr>
            <w:tcW w:w="0" w:type="auto"/>
            <w:tcBorders>
              <w:bottom w:val="single" w:sz="8" w:space="0" w:color="000000"/>
            </w:tcBorders>
            <w:tcMar>
              <w:top w:w="0" w:type="dxa"/>
              <w:left w:w="70" w:type="dxa"/>
              <w:bottom w:w="0" w:type="dxa"/>
              <w:right w:w="70" w:type="dxa"/>
            </w:tcMar>
            <w:vAlign w:val="bottom"/>
            <w:hideMark/>
          </w:tcPr>
          <w:p w14:paraId="24AAC070" w14:textId="77777777" w:rsidR="00FA457D" w:rsidRPr="00B1089D" w:rsidRDefault="00FA457D" w:rsidP="000610DA">
            <w:pPr>
              <w:widowControl/>
            </w:pPr>
            <w:r w:rsidRPr="00B1089D">
              <w:t>0.8333</w:t>
            </w:r>
          </w:p>
        </w:tc>
        <w:tc>
          <w:tcPr>
            <w:tcW w:w="0" w:type="auto"/>
            <w:tcBorders>
              <w:bottom w:val="single" w:sz="8" w:space="0" w:color="000000"/>
            </w:tcBorders>
            <w:tcMar>
              <w:top w:w="0" w:type="dxa"/>
              <w:left w:w="70" w:type="dxa"/>
              <w:bottom w:w="0" w:type="dxa"/>
              <w:right w:w="70" w:type="dxa"/>
            </w:tcMar>
            <w:vAlign w:val="bottom"/>
            <w:hideMark/>
          </w:tcPr>
          <w:p w14:paraId="45A5465A" w14:textId="77777777" w:rsidR="00FA457D" w:rsidRPr="00B1089D" w:rsidRDefault="00FA457D" w:rsidP="000610DA">
            <w:pPr>
              <w:widowControl/>
            </w:pPr>
            <w:r w:rsidRPr="00B1089D">
              <w:t>0.7491</w:t>
            </w:r>
          </w:p>
        </w:tc>
        <w:tc>
          <w:tcPr>
            <w:tcW w:w="0" w:type="auto"/>
            <w:tcBorders>
              <w:bottom w:val="single" w:sz="8" w:space="0" w:color="000000"/>
            </w:tcBorders>
            <w:tcMar>
              <w:top w:w="0" w:type="dxa"/>
              <w:left w:w="70" w:type="dxa"/>
              <w:bottom w:w="0" w:type="dxa"/>
              <w:right w:w="70" w:type="dxa"/>
            </w:tcMar>
            <w:vAlign w:val="bottom"/>
            <w:hideMark/>
          </w:tcPr>
          <w:p w14:paraId="7088D757" w14:textId="77777777" w:rsidR="00FA457D" w:rsidRPr="00B1089D" w:rsidRDefault="00FA457D" w:rsidP="000610DA">
            <w:pPr>
              <w:widowControl/>
            </w:pPr>
            <w:r w:rsidRPr="00B1089D">
              <w:t>0.8548</w:t>
            </w:r>
          </w:p>
        </w:tc>
        <w:tc>
          <w:tcPr>
            <w:tcW w:w="0" w:type="auto"/>
            <w:tcBorders>
              <w:bottom w:val="single" w:sz="8" w:space="0" w:color="000000"/>
            </w:tcBorders>
            <w:tcMar>
              <w:top w:w="0" w:type="dxa"/>
              <w:left w:w="70" w:type="dxa"/>
              <w:bottom w:w="0" w:type="dxa"/>
              <w:right w:w="70" w:type="dxa"/>
            </w:tcMar>
            <w:vAlign w:val="bottom"/>
            <w:hideMark/>
          </w:tcPr>
          <w:p w14:paraId="4CBA0CFB" w14:textId="77777777" w:rsidR="00FA457D" w:rsidRPr="00B1089D" w:rsidRDefault="00FA457D" w:rsidP="000610DA">
            <w:pPr>
              <w:widowControl/>
            </w:pPr>
            <w:r w:rsidRPr="00B1089D">
              <w:t>0.8657</w:t>
            </w:r>
          </w:p>
        </w:tc>
        <w:tc>
          <w:tcPr>
            <w:tcW w:w="0" w:type="auto"/>
            <w:tcBorders>
              <w:bottom w:val="single" w:sz="8" w:space="0" w:color="000000"/>
            </w:tcBorders>
            <w:tcMar>
              <w:top w:w="0" w:type="dxa"/>
              <w:left w:w="70" w:type="dxa"/>
              <w:bottom w:w="0" w:type="dxa"/>
              <w:right w:w="70" w:type="dxa"/>
            </w:tcMar>
            <w:vAlign w:val="bottom"/>
            <w:hideMark/>
          </w:tcPr>
          <w:p w14:paraId="1890D413" w14:textId="77777777" w:rsidR="00FA457D" w:rsidRPr="00B1089D" w:rsidRDefault="00FA457D" w:rsidP="000610DA">
            <w:pPr>
              <w:widowControl/>
            </w:pPr>
            <w:r w:rsidRPr="00B1089D">
              <w:t>1</w:t>
            </w:r>
          </w:p>
        </w:tc>
      </w:tr>
    </w:tbl>
    <w:p w14:paraId="22A9750E"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calculation</w:t>
      </w:r>
      <w:proofErr w:type="spellEnd"/>
    </w:p>
    <w:p w14:paraId="59FC6D8E"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Variance</w:t>
      </w:r>
      <w:proofErr w:type="spellEnd"/>
      <w:r w:rsidRPr="00B1089D">
        <w:t xml:space="preserve"> </w:t>
      </w:r>
      <w:proofErr w:type="spellStart"/>
      <w:r w:rsidRPr="00B1089D">
        <w:t>Inflation</w:t>
      </w:r>
      <w:proofErr w:type="spellEnd"/>
      <w:r w:rsidRPr="00B1089D">
        <w:t xml:space="preserve"> </w:t>
      </w:r>
      <w:proofErr w:type="spellStart"/>
      <w:r w:rsidRPr="00B1089D">
        <w:t>Factor</w:t>
      </w:r>
      <w:proofErr w:type="spellEnd"/>
      <w:r w:rsidRPr="00B1089D">
        <w:t xml:space="preserve"> (VIF) is a </w:t>
      </w:r>
      <w:proofErr w:type="spellStart"/>
      <w:r w:rsidRPr="00B1089D">
        <w:t>statistical</w:t>
      </w:r>
      <w:proofErr w:type="spellEnd"/>
      <w:r w:rsidRPr="00B1089D">
        <w:t xml:space="preserve"> </w:t>
      </w:r>
      <w:proofErr w:type="spellStart"/>
      <w:r w:rsidRPr="00B1089D">
        <w:t>measure</w:t>
      </w:r>
      <w:proofErr w:type="spellEnd"/>
      <w:r w:rsidRPr="00B1089D">
        <w:t xml:space="preserve"> </w:t>
      </w:r>
      <w:proofErr w:type="spellStart"/>
      <w:r w:rsidRPr="00B1089D">
        <w:t>used</w:t>
      </w:r>
      <w:proofErr w:type="spellEnd"/>
      <w:r w:rsidRPr="00B1089D">
        <w:t xml:space="preserve"> in </w:t>
      </w:r>
      <w:proofErr w:type="spellStart"/>
      <w:r w:rsidRPr="00B1089D">
        <w:t>regression</w:t>
      </w:r>
      <w:proofErr w:type="spellEnd"/>
      <w:r w:rsidRPr="00B1089D">
        <w:t xml:space="preserve"> </w:t>
      </w:r>
      <w:proofErr w:type="spellStart"/>
      <w:r w:rsidRPr="00B1089D">
        <w:t>analysis</w:t>
      </w:r>
      <w:proofErr w:type="spellEnd"/>
      <w:r w:rsidRPr="00B1089D">
        <w:t xml:space="preserve"> </w:t>
      </w:r>
      <w:proofErr w:type="spellStart"/>
      <w:r w:rsidRPr="00B1089D">
        <w:t>to</w:t>
      </w:r>
      <w:proofErr w:type="spellEnd"/>
      <w:r w:rsidRPr="00B1089D">
        <w:t xml:space="preserve"> </w:t>
      </w:r>
      <w:proofErr w:type="spellStart"/>
      <w:r w:rsidRPr="00B1089D">
        <w:t>identify</w:t>
      </w:r>
      <w:proofErr w:type="spellEnd"/>
      <w:r w:rsidRPr="00B1089D">
        <w:t xml:space="preserve"> </w:t>
      </w:r>
      <w:proofErr w:type="spellStart"/>
      <w:r w:rsidRPr="00B1089D">
        <w:t>multicollinearity</w:t>
      </w:r>
      <w:proofErr w:type="spellEnd"/>
      <w:r w:rsidRPr="00B1089D">
        <w:t xml:space="preserve"> </w:t>
      </w:r>
      <w:proofErr w:type="spellStart"/>
      <w:r w:rsidRPr="00B1089D">
        <w:t>among</w:t>
      </w:r>
      <w:proofErr w:type="spellEnd"/>
      <w:r w:rsidRPr="00B1089D">
        <w:t xml:space="preserve"> </w:t>
      </w:r>
      <w:proofErr w:type="spellStart"/>
      <w:r w:rsidRPr="00B1089D">
        <w:t>predictor</w:t>
      </w:r>
      <w:proofErr w:type="spellEnd"/>
      <w:r w:rsidRPr="00B1089D">
        <w:t xml:space="preserve"> </w:t>
      </w:r>
      <w:proofErr w:type="spellStart"/>
      <w:r w:rsidRPr="00B1089D">
        <w:t>variables</w:t>
      </w:r>
      <w:proofErr w:type="spellEnd"/>
      <w:r w:rsidRPr="00B1089D">
        <w:t xml:space="preserve">. VIF </w:t>
      </w:r>
      <w:proofErr w:type="spellStart"/>
      <w:r w:rsidRPr="00B1089D">
        <w:t>measures</w:t>
      </w:r>
      <w:proofErr w:type="spellEnd"/>
      <w:r w:rsidRPr="00B1089D">
        <w:t xml:space="preserve"> how </w:t>
      </w:r>
      <w:proofErr w:type="spellStart"/>
      <w:r w:rsidRPr="00B1089D">
        <w:t>much</w:t>
      </w:r>
      <w:proofErr w:type="spellEnd"/>
      <w:r w:rsidRPr="00B1089D">
        <w:t xml:space="preserve"> a </w:t>
      </w:r>
      <w:proofErr w:type="spellStart"/>
      <w:r w:rsidRPr="00B1089D">
        <w:t>regression</w:t>
      </w:r>
      <w:proofErr w:type="spellEnd"/>
      <w:r w:rsidRPr="00B1089D">
        <w:t xml:space="preserve"> </w:t>
      </w:r>
      <w:proofErr w:type="spellStart"/>
      <w:r w:rsidRPr="00B1089D">
        <w:t>coefficient</w:t>
      </w:r>
      <w:proofErr w:type="spellEnd"/>
      <w:r w:rsidRPr="00B1089D">
        <w:t xml:space="preserve"> is </w:t>
      </w:r>
      <w:proofErr w:type="spellStart"/>
      <w:r w:rsidRPr="00B1089D">
        <w:t>inflated</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multicollinearity</w:t>
      </w:r>
      <w:proofErr w:type="spellEnd"/>
      <w:r w:rsidRPr="00B1089D">
        <w:t xml:space="preserve">. </w:t>
      </w:r>
      <w:proofErr w:type="spellStart"/>
      <w:r w:rsidRPr="00B1089D">
        <w:t>It</w:t>
      </w:r>
      <w:proofErr w:type="spellEnd"/>
      <w:r w:rsidRPr="00B1089D">
        <w:t xml:space="preserve"> </w:t>
      </w:r>
      <w:proofErr w:type="spellStart"/>
      <w:r w:rsidRPr="00B1089D">
        <w:t>measures</w:t>
      </w:r>
      <w:proofErr w:type="spellEnd"/>
      <w:r w:rsidRPr="00B1089D">
        <w:t xml:space="preserve"> how </w:t>
      </w:r>
      <w:proofErr w:type="spellStart"/>
      <w:r w:rsidRPr="00B1089D">
        <w:t>much</w:t>
      </w:r>
      <w:proofErr w:type="spellEnd"/>
      <w:r w:rsidRPr="00B1089D">
        <w:t xml:space="preserve"> </w:t>
      </w:r>
      <w:proofErr w:type="spellStart"/>
      <w:r w:rsidRPr="00B1089D">
        <w:t>the</w:t>
      </w:r>
      <w:proofErr w:type="spellEnd"/>
      <w:r w:rsidRPr="00B1089D">
        <w:t xml:space="preserve"> </w:t>
      </w:r>
      <w:proofErr w:type="spellStart"/>
      <w:r w:rsidRPr="00B1089D">
        <w:t>variance</w:t>
      </w:r>
      <w:proofErr w:type="spellEnd"/>
      <w:r w:rsidRPr="00B1089D">
        <w:t xml:space="preserve"> of </w:t>
      </w:r>
      <w:proofErr w:type="spellStart"/>
      <w:r w:rsidRPr="00B1089D">
        <w:t>the</w:t>
      </w:r>
      <w:proofErr w:type="spellEnd"/>
      <w:r w:rsidRPr="00B1089D">
        <w:t xml:space="preserve"> </w:t>
      </w:r>
      <w:proofErr w:type="spellStart"/>
      <w:r w:rsidRPr="00B1089D">
        <w:t>coefficient</w:t>
      </w:r>
      <w:proofErr w:type="spellEnd"/>
      <w:r w:rsidRPr="00B1089D">
        <w:t xml:space="preserve"> </w:t>
      </w:r>
      <w:proofErr w:type="spellStart"/>
      <w:r w:rsidRPr="00B1089D">
        <w:t>increases</w:t>
      </w:r>
      <w:proofErr w:type="spellEnd"/>
      <w:r w:rsidRPr="00B1089D">
        <w:t xml:space="preserve"> </w:t>
      </w:r>
      <w:proofErr w:type="spellStart"/>
      <w:r w:rsidRPr="00B1089D">
        <w:t>because</w:t>
      </w:r>
      <w:proofErr w:type="spellEnd"/>
      <w:r w:rsidRPr="00B1089D">
        <w:t xml:space="preserve"> of </w:t>
      </w:r>
      <w:proofErr w:type="spellStart"/>
      <w:r w:rsidRPr="00B1089D">
        <w:t>correlation</w:t>
      </w:r>
      <w:proofErr w:type="spellEnd"/>
      <w:r w:rsidRPr="00B1089D">
        <w:t xml:space="preserve"> </w:t>
      </w:r>
      <w:proofErr w:type="spellStart"/>
      <w:r w:rsidRPr="00B1089D">
        <w:t>with</w:t>
      </w:r>
      <w:proofErr w:type="spellEnd"/>
      <w:r w:rsidRPr="00B1089D">
        <w:t xml:space="preserve"> </w:t>
      </w:r>
      <w:proofErr w:type="spellStart"/>
      <w:r w:rsidRPr="00B1089D">
        <w:t>other</w:t>
      </w:r>
      <w:proofErr w:type="spellEnd"/>
      <w:r w:rsidRPr="00B1089D">
        <w:t xml:space="preserve"> </w:t>
      </w:r>
      <w:proofErr w:type="spellStart"/>
      <w:r w:rsidRPr="00B1089D">
        <w:t>predictor</w:t>
      </w:r>
      <w:proofErr w:type="spellEnd"/>
      <w:r w:rsidRPr="00B1089D">
        <w:t xml:space="preserve"> </w:t>
      </w:r>
      <w:proofErr w:type="spellStart"/>
      <w:r w:rsidRPr="00B1089D">
        <w:t>variables</w:t>
      </w:r>
      <w:proofErr w:type="spellEnd"/>
      <w:r w:rsidRPr="00B1089D">
        <w:t xml:space="preserve"> in </w:t>
      </w:r>
      <w:proofErr w:type="spellStart"/>
      <w:r w:rsidRPr="00B1089D">
        <w:t>the</w:t>
      </w:r>
      <w:proofErr w:type="spellEnd"/>
      <w:r w:rsidRPr="00B1089D">
        <w:t xml:space="preserve"> model. A </w:t>
      </w:r>
      <w:proofErr w:type="spellStart"/>
      <w:r w:rsidRPr="00B1089D">
        <w:t>high</w:t>
      </w:r>
      <w:proofErr w:type="spellEnd"/>
      <w:r w:rsidRPr="00B1089D">
        <w:t xml:space="preserve"> VIF </w:t>
      </w:r>
      <w:proofErr w:type="spellStart"/>
      <w:r w:rsidRPr="00B1089D">
        <w:t>value</w:t>
      </w:r>
      <w:proofErr w:type="spellEnd"/>
      <w:r w:rsidRPr="00B1089D">
        <w:t xml:space="preserve"> </w:t>
      </w:r>
      <w:proofErr w:type="spellStart"/>
      <w:r w:rsidRPr="00B1089D">
        <w:t>suggests</w:t>
      </w:r>
      <w:proofErr w:type="spellEnd"/>
      <w:r w:rsidRPr="00B1089D">
        <w:t xml:space="preserve"> a </w:t>
      </w:r>
      <w:proofErr w:type="spellStart"/>
      <w:r w:rsidRPr="00B1089D">
        <w:t>strong</w:t>
      </w:r>
      <w:proofErr w:type="spellEnd"/>
      <w:r w:rsidRPr="00B1089D">
        <w:t xml:space="preserve"> </w:t>
      </w:r>
      <w:proofErr w:type="spellStart"/>
      <w:r w:rsidRPr="00B1089D">
        <w:t>correlation</w:t>
      </w:r>
      <w:proofErr w:type="spellEnd"/>
      <w:r w:rsidRPr="00B1089D">
        <w:t xml:space="preserve"> </w:t>
      </w:r>
      <w:proofErr w:type="spellStart"/>
      <w:r w:rsidRPr="00B1089D">
        <w:t>between</w:t>
      </w:r>
      <w:proofErr w:type="spellEnd"/>
      <w:r w:rsidRPr="00B1089D">
        <w:t xml:space="preserve"> a </w:t>
      </w:r>
      <w:proofErr w:type="spellStart"/>
      <w:r w:rsidRPr="00B1089D">
        <w:t>predictor</w:t>
      </w:r>
      <w:proofErr w:type="spellEnd"/>
      <w:r w:rsidRPr="00B1089D">
        <w:t xml:space="preserve"> </w:t>
      </w:r>
      <w:proofErr w:type="spellStart"/>
      <w:r w:rsidRPr="00B1089D">
        <w:t>variable</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others</w:t>
      </w:r>
      <w:proofErr w:type="spellEnd"/>
      <w:r w:rsidRPr="00B1089D">
        <w:t xml:space="preserve">. </w:t>
      </w:r>
      <w:proofErr w:type="spellStart"/>
      <w:r w:rsidRPr="00B1089D">
        <w:t>The</w:t>
      </w:r>
      <w:proofErr w:type="spellEnd"/>
      <w:r w:rsidRPr="00B1089D">
        <w:t xml:space="preserve"> VIF </w:t>
      </w:r>
      <w:proofErr w:type="spellStart"/>
      <w:r w:rsidRPr="00B1089D">
        <w:t>result</w:t>
      </w:r>
      <w:proofErr w:type="spellEnd"/>
      <w:r w:rsidRPr="00B1089D">
        <w:t xml:space="preserve"> of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is </w:t>
      </w:r>
      <w:proofErr w:type="spellStart"/>
      <w:r w:rsidRPr="00B1089D">
        <w:t>given</w:t>
      </w:r>
      <w:proofErr w:type="spellEnd"/>
      <w:r w:rsidRPr="00B1089D">
        <w:t xml:space="preserve"> in </w:t>
      </w:r>
      <w:proofErr w:type="spellStart"/>
      <w:r w:rsidRPr="00B1089D">
        <w:t>Table</w:t>
      </w:r>
      <w:proofErr w:type="spellEnd"/>
      <w:r w:rsidRPr="00B1089D">
        <w:t xml:space="preserve"> 4.</w:t>
      </w:r>
    </w:p>
    <w:p w14:paraId="4403C7C3" w14:textId="77777777" w:rsidR="00FA457D" w:rsidRPr="00B1089D" w:rsidRDefault="00FA457D" w:rsidP="00E359E0">
      <w:pPr>
        <w:widowControl/>
        <w:jc w:val="both"/>
      </w:pPr>
    </w:p>
    <w:p w14:paraId="6013623F" w14:textId="77777777" w:rsidR="00FA457D" w:rsidRPr="00B1089D" w:rsidRDefault="00FA457D" w:rsidP="00E359E0">
      <w:pPr>
        <w:widowControl/>
        <w:jc w:val="both"/>
      </w:pPr>
      <w:proofErr w:type="spellStart"/>
      <w:r w:rsidRPr="00B1089D">
        <w:rPr>
          <w:b/>
          <w:bCs/>
        </w:rPr>
        <w:t>Table</w:t>
      </w:r>
      <w:proofErr w:type="spellEnd"/>
      <w:r w:rsidRPr="00B1089D">
        <w:rPr>
          <w:b/>
          <w:bCs/>
        </w:rPr>
        <w:t xml:space="preserve"> 4.</w:t>
      </w:r>
      <w:r w:rsidRPr="00B1089D">
        <w:t xml:space="preserve"> </w:t>
      </w:r>
      <w:proofErr w:type="spellStart"/>
      <w:r w:rsidRPr="00B1089D">
        <w:t>Variance</w:t>
      </w:r>
      <w:proofErr w:type="spellEnd"/>
      <w:r w:rsidRPr="00B1089D">
        <w:t xml:space="preserve"> </w:t>
      </w:r>
      <w:proofErr w:type="spellStart"/>
      <w:r w:rsidRPr="00B1089D">
        <w:t>Inflation</w:t>
      </w:r>
      <w:proofErr w:type="spellEnd"/>
      <w:r w:rsidRPr="00B1089D">
        <w:t xml:space="preserve"> </w:t>
      </w:r>
      <w:proofErr w:type="spellStart"/>
      <w:r w:rsidRPr="00B1089D">
        <w:t>Factor</w:t>
      </w:r>
      <w:proofErr w:type="spellEnd"/>
      <w:r w:rsidRPr="00B1089D">
        <w:t xml:space="preserve"> of </w:t>
      </w:r>
      <w:proofErr w:type="spellStart"/>
      <w:r w:rsidRPr="00B1089D">
        <w:t>WGIs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1200"/>
        <w:gridCol w:w="680"/>
        <w:gridCol w:w="740"/>
      </w:tblGrid>
      <w:tr w:rsidR="00FA457D" w:rsidRPr="00B1089D" w14:paraId="4BE81D43" w14:textId="77777777" w:rsidTr="000610DA">
        <w:trPr>
          <w:trHeight w:val="300"/>
        </w:trPr>
        <w:tc>
          <w:tcPr>
            <w:tcW w:w="0" w:type="auto"/>
            <w:tcBorders>
              <w:top w:val="single" w:sz="8" w:space="0" w:color="000000"/>
              <w:bottom w:val="single" w:sz="12" w:space="0" w:color="000000"/>
            </w:tcBorders>
            <w:tcMar>
              <w:top w:w="0" w:type="dxa"/>
              <w:left w:w="70" w:type="dxa"/>
              <w:bottom w:w="0" w:type="dxa"/>
              <w:right w:w="70" w:type="dxa"/>
            </w:tcMar>
            <w:vAlign w:val="center"/>
            <w:hideMark/>
          </w:tcPr>
          <w:p w14:paraId="62AD05FE" w14:textId="0F299D9A" w:rsidR="00FA457D" w:rsidRPr="00B1089D" w:rsidRDefault="00FA457D" w:rsidP="000610DA">
            <w:pPr>
              <w:widowControl/>
            </w:pPr>
          </w:p>
        </w:tc>
        <w:tc>
          <w:tcPr>
            <w:tcW w:w="0" w:type="auto"/>
            <w:tcBorders>
              <w:top w:val="single" w:sz="8" w:space="0" w:color="000000"/>
              <w:bottom w:val="single" w:sz="12" w:space="0" w:color="000000"/>
            </w:tcBorders>
            <w:tcMar>
              <w:top w:w="0" w:type="dxa"/>
              <w:left w:w="70" w:type="dxa"/>
              <w:bottom w:w="0" w:type="dxa"/>
              <w:right w:w="70" w:type="dxa"/>
            </w:tcMar>
            <w:vAlign w:val="center"/>
            <w:hideMark/>
          </w:tcPr>
          <w:p w14:paraId="22CBCBD3" w14:textId="77777777" w:rsidR="00FA457D" w:rsidRPr="00B1089D" w:rsidRDefault="00FA457D" w:rsidP="000610DA">
            <w:pPr>
              <w:widowControl/>
            </w:pPr>
            <w:r w:rsidRPr="00B1089D">
              <w:rPr>
                <w:b/>
                <w:bCs/>
              </w:rPr>
              <w:t>VIF</w:t>
            </w:r>
          </w:p>
        </w:tc>
        <w:tc>
          <w:tcPr>
            <w:tcW w:w="0" w:type="auto"/>
            <w:tcBorders>
              <w:top w:val="single" w:sz="8" w:space="0" w:color="000000"/>
              <w:bottom w:val="single" w:sz="12" w:space="0" w:color="000000"/>
            </w:tcBorders>
            <w:tcMar>
              <w:top w:w="0" w:type="dxa"/>
              <w:left w:w="70" w:type="dxa"/>
              <w:bottom w:w="0" w:type="dxa"/>
              <w:right w:w="70" w:type="dxa"/>
            </w:tcMar>
            <w:vAlign w:val="center"/>
            <w:hideMark/>
          </w:tcPr>
          <w:p w14:paraId="7F571C5D" w14:textId="77777777" w:rsidR="00FA457D" w:rsidRPr="00B1089D" w:rsidRDefault="00FA457D" w:rsidP="000610DA">
            <w:pPr>
              <w:widowControl/>
            </w:pPr>
            <w:r w:rsidRPr="00B1089D">
              <w:rPr>
                <w:b/>
                <w:bCs/>
              </w:rPr>
              <w:t>1/VIF</w:t>
            </w:r>
          </w:p>
        </w:tc>
      </w:tr>
      <w:tr w:rsidR="00FA457D" w:rsidRPr="00B1089D" w14:paraId="22E44099" w14:textId="77777777" w:rsidTr="000610DA">
        <w:trPr>
          <w:trHeight w:val="300"/>
        </w:trPr>
        <w:tc>
          <w:tcPr>
            <w:tcW w:w="0" w:type="auto"/>
            <w:tcBorders>
              <w:top w:val="single" w:sz="12" w:space="0" w:color="000000"/>
            </w:tcBorders>
            <w:tcMar>
              <w:top w:w="0" w:type="dxa"/>
              <w:left w:w="70" w:type="dxa"/>
              <w:bottom w:w="0" w:type="dxa"/>
              <w:right w:w="70" w:type="dxa"/>
            </w:tcMar>
            <w:vAlign w:val="center"/>
            <w:hideMark/>
          </w:tcPr>
          <w:p w14:paraId="22B76863" w14:textId="4A8FE0E8" w:rsidR="00FA457D" w:rsidRPr="00B1089D" w:rsidRDefault="00FA457D" w:rsidP="000610DA">
            <w:pPr>
              <w:widowControl/>
            </w:pPr>
            <w:proofErr w:type="spellStart"/>
            <w:proofErr w:type="gramStart"/>
            <w:r w:rsidRPr="00B1089D">
              <w:rPr>
                <w:b/>
                <w:bCs/>
              </w:rPr>
              <w:t>wrl</w:t>
            </w:r>
            <w:proofErr w:type="spellEnd"/>
            <w:proofErr w:type="gramEnd"/>
          </w:p>
        </w:tc>
        <w:tc>
          <w:tcPr>
            <w:tcW w:w="0" w:type="auto"/>
            <w:tcBorders>
              <w:top w:val="single" w:sz="12" w:space="0" w:color="000000"/>
            </w:tcBorders>
            <w:tcMar>
              <w:top w:w="0" w:type="dxa"/>
              <w:left w:w="70" w:type="dxa"/>
              <w:bottom w:w="0" w:type="dxa"/>
              <w:right w:w="70" w:type="dxa"/>
            </w:tcMar>
            <w:vAlign w:val="center"/>
            <w:hideMark/>
          </w:tcPr>
          <w:p w14:paraId="712C57A8" w14:textId="77777777" w:rsidR="00FA457D" w:rsidRPr="00B1089D" w:rsidRDefault="00FA457D" w:rsidP="000610DA">
            <w:pPr>
              <w:widowControl/>
            </w:pPr>
            <w:r w:rsidRPr="00B1089D">
              <w:t>29.22</w:t>
            </w:r>
          </w:p>
        </w:tc>
        <w:tc>
          <w:tcPr>
            <w:tcW w:w="0" w:type="auto"/>
            <w:tcBorders>
              <w:top w:val="single" w:sz="12" w:space="0" w:color="000000"/>
            </w:tcBorders>
            <w:tcMar>
              <w:top w:w="0" w:type="dxa"/>
              <w:left w:w="70" w:type="dxa"/>
              <w:bottom w:w="0" w:type="dxa"/>
              <w:right w:w="70" w:type="dxa"/>
            </w:tcMar>
            <w:vAlign w:val="center"/>
            <w:hideMark/>
          </w:tcPr>
          <w:p w14:paraId="4D2BC2FD" w14:textId="77777777" w:rsidR="00FA457D" w:rsidRPr="00B1089D" w:rsidRDefault="00FA457D" w:rsidP="000610DA">
            <w:pPr>
              <w:widowControl/>
            </w:pPr>
            <w:r w:rsidRPr="00B1089D">
              <w:t>0.03</w:t>
            </w:r>
          </w:p>
        </w:tc>
      </w:tr>
      <w:tr w:rsidR="00FA457D" w:rsidRPr="00B1089D" w14:paraId="0562F0A0" w14:textId="77777777" w:rsidTr="000610DA">
        <w:trPr>
          <w:trHeight w:val="285"/>
        </w:trPr>
        <w:tc>
          <w:tcPr>
            <w:tcW w:w="0" w:type="auto"/>
            <w:tcMar>
              <w:top w:w="0" w:type="dxa"/>
              <w:left w:w="70" w:type="dxa"/>
              <w:bottom w:w="0" w:type="dxa"/>
              <w:right w:w="70" w:type="dxa"/>
            </w:tcMar>
            <w:vAlign w:val="center"/>
            <w:hideMark/>
          </w:tcPr>
          <w:p w14:paraId="298EFB82" w14:textId="0CB3F475" w:rsidR="00FA457D" w:rsidRPr="00B1089D" w:rsidRDefault="00FA457D" w:rsidP="000610DA">
            <w:pPr>
              <w:widowControl/>
            </w:pPr>
            <w:proofErr w:type="spellStart"/>
            <w:proofErr w:type="gramStart"/>
            <w:r w:rsidRPr="00B1089D">
              <w:rPr>
                <w:b/>
                <w:bCs/>
              </w:rPr>
              <w:t>wcc</w:t>
            </w:r>
            <w:proofErr w:type="spellEnd"/>
            <w:proofErr w:type="gramEnd"/>
          </w:p>
        </w:tc>
        <w:tc>
          <w:tcPr>
            <w:tcW w:w="0" w:type="auto"/>
            <w:tcMar>
              <w:top w:w="0" w:type="dxa"/>
              <w:left w:w="70" w:type="dxa"/>
              <w:bottom w:w="0" w:type="dxa"/>
              <w:right w:w="70" w:type="dxa"/>
            </w:tcMar>
            <w:vAlign w:val="center"/>
            <w:hideMark/>
          </w:tcPr>
          <w:p w14:paraId="6D538077" w14:textId="77777777" w:rsidR="00FA457D" w:rsidRPr="00B1089D" w:rsidRDefault="00FA457D" w:rsidP="000610DA">
            <w:pPr>
              <w:widowControl/>
            </w:pPr>
            <w:r w:rsidRPr="00B1089D">
              <w:t>15.25</w:t>
            </w:r>
          </w:p>
        </w:tc>
        <w:tc>
          <w:tcPr>
            <w:tcW w:w="0" w:type="auto"/>
            <w:tcMar>
              <w:top w:w="0" w:type="dxa"/>
              <w:left w:w="70" w:type="dxa"/>
              <w:bottom w:w="0" w:type="dxa"/>
              <w:right w:w="70" w:type="dxa"/>
            </w:tcMar>
            <w:vAlign w:val="center"/>
            <w:hideMark/>
          </w:tcPr>
          <w:p w14:paraId="3774580E" w14:textId="77777777" w:rsidR="00FA457D" w:rsidRPr="00B1089D" w:rsidRDefault="00FA457D" w:rsidP="000610DA">
            <w:pPr>
              <w:widowControl/>
            </w:pPr>
            <w:r w:rsidRPr="00B1089D">
              <w:t>0.07</w:t>
            </w:r>
          </w:p>
        </w:tc>
      </w:tr>
      <w:tr w:rsidR="00FA457D" w:rsidRPr="00B1089D" w14:paraId="567B653B" w14:textId="77777777" w:rsidTr="000610DA">
        <w:trPr>
          <w:trHeight w:val="285"/>
        </w:trPr>
        <w:tc>
          <w:tcPr>
            <w:tcW w:w="0" w:type="auto"/>
            <w:tcMar>
              <w:top w:w="0" w:type="dxa"/>
              <w:left w:w="70" w:type="dxa"/>
              <w:bottom w:w="0" w:type="dxa"/>
              <w:right w:w="70" w:type="dxa"/>
            </w:tcMar>
            <w:vAlign w:val="center"/>
            <w:hideMark/>
          </w:tcPr>
          <w:p w14:paraId="3FB5CDF1" w14:textId="6EB5ED9D" w:rsidR="00FA457D" w:rsidRPr="00B1089D" w:rsidRDefault="00FA457D" w:rsidP="000610DA">
            <w:pPr>
              <w:widowControl/>
            </w:pPr>
            <w:proofErr w:type="spellStart"/>
            <w:proofErr w:type="gramStart"/>
            <w:r w:rsidRPr="00B1089D">
              <w:rPr>
                <w:b/>
                <w:bCs/>
              </w:rPr>
              <w:t>wge</w:t>
            </w:r>
            <w:proofErr w:type="spellEnd"/>
            <w:proofErr w:type="gramEnd"/>
          </w:p>
        </w:tc>
        <w:tc>
          <w:tcPr>
            <w:tcW w:w="0" w:type="auto"/>
            <w:tcMar>
              <w:top w:w="0" w:type="dxa"/>
              <w:left w:w="70" w:type="dxa"/>
              <w:bottom w:w="0" w:type="dxa"/>
              <w:right w:w="70" w:type="dxa"/>
            </w:tcMar>
            <w:vAlign w:val="center"/>
            <w:hideMark/>
          </w:tcPr>
          <w:p w14:paraId="3CAA69A6" w14:textId="77777777" w:rsidR="00FA457D" w:rsidRPr="00B1089D" w:rsidRDefault="00FA457D" w:rsidP="000610DA">
            <w:pPr>
              <w:widowControl/>
            </w:pPr>
            <w:r w:rsidRPr="00B1089D">
              <w:t>14.53</w:t>
            </w:r>
          </w:p>
        </w:tc>
        <w:tc>
          <w:tcPr>
            <w:tcW w:w="0" w:type="auto"/>
            <w:tcMar>
              <w:top w:w="0" w:type="dxa"/>
              <w:left w:w="70" w:type="dxa"/>
              <w:bottom w:w="0" w:type="dxa"/>
              <w:right w:w="70" w:type="dxa"/>
            </w:tcMar>
            <w:vAlign w:val="center"/>
            <w:hideMark/>
          </w:tcPr>
          <w:p w14:paraId="70A3C9A3" w14:textId="77777777" w:rsidR="00FA457D" w:rsidRPr="00B1089D" w:rsidRDefault="00FA457D" w:rsidP="000610DA">
            <w:pPr>
              <w:widowControl/>
            </w:pPr>
            <w:r w:rsidRPr="00B1089D">
              <w:t>0.07</w:t>
            </w:r>
          </w:p>
        </w:tc>
      </w:tr>
      <w:tr w:rsidR="00FA457D" w:rsidRPr="00B1089D" w14:paraId="65BE0450" w14:textId="77777777" w:rsidTr="000610DA">
        <w:trPr>
          <w:trHeight w:val="285"/>
        </w:trPr>
        <w:tc>
          <w:tcPr>
            <w:tcW w:w="0" w:type="auto"/>
            <w:tcMar>
              <w:top w:w="0" w:type="dxa"/>
              <w:left w:w="70" w:type="dxa"/>
              <w:bottom w:w="0" w:type="dxa"/>
              <w:right w:w="70" w:type="dxa"/>
            </w:tcMar>
            <w:vAlign w:val="center"/>
            <w:hideMark/>
          </w:tcPr>
          <w:p w14:paraId="56E75B61" w14:textId="54699A51" w:rsidR="00FA457D" w:rsidRPr="00B1089D" w:rsidRDefault="00FA457D" w:rsidP="000610DA">
            <w:pPr>
              <w:widowControl/>
            </w:pPr>
            <w:proofErr w:type="spellStart"/>
            <w:proofErr w:type="gramStart"/>
            <w:r w:rsidRPr="00B1089D">
              <w:rPr>
                <w:b/>
                <w:bCs/>
              </w:rPr>
              <w:t>wrq</w:t>
            </w:r>
            <w:proofErr w:type="spellEnd"/>
            <w:proofErr w:type="gramEnd"/>
          </w:p>
        </w:tc>
        <w:tc>
          <w:tcPr>
            <w:tcW w:w="0" w:type="auto"/>
            <w:tcMar>
              <w:top w:w="0" w:type="dxa"/>
              <w:left w:w="70" w:type="dxa"/>
              <w:bottom w:w="0" w:type="dxa"/>
              <w:right w:w="70" w:type="dxa"/>
            </w:tcMar>
            <w:vAlign w:val="center"/>
            <w:hideMark/>
          </w:tcPr>
          <w:p w14:paraId="04A97501" w14:textId="77777777" w:rsidR="00FA457D" w:rsidRPr="00B1089D" w:rsidRDefault="00FA457D" w:rsidP="000610DA">
            <w:pPr>
              <w:widowControl/>
            </w:pPr>
            <w:r w:rsidRPr="00B1089D">
              <w:t>10.40</w:t>
            </w:r>
          </w:p>
        </w:tc>
        <w:tc>
          <w:tcPr>
            <w:tcW w:w="0" w:type="auto"/>
            <w:tcMar>
              <w:top w:w="0" w:type="dxa"/>
              <w:left w:w="70" w:type="dxa"/>
              <w:bottom w:w="0" w:type="dxa"/>
              <w:right w:w="70" w:type="dxa"/>
            </w:tcMar>
            <w:vAlign w:val="center"/>
            <w:hideMark/>
          </w:tcPr>
          <w:p w14:paraId="73FA55E4" w14:textId="77777777" w:rsidR="00FA457D" w:rsidRPr="00B1089D" w:rsidRDefault="00FA457D" w:rsidP="000610DA">
            <w:pPr>
              <w:widowControl/>
            </w:pPr>
            <w:r w:rsidRPr="00B1089D">
              <w:t>0.10</w:t>
            </w:r>
          </w:p>
        </w:tc>
      </w:tr>
      <w:tr w:rsidR="00FA457D" w:rsidRPr="00B1089D" w14:paraId="419CB239" w14:textId="77777777" w:rsidTr="000610DA">
        <w:trPr>
          <w:trHeight w:val="285"/>
        </w:trPr>
        <w:tc>
          <w:tcPr>
            <w:tcW w:w="0" w:type="auto"/>
            <w:tcMar>
              <w:top w:w="0" w:type="dxa"/>
              <w:left w:w="70" w:type="dxa"/>
              <w:bottom w:w="0" w:type="dxa"/>
              <w:right w:w="70" w:type="dxa"/>
            </w:tcMar>
            <w:vAlign w:val="center"/>
            <w:hideMark/>
          </w:tcPr>
          <w:p w14:paraId="45B84DE6" w14:textId="7252000C" w:rsidR="00FA457D" w:rsidRPr="00B1089D" w:rsidRDefault="00FA457D" w:rsidP="000610DA">
            <w:pPr>
              <w:widowControl/>
            </w:pPr>
            <w:proofErr w:type="spellStart"/>
            <w:proofErr w:type="gramStart"/>
            <w:r w:rsidRPr="00B1089D">
              <w:rPr>
                <w:b/>
                <w:bCs/>
              </w:rPr>
              <w:t>wva</w:t>
            </w:r>
            <w:proofErr w:type="spellEnd"/>
            <w:proofErr w:type="gramEnd"/>
          </w:p>
        </w:tc>
        <w:tc>
          <w:tcPr>
            <w:tcW w:w="0" w:type="auto"/>
            <w:tcMar>
              <w:top w:w="0" w:type="dxa"/>
              <w:left w:w="70" w:type="dxa"/>
              <w:bottom w:w="0" w:type="dxa"/>
              <w:right w:w="70" w:type="dxa"/>
            </w:tcMar>
            <w:vAlign w:val="center"/>
            <w:hideMark/>
          </w:tcPr>
          <w:p w14:paraId="4A914C6B" w14:textId="77777777" w:rsidR="00FA457D" w:rsidRPr="00B1089D" w:rsidRDefault="00FA457D" w:rsidP="000610DA">
            <w:pPr>
              <w:widowControl/>
            </w:pPr>
            <w:r w:rsidRPr="00B1089D">
              <w:t>4.49</w:t>
            </w:r>
          </w:p>
        </w:tc>
        <w:tc>
          <w:tcPr>
            <w:tcW w:w="0" w:type="auto"/>
            <w:tcMar>
              <w:top w:w="0" w:type="dxa"/>
              <w:left w:w="70" w:type="dxa"/>
              <w:bottom w:w="0" w:type="dxa"/>
              <w:right w:w="70" w:type="dxa"/>
            </w:tcMar>
            <w:vAlign w:val="center"/>
            <w:hideMark/>
          </w:tcPr>
          <w:p w14:paraId="432D72DF" w14:textId="77777777" w:rsidR="00FA457D" w:rsidRPr="00B1089D" w:rsidRDefault="00FA457D" w:rsidP="000610DA">
            <w:pPr>
              <w:widowControl/>
            </w:pPr>
            <w:r w:rsidRPr="00B1089D">
              <w:t>0.22</w:t>
            </w:r>
          </w:p>
        </w:tc>
      </w:tr>
      <w:tr w:rsidR="00FA457D" w:rsidRPr="00B1089D" w14:paraId="1E1EA048" w14:textId="77777777" w:rsidTr="000610DA">
        <w:trPr>
          <w:trHeight w:val="285"/>
        </w:trPr>
        <w:tc>
          <w:tcPr>
            <w:tcW w:w="0" w:type="auto"/>
            <w:tcBorders>
              <w:bottom w:val="single" w:sz="4" w:space="0" w:color="000000"/>
            </w:tcBorders>
            <w:tcMar>
              <w:top w:w="0" w:type="dxa"/>
              <w:left w:w="70" w:type="dxa"/>
              <w:bottom w:w="0" w:type="dxa"/>
              <w:right w:w="70" w:type="dxa"/>
            </w:tcMar>
            <w:vAlign w:val="center"/>
            <w:hideMark/>
          </w:tcPr>
          <w:p w14:paraId="336E0D0C" w14:textId="4ED8B868" w:rsidR="00FA457D" w:rsidRPr="00B1089D" w:rsidRDefault="00FA457D" w:rsidP="000610DA">
            <w:pPr>
              <w:widowControl/>
            </w:pPr>
            <w:proofErr w:type="spellStart"/>
            <w:proofErr w:type="gramStart"/>
            <w:r w:rsidRPr="00B1089D">
              <w:rPr>
                <w:b/>
                <w:bCs/>
              </w:rPr>
              <w:lastRenderedPageBreak/>
              <w:t>wps</w:t>
            </w:r>
            <w:proofErr w:type="spellEnd"/>
            <w:proofErr w:type="gramEnd"/>
          </w:p>
        </w:tc>
        <w:tc>
          <w:tcPr>
            <w:tcW w:w="0" w:type="auto"/>
            <w:tcBorders>
              <w:bottom w:val="single" w:sz="4" w:space="0" w:color="000000"/>
            </w:tcBorders>
            <w:tcMar>
              <w:top w:w="0" w:type="dxa"/>
              <w:left w:w="70" w:type="dxa"/>
              <w:bottom w:w="0" w:type="dxa"/>
              <w:right w:w="70" w:type="dxa"/>
            </w:tcMar>
            <w:vAlign w:val="center"/>
            <w:hideMark/>
          </w:tcPr>
          <w:p w14:paraId="1FF7651F" w14:textId="77777777" w:rsidR="00FA457D" w:rsidRPr="00B1089D" w:rsidRDefault="00FA457D" w:rsidP="000610DA">
            <w:pPr>
              <w:widowControl/>
            </w:pPr>
            <w:r w:rsidRPr="00B1089D">
              <w:t>2.75</w:t>
            </w:r>
          </w:p>
        </w:tc>
        <w:tc>
          <w:tcPr>
            <w:tcW w:w="0" w:type="auto"/>
            <w:tcBorders>
              <w:bottom w:val="single" w:sz="4" w:space="0" w:color="000000"/>
            </w:tcBorders>
            <w:tcMar>
              <w:top w:w="0" w:type="dxa"/>
              <w:left w:w="70" w:type="dxa"/>
              <w:bottom w:w="0" w:type="dxa"/>
              <w:right w:w="70" w:type="dxa"/>
            </w:tcMar>
            <w:vAlign w:val="center"/>
            <w:hideMark/>
          </w:tcPr>
          <w:p w14:paraId="70EF0EFB" w14:textId="77777777" w:rsidR="00FA457D" w:rsidRPr="00B1089D" w:rsidRDefault="00FA457D" w:rsidP="000610DA">
            <w:pPr>
              <w:widowControl/>
            </w:pPr>
            <w:r w:rsidRPr="00B1089D">
              <w:t>0.36</w:t>
            </w:r>
          </w:p>
        </w:tc>
      </w:tr>
      <w:tr w:rsidR="00FA457D" w:rsidRPr="00B1089D" w14:paraId="5D3B106D" w14:textId="77777777" w:rsidTr="000610DA">
        <w:trPr>
          <w:trHeight w:val="300"/>
        </w:trPr>
        <w:tc>
          <w:tcPr>
            <w:tcW w:w="0" w:type="auto"/>
            <w:tcBorders>
              <w:top w:val="single" w:sz="4" w:space="0" w:color="000000"/>
              <w:bottom w:val="single" w:sz="8" w:space="0" w:color="000000"/>
            </w:tcBorders>
            <w:tcMar>
              <w:top w:w="0" w:type="dxa"/>
              <w:left w:w="70" w:type="dxa"/>
              <w:bottom w:w="0" w:type="dxa"/>
              <w:right w:w="70" w:type="dxa"/>
            </w:tcMar>
            <w:vAlign w:val="center"/>
            <w:hideMark/>
          </w:tcPr>
          <w:p w14:paraId="17F7AF9E" w14:textId="6B2744EC" w:rsidR="00FA457D" w:rsidRPr="00B1089D" w:rsidRDefault="00FA457D" w:rsidP="000610DA">
            <w:pPr>
              <w:widowControl/>
            </w:pPr>
            <w:proofErr w:type="spellStart"/>
            <w:r w:rsidRPr="00B1089D">
              <w:rPr>
                <w:b/>
                <w:bCs/>
              </w:rPr>
              <w:t>Mean</w:t>
            </w:r>
            <w:proofErr w:type="spellEnd"/>
            <w:r w:rsidRPr="00B1089D">
              <w:rPr>
                <w:b/>
                <w:bCs/>
              </w:rPr>
              <w:t xml:space="preserve"> VIF</w:t>
            </w:r>
          </w:p>
        </w:tc>
        <w:tc>
          <w:tcPr>
            <w:tcW w:w="0" w:type="auto"/>
            <w:tcBorders>
              <w:top w:val="single" w:sz="4" w:space="0" w:color="000000"/>
              <w:bottom w:val="single" w:sz="8" w:space="0" w:color="000000"/>
            </w:tcBorders>
            <w:tcMar>
              <w:top w:w="0" w:type="dxa"/>
              <w:left w:w="70" w:type="dxa"/>
              <w:bottom w:w="0" w:type="dxa"/>
              <w:right w:w="70" w:type="dxa"/>
            </w:tcMar>
            <w:vAlign w:val="center"/>
            <w:hideMark/>
          </w:tcPr>
          <w:p w14:paraId="1419027D" w14:textId="77777777" w:rsidR="00FA457D" w:rsidRPr="00B1089D" w:rsidRDefault="00FA457D" w:rsidP="000610DA">
            <w:pPr>
              <w:widowControl/>
            </w:pPr>
            <w:r w:rsidRPr="00B1089D">
              <w:t>12.77</w:t>
            </w:r>
          </w:p>
        </w:tc>
        <w:tc>
          <w:tcPr>
            <w:tcW w:w="0" w:type="auto"/>
            <w:tcBorders>
              <w:top w:val="single" w:sz="4" w:space="0" w:color="000000"/>
              <w:bottom w:val="single" w:sz="8" w:space="0" w:color="000000"/>
            </w:tcBorders>
            <w:tcMar>
              <w:top w:w="0" w:type="dxa"/>
              <w:left w:w="70" w:type="dxa"/>
              <w:bottom w:w="0" w:type="dxa"/>
              <w:right w:w="70" w:type="dxa"/>
            </w:tcMar>
            <w:vAlign w:val="center"/>
            <w:hideMark/>
          </w:tcPr>
          <w:p w14:paraId="1E8130D5" w14:textId="77777777" w:rsidR="00FA457D" w:rsidRPr="00B1089D" w:rsidRDefault="00FA457D" w:rsidP="000610DA">
            <w:pPr>
              <w:widowControl/>
            </w:pPr>
            <w:r w:rsidRPr="00B1089D">
              <w:t>.</w:t>
            </w:r>
          </w:p>
        </w:tc>
      </w:tr>
    </w:tbl>
    <w:p w14:paraId="3DF21684"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calculation</w:t>
      </w:r>
      <w:proofErr w:type="spellEnd"/>
    </w:p>
    <w:p w14:paraId="0B569588" w14:textId="5C8BF516" w:rsidR="00FA457D" w:rsidRPr="00D10870" w:rsidRDefault="00FA457D" w:rsidP="00E359E0">
      <w:pPr>
        <w:widowControl/>
        <w:jc w:val="both"/>
      </w:pP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uses</w:t>
      </w:r>
      <w:proofErr w:type="spellEnd"/>
      <w:r w:rsidRPr="00B1089D">
        <w:t xml:space="preserve"> </w:t>
      </w:r>
      <w:proofErr w:type="spellStart"/>
      <w:r w:rsidRPr="00B1089D">
        <w:t>Principal</w:t>
      </w:r>
      <w:proofErr w:type="spellEnd"/>
      <w:r w:rsidRPr="00B1089D">
        <w:t xml:space="preserve"> Component Analysis (PCA) </w:t>
      </w:r>
      <w:proofErr w:type="spellStart"/>
      <w:r w:rsidRPr="00B1089D">
        <w:t>to</w:t>
      </w:r>
      <w:proofErr w:type="spellEnd"/>
      <w:r w:rsidRPr="00B1089D">
        <w:t xml:space="preserve"> </w:t>
      </w:r>
      <w:proofErr w:type="spellStart"/>
      <w:r w:rsidRPr="00B1089D">
        <w:t>tackle</w:t>
      </w:r>
      <w:proofErr w:type="spellEnd"/>
      <w:r w:rsidRPr="00B1089D">
        <w:t xml:space="preserve"> </w:t>
      </w:r>
      <w:proofErr w:type="spellStart"/>
      <w:r w:rsidRPr="00B1089D">
        <w:t>multicollinearity</w:t>
      </w:r>
      <w:proofErr w:type="spellEnd"/>
      <w:r w:rsidRPr="00B1089D">
        <w:t xml:space="preserve"> </w:t>
      </w:r>
      <w:proofErr w:type="spellStart"/>
      <w:r w:rsidRPr="00B1089D">
        <w:t>issues</w:t>
      </w:r>
      <w:proofErr w:type="spellEnd"/>
      <w:r w:rsidRPr="00B1089D">
        <w:t xml:space="preserve">. </w:t>
      </w:r>
      <w:proofErr w:type="spellStart"/>
      <w:r w:rsidRPr="00B1089D">
        <w:t>By</w:t>
      </w:r>
      <w:proofErr w:type="spellEnd"/>
      <w:r w:rsidRPr="00B1089D">
        <w:t xml:space="preserve"> </w:t>
      </w:r>
      <w:proofErr w:type="spellStart"/>
      <w:r w:rsidRPr="00B1089D">
        <w:t>applying</w:t>
      </w:r>
      <w:proofErr w:type="spellEnd"/>
      <w:r w:rsidRPr="00B1089D">
        <w:t xml:space="preserve"> PCA,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reduce</w:t>
      </w:r>
      <w:proofErr w:type="spellEnd"/>
      <w:r w:rsidRPr="00B1089D">
        <w:t xml:space="preserve"> </w:t>
      </w:r>
      <w:proofErr w:type="spellStart"/>
      <w:r w:rsidRPr="00B1089D">
        <w:t>the</w:t>
      </w:r>
      <w:proofErr w:type="spellEnd"/>
      <w:r w:rsidRPr="00B1089D">
        <w:t xml:space="preserve"> </w:t>
      </w:r>
      <w:proofErr w:type="spellStart"/>
      <w:r w:rsidRPr="00B1089D">
        <w:t>dimensionality</w:t>
      </w:r>
      <w:proofErr w:type="spellEnd"/>
      <w:r w:rsidRPr="00B1089D">
        <w:t xml:space="preserve"> of </w:t>
      </w:r>
      <w:proofErr w:type="spellStart"/>
      <w:r w:rsidRPr="00B1089D">
        <w:t>the</w:t>
      </w:r>
      <w:proofErr w:type="spellEnd"/>
      <w:r w:rsidRPr="00B1089D">
        <w:t xml:space="preserve"> </w:t>
      </w:r>
      <w:proofErr w:type="spellStart"/>
      <w:r w:rsidRPr="00B1089D">
        <w:t>dataset</w:t>
      </w:r>
      <w:proofErr w:type="spellEnd"/>
      <w:r w:rsidRPr="00B1089D">
        <w:t xml:space="preserve"> of </w:t>
      </w:r>
      <w:proofErr w:type="spellStart"/>
      <w:r w:rsidRPr="00B1089D">
        <w:t>WGIs</w:t>
      </w:r>
      <w:proofErr w:type="spellEnd"/>
      <w:r w:rsidRPr="00B1089D">
        <w:t xml:space="preserve"> </w:t>
      </w:r>
      <w:proofErr w:type="spellStart"/>
      <w:r w:rsidRPr="00B1089D">
        <w:t>and</w:t>
      </w:r>
      <w:proofErr w:type="spellEnd"/>
      <w:r w:rsidRPr="00B1089D">
        <w:t xml:space="preserve"> </w:t>
      </w:r>
      <w:proofErr w:type="spellStart"/>
      <w:r w:rsidRPr="00B1089D">
        <w:t>enhance</w:t>
      </w:r>
      <w:proofErr w:type="spellEnd"/>
      <w:r w:rsidRPr="00B1089D">
        <w:t xml:space="preserve"> </w:t>
      </w:r>
      <w:proofErr w:type="spellStart"/>
      <w:r w:rsidRPr="00B1089D">
        <w:t>the</w:t>
      </w:r>
      <w:proofErr w:type="spellEnd"/>
      <w:r w:rsidRPr="00B1089D">
        <w:t xml:space="preserve"> </w:t>
      </w:r>
      <w:proofErr w:type="spellStart"/>
      <w:r w:rsidRPr="00B1089D">
        <w:t>stability</w:t>
      </w:r>
      <w:proofErr w:type="spellEnd"/>
      <w:r w:rsidRPr="00B1089D">
        <w:t xml:space="preserve"> of </w:t>
      </w:r>
      <w:proofErr w:type="spellStart"/>
      <w:r w:rsidRPr="00B1089D">
        <w:t>the</w:t>
      </w:r>
      <w:proofErr w:type="spellEnd"/>
      <w:r w:rsidRPr="00B1089D">
        <w:t xml:space="preserve"> </w:t>
      </w:r>
      <w:proofErr w:type="spellStart"/>
      <w:r w:rsidRPr="00B1089D">
        <w:t>regression</w:t>
      </w:r>
      <w:proofErr w:type="spellEnd"/>
      <w:r w:rsidRPr="00B1089D">
        <w:t xml:space="preserve"> model.</w:t>
      </w:r>
    </w:p>
    <w:p w14:paraId="13B33223" w14:textId="77777777" w:rsidR="00FA457D" w:rsidRPr="00B1089D" w:rsidRDefault="00FA457D" w:rsidP="00E359E0">
      <w:pPr>
        <w:widowControl/>
        <w:jc w:val="both"/>
      </w:pPr>
    </w:p>
    <w:p w14:paraId="5C97373D" w14:textId="77777777" w:rsidR="00FA457D" w:rsidRPr="00B1089D" w:rsidRDefault="00FA457D" w:rsidP="00E359E0">
      <w:pPr>
        <w:widowControl/>
        <w:jc w:val="both"/>
      </w:pPr>
      <w:proofErr w:type="spellStart"/>
      <w:r w:rsidRPr="00B1089D">
        <w:rPr>
          <w:b/>
          <w:bCs/>
        </w:rPr>
        <w:t>Methodology</w:t>
      </w:r>
      <w:proofErr w:type="spellEnd"/>
    </w:p>
    <w:p w14:paraId="302F06CA" w14:textId="77777777" w:rsidR="00FA457D" w:rsidRPr="00B1089D" w:rsidRDefault="00FA457D" w:rsidP="00E359E0">
      <w:pPr>
        <w:widowControl/>
        <w:jc w:val="both"/>
      </w:pPr>
      <w:proofErr w:type="spellStart"/>
      <w:r w:rsidRPr="00B1089D">
        <w:t>The</w:t>
      </w:r>
      <w:proofErr w:type="spellEnd"/>
      <w:r w:rsidRPr="00B1089D">
        <w:t xml:space="preserve"> main problem </w:t>
      </w:r>
      <w:proofErr w:type="spellStart"/>
      <w:r w:rsidRPr="00B1089D">
        <w:t>that</w:t>
      </w:r>
      <w:proofErr w:type="spellEnd"/>
      <w:r w:rsidRPr="00B1089D">
        <w:t xml:space="preserve"> is </w:t>
      </w:r>
      <w:proofErr w:type="spellStart"/>
      <w:r w:rsidRPr="00B1089D">
        <w:t>tried</w:t>
      </w:r>
      <w:proofErr w:type="spellEnd"/>
      <w:r w:rsidRPr="00B1089D">
        <w:t xml:space="preserve"> </w:t>
      </w:r>
      <w:proofErr w:type="spellStart"/>
      <w:r w:rsidRPr="00B1089D">
        <w:t>to</w:t>
      </w:r>
      <w:proofErr w:type="spellEnd"/>
      <w:r w:rsidRPr="00B1089D">
        <w:t xml:space="preserve"> be put </w:t>
      </w:r>
      <w:proofErr w:type="spellStart"/>
      <w:r w:rsidRPr="00B1089D">
        <w:t>forward</w:t>
      </w:r>
      <w:proofErr w:type="spellEnd"/>
      <w:r w:rsidRPr="00B1089D">
        <w:t xml:space="preserve"> in </w:t>
      </w:r>
      <w:proofErr w:type="spellStart"/>
      <w:r w:rsidRPr="00B1089D">
        <w:t>the</w:t>
      </w:r>
      <w:proofErr w:type="spellEnd"/>
      <w:r w:rsidRPr="00B1089D">
        <w:t xml:space="preserve"> panel </w:t>
      </w:r>
      <w:proofErr w:type="gramStart"/>
      <w:r w:rsidRPr="00B1089D">
        <w:t>data</w:t>
      </w:r>
      <w:proofErr w:type="gramEnd"/>
      <w:r w:rsidRPr="00B1089D">
        <w:t xml:space="preserve"> </w:t>
      </w:r>
      <w:proofErr w:type="spellStart"/>
      <w:r w:rsidRPr="00B1089D">
        <w:t>analysis</w:t>
      </w:r>
      <w:proofErr w:type="spellEnd"/>
      <w:r w:rsidRPr="00B1089D">
        <w:t xml:space="preserve"> </w:t>
      </w:r>
      <w:proofErr w:type="spellStart"/>
      <w:r w:rsidRPr="00B1089D">
        <w:t>part</w:t>
      </w:r>
      <w:proofErr w:type="spellEnd"/>
      <w:r w:rsidRPr="00B1089D">
        <w:t xml:space="preserve"> of </w:t>
      </w:r>
      <w:proofErr w:type="spellStart"/>
      <w:r w:rsidRPr="00B1089D">
        <w:t>this</w:t>
      </w:r>
      <w:proofErr w:type="spellEnd"/>
      <w:r w:rsidRPr="00B1089D">
        <w:t xml:space="preserve"> </w:t>
      </w:r>
      <w:proofErr w:type="spellStart"/>
      <w:r w:rsidRPr="00B1089D">
        <w:t>study</w:t>
      </w:r>
      <w:proofErr w:type="spellEnd"/>
      <w:r w:rsidRPr="00B1089D">
        <w:t xml:space="preserve"> is </w:t>
      </w:r>
      <w:proofErr w:type="spellStart"/>
      <w:r w:rsidRPr="00B1089D">
        <w:t>to</w:t>
      </w:r>
      <w:proofErr w:type="spellEnd"/>
      <w:r w:rsidRPr="00B1089D">
        <w:t xml:space="preserve"> </w:t>
      </w:r>
      <w:proofErr w:type="spellStart"/>
      <w:r w:rsidRPr="00B1089D">
        <w:t>find</w:t>
      </w:r>
      <w:proofErr w:type="spellEnd"/>
      <w:r w:rsidRPr="00B1089D">
        <w:t xml:space="preserve"> an </w:t>
      </w:r>
      <w:proofErr w:type="spellStart"/>
      <w:r w:rsidRPr="00B1089D">
        <w:t>answer</w:t>
      </w:r>
      <w:proofErr w:type="spellEnd"/>
      <w:r w:rsidRPr="00B1089D">
        <w:t xml:space="preserve"> </w:t>
      </w:r>
      <w:proofErr w:type="spellStart"/>
      <w:r w:rsidRPr="00B1089D">
        <w:t>to</w:t>
      </w:r>
      <w:proofErr w:type="spellEnd"/>
      <w:r w:rsidRPr="00B1089D">
        <w:t xml:space="preserve"> how </w:t>
      </w:r>
      <w:proofErr w:type="spellStart"/>
      <w:r w:rsidRPr="00B1089D">
        <w:t>governance</w:t>
      </w:r>
      <w:proofErr w:type="spellEnd"/>
      <w:r w:rsidRPr="00B1089D">
        <w:t xml:space="preserve"> </w:t>
      </w:r>
      <w:proofErr w:type="spellStart"/>
      <w:r w:rsidRPr="00B1089D">
        <w:t>affects</w:t>
      </w:r>
      <w:proofErr w:type="spellEnd"/>
      <w:r w:rsidRPr="00B1089D">
        <w:t xml:space="preserve"> </w:t>
      </w:r>
      <w:proofErr w:type="spellStart"/>
      <w:r w:rsidRPr="00B1089D">
        <w:t>the</w:t>
      </w:r>
      <w:proofErr w:type="spellEnd"/>
      <w:r w:rsidRPr="00B1089D">
        <w:t xml:space="preserve"> </w:t>
      </w:r>
      <w:proofErr w:type="spellStart"/>
      <w:r w:rsidRPr="00B1089D">
        <w:t>country's</w:t>
      </w:r>
      <w:proofErr w:type="spellEnd"/>
      <w:r w:rsidRPr="00B1089D">
        <w:t xml:space="preserve"> GDP. </w:t>
      </w:r>
      <w:proofErr w:type="spellStart"/>
      <w:r w:rsidRPr="00B1089D">
        <w:t>Therefore</w:t>
      </w:r>
      <w:proofErr w:type="spellEnd"/>
      <w:r w:rsidRPr="00B1089D">
        <w:t xml:space="preserve">, </w:t>
      </w:r>
      <w:proofErr w:type="spellStart"/>
      <w:r w:rsidRPr="00B1089D">
        <w:t>the</w:t>
      </w:r>
      <w:proofErr w:type="spellEnd"/>
      <w:r w:rsidRPr="00B1089D">
        <w:t xml:space="preserve"> main </w:t>
      </w:r>
      <w:proofErr w:type="spellStart"/>
      <w:r w:rsidRPr="00B1089D">
        <w:t>hypotheses</w:t>
      </w:r>
      <w:proofErr w:type="spellEnd"/>
      <w:r w:rsidRPr="00B1089D">
        <w:t xml:space="preserve"> can be </w:t>
      </w:r>
      <w:proofErr w:type="spellStart"/>
      <w:r w:rsidRPr="00B1089D">
        <w:t>established</w:t>
      </w:r>
      <w:proofErr w:type="spellEnd"/>
      <w:r w:rsidRPr="00B1089D">
        <w:t xml:space="preserve"> as </w:t>
      </w:r>
      <w:proofErr w:type="spellStart"/>
      <w:r w:rsidRPr="00B1089D">
        <w:t>follows</w:t>
      </w:r>
      <w:proofErr w:type="spellEnd"/>
      <w:r w:rsidRPr="00B1089D">
        <w:t>.</w:t>
      </w:r>
    </w:p>
    <w:p w14:paraId="17242EE1" w14:textId="77777777" w:rsidR="00FA457D" w:rsidRPr="00B1089D" w:rsidRDefault="00FA457D" w:rsidP="00E359E0">
      <w:pPr>
        <w:widowControl/>
        <w:jc w:val="both"/>
      </w:pPr>
      <w:r w:rsidRPr="00B1089D">
        <w:t>H</w:t>
      </w:r>
      <w:r w:rsidRPr="00B1089D">
        <w:rPr>
          <w:vertAlign w:val="subscript"/>
        </w:rPr>
        <w:t>0</w:t>
      </w:r>
      <w:r w:rsidRPr="00B1089D">
        <w:t xml:space="preserve">: </w:t>
      </w:r>
      <w:proofErr w:type="spellStart"/>
      <w:r w:rsidRPr="00B1089D">
        <w:t>Governance</w:t>
      </w:r>
      <w:proofErr w:type="spellEnd"/>
      <w:r w:rsidRPr="00B1089D">
        <w:t xml:space="preserve"> </w:t>
      </w:r>
      <w:proofErr w:type="spellStart"/>
      <w:r w:rsidRPr="00B1089D">
        <w:t>affects</w:t>
      </w:r>
      <w:proofErr w:type="spellEnd"/>
      <w:r w:rsidRPr="00B1089D">
        <w:t xml:space="preserve"> GDP </w:t>
      </w:r>
      <w:proofErr w:type="spellStart"/>
      <w:r w:rsidRPr="00B1089D">
        <w:t>value</w:t>
      </w:r>
      <w:proofErr w:type="spellEnd"/>
      <w:r w:rsidRPr="00B1089D">
        <w:t xml:space="preserve"> </w:t>
      </w:r>
      <w:proofErr w:type="spellStart"/>
      <w:r w:rsidRPr="00B1089D">
        <w:t>significantly</w:t>
      </w:r>
      <w:proofErr w:type="spellEnd"/>
      <w:r w:rsidRPr="00B1089D">
        <w:t xml:space="preserve"> </w:t>
      </w:r>
      <w:proofErr w:type="spellStart"/>
      <w:r w:rsidRPr="00B1089D">
        <w:t>within</w:t>
      </w:r>
      <w:proofErr w:type="spellEnd"/>
      <w:r w:rsidRPr="00B1089D">
        <w:t xml:space="preserve"> a </w:t>
      </w:r>
      <w:proofErr w:type="spellStart"/>
      <w:r w:rsidRPr="00B1089D">
        <w:t>specified</w:t>
      </w:r>
      <w:proofErr w:type="spellEnd"/>
      <w:r w:rsidRPr="00B1089D">
        <w:t xml:space="preserve"> </w:t>
      </w:r>
      <w:proofErr w:type="spellStart"/>
      <w:r w:rsidRPr="00B1089D">
        <w:t>region</w:t>
      </w:r>
      <w:proofErr w:type="spellEnd"/>
      <w:r w:rsidRPr="00B1089D">
        <w:t>.</w:t>
      </w:r>
    </w:p>
    <w:p w14:paraId="622729C1" w14:textId="77777777" w:rsidR="00FA457D" w:rsidRPr="00B1089D" w:rsidRDefault="00FA457D" w:rsidP="00E359E0">
      <w:pPr>
        <w:widowControl/>
        <w:jc w:val="both"/>
      </w:pPr>
      <w:r w:rsidRPr="00B1089D">
        <w:t>H</w:t>
      </w:r>
      <w:r w:rsidRPr="00B1089D">
        <w:rPr>
          <w:vertAlign w:val="subscript"/>
        </w:rPr>
        <w:t>a</w:t>
      </w:r>
      <w:r w:rsidRPr="00B1089D">
        <w:t xml:space="preserve">: </w:t>
      </w:r>
      <w:proofErr w:type="spellStart"/>
      <w:r w:rsidRPr="00B1089D">
        <w:t>Governance</w:t>
      </w:r>
      <w:proofErr w:type="spellEnd"/>
      <w:r w:rsidRPr="00B1089D">
        <w:t xml:space="preserve"> </w:t>
      </w:r>
      <w:proofErr w:type="spellStart"/>
      <w:r w:rsidRPr="00B1089D">
        <w:t>does</w:t>
      </w:r>
      <w:proofErr w:type="spellEnd"/>
      <w:r w:rsidRPr="00B1089D">
        <w:t xml:space="preserve"> not </w:t>
      </w:r>
      <w:proofErr w:type="spellStart"/>
      <w:r w:rsidRPr="00B1089D">
        <w:t>affect</w:t>
      </w:r>
      <w:proofErr w:type="spellEnd"/>
      <w:r w:rsidRPr="00B1089D">
        <w:t xml:space="preserve"> GDP </w:t>
      </w:r>
      <w:proofErr w:type="spellStart"/>
      <w:r w:rsidRPr="00B1089D">
        <w:t>value</w:t>
      </w:r>
      <w:proofErr w:type="spellEnd"/>
      <w:r w:rsidRPr="00B1089D">
        <w:t xml:space="preserve"> </w:t>
      </w:r>
      <w:proofErr w:type="spellStart"/>
      <w:r w:rsidRPr="00B1089D">
        <w:t>insignificantly</w:t>
      </w:r>
      <w:proofErr w:type="spellEnd"/>
      <w:r w:rsidRPr="00B1089D">
        <w:t xml:space="preserve"> </w:t>
      </w:r>
      <w:proofErr w:type="spellStart"/>
      <w:r w:rsidRPr="00B1089D">
        <w:t>within</w:t>
      </w:r>
      <w:proofErr w:type="spellEnd"/>
      <w:r w:rsidRPr="00B1089D">
        <w:t xml:space="preserve"> a </w:t>
      </w:r>
      <w:proofErr w:type="spellStart"/>
      <w:r w:rsidRPr="00B1089D">
        <w:t>specified</w:t>
      </w:r>
      <w:proofErr w:type="spellEnd"/>
      <w:r w:rsidRPr="00B1089D">
        <w:t xml:space="preserve"> </w:t>
      </w:r>
      <w:proofErr w:type="spellStart"/>
      <w:r w:rsidRPr="00B1089D">
        <w:t>region</w:t>
      </w:r>
      <w:proofErr w:type="spellEnd"/>
      <w:r w:rsidRPr="00B1089D">
        <w:t>.</w:t>
      </w:r>
    </w:p>
    <w:p w14:paraId="1379BDEA" w14:textId="77777777"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econometric</w:t>
      </w:r>
      <w:proofErr w:type="spellEnd"/>
      <w:r w:rsidRPr="00B1089D">
        <w:t xml:space="preserve"> model </w:t>
      </w:r>
      <w:proofErr w:type="spellStart"/>
      <w:r w:rsidRPr="00B1089D">
        <w:t>formula</w:t>
      </w:r>
      <w:proofErr w:type="spellEnd"/>
      <w:r w:rsidRPr="00B1089D">
        <w:t xml:space="preserve"> </w:t>
      </w:r>
      <w:proofErr w:type="spellStart"/>
      <w:r w:rsidRPr="00B1089D">
        <w:t>prepared</w:t>
      </w:r>
      <w:proofErr w:type="spellEnd"/>
      <w:r w:rsidRPr="00B1089D">
        <w:t xml:space="preserve"> </w:t>
      </w:r>
      <w:proofErr w:type="spellStart"/>
      <w:r w:rsidRPr="00B1089D">
        <w:t>to</w:t>
      </w:r>
      <w:proofErr w:type="spellEnd"/>
      <w:r w:rsidRPr="00B1089D">
        <w:t xml:space="preserve"> </w:t>
      </w:r>
      <w:proofErr w:type="spellStart"/>
      <w:r w:rsidRPr="00B1089D">
        <w:t>seek</w:t>
      </w:r>
      <w:proofErr w:type="spellEnd"/>
      <w:r w:rsidRPr="00B1089D">
        <w:t xml:space="preserve"> </w:t>
      </w:r>
      <w:proofErr w:type="spellStart"/>
      <w:r w:rsidRPr="00B1089D">
        <w:t>answers</w:t>
      </w:r>
      <w:proofErr w:type="spellEnd"/>
      <w:r w:rsidRPr="00B1089D">
        <w:t xml:space="preserve"> </w:t>
      </w:r>
      <w:proofErr w:type="spellStart"/>
      <w:r w:rsidRPr="00B1089D">
        <w:t>to</w:t>
      </w:r>
      <w:proofErr w:type="spellEnd"/>
      <w:r w:rsidRPr="00B1089D">
        <w:t xml:space="preserve"> </w:t>
      </w:r>
      <w:proofErr w:type="spellStart"/>
      <w:r w:rsidRPr="00B1089D">
        <w:t>these</w:t>
      </w:r>
      <w:proofErr w:type="spellEnd"/>
      <w:r w:rsidRPr="00B1089D">
        <w:t xml:space="preserve"> </w:t>
      </w:r>
      <w:proofErr w:type="spellStart"/>
      <w:r w:rsidRPr="00B1089D">
        <w:t>hypotheses</w:t>
      </w:r>
      <w:proofErr w:type="spellEnd"/>
      <w:r w:rsidRPr="00B1089D">
        <w:t xml:space="preserve"> is </w:t>
      </w:r>
      <w:proofErr w:type="spellStart"/>
      <w:r w:rsidRPr="00B1089D">
        <w:t>given</w:t>
      </w:r>
      <w:proofErr w:type="spellEnd"/>
      <w:r w:rsidRPr="00B1089D">
        <w:t xml:space="preserve"> </w:t>
      </w:r>
      <w:proofErr w:type="spellStart"/>
      <w:r w:rsidRPr="00B1089D">
        <w:t>below</w:t>
      </w:r>
      <w:proofErr w:type="spellEnd"/>
      <w:r w:rsidRPr="00B1089D">
        <w:t>.</w:t>
      </w:r>
    </w:p>
    <w:p w14:paraId="40776398" w14:textId="004647CE" w:rsidR="00FA457D" w:rsidRPr="00B1089D" w:rsidRDefault="00FA457D" w:rsidP="00E359E0">
      <w:pPr>
        <w:widowControl/>
        <w:jc w:val="both"/>
      </w:pPr>
      <w:proofErr w:type="spellStart"/>
      <w:proofErr w:type="gramStart"/>
      <w:r w:rsidRPr="00B1089D">
        <w:t>lnGDPit</w:t>
      </w:r>
      <w:proofErr w:type="spellEnd"/>
      <w:proofErr w:type="gramEnd"/>
      <w:r w:rsidRPr="00B1089D">
        <w:t xml:space="preserve">= 0+ 1INSit+2CAPit+3LABit+4YEARit+5FINit+ </w:t>
      </w:r>
      <w:proofErr w:type="spellStart"/>
      <w:r w:rsidRPr="00B1089D">
        <w:t>μit</w:t>
      </w:r>
      <w:proofErr w:type="spellEnd"/>
      <w:r w:rsidRPr="00B1089D">
        <w:t xml:space="preserve">+ </w:t>
      </w:r>
      <w:proofErr w:type="spellStart"/>
      <w:r w:rsidRPr="00B1089D">
        <w:t>eit</w:t>
      </w:r>
      <w:proofErr w:type="spellEnd"/>
    </w:p>
    <w:p w14:paraId="3F3490CA" w14:textId="77777777" w:rsidR="00FA457D" w:rsidRPr="00B1089D" w:rsidRDefault="00FA457D" w:rsidP="00E359E0">
      <w:pPr>
        <w:widowControl/>
        <w:jc w:val="both"/>
      </w:pPr>
      <w:proofErr w:type="gramStart"/>
      <w:r w:rsidRPr="00B1089D">
        <w:t>t</w:t>
      </w:r>
      <w:proofErr w:type="gramEnd"/>
      <w:r w:rsidRPr="00B1089D">
        <w:t xml:space="preserve"> = 1 … 14 (2006-2019)</w:t>
      </w:r>
    </w:p>
    <w:p w14:paraId="5EA375AA" w14:textId="233D5226" w:rsidR="00FA457D" w:rsidRPr="00D10870"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w:t>
      </w:r>
      <w:proofErr w:type="gramStart"/>
      <w:r w:rsidRPr="00B1089D">
        <w:t xml:space="preserve">model,  </w:t>
      </w:r>
      <w:proofErr w:type="spellStart"/>
      <w:r w:rsidRPr="00B1089D">
        <w:t>μit</w:t>
      </w:r>
      <w:proofErr w:type="spellEnd"/>
      <w:proofErr w:type="gramEnd"/>
      <w:r w:rsidRPr="00B1089D">
        <w:t xml:space="preserve"> </w:t>
      </w:r>
      <w:proofErr w:type="spellStart"/>
      <w:r w:rsidRPr="00B1089D">
        <w:t>represent</w:t>
      </w:r>
      <w:proofErr w:type="spellEnd"/>
      <w:r w:rsidRPr="00B1089D">
        <w:t xml:space="preserve"> </w:t>
      </w:r>
      <w:proofErr w:type="spellStart"/>
      <w:r w:rsidRPr="00B1089D">
        <w:t>country-specific</w:t>
      </w:r>
      <w:proofErr w:type="spellEnd"/>
      <w:r w:rsidRPr="00B1089D">
        <w:t xml:space="preserve"> </w:t>
      </w:r>
      <w:proofErr w:type="spellStart"/>
      <w:r w:rsidRPr="00B1089D">
        <w:t>effects</w:t>
      </w:r>
      <w:proofErr w:type="spellEnd"/>
      <w:r w:rsidRPr="00B1089D">
        <w:t xml:space="preserve">.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in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include</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(INS), </w:t>
      </w:r>
      <w:proofErr w:type="spellStart"/>
      <w:r w:rsidRPr="00B1089D">
        <w:t>capital</w:t>
      </w:r>
      <w:proofErr w:type="spellEnd"/>
      <w:r w:rsidRPr="00B1089D">
        <w:t xml:space="preserve"> (CAP), </w:t>
      </w:r>
      <w:proofErr w:type="spellStart"/>
      <w:r w:rsidRPr="00B1089D">
        <w:t>labour</w:t>
      </w:r>
      <w:proofErr w:type="spellEnd"/>
      <w:r w:rsidRPr="00B1089D">
        <w:t xml:space="preserve"> (LAB), </w:t>
      </w:r>
      <w:proofErr w:type="spellStart"/>
      <w:r w:rsidRPr="00B1089D">
        <w:t>year</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2008 </w:t>
      </w:r>
      <w:proofErr w:type="spellStart"/>
      <w:r w:rsidRPr="00B1089D">
        <w:t>financial</w:t>
      </w:r>
      <w:proofErr w:type="spellEnd"/>
      <w:r w:rsidRPr="00B1089D">
        <w:t xml:space="preserve"> </w:t>
      </w:r>
      <w:proofErr w:type="spellStart"/>
      <w:r w:rsidRPr="00B1089D">
        <w:t>crisis</w:t>
      </w:r>
      <w:proofErr w:type="spellEnd"/>
      <w:r w:rsidRPr="00B1089D">
        <w:t xml:space="preserve"> (FIN). </w:t>
      </w:r>
      <w:proofErr w:type="spellStart"/>
      <w:proofErr w:type="gramStart"/>
      <w:r w:rsidRPr="00B1089D">
        <w:t>Also</w:t>
      </w:r>
      <w:proofErr w:type="spellEnd"/>
      <w:r w:rsidRPr="00B1089D">
        <w:t xml:space="preserve">,  </w:t>
      </w:r>
      <w:proofErr w:type="spellStart"/>
      <w:r w:rsidRPr="00B1089D">
        <w:t>eit</w:t>
      </w:r>
      <w:proofErr w:type="spellEnd"/>
      <w:proofErr w:type="gramEnd"/>
      <w:r w:rsidRPr="00B1089D">
        <w:t xml:space="preserve"> </w:t>
      </w:r>
      <w:proofErr w:type="spellStart"/>
      <w:r w:rsidRPr="00B1089D">
        <w:t>represents</w:t>
      </w:r>
      <w:proofErr w:type="spellEnd"/>
      <w:r w:rsidRPr="00B1089D">
        <w:t xml:space="preserve"> </w:t>
      </w:r>
      <w:proofErr w:type="spellStart"/>
      <w:r w:rsidRPr="00B1089D">
        <w:t>the</w:t>
      </w:r>
      <w:proofErr w:type="spellEnd"/>
      <w:r w:rsidRPr="00B1089D">
        <w:t xml:space="preserve"> </w:t>
      </w:r>
      <w:proofErr w:type="spellStart"/>
      <w:r w:rsidRPr="00B1089D">
        <w:t>error</w:t>
      </w:r>
      <w:proofErr w:type="spellEnd"/>
      <w:r w:rsidRPr="00B1089D">
        <w:t xml:space="preserve"> </w:t>
      </w:r>
      <w:proofErr w:type="spellStart"/>
      <w:r w:rsidRPr="00B1089D">
        <w:t>term</w:t>
      </w:r>
      <w:proofErr w:type="spellEnd"/>
      <w:r w:rsidRPr="00B1089D">
        <w:t xml:space="preserve">, </w:t>
      </w:r>
      <w:proofErr w:type="spellStart"/>
      <w:r w:rsidRPr="00B1089D">
        <w:t>whereas</w:t>
      </w:r>
      <w:proofErr w:type="spellEnd"/>
      <w:r w:rsidRPr="00B1089D">
        <w:t xml:space="preserve"> 0, 1, …, 5 </w:t>
      </w:r>
      <w:proofErr w:type="spellStart"/>
      <w:r w:rsidRPr="00B1089D">
        <w:t>represent</w:t>
      </w:r>
      <w:proofErr w:type="spellEnd"/>
      <w:r w:rsidRPr="00B1089D">
        <w:t xml:space="preserve"> </w:t>
      </w:r>
      <w:proofErr w:type="spellStart"/>
      <w:r w:rsidRPr="00B1089D">
        <w:t>the</w:t>
      </w:r>
      <w:proofErr w:type="spellEnd"/>
      <w:r w:rsidRPr="00B1089D">
        <w:t xml:space="preserve"> </w:t>
      </w:r>
      <w:proofErr w:type="spellStart"/>
      <w:r w:rsidRPr="00B1089D">
        <w:t>parameters</w:t>
      </w:r>
      <w:proofErr w:type="spellEnd"/>
      <w:r w:rsidRPr="00B1089D">
        <w:t xml:space="preserve"> </w:t>
      </w:r>
      <w:proofErr w:type="spellStart"/>
      <w:r w:rsidRPr="00B1089D">
        <w:t>to</w:t>
      </w:r>
      <w:proofErr w:type="spellEnd"/>
      <w:r w:rsidRPr="00B1089D">
        <w:t xml:space="preserve"> be </w:t>
      </w:r>
      <w:proofErr w:type="spellStart"/>
      <w:r w:rsidRPr="00B1089D">
        <w:t>estimated</w:t>
      </w:r>
      <w:proofErr w:type="spellEnd"/>
      <w:r w:rsidRPr="00B1089D">
        <w:t>.</w:t>
      </w:r>
    </w:p>
    <w:p w14:paraId="3FE5E442" w14:textId="77777777" w:rsidR="00FA457D" w:rsidRPr="00B1089D" w:rsidRDefault="00FA457D" w:rsidP="00E359E0">
      <w:pPr>
        <w:widowControl/>
        <w:jc w:val="both"/>
      </w:pPr>
    </w:p>
    <w:p w14:paraId="71728839" w14:textId="77777777" w:rsidR="00FA457D" w:rsidRPr="00B1089D" w:rsidRDefault="00FA457D" w:rsidP="00E359E0">
      <w:pPr>
        <w:widowControl/>
        <w:jc w:val="both"/>
      </w:pPr>
      <w:proofErr w:type="spellStart"/>
      <w:r w:rsidRPr="00B1089D">
        <w:rPr>
          <w:b/>
          <w:bCs/>
        </w:rPr>
        <w:t>Empirical</w:t>
      </w:r>
      <w:proofErr w:type="spellEnd"/>
      <w:r w:rsidRPr="00B1089D">
        <w:rPr>
          <w:b/>
          <w:bCs/>
        </w:rPr>
        <w:t xml:space="preserve"> </w:t>
      </w:r>
      <w:proofErr w:type="spellStart"/>
      <w:r w:rsidRPr="00B1089D">
        <w:rPr>
          <w:b/>
          <w:bCs/>
        </w:rPr>
        <w:t>Results</w:t>
      </w:r>
      <w:proofErr w:type="spellEnd"/>
    </w:p>
    <w:p w14:paraId="51E0E127" w14:textId="77777777" w:rsidR="00FA457D" w:rsidRPr="00B1089D" w:rsidRDefault="00FA457D" w:rsidP="00E359E0">
      <w:pPr>
        <w:widowControl/>
        <w:jc w:val="both"/>
      </w:pPr>
      <w:proofErr w:type="spellStart"/>
      <w:r w:rsidRPr="00B1089D">
        <w:rPr>
          <w:b/>
          <w:bCs/>
          <w:i/>
          <w:iCs/>
        </w:rPr>
        <w:t>Regression</w:t>
      </w:r>
      <w:proofErr w:type="spellEnd"/>
      <w:r w:rsidRPr="00B1089D">
        <w:rPr>
          <w:b/>
          <w:bCs/>
          <w:i/>
          <w:iCs/>
        </w:rPr>
        <w:t xml:space="preserve"> </w:t>
      </w:r>
      <w:proofErr w:type="spellStart"/>
      <w:r w:rsidRPr="00B1089D">
        <w:rPr>
          <w:b/>
          <w:bCs/>
          <w:i/>
          <w:iCs/>
        </w:rPr>
        <w:t>Results</w:t>
      </w:r>
      <w:proofErr w:type="spellEnd"/>
      <w:r w:rsidRPr="00B1089D">
        <w:rPr>
          <w:b/>
          <w:bCs/>
          <w:i/>
          <w:iCs/>
        </w:rPr>
        <w:t xml:space="preserve"> </w:t>
      </w:r>
      <w:proofErr w:type="spellStart"/>
      <w:r w:rsidRPr="00B1089D">
        <w:rPr>
          <w:b/>
          <w:bCs/>
          <w:i/>
          <w:iCs/>
        </w:rPr>
        <w:t>for</w:t>
      </w:r>
      <w:proofErr w:type="spellEnd"/>
      <w:r w:rsidRPr="00B1089D">
        <w:rPr>
          <w:b/>
          <w:bCs/>
          <w:i/>
          <w:iCs/>
        </w:rPr>
        <w:t xml:space="preserve"> </w:t>
      </w:r>
      <w:proofErr w:type="spellStart"/>
      <w:r w:rsidRPr="00B1089D">
        <w:rPr>
          <w:b/>
          <w:bCs/>
          <w:i/>
          <w:iCs/>
        </w:rPr>
        <w:t>All</w:t>
      </w:r>
      <w:proofErr w:type="spellEnd"/>
      <w:r w:rsidRPr="00B1089D">
        <w:rPr>
          <w:b/>
          <w:bCs/>
          <w:i/>
          <w:iCs/>
        </w:rPr>
        <w:t xml:space="preserve"> </w:t>
      </w:r>
      <w:proofErr w:type="spellStart"/>
      <w:r w:rsidRPr="00B1089D">
        <w:rPr>
          <w:b/>
          <w:bCs/>
          <w:i/>
          <w:iCs/>
        </w:rPr>
        <w:t>Regions</w:t>
      </w:r>
      <w:proofErr w:type="spellEnd"/>
    </w:p>
    <w:p w14:paraId="3B2A651E" w14:textId="77777777" w:rsidR="00FA457D" w:rsidRPr="00B1089D" w:rsidRDefault="00FA457D" w:rsidP="00E359E0">
      <w:pPr>
        <w:widowControl/>
        <w:jc w:val="both"/>
      </w:pPr>
      <w:proofErr w:type="spellStart"/>
      <w:r w:rsidRPr="00B1089D">
        <w:t>Table</w:t>
      </w:r>
      <w:proofErr w:type="spellEnd"/>
      <w:r w:rsidRPr="00B1089D">
        <w:t xml:space="preserve"> 5 </w:t>
      </w:r>
      <w:proofErr w:type="spellStart"/>
      <w:r w:rsidRPr="00B1089D">
        <w:t>presents</w:t>
      </w:r>
      <w:proofErr w:type="spellEnd"/>
      <w:r w:rsidRPr="00B1089D">
        <w:t xml:space="preserve"> </w:t>
      </w:r>
      <w:proofErr w:type="spellStart"/>
      <w:r w:rsidRPr="00B1089D">
        <w:t>the</w:t>
      </w:r>
      <w:proofErr w:type="spellEnd"/>
      <w:r w:rsidRPr="00B1089D">
        <w:t xml:space="preserve"> </w:t>
      </w:r>
      <w:proofErr w:type="spellStart"/>
      <w:r w:rsidRPr="00B1089D">
        <w:t>estimation</w:t>
      </w:r>
      <w:proofErr w:type="spellEnd"/>
      <w:r w:rsidRPr="00B1089D">
        <w:t xml:space="preserve">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both</w:t>
      </w:r>
      <w:proofErr w:type="spellEnd"/>
      <w:r w:rsidRPr="00B1089D">
        <w:t xml:space="preserve"> </w:t>
      </w:r>
      <w:proofErr w:type="spellStart"/>
      <w:r w:rsidRPr="00B1089D">
        <w:t>the</w:t>
      </w:r>
      <w:proofErr w:type="spellEnd"/>
      <w:r w:rsidRPr="00B1089D">
        <w:t xml:space="preserve"> </w:t>
      </w:r>
      <w:proofErr w:type="spellStart"/>
      <w:r w:rsidRPr="00B1089D">
        <w:t>random</w:t>
      </w:r>
      <w:proofErr w:type="spellEnd"/>
      <w:r w:rsidRPr="00B1089D">
        <w:t xml:space="preserve"> </w:t>
      </w:r>
      <w:proofErr w:type="spellStart"/>
      <w:r w:rsidRPr="00B1089D">
        <w:t>effects</w:t>
      </w:r>
      <w:proofErr w:type="spellEnd"/>
      <w:r w:rsidRPr="00B1089D">
        <w:t xml:space="preserve"> </w:t>
      </w:r>
      <w:proofErr w:type="spellStart"/>
      <w:r w:rsidRPr="00B1089D">
        <w:t>and</w:t>
      </w:r>
      <w:proofErr w:type="spellEnd"/>
      <w:r w:rsidRPr="00B1089D">
        <w:t xml:space="preserve"> </w:t>
      </w:r>
      <w:proofErr w:type="spellStart"/>
      <w:r w:rsidRPr="00B1089D">
        <w:t>fixed</w:t>
      </w:r>
      <w:proofErr w:type="spellEnd"/>
      <w:r w:rsidRPr="00B1089D">
        <w:t xml:space="preserve"> </w:t>
      </w:r>
      <w:proofErr w:type="spellStart"/>
      <w:r w:rsidRPr="00B1089D">
        <w:t>effects</w:t>
      </w:r>
      <w:proofErr w:type="spellEnd"/>
      <w:r w:rsidRPr="00B1089D">
        <w:t xml:space="preserve"> </w:t>
      </w:r>
      <w:proofErr w:type="spellStart"/>
      <w:r w:rsidRPr="00B1089D">
        <w:t>models</w:t>
      </w:r>
      <w:proofErr w:type="spellEnd"/>
      <w:r w:rsidRPr="00B1089D">
        <w:t xml:space="preserve">. </w:t>
      </w: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random</w:t>
      </w:r>
      <w:proofErr w:type="spellEnd"/>
      <w:r w:rsidRPr="00B1089D">
        <w:t xml:space="preserve"> </w:t>
      </w:r>
      <w:proofErr w:type="spellStart"/>
      <w:r w:rsidRPr="00B1089D">
        <w:t>effects</w:t>
      </w:r>
      <w:proofErr w:type="spellEnd"/>
      <w:r w:rsidRPr="00B1089D">
        <w:t xml:space="preserve"> model, </w:t>
      </w:r>
      <w:proofErr w:type="spellStart"/>
      <w:r w:rsidRPr="00B1089D">
        <w:t>the</w:t>
      </w:r>
      <w:proofErr w:type="spellEnd"/>
      <w:r w:rsidRPr="00B1089D">
        <w:t xml:space="preserve"> </w:t>
      </w:r>
      <w:proofErr w:type="spellStart"/>
      <w:r w:rsidRPr="00B1089D">
        <w:t>coefficient</w:t>
      </w:r>
      <w:proofErr w:type="spellEnd"/>
      <w:r w:rsidRPr="00B1089D">
        <w:t xml:space="preserve"> of </w:t>
      </w:r>
      <w:proofErr w:type="spellStart"/>
      <w:r w:rsidRPr="00B1089D">
        <w:t>determination</w:t>
      </w:r>
      <w:proofErr w:type="spellEnd"/>
      <w:r w:rsidRPr="00B1089D">
        <w:t xml:space="preserve"> (R²) is </w:t>
      </w:r>
      <w:proofErr w:type="spellStart"/>
      <w:r w:rsidRPr="00B1089D">
        <w:t>reported</w:t>
      </w:r>
      <w:proofErr w:type="spellEnd"/>
      <w:r w:rsidRPr="00B1089D">
        <w:t xml:space="preserve"> as 50.5%, </w:t>
      </w:r>
      <w:proofErr w:type="spellStart"/>
      <w:r w:rsidRPr="00B1089D">
        <w:t>indicating</w:t>
      </w:r>
      <w:proofErr w:type="spellEnd"/>
      <w:r w:rsidRPr="00B1089D">
        <w:t xml:space="preserve"> </w:t>
      </w:r>
      <w:proofErr w:type="spellStart"/>
      <w:r w:rsidRPr="00B1089D">
        <w:t>that</w:t>
      </w:r>
      <w:proofErr w:type="spellEnd"/>
      <w:r w:rsidRPr="00B1089D">
        <w:t xml:space="preserve"> </w:t>
      </w:r>
      <w:proofErr w:type="spellStart"/>
      <w:r w:rsidRPr="00B1089D">
        <w:t>approximately</w:t>
      </w:r>
      <w:proofErr w:type="spellEnd"/>
      <w:r w:rsidRPr="00B1089D">
        <w:t xml:space="preserve"> 50.5% of </w:t>
      </w:r>
      <w:proofErr w:type="spellStart"/>
      <w:r w:rsidRPr="00B1089D">
        <w:t>the</w:t>
      </w:r>
      <w:proofErr w:type="spellEnd"/>
      <w:r w:rsidRPr="00B1089D">
        <w:t xml:space="preserve"> </w:t>
      </w:r>
      <w:proofErr w:type="spellStart"/>
      <w:r w:rsidRPr="00B1089D">
        <w:t>change</w:t>
      </w:r>
      <w:proofErr w:type="spellEnd"/>
      <w:r w:rsidRPr="00B1089D">
        <w:t xml:space="preserve"> in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variable</w:t>
      </w:r>
      <w:proofErr w:type="spellEnd"/>
      <w:r w:rsidRPr="00B1089D">
        <w:t xml:space="preserve"> is </w:t>
      </w:r>
      <w:proofErr w:type="spellStart"/>
      <w:r w:rsidRPr="00B1089D">
        <w:t>explained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included</w:t>
      </w:r>
      <w:proofErr w:type="spellEnd"/>
      <w:r w:rsidRPr="00B1089D">
        <w:t xml:space="preserve"> in </w:t>
      </w:r>
      <w:proofErr w:type="spellStart"/>
      <w:r w:rsidRPr="00B1089D">
        <w:t>the</w:t>
      </w:r>
      <w:proofErr w:type="spellEnd"/>
      <w:r w:rsidRPr="00B1089D">
        <w:t xml:space="preserve"> model. </w:t>
      </w:r>
      <w:proofErr w:type="spellStart"/>
      <w:r w:rsidRPr="00B1089D">
        <w:t>The</w:t>
      </w:r>
      <w:proofErr w:type="spellEnd"/>
      <w:r w:rsidRPr="00B1089D">
        <w:t xml:space="preserve"> </w:t>
      </w:r>
      <w:proofErr w:type="spellStart"/>
      <w:r w:rsidRPr="00B1089D">
        <w:t>associated</w:t>
      </w:r>
      <w:proofErr w:type="spellEnd"/>
      <w:r w:rsidRPr="00B1089D">
        <w:t xml:space="preserve"> </w:t>
      </w:r>
      <w:proofErr w:type="spellStart"/>
      <w:r w:rsidRPr="00B1089D">
        <w:t>Chi-square</w:t>
      </w:r>
      <w:proofErr w:type="spellEnd"/>
      <w:r w:rsidRPr="00B1089D">
        <w:t xml:space="preserve"> </w:t>
      </w:r>
      <w:proofErr w:type="spellStart"/>
      <w:r w:rsidRPr="00B1089D">
        <w:t>value</w:t>
      </w:r>
      <w:proofErr w:type="spellEnd"/>
      <w:r w:rsidRPr="00B1089D">
        <w:t xml:space="preserve"> is 1691.10, </w:t>
      </w:r>
      <w:proofErr w:type="spellStart"/>
      <w:r w:rsidRPr="00B1089D">
        <w:t>indicating</w:t>
      </w:r>
      <w:proofErr w:type="spellEnd"/>
      <w:r w:rsidRPr="00B1089D">
        <w:t xml:space="preserve"> a </w:t>
      </w:r>
      <w:proofErr w:type="spellStart"/>
      <w:r w:rsidRPr="00B1089D">
        <w:t>statistically</w:t>
      </w:r>
      <w:proofErr w:type="spellEnd"/>
      <w:r w:rsidRPr="00B1089D">
        <w:t xml:space="preserve"> </w:t>
      </w:r>
      <w:proofErr w:type="spellStart"/>
      <w:r w:rsidRPr="00B1089D">
        <w:t>significant</w:t>
      </w:r>
      <w:proofErr w:type="spellEnd"/>
      <w:r w:rsidRPr="00B1089D">
        <w:t xml:space="preserve"> model fit.</w:t>
      </w:r>
    </w:p>
    <w:p w14:paraId="64760278" w14:textId="77777777" w:rsidR="00FA457D" w:rsidRPr="00B1089D"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random</w:t>
      </w:r>
      <w:proofErr w:type="spellEnd"/>
      <w:r w:rsidRPr="00B1089D">
        <w:t xml:space="preserve"> </w:t>
      </w:r>
      <w:proofErr w:type="spellStart"/>
      <w:r w:rsidRPr="00B1089D">
        <w:t>effects</w:t>
      </w:r>
      <w:proofErr w:type="spellEnd"/>
      <w:r w:rsidRPr="00B1089D">
        <w:t xml:space="preserve"> model, </w:t>
      </w:r>
      <w:proofErr w:type="spellStart"/>
      <w:r w:rsidRPr="00B1089D">
        <w:t>we</w:t>
      </w:r>
      <w:proofErr w:type="spellEnd"/>
      <w:r w:rsidRPr="00B1089D">
        <w:t xml:space="preserve"> </w:t>
      </w:r>
      <w:proofErr w:type="spellStart"/>
      <w:r w:rsidRPr="00B1089D">
        <w:t>observe</w:t>
      </w:r>
      <w:proofErr w:type="spellEnd"/>
      <w:r w:rsidRPr="00B1089D">
        <w:t xml:space="preserve"> </w:t>
      </w:r>
      <w:proofErr w:type="spellStart"/>
      <w:r w:rsidRPr="00B1089D">
        <w:t>that</w:t>
      </w:r>
      <w:proofErr w:type="spellEnd"/>
      <w:r w:rsidRPr="00B1089D">
        <w:t xml:space="preserve">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 xml:space="preserve"> (INS),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11.5%. </w:t>
      </w:r>
      <w:proofErr w:type="spellStart"/>
      <w:r w:rsidRPr="00B1089D">
        <w:t>This</w:t>
      </w:r>
      <w:proofErr w:type="spellEnd"/>
      <w:r w:rsidRPr="00B1089D">
        <w:t xml:space="preserve"> </w:t>
      </w:r>
      <w:proofErr w:type="spellStart"/>
      <w:r w:rsidRPr="00B1089D">
        <w:t>effect</w:t>
      </w:r>
      <w:proofErr w:type="spellEnd"/>
      <w:r w:rsidRPr="00B1089D">
        <w:t xml:space="preserve"> is </w:t>
      </w:r>
      <w:proofErr w:type="spellStart"/>
      <w:r w:rsidRPr="00B1089D">
        <w:t>statistically</w:t>
      </w:r>
      <w:proofErr w:type="spellEnd"/>
      <w:r w:rsidRPr="00B1089D">
        <w:t xml:space="preserve"> </w:t>
      </w:r>
      <w:proofErr w:type="spellStart"/>
      <w:r w:rsidRPr="00B1089D">
        <w:t>significant</w:t>
      </w:r>
      <w:proofErr w:type="spellEnd"/>
      <w:r w:rsidRPr="00B1089D">
        <w:t xml:space="preserve">, as </w:t>
      </w:r>
      <w:proofErr w:type="spellStart"/>
      <w:r w:rsidRPr="00B1089D">
        <w:t>indicated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t-</w:t>
      </w:r>
      <w:proofErr w:type="spellStart"/>
      <w:r w:rsidRPr="00B1089D">
        <w:t>value</w:t>
      </w:r>
      <w:proofErr w:type="spellEnd"/>
      <w:r w:rsidRPr="00B1089D">
        <w:t xml:space="preserve"> </w:t>
      </w:r>
      <w:proofErr w:type="spellStart"/>
      <w:r w:rsidRPr="00B1089D">
        <w:t>associated</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coefficient</w:t>
      </w:r>
      <w:proofErr w:type="spellEnd"/>
      <w:r w:rsidRPr="00B1089D">
        <w:t>.</w:t>
      </w:r>
    </w:p>
    <w:p w14:paraId="1E4995E1" w14:textId="77777777" w:rsidR="00FA457D" w:rsidRPr="00B1089D" w:rsidRDefault="00FA457D" w:rsidP="00E359E0">
      <w:pPr>
        <w:widowControl/>
        <w:jc w:val="both"/>
      </w:pPr>
      <w:proofErr w:type="spellStart"/>
      <w:r w:rsidRPr="00B1089D">
        <w:t>Similarly</w:t>
      </w:r>
      <w:proofErr w:type="spellEnd"/>
      <w:r w:rsidRPr="00B1089D">
        <w:t xml:space="preserve">, in </w:t>
      </w:r>
      <w:proofErr w:type="spellStart"/>
      <w:r w:rsidRPr="00B1089D">
        <w:t>the</w:t>
      </w:r>
      <w:proofErr w:type="spellEnd"/>
      <w:r w:rsidRPr="00B1089D">
        <w:t xml:space="preserve"> </w:t>
      </w:r>
      <w:proofErr w:type="spellStart"/>
      <w:r w:rsidRPr="00B1089D">
        <w:t>fixed</w:t>
      </w:r>
      <w:proofErr w:type="spellEnd"/>
      <w:r w:rsidRPr="00B1089D">
        <w:t xml:space="preserve"> </w:t>
      </w:r>
      <w:proofErr w:type="spellStart"/>
      <w:r w:rsidRPr="00B1089D">
        <w:t>effects</w:t>
      </w:r>
      <w:proofErr w:type="spellEnd"/>
      <w:r w:rsidRPr="00B1089D">
        <w:t xml:space="preserve"> model, </w:t>
      </w:r>
      <w:proofErr w:type="spellStart"/>
      <w:r w:rsidRPr="00B1089D">
        <w:t>the</w:t>
      </w:r>
      <w:proofErr w:type="spellEnd"/>
      <w:r w:rsidRPr="00B1089D">
        <w:t xml:space="preserve"> R² </w:t>
      </w:r>
      <w:proofErr w:type="spellStart"/>
      <w:r w:rsidRPr="00B1089D">
        <w:t>value</w:t>
      </w:r>
      <w:proofErr w:type="spellEnd"/>
      <w:r w:rsidRPr="00B1089D">
        <w:t xml:space="preserve"> is </w:t>
      </w:r>
      <w:proofErr w:type="spellStart"/>
      <w:r w:rsidRPr="00B1089D">
        <w:t>reported</w:t>
      </w:r>
      <w:proofErr w:type="spellEnd"/>
      <w:r w:rsidRPr="00B1089D">
        <w:t xml:space="preserve"> as 49%, </w:t>
      </w:r>
      <w:proofErr w:type="spellStart"/>
      <w:r w:rsidRPr="00B1089D">
        <w:t>suggesting</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explain</w:t>
      </w:r>
      <w:proofErr w:type="spellEnd"/>
      <w:r w:rsidRPr="00B1089D">
        <w:t xml:space="preserve"> </w:t>
      </w:r>
      <w:proofErr w:type="spellStart"/>
      <w:r w:rsidRPr="00B1089D">
        <w:t>approximately</w:t>
      </w:r>
      <w:proofErr w:type="spellEnd"/>
      <w:r w:rsidRPr="00B1089D">
        <w:t xml:space="preserve"> 49% of </w:t>
      </w:r>
      <w:proofErr w:type="spellStart"/>
      <w:r w:rsidRPr="00B1089D">
        <w:t>the</w:t>
      </w:r>
      <w:proofErr w:type="spellEnd"/>
      <w:r w:rsidRPr="00B1089D">
        <w:t xml:space="preserve"> </w:t>
      </w:r>
      <w:proofErr w:type="spellStart"/>
      <w:r w:rsidRPr="00B1089D">
        <w:t>change</w:t>
      </w:r>
      <w:proofErr w:type="spellEnd"/>
      <w:r w:rsidRPr="00B1089D">
        <w:t xml:space="preserve"> in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variable</w:t>
      </w:r>
      <w:proofErr w:type="spellEnd"/>
      <w:r w:rsidRPr="00B1089D">
        <w:t xml:space="preserve"> </w:t>
      </w:r>
      <w:proofErr w:type="spellStart"/>
      <w:r w:rsidRPr="00B1089D">
        <w:t>when</w:t>
      </w:r>
      <w:proofErr w:type="spellEnd"/>
      <w:r w:rsidRPr="00B1089D">
        <w:t xml:space="preserve"> </w:t>
      </w:r>
      <w:proofErr w:type="spellStart"/>
      <w:r w:rsidRPr="00B1089D">
        <w:t>considering</w:t>
      </w:r>
      <w:proofErr w:type="spellEnd"/>
      <w:r w:rsidRPr="00B1089D">
        <w:t xml:space="preserve"> </w:t>
      </w:r>
      <w:proofErr w:type="spellStart"/>
      <w:r w:rsidRPr="00B1089D">
        <w:t>within-group</w:t>
      </w:r>
      <w:proofErr w:type="spellEnd"/>
      <w:r w:rsidRPr="00B1089D">
        <w:t xml:space="preserve"> </w:t>
      </w:r>
      <w:proofErr w:type="spellStart"/>
      <w:r w:rsidRPr="00B1089D">
        <w:t>variations</w:t>
      </w:r>
      <w:proofErr w:type="spellEnd"/>
      <w:r w:rsidRPr="00B1089D">
        <w:t xml:space="preserve">. </w:t>
      </w:r>
      <w:proofErr w:type="spellStart"/>
      <w:r w:rsidRPr="00B1089D">
        <w:t>The</w:t>
      </w:r>
      <w:proofErr w:type="spellEnd"/>
      <w:r w:rsidRPr="00B1089D">
        <w:t xml:space="preserve"> F-</w:t>
      </w:r>
      <w:proofErr w:type="spellStart"/>
      <w:r w:rsidRPr="00B1089D">
        <w:t>value</w:t>
      </w:r>
      <w:proofErr w:type="spellEnd"/>
      <w:r w:rsidRPr="00B1089D">
        <w:t xml:space="preserve"> </w:t>
      </w:r>
      <w:proofErr w:type="spellStart"/>
      <w:r w:rsidRPr="00B1089D">
        <w:t>associated</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model is 104.74, </w:t>
      </w:r>
      <w:proofErr w:type="spellStart"/>
      <w:r w:rsidRPr="00B1089D">
        <w:t>indicating</w:t>
      </w:r>
      <w:proofErr w:type="spellEnd"/>
      <w:r w:rsidRPr="00B1089D">
        <w:t xml:space="preserve"> a </w:t>
      </w:r>
      <w:proofErr w:type="spellStart"/>
      <w:r w:rsidRPr="00B1089D">
        <w:t>statistically</w:t>
      </w:r>
      <w:proofErr w:type="spellEnd"/>
      <w:r w:rsidRPr="00B1089D">
        <w:t xml:space="preserve"> </w:t>
      </w:r>
      <w:proofErr w:type="spellStart"/>
      <w:r w:rsidRPr="00B1089D">
        <w:t>significant</w:t>
      </w:r>
      <w:proofErr w:type="spellEnd"/>
      <w:r w:rsidRPr="00B1089D">
        <w:t xml:space="preserve"> </w:t>
      </w:r>
      <w:proofErr w:type="spellStart"/>
      <w:r w:rsidRPr="00B1089D">
        <w:t>overall</w:t>
      </w:r>
      <w:proofErr w:type="spellEnd"/>
      <w:r w:rsidRPr="00B1089D">
        <w:t xml:space="preserve"> model fit.</w:t>
      </w:r>
    </w:p>
    <w:p w14:paraId="08079BE1" w14:textId="77777777" w:rsidR="00FA457D" w:rsidRPr="00D10870"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fixed</w:t>
      </w:r>
      <w:proofErr w:type="spellEnd"/>
      <w:r w:rsidRPr="00B1089D">
        <w:t xml:space="preserve"> </w:t>
      </w:r>
      <w:proofErr w:type="spellStart"/>
      <w:r w:rsidRPr="00B1089D">
        <w:t>effects</w:t>
      </w:r>
      <w:proofErr w:type="spellEnd"/>
      <w:r w:rsidRPr="00B1089D">
        <w:t xml:space="preserve"> model, </w:t>
      </w:r>
      <w:proofErr w:type="spellStart"/>
      <w:r w:rsidRPr="00B1089D">
        <w:t>we</w:t>
      </w:r>
      <w:proofErr w:type="spellEnd"/>
      <w:r w:rsidRPr="00B1089D">
        <w:t xml:space="preserve"> </w:t>
      </w:r>
      <w:proofErr w:type="spellStart"/>
      <w:r w:rsidRPr="00B1089D">
        <w:t>find</w:t>
      </w:r>
      <w:proofErr w:type="spellEnd"/>
      <w:r w:rsidRPr="00B1089D">
        <w:t xml:space="preserve"> </w:t>
      </w:r>
      <w:proofErr w:type="spellStart"/>
      <w:r w:rsidRPr="00B1089D">
        <w:t>that</w:t>
      </w:r>
      <w:proofErr w:type="spellEnd"/>
      <w:r w:rsidRPr="00B1089D">
        <w:t xml:space="preserve">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 xml:space="preserve"> (INS),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11.1%, </w:t>
      </w:r>
      <w:proofErr w:type="spellStart"/>
      <w:r w:rsidRPr="00B1089D">
        <w:t>consistent</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random</w:t>
      </w:r>
      <w:proofErr w:type="spellEnd"/>
      <w:r w:rsidRPr="00B1089D">
        <w:t xml:space="preserve"> </w:t>
      </w:r>
      <w:proofErr w:type="spellStart"/>
      <w:r w:rsidRPr="00B1089D">
        <w:t>effects</w:t>
      </w:r>
      <w:proofErr w:type="spellEnd"/>
      <w:r w:rsidRPr="00B1089D">
        <w:t xml:space="preserve"> model. </w:t>
      </w:r>
      <w:proofErr w:type="spellStart"/>
      <w:r w:rsidRPr="00B1089D">
        <w:t>This</w:t>
      </w:r>
      <w:proofErr w:type="spellEnd"/>
      <w:r w:rsidRPr="00B1089D">
        <w:t xml:space="preserve"> </w:t>
      </w:r>
      <w:proofErr w:type="spellStart"/>
      <w:r w:rsidRPr="00B1089D">
        <w:t>effect</w:t>
      </w:r>
      <w:proofErr w:type="spellEnd"/>
      <w:r w:rsidRPr="00B1089D">
        <w:t xml:space="preserve"> is </w:t>
      </w:r>
      <w:proofErr w:type="spellStart"/>
      <w:r w:rsidRPr="00B1089D">
        <w:t>also</w:t>
      </w:r>
      <w:proofErr w:type="spellEnd"/>
      <w:r w:rsidRPr="00B1089D">
        <w:t xml:space="preserve"> </w:t>
      </w:r>
      <w:proofErr w:type="spellStart"/>
      <w:r w:rsidRPr="00B1089D">
        <w:t>statistically</w:t>
      </w:r>
      <w:proofErr w:type="spellEnd"/>
      <w:r w:rsidRPr="00B1089D">
        <w:t xml:space="preserve"> </w:t>
      </w:r>
      <w:proofErr w:type="spellStart"/>
      <w:r w:rsidRPr="00B1089D">
        <w:t>significant</w:t>
      </w:r>
      <w:proofErr w:type="spellEnd"/>
      <w:r w:rsidRPr="00B1089D">
        <w:t>.</w:t>
      </w:r>
    </w:p>
    <w:p w14:paraId="26F3B0A0" w14:textId="77777777" w:rsidR="00FA457D" w:rsidRPr="00B1089D" w:rsidRDefault="00FA457D" w:rsidP="00FA457D">
      <w:pPr>
        <w:widowControl/>
      </w:pPr>
    </w:p>
    <w:p w14:paraId="6DCBB234" w14:textId="77777777" w:rsidR="00FA457D" w:rsidRPr="00B1089D" w:rsidRDefault="00FA457D" w:rsidP="00FA457D">
      <w:pPr>
        <w:widowControl/>
      </w:pPr>
      <w:proofErr w:type="spellStart"/>
      <w:r w:rsidRPr="00B1089D">
        <w:rPr>
          <w:b/>
          <w:bCs/>
        </w:rPr>
        <w:t>Table</w:t>
      </w:r>
      <w:proofErr w:type="spellEnd"/>
      <w:r w:rsidRPr="00B1089D">
        <w:rPr>
          <w:b/>
          <w:bCs/>
        </w:rPr>
        <w:t xml:space="preserve"> 5.</w:t>
      </w:r>
      <w:r w:rsidRPr="00B1089D">
        <w:t xml:space="preserve"> </w:t>
      </w:r>
      <w:proofErr w:type="spellStart"/>
      <w:r w:rsidRPr="00B1089D">
        <w:t>Regression</w:t>
      </w:r>
      <w:proofErr w:type="spellEnd"/>
      <w:r w:rsidRPr="00B1089D">
        <w:t xml:space="preserve">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All</w:t>
      </w:r>
      <w:proofErr w:type="spellEnd"/>
      <w:r w:rsidRPr="00B1089D">
        <w:t xml:space="preserve"> </w:t>
      </w:r>
      <w:proofErr w:type="spellStart"/>
      <w:r w:rsidRPr="00B1089D">
        <w:t>Regions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1164"/>
        <w:gridCol w:w="1098"/>
        <w:gridCol w:w="895"/>
        <w:gridCol w:w="1130"/>
        <w:gridCol w:w="590"/>
        <w:gridCol w:w="1385"/>
        <w:gridCol w:w="1120"/>
        <w:gridCol w:w="468"/>
        <w:gridCol w:w="488"/>
        <w:gridCol w:w="732"/>
      </w:tblGrid>
      <w:tr w:rsidR="00FA457D" w:rsidRPr="00B1089D" w14:paraId="3732A73E" w14:textId="77777777" w:rsidTr="000610DA">
        <w:trPr>
          <w:trHeight w:val="349"/>
        </w:trPr>
        <w:tc>
          <w:tcPr>
            <w:tcW w:w="0" w:type="auto"/>
            <w:gridSpan w:val="5"/>
            <w:tcBorders>
              <w:top w:val="single" w:sz="8" w:space="0" w:color="000000"/>
              <w:bottom w:val="single" w:sz="8" w:space="0" w:color="000000"/>
            </w:tcBorders>
            <w:tcMar>
              <w:top w:w="0" w:type="dxa"/>
              <w:left w:w="115" w:type="dxa"/>
              <w:bottom w:w="0" w:type="dxa"/>
              <w:right w:w="115" w:type="dxa"/>
            </w:tcMar>
            <w:vAlign w:val="center"/>
            <w:hideMark/>
          </w:tcPr>
          <w:p w14:paraId="3A806B0E" w14:textId="77777777" w:rsidR="00FA457D" w:rsidRPr="00B1089D" w:rsidRDefault="00FA457D" w:rsidP="000610DA">
            <w:pPr>
              <w:widowControl/>
            </w:pPr>
            <w:proofErr w:type="spellStart"/>
            <w:r w:rsidRPr="00B1089D">
              <w:rPr>
                <w:b/>
                <w:bCs/>
              </w:rPr>
              <w:t>Random-effects</w:t>
            </w:r>
            <w:proofErr w:type="spellEnd"/>
            <w:r w:rsidRPr="00B1089D">
              <w:rPr>
                <w:b/>
                <w:bCs/>
              </w:rPr>
              <w:t xml:space="preserve"> GLS </w:t>
            </w:r>
            <w:proofErr w:type="spellStart"/>
            <w:r w:rsidRPr="00B1089D">
              <w:rPr>
                <w:b/>
                <w:bCs/>
              </w:rPr>
              <w:t>regression</w:t>
            </w:r>
            <w:proofErr w:type="spellEnd"/>
          </w:p>
        </w:tc>
        <w:tc>
          <w:tcPr>
            <w:tcW w:w="0" w:type="auto"/>
            <w:gridSpan w:val="5"/>
            <w:tcBorders>
              <w:top w:val="single" w:sz="8" w:space="0" w:color="000000"/>
              <w:bottom w:val="single" w:sz="8" w:space="0" w:color="000000"/>
            </w:tcBorders>
            <w:tcMar>
              <w:top w:w="0" w:type="dxa"/>
              <w:left w:w="115" w:type="dxa"/>
              <w:bottom w:w="0" w:type="dxa"/>
              <w:right w:w="115" w:type="dxa"/>
            </w:tcMar>
            <w:vAlign w:val="center"/>
            <w:hideMark/>
          </w:tcPr>
          <w:p w14:paraId="6B97BCCB" w14:textId="77777777" w:rsidR="00FA457D" w:rsidRPr="00B1089D" w:rsidRDefault="00FA457D" w:rsidP="000610DA">
            <w:pPr>
              <w:widowControl/>
            </w:pPr>
            <w:proofErr w:type="spellStart"/>
            <w:r w:rsidRPr="00B1089D">
              <w:rPr>
                <w:b/>
                <w:bCs/>
              </w:rPr>
              <w:t>Fixed-effects</w:t>
            </w:r>
            <w:proofErr w:type="spellEnd"/>
            <w:r w:rsidRPr="00B1089D">
              <w:rPr>
                <w:b/>
                <w:bCs/>
              </w:rPr>
              <w:t xml:space="preserve"> (</w:t>
            </w:r>
            <w:proofErr w:type="spellStart"/>
            <w:r w:rsidRPr="00B1089D">
              <w:rPr>
                <w:b/>
                <w:bCs/>
              </w:rPr>
              <w:t>within</w:t>
            </w:r>
            <w:proofErr w:type="spellEnd"/>
            <w:r w:rsidRPr="00B1089D">
              <w:rPr>
                <w:b/>
                <w:bCs/>
              </w:rPr>
              <w:t xml:space="preserve">) </w:t>
            </w:r>
            <w:proofErr w:type="spellStart"/>
            <w:r w:rsidRPr="00B1089D">
              <w:rPr>
                <w:b/>
                <w:bCs/>
              </w:rPr>
              <w:t>regression</w:t>
            </w:r>
            <w:proofErr w:type="spellEnd"/>
          </w:p>
        </w:tc>
      </w:tr>
      <w:tr w:rsidR="00FA457D" w:rsidRPr="00B1089D" w14:paraId="6C99DE22" w14:textId="77777777" w:rsidTr="000610DA">
        <w:trPr>
          <w:trHeight w:val="337"/>
        </w:trPr>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2D46B3CA" w14:textId="77777777" w:rsidR="00FA457D" w:rsidRPr="00B1089D" w:rsidRDefault="00FA457D" w:rsidP="000610DA">
            <w:pPr>
              <w:widowControl/>
            </w:pPr>
            <w:proofErr w:type="spellStart"/>
            <w:proofErr w:type="gramStart"/>
            <w:r w:rsidRPr="00B1089D">
              <w:rPr>
                <w:b/>
                <w:bCs/>
              </w:rPr>
              <w:t>lnGDP</w:t>
            </w:r>
            <w:proofErr w:type="spellEnd"/>
            <w:proofErr w:type="gramEnd"/>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0C6C240D" w14:textId="77777777" w:rsidR="00FA457D" w:rsidRPr="00B1089D" w:rsidRDefault="00FA457D" w:rsidP="000610DA">
            <w:pPr>
              <w:widowControl/>
            </w:pPr>
            <w:proofErr w:type="spellStart"/>
            <w:r w:rsidRPr="00B1089D">
              <w:rPr>
                <w:b/>
                <w:bCs/>
              </w:rPr>
              <w:t>Coef</w:t>
            </w:r>
            <w:proofErr w:type="spellEnd"/>
            <w:r w:rsidRPr="00B1089D">
              <w:rPr>
                <w:b/>
                <w:bCs/>
              </w:rPr>
              <w:t>.</w:t>
            </w:r>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2BAFCE22" w14:textId="77777777" w:rsidR="00FA457D" w:rsidRPr="00B1089D" w:rsidRDefault="00FA457D" w:rsidP="000610DA">
            <w:pPr>
              <w:widowControl/>
            </w:pPr>
            <w:proofErr w:type="gramStart"/>
            <w:r w:rsidRPr="00B1089D">
              <w:rPr>
                <w:b/>
                <w:bCs/>
              </w:rPr>
              <w:t>t</w:t>
            </w:r>
            <w:proofErr w:type="gramEnd"/>
            <w:r w:rsidRPr="00B1089D">
              <w:rPr>
                <w:b/>
                <w:bCs/>
              </w:rPr>
              <w:t>-</w:t>
            </w:r>
            <w:proofErr w:type="spellStart"/>
            <w:r w:rsidRPr="00B1089D">
              <w:rPr>
                <w:b/>
                <w:bCs/>
              </w:rPr>
              <w:t>value</w:t>
            </w:r>
            <w:proofErr w:type="spellEnd"/>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1283A5CD" w14:textId="77777777" w:rsidR="00FA457D" w:rsidRPr="00B1089D" w:rsidRDefault="00FA457D" w:rsidP="000610DA">
            <w:pPr>
              <w:widowControl/>
            </w:pPr>
            <w:proofErr w:type="gramStart"/>
            <w:r w:rsidRPr="00B1089D">
              <w:rPr>
                <w:b/>
                <w:bCs/>
              </w:rPr>
              <w:t>p</w:t>
            </w:r>
            <w:proofErr w:type="gramEnd"/>
            <w:r w:rsidRPr="00B1089D">
              <w:rPr>
                <w:b/>
                <w:bCs/>
              </w:rPr>
              <w:t>-</w:t>
            </w:r>
            <w:proofErr w:type="spellStart"/>
            <w:r w:rsidRPr="00B1089D">
              <w:rPr>
                <w:b/>
                <w:bCs/>
              </w:rPr>
              <w:t>value</w:t>
            </w:r>
            <w:proofErr w:type="spellEnd"/>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5F7C6CD5" w14:textId="77777777" w:rsidR="00FA457D" w:rsidRPr="00B1089D" w:rsidRDefault="00FA457D" w:rsidP="000610DA">
            <w:pPr>
              <w:widowControl/>
            </w:pPr>
            <w:r w:rsidRPr="00B1089D">
              <w:rPr>
                <w:b/>
                <w:bCs/>
              </w:rPr>
              <w:t>Sig</w:t>
            </w:r>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43680C88" w14:textId="77777777" w:rsidR="00FA457D" w:rsidRPr="00B1089D" w:rsidRDefault="00FA457D" w:rsidP="000610DA">
            <w:pPr>
              <w:widowControl/>
            </w:pPr>
            <w:proofErr w:type="spellStart"/>
            <w:r w:rsidRPr="00B1089D">
              <w:rPr>
                <w:b/>
                <w:bCs/>
              </w:rPr>
              <w:t>Coef</w:t>
            </w:r>
            <w:proofErr w:type="spellEnd"/>
            <w:r w:rsidRPr="00B1089D">
              <w:rPr>
                <w:b/>
                <w:bCs/>
              </w:rPr>
              <w:t>.</w:t>
            </w:r>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09B59F7E" w14:textId="77777777" w:rsidR="00FA457D" w:rsidRPr="00B1089D" w:rsidRDefault="00FA457D" w:rsidP="000610DA">
            <w:pPr>
              <w:widowControl/>
            </w:pPr>
            <w:proofErr w:type="gramStart"/>
            <w:r w:rsidRPr="00B1089D">
              <w:rPr>
                <w:b/>
                <w:bCs/>
              </w:rPr>
              <w:t>t</w:t>
            </w:r>
            <w:proofErr w:type="gramEnd"/>
            <w:r w:rsidRPr="00B1089D">
              <w:rPr>
                <w:b/>
                <w:bCs/>
              </w:rPr>
              <w:t>-</w:t>
            </w:r>
            <w:proofErr w:type="spellStart"/>
            <w:r w:rsidRPr="00B1089D">
              <w:rPr>
                <w:b/>
                <w:bCs/>
              </w:rPr>
              <w:t>value</w:t>
            </w:r>
            <w:proofErr w:type="spellEnd"/>
          </w:p>
        </w:tc>
        <w:tc>
          <w:tcPr>
            <w:tcW w:w="0" w:type="auto"/>
            <w:gridSpan w:val="2"/>
            <w:tcBorders>
              <w:top w:val="single" w:sz="8" w:space="0" w:color="000000"/>
              <w:bottom w:val="single" w:sz="8" w:space="0" w:color="000000"/>
            </w:tcBorders>
            <w:tcMar>
              <w:top w:w="0" w:type="dxa"/>
              <w:left w:w="115" w:type="dxa"/>
              <w:bottom w:w="0" w:type="dxa"/>
              <w:right w:w="115" w:type="dxa"/>
            </w:tcMar>
            <w:vAlign w:val="center"/>
            <w:hideMark/>
          </w:tcPr>
          <w:p w14:paraId="17B44F56" w14:textId="77777777" w:rsidR="00FA457D" w:rsidRPr="00B1089D" w:rsidRDefault="00FA457D" w:rsidP="000610DA">
            <w:pPr>
              <w:widowControl/>
            </w:pPr>
            <w:proofErr w:type="gramStart"/>
            <w:r w:rsidRPr="00B1089D">
              <w:rPr>
                <w:b/>
                <w:bCs/>
              </w:rPr>
              <w:t>p</w:t>
            </w:r>
            <w:proofErr w:type="gramEnd"/>
            <w:r w:rsidRPr="00B1089D">
              <w:rPr>
                <w:b/>
                <w:bCs/>
              </w:rPr>
              <w:t>-</w:t>
            </w:r>
            <w:proofErr w:type="spellStart"/>
            <w:r w:rsidRPr="00B1089D">
              <w:rPr>
                <w:b/>
                <w:bCs/>
              </w:rPr>
              <w:t>value</w:t>
            </w:r>
            <w:proofErr w:type="spellEnd"/>
          </w:p>
        </w:tc>
        <w:tc>
          <w:tcPr>
            <w:tcW w:w="0" w:type="auto"/>
            <w:tcBorders>
              <w:top w:val="single" w:sz="8" w:space="0" w:color="000000"/>
              <w:bottom w:val="single" w:sz="8" w:space="0" w:color="000000"/>
            </w:tcBorders>
            <w:tcMar>
              <w:top w:w="0" w:type="dxa"/>
              <w:left w:w="115" w:type="dxa"/>
              <w:bottom w:w="0" w:type="dxa"/>
              <w:right w:w="115" w:type="dxa"/>
            </w:tcMar>
            <w:vAlign w:val="center"/>
            <w:hideMark/>
          </w:tcPr>
          <w:p w14:paraId="7B54504F" w14:textId="77777777" w:rsidR="00FA457D" w:rsidRPr="00B1089D" w:rsidRDefault="00FA457D" w:rsidP="000610DA">
            <w:pPr>
              <w:widowControl/>
            </w:pPr>
            <w:r w:rsidRPr="00B1089D">
              <w:rPr>
                <w:b/>
                <w:bCs/>
              </w:rPr>
              <w:t>Sig</w:t>
            </w:r>
          </w:p>
        </w:tc>
      </w:tr>
      <w:tr w:rsidR="00FA457D" w:rsidRPr="00B1089D" w14:paraId="310165D1" w14:textId="77777777" w:rsidTr="000610DA">
        <w:trPr>
          <w:trHeight w:val="322"/>
        </w:trPr>
        <w:tc>
          <w:tcPr>
            <w:tcW w:w="0" w:type="auto"/>
            <w:tcBorders>
              <w:top w:val="single" w:sz="8" w:space="0" w:color="000000"/>
            </w:tcBorders>
            <w:tcMar>
              <w:top w:w="0" w:type="dxa"/>
              <w:left w:w="115" w:type="dxa"/>
              <w:bottom w:w="0" w:type="dxa"/>
              <w:right w:w="115" w:type="dxa"/>
            </w:tcMar>
            <w:vAlign w:val="center"/>
            <w:hideMark/>
          </w:tcPr>
          <w:p w14:paraId="65EBACDE" w14:textId="77777777" w:rsidR="00FA457D" w:rsidRPr="00B1089D" w:rsidRDefault="00FA457D" w:rsidP="000610DA">
            <w:pPr>
              <w:widowControl/>
            </w:pPr>
            <w:proofErr w:type="spellStart"/>
            <w:proofErr w:type="gramStart"/>
            <w:r w:rsidRPr="00B1089D">
              <w:rPr>
                <w:b/>
                <w:bCs/>
              </w:rPr>
              <w:t>ins</w:t>
            </w:r>
            <w:proofErr w:type="spellEnd"/>
            <w:proofErr w:type="gramEnd"/>
          </w:p>
        </w:tc>
        <w:tc>
          <w:tcPr>
            <w:tcW w:w="0" w:type="auto"/>
            <w:tcBorders>
              <w:top w:val="single" w:sz="8" w:space="0" w:color="000000"/>
            </w:tcBorders>
            <w:tcMar>
              <w:top w:w="0" w:type="dxa"/>
              <w:left w:w="115" w:type="dxa"/>
              <w:bottom w:w="0" w:type="dxa"/>
              <w:right w:w="115" w:type="dxa"/>
            </w:tcMar>
            <w:hideMark/>
          </w:tcPr>
          <w:p w14:paraId="1D53BDDB" w14:textId="77777777" w:rsidR="00FA457D" w:rsidRPr="00B1089D" w:rsidRDefault="00FA457D" w:rsidP="000610DA">
            <w:pPr>
              <w:widowControl/>
            </w:pPr>
            <w:r w:rsidRPr="00B1089D">
              <w:t>.11</w:t>
            </w:r>
          </w:p>
        </w:tc>
        <w:tc>
          <w:tcPr>
            <w:tcW w:w="0" w:type="auto"/>
            <w:tcBorders>
              <w:top w:val="single" w:sz="8" w:space="0" w:color="000000"/>
            </w:tcBorders>
            <w:tcMar>
              <w:top w:w="0" w:type="dxa"/>
              <w:left w:w="115" w:type="dxa"/>
              <w:bottom w:w="0" w:type="dxa"/>
              <w:right w:w="115" w:type="dxa"/>
            </w:tcMar>
            <w:hideMark/>
          </w:tcPr>
          <w:p w14:paraId="30A7420B" w14:textId="77777777" w:rsidR="00FA457D" w:rsidRPr="00B1089D" w:rsidRDefault="00FA457D" w:rsidP="000610DA">
            <w:pPr>
              <w:widowControl/>
            </w:pPr>
            <w:r w:rsidRPr="00B1089D">
              <w:t>6.78</w:t>
            </w:r>
          </w:p>
        </w:tc>
        <w:tc>
          <w:tcPr>
            <w:tcW w:w="0" w:type="auto"/>
            <w:tcBorders>
              <w:top w:val="single" w:sz="8" w:space="0" w:color="000000"/>
            </w:tcBorders>
            <w:tcMar>
              <w:top w:w="0" w:type="dxa"/>
              <w:left w:w="115" w:type="dxa"/>
              <w:bottom w:w="0" w:type="dxa"/>
              <w:right w:w="115" w:type="dxa"/>
            </w:tcMar>
            <w:hideMark/>
          </w:tcPr>
          <w:p w14:paraId="1B9D5E6A" w14:textId="77777777" w:rsidR="00FA457D" w:rsidRPr="00B1089D" w:rsidRDefault="00FA457D" w:rsidP="000610DA">
            <w:pPr>
              <w:widowControl/>
            </w:pPr>
            <w:r w:rsidRPr="00B1089D">
              <w:t>0</w:t>
            </w:r>
          </w:p>
        </w:tc>
        <w:tc>
          <w:tcPr>
            <w:tcW w:w="0" w:type="auto"/>
            <w:tcBorders>
              <w:top w:val="single" w:sz="8" w:space="0" w:color="000000"/>
            </w:tcBorders>
            <w:tcMar>
              <w:top w:w="0" w:type="dxa"/>
              <w:left w:w="115" w:type="dxa"/>
              <w:bottom w:w="0" w:type="dxa"/>
              <w:right w:w="115" w:type="dxa"/>
            </w:tcMar>
            <w:hideMark/>
          </w:tcPr>
          <w:p w14:paraId="7F3BC7BE" w14:textId="77777777" w:rsidR="00FA457D" w:rsidRPr="00B1089D" w:rsidRDefault="00FA457D" w:rsidP="000610DA">
            <w:pPr>
              <w:widowControl/>
            </w:pPr>
            <w:r w:rsidRPr="00B1089D">
              <w:t>***</w:t>
            </w:r>
          </w:p>
        </w:tc>
        <w:tc>
          <w:tcPr>
            <w:tcW w:w="0" w:type="auto"/>
            <w:tcBorders>
              <w:top w:val="single" w:sz="8" w:space="0" w:color="000000"/>
            </w:tcBorders>
            <w:tcMar>
              <w:top w:w="0" w:type="dxa"/>
              <w:left w:w="115" w:type="dxa"/>
              <w:bottom w:w="0" w:type="dxa"/>
              <w:right w:w="115" w:type="dxa"/>
            </w:tcMar>
            <w:hideMark/>
          </w:tcPr>
          <w:p w14:paraId="336ACFEA" w14:textId="77777777" w:rsidR="00FA457D" w:rsidRPr="00B1089D" w:rsidRDefault="00FA457D" w:rsidP="000610DA">
            <w:pPr>
              <w:widowControl/>
            </w:pPr>
            <w:r w:rsidRPr="00B1089D">
              <w:t>.106</w:t>
            </w:r>
          </w:p>
        </w:tc>
        <w:tc>
          <w:tcPr>
            <w:tcW w:w="0" w:type="auto"/>
            <w:tcBorders>
              <w:top w:val="single" w:sz="8" w:space="0" w:color="000000"/>
            </w:tcBorders>
            <w:tcMar>
              <w:top w:w="0" w:type="dxa"/>
              <w:left w:w="115" w:type="dxa"/>
              <w:bottom w:w="0" w:type="dxa"/>
              <w:right w:w="115" w:type="dxa"/>
            </w:tcMar>
            <w:hideMark/>
          </w:tcPr>
          <w:p w14:paraId="23B722A5" w14:textId="77777777" w:rsidR="00FA457D" w:rsidRPr="00B1089D" w:rsidRDefault="00FA457D" w:rsidP="000610DA">
            <w:pPr>
              <w:widowControl/>
            </w:pPr>
            <w:r w:rsidRPr="00B1089D">
              <w:t>6.55</w:t>
            </w:r>
          </w:p>
        </w:tc>
        <w:tc>
          <w:tcPr>
            <w:tcW w:w="0" w:type="auto"/>
            <w:gridSpan w:val="2"/>
            <w:tcBorders>
              <w:top w:val="single" w:sz="8" w:space="0" w:color="000000"/>
            </w:tcBorders>
            <w:tcMar>
              <w:top w:w="0" w:type="dxa"/>
              <w:left w:w="115" w:type="dxa"/>
              <w:bottom w:w="0" w:type="dxa"/>
              <w:right w:w="115" w:type="dxa"/>
            </w:tcMar>
            <w:hideMark/>
          </w:tcPr>
          <w:p w14:paraId="43B8D73A" w14:textId="77777777" w:rsidR="00FA457D" w:rsidRPr="00B1089D" w:rsidRDefault="00FA457D" w:rsidP="000610DA">
            <w:pPr>
              <w:widowControl/>
            </w:pPr>
            <w:r w:rsidRPr="00B1089D">
              <w:t>0</w:t>
            </w:r>
          </w:p>
        </w:tc>
        <w:tc>
          <w:tcPr>
            <w:tcW w:w="0" w:type="auto"/>
            <w:tcBorders>
              <w:top w:val="single" w:sz="8" w:space="0" w:color="000000"/>
            </w:tcBorders>
            <w:tcMar>
              <w:top w:w="0" w:type="dxa"/>
              <w:left w:w="115" w:type="dxa"/>
              <w:bottom w:w="0" w:type="dxa"/>
              <w:right w:w="115" w:type="dxa"/>
            </w:tcMar>
            <w:hideMark/>
          </w:tcPr>
          <w:p w14:paraId="2525AA42" w14:textId="77777777" w:rsidR="00FA457D" w:rsidRPr="00B1089D" w:rsidRDefault="00FA457D" w:rsidP="000610DA">
            <w:pPr>
              <w:widowControl/>
            </w:pPr>
            <w:r w:rsidRPr="00B1089D">
              <w:t>***</w:t>
            </w:r>
          </w:p>
        </w:tc>
      </w:tr>
      <w:tr w:rsidR="00FA457D" w:rsidRPr="00B1089D" w14:paraId="0B12756E" w14:textId="77777777" w:rsidTr="000610DA">
        <w:trPr>
          <w:trHeight w:val="322"/>
        </w:trPr>
        <w:tc>
          <w:tcPr>
            <w:tcW w:w="0" w:type="auto"/>
            <w:tcMar>
              <w:top w:w="0" w:type="dxa"/>
              <w:left w:w="115" w:type="dxa"/>
              <w:bottom w:w="0" w:type="dxa"/>
              <w:right w:w="115" w:type="dxa"/>
            </w:tcMar>
            <w:vAlign w:val="center"/>
            <w:hideMark/>
          </w:tcPr>
          <w:p w14:paraId="1DABD37A" w14:textId="77777777" w:rsidR="00FA457D" w:rsidRPr="00B1089D" w:rsidRDefault="00FA457D" w:rsidP="000610DA">
            <w:pPr>
              <w:widowControl/>
            </w:pPr>
            <w:proofErr w:type="spellStart"/>
            <w:proofErr w:type="gramStart"/>
            <w:r w:rsidRPr="00B1089D">
              <w:rPr>
                <w:b/>
                <w:bCs/>
              </w:rPr>
              <w:t>lab</w:t>
            </w:r>
            <w:proofErr w:type="spellEnd"/>
            <w:proofErr w:type="gramEnd"/>
          </w:p>
        </w:tc>
        <w:tc>
          <w:tcPr>
            <w:tcW w:w="0" w:type="auto"/>
            <w:tcMar>
              <w:top w:w="0" w:type="dxa"/>
              <w:left w:w="115" w:type="dxa"/>
              <w:bottom w:w="0" w:type="dxa"/>
              <w:right w:w="115" w:type="dxa"/>
            </w:tcMar>
            <w:hideMark/>
          </w:tcPr>
          <w:p w14:paraId="63DCACE9" w14:textId="77777777" w:rsidR="00FA457D" w:rsidRPr="00B1089D" w:rsidRDefault="00FA457D" w:rsidP="000610DA">
            <w:pPr>
              <w:widowControl/>
            </w:pPr>
            <w:r w:rsidRPr="00B1089D">
              <w:t>.079</w:t>
            </w:r>
          </w:p>
        </w:tc>
        <w:tc>
          <w:tcPr>
            <w:tcW w:w="0" w:type="auto"/>
            <w:tcMar>
              <w:top w:w="0" w:type="dxa"/>
              <w:left w:w="115" w:type="dxa"/>
              <w:bottom w:w="0" w:type="dxa"/>
              <w:right w:w="115" w:type="dxa"/>
            </w:tcMar>
            <w:hideMark/>
          </w:tcPr>
          <w:p w14:paraId="23E24C53" w14:textId="77777777" w:rsidR="00FA457D" w:rsidRPr="00B1089D" w:rsidRDefault="00FA457D" w:rsidP="000610DA">
            <w:pPr>
              <w:widowControl/>
            </w:pPr>
            <w:r w:rsidRPr="00B1089D">
              <w:t>17.29</w:t>
            </w:r>
          </w:p>
        </w:tc>
        <w:tc>
          <w:tcPr>
            <w:tcW w:w="0" w:type="auto"/>
            <w:tcMar>
              <w:top w:w="0" w:type="dxa"/>
              <w:left w:w="115" w:type="dxa"/>
              <w:bottom w:w="0" w:type="dxa"/>
              <w:right w:w="115" w:type="dxa"/>
            </w:tcMar>
            <w:hideMark/>
          </w:tcPr>
          <w:p w14:paraId="3B96D249"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40E14F6"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4B46DE0F" w14:textId="77777777" w:rsidR="00FA457D" w:rsidRPr="00B1089D" w:rsidRDefault="00FA457D" w:rsidP="000610DA">
            <w:pPr>
              <w:widowControl/>
            </w:pPr>
            <w:r w:rsidRPr="00B1089D">
              <w:t>.078</w:t>
            </w:r>
          </w:p>
        </w:tc>
        <w:tc>
          <w:tcPr>
            <w:tcW w:w="0" w:type="auto"/>
            <w:tcMar>
              <w:top w:w="0" w:type="dxa"/>
              <w:left w:w="115" w:type="dxa"/>
              <w:bottom w:w="0" w:type="dxa"/>
              <w:right w:w="115" w:type="dxa"/>
            </w:tcMar>
            <w:hideMark/>
          </w:tcPr>
          <w:p w14:paraId="78C1C43B" w14:textId="77777777" w:rsidR="00FA457D" w:rsidRPr="00B1089D" w:rsidRDefault="00FA457D" w:rsidP="000610DA">
            <w:pPr>
              <w:widowControl/>
            </w:pPr>
            <w:r w:rsidRPr="00B1089D">
              <w:t>16.60</w:t>
            </w:r>
          </w:p>
        </w:tc>
        <w:tc>
          <w:tcPr>
            <w:tcW w:w="0" w:type="auto"/>
            <w:gridSpan w:val="2"/>
            <w:tcMar>
              <w:top w:w="0" w:type="dxa"/>
              <w:left w:w="115" w:type="dxa"/>
              <w:bottom w:w="0" w:type="dxa"/>
              <w:right w:w="115" w:type="dxa"/>
            </w:tcMar>
            <w:hideMark/>
          </w:tcPr>
          <w:p w14:paraId="3C920305"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488AACC2" w14:textId="77777777" w:rsidR="00FA457D" w:rsidRPr="00B1089D" w:rsidRDefault="00FA457D" w:rsidP="000610DA">
            <w:pPr>
              <w:widowControl/>
            </w:pPr>
            <w:r w:rsidRPr="00B1089D">
              <w:t>***</w:t>
            </w:r>
          </w:p>
        </w:tc>
      </w:tr>
      <w:tr w:rsidR="00FA457D" w:rsidRPr="00B1089D" w14:paraId="143354F3" w14:textId="77777777" w:rsidTr="000610DA">
        <w:trPr>
          <w:trHeight w:val="322"/>
        </w:trPr>
        <w:tc>
          <w:tcPr>
            <w:tcW w:w="0" w:type="auto"/>
            <w:tcMar>
              <w:top w:w="0" w:type="dxa"/>
              <w:left w:w="115" w:type="dxa"/>
              <w:bottom w:w="0" w:type="dxa"/>
              <w:right w:w="115" w:type="dxa"/>
            </w:tcMar>
            <w:vAlign w:val="center"/>
            <w:hideMark/>
          </w:tcPr>
          <w:p w14:paraId="5E2FC677" w14:textId="77777777" w:rsidR="00FA457D" w:rsidRPr="00B1089D" w:rsidRDefault="00FA457D" w:rsidP="000610DA">
            <w:pPr>
              <w:widowControl/>
            </w:pPr>
            <w:proofErr w:type="spellStart"/>
            <w:proofErr w:type="gramStart"/>
            <w:r w:rsidRPr="00B1089D">
              <w:rPr>
                <w:b/>
                <w:bCs/>
              </w:rPr>
              <w:lastRenderedPageBreak/>
              <w:t>cap</w:t>
            </w:r>
            <w:proofErr w:type="spellEnd"/>
            <w:proofErr w:type="gramEnd"/>
          </w:p>
        </w:tc>
        <w:tc>
          <w:tcPr>
            <w:tcW w:w="0" w:type="auto"/>
            <w:tcMar>
              <w:top w:w="0" w:type="dxa"/>
              <w:left w:w="115" w:type="dxa"/>
              <w:bottom w:w="0" w:type="dxa"/>
              <w:right w:w="115" w:type="dxa"/>
            </w:tcMar>
            <w:hideMark/>
          </w:tcPr>
          <w:p w14:paraId="69DDA456" w14:textId="77777777" w:rsidR="00FA457D" w:rsidRPr="00B1089D" w:rsidRDefault="00FA457D" w:rsidP="000610DA">
            <w:pPr>
              <w:widowControl/>
            </w:pPr>
            <w:r w:rsidRPr="00B1089D">
              <w:t>-6.31 e-08</w:t>
            </w:r>
          </w:p>
        </w:tc>
        <w:tc>
          <w:tcPr>
            <w:tcW w:w="0" w:type="auto"/>
            <w:tcMar>
              <w:top w:w="0" w:type="dxa"/>
              <w:left w:w="115" w:type="dxa"/>
              <w:bottom w:w="0" w:type="dxa"/>
              <w:right w:w="115" w:type="dxa"/>
            </w:tcMar>
            <w:hideMark/>
          </w:tcPr>
          <w:p w14:paraId="76F660AA" w14:textId="77777777" w:rsidR="00FA457D" w:rsidRPr="00B1089D" w:rsidRDefault="00FA457D" w:rsidP="000610DA">
            <w:pPr>
              <w:widowControl/>
            </w:pPr>
            <w:r w:rsidRPr="00B1089D">
              <w:t>-6.58</w:t>
            </w:r>
          </w:p>
        </w:tc>
        <w:tc>
          <w:tcPr>
            <w:tcW w:w="0" w:type="auto"/>
            <w:tcMar>
              <w:top w:w="0" w:type="dxa"/>
              <w:left w:w="115" w:type="dxa"/>
              <w:bottom w:w="0" w:type="dxa"/>
              <w:right w:w="115" w:type="dxa"/>
            </w:tcMar>
            <w:hideMark/>
          </w:tcPr>
          <w:p w14:paraId="64E74966"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17F7C0C6"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16AB22EE" w14:textId="77777777" w:rsidR="00FA457D" w:rsidRPr="00B1089D" w:rsidRDefault="00FA457D" w:rsidP="000610DA">
            <w:pPr>
              <w:widowControl/>
            </w:pPr>
            <w:r w:rsidRPr="00B1089D">
              <w:t>-6.91 e-08</w:t>
            </w:r>
          </w:p>
        </w:tc>
        <w:tc>
          <w:tcPr>
            <w:tcW w:w="0" w:type="auto"/>
            <w:tcMar>
              <w:top w:w="0" w:type="dxa"/>
              <w:left w:w="115" w:type="dxa"/>
              <w:bottom w:w="0" w:type="dxa"/>
              <w:right w:w="115" w:type="dxa"/>
            </w:tcMar>
            <w:hideMark/>
          </w:tcPr>
          <w:p w14:paraId="3E67C460" w14:textId="77777777" w:rsidR="00FA457D" w:rsidRPr="00B1089D" w:rsidRDefault="00FA457D" w:rsidP="000610DA">
            <w:pPr>
              <w:widowControl/>
            </w:pPr>
            <w:r w:rsidRPr="00B1089D">
              <w:t>-7.16</w:t>
            </w:r>
          </w:p>
        </w:tc>
        <w:tc>
          <w:tcPr>
            <w:tcW w:w="0" w:type="auto"/>
            <w:gridSpan w:val="2"/>
            <w:tcMar>
              <w:top w:w="0" w:type="dxa"/>
              <w:left w:w="115" w:type="dxa"/>
              <w:bottom w:w="0" w:type="dxa"/>
              <w:right w:w="115" w:type="dxa"/>
            </w:tcMar>
            <w:hideMark/>
          </w:tcPr>
          <w:p w14:paraId="2DE56E65"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55C8D229" w14:textId="77777777" w:rsidR="00FA457D" w:rsidRPr="00B1089D" w:rsidRDefault="00FA457D" w:rsidP="000610DA">
            <w:pPr>
              <w:widowControl/>
            </w:pPr>
            <w:r w:rsidRPr="00B1089D">
              <w:t>***</w:t>
            </w:r>
          </w:p>
        </w:tc>
      </w:tr>
      <w:tr w:rsidR="00FA457D" w:rsidRPr="00B1089D" w14:paraId="5D084005" w14:textId="77777777" w:rsidTr="000610DA">
        <w:trPr>
          <w:trHeight w:val="322"/>
        </w:trPr>
        <w:tc>
          <w:tcPr>
            <w:tcW w:w="0" w:type="auto"/>
            <w:tcMar>
              <w:top w:w="0" w:type="dxa"/>
              <w:left w:w="115" w:type="dxa"/>
              <w:bottom w:w="0" w:type="dxa"/>
              <w:right w:w="115" w:type="dxa"/>
            </w:tcMar>
            <w:vAlign w:val="center"/>
            <w:hideMark/>
          </w:tcPr>
          <w:p w14:paraId="104EB0E4" w14:textId="77777777" w:rsidR="00FA457D" w:rsidRPr="00B1089D" w:rsidRDefault="00FA457D" w:rsidP="000610DA">
            <w:pPr>
              <w:widowControl/>
            </w:pPr>
            <w:r w:rsidRPr="00B1089D">
              <w:rPr>
                <w:b/>
                <w:bCs/>
              </w:rPr>
              <w:t>2006</w:t>
            </w:r>
          </w:p>
        </w:tc>
        <w:tc>
          <w:tcPr>
            <w:tcW w:w="0" w:type="auto"/>
            <w:tcMar>
              <w:top w:w="0" w:type="dxa"/>
              <w:left w:w="115" w:type="dxa"/>
              <w:bottom w:w="0" w:type="dxa"/>
              <w:right w:w="115" w:type="dxa"/>
            </w:tcMar>
            <w:hideMark/>
          </w:tcPr>
          <w:p w14:paraId="35E4E0AA"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88B9853"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0E5F7555"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7F24F4CC" w14:textId="77777777" w:rsidR="00FA457D" w:rsidRPr="00B1089D" w:rsidRDefault="00FA457D" w:rsidP="000610DA">
            <w:pPr>
              <w:widowControl/>
            </w:pPr>
          </w:p>
        </w:tc>
        <w:tc>
          <w:tcPr>
            <w:tcW w:w="0" w:type="auto"/>
            <w:tcMar>
              <w:top w:w="0" w:type="dxa"/>
              <w:left w:w="115" w:type="dxa"/>
              <w:bottom w:w="0" w:type="dxa"/>
              <w:right w:w="115" w:type="dxa"/>
            </w:tcMar>
            <w:hideMark/>
          </w:tcPr>
          <w:p w14:paraId="47D03BC8"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1A92434C" w14:textId="77777777" w:rsidR="00FA457D" w:rsidRPr="00B1089D" w:rsidRDefault="00FA457D" w:rsidP="000610DA">
            <w:pPr>
              <w:widowControl/>
            </w:pPr>
            <w:r w:rsidRPr="00B1089D">
              <w:t>.</w:t>
            </w:r>
          </w:p>
        </w:tc>
        <w:tc>
          <w:tcPr>
            <w:tcW w:w="0" w:type="auto"/>
            <w:gridSpan w:val="2"/>
            <w:tcMar>
              <w:top w:w="0" w:type="dxa"/>
              <w:left w:w="115" w:type="dxa"/>
              <w:bottom w:w="0" w:type="dxa"/>
              <w:right w:w="115" w:type="dxa"/>
            </w:tcMar>
            <w:hideMark/>
          </w:tcPr>
          <w:p w14:paraId="782C73B4"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C5FA9F7" w14:textId="77777777" w:rsidR="00FA457D" w:rsidRPr="00B1089D" w:rsidRDefault="00FA457D" w:rsidP="000610DA">
            <w:pPr>
              <w:widowControl/>
            </w:pPr>
          </w:p>
        </w:tc>
      </w:tr>
      <w:tr w:rsidR="00FA457D" w:rsidRPr="00B1089D" w14:paraId="0C155C84" w14:textId="77777777" w:rsidTr="000610DA">
        <w:trPr>
          <w:trHeight w:val="322"/>
        </w:trPr>
        <w:tc>
          <w:tcPr>
            <w:tcW w:w="0" w:type="auto"/>
            <w:tcMar>
              <w:top w:w="0" w:type="dxa"/>
              <w:left w:w="115" w:type="dxa"/>
              <w:bottom w:w="0" w:type="dxa"/>
              <w:right w:w="115" w:type="dxa"/>
            </w:tcMar>
            <w:vAlign w:val="center"/>
            <w:hideMark/>
          </w:tcPr>
          <w:p w14:paraId="208CF11C" w14:textId="77777777" w:rsidR="00FA457D" w:rsidRPr="00B1089D" w:rsidRDefault="00FA457D" w:rsidP="000610DA">
            <w:pPr>
              <w:widowControl/>
            </w:pPr>
            <w:r w:rsidRPr="00B1089D">
              <w:rPr>
                <w:b/>
                <w:bCs/>
              </w:rPr>
              <w:t>2007</w:t>
            </w:r>
          </w:p>
        </w:tc>
        <w:tc>
          <w:tcPr>
            <w:tcW w:w="0" w:type="auto"/>
            <w:tcMar>
              <w:top w:w="0" w:type="dxa"/>
              <w:left w:w="115" w:type="dxa"/>
              <w:bottom w:w="0" w:type="dxa"/>
              <w:right w:w="115" w:type="dxa"/>
            </w:tcMar>
            <w:hideMark/>
          </w:tcPr>
          <w:p w14:paraId="5A0A8B39" w14:textId="77777777" w:rsidR="00FA457D" w:rsidRPr="00B1089D" w:rsidRDefault="00FA457D" w:rsidP="000610DA">
            <w:pPr>
              <w:widowControl/>
            </w:pPr>
            <w:r w:rsidRPr="00B1089D">
              <w:t>.041</w:t>
            </w:r>
          </w:p>
        </w:tc>
        <w:tc>
          <w:tcPr>
            <w:tcW w:w="0" w:type="auto"/>
            <w:tcMar>
              <w:top w:w="0" w:type="dxa"/>
              <w:left w:w="115" w:type="dxa"/>
              <w:bottom w:w="0" w:type="dxa"/>
              <w:right w:w="115" w:type="dxa"/>
            </w:tcMar>
            <w:hideMark/>
          </w:tcPr>
          <w:p w14:paraId="618BF18E" w14:textId="77777777" w:rsidR="00FA457D" w:rsidRPr="00B1089D" w:rsidRDefault="00FA457D" w:rsidP="000610DA">
            <w:pPr>
              <w:widowControl/>
            </w:pPr>
            <w:r w:rsidRPr="00B1089D">
              <w:t>3.10</w:t>
            </w:r>
          </w:p>
        </w:tc>
        <w:tc>
          <w:tcPr>
            <w:tcW w:w="0" w:type="auto"/>
            <w:tcMar>
              <w:top w:w="0" w:type="dxa"/>
              <w:left w:w="115" w:type="dxa"/>
              <w:bottom w:w="0" w:type="dxa"/>
              <w:right w:w="115" w:type="dxa"/>
            </w:tcMar>
            <w:hideMark/>
          </w:tcPr>
          <w:p w14:paraId="50BECB59" w14:textId="77777777" w:rsidR="00FA457D" w:rsidRPr="00B1089D" w:rsidRDefault="00FA457D" w:rsidP="000610DA">
            <w:pPr>
              <w:widowControl/>
            </w:pPr>
            <w:r w:rsidRPr="00B1089D">
              <w:t>.002</w:t>
            </w:r>
          </w:p>
        </w:tc>
        <w:tc>
          <w:tcPr>
            <w:tcW w:w="0" w:type="auto"/>
            <w:tcMar>
              <w:top w:w="0" w:type="dxa"/>
              <w:left w:w="115" w:type="dxa"/>
              <w:bottom w:w="0" w:type="dxa"/>
              <w:right w:w="115" w:type="dxa"/>
            </w:tcMar>
            <w:hideMark/>
          </w:tcPr>
          <w:p w14:paraId="428BEB5A"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0CD0A341" w14:textId="77777777" w:rsidR="00FA457D" w:rsidRPr="00B1089D" w:rsidRDefault="00FA457D" w:rsidP="000610DA">
            <w:pPr>
              <w:widowControl/>
            </w:pPr>
            <w:r w:rsidRPr="00B1089D">
              <w:t>.042</w:t>
            </w:r>
          </w:p>
        </w:tc>
        <w:tc>
          <w:tcPr>
            <w:tcW w:w="0" w:type="auto"/>
            <w:tcMar>
              <w:top w:w="0" w:type="dxa"/>
              <w:left w:w="115" w:type="dxa"/>
              <w:bottom w:w="0" w:type="dxa"/>
              <w:right w:w="115" w:type="dxa"/>
            </w:tcMar>
            <w:hideMark/>
          </w:tcPr>
          <w:p w14:paraId="3B13B9FF" w14:textId="77777777" w:rsidR="00FA457D" w:rsidRPr="00B1089D" w:rsidRDefault="00FA457D" w:rsidP="000610DA">
            <w:pPr>
              <w:widowControl/>
            </w:pPr>
            <w:r w:rsidRPr="00B1089D">
              <w:t>3.21</w:t>
            </w:r>
          </w:p>
        </w:tc>
        <w:tc>
          <w:tcPr>
            <w:tcW w:w="0" w:type="auto"/>
            <w:gridSpan w:val="2"/>
            <w:tcMar>
              <w:top w:w="0" w:type="dxa"/>
              <w:left w:w="115" w:type="dxa"/>
              <w:bottom w:w="0" w:type="dxa"/>
              <w:right w:w="115" w:type="dxa"/>
            </w:tcMar>
            <w:hideMark/>
          </w:tcPr>
          <w:p w14:paraId="7ED34D1D" w14:textId="77777777" w:rsidR="00FA457D" w:rsidRPr="00B1089D" w:rsidRDefault="00FA457D" w:rsidP="000610DA">
            <w:pPr>
              <w:widowControl/>
            </w:pPr>
            <w:r w:rsidRPr="00B1089D">
              <w:t>.001</w:t>
            </w:r>
          </w:p>
        </w:tc>
        <w:tc>
          <w:tcPr>
            <w:tcW w:w="0" w:type="auto"/>
            <w:tcMar>
              <w:top w:w="0" w:type="dxa"/>
              <w:left w:w="115" w:type="dxa"/>
              <w:bottom w:w="0" w:type="dxa"/>
              <w:right w:w="115" w:type="dxa"/>
            </w:tcMar>
            <w:hideMark/>
          </w:tcPr>
          <w:p w14:paraId="0B425DCE" w14:textId="77777777" w:rsidR="00FA457D" w:rsidRPr="00B1089D" w:rsidRDefault="00FA457D" w:rsidP="000610DA">
            <w:pPr>
              <w:widowControl/>
            </w:pPr>
            <w:r w:rsidRPr="00B1089D">
              <w:t>***</w:t>
            </w:r>
          </w:p>
        </w:tc>
      </w:tr>
      <w:tr w:rsidR="00FA457D" w:rsidRPr="00B1089D" w14:paraId="3A2E81A8" w14:textId="77777777" w:rsidTr="000610DA">
        <w:trPr>
          <w:trHeight w:val="322"/>
        </w:trPr>
        <w:tc>
          <w:tcPr>
            <w:tcW w:w="0" w:type="auto"/>
            <w:tcMar>
              <w:top w:w="0" w:type="dxa"/>
              <w:left w:w="115" w:type="dxa"/>
              <w:bottom w:w="0" w:type="dxa"/>
              <w:right w:w="115" w:type="dxa"/>
            </w:tcMar>
            <w:vAlign w:val="center"/>
            <w:hideMark/>
          </w:tcPr>
          <w:p w14:paraId="2A8ADBAB" w14:textId="77777777" w:rsidR="00FA457D" w:rsidRPr="00B1089D" w:rsidRDefault="00FA457D" w:rsidP="000610DA">
            <w:pPr>
              <w:widowControl/>
            </w:pPr>
            <w:r w:rsidRPr="00B1089D">
              <w:rPr>
                <w:b/>
                <w:bCs/>
              </w:rPr>
              <w:t>2008</w:t>
            </w:r>
          </w:p>
        </w:tc>
        <w:tc>
          <w:tcPr>
            <w:tcW w:w="0" w:type="auto"/>
            <w:tcMar>
              <w:top w:w="0" w:type="dxa"/>
              <w:left w:w="115" w:type="dxa"/>
              <w:bottom w:w="0" w:type="dxa"/>
              <w:right w:w="115" w:type="dxa"/>
            </w:tcMar>
            <w:hideMark/>
          </w:tcPr>
          <w:p w14:paraId="2C19ECF0" w14:textId="77777777" w:rsidR="00FA457D" w:rsidRPr="00B1089D" w:rsidRDefault="00FA457D" w:rsidP="000610DA">
            <w:pPr>
              <w:widowControl/>
            </w:pPr>
            <w:r w:rsidRPr="00B1089D">
              <w:t>.063</w:t>
            </w:r>
          </w:p>
        </w:tc>
        <w:tc>
          <w:tcPr>
            <w:tcW w:w="0" w:type="auto"/>
            <w:tcMar>
              <w:top w:w="0" w:type="dxa"/>
              <w:left w:w="115" w:type="dxa"/>
              <w:bottom w:w="0" w:type="dxa"/>
              <w:right w:w="115" w:type="dxa"/>
            </w:tcMar>
            <w:hideMark/>
          </w:tcPr>
          <w:p w14:paraId="79A38767" w14:textId="77777777" w:rsidR="00FA457D" w:rsidRPr="00B1089D" w:rsidRDefault="00FA457D" w:rsidP="000610DA">
            <w:pPr>
              <w:widowControl/>
            </w:pPr>
            <w:r w:rsidRPr="00B1089D">
              <w:t>4.71</w:t>
            </w:r>
          </w:p>
        </w:tc>
        <w:tc>
          <w:tcPr>
            <w:tcW w:w="0" w:type="auto"/>
            <w:tcMar>
              <w:top w:w="0" w:type="dxa"/>
              <w:left w:w="115" w:type="dxa"/>
              <w:bottom w:w="0" w:type="dxa"/>
              <w:right w:w="115" w:type="dxa"/>
            </w:tcMar>
            <w:hideMark/>
          </w:tcPr>
          <w:p w14:paraId="118E80EB"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2F46CA6"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15F8D567" w14:textId="77777777" w:rsidR="00FA457D" w:rsidRPr="00B1089D" w:rsidRDefault="00FA457D" w:rsidP="000610DA">
            <w:pPr>
              <w:widowControl/>
            </w:pPr>
            <w:r w:rsidRPr="00B1089D">
              <w:t>.065</w:t>
            </w:r>
          </w:p>
        </w:tc>
        <w:tc>
          <w:tcPr>
            <w:tcW w:w="0" w:type="auto"/>
            <w:tcMar>
              <w:top w:w="0" w:type="dxa"/>
              <w:left w:w="115" w:type="dxa"/>
              <w:bottom w:w="0" w:type="dxa"/>
              <w:right w:w="115" w:type="dxa"/>
            </w:tcMar>
            <w:hideMark/>
          </w:tcPr>
          <w:p w14:paraId="061F93A2" w14:textId="77777777" w:rsidR="00FA457D" w:rsidRPr="00B1089D" w:rsidRDefault="00FA457D" w:rsidP="000610DA">
            <w:pPr>
              <w:widowControl/>
            </w:pPr>
            <w:r w:rsidRPr="00B1089D">
              <w:t>4.89</w:t>
            </w:r>
          </w:p>
        </w:tc>
        <w:tc>
          <w:tcPr>
            <w:tcW w:w="0" w:type="auto"/>
            <w:gridSpan w:val="2"/>
            <w:tcMar>
              <w:top w:w="0" w:type="dxa"/>
              <w:left w:w="115" w:type="dxa"/>
              <w:bottom w:w="0" w:type="dxa"/>
              <w:right w:w="115" w:type="dxa"/>
            </w:tcMar>
            <w:hideMark/>
          </w:tcPr>
          <w:p w14:paraId="046F5EB5"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3F9109B7" w14:textId="77777777" w:rsidR="00FA457D" w:rsidRPr="00B1089D" w:rsidRDefault="00FA457D" w:rsidP="000610DA">
            <w:pPr>
              <w:widowControl/>
            </w:pPr>
            <w:r w:rsidRPr="00B1089D">
              <w:t>***</w:t>
            </w:r>
          </w:p>
        </w:tc>
      </w:tr>
      <w:tr w:rsidR="00FA457D" w:rsidRPr="00B1089D" w14:paraId="7DCF2B6A" w14:textId="77777777" w:rsidTr="000610DA">
        <w:trPr>
          <w:trHeight w:val="337"/>
        </w:trPr>
        <w:tc>
          <w:tcPr>
            <w:tcW w:w="0" w:type="auto"/>
            <w:tcMar>
              <w:top w:w="0" w:type="dxa"/>
              <w:left w:w="115" w:type="dxa"/>
              <w:bottom w:w="0" w:type="dxa"/>
              <w:right w:w="115" w:type="dxa"/>
            </w:tcMar>
            <w:vAlign w:val="center"/>
            <w:hideMark/>
          </w:tcPr>
          <w:p w14:paraId="2530CB25" w14:textId="77777777" w:rsidR="00FA457D" w:rsidRPr="00B1089D" w:rsidRDefault="00FA457D" w:rsidP="000610DA">
            <w:pPr>
              <w:widowControl/>
            </w:pPr>
            <w:r w:rsidRPr="00B1089D">
              <w:rPr>
                <w:b/>
                <w:bCs/>
              </w:rPr>
              <w:t>2009</w:t>
            </w:r>
          </w:p>
        </w:tc>
        <w:tc>
          <w:tcPr>
            <w:tcW w:w="0" w:type="auto"/>
            <w:tcMar>
              <w:top w:w="0" w:type="dxa"/>
              <w:left w:w="115" w:type="dxa"/>
              <w:bottom w:w="0" w:type="dxa"/>
              <w:right w:w="115" w:type="dxa"/>
            </w:tcMar>
            <w:hideMark/>
          </w:tcPr>
          <w:p w14:paraId="5BEE1E5C" w14:textId="77777777" w:rsidR="00FA457D" w:rsidRPr="00B1089D" w:rsidRDefault="00FA457D" w:rsidP="000610DA">
            <w:pPr>
              <w:widowControl/>
            </w:pPr>
            <w:r w:rsidRPr="00B1089D">
              <w:t>.039</w:t>
            </w:r>
          </w:p>
        </w:tc>
        <w:tc>
          <w:tcPr>
            <w:tcW w:w="0" w:type="auto"/>
            <w:tcMar>
              <w:top w:w="0" w:type="dxa"/>
              <w:left w:w="115" w:type="dxa"/>
              <w:bottom w:w="0" w:type="dxa"/>
              <w:right w:w="115" w:type="dxa"/>
            </w:tcMar>
            <w:hideMark/>
          </w:tcPr>
          <w:p w14:paraId="590F9A0B" w14:textId="77777777" w:rsidR="00FA457D" w:rsidRPr="00B1089D" w:rsidRDefault="00FA457D" w:rsidP="000610DA">
            <w:pPr>
              <w:widowControl/>
            </w:pPr>
            <w:r w:rsidRPr="00B1089D">
              <w:t>2.88</w:t>
            </w:r>
          </w:p>
        </w:tc>
        <w:tc>
          <w:tcPr>
            <w:tcW w:w="0" w:type="auto"/>
            <w:tcMar>
              <w:top w:w="0" w:type="dxa"/>
              <w:left w:w="115" w:type="dxa"/>
              <w:bottom w:w="0" w:type="dxa"/>
              <w:right w:w="115" w:type="dxa"/>
            </w:tcMar>
            <w:hideMark/>
          </w:tcPr>
          <w:p w14:paraId="4695840B" w14:textId="77777777" w:rsidR="00FA457D" w:rsidRPr="00B1089D" w:rsidRDefault="00FA457D" w:rsidP="000610DA">
            <w:pPr>
              <w:widowControl/>
            </w:pPr>
            <w:r w:rsidRPr="00B1089D">
              <w:t>.004</w:t>
            </w:r>
          </w:p>
        </w:tc>
        <w:tc>
          <w:tcPr>
            <w:tcW w:w="0" w:type="auto"/>
            <w:tcMar>
              <w:top w:w="0" w:type="dxa"/>
              <w:left w:w="115" w:type="dxa"/>
              <w:bottom w:w="0" w:type="dxa"/>
              <w:right w:w="115" w:type="dxa"/>
            </w:tcMar>
            <w:hideMark/>
          </w:tcPr>
          <w:p w14:paraId="70F770FC"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FB66F54" w14:textId="77777777" w:rsidR="00FA457D" w:rsidRPr="00B1089D" w:rsidRDefault="00FA457D" w:rsidP="000610DA">
            <w:pPr>
              <w:widowControl/>
            </w:pPr>
            <w:r w:rsidRPr="00B1089D">
              <w:t>.04</w:t>
            </w:r>
          </w:p>
        </w:tc>
        <w:tc>
          <w:tcPr>
            <w:tcW w:w="0" w:type="auto"/>
            <w:tcMar>
              <w:top w:w="0" w:type="dxa"/>
              <w:left w:w="115" w:type="dxa"/>
              <w:bottom w:w="0" w:type="dxa"/>
              <w:right w:w="115" w:type="dxa"/>
            </w:tcMar>
            <w:hideMark/>
          </w:tcPr>
          <w:p w14:paraId="74D9C60D" w14:textId="77777777" w:rsidR="00FA457D" w:rsidRPr="00B1089D" w:rsidRDefault="00FA457D" w:rsidP="000610DA">
            <w:pPr>
              <w:widowControl/>
            </w:pPr>
            <w:r w:rsidRPr="00B1089D">
              <w:t>3.06</w:t>
            </w:r>
          </w:p>
        </w:tc>
        <w:tc>
          <w:tcPr>
            <w:tcW w:w="0" w:type="auto"/>
            <w:gridSpan w:val="2"/>
            <w:tcMar>
              <w:top w:w="0" w:type="dxa"/>
              <w:left w:w="115" w:type="dxa"/>
              <w:bottom w:w="0" w:type="dxa"/>
              <w:right w:w="115" w:type="dxa"/>
            </w:tcMar>
            <w:hideMark/>
          </w:tcPr>
          <w:p w14:paraId="618FC713" w14:textId="77777777" w:rsidR="00FA457D" w:rsidRPr="00B1089D" w:rsidRDefault="00FA457D" w:rsidP="000610DA">
            <w:pPr>
              <w:widowControl/>
            </w:pPr>
            <w:r w:rsidRPr="00B1089D">
              <w:t>.002</w:t>
            </w:r>
          </w:p>
        </w:tc>
        <w:tc>
          <w:tcPr>
            <w:tcW w:w="0" w:type="auto"/>
            <w:tcMar>
              <w:top w:w="0" w:type="dxa"/>
              <w:left w:w="115" w:type="dxa"/>
              <w:bottom w:w="0" w:type="dxa"/>
              <w:right w:w="115" w:type="dxa"/>
            </w:tcMar>
            <w:hideMark/>
          </w:tcPr>
          <w:p w14:paraId="63D50289" w14:textId="77777777" w:rsidR="00FA457D" w:rsidRPr="00B1089D" w:rsidRDefault="00FA457D" w:rsidP="000610DA">
            <w:pPr>
              <w:widowControl/>
            </w:pPr>
            <w:r w:rsidRPr="00B1089D">
              <w:t>***</w:t>
            </w:r>
          </w:p>
        </w:tc>
      </w:tr>
      <w:tr w:rsidR="00FA457D" w:rsidRPr="00B1089D" w14:paraId="6EA7F2DA" w14:textId="77777777" w:rsidTr="000610DA">
        <w:trPr>
          <w:trHeight w:val="337"/>
        </w:trPr>
        <w:tc>
          <w:tcPr>
            <w:tcW w:w="0" w:type="auto"/>
            <w:tcMar>
              <w:top w:w="0" w:type="dxa"/>
              <w:left w:w="115" w:type="dxa"/>
              <w:bottom w:w="0" w:type="dxa"/>
              <w:right w:w="115" w:type="dxa"/>
            </w:tcMar>
            <w:vAlign w:val="center"/>
            <w:hideMark/>
          </w:tcPr>
          <w:p w14:paraId="0FC1860F" w14:textId="77777777" w:rsidR="00FA457D" w:rsidRPr="00B1089D" w:rsidRDefault="00FA457D" w:rsidP="000610DA">
            <w:pPr>
              <w:widowControl/>
            </w:pPr>
            <w:r w:rsidRPr="00B1089D">
              <w:rPr>
                <w:b/>
                <w:bCs/>
              </w:rPr>
              <w:t>2010</w:t>
            </w:r>
          </w:p>
        </w:tc>
        <w:tc>
          <w:tcPr>
            <w:tcW w:w="0" w:type="auto"/>
            <w:tcMar>
              <w:top w:w="0" w:type="dxa"/>
              <w:left w:w="115" w:type="dxa"/>
              <w:bottom w:w="0" w:type="dxa"/>
              <w:right w:w="115" w:type="dxa"/>
            </w:tcMar>
            <w:hideMark/>
          </w:tcPr>
          <w:p w14:paraId="0E40AD5E" w14:textId="77777777" w:rsidR="00FA457D" w:rsidRPr="00B1089D" w:rsidRDefault="00FA457D" w:rsidP="000610DA">
            <w:pPr>
              <w:widowControl/>
            </w:pPr>
            <w:r w:rsidRPr="00B1089D">
              <w:t>.067</w:t>
            </w:r>
          </w:p>
        </w:tc>
        <w:tc>
          <w:tcPr>
            <w:tcW w:w="0" w:type="auto"/>
            <w:tcMar>
              <w:top w:w="0" w:type="dxa"/>
              <w:left w:w="115" w:type="dxa"/>
              <w:bottom w:w="0" w:type="dxa"/>
              <w:right w:w="115" w:type="dxa"/>
            </w:tcMar>
            <w:hideMark/>
          </w:tcPr>
          <w:p w14:paraId="6247A04D" w14:textId="77777777" w:rsidR="00FA457D" w:rsidRPr="00B1089D" w:rsidRDefault="00FA457D" w:rsidP="000610DA">
            <w:pPr>
              <w:widowControl/>
            </w:pPr>
            <w:r w:rsidRPr="00B1089D">
              <w:t>5.00</w:t>
            </w:r>
          </w:p>
        </w:tc>
        <w:tc>
          <w:tcPr>
            <w:tcW w:w="0" w:type="auto"/>
            <w:tcMar>
              <w:top w:w="0" w:type="dxa"/>
              <w:left w:w="115" w:type="dxa"/>
              <w:bottom w:w="0" w:type="dxa"/>
              <w:right w:w="115" w:type="dxa"/>
            </w:tcMar>
            <w:hideMark/>
          </w:tcPr>
          <w:p w14:paraId="70DD89CE"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7DFC89E3"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C42B296" w14:textId="77777777" w:rsidR="00FA457D" w:rsidRPr="00B1089D" w:rsidRDefault="00FA457D" w:rsidP="000610DA">
            <w:pPr>
              <w:widowControl/>
            </w:pPr>
            <w:r w:rsidRPr="00B1089D">
              <w:t>.069</w:t>
            </w:r>
          </w:p>
        </w:tc>
        <w:tc>
          <w:tcPr>
            <w:tcW w:w="0" w:type="auto"/>
            <w:tcMar>
              <w:top w:w="0" w:type="dxa"/>
              <w:left w:w="115" w:type="dxa"/>
              <w:bottom w:w="0" w:type="dxa"/>
              <w:right w:w="115" w:type="dxa"/>
            </w:tcMar>
            <w:hideMark/>
          </w:tcPr>
          <w:p w14:paraId="05CA1EB4" w14:textId="77777777" w:rsidR="00FA457D" w:rsidRPr="00B1089D" w:rsidRDefault="00FA457D" w:rsidP="000610DA">
            <w:pPr>
              <w:widowControl/>
            </w:pPr>
            <w:r w:rsidRPr="00B1089D">
              <w:t>5.22</w:t>
            </w:r>
          </w:p>
        </w:tc>
        <w:tc>
          <w:tcPr>
            <w:tcW w:w="0" w:type="auto"/>
            <w:gridSpan w:val="2"/>
            <w:tcMar>
              <w:top w:w="0" w:type="dxa"/>
              <w:left w:w="115" w:type="dxa"/>
              <w:bottom w:w="0" w:type="dxa"/>
              <w:right w:w="115" w:type="dxa"/>
            </w:tcMar>
            <w:hideMark/>
          </w:tcPr>
          <w:p w14:paraId="36089CAF"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036FAF62" w14:textId="77777777" w:rsidR="00FA457D" w:rsidRPr="00B1089D" w:rsidRDefault="00FA457D" w:rsidP="000610DA">
            <w:pPr>
              <w:widowControl/>
            </w:pPr>
            <w:r w:rsidRPr="00B1089D">
              <w:t>***</w:t>
            </w:r>
          </w:p>
        </w:tc>
      </w:tr>
      <w:tr w:rsidR="00FA457D" w:rsidRPr="00B1089D" w14:paraId="611F6A7A" w14:textId="77777777" w:rsidTr="000610DA">
        <w:trPr>
          <w:trHeight w:val="337"/>
        </w:trPr>
        <w:tc>
          <w:tcPr>
            <w:tcW w:w="0" w:type="auto"/>
            <w:tcMar>
              <w:top w:w="0" w:type="dxa"/>
              <w:left w:w="115" w:type="dxa"/>
              <w:bottom w:w="0" w:type="dxa"/>
              <w:right w:w="115" w:type="dxa"/>
            </w:tcMar>
            <w:vAlign w:val="center"/>
            <w:hideMark/>
          </w:tcPr>
          <w:p w14:paraId="3C1C9480" w14:textId="77777777" w:rsidR="00FA457D" w:rsidRPr="00B1089D" w:rsidRDefault="00FA457D" w:rsidP="000610DA">
            <w:pPr>
              <w:widowControl/>
            </w:pPr>
            <w:r w:rsidRPr="00B1089D">
              <w:rPr>
                <w:b/>
                <w:bCs/>
              </w:rPr>
              <w:t>2011</w:t>
            </w:r>
          </w:p>
        </w:tc>
        <w:tc>
          <w:tcPr>
            <w:tcW w:w="0" w:type="auto"/>
            <w:tcMar>
              <w:top w:w="0" w:type="dxa"/>
              <w:left w:w="115" w:type="dxa"/>
              <w:bottom w:w="0" w:type="dxa"/>
              <w:right w:w="115" w:type="dxa"/>
            </w:tcMar>
            <w:hideMark/>
          </w:tcPr>
          <w:p w14:paraId="2F79BD5B" w14:textId="77777777" w:rsidR="00FA457D" w:rsidRPr="00B1089D" w:rsidRDefault="00FA457D" w:rsidP="000610DA">
            <w:pPr>
              <w:widowControl/>
            </w:pPr>
            <w:r w:rsidRPr="00B1089D">
              <w:t>.095</w:t>
            </w:r>
          </w:p>
        </w:tc>
        <w:tc>
          <w:tcPr>
            <w:tcW w:w="0" w:type="auto"/>
            <w:tcMar>
              <w:top w:w="0" w:type="dxa"/>
              <w:left w:w="115" w:type="dxa"/>
              <w:bottom w:w="0" w:type="dxa"/>
              <w:right w:w="115" w:type="dxa"/>
            </w:tcMar>
            <w:hideMark/>
          </w:tcPr>
          <w:p w14:paraId="6C621124" w14:textId="77777777" w:rsidR="00FA457D" w:rsidRPr="00B1089D" w:rsidRDefault="00FA457D" w:rsidP="000610DA">
            <w:pPr>
              <w:widowControl/>
            </w:pPr>
            <w:r w:rsidRPr="00B1089D">
              <w:t>7.03</w:t>
            </w:r>
          </w:p>
        </w:tc>
        <w:tc>
          <w:tcPr>
            <w:tcW w:w="0" w:type="auto"/>
            <w:tcMar>
              <w:top w:w="0" w:type="dxa"/>
              <w:left w:w="115" w:type="dxa"/>
              <w:bottom w:w="0" w:type="dxa"/>
              <w:right w:w="115" w:type="dxa"/>
            </w:tcMar>
            <w:hideMark/>
          </w:tcPr>
          <w:p w14:paraId="09387E0E"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574888D2"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14B5C0CD" w14:textId="77777777" w:rsidR="00FA457D" w:rsidRPr="00B1089D" w:rsidRDefault="00FA457D" w:rsidP="000610DA">
            <w:pPr>
              <w:widowControl/>
            </w:pPr>
            <w:r w:rsidRPr="00B1089D">
              <w:t>.097</w:t>
            </w:r>
          </w:p>
        </w:tc>
        <w:tc>
          <w:tcPr>
            <w:tcW w:w="0" w:type="auto"/>
            <w:tcMar>
              <w:top w:w="0" w:type="dxa"/>
              <w:left w:w="115" w:type="dxa"/>
              <w:bottom w:w="0" w:type="dxa"/>
              <w:right w:w="115" w:type="dxa"/>
            </w:tcMar>
            <w:hideMark/>
          </w:tcPr>
          <w:p w14:paraId="1BB22A27" w14:textId="77777777" w:rsidR="00FA457D" w:rsidRPr="00B1089D" w:rsidRDefault="00FA457D" w:rsidP="000610DA">
            <w:pPr>
              <w:widowControl/>
            </w:pPr>
            <w:r w:rsidRPr="00B1089D">
              <w:t>7.30</w:t>
            </w:r>
          </w:p>
        </w:tc>
        <w:tc>
          <w:tcPr>
            <w:tcW w:w="0" w:type="auto"/>
            <w:gridSpan w:val="2"/>
            <w:tcMar>
              <w:top w:w="0" w:type="dxa"/>
              <w:left w:w="115" w:type="dxa"/>
              <w:bottom w:w="0" w:type="dxa"/>
              <w:right w:w="115" w:type="dxa"/>
            </w:tcMar>
            <w:hideMark/>
          </w:tcPr>
          <w:p w14:paraId="1D07DE0E"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51DE884A" w14:textId="77777777" w:rsidR="00FA457D" w:rsidRPr="00B1089D" w:rsidRDefault="00FA457D" w:rsidP="000610DA">
            <w:pPr>
              <w:widowControl/>
            </w:pPr>
            <w:r w:rsidRPr="00B1089D">
              <w:t>***</w:t>
            </w:r>
          </w:p>
        </w:tc>
      </w:tr>
      <w:tr w:rsidR="00FA457D" w:rsidRPr="00B1089D" w14:paraId="31BB6769" w14:textId="77777777" w:rsidTr="000610DA">
        <w:trPr>
          <w:trHeight w:val="337"/>
        </w:trPr>
        <w:tc>
          <w:tcPr>
            <w:tcW w:w="0" w:type="auto"/>
            <w:tcMar>
              <w:top w:w="0" w:type="dxa"/>
              <w:left w:w="115" w:type="dxa"/>
              <w:bottom w:w="0" w:type="dxa"/>
              <w:right w:w="115" w:type="dxa"/>
            </w:tcMar>
            <w:vAlign w:val="center"/>
            <w:hideMark/>
          </w:tcPr>
          <w:p w14:paraId="0D44C43B" w14:textId="77777777" w:rsidR="00FA457D" w:rsidRPr="00B1089D" w:rsidRDefault="00FA457D" w:rsidP="000610DA">
            <w:pPr>
              <w:widowControl/>
            </w:pPr>
            <w:r w:rsidRPr="00B1089D">
              <w:rPr>
                <w:b/>
                <w:bCs/>
              </w:rPr>
              <w:t>2012</w:t>
            </w:r>
          </w:p>
        </w:tc>
        <w:tc>
          <w:tcPr>
            <w:tcW w:w="0" w:type="auto"/>
            <w:tcMar>
              <w:top w:w="0" w:type="dxa"/>
              <w:left w:w="115" w:type="dxa"/>
              <w:bottom w:w="0" w:type="dxa"/>
              <w:right w:w="115" w:type="dxa"/>
            </w:tcMar>
            <w:hideMark/>
          </w:tcPr>
          <w:p w14:paraId="2228D338" w14:textId="77777777" w:rsidR="00FA457D" w:rsidRPr="00B1089D" w:rsidRDefault="00FA457D" w:rsidP="000610DA">
            <w:pPr>
              <w:widowControl/>
            </w:pPr>
            <w:r w:rsidRPr="00B1089D">
              <w:t>.107</w:t>
            </w:r>
          </w:p>
        </w:tc>
        <w:tc>
          <w:tcPr>
            <w:tcW w:w="0" w:type="auto"/>
            <w:tcMar>
              <w:top w:w="0" w:type="dxa"/>
              <w:left w:w="115" w:type="dxa"/>
              <w:bottom w:w="0" w:type="dxa"/>
              <w:right w:w="115" w:type="dxa"/>
            </w:tcMar>
            <w:hideMark/>
          </w:tcPr>
          <w:p w14:paraId="133BBF46" w14:textId="77777777" w:rsidR="00FA457D" w:rsidRPr="00B1089D" w:rsidRDefault="00FA457D" w:rsidP="000610DA">
            <w:pPr>
              <w:widowControl/>
            </w:pPr>
            <w:r w:rsidRPr="00B1089D">
              <w:t>7.88</w:t>
            </w:r>
          </w:p>
        </w:tc>
        <w:tc>
          <w:tcPr>
            <w:tcW w:w="0" w:type="auto"/>
            <w:tcMar>
              <w:top w:w="0" w:type="dxa"/>
              <w:left w:w="115" w:type="dxa"/>
              <w:bottom w:w="0" w:type="dxa"/>
              <w:right w:w="115" w:type="dxa"/>
            </w:tcMar>
            <w:hideMark/>
          </w:tcPr>
          <w:p w14:paraId="76258F2F"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19F2E51A"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164BE6FF" w14:textId="77777777" w:rsidR="00FA457D" w:rsidRPr="00B1089D" w:rsidRDefault="00FA457D" w:rsidP="000610DA">
            <w:pPr>
              <w:widowControl/>
            </w:pPr>
            <w:r w:rsidRPr="00B1089D">
              <w:t>.11</w:t>
            </w:r>
          </w:p>
        </w:tc>
        <w:tc>
          <w:tcPr>
            <w:tcW w:w="0" w:type="auto"/>
            <w:tcMar>
              <w:top w:w="0" w:type="dxa"/>
              <w:left w:w="115" w:type="dxa"/>
              <w:bottom w:w="0" w:type="dxa"/>
              <w:right w:w="115" w:type="dxa"/>
            </w:tcMar>
            <w:hideMark/>
          </w:tcPr>
          <w:p w14:paraId="78E9823A" w14:textId="77777777" w:rsidR="00FA457D" w:rsidRPr="00B1089D" w:rsidRDefault="00FA457D" w:rsidP="000610DA">
            <w:pPr>
              <w:widowControl/>
            </w:pPr>
            <w:r w:rsidRPr="00B1089D">
              <w:t>8.19</w:t>
            </w:r>
          </w:p>
        </w:tc>
        <w:tc>
          <w:tcPr>
            <w:tcW w:w="0" w:type="auto"/>
            <w:gridSpan w:val="2"/>
            <w:tcMar>
              <w:top w:w="0" w:type="dxa"/>
              <w:left w:w="115" w:type="dxa"/>
              <w:bottom w:w="0" w:type="dxa"/>
              <w:right w:w="115" w:type="dxa"/>
            </w:tcMar>
            <w:hideMark/>
          </w:tcPr>
          <w:p w14:paraId="3135D0C0"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78961BF4" w14:textId="77777777" w:rsidR="00FA457D" w:rsidRPr="00B1089D" w:rsidRDefault="00FA457D" w:rsidP="000610DA">
            <w:pPr>
              <w:widowControl/>
            </w:pPr>
            <w:r w:rsidRPr="00B1089D">
              <w:t>***</w:t>
            </w:r>
          </w:p>
        </w:tc>
      </w:tr>
      <w:tr w:rsidR="00FA457D" w:rsidRPr="00B1089D" w14:paraId="7A7A2A53" w14:textId="77777777" w:rsidTr="000610DA">
        <w:trPr>
          <w:trHeight w:val="337"/>
        </w:trPr>
        <w:tc>
          <w:tcPr>
            <w:tcW w:w="0" w:type="auto"/>
            <w:tcMar>
              <w:top w:w="0" w:type="dxa"/>
              <w:left w:w="115" w:type="dxa"/>
              <w:bottom w:w="0" w:type="dxa"/>
              <w:right w:w="115" w:type="dxa"/>
            </w:tcMar>
            <w:vAlign w:val="center"/>
            <w:hideMark/>
          </w:tcPr>
          <w:p w14:paraId="7D7B0613" w14:textId="77777777" w:rsidR="00FA457D" w:rsidRPr="00B1089D" w:rsidRDefault="00FA457D" w:rsidP="000610DA">
            <w:pPr>
              <w:widowControl/>
            </w:pPr>
            <w:r w:rsidRPr="00B1089D">
              <w:rPr>
                <w:b/>
                <w:bCs/>
              </w:rPr>
              <w:t>2013</w:t>
            </w:r>
          </w:p>
        </w:tc>
        <w:tc>
          <w:tcPr>
            <w:tcW w:w="0" w:type="auto"/>
            <w:tcMar>
              <w:top w:w="0" w:type="dxa"/>
              <w:left w:w="115" w:type="dxa"/>
              <w:bottom w:w="0" w:type="dxa"/>
              <w:right w:w="115" w:type="dxa"/>
            </w:tcMar>
            <w:hideMark/>
          </w:tcPr>
          <w:p w14:paraId="73A50C6C" w14:textId="77777777" w:rsidR="00FA457D" w:rsidRPr="00B1089D" w:rsidRDefault="00FA457D" w:rsidP="000610DA">
            <w:pPr>
              <w:widowControl/>
            </w:pPr>
            <w:r w:rsidRPr="00B1089D">
              <w:t>.124</w:t>
            </w:r>
          </w:p>
        </w:tc>
        <w:tc>
          <w:tcPr>
            <w:tcW w:w="0" w:type="auto"/>
            <w:tcMar>
              <w:top w:w="0" w:type="dxa"/>
              <w:left w:w="115" w:type="dxa"/>
              <w:bottom w:w="0" w:type="dxa"/>
              <w:right w:w="115" w:type="dxa"/>
            </w:tcMar>
            <w:hideMark/>
          </w:tcPr>
          <w:p w14:paraId="1DDA7F73" w14:textId="77777777" w:rsidR="00FA457D" w:rsidRPr="00B1089D" w:rsidRDefault="00FA457D" w:rsidP="000610DA">
            <w:pPr>
              <w:widowControl/>
            </w:pPr>
            <w:r w:rsidRPr="00B1089D">
              <w:t>9.09</w:t>
            </w:r>
          </w:p>
        </w:tc>
        <w:tc>
          <w:tcPr>
            <w:tcW w:w="0" w:type="auto"/>
            <w:tcMar>
              <w:top w:w="0" w:type="dxa"/>
              <w:left w:w="115" w:type="dxa"/>
              <w:bottom w:w="0" w:type="dxa"/>
              <w:right w:w="115" w:type="dxa"/>
            </w:tcMar>
            <w:hideMark/>
          </w:tcPr>
          <w:p w14:paraId="62582E20"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6BEE692C"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3445BE3D" w14:textId="77777777" w:rsidR="00FA457D" w:rsidRPr="00B1089D" w:rsidRDefault="00FA457D" w:rsidP="000610DA">
            <w:pPr>
              <w:widowControl/>
            </w:pPr>
            <w:r w:rsidRPr="00B1089D">
              <w:t>.127</w:t>
            </w:r>
          </w:p>
        </w:tc>
        <w:tc>
          <w:tcPr>
            <w:tcW w:w="0" w:type="auto"/>
            <w:tcMar>
              <w:top w:w="0" w:type="dxa"/>
              <w:left w:w="115" w:type="dxa"/>
              <w:bottom w:w="0" w:type="dxa"/>
              <w:right w:w="115" w:type="dxa"/>
            </w:tcMar>
            <w:hideMark/>
          </w:tcPr>
          <w:p w14:paraId="729FEA5F" w14:textId="77777777" w:rsidR="00FA457D" w:rsidRPr="00B1089D" w:rsidRDefault="00FA457D" w:rsidP="000610DA">
            <w:pPr>
              <w:widowControl/>
            </w:pPr>
            <w:r w:rsidRPr="00B1089D">
              <w:t>9.44</w:t>
            </w:r>
          </w:p>
        </w:tc>
        <w:tc>
          <w:tcPr>
            <w:tcW w:w="0" w:type="auto"/>
            <w:gridSpan w:val="2"/>
            <w:tcMar>
              <w:top w:w="0" w:type="dxa"/>
              <w:left w:w="115" w:type="dxa"/>
              <w:bottom w:w="0" w:type="dxa"/>
              <w:right w:w="115" w:type="dxa"/>
            </w:tcMar>
            <w:hideMark/>
          </w:tcPr>
          <w:p w14:paraId="7BEF31E6"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25A3A45" w14:textId="77777777" w:rsidR="00FA457D" w:rsidRPr="00B1089D" w:rsidRDefault="00FA457D" w:rsidP="000610DA">
            <w:pPr>
              <w:widowControl/>
            </w:pPr>
            <w:r w:rsidRPr="00B1089D">
              <w:t>***</w:t>
            </w:r>
          </w:p>
        </w:tc>
      </w:tr>
      <w:tr w:rsidR="00FA457D" w:rsidRPr="00B1089D" w14:paraId="252435E3" w14:textId="77777777" w:rsidTr="000610DA">
        <w:trPr>
          <w:trHeight w:val="337"/>
        </w:trPr>
        <w:tc>
          <w:tcPr>
            <w:tcW w:w="0" w:type="auto"/>
            <w:tcMar>
              <w:top w:w="0" w:type="dxa"/>
              <w:left w:w="115" w:type="dxa"/>
              <w:bottom w:w="0" w:type="dxa"/>
              <w:right w:w="115" w:type="dxa"/>
            </w:tcMar>
            <w:vAlign w:val="center"/>
            <w:hideMark/>
          </w:tcPr>
          <w:p w14:paraId="3BB6BA5F" w14:textId="77777777" w:rsidR="00FA457D" w:rsidRPr="00B1089D" w:rsidRDefault="00FA457D" w:rsidP="000610DA">
            <w:pPr>
              <w:widowControl/>
            </w:pPr>
            <w:r w:rsidRPr="00B1089D">
              <w:rPr>
                <w:b/>
                <w:bCs/>
              </w:rPr>
              <w:t>2014</w:t>
            </w:r>
          </w:p>
        </w:tc>
        <w:tc>
          <w:tcPr>
            <w:tcW w:w="0" w:type="auto"/>
            <w:tcMar>
              <w:top w:w="0" w:type="dxa"/>
              <w:left w:w="115" w:type="dxa"/>
              <w:bottom w:w="0" w:type="dxa"/>
              <w:right w:w="115" w:type="dxa"/>
            </w:tcMar>
            <w:hideMark/>
          </w:tcPr>
          <w:p w14:paraId="6C18B10A" w14:textId="77777777" w:rsidR="00FA457D" w:rsidRPr="00B1089D" w:rsidRDefault="00FA457D" w:rsidP="000610DA">
            <w:pPr>
              <w:widowControl/>
            </w:pPr>
            <w:r w:rsidRPr="00B1089D">
              <w:t>.15</w:t>
            </w:r>
          </w:p>
        </w:tc>
        <w:tc>
          <w:tcPr>
            <w:tcW w:w="0" w:type="auto"/>
            <w:tcMar>
              <w:top w:w="0" w:type="dxa"/>
              <w:left w:w="115" w:type="dxa"/>
              <w:bottom w:w="0" w:type="dxa"/>
              <w:right w:w="115" w:type="dxa"/>
            </w:tcMar>
            <w:hideMark/>
          </w:tcPr>
          <w:p w14:paraId="0A4CC75E" w14:textId="77777777" w:rsidR="00FA457D" w:rsidRPr="00B1089D" w:rsidRDefault="00FA457D" w:rsidP="000610DA">
            <w:pPr>
              <w:widowControl/>
            </w:pPr>
            <w:r w:rsidRPr="00B1089D">
              <w:t>10.93</w:t>
            </w:r>
          </w:p>
        </w:tc>
        <w:tc>
          <w:tcPr>
            <w:tcW w:w="0" w:type="auto"/>
            <w:tcMar>
              <w:top w:w="0" w:type="dxa"/>
              <w:left w:w="115" w:type="dxa"/>
              <w:bottom w:w="0" w:type="dxa"/>
              <w:right w:w="115" w:type="dxa"/>
            </w:tcMar>
            <w:hideMark/>
          </w:tcPr>
          <w:p w14:paraId="3E892901"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EF6EC9F"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1E060C2" w14:textId="77777777" w:rsidR="00FA457D" w:rsidRPr="00B1089D" w:rsidRDefault="00FA457D" w:rsidP="000610DA">
            <w:pPr>
              <w:widowControl/>
            </w:pPr>
            <w:r w:rsidRPr="00B1089D">
              <w:t>.154</w:t>
            </w:r>
          </w:p>
        </w:tc>
        <w:tc>
          <w:tcPr>
            <w:tcW w:w="0" w:type="auto"/>
            <w:tcMar>
              <w:top w:w="0" w:type="dxa"/>
              <w:left w:w="115" w:type="dxa"/>
              <w:bottom w:w="0" w:type="dxa"/>
              <w:right w:w="115" w:type="dxa"/>
            </w:tcMar>
            <w:hideMark/>
          </w:tcPr>
          <w:p w14:paraId="27ECD9E1" w14:textId="77777777" w:rsidR="00FA457D" w:rsidRPr="00B1089D" w:rsidRDefault="00FA457D" w:rsidP="000610DA">
            <w:pPr>
              <w:widowControl/>
            </w:pPr>
            <w:r w:rsidRPr="00B1089D">
              <w:t>11.33</w:t>
            </w:r>
          </w:p>
        </w:tc>
        <w:tc>
          <w:tcPr>
            <w:tcW w:w="0" w:type="auto"/>
            <w:gridSpan w:val="2"/>
            <w:tcMar>
              <w:top w:w="0" w:type="dxa"/>
              <w:left w:w="115" w:type="dxa"/>
              <w:bottom w:w="0" w:type="dxa"/>
              <w:right w:w="115" w:type="dxa"/>
            </w:tcMar>
            <w:hideMark/>
          </w:tcPr>
          <w:p w14:paraId="446F59B1"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7ED0A3AE" w14:textId="77777777" w:rsidR="00FA457D" w:rsidRPr="00B1089D" w:rsidRDefault="00FA457D" w:rsidP="000610DA">
            <w:pPr>
              <w:widowControl/>
            </w:pPr>
            <w:r w:rsidRPr="00B1089D">
              <w:t>***</w:t>
            </w:r>
          </w:p>
        </w:tc>
      </w:tr>
      <w:tr w:rsidR="00FA457D" w:rsidRPr="00B1089D" w14:paraId="1D4840DF" w14:textId="77777777" w:rsidTr="000610DA">
        <w:trPr>
          <w:trHeight w:val="337"/>
        </w:trPr>
        <w:tc>
          <w:tcPr>
            <w:tcW w:w="0" w:type="auto"/>
            <w:tcMar>
              <w:top w:w="0" w:type="dxa"/>
              <w:left w:w="115" w:type="dxa"/>
              <w:bottom w:w="0" w:type="dxa"/>
              <w:right w:w="115" w:type="dxa"/>
            </w:tcMar>
            <w:vAlign w:val="center"/>
            <w:hideMark/>
          </w:tcPr>
          <w:p w14:paraId="7933F9B0" w14:textId="77777777" w:rsidR="00FA457D" w:rsidRPr="00B1089D" w:rsidRDefault="00FA457D" w:rsidP="000610DA">
            <w:pPr>
              <w:widowControl/>
            </w:pPr>
            <w:r w:rsidRPr="00B1089D">
              <w:rPr>
                <w:b/>
                <w:bCs/>
              </w:rPr>
              <w:t>2015</w:t>
            </w:r>
          </w:p>
        </w:tc>
        <w:tc>
          <w:tcPr>
            <w:tcW w:w="0" w:type="auto"/>
            <w:tcMar>
              <w:top w:w="0" w:type="dxa"/>
              <w:left w:w="115" w:type="dxa"/>
              <w:bottom w:w="0" w:type="dxa"/>
              <w:right w:w="115" w:type="dxa"/>
            </w:tcMar>
            <w:hideMark/>
          </w:tcPr>
          <w:p w14:paraId="59FEC5EE" w14:textId="77777777" w:rsidR="00FA457D" w:rsidRPr="00B1089D" w:rsidRDefault="00FA457D" w:rsidP="000610DA">
            <w:pPr>
              <w:widowControl/>
            </w:pPr>
            <w:r w:rsidRPr="00B1089D">
              <w:t>.176</w:t>
            </w:r>
          </w:p>
        </w:tc>
        <w:tc>
          <w:tcPr>
            <w:tcW w:w="0" w:type="auto"/>
            <w:tcMar>
              <w:top w:w="0" w:type="dxa"/>
              <w:left w:w="115" w:type="dxa"/>
              <w:bottom w:w="0" w:type="dxa"/>
              <w:right w:w="115" w:type="dxa"/>
            </w:tcMar>
            <w:hideMark/>
          </w:tcPr>
          <w:p w14:paraId="1DFC1201" w14:textId="77777777" w:rsidR="00FA457D" w:rsidRPr="00B1089D" w:rsidRDefault="00FA457D" w:rsidP="000610DA">
            <w:pPr>
              <w:widowControl/>
            </w:pPr>
            <w:r w:rsidRPr="00B1089D">
              <w:t>12.72</w:t>
            </w:r>
          </w:p>
        </w:tc>
        <w:tc>
          <w:tcPr>
            <w:tcW w:w="0" w:type="auto"/>
            <w:tcMar>
              <w:top w:w="0" w:type="dxa"/>
              <w:left w:w="115" w:type="dxa"/>
              <w:bottom w:w="0" w:type="dxa"/>
              <w:right w:w="115" w:type="dxa"/>
            </w:tcMar>
            <w:hideMark/>
          </w:tcPr>
          <w:p w14:paraId="6A4B8255"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6DD3EC24"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7617052E" w14:textId="77777777" w:rsidR="00FA457D" w:rsidRPr="00B1089D" w:rsidRDefault="00FA457D" w:rsidP="000610DA">
            <w:pPr>
              <w:widowControl/>
            </w:pPr>
            <w:r w:rsidRPr="00B1089D">
              <w:t>.18</w:t>
            </w:r>
          </w:p>
        </w:tc>
        <w:tc>
          <w:tcPr>
            <w:tcW w:w="0" w:type="auto"/>
            <w:tcMar>
              <w:top w:w="0" w:type="dxa"/>
              <w:left w:w="115" w:type="dxa"/>
              <w:bottom w:w="0" w:type="dxa"/>
              <w:right w:w="115" w:type="dxa"/>
            </w:tcMar>
            <w:hideMark/>
          </w:tcPr>
          <w:p w14:paraId="6C2EA953" w14:textId="77777777" w:rsidR="00FA457D" w:rsidRPr="00B1089D" w:rsidRDefault="00FA457D" w:rsidP="000610DA">
            <w:pPr>
              <w:widowControl/>
            </w:pPr>
            <w:r w:rsidRPr="00B1089D">
              <w:t>13.15</w:t>
            </w:r>
          </w:p>
        </w:tc>
        <w:tc>
          <w:tcPr>
            <w:tcW w:w="0" w:type="auto"/>
            <w:gridSpan w:val="2"/>
            <w:tcMar>
              <w:top w:w="0" w:type="dxa"/>
              <w:left w:w="115" w:type="dxa"/>
              <w:bottom w:w="0" w:type="dxa"/>
              <w:right w:w="115" w:type="dxa"/>
            </w:tcMar>
            <w:hideMark/>
          </w:tcPr>
          <w:p w14:paraId="5522B97B"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303285EA" w14:textId="77777777" w:rsidR="00FA457D" w:rsidRPr="00B1089D" w:rsidRDefault="00FA457D" w:rsidP="000610DA">
            <w:pPr>
              <w:widowControl/>
            </w:pPr>
            <w:r w:rsidRPr="00B1089D">
              <w:t>***</w:t>
            </w:r>
          </w:p>
        </w:tc>
      </w:tr>
      <w:tr w:rsidR="00FA457D" w:rsidRPr="00B1089D" w14:paraId="48A18724" w14:textId="77777777" w:rsidTr="000610DA">
        <w:trPr>
          <w:trHeight w:val="337"/>
        </w:trPr>
        <w:tc>
          <w:tcPr>
            <w:tcW w:w="0" w:type="auto"/>
            <w:tcMar>
              <w:top w:w="0" w:type="dxa"/>
              <w:left w:w="115" w:type="dxa"/>
              <w:bottom w:w="0" w:type="dxa"/>
              <w:right w:w="115" w:type="dxa"/>
            </w:tcMar>
            <w:vAlign w:val="center"/>
            <w:hideMark/>
          </w:tcPr>
          <w:p w14:paraId="77ED5CD6" w14:textId="77777777" w:rsidR="00FA457D" w:rsidRPr="00B1089D" w:rsidRDefault="00FA457D" w:rsidP="000610DA">
            <w:pPr>
              <w:widowControl/>
            </w:pPr>
            <w:r w:rsidRPr="00B1089D">
              <w:rPr>
                <w:b/>
                <w:bCs/>
              </w:rPr>
              <w:t>2016</w:t>
            </w:r>
          </w:p>
        </w:tc>
        <w:tc>
          <w:tcPr>
            <w:tcW w:w="0" w:type="auto"/>
            <w:tcMar>
              <w:top w:w="0" w:type="dxa"/>
              <w:left w:w="115" w:type="dxa"/>
              <w:bottom w:w="0" w:type="dxa"/>
              <w:right w:w="115" w:type="dxa"/>
            </w:tcMar>
            <w:hideMark/>
          </w:tcPr>
          <w:p w14:paraId="680F75ED" w14:textId="77777777" w:rsidR="00FA457D" w:rsidRPr="00B1089D" w:rsidRDefault="00FA457D" w:rsidP="000610DA">
            <w:pPr>
              <w:widowControl/>
            </w:pPr>
            <w:r w:rsidRPr="00B1089D">
              <w:t>.198</w:t>
            </w:r>
          </w:p>
        </w:tc>
        <w:tc>
          <w:tcPr>
            <w:tcW w:w="0" w:type="auto"/>
            <w:tcMar>
              <w:top w:w="0" w:type="dxa"/>
              <w:left w:w="115" w:type="dxa"/>
              <w:bottom w:w="0" w:type="dxa"/>
              <w:right w:w="115" w:type="dxa"/>
            </w:tcMar>
            <w:hideMark/>
          </w:tcPr>
          <w:p w14:paraId="342BEC6D" w14:textId="77777777" w:rsidR="00FA457D" w:rsidRPr="00B1089D" w:rsidRDefault="00FA457D" w:rsidP="000610DA">
            <w:pPr>
              <w:widowControl/>
            </w:pPr>
            <w:r w:rsidRPr="00B1089D">
              <w:t>14.20</w:t>
            </w:r>
          </w:p>
        </w:tc>
        <w:tc>
          <w:tcPr>
            <w:tcW w:w="0" w:type="auto"/>
            <w:tcMar>
              <w:top w:w="0" w:type="dxa"/>
              <w:left w:w="115" w:type="dxa"/>
              <w:bottom w:w="0" w:type="dxa"/>
              <w:right w:w="115" w:type="dxa"/>
            </w:tcMar>
            <w:hideMark/>
          </w:tcPr>
          <w:p w14:paraId="1419D795"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3E703BA2"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72AC7AC8" w14:textId="77777777" w:rsidR="00FA457D" w:rsidRPr="00B1089D" w:rsidRDefault="00FA457D" w:rsidP="000610DA">
            <w:pPr>
              <w:widowControl/>
            </w:pPr>
            <w:r w:rsidRPr="00B1089D">
              <w:t>.203</w:t>
            </w:r>
          </w:p>
        </w:tc>
        <w:tc>
          <w:tcPr>
            <w:tcW w:w="0" w:type="auto"/>
            <w:tcMar>
              <w:top w:w="0" w:type="dxa"/>
              <w:left w:w="115" w:type="dxa"/>
              <w:bottom w:w="0" w:type="dxa"/>
              <w:right w:w="115" w:type="dxa"/>
            </w:tcMar>
            <w:hideMark/>
          </w:tcPr>
          <w:p w14:paraId="5DEF4F0E" w14:textId="77777777" w:rsidR="00FA457D" w:rsidRPr="00B1089D" w:rsidRDefault="00FA457D" w:rsidP="000610DA">
            <w:pPr>
              <w:widowControl/>
            </w:pPr>
            <w:r w:rsidRPr="00B1089D">
              <w:t>14.67</w:t>
            </w:r>
          </w:p>
        </w:tc>
        <w:tc>
          <w:tcPr>
            <w:tcW w:w="0" w:type="auto"/>
            <w:gridSpan w:val="2"/>
            <w:tcMar>
              <w:top w:w="0" w:type="dxa"/>
              <w:left w:w="115" w:type="dxa"/>
              <w:bottom w:w="0" w:type="dxa"/>
              <w:right w:w="115" w:type="dxa"/>
            </w:tcMar>
            <w:hideMark/>
          </w:tcPr>
          <w:p w14:paraId="40B8A46D"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0688C95C" w14:textId="77777777" w:rsidR="00FA457D" w:rsidRPr="00B1089D" w:rsidRDefault="00FA457D" w:rsidP="000610DA">
            <w:pPr>
              <w:widowControl/>
            </w:pPr>
            <w:r w:rsidRPr="00B1089D">
              <w:t>***</w:t>
            </w:r>
          </w:p>
        </w:tc>
      </w:tr>
      <w:tr w:rsidR="00FA457D" w:rsidRPr="00B1089D" w14:paraId="097C9EC5" w14:textId="77777777" w:rsidTr="000610DA">
        <w:trPr>
          <w:trHeight w:val="337"/>
        </w:trPr>
        <w:tc>
          <w:tcPr>
            <w:tcW w:w="0" w:type="auto"/>
            <w:tcMar>
              <w:top w:w="0" w:type="dxa"/>
              <w:left w:w="115" w:type="dxa"/>
              <w:bottom w:w="0" w:type="dxa"/>
              <w:right w:w="115" w:type="dxa"/>
            </w:tcMar>
            <w:vAlign w:val="center"/>
            <w:hideMark/>
          </w:tcPr>
          <w:p w14:paraId="77CA5D2C" w14:textId="77777777" w:rsidR="00FA457D" w:rsidRPr="00B1089D" w:rsidRDefault="00FA457D" w:rsidP="000610DA">
            <w:pPr>
              <w:widowControl/>
            </w:pPr>
            <w:r w:rsidRPr="00B1089D">
              <w:rPr>
                <w:b/>
                <w:bCs/>
              </w:rPr>
              <w:t>2017</w:t>
            </w:r>
          </w:p>
        </w:tc>
        <w:tc>
          <w:tcPr>
            <w:tcW w:w="0" w:type="auto"/>
            <w:tcMar>
              <w:top w:w="0" w:type="dxa"/>
              <w:left w:w="115" w:type="dxa"/>
              <w:bottom w:w="0" w:type="dxa"/>
              <w:right w:w="115" w:type="dxa"/>
            </w:tcMar>
            <w:hideMark/>
          </w:tcPr>
          <w:p w14:paraId="29654CCF" w14:textId="77777777" w:rsidR="00FA457D" w:rsidRPr="00B1089D" w:rsidRDefault="00FA457D" w:rsidP="000610DA">
            <w:pPr>
              <w:widowControl/>
            </w:pPr>
            <w:r w:rsidRPr="00B1089D">
              <w:t>.222</w:t>
            </w:r>
          </w:p>
        </w:tc>
        <w:tc>
          <w:tcPr>
            <w:tcW w:w="0" w:type="auto"/>
            <w:tcMar>
              <w:top w:w="0" w:type="dxa"/>
              <w:left w:w="115" w:type="dxa"/>
              <w:bottom w:w="0" w:type="dxa"/>
              <w:right w:w="115" w:type="dxa"/>
            </w:tcMar>
            <w:hideMark/>
          </w:tcPr>
          <w:p w14:paraId="2E40635D" w14:textId="77777777" w:rsidR="00FA457D" w:rsidRPr="00B1089D" w:rsidRDefault="00FA457D" w:rsidP="000610DA">
            <w:pPr>
              <w:widowControl/>
            </w:pPr>
            <w:r w:rsidRPr="00B1089D">
              <w:t>15.73</w:t>
            </w:r>
          </w:p>
        </w:tc>
        <w:tc>
          <w:tcPr>
            <w:tcW w:w="0" w:type="auto"/>
            <w:tcMar>
              <w:top w:w="0" w:type="dxa"/>
              <w:left w:w="115" w:type="dxa"/>
              <w:bottom w:w="0" w:type="dxa"/>
              <w:right w:w="115" w:type="dxa"/>
            </w:tcMar>
            <w:hideMark/>
          </w:tcPr>
          <w:p w14:paraId="7730A92B"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0D6D447"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6C9A72CB" w14:textId="77777777" w:rsidR="00FA457D" w:rsidRPr="00B1089D" w:rsidRDefault="00FA457D" w:rsidP="000610DA">
            <w:pPr>
              <w:widowControl/>
            </w:pPr>
            <w:r w:rsidRPr="00B1089D">
              <w:t>.228</w:t>
            </w:r>
          </w:p>
        </w:tc>
        <w:tc>
          <w:tcPr>
            <w:tcW w:w="0" w:type="auto"/>
            <w:tcMar>
              <w:top w:w="0" w:type="dxa"/>
              <w:left w:w="115" w:type="dxa"/>
              <w:bottom w:w="0" w:type="dxa"/>
              <w:right w:w="115" w:type="dxa"/>
            </w:tcMar>
            <w:hideMark/>
          </w:tcPr>
          <w:p w14:paraId="7C32CF20" w14:textId="77777777" w:rsidR="00FA457D" w:rsidRPr="00B1089D" w:rsidRDefault="00FA457D" w:rsidP="000610DA">
            <w:pPr>
              <w:widowControl/>
            </w:pPr>
            <w:r w:rsidRPr="00B1089D">
              <w:t>16.25</w:t>
            </w:r>
          </w:p>
        </w:tc>
        <w:tc>
          <w:tcPr>
            <w:tcW w:w="0" w:type="auto"/>
            <w:gridSpan w:val="2"/>
            <w:tcMar>
              <w:top w:w="0" w:type="dxa"/>
              <w:left w:w="115" w:type="dxa"/>
              <w:bottom w:w="0" w:type="dxa"/>
              <w:right w:w="115" w:type="dxa"/>
            </w:tcMar>
            <w:hideMark/>
          </w:tcPr>
          <w:p w14:paraId="444108B8"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0DF84BB2" w14:textId="77777777" w:rsidR="00FA457D" w:rsidRPr="00B1089D" w:rsidRDefault="00FA457D" w:rsidP="000610DA">
            <w:pPr>
              <w:widowControl/>
            </w:pPr>
            <w:r w:rsidRPr="00B1089D">
              <w:t>***</w:t>
            </w:r>
          </w:p>
        </w:tc>
      </w:tr>
      <w:tr w:rsidR="00FA457D" w:rsidRPr="00B1089D" w14:paraId="0134BF51" w14:textId="77777777" w:rsidTr="000610DA">
        <w:trPr>
          <w:trHeight w:val="337"/>
        </w:trPr>
        <w:tc>
          <w:tcPr>
            <w:tcW w:w="0" w:type="auto"/>
            <w:tcMar>
              <w:top w:w="0" w:type="dxa"/>
              <w:left w:w="115" w:type="dxa"/>
              <w:bottom w:w="0" w:type="dxa"/>
              <w:right w:w="115" w:type="dxa"/>
            </w:tcMar>
            <w:vAlign w:val="center"/>
            <w:hideMark/>
          </w:tcPr>
          <w:p w14:paraId="0CE39A66" w14:textId="77777777" w:rsidR="00FA457D" w:rsidRPr="00B1089D" w:rsidRDefault="00FA457D" w:rsidP="000610DA">
            <w:pPr>
              <w:widowControl/>
            </w:pPr>
            <w:r w:rsidRPr="00B1089D">
              <w:rPr>
                <w:b/>
                <w:bCs/>
              </w:rPr>
              <w:t>2018</w:t>
            </w:r>
          </w:p>
        </w:tc>
        <w:tc>
          <w:tcPr>
            <w:tcW w:w="0" w:type="auto"/>
            <w:tcMar>
              <w:top w:w="0" w:type="dxa"/>
              <w:left w:w="115" w:type="dxa"/>
              <w:bottom w:w="0" w:type="dxa"/>
              <w:right w:w="115" w:type="dxa"/>
            </w:tcMar>
            <w:hideMark/>
          </w:tcPr>
          <w:p w14:paraId="12A702B0" w14:textId="77777777" w:rsidR="00FA457D" w:rsidRPr="00B1089D" w:rsidRDefault="00FA457D" w:rsidP="000610DA">
            <w:pPr>
              <w:widowControl/>
            </w:pPr>
            <w:r w:rsidRPr="00B1089D">
              <w:t>.244</w:t>
            </w:r>
          </w:p>
        </w:tc>
        <w:tc>
          <w:tcPr>
            <w:tcW w:w="0" w:type="auto"/>
            <w:tcMar>
              <w:top w:w="0" w:type="dxa"/>
              <w:left w:w="115" w:type="dxa"/>
              <w:bottom w:w="0" w:type="dxa"/>
              <w:right w:w="115" w:type="dxa"/>
            </w:tcMar>
            <w:hideMark/>
          </w:tcPr>
          <w:p w14:paraId="2C1EE64A" w14:textId="77777777" w:rsidR="00FA457D" w:rsidRPr="00B1089D" w:rsidRDefault="00FA457D" w:rsidP="000610DA">
            <w:pPr>
              <w:widowControl/>
            </w:pPr>
            <w:r w:rsidRPr="00B1089D">
              <w:t>17.10</w:t>
            </w:r>
          </w:p>
        </w:tc>
        <w:tc>
          <w:tcPr>
            <w:tcW w:w="0" w:type="auto"/>
            <w:tcMar>
              <w:top w:w="0" w:type="dxa"/>
              <w:left w:w="115" w:type="dxa"/>
              <w:bottom w:w="0" w:type="dxa"/>
              <w:right w:w="115" w:type="dxa"/>
            </w:tcMar>
            <w:hideMark/>
          </w:tcPr>
          <w:p w14:paraId="3875823F"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0F126ACE"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09811FD" w14:textId="77777777" w:rsidR="00FA457D" w:rsidRPr="00B1089D" w:rsidRDefault="00FA457D" w:rsidP="000610DA">
            <w:pPr>
              <w:widowControl/>
            </w:pPr>
            <w:r w:rsidRPr="00B1089D">
              <w:t>.25</w:t>
            </w:r>
          </w:p>
        </w:tc>
        <w:tc>
          <w:tcPr>
            <w:tcW w:w="0" w:type="auto"/>
            <w:tcMar>
              <w:top w:w="0" w:type="dxa"/>
              <w:left w:w="115" w:type="dxa"/>
              <w:bottom w:w="0" w:type="dxa"/>
              <w:right w:w="115" w:type="dxa"/>
            </w:tcMar>
            <w:hideMark/>
          </w:tcPr>
          <w:p w14:paraId="74F6F6BE" w14:textId="77777777" w:rsidR="00FA457D" w:rsidRPr="00B1089D" w:rsidRDefault="00FA457D" w:rsidP="000610DA">
            <w:pPr>
              <w:widowControl/>
            </w:pPr>
            <w:r w:rsidRPr="00B1089D">
              <w:t>17.64</w:t>
            </w:r>
          </w:p>
        </w:tc>
        <w:tc>
          <w:tcPr>
            <w:tcW w:w="0" w:type="auto"/>
            <w:gridSpan w:val="2"/>
            <w:tcMar>
              <w:top w:w="0" w:type="dxa"/>
              <w:left w:w="115" w:type="dxa"/>
              <w:bottom w:w="0" w:type="dxa"/>
              <w:right w:w="115" w:type="dxa"/>
            </w:tcMar>
            <w:hideMark/>
          </w:tcPr>
          <w:p w14:paraId="4164BD13"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50B66B07" w14:textId="77777777" w:rsidR="00FA457D" w:rsidRPr="00B1089D" w:rsidRDefault="00FA457D" w:rsidP="000610DA">
            <w:pPr>
              <w:widowControl/>
            </w:pPr>
            <w:r w:rsidRPr="00B1089D">
              <w:t>***</w:t>
            </w:r>
          </w:p>
        </w:tc>
      </w:tr>
      <w:tr w:rsidR="00FA457D" w:rsidRPr="00B1089D" w14:paraId="27F375C5" w14:textId="77777777" w:rsidTr="000610DA">
        <w:trPr>
          <w:trHeight w:val="337"/>
        </w:trPr>
        <w:tc>
          <w:tcPr>
            <w:tcW w:w="0" w:type="auto"/>
            <w:tcMar>
              <w:top w:w="0" w:type="dxa"/>
              <w:left w:w="115" w:type="dxa"/>
              <w:bottom w:w="0" w:type="dxa"/>
              <w:right w:w="115" w:type="dxa"/>
            </w:tcMar>
            <w:vAlign w:val="center"/>
            <w:hideMark/>
          </w:tcPr>
          <w:p w14:paraId="5F9C3CBF" w14:textId="77777777" w:rsidR="00FA457D" w:rsidRPr="00B1089D" w:rsidRDefault="00FA457D" w:rsidP="000610DA">
            <w:pPr>
              <w:widowControl/>
            </w:pPr>
            <w:r w:rsidRPr="00B1089D">
              <w:rPr>
                <w:b/>
                <w:bCs/>
              </w:rPr>
              <w:t>2019</w:t>
            </w:r>
          </w:p>
        </w:tc>
        <w:tc>
          <w:tcPr>
            <w:tcW w:w="0" w:type="auto"/>
            <w:tcMar>
              <w:top w:w="0" w:type="dxa"/>
              <w:left w:w="115" w:type="dxa"/>
              <w:bottom w:w="0" w:type="dxa"/>
              <w:right w:w="115" w:type="dxa"/>
            </w:tcMar>
            <w:hideMark/>
          </w:tcPr>
          <w:p w14:paraId="07D35FAE" w14:textId="77777777" w:rsidR="00FA457D" w:rsidRPr="00B1089D" w:rsidRDefault="00FA457D" w:rsidP="000610DA">
            <w:pPr>
              <w:widowControl/>
            </w:pPr>
            <w:r w:rsidRPr="00B1089D">
              <w:t>.262</w:t>
            </w:r>
          </w:p>
        </w:tc>
        <w:tc>
          <w:tcPr>
            <w:tcW w:w="0" w:type="auto"/>
            <w:tcMar>
              <w:top w:w="0" w:type="dxa"/>
              <w:left w:w="115" w:type="dxa"/>
              <w:bottom w:w="0" w:type="dxa"/>
              <w:right w:w="115" w:type="dxa"/>
            </w:tcMar>
            <w:hideMark/>
          </w:tcPr>
          <w:p w14:paraId="530A518E" w14:textId="77777777" w:rsidR="00FA457D" w:rsidRPr="00B1089D" w:rsidRDefault="00FA457D" w:rsidP="000610DA">
            <w:pPr>
              <w:widowControl/>
            </w:pPr>
            <w:r w:rsidRPr="00B1089D">
              <w:t>18.03</w:t>
            </w:r>
          </w:p>
        </w:tc>
        <w:tc>
          <w:tcPr>
            <w:tcW w:w="0" w:type="auto"/>
            <w:tcMar>
              <w:top w:w="0" w:type="dxa"/>
              <w:left w:w="115" w:type="dxa"/>
              <w:bottom w:w="0" w:type="dxa"/>
              <w:right w:w="115" w:type="dxa"/>
            </w:tcMar>
            <w:hideMark/>
          </w:tcPr>
          <w:p w14:paraId="4DE78908"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4680C695"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54F1154" w14:textId="77777777" w:rsidR="00FA457D" w:rsidRPr="00B1089D" w:rsidRDefault="00FA457D" w:rsidP="000610DA">
            <w:pPr>
              <w:widowControl/>
            </w:pPr>
            <w:r w:rsidRPr="00B1089D">
              <w:t>.268</w:t>
            </w:r>
          </w:p>
        </w:tc>
        <w:tc>
          <w:tcPr>
            <w:tcW w:w="0" w:type="auto"/>
            <w:tcMar>
              <w:top w:w="0" w:type="dxa"/>
              <w:left w:w="115" w:type="dxa"/>
              <w:bottom w:w="0" w:type="dxa"/>
              <w:right w:w="115" w:type="dxa"/>
            </w:tcMar>
            <w:hideMark/>
          </w:tcPr>
          <w:p w14:paraId="55589D21" w14:textId="77777777" w:rsidR="00FA457D" w:rsidRPr="00B1089D" w:rsidRDefault="00FA457D" w:rsidP="000610DA">
            <w:pPr>
              <w:widowControl/>
            </w:pPr>
            <w:r w:rsidRPr="00B1089D">
              <w:t>18.60</w:t>
            </w:r>
          </w:p>
        </w:tc>
        <w:tc>
          <w:tcPr>
            <w:tcW w:w="0" w:type="auto"/>
            <w:gridSpan w:val="2"/>
            <w:tcMar>
              <w:top w:w="0" w:type="dxa"/>
              <w:left w:w="115" w:type="dxa"/>
              <w:bottom w:w="0" w:type="dxa"/>
              <w:right w:w="115" w:type="dxa"/>
            </w:tcMar>
            <w:hideMark/>
          </w:tcPr>
          <w:p w14:paraId="4390DE1E"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27A60AA7" w14:textId="77777777" w:rsidR="00FA457D" w:rsidRPr="00B1089D" w:rsidRDefault="00FA457D" w:rsidP="000610DA">
            <w:pPr>
              <w:widowControl/>
            </w:pPr>
            <w:r w:rsidRPr="00B1089D">
              <w:t>***</w:t>
            </w:r>
          </w:p>
        </w:tc>
      </w:tr>
      <w:tr w:rsidR="00FA457D" w:rsidRPr="00B1089D" w14:paraId="477C28A7" w14:textId="77777777" w:rsidTr="000610DA">
        <w:trPr>
          <w:trHeight w:val="337"/>
        </w:trPr>
        <w:tc>
          <w:tcPr>
            <w:tcW w:w="0" w:type="auto"/>
            <w:tcMar>
              <w:top w:w="0" w:type="dxa"/>
              <w:left w:w="115" w:type="dxa"/>
              <w:bottom w:w="0" w:type="dxa"/>
              <w:right w:w="115" w:type="dxa"/>
            </w:tcMar>
            <w:vAlign w:val="center"/>
            <w:hideMark/>
          </w:tcPr>
          <w:p w14:paraId="41F9DCE2" w14:textId="77777777" w:rsidR="00FA457D" w:rsidRPr="00B1089D" w:rsidRDefault="00FA457D" w:rsidP="000610DA">
            <w:pPr>
              <w:widowControl/>
            </w:pPr>
            <w:r w:rsidRPr="00B1089D">
              <w:rPr>
                <w:b/>
                <w:bCs/>
              </w:rPr>
              <w:t>0</w:t>
            </w:r>
          </w:p>
        </w:tc>
        <w:tc>
          <w:tcPr>
            <w:tcW w:w="0" w:type="auto"/>
            <w:tcMar>
              <w:top w:w="0" w:type="dxa"/>
              <w:left w:w="115" w:type="dxa"/>
              <w:bottom w:w="0" w:type="dxa"/>
              <w:right w:w="115" w:type="dxa"/>
            </w:tcMar>
            <w:hideMark/>
          </w:tcPr>
          <w:p w14:paraId="299BAD88"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545D15AB"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1215241B"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016D143" w14:textId="77777777" w:rsidR="00FA457D" w:rsidRPr="00B1089D" w:rsidRDefault="00FA457D" w:rsidP="000610DA">
            <w:pPr>
              <w:widowControl/>
            </w:pPr>
          </w:p>
        </w:tc>
        <w:tc>
          <w:tcPr>
            <w:tcW w:w="0" w:type="auto"/>
            <w:tcMar>
              <w:top w:w="0" w:type="dxa"/>
              <w:left w:w="115" w:type="dxa"/>
              <w:bottom w:w="0" w:type="dxa"/>
              <w:right w:w="115" w:type="dxa"/>
            </w:tcMar>
            <w:hideMark/>
          </w:tcPr>
          <w:p w14:paraId="1666CCB0"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00C72B26" w14:textId="77777777" w:rsidR="00FA457D" w:rsidRPr="00B1089D" w:rsidRDefault="00FA457D" w:rsidP="000610DA">
            <w:pPr>
              <w:widowControl/>
            </w:pPr>
            <w:r w:rsidRPr="00B1089D">
              <w:t>.</w:t>
            </w:r>
          </w:p>
        </w:tc>
        <w:tc>
          <w:tcPr>
            <w:tcW w:w="0" w:type="auto"/>
            <w:gridSpan w:val="2"/>
            <w:tcMar>
              <w:top w:w="0" w:type="dxa"/>
              <w:left w:w="115" w:type="dxa"/>
              <w:bottom w:w="0" w:type="dxa"/>
              <w:right w:w="115" w:type="dxa"/>
            </w:tcMar>
            <w:hideMark/>
          </w:tcPr>
          <w:p w14:paraId="73CEEE8C"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64A27555" w14:textId="77777777" w:rsidR="00FA457D" w:rsidRPr="00B1089D" w:rsidRDefault="00FA457D" w:rsidP="000610DA">
            <w:pPr>
              <w:widowControl/>
            </w:pPr>
          </w:p>
        </w:tc>
      </w:tr>
      <w:tr w:rsidR="00FA457D" w:rsidRPr="00B1089D" w14:paraId="2F4E8238" w14:textId="77777777" w:rsidTr="000610DA">
        <w:trPr>
          <w:trHeight w:val="337"/>
        </w:trPr>
        <w:tc>
          <w:tcPr>
            <w:tcW w:w="0" w:type="auto"/>
            <w:tcMar>
              <w:top w:w="0" w:type="dxa"/>
              <w:left w:w="115" w:type="dxa"/>
              <w:bottom w:w="0" w:type="dxa"/>
              <w:right w:w="115" w:type="dxa"/>
            </w:tcMar>
            <w:vAlign w:val="center"/>
            <w:hideMark/>
          </w:tcPr>
          <w:p w14:paraId="0130624B" w14:textId="77777777" w:rsidR="00FA457D" w:rsidRPr="00B1089D" w:rsidRDefault="00FA457D" w:rsidP="000610DA">
            <w:pPr>
              <w:widowControl/>
            </w:pPr>
            <w:r w:rsidRPr="00B1089D">
              <w:rPr>
                <w:b/>
                <w:bCs/>
              </w:rPr>
              <w:t>1</w:t>
            </w:r>
          </w:p>
        </w:tc>
        <w:tc>
          <w:tcPr>
            <w:tcW w:w="0" w:type="auto"/>
            <w:tcMar>
              <w:top w:w="0" w:type="dxa"/>
              <w:left w:w="115" w:type="dxa"/>
              <w:bottom w:w="0" w:type="dxa"/>
              <w:right w:w="115" w:type="dxa"/>
            </w:tcMar>
            <w:hideMark/>
          </w:tcPr>
          <w:p w14:paraId="38377FA2"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44284005"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572CE0C6"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6FB7E76A" w14:textId="77777777" w:rsidR="00FA457D" w:rsidRPr="00B1089D" w:rsidRDefault="00FA457D" w:rsidP="000610DA">
            <w:pPr>
              <w:widowControl/>
            </w:pPr>
          </w:p>
        </w:tc>
        <w:tc>
          <w:tcPr>
            <w:tcW w:w="0" w:type="auto"/>
            <w:tcMar>
              <w:top w:w="0" w:type="dxa"/>
              <w:left w:w="115" w:type="dxa"/>
              <w:bottom w:w="0" w:type="dxa"/>
              <w:right w:w="115" w:type="dxa"/>
            </w:tcMar>
            <w:hideMark/>
          </w:tcPr>
          <w:p w14:paraId="7D35C564" w14:textId="77777777" w:rsidR="00FA457D" w:rsidRPr="00B1089D" w:rsidRDefault="00FA457D" w:rsidP="000610DA">
            <w:pPr>
              <w:widowControl/>
            </w:pPr>
            <w:r w:rsidRPr="00B1089D">
              <w:t>0</w:t>
            </w:r>
          </w:p>
        </w:tc>
        <w:tc>
          <w:tcPr>
            <w:tcW w:w="0" w:type="auto"/>
            <w:tcMar>
              <w:top w:w="0" w:type="dxa"/>
              <w:left w:w="115" w:type="dxa"/>
              <w:bottom w:w="0" w:type="dxa"/>
              <w:right w:w="115" w:type="dxa"/>
            </w:tcMar>
            <w:hideMark/>
          </w:tcPr>
          <w:p w14:paraId="12E27F26" w14:textId="77777777" w:rsidR="00FA457D" w:rsidRPr="00B1089D" w:rsidRDefault="00FA457D" w:rsidP="000610DA">
            <w:pPr>
              <w:widowControl/>
            </w:pPr>
            <w:r w:rsidRPr="00B1089D">
              <w:t>.</w:t>
            </w:r>
          </w:p>
        </w:tc>
        <w:tc>
          <w:tcPr>
            <w:tcW w:w="0" w:type="auto"/>
            <w:gridSpan w:val="2"/>
            <w:tcMar>
              <w:top w:w="0" w:type="dxa"/>
              <w:left w:w="115" w:type="dxa"/>
              <w:bottom w:w="0" w:type="dxa"/>
              <w:right w:w="115" w:type="dxa"/>
            </w:tcMar>
            <w:hideMark/>
          </w:tcPr>
          <w:p w14:paraId="163484FD" w14:textId="77777777" w:rsidR="00FA457D" w:rsidRPr="00B1089D" w:rsidRDefault="00FA457D" w:rsidP="000610DA">
            <w:pPr>
              <w:widowControl/>
            </w:pPr>
            <w:r w:rsidRPr="00B1089D">
              <w:t>.</w:t>
            </w:r>
          </w:p>
        </w:tc>
        <w:tc>
          <w:tcPr>
            <w:tcW w:w="0" w:type="auto"/>
            <w:tcMar>
              <w:top w:w="0" w:type="dxa"/>
              <w:left w:w="115" w:type="dxa"/>
              <w:bottom w:w="0" w:type="dxa"/>
              <w:right w:w="115" w:type="dxa"/>
            </w:tcMar>
            <w:hideMark/>
          </w:tcPr>
          <w:p w14:paraId="77DE8984" w14:textId="77777777" w:rsidR="00FA457D" w:rsidRPr="00B1089D" w:rsidRDefault="00FA457D" w:rsidP="000610DA">
            <w:pPr>
              <w:widowControl/>
            </w:pPr>
          </w:p>
        </w:tc>
      </w:tr>
      <w:tr w:rsidR="00FA457D" w:rsidRPr="00B1089D" w14:paraId="042B31D3" w14:textId="77777777" w:rsidTr="000610DA">
        <w:trPr>
          <w:trHeight w:val="337"/>
        </w:trPr>
        <w:tc>
          <w:tcPr>
            <w:tcW w:w="0" w:type="auto"/>
            <w:tcBorders>
              <w:bottom w:val="single" w:sz="4" w:space="0" w:color="000000"/>
            </w:tcBorders>
            <w:tcMar>
              <w:top w:w="0" w:type="dxa"/>
              <w:left w:w="115" w:type="dxa"/>
              <w:bottom w:w="0" w:type="dxa"/>
              <w:right w:w="115" w:type="dxa"/>
            </w:tcMar>
            <w:vAlign w:val="center"/>
            <w:hideMark/>
          </w:tcPr>
          <w:p w14:paraId="71E65C28" w14:textId="77777777" w:rsidR="00FA457D" w:rsidRPr="00B1089D" w:rsidRDefault="00FA457D" w:rsidP="000610DA">
            <w:pPr>
              <w:widowControl/>
            </w:pPr>
            <w:proofErr w:type="spellStart"/>
            <w:r w:rsidRPr="00B1089D">
              <w:rPr>
                <w:b/>
                <w:bCs/>
              </w:rPr>
              <w:t>Constant</w:t>
            </w:r>
            <w:proofErr w:type="spellEnd"/>
          </w:p>
        </w:tc>
        <w:tc>
          <w:tcPr>
            <w:tcW w:w="0" w:type="auto"/>
            <w:tcBorders>
              <w:bottom w:val="single" w:sz="4" w:space="0" w:color="000000"/>
            </w:tcBorders>
            <w:tcMar>
              <w:top w:w="0" w:type="dxa"/>
              <w:left w:w="115" w:type="dxa"/>
              <w:bottom w:w="0" w:type="dxa"/>
              <w:right w:w="115" w:type="dxa"/>
            </w:tcMar>
            <w:hideMark/>
          </w:tcPr>
          <w:p w14:paraId="2D6A651E" w14:textId="77777777" w:rsidR="00FA457D" w:rsidRPr="00B1089D" w:rsidRDefault="00FA457D" w:rsidP="000610DA">
            <w:pPr>
              <w:widowControl/>
            </w:pPr>
            <w:r w:rsidRPr="00B1089D">
              <w:t>11.85</w:t>
            </w:r>
          </w:p>
        </w:tc>
        <w:tc>
          <w:tcPr>
            <w:tcW w:w="0" w:type="auto"/>
            <w:tcBorders>
              <w:bottom w:val="single" w:sz="4" w:space="0" w:color="000000"/>
            </w:tcBorders>
            <w:tcMar>
              <w:top w:w="0" w:type="dxa"/>
              <w:left w:w="115" w:type="dxa"/>
              <w:bottom w:w="0" w:type="dxa"/>
              <w:right w:w="115" w:type="dxa"/>
            </w:tcMar>
            <w:hideMark/>
          </w:tcPr>
          <w:p w14:paraId="65B5E9AB" w14:textId="77777777" w:rsidR="00FA457D" w:rsidRPr="00B1089D" w:rsidRDefault="00FA457D" w:rsidP="000610DA">
            <w:pPr>
              <w:widowControl/>
            </w:pPr>
            <w:r w:rsidRPr="00B1089D">
              <w:t>92.52</w:t>
            </w:r>
          </w:p>
        </w:tc>
        <w:tc>
          <w:tcPr>
            <w:tcW w:w="0" w:type="auto"/>
            <w:tcBorders>
              <w:bottom w:val="single" w:sz="4" w:space="0" w:color="000000"/>
            </w:tcBorders>
            <w:tcMar>
              <w:top w:w="0" w:type="dxa"/>
              <w:left w:w="115" w:type="dxa"/>
              <w:bottom w:w="0" w:type="dxa"/>
              <w:right w:w="115" w:type="dxa"/>
            </w:tcMar>
            <w:hideMark/>
          </w:tcPr>
          <w:p w14:paraId="0ED220B0" w14:textId="77777777" w:rsidR="00FA457D" w:rsidRPr="00B1089D" w:rsidRDefault="00FA457D" w:rsidP="000610DA">
            <w:pPr>
              <w:widowControl/>
            </w:pPr>
            <w:r w:rsidRPr="00B1089D">
              <w:t>0</w:t>
            </w:r>
          </w:p>
        </w:tc>
        <w:tc>
          <w:tcPr>
            <w:tcW w:w="0" w:type="auto"/>
            <w:tcBorders>
              <w:bottom w:val="single" w:sz="4" w:space="0" w:color="000000"/>
            </w:tcBorders>
            <w:tcMar>
              <w:top w:w="0" w:type="dxa"/>
              <w:left w:w="115" w:type="dxa"/>
              <w:bottom w:w="0" w:type="dxa"/>
              <w:right w:w="115" w:type="dxa"/>
            </w:tcMar>
            <w:hideMark/>
          </w:tcPr>
          <w:p w14:paraId="2E3CB211" w14:textId="77777777" w:rsidR="00FA457D" w:rsidRPr="00B1089D" w:rsidRDefault="00FA457D" w:rsidP="000610DA">
            <w:pPr>
              <w:widowControl/>
            </w:pPr>
            <w:r w:rsidRPr="00B1089D">
              <w:t>***</w:t>
            </w:r>
          </w:p>
        </w:tc>
        <w:tc>
          <w:tcPr>
            <w:tcW w:w="0" w:type="auto"/>
            <w:tcBorders>
              <w:bottom w:val="single" w:sz="4" w:space="0" w:color="000000"/>
            </w:tcBorders>
            <w:tcMar>
              <w:top w:w="0" w:type="dxa"/>
              <w:left w:w="115" w:type="dxa"/>
              <w:bottom w:w="0" w:type="dxa"/>
              <w:right w:w="115" w:type="dxa"/>
            </w:tcMar>
            <w:hideMark/>
          </w:tcPr>
          <w:p w14:paraId="6987FD81" w14:textId="77777777" w:rsidR="00FA457D" w:rsidRPr="00B1089D" w:rsidRDefault="00FA457D" w:rsidP="000610DA">
            <w:pPr>
              <w:widowControl/>
            </w:pPr>
            <w:r w:rsidRPr="00B1089D">
              <w:t>11.878</w:t>
            </w:r>
          </w:p>
        </w:tc>
        <w:tc>
          <w:tcPr>
            <w:tcW w:w="0" w:type="auto"/>
            <w:tcBorders>
              <w:bottom w:val="single" w:sz="4" w:space="0" w:color="000000"/>
            </w:tcBorders>
            <w:tcMar>
              <w:top w:w="0" w:type="dxa"/>
              <w:left w:w="115" w:type="dxa"/>
              <w:bottom w:w="0" w:type="dxa"/>
              <w:right w:w="115" w:type="dxa"/>
            </w:tcMar>
            <w:hideMark/>
          </w:tcPr>
          <w:p w14:paraId="21153B12" w14:textId="77777777" w:rsidR="00FA457D" w:rsidRPr="00B1089D" w:rsidRDefault="00FA457D" w:rsidP="000610DA">
            <w:pPr>
              <w:widowControl/>
            </w:pPr>
            <w:r w:rsidRPr="00B1089D">
              <w:t>382.39</w:t>
            </w:r>
          </w:p>
        </w:tc>
        <w:tc>
          <w:tcPr>
            <w:tcW w:w="0" w:type="auto"/>
            <w:gridSpan w:val="2"/>
            <w:tcBorders>
              <w:bottom w:val="single" w:sz="4" w:space="0" w:color="000000"/>
            </w:tcBorders>
            <w:tcMar>
              <w:top w:w="0" w:type="dxa"/>
              <w:left w:w="115" w:type="dxa"/>
              <w:bottom w:w="0" w:type="dxa"/>
              <w:right w:w="115" w:type="dxa"/>
            </w:tcMar>
            <w:hideMark/>
          </w:tcPr>
          <w:p w14:paraId="4687E905" w14:textId="77777777" w:rsidR="00FA457D" w:rsidRPr="00B1089D" w:rsidRDefault="00FA457D" w:rsidP="000610DA">
            <w:pPr>
              <w:widowControl/>
            </w:pPr>
            <w:r w:rsidRPr="00B1089D">
              <w:t>0</w:t>
            </w:r>
          </w:p>
        </w:tc>
        <w:tc>
          <w:tcPr>
            <w:tcW w:w="0" w:type="auto"/>
            <w:tcBorders>
              <w:bottom w:val="single" w:sz="4" w:space="0" w:color="000000"/>
            </w:tcBorders>
            <w:tcMar>
              <w:top w:w="0" w:type="dxa"/>
              <w:left w:w="115" w:type="dxa"/>
              <w:bottom w:w="0" w:type="dxa"/>
              <w:right w:w="115" w:type="dxa"/>
            </w:tcMar>
            <w:hideMark/>
          </w:tcPr>
          <w:p w14:paraId="67034998" w14:textId="77777777" w:rsidR="00FA457D" w:rsidRPr="00B1089D" w:rsidRDefault="00FA457D" w:rsidP="000610DA">
            <w:pPr>
              <w:widowControl/>
            </w:pPr>
            <w:r w:rsidRPr="00B1089D">
              <w:t>***</w:t>
            </w:r>
          </w:p>
        </w:tc>
      </w:tr>
      <w:tr w:rsidR="00FA457D" w:rsidRPr="00B1089D" w14:paraId="587AC7F6" w14:textId="77777777" w:rsidTr="000610DA">
        <w:trPr>
          <w:trHeight w:val="337"/>
        </w:trPr>
        <w:tc>
          <w:tcPr>
            <w:tcW w:w="0" w:type="auto"/>
            <w:gridSpan w:val="3"/>
            <w:tcBorders>
              <w:top w:val="single" w:sz="4" w:space="0" w:color="000000"/>
            </w:tcBorders>
            <w:tcMar>
              <w:top w:w="0" w:type="dxa"/>
              <w:left w:w="115" w:type="dxa"/>
              <w:bottom w:w="0" w:type="dxa"/>
              <w:right w:w="115" w:type="dxa"/>
            </w:tcMar>
            <w:vAlign w:val="center"/>
            <w:hideMark/>
          </w:tcPr>
          <w:p w14:paraId="08232AD2" w14:textId="77777777" w:rsidR="00FA457D" w:rsidRPr="00B1089D" w:rsidRDefault="00FA457D" w:rsidP="000610DA">
            <w:pPr>
              <w:widowControl/>
            </w:pPr>
            <w:proofErr w:type="spellStart"/>
            <w:r w:rsidRPr="00B1089D">
              <w:rPr>
                <w:b/>
                <w:bCs/>
              </w:rPr>
              <w:t>Mean</w:t>
            </w:r>
            <w:proofErr w:type="spellEnd"/>
            <w:r w:rsidRPr="00B1089D">
              <w:rPr>
                <w:b/>
                <w:bCs/>
              </w:rPr>
              <w:t xml:space="preserve"> </w:t>
            </w:r>
            <w:proofErr w:type="spellStart"/>
            <w:r w:rsidRPr="00B1089D">
              <w:rPr>
                <w:b/>
                <w:bCs/>
              </w:rPr>
              <w:t>dependent</w:t>
            </w:r>
            <w:proofErr w:type="spellEnd"/>
            <w:r w:rsidRPr="00B1089D">
              <w:rPr>
                <w:b/>
                <w:bCs/>
              </w:rPr>
              <w:t xml:space="preserve"> var</w:t>
            </w:r>
          </w:p>
        </w:tc>
        <w:tc>
          <w:tcPr>
            <w:tcW w:w="0" w:type="auto"/>
            <w:tcBorders>
              <w:top w:val="single" w:sz="4" w:space="0" w:color="000000"/>
            </w:tcBorders>
            <w:tcMar>
              <w:top w:w="0" w:type="dxa"/>
              <w:left w:w="115" w:type="dxa"/>
              <w:bottom w:w="0" w:type="dxa"/>
              <w:right w:w="115" w:type="dxa"/>
            </w:tcMar>
            <w:vAlign w:val="center"/>
            <w:hideMark/>
          </w:tcPr>
          <w:p w14:paraId="482E727C" w14:textId="77777777" w:rsidR="00FA457D" w:rsidRPr="00B1089D" w:rsidRDefault="00FA457D" w:rsidP="000610DA">
            <w:pPr>
              <w:widowControl/>
            </w:pPr>
            <w:r w:rsidRPr="00B1089D">
              <w:t>12.522</w:t>
            </w:r>
          </w:p>
        </w:tc>
        <w:tc>
          <w:tcPr>
            <w:tcW w:w="0" w:type="auto"/>
            <w:tcBorders>
              <w:top w:val="single" w:sz="4" w:space="0" w:color="000000"/>
            </w:tcBorders>
            <w:tcMar>
              <w:top w:w="0" w:type="dxa"/>
              <w:left w:w="115" w:type="dxa"/>
              <w:bottom w:w="0" w:type="dxa"/>
              <w:right w:w="115" w:type="dxa"/>
            </w:tcMar>
            <w:vAlign w:val="center"/>
            <w:hideMark/>
          </w:tcPr>
          <w:p w14:paraId="38EAE1BA" w14:textId="77777777" w:rsidR="00FA457D" w:rsidRPr="00B1089D" w:rsidRDefault="00FA457D" w:rsidP="000610DA">
            <w:pPr>
              <w:widowControl/>
            </w:pPr>
          </w:p>
        </w:tc>
        <w:tc>
          <w:tcPr>
            <w:tcW w:w="0" w:type="auto"/>
            <w:gridSpan w:val="3"/>
            <w:tcBorders>
              <w:top w:val="single" w:sz="4" w:space="0" w:color="000000"/>
            </w:tcBorders>
            <w:tcMar>
              <w:top w:w="0" w:type="dxa"/>
              <w:left w:w="115" w:type="dxa"/>
              <w:bottom w:w="0" w:type="dxa"/>
              <w:right w:w="115" w:type="dxa"/>
            </w:tcMar>
            <w:vAlign w:val="center"/>
            <w:hideMark/>
          </w:tcPr>
          <w:p w14:paraId="25E27EE1" w14:textId="77777777" w:rsidR="00FA457D" w:rsidRPr="00B1089D" w:rsidRDefault="00FA457D" w:rsidP="000610DA">
            <w:pPr>
              <w:widowControl/>
            </w:pPr>
            <w:proofErr w:type="spellStart"/>
            <w:r w:rsidRPr="00B1089D">
              <w:rPr>
                <w:b/>
                <w:bCs/>
              </w:rPr>
              <w:t>Mean</w:t>
            </w:r>
            <w:proofErr w:type="spellEnd"/>
            <w:r w:rsidRPr="00B1089D">
              <w:rPr>
                <w:b/>
                <w:bCs/>
              </w:rPr>
              <w:t xml:space="preserve"> </w:t>
            </w:r>
            <w:proofErr w:type="spellStart"/>
            <w:r w:rsidRPr="00B1089D">
              <w:rPr>
                <w:b/>
                <w:bCs/>
              </w:rPr>
              <w:t>dependent</w:t>
            </w:r>
            <w:proofErr w:type="spellEnd"/>
            <w:r w:rsidRPr="00B1089D">
              <w:rPr>
                <w:b/>
                <w:bCs/>
              </w:rPr>
              <w:t xml:space="preserve"> var</w:t>
            </w:r>
          </w:p>
        </w:tc>
        <w:tc>
          <w:tcPr>
            <w:tcW w:w="0" w:type="auto"/>
            <w:gridSpan w:val="2"/>
            <w:tcBorders>
              <w:top w:val="single" w:sz="4" w:space="0" w:color="000000"/>
            </w:tcBorders>
            <w:tcMar>
              <w:top w:w="0" w:type="dxa"/>
              <w:left w:w="115" w:type="dxa"/>
              <w:bottom w:w="0" w:type="dxa"/>
              <w:right w:w="115" w:type="dxa"/>
            </w:tcMar>
            <w:hideMark/>
          </w:tcPr>
          <w:p w14:paraId="7D2A3D33" w14:textId="77777777" w:rsidR="00FA457D" w:rsidRPr="00B1089D" w:rsidRDefault="00FA457D" w:rsidP="000610DA">
            <w:pPr>
              <w:widowControl/>
            </w:pPr>
            <w:r w:rsidRPr="00B1089D">
              <w:t>12.522</w:t>
            </w:r>
          </w:p>
        </w:tc>
      </w:tr>
      <w:tr w:rsidR="00FA457D" w:rsidRPr="00B1089D" w14:paraId="7D8DD3B8" w14:textId="77777777" w:rsidTr="000610DA">
        <w:trPr>
          <w:trHeight w:val="337"/>
        </w:trPr>
        <w:tc>
          <w:tcPr>
            <w:tcW w:w="0" w:type="auto"/>
            <w:gridSpan w:val="3"/>
            <w:tcMar>
              <w:top w:w="0" w:type="dxa"/>
              <w:left w:w="115" w:type="dxa"/>
              <w:bottom w:w="0" w:type="dxa"/>
              <w:right w:w="115" w:type="dxa"/>
            </w:tcMar>
            <w:vAlign w:val="center"/>
            <w:hideMark/>
          </w:tcPr>
          <w:p w14:paraId="7955FAB6" w14:textId="77777777" w:rsidR="00FA457D" w:rsidRPr="00B1089D" w:rsidRDefault="00FA457D" w:rsidP="000610DA">
            <w:pPr>
              <w:widowControl/>
            </w:pPr>
            <w:proofErr w:type="spellStart"/>
            <w:r w:rsidRPr="00B1089D">
              <w:rPr>
                <w:b/>
                <w:bCs/>
              </w:rPr>
              <w:t>Overall</w:t>
            </w:r>
            <w:proofErr w:type="spellEnd"/>
            <w:r w:rsidRPr="00B1089D">
              <w:rPr>
                <w:b/>
                <w:bCs/>
              </w:rPr>
              <w:t xml:space="preserve"> r-</w:t>
            </w:r>
            <w:proofErr w:type="spellStart"/>
            <w:r w:rsidRPr="00B1089D">
              <w:rPr>
                <w:b/>
                <w:bCs/>
              </w:rPr>
              <w:t>squared</w:t>
            </w:r>
            <w:proofErr w:type="spellEnd"/>
          </w:p>
        </w:tc>
        <w:tc>
          <w:tcPr>
            <w:tcW w:w="0" w:type="auto"/>
            <w:tcMar>
              <w:top w:w="0" w:type="dxa"/>
              <w:left w:w="115" w:type="dxa"/>
              <w:bottom w:w="0" w:type="dxa"/>
              <w:right w:w="115" w:type="dxa"/>
            </w:tcMar>
            <w:vAlign w:val="center"/>
            <w:hideMark/>
          </w:tcPr>
          <w:p w14:paraId="728009DB" w14:textId="77777777" w:rsidR="00FA457D" w:rsidRPr="00B1089D" w:rsidRDefault="00FA457D" w:rsidP="000610DA">
            <w:pPr>
              <w:widowControl/>
            </w:pPr>
            <w:r w:rsidRPr="00B1089D">
              <w:t>0.505</w:t>
            </w:r>
          </w:p>
        </w:tc>
        <w:tc>
          <w:tcPr>
            <w:tcW w:w="0" w:type="auto"/>
            <w:tcMar>
              <w:top w:w="0" w:type="dxa"/>
              <w:left w:w="115" w:type="dxa"/>
              <w:bottom w:w="0" w:type="dxa"/>
              <w:right w:w="115" w:type="dxa"/>
            </w:tcMar>
            <w:vAlign w:val="center"/>
            <w:hideMark/>
          </w:tcPr>
          <w:p w14:paraId="35070C92"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6A7A1A2C" w14:textId="77777777" w:rsidR="00FA457D" w:rsidRPr="00B1089D" w:rsidRDefault="00FA457D" w:rsidP="000610DA">
            <w:pPr>
              <w:widowControl/>
            </w:pPr>
            <w:r w:rsidRPr="00B1089D">
              <w:rPr>
                <w:b/>
                <w:bCs/>
              </w:rPr>
              <w:t>R-</w:t>
            </w:r>
            <w:proofErr w:type="spellStart"/>
            <w:r w:rsidRPr="00B1089D">
              <w:rPr>
                <w:b/>
                <w:bCs/>
              </w:rPr>
              <w:t>squared</w:t>
            </w:r>
            <w:proofErr w:type="spellEnd"/>
          </w:p>
        </w:tc>
        <w:tc>
          <w:tcPr>
            <w:tcW w:w="0" w:type="auto"/>
            <w:gridSpan w:val="2"/>
            <w:tcMar>
              <w:top w:w="0" w:type="dxa"/>
              <w:left w:w="115" w:type="dxa"/>
              <w:bottom w:w="0" w:type="dxa"/>
              <w:right w:w="115" w:type="dxa"/>
            </w:tcMar>
            <w:hideMark/>
          </w:tcPr>
          <w:p w14:paraId="694B01B8" w14:textId="77777777" w:rsidR="00FA457D" w:rsidRPr="00B1089D" w:rsidRDefault="00FA457D" w:rsidP="000610DA">
            <w:pPr>
              <w:widowControl/>
            </w:pPr>
            <w:r w:rsidRPr="00B1089D">
              <w:t>0.721</w:t>
            </w:r>
          </w:p>
        </w:tc>
      </w:tr>
      <w:tr w:rsidR="00FA457D" w:rsidRPr="00B1089D" w14:paraId="4B517F08" w14:textId="77777777" w:rsidTr="000610DA">
        <w:trPr>
          <w:trHeight w:val="337"/>
        </w:trPr>
        <w:tc>
          <w:tcPr>
            <w:tcW w:w="0" w:type="auto"/>
            <w:gridSpan w:val="3"/>
            <w:tcMar>
              <w:top w:w="0" w:type="dxa"/>
              <w:left w:w="115" w:type="dxa"/>
              <w:bottom w:w="0" w:type="dxa"/>
              <w:right w:w="115" w:type="dxa"/>
            </w:tcMar>
            <w:vAlign w:val="center"/>
            <w:hideMark/>
          </w:tcPr>
          <w:p w14:paraId="45003EEB" w14:textId="77777777" w:rsidR="00FA457D" w:rsidRPr="00B1089D" w:rsidRDefault="00FA457D" w:rsidP="000610DA">
            <w:pPr>
              <w:widowControl/>
            </w:pPr>
            <w:proofErr w:type="spellStart"/>
            <w:r w:rsidRPr="00B1089D">
              <w:rPr>
                <w:b/>
                <w:bCs/>
              </w:rPr>
              <w:t>Chi-square</w:t>
            </w:r>
            <w:proofErr w:type="spellEnd"/>
          </w:p>
        </w:tc>
        <w:tc>
          <w:tcPr>
            <w:tcW w:w="0" w:type="auto"/>
            <w:tcMar>
              <w:top w:w="0" w:type="dxa"/>
              <w:left w:w="115" w:type="dxa"/>
              <w:bottom w:w="0" w:type="dxa"/>
              <w:right w:w="115" w:type="dxa"/>
            </w:tcMar>
            <w:hideMark/>
          </w:tcPr>
          <w:p w14:paraId="357A87A0" w14:textId="77777777" w:rsidR="00FA457D" w:rsidRPr="00B1089D" w:rsidRDefault="00FA457D" w:rsidP="000610DA">
            <w:pPr>
              <w:widowControl/>
            </w:pPr>
            <w:r w:rsidRPr="00B1089D">
              <w:t>1691.095</w:t>
            </w:r>
          </w:p>
        </w:tc>
        <w:tc>
          <w:tcPr>
            <w:tcW w:w="0" w:type="auto"/>
            <w:tcMar>
              <w:top w:w="0" w:type="dxa"/>
              <w:left w:w="115" w:type="dxa"/>
              <w:bottom w:w="0" w:type="dxa"/>
              <w:right w:w="115" w:type="dxa"/>
            </w:tcMar>
            <w:vAlign w:val="center"/>
            <w:hideMark/>
          </w:tcPr>
          <w:p w14:paraId="38B1DF31"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1ACC1B04" w14:textId="77777777" w:rsidR="00FA457D" w:rsidRPr="00B1089D" w:rsidRDefault="00FA457D" w:rsidP="000610DA">
            <w:pPr>
              <w:widowControl/>
            </w:pPr>
            <w:r w:rsidRPr="00B1089D">
              <w:rPr>
                <w:b/>
                <w:bCs/>
              </w:rPr>
              <w:t>F-test</w:t>
            </w:r>
          </w:p>
        </w:tc>
        <w:tc>
          <w:tcPr>
            <w:tcW w:w="0" w:type="auto"/>
            <w:gridSpan w:val="2"/>
            <w:tcMar>
              <w:top w:w="0" w:type="dxa"/>
              <w:left w:w="115" w:type="dxa"/>
              <w:bottom w:w="0" w:type="dxa"/>
              <w:right w:w="115" w:type="dxa"/>
            </w:tcMar>
            <w:hideMark/>
          </w:tcPr>
          <w:p w14:paraId="2335357B" w14:textId="77777777" w:rsidR="00FA457D" w:rsidRPr="00B1089D" w:rsidRDefault="00FA457D" w:rsidP="000610DA">
            <w:pPr>
              <w:widowControl/>
            </w:pPr>
            <w:r w:rsidRPr="00B1089D">
              <w:t>104.735</w:t>
            </w:r>
          </w:p>
        </w:tc>
      </w:tr>
      <w:tr w:rsidR="00FA457D" w:rsidRPr="00B1089D" w14:paraId="31CB40B5" w14:textId="77777777" w:rsidTr="000610DA">
        <w:trPr>
          <w:trHeight w:val="337"/>
        </w:trPr>
        <w:tc>
          <w:tcPr>
            <w:tcW w:w="0" w:type="auto"/>
            <w:gridSpan w:val="3"/>
            <w:tcMar>
              <w:top w:w="0" w:type="dxa"/>
              <w:left w:w="115" w:type="dxa"/>
              <w:bottom w:w="0" w:type="dxa"/>
              <w:right w:w="115" w:type="dxa"/>
            </w:tcMar>
            <w:vAlign w:val="center"/>
            <w:hideMark/>
          </w:tcPr>
          <w:p w14:paraId="10833D76" w14:textId="77777777" w:rsidR="00FA457D" w:rsidRPr="00B1089D" w:rsidRDefault="00FA457D" w:rsidP="000610DA">
            <w:pPr>
              <w:widowControl/>
            </w:pPr>
            <w:r w:rsidRPr="00B1089D">
              <w:rPr>
                <w:b/>
                <w:bCs/>
              </w:rPr>
              <w:t>R-</w:t>
            </w:r>
            <w:proofErr w:type="spellStart"/>
            <w:r w:rsidRPr="00B1089D">
              <w:rPr>
                <w:b/>
                <w:bCs/>
              </w:rPr>
              <w:t>squared</w:t>
            </w:r>
            <w:proofErr w:type="spellEnd"/>
            <w:r w:rsidRPr="00B1089D">
              <w:rPr>
                <w:b/>
                <w:bCs/>
              </w:rPr>
              <w:t xml:space="preserve"> </w:t>
            </w:r>
            <w:proofErr w:type="spellStart"/>
            <w:r w:rsidRPr="00B1089D">
              <w:rPr>
                <w:b/>
                <w:bCs/>
              </w:rPr>
              <w:t>within</w:t>
            </w:r>
            <w:proofErr w:type="spellEnd"/>
          </w:p>
        </w:tc>
        <w:tc>
          <w:tcPr>
            <w:tcW w:w="0" w:type="auto"/>
            <w:tcMar>
              <w:top w:w="0" w:type="dxa"/>
              <w:left w:w="115" w:type="dxa"/>
              <w:bottom w:w="0" w:type="dxa"/>
              <w:right w:w="115" w:type="dxa"/>
            </w:tcMar>
            <w:hideMark/>
          </w:tcPr>
          <w:p w14:paraId="15D98C65" w14:textId="77777777" w:rsidR="00FA457D" w:rsidRPr="00B1089D" w:rsidRDefault="00FA457D" w:rsidP="000610DA">
            <w:pPr>
              <w:widowControl/>
            </w:pPr>
            <w:r w:rsidRPr="00B1089D">
              <w:t>0.721</w:t>
            </w:r>
          </w:p>
        </w:tc>
        <w:tc>
          <w:tcPr>
            <w:tcW w:w="0" w:type="auto"/>
            <w:tcMar>
              <w:top w:w="0" w:type="dxa"/>
              <w:left w:w="115" w:type="dxa"/>
              <w:bottom w:w="0" w:type="dxa"/>
              <w:right w:w="115" w:type="dxa"/>
            </w:tcMar>
            <w:vAlign w:val="center"/>
            <w:hideMark/>
          </w:tcPr>
          <w:p w14:paraId="55EBBED4"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5004B770" w14:textId="77777777" w:rsidR="00FA457D" w:rsidRPr="00B1089D" w:rsidRDefault="00FA457D" w:rsidP="000610DA">
            <w:pPr>
              <w:widowControl/>
            </w:pPr>
            <w:proofErr w:type="spellStart"/>
            <w:r w:rsidRPr="00B1089D">
              <w:rPr>
                <w:b/>
                <w:bCs/>
              </w:rPr>
              <w:t>Akaike</w:t>
            </w:r>
            <w:proofErr w:type="spellEnd"/>
            <w:r w:rsidRPr="00B1089D">
              <w:rPr>
                <w:b/>
                <w:bCs/>
              </w:rPr>
              <w:t xml:space="preserve"> </w:t>
            </w:r>
            <w:proofErr w:type="spellStart"/>
            <w:r w:rsidRPr="00B1089D">
              <w:rPr>
                <w:b/>
                <w:bCs/>
              </w:rPr>
              <w:t>crit</w:t>
            </w:r>
            <w:proofErr w:type="spellEnd"/>
            <w:r w:rsidRPr="00B1089D">
              <w:rPr>
                <w:b/>
                <w:bCs/>
              </w:rPr>
              <w:t>. (AIC)</w:t>
            </w:r>
          </w:p>
        </w:tc>
        <w:tc>
          <w:tcPr>
            <w:tcW w:w="0" w:type="auto"/>
            <w:gridSpan w:val="2"/>
            <w:tcMar>
              <w:top w:w="0" w:type="dxa"/>
              <w:left w:w="115" w:type="dxa"/>
              <w:bottom w:w="0" w:type="dxa"/>
              <w:right w:w="115" w:type="dxa"/>
            </w:tcMar>
            <w:hideMark/>
          </w:tcPr>
          <w:p w14:paraId="5FFE1728" w14:textId="77777777" w:rsidR="00FA457D" w:rsidRPr="00B1089D" w:rsidRDefault="00FA457D" w:rsidP="000610DA">
            <w:pPr>
              <w:widowControl/>
            </w:pPr>
            <w:r w:rsidRPr="00B1089D">
              <w:t>-1888.656</w:t>
            </w:r>
          </w:p>
        </w:tc>
      </w:tr>
      <w:tr w:rsidR="00FA457D" w:rsidRPr="00B1089D" w14:paraId="1B30D805" w14:textId="77777777" w:rsidTr="000610DA">
        <w:trPr>
          <w:trHeight w:val="337"/>
        </w:trPr>
        <w:tc>
          <w:tcPr>
            <w:tcW w:w="0" w:type="auto"/>
            <w:gridSpan w:val="3"/>
            <w:tcMar>
              <w:top w:w="0" w:type="dxa"/>
              <w:left w:w="115" w:type="dxa"/>
              <w:bottom w:w="0" w:type="dxa"/>
              <w:right w:w="115" w:type="dxa"/>
            </w:tcMar>
            <w:vAlign w:val="center"/>
            <w:hideMark/>
          </w:tcPr>
          <w:p w14:paraId="5D7E3E29" w14:textId="77777777" w:rsidR="00FA457D" w:rsidRPr="00B1089D" w:rsidRDefault="00FA457D" w:rsidP="000610DA">
            <w:pPr>
              <w:widowControl/>
            </w:pPr>
            <w:r w:rsidRPr="00B1089D">
              <w:rPr>
                <w:b/>
                <w:bCs/>
              </w:rPr>
              <w:t xml:space="preserve">SD </w:t>
            </w:r>
            <w:proofErr w:type="spellStart"/>
            <w:r w:rsidRPr="00B1089D">
              <w:rPr>
                <w:b/>
                <w:bCs/>
              </w:rPr>
              <w:t>dependent</w:t>
            </w:r>
            <w:proofErr w:type="spellEnd"/>
            <w:r w:rsidRPr="00B1089D">
              <w:rPr>
                <w:b/>
                <w:bCs/>
              </w:rPr>
              <w:t xml:space="preserve"> var</w:t>
            </w:r>
          </w:p>
        </w:tc>
        <w:tc>
          <w:tcPr>
            <w:tcW w:w="0" w:type="auto"/>
            <w:tcMar>
              <w:top w:w="0" w:type="dxa"/>
              <w:left w:w="115" w:type="dxa"/>
              <w:bottom w:w="0" w:type="dxa"/>
              <w:right w:w="115" w:type="dxa"/>
            </w:tcMar>
            <w:hideMark/>
          </w:tcPr>
          <w:p w14:paraId="4F23A600" w14:textId="77777777" w:rsidR="00FA457D" w:rsidRPr="00B1089D" w:rsidRDefault="00FA457D" w:rsidP="000610DA">
            <w:pPr>
              <w:widowControl/>
            </w:pPr>
            <w:r w:rsidRPr="00B1089D">
              <w:t>1.392</w:t>
            </w:r>
          </w:p>
        </w:tc>
        <w:tc>
          <w:tcPr>
            <w:tcW w:w="0" w:type="auto"/>
            <w:tcMar>
              <w:top w:w="0" w:type="dxa"/>
              <w:left w:w="115" w:type="dxa"/>
              <w:bottom w:w="0" w:type="dxa"/>
              <w:right w:w="115" w:type="dxa"/>
            </w:tcMar>
            <w:vAlign w:val="center"/>
            <w:hideMark/>
          </w:tcPr>
          <w:p w14:paraId="25A4388D"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281A37F0" w14:textId="77777777" w:rsidR="00FA457D" w:rsidRPr="00B1089D" w:rsidRDefault="00FA457D" w:rsidP="000610DA">
            <w:pPr>
              <w:widowControl/>
            </w:pPr>
            <w:r w:rsidRPr="00B1089D">
              <w:rPr>
                <w:b/>
                <w:bCs/>
              </w:rPr>
              <w:t xml:space="preserve">SD </w:t>
            </w:r>
            <w:proofErr w:type="spellStart"/>
            <w:r w:rsidRPr="00B1089D">
              <w:rPr>
                <w:b/>
                <w:bCs/>
              </w:rPr>
              <w:t>dependent</w:t>
            </w:r>
            <w:proofErr w:type="spellEnd"/>
            <w:r w:rsidRPr="00B1089D">
              <w:rPr>
                <w:b/>
                <w:bCs/>
              </w:rPr>
              <w:t xml:space="preserve"> var</w:t>
            </w:r>
          </w:p>
        </w:tc>
        <w:tc>
          <w:tcPr>
            <w:tcW w:w="0" w:type="auto"/>
            <w:gridSpan w:val="2"/>
            <w:tcMar>
              <w:top w:w="0" w:type="dxa"/>
              <w:left w:w="115" w:type="dxa"/>
              <w:bottom w:w="0" w:type="dxa"/>
              <w:right w:w="115" w:type="dxa"/>
            </w:tcMar>
            <w:hideMark/>
          </w:tcPr>
          <w:p w14:paraId="10E0CD4E" w14:textId="77777777" w:rsidR="00FA457D" w:rsidRPr="00B1089D" w:rsidRDefault="00FA457D" w:rsidP="000610DA">
            <w:pPr>
              <w:widowControl/>
            </w:pPr>
            <w:r w:rsidRPr="00B1089D">
              <w:t>1.392</w:t>
            </w:r>
          </w:p>
        </w:tc>
      </w:tr>
      <w:tr w:rsidR="00FA457D" w:rsidRPr="00B1089D" w14:paraId="39E46E8B" w14:textId="77777777" w:rsidTr="000610DA">
        <w:trPr>
          <w:trHeight w:val="337"/>
        </w:trPr>
        <w:tc>
          <w:tcPr>
            <w:tcW w:w="0" w:type="auto"/>
            <w:gridSpan w:val="3"/>
            <w:tcMar>
              <w:top w:w="0" w:type="dxa"/>
              <w:left w:w="115" w:type="dxa"/>
              <w:bottom w:w="0" w:type="dxa"/>
              <w:right w:w="115" w:type="dxa"/>
            </w:tcMar>
            <w:vAlign w:val="center"/>
            <w:hideMark/>
          </w:tcPr>
          <w:p w14:paraId="3BDBF183" w14:textId="77777777" w:rsidR="00FA457D" w:rsidRPr="00B1089D" w:rsidRDefault="00FA457D" w:rsidP="000610DA">
            <w:pPr>
              <w:widowControl/>
            </w:pPr>
            <w:proofErr w:type="spellStart"/>
            <w:r w:rsidRPr="00B1089D">
              <w:rPr>
                <w:b/>
                <w:bCs/>
              </w:rPr>
              <w:t>Number</w:t>
            </w:r>
            <w:proofErr w:type="spellEnd"/>
            <w:r w:rsidRPr="00B1089D">
              <w:rPr>
                <w:b/>
                <w:bCs/>
              </w:rPr>
              <w:t xml:space="preserve"> of </w:t>
            </w:r>
            <w:proofErr w:type="spellStart"/>
            <w:r w:rsidRPr="00B1089D">
              <w:rPr>
                <w:b/>
                <w:bCs/>
              </w:rPr>
              <w:t>obs</w:t>
            </w:r>
            <w:proofErr w:type="spellEnd"/>
          </w:p>
        </w:tc>
        <w:tc>
          <w:tcPr>
            <w:tcW w:w="0" w:type="auto"/>
            <w:tcMar>
              <w:top w:w="0" w:type="dxa"/>
              <w:left w:w="115" w:type="dxa"/>
              <w:bottom w:w="0" w:type="dxa"/>
              <w:right w:w="115" w:type="dxa"/>
            </w:tcMar>
            <w:hideMark/>
          </w:tcPr>
          <w:p w14:paraId="7FCD032E" w14:textId="77777777" w:rsidR="00FA457D" w:rsidRPr="00B1089D" w:rsidRDefault="00FA457D" w:rsidP="000610DA">
            <w:pPr>
              <w:widowControl/>
            </w:pPr>
            <w:r w:rsidRPr="00B1089D">
              <w:t>714</w:t>
            </w:r>
          </w:p>
        </w:tc>
        <w:tc>
          <w:tcPr>
            <w:tcW w:w="0" w:type="auto"/>
            <w:tcMar>
              <w:top w:w="0" w:type="dxa"/>
              <w:left w:w="115" w:type="dxa"/>
              <w:bottom w:w="0" w:type="dxa"/>
              <w:right w:w="115" w:type="dxa"/>
            </w:tcMar>
            <w:vAlign w:val="center"/>
            <w:hideMark/>
          </w:tcPr>
          <w:p w14:paraId="76FFFEAF"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55DA6CE5" w14:textId="77777777" w:rsidR="00FA457D" w:rsidRPr="00B1089D" w:rsidRDefault="00FA457D" w:rsidP="000610DA">
            <w:pPr>
              <w:widowControl/>
            </w:pPr>
            <w:proofErr w:type="spellStart"/>
            <w:r w:rsidRPr="00B1089D">
              <w:rPr>
                <w:b/>
                <w:bCs/>
              </w:rPr>
              <w:t>Number</w:t>
            </w:r>
            <w:proofErr w:type="spellEnd"/>
            <w:r w:rsidRPr="00B1089D">
              <w:rPr>
                <w:b/>
                <w:bCs/>
              </w:rPr>
              <w:t xml:space="preserve"> of </w:t>
            </w:r>
            <w:proofErr w:type="spellStart"/>
            <w:r w:rsidRPr="00B1089D">
              <w:rPr>
                <w:b/>
                <w:bCs/>
              </w:rPr>
              <w:t>obs</w:t>
            </w:r>
            <w:proofErr w:type="spellEnd"/>
          </w:p>
        </w:tc>
        <w:tc>
          <w:tcPr>
            <w:tcW w:w="0" w:type="auto"/>
            <w:gridSpan w:val="2"/>
            <w:tcMar>
              <w:top w:w="0" w:type="dxa"/>
              <w:left w:w="115" w:type="dxa"/>
              <w:bottom w:w="0" w:type="dxa"/>
              <w:right w:w="115" w:type="dxa"/>
            </w:tcMar>
            <w:hideMark/>
          </w:tcPr>
          <w:p w14:paraId="379067A1" w14:textId="77777777" w:rsidR="00FA457D" w:rsidRPr="00B1089D" w:rsidRDefault="00FA457D" w:rsidP="000610DA">
            <w:pPr>
              <w:widowControl/>
            </w:pPr>
            <w:r w:rsidRPr="00B1089D">
              <w:t>714</w:t>
            </w:r>
          </w:p>
        </w:tc>
      </w:tr>
      <w:tr w:rsidR="00FA457D" w:rsidRPr="00B1089D" w14:paraId="1D174031" w14:textId="77777777" w:rsidTr="000610DA">
        <w:trPr>
          <w:trHeight w:val="337"/>
        </w:trPr>
        <w:tc>
          <w:tcPr>
            <w:tcW w:w="0" w:type="auto"/>
            <w:gridSpan w:val="3"/>
            <w:tcMar>
              <w:top w:w="0" w:type="dxa"/>
              <w:left w:w="115" w:type="dxa"/>
              <w:bottom w:w="0" w:type="dxa"/>
              <w:right w:w="115" w:type="dxa"/>
            </w:tcMar>
            <w:vAlign w:val="center"/>
            <w:hideMark/>
          </w:tcPr>
          <w:p w14:paraId="0B71A949" w14:textId="77777777" w:rsidR="00FA457D" w:rsidRPr="00B1089D" w:rsidRDefault="00FA457D" w:rsidP="000610DA">
            <w:pPr>
              <w:widowControl/>
            </w:pPr>
            <w:proofErr w:type="gramStart"/>
            <w:r w:rsidRPr="00B1089D">
              <w:rPr>
                <w:b/>
                <w:bCs/>
              </w:rPr>
              <w:t>Prob &gt;</w:t>
            </w:r>
            <w:proofErr w:type="gramEnd"/>
            <w:r w:rsidRPr="00B1089D">
              <w:rPr>
                <w:b/>
                <w:bCs/>
              </w:rPr>
              <w:t xml:space="preserve"> chi2</w:t>
            </w:r>
          </w:p>
        </w:tc>
        <w:tc>
          <w:tcPr>
            <w:tcW w:w="0" w:type="auto"/>
            <w:tcMar>
              <w:top w:w="0" w:type="dxa"/>
              <w:left w:w="115" w:type="dxa"/>
              <w:bottom w:w="0" w:type="dxa"/>
              <w:right w:w="115" w:type="dxa"/>
            </w:tcMar>
            <w:hideMark/>
          </w:tcPr>
          <w:p w14:paraId="22780061" w14:textId="77777777" w:rsidR="00FA457D" w:rsidRPr="00B1089D" w:rsidRDefault="00FA457D" w:rsidP="000610DA">
            <w:pPr>
              <w:widowControl/>
            </w:pPr>
            <w:r w:rsidRPr="00B1089D">
              <w:t>0.000</w:t>
            </w:r>
          </w:p>
        </w:tc>
        <w:tc>
          <w:tcPr>
            <w:tcW w:w="0" w:type="auto"/>
            <w:tcMar>
              <w:top w:w="0" w:type="dxa"/>
              <w:left w:w="115" w:type="dxa"/>
              <w:bottom w:w="0" w:type="dxa"/>
              <w:right w:w="115" w:type="dxa"/>
            </w:tcMar>
            <w:vAlign w:val="center"/>
            <w:hideMark/>
          </w:tcPr>
          <w:p w14:paraId="70B35F2E" w14:textId="77777777" w:rsidR="00FA457D" w:rsidRPr="00B1089D" w:rsidRDefault="00FA457D" w:rsidP="000610DA">
            <w:pPr>
              <w:widowControl/>
            </w:pPr>
          </w:p>
        </w:tc>
        <w:tc>
          <w:tcPr>
            <w:tcW w:w="0" w:type="auto"/>
            <w:gridSpan w:val="3"/>
            <w:tcMar>
              <w:top w:w="0" w:type="dxa"/>
              <w:left w:w="115" w:type="dxa"/>
              <w:bottom w:w="0" w:type="dxa"/>
              <w:right w:w="115" w:type="dxa"/>
            </w:tcMar>
            <w:vAlign w:val="center"/>
            <w:hideMark/>
          </w:tcPr>
          <w:p w14:paraId="2C574EAA" w14:textId="77777777" w:rsidR="00FA457D" w:rsidRPr="00B1089D" w:rsidRDefault="00FA457D" w:rsidP="000610DA">
            <w:pPr>
              <w:widowControl/>
            </w:pPr>
            <w:proofErr w:type="gramStart"/>
            <w:r w:rsidRPr="00B1089D">
              <w:rPr>
                <w:b/>
                <w:bCs/>
              </w:rPr>
              <w:t>Prob &gt;</w:t>
            </w:r>
            <w:proofErr w:type="gramEnd"/>
            <w:r w:rsidRPr="00B1089D">
              <w:rPr>
                <w:b/>
                <w:bCs/>
              </w:rPr>
              <w:t xml:space="preserve"> F</w:t>
            </w:r>
          </w:p>
        </w:tc>
        <w:tc>
          <w:tcPr>
            <w:tcW w:w="0" w:type="auto"/>
            <w:gridSpan w:val="2"/>
            <w:tcMar>
              <w:top w:w="0" w:type="dxa"/>
              <w:left w:w="115" w:type="dxa"/>
              <w:bottom w:w="0" w:type="dxa"/>
              <w:right w:w="115" w:type="dxa"/>
            </w:tcMar>
            <w:hideMark/>
          </w:tcPr>
          <w:p w14:paraId="2C71996A" w14:textId="77777777" w:rsidR="00FA457D" w:rsidRPr="00B1089D" w:rsidRDefault="00FA457D" w:rsidP="000610DA">
            <w:pPr>
              <w:widowControl/>
            </w:pPr>
            <w:r w:rsidRPr="00B1089D">
              <w:t>0.000</w:t>
            </w:r>
          </w:p>
        </w:tc>
      </w:tr>
      <w:tr w:rsidR="00FA457D" w:rsidRPr="00B1089D" w14:paraId="0ADF6692" w14:textId="77777777" w:rsidTr="000610DA">
        <w:trPr>
          <w:trHeight w:val="337"/>
        </w:trPr>
        <w:tc>
          <w:tcPr>
            <w:tcW w:w="0" w:type="auto"/>
            <w:gridSpan w:val="3"/>
            <w:tcBorders>
              <w:bottom w:val="single" w:sz="4" w:space="0" w:color="000000"/>
            </w:tcBorders>
            <w:tcMar>
              <w:top w:w="0" w:type="dxa"/>
              <w:left w:w="115" w:type="dxa"/>
              <w:bottom w:w="0" w:type="dxa"/>
              <w:right w:w="115" w:type="dxa"/>
            </w:tcMar>
            <w:vAlign w:val="center"/>
            <w:hideMark/>
          </w:tcPr>
          <w:p w14:paraId="2006529F" w14:textId="77777777" w:rsidR="00FA457D" w:rsidRPr="00B1089D" w:rsidRDefault="00FA457D" w:rsidP="000610DA">
            <w:pPr>
              <w:widowControl/>
            </w:pPr>
            <w:r w:rsidRPr="00B1089D">
              <w:rPr>
                <w:b/>
                <w:bCs/>
              </w:rPr>
              <w:t>R-</w:t>
            </w:r>
            <w:proofErr w:type="spellStart"/>
            <w:r w:rsidRPr="00B1089D">
              <w:rPr>
                <w:b/>
                <w:bCs/>
              </w:rPr>
              <w:t>squared</w:t>
            </w:r>
            <w:proofErr w:type="spellEnd"/>
            <w:r w:rsidRPr="00B1089D">
              <w:rPr>
                <w:b/>
                <w:bCs/>
              </w:rPr>
              <w:t xml:space="preserve"> </w:t>
            </w:r>
            <w:proofErr w:type="spellStart"/>
            <w:r w:rsidRPr="00B1089D">
              <w:rPr>
                <w:b/>
                <w:bCs/>
              </w:rPr>
              <w:t>between</w:t>
            </w:r>
            <w:proofErr w:type="spellEnd"/>
          </w:p>
        </w:tc>
        <w:tc>
          <w:tcPr>
            <w:tcW w:w="0" w:type="auto"/>
            <w:tcBorders>
              <w:bottom w:val="single" w:sz="4" w:space="0" w:color="000000"/>
            </w:tcBorders>
            <w:tcMar>
              <w:top w:w="0" w:type="dxa"/>
              <w:left w:w="115" w:type="dxa"/>
              <w:bottom w:w="0" w:type="dxa"/>
              <w:right w:w="115" w:type="dxa"/>
            </w:tcMar>
            <w:hideMark/>
          </w:tcPr>
          <w:p w14:paraId="2D9C67CB" w14:textId="77777777" w:rsidR="00FA457D" w:rsidRPr="00B1089D" w:rsidRDefault="00FA457D" w:rsidP="000610DA">
            <w:pPr>
              <w:widowControl/>
            </w:pPr>
            <w:r w:rsidRPr="00B1089D">
              <w:t>0.504</w:t>
            </w:r>
          </w:p>
        </w:tc>
        <w:tc>
          <w:tcPr>
            <w:tcW w:w="0" w:type="auto"/>
            <w:tcBorders>
              <w:bottom w:val="single" w:sz="4" w:space="0" w:color="000000"/>
            </w:tcBorders>
            <w:tcMar>
              <w:top w:w="0" w:type="dxa"/>
              <w:left w:w="115" w:type="dxa"/>
              <w:bottom w:w="0" w:type="dxa"/>
              <w:right w:w="115" w:type="dxa"/>
            </w:tcMar>
            <w:vAlign w:val="center"/>
            <w:hideMark/>
          </w:tcPr>
          <w:p w14:paraId="64469BE7" w14:textId="77777777" w:rsidR="00FA457D" w:rsidRPr="00B1089D" w:rsidRDefault="00FA457D" w:rsidP="000610DA">
            <w:pPr>
              <w:widowControl/>
            </w:pPr>
          </w:p>
        </w:tc>
        <w:tc>
          <w:tcPr>
            <w:tcW w:w="0" w:type="auto"/>
            <w:gridSpan w:val="3"/>
            <w:tcBorders>
              <w:bottom w:val="single" w:sz="4" w:space="0" w:color="000000"/>
            </w:tcBorders>
            <w:tcMar>
              <w:top w:w="0" w:type="dxa"/>
              <w:left w:w="115" w:type="dxa"/>
              <w:bottom w:w="0" w:type="dxa"/>
              <w:right w:w="115" w:type="dxa"/>
            </w:tcMar>
            <w:vAlign w:val="center"/>
            <w:hideMark/>
          </w:tcPr>
          <w:p w14:paraId="03D7DFDD" w14:textId="77777777" w:rsidR="00FA457D" w:rsidRPr="00B1089D" w:rsidRDefault="00FA457D" w:rsidP="000610DA">
            <w:pPr>
              <w:widowControl/>
            </w:pPr>
            <w:proofErr w:type="spellStart"/>
            <w:r w:rsidRPr="00B1089D">
              <w:rPr>
                <w:b/>
                <w:bCs/>
              </w:rPr>
              <w:t>Bayesian</w:t>
            </w:r>
            <w:proofErr w:type="spellEnd"/>
            <w:r w:rsidRPr="00B1089D">
              <w:rPr>
                <w:b/>
                <w:bCs/>
              </w:rPr>
              <w:t xml:space="preserve"> </w:t>
            </w:r>
            <w:proofErr w:type="spellStart"/>
            <w:r w:rsidRPr="00B1089D">
              <w:rPr>
                <w:b/>
                <w:bCs/>
              </w:rPr>
              <w:t>crit</w:t>
            </w:r>
            <w:proofErr w:type="spellEnd"/>
            <w:r w:rsidRPr="00B1089D">
              <w:rPr>
                <w:b/>
                <w:bCs/>
              </w:rPr>
              <w:t>. (BIC)</w:t>
            </w:r>
          </w:p>
        </w:tc>
        <w:tc>
          <w:tcPr>
            <w:tcW w:w="0" w:type="auto"/>
            <w:gridSpan w:val="2"/>
            <w:tcBorders>
              <w:bottom w:val="single" w:sz="4" w:space="0" w:color="000000"/>
            </w:tcBorders>
            <w:tcMar>
              <w:top w:w="0" w:type="dxa"/>
              <w:left w:w="115" w:type="dxa"/>
              <w:bottom w:w="0" w:type="dxa"/>
              <w:right w:w="115" w:type="dxa"/>
            </w:tcMar>
            <w:hideMark/>
          </w:tcPr>
          <w:p w14:paraId="0BB3C6D4" w14:textId="77777777" w:rsidR="00FA457D" w:rsidRPr="00B1089D" w:rsidRDefault="00FA457D" w:rsidP="000610DA">
            <w:pPr>
              <w:widowControl/>
            </w:pPr>
            <w:r w:rsidRPr="00B1089D">
              <w:t>-1810.951</w:t>
            </w:r>
          </w:p>
        </w:tc>
      </w:tr>
    </w:tbl>
    <w:p w14:paraId="376EA151" w14:textId="77777777" w:rsidR="00FA457D" w:rsidRPr="00D10870" w:rsidRDefault="00FA457D" w:rsidP="00FA457D">
      <w:pPr>
        <w:widowControl/>
      </w:pPr>
      <w:r w:rsidRPr="00B1089D">
        <w:t xml:space="preserve">Source: </w:t>
      </w:r>
      <w:proofErr w:type="spellStart"/>
      <w:r w:rsidRPr="00B1089D">
        <w:t>Author’s</w:t>
      </w:r>
      <w:proofErr w:type="spellEnd"/>
      <w:r w:rsidRPr="00B1089D">
        <w:t xml:space="preserve"> </w:t>
      </w:r>
      <w:proofErr w:type="spellStart"/>
      <w:r w:rsidRPr="00B1089D">
        <w:t>calculation</w:t>
      </w:r>
      <w:proofErr w:type="spellEnd"/>
      <w:r w:rsidRPr="00B1089D">
        <w:t>                                                    *** p&lt;.01, ** p&lt;.05, * p&lt;.1</w:t>
      </w:r>
    </w:p>
    <w:p w14:paraId="2A2F75B2" w14:textId="77777777" w:rsidR="00FA457D" w:rsidRPr="00B1089D" w:rsidRDefault="00FA457D" w:rsidP="00FA457D">
      <w:pPr>
        <w:widowControl/>
      </w:pPr>
    </w:p>
    <w:p w14:paraId="79C2FC43" w14:textId="77777777" w:rsidR="00FA457D" w:rsidRPr="00B1089D" w:rsidRDefault="00FA457D" w:rsidP="00E359E0">
      <w:pPr>
        <w:widowControl/>
        <w:jc w:val="both"/>
      </w:pPr>
      <w:r w:rsidRPr="00B1089D">
        <w:rPr>
          <w:b/>
          <w:bCs/>
          <w:i/>
          <w:iCs/>
        </w:rPr>
        <w:t xml:space="preserve">Test </w:t>
      </w:r>
      <w:proofErr w:type="spellStart"/>
      <w:r w:rsidRPr="00B1089D">
        <w:rPr>
          <w:b/>
          <w:bCs/>
          <w:i/>
          <w:iCs/>
        </w:rPr>
        <w:t>Results</w:t>
      </w:r>
      <w:proofErr w:type="spellEnd"/>
      <w:r w:rsidRPr="00B1089D">
        <w:rPr>
          <w:b/>
          <w:bCs/>
          <w:i/>
          <w:iCs/>
        </w:rPr>
        <w:t xml:space="preserve"> </w:t>
      </w:r>
      <w:proofErr w:type="spellStart"/>
      <w:r w:rsidRPr="00B1089D">
        <w:rPr>
          <w:b/>
          <w:bCs/>
          <w:i/>
          <w:iCs/>
        </w:rPr>
        <w:t>for</w:t>
      </w:r>
      <w:proofErr w:type="spellEnd"/>
      <w:r w:rsidRPr="00B1089D">
        <w:rPr>
          <w:b/>
          <w:bCs/>
          <w:i/>
          <w:iCs/>
        </w:rPr>
        <w:t xml:space="preserve"> </w:t>
      </w:r>
      <w:proofErr w:type="spellStart"/>
      <w:r w:rsidRPr="00B1089D">
        <w:rPr>
          <w:b/>
          <w:bCs/>
          <w:i/>
          <w:iCs/>
        </w:rPr>
        <w:t>Selection</w:t>
      </w:r>
      <w:proofErr w:type="spellEnd"/>
      <w:r w:rsidRPr="00B1089D">
        <w:rPr>
          <w:b/>
          <w:bCs/>
          <w:i/>
          <w:iCs/>
        </w:rPr>
        <w:t xml:space="preserve"> of Panel Data </w:t>
      </w:r>
      <w:proofErr w:type="spellStart"/>
      <w:r w:rsidRPr="00B1089D">
        <w:rPr>
          <w:b/>
          <w:bCs/>
          <w:i/>
          <w:iCs/>
        </w:rPr>
        <w:t>Estimation</w:t>
      </w:r>
      <w:proofErr w:type="spellEnd"/>
      <w:r w:rsidRPr="00B1089D">
        <w:rPr>
          <w:b/>
          <w:bCs/>
          <w:i/>
          <w:iCs/>
        </w:rPr>
        <w:t xml:space="preserve"> </w:t>
      </w:r>
      <w:proofErr w:type="spellStart"/>
      <w:r w:rsidRPr="00B1089D">
        <w:rPr>
          <w:b/>
          <w:bCs/>
          <w:i/>
          <w:iCs/>
        </w:rPr>
        <w:t>Technique</w:t>
      </w:r>
      <w:proofErr w:type="spellEnd"/>
    </w:p>
    <w:p w14:paraId="485484EF" w14:textId="02854B02" w:rsidR="00FA457D" w:rsidRPr="00B1089D" w:rsidRDefault="00FA457D" w:rsidP="00E359E0">
      <w:pPr>
        <w:widowControl/>
        <w:jc w:val="both"/>
      </w:pPr>
      <w:proofErr w:type="spellStart"/>
      <w:r w:rsidRPr="00B1089D">
        <w:t>Selecting</w:t>
      </w:r>
      <w:proofErr w:type="spellEnd"/>
      <w:r w:rsidRPr="00B1089D">
        <w:t xml:space="preserve"> </w:t>
      </w:r>
      <w:proofErr w:type="spellStart"/>
      <w:r w:rsidRPr="00B1089D">
        <w:t>between</w:t>
      </w:r>
      <w:proofErr w:type="spellEnd"/>
      <w:r w:rsidRPr="00B1089D">
        <w:t xml:space="preserve"> a </w:t>
      </w:r>
      <w:proofErr w:type="spellStart"/>
      <w:r w:rsidRPr="00B1089D">
        <w:t>simple</w:t>
      </w:r>
      <w:proofErr w:type="spellEnd"/>
      <w:r w:rsidRPr="00B1089D">
        <w:t xml:space="preserve"> OLS </w:t>
      </w:r>
      <w:proofErr w:type="spellStart"/>
      <w:r w:rsidRPr="00B1089D">
        <w:t>regression</w:t>
      </w:r>
      <w:proofErr w:type="spellEnd"/>
      <w:r w:rsidRPr="00B1089D">
        <w:t xml:space="preserve"> </w:t>
      </w:r>
      <w:proofErr w:type="spellStart"/>
      <w:r w:rsidRPr="00B1089D">
        <w:t>and</w:t>
      </w:r>
      <w:proofErr w:type="spellEnd"/>
      <w:r w:rsidRPr="00B1089D">
        <w:t xml:space="preserve"> a </w:t>
      </w:r>
      <w:proofErr w:type="spellStart"/>
      <w:r w:rsidRPr="00B1089D">
        <w:t>random</w:t>
      </w:r>
      <w:proofErr w:type="spellEnd"/>
      <w:r w:rsidRPr="00B1089D">
        <w:t xml:space="preserve"> </w:t>
      </w:r>
      <w:proofErr w:type="spellStart"/>
      <w:r w:rsidRPr="00B1089D">
        <w:t>effects</w:t>
      </w:r>
      <w:proofErr w:type="spellEnd"/>
      <w:r w:rsidRPr="00B1089D">
        <w:t xml:space="preserve"> </w:t>
      </w:r>
      <w:proofErr w:type="spellStart"/>
      <w:r w:rsidRPr="00B1089D">
        <w:t>regression</w:t>
      </w:r>
      <w:proofErr w:type="spellEnd"/>
      <w:r w:rsidRPr="00B1089D">
        <w:t xml:space="preserve"> can be </w:t>
      </w:r>
      <w:proofErr w:type="spellStart"/>
      <w:r w:rsidRPr="00B1089D">
        <w:t>identified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Breusch</w:t>
      </w:r>
      <w:proofErr w:type="spellEnd"/>
      <w:r w:rsidRPr="00B1089D">
        <w:t xml:space="preserve">-Pagan Lagrange </w:t>
      </w:r>
      <w:proofErr w:type="spellStart"/>
      <w:r w:rsidRPr="00B1089D">
        <w:t>Multiplier</w:t>
      </w:r>
      <w:proofErr w:type="spellEnd"/>
      <w:r w:rsidRPr="00B1089D">
        <w:t xml:space="preserve"> post-</w:t>
      </w:r>
      <w:proofErr w:type="spellStart"/>
      <w:r w:rsidRPr="00B1089D">
        <w:t>estimation</w:t>
      </w:r>
      <w:proofErr w:type="spellEnd"/>
      <w:r w:rsidRPr="00B1089D">
        <w:t xml:space="preserve"> test. </w:t>
      </w:r>
      <w:proofErr w:type="spellStart"/>
      <w:r w:rsidRPr="00B1089D">
        <w:t>The</w:t>
      </w:r>
      <w:proofErr w:type="spellEnd"/>
      <w:r w:rsidRPr="00B1089D">
        <w:t xml:space="preserve"> LM </w:t>
      </w:r>
      <w:proofErr w:type="spellStart"/>
      <w:r w:rsidRPr="00B1089D">
        <w:t>test's</w:t>
      </w:r>
      <w:proofErr w:type="spellEnd"/>
      <w:r w:rsidRPr="00B1089D">
        <w:t xml:space="preserve"> </w:t>
      </w:r>
      <w:proofErr w:type="spellStart"/>
      <w:r w:rsidRPr="00B1089D">
        <w:t>null</w:t>
      </w:r>
      <w:proofErr w:type="spellEnd"/>
      <w:r w:rsidRPr="00B1089D">
        <w:t xml:space="preserve"> </w:t>
      </w:r>
      <w:proofErr w:type="spellStart"/>
      <w:r w:rsidRPr="00B1089D">
        <w:t>hypothesis</w:t>
      </w:r>
      <w:proofErr w:type="spellEnd"/>
      <w:r w:rsidRPr="00B1089D">
        <w:t xml:space="preserve"> is </w:t>
      </w:r>
      <w:proofErr w:type="spellStart"/>
      <w:r w:rsidRPr="00B1089D">
        <w:t>that</w:t>
      </w:r>
      <w:proofErr w:type="spellEnd"/>
      <w:r w:rsidRPr="00B1089D">
        <w:t xml:space="preserve"> </w:t>
      </w:r>
      <w:proofErr w:type="spellStart"/>
      <w:r w:rsidRPr="00B1089D">
        <w:t>there</w:t>
      </w:r>
      <w:proofErr w:type="spellEnd"/>
      <w:r w:rsidRPr="00B1089D">
        <w:t xml:space="preserve"> is </w:t>
      </w:r>
      <w:proofErr w:type="spellStart"/>
      <w:r w:rsidRPr="00B1089D">
        <w:t>either</w:t>
      </w:r>
      <w:proofErr w:type="spellEnd"/>
      <w:r w:rsidRPr="00B1089D">
        <w:t xml:space="preserve"> </w:t>
      </w:r>
      <w:proofErr w:type="spellStart"/>
      <w:r w:rsidRPr="00B1089D">
        <w:t>no</w:t>
      </w:r>
      <w:proofErr w:type="spellEnd"/>
      <w:r w:rsidRPr="00B1089D">
        <w:t xml:space="preserve"> panel </w:t>
      </w:r>
      <w:proofErr w:type="spellStart"/>
      <w:r w:rsidRPr="00B1089D">
        <w:t>effect</w:t>
      </w:r>
      <w:proofErr w:type="spellEnd"/>
      <w:r w:rsidRPr="00B1089D">
        <w:t xml:space="preserve">—a </w:t>
      </w:r>
      <w:proofErr w:type="spellStart"/>
      <w:r w:rsidRPr="00B1089D">
        <w:t>significant</w:t>
      </w:r>
      <w:proofErr w:type="spellEnd"/>
      <w:r w:rsidRPr="00B1089D">
        <w:t xml:space="preserve"> </w:t>
      </w:r>
      <w:proofErr w:type="spellStart"/>
      <w:r w:rsidRPr="00B1089D">
        <w:t>difference</w:t>
      </w:r>
      <w:proofErr w:type="spellEnd"/>
      <w:r w:rsidRPr="00B1089D">
        <w:t xml:space="preserve"> </w:t>
      </w:r>
      <w:proofErr w:type="spellStart"/>
      <w:r w:rsidRPr="00B1089D">
        <w:t>across</w:t>
      </w:r>
      <w:proofErr w:type="spellEnd"/>
      <w:r w:rsidRPr="00B1089D">
        <w:t xml:space="preserve"> </w:t>
      </w:r>
      <w:proofErr w:type="spellStart"/>
      <w:r w:rsidRPr="00B1089D">
        <w:t>nations</w:t>
      </w:r>
      <w:proofErr w:type="spellEnd"/>
      <w:r w:rsidRPr="00B1089D">
        <w:t>—</w:t>
      </w:r>
      <w:proofErr w:type="spellStart"/>
      <w:r w:rsidRPr="00B1089D">
        <w:t>or</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variances</w:t>
      </w:r>
      <w:proofErr w:type="spellEnd"/>
      <w:r w:rsidRPr="00B1089D">
        <w:t xml:space="preserve"> </w:t>
      </w:r>
      <w:proofErr w:type="spellStart"/>
      <w:r w:rsidRPr="00B1089D">
        <w:t>across</w:t>
      </w:r>
      <w:proofErr w:type="spellEnd"/>
      <w:r w:rsidRPr="00B1089D">
        <w:t xml:space="preserve"> </w:t>
      </w:r>
      <w:proofErr w:type="spellStart"/>
      <w:r w:rsidRPr="00B1089D">
        <w:t>countries</w:t>
      </w:r>
      <w:proofErr w:type="spellEnd"/>
      <w:r w:rsidRPr="00B1089D">
        <w:t xml:space="preserve"> </w:t>
      </w:r>
      <w:proofErr w:type="spellStart"/>
      <w:r w:rsidRPr="00B1089D">
        <w:t>are</w:t>
      </w:r>
      <w:proofErr w:type="spellEnd"/>
      <w:r w:rsidRPr="00B1089D">
        <w:t xml:space="preserve"> </w:t>
      </w:r>
      <w:proofErr w:type="spellStart"/>
      <w:r w:rsidRPr="00B1089D">
        <w:t>equal</w:t>
      </w:r>
      <w:proofErr w:type="spellEnd"/>
      <w:r w:rsidRPr="00B1089D">
        <w:t xml:space="preserve"> </w:t>
      </w:r>
      <w:proofErr w:type="spellStart"/>
      <w:r w:rsidRPr="00B1089D">
        <w:t>to</w:t>
      </w:r>
      <w:proofErr w:type="spellEnd"/>
      <w:r w:rsidRPr="00B1089D">
        <w:t xml:space="preserve"> </w:t>
      </w:r>
      <w:proofErr w:type="spellStart"/>
      <w:r w:rsidRPr="00B1089D">
        <w:t>zero</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case</w:t>
      </w:r>
      <w:proofErr w:type="spellEnd"/>
      <w:r w:rsidRPr="00B1089D">
        <w:t xml:space="preserve">, </w:t>
      </w:r>
      <w:proofErr w:type="spellStart"/>
      <w:r w:rsidRPr="00B1089D">
        <w:t>the</w:t>
      </w:r>
      <w:proofErr w:type="spellEnd"/>
      <w:r w:rsidRPr="00B1089D">
        <w:t xml:space="preserve"> </w:t>
      </w:r>
      <w:proofErr w:type="spellStart"/>
      <w:r w:rsidRPr="00B1089D">
        <w:t>significance</w:t>
      </w:r>
      <w:proofErr w:type="spellEnd"/>
      <w:r w:rsidRPr="00B1089D">
        <w:t xml:space="preserve"> of </w:t>
      </w:r>
      <w:proofErr w:type="spellStart"/>
      <w:r w:rsidRPr="00B1089D">
        <w:t>the</w:t>
      </w:r>
      <w:proofErr w:type="spellEnd"/>
      <w:r w:rsidRPr="00B1089D">
        <w:t xml:space="preserve"> </w:t>
      </w:r>
      <w:proofErr w:type="spellStart"/>
      <w:r w:rsidRPr="00B1089D">
        <w:t>Chi-square</w:t>
      </w:r>
      <w:proofErr w:type="spellEnd"/>
      <w:r w:rsidRPr="00B1089D">
        <w:t xml:space="preserve"> </w:t>
      </w:r>
      <w:proofErr w:type="spellStart"/>
      <w:r w:rsidRPr="00B1089D">
        <w:t>denotes</w:t>
      </w:r>
      <w:proofErr w:type="spellEnd"/>
      <w:r w:rsidRPr="00B1089D">
        <w:t xml:space="preserve"> </w:t>
      </w:r>
      <w:proofErr w:type="spellStart"/>
      <w:r w:rsidRPr="00B1089D">
        <w:t>the</w:t>
      </w:r>
      <w:proofErr w:type="spellEnd"/>
      <w:r w:rsidRPr="00B1089D">
        <w:t xml:space="preserve"> </w:t>
      </w:r>
      <w:proofErr w:type="spellStart"/>
      <w:r w:rsidRPr="00B1089D">
        <w:t>existence</w:t>
      </w:r>
      <w:proofErr w:type="spellEnd"/>
      <w:r w:rsidRPr="00B1089D">
        <w:t xml:space="preserve"> of panel </w:t>
      </w:r>
      <w:proofErr w:type="spellStart"/>
      <w:r w:rsidRPr="00B1089D">
        <w:t>effects</w:t>
      </w:r>
      <w:proofErr w:type="spellEnd"/>
      <w:r w:rsidRPr="00B1089D">
        <w:t xml:space="preserve"> (</w:t>
      </w:r>
      <w:proofErr w:type="spellStart"/>
      <w:r w:rsidRPr="00B1089D">
        <w:t>fixed</w:t>
      </w:r>
      <w:proofErr w:type="spellEnd"/>
      <w:r w:rsidRPr="00B1089D">
        <w:t xml:space="preserve"> </w:t>
      </w:r>
      <w:proofErr w:type="spellStart"/>
      <w:r w:rsidRPr="00B1089D">
        <w:t>or</w:t>
      </w:r>
      <w:proofErr w:type="spellEnd"/>
      <w:r w:rsidRPr="00B1089D">
        <w:t xml:space="preserve"> </w:t>
      </w:r>
      <w:proofErr w:type="spellStart"/>
      <w:r w:rsidRPr="00B1089D">
        <w:t>random</w:t>
      </w:r>
      <w:proofErr w:type="spellEnd"/>
      <w:r w:rsidRPr="00B1089D">
        <w:t xml:space="preserve">). Test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the</w:t>
      </w:r>
      <w:proofErr w:type="spellEnd"/>
      <w:r w:rsidRPr="00B1089D">
        <w:t xml:space="preserve"> </w:t>
      </w:r>
      <w:proofErr w:type="spellStart"/>
      <w:r w:rsidRPr="00B1089D">
        <w:t>Breusch</w:t>
      </w:r>
      <w:proofErr w:type="spellEnd"/>
      <w:r w:rsidRPr="00B1089D">
        <w:t xml:space="preserve">-Pagan Lagrange </w:t>
      </w:r>
      <w:proofErr w:type="spellStart"/>
      <w:r w:rsidRPr="00B1089D">
        <w:t>Multiplier</w:t>
      </w:r>
      <w:proofErr w:type="spellEnd"/>
      <w:r w:rsidRPr="00B1089D">
        <w:t xml:space="preserve"> </w:t>
      </w:r>
      <w:proofErr w:type="spellStart"/>
      <w:r w:rsidRPr="00B1089D">
        <w:t>are</w:t>
      </w:r>
      <w:proofErr w:type="spellEnd"/>
      <w:r w:rsidRPr="00B1089D">
        <w:t xml:space="preserve"> </w:t>
      </w:r>
      <w:proofErr w:type="spellStart"/>
      <w:r w:rsidRPr="00B1089D">
        <w:t>given</w:t>
      </w:r>
      <w:proofErr w:type="spellEnd"/>
      <w:r w:rsidRPr="00B1089D">
        <w:t xml:space="preserve"> in </w:t>
      </w:r>
      <w:proofErr w:type="spellStart"/>
      <w:r w:rsidRPr="00B1089D">
        <w:t>Table</w:t>
      </w:r>
      <w:proofErr w:type="spellEnd"/>
      <w:r w:rsidRPr="00B1089D">
        <w:t xml:space="preserve"> 6. </w:t>
      </w:r>
      <w:proofErr w:type="spellStart"/>
      <w:r w:rsidRPr="00B1089D">
        <w:t>The</w:t>
      </w:r>
      <w:proofErr w:type="spellEnd"/>
      <w:r w:rsidRPr="00B1089D">
        <w:t xml:space="preserve"> LM test </w:t>
      </w:r>
      <w:proofErr w:type="spellStart"/>
      <w:r w:rsidRPr="00B1089D">
        <w:t>results</w:t>
      </w:r>
      <w:proofErr w:type="spellEnd"/>
      <w:r w:rsidRPr="00B1089D">
        <w:t xml:space="preserve"> </w:t>
      </w:r>
      <w:proofErr w:type="spellStart"/>
      <w:r w:rsidRPr="00B1089D">
        <w:t>conclude</w:t>
      </w:r>
      <w:proofErr w:type="spellEnd"/>
      <w:r w:rsidRPr="00B1089D">
        <w:t xml:space="preserve"> </w:t>
      </w:r>
      <w:proofErr w:type="spellStart"/>
      <w:r w:rsidRPr="00B1089D">
        <w:t>that</w:t>
      </w:r>
      <w:proofErr w:type="spellEnd"/>
      <w:r w:rsidRPr="00B1089D">
        <w:t xml:space="preserve"> </w:t>
      </w:r>
      <w:proofErr w:type="spellStart"/>
      <w:r w:rsidRPr="00B1089D">
        <w:t>there</w:t>
      </w:r>
      <w:proofErr w:type="spellEnd"/>
      <w:r w:rsidRPr="00B1089D">
        <w:t xml:space="preserve"> is </w:t>
      </w:r>
      <w:proofErr w:type="spellStart"/>
      <w:r w:rsidRPr="00B1089D">
        <w:t>heteroscedasticity</w:t>
      </w:r>
      <w:proofErr w:type="spellEnd"/>
      <w:r w:rsidRPr="00B1089D">
        <w:t xml:space="preserve"> in </w:t>
      </w:r>
      <w:proofErr w:type="spellStart"/>
      <w:r w:rsidRPr="00B1089D">
        <w:t>the</w:t>
      </w:r>
      <w:proofErr w:type="spellEnd"/>
      <w:r w:rsidRPr="00B1089D">
        <w:t xml:space="preserve"> model.</w:t>
      </w:r>
    </w:p>
    <w:p w14:paraId="6D7CA28F" w14:textId="77777777" w:rsidR="00FA457D" w:rsidRPr="00B1089D" w:rsidRDefault="00FA457D" w:rsidP="00E359E0">
      <w:pPr>
        <w:widowControl/>
        <w:jc w:val="both"/>
      </w:pPr>
      <w:proofErr w:type="spellStart"/>
      <w:r w:rsidRPr="00B1089D">
        <w:rPr>
          <w:b/>
          <w:bCs/>
        </w:rPr>
        <w:t>Table</w:t>
      </w:r>
      <w:proofErr w:type="spellEnd"/>
      <w:r w:rsidRPr="00B1089D">
        <w:rPr>
          <w:b/>
          <w:bCs/>
        </w:rPr>
        <w:t xml:space="preserve"> 6.</w:t>
      </w:r>
      <w:r w:rsidRPr="00B1089D">
        <w:t xml:space="preserve"> Test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Selection</w:t>
      </w:r>
      <w:proofErr w:type="spellEnd"/>
      <w:r w:rsidRPr="00B1089D">
        <w:t xml:space="preserve"> of Panel Data </w:t>
      </w:r>
      <w:proofErr w:type="spellStart"/>
      <w:r w:rsidRPr="00B1089D">
        <w:t>Estimation</w:t>
      </w:r>
      <w:proofErr w:type="spellEnd"/>
      <w:r w:rsidRPr="00B1089D">
        <w:t xml:space="preserve"> </w:t>
      </w:r>
      <w:proofErr w:type="spellStart"/>
      <w:r w:rsidRPr="00B1089D">
        <w:t>Technique</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1935"/>
        <w:gridCol w:w="1575"/>
        <w:gridCol w:w="1739"/>
        <w:gridCol w:w="1966"/>
        <w:gridCol w:w="1845"/>
      </w:tblGrid>
      <w:tr w:rsidR="00FA457D" w:rsidRPr="00B1089D" w14:paraId="11B35D9F" w14:textId="77777777" w:rsidTr="000610DA">
        <w:trPr>
          <w:trHeight w:val="46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752AB4" w14:textId="77777777" w:rsidR="00FA457D" w:rsidRPr="00B1089D" w:rsidRDefault="00FA457D" w:rsidP="000610DA">
            <w:pPr>
              <w:widowControl/>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424D0" w14:textId="77777777" w:rsidR="00FA457D" w:rsidRPr="00B1089D" w:rsidRDefault="00FA457D" w:rsidP="000610DA">
            <w:pPr>
              <w:widowControl/>
            </w:pPr>
            <w:proofErr w:type="spellStart"/>
            <w:r w:rsidRPr="00B1089D">
              <w:rPr>
                <w:b/>
                <w:bCs/>
              </w:rPr>
              <w:t>All</w:t>
            </w:r>
            <w:proofErr w:type="spellEnd"/>
            <w:r w:rsidRPr="00B1089D">
              <w:rPr>
                <w:b/>
                <w:bCs/>
              </w:rPr>
              <w:t xml:space="preserve"> </w:t>
            </w:r>
            <w:proofErr w:type="spellStart"/>
            <w:r w:rsidRPr="00B1089D">
              <w:rPr>
                <w:b/>
                <w:bCs/>
              </w:rPr>
              <w:t>Countries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52F35" w14:textId="77777777" w:rsidR="00FA457D" w:rsidRPr="00B1089D" w:rsidRDefault="00FA457D" w:rsidP="000610DA">
            <w:pPr>
              <w:widowControl/>
            </w:pPr>
            <w:proofErr w:type="spellStart"/>
            <w:r w:rsidRPr="00B1089D">
              <w:rPr>
                <w:b/>
                <w:bCs/>
              </w:rPr>
              <w:t>European</w:t>
            </w:r>
            <w:proofErr w:type="spellEnd"/>
            <w:r w:rsidRPr="00B1089D">
              <w:rPr>
                <w:b/>
                <w:bCs/>
              </w:rPr>
              <w:t xml:space="preserve"> RSC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60D074" w14:textId="77777777" w:rsidR="00FA457D" w:rsidRPr="00B1089D" w:rsidRDefault="00FA457D" w:rsidP="000610DA">
            <w:pPr>
              <w:widowControl/>
            </w:pPr>
            <w:proofErr w:type="spellStart"/>
            <w:r w:rsidRPr="00B1089D">
              <w:rPr>
                <w:b/>
                <w:bCs/>
              </w:rPr>
              <w:t>Middle</w:t>
            </w:r>
            <w:proofErr w:type="spellEnd"/>
            <w:r w:rsidRPr="00B1089D">
              <w:rPr>
                <w:b/>
                <w:bCs/>
              </w:rPr>
              <w:t>-East RSC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29E7ED" w14:textId="77777777" w:rsidR="00FA457D" w:rsidRPr="00B1089D" w:rsidRDefault="00FA457D" w:rsidP="000610DA">
            <w:pPr>
              <w:widowControl/>
            </w:pPr>
            <w:r w:rsidRPr="00B1089D">
              <w:rPr>
                <w:b/>
                <w:bCs/>
              </w:rPr>
              <w:t>Post-</w:t>
            </w:r>
            <w:proofErr w:type="spellStart"/>
            <w:r w:rsidRPr="00B1089D">
              <w:rPr>
                <w:b/>
                <w:bCs/>
              </w:rPr>
              <w:t>Soviet</w:t>
            </w:r>
            <w:proofErr w:type="spellEnd"/>
            <w:r w:rsidRPr="00B1089D">
              <w:rPr>
                <w:b/>
                <w:bCs/>
              </w:rPr>
              <w:t xml:space="preserve"> RSC</w:t>
            </w:r>
          </w:p>
        </w:tc>
      </w:tr>
      <w:tr w:rsidR="00FA457D" w:rsidRPr="00B1089D" w14:paraId="176F0B02" w14:textId="77777777" w:rsidTr="000610DA">
        <w:trPr>
          <w:trHeight w:val="464"/>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1B4D3E" w14:textId="77777777" w:rsidR="00FA457D" w:rsidRPr="00B1089D" w:rsidRDefault="00FA457D" w:rsidP="000610DA">
            <w:pPr>
              <w:widowControl/>
            </w:pPr>
            <w:proofErr w:type="spellStart"/>
            <w:r w:rsidRPr="00B1089D">
              <w:rPr>
                <w:b/>
                <w:bCs/>
              </w:rPr>
              <w:t>Breusch</w:t>
            </w:r>
            <w:proofErr w:type="spellEnd"/>
            <w:r w:rsidRPr="00B1089D">
              <w:rPr>
                <w:b/>
                <w:bCs/>
              </w:rPr>
              <w:t xml:space="preserve">-Pagan Lagrange </w:t>
            </w:r>
            <w:proofErr w:type="spellStart"/>
            <w:r w:rsidRPr="00B1089D">
              <w:rPr>
                <w:b/>
                <w:bCs/>
              </w:rPr>
              <w:t>Multiplier</w:t>
            </w:r>
            <w:proofErr w:type="spellEnd"/>
            <w:r w:rsidRPr="00B1089D">
              <w:rPr>
                <w:b/>
                <w:bCs/>
              </w:rPr>
              <w:t xml:space="preserve"> (LM), H0: No panel </w:t>
            </w:r>
            <w:proofErr w:type="spellStart"/>
            <w:r w:rsidRPr="00B1089D">
              <w:rPr>
                <w:b/>
                <w:bCs/>
              </w:rPr>
              <w:t>effect</w:t>
            </w:r>
            <w:proofErr w:type="spellEnd"/>
          </w:p>
        </w:tc>
      </w:tr>
      <w:tr w:rsidR="00FA457D" w:rsidRPr="00B1089D" w14:paraId="3E441161" w14:textId="77777777" w:rsidTr="000610DA">
        <w:trPr>
          <w:trHeight w:val="46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060A25" w14:textId="77777777" w:rsidR="00FA457D" w:rsidRPr="00B1089D" w:rsidRDefault="00FA457D" w:rsidP="000610DA">
            <w:pPr>
              <w:widowControl/>
            </w:pPr>
            <w:proofErr w:type="spellStart"/>
            <w:r w:rsidRPr="00B1089D">
              <w:rPr>
                <w:b/>
                <w:bCs/>
              </w:rPr>
              <w:lastRenderedPageBreak/>
              <w:t>Chi</w:t>
            </w:r>
            <w:proofErr w:type="spellEnd"/>
            <w:r w:rsidRPr="00B1089D">
              <w:rPr>
                <w:b/>
                <w:bCs/>
              </w:rPr>
              <w:t xml:space="preserve"> </w:t>
            </w:r>
            <w:proofErr w:type="spellStart"/>
            <w:r w:rsidRPr="00B1089D">
              <w:rPr>
                <w:b/>
                <w:bCs/>
              </w:rPr>
              <w:t>Square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FECAE" w14:textId="77777777" w:rsidR="00FA457D" w:rsidRPr="00B1089D" w:rsidRDefault="00FA457D" w:rsidP="000610DA">
            <w:pPr>
              <w:widowControl/>
            </w:pPr>
            <w:r w:rsidRPr="00B1089D">
              <w:t>4534.99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E7B4BE" w14:textId="77777777" w:rsidR="00FA457D" w:rsidRPr="00B1089D" w:rsidRDefault="00FA457D" w:rsidP="000610DA">
            <w:pPr>
              <w:widowControl/>
            </w:pPr>
            <w:r w:rsidRPr="00B1089D">
              <w:t>2626.81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0D954C" w14:textId="77777777" w:rsidR="00FA457D" w:rsidRPr="00B1089D" w:rsidRDefault="00FA457D" w:rsidP="000610DA">
            <w:pPr>
              <w:widowControl/>
            </w:pPr>
            <w:r w:rsidRPr="00B1089D">
              <w:t>822.03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2547E5" w14:textId="77777777" w:rsidR="00FA457D" w:rsidRPr="00B1089D" w:rsidRDefault="00FA457D" w:rsidP="000610DA">
            <w:pPr>
              <w:widowControl/>
            </w:pPr>
            <w:r w:rsidRPr="00B1089D">
              <w:t>789.39</w:t>
            </w:r>
          </w:p>
        </w:tc>
      </w:tr>
      <w:tr w:rsidR="00FA457D" w:rsidRPr="00B1089D" w14:paraId="271A9E69" w14:textId="77777777" w:rsidTr="000610DA">
        <w:trPr>
          <w:trHeight w:val="46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5B9360" w14:textId="77777777" w:rsidR="00FA457D" w:rsidRPr="00B1089D" w:rsidRDefault="00FA457D" w:rsidP="000610DA">
            <w:pPr>
              <w:widowControl/>
            </w:pPr>
            <w:proofErr w:type="gramStart"/>
            <w:r w:rsidRPr="00B1089D">
              <w:rPr>
                <w:b/>
                <w:bCs/>
              </w:rPr>
              <w:t>p</w:t>
            </w:r>
            <w:proofErr w:type="gramEnd"/>
            <w:r w:rsidRPr="00B1089D">
              <w:rPr>
                <w:b/>
                <w:bCs/>
              </w:rPr>
              <w:t>-</w:t>
            </w:r>
            <w:proofErr w:type="spellStart"/>
            <w:r w:rsidRPr="00B1089D">
              <w:rPr>
                <w:b/>
                <w:bCs/>
              </w:rPr>
              <w:t>value</w:t>
            </w:r>
            <w:proofErr w:type="spellEnd"/>
            <w:r w:rsidRPr="00B1089D">
              <w:rPr>
                <w:b/>
                <w:bCs/>
              </w:rPr>
              <w:t xml:space="preserve"> &gt; 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319B3F"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DA3C5"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2074EA"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31FF43" w14:textId="77777777" w:rsidR="00FA457D" w:rsidRPr="00B1089D" w:rsidRDefault="00FA457D" w:rsidP="000610DA">
            <w:pPr>
              <w:widowControl/>
            </w:pPr>
            <w:r w:rsidRPr="00B1089D">
              <w:t>0.0000</w:t>
            </w:r>
          </w:p>
        </w:tc>
      </w:tr>
      <w:tr w:rsidR="00FA457D" w:rsidRPr="00B1089D" w14:paraId="6A0BE018" w14:textId="77777777" w:rsidTr="000610DA">
        <w:trPr>
          <w:trHeight w:val="464"/>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3BD94B" w14:textId="77777777" w:rsidR="00FA457D" w:rsidRPr="00B1089D" w:rsidRDefault="00FA457D" w:rsidP="000610DA">
            <w:pPr>
              <w:widowControl/>
            </w:pPr>
            <w:proofErr w:type="spellStart"/>
            <w:r w:rsidRPr="00B1089D">
              <w:rPr>
                <w:b/>
                <w:bCs/>
              </w:rPr>
              <w:t>Hausman</w:t>
            </w:r>
            <w:proofErr w:type="spellEnd"/>
            <w:r w:rsidRPr="00B1089D">
              <w:rPr>
                <w:b/>
                <w:bCs/>
              </w:rPr>
              <w:t xml:space="preserve"> Test, H0: </w:t>
            </w:r>
            <w:proofErr w:type="spellStart"/>
            <w:r w:rsidRPr="00B1089D">
              <w:rPr>
                <w:b/>
                <w:bCs/>
              </w:rPr>
              <w:t>Difference</w:t>
            </w:r>
            <w:proofErr w:type="spellEnd"/>
            <w:r w:rsidRPr="00B1089D">
              <w:rPr>
                <w:b/>
                <w:bCs/>
              </w:rPr>
              <w:t xml:space="preserve"> in </w:t>
            </w:r>
            <w:proofErr w:type="spellStart"/>
            <w:r w:rsidRPr="00B1089D">
              <w:rPr>
                <w:b/>
                <w:bCs/>
              </w:rPr>
              <w:t>coefficients</w:t>
            </w:r>
            <w:proofErr w:type="spellEnd"/>
            <w:r w:rsidRPr="00B1089D">
              <w:rPr>
                <w:b/>
                <w:bCs/>
              </w:rPr>
              <w:t xml:space="preserve"> is not </w:t>
            </w:r>
            <w:proofErr w:type="spellStart"/>
            <w:r w:rsidRPr="00B1089D">
              <w:rPr>
                <w:b/>
                <w:bCs/>
              </w:rPr>
              <w:t>systematic</w:t>
            </w:r>
            <w:proofErr w:type="spellEnd"/>
          </w:p>
        </w:tc>
      </w:tr>
      <w:tr w:rsidR="00FA457D" w:rsidRPr="00B1089D" w14:paraId="7944DDD4" w14:textId="77777777" w:rsidTr="000610DA">
        <w:trPr>
          <w:trHeight w:val="46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A0EE5B" w14:textId="77777777" w:rsidR="00FA457D" w:rsidRPr="00B1089D" w:rsidRDefault="00FA457D" w:rsidP="000610DA">
            <w:pPr>
              <w:widowControl/>
            </w:pPr>
            <w:proofErr w:type="spellStart"/>
            <w:r w:rsidRPr="00B1089D">
              <w:rPr>
                <w:b/>
                <w:bCs/>
              </w:rPr>
              <w:t>Chi</w:t>
            </w:r>
            <w:proofErr w:type="spellEnd"/>
            <w:r w:rsidRPr="00B1089D">
              <w:rPr>
                <w:b/>
                <w:bCs/>
              </w:rPr>
              <w:t xml:space="preserve"> </w:t>
            </w:r>
            <w:proofErr w:type="spellStart"/>
            <w:r w:rsidRPr="00B1089D">
              <w:rPr>
                <w:b/>
                <w:bCs/>
              </w:rPr>
              <w:t>Square</w:t>
            </w:r>
            <w:proofErr w:type="spellEnd"/>
            <w:r w:rsidRPr="00B1089D">
              <w:rPr>
                <w:b/>
                <w:bCs/>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E4F9A5" w14:textId="77777777" w:rsidR="00FA457D" w:rsidRPr="00B1089D" w:rsidRDefault="00FA457D" w:rsidP="000610DA">
            <w:pPr>
              <w:widowControl/>
            </w:pPr>
            <w:r w:rsidRPr="00B1089D">
              <w:t>20.43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49E796" w14:textId="77777777" w:rsidR="00FA457D" w:rsidRPr="00B1089D" w:rsidRDefault="00FA457D" w:rsidP="000610DA">
            <w:pPr>
              <w:widowControl/>
            </w:pPr>
            <w:r w:rsidRPr="00B1089D">
              <w:t>29.21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464B9E" w14:textId="77777777" w:rsidR="00FA457D" w:rsidRPr="00B1089D" w:rsidRDefault="00FA457D" w:rsidP="000610DA">
            <w:pPr>
              <w:widowControl/>
            </w:pPr>
            <w:r w:rsidRPr="00B1089D">
              <w:t>20.45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CFDC58" w14:textId="77777777" w:rsidR="00FA457D" w:rsidRPr="00B1089D" w:rsidRDefault="00FA457D" w:rsidP="000610DA">
            <w:pPr>
              <w:widowControl/>
            </w:pPr>
            <w:r w:rsidRPr="00B1089D">
              <w:t>11.29</w:t>
            </w:r>
          </w:p>
        </w:tc>
      </w:tr>
      <w:tr w:rsidR="00FA457D" w:rsidRPr="00B1089D" w14:paraId="6723B6C5" w14:textId="77777777" w:rsidTr="000610DA">
        <w:trPr>
          <w:trHeight w:val="46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FF0141" w14:textId="77777777" w:rsidR="00FA457D" w:rsidRPr="00B1089D" w:rsidRDefault="00FA457D" w:rsidP="000610DA">
            <w:pPr>
              <w:widowControl/>
            </w:pPr>
            <w:proofErr w:type="gramStart"/>
            <w:r w:rsidRPr="00B1089D">
              <w:rPr>
                <w:b/>
                <w:bCs/>
              </w:rPr>
              <w:t>p</w:t>
            </w:r>
            <w:proofErr w:type="gramEnd"/>
            <w:r w:rsidRPr="00B1089D">
              <w:rPr>
                <w:b/>
                <w:bCs/>
              </w:rPr>
              <w:t>-</w:t>
            </w:r>
            <w:proofErr w:type="spellStart"/>
            <w:r w:rsidRPr="00B1089D">
              <w:rPr>
                <w:b/>
                <w:bCs/>
              </w:rPr>
              <w:t>value</w:t>
            </w:r>
            <w:proofErr w:type="spellEnd"/>
            <w:r w:rsidRPr="00B1089D">
              <w:rPr>
                <w:b/>
                <w:bCs/>
              </w:rPr>
              <w:t xml:space="preserve"> &gt; </w:t>
            </w:r>
            <w:proofErr w:type="spellStart"/>
            <w:r w:rsidRPr="00B1089D">
              <w:rPr>
                <w:b/>
                <w:bCs/>
              </w:rPr>
              <w:t>Chi</w:t>
            </w:r>
            <w:proofErr w:type="spellEnd"/>
            <w:r w:rsidRPr="00B1089D">
              <w:rPr>
                <w:b/>
                <w:bCs/>
              </w:rPr>
              <w:t xml:space="preserve"> </w:t>
            </w:r>
            <w:proofErr w:type="spellStart"/>
            <w:r w:rsidRPr="00B1089D">
              <w:rPr>
                <w:b/>
                <w:bCs/>
              </w:rPr>
              <w:t>Sq</w:t>
            </w:r>
            <w:proofErr w:type="spellEnd"/>
            <w:r w:rsidRPr="00B1089D">
              <w:rPr>
                <w:b/>
                <w:bC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E0028B" w14:textId="77777777" w:rsidR="00FA457D" w:rsidRPr="00B1089D" w:rsidRDefault="00FA457D" w:rsidP="000610DA">
            <w:pPr>
              <w:widowControl/>
            </w:pPr>
            <w:r w:rsidRPr="00B1089D">
              <w:t>0.0001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CE3F80"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66E365" w14:textId="77777777" w:rsidR="00FA457D" w:rsidRPr="00B1089D" w:rsidRDefault="00FA457D" w:rsidP="000610DA">
            <w:pPr>
              <w:widowControl/>
            </w:pPr>
            <w:r w:rsidRPr="00B1089D">
              <w:t>0.0001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2E87FC" w14:textId="77777777" w:rsidR="00FA457D" w:rsidRPr="00B1089D" w:rsidRDefault="00FA457D" w:rsidP="000610DA">
            <w:pPr>
              <w:widowControl/>
            </w:pPr>
            <w:r w:rsidRPr="00B1089D">
              <w:t>0.0103</w:t>
            </w:r>
          </w:p>
        </w:tc>
      </w:tr>
    </w:tbl>
    <w:p w14:paraId="602796E1" w14:textId="77777777" w:rsidR="00FA457D" w:rsidRPr="00B1089D" w:rsidRDefault="00FA457D" w:rsidP="00E359E0">
      <w:pPr>
        <w:widowControl/>
        <w:jc w:val="both"/>
      </w:pPr>
      <w:r w:rsidRPr="00B1089D">
        <w:t xml:space="preserve">Source: </w:t>
      </w:r>
      <w:proofErr w:type="spellStart"/>
      <w:r w:rsidRPr="00B1089D">
        <w:t>Author’s</w:t>
      </w:r>
      <w:proofErr w:type="spellEnd"/>
      <w:r w:rsidRPr="00B1089D">
        <w:t xml:space="preserve"> </w:t>
      </w:r>
      <w:proofErr w:type="spellStart"/>
      <w:r w:rsidRPr="00B1089D">
        <w:t>calculation</w:t>
      </w:r>
      <w:proofErr w:type="spellEnd"/>
    </w:p>
    <w:p w14:paraId="69D4247B" w14:textId="77777777"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Hausman</w:t>
      </w:r>
      <w:proofErr w:type="spellEnd"/>
      <w:r w:rsidRPr="00B1089D">
        <w:t xml:space="preserve"> Test, </w:t>
      </w:r>
      <w:proofErr w:type="spellStart"/>
      <w:r w:rsidRPr="00B1089D">
        <w:t>the</w:t>
      </w:r>
      <w:proofErr w:type="spellEnd"/>
      <w:r w:rsidRPr="00B1089D">
        <w:t xml:space="preserve"> </w:t>
      </w:r>
      <w:proofErr w:type="spellStart"/>
      <w:r w:rsidRPr="00B1089D">
        <w:t>second</w:t>
      </w:r>
      <w:proofErr w:type="spellEnd"/>
      <w:r w:rsidRPr="00B1089D">
        <w:t xml:space="preserve"> post-</w:t>
      </w:r>
      <w:proofErr w:type="spellStart"/>
      <w:r w:rsidRPr="00B1089D">
        <w:t>estimation</w:t>
      </w:r>
      <w:proofErr w:type="spellEnd"/>
      <w:r w:rsidRPr="00B1089D">
        <w:t xml:space="preserve"> test, </w:t>
      </w:r>
      <w:proofErr w:type="spellStart"/>
      <w:r w:rsidRPr="00B1089D">
        <w:t>allows</w:t>
      </w:r>
      <w:proofErr w:type="spellEnd"/>
      <w:r w:rsidRPr="00B1089D">
        <w:t xml:space="preserve"> </w:t>
      </w:r>
      <w:proofErr w:type="spellStart"/>
      <w:r w:rsidRPr="00B1089D">
        <w:t>the</w:t>
      </w:r>
      <w:proofErr w:type="spellEnd"/>
      <w:r w:rsidRPr="00B1089D">
        <w:t xml:space="preserve"> user </w:t>
      </w:r>
      <w:proofErr w:type="spellStart"/>
      <w:r w:rsidRPr="00B1089D">
        <w:t>to</w:t>
      </w:r>
      <w:proofErr w:type="spellEnd"/>
      <w:r w:rsidRPr="00B1089D">
        <w:t xml:space="preserve"> </w:t>
      </w:r>
      <w:proofErr w:type="spellStart"/>
      <w:r w:rsidRPr="00B1089D">
        <w:t>select</w:t>
      </w:r>
      <w:proofErr w:type="spellEnd"/>
      <w:r w:rsidRPr="00B1089D">
        <w:t xml:space="preserve"> a </w:t>
      </w:r>
      <w:proofErr w:type="spellStart"/>
      <w:r w:rsidRPr="00B1089D">
        <w:t>random</w:t>
      </w:r>
      <w:proofErr w:type="spellEnd"/>
      <w:r w:rsidRPr="00B1089D">
        <w:t xml:space="preserve"> </w:t>
      </w:r>
      <w:proofErr w:type="spellStart"/>
      <w:r w:rsidRPr="00B1089D">
        <w:t>or</w:t>
      </w:r>
      <w:proofErr w:type="spellEnd"/>
      <w:r w:rsidRPr="00B1089D">
        <w:t xml:space="preserve"> </w:t>
      </w:r>
      <w:proofErr w:type="spellStart"/>
      <w:r w:rsidRPr="00B1089D">
        <w:t>fixed</w:t>
      </w:r>
      <w:proofErr w:type="spellEnd"/>
      <w:r w:rsidRPr="00B1089D">
        <w:t xml:space="preserve"> </w:t>
      </w:r>
      <w:proofErr w:type="spellStart"/>
      <w:r w:rsidRPr="00B1089D">
        <w:t>effects</w:t>
      </w:r>
      <w:proofErr w:type="spellEnd"/>
      <w:r w:rsidRPr="00B1089D">
        <w:t xml:space="preserve"> model.  </w:t>
      </w:r>
      <w:proofErr w:type="spellStart"/>
      <w:r w:rsidRPr="00B1089D">
        <w:t>Both</w:t>
      </w:r>
      <w:proofErr w:type="spellEnd"/>
      <w:r w:rsidRPr="00B1089D">
        <w:t xml:space="preserve"> </w:t>
      </w:r>
      <w:proofErr w:type="spellStart"/>
      <w:r w:rsidRPr="00B1089D">
        <w:t>methodologies</w:t>
      </w:r>
      <w:proofErr w:type="spellEnd"/>
      <w:r w:rsidRPr="00B1089D">
        <w:t xml:space="preserve">' </w:t>
      </w:r>
      <w:proofErr w:type="spellStart"/>
      <w:r w:rsidRPr="00B1089D">
        <w:t>outcomes</w:t>
      </w:r>
      <w:proofErr w:type="spellEnd"/>
      <w:r w:rsidRPr="00B1089D">
        <w:t xml:space="preserve"> </w:t>
      </w:r>
      <w:proofErr w:type="spellStart"/>
      <w:r w:rsidRPr="00B1089D">
        <w:t>have</w:t>
      </w:r>
      <w:proofErr w:type="spellEnd"/>
      <w:r w:rsidRPr="00B1089D">
        <w:t xml:space="preserve"> </w:t>
      </w:r>
      <w:proofErr w:type="spellStart"/>
      <w:r w:rsidRPr="00B1089D">
        <w:t>been</w:t>
      </w:r>
      <w:proofErr w:type="spellEnd"/>
      <w:r w:rsidRPr="00B1089D">
        <w:t xml:space="preserve"> </w:t>
      </w:r>
      <w:proofErr w:type="spellStart"/>
      <w:r w:rsidRPr="00B1089D">
        <w:t>estimated</w:t>
      </w:r>
      <w:proofErr w:type="spellEnd"/>
      <w:r w:rsidRPr="00B1089D">
        <w:t xml:space="preserve"> </w:t>
      </w:r>
      <w:proofErr w:type="spellStart"/>
      <w:r w:rsidRPr="00B1089D">
        <w:t>before</w:t>
      </w:r>
      <w:proofErr w:type="spellEnd"/>
      <w:r w:rsidRPr="00B1089D">
        <w:t xml:space="preserve"> </w:t>
      </w:r>
      <w:proofErr w:type="spellStart"/>
      <w:r w:rsidRPr="00B1089D">
        <w:t>being</w:t>
      </w:r>
      <w:proofErr w:type="spellEnd"/>
      <w:r w:rsidRPr="00B1089D">
        <w:t xml:space="preserve"> </w:t>
      </w:r>
      <w:proofErr w:type="spellStart"/>
      <w:r w:rsidRPr="00B1089D">
        <w:t>tested</w:t>
      </w:r>
      <w:proofErr w:type="spellEnd"/>
      <w:r w:rsidRPr="00B1089D">
        <w:t xml:space="preserve"> in </w:t>
      </w:r>
      <w:proofErr w:type="spellStart"/>
      <w:r w:rsidRPr="00B1089D">
        <w:t>this</w:t>
      </w:r>
      <w:proofErr w:type="spellEnd"/>
      <w:r w:rsidRPr="00B1089D">
        <w:t xml:space="preserve"> </w:t>
      </w:r>
      <w:proofErr w:type="spellStart"/>
      <w:r w:rsidRPr="00B1089D">
        <w:t>instance</w:t>
      </w:r>
      <w:proofErr w:type="spellEnd"/>
      <w:r w:rsidRPr="00B1089D">
        <w:t xml:space="preserve">. </w:t>
      </w:r>
      <w:proofErr w:type="spellStart"/>
      <w:r w:rsidRPr="00B1089D">
        <w:t>The</w:t>
      </w:r>
      <w:proofErr w:type="spellEnd"/>
      <w:r w:rsidRPr="00B1089D">
        <w:t xml:space="preserve"> test is </w:t>
      </w:r>
      <w:proofErr w:type="spellStart"/>
      <w:r w:rsidRPr="00B1089D">
        <w:t>significant</w:t>
      </w:r>
      <w:proofErr w:type="spellEnd"/>
      <w:r w:rsidRPr="00B1089D">
        <w:t xml:space="preserve">, </w:t>
      </w:r>
      <w:proofErr w:type="spellStart"/>
      <w:r w:rsidRPr="00B1089D">
        <w:t>and</w:t>
      </w:r>
      <w:proofErr w:type="spellEnd"/>
      <w:r w:rsidRPr="00B1089D">
        <w:t xml:space="preserve"> H0 is </w:t>
      </w:r>
      <w:proofErr w:type="spellStart"/>
      <w:r w:rsidRPr="00B1089D">
        <w:t>rejected</w:t>
      </w:r>
      <w:proofErr w:type="spellEnd"/>
      <w:r w:rsidRPr="00B1089D">
        <w:t xml:space="preserve"> </w:t>
      </w:r>
      <w:proofErr w:type="spellStart"/>
      <w:r w:rsidRPr="00B1089D">
        <w:t>if</w:t>
      </w:r>
      <w:proofErr w:type="spellEnd"/>
      <w:r w:rsidRPr="00B1089D">
        <w:t xml:space="preserve"> </w:t>
      </w:r>
      <w:proofErr w:type="spellStart"/>
      <w:r w:rsidRPr="00B1089D">
        <w:t>the</w:t>
      </w:r>
      <w:proofErr w:type="spellEnd"/>
      <w:r w:rsidRPr="00B1089D">
        <w:t xml:space="preserve"> </w:t>
      </w:r>
      <w:proofErr w:type="spellStart"/>
      <w:r w:rsidRPr="00B1089D">
        <w:t>probability</w:t>
      </w:r>
      <w:proofErr w:type="spellEnd"/>
      <w:r w:rsidRPr="00B1089D">
        <w:t xml:space="preserve"> </w:t>
      </w:r>
      <w:proofErr w:type="spellStart"/>
      <w:r w:rsidRPr="00B1089D">
        <w:t>value</w:t>
      </w:r>
      <w:proofErr w:type="spellEnd"/>
      <w:r w:rsidRPr="00B1089D">
        <w:t xml:space="preserve"> of </w:t>
      </w:r>
      <w:proofErr w:type="spellStart"/>
      <w:r w:rsidRPr="00B1089D">
        <w:t>Chi-square</w:t>
      </w:r>
      <w:proofErr w:type="spellEnd"/>
      <w:r w:rsidRPr="00B1089D">
        <w:t xml:space="preserve"> is </w:t>
      </w:r>
      <w:proofErr w:type="spellStart"/>
      <w:r w:rsidRPr="00B1089D">
        <w:t>less</w:t>
      </w:r>
      <w:proofErr w:type="spellEnd"/>
      <w:r w:rsidRPr="00B1089D">
        <w:t xml:space="preserve"> </w:t>
      </w:r>
      <w:proofErr w:type="spellStart"/>
      <w:r w:rsidRPr="00B1089D">
        <w:t>than</w:t>
      </w:r>
      <w:proofErr w:type="spellEnd"/>
      <w:r w:rsidRPr="00B1089D">
        <w:t xml:space="preserve"> 0.05, </w:t>
      </w:r>
      <w:proofErr w:type="spellStart"/>
      <w:r w:rsidRPr="00B1089D">
        <w:t>suggesting</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fixed</w:t>
      </w:r>
      <w:proofErr w:type="spellEnd"/>
      <w:r w:rsidRPr="00B1089D">
        <w:t xml:space="preserve"> (</w:t>
      </w:r>
      <w:proofErr w:type="spellStart"/>
      <w:r w:rsidRPr="00B1089D">
        <w:t>systematic</w:t>
      </w:r>
      <w:proofErr w:type="spellEnd"/>
      <w:r w:rsidRPr="00B1089D">
        <w:t xml:space="preserve">) </w:t>
      </w:r>
      <w:proofErr w:type="spellStart"/>
      <w:r w:rsidRPr="00B1089D">
        <w:t>effects</w:t>
      </w:r>
      <w:proofErr w:type="spellEnd"/>
      <w:r w:rsidRPr="00B1089D">
        <w:t xml:space="preserve"> model is a </w:t>
      </w:r>
      <w:proofErr w:type="spellStart"/>
      <w:r w:rsidRPr="00B1089D">
        <w:t>better</w:t>
      </w:r>
      <w:proofErr w:type="spellEnd"/>
      <w:r w:rsidRPr="00B1089D">
        <w:t xml:space="preserve"> fit. Test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the</w:t>
      </w:r>
      <w:proofErr w:type="spellEnd"/>
      <w:r w:rsidRPr="00B1089D">
        <w:t xml:space="preserve"> </w:t>
      </w:r>
      <w:proofErr w:type="spellStart"/>
      <w:r w:rsidRPr="00B1089D">
        <w:t>Hausman</w:t>
      </w:r>
      <w:proofErr w:type="spellEnd"/>
      <w:r w:rsidRPr="00B1089D">
        <w:t xml:space="preserve"> test </w:t>
      </w:r>
      <w:proofErr w:type="spellStart"/>
      <w:r w:rsidRPr="00B1089D">
        <w:t>are</w:t>
      </w:r>
      <w:proofErr w:type="spellEnd"/>
      <w:r w:rsidRPr="00B1089D">
        <w:t xml:space="preserve"> </w:t>
      </w:r>
      <w:proofErr w:type="spellStart"/>
      <w:r w:rsidRPr="00B1089D">
        <w:t>shown</w:t>
      </w:r>
      <w:proofErr w:type="spellEnd"/>
      <w:r w:rsidRPr="00B1089D">
        <w:t xml:space="preserve"> in </w:t>
      </w:r>
      <w:proofErr w:type="spellStart"/>
      <w:r w:rsidRPr="00B1089D">
        <w:t>Table</w:t>
      </w:r>
      <w:proofErr w:type="spellEnd"/>
      <w:r w:rsidRPr="00B1089D">
        <w:t xml:space="preserve"> 6.</w:t>
      </w:r>
    </w:p>
    <w:p w14:paraId="0A886E5C" w14:textId="4E9B4D5D"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Wooldridge</w:t>
      </w:r>
      <w:proofErr w:type="spellEnd"/>
      <w:r w:rsidRPr="00B1089D">
        <w:t xml:space="preserve"> Test </w:t>
      </w:r>
      <w:proofErr w:type="spellStart"/>
      <w:r w:rsidRPr="00B1089D">
        <w:t>for</w:t>
      </w:r>
      <w:proofErr w:type="spellEnd"/>
      <w:r w:rsidRPr="00B1089D">
        <w:t xml:space="preserve"> </w:t>
      </w:r>
      <w:proofErr w:type="spellStart"/>
      <w:r w:rsidRPr="00B1089D">
        <w:t>Serial</w:t>
      </w:r>
      <w:proofErr w:type="spellEnd"/>
      <w:r w:rsidRPr="00B1089D">
        <w:t xml:space="preserve"> </w:t>
      </w:r>
      <w:proofErr w:type="spellStart"/>
      <w:r w:rsidRPr="00B1089D">
        <w:t>Correlation</w:t>
      </w:r>
      <w:proofErr w:type="spellEnd"/>
      <w:r w:rsidRPr="00B1089D">
        <w:t xml:space="preserve"> is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ensure</w:t>
      </w:r>
      <w:proofErr w:type="spellEnd"/>
      <w:r w:rsidRPr="00B1089D">
        <w:t xml:space="preserve"> </w:t>
      </w:r>
      <w:proofErr w:type="spellStart"/>
      <w:r w:rsidRPr="00B1089D">
        <w:t>accuracy</w:t>
      </w:r>
      <w:proofErr w:type="spellEnd"/>
      <w:r w:rsidRPr="00B1089D">
        <w:t xml:space="preserve">. </w:t>
      </w:r>
      <w:proofErr w:type="spellStart"/>
      <w:r w:rsidRPr="00B1089D">
        <w:t>In</w:t>
      </w:r>
      <w:proofErr w:type="spellEnd"/>
      <w:r w:rsidRPr="00B1089D">
        <w:t xml:space="preserve"> </w:t>
      </w:r>
      <w:proofErr w:type="spellStart"/>
      <w:r w:rsidRPr="00B1089D">
        <w:t>Table</w:t>
      </w:r>
      <w:proofErr w:type="spellEnd"/>
      <w:r w:rsidRPr="00B1089D">
        <w:t xml:space="preserve"> 7, </w:t>
      </w:r>
      <w:proofErr w:type="spellStart"/>
      <w:r w:rsidRPr="00B1089D">
        <w:t>statistics</w:t>
      </w:r>
      <w:proofErr w:type="spellEnd"/>
      <w:r w:rsidRPr="00B1089D">
        <w:t xml:space="preserve"> </w:t>
      </w:r>
      <w:proofErr w:type="spellStart"/>
      <w:r w:rsidRPr="00B1089D">
        <w:t>are</w:t>
      </w:r>
      <w:proofErr w:type="spellEnd"/>
      <w:r w:rsidRPr="00B1089D">
        <w:t xml:space="preserve"> </w:t>
      </w:r>
      <w:proofErr w:type="spellStart"/>
      <w:r w:rsidRPr="00B1089D">
        <w:t>different</w:t>
      </w:r>
      <w:proofErr w:type="spellEnd"/>
      <w:r w:rsidRPr="00B1089D">
        <w:t xml:space="preserve"> </w:t>
      </w:r>
      <w:proofErr w:type="spellStart"/>
      <w:r w:rsidRPr="00B1089D">
        <w:t>from</w:t>
      </w:r>
      <w:proofErr w:type="spellEnd"/>
      <w:r w:rsidRPr="00B1089D">
        <w:t xml:space="preserve"> </w:t>
      </w:r>
      <w:proofErr w:type="spellStart"/>
      <w:r w:rsidRPr="00B1089D">
        <w:t>expected</w:t>
      </w:r>
      <w:proofErr w:type="spellEnd"/>
      <w:r w:rsidRPr="00B1089D">
        <w:t xml:space="preserve">, </w:t>
      </w:r>
      <w:proofErr w:type="spellStart"/>
      <w:r w:rsidRPr="00B1089D">
        <w:t>indicating</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null</w:t>
      </w:r>
      <w:proofErr w:type="spellEnd"/>
      <w:r w:rsidRPr="00B1089D">
        <w:t xml:space="preserve"> </w:t>
      </w:r>
      <w:proofErr w:type="spellStart"/>
      <w:r w:rsidRPr="00B1089D">
        <w:t>hypothesis</w:t>
      </w:r>
      <w:proofErr w:type="spellEnd"/>
      <w:r w:rsidRPr="00B1089D">
        <w:t xml:space="preserve"> is </w:t>
      </w:r>
      <w:proofErr w:type="spellStart"/>
      <w:r w:rsidRPr="00B1089D">
        <w:t>rejected</w:t>
      </w:r>
      <w:proofErr w:type="spellEnd"/>
      <w:r w:rsidRPr="00B1089D">
        <w:t xml:space="preserve"> (p-</w:t>
      </w:r>
      <w:proofErr w:type="spellStart"/>
      <w:r w:rsidRPr="00B1089D">
        <w:t>values</w:t>
      </w:r>
      <w:proofErr w:type="spellEnd"/>
      <w:r w:rsidRPr="00B1089D">
        <w:t xml:space="preserve"> 0.05 </w:t>
      </w:r>
      <w:proofErr w:type="spellStart"/>
      <w:r w:rsidRPr="00B1089D">
        <w:t>and</w:t>
      </w:r>
      <w:proofErr w:type="spellEnd"/>
      <w:r w:rsidRPr="00B1089D">
        <w:t xml:space="preserve"> 0.01) </w:t>
      </w:r>
      <w:proofErr w:type="spellStart"/>
      <w:r w:rsidRPr="00B1089D">
        <w:t>and</w:t>
      </w:r>
      <w:proofErr w:type="spellEnd"/>
      <w:r w:rsidRPr="00B1089D">
        <w:t xml:space="preserve"> </w:t>
      </w:r>
      <w:proofErr w:type="spellStart"/>
      <w:r w:rsidRPr="00B1089D">
        <w:t>there</w:t>
      </w:r>
      <w:proofErr w:type="spellEnd"/>
      <w:r w:rsidRPr="00B1089D">
        <w:t xml:space="preserve"> is a </w:t>
      </w:r>
      <w:proofErr w:type="spellStart"/>
      <w:r w:rsidRPr="00B1089D">
        <w:t>serial</w:t>
      </w:r>
      <w:proofErr w:type="spellEnd"/>
      <w:r w:rsidRPr="00B1089D">
        <w:t xml:space="preserve"> </w:t>
      </w:r>
      <w:proofErr w:type="spellStart"/>
      <w:r w:rsidRPr="00B1089D">
        <w:t>correlation</w:t>
      </w:r>
      <w:proofErr w:type="spellEnd"/>
      <w:r w:rsidRPr="00B1089D">
        <w:t xml:space="preserve"> </w:t>
      </w:r>
      <w:proofErr w:type="spellStart"/>
      <w:r w:rsidRPr="00B1089D">
        <w:t>among</w:t>
      </w:r>
      <w:proofErr w:type="spellEnd"/>
      <w:r w:rsidRPr="00B1089D">
        <w:t xml:space="preserve"> </w:t>
      </w:r>
      <w:proofErr w:type="spellStart"/>
      <w:r w:rsidRPr="00B1089D">
        <w:t>the</w:t>
      </w:r>
      <w:proofErr w:type="spellEnd"/>
      <w:r w:rsidRPr="00B1089D">
        <w:t xml:space="preserve"> </w:t>
      </w:r>
      <w:proofErr w:type="spellStart"/>
      <w:r w:rsidRPr="00B1089D">
        <w:t>residuals</w:t>
      </w:r>
      <w:proofErr w:type="spellEnd"/>
      <w:r w:rsidRPr="00B1089D">
        <w:t>.</w:t>
      </w:r>
    </w:p>
    <w:p w14:paraId="2EFE7393"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modified</w:t>
      </w:r>
      <w:proofErr w:type="spellEnd"/>
      <w:r w:rsidRPr="00B1089D">
        <w:t xml:space="preserve"> </w:t>
      </w:r>
      <w:proofErr w:type="spellStart"/>
      <w:r w:rsidRPr="00B1089D">
        <w:t>Wald</w:t>
      </w:r>
      <w:proofErr w:type="spellEnd"/>
      <w:r w:rsidRPr="00B1089D">
        <w:t xml:space="preserve"> test is a </w:t>
      </w:r>
      <w:proofErr w:type="spellStart"/>
      <w:r w:rsidRPr="00B1089D">
        <w:t>statistical</w:t>
      </w:r>
      <w:proofErr w:type="spellEnd"/>
      <w:r w:rsidRPr="00B1089D">
        <w:t xml:space="preserve"> test </w:t>
      </w:r>
      <w:proofErr w:type="spellStart"/>
      <w:r w:rsidRPr="00B1089D">
        <w:t>that</w:t>
      </w:r>
      <w:proofErr w:type="spellEnd"/>
      <w:r w:rsidRPr="00B1089D">
        <w:t xml:space="preserve"> can </w:t>
      </w:r>
      <w:proofErr w:type="spellStart"/>
      <w:r w:rsidRPr="00B1089D">
        <w:t>assess</w:t>
      </w:r>
      <w:proofErr w:type="spellEnd"/>
      <w:r w:rsidRPr="00B1089D">
        <w:t xml:space="preserve"> </w:t>
      </w:r>
      <w:proofErr w:type="spellStart"/>
      <w:r w:rsidRPr="00B1089D">
        <w:t>whether</w:t>
      </w:r>
      <w:proofErr w:type="spellEnd"/>
      <w:r w:rsidRPr="00B1089D">
        <w:t xml:space="preserve"> </w:t>
      </w:r>
      <w:proofErr w:type="spellStart"/>
      <w:r w:rsidRPr="00B1089D">
        <w:t>there</w:t>
      </w:r>
      <w:proofErr w:type="spellEnd"/>
      <w:r w:rsidRPr="00B1089D">
        <w:t xml:space="preserve"> is </w:t>
      </w:r>
      <w:proofErr w:type="spellStart"/>
      <w:r w:rsidRPr="00B1089D">
        <w:t>group-wise</w:t>
      </w:r>
      <w:proofErr w:type="spellEnd"/>
      <w:r w:rsidRPr="00B1089D">
        <w:t xml:space="preserve"> </w:t>
      </w:r>
      <w:proofErr w:type="spellStart"/>
      <w:r w:rsidRPr="00B1089D">
        <w:t>heteroscedasticity</w:t>
      </w:r>
      <w:proofErr w:type="spellEnd"/>
      <w:r w:rsidRPr="00B1089D">
        <w:t xml:space="preserve"> in a </w:t>
      </w:r>
      <w:proofErr w:type="spellStart"/>
      <w:r w:rsidRPr="00B1089D">
        <w:t>linear</w:t>
      </w:r>
      <w:proofErr w:type="spellEnd"/>
      <w:r w:rsidRPr="00B1089D">
        <w:t xml:space="preserve"> </w:t>
      </w:r>
      <w:proofErr w:type="spellStart"/>
      <w:r w:rsidRPr="00B1089D">
        <w:t>regression</w:t>
      </w:r>
      <w:proofErr w:type="spellEnd"/>
      <w:r w:rsidRPr="00B1089D">
        <w:t xml:space="preserve"> model. </w:t>
      </w:r>
      <w:proofErr w:type="spellStart"/>
      <w:r w:rsidRPr="00B1089D">
        <w:t>Heteroscedasticity</w:t>
      </w:r>
      <w:proofErr w:type="spellEnd"/>
      <w:r w:rsidRPr="00B1089D">
        <w:t xml:space="preserve"> </w:t>
      </w:r>
      <w:proofErr w:type="spellStart"/>
      <w:r w:rsidRPr="00B1089D">
        <w:t>occurs</w:t>
      </w:r>
      <w:proofErr w:type="spellEnd"/>
      <w:r w:rsidRPr="00B1089D">
        <w:t xml:space="preserve"> </w:t>
      </w:r>
      <w:proofErr w:type="spellStart"/>
      <w:r w:rsidRPr="00B1089D">
        <w:t>when</w:t>
      </w:r>
      <w:proofErr w:type="spellEnd"/>
      <w:r w:rsidRPr="00B1089D">
        <w:t xml:space="preserve"> </w:t>
      </w:r>
      <w:proofErr w:type="spellStart"/>
      <w:r w:rsidRPr="00B1089D">
        <w:t>the</w:t>
      </w:r>
      <w:proofErr w:type="spellEnd"/>
      <w:r w:rsidRPr="00B1089D">
        <w:t xml:space="preserve"> </w:t>
      </w:r>
      <w:proofErr w:type="spellStart"/>
      <w:r w:rsidRPr="00B1089D">
        <w:t>variance</w:t>
      </w:r>
      <w:proofErr w:type="spellEnd"/>
      <w:r w:rsidRPr="00B1089D">
        <w:t xml:space="preserve"> of </w:t>
      </w:r>
      <w:proofErr w:type="spellStart"/>
      <w:r w:rsidRPr="00B1089D">
        <w:t>the</w:t>
      </w:r>
      <w:proofErr w:type="spellEnd"/>
      <w:r w:rsidRPr="00B1089D">
        <w:t xml:space="preserve"> </w:t>
      </w:r>
      <w:proofErr w:type="spellStart"/>
      <w:r w:rsidRPr="00B1089D">
        <w:t>error</w:t>
      </w:r>
      <w:proofErr w:type="spellEnd"/>
      <w:r w:rsidRPr="00B1089D">
        <w:t xml:space="preserve"> </w:t>
      </w:r>
      <w:proofErr w:type="spellStart"/>
      <w:r w:rsidRPr="00B1089D">
        <w:t>term</w:t>
      </w:r>
      <w:proofErr w:type="spellEnd"/>
      <w:r w:rsidRPr="00B1089D">
        <w:t xml:space="preserve"> is not </w:t>
      </w:r>
      <w:proofErr w:type="spellStart"/>
      <w:r w:rsidRPr="00B1089D">
        <w:t>constant</w:t>
      </w:r>
      <w:proofErr w:type="spellEnd"/>
      <w:r w:rsidRPr="00B1089D">
        <w:t xml:space="preserve"> </w:t>
      </w:r>
      <w:proofErr w:type="spellStart"/>
      <w:r w:rsidRPr="00B1089D">
        <w:t>across</w:t>
      </w:r>
      <w:proofErr w:type="spellEnd"/>
      <w:r w:rsidRPr="00B1089D">
        <w:t xml:space="preserve"> </w:t>
      </w:r>
      <w:proofErr w:type="spellStart"/>
      <w:r w:rsidRPr="00B1089D">
        <w:t>all</w:t>
      </w:r>
      <w:proofErr w:type="spellEnd"/>
      <w:r w:rsidRPr="00B1089D">
        <w:t xml:space="preserve"> </w:t>
      </w:r>
      <w:proofErr w:type="spellStart"/>
      <w:r w:rsidRPr="00B1089D">
        <w:t>observations</w:t>
      </w:r>
      <w:proofErr w:type="spellEnd"/>
      <w:r w:rsidRPr="00B1089D">
        <w:t xml:space="preserve"> </w:t>
      </w:r>
      <w:proofErr w:type="spellStart"/>
      <w:r w:rsidRPr="00B1089D">
        <w:t>and</w:t>
      </w:r>
      <w:proofErr w:type="spellEnd"/>
      <w:r w:rsidRPr="00B1089D">
        <w:t xml:space="preserve"> can </w:t>
      </w:r>
      <w:proofErr w:type="spellStart"/>
      <w:r w:rsidRPr="00B1089D">
        <w:t>lead</w:t>
      </w:r>
      <w:proofErr w:type="spellEnd"/>
      <w:r w:rsidRPr="00B1089D">
        <w:t xml:space="preserve"> </w:t>
      </w:r>
      <w:proofErr w:type="spellStart"/>
      <w:r w:rsidRPr="00B1089D">
        <w:t>to</w:t>
      </w:r>
      <w:proofErr w:type="spellEnd"/>
      <w:r w:rsidRPr="00B1089D">
        <w:t xml:space="preserve"> </w:t>
      </w:r>
      <w:proofErr w:type="spellStart"/>
      <w:r w:rsidRPr="00B1089D">
        <w:t>biased</w:t>
      </w:r>
      <w:proofErr w:type="spellEnd"/>
      <w:r w:rsidRPr="00B1089D">
        <w:t xml:space="preserve"> </w:t>
      </w:r>
      <w:proofErr w:type="spellStart"/>
      <w:r w:rsidRPr="00B1089D">
        <w:t>and</w:t>
      </w:r>
      <w:proofErr w:type="spellEnd"/>
      <w:r w:rsidRPr="00B1089D">
        <w:t xml:space="preserve"> </w:t>
      </w:r>
      <w:proofErr w:type="spellStart"/>
      <w:r w:rsidRPr="00B1089D">
        <w:t>inconsistent</w:t>
      </w:r>
      <w:proofErr w:type="spellEnd"/>
      <w:r w:rsidRPr="00B1089D">
        <w:t xml:space="preserve"> </w:t>
      </w:r>
      <w:proofErr w:type="spellStart"/>
      <w:r w:rsidRPr="00B1089D">
        <w:t>standard</w:t>
      </w:r>
      <w:proofErr w:type="spellEnd"/>
      <w:r w:rsidRPr="00B1089D">
        <w:t xml:space="preserve"> </w:t>
      </w:r>
      <w:proofErr w:type="spellStart"/>
      <w:r w:rsidRPr="00B1089D">
        <w:t>errors</w:t>
      </w:r>
      <w:proofErr w:type="spellEnd"/>
      <w:r w:rsidRPr="00B1089D">
        <w:t xml:space="preserve">. </w:t>
      </w:r>
      <w:proofErr w:type="spellStart"/>
      <w:r w:rsidRPr="00B1089D">
        <w:t>If</w:t>
      </w:r>
      <w:proofErr w:type="spellEnd"/>
      <w:r w:rsidRPr="00B1089D">
        <w:t xml:space="preserve"> </w:t>
      </w:r>
      <w:proofErr w:type="spellStart"/>
      <w:r w:rsidRPr="00B1089D">
        <w:t>the</w:t>
      </w:r>
      <w:proofErr w:type="spellEnd"/>
      <w:r w:rsidRPr="00B1089D">
        <w:t xml:space="preserve"> p-</w:t>
      </w:r>
      <w:proofErr w:type="spellStart"/>
      <w:r w:rsidRPr="00B1089D">
        <w:t>value</w:t>
      </w:r>
      <w:proofErr w:type="spellEnd"/>
      <w:r w:rsidRPr="00B1089D">
        <w:t xml:space="preserve"> is </w:t>
      </w:r>
      <w:proofErr w:type="spellStart"/>
      <w:r w:rsidRPr="00B1089D">
        <w:t>small</w:t>
      </w:r>
      <w:proofErr w:type="spellEnd"/>
      <w:r w:rsidRPr="00B1089D">
        <w:t xml:space="preserve"> (</w:t>
      </w:r>
      <w:proofErr w:type="spellStart"/>
      <w:r w:rsidRPr="00B1089D">
        <w:t>typically</w:t>
      </w:r>
      <w:proofErr w:type="spellEnd"/>
      <w:r w:rsidRPr="00B1089D">
        <w:t xml:space="preserve"> </w:t>
      </w:r>
      <w:proofErr w:type="spellStart"/>
      <w:r w:rsidRPr="00B1089D">
        <w:t>less</w:t>
      </w:r>
      <w:proofErr w:type="spellEnd"/>
      <w:r w:rsidRPr="00B1089D">
        <w:t xml:space="preserve"> </w:t>
      </w:r>
      <w:proofErr w:type="spellStart"/>
      <w:r w:rsidRPr="00B1089D">
        <w:t>than</w:t>
      </w:r>
      <w:proofErr w:type="spellEnd"/>
      <w:r w:rsidRPr="00B1089D">
        <w:t xml:space="preserve"> 0.05), it </w:t>
      </w:r>
      <w:proofErr w:type="spellStart"/>
      <w:r w:rsidRPr="00B1089D">
        <w:t>indicates</w:t>
      </w:r>
      <w:proofErr w:type="spellEnd"/>
      <w:r w:rsidRPr="00B1089D">
        <w:t xml:space="preserve"> </w:t>
      </w:r>
      <w:proofErr w:type="spellStart"/>
      <w:r w:rsidRPr="00B1089D">
        <w:t>strong</w:t>
      </w:r>
      <w:proofErr w:type="spellEnd"/>
      <w:r w:rsidRPr="00B1089D">
        <w:t xml:space="preserve"> </w:t>
      </w:r>
      <w:proofErr w:type="spellStart"/>
      <w:r w:rsidRPr="00B1089D">
        <w:t>evidence</w:t>
      </w:r>
      <w:proofErr w:type="spellEnd"/>
      <w:r w:rsidRPr="00B1089D">
        <w:t xml:space="preserve"> </w:t>
      </w:r>
      <w:proofErr w:type="spellStart"/>
      <w:r w:rsidRPr="00B1089D">
        <w:t>to</w:t>
      </w:r>
      <w:proofErr w:type="spellEnd"/>
      <w:r w:rsidRPr="00B1089D">
        <w:t xml:space="preserve"> </w:t>
      </w:r>
      <w:proofErr w:type="spellStart"/>
      <w:r w:rsidRPr="00B1089D">
        <w:t>reject</w:t>
      </w:r>
      <w:proofErr w:type="spellEnd"/>
      <w:r w:rsidRPr="00B1089D">
        <w:t xml:space="preserve"> </w:t>
      </w:r>
      <w:proofErr w:type="spellStart"/>
      <w:r w:rsidRPr="00B1089D">
        <w:t>the</w:t>
      </w:r>
      <w:proofErr w:type="spellEnd"/>
      <w:r w:rsidRPr="00B1089D">
        <w:t xml:space="preserve"> </w:t>
      </w:r>
      <w:proofErr w:type="spellStart"/>
      <w:r w:rsidRPr="00B1089D">
        <w:t>null</w:t>
      </w:r>
      <w:proofErr w:type="spellEnd"/>
      <w:r w:rsidRPr="00B1089D">
        <w:t xml:space="preserve"> </w:t>
      </w:r>
      <w:proofErr w:type="spellStart"/>
      <w:r w:rsidRPr="00B1089D">
        <w:t>hypothesis</w:t>
      </w:r>
      <w:proofErr w:type="spellEnd"/>
      <w:r w:rsidRPr="00B1089D">
        <w:t xml:space="preserve">. </w:t>
      </w:r>
      <w:proofErr w:type="spellStart"/>
      <w:r w:rsidRPr="00B1089D">
        <w:t>The</w:t>
      </w:r>
      <w:proofErr w:type="spellEnd"/>
      <w:r w:rsidRPr="00B1089D">
        <w:t xml:space="preserve"> </w:t>
      </w:r>
      <w:proofErr w:type="spellStart"/>
      <w:r w:rsidRPr="00B1089D">
        <w:t>results</w:t>
      </w:r>
      <w:proofErr w:type="spellEnd"/>
      <w:r w:rsidRPr="00B1089D">
        <w:t xml:space="preserve"> of </w:t>
      </w:r>
      <w:proofErr w:type="spellStart"/>
      <w:r w:rsidRPr="00B1089D">
        <w:t>the</w:t>
      </w:r>
      <w:proofErr w:type="spellEnd"/>
      <w:r w:rsidRPr="00B1089D">
        <w:t xml:space="preserve"> </w:t>
      </w:r>
      <w:proofErr w:type="spellStart"/>
      <w:r w:rsidRPr="00B1089D">
        <w:t>Modified</w:t>
      </w:r>
      <w:proofErr w:type="spellEnd"/>
      <w:r w:rsidRPr="00B1089D">
        <w:t xml:space="preserve"> </w:t>
      </w:r>
      <w:proofErr w:type="spellStart"/>
      <w:r w:rsidRPr="00B1089D">
        <w:t>Wald</w:t>
      </w:r>
      <w:proofErr w:type="spellEnd"/>
      <w:r w:rsidRPr="00B1089D">
        <w:t xml:space="preserve"> Test </w:t>
      </w:r>
      <w:proofErr w:type="spellStart"/>
      <w:r w:rsidRPr="00B1089D">
        <w:t>conclude</w:t>
      </w:r>
      <w:proofErr w:type="spellEnd"/>
      <w:r w:rsidRPr="00B1089D">
        <w:t xml:space="preserve"> </w:t>
      </w:r>
      <w:proofErr w:type="spellStart"/>
      <w:r w:rsidRPr="00B1089D">
        <w:t>that</w:t>
      </w:r>
      <w:proofErr w:type="spellEnd"/>
      <w:r w:rsidRPr="00B1089D">
        <w:t xml:space="preserve"> </w:t>
      </w:r>
      <w:proofErr w:type="spellStart"/>
      <w:r w:rsidRPr="00B1089D">
        <w:t>there</w:t>
      </w:r>
      <w:proofErr w:type="spellEnd"/>
      <w:r w:rsidRPr="00B1089D">
        <w:t xml:space="preserve"> is a </w:t>
      </w:r>
      <w:proofErr w:type="spellStart"/>
      <w:r w:rsidRPr="00B1089D">
        <w:t>group-wise</w:t>
      </w:r>
      <w:proofErr w:type="spellEnd"/>
      <w:r w:rsidRPr="00B1089D">
        <w:t xml:space="preserve"> </w:t>
      </w:r>
      <w:proofErr w:type="spellStart"/>
      <w:r w:rsidRPr="00B1089D">
        <w:t>heteroscedasticity</w:t>
      </w:r>
      <w:proofErr w:type="spellEnd"/>
      <w:r w:rsidRPr="00B1089D">
        <w:t xml:space="preserve"> in </w:t>
      </w:r>
      <w:proofErr w:type="spellStart"/>
      <w:r w:rsidRPr="00B1089D">
        <w:t>the</w:t>
      </w:r>
      <w:proofErr w:type="spellEnd"/>
      <w:r w:rsidRPr="00B1089D">
        <w:t xml:space="preserve"> model. </w:t>
      </w:r>
      <w:proofErr w:type="spellStart"/>
      <w:r w:rsidRPr="00B1089D">
        <w:t>In</w:t>
      </w:r>
      <w:proofErr w:type="spellEnd"/>
      <w:r w:rsidRPr="00B1089D">
        <w:t xml:space="preserve"> </w:t>
      </w:r>
      <w:proofErr w:type="spellStart"/>
      <w:r w:rsidRPr="00B1089D">
        <w:t>addition</w:t>
      </w:r>
      <w:proofErr w:type="spellEnd"/>
      <w:r w:rsidRPr="00B1089D">
        <w:t xml:space="preserve">, </w:t>
      </w:r>
      <w:proofErr w:type="spellStart"/>
      <w:r w:rsidRPr="00B1089D">
        <w:t>the</w:t>
      </w:r>
      <w:proofErr w:type="spellEnd"/>
      <w:r w:rsidRPr="00B1089D">
        <w:t xml:space="preserve"> CD test </w:t>
      </w:r>
      <w:proofErr w:type="spellStart"/>
      <w:r w:rsidRPr="00B1089D">
        <w:t>strongly</w:t>
      </w:r>
      <w:proofErr w:type="spellEnd"/>
      <w:r w:rsidRPr="00B1089D">
        <w:t xml:space="preserve"> </w:t>
      </w:r>
      <w:proofErr w:type="spellStart"/>
      <w:r w:rsidRPr="00B1089D">
        <w:t>rejects</w:t>
      </w:r>
      <w:proofErr w:type="spellEnd"/>
      <w:r w:rsidRPr="00B1089D">
        <w:t xml:space="preserve"> </w:t>
      </w:r>
      <w:proofErr w:type="spellStart"/>
      <w:r w:rsidRPr="00B1089D">
        <w:t>the</w:t>
      </w:r>
      <w:proofErr w:type="spellEnd"/>
      <w:r w:rsidRPr="00B1089D">
        <w:t xml:space="preserve"> </w:t>
      </w:r>
      <w:proofErr w:type="spellStart"/>
      <w:r w:rsidRPr="00B1089D">
        <w:t>null</w:t>
      </w:r>
      <w:proofErr w:type="spellEnd"/>
      <w:r w:rsidRPr="00B1089D">
        <w:t xml:space="preserve"> </w:t>
      </w:r>
      <w:proofErr w:type="spellStart"/>
      <w:r w:rsidRPr="00B1089D">
        <w:t>hypothesis</w:t>
      </w:r>
      <w:proofErr w:type="spellEnd"/>
      <w:r w:rsidRPr="00B1089D">
        <w:t xml:space="preserve"> of </w:t>
      </w:r>
      <w:proofErr w:type="spellStart"/>
      <w:r w:rsidRPr="00B1089D">
        <w:t>no</w:t>
      </w:r>
      <w:proofErr w:type="spellEnd"/>
      <w:r w:rsidRPr="00B1089D">
        <w:t xml:space="preserve"> </w:t>
      </w:r>
      <w:proofErr w:type="spellStart"/>
      <w:r w:rsidRPr="00B1089D">
        <w:t>cross-sectional</w:t>
      </w:r>
      <w:proofErr w:type="spellEnd"/>
      <w:r w:rsidRPr="00B1089D">
        <w:t xml:space="preserve"> </w:t>
      </w:r>
      <w:proofErr w:type="spellStart"/>
      <w:r w:rsidRPr="00B1089D">
        <w:t>dependence</w:t>
      </w:r>
      <w:proofErr w:type="spellEnd"/>
      <w:r w:rsidRPr="00B1089D">
        <w:t xml:space="preserve"> at a 1% </w:t>
      </w:r>
      <w:proofErr w:type="spellStart"/>
      <w:r w:rsidRPr="00B1089D">
        <w:t>significance</w:t>
      </w:r>
      <w:proofErr w:type="spellEnd"/>
      <w:r w:rsidRPr="00B1089D">
        <w:t xml:space="preserve"> </w:t>
      </w:r>
      <w:proofErr w:type="spellStart"/>
      <w:r w:rsidRPr="00B1089D">
        <w:t>level</w:t>
      </w:r>
      <w:proofErr w:type="spellEnd"/>
      <w:r w:rsidRPr="00B1089D">
        <w:t xml:space="preserve">. Test </w:t>
      </w:r>
      <w:proofErr w:type="spellStart"/>
      <w:r w:rsidRPr="00B1089D">
        <w:t>results</w:t>
      </w:r>
      <w:proofErr w:type="spellEnd"/>
      <w:r w:rsidRPr="00B1089D">
        <w:t xml:space="preserve"> </w:t>
      </w:r>
      <w:proofErr w:type="spellStart"/>
      <w:r w:rsidRPr="00B1089D">
        <w:t>are</w:t>
      </w:r>
      <w:proofErr w:type="spellEnd"/>
      <w:r w:rsidRPr="00B1089D">
        <w:t xml:space="preserve"> </w:t>
      </w:r>
      <w:proofErr w:type="spellStart"/>
      <w:r w:rsidRPr="00B1089D">
        <w:t>displayed</w:t>
      </w:r>
      <w:proofErr w:type="spellEnd"/>
      <w:r w:rsidRPr="00B1089D">
        <w:t xml:space="preserve"> as </w:t>
      </w:r>
      <w:proofErr w:type="spellStart"/>
      <w:r w:rsidRPr="00B1089D">
        <w:t>follows</w:t>
      </w:r>
      <w:proofErr w:type="spellEnd"/>
      <w:r w:rsidRPr="00B1089D">
        <w:t>:</w:t>
      </w:r>
    </w:p>
    <w:p w14:paraId="72A4920F" w14:textId="77777777" w:rsidR="00FA457D" w:rsidRPr="00B1089D" w:rsidRDefault="00FA457D" w:rsidP="00E359E0">
      <w:pPr>
        <w:widowControl/>
        <w:jc w:val="both"/>
      </w:pPr>
    </w:p>
    <w:p w14:paraId="2E844A7A" w14:textId="77777777" w:rsidR="00FA457D" w:rsidRPr="00B1089D" w:rsidRDefault="00FA457D" w:rsidP="00E359E0">
      <w:pPr>
        <w:widowControl/>
        <w:jc w:val="both"/>
      </w:pPr>
      <w:proofErr w:type="spellStart"/>
      <w:r w:rsidRPr="00B1089D">
        <w:rPr>
          <w:b/>
          <w:bCs/>
        </w:rPr>
        <w:t>Table</w:t>
      </w:r>
      <w:proofErr w:type="spellEnd"/>
      <w:r w:rsidRPr="00B1089D">
        <w:rPr>
          <w:b/>
          <w:bCs/>
        </w:rPr>
        <w:t xml:space="preserve"> 7.</w:t>
      </w:r>
      <w:r w:rsidRPr="00B1089D">
        <w:t xml:space="preserve"> Test </w:t>
      </w:r>
      <w:proofErr w:type="spellStart"/>
      <w:r w:rsidRPr="00B1089D">
        <w:t>Results</w:t>
      </w:r>
      <w:proofErr w:type="spellEnd"/>
      <w:r w:rsidRPr="00B1089D">
        <w:t xml:space="preserve"> </w:t>
      </w:r>
      <w:proofErr w:type="spellStart"/>
      <w:r w:rsidRPr="00B1089D">
        <w:t>for</w:t>
      </w:r>
      <w:proofErr w:type="spellEnd"/>
      <w:r w:rsidRPr="00B1089D">
        <w:t xml:space="preserve"> </w:t>
      </w:r>
      <w:proofErr w:type="spellStart"/>
      <w:r w:rsidRPr="00B1089D">
        <w:t>Serial</w:t>
      </w:r>
      <w:proofErr w:type="spellEnd"/>
      <w:r w:rsidRPr="00B1089D">
        <w:t xml:space="preserve"> </w:t>
      </w:r>
      <w:proofErr w:type="spellStart"/>
      <w:r w:rsidRPr="00B1089D">
        <w:t>Correlation</w:t>
      </w:r>
      <w:proofErr w:type="spellEnd"/>
      <w:r w:rsidRPr="00B1089D">
        <w:t xml:space="preserve">, </w:t>
      </w:r>
      <w:proofErr w:type="spellStart"/>
      <w:r w:rsidRPr="00B1089D">
        <w:t>Heteroscedasticity</w:t>
      </w:r>
      <w:proofErr w:type="spellEnd"/>
      <w:r w:rsidRPr="00B1089D">
        <w:t xml:space="preserve"> </w:t>
      </w:r>
      <w:proofErr w:type="spellStart"/>
      <w:r w:rsidRPr="00B1089D">
        <w:t>and</w:t>
      </w:r>
      <w:proofErr w:type="spellEnd"/>
      <w:r w:rsidRPr="00B1089D">
        <w:t xml:space="preserve"> Cross-</w:t>
      </w:r>
      <w:proofErr w:type="spellStart"/>
      <w:r w:rsidRPr="00B1089D">
        <w:t>Sectional</w:t>
      </w:r>
      <w:proofErr w:type="spellEnd"/>
      <w:r w:rsidRPr="00B1089D">
        <w:t xml:space="preserve"> </w:t>
      </w:r>
      <w:proofErr w:type="spellStart"/>
      <w:r w:rsidRPr="00B1089D">
        <w:t>Independence</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1549"/>
        <w:gridCol w:w="1490"/>
        <w:gridCol w:w="1770"/>
        <w:gridCol w:w="2023"/>
        <w:gridCol w:w="1903"/>
      </w:tblGrid>
      <w:tr w:rsidR="00FA457D" w:rsidRPr="00B1089D" w14:paraId="53501AF5" w14:textId="77777777" w:rsidTr="000610DA">
        <w:trPr>
          <w:trHeight w:val="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29FC12" w14:textId="77777777" w:rsidR="00FA457D" w:rsidRPr="00B1089D" w:rsidRDefault="00FA457D" w:rsidP="000610DA">
            <w:pPr>
              <w:widowControl/>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B7F888" w14:textId="77777777" w:rsidR="00FA457D" w:rsidRPr="00B1089D" w:rsidRDefault="00FA457D" w:rsidP="000610DA">
            <w:pPr>
              <w:widowControl/>
            </w:pPr>
            <w:proofErr w:type="spellStart"/>
            <w:r w:rsidRPr="00B1089D">
              <w:rPr>
                <w:b/>
                <w:bCs/>
              </w:rPr>
              <w:t>All</w:t>
            </w:r>
            <w:proofErr w:type="spellEnd"/>
            <w:r w:rsidRPr="00B1089D">
              <w:rPr>
                <w:b/>
                <w:bCs/>
              </w:rPr>
              <w:t xml:space="preserve"> </w:t>
            </w:r>
            <w:proofErr w:type="spellStart"/>
            <w:r w:rsidRPr="00B1089D">
              <w:rPr>
                <w:b/>
                <w:bCs/>
              </w:rPr>
              <w:t>Counties</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C669E0" w14:textId="77777777" w:rsidR="00FA457D" w:rsidRPr="00B1089D" w:rsidRDefault="00FA457D" w:rsidP="000610DA">
            <w:pPr>
              <w:widowControl/>
            </w:pPr>
            <w:proofErr w:type="spellStart"/>
            <w:r w:rsidRPr="00B1089D">
              <w:rPr>
                <w:b/>
                <w:bCs/>
              </w:rPr>
              <w:t>European</w:t>
            </w:r>
            <w:proofErr w:type="spellEnd"/>
            <w:r w:rsidRPr="00B1089D">
              <w:rPr>
                <w:b/>
                <w:bCs/>
              </w:rPr>
              <w:t xml:space="preserve"> RSC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88294" w14:textId="77777777" w:rsidR="00FA457D" w:rsidRPr="00B1089D" w:rsidRDefault="00FA457D" w:rsidP="000610DA">
            <w:pPr>
              <w:widowControl/>
            </w:pPr>
            <w:proofErr w:type="spellStart"/>
            <w:r w:rsidRPr="00B1089D">
              <w:rPr>
                <w:b/>
                <w:bCs/>
              </w:rPr>
              <w:t>Middle</w:t>
            </w:r>
            <w:proofErr w:type="spellEnd"/>
            <w:r w:rsidRPr="00B1089D">
              <w:rPr>
                <w:b/>
                <w:bCs/>
              </w:rPr>
              <w:t>-East RSC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163731" w14:textId="77777777" w:rsidR="00FA457D" w:rsidRPr="00B1089D" w:rsidRDefault="00FA457D" w:rsidP="000610DA">
            <w:pPr>
              <w:widowControl/>
            </w:pPr>
            <w:r w:rsidRPr="00B1089D">
              <w:rPr>
                <w:b/>
                <w:bCs/>
              </w:rPr>
              <w:t>Post-</w:t>
            </w:r>
            <w:proofErr w:type="spellStart"/>
            <w:r w:rsidRPr="00B1089D">
              <w:rPr>
                <w:b/>
                <w:bCs/>
              </w:rPr>
              <w:t>Soviet</w:t>
            </w:r>
            <w:proofErr w:type="spellEnd"/>
            <w:r w:rsidRPr="00B1089D">
              <w:rPr>
                <w:b/>
                <w:bCs/>
              </w:rPr>
              <w:t xml:space="preserve"> RSC</w:t>
            </w:r>
          </w:p>
        </w:tc>
      </w:tr>
      <w:tr w:rsidR="00FA457D" w:rsidRPr="00B1089D" w14:paraId="4A2F0F71" w14:textId="77777777" w:rsidTr="000610DA">
        <w:trPr>
          <w:trHeight w:val="245"/>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26FFC5" w14:textId="77777777" w:rsidR="00FA457D" w:rsidRPr="00B1089D" w:rsidRDefault="00FA457D" w:rsidP="000610DA">
            <w:pPr>
              <w:widowControl/>
            </w:pPr>
            <w:proofErr w:type="spellStart"/>
            <w:r w:rsidRPr="00B1089D">
              <w:rPr>
                <w:b/>
                <w:bCs/>
              </w:rPr>
              <w:t>Wooldridge</w:t>
            </w:r>
            <w:proofErr w:type="spellEnd"/>
            <w:r w:rsidRPr="00B1089D">
              <w:rPr>
                <w:b/>
                <w:bCs/>
              </w:rPr>
              <w:t xml:space="preserve"> Test </w:t>
            </w:r>
            <w:proofErr w:type="spellStart"/>
            <w:r w:rsidRPr="00B1089D">
              <w:rPr>
                <w:b/>
                <w:bCs/>
              </w:rPr>
              <w:t>for</w:t>
            </w:r>
            <w:proofErr w:type="spellEnd"/>
            <w:r w:rsidRPr="00B1089D">
              <w:rPr>
                <w:b/>
                <w:bCs/>
              </w:rPr>
              <w:t xml:space="preserve"> </w:t>
            </w:r>
            <w:proofErr w:type="spellStart"/>
            <w:r w:rsidRPr="00B1089D">
              <w:rPr>
                <w:b/>
                <w:bCs/>
              </w:rPr>
              <w:t>Serial</w:t>
            </w:r>
            <w:proofErr w:type="spellEnd"/>
            <w:r w:rsidRPr="00B1089D">
              <w:rPr>
                <w:b/>
                <w:bCs/>
              </w:rPr>
              <w:t xml:space="preserve"> </w:t>
            </w:r>
            <w:proofErr w:type="spellStart"/>
            <w:r w:rsidRPr="00B1089D">
              <w:rPr>
                <w:b/>
                <w:bCs/>
              </w:rPr>
              <w:t>Correlation</w:t>
            </w:r>
            <w:proofErr w:type="spellEnd"/>
            <w:r w:rsidRPr="00B1089D">
              <w:rPr>
                <w:b/>
                <w:bCs/>
              </w:rPr>
              <w:t>, H</w:t>
            </w:r>
            <w:r w:rsidRPr="00B1089D">
              <w:rPr>
                <w:b/>
                <w:bCs/>
                <w:vertAlign w:val="subscript"/>
              </w:rPr>
              <w:t>0</w:t>
            </w:r>
            <w:r w:rsidRPr="00B1089D">
              <w:rPr>
                <w:b/>
                <w:bCs/>
              </w:rPr>
              <w:t xml:space="preserve">: No </w:t>
            </w:r>
            <w:proofErr w:type="spellStart"/>
            <w:r w:rsidRPr="00B1089D">
              <w:rPr>
                <w:b/>
                <w:bCs/>
              </w:rPr>
              <w:t>first-order</w:t>
            </w:r>
            <w:proofErr w:type="spellEnd"/>
            <w:r w:rsidRPr="00B1089D">
              <w:rPr>
                <w:b/>
                <w:bCs/>
              </w:rPr>
              <w:t xml:space="preserve"> </w:t>
            </w:r>
            <w:proofErr w:type="spellStart"/>
            <w:r w:rsidRPr="00B1089D">
              <w:rPr>
                <w:b/>
                <w:bCs/>
              </w:rPr>
              <w:t>serial</w:t>
            </w:r>
            <w:proofErr w:type="spellEnd"/>
            <w:r w:rsidRPr="00B1089D">
              <w:rPr>
                <w:b/>
                <w:bCs/>
              </w:rPr>
              <w:t xml:space="preserve"> </w:t>
            </w:r>
            <w:proofErr w:type="spellStart"/>
            <w:r w:rsidRPr="00B1089D">
              <w:rPr>
                <w:b/>
                <w:bCs/>
              </w:rPr>
              <w:t>correlation</w:t>
            </w:r>
            <w:proofErr w:type="spellEnd"/>
          </w:p>
        </w:tc>
      </w:tr>
      <w:tr w:rsidR="00FA457D" w:rsidRPr="00B1089D" w14:paraId="64815F47" w14:textId="77777777" w:rsidTr="000610DA">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704AF4" w14:textId="77777777" w:rsidR="00FA457D" w:rsidRPr="00B1089D" w:rsidRDefault="00FA457D" w:rsidP="000610DA">
            <w:pPr>
              <w:widowControl/>
            </w:pPr>
            <w:proofErr w:type="gramStart"/>
            <w:r w:rsidRPr="00B1089D">
              <w:t>F( ,</w:t>
            </w:r>
            <w:proofErr w:type="gramEnd"/>
            <w:r w:rsidRPr="00B1089D">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F83182" w14:textId="77777777" w:rsidR="00FA457D" w:rsidRPr="00B1089D" w:rsidRDefault="00FA457D" w:rsidP="000610DA">
            <w:pPr>
              <w:widowControl/>
            </w:pPr>
            <w:r w:rsidRPr="00B1089D">
              <w:t>493.653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00AEA" w14:textId="77777777" w:rsidR="00FA457D" w:rsidRPr="00B1089D" w:rsidRDefault="00FA457D" w:rsidP="000610DA">
            <w:pPr>
              <w:widowControl/>
            </w:pPr>
            <w:r w:rsidRPr="00B1089D">
              <w:t>483.523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FF7FCF" w14:textId="77777777" w:rsidR="00FA457D" w:rsidRPr="00B1089D" w:rsidRDefault="00FA457D" w:rsidP="000610DA">
            <w:pPr>
              <w:widowControl/>
            </w:pPr>
            <w:r w:rsidRPr="00B1089D">
              <w:t>105.964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D70902" w14:textId="77777777" w:rsidR="00FA457D" w:rsidRPr="00B1089D" w:rsidRDefault="00FA457D" w:rsidP="000610DA">
            <w:pPr>
              <w:widowControl/>
            </w:pPr>
            <w:r w:rsidRPr="00B1089D">
              <w:t>219.101</w:t>
            </w:r>
          </w:p>
        </w:tc>
      </w:tr>
      <w:tr w:rsidR="00FA457D" w:rsidRPr="00B1089D" w14:paraId="38E64013" w14:textId="77777777" w:rsidTr="000610DA">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31008E" w14:textId="77777777" w:rsidR="00FA457D" w:rsidRPr="00B1089D" w:rsidRDefault="00FA457D" w:rsidP="000610DA">
            <w:pPr>
              <w:widowControl/>
            </w:pPr>
            <w:proofErr w:type="gramStart"/>
            <w:r w:rsidRPr="00B1089D">
              <w:t>p</w:t>
            </w:r>
            <w:proofErr w:type="gramEnd"/>
            <w:r w:rsidRPr="00B1089D">
              <w:t>-</w:t>
            </w:r>
            <w:proofErr w:type="spellStart"/>
            <w:r w:rsidRPr="00B1089D">
              <w:t>value</w:t>
            </w:r>
            <w:proofErr w:type="spellEnd"/>
            <w:r w:rsidRPr="00B1089D">
              <w:t xml:space="preserve"> &gt; 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F38A7"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5D3C2E"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A7E90"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362997" w14:textId="77777777" w:rsidR="00FA457D" w:rsidRPr="00B1089D" w:rsidRDefault="00FA457D" w:rsidP="000610DA">
            <w:pPr>
              <w:widowControl/>
            </w:pPr>
            <w:r w:rsidRPr="00B1089D">
              <w:t>0.0000</w:t>
            </w:r>
          </w:p>
        </w:tc>
      </w:tr>
      <w:tr w:rsidR="00FA457D" w:rsidRPr="00B1089D" w14:paraId="2F179A29" w14:textId="77777777" w:rsidTr="000610DA">
        <w:trPr>
          <w:trHeight w:val="277"/>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34F7E9" w14:textId="77777777" w:rsidR="00FA457D" w:rsidRPr="00B1089D" w:rsidRDefault="00FA457D" w:rsidP="000610DA">
            <w:pPr>
              <w:widowControl/>
            </w:pPr>
            <w:proofErr w:type="spellStart"/>
            <w:r w:rsidRPr="00B1089D">
              <w:rPr>
                <w:b/>
                <w:bCs/>
              </w:rPr>
              <w:t>Modified</w:t>
            </w:r>
            <w:proofErr w:type="spellEnd"/>
            <w:r w:rsidRPr="00B1089D">
              <w:rPr>
                <w:b/>
                <w:bCs/>
              </w:rPr>
              <w:t xml:space="preserve"> </w:t>
            </w:r>
            <w:proofErr w:type="spellStart"/>
            <w:r w:rsidRPr="00B1089D">
              <w:rPr>
                <w:b/>
                <w:bCs/>
              </w:rPr>
              <w:t>Wald</w:t>
            </w:r>
            <w:proofErr w:type="spellEnd"/>
            <w:r w:rsidRPr="00B1089D">
              <w:rPr>
                <w:b/>
                <w:bCs/>
              </w:rPr>
              <w:t xml:space="preserve"> Test </w:t>
            </w:r>
            <w:proofErr w:type="spellStart"/>
            <w:r w:rsidRPr="00B1089D">
              <w:rPr>
                <w:b/>
                <w:bCs/>
              </w:rPr>
              <w:t>for</w:t>
            </w:r>
            <w:proofErr w:type="spellEnd"/>
            <w:r w:rsidRPr="00B1089D">
              <w:rPr>
                <w:b/>
                <w:bCs/>
              </w:rPr>
              <w:t xml:space="preserve"> </w:t>
            </w:r>
            <w:proofErr w:type="spellStart"/>
            <w:r w:rsidRPr="00B1089D">
              <w:rPr>
                <w:b/>
                <w:bCs/>
              </w:rPr>
              <w:t>Group</w:t>
            </w:r>
            <w:proofErr w:type="spellEnd"/>
            <w:r w:rsidRPr="00B1089D">
              <w:rPr>
                <w:b/>
                <w:bCs/>
              </w:rPr>
              <w:t xml:space="preserve"> Wise </w:t>
            </w:r>
            <w:proofErr w:type="spellStart"/>
            <w:r w:rsidRPr="00B1089D">
              <w:rPr>
                <w:b/>
                <w:bCs/>
              </w:rPr>
              <w:t>Heteroscedasticity</w:t>
            </w:r>
            <w:proofErr w:type="spellEnd"/>
            <w:r w:rsidRPr="00B1089D">
              <w:rPr>
                <w:b/>
                <w:bCs/>
              </w:rPr>
              <w:t>, H</w:t>
            </w:r>
            <w:r w:rsidRPr="00B1089D">
              <w:rPr>
                <w:b/>
                <w:bCs/>
                <w:vertAlign w:val="subscript"/>
              </w:rPr>
              <w:t>0</w:t>
            </w:r>
            <w:r w:rsidRPr="00B1089D">
              <w:rPr>
                <w:b/>
                <w:bCs/>
              </w:rPr>
              <w:t xml:space="preserve">: </w:t>
            </w:r>
            <w:r w:rsidRPr="00B1089D">
              <w:t>i2=2</w:t>
            </w:r>
            <w:r w:rsidRPr="00B1089D">
              <w:rPr>
                <w:b/>
                <w:bCs/>
              </w:rPr>
              <w:t xml:space="preserve"> </w:t>
            </w:r>
            <w:proofErr w:type="spellStart"/>
            <w:r w:rsidRPr="00B1089D">
              <w:rPr>
                <w:b/>
                <w:bCs/>
              </w:rPr>
              <w:t>for</w:t>
            </w:r>
            <w:proofErr w:type="spellEnd"/>
            <w:r w:rsidRPr="00B1089D">
              <w:rPr>
                <w:b/>
                <w:bCs/>
              </w:rPr>
              <w:t xml:space="preserve"> </w:t>
            </w:r>
            <w:proofErr w:type="spellStart"/>
            <w:r w:rsidRPr="00B1089D">
              <w:rPr>
                <w:b/>
                <w:bCs/>
              </w:rPr>
              <w:t>all</w:t>
            </w:r>
            <w:proofErr w:type="spellEnd"/>
            <w:r w:rsidRPr="00B1089D">
              <w:rPr>
                <w:b/>
                <w:bCs/>
              </w:rPr>
              <w:t xml:space="preserve"> i</w:t>
            </w:r>
          </w:p>
        </w:tc>
      </w:tr>
      <w:tr w:rsidR="00FA457D" w:rsidRPr="00B1089D" w14:paraId="5960B53F" w14:textId="77777777" w:rsidTr="000610DA">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81DBC1" w14:textId="77777777" w:rsidR="00FA457D" w:rsidRPr="00B1089D" w:rsidRDefault="00FA457D" w:rsidP="000610DA">
            <w:pPr>
              <w:widowControl/>
            </w:pPr>
            <w:proofErr w:type="gramStart"/>
            <w:r w:rsidRPr="00B1089D">
              <w:t>2( )</w:t>
            </w:r>
            <w:proofErr w:type="gram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D8522F" w14:textId="77777777" w:rsidR="00FA457D" w:rsidRPr="00B1089D" w:rsidRDefault="00FA457D" w:rsidP="000610DA">
            <w:pPr>
              <w:widowControl/>
            </w:pPr>
            <w:r w:rsidRPr="00B1089D">
              <w:t>12099.56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D58B1A" w14:textId="77777777" w:rsidR="00FA457D" w:rsidRPr="00B1089D" w:rsidRDefault="00FA457D" w:rsidP="000610DA">
            <w:pPr>
              <w:widowControl/>
            </w:pPr>
            <w:r w:rsidRPr="00B1089D">
              <w:t>10981.06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461680" w14:textId="77777777" w:rsidR="00FA457D" w:rsidRPr="00B1089D" w:rsidRDefault="00FA457D" w:rsidP="000610DA">
            <w:pPr>
              <w:widowControl/>
            </w:pPr>
            <w:r w:rsidRPr="00B1089D">
              <w:t>2579.53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D9ECDE" w14:textId="77777777" w:rsidR="00FA457D" w:rsidRPr="00B1089D" w:rsidRDefault="00FA457D" w:rsidP="000610DA">
            <w:pPr>
              <w:widowControl/>
            </w:pPr>
            <w:r w:rsidRPr="00B1089D">
              <w:t>50.82</w:t>
            </w:r>
          </w:p>
        </w:tc>
      </w:tr>
      <w:tr w:rsidR="00FA457D" w:rsidRPr="00B1089D" w14:paraId="4375E1C3" w14:textId="77777777" w:rsidTr="000610DA">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161F5B" w14:textId="77777777" w:rsidR="00FA457D" w:rsidRPr="00B1089D" w:rsidRDefault="00FA457D" w:rsidP="000610DA">
            <w:pPr>
              <w:widowControl/>
            </w:pPr>
            <w:proofErr w:type="gramStart"/>
            <w:r w:rsidRPr="00B1089D">
              <w:t>p</w:t>
            </w:r>
            <w:proofErr w:type="gramEnd"/>
            <w:r w:rsidRPr="00B1089D">
              <w:t>-</w:t>
            </w:r>
            <w:proofErr w:type="spellStart"/>
            <w:r w:rsidRPr="00B1089D">
              <w:t>value</w:t>
            </w:r>
            <w:proofErr w:type="spellEnd"/>
            <w:r w:rsidRPr="00B1089D">
              <w:t xml:space="preserve"> &gt;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BDCE5B"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A27344"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2CDB5B" w14:textId="77777777" w:rsidR="00FA457D" w:rsidRPr="00B1089D" w:rsidRDefault="00FA457D" w:rsidP="000610DA">
            <w:pPr>
              <w:widowControl/>
            </w:pPr>
            <w:r w:rsidRPr="00B1089D">
              <w:t>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82239" w14:textId="77777777" w:rsidR="00FA457D" w:rsidRPr="00B1089D" w:rsidRDefault="00FA457D" w:rsidP="000610DA">
            <w:pPr>
              <w:widowControl/>
            </w:pPr>
            <w:r w:rsidRPr="00B1089D">
              <w:t>0.0000</w:t>
            </w:r>
          </w:p>
        </w:tc>
      </w:tr>
      <w:tr w:rsidR="00FA457D" w:rsidRPr="00B1089D" w14:paraId="16B1CD48" w14:textId="77777777" w:rsidTr="000610DA">
        <w:trPr>
          <w:trHeight w:val="277"/>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62D5D3" w14:textId="77777777" w:rsidR="00FA457D" w:rsidRPr="00B1089D" w:rsidRDefault="00FA457D" w:rsidP="000610DA">
            <w:pPr>
              <w:widowControl/>
            </w:pPr>
            <w:proofErr w:type="spellStart"/>
            <w:r w:rsidRPr="00B1089D">
              <w:rPr>
                <w:b/>
                <w:bCs/>
              </w:rPr>
              <w:t>Pesaran's</w:t>
            </w:r>
            <w:proofErr w:type="spellEnd"/>
            <w:r w:rsidRPr="00B1089D">
              <w:rPr>
                <w:b/>
                <w:bCs/>
              </w:rPr>
              <w:t xml:space="preserve"> Test of Cross-</w:t>
            </w:r>
            <w:proofErr w:type="spellStart"/>
            <w:r w:rsidRPr="00B1089D">
              <w:rPr>
                <w:b/>
                <w:bCs/>
              </w:rPr>
              <w:t>Sectional</w:t>
            </w:r>
            <w:proofErr w:type="spellEnd"/>
            <w:r w:rsidRPr="00B1089D">
              <w:rPr>
                <w:b/>
                <w:bCs/>
              </w:rPr>
              <w:t xml:space="preserve"> </w:t>
            </w:r>
            <w:proofErr w:type="spellStart"/>
            <w:r w:rsidRPr="00B1089D">
              <w:rPr>
                <w:b/>
                <w:bCs/>
              </w:rPr>
              <w:t>Independence</w:t>
            </w:r>
            <w:proofErr w:type="spellEnd"/>
            <w:r w:rsidRPr="00B1089D">
              <w:rPr>
                <w:b/>
                <w:bCs/>
              </w:rPr>
              <w:t>, H</w:t>
            </w:r>
            <w:r w:rsidRPr="00B1089D">
              <w:rPr>
                <w:b/>
                <w:bCs/>
                <w:vertAlign w:val="subscript"/>
              </w:rPr>
              <w:t>0</w:t>
            </w:r>
            <w:r w:rsidRPr="00B1089D">
              <w:rPr>
                <w:b/>
                <w:bCs/>
              </w:rPr>
              <w:t>: Cross-</w:t>
            </w:r>
            <w:proofErr w:type="spellStart"/>
            <w:r w:rsidRPr="00B1089D">
              <w:rPr>
                <w:b/>
                <w:bCs/>
              </w:rPr>
              <w:t>sectional</w:t>
            </w:r>
            <w:proofErr w:type="spellEnd"/>
            <w:r w:rsidRPr="00B1089D">
              <w:rPr>
                <w:b/>
                <w:bCs/>
              </w:rPr>
              <w:t xml:space="preserve"> </w:t>
            </w:r>
            <w:proofErr w:type="spellStart"/>
            <w:r w:rsidRPr="00B1089D">
              <w:rPr>
                <w:b/>
                <w:bCs/>
              </w:rPr>
              <w:t>Independence</w:t>
            </w:r>
            <w:proofErr w:type="spellEnd"/>
          </w:p>
        </w:tc>
      </w:tr>
      <w:tr w:rsidR="00FA457D" w:rsidRPr="00B1089D" w14:paraId="5A6DB643" w14:textId="77777777" w:rsidTr="000610DA">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1CFD87" w14:textId="77777777" w:rsidR="00FA457D" w:rsidRPr="00B1089D" w:rsidRDefault="00FA457D" w:rsidP="000610DA">
            <w:pPr>
              <w:widowControl/>
            </w:pPr>
            <w:proofErr w:type="spellStart"/>
            <w:r w:rsidRPr="00B1089D">
              <w:t>Independence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36EA9F" w14:textId="77777777" w:rsidR="00FA457D" w:rsidRPr="00B1089D" w:rsidRDefault="00FA457D" w:rsidP="000610DA">
            <w:pPr>
              <w:widowControl/>
            </w:pPr>
            <w:r w:rsidRPr="00B1089D">
              <w:t>-1.876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D3DA03" w14:textId="77777777" w:rsidR="00FA457D" w:rsidRPr="00B1089D" w:rsidRDefault="00FA457D" w:rsidP="000610DA">
            <w:pPr>
              <w:widowControl/>
            </w:pPr>
            <w:r w:rsidRPr="00B1089D">
              <w:t>-2.134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5F6F7F" w14:textId="77777777" w:rsidR="00FA457D" w:rsidRPr="00B1089D" w:rsidRDefault="00FA457D" w:rsidP="000610DA">
            <w:pPr>
              <w:widowControl/>
            </w:pPr>
            <w:r w:rsidRPr="00B1089D">
              <w:t>-2.157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51CC6" w14:textId="77777777" w:rsidR="00FA457D" w:rsidRPr="00B1089D" w:rsidRDefault="00FA457D" w:rsidP="000610DA">
            <w:pPr>
              <w:widowControl/>
            </w:pPr>
            <w:r w:rsidRPr="00B1089D">
              <w:t>-2.665</w:t>
            </w:r>
          </w:p>
        </w:tc>
      </w:tr>
      <w:tr w:rsidR="00FA457D" w:rsidRPr="00B1089D" w14:paraId="512F7DC0" w14:textId="77777777" w:rsidTr="000610DA">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F61C7B" w14:textId="77777777" w:rsidR="00FA457D" w:rsidRPr="00B1089D" w:rsidRDefault="00FA457D" w:rsidP="000610DA">
            <w:pPr>
              <w:widowControl/>
            </w:pPr>
            <w:r w:rsidRPr="00B1089D">
              <w:t>Pr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AF62FE" w14:textId="77777777" w:rsidR="00FA457D" w:rsidRPr="00B1089D" w:rsidRDefault="00FA457D" w:rsidP="000610DA">
            <w:pPr>
              <w:widowControl/>
            </w:pPr>
            <w:r w:rsidRPr="00B1089D">
              <w:t>0.0607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75689D" w14:textId="77777777" w:rsidR="00FA457D" w:rsidRPr="00B1089D" w:rsidRDefault="00FA457D" w:rsidP="000610DA">
            <w:pPr>
              <w:widowControl/>
            </w:pPr>
            <w:r w:rsidRPr="00B1089D">
              <w:t>0.0329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3B2DAC" w14:textId="77777777" w:rsidR="00FA457D" w:rsidRPr="00B1089D" w:rsidRDefault="00FA457D" w:rsidP="000610DA">
            <w:pPr>
              <w:widowControl/>
            </w:pPr>
            <w:r w:rsidRPr="00B1089D">
              <w:t>0.0310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53E2C4" w14:textId="77777777" w:rsidR="00FA457D" w:rsidRPr="00B1089D" w:rsidRDefault="00FA457D" w:rsidP="000610DA">
            <w:pPr>
              <w:widowControl/>
            </w:pPr>
            <w:r w:rsidRPr="00B1089D">
              <w:t>0.0077</w:t>
            </w:r>
          </w:p>
        </w:tc>
      </w:tr>
    </w:tbl>
    <w:p w14:paraId="25F81507" w14:textId="77777777" w:rsidR="00FA457D" w:rsidRPr="00B1089D" w:rsidRDefault="00FA457D" w:rsidP="00E359E0">
      <w:pPr>
        <w:widowControl/>
        <w:jc w:val="both"/>
      </w:pPr>
      <w:r w:rsidRPr="00B1089D">
        <w:t>Source:</w:t>
      </w:r>
      <w:r w:rsidRPr="00B1089D">
        <w:rPr>
          <w:b/>
          <w:bCs/>
        </w:rPr>
        <w:t xml:space="preserve"> </w:t>
      </w:r>
      <w:proofErr w:type="spellStart"/>
      <w:r w:rsidRPr="00B1089D">
        <w:t>Author’s</w:t>
      </w:r>
      <w:proofErr w:type="spellEnd"/>
      <w:r w:rsidRPr="00B1089D">
        <w:t xml:space="preserve"> </w:t>
      </w:r>
      <w:proofErr w:type="spellStart"/>
      <w:r w:rsidRPr="00B1089D">
        <w:t>calculation</w:t>
      </w:r>
      <w:proofErr w:type="spellEnd"/>
    </w:p>
    <w:p w14:paraId="394B850F" w14:textId="36F3C720" w:rsidR="00FA457D" w:rsidRPr="00B1089D" w:rsidRDefault="00FA457D" w:rsidP="00E359E0">
      <w:pPr>
        <w:widowControl/>
        <w:jc w:val="both"/>
      </w:pPr>
      <w:proofErr w:type="spellStart"/>
      <w:r w:rsidRPr="00B1089D">
        <w:rPr>
          <w:b/>
          <w:bCs/>
          <w:i/>
          <w:iCs/>
        </w:rPr>
        <w:t>Estimation</w:t>
      </w:r>
      <w:proofErr w:type="spellEnd"/>
      <w:r w:rsidRPr="00B1089D">
        <w:rPr>
          <w:b/>
          <w:bCs/>
          <w:i/>
          <w:iCs/>
        </w:rPr>
        <w:t xml:space="preserve"> </w:t>
      </w:r>
      <w:proofErr w:type="spellStart"/>
      <w:r w:rsidRPr="00B1089D">
        <w:rPr>
          <w:b/>
          <w:bCs/>
          <w:i/>
          <w:iCs/>
        </w:rPr>
        <w:t>Results</w:t>
      </w:r>
      <w:proofErr w:type="spellEnd"/>
      <w:r w:rsidRPr="00B1089D">
        <w:rPr>
          <w:b/>
          <w:bCs/>
          <w:i/>
          <w:iCs/>
        </w:rPr>
        <w:t xml:space="preserve"> of </w:t>
      </w:r>
      <w:proofErr w:type="spellStart"/>
      <w:r w:rsidRPr="00B1089D">
        <w:rPr>
          <w:b/>
          <w:bCs/>
          <w:i/>
          <w:iCs/>
        </w:rPr>
        <w:t>Each</w:t>
      </w:r>
      <w:proofErr w:type="spellEnd"/>
      <w:r w:rsidRPr="00B1089D">
        <w:rPr>
          <w:b/>
          <w:bCs/>
          <w:i/>
          <w:iCs/>
        </w:rPr>
        <w:t xml:space="preserve"> </w:t>
      </w:r>
      <w:proofErr w:type="spellStart"/>
      <w:r w:rsidRPr="00B1089D">
        <w:rPr>
          <w:b/>
          <w:bCs/>
          <w:i/>
          <w:iCs/>
        </w:rPr>
        <w:t>Region</w:t>
      </w:r>
      <w:proofErr w:type="spellEnd"/>
      <w:r w:rsidRPr="00B1089D">
        <w:rPr>
          <w:b/>
          <w:bCs/>
          <w:i/>
          <w:iCs/>
        </w:rPr>
        <w:t xml:space="preserve"> </w:t>
      </w:r>
      <w:proofErr w:type="spellStart"/>
      <w:r w:rsidRPr="00B1089D">
        <w:rPr>
          <w:b/>
          <w:bCs/>
          <w:i/>
          <w:iCs/>
        </w:rPr>
        <w:t>with</w:t>
      </w:r>
      <w:proofErr w:type="spellEnd"/>
      <w:r w:rsidRPr="00B1089D">
        <w:rPr>
          <w:b/>
          <w:bCs/>
          <w:i/>
          <w:iCs/>
        </w:rPr>
        <w:t xml:space="preserve"> </w:t>
      </w:r>
      <w:proofErr w:type="spellStart"/>
      <w:r w:rsidRPr="00B1089D">
        <w:rPr>
          <w:b/>
          <w:bCs/>
          <w:i/>
          <w:iCs/>
        </w:rPr>
        <w:t>Driscoll</w:t>
      </w:r>
      <w:proofErr w:type="spellEnd"/>
      <w:r w:rsidRPr="00B1089D">
        <w:rPr>
          <w:b/>
          <w:bCs/>
          <w:i/>
          <w:iCs/>
        </w:rPr>
        <w:t xml:space="preserve"> – </w:t>
      </w:r>
      <w:proofErr w:type="spellStart"/>
      <w:r w:rsidRPr="00B1089D">
        <w:rPr>
          <w:b/>
          <w:bCs/>
          <w:i/>
          <w:iCs/>
        </w:rPr>
        <w:t>Kraay</w:t>
      </w:r>
      <w:proofErr w:type="spellEnd"/>
      <w:r w:rsidRPr="00B1089D">
        <w:rPr>
          <w:b/>
          <w:bCs/>
          <w:i/>
          <w:iCs/>
        </w:rPr>
        <w:t xml:space="preserve"> </w:t>
      </w:r>
      <w:proofErr w:type="spellStart"/>
      <w:r w:rsidRPr="00B1089D">
        <w:rPr>
          <w:b/>
          <w:bCs/>
          <w:i/>
          <w:iCs/>
        </w:rPr>
        <w:t>Robust</w:t>
      </w:r>
      <w:proofErr w:type="spellEnd"/>
      <w:r w:rsidRPr="00B1089D">
        <w:rPr>
          <w:b/>
          <w:bCs/>
          <w:i/>
          <w:iCs/>
        </w:rPr>
        <w:t xml:space="preserve"> Standard </w:t>
      </w:r>
      <w:proofErr w:type="spellStart"/>
      <w:r w:rsidRPr="00B1089D">
        <w:rPr>
          <w:b/>
          <w:bCs/>
          <w:i/>
          <w:iCs/>
        </w:rPr>
        <w:t>Errors</w:t>
      </w:r>
      <w:proofErr w:type="spellEnd"/>
    </w:p>
    <w:p w14:paraId="213C7049" w14:textId="77777777"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Wooldridge</w:t>
      </w:r>
      <w:proofErr w:type="spellEnd"/>
      <w:r w:rsidRPr="00B1089D">
        <w:t xml:space="preserve"> Test, </w:t>
      </w:r>
      <w:proofErr w:type="spellStart"/>
      <w:r w:rsidRPr="00B1089D">
        <w:t>the</w:t>
      </w:r>
      <w:proofErr w:type="spellEnd"/>
      <w:r w:rsidRPr="00B1089D">
        <w:t xml:space="preserve"> </w:t>
      </w:r>
      <w:proofErr w:type="spellStart"/>
      <w:r w:rsidRPr="00B1089D">
        <w:t>Modified</w:t>
      </w:r>
      <w:proofErr w:type="spellEnd"/>
      <w:r w:rsidRPr="00B1089D">
        <w:t xml:space="preserve"> </w:t>
      </w:r>
      <w:proofErr w:type="spellStart"/>
      <w:r w:rsidRPr="00B1089D">
        <w:t>Wald</w:t>
      </w:r>
      <w:proofErr w:type="spellEnd"/>
      <w:r w:rsidRPr="00B1089D">
        <w:t xml:space="preserve"> Test </w:t>
      </w:r>
      <w:proofErr w:type="spellStart"/>
      <w:r w:rsidRPr="00B1089D">
        <w:t>and</w:t>
      </w:r>
      <w:proofErr w:type="spellEnd"/>
      <w:r w:rsidRPr="00B1089D">
        <w:t xml:space="preserve"> </w:t>
      </w:r>
      <w:proofErr w:type="spellStart"/>
      <w:r w:rsidRPr="00B1089D">
        <w:t>Pesaran’s</w:t>
      </w:r>
      <w:proofErr w:type="spellEnd"/>
      <w:r w:rsidRPr="00B1089D">
        <w:t xml:space="preserve"> </w:t>
      </w:r>
      <w:proofErr w:type="spellStart"/>
      <w:r w:rsidRPr="00B1089D">
        <w:t>Tests</w:t>
      </w:r>
      <w:proofErr w:type="spellEnd"/>
      <w:r w:rsidRPr="00B1089D">
        <w:t xml:space="preserve"> </w:t>
      </w:r>
      <w:proofErr w:type="spellStart"/>
      <w:r w:rsidRPr="00B1089D">
        <w:t>indicate</w:t>
      </w:r>
      <w:proofErr w:type="spellEnd"/>
      <w:r w:rsidRPr="00B1089D">
        <w:t xml:space="preserve"> </w:t>
      </w:r>
      <w:proofErr w:type="spellStart"/>
      <w:r w:rsidRPr="00B1089D">
        <w:t>regression</w:t>
      </w:r>
      <w:proofErr w:type="spellEnd"/>
      <w:r w:rsidRPr="00B1089D">
        <w:t xml:space="preserve"> </w:t>
      </w:r>
      <w:proofErr w:type="spellStart"/>
      <w:r w:rsidRPr="00B1089D">
        <w:t>with</w:t>
      </w:r>
      <w:proofErr w:type="spellEnd"/>
      <w:r w:rsidRPr="00B1089D">
        <w:t xml:space="preserve"> </w:t>
      </w:r>
      <w:proofErr w:type="spellStart"/>
      <w:r w:rsidRPr="00B1089D">
        <w:t>Driscoll</w:t>
      </w:r>
      <w:proofErr w:type="spellEnd"/>
      <w:r w:rsidRPr="00B1089D">
        <w:t xml:space="preserve"> </w:t>
      </w:r>
      <w:proofErr w:type="spellStart"/>
      <w:r w:rsidRPr="00B1089D">
        <w:t>and</w:t>
      </w:r>
      <w:proofErr w:type="spellEnd"/>
      <w:r w:rsidRPr="00B1089D">
        <w:t xml:space="preserve"> </w:t>
      </w:r>
      <w:proofErr w:type="spellStart"/>
      <w:r w:rsidRPr="00B1089D">
        <w:t>Kraay</w:t>
      </w:r>
      <w:proofErr w:type="spellEnd"/>
      <w:r w:rsidRPr="00B1089D">
        <w:t xml:space="preserve"> </w:t>
      </w:r>
      <w:proofErr w:type="spellStart"/>
      <w:r w:rsidRPr="00B1089D">
        <w:t>standard</w:t>
      </w:r>
      <w:proofErr w:type="spellEnd"/>
      <w:r w:rsidRPr="00B1089D">
        <w:t xml:space="preserve"> </w:t>
      </w:r>
      <w:proofErr w:type="spellStart"/>
      <w:r w:rsidRPr="00B1089D">
        <w:t>errors</w:t>
      </w:r>
      <w:proofErr w:type="spellEnd"/>
      <w:r w:rsidRPr="00B1089D">
        <w:t xml:space="preserve"> </w:t>
      </w:r>
      <w:proofErr w:type="spellStart"/>
      <w:r w:rsidRPr="00B1089D">
        <w:t>should</w:t>
      </w:r>
      <w:proofErr w:type="spellEnd"/>
      <w:r w:rsidRPr="00B1089D">
        <w:t xml:space="preserve"> be </w:t>
      </w:r>
      <w:proofErr w:type="spellStart"/>
      <w:r w:rsidRPr="00B1089D">
        <w:t>used</w:t>
      </w:r>
      <w:proofErr w:type="spellEnd"/>
      <w:r w:rsidRPr="00B1089D">
        <w:t xml:space="preserve">. </w:t>
      </w:r>
      <w:proofErr w:type="spellStart"/>
      <w:r w:rsidRPr="00B1089D">
        <w:t>Estimation</w:t>
      </w:r>
      <w:proofErr w:type="spellEnd"/>
      <w:r w:rsidRPr="00B1089D">
        <w:t xml:space="preserve"> </w:t>
      </w:r>
      <w:proofErr w:type="spellStart"/>
      <w:r w:rsidRPr="00B1089D">
        <w:t>results</w:t>
      </w:r>
      <w:proofErr w:type="spellEnd"/>
      <w:r w:rsidRPr="00B1089D">
        <w:t xml:space="preserve"> </w:t>
      </w:r>
      <w:proofErr w:type="spellStart"/>
      <w:r w:rsidRPr="00B1089D">
        <w:t>are</w:t>
      </w:r>
      <w:proofErr w:type="spellEnd"/>
      <w:r w:rsidRPr="00B1089D">
        <w:t xml:space="preserve"> </w:t>
      </w:r>
      <w:proofErr w:type="spellStart"/>
      <w:r w:rsidRPr="00B1089D">
        <w:t>shown</w:t>
      </w:r>
      <w:proofErr w:type="spellEnd"/>
      <w:r w:rsidRPr="00B1089D">
        <w:t xml:space="preserve"> in </w:t>
      </w:r>
      <w:proofErr w:type="spellStart"/>
      <w:r w:rsidRPr="00B1089D">
        <w:t>Table</w:t>
      </w:r>
      <w:proofErr w:type="spellEnd"/>
      <w:r w:rsidRPr="00B1089D">
        <w:t xml:space="preserve"> 8.</w:t>
      </w:r>
    </w:p>
    <w:p w14:paraId="26AC6036" w14:textId="77777777" w:rsidR="00FA457D" w:rsidRPr="00B1089D" w:rsidRDefault="00FA457D" w:rsidP="00E359E0">
      <w:pPr>
        <w:widowControl/>
        <w:jc w:val="both"/>
      </w:pPr>
      <w:proofErr w:type="spellStart"/>
      <w:r w:rsidRPr="00B1089D">
        <w:rPr>
          <w:b/>
          <w:bCs/>
        </w:rPr>
        <w:t>Table</w:t>
      </w:r>
      <w:proofErr w:type="spellEnd"/>
      <w:r w:rsidRPr="00B1089D">
        <w:rPr>
          <w:b/>
          <w:bCs/>
        </w:rPr>
        <w:t xml:space="preserve"> 8.</w:t>
      </w:r>
      <w:r w:rsidRPr="00B1089D">
        <w:t xml:space="preserve"> </w:t>
      </w:r>
      <w:proofErr w:type="spellStart"/>
      <w:r w:rsidRPr="00B1089D">
        <w:t>Estimation</w:t>
      </w:r>
      <w:proofErr w:type="spellEnd"/>
      <w:r w:rsidRPr="00B1089D">
        <w:t xml:space="preserve"> </w:t>
      </w:r>
      <w:proofErr w:type="spellStart"/>
      <w:r w:rsidRPr="00B1089D">
        <w:t>Results</w:t>
      </w:r>
      <w:proofErr w:type="spellEnd"/>
      <w:r w:rsidRPr="00B1089D">
        <w:t xml:space="preserve"> of </w:t>
      </w:r>
      <w:proofErr w:type="spellStart"/>
      <w:r w:rsidRPr="00B1089D">
        <w:t>All</w:t>
      </w:r>
      <w:proofErr w:type="spellEnd"/>
      <w:r w:rsidRPr="00B1089D">
        <w:t xml:space="preserve"> </w:t>
      </w:r>
      <w:proofErr w:type="spellStart"/>
      <w:r w:rsidRPr="00B1089D">
        <w:t>Regions</w:t>
      </w:r>
      <w:proofErr w:type="spellEnd"/>
      <w:r w:rsidRPr="00B1089D">
        <w:t xml:space="preserve"> </w:t>
      </w:r>
      <w:proofErr w:type="spellStart"/>
      <w:r w:rsidRPr="00B1089D">
        <w:t>with</w:t>
      </w:r>
      <w:proofErr w:type="spellEnd"/>
      <w:r w:rsidRPr="00B1089D">
        <w:t xml:space="preserve"> </w:t>
      </w:r>
      <w:proofErr w:type="spellStart"/>
      <w:r w:rsidRPr="00B1089D">
        <w:t>Driscoll</w:t>
      </w:r>
      <w:proofErr w:type="spellEnd"/>
      <w:r w:rsidRPr="00B1089D">
        <w:t xml:space="preserve"> – </w:t>
      </w:r>
      <w:proofErr w:type="spellStart"/>
      <w:r w:rsidRPr="00B1089D">
        <w:t>Kraay</w:t>
      </w:r>
      <w:proofErr w:type="spellEnd"/>
      <w:r w:rsidRPr="00B1089D">
        <w:t xml:space="preserve"> </w:t>
      </w:r>
      <w:proofErr w:type="spellStart"/>
      <w:r w:rsidRPr="00B1089D">
        <w:t>Robust</w:t>
      </w:r>
      <w:proofErr w:type="spellEnd"/>
      <w:r w:rsidRPr="00B1089D">
        <w:t xml:space="preserve"> Standard </w:t>
      </w:r>
      <w:proofErr w:type="spellStart"/>
      <w:r w:rsidRPr="00B1089D">
        <w:t>Errors</w:t>
      </w:r>
      <w:proofErr w:type="spellEnd"/>
      <w:r w:rsidRPr="00B1089D">
        <w:t>.</w:t>
      </w:r>
    </w:p>
    <w:tbl>
      <w:tblPr>
        <w:tblW w:w="0" w:type="auto"/>
        <w:tblCellMar>
          <w:top w:w="15" w:type="dxa"/>
          <w:left w:w="15" w:type="dxa"/>
          <w:bottom w:w="15" w:type="dxa"/>
          <w:right w:w="15" w:type="dxa"/>
        </w:tblCellMar>
        <w:tblLook w:val="04A0" w:firstRow="1" w:lastRow="0" w:firstColumn="1" w:lastColumn="0" w:noHBand="0" w:noVBand="1"/>
      </w:tblPr>
      <w:tblGrid>
        <w:gridCol w:w="1030"/>
        <w:gridCol w:w="957"/>
        <w:gridCol w:w="810"/>
        <w:gridCol w:w="810"/>
        <w:gridCol w:w="791"/>
        <w:gridCol w:w="1157"/>
        <w:gridCol w:w="937"/>
        <w:gridCol w:w="390"/>
      </w:tblGrid>
      <w:tr w:rsidR="00FA457D" w:rsidRPr="00B1089D" w14:paraId="0DCF1FEF" w14:textId="77777777" w:rsidTr="000610DA">
        <w:trPr>
          <w:trHeight w:val="466"/>
        </w:trPr>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3DF3BA3B" w14:textId="77777777" w:rsidR="00FA457D" w:rsidRPr="00B1089D" w:rsidRDefault="00FA457D" w:rsidP="000610DA">
            <w:pPr>
              <w:widowControl/>
            </w:pPr>
            <w:proofErr w:type="spellStart"/>
            <w:proofErr w:type="gramStart"/>
            <w:r w:rsidRPr="00B1089D">
              <w:rPr>
                <w:b/>
                <w:bCs/>
              </w:rPr>
              <w:t>lnGDP</w:t>
            </w:r>
            <w:proofErr w:type="spellEnd"/>
            <w:proofErr w:type="gramEnd"/>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4A3C2F44" w14:textId="412AD50A" w:rsidR="00FA457D" w:rsidRPr="00B1089D" w:rsidRDefault="00FA457D" w:rsidP="000610DA">
            <w:pPr>
              <w:widowControl/>
            </w:pPr>
            <w:proofErr w:type="spellStart"/>
            <w:r w:rsidRPr="00B1089D">
              <w:rPr>
                <w:b/>
                <w:bCs/>
              </w:rPr>
              <w:t>Coef</w:t>
            </w:r>
            <w:proofErr w:type="spellEnd"/>
            <w:r w:rsidRPr="00B1089D">
              <w:rPr>
                <w:b/>
                <w:bCs/>
              </w:rPr>
              <w:t>.</w:t>
            </w:r>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01EE28A3" w14:textId="233BC63D" w:rsidR="00FA457D" w:rsidRPr="00B1089D" w:rsidRDefault="00FA457D" w:rsidP="000610DA">
            <w:pPr>
              <w:widowControl/>
            </w:pPr>
            <w:proofErr w:type="spellStart"/>
            <w:proofErr w:type="gramStart"/>
            <w:r w:rsidRPr="00B1089D">
              <w:rPr>
                <w:b/>
                <w:bCs/>
              </w:rPr>
              <w:t>St.Err</w:t>
            </w:r>
            <w:proofErr w:type="spellEnd"/>
            <w:proofErr w:type="gramEnd"/>
            <w:r w:rsidRPr="00B1089D">
              <w:rPr>
                <w:b/>
                <w:bCs/>
              </w:rPr>
              <w:t>.</w:t>
            </w:r>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28999C08" w14:textId="4730D153" w:rsidR="00FA457D" w:rsidRPr="00B1089D" w:rsidRDefault="00FA457D" w:rsidP="000610DA">
            <w:pPr>
              <w:widowControl/>
            </w:pPr>
            <w:proofErr w:type="gramStart"/>
            <w:r w:rsidRPr="00B1089D">
              <w:rPr>
                <w:b/>
                <w:bCs/>
              </w:rPr>
              <w:t>t</w:t>
            </w:r>
            <w:proofErr w:type="gramEnd"/>
            <w:r w:rsidRPr="00B1089D">
              <w:rPr>
                <w:b/>
                <w:bCs/>
              </w:rPr>
              <w:t>-</w:t>
            </w:r>
            <w:proofErr w:type="spellStart"/>
            <w:r w:rsidRPr="00B1089D">
              <w:rPr>
                <w:b/>
                <w:bCs/>
              </w:rPr>
              <w:t>value</w:t>
            </w:r>
            <w:proofErr w:type="spellEnd"/>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280395D5" w14:textId="36DB3BB6" w:rsidR="00FA457D" w:rsidRPr="00B1089D" w:rsidRDefault="00FA457D" w:rsidP="000610DA">
            <w:pPr>
              <w:widowControl/>
            </w:pPr>
            <w:proofErr w:type="gramStart"/>
            <w:r w:rsidRPr="00B1089D">
              <w:rPr>
                <w:b/>
                <w:bCs/>
              </w:rPr>
              <w:t>p</w:t>
            </w:r>
            <w:proofErr w:type="gramEnd"/>
            <w:r w:rsidRPr="00B1089D">
              <w:rPr>
                <w:b/>
                <w:bCs/>
              </w:rPr>
              <w:t>-</w:t>
            </w:r>
            <w:proofErr w:type="spellStart"/>
            <w:r w:rsidRPr="00B1089D">
              <w:rPr>
                <w:b/>
                <w:bCs/>
              </w:rPr>
              <w:t>value</w:t>
            </w:r>
            <w:proofErr w:type="spellEnd"/>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2C97DC54" w14:textId="138E97CD" w:rsidR="00FA457D" w:rsidRPr="00B1089D" w:rsidRDefault="00FA457D" w:rsidP="000610DA">
            <w:pPr>
              <w:widowControl/>
            </w:pPr>
            <w:r w:rsidRPr="00B1089D">
              <w:rPr>
                <w:b/>
                <w:bCs/>
              </w:rPr>
              <w:t xml:space="preserve">[95% </w:t>
            </w:r>
            <w:proofErr w:type="spellStart"/>
            <w:r w:rsidRPr="00B1089D">
              <w:rPr>
                <w:b/>
                <w:bCs/>
              </w:rPr>
              <w:t>Conf</w:t>
            </w:r>
            <w:proofErr w:type="spellEnd"/>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58EC5516" w14:textId="60624F6A" w:rsidR="00FA457D" w:rsidRPr="00B1089D" w:rsidRDefault="00FA457D" w:rsidP="000610DA">
            <w:pPr>
              <w:widowControl/>
            </w:pPr>
            <w:proofErr w:type="spellStart"/>
            <w:r w:rsidRPr="00B1089D">
              <w:rPr>
                <w:b/>
                <w:bCs/>
              </w:rPr>
              <w:t>Interval</w:t>
            </w:r>
            <w:proofErr w:type="spellEnd"/>
            <w:r w:rsidRPr="00B1089D">
              <w:rPr>
                <w:b/>
                <w:bCs/>
              </w:rPr>
              <w:t>]</w:t>
            </w:r>
          </w:p>
        </w:tc>
        <w:tc>
          <w:tcPr>
            <w:tcW w:w="0" w:type="auto"/>
            <w:tcBorders>
              <w:top w:val="single" w:sz="8" w:space="0" w:color="000000"/>
              <w:bottom w:val="single" w:sz="4" w:space="0" w:color="000000"/>
            </w:tcBorders>
            <w:tcMar>
              <w:top w:w="15" w:type="dxa"/>
              <w:left w:w="15" w:type="dxa"/>
              <w:bottom w:w="0" w:type="dxa"/>
              <w:right w:w="15" w:type="dxa"/>
            </w:tcMar>
            <w:vAlign w:val="center"/>
            <w:hideMark/>
          </w:tcPr>
          <w:p w14:paraId="7D890D46" w14:textId="368D7B56" w:rsidR="00FA457D" w:rsidRPr="00B1089D" w:rsidRDefault="00FA457D" w:rsidP="000610DA">
            <w:pPr>
              <w:widowControl/>
            </w:pPr>
            <w:r w:rsidRPr="00B1089D">
              <w:rPr>
                <w:b/>
                <w:bCs/>
              </w:rPr>
              <w:t>Sig</w:t>
            </w:r>
          </w:p>
        </w:tc>
      </w:tr>
      <w:tr w:rsidR="00FA457D" w:rsidRPr="00B1089D" w14:paraId="680B2DBA" w14:textId="77777777" w:rsidTr="000610DA">
        <w:trPr>
          <w:trHeight w:val="466"/>
        </w:trPr>
        <w:tc>
          <w:tcPr>
            <w:tcW w:w="0" w:type="auto"/>
            <w:tcBorders>
              <w:top w:val="single" w:sz="4" w:space="0" w:color="000000"/>
            </w:tcBorders>
            <w:tcMar>
              <w:top w:w="15" w:type="dxa"/>
              <w:left w:w="15" w:type="dxa"/>
              <w:bottom w:w="0" w:type="dxa"/>
              <w:right w:w="15" w:type="dxa"/>
            </w:tcMar>
            <w:vAlign w:val="center"/>
            <w:hideMark/>
          </w:tcPr>
          <w:p w14:paraId="5E08BDB5" w14:textId="7100B151" w:rsidR="00FA457D" w:rsidRPr="00B1089D" w:rsidRDefault="000C6508" w:rsidP="000610DA">
            <w:pPr>
              <w:widowControl/>
            </w:pPr>
            <w:proofErr w:type="spellStart"/>
            <w:r w:rsidRPr="00B1089D">
              <w:lastRenderedPageBreak/>
              <w:t>İ</w:t>
            </w:r>
            <w:r w:rsidR="00FA457D" w:rsidRPr="00B1089D">
              <w:t>ns</w:t>
            </w:r>
            <w:proofErr w:type="spellEnd"/>
          </w:p>
        </w:tc>
        <w:tc>
          <w:tcPr>
            <w:tcW w:w="0" w:type="auto"/>
            <w:tcBorders>
              <w:top w:val="single" w:sz="4" w:space="0" w:color="000000"/>
            </w:tcBorders>
            <w:tcMar>
              <w:top w:w="15" w:type="dxa"/>
              <w:left w:w="15" w:type="dxa"/>
              <w:bottom w:w="0" w:type="dxa"/>
              <w:right w:w="15" w:type="dxa"/>
            </w:tcMar>
            <w:hideMark/>
          </w:tcPr>
          <w:p w14:paraId="1062B734" w14:textId="6CC1664F" w:rsidR="00FA457D" w:rsidRPr="00B1089D" w:rsidRDefault="00FA457D" w:rsidP="000610DA">
            <w:pPr>
              <w:widowControl/>
            </w:pPr>
            <w:r w:rsidRPr="00B1089D">
              <w:t>0.106</w:t>
            </w:r>
          </w:p>
        </w:tc>
        <w:tc>
          <w:tcPr>
            <w:tcW w:w="0" w:type="auto"/>
            <w:tcBorders>
              <w:top w:val="single" w:sz="4" w:space="0" w:color="000000"/>
            </w:tcBorders>
            <w:tcMar>
              <w:top w:w="15" w:type="dxa"/>
              <w:left w:w="15" w:type="dxa"/>
              <w:bottom w:w="0" w:type="dxa"/>
              <w:right w:w="15" w:type="dxa"/>
            </w:tcMar>
            <w:hideMark/>
          </w:tcPr>
          <w:p w14:paraId="361AEF54" w14:textId="527EDD42" w:rsidR="00FA457D" w:rsidRPr="00B1089D" w:rsidRDefault="00FA457D" w:rsidP="000610DA">
            <w:pPr>
              <w:widowControl/>
            </w:pPr>
            <w:r w:rsidRPr="00B1089D">
              <w:t>0.020</w:t>
            </w:r>
          </w:p>
        </w:tc>
        <w:tc>
          <w:tcPr>
            <w:tcW w:w="0" w:type="auto"/>
            <w:tcBorders>
              <w:top w:val="single" w:sz="4" w:space="0" w:color="000000"/>
            </w:tcBorders>
            <w:tcMar>
              <w:top w:w="15" w:type="dxa"/>
              <w:left w:w="15" w:type="dxa"/>
              <w:bottom w:w="0" w:type="dxa"/>
              <w:right w:w="15" w:type="dxa"/>
            </w:tcMar>
            <w:hideMark/>
          </w:tcPr>
          <w:p w14:paraId="425C2E26" w14:textId="67FB10DB" w:rsidR="00FA457D" w:rsidRPr="00B1089D" w:rsidRDefault="00FA457D" w:rsidP="000610DA">
            <w:pPr>
              <w:widowControl/>
            </w:pPr>
            <w:r w:rsidRPr="00B1089D">
              <w:t>5.410</w:t>
            </w:r>
          </w:p>
        </w:tc>
        <w:tc>
          <w:tcPr>
            <w:tcW w:w="0" w:type="auto"/>
            <w:tcBorders>
              <w:top w:val="single" w:sz="4" w:space="0" w:color="000000"/>
            </w:tcBorders>
            <w:tcMar>
              <w:top w:w="15" w:type="dxa"/>
              <w:left w:w="15" w:type="dxa"/>
              <w:bottom w:w="0" w:type="dxa"/>
              <w:right w:w="15" w:type="dxa"/>
            </w:tcMar>
            <w:hideMark/>
          </w:tcPr>
          <w:p w14:paraId="65635054" w14:textId="25C28045" w:rsidR="00FA457D" w:rsidRPr="00B1089D" w:rsidRDefault="00FA457D" w:rsidP="000610DA">
            <w:pPr>
              <w:widowControl/>
            </w:pPr>
            <w:r w:rsidRPr="00B1089D">
              <w:t>0.000</w:t>
            </w:r>
          </w:p>
        </w:tc>
        <w:tc>
          <w:tcPr>
            <w:tcW w:w="0" w:type="auto"/>
            <w:tcBorders>
              <w:top w:val="single" w:sz="4" w:space="0" w:color="000000"/>
            </w:tcBorders>
            <w:tcMar>
              <w:top w:w="15" w:type="dxa"/>
              <w:left w:w="15" w:type="dxa"/>
              <w:bottom w:w="0" w:type="dxa"/>
              <w:right w:w="15" w:type="dxa"/>
            </w:tcMar>
            <w:hideMark/>
          </w:tcPr>
          <w:p w14:paraId="2E0D8F44" w14:textId="31BFA152" w:rsidR="00FA457D" w:rsidRPr="00B1089D" w:rsidRDefault="00FA457D" w:rsidP="000610DA">
            <w:pPr>
              <w:widowControl/>
            </w:pPr>
            <w:r w:rsidRPr="00B1089D">
              <w:t>0.064</w:t>
            </w:r>
          </w:p>
        </w:tc>
        <w:tc>
          <w:tcPr>
            <w:tcW w:w="0" w:type="auto"/>
            <w:tcBorders>
              <w:top w:val="single" w:sz="4" w:space="0" w:color="000000"/>
            </w:tcBorders>
            <w:tcMar>
              <w:top w:w="15" w:type="dxa"/>
              <w:left w:w="15" w:type="dxa"/>
              <w:bottom w:w="0" w:type="dxa"/>
              <w:right w:w="15" w:type="dxa"/>
            </w:tcMar>
            <w:hideMark/>
          </w:tcPr>
          <w:p w14:paraId="593DFAFE" w14:textId="1F9CA0DB" w:rsidR="00FA457D" w:rsidRPr="00B1089D" w:rsidRDefault="00FA457D" w:rsidP="000610DA">
            <w:pPr>
              <w:widowControl/>
            </w:pPr>
            <w:r w:rsidRPr="00B1089D">
              <w:t>0.148</w:t>
            </w:r>
          </w:p>
        </w:tc>
        <w:tc>
          <w:tcPr>
            <w:tcW w:w="0" w:type="auto"/>
            <w:tcBorders>
              <w:top w:val="single" w:sz="4" w:space="0" w:color="000000"/>
            </w:tcBorders>
            <w:tcMar>
              <w:top w:w="15" w:type="dxa"/>
              <w:left w:w="15" w:type="dxa"/>
              <w:bottom w:w="0" w:type="dxa"/>
              <w:right w:w="15" w:type="dxa"/>
            </w:tcMar>
            <w:vAlign w:val="center"/>
            <w:hideMark/>
          </w:tcPr>
          <w:p w14:paraId="39D2D391" w14:textId="77777777" w:rsidR="00FA457D" w:rsidRPr="00B1089D" w:rsidRDefault="00FA457D" w:rsidP="000610DA">
            <w:pPr>
              <w:widowControl/>
            </w:pPr>
            <w:r w:rsidRPr="00B1089D">
              <w:t>***</w:t>
            </w:r>
          </w:p>
        </w:tc>
      </w:tr>
      <w:tr w:rsidR="00FA457D" w:rsidRPr="00B1089D" w14:paraId="76A1CCA7" w14:textId="77777777" w:rsidTr="000610DA">
        <w:trPr>
          <w:trHeight w:val="466"/>
        </w:trPr>
        <w:tc>
          <w:tcPr>
            <w:tcW w:w="0" w:type="auto"/>
            <w:tcMar>
              <w:top w:w="15" w:type="dxa"/>
              <w:left w:w="15" w:type="dxa"/>
              <w:bottom w:w="0" w:type="dxa"/>
              <w:right w:w="15" w:type="dxa"/>
            </w:tcMar>
            <w:vAlign w:val="center"/>
            <w:hideMark/>
          </w:tcPr>
          <w:p w14:paraId="0FE6206D" w14:textId="3B6E4CD6" w:rsidR="00FA457D" w:rsidRPr="00B1089D" w:rsidRDefault="000C6508" w:rsidP="000610DA">
            <w:pPr>
              <w:widowControl/>
            </w:pPr>
            <w:proofErr w:type="spellStart"/>
            <w:r w:rsidRPr="00B1089D">
              <w:t>L</w:t>
            </w:r>
            <w:r w:rsidR="00FA457D" w:rsidRPr="00B1089D">
              <w:t>ab</w:t>
            </w:r>
            <w:proofErr w:type="spellEnd"/>
          </w:p>
        </w:tc>
        <w:tc>
          <w:tcPr>
            <w:tcW w:w="0" w:type="auto"/>
            <w:tcMar>
              <w:top w:w="15" w:type="dxa"/>
              <w:left w:w="15" w:type="dxa"/>
              <w:bottom w:w="0" w:type="dxa"/>
              <w:right w:w="15" w:type="dxa"/>
            </w:tcMar>
            <w:hideMark/>
          </w:tcPr>
          <w:p w14:paraId="0A769FA3" w14:textId="56D3B1C5" w:rsidR="00FA457D" w:rsidRPr="00B1089D" w:rsidRDefault="00FA457D" w:rsidP="000610DA">
            <w:pPr>
              <w:widowControl/>
            </w:pPr>
            <w:r w:rsidRPr="00B1089D">
              <w:t>0.078</w:t>
            </w:r>
          </w:p>
        </w:tc>
        <w:tc>
          <w:tcPr>
            <w:tcW w:w="0" w:type="auto"/>
            <w:tcMar>
              <w:top w:w="15" w:type="dxa"/>
              <w:left w:w="15" w:type="dxa"/>
              <w:bottom w:w="0" w:type="dxa"/>
              <w:right w:w="15" w:type="dxa"/>
            </w:tcMar>
            <w:hideMark/>
          </w:tcPr>
          <w:p w14:paraId="03D6DFE0" w14:textId="1257C5F6" w:rsidR="00FA457D" w:rsidRPr="00B1089D" w:rsidRDefault="00FA457D" w:rsidP="000610DA">
            <w:pPr>
              <w:widowControl/>
            </w:pPr>
            <w:r w:rsidRPr="00B1089D">
              <w:t>0.008</w:t>
            </w:r>
          </w:p>
        </w:tc>
        <w:tc>
          <w:tcPr>
            <w:tcW w:w="0" w:type="auto"/>
            <w:tcMar>
              <w:top w:w="15" w:type="dxa"/>
              <w:left w:w="15" w:type="dxa"/>
              <w:bottom w:w="0" w:type="dxa"/>
              <w:right w:w="15" w:type="dxa"/>
            </w:tcMar>
            <w:hideMark/>
          </w:tcPr>
          <w:p w14:paraId="65573591" w14:textId="4C52175A" w:rsidR="00FA457D" w:rsidRPr="00B1089D" w:rsidRDefault="00FA457D" w:rsidP="000610DA">
            <w:pPr>
              <w:widowControl/>
            </w:pPr>
            <w:r w:rsidRPr="00B1089D">
              <w:t>9.720</w:t>
            </w:r>
          </w:p>
        </w:tc>
        <w:tc>
          <w:tcPr>
            <w:tcW w:w="0" w:type="auto"/>
            <w:tcMar>
              <w:top w:w="15" w:type="dxa"/>
              <w:left w:w="15" w:type="dxa"/>
              <w:bottom w:w="0" w:type="dxa"/>
              <w:right w:w="15" w:type="dxa"/>
            </w:tcMar>
            <w:hideMark/>
          </w:tcPr>
          <w:p w14:paraId="5DAEE76C" w14:textId="0456BF40"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19F0FBB8" w14:textId="0EF3AEC7" w:rsidR="00FA457D" w:rsidRPr="00B1089D" w:rsidRDefault="00FA457D" w:rsidP="000610DA">
            <w:pPr>
              <w:widowControl/>
            </w:pPr>
            <w:r w:rsidRPr="00B1089D">
              <w:t>0.061</w:t>
            </w:r>
          </w:p>
        </w:tc>
        <w:tc>
          <w:tcPr>
            <w:tcW w:w="0" w:type="auto"/>
            <w:tcMar>
              <w:top w:w="15" w:type="dxa"/>
              <w:left w:w="15" w:type="dxa"/>
              <w:bottom w:w="0" w:type="dxa"/>
              <w:right w:w="15" w:type="dxa"/>
            </w:tcMar>
            <w:hideMark/>
          </w:tcPr>
          <w:p w14:paraId="4CF58162" w14:textId="3584C86F" w:rsidR="00FA457D" w:rsidRPr="00B1089D" w:rsidRDefault="00FA457D" w:rsidP="000610DA">
            <w:pPr>
              <w:widowControl/>
            </w:pPr>
            <w:r w:rsidRPr="00B1089D">
              <w:t>0.095</w:t>
            </w:r>
          </w:p>
        </w:tc>
        <w:tc>
          <w:tcPr>
            <w:tcW w:w="0" w:type="auto"/>
            <w:tcMar>
              <w:top w:w="15" w:type="dxa"/>
              <w:left w:w="15" w:type="dxa"/>
              <w:bottom w:w="0" w:type="dxa"/>
              <w:right w:w="15" w:type="dxa"/>
            </w:tcMar>
            <w:vAlign w:val="center"/>
            <w:hideMark/>
          </w:tcPr>
          <w:p w14:paraId="017167A5" w14:textId="77777777" w:rsidR="00FA457D" w:rsidRPr="00B1089D" w:rsidRDefault="00FA457D" w:rsidP="000610DA">
            <w:pPr>
              <w:widowControl/>
            </w:pPr>
            <w:r w:rsidRPr="00B1089D">
              <w:t>***</w:t>
            </w:r>
          </w:p>
        </w:tc>
      </w:tr>
      <w:tr w:rsidR="00FA457D" w:rsidRPr="00B1089D" w14:paraId="1ED28C9B" w14:textId="77777777" w:rsidTr="000610DA">
        <w:trPr>
          <w:trHeight w:val="466"/>
        </w:trPr>
        <w:tc>
          <w:tcPr>
            <w:tcW w:w="0" w:type="auto"/>
            <w:tcMar>
              <w:top w:w="15" w:type="dxa"/>
              <w:left w:w="15" w:type="dxa"/>
              <w:bottom w:w="0" w:type="dxa"/>
              <w:right w:w="15" w:type="dxa"/>
            </w:tcMar>
            <w:vAlign w:val="center"/>
            <w:hideMark/>
          </w:tcPr>
          <w:p w14:paraId="383506D9" w14:textId="5E56F403" w:rsidR="00FA457D" w:rsidRPr="00B1089D" w:rsidRDefault="000C6508" w:rsidP="000610DA">
            <w:pPr>
              <w:widowControl/>
            </w:pPr>
            <w:proofErr w:type="spellStart"/>
            <w:r w:rsidRPr="00B1089D">
              <w:t>C</w:t>
            </w:r>
            <w:r w:rsidR="00FA457D" w:rsidRPr="00B1089D">
              <w:t>ap</w:t>
            </w:r>
            <w:proofErr w:type="spellEnd"/>
          </w:p>
        </w:tc>
        <w:tc>
          <w:tcPr>
            <w:tcW w:w="0" w:type="auto"/>
            <w:tcMar>
              <w:top w:w="15" w:type="dxa"/>
              <w:left w:w="15" w:type="dxa"/>
              <w:bottom w:w="0" w:type="dxa"/>
              <w:right w:w="15" w:type="dxa"/>
            </w:tcMar>
            <w:hideMark/>
          </w:tcPr>
          <w:p w14:paraId="655492AA" w14:textId="420A1062" w:rsidR="00FA457D" w:rsidRPr="00B1089D" w:rsidRDefault="00FA457D" w:rsidP="000610DA">
            <w:pPr>
              <w:widowControl/>
            </w:pPr>
            <w:r w:rsidRPr="00B1089D">
              <w:t>-6.</w:t>
            </w:r>
            <w:proofErr w:type="gramStart"/>
            <w:r w:rsidRPr="00B1089D">
              <w:t>91e</w:t>
            </w:r>
            <w:proofErr w:type="gramEnd"/>
            <w:r w:rsidRPr="00B1089D">
              <w:t>-08</w:t>
            </w:r>
          </w:p>
        </w:tc>
        <w:tc>
          <w:tcPr>
            <w:tcW w:w="0" w:type="auto"/>
            <w:tcMar>
              <w:top w:w="15" w:type="dxa"/>
              <w:left w:w="15" w:type="dxa"/>
              <w:bottom w:w="0" w:type="dxa"/>
              <w:right w:w="15" w:type="dxa"/>
            </w:tcMar>
            <w:hideMark/>
          </w:tcPr>
          <w:p w14:paraId="788B69CF" w14:textId="17235313"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1767132D" w14:textId="4136C0B7" w:rsidR="00FA457D" w:rsidRPr="00B1089D" w:rsidRDefault="00FA457D" w:rsidP="000610DA">
            <w:pPr>
              <w:widowControl/>
            </w:pPr>
            <w:r w:rsidRPr="00B1089D">
              <w:t>-6.240</w:t>
            </w:r>
          </w:p>
        </w:tc>
        <w:tc>
          <w:tcPr>
            <w:tcW w:w="0" w:type="auto"/>
            <w:tcMar>
              <w:top w:w="15" w:type="dxa"/>
              <w:left w:w="15" w:type="dxa"/>
              <w:bottom w:w="0" w:type="dxa"/>
              <w:right w:w="15" w:type="dxa"/>
            </w:tcMar>
            <w:hideMark/>
          </w:tcPr>
          <w:p w14:paraId="68576B41" w14:textId="6C8C0AE3"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7CBA8882" w14:textId="538AA192"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1B13D2A6" w14:textId="086548AA" w:rsidR="00FA457D" w:rsidRPr="00B1089D" w:rsidRDefault="00FA457D" w:rsidP="000610DA">
            <w:pPr>
              <w:widowControl/>
            </w:pPr>
            <w:r w:rsidRPr="00B1089D">
              <w:t>-0.000</w:t>
            </w:r>
          </w:p>
        </w:tc>
        <w:tc>
          <w:tcPr>
            <w:tcW w:w="0" w:type="auto"/>
            <w:tcMar>
              <w:top w:w="15" w:type="dxa"/>
              <w:left w:w="15" w:type="dxa"/>
              <w:bottom w:w="0" w:type="dxa"/>
              <w:right w:w="15" w:type="dxa"/>
            </w:tcMar>
            <w:vAlign w:val="center"/>
            <w:hideMark/>
          </w:tcPr>
          <w:p w14:paraId="6284E1AD" w14:textId="77777777" w:rsidR="00FA457D" w:rsidRPr="00B1089D" w:rsidRDefault="00FA457D" w:rsidP="000610DA">
            <w:pPr>
              <w:widowControl/>
            </w:pPr>
            <w:r w:rsidRPr="00B1089D">
              <w:t>***</w:t>
            </w:r>
          </w:p>
        </w:tc>
      </w:tr>
      <w:tr w:rsidR="00FA457D" w:rsidRPr="00B1089D" w14:paraId="00D52E31" w14:textId="77777777" w:rsidTr="000610DA">
        <w:trPr>
          <w:trHeight w:val="466"/>
        </w:trPr>
        <w:tc>
          <w:tcPr>
            <w:tcW w:w="0" w:type="auto"/>
            <w:tcMar>
              <w:top w:w="15" w:type="dxa"/>
              <w:left w:w="15" w:type="dxa"/>
              <w:bottom w:w="0" w:type="dxa"/>
              <w:right w:w="15" w:type="dxa"/>
            </w:tcMar>
            <w:vAlign w:val="center"/>
            <w:hideMark/>
          </w:tcPr>
          <w:p w14:paraId="0E68D939" w14:textId="77777777" w:rsidR="00FA457D" w:rsidRPr="00B1089D" w:rsidRDefault="00FA457D" w:rsidP="000610DA">
            <w:pPr>
              <w:widowControl/>
            </w:pPr>
            <w:r w:rsidRPr="00B1089D">
              <w:t>2006</w:t>
            </w:r>
          </w:p>
        </w:tc>
        <w:tc>
          <w:tcPr>
            <w:tcW w:w="0" w:type="auto"/>
            <w:tcMar>
              <w:top w:w="15" w:type="dxa"/>
              <w:left w:w="15" w:type="dxa"/>
              <w:bottom w:w="0" w:type="dxa"/>
              <w:right w:w="15" w:type="dxa"/>
            </w:tcMar>
            <w:vAlign w:val="center"/>
            <w:hideMark/>
          </w:tcPr>
          <w:p w14:paraId="67621B0C"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39B4962B"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FF1BE4B"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81E38CF"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1A7636D1"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4421ACB1"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AEAE80D" w14:textId="77777777" w:rsidR="00FA457D" w:rsidRPr="00B1089D" w:rsidRDefault="00FA457D" w:rsidP="000610DA">
            <w:pPr>
              <w:widowControl/>
            </w:pPr>
          </w:p>
        </w:tc>
      </w:tr>
      <w:tr w:rsidR="00FA457D" w:rsidRPr="00B1089D" w14:paraId="657CF39D" w14:textId="77777777" w:rsidTr="000610DA">
        <w:trPr>
          <w:trHeight w:val="466"/>
        </w:trPr>
        <w:tc>
          <w:tcPr>
            <w:tcW w:w="0" w:type="auto"/>
            <w:tcMar>
              <w:top w:w="15" w:type="dxa"/>
              <w:left w:w="15" w:type="dxa"/>
              <w:bottom w:w="0" w:type="dxa"/>
              <w:right w:w="15" w:type="dxa"/>
            </w:tcMar>
            <w:vAlign w:val="center"/>
            <w:hideMark/>
          </w:tcPr>
          <w:p w14:paraId="0D59BDC2" w14:textId="77777777" w:rsidR="00FA457D" w:rsidRPr="00B1089D" w:rsidRDefault="00FA457D" w:rsidP="000610DA">
            <w:pPr>
              <w:widowControl/>
            </w:pPr>
            <w:r w:rsidRPr="00B1089D">
              <w:t>2007</w:t>
            </w:r>
          </w:p>
        </w:tc>
        <w:tc>
          <w:tcPr>
            <w:tcW w:w="0" w:type="auto"/>
            <w:tcMar>
              <w:top w:w="15" w:type="dxa"/>
              <w:left w:w="15" w:type="dxa"/>
              <w:bottom w:w="0" w:type="dxa"/>
              <w:right w:w="15" w:type="dxa"/>
            </w:tcMar>
            <w:hideMark/>
          </w:tcPr>
          <w:p w14:paraId="46D1788B" w14:textId="30A16771" w:rsidR="00FA457D" w:rsidRPr="00B1089D" w:rsidRDefault="00FA457D" w:rsidP="000610DA">
            <w:pPr>
              <w:widowControl/>
            </w:pPr>
            <w:r w:rsidRPr="00B1089D">
              <w:t>0.042</w:t>
            </w:r>
          </w:p>
        </w:tc>
        <w:tc>
          <w:tcPr>
            <w:tcW w:w="0" w:type="auto"/>
            <w:tcMar>
              <w:top w:w="15" w:type="dxa"/>
              <w:left w:w="15" w:type="dxa"/>
              <w:bottom w:w="0" w:type="dxa"/>
              <w:right w:w="15" w:type="dxa"/>
            </w:tcMar>
            <w:hideMark/>
          </w:tcPr>
          <w:p w14:paraId="6D0A5342" w14:textId="3B0A310B" w:rsidR="00FA457D" w:rsidRPr="00B1089D" w:rsidRDefault="00FA457D" w:rsidP="000610DA">
            <w:pPr>
              <w:widowControl/>
            </w:pPr>
            <w:r w:rsidRPr="00B1089D">
              <w:t>0.002</w:t>
            </w:r>
          </w:p>
        </w:tc>
        <w:tc>
          <w:tcPr>
            <w:tcW w:w="0" w:type="auto"/>
            <w:tcMar>
              <w:top w:w="15" w:type="dxa"/>
              <w:left w:w="15" w:type="dxa"/>
              <w:bottom w:w="0" w:type="dxa"/>
              <w:right w:w="15" w:type="dxa"/>
            </w:tcMar>
            <w:hideMark/>
          </w:tcPr>
          <w:p w14:paraId="4028FC91" w14:textId="1108486B" w:rsidR="00FA457D" w:rsidRPr="00B1089D" w:rsidRDefault="00FA457D" w:rsidP="000610DA">
            <w:pPr>
              <w:widowControl/>
            </w:pPr>
            <w:r w:rsidRPr="00B1089D">
              <w:t>24.330</w:t>
            </w:r>
          </w:p>
        </w:tc>
        <w:tc>
          <w:tcPr>
            <w:tcW w:w="0" w:type="auto"/>
            <w:tcMar>
              <w:top w:w="15" w:type="dxa"/>
              <w:left w:w="15" w:type="dxa"/>
              <w:bottom w:w="0" w:type="dxa"/>
              <w:right w:w="15" w:type="dxa"/>
            </w:tcMar>
            <w:hideMark/>
          </w:tcPr>
          <w:p w14:paraId="7F6E2E99" w14:textId="05CEE70C"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40FEA150" w14:textId="6D827758" w:rsidR="00FA457D" w:rsidRPr="00B1089D" w:rsidRDefault="00FA457D" w:rsidP="000610DA">
            <w:pPr>
              <w:widowControl/>
            </w:pPr>
            <w:r w:rsidRPr="00B1089D">
              <w:t>0.038</w:t>
            </w:r>
          </w:p>
        </w:tc>
        <w:tc>
          <w:tcPr>
            <w:tcW w:w="0" w:type="auto"/>
            <w:tcMar>
              <w:top w:w="15" w:type="dxa"/>
              <w:left w:w="15" w:type="dxa"/>
              <w:bottom w:w="0" w:type="dxa"/>
              <w:right w:w="15" w:type="dxa"/>
            </w:tcMar>
            <w:hideMark/>
          </w:tcPr>
          <w:p w14:paraId="037F4C1D" w14:textId="41296FD1" w:rsidR="00FA457D" w:rsidRPr="00B1089D" w:rsidRDefault="00FA457D" w:rsidP="000610DA">
            <w:pPr>
              <w:widowControl/>
            </w:pPr>
            <w:r w:rsidRPr="00B1089D">
              <w:t>0.046</w:t>
            </w:r>
          </w:p>
        </w:tc>
        <w:tc>
          <w:tcPr>
            <w:tcW w:w="0" w:type="auto"/>
            <w:tcMar>
              <w:top w:w="15" w:type="dxa"/>
              <w:left w:w="15" w:type="dxa"/>
              <w:bottom w:w="0" w:type="dxa"/>
              <w:right w:w="15" w:type="dxa"/>
            </w:tcMar>
            <w:vAlign w:val="center"/>
            <w:hideMark/>
          </w:tcPr>
          <w:p w14:paraId="4597A40A" w14:textId="77777777" w:rsidR="00FA457D" w:rsidRPr="00B1089D" w:rsidRDefault="00FA457D" w:rsidP="000610DA">
            <w:pPr>
              <w:widowControl/>
            </w:pPr>
            <w:r w:rsidRPr="00B1089D">
              <w:t>***</w:t>
            </w:r>
          </w:p>
        </w:tc>
      </w:tr>
      <w:tr w:rsidR="00FA457D" w:rsidRPr="00B1089D" w14:paraId="25789FBE" w14:textId="77777777" w:rsidTr="000610DA">
        <w:trPr>
          <w:trHeight w:val="466"/>
        </w:trPr>
        <w:tc>
          <w:tcPr>
            <w:tcW w:w="0" w:type="auto"/>
            <w:tcMar>
              <w:top w:w="15" w:type="dxa"/>
              <w:left w:w="15" w:type="dxa"/>
              <w:bottom w:w="0" w:type="dxa"/>
              <w:right w:w="15" w:type="dxa"/>
            </w:tcMar>
            <w:vAlign w:val="center"/>
            <w:hideMark/>
          </w:tcPr>
          <w:p w14:paraId="059AC207" w14:textId="77777777" w:rsidR="00FA457D" w:rsidRPr="00B1089D" w:rsidRDefault="00FA457D" w:rsidP="000610DA">
            <w:pPr>
              <w:widowControl/>
            </w:pPr>
            <w:r w:rsidRPr="00B1089D">
              <w:t>2008</w:t>
            </w:r>
          </w:p>
        </w:tc>
        <w:tc>
          <w:tcPr>
            <w:tcW w:w="0" w:type="auto"/>
            <w:tcMar>
              <w:top w:w="15" w:type="dxa"/>
              <w:left w:w="15" w:type="dxa"/>
              <w:bottom w:w="0" w:type="dxa"/>
              <w:right w:w="15" w:type="dxa"/>
            </w:tcMar>
            <w:hideMark/>
          </w:tcPr>
          <w:p w14:paraId="1D1240EA" w14:textId="6DB380B6" w:rsidR="00FA457D" w:rsidRPr="00B1089D" w:rsidRDefault="00FA457D" w:rsidP="000610DA">
            <w:pPr>
              <w:widowControl/>
            </w:pPr>
            <w:r w:rsidRPr="00B1089D">
              <w:t>-0.203</w:t>
            </w:r>
          </w:p>
        </w:tc>
        <w:tc>
          <w:tcPr>
            <w:tcW w:w="0" w:type="auto"/>
            <w:tcMar>
              <w:top w:w="15" w:type="dxa"/>
              <w:left w:w="15" w:type="dxa"/>
              <w:bottom w:w="0" w:type="dxa"/>
              <w:right w:w="15" w:type="dxa"/>
            </w:tcMar>
            <w:hideMark/>
          </w:tcPr>
          <w:p w14:paraId="60511797" w14:textId="1A5DB384"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2202D9BE" w14:textId="17BC89ED" w:rsidR="00FA457D" w:rsidRPr="00B1089D" w:rsidRDefault="00FA457D" w:rsidP="000610DA">
            <w:pPr>
              <w:widowControl/>
            </w:pPr>
            <w:r w:rsidRPr="00B1089D">
              <w:t>-58.910</w:t>
            </w:r>
          </w:p>
        </w:tc>
        <w:tc>
          <w:tcPr>
            <w:tcW w:w="0" w:type="auto"/>
            <w:tcMar>
              <w:top w:w="15" w:type="dxa"/>
              <w:left w:w="15" w:type="dxa"/>
              <w:bottom w:w="0" w:type="dxa"/>
              <w:right w:w="15" w:type="dxa"/>
            </w:tcMar>
            <w:hideMark/>
          </w:tcPr>
          <w:p w14:paraId="6268185A" w14:textId="3703FAB3"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4E7B15BA" w14:textId="2EB5884F" w:rsidR="00FA457D" w:rsidRPr="00B1089D" w:rsidRDefault="00FA457D" w:rsidP="000610DA">
            <w:pPr>
              <w:widowControl/>
            </w:pPr>
            <w:r w:rsidRPr="00B1089D">
              <w:t>-0.211</w:t>
            </w:r>
          </w:p>
        </w:tc>
        <w:tc>
          <w:tcPr>
            <w:tcW w:w="0" w:type="auto"/>
            <w:tcMar>
              <w:top w:w="15" w:type="dxa"/>
              <w:left w:w="15" w:type="dxa"/>
              <w:bottom w:w="0" w:type="dxa"/>
              <w:right w:w="15" w:type="dxa"/>
            </w:tcMar>
            <w:hideMark/>
          </w:tcPr>
          <w:p w14:paraId="62FD6306" w14:textId="053B0C07" w:rsidR="00FA457D" w:rsidRPr="00B1089D" w:rsidRDefault="00FA457D" w:rsidP="000610DA">
            <w:pPr>
              <w:widowControl/>
            </w:pPr>
            <w:r w:rsidRPr="00B1089D">
              <w:t>-0.196</w:t>
            </w:r>
          </w:p>
        </w:tc>
        <w:tc>
          <w:tcPr>
            <w:tcW w:w="0" w:type="auto"/>
            <w:tcMar>
              <w:top w:w="15" w:type="dxa"/>
              <w:left w:w="15" w:type="dxa"/>
              <w:bottom w:w="0" w:type="dxa"/>
              <w:right w:w="15" w:type="dxa"/>
            </w:tcMar>
            <w:vAlign w:val="center"/>
            <w:hideMark/>
          </w:tcPr>
          <w:p w14:paraId="2DCCD0F2" w14:textId="77777777" w:rsidR="00FA457D" w:rsidRPr="00B1089D" w:rsidRDefault="00FA457D" w:rsidP="000610DA">
            <w:pPr>
              <w:widowControl/>
            </w:pPr>
            <w:r w:rsidRPr="00B1089D">
              <w:t>***</w:t>
            </w:r>
          </w:p>
        </w:tc>
      </w:tr>
      <w:tr w:rsidR="00FA457D" w:rsidRPr="00B1089D" w14:paraId="30B26703" w14:textId="77777777" w:rsidTr="000610DA">
        <w:trPr>
          <w:trHeight w:val="466"/>
        </w:trPr>
        <w:tc>
          <w:tcPr>
            <w:tcW w:w="0" w:type="auto"/>
            <w:tcMar>
              <w:top w:w="15" w:type="dxa"/>
              <w:left w:w="15" w:type="dxa"/>
              <w:bottom w:w="0" w:type="dxa"/>
              <w:right w:w="15" w:type="dxa"/>
            </w:tcMar>
            <w:vAlign w:val="center"/>
            <w:hideMark/>
          </w:tcPr>
          <w:p w14:paraId="1F950EF9" w14:textId="77777777" w:rsidR="00FA457D" w:rsidRPr="00B1089D" w:rsidRDefault="00FA457D" w:rsidP="000610DA">
            <w:pPr>
              <w:widowControl/>
            </w:pPr>
            <w:r w:rsidRPr="00B1089D">
              <w:t>2009</w:t>
            </w:r>
          </w:p>
        </w:tc>
        <w:tc>
          <w:tcPr>
            <w:tcW w:w="0" w:type="auto"/>
            <w:tcMar>
              <w:top w:w="15" w:type="dxa"/>
              <w:left w:w="15" w:type="dxa"/>
              <w:bottom w:w="0" w:type="dxa"/>
              <w:right w:w="15" w:type="dxa"/>
            </w:tcMar>
            <w:hideMark/>
          </w:tcPr>
          <w:p w14:paraId="346C1CDB" w14:textId="45492D67" w:rsidR="00FA457D" w:rsidRPr="00B1089D" w:rsidRDefault="00FA457D" w:rsidP="000610DA">
            <w:pPr>
              <w:widowControl/>
            </w:pPr>
            <w:r w:rsidRPr="00B1089D">
              <w:t>-0.228</w:t>
            </w:r>
          </w:p>
        </w:tc>
        <w:tc>
          <w:tcPr>
            <w:tcW w:w="0" w:type="auto"/>
            <w:tcMar>
              <w:top w:w="15" w:type="dxa"/>
              <w:left w:w="15" w:type="dxa"/>
              <w:bottom w:w="0" w:type="dxa"/>
              <w:right w:w="15" w:type="dxa"/>
            </w:tcMar>
            <w:hideMark/>
          </w:tcPr>
          <w:p w14:paraId="329BD274" w14:textId="235F9F7D"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1EE57E44" w14:textId="2676346F" w:rsidR="00FA457D" w:rsidRPr="00B1089D" w:rsidRDefault="00FA457D" w:rsidP="000610DA">
            <w:pPr>
              <w:widowControl/>
            </w:pPr>
            <w:r w:rsidRPr="00B1089D">
              <w:t>-66.160</w:t>
            </w:r>
          </w:p>
        </w:tc>
        <w:tc>
          <w:tcPr>
            <w:tcW w:w="0" w:type="auto"/>
            <w:tcMar>
              <w:top w:w="15" w:type="dxa"/>
              <w:left w:w="15" w:type="dxa"/>
              <w:bottom w:w="0" w:type="dxa"/>
              <w:right w:w="15" w:type="dxa"/>
            </w:tcMar>
            <w:hideMark/>
          </w:tcPr>
          <w:p w14:paraId="6529AD2D" w14:textId="1FC65EBE"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0AE57337" w14:textId="182D5F64" w:rsidR="00FA457D" w:rsidRPr="00B1089D" w:rsidRDefault="00FA457D" w:rsidP="000610DA">
            <w:pPr>
              <w:widowControl/>
            </w:pPr>
            <w:r w:rsidRPr="00B1089D">
              <w:t>-0.235</w:t>
            </w:r>
          </w:p>
        </w:tc>
        <w:tc>
          <w:tcPr>
            <w:tcW w:w="0" w:type="auto"/>
            <w:tcMar>
              <w:top w:w="15" w:type="dxa"/>
              <w:left w:w="15" w:type="dxa"/>
              <w:bottom w:w="0" w:type="dxa"/>
              <w:right w:w="15" w:type="dxa"/>
            </w:tcMar>
            <w:hideMark/>
          </w:tcPr>
          <w:p w14:paraId="1F81AC9F" w14:textId="1FB133EE" w:rsidR="00FA457D" w:rsidRPr="00B1089D" w:rsidRDefault="00FA457D" w:rsidP="000610DA">
            <w:pPr>
              <w:widowControl/>
            </w:pPr>
            <w:r w:rsidRPr="00B1089D">
              <w:t>-0.220</w:t>
            </w:r>
          </w:p>
        </w:tc>
        <w:tc>
          <w:tcPr>
            <w:tcW w:w="0" w:type="auto"/>
            <w:tcMar>
              <w:top w:w="15" w:type="dxa"/>
              <w:left w:w="15" w:type="dxa"/>
              <w:bottom w:w="0" w:type="dxa"/>
              <w:right w:w="15" w:type="dxa"/>
            </w:tcMar>
            <w:vAlign w:val="center"/>
            <w:hideMark/>
          </w:tcPr>
          <w:p w14:paraId="4CC8069C" w14:textId="77777777" w:rsidR="00FA457D" w:rsidRPr="00B1089D" w:rsidRDefault="00FA457D" w:rsidP="000610DA">
            <w:pPr>
              <w:widowControl/>
            </w:pPr>
            <w:r w:rsidRPr="00B1089D">
              <w:t>***</w:t>
            </w:r>
          </w:p>
        </w:tc>
      </w:tr>
      <w:tr w:rsidR="00FA457D" w:rsidRPr="00B1089D" w14:paraId="20FE2B22" w14:textId="77777777" w:rsidTr="000610DA">
        <w:trPr>
          <w:trHeight w:val="466"/>
        </w:trPr>
        <w:tc>
          <w:tcPr>
            <w:tcW w:w="0" w:type="auto"/>
            <w:tcMar>
              <w:top w:w="15" w:type="dxa"/>
              <w:left w:w="15" w:type="dxa"/>
              <w:bottom w:w="0" w:type="dxa"/>
              <w:right w:w="15" w:type="dxa"/>
            </w:tcMar>
            <w:vAlign w:val="center"/>
            <w:hideMark/>
          </w:tcPr>
          <w:p w14:paraId="4726BDD9" w14:textId="77777777" w:rsidR="00FA457D" w:rsidRPr="00B1089D" w:rsidRDefault="00FA457D" w:rsidP="000610DA">
            <w:pPr>
              <w:widowControl/>
            </w:pPr>
            <w:r w:rsidRPr="00B1089D">
              <w:t>2010</w:t>
            </w:r>
          </w:p>
        </w:tc>
        <w:tc>
          <w:tcPr>
            <w:tcW w:w="0" w:type="auto"/>
            <w:tcMar>
              <w:top w:w="15" w:type="dxa"/>
              <w:left w:w="15" w:type="dxa"/>
              <w:bottom w:w="0" w:type="dxa"/>
              <w:right w:w="15" w:type="dxa"/>
            </w:tcMar>
            <w:hideMark/>
          </w:tcPr>
          <w:p w14:paraId="344E0CEB" w14:textId="6C21F891" w:rsidR="00FA457D" w:rsidRPr="00B1089D" w:rsidRDefault="00FA457D" w:rsidP="000610DA">
            <w:pPr>
              <w:widowControl/>
            </w:pPr>
            <w:r w:rsidRPr="00B1089D">
              <w:t>-0.199</w:t>
            </w:r>
          </w:p>
        </w:tc>
        <w:tc>
          <w:tcPr>
            <w:tcW w:w="0" w:type="auto"/>
            <w:tcMar>
              <w:top w:w="15" w:type="dxa"/>
              <w:left w:w="15" w:type="dxa"/>
              <w:bottom w:w="0" w:type="dxa"/>
              <w:right w:w="15" w:type="dxa"/>
            </w:tcMar>
            <w:hideMark/>
          </w:tcPr>
          <w:p w14:paraId="31525A1B" w14:textId="6E49BAF9"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3F578344" w14:textId="1D96DCAB" w:rsidR="00FA457D" w:rsidRPr="00B1089D" w:rsidRDefault="00FA457D" w:rsidP="000610DA">
            <w:pPr>
              <w:widowControl/>
            </w:pPr>
            <w:r w:rsidRPr="00B1089D">
              <w:t>-58.780</w:t>
            </w:r>
          </w:p>
        </w:tc>
        <w:tc>
          <w:tcPr>
            <w:tcW w:w="0" w:type="auto"/>
            <w:tcMar>
              <w:top w:w="15" w:type="dxa"/>
              <w:left w:w="15" w:type="dxa"/>
              <w:bottom w:w="0" w:type="dxa"/>
              <w:right w:w="15" w:type="dxa"/>
            </w:tcMar>
            <w:hideMark/>
          </w:tcPr>
          <w:p w14:paraId="1B53B028" w14:textId="3F9C497D"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7499A9F2" w14:textId="69BC112E" w:rsidR="00FA457D" w:rsidRPr="00B1089D" w:rsidRDefault="00FA457D" w:rsidP="000610DA">
            <w:pPr>
              <w:widowControl/>
            </w:pPr>
            <w:r w:rsidRPr="00B1089D">
              <w:t>-0.206</w:t>
            </w:r>
          </w:p>
        </w:tc>
        <w:tc>
          <w:tcPr>
            <w:tcW w:w="0" w:type="auto"/>
            <w:tcMar>
              <w:top w:w="15" w:type="dxa"/>
              <w:left w:w="15" w:type="dxa"/>
              <w:bottom w:w="0" w:type="dxa"/>
              <w:right w:w="15" w:type="dxa"/>
            </w:tcMar>
            <w:hideMark/>
          </w:tcPr>
          <w:p w14:paraId="4619AAB1" w14:textId="6EEC0A91" w:rsidR="00FA457D" w:rsidRPr="00B1089D" w:rsidRDefault="00FA457D" w:rsidP="000610DA">
            <w:pPr>
              <w:widowControl/>
            </w:pPr>
            <w:r w:rsidRPr="00B1089D">
              <w:t>-0.191</w:t>
            </w:r>
          </w:p>
        </w:tc>
        <w:tc>
          <w:tcPr>
            <w:tcW w:w="0" w:type="auto"/>
            <w:tcMar>
              <w:top w:w="15" w:type="dxa"/>
              <w:left w:w="15" w:type="dxa"/>
              <w:bottom w:w="0" w:type="dxa"/>
              <w:right w:w="15" w:type="dxa"/>
            </w:tcMar>
            <w:vAlign w:val="center"/>
            <w:hideMark/>
          </w:tcPr>
          <w:p w14:paraId="61B612DA" w14:textId="77777777" w:rsidR="00FA457D" w:rsidRPr="00B1089D" w:rsidRDefault="00FA457D" w:rsidP="000610DA">
            <w:pPr>
              <w:widowControl/>
            </w:pPr>
            <w:r w:rsidRPr="00B1089D">
              <w:t>***</w:t>
            </w:r>
          </w:p>
        </w:tc>
      </w:tr>
      <w:tr w:rsidR="00FA457D" w:rsidRPr="00B1089D" w14:paraId="17348A5A" w14:textId="77777777" w:rsidTr="000610DA">
        <w:trPr>
          <w:trHeight w:val="466"/>
        </w:trPr>
        <w:tc>
          <w:tcPr>
            <w:tcW w:w="0" w:type="auto"/>
            <w:tcMar>
              <w:top w:w="15" w:type="dxa"/>
              <w:left w:w="15" w:type="dxa"/>
              <w:bottom w:w="0" w:type="dxa"/>
              <w:right w:w="15" w:type="dxa"/>
            </w:tcMar>
            <w:vAlign w:val="center"/>
            <w:hideMark/>
          </w:tcPr>
          <w:p w14:paraId="51C98D72" w14:textId="77777777" w:rsidR="00FA457D" w:rsidRPr="00B1089D" w:rsidRDefault="00FA457D" w:rsidP="000610DA">
            <w:pPr>
              <w:widowControl/>
            </w:pPr>
            <w:r w:rsidRPr="00B1089D">
              <w:t>2011</w:t>
            </w:r>
          </w:p>
        </w:tc>
        <w:tc>
          <w:tcPr>
            <w:tcW w:w="0" w:type="auto"/>
            <w:tcMar>
              <w:top w:w="15" w:type="dxa"/>
              <w:left w:w="15" w:type="dxa"/>
              <w:bottom w:w="0" w:type="dxa"/>
              <w:right w:w="15" w:type="dxa"/>
            </w:tcMar>
            <w:hideMark/>
          </w:tcPr>
          <w:p w14:paraId="3C441CF1" w14:textId="705E5C5A" w:rsidR="00FA457D" w:rsidRPr="00B1089D" w:rsidRDefault="00FA457D" w:rsidP="000610DA">
            <w:pPr>
              <w:widowControl/>
            </w:pPr>
            <w:r w:rsidRPr="00B1089D">
              <w:t>-0.171</w:t>
            </w:r>
          </w:p>
        </w:tc>
        <w:tc>
          <w:tcPr>
            <w:tcW w:w="0" w:type="auto"/>
            <w:tcMar>
              <w:top w:w="15" w:type="dxa"/>
              <w:left w:w="15" w:type="dxa"/>
              <w:bottom w:w="0" w:type="dxa"/>
              <w:right w:w="15" w:type="dxa"/>
            </w:tcMar>
            <w:hideMark/>
          </w:tcPr>
          <w:p w14:paraId="1C170AD1" w14:textId="6F09D650"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3B06AF6B" w14:textId="676FB15F" w:rsidR="00FA457D" w:rsidRPr="00B1089D" w:rsidRDefault="00FA457D" w:rsidP="000610DA">
            <w:pPr>
              <w:widowControl/>
            </w:pPr>
            <w:r w:rsidRPr="00B1089D">
              <w:t>-53.330</w:t>
            </w:r>
          </w:p>
        </w:tc>
        <w:tc>
          <w:tcPr>
            <w:tcW w:w="0" w:type="auto"/>
            <w:tcMar>
              <w:top w:w="15" w:type="dxa"/>
              <w:left w:w="15" w:type="dxa"/>
              <w:bottom w:w="0" w:type="dxa"/>
              <w:right w:w="15" w:type="dxa"/>
            </w:tcMar>
            <w:hideMark/>
          </w:tcPr>
          <w:p w14:paraId="0A847E41" w14:textId="42F48285"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17EC4A0C" w14:textId="39400F91" w:rsidR="00FA457D" w:rsidRPr="00B1089D" w:rsidRDefault="00FA457D" w:rsidP="000610DA">
            <w:pPr>
              <w:widowControl/>
            </w:pPr>
            <w:r w:rsidRPr="00B1089D">
              <w:t>-0.178</w:t>
            </w:r>
          </w:p>
        </w:tc>
        <w:tc>
          <w:tcPr>
            <w:tcW w:w="0" w:type="auto"/>
            <w:tcMar>
              <w:top w:w="15" w:type="dxa"/>
              <w:left w:w="15" w:type="dxa"/>
              <w:bottom w:w="0" w:type="dxa"/>
              <w:right w:w="15" w:type="dxa"/>
            </w:tcMar>
            <w:hideMark/>
          </w:tcPr>
          <w:p w14:paraId="5EE17E4E" w14:textId="69A2130D" w:rsidR="00FA457D" w:rsidRPr="00B1089D" w:rsidRDefault="00FA457D" w:rsidP="000610DA">
            <w:pPr>
              <w:widowControl/>
            </w:pPr>
            <w:r w:rsidRPr="00B1089D">
              <w:t>-0.164</w:t>
            </w:r>
          </w:p>
        </w:tc>
        <w:tc>
          <w:tcPr>
            <w:tcW w:w="0" w:type="auto"/>
            <w:tcMar>
              <w:top w:w="15" w:type="dxa"/>
              <w:left w:w="15" w:type="dxa"/>
              <w:bottom w:w="0" w:type="dxa"/>
              <w:right w:w="15" w:type="dxa"/>
            </w:tcMar>
            <w:vAlign w:val="center"/>
            <w:hideMark/>
          </w:tcPr>
          <w:p w14:paraId="0BB76F46" w14:textId="77777777" w:rsidR="00FA457D" w:rsidRPr="00B1089D" w:rsidRDefault="00FA457D" w:rsidP="000610DA">
            <w:pPr>
              <w:widowControl/>
            </w:pPr>
            <w:r w:rsidRPr="00B1089D">
              <w:t>***</w:t>
            </w:r>
          </w:p>
        </w:tc>
      </w:tr>
      <w:tr w:rsidR="00FA457D" w:rsidRPr="00B1089D" w14:paraId="7DE32DD7" w14:textId="77777777" w:rsidTr="000610DA">
        <w:trPr>
          <w:trHeight w:val="466"/>
        </w:trPr>
        <w:tc>
          <w:tcPr>
            <w:tcW w:w="0" w:type="auto"/>
            <w:tcMar>
              <w:top w:w="15" w:type="dxa"/>
              <w:left w:w="15" w:type="dxa"/>
              <w:bottom w:w="0" w:type="dxa"/>
              <w:right w:w="15" w:type="dxa"/>
            </w:tcMar>
            <w:vAlign w:val="center"/>
            <w:hideMark/>
          </w:tcPr>
          <w:p w14:paraId="55AC61D4" w14:textId="77777777" w:rsidR="00FA457D" w:rsidRPr="00B1089D" w:rsidRDefault="00FA457D" w:rsidP="000610DA">
            <w:pPr>
              <w:widowControl/>
            </w:pPr>
            <w:r w:rsidRPr="00B1089D">
              <w:t>2012</w:t>
            </w:r>
          </w:p>
        </w:tc>
        <w:tc>
          <w:tcPr>
            <w:tcW w:w="0" w:type="auto"/>
            <w:tcMar>
              <w:top w:w="15" w:type="dxa"/>
              <w:left w:w="15" w:type="dxa"/>
              <w:bottom w:w="0" w:type="dxa"/>
              <w:right w:w="15" w:type="dxa"/>
            </w:tcMar>
            <w:hideMark/>
          </w:tcPr>
          <w:p w14:paraId="5131F8A0" w14:textId="09C1D0B6" w:rsidR="00FA457D" w:rsidRPr="00B1089D" w:rsidRDefault="00FA457D" w:rsidP="000610DA">
            <w:pPr>
              <w:widowControl/>
            </w:pPr>
            <w:r w:rsidRPr="00B1089D">
              <w:t>-0.158</w:t>
            </w:r>
          </w:p>
        </w:tc>
        <w:tc>
          <w:tcPr>
            <w:tcW w:w="0" w:type="auto"/>
            <w:tcMar>
              <w:top w:w="15" w:type="dxa"/>
              <w:left w:w="15" w:type="dxa"/>
              <w:bottom w:w="0" w:type="dxa"/>
              <w:right w:w="15" w:type="dxa"/>
            </w:tcMar>
            <w:hideMark/>
          </w:tcPr>
          <w:p w14:paraId="051C0093" w14:textId="6B709AAD"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1E4EB0D7" w14:textId="59EAC067" w:rsidR="00FA457D" w:rsidRPr="00B1089D" w:rsidRDefault="00FA457D" w:rsidP="000610DA">
            <w:pPr>
              <w:widowControl/>
            </w:pPr>
            <w:r w:rsidRPr="00B1089D">
              <w:t>-53.130</w:t>
            </w:r>
          </w:p>
        </w:tc>
        <w:tc>
          <w:tcPr>
            <w:tcW w:w="0" w:type="auto"/>
            <w:tcMar>
              <w:top w:w="15" w:type="dxa"/>
              <w:left w:w="15" w:type="dxa"/>
              <w:bottom w:w="0" w:type="dxa"/>
              <w:right w:w="15" w:type="dxa"/>
            </w:tcMar>
            <w:hideMark/>
          </w:tcPr>
          <w:p w14:paraId="4BE2ECBD" w14:textId="1DE41C71"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5BA0F72F" w14:textId="5323D98A" w:rsidR="00FA457D" w:rsidRPr="00B1089D" w:rsidRDefault="00FA457D" w:rsidP="000610DA">
            <w:pPr>
              <w:widowControl/>
            </w:pPr>
            <w:r w:rsidRPr="00B1089D">
              <w:t>-0.165</w:t>
            </w:r>
          </w:p>
        </w:tc>
        <w:tc>
          <w:tcPr>
            <w:tcW w:w="0" w:type="auto"/>
            <w:tcMar>
              <w:top w:w="15" w:type="dxa"/>
              <w:left w:w="15" w:type="dxa"/>
              <w:bottom w:w="0" w:type="dxa"/>
              <w:right w:w="15" w:type="dxa"/>
            </w:tcMar>
            <w:hideMark/>
          </w:tcPr>
          <w:p w14:paraId="4937AED3" w14:textId="215D6FB5" w:rsidR="00FA457D" w:rsidRPr="00B1089D" w:rsidRDefault="00FA457D" w:rsidP="000610DA">
            <w:pPr>
              <w:widowControl/>
            </w:pPr>
            <w:r w:rsidRPr="00B1089D">
              <w:t>-0.152</w:t>
            </w:r>
          </w:p>
        </w:tc>
        <w:tc>
          <w:tcPr>
            <w:tcW w:w="0" w:type="auto"/>
            <w:tcMar>
              <w:top w:w="15" w:type="dxa"/>
              <w:left w:w="15" w:type="dxa"/>
              <w:bottom w:w="0" w:type="dxa"/>
              <w:right w:w="15" w:type="dxa"/>
            </w:tcMar>
            <w:vAlign w:val="center"/>
            <w:hideMark/>
          </w:tcPr>
          <w:p w14:paraId="783AABF1" w14:textId="77777777" w:rsidR="00FA457D" w:rsidRPr="00B1089D" w:rsidRDefault="00FA457D" w:rsidP="000610DA">
            <w:pPr>
              <w:widowControl/>
            </w:pPr>
            <w:r w:rsidRPr="00B1089D">
              <w:t>***</w:t>
            </w:r>
          </w:p>
        </w:tc>
      </w:tr>
      <w:tr w:rsidR="00FA457D" w:rsidRPr="00B1089D" w14:paraId="2364513C" w14:textId="77777777" w:rsidTr="000610DA">
        <w:trPr>
          <w:trHeight w:val="466"/>
        </w:trPr>
        <w:tc>
          <w:tcPr>
            <w:tcW w:w="0" w:type="auto"/>
            <w:tcMar>
              <w:top w:w="15" w:type="dxa"/>
              <w:left w:w="15" w:type="dxa"/>
              <w:bottom w:w="0" w:type="dxa"/>
              <w:right w:w="15" w:type="dxa"/>
            </w:tcMar>
            <w:vAlign w:val="center"/>
            <w:hideMark/>
          </w:tcPr>
          <w:p w14:paraId="0F628386" w14:textId="77777777" w:rsidR="00FA457D" w:rsidRPr="00B1089D" w:rsidRDefault="00FA457D" w:rsidP="000610DA">
            <w:pPr>
              <w:widowControl/>
            </w:pPr>
            <w:r w:rsidRPr="00B1089D">
              <w:t>2013</w:t>
            </w:r>
          </w:p>
        </w:tc>
        <w:tc>
          <w:tcPr>
            <w:tcW w:w="0" w:type="auto"/>
            <w:tcMar>
              <w:top w:w="15" w:type="dxa"/>
              <w:left w:w="15" w:type="dxa"/>
              <w:bottom w:w="0" w:type="dxa"/>
              <w:right w:w="15" w:type="dxa"/>
            </w:tcMar>
            <w:hideMark/>
          </w:tcPr>
          <w:p w14:paraId="515C6D3E" w14:textId="18932DCD" w:rsidR="00FA457D" w:rsidRPr="00B1089D" w:rsidRDefault="00FA457D" w:rsidP="000610DA">
            <w:pPr>
              <w:widowControl/>
            </w:pPr>
            <w:r w:rsidRPr="00B1089D">
              <w:t>-0.141</w:t>
            </w:r>
          </w:p>
        </w:tc>
        <w:tc>
          <w:tcPr>
            <w:tcW w:w="0" w:type="auto"/>
            <w:tcMar>
              <w:top w:w="15" w:type="dxa"/>
              <w:left w:w="15" w:type="dxa"/>
              <w:bottom w:w="0" w:type="dxa"/>
              <w:right w:w="15" w:type="dxa"/>
            </w:tcMar>
            <w:hideMark/>
          </w:tcPr>
          <w:p w14:paraId="61D7BAE3" w14:textId="6150CA0B"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2C298EBA" w14:textId="7363E727" w:rsidR="00FA457D" w:rsidRPr="00B1089D" w:rsidRDefault="00FA457D" w:rsidP="000610DA">
            <w:pPr>
              <w:widowControl/>
            </w:pPr>
            <w:r w:rsidRPr="00B1089D">
              <w:t>-53.260</w:t>
            </w:r>
          </w:p>
        </w:tc>
        <w:tc>
          <w:tcPr>
            <w:tcW w:w="0" w:type="auto"/>
            <w:tcMar>
              <w:top w:w="15" w:type="dxa"/>
              <w:left w:w="15" w:type="dxa"/>
              <w:bottom w:w="0" w:type="dxa"/>
              <w:right w:w="15" w:type="dxa"/>
            </w:tcMar>
            <w:hideMark/>
          </w:tcPr>
          <w:p w14:paraId="51553D80" w14:textId="5AA7B73B"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4E253FBA" w14:textId="6F2D3A35" w:rsidR="00FA457D" w:rsidRPr="00B1089D" w:rsidRDefault="00FA457D" w:rsidP="000610DA">
            <w:pPr>
              <w:widowControl/>
            </w:pPr>
            <w:r w:rsidRPr="00B1089D">
              <w:t>-0.146</w:t>
            </w:r>
          </w:p>
        </w:tc>
        <w:tc>
          <w:tcPr>
            <w:tcW w:w="0" w:type="auto"/>
            <w:tcMar>
              <w:top w:w="15" w:type="dxa"/>
              <w:left w:w="15" w:type="dxa"/>
              <w:bottom w:w="0" w:type="dxa"/>
              <w:right w:w="15" w:type="dxa"/>
            </w:tcMar>
            <w:hideMark/>
          </w:tcPr>
          <w:p w14:paraId="060A8F73" w14:textId="351EF30C" w:rsidR="00FA457D" w:rsidRPr="00B1089D" w:rsidRDefault="00FA457D" w:rsidP="000610DA">
            <w:pPr>
              <w:widowControl/>
            </w:pPr>
            <w:r w:rsidRPr="00B1089D">
              <w:t>-0.135</w:t>
            </w:r>
          </w:p>
        </w:tc>
        <w:tc>
          <w:tcPr>
            <w:tcW w:w="0" w:type="auto"/>
            <w:tcMar>
              <w:top w:w="15" w:type="dxa"/>
              <w:left w:w="15" w:type="dxa"/>
              <w:bottom w:w="0" w:type="dxa"/>
              <w:right w:w="15" w:type="dxa"/>
            </w:tcMar>
            <w:vAlign w:val="center"/>
            <w:hideMark/>
          </w:tcPr>
          <w:p w14:paraId="5E2DF030" w14:textId="77777777" w:rsidR="00FA457D" w:rsidRPr="00B1089D" w:rsidRDefault="00FA457D" w:rsidP="000610DA">
            <w:pPr>
              <w:widowControl/>
            </w:pPr>
            <w:r w:rsidRPr="00B1089D">
              <w:t>***</w:t>
            </w:r>
          </w:p>
        </w:tc>
      </w:tr>
      <w:tr w:rsidR="00FA457D" w:rsidRPr="00B1089D" w14:paraId="0ACC2271" w14:textId="77777777" w:rsidTr="000610DA">
        <w:trPr>
          <w:trHeight w:val="466"/>
        </w:trPr>
        <w:tc>
          <w:tcPr>
            <w:tcW w:w="0" w:type="auto"/>
            <w:tcMar>
              <w:top w:w="15" w:type="dxa"/>
              <w:left w:w="15" w:type="dxa"/>
              <w:bottom w:w="0" w:type="dxa"/>
              <w:right w:w="15" w:type="dxa"/>
            </w:tcMar>
            <w:vAlign w:val="center"/>
            <w:hideMark/>
          </w:tcPr>
          <w:p w14:paraId="5A8D1E92" w14:textId="77777777" w:rsidR="00FA457D" w:rsidRPr="00B1089D" w:rsidRDefault="00FA457D" w:rsidP="000610DA">
            <w:pPr>
              <w:widowControl/>
            </w:pPr>
            <w:r w:rsidRPr="00B1089D">
              <w:t>2014</w:t>
            </w:r>
          </w:p>
        </w:tc>
        <w:tc>
          <w:tcPr>
            <w:tcW w:w="0" w:type="auto"/>
            <w:tcMar>
              <w:top w:w="15" w:type="dxa"/>
              <w:left w:w="15" w:type="dxa"/>
              <w:bottom w:w="0" w:type="dxa"/>
              <w:right w:w="15" w:type="dxa"/>
            </w:tcMar>
            <w:hideMark/>
          </w:tcPr>
          <w:p w14:paraId="72DAB495" w14:textId="7F5EED7F" w:rsidR="00FA457D" w:rsidRPr="00B1089D" w:rsidRDefault="00FA457D" w:rsidP="000610DA">
            <w:pPr>
              <w:widowControl/>
            </w:pPr>
            <w:r w:rsidRPr="00B1089D">
              <w:t>-0.114</w:t>
            </w:r>
          </w:p>
        </w:tc>
        <w:tc>
          <w:tcPr>
            <w:tcW w:w="0" w:type="auto"/>
            <w:tcMar>
              <w:top w:w="15" w:type="dxa"/>
              <w:left w:w="15" w:type="dxa"/>
              <w:bottom w:w="0" w:type="dxa"/>
              <w:right w:w="15" w:type="dxa"/>
            </w:tcMar>
            <w:hideMark/>
          </w:tcPr>
          <w:p w14:paraId="4B4EA766" w14:textId="77CA0EAE"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2378C3DB" w14:textId="1DA218A2" w:rsidR="00FA457D" w:rsidRPr="00B1089D" w:rsidRDefault="00FA457D" w:rsidP="000610DA">
            <w:pPr>
              <w:widowControl/>
            </w:pPr>
            <w:r w:rsidRPr="00B1089D">
              <w:t>-41.820</w:t>
            </w:r>
          </w:p>
        </w:tc>
        <w:tc>
          <w:tcPr>
            <w:tcW w:w="0" w:type="auto"/>
            <w:tcMar>
              <w:top w:w="15" w:type="dxa"/>
              <w:left w:w="15" w:type="dxa"/>
              <w:bottom w:w="0" w:type="dxa"/>
              <w:right w:w="15" w:type="dxa"/>
            </w:tcMar>
            <w:hideMark/>
          </w:tcPr>
          <w:p w14:paraId="6AFE6D31" w14:textId="6E97B639"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3DAFD954" w14:textId="4D368B76" w:rsidR="00FA457D" w:rsidRPr="00B1089D" w:rsidRDefault="00FA457D" w:rsidP="000610DA">
            <w:pPr>
              <w:widowControl/>
            </w:pPr>
            <w:r w:rsidRPr="00B1089D">
              <w:t>-0.120</w:t>
            </w:r>
          </w:p>
        </w:tc>
        <w:tc>
          <w:tcPr>
            <w:tcW w:w="0" w:type="auto"/>
            <w:tcMar>
              <w:top w:w="15" w:type="dxa"/>
              <w:left w:w="15" w:type="dxa"/>
              <w:bottom w:w="0" w:type="dxa"/>
              <w:right w:w="15" w:type="dxa"/>
            </w:tcMar>
            <w:hideMark/>
          </w:tcPr>
          <w:p w14:paraId="1E312DFB" w14:textId="4091174B" w:rsidR="00FA457D" w:rsidRPr="00B1089D" w:rsidRDefault="00FA457D" w:rsidP="000610DA">
            <w:pPr>
              <w:widowControl/>
            </w:pPr>
            <w:r w:rsidRPr="00B1089D">
              <w:t>-0.108</w:t>
            </w:r>
          </w:p>
        </w:tc>
        <w:tc>
          <w:tcPr>
            <w:tcW w:w="0" w:type="auto"/>
            <w:tcMar>
              <w:top w:w="15" w:type="dxa"/>
              <w:left w:w="15" w:type="dxa"/>
              <w:bottom w:w="0" w:type="dxa"/>
              <w:right w:w="15" w:type="dxa"/>
            </w:tcMar>
            <w:vAlign w:val="center"/>
            <w:hideMark/>
          </w:tcPr>
          <w:p w14:paraId="5FBDAE14" w14:textId="77777777" w:rsidR="00FA457D" w:rsidRPr="00B1089D" w:rsidRDefault="00FA457D" w:rsidP="000610DA">
            <w:pPr>
              <w:widowControl/>
            </w:pPr>
            <w:r w:rsidRPr="00B1089D">
              <w:t>***</w:t>
            </w:r>
          </w:p>
        </w:tc>
      </w:tr>
      <w:tr w:rsidR="00FA457D" w:rsidRPr="00B1089D" w14:paraId="322DDDA3" w14:textId="77777777" w:rsidTr="000610DA">
        <w:trPr>
          <w:trHeight w:val="466"/>
        </w:trPr>
        <w:tc>
          <w:tcPr>
            <w:tcW w:w="0" w:type="auto"/>
            <w:tcMar>
              <w:top w:w="15" w:type="dxa"/>
              <w:left w:w="15" w:type="dxa"/>
              <w:bottom w:w="0" w:type="dxa"/>
              <w:right w:w="15" w:type="dxa"/>
            </w:tcMar>
            <w:vAlign w:val="center"/>
            <w:hideMark/>
          </w:tcPr>
          <w:p w14:paraId="5451EF1D" w14:textId="77777777" w:rsidR="00FA457D" w:rsidRPr="00B1089D" w:rsidRDefault="00FA457D" w:rsidP="000610DA">
            <w:pPr>
              <w:widowControl/>
            </w:pPr>
            <w:r w:rsidRPr="00B1089D">
              <w:t>2015</w:t>
            </w:r>
          </w:p>
        </w:tc>
        <w:tc>
          <w:tcPr>
            <w:tcW w:w="0" w:type="auto"/>
            <w:tcMar>
              <w:top w:w="15" w:type="dxa"/>
              <w:left w:w="15" w:type="dxa"/>
              <w:bottom w:w="0" w:type="dxa"/>
              <w:right w:w="15" w:type="dxa"/>
            </w:tcMar>
            <w:hideMark/>
          </w:tcPr>
          <w:p w14:paraId="664F0FDD" w14:textId="19376187" w:rsidR="00FA457D" w:rsidRPr="00B1089D" w:rsidRDefault="00FA457D" w:rsidP="000610DA">
            <w:pPr>
              <w:widowControl/>
            </w:pPr>
            <w:r w:rsidRPr="00B1089D">
              <w:t>-0.088</w:t>
            </w:r>
          </w:p>
        </w:tc>
        <w:tc>
          <w:tcPr>
            <w:tcW w:w="0" w:type="auto"/>
            <w:tcMar>
              <w:top w:w="15" w:type="dxa"/>
              <w:left w:w="15" w:type="dxa"/>
              <w:bottom w:w="0" w:type="dxa"/>
              <w:right w:w="15" w:type="dxa"/>
            </w:tcMar>
            <w:hideMark/>
          </w:tcPr>
          <w:p w14:paraId="02207372" w14:textId="7CA5443E" w:rsidR="00FA457D" w:rsidRPr="00B1089D" w:rsidRDefault="00FA457D" w:rsidP="000610DA">
            <w:pPr>
              <w:widowControl/>
            </w:pPr>
            <w:r w:rsidRPr="00B1089D">
              <w:t>0.003</w:t>
            </w:r>
          </w:p>
        </w:tc>
        <w:tc>
          <w:tcPr>
            <w:tcW w:w="0" w:type="auto"/>
            <w:tcMar>
              <w:top w:w="15" w:type="dxa"/>
              <w:left w:w="15" w:type="dxa"/>
              <w:bottom w:w="0" w:type="dxa"/>
              <w:right w:w="15" w:type="dxa"/>
            </w:tcMar>
            <w:hideMark/>
          </w:tcPr>
          <w:p w14:paraId="31F98DF1" w14:textId="6B37F44F" w:rsidR="00FA457D" w:rsidRPr="00B1089D" w:rsidRDefault="00FA457D" w:rsidP="000610DA">
            <w:pPr>
              <w:widowControl/>
            </w:pPr>
            <w:r w:rsidRPr="00B1089D">
              <w:t>-34.390</w:t>
            </w:r>
          </w:p>
        </w:tc>
        <w:tc>
          <w:tcPr>
            <w:tcW w:w="0" w:type="auto"/>
            <w:tcMar>
              <w:top w:w="15" w:type="dxa"/>
              <w:left w:w="15" w:type="dxa"/>
              <w:bottom w:w="0" w:type="dxa"/>
              <w:right w:w="15" w:type="dxa"/>
            </w:tcMar>
            <w:hideMark/>
          </w:tcPr>
          <w:p w14:paraId="4DC732DD" w14:textId="5CA46938"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6DF730BC" w14:textId="2A656030" w:rsidR="00FA457D" w:rsidRPr="00B1089D" w:rsidRDefault="00FA457D" w:rsidP="000610DA">
            <w:pPr>
              <w:widowControl/>
            </w:pPr>
            <w:r w:rsidRPr="00B1089D">
              <w:t>-0.093</w:t>
            </w:r>
          </w:p>
        </w:tc>
        <w:tc>
          <w:tcPr>
            <w:tcW w:w="0" w:type="auto"/>
            <w:tcMar>
              <w:top w:w="15" w:type="dxa"/>
              <w:left w:w="15" w:type="dxa"/>
              <w:bottom w:w="0" w:type="dxa"/>
              <w:right w:w="15" w:type="dxa"/>
            </w:tcMar>
            <w:hideMark/>
          </w:tcPr>
          <w:p w14:paraId="3F157E14" w14:textId="0E27D8EC" w:rsidR="00FA457D" w:rsidRPr="00B1089D" w:rsidRDefault="00FA457D" w:rsidP="000610DA">
            <w:pPr>
              <w:widowControl/>
            </w:pPr>
            <w:r w:rsidRPr="00B1089D">
              <w:t>-0.082</w:t>
            </w:r>
          </w:p>
        </w:tc>
        <w:tc>
          <w:tcPr>
            <w:tcW w:w="0" w:type="auto"/>
            <w:tcMar>
              <w:top w:w="15" w:type="dxa"/>
              <w:left w:w="15" w:type="dxa"/>
              <w:bottom w:w="0" w:type="dxa"/>
              <w:right w:w="15" w:type="dxa"/>
            </w:tcMar>
            <w:vAlign w:val="center"/>
            <w:hideMark/>
          </w:tcPr>
          <w:p w14:paraId="3692A0C1" w14:textId="77777777" w:rsidR="00FA457D" w:rsidRPr="00B1089D" w:rsidRDefault="00FA457D" w:rsidP="000610DA">
            <w:pPr>
              <w:widowControl/>
            </w:pPr>
            <w:r w:rsidRPr="00B1089D">
              <w:t>***</w:t>
            </w:r>
          </w:p>
        </w:tc>
      </w:tr>
      <w:tr w:rsidR="00FA457D" w:rsidRPr="00B1089D" w14:paraId="0F3ED40D" w14:textId="77777777" w:rsidTr="000610DA">
        <w:trPr>
          <w:trHeight w:val="466"/>
        </w:trPr>
        <w:tc>
          <w:tcPr>
            <w:tcW w:w="0" w:type="auto"/>
            <w:tcMar>
              <w:top w:w="15" w:type="dxa"/>
              <w:left w:w="15" w:type="dxa"/>
              <w:bottom w:w="0" w:type="dxa"/>
              <w:right w:w="15" w:type="dxa"/>
            </w:tcMar>
            <w:vAlign w:val="center"/>
            <w:hideMark/>
          </w:tcPr>
          <w:p w14:paraId="249C81AB" w14:textId="77777777" w:rsidR="00FA457D" w:rsidRPr="00B1089D" w:rsidRDefault="00FA457D" w:rsidP="000610DA">
            <w:pPr>
              <w:widowControl/>
            </w:pPr>
            <w:r w:rsidRPr="00B1089D">
              <w:t>2016</w:t>
            </w:r>
          </w:p>
        </w:tc>
        <w:tc>
          <w:tcPr>
            <w:tcW w:w="0" w:type="auto"/>
            <w:tcMar>
              <w:top w:w="15" w:type="dxa"/>
              <w:left w:w="15" w:type="dxa"/>
              <w:bottom w:w="0" w:type="dxa"/>
              <w:right w:w="15" w:type="dxa"/>
            </w:tcMar>
            <w:hideMark/>
          </w:tcPr>
          <w:p w14:paraId="23275397" w14:textId="29B99427" w:rsidR="00FA457D" w:rsidRPr="00B1089D" w:rsidRDefault="00FA457D" w:rsidP="000610DA">
            <w:pPr>
              <w:widowControl/>
            </w:pPr>
            <w:r w:rsidRPr="00B1089D">
              <w:t>-0.065</w:t>
            </w:r>
          </w:p>
        </w:tc>
        <w:tc>
          <w:tcPr>
            <w:tcW w:w="0" w:type="auto"/>
            <w:tcMar>
              <w:top w:w="15" w:type="dxa"/>
              <w:left w:w="15" w:type="dxa"/>
              <w:bottom w:w="0" w:type="dxa"/>
              <w:right w:w="15" w:type="dxa"/>
            </w:tcMar>
            <w:hideMark/>
          </w:tcPr>
          <w:p w14:paraId="36BE92DC" w14:textId="4F755B68" w:rsidR="00FA457D" w:rsidRPr="00B1089D" w:rsidRDefault="00FA457D" w:rsidP="000610DA">
            <w:pPr>
              <w:widowControl/>
            </w:pPr>
            <w:r w:rsidRPr="00B1089D">
              <w:t>0.002</w:t>
            </w:r>
          </w:p>
        </w:tc>
        <w:tc>
          <w:tcPr>
            <w:tcW w:w="0" w:type="auto"/>
            <w:tcMar>
              <w:top w:w="15" w:type="dxa"/>
              <w:left w:w="15" w:type="dxa"/>
              <w:bottom w:w="0" w:type="dxa"/>
              <w:right w:w="15" w:type="dxa"/>
            </w:tcMar>
            <w:hideMark/>
          </w:tcPr>
          <w:p w14:paraId="4814D4F1" w14:textId="64408A4F" w:rsidR="00FA457D" w:rsidRPr="00B1089D" w:rsidRDefault="00FA457D" w:rsidP="000610DA">
            <w:pPr>
              <w:widowControl/>
            </w:pPr>
            <w:r w:rsidRPr="00B1089D">
              <w:t>-34.880</w:t>
            </w:r>
          </w:p>
        </w:tc>
        <w:tc>
          <w:tcPr>
            <w:tcW w:w="0" w:type="auto"/>
            <w:tcMar>
              <w:top w:w="15" w:type="dxa"/>
              <w:left w:w="15" w:type="dxa"/>
              <w:bottom w:w="0" w:type="dxa"/>
              <w:right w:w="15" w:type="dxa"/>
            </w:tcMar>
            <w:hideMark/>
          </w:tcPr>
          <w:p w14:paraId="623A0547" w14:textId="1B06D743"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66E96BED" w14:textId="707CE1A8" w:rsidR="00FA457D" w:rsidRPr="00B1089D" w:rsidRDefault="00FA457D" w:rsidP="000610DA">
            <w:pPr>
              <w:widowControl/>
            </w:pPr>
            <w:r w:rsidRPr="00B1089D">
              <w:t>-0.069</w:t>
            </w:r>
          </w:p>
        </w:tc>
        <w:tc>
          <w:tcPr>
            <w:tcW w:w="0" w:type="auto"/>
            <w:tcMar>
              <w:top w:w="15" w:type="dxa"/>
              <w:left w:w="15" w:type="dxa"/>
              <w:bottom w:w="0" w:type="dxa"/>
              <w:right w:w="15" w:type="dxa"/>
            </w:tcMar>
            <w:hideMark/>
          </w:tcPr>
          <w:p w14:paraId="23DE5BF6" w14:textId="01E9CC57" w:rsidR="00FA457D" w:rsidRPr="00B1089D" w:rsidRDefault="00FA457D" w:rsidP="000610DA">
            <w:pPr>
              <w:widowControl/>
            </w:pPr>
            <w:r w:rsidRPr="00B1089D">
              <w:t>-0.061</w:t>
            </w:r>
          </w:p>
        </w:tc>
        <w:tc>
          <w:tcPr>
            <w:tcW w:w="0" w:type="auto"/>
            <w:tcMar>
              <w:top w:w="15" w:type="dxa"/>
              <w:left w:w="15" w:type="dxa"/>
              <w:bottom w:w="0" w:type="dxa"/>
              <w:right w:w="15" w:type="dxa"/>
            </w:tcMar>
            <w:vAlign w:val="center"/>
            <w:hideMark/>
          </w:tcPr>
          <w:p w14:paraId="247A9F52" w14:textId="77777777" w:rsidR="00FA457D" w:rsidRPr="00B1089D" w:rsidRDefault="00FA457D" w:rsidP="000610DA">
            <w:pPr>
              <w:widowControl/>
            </w:pPr>
            <w:r w:rsidRPr="00B1089D">
              <w:t>***</w:t>
            </w:r>
          </w:p>
        </w:tc>
      </w:tr>
      <w:tr w:rsidR="00FA457D" w:rsidRPr="00B1089D" w14:paraId="7196338A" w14:textId="77777777" w:rsidTr="000610DA">
        <w:trPr>
          <w:trHeight w:val="466"/>
        </w:trPr>
        <w:tc>
          <w:tcPr>
            <w:tcW w:w="0" w:type="auto"/>
            <w:tcMar>
              <w:top w:w="15" w:type="dxa"/>
              <w:left w:w="15" w:type="dxa"/>
              <w:bottom w:w="0" w:type="dxa"/>
              <w:right w:w="15" w:type="dxa"/>
            </w:tcMar>
            <w:vAlign w:val="center"/>
            <w:hideMark/>
          </w:tcPr>
          <w:p w14:paraId="7859A03B" w14:textId="77777777" w:rsidR="00FA457D" w:rsidRPr="00B1089D" w:rsidRDefault="00FA457D" w:rsidP="000610DA">
            <w:pPr>
              <w:widowControl/>
            </w:pPr>
            <w:r w:rsidRPr="00B1089D">
              <w:t>2017</w:t>
            </w:r>
          </w:p>
        </w:tc>
        <w:tc>
          <w:tcPr>
            <w:tcW w:w="0" w:type="auto"/>
            <w:tcMar>
              <w:top w:w="15" w:type="dxa"/>
              <w:left w:w="15" w:type="dxa"/>
              <w:bottom w:w="0" w:type="dxa"/>
              <w:right w:w="15" w:type="dxa"/>
            </w:tcMar>
            <w:hideMark/>
          </w:tcPr>
          <w:p w14:paraId="2164E967" w14:textId="0150E513" w:rsidR="00FA457D" w:rsidRPr="00B1089D" w:rsidRDefault="00FA457D" w:rsidP="000610DA">
            <w:pPr>
              <w:widowControl/>
            </w:pPr>
            <w:r w:rsidRPr="00B1089D">
              <w:t>-0.040</w:t>
            </w:r>
          </w:p>
        </w:tc>
        <w:tc>
          <w:tcPr>
            <w:tcW w:w="0" w:type="auto"/>
            <w:tcMar>
              <w:top w:w="15" w:type="dxa"/>
              <w:left w:w="15" w:type="dxa"/>
              <w:bottom w:w="0" w:type="dxa"/>
              <w:right w:w="15" w:type="dxa"/>
            </w:tcMar>
            <w:hideMark/>
          </w:tcPr>
          <w:p w14:paraId="375AD289" w14:textId="1770B79D" w:rsidR="00FA457D" w:rsidRPr="00B1089D" w:rsidRDefault="00FA457D" w:rsidP="000610DA">
            <w:pPr>
              <w:widowControl/>
            </w:pPr>
            <w:r w:rsidRPr="00B1089D">
              <w:t>0.001</w:t>
            </w:r>
          </w:p>
        </w:tc>
        <w:tc>
          <w:tcPr>
            <w:tcW w:w="0" w:type="auto"/>
            <w:tcMar>
              <w:top w:w="15" w:type="dxa"/>
              <w:left w:w="15" w:type="dxa"/>
              <w:bottom w:w="0" w:type="dxa"/>
              <w:right w:w="15" w:type="dxa"/>
            </w:tcMar>
            <w:hideMark/>
          </w:tcPr>
          <w:p w14:paraId="324B9B80" w14:textId="5A40C4DD" w:rsidR="00FA457D" w:rsidRPr="00B1089D" w:rsidRDefault="00FA457D" w:rsidP="000610DA">
            <w:pPr>
              <w:widowControl/>
            </w:pPr>
            <w:r w:rsidRPr="00B1089D">
              <w:t>-35.750</w:t>
            </w:r>
          </w:p>
        </w:tc>
        <w:tc>
          <w:tcPr>
            <w:tcW w:w="0" w:type="auto"/>
            <w:tcMar>
              <w:top w:w="15" w:type="dxa"/>
              <w:left w:w="15" w:type="dxa"/>
              <w:bottom w:w="0" w:type="dxa"/>
              <w:right w:w="15" w:type="dxa"/>
            </w:tcMar>
            <w:hideMark/>
          </w:tcPr>
          <w:p w14:paraId="19994D27" w14:textId="01CD4044"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293187DE" w14:textId="3A271E8F" w:rsidR="00FA457D" w:rsidRPr="00B1089D" w:rsidRDefault="00FA457D" w:rsidP="000610DA">
            <w:pPr>
              <w:widowControl/>
            </w:pPr>
            <w:r w:rsidRPr="00B1089D">
              <w:t>-0.043</w:t>
            </w:r>
          </w:p>
        </w:tc>
        <w:tc>
          <w:tcPr>
            <w:tcW w:w="0" w:type="auto"/>
            <w:tcMar>
              <w:top w:w="15" w:type="dxa"/>
              <w:left w:w="15" w:type="dxa"/>
              <w:bottom w:w="0" w:type="dxa"/>
              <w:right w:w="15" w:type="dxa"/>
            </w:tcMar>
            <w:hideMark/>
          </w:tcPr>
          <w:p w14:paraId="6C361A0D" w14:textId="09CC3417" w:rsidR="00FA457D" w:rsidRPr="00B1089D" w:rsidRDefault="00FA457D" w:rsidP="000610DA">
            <w:pPr>
              <w:widowControl/>
            </w:pPr>
            <w:r w:rsidRPr="00B1089D">
              <w:t>-0.038</w:t>
            </w:r>
          </w:p>
        </w:tc>
        <w:tc>
          <w:tcPr>
            <w:tcW w:w="0" w:type="auto"/>
            <w:tcMar>
              <w:top w:w="15" w:type="dxa"/>
              <w:left w:w="15" w:type="dxa"/>
              <w:bottom w:w="0" w:type="dxa"/>
              <w:right w:w="15" w:type="dxa"/>
            </w:tcMar>
            <w:vAlign w:val="center"/>
            <w:hideMark/>
          </w:tcPr>
          <w:p w14:paraId="72924CB8" w14:textId="77777777" w:rsidR="00FA457D" w:rsidRPr="00B1089D" w:rsidRDefault="00FA457D" w:rsidP="000610DA">
            <w:pPr>
              <w:widowControl/>
            </w:pPr>
            <w:r w:rsidRPr="00B1089D">
              <w:t>***</w:t>
            </w:r>
          </w:p>
        </w:tc>
      </w:tr>
      <w:tr w:rsidR="00FA457D" w:rsidRPr="00B1089D" w14:paraId="1C7AA406" w14:textId="77777777" w:rsidTr="000610DA">
        <w:trPr>
          <w:trHeight w:val="466"/>
        </w:trPr>
        <w:tc>
          <w:tcPr>
            <w:tcW w:w="0" w:type="auto"/>
            <w:tcMar>
              <w:top w:w="15" w:type="dxa"/>
              <w:left w:w="15" w:type="dxa"/>
              <w:bottom w:w="0" w:type="dxa"/>
              <w:right w:w="15" w:type="dxa"/>
            </w:tcMar>
            <w:vAlign w:val="center"/>
            <w:hideMark/>
          </w:tcPr>
          <w:p w14:paraId="2A442959" w14:textId="77777777" w:rsidR="00FA457D" w:rsidRPr="00B1089D" w:rsidRDefault="00FA457D" w:rsidP="000610DA">
            <w:pPr>
              <w:widowControl/>
            </w:pPr>
            <w:r w:rsidRPr="00B1089D">
              <w:t>2018</w:t>
            </w:r>
          </w:p>
        </w:tc>
        <w:tc>
          <w:tcPr>
            <w:tcW w:w="0" w:type="auto"/>
            <w:tcMar>
              <w:top w:w="15" w:type="dxa"/>
              <w:left w:w="15" w:type="dxa"/>
              <w:bottom w:w="0" w:type="dxa"/>
              <w:right w:w="15" w:type="dxa"/>
            </w:tcMar>
            <w:hideMark/>
          </w:tcPr>
          <w:p w14:paraId="13F30AAF" w14:textId="79F6FC31" w:rsidR="00FA457D" w:rsidRPr="00B1089D" w:rsidRDefault="00FA457D" w:rsidP="000610DA">
            <w:pPr>
              <w:widowControl/>
            </w:pPr>
            <w:r w:rsidRPr="00B1089D">
              <w:t>-0.018</w:t>
            </w:r>
          </w:p>
        </w:tc>
        <w:tc>
          <w:tcPr>
            <w:tcW w:w="0" w:type="auto"/>
            <w:tcMar>
              <w:top w:w="15" w:type="dxa"/>
              <w:left w:w="15" w:type="dxa"/>
              <w:bottom w:w="0" w:type="dxa"/>
              <w:right w:w="15" w:type="dxa"/>
            </w:tcMar>
            <w:hideMark/>
          </w:tcPr>
          <w:p w14:paraId="6DED9CC2" w14:textId="1335D997" w:rsidR="00FA457D" w:rsidRPr="00B1089D" w:rsidRDefault="00FA457D" w:rsidP="000610DA">
            <w:pPr>
              <w:widowControl/>
            </w:pPr>
            <w:r w:rsidRPr="00B1089D">
              <w:t>0.001</w:t>
            </w:r>
          </w:p>
        </w:tc>
        <w:tc>
          <w:tcPr>
            <w:tcW w:w="0" w:type="auto"/>
            <w:tcMar>
              <w:top w:w="15" w:type="dxa"/>
              <w:left w:w="15" w:type="dxa"/>
              <w:bottom w:w="0" w:type="dxa"/>
              <w:right w:w="15" w:type="dxa"/>
            </w:tcMar>
            <w:hideMark/>
          </w:tcPr>
          <w:p w14:paraId="4FA3BFBA" w14:textId="13E93E04" w:rsidR="00FA457D" w:rsidRPr="00B1089D" w:rsidRDefault="00FA457D" w:rsidP="000610DA">
            <w:pPr>
              <w:widowControl/>
            </w:pPr>
            <w:r w:rsidRPr="00B1089D">
              <w:t>-27.120</w:t>
            </w:r>
          </w:p>
        </w:tc>
        <w:tc>
          <w:tcPr>
            <w:tcW w:w="0" w:type="auto"/>
            <w:tcMar>
              <w:top w:w="15" w:type="dxa"/>
              <w:left w:w="15" w:type="dxa"/>
              <w:bottom w:w="0" w:type="dxa"/>
              <w:right w:w="15" w:type="dxa"/>
            </w:tcMar>
            <w:hideMark/>
          </w:tcPr>
          <w:p w14:paraId="57FF2925" w14:textId="75FCCFDB"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72DA63D4" w14:textId="7EBEEB6F" w:rsidR="00FA457D" w:rsidRPr="00B1089D" w:rsidRDefault="00FA457D" w:rsidP="000610DA">
            <w:pPr>
              <w:widowControl/>
            </w:pPr>
            <w:r w:rsidRPr="00B1089D">
              <w:t>-0.019</w:t>
            </w:r>
          </w:p>
        </w:tc>
        <w:tc>
          <w:tcPr>
            <w:tcW w:w="0" w:type="auto"/>
            <w:tcMar>
              <w:top w:w="15" w:type="dxa"/>
              <w:left w:w="15" w:type="dxa"/>
              <w:bottom w:w="0" w:type="dxa"/>
              <w:right w:w="15" w:type="dxa"/>
            </w:tcMar>
            <w:hideMark/>
          </w:tcPr>
          <w:p w14:paraId="3F34B1BA" w14:textId="7D5AEA4C" w:rsidR="00FA457D" w:rsidRPr="00B1089D" w:rsidRDefault="00FA457D" w:rsidP="000610DA">
            <w:pPr>
              <w:widowControl/>
            </w:pPr>
            <w:r w:rsidRPr="00B1089D">
              <w:t>-0.017</w:t>
            </w:r>
          </w:p>
        </w:tc>
        <w:tc>
          <w:tcPr>
            <w:tcW w:w="0" w:type="auto"/>
            <w:tcMar>
              <w:top w:w="15" w:type="dxa"/>
              <w:left w:w="15" w:type="dxa"/>
              <w:bottom w:w="0" w:type="dxa"/>
              <w:right w:w="15" w:type="dxa"/>
            </w:tcMar>
            <w:vAlign w:val="center"/>
            <w:hideMark/>
          </w:tcPr>
          <w:p w14:paraId="63931432" w14:textId="77777777" w:rsidR="00FA457D" w:rsidRPr="00B1089D" w:rsidRDefault="00FA457D" w:rsidP="000610DA">
            <w:pPr>
              <w:widowControl/>
            </w:pPr>
            <w:r w:rsidRPr="00B1089D">
              <w:t>***</w:t>
            </w:r>
          </w:p>
        </w:tc>
      </w:tr>
      <w:tr w:rsidR="00FA457D" w:rsidRPr="00B1089D" w14:paraId="4D469008" w14:textId="77777777" w:rsidTr="000610DA">
        <w:trPr>
          <w:trHeight w:val="466"/>
        </w:trPr>
        <w:tc>
          <w:tcPr>
            <w:tcW w:w="0" w:type="auto"/>
            <w:tcMar>
              <w:top w:w="15" w:type="dxa"/>
              <w:left w:w="15" w:type="dxa"/>
              <w:bottom w:w="0" w:type="dxa"/>
              <w:right w:w="15" w:type="dxa"/>
            </w:tcMar>
            <w:vAlign w:val="center"/>
            <w:hideMark/>
          </w:tcPr>
          <w:p w14:paraId="27F33633" w14:textId="77777777" w:rsidR="00FA457D" w:rsidRPr="00B1089D" w:rsidRDefault="00FA457D" w:rsidP="000610DA">
            <w:pPr>
              <w:widowControl/>
            </w:pPr>
            <w:r w:rsidRPr="00B1089D">
              <w:t>2019</w:t>
            </w:r>
          </w:p>
        </w:tc>
        <w:tc>
          <w:tcPr>
            <w:tcW w:w="0" w:type="auto"/>
            <w:tcMar>
              <w:top w:w="15" w:type="dxa"/>
              <w:left w:w="15" w:type="dxa"/>
              <w:bottom w:w="0" w:type="dxa"/>
              <w:right w:w="15" w:type="dxa"/>
            </w:tcMar>
            <w:vAlign w:val="center"/>
            <w:hideMark/>
          </w:tcPr>
          <w:p w14:paraId="387308F6"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302B9551"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130C1700"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1DB14EB"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CBE64DE"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0F308F43"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54F4C56B" w14:textId="77777777" w:rsidR="00FA457D" w:rsidRPr="00B1089D" w:rsidRDefault="00FA457D" w:rsidP="000610DA">
            <w:pPr>
              <w:widowControl/>
            </w:pPr>
          </w:p>
        </w:tc>
      </w:tr>
      <w:tr w:rsidR="00FA457D" w:rsidRPr="00B1089D" w14:paraId="7816D03F" w14:textId="77777777" w:rsidTr="000610DA">
        <w:trPr>
          <w:trHeight w:val="466"/>
        </w:trPr>
        <w:tc>
          <w:tcPr>
            <w:tcW w:w="0" w:type="auto"/>
            <w:tcMar>
              <w:top w:w="15" w:type="dxa"/>
              <w:left w:w="15" w:type="dxa"/>
              <w:bottom w:w="0" w:type="dxa"/>
              <w:right w:w="15" w:type="dxa"/>
            </w:tcMar>
            <w:vAlign w:val="center"/>
            <w:hideMark/>
          </w:tcPr>
          <w:p w14:paraId="27106DE8" w14:textId="77777777" w:rsidR="00FA457D" w:rsidRPr="00B1089D" w:rsidRDefault="00FA457D" w:rsidP="000610DA">
            <w:pPr>
              <w:widowControl/>
            </w:pPr>
            <w:proofErr w:type="spellStart"/>
            <w:proofErr w:type="gramStart"/>
            <w:r w:rsidRPr="00B1089D">
              <w:t>findummy</w:t>
            </w:r>
            <w:proofErr w:type="spellEnd"/>
            <w:proofErr w:type="gramEnd"/>
          </w:p>
        </w:tc>
        <w:tc>
          <w:tcPr>
            <w:tcW w:w="0" w:type="auto"/>
            <w:tcMar>
              <w:top w:w="15" w:type="dxa"/>
              <w:left w:w="15" w:type="dxa"/>
              <w:bottom w:w="0" w:type="dxa"/>
              <w:right w:w="15" w:type="dxa"/>
            </w:tcMar>
            <w:vAlign w:val="center"/>
            <w:hideMark/>
          </w:tcPr>
          <w:p w14:paraId="3C551F72"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28A41ACD"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3AA501C4"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67418721"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57E9EF67"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44922A45" w14:textId="77777777" w:rsidR="00FA457D" w:rsidRPr="00B1089D" w:rsidRDefault="00FA457D" w:rsidP="000610DA">
            <w:pPr>
              <w:widowControl/>
            </w:pPr>
          </w:p>
        </w:tc>
        <w:tc>
          <w:tcPr>
            <w:tcW w:w="0" w:type="auto"/>
            <w:tcMar>
              <w:top w:w="15" w:type="dxa"/>
              <w:left w:w="15" w:type="dxa"/>
              <w:bottom w:w="0" w:type="dxa"/>
              <w:right w:w="15" w:type="dxa"/>
            </w:tcMar>
            <w:vAlign w:val="center"/>
            <w:hideMark/>
          </w:tcPr>
          <w:p w14:paraId="366C6977" w14:textId="77777777" w:rsidR="00FA457D" w:rsidRPr="00B1089D" w:rsidRDefault="00FA457D" w:rsidP="000610DA">
            <w:pPr>
              <w:widowControl/>
            </w:pPr>
          </w:p>
        </w:tc>
      </w:tr>
      <w:tr w:rsidR="00FA457D" w:rsidRPr="00B1089D" w14:paraId="385E3975" w14:textId="77777777" w:rsidTr="000610DA">
        <w:trPr>
          <w:trHeight w:val="466"/>
        </w:trPr>
        <w:tc>
          <w:tcPr>
            <w:tcW w:w="0" w:type="auto"/>
            <w:tcMar>
              <w:top w:w="15" w:type="dxa"/>
              <w:left w:w="15" w:type="dxa"/>
              <w:bottom w:w="0" w:type="dxa"/>
              <w:right w:w="15" w:type="dxa"/>
            </w:tcMar>
            <w:vAlign w:val="center"/>
            <w:hideMark/>
          </w:tcPr>
          <w:p w14:paraId="1E3FEECF" w14:textId="77777777" w:rsidR="00FA457D" w:rsidRPr="00B1089D" w:rsidRDefault="00FA457D" w:rsidP="000610DA">
            <w:pPr>
              <w:widowControl/>
            </w:pPr>
            <w:r w:rsidRPr="00B1089D">
              <w:t>0</w:t>
            </w:r>
          </w:p>
        </w:tc>
        <w:tc>
          <w:tcPr>
            <w:tcW w:w="0" w:type="auto"/>
            <w:tcMar>
              <w:top w:w="15" w:type="dxa"/>
              <w:left w:w="15" w:type="dxa"/>
              <w:bottom w:w="0" w:type="dxa"/>
              <w:right w:w="15" w:type="dxa"/>
            </w:tcMar>
            <w:vAlign w:val="center"/>
            <w:hideMark/>
          </w:tcPr>
          <w:p w14:paraId="15B940A9"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7EF2557A"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31C63177"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1B647DB8"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7937CD5D"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6CCE5A99" w14:textId="77777777" w:rsidR="00FA457D" w:rsidRPr="00B1089D" w:rsidRDefault="00FA457D" w:rsidP="000610DA">
            <w:pPr>
              <w:widowControl/>
            </w:pPr>
            <w:r w:rsidRPr="00B1089D">
              <w:t>,</w:t>
            </w:r>
          </w:p>
        </w:tc>
        <w:tc>
          <w:tcPr>
            <w:tcW w:w="0" w:type="auto"/>
            <w:tcMar>
              <w:top w:w="15" w:type="dxa"/>
              <w:left w:w="15" w:type="dxa"/>
              <w:bottom w:w="0" w:type="dxa"/>
              <w:right w:w="15" w:type="dxa"/>
            </w:tcMar>
            <w:vAlign w:val="center"/>
            <w:hideMark/>
          </w:tcPr>
          <w:p w14:paraId="43769C7D" w14:textId="77777777" w:rsidR="00FA457D" w:rsidRPr="00B1089D" w:rsidRDefault="00FA457D" w:rsidP="000610DA">
            <w:pPr>
              <w:widowControl/>
            </w:pPr>
          </w:p>
        </w:tc>
      </w:tr>
      <w:tr w:rsidR="00FA457D" w:rsidRPr="00B1089D" w14:paraId="059D8961" w14:textId="77777777" w:rsidTr="000610DA">
        <w:trPr>
          <w:trHeight w:val="466"/>
        </w:trPr>
        <w:tc>
          <w:tcPr>
            <w:tcW w:w="0" w:type="auto"/>
            <w:tcMar>
              <w:top w:w="15" w:type="dxa"/>
              <w:left w:w="15" w:type="dxa"/>
              <w:bottom w:w="0" w:type="dxa"/>
              <w:right w:w="15" w:type="dxa"/>
            </w:tcMar>
            <w:vAlign w:val="center"/>
            <w:hideMark/>
          </w:tcPr>
          <w:p w14:paraId="11CF1360" w14:textId="77777777" w:rsidR="00FA457D" w:rsidRPr="00B1089D" w:rsidRDefault="00FA457D" w:rsidP="000610DA">
            <w:pPr>
              <w:widowControl/>
            </w:pPr>
            <w:r w:rsidRPr="00B1089D">
              <w:t>1</w:t>
            </w:r>
          </w:p>
        </w:tc>
        <w:tc>
          <w:tcPr>
            <w:tcW w:w="0" w:type="auto"/>
            <w:tcMar>
              <w:top w:w="15" w:type="dxa"/>
              <w:left w:w="15" w:type="dxa"/>
              <w:bottom w:w="0" w:type="dxa"/>
              <w:right w:w="15" w:type="dxa"/>
            </w:tcMar>
            <w:hideMark/>
          </w:tcPr>
          <w:p w14:paraId="5027037F" w14:textId="23DB51E2" w:rsidR="00FA457D" w:rsidRPr="00B1089D" w:rsidRDefault="00FA457D" w:rsidP="000610DA">
            <w:pPr>
              <w:widowControl/>
            </w:pPr>
            <w:r w:rsidRPr="00B1089D">
              <w:t>0.268</w:t>
            </w:r>
          </w:p>
        </w:tc>
        <w:tc>
          <w:tcPr>
            <w:tcW w:w="0" w:type="auto"/>
            <w:tcMar>
              <w:top w:w="15" w:type="dxa"/>
              <w:left w:w="15" w:type="dxa"/>
              <w:bottom w:w="0" w:type="dxa"/>
              <w:right w:w="15" w:type="dxa"/>
            </w:tcMar>
            <w:hideMark/>
          </w:tcPr>
          <w:p w14:paraId="03BDECC4" w14:textId="2FE110B6" w:rsidR="00FA457D" w:rsidRPr="00B1089D" w:rsidRDefault="00FA457D" w:rsidP="000610DA">
            <w:pPr>
              <w:widowControl/>
            </w:pPr>
            <w:r w:rsidRPr="00B1089D">
              <w:t>0.005</w:t>
            </w:r>
          </w:p>
        </w:tc>
        <w:tc>
          <w:tcPr>
            <w:tcW w:w="0" w:type="auto"/>
            <w:tcMar>
              <w:top w:w="15" w:type="dxa"/>
              <w:left w:w="15" w:type="dxa"/>
              <w:bottom w:w="0" w:type="dxa"/>
              <w:right w:w="15" w:type="dxa"/>
            </w:tcMar>
            <w:hideMark/>
          </w:tcPr>
          <w:p w14:paraId="2830D593" w14:textId="684AE623" w:rsidR="00FA457D" w:rsidRPr="00B1089D" w:rsidRDefault="00FA457D" w:rsidP="000610DA">
            <w:pPr>
              <w:widowControl/>
            </w:pPr>
            <w:r w:rsidRPr="00B1089D">
              <w:t>52.670</w:t>
            </w:r>
          </w:p>
        </w:tc>
        <w:tc>
          <w:tcPr>
            <w:tcW w:w="0" w:type="auto"/>
            <w:tcMar>
              <w:top w:w="15" w:type="dxa"/>
              <w:left w:w="15" w:type="dxa"/>
              <w:bottom w:w="0" w:type="dxa"/>
              <w:right w:w="15" w:type="dxa"/>
            </w:tcMar>
            <w:hideMark/>
          </w:tcPr>
          <w:p w14:paraId="747E2EFB" w14:textId="1C6BCC9F" w:rsidR="00FA457D" w:rsidRPr="00B1089D" w:rsidRDefault="00FA457D" w:rsidP="000610DA">
            <w:pPr>
              <w:widowControl/>
            </w:pPr>
            <w:r w:rsidRPr="00B1089D">
              <w:t>0.000</w:t>
            </w:r>
          </w:p>
        </w:tc>
        <w:tc>
          <w:tcPr>
            <w:tcW w:w="0" w:type="auto"/>
            <w:tcMar>
              <w:top w:w="15" w:type="dxa"/>
              <w:left w:w="15" w:type="dxa"/>
              <w:bottom w:w="0" w:type="dxa"/>
              <w:right w:w="15" w:type="dxa"/>
            </w:tcMar>
            <w:hideMark/>
          </w:tcPr>
          <w:p w14:paraId="27DD576F" w14:textId="6E95A58F" w:rsidR="00FA457D" w:rsidRPr="00B1089D" w:rsidRDefault="00FA457D" w:rsidP="000610DA">
            <w:pPr>
              <w:widowControl/>
            </w:pPr>
            <w:r w:rsidRPr="00B1089D">
              <w:t>0.257</w:t>
            </w:r>
          </w:p>
        </w:tc>
        <w:tc>
          <w:tcPr>
            <w:tcW w:w="0" w:type="auto"/>
            <w:tcMar>
              <w:top w:w="15" w:type="dxa"/>
              <w:left w:w="15" w:type="dxa"/>
              <w:bottom w:w="0" w:type="dxa"/>
              <w:right w:w="15" w:type="dxa"/>
            </w:tcMar>
            <w:hideMark/>
          </w:tcPr>
          <w:p w14:paraId="717007BA" w14:textId="7DFD48D2" w:rsidR="00FA457D" w:rsidRPr="00B1089D" w:rsidRDefault="00FA457D" w:rsidP="000610DA">
            <w:pPr>
              <w:widowControl/>
            </w:pPr>
            <w:r w:rsidRPr="00B1089D">
              <w:t>0.279</w:t>
            </w:r>
          </w:p>
        </w:tc>
        <w:tc>
          <w:tcPr>
            <w:tcW w:w="0" w:type="auto"/>
            <w:tcMar>
              <w:top w:w="15" w:type="dxa"/>
              <w:left w:w="15" w:type="dxa"/>
              <w:bottom w:w="0" w:type="dxa"/>
              <w:right w:w="15" w:type="dxa"/>
            </w:tcMar>
            <w:vAlign w:val="center"/>
            <w:hideMark/>
          </w:tcPr>
          <w:p w14:paraId="71E55291" w14:textId="77777777" w:rsidR="00FA457D" w:rsidRPr="00B1089D" w:rsidRDefault="00FA457D" w:rsidP="000610DA">
            <w:pPr>
              <w:widowControl/>
            </w:pPr>
            <w:r w:rsidRPr="00B1089D">
              <w:t>***</w:t>
            </w:r>
          </w:p>
        </w:tc>
      </w:tr>
      <w:tr w:rsidR="00FA457D" w:rsidRPr="00B1089D" w14:paraId="329FE3D8" w14:textId="77777777" w:rsidTr="000610DA">
        <w:trPr>
          <w:trHeight w:val="466"/>
        </w:trPr>
        <w:tc>
          <w:tcPr>
            <w:tcW w:w="0" w:type="auto"/>
            <w:tcBorders>
              <w:bottom w:val="single" w:sz="4" w:space="0" w:color="000000"/>
            </w:tcBorders>
            <w:tcMar>
              <w:top w:w="15" w:type="dxa"/>
              <w:left w:w="15" w:type="dxa"/>
              <w:bottom w:w="0" w:type="dxa"/>
              <w:right w:w="15" w:type="dxa"/>
            </w:tcMar>
            <w:vAlign w:val="center"/>
            <w:hideMark/>
          </w:tcPr>
          <w:p w14:paraId="07ABF5BB" w14:textId="77777777" w:rsidR="00FA457D" w:rsidRPr="00B1089D" w:rsidRDefault="00FA457D" w:rsidP="000610DA">
            <w:pPr>
              <w:widowControl/>
            </w:pPr>
            <w:proofErr w:type="spellStart"/>
            <w:r w:rsidRPr="00B1089D">
              <w:t>Constant</w:t>
            </w:r>
            <w:proofErr w:type="spellEnd"/>
          </w:p>
        </w:tc>
        <w:tc>
          <w:tcPr>
            <w:tcW w:w="0" w:type="auto"/>
            <w:tcBorders>
              <w:bottom w:val="single" w:sz="4" w:space="0" w:color="000000"/>
            </w:tcBorders>
            <w:tcMar>
              <w:top w:w="15" w:type="dxa"/>
              <w:left w:w="15" w:type="dxa"/>
              <w:bottom w:w="0" w:type="dxa"/>
              <w:right w:w="15" w:type="dxa"/>
            </w:tcMar>
            <w:hideMark/>
          </w:tcPr>
          <w:p w14:paraId="6AFEAFD8" w14:textId="78DF9373" w:rsidR="00FA457D" w:rsidRPr="00B1089D" w:rsidRDefault="00FA457D" w:rsidP="000610DA">
            <w:pPr>
              <w:widowControl/>
            </w:pPr>
            <w:r w:rsidRPr="00B1089D">
              <w:t>11.878</w:t>
            </w:r>
          </w:p>
        </w:tc>
        <w:tc>
          <w:tcPr>
            <w:tcW w:w="0" w:type="auto"/>
            <w:tcBorders>
              <w:bottom w:val="single" w:sz="4" w:space="0" w:color="000000"/>
            </w:tcBorders>
            <w:tcMar>
              <w:top w:w="15" w:type="dxa"/>
              <w:left w:w="15" w:type="dxa"/>
              <w:bottom w:w="0" w:type="dxa"/>
              <w:right w:w="15" w:type="dxa"/>
            </w:tcMar>
            <w:hideMark/>
          </w:tcPr>
          <w:p w14:paraId="47ACD20D" w14:textId="3428AA06" w:rsidR="00FA457D" w:rsidRPr="00B1089D" w:rsidRDefault="00FA457D" w:rsidP="000610DA">
            <w:pPr>
              <w:widowControl/>
            </w:pPr>
            <w:r w:rsidRPr="00B1089D">
              <w:t>0.046</w:t>
            </w:r>
          </w:p>
        </w:tc>
        <w:tc>
          <w:tcPr>
            <w:tcW w:w="0" w:type="auto"/>
            <w:tcBorders>
              <w:bottom w:val="single" w:sz="4" w:space="0" w:color="000000"/>
            </w:tcBorders>
            <w:tcMar>
              <w:top w:w="15" w:type="dxa"/>
              <w:left w:w="15" w:type="dxa"/>
              <w:bottom w:w="0" w:type="dxa"/>
              <w:right w:w="15" w:type="dxa"/>
            </w:tcMar>
            <w:hideMark/>
          </w:tcPr>
          <w:p w14:paraId="4C031BCE" w14:textId="170F7CC7" w:rsidR="00FA457D" w:rsidRPr="00B1089D" w:rsidRDefault="00FA457D" w:rsidP="000610DA">
            <w:pPr>
              <w:widowControl/>
            </w:pPr>
            <w:r w:rsidRPr="00B1089D">
              <w:t>260.970</w:t>
            </w:r>
          </w:p>
        </w:tc>
        <w:tc>
          <w:tcPr>
            <w:tcW w:w="0" w:type="auto"/>
            <w:tcBorders>
              <w:bottom w:val="single" w:sz="4" w:space="0" w:color="000000"/>
            </w:tcBorders>
            <w:tcMar>
              <w:top w:w="15" w:type="dxa"/>
              <w:left w:w="15" w:type="dxa"/>
              <w:bottom w:w="0" w:type="dxa"/>
              <w:right w:w="15" w:type="dxa"/>
            </w:tcMar>
            <w:hideMark/>
          </w:tcPr>
          <w:p w14:paraId="2E4E9AEF" w14:textId="4832948A" w:rsidR="00FA457D" w:rsidRPr="00B1089D" w:rsidRDefault="00FA457D" w:rsidP="000610DA">
            <w:pPr>
              <w:widowControl/>
            </w:pPr>
            <w:r w:rsidRPr="00B1089D">
              <w:t>0.000</w:t>
            </w:r>
          </w:p>
        </w:tc>
        <w:tc>
          <w:tcPr>
            <w:tcW w:w="0" w:type="auto"/>
            <w:tcBorders>
              <w:bottom w:val="single" w:sz="4" w:space="0" w:color="000000"/>
            </w:tcBorders>
            <w:tcMar>
              <w:top w:w="15" w:type="dxa"/>
              <w:left w:w="15" w:type="dxa"/>
              <w:bottom w:w="0" w:type="dxa"/>
              <w:right w:w="15" w:type="dxa"/>
            </w:tcMar>
            <w:hideMark/>
          </w:tcPr>
          <w:p w14:paraId="189A8849" w14:textId="57795F74" w:rsidR="00FA457D" w:rsidRPr="00B1089D" w:rsidRDefault="00FA457D" w:rsidP="000610DA">
            <w:pPr>
              <w:widowControl/>
            </w:pPr>
            <w:r w:rsidRPr="00B1089D">
              <w:t>11.780</w:t>
            </w:r>
          </w:p>
        </w:tc>
        <w:tc>
          <w:tcPr>
            <w:tcW w:w="0" w:type="auto"/>
            <w:tcBorders>
              <w:bottom w:val="single" w:sz="4" w:space="0" w:color="000000"/>
            </w:tcBorders>
            <w:tcMar>
              <w:top w:w="15" w:type="dxa"/>
              <w:left w:w="15" w:type="dxa"/>
              <w:bottom w:w="0" w:type="dxa"/>
              <w:right w:w="15" w:type="dxa"/>
            </w:tcMar>
            <w:hideMark/>
          </w:tcPr>
          <w:p w14:paraId="7B6B1A9A" w14:textId="664FBF81" w:rsidR="00FA457D" w:rsidRPr="00B1089D" w:rsidRDefault="00FA457D" w:rsidP="000610DA">
            <w:pPr>
              <w:widowControl/>
            </w:pPr>
            <w:r w:rsidRPr="00B1089D">
              <w:t>11.977</w:t>
            </w:r>
          </w:p>
        </w:tc>
        <w:tc>
          <w:tcPr>
            <w:tcW w:w="0" w:type="auto"/>
            <w:tcBorders>
              <w:bottom w:val="single" w:sz="4" w:space="0" w:color="000000"/>
            </w:tcBorders>
            <w:tcMar>
              <w:top w:w="15" w:type="dxa"/>
              <w:left w:w="15" w:type="dxa"/>
              <w:bottom w:w="0" w:type="dxa"/>
              <w:right w:w="15" w:type="dxa"/>
            </w:tcMar>
            <w:vAlign w:val="center"/>
            <w:hideMark/>
          </w:tcPr>
          <w:p w14:paraId="56E88E17" w14:textId="77777777" w:rsidR="00FA457D" w:rsidRPr="00B1089D" w:rsidRDefault="00FA457D" w:rsidP="000610DA">
            <w:pPr>
              <w:widowControl/>
            </w:pPr>
            <w:r w:rsidRPr="00B1089D">
              <w:t>***</w:t>
            </w:r>
          </w:p>
        </w:tc>
      </w:tr>
      <w:tr w:rsidR="00FA457D" w:rsidRPr="00B1089D" w14:paraId="663405D0" w14:textId="77777777" w:rsidTr="000610DA">
        <w:trPr>
          <w:trHeight w:val="466"/>
        </w:trPr>
        <w:tc>
          <w:tcPr>
            <w:tcW w:w="0" w:type="auto"/>
            <w:gridSpan w:val="2"/>
            <w:tcBorders>
              <w:top w:val="single" w:sz="4" w:space="0" w:color="000000"/>
            </w:tcBorders>
            <w:tcMar>
              <w:top w:w="15" w:type="dxa"/>
              <w:left w:w="15" w:type="dxa"/>
              <w:bottom w:w="0" w:type="dxa"/>
              <w:right w:w="15" w:type="dxa"/>
            </w:tcMar>
            <w:vAlign w:val="center"/>
            <w:hideMark/>
          </w:tcPr>
          <w:p w14:paraId="3AF4A6FE" w14:textId="1C7293F4" w:rsidR="00FA457D" w:rsidRPr="00B1089D" w:rsidRDefault="00FA457D" w:rsidP="000610DA">
            <w:pPr>
              <w:widowControl/>
            </w:pPr>
            <w:proofErr w:type="spellStart"/>
            <w:r w:rsidRPr="00B1089D">
              <w:rPr>
                <w:b/>
                <w:bCs/>
              </w:rPr>
              <w:t>Number</w:t>
            </w:r>
            <w:proofErr w:type="spellEnd"/>
            <w:r w:rsidRPr="00B1089D">
              <w:rPr>
                <w:b/>
                <w:bCs/>
              </w:rPr>
              <w:t xml:space="preserve"> of </w:t>
            </w:r>
            <w:proofErr w:type="spellStart"/>
            <w:r w:rsidRPr="00B1089D">
              <w:rPr>
                <w:b/>
                <w:bCs/>
              </w:rPr>
              <w:t>obs</w:t>
            </w:r>
            <w:proofErr w:type="spellEnd"/>
          </w:p>
        </w:tc>
        <w:tc>
          <w:tcPr>
            <w:tcW w:w="0" w:type="auto"/>
            <w:tcBorders>
              <w:top w:val="single" w:sz="4" w:space="0" w:color="000000"/>
            </w:tcBorders>
            <w:tcMar>
              <w:top w:w="15" w:type="dxa"/>
              <w:left w:w="15" w:type="dxa"/>
              <w:bottom w:w="0" w:type="dxa"/>
              <w:right w:w="15" w:type="dxa"/>
            </w:tcMar>
            <w:vAlign w:val="center"/>
            <w:hideMark/>
          </w:tcPr>
          <w:p w14:paraId="56B729BA" w14:textId="77777777" w:rsidR="00FA457D" w:rsidRPr="00B1089D" w:rsidRDefault="00FA457D" w:rsidP="000610DA">
            <w:pPr>
              <w:widowControl/>
            </w:pPr>
            <w:r w:rsidRPr="00B1089D">
              <w:t>714</w:t>
            </w:r>
          </w:p>
        </w:tc>
        <w:tc>
          <w:tcPr>
            <w:tcW w:w="0" w:type="auto"/>
            <w:tcBorders>
              <w:top w:val="single" w:sz="4" w:space="0" w:color="000000"/>
            </w:tcBorders>
            <w:tcMar>
              <w:top w:w="15" w:type="dxa"/>
              <w:left w:w="15" w:type="dxa"/>
              <w:bottom w:w="0" w:type="dxa"/>
              <w:right w:w="15" w:type="dxa"/>
            </w:tcMar>
            <w:vAlign w:val="bottom"/>
            <w:hideMark/>
          </w:tcPr>
          <w:p w14:paraId="4BC89B0A" w14:textId="72A2B42E" w:rsidR="00FA457D" w:rsidRPr="00B1089D" w:rsidRDefault="00FA457D" w:rsidP="000610DA">
            <w:pPr>
              <w:widowControl/>
            </w:pPr>
          </w:p>
        </w:tc>
        <w:tc>
          <w:tcPr>
            <w:tcW w:w="0" w:type="auto"/>
            <w:gridSpan w:val="2"/>
            <w:tcBorders>
              <w:top w:val="single" w:sz="4" w:space="0" w:color="000000"/>
            </w:tcBorders>
            <w:tcMar>
              <w:top w:w="15" w:type="dxa"/>
              <w:left w:w="15" w:type="dxa"/>
              <w:bottom w:w="0" w:type="dxa"/>
              <w:right w:w="15" w:type="dxa"/>
            </w:tcMar>
            <w:vAlign w:val="center"/>
            <w:hideMark/>
          </w:tcPr>
          <w:p w14:paraId="69F099A2" w14:textId="77777777" w:rsidR="00FA457D" w:rsidRPr="00B1089D" w:rsidRDefault="00FA457D" w:rsidP="000610DA">
            <w:pPr>
              <w:widowControl/>
            </w:pPr>
            <w:proofErr w:type="gramStart"/>
            <w:r w:rsidRPr="00B1089D">
              <w:rPr>
                <w:b/>
                <w:bCs/>
              </w:rPr>
              <w:t>Prob &gt;</w:t>
            </w:r>
            <w:proofErr w:type="gramEnd"/>
            <w:r w:rsidRPr="00B1089D">
              <w:rPr>
                <w:b/>
                <w:bCs/>
              </w:rPr>
              <w:t xml:space="preserve"> F</w:t>
            </w:r>
          </w:p>
        </w:tc>
        <w:tc>
          <w:tcPr>
            <w:tcW w:w="0" w:type="auto"/>
            <w:tcBorders>
              <w:top w:val="single" w:sz="4" w:space="0" w:color="000000"/>
            </w:tcBorders>
            <w:tcMar>
              <w:top w:w="15" w:type="dxa"/>
              <w:left w:w="15" w:type="dxa"/>
              <w:bottom w:w="0" w:type="dxa"/>
              <w:right w:w="15" w:type="dxa"/>
            </w:tcMar>
            <w:vAlign w:val="center"/>
            <w:hideMark/>
          </w:tcPr>
          <w:p w14:paraId="4E42D53C" w14:textId="77777777" w:rsidR="00FA457D" w:rsidRPr="00B1089D" w:rsidRDefault="00FA457D" w:rsidP="000610DA">
            <w:pPr>
              <w:widowControl/>
            </w:pPr>
            <w:r w:rsidRPr="00B1089D">
              <w:t>0.0000</w:t>
            </w:r>
          </w:p>
        </w:tc>
        <w:tc>
          <w:tcPr>
            <w:tcW w:w="0" w:type="auto"/>
            <w:tcBorders>
              <w:top w:val="single" w:sz="4" w:space="0" w:color="000000"/>
            </w:tcBorders>
            <w:tcMar>
              <w:top w:w="15" w:type="dxa"/>
              <w:left w:w="15" w:type="dxa"/>
              <w:bottom w:w="0" w:type="dxa"/>
              <w:right w:w="15" w:type="dxa"/>
            </w:tcMar>
            <w:vAlign w:val="bottom"/>
            <w:hideMark/>
          </w:tcPr>
          <w:p w14:paraId="74FB4286" w14:textId="66E73FEB" w:rsidR="00FA457D" w:rsidRPr="00B1089D" w:rsidRDefault="00FA457D" w:rsidP="000610DA">
            <w:pPr>
              <w:widowControl/>
            </w:pPr>
          </w:p>
        </w:tc>
      </w:tr>
      <w:tr w:rsidR="00FA457D" w:rsidRPr="00B1089D" w14:paraId="78CF974B" w14:textId="77777777" w:rsidTr="000610DA">
        <w:trPr>
          <w:trHeight w:val="466"/>
        </w:trPr>
        <w:tc>
          <w:tcPr>
            <w:tcW w:w="0" w:type="auto"/>
            <w:gridSpan w:val="2"/>
            <w:tcMar>
              <w:top w:w="15" w:type="dxa"/>
              <w:left w:w="15" w:type="dxa"/>
              <w:bottom w:w="0" w:type="dxa"/>
              <w:right w:w="15" w:type="dxa"/>
            </w:tcMar>
            <w:vAlign w:val="center"/>
            <w:hideMark/>
          </w:tcPr>
          <w:p w14:paraId="74CFF592" w14:textId="508C1A46" w:rsidR="00FA457D" w:rsidRPr="00B1089D" w:rsidRDefault="00FA457D" w:rsidP="000610DA">
            <w:pPr>
              <w:widowControl/>
            </w:pPr>
            <w:proofErr w:type="spellStart"/>
            <w:r w:rsidRPr="00B1089D">
              <w:rPr>
                <w:b/>
                <w:bCs/>
              </w:rPr>
              <w:t>Number</w:t>
            </w:r>
            <w:proofErr w:type="spellEnd"/>
            <w:r w:rsidRPr="00B1089D">
              <w:rPr>
                <w:b/>
                <w:bCs/>
              </w:rPr>
              <w:t xml:space="preserve"> of </w:t>
            </w:r>
            <w:proofErr w:type="spellStart"/>
            <w:r w:rsidRPr="00B1089D">
              <w:rPr>
                <w:b/>
                <w:bCs/>
              </w:rPr>
              <w:t>groups</w:t>
            </w:r>
            <w:proofErr w:type="spellEnd"/>
          </w:p>
        </w:tc>
        <w:tc>
          <w:tcPr>
            <w:tcW w:w="0" w:type="auto"/>
            <w:tcMar>
              <w:top w:w="15" w:type="dxa"/>
              <w:left w:w="15" w:type="dxa"/>
              <w:bottom w:w="0" w:type="dxa"/>
              <w:right w:w="15" w:type="dxa"/>
            </w:tcMar>
            <w:vAlign w:val="center"/>
            <w:hideMark/>
          </w:tcPr>
          <w:p w14:paraId="690CC94A" w14:textId="77777777" w:rsidR="00FA457D" w:rsidRPr="00B1089D" w:rsidRDefault="00FA457D" w:rsidP="000610DA">
            <w:pPr>
              <w:widowControl/>
            </w:pPr>
            <w:r w:rsidRPr="00B1089D">
              <w:t>51</w:t>
            </w:r>
          </w:p>
        </w:tc>
        <w:tc>
          <w:tcPr>
            <w:tcW w:w="0" w:type="auto"/>
            <w:tcMar>
              <w:top w:w="15" w:type="dxa"/>
              <w:left w:w="15" w:type="dxa"/>
              <w:bottom w:w="0" w:type="dxa"/>
              <w:right w:w="15" w:type="dxa"/>
            </w:tcMar>
            <w:vAlign w:val="bottom"/>
            <w:hideMark/>
          </w:tcPr>
          <w:p w14:paraId="2A93016A" w14:textId="77777777" w:rsidR="00FA457D" w:rsidRPr="00B1089D" w:rsidRDefault="00FA457D" w:rsidP="000610DA">
            <w:pPr>
              <w:widowControl/>
            </w:pPr>
          </w:p>
        </w:tc>
        <w:tc>
          <w:tcPr>
            <w:tcW w:w="0" w:type="auto"/>
            <w:gridSpan w:val="2"/>
            <w:tcMar>
              <w:top w:w="15" w:type="dxa"/>
              <w:left w:w="15" w:type="dxa"/>
              <w:bottom w:w="0" w:type="dxa"/>
              <w:right w:w="15" w:type="dxa"/>
            </w:tcMar>
            <w:vAlign w:val="center"/>
            <w:hideMark/>
          </w:tcPr>
          <w:p w14:paraId="64A9F7B4" w14:textId="77777777" w:rsidR="00FA457D" w:rsidRPr="00B1089D" w:rsidRDefault="00FA457D" w:rsidP="000610DA">
            <w:pPr>
              <w:widowControl/>
            </w:pPr>
            <w:r w:rsidRPr="00B1089D">
              <w:rPr>
                <w:b/>
                <w:bCs/>
              </w:rPr>
              <w:t xml:space="preserve">Maximum </w:t>
            </w:r>
            <w:proofErr w:type="spellStart"/>
            <w:r w:rsidRPr="00B1089D">
              <w:rPr>
                <w:b/>
                <w:bCs/>
              </w:rPr>
              <w:t>lag</w:t>
            </w:r>
            <w:proofErr w:type="spellEnd"/>
          </w:p>
        </w:tc>
        <w:tc>
          <w:tcPr>
            <w:tcW w:w="0" w:type="auto"/>
            <w:tcMar>
              <w:top w:w="15" w:type="dxa"/>
              <w:left w:w="15" w:type="dxa"/>
              <w:bottom w:w="0" w:type="dxa"/>
              <w:right w:w="15" w:type="dxa"/>
            </w:tcMar>
            <w:vAlign w:val="center"/>
            <w:hideMark/>
          </w:tcPr>
          <w:p w14:paraId="67909712" w14:textId="77777777" w:rsidR="00FA457D" w:rsidRPr="00B1089D" w:rsidRDefault="00FA457D" w:rsidP="000610DA">
            <w:pPr>
              <w:widowControl/>
            </w:pPr>
            <w:r w:rsidRPr="00B1089D">
              <w:t>2</w:t>
            </w:r>
          </w:p>
        </w:tc>
        <w:tc>
          <w:tcPr>
            <w:tcW w:w="0" w:type="auto"/>
            <w:tcMar>
              <w:top w:w="15" w:type="dxa"/>
              <w:left w:w="15" w:type="dxa"/>
              <w:bottom w:w="0" w:type="dxa"/>
              <w:right w:w="15" w:type="dxa"/>
            </w:tcMar>
            <w:vAlign w:val="bottom"/>
            <w:hideMark/>
          </w:tcPr>
          <w:p w14:paraId="31006FD9" w14:textId="77777777" w:rsidR="00FA457D" w:rsidRPr="00B1089D" w:rsidRDefault="00FA457D" w:rsidP="000610DA">
            <w:pPr>
              <w:widowControl/>
            </w:pPr>
          </w:p>
        </w:tc>
      </w:tr>
      <w:tr w:rsidR="00FA457D" w:rsidRPr="00B1089D" w14:paraId="0652FF4A" w14:textId="77777777" w:rsidTr="000610DA">
        <w:trPr>
          <w:trHeight w:val="493"/>
        </w:trPr>
        <w:tc>
          <w:tcPr>
            <w:tcW w:w="0" w:type="auto"/>
            <w:gridSpan w:val="2"/>
            <w:tcBorders>
              <w:bottom w:val="single" w:sz="8" w:space="0" w:color="000000"/>
            </w:tcBorders>
            <w:tcMar>
              <w:top w:w="15" w:type="dxa"/>
              <w:left w:w="15" w:type="dxa"/>
              <w:bottom w:w="0" w:type="dxa"/>
              <w:right w:w="15" w:type="dxa"/>
            </w:tcMar>
            <w:vAlign w:val="center"/>
            <w:hideMark/>
          </w:tcPr>
          <w:p w14:paraId="4EEC12AE" w14:textId="7D0749BA" w:rsidR="00FA457D" w:rsidRPr="00B1089D" w:rsidRDefault="00FA457D" w:rsidP="000610DA">
            <w:pPr>
              <w:widowControl/>
            </w:pPr>
            <w:proofErr w:type="gramStart"/>
            <w:r w:rsidRPr="00B1089D">
              <w:rPr>
                <w:b/>
                <w:bCs/>
              </w:rPr>
              <w:t>F(</w:t>
            </w:r>
            <w:proofErr w:type="gramEnd"/>
            <w:r w:rsidRPr="00B1089D">
              <w:rPr>
                <w:b/>
                <w:bCs/>
              </w:rPr>
              <w:t>16, 13)</w:t>
            </w:r>
          </w:p>
        </w:tc>
        <w:tc>
          <w:tcPr>
            <w:tcW w:w="0" w:type="auto"/>
            <w:tcBorders>
              <w:bottom w:val="single" w:sz="8" w:space="0" w:color="000000"/>
            </w:tcBorders>
            <w:tcMar>
              <w:top w:w="15" w:type="dxa"/>
              <w:left w:w="15" w:type="dxa"/>
              <w:bottom w:w="0" w:type="dxa"/>
              <w:right w:w="15" w:type="dxa"/>
            </w:tcMar>
            <w:vAlign w:val="center"/>
            <w:hideMark/>
          </w:tcPr>
          <w:p w14:paraId="51956F8E" w14:textId="77777777" w:rsidR="00FA457D" w:rsidRPr="00B1089D" w:rsidRDefault="00FA457D" w:rsidP="000610DA">
            <w:pPr>
              <w:widowControl/>
            </w:pPr>
            <w:r w:rsidRPr="00B1089D">
              <w:t>1587.06</w:t>
            </w:r>
          </w:p>
        </w:tc>
        <w:tc>
          <w:tcPr>
            <w:tcW w:w="0" w:type="auto"/>
            <w:tcBorders>
              <w:bottom w:val="single" w:sz="8" w:space="0" w:color="000000"/>
            </w:tcBorders>
            <w:tcMar>
              <w:top w:w="15" w:type="dxa"/>
              <w:left w:w="15" w:type="dxa"/>
              <w:bottom w:w="0" w:type="dxa"/>
              <w:right w:w="15" w:type="dxa"/>
            </w:tcMar>
            <w:vAlign w:val="bottom"/>
            <w:hideMark/>
          </w:tcPr>
          <w:p w14:paraId="6CE58C53" w14:textId="1BA457AA" w:rsidR="00FA457D" w:rsidRPr="00B1089D" w:rsidRDefault="00FA457D" w:rsidP="000610DA">
            <w:pPr>
              <w:widowControl/>
            </w:pPr>
          </w:p>
        </w:tc>
        <w:tc>
          <w:tcPr>
            <w:tcW w:w="0" w:type="auto"/>
            <w:gridSpan w:val="2"/>
            <w:tcBorders>
              <w:bottom w:val="single" w:sz="8" w:space="0" w:color="000000"/>
            </w:tcBorders>
            <w:tcMar>
              <w:top w:w="15" w:type="dxa"/>
              <w:left w:w="15" w:type="dxa"/>
              <w:bottom w:w="0" w:type="dxa"/>
              <w:right w:w="15" w:type="dxa"/>
            </w:tcMar>
            <w:vAlign w:val="center"/>
            <w:hideMark/>
          </w:tcPr>
          <w:p w14:paraId="3D454204" w14:textId="0AC3C83D" w:rsidR="00FA457D" w:rsidRPr="00B1089D" w:rsidRDefault="00FA457D" w:rsidP="000610DA">
            <w:pPr>
              <w:widowControl/>
            </w:pPr>
            <w:proofErr w:type="spellStart"/>
            <w:r w:rsidRPr="00B1089D">
              <w:rPr>
                <w:b/>
                <w:bCs/>
              </w:rPr>
              <w:t>Within</w:t>
            </w:r>
            <w:proofErr w:type="spellEnd"/>
            <w:r w:rsidRPr="00B1089D">
              <w:rPr>
                <w:b/>
                <w:bCs/>
              </w:rPr>
              <w:t xml:space="preserve"> R-</w:t>
            </w:r>
            <w:proofErr w:type="spellStart"/>
            <w:r w:rsidRPr="00B1089D">
              <w:rPr>
                <w:b/>
                <w:bCs/>
              </w:rPr>
              <w:t>squared</w:t>
            </w:r>
            <w:proofErr w:type="spellEnd"/>
          </w:p>
        </w:tc>
        <w:tc>
          <w:tcPr>
            <w:tcW w:w="0" w:type="auto"/>
            <w:tcBorders>
              <w:bottom w:val="single" w:sz="8" w:space="0" w:color="000000"/>
            </w:tcBorders>
            <w:tcMar>
              <w:top w:w="15" w:type="dxa"/>
              <w:left w:w="15" w:type="dxa"/>
              <w:bottom w:w="0" w:type="dxa"/>
              <w:right w:w="15" w:type="dxa"/>
            </w:tcMar>
            <w:vAlign w:val="center"/>
            <w:hideMark/>
          </w:tcPr>
          <w:p w14:paraId="250262A8" w14:textId="77777777" w:rsidR="00FA457D" w:rsidRPr="00B1089D" w:rsidRDefault="00FA457D" w:rsidP="000610DA">
            <w:pPr>
              <w:widowControl/>
            </w:pPr>
            <w:r w:rsidRPr="00B1089D">
              <w:t>0,72</w:t>
            </w:r>
          </w:p>
        </w:tc>
        <w:tc>
          <w:tcPr>
            <w:tcW w:w="0" w:type="auto"/>
            <w:tcBorders>
              <w:bottom w:val="single" w:sz="8" w:space="0" w:color="000000"/>
            </w:tcBorders>
            <w:tcMar>
              <w:top w:w="15" w:type="dxa"/>
              <w:left w:w="15" w:type="dxa"/>
              <w:bottom w:w="0" w:type="dxa"/>
              <w:right w:w="15" w:type="dxa"/>
            </w:tcMar>
            <w:vAlign w:val="bottom"/>
            <w:hideMark/>
          </w:tcPr>
          <w:p w14:paraId="678F7A48" w14:textId="13E57779" w:rsidR="00FA457D" w:rsidRPr="00B1089D" w:rsidRDefault="00FA457D" w:rsidP="000610DA">
            <w:pPr>
              <w:widowControl/>
            </w:pPr>
          </w:p>
        </w:tc>
      </w:tr>
    </w:tbl>
    <w:p w14:paraId="39187946" w14:textId="77777777" w:rsidR="00FA457D" w:rsidRPr="00B1089D" w:rsidRDefault="00FA457D" w:rsidP="00E359E0">
      <w:pPr>
        <w:widowControl/>
        <w:jc w:val="both"/>
      </w:pPr>
      <w:r w:rsidRPr="00B1089D">
        <w:t>Source:</w:t>
      </w:r>
      <w:r w:rsidRPr="00B1089D">
        <w:rPr>
          <w:b/>
          <w:bCs/>
        </w:rPr>
        <w:t xml:space="preserve"> </w:t>
      </w:r>
      <w:proofErr w:type="spellStart"/>
      <w:r w:rsidRPr="00B1089D">
        <w:t>Author’s</w:t>
      </w:r>
      <w:proofErr w:type="spellEnd"/>
      <w:r w:rsidRPr="00B1089D">
        <w:t xml:space="preserve"> </w:t>
      </w:r>
      <w:proofErr w:type="spellStart"/>
      <w:r w:rsidRPr="00B1089D">
        <w:t>calculation</w:t>
      </w:r>
      <w:proofErr w:type="spellEnd"/>
      <w:r w:rsidRPr="00B1089D">
        <w:t>                                          *** p&lt;.01, ** p&lt;.05, * p&lt;.1</w:t>
      </w:r>
    </w:p>
    <w:p w14:paraId="7AF13F87" w14:textId="77777777" w:rsidR="00FA457D" w:rsidRPr="00B1089D" w:rsidRDefault="00FA457D" w:rsidP="00E359E0">
      <w:pPr>
        <w:widowControl/>
        <w:jc w:val="both"/>
      </w:pPr>
      <w:proofErr w:type="spellStart"/>
      <w:r w:rsidRPr="00B1089D">
        <w:t>Table</w:t>
      </w:r>
      <w:proofErr w:type="spellEnd"/>
      <w:r w:rsidRPr="00B1089D">
        <w:t xml:space="preserve"> 8 </w:t>
      </w:r>
      <w:proofErr w:type="spellStart"/>
      <w:r w:rsidRPr="00B1089D">
        <w:t>presents</w:t>
      </w:r>
      <w:proofErr w:type="spellEnd"/>
      <w:r w:rsidRPr="00B1089D">
        <w:t xml:space="preserve"> </w:t>
      </w:r>
      <w:proofErr w:type="spellStart"/>
      <w:r w:rsidRPr="00B1089D">
        <w:t>estimation</w:t>
      </w:r>
      <w:proofErr w:type="spellEnd"/>
      <w:r w:rsidRPr="00B1089D">
        <w:t xml:space="preserve"> </w:t>
      </w:r>
      <w:proofErr w:type="spellStart"/>
      <w:r w:rsidRPr="00B1089D">
        <w:t>results</w:t>
      </w:r>
      <w:proofErr w:type="spellEnd"/>
      <w:r w:rsidRPr="00B1089D">
        <w:t xml:space="preserve"> </w:t>
      </w:r>
      <w:proofErr w:type="spellStart"/>
      <w:r w:rsidRPr="00B1089D">
        <w:t>with</w:t>
      </w:r>
      <w:proofErr w:type="spellEnd"/>
      <w:r w:rsidRPr="00B1089D">
        <w:t xml:space="preserve"> </w:t>
      </w:r>
      <w:proofErr w:type="spellStart"/>
      <w:r w:rsidRPr="00B1089D">
        <w:t>Driscoll-Kraay</w:t>
      </w:r>
      <w:proofErr w:type="spellEnd"/>
      <w:r w:rsidRPr="00B1089D">
        <w:t xml:space="preserve"> </w:t>
      </w:r>
      <w:proofErr w:type="spellStart"/>
      <w:r w:rsidRPr="00B1089D">
        <w:t>standard</w:t>
      </w:r>
      <w:proofErr w:type="spellEnd"/>
      <w:r w:rsidRPr="00B1089D">
        <w:t xml:space="preserve"> </w:t>
      </w:r>
      <w:proofErr w:type="spellStart"/>
      <w:r w:rsidRPr="00B1089D">
        <w:t>errors</w:t>
      </w:r>
      <w:proofErr w:type="spellEnd"/>
      <w:r w:rsidRPr="00B1089D">
        <w:t xml:space="preserve"> </w:t>
      </w:r>
      <w:proofErr w:type="spellStart"/>
      <w:r w:rsidRPr="00B1089D">
        <w:t>for</w:t>
      </w:r>
      <w:proofErr w:type="spellEnd"/>
      <w:r w:rsidRPr="00B1089D">
        <w:t xml:space="preserve"> </w:t>
      </w:r>
      <w:proofErr w:type="spellStart"/>
      <w:r w:rsidRPr="00B1089D">
        <w:t>all</w:t>
      </w:r>
      <w:proofErr w:type="spellEnd"/>
      <w:r w:rsidRPr="00B1089D">
        <w:t xml:space="preserve"> </w:t>
      </w:r>
      <w:proofErr w:type="spellStart"/>
      <w:r w:rsidRPr="00B1089D">
        <w:t>countries</w:t>
      </w:r>
      <w:proofErr w:type="spellEnd"/>
      <w:r w:rsidRPr="00B1089D">
        <w:t xml:space="preserve"> </w:t>
      </w:r>
      <w:proofErr w:type="spellStart"/>
      <w:r w:rsidRPr="00B1089D">
        <w:t>and</w:t>
      </w:r>
      <w:proofErr w:type="spellEnd"/>
      <w:r w:rsidRPr="00B1089D">
        <w:t xml:space="preserve"> </w:t>
      </w:r>
      <w:proofErr w:type="spellStart"/>
      <w:r w:rsidRPr="00B1089D">
        <w:t>RSCs</w:t>
      </w:r>
      <w:proofErr w:type="spellEnd"/>
      <w:r w:rsidRPr="00B1089D">
        <w:t>.</w:t>
      </w:r>
    </w:p>
    <w:p w14:paraId="141F1ABA" w14:textId="77777777" w:rsidR="00FA457D" w:rsidRPr="00D10870"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model </w:t>
      </w:r>
      <w:proofErr w:type="spellStart"/>
      <w:r w:rsidRPr="00B1089D">
        <w:t>encompassing</w:t>
      </w:r>
      <w:proofErr w:type="spellEnd"/>
      <w:r w:rsidRPr="00B1089D">
        <w:t xml:space="preserve"> </w:t>
      </w:r>
      <w:proofErr w:type="spellStart"/>
      <w:r w:rsidRPr="00B1089D">
        <w:t>all</w:t>
      </w:r>
      <w:proofErr w:type="spellEnd"/>
      <w:r w:rsidRPr="00B1089D">
        <w:t xml:space="preserve"> </w:t>
      </w:r>
      <w:proofErr w:type="spellStart"/>
      <w:r w:rsidRPr="00B1089D">
        <w:t>countries</w:t>
      </w:r>
      <w:proofErr w:type="spellEnd"/>
      <w:r w:rsidRPr="00B1089D">
        <w:t xml:space="preserve">, </w:t>
      </w:r>
      <w:proofErr w:type="spellStart"/>
      <w:r w:rsidRPr="00B1089D">
        <w:t>the</w:t>
      </w:r>
      <w:proofErr w:type="spellEnd"/>
      <w:r w:rsidRPr="00B1089D">
        <w:t xml:space="preserve"> </w:t>
      </w:r>
      <w:proofErr w:type="spellStart"/>
      <w:r w:rsidRPr="00B1089D">
        <w:t>coefficient</w:t>
      </w:r>
      <w:proofErr w:type="spellEnd"/>
      <w:r w:rsidRPr="00B1089D">
        <w:t xml:space="preserve"> of </w:t>
      </w:r>
      <w:proofErr w:type="spellStart"/>
      <w:r w:rsidRPr="00B1089D">
        <w:t>determination</w:t>
      </w:r>
      <w:proofErr w:type="spellEnd"/>
      <w:r w:rsidRPr="00B1089D">
        <w:t xml:space="preserve"> (R²) is </w:t>
      </w:r>
      <w:proofErr w:type="spellStart"/>
      <w:r w:rsidRPr="00B1089D">
        <w:t>reported</w:t>
      </w:r>
      <w:proofErr w:type="spellEnd"/>
      <w:r w:rsidRPr="00B1089D">
        <w:t xml:space="preserve"> as 72,1%, a </w:t>
      </w:r>
      <w:proofErr w:type="spellStart"/>
      <w:r w:rsidRPr="00B1089D">
        <w:t>significant</w:t>
      </w:r>
      <w:proofErr w:type="spellEnd"/>
      <w:r w:rsidRPr="00B1089D">
        <w:t xml:space="preserve"> </w:t>
      </w:r>
      <w:proofErr w:type="spellStart"/>
      <w:r w:rsidRPr="00B1089D">
        <w:t>figure</w:t>
      </w:r>
      <w:proofErr w:type="spellEnd"/>
      <w:r w:rsidRPr="00B1089D">
        <w:t xml:space="preserve"> </w:t>
      </w:r>
      <w:proofErr w:type="spellStart"/>
      <w:r w:rsidRPr="00B1089D">
        <w:t>that</w:t>
      </w:r>
      <w:proofErr w:type="spellEnd"/>
      <w:r w:rsidRPr="00B1089D">
        <w:t xml:space="preserve"> </w:t>
      </w:r>
      <w:proofErr w:type="spellStart"/>
      <w:r w:rsidRPr="00B1089D">
        <w:t>indicates</w:t>
      </w:r>
      <w:proofErr w:type="spellEnd"/>
      <w:r w:rsidRPr="00B1089D">
        <w:t xml:space="preserve"> </w:t>
      </w:r>
      <w:proofErr w:type="spellStart"/>
      <w:r w:rsidRPr="00B1089D">
        <w:t>approximately</w:t>
      </w:r>
      <w:proofErr w:type="spellEnd"/>
      <w:r w:rsidRPr="00B1089D">
        <w:t xml:space="preserve"> 72,1% of </w:t>
      </w:r>
      <w:proofErr w:type="spellStart"/>
      <w:r w:rsidRPr="00B1089D">
        <w:t>the</w:t>
      </w:r>
      <w:proofErr w:type="spellEnd"/>
      <w:r w:rsidRPr="00B1089D">
        <w:t xml:space="preserve"> </w:t>
      </w:r>
      <w:proofErr w:type="spellStart"/>
      <w:r w:rsidRPr="00B1089D">
        <w:t>change</w:t>
      </w:r>
      <w:proofErr w:type="spellEnd"/>
      <w:r w:rsidRPr="00B1089D">
        <w:t xml:space="preserve"> in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lastRenderedPageBreak/>
        <w:t>variable</w:t>
      </w:r>
      <w:proofErr w:type="spellEnd"/>
      <w:r w:rsidRPr="00B1089D">
        <w:t xml:space="preserve"> is </w:t>
      </w:r>
      <w:proofErr w:type="spellStart"/>
      <w:r w:rsidRPr="00B1089D">
        <w:t>explained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included</w:t>
      </w:r>
      <w:proofErr w:type="spellEnd"/>
      <w:r w:rsidRPr="00B1089D">
        <w:t xml:space="preserve"> in </w:t>
      </w:r>
      <w:proofErr w:type="spellStart"/>
      <w:r w:rsidRPr="00B1089D">
        <w:t>the</w:t>
      </w:r>
      <w:proofErr w:type="spellEnd"/>
      <w:r w:rsidRPr="00B1089D">
        <w:t xml:space="preserve"> model. </w:t>
      </w:r>
      <w:proofErr w:type="spellStart"/>
      <w:r w:rsidRPr="00B1089D">
        <w:t>The</w:t>
      </w:r>
      <w:proofErr w:type="spellEnd"/>
      <w:r w:rsidRPr="00B1089D">
        <w:t xml:space="preserve"> </w:t>
      </w:r>
      <w:proofErr w:type="spellStart"/>
      <w:r w:rsidRPr="00B1089D">
        <w:t>high</w:t>
      </w:r>
      <w:proofErr w:type="spellEnd"/>
      <w:r w:rsidRPr="00B1089D">
        <w:t xml:space="preserve"> F-</w:t>
      </w:r>
      <w:proofErr w:type="spellStart"/>
      <w:r w:rsidRPr="00B1089D">
        <w:t>value</w:t>
      </w:r>
      <w:proofErr w:type="spellEnd"/>
      <w:r w:rsidRPr="00B1089D">
        <w:t xml:space="preserve"> of 1587.06 </w:t>
      </w:r>
      <w:proofErr w:type="spellStart"/>
      <w:r w:rsidRPr="00B1089D">
        <w:t>further</w:t>
      </w:r>
      <w:proofErr w:type="spellEnd"/>
      <w:r w:rsidRPr="00B1089D">
        <w:t xml:space="preserve"> </w:t>
      </w:r>
      <w:proofErr w:type="spellStart"/>
      <w:r w:rsidRPr="00B1089D">
        <w:t>underscores</w:t>
      </w:r>
      <w:proofErr w:type="spellEnd"/>
      <w:r w:rsidRPr="00B1089D">
        <w:t xml:space="preserve"> </w:t>
      </w:r>
      <w:proofErr w:type="spellStart"/>
      <w:r w:rsidRPr="00B1089D">
        <w:t>the</w:t>
      </w:r>
      <w:proofErr w:type="spellEnd"/>
      <w:r w:rsidRPr="00B1089D">
        <w:t xml:space="preserve"> </w:t>
      </w:r>
      <w:proofErr w:type="spellStart"/>
      <w:r w:rsidRPr="00B1089D">
        <w:t>robustness</w:t>
      </w:r>
      <w:proofErr w:type="spellEnd"/>
      <w:r w:rsidRPr="00B1089D">
        <w:t xml:space="preserve"> of </w:t>
      </w:r>
      <w:proofErr w:type="spellStart"/>
      <w:r w:rsidRPr="00B1089D">
        <w:t>the</w:t>
      </w:r>
      <w:proofErr w:type="spellEnd"/>
      <w:r w:rsidRPr="00B1089D">
        <w:t xml:space="preserve"> model,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statistically</w:t>
      </w:r>
      <w:proofErr w:type="spellEnd"/>
      <w:r w:rsidRPr="00B1089D">
        <w:t xml:space="preserve"> </w:t>
      </w:r>
      <w:proofErr w:type="spellStart"/>
      <w:r w:rsidRPr="00B1089D">
        <w:t>significant</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GDP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(INS) at </w:t>
      </w:r>
      <w:proofErr w:type="spellStart"/>
      <w:r w:rsidRPr="00B1089D">
        <w:t>the</w:t>
      </w:r>
      <w:proofErr w:type="spellEnd"/>
      <w:r w:rsidRPr="00B1089D">
        <w:t xml:space="preserve"> 0.01 </w:t>
      </w:r>
      <w:proofErr w:type="spellStart"/>
      <w:r w:rsidRPr="00B1089D">
        <w:t>level</w:t>
      </w:r>
      <w:proofErr w:type="spellEnd"/>
      <w:r w:rsidRPr="00B1089D">
        <w:t xml:space="preserve"> is a </w:t>
      </w:r>
      <w:proofErr w:type="spellStart"/>
      <w:r w:rsidRPr="00B1089D">
        <w:t>crucial</w:t>
      </w:r>
      <w:proofErr w:type="spellEnd"/>
      <w:r w:rsidRPr="00B1089D">
        <w:t xml:space="preserve"> </w:t>
      </w:r>
      <w:proofErr w:type="spellStart"/>
      <w:r w:rsidRPr="00B1089D">
        <w:t>finding</w:t>
      </w:r>
      <w:proofErr w:type="spellEnd"/>
      <w:r w:rsidRPr="00B1089D">
        <w:t xml:space="preserve">. </w:t>
      </w:r>
      <w:proofErr w:type="spellStart"/>
      <w:r w:rsidRPr="00B1089D">
        <w:t>Specifically</w:t>
      </w:r>
      <w:proofErr w:type="spellEnd"/>
      <w:r w:rsidRPr="00B1089D">
        <w:t xml:space="preserve">,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11.1%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 xml:space="preserve">, a </w:t>
      </w:r>
      <w:proofErr w:type="spellStart"/>
      <w:r w:rsidRPr="00B1089D">
        <w:t>result</w:t>
      </w:r>
      <w:proofErr w:type="spellEnd"/>
      <w:r w:rsidRPr="00B1089D">
        <w:t xml:space="preserve"> </w:t>
      </w:r>
      <w:proofErr w:type="spellStart"/>
      <w:r w:rsidRPr="00B1089D">
        <w:t>that</w:t>
      </w:r>
      <w:proofErr w:type="spellEnd"/>
      <w:r w:rsidRPr="00B1089D">
        <w:t xml:space="preserve"> </w:t>
      </w:r>
      <w:proofErr w:type="spellStart"/>
      <w:r w:rsidRPr="00B1089D">
        <w:t>holds</w:t>
      </w:r>
      <w:proofErr w:type="spellEnd"/>
      <w:r w:rsidRPr="00B1089D">
        <w:t xml:space="preserve"> </w:t>
      </w:r>
      <w:proofErr w:type="spellStart"/>
      <w:r w:rsidRPr="00B1089D">
        <w:t>important</w:t>
      </w:r>
      <w:proofErr w:type="spellEnd"/>
      <w:r w:rsidRPr="00B1089D">
        <w:t xml:space="preserve"> </w:t>
      </w:r>
      <w:proofErr w:type="spellStart"/>
      <w:r w:rsidRPr="00B1089D">
        <w:t>implications</w:t>
      </w:r>
      <w:proofErr w:type="spellEnd"/>
      <w:r w:rsidRPr="00B1089D">
        <w:t xml:space="preserve"> </w:t>
      </w:r>
      <w:proofErr w:type="spellStart"/>
      <w:r w:rsidRPr="00B1089D">
        <w:t>for</w:t>
      </w:r>
      <w:proofErr w:type="spellEnd"/>
      <w:r w:rsidRPr="00B1089D">
        <w:t xml:space="preserve"> </w:t>
      </w:r>
      <w:proofErr w:type="spellStart"/>
      <w:r w:rsidRPr="00B1089D">
        <w:t>our</w:t>
      </w:r>
      <w:proofErr w:type="spellEnd"/>
      <w:r w:rsidRPr="00B1089D">
        <w:t xml:space="preserve"> </w:t>
      </w:r>
      <w:proofErr w:type="spellStart"/>
      <w:r w:rsidRPr="00B1089D">
        <w:t>understanding</w:t>
      </w:r>
      <w:proofErr w:type="spellEnd"/>
      <w:r w:rsidRPr="00B1089D">
        <w:t xml:space="preserve"> of </w:t>
      </w:r>
      <w:proofErr w:type="spellStart"/>
      <w:r w:rsidRPr="00B1089D">
        <w:t>economic</w:t>
      </w:r>
      <w:proofErr w:type="spellEnd"/>
      <w:r w:rsidRPr="00B1089D">
        <w:t xml:space="preserve"> </w:t>
      </w:r>
      <w:proofErr w:type="spellStart"/>
      <w:r w:rsidRPr="00B1089D">
        <w:t>growth</w:t>
      </w:r>
      <w:proofErr w:type="spellEnd"/>
      <w:r w:rsidRPr="00B1089D">
        <w:t>.</w:t>
      </w:r>
    </w:p>
    <w:p w14:paraId="08510EA4" w14:textId="77777777" w:rsidR="00FA457D" w:rsidRPr="00B1089D" w:rsidRDefault="00FA457D" w:rsidP="00FA457D">
      <w:pPr>
        <w:widowControl/>
      </w:pPr>
    </w:p>
    <w:p w14:paraId="28AB5E7B" w14:textId="77777777" w:rsidR="00FA457D" w:rsidRPr="00D10870" w:rsidRDefault="00FA457D" w:rsidP="00E359E0">
      <w:pPr>
        <w:widowControl/>
        <w:jc w:val="both"/>
      </w:pPr>
      <w:proofErr w:type="spellStart"/>
      <w:r w:rsidRPr="00B1089D">
        <w:t>For</w:t>
      </w:r>
      <w:proofErr w:type="spellEnd"/>
      <w:r w:rsidRPr="00B1089D">
        <w:t xml:space="preserve"> </w:t>
      </w:r>
      <w:proofErr w:type="spellStart"/>
      <w:r w:rsidRPr="00B1089D">
        <w:t>the</w:t>
      </w:r>
      <w:proofErr w:type="spellEnd"/>
      <w:r w:rsidRPr="00B1089D">
        <w:t xml:space="preserve"> </w:t>
      </w:r>
      <w:proofErr w:type="spellStart"/>
      <w:r w:rsidRPr="00B1089D">
        <w:t>European</w:t>
      </w:r>
      <w:proofErr w:type="spellEnd"/>
      <w:r w:rsidRPr="00B1089D">
        <w:t xml:space="preserve"> RSC model, </w:t>
      </w:r>
      <w:proofErr w:type="spellStart"/>
      <w:r w:rsidRPr="00B1089D">
        <w:t>the</w:t>
      </w:r>
      <w:proofErr w:type="spellEnd"/>
      <w:r w:rsidRPr="00B1089D">
        <w:t xml:space="preserve"> R² </w:t>
      </w:r>
      <w:proofErr w:type="spellStart"/>
      <w:r w:rsidRPr="00B1089D">
        <w:t>value</w:t>
      </w:r>
      <w:proofErr w:type="spellEnd"/>
      <w:r w:rsidRPr="00B1089D">
        <w:t xml:space="preserve"> is </w:t>
      </w:r>
      <w:proofErr w:type="spellStart"/>
      <w:r w:rsidRPr="00B1089D">
        <w:t>reported</w:t>
      </w:r>
      <w:proofErr w:type="spellEnd"/>
      <w:r w:rsidRPr="00B1089D">
        <w:t xml:space="preserve"> as 65.5%, </w:t>
      </w:r>
      <w:proofErr w:type="spellStart"/>
      <w:r w:rsidRPr="00B1089D">
        <w:t>suggesting</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explain</w:t>
      </w:r>
      <w:proofErr w:type="spellEnd"/>
      <w:r w:rsidRPr="00B1089D">
        <w:t xml:space="preserve"> </w:t>
      </w:r>
      <w:proofErr w:type="spellStart"/>
      <w:r w:rsidRPr="00B1089D">
        <w:t>approximately</w:t>
      </w:r>
      <w:proofErr w:type="spellEnd"/>
      <w:r w:rsidRPr="00B1089D">
        <w:t xml:space="preserve"> 65.5% of </w:t>
      </w:r>
      <w:proofErr w:type="spellStart"/>
      <w:r w:rsidRPr="00B1089D">
        <w:t>the</w:t>
      </w:r>
      <w:proofErr w:type="spellEnd"/>
      <w:r w:rsidRPr="00B1089D">
        <w:t xml:space="preserve"> </w:t>
      </w:r>
      <w:proofErr w:type="spellStart"/>
      <w:r w:rsidRPr="00B1089D">
        <w:t>change</w:t>
      </w:r>
      <w:proofErr w:type="spellEnd"/>
      <w:r w:rsidRPr="00B1089D">
        <w:t xml:space="preserve"> in </w:t>
      </w:r>
      <w:proofErr w:type="spellStart"/>
      <w:r w:rsidRPr="00B1089D">
        <w:t>the</w:t>
      </w:r>
      <w:proofErr w:type="spellEnd"/>
      <w:r w:rsidRPr="00B1089D">
        <w:t xml:space="preserve"> </w:t>
      </w:r>
      <w:proofErr w:type="spellStart"/>
      <w:r w:rsidRPr="00B1089D">
        <w:t>dependent</w:t>
      </w:r>
      <w:proofErr w:type="spellEnd"/>
      <w:r w:rsidRPr="00B1089D">
        <w:t xml:space="preserve"> </w:t>
      </w:r>
      <w:proofErr w:type="spellStart"/>
      <w:r w:rsidRPr="00B1089D">
        <w:t>variable</w:t>
      </w:r>
      <w:proofErr w:type="spellEnd"/>
      <w:r w:rsidRPr="00B1089D">
        <w:t xml:space="preserve">. </w:t>
      </w:r>
      <w:proofErr w:type="spellStart"/>
      <w:r w:rsidRPr="00B1089D">
        <w:t>The</w:t>
      </w:r>
      <w:proofErr w:type="spellEnd"/>
      <w:r w:rsidRPr="00B1089D">
        <w:t xml:space="preserve"> F-</w:t>
      </w:r>
      <w:proofErr w:type="spellStart"/>
      <w:r w:rsidRPr="00B1089D">
        <w:t>value</w:t>
      </w:r>
      <w:proofErr w:type="spellEnd"/>
      <w:r w:rsidRPr="00B1089D">
        <w:t xml:space="preserve"> of 574.50 </w:t>
      </w:r>
      <w:proofErr w:type="spellStart"/>
      <w:r w:rsidRPr="00B1089D">
        <w:t>indicates</w:t>
      </w:r>
      <w:proofErr w:type="spellEnd"/>
      <w:r w:rsidRPr="00B1089D">
        <w:t xml:space="preserve"> a </w:t>
      </w:r>
      <w:proofErr w:type="spellStart"/>
      <w:r w:rsidRPr="00B1089D">
        <w:t>robust</w:t>
      </w:r>
      <w:proofErr w:type="spellEnd"/>
      <w:r w:rsidRPr="00B1089D">
        <w:t xml:space="preserve"> model fit,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GDP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is </w:t>
      </w:r>
      <w:proofErr w:type="spellStart"/>
      <w:r w:rsidRPr="00B1089D">
        <w:t>statistically</w:t>
      </w:r>
      <w:proofErr w:type="spellEnd"/>
      <w:r w:rsidRPr="00B1089D">
        <w:t xml:space="preserve"> </w:t>
      </w:r>
      <w:proofErr w:type="spellStart"/>
      <w:r w:rsidRPr="00B1089D">
        <w:t>significant</w:t>
      </w:r>
      <w:proofErr w:type="spellEnd"/>
      <w:r w:rsidRPr="00B1089D">
        <w:t xml:space="preserve">.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13.7%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w:t>
      </w:r>
    </w:p>
    <w:p w14:paraId="5154514D" w14:textId="77777777" w:rsidR="00FA457D" w:rsidRPr="00B1089D" w:rsidRDefault="00FA457D" w:rsidP="00E359E0">
      <w:pPr>
        <w:widowControl/>
        <w:jc w:val="both"/>
      </w:pPr>
    </w:p>
    <w:p w14:paraId="2ABFCECA" w14:textId="77777777" w:rsidR="00FA457D" w:rsidRPr="00D10870"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Middle</w:t>
      </w:r>
      <w:proofErr w:type="spellEnd"/>
      <w:r w:rsidRPr="00B1089D">
        <w:t xml:space="preserve">-East RSC model, </w:t>
      </w:r>
      <w:proofErr w:type="spellStart"/>
      <w:r w:rsidRPr="00B1089D">
        <w:t>the</w:t>
      </w:r>
      <w:proofErr w:type="spellEnd"/>
      <w:r w:rsidRPr="00B1089D">
        <w:t xml:space="preserve"> R² </w:t>
      </w:r>
      <w:proofErr w:type="spellStart"/>
      <w:r w:rsidRPr="00B1089D">
        <w:t>value</w:t>
      </w:r>
      <w:proofErr w:type="spellEnd"/>
      <w:r w:rsidRPr="00B1089D">
        <w:t xml:space="preserve"> is </w:t>
      </w:r>
      <w:proofErr w:type="spellStart"/>
      <w:r w:rsidRPr="00B1089D">
        <w:t>notably</w:t>
      </w:r>
      <w:proofErr w:type="spellEnd"/>
      <w:r w:rsidRPr="00B1089D">
        <w:t xml:space="preserve"> </w:t>
      </w:r>
      <w:proofErr w:type="spellStart"/>
      <w:r w:rsidRPr="00B1089D">
        <w:t>high</w:t>
      </w:r>
      <w:proofErr w:type="spellEnd"/>
      <w:r w:rsidRPr="00B1089D">
        <w:t xml:space="preserve"> at 90.2%, </w:t>
      </w:r>
      <w:proofErr w:type="spellStart"/>
      <w:r w:rsidRPr="00B1089D">
        <w:t>indicating</w:t>
      </w:r>
      <w:proofErr w:type="spellEnd"/>
      <w:r w:rsidRPr="00B1089D">
        <w:t xml:space="preserve"> a </w:t>
      </w:r>
      <w:proofErr w:type="spellStart"/>
      <w:r w:rsidRPr="00B1089D">
        <w:t>strong</w:t>
      </w:r>
      <w:proofErr w:type="spellEnd"/>
      <w:r w:rsidRPr="00B1089D">
        <w:t xml:space="preserve"> </w:t>
      </w:r>
      <w:proofErr w:type="spellStart"/>
      <w:r w:rsidRPr="00B1089D">
        <w:t>explaining</w:t>
      </w:r>
      <w:proofErr w:type="spellEnd"/>
      <w:r w:rsidRPr="00B1089D">
        <w:t xml:space="preserve"> </w:t>
      </w:r>
      <w:proofErr w:type="spellStart"/>
      <w:r w:rsidRPr="00B1089D">
        <w:t>ability</w:t>
      </w:r>
      <w:proofErr w:type="spellEnd"/>
      <w:r w:rsidRPr="00B1089D">
        <w:t xml:space="preserve"> of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The</w:t>
      </w:r>
      <w:proofErr w:type="spellEnd"/>
      <w:r w:rsidRPr="00B1089D">
        <w:t xml:space="preserve"> </w:t>
      </w:r>
      <w:proofErr w:type="spellStart"/>
      <w:r w:rsidRPr="00B1089D">
        <w:t>associated</w:t>
      </w:r>
      <w:proofErr w:type="spellEnd"/>
      <w:r w:rsidRPr="00B1089D">
        <w:t xml:space="preserve"> F-</w:t>
      </w:r>
      <w:proofErr w:type="spellStart"/>
      <w:r w:rsidRPr="00B1089D">
        <w:t>value</w:t>
      </w:r>
      <w:proofErr w:type="spellEnd"/>
      <w:r w:rsidRPr="00B1089D">
        <w:t xml:space="preserve"> of 915.62 </w:t>
      </w:r>
      <w:proofErr w:type="spellStart"/>
      <w:r w:rsidRPr="00B1089D">
        <w:t>suggests</w:t>
      </w:r>
      <w:proofErr w:type="spellEnd"/>
      <w:r w:rsidRPr="00B1089D">
        <w:t xml:space="preserve"> a </w:t>
      </w:r>
      <w:proofErr w:type="spellStart"/>
      <w:r w:rsidRPr="00B1089D">
        <w:t>good</w:t>
      </w:r>
      <w:proofErr w:type="spellEnd"/>
      <w:r w:rsidRPr="00B1089D">
        <w:t xml:space="preserve"> </w:t>
      </w:r>
      <w:proofErr w:type="spellStart"/>
      <w:r w:rsidRPr="00B1089D">
        <w:t>overall</w:t>
      </w:r>
      <w:proofErr w:type="spellEnd"/>
      <w:r w:rsidRPr="00B1089D">
        <w:t xml:space="preserve"> model fit,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GDP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is </w:t>
      </w:r>
      <w:proofErr w:type="spellStart"/>
      <w:r w:rsidRPr="00B1089D">
        <w:t>statistically</w:t>
      </w:r>
      <w:proofErr w:type="spellEnd"/>
      <w:r w:rsidRPr="00B1089D">
        <w:t xml:space="preserve"> </w:t>
      </w:r>
      <w:proofErr w:type="spellStart"/>
      <w:r w:rsidRPr="00B1089D">
        <w:t>significant</w:t>
      </w:r>
      <w:proofErr w:type="spellEnd"/>
      <w:r w:rsidRPr="00B1089D">
        <w:t xml:space="preserve"> at </w:t>
      </w:r>
      <w:proofErr w:type="spellStart"/>
      <w:r w:rsidRPr="00B1089D">
        <w:t>the</w:t>
      </w:r>
      <w:proofErr w:type="spellEnd"/>
      <w:r w:rsidRPr="00B1089D">
        <w:t xml:space="preserve"> 0.01 </w:t>
      </w:r>
      <w:proofErr w:type="spellStart"/>
      <w:r w:rsidRPr="00B1089D">
        <w:t>level</w:t>
      </w:r>
      <w:proofErr w:type="spellEnd"/>
      <w:r w:rsidRPr="00B1089D">
        <w:t xml:space="preserve">. </w:t>
      </w:r>
      <w:proofErr w:type="spellStart"/>
      <w:r w:rsidRPr="00B1089D">
        <w:t>Specifically</w:t>
      </w:r>
      <w:proofErr w:type="spellEnd"/>
      <w:r w:rsidRPr="00B1089D">
        <w:t xml:space="preserve">,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6.8%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w:t>
      </w:r>
    </w:p>
    <w:p w14:paraId="1B6CF0BB" w14:textId="77777777" w:rsidR="00FA457D" w:rsidRPr="00B1089D" w:rsidRDefault="00FA457D" w:rsidP="00E359E0">
      <w:pPr>
        <w:widowControl/>
        <w:jc w:val="both"/>
      </w:pPr>
    </w:p>
    <w:p w14:paraId="3D5BE524" w14:textId="77777777" w:rsidR="00FA457D" w:rsidRPr="00D10870" w:rsidRDefault="00FA457D" w:rsidP="00E359E0">
      <w:pPr>
        <w:widowControl/>
        <w:jc w:val="both"/>
      </w:pPr>
      <w:proofErr w:type="spellStart"/>
      <w:r w:rsidRPr="00B1089D">
        <w:t>In</w:t>
      </w:r>
      <w:proofErr w:type="spellEnd"/>
      <w:r w:rsidRPr="00B1089D">
        <w:t xml:space="preserve"> </w:t>
      </w:r>
      <w:proofErr w:type="spellStart"/>
      <w:r w:rsidRPr="00B1089D">
        <w:t>the</w:t>
      </w:r>
      <w:proofErr w:type="spellEnd"/>
      <w:r w:rsidRPr="00B1089D">
        <w:t xml:space="preserve"> Post-</w:t>
      </w:r>
      <w:proofErr w:type="spellStart"/>
      <w:r w:rsidRPr="00B1089D">
        <w:t>Soviet</w:t>
      </w:r>
      <w:proofErr w:type="spellEnd"/>
      <w:r w:rsidRPr="00B1089D">
        <w:t xml:space="preserve"> RSC model, </w:t>
      </w:r>
      <w:proofErr w:type="spellStart"/>
      <w:r w:rsidRPr="00B1089D">
        <w:t>the</w:t>
      </w:r>
      <w:proofErr w:type="spellEnd"/>
      <w:r w:rsidRPr="00B1089D">
        <w:t xml:space="preserve"> R² </w:t>
      </w:r>
      <w:proofErr w:type="spellStart"/>
      <w:r w:rsidRPr="00B1089D">
        <w:t>value</w:t>
      </w:r>
      <w:proofErr w:type="spellEnd"/>
      <w:r w:rsidRPr="00B1089D">
        <w:t xml:space="preserve"> is </w:t>
      </w:r>
      <w:proofErr w:type="spellStart"/>
      <w:r w:rsidRPr="00B1089D">
        <w:t>reported</w:t>
      </w:r>
      <w:proofErr w:type="spellEnd"/>
      <w:r w:rsidRPr="00B1089D">
        <w:t xml:space="preserve"> as 85.9%, </w:t>
      </w:r>
      <w:proofErr w:type="spellStart"/>
      <w:r w:rsidRPr="00B1089D">
        <w:t>indicating</w:t>
      </w:r>
      <w:proofErr w:type="spellEnd"/>
      <w:r w:rsidRPr="00B1089D">
        <w:t xml:space="preserve"> a </w:t>
      </w:r>
      <w:proofErr w:type="spellStart"/>
      <w:r w:rsidRPr="00B1089D">
        <w:t>moderate</w:t>
      </w:r>
      <w:proofErr w:type="spellEnd"/>
      <w:r w:rsidRPr="00B1089D">
        <w:t xml:space="preserve"> </w:t>
      </w:r>
      <w:proofErr w:type="spellStart"/>
      <w:r w:rsidRPr="00B1089D">
        <w:t>explaining</w:t>
      </w:r>
      <w:proofErr w:type="spellEnd"/>
      <w:r w:rsidRPr="00B1089D">
        <w:t xml:space="preserve"> </w:t>
      </w:r>
      <w:proofErr w:type="spellStart"/>
      <w:r w:rsidRPr="00B1089D">
        <w:t>ability</w:t>
      </w:r>
      <w:proofErr w:type="spellEnd"/>
      <w:r w:rsidRPr="00B1089D">
        <w:t xml:space="preserve"> of </w:t>
      </w:r>
      <w:proofErr w:type="spellStart"/>
      <w:r w:rsidRPr="00B1089D">
        <w:t>the</w:t>
      </w:r>
      <w:proofErr w:type="spellEnd"/>
      <w:r w:rsidRPr="00B1089D">
        <w:t xml:space="preserve"> </w:t>
      </w:r>
      <w:proofErr w:type="spellStart"/>
      <w:r w:rsidRPr="00B1089D">
        <w:t>independent</w:t>
      </w:r>
      <w:proofErr w:type="spellEnd"/>
      <w:r w:rsidRPr="00B1089D">
        <w:t xml:space="preserve"> </w:t>
      </w:r>
      <w:proofErr w:type="spellStart"/>
      <w:r w:rsidRPr="00B1089D">
        <w:t>variables</w:t>
      </w:r>
      <w:proofErr w:type="spellEnd"/>
      <w:r w:rsidRPr="00B1089D">
        <w:t xml:space="preserve">. </w:t>
      </w:r>
      <w:proofErr w:type="spellStart"/>
      <w:r w:rsidRPr="00B1089D">
        <w:t>The</w:t>
      </w:r>
      <w:proofErr w:type="spellEnd"/>
      <w:r w:rsidRPr="00B1089D">
        <w:t xml:space="preserve"> F-</w:t>
      </w:r>
      <w:proofErr w:type="spellStart"/>
      <w:r w:rsidRPr="00B1089D">
        <w:t>value</w:t>
      </w:r>
      <w:proofErr w:type="spellEnd"/>
      <w:r w:rsidRPr="00B1089D">
        <w:t xml:space="preserve"> of 714.25 </w:t>
      </w:r>
      <w:proofErr w:type="spellStart"/>
      <w:r w:rsidRPr="00B1089D">
        <w:t>suggests</w:t>
      </w:r>
      <w:proofErr w:type="spellEnd"/>
      <w:r w:rsidRPr="00B1089D">
        <w:t xml:space="preserve"> a </w:t>
      </w:r>
      <w:proofErr w:type="spellStart"/>
      <w:r w:rsidRPr="00B1089D">
        <w:t>relatively</w:t>
      </w:r>
      <w:proofErr w:type="spellEnd"/>
      <w:r w:rsidRPr="00B1089D">
        <w:t xml:space="preserve"> </w:t>
      </w:r>
      <w:proofErr w:type="spellStart"/>
      <w:r w:rsidRPr="00B1089D">
        <w:t>good</w:t>
      </w:r>
      <w:proofErr w:type="spellEnd"/>
      <w:r w:rsidRPr="00B1089D">
        <w:t xml:space="preserve"> </w:t>
      </w:r>
      <w:proofErr w:type="spellStart"/>
      <w:r w:rsidRPr="00B1089D">
        <w:t>overall</w:t>
      </w:r>
      <w:proofErr w:type="spellEnd"/>
      <w:r w:rsidRPr="00B1089D">
        <w:t xml:space="preserve"> model fit,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GDP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is </w:t>
      </w:r>
      <w:proofErr w:type="spellStart"/>
      <w:r w:rsidRPr="00B1089D">
        <w:t>statistically</w:t>
      </w:r>
      <w:proofErr w:type="spellEnd"/>
      <w:r w:rsidRPr="00B1089D">
        <w:t xml:space="preserve"> </w:t>
      </w:r>
      <w:proofErr w:type="spellStart"/>
      <w:r w:rsidRPr="00B1089D">
        <w:t>significant</w:t>
      </w:r>
      <w:proofErr w:type="spellEnd"/>
      <w:r w:rsidRPr="00B1089D">
        <w:t xml:space="preserve"> at </w:t>
      </w:r>
      <w:proofErr w:type="spellStart"/>
      <w:r w:rsidRPr="00B1089D">
        <w:t>the</w:t>
      </w:r>
      <w:proofErr w:type="spellEnd"/>
      <w:r w:rsidRPr="00B1089D">
        <w:t xml:space="preserve"> 0.1 </w:t>
      </w:r>
      <w:proofErr w:type="spellStart"/>
      <w:r w:rsidRPr="00B1089D">
        <w:t>level</w:t>
      </w:r>
      <w:proofErr w:type="spellEnd"/>
      <w:r w:rsidRPr="00B1089D">
        <w:t xml:space="preserve">. </w:t>
      </w:r>
      <w:proofErr w:type="spellStart"/>
      <w:r w:rsidRPr="00B1089D">
        <w:t>Specifically</w:t>
      </w:r>
      <w:proofErr w:type="spellEnd"/>
      <w:r w:rsidRPr="00B1089D">
        <w:t xml:space="preserve">, </w:t>
      </w:r>
      <w:proofErr w:type="spellStart"/>
      <w:r w:rsidRPr="00B1089D">
        <w:t>for</w:t>
      </w:r>
      <w:proofErr w:type="spellEnd"/>
      <w:r w:rsidRPr="00B1089D">
        <w:t xml:space="preserve"> </w:t>
      </w:r>
      <w:proofErr w:type="spellStart"/>
      <w:r w:rsidRPr="00B1089D">
        <w:t>every</w:t>
      </w:r>
      <w:proofErr w:type="spellEnd"/>
      <w:r w:rsidRPr="00B1089D">
        <w:t xml:space="preserve"> </w:t>
      </w:r>
      <w:proofErr w:type="spellStart"/>
      <w:r w:rsidRPr="00B1089D">
        <w:t>one-unit</w:t>
      </w:r>
      <w:proofErr w:type="spellEnd"/>
      <w:r w:rsidRPr="00B1089D">
        <w:t xml:space="preserve"> </w:t>
      </w:r>
      <w:proofErr w:type="spellStart"/>
      <w:r w:rsidRPr="00B1089D">
        <w:t>increase</w:t>
      </w:r>
      <w:proofErr w:type="spellEnd"/>
      <w:r w:rsidRPr="00B1089D">
        <w:t xml:space="preserve"> in </w:t>
      </w:r>
      <w:proofErr w:type="spellStart"/>
      <w:r w:rsidRPr="00B1089D">
        <w:t>institutional</w:t>
      </w:r>
      <w:proofErr w:type="spellEnd"/>
      <w:r w:rsidRPr="00B1089D">
        <w:t xml:space="preserve"> </w:t>
      </w:r>
      <w:proofErr w:type="spellStart"/>
      <w:r w:rsidRPr="00B1089D">
        <w:t>quality</w:t>
      </w:r>
      <w:proofErr w:type="spellEnd"/>
      <w:r w:rsidRPr="00B1089D">
        <w:t xml:space="preserve">, GDP is </w:t>
      </w:r>
      <w:proofErr w:type="spellStart"/>
      <w:r w:rsidRPr="00B1089D">
        <w:t>estimated</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by</w:t>
      </w:r>
      <w:proofErr w:type="spellEnd"/>
      <w:r w:rsidRPr="00B1089D">
        <w:t xml:space="preserve"> </w:t>
      </w:r>
      <w:proofErr w:type="spellStart"/>
      <w:r w:rsidRPr="00B1089D">
        <w:t>about</w:t>
      </w:r>
      <w:proofErr w:type="spellEnd"/>
      <w:r w:rsidRPr="00B1089D">
        <w:t xml:space="preserve"> 10.9%.</w:t>
      </w:r>
    </w:p>
    <w:p w14:paraId="09725A31" w14:textId="77777777" w:rsidR="00FA457D" w:rsidRPr="00B1089D" w:rsidRDefault="00FA457D" w:rsidP="00E359E0">
      <w:pPr>
        <w:widowControl/>
        <w:jc w:val="both"/>
      </w:pPr>
    </w:p>
    <w:p w14:paraId="02FAC18D" w14:textId="77777777" w:rsidR="00FA457D" w:rsidRPr="00D10870" w:rsidRDefault="00FA457D" w:rsidP="00E359E0">
      <w:pPr>
        <w:widowControl/>
        <w:jc w:val="both"/>
      </w:pPr>
      <w:proofErr w:type="spellStart"/>
      <w:r w:rsidRPr="00B1089D">
        <w:t>These</w:t>
      </w:r>
      <w:proofErr w:type="spellEnd"/>
      <w:r w:rsidRPr="00B1089D">
        <w:t xml:space="preserve"> </w:t>
      </w:r>
      <w:proofErr w:type="spellStart"/>
      <w:r w:rsidRPr="00B1089D">
        <w:t>findings</w:t>
      </w:r>
      <w:proofErr w:type="spellEnd"/>
      <w:r w:rsidRPr="00B1089D">
        <w:t xml:space="preserve"> </w:t>
      </w:r>
      <w:proofErr w:type="spellStart"/>
      <w:r w:rsidRPr="00B1089D">
        <w:t>underscore</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considering</w:t>
      </w:r>
      <w:proofErr w:type="spellEnd"/>
      <w:r w:rsidRPr="00B1089D">
        <w:t xml:space="preserve"> </w:t>
      </w:r>
      <w:proofErr w:type="spellStart"/>
      <w:r w:rsidRPr="00B1089D">
        <w:t>regional</w:t>
      </w:r>
      <w:proofErr w:type="spellEnd"/>
      <w:r w:rsidRPr="00B1089D">
        <w:t xml:space="preserve"> </w:t>
      </w:r>
      <w:proofErr w:type="spellStart"/>
      <w:r w:rsidRPr="00B1089D">
        <w:t>context</w:t>
      </w:r>
      <w:proofErr w:type="spellEnd"/>
      <w:r w:rsidRPr="00B1089D">
        <w:t xml:space="preserve"> in </w:t>
      </w:r>
      <w:proofErr w:type="spellStart"/>
      <w:r w:rsidRPr="00B1089D">
        <w:t>our</w:t>
      </w:r>
      <w:proofErr w:type="spellEnd"/>
      <w:r w:rsidRPr="00B1089D">
        <w:t xml:space="preserve"> </w:t>
      </w:r>
      <w:proofErr w:type="spellStart"/>
      <w:r w:rsidRPr="00B1089D">
        <w:t>research</w:t>
      </w:r>
      <w:proofErr w:type="spellEnd"/>
      <w:r w:rsidRPr="00B1089D">
        <w:t xml:space="preserve">. </w:t>
      </w:r>
      <w:proofErr w:type="spellStart"/>
      <w:r w:rsidRPr="00B1089D">
        <w:t>The</w:t>
      </w:r>
      <w:proofErr w:type="spellEnd"/>
      <w:r w:rsidRPr="00B1089D">
        <w:t xml:space="preserve"> </w:t>
      </w:r>
      <w:proofErr w:type="spellStart"/>
      <w:r w:rsidRPr="00B1089D">
        <w:t>varying</w:t>
      </w:r>
      <w:proofErr w:type="spellEnd"/>
      <w:r w:rsidRPr="00B1089D">
        <w:t xml:space="preserve"> </w:t>
      </w:r>
      <w:proofErr w:type="spellStart"/>
      <w:r w:rsidRPr="00B1089D">
        <w:t>degrees</w:t>
      </w:r>
      <w:proofErr w:type="spellEnd"/>
      <w:r w:rsidRPr="00B1089D">
        <w:t xml:space="preserve"> of </w:t>
      </w:r>
      <w:proofErr w:type="spellStart"/>
      <w:r w:rsidRPr="00B1089D">
        <w:t>explanatory</w:t>
      </w:r>
      <w:proofErr w:type="spellEnd"/>
      <w:r w:rsidRPr="00B1089D">
        <w:t xml:space="preserve"> </w:t>
      </w:r>
      <w:proofErr w:type="spellStart"/>
      <w:r w:rsidRPr="00B1089D">
        <w:t>power</w:t>
      </w:r>
      <w:proofErr w:type="spellEnd"/>
      <w:r w:rsidRPr="00B1089D">
        <w:t xml:space="preserve"> </w:t>
      </w:r>
      <w:proofErr w:type="spellStart"/>
      <w:r w:rsidRPr="00B1089D">
        <w:t>and</w:t>
      </w:r>
      <w:proofErr w:type="spellEnd"/>
      <w:r w:rsidRPr="00B1089D">
        <w:t xml:space="preserve"> </w:t>
      </w:r>
      <w:proofErr w:type="spellStart"/>
      <w:r w:rsidRPr="00B1089D">
        <w:t>statistical</w:t>
      </w:r>
      <w:proofErr w:type="spellEnd"/>
      <w:r w:rsidRPr="00B1089D">
        <w:t xml:space="preserve"> </w:t>
      </w:r>
      <w:proofErr w:type="spellStart"/>
      <w:r w:rsidRPr="00B1089D">
        <w:t>significance</w:t>
      </w:r>
      <w:proofErr w:type="spellEnd"/>
      <w:r w:rsidRPr="00B1089D">
        <w:t xml:space="preserve"> of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GDP </w:t>
      </w:r>
      <w:proofErr w:type="spellStart"/>
      <w:r w:rsidRPr="00B1089D">
        <w:t>growth</w:t>
      </w:r>
      <w:proofErr w:type="spellEnd"/>
      <w:r w:rsidRPr="00B1089D">
        <w:t xml:space="preserve"> </w:t>
      </w:r>
      <w:proofErr w:type="spellStart"/>
      <w:r w:rsidRPr="00B1089D">
        <w:t>across</w:t>
      </w:r>
      <w:proofErr w:type="spellEnd"/>
      <w:r w:rsidRPr="00B1089D">
        <w:t xml:space="preserve"> </w:t>
      </w:r>
      <w:proofErr w:type="spellStart"/>
      <w:r w:rsidRPr="00B1089D">
        <w:t>different</w:t>
      </w:r>
      <w:proofErr w:type="spellEnd"/>
      <w:r w:rsidRPr="00B1089D">
        <w:t xml:space="preserve"> </w:t>
      </w:r>
      <w:proofErr w:type="spellStart"/>
      <w:r w:rsidRPr="00B1089D">
        <w:t>RSCs</w:t>
      </w:r>
      <w:proofErr w:type="spellEnd"/>
      <w:r w:rsidRPr="00B1089D">
        <w:t xml:space="preserve"> </w:t>
      </w:r>
      <w:proofErr w:type="spellStart"/>
      <w:r w:rsidRPr="00B1089D">
        <w:t>are</w:t>
      </w:r>
      <w:proofErr w:type="spellEnd"/>
      <w:r w:rsidRPr="00B1089D">
        <w:t xml:space="preserve"> </w:t>
      </w:r>
      <w:proofErr w:type="spellStart"/>
      <w:r w:rsidRPr="00B1089D">
        <w:t>significant</w:t>
      </w:r>
      <w:proofErr w:type="spellEnd"/>
      <w:r w:rsidRPr="00B1089D">
        <w:t>.</w:t>
      </w:r>
    </w:p>
    <w:p w14:paraId="68DFF717" w14:textId="77777777" w:rsidR="00FA457D" w:rsidRPr="00B1089D" w:rsidRDefault="00FA457D" w:rsidP="00E359E0">
      <w:pPr>
        <w:widowControl/>
        <w:jc w:val="both"/>
      </w:pPr>
    </w:p>
    <w:p w14:paraId="73172863" w14:textId="65250FFB"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results</w:t>
      </w:r>
      <w:proofErr w:type="spellEnd"/>
      <w:r w:rsidRPr="00B1089D">
        <w:t xml:space="preserve"> </w:t>
      </w:r>
      <w:proofErr w:type="spellStart"/>
      <w:r w:rsidRPr="00B1089D">
        <w:t>are</w:t>
      </w:r>
      <w:proofErr w:type="spellEnd"/>
      <w:r w:rsidRPr="00B1089D">
        <w:t xml:space="preserve"> </w:t>
      </w:r>
      <w:proofErr w:type="spellStart"/>
      <w:r w:rsidRPr="00B1089D">
        <w:t>consistent</w:t>
      </w:r>
      <w:proofErr w:type="spellEnd"/>
      <w:r w:rsidRPr="00B1089D">
        <w:t xml:space="preserve"> </w:t>
      </w:r>
      <w:proofErr w:type="spellStart"/>
      <w:r w:rsidRPr="00B1089D">
        <w:t>with</w:t>
      </w:r>
      <w:proofErr w:type="spellEnd"/>
      <w:r w:rsidRPr="00B1089D">
        <w:t xml:space="preserve"> </w:t>
      </w:r>
      <w:proofErr w:type="spellStart"/>
      <w:r w:rsidRPr="00B1089D">
        <w:t>several</w:t>
      </w:r>
      <w:proofErr w:type="spellEnd"/>
      <w:r w:rsidRPr="00B1089D">
        <w:t xml:space="preserve"> </w:t>
      </w:r>
      <w:proofErr w:type="spellStart"/>
      <w:r w:rsidRPr="00B1089D">
        <w:t>previous</w:t>
      </w:r>
      <w:proofErr w:type="spellEnd"/>
      <w:r w:rsidRPr="00B1089D">
        <w:t xml:space="preserve"> </w:t>
      </w:r>
      <w:proofErr w:type="spellStart"/>
      <w:r w:rsidRPr="00B1089D">
        <w:t>studies</w:t>
      </w:r>
      <w:proofErr w:type="spellEnd"/>
      <w:r w:rsidRPr="00B1089D">
        <w:t xml:space="preserve"> </w:t>
      </w:r>
      <w:proofErr w:type="spellStart"/>
      <w:r w:rsidRPr="00B1089D">
        <w:t>highlighting</w:t>
      </w:r>
      <w:proofErr w:type="spellEnd"/>
      <w:r w:rsidRPr="00B1089D">
        <w:t xml:space="preserve"> </w:t>
      </w:r>
      <w:proofErr w:type="spellStart"/>
      <w:r w:rsidRPr="00B1089D">
        <w:t>the</w:t>
      </w:r>
      <w:proofErr w:type="spellEnd"/>
      <w:r w:rsidRPr="00B1089D">
        <w:t xml:space="preserve"> </w:t>
      </w:r>
      <w:proofErr w:type="spellStart"/>
      <w:r w:rsidRPr="00B1089D">
        <w:t>significant</w:t>
      </w:r>
      <w:proofErr w:type="spellEnd"/>
      <w:r w:rsidRPr="00B1089D">
        <w:t xml:space="preserve"> </w:t>
      </w:r>
      <w:proofErr w:type="spellStart"/>
      <w:r w:rsidRPr="00B1089D">
        <w:t>impact</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Aixalá</w:t>
      </w:r>
      <w:proofErr w:type="spellEnd"/>
      <w:r w:rsidRPr="00B1089D">
        <w:t xml:space="preserve"> </w:t>
      </w:r>
      <w:proofErr w:type="spellStart"/>
      <w:r w:rsidRPr="00B1089D">
        <w:t>and</w:t>
      </w:r>
      <w:proofErr w:type="spellEnd"/>
      <w:r w:rsidRPr="00B1089D">
        <w:t xml:space="preserve"> </w:t>
      </w:r>
      <w:proofErr w:type="spellStart"/>
      <w:r w:rsidRPr="00B1089D">
        <w:t>Fabro</w:t>
      </w:r>
      <w:proofErr w:type="spellEnd"/>
      <w:r w:rsidRPr="00B1089D">
        <w:t xml:space="preserve"> (2007) </w:t>
      </w:r>
      <w:proofErr w:type="spellStart"/>
      <w:r w:rsidRPr="00B1089D">
        <w:t>found</w:t>
      </w:r>
      <w:proofErr w:type="spellEnd"/>
      <w:r w:rsidRPr="00B1089D">
        <w:t xml:space="preserve"> a </w:t>
      </w:r>
      <w:proofErr w:type="spellStart"/>
      <w:r w:rsidRPr="00B1089D">
        <w:t>positive</w:t>
      </w:r>
      <w:proofErr w:type="spellEnd"/>
      <w:r w:rsidRPr="00B1089D">
        <w:t xml:space="preserve"> </w:t>
      </w:r>
      <w:proofErr w:type="spellStart"/>
      <w:r w:rsidRPr="00B1089D">
        <w:t>significant</w:t>
      </w:r>
      <w:proofErr w:type="spellEnd"/>
      <w:r w:rsidRPr="00B1089D">
        <w:t xml:space="preserve"> </w:t>
      </w:r>
      <w:proofErr w:type="spellStart"/>
      <w:r w:rsidRPr="00B1089D">
        <w:t>coefficient</w:t>
      </w:r>
      <w:proofErr w:type="spellEnd"/>
      <w:r w:rsidRPr="00B1089D">
        <w:t xml:space="preserve"> </w:t>
      </w:r>
      <w:proofErr w:type="spellStart"/>
      <w:r w:rsidRPr="00B1089D">
        <w:t>for</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Zhuang</w:t>
      </w:r>
      <w:proofErr w:type="spellEnd"/>
      <w:r w:rsidRPr="00B1089D">
        <w:t xml:space="preserve"> et al. (2010) </w:t>
      </w:r>
      <w:proofErr w:type="spellStart"/>
      <w:r w:rsidRPr="00B1089D">
        <w:t>demonstrated</w:t>
      </w:r>
      <w:proofErr w:type="spellEnd"/>
      <w:r w:rsidRPr="00B1089D">
        <w:t xml:space="preserve"> </w:t>
      </w:r>
      <w:proofErr w:type="spellStart"/>
      <w:r w:rsidRPr="00B1089D">
        <w:t>long-term</w:t>
      </w:r>
      <w:proofErr w:type="spellEnd"/>
      <w:r w:rsidRPr="00B1089D">
        <w:t xml:space="preserve"> </w:t>
      </w:r>
      <w:proofErr w:type="spellStart"/>
      <w:r w:rsidRPr="00B1089D">
        <w:t>association</w:t>
      </w:r>
      <w:proofErr w:type="spellEnd"/>
      <w:r w:rsidRPr="00B1089D">
        <w:t xml:space="preserve"> </w:t>
      </w:r>
      <w:proofErr w:type="spellStart"/>
      <w:r w:rsidRPr="00B1089D">
        <w:t>between</w:t>
      </w:r>
      <w:proofErr w:type="spellEnd"/>
      <w:r w:rsidRPr="00B1089D">
        <w:t xml:space="preserve"> </w:t>
      </w:r>
      <w:proofErr w:type="spellStart"/>
      <w:r w:rsidRPr="00B1089D">
        <w:t>governance</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growth</w:t>
      </w:r>
      <w:proofErr w:type="spellEnd"/>
      <w:r w:rsidRPr="00B1089D">
        <w:t xml:space="preserve">, </w:t>
      </w:r>
      <w:proofErr w:type="spellStart"/>
      <w:r w:rsidRPr="00B1089D">
        <w:t>and</w:t>
      </w:r>
      <w:proofErr w:type="spellEnd"/>
      <w:r w:rsidRPr="00B1089D">
        <w:t xml:space="preserve"> </w:t>
      </w:r>
      <w:proofErr w:type="spellStart"/>
      <w:r w:rsidRPr="00B1089D">
        <w:t>income</w:t>
      </w:r>
      <w:proofErr w:type="spellEnd"/>
      <w:r w:rsidRPr="00B1089D">
        <w:t xml:space="preserve"> </w:t>
      </w:r>
      <w:proofErr w:type="spellStart"/>
      <w:r w:rsidRPr="00B1089D">
        <w:t>levels</w:t>
      </w:r>
      <w:proofErr w:type="spellEnd"/>
      <w:r w:rsidRPr="00B1089D">
        <w:t xml:space="preserve">. </w:t>
      </w:r>
      <w:proofErr w:type="spellStart"/>
      <w:r w:rsidRPr="00B1089D">
        <w:t>Emara</w:t>
      </w:r>
      <w:proofErr w:type="spellEnd"/>
      <w:r w:rsidRPr="00B1089D">
        <w:t xml:space="preserve"> </w:t>
      </w:r>
      <w:proofErr w:type="spellStart"/>
      <w:r w:rsidRPr="00B1089D">
        <w:t>and</w:t>
      </w:r>
      <w:proofErr w:type="spellEnd"/>
      <w:r w:rsidRPr="00B1089D">
        <w:t xml:space="preserve"> </w:t>
      </w:r>
      <w:proofErr w:type="spellStart"/>
      <w:r w:rsidRPr="00B1089D">
        <w:t>Jhonsa</w:t>
      </w:r>
      <w:proofErr w:type="spellEnd"/>
      <w:r w:rsidRPr="00B1089D">
        <w:t xml:space="preserve"> (2014) </w:t>
      </w:r>
      <w:proofErr w:type="spellStart"/>
      <w:r w:rsidRPr="00B1089D">
        <w:t>identified</w:t>
      </w:r>
      <w:proofErr w:type="spellEnd"/>
      <w:r w:rsidRPr="00B1089D">
        <w:t xml:space="preserve"> a </w:t>
      </w:r>
      <w:proofErr w:type="spellStart"/>
      <w:r w:rsidRPr="00B1089D">
        <w:t>positive</w:t>
      </w:r>
      <w:proofErr w:type="spellEnd"/>
      <w:r w:rsidRPr="00B1089D">
        <w:t xml:space="preserve"> </w:t>
      </w:r>
      <w:proofErr w:type="spellStart"/>
      <w:r w:rsidRPr="00B1089D">
        <w:t>significant</w:t>
      </w:r>
      <w:proofErr w:type="spellEnd"/>
      <w:r w:rsidRPr="00B1089D">
        <w:t xml:space="preserve"> </w:t>
      </w:r>
      <w:proofErr w:type="spellStart"/>
      <w:r w:rsidRPr="00B1089D">
        <w:t>causality</w:t>
      </w:r>
      <w:proofErr w:type="spellEnd"/>
      <w:r w:rsidRPr="00B1089D">
        <w:t xml:space="preserve"> </w:t>
      </w:r>
      <w:proofErr w:type="spellStart"/>
      <w:r w:rsidRPr="00B1089D">
        <w:t>from</w:t>
      </w:r>
      <w:proofErr w:type="spellEnd"/>
      <w:r w:rsidRPr="00B1089D">
        <w:t xml:space="preserve"> </w:t>
      </w:r>
      <w:proofErr w:type="spellStart"/>
      <w:r w:rsidRPr="00B1089D">
        <w:t>governance</w:t>
      </w:r>
      <w:proofErr w:type="spellEnd"/>
      <w:r w:rsidRPr="00B1089D">
        <w:t xml:space="preserve"> </w:t>
      </w:r>
      <w:proofErr w:type="spellStart"/>
      <w:r w:rsidRPr="00B1089D">
        <w:t>quality</w:t>
      </w:r>
      <w:proofErr w:type="spellEnd"/>
      <w:r w:rsidRPr="00B1089D">
        <w:t xml:space="preserve"> </w:t>
      </w:r>
      <w:proofErr w:type="spellStart"/>
      <w:r w:rsidRPr="00B1089D">
        <w:t>to</w:t>
      </w:r>
      <w:proofErr w:type="spellEnd"/>
      <w:r w:rsidRPr="00B1089D">
        <w:t xml:space="preserve"> </w:t>
      </w:r>
      <w:proofErr w:type="spellStart"/>
      <w:r w:rsidRPr="00B1089D">
        <w:t>per</w:t>
      </w:r>
      <w:proofErr w:type="spellEnd"/>
      <w:r w:rsidRPr="00B1089D">
        <w:t xml:space="preserve"> </w:t>
      </w:r>
      <w:proofErr w:type="spellStart"/>
      <w:r w:rsidRPr="00B1089D">
        <w:t>capita</w:t>
      </w:r>
      <w:proofErr w:type="spellEnd"/>
      <w:r w:rsidRPr="00B1089D">
        <w:t xml:space="preserve"> </w:t>
      </w:r>
      <w:proofErr w:type="spellStart"/>
      <w:r w:rsidRPr="00B1089D">
        <w:t>income</w:t>
      </w:r>
      <w:proofErr w:type="spellEnd"/>
      <w:r w:rsidRPr="00B1089D">
        <w:t xml:space="preserve">, </w:t>
      </w:r>
      <w:proofErr w:type="spellStart"/>
      <w:r w:rsidRPr="00B1089D">
        <w:t>supporting</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w:t>
      </w:r>
      <w:proofErr w:type="spellStart"/>
      <w:r w:rsidRPr="00B1089D">
        <w:t>effective</w:t>
      </w:r>
      <w:proofErr w:type="spellEnd"/>
      <w:r w:rsidRPr="00B1089D">
        <w:t xml:space="preserve"> </w:t>
      </w:r>
      <w:proofErr w:type="spellStart"/>
      <w:r w:rsidRPr="00B1089D">
        <w:t>governance</w:t>
      </w:r>
      <w:proofErr w:type="spellEnd"/>
      <w:r w:rsidRPr="00B1089D">
        <w:t xml:space="preserve"> </w:t>
      </w:r>
      <w:proofErr w:type="spellStart"/>
      <w:r w:rsidRPr="00B1089D">
        <w:t>mechanisms</w:t>
      </w:r>
      <w:proofErr w:type="spellEnd"/>
      <w:r w:rsidRPr="00B1089D">
        <w:t>.</w:t>
      </w:r>
    </w:p>
    <w:p w14:paraId="5A75588C" w14:textId="77777777" w:rsidR="00FA457D" w:rsidRPr="00B1089D" w:rsidRDefault="00FA457D" w:rsidP="00E359E0">
      <w:pPr>
        <w:widowControl/>
        <w:jc w:val="both"/>
      </w:pPr>
    </w:p>
    <w:p w14:paraId="62D2D2FE" w14:textId="77777777" w:rsidR="00FA457D" w:rsidRPr="00B1089D" w:rsidRDefault="00FA457D" w:rsidP="00E359E0">
      <w:pPr>
        <w:widowControl/>
        <w:jc w:val="both"/>
      </w:pPr>
      <w:proofErr w:type="spellStart"/>
      <w:r w:rsidRPr="00B1089D">
        <w:t>Furthermore</w:t>
      </w:r>
      <w:proofErr w:type="spellEnd"/>
      <w:r w:rsidRPr="00B1089D">
        <w:t xml:space="preserve">, </w:t>
      </w:r>
      <w:proofErr w:type="spellStart"/>
      <w:r w:rsidRPr="00B1089D">
        <w:t>Nedić</w:t>
      </w:r>
      <w:proofErr w:type="spellEnd"/>
      <w:r w:rsidRPr="00B1089D">
        <w:t xml:space="preserve"> et al. (2020) </w:t>
      </w:r>
      <w:proofErr w:type="spellStart"/>
      <w:r w:rsidRPr="00B1089D">
        <w:t>emphasised</w:t>
      </w:r>
      <w:proofErr w:type="spellEnd"/>
      <w:r w:rsidRPr="00B1089D">
        <w:t xml:space="preserve"> </w:t>
      </w:r>
      <w:proofErr w:type="spellStart"/>
      <w:r w:rsidRPr="00B1089D">
        <w:t>the</w:t>
      </w:r>
      <w:proofErr w:type="spellEnd"/>
      <w:r w:rsidRPr="00B1089D">
        <w:t xml:space="preserve"> </w:t>
      </w:r>
      <w:proofErr w:type="spellStart"/>
      <w:r w:rsidRPr="00B1089D">
        <w:t>significant</w:t>
      </w:r>
      <w:proofErr w:type="spellEnd"/>
      <w:r w:rsidRPr="00B1089D">
        <w:t xml:space="preserve"> </w:t>
      </w:r>
      <w:proofErr w:type="spellStart"/>
      <w:r w:rsidRPr="00B1089D">
        <w:t>positive</w:t>
      </w:r>
      <w:proofErr w:type="spellEnd"/>
      <w:r w:rsidRPr="00B1089D">
        <w:t xml:space="preserve"> </w:t>
      </w:r>
      <w:proofErr w:type="spellStart"/>
      <w:r w:rsidRPr="00B1089D">
        <w:t>impact</w:t>
      </w:r>
      <w:proofErr w:type="spellEnd"/>
      <w:r w:rsidRPr="00B1089D">
        <w:t xml:space="preserve"> of </w:t>
      </w:r>
      <w:proofErr w:type="spellStart"/>
      <w:r w:rsidRPr="00B1089D">
        <w:t>specific</w:t>
      </w:r>
      <w:proofErr w:type="spellEnd"/>
      <w:r w:rsidRPr="00B1089D">
        <w:t xml:space="preserve"> </w:t>
      </w:r>
      <w:proofErr w:type="spellStart"/>
      <w:r w:rsidRPr="00B1089D">
        <w:t>quality</w:t>
      </w:r>
      <w:proofErr w:type="spellEnd"/>
      <w:r w:rsidRPr="00B1089D">
        <w:t xml:space="preserve"> </w:t>
      </w:r>
      <w:proofErr w:type="spellStart"/>
      <w:r w:rsidRPr="00B1089D">
        <w:t>indicators</w:t>
      </w:r>
      <w:proofErr w:type="spellEnd"/>
      <w:r w:rsidRPr="00B1089D">
        <w:t xml:space="preserve"> of </w:t>
      </w:r>
      <w:proofErr w:type="spellStart"/>
      <w:r w:rsidRPr="00B1089D">
        <w:t>institutions</w:t>
      </w:r>
      <w:proofErr w:type="spellEnd"/>
      <w:r w:rsidRPr="00B1089D">
        <w:t xml:space="preserve">, </w:t>
      </w:r>
      <w:proofErr w:type="spellStart"/>
      <w:r w:rsidRPr="00B1089D">
        <w:t>particularly</w:t>
      </w:r>
      <w:proofErr w:type="spellEnd"/>
      <w:r w:rsidRPr="00B1089D">
        <w:t xml:space="preserve">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and</w:t>
      </w:r>
      <w:proofErr w:type="spellEnd"/>
      <w:r w:rsidRPr="00B1089D">
        <w:t xml:space="preserve"> </w:t>
      </w:r>
      <w:proofErr w:type="spellStart"/>
      <w:r w:rsidRPr="00B1089D">
        <w:t>regulatory</w:t>
      </w:r>
      <w:proofErr w:type="spellEnd"/>
      <w:r w:rsidRPr="00B1089D">
        <w:t xml:space="preserve"> </w:t>
      </w:r>
      <w:proofErr w:type="spellStart"/>
      <w:r w:rsidRPr="00B1089D">
        <w:t>quality</w:t>
      </w:r>
      <w:proofErr w:type="spellEnd"/>
      <w:r w:rsidRPr="00B1089D">
        <w:t xml:space="preserve">, on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Other</w:t>
      </w:r>
      <w:proofErr w:type="spellEnd"/>
      <w:r w:rsidRPr="00B1089D">
        <w:t xml:space="preserve"> </w:t>
      </w:r>
      <w:proofErr w:type="spellStart"/>
      <w:r w:rsidRPr="00B1089D">
        <w:t>studies</w:t>
      </w:r>
      <w:proofErr w:type="spellEnd"/>
      <w:r w:rsidRPr="00B1089D">
        <w:t xml:space="preserve"> </w:t>
      </w:r>
      <w:proofErr w:type="spellStart"/>
      <w:r w:rsidRPr="00B1089D">
        <w:t>by</w:t>
      </w:r>
      <w:proofErr w:type="spellEnd"/>
      <w:r w:rsidRPr="00B1089D">
        <w:t xml:space="preserve"> </w:t>
      </w:r>
      <w:proofErr w:type="gramStart"/>
      <w:r w:rsidRPr="00B1089D">
        <w:t>Sen</w:t>
      </w:r>
      <w:proofErr w:type="gramEnd"/>
      <w:r w:rsidRPr="00B1089D">
        <w:t xml:space="preserve"> (2014), Alam et al. (2017), </w:t>
      </w:r>
      <w:proofErr w:type="spellStart"/>
      <w:r w:rsidRPr="00B1089D">
        <w:t>Siddiqui</w:t>
      </w:r>
      <w:proofErr w:type="spellEnd"/>
      <w:r w:rsidRPr="00B1089D">
        <w:t xml:space="preserve"> et al. (2009), </w:t>
      </w:r>
      <w:proofErr w:type="spellStart"/>
      <w:r w:rsidRPr="00B1089D">
        <w:t>Siyakiya</w:t>
      </w:r>
      <w:proofErr w:type="spellEnd"/>
      <w:r w:rsidRPr="00B1089D">
        <w:t xml:space="preserve"> (2017), </w:t>
      </w:r>
      <w:proofErr w:type="spellStart"/>
      <w:r w:rsidRPr="00B1089D">
        <w:t>and</w:t>
      </w:r>
      <w:proofErr w:type="spellEnd"/>
      <w:r w:rsidRPr="00B1089D">
        <w:t xml:space="preserve"> </w:t>
      </w:r>
      <w:proofErr w:type="spellStart"/>
      <w:r w:rsidRPr="00B1089D">
        <w:t>Kraipornsak</w:t>
      </w:r>
      <w:proofErr w:type="spellEnd"/>
      <w:r w:rsidRPr="00B1089D">
        <w:t xml:space="preserve"> (2018) </w:t>
      </w:r>
      <w:proofErr w:type="spellStart"/>
      <w:r w:rsidRPr="00B1089D">
        <w:t>also</w:t>
      </w:r>
      <w:proofErr w:type="spellEnd"/>
      <w:r w:rsidRPr="00B1089D">
        <w:t xml:space="preserve"> </w:t>
      </w:r>
      <w:proofErr w:type="spellStart"/>
      <w:r w:rsidRPr="00B1089D">
        <w:t>underscored</w:t>
      </w:r>
      <w:proofErr w:type="spellEnd"/>
      <w:r w:rsidRPr="00B1089D">
        <w:t xml:space="preserve"> </w:t>
      </w:r>
      <w:proofErr w:type="spellStart"/>
      <w:r w:rsidRPr="00B1089D">
        <w:t>the</w:t>
      </w:r>
      <w:proofErr w:type="spellEnd"/>
      <w:r w:rsidRPr="00B1089D">
        <w:t xml:space="preserve"> </w:t>
      </w:r>
      <w:proofErr w:type="spellStart"/>
      <w:r w:rsidRPr="00B1089D">
        <w:t>crucial</w:t>
      </w:r>
      <w:proofErr w:type="spellEnd"/>
      <w:r w:rsidRPr="00B1089D">
        <w:t xml:space="preserve"> role of </w:t>
      </w:r>
      <w:proofErr w:type="spellStart"/>
      <w:r w:rsidRPr="00B1089D">
        <w:t>good</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in </w:t>
      </w:r>
      <w:proofErr w:type="spellStart"/>
      <w:r w:rsidRPr="00B1089D">
        <w:t>fostering</w:t>
      </w:r>
      <w:proofErr w:type="spellEnd"/>
      <w:r w:rsidRPr="00B1089D">
        <w:t xml:space="preserve"> </w:t>
      </w:r>
      <w:proofErr w:type="spellStart"/>
      <w:r w:rsidRPr="00B1089D">
        <w:t>economic</w:t>
      </w:r>
      <w:proofErr w:type="spellEnd"/>
      <w:r w:rsidRPr="00B1089D">
        <w:t xml:space="preserve"> </w:t>
      </w:r>
      <w:proofErr w:type="spellStart"/>
      <w:r w:rsidRPr="00B1089D">
        <w:t>performance</w:t>
      </w:r>
      <w:proofErr w:type="spellEnd"/>
      <w:r w:rsidRPr="00B1089D">
        <w:t xml:space="preserve"> </w:t>
      </w:r>
      <w:proofErr w:type="spellStart"/>
      <w:r w:rsidRPr="00B1089D">
        <w:t>and</w:t>
      </w:r>
      <w:proofErr w:type="spellEnd"/>
      <w:r w:rsidRPr="00B1089D">
        <w:t xml:space="preserve"> </w:t>
      </w:r>
      <w:proofErr w:type="spellStart"/>
      <w:r w:rsidRPr="00B1089D">
        <w:t>income</w:t>
      </w:r>
      <w:proofErr w:type="spellEnd"/>
      <w:r w:rsidRPr="00B1089D">
        <w:t xml:space="preserve"> </w:t>
      </w:r>
      <w:proofErr w:type="spellStart"/>
      <w:r w:rsidRPr="00B1089D">
        <w:t>growth</w:t>
      </w:r>
      <w:proofErr w:type="spellEnd"/>
      <w:r w:rsidRPr="00B1089D">
        <w:t xml:space="preserve">, </w:t>
      </w:r>
      <w:proofErr w:type="spellStart"/>
      <w:r w:rsidRPr="00B1089D">
        <w:t>further</w:t>
      </w:r>
      <w:proofErr w:type="spellEnd"/>
      <w:r w:rsidRPr="00B1089D">
        <w:t xml:space="preserve"> </w:t>
      </w:r>
      <w:proofErr w:type="spellStart"/>
      <w:r w:rsidRPr="00B1089D">
        <w:t>supporting</w:t>
      </w:r>
      <w:proofErr w:type="spellEnd"/>
      <w:r w:rsidRPr="00B1089D">
        <w:t xml:space="preserve"> </w:t>
      </w:r>
      <w:proofErr w:type="spellStart"/>
      <w:r w:rsidRPr="00B1089D">
        <w:t>the</w:t>
      </w:r>
      <w:proofErr w:type="spellEnd"/>
      <w:r w:rsidRPr="00B1089D">
        <w:t xml:space="preserve"> </w:t>
      </w:r>
      <w:proofErr w:type="spellStart"/>
      <w:r w:rsidRPr="00B1089D">
        <w:t>alignment</w:t>
      </w:r>
      <w:proofErr w:type="spellEnd"/>
      <w:r w:rsidRPr="00B1089D">
        <w:t xml:space="preserve"> of </w:t>
      </w:r>
      <w:proofErr w:type="spellStart"/>
      <w:r w:rsidRPr="00B1089D">
        <w:t>your</w:t>
      </w:r>
      <w:proofErr w:type="spellEnd"/>
      <w:r w:rsidRPr="00B1089D">
        <w:t xml:space="preserve"> </w:t>
      </w:r>
      <w:proofErr w:type="spellStart"/>
      <w:r w:rsidRPr="00B1089D">
        <w:t>findings</w:t>
      </w:r>
      <w:proofErr w:type="spellEnd"/>
      <w:r w:rsidRPr="00B1089D">
        <w:t xml:space="preserve"> </w:t>
      </w:r>
      <w:proofErr w:type="spellStart"/>
      <w:r w:rsidRPr="00B1089D">
        <w:t>with</w:t>
      </w:r>
      <w:proofErr w:type="spellEnd"/>
      <w:r w:rsidRPr="00B1089D">
        <w:t xml:space="preserve"> </w:t>
      </w:r>
      <w:proofErr w:type="spellStart"/>
      <w:r w:rsidRPr="00B1089D">
        <w:t>existing</w:t>
      </w:r>
      <w:proofErr w:type="spellEnd"/>
      <w:r w:rsidRPr="00B1089D">
        <w:t xml:space="preserve"> </w:t>
      </w:r>
      <w:proofErr w:type="spellStart"/>
      <w:r w:rsidRPr="00B1089D">
        <w:t>research</w:t>
      </w:r>
      <w:proofErr w:type="spellEnd"/>
      <w:r w:rsidRPr="00B1089D">
        <w:t xml:space="preserve"> in </w:t>
      </w:r>
      <w:proofErr w:type="spellStart"/>
      <w:r w:rsidRPr="00B1089D">
        <w:t>this</w:t>
      </w:r>
      <w:proofErr w:type="spellEnd"/>
      <w:r w:rsidRPr="00B1089D">
        <w:t xml:space="preserve"> </w:t>
      </w:r>
      <w:proofErr w:type="spellStart"/>
      <w:r w:rsidRPr="00B1089D">
        <w:t>issue</w:t>
      </w:r>
      <w:proofErr w:type="spellEnd"/>
      <w:r w:rsidRPr="00B1089D">
        <w:t>.</w:t>
      </w:r>
    </w:p>
    <w:p w14:paraId="4CF535D6" w14:textId="77777777" w:rsidR="00FA457D" w:rsidRPr="00B1089D" w:rsidRDefault="00FA457D" w:rsidP="00E359E0">
      <w:pPr>
        <w:widowControl/>
        <w:jc w:val="both"/>
      </w:pPr>
    </w:p>
    <w:p w14:paraId="761F2B3B" w14:textId="77777777" w:rsidR="00FA457D" w:rsidRPr="00B1089D" w:rsidRDefault="00FA457D" w:rsidP="00E359E0">
      <w:pPr>
        <w:widowControl/>
        <w:jc w:val="both"/>
      </w:pPr>
      <w:proofErr w:type="spellStart"/>
      <w:r w:rsidRPr="00B1089D">
        <w:rPr>
          <w:b/>
          <w:bCs/>
        </w:rPr>
        <w:t>Conclusion</w:t>
      </w:r>
      <w:proofErr w:type="spellEnd"/>
    </w:p>
    <w:p w14:paraId="24CA6421" w14:textId="77777777" w:rsidR="00FA457D" w:rsidRPr="00D10870" w:rsidRDefault="00FA457D" w:rsidP="00E359E0">
      <w:pPr>
        <w:widowControl/>
        <w:jc w:val="both"/>
      </w:pP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for</w:t>
      </w:r>
      <w:proofErr w:type="spellEnd"/>
      <w:r w:rsidRPr="00B1089D">
        <w:t xml:space="preserve"> </w:t>
      </w:r>
      <w:proofErr w:type="spellStart"/>
      <w:r w:rsidRPr="00B1089D">
        <w:t>states</w:t>
      </w:r>
      <w:proofErr w:type="spellEnd"/>
      <w:r w:rsidRPr="00B1089D">
        <w:t xml:space="preserve"> </w:t>
      </w:r>
      <w:proofErr w:type="spellStart"/>
      <w:r w:rsidRPr="00B1089D">
        <w:t>involves</w:t>
      </w:r>
      <w:proofErr w:type="spellEnd"/>
      <w:r w:rsidRPr="00B1089D">
        <w:t xml:space="preserve"> </w:t>
      </w:r>
      <w:proofErr w:type="spellStart"/>
      <w:r w:rsidRPr="00B1089D">
        <w:t>securing</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and</w:t>
      </w:r>
      <w:proofErr w:type="spellEnd"/>
      <w:r w:rsidRPr="00B1089D">
        <w:t xml:space="preserve"> market </w:t>
      </w:r>
      <w:proofErr w:type="spellStart"/>
      <w:r w:rsidRPr="00B1089D">
        <w:t>resources</w:t>
      </w:r>
      <w:proofErr w:type="spellEnd"/>
      <w:r w:rsidRPr="00B1089D">
        <w:t xml:space="preserve"> </w:t>
      </w:r>
      <w:proofErr w:type="spellStart"/>
      <w:r w:rsidRPr="00B1089D">
        <w:t>essential</w:t>
      </w:r>
      <w:proofErr w:type="spellEnd"/>
      <w:r w:rsidRPr="00B1089D">
        <w:t xml:space="preserve"> </w:t>
      </w:r>
      <w:proofErr w:type="spellStart"/>
      <w:r w:rsidRPr="00B1089D">
        <w:t>for</w:t>
      </w:r>
      <w:proofErr w:type="spellEnd"/>
      <w:r w:rsidRPr="00B1089D">
        <w:t xml:space="preserve"> </w:t>
      </w:r>
      <w:proofErr w:type="spellStart"/>
      <w:r w:rsidRPr="00B1089D">
        <w:t>their</w:t>
      </w:r>
      <w:proofErr w:type="spellEnd"/>
      <w:r w:rsidRPr="00B1089D">
        <w:t xml:space="preserve"> </w:t>
      </w:r>
      <w:proofErr w:type="spellStart"/>
      <w:r w:rsidRPr="00B1089D">
        <w:t>continued</w:t>
      </w:r>
      <w:proofErr w:type="spellEnd"/>
      <w:r w:rsidRPr="00B1089D">
        <w:t xml:space="preserve"> </w:t>
      </w:r>
      <w:proofErr w:type="spellStart"/>
      <w:r w:rsidRPr="00B1089D">
        <w:t>existence</w:t>
      </w:r>
      <w:proofErr w:type="spellEnd"/>
      <w:r w:rsidRPr="00B1089D">
        <w:t xml:space="preserve"> </w:t>
      </w:r>
      <w:proofErr w:type="spellStart"/>
      <w:r w:rsidRPr="00B1089D">
        <w:t>and</w:t>
      </w:r>
      <w:proofErr w:type="spellEnd"/>
      <w:r w:rsidRPr="00B1089D">
        <w:t xml:space="preserve"> </w:t>
      </w:r>
      <w:proofErr w:type="spellStart"/>
      <w:r w:rsidRPr="00B1089D">
        <w:t>maintaining</w:t>
      </w:r>
      <w:proofErr w:type="spellEnd"/>
      <w:r w:rsidRPr="00B1089D">
        <w:t xml:space="preserve"> </w:t>
      </w:r>
      <w:proofErr w:type="spellStart"/>
      <w:r w:rsidRPr="00B1089D">
        <w:t>the</w:t>
      </w:r>
      <w:proofErr w:type="spellEnd"/>
      <w:r w:rsidRPr="00B1089D">
        <w:t xml:space="preserve"> </w:t>
      </w:r>
      <w:proofErr w:type="spellStart"/>
      <w:r w:rsidRPr="00B1089D">
        <w:t>desired</w:t>
      </w:r>
      <w:proofErr w:type="spellEnd"/>
      <w:r w:rsidRPr="00B1089D">
        <w:t xml:space="preserve"> </w:t>
      </w:r>
      <w:proofErr w:type="spellStart"/>
      <w:r w:rsidRPr="00B1089D">
        <w:t>level</w:t>
      </w:r>
      <w:proofErr w:type="spellEnd"/>
      <w:r w:rsidRPr="00B1089D">
        <w:t xml:space="preserve"> of </w:t>
      </w:r>
      <w:proofErr w:type="spellStart"/>
      <w:r w:rsidRPr="00B1089D">
        <w:t>well-being</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ensures</w:t>
      </w:r>
      <w:proofErr w:type="spellEnd"/>
      <w:r w:rsidRPr="00B1089D">
        <w:t xml:space="preserve"> </w:t>
      </w:r>
      <w:proofErr w:type="spellStart"/>
      <w:r w:rsidRPr="00B1089D">
        <w:t>adequate</w:t>
      </w:r>
      <w:proofErr w:type="spellEnd"/>
      <w:r w:rsidRPr="00B1089D">
        <w:t xml:space="preserve"> </w:t>
      </w:r>
      <w:proofErr w:type="spellStart"/>
      <w:r w:rsidRPr="00B1089D">
        <w:t>agricultural</w:t>
      </w:r>
      <w:proofErr w:type="spellEnd"/>
      <w:r w:rsidRPr="00B1089D">
        <w:t xml:space="preserve"> </w:t>
      </w:r>
      <w:proofErr w:type="spellStart"/>
      <w:r w:rsidRPr="00B1089D">
        <w:t>production</w:t>
      </w:r>
      <w:proofErr w:type="spellEnd"/>
      <w:r w:rsidRPr="00B1089D">
        <w:t xml:space="preserve"> </w:t>
      </w:r>
      <w:proofErr w:type="spellStart"/>
      <w:r w:rsidRPr="00B1089D">
        <w:t>to</w:t>
      </w:r>
      <w:proofErr w:type="spellEnd"/>
      <w:r w:rsidRPr="00B1089D">
        <w:t xml:space="preserve"> </w:t>
      </w:r>
      <w:proofErr w:type="spellStart"/>
      <w:r w:rsidRPr="00B1089D">
        <w:t>sustain</w:t>
      </w:r>
      <w:proofErr w:type="spellEnd"/>
      <w:r w:rsidRPr="00B1089D">
        <w:t xml:space="preserve"> </w:t>
      </w:r>
      <w:proofErr w:type="spellStart"/>
      <w:r w:rsidRPr="00B1089D">
        <w:t>the</w:t>
      </w:r>
      <w:proofErr w:type="spellEnd"/>
      <w:r w:rsidRPr="00B1089D">
        <w:t xml:space="preserve"> </w:t>
      </w:r>
      <w:proofErr w:type="spellStart"/>
      <w:r w:rsidRPr="00B1089D">
        <w:t>population</w:t>
      </w:r>
      <w:proofErr w:type="spellEnd"/>
      <w:r w:rsidRPr="00B1089D">
        <w:t xml:space="preserve"> </w:t>
      </w:r>
      <w:proofErr w:type="spellStart"/>
      <w:r w:rsidRPr="00B1089D">
        <w:t>and</w:t>
      </w:r>
      <w:proofErr w:type="spellEnd"/>
      <w:r w:rsidRPr="00B1089D">
        <w:t xml:space="preserve"> </w:t>
      </w:r>
      <w:proofErr w:type="spellStart"/>
      <w:r w:rsidRPr="00B1089D">
        <w:t>raw</w:t>
      </w:r>
      <w:proofErr w:type="spellEnd"/>
      <w:r w:rsidRPr="00B1089D">
        <w:t xml:space="preserve"> </w:t>
      </w:r>
      <w:proofErr w:type="spellStart"/>
      <w:r w:rsidRPr="00B1089D">
        <w:t>material</w:t>
      </w:r>
      <w:proofErr w:type="spellEnd"/>
      <w:r w:rsidRPr="00B1089D">
        <w:t xml:space="preserve"> </w:t>
      </w:r>
      <w:proofErr w:type="spellStart"/>
      <w:r w:rsidRPr="00B1089D">
        <w:t>production</w:t>
      </w:r>
      <w:proofErr w:type="spellEnd"/>
      <w:r w:rsidRPr="00B1089D">
        <w:t xml:space="preserve"> </w:t>
      </w:r>
      <w:proofErr w:type="spellStart"/>
      <w:r w:rsidRPr="00B1089D">
        <w:lastRenderedPageBreak/>
        <w:t>to</w:t>
      </w:r>
      <w:proofErr w:type="spellEnd"/>
      <w:r w:rsidRPr="00B1089D">
        <w:t xml:space="preserve"> </w:t>
      </w:r>
      <w:proofErr w:type="spellStart"/>
      <w:r w:rsidRPr="00B1089D">
        <w:t>support</w:t>
      </w:r>
      <w:proofErr w:type="spellEnd"/>
      <w:r w:rsidRPr="00B1089D">
        <w:t xml:space="preserve"> </w:t>
      </w:r>
      <w:proofErr w:type="spellStart"/>
      <w:r w:rsidRPr="00B1089D">
        <w:t>industries</w:t>
      </w:r>
      <w:proofErr w:type="spellEnd"/>
      <w:r w:rsidRPr="00B1089D">
        <w:t xml:space="preserve">. </w:t>
      </w:r>
      <w:proofErr w:type="spellStart"/>
      <w:r w:rsidRPr="00B1089D">
        <w:t>Additionally</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necessitates</w:t>
      </w:r>
      <w:proofErr w:type="spellEnd"/>
      <w:r w:rsidRPr="00B1089D">
        <w:t xml:space="preserve"> </w:t>
      </w:r>
      <w:proofErr w:type="spellStart"/>
      <w:r w:rsidRPr="00B1089D">
        <w:t>considering</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internal</w:t>
      </w:r>
      <w:proofErr w:type="spellEnd"/>
      <w:r w:rsidRPr="00B1089D">
        <w:t xml:space="preserve"> </w:t>
      </w:r>
      <w:proofErr w:type="spellStart"/>
      <w:r w:rsidRPr="00B1089D">
        <w:t>structure</w:t>
      </w:r>
      <w:proofErr w:type="spellEnd"/>
      <w:r w:rsidRPr="00B1089D">
        <w:t xml:space="preserve">, </w:t>
      </w:r>
      <w:proofErr w:type="spellStart"/>
      <w:r w:rsidRPr="00B1089D">
        <w:t>where</w:t>
      </w:r>
      <w:proofErr w:type="spellEnd"/>
      <w:r w:rsidRPr="00B1089D">
        <w:t xml:space="preserve"> </w:t>
      </w:r>
      <w:proofErr w:type="spellStart"/>
      <w:r w:rsidRPr="00B1089D">
        <w:t>adopting</w:t>
      </w:r>
      <w:proofErr w:type="spellEnd"/>
      <w:r w:rsidRPr="00B1089D">
        <w:t xml:space="preserve"> </w:t>
      </w:r>
      <w:proofErr w:type="spellStart"/>
      <w:r w:rsidRPr="00B1089D">
        <w:t>advanced</w:t>
      </w:r>
      <w:proofErr w:type="spellEnd"/>
      <w:r w:rsidRPr="00B1089D">
        <w:t xml:space="preserve"> </w:t>
      </w:r>
      <w:proofErr w:type="spellStart"/>
      <w:r w:rsidRPr="00B1089D">
        <w:t>procedures</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w:t>
      </w:r>
      <w:proofErr w:type="spellStart"/>
      <w:r w:rsidRPr="00B1089D">
        <w:t>international</w:t>
      </w:r>
      <w:proofErr w:type="spellEnd"/>
      <w:r w:rsidRPr="00B1089D">
        <w:t xml:space="preserve"> </w:t>
      </w:r>
      <w:proofErr w:type="spellStart"/>
      <w:r w:rsidRPr="00B1089D">
        <w:t>system</w:t>
      </w:r>
      <w:proofErr w:type="spellEnd"/>
      <w:r w:rsidRPr="00B1089D">
        <w:t xml:space="preserve"> </w:t>
      </w:r>
      <w:proofErr w:type="spellStart"/>
      <w:r w:rsidRPr="00B1089D">
        <w:t>becomes</w:t>
      </w:r>
      <w:proofErr w:type="spellEnd"/>
      <w:r w:rsidRPr="00B1089D">
        <w:t xml:space="preserve"> </w:t>
      </w:r>
      <w:proofErr w:type="spellStart"/>
      <w:r w:rsidRPr="00B1089D">
        <w:t>crucial</w:t>
      </w:r>
      <w:proofErr w:type="spellEnd"/>
      <w:r w:rsidRPr="00B1089D">
        <w:t xml:space="preserve"> </w:t>
      </w:r>
      <w:proofErr w:type="spellStart"/>
      <w:r w:rsidRPr="00B1089D">
        <w:t>for</w:t>
      </w:r>
      <w:proofErr w:type="spellEnd"/>
      <w:r w:rsidRPr="00B1089D">
        <w:t xml:space="preserve"> </w:t>
      </w:r>
      <w:proofErr w:type="spellStart"/>
      <w:r w:rsidRPr="00B1089D">
        <w:t>survival</w:t>
      </w:r>
      <w:proofErr w:type="spellEnd"/>
      <w:r w:rsidRPr="00B1089D">
        <w:t xml:space="preserve">. </w:t>
      </w:r>
      <w:proofErr w:type="spellStart"/>
      <w:r w:rsidRPr="00B1089D">
        <w:t>Buzan's</w:t>
      </w:r>
      <w:proofErr w:type="spellEnd"/>
      <w:r w:rsidRPr="00B1089D">
        <w:t xml:space="preserve"> </w:t>
      </w:r>
      <w:proofErr w:type="spellStart"/>
      <w:r w:rsidRPr="00B1089D">
        <w:t>approach</w:t>
      </w:r>
      <w:proofErr w:type="spellEnd"/>
      <w:r w:rsidRPr="00B1089D">
        <w:t xml:space="preserve"> </w:t>
      </w:r>
      <w:proofErr w:type="spellStart"/>
      <w:r w:rsidRPr="00B1089D">
        <w:t>to</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is </w:t>
      </w:r>
      <w:proofErr w:type="spellStart"/>
      <w:r w:rsidRPr="00B1089D">
        <w:t>emphasised</w:t>
      </w:r>
      <w:proofErr w:type="spellEnd"/>
      <w:r w:rsidRPr="00B1089D">
        <w:t xml:space="preserve"> in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highlighting</w:t>
      </w:r>
      <w:proofErr w:type="spellEnd"/>
      <w:r w:rsidRPr="00B1089D">
        <w:t xml:space="preserve"> his </w:t>
      </w:r>
      <w:proofErr w:type="spellStart"/>
      <w:r w:rsidRPr="00B1089D">
        <w:t>broader</w:t>
      </w:r>
      <w:proofErr w:type="spellEnd"/>
      <w:r w:rsidRPr="00B1089D">
        <w:t xml:space="preserve"> </w:t>
      </w:r>
      <w:proofErr w:type="spellStart"/>
      <w:r w:rsidRPr="00B1089D">
        <w:t>conceptualisation</w:t>
      </w:r>
      <w:proofErr w:type="spellEnd"/>
      <w:r w:rsidRPr="00B1089D">
        <w:t xml:space="preserve"> </w:t>
      </w:r>
      <w:proofErr w:type="spellStart"/>
      <w:r w:rsidRPr="00B1089D">
        <w:t>that</w:t>
      </w:r>
      <w:proofErr w:type="spellEnd"/>
      <w:r w:rsidRPr="00B1089D">
        <w:t xml:space="preserve"> </w:t>
      </w:r>
      <w:proofErr w:type="spellStart"/>
      <w:r w:rsidRPr="00B1089D">
        <w:t>integrates</w:t>
      </w:r>
      <w:proofErr w:type="spellEnd"/>
      <w:r w:rsidRPr="00B1089D">
        <w:t xml:space="preserve"> </w:t>
      </w:r>
      <w:proofErr w:type="spellStart"/>
      <w:r w:rsidRPr="00B1089D">
        <w:t>economic</w:t>
      </w:r>
      <w:proofErr w:type="spellEnd"/>
      <w:r w:rsidRPr="00B1089D">
        <w:t xml:space="preserve"> </w:t>
      </w:r>
      <w:proofErr w:type="spellStart"/>
      <w:r w:rsidRPr="00B1089D">
        <w:t>factors</w:t>
      </w:r>
      <w:proofErr w:type="spellEnd"/>
      <w:r w:rsidRPr="00B1089D">
        <w:t xml:space="preserve"> </w:t>
      </w:r>
      <w:proofErr w:type="spellStart"/>
      <w:r w:rsidRPr="00B1089D">
        <w:t>into</w:t>
      </w:r>
      <w:proofErr w:type="spellEnd"/>
      <w:r w:rsidRPr="00B1089D">
        <w:t xml:space="preserve"> </w:t>
      </w:r>
      <w:proofErr w:type="spellStart"/>
      <w:r w:rsidRPr="00B1089D">
        <w:t>national</w:t>
      </w:r>
      <w:proofErr w:type="spellEnd"/>
      <w:r w:rsidRPr="00B1089D">
        <w:t xml:space="preserve"> </w:t>
      </w:r>
      <w:proofErr w:type="spellStart"/>
      <w:r w:rsidRPr="00B1089D">
        <w:t>security</w:t>
      </w:r>
      <w:proofErr w:type="spellEnd"/>
      <w:r w:rsidRPr="00B1089D">
        <w:t xml:space="preserve"> </w:t>
      </w:r>
      <w:proofErr w:type="spellStart"/>
      <w:r w:rsidRPr="00B1089D">
        <w:t>frameworks</w:t>
      </w:r>
      <w:proofErr w:type="spellEnd"/>
      <w:r w:rsidRPr="00B1089D">
        <w:t xml:space="preserve">. </w:t>
      </w:r>
      <w:proofErr w:type="spellStart"/>
      <w:r w:rsidRPr="00B1089D">
        <w:t>The</w:t>
      </w:r>
      <w:proofErr w:type="spellEnd"/>
      <w:r w:rsidRPr="00B1089D">
        <w:t xml:space="preserve"> </w:t>
      </w:r>
      <w:proofErr w:type="spellStart"/>
      <w:r w:rsidRPr="00B1089D">
        <w:t>research</w:t>
      </w:r>
      <w:proofErr w:type="spellEnd"/>
      <w:r w:rsidRPr="00B1089D">
        <w:t xml:space="preserve"> </w:t>
      </w:r>
      <w:proofErr w:type="spellStart"/>
      <w:r w:rsidRPr="00B1089D">
        <w:t>adopts</w:t>
      </w:r>
      <w:proofErr w:type="spellEnd"/>
      <w:r w:rsidRPr="00B1089D">
        <w:t xml:space="preserve"> </w:t>
      </w:r>
      <w:proofErr w:type="spellStart"/>
      <w:r w:rsidRPr="00B1089D">
        <w:t>Buzan's</w:t>
      </w:r>
      <w:proofErr w:type="spellEnd"/>
      <w:r w:rsidRPr="00B1089D">
        <w:t xml:space="preserve"> </w:t>
      </w:r>
      <w:proofErr w:type="spellStart"/>
      <w:r w:rsidRPr="00B1089D">
        <w:t>perspective</w:t>
      </w:r>
      <w:proofErr w:type="spellEnd"/>
      <w:r w:rsidRPr="00B1089D">
        <w:t xml:space="preserve"> </w:t>
      </w:r>
      <w:proofErr w:type="spellStart"/>
      <w:r w:rsidRPr="00B1089D">
        <w:t>to</w:t>
      </w:r>
      <w:proofErr w:type="spellEnd"/>
      <w:r w:rsidRPr="00B1089D">
        <w:t xml:space="preserve"> </w:t>
      </w:r>
      <w:proofErr w:type="spellStart"/>
      <w:r w:rsidRPr="00B1089D">
        <w:t>analyse</w:t>
      </w:r>
      <w:proofErr w:type="spellEnd"/>
      <w:r w:rsidRPr="00B1089D">
        <w:t xml:space="preserve"> how </w:t>
      </w:r>
      <w:proofErr w:type="spellStart"/>
      <w:r w:rsidRPr="00B1089D">
        <w:t>economic</w:t>
      </w:r>
      <w:proofErr w:type="spellEnd"/>
      <w:r w:rsidRPr="00B1089D">
        <w:t xml:space="preserve"> </w:t>
      </w:r>
      <w:proofErr w:type="spellStart"/>
      <w:r w:rsidRPr="00B1089D">
        <w:t>security</w:t>
      </w:r>
      <w:proofErr w:type="spellEnd"/>
      <w:r w:rsidRPr="00B1089D">
        <w:t xml:space="preserve"> is </w:t>
      </w:r>
      <w:proofErr w:type="spellStart"/>
      <w:r w:rsidRPr="00B1089D">
        <w:t>constructed</w:t>
      </w:r>
      <w:proofErr w:type="spellEnd"/>
      <w:r w:rsidRPr="00B1089D">
        <w:t xml:space="preserve"> </w:t>
      </w:r>
      <w:proofErr w:type="spellStart"/>
      <w:r w:rsidRPr="00B1089D">
        <w:t>and</w:t>
      </w:r>
      <w:proofErr w:type="spellEnd"/>
      <w:r w:rsidRPr="00B1089D">
        <w:t xml:space="preserve"> </w:t>
      </w:r>
      <w:proofErr w:type="spellStart"/>
      <w:r w:rsidRPr="00B1089D">
        <w:t>addressed</w:t>
      </w:r>
      <w:proofErr w:type="spellEnd"/>
      <w:r w:rsidRPr="00B1089D">
        <w:t xml:space="preserve"> </w:t>
      </w:r>
      <w:proofErr w:type="spellStart"/>
      <w:r w:rsidRPr="00B1089D">
        <w:t>within</w:t>
      </w:r>
      <w:proofErr w:type="spellEnd"/>
      <w:r w:rsidRPr="00B1089D">
        <w:t xml:space="preserve"> a </w:t>
      </w:r>
      <w:proofErr w:type="spellStart"/>
      <w:r w:rsidRPr="00B1089D">
        <w:t>regional</w:t>
      </w:r>
      <w:proofErr w:type="spellEnd"/>
      <w:r w:rsidRPr="00B1089D">
        <w:t xml:space="preserve"> </w:t>
      </w:r>
      <w:proofErr w:type="spellStart"/>
      <w:r w:rsidRPr="00B1089D">
        <w:t>context</w:t>
      </w:r>
      <w:proofErr w:type="spellEnd"/>
      <w:r w:rsidRPr="00B1089D">
        <w:t>.</w:t>
      </w:r>
    </w:p>
    <w:p w14:paraId="03701CD6" w14:textId="77777777" w:rsidR="00FA457D" w:rsidRPr="00B1089D" w:rsidRDefault="00FA457D" w:rsidP="00E359E0">
      <w:pPr>
        <w:widowControl/>
        <w:jc w:val="both"/>
      </w:pPr>
    </w:p>
    <w:p w14:paraId="7F0EDEDB"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European</w:t>
      </w:r>
      <w:proofErr w:type="spellEnd"/>
      <w:r w:rsidRPr="00B1089D">
        <w:t xml:space="preserve"> RSC </w:t>
      </w:r>
      <w:proofErr w:type="spellStart"/>
      <w:r w:rsidRPr="00B1089D">
        <w:t>comprises</w:t>
      </w:r>
      <w:proofErr w:type="spellEnd"/>
      <w:r w:rsidRPr="00B1089D">
        <w:t xml:space="preserve"> </w:t>
      </w:r>
      <w:proofErr w:type="spellStart"/>
      <w:r w:rsidRPr="00B1089D">
        <w:t>countries</w:t>
      </w:r>
      <w:proofErr w:type="spellEnd"/>
      <w:r w:rsidRPr="00B1089D">
        <w:t xml:space="preserve"> </w:t>
      </w:r>
      <w:proofErr w:type="spellStart"/>
      <w:r w:rsidRPr="00B1089D">
        <w:t>with</w:t>
      </w:r>
      <w:proofErr w:type="spellEnd"/>
      <w:r w:rsidRPr="00B1089D">
        <w:t xml:space="preserve"> </w:t>
      </w:r>
      <w:proofErr w:type="spellStart"/>
      <w:r w:rsidRPr="00B1089D">
        <w:t>high</w:t>
      </w:r>
      <w:proofErr w:type="spellEnd"/>
      <w:r w:rsidRPr="00B1089D">
        <w:t xml:space="preserve"> </w:t>
      </w:r>
      <w:proofErr w:type="spellStart"/>
      <w:r w:rsidRPr="00B1089D">
        <w:t>levels</w:t>
      </w:r>
      <w:proofErr w:type="spellEnd"/>
      <w:r w:rsidRPr="00B1089D">
        <w:t xml:space="preserve"> of </w:t>
      </w:r>
      <w:proofErr w:type="spellStart"/>
      <w:r w:rsidRPr="00B1089D">
        <w:t>institutional</w:t>
      </w:r>
      <w:proofErr w:type="spellEnd"/>
      <w:r w:rsidRPr="00B1089D">
        <w:t xml:space="preserve"> </w:t>
      </w:r>
      <w:proofErr w:type="spellStart"/>
      <w:r w:rsidRPr="00B1089D">
        <w:t>development</w:t>
      </w:r>
      <w:proofErr w:type="spellEnd"/>
      <w:r w:rsidRPr="00B1089D">
        <w:t xml:space="preserve">. </w:t>
      </w:r>
      <w:proofErr w:type="spellStart"/>
      <w:r w:rsidRPr="00B1089D">
        <w:t>The</w:t>
      </w:r>
      <w:proofErr w:type="spellEnd"/>
      <w:r w:rsidRPr="00B1089D">
        <w:t xml:space="preserve"> </w:t>
      </w:r>
      <w:proofErr w:type="spellStart"/>
      <w:r w:rsidRPr="00B1089D">
        <w:t>well-established</w:t>
      </w:r>
      <w:proofErr w:type="spellEnd"/>
      <w:r w:rsidRPr="00B1089D">
        <w:t xml:space="preserve"> </w:t>
      </w:r>
      <w:proofErr w:type="spellStart"/>
      <w:r w:rsidRPr="00B1089D">
        <w:t>governance</w:t>
      </w:r>
      <w:proofErr w:type="spellEnd"/>
      <w:r w:rsidRPr="00B1089D">
        <w:t xml:space="preserve"> </w:t>
      </w:r>
      <w:proofErr w:type="spellStart"/>
      <w:r w:rsidRPr="00B1089D">
        <w:t>structures</w:t>
      </w:r>
      <w:proofErr w:type="spellEnd"/>
      <w:r w:rsidRPr="00B1089D">
        <w:t xml:space="preserve"> in </w:t>
      </w:r>
      <w:proofErr w:type="spellStart"/>
      <w:r w:rsidRPr="00B1089D">
        <w:t>these</w:t>
      </w:r>
      <w:proofErr w:type="spellEnd"/>
      <w:r w:rsidRPr="00B1089D">
        <w:t xml:space="preserve"> </w:t>
      </w:r>
      <w:proofErr w:type="spellStart"/>
      <w:r w:rsidRPr="00B1089D">
        <w:t>nations</w:t>
      </w:r>
      <w:proofErr w:type="spellEnd"/>
      <w:r w:rsidRPr="00B1089D">
        <w:t xml:space="preserve"> </w:t>
      </w:r>
      <w:proofErr w:type="spellStart"/>
      <w:r w:rsidRPr="00B1089D">
        <w:t>contribute</w:t>
      </w:r>
      <w:proofErr w:type="spellEnd"/>
      <w:r w:rsidRPr="00B1089D">
        <w:t xml:space="preserve"> </w:t>
      </w:r>
      <w:proofErr w:type="spellStart"/>
      <w:r w:rsidRPr="00B1089D">
        <w:t>to</w:t>
      </w:r>
      <w:proofErr w:type="spellEnd"/>
      <w:r w:rsidRPr="00B1089D">
        <w:t xml:space="preserve"> an </w:t>
      </w:r>
      <w:proofErr w:type="spellStart"/>
      <w:r w:rsidRPr="00B1089D">
        <w:t>advantageous</w:t>
      </w:r>
      <w:proofErr w:type="spellEnd"/>
      <w:r w:rsidRPr="00B1089D">
        <w:t xml:space="preserve"> </w:t>
      </w:r>
      <w:proofErr w:type="spellStart"/>
      <w:r w:rsidRPr="00B1089D">
        <w:t>environment</w:t>
      </w:r>
      <w:proofErr w:type="spellEnd"/>
      <w:r w:rsidRPr="00B1089D">
        <w:t xml:space="preserve"> </w:t>
      </w:r>
      <w:proofErr w:type="spellStart"/>
      <w:r w:rsidRPr="00B1089D">
        <w:t>for</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B1089D">
        <w:t>Even</w:t>
      </w:r>
      <w:proofErr w:type="spellEnd"/>
      <w:r w:rsidRPr="00B1089D">
        <w:t xml:space="preserve"> </w:t>
      </w:r>
      <w:proofErr w:type="spellStart"/>
      <w:r w:rsidRPr="00B1089D">
        <w:t>with</w:t>
      </w:r>
      <w:proofErr w:type="spellEnd"/>
      <w:r w:rsidRPr="00B1089D">
        <w:t xml:space="preserve"> </w:t>
      </w:r>
      <w:proofErr w:type="spellStart"/>
      <w:r w:rsidRPr="00B1089D">
        <w:t>already</w:t>
      </w:r>
      <w:proofErr w:type="spellEnd"/>
      <w:r w:rsidRPr="00B1089D">
        <w:t xml:space="preserve"> </w:t>
      </w:r>
      <w:proofErr w:type="spellStart"/>
      <w:r w:rsidRPr="00B1089D">
        <w:t>high</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the</w:t>
      </w:r>
      <w:proofErr w:type="spellEnd"/>
      <w:r w:rsidRPr="00B1089D">
        <w:t xml:space="preserve"> </w:t>
      </w:r>
      <w:proofErr w:type="spellStart"/>
      <w:r w:rsidRPr="00B1089D">
        <w:t>effect</w:t>
      </w:r>
      <w:proofErr w:type="spellEnd"/>
      <w:r w:rsidRPr="00B1089D">
        <w:t xml:space="preserve"> on GDP </w:t>
      </w:r>
      <w:proofErr w:type="spellStart"/>
      <w:r w:rsidRPr="00B1089D">
        <w:t>remains</w:t>
      </w:r>
      <w:proofErr w:type="spellEnd"/>
      <w:r w:rsidRPr="00B1089D">
        <w:t xml:space="preserve"> </w:t>
      </w:r>
      <w:proofErr w:type="spellStart"/>
      <w:r w:rsidRPr="00B1089D">
        <w:t>significant</w:t>
      </w:r>
      <w:proofErr w:type="spellEnd"/>
      <w:r w:rsidRPr="00B1089D">
        <w:t>.</w:t>
      </w:r>
    </w:p>
    <w:p w14:paraId="788882B3" w14:textId="77777777" w:rsidR="00FA457D" w:rsidRPr="00B1089D" w:rsidRDefault="00FA457D" w:rsidP="00E359E0">
      <w:pPr>
        <w:widowControl/>
        <w:jc w:val="both"/>
      </w:pPr>
    </w:p>
    <w:p w14:paraId="280AF2B5" w14:textId="77777777" w:rsidR="00FA457D" w:rsidRPr="00D10870" w:rsidRDefault="00FA457D" w:rsidP="00E359E0">
      <w:pPr>
        <w:widowControl/>
        <w:jc w:val="both"/>
      </w:pPr>
      <w:proofErr w:type="spellStart"/>
      <w:r w:rsidRPr="00B1089D">
        <w:t>Following</w:t>
      </w:r>
      <w:proofErr w:type="spellEnd"/>
      <w:r w:rsidRPr="00B1089D">
        <w:t xml:space="preserve"> </w:t>
      </w:r>
      <w:proofErr w:type="spellStart"/>
      <w:r w:rsidRPr="00B1089D">
        <w:t>the</w:t>
      </w:r>
      <w:proofErr w:type="spellEnd"/>
      <w:r w:rsidRPr="00B1089D">
        <w:t xml:space="preserve"> </w:t>
      </w:r>
      <w:proofErr w:type="spellStart"/>
      <w:r w:rsidRPr="00B1089D">
        <w:t>fall</w:t>
      </w:r>
      <w:proofErr w:type="spellEnd"/>
      <w:r w:rsidRPr="00B1089D">
        <w:t xml:space="preserve"> of </w:t>
      </w:r>
      <w:proofErr w:type="spellStart"/>
      <w:r w:rsidRPr="00B1089D">
        <w:t>the</w:t>
      </w:r>
      <w:proofErr w:type="spellEnd"/>
      <w:r w:rsidRPr="00B1089D">
        <w:t xml:space="preserve"> Berlin Wall, </w:t>
      </w:r>
      <w:proofErr w:type="spellStart"/>
      <w:r w:rsidRPr="00B1089D">
        <w:t>countries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Post-</w:t>
      </w:r>
      <w:proofErr w:type="spellStart"/>
      <w:r w:rsidRPr="00B1089D">
        <w:t>Soviet</w:t>
      </w:r>
      <w:proofErr w:type="spellEnd"/>
      <w:r w:rsidRPr="00B1089D">
        <w:t xml:space="preserve"> RSC </w:t>
      </w:r>
      <w:proofErr w:type="spellStart"/>
      <w:r w:rsidRPr="00B1089D">
        <w:t>underwent</w:t>
      </w:r>
      <w:proofErr w:type="spellEnd"/>
      <w:r w:rsidRPr="00B1089D">
        <w:t xml:space="preserve"> </w:t>
      </w:r>
      <w:proofErr w:type="spellStart"/>
      <w:r w:rsidRPr="00B1089D">
        <w:t>significant</w:t>
      </w:r>
      <w:proofErr w:type="spellEnd"/>
      <w:r w:rsidRPr="00B1089D">
        <w:t xml:space="preserve"> </w:t>
      </w:r>
      <w:proofErr w:type="spellStart"/>
      <w:r w:rsidRPr="00B1089D">
        <w:t>transformations</w:t>
      </w:r>
      <w:proofErr w:type="spellEnd"/>
      <w:r w:rsidRPr="00B1089D">
        <w:t xml:space="preserve">. </w:t>
      </w:r>
      <w:proofErr w:type="spellStart"/>
      <w:r w:rsidRPr="00B1089D">
        <w:t>The</w:t>
      </w:r>
      <w:proofErr w:type="spellEnd"/>
      <w:r w:rsidRPr="00B1089D">
        <w:t xml:space="preserve"> </w:t>
      </w:r>
      <w:proofErr w:type="spellStart"/>
      <w:r w:rsidRPr="00B1089D">
        <w:t>transition</w:t>
      </w:r>
      <w:proofErr w:type="spellEnd"/>
      <w:r w:rsidRPr="00B1089D">
        <w:t xml:space="preserve"> </w:t>
      </w:r>
      <w:proofErr w:type="spellStart"/>
      <w:r w:rsidRPr="00B1089D">
        <w:t>from</w:t>
      </w:r>
      <w:proofErr w:type="spellEnd"/>
      <w:r w:rsidRPr="00B1089D">
        <w:t xml:space="preserve"> </w:t>
      </w:r>
      <w:proofErr w:type="spellStart"/>
      <w:r w:rsidRPr="00B1089D">
        <w:t>centrally</w:t>
      </w:r>
      <w:proofErr w:type="spellEnd"/>
      <w:r w:rsidRPr="00B1089D">
        <w:t xml:space="preserve"> </w:t>
      </w:r>
      <w:proofErr w:type="spellStart"/>
      <w:r w:rsidRPr="00B1089D">
        <w:t>planned</w:t>
      </w:r>
      <w:proofErr w:type="spellEnd"/>
      <w:r w:rsidRPr="00B1089D">
        <w:t xml:space="preserve"> </w:t>
      </w:r>
      <w:proofErr w:type="spellStart"/>
      <w:r w:rsidRPr="00B1089D">
        <w:t>to</w:t>
      </w:r>
      <w:proofErr w:type="spellEnd"/>
      <w:r w:rsidRPr="00B1089D">
        <w:t xml:space="preserve"> market-</w:t>
      </w:r>
      <w:proofErr w:type="spellStart"/>
      <w:r w:rsidRPr="00B1089D">
        <w:t>oriented</w:t>
      </w:r>
      <w:proofErr w:type="spellEnd"/>
      <w:r w:rsidRPr="00B1089D">
        <w:t xml:space="preserve"> </w:t>
      </w:r>
      <w:proofErr w:type="spellStart"/>
      <w:r w:rsidRPr="00B1089D">
        <w:t>economies</w:t>
      </w:r>
      <w:proofErr w:type="spellEnd"/>
      <w:r w:rsidRPr="00B1089D">
        <w:t xml:space="preserve"> led </w:t>
      </w:r>
      <w:proofErr w:type="spellStart"/>
      <w:r w:rsidRPr="00B1089D">
        <w:t>to</w:t>
      </w:r>
      <w:proofErr w:type="spellEnd"/>
      <w:r w:rsidRPr="00B1089D">
        <w:t xml:space="preserve"> </w:t>
      </w:r>
      <w:proofErr w:type="spellStart"/>
      <w:r w:rsidRPr="00B1089D">
        <w:t>regional</w:t>
      </w:r>
      <w:proofErr w:type="spellEnd"/>
      <w:r w:rsidRPr="00B1089D">
        <w:t xml:space="preserve"> </w:t>
      </w:r>
      <w:proofErr w:type="spellStart"/>
      <w:r w:rsidRPr="00B1089D">
        <w:t>institutional</w:t>
      </w:r>
      <w:proofErr w:type="spellEnd"/>
      <w:r w:rsidRPr="00B1089D">
        <w:t xml:space="preserve"> </w:t>
      </w:r>
      <w:proofErr w:type="spellStart"/>
      <w:r w:rsidRPr="00B1089D">
        <w:t>development</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GDP </w:t>
      </w:r>
      <w:proofErr w:type="spellStart"/>
      <w:r w:rsidRPr="00B1089D">
        <w:t>were</w:t>
      </w:r>
      <w:proofErr w:type="spellEnd"/>
      <w:r w:rsidRPr="00B1089D">
        <w:t xml:space="preserve"> </w:t>
      </w:r>
      <w:proofErr w:type="spellStart"/>
      <w:r w:rsidRPr="00B1089D">
        <w:t>relatively</w:t>
      </w:r>
      <w:proofErr w:type="spellEnd"/>
      <w:r w:rsidRPr="00B1089D">
        <w:t xml:space="preserve"> </w:t>
      </w:r>
      <w:proofErr w:type="spellStart"/>
      <w:r w:rsidRPr="00B1089D">
        <w:t>higher</w:t>
      </w:r>
      <w:proofErr w:type="spellEnd"/>
      <w:r w:rsidRPr="00B1089D">
        <w:t xml:space="preserve"> </w:t>
      </w:r>
      <w:proofErr w:type="spellStart"/>
      <w:r w:rsidRPr="00B1089D">
        <w:t>compared</w:t>
      </w:r>
      <w:proofErr w:type="spellEnd"/>
      <w:r w:rsidRPr="00B1089D">
        <w:t xml:space="preserve"> </w:t>
      </w:r>
      <w:proofErr w:type="spellStart"/>
      <w:r w:rsidRPr="00B1089D">
        <w:t>to</w:t>
      </w:r>
      <w:proofErr w:type="spellEnd"/>
      <w:r w:rsidRPr="00B1089D">
        <w:t xml:space="preserve"> </w:t>
      </w:r>
      <w:proofErr w:type="spellStart"/>
      <w:r w:rsidRPr="00B1089D">
        <w:t>Middle</w:t>
      </w:r>
      <w:proofErr w:type="spellEnd"/>
      <w:r w:rsidRPr="00B1089D">
        <w:t xml:space="preserve">-East RSC, </w:t>
      </w:r>
      <w:proofErr w:type="spellStart"/>
      <w:r w:rsidRPr="00B1089D">
        <w:t>reflecting</w:t>
      </w:r>
      <w:proofErr w:type="spellEnd"/>
      <w:r w:rsidRPr="00B1089D">
        <w:t xml:space="preserve"> </w:t>
      </w:r>
      <w:proofErr w:type="spellStart"/>
      <w:r w:rsidRPr="00B1089D">
        <w:t>the</w:t>
      </w:r>
      <w:proofErr w:type="spellEnd"/>
      <w:r w:rsidRPr="00B1089D">
        <w:t xml:space="preserve"> </w:t>
      </w:r>
      <w:proofErr w:type="spellStart"/>
      <w:r w:rsidRPr="00B1089D">
        <w:t>crucial</w:t>
      </w:r>
      <w:proofErr w:type="spellEnd"/>
      <w:r w:rsidRPr="00B1089D">
        <w:t xml:space="preserve"> role of </w:t>
      </w:r>
      <w:proofErr w:type="spellStart"/>
      <w:r w:rsidRPr="00B1089D">
        <w:t>institutions</w:t>
      </w:r>
      <w:proofErr w:type="spellEnd"/>
      <w:r w:rsidRPr="00B1089D">
        <w:t>.</w:t>
      </w:r>
    </w:p>
    <w:p w14:paraId="470DCFF6" w14:textId="77777777" w:rsidR="00FA457D" w:rsidRPr="00B1089D" w:rsidRDefault="00FA457D" w:rsidP="00E359E0">
      <w:pPr>
        <w:widowControl/>
        <w:jc w:val="both"/>
      </w:pPr>
    </w:p>
    <w:p w14:paraId="77EFF1C5"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Middle</w:t>
      </w:r>
      <w:proofErr w:type="spellEnd"/>
      <w:r w:rsidRPr="00B1089D">
        <w:t xml:space="preserve">-East RSC </w:t>
      </w:r>
      <w:proofErr w:type="spellStart"/>
      <w:r w:rsidRPr="00B1089D">
        <w:t>encompasses</w:t>
      </w:r>
      <w:proofErr w:type="spellEnd"/>
      <w:r w:rsidRPr="00B1089D">
        <w:t xml:space="preserve"> </w:t>
      </w:r>
      <w:proofErr w:type="spellStart"/>
      <w:r w:rsidRPr="00B1089D">
        <w:t>countries</w:t>
      </w:r>
      <w:proofErr w:type="spellEnd"/>
      <w:r w:rsidRPr="00B1089D">
        <w:t xml:space="preserve"> </w:t>
      </w:r>
      <w:proofErr w:type="spellStart"/>
      <w:r w:rsidRPr="00B1089D">
        <w:t>with</w:t>
      </w:r>
      <w:proofErr w:type="spellEnd"/>
      <w:r w:rsidRPr="00B1089D">
        <w:t xml:space="preserve"> </w:t>
      </w:r>
      <w:proofErr w:type="spellStart"/>
      <w:r w:rsidRPr="00B1089D">
        <w:t>diverse</w:t>
      </w:r>
      <w:proofErr w:type="spellEnd"/>
      <w:r w:rsidRPr="00B1089D">
        <w:t xml:space="preserve"> </w:t>
      </w:r>
      <w:proofErr w:type="spellStart"/>
      <w:r w:rsidRPr="00B1089D">
        <w:t>political</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landscapes</w:t>
      </w:r>
      <w:proofErr w:type="spellEnd"/>
      <w:r w:rsidRPr="00B1089D">
        <w:t xml:space="preserve">. </w:t>
      </w:r>
      <w:proofErr w:type="spellStart"/>
      <w:r w:rsidRPr="00B1089D">
        <w:t>While</w:t>
      </w:r>
      <w:proofErr w:type="spellEnd"/>
      <w:r w:rsidRPr="00B1089D">
        <w:t xml:space="preserve"> </w:t>
      </w:r>
      <w:proofErr w:type="spellStart"/>
      <w:r w:rsidRPr="00B1089D">
        <w:t>some</w:t>
      </w:r>
      <w:proofErr w:type="spellEnd"/>
      <w:r w:rsidRPr="00B1089D">
        <w:t xml:space="preserve"> </w:t>
      </w:r>
      <w:proofErr w:type="spellStart"/>
      <w:r w:rsidRPr="00B1089D">
        <w:t>nations</w:t>
      </w:r>
      <w:proofErr w:type="spellEnd"/>
      <w:r w:rsidRPr="00B1089D">
        <w:t xml:space="preserve"> in </w:t>
      </w:r>
      <w:proofErr w:type="spellStart"/>
      <w:r w:rsidRPr="00B1089D">
        <w:t>this</w:t>
      </w:r>
      <w:proofErr w:type="spellEnd"/>
      <w:r w:rsidRPr="00B1089D">
        <w:t xml:space="preserve"> </w:t>
      </w:r>
      <w:proofErr w:type="spellStart"/>
      <w:r w:rsidRPr="00B1089D">
        <w:t>region</w:t>
      </w:r>
      <w:proofErr w:type="spellEnd"/>
      <w:r w:rsidRPr="00B1089D">
        <w:t xml:space="preserve"> </w:t>
      </w:r>
      <w:proofErr w:type="spellStart"/>
      <w:r w:rsidRPr="00B1089D">
        <w:t>have</w:t>
      </w:r>
      <w:proofErr w:type="spellEnd"/>
      <w:r w:rsidRPr="00B1089D">
        <w:t xml:space="preserve"> </w:t>
      </w:r>
      <w:proofErr w:type="spellStart"/>
      <w:r w:rsidRPr="00B1089D">
        <w:t>progressed</w:t>
      </w:r>
      <w:proofErr w:type="spellEnd"/>
      <w:r w:rsidRPr="00B1089D">
        <w:t xml:space="preserve"> in </w:t>
      </w:r>
      <w:proofErr w:type="spellStart"/>
      <w:r w:rsidRPr="00B1089D">
        <w:t>institutional</w:t>
      </w:r>
      <w:proofErr w:type="spellEnd"/>
      <w:r w:rsidRPr="00B1089D">
        <w:t xml:space="preserve"> </w:t>
      </w:r>
      <w:proofErr w:type="spellStart"/>
      <w:r w:rsidRPr="00B1089D">
        <w:t>reforms</w:t>
      </w:r>
      <w:proofErr w:type="spellEnd"/>
      <w:r w:rsidRPr="00B1089D">
        <w:t xml:space="preserve">, </w:t>
      </w:r>
      <w:proofErr w:type="spellStart"/>
      <w:r w:rsidRPr="00B1089D">
        <w:t>others</w:t>
      </w:r>
      <w:proofErr w:type="spellEnd"/>
      <w:r w:rsidRPr="00B1089D">
        <w:t xml:space="preserve"> </w:t>
      </w:r>
      <w:proofErr w:type="spellStart"/>
      <w:r w:rsidRPr="00B1089D">
        <w:t>continue</w:t>
      </w:r>
      <w:proofErr w:type="spellEnd"/>
      <w:r w:rsidRPr="00B1089D">
        <w:t xml:space="preserve"> </w:t>
      </w:r>
      <w:proofErr w:type="spellStart"/>
      <w:r w:rsidRPr="00B1089D">
        <w:t>facing</w:t>
      </w:r>
      <w:proofErr w:type="spellEnd"/>
      <w:r w:rsidRPr="00B1089D">
        <w:t xml:space="preserve"> </w:t>
      </w:r>
      <w:proofErr w:type="spellStart"/>
      <w:r w:rsidRPr="00B1089D">
        <w:t>political</w:t>
      </w:r>
      <w:proofErr w:type="spellEnd"/>
      <w:r w:rsidRPr="00B1089D">
        <w:t xml:space="preserve"> </w:t>
      </w:r>
      <w:proofErr w:type="spellStart"/>
      <w:r w:rsidRPr="00B1089D">
        <w:t>instability</w:t>
      </w:r>
      <w:proofErr w:type="spellEnd"/>
      <w:r w:rsidRPr="00B1089D">
        <w:t xml:space="preserve">. </w:t>
      </w:r>
      <w:proofErr w:type="spellStart"/>
      <w:r w:rsidRPr="00B1089D">
        <w:t>Consequently</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GDP </w:t>
      </w:r>
      <w:proofErr w:type="spellStart"/>
      <w:r w:rsidRPr="00B1089D">
        <w:t>may</w:t>
      </w:r>
      <w:proofErr w:type="spellEnd"/>
      <w:r w:rsidRPr="00B1089D">
        <w:t xml:space="preserve"> </w:t>
      </w:r>
      <w:proofErr w:type="spellStart"/>
      <w:r w:rsidRPr="00B1089D">
        <w:t>vary</w:t>
      </w:r>
      <w:proofErr w:type="spellEnd"/>
      <w:r w:rsidRPr="00B1089D">
        <w:t xml:space="preserve"> </w:t>
      </w:r>
      <w:proofErr w:type="spellStart"/>
      <w:r w:rsidRPr="00B1089D">
        <w:t>across</w:t>
      </w:r>
      <w:proofErr w:type="spellEnd"/>
      <w:r w:rsidRPr="00B1089D">
        <w:t xml:space="preserve"> </w:t>
      </w:r>
      <w:proofErr w:type="spellStart"/>
      <w:r w:rsidRPr="00B1089D">
        <w:t>countries</w:t>
      </w:r>
      <w:proofErr w:type="spellEnd"/>
      <w:r w:rsidRPr="00B1089D">
        <w:t xml:space="preserve"> </w:t>
      </w:r>
      <w:proofErr w:type="spellStart"/>
      <w:r w:rsidRPr="00B1089D">
        <w:t>within</w:t>
      </w:r>
      <w:proofErr w:type="spellEnd"/>
      <w:r w:rsidRPr="00B1089D">
        <w:t xml:space="preserve"> </w:t>
      </w:r>
      <w:proofErr w:type="spellStart"/>
      <w:r w:rsidRPr="00B1089D">
        <w:t>this</w:t>
      </w:r>
      <w:proofErr w:type="spellEnd"/>
      <w:r w:rsidRPr="00B1089D">
        <w:t xml:space="preserve"> </w:t>
      </w:r>
      <w:proofErr w:type="spellStart"/>
      <w:r w:rsidRPr="00B1089D">
        <w:t>region</w:t>
      </w:r>
      <w:proofErr w:type="spellEnd"/>
      <w:r w:rsidRPr="00B1089D">
        <w:t>.</w:t>
      </w:r>
    </w:p>
    <w:p w14:paraId="4B1B17DD" w14:textId="77777777" w:rsidR="00FA457D" w:rsidRPr="00B1089D" w:rsidRDefault="00FA457D" w:rsidP="00E359E0">
      <w:pPr>
        <w:widowControl/>
        <w:jc w:val="both"/>
      </w:pPr>
    </w:p>
    <w:p w14:paraId="696F5884" w14:textId="59E304C5" w:rsidR="00FA457D" w:rsidRPr="00D10870" w:rsidRDefault="00FA457D" w:rsidP="00E359E0">
      <w:pPr>
        <w:widowControl/>
        <w:jc w:val="both"/>
      </w:pPr>
      <w:r w:rsidRPr="00B1089D">
        <w:t xml:space="preserve">On </w:t>
      </w:r>
      <w:proofErr w:type="spellStart"/>
      <w:r w:rsidRPr="00B1089D">
        <w:t>the</w:t>
      </w:r>
      <w:proofErr w:type="spellEnd"/>
      <w:r w:rsidRPr="00B1089D">
        <w:t xml:space="preserve"> </w:t>
      </w:r>
      <w:proofErr w:type="spellStart"/>
      <w:r w:rsidRPr="00B1089D">
        <w:t>other</w:t>
      </w:r>
      <w:proofErr w:type="spellEnd"/>
      <w:r w:rsidRPr="00B1089D">
        <w:t xml:space="preserve"> </w:t>
      </w:r>
      <w:proofErr w:type="spellStart"/>
      <w:r w:rsidRPr="00B1089D">
        <w:t>hand</w:t>
      </w:r>
      <w:proofErr w:type="spellEnd"/>
      <w:r w:rsidRPr="00B1089D">
        <w:t xml:space="preserve">, </w:t>
      </w:r>
      <w:proofErr w:type="spellStart"/>
      <w:r w:rsidRPr="00B1089D">
        <w:t>the</w:t>
      </w:r>
      <w:proofErr w:type="spellEnd"/>
      <w:r w:rsidRPr="00B1089D">
        <w:t xml:space="preserve"> </w:t>
      </w:r>
      <w:proofErr w:type="spellStart"/>
      <w:r w:rsidRPr="00B1089D">
        <w:t>results</w:t>
      </w:r>
      <w:proofErr w:type="spellEnd"/>
      <w:r w:rsidRPr="00B1089D">
        <w:t xml:space="preserve"> </w:t>
      </w:r>
      <w:proofErr w:type="spellStart"/>
      <w:r w:rsidRPr="00B1089D">
        <w:t>obtained</w:t>
      </w:r>
      <w:proofErr w:type="spellEnd"/>
      <w:r w:rsidRPr="00B1089D">
        <w:t xml:space="preserve"> </w:t>
      </w:r>
      <w:proofErr w:type="spellStart"/>
      <w:r w:rsidRPr="00B1089D">
        <w:t>by</w:t>
      </w:r>
      <w:proofErr w:type="spellEnd"/>
      <w:r w:rsidRPr="00B1089D">
        <w:t xml:space="preserve"> </w:t>
      </w:r>
      <w:proofErr w:type="spellStart"/>
      <w:r w:rsidRPr="00B1089D">
        <w:t>comparing</w:t>
      </w:r>
      <w:proofErr w:type="spellEnd"/>
      <w:r w:rsidRPr="00B1089D">
        <w:t xml:space="preserve"> </w:t>
      </w:r>
      <w:proofErr w:type="spellStart"/>
      <w:r w:rsidRPr="00B1089D">
        <w:t>the</w:t>
      </w:r>
      <w:proofErr w:type="spellEnd"/>
      <w:r w:rsidRPr="00B1089D">
        <w:t xml:space="preserve"> </w:t>
      </w:r>
      <w:proofErr w:type="spellStart"/>
      <w:r w:rsidRPr="00B1089D">
        <w:t>income</w:t>
      </w:r>
      <w:proofErr w:type="spellEnd"/>
      <w:r w:rsidRPr="00B1089D">
        <w:t xml:space="preserve"> </w:t>
      </w:r>
      <w:proofErr w:type="spellStart"/>
      <w:r w:rsidRPr="00B1089D">
        <w:t>groups</w:t>
      </w:r>
      <w:proofErr w:type="spellEnd"/>
      <w:r w:rsidRPr="00B1089D">
        <w:t xml:space="preserve"> </w:t>
      </w:r>
      <w:proofErr w:type="spellStart"/>
      <w:r w:rsidRPr="00B1089D">
        <w:t>and</w:t>
      </w:r>
      <w:proofErr w:type="spellEnd"/>
      <w:r w:rsidRPr="00B1089D">
        <w:t xml:space="preserve"> </w:t>
      </w:r>
      <w:proofErr w:type="spellStart"/>
      <w:r w:rsidRPr="00B1089D">
        <w:t>other</w:t>
      </w:r>
      <w:proofErr w:type="spellEnd"/>
      <w:r w:rsidRPr="00B1089D">
        <w:t xml:space="preserve"> </w:t>
      </w:r>
      <w:proofErr w:type="spellStart"/>
      <w:r w:rsidRPr="00B1089D">
        <w:t>regions</w:t>
      </w:r>
      <w:proofErr w:type="spellEnd"/>
      <w:r w:rsidRPr="00B1089D">
        <w:t xml:space="preserve"> </w:t>
      </w:r>
      <w:proofErr w:type="spellStart"/>
      <w:r w:rsidRPr="00B1089D">
        <w:t>without</w:t>
      </w:r>
      <w:proofErr w:type="spellEnd"/>
      <w:r w:rsidRPr="00B1089D">
        <w:t xml:space="preserve"> </w:t>
      </w:r>
      <w:proofErr w:type="spellStart"/>
      <w:r w:rsidRPr="00B1089D">
        <w:t>limitation</w:t>
      </w:r>
      <w:proofErr w:type="spellEnd"/>
      <w:r w:rsidRPr="00B1089D">
        <w:t xml:space="preserve"> </w:t>
      </w:r>
      <w:proofErr w:type="spellStart"/>
      <w:r w:rsidRPr="00B1089D">
        <w:t>with</w:t>
      </w:r>
      <w:proofErr w:type="spellEnd"/>
      <w:r w:rsidRPr="00B1089D">
        <w:t xml:space="preserve"> </w:t>
      </w:r>
      <w:proofErr w:type="spellStart"/>
      <w:r w:rsidRPr="00B1089D">
        <w:t>these</w:t>
      </w:r>
      <w:proofErr w:type="spellEnd"/>
      <w:r w:rsidRPr="00B1089D">
        <w:t xml:space="preserve"> </w:t>
      </w:r>
      <w:proofErr w:type="spellStart"/>
      <w:r w:rsidRPr="00B1089D">
        <w:t>selected</w:t>
      </w:r>
      <w:proofErr w:type="spellEnd"/>
      <w:r w:rsidRPr="00B1089D">
        <w:t xml:space="preserve"> </w:t>
      </w:r>
      <w:proofErr w:type="spellStart"/>
      <w:r w:rsidRPr="00B1089D">
        <w:t>RSCs</w:t>
      </w:r>
      <w:proofErr w:type="spellEnd"/>
      <w:r w:rsidRPr="00B1089D">
        <w:t xml:space="preserve"> </w:t>
      </w:r>
      <w:proofErr w:type="spellStart"/>
      <w:r w:rsidRPr="00B1089D">
        <w:t>will</w:t>
      </w:r>
      <w:proofErr w:type="spellEnd"/>
      <w:r w:rsidRPr="00B1089D">
        <w:t xml:space="preserve"> </w:t>
      </w:r>
      <w:proofErr w:type="spellStart"/>
      <w:r w:rsidRPr="00B1089D">
        <w:t>enrich</w:t>
      </w:r>
      <w:proofErr w:type="spellEnd"/>
      <w:r w:rsidRPr="00B1089D">
        <w:t xml:space="preserve"> </w:t>
      </w:r>
      <w:proofErr w:type="spellStart"/>
      <w:r w:rsidRPr="00B1089D">
        <w:t>the</w:t>
      </w:r>
      <w:proofErr w:type="spellEnd"/>
      <w:r w:rsidRPr="00B1089D">
        <w:t xml:space="preserve"> </w:t>
      </w:r>
      <w:proofErr w:type="spellStart"/>
      <w:r w:rsidRPr="00B1089D">
        <w:t>literature</w:t>
      </w:r>
      <w:proofErr w:type="spellEnd"/>
      <w:r w:rsidRPr="00B1089D">
        <w:t xml:space="preserve"> in </w:t>
      </w:r>
      <w:proofErr w:type="spellStart"/>
      <w:r w:rsidRPr="00B1089D">
        <w:t>this</w:t>
      </w:r>
      <w:proofErr w:type="spellEnd"/>
      <w:r w:rsidRPr="00B1089D">
        <w:t xml:space="preserve"> </w:t>
      </w:r>
      <w:proofErr w:type="spellStart"/>
      <w:r w:rsidRPr="00B1089D">
        <w:t>respect</w:t>
      </w:r>
      <w:proofErr w:type="spellEnd"/>
      <w:r w:rsidRPr="00B1089D">
        <w:t xml:space="preserve">. </w:t>
      </w:r>
      <w:proofErr w:type="spellStart"/>
      <w:r w:rsidRPr="00B1089D">
        <w:t>In</w:t>
      </w:r>
      <w:proofErr w:type="spellEnd"/>
      <w:r w:rsidRPr="00B1089D">
        <w:t xml:space="preserve"> </w:t>
      </w:r>
      <w:proofErr w:type="spellStart"/>
      <w:r w:rsidRPr="00B1089D">
        <w:t>subsequent</w:t>
      </w:r>
      <w:proofErr w:type="spellEnd"/>
      <w:r w:rsidRPr="00B1089D">
        <w:t xml:space="preserve"> </w:t>
      </w:r>
      <w:proofErr w:type="spellStart"/>
      <w:r w:rsidRPr="00B1089D">
        <w:t>analyses</w:t>
      </w:r>
      <w:proofErr w:type="spellEnd"/>
      <w:r w:rsidRPr="00B1089D">
        <w:t xml:space="preserve">, </w:t>
      </w:r>
      <w:proofErr w:type="spellStart"/>
      <w:r w:rsidRPr="00B1089D">
        <w:t>studies</w:t>
      </w:r>
      <w:proofErr w:type="spellEnd"/>
      <w:r w:rsidRPr="00B1089D">
        <w:t xml:space="preserve"> </w:t>
      </w:r>
      <w:proofErr w:type="spellStart"/>
      <w:r w:rsidRPr="00B1089D">
        <w:t>covering</w:t>
      </w:r>
      <w:proofErr w:type="spellEnd"/>
      <w:r w:rsidRPr="00B1089D">
        <w:t xml:space="preserve"> a </w:t>
      </w:r>
      <w:proofErr w:type="spellStart"/>
      <w:r w:rsidRPr="00B1089D">
        <w:t>more</w:t>
      </w:r>
      <w:proofErr w:type="spellEnd"/>
      <w:r w:rsidRPr="00B1089D">
        <w:t xml:space="preserve"> </w:t>
      </w:r>
      <w:proofErr w:type="spellStart"/>
      <w:r w:rsidRPr="00B1089D">
        <w:t>extended</w:t>
      </w:r>
      <w:proofErr w:type="spellEnd"/>
      <w:r w:rsidRPr="00B1089D">
        <w:t xml:space="preserve"> </w:t>
      </w:r>
      <w:proofErr w:type="spellStart"/>
      <w:r w:rsidRPr="00B1089D">
        <w:t>period</w:t>
      </w:r>
      <w:proofErr w:type="spellEnd"/>
      <w:r w:rsidRPr="00B1089D">
        <w:t xml:space="preserve"> </w:t>
      </w:r>
      <w:proofErr w:type="spellStart"/>
      <w:r w:rsidRPr="00B1089D">
        <w:t>and</w:t>
      </w:r>
      <w:proofErr w:type="spellEnd"/>
      <w:r w:rsidRPr="00B1089D">
        <w:t xml:space="preserve"> </w:t>
      </w:r>
      <w:proofErr w:type="spellStart"/>
      <w:r w:rsidRPr="00B1089D">
        <w:t>comparing</w:t>
      </w:r>
      <w:proofErr w:type="spellEnd"/>
      <w:r w:rsidRPr="00B1089D">
        <w:t xml:space="preserve"> </w:t>
      </w:r>
      <w:proofErr w:type="spellStart"/>
      <w:r w:rsidRPr="00B1089D">
        <w:t>with</w:t>
      </w:r>
      <w:proofErr w:type="spellEnd"/>
      <w:r w:rsidRPr="00B1089D">
        <w:t xml:space="preserve"> </w:t>
      </w:r>
      <w:proofErr w:type="spellStart"/>
      <w:r w:rsidRPr="00B1089D">
        <w:t>various</w:t>
      </w:r>
      <w:proofErr w:type="spellEnd"/>
      <w:r w:rsidRPr="00B1089D">
        <w:t xml:space="preserve"> </w:t>
      </w:r>
      <w:proofErr w:type="spellStart"/>
      <w:r w:rsidRPr="00B1089D">
        <w:t>regions</w:t>
      </w:r>
      <w:proofErr w:type="spellEnd"/>
      <w:r w:rsidRPr="00B1089D">
        <w:t xml:space="preserve"> can be </w:t>
      </w:r>
      <w:proofErr w:type="gramStart"/>
      <w:r w:rsidRPr="00B1089D">
        <w:t>done</w:t>
      </w:r>
      <w:proofErr w:type="gramEnd"/>
      <w:r w:rsidRPr="00B1089D">
        <w:t xml:space="preserve">. </w:t>
      </w:r>
      <w:proofErr w:type="spellStart"/>
      <w:r w:rsidRPr="00B1089D">
        <w:t>Studies</w:t>
      </w:r>
      <w:proofErr w:type="spellEnd"/>
      <w:r w:rsidRPr="00B1089D">
        <w:t xml:space="preserve"> in </w:t>
      </w:r>
      <w:proofErr w:type="spellStart"/>
      <w:r w:rsidRPr="00B1089D">
        <w:t>this</w:t>
      </w:r>
      <w:proofErr w:type="spellEnd"/>
      <w:r w:rsidRPr="00B1089D">
        <w:t xml:space="preserve"> </w:t>
      </w:r>
      <w:proofErr w:type="spellStart"/>
      <w:r w:rsidRPr="00B1089D">
        <w:t>area</w:t>
      </w:r>
      <w:proofErr w:type="spellEnd"/>
      <w:r w:rsidRPr="00B1089D">
        <w:t xml:space="preserve"> </w:t>
      </w:r>
      <w:proofErr w:type="spellStart"/>
      <w:r w:rsidRPr="00B1089D">
        <w:t>will</w:t>
      </w:r>
      <w:proofErr w:type="spellEnd"/>
      <w:r w:rsidRPr="00B1089D">
        <w:t xml:space="preserve"> </w:t>
      </w:r>
      <w:proofErr w:type="spellStart"/>
      <w:r w:rsidRPr="00B1089D">
        <w:t>deepen</w:t>
      </w:r>
      <w:proofErr w:type="spellEnd"/>
      <w:r w:rsidRPr="00B1089D">
        <w:t xml:space="preserve"> </w:t>
      </w:r>
      <w:proofErr w:type="spellStart"/>
      <w:r w:rsidRPr="00B1089D">
        <w:t>our</w:t>
      </w:r>
      <w:proofErr w:type="spellEnd"/>
      <w:r w:rsidRPr="00B1089D">
        <w:t xml:space="preserve"> </w:t>
      </w:r>
      <w:proofErr w:type="spellStart"/>
      <w:r w:rsidRPr="00B1089D">
        <w:t>knowledge</w:t>
      </w:r>
      <w:proofErr w:type="spellEnd"/>
      <w:r w:rsidRPr="00B1089D">
        <w:t xml:space="preserve"> of Barry </w:t>
      </w:r>
      <w:proofErr w:type="spellStart"/>
      <w:r w:rsidRPr="00B1089D">
        <w:t>Buzan's</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w:t>
      </w:r>
    </w:p>
    <w:p w14:paraId="6FA3BAFC" w14:textId="77777777" w:rsidR="00FA457D" w:rsidRPr="00B1089D" w:rsidRDefault="00FA457D" w:rsidP="00E359E0">
      <w:pPr>
        <w:widowControl/>
        <w:jc w:val="both"/>
      </w:pPr>
    </w:p>
    <w:p w14:paraId="77493920" w14:textId="77777777"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findings</w:t>
      </w:r>
      <w:proofErr w:type="spellEnd"/>
      <w:r w:rsidRPr="00B1089D">
        <w:t xml:space="preserve"> </w:t>
      </w:r>
      <w:proofErr w:type="spellStart"/>
      <w:r w:rsidRPr="00B1089D">
        <w:t>demonstrate</w:t>
      </w:r>
      <w:proofErr w:type="spellEnd"/>
      <w:r w:rsidRPr="00B1089D">
        <w:t xml:space="preserve"> a </w:t>
      </w:r>
      <w:proofErr w:type="spellStart"/>
      <w:r w:rsidRPr="00B1089D">
        <w:t>significant</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institutional</w:t>
      </w:r>
      <w:proofErr w:type="spellEnd"/>
      <w:r w:rsidRPr="00B1089D">
        <w:t xml:space="preserve"> </w:t>
      </w:r>
      <w:proofErr w:type="spellStart"/>
      <w:r w:rsidRPr="00B1089D">
        <w:t>quality</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policymakers</w:t>
      </w:r>
      <w:proofErr w:type="spellEnd"/>
      <w:r w:rsidRPr="00B1089D">
        <w:t xml:space="preserve"> </w:t>
      </w:r>
      <w:proofErr w:type="spellStart"/>
      <w:r w:rsidRPr="00B1089D">
        <w:t>should</w:t>
      </w:r>
      <w:proofErr w:type="spellEnd"/>
      <w:r w:rsidRPr="00B1089D">
        <w:t xml:space="preserve"> </w:t>
      </w:r>
      <w:proofErr w:type="spellStart"/>
      <w:r w:rsidRPr="00B1089D">
        <w:t>focus</w:t>
      </w:r>
      <w:proofErr w:type="spellEnd"/>
      <w:r w:rsidRPr="00B1089D">
        <w:t xml:space="preserve"> on </w:t>
      </w:r>
      <w:proofErr w:type="spellStart"/>
      <w:r w:rsidRPr="00B1089D">
        <w:t>regulations</w:t>
      </w:r>
      <w:proofErr w:type="spellEnd"/>
      <w:r w:rsidRPr="00B1089D">
        <w:t xml:space="preserve"> </w:t>
      </w:r>
      <w:proofErr w:type="spellStart"/>
      <w:r w:rsidRPr="00B1089D">
        <w:t>that</w:t>
      </w:r>
      <w:proofErr w:type="spellEnd"/>
      <w:r w:rsidRPr="00B1089D">
        <w:t xml:space="preserve"> </w:t>
      </w:r>
      <w:proofErr w:type="spellStart"/>
      <w:r w:rsidRPr="00B1089D">
        <w:t>positively</w:t>
      </w:r>
      <w:proofErr w:type="spellEnd"/>
      <w:r w:rsidRPr="00B1089D">
        <w:t xml:space="preserve"> </w:t>
      </w:r>
      <w:proofErr w:type="spellStart"/>
      <w:r w:rsidRPr="00B1089D">
        <w:t>impact</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in </w:t>
      </w:r>
      <w:proofErr w:type="spellStart"/>
      <w:r w:rsidRPr="00B1089D">
        <w:t>the</w:t>
      </w:r>
      <w:proofErr w:type="spellEnd"/>
      <w:r w:rsidRPr="00B1089D">
        <w:t xml:space="preserve"> </w:t>
      </w:r>
      <w:proofErr w:type="spellStart"/>
      <w:r w:rsidRPr="00B1089D">
        <w:t>analysed</w:t>
      </w:r>
      <w:proofErr w:type="spellEnd"/>
      <w:r w:rsidRPr="00B1089D">
        <w:t xml:space="preserve"> </w:t>
      </w:r>
      <w:proofErr w:type="spellStart"/>
      <w:r w:rsidRPr="00B1089D">
        <w:t>regions</w:t>
      </w:r>
      <w:proofErr w:type="spellEnd"/>
      <w:r w:rsidRPr="00B1089D">
        <w:t>.</w:t>
      </w:r>
    </w:p>
    <w:p w14:paraId="4F2169E6" w14:textId="77777777" w:rsidR="00FA457D" w:rsidRPr="00B1089D" w:rsidRDefault="00FA457D" w:rsidP="00E359E0">
      <w:pPr>
        <w:widowControl/>
        <w:jc w:val="both"/>
      </w:pPr>
    </w:p>
    <w:p w14:paraId="4FE87E56" w14:textId="77777777" w:rsidR="00FA457D" w:rsidRPr="00D10870" w:rsidRDefault="00FA457D" w:rsidP="00E359E0">
      <w:pPr>
        <w:widowControl/>
        <w:jc w:val="both"/>
      </w:pPr>
      <w:proofErr w:type="spellStart"/>
      <w:r w:rsidRPr="00B1089D">
        <w:t>Institutions</w:t>
      </w:r>
      <w:proofErr w:type="spellEnd"/>
      <w:r w:rsidRPr="00B1089D">
        <w:t xml:space="preserve"> </w:t>
      </w:r>
      <w:proofErr w:type="spellStart"/>
      <w:r w:rsidRPr="00B1089D">
        <w:t>need</w:t>
      </w:r>
      <w:proofErr w:type="spellEnd"/>
      <w:r w:rsidRPr="00B1089D">
        <w:t xml:space="preserve"> </w:t>
      </w:r>
      <w:proofErr w:type="spellStart"/>
      <w:r w:rsidRPr="00B1089D">
        <w:t>gradual</w:t>
      </w:r>
      <w:proofErr w:type="spellEnd"/>
      <w:r w:rsidRPr="00B1089D">
        <w:t xml:space="preserve"> </w:t>
      </w:r>
      <w:proofErr w:type="spellStart"/>
      <w:r w:rsidRPr="00B1089D">
        <w:t>improvement</w:t>
      </w:r>
      <w:proofErr w:type="spellEnd"/>
      <w:r w:rsidRPr="00B1089D">
        <w:t xml:space="preserve"> </w:t>
      </w:r>
      <w:proofErr w:type="spellStart"/>
      <w:r w:rsidRPr="00B1089D">
        <w:t>to</w:t>
      </w:r>
      <w:proofErr w:type="spellEnd"/>
      <w:r w:rsidRPr="00B1089D">
        <w:t xml:space="preserve"> </w:t>
      </w:r>
      <w:proofErr w:type="spellStart"/>
      <w:r w:rsidRPr="00B1089D">
        <w:t>achieve</w:t>
      </w:r>
      <w:proofErr w:type="spellEnd"/>
      <w:r w:rsidRPr="00B1089D">
        <w:t xml:space="preserve"> </w:t>
      </w:r>
      <w:proofErr w:type="spellStart"/>
      <w:r w:rsidRPr="00B1089D">
        <w:t>greater</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introduction</w:t>
      </w:r>
      <w:proofErr w:type="spellEnd"/>
      <w:r w:rsidRPr="00B1089D">
        <w:t xml:space="preserve"> of </w:t>
      </w:r>
      <w:proofErr w:type="spellStart"/>
      <w:r w:rsidRPr="00B1089D">
        <w:t>institutional</w:t>
      </w:r>
      <w:proofErr w:type="spellEnd"/>
      <w:r w:rsidRPr="00B1089D">
        <w:t xml:space="preserve"> </w:t>
      </w:r>
      <w:proofErr w:type="spellStart"/>
      <w:r w:rsidRPr="00B1089D">
        <w:t>reforms</w:t>
      </w:r>
      <w:proofErr w:type="spellEnd"/>
      <w:r w:rsidRPr="00B1089D">
        <w:t xml:space="preserve"> is </w:t>
      </w:r>
      <w:proofErr w:type="spellStart"/>
      <w:r w:rsidRPr="00B1089D">
        <w:t>necessary</w:t>
      </w:r>
      <w:proofErr w:type="spellEnd"/>
      <w:r w:rsidRPr="00B1089D">
        <w:t xml:space="preserve">. </w:t>
      </w:r>
      <w:proofErr w:type="spellStart"/>
      <w:r w:rsidRPr="00B1089D">
        <w:t>Institutional</w:t>
      </w:r>
      <w:proofErr w:type="spellEnd"/>
      <w:r w:rsidRPr="00B1089D">
        <w:t xml:space="preserve"> reform </w:t>
      </w:r>
      <w:proofErr w:type="spellStart"/>
      <w:r w:rsidRPr="00B1089D">
        <w:t>poses</w:t>
      </w:r>
      <w:proofErr w:type="spellEnd"/>
      <w:r w:rsidRPr="00B1089D">
        <w:t xml:space="preserve"> a </w:t>
      </w:r>
      <w:proofErr w:type="spellStart"/>
      <w:r w:rsidRPr="00B1089D">
        <w:t>challenging</w:t>
      </w:r>
      <w:proofErr w:type="spellEnd"/>
      <w:r w:rsidRPr="00B1089D">
        <w:t xml:space="preserve"> </w:t>
      </w:r>
      <w:proofErr w:type="spellStart"/>
      <w:r w:rsidRPr="00B1089D">
        <w:t>and</w:t>
      </w:r>
      <w:proofErr w:type="spellEnd"/>
      <w:r w:rsidRPr="00B1089D">
        <w:t xml:space="preserve"> </w:t>
      </w:r>
      <w:proofErr w:type="spellStart"/>
      <w:r w:rsidRPr="00B1089D">
        <w:t>long-term</w:t>
      </w:r>
      <w:proofErr w:type="spellEnd"/>
      <w:r w:rsidRPr="00B1089D">
        <w:t xml:space="preserve"> </w:t>
      </w:r>
      <w:proofErr w:type="spellStart"/>
      <w:r w:rsidRPr="00B1089D">
        <w:t>process</w:t>
      </w:r>
      <w:proofErr w:type="spellEnd"/>
      <w:r w:rsidRPr="00B1089D">
        <w:t xml:space="preserve">. </w:t>
      </w:r>
      <w:proofErr w:type="spellStart"/>
      <w:r w:rsidRPr="00B1089D">
        <w:t>The</w:t>
      </w:r>
      <w:proofErr w:type="spellEnd"/>
      <w:r w:rsidRPr="00B1089D">
        <w:t xml:space="preserve"> </w:t>
      </w:r>
      <w:proofErr w:type="spellStart"/>
      <w:r w:rsidRPr="00B1089D">
        <w:t>implementation</w:t>
      </w:r>
      <w:proofErr w:type="spellEnd"/>
      <w:r w:rsidRPr="00B1089D">
        <w:t xml:space="preserve"> of </w:t>
      </w:r>
      <w:proofErr w:type="spellStart"/>
      <w:r w:rsidRPr="00B1089D">
        <w:t>policies</w:t>
      </w:r>
      <w:proofErr w:type="spellEnd"/>
      <w:r w:rsidRPr="00B1089D">
        <w:t xml:space="preserve"> in </w:t>
      </w:r>
      <w:proofErr w:type="spellStart"/>
      <w:r w:rsidRPr="00B1089D">
        <w:t>the</w:t>
      </w:r>
      <w:proofErr w:type="spellEnd"/>
      <w:r w:rsidRPr="00B1089D">
        <w:t xml:space="preserve"> </w:t>
      </w:r>
      <w:proofErr w:type="spellStart"/>
      <w:r w:rsidRPr="00B1089D">
        <w:t>field</w:t>
      </w:r>
      <w:proofErr w:type="spellEnd"/>
      <w:r w:rsidRPr="00B1089D">
        <w:t xml:space="preserve"> of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should</w:t>
      </w:r>
      <w:proofErr w:type="spellEnd"/>
      <w:r w:rsidRPr="00B1089D">
        <w:t xml:space="preserve"> be </w:t>
      </w:r>
      <w:proofErr w:type="spellStart"/>
      <w:r w:rsidRPr="00B1089D">
        <w:t>grounded</w:t>
      </w:r>
      <w:proofErr w:type="spellEnd"/>
      <w:r w:rsidRPr="00B1089D">
        <w:t xml:space="preserve"> in </w:t>
      </w:r>
      <w:proofErr w:type="spellStart"/>
      <w:r w:rsidRPr="00B1089D">
        <w:t>enhancing</w:t>
      </w:r>
      <w:proofErr w:type="spellEnd"/>
      <w:r w:rsidRPr="00B1089D">
        <w:t xml:space="preserve"> </w:t>
      </w:r>
      <w:proofErr w:type="spellStart"/>
      <w:r w:rsidRPr="00B1089D">
        <w:t>institutional</w:t>
      </w:r>
      <w:proofErr w:type="spellEnd"/>
      <w:r w:rsidRPr="00B1089D">
        <w:t xml:space="preserve"> </w:t>
      </w:r>
      <w:proofErr w:type="spellStart"/>
      <w:r w:rsidRPr="00B1089D">
        <w:t>capacity</w:t>
      </w:r>
      <w:proofErr w:type="spellEnd"/>
      <w:r w:rsidRPr="00B1089D">
        <w:t xml:space="preserve">, </w:t>
      </w:r>
      <w:proofErr w:type="spellStart"/>
      <w:r w:rsidRPr="00B1089D">
        <w:t>considering</w:t>
      </w:r>
      <w:proofErr w:type="spellEnd"/>
      <w:r w:rsidRPr="00B1089D">
        <w:t xml:space="preserve"> </w:t>
      </w:r>
      <w:proofErr w:type="spellStart"/>
      <w:r w:rsidRPr="00B1089D">
        <w:t>the</w:t>
      </w:r>
      <w:proofErr w:type="spellEnd"/>
      <w:r w:rsidRPr="00B1089D">
        <w:t xml:space="preserve"> </w:t>
      </w:r>
      <w:proofErr w:type="spellStart"/>
      <w:r w:rsidRPr="00B1089D">
        <w:t>unique</w:t>
      </w:r>
      <w:proofErr w:type="spellEnd"/>
      <w:r w:rsidRPr="00B1089D">
        <w:t xml:space="preserve"> </w:t>
      </w:r>
      <w:proofErr w:type="spellStart"/>
      <w:r w:rsidRPr="00B1089D">
        <w:t>combinations</w:t>
      </w:r>
      <w:proofErr w:type="spellEnd"/>
      <w:r w:rsidRPr="00B1089D">
        <w:t xml:space="preserve"> of </w:t>
      </w:r>
      <w:proofErr w:type="spellStart"/>
      <w:r w:rsidRPr="00B1089D">
        <w:t>institutions</w:t>
      </w:r>
      <w:proofErr w:type="spellEnd"/>
      <w:r w:rsidRPr="00B1089D">
        <w:t xml:space="preserve"> </w:t>
      </w:r>
      <w:proofErr w:type="spellStart"/>
      <w:r w:rsidRPr="00B1089D">
        <w:t>suitable</w:t>
      </w:r>
      <w:proofErr w:type="spellEnd"/>
      <w:r w:rsidRPr="00B1089D">
        <w:t xml:space="preserve"> </w:t>
      </w:r>
      <w:proofErr w:type="spellStart"/>
      <w:r w:rsidRPr="00B1089D">
        <w:t>for</w:t>
      </w:r>
      <w:proofErr w:type="spellEnd"/>
      <w:r w:rsidRPr="00B1089D">
        <w:t xml:space="preserve"> </w:t>
      </w:r>
      <w:proofErr w:type="spellStart"/>
      <w:r w:rsidRPr="00B1089D">
        <w:t>countries</w:t>
      </w:r>
      <w:proofErr w:type="spellEnd"/>
      <w:r w:rsidRPr="00B1089D">
        <w:t xml:space="preserve"> in </w:t>
      </w:r>
      <w:proofErr w:type="spellStart"/>
      <w:r w:rsidRPr="00B1089D">
        <w:t>different</w:t>
      </w:r>
      <w:proofErr w:type="spellEnd"/>
      <w:r w:rsidRPr="00B1089D">
        <w:t xml:space="preserve"> </w:t>
      </w:r>
      <w:proofErr w:type="spellStart"/>
      <w:r w:rsidRPr="00B1089D">
        <w:t>regions</w:t>
      </w:r>
      <w:proofErr w:type="spellEnd"/>
      <w:r w:rsidRPr="00B1089D">
        <w:t xml:space="preserve">. </w:t>
      </w:r>
      <w:proofErr w:type="spellStart"/>
      <w:r w:rsidRPr="00B1089D">
        <w:t>One</w:t>
      </w:r>
      <w:proofErr w:type="spellEnd"/>
      <w:r w:rsidRPr="00B1089D">
        <w:t xml:space="preserve"> of </w:t>
      </w:r>
      <w:proofErr w:type="spellStart"/>
      <w:r w:rsidRPr="00B1089D">
        <w:t>the</w:t>
      </w:r>
      <w:proofErr w:type="spellEnd"/>
      <w:r w:rsidRPr="00B1089D">
        <w:t xml:space="preserve"> </w:t>
      </w:r>
      <w:proofErr w:type="spellStart"/>
      <w:r w:rsidRPr="00B1089D">
        <w:t>study's</w:t>
      </w:r>
      <w:proofErr w:type="spellEnd"/>
      <w:r w:rsidRPr="00B1089D">
        <w:t xml:space="preserve"> </w:t>
      </w:r>
      <w:proofErr w:type="spellStart"/>
      <w:r w:rsidRPr="00B1089D">
        <w:t>most</w:t>
      </w:r>
      <w:proofErr w:type="spellEnd"/>
      <w:r w:rsidRPr="00B1089D">
        <w:t xml:space="preserve"> </w:t>
      </w:r>
      <w:proofErr w:type="spellStart"/>
      <w:r w:rsidRPr="00B1089D">
        <w:t>crucial</w:t>
      </w:r>
      <w:proofErr w:type="spellEnd"/>
      <w:r w:rsidRPr="00B1089D">
        <w:t xml:space="preserve"> </w:t>
      </w:r>
      <w:proofErr w:type="spellStart"/>
      <w:r w:rsidRPr="00B1089D">
        <w:t>findings</w:t>
      </w:r>
      <w:proofErr w:type="spellEnd"/>
      <w:r w:rsidRPr="00B1089D">
        <w:t xml:space="preserve"> is </w:t>
      </w:r>
      <w:proofErr w:type="spellStart"/>
      <w:r w:rsidRPr="00B1089D">
        <w:t>that</w:t>
      </w:r>
      <w:proofErr w:type="spellEnd"/>
      <w:r w:rsidRPr="00B1089D">
        <w:t xml:space="preserve"> </w:t>
      </w:r>
      <w:proofErr w:type="spellStart"/>
      <w:r w:rsidRPr="00B1089D">
        <w:t>different</w:t>
      </w:r>
      <w:proofErr w:type="spellEnd"/>
      <w:r w:rsidRPr="00B1089D">
        <w:t xml:space="preserve"> </w:t>
      </w:r>
      <w:proofErr w:type="spellStart"/>
      <w:r w:rsidRPr="00B1089D">
        <w:t>institutional</w:t>
      </w:r>
      <w:proofErr w:type="spellEnd"/>
      <w:r w:rsidRPr="00B1089D">
        <w:t xml:space="preserve"> </w:t>
      </w:r>
      <w:proofErr w:type="spellStart"/>
      <w:r w:rsidRPr="00B1089D">
        <w:t>indicators</w:t>
      </w:r>
      <w:proofErr w:type="spellEnd"/>
      <w:r w:rsidRPr="00B1089D">
        <w:t xml:space="preserve"> </w:t>
      </w:r>
      <w:proofErr w:type="spellStart"/>
      <w:r w:rsidRPr="00B1089D">
        <w:t>interact</w:t>
      </w:r>
      <w:proofErr w:type="spellEnd"/>
      <w:r w:rsidRPr="00B1089D">
        <w:t xml:space="preserve"> </w:t>
      </w:r>
      <w:proofErr w:type="spellStart"/>
      <w:r w:rsidRPr="00B1089D">
        <w:t>diversely</w:t>
      </w:r>
      <w:proofErr w:type="spellEnd"/>
      <w:r w:rsidRPr="00B1089D">
        <w:t xml:space="preserve"> </w:t>
      </w:r>
      <w:proofErr w:type="spellStart"/>
      <w:r w:rsidRPr="00B1089D">
        <w:t>with</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 xml:space="preserve"> </w:t>
      </w:r>
      <w:proofErr w:type="spellStart"/>
      <w:r w:rsidRPr="00B1089D">
        <w:t>performance</w:t>
      </w:r>
      <w:proofErr w:type="spellEnd"/>
      <w:r w:rsidRPr="00B1089D">
        <w:t xml:space="preserve"> in </w:t>
      </w:r>
      <w:proofErr w:type="spellStart"/>
      <w:r w:rsidRPr="00B1089D">
        <w:t>each</w:t>
      </w:r>
      <w:proofErr w:type="spellEnd"/>
      <w:r w:rsidRPr="00B1089D">
        <w:t xml:space="preserve"> </w:t>
      </w:r>
      <w:proofErr w:type="spellStart"/>
      <w:r w:rsidRPr="00B1089D">
        <w:t>region</w:t>
      </w:r>
      <w:proofErr w:type="spellEnd"/>
      <w:r w:rsidRPr="00B1089D">
        <w:t>.</w:t>
      </w:r>
    </w:p>
    <w:p w14:paraId="254384A8" w14:textId="77777777" w:rsidR="00FA457D" w:rsidRPr="00B1089D" w:rsidRDefault="00FA457D" w:rsidP="00E359E0">
      <w:pPr>
        <w:widowControl/>
        <w:jc w:val="both"/>
      </w:pPr>
    </w:p>
    <w:p w14:paraId="2A44EB96" w14:textId="77777777" w:rsidR="00FA457D" w:rsidRPr="00B1089D" w:rsidRDefault="00FA457D" w:rsidP="00E359E0">
      <w:pPr>
        <w:widowControl/>
        <w:jc w:val="both"/>
      </w:pPr>
      <w:proofErr w:type="spellStart"/>
      <w:r w:rsidRPr="00B1089D">
        <w:t>Empirical</w:t>
      </w:r>
      <w:proofErr w:type="spellEnd"/>
      <w:r w:rsidRPr="00B1089D">
        <w:t xml:space="preserve"> </w:t>
      </w:r>
      <w:proofErr w:type="spellStart"/>
      <w:r w:rsidRPr="00B1089D">
        <w:t>findings</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support</w:t>
      </w:r>
      <w:proofErr w:type="spellEnd"/>
      <w:r w:rsidRPr="00B1089D">
        <w:t xml:space="preserve"> </w:t>
      </w:r>
      <w:proofErr w:type="spellStart"/>
      <w:r w:rsidRPr="00B1089D">
        <w:t>the</w:t>
      </w:r>
      <w:proofErr w:type="spellEnd"/>
      <w:r w:rsidRPr="00B1089D">
        <w:t xml:space="preserve"> </w:t>
      </w:r>
      <w:proofErr w:type="spellStart"/>
      <w:r w:rsidRPr="00B1089D">
        <w:t>hypothesis</w:t>
      </w:r>
      <w:proofErr w:type="spellEnd"/>
      <w:r w:rsidRPr="00B1089D">
        <w:t xml:space="preserve"> </w:t>
      </w:r>
      <w:proofErr w:type="spellStart"/>
      <w:r w:rsidRPr="00B1089D">
        <w:t>that</w:t>
      </w:r>
      <w:proofErr w:type="spellEnd"/>
      <w:r w:rsidRPr="00B1089D">
        <w:t xml:space="preserve"> </w:t>
      </w:r>
      <w:proofErr w:type="spellStart"/>
      <w:r w:rsidRPr="00B1089D">
        <w:t>each</w:t>
      </w:r>
      <w:proofErr w:type="spellEnd"/>
      <w:r w:rsidRPr="00B1089D">
        <w:t xml:space="preserve"> </w:t>
      </w:r>
      <w:proofErr w:type="spellStart"/>
      <w:r w:rsidRPr="00B1089D">
        <w:t>country</w:t>
      </w:r>
      <w:proofErr w:type="spellEnd"/>
      <w:r w:rsidRPr="00B1089D">
        <w:t xml:space="preserve"> </w:t>
      </w:r>
      <w:proofErr w:type="spellStart"/>
      <w:r w:rsidRPr="00B1089D">
        <w:t>should</w:t>
      </w:r>
      <w:proofErr w:type="spellEnd"/>
      <w:r w:rsidRPr="00B1089D">
        <w:t xml:space="preserve"> </w:t>
      </w:r>
      <w:proofErr w:type="spellStart"/>
      <w:r w:rsidRPr="00B1089D">
        <w:t>formulate</w:t>
      </w:r>
      <w:proofErr w:type="spellEnd"/>
      <w:r w:rsidRPr="00B1089D">
        <w:t xml:space="preserve"> </w:t>
      </w:r>
      <w:proofErr w:type="spellStart"/>
      <w:r w:rsidRPr="00B1089D">
        <w:t>its</w:t>
      </w:r>
      <w:proofErr w:type="spellEnd"/>
      <w:r w:rsidRPr="00B1089D">
        <w:t xml:space="preserve"> </w:t>
      </w:r>
      <w:proofErr w:type="spellStart"/>
      <w:r w:rsidRPr="00B1089D">
        <w:t>economic</w:t>
      </w:r>
      <w:proofErr w:type="spellEnd"/>
      <w:r w:rsidRPr="00B1089D">
        <w:t xml:space="preserve"> </w:t>
      </w:r>
      <w:proofErr w:type="spellStart"/>
      <w:r w:rsidRPr="00B1089D">
        <w:t>development</w:t>
      </w:r>
      <w:proofErr w:type="spellEnd"/>
      <w:r w:rsidRPr="00B1089D">
        <w:t xml:space="preserve"> </w:t>
      </w:r>
      <w:proofErr w:type="spellStart"/>
      <w:r w:rsidRPr="00B1089D">
        <w:t>strategy</w:t>
      </w:r>
      <w:proofErr w:type="spellEnd"/>
      <w:r w:rsidRPr="00B1089D">
        <w:t xml:space="preserve">, </w:t>
      </w:r>
      <w:proofErr w:type="spellStart"/>
      <w:r w:rsidRPr="00B1089D">
        <w:t>considering</w:t>
      </w:r>
      <w:proofErr w:type="spellEnd"/>
      <w:r w:rsidRPr="00B1089D">
        <w:t xml:space="preserve"> </w:t>
      </w:r>
      <w:proofErr w:type="spellStart"/>
      <w:r w:rsidRPr="00B1089D">
        <w:t>the</w:t>
      </w:r>
      <w:proofErr w:type="spellEnd"/>
      <w:r w:rsidRPr="00B1089D">
        <w:t xml:space="preserve"> </w:t>
      </w:r>
      <w:proofErr w:type="spellStart"/>
      <w:r w:rsidRPr="00B1089D">
        <w:t>region’s</w:t>
      </w:r>
      <w:proofErr w:type="spellEnd"/>
      <w:r w:rsidRPr="00B1089D">
        <w:t xml:space="preserve"> </w:t>
      </w:r>
      <w:proofErr w:type="spellStart"/>
      <w:r w:rsidRPr="00B1089D">
        <w:t>social</w:t>
      </w:r>
      <w:proofErr w:type="spellEnd"/>
      <w:r w:rsidRPr="00B1089D">
        <w:t xml:space="preserve">, </w:t>
      </w:r>
      <w:proofErr w:type="spellStart"/>
      <w:r w:rsidRPr="00B1089D">
        <w:t>economic</w:t>
      </w:r>
      <w:proofErr w:type="spellEnd"/>
      <w:r w:rsidRPr="00B1089D">
        <w:t xml:space="preserve"> </w:t>
      </w:r>
      <w:proofErr w:type="spellStart"/>
      <w:r w:rsidRPr="00B1089D">
        <w:t>and</w:t>
      </w:r>
      <w:proofErr w:type="spellEnd"/>
      <w:r w:rsidRPr="00B1089D">
        <w:t xml:space="preserve"> </w:t>
      </w:r>
      <w:proofErr w:type="spellStart"/>
      <w:r w:rsidRPr="00B1089D">
        <w:t>geopolitical</w:t>
      </w:r>
      <w:proofErr w:type="spellEnd"/>
      <w:r w:rsidRPr="00B1089D">
        <w:t xml:space="preserve"> </w:t>
      </w:r>
      <w:proofErr w:type="spellStart"/>
      <w:r w:rsidRPr="00B1089D">
        <w:t>features</w:t>
      </w:r>
      <w:proofErr w:type="spellEnd"/>
      <w:r w:rsidRPr="00B1089D">
        <w:t xml:space="preserve"> in </w:t>
      </w:r>
      <w:proofErr w:type="spellStart"/>
      <w:r w:rsidRPr="00B1089D">
        <w:t>which</w:t>
      </w:r>
      <w:proofErr w:type="spellEnd"/>
      <w:r w:rsidRPr="00B1089D">
        <w:t xml:space="preserve"> it is </w:t>
      </w:r>
      <w:proofErr w:type="spellStart"/>
      <w:r w:rsidRPr="00B1089D">
        <w:t>located</w:t>
      </w:r>
      <w:proofErr w:type="spellEnd"/>
      <w:r w:rsidRPr="00B1089D">
        <w:t xml:space="preserve">. </w:t>
      </w:r>
      <w:proofErr w:type="spellStart"/>
      <w:r w:rsidRPr="00B1089D">
        <w:t>This</w:t>
      </w:r>
      <w:proofErr w:type="spellEnd"/>
      <w:r w:rsidRPr="00B1089D">
        <w:t xml:space="preserve"> </w:t>
      </w:r>
      <w:proofErr w:type="spellStart"/>
      <w:r w:rsidRPr="00B1089D">
        <w:t>approach</w:t>
      </w:r>
      <w:proofErr w:type="spellEnd"/>
      <w:r w:rsidRPr="00B1089D">
        <w:t xml:space="preserve"> is </w:t>
      </w:r>
      <w:proofErr w:type="spellStart"/>
      <w:r w:rsidRPr="00B1089D">
        <w:t>vital</w:t>
      </w:r>
      <w:proofErr w:type="spellEnd"/>
      <w:r w:rsidRPr="00B1089D">
        <w:t xml:space="preserve"> </w:t>
      </w:r>
      <w:proofErr w:type="spellStart"/>
      <w:r w:rsidRPr="00B1089D">
        <w:t>for</w:t>
      </w:r>
      <w:proofErr w:type="spellEnd"/>
      <w:r w:rsidRPr="00B1089D">
        <w:t xml:space="preserve"> </w:t>
      </w:r>
      <w:proofErr w:type="spellStart"/>
      <w:r w:rsidRPr="00B1089D">
        <w:t>tailoring</w:t>
      </w:r>
      <w:proofErr w:type="spellEnd"/>
      <w:r w:rsidRPr="00B1089D">
        <w:t xml:space="preserve"> </w:t>
      </w:r>
      <w:proofErr w:type="spellStart"/>
      <w:r w:rsidRPr="00B1089D">
        <w:t>policies</w:t>
      </w:r>
      <w:proofErr w:type="spellEnd"/>
      <w:r w:rsidRPr="00B1089D">
        <w:t xml:space="preserve"> </w:t>
      </w:r>
      <w:proofErr w:type="spellStart"/>
      <w:r w:rsidRPr="00B1089D">
        <w:t>to</w:t>
      </w:r>
      <w:proofErr w:type="spellEnd"/>
      <w:r w:rsidRPr="00B1089D">
        <w:t xml:space="preserve"> </w:t>
      </w:r>
      <w:proofErr w:type="spellStart"/>
      <w:r w:rsidRPr="00B1089D">
        <w:t>each</w:t>
      </w:r>
      <w:proofErr w:type="spellEnd"/>
      <w:r w:rsidRPr="00B1089D">
        <w:t xml:space="preserve"> </w:t>
      </w:r>
      <w:proofErr w:type="spellStart"/>
      <w:r w:rsidRPr="00B1089D">
        <w:t>country's</w:t>
      </w:r>
      <w:proofErr w:type="spellEnd"/>
      <w:r w:rsidRPr="00B1089D">
        <w:t xml:space="preserve"> </w:t>
      </w:r>
      <w:proofErr w:type="spellStart"/>
      <w:r w:rsidRPr="00B1089D">
        <w:t>specific</w:t>
      </w:r>
      <w:proofErr w:type="spellEnd"/>
      <w:r w:rsidRPr="00B1089D">
        <w:t xml:space="preserve"> </w:t>
      </w:r>
      <w:proofErr w:type="spellStart"/>
      <w:r w:rsidRPr="00B1089D">
        <w:t>needs</w:t>
      </w:r>
      <w:proofErr w:type="spellEnd"/>
      <w:r w:rsidRPr="00B1089D">
        <w:t xml:space="preserve"> </w:t>
      </w:r>
      <w:proofErr w:type="spellStart"/>
      <w:r w:rsidRPr="00B1089D">
        <w:t>and</w:t>
      </w:r>
      <w:proofErr w:type="spellEnd"/>
      <w:r w:rsidRPr="00B1089D">
        <w:t xml:space="preserve"> </w:t>
      </w:r>
      <w:proofErr w:type="spellStart"/>
      <w:r w:rsidRPr="00B1089D">
        <w:t>circumstances</w:t>
      </w:r>
      <w:proofErr w:type="spellEnd"/>
      <w:r w:rsidRPr="00B1089D">
        <w:t xml:space="preserve">, </w:t>
      </w:r>
      <w:proofErr w:type="spellStart"/>
      <w:r w:rsidRPr="00B1089D">
        <w:t>contributing</w:t>
      </w:r>
      <w:proofErr w:type="spellEnd"/>
      <w:r w:rsidRPr="00B1089D">
        <w:t xml:space="preserve"> </w:t>
      </w:r>
      <w:proofErr w:type="spellStart"/>
      <w:r w:rsidRPr="00B1089D">
        <w:t>to</w:t>
      </w:r>
      <w:proofErr w:type="spellEnd"/>
      <w:r w:rsidRPr="00B1089D">
        <w:t xml:space="preserve"> </w:t>
      </w:r>
      <w:proofErr w:type="spellStart"/>
      <w:r w:rsidRPr="00B1089D">
        <w:t>economic</w:t>
      </w:r>
      <w:proofErr w:type="spellEnd"/>
      <w:r w:rsidRPr="00B1089D">
        <w:t xml:space="preserve"> </w:t>
      </w:r>
      <w:proofErr w:type="spellStart"/>
      <w:r w:rsidRPr="00B1089D">
        <w:t>security</w:t>
      </w:r>
      <w:proofErr w:type="spellEnd"/>
      <w:r w:rsidRPr="00B1089D">
        <w:t>.</w:t>
      </w:r>
    </w:p>
    <w:p w14:paraId="310EA911" w14:textId="77777777" w:rsidR="00FA457D" w:rsidRDefault="00FA457D" w:rsidP="00FA457D">
      <w:pPr>
        <w:widowControl/>
      </w:pPr>
    </w:p>
    <w:p w14:paraId="35310A1F" w14:textId="77777777" w:rsidR="00E359E0" w:rsidRPr="00D10870" w:rsidRDefault="00E359E0" w:rsidP="00FA457D">
      <w:pPr>
        <w:widowControl/>
      </w:pPr>
    </w:p>
    <w:p w14:paraId="1A78C745" w14:textId="77777777" w:rsidR="00FA457D" w:rsidRPr="00B1089D" w:rsidRDefault="00FA457D" w:rsidP="00FA457D">
      <w:pPr>
        <w:widowControl/>
        <w:rPr>
          <w:b/>
          <w:bCs/>
        </w:rPr>
      </w:pPr>
      <w:proofErr w:type="spellStart"/>
      <w:r w:rsidRPr="00D10870">
        <w:rPr>
          <w:b/>
          <w:bCs/>
        </w:rPr>
        <w:lastRenderedPageBreak/>
        <w:t>References</w:t>
      </w:r>
      <w:proofErr w:type="spellEnd"/>
    </w:p>
    <w:p w14:paraId="26817098" w14:textId="753AEBAE" w:rsidR="00FA457D" w:rsidRPr="00B1089D" w:rsidRDefault="00FA457D">
      <w:pPr>
        <w:pStyle w:val="ListeParagraf"/>
        <w:widowControl/>
        <w:numPr>
          <w:ilvl w:val="0"/>
          <w:numId w:val="62"/>
        </w:numPr>
      </w:pPr>
      <w:r w:rsidRPr="00E359E0">
        <w:rPr>
          <w:b/>
          <w:bCs/>
        </w:rPr>
        <w:t xml:space="preserve">Alam M, </w:t>
      </w:r>
      <w:proofErr w:type="spellStart"/>
      <w:r w:rsidRPr="00E359E0">
        <w:rPr>
          <w:b/>
          <w:bCs/>
        </w:rPr>
        <w:t>Kitenge</w:t>
      </w:r>
      <w:proofErr w:type="spellEnd"/>
      <w:r w:rsidRPr="00E359E0">
        <w:rPr>
          <w:b/>
          <w:bCs/>
        </w:rPr>
        <w:t xml:space="preserve"> E </w:t>
      </w:r>
      <w:proofErr w:type="spellStart"/>
      <w:r w:rsidRPr="00E359E0">
        <w:rPr>
          <w:b/>
          <w:bCs/>
        </w:rPr>
        <w:t>and</w:t>
      </w:r>
      <w:proofErr w:type="spellEnd"/>
      <w:r w:rsidRPr="00E359E0">
        <w:rPr>
          <w:b/>
          <w:bCs/>
        </w:rPr>
        <w:t xml:space="preserve"> </w:t>
      </w:r>
      <w:proofErr w:type="spellStart"/>
      <w:r w:rsidRPr="00E359E0">
        <w:rPr>
          <w:b/>
          <w:bCs/>
        </w:rPr>
        <w:t>Bedane</w:t>
      </w:r>
      <w:proofErr w:type="spellEnd"/>
      <w:r w:rsidRPr="00E359E0">
        <w:rPr>
          <w:b/>
          <w:bCs/>
        </w:rPr>
        <w:t xml:space="preserve"> B</w:t>
      </w:r>
      <w:r w:rsidRPr="00B1089D">
        <w:t xml:space="preserve"> (2017) </w:t>
      </w:r>
      <w:proofErr w:type="spellStart"/>
      <w:r w:rsidRPr="00B1089D">
        <w:t>Government</w:t>
      </w:r>
      <w:proofErr w:type="spellEnd"/>
      <w:r w:rsidRPr="00B1089D">
        <w:t xml:space="preserve"> </w:t>
      </w:r>
      <w:proofErr w:type="spellStart"/>
      <w:r w:rsidRPr="00B1089D">
        <w:t>Effectiveness</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w:t>
      </w:r>
      <w:proofErr w:type="spellStart"/>
      <w:r w:rsidRPr="00E359E0">
        <w:rPr>
          <w:i/>
          <w:iCs/>
        </w:rPr>
        <w:t>Economics</w:t>
      </w:r>
      <w:proofErr w:type="spellEnd"/>
      <w:r w:rsidRPr="00E359E0">
        <w:rPr>
          <w:i/>
          <w:iCs/>
        </w:rPr>
        <w:t xml:space="preserve"> </w:t>
      </w:r>
      <w:proofErr w:type="spellStart"/>
      <w:r w:rsidRPr="00E359E0">
        <w:rPr>
          <w:i/>
          <w:iCs/>
        </w:rPr>
        <w:t>Bulletin</w:t>
      </w:r>
      <w:proofErr w:type="spellEnd"/>
      <w:r w:rsidRPr="00E359E0">
        <w:rPr>
          <w:i/>
          <w:iCs/>
        </w:rPr>
        <w:t>, 37</w:t>
      </w:r>
      <w:r w:rsidRPr="00B1089D">
        <w:t xml:space="preserve">(1), </w:t>
      </w:r>
      <w:proofErr w:type="spellStart"/>
      <w:r w:rsidRPr="00B1089D">
        <w:t>pp</w:t>
      </w:r>
      <w:proofErr w:type="spellEnd"/>
      <w:r w:rsidRPr="00B1089D">
        <w:t>. 222-227.</w:t>
      </w:r>
    </w:p>
    <w:p w14:paraId="4EC9387B" w14:textId="77777777" w:rsidR="00FA457D" w:rsidRPr="00B1089D" w:rsidRDefault="00FA457D">
      <w:pPr>
        <w:pStyle w:val="ListeParagraf"/>
        <w:widowControl/>
        <w:numPr>
          <w:ilvl w:val="0"/>
          <w:numId w:val="62"/>
        </w:numPr>
      </w:pPr>
      <w:proofErr w:type="spellStart"/>
      <w:r w:rsidRPr="00E359E0">
        <w:rPr>
          <w:b/>
          <w:bCs/>
        </w:rPr>
        <w:t>Baldwin</w:t>
      </w:r>
      <w:proofErr w:type="spellEnd"/>
      <w:r w:rsidRPr="00E359E0">
        <w:rPr>
          <w:b/>
          <w:bCs/>
        </w:rPr>
        <w:t xml:space="preserve"> D A</w:t>
      </w:r>
      <w:r w:rsidRPr="00B1089D">
        <w:t xml:space="preserve"> (1996) Security </w:t>
      </w:r>
      <w:proofErr w:type="spellStart"/>
      <w:r w:rsidRPr="00B1089D">
        <w:t>Studies</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End</w:t>
      </w:r>
      <w:proofErr w:type="spellEnd"/>
      <w:r w:rsidRPr="00B1089D">
        <w:t xml:space="preserve"> of </w:t>
      </w:r>
      <w:proofErr w:type="spellStart"/>
      <w:r w:rsidRPr="00B1089D">
        <w:t>the</w:t>
      </w:r>
      <w:proofErr w:type="spellEnd"/>
      <w:r w:rsidRPr="00B1089D">
        <w:t xml:space="preserve"> </w:t>
      </w:r>
      <w:proofErr w:type="spellStart"/>
      <w:r w:rsidRPr="00B1089D">
        <w:t>Cold</w:t>
      </w:r>
      <w:proofErr w:type="spellEnd"/>
      <w:r w:rsidRPr="00B1089D">
        <w:t xml:space="preserve"> </w:t>
      </w:r>
      <w:proofErr w:type="spellStart"/>
      <w:r w:rsidRPr="00B1089D">
        <w:t>War</w:t>
      </w:r>
      <w:proofErr w:type="spellEnd"/>
      <w:r w:rsidRPr="00B1089D">
        <w:t xml:space="preserve">. World </w:t>
      </w:r>
      <w:proofErr w:type="spellStart"/>
      <w:r w:rsidRPr="00B1089D">
        <w:t>Politics</w:t>
      </w:r>
      <w:proofErr w:type="spellEnd"/>
      <w:r w:rsidRPr="00B1089D">
        <w:t xml:space="preserve">, </w:t>
      </w:r>
      <w:proofErr w:type="spellStart"/>
      <w:r w:rsidRPr="00B1089D">
        <w:t>pp</w:t>
      </w:r>
      <w:proofErr w:type="spellEnd"/>
      <w:r w:rsidRPr="00B1089D">
        <w:t xml:space="preserve">. 117–141. </w:t>
      </w:r>
      <w:hyperlink r:id="rId364" w:history="1">
        <w:r w:rsidRPr="00B1089D">
          <w:rPr>
            <w:rStyle w:val="Kpr"/>
          </w:rPr>
          <w:t>https://doi.org/10.1353/wp.1995.0001</w:t>
        </w:r>
      </w:hyperlink>
    </w:p>
    <w:p w14:paraId="1888A88B" w14:textId="77777777" w:rsidR="00FA457D" w:rsidRPr="00B1089D" w:rsidRDefault="00FA457D">
      <w:pPr>
        <w:pStyle w:val="ListeParagraf"/>
        <w:widowControl/>
        <w:numPr>
          <w:ilvl w:val="0"/>
          <w:numId w:val="62"/>
        </w:numPr>
      </w:pPr>
      <w:r w:rsidRPr="00E359E0">
        <w:rPr>
          <w:b/>
          <w:bCs/>
        </w:rPr>
        <w:t xml:space="preserve">Baysal B </w:t>
      </w:r>
      <w:proofErr w:type="spellStart"/>
      <w:r w:rsidRPr="00E359E0">
        <w:rPr>
          <w:b/>
          <w:bCs/>
        </w:rPr>
        <w:t>and</w:t>
      </w:r>
      <w:proofErr w:type="spellEnd"/>
      <w:r w:rsidRPr="00E359E0">
        <w:rPr>
          <w:b/>
          <w:bCs/>
        </w:rPr>
        <w:t xml:space="preserve"> Lüleci Ç</w:t>
      </w:r>
      <w:r w:rsidRPr="00B1089D">
        <w:t xml:space="preserve"> (2015) Kopenhag Okulu ve Güvenlikleştirme Teorisi. Güvenlik Stratejileri, 11(22), </w:t>
      </w:r>
      <w:proofErr w:type="spellStart"/>
      <w:r w:rsidRPr="00B1089D">
        <w:t>pp</w:t>
      </w:r>
      <w:proofErr w:type="spellEnd"/>
      <w:r w:rsidRPr="00B1089D">
        <w:t xml:space="preserve">. 61-96. </w:t>
      </w:r>
      <w:proofErr w:type="spellStart"/>
      <w:r w:rsidRPr="00B1089D">
        <w:t>Retrieved</w:t>
      </w:r>
      <w:proofErr w:type="spellEnd"/>
      <w:r w:rsidRPr="00B1089D">
        <w:t xml:space="preserve"> </w:t>
      </w:r>
      <w:proofErr w:type="spellStart"/>
      <w:r w:rsidRPr="00B1089D">
        <w:t>from</w:t>
      </w:r>
      <w:proofErr w:type="spellEnd"/>
      <w:r w:rsidRPr="00B1089D">
        <w:t xml:space="preserve"> </w:t>
      </w:r>
      <w:hyperlink r:id="rId365" w:history="1">
        <w:r w:rsidRPr="00B1089D">
          <w:rPr>
            <w:rStyle w:val="Kpr"/>
          </w:rPr>
          <w:t>https://dergipark.org.tr/en/pub/guvenlikstrtj/issue/7544/99268</w:t>
        </w:r>
      </w:hyperlink>
    </w:p>
    <w:p w14:paraId="4DB69883" w14:textId="77777777" w:rsidR="00FA457D" w:rsidRPr="00B1089D" w:rsidRDefault="00FA457D">
      <w:pPr>
        <w:pStyle w:val="ListeParagraf"/>
        <w:widowControl/>
        <w:numPr>
          <w:ilvl w:val="0"/>
          <w:numId w:val="62"/>
        </w:numPr>
      </w:pPr>
      <w:proofErr w:type="spellStart"/>
      <w:r w:rsidRPr="00E359E0">
        <w:rPr>
          <w:b/>
          <w:bCs/>
        </w:rPr>
        <w:t>Buzan</w:t>
      </w:r>
      <w:proofErr w:type="spellEnd"/>
      <w:r w:rsidRPr="00E359E0">
        <w:rPr>
          <w:b/>
          <w:bCs/>
        </w:rPr>
        <w:t xml:space="preserve"> B </w:t>
      </w:r>
      <w:proofErr w:type="spellStart"/>
      <w:r w:rsidRPr="00E359E0">
        <w:rPr>
          <w:b/>
          <w:bCs/>
        </w:rPr>
        <w:t>and</w:t>
      </w:r>
      <w:proofErr w:type="spellEnd"/>
      <w:r w:rsidRPr="00E359E0">
        <w:rPr>
          <w:b/>
          <w:bCs/>
        </w:rPr>
        <w:t xml:space="preserve"> Hansen L</w:t>
      </w:r>
      <w:r w:rsidRPr="00B1089D">
        <w:t xml:space="preserve"> (2009) </w:t>
      </w:r>
      <w:proofErr w:type="spellStart"/>
      <w:r w:rsidRPr="00B1089D">
        <w:t>The</w:t>
      </w:r>
      <w:proofErr w:type="spellEnd"/>
      <w:r w:rsidRPr="00B1089D">
        <w:t xml:space="preserve"> </w:t>
      </w:r>
      <w:proofErr w:type="spellStart"/>
      <w:r w:rsidRPr="00B1089D">
        <w:t>Evolution</w:t>
      </w:r>
      <w:proofErr w:type="spellEnd"/>
      <w:r w:rsidRPr="00B1089D">
        <w:t xml:space="preserve"> of International Security </w:t>
      </w:r>
      <w:proofErr w:type="spellStart"/>
      <w:r w:rsidRPr="00B1089D">
        <w:t>Studies</w:t>
      </w:r>
      <w:proofErr w:type="spellEnd"/>
      <w:r w:rsidRPr="00B1089D">
        <w:t xml:space="preserve">. Cambridge: Cambridge </w:t>
      </w:r>
      <w:proofErr w:type="spellStart"/>
      <w:r w:rsidRPr="00B1089D">
        <w:t>University</w:t>
      </w:r>
      <w:proofErr w:type="spellEnd"/>
      <w:r w:rsidRPr="00B1089D">
        <w:t xml:space="preserve"> </w:t>
      </w:r>
      <w:proofErr w:type="spellStart"/>
      <w:r w:rsidRPr="00B1089D">
        <w:t>Press</w:t>
      </w:r>
      <w:proofErr w:type="spellEnd"/>
      <w:r w:rsidRPr="00B1089D">
        <w:t xml:space="preserve">. </w:t>
      </w:r>
      <w:hyperlink r:id="rId366" w:history="1">
        <w:r w:rsidRPr="00B1089D">
          <w:rPr>
            <w:rStyle w:val="Kpr"/>
          </w:rPr>
          <w:t>https://doi.org/10.1017/CBO9780511817762</w:t>
        </w:r>
      </w:hyperlink>
    </w:p>
    <w:p w14:paraId="7105C662" w14:textId="77777777" w:rsidR="00FA457D" w:rsidRPr="00B1089D" w:rsidRDefault="00FA457D">
      <w:pPr>
        <w:pStyle w:val="ListeParagraf"/>
        <w:widowControl/>
        <w:numPr>
          <w:ilvl w:val="0"/>
          <w:numId w:val="62"/>
        </w:numPr>
      </w:pPr>
      <w:proofErr w:type="spellStart"/>
      <w:r w:rsidRPr="00E359E0">
        <w:rPr>
          <w:b/>
          <w:bCs/>
        </w:rPr>
        <w:t>Buzan</w:t>
      </w:r>
      <w:proofErr w:type="spellEnd"/>
      <w:r w:rsidRPr="00E359E0">
        <w:rPr>
          <w:b/>
          <w:bCs/>
        </w:rPr>
        <w:t xml:space="preserve"> B </w:t>
      </w:r>
      <w:proofErr w:type="spellStart"/>
      <w:r w:rsidRPr="00E359E0">
        <w:rPr>
          <w:b/>
          <w:bCs/>
        </w:rPr>
        <w:t>and</w:t>
      </w:r>
      <w:proofErr w:type="spellEnd"/>
      <w:r w:rsidRPr="00E359E0">
        <w:rPr>
          <w:b/>
          <w:bCs/>
        </w:rPr>
        <w:t xml:space="preserve"> </w:t>
      </w:r>
      <w:proofErr w:type="spellStart"/>
      <w:r w:rsidRPr="00E359E0">
        <w:rPr>
          <w:b/>
          <w:bCs/>
        </w:rPr>
        <w:t>Wæver</w:t>
      </w:r>
      <w:proofErr w:type="spellEnd"/>
      <w:r w:rsidRPr="00E359E0">
        <w:rPr>
          <w:b/>
          <w:bCs/>
        </w:rPr>
        <w:t xml:space="preserve"> O</w:t>
      </w:r>
      <w:r w:rsidRPr="00B1089D">
        <w:t xml:space="preserve"> (2003) </w:t>
      </w:r>
      <w:proofErr w:type="spellStart"/>
      <w:r w:rsidRPr="00B1089D">
        <w:t>Regions</w:t>
      </w:r>
      <w:proofErr w:type="spellEnd"/>
      <w:r w:rsidRPr="00B1089D">
        <w:t xml:space="preserve"> </w:t>
      </w:r>
      <w:proofErr w:type="spellStart"/>
      <w:r w:rsidRPr="00B1089D">
        <w:t>and</w:t>
      </w:r>
      <w:proofErr w:type="spellEnd"/>
      <w:r w:rsidRPr="00B1089D">
        <w:t xml:space="preserve"> Powers: </w:t>
      </w:r>
      <w:proofErr w:type="spellStart"/>
      <w:r w:rsidRPr="00B1089D">
        <w:t>The</w:t>
      </w:r>
      <w:proofErr w:type="spellEnd"/>
      <w:r w:rsidRPr="00B1089D">
        <w:t xml:space="preserve"> </w:t>
      </w:r>
      <w:proofErr w:type="spellStart"/>
      <w:r w:rsidRPr="00B1089D">
        <w:t>Structure</w:t>
      </w:r>
      <w:proofErr w:type="spellEnd"/>
      <w:r w:rsidRPr="00B1089D">
        <w:t xml:space="preserve"> of International Security. Cambridge: Cambridge </w:t>
      </w:r>
      <w:proofErr w:type="spellStart"/>
      <w:r w:rsidRPr="00B1089D">
        <w:t>University</w:t>
      </w:r>
      <w:proofErr w:type="spellEnd"/>
      <w:r w:rsidRPr="00B1089D">
        <w:t xml:space="preserve"> </w:t>
      </w:r>
      <w:proofErr w:type="spellStart"/>
      <w:r w:rsidRPr="00B1089D">
        <w:t>Press</w:t>
      </w:r>
      <w:proofErr w:type="spellEnd"/>
      <w:r w:rsidRPr="00B1089D">
        <w:t xml:space="preserve">. </w:t>
      </w:r>
      <w:hyperlink r:id="rId367" w:history="1">
        <w:r w:rsidRPr="00B1089D">
          <w:rPr>
            <w:rStyle w:val="Kpr"/>
          </w:rPr>
          <w:t>https://doi.org/10.1017/CBO9780511491252</w:t>
        </w:r>
      </w:hyperlink>
    </w:p>
    <w:p w14:paraId="059893EB" w14:textId="77777777" w:rsidR="00FA457D" w:rsidRPr="00B1089D" w:rsidRDefault="00FA457D">
      <w:pPr>
        <w:pStyle w:val="ListeParagraf"/>
        <w:widowControl/>
        <w:numPr>
          <w:ilvl w:val="0"/>
          <w:numId w:val="62"/>
        </w:numPr>
      </w:pPr>
      <w:proofErr w:type="spellStart"/>
      <w:r w:rsidRPr="00E359E0">
        <w:rPr>
          <w:b/>
          <w:bCs/>
        </w:rPr>
        <w:t>Buzan</w:t>
      </w:r>
      <w:proofErr w:type="spellEnd"/>
      <w:r w:rsidRPr="00E359E0">
        <w:rPr>
          <w:b/>
          <w:bCs/>
        </w:rPr>
        <w:t xml:space="preserve"> B</w:t>
      </w:r>
      <w:r w:rsidRPr="00B1089D">
        <w:t xml:space="preserve"> (1991) New </w:t>
      </w:r>
      <w:proofErr w:type="spellStart"/>
      <w:r w:rsidRPr="00B1089D">
        <w:t>Patterns</w:t>
      </w:r>
      <w:proofErr w:type="spellEnd"/>
      <w:r w:rsidRPr="00B1089D">
        <w:t xml:space="preserve"> of Global Security in </w:t>
      </w:r>
      <w:proofErr w:type="spellStart"/>
      <w:r w:rsidRPr="00B1089D">
        <w:t>the</w:t>
      </w:r>
      <w:proofErr w:type="spellEnd"/>
      <w:r w:rsidRPr="00B1089D">
        <w:t xml:space="preserve"> </w:t>
      </w:r>
      <w:proofErr w:type="spellStart"/>
      <w:r w:rsidRPr="00B1089D">
        <w:t>Twenty</w:t>
      </w:r>
      <w:proofErr w:type="spellEnd"/>
      <w:r w:rsidRPr="00B1089D">
        <w:t xml:space="preserve">-First Century. International </w:t>
      </w:r>
      <w:proofErr w:type="spellStart"/>
      <w:r w:rsidRPr="00B1089D">
        <w:t>Affairs</w:t>
      </w:r>
      <w:proofErr w:type="spellEnd"/>
      <w:r w:rsidRPr="00B1089D">
        <w:t xml:space="preserve">, 67(3), </w:t>
      </w:r>
      <w:proofErr w:type="spellStart"/>
      <w:r w:rsidRPr="00B1089D">
        <w:t>pp</w:t>
      </w:r>
      <w:proofErr w:type="spellEnd"/>
      <w:r w:rsidRPr="00B1089D">
        <w:t xml:space="preserve">. 431–451. </w:t>
      </w:r>
      <w:hyperlink r:id="rId368" w:history="1">
        <w:r w:rsidRPr="00B1089D">
          <w:rPr>
            <w:rStyle w:val="Kpr"/>
          </w:rPr>
          <w:t>https://doi.org/10.2307/2621945</w:t>
        </w:r>
      </w:hyperlink>
    </w:p>
    <w:p w14:paraId="496F4AA7" w14:textId="77777777" w:rsidR="00FA457D" w:rsidRPr="00B1089D" w:rsidRDefault="00FA457D">
      <w:pPr>
        <w:pStyle w:val="ListeParagraf"/>
        <w:widowControl/>
        <w:numPr>
          <w:ilvl w:val="0"/>
          <w:numId w:val="62"/>
        </w:numPr>
      </w:pPr>
      <w:proofErr w:type="spellStart"/>
      <w:r w:rsidRPr="00E359E0">
        <w:rPr>
          <w:b/>
          <w:bCs/>
        </w:rPr>
        <w:t>Buzan</w:t>
      </w:r>
      <w:proofErr w:type="spellEnd"/>
      <w:r w:rsidRPr="00E359E0">
        <w:rPr>
          <w:b/>
          <w:bCs/>
        </w:rPr>
        <w:t xml:space="preserve"> B</w:t>
      </w:r>
      <w:r w:rsidRPr="00B1089D">
        <w:t xml:space="preserve"> (2009) </w:t>
      </w:r>
      <w:proofErr w:type="spellStart"/>
      <w:r w:rsidRPr="00B1089D">
        <w:t>The</w:t>
      </w:r>
      <w:proofErr w:type="spellEnd"/>
      <w:r w:rsidRPr="00B1089D">
        <w:t xml:space="preserve"> English School </w:t>
      </w:r>
      <w:proofErr w:type="spellStart"/>
      <w:r w:rsidRPr="00B1089D">
        <w:t>and</w:t>
      </w:r>
      <w:proofErr w:type="spellEnd"/>
      <w:r w:rsidRPr="00B1089D">
        <w:t xml:space="preserve"> International Security. </w:t>
      </w: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Routledge</w:t>
      </w:r>
      <w:proofErr w:type="spellEnd"/>
      <w:r w:rsidRPr="00B1089D">
        <w:t xml:space="preserve"> </w:t>
      </w:r>
      <w:proofErr w:type="spellStart"/>
      <w:r w:rsidRPr="00B1089D">
        <w:t>Handbook</w:t>
      </w:r>
      <w:proofErr w:type="spellEnd"/>
      <w:r w:rsidRPr="00B1089D">
        <w:t xml:space="preserve"> of Security </w:t>
      </w:r>
      <w:proofErr w:type="spellStart"/>
      <w:r w:rsidRPr="00B1089D">
        <w:t>Studies</w:t>
      </w:r>
      <w:proofErr w:type="spellEnd"/>
      <w:r w:rsidRPr="00B1089D">
        <w:t xml:space="preserve">. New York: </w:t>
      </w:r>
      <w:proofErr w:type="spellStart"/>
      <w:r w:rsidRPr="00B1089D">
        <w:t>Routledge</w:t>
      </w:r>
      <w:proofErr w:type="spellEnd"/>
      <w:r w:rsidRPr="00B1089D">
        <w:t xml:space="preserve">, </w:t>
      </w:r>
      <w:proofErr w:type="spellStart"/>
      <w:r w:rsidRPr="00B1089D">
        <w:t>pp</w:t>
      </w:r>
      <w:proofErr w:type="spellEnd"/>
      <w:r w:rsidRPr="00B1089D">
        <w:t>. 34–44.</w:t>
      </w:r>
    </w:p>
    <w:p w14:paraId="4D8FCFEB" w14:textId="77777777" w:rsidR="00FA457D" w:rsidRPr="00B1089D" w:rsidRDefault="00FA457D">
      <w:pPr>
        <w:pStyle w:val="ListeParagraf"/>
        <w:widowControl/>
        <w:numPr>
          <w:ilvl w:val="0"/>
          <w:numId w:val="62"/>
        </w:numPr>
      </w:pPr>
      <w:proofErr w:type="spellStart"/>
      <w:r w:rsidRPr="00E359E0">
        <w:rPr>
          <w:b/>
          <w:bCs/>
        </w:rPr>
        <w:t>Buzan</w:t>
      </w:r>
      <w:proofErr w:type="spellEnd"/>
      <w:r w:rsidRPr="00E359E0">
        <w:rPr>
          <w:b/>
          <w:bCs/>
        </w:rPr>
        <w:t xml:space="preserve"> B</w:t>
      </w:r>
      <w:r w:rsidRPr="00B1089D">
        <w:t xml:space="preserve"> (2015) People, </w:t>
      </w:r>
      <w:proofErr w:type="spellStart"/>
      <w:r w:rsidRPr="00B1089D">
        <w:t>State</w:t>
      </w:r>
      <w:proofErr w:type="spellEnd"/>
      <w:r w:rsidRPr="00B1089D">
        <w:t xml:space="preserve"> </w:t>
      </w:r>
      <w:proofErr w:type="spellStart"/>
      <w:r w:rsidRPr="00B1089D">
        <w:t>and</w:t>
      </w:r>
      <w:proofErr w:type="spellEnd"/>
      <w:r w:rsidRPr="00B1089D">
        <w:t xml:space="preserve"> </w:t>
      </w:r>
      <w:proofErr w:type="spellStart"/>
      <w:proofErr w:type="gramStart"/>
      <w:r w:rsidRPr="00B1089D">
        <w:t>Fear</w:t>
      </w:r>
      <w:proofErr w:type="spellEnd"/>
      <w:r w:rsidRPr="00B1089D">
        <w:t xml:space="preserve"> -</w:t>
      </w:r>
      <w:proofErr w:type="gramEnd"/>
      <w:r w:rsidRPr="00B1089D">
        <w:t xml:space="preserve"> An </w:t>
      </w:r>
      <w:proofErr w:type="spellStart"/>
      <w:r w:rsidRPr="00B1089D">
        <w:t>Agenda</w:t>
      </w:r>
      <w:proofErr w:type="spellEnd"/>
      <w:r w:rsidRPr="00B1089D">
        <w:t xml:space="preserve"> </w:t>
      </w:r>
      <w:proofErr w:type="spellStart"/>
      <w:r w:rsidRPr="00B1089D">
        <w:t>for</w:t>
      </w:r>
      <w:proofErr w:type="spellEnd"/>
      <w:r w:rsidRPr="00B1089D">
        <w:t xml:space="preserve"> International Security </w:t>
      </w:r>
      <w:proofErr w:type="spellStart"/>
      <w:r w:rsidRPr="00B1089D">
        <w:t>Studies</w:t>
      </w:r>
      <w:proofErr w:type="spellEnd"/>
      <w:r w:rsidRPr="00B1089D">
        <w:t xml:space="preserve"> in </w:t>
      </w:r>
      <w:proofErr w:type="spellStart"/>
      <w:r w:rsidRPr="00B1089D">
        <w:t>the</w:t>
      </w:r>
      <w:proofErr w:type="spellEnd"/>
      <w:r w:rsidRPr="00B1089D">
        <w:t xml:space="preserve"> Post-</w:t>
      </w:r>
      <w:proofErr w:type="spellStart"/>
      <w:r w:rsidRPr="00B1089D">
        <w:t>Cold</w:t>
      </w:r>
      <w:proofErr w:type="spellEnd"/>
      <w:r w:rsidRPr="00B1089D">
        <w:t xml:space="preserve"> </w:t>
      </w:r>
      <w:proofErr w:type="spellStart"/>
      <w:r w:rsidRPr="00B1089D">
        <w:t>War</w:t>
      </w:r>
      <w:proofErr w:type="spellEnd"/>
      <w:r w:rsidRPr="00B1089D">
        <w:t xml:space="preserve"> </w:t>
      </w:r>
      <w:proofErr w:type="spellStart"/>
      <w:r w:rsidRPr="00B1089D">
        <w:t>Era</w:t>
      </w:r>
      <w:proofErr w:type="spellEnd"/>
      <w:r w:rsidRPr="00B1089D">
        <w:t xml:space="preserve">. </w:t>
      </w:r>
      <w:proofErr w:type="spellStart"/>
      <w:r w:rsidRPr="00B1089D">
        <w:t>Colchester</w:t>
      </w:r>
      <w:proofErr w:type="spellEnd"/>
      <w:r w:rsidRPr="00B1089D">
        <w:t xml:space="preserve">: ECPR </w:t>
      </w:r>
      <w:proofErr w:type="spellStart"/>
      <w:r w:rsidRPr="00B1089D">
        <w:t>Press</w:t>
      </w:r>
      <w:proofErr w:type="spellEnd"/>
      <w:r w:rsidRPr="00B1089D">
        <w:t>.</w:t>
      </w:r>
    </w:p>
    <w:p w14:paraId="21284FC0" w14:textId="77777777" w:rsidR="00FA457D" w:rsidRPr="00B1089D" w:rsidRDefault="00FA457D">
      <w:pPr>
        <w:pStyle w:val="ListeParagraf"/>
        <w:widowControl/>
        <w:numPr>
          <w:ilvl w:val="0"/>
          <w:numId w:val="62"/>
        </w:numPr>
      </w:pPr>
      <w:proofErr w:type="spellStart"/>
      <w:r w:rsidRPr="00E359E0">
        <w:rPr>
          <w:b/>
          <w:bCs/>
        </w:rPr>
        <w:t>Hausman</w:t>
      </w:r>
      <w:proofErr w:type="spellEnd"/>
      <w:r w:rsidRPr="00E359E0">
        <w:rPr>
          <w:b/>
          <w:bCs/>
        </w:rPr>
        <w:t xml:space="preserve"> J A</w:t>
      </w:r>
      <w:r w:rsidRPr="00B1089D">
        <w:t xml:space="preserve"> (1978) </w:t>
      </w:r>
      <w:proofErr w:type="spellStart"/>
      <w:r w:rsidRPr="00B1089D">
        <w:t>Specification</w:t>
      </w:r>
      <w:proofErr w:type="spellEnd"/>
      <w:r w:rsidRPr="00B1089D">
        <w:t xml:space="preserve"> </w:t>
      </w:r>
      <w:proofErr w:type="spellStart"/>
      <w:r w:rsidRPr="00B1089D">
        <w:t>Tests</w:t>
      </w:r>
      <w:proofErr w:type="spellEnd"/>
      <w:r w:rsidRPr="00B1089D">
        <w:t xml:space="preserve"> in </w:t>
      </w:r>
      <w:proofErr w:type="spellStart"/>
      <w:r w:rsidRPr="00B1089D">
        <w:t>Econometrics</w:t>
      </w:r>
      <w:proofErr w:type="spellEnd"/>
      <w:r w:rsidRPr="00B1089D">
        <w:t xml:space="preserve">. </w:t>
      </w:r>
      <w:proofErr w:type="spellStart"/>
      <w:r w:rsidRPr="00B1089D">
        <w:t>Econometrica</w:t>
      </w:r>
      <w:proofErr w:type="spellEnd"/>
      <w:r w:rsidRPr="00B1089D">
        <w:t xml:space="preserve">, 38, </w:t>
      </w:r>
      <w:proofErr w:type="spellStart"/>
      <w:r w:rsidRPr="00B1089D">
        <w:t>pp</w:t>
      </w:r>
      <w:proofErr w:type="spellEnd"/>
      <w:r w:rsidRPr="00B1089D">
        <w:t xml:space="preserve">. 1251–1271. </w:t>
      </w:r>
      <w:hyperlink r:id="rId369" w:history="1">
        <w:r w:rsidRPr="00B1089D">
          <w:rPr>
            <w:rStyle w:val="Kpr"/>
          </w:rPr>
          <w:t>https://doi.org/10.2307/1913827</w:t>
        </w:r>
      </w:hyperlink>
    </w:p>
    <w:p w14:paraId="22884960" w14:textId="77777777" w:rsidR="00FA457D" w:rsidRPr="00B1089D" w:rsidRDefault="00FA457D">
      <w:pPr>
        <w:pStyle w:val="ListeParagraf"/>
        <w:widowControl/>
        <w:numPr>
          <w:ilvl w:val="0"/>
          <w:numId w:val="62"/>
        </w:numPr>
      </w:pPr>
      <w:r w:rsidRPr="00E359E0">
        <w:rPr>
          <w:b/>
          <w:bCs/>
        </w:rPr>
        <w:t xml:space="preserve">Kaufmann D, </w:t>
      </w:r>
      <w:proofErr w:type="spellStart"/>
      <w:r w:rsidRPr="00E359E0">
        <w:rPr>
          <w:b/>
          <w:bCs/>
        </w:rPr>
        <w:t>Kraay</w:t>
      </w:r>
      <w:proofErr w:type="spellEnd"/>
      <w:r w:rsidRPr="00E359E0">
        <w:rPr>
          <w:b/>
          <w:bCs/>
        </w:rPr>
        <w:t xml:space="preserve"> A </w:t>
      </w:r>
      <w:proofErr w:type="spellStart"/>
      <w:r w:rsidRPr="00E359E0">
        <w:rPr>
          <w:b/>
          <w:bCs/>
        </w:rPr>
        <w:t>and</w:t>
      </w:r>
      <w:proofErr w:type="spellEnd"/>
      <w:r w:rsidRPr="00E359E0">
        <w:rPr>
          <w:b/>
          <w:bCs/>
        </w:rPr>
        <w:t xml:space="preserve"> </w:t>
      </w:r>
      <w:proofErr w:type="spellStart"/>
      <w:r w:rsidRPr="00E359E0">
        <w:rPr>
          <w:b/>
          <w:bCs/>
        </w:rPr>
        <w:t>Mastruzzi</w:t>
      </w:r>
      <w:proofErr w:type="spellEnd"/>
      <w:r w:rsidRPr="00E359E0">
        <w:rPr>
          <w:b/>
          <w:bCs/>
        </w:rPr>
        <w:t xml:space="preserve"> M</w:t>
      </w:r>
      <w:r w:rsidRPr="00B1089D">
        <w:t xml:space="preserve"> (2010) </w:t>
      </w:r>
      <w:proofErr w:type="spellStart"/>
      <w:r w:rsidRPr="00B1089D">
        <w:t>The</w:t>
      </w:r>
      <w:proofErr w:type="spellEnd"/>
      <w:r w:rsidRPr="00B1089D">
        <w:t xml:space="preserve"> </w:t>
      </w:r>
      <w:proofErr w:type="spellStart"/>
      <w:r w:rsidRPr="00B1089D">
        <w:t>Worldwide</w:t>
      </w:r>
      <w:proofErr w:type="spellEnd"/>
      <w:r w:rsidRPr="00B1089D">
        <w:t xml:space="preserve"> </w:t>
      </w:r>
      <w:proofErr w:type="spellStart"/>
      <w:r w:rsidRPr="00B1089D">
        <w:t>Governance</w:t>
      </w:r>
      <w:proofErr w:type="spellEnd"/>
      <w:r w:rsidRPr="00B1089D">
        <w:t xml:space="preserve"> </w:t>
      </w:r>
      <w:proofErr w:type="spellStart"/>
      <w:r w:rsidRPr="00B1089D">
        <w:t>Indicators</w:t>
      </w:r>
      <w:proofErr w:type="spellEnd"/>
      <w:r w:rsidRPr="00B1089D">
        <w:t xml:space="preserve">: </w:t>
      </w:r>
      <w:proofErr w:type="spellStart"/>
      <w:r w:rsidRPr="00B1089D">
        <w:t>Methodology</w:t>
      </w:r>
      <w:proofErr w:type="spellEnd"/>
      <w:r w:rsidRPr="00B1089D">
        <w:t xml:space="preserve"> </w:t>
      </w:r>
      <w:proofErr w:type="spellStart"/>
      <w:r w:rsidRPr="00B1089D">
        <w:t>and</w:t>
      </w:r>
      <w:proofErr w:type="spellEnd"/>
      <w:r w:rsidRPr="00B1089D">
        <w:t xml:space="preserve"> </w:t>
      </w:r>
      <w:proofErr w:type="spellStart"/>
      <w:r w:rsidRPr="00B1089D">
        <w:t>Analytical</w:t>
      </w:r>
      <w:proofErr w:type="spellEnd"/>
      <w:r w:rsidRPr="00B1089D">
        <w:t xml:space="preserve"> </w:t>
      </w:r>
      <w:proofErr w:type="spellStart"/>
      <w:r w:rsidRPr="00B1089D">
        <w:t>Issues</w:t>
      </w:r>
      <w:proofErr w:type="spellEnd"/>
      <w:r w:rsidRPr="00B1089D">
        <w:t xml:space="preserve">, World Bank </w:t>
      </w:r>
      <w:proofErr w:type="spellStart"/>
      <w:r w:rsidRPr="00B1089D">
        <w:t>Policy</w:t>
      </w:r>
      <w:proofErr w:type="spellEnd"/>
      <w:r w:rsidRPr="00B1089D">
        <w:t xml:space="preserve"> </w:t>
      </w:r>
      <w:proofErr w:type="spellStart"/>
      <w:r w:rsidRPr="00B1089D">
        <w:t>Research</w:t>
      </w:r>
      <w:proofErr w:type="spellEnd"/>
      <w:r w:rsidRPr="00B1089D">
        <w:t xml:space="preserve"> </w:t>
      </w:r>
      <w:proofErr w:type="spellStart"/>
      <w:r w:rsidRPr="00B1089D">
        <w:t>Working</w:t>
      </w:r>
      <w:proofErr w:type="spellEnd"/>
      <w:r w:rsidRPr="00B1089D">
        <w:t xml:space="preserve"> </w:t>
      </w:r>
      <w:proofErr w:type="spellStart"/>
      <w:r w:rsidRPr="00B1089D">
        <w:t>Paper</w:t>
      </w:r>
      <w:proofErr w:type="spellEnd"/>
      <w:r w:rsidRPr="00B1089D">
        <w:t xml:space="preserve"> No. 5430.</w:t>
      </w:r>
    </w:p>
    <w:p w14:paraId="6173AC6F" w14:textId="77777777" w:rsidR="00FA457D" w:rsidRPr="00B1089D" w:rsidRDefault="00FA457D">
      <w:pPr>
        <w:pStyle w:val="ListeParagraf"/>
        <w:widowControl/>
        <w:numPr>
          <w:ilvl w:val="0"/>
          <w:numId w:val="62"/>
        </w:numPr>
      </w:pPr>
      <w:proofErr w:type="spellStart"/>
      <w:r w:rsidRPr="00E359E0">
        <w:rPr>
          <w:b/>
          <w:bCs/>
        </w:rPr>
        <w:t>Kraipornsak</w:t>
      </w:r>
      <w:proofErr w:type="spellEnd"/>
      <w:r w:rsidRPr="00E359E0">
        <w:rPr>
          <w:b/>
          <w:bCs/>
        </w:rPr>
        <w:t xml:space="preserve"> P </w:t>
      </w:r>
      <w:r w:rsidRPr="00B1089D">
        <w:t xml:space="preserve">(2018) </w:t>
      </w:r>
      <w:proofErr w:type="spellStart"/>
      <w:r w:rsidRPr="00B1089D">
        <w:t>Good</w:t>
      </w:r>
      <w:proofErr w:type="spellEnd"/>
      <w:r w:rsidRPr="00B1089D">
        <w:t xml:space="preserve"> </w:t>
      </w:r>
      <w:proofErr w:type="spellStart"/>
      <w:r w:rsidRPr="00B1089D">
        <w:t>Governance</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An </w:t>
      </w:r>
      <w:proofErr w:type="spellStart"/>
      <w:r w:rsidRPr="00B1089D">
        <w:t>Investigation</w:t>
      </w:r>
      <w:proofErr w:type="spellEnd"/>
      <w:r w:rsidRPr="00B1089D">
        <w:t xml:space="preserve"> of </w:t>
      </w:r>
      <w:proofErr w:type="spellStart"/>
      <w:r w:rsidRPr="00B1089D">
        <w:t>Thailand</w:t>
      </w:r>
      <w:proofErr w:type="spellEnd"/>
      <w:r w:rsidRPr="00B1089D">
        <w:t xml:space="preserve"> </w:t>
      </w:r>
      <w:proofErr w:type="spellStart"/>
      <w:r w:rsidRPr="00B1089D">
        <w:t>and</w:t>
      </w:r>
      <w:proofErr w:type="spellEnd"/>
      <w:r w:rsidRPr="00B1089D">
        <w:t xml:space="preserve"> </w:t>
      </w:r>
      <w:proofErr w:type="spellStart"/>
      <w:r w:rsidRPr="00B1089D">
        <w:t>Selected</w:t>
      </w:r>
      <w:proofErr w:type="spellEnd"/>
      <w:r w:rsidRPr="00B1089D">
        <w:t xml:space="preserve"> </w:t>
      </w:r>
      <w:proofErr w:type="spellStart"/>
      <w:r w:rsidRPr="00B1089D">
        <w:t>Asian</w:t>
      </w:r>
      <w:proofErr w:type="spellEnd"/>
      <w:r w:rsidRPr="00B1089D">
        <w:t xml:space="preserve"> </w:t>
      </w:r>
      <w:proofErr w:type="spellStart"/>
      <w:r w:rsidRPr="00B1089D">
        <w:t>Countries</w:t>
      </w:r>
      <w:proofErr w:type="spellEnd"/>
      <w:r w:rsidRPr="00B1089D">
        <w:t xml:space="preserve">. </w:t>
      </w:r>
      <w:proofErr w:type="spellStart"/>
      <w:r w:rsidRPr="00E359E0">
        <w:rPr>
          <w:i/>
          <w:iCs/>
        </w:rPr>
        <w:t>Eurasian</w:t>
      </w:r>
      <w:proofErr w:type="spellEnd"/>
      <w:r w:rsidRPr="00E359E0">
        <w:rPr>
          <w:i/>
          <w:iCs/>
        </w:rPr>
        <w:t xml:space="preserve"> </w:t>
      </w:r>
      <w:proofErr w:type="spellStart"/>
      <w:r w:rsidRPr="00E359E0">
        <w:rPr>
          <w:i/>
          <w:iCs/>
        </w:rPr>
        <w:t>Journal</w:t>
      </w:r>
      <w:proofErr w:type="spellEnd"/>
      <w:r w:rsidRPr="00E359E0">
        <w:rPr>
          <w:i/>
          <w:iCs/>
        </w:rPr>
        <w:t xml:space="preserve"> of </w:t>
      </w:r>
      <w:proofErr w:type="spellStart"/>
      <w:r w:rsidRPr="00E359E0">
        <w:rPr>
          <w:i/>
          <w:iCs/>
        </w:rPr>
        <w:t>Economics</w:t>
      </w:r>
      <w:proofErr w:type="spellEnd"/>
      <w:r w:rsidRPr="00E359E0">
        <w:rPr>
          <w:i/>
          <w:iCs/>
        </w:rPr>
        <w:t xml:space="preserve"> </w:t>
      </w:r>
      <w:proofErr w:type="spellStart"/>
      <w:r w:rsidRPr="00E359E0">
        <w:rPr>
          <w:i/>
          <w:iCs/>
        </w:rPr>
        <w:t>and</w:t>
      </w:r>
      <w:proofErr w:type="spellEnd"/>
      <w:r w:rsidRPr="00E359E0">
        <w:rPr>
          <w:i/>
          <w:iCs/>
        </w:rPr>
        <w:t xml:space="preserve"> Finance, 6</w:t>
      </w:r>
      <w:r w:rsidRPr="00B1089D">
        <w:t xml:space="preserve">(1), 93-106. </w:t>
      </w:r>
      <w:hyperlink r:id="rId370" w:history="1">
        <w:r w:rsidRPr="00B1089D">
          <w:rPr>
            <w:rStyle w:val="Kpr"/>
          </w:rPr>
          <w:t>https://doi.org/10.15604/ejef.2018.06.01.009</w:t>
        </w:r>
      </w:hyperlink>
    </w:p>
    <w:p w14:paraId="2DAAFFE2" w14:textId="77777777" w:rsidR="00FA457D" w:rsidRPr="00B1089D" w:rsidRDefault="00FA457D">
      <w:pPr>
        <w:pStyle w:val="ListeParagraf"/>
        <w:widowControl/>
        <w:numPr>
          <w:ilvl w:val="0"/>
          <w:numId w:val="62"/>
        </w:numPr>
      </w:pPr>
      <w:proofErr w:type="spellStart"/>
      <w:r w:rsidRPr="00E359E0">
        <w:rPr>
          <w:b/>
          <w:bCs/>
        </w:rPr>
        <w:t>Nedić</w:t>
      </w:r>
      <w:proofErr w:type="spellEnd"/>
      <w:r w:rsidRPr="00E359E0">
        <w:rPr>
          <w:b/>
          <w:bCs/>
        </w:rPr>
        <w:t xml:space="preserve"> V, </w:t>
      </w:r>
      <w:proofErr w:type="spellStart"/>
      <w:r w:rsidRPr="00E359E0">
        <w:rPr>
          <w:b/>
          <w:bCs/>
        </w:rPr>
        <w:t>Despotović</w:t>
      </w:r>
      <w:proofErr w:type="spellEnd"/>
      <w:r w:rsidRPr="00E359E0">
        <w:rPr>
          <w:b/>
          <w:bCs/>
        </w:rPr>
        <w:t xml:space="preserve"> D, </w:t>
      </w:r>
      <w:proofErr w:type="spellStart"/>
      <w:r w:rsidRPr="00E359E0">
        <w:rPr>
          <w:b/>
          <w:bCs/>
        </w:rPr>
        <w:t>Svetanovic</w:t>
      </w:r>
      <w:proofErr w:type="spellEnd"/>
      <w:r w:rsidRPr="00E359E0">
        <w:rPr>
          <w:b/>
          <w:bCs/>
        </w:rPr>
        <w:t xml:space="preserve"> S, </w:t>
      </w:r>
      <w:proofErr w:type="spellStart"/>
      <w:r w:rsidRPr="00E359E0">
        <w:rPr>
          <w:b/>
          <w:bCs/>
        </w:rPr>
        <w:t>Djukić</w:t>
      </w:r>
      <w:proofErr w:type="spellEnd"/>
      <w:r w:rsidRPr="00E359E0">
        <w:rPr>
          <w:b/>
          <w:bCs/>
        </w:rPr>
        <w:t xml:space="preserve"> T </w:t>
      </w:r>
      <w:proofErr w:type="spellStart"/>
      <w:r w:rsidRPr="00E359E0">
        <w:rPr>
          <w:b/>
          <w:bCs/>
        </w:rPr>
        <w:t>and</w:t>
      </w:r>
      <w:proofErr w:type="spellEnd"/>
      <w:r w:rsidRPr="00E359E0">
        <w:rPr>
          <w:b/>
          <w:bCs/>
        </w:rPr>
        <w:t xml:space="preserve"> </w:t>
      </w:r>
      <w:proofErr w:type="spellStart"/>
      <w:r w:rsidRPr="00E359E0">
        <w:rPr>
          <w:b/>
          <w:bCs/>
        </w:rPr>
        <w:t>Petrović</w:t>
      </w:r>
      <w:proofErr w:type="spellEnd"/>
      <w:r w:rsidRPr="00E359E0">
        <w:rPr>
          <w:b/>
          <w:bCs/>
        </w:rPr>
        <w:t xml:space="preserve"> D</w:t>
      </w:r>
      <w:r w:rsidRPr="00B1089D">
        <w:t xml:space="preserve"> (2020) </w:t>
      </w:r>
      <w:proofErr w:type="spellStart"/>
      <w:r w:rsidRPr="00B1089D">
        <w:t>Institutional</w:t>
      </w:r>
      <w:proofErr w:type="spellEnd"/>
      <w:r w:rsidRPr="00B1089D">
        <w:t xml:space="preserve"> </w:t>
      </w:r>
      <w:proofErr w:type="spellStart"/>
      <w:r w:rsidRPr="00B1089D">
        <w:t>Reforms</w:t>
      </w:r>
      <w:proofErr w:type="spellEnd"/>
      <w:r w:rsidRPr="00B1089D">
        <w:t xml:space="preserve"> </w:t>
      </w:r>
      <w:proofErr w:type="spellStart"/>
      <w:r w:rsidRPr="00B1089D">
        <w:t>for</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in </w:t>
      </w:r>
      <w:proofErr w:type="spellStart"/>
      <w:r w:rsidRPr="00B1089D">
        <w:t>the</w:t>
      </w:r>
      <w:proofErr w:type="spellEnd"/>
      <w:r w:rsidRPr="00B1089D">
        <w:t xml:space="preserve"> Western Balkan </w:t>
      </w:r>
      <w:proofErr w:type="spellStart"/>
      <w:r w:rsidRPr="00B1089D">
        <w:t>Countries</w:t>
      </w:r>
      <w:proofErr w:type="spellEnd"/>
      <w:r w:rsidRPr="00B1089D">
        <w:t xml:space="preserve">. </w:t>
      </w:r>
      <w:proofErr w:type="spellStart"/>
      <w:r w:rsidRPr="00E359E0">
        <w:rPr>
          <w:i/>
          <w:iCs/>
        </w:rPr>
        <w:t>Journal</w:t>
      </w:r>
      <w:proofErr w:type="spellEnd"/>
      <w:r w:rsidRPr="00E359E0">
        <w:rPr>
          <w:i/>
          <w:iCs/>
        </w:rPr>
        <w:t xml:space="preserve"> of </w:t>
      </w:r>
      <w:proofErr w:type="spellStart"/>
      <w:r w:rsidRPr="00E359E0">
        <w:rPr>
          <w:i/>
          <w:iCs/>
        </w:rPr>
        <w:t>Policy</w:t>
      </w:r>
      <w:proofErr w:type="spellEnd"/>
      <w:r w:rsidRPr="00E359E0">
        <w:rPr>
          <w:i/>
          <w:iCs/>
        </w:rPr>
        <w:t xml:space="preserve"> </w:t>
      </w:r>
      <w:proofErr w:type="spellStart"/>
      <w:r w:rsidRPr="00E359E0">
        <w:rPr>
          <w:i/>
          <w:iCs/>
        </w:rPr>
        <w:t>Modelling</w:t>
      </w:r>
      <w:proofErr w:type="spellEnd"/>
      <w:r w:rsidRPr="00B1089D">
        <w:t xml:space="preserve">, 42(5), 933-952 </w:t>
      </w:r>
      <w:hyperlink r:id="rId371" w:history="1">
        <w:r w:rsidRPr="00B1089D">
          <w:rPr>
            <w:rStyle w:val="Kpr"/>
          </w:rPr>
          <w:t>https://doi.org/10.1016/j.jpolmod.2020.04.002</w:t>
        </w:r>
      </w:hyperlink>
    </w:p>
    <w:p w14:paraId="1427479D" w14:textId="77777777" w:rsidR="00FA457D" w:rsidRPr="00B1089D" w:rsidRDefault="00FA457D">
      <w:pPr>
        <w:pStyle w:val="ListeParagraf"/>
        <w:widowControl/>
        <w:numPr>
          <w:ilvl w:val="0"/>
          <w:numId w:val="62"/>
        </w:numPr>
      </w:pPr>
      <w:r w:rsidRPr="00E359E0">
        <w:rPr>
          <w:b/>
          <w:bCs/>
        </w:rPr>
        <w:t xml:space="preserve">Sen K </w:t>
      </w:r>
      <w:r w:rsidRPr="00B1089D">
        <w:t xml:space="preserve">(2014) </w:t>
      </w:r>
      <w:proofErr w:type="spellStart"/>
      <w:r w:rsidRPr="00B1089D">
        <w:t>Governance</w:t>
      </w:r>
      <w:proofErr w:type="spellEnd"/>
      <w:r w:rsidRPr="00B1089D">
        <w:t xml:space="preserve"> </w:t>
      </w:r>
      <w:proofErr w:type="spellStart"/>
      <w:r w:rsidRPr="00B1089D">
        <w:t>and</w:t>
      </w:r>
      <w:proofErr w:type="spellEnd"/>
      <w:r w:rsidRPr="00B1089D">
        <w:t xml:space="preserve"> Development </w:t>
      </w:r>
      <w:proofErr w:type="spellStart"/>
      <w:r w:rsidRPr="00B1089D">
        <w:t>Outcomes</w:t>
      </w:r>
      <w:proofErr w:type="spellEnd"/>
      <w:r w:rsidRPr="00B1089D">
        <w:t xml:space="preserve"> in </w:t>
      </w:r>
      <w:proofErr w:type="spellStart"/>
      <w:r w:rsidRPr="00B1089D">
        <w:t>Asia</w:t>
      </w:r>
      <w:proofErr w:type="spellEnd"/>
      <w:r w:rsidRPr="00B1089D">
        <w:t xml:space="preserve">. </w:t>
      </w:r>
      <w:proofErr w:type="spellStart"/>
      <w:r w:rsidRPr="00B1089D">
        <w:t>In</w:t>
      </w:r>
      <w:proofErr w:type="spellEnd"/>
      <w:r w:rsidRPr="00B1089D">
        <w:t xml:space="preserve"> </w:t>
      </w:r>
      <w:proofErr w:type="spellStart"/>
      <w:r w:rsidRPr="00E359E0">
        <w:rPr>
          <w:i/>
          <w:iCs/>
        </w:rPr>
        <w:t>Governance</w:t>
      </w:r>
      <w:proofErr w:type="spellEnd"/>
      <w:r w:rsidRPr="00E359E0">
        <w:rPr>
          <w:i/>
          <w:iCs/>
        </w:rPr>
        <w:t xml:space="preserve"> in </w:t>
      </w:r>
      <w:proofErr w:type="spellStart"/>
      <w:r w:rsidRPr="00E359E0">
        <w:rPr>
          <w:i/>
          <w:iCs/>
        </w:rPr>
        <w:t>Developing</w:t>
      </w:r>
      <w:proofErr w:type="spellEnd"/>
      <w:r w:rsidRPr="00E359E0">
        <w:rPr>
          <w:i/>
          <w:iCs/>
        </w:rPr>
        <w:t xml:space="preserve"> </w:t>
      </w:r>
      <w:proofErr w:type="spellStart"/>
      <w:r w:rsidRPr="00E359E0">
        <w:rPr>
          <w:i/>
          <w:iCs/>
        </w:rPr>
        <w:t>Asia</w:t>
      </w:r>
      <w:proofErr w:type="spellEnd"/>
      <w:r w:rsidRPr="00B1089D">
        <w:t xml:space="preserve">. Edward </w:t>
      </w:r>
      <w:proofErr w:type="spellStart"/>
      <w:r w:rsidRPr="00B1089D">
        <w:t>Elgar</w:t>
      </w:r>
      <w:proofErr w:type="spellEnd"/>
      <w:r w:rsidRPr="00B1089D">
        <w:t xml:space="preserve"> Publishing. </w:t>
      </w:r>
      <w:r w:rsidRPr="00B1089D">
        <w:br/>
      </w:r>
      <w:hyperlink r:id="rId372" w:history="1">
        <w:r w:rsidRPr="00B1089D">
          <w:rPr>
            <w:rStyle w:val="Kpr"/>
          </w:rPr>
          <w:t>http://hdl.handle.net/11540/4229</w:t>
        </w:r>
      </w:hyperlink>
    </w:p>
    <w:p w14:paraId="41F30297" w14:textId="77777777" w:rsidR="00FA457D" w:rsidRPr="00B1089D" w:rsidRDefault="00FA457D">
      <w:pPr>
        <w:pStyle w:val="ListeParagraf"/>
        <w:widowControl/>
        <w:numPr>
          <w:ilvl w:val="0"/>
          <w:numId w:val="62"/>
        </w:numPr>
      </w:pPr>
      <w:proofErr w:type="spellStart"/>
      <w:r w:rsidRPr="00E359E0">
        <w:rPr>
          <w:b/>
          <w:bCs/>
        </w:rPr>
        <w:t>Siddiqui</w:t>
      </w:r>
      <w:proofErr w:type="spellEnd"/>
      <w:r w:rsidRPr="00E359E0">
        <w:rPr>
          <w:b/>
          <w:bCs/>
        </w:rPr>
        <w:t xml:space="preserve"> D </w:t>
      </w:r>
      <w:proofErr w:type="spellStart"/>
      <w:r w:rsidRPr="00E359E0">
        <w:rPr>
          <w:b/>
          <w:bCs/>
        </w:rPr>
        <w:t>and</w:t>
      </w:r>
      <w:proofErr w:type="spellEnd"/>
      <w:r w:rsidRPr="00E359E0">
        <w:rPr>
          <w:b/>
          <w:bCs/>
        </w:rPr>
        <w:t xml:space="preserve"> Ahmed Q</w:t>
      </w:r>
      <w:r w:rsidRPr="00B1089D">
        <w:t xml:space="preserve"> (2009) </w:t>
      </w:r>
      <w:proofErr w:type="spellStart"/>
      <w:r w:rsidRPr="00B1089D">
        <w:t>Institutions</w:t>
      </w:r>
      <w:proofErr w:type="spellEnd"/>
      <w:r w:rsidRPr="00B1089D">
        <w:t xml:space="preserve"> </w:t>
      </w:r>
      <w:proofErr w:type="spellStart"/>
      <w:r w:rsidRPr="00B1089D">
        <w:t>and</w:t>
      </w:r>
      <w:proofErr w:type="spellEnd"/>
      <w:r w:rsidRPr="00B1089D">
        <w:t xml:space="preserve"> </w:t>
      </w:r>
      <w:proofErr w:type="spellStart"/>
      <w:r w:rsidRPr="00B1089D">
        <w:t>Economic</w:t>
      </w:r>
      <w:proofErr w:type="spellEnd"/>
      <w:r w:rsidRPr="00B1089D">
        <w:t xml:space="preserve"> </w:t>
      </w:r>
      <w:proofErr w:type="spellStart"/>
      <w:r w:rsidRPr="00B1089D">
        <w:t>Growth</w:t>
      </w:r>
      <w:proofErr w:type="spellEnd"/>
      <w:r w:rsidRPr="00B1089D">
        <w:t xml:space="preserve">: A Cross Country </w:t>
      </w:r>
      <w:proofErr w:type="spellStart"/>
      <w:r w:rsidRPr="00B1089D">
        <w:t>Evidence</w:t>
      </w:r>
      <w:proofErr w:type="spellEnd"/>
      <w:r w:rsidRPr="00B1089D">
        <w:t xml:space="preserve">. </w:t>
      </w:r>
      <w:r w:rsidRPr="00E359E0">
        <w:rPr>
          <w:i/>
          <w:iCs/>
        </w:rPr>
        <w:t>MPRA</w:t>
      </w:r>
      <w:r w:rsidRPr="00B1089D">
        <w:t xml:space="preserve">. </w:t>
      </w:r>
      <w:proofErr w:type="spellStart"/>
      <w:r w:rsidRPr="00B1089D">
        <w:t>January</w:t>
      </w:r>
      <w:proofErr w:type="spellEnd"/>
      <w:r w:rsidRPr="00B1089D">
        <w:t xml:space="preserve"> 8, 2010. </w:t>
      </w:r>
      <w:proofErr w:type="spellStart"/>
      <w:r w:rsidRPr="00B1089D">
        <w:t>Retrieved</w:t>
      </w:r>
      <w:proofErr w:type="spellEnd"/>
      <w:r w:rsidRPr="00B1089D">
        <w:t xml:space="preserve"> </w:t>
      </w:r>
      <w:proofErr w:type="spellStart"/>
      <w:r w:rsidRPr="00B1089D">
        <w:t>from</w:t>
      </w:r>
      <w:proofErr w:type="spellEnd"/>
      <w:r w:rsidRPr="00B1089D">
        <w:t xml:space="preserve">: </w:t>
      </w:r>
      <w:hyperlink r:id="rId373" w:history="1">
        <w:r w:rsidRPr="00B1089D">
          <w:rPr>
            <w:rStyle w:val="Kpr"/>
          </w:rPr>
          <w:t>https://mpra.ub.uni-muenchen.de/19747/</w:t>
        </w:r>
      </w:hyperlink>
    </w:p>
    <w:p w14:paraId="22B7294F" w14:textId="77777777" w:rsidR="00FA457D" w:rsidRPr="00B1089D" w:rsidRDefault="00FA457D">
      <w:pPr>
        <w:pStyle w:val="ListeParagraf"/>
        <w:widowControl/>
        <w:numPr>
          <w:ilvl w:val="0"/>
          <w:numId w:val="62"/>
        </w:numPr>
      </w:pPr>
      <w:r w:rsidRPr="00E359E0">
        <w:rPr>
          <w:b/>
          <w:bCs/>
        </w:rPr>
        <w:t>Simon D</w:t>
      </w:r>
      <w:r w:rsidRPr="00B1089D">
        <w:t xml:space="preserve"> (1997) </w:t>
      </w:r>
      <w:proofErr w:type="spellStart"/>
      <w:r w:rsidRPr="00B1089D">
        <w:t>Contesting</w:t>
      </w:r>
      <w:proofErr w:type="spellEnd"/>
      <w:r w:rsidRPr="00B1089D">
        <w:t xml:space="preserve"> an </w:t>
      </w:r>
      <w:proofErr w:type="spellStart"/>
      <w:r w:rsidRPr="00B1089D">
        <w:t>Essential</w:t>
      </w:r>
      <w:proofErr w:type="spellEnd"/>
      <w:r w:rsidRPr="00B1089D">
        <w:t xml:space="preserve"> </w:t>
      </w:r>
      <w:proofErr w:type="spellStart"/>
      <w:r w:rsidRPr="00B1089D">
        <w:t>Concept</w:t>
      </w:r>
      <w:proofErr w:type="spellEnd"/>
      <w:r w:rsidRPr="00B1089D">
        <w:t xml:space="preserve">: Reading </w:t>
      </w:r>
      <w:proofErr w:type="spellStart"/>
      <w:r w:rsidRPr="00B1089D">
        <w:t>Dilemmas</w:t>
      </w:r>
      <w:proofErr w:type="spellEnd"/>
      <w:r w:rsidRPr="00B1089D">
        <w:t xml:space="preserve"> in </w:t>
      </w:r>
      <w:proofErr w:type="spellStart"/>
      <w:r w:rsidRPr="00B1089D">
        <w:t>Contemporary</w:t>
      </w:r>
      <w:proofErr w:type="spellEnd"/>
      <w:r w:rsidRPr="00B1089D">
        <w:t xml:space="preserve"> Security </w:t>
      </w:r>
      <w:proofErr w:type="spellStart"/>
      <w:r w:rsidRPr="00B1089D">
        <w:t>Discourse</w:t>
      </w:r>
      <w:proofErr w:type="spellEnd"/>
      <w:r w:rsidRPr="00B1089D">
        <w:t xml:space="preserve">. Keith </w:t>
      </w:r>
      <w:proofErr w:type="spellStart"/>
      <w:r w:rsidRPr="00B1089D">
        <w:t>Krause</w:t>
      </w:r>
      <w:proofErr w:type="spellEnd"/>
      <w:r w:rsidRPr="00B1089D">
        <w:t xml:space="preserve"> </w:t>
      </w:r>
      <w:proofErr w:type="spellStart"/>
      <w:r w:rsidRPr="00B1089D">
        <w:t>and</w:t>
      </w:r>
      <w:proofErr w:type="spellEnd"/>
      <w:r w:rsidRPr="00B1089D">
        <w:t xml:space="preserve"> Michael C. Williams (</w:t>
      </w:r>
      <w:proofErr w:type="spellStart"/>
      <w:r w:rsidRPr="00B1089D">
        <w:t>Eds</w:t>
      </w:r>
      <w:proofErr w:type="spellEnd"/>
      <w:r w:rsidRPr="00B1089D">
        <w:t xml:space="preserve">.). Critical Security </w:t>
      </w:r>
      <w:proofErr w:type="spellStart"/>
      <w:r w:rsidRPr="00B1089D">
        <w:t>Studies</w:t>
      </w:r>
      <w:proofErr w:type="spellEnd"/>
      <w:r w:rsidRPr="00B1089D">
        <w:t xml:space="preserve">, Minnesota: </w:t>
      </w:r>
      <w:proofErr w:type="spellStart"/>
      <w:r w:rsidRPr="00B1089D">
        <w:t>University</w:t>
      </w:r>
      <w:proofErr w:type="spellEnd"/>
      <w:r w:rsidRPr="00B1089D">
        <w:t xml:space="preserve"> of Minnesota </w:t>
      </w:r>
      <w:proofErr w:type="spellStart"/>
      <w:r w:rsidRPr="00B1089D">
        <w:t>Press</w:t>
      </w:r>
      <w:proofErr w:type="spellEnd"/>
      <w:r w:rsidRPr="00B1089D">
        <w:t xml:space="preserve">, </w:t>
      </w:r>
      <w:proofErr w:type="spellStart"/>
      <w:r w:rsidRPr="00B1089D">
        <w:t>pp</w:t>
      </w:r>
      <w:proofErr w:type="spellEnd"/>
      <w:r w:rsidRPr="00B1089D">
        <w:t xml:space="preserve">. 3-32. </w:t>
      </w:r>
      <w:hyperlink r:id="rId374" w:history="1">
        <w:r w:rsidRPr="00B1089D">
          <w:rPr>
            <w:rStyle w:val="Kpr"/>
          </w:rPr>
          <w:t>https://doi.org/10.4324/9780203501764</w:t>
        </w:r>
      </w:hyperlink>
    </w:p>
    <w:p w14:paraId="67B875FE" w14:textId="77777777" w:rsidR="00FA457D" w:rsidRPr="00B1089D" w:rsidRDefault="00FA457D">
      <w:pPr>
        <w:pStyle w:val="ListeParagraf"/>
        <w:widowControl/>
        <w:numPr>
          <w:ilvl w:val="0"/>
          <w:numId w:val="62"/>
        </w:numPr>
      </w:pPr>
      <w:proofErr w:type="spellStart"/>
      <w:r w:rsidRPr="00E359E0">
        <w:rPr>
          <w:b/>
          <w:bCs/>
        </w:rPr>
        <w:t>Siyakiya</w:t>
      </w:r>
      <w:proofErr w:type="spellEnd"/>
      <w:r w:rsidRPr="00E359E0">
        <w:rPr>
          <w:b/>
          <w:bCs/>
        </w:rPr>
        <w:t xml:space="preserve"> P</w:t>
      </w:r>
      <w:r w:rsidRPr="00B1089D">
        <w:t xml:space="preserve"> (2017) </w:t>
      </w:r>
      <w:proofErr w:type="spellStart"/>
      <w:r w:rsidRPr="00B1089D">
        <w:t>The</w:t>
      </w:r>
      <w:proofErr w:type="spellEnd"/>
      <w:r w:rsidRPr="00B1089D">
        <w:t xml:space="preserve"> </w:t>
      </w:r>
      <w:proofErr w:type="spellStart"/>
      <w:r w:rsidRPr="00B1089D">
        <w:t>Impact</w:t>
      </w:r>
      <w:proofErr w:type="spellEnd"/>
      <w:r w:rsidRPr="00B1089D">
        <w:t xml:space="preserve"> of </w:t>
      </w:r>
      <w:proofErr w:type="spellStart"/>
      <w:r w:rsidRPr="00B1089D">
        <w:t>Institutional</w:t>
      </w:r>
      <w:proofErr w:type="spellEnd"/>
      <w:r w:rsidRPr="00B1089D">
        <w:t xml:space="preserve"> </w:t>
      </w:r>
      <w:proofErr w:type="spellStart"/>
      <w:r w:rsidRPr="00B1089D">
        <w:t>Quality</w:t>
      </w:r>
      <w:proofErr w:type="spellEnd"/>
      <w:r w:rsidRPr="00B1089D">
        <w:t xml:space="preserve"> on </w:t>
      </w:r>
      <w:proofErr w:type="spellStart"/>
      <w:r w:rsidRPr="00B1089D">
        <w:t>Economic</w:t>
      </w:r>
      <w:proofErr w:type="spellEnd"/>
      <w:r w:rsidRPr="00B1089D">
        <w:t xml:space="preserve"> </w:t>
      </w:r>
      <w:proofErr w:type="spellStart"/>
      <w:r w:rsidRPr="00B1089D">
        <w:t>Performance</w:t>
      </w:r>
      <w:proofErr w:type="spellEnd"/>
      <w:r w:rsidRPr="00B1089D">
        <w:t xml:space="preserve">: An </w:t>
      </w:r>
      <w:proofErr w:type="spellStart"/>
      <w:r w:rsidRPr="00B1089D">
        <w:t>Empirical</w:t>
      </w:r>
      <w:proofErr w:type="spellEnd"/>
      <w:r w:rsidRPr="00B1089D">
        <w:t xml:space="preserve"> </w:t>
      </w:r>
      <w:proofErr w:type="spellStart"/>
      <w:r w:rsidRPr="00B1089D">
        <w:t>Study</w:t>
      </w:r>
      <w:proofErr w:type="spellEnd"/>
      <w:r w:rsidRPr="00B1089D">
        <w:t xml:space="preserve"> of </w:t>
      </w:r>
      <w:proofErr w:type="spellStart"/>
      <w:r w:rsidRPr="00B1089D">
        <w:t>European</w:t>
      </w:r>
      <w:proofErr w:type="spellEnd"/>
      <w:r w:rsidRPr="00B1089D">
        <w:t xml:space="preserve"> </w:t>
      </w:r>
      <w:proofErr w:type="spellStart"/>
      <w:r w:rsidRPr="00B1089D">
        <w:t>Union</w:t>
      </w:r>
      <w:proofErr w:type="spellEnd"/>
      <w:r w:rsidRPr="00B1089D">
        <w:t xml:space="preserve"> 28 </w:t>
      </w:r>
      <w:proofErr w:type="spellStart"/>
      <w:r w:rsidRPr="00B1089D">
        <w:t>and</w:t>
      </w:r>
      <w:proofErr w:type="spellEnd"/>
      <w:r w:rsidRPr="00B1089D">
        <w:t xml:space="preserve"> </w:t>
      </w:r>
      <w:proofErr w:type="spellStart"/>
      <w:r w:rsidRPr="00B1089D">
        <w:t>Prospective</w:t>
      </w:r>
      <w:proofErr w:type="spellEnd"/>
      <w:r w:rsidRPr="00B1089D">
        <w:t xml:space="preserve"> </w:t>
      </w:r>
      <w:proofErr w:type="spellStart"/>
      <w:r w:rsidRPr="00B1089D">
        <w:t>Member</w:t>
      </w:r>
      <w:proofErr w:type="spellEnd"/>
      <w:r w:rsidRPr="00B1089D">
        <w:t xml:space="preserve"> </w:t>
      </w:r>
      <w:proofErr w:type="spellStart"/>
      <w:r w:rsidRPr="00B1089D">
        <w:t>Countries</w:t>
      </w:r>
      <w:proofErr w:type="spellEnd"/>
      <w:r w:rsidRPr="00B1089D">
        <w:t xml:space="preserve">. World </w:t>
      </w:r>
      <w:proofErr w:type="spellStart"/>
      <w:r w:rsidRPr="00B1089D">
        <w:t>Journal</w:t>
      </w:r>
      <w:proofErr w:type="spellEnd"/>
      <w:r w:rsidRPr="00B1089D">
        <w:t xml:space="preserve"> of </w:t>
      </w:r>
      <w:proofErr w:type="spellStart"/>
      <w:r w:rsidRPr="00B1089D">
        <w:t>Applied</w:t>
      </w:r>
      <w:proofErr w:type="spellEnd"/>
      <w:r w:rsidRPr="00B1089D">
        <w:t xml:space="preserve"> </w:t>
      </w:r>
      <w:proofErr w:type="spellStart"/>
      <w:r w:rsidRPr="00B1089D">
        <w:t>Economics</w:t>
      </w:r>
      <w:proofErr w:type="spellEnd"/>
      <w:r w:rsidRPr="00B1089D">
        <w:t xml:space="preserve">, 2, 3-24. </w:t>
      </w:r>
      <w:hyperlink r:id="rId375" w:history="1">
        <w:r w:rsidRPr="00B1089D">
          <w:rPr>
            <w:rStyle w:val="Kpr"/>
          </w:rPr>
          <w:t>https://doi.org/10.22440/wjae.3.2.1</w:t>
        </w:r>
      </w:hyperlink>
    </w:p>
    <w:p w14:paraId="2A937741" w14:textId="77777777" w:rsidR="00FA457D" w:rsidRPr="00B1089D" w:rsidRDefault="00FA457D">
      <w:pPr>
        <w:pStyle w:val="ListeParagraf"/>
        <w:widowControl/>
        <w:numPr>
          <w:ilvl w:val="0"/>
          <w:numId w:val="62"/>
        </w:numPr>
      </w:pPr>
      <w:proofErr w:type="spellStart"/>
      <w:r w:rsidRPr="00E359E0">
        <w:rPr>
          <w:b/>
          <w:bCs/>
        </w:rPr>
        <w:t>Tangör</w:t>
      </w:r>
      <w:proofErr w:type="spellEnd"/>
      <w:r w:rsidRPr="00E359E0">
        <w:rPr>
          <w:b/>
          <w:bCs/>
        </w:rPr>
        <w:t xml:space="preserve"> B</w:t>
      </w:r>
      <w:r w:rsidRPr="00B1089D">
        <w:t xml:space="preserve"> (2004) Security </w:t>
      </w:r>
      <w:proofErr w:type="spellStart"/>
      <w:r w:rsidRPr="00B1089D">
        <w:t>Governance</w:t>
      </w:r>
      <w:proofErr w:type="spellEnd"/>
      <w:r w:rsidRPr="00B1089D">
        <w:t xml:space="preserve"> </w:t>
      </w:r>
      <w:proofErr w:type="spellStart"/>
      <w:r w:rsidRPr="00B1089D">
        <w:t>Approach</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European</w:t>
      </w:r>
      <w:proofErr w:type="spellEnd"/>
      <w:r w:rsidRPr="00B1089D">
        <w:t xml:space="preserve"> Security </w:t>
      </w:r>
      <w:proofErr w:type="spellStart"/>
      <w:r w:rsidRPr="00B1089D">
        <w:t>and</w:t>
      </w:r>
      <w:proofErr w:type="spellEnd"/>
      <w:r w:rsidRPr="00B1089D">
        <w:t xml:space="preserve"> </w:t>
      </w:r>
      <w:proofErr w:type="spellStart"/>
      <w:r w:rsidRPr="00B1089D">
        <w:t>Defence</w:t>
      </w:r>
      <w:proofErr w:type="spellEnd"/>
      <w:r w:rsidRPr="00B1089D">
        <w:t xml:space="preserve"> </w:t>
      </w:r>
      <w:proofErr w:type="spellStart"/>
      <w:r w:rsidRPr="00B1089D">
        <w:t>Policy</w:t>
      </w:r>
      <w:proofErr w:type="spellEnd"/>
      <w:r w:rsidRPr="00B1089D">
        <w:t>. </w:t>
      </w:r>
      <w:r w:rsidRPr="00E359E0">
        <w:rPr>
          <w:i/>
          <w:iCs/>
        </w:rPr>
        <w:t>Gazi Üniversitesi İktisadi ve İdari Bilimler Fakültesi Dergisi</w:t>
      </w:r>
      <w:r w:rsidRPr="00B1089D">
        <w:t>, vol.6, no.3, 253-268.</w:t>
      </w:r>
    </w:p>
    <w:p w14:paraId="7652B441" w14:textId="77777777" w:rsidR="00FA457D" w:rsidRPr="00B1089D" w:rsidRDefault="00FA457D">
      <w:pPr>
        <w:pStyle w:val="ListeParagraf"/>
        <w:widowControl/>
        <w:numPr>
          <w:ilvl w:val="0"/>
          <w:numId w:val="62"/>
        </w:numPr>
      </w:pPr>
      <w:r w:rsidRPr="00E359E0">
        <w:rPr>
          <w:b/>
          <w:bCs/>
        </w:rPr>
        <w:lastRenderedPageBreak/>
        <w:t>World Bank</w:t>
      </w:r>
      <w:r w:rsidRPr="00B1089D">
        <w:t xml:space="preserve"> (2023) “World Bank Open Data”. </w:t>
      </w:r>
      <w:hyperlink r:id="rId376" w:history="1">
        <w:r w:rsidRPr="00B1089D">
          <w:rPr>
            <w:rStyle w:val="Kpr"/>
          </w:rPr>
          <w:t>https://data.worldbank.org/</w:t>
        </w:r>
      </w:hyperlink>
      <w:r w:rsidRPr="00B1089D">
        <w:t xml:space="preserve"> (Access </w:t>
      </w:r>
      <w:proofErr w:type="spellStart"/>
      <w:r w:rsidRPr="00B1089D">
        <w:t>date</w:t>
      </w:r>
      <w:proofErr w:type="spellEnd"/>
      <w:r w:rsidRPr="00B1089D">
        <w:t>: 05.10.2023).</w:t>
      </w:r>
    </w:p>
    <w:p w14:paraId="5DDA11EE" w14:textId="77777777" w:rsidR="00FA457D" w:rsidRPr="00B1089D" w:rsidRDefault="00FA457D" w:rsidP="00FA457D">
      <w:pPr>
        <w:widowControl/>
      </w:pPr>
    </w:p>
    <w:p w14:paraId="11EEBC18" w14:textId="77777777" w:rsidR="00FA457D" w:rsidRPr="00B1089D" w:rsidRDefault="00FA457D" w:rsidP="00E359E0">
      <w:pPr>
        <w:widowControl/>
        <w:jc w:val="both"/>
      </w:pPr>
      <w:proofErr w:type="spellStart"/>
      <w:r w:rsidRPr="00B1089D">
        <w:rPr>
          <w:b/>
          <w:bCs/>
        </w:rPr>
        <w:t>Disclosure</w:t>
      </w:r>
      <w:proofErr w:type="spellEnd"/>
      <w:r w:rsidRPr="00B1089D">
        <w:rPr>
          <w:b/>
          <w:bCs/>
        </w:rPr>
        <w:t xml:space="preserve"> Statement</w:t>
      </w:r>
    </w:p>
    <w:p w14:paraId="0EB29606" w14:textId="7070648D" w:rsidR="00FA457D" w:rsidRPr="00D10870" w:rsidRDefault="00FA457D" w:rsidP="00E359E0">
      <w:pPr>
        <w:widowControl/>
        <w:jc w:val="both"/>
      </w:pPr>
      <w:proofErr w:type="spellStart"/>
      <w:r w:rsidRPr="00B1089D">
        <w:t>The</w:t>
      </w:r>
      <w:proofErr w:type="spellEnd"/>
      <w:r w:rsidRPr="00B1089D">
        <w:t xml:space="preserve"> </w:t>
      </w:r>
      <w:proofErr w:type="spellStart"/>
      <w:r w:rsidRPr="00B1089D">
        <w:t>author</w:t>
      </w:r>
      <w:proofErr w:type="spellEnd"/>
      <w:r w:rsidRPr="00B1089D">
        <w:t xml:space="preserve"> </w:t>
      </w:r>
      <w:proofErr w:type="spellStart"/>
      <w:r w:rsidRPr="00B1089D">
        <w:t>report</w:t>
      </w:r>
      <w:proofErr w:type="spellEnd"/>
      <w:r w:rsidRPr="00B1089D">
        <w:t xml:space="preserve"> </w:t>
      </w:r>
      <w:proofErr w:type="spellStart"/>
      <w:r w:rsidRPr="00B1089D">
        <w:t>there</w:t>
      </w:r>
      <w:proofErr w:type="spellEnd"/>
      <w:r w:rsidRPr="00B1089D">
        <w:t xml:space="preserve"> </w:t>
      </w:r>
      <w:proofErr w:type="spellStart"/>
      <w:r w:rsidRPr="00B1089D">
        <w:t>are</w:t>
      </w:r>
      <w:proofErr w:type="spellEnd"/>
      <w:r w:rsidRPr="00B1089D">
        <w:t xml:space="preserve"> </w:t>
      </w:r>
      <w:proofErr w:type="spellStart"/>
      <w:r w:rsidRPr="00B1089D">
        <w:t>no</w:t>
      </w:r>
      <w:proofErr w:type="spellEnd"/>
      <w:r w:rsidRPr="00B1089D">
        <w:t xml:space="preserve"> </w:t>
      </w:r>
      <w:proofErr w:type="spellStart"/>
      <w:r w:rsidRPr="00B1089D">
        <w:t>competing</w:t>
      </w:r>
      <w:proofErr w:type="spellEnd"/>
      <w:r w:rsidRPr="00B1089D">
        <w:t xml:space="preserve"> </w:t>
      </w:r>
      <w:proofErr w:type="spellStart"/>
      <w:r w:rsidRPr="00B1089D">
        <w:t>interests</w:t>
      </w:r>
      <w:proofErr w:type="spellEnd"/>
      <w:r w:rsidRPr="00B1089D">
        <w:t xml:space="preserve"> </w:t>
      </w:r>
      <w:proofErr w:type="spellStart"/>
      <w:r w:rsidRPr="00B1089D">
        <w:t>to</w:t>
      </w:r>
      <w:proofErr w:type="spellEnd"/>
      <w:r w:rsidRPr="00B1089D">
        <w:t xml:space="preserve"> </w:t>
      </w:r>
      <w:proofErr w:type="spellStart"/>
      <w:r w:rsidRPr="00B1089D">
        <w:t>declare</w:t>
      </w:r>
      <w:proofErr w:type="spellEnd"/>
      <w:r w:rsidRPr="00B1089D">
        <w:t>.</w:t>
      </w:r>
    </w:p>
    <w:p w14:paraId="74322B95" w14:textId="77777777" w:rsidR="00FA457D" w:rsidRPr="00B1089D" w:rsidRDefault="00FA457D" w:rsidP="00E359E0">
      <w:pPr>
        <w:widowControl/>
        <w:jc w:val="both"/>
      </w:pPr>
    </w:p>
    <w:p w14:paraId="43BEF74D" w14:textId="77777777" w:rsidR="00FA457D" w:rsidRPr="00B1089D" w:rsidRDefault="00FA457D" w:rsidP="00E359E0">
      <w:pPr>
        <w:widowControl/>
        <w:jc w:val="both"/>
      </w:pPr>
      <w:r w:rsidRPr="00B1089D">
        <w:rPr>
          <w:b/>
          <w:bCs/>
        </w:rPr>
        <w:t xml:space="preserve">Data </w:t>
      </w:r>
      <w:proofErr w:type="spellStart"/>
      <w:r w:rsidRPr="00B1089D">
        <w:rPr>
          <w:b/>
          <w:bCs/>
        </w:rPr>
        <w:t>Availability</w:t>
      </w:r>
      <w:proofErr w:type="spellEnd"/>
      <w:r w:rsidRPr="00B1089D">
        <w:rPr>
          <w:b/>
          <w:bCs/>
        </w:rPr>
        <w:t xml:space="preserve"> Statement</w:t>
      </w:r>
    </w:p>
    <w:p w14:paraId="10222EB3" w14:textId="088CBBAA" w:rsidR="00D37D80" w:rsidRDefault="00FA457D" w:rsidP="00E359E0">
      <w:pPr>
        <w:widowControl/>
        <w:jc w:val="both"/>
      </w:pPr>
      <w:proofErr w:type="spellStart"/>
      <w:r w:rsidRPr="00B1089D">
        <w:t>The</w:t>
      </w:r>
      <w:proofErr w:type="spellEnd"/>
      <w:r w:rsidRPr="00B1089D">
        <w:t xml:space="preserve"> </w:t>
      </w:r>
      <w:proofErr w:type="gramStart"/>
      <w:r w:rsidRPr="00B1089D">
        <w:t>data</w:t>
      </w:r>
      <w:proofErr w:type="gramEnd"/>
      <w:r w:rsidRPr="00B1089D">
        <w:t xml:space="preserve"> </w:t>
      </w:r>
      <w:proofErr w:type="spellStart"/>
      <w:r w:rsidRPr="00B1089D">
        <w:t>that</w:t>
      </w:r>
      <w:proofErr w:type="spellEnd"/>
      <w:r w:rsidRPr="00B1089D">
        <w:t xml:space="preserve"> </w:t>
      </w:r>
      <w:proofErr w:type="spellStart"/>
      <w:r w:rsidRPr="00B1089D">
        <w:t>support</w:t>
      </w:r>
      <w:proofErr w:type="spellEnd"/>
      <w:r w:rsidRPr="00B1089D">
        <w:t xml:space="preserve"> </w:t>
      </w:r>
      <w:proofErr w:type="spellStart"/>
      <w:r w:rsidRPr="00B1089D">
        <w:t>the</w:t>
      </w:r>
      <w:proofErr w:type="spellEnd"/>
      <w:r w:rsidRPr="00B1089D">
        <w:t xml:space="preserve"> </w:t>
      </w:r>
      <w:proofErr w:type="spellStart"/>
      <w:r w:rsidRPr="00B1089D">
        <w:t>findings</w:t>
      </w:r>
      <w:proofErr w:type="spellEnd"/>
      <w:r w:rsidRPr="00B1089D">
        <w:t xml:space="preserve"> of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are</w:t>
      </w:r>
      <w:proofErr w:type="spellEnd"/>
      <w:r w:rsidRPr="00B1089D">
        <w:t xml:space="preserve"> </w:t>
      </w:r>
      <w:proofErr w:type="spellStart"/>
      <w:r w:rsidRPr="00B1089D">
        <w:t>openly</w:t>
      </w:r>
      <w:proofErr w:type="spellEnd"/>
      <w:r w:rsidRPr="00B1089D">
        <w:t xml:space="preserve"> </w:t>
      </w:r>
      <w:proofErr w:type="spellStart"/>
      <w:r w:rsidRPr="00B1089D">
        <w:t>available</w:t>
      </w:r>
      <w:proofErr w:type="spellEnd"/>
      <w:r w:rsidRPr="00B1089D">
        <w:t xml:space="preserve"> in </w:t>
      </w:r>
      <w:proofErr w:type="spellStart"/>
      <w:r w:rsidRPr="00B1089D">
        <w:t>Mendeley</w:t>
      </w:r>
      <w:proofErr w:type="spellEnd"/>
      <w:r w:rsidRPr="00B1089D">
        <w:t xml:space="preserve"> Data at </w:t>
      </w:r>
      <w:hyperlink r:id="rId377" w:history="1">
        <w:r w:rsidRPr="00B1089D">
          <w:rPr>
            <w:rStyle w:val="Kpr"/>
          </w:rPr>
          <w:t>http://doi.org/10.17632/83s86stvm2.1</w:t>
        </w:r>
      </w:hyperlink>
      <w:r w:rsidRPr="00B1089D">
        <w:t xml:space="preserve"> .</w:t>
      </w:r>
    </w:p>
    <w:p w14:paraId="3EEECF94" w14:textId="03DD224E" w:rsidR="00A23B3C" w:rsidRPr="00B1089D" w:rsidRDefault="00D37D80" w:rsidP="00D37D80">
      <w:pPr>
        <w:autoSpaceDE/>
        <w:autoSpaceDN/>
      </w:pPr>
      <w:r>
        <w:br w:type="page"/>
      </w:r>
    </w:p>
    <w:p w14:paraId="10DDFF03" w14:textId="77777777" w:rsidR="00FA457D" w:rsidRPr="00B1089D" w:rsidRDefault="00FA457D" w:rsidP="004C7694">
      <w:pPr>
        <w:pStyle w:val="Tark"/>
      </w:pPr>
      <w:bookmarkStart w:id="249" w:name="_Toc192855271"/>
      <w:proofErr w:type="spellStart"/>
      <w:r w:rsidRPr="00B1089D">
        <w:lastRenderedPageBreak/>
        <w:t>The</w:t>
      </w:r>
      <w:proofErr w:type="spellEnd"/>
      <w:r w:rsidRPr="00B1089D">
        <w:t xml:space="preserve"> </w:t>
      </w:r>
      <w:proofErr w:type="spellStart"/>
      <w:r w:rsidRPr="00B1089D">
        <w:t>July</w:t>
      </w:r>
      <w:proofErr w:type="spellEnd"/>
      <w:r w:rsidRPr="00B1089D">
        <w:t xml:space="preserve"> </w:t>
      </w:r>
      <w:proofErr w:type="spellStart"/>
      <w:r w:rsidRPr="00B1089D">
        <w:t>Revolution</w:t>
      </w:r>
      <w:proofErr w:type="spellEnd"/>
      <w:r w:rsidRPr="00B1089D">
        <w:t xml:space="preserve"> in </w:t>
      </w:r>
      <w:proofErr w:type="spellStart"/>
      <w:r w:rsidRPr="00B1089D">
        <w:t>Bangladesh</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Crisis</w:t>
      </w:r>
      <w:proofErr w:type="spellEnd"/>
      <w:r w:rsidRPr="00B1089D">
        <w:t xml:space="preserve"> in </w:t>
      </w:r>
      <w:proofErr w:type="spellStart"/>
      <w:r w:rsidRPr="00B1089D">
        <w:t>Bangladesh-India</w:t>
      </w:r>
      <w:proofErr w:type="spellEnd"/>
      <w:r w:rsidRPr="00B1089D">
        <w:t xml:space="preserve"> </w:t>
      </w:r>
      <w:proofErr w:type="spellStart"/>
      <w:r w:rsidRPr="00B1089D">
        <w:t>Relations</w:t>
      </w:r>
      <w:bookmarkEnd w:id="249"/>
      <w:proofErr w:type="spellEnd"/>
    </w:p>
    <w:p w14:paraId="2F8CC0A7" w14:textId="77777777" w:rsidR="00FA457D" w:rsidRPr="00B1089D" w:rsidRDefault="00FA457D" w:rsidP="00FA457D">
      <w:pPr>
        <w:widowControl/>
        <w:jc w:val="center"/>
      </w:pPr>
    </w:p>
    <w:p w14:paraId="45C780BD" w14:textId="77777777" w:rsidR="00FA457D" w:rsidRPr="00B1089D" w:rsidRDefault="00FA457D" w:rsidP="00FA457D">
      <w:pPr>
        <w:widowControl/>
        <w:jc w:val="center"/>
      </w:pPr>
      <w:proofErr w:type="spellStart"/>
      <w:r w:rsidRPr="00B1089D">
        <w:t>Rahmat</w:t>
      </w:r>
      <w:proofErr w:type="spellEnd"/>
      <w:r w:rsidRPr="00B1089D">
        <w:t xml:space="preserve"> </w:t>
      </w:r>
      <w:proofErr w:type="spellStart"/>
      <w:r w:rsidRPr="00B1089D">
        <w:t>Ullah</w:t>
      </w:r>
      <w:proofErr w:type="spellEnd"/>
    </w:p>
    <w:p w14:paraId="11A2A3BC" w14:textId="77777777" w:rsidR="00FA457D" w:rsidRPr="00B1089D" w:rsidRDefault="00FA457D" w:rsidP="00FA457D">
      <w:pPr>
        <w:widowControl/>
        <w:jc w:val="center"/>
      </w:pPr>
      <w:proofErr w:type="spellStart"/>
      <w:r w:rsidRPr="00B1089D">
        <w:t>Assist</w:t>
      </w:r>
      <w:proofErr w:type="spellEnd"/>
      <w:r w:rsidRPr="00B1089D">
        <w:t xml:space="preserve">. Prof. Dr., </w:t>
      </w:r>
      <w:proofErr w:type="spellStart"/>
      <w:r w:rsidRPr="00B1089D">
        <w:t>Istanbul</w:t>
      </w:r>
      <w:proofErr w:type="spellEnd"/>
      <w:r w:rsidRPr="00B1089D">
        <w:t xml:space="preserve"> </w:t>
      </w:r>
      <w:proofErr w:type="spellStart"/>
      <w:r w:rsidRPr="00B1089D">
        <w:t>Gelisim</w:t>
      </w:r>
      <w:proofErr w:type="spellEnd"/>
      <w:r w:rsidRPr="00B1089D">
        <w:t xml:space="preserve"> </w:t>
      </w:r>
      <w:proofErr w:type="spellStart"/>
      <w:r w:rsidRPr="00B1089D">
        <w:t>University</w:t>
      </w:r>
      <w:proofErr w:type="spellEnd"/>
      <w:r w:rsidRPr="00B1089D">
        <w:t xml:space="preserve">, </w:t>
      </w:r>
      <w:proofErr w:type="spellStart"/>
      <w:r w:rsidRPr="00B1089D">
        <w:t>Department</w:t>
      </w:r>
      <w:proofErr w:type="spellEnd"/>
      <w:r w:rsidRPr="00B1089D">
        <w:t xml:space="preserve"> of </w:t>
      </w:r>
      <w:proofErr w:type="spellStart"/>
      <w:r w:rsidRPr="00B1089D">
        <w:t>Political</w:t>
      </w:r>
      <w:proofErr w:type="spellEnd"/>
      <w:r w:rsidRPr="00B1089D">
        <w:t xml:space="preserve"> </w:t>
      </w:r>
      <w:proofErr w:type="spellStart"/>
      <w:r w:rsidRPr="00B1089D">
        <w:t>Science</w:t>
      </w:r>
      <w:proofErr w:type="spellEnd"/>
      <w:r w:rsidRPr="00B1089D">
        <w:t xml:space="preserve"> </w:t>
      </w:r>
      <w:proofErr w:type="spellStart"/>
      <w:r w:rsidRPr="00B1089D">
        <w:t>and</w:t>
      </w:r>
      <w:proofErr w:type="spellEnd"/>
      <w:r w:rsidRPr="00B1089D">
        <w:t xml:space="preserve"> International </w:t>
      </w:r>
      <w:proofErr w:type="spellStart"/>
      <w:r w:rsidRPr="00B1089D">
        <w:t>Relations</w:t>
      </w:r>
      <w:proofErr w:type="spellEnd"/>
    </w:p>
    <w:p w14:paraId="27702B4E" w14:textId="77777777" w:rsidR="00FA457D" w:rsidRPr="00B1089D" w:rsidRDefault="00FA457D" w:rsidP="00FA457D">
      <w:pPr>
        <w:widowControl/>
        <w:jc w:val="center"/>
      </w:pPr>
      <w:r w:rsidRPr="00B1089D">
        <w:t>rullah@gelisim.edu.tr</w:t>
      </w:r>
    </w:p>
    <w:p w14:paraId="153A182B" w14:textId="77777777" w:rsidR="00FA457D" w:rsidRPr="00B1089D" w:rsidRDefault="00FA457D" w:rsidP="00FA457D">
      <w:pPr>
        <w:widowControl/>
        <w:jc w:val="center"/>
      </w:pPr>
      <w:r w:rsidRPr="00B1089D">
        <w:t>https://orcid.org/0000-0002-1548-5966</w:t>
      </w:r>
    </w:p>
    <w:p w14:paraId="70BDF260" w14:textId="77777777" w:rsidR="00FA457D" w:rsidRPr="00B1089D" w:rsidRDefault="00FA457D" w:rsidP="00FA457D">
      <w:pPr>
        <w:widowControl/>
        <w:jc w:val="center"/>
      </w:pPr>
    </w:p>
    <w:p w14:paraId="42083507" w14:textId="77777777" w:rsidR="00FA457D" w:rsidRPr="00B1089D" w:rsidRDefault="00FA457D" w:rsidP="00FA457D">
      <w:pPr>
        <w:widowControl/>
        <w:jc w:val="center"/>
      </w:pPr>
      <w:proofErr w:type="spellStart"/>
      <w:r w:rsidRPr="00B1089D">
        <w:rPr>
          <w:b/>
          <w:bCs/>
        </w:rPr>
        <w:t>Abstract</w:t>
      </w:r>
      <w:proofErr w:type="spellEnd"/>
    </w:p>
    <w:p w14:paraId="4FE7139A" w14:textId="22CE5642" w:rsidR="00FA457D" w:rsidRPr="00B1089D" w:rsidRDefault="00FA457D" w:rsidP="00E359E0">
      <w:pPr>
        <w:widowControl/>
        <w:jc w:val="both"/>
      </w:pPr>
      <w:proofErr w:type="spellStart"/>
      <w:r w:rsidRPr="00B1089D">
        <w:t>The</w:t>
      </w:r>
      <w:proofErr w:type="spellEnd"/>
      <w:r w:rsidRPr="00B1089D">
        <w:t xml:space="preserve"> </w:t>
      </w:r>
      <w:proofErr w:type="spellStart"/>
      <w:r w:rsidRPr="00B1089D">
        <w:t>student</w:t>
      </w:r>
      <w:proofErr w:type="spellEnd"/>
      <w:r w:rsidRPr="00B1089D">
        <w:t xml:space="preserve">-led </w:t>
      </w:r>
      <w:proofErr w:type="spellStart"/>
      <w:r w:rsidRPr="00B1089D">
        <w:t>July</w:t>
      </w:r>
      <w:proofErr w:type="spellEnd"/>
      <w:r w:rsidRPr="00B1089D">
        <w:t xml:space="preserve"> </w:t>
      </w:r>
      <w:proofErr w:type="spellStart"/>
      <w:r w:rsidRPr="00B1089D">
        <w:t>Revolution</w:t>
      </w:r>
      <w:proofErr w:type="spellEnd"/>
      <w:r w:rsidRPr="00B1089D">
        <w:t xml:space="preserve"> </w:t>
      </w:r>
      <w:proofErr w:type="spellStart"/>
      <w:r w:rsidRPr="00B1089D">
        <w:t>was</w:t>
      </w:r>
      <w:proofErr w:type="spellEnd"/>
      <w:r w:rsidRPr="00B1089D">
        <w:t xml:space="preserve"> a </w:t>
      </w:r>
      <w:proofErr w:type="spellStart"/>
      <w:r w:rsidRPr="00B1089D">
        <w:t>pro-democratic</w:t>
      </w:r>
      <w:proofErr w:type="spellEnd"/>
      <w:r w:rsidRPr="00B1089D">
        <w:t xml:space="preserve"> </w:t>
      </w:r>
      <w:proofErr w:type="spellStart"/>
      <w:r w:rsidRPr="00B1089D">
        <w:t>mass</w:t>
      </w:r>
      <w:proofErr w:type="spellEnd"/>
      <w:r w:rsidRPr="00B1089D">
        <w:t xml:space="preserve"> </w:t>
      </w:r>
      <w:proofErr w:type="spellStart"/>
      <w:r w:rsidRPr="00B1089D">
        <w:t>movement</w:t>
      </w:r>
      <w:proofErr w:type="spellEnd"/>
      <w:r w:rsidRPr="00B1089D">
        <w:t xml:space="preserve"> in </w:t>
      </w:r>
      <w:proofErr w:type="spellStart"/>
      <w:r w:rsidRPr="00B1089D">
        <w:t>Bangladesh</w:t>
      </w:r>
      <w:proofErr w:type="spellEnd"/>
      <w:r w:rsidRPr="00B1089D">
        <w:t xml:space="preserve"> </w:t>
      </w:r>
      <w:proofErr w:type="spellStart"/>
      <w:r w:rsidRPr="00B1089D">
        <w:t>that</w:t>
      </w:r>
      <w:proofErr w:type="spellEnd"/>
      <w:r w:rsidRPr="00B1089D">
        <w:t xml:space="preserve"> </w:t>
      </w:r>
      <w:proofErr w:type="spellStart"/>
      <w:r w:rsidRPr="00B1089D">
        <w:t>lasted</w:t>
      </w:r>
      <w:proofErr w:type="spellEnd"/>
      <w:r w:rsidRPr="00B1089D">
        <w:t xml:space="preserve"> </w:t>
      </w:r>
      <w:proofErr w:type="spellStart"/>
      <w:r w:rsidRPr="00B1089D">
        <w:t>from</w:t>
      </w:r>
      <w:proofErr w:type="spellEnd"/>
      <w:r w:rsidRPr="00B1089D">
        <w:t xml:space="preserve"> </w:t>
      </w:r>
      <w:proofErr w:type="spellStart"/>
      <w:r w:rsidRPr="00B1089D">
        <w:t>June</w:t>
      </w:r>
      <w:proofErr w:type="spellEnd"/>
      <w:r w:rsidRPr="00B1089D">
        <w:t xml:space="preserve"> 5 </w:t>
      </w:r>
      <w:proofErr w:type="spellStart"/>
      <w:r w:rsidRPr="00B1089D">
        <w:t>to</w:t>
      </w:r>
      <w:proofErr w:type="spellEnd"/>
      <w:r w:rsidRPr="00B1089D">
        <w:t xml:space="preserve"> </w:t>
      </w:r>
      <w:proofErr w:type="spellStart"/>
      <w:r w:rsidRPr="00B1089D">
        <w:t>August</w:t>
      </w:r>
      <w:proofErr w:type="spellEnd"/>
      <w:r w:rsidRPr="00B1089D">
        <w:t xml:space="preserve"> 5, 2024 </w:t>
      </w:r>
      <w:proofErr w:type="spellStart"/>
      <w:r w:rsidRPr="00B1089D">
        <w:t>and</w:t>
      </w:r>
      <w:proofErr w:type="spellEnd"/>
      <w:r w:rsidRPr="00B1089D">
        <w:t xml:space="preserve"> </w:t>
      </w:r>
      <w:proofErr w:type="spellStart"/>
      <w:r w:rsidRPr="00B1089D">
        <w:t>ended</w:t>
      </w:r>
      <w:proofErr w:type="spellEnd"/>
      <w:r w:rsidRPr="00B1089D">
        <w:t xml:space="preserve"> 16 </w:t>
      </w:r>
      <w:proofErr w:type="spellStart"/>
      <w:r w:rsidRPr="00B1089D">
        <w:t>years</w:t>
      </w:r>
      <w:proofErr w:type="spellEnd"/>
      <w:r w:rsidRPr="00B1089D">
        <w:t xml:space="preserve"> of </w:t>
      </w:r>
      <w:proofErr w:type="spellStart"/>
      <w:r w:rsidRPr="00B1089D">
        <w:t>authoritarian</w:t>
      </w:r>
      <w:proofErr w:type="spellEnd"/>
      <w:r w:rsidRPr="00B1089D">
        <w:t xml:space="preserve"> </w:t>
      </w:r>
      <w:proofErr w:type="spellStart"/>
      <w:r w:rsidRPr="00B1089D">
        <w:t>control</w:t>
      </w:r>
      <w:proofErr w:type="spellEnd"/>
      <w:r w:rsidRPr="00B1089D">
        <w:t xml:space="preserve"> of </w:t>
      </w:r>
      <w:proofErr w:type="spellStart"/>
      <w:r w:rsidRPr="00B1089D">
        <w:t>the</w:t>
      </w:r>
      <w:proofErr w:type="spellEnd"/>
      <w:r w:rsidRPr="00B1089D">
        <w:t xml:space="preserve"> </w:t>
      </w:r>
      <w:proofErr w:type="spellStart"/>
      <w:r w:rsidRPr="00B1089D">
        <w:t>Bangladesh</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party</w:t>
      </w:r>
      <w:proofErr w:type="spellEnd"/>
      <w:r w:rsidRPr="00B1089D">
        <w:t xml:space="preserve">. </w:t>
      </w:r>
      <w:proofErr w:type="spellStart"/>
      <w:r w:rsidRPr="00B1089D">
        <w:t>Immediately</w:t>
      </w:r>
      <w:proofErr w:type="spellEnd"/>
      <w:r w:rsidRPr="00B1089D">
        <w:t xml:space="preserve"> </w:t>
      </w:r>
      <w:proofErr w:type="spellStart"/>
      <w:r w:rsidRPr="00B1089D">
        <w:t>after</w:t>
      </w:r>
      <w:proofErr w:type="spellEnd"/>
      <w:r w:rsidRPr="00B1089D">
        <w:t xml:space="preserve"> </w:t>
      </w:r>
      <w:proofErr w:type="spellStart"/>
      <w:r w:rsidRPr="00B1089D">
        <w:t>the</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government</w:t>
      </w:r>
      <w:proofErr w:type="spellEnd"/>
      <w:r w:rsidRPr="00B1089D">
        <w:t xml:space="preserve"> </w:t>
      </w:r>
      <w:proofErr w:type="spellStart"/>
      <w:r w:rsidRPr="00B1089D">
        <w:t>fell</w:t>
      </w:r>
      <w:proofErr w:type="spellEnd"/>
      <w:r w:rsidRPr="00B1089D">
        <w:t xml:space="preserve">, an </w:t>
      </w:r>
      <w:proofErr w:type="spellStart"/>
      <w:r w:rsidRPr="00B1089D">
        <w:t>interim</w:t>
      </w:r>
      <w:proofErr w:type="spellEnd"/>
      <w:r w:rsidRPr="00B1089D">
        <w:t xml:space="preserve"> </w:t>
      </w:r>
      <w:proofErr w:type="spellStart"/>
      <w:r w:rsidRPr="00B1089D">
        <w:t>government</w:t>
      </w:r>
      <w:proofErr w:type="spellEnd"/>
      <w:r w:rsidRPr="00B1089D">
        <w:t xml:space="preserve"> </w:t>
      </w:r>
      <w:proofErr w:type="spellStart"/>
      <w:r w:rsidRPr="00B1089D">
        <w:t>was</w:t>
      </w:r>
      <w:proofErr w:type="spellEnd"/>
      <w:r w:rsidRPr="00B1089D">
        <w:t xml:space="preserve"> </w:t>
      </w:r>
      <w:proofErr w:type="spellStart"/>
      <w:r w:rsidRPr="00B1089D">
        <w:t>formed</w:t>
      </w:r>
      <w:proofErr w:type="spellEnd"/>
      <w:r w:rsidRPr="00B1089D">
        <w:t xml:space="preserve"> in </w:t>
      </w:r>
      <w:proofErr w:type="spellStart"/>
      <w:r w:rsidRPr="00B1089D">
        <w:t>Bangladesh</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participation</w:t>
      </w:r>
      <w:proofErr w:type="spellEnd"/>
      <w:r w:rsidRPr="00B1089D">
        <w:t xml:space="preserve"> </w:t>
      </w:r>
      <w:proofErr w:type="spellStart"/>
      <w:r w:rsidRPr="00B1089D">
        <w:t>and</w:t>
      </w:r>
      <w:proofErr w:type="spellEnd"/>
      <w:r w:rsidRPr="00B1089D">
        <w:t xml:space="preserve"> </w:t>
      </w:r>
      <w:proofErr w:type="spellStart"/>
      <w:r w:rsidRPr="00B1089D">
        <w:t>support</w:t>
      </w:r>
      <w:proofErr w:type="spellEnd"/>
      <w:r w:rsidRPr="00B1089D">
        <w:t xml:space="preserve"> of </w:t>
      </w:r>
      <w:proofErr w:type="spellStart"/>
      <w:r w:rsidRPr="00B1089D">
        <w:t>revolutionaries</w:t>
      </w:r>
      <w:proofErr w:type="spellEnd"/>
      <w:r w:rsidRPr="00B1089D">
        <w:t xml:space="preserve">. As a </w:t>
      </w:r>
      <w:proofErr w:type="spellStart"/>
      <w:r w:rsidRPr="00B1089D">
        <w:t>result</w:t>
      </w:r>
      <w:proofErr w:type="spellEnd"/>
      <w:r w:rsidRPr="00B1089D">
        <w:t xml:space="preserve">, </w:t>
      </w:r>
      <w:proofErr w:type="spellStart"/>
      <w:r w:rsidRPr="00B1089D">
        <w:t>India</w:t>
      </w:r>
      <w:proofErr w:type="spellEnd"/>
      <w:r w:rsidRPr="00B1089D">
        <w:t xml:space="preserve">, a </w:t>
      </w:r>
      <w:proofErr w:type="spellStart"/>
      <w:r w:rsidRPr="00B1089D">
        <w:t>long</w:t>
      </w:r>
      <w:proofErr w:type="spellEnd"/>
      <w:r w:rsidRPr="00B1089D">
        <w:t xml:space="preserve">-time </w:t>
      </w:r>
      <w:proofErr w:type="spellStart"/>
      <w:r w:rsidRPr="00B1089D">
        <w:t>ally</w:t>
      </w:r>
      <w:proofErr w:type="spellEnd"/>
      <w:r w:rsidRPr="00B1089D">
        <w:t xml:space="preserve"> of </w:t>
      </w:r>
      <w:proofErr w:type="spellStart"/>
      <w:r w:rsidRPr="00B1089D">
        <w:t>the</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also</w:t>
      </w:r>
      <w:proofErr w:type="spellEnd"/>
      <w:r w:rsidRPr="00B1089D">
        <w:t xml:space="preserve"> </w:t>
      </w:r>
      <w:proofErr w:type="spellStart"/>
      <w:r w:rsidRPr="00B1089D">
        <w:t>suffers</w:t>
      </w:r>
      <w:proofErr w:type="spellEnd"/>
      <w:r w:rsidRPr="00B1089D">
        <w:t xml:space="preserve"> a </w:t>
      </w:r>
      <w:proofErr w:type="spellStart"/>
      <w:r w:rsidRPr="00B1089D">
        <w:t>significant</w:t>
      </w:r>
      <w:proofErr w:type="spellEnd"/>
      <w:r w:rsidRPr="00B1089D">
        <w:t xml:space="preserve"> </w:t>
      </w:r>
      <w:proofErr w:type="spellStart"/>
      <w:r w:rsidRPr="00B1089D">
        <w:t>setback</w:t>
      </w:r>
      <w:proofErr w:type="spellEnd"/>
      <w:r w:rsidRPr="00B1089D">
        <w:t xml:space="preserve">. </w:t>
      </w:r>
      <w:proofErr w:type="spellStart"/>
      <w:r w:rsidRPr="00B1089D">
        <w:t>The</w:t>
      </w:r>
      <w:proofErr w:type="spellEnd"/>
      <w:r w:rsidRPr="00B1089D">
        <w:t xml:space="preserve"> </w:t>
      </w:r>
      <w:proofErr w:type="spellStart"/>
      <w:r w:rsidRPr="00B1089D">
        <w:t>cause</w:t>
      </w:r>
      <w:proofErr w:type="spellEnd"/>
      <w:r w:rsidRPr="00B1089D">
        <w:t xml:space="preserve"> is </w:t>
      </w:r>
      <w:proofErr w:type="spellStart"/>
      <w:r w:rsidRPr="00B1089D">
        <w:t>that</w:t>
      </w:r>
      <w:proofErr w:type="spellEnd"/>
      <w:r w:rsidRPr="00B1089D">
        <w:t xml:space="preserve"> </w:t>
      </w:r>
      <w:proofErr w:type="spellStart"/>
      <w:r w:rsidRPr="00B1089D">
        <w:t>Sheikh</w:t>
      </w:r>
      <w:proofErr w:type="spellEnd"/>
      <w:r w:rsidRPr="00B1089D">
        <w:t xml:space="preserve"> </w:t>
      </w:r>
      <w:proofErr w:type="spellStart"/>
      <w:r w:rsidRPr="00B1089D">
        <w:t>Hasina's</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has </w:t>
      </w:r>
      <w:proofErr w:type="spellStart"/>
      <w:r w:rsidRPr="00B1089D">
        <w:t>provided</w:t>
      </w:r>
      <w:proofErr w:type="spellEnd"/>
      <w:r w:rsidRPr="00B1089D">
        <w:t xml:space="preserve"> </w:t>
      </w:r>
      <w:proofErr w:type="spellStart"/>
      <w:r w:rsidRPr="00B1089D">
        <w:t>the</w:t>
      </w:r>
      <w:proofErr w:type="spellEnd"/>
      <w:r w:rsidRPr="00B1089D">
        <w:t xml:space="preserve"> </w:t>
      </w:r>
      <w:proofErr w:type="spellStart"/>
      <w:r w:rsidRPr="00B1089D">
        <w:t>most</w:t>
      </w:r>
      <w:proofErr w:type="spellEnd"/>
      <w:r w:rsidRPr="00B1089D">
        <w:t xml:space="preserve"> </w:t>
      </w:r>
      <w:proofErr w:type="spellStart"/>
      <w:r w:rsidRPr="00B1089D">
        <w:t>cooperation</w:t>
      </w:r>
      <w:proofErr w:type="spellEnd"/>
      <w:r w:rsidRPr="00B1089D">
        <w:t xml:space="preserve"> in </w:t>
      </w:r>
      <w:proofErr w:type="spellStart"/>
      <w:r w:rsidRPr="00B1089D">
        <w:t>protecting</w:t>
      </w:r>
      <w:proofErr w:type="spellEnd"/>
      <w:r w:rsidRPr="00B1089D">
        <w:t xml:space="preserve"> </w:t>
      </w:r>
      <w:proofErr w:type="spellStart"/>
      <w:r w:rsidRPr="00B1089D">
        <w:t>India's</w:t>
      </w:r>
      <w:proofErr w:type="spellEnd"/>
      <w:r w:rsidRPr="00B1089D">
        <w:t xml:space="preserve"> </w:t>
      </w:r>
      <w:proofErr w:type="spellStart"/>
      <w:r w:rsidRPr="00B1089D">
        <w:t>political</w:t>
      </w:r>
      <w:proofErr w:type="spellEnd"/>
      <w:r w:rsidRPr="00B1089D">
        <w:t xml:space="preserve">, </w:t>
      </w:r>
      <w:proofErr w:type="spellStart"/>
      <w:r w:rsidRPr="00B1089D">
        <w:t>commercial</w:t>
      </w:r>
      <w:proofErr w:type="spellEnd"/>
      <w:r w:rsidRPr="00B1089D">
        <w:t xml:space="preserve">, </w:t>
      </w:r>
      <w:proofErr w:type="spellStart"/>
      <w:r w:rsidRPr="00B1089D">
        <w:t>military</w:t>
      </w:r>
      <w:proofErr w:type="spellEnd"/>
      <w:r w:rsidRPr="00B1089D">
        <w:t xml:space="preserve">, </w:t>
      </w:r>
      <w:proofErr w:type="spellStart"/>
      <w:r w:rsidRPr="00B1089D">
        <w:t>and</w:t>
      </w:r>
      <w:proofErr w:type="spellEnd"/>
      <w:r w:rsidRPr="00B1089D">
        <w:t xml:space="preserve"> </w:t>
      </w:r>
      <w:proofErr w:type="spellStart"/>
      <w:r w:rsidRPr="00B1089D">
        <w:t>security</w:t>
      </w:r>
      <w:proofErr w:type="spellEnd"/>
      <w:r w:rsidRPr="00B1089D">
        <w:t xml:space="preserve"> </w:t>
      </w:r>
      <w:proofErr w:type="spellStart"/>
      <w:r w:rsidRPr="00B1089D">
        <w:t>interests</w:t>
      </w:r>
      <w:proofErr w:type="spellEnd"/>
      <w:r w:rsidRPr="00B1089D">
        <w:t xml:space="preserve"> in </w:t>
      </w:r>
      <w:proofErr w:type="spellStart"/>
      <w:r w:rsidRPr="00B1089D">
        <w:t>Bangladesh</w:t>
      </w:r>
      <w:proofErr w:type="spellEnd"/>
      <w:r w:rsidRPr="00B1089D">
        <w:t xml:space="preserve"> </w:t>
      </w:r>
      <w:proofErr w:type="spellStart"/>
      <w:r w:rsidRPr="00B1089D">
        <w:t>over</w:t>
      </w:r>
      <w:proofErr w:type="spellEnd"/>
      <w:r w:rsidRPr="00B1089D">
        <w:t xml:space="preserve"> </w:t>
      </w:r>
      <w:proofErr w:type="spellStart"/>
      <w:r w:rsidRPr="00B1089D">
        <w:t>the</w:t>
      </w:r>
      <w:proofErr w:type="spellEnd"/>
      <w:r w:rsidRPr="00B1089D">
        <w:t xml:space="preserve"> </w:t>
      </w:r>
      <w:proofErr w:type="spellStart"/>
      <w:r w:rsidRPr="00B1089D">
        <w:t>past</w:t>
      </w:r>
      <w:proofErr w:type="spellEnd"/>
      <w:r w:rsidRPr="00B1089D">
        <w:t xml:space="preserve"> 16 </w:t>
      </w:r>
      <w:proofErr w:type="spellStart"/>
      <w:r w:rsidRPr="00B1089D">
        <w:t>years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reveal</w:t>
      </w:r>
      <w:proofErr w:type="spellEnd"/>
      <w:r w:rsidRPr="00B1089D">
        <w:t xml:space="preserve"> </w:t>
      </w:r>
      <w:proofErr w:type="spellStart"/>
      <w:r w:rsidRPr="00B1089D">
        <w:t>the</w:t>
      </w:r>
      <w:proofErr w:type="spellEnd"/>
      <w:r w:rsidRPr="00B1089D">
        <w:t xml:space="preserve"> </w:t>
      </w:r>
      <w:proofErr w:type="spellStart"/>
      <w:r w:rsidRPr="00B1089D">
        <w:t>crises</w:t>
      </w:r>
      <w:proofErr w:type="spellEnd"/>
      <w:r w:rsidRPr="00B1089D">
        <w:t xml:space="preserve"> in </w:t>
      </w:r>
      <w:proofErr w:type="spellStart"/>
      <w:r w:rsidRPr="00B1089D">
        <w:t>Bangladesh-India</w:t>
      </w:r>
      <w:proofErr w:type="spellEnd"/>
      <w:r w:rsidRPr="00B1089D">
        <w:t xml:space="preserve"> </w:t>
      </w:r>
      <w:proofErr w:type="spellStart"/>
      <w:r w:rsidRPr="00B1089D">
        <w:t>relations</w:t>
      </w:r>
      <w:proofErr w:type="spellEnd"/>
      <w:r w:rsidRPr="00B1089D">
        <w:t xml:space="preserve"> </w:t>
      </w:r>
      <w:proofErr w:type="spellStart"/>
      <w:r w:rsidRPr="00B1089D">
        <w:t>after</w:t>
      </w:r>
      <w:proofErr w:type="spellEnd"/>
      <w:r w:rsidRPr="00B1089D">
        <w:t xml:space="preserve"> </w:t>
      </w:r>
      <w:proofErr w:type="spellStart"/>
      <w:r w:rsidRPr="00B1089D">
        <w:t>the</w:t>
      </w:r>
      <w:proofErr w:type="spellEnd"/>
      <w:r w:rsidRPr="00B1089D">
        <w:t xml:space="preserve"> </w:t>
      </w:r>
      <w:proofErr w:type="spellStart"/>
      <w:r w:rsidRPr="00B1089D">
        <w:t>Awami</w:t>
      </w:r>
      <w:proofErr w:type="spellEnd"/>
      <w:r w:rsidRPr="00B1089D">
        <w:t xml:space="preserve"> </w:t>
      </w:r>
      <w:proofErr w:type="spellStart"/>
      <w:r w:rsidRPr="00B1089D">
        <w:t>League's</w:t>
      </w:r>
      <w:proofErr w:type="spellEnd"/>
      <w:r w:rsidRPr="00B1089D">
        <w:t xml:space="preserve"> </w:t>
      </w:r>
      <w:proofErr w:type="spellStart"/>
      <w:r w:rsidRPr="00B1089D">
        <w:t>fall</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adopted</w:t>
      </w:r>
      <w:proofErr w:type="spellEnd"/>
      <w:r w:rsidRPr="00B1089D">
        <w:t xml:space="preserve"> a </w:t>
      </w:r>
      <w:proofErr w:type="spellStart"/>
      <w:r w:rsidRPr="00B1089D">
        <w:t>qualitative</w:t>
      </w:r>
      <w:proofErr w:type="spellEnd"/>
      <w:r w:rsidRPr="00B1089D">
        <w:t xml:space="preserve"> </w:t>
      </w:r>
      <w:proofErr w:type="gramStart"/>
      <w:r w:rsidRPr="00B1089D">
        <w:t>data</w:t>
      </w:r>
      <w:proofErr w:type="gramEnd"/>
      <w:r w:rsidRPr="00B1089D">
        <w:t>-</w:t>
      </w:r>
      <w:proofErr w:type="spellStart"/>
      <w:r w:rsidRPr="00B1089D">
        <w:t>gathering</w:t>
      </w:r>
      <w:proofErr w:type="spellEnd"/>
      <w:r w:rsidRPr="00B1089D">
        <w:t xml:space="preserve"> </w:t>
      </w:r>
      <w:proofErr w:type="spellStart"/>
      <w:r w:rsidRPr="00B1089D">
        <w:t>strategy</w:t>
      </w:r>
      <w:proofErr w:type="spellEnd"/>
      <w:r w:rsidRPr="00B1089D">
        <w:t xml:space="preserve">, </w:t>
      </w:r>
      <w:proofErr w:type="spellStart"/>
      <w:r w:rsidRPr="00B1089D">
        <w:t>focusing</w:t>
      </w:r>
      <w:proofErr w:type="spellEnd"/>
      <w:r w:rsidRPr="00B1089D">
        <w:t xml:space="preserve"> on </w:t>
      </w:r>
      <w:proofErr w:type="spellStart"/>
      <w:r w:rsidRPr="00B1089D">
        <w:t>secondary</w:t>
      </w:r>
      <w:proofErr w:type="spellEnd"/>
      <w:r w:rsidRPr="00B1089D">
        <w:t xml:space="preserve"> data </w:t>
      </w:r>
      <w:proofErr w:type="spellStart"/>
      <w:r w:rsidRPr="00B1089D">
        <w:t>sources</w:t>
      </w:r>
      <w:proofErr w:type="spellEnd"/>
      <w:r w:rsidRPr="00B1089D">
        <w:t xml:space="preserve"> </w:t>
      </w:r>
      <w:proofErr w:type="spellStart"/>
      <w:r w:rsidRPr="00B1089D">
        <w:t>such</w:t>
      </w:r>
      <w:proofErr w:type="spellEnd"/>
      <w:r w:rsidRPr="00B1089D">
        <w:t xml:space="preserve"> as </w:t>
      </w:r>
      <w:proofErr w:type="spellStart"/>
      <w:r w:rsidRPr="00B1089D">
        <w:t>newspapers</w:t>
      </w:r>
      <w:proofErr w:type="spellEnd"/>
      <w:r w:rsidRPr="00B1089D">
        <w:t xml:space="preserve">, </w:t>
      </w:r>
      <w:proofErr w:type="spellStart"/>
      <w:r w:rsidRPr="00B1089D">
        <w:t>journals</w:t>
      </w:r>
      <w:proofErr w:type="spellEnd"/>
      <w:r w:rsidRPr="00B1089D">
        <w:t xml:space="preserve"> </w:t>
      </w:r>
      <w:proofErr w:type="spellStart"/>
      <w:r w:rsidRPr="00B1089D">
        <w:t>and</w:t>
      </w:r>
      <w:proofErr w:type="spellEnd"/>
      <w:r w:rsidRPr="00B1089D">
        <w:t xml:space="preserve"> </w:t>
      </w:r>
      <w:proofErr w:type="spellStart"/>
      <w:r w:rsidRPr="00B1089D">
        <w:t>research</w:t>
      </w:r>
      <w:proofErr w:type="spellEnd"/>
      <w:r w:rsidRPr="00B1089D">
        <w:t xml:space="preserve"> </w:t>
      </w:r>
      <w:proofErr w:type="spellStart"/>
      <w:r w:rsidRPr="00B1089D">
        <w:t>websites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found</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Indian</w:t>
      </w:r>
      <w:proofErr w:type="spellEnd"/>
      <w:r w:rsidRPr="00B1089D">
        <w:t xml:space="preserve"> </w:t>
      </w:r>
      <w:proofErr w:type="spellStart"/>
      <w:r w:rsidRPr="00B1089D">
        <w:t>government</w:t>
      </w:r>
      <w:proofErr w:type="spellEnd"/>
      <w:r w:rsidRPr="00B1089D">
        <w:t xml:space="preserve"> has </w:t>
      </w:r>
      <w:proofErr w:type="spellStart"/>
      <w:r w:rsidRPr="00B1089D">
        <w:t>granted</w:t>
      </w:r>
      <w:proofErr w:type="spellEnd"/>
      <w:r w:rsidRPr="00B1089D">
        <w:t xml:space="preserve"> </w:t>
      </w:r>
      <w:proofErr w:type="spellStart"/>
      <w:r w:rsidRPr="00B1089D">
        <w:t>asylum</w:t>
      </w:r>
      <w:proofErr w:type="spellEnd"/>
      <w:r w:rsidRPr="00B1089D">
        <w:t xml:space="preserve"> </w:t>
      </w:r>
      <w:proofErr w:type="spellStart"/>
      <w:r w:rsidRPr="00B1089D">
        <w:t>to</w:t>
      </w:r>
      <w:proofErr w:type="spellEnd"/>
      <w:r w:rsidRPr="00B1089D">
        <w:t xml:space="preserve"> Prime </w:t>
      </w:r>
      <w:proofErr w:type="spellStart"/>
      <w:r w:rsidRPr="00B1089D">
        <w:t>Minister</w:t>
      </w:r>
      <w:proofErr w:type="spellEnd"/>
      <w:r w:rsidRPr="00B1089D">
        <w:t xml:space="preserve"> </w:t>
      </w:r>
      <w:proofErr w:type="spellStart"/>
      <w:r w:rsidRPr="00B1089D">
        <w:t>Sheikh</w:t>
      </w:r>
      <w:proofErr w:type="spellEnd"/>
      <w:r w:rsidRPr="00B1089D">
        <w:t xml:space="preserve"> </w:t>
      </w:r>
      <w:proofErr w:type="spellStart"/>
      <w:r w:rsidRPr="00B1089D">
        <w:t>Hasina</w:t>
      </w:r>
      <w:proofErr w:type="spellEnd"/>
      <w:r w:rsidRPr="00B1089D">
        <w:t xml:space="preserve">, </w:t>
      </w:r>
      <w:proofErr w:type="spellStart"/>
      <w:r w:rsidRPr="00B1089D">
        <w:t>who</w:t>
      </w:r>
      <w:proofErr w:type="spellEnd"/>
      <w:r w:rsidRPr="00B1089D">
        <w:t xml:space="preserve"> </w:t>
      </w:r>
      <w:proofErr w:type="spellStart"/>
      <w:r w:rsidRPr="00B1089D">
        <w:t>fled</w:t>
      </w:r>
      <w:proofErr w:type="spellEnd"/>
      <w:r w:rsidRPr="00B1089D">
        <w:t xml:space="preserve"> </w:t>
      </w:r>
      <w:proofErr w:type="spellStart"/>
      <w:r w:rsidRPr="00B1089D">
        <w:t>the</w:t>
      </w:r>
      <w:proofErr w:type="spellEnd"/>
      <w:r w:rsidRPr="00B1089D">
        <w:t xml:space="preserve"> </w:t>
      </w:r>
      <w:proofErr w:type="spellStart"/>
      <w:r w:rsidRPr="00B1089D">
        <w:t>country</w:t>
      </w:r>
      <w:proofErr w:type="spellEnd"/>
      <w:r w:rsidRPr="00B1089D">
        <w:t xml:space="preserve"> </w:t>
      </w:r>
      <w:proofErr w:type="spellStart"/>
      <w:r w:rsidRPr="00B1089D">
        <w:t>during</w:t>
      </w:r>
      <w:proofErr w:type="spellEnd"/>
      <w:r w:rsidRPr="00B1089D">
        <w:t xml:space="preserve"> </w:t>
      </w:r>
      <w:proofErr w:type="spellStart"/>
      <w:r w:rsidRPr="00B1089D">
        <w:t>the</w:t>
      </w:r>
      <w:proofErr w:type="spellEnd"/>
      <w:r w:rsidRPr="00B1089D">
        <w:t xml:space="preserve"> </w:t>
      </w:r>
      <w:proofErr w:type="spellStart"/>
      <w:r w:rsidRPr="00B1089D">
        <w:t>July</w:t>
      </w:r>
      <w:proofErr w:type="spellEnd"/>
      <w:r w:rsidRPr="00B1089D">
        <w:t xml:space="preserve"> </w:t>
      </w:r>
      <w:proofErr w:type="spellStart"/>
      <w:r w:rsidRPr="00B1089D">
        <w:t>Revolution</w:t>
      </w:r>
      <w:proofErr w:type="spellEnd"/>
      <w:r w:rsidRPr="00B1089D">
        <w:t xml:space="preserve"> </w:t>
      </w:r>
      <w:proofErr w:type="spellStart"/>
      <w:r w:rsidRPr="00B1089D">
        <w:t>and</w:t>
      </w:r>
      <w:proofErr w:type="spellEnd"/>
      <w:r w:rsidRPr="00B1089D">
        <w:t xml:space="preserve"> is </w:t>
      </w:r>
      <w:proofErr w:type="spellStart"/>
      <w:r w:rsidRPr="00B1089D">
        <w:t>providing</w:t>
      </w:r>
      <w:proofErr w:type="spellEnd"/>
      <w:r w:rsidRPr="00B1089D">
        <w:t xml:space="preserve"> her </w:t>
      </w:r>
      <w:proofErr w:type="spellStart"/>
      <w:r w:rsidRPr="00B1089D">
        <w:t>comprehensive</w:t>
      </w:r>
      <w:proofErr w:type="spellEnd"/>
      <w:r w:rsidRPr="00B1089D">
        <w:t xml:space="preserve"> </w:t>
      </w:r>
      <w:proofErr w:type="spellStart"/>
      <w:r w:rsidRPr="00B1089D">
        <w:t>support</w:t>
      </w:r>
      <w:proofErr w:type="spellEnd"/>
      <w:r w:rsidRPr="00B1089D">
        <w:t xml:space="preserve">. </w:t>
      </w:r>
      <w:proofErr w:type="spellStart"/>
      <w:r w:rsidRPr="00B1089D">
        <w:t>In</w:t>
      </w:r>
      <w:proofErr w:type="spellEnd"/>
      <w:r w:rsidRPr="00B1089D">
        <w:t xml:space="preserve"> </w:t>
      </w:r>
      <w:proofErr w:type="spellStart"/>
      <w:r w:rsidRPr="00B1089D">
        <w:t>addition</w:t>
      </w:r>
      <w:proofErr w:type="spellEnd"/>
      <w:r w:rsidRPr="00B1089D">
        <w:t xml:space="preserve">, </w:t>
      </w:r>
      <w:proofErr w:type="spellStart"/>
      <w:r w:rsidRPr="00B1089D">
        <w:t>India</w:t>
      </w:r>
      <w:proofErr w:type="spellEnd"/>
      <w:r w:rsidRPr="00B1089D">
        <w:t xml:space="preserve"> is </w:t>
      </w:r>
      <w:proofErr w:type="spellStart"/>
      <w:r w:rsidRPr="00B1089D">
        <w:t>providing</w:t>
      </w:r>
      <w:proofErr w:type="spellEnd"/>
      <w:r w:rsidRPr="00B1089D">
        <w:t xml:space="preserve"> </w:t>
      </w:r>
      <w:proofErr w:type="spellStart"/>
      <w:r w:rsidRPr="00B1089D">
        <w:t>shelter</w:t>
      </w:r>
      <w:proofErr w:type="spellEnd"/>
      <w:r w:rsidRPr="00B1089D">
        <w:t xml:space="preserve"> </w:t>
      </w:r>
      <w:proofErr w:type="spellStart"/>
      <w:r w:rsidRPr="00B1089D">
        <w:t>and</w:t>
      </w:r>
      <w:proofErr w:type="spellEnd"/>
      <w:r w:rsidRPr="00B1089D">
        <w:t xml:space="preserve"> </w:t>
      </w:r>
      <w:proofErr w:type="spellStart"/>
      <w:r w:rsidRPr="00B1089D">
        <w:t>security</w:t>
      </w:r>
      <w:proofErr w:type="spellEnd"/>
      <w:r w:rsidRPr="00B1089D">
        <w:t xml:space="preserve"> </w:t>
      </w:r>
      <w:proofErr w:type="spellStart"/>
      <w:r w:rsidRPr="00B1089D">
        <w:t>to</w:t>
      </w:r>
      <w:proofErr w:type="spellEnd"/>
      <w:r w:rsidRPr="00B1089D">
        <w:t xml:space="preserve"> </w:t>
      </w:r>
      <w:proofErr w:type="spellStart"/>
      <w:r w:rsidRPr="00B1089D">
        <w:t>many</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ministers</w:t>
      </w:r>
      <w:proofErr w:type="spellEnd"/>
      <w:r w:rsidRPr="00B1089D">
        <w:t xml:space="preserve">, </w:t>
      </w:r>
      <w:proofErr w:type="spellStart"/>
      <w:r w:rsidRPr="00B1089D">
        <w:t>MPs</w:t>
      </w:r>
      <w:proofErr w:type="spellEnd"/>
      <w:r w:rsidRPr="00B1089D">
        <w:t xml:space="preserve"> </w:t>
      </w:r>
      <w:proofErr w:type="spellStart"/>
      <w:r w:rsidRPr="00B1089D">
        <w:t>and</w:t>
      </w:r>
      <w:proofErr w:type="spellEnd"/>
      <w:r w:rsidRPr="00B1089D">
        <w:t xml:space="preserve"> </w:t>
      </w:r>
      <w:proofErr w:type="spellStart"/>
      <w:r w:rsidRPr="00B1089D">
        <w:t>workers</w:t>
      </w:r>
      <w:proofErr w:type="spellEnd"/>
      <w:r w:rsidRPr="00B1089D">
        <w:t xml:space="preserve">, </w:t>
      </w:r>
      <w:proofErr w:type="spellStart"/>
      <w:r w:rsidRPr="00B1089D">
        <w:t>which</w:t>
      </w:r>
      <w:proofErr w:type="spellEnd"/>
      <w:r w:rsidRPr="00B1089D">
        <w:t xml:space="preserve"> is </w:t>
      </w:r>
      <w:proofErr w:type="spellStart"/>
      <w:r w:rsidRPr="00B1089D">
        <w:t>negatively</w:t>
      </w:r>
      <w:proofErr w:type="spellEnd"/>
      <w:r w:rsidRPr="00B1089D">
        <w:t xml:space="preserve"> </w:t>
      </w:r>
      <w:proofErr w:type="spellStart"/>
      <w:r w:rsidRPr="00B1089D">
        <w:t>affecting</w:t>
      </w:r>
      <w:proofErr w:type="spellEnd"/>
      <w:r w:rsidRPr="00B1089D">
        <w:t xml:space="preserve"> </w:t>
      </w:r>
      <w:proofErr w:type="spellStart"/>
      <w:r w:rsidRPr="00B1089D">
        <w:t>the</w:t>
      </w:r>
      <w:proofErr w:type="spellEnd"/>
      <w:r w:rsidRPr="00B1089D">
        <w:t xml:space="preserve"> </w:t>
      </w:r>
      <w:proofErr w:type="spellStart"/>
      <w:r w:rsidRPr="00B1089D">
        <w:t>relations</w:t>
      </w:r>
      <w:proofErr w:type="spellEnd"/>
      <w:r w:rsidRPr="00B1089D">
        <w:t xml:space="preserve"> </w:t>
      </w:r>
      <w:proofErr w:type="spellStart"/>
      <w:r w:rsidRPr="00B1089D">
        <w:t>between</w:t>
      </w:r>
      <w:proofErr w:type="spellEnd"/>
      <w:r w:rsidRPr="00B1089D">
        <w:t xml:space="preserve"> </w:t>
      </w:r>
      <w:proofErr w:type="spellStart"/>
      <w:r w:rsidRPr="00B1089D">
        <w:t>Bangladesh</w:t>
      </w:r>
      <w:proofErr w:type="spellEnd"/>
      <w:r w:rsidRPr="00B1089D">
        <w:t xml:space="preserve"> </w:t>
      </w:r>
      <w:proofErr w:type="spellStart"/>
      <w:r w:rsidRPr="00B1089D">
        <w:t>and</w:t>
      </w:r>
      <w:proofErr w:type="spellEnd"/>
      <w:r w:rsidRPr="00B1089D">
        <w:t xml:space="preserve"> </w:t>
      </w:r>
      <w:proofErr w:type="spellStart"/>
      <w:r w:rsidRPr="00B1089D">
        <w:t>India</w:t>
      </w:r>
      <w:proofErr w:type="spellEnd"/>
      <w:r w:rsidRPr="00B1089D">
        <w:t xml:space="preserve">. </w:t>
      </w:r>
      <w:proofErr w:type="spellStart"/>
      <w:r w:rsidRPr="00B1089D">
        <w:t>Bangladesh's</w:t>
      </w:r>
      <w:proofErr w:type="spellEnd"/>
      <w:r w:rsidRPr="00B1089D">
        <w:t xml:space="preserve"> </w:t>
      </w:r>
      <w:proofErr w:type="spellStart"/>
      <w:r w:rsidRPr="00B1089D">
        <w:t>youth</w:t>
      </w:r>
      <w:proofErr w:type="spellEnd"/>
      <w:r w:rsidRPr="00B1089D">
        <w:t xml:space="preserve"> </w:t>
      </w:r>
      <w:proofErr w:type="spellStart"/>
      <w:r w:rsidRPr="00B1089D">
        <w:t>are</w:t>
      </w:r>
      <w:proofErr w:type="spellEnd"/>
      <w:r w:rsidRPr="00B1089D">
        <w:t xml:space="preserve"> </w:t>
      </w:r>
      <w:proofErr w:type="spellStart"/>
      <w:r w:rsidRPr="00B1089D">
        <w:t>highly</w:t>
      </w:r>
      <w:proofErr w:type="spellEnd"/>
      <w:r w:rsidRPr="00B1089D">
        <w:t xml:space="preserve"> </w:t>
      </w:r>
      <w:proofErr w:type="spellStart"/>
      <w:r w:rsidRPr="00B1089D">
        <w:t>dissatisfied</w:t>
      </w:r>
      <w:proofErr w:type="spellEnd"/>
      <w:r w:rsidRPr="00B1089D">
        <w:t xml:space="preserve"> </w:t>
      </w:r>
      <w:proofErr w:type="spellStart"/>
      <w:r w:rsidRPr="00B1089D">
        <w:t>with</w:t>
      </w:r>
      <w:proofErr w:type="spellEnd"/>
      <w:r w:rsidRPr="00B1089D">
        <w:t xml:space="preserve"> </w:t>
      </w:r>
      <w:proofErr w:type="spellStart"/>
      <w:r w:rsidRPr="00B1089D">
        <w:t>India</w:t>
      </w:r>
      <w:proofErr w:type="spellEnd"/>
      <w:r w:rsidRPr="00B1089D">
        <w:t xml:space="preserve"> </w:t>
      </w:r>
      <w:proofErr w:type="spellStart"/>
      <w:r w:rsidRPr="00B1089D">
        <w:t>for</w:t>
      </w:r>
      <w:proofErr w:type="spellEnd"/>
      <w:r w:rsidRPr="00B1089D">
        <w:t xml:space="preserve"> </w:t>
      </w:r>
      <w:proofErr w:type="spellStart"/>
      <w:r w:rsidRPr="00B1089D">
        <w:t>providing</w:t>
      </w:r>
      <w:proofErr w:type="spellEnd"/>
      <w:r w:rsidRPr="00B1089D">
        <w:t xml:space="preserve"> </w:t>
      </w:r>
      <w:proofErr w:type="spellStart"/>
      <w:r w:rsidRPr="00B1089D">
        <w:t>security</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autocratic</w:t>
      </w:r>
      <w:proofErr w:type="spellEnd"/>
      <w:r w:rsidRPr="00B1089D">
        <w:t xml:space="preserve"> </w:t>
      </w:r>
      <w:proofErr w:type="spellStart"/>
      <w:r w:rsidRPr="00B1089D">
        <w:t>Sheikh</w:t>
      </w:r>
      <w:proofErr w:type="spellEnd"/>
      <w:r w:rsidRPr="00B1089D">
        <w:t xml:space="preserve"> </w:t>
      </w:r>
      <w:proofErr w:type="spellStart"/>
      <w:r w:rsidRPr="00B1089D">
        <w:t>Hasina</w:t>
      </w:r>
      <w:proofErr w:type="spellEnd"/>
      <w:r w:rsidRPr="00B1089D">
        <w:t xml:space="preserve"> </w:t>
      </w:r>
      <w:proofErr w:type="spellStart"/>
      <w:r w:rsidRPr="00B1089D">
        <w:t>and</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leaders</w:t>
      </w:r>
      <w:proofErr w:type="spellEnd"/>
      <w:r w:rsidRPr="00B1089D">
        <w:t xml:space="preserve">. On </w:t>
      </w:r>
      <w:proofErr w:type="spellStart"/>
      <w:r w:rsidRPr="00B1089D">
        <w:t>the</w:t>
      </w:r>
      <w:proofErr w:type="spellEnd"/>
      <w:r w:rsidRPr="00B1089D">
        <w:t xml:space="preserve"> </w:t>
      </w:r>
      <w:proofErr w:type="spellStart"/>
      <w:r w:rsidRPr="00B1089D">
        <w:t>other</w:t>
      </w:r>
      <w:proofErr w:type="spellEnd"/>
      <w:r w:rsidRPr="00B1089D">
        <w:t xml:space="preserve"> </w:t>
      </w:r>
      <w:proofErr w:type="spellStart"/>
      <w:r w:rsidRPr="00B1089D">
        <w:t>hand</w:t>
      </w:r>
      <w:proofErr w:type="spellEnd"/>
      <w:r w:rsidRPr="00B1089D">
        <w:t xml:space="preserve">, </w:t>
      </w:r>
      <w:proofErr w:type="spellStart"/>
      <w:r w:rsidRPr="00B1089D">
        <w:t>some</w:t>
      </w:r>
      <w:proofErr w:type="spellEnd"/>
      <w:r w:rsidRPr="00B1089D">
        <w:t xml:space="preserve"> </w:t>
      </w:r>
      <w:proofErr w:type="spellStart"/>
      <w:r w:rsidRPr="00B1089D">
        <w:t>Hindutva</w:t>
      </w:r>
      <w:proofErr w:type="spellEnd"/>
      <w:r w:rsidRPr="00B1089D">
        <w:t xml:space="preserve"> </w:t>
      </w:r>
      <w:proofErr w:type="spellStart"/>
      <w:r w:rsidRPr="00B1089D">
        <w:t>organisations</w:t>
      </w:r>
      <w:proofErr w:type="spellEnd"/>
      <w:r w:rsidRPr="00B1089D">
        <w:t xml:space="preserve"> </w:t>
      </w:r>
      <w:proofErr w:type="spellStart"/>
      <w:r w:rsidRPr="00B1089D">
        <w:t>have</w:t>
      </w:r>
      <w:proofErr w:type="spellEnd"/>
      <w:r w:rsidRPr="00B1089D">
        <w:t xml:space="preserve"> </w:t>
      </w:r>
      <w:proofErr w:type="spellStart"/>
      <w:r w:rsidRPr="00B1089D">
        <w:t>attacked</w:t>
      </w:r>
      <w:proofErr w:type="spellEnd"/>
      <w:r w:rsidRPr="00B1089D">
        <w:t xml:space="preserve"> </w:t>
      </w:r>
      <w:proofErr w:type="spellStart"/>
      <w:r w:rsidRPr="00B1089D">
        <w:t>and</w:t>
      </w:r>
      <w:proofErr w:type="spellEnd"/>
      <w:r w:rsidRPr="00B1089D">
        <w:t xml:space="preserve"> </w:t>
      </w:r>
      <w:proofErr w:type="spellStart"/>
      <w:r w:rsidRPr="00B1089D">
        <w:t>vandalised</w:t>
      </w:r>
      <w:proofErr w:type="spellEnd"/>
      <w:r w:rsidRPr="00B1089D">
        <w:t xml:space="preserve"> </w:t>
      </w:r>
      <w:proofErr w:type="spellStart"/>
      <w:r w:rsidRPr="00B1089D">
        <w:t>the</w:t>
      </w:r>
      <w:proofErr w:type="spellEnd"/>
      <w:r w:rsidRPr="00B1089D">
        <w:t xml:space="preserve"> </w:t>
      </w:r>
      <w:proofErr w:type="spellStart"/>
      <w:r w:rsidRPr="00B1089D">
        <w:t>premises</w:t>
      </w:r>
      <w:proofErr w:type="spellEnd"/>
      <w:r w:rsidRPr="00B1089D">
        <w:t xml:space="preserve"> of </w:t>
      </w:r>
      <w:proofErr w:type="spellStart"/>
      <w:r w:rsidRPr="00B1089D">
        <w:t>the</w:t>
      </w:r>
      <w:proofErr w:type="spellEnd"/>
      <w:r w:rsidRPr="00B1089D">
        <w:t xml:space="preserve"> </w:t>
      </w:r>
      <w:proofErr w:type="spellStart"/>
      <w:r w:rsidRPr="00B1089D">
        <w:t>Bangladesh</w:t>
      </w:r>
      <w:proofErr w:type="spellEnd"/>
      <w:r w:rsidRPr="00B1089D">
        <w:t xml:space="preserve"> </w:t>
      </w:r>
      <w:proofErr w:type="spellStart"/>
      <w:r w:rsidRPr="00B1089D">
        <w:t>Assistant</w:t>
      </w:r>
      <w:proofErr w:type="spellEnd"/>
      <w:r w:rsidRPr="00B1089D">
        <w:t xml:space="preserve"> High </w:t>
      </w:r>
      <w:proofErr w:type="spellStart"/>
      <w:r w:rsidRPr="00B1089D">
        <w:t>Commission</w:t>
      </w:r>
      <w:proofErr w:type="spellEnd"/>
      <w:r w:rsidRPr="00B1089D">
        <w:t xml:space="preserve"> in </w:t>
      </w:r>
      <w:proofErr w:type="spellStart"/>
      <w:r w:rsidRPr="00B1089D">
        <w:t>Agartala</w:t>
      </w:r>
      <w:proofErr w:type="spellEnd"/>
      <w:r w:rsidRPr="00B1089D">
        <w:t xml:space="preserve">, </w:t>
      </w:r>
      <w:proofErr w:type="spellStart"/>
      <w:r w:rsidRPr="00B1089D">
        <w:t>India</w:t>
      </w:r>
      <w:proofErr w:type="spellEnd"/>
      <w:r w:rsidRPr="00B1089D">
        <w:t xml:space="preserve">, </w:t>
      </w:r>
      <w:proofErr w:type="spellStart"/>
      <w:r w:rsidRPr="00B1089D">
        <w:t>falsely</w:t>
      </w:r>
      <w:proofErr w:type="spellEnd"/>
      <w:r w:rsidRPr="00B1089D">
        <w:t xml:space="preserve"> </w:t>
      </w:r>
      <w:proofErr w:type="spellStart"/>
      <w:r w:rsidRPr="00B1089D">
        <w:t>alleging</w:t>
      </w:r>
      <w:proofErr w:type="spellEnd"/>
      <w:r w:rsidRPr="00B1089D">
        <w:t xml:space="preserve"> </w:t>
      </w:r>
      <w:proofErr w:type="spellStart"/>
      <w:r w:rsidRPr="00B1089D">
        <w:t>persecution</w:t>
      </w:r>
      <w:proofErr w:type="spellEnd"/>
      <w:r w:rsidRPr="00B1089D">
        <w:t xml:space="preserve"> of </w:t>
      </w:r>
      <w:proofErr w:type="spellStart"/>
      <w:r w:rsidRPr="00B1089D">
        <w:t>Hindus</w:t>
      </w:r>
      <w:proofErr w:type="spellEnd"/>
      <w:r w:rsidRPr="00B1089D">
        <w:t xml:space="preserve"> in </w:t>
      </w:r>
      <w:proofErr w:type="spellStart"/>
      <w:r w:rsidRPr="00B1089D">
        <w:t>Bangladesh</w:t>
      </w:r>
      <w:proofErr w:type="spellEnd"/>
      <w:r w:rsidRPr="00B1089D">
        <w:t xml:space="preserve"> </w:t>
      </w:r>
      <w:proofErr w:type="spellStart"/>
      <w:r w:rsidRPr="00B1089D">
        <w:t>after</w:t>
      </w:r>
      <w:proofErr w:type="spellEnd"/>
      <w:r w:rsidRPr="00B1089D">
        <w:t xml:space="preserve"> </w:t>
      </w:r>
      <w:proofErr w:type="spellStart"/>
      <w:r w:rsidRPr="00B1089D">
        <w:t>the</w:t>
      </w:r>
      <w:proofErr w:type="spellEnd"/>
      <w:r w:rsidRPr="00B1089D">
        <w:t xml:space="preserve"> </w:t>
      </w:r>
      <w:proofErr w:type="spellStart"/>
      <w:r w:rsidRPr="00B1089D">
        <w:t>revolution</w:t>
      </w:r>
      <w:proofErr w:type="spellEnd"/>
      <w:r w:rsidRPr="00B1089D">
        <w:t xml:space="preserve">. Hindu </w:t>
      </w:r>
      <w:proofErr w:type="spellStart"/>
      <w:r w:rsidRPr="00B1089D">
        <w:t>nationalist</w:t>
      </w:r>
      <w:proofErr w:type="spellEnd"/>
      <w:r w:rsidRPr="00B1089D">
        <w:t xml:space="preserve"> </w:t>
      </w:r>
      <w:proofErr w:type="spellStart"/>
      <w:r w:rsidRPr="00B1089D">
        <w:t>organisations</w:t>
      </w:r>
      <w:proofErr w:type="spellEnd"/>
      <w:r w:rsidRPr="00B1089D">
        <w:t xml:space="preserve"> </w:t>
      </w:r>
      <w:proofErr w:type="spellStart"/>
      <w:r w:rsidRPr="00B1089D">
        <w:t>have</w:t>
      </w:r>
      <w:proofErr w:type="spellEnd"/>
      <w:r w:rsidRPr="00B1089D">
        <w:t xml:space="preserve"> </w:t>
      </w:r>
      <w:proofErr w:type="spellStart"/>
      <w:r w:rsidRPr="00B1089D">
        <w:t>staged</w:t>
      </w:r>
      <w:proofErr w:type="spellEnd"/>
      <w:r w:rsidRPr="00B1089D">
        <w:t xml:space="preserve"> </w:t>
      </w:r>
      <w:proofErr w:type="spellStart"/>
      <w:r w:rsidRPr="00B1089D">
        <w:t>protests</w:t>
      </w:r>
      <w:proofErr w:type="spellEnd"/>
      <w:r w:rsidRPr="00B1089D">
        <w:t xml:space="preserve"> in </w:t>
      </w:r>
      <w:proofErr w:type="spellStart"/>
      <w:r w:rsidRPr="00B1089D">
        <w:t>front</w:t>
      </w:r>
      <w:proofErr w:type="spellEnd"/>
      <w:r w:rsidRPr="00B1089D">
        <w:t xml:space="preserve"> of </w:t>
      </w:r>
      <w:proofErr w:type="spellStart"/>
      <w:r w:rsidRPr="00B1089D">
        <w:t>the</w:t>
      </w:r>
      <w:proofErr w:type="spellEnd"/>
      <w:r w:rsidRPr="00B1089D">
        <w:t xml:space="preserve"> </w:t>
      </w:r>
      <w:proofErr w:type="spellStart"/>
      <w:r w:rsidRPr="00B1089D">
        <w:t>Bangladesh</w:t>
      </w:r>
      <w:proofErr w:type="spellEnd"/>
      <w:r w:rsidRPr="00B1089D">
        <w:t xml:space="preserve"> </w:t>
      </w:r>
      <w:proofErr w:type="spellStart"/>
      <w:r w:rsidRPr="00B1089D">
        <w:t>Deputy</w:t>
      </w:r>
      <w:proofErr w:type="spellEnd"/>
      <w:r w:rsidRPr="00B1089D">
        <w:t xml:space="preserve"> High </w:t>
      </w:r>
      <w:proofErr w:type="spellStart"/>
      <w:r w:rsidRPr="00B1089D">
        <w:t>Commission</w:t>
      </w:r>
      <w:proofErr w:type="spellEnd"/>
      <w:r w:rsidRPr="00B1089D">
        <w:t xml:space="preserve"> in </w:t>
      </w:r>
      <w:proofErr w:type="spellStart"/>
      <w:r w:rsidRPr="00B1089D">
        <w:t>Kolkata</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Bangladesh</w:t>
      </w:r>
      <w:proofErr w:type="spellEnd"/>
      <w:r w:rsidRPr="00B1089D">
        <w:t xml:space="preserve"> High </w:t>
      </w:r>
      <w:proofErr w:type="spellStart"/>
      <w:r w:rsidRPr="00B1089D">
        <w:t>Commission</w:t>
      </w:r>
      <w:proofErr w:type="spellEnd"/>
      <w:r w:rsidRPr="00B1089D">
        <w:t xml:space="preserve"> in Delhi. </w:t>
      </w:r>
      <w:proofErr w:type="spellStart"/>
      <w:r w:rsidRPr="00B1089D">
        <w:t>There</w:t>
      </w:r>
      <w:proofErr w:type="spellEnd"/>
      <w:r w:rsidRPr="00B1089D">
        <w:t xml:space="preserve"> has </w:t>
      </w:r>
      <w:proofErr w:type="spellStart"/>
      <w:r w:rsidRPr="00B1089D">
        <w:t>been</w:t>
      </w:r>
      <w:proofErr w:type="spellEnd"/>
      <w:r w:rsidRPr="00B1089D">
        <w:t xml:space="preserve"> </w:t>
      </w:r>
      <w:proofErr w:type="spellStart"/>
      <w:r w:rsidRPr="00B1089D">
        <w:t>regular</w:t>
      </w:r>
      <w:proofErr w:type="spellEnd"/>
      <w:r w:rsidRPr="00B1089D">
        <w:t xml:space="preserve"> </w:t>
      </w:r>
      <w:proofErr w:type="spellStart"/>
      <w:r w:rsidRPr="00B1089D">
        <w:t>tension</w:t>
      </w:r>
      <w:proofErr w:type="spellEnd"/>
      <w:r w:rsidRPr="00B1089D">
        <w:t xml:space="preserve"> on </w:t>
      </w:r>
      <w:proofErr w:type="spellStart"/>
      <w:r w:rsidRPr="00B1089D">
        <w:t>the</w:t>
      </w:r>
      <w:proofErr w:type="spellEnd"/>
      <w:r w:rsidRPr="00B1089D">
        <w:t xml:space="preserve"> </w:t>
      </w:r>
      <w:proofErr w:type="spellStart"/>
      <w:r w:rsidRPr="00B1089D">
        <w:t>Bangladesh-India</w:t>
      </w:r>
      <w:proofErr w:type="spellEnd"/>
      <w:r w:rsidRPr="00B1089D">
        <w:t xml:space="preserve"> </w:t>
      </w:r>
      <w:proofErr w:type="spellStart"/>
      <w:r w:rsidRPr="00B1089D">
        <w:t>border</w:t>
      </w:r>
      <w:proofErr w:type="spellEnd"/>
      <w:r w:rsidRPr="00B1089D">
        <w:t xml:space="preserve">. </w:t>
      </w:r>
      <w:proofErr w:type="spellStart"/>
      <w:r w:rsidRPr="00B1089D">
        <w:t>Ordinary</w:t>
      </w:r>
      <w:proofErr w:type="spellEnd"/>
      <w:r w:rsidRPr="00B1089D">
        <w:t xml:space="preserve"> </w:t>
      </w:r>
      <w:proofErr w:type="spellStart"/>
      <w:r w:rsidRPr="00B1089D">
        <w:t>people</w:t>
      </w:r>
      <w:proofErr w:type="spellEnd"/>
      <w:r w:rsidRPr="00B1089D">
        <w:t xml:space="preserve"> </w:t>
      </w:r>
      <w:proofErr w:type="spellStart"/>
      <w:r w:rsidRPr="00B1089D">
        <w:t>join</w:t>
      </w:r>
      <w:proofErr w:type="spellEnd"/>
      <w:r w:rsidRPr="00B1089D">
        <w:t xml:space="preserve"> in on </w:t>
      </w:r>
      <w:proofErr w:type="spellStart"/>
      <w:r w:rsidRPr="00B1089D">
        <w:t>these</w:t>
      </w:r>
      <w:proofErr w:type="spellEnd"/>
      <w:r w:rsidRPr="00B1089D">
        <w:t xml:space="preserve"> </w:t>
      </w:r>
      <w:proofErr w:type="spellStart"/>
      <w:r w:rsidRPr="00B1089D">
        <w:t>tensions</w:t>
      </w:r>
      <w:proofErr w:type="spellEnd"/>
      <w:r w:rsidRPr="00B1089D">
        <w:t xml:space="preserve"> </w:t>
      </w:r>
      <w:proofErr w:type="spellStart"/>
      <w:r w:rsidRPr="00B1089D">
        <w:t>along</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forces</w:t>
      </w:r>
      <w:proofErr w:type="spellEnd"/>
      <w:r w:rsidRPr="00B1089D">
        <w:t xml:space="preserve"> </w:t>
      </w:r>
      <w:proofErr w:type="spellStart"/>
      <w:r w:rsidRPr="00B1089D">
        <w:t>deployed</w:t>
      </w:r>
      <w:proofErr w:type="spellEnd"/>
      <w:r w:rsidRPr="00B1089D">
        <w:t xml:space="preserve"> on </w:t>
      </w:r>
      <w:proofErr w:type="spellStart"/>
      <w:r w:rsidRPr="00B1089D">
        <w:t>the</w:t>
      </w:r>
      <w:proofErr w:type="spellEnd"/>
      <w:r w:rsidRPr="00B1089D">
        <w:t xml:space="preserve"> </w:t>
      </w:r>
      <w:proofErr w:type="spellStart"/>
      <w:r w:rsidRPr="00B1089D">
        <w:t>border</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also</w:t>
      </w:r>
      <w:proofErr w:type="spellEnd"/>
      <w:r w:rsidRPr="00B1089D">
        <w:t xml:space="preserve"> </w:t>
      </w:r>
      <w:proofErr w:type="spellStart"/>
      <w:r w:rsidRPr="00B1089D">
        <w:t>found</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official</w:t>
      </w:r>
      <w:proofErr w:type="spellEnd"/>
      <w:r w:rsidRPr="00B1089D">
        <w:t xml:space="preserve"> </w:t>
      </w:r>
      <w:proofErr w:type="spellStart"/>
      <w:r w:rsidRPr="00B1089D">
        <w:t>response</w:t>
      </w:r>
      <w:proofErr w:type="spellEnd"/>
      <w:r w:rsidRPr="00B1089D">
        <w:t xml:space="preserve"> of </w:t>
      </w:r>
      <w:proofErr w:type="spellStart"/>
      <w:r w:rsidRPr="00B1089D">
        <w:t>Indian</w:t>
      </w:r>
      <w:proofErr w:type="spellEnd"/>
      <w:r w:rsidRPr="00B1089D">
        <w:t xml:space="preserve"> </w:t>
      </w:r>
      <w:proofErr w:type="spellStart"/>
      <w:r w:rsidRPr="00B1089D">
        <w:t>authorities</w:t>
      </w:r>
      <w:proofErr w:type="spellEnd"/>
      <w:r w:rsidRPr="00B1089D">
        <w:t xml:space="preserve"> </w:t>
      </w:r>
      <w:proofErr w:type="spellStart"/>
      <w:r w:rsidRPr="00B1089D">
        <w:t>to</w:t>
      </w:r>
      <w:proofErr w:type="spellEnd"/>
      <w:r w:rsidRPr="00B1089D">
        <w:t xml:space="preserve"> </w:t>
      </w:r>
      <w:proofErr w:type="spellStart"/>
      <w:r w:rsidRPr="00B1089D">
        <w:t>various</w:t>
      </w:r>
      <w:proofErr w:type="spellEnd"/>
      <w:r w:rsidRPr="00B1089D">
        <w:t xml:space="preserve"> </w:t>
      </w:r>
      <w:proofErr w:type="spellStart"/>
      <w:r w:rsidRPr="00B1089D">
        <w:t>incidents</w:t>
      </w:r>
      <w:proofErr w:type="spellEnd"/>
      <w:r w:rsidRPr="00B1089D">
        <w:t xml:space="preserve"> in </w:t>
      </w:r>
      <w:proofErr w:type="spellStart"/>
      <w:r w:rsidRPr="00B1089D">
        <w:t>Bangladesh</w:t>
      </w:r>
      <w:proofErr w:type="spellEnd"/>
      <w:r w:rsidRPr="00B1089D">
        <w:t xml:space="preserve"> is </w:t>
      </w:r>
      <w:proofErr w:type="spellStart"/>
      <w:r w:rsidRPr="00B1089D">
        <w:t>also</w:t>
      </w:r>
      <w:proofErr w:type="spellEnd"/>
      <w:r w:rsidRPr="00B1089D">
        <w:t xml:space="preserve"> </w:t>
      </w:r>
      <w:proofErr w:type="spellStart"/>
      <w:r w:rsidRPr="00B1089D">
        <w:t>fueling</w:t>
      </w:r>
      <w:proofErr w:type="spellEnd"/>
      <w:r w:rsidRPr="00B1089D">
        <w:t xml:space="preserve"> anti-</w:t>
      </w:r>
      <w:proofErr w:type="spellStart"/>
      <w:r w:rsidRPr="00B1089D">
        <w:t>India</w:t>
      </w:r>
      <w:proofErr w:type="spellEnd"/>
      <w:r w:rsidRPr="00B1089D">
        <w:t xml:space="preserve"> </w:t>
      </w:r>
      <w:proofErr w:type="spellStart"/>
      <w:r w:rsidRPr="00B1089D">
        <w:t>sentiment</w:t>
      </w:r>
      <w:proofErr w:type="spellEnd"/>
      <w:r w:rsidRPr="00B1089D">
        <w:t xml:space="preserve"> in </w:t>
      </w:r>
      <w:proofErr w:type="spellStart"/>
      <w:r w:rsidRPr="00B1089D">
        <w:t>Bangladesh</w:t>
      </w:r>
      <w:proofErr w:type="spellEnd"/>
      <w:r w:rsidRPr="00B1089D">
        <w:t xml:space="preserve">. </w:t>
      </w:r>
      <w:proofErr w:type="spellStart"/>
      <w:r w:rsidRPr="00B1089D">
        <w:t>Significantly</w:t>
      </w:r>
      <w:proofErr w:type="spellEnd"/>
      <w:r w:rsidRPr="00B1089D">
        <w:t xml:space="preserve">, </w:t>
      </w:r>
      <w:proofErr w:type="spellStart"/>
      <w:r w:rsidRPr="00B1089D">
        <w:t>the</w:t>
      </w:r>
      <w:proofErr w:type="spellEnd"/>
      <w:r w:rsidRPr="00B1089D">
        <w:t xml:space="preserve"> anti-</w:t>
      </w:r>
      <w:proofErr w:type="spellStart"/>
      <w:r w:rsidRPr="00B1089D">
        <w:t>Bangladesh</w:t>
      </w:r>
      <w:proofErr w:type="spellEnd"/>
      <w:r w:rsidRPr="00B1089D">
        <w:t xml:space="preserve"> </w:t>
      </w:r>
      <w:proofErr w:type="spellStart"/>
      <w:r w:rsidRPr="00B1089D">
        <w:t>campaign</w:t>
      </w:r>
      <w:proofErr w:type="spellEnd"/>
      <w:r w:rsidRPr="00B1089D">
        <w:t xml:space="preserve"> in </w:t>
      </w:r>
      <w:proofErr w:type="spellStart"/>
      <w:r w:rsidRPr="00B1089D">
        <w:t>the</w:t>
      </w:r>
      <w:proofErr w:type="spellEnd"/>
      <w:r w:rsidRPr="00B1089D">
        <w:t xml:space="preserve"> </w:t>
      </w:r>
      <w:proofErr w:type="spellStart"/>
      <w:r w:rsidRPr="00B1089D">
        <w:t>Indian</w:t>
      </w:r>
      <w:proofErr w:type="spellEnd"/>
      <w:r w:rsidRPr="00B1089D">
        <w:t xml:space="preserve"> </w:t>
      </w:r>
      <w:proofErr w:type="spellStart"/>
      <w:r w:rsidRPr="00B1089D">
        <w:t>media</w:t>
      </w:r>
      <w:proofErr w:type="spellEnd"/>
      <w:r w:rsidRPr="00B1089D">
        <w:t xml:space="preserve"> is </w:t>
      </w:r>
      <w:proofErr w:type="spellStart"/>
      <w:r w:rsidRPr="00B1089D">
        <w:t>seriously</w:t>
      </w:r>
      <w:proofErr w:type="spellEnd"/>
      <w:r w:rsidRPr="00B1089D">
        <w:t xml:space="preserve"> </w:t>
      </w:r>
      <w:proofErr w:type="spellStart"/>
      <w:r w:rsidRPr="00B1089D">
        <w:t>influencing</w:t>
      </w:r>
      <w:proofErr w:type="spellEnd"/>
      <w:r w:rsidRPr="00B1089D">
        <w:t xml:space="preserve"> </w:t>
      </w:r>
      <w:proofErr w:type="spellStart"/>
      <w:r w:rsidRPr="00B1089D">
        <w:t>the</w:t>
      </w:r>
      <w:proofErr w:type="spellEnd"/>
      <w:r w:rsidRPr="00B1089D">
        <w:t xml:space="preserve"> </w:t>
      </w:r>
      <w:proofErr w:type="spellStart"/>
      <w:r w:rsidRPr="00B1089D">
        <w:t>revolutionary</w:t>
      </w:r>
      <w:proofErr w:type="spellEnd"/>
      <w:r w:rsidRPr="00B1089D">
        <w:t xml:space="preserve"> </w:t>
      </w:r>
      <w:proofErr w:type="spellStart"/>
      <w:r w:rsidRPr="00B1089D">
        <w:t>youth</w:t>
      </w:r>
      <w:proofErr w:type="spellEnd"/>
      <w:r w:rsidRPr="00B1089D">
        <w:t xml:space="preserve"> of </w:t>
      </w:r>
      <w:proofErr w:type="spellStart"/>
      <w:r w:rsidRPr="00B1089D">
        <w:t>Bangladesh</w:t>
      </w:r>
      <w:proofErr w:type="spellEnd"/>
      <w:r w:rsidRPr="00B1089D">
        <w:t xml:space="preserve"> </w:t>
      </w:r>
      <w:proofErr w:type="spellStart"/>
      <w:r w:rsidRPr="00B1089D">
        <w:t>to</w:t>
      </w:r>
      <w:proofErr w:type="spellEnd"/>
      <w:r w:rsidRPr="00B1089D">
        <w:t xml:space="preserve"> be anti-</w:t>
      </w:r>
      <w:proofErr w:type="spellStart"/>
      <w:r w:rsidRPr="00B1089D">
        <w:t>India</w:t>
      </w:r>
      <w:proofErr w:type="spellEnd"/>
      <w:r w:rsidRPr="00B1089D">
        <w:t xml:space="preserve">. </w:t>
      </w:r>
      <w:proofErr w:type="spellStart"/>
      <w:r w:rsidRPr="00B1089D">
        <w:t>Therefore</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suggests</w:t>
      </w:r>
      <w:proofErr w:type="spellEnd"/>
      <w:r w:rsidRPr="00B1089D">
        <w:t xml:space="preserve"> </w:t>
      </w:r>
      <w:proofErr w:type="spellStart"/>
      <w:r w:rsidRPr="00B1089D">
        <w:t>that</w:t>
      </w:r>
      <w:proofErr w:type="spellEnd"/>
      <w:r w:rsidRPr="00B1089D">
        <w:t xml:space="preserve"> </w:t>
      </w:r>
      <w:proofErr w:type="spellStart"/>
      <w:r w:rsidRPr="00B1089D">
        <w:t>rational</w:t>
      </w:r>
      <w:proofErr w:type="spellEnd"/>
      <w:r w:rsidRPr="00B1089D">
        <w:t xml:space="preserve"> </w:t>
      </w:r>
      <w:proofErr w:type="spellStart"/>
      <w:r w:rsidRPr="00B1089D">
        <w:t>foreign</w:t>
      </w:r>
      <w:proofErr w:type="spellEnd"/>
      <w:r w:rsidRPr="00B1089D">
        <w:t xml:space="preserve"> </w:t>
      </w:r>
      <w:proofErr w:type="spellStart"/>
      <w:r w:rsidRPr="00B1089D">
        <w:t>policy</w:t>
      </w:r>
      <w:proofErr w:type="spellEnd"/>
      <w:r w:rsidRPr="00B1089D">
        <w:t xml:space="preserve"> </w:t>
      </w:r>
      <w:proofErr w:type="spellStart"/>
      <w:r w:rsidRPr="00B1089D">
        <w:t>actions</w:t>
      </w:r>
      <w:proofErr w:type="spellEnd"/>
      <w:r w:rsidRPr="00B1089D">
        <w:t xml:space="preserve"> can </w:t>
      </w:r>
      <w:proofErr w:type="spellStart"/>
      <w:r w:rsidRPr="00B1089D">
        <w:t>ensure</w:t>
      </w:r>
      <w:proofErr w:type="spellEnd"/>
      <w:r w:rsidRPr="00B1089D">
        <w:t xml:space="preserve"> </w:t>
      </w:r>
      <w:proofErr w:type="spellStart"/>
      <w:r w:rsidRPr="00B1089D">
        <w:t>friendly</w:t>
      </w:r>
      <w:proofErr w:type="spellEnd"/>
      <w:r w:rsidRPr="00B1089D">
        <w:t xml:space="preserve"> </w:t>
      </w:r>
      <w:proofErr w:type="spellStart"/>
      <w:r w:rsidRPr="00B1089D">
        <w:t>relations</w:t>
      </w:r>
      <w:proofErr w:type="spellEnd"/>
      <w:r w:rsidRPr="00B1089D">
        <w:t xml:space="preserve"> </w:t>
      </w:r>
      <w:proofErr w:type="spellStart"/>
      <w:r w:rsidRPr="00B1089D">
        <w:t>between</w:t>
      </w:r>
      <w:proofErr w:type="spellEnd"/>
      <w:r w:rsidRPr="00B1089D">
        <w:t xml:space="preserve"> </w:t>
      </w:r>
      <w:proofErr w:type="spellStart"/>
      <w:r w:rsidRPr="00B1089D">
        <w:t>Bangladesh</w:t>
      </w:r>
      <w:proofErr w:type="spellEnd"/>
      <w:r w:rsidRPr="00B1089D">
        <w:t xml:space="preserve"> </w:t>
      </w:r>
      <w:proofErr w:type="spellStart"/>
      <w:r w:rsidRPr="00B1089D">
        <w:t>and</w:t>
      </w:r>
      <w:proofErr w:type="spellEnd"/>
      <w:r w:rsidRPr="00B1089D">
        <w:t xml:space="preserve"> </w:t>
      </w:r>
      <w:proofErr w:type="spellStart"/>
      <w:r w:rsidRPr="00B1089D">
        <w:t>India</w:t>
      </w:r>
      <w:proofErr w:type="spellEnd"/>
      <w:r w:rsidRPr="00B1089D">
        <w:t>.</w:t>
      </w:r>
    </w:p>
    <w:p w14:paraId="6EE7CE6A" w14:textId="77777777" w:rsidR="00FA457D" w:rsidRPr="00B1089D" w:rsidRDefault="00FA457D" w:rsidP="00E359E0">
      <w:pPr>
        <w:widowControl/>
        <w:jc w:val="both"/>
      </w:pPr>
    </w:p>
    <w:p w14:paraId="4DE69FAF" w14:textId="4EB58123" w:rsidR="00D37D80" w:rsidRDefault="00FA457D" w:rsidP="00E359E0">
      <w:pPr>
        <w:widowControl/>
        <w:jc w:val="both"/>
      </w:pPr>
      <w:proofErr w:type="spellStart"/>
      <w:r w:rsidRPr="00B1089D">
        <w:rPr>
          <w:b/>
          <w:bCs/>
        </w:rPr>
        <w:t>Keywords</w:t>
      </w:r>
      <w:proofErr w:type="spellEnd"/>
      <w:r w:rsidRPr="00B1089D">
        <w:rPr>
          <w:b/>
          <w:bCs/>
        </w:rPr>
        <w:t>:</w:t>
      </w:r>
      <w:r w:rsidRPr="00B1089D">
        <w:t xml:space="preserve"> </w:t>
      </w:r>
      <w:proofErr w:type="spellStart"/>
      <w:r w:rsidRPr="00B1089D">
        <w:t>July</w:t>
      </w:r>
      <w:proofErr w:type="spellEnd"/>
      <w:r w:rsidRPr="00B1089D">
        <w:t xml:space="preserve"> </w:t>
      </w:r>
      <w:proofErr w:type="spellStart"/>
      <w:r w:rsidRPr="00B1089D">
        <w:t>Revolution</w:t>
      </w:r>
      <w:proofErr w:type="spellEnd"/>
      <w:r w:rsidRPr="00B1089D">
        <w:t xml:space="preserve">, </w:t>
      </w:r>
      <w:proofErr w:type="spellStart"/>
      <w:r w:rsidRPr="00B1089D">
        <w:t>Bangladesh</w:t>
      </w:r>
      <w:proofErr w:type="spellEnd"/>
      <w:r w:rsidRPr="00B1089D">
        <w:t xml:space="preserve">, </w:t>
      </w:r>
      <w:proofErr w:type="spellStart"/>
      <w:r w:rsidRPr="00B1089D">
        <w:t>India</w:t>
      </w:r>
      <w:proofErr w:type="spellEnd"/>
      <w:r w:rsidRPr="00B1089D">
        <w:t xml:space="preserve">, </w:t>
      </w:r>
      <w:proofErr w:type="spellStart"/>
      <w:r w:rsidRPr="00B1089D">
        <w:t>Bangladesh</w:t>
      </w:r>
      <w:proofErr w:type="spellEnd"/>
      <w:r w:rsidRPr="00B1089D">
        <w:t xml:space="preserve"> </w:t>
      </w:r>
      <w:proofErr w:type="spellStart"/>
      <w:r w:rsidRPr="00B1089D">
        <w:t>Awami</w:t>
      </w:r>
      <w:proofErr w:type="spellEnd"/>
      <w:r w:rsidRPr="00B1089D">
        <w:t xml:space="preserve"> </w:t>
      </w:r>
      <w:proofErr w:type="spellStart"/>
      <w:r w:rsidRPr="00B1089D">
        <w:t>League</w:t>
      </w:r>
      <w:proofErr w:type="spellEnd"/>
      <w:r w:rsidRPr="00B1089D">
        <w:t xml:space="preserve">, </w:t>
      </w:r>
      <w:proofErr w:type="spellStart"/>
      <w:r w:rsidRPr="00B1089D">
        <w:t>Crisis</w:t>
      </w:r>
      <w:proofErr w:type="spellEnd"/>
    </w:p>
    <w:p w14:paraId="5B46627E" w14:textId="6EFDF1AA" w:rsidR="00A23B3C" w:rsidRPr="00D10870" w:rsidRDefault="00D37D80" w:rsidP="00D37D80">
      <w:pPr>
        <w:autoSpaceDE/>
        <w:autoSpaceDN/>
      </w:pPr>
      <w:r>
        <w:br w:type="page"/>
      </w:r>
    </w:p>
    <w:p w14:paraId="02B4CD53" w14:textId="77777777" w:rsidR="00FA457D" w:rsidRPr="00B1089D" w:rsidRDefault="00FA457D" w:rsidP="004C7694">
      <w:pPr>
        <w:pStyle w:val="Tark"/>
      </w:pPr>
      <w:bookmarkStart w:id="250" w:name="_Toc192855272"/>
      <w:r w:rsidRPr="00B1089D">
        <w:lastRenderedPageBreak/>
        <w:t>Türkiye’de Sosyal Belediyecilik Uygulamaları: Zorluklar ve Fırsatlar</w:t>
      </w:r>
      <w:bookmarkEnd w:id="250"/>
    </w:p>
    <w:p w14:paraId="6D35A83D" w14:textId="77777777" w:rsidR="00FA457D" w:rsidRPr="00B1089D" w:rsidRDefault="00FA457D" w:rsidP="00FA457D">
      <w:pPr>
        <w:widowControl/>
        <w:jc w:val="center"/>
      </w:pPr>
    </w:p>
    <w:p w14:paraId="3E842A1E" w14:textId="77777777" w:rsidR="00FA457D" w:rsidRPr="00B1089D" w:rsidRDefault="00FA457D" w:rsidP="00FA457D">
      <w:pPr>
        <w:widowControl/>
        <w:jc w:val="center"/>
      </w:pPr>
      <w:r w:rsidRPr="00B1089D">
        <w:t xml:space="preserve">Murat </w:t>
      </w:r>
      <w:proofErr w:type="spellStart"/>
      <w:r w:rsidRPr="00B1089D">
        <w:t>Ayvatoğlu</w:t>
      </w:r>
      <w:proofErr w:type="spellEnd"/>
      <w:r w:rsidRPr="00B1089D">
        <w:br/>
        <w:t xml:space="preserve">Kastamonu Üniversitesi, Sosyal Bilimler Enstitüsü, Uluslararası İlişkiler Anabilim </w:t>
      </w:r>
      <w:proofErr w:type="spellStart"/>
      <w:proofErr w:type="gramStart"/>
      <w:r w:rsidRPr="00B1089D">
        <w:t>Dalı,Yüksek</w:t>
      </w:r>
      <w:proofErr w:type="spellEnd"/>
      <w:proofErr w:type="gramEnd"/>
      <w:r w:rsidRPr="00B1089D">
        <w:t xml:space="preserve"> Lisans Öğrencisi</w:t>
      </w:r>
      <w:r w:rsidRPr="00B1089D">
        <w:br/>
        <w:t>241118001@ogr.kastamonu.edu.tr</w:t>
      </w:r>
      <w:r w:rsidRPr="00B1089D">
        <w:br/>
      </w:r>
    </w:p>
    <w:p w14:paraId="6F509856" w14:textId="77777777" w:rsidR="00FA457D" w:rsidRPr="00B1089D" w:rsidRDefault="00FA457D" w:rsidP="00FA457D">
      <w:pPr>
        <w:widowControl/>
        <w:jc w:val="center"/>
      </w:pPr>
      <w:r w:rsidRPr="00B1089D">
        <w:rPr>
          <w:b/>
          <w:bCs/>
        </w:rPr>
        <w:t>Özet</w:t>
      </w:r>
    </w:p>
    <w:p w14:paraId="01F11A79" w14:textId="60CFDE24" w:rsidR="00FA457D" w:rsidRPr="00B1089D" w:rsidRDefault="00FA457D" w:rsidP="00E359E0">
      <w:pPr>
        <w:widowControl/>
        <w:jc w:val="both"/>
      </w:pPr>
      <w:r w:rsidRPr="00D10870">
        <w:t>İnsanlar, sosyal</w:t>
      </w:r>
      <w:r w:rsidRPr="00B1089D">
        <w:t xml:space="preserve"> canlılardır. Sosyal canlılar olmasından dolayı da sosyal bir yaşama ihtiyaç duyarlar. Hayati idameleri için ihtiyaçlarını gidermeleri gerekmektedir. Fakat bu ihtiyaçlarının bir kısmını kendileri karşılayamazlar. İnsanların tek başına karşılayamayacağı bu ihtiyaçlarını devlet karşılar. Her bir birey, devletinin, vatandaşlarının ihtiyaçlarını karşılamakla mükellef olduğunu bilir ve bunu devletinden bir hak olarak talep eder. Türkiye de bu bireylerin sosyal haklarını gerçekleştirmek için çaba harcamaktadır. Devletler, sosyal devlet ilkesinin gerektirdiği görevlerin yerine getirebilmesi için devlet olarak yerine getirmekle yükümlü olduğu birçok görevini bir mahalli idare kuruluşu olan belediyelere devretmiş ve işte bu aşamadan sonra da sosyal belediyecilik kavramı oluşmuştur. Dolayısıyla, yerel halkının yaşadığı sorunlara çözüm bulma, ihtiyaç duyduğu sosyal aktivitelerini gerçekleştirecek yaşam alanları temin etmek gibi belediyelerin birçok görevleri bulunmaktadır.   Sorumluluk alanı içindeki halkını gözetme, muhtaç durumda olanlara ilaç, gıda </w:t>
      </w:r>
      <w:proofErr w:type="gramStart"/>
      <w:r w:rsidRPr="00B1089D">
        <w:t>maddeleri,  kömür</w:t>
      </w:r>
      <w:proofErr w:type="gramEnd"/>
      <w:r w:rsidRPr="00B1089D">
        <w:t xml:space="preserve"> ve yakacak, kırtasiye gibi yardımlarda bulunabilmektedir. Belediyeler,  ekmek fabrikaları, aşevleri, kadın sığınma evleri, yaşlı bakım merkezleri, sağlık ve spor kompleksleri, veterinerlik, hayvan bakım merkezleri, mahalle kütüphaneleri açmanın yanında imar, su ve kanalizasyon işleri, ulaşım, kentsel alt yapı,  çevre ve çevre sağlığı, temizlik ve katı atık toplama, zabıta, itfaiye, arama kurtarma ve ambulans,  şehir içi trafik, ağaçlandırma, park ve yeşil alanlar,  kültür ve sanat, turizm ve tanıtım, mesleki gelişim kursları gibi daha birçok hizmet vermektedir</w:t>
      </w:r>
      <w:r w:rsidRPr="00B1089D">
        <w:rPr>
          <w:b/>
          <w:bCs/>
        </w:rPr>
        <w:t xml:space="preserve">. </w:t>
      </w:r>
      <w:r w:rsidRPr="00B1089D">
        <w:t>İnsanlara daha iyi hizmet verebilmek için sosyal belediyecilik kapsamında bazı stratejiler ve planlamalar yapmaktadır. 1982 Anayasası’nda da açıkça belirtildiği gibi sosyal devlet kavramının yereldeki temsilcisi olan sosyal belediyecilik kavramı, her ne kadar uzun yıllar yeterli ölçüde algılanamamış olsa da özellikle AB’ye uyum sürecinde daha iyi anlaşılmıştır. Sosyal devletin yereldeki temsilcisi olan ''sosyal belediyecilik'' hemşerilerinin yaşam seviyelerini yükseltmeyi hedefleyen yerel yönetimi ifade etmektedir. Bu doğrultuda; çalışmada Türkiye’de sosyal belediyecilik uygulamaları ele alınarak, bu kapsamda karşılaşılan zorluklar ve fırsatlar ele alınacak ve bu konuda ne derece başarı sağladığı değerlendirilmeye çalışılacaktır. Belediyelere sosyal destek için geçmiş dönemlere göre daha geniş yetkiler ve olanaklar verilmiş olmasına rağmen artan göç ve nüfus nedeniyle ülkemizin de içinde bulunduğu zorlu süreç değerlendirildiğinde sosyal belediyecilik ilkesinin gerektirdiği yükümlülüklerin yeterli ölçüde karşılanamadığı görülmektedir.  Yerel halkın sosyal refah seviyesinin artırılması, eğitim seviyelerinin yükseltilmesi ve bu konuda öncü olan yerel yönetimlere yerel halk tarafından daha fazla destek verilmesi son derece önemli olacaktır.</w:t>
      </w:r>
    </w:p>
    <w:p w14:paraId="199157EB" w14:textId="77777777" w:rsidR="00FA457D" w:rsidRPr="00B1089D" w:rsidRDefault="00FA457D" w:rsidP="00E359E0">
      <w:pPr>
        <w:widowControl/>
        <w:jc w:val="both"/>
      </w:pPr>
    </w:p>
    <w:p w14:paraId="77E6A28B" w14:textId="6F1109AD" w:rsidR="00D37D80" w:rsidRDefault="00FA457D" w:rsidP="00E359E0">
      <w:pPr>
        <w:widowControl/>
        <w:jc w:val="both"/>
      </w:pPr>
      <w:r w:rsidRPr="00B1089D">
        <w:rPr>
          <w:b/>
          <w:bCs/>
        </w:rPr>
        <w:t>Anahtar</w:t>
      </w:r>
      <w:r w:rsidRPr="00D10870">
        <w:rPr>
          <w:b/>
          <w:bCs/>
        </w:rPr>
        <w:t xml:space="preserve"> Kelimeler</w:t>
      </w:r>
      <w:r w:rsidRPr="00B1089D">
        <w:rPr>
          <w:b/>
          <w:bCs/>
        </w:rPr>
        <w:t>:</w:t>
      </w:r>
      <w:r w:rsidRPr="00B1089D">
        <w:t xml:space="preserve"> Türkiye, Sosyal Belediyecilik, Yerel Yönetim, Zorluklar, Fırsatlar.</w:t>
      </w:r>
    </w:p>
    <w:p w14:paraId="084FAAF7" w14:textId="4BD63375" w:rsidR="00A23B3C" w:rsidRPr="00B1089D" w:rsidRDefault="00D37D80" w:rsidP="00D37D80">
      <w:pPr>
        <w:autoSpaceDE/>
        <w:autoSpaceDN/>
      </w:pPr>
      <w:r>
        <w:br w:type="page"/>
      </w:r>
    </w:p>
    <w:p w14:paraId="4356BDAC" w14:textId="77777777" w:rsidR="00FA457D" w:rsidRPr="00B1089D" w:rsidRDefault="00FA457D" w:rsidP="004C7694">
      <w:pPr>
        <w:pStyle w:val="Tark"/>
      </w:pPr>
      <w:bookmarkStart w:id="251" w:name="_Toc192855273"/>
      <w:proofErr w:type="spellStart"/>
      <w:r w:rsidRPr="00B1089D">
        <w:lastRenderedPageBreak/>
        <w:t>Social</w:t>
      </w:r>
      <w:proofErr w:type="spellEnd"/>
      <w:r w:rsidRPr="00B1089D">
        <w:t xml:space="preserve"> </w:t>
      </w:r>
      <w:proofErr w:type="spellStart"/>
      <w:r w:rsidRPr="00B1089D">
        <w:t>Municipalisation</w:t>
      </w:r>
      <w:proofErr w:type="spellEnd"/>
      <w:r w:rsidRPr="00B1089D">
        <w:t xml:space="preserve"> </w:t>
      </w:r>
      <w:proofErr w:type="spellStart"/>
      <w:r w:rsidRPr="00B1089D">
        <w:t>Practıces</w:t>
      </w:r>
      <w:proofErr w:type="spellEnd"/>
      <w:r w:rsidRPr="00B1089D">
        <w:t xml:space="preserve"> in Türkiye: </w:t>
      </w:r>
      <w:proofErr w:type="spellStart"/>
      <w:r w:rsidRPr="00B1089D">
        <w:t>Challenges</w:t>
      </w:r>
      <w:proofErr w:type="spellEnd"/>
      <w:r w:rsidRPr="00B1089D">
        <w:t xml:space="preserve"> </w:t>
      </w:r>
      <w:proofErr w:type="spellStart"/>
      <w:r w:rsidRPr="00B1089D">
        <w:t>and</w:t>
      </w:r>
      <w:proofErr w:type="spellEnd"/>
      <w:r w:rsidRPr="00B1089D">
        <w:t xml:space="preserve"> </w:t>
      </w:r>
      <w:proofErr w:type="spellStart"/>
      <w:r w:rsidRPr="00B1089D">
        <w:t>Opportunities</w:t>
      </w:r>
      <w:bookmarkEnd w:id="251"/>
      <w:proofErr w:type="spellEnd"/>
    </w:p>
    <w:p w14:paraId="71B75AEE" w14:textId="77777777" w:rsidR="00FA457D" w:rsidRPr="00B1089D" w:rsidRDefault="00FA457D" w:rsidP="00FA457D">
      <w:pPr>
        <w:widowControl/>
        <w:jc w:val="center"/>
      </w:pPr>
    </w:p>
    <w:p w14:paraId="2228486F" w14:textId="77777777" w:rsidR="00FA457D" w:rsidRPr="00B1089D" w:rsidRDefault="00FA457D" w:rsidP="00FA457D">
      <w:pPr>
        <w:widowControl/>
        <w:jc w:val="center"/>
      </w:pPr>
      <w:r w:rsidRPr="00B1089D">
        <w:t xml:space="preserve">Murat </w:t>
      </w:r>
      <w:proofErr w:type="spellStart"/>
      <w:r w:rsidRPr="00B1089D">
        <w:t>Ayvatoğlu</w:t>
      </w:r>
      <w:proofErr w:type="spellEnd"/>
    </w:p>
    <w:p w14:paraId="7E6F9A6B" w14:textId="77777777" w:rsidR="00FA457D" w:rsidRPr="00B1089D" w:rsidRDefault="00FA457D" w:rsidP="00FA457D">
      <w:pPr>
        <w:widowControl/>
        <w:jc w:val="center"/>
      </w:pPr>
      <w:r w:rsidRPr="00B1089D">
        <w:t xml:space="preserve">Kastamonu </w:t>
      </w:r>
      <w:proofErr w:type="spellStart"/>
      <w:r w:rsidRPr="00B1089D">
        <w:t>University</w:t>
      </w:r>
      <w:proofErr w:type="spellEnd"/>
      <w:r w:rsidRPr="00B1089D">
        <w:t xml:space="preserve">, </w:t>
      </w:r>
      <w:proofErr w:type="spellStart"/>
      <w:r w:rsidRPr="00B1089D">
        <w:t>Institute</w:t>
      </w:r>
      <w:proofErr w:type="spellEnd"/>
      <w:r w:rsidRPr="00B1089D">
        <w:t xml:space="preserve"> of </w:t>
      </w:r>
      <w:proofErr w:type="spellStart"/>
      <w:r w:rsidRPr="00B1089D">
        <w:t>Social</w:t>
      </w:r>
      <w:proofErr w:type="spellEnd"/>
      <w:r w:rsidRPr="00B1089D">
        <w:t xml:space="preserve"> </w:t>
      </w:r>
      <w:proofErr w:type="spellStart"/>
      <w:r w:rsidRPr="00B1089D">
        <w:t>Sciences</w:t>
      </w:r>
      <w:proofErr w:type="spellEnd"/>
      <w:r w:rsidRPr="00B1089D">
        <w:t xml:space="preserve">, </w:t>
      </w:r>
      <w:proofErr w:type="spellStart"/>
      <w:r w:rsidRPr="00B1089D">
        <w:t>Department</w:t>
      </w:r>
      <w:proofErr w:type="spellEnd"/>
      <w:r w:rsidRPr="00B1089D">
        <w:t xml:space="preserve"> of International </w:t>
      </w:r>
      <w:proofErr w:type="spellStart"/>
      <w:r w:rsidRPr="00B1089D">
        <w:t>Relations</w:t>
      </w:r>
      <w:proofErr w:type="spellEnd"/>
      <w:r w:rsidRPr="00B1089D">
        <w:t xml:space="preserve">, </w:t>
      </w:r>
      <w:proofErr w:type="spellStart"/>
      <w:r w:rsidRPr="00B1089D">
        <w:t>Master's</w:t>
      </w:r>
      <w:proofErr w:type="spellEnd"/>
      <w:r w:rsidRPr="00B1089D">
        <w:t xml:space="preserve"> </w:t>
      </w:r>
      <w:proofErr w:type="spellStart"/>
      <w:r w:rsidRPr="00B1089D">
        <w:t>Degree</w:t>
      </w:r>
      <w:proofErr w:type="spellEnd"/>
      <w:r w:rsidRPr="00B1089D">
        <w:t xml:space="preserve"> </w:t>
      </w:r>
      <w:proofErr w:type="spellStart"/>
      <w:r w:rsidRPr="00B1089D">
        <w:t>Student</w:t>
      </w:r>
      <w:proofErr w:type="spellEnd"/>
    </w:p>
    <w:p w14:paraId="1A8401BF" w14:textId="77777777" w:rsidR="00FA457D" w:rsidRPr="00B1089D" w:rsidRDefault="00FA457D" w:rsidP="00FA457D">
      <w:pPr>
        <w:widowControl/>
        <w:jc w:val="center"/>
      </w:pPr>
      <w:r w:rsidRPr="00B1089D">
        <w:t>241118001@ogr.kastamonu.edu.tr</w:t>
      </w:r>
    </w:p>
    <w:p w14:paraId="5543AE10" w14:textId="77777777" w:rsidR="00FA457D" w:rsidRPr="00B1089D" w:rsidRDefault="00FA457D" w:rsidP="00FA457D">
      <w:pPr>
        <w:widowControl/>
        <w:jc w:val="center"/>
      </w:pPr>
    </w:p>
    <w:p w14:paraId="20798610" w14:textId="77777777" w:rsidR="00FA457D" w:rsidRPr="00B1089D" w:rsidRDefault="00FA457D" w:rsidP="00FA457D">
      <w:pPr>
        <w:widowControl/>
        <w:jc w:val="center"/>
      </w:pPr>
      <w:proofErr w:type="spellStart"/>
      <w:r w:rsidRPr="00B1089D">
        <w:rPr>
          <w:b/>
          <w:bCs/>
        </w:rPr>
        <w:t>Abstract</w:t>
      </w:r>
      <w:proofErr w:type="spellEnd"/>
    </w:p>
    <w:p w14:paraId="7118DD04" w14:textId="77777777" w:rsidR="00FA457D" w:rsidRPr="00B1089D" w:rsidRDefault="00FA457D" w:rsidP="00E359E0">
      <w:pPr>
        <w:widowControl/>
        <w:jc w:val="both"/>
      </w:pPr>
      <w:proofErr w:type="spellStart"/>
      <w:r w:rsidRPr="00B1089D">
        <w:t>Humans</w:t>
      </w:r>
      <w:proofErr w:type="spellEnd"/>
      <w:r w:rsidRPr="00B1089D">
        <w:t xml:space="preserve"> </w:t>
      </w:r>
      <w:proofErr w:type="spellStart"/>
      <w:r w:rsidRPr="00B1089D">
        <w:t>are</w:t>
      </w:r>
      <w:proofErr w:type="spellEnd"/>
      <w:r w:rsidRPr="00B1089D">
        <w:t xml:space="preserve"> </w:t>
      </w:r>
      <w:proofErr w:type="spellStart"/>
      <w:r w:rsidRPr="00B1089D">
        <w:t>social</w:t>
      </w:r>
      <w:proofErr w:type="spellEnd"/>
      <w:r w:rsidRPr="00B1089D">
        <w:t xml:space="preserve"> </w:t>
      </w:r>
      <w:proofErr w:type="spellStart"/>
      <w:r w:rsidRPr="00B1089D">
        <w:t>creatures</w:t>
      </w:r>
      <w:proofErr w:type="spellEnd"/>
      <w:r w:rsidRPr="00B1089D">
        <w:t xml:space="preserve">. Since they </w:t>
      </w:r>
      <w:proofErr w:type="spellStart"/>
      <w:r w:rsidRPr="00B1089D">
        <w:t>are</w:t>
      </w:r>
      <w:proofErr w:type="spellEnd"/>
      <w:r w:rsidRPr="00B1089D">
        <w:t xml:space="preserve"> </w:t>
      </w:r>
      <w:proofErr w:type="spellStart"/>
      <w:r w:rsidRPr="00B1089D">
        <w:t>social</w:t>
      </w:r>
      <w:proofErr w:type="spellEnd"/>
      <w:r w:rsidRPr="00B1089D">
        <w:t xml:space="preserve"> </w:t>
      </w:r>
      <w:proofErr w:type="spellStart"/>
      <w:r w:rsidRPr="00B1089D">
        <w:t>creatures</w:t>
      </w:r>
      <w:proofErr w:type="spellEnd"/>
      <w:r w:rsidRPr="00B1089D">
        <w:t xml:space="preserve">, they </w:t>
      </w:r>
      <w:proofErr w:type="spellStart"/>
      <w:r w:rsidRPr="00B1089D">
        <w:t>need</w:t>
      </w:r>
      <w:proofErr w:type="spellEnd"/>
      <w:r w:rsidRPr="00B1089D">
        <w:t xml:space="preserve"> a </w:t>
      </w:r>
      <w:proofErr w:type="spellStart"/>
      <w:r w:rsidRPr="00B1089D">
        <w:t>social</w:t>
      </w:r>
      <w:proofErr w:type="spellEnd"/>
      <w:r w:rsidRPr="00B1089D">
        <w:t xml:space="preserve"> life. They </w:t>
      </w:r>
      <w:proofErr w:type="spellStart"/>
      <w:r w:rsidRPr="00B1089D">
        <w:t>need</w:t>
      </w:r>
      <w:proofErr w:type="spellEnd"/>
      <w:r w:rsidRPr="00B1089D">
        <w:t xml:space="preserve"> </w:t>
      </w:r>
      <w:proofErr w:type="spellStart"/>
      <w:r w:rsidRPr="00B1089D">
        <w:t>to</w:t>
      </w:r>
      <w:proofErr w:type="spellEnd"/>
      <w:r w:rsidRPr="00B1089D">
        <w:t xml:space="preserve"> </w:t>
      </w:r>
      <w:proofErr w:type="spellStart"/>
      <w:r w:rsidRPr="00B1089D">
        <w:t>meet</w:t>
      </w:r>
      <w:proofErr w:type="spellEnd"/>
      <w:r w:rsidRPr="00B1089D">
        <w:t xml:space="preserve"> </w:t>
      </w:r>
      <w:proofErr w:type="spellStart"/>
      <w:r w:rsidRPr="00B1089D">
        <w:t>their</w:t>
      </w:r>
      <w:proofErr w:type="spellEnd"/>
      <w:r w:rsidRPr="00B1089D">
        <w:t xml:space="preserve"> </w:t>
      </w:r>
      <w:proofErr w:type="spellStart"/>
      <w:r w:rsidRPr="00B1089D">
        <w:t>needs</w:t>
      </w:r>
      <w:proofErr w:type="spellEnd"/>
      <w:r w:rsidRPr="00B1089D">
        <w:t xml:space="preserve"> </w:t>
      </w:r>
      <w:proofErr w:type="spellStart"/>
      <w:r w:rsidRPr="00B1089D">
        <w:t>for</w:t>
      </w:r>
      <w:proofErr w:type="spellEnd"/>
      <w:r w:rsidRPr="00B1089D">
        <w:t xml:space="preserve"> </w:t>
      </w:r>
      <w:proofErr w:type="spellStart"/>
      <w:r w:rsidRPr="00B1089D">
        <w:t>their</w:t>
      </w:r>
      <w:proofErr w:type="spellEnd"/>
      <w:r w:rsidRPr="00B1089D">
        <w:t xml:space="preserve"> </w:t>
      </w:r>
      <w:proofErr w:type="spellStart"/>
      <w:r w:rsidRPr="00B1089D">
        <w:t>vital</w:t>
      </w:r>
      <w:proofErr w:type="spellEnd"/>
      <w:r w:rsidRPr="00B1089D">
        <w:t xml:space="preserve"> </w:t>
      </w:r>
      <w:proofErr w:type="spellStart"/>
      <w:r w:rsidRPr="00B1089D">
        <w:t>maintenance</w:t>
      </w:r>
      <w:proofErr w:type="spellEnd"/>
      <w:r w:rsidRPr="00B1089D">
        <w:t xml:space="preserve">. But they </w:t>
      </w:r>
      <w:proofErr w:type="spellStart"/>
      <w:r w:rsidRPr="00B1089D">
        <w:t>cannot</w:t>
      </w:r>
      <w:proofErr w:type="spellEnd"/>
      <w:r w:rsidRPr="00B1089D">
        <w:t xml:space="preserve"> </w:t>
      </w:r>
      <w:proofErr w:type="spellStart"/>
      <w:r w:rsidRPr="00B1089D">
        <w:t>meet</w:t>
      </w:r>
      <w:proofErr w:type="spellEnd"/>
      <w:r w:rsidRPr="00B1089D">
        <w:t xml:space="preserve"> </w:t>
      </w:r>
      <w:proofErr w:type="spellStart"/>
      <w:r w:rsidRPr="00B1089D">
        <w:t>some</w:t>
      </w:r>
      <w:proofErr w:type="spellEnd"/>
      <w:r w:rsidRPr="00B1089D">
        <w:t xml:space="preserve"> of </w:t>
      </w:r>
      <w:proofErr w:type="spellStart"/>
      <w:r w:rsidRPr="00B1089D">
        <w:t>these</w:t>
      </w:r>
      <w:proofErr w:type="spellEnd"/>
      <w:r w:rsidRPr="00B1089D">
        <w:t xml:space="preserve"> </w:t>
      </w:r>
      <w:proofErr w:type="spellStart"/>
      <w:r w:rsidRPr="00B1089D">
        <w:t>needs</w:t>
      </w:r>
      <w:proofErr w:type="spellEnd"/>
      <w:r w:rsidRPr="00B1089D">
        <w:t xml:space="preserve"> </w:t>
      </w:r>
      <w:proofErr w:type="spellStart"/>
      <w:r w:rsidRPr="00B1089D">
        <w:t>themselves</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meets</w:t>
      </w:r>
      <w:proofErr w:type="spellEnd"/>
      <w:r w:rsidRPr="00B1089D">
        <w:t xml:space="preserve"> </w:t>
      </w:r>
      <w:proofErr w:type="spellStart"/>
      <w:r w:rsidRPr="00B1089D">
        <w:t>these</w:t>
      </w:r>
      <w:proofErr w:type="spellEnd"/>
      <w:r w:rsidRPr="00B1089D">
        <w:t xml:space="preserve"> </w:t>
      </w:r>
      <w:proofErr w:type="spellStart"/>
      <w:r w:rsidRPr="00B1089D">
        <w:t>needs</w:t>
      </w:r>
      <w:proofErr w:type="spellEnd"/>
      <w:r w:rsidRPr="00B1089D">
        <w:t xml:space="preserve"> </w:t>
      </w:r>
      <w:proofErr w:type="spellStart"/>
      <w:r w:rsidRPr="00B1089D">
        <w:t>that</w:t>
      </w:r>
      <w:proofErr w:type="spellEnd"/>
      <w:r w:rsidRPr="00B1089D">
        <w:t xml:space="preserve"> </w:t>
      </w:r>
      <w:proofErr w:type="spellStart"/>
      <w:r w:rsidRPr="00B1089D">
        <w:t>people</w:t>
      </w:r>
      <w:proofErr w:type="spellEnd"/>
      <w:r w:rsidRPr="00B1089D">
        <w:t xml:space="preserve"> </w:t>
      </w:r>
      <w:proofErr w:type="spellStart"/>
      <w:r w:rsidRPr="00B1089D">
        <w:t>cannot</w:t>
      </w:r>
      <w:proofErr w:type="spellEnd"/>
      <w:r w:rsidRPr="00B1089D">
        <w:t xml:space="preserve"> </w:t>
      </w:r>
      <w:proofErr w:type="spellStart"/>
      <w:r w:rsidRPr="00B1089D">
        <w:t>meet</w:t>
      </w:r>
      <w:proofErr w:type="spellEnd"/>
      <w:r w:rsidRPr="00B1089D">
        <w:t xml:space="preserve"> </w:t>
      </w:r>
      <w:proofErr w:type="spellStart"/>
      <w:r w:rsidRPr="00B1089D">
        <w:t>alone</w:t>
      </w:r>
      <w:proofErr w:type="spellEnd"/>
      <w:r w:rsidRPr="00B1089D">
        <w:t xml:space="preserve">. </w:t>
      </w:r>
      <w:proofErr w:type="spellStart"/>
      <w:r w:rsidRPr="00B1089D">
        <w:t>Each</w:t>
      </w:r>
      <w:proofErr w:type="spellEnd"/>
      <w:r w:rsidRPr="00B1089D">
        <w:t xml:space="preserve"> </w:t>
      </w:r>
      <w:proofErr w:type="spellStart"/>
      <w:r w:rsidRPr="00B1089D">
        <w:t>individual</w:t>
      </w:r>
      <w:proofErr w:type="spellEnd"/>
      <w:r w:rsidRPr="00B1089D">
        <w:t xml:space="preserve"> </w:t>
      </w:r>
      <w:proofErr w:type="spellStart"/>
      <w:r w:rsidRPr="00B1089D">
        <w:t>knows</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is </w:t>
      </w:r>
      <w:proofErr w:type="spellStart"/>
      <w:r w:rsidRPr="00B1089D">
        <w:t>obliged</w:t>
      </w:r>
      <w:proofErr w:type="spellEnd"/>
      <w:r w:rsidRPr="00B1089D">
        <w:t xml:space="preserve"> </w:t>
      </w:r>
      <w:proofErr w:type="spellStart"/>
      <w:r w:rsidRPr="00B1089D">
        <w:t>to</w:t>
      </w:r>
      <w:proofErr w:type="spellEnd"/>
      <w:r w:rsidRPr="00B1089D">
        <w:t xml:space="preserve"> </w:t>
      </w:r>
      <w:proofErr w:type="spellStart"/>
      <w:r w:rsidRPr="00B1089D">
        <w:t>meet</w:t>
      </w:r>
      <w:proofErr w:type="spellEnd"/>
      <w:r w:rsidRPr="00B1089D">
        <w:t xml:space="preserve"> </w:t>
      </w:r>
      <w:proofErr w:type="spellStart"/>
      <w:r w:rsidRPr="00B1089D">
        <w:t>the</w:t>
      </w:r>
      <w:proofErr w:type="spellEnd"/>
      <w:r w:rsidRPr="00B1089D">
        <w:t xml:space="preserve"> </w:t>
      </w:r>
      <w:proofErr w:type="spellStart"/>
      <w:r w:rsidRPr="00B1089D">
        <w:t>needs</w:t>
      </w:r>
      <w:proofErr w:type="spellEnd"/>
      <w:r w:rsidRPr="00B1089D">
        <w:t xml:space="preserve"> of </w:t>
      </w:r>
      <w:proofErr w:type="spellStart"/>
      <w:r w:rsidRPr="00B1089D">
        <w:t>its</w:t>
      </w:r>
      <w:proofErr w:type="spellEnd"/>
      <w:r w:rsidRPr="00B1089D">
        <w:t xml:space="preserve"> </w:t>
      </w:r>
      <w:proofErr w:type="spellStart"/>
      <w:r w:rsidRPr="00B1089D">
        <w:t>citizens</w:t>
      </w:r>
      <w:proofErr w:type="spellEnd"/>
      <w:r w:rsidRPr="00B1089D">
        <w:t xml:space="preserve"> </w:t>
      </w:r>
      <w:proofErr w:type="spellStart"/>
      <w:r w:rsidRPr="00B1089D">
        <w:t>and</w:t>
      </w:r>
      <w:proofErr w:type="spellEnd"/>
      <w:r w:rsidRPr="00B1089D">
        <w:t xml:space="preserve"> </w:t>
      </w:r>
      <w:proofErr w:type="spellStart"/>
      <w:r w:rsidRPr="00B1089D">
        <w:t>demands</w:t>
      </w:r>
      <w:proofErr w:type="spellEnd"/>
      <w:r w:rsidRPr="00B1089D">
        <w:t xml:space="preserve"> </w:t>
      </w:r>
      <w:proofErr w:type="spellStart"/>
      <w:r w:rsidRPr="00B1089D">
        <w:t>this</w:t>
      </w:r>
      <w:proofErr w:type="spellEnd"/>
      <w:r w:rsidRPr="00B1089D">
        <w:t xml:space="preserve"> as a </w:t>
      </w:r>
      <w:proofErr w:type="spellStart"/>
      <w:r w:rsidRPr="00B1089D">
        <w:t>right</w:t>
      </w:r>
      <w:proofErr w:type="spellEnd"/>
      <w:r w:rsidRPr="00B1089D">
        <w:t xml:space="preserve"> </w:t>
      </w:r>
      <w:proofErr w:type="spellStart"/>
      <w:r w:rsidRPr="00B1089D">
        <w:t>from</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gramStart"/>
      <w:r w:rsidRPr="00B1089D">
        <w:t>Türkiye  is</w:t>
      </w:r>
      <w:proofErr w:type="gramEnd"/>
      <w:r w:rsidRPr="00B1089D">
        <w:t xml:space="preserve"> </w:t>
      </w:r>
      <w:proofErr w:type="spellStart"/>
      <w:r w:rsidRPr="00B1089D">
        <w:t>also</w:t>
      </w:r>
      <w:proofErr w:type="spellEnd"/>
      <w:r w:rsidRPr="00B1089D">
        <w:t xml:space="preserve"> </w:t>
      </w:r>
      <w:proofErr w:type="spellStart"/>
      <w:r w:rsidRPr="00B1089D">
        <w:t>making</w:t>
      </w:r>
      <w:proofErr w:type="spellEnd"/>
      <w:r w:rsidRPr="00B1089D">
        <w:t xml:space="preserve"> </w:t>
      </w:r>
      <w:proofErr w:type="spellStart"/>
      <w:r w:rsidRPr="00B1089D">
        <w:t>efforts</w:t>
      </w:r>
      <w:proofErr w:type="spellEnd"/>
      <w:r w:rsidRPr="00B1089D">
        <w:t xml:space="preserve"> </w:t>
      </w:r>
      <w:proofErr w:type="spellStart"/>
      <w:r w:rsidRPr="00B1089D">
        <w:t>to</w:t>
      </w:r>
      <w:proofErr w:type="spellEnd"/>
      <w:r w:rsidRPr="00B1089D">
        <w:t xml:space="preserve"> </w:t>
      </w:r>
      <w:proofErr w:type="spellStart"/>
      <w:r w:rsidRPr="00B1089D">
        <w:t>realise</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rights</w:t>
      </w:r>
      <w:proofErr w:type="spellEnd"/>
      <w:r w:rsidRPr="00B1089D">
        <w:t xml:space="preserve"> of </w:t>
      </w:r>
      <w:proofErr w:type="spellStart"/>
      <w:r w:rsidRPr="00B1089D">
        <w:t>these</w:t>
      </w:r>
      <w:proofErr w:type="spellEnd"/>
      <w:r w:rsidRPr="00B1089D">
        <w:t xml:space="preserve"> </w:t>
      </w:r>
      <w:proofErr w:type="spellStart"/>
      <w:r w:rsidRPr="00B1089D">
        <w:t>individuals</w:t>
      </w:r>
      <w:proofErr w:type="spellEnd"/>
      <w:r w:rsidRPr="00B1089D">
        <w:t xml:space="preserve">. </w:t>
      </w:r>
      <w:proofErr w:type="spellStart"/>
      <w:r w:rsidRPr="00B1089D">
        <w:t>In</w:t>
      </w:r>
      <w:proofErr w:type="spellEnd"/>
      <w:r w:rsidRPr="00B1089D">
        <w:t xml:space="preserve"> </w:t>
      </w:r>
      <w:proofErr w:type="spellStart"/>
      <w:r w:rsidRPr="00B1089D">
        <w:t>order</w:t>
      </w:r>
      <w:proofErr w:type="spellEnd"/>
      <w:r w:rsidRPr="00B1089D">
        <w:t xml:space="preserve"> </w:t>
      </w:r>
      <w:proofErr w:type="spellStart"/>
      <w:r w:rsidRPr="00B1089D">
        <w:t>to</w:t>
      </w:r>
      <w:proofErr w:type="spellEnd"/>
      <w:r w:rsidRPr="00B1089D">
        <w:t xml:space="preserve"> </w:t>
      </w:r>
      <w:proofErr w:type="spellStart"/>
      <w:r w:rsidRPr="00B1089D">
        <w:t>fulfil</w:t>
      </w:r>
      <w:proofErr w:type="spellEnd"/>
      <w:r w:rsidRPr="00B1089D">
        <w:t xml:space="preserve"> </w:t>
      </w:r>
      <w:proofErr w:type="spellStart"/>
      <w:r w:rsidRPr="00B1089D">
        <w:t>the</w:t>
      </w:r>
      <w:proofErr w:type="spellEnd"/>
      <w:r w:rsidRPr="00B1089D">
        <w:t xml:space="preserve"> </w:t>
      </w:r>
      <w:proofErr w:type="spellStart"/>
      <w:r w:rsidRPr="00B1089D">
        <w:t>duties</w:t>
      </w:r>
      <w:proofErr w:type="spellEnd"/>
      <w:r w:rsidRPr="00B1089D">
        <w:t xml:space="preserve"> </w:t>
      </w:r>
      <w:proofErr w:type="spellStart"/>
      <w:r w:rsidRPr="00B1089D">
        <w:t>required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principle</w:t>
      </w:r>
      <w:proofErr w:type="spellEnd"/>
      <w:r w:rsidRPr="00B1089D">
        <w:t xml:space="preserve"> of </w:t>
      </w:r>
      <w:proofErr w:type="spellStart"/>
      <w:r w:rsidRPr="00B1089D">
        <w:t>social</w:t>
      </w:r>
      <w:proofErr w:type="spellEnd"/>
      <w:r w:rsidRPr="00B1089D">
        <w:t xml:space="preserve"> </w:t>
      </w:r>
      <w:proofErr w:type="spellStart"/>
      <w:r w:rsidRPr="00B1089D">
        <w:t>state</w:t>
      </w:r>
      <w:proofErr w:type="spellEnd"/>
      <w:r w:rsidRPr="00B1089D">
        <w:t xml:space="preserve">, </w:t>
      </w:r>
      <w:proofErr w:type="spellStart"/>
      <w:r w:rsidRPr="00B1089D">
        <w:t>states</w:t>
      </w:r>
      <w:proofErr w:type="spellEnd"/>
      <w:r w:rsidRPr="00B1089D">
        <w:t xml:space="preserve"> </w:t>
      </w:r>
      <w:proofErr w:type="spellStart"/>
      <w:r w:rsidRPr="00B1089D">
        <w:t>have</w:t>
      </w:r>
      <w:proofErr w:type="spellEnd"/>
      <w:r w:rsidRPr="00B1089D">
        <w:t xml:space="preserve"> </w:t>
      </w:r>
      <w:proofErr w:type="spellStart"/>
      <w:r w:rsidRPr="00B1089D">
        <w:t>transferred</w:t>
      </w:r>
      <w:proofErr w:type="spellEnd"/>
      <w:r w:rsidRPr="00B1089D">
        <w:t xml:space="preserve"> </w:t>
      </w:r>
      <w:proofErr w:type="spellStart"/>
      <w:r w:rsidRPr="00B1089D">
        <w:t>many</w:t>
      </w:r>
      <w:proofErr w:type="spellEnd"/>
      <w:r w:rsidRPr="00B1089D">
        <w:t xml:space="preserve"> of </w:t>
      </w:r>
      <w:proofErr w:type="spellStart"/>
      <w:r w:rsidRPr="00B1089D">
        <w:t>the</w:t>
      </w:r>
      <w:proofErr w:type="spellEnd"/>
      <w:r w:rsidRPr="00B1089D">
        <w:t xml:space="preserve"> </w:t>
      </w:r>
      <w:proofErr w:type="spellStart"/>
      <w:r w:rsidRPr="00B1089D">
        <w:t>duties</w:t>
      </w:r>
      <w:proofErr w:type="spellEnd"/>
      <w:r w:rsidRPr="00B1089D">
        <w:t xml:space="preserve"> </w:t>
      </w:r>
      <w:proofErr w:type="spellStart"/>
      <w:r w:rsidRPr="00B1089D">
        <w:t>that</w:t>
      </w:r>
      <w:proofErr w:type="spellEnd"/>
      <w:r w:rsidRPr="00B1089D">
        <w:t xml:space="preserve"> they </w:t>
      </w:r>
      <w:proofErr w:type="spellStart"/>
      <w:r w:rsidRPr="00B1089D">
        <w:t>are</w:t>
      </w:r>
      <w:proofErr w:type="spellEnd"/>
      <w:r w:rsidRPr="00B1089D">
        <w:t xml:space="preserve"> </w:t>
      </w:r>
      <w:proofErr w:type="spellStart"/>
      <w:r w:rsidRPr="00B1089D">
        <w:t>obliged</w:t>
      </w:r>
      <w:proofErr w:type="spellEnd"/>
      <w:r w:rsidRPr="00B1089D">
        <w:t xml:space="preserve"> </w:t>
      </w:r>
      <w:proofErr w:type="spellStart"/>
      <w:r w:rsidRPr="00B1089D">
        <w:t>to</w:t>
      </w:r>
      <w:proofErr w:type="spellEnd"/>
      <w:r w:rsidRPr="00B1089D">
        <w:t xml:space="preserve"> </w:t>
      </w:r>
      <w:proofErr w:type="spellStart"/>
      <w:r w:rsidRPr="00B1089D">
        <w:t>fulfil</w:t>
      </w:r>
      <w:proofErr w:type="spellEnd"/>
      <w:r w:rsidRPr="00B1089D">
        <w:t xml:space="preserve"> as a </w:t>
      </w:r>
      <w:proofErr w:type="spellStart"/>
      <w:r w:rsidRPr="00B1089D">
        <w:t>state</w:t>
      </w:r>
      <w:proofErr w:type="spellEnd"/>
      <w:r w:rsidRPr="00B1089D">
        <w:t xml:space="preserve"> </w:t>
      </w:r>
      <w:proofErr w:type="spellStart"/>
      <w:r w:rsidRPr="00B1089D">
        <w:t>to</w:t>
      </w:r>
      <w:proofErr w:type="spellEnd"/>
      <w:r w:rsidRPr="00B1089D">
        <w:t xml:space="preserve"> </w:t>
      </w:r>
      <w:proofErr w:type="spellStart"/>
      <w:r w:rsidRPr="00B1089D">
        <w:t>municipalities</w:t>
      </w:r>
      <w:proofErr w:type="spellEnd"/>
      <w:r w:rsidRPr="00B1089D">
        <w:t xml:space="preserve">, </w:t>
      </w:r>
      <w:proofErr w:type="spellStart"/>
      <w:r w:rsidRPr="00B1089D">
        <w:t>which</w:t>
      </w:r>
      <w:proofErr w:type="spellEnd"/>
      <w:r w:rsidRPr="00B1089D">
        <w:t xml:space="preserve"> </w:t>
      </w:r>
      <w:proofErr w:type="spellStart"/>
      <w:r w:rsidRPr="00B1089D">
        <w:t>are</w:t>
      </w:r>
      <w:proofErr w:type="spellEnd"/>
      <w:r w:rsidRPr="00B1089D">
        <w:t xml:space="preserve"> </w:t>
      </w:r>
      <w:proofErr w:type="spellStart"/>
      <w:r w:rsidRPr="00B1089D">
        <w:t>local</w:t>
      </w:r>
      <w:proofErr w:type="spellEnd"/>
      <w:r w:rsidRPr="00B1089D">
        <w:t xml:space="preserve"> </w:t>
      </w:r>
      <w:proofErr w:type="spellStart"/>
      <w:r w:rsidRPr="00B1089D">
        <w:t>administration</w:t>
      </w:r>
      <w:proofErr w:type="spellEnd"/>
      <w:r w:rsidRPr="00B1089D">
        <w:t xml:space="preserve"> </w:t>
      </w:r>
      <w:proofErr w:type="spellStart"/>
      <w:r w:rsidRPr="00B1089D">
        <w:t>institutions</w:t>
      </w:r>
      <w:proofErr w:type="spellEnd"/>
      <w:r w:rsidRPr="00B1089D">
        <w:t xml:space="preserve">, </w:t>
      </w:r>
      <w:proofErr w:type="spellStart"/>
      <w:r w:rsidRPr="00B1089D">
        <w:t>and</w:t>
      </w:r>
      <w:proofErr w:type="spellEnd"/>
      <w:r w:rsidRPr="00B1089D">
        <w:t xml:space="preserve"> </w:t>
      </w:r>
      <w:proofErr w:type="spellStart"/>
      <w:r w:rsidRPr="00B1089D">
        <w:t>after</w:t>
      </w:r>
      <w:proofErr w:type="spellEnd"/>
      <w:r w:rsidRPr="00B1089D">
        <w:t xml:space="preserve"> </w:t>
      </w:r>
      <w:proofErr w:type="spellStart"/>
      <w:r w:rsidRPr="00B1089D">
        <w:t>this</w:t>
      </w:r>
      <w:proofErr w:type="spellEnd"/>
      <w:r w:rsidRPr="00B1089D">
        <w:t xml:space="preserve"> </w:t>
      </w:r>
      <w:proofErr w:type="spellStart"/>
      <w:r w:rsidRPr="00B1089D">
        <w:t>stage</w:t>
      </w:r>
      <w:proofErr w:type="spellEnd"/>
      <w:r w:rsidRPr="00B1089D">
        <w:t xml:space="preserve">, </w:t>
      </w:r>
      <w:proofErr w:type="spellStart"/>
      <w:r w:rsidRPr="00B1089D">
        <w:t>the</w:t>
      </w:r>
      <w:proofErr w:type="spellEnd"/>
      <w:r w:rsidRPr="00B1089D">
        <w:t xml:space="preserve"> </w:t>
      </w:r>
      <w:proofErr w:type="spellStart"/>
      <w:r w:rsidRPr="00B1089D">
        <w:t>concept</w:t>
      </w:r>
      <w:proofErr w:type="spellEnd"/>
      <w:r w:rsidRPr="00B1089D">
        <w:t xml:space="preserve"> of </w:t>
      </w:r>
      <w:proofErr w:type="spellStart"/>
      <w:r w:rsidRPr="00B1089D">
        <w:t>social</w:t>
      </w:r>
      <w:proofErr w:type="spellEnd"/>
      <w:r w:rsidRPr="00B1089D">
        <w:t xml:space="preserve"> </w:t>
      </w:r>
      <w:proofErr w:type="spellStart"/>
      <w:r w:rsidRPr="00B1089D">
        <w:t>municipalism</w:t>
      </w:r>
      <w:proofErr w:type="spellEnd"/>
      <w:r w:rsidRPr="00B1089D">
        <w:t xml:space="preserve"> has </w:t>
      </w:r>
      <w:proofErr w:type="spellStart"/>
      <w:r w:rsidRPr="00B1089D">
        <w:t>been</w:t>
      </w:r>
      <w:proofErr w:type="spellEnd"/>
      <w:r w:rsidRPr="00B1089D">
        <w:t xml:space="preserve"> </w:t>
      </w:r>
      <w:proofErr w:type="spellStart"/>
      <w:r w:rsidRPr="00B1089D">
        <w:t>formed</w:t>
      </w:r>
      <w:proofErr w:type="spellEnd"/>
      <w:r w:rsidRPr="00B1089D">
        <w:t xml:space="preserve">. </w:t>
      </w:r>
      <w:proofErr w:type="spellStart"/>
      <w:r w:rsidRPr="00B1089D">
        <w:t>Therefore</w:t>
      </w:r>
      <w:proofErr w:type="spellEnd"/>
      <w:r w:rsidRPr="00B1089D">
        <w:t xml:space="preserve">, </w:t>
      </w:r>
      <w:proofErr w:type="spellStart"/>
      <w:r w:rsidRPr="00B1089D">
        <w:t>municipalities</w:t>
      </w:r>
      <w:proofErr w:type="spellEnd"/>
      <w:r w:rsidRPr="00B1089D">
        <w:t xml:space="preserve"> </w:t>
      </w:r>
      <w:proofErr w:type="spellStart"/>
      <w:r w:rsidRPr="00B1089D">
        <w:t>have</w:t>
      </w:r>
      <w:proofErr w:type="spellEnd"/>
      <w:r w:rsidRPr="00B1089D">
        <w:t xml:space="preserve"> </w:t>
      </w:r>
      <w:proofErr w:type="spellStart"/>
      <w:r w:rsidRPr="00B1089D">
        <w:t>many</w:t>
      </w:r>
      <w:proofErr w:type="spellEnd"/>
      <w:r w:rsidRPr="00B1089D">
        <w:t xml:space="preserve"> </w:t>
      </w:r>
      <w:proofErr w:type="spellStart"/>
      <w:r w:rsidRPr="00B1089D">
        <w:t>duties</w:t>
      </w:r>
      <w:proofErr w:type="spellEnd"/>
      <w:r w:rsidRPr="00B1089D">
        <w:t xml:space="preserve"> </w:t>
      </w:r>
      <w:proofErr w:type="spellStart"/>
      <w:r w:rsidRPr="00B1089D">
        <w:t>such</w:t>
      </w:r>
      <w:proofErr w:type="spellEnd"/>
      <w:r w:rsidRPr="00B1089D">
        <w:t xml:space="preserve"> as </w:t>
      </w:r>
      <w:proofErr w:type="spellStart"/>
      <w:r w:rsidRPr="00B1089D">
        <w:t>finding</w:t>
      </w:r>
      <w:proofErr w:type="spellEnd"/>
      <w:r w:rsidRPr="00B1089D">
        <w:t xml:space="preserve"> </w:t>
      </w:r>
      <w:proofErr w:type="spellStart"/>
      <w:r w:rsidRPr="00B1089D">
        <w:t>solutions</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problems</w:t>
      </w:r>
      <w:proofErr w:type="spellEnd"/>
      <w:r w:rsidRPr="00B1089D">
        <w:t xml:space="preserve"> </w:t>
      </w:r>
      <w:proofErr w:type="spellStart"/>
      <w:r w:rsidRPr="00B1089D">
        <w:t>experienced</w:t>
      </w:r>
      <w:proofErr w:type="spellEnd"/>
      <w:r w:rsidRPr="00B1089D">
        <w:t xml:space="preserve"> </w:t>
      </w:r>
      <w:proofErr w:type="spellStart"/>
      <w:r w:rsidRPr="00B1089D">
        <w:t>by</w:t>
      </w:r>
      <w:proofErr w:type="spellEnd"/>
      <w:r w:rsidRPr="00B1089D">
        <w:t xml:space="preserve"> </w:t>
      </w:r>
      <w:proofErr w:type="spellStart"/>
      <w:r w:rsidRPr="00B1089D">
        <w:t>local</w:t>
      </w:r>
      <w:proofErr w:type="spellEnd"/>
      <w:r w:rsidRPr="00B1089D">
        <w:t xml:space="preserve"> </w:t>
      </w:r>
      <w:proofErr w:type="spellStart"/>
      <w:r w:rsidRPr="00B1089D">
        <w:t>people</w:t>
      </w:r>
      <w:proofErr w:type="spellEnd"/>
      <w:r w:rsidRPr="00B1089D">
        <w:t xml:space="preserve"> </w:t>
      </w:r>
      <w:proofErr w:type="spellStart"/>
      <w:r w:rsidRPr="00B1089D">
        <w:t>and</w:t>
      </w:r>
      <w:proofErr w:type="spellEnd"/>
      <w:r w:rsidRPr="00B1089D">
        <w:t xml:space="preserve"> </w:t>
      </w:r>
      <w:proofErr w:type="spellStart"/>
      <w:r w:rsidRPr="00B1089D">
        <w:t>providing</w:t>
      </w:r>
      <w:proofErr w:type="spellEnd"/>
      <w:r w:rsidRPr="00B1089D">
        <w:t xml:space="preserve"> </w:t>
      </w:r>
      <w:proofErr w:type="spellStart"/>
      <w:r w:rsidRPr="00B1089D">
        <w:t>living</w:t>
      </w:r>
      <w:proofErr w:type="spellEnd"/>
      <w:r w:rsidRPr="00B1089D">
        <w:t xml:space="preserve"> </w:t>
      </w:r>
      <w:proofErr w:type="spellStart"/>
      <w:r w:rsidRPr="00B1089D">
        <w:t>spaces</w:t>
      </w:r>
      <w:proofErr w:type="spellEnd"/>
      <w:r w:rsidRPr="00B1089D">
        <w:t xml:space="preserve"> </w:t>
      </w:r>
      <w:proofErr w:type="spellStart"/>
      <w:r w:rsidRPr="00B1089D">
        <w:t>to</w:t>
      </w:r>
      <w:proofErr w:type="spellEnd"/>
      <w:r w:rsidRPr="00B1089D">
        <w:t xml:space="preserve"> </w:t>
      </w:r>
      <w:proofErr w:type="spellStart"/>
      <w:r w:rsidRPr="00B1089D">
        <w:t>carry</w:t>
      </w:r>
      <w:proofErr w:type="spellEnd"/>
      <w:r w:rsidRPr="00B1089D">
        <w:t xml:space="preserve"> </w:t>
      </w:r>
      <w:proofErr w:type="spellStart"/>
      <w:r w:rsidRPr="00B1089D">
        <w:t>out</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activities</w:t>
      </w:r>
      <w:proofErr w:type="spellEnd"/>
      <w:r w:rsidRPr="00B1089D">
        <w:t xml:space="preserve"> they </w:t>
      </w:r>
      <w:proofErr w:type="spellStart"/>
      <w:r w:rsidRPr="00B1089D">
        <w:t>need</w:t>
      </w:r>
      <w:proofErr w:type="spellEnd"/>
      <w:r w:rsidRPr="00B1089D">
        <w:t xml:space="preserve">.   They can </w:t>
      </w:r>
      <w:proofErr w:type="spellStart"/>
      <w:r w:rsidRPr="00B1089D">
        <w:t>provide</w:t>
      </w:r>
      <w:proofErr w:type="spellEnd"/>
      <w:r w:rsidRPr="00B1089D">
        <w:t xml:space="preserve"> </w:t>
      </w:r>
      <w:proofErr w:type="spellStart"/>
      <w:r w:rsidRPr="00B1089D">
        <w:t>aid</w:t>
      </w:r>
      <w:proofErr w:type="spellEnd"/>
      <w:r w:rsidRPr="00B1089D">
        <w:t xml:space="preserve"> </w:t>
      </w:r>
      <w:proofErr w:type="spellStart"/>
      <w:r w:rsidRPr="00B1089D">
        <w:t>such</w:t>
      </w:r>
      <w:proofErr w:type="spellEnd"/>
      <w:r w:rsidRPr="00B1089D">
        <w:t xml:space="preserve"> as </w:t>
      </w:r>
      <w:proofErr w:type="spellStart"/>
      <w:r w:rsidRPr="00B1089D">
        <w:t>medicines</w:t>
      </w:r>
      <w:proofErr w:type="spellEnd"/>
      <w:r w:rsidRPr="00B1089D">
        <w:t xml:space="preserve">, </w:t>
      </w:r>
      <w:proofErr w:type="spellStart"/>
      <w:r w:rsidRPr="00B1089D">
        <w:t>foodstuffs</w:t>
      </w:r>
      <w:proofErr w:type="spellEnd"/>
      <w:r w:rsidRPr="00B1089D">
        <w:t xml:space="preserve">, </w:t>
      </w:r>
      <w:proofErr w:type="spellStart"/>
      <w:r w:rsidRPr="00B1089D">
        <w:t>coal</w:t>
      </w:r>
      <w:proofErr w:type="spellEnd"/>
      <w:r w:rsidRPr="00B1089D">
        <w:t xml:space="preserve"> </w:t>
      </w:r>
      <w:proofErr w:type="spellStart"/>
      <w:r w:rsidRPr="00B1089D">
        <w:t>and</w:t>
      </w:r>
      <w:proofErr w:type="spellEnd"/>
      <w:r w:rsidRPr="00B1089D">
        <w:t xml:space="preserve"> </w:t>
      </w:r>
      <w:proofErr w:type="spellStart"/>
      <w:r w:rsidRPr="00B1089D">
        <w:t>fuel</w:t>
      </w:r>
      <w:proofErr w:type="spellEnd"/>
      <w:r w:rsidRPr="00B1089D">
        <w:t xml:space="preserve">, </w:t>
      </w:r>
      <w:proofErr w:type="spellStart"/>
      <w:r w:rsidRPr="00B1089D">
        <w:t>stationery</w:t>
      </w:r>
      <w:proofErr w:type="spellEnd"/>
      <w:r w:rsidRPr="00B1089D">
        <w:t xml:space="preserve">, </w:t>
      </w:r>
      <w:proofErr w:type="spellStart"/>
      <w:r w:rsidRPr="00B1089D">
        <w:t>etc</w:t>
      </w:r>
      <w:proofErr w:type="spellEnd"/>
      <w:r w:rsidRPr="00B1089D">
        <w:t xml:space="preserve">. </w:t>
      </w:r>
      <w:proofErr w:type="spellStart"/>
      <w:proofErr w:type="gramStart"/>
      <w:r w:rsidRPr="00B1089D">
        <w:t>to</w:t>
      </w:r>
      <w:proofErr w:type="spellEnd"/>
      <w:proofErr w:type="gramEnd"/>
      <w:r w:rsidRPr="00B1089D">
        <w:t xml:space="preserve"> </w:t>
      </w:r>
      <w:proofErr w:type="spellStart"/>
      <w:r w:rsidRPr="00B1089D">
        <w:t>those</w:t>
      </w:r>
      <w:proofErr w:type="spellEnd"/>
      <w:r w:rsidRPr="00B1089D">
        <w:t xml:space="preserve"> in </w:t>
      </w:r>
      <w:proofErr w:type="spellStart"/>
      <w:r w:rsidRPr="00B1089D">
        <w:t>need</w:t>
      </w:r>
      <w:proofErr w:type="spellEnd"/>
      <w:r w:rsidRPr="00B1089D">
        <w:t xml:space="preserve">, </w:t>
      </w:r>
      <w:proofErr w:type="spellStart"/>
      <w:r w:rsidRPr="00B1089D">
        <w:t>and</w:t>
      </w:r>
      <w:proofErr w:type="spellEnd"/>
      <w:r w:rsidRPr="00B1089D">
        <w:t xml:space="preserve"> </w:t>
      </w:r>
      <w:proofErr w:type="spellStart"/>
      <w:r w:rsidRPr="00B1089D">
        <w:t>look</w:t>
      </w:r>
      <w:proofErr w:type="spellEnd"/>
      <w:r w:rsidRPr="00B1089D">
        <w:t xml:space="preserve"> </w:t>
      </w:r>
      <w:proofErr w:type="spellStart"/>
      <w:r w:rsidRPr="00B1089D">
        <w:t>after</w:t>
      </w:r>
      <w:proofErr w:type="spellEnd"/>
      <w:r w:rsidRPr="00B1089D">
        <w:t xml:space="preserve"> </w:t>
      </w:r>
      <w:proofErr w:type="spellStart"/>
      <w:r w:rsidRPr="00B1089D">
        <w:t>the</w:t>
      </w:r>
      <w:proofErr w:type="spellEnd"/>
      <w:r w:rsidRPr="00B1089D">
        <w:t xml:space="preserve"> </w:t>
      </w:r>
      <w:proofErr w:type="spellStart"/>
      <w:r w:rsidRPr="00B1089D">
        <w:t>people</w:t>
      </w:r>
      <w:proofErr w:type="spellEnd"/>
      <w:r w:rsidRPr="00B1089D">
        <w:t xml:space="preserve"> </w:t>
      </w:r>
      <w:proofErr w:type="spellStart"/>
      <w:r w:rsidRPr="00B1089D">
        <w:t>within</w:t>
      </w:r>
      <w:proofErr w:type="spellEnd"/>
      <w:r w:rsidRPr="00B1089D">
        <w:t xml:space="preserve"> </w:t>
      </w:r>
      <w:proofErr w:type="spellStart"/>
      <w:r w:rsidRPr="00B1089D">
        <w:t>their</w:t>
      </w:r>
      <w:proofErr w:type="spellEnd"/>
      <w:r w:rsidRPr="00B1089D">
        <w:t xml:space="preserve"> </w:t>
      </w:r>
      <w:proofErr w:type="spellStart"/>
      <w:r w:rsidRPr="00B1089D">
        <w:t>area</w:t>
      </w:r>
      <w:proofErr w:type="spellEnd"/>
      <w:r w:rsidRPr="00B1089D">
        <w:t xml:space="preserve"> of </w:t>
      </w:r>
      <w:proofErr w:type="spellStart"/>
      <w:r w:rsidRPr="00B1089D">
        <w:t>responsibility</w:t>
      </w:r>
      <w:proofErr w:type="spellEnd"/>
      <w:r w:rsidRPr="00B1089D">
        <w:t xml:space="preserve">. </w:t>
      </w:r>
      <w:proofErr w:type="spellStart"/>
      <w:r w:rsidRPr="00B1089D">
        <w:t>In</w:t>
      </w:r>
      <w:proofErr w:type="spellEnd"/>
      <w:r w:rsidRPr="00B1089D">
        <w:t xml:space="preserve"> </w:t>
      </w:r>
      <w:proofErr w:type="spellStart"/>
      <w:r w:rsidRPr="00B1089D">
        <w:t>addition</w:t>
      </w:r>
      <w:proofErr w:type="spellEnd"/>
      <w:r w:rsidRPr="00B1089D">
        <w:t xml:space="preserve"> </w:t>
      </w:r>
      <w:proofErr w:type="spellStart"/>
      <w:r w:rsidRPr="00B1089D">
        <w:t>to</w:t>
      </w:r>
      <w:proofErr w:type="spellEnd"/>
      <w:r w:rsidRPr="00B1089D">
        <w:t xml:space="preserve"> </w:t>
      </w:r>
      <w:proofErr w:type="spellStart"/>
      <w:r w:rsidRPr="00B1089D">
        <w:t>opening</w:t>
      </w:r>
      <w:proofErr w:type="spellEnd"/>
      <w:r w:rsidRPr="00B1089D">
        <w:t xml:space="preserve"> </w:t>
      </w:r>
      <w:proofErr w:type="spellStart"/>
      <w:r w:rsidRPr="00B1089D">
        <w:t>bread</w:t>
      </w:r>
      <w:proofErr w:type="spellEnd"/>
      <w:r w:rsidRPr="00B1089D">
        <w:t xml:space="preserve"> </w:t>
      </w:r>
      <w:proofErr w:type="spellStart"/>
      <w:r w:rsidRPr="00B1089D">
        <w:t>factories</w:t>
      </w:r>
      <w:proofErr w:type="spellEnd"/>
      <w:r w:rsidRPr="00B1089D">
        <w:t xml:space="preserve">, </w:t>
      </w:r>
      <w:proofErr w:type="spellStart"/>
      <w:r w:rsidRPr="00B1089D">
        <w:t>soup</w:t>
      </w:r>
      <w:proofErr w:type="spellEnd"/>
      <w:r w:rsidRPr="00B1089D">
        <w:t xml:space="preserve"> </w:t>
      </w:r>
      <w:proofErr w:type="spellStart"/>
      <w:r w:rsidRPr="00B1089D">
        <w:t>kitchens</w:t>
      </w:r>
      <w:proofErr w:type="spellEnd"/>
      <w:r w:rsidRPr="00B1089D">
        <w:t xml:space="preserve">, </w:t>
      </w:r>
      <w:proofErr w:type="spellStart"/>
      <w:r w:rsidRPr="00B1089D">
        <w:t>women's</w:t>
      </w:r>
      <w:proofErr w:type="spellEnd"/>
      <w:r w:rsidRPr="00B1089D">
        <w:t xml:space="preserve"> </w:t>
      </w:r>
      <w:proofErr w:type="spellStart"/>
      <w:r w:rsidRPr="00B1089D">
        <w:t>shelters</w:t>
      </w:r>
      <w:proofErr w:type="spellEnd"/>
      <w:r w:rsidRPr="00B1089D">
        <w:t xml:space="preserve">, </w:t>
      </w:r>
      <w:proofErr w:type="spellStart"/>
      <w:r w:rsidRPr="00B1089D">
        <w:t>elderly</w:t>
      </w:r>
      <w:proofErr w:type="spellEnd"/>
      <w:r w:rsidRPr="00B1089D">
        <w:t xml:space="preserve"> </w:t>
      </w:r>
      <w:proofErr w:type="spellStart"/>
      <w:r w:rsidRPr="00B1089D">
        <w:t>care</w:t>
      </w:r>
      <w:proofErr w:type="spellEnd"/>
      <w:r w:rsidRPr="00B1089D">
        <w:t xml:space="preserve"> </w:t>
      </w:r>
      <w:proofErr w:type="spellStart"/>
      <w:r w:rsidRPr="00B1089D">
        <w:t>centres</w:t>
      </w:r>
      <w:proofErr w:type="spellEnd"/>
      <w:r w:rsidRPr="00B1089D">
        <w:t xml:space="preserve">, </w:t>
      </w:r>
      <w:proofErr w:type="spellStart"/>
      <w:r w:rsidRPr="00B1089D">
        <w:t>health</w:t>
      </w:r>
      <w:proofErr w:type="spellEnd"/>
      <w:r w:rsidRPr="00B1089D">
        <w:t xml:space="preserve"> </w:t>
      </w:r>
      <w:proofErr w:type="spellStart"/>
      <w:r w:rsidRPr="00B1089D">
        <w:t>and</w:t>
      </w:r>
      <w:proofErr w:type="spellEnd"/>
      <w:r w:rsidRPr="00B1089D">
        <w:t xml:space="preserve"> </w:t>
      </w:r>
      <w:proofErr w:type="spellStart"/>
      <w:r w:rsidRPr="00B1089D">
        <w:t>sports</w:t>
      </w:r>
      <w:proofErr w:type="spellEnd"/>
      <w:r w:rsidRPr="00B1089D">
        <w:t xml:space="preserve"> </w:t>
      </w:r>
      <w:proofErr w:type="spellStart"/>
      <w:r w:rsidRPr="00B1089D">
        <w:t>complexes</w:t>
      </w:r>
      <w:proofErr w:type="spellEnd"/>
      <w:r w:rsidRPr="00B1089D">
        <w:t xml:space="preserve">, </w:t>
      </w:r>
      <w:proofErr w:type="spellStart"/>
      <w:r w:rsidRPr="00B1089D">
        <w:t>veterinary</w:t>
      </w:r>
      <w:proofErr w:type="spellEnd"/>
      <w:r w:rsidRPr="00B1089D">
        <w:t xml:space="preserve">, </w:t>
      </w:r>
      <w:proofErr w:type="spellStart"/>
      <w:r w:rsidRPr="00B1089D">
        <w:t>animal</w:t>
      </w:r>
      <w:proofErr w:type="spellEnd"/>
      <w:r w:rsidRPr="00B1089D">
        <w:t xml:space="preserve"> </w:t>
      </w:r>
      <w:proofErr w:type="spellStart"/>
      <w:r w:rsidRPr="00B1089D">
        <w:t>care</w:t>
      </w:r>
      <w:proofErr w:type="spellEnd"/>
      <w:r w:rsidRPr="00B1089D">
        <w:t xml:space="preserve"> </w:t>
      </w:r>
      <w:proofErr w:type="spellStart"/>
      <w:r w:rsidRPr="00B1089D">
        <w:t>centres</w:t>
      </w:r>
      <w:proofErr w:type="spellEnd"/>
      <w:r w:rsidRPr="00B1089D">
        <w:t xml:space="preserve">, </w:t>
      </w:r>
      <w:proofErr w:type="spellStart"/>
      <w:r w:rsidRPr="00B1089D">
        <w:t>neighbourhood</w:t>
      </w:r>
      <w:proofErr w:type="spellEnd"/>
      <w:r w:rsidRPr="00B1089D">
        <w:t xml:space="preserve"> </w:t>
      </w:r>
      <w:proofErr w:type="spellStart"/>
      <w:r w:rsidRPr="00B1089D">
        <w:t>libraries</w:t>
      </w:r>
      <w:proofErr w:type="spellEnd"/>
      <w:r w:rsidRPr="00B1089D">
        <w:t xml:space="preserve">, </w:t>
      </w:r>
      <w:proofErr w:type="spellStart"/>
      <w:r w:rsidRPr="00B1089D">
        <w:t>municipalities</w:t>
      </w:r>
      <w:proofErr w:type="spellEnd"/>
      <w:r w:rsidRPr="00B1089D">
        <w:t xml:space="preserve"> </w:t>
      </w:r>
      <w:proofErr w:type="spellStart"/>
      <w:r w:rsidRPr="00B1089D">
        <w:t>provide</w:t>
      </w:r>
      <w:proofErr w:type="spellEnd"/>
      <w:r w:rsidRPr="00B1089D">
        <w:t xml:space="preserve"> </w:t>
      </w:r>
      <w:proofErr w:type="spellStart"/>
      <w:r w:rsidRPr="00B1089D">
        <w:t>many</w:t>
      </w:r>
      <w:proofErr w:type="spellEnd"/>
      <w:r w:rsidRPr="00B1089D">
        <w:t xml:space="preserve"> </w:t>
      </w:r>
      <w:proofErr w:type="spellStart"/>
      <w:r w:rsidRPr="00B1089D">
        <w:t>other</w:t>
      </w:r>
      <w:proofErr w:type="spellEnd"/>
      <w:r w:rsidRPr="00B1089D">
        <w:t xml:space="preserve"> </w:t>
      </w:r>
      <w:proofErr w:type="spellStart"/>
      <w:r w:rsidRPr="00B1089D">
        <w:t>services</w:t>
      </w:r>
      <w:proofErr w:type="spellEnd"/>
      <w:r w:rsidRPr="00B1089D">
        <w:t xml:space="preserve"> </w:t>
      </w:r>
      <w:proofErr w:type="spellStart"/>
      <w:r w:rsidRPr="00B1089D">
        <w:t>such</w:t>
      </w:r>
      <w:proofErr w:type="spellEnd"/>
      <w:r w:rsidRPr="00B1089D">
        <w:t xml:space="preserve"> as </w:t>
      </w:r>
      <w:proofErr w:type="spellStart"/>
      <w:r w:rsidRPr="00B1089D">
        <w:t>zoning,water</w:t>
      </w:r>
      <w:proofErr w:type="spellEnd"/>
      <w:r w:rsidRPr="00B1089D">
        <w:t xml:space="preserve"> </w:t>
      </w:r>
      <w:proofErr w:type="spellStart"/>
      <w:r w:rsidRPr="00B1089D">
        <w:t>and</w:t>
      </w:r>
      <w:proofErr w:type="spellEnd"/>
      <w:r w:rsidRPr="00B1089D">
        <w:t xml:space="preserve"> </w:t>
      </w:r>
      <w:proofErr w:type="spellStart"/>
      <w:r w:rsidRPr="00B1089D">
        <w:t>sewerage</w:t>
      </w:r>
      <w:proofErr w:type="spellEnd"/>
      <w:r w:rsidRPr="00B1089D">
        <w:t xml:space="preserve"> </w:t>
      </w:r>
      <w:proofErr w:type="spellStart"/>
      <w:r w:rsidRPr="00B1089D">
        <w:t>works</w:t>
      </w:r>
      <w:proofErr w:type="spellEnd"/>
      <w:r w:rsidRPr="00B1089D">
        <w:t xml:space="preserve">, </w:t>
      </w:r>
      <w:proofErr w:type="spellStart"/>
      <w:r w:rsidRPr="00B1089D">
        <w:t>transportation</w:t>
      </w:r>
      <w:proofErr w:type="spellEnd"/>
      <w:r w:rsidRPr="00B1089D">
        <w:t xml:space="preserve">, urban </w:t>
      </w:r>
      <w:proofErr w:type="spellStart"/>
      <w:r w:rsidRPr="00B1089D">
        <w:t>infrastructure</w:t>
      </w:r>
      <w:proofErr w:type="spellEnd"/>
      <w:r w:rsidRPr="00B1089D">
        <w:t xml:space="preserve">, </w:t>
      </w:r>
      <w:proofErr w:type="spellStart"/>
      <w:r w:rsidRPr="00B1089D">
        <w:t>environment</w:t>
      </w:r>
      <w:proofErr w:type="spellEnd"/>
      <w:r w:rsidRPr="00B1089D">
        <w:t xml:space="preserve"> </w:t>
      </w:r>
      <w:proofErr w:type="spellStart"/>
      <w:r w:rsidRPr="00B1089D">
        <w:t>and</w:t>
      </w:r>
      <w:proofErr w:type="spellEnd"/>
      <w:r w:rsidRPr="00B1089D">
        <w:t xml:space="preserve"> </w:t>
      </w:r>
      <w:proofErr w:type="spellStart"/>
      <w:r w:rsidRPr="00B1089D">
        <w:t>environmental</w:t>
      </w:r>
      <w:proofErr w:type="spellEnd"/>
      <w:r w:rsidRPr="00B1089D">
        <w:t xml:space="preserve"> </w:t>
      </w:r>
      <w:proofErr w:type="spellStart"/>
      <w:r w:rsidRPr="00B1089D">
        <w:t>health</w:t>
      </w:r>
      <w:proofErr w:type="spellEnd"/>
      <w:r w:rsidRPr="00B1089D">
        <w:t xml:space="preserve">, </w:t>
      </w:r>
      <w:proofErr w:type="spellStart"/>
      <w:r w:rsidRPr="00B1089D">
        <w:t>cleaning</w:t>
      </w:r>
      <w:proofErr w:type="spellEnd"/>
      <w:r w:rsidRPr="00B1089D">
        <w:t xml:space="preserve"> </w:t>
      </w:r>
      <w:proofErr w:type="spellStart"/>
      <w:r w:rsidRPr="00B1089D">
        <w:t>and</w:t>
      </w:r>
      <w:proofErr w:type="spellEnd"/>
      <w:r w:rsidRPr="00B1089D">
        <w:t xml:space="preserve"> </w:t>
      </w:r>
      <w:proofErr w:type="spellStart"/>
      <w:r w:rsidRPr="00B1089D">
        <w:t>solid</w:t>
      </w:r>
      <w:proofErr w:type="spellEnd"/>
      <w:r w:rsidRPr="00B1089D">
        <w:t xml:space="preserve"> </w:t>
      </w:r>
      <w:proofErr w:type="spellStart"/>
      <w:r w:rsidRPr="00B1089D">
        <w:t>waste</w:t>
      </w:r>
      <w:proofErr w:type="spellEnd"/>
      <w:r w:rsidRPr="00B1089D">
        <w:t xml:space="preserve"> </w:t>
      </w:r>
      <w:proofErr w:type="spellStart"/>
      <w:r w:rsidRPr="00B1089D">
        <w:t>collection</w:t>
      </w:r>
      <w:proofErr w:type="spellEnd"/>
      <w:r w:rsidRPr="00B1089D">
        <w:t xml:space="preserve">, </w:t>
      </w:r>
      <w:proofErr w:type="spellStart"/>
      <w:r w:rsidRPr="00B1089D">
        <w:t>police</w:t>
      </w:r>
      <w:proofErr w:type="spellEnd"/>
      <w:r w:rsidRPr="00B1089D">
        <w:t xml:space="preserve">, fire </w:t>
      </w:r>
      <w:proofErr w:type="spellStart"/>
      <w:r w:rsidRPr="00B1089D">
        <w:t>brigade</w:t>
      </w:r>
      <w:proofErr w:type="spellEnd"/>
      <w:r w:rsidRPr="00B1089D">
        <w:t xml:space="preserve">, </w:t>
      </w:r>
      <w:proofErr w:type="spellStart"/>
      <w:r w:rsidRPr="00B1089D">
        <w:t>search</w:t>
      </w:r>
      <w:proofErr w:type="spellEnd"/>
      <w:r w:rsidRPr="00B1089D">
        <w:t xml:space="preserve"> </w:t>
      </w:r>
      <w:proofErr w:type="spellStart"/>
      <w:r w:rsidRPr="00B1089D">
        <w:t>and</w:t>
      </w:r>
      <w:proofErr w:type="spellEnd"/>
      <w:r w:rsidRPr="00B1089D">
        <w:t xml:space="preserve"> </w:t>
      </w:r>
      <w:proofErr w:type="spellStart"/>
      <w:r w:rsidRPr="00B1089D">
        <w:t>rescue</w:t>
      </w:r>
      <w:proofErr w:type="spellEnd"/>
      <w:r w:rsidRPr="00B1089D">
        <w:t xml:space="preserve"> </w:t>
      </w:r>
      <w:proofErr w:type="spellStart"/>
      <w:r w:rsidRPr="00B1089D">
        <w:t>and</w:t>
      </w:r>
      <w:proofErr w:type="spellEnd"/>
      <w:r w:rsidRPr="00B1089D">
        <w:t xml:space="preserve"> </w:t>
      </w:r>
      <w:proofErr w:type="spellStart"/>
      <w:r w:rsidRPr="00B1089D">
        <w:t>ambulance</w:t>
      </w:r>
      <w:proofErr w:type="spellEnd"/>
      <w:r w:rsidRPr="00B1089D">
        <w:t xml:space="preserve">, urban </w:t>
      </w:r>
      <w:proofErr w:type="spellStart"/>
      <w:r w:rsidRPr="00B1089D">
        <w:t>traffic</w:t>
      </w:r>
      <w:proofErr w:type="spellEnd"/>
      <w:r w:rsidRPr="00B1089D">
        <w:t xml:space="preserve">, </w:t>
      </w:r>
      <w:proofErr w:type="spellStart"/>
      <w:r w:rsidRPr="00B1089D">
        <w:t>forestation</w:t>
      </w:r>
      <w:proofErr w:type="spellEnd"/>
      <w:r w:rsidRPr="00B1089D">
        <w:t xml:space="preserve">, </w:t>
      </w:r>
      <w:proofErr w:type="spellStart"/>
      <w:r w:rsidRPr="00B1089D">
        <w:t>parks</w:t>
      </w:r>
      <w:proofErr w:type="spellEnd"/>
      <w:r w:rsidRPr="00B1089D">
        <w:t xml:space="preserve"> </w:t>
      </w:r>
      <w:proofErr w:type="spellStart"/>
      <w:r w:rsidRPr="00B1089D">
        <w:t>and</w:t>
      </w:r>
      <w:proofErr w:type="spellEnd"/>
      <w:r w:rsidRPr="00B1089D">
        <w:t xml:space="preserve"> </w:t>
      </w:r>
      <w:proofErr w:type="spellStart"/>
      <w:r w:rsidRPr="00B1089D">
        <w:t>green</w:t>
      </w:r>
      <w:proofErr w:type="spellEnd"/>
      <w:r w:rsidRPr="00B1089D">
        <w:t xml:space="preserve"> </w:t>
      </w:r>
      <w:proofErr w:type="spellStart"/>
      <w:r w:rsidRPr="00B1089D">
        <w:t>areas</w:t>
      </w:r>
      <w:proofErr w:type="spellEnd"/>
      <w:r w:rsidRPr="00B1089D">
        <w:t xml:space="preserve">, </w:t>
      </w:r>
      <w:proofErr w:type="spellStart"/>
      <w:r w:rsidRPr="00B1089D">
        <w:t>culture</w:t>
      </w:r>
      <w:proofErr w:type="spellEnd"/>
      <w:r w:rsidRPr="00B1089D">
        <w:t xml:space="preserve"> </w:t>
      </w:r>
      <w:proofErr w:type="spellStart"/>
      <w:r w:rsidRPr="00B1089D">
        <w:t>and</w:t>
      </w:r>
      <w:proofErr w:type="spellEnd"/>
      <w:r w:rsidRPr="00B1089D">
        <w:t xml:space="preserve"> </w:t>
      </w:r>
      <w:proofErr w:type="spellStart"/>
      <w:r w:rsidRPr="00B1089D">
        <w:t>arts</w:t>
      </w:r>
      <w:proofErr w:type="spellEnd"/>
      <w:r w:rsidRPr="00B1089D">
        <w:t xml:space="preserve">, </w:t>
      </w:r>
      <w:proofErr w:type="spellStart"/>
      <w:r w:rsidRPr="00B1089D">
        <w:t>tourism</w:t>
      </w:r>
      <w:proofErr w:type="spellEnd"/>
      <w:r w:rsidRPr="00B1089D">
        <w:t xml:space="preserve"> </w:t>
      </w:r>
      <w:proofErr w:type="spellStart"/>
      <w:r w:rsidRPr="00B1089D">
        <w:t>and</w:t>
      </w:r>
      <w:proofErr w:type="spellEnd"/>
      <w:r w:rsidRPr="00B1089D">
        <w:t xml:space="preserve"> </w:t>
      </w:r>
      <w:proofErr w:type="spellStart"/>
      <w:r w:rsidRPr="00B1089D">
        <w:t>promotion</w:t>
      </w:r>
      <w:proofErr w:type="spellEnd"/>
      <w:r w:rsidRPr="00B1089D">
        <w:t xml:space="preserve">, </w:t>
      </w:r>
      <w:proofErr w:type="spellStart"/>
      <w:r w:rsidRPr="00B1089D">
        <w:t>vocational</w:t>
      </w:r>
      <w:proofErr w:type="spellEnd"/>
      <w:r w:rsidRPr="00B1089D">
        <w:t xml:space="preserve"> </w:t>
      </w:r>
      <w:proofErr w:type="spellStart"/>
      <w:r w:rsidRPr="00B1089D">
        <w:t>development</w:t>
      </w:r>
      <w:proofErr w:type="spellEnd"/>
      <w:r w:rsidRPr="00B1089D">
        <w:t xml:space="preserve"> </w:t>
      </w:r>
      <w:proofErr w:type="spellStart"/>
      <w:r w:rsidRPr="00B1089D">
        <w:t>courses</w:t>
      </w:r>
      <w:proofErr w:type="spellEnd"/>
      <w:r w:rsidRPr="00B1089D">
        <w:t xml:space="preserve">. </w:t>
      </w:r>
      <w:proofErr w:type="spellStart"/>
      <w:r w:rsidRPr="00B1089D">
        <w:t>In</w:t>
      </w:r>
      <w:proofErr w:type="spellEnd"/>
      <w:r w:rsidRPr="00B1089D">
        <w:t xml:space="preserve"> </w:t>
      </w:r>
      <w:proofErr w:type="spellStart"/>
      <w:r w:rsidRPr="00B1089D">
        <w:t>order</w:t>
      </w:r>
      <w:proofErr w:type="spellEnd"/>
      <w:r w:rsidRPr="00B1089D">
        <w:t xml:space="preserve"> </w:t>
      </w:r>
      <w:proofErr w:type="spellStart"/>
      <w:r w:rsidRPr="00B1089D">
        <w:t>to</w:t>
      </w:r>
      <w:proofErr w:type="spellEnd"/>
      <w:r w:rsidRPr="00B1089D">
        <w:t xml:space="preserve"> </w:t>
      </w:r>
      <w:proofErr w:type="spellStart"/>
      <w:r w:rsidRPr="00B1089D">
        <w:t>provide</w:t>
      </w:r>
      <w:proofErr w:type="spellEnd"/>
      <w:r w:rsidRPr="00B1089D">
        <w:t xml:space="preserve"> </w:t>
      </w:r>
      <w:proofErr w:type="spellStart"/>
      <w:r w:rsidRPr="00B1089D">
        <w:t>better</w:t>
      </w:r>
      <w:proofErr w:type="spellEnd"/>
      <w:r w:rsidRPr="00B1089D">
        <w:t xml:space="preserve"> service </w:t>
      </w:r>
      <w:proofErr w:type="spellStart"/>
      <w:r w:rsidRPr="00B1089D">
        <w:t>to</w:t>
      </w:r>
      <w:proofErr w:type="spellEnd"/>
      <w:r w:rsidRPr="00B1089D">
        <w:t xml:space="preserve"> </w:t>
      </w:r>
      <w:proofErr w:type="spellStart"/>
      <w:r w:rsidRPr="00B1089D">
        <w:t>people</w:t>
      </w:r>
      <w:proofErr w:type="spellEnd"/>
      <w:r w:rsidRPr="00B1089D">
        <w:t xml:space="preserve">, it </w:t>
      </w:r>
      <w:proofErr w:type="spellStart"/>
      <w:r w:rsidRPr="00B1089D">
        <w:t>carries</w:t>
      </w:r>
      <w:proofErr w:type="spellEnd"/>
      <w:r w:rsidRPr="00B1089D">
        <w:t xml:space="preserve"> </w:t>
      </w:r>
      <w:proofErr w:type="spellStart"/>
      <w:r w:rsidRPr="00B1089D">
        <w:t>out</w:t>
      </w:r>
      <w:proofErr w:type="spellEnd"/>
      <w:r w:rsidRPr="00B1089D">
        <w:t xml:space="preserve"> </w:t>
      </w:r>
      <w:proofErr w:type="spellStart"/>
      <w:r w:rsidRPr="00B1089D">
        <w:t>some</w:t>
      </w:r>
      <w:proofErr w:type="spellEnd"/>
      <w:r w:rsidRPr="00B1089D">
        <w:t xml:space="preserve"> </w:t>
      </w:r>
      <w:proofErr w:type="spellStart"/>
      <w:r w:rsidRPr="00B1089D">
        <w:t>strategies</w:t>
      </w:r>
      <w:proofErr w:type="spellEnd"/>
      <w:r w:rsidRPr="00B1089D">
        <w:t xml:space="preserve"> </w:t>
      </w:r>
      <w:proofErr w:type="spellStart"/>
      <w:r w:rsidRPr="00B1089D">
        <w:t>and</w:t>
      </w:r>
      <w:proofErr w:type="spellEnd"/>
      <w:r w:rsidRPr="00B1089D">
        <w:t xml:space="preserve"> </w:t>
      </w:r>
      <w:proofErr w:type="spellStart"/>
      <w:r w:rsidRPr="00B1089D">
        <w:t>plans</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scope</w:t>
      </w:r>
      <w:proofErr w:type="spellEnd"/>
      <w:r w:rsidRPr="00B1089D">
        <w:t xml:space="preserve"> of </w:t>
      </w:r>
      <w:proofErr w:type="spellStart"/>
      <w:r w:rsidRPr="00B1089D">
        <w:t>social</w:t>
      </w:r>
      <w:proofErr w:type="spellEnd"/>
      <w:r w:rsidRPr="00B1089D">
        <w:t xml:space="preserve"> </w:t>
      </w:r>
      <w:proofErr w:type="spellStart"/>
      <w:r w:rsidRPr="00B1089D">
        <w:t>municipalism</w:t>
      </w:r>
      <w:proofErr w:type="spellEnd"/>
      <w:r w:rsidRPr="00B1089D">
        <w:t xml:space="preserve">. As </w:t>
      </w:r>
      <w:proofErr w:type="spellStart"/>
      <w:r w:rsidRPr="00B1089D">
        <w:t>clearly</w:t>
      </w:r>
      <w:proofErr w:type="spellEnd"/>
      <w:r w:rsidRPr="00B1089D">
        <w:t xml:space="preserve"> </w:t>
      </w:r>
      <w:proofErr w:type="spellStart"/>
      <w:r w:rsidRPr="00B1089D">
        <w:t>stated</w:t>
      </w:r>
      <w:proofErr w:type="spellEnd"/>
      <w:r w:rsidRPr="00B1089D">
        <w:t xml:space="preserve"> in </w:t>
      </w:r>
      <w:proofErr w:type="spellStart"/>
      <w:r w:rsidRPr="00B1089D">
        <w:t>the</w:t>
      </w:r>
      <w:proofErr w:type="spellEnd"/>
      <w:r w:rsidRPr="00B1089D">
        <w:t xml:space="preserve"> 1982 </w:t>
      </w:r>
      <w:proofErr w:type="spellStart"/>
      <w:r w:rsidRPr="00B1089D">
        <w:t>Constitution</w:t>
      </w:r>
      <w:proofErr w:type="spellEnd"/>
      <w:r w:rsidRPr="00B1089D">
        <w:t xml:space="preserve">, </w:t>
      </w:r>
      <w:proofErr w:type="spellStart"/>
      <w:r w:rsidRPr="00B1089D">
        <w:t>the</w:t>
      </w:r>
      <w:proofErr w:type="spellEnd"/>
      <w:r w:rsidRPr="00B1089D">
        <w:t xml:space="preserve"> </w:t>
      </w:r>
      <w:proofErr w:type="spellStart"/>
      <w:r w:rsidRPr="00B1089D">
        <w:t>concept</w:t>
      </w:r>
      <w:proofErr w:type="spellEnd"/>
      <w:r w:rsidRPr="00B1089D">
        <w:t xml:space="preserve"> of </w:t>
      </w:r>
      <w:proofErr w:type="spellStart"/>
      <w:r w:rsidRPr="00B1089D">
        <w:t>social</w:t>
      </w:r>
      <w:proofErr w:type="spellEnd"/>
      <w:r w:rsidRPr="00B1089D">
        <w:t xml:space="preserve"> </w:t>
      </w:r>
      <w:proofErr w:type="spellStart"/>
      <w:r w:rsidRPr="00B1089D">
        <w:t>municipalism</w:t>
      </w:r>
      <w:proofErr w:type="spellEnd"/>
      <w:r w:rsidRPr="00B1089D">
        <w:t xml:space="preserve">, </w:t>
      </w:r>
      <w:proofErr w:type="spellStart"/>
      <w:r w:rsidRPr="00B1089D">
        <w:t>which</w:t>
      </w:r>
      <w:proofErr w:type="spellEnd"/>
      <w:r w:rsidRPr="00B1089D">
        <w:t xml:space="preserve"> is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representative</w:t>
      </w:r>
      <w:proofErr w:type="spellEnd"/>
      <w:r w:rsidRPr="00B1089D">
        <w:t xml:space="preserve"> of </w:t>
      </w:r>
      <w:proofErr w:type="spellStart"/>
      <w:r w:rsidRPr="00B1089D">
        <w:t>the</w:t>
      </w:r>
      <w:proofErr w:type="spellEnd"/>
      <w:r w:rsidRPr="00B1089D">
        <w:t xml:space="preserve"> </w:t>
      </w:r>
      <w:proofErr w:type="spellStart"/>
      <w:r w:rsidRPr="00B1089D">
        <w:t>concept</w:t>
      </w:r>
      <w:proofErr w:type="spellEnd"/>
      <w:r w:rsidRPr="00B1089D">
        <w:t xml:space="preserve"> of </w:t>
      </w:r>
      <w:proofErr w:type="spellStart"/>
      <w:r w:rsidRPr="00B1089D">
        <w:t>social</w:t>
      </w:r>
      <w:proofErr w:type="spellEnd"/>
      <w:r w:rsidRPr="00B1089D">
        <w:t xml:space="preserve"> </w:t>
      </w:r>
      <w:proofErr w:type="spellStart"/>
      <w:r w:rsidRPr="00B1089D">
        <w:t>state</w:t>
      </w:r>
      <w:proofErr w:type="spellEnd"/>
      <w:r w:rsidRPr="00B1089D">
        <w:t xml:space="preserve">, has </w:t>
      </w:r>
      <w:proofErr w:type="spellStart"/>
      <w:r w:rsidRPr="00B1089D">
        <w:t>been</w:t>
      </w:r>
      <w:proofErr w:type="spellEnd"/>
      <w:r w:rsidRPr="00B1089D">
        <w:t xml:space="preserve"> </w:t>
      </w:r>
      <w:proofErr w:type="spellStart"/>
      <w:r w:rsidRPr="00B1089D">
        <w:t>better</w:t>
      </w:r>
      <w:proofErr w:type="spellEnd"/>
      <w:r w:rsidRPr="00B1089D">
        <w:t xml:space="preserve"> </w:t>
      </w:r>
      <w:proofErr w:type="spellStart"/>
      <w:r w:rsidRPr="00B1089D">
        <w:t>understood</w:t>
      </w:r>
      <w:proofErr w:type="spellEnd"/>
      <w:r w:rsidRPr="00B1089D">
        <w:t xml:space="preserve"> </w:t>
      </w:r>
      <w:proofErr w:type="spellStart"/>
      <w:r w:rsidRPr="00B1089D">
        <w:t>especially</w:t>
      </w:r>
      <w:proofErr w:type="spellEnd"/>
      <w:r w:rsidRPr="00B1089D">
        <w:t xml:space="preserve"> in </w:t>
      </w:r>
      <w:proofErr w:type="spellStart"/>
      <w:r w:rsidRPr="00B1089D">
        <w:t>the</w:t>
      </w:r>
      <w:proofErr w:type="spellEnd"/>
      <w:r w:rsidRPr="00B1089D">
        <w:t xml:space="preserve"> </w:t>
      </w:r>
      <w:proofErr w:type="spellStart"/>
      <w:r w:rsidRPr="00B1089D">
        <w:t>process</w:t>
      </w:r>
      <w:proofErr w:type="spellEnd"/>
      <w:r w:rsidRPr="00B1089D">
        <w:t xml:space="preserve"> of </w:t>
      </w:r>
      <w:proofErr w:type="spellStart"/>
      <w:r w:rsidRPr="00B1089D">
        <w:t>harmonisation</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EU, </w:t>
      </w:r>
      <w:proofErr w:type="spellStart"/>
      <w:r w:rsidRPr="00B1089D">
        <w:t>although</w:t>
      </w:r>
      <w:proofErr w:type="spellEnd"/>
      <w:r w:rsidRPr="00B1089D">
        <w:t xml:space="preserve"> it has not </w:t>
      </w:r>
      <w:proofErr w:type="spellStart"/>
      <w:r w:rsidRPr="00B1089D">
        <w:t>been</w:t>
      </w:r>
      <w:proofErr w:type="spellEnd"/>
      <w:r w:rsidRPr="00B1089D">
        <w:t xml:space="preserve"> </w:t>
      </w:r>
      <w:proofErr w:type="spellStart"/>
      <w:r w:rsidRPr="00B1089D">
        <w:t>sufficiently</w:t>
      </w:r>
      <w:proofErr w:type="spellEnd"/>
      <w:r w:rsidRPr="00B1089D">
        <w:t xml:space="preserve"> </w:t>
      </w:r>
      <w:proofErr w:type="spellStart"/>
      <w:r w:rsidRPr="00B1089D">
        <w:t>understood</w:t>
      </w:r>
      <w:proofErr w:type="spellEnd"/>
      <w:r w:rsidRPr="00B1089D">
        <w:t xml:space="preserve"> </w:t>
      </w:r>
      <w:proofErr w:type="spellStart"/>
      <w:r w:rsidRPr="00B1089D">
        <w:t>for</w:t>
      </w:r>
      <w:proofErr w:type="spellEnd"/>
      <w:r w:rsidRPr="00B1089D">
        <w:t xml:space="preserve"> </w:t>
      </w:r>
      <w:proofErr w:type="spellStart"/>
      <w:r w:rsidRPr="00B1089D">
        <w:t>many</w:t>
      </w:r>
      <w:proofErr w:type="spellEnd"/>
      <w:r w:rsidRPr="00B1089D">
        <w:t xml:space="preserve"> </w:t>
      </w:r>
      <w:proofErr w:type="spellStart"/>
      <w:r w:rsidRPr="00B1089D">
        <w:t>years</w:t>
      </w:r>
      <w:proofErr w:type="spellEnd"/>
      <w:r w:rsidRPr="00B1089D">
        <w:t xml:space="preserve">. </w:t>
      </w:r>
      <w:proofErr w:type="spellStart"/>
      <w:r w:rsidRPr="00B1089D">
        <w:t>Social</w:t>
      </w:r>
      <w:proofErr w:type="spellEnd"/>
      <w:r w:rsidRPr="00B1089D">
        <w:t xml:space="preserve"> </w:t>
      </w:r>
      <w:proofErr w:type="spellStart"/>
      <w:r w:rsidRPr="00B1089D">
        <w:t>municipalism</w:t>
      </w:r>
      <w:proofErr w:type="spellEnd"/>
      <w:r w:rsidRPr="00B1089D">
        <w:t xml:space="preserve">, </w:t>
      </w:r>
      <w:proofErr w:type="spellStart"/>
      <w:r w:rsidRPr="00B1089D">
        <w:t>which</w:t>
      </w:r>
      <w:proofErr w:type="spellEnd"/>
      <w:r w:rsidRPr="00B1089D">
        <w:t xml:space="preserve"> is </w:t>
      </w:r>
      <w:proofErr w:type="spellStart"/>
      <w:r w:rsidRPr="00B1089D">
        <w:t>the</w:t>
      </w:r>
      <w:proofErr w:type="spellEnd"/>
      <w:r w:rsidRPr="00B1089D">
        <w:t xml:space="preserve"> </w:t>
      </w:r>
      <w:proofErr w:type="spellStart"/>
      <w:r w:rsidRPr="00B1089D">
        <w:t>representative</w:t>
      </w:r>
      <w:proofErr w:type="spellEnd"/>
      <w:r w:rsidRPr="00B1089D">
        <w:t xml:space="preserve"> of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state</w:t>
      </w:r>
      <w:proofErr w:type="spellEnd"/>
      <w:r w:rsidRPr="00B1089D">
        <w:t xml:space="preserve"> at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level</w:t>
      </w:r>
      <w:proofErr w:type="spellEnd"/>
      <w:r w:rsidRPr="00B1089D">
        <w:t xml:space="preserve">, </w:t>
      </w:r>
      <w:proofErr w:type="spellStart"/>
      <w:r w:rsidRPr="00B1089D">
        <w:t>refers</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administration</w:t>
      </w:r>
      <w:proofErr w:type="spellEnd"/>
      <w:r w:rsidRPr="00B1089D">
        <w:t xml:space="preserve"> </w:t>
      </w:r>
      <w:proofErr w:type="spellStart"/>
      <w:r w:rsidRPr="00B1089D">
        <w:t>aiming</w:t>
      </w:r>
      <w:proofErr w:type="spellEnd"/>
      <w:r w:rsidRPr="00B1089D">
        <w:t xml:space="preserve"> </w:t>
      </w:r>
      <w:proofErr w:type="spellStart"/>
      <w:r w:rsidRPr="00B1089D">
        <w:t>to</w:t>
      </w:r>
      <w:proofErr w:type="spellEnd"/>
      <w:r w:rsidRPr="00B1089D">
        <w:t xml:space="preserve"> </w:t>
      </w:r>
      <w:proofErr w:type="spellStart"/>
      <w:r w:rsidRPr="00B1089D">
        <w:t>raise</w:t>
      </w:r>
      <w:proofErr w:type="spellEnd"/>
      <w:r w:rsidRPr="00B1089D">
        <w:t xml:space="preserve"> </w:t>
      </w:r>
      <w:proofErr w:type="spellStart"/>
      <w:r w:rsidRPr="00B1089D">
        <w:t>the</w:t>
      </w:r>
      <w:proofErr w:type="spellEnd"/>
      <w:r w:rsidRPr="00B1089D">
        <w:t xml:space="preserve"> </w:t>
      </w:r>
      <w:proofErr w:type="spellStart"/>
      <w:r w:rsidRPr="00B1089D">
        <w:t>living</w:t>
      </w:r>
      <w:proofErr w:type="spellEnd"/>
      <w:r w:rsidRPr="00B1089D">
        <w:t xml:space="preserve"> </w:t>
      </w:r>
      <w:proofErr w:type="spellStart"/>
      <w:r w:rsidRPr="00B1089D">
        <w:t>standards</w:t>
      </w:r>
      <w:proofErr w:type="spellEnd"/>
      <w:r w:rsidRPr="00B1089D">
        <w:t xml:space="preserve"> of </w:t>
      </w:r>
      <w:proofErr w:type="spellStart"/>
      <w:r w:rsidRPr="00B1089D">
        <w:t>its</w:t>
      </w:r>
      <w:proofErr w:type="spellEnd"/>
      <w:r w:rsidRPr="00B1089D">
        <w:t xml:space="preserve"> </w:t>
      </w:r>
      <w:proofErr w:type="spellStart"/>
      <w:r w:rsidRPr="00B1089D">
        <w:t>citizens</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direction</w:t>
      </w:r>
      <w:proofErr w:type="spellEnd"/>
      <w:r w:rsidRPr="00B1089D">
        <w:t xml:space="preserve">; in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social</w:t>
      </w:r>
      <w:proofErr w:type="spellEnd"/>
      <w:r w:rsidRPr="00B1089D">
        <w:t xml:space="preserve"> </w:t>
      </w:r>
      <w:proofErr w:type="spellStart"/>
      <w:r w:rsidRPr="00B1089D">
        <w:t>municipalism</w:t>
      </w:r>
      <w:proofErr w:type="spellEnd"/>
      <w:r w:rsidRPr="00B1089D">
        <w:t xml:space="preserve"> </w:t>
      </w:r>
      <w:proofErr w:type="spellStart"/>
      <w:r w:rsidRPr="00B1089D">
        <w:t>practices</w:t>
      </w:r>
      <w:proofErr w:type="spellEnd"/>
      <w:r w:rsidRPr="00B1089D">
        <w:t xml:space="preserve"> in Türkiye </w:t>
      </w:r>
      <w:proofErr w:type="spellStart"/>
      <w:r w:rsidRPr="00B1089D">
        <w:t>will</w:t>
      </w:r>
      <w:proofErr w:type="spellEnd"/>
      <w:r w:rsidRPr="00B1089D">
        <w:t xml:space="preserve"> be </w:t>
      </w:r>
      <w:proofErr w:type="spellStart"/>
      <w:r w:rsidRPr="00B1089D">
        <w:t>discussed</w:t>
      </w:r>
      <w:proofErr w:type="spellEnd"/>
      <w:r w:rsidRPr="00B1089D">
        <w:t xml:space="preserve">, </w:t>
      </w:r>
      <w:proofErr w:type="spellStart"/>
      <w:r w:rsidRPr="00B1089D">
        <w:t>the</w:t>
      </w:r>
      <w:proofErr w:type="spellEnd"/>
      <w:r w:rsidRPr="00B1089D">
        <w:t xml:space="preserve"> </w:t>
      </w:r>
      <w:proofErr w:type="spellStart"/>
      <w:r w:rsidRPr="00B1089D">
        <w:t>difficulties</w:t>
      </w:r>
      <w:proofErr w:type="spellEnd"/>
      <w:r w:rsidRPr="00B1089D">
        <w:t xml:space="preserve"> </w:t>
      </w:r>
      <w:proofErr w:type="spellStart"/>
      <w:r w:rsidRPr="00B1089D">
        <w:t>and</w:t>
      </w:r>
      <w:proofErr w:type="spellEnd"/>
      <w:r w:rsidRPr="00B1089D">
        <w:t xml:space="preserve"> </w:t>
      </w:r>
      <w:proofErr w:type="spellStart"/>
      <w:r w:rsidRPr="00B1089D">
        <w:t>opportunities</w:t>
      </w:r>
      <w:proofErr w:type="spellEnd"/>
      <w:r w:rsidRPr="00B1089D">
        <w:t xml:space="preserve"> </w:t>
      </w:r>
      <w:proofErr w:type="spellStart"/>
      <w:r w:rsidRPr="00B1089D">
        <w:t>encountered</w:t>
      </w:r>
      <w:proofErr w:type="spellEnd"/>
      <w:r w:rsidRPr="00B1089D">
        <w:t xml:space="preserve"> in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will</w:t>
      </w:r>
      <w:proofErr w:type="spellEnd"/>
      <w:r w:rsidRPr="00B1089D">
        <w:t xml:space="preserve"> be </w:t>
      </w:r>
      <w:proofErr w:type="spellStart"/>
      <w:r w:rsidRPr="00B1089D">
        <w:t>discussed</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degree</w:t>
      </w:r>
      <w:proofErr w:type="spellEnd"/>
      <w:r w:rsidRPr="00B1089D">
        <w:t xml:space="preserve"> of </w:t>
      </w:r>
      <w:proofErr w:type="spellStart"/>
      <w:r w:rsidRPr="00B1089D">
        <w:t>success</w:t>
      </w:r>
      <w:proofErr w:type="spellEnd"/>
      <w:r w:rsidRPr="00B1089D">
        <w:t xml:space="preserve"> in </w:t>
      </w:r>
      <w:proofErr w:type="spellStart"/>
      <w:r w:rsidRPr="00B1089D">
        <w:t>this</w:t>
      </w:r>
      <w:proofErr w:type="spellEnd"/>
      <w:r w:rsidRPr="00B1089D">
        <w:t xml:space="preserve"> </w:t>
      </w:r>
      <w:proofErr w:type="spellStart"/>
      <w:r w:rsidRPr="00B1089D">
        <w:t>regard</w:t>
      </w:r>
      <w:proofErr w:type="spellEnd"/>
      <w:r w:rsidRPr="00B1089D">
        <w:t xml:space="preserve"> </w:t>
      </w:r>
      <w:proofErr w:type="spellStart"/>
      <w:r w:rsidRPr="00B1089D">
        <w:t>will</w:t>
      </w:r>
      <w:proofErr w:type="spellEnd"/>
      <w:r w:rsidRPr="00B1089D">
        <w:t xml:space="preserve"> be </w:t>
      </w:r>
      <w:proofErr w:type="spellStart"/>
      <w:r w:rsidRPr="00B1089D">
        <w:t>evaluated</w:t>
      </w:r>
      <w:proofErr w:type="spellEnd"/>
      <w:r w:rsidRPr="00B1089D">
        <w:t xml:space="preserve">. </w:t>
      </w:r>
      <w:proofErr w:type="spellStart"/>
      <w:r w:rsidRPr="00B1089D">
        <w:t>Although</w:t>
      </w:r>
      <w:proofErr w:type="spellEnd"/>
      <w:r w:rsidRPr="00B1089D">
        <w:t xml:space="preserve"> </w:t>
      </w:r>
      <w:proofErr w:type="spellStart"/>
      <w:r w:rsidRPr="00B1089D">
        <w:t>municipalities</w:t>
      </w:r>
      <w:proofErr w:type="spellEnd"/>
      <w:r w:rsidRPr="00B1089D">
        <w:t xml:space="preserve"> </w:t>
      </w:r>
      <w:proofErr w:type="spellStart"/>
      <w:r w:rsidRPr="00B1089D">
        <w:t>have</w:t>
      </w:r>
      <w:proofErr w:type="spellEnd"/>
      <w:r w:rsidRPr="00B1089D">
        <w:t xml:space="preserve"> </w:t>
      </w:r>
      <w:proofErr w:type="spellStart"/>
      <w:r w:rsidRPr="00B1089D">
        <w:t>been</w:t>
      </w:r>
      <w:proofErr w:type="spellEnd"/>
      <w:r w:rsidRPr="00B1089D">
        <w:t xml:space="preserve"> </w:t>
      </w:r>
      <w:proofErr w:type="spellStart"/>
      <w:r w:rsidRPr="00B1089D">
        <w:t>given</w:t>
      </w:r>
      <w:proofErr w:type="spellEnd"/>
      <w:r w:rsidRPr="00B1089D">
        <w:t xml:space="preserve"> </w:t>
      </w:r>
      <w:proofErr w:type="spellStart"/>
      <w:r w:rsidRPr="00B1089D">
        <w:t>wider</w:t>
      </w:r>
      <w:proofErr w:type="spellEnd"/>
      <w:r w:rsidRPr="00B1089D">
        <w:t xml:space="preserve"> </w:t>
      </w:r>
      <w:proofErr w:type="spellStart"/>
      <w:r w:rsidRPr="00B1089D">
        <w:t>powers</w:t>
      </w:r>
      <w:proofErr w:type="spellEnd"/>
      <w:r w:rsidRPr="00B1089D">
        <w:t xml:space="preserve"> </w:t>
      </w:r>
      <w:proofErr w:type="spellStart"/>
      <w:r w:rsidRPr="00B1089D">
        <w:t>and</w:t>
      </w:r>
      <w:proofErr w:type="spellEnd"/>
      <w:r w:rsidRPr="00B1089D">
        <w:t xml:space="preserve"> </w:t>
      </w:r>
      <w:proofErr w:type="spellStart"/>
      <w:r w:rsidRPr="00B1089D">
        <w:t>opportunities</w:t>
      </w:r>
      <w:proofErr w:type="spellEnd"/>
      <w:r w:rsidRPr="00B1089D">
        <w:t xml:space="preserve"> </w:t>
      </w:r>
      <w:proofErr w:type="spellStart"/>
      <w:r w:rsidRPr="00B1089D">
        <w:t>for</w:t>
      </w:r>
      <w:proofErr w:type="spellEnd"/>
      <w:r w:rsidRPr="00B1089D">
        <w:t xml:space="preserve"> </w:t>
      </w:r>
      <w:proofErr w:type="spellStart"/>
      <w:r w:rsidRPr="00B1089D">
        <w:t>social</w:t>
      </w:r>
      <w:proofErr w:type="spellEnd"/>
      <w:r w:rsidRPr="00B1089D">
        <w:t xml:space="preserve"> </w:t>
      </w:r>
      <w:proofErr w:type="spellStart"/>
      <w:r w:rsidRPr="00B1089D">
        <w:t>support</w:t>
      </w:r>
      <w:proofErr w:type="spellEnd"/>
      <w:r w:rsidRPr="00B1089D">
        <w:t xml:space="preserve"> </w:t>
      </w:r>
      <w:proofErr w:type="spellStart"/>
      <w:r w:rsidRPr="00B1089D">
        <w:t>compared</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past</w:t>
      </w:r>
      <w:proofErr w:type="spellEnd"/>
      <w:r w:rsidRPr="00B1089D">
        <w:t xml:space="preserve"> </w:t>
      </w:r>
      <w:proofErr w:type="spellStart"/>
      <w:r w:rsidRPr="00B1089D">
        <w:t>periods</w:t>
      </w:r>
      <w:proofErr w:type="spellEnd"/>
      <w:r w:rsidRPr="00B1089D">
        <w:t xml:space="preserve">, it is </w:t>
      </w:r>
      <w:proofErr w:type="spellStart"/>
      <w:r w:rsidRPr="00B1089D">
        <w:t>seen</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obligations</w:t>
      </w:r>
      <w:proofErr w:type="spellEnd"/>
      <w:r w:rsidRPr="00B1089D">
        <w:t xml:space="preserve"> </w:t>
      </w:r>
      <w:proofErr w:type="spellStart"/>
      <w:r w:rsidRPr="00B1089D">
        <w:t>required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principle</w:t>
      </w:r>
      <w:proofErr w:type="spellEnd"/>
      <w:r w:rsidRPr="00B1089D">
        <w:t xml:space="preserve"> of </w:t>
      </w:r>
      <w:proofErr w:type="spellStart"/>
      <w:r w:rsidRPr="00B1089D">
        <w:t>social</w:t>
      </w:r>
      <w:proofErr w:type="spellEnd"/>
      <w:r w:rsidRPr="00B1089D">
        <w:t xml:space="preserve"> </w:t>
      </w:r>
      <w:proofErr w:type="spellStart"/>
      <w:r w:rsidRPr="00B1089D">
        <w:t>municipalism</w:t>
      </w:r>
      <w:proofErr w:type="spellEnd"/>
      <w:r w:rsidRPr="00B1089D">
        <w:t xml:space="preserve"> </w:t>
      </w:r>
      <w:proofErr w:type="spellStart"/>
      <w:r w:rsidRPr="00B1089D">
        <w:t>cannot</w:t>
      </w:r>
      <w:proofErr w:type="spellEnd"/>
      <w:r w:rsidRPr="00B1089D">
        <w:t xml:space="preserve"> be met </w:t>
      </w:r>
      <w:proofErr w:type="spellStart"/>
      <w:r w:rsidRPr="00B1089D">
        <w:t>to</w:t>
      </w:r>
      <w:proofErr w:type="spellEnd"/>
      <w:r w:rsidRPr="00B1089D">
        <w:t xml:space="preserve"> a </w:t>
      </w:r>
      <w:proofErr w:type="spellStart"/>
      <w:r w:rsidRPr="00B1089D">
        <w:t>sufficient</w:t>
      </w:r>
      <w:proofErr w:type="spellEnd"/>
      <w:r w:rsidRPr="00B1089D">
        <w:t xml:space="preserve"> </w:t>
      </w:r>
      <w:proofErr w:type="spellStart"/>
      <w:r w:rsidRPr="00B1089D">
        <w:t>extent</w:t>
      </w:r>
      <w:proofErr w:type="spellEnd"/>
      <w:r w:rsidRPr="00B1089D">
        <w:t xml:space="preserve"> </w:t>
      </w:r>
      <w:proofErr w:type="spellStart"/>
      <w:r w:rsidRPr="00B1089D">
        <w:t>when</w:t>
      </w:r>
      <w:proofErr w:type="spellEnd"/>
      <w:r w:rsidRPr="00B1089D">
        <w:t xml:space="preserve"> </w:t>
      </w:r>
      <w:proofErr w:type="spellStart"/>
      <w:r w:rsidRPr="00B1089D">
        <w:t>the</w:t>
      </w:r>
      <w:proofErr w:type="spellEnd"/>
      <w:r w:rsidRPr="00B1089D">
        <w:t xml:space="preserve"> </w:t>
      </w:r>
      <w:proofErr w:type="spellStart"/>
      <w:r w:rsidRPr="00B1089D">
        <w:t>challenging</w:t>
      </w:r>
      <w:proofErr w:type="spellEnd"/>
      <w:r w:rsidRPr="00B1089D">
        <w:t xml:space="preserve"> </w:t>
      </w:r>
      <w:proofErr w:type="spellStart"/>
      <w:r w:rsidRPr="00B1089D">
        <w:t>process</w:t>
      </w:r>
      <w:proofErr w:type="spellEnd"/>
      <w:r w:rsidRPr="00B1089D">
        <w:t xml:space="preserve"> </w:t>
      </w:r>
      <w:proofErr w:type="spellStart"/>
      <w:r w:rsidRPr="00B1089D">
        <w:t>that</w:t>
      </w:r>
      <w:proofErr w:type="spellEnd"/>
      <w:r w:rsidRPr="00B1089D">
        <w:t xml:space="preserve"> </w:t>
      </w:r>
      <w:proofErr w:type="spellStart"/>
      <w:r w:rsidRPr="00B1089D">
        <w:t>our</w:t>
      </w:r>
      <w:proofErr w:type="spellEnd"/>
      <w:r w:rsidRPr="00B1089D">
        <w:t xml:space="preserve"> </w:t>
      </w:r>
      <w:proofErr w:type="spellStart"/>
      <w:r w:rsidRPr="00B1089D">
        <w:t>country</w:t>
      </w:r>
      <w:proofErr w:type="spellEnd"/>
      <w:r w:rsidRPr="00B1089D">
        <w:t xml:space="preserve"> is </w:t>
      </w:r>
      <w:proofErr w:type="spellStart"/>
      <w:r w:rsidRPr="00B1089D">
        <w:t>going</w:t>
      </w:r>
      <w:proofErr w:type="spellEnd"/>
      <w:r w:rsidRPr="00B1089D">
        <w:t xml:space="preserve"> </w:t>
      </w:r>
      <w:proofErr w:type="spellStart"/>
      <w:r w:rsidRPr="00B1089D">
        <w:t>through</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increasing</w:t>
      </w:r>
      <w:proofErr w:type="spellEnd"/>
      <w:r w:rsidRPr="00B1089D">
        <w:t xml:space="preserve"> </w:t>
      </w:r>
      <w:proofErr w:type="spellStart"/>
      <w:r w:rsidRPr="00B1089D">
        <w:t>migration</w:t>
      </w:r>
      <w:proofErr w:type="spellEnd"/>
      <w:r w:rsidRPr="00B1089D">
        <w:t xml:space="preserve"> </w:t>
      </w:r>
      <w:proofErr w:type="spellStart"/>
      <w:r w:rsidRPr="00B1089D">
        <w:t>and</w:t>
      </w:r>
      <w:proofErr w:type="spellEnd"/>
      <w:r w:rsidRPr="00B1089D">
        <w:t xml:space="preserve"> </w:t>
      </w:r>
      <w:proofErr w:type="spellStart"/>
      <w:r w:rsidRPr="00B1089D">
        <w:t>population</w:t>
      </w:r>
      <w:proofErr w:type="spellEnd"/>
      <w:r w:rsidRPr="00B1089D">
        <w:t xml:space="preserve"> is </w:t>
      </w:r>
      <w:proofErr w:type="spellStart"/>
      <w:r w:rsidRPr="00B1089D">
        <w:t>evaluated</w:t>
      </w:r>
      <w:proofErr w:type="spellEnd"/>
      <w:r w:rsidRPr="00B1089D">
        <w:t xml:space="preserve">.  </w:t>
      </w:r>
      <w:proofErr w:type="spellStart"/>
      <w:r w:rsidRPr="00B1089D">
        <w:t>It</w:t>
      </w:r>
      <w:proofErr w:type="spellEnd"/>
      <w:r w:rsidRPr="00B1089D">
        <w:t xml:space="preserve"> </w:t>
      </w:r>
      <w:proofErr w:type="spellStart"/>
      <w:r w:rsidRPr="00B1089D">
        <w:t>will</w:t>
      </w:r>
      <w:proofErr w:type="spellEnd"/>
      <w:r w:rsidRPr="00B1089D">
        <w:t xml:space="preserve"> be </w:t>
      </w:r>
      <w:proofErr w:type="spellStart"/>
      <w:r w:rsidRPr="00B1089D">
        <w:t>extremely</w:t>
      </w:r>
      <w:proofErr w:type="spellEnd"/>
      <w:r w:rsidRPr="00B1089D">
        <w:t xml:space="preserve"> </w:t>
      </w:r>
      <w:proofErr w:type="spellStart"/>
      <w:r w:rsidRPr="00B1089D">
        <w:t>important</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welfare</w:t>
      </w:r>
      <w:proofErr w:type="spellEnd"/>
      <w:r w:rsidRPr="00B1089D">
        <w:t xml:space="preserve"> </w:t>
      </w:r>
      <w:proofErr w:type="spellStart"/>
      <w:r w:rsidRPr="00B1089D">
        <w:t>level</w:t>
      </w:r>
      <w:proofErr w:type="spellEnd"/>
      <w:r w:rsidRPr="00B1089D">
        <w:t xml:space="preserve"> of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people</w:t>
      </w:r>
      <w:proofErr w:type="spellEnd"/>
      <w:r w:rsidRPr="00B1089D">
        <w:t xml:space="preserve">, </w:t>
      </w:r>
      <w:proofErr w:type="spellStart"/>
      <w:r w:rsidRPr="00B1089D">
        <w:t>to</w:t>
      </w:r>
      <w:proofErr w:type="spellEnd"/>
      <w:r w:rsidRPr="00B1089D">
        <w:t xml:space="preserve"> </w:t>
      </w:r>
      <w:proofErr w:type="spellStart"/>
      <w:r w:rsidRPr="00B1089D">
        <w:t>raise</w:t>
      </w:r>
      <w:proofErr w:type="spellEnd"/>
      <w:r w:rsidRPr="00B1089D">
        <w:t xml:space="preserve"> </w:t>
      </w:r>
      <w:proofErr w:type="spellStart"/>
      <w:r w:rsidRPr="00B1089D">
        <w:t>their</w:t>
      </w:r>
      <w:proofErr w:type="spellEnd"/>
      <w:r w:rsidRPr="00B1089D">
        <w:t xml:space="preserve"> </w:t>
      </w:r>
      <w:proofErr w:type="spellStart"/>
      <w:r w:rsidRPr="00B1089D">
        <w:t>education</w:t>
      </w:r>
      <w:proofErr w:type="spellEnd"/>
      <w:r w:rsidRPr="00B1089D">
        <w:t xml:space="preserve"> </w:t>
      </w:r>
      <w:proofErr w:type="spellStart"/>
      <w:r w:rsidRPr="00B1089D">
        <w:t>levels</w:t>
      </w:r>
      <w:proofErr w:type="spellEnd"/>
      <w:r w:rsidRPr="00B1089D">
        <w:t xml:space="preserve"> </w:t>
      </w:r>
      <w:proofErr w:type="spellStart"/>
      <w:r w:rsidRPr="00B1089D">
        <w:t>and</w:t>
      </w:r>
      <w:proofErr w:type="spellEnd"/>
      <w:r w:rsidRPr="00B1089D">
        <w:t xml:space="preserve"> </w:t>
      </w:r>
      <w:proofErr w:type="spellStart"/>
      <w:r w:rsidRPr="00B1089D">
        <w:t>to</w:t>
      </w:r>
      <w:proofErr w:type="spellEnd"/>
      <w:r w:rsidRPr="00B1089D">
        <w:t xml:space="preserve"> </w:t>
      </w:r>
      <w:proofErr w:type="spellStart"/>
      <w:r w:rsidRPr="00B1089D">
        <w:t>provide</w:t>
      </w:r>
      <w:proofErr w:type="spellEnd"/>
      <w:r w:rsidRPr="00B1089D">
        <w:t xml:space="preserve"> </w:t>
      </w:r>
      <w:proofErr w:type="spellStart"/>
      <w:r w:rsidRPr="00B1089D">
        <w:t>more</w:t>
      </w:r>
      <w:proofErr w:type="spellEnd"/>
      <w:r w:rsidRPr="00B1089D">
        <w:t xml:space="preserve"> </w:t>
      </w:r>
      <w:proofErr w:type="spellStart"/>
      <w:r w:rsidRPr="00B1089D">
        <w:t>support</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governments</w:t>
      </w:r>
      <w:proofErr w:type="spellEnd"/>
      <w:r w:rsidRPr="00B1089D">
        <w:t xml:space="preserve"> </w:t>
      </w:r>
      <w:proofErr w:type="spellStart"/>
      <w:r w:rsidRPr="00B1089D">
        <w:t>that</w:t>
      </w:r>
      <w:proofErr w:type="spellEnd"/>
      <w:r w:rsidRPr="00B1089D">
        <w:t xml:space="preserve"> </w:t>
      </w:r>
      <w:proofErr w:type="spellStart"/>
      <w:r w:rsidRPr="00B1089D">
        <w:t>are</w:t>
      </w:r>
      <w:proofErr w:type="spellEnd"/>
      <w:r w:rsidRPr="00B1089D">
        <w:t xml:space="preserve"> </w:t>
      </w:r>
      <w:proofErr w:type="spellStart"/>
      <w:r w:rsidRPr="00B1089D">
        <w:t>pioneers</w:t>
      </w:r>
      <w:proofErr w:type="spellEnd"/>
      <w:r w:rsidRPr="00B1089D">
        <w:t xml:space="preserve"> in </w:t>
      </w:r>
      <w:proofErr w:type="spellStart"/>
      <w:r w:rsidRPr="00B1089D">
        <w:t>this</w:t>
      </w:r>
      <w:proofErr w:type="spellEnd"/>
      <w:r w:rsidRPr="00B1089D">
        <w:t xml:space="preserve"> </w:t>
      </w:r>
      <w:proofErr w:type="spellStart"/>
      <w:r w:rsidRPr="00B1089D">
        <w:t>regard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w:t>
      </w:r>
      <w:proofErr w:type="spellStart"/>
      <w:r w:rsidRPr="00B1089D">
        <w:t>local</w:t>
      </w:r>
      <w:proofErr w:type="spellEnd"/>
      <w:r w:rsidRPr="00B1089D">
        <w:t xml:space="preserve"> </w:t>
      </w:r>
      <w:proofErr w:type="spellStart"/>
      <w:r w:rsidRPr="00B1089D">
        <w:t>people</w:t>
      </w:r>
      <w:proofErr w:type="spellEnd"/>
      <w:r w:rsidRPr="00B1089D">
        <w:t>.</w:t>
      </w:r>
    </w:p>
    <w:p w14:paraId="61E3CE0C" w14:textId="77777777" w:rsidR="00FA457D" w:rsidRPr="00B1089D" w:rsidRDefault="00FA457D" w:rsidP="00E359E0">
      <w:pPr>
        <w:widowControl/>
        <w:jc w:val="both"/>
      </w:pPr>
    </w:p>
    <w:p w14:paraId="7B649C44" w14:textId="65B7AF5E" w:rsidR="00D37D80" w:rsidRDefault="00FA457D" w:rsidP="00E359E0">
      <w:pPr>
        <w:widowControl/>
        <w:jc w:val="both"/>
      </w:pPr>
      <w:proofErr w:type="spellStart"/>
      <w:r w:rsidRPr="00B1089D">
        <w:rPr>
          <w:b/>
          <w:bCs/>
        </w:rPr>
        <w:t>Keywords</w:t>
      </w:r>
      <w:proofErr w:type="spellEnd"/>
      <w:r w:rsidRPr="00B1089D">
        <w:rPr>
          <w:b/>
          <w:bCs/>
        </w:rPr>
        <w:t>:</w:t>
      </w:r>
      <w:r w:rsidRPr="00B1089D">
        <w:t xml:space="preserve"> Türkiye, </w:t>
      </w:r>
      <w:proofErr w:type="spellStart"/>
      <w:r w:rsidRPr="00B1089D">
        <w:t>Social</w:t>
      </w:r>
      <w:proofErr w:type="spellEnd"/>
      <w:r w:rsidRPr="00B1089D">
        <w:t xml:space="preserve"> </w:t>
      </w:r>
      <w:proofErr w:type="spellStart"/>
      <w:r w:rsidRPr="00B1089D">
        <w:t>Municipalism</w:t>
      </w:r>
      <w:proofErr w:type="spellEnd"/>
      <w:r w:rsidRPr="00B1089D">
        <w:t xml:space="preserve">, </w:t>
      </w:r>
      <w:proofErr w:type="spellStart"/>
      <w:r w:rsidRPr="00B1089D">
        <w:t>Local</w:t>
      </w:r>
      <w:proofErr w:type="spellEnd"/>
      <w:r w:rsidRPr="00B1089D">
        <w:t xml:space="preserve"> </w:t>
      </w:r>
      <w:proofErr w:type="spellStart"/>
      <w:r w:rsidRPr="00B1089D">
        <w:t>Government</w:t>
      </w:r>
      <w:proofErr w:type="spellEnd"/>
      <w:r w:rsidRPr="00B1089D">
        <w:t xml:space="preserve">, </w:t>
      </w:r>
      <w:proofErr w:type="spellStart"/>
      <w:r w:rsidRPr="00B1089D">
        <w:t>Challenges</w:t>
      </w:r>
      <w:proofErr w:type="spellEnd"/>
      <w:r w:rsidRPr="00B1089D">
        <w:t xml:space="preserve">, </w:t>
      </w:r>
      <w:proofErr w:type="spellStart"/>
      <w:r w:rsidRPr="00B1089D">
        <w:t>Opportunities</w:t>
      </w:r>
      <w:proofErr w:type="spellEnd"/>
      <w:r w:rsidRPr="00D10870">
        <w:t>.</w:t>
      </w:r>
    </w:p>
    <w:p w14:paraId="52CF8BE7" w14:textId="77777777" w:rsidR="00D37D80" w:rsidRDefault="00D37D80">
      <w:pPr>
        <w:autoSpaceDE/>
        <w:autoSpaceDN/>
      </w:pPr>
      <w:r>
        <w:br w:type="page"/>
      </w:r>
    </w:p>
    <w:p w14:paraId="2F5980B1" w14:textId="0109A910" w:rsidR="007F2361" w:rsidRPr="00D37D80" w:rsidRDefault="007F2361" w:rsidP="00D37D80">
      <w:pPr>
        <w:pStyle w:val="Balk1"/>
        <w:spacing w:before="0" w:line="360" w:lineRule="auto"/>
        <w:rPr>
          <w:b/>
          <w:bCs/>
        </w:rPr>
      </w:pPr>
      <w:bookmarkStart w:id="252" w:name="_Toc192855274"/>
      <w:r w:rsidRPr="00D37D80">
        <w:rPr>
          <w:b/>
          <w:bCs/>
        </w:rPr>
        <w:lastRenderedPageBreak/>
        <w:t>Avrupa Yeşil Mutabakatı Kapsamında Türkiye</w:t>
      </w:r>
      <w:r w:rsidRPr="00D37D80">
        <w:rPr>
          <w:b/>
          <w:bCs/>
          <w:rtl/>
        </w:rPr>
        <w:t>’</w:t>
      </w:r>
      <w:r w:rsidRPr="00D37D80">
        <w:rPr>
          <w:b/>
          <w:bCs/>
        </w:rPr>
        <w:t>de Yeşil Lojistik Uygulamaları ve Geleceğ</w:t>
      </w:r>
      <w:r w:rsidR="00D37D80" w:rsidRPr="00D37D80">
        <w:rPr>
          <w:b/>
          <w:bCs/>
        </w:rPr>
        <w:t>i</w:t>
      </w:r>
      <w:bookmarkEnd w:id="252"/>
    </w:p>
    <w:p w14:paraId="17AAD038" w14:textId="77777777" w:rsidR="007F2361" w:rsidRDefault="007F2361" w:rsidP="007F2361">
      <w:pPr>
        <w:pStyle w:val="Gvde"/>
        <w:jc w:val="center"/>
        <w:rPr>
          <w:rFonts w:ascii="Times New Roman" w:eastAsia="Times New Roman" w:hAnsi="Times New Roman" w:cs="Times New Roman"/>
        </w:rPr>
      </w:pPr>
      <w:r>
        <w:rPr>
          <w:rFonts w:ascii="Times New Roman" w:hAnsi="Times New Roman"/>
        </w:rPr>
        <w:t>Hilal Mavi</w:t>
      </w:r>
      <w:r>
        <w:rPr>
          <w:rFonts w:ascii="Times New Roman" w:eastAsia="Times New Roman" w:hAnsi="Times New Roman" w:cs="Times New Roman"/>
        </w:rPr>
        <w:br/>
      </w:r>
      <w:r>
        <w:rPr>
          <w:rFonts w:ascii="Times New Roman" w:hAnsi="Times New Roman"/>
        </w:rPr>
        <w:t xml:space="preserve">Kastamonu </w:t>
      </w:r>
      <w:r>
        <w:rPr>
          <w:rFonts w:ascii="Times New Roman" w:hAnsi="Times New Roman"/>
          <w:lang w:val="de-DE"/>
        </w:rPr>
        <w:t>Ü</w:t>
      </w:r>
      <w:proofErr w:type="spellStart"/>
      <w:r>
        <w:rPr>
          <w:rFonts w:ascii="Times New Roman" w:hAnsi="Times New Roman"/>
        </w:rPr>
        <w:t>niversitesi</w:t>
      </w:r>
      <w:proofErr w:type="spellEnd"/>
      <w:r>
        <w:rPr>
          <w:rFonts w:ascii="Times New Roman" w:hAnsi="Times New Roman"/>
        </w:rPr>
        <w:t xml:space="preserve">, Sosyal Bilimler Enstitüsü Uluslararası İlişkiler Anabilim Dalı, </w:t>
      </w:r>
      <w:r>
        <w:rPr>
          <w:rFonts w:ascii="Times New Roman" w:hAnsi="Times New Roman"/>
          <w:lang w:val="en-US"/>
        </w:rPr>
        <w:t>Y</w:t>
      </w:r>
      <w:proofErr w:type="spellStart"/>
      <w:r>
        <w:rPr>
          <w:rFonts w:ascii="Times New Roman" w:hAnsi="Times New Roman"/>
        </w:rPr>
        <w:t>üksek</w:t>
      </w:r>
      <w:proofErr w:type="spellEnd"/>
      <w:r>
        <w:rPr>
          <w:rFonts w:ascii="Times New Roman" w:hAnsi="Times New Roman"/>
        </w:rPr>
        <w:t xml:space="preserve"> Lisans Öğrencisi</w:t>
      </w:r>
      <w:r>
        <w:rPr>
          <w:rFonts w:ascii="Times New Roman" w:eastAsia="Times New Roman" w:hAnsi="Times New Roman" w:cs="Times New Roman"/>
          <w:vertAlign w:val="superscript"/>
        </w:rPr>
        <w:footnoteReference w:id="79"/>
      </w:r>
      <w:r>
        <w:rPr>
          <w:rFonts w:ascii="Times New Roman" w:eastAsia="Times New Roman" w:hAnsi="Times New Roman" w:cs="Times New Roman"/>
        </w:rPr>
        <w:br/>
      </w:r>
      <w:hyperlink r:id="rId378" w:history="1">
        <w:r>
          <w:rPr>
            <w:rStyle w:val="Hyperlink0"/>
          </w:rPr>
          <w:t>hilal.mavi.9894</w:t>
        </w:r>
        <w:r>
          <w:rPr>
            <w:rStyle w:val="Hyperlink0"/>
            <w:lang w:val="it-IT"/>
          </w:rPr>
          <w:t>@gmail.com</w:t>
        </w:r>
      </w:hyperlink>
    </w:p>
    <w:p w14:paraId="0F02C23C" w14:textId="77777777" w:rsidR="007F2361" w:rsidRDefault="007F2361" w:rsidP="007F2361">
      <w:pPr>
        <w:pStyle w:val="Gvde"/>
        <w:jc w:val="center"/>
        <w:rPr>
          <w:rFonts w:ascii="Times New Roman" w:eastAsia="Times New Roman" w:hAnsi="Times New Roman" w:cs="Times New Roman"/>
        </w:rPr>
      </w:pPr>
    </w:p>
    <w:p w14:paraId="77E2375F" w14:textId="77777777" w:rsidR="007F2361" w:rsidRDefault="007F2361" w:rsidP="007F2361">
      <w:pPr>
        <w:pStyle w:val="Gvde"/>
        <w:jc w:val="center"/>
        <w:rPr>
          <w:rFonts w:ascii="Times New Roman" w:eastAsia="Times New Roman" w:hAnsi="Times New Roman" w:cs="Times New Roman"/>
          <w:b/>
          <w:bCs/>
        </w:rPr>
      </w:pPr>
      <w:r>
        <w:rPr>
          <w:rFonts w:ascii="Times New Roman" w:hAnsi="Times New Roman"/>
          <w:b/>
          <w:bCs/>
        </w:rPr>
        <w:t>Özet</w:t>
      </w:r>
    </w:p>
    <w:p w14:paraId="3C732937" w14:textId="77777777" w:rsidR="007F2361" w:rsidRDefault="007F2361" w:rsidP="007F2361">
      <w:pPr>
        <w:pStyle w:val="GvdeMetni"/>
        <w:ind w:left="23" w:right="38"/>
        <w:jc w:val="both"/>
      </w:pPr>
      <w:r>
        <w:t xml:space="preserve">İklim krizi </w:t>
      </w:r>
      <w:r>
        <w:rPr>
          <w:lang w:val="sv-SE"/>
        </w:rPr>
        <w:t>ö</w:t>
      </w:r>
      <w:r>
        <w:t>nemli bir ekolojik sorun olarak günümüz uluslararası ilişkilerinin gündem maddelerinden birini oluşturmaktadır. Bu doğrultuda, Avrupa Birliği (AB) 2050 yılına kadar net 0 sera gazı salınımına ulaşmak, sürdürülebilir bir ekonomi oluşturmak, enerji verimliliğini arttırmak gibi amaçlarla 2019 yılında Avrupa Yeşil</w:t>
      </w:r>
      <w:r>
        <w:rPr>
          <w:spacing w:val="-8"/>
        </w:rPr>
        <w:t xml:space="preserve"> </w:t>
      </w:r>
      <w:proofErr w:type="spellStart"/>
      <w:r>
        <w:t>Mutabakatı’nı</w:t>
      </w:r>
      <w:proofErr w:type="spellEnd"/>
      <w:r>
        <w:rPr>
          <w:spacing w:val="-8"/>
        </w:rPr>
        <w:t xml:space="preserve"> </w:t>
      </w:r>
      <w:r>
        <w:t>yayınlamıştır.</w:t>
      </w:r>
      <w:r>
        <w:rPr>
          <w:spacing w:val="-8"/>
        </w:rPr>
        <w:t xml:space="preserve"> </w:t>
      </w:r>
      <w:r>
        <w:t>Bu</w:t>
      </w:r>
      <w:r>
        <w:rPr>
          <w:spacing w:val="-8"/>
        </w:rPr>
        <w:t xml:space="preserve"> </w:t>
      </w:r>
      <w:r>
        <w:t>mutabakat</w:t>
      </w:r>
      <w:r>
        <w:rPr>
          <w:spacing w:val="-8"/>
        </w:rPr>
        <w:t xml:space="preserve"> </w:t>
      </w:r>
      <w:r>
        <w:t>çerçevesinde</w:t>
      </w:r>
      <w:r>
        <w:rPr>
          <w:spacing w:val="-8"/>
        </w:rPr>
        <w:t xml:space="preserve"> </w:t>
      </w:r>
      <w:r>
        <w:t>ulaşım,</w:t>
      </w:r>
      <w:r>
        <w:rPr>
          <w:spacing w:val="-8"/>
        </w:rPr>
        <w:t xml:space="preserve"> </w:t>
      </w:r>
      <w:r>
        <w:t>tarım,</w:t>
      </w:r>
      <w:r>
        <w:rPr>
          <w:spacing w:val="-8"/>
        </w:rPr>
        <w:t xml:space="preserve"> </w:t>
      </w:r>
      <w:r>
        <w:t>sanayi</w:t>
      </w:r>
      <w:r>
        <w:rPr>
          <w:spacing w:val="-8"/>
        </w:rPr>
        <w:t xml:space="preserve"> </w:t>
      </w:r>
      <w:r>
        <w:t xml:space="preserve">ve lojistik gibi alanlarda büyük bir </w:t>
      </w:r>
      <w:proofErr w:type="spellStart"/>
      <w:r>
        <w:t>yeş</w:t>
      </w:r>
      <w:proofErr w:type="spellEnd"/>
      <w:r>
        <w:rPr>
          <w:lang w:val="fr-FR"/>
        </w:rPr>
        <w:t>il d</w:t>
      </w:r>
      <w:r>
        <w:rPr>
          <w:lang w:val="sv-SE"/>
        </w:rPr>
        <w:t>ö</w:t>
      </w:r>
      <w:proofErr w:type="spellStart"/>
      <w:r>
        <w:t>nüşüm</w:t>
      </w:r>
      <w:proofErr w:type="spellEnd"/>
      <w:r>
        <w:t xml:space="preserve"> süreci başlamıştır. Türkiye</w:t>
      </w:r>
      <w:r>
        <w:rPr>
          <w:rtl/>
        </w:rPr>
        <w:t>’</w:t>
      </w:r>
      <w:proofErr w:type="spellStart"/>
      <w:r>
        <w:t>nin</w:t>
      </w:r>
      <w:proofErr w:type="spellEnd"/>
      <w:r>
        <w:t xml:space="preserve"> AB</w:t>
      </w:r>
      <w:r>
        <w:rPr>
          <w:rtl/>
        </w:rPr>
        <w:t>’</w:t>
      </w:r>
      <w:r>
        <w:t xml:space="preserve">ye adaylık süreci ve dış ticareti dikkate </w:t>
      </w:r>
      <w:proofErr w:type="gramStart"/>
      <w:r>
        <w:t>alındığında,</w:t>
      </w:r>
      <w:proofErr w:type="gramEnd"/>
      <w:r>
        <w:t xml:space="preserve"> hem ekonomik hem de prestij anlamında bu sürece uyum sağlaması</w:t>
      </w:r>
      <w:r>
        <w:rPr>
          <w:spacing w:val="-5"/>
        </w:rPr>
        <w:t xml:space="preserve"> </w:t>
      </w:r>
      <w:r>
        <w:rPr>
          <w:lang w:val="sv-SE"/>
        </w:rPr>
        <w:t>ö</w:t>
      </w:r>
      <w:r>
        <w:t>nemlidir.</w:t>
      </w:r>
      <w:r>
        <w:rPr>
          <w:spacing w:val="-5"/>
        </w:rPr>
        <w:t xml:space="preserve"> </w:t>
      </w:r>
      <w:r>
        <w:t>Lojistik</w:t>
      </w:r>
      <w:r>
        <w:rPr>
          <w:spacing w:val="-5"/>
        </w:rPr>
        <w:t xml:space="preserve"> </w:t>
      </w:r>
      <w:proofErr w:type="spellStart"/>
      <w:r>
        <w:t>sekt</w:t>
      </w:r>
      <w:proofErr w:type="spellEnd"/>
      <w:r>
        <w:rPr>
          <w:lang w:val="sv-SE"/>
        </w:rPr>
        <w:t>ö</w:t>
      </w:r>
      <w:proofErr w:type="spellStart"/>
      <w:r>
        <w:t>rü</w:t>
      </w:r>
      <w:proofErr w:type="spellEnd"/>
      <w:r>
        <w:rPr>
          <w:spacing w:val="-5"/>
        </w:rPr>
        <w:t xml:space="preserve"> </w:t>
      </w:r>
      <w:r>
        <w:t>ise</w:t>
      </w:r>
      <w:r>
        <w:rPr>
          <w:spacing w:val="-5"/>
        </w:rPr>
        <w:t xml:space="preserve"> </w:t>
      </w:r>
      <w:r>
        <w:t>karbon</w:t>
      </w:r>
      <w:r>
        <w:rPr>
          <w:spacing w:val="-5"/>
        </w:rPr>
        <w:t xml:space="preserve"> </w:t>
      </w:r>
      <w:r>
        <w:t>salınımında</w:t>
      </w:r>
      <w:r>
        <w:rPr>
          <w:spacing w:val="-5"/>
        </w:rPr>
        <w:t xml:space="preserve"> </w:t>
      </w:r>
      <w:r>
        <w:t>büyük</w:t>
      </w:r>
      <w:r>
        <w:rPr>
          <w:spacing w:val="-5"/>
        </w:rPr>
        <w:t xml:space="preserve"> </w:t>
      </w:r>
      <w:r>
        <w:t>paya</w:t>
      </w:r>
      <w:r>
        <w:rPr>
          <w:spacing w:val="-5"/>
        </w:rPr>
        <w:t xml:space="preserve"> </w:t>
      </w:r>
      <w:r>
        <w:t>sahip</w:t>
      </w:r>
      <w:r>
        <w:rPr>
          <w:spacing w:val="-5"/>
        </w:rPr>
        <w:t xml:space="preserve"> </w:t>
      </w:r>
      <w:r>
        <w:t>olması</w:t>
      </w:r>
      <w:r>
        <w:rPr>
          <w:spacing w:val="-5"/>
        </w:rPr>
        <w:t xml:space="preserve"> </w:t>
      </w:r>
      <w:r>
        <w:t xml:space="preserve">nedeniyle Yeşil Mutabakatın </w:t>
      </w:r>
      <w:r>
        <w:rPr>
          <w:lang w:val="sv-SE"/>
        </w:rPr>
        <w:t>ö</w:t>
      </w:r>
      <w:proofErr w:type="spellStart"/>
      <w:r>
        <w:t>ncelikli</w:t>
      </w:r>
      <w:proofErr w:type="spellEnd"/>
      <w:r>
        <w:t xml:space="preserve"> </w:t>
      </w:r>
      <w:proofErr w:type="spellStart"/>
      <w:r>
        <w:t>sekt</w:t>
      </w:r>
      <w:proofErr w:type="spellEnd"/>
      <w:r>
        <w:rPr>
          <w:lang w:val="sv-SE"/>
        </w:rPr>
        <w:t>ö</w:t>
      </w:r>
      <w:proofErr w:type="spellStart"/>
      <w:r>
        <w:t>rlerinden</w:t>
      </w:r>
      <w:proofErr w:type="spellEnd"/>
      <w:r>
        <w:t xml:space="preserve"> biri haline gelmiştir. Türkiye</w:t>
      </w:r>
      <w:r>
        <w:rPr>
          <w:rtl/>
        </w:rPr>
        <w:t>’</w:t>
      </w:r>
      <w:proofErr w:type="spellStart"/>
      <w:r>
        <w:t>nin</w:t>
      </w:r>
      <w:proofErr w:type="spellEnd"/>
      <w:r>
        <w:t xml:space="preserve"> yeşil lojistik uygulamaları enerji </w:t>
      </w:r>
      <w:proofErr w:type="spellStart"/>
      <w:r>
        <w:t>sekt</w:t>
      </w:r>
      <w:proofErr w:type="spellEnd"/>
      <w:r>
        <w:rPr>
          <w:lang w:val="sv-SE"/>
        </w:rPr>
        <w:t>ö</w:t>
      </w:r>
      <w:proofErr w:type="spellStart"/>
      <w:r>
        <w:t>rünün</w:t>
      </w:r>
      <w:proofErr w:type="spellEnd"/>
      <w:r>
        <w:t xml:space="preserve"> karbondan arındırılması, çevre dostu taşıma araçlarının yaygınlaştırılması gibi sürdürülebilir hedefler çerçevesinde gelişmektedir. Bu uygulamalarda kaydedilen ilerlemelere rağmen hedeflenen düzeye ulaşılamadığı g</w:t>
      </w:r>
      <w:r>
        <w:rPr>
          <w:lang w:val="sv-SE"/>
        </w:rPr>
        <w:t>ö</w:t>
      </w:r>
      <w:proofErr w:type="spellStart"/>
      <w:r>
        <w:t>rülmektedir</w:t>
      </w:r>
      <w:proofErr w:type="spellEnd"/>
      <w:r>
        <w:t>. Aynı zamanda Türkiye’nin maliyeti artıracak bu politikalara ne kadar hazır</w:t>
      </w:r>
      <w:r>
        <w:rPr>
          <w:spacing w:val="-4"/>
        </w:rPr>
        <w:t xml:space="preserve"> </w:t>
      </w:r>
      <w:r>
        <w:t>olduğu</w:t>
      </w:r>
      <w:r>
        <w:rPr>
          <w:spacing w:val="-4"/>
        </w:rPr>
        <w:t xml:space="preserve"> </w:t>
      </w:r>
      <w:r>
        <w:t>bilinmemektedir.</w:t>
      </w:r>
      <w:r>
        <w:rPr>
          <w:spacing w:val="-4"/>
        </w:rPr>
        <w:t xml:space="preserve"> </w:t>
      </w:r>
      <w:r>
        <w:t>Bu</w:t>
      </w:r>
      <w:r>
        <w:rPr>
          <w:spacing w:val="-4"/>
        </w:rPr>
        <w:t xml:space="preserve"> </w:t>
      </w:r>
      <w:r>
        <w:t>çalışma</w:t>
      </w:r>
      <w:r>
        <w:rPr>
          <w:spacing w:val="-4"/>
        </w:rPr>
        <w:t xml:space="preserve"> </w:t>
      </w:r>
      <w:r>
        <w:t xml:space="preserve">ile Yeşil Mutabakatın Türkiye’nin lojistik </w:t>
      </w:r>
      <w:proofErr w:type="spellStart"/>
      <w:r>
        <w:t>sekt</w:t>
      </w:r>
      <w:proofErr w:type="spellEnd"/>
      <w:r>
        <w:rPr>
          <w:lang w:val="sv-SE"/>
        </w:rPr>
        <w:t>ö</w:t>
      </w:r>
      <w:proofErr w:type="spellStart"/>
      <w:r>
        <w:t>ründeki</w:t>
      </w:r>
      <w:proofErr w:type="spellEnd"/>
      <w:r>
        <w:t xml:space="preserve"> etkilerini incelemek, yeşil lojistik</w:t>
      </w:r>
      <w:r>
        <w:rPr>
          <w:spacing w:val="40"/>
        </w:rPr>
        <w:t xml:space="preserve"> </w:t>
      </w:r>
      <w:r>
        <w:t>uygulamalarının zorlukları üzerinden geleceğini tartışmak amaçlanmaktadır. Bu kapsamda Yeşil Mutabakatın içeriği incelenecek, Türkiye</w:t>
      </w:r>
      <w:r>
        <w:rPr>
          <w:rtl/>
        </w:rPr>
        <w:t>’</w:t>
      </w:r>
      <w:proofErr w:type="spellStart"/>
      <w:r>
        <w:t>nin</w:t>
      </w:r>
      <w:proofErr w:type="spellEnd"/>
      <w:r>
        <w:t xml:space="preserve"> bu politikalarının güçlü ve </w:t>
      </w:r>
      <w:proofErr w:type="spellStart"/>
      <w:r>
        <w:t>zayı</w:t>
      </w:r>
      <w:proofErr w:type="spellEnd"/>
      <w:r>
        <w:rPr>
          <w:lang w:val="en-US"/>
        </w:rPr>
        <w:t>f y</w:t>
      </w:r>
      <w:r>
        <w:rPr>
          <w:lang w:val="sv-SE"/>
        </w:rPr>
        <w:t>ö</w:t>
      </w:r>
      <w:proofErr w:type="spellStart"/>
      <w:r>
        <w:t>nleri</w:t>
      </w:r>
      <w:proofErr w:type="spellEnd"/>
      <w:r>
        <w:t xml:space="preserve"> analiz edilecektir. Türkiye</w:t>
      </w:r>
      <w:r>
        <w:rPr>
          <w:rtl/>
        </w:rPr>
        <w:t>’</w:t>
      </w:r>
      <w:r>
        <w:t xml:space="preserve">de yeşil lojistik uygulamalarının </w:t>
      </w:r>
      <w:r>
        <w:rPr>
          <w:lang w:val="sv-SE"/>
        </w:rPr>
        <w:t>ö</w:t>
      </w:r>
      <w:r>
        <w:t>nündeki engeller incelendiğinde işletmelerin yatırım maliyetlerinin fazlalığı ile bilgi ve deneyim eksikliği nedeniyle teknolojik yeniliklere direnç g</w:t>
      </w:r>
      <w:r>
        <w:rPr>
          <w:lang w:val="sv-SE"/>
        </w:rPr>
        <w:t>ö</w:t>
      </w:r>
      <w:proofErr w:type="spellStart"/>
      <w:r>
        <w:t>sterdiğ</w:t>
      </w:r>
      <w:proofErr w:type="spellEnd"/>
      <w:r>
        <w:rPr>
          <w:lang w:val="it-IT"/>
        </w:rPr>
        <w:t>i g</w:t>
      </w:r>
      <w:r>
        <w:rPr>
          <w:lang w:val="sv-SE"/>
        </w:rPr>
        <w:t>ö</w:t>
      </w:r>
      <w:proofErr w:type="spellStart"/>
      <w:r>
        <w:t>rülmektedir</w:t>
      </w:r>
      <w:proofErr w:type="spellEnd"/>
      <w:r>
        <w:t>. Bu noktada devletin firmalara y</w:t>
      </w:r>
      <w:r>
        <w:rPr>
          <w:lang w:val="sv-SE"/>
        </w:rPr>
        <w:t>ö</w:t>
      </w:r>
      <w:proofErr w:type="spellStart"/>
      <w:r>
        <w:t>nelik</w:t>
      </w:r>
      <w:proofErr w:type="spellEnd"/>
      <w:r>
        <w:t xml:space="preserve"> altyapı ve eğitim desteği, vergi indirimi gibi teşvik politikalarını arttırmaları, çevreyi korumaya y</w:t>
      </w:r>
      <w:r>
        <w:rPr>
          <w:lang w:val="sv-SE"/>
        </w:rPr>
        <w:t>ö</w:t>
      </w:r>
      <w:proofErr w:type="spellStart"/>
      <w:r>
        <w:t>nelik</w:t>
      </w:r>
      <w:proofErr w:type="spellEnd"/>
      <w:r>
        <w:t xml:space="preserve"> kapsamalı bir yasal mevzuat ile bu kurallara uymayan firmalara yaptırım uygulaması gerekmektedir.</w:t>
      </w:r>
      <w:r>
        <w:rPr>
          <w:b/>
          <w:bCs/>
        </w:rPr>
        <w:t xml:space="preserve"> </w:t>
      </w:r>
      <w:r>
        <w:t xml:space="preserve">Yeşil lojistik uygulamalarının gelişmesinin </w:t>
      </w:r>
      <w:r>
        <w:rPr>
          <w:lang w:val="sv-SE"/>
        </w:rPr>
        <w:t>ö</w:t>
      </w:r>
      <w:r>
        <w:t>nündeki engellerin tespit</w:t>
      </w:r>
      <w:r>
        <w:rPr>
          <w:spacing w:val="-7"/>
        </w:rPr>
        <w:t xml:space="preserve"> </w:t>
      </w:r>
      <w:r>
        <w:t>edilmesi</w:t>
      </w:r>
      <w:r>
        <w:rPr>
          <w:spacing w:val="-7"/>
        </w:rPr>
        <w:t xml:space="preserve"> </w:t>
      </w:r>
      <w:r>
        <w:t>iklim</w:t>
      </w:r>
      <w:r>
        <w:rPr>
          <w:spacing w:val="-7"/>
        </w:rPr>
        <w:t xml:space="preserve"> </w:t>
      </w:r>
      <w:r>
        <w:t xml:space="preserve">krizi ile mücadelede </w:t>
      </w:r>
      <w:r>
        <w:rPr>
          <w:lang w:val="sv-SE"/>
        </w:rPr>
        <w:t>ö</w:t>
      </w:r>
      <w:r>
        <w:t>nem taşımaktadır.</w:t>
      </w:r>
    </w:p>
    <w:p w14:paraId="29010237" w14:textId="77777777" w:rsidR="007F2361" w:rsidRDefault="007F2361" w:rsidP="007F2361">
      <w:pPr>
        <w:pStyle w:val="GvdeMetni"/>
        <w:ind w:left="23" w:right="38"/>
        <w:jc w:val="both"/>
      </w:pPr>
    </w:p>
    <w:p w14:paraId="26BECCA7" w14:textId="11230639" w:rsidR="00D37D80" w:rsidRDefault="007F2361" w:rsidP="007F2361">
      <w:pPr>
        <w:pStyle w:val="GvdeMetni"/>
        <w:ind w:left="23" w:right="41"/>
        <w:jc w:val="both"/>
      </w:pPr>
      <w:r>
        <w:rPr>
          <w:b/>
          <w:bCs/>
        </w:rPr>
        <w:t xml:space="preserve">Anahtar </w:t>
      </w:r>
      <w:r w:rsidR="0079785E">
        <w:rPr>
          <w:b/>
          <w:bCs/>
        </w:rPr>
        <w:t>Kelimeler</w:t>
      </w:r>
      <w:r>
        <w:rPr>
          <w:b/>
          <w:bCs/>
        </w:rPr>
        <w:t xml:space="preserve">: </w:t>
      </w:r>
      <w:r>
        <w:rPr>
          <w:spacing w:val="-5"/>
        </w:rPr>
        <w:t>AB</w:t>
      </w:r>
      <w:r>
        <w:rPr>
          <w:b/>
          <w:bCs/>
          <w:spacing w:val="-5"/>
        </w:rPr>
        <w:t xml:space="preserve">, </w:t>
      </w:r>
      <w:r>
        <w:rPr>
          <w:spacing w:val="-5"/>
        </w:rPr>
        <w:t>Türkiye,</w:t>
      </w:r>
      <w:r>
        <w:rPr>
          <w:b/>
          <w:bCs/>
          <w:spacing w:val="-5"/>
        </w:rPr>
        <w:t xml:space="preserve"> </w:t>
      </w:r>
      <w:r>
        <w:t>Avrupa</w:t>
      </w:r>
      <w:r>
        <w:rPr>
          <w:spacing w:val="-5"/>
        </w:rPr>
        <w:t xml:space="preserve"> </w:t>
      </w:r>
      <w:r>
        <w:t>Yeşil</w:t>
      </w:r>
      <w:r>
        <w:rPr>
          <w:spacing w:val="-5"/>
        </w:rPr>
        <w:t xml:space="preserve"> </w:t>
      </w:r>
      <w:r>
        <w:t>Mutabakatı,</w:t>
      </w:r>
      <w:r>
        <w:rPr>
          <w:spacing w:val="-5"/>
        </w:rPr>
        <w:t xml:space="preserve"> </w:t>
      </w:r>
      <w:r>
        <w:t>Yeşil</w:t>
      </w:r>
      <w:r>
        <w:rPr>
          <w:spacing w:val="-14"/>
        </w:rPr>
        <w:t xml:space="preserve"> </w:t>
      </w:r>
      <w:r>
        <w:t>Lojistik,</w:t>
      </w:r>
      <w:r>
        <w:rPr>
          <w:spacing w:val="-14"/>
        </w:rPr>
        <w:t xml:space="preserve"> </w:t>
      </w:r>
      <w:r>
        <w:t xml:space="preserve">Sürdürülebilirlik. </w:t>
      </w:r>
    </w:p>
    <w:p w14:paraId="5031464F" w14:textId="343C6903" w:rsidR="00FA457D" w:rsidRPr="00D37D80" w:rsidRDefault="00D37D80" w:rsidP="00D37D80">
      <w:pPr>
        <w:autoSpaceDE/>
        <w:autoSpaceDN/>
      </w:pPr>
      <w:r>
        <w:br w:type="page"/>
      </w:r>
    </w:p>
    <w:p w14:paraId="0D632908" w14:textId="77777777" w:rsidR="00FA457D" w:rsidRPr="00B1089D" w:rsidRDefault="00FA457D" w:rsidP="004C7694">
      <w:pPr>
        <w:pStyle w:val="Tark"/>
      </w:pPr>
      <w:bookmarkStart w:id="253" w:name="_Toc192855275"/>
      <w:proofErr w:type="spellStart"/>
      <w:r w:rsidRPr="00B1089D">
        <w:lastRenderedPageBreak/>
        <w:t>Green</w:t>
      </w:r>
      <w:proofErr w:type="spellEnd"/>
      <w:r w:rsidRPr="00B1089D">
        <w:t xml:space="preserve"> </w:t>
      </w:r>
      <w:proofErr w:type="spellStart"/>
      <w:r w:rsidRPr="00B1089D">
        <w:t>Logistics</w:t>
      </w:r>
      <w:proofErr w:type="spellEnd"/>
      <w:r w:rsidRPr="00B1089D">
        <w:t xml:space="preserve"> Applications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Future</w:t>
      </w:r>
      <w:proofErr w:type="spellEnd"/>
      <w:r w:rsidRPr="00B1089D">
        <w:t xml:space="preserve"> in Türkiye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Scope</w:t>
      </w:r>
      <w:proofErr w:type="spellEnd"/>
      <w:r w:rsidRPr="00B1089D">
        <w:t xml:space="preserve"> of </w:t>
      </w:r>
      <w:proofErr w:type="spellStart"/>
      <w:r w:rsidRPr="00B1089D">
        <w:t>the</w:t>
      </w:r>
      <w:proofErr w:type="spellEnd"/>
      <w:r w:rsidRPr="00B1089D">
        <w:t xml:space="preserve"> </w:t>
      </w:r>
      <w:proofErr w:type="spellStart"/>
      <w:r w:rsidRPr="00D10870">
        <w:t>European</w:t>
      </w:r>
      <w:proofErr w:type="spellEnd"/>
      <w:r w:rsidRPr="00D10870">
        <w:t xml:space="preserve"> </w:t>
      </w:r>
      <w:proofErr w:type="spellStart"/>
      <w:r w:rsidRPr="00D10870">
        <w:t>Green</w:t>
      </w:r>
      <w:proofErr w:type="spellEnd"/>
      <w:r w:rsidRPr="00B1089D">
        <w:t xml:space="preserve"> </w:t>
      </w:r>
      <w:proofErr w:type="spellStart"/>
      <w:r w:rsidRPr="00B1089D">
        <w:t>Deal</w:t>
      </w:r>
      <w:bookmarkEnd w:id="253"/>
      <w:proofErr w:type="spellEnd"/>
    </w:p>
    <w:p w14:paraId="3029D3B3" w14:textId="77777777" w:rsidR="00FA457D" w:rsidRPr="00B1089D" w:rsidRDefault="00FA457D" w:rsidP="00FA457D">
      <w:pPr>
        <w:widowControl/>
        <w:jc w:val="center"/>
      </w:pPr>
    </w:p>
    <w:p w14:paraId="4FAB51EB" w14:textId="77777777" w:rsidR="00FA457D" w:rsidRPr="00B1089D" w:rsidRDefault="00FA457D" w:rsidP="00FA457D">
      <w:pPr>
        <w:widowControl/>
        <w:jc w:val="center"/>
      </w:pPr>
      <w:r w:rsidRPr="00B1089D">
        <w:t>Hilal Mavi</w:t>
      </w:r>
    </w:p>
    <w:p w14:paraId="7A7280AE" w14:textId="77777777" w:rsidR="00FA457D" w:rsidRPr="00B1089D" w:rsidRDefault="00FA457D" w:rsidP="00FA457D">
      <w:pPr>
        <w:widowControl/>
        <w:jc w:val="center"/>
      </w:pPr>
      <w:r w:rsidRPr="00B1089D">
        <w:t xml:space="preserve">Kastamonu </w:t>
      </w:r>
      <w:proofErr w:type="spellStart"/>
      <w:r w:rsidRPr="00B1089D">
        <w:t>University</w:t>
      </w:r>
      <w:proofErr w:type="spellEnd"/>
      <w:r w:rsidRPr="00B1089D">
        <w:t xml:space="preserve">, </w:t>
      </w:r>
      <w:proofErr w:type="spellStart"/>
      <w:r w:rsidRPr="00B1089D">
        <w:t>Institute</w:t>
      </w:r>
      <w:proofErr w:type="spellEnd"/>
      <w:r w:rsidRPr="00B1089D">
        <w:t xml:space="preserve"> of </w:t>
      </w:r>
      <w:proofErr w:type="spellStart"/>
      <w:r w:rsidRPr="00B1089D">
        <w:t>Social</w:t>
      </w:r>
      <w:proofErr w:type="spellEnd"/>
      <w:r w:rsidRPr="00B1089D">
        <w:t xml:space="preserve"> </w:t>
      </w:r>
      <w:proofErr w:type="spellStart"/>
      <w:r w:rsidRPr="00B1089D">
        <w:t>Sciences</w:t>
      </w:r>
      <w:proofErr w:type="spellEnd"/>
      <w:r w:rsidRPr="00B1089D">
        <w:t xml:space="preserve">, </w:t>
      </w:r>
      <w:proofErr w:type="spellStart"/>
      <w:r w:rsidRPr="00B1089D">
        <w:t>Department</w:t>
      </w:r>
      <w:proofErr w:type="spellEnd"/>
      <w:r w:rsidRPr="00B1089D">
        <w:t xml:space="preserve"> of International </w:t>
      </w:r>
      <w:proofErr w:type="spellStart"/>
      <w:r w:rsidRPr="00B1089D">
        <w:t>Relations</w:t>
      </w:r>
      <w:proofErr w:type="spellEnd"/>
      <w:r w:rsidRPr="00B1089D">
        <w:t xml:space="preserve">, </w:t>
      </w:r>
      <w:proofErr w:type="spellStart"/>
      <w:r w:rsidRPr="00B1089D">
        <w:t>Master's</w:t>
      </w:r>
      <w:proofErr w:type="spellEnd"/>
      <w:r w:rsidRPr="00B1089D">
        <w:t xml:space="preserve"> </w:t>
      </w:r>
      <w:proofErr w:type="spellStart"/>
      <w:r w:rsidRPr="00B1089D">
        <w:t>Degree</w:t>
      </w:r>
      <w:proofErr w:type="spellEnd"/>
      <w:r w:rsidRPr="00B1089D">
        <w:t xml:space="preserve"> </w:t>
      </w:r>
      <w:proofErr w:type="spellStart"/>
      <w:r w:rsidRPr="00B1089D">
        <w:t>Student</w:t>
      </w:r>
      <w:proofErr w:type="spellEnd"/>
    </w:p>
    <w:p w14:paraId="15BF8B06" w14:textId="77777777" w:rsidR="00FA457D" w:rsidRPr="00B1089D" w:rsidRDefault="00FA457D" w:rsidP="00FA457D">
      <w:pPr>
        <w:widowControl/>
        <w:jc w:val="center"/>
      </w:pPr>
      <w:r w:rsidRPr="00B1089D">
        <w:t>hilalmavi2635@gmail.com</w:t>
      </w:r>
    </w:p>
    <w:p w14:paraId="704529BD" w14:textId="77777777" w:rsidR="00FA457D" w:rsidRPr="00B1089D" w:rsidRDefault="00FA457D" w:rsidP="00FA457D">
      <w:pPr>
        <w:widowControl/>
        <w:jc w:val="center"/>
      </w:pPr>
    </w:p>
    <w:p w14:paraId="285F1938" w14:textId="77777777" w:rsidR="00FA457D" w:rsidRPr="00B1089D" w:rsidRDefault="00FA457D" w:rsidP="00FA457D">
      <w:pPr>
        <w:widowControl/>
        <w:jc w:val="center"/>
      </w:pPr>
      <w:proofErr w:type="spellStart"/>
      <w:r w:rsidRPr="00B1089D">
        <w:rPr>
          <w:b/>
          <w:bCs/>
        </w:rPr>
        <w:t>Abstract</w:t>
      </w:r>
      <w:proofErr w:type="spellEnd"/>
    </w:p>
    <w:p w14:paraId="63574000" w14:textId="77777777" w:rsidR="00FA457D" w:rsidRPr="00B1089D" w:rsidRDefault="00FA457D" w:rsidP="000958A4">
      <w:pPr>
        <w:widowControl/>
        <w:jc w:val="both"/>
      </w:pPr>
      <w:proofErr w:type="spellStart"/>
      <w:r w:rsidRPr="00B1089D">
        <w:t>The</w:t>
      </w:r>
      <w:proofErr w:type="spellEnd"/>
      <w:r w:rsidRPr="00B1089D">
        <w:t xml:space="preserve"> </w:t>
      </w:r>
      <w:proofErr w:type="spellStart"/>
      <w:r w:rsidRPr="00B1089D">
        <w:t>climate</w:t>
      </w:r>
      <w:proofErr w:type="spellEnd"/>
      <w:r w:rsidRPr="00B1089D">
        <w:t xml:space="preserve"> </w:t>
      </w:r>
      <w:proofErr w:type="spellStart"/>
      <w:r w:rsidRPr="00B1089D">
        <w:t>crisis</w:t>
      </w:r>
      <w:proofErr w:type="spellEnd"/>
      <w:r w:rsidRPr="00B1089D">
        <w:t xml:space="preserve"> is </w:t>
      </w:r>
      <w:proofErr w:type="spellStart"/>
      <w:r w:rsidRPr="00B1089D">
        <w:t>one</w:t>
      </w:r>
      <w:proofErr w:type="spellEnd"/>
      <w:r w:rsidRPr="00B1089D">
        <w:t xml:space="preserve"> of </w:t>
      </w:r>
      <w:proofErr w:type="spellStart"/>
      <w:r w:rsidRPr="00B1089D">
        <w:t>the</w:t>
      </w:r>
      <w:proofErr w:type="spellEnd"/>
      <w:r w:rsidRPr="00B1089D">
        <w:t xml:space="preserve"> </w:t>
      </w:r>
      <w:proofErr w:type="spellStart"/>
      <w:r w:rsidRPr="00B1089D">
        <w:t>agenda</w:t>
      </w:r>
      <w:proofErr w:type="spellEnd"/>
      <w:r w:rsidRPr="00B1089D">
        <w:t xml:space="preserve"> </w:t>
      </w:r>
      <w:proofErr w:type="spellStart"/>
      <w:r w:rsidRPr="00B1089D">
        <w:t>items</w:t>
      </w:r>
      <w:proofErr w:type="spellEnd"/>
      <w:r w:rsidRPr="00B1089D">
        <w:t xml:space="preserve"> of </w:t>
      </w:r>
      <w:proofErr w:type="spellStart"/>
      <w:r w:rsidRPr="00B1089D">
        <w:t>today's</w:t>
      </w:r>
      <w:proofErr w:type="spellEnd"/>
      <w:r w:rsidRPr="00B1089D">
        <w:t xml:space="preserve"> </w:t>
      </w:r>
      <w:proofErr w:type="spellStart"/>
      <w:r w:rsidRPr="00B1089D">
        <w:t>international</w:t>
      </w:r>
      <w:proofErr w:type="spellEnd"/>
      <w:r w:rsidRPr="00B1089D">
        <w:t xml:space="preserve"> </w:t>
      </w:r>
      <w:proofErr w:type="spellStart"/>
      <w:r w:rsidRPr="00B1089D">
        <w:t>relations</w:t>
      </w:r>
      <w:proofErr w:type="spellEnd"/>
      <w:r w:rsidRPr="00B1089D">
        <w:t xml:space="preserve"> as an </w:t>
      </w:r>
      <w:proofErr w:type="spellStart"/>
      <w:r w:rsidRPr="00B1089D">
        <w:t>important</w:t>
      </w:r>
      <w:proofErr w:type="spellEnd"/>
      <w:r w:rsidRPr="00B1089D">
        <w:t xml:space="preserve"> </w:t>
      </w:r>
      <w:proofErr w:type="spellStart"/>
      <w:r w:rsidRPr="00B1089D">
        <w:t>ecological</w:t>
      </w:r>
      <w:proofErr w:type="spellEnd"/>
      <w:r w:rsidRPr="00B1089D">
        <w:t xml:space="preserve"> problem.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w:t>
      </w:r>
      <w:proofErr w:type="spellStart"/>
      <w:r w:rsidRPr="00B1089D">
        <w:t>European</w:t>
      </w:r>
      <w:proofErr w:type="spellEnd"/>
      <w:r w:rsidRPr="00B1089D">
        <w:t xml:space="preserve"> </w:t>
      </w:r>
      <w:proofErr w:type="spellStart"/>
      <w:r w:rsidRPr="00B1089D">
        <w:t>Union</w:t>
      </w:r>
      <w:proofErr w:type="spellEnd"/>
      <w:r w:rsidRPr="00B1089D">
        <w:t xml:space="preserve"> (EU) </w:t>
      </w:r>
      <w:proofErr w:type="spellStart"/>
      <w:r w:rsidRPr="00B1089D">
        <w:t>published</w:t>
      </w:r>
      <w:proofErr w:type="spellEnd"/>
      <w:r w:rsidRPr="00B1089D">
        <w:t xml:space="preserve"> </w:t>
      </w:r>
      <w:proofErr w:type="spellStart"/>
      <w:r w:rsidRPr="00B1089D">
        <w:t>the</w:t>
      </w:r>
      <w:proofErr w:type="spellEnd"/>
      <w:r w:rsidRPr="00B1089D">
        <w:t xml:space="preserve"> </w:t>
      </w:r>
      <w:proofErr w:type="spellStart"/>
      <w:r w:rsidRPr="00B1089D">
        <w:t>European</w:t>
      </w:r>
      <w:proofErr w:type="spellEnd"/>
      <w:r w:rsidRPr="00B1089D">
        <w:t xml:space="preserve"> </w:t>
      </w:r>
      <w:proofErr w:type="spellStart"/>
      <w:r w:rsidRPr="00B1089D">
        <w:t>Green</w:t>
      </w:r>
      <w:proofErr w:type="spellEnd"/>
      <w:r w:rsidRPr="00B1089D">
        <w:t xml:space="preserve"> </w:t>
      </w:r>
      <w:proofErr w:type="spellStart"/>
      <w:r w:rsidRPr="00B1089D">
        <w:t>Deal</w:t>
      </w:r>
      <w:proofErr w:type="spellEnd"/>
      <w:r w:rsidRPr="00B1089D">
        <w:t xml:space="preserve"> in 2019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aims</w:t>
      </w:r>
      <w:proofErr w:type="spellEnd"/>
      <w:r w:rsidRPr="00B1089D">
        <w:t xml:space="preserve"> of </w:t>
      </w:r>
      <w:proofErr w:type="spellStart"/>
      <w:r w:rsidRPr="00B1089D">
        <w:t>reaching</w:t>
      </w:r>
      <w:proofErr w:type="spellEnd"/>
      <w:r w:rsidRPr="00B1089D">
        <w:t xml:space="preserve"> net 0 </w:t>
      </w:r>
      <w:proofErr w:type="spellStart"/>
      <w:r w:rsidRPr="00B1089D">
        <w:t>greenhouse</w:t>
      </w:r>
      <w:proofErr w:type="spellEnd"/>
      <w:r w:rsidRPr="00B1089D">
        <w:t xml:space="preserve"> </w:t>
      </w:r>
      <w:proofErr w:type="spellStart"/>
      <w:r w:rsidRPr="00B1089D">
        <w:t>gas</w:t>
      </w:r>
      <w:proofErr w:type="spellEnd"/>
      <w:r w:rsidRPr="00B1089D">
        <w:t xml:space="preserve"> </w:t>
      </w:r>
      <w:proofErr w:type="spellStart"/>
      <w:r w:rsidRPr="00B1089D">
        <w:t>emissions</w:t>
      </w:r>
      <w:proofErr w:type="spellEnd"/>
      <w:r w:rsidRPr="00B1089D">
        <w:t xml:space="preserve"> </w:t>
      </w:r>
      <w:proofErr w:type="spellStart"/>
      <w:r w:rsidRPr="00B1089D">
        <w:t>by</w:t>
      </w:r>
      <w:proofErr w:type="spellEnd"/>
      <w:r w:rsidRPr="00B1089D">
        <w:t xml:space="preserve"> 2050, </w:t>
      </w:r>
      <w:proofErr w:type="spellStart"/>
      <w:r w:rsidRPr="00B1089D">
        <w:t>creating</w:t>
      </w:r>
      <w:proofErr w:type="spellEnd"/>
      <w:r w:rsidRPr="00B1089D">
        <w:t xml:space="preserve"> a </w:t>
      </w:r>
      <w:proofErr w:type="spellStart"/>
      <w:r w:rsidRPr="00B1089D">
        <w:t>sustainable</w:t>
      </w:r>
      <w:proofErr w:type="spellEnd"/>
      <w:r w:rsidRPr="00B1089D">
        <w:t xml:space="preserve"> </w:t>
      </w:r>
      <w:proofErr w:type="spellStart"/>
      <w:r w:rsidRPr="00B1089D">
        <w:t>economy</w:t>
      </w:r>
      <w:proofErr w:type="spellEnd"/>
      <w:r w:rsidRPr="00B1089D">
        <w:t xml:space="preserve">, </w:t>
      </w:r>
      <w:proofErr w:type="spellStart"/>
      <w:r w:rsidRPr="00B1089D">
        <w:t>and</w:t>
      </w:r>
      <w:proofErr w:type="spellEnd"/>
      <w:r w:rsidRPr="00B1089D">
        <w:t xml:space="preserve"> </w:t>
      </w:r>
      <w:proofErr w:type="spellStart"/>
      <w:r w:rsidRPr="00B1089D">
        <w:t>increasing</w:t>
      </w:r>
      <w:proofErr w:type="spellEnd"/>
      <w:r w:rsidRPr="00B1089D">
        <w:t xml:space="preserve"> </w:t>
      </w:r>
      <w:proofErr w:type="spellStart"/>
      <w:r w:rsidRPr="00B1089D">
        <w:t>energy</w:t>
      </w:r>
      <w:proofErr w:type="spellEnd"/>
      <w:r w:rsidRPr="00B1089D">
        <w:t xml:space="preserve"> </w:t>
      </w:r>
      <w:proofErr w:type="spellStart"/>
      <w:r w:rsidRPr="00B1089D">
        <w:t>efficiency</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framework</w:t>
      </w:r>
      <w:proofErr w:type="spellEnd"/>
      <w:r w:rsidRPr="00B1089D">
        <w:t xml:space="preserve"> of </w:t>
      </w:r>
      <w:proofErr w:type="spellStart"/>
      <w:r w:rsidRPr="00B1089D">
        <w:t>this</w:t>
      </w:r>
      <w:proofErr w:type="spellEnd"/>
      <w:r w:rsidRPr="00B1089D">
        <w:t xml:space="preserve"> </w:t>
      </w:r>
      <w:proofErr w:type="spellStart"/>
      <w:r w:rsidRPr="00B1089D">
        <w:t>deal</w:t>
      </w:r>
      <w:proofErr w:type="spellEnd"/>
      <w:r w:rsidRPr="00B1089D">
        <w:t xml:space="preserve">, a </w:t>
      </w:r>
      <w:proofErr w:type="spellStart"/>
      <w:r w:rsidRPr="00B1089D">
        <w:t>major</w:t>
      </w:r>
      <w:proofErr w:type="spellEnd"/>
      <w:r w:rsidRPr="00B1089D">
        <w:t xml:space="preserve"> </w:t>
      </w:r>
      <w:proofErr w:type="spellStart"/>
      <w:r w:rsidRPr="00B1089D">
        <w:t>green</w:t>
      </w:r>
      <w:proofErr w:type="spellEnd"/>
      <w:r w:rsidRPr="00B1089D">
        <w:t xml:space="preserve"> </w:t>
      </w:r>
      <w:proofErr w:type="spellStart"/>
      <w:r w:rsidRPr="00B1089D">
        <w:t>transformation</w:t>
      </w:r>
      <w:proofErr w:type="spellEnd"/>
      <w:r w:rsidRPr="00B1089D">
        <w:t xml:space="preserve"> </w:t>
      </w:r>
      <w:proofErr w:type="spellStart"/>
      <w:r w:rsidRPr="00B1089D">
        <w:t>process</w:t>
      </w:r>
      <w:proofErr w:type="spellEnd"/>
      <w:r w:rsidRPr="00B1089D">
        <w:t xml:space="preserve"> has </w:t>
      </w:r>
      <w:proofErr w:type="spellStart"/>
      <w:r w:rsidRPr="00B1089D">
        <w:t>begun</w:t>
      </w:r>
      <w:proofErr w:type="spellEnd"/>
      <w:r w:rsidRPr="00B1089D">
        <w:t xml:space="preserve"> in </w:t>
      </w:r>
      <w:proofErr w:type="spellStart"/>
      <w:r w:rsidRPr="00B1089D">
        <w:t>areas</w:t>
      </w:r>
      <w:proofErr w:type="spellEnd"/>
      <w:r w:rsidRPr="00B1089D">
        <w:t xml:space="preserve"> </w:t>
      </w:r>
      <w:proofErr w:type="spellStart"/>
      <w:r w:rsidRPr="00B1089D">
        <w:t>such</w:t>
      </w:r>
      <w:proofErr w:type="spellEnd"/>
      <w:r w:rsidRPr="00B1089D">
        <w:t xml:space="preserve"> as </w:t>
      </w:r>
      <w:proofErr w:type="spellStart"/>
      <w:r w:rsidRPr="00B1089D">
        <w:t>transportation</w:t>
      </w:r>
      <w:proofErr w:type="spellEnd"/>
      <w:r w:rsidRPr="00B1089D">
        <w:t xml:space="preserve">, </w:t>
      </w:r>
      <w:proofErr w:type="spellStart"/>
      <w:r w:rsidRPr="00B1089D">
        <w:t>agriculture</w:t>
      </w:r>
      <w:proofErr w:type="spellEnd"/>
      <w:r w:rsidRPr="00B1089D">
        <w:t xml:space="preserve">, </w:t>
      </w:r>
      <w:proofErr w:type="spellStart"/>
      <w:r w:rsidRPr="00B1089D">
        <w:t>industry</w:t>
      </w:r>
      <w:proofErr w:type="spellEnd"/>
      <w:r w:rsidRPr="00B1089D">
        <w:t xml:space="preserve">, </w:t>
      </w:r>
      <w:proofErr w:type="spellStart"/>
      <w:r w:rsidRPr="00B1089D">
        <w:t>and</w:t>
      </w:r>
      <w:proofErr w:type="spellEnd"/>
      <w:r w:rsidRPr="00B1089D">
        <w:t xml:space="preserve"> </w:t>
      </w:r>
      <w:proofErr w:type="spellStart"/>
      <w:r w:rsidRPr="00B1089D">
        <w:t>logistics</w:t>
      </w:r>
      <w:proofErr w:type="spellEnd"/>
      <w:r w:rsidRPr="00B1089D">
        <w:t xml:space="preserve">. </w:t>
      </w:r>
      <w:proofErr w:type="spellStart"/>
      <w:r w:rsidRPr="00B1089D">
        <w:t>Considering</w:t>
      </w:r>
      <w:proofErr w:type="spellEnd"/>
      <w:r w:rsidRPr="00B1089D">
        <w:t xml:space="preserve"> </w:t>
      </w:r>
      <w:proofErr w:type="spellStart"/>
      <w:r w:rsidRPr="00B1089D">
        <w:t>Türkiye's</w:t>
      </w:r>
      <w:proofErr w:type="spellEnd"/>
      <w:r w:rsidRPr="00B1089D">
        <w:t xml:space="preserve"> EU </w:t>
      </w:r>
      <w:proofErr w:type="spellStart"/>
      <w:r w:rsidRPr="00B1089D">
        <w:t>candidacy</w:t>
      </w:r>
      <w:proofErr w:type="spellEnd"/>
      <w:r w:rsidRPr="00B1089D">
        <w:t xml:space="preserve"> </w:t>
      </w:r>
      <w:proofErr w:type="spellStart"/>
      <w:r w:rsidRPr="00B1089D">
        <w:t>process</w:t>
      </w:r>
      <w:proofErr w:type="spellEnd"/>
      <w:r w:rsidRPr="00B1089D">
        <w:t xml:space="preserve"> </w:t>
      </w:r>
      <w:proofErr w:type="spellStart"/>
      <w:r w:rsidRPr="00B1089D">
        <w:t>and</w:t>
      </w:r>
      <w:proofErr w:type="spellEnd"/>
      <w:r w:rsidRPr="00B1089D">
        <w:t xml:space="preserve"> </w:t>
      </w:r>
      <w:proofErr w:type="spellStart"/>
      <w:r w:rsidRPr="00B1089D">
        <w:t>foreign</w:t>
      </w:r>
      <w:proofErr w:type="spellEnd"/>
      <w:r w:rsidRPr="00B1089D">
        <w:t xml:space="preserve"> </w:t>
      </w:r>
      <w:proofErr w:type="spellStart"/>
      <w:r w:rsidRPr="00B1089D">
        <w:t>trade</w:t>
      </w:r>
      <w:proofErr w:type="spellEnd"/>
      <w:r w:rsidRPr="00B1089D">
        <w:t xml:space="preserve">, it is </w:t>
      </w:r>
      <w:proofErr w:type="spellStart"/>
      <w:r w:rsidRPr="00B1089D">
        <w:t>important</w:t>
      </w:r>
      <w:proofErr w:type="spellEnd"/>
      <w:r w:rsidRPr="00B1089D">
        <w:t xml:space="preserve"> </w:t>
      </w:r>
      <w:proofErr w:type="spellStart"/>
      <w:r w:rsidRPr="00B1089D">
        <w:t>for</w:t>
      </w:r>
      <w:proofErr w:type="spellEnd"/>
      <w:r w:rsidRPr="00B1089D">
        <w:t xml:space="preserve"> it </w:t>
      </w:r>
      <w:proofErr w:type="spellStart"/>
      <w:r w:rsidRPr="00B1089D">
        <w:t>to</w:t>
      </w:r>
      <w:proofErr w:type="spellEnd"/>
      <w:r w:rsidRPr="00B1089D">
        <w:t xml:space="preserve"> </w:t>
      </w:r>
      <w:proofErr w:type="spellStart"/>
      <w:r w:rsidRPr="00B1089D">
        <w:t>adapt</w:t>
      </w:r>
      <w:proofErr w:type="spellEnd"/>
      <w:r w:rsidRPr="00B1089D">
        <w:t xml:space="preserve"> </w:t>
      </w:r>
      <w:proofErr w:type="spellStart"/>
      <w:r w:rsidRPr="00B1089D">
        <w:t>to</w:t>
      </w:r>
      <w:proofErr w:type="spellEnd"/>
      <w:r w:rsidRPr="00B1089D">
        <w:t xml:space="preserve"> </w:t>
      </w:r>
      <w:proofErr w:type="spellStart"/>
      <w:r w:rsidRPr="00B1089D">
        <w:t>this</w:t>
      </w:r>
      <w:proofErr w:type="spellEnd"/>
      <w:r w:rsidRPr="00B1089D">
        <w:t xml:space="preserve"> </w:t>
      </w:r>
      <w:proofErr w:type="spellStart"/>
      <w:r w:rsidRPr="00B1089D">
        <w:t>process</w:t>
      </w:r>
      <w:proofErr w:type="spellEnd"/>
      <w:r w:rsidRPr="00B1089D">
        <w:t xml:space="preserve"> in </w:t>
      </w:r>
      <w:proofErr w:type="spellStart"/>
      <w:r w:rsidRPr="00B1089D">
        <w:t>terms</w:t>
      </w:r>
      <w:proofErr w:type="spellEnd"/>
      <w:r w:rsidRPr="00B1089D">
        <w:t xml:space="preserve"> of </w:t>
      </w:r>
      <w:proofErr w:type="spellStart"/>
      <w:r w:rsidRPr="00B1089D">
        <w:t>both</w:t>
      </w:r>
      <w:proofErr w:type="spellEnd"/>
      <w:r w:rsidRPr="00B1089D">
        <w:t xml:space="preserve"> </w:t>
      </w:r>
      <w:proofErr w:type="spellStart"/>
      <w:r w:rsidRPr="00B1089D">
        <w:t>economy</w:t>
      </w:r>
      <w:proofErr w:type="spellEnd"/>
      <w:r w:rsidRPr="00B1089D">
        <w:t xml:space="preserve"> </w:t>
      </w:r>
      <w:proofErr w:type="spellStart"/>
      <w:r w:rsidRPr="00B1089D">
        <w:t>and</w:t>
      </w:r>
      <w:proofErr w:type="spellEnd"/>
      <w:r w:rsidRPr="00B1089D">
        <w:t xml:space="preserve"> </w:t>
      </w:r>
      <w:proofErr w:type="spellStart"/>
      <w:r w:rsidRPr="00B1089D">
        <w:t>prestige</w:t>
      </w:r>
      <w:proofErr w:type="spellEnd"/>
      <w:r w:rsidRPr="00B1089D">
        <w:t xml:space="preserve">. </w:t>
      </w:r>
      <w:proofErr w:type="spellStart"/>
      <w:r w:rsidRPr="00B1089D">
        <w:t>The</w:t>
      </w:r>
      <w:proofErr w:type="spellEnd"/>
      <w:r w:rsidRPr="00B1089D">
        <w:t xml:space="preserve"> </w:t>
      </w:r>
      <w:proofErr w:type="spellStart"/>
      <w:r w:rsidRPr="00B1089D">
        <w:t>logistics</w:t>
      </w:r>
      <w:proofErr w:type="spellEnd"/>
      <w:r w:rsidRPr="00B1089D">
        <w:t xml:space="preserve"> </w:t>
      </w:r>
      <w:proofErr w:type="spellStart"/>
      <w:r w:rsidRPr="00B1089D">
        <w:t>sector</w:t>
      </w:r>
      <w:proofErr w:type="spellEnd"/>
      <w:r w:rsidRPr="00B1089D">
        <w:t xml:space="preserve"> has </w:t>
      </w:r>
      <w:proofErr w:type="spellStart"/>
      <w:r w:rsidRPr="00B1089D">
        <w:t>become</w:t>
      </w:r>
      <w:proofErr w:type="spellEnd"/>
      <w:r w:rsidRPr="00B1089D">
        <w:t xml:space="preserve"> </w:t>
      </w:r>
      <w:proofErr w:type="spellStart"/>
      <w:r w:rsidRPr="00B1089D">
        <w:t>one</w:t>
      </w:r>
      <w:proofErr w:type="spellEnd"/>
      <w:r w:rsidRPr="00B1089D">
        <w:t xml:space="preserve"> of </w:t>
      </w:r>
      <w:proofErr w:type="spellStart"/>
      <w:r w:rsidRPr="00B1089D">
        <w:t>the</w:t>
      </w:r>
      <w:proofErr w:type="spellEnd"/>
      <w:r w:rsidRPr="00B1089D">
        <w:t xml:space="preserve"> </w:t>
      </w:r>
      <w:proofErr w:type="spellStart"/>
      <w:r w:rsidRPr="00B1089D">
        <w:t>priority</w:t>
      </w:r>
      <w:proofErr w:type="spellEnd"/>
      <w:r w:rsidRPr="00B1089D">
        <w:t xml:space="preserve"> </w:t>
      </w:r>
      <w:proofErr w:type="spellStart"/>
      <w:r w:rsidRPr="00B1089D">
        <w:t>sectors</w:t>
      </w:r>
      <w:proofErr w:type="spellEnd"/>
      <w:r w:rsidRPr="00B1089D">
        <w:t xml:space="preserve"> of </w:t>
      </w:r>
      <w:proofErr w:type="spellStart"/>
      <w:r w:rsidRPr="00B1089D">
        <w:t>the</w:t>
      </w:r>
      <w:proofErr w:type="spellEnd"/>
      <w:r w:rsidRPr="00B1089D">
        <w:t xml:space="preserve"> </w:t>
      </w:r>
      <w:proofErr w:type="spellStart"/>
      <w:r w:rsidRPr="00B1089D">
        <w:t>Green</w:t>
      </w:r>
      <w:proofErr w:type="spellEnd"/>
      <w:r w:rsidRPr="00B1089D">
        <w:t xml:space="preserve"> </w:t>
      </w:r>
      <w:proofErr w:type="spellStart"/>
      <w:r w:rsidRPr="00B1089D">
        <w:t>Deal</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its</w:t>
      </w:r>
      <w:proofErr w:type="spellEnd"/>
      <w:r w:rsidRPr="00B1089D">
        <w:t xml:space="preserve"> </w:t>
      </w:r>
      <w:proofErr w:type="spellStart"/>
      <w:r w:rsidRPr="00B1089D">
        <w:t>large</w:t>
      </w:r>
      <w:proofErr w:type="spellEnd"/>
      <w:r w:rsidRPr="00B1089D">
        <w:t xml:space="preserve"> </w:t>
      </w:r>
      <w:proofErr w:type="spellStart"/>
      <w:r w:rsidRPr="00B1089D">
        <w:t>share</w:t>
      </w:r>
      <w:proofErr w:type="spellEnd"/>
      <w:r w:rsidRPr="00B1089D">
        <w:t xml:space="preserve"> in </w:t>
      </w:r>
      <w:proofErr w:type="spellStart"/>
      <w:r w:rsidRPr="00B1089D">
        <w:t>carbon</w:t>
      </w:r>
      <w:proofErr w:type="spellEnd"/>
      <w:r w:rsidRPr="00B1089D">
        <w:t xml:space="preserve"> </w:t>
      </w:r>
      <w:proofErr w:type="spellStart"/>
      <w:r w:rsidRPr="00B1089D">
        <w:t>emissions</w:t>
      </w:r>
      <w:proofErr w:type="spellEnd"/>
      <w:r w:rsidRPr="00B1089D">
        <w:t xml:space="preserve">. </w:t>
      </w:r>
      <w:proofErr w:type="spellStart"/>
      <w:r w:rsidRPr="00B1089D">
        <w:t>Türkiye's</w:t>
      </w:r>
      <w:proofErr w:type="spellEnd"/>
      <w:r w:rsidRPr="00B1089D">
        <w:t xml:space="preserve"> </w:t>
      </w:r>
      <w:proofErr w:type="spellStart"/>
      <w:r w:rsidRPr="00B1089D">
        <w:t>green</w:t>
      </w:r>
      <w:proofErr w:type="spellEnd"/>
      <w:r w:rsidRPr="00B1089D">
        <w:t xml:space="preserve"> </w:t>
      </w:r>
      <w:proofErr w:type="spellStart"/>
      <w:r w:rsidRPr="00B1089D">
        <w:t>logistics</w:t>
      </w:r>
      <w:proofErr w:type="spellEnd"/>
      <w:r w:rsidRPr="00B1089D">
        <w:t xml:space="preserve"> </w:t>
      </w:r>
      <w:proofErr w:type="spellStart"/>
      <w:r w:rsidRPr="00B1089D">
        <w:t>applications</w:t>
      </w:r>
      <w:proofErr w:type="spellEnd"/>
      <w:r w:rsidRPr="00B1089D">
        <w:t xml:space="preserve"> </w:t>
      </w:r>
      <w:proofErr w:type="spellStart"/>
      <w:r w:rsidRPr="00B1089D">
        <w:t>are</w:t>
      </w:r>
      <w:proofErr w:type="spellEnd"/>
      <w:r w:rsidRPr="00B1089D">
        <w:t xml:space="preserve"> </w:t>
      </w:r>
      <w:proofErr w:type="spellStart"/>
      <w:r w:rsidRPr="00B1089D">
        <w:t>developing</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framework</w:t>
      </w:r>
      <w:proofErr w:type="spellEnd"/>
      <w:r w:rsidRPr="00B1089D">
        <w:t xml:space="preserve"> of </w:t>
      </w:r>
      <w:proofErr w:type="spellStart"/>
      <w:r w:rsidRPr="00B1089D">
        <w:t>sustainable</w:t>
      </w:r>
      <w:proofErr w:type="spellEnd"/>
      <w:r w:rsidRPr="00B1089D">
        <w:t xml:space="preserve"> </w:t>
      </w:r>
      <w:proofErr w:type="spellStart"/>
      <w:r w:rsidRPr="00B1089D">
        <w:t>goals</w:t>
      </w:r>
      <w:proofErr w:type="spellEnd"/>
      <w:r w:rsidRPr="00B1089D">
        <w:t xml:space="preserve"> </w:t>
      </w:r>
      <w:proofErr w:type="spellStart"/>
      <w:r w:rsidRPr="00B1089D">
        <w:t>such</w:t>
      </w:r>
      <w:proofErr w:type="spellEnd"/>
      <w:r w:rsidRPr="00B1089D">
        <w:t xml:space="preserve"> as </w:t>
      </w:r>
      <w:proofErr w:type="spellStart"/>
      <w:r w:rsidRPr="00B1089D">
        <w:t>decarbonizing</w:t>
      </w:r>
      <w:proofErr w:type="spellEnd"/>
      <w:r w:rsidRPr="00B1089D">
        <w:t xml:space="preserve"> </w:t>
      </w:r>
      <w:proofErr w:type="spellStart"/>
      <w:r w:rsidRPr="00B1089D">
        <w:t>the</w:t>
      </w:r>
      <w:proofErr w:type="spellEnd"/>
      <w:r w:rsidRPr="00B1089D">
        <w:t xml:space="preserve"> </w:t>
      </w:r>
      <w:proofErr w:type="spellStart"/>
      <w:r w:rsidRPr="00B1089D">
        <w:t>energy</w:t>
      </w:r>
      <w:proofErr w:type="spellEnd"/>
      <w:r w:rsidRPr="00B1089D">
        <w:t xml:space="preserve"> </w:t>
      </w:r>
      <w:proofErr w:type="spellStart"/>
      <w:r w:rsidRPr="00B1089D">
        <w:t>sector</w:t>
      </w:r>
      <w:proofErr w:type="spellEnd"/>
      <w:r w:rsidRPr="00B1089D">
        <w:t xml:space="preserve"> </w:t>
      </w:r>
      <w:proofErr w:type="spellStart"/>
      <w:r w:rsidRPr="00B1089D">
        <w:t>and</w:t>
      </w:r>
      <w:proofErr w:type="spellEnd"/>
      <w:r w:rsidRPr="00B1089D">
        <w:t xml:space="preserve"> </w:t>
      </w:r>
      <w:proofErr w:type="spellStart"/>
      <w:r w:rsidRPr="00B1089D">
        <w:t>spreading</w:t>
      </w:r>
      <w:proofErr w:type="spellEnd"/>
      <w:r w:rsidRPr="00B1089D">
        <w:t xml:space="preserve"> </w:t>
      </w:r>
      <w:proofErr w:type="spellStart"/>
      <w:r w:rsidRPr="00B1089D">
        <w:t>environmentally</w:t>
      </w:r>
      <w:proofErr w:type="spellEnd"/>
      <w:r w:rsidRPr="00B1089D">
        <w:t xml:space="preserve"> </w:t>
      </w:r>
      <w:proofErr w:type="spellStart"/>
      <w:r w:rsidRPr="00B1089D">
        <w:t>friendly</w:t>
      </w:r>
      <w:proofErr w:type="spellEnd"/>
      <w:r w:rsidRPr="00B1089D">
        <w:t xml:space="preserve"> </w:t>
      </w:r>
      <w:proofErr w:type="spellStart"/>
      <w:r w:rsidRPr="00B1089D">
        <w:t>transportation</w:t>
      </w:r>
      <w:proofErr w:type="spellEnd"/>
      <w:r w:rsidRPr="00B1089D">
        <w:t xml:space="preserve"> </w:t>
      </w:r>
      <w:proofErr w:type="spellStart"/>
      <w:r w:rsidRPr="00B1089D">
        <w:t>vehicles</w:t>
      </w:r>
      <w:proofErr w:type="spellEnd"/>
      <w:r w:rsidRPr="00B1089D">
        <w:t xml:space="preserve">. </w:t>
      </w:r>
      <w:proofErr w:type="spellStart"/>
      <w:r w:rsidRPr="00B1089D">
        <w:t>Despite</w:t>
      </w:r>
      <w:proofErr w:type="spellEnd"/>
      <w:r w:rsidRPr="00B1089D">
        <w:t xml:space="preserve"> </w:t>
      </w:r>
      <w:proofErr w:type="spellStart"/>
      <w:r w:rsidRPr="00B1089D">
        <w:t>the</w:t>
      </w:r>
      <w:proofErr w:type="spellEnd"/>
      <w:r w:rsidRPr="00B1089D">
        <w:t xml:space="preserve"> </w:t>
      </w:r>
      <w:proofErr w:type="spellStart"/>
      <w:r w:rsidRPr="00B1089D">
        <w:t>progress</w:t>
      </w:r>
      <w:proofErr w:type="spellEnd"/>
      <w:r w:rsidRPr="00B1089D">
        <w:t xml:space="preserve"> </w:t>
      </w:r>
      <w:proofErr w:type="spellStart"/>
      <w:r w:rsidRPr="00B1089D">
        <w:t>made</w:t>
      </w:r>
      <w:proofErr w:type="spellEnd"/>
      <w:r w:rsidRPr="00B1089D">
        <w:t xml:space="preserve"> in </w:t>
      </w:r>
      <w:proofErr w:type="spellStart"/>
      <w:r w:rsidRPr="00B1089D">
        <w:t>these</w:t>
      </w:r>
      <w:proofErr w:type="spellEnd"/>
      <w:r w:rsidRPr="00B1089D">
        <w:t xml:space="preserve"> </w:t>
      </w:r>
      <w:proofErr w:type="spellStart"/>
      <w:r w:rsidRPr="00B1089D">
        <w:t>applications</w:t>
      </w:r>
      <w:proofErr w:type="spellEnd"/>
      <w:r w:rsidRPr="00B1089D">
        <w:t xml:space="preserve">, it is </w:t>
      </w:r>
      <w:proofErr w:type="spellStart"/>
      <w:r w:rsidRPr="00B1089D">
        <w:t>seen</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targeted</w:t>
      </w:r>
      <w:proofErr w:type="spellEnd"/>
      <w:r w:rsidRPr="00B1089D">
        <w:t xml:space="preserve"> </w:t>
      </w:r>
      <w:proofErr w:type="spellStart"/>
      <w:r w:rsidRPr="00B1089D">
        <w:t>level</w:t>
      </w:r>
      <w:proofErr w:type="spellEnd"/>
      <w:r w:rsidRPr="00B1089D">
        <w:t xml:space="preserve"> has not </w:t>
      </w:r>
      <w:proofErr w:type="spellStart"/>
      <w:r w:rsidRPr="00B1089D">
        <w:t>been</w:t>
      </w:r>
      <w:proofErr w:type="spellEnd"/>
      <w:r w:rsidRPr="00B1089D">
        <w:t xml:space="preserve"> </w:t>
      </w:r>
      <w:proofErr w:type="spellStart"/>
      <w:r w:rsidRPr="00B1089D">
        <w:t>reached</w:t>
      </w:r>
      <w:proofErr w:type="spellEnd"/>
      <w:r w:rsidRPr="00B1089D">
        <w:t xml:space="preserve">. At </w:t>
      </w:r>
      <w:proofErr w:type="spellStart"/>
      <w:r w:rsidRPr="00B1089D">
        <w:t>the</w:t>
      </w:r>
      <w:proofErr w:type="spellEnd"/>
      <w:r w:rsidRPr="00B1089D">
        <w:t xml:space="preserve"> </w:t>
      </w:r>
      <w:proofErr w:type="spellStart"/>
      <w:r w:rsidRPr="00B1089D">
        <w:t>same</w:t>
      </w:r>
      <w:proofErr w:type="spellEnd"/>
      <w:r w:rsidRPr="00B1089D">
        <w:t xml:space="preserve"> time, it is not </w:t>
      </w:r>
      <w:proofErr w:type="spellStart"/>
      <w:r w:rsidRPr="00B1089D">
        <w:t>known</w:t>
      </w:r>
      <w:proofErr w:type="spellEnd"/>
      <w:r w:rsidRPr="00B1089D">
        <w:t xml:space="preserve"> how </w:t>
      </w:r>
      <w:proofErr w:type="spellStart"/>
      <w:r w:rsidRPr="00B1089D">
        <w:t>ready</w:t>
      </w:r>
      <w:proofErr w:type="spellEnd"/>
      <w:r w:rsidRPr="00B1089D">
        <w:t xml:space="preserve"> Türkiye is </w:t>
      </w:r>
      <w:proofErr w:type="spellStart"/>
      <w:r w:rsidRPr="00B1089D">
        <w:t>for</w:t>
      </w:r>
      <w:proofErr w:type="spellEnd"/>
      <w:r w:rsidRPr="00B1089D">
        <w:t xml:space="preserve"> </w:t>
      </w:r>
      <w:proofErr w:type="spellStart"/>
      <w:r w:rsidRPr="00B1089D">
        <w:t>these</w:t>
      </w:r>
      <w:proofErr w:type="spellEnd"/>
      <w:r w:rsidRPr="00B1089D">
        <w:t xml:space="preserve"> </w:t>
      </w:r>
      <w:proofErr w:type="spellStart"/>
      <w:r w:rsidRPr="00B1089D">
        <w:t>policies</w:t>
      </w:r>
      <w:proofErr w:type="spellEnd"/>
      <w:r w:rsidRPr="00B1089D">
        <w:t xml:space="preserve"> </w:t>
      </w:r>
      <w:proofErr w:type="spellStart"/>
      <w:r w:rsidRPr="00B1089D">
        <w:t>that</w:t>
      </w:r>
      <w:proofErr w:type="spellEnd"/>
      <w:r w:rsidRPr="00B1089D">
        <w:t xml:space="preserve"> </w:t>
      </w:r>
      <w:proofErr w:type="spellStart"/>
      <w:r w:rsidRPr="00B1089D">
        <w:t>will</w:t>
      </w:r>
      <w:proofErr w:type="spellEnd"/>
      <w:r w:rsidRPr="00B1089D">
        <w:t xml:space="preserve"> </w:t>
      </w:r>
      <w:proofErr w:type="spellStart"/>
      <w:r w:rsidRPr="00B1089D">
        <w:t>increase</w:t>
      </w:r>
      <w:proofErr w:type="spellEnd"/>
      <w:r w:rsidRPr="00B1089D">
        <w:t xml:space="preserve"> </w:t>
      </w:r>
      <w:proofErr w:type="spellStart"/>
      <w:r w:rsidRPr="00B1089D">
        <w:t>costs</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examine</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the</w:t>
      </w:r>
      <w:proofErr w:type="spellEnd"/>
      <w:r w:rsidRPr="00B1089D">
        <w:t xml:space="preserve"> </w:t>
      </w:r>
      <w:proofErr w:type="spellStart"/>
      <w:r w:rsidRPr="00B1089D">
        <w:t>Green</w:t>
      </w:r>
      <w:proofErr w:type="spellEnd"/>
      <w:r w:rsidRPr="00B1089D">
        <w:t xml:space="preserve"> </w:t>
      </w:r>
      <w:proofErr w:type="spellStart"/>
      <w:r w:rsidRPr="00B1089D">
        <w:t>Deal</w:t>
      </w:r>
      <w:proofErr w:type="spellEnd"/>
      <w:r w:rsidRPr="00B1089D">
        <w:t xml:space="preserve"> on </w:t>
      </w:r>
      <w:proofErr w:type="spellStart"/>
      <w:r w:rsidRPr="00B1089D">
        <w:t>Türkiye's</w:t>
      </w:r>
      <w:proofErr w:type="spellEnd"/>
      <w:r w:rsidRPr="00B1089D">
        <w:t xml:space="preserve"> </w:t>
      </w:r>
      <w:proofErr w:type="spellStart"/>
      <w:r w:rsidRPr="00B1089D">
        <w:t>logistics</w:t>
      </w:r>
      <w:proofErr w:type="spellEnd"/>
      <w:r w:rsidRPr="00B1089D">
        <w:t xml:space="preserve"> </w:t>
      </w:r>
      <w:proofErr w:type="spellStart"/>
      <w:r w:rsidRPr="00B1089D">
        <w:t>sector</w:t>
      </w:r>
      <w:proofErr w:type="spellEnd"/>
      <w:r w:rsidRPr="00B1089D">
        <w:t xml:space="preserve"> </w:t>
      </w:r>
      <w:proofErr w:type="spellStart"/>
      <w:r w:rsidRPr="00B1089D">
        <w:t>and</w:t>
      </w:r>
      <w:proofErr w:type="spellEnd"/>
      <w:r w:rsidRPr="00B1089D">
        <w:t xml:space="preserve"> </w:t>
      </w:r>
      <w:proofErr w:type="spellStart"/>
      <w:r w:rsidRPr="00B1089D">
        <w:t>discuss</w:t>
      </w:r>
      <w:proofErr w:type="spellEnd"/>
      <w:r w:rsidRPr="00B1089D">
        <w:t xml:space="preserve"> </w:t>
      </w:r>
      <w:proofErr w:type="spellStart"/>
      <w:r w:rsidRPr="00B1089D">
        <w:t>the</w:t>
      </w:r>
      <w:proofErr w:type="spellEnd"/>
      <w:r w:rsidRPr="00B1089D">
        <w:t xml:space="preserve"> </w:t>
      </w:r>
      <w:proofErr w:type="spellStart"/>
      <w:r w:rsidRPr="00B1089D">
        <w:t>future</w:t>
      </w:r>
      <w:proofErr w:type="spellEnd"/>
      <w:r w:rsidRPr="00B1089D">
        <w:t xml:space="preserve"> of </w:t>
      </w:r>
      <w:proofErr w:type="spellStart"/>
      <w:r w:rsidRPr="00B1089D">
        <w:t>green</w:t>
      </w:r>
      <w:proofErr w:type="spellEnd"/>
      <w:r w:rsidRPr="00B1089D">
        <w:t xml:space="preserve"> </w:t>
      </w:r>
      <w:proofErr w:type="spellStart"/>
      <w:r w:rsidRPr="00B1089D">
        <w:t>logistics</w:t>
      </w:r>
      <w:proofErr w:type="spellEnd"/>
      <w:r w:rsidRPr="00B1089D">
        <w:t xml:space="preserve"> </w:t>
      </w:r>
      <w:proofErr w:type="spellStart"/>
      <w:r w:rsidRPr="00B1089D">
        <w:t>applications</w:t>
      </w:r>
      <w:proofErr w:type="spellEnd"/>
      <w:r w:rsidRPr="00B1089D">
        <w:t xml:space="preserve"> </w:t>
      </w:r>
      <w:proofErr w:type="spellStart"/>
      <w:r w:rsidRPr="00B1089D">
        <w:t>through</w:t>
      </w:r>
      <w:proofErr w:type="spellEnd"/>
      <w:r w:rsidRPr="00B1089D">
        <w:t xml:space="preserve"> </w:t>
      </w:r>
      <w:proofErr w:type="spellStart"/>
      <w:r w:rsidRPr="00B1089D">
        <w:t>the</w:t>
      </w:r>
      <w:proofErr w:type="spellEnd"/>
      <w:r w:rsidRPr="00B1089D">
        <w:t xml:space="preserve"> </w:t>
      </w:r>
      <w:proofErr w:type="spellStart"/>
      <w:r w:rsidRPr="00B1089D">
        <w:t>difficulties</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w:t>
      </w:r>
      <w:proofErr w:type="spellStart"/>
      <w:r w:rsidRPr="00B1089D">
        <w:t>content</w:t>
      </w:r>
      <w:proofErr w:type="spellEnd"/>
      <w:r w:rsidRPr="00B1089D">
        <w:t xml:space="preserve"> of </w:t>
      </w:r>
      <w:proofErr w:type="spellStart"/>
      <w:r w:rsidRPr="00B1089D">
        <w:t>the</w:t>
      </w:r>
      <w:proofErr w:type="spellEnd"/>
      <w:r w:rsidRPr="00B1089D">
        <w:t xml:space="preserve"> </w:t>
      </w:r>
      <w:proofErr w:type="spellStart"/>
      <w:r w:rsidRPr="00B1089D">
        <w:t>Green</w:t>
      </w:r>
      <w:proofErr w:type="spellEnd"/>
      <w:r w:rsidRPr="00B1089D">
        <w:t xml:space="preserve"> </w:t>
      </w:r>
      <w:proofErr w:type="spellStart"/>
      <w:r w:rsidRPr="00B1089D">
        <w:t>Deal</w:t>
      </w:r>
      <w:proofErr w:type="spellEnd"/>
      <w:r w:rsidRPr="00B1089D">
        <w:t xml:space="preserve"> </w:t>
      </w:r>
      <w:proofErr w:type="spellStart"/>
      <w:r w:rsidRPr="00B1089D">
        <w:t>will</w:t>
      </w:r>
      <w:proofErr w:type="spellEnd"/>
      <w:r w:rsidRPr="00B1089D">
        <w:t xml:space="preserve"> be </w:t>
      </w:r>
      <w:proofErr w:type="spellStart"/>
      <w:r w:rsidRPr="00B1089D">
        <w:t>examined</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strengths</w:t>
      </w:r>
      <w:proofErr w:type="spellEnd"/>
      <w:r w:rsidRPr="00B1089D">
        <w:t xml:space="preserve"> </w:t>
      </w:r>
      <w:proofErr w:type="spellStart"/>
      <w:r w:rsidRPr="00B1089D">
        <w:t>and</w:t>
      </w:r>
      <w:proofErr w:type="spellEnd"/>
      <w:r w:rsidRPr="00B1089D">
        <w:t xml:space="preserve"> </w:t>
      </w:r>
      <w:proofErr w:type="spellStart"/>
      <w:r w:rsidRPr="00B1089D">
        <w:t>weaknesses</w:t>
      </w:r>
      <w:proofErr w:type="spellEnd"/>
      <w:r w:rsidRPr="00B1089D">
        <w:t xml:space="preserve"> of </w:t>
      </w:r>
      <w:proofErr w:type="spellStart"/>
      <w:r w:rsidRPr="00B1089D">
        <w:t>these</w:t>
      </w:r>
      <w:proofErr w:type="spellEnd"/>
      <w:r w:rsidRPr="00B1089D">
        <w:t xml:space="preserve"> </w:t>
      </w:r>
      <w:proofErr w:type="spellStart"/>
      <w:r w:rsidRPr="00B1089D">
        <w:t>policies</w:t>
      </w:r>
      <w:proofErr w:type="spellEnd"/>
      <w:r w:rsidRPr="00B1089D">
        <w:t xml:space="preserve"> in Türkiye </w:t>
      </w:r>
      <w:proofErr w:type="spellStart"/>
      <w:r w:rsidRPr="00B1089D">
        <w:t>will</w:t>
      </w:r>
      <w:proofErr w:type="spellEnd"/>
      <w:r w:rsidRPr="00B1089D">
        <w:t xml:space="preserve"> be </w:t>
      </w:r>
      <w:proofErr w:type="spellStart"/>
      <w:r w:rsidRPr="00B1089D">
        <w:t>analyzed</w:t>
      </w:r>
      <w:proofErr w:type="spellEnd"/>
      <w:r w:rsidRPr="00B1089D">
        <w:t xml:space="preserve">. </w:t>
      </w:r>
      <w:proofErr w:type="spellStart"/>
      <w:r w:rsidRPr="00B1089D">
        <w:t>When</w:t>
      </w:r>
      <w:proofErr w:type="spellEnd"/>
      <w:r w:rsidRPr="00B1089D">
        <w:t xml:space="preserve"> </w:t>
      </w:r>
      <w:proofErr w:type="spellStart"/>
      <w:r w:rsidRPr="00B1089D">
        <w:t>the</w:t>
      </w:r>
      <w:proofErr w:type="spellEnd"/>
      <w:r w:rsidRPr="00B1089D">
        <w:t xml:space="preserve"> </w:t>
      </w:r>
      <w:proofErr w:type="spellStart"/>
      <w:r w:rsidRPr="00B1089D">
        <w:t>obstacles</w:t>
      </w:r>
      <w:proofErr w:type="spellEnd"/>
      <w:r w:rsidRPr="00B1089D">
        <w:t xml:space="preserve"> </w:t>
      </w:r>
      <w:proofErr w:type="spellStart"/>
      <w:r w:rsidRPr="00B1089D">
        <w:t>to</w:t>
      </w:r>
      <w:proofErr w:type="spellEnd"/>
      <w:r w:rsidRPr="00B1089D">
        <w:t xml:space="preserve"> </w:t>
      </w:r>
      <w:proofErr w:type="spellStart"/>
      <w:r w:rsidRPr="00B1089D">
        <w:t>green</w:t>
      </w:r>
      <w:proofErr w:type="spellEnd"/>
      <w:r w:rsidRPr="00B1089D">
        <w:t xml:space="preserve"> </w:t>
      </w:r>
      <w:proofErr w:type="spellStart"/>
      <w:r w:rsidRPr="00B1089D">
        <w:t>logistics</w:t>
      </w:r>
      <w:proofErr w:type="spellEnd"/>
      <w:r w:rsidRPr="00B1089D">
        <w:t xml:space="preserve"> </w:t>
      </w:r>
      <w:proofErr w:type="spellStart"/>
      <w:r w:rsidRPr="00B1089D">
        <w:t>applications</w:t>
      </w:r>
      <w:proofErr w:type="spellEnd"/>
      <w:r w:rsidRPr="00B1089D">
        <w:t xml:space="preserve"> in Türkiye </w:t>
      </w:r>
      <w:proofErr w:type="spellStart"/>
      <w:r w:rsidRPr="00B1089D">
        <w:t>are</w:t>
      </w:r>
      <w:proofErr w:type="spellEnd"/>
      <w:r w:rsidRPr="00B1089D">
        <w:t xml:space="preserve"> </w:t>
      </w:r>
      <w:proofErr w:type="spellStart"/>
      <w:r w:rsidRPr="00B1089D">
        <w:t>examined</w:t>
      </w:r>
      <w:proofErr w:type="spellEnd"/>
      <w:r w:rsidRPr="00B1089D">
        <w:t xml:space="preserve">, it is </w:t>
      </w:r>
      <w:proofErr w:type="spellStart"/>
      <w:r w:rsidRPr="00B1089D">
        <w:t>seen</w:t>
      </w:r>
      <w:proofErr w:type="spellEnd"/>
      <w:r w:rsidRPr="00B1089D">
        <w:t xml:space="preserve"> </w:t>
      </w:r>
      <w:proofErr w:type="spellStart"/>
      <w:r w:rsidRPr="00B1089D">
        <w:t>that</w:t>
      </w:r>
      <w:proofErr w:type="spellEnd"/>
      <w:r w:rsidRPr="00B1089D">
        <w:t xml:space="preserve"> </w:t>
      </w:r>
      <w:proofErr w:type="spellStart"/>
      <w:r w:rsidRPr="00B1089D">
        <w:t>businesses</w:t>
      </w:r>
      <w:proofErr w:type="spellEnd"/>
      <w:r w:rsidRPr="00B1089D">
        <w:t xml:space="preserve"> </w:t>
      </w:r>
      <w:proofErr w:type="spellStart"/>
      <w:r w:rsidRPr="00B1089D">
        <w:t>resist</w:t>
      </w:r>
      <w:proofErr w:type="spellEnd"/>
      <w:r w:rsidRPr="00B1089D">
        <w:t xml:space="preserve"> </w:t>
      </w:r>
      <w:proofErr w:type="spellStart"/>
      <w:r w:rsidRPr="00B1089D">
        <w:t>technological</w:t>
      </w:r>
      <w:proofErr w:type="spellEnd"/>
      <w:r w:rsidRPr="00B1089D">
        <w:t xml:space="preserve"> </w:t>
      </w:r>
      <w:proofErr w:type="spellStart"/>
      <w:r w:rsidRPr="00B1089D">
        <w:t>innovations</w:t>
      </w:r>
      <w:proofErr w:type="spellEnd"/>
      <w:r w:rsidRPr="00B1089D">
        <w:t xml:space="preserve"> </w:t>
      </w:r>
      <w:proofErr w:type="spellStart"/>
      <w:r w:rsidRPr="00B1089D">
        <w:t>due</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high</w:t>
      </w:r>
      <w:proofErr w:type="spellEnd"/>
      <w:r w:rsidRPr="00B1089D">
        <w:t xml:space="preserve"> </w:t>
      </w:r>
      <w:proofErr w:type="spellStart"/>
      <w:r w:rsidRPr="00B1089D">
        <w:t>investment</w:t>
      </w:r>
      <w:proofErr w:type="spellEnd"/>
      <w:r w:rsidRPr="00B1089D">
        <w:t xml:space="preserve"> </w:t>
      </w:r>
      <w:proofErr w:type="spellStart"/>
      <w:r w:rsidRPr="00B1089D">
        <w:t>costs</w:t>
      </w:r>
      <w:proofErr w:type="spellEnd"/>
      <w:r w:rsidRPr="00B1089D">
        <w:t xml:space="preserve"> </w:t>
      </w:r>
      <w:proofErr w:type="spellStart"/>
      <w:r w:rsidRPr="00B1089D">
        <w:t>and</w:t>
      </w:r>
      <w:proofErr w:type="spellEnd"/>
      <w:r w:rsidRPr="00B1089D">
        <w:t xml:space="preserve"> </w:t>
      </w:r>
      <w:proofErr w:type="spellStart"/>
      <w:r w:rsidRPr="00B1089D">
        <w:t>lack</w:t>
      </w:r>
      <w:proofErr w:type="spellEnd"/>
      <w:r w:rsidRPr="00B1089D">
        <w:t xml:space="preserve"> of </w:t>
      </w:r>
      <w:proofErr w:type="spellStart"/>
      <w:r w:rsidRPr="00B1089D">
        <w:t>knowledge</w:t>
      </w:r>
      <w:proofErr w:type="spellEnd"/>
      <w:r w:rsidRPr="00B1089D">
        <w:t xml:space="preserve"> </w:t>
      </w:r>
      <w:proofErr w:type="spellStart"/>
      <w:r w:rsidRPr="00B1089D">
        <w:t>and</w:t>
      </w:r>
      <w:proofErr w:type="spellEnd"/>
      <w:r w:rsidRPr="00B1089D">
        <w:t xml:space="preserve"> </w:t>
      </w:r>
      <w:proofErr w:type="spellStart"/>
      <w:r w:rsidRPr="00B1089D">
        <w:t>experience</w:t>
      </w:r>
      <w:proofErr w:type="spellEnd"/>
      <w:r w:rsidRPr="00B1089D">
        <w:t xml:space="preserve">. At </w:t>
      </w:r>
      <w:proofErr w:type="spellStart"/>
      <w:r w:rsidRPr="00B1089D">
        <w:t>this</w:t>
      </w:r>
      <w:proofErr w:type="spellEnd"/>
      <w:r w:rsidRPr="00B1089D">
        <w:t xml:space="preserve"> </w:t>
      </w:r>
      <w:proofErr w:type="spellStart"/>
      <w:r w:rsidRPr="00B1089D">
        <w:t>point</w:t>
      </w:r>
      <w:proofErr w:type="spellEnd"/>
      <w:r w:rsidRPr="00B1089D">
        <w:t xml:space="preserve">, </w:t>
      </w:r>
      <w:proofErr w:type="spellStart"/>
      <w:r w:rsidRPr="00B1089D">
        <w:t>the</w:t>
      </w:r>
      <w:proofErr w:type="spellEnd"/>
      <w:r w:rsidRPr="00B1089D">
        <w:t xml:space="preserve"> </w:t>
      </w:r>
      <w:proofErr w:type="spellStart"/>
      <w:r w:rsidRPr="00B1089D">
        <w:t>state</w:t>
      </w:r>
      <w:proofErr w:type="spellEnd"/>
      <w:r w:rsidRPr="00B1089D">
        <w:t xml:space="preserve"> </w:t>
      </w:r>
      <w:proofErr w:type="spellStart"/>
      <w:r w:rsidRPr="00B1089D">
        <w:t>needs</w:t>
      </w:r>
      <w:proofErr w:type="spellEnd"/>
      <w:r w:rsidRPr="00B1089D">
        <w:t xml:space="preserve"> </w:t>
      </w:r>
      <w:proofErr w:type="spellStart"/>
      <w:r w:rsidRPr="00B1089D">
        <w:t>to</w:t>
      </w:r>
      <w:proofErr w:type="spellEnd"/>
      <w:r w:rsidRPr="00B1089D">
        <w:t xml:space="preserve"> </w:t>
      </w:r>
      <w:proofErr w:type="spellStart"/>
      <w:r w:rsidRPr="00B1089D">
        <w:t>increase</w:t>
      </w:r>
      <w:proofErr w:type="spellEnd"/>
      <w:r w:rsidRPr="00B1089D">
        <w:t xml:space="preserve"> </w:t>
      </w:r>
      <w:proofErr w:type="spellStart"/>
      <w:r w:rsidRPr="00B1089D">
        <w:t>incentive</w:t>
      </w:r>
      <w:proofErr w:type="spellEnd"/>
      <w:r w:rsidRPr="00B1089D">
        <w:t xml:space="preserve"> </w:t>
      </w:r>
      <w:proofErr w:type="spellStart"/>
      <w:r w:rsidRPr="00B1089D">
        <w:t>policies</w:t>
      </w:r>
      <w:proofErr w:type="spellEnd"/>
      <w:r w:rsidRPr="00B1089D">
        <w:t xml:space="preserve"> </w:t>
      </w:r>
      <w:proofErr w:type="spellStart"/>
      <w:r w:rsidRPr="00B1089D">
        <w:t>such</w:t>
      </w:r>
      <w:proofErr w:type="spellEnd"/>
      <w:r w:rsidRPr="00B1089D">
        <w:t xml:space="preserve"> as </w:t>
      </w:r>
      <w:proofErr w:type="spellStart"/>
      <w:r w:rsidRPr="00B1089D">
        <w:t>infrastructure</w:t>
      </w:r>
      <w:proofErr w:type="spellEnd"/>
      <w:r w:rsidRPr="00B1089D">
        <w:t xml:space="preserve"> </w:t>
      </w:r>
      <w:proofErr w:type="spellStart"/>
      <w:r w:rsidRPr="00B1089D">
        <w:t>and</w:t>
      </w:r>
      <w:proofErr w:type="spellEnd"/>
      <w:r w:rsidRPr="00B1089D">
        <w:t xml:space="preserve"> </w:t>
      </w:r>
      <w:proofErr w:type="spellStart"/>
      <w:r w:rsidRPr="00B1089D">
        <w:t>education</w:t>
      </w:r>
      <w:proofErr w:type="spellEnd"/>
      <w:r w:rsidRPr="00B1089D">
        <w:t xml:space="preserve"> </w:t>
      </w:r>
      <w:proofErr w:type="spellStart"/>
      <w:r w:rsidRPr="00B1089D">
        <w:t>support</w:t>
      </w:r>
      <w:proofErr w:type="spellEnd"/>
      <w:r w:rsidRPr="00B1089D">
        <w:t xml:space="preserve">, </w:t>
      </w:r>
      <w:proofErr w:type="spellStart"/>
      <w:r w:rsidRPr="00B1089D">
        <w:t>tax</w:t>
      </w:r>
      <w:proofErr w:type="spellEnd"/>
      <w:r w:rsidRPr="00B1089D">
        <w:t xml:space="preserve"> </w:t>
      </w:r>
      <w:proofErr w:type="spellStart"/>
      <w:r w:rsidRPr="00B1089D">
        <w:t>reductions</w:t>
      </w:r>
      <w:proofErr w:type="spellEnd"/>
      <w:r w:rsidRPr="00B1089D">
        <w:t xml:space="preserve"> </w:t>
      </w:r>
      <w:proofErr w:type="spellStart"/>
      <w:r w:rsidRPr="00B1089D">
        <w:t>for</w:t>
      </w:r>
      <w:proofErr w:type="spellEnd"/>
      <w:r w:rsidRPr="00B1089D">
        <w:t xml:space="preserve"> </w:t>
      </w:r>
      <w:proofErr w:type="spellStart"/>
      <w:r w:rsidRPr="00B1089D">
        <w:t>companies</w:t>
      </w:r>
      <w:proofErr w:type="spellEnd"/>
      <w:r w:rsidRPr="00B1089D">
        <w:t xml:space="preserve">, </w:t>
      </w:r>
      <w:proofErr w:type="spellStart"/>
      <w:r w:rsidRPr="00B1089D">
        <w:t>and</w:t>
      </w:r>
      <w:proofErr w:type="spellEnd"/>
      <w:r w:rsidRPr="00B1089D">
        <w:t xml:space="preserve"> </w:t>
      </w:r>
      <w:proofErr w:type="spellStart"/>
      <w:r w:rsidRPr="00B1089D">
        <w:t>implement</w:t>
      </w:r>
      <w:proofErr w:type="spellEnd"/>
      <w:r w:rsidRPr="00B1089D">
        <w:t xml:space="preserve"> </w:t>
      </w:r>
      <w:proofErr w:type="spellStart"/>
      <w:r w:rsidRPr="00B1089D">
        <w:t>comprehensive</w:t>
      </w:r>
      <w:proofErr w:type="spellEnd"/>
      <w:r w:rsidRPr="00B1089D">
        <w:t xml:space="preserve"> legal </w:t>
      </w:r>
      <w:proofErr w:type="spellStart"/>
      <w:r w:rsidRPr="00B1089D">
        <w:t>legislation</w:t>
      </w:r>
      <w:proofErr w:type="spellEnd"/>
      <w:r w:rsidRPr="00B1089D">
        <w:t xml:space="preserve"> </w:t>
      </w:r>
      <w:proofErr w:type="spellStart"/>
      <w:r w:rsidRPr="00B1089D">
        <w:t>to</w:t>
      </w:r>
      <w:proofErr w:type="spellEnd"/>
      <w:r w:rsidRPr="00B1089D">
        <w:t xml:space="preserve"> </w:t>
      </w:r>
      <w:proofErr w:type="spellStart"/>
      <w:r w:rsidRPr="00B1089D">
        <w:t>protect</w:t>
      </w:r>
      <w:proofErr w:type="spellEnd"/>
      <w:r w:rsidRPr="00B1089D">
        <w:t xml:space="preserve"> </w:t>
      </w:r>
      <w:proofErr w:type="spellStart"/>
      <w:r w:rsidRPr="00B1089D">
        <w:t>the</w:t>
      </w:r>
      <w:proofErr w:type="spellEnd"/>
      <w:r w:rsidRPr="00B1089D">
        <w:t xml:space="preserve"> </w:t>
      </w:r>
      <w:proofErr w:type="spellStart"/>
      <w:r w:rsidRPr="00B1089D">
        <w:t>environment</w:t>
      </w:r>
      <w:proofErr w:type="spellEnd"/>
      <w:r w:rsidRPr="00B1089D">
        <w:t xml:space="preserve"> </w:t>
      </w:r>
      <w:proofErr w:type="spellStart"/>
      <w:r w:rsidRPr="00B1089D">
        <w:t>and</w:t>
      </w:r>
      <w:proofErr w:type="spellEnd"/>
      <w:r w:rsidRPr="00B1089D">
        <w:t xml:space="preserve"> </w:t>
      </w:r>
      <w:proofErr w:type="spellStart"/>
      <w:r w:rsidRPr="00B1089D">
        <w:t>sanctions</w:t>
      </w:r>
      <w:proofErr w:type="spellEnd"/>
      <w:r w:rsidRPr="00B1089D">
        <w:t xml:space="preserve"> on </w:t>
      </w:r>
      <w:proofErr w:type="spellStart"/>
      <w:r w:rsidRPr="00B1089D">
        <w:t>companies</w:t>
      </w:r>
      <w:proofErr w:type="spellEnd"/>
      <w:r w:rsidRPr="00B1089D">
        <w:t xml:space="preserve"> </w:t>
      </w:r>
      <w:proofErr w:type="spellStart"/>
      <w:r w:rsidRPr="00B1089D">
        <w:t>that</w:t>
      </w:r>
      <w:proofErr w:type="spellEnd"/>
      <w:r w:rsidRPr="00B1089D">
        <w:t xml:space="preserve"> do not </w:t>
      </w:r>
      <w:proofErr w:type="spellStart"/>
      <w:r w:rsidRPr="00B1089D">
        <w:t>comply</w:t>
      </w:r>
      <w:proofErr w:type="spellEnd"/>
      <w:r w:rsidRPr="00B1089D">
        <w:t xml:space="preserve"> </w:t>
      </w:r>
      <w:proofErr w:type="spellStart"/>
      <w:r w:rsidRPr="00B1089D">
        <w:t>with</w:t>
      </w:r>
      <w:proofErr w:type="spellEnd"/>
      <w:r w:rsidRPr="00B1089D">
        <w:t xml:space="preserve"> </w:t>
      </w:r>
      <w:proofErr w:type="spellStart"/>
      <w:r w:rsidRPr="00B1089D">
        <w:t>these</w:t>
      </w:r>
      <w:proofErr w:type="spellEnd"/>
      <w:r w:rsidRPr="00B1089D">
        <w:t xml:space="preserve"> </w:t>
      </w:r>
      <w:proofErr w:type="spellStart"/>
      <w:r w:rsidRPr="00B1089D">
        <w:t>rules</w:t>
      </w:r>
      <w:proofErr w:type="spellEnd"/>
      <w:r w:rsidRPr="00B1089D">
        <w:t xml:space="preserve">. </w:t>
      </w:r>
      <w:proofErr w:type="spellStart"/>
      <w:r w:rsidRPr="00B1089D">
        <w:t>Identifying</w:t>
      </w:r>
      <w:proofErr w:type="spellEnd"/>
      <w:r w:rsidRPr="00B1089D">
        <w:t xml:space="preserve"> </w:t>
      </w:r>
      <w:proofErr w:type="spellStart"/>
      <w:r w:rsidRPr="00B1089D">
        <w:t>the</w:t>
      </w:r>
      <w:proofErr w:type="spellEnd"/>
      <w:r w:rsidRPr="00B1089D">
        <w:t xml:space="preserve"> </w:t>
      </w:r>
      <w:proofErr w:type="spellStart"/>
      <w:r w:rsidRPr="00B1089D">
        <w:t>obstacles</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development</w:t>
      </w:r>
      <w:proofErr w:type="spellEnd"/>
      <w:r w:rsidRPr="00B1089D">
        <w:t xml:space="preserve"> of </w:t>
      </w:r>
      <w:proofErr w:type="spellStart"/>
      <w:r w:rsidRPr="00B1089D">
        <w:t>green</w:t>
      </w:r>
      <w:proofErr w:type="spellEnd"/>
      <w:r w:rsidRPr="00B1089D">
        <w:t xml:space="preserve"> </w:t>
      </w:r>
      <w:proofErr w:type="spellStart"/>
      <w:r w:rsidRPr="00B1089D">
        <w:t>logistics</w:t>
      </w:r>
      <w:proofErr w:type="spellEnd"/>
      <w:r w:rsidRPr="00B1089D">
        <w:t xml:space="preserve"> </w:t>
      </w:r>
      <w:proofErr w:type="spellStart"/>
      <w:r w:rsidRPr="00B1089D">
        <w:t>applications</w:t>
      </w:r>
      <w:proofErr w:type="spellEnd"/>
      <w:r w:rsidRPr="00B1089D">
        <w:t xml:space="preserve"> is </w:t>
      </w:r>
      <w:proofErr w:type="spellStart"/>
      <w:r w:rsidRPr="00B1089D">
        <w:t>important</w:t>
      </w:r>
      <w:proofErr w:type="spellEnd"/>
      <w:r w:rsidRPr="00B1089D">
        <w:t xml:space="preserve"> in </w:t>
      </w:r>
      <w:proofErr w:type="spellStart"/>
      <w:r w:rsidRPr="00B1089D">
        <w:t>combating</w:t>
      </w:r>
      <w:proofErr w:type="spellEnd"/>
      <w:r w:rsidRPr="00B1089D">
        <w:t xml:space="preserve"> </w:t>
      </w:r>
      <w:proofErr w:type="spellStart"/>
      <w:r w:rsidRPr="00B1089D">
        <w:t>the</w:t>
      </w:r>
      <w:proofErr w:type="spellEnd"/>
      <w:r w:rsidRPr="00B1089D">
        <w:t xml:space="preserve"> </w:t>
      </w:r>
      <w:proofErr w:type="spellStart"/>
      <w:r w:rsidRPr="00B1089D">
        <w:t>climate</w:t>
      </w:r>
      <w:proofErr w:type="spellEnd"/>
      <w:r w:rsidRPr="00B1089D">
        <w:t xml:space="preserve"> </w:t>
      </w:r>
      <w:proofErr w:type="spellStart"/>
      <w:r w:rsidRPr="00B1089D">
        <w:t>crisis</w:t>
      </w:r>
      <w:proofErr w:type="spellEnd"/>
      <w:r w:rsidRPr="00B1089D">
        <w:t>.</w:t>
      </w:r>
    </w:p>
    <w:p w14:paraId="253F24DB" w14:textId="77777777" w:rsidR="00FA457D" w:rsidRPr="00B1089D" w:rsidRDefault="00FA457D" w:rsidP="000958A4">
      <w:pPr>
        <w:widowControl/>
        <w:jc w:val="both"/>
      </w:pPr>
    </w:p>
    <w:p w14:paraId="0275ABC5" w14:textId="09F0188C" w:rsidR="00D37D80" w:rsidRDefault="00FA457D" w:rsidP="000958A4">
      <w:pPr>
        <w:widowControl/>
        <w:jc w:val="both"/>
      </w:pPr>
      <w:proofErr w:type="spellStart"/>
      <w:r w:rsidRPr="00B1089D">
        <w:rPr>
          <w:b/>
          <w:bCs/>
        </w:rPr>
        <w:t>Keywords</w:t>
      </w:r>
      <w:proofErr w:type="spellEnd"/>
      <w:r w:rsidRPr="00B1089D">
        <w:rPr>
          <w:b/>
          <w:bCs/>
        </w:rPr>
        <w:t>:</w:t>
      </w:r>
      <w:r w:rsidRPr="00B1089D">
        <w:t xml:space="preserve"> EU, Türkiye, </w:t>
      </w:r>
      <w:proofErr w:type="spellStart"/>
      <w:r w:rsidRPr="00B1089D">
        <w:t>European</w:t>
      </w:r>
      <w:proofErr w:type="spellEnd"/>
      <w:r w:rsidRPr="00B1089D">
        <w:t xml:space="preserve"> </w:t>
      </w:r>
      <w:proofErr w:type="spellStart"/>
      <w:r w:rsidRPr="00B1089D">
        <w:t>Green</w:t>
      </w:r>
      <w:proofErr w:type="spellEnd"/>
      <w:r w:rsidRPr="00B1089D">
        <w:t xml:space="preserve"> </w:t>
      </w:r>
      <w:proofErr w:type="spellStart"/>
      <w:r w:rsidRPr="00B1089D">
        <w:t>Deal</w:t>
      </w:r>
      <w:proofErr w:type="spellEnd"/>
      <w:r w:rsidRPr="00B1089D">
        <w:t xml:space="preserve">, </w:t>
      </w:r>
      <w:proofErr w:type="spellStart"/>
      <w:r w:rsidRPr="00B1089D">
        <w:t>Green</w:t>
      </w:r>
      <w:proofErr w:type="spellEnd"/>
      <w:r w:rsidRPr="00B1089D">
        <w:t xml:space="preserve"> </w:t>
      </w:r>
      <w:proofErr w:type="spellStart"/>
      <w:r w:rsidRPr="00B1089D">
        <w:t>Logistics</w:t>
      </w:r>
      <w:proofErr w:type="spellEnd"/>
      <w:r w:rsidRPr="00B1089D">
        <w:t xml:space="preserve">, </w:t>
      </w:r>
      <w:proofErr w:type="spellStart"/>
      <w:r w:rsidRPr="00B1089D">
        <w:t>Sustainability</w:t>
      </w:r>
      <w:proofErr w:type="spellEnd"/>
      <w:r w:rsidRPr="00B1089D">
        <w:t>.</w:t>
      </w:r>
    </w:p>
    <w:p w14:paraId="219FC29C" w14:textId="050DE202" w:rsidR="00FA457D" w:rsidRPr="00D10870" w:rsidRDefault="00D37D80" w:rsidP="00D37D80">
      <w:pPr>
        <w:autoSpaceDE/>
        <w:autoSpaceDN/>
      </w:pPr>
      <w:r>
        <w:br w:type="page"/>
      </w:r>
    </w:p>
    <w:p w14:paraId="08F9AA79" w14:textId="77777777" w:rsidR="00FA457D" w:rsidRPr="00B1089D" w:rsidRDefault="00FA457D" w:rsidP="004C7694">
      <w:pPr>
        <w:pStyle w:val="Tark"/>
      </w:pPr>
      <w:bookmarkStart w:id="254" w:name="_Toc192855276"/>
      <w:proofErr w:type="spellStart"/>
      <w:r w:rsidRPr="00B1089D">
        <w:lastRenderedPageBreak/>
        <w:t>State</w:t>
      </w:r>
      <w:proofErr w:type="spellEnd"/>
      <w:r w:rsidRPr="00B1089D">
        <w:t xml:space="preserve"> </w:t>
      </w:r>
      <w:proofErr w:type="spellStart"/>
      <w:r w:rsidRPr="00B1089D">
        <w:t>Formation</w:t>
      </w:r>
      <w:proofErr w:type="spellEnd"/>
      <w:r w:rsidRPr="00B1089D">
        <w:t xml:space="preserve"> in Post-</w:t>
      </w:r>
      <w:proofErr w:type="spellStart"/>
      <w:r w:rsidRPr="00B1089D">
        <w:t>Baath</w:t>
      </w:r>
      <w:proofErr w:type="spellEnd"/>
      <w:r w:rsidRPr="00B1089D">
        <w:t xml:space="preserve"> </w:t>
      </w:r>
      <w:proofErr w:type="spellStart"/>
      <w:r w:rsidRPr="00B1089D">
        <w:t>Syria</w:t>
      </w:r>
      <w:proofErr w:type="spellEnd"/>
      <w:r w:rsidRPr="00B1089D">
        <w:t xml:space="preserve">: A </w:t>
      </w:r>
      <w:proofErr w:type="spellStart"/>
      <w:r w:rsidRPr="00B1089D">
        <w:t>Historical</w:t>
      </w:r>
      <w:proofErr w:type="spellEnd"/>
      <w:r w:rsidRPr="00B1089D">
        <w:t xml:space="preserve"> </w:t>
      </w:r>
      <w:proofErr w:type="spellStart"/>
      <w:r w:rsidRPr="00B1089D">
        <w:t>Sociological</w:t>
      </w:r>
      <w:proofErr w:type="spellEnd"/>
      <w:r w:rsidRPr="00B1089D">
        <w:t xml:space="preserve"> Analysis</w:t>
      </w:r>
      <w:bookmarkEnd w:id="254"/>
    </w:p>
    <w:p w14:paraId="6D0DA897" w14:textId="77777777" w:rsidR="00FA457D" w:rsidRPr="00B1089D" w:rsidRDefault="00FA457D" w:rsidP="00FA457D">
      <w:pPr>
        <w:widowControl/>
        <w:jc w:val="center"/>
      </w:pPr>
    </w:p>
    <w:p w14:paraId="40099161" w14:textId="77777777" w:rsidR="00FA457D" w:rsidRPr="00B1089D" w:rsidRDefault="00FA457D" w:rsidP="00FA457D">
      <w:pPr>
        <w:widowControl/>
        <w:jc w:val="center"/>
      </w:pPr>
      <w:r w:rsidRPr="00B1089D">
        <w:t>Nuri Salık</w:t>
      </w:r>
    </w:p>
    <w:p w14:paraId="4A1B1F10" w14:textId="77777777" w:rsidR="00FA457D" w:rsidRPr="00B1089D" w:rsidRDefault="00FA457D" w:rsidP="00FA457D">
      <w:pPr>
        <w:widowControl/>
        <w:jc w:val="center"/>
      </w:pPr>
      <w:proofErr w:type="spellStart"/>
      <w:r w:rsidRPr="00B1089D">
        <w:t>Assoc</w:t>
      </w:r>
      <w:proofErr w:type="spellEnd"/>
      <w:r w:rsidRPr="00B1089D">
        <w:t xml:space="preserve">. Prof., Ankara Yıldırım Beyazıt </w:t>
      </w:r>
      <w:proofErr w:type="spellStart"/>
      <w:r w:rsidRPr="00B1089D">
        <w:t>University</w:t>
      </w:r>
      <w:proofErr w:type="spellEnd"/>
      <w:r w:rsidRPr="00B1089D">
        <w:t xml:space="preserve">, </w:t>
      </w:r>
      <w:proofErr w:type="spellStart"/>
      <w:r w:rsidRPr="00B1089D">
        <w:t>Department</w:t>
      </w:r>
      <w:proofErr w:type="spellEnd"/>
      <w:r w:rsidRPr="00B1089D">
        <w:t xml:space="preserve"> of </w:t>
      </w:r>
      <w:proofErr w:type="spellStart"/>
      <w:r w:rsidRPr="00B1089D">
        <w:t>History</w:t>
      </w:r>
      <w:proofErr w:type="spellEnd"/>
    </w:p>
    <w:p w14:paraId="0D838713" w14:textId="77777777" w:rsidR="00FA457D" w:rsidRPr="00B1089D" w:rsidRDefault="00FA457D" w:rsidP="00FA457D">
      <w:pPr>
        <w:widowControl/>
        <w:jc w:val="center"/>
      </w:pPr>
      <w:r w:rsidRPr="00B1089D">
        <w:t>nurisalik@gmail.com</w:t>
      </w:r>
    </w:p>
    <w:p w14:paraId="09E1AAB7" w14:textId="77777777" w:rsidR="00FA457D" w:rsidRPr="00B1089D" w:rsidRDefault="00FA457D" w:rsidP="00FA457D">
      <w:pPr>
        <w:widowControl/>
        <w:jc w:val="center"/>
      </w:pPr>
      <w:r w:rsidRPr="00B1089D">
        <w:t>0000-0002-4311-7167</w:t>
      </w:r>
    </w:p>
    <w:p w14:paraId="315ED48C" w14:textId="77777777" w:rsidR="00FA457D" w:rsidRPr="00B1089D" w:rsidRDefault="00FA457D" w:rsidP="00FA457D">
      <w:pPr>
        <w:widowControl/>
        <w:jc w:val="center"/>
      </w:pPr>
    </w:p>
    <w:p w14:paraId="69B4CCCE" w14:textId="3ED7C81C" w:rsidR="00FA457D" w:rsidRPr="00B1089D" w:rsidRDefault="00FA457D" w:rsidP="0079785E">
      <w:pPr>
        <w:widowControl/>
        <w:jc w:val="center"/>
      </w:pPr>
      <w:proofErr w:type="spellStart"/>
      <w:r w:rsidRPr="00B1089D">
        <w:rPr>
          <w:b/>
          <w:bCs/>
        </w:rPr>
        <w:t>Abstract</w:t>
      </w:r>
      <w:proofErr w:type="spellEnd"/>
    </w:p>
    <w:p w14:paraId="5821F917" w14:textId="0A7F53D4" w:rsidR="00FA457D" w:rsidRPr="00B1089D" w:rsidRDefault="00FA457D" w:rsidP="0079785E">
      <w:pPr>
        <w:widowControl/>
        <w:jc w:val="both"/>
      </w:pPr>
      <w:r w:rsidRPr="00B1089D">
        <w:t xml:space="preserve">On </w:t>
      </w:r>
      <w:proofErr w:type="spellStart"/>
      <w:r w:rsidRPr="00B1089D">
        <w:t>December</w:t>
      </w:r>
      <w:proofErr w:type="spellEnd"/>
      <w:r w:rsidRPr="00B1089D">
        <w:t xml:space="preserve"> 8, 2024, </w:t>
      </w:r>
      <w:proofErr w:type="spellStart"/>
      <w:r w:rsidRPr="00B1089D">
        <w:t>the</w:t>
      </w:r>
      <w:proofErr w:type="spellEnd"/>
      <w:r w:rsidRPr="00B1089D">
        <w:t xml:space="preserve"> </w:t>
      </w:r>
      <w:proofErr w:type="spellStart"/>
      <w:r w:rsidRPr="00B1089D">
        <w:t>Baath</w:t>
      </w:r>
      <w:proofErr w:type="spellEnd"/>
      <w:r w:rsidRPr="00B1089D">
        <w:t xml:space="preserve"> </w:t>
      </w:r>
      <w:proofErr w:type="spellStart"/>
      <w:r w:rsidRPr="00B1089D">
        <w:t>regime</w:t>
      </w:r>
      <w:proofErr w:type="spellEnd"/>
      <w:r w:rsidRPr="00B1089D">
        <w:t xml:space="preserve"> </w:t>
      </w:r>
      <w:proofErr w:type="spellStart"/>
      <w:r w:rsidRPr="00B1089D">
        <w:t>was</w:t>
      </w:r>
      <w:proofErr w:type="spellEnd"/>
      <w:r w:rsidRPr="00B1089D">
        <w:t xml:space="preserve"> </w:t>
      </w:r>
      <w:proofErr w:type="spellStart"/>
      <w:r w:rsidRPr="00B1089D">
        <w:t>overthrown</w:t>
      </w:r>
      <w:proofErr w:type="spellEnd"/>
      <w:r w:rsidRPr="00B1089D">
        <w:t xml:space="preserve"> </w:t>
      </w:r>
      <w:proofErr w:type="spellStart"/>
      <w:r w:rsidRPr="00B1089D">
        <w:t>by</w:t>
      </w:r>
      <w:proofErr w:type="spellEnd"/>
      <w:r w:rsidRPr="00B1089D">
        <w:t xml:space="preserve"> a </w:t>
      </w:r>
      <w:proofErr w:type="spellStart"/>
      <w:r w:rsidRPr="00B1089D">
        <w:t>military</w:t>
      </w:r>
      <w:proofErr w:type="spellEnd"/>
      <w:r w:rsidRPr="00B1089D">
        <w:t xml:space="preserve"> </w:t>
      </w:r>
      <w:proofErr w:type="spellStart"/>
      <w:r w:rsidRPr="00B1089D">
        <w:t>operation</w:t>
      </w:r>
      <w:proofErr w:type="spellEnd"/>
      <w:r w:rsidRPr="00B1089D">
        <w:t xml:space="preserve"> </w:t>
      </w:r>
      <w:proofErr w:type="spellStart"/>
      <w:r w:rsidRPr="00B1089D">
        <w:t>spearheaded</w:t>
      </w:r>
      <w:proofErr w:type="spellEnd"/>
      <w:r w:rsidRPr="00B1089D">
        <w:t xml:space="preserve"> </w:t>
      </w:r>
      <w:proofErr w:type="spellStart"/>
      <w:r w:rsidRPr="00B1089D">
        <w:t>by</w:t>
      </w:r>
      <w:proofErr w:type="spellEnd"/>
      <w:r w:rsidRPr="00B1089D">
        <w:t xml:space="preserve"> Hayat Tahrir as-</w:t>
      </w:r>
      <w:proofErr w:type="spellStart"/>
      <w:r w:rsidRPr="00B1089D">
        <w:t>Sham</w:t>
      </w:r>
      <w:proofErr w:type="spellEnd"/>
      <w:r w:rsidRPr="00B1089D">
        <w:t xml:space="preserve"> (HTS), </w:t>
      </w:r>
      <w:proofErr w:type="spellStart"/>
      <w:r w:rsidRPr="00B1089D">
        <w:t>ending</w:t>
      </w:r>
      <w:proofErr w:type="spellEnd"/>
      <w:r w:rsidRPr="00B1089D">
        <w:t xml:space="preserve"> </w:t>
      </w:r>
      <w:proofErr w:type="spellStart"/>
      <w:r w:rsidRPr="00B1089D">
        <w:t>Syria’s</w:t>
      </w:r>
      <w:proofErr w:type="spellEnd"/>
      <w:r w:rsidRPr="00B1089D">
        <w:t xml:space="preserve"> 13-year </w:t>
      </w:r>
      <w:proofErr w:type="spellStart"/>
      <w:r w:rsidRPr="00B1089D">
        <w:t>civil</w:t>
      </w:r>
      <w:proofErr w:type="spellEnd"/>
      <w:r w:rsidRPr="00B1089D">
        <w:t xml:space="preserve"> </w:t>
      </w:r>
      <w:proofErr w:type="spellStart"/>
      <w:r w:rsidRPr="00B1089D">
        <w:t>war</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HTS-led </w:t>
      </w:r>
      <w:proofErr w:type="spellStart"/>
      <w:r w:rsidRPr="00B1089D">
        <w:t>Syrian</w:t>
      </w:r>
      <w:proofErr w:type="spellEnd"/>
      <w:r w:rsidRPr="00B1089D">
        <w:t xml:space="preserve"> </w:t>
      </w:r>
      <w:proofErr w:type="spellStart"/>
      <w:r w:rsidRPr="00B1089D">
        <w:t>armed</w:t>
      </w:r>
      <w:proofErr w:type="spellEnd"/>
      <w:r w:rsidRPr="00B1089D">
        <w:t xml:space="preserve"> </w:t>
      </w:r>
      <w:proofErr w:type="spellStart"/>
      <w:r w:rsidRPr="00B1089D">
        <w:t>opposition’s</w:t>
      </w:r>
      <w:proofErr w:type="spellEnd"/>
      <w:r w:rsidRPr="00B1089D">
        <w:t xml:space="preserve"> </w:t>
      </w:r>
      <w:proofErr w:type="spellStart"/>
      <w:r w:rsidRPr="00B1089D">
        <w:t>victory</w:t>
      </w:r>
      <w:proofErr w:type="spellEnd"/>
      <w:r w:rsidRPr="00B1089D">
        <w:t xml:space="preserve">, </w:t>
      </w:r>
      <w:proofErr w:type="spellStart"/>
      <w:r w:rsidRPr="00B1089D">
        <w:t>institutional</w:t>
      </w:r>
      <w:proofErr w:type="spellEnd"/>
      <w:r w:rsidRPr="00B1089D">
        <w:t xml:space="preserve"> </w:t>
      </w:r>
      <w:proofErr w:type="spellStart"/>
      <w:r w:rsidRPr="00B1089D">
        <w:t>and</w:t>
      </w:r>
      <w:proofErr w:type="spellEnd"/>
      <w:r w:rsidRPr="00B1089D">
        <w:t xml:space="preserve"> </w:t>
      </w:r>
      <w:proofErr w:type="spellStart"/>
      <w:r w:rsidRPr="00B1089D">
        <w:t>political</w:t>
      </w:r>
      <w:proofErr w:type="spellEnd"/>
      <w:r w:rsidRPr="00B1089D">
        <w:t xml:space="preserve"> </w:t>
      </w:r>
      <w:proofErr w:type="spellStart"/>
      <w:r w:rsidRPr="00B1089D">
        <w:t>landscape</w:t>
      </w:r>
      <w:proofErr w:type="spellEnd"/>
      <w:r w:rsidRPr="00B1089D">
        <w:t xml:space="preserve"> </w:t>
      </w:r>
      <w:proofErr w:type="spellStart"/>
      <w:r w:rsidRPr="00B1089D">
        <w:t>have</w:t>
      </w:r>
      <w:proofErr w:type="spellEnd"/>
      <w:r w:rsidRPr="00B1089D">
        <w:t xml:space="preserve"> </w:t>
      </w:r>
      <w:proofErr w:type="spellStart"/>
      <w:r w:rsidRPr="00B1089D">
        <w:t>changed</w:t>
      </w:r>
      <w:proofErr w:type="spellEnd"/>
      <w:r w:rsidRPr="00B1089D">
        <w:t xml:space="preserve"> </w:t>
      </w:r>
      <w:proofErr w:type="spellStart"/>
      <w:r w:rsidRPr="00B1089D">
        <w:t>substantially</w:t>
      </w:r>
      <w:proofErr w:type="spellEnd"/>
      <w:r w:rsidRPr="00B1089D">
        <w:t xml:space="preserve"> in </w:t>
      </w:r>
      <w:proofErr w:type="spellStart"/>
      <w:r w:rsidRPr="00B1089D">
        <w:t>Syria</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dissolution</w:t>
      </w:r>
      <w:proofErr w:type="spellEnd"/>
      <w:r w:rsidRPr="00B1089D">
        <w:t xml:space="preserve"> of </w:t>
      </w:r>
      <w:proofErr w:type="spellStart"/>
      <w:r w:rsidRPr="00B1089D">
        <w:t>the</w:t>
      </w:r>
      <w:proofErr w:type="spellEnd"/>
      <w:r w:rsidRPr="00B1089D">
        <w:t xml:space="preserve"> </w:t>
      </w:r>
      <w:proofErr w:type="spellStart"/>
      <w:r w:rsidRPr="00B1089D">
        <w:t>Baath</w:t>
      </w:r>
      <w:proofErr w:type="spellEnd"/>
      <w:r w:rsidRPr="00B1089D">
        <w:t xml:space="preserve"> </w:t>
      </w:r>
      <w:proofErr w:type="spellStart"/>
      <w:r w:rsidRPr="00B1089D">
        <w:t>Party</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security</w:t>
      </w:r>
      <w:proofErr w:type="spellEnd"/>
      <w:r w:rsidRPr="00B1089D">
        <w:t xml:space="preserve"> </w:t>
      </w:r>
      <w:proofErr w:type="spellStart"/>
      <w:r w:rsidRPr="00B1089D">
        <w:t>apparatus</w:t>
      </w:r>
      <w:proofErr w:type="spellEnd"/>
      <w:r w:rsidRPr="00B1089D">
        <w:t xml:space="preserve">, </w:t>
      </w:r>
      <w:proofErr w:type="spellStart"/>
      <w:r w:rsidRPr="00B1089D">
        <w:t>the</w:t>
      </w:r>
      <w:proofErr w:type="spellEnd"/>
      <w:r w:rsidRPr="00B1089D">
        <w:t xml:space="preserve"> </w:t>
      </w:r>
      <w:proofErr w:type="spellStart"/>
      <w:r w:rsidRPr="00B1089D">
        <w:t>suspension</w:t>
      </w:r>
      <w:proofErr w:type="spellEnd"/>
      <w:r w:rsidRPr="00B1089D">
        <w:t xml:space="preserve"> of </w:t>
      </w:r>
      <w:proofErr w:type="spellStart"/>
      <w:r w:rsidRPr="00B1089D">
        <w:t>the</w:t>
      </w:r>
      <w:proofErr w:type="spellEnd"/>
      <w:r w:rsidRPr="00B1089D">
        <w:t xml:space="preserve"> </w:t>
      </w:r>
      <w:proofErr w:type="spellStart"/>
      <w:r w:rsidRPr="00B1089D">
        <w:t>constitution</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disbandment</w:t>
      </w:r>
      <w:proofErr w:type="spellEnd"/>
      <w:r w:rsidRPr="00B1089D">
        <w:t xml:space="preserve"> of </w:t>
      </w:r>
      <w:proofErr w:type="spellStart"/>
      <w:r w:rsidRPr="00B1089D">
        <w:t>the</w:t>
      </w:r>
      <w:proofErr w:type="spellEnd"/>
      <w:r w:rsidRPr="00B1089D">
        <w:t xml:space="preserve"> </w:t>
      </w:r>
      <w:proofErr w:type="spellStart"/>
      <w:r w:rsidRPr="00B1089D">
        <w:t>parliament</w:t>
      </w:r>
      <w:proofErr w:type="spellEnd"/>
      <w:r w:rsidRPr="00B1089D">
        <w:t xml:space="preserve">. </w:t>
      </w:r>
      <w:proofErr w:type="spellStart"/>
      <w:r w:rsidRPr="00B1089D">
        <w:t>Even</w:t>
      </w:r>
      <w:proofErr w:type="spellEnd"/>
      <w:r w:rsidRPr="00B1089D">
        <w:t xml:space="preserve"> </w:t>
      </w:r>
      <w:proofErr w:type="spellStart"/>
      <w:r w:rsidRPr="00B1089D">
        <w:t>though</w:t>
      </w:r>
      <w:proofErr w:type="spellEnd"/>
      <w:r w:rsidRPr="00B1089D">
        <w:t xml:space="preserve"> HTS </w:t>
      </w:r>
      <w:proofErr w:type="spellStart"/>
      <w:r w:rsidRPr="00B1089D">
        <w:t>leader</w:t>
      </w:r>
      <w:proofErr w:type="spellEnd"/>
      <w:r w:rsidRPr="00B1089D">
        <w:t xml:space="preserve"> Ahmed al-</w:t>
      </w:r>
      <w:proofErr w:type="spellStart"/>
      <w:r w:rsidRPr="00B1089D">
        <w:t>Sharaa</w:t>
      </w:r>
      <w:proofErr w:type="spellEnd"/>
      <w:r w:rsidRPr="00B1089D">
        <w:t xml:space="preserve">, </w:t>
      </w:r>
      <w:proofErr w:type="spellStart"/>
      <w:r w:rsidRPr="00B1089D">
        <w:t>who</w:t>
      </w:r>
      <w:proofErr w:type="spellEnd"/>
      <w:r w:rsidRPr="00B1089D">
        <w:t xml:space="preserve"> </w:t>
      </w:r>
      <w:proofErr w:type="spellStart"/>
      <w:r w:rsidRPr="00B1089D">
        <w:t>was</w:t>
      </w:r>
      <w:proofErr w:type="spellEnd"/>
      <w:r w:rsidRPr="00B1089D">
        <w:t xml:space="preserve"> </w:t>
      </w:r>
      <w:proofErr w:type="spellStart"/>
      <w:r w:rsidRPr="00B1089D">
        <w:t>declared</w:t>
      </w:r>
      <w:proofErr w:type="spellEnd"/>
      <w:r w:rsidRPr="00B1089D">
        <w:t xml:space="preserve"> </w:t>
      </w:r>
      <w:proofErr w:type="spellStart"/>
      <w:r w:rsidRPr="00B1089D">
        <w:t>president</w:t>
      </w:r>
      <w:proofErr w:type="spellEnd"/>
      <w:r w:rsidRPr="00B1089D">
        <w:t xml:space="preserve"> of </w:t>
      </w:r>
      <w:proofErr w:type="spellStart"/>
      <w:r w:rsidRPr="00B1089D">
        <w:t>Syria</w:t>
      </w:r>
      <w:proofErr w:type="spellEnd"/>
      <w:r w:rsidRPr="00B1089D">
        <w:t xml:space="preserve"> </w:t>
      </w:r>
      <w:proofErr w:type="spellStart"/>
      <w:r w:rsidRPr="00B1089D">
        <w:t>for</w:t>
      </w:r>
      <w:proofErr w:type="spellEnd"/>
      <w:r w:rsidRPr="00B1089D">
        <w:t xml:space="preserve"> </w:t>
      </w:r>
      <w:proofErr w:type="spellStart"/>
      <w:r w:rsidRPr="00B1089D">
        <w:t>transition</w:t>
      </w:r>
      <w:proofErr w:type="spellEnd"/>
      <w:r w:rsidRPr="00B1089D">
        <w:t xml:space="preserve"> </w:t>
      </w:r>
      <w:proofErr w:type="spellStart"/>
      <w:r w:rsidRPr="00B1089D">
        <w:t>period</w:t>
      </w:r>
      <w:proofErr w:type="spellEnd"/>
      <w:r w:rsidRPr="00B1089D">
        <w:t xml:space="preserve"> on </w:t>
      </w:r>
      <w:proofErr w:type="spellStart"/>
      <w:r w:rsidRPr="00B1089D">
        <w:t>January</w:t>
      </w:r>
      <w:proofErr w:type="spellEnd"/>
      <w:r w:rsidRPr="00B1089D">
        <w:t xml:space="preserve"> 29, 20</w:t>
      </w:r>
      <w:r w:rsidR="005500AB">
        <w:t>2</w:t>
      </w:r>
      <w:r w:rsidRPr="00B1089D">
        <w:t xml:space="preserve">5, </w:t>
      </w:r>
      <w:proofErr w:type="spellStart"/>
      <w:r w:rsidRPr="00B1089D">
        <w:t>consistently</w:t>
      </w:r>
      <w:proofErr w:type="spellEnd"/>
      <w:r w:rsidRPr="00B1089D">
        <w:t xml:space="preserve"> </w:t>
      </w:r>
      <w:proofErr w:type="spellStart"/>
      <w:r w:rsidRPr="00B1089D">
        <w:t>emphasizes</w:t>
      </w:r>
      <w:proofErr w:type="spellEnd"/>
      <w:r w:rsidRPr="00B1089D">
        <w:t xml:space="preserve"> his </w:t>
      </w:r>
      <w:proofErr w:type="spellStart"/>
      <w:r w:rsidRPr="00B1089D">
        <w:t>determination</w:t>
      </w:r>
      <w:proofErr w:type="spellEnd"/>
      <w:r w:rsidRPr="00B1089D">
        <w:t xml:space="preserve"> </w:t>
      </w:r>
      <w:proofErr w:type="spellStart"/>
      <w:r w:rsidRPr="00B1089D">
        <w:t>to</w:t>
      </w:r>
      <w:proofErr w:type="spellEnd"/>
      <w:r w:rsidRPr="00B1089D">
        <w:t xml:space="preserve"> </w:t>
      </w:r>
      <w:proofErr w:type="spellStart"/>
      <w:r w:rsidRPr="00B1089D">
        <w:t>rebuild</w:t>
      </w:r>
      <w:proofErr w:type="spellEnd"/>
      <w:r w:rsidRPr="00B1089D">
        <w:t xml:space="preserve"> </w:t>
      </w:r>
      <w:proofErr w:type="spellStart"/>
      <w:r w:rsidRPr="00B1089D">
        <w:t>state</w:t>
      </w:r>
      <w:proofErr w:type="spellEnd"/>
      <w:r w:rsidRPr="00B1089D">
        <w:t xml:space="preserve"> </w:t>
      </w:r>
      <w:proofErr w:type="spellStart"/>
      <w:r w:rsidRPr="00B1089D">
        <w:t>institutions</w:t>
      </w:r>
      <w:proofErr w:type="spellEnd"/>
      <w:r w:rsidRPr="00B1089D">
        <w:t xml:space="preserve"> -</w:t>
      </w:r>
      <w:proofErr w:type="spellStart"/>
      <w:r w:rsidRPr="00B1089D">
        <w:t>particularly</w:t>
      </w:r>
      <w:proofErr w:type="spellEnd"/>
      <w:r w:rsidRPr="00B1089D">
        <w:t xml:space="preserve"> </w:t>
      </w:r>
      <w:proofErr w:type="spellStart"/>
      <w:r w:rsidRPr="00B1089D">
        <w:t>military</w:t>
      </w:r>
      <w:proofErr w:type="spellEnd"/>
      <w:r w:rsidRPr="00B1089D">
        <w:t xml:space="preserve"> </w:t>
      </w:r>
      <w:proofErr w:type="spellStart"/>
      <w:r w:rsidRPr="00B1089D">
        <w:t>and</w:t>
      </w:r>
      <w:proofErr w:type="spellEnd"/>
      <w:r w:rsidRPr="00B1089D">
        <w:t xml:space="preserve"> </w:t>
      </w:r>
      <w:proofErr w:type="spellStart"/>
      <w:r w:rsidRPr="00B1089D">
        <w:t>security</w:t>
      </w:r>
      <w:proofErr w:type="spellEnd"/>
      <w:r w:rsidRPr="00B1089D">
        <w:t xml:space="preserve"> </w:t>
      </w:r>
      <w:proofErr w:type="spellStart"/>
      <w:r w:rsidRPr="00B1089D">
        <w:t>apparatus</w:t>
      </w:r>
      <w:proofErr w:type="spellEnd"/>
      <w:r w:rsidRPr="00B1089D">
        <w:t xml:space="preserve">-, </w:t>
      </w:r>
      <w:proofErr w:type="spellStart"/>
      <w:r w:rsidRPr="00B1089D">
        <w:t>there</w:t>
      </w:r>
      <w:proofErr w:type="spellEnd"/>
      <w:r w:rsidRPr="00B1089D">
        <w:t xml:space="preserve"> </w:t>
      </w:r>
      <w:proofErr w:type="spellStart"/>
      <w:r w:rsidRPr="00B1089D">
        <w:t>are</w:t>
      </w:r>
      <w:proofErr w:type="spellEnd"/>
      <w:r w:rsidRPr="00B1089D">
        <w:t xml:space="preserve"> </w:t>
      </w:r>
      <w:proofErr w:type="spellStart"/>
      <w:r w:rsidRPr="00B1089D">
        <w:t>many</w:t>
      </w:r>
      <w:proofErr w:type="spellEnd"/>
      <w:r w:rsidRPr="00B1089D">
        <w:t xml:space="preserve"> </w:t>
      </w:r>
      <w:proofErr w:type="spellStart"/>
      <w:r w:rsidRPr="00B1089D">
        <w:t>obstacles</w:t>
      </w:r>
      <w:proofErr w:type="spellEnd"/>
      <w:r w:rsidRPr="00B1089D">
        <w:t xml:space="preserve"> in </w:t>
      </w:r>
      <w:proofErr w:type="spellStart"/>
      <w:r w:rsidRPr="00B1089D">
        <w:t>front</w:t>
      </w:r>
      <w:proofErr w:type="spellEnd"/>
      <w:r w:rsidRPr="00B1089D">
        <w:t xml:space="preserve"> of his </w:t>
      </w:r>
      <w:proofErr w:type="spellStart"/>
      <w:r w:rsidRPr="00B1089D">
        <w:t>state-building</w:t>
      </w:r>
      <w:proofErr w:type="spellEnd"/>
      <w:r w:rsidRPr="00B1089D">
        <w:t xml:space="preserve"> </w:t>
      </w:r>
      <w:proofErr w:type="spellStart"/>
      <w:r w:rsidRPr="00B1089D">
        <w:t>efforts</w:t>
      </w:r>
      <w:proofErr w:type="spellEnd"/>
      <w:r w:rsidRPr="00B1089D">
        <w:t xml:space="preserve"> </w:t>
      </w:r>
      <w:proofErr w:type="spellStart"/>
      <w:r w:rsidRPr="00B1089D">
        <w:t>such</w:t>
      </w:r>
      <w:proofErr w:type="spellEnd"/>
      <w:r w:rsidRPr="00B1089D">
        <w:t xml:space="preserve"> as </w:t>
      </w:r>
      <w:proofErr w:type="spellStart"/>
      <w:r w:rsidRPr="00B1089D">
        <w:t>YPG’s</w:t>
      </w:r>
      <w:proofErr w:type="spellEnd"/>
      <w:r w:rsidRPr="00B1089D">
        <w:t xml:space="preserve"> </w:t>
      </w:r>
      <w:proofErr w:type="spellStart"/>
      <w:r w:rsidRPr="00B1089D">
        <w:t>territorial</w:t>
      </w:r>
      <w:proofErr w:type="spellEnd"/>
      <w:r w:rsidRPr="00B1089D">
        <w:t xml:space="preserve"> </w:t>
      </w:r>
      <w:proofErr w:type="spellStart"/>
      <w:r w:rsidRPr="00B1089D">
        <w:t>control</w:t>
      </w:r>
      <w:proofErr w:type="spellEnd"/>
      <w:r w:rsidRPr="00B1089D">
        <w:t xml:space="preserve"> in </w:t>
      </w:r>
      <w:proofErr w:type="spellStart"/>
      <w:r w:rsidRPr="00B1089D">
        <w:t>the</w:t>
      </w:r>
      <w:proofErr w:type="spellEnd"/>
      <w:r w:rsidRPr="00B1089D">
        <w:t xml:space="preserve"> </w:t>
      </w:r>
      <w:proofErr w:type="spellStart"/>
      <w:r w:rsidRPr="00B1089D">
        <w:t>east</w:t>
      </w:r>
      <w:proofErr w:type="spellEnd"/>
      <w:r w:rsidRPr="00B1089D">
        <w:t xml:space="preserve"> of </w:t>
      </w:r>
      <w:proofErr w:type="spellStart"/>
      <w:r w:rsidRPr="00B1089D">
        <w:t>Euphrates</w:t>
      </w:r>
      <w:proofErr w:type="spellEnd"/>
      <w:r w:rsidRPr="00B1089D">
        <w:t xml:space="preserve"> </w:t>
      </w:r>
      <w:proofErr w:type="spellStart"/>
      <w:r w:rsidRPr="00B1089D">
        <w:t>River</w:t>
      </w:r>
      <w:proofErr w:type="spellEnd"/>
      <w:r w:rsidRPr="00B1089D">
        <w:t xml:space="preserve"> </w:t>
      </w:r>
      <w:proofErr w:type="spellStart"/>
      <w:r w:rsidRPr="00B1089D">
        <w:t>and</w:t>
      </w:r>
      <w:proofErr w:type="spellEnd"/>
      <w:r w:rsidRPr="00B1089D">
        <w:t xml:space="preserve"> </w:t>
      </w:r>
      <w:proofErr w:type="spellStart"/>
      <w:r w:rsidRPr="00B1089D">
        <w:t>non-compliance</w:t>
      </w:r>
      <w:proofErr w:type="spellEnd"/>
      <w:r w:rsidRPr="00B1089D">
        <w:t xml:space="preserve"> of </w:t>
      </w:r>
      <w:proofErr w:type="spellStart"/>
      <w:r w:rsidRPr="00B1089D">
        <w:t>some</w:t>
      </w:r>
      <w:proofErr w:type="spellEnd"/>
      <w:r w:rsidRPr="00B1089D">
        <w:t xml:space="preserve"> </w:t>
      </w:r>
      <w:proofErr w:type="spellStart"/>
      <w:r w:rsidRPr="00B1089D">
        <w:t>segments</w:t>
      </w:r>
      <w:proofErr w:type="spellEnd"/>
      <w:r w:rsidRPr="00B1089D">
        <w:t xml:space="preserve"> of </w:t>
      </w:r>
      <w:proofErr w:type="spellStart"/>
      <w:r w:rsidRPr="00B1089D">
        <w:t>the</w:t>
      </w:r>
      <w:proofErr w:type="spellEnd"/>
      <w:r w:rsidRPr="00B1089D">
        <w:t xml:space="preserve"> </w:t>
      </w:r>
      <w:proofErr w:type="spellStart"/>
      <w:r w:rsidRPr="00B1089D">
        <w:t>Syrian</w:t>
      </w:r>
      <w:proofErr w:type="spellEnd"/>
      <w:r w:rsidRPr="00B1089D">
        <w:t xml:space="preserve"> </w:t>
      </w:r>
      <w:proofErr w:type="spellStart"/>
      <w:r w:rsidRPr="00B1089D">
        <w:t>society</w:t>
      </w:r>
      <w:proofErr w:type="spellEnd"/>
      <w:r w:rsidRPr="00B1089D">
        <w:t xml:space="preserve"> </w:t>
      </w:r>
      <w:proofErr w:type="spellStart"/>
      <w:r w:rsidRPr="00B1089D">
        <w:t>such</w:t>
      </w:r>
      <w:proofErr w:type="spellEnd"/>
      <w:r w:rsidRPr="00B1089D">
        <w:t xml:space="preserve"> as </w:t>
      </w:r>
      <w:proofErr w:type="spellStart"/>
      <w:r w:rsidRPr="00B1089D">
        <w:t>the</w:t>
      </w:r>
      <w:proofErr w:type="spellEnd"/>
      <w:r w:rsidRPr="00B1089D">
        <w:t xml:space="preserve"> </w:t>
      </w:r>
      <w:proofErr w:type="spellStart"/>
      <w:r w:rsidRPr="00B1089D">
        <w:t>Druze</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new</w:t>
      </w:r>
      <w:proofErr w:type="spellEnd"/>
      <w:r w:rsidRPr="00B1089D">
        <w:t xml:space="preserve"> </w:t>
      </w:r>
      <w:proofErr w:type="spellStart"/>
      <w:r w:rsidRPr="00B1089D">
        <w:t>government</w:t>
      </w:r>
      <w:proofErr w:type="spellEnd"/>
      <w:r w:rsidRPr="00B1089D">
        <w:t xml:space="preserve">. </w:t>
      </w:r>
      <w:proofErr w:type="spellStart"/>
      <w:r w:rsidRPr="00B1089D">
        <w:t>This</w:t>
      </w:r>
      <w:proofErr w:type="spellEnd"/>
      <w:r w:rsidRPr="00B1089D">
        <w:t xml:space="preserve"> </w:t>
      </w:r>
      <w:proofErr w:type="spellStart"/>
      <w:r w:rsidRPr="00B1089D">
        <w:t>paper</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analyze</w:t>
      </w:r>
      <w:proofErr w:type="spellEnd"/>
      <w:r w:rsidRPr="00B1089D">
        <w:t xml:space="preserve"> </w:t>
      </w:r>
      <w:proofErr w:type="spellStart"/>
      <w:r w:rsidRPr="00B1089D">
        <w:t>the</w:t>
      </w:r>
      <w:proofErr w:type="spellEnd"/>
      <w:r w:rsidRPr="00B1089D">
        <w:t xml:space="preserve"> </w:t>
      </w:r>
      <w:proofErr w:type="spellStart"/>
      <w:r w:rsidRPr="00B1089D">
        <w:t>trajectory</w:t>
      </w:r>
      <w:proofErr w:type="spellEnd"/>
      <w:r w:rsidRPr="00B1089D">
        <w:t xml:space="preserve"> post-</w:t>
      </w:r>
      <w:proofErr w:type="spellStart"/>
      <w:r w:rsidRPr="00B1089D">
        <w:t>Baath</w:t>
      </w:r>
      <w:proofErr w:type="spellEnd"/>
      <w:r w:rsidRPr="00B1089D">
        <w:t xml:space="preserve"> </w:t>
      </w:r>
      <w:proofErr w:type="spellStart"/>
      <w:r w:rsidRPr="00B1089D">
        <w:t>state</w:t>
      </w:r>
      <w:proofErr w:type="spellEnd"/>
      <w:r w:rsidRPr="00B1089D">
        <w:t xml:space="preserve"> </w:t>
      </w:r>
      <w:proofErr w:type="spellStart"/>
      <w:r w:rsidRPr="00B1089D">
        <w:t>formation</w:t>
      </w:r>
      <w:proofErr w:type="spellEnd"/>
      <w:r w:rsidRPr="00B1089D">
        <w:t xml:space="preserve"> in </w:t>
      </w:r>
      <w:proofErr w:type="spellStart"/>
      <w:r w:rsidRPr="00B1089D">
        <w:t>Syria</w:t>
      </w:r>
      <w:proofErr w:type="spellEnd"/>
      <w:r w:rsidRPr="00B1089D">
        <w:t xml:space="preserve"> </w:t>
      </w:r>
      <w:proofErr w:type="spellStart"/>
      <w:r w:rsidRPr="00B1089D">
        <w:t>from</w:t>
      </w:r>
      <w:proofErr w:type="spellEnd"/>
      <w:r w:rsidRPr="00B1089D">
        <w:t xml:space="preserve"> a </w:t>
      </w:r>
      <w:proofErr w:type="spellStart"/>
      <w:r w:rsidRPr="00B1089D">
        <w:t>Historical</w:t>
      </w:r>
      <w:proofErr w:type="spellEnd"/>
      <w:r w:rsidRPr="00B1089D">
        <w:t xml:space="preserve"> </w:t>
      </w:r>
      <w:proofErr w:type="spellStart"/>
      <w:r w:rsidRPr="00B1089D">
        <w:t>Sociological</w:t>
      </w:r>
      <w:proofErr w:type="spellEnd"/>
      <w:r w:rsidRPr="00B1089D">
        <w:t xml:space="preserve"> </w:t>
      </w:r>
      <w:proofErr w:type="spellStart"/>
      <w:r w:rsidRPr="00B1089D">
        <w:t>perspective</w:t>
      </w:r>
      <w:proofErr w:type="spellEnd"/>
      <w:r w:rsidRPr="00B1089D">
        <w:t xml:space="preserve">. </w:t>
      </w:r>
      <w:proofErr w:type="spellStart"/>
      <w:r w:rsidRPr="00B1089D">
        <w:t>By</w:t>
      </w:r>
      <w:proofErr w:type="spellEnd"/>
      <w:r w:rsidRPr="00B1089D">
        <w:t xml:space="preserve"> </w:t>
      </w:r>
      <w:proofErr w:type="spellStart"/>
      <w:r w:rsidRPr="00B1089D">
        <w:t>deploying</w:t>
      </w:r>
      <w:proofErr w:type="spellEnd"/>
      <w:r w:rsidRPr="00B1089D">
        <w:t xml:space="preserve"> </w:t>
      </w:r>
      <w:proofErr w:type="spellStart"/>
      <w:r w:rsidRPr="00B1089D">
        <w:t>Adham</w:t>
      </w:r>
      <w:proofErr w:type="spellEnd"/>
      <w:r w:rsidRPr="00B1089D">
        <w:t xml:space="preserve"> </w:t>
      </w:r>
      <w:proofErr w:type="spellStart"/>
      <w:r w:rsidRPr="00B1089D">
        <w:t>Saouli’s</w:t>
      </w:r>
      <w:proofErr w:type="spellEnd"/>
      <w:r w:rsidRPr="00B1089D">
        <w:t xml:space="preserve"> (2012) </w:t>
      </w:r>
      <w:proofErr w:type="spellStart"/>
      <w:r w:rsidRPr="00B1089D">
        <w:t>conceptualization</w:t>
      </w:r>
      <w:proofErr w:type="spellEnd"/>
      <w:r w:rsidRPr="00B1089D">
        <w:t xml:space="preserve"> of “</w:t>
      </w:r>
      <w:proofErr w:type="spellStart"/>
      <w:r w:rsidRPr="00B1089D">
        <w:t>social</w:t>
      </w:r>
      <w:proofErr w:type="spellEnd"/>
      <w:r w:rsidRPr="00B1089D">
        <w:t xml:space="preserve"> </w:t>
      </w:r>
      <w:proofErr w:type="spellStart"/>
      <w:r w:rsidRPr="00B1089D">
        <w:t>field</w:t>
      </w:r>
      <w:proofErr w:type="spellEnd"/>
      <w:r w:rsidRPr="00B1089D">
        <w:t xml:space="preserve">”, </w:t>
      </w:r>
      <w:proofErr w:type="spellStart"/>
      <w:r w:rsidRPr="00B1089D">
        <w:t>the</w:t>
      </w:r>
      <w:proofErr w:type="spellEnd"/>
      <w:r w:rsidRPr="00B1089D">
        <w:t xml:space="preserve"> </w:t>
      </w:r>
      <w:proofErr w:type="spellStart"/>
      <w:r w:rsidRPr="00B1089D">
        <w:t>paper</w:t>
      </w:r>
      <w:proofErr w:type="spellEnd"/>
      <w:r w:rsidRPr="00B1089D">
        <w:t xml:space="preserve"> </w:t>
      </w:r>
      <w:proofErr w:type="spellStart"/>
      <w:r w:rsidRPr="00B1089D">
        <w:t>will</w:t>
      </w:r>
      <w:proofErr w:type="spellEnd"/>
      <w:r w:rsidRPr="00B1089D">
        <w:t xml:space="preserve"> </w:t>
      </w:r>
      <w:proofErr w:type="spellStart"/>
      <w:r w:rsidRPr="00B1089D">
        <w:t>focus</w:t>
      </w:r>
      <w:proofErr w:type="spellEnd"/>
      <w:r w:rsidRPr="00B1089D">
        <w:t xml:space="preserve"> on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socio-cultural</w:t>
      </w:r>
      <w:proofErr w:type="spellEnd"/>
      <w:r w:rsidRPr="00B1089D">
        <w:t xml:space="preserve"> </w:t>
      </w:r>
      <w:proofErr w:type="spellStart"/>
      <w:r w:rsidRPr="00B1089D">
        <w:t>structures</w:t>
      </w:r>
      <w:proofErr w:type="spellEnd"/>
      <w:r w:rsidRPr="00B1089D">
        <w:t xml:space="preserve"> </w:t>
      </w:r>
      <w:proofErr w:type="spellStart"/>
      <w:r w:rsidRPr="00B1089D">
        <w:t>and</w:t>
      </w:r>
      <w:proofErr w:type="spellEnd"/>
      <w:r w:rsidRPr="00B1089D">
        <w:t xml:space="preserve"> </w:t>
      </w:r>
      <w:proofErr w:type="spellStart"/>
      <w:r w:rsidRPr="00B1089D">
        <w:t>institution-building</w:t>
      </w:r>
      <w:proofErr w:type="spellEnd"/>
      <w:r w:rsidRPr="00B1089D">
        <w:t xml:space="preserve"> </w:t>
      </w:r>
      <w:proofErr w:type="spellStart"/>
      <w:r w:rsidRPr="00B1089D">
        <w:t>processes</w:t>
      </w:r>
      <w:proofErr w:type="spellEnd"/>
      <w:r w:rsidRPr="00B1089D">
        <w:t xml:space="preserve">. </w:t>
      </w:r>
      <w:proofErr w:type="spellStart"/>
      <w:r w:rsidRPr="00B1089D">
        <w:t>In</w:t>
      </w:r>
      <w:proofErr w:type="spellEnd"/>
      <w:r w:rsidRPr="00B1089D">
        <w:t xml:space="preserve"> </w:t>
      </w:r>
      <w:proofErr w:type="spellStart"/>
      <w:r w:rsidRPr="00B1089D">
        <w:t>that</w:t>
      </w:r>
      <w:proofErr w:type="spellEnd"/>
      <w:r w:rsidRPr="00B1089D">
        <w:t xml:space="preserve"> </w:t>
      </w:r>
      <w:proofErr w:type="spellStart"/>
      <w:r w:rsidRPr="00B1089D">
        <w:t>regard</w:t>
      </w:r>
      <w:proofErr w:type="spellEnd"/>
      <w:r w:rsidRPr="00B1089D">
        <w:t xml:space="preserve">, it </w:t>
      </w:r>
      <w:proofErr w:type="spellStart"/>
      <w:r w:rsidRPr="00B1089D">
        <w:t>will</w:t>
      </w:r>
      <w:proofErr w:type="spellEnd"/>
      <w:r w:rsidRPr="00B1089D">
        <w:t xml:space="preserve"> be </w:t>
      </w:r>
      <w:proofErr w:type="spellStart"/>
      <w:r w:rsidRPr="00B1089D">
        <w:t>pointed</w:t>
      </w:r>
      <w:proofErr w:type="spellEnd"/>
      <w:r w:rsidRPr="00B1089D">
        <w:t xml:space="preserve"> </w:t>
      </w:r>
      <w:proofErr w:type="spellStart"/>
      <w:r w:rsidRPr="00B1089D">
        <w:t>out</w:t>
      </w:r>
      <w:proofErr w:type="spellEnd"/>
      <w:r w:rsidRPr="00B1089D">
        <w:t xml:space="preserve"> </w:t>
      </w:r>
      <w:proofErr w:type="spellStart"/>
      <w:r w:rsidRPr="00B1089D">
        <w:t>that</w:t>
      </w:r>
      <w:proofErr w:type="spellEnd"/>
      <w:r w:rsidRPr="00B1089D">
        <w:t xml:space="preserve"> HTS-led </w:t>
      </w:r>
      <w:proofErr w:type="spellStart"/>
      <w:r w:rsidRPr="00B1089D">
        <w:t>Sunni</w:t>
      </w:r>
      <w:proofErr w:type="spellEnd"/>
      <w:r w:rsidRPr="00B1089D">
        <w:t xml:space="preserve"> </w:t>
      </w:r>
      <w:proofErr w:type="spellStart"/>
      <w:r w:rsidRPr="00B1089D">
        <w:t>rebel</w:t>
      </w:r>
      <w:proofErr w:type="spellEnd"/>
      <w:r w:rsidRPr="00B1089D">
        <w:t xml:space="preserve"> </w:t>
      </w:r>
      <w:proofErr w:type="spellStart"/>
      <w:r w:rsidRPr="00B1089D">
        <w:t>groups</w:t>
      </w:r>
      <w:proofErr w:type="spellEnd"/>
      <w:r w:rsidRPr="00B1089D">
        <w:t xml:space="preserve"> </w:t>
      </w:r>
      <w:proofErr w:type="spellStart"/>
      <w:r w:rsidRPr="00B1089D">
        <w:t>emerged</w:t>
      </w:r>
      <w:proofErr w:type="spellEnd"/>
      <w:r w:rsidRPr="00B1089D">
        <w:t xml:space="preserve"> as </w:t>
      </w:r>
      <w:proofErr w:type="spellStart"/>
      <w:r w:rsidRPr="00B1089D">
        <w:t>the</w:t>
      </w:r>
      <w:proofErr w:type="spellEnd"/>
      <w:r w:rsidRPr="00B1089D">
        <w:t xml:space="preserve"> </w:t>
      </w:r>
      <w:proofErr w:type="gramStart"/>
      <w:r w:rsidRPr="00B1089D">
        <w:t>dominant</w:t>
      </w:r>
      <w:proofErr w:type="gramEnd"/>
      <w:r w:rsidRPr="00B1089D">
        <w:t xml:space="preserve"> </w:t>
      </w:r>
      <w:proofErr w:type="spellStart"/>
      <w:r w:rsidRPr="00B1089D">
        <w:t>social</w:t>
      </w:r>
      <w:proofErr w:type="spellEnd"/>
      <w:r w:rsidRPr="00B1089D">
        <w:t xml:space="preserve"> </w:t>
      </w:r>
      <w:proofErr w:type="spellStart"/>
      <w:r w:rsidRPr="00B1089D">
        <w:t>force</w:t>
      </w:r>
      <w:proofErr w:type="spellEnd"/>
      <w:r w:rsidRPr="00B1089D">
        <w:t xml:space="preserve"> in </w:t>
      </w:r>
      <w:proofErr w:type="spellStart"/>
      <w:r w:rsidRPr="00B1089D">
        <w:t>Syria</w:t>
      </w:r>
      <w:proofErr w:type="spellEnd"/>
      <w:r w:rsidRPr="00B1089D">
        <w:t xml:space="preserve">, yet </w:t>
      </w:r>
      <w:proofErr w:type="spellStart"/>
      <w:r w:rsidRPr="00B1089D">
        <w:t>their</w:t>
      </w:r>
      <w:proofErr w:type="spellEnd"/>
      <w:r w:rsidRPr="00B1089D">
        <w:t xml:space="preserve"> </w:t>
      </w:r>
      <w:proofErr w:type="spellStart"/>
      <w:r w:rsidRPr="00B1089D">
        <w:t>ability</w:t>
      </w:r>
      <w:proofErr w:type="spellEnd"/>
      <w:r w:rsidRPr="00B1089D">
        <w:t xml:space="preserve"> </w:t>
      </w:r>
      <w:proofErr w:type="spellStart"/>
      <w:r w:rsidRPr="00B1089D">
        <w:t>to</w:t>
      </w:r>
      <w:proofErr w:type="spellEnd"/>
      <w:r w:rsidRPr="00B1089D">
        <w:t xml:space="preserve"> </w:t>
      </w:r>
      <w:proofErr w:type="spellStart"/>
      <w:r w:rsidRPr="00B1089D">
        <w:t>build</w:t>
      </w:r>
      <w:proofErr w:type="spellEnd"/>
      <w:r w:rsidRPr="00B1089D">
        <w:t xml:space="preserve"> post-</w:t>
      </w:r>
      <w:proofErr w:type="spellStart"/>
      <w:r w:rsidRPr="00B1089D">
        <w:t>Baath</w:t>
      </w:r>
      <w:proofErr w:type="spellEnd"/>
      <w:r w:rsidRPr="00B1089D">
        <w:t xml:space="preserve"> </w:t>
      </w:r>
      <w:proofErr w:type="spellStart"/>
      <w:r w:rsidRPr="00B1089D">
        <w:t>state</w:t>
      </w:r>
      <w:proofErr w:type="spellEnd"/>
      <w:r w:rsidRPr="00B1089D">
        <w:t xml:space="preserve"> </w:t>
      </w:r>
      <w:proofErr w:type="spellStart"/>
      <w:r w:rsidRPr="00B1089D">
        <w:t>will</w:t>
      </w:r>
      <w:proofErr w:type="spellEnd"/>
      <w:r w:rsidRPr="00B1089D">
        <w:t xml:space="preserve"> </w:t>
      </w:r>
      <w:proofErr w:type="spellStart"/>
      <w:r w:rsidRPr="00B1089D">
        <w:t>depend</w:t>
      </w:r>
      <w:proofErr w:type="spellEnd"/>
      <w:r w:rsidRPr="00B1089D">
        <w:t xml:space="preserve"> on </w:t>
      </w:r>
      <w:proofErr w:type="spellStart"/>
      <w:r w:rsidRPr="00B1089D">
        <w:t>monopolization</w:t>
      </w:r>
      <w:proofErr w:type="spellEnd"/>
      <w:r w:rsidRPr="00B1089D">
        <w:t xml:space="preserve"> in </w:t>
      </w:r>
      <w:proofErr w:type="spellStart"/>
      <w:r w:rsidRPr="00B1089D">
        <w:t>three</w:t>
      </w:r>
      <w:proofErr w:type="spellEnd"/>
      <w:r w:rsidRPr="00B1089D">
        <w:t xml:space="preserve"> </w:t>
      </w:r>
      <w:proofErr w:type="spellStart"/>
      <w:r w:rsidRPr="00B1089D">
        <w:t>domains</w:t>
      </w:r>
      <w:proofErr w:type="spellEnd"/>
      <w:r w:rsidRPr="00B1089D">
        <w:t xml:space="preserve">: </w:t>
      </w:r>
      <w:proofErr w:type="spellStart"/>
      <w:r w:rsidRPr="00B1089D">
        <w:t>coercion</w:t>
      </w:r>
      <w:proofErr w:type="spellEnd"/>
      <w:r w:rsidRPr="00B1089D">
        <w:t xml:space="preserve">, </w:t>
      </w:r>
      <w:proofErr w:type="spellStart"/>
      <w:r w:rsidRPr="00B1089D">
        <w:t>ideology</w:t>
      </w:r>
      <w:proofErr w:type="spellEnd"/>
      <w:r w:rsidRPr="00B1089D">
        <w:t xml:space="preserve"> </w:t>
      </w:r>
      <w:proofErr w:type="spellStart"/>
      <w:r w:rsidRPr="00B1089D">
        <w:t>and</w:t>
      </w:r>
      <w:proofErr w:type="spellEnd"/>
      <w:r w:rsidRPr="00B1089D">
        <w:t xml:space="preserve"> </w:t>
      </w:r>
      <w:proofErr w:type="spellStart"/>
      <w:r w:rsidRPr="00B1089D">
        <w:t>economy</w:t>
      </w:r>
      <w:proofErr w:type="spellEnd"/>
      <w:r w:rsidRPr="00B1089D">
        <w:t xml:space="preserve">. </w:t>
      </w:r>
      <w:proofErr w:type="spellStart"/>
      <w:r w:rsidRPr="00B1089D">
        <w:t>The</w:t>
      </w:r>
      <w:proofErr w:type="spellEnd"/>
      <w:r w:rsidRPr="00B1089D">
        <w:t xml:space="preserve"> </w:t>
      </w:r>
      <w:proofErr w:type="spellStart"/>
      <w:r w:rsidRPr="00B1089D">
        <w:t>paper</w:t>
      </w:r>
      <w:proofErr w:type="spellEnd"/>
      <w:r w:rsidRPr="00B1089D">
        <w:t xml:space="preserve"> </w:t>
      </w:r>
      <w:proofErr w:type="spellStart"/>
      <w:r w:rsidRPr="00B1089D">
        <w:t>will</w:t>
      </w:r>
      <w:proofErr w:type="spellEnd"/>
      <w:r w:rsidRPr="00B1089D">
        <w:t xml:space="preserve"> </w:t>
      </w:r>
      <w:proofErr w:type="spellStart"/>
      <w:r w:rsidRPr="00B1089D">
        <w:t>argue</w:t>
      </w:r>
      <w:proofErr w:type="spellEnd"/>
      <w:r w:rsidRPr="00B1089D">
        <w:t xml:space="preserve"> </w:t>
      </w:r>
      <w:proofErr w:type="spellStart"/>
      <w:r w:rsidRPr="00B1089D">
        <w:t>that</w:t>
      </w:r>
      <w:proofErr w:type="spellEnd"/>
      <w:r w:rsidRPr="00B1089D">
        <w:t xml:space="preserve"> </w:t>
      </w:r>
      <w:proofErr w:type="spellStart"/>
      <w:r w:rsidRPr="00B1089D">
        <w:t>ethnic</w:t>
      </w:r>
      <w:proofErr w:type="spellEnd"/>
      <w:r w:rsidRPr="00B1089D">
        <w:t xml:space="preserve"> </w:t>
      </w:r>
      <w:proofErr w:type="spellStart"/>
      <w:r w:rsidRPr="00B1089D">
        <w:t>and</w:t>
      </w:r>
      <w:proofErr w:type="spellEnd"/>
      <w:r w:rsidRPr="00B1089D">
        <w:t xml:space="preserve"> </w:t>
      </w:r>
      <w:proofErr w:type="spellStart"/>
      <w:r w:rsidRPr="00B1089D">
        <w:t>sectarian</w:t>
      </w:r>
      <w:proofErr w:type="spellEnd"/>
      <w:r w:rsidRPr="00B1089D">
        <w:t xml:space="preserve"> </w:t>
      </w:r>
      <w:proofErr w:type="spellStart"/>
      <w:r w:rsidRPr="00B1089D">
        <w:t>cleavages</w:t>
      </w:r>
      <w:proofErr w:type="spellEnd"/>
      <w:r w:rsidRPr="00B1089D">
        <w:t xml:space="preserve"> </w:t>
      </w:r>
      <w:proofErr w:type="spellStart"/>
      <w:r w:rsidRPr="00B1089D">
        <w:t>will</w:t>
      </w:r>
      <w:proofErr w:type="spellEnd"/>
      <w:r w:rsidRPr="00B1089D">
        <w:t xml:space="preserve"> be </w:t>
      </w:r>
      <w:proofErr w:type="spellStart"/>
      <w:r w:rsidRPr="00B1089D">
        <w:t>the</w:t>
      </w:r>
      <w:proofErr w:type="spellEnd"/>
      <w:r w:rsidRPr="00B1089D">
        <w:t xml:space="preserve"> </w:t>
      </w:r>
      <w:proofErr w:type="spellStart"/>
      <w:r w:rsidRPr="00B1089D">
        <w:t>biggest</w:t>
      </w:r>
      <w:proofErr w:type="spellEnd"/>
      <w:r w:rsidRPr="00B1089D">
        <w:t xml:space="preserve"> </w:t>
      </w:r>
      <w:proofErr w:type="spellStart"/>
      <w:r w:rsidRPr="00B1089D">
        <w:t>obstacles</w:t>
      </w:r>
      <w:proofErr w:type="spellEnd"/>
      <w:r w:rsidRPr="00B1089D">
        <w:t xml:space="preserve"> in </w:t>
      </w:r>
      <w:proofErr w:type="spellStart"/>
      <w:r w:rsidRPr="00B1089D">
        <w:t>front</w:t>
      </w:r>
      <w:proofErr w:type="spellEnd"/>
      <w:r w:rsidRPr="00B1089D">
        <w:t xml:space="preserve"> of </w:t>
      </w:r>
      <w:proofErr w:type="spellStart"/>
      <w:r w:rsidRPr="00B1089D">
        <w:t>power</w:t>
      </w:r>
      <w:proofErr w:type="spellEnd"/>
      <w:r w:rsidRPr="00B1089D">
        <w:t xml:space="preserve"> </w:t>
      </w:r>
      <w:proofErr w:type="spellStart"/>
      <w:r w:rsidRPr="00B1089D">
        <w:t>monopolization</w:t>
      </w:r>
      <w:proofErr w:type="spellEnd"/>
      <w:r w:rsidRPr="00B1089D">
        <w:t xml:space="preserve"> </w:t>
      </w:r>
      <w:proofErr w:type="spellStart"/>
      <w:r w:rsidRPr="00B1089D">
        <w:t>by</w:t>
      </w:r>
      <w:proofErr w:type="spellEnd"/>
      <w:r w:rsidRPr="00B1089D">
        <w:t xml:space="preserve"> HTS-led </w:t>
      </w:r>
      <w:proofErr w:type="spellStart"/>
      <w:r w:rsidRPr="00B1089D">
        <w:t>opposition</w:t>
      </w:r>
      <w:proofErr w:type="spellEnd"/>
      <w:r w:rsidRPr="00B1089D">
        <w:t xml:space="preserve"> </w:t>
      </w:r>
      <w:proofErr w:type="spellStart"/>
      <w:r w:rsidRPr="00B1089D">
        <w:t>groups</w:t>
      </w:r>
      <w:proofErr w:type="spellEnd"/>
      <w:r w:rsidRPr="00B1089D">
        <w:t xml:space="preserve">. </w:t>
      </w:r>
      <w:proofErr w:type="spellStart"/>
      <w:r w:rsidRPr="00B1089D">
        <w:t>The</w:t>
      </w:r>
      <w:proofErr w:type="spellEnd"/>
      <w:r w:rsidRPr="00B1089D">
        <w:t xml:space="preserve"> </w:t>
      </w:r>
      <w:proofErr w:type="spellStart"/>
      <w:r w:rsidRPr="00B1089D">
        <w:t>paper</w:t>
      </w:r>
      <w:proofErr w:type="spellEnd"/>
      <w:r w:rsidRPr="00B1089D">
        <w:t xml:space="preserve"> </w:t>
      </w:r>
      <w:proofErr w:type="spellStart"/>
      <w:r w:rsidRPr="00B1089D">
        <w:t>will</w:t>
      </w:r>
      <w:proofErr w:type="spellEnd"/>
      <w:r w:rsidRPr="00B1089D">
        <w:t xml:space="preserve"> </w:t>
      </w:r>
      <w:proofErr w:type="spellStart"/>
      <w:r w:rsidRPr="00B1089D">
        <w:t>also</w:t>
      </w:r>
      <w:proofErr w:type="spellEnd"/>
      <w:r w:rsidRPr="00B1089D">
        <w:t xml:space="preserve"> put </w:t>
      </w:r>
      <w:proofErr w:type="spellStart"/>
      <w:r w:rsidRPr="00B1089D">
        <w:t>forward</w:t>
      </w:r>
      <w:proofErr w:type="spellEnd"/>
      <w:r w:rsidRPr="00B1089D">
        <w:t xml:space="preserve"> </w:t>
      </w:r>
      <w:proofErr w:type="spellStart"/>
      <w:r w:rsidRPr="00B1089D">
        <w:t>that</w:t>
      </w:r>
      <w:proofErr w:type="spellEnd"/>
      <w:r w:rsidRPr="00B1089D">
        <w:t xml:space="preserve"> </w:t>
      </w:r>
      <w:proofErr w:type="spellStart"/>
      <w:r w:rsidRPr="00B1089D">
        <w:t>satisfaction</w:t>
      </w:r>
      <w:proofErr w:type="spellEnd"/>
      <w:r w:rsidRPr="00B1089D">
        <w:t xml:space="preserve"> of </w:t>
      </w:r>
      <w:proofErr w:type="spellStart"/>
      <w:r w:rsidRPr="00B1089D">
        <w:t>other</w:t>
      </w:r>
      <w:proofErr w:type="spellEnd"/>
      <w:r w:rsidRPr="00B1089D">
        <w:t xml:space="preserve"> </w:t>
      </w:r>
      <w:proofErr w:type="spellStart"/>
      <w:r w:rsidRPr="00B1089D">
        <w:t>social</w:t>
      </w:r>
      <w:proofErr w:type="spellEnd"/>
      <w:r w:rsidRPr="00B1089D">
        <w:t xml:space="preserve"> </w:t>
      </w:r>
      <w:proofErr w:type="spellStart"/>
      <w:r w:rsidRPr="00B1089D">
        <w:t>forces</w:t>
      </w:r>
      <w:proofErr w:type="spellEnd"/>
      <w:r w:rsidRPr="00B1089D">
        <w:t xml:space="preserve"> in </w:t>
      </w:r>
      <w:proofErr w:type="spellStart"/>
      <w:r w:rsidRPr="00B1089D">
        <w:t>political</w:t>
      </w:r>
      <w:proofErr w:type="spellEnd"/>
      <w:r w:rsidRPr="00B1089D">
        <w:t xml:space="preserve"> domain </w:t>
      </w:r>
      <w:proofErr w:type="spellStart"/>
      <w:r w:rsidRPr="00B1089D">
        <w:t>such</w:t>
      </w:r>
      <w:proofErr w:type="spellEnd"/>
      <w:r w:rsidRPr="00B1089D">
        <w:t xml:space="preserve"> as </w:t>
      </w:r>
      <w:proofErr w:type="spellStart"/>
      <w:r w:rsidRPr="00B1089D">
        <w:t>the</w:t>
      </w:r>
      <w:proofErr w:type="spellEnd"/>
      <w:r w:rsidRPr="00B1089D">
        <w:t xml:space="preserve"> </w:t>
      </w:r>
      <w:proofErr w:type="spellStart"/>
      <w:r w:rsidRPr="00B1089D">
        <w:t>Alawites</w:t>
      </w:r>
      <w:proofErr w:type="spellEnd"/>
      <w:r w:rsidRPr="00B1089D">
        <w:t xml:space="preserve">, </w:t>
      </w:r>
      <w:proofErr w:type="spellStart"/>
      <w:r w:rsidRPr="00B1089D">
        <w:t>the</w:t>
      </w:r>
      <w:proofErr w:type="spellEnd"/>
      <w:r w:rsidRPr="00B1089D">
        <w:t xml:space="preserve"> </w:t>
      </w:r>
      <w:proofErr w:type="spellStart"/>
      <w:r w:rsidRPr="00B1089D">
        <w:t>Druze</w:t>
      </w:r>
      <w:proofErr w:type="spellEnd"/>
      <w:r w:rsidRPr="00B1089D">
        <w:t xml:space="preserve">, </w:t>
      </w:r>
      <w:proofErr w:type="spellStart"/>
      <w:r w:rsidRPr="00B1089D">
        <w:t>the</w:t>
      </w:r>
      <w:proofErr w:type="spellEnd"/>
      <w:r w:rsidRPr="00B1089D">
        <w:t xml:space="preserve"> </w:t>
      </w:r>
      <w:proofErr w:type="spellStart"/>
      <w:r w:rsidRPr="00B1089D">
        <w:t>Kurds</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Christians </w:t>
      </w:r>
      <w:proofErr w:type="spellStart"/>
      <w:r w:rsidRPr="00B1089D">
        <w:t>via</w:t>
      </w:r>
      <w:proofErr w:type="spellEnd"/>
      <w:r w:rsidRPr="00B1089D">
        <w:t xml:space="preserve"> a </w:t>
      </w:r>
      <w:proofErr w:type="spellStart"/>
      <w:r w:rsidRPr="00B1089D">
        <w:t>comprehensive</w:t>
      </w:r>
      <w:proofErr w:type="spellEnd"/>
      <w:r w:rsidRPr="00B1089D">
        <w:t xml:space="preserve"> </w:t>
      </w:r>
      <w:proofErr w:type="spellStart"/>
      <w:r w:rsidRPr="00B1089D">
        <w:t>and</w:t>
      </w:r>
      <w:proofErr w:type="spellEnd"/>
      <w:r w:rsidRPr="00B1089D">
        <w:t xml:space="preserve"> </w:t>
      </w:r>
      <w:proofErr w:type="spellStart"/>
      <w:r w:rsidRPr="00B1089D">
        <w:t>pluralist</w:t>
      </w:r>
      <w:proofErr w:type="spellEnd"/>
      <w:r w:rsidRPr="00B1089D">
        <w:t xml:space="preserve"> </w:t>
      </w:r>
      <w:proofErr w:type="spellStart"/>
      <w:r w:rsidRPr="00B1089D">
        <w:t>political</w:t>
      </w:r>
      <w:proofErr w:type="spellEnd"/>
      <w:r w:rsidRPr="00B1089D">
        <w:t xml:space="preserve"> </w:t>
      </w:r>
      <w:proofErr w:type="spellStart"/>
      <w:r w:rsidRPr="00B1089D">
        <w:t>system</w:t>
      </w:r>
      <w:proofErr w:type="spellEnd"/>
      <w:r w:rsidRPr="00B1089D">
        <w:t xml:space="preserve"> </w:t>
      </w:r>
      <w:proofErr w:type="spellStart"/>
      <w:r w:rsidRPr="00B1089D">
        <w:t>will</w:t>
      </w:r>
      <w:proofErr w:type="spellEnd"/>
      <w:r w:rsidRPr="00B1089D">
        <w:t xml:space="preserve"> be </w:t>
      </w:r>
      <w:proofErr w:type="spellStart"/>
      <w:r w:rsidRPr="00B1089D">
        <w:t>essential</w:t>
      </w:r>
      <w:proofErr w:type="spellEnd"/>
      <w:r w:rsidRPr="00B1089D">
        <w:t xml:space="preserve"> </w:t>
      </w:r>
      <w:proofErr w:type="spellStart"/>
      <w:r w:rsidRPr="00B1089D">
        <w:t>to</w:t>
      </w:r>
      <w:proofErr w:type="spellEnd"/>
      <w:r w:rsidRPr="00B1089D">
        <w:t xml:space="preserve"> </w:t>
      </w:r>
      <w:proofErr w:type="spellStart"/>
      <w:r w:rsidRPr="00B1089D">
        <w:t>state</w:t>
      </w:r>
      <w:proofErr w:type="spellEnd"/>
      <w:r w:rsidRPr="00B1089D">
        <w:t xml:space="preserve"> </w:t>
      </w:r>
      <w:proofErr w:type="spellStart"/>
      <w:r w:rsidRPr="00B1089D">
        <w:t>formation</w:t>
      </w:r>
      <w:proofErr w:type="spellEnd"/>
      <w:r w:rsidRPr="00B1089D">
        <w:t xml:space="preserve"> in post-</w:t>
      </w:r>
      <w:proofErr w:type="spellStart"/>
      <w:r w:rsidRPr="00B1089D">
        <w:t>Baath</w:t>
      </w:r>
      <w:proofErr w:type="spellEnd"/>
      <w:r w:rsidRPr="00B1089D">
        <w:t xml:space="preserve"> </w:t>
      </w:r>
      <w:proofErr w:type="spellStart"/>
      <w:r w:rsidRPr="00B1089D">
        <w:t>Syria</w:t>
      </w:r>
      <w:proofErr w:type="spellEnd"/>
      <w:r w:rsidRPr="00B1089D">
        <w:t>.</w:t>
      </w:r>
    </w:p>
    <w:p w14:paraId="2A5DC3AB" w14:textId="77777777" w:rsidR="00FA457D" w:rsidRPr="00B1089D" w:rsidRDefault="00FA457D" w:rsidP="000958A4">
      <w:pPr>
        <w:widowControl/>
        <w:jc w:val="both"/>
      </w:pPr>
    </w:p>
    <w:p w14:paraId="6A284891" w14:textId="2A4BC859" w:rsidR="00D37D80" w:rsidRDefault="00FA457D" w:rsidP="000958A4">
      <w:pPr>
        <w:widowControl/>
        <w:jc w:val="both"/>
      </w:pPr>
      <w:proofErr w:type="spellStart"/>
      <w:r w:rsidRPr="00B1089D">
        <w:rPr>
          <w:b/>
          <w:bCs/>
        </w:rPr>
        <w:t>Key</w:t>
      </w:r>
      <w:r>
        <w:rPr>
          <w:b/>
          <w:bCs/>
        </w:rPr>
        <w:t>w</w:t>
      </w:r>
      <w:r w:rsidRPr="00B1089D">
        <w:rPr>
          <w:b/>
          <w:bCs/>
        </w:rPr>
        <w:t>ords</w:t>
      </w:r>
      <w:proofErr w:type="spellEnd"/>
      <w:r w:rsidRPr="00B1089D">
        <w:rPr>
          <w:b/>
          <w:bCs/>
        </w:rPr>
        <w:t xml:space="preserve">: </w:t>
      </w:r>
      <w:proofErr w:type="spellStart"/>
      <w:r w:rsidRPr="00B1089D">
        <w:t>Syria</w:t>
      </w:r>
      <w:proofErr w:type="spellEnd"/>
      <w:r w:rsidRPr="00B1089D">
        <w:t xml:space="preserve">, </w:t>
      </w:r>
      <w:proofErr w:type="spellStart"/>
      <w:r w:rsidRPr="00B1089D">
        <w:t>Syrian</w:t>
      </w:r>
      <w:proofErr w:type="spellEnd"/>
      <w:r w:rsidRPr="00B1089D">
        <w:t xml:space="preserve"> </w:t>
      </w:r>
      <w:proofErr w:type="spellStart"/>
      <w:r w:rsidRPr="00B1089D">
        <w:t>Civil</w:t>
      </w:r>
      <w:proofErr w:type="spellEnd"/>
      <w:r w:rsidRPr="00B1089D">
        <w:t xml:space="preserve"> </w:t>
      </w:r>
      <w:proofErr w:type="spellStart"/>
      <w:r w:rsidRPr="00B1089D">
        <w:t>War</w:t>
      </w:r>
      <w:proofErr w:type="spellEnd"/>
      <w:r w:rsidRPr="00B1089D">
        <w:t xml:space="preserve">, </w:t>
      </w:r>
      <w:proofErr w:type="spellStart"/>
      <w:r w:rsidRPr="00B1089D">
        <w:t>Historical</w:t>
      </w:r>
      <w:proofErr w:type="spellEnd"/>
      <w:r w:rsidRPr="00B1089D">
        <w:t xml:space="preserve"> </w:t>
      </w:r>
      <w:proofErr w:type="spellStart"/>
      <w:r w:rsidRPr="00B1089D">
        <w:t>Sociology</w:t>
      </w:r>
      <w:proofErr w:type="spellEnd"/>
      <w:r w:rsidRPr="00B1089D">
        <w:t xml:space="preserve">, </w:t>
      </w:r>
      <w:proofErr w:type="spellStart"/>
      <w:r w:rsidRPr="00B1089D">
        <w:t>state</w:t>
      </w:r>
      <w:proofErr w:type="spellEnd"/>
      <w:r w:rsidRPr="00B1089D">
        <w:t xml:space="preserve"> </w:t>
      </w:r>
      <w:proofErr w:type="spellStart"/>
      <w:r w:rsidRPr="00B1089D">
        <w:t>formation</w:t>
      </w:r>
      <w:proofErr w:type="spellEnd"/>
    </w:p>
    <w:p w14:paraId="69FD6844" w14:textId="069EC09E" w:rsidR="00FA457D" w:rsidRPr="00382F40" w:rsidRDefault="00D37D80" w:rsidP="00D37D80">
      <w:pPr>
        <w:autoSpaceDE/>
        <w:autoSpaceDN/>
      </w:pPr>
      <w:r>
        <w:br w:type="page"/>
      </w:r>
    </w:p>
    <w:p w14:paraId="0011C8E2" w14:textId="77777777" w:rsidR="00B470AD" w:rsidRPr="00097B24" w:rsidRDefault="00B470AD" w:rsidP="00B470AD">
      <w:pPr>
        <w:jc w:val="center"/>
      </w:pPr>
    </w:p>
    <w:p w14:paraId="45543F92" w14:textId="77777777" w:rsidR="00B470AD" w:rsidRPr="00097B24" w:rsidRDefault="00B470AD" w:rsidP="00B470AD">
      <w:pPr>
        <w:jc w:val="center"/>
        <w:rPr>
          <w:b/>
          <w:bCs/>
        </w:rPr>
      </w:pPr>
      <w:r w:rsidRPr="008A3F94">
        <w:rPr>
          <w:b/>
          <w:bCs/>
        </w:rPr>
        <w:t>Türkiye’nin “Koridor Diplomasisi” ve Bölgesel Liderlik Çabaları</w:t>
      </w:r>
    </w:p>
    <w:p w14:paraId="4C17AA18" w14:textId="77777777" w:rsidR="00B470AD" w:rsidRDefault="00B470AD" w:rsidP="00B470AD">
      <w:pPr>
        <w:jc w:val="center"/>
      </w:pPr>
    </w:p>
    <w:p w14:paraId="42E52AF8" w14:textId="77777777" w:rsidR="00B470AD" w:rsidRPr="008A3F94" w:rsidRDefault="00B470AD" w:rsidP="00B470AD">
      <w:pPr>
        <w:jc w:val="center"/>
      </w:pPr>
      <w:r>
        <w:t>Hakan DUMLU</w:t>
      </w:r>
      <w:r>
        <w:br/>
        <w:t xml:space="preserve">Araştırma Görevlisi, İstanbul Beykent Üniversitesi, Siyaset Bilimi ve Kamu Yönetimi (İngilizce) </w:t>
      </w:r>
      <w:r>
        <w:br/>
        <w:t>hakandumlu@beykent.edu.tr</w:t>
      </w:r>
      <w:r>
        <w:br/>
      </w:r>
      <w:r w:rsidRPr="008A3F94">
        <w:t>ORCID: 0000-0003-4172-3603</w:t>
      </w:r>
    </w:p>
    <w:p w14:paraId="6CAE342C" w14:textId="77777777" w:rsidR="00B470AD" w:rsidRDefault="00B470AD" w:rsidP="00B470AD">
      <w:pPr>
        <w:jc w:val="both"/>
      </w:pPr>
    </w:p>
    <w:p w14:paraId="72147225" w14:textId="77777777" w:rsidR="00B470AD" w:rsidRPr="00097B24" w:rsidRDefault="00B470AD" w:rsidP="00B470AD">
      <w:pPr>
        <w:jc w:val="center"/>
        <w:rPr>
          <w:b/>
          <w:bCs/>
        </w:rPr>
      </w:pPr>
      <w:r w:rsidRPr="00097B24">
        <w:rPr>
          <w:b/>
          <w:bCs/>
        </w:rPr>
        <w:t>Özet</w:t>
      </w:r>
    </w:p>
    <w:p w14:paraId="156BE084" w14:textId="77777777" w:rsidR="00B470AD" w:rsidRDefault="00B470AD" w:rsidP="00B470AD">
      <w:pPr>
        <w:jc w:val="both"/>
      </w:pPr>
      <w:r w:rsidRPr="00C4321F">
        <w:t xml:space="preserve">Soğuk Savaş’ın ardından ortaya çıkan hâl ve şartlarda Türk dış politikası, giderek özerkleşmeye ve böylece hareket kabiliyetini artırmaya başlamıştır. </w:t>
      </w:r>
      <w:r>
        <w:t>Y</w:t>
      </w:r>
      <w:r w:rsidRPr="00C4321F">
        <w:t>eni düzende Türkiye, serbestlik elde etmek suretiyle özgül bir önem kazanarak bölgesel güç hâline gelmiştir. Soğuk Savaş’ın jeopolitik gerçeklikler üstündeki gölgesi çekilince de komşularıyla mevcut tarihî ve kültürel bağlarını yeniden keşfetme fırsatını yakalamıştır. Bu fırsat, Türkiye’ye böl</w:t>
      </w:r>
      <w:r>
        <w:t xml:space="preserve">gesel liderlik yolunu açmıştır. </w:t>
      </w:r>
      <w:r w:rsidRPr="00C4321F">
        <w:t>Bu çalışmada, Türkiye’nin bölgesel liderlik amacı doğrultusunda, yakın çevresindeki devletleri birer takipçi yapabilmek için kullandığı ara buluculuk ve çatışma çözümlerinde</w:t>
      </w:r>
      <w:r>
        <w:t>n bir örnekleme odaklanılmıştır</w:t>
      </w:r>
      <w:r w:rsidRPr="00C4321F">
        <w:t xml:space="preserve">. Bu bağlamda amaç, özellikle son yıllarda, Türk dış politikasında önemli bir yer işgal eden koridorları tartışmaya açmaktır. </w:t>
      </w:r>
      <w:proofErr w:type="gramStart"/>
      <w:r w:rsidRPr="00C4321F">
        <w:t>Türkiye,</w:t>
      </w:r>
      <w:proofErr w:type="gramEnd"/>
      <w:r w:rsidRPr="00C4321F">
        <w:t xml:space="preserve"> gerek çevresinde gerekse ulusal çıkarlarının bulunduğu coğrafyalarda meydana gelen çatışmaların çözümüne yönelik koridorlar tasarlayarak çatışan tarafları uzlaştırmak için çabalamaktadır. Bu suretle aslında tarafların çıkar ve taleplerini gözetmektedir ve karşıl</w:t>
      </w:r>
      <w:r>
        <w:t>ığında ise uluslararası alanda k</w:t>
      </w:r>
      <w:r w:rsidRPr="00C4321F">
        <w:t xml:space="preserve">endisini desteklemelerini amaçlamaktadır. </w:t>
      </w:r>
      <w:r w:rsidRPr="005B1C4D">
        <w:t xml:space="preserve">Bu bağlamda </w:t>
      </w:r>
      <w:proofErr w:type="spellStart"/>
      <w:r w:rsidRPr="005B1C4D">
        <w:t>Zengezur</w:t>
      </w:r>
      <w:proofErr w:type="spellEnd"/>
      <w:r w:rsidRPr="005B1C4D">
        <w:t xml:space="preserve"> Koridoru, Tahıl Koridoru, Kalkınma Yolu ve Somali-Etiyopya Koridoru sırasıyla incelenerek tarafların çıkar ve talepleri tespit edilmiştir.</w:t>
      </w:r>
      <w:r>
        <w:t xml:space="preserve"> </w:t>
      </w:r>
      <w:r w:rsidRPr="00C4321F">
        <w:t>Söz konusu koridorların Türkiye için önemi, orta güçlerin büyük stratejisi modeline göre inc</w:t>
      </w:r>
      <w:r>
        <w:t>elenmiştir</w:t>
      </w:r>
      <w:r w:rsidRPr="00C4321F">
        <w:t xml:space="preserve">. </w:t>
      </w:r>
      <w:r>
        <w:t>Bu kuramsal çerçevede, “</w:t>
      </w:r>
      <w:r w:rsidRPr="005B1C4D">
        <w:t>Türkiye’nin, yakın çevresinde ve ulusal çıkarlarının bulunduğu coğrafyalarda ortaya çıkan çatışmaların çözümüne yönelik tasarladığı yahut teşebbüs ettiği koridorlardan maksadı nedir?</w:t>
      </w:r>
      <w:r>
        <w:t>” sorusuna yanıt aranmıştır. Sonuç itibarıyla</w:t>
      </w:r>
      <w:r w:rsidRPr="00C4321F">
        <w:t xml:space="preserve"> Türkiye’nin koridor diplomasisini, bölgesel liderlik hedefi doğrultusunda kullanarak büyük stratejisini tatbik ettiğ</w:t>
      </w:r>
      <w:r>
        <w:t>ine ilişkin hipotez doğrulanmıştır.</w:t>
      </w:r>
      <w:r w:rsidRPr="005B1C4D">
        <w:t xml:space="preserve"> Zira bu koridorlardan her biri, çatışan tarafların çıkarlarını temin etmek suretiyle bölgesel barış ve istikrara hizmet etmiş ya da edecektir. Dahası, söz konusu koridorlardan bazıları, geniş bir etki ölçeği olması itibarıyla küresel barış ve istikrara da yararlıdır. Öte yandan Türkiye, bu koridorlar vasıtasıyla güvenlik, refah ve statü gibi kendi stratejik çıkarlarını da temin etmeyi amaçlamaktadır. Bu bakımdan Türkiye’nin büyük stratejisi uzun vadelidir. Türkiye, bu amaçlarına ulaşabilmek için muhataplarının çıkar ve taleplerini gözetmektedir. Bu doğrultuda siyasî, askerî, ekonomik ve diplomatik gücüyle beraber tarihî ve kültürel bağlarını bir arada ve ahenkle kullanmaktadır. Böylelikle Türkiye, koridor diplomasisi marifetiyle uzlaştırdığı tarafları, uluslararası alandaki takipçileri hâline</w:t>
      </w:r>
      <w:r>
        <w:t xml:space="preserve"> getirmeye muktedir olmaktadır. </w:t>
      </w:r>
      <w:r w:rsidRPr="005B1C4D">
        <w:t xml:space="preserve">Son olarak Somali-Etiyopya </w:t>
      </w:r>
      <w:proofErr w:type="spellStart"/>
      <w:r w:rsidRPr="005B1C4D">
        <w:t>Koridoru’nun</w:t>
      </w:r>
      <w:proofErr w:type="spellEnd"/>
      <w:r w:rsidRPr="005B1C4D">
        <w:t xml:space="preserve"> açılması için Ankara Süreci’nde Türkiye’nin gösterdiği maharet, </w:t>
      </w:r>
      <w:proofErr w:type="spellStart"/>
      <w:r w:rsidRPr="005B1C4D">
        <w:t>Zengezur</w:t>
      </w:r>
      <w:proofErr w:type="spellEnd"/>
      <w:r w:rsidRPr="005B1C4D">
        <w:t xml:space="preserve"> </w:t>
      </w:r>
      <w:proofErr w:type="spellStart"/>
      <w:r w:rsidRPr="005B1C4D">
        <w:t>Koridoru’nun</w:t>
      </w:r>
      <w:proofErr w:type="spellEnd"/>
      <w:r w:rsidRPr="005B1C4D">
        <w:t xml:space="preserve"> da açılmasına yarayabilecek eşsiz bir tecrübe olmuştur. Ayrıca Türkiye’nin Tahıl Koridoru marifetiyle yarattığı küresel etki, Kalkınma Yolu için adeta bir örnek teşkil etmektedir. Bu bakımdan söz konusu koridorların birbirine benzer şartlar içinde olması, bir örüntü yaratarak Türkiye’nin büyük stratejisine tutarlılık ve tecrübe katacaktır.</w:t>
      </w:r>
    </w:p>
    <w:p w14:paraId="6690F128" w14:textId="77777777" w:rsidR="00B470AD" w:rsidRDefault="00B470AD" w:rsidP="00B470AD">
      <w:pPr>
        <w:jc w:val="both"/>
      </w:pPr>
    </w:p>
    <w:p w14:paraId="61807720" w14:textId="0C8332E8" w:rsidR="00B470AD" w:rsidRDefault="00B470AD" w:rsidP="00B470AD">
      <w:pPr>
        <w:jc w:val="both"/>
      </w:pPr>
      <w:r w:rsidRPr="00DE7662">
        <w:rPr>
          <w:b/>
          <w:bCs/>
        </w:rPr>
        <w:t xml:space="preserve">Anahtar </w:t>
      </w:r>
      <w:r w:rsidR="0079785E">
        <w:rPr>
          <w:b/>
          <w:bCs/>
        </w:rPr>
        <w:t>Kelimeler</w:t>
      </w:r>
      <w:r w:rsidRPr="00DE7662">
        <w:rPr>
          <w:b/>
          <w:bCs/>
        </w:rPr>
        <w:t>:</w:t>
      </w:r>
      <w:r>
        <w:t xml:space="preserve"> Türk Dış Politikası, </w:t>
      </w:r>
      <w:proofErr w:type="spellStart"/>
      <w:r w:rsidRPr="00BA0592">
        <w:t>Zengezur</w:t>
      </w:r>
      <w:proofErr w:type="spellEnd"/>
      <w:r w:rsidRPr="00BA0592">
        <w:t xml:space="preserve"> Koridoru, Tahıl Koridoru, Kalkınma Yolu, Somali-Etiyopya Koridoru</w:t>
      </w:r>
      <w:r>
        <w:t xml:space="preserve"> </w:t>
      </w:r>
      <w:r>
        <w:br w:type="page"/>
      </w:r>
    </w:p>
    <w:p w14:paraId="18670089" w14:textId="77777777" w:rsidR="00B470AD" w:rsidRPr="00097B24" w:rsidRDefault="00B470AD" w:rsidP="00B470AD">
      <w:pPr>
        <w:jc w:val="center"/>
      </w:pPr>
    </w:p>
    <w:p w14:paraId="428C4F8D" w14:textId="77777777" w:rsidR="00B470AD" w:rsidRPr="00097B24" w:rsidRDefault="00B470AD" w:rsidP="0079785E">
      <w:pPr>
        <w:jc w:val="center"/>
        <w:rPr>
          <w:b/>
          <w:bCs/>
        </w:rPr>
      </w:pPr>
      <w:proofErr w:type="spellStart"/>
      <w:r w:rsidRPr="004F34CF">
        <w:rPr>
          <w:b/>
          <w:bCs/>
        </w:rPr>
        <w:t>Türkiye’s</w:t>
      </w:r>
      <w:proofErr w:type="spellEnd"/>
      <w:r w:rsidRPr="004F34CF">
        <w:rPr>
          <w:b/>
          <w:bCs/>
        </w:rPr>
        <w:t xml:space="preserve"> “</w:t>
      </w:r>
      <w:proofErr w:type="spellStart"/>
      <w:r w:rsidRPr="004F34CF">
        <w:rPr>
          <w:b/>
          <w:bCs/>
        </w:rPr>
        <w:t>Corridor</w:t>
      </w:r>
      <w:proofErr w:type="spellEnd"/>
      <w:r w:rsidRPr="004F34CF">
        <w:rPr>
          <w:b/>
          <w:bCs/>
        </w:rPr>
        <w:t xml:space="preserve"> </w:t>
      </w:r>
      <w:proofErr w:type="spellStart"/>
      <w:r w:rsidRPr="004F34CF">
        <w:rPr>
          <w:b/>
          <w:bCs/>
        </w:rPr>
        <w:t>Diplomacy</w:t>
      </w:r>
      <w:proofErr w:type="spellEnd"/>
      <w:r w:rsidRPr="004F34CF">
        <w:rPr>
          <w:b/>
          <w:bCs/>
        </w:rPr>
        <w:t xml:space="preserve">” </w:t>
      </w:r>
      <w:proofErr w:type="spellStart"/>
      <w:r w:rsidRPr="004F34CF">
        <w:rPr>
          <w:b/>
          <w:bCs/>
        </w:rPr>
        <w:t>and</w:t>
      </w:r>
      <w:proofErr w:type="spellEnd"/>
      <w:r w:rsidRPr="004F34CF">
        <w:rPr>
          <w:b/>
          <w:bCs/>
        </w:rPr>
        <w:t xml:space="preserve"> </w:t>
      </w:r>
      <w:proofErr w:type="spellStart"/>
      <w:r w:rsidRPr="004F34CF">
        <w:rPr>
          <w:b/>
          <w:bCs/>
        </w:rPr>
        <w:t>Regional</w:t>
      </w:r>
      <w:proofErr w:type="spellEnd"/>
      <w:r w:rsidRPr="004F34CF">
        <w:rPr>
          <w:b/>
          <w:bCs/>
        </w:rPr>
        <w:t xml:space="preserve"> </w:t>
      </w:r>
      <w:proofErr w:type="spellStart"/>
      <w:r w:rsidRPr="004F34CF">
        <w:rPr>
          <w:b/>
          <w:bCs/>
        </w:rPr>
        <w:t>Leadership</w:t>
      </w:r>
      <w:proofErr w:type="spellEnd"/>
      <w:r w:rsidRPr="004F34CF">
        <w:rPr>
          <w:b/>
          <w:bCs/>
        </w:rPr>
        <w:t xml:space="preserve"> </w:t>
      </w:r>
      <w:proofErr w:type="spellStart"/>
      <w:r w:rsidRPr="004F34CF">
        <w:rPr>
          <w:b/>
          <w:bCs/>
        </w:rPr>
        <w:t>Efforts</w:t>
      </w:r>
      <w:proofErr w:type="spellEnd"/>
    </w:p>
    <w:p w14:paraId="1BD4AE84" w14:textId="77777777" w:rsidR="00B470AD" w:rsidRDefault="00B470AD" w:rsidP="0079785E">
      <w:pPr>
        <w:jc w:val="center"/>
      </w:pPr>
    </w:p>
    <w:p w14:paraId="4937ACB5" w14:textId="77777777" w:rsidR="00B470AD" w:rsidRPr="008A3F94" w:rsidRDefault="00B470AD" w:rsidP="0079785E">
      <w:pPr>
        <w:jc w:val="center"/>
      </w:pPr>
      <w:r>
        <w:t>Hakan DUMLU</w:t>
      </w:r>
      <w:r>
        <w:br/>
      </w:r>
      <w:proofErr w:type="spellStart"/>
      <w:r>
        <w:t>Research</w:t>
      </w:r>
      <w:proofErr w:type="spellEnd"/>
      <w:r>
        <w:t xml:space="preserve"> </w:t>
      </w:r>
      <w:proofErr w:type="spellStart"/>
      <w:r>
        <w:t>Assistant</w:t>
      </w:r>
      <w:proofErr w:type="spellEnd"/>
      <w:r>
        <w:t xml:space="preserve">, İstanbul Beykent </w:t>
      </w:r>
      <w:proofErr w:type="spellStart"/>
      <w:r>
        <w:t>University</w:t>
      </w:r>
      <w:proofErr w:type="spellEnd"/>
      <w:r>
        <w:t xml:space="preserve">, </w:t>
      </w:r>
      <w:proofErr w:type="spellStart"/>
      <w:r>
        <w:t>Political</w:t>
      </w:r>
      <w:proofErr w:type="spellEnd"/>
      <w:r>
        <w:t xml:space="preserve"> </w:t>
      </w:r>
      <w:proofErr w:type="spellStart"/>
      <w:r>
        <w:t>Science</w:t>
      </w:r>
      <w:proofErr w:type="spellEnd"/>
      <w:r>
        <w:t xml:space="preserve"> </w:t>
      </w:r>
      <w:proofErr w:type="spellStart"/>
      <w:r>
        <w:t>and</w:t>
      </w:r>
      <w:proofErr w:type="spellEnd"/>
      <w:r>
        <w:t xml:space="preserve"> </w:t>
      </w:r>
      <w:proofErr w:type="spellStart"/>
      <w:r>
        <w:t>Public</w:t>
      </w:r>
      <w:proofErr w:type="spellEnd"/>
      <w:r>
        <w:t xml:space="preserve"> Administration </w:t>
      </w:r>
      <w:r>
        <w:br/>
        <w:t>hakandumlu@beykent.edu.tr</w:t>
      </w:r>
      <w:r>
        <w:br/>
      </w:r>
      <w:r w:rsidRPr="008A3F94">
        <w:t>ORCID: 0000-0003-4172-3603</w:t>
      </w:r>
    </w:p>
    <w:p w14:paraId="77E982C7" w14:textId="77777777" w:rsidR="00B470AD" w:rsidRDefault="00B470AD" w:rsidP="0079785E">
      <w:pPr>
        <w:jc w:val="both"/>
      </w:pPr>
    </w:p>
    <w:p w14:paraId="544B0321" w14:textId="77777777" w:rsidR="00B470AD" w:rsidRPr="00097B24" w:rsidRDefault="00B470AD" w:rsidP="0079785E">
      <w:pPr>
        <w:jc w:val="center"/>
        <w:rPr>
          <w:b/>
          <w:bCs/>
        </w:rPr>
      </w:pPr>
      <w:proofErr w:type="spellStart"/>
      <w:r>
        <w:rPr>
          <w:b/>
          <w:bCs/>
        </w:rPr>
        <w:t>Abstract</w:t>
      </w:r>
      <w:proofErr w:type="spellEnd"/>
    </w:p>
    <w:p w14:paraId="5CC3E5F9" w14:textId="77777777" w:rsidR="00B470AD" w:rsidRDefault="00B470AD" w:rsidP="0079785E">
      <w:pPr>
        <w:jc w:val="both"/>
      </w:pPr>
      <w:proofErr w:type="spellStart"/>
      <w:r w:rsidRPr="004F34CF">
        <w:t>In</w:t>
      </w:r>
      <w:proofErr w:type="spellEnd"/>
      <w:r w:rsidRPr="004F34CF">
        <w:t xml:space="preserve"> </w:t>
      </w:r>
      <w:proofErr w:type="spellStart"/>
      <w:r w:rsidRPr="004F34CF">
        <w:t>the</w:t>
      </w:r>
      <w:proofErr w:type="spellEnd"/>
      <w:r w:rsidRPr="004F34CF">
        <w:t xml:space="preserve"> </w:t>
      </w:r>
      <w:proofErr w:type="spellStart"/>
      <w:r w:rsidRPr="004F34CF">
        <w:t>circumstances</w:t>
      </w:r>
      <w:proofErr w:type="spellEnd"/>
      <w:r w:rsidRPr="004F34CF">
        <w:t xml:space="preserve"> </w:t>
      </w:r>
      <w:proofErr w:type="spellStart"/>
      <w:r w:rsidRPr="004F34CF">
        <w:t>that</w:t>
      </w:r>
      <w:proofErr w:type="spellEnd"/>
      <w:r w:rsidRPr="004F34CF">
        <w:t xml:space="preserve"> </w:t>
      </w:r>
      <w:proofErr w:type="spellStart"/>
      <w:r w:rsidRPr="004F34CF">
        <w:t>emerged</w:t>
      </w:r>
      <w:proofErr w:type="spellEnd"/>
      <w:r w:rsidRPr="004F34CF">
        <w:t xml:space="preserve"> </w:t>
      </w:r>
      <w:proofErr w:type="spellStart"/>
      <w:r w:rsidRPr="004F34CF">
        <w:t>after</w:t>
      </w:r>
      <w:proofErr w:type="spellEnd"/>
      <w:r w:rsidRPr="004F34CF">
        <w:t xml:space="preserve"> </w:t>
      </w:r>
      <w:proofErr w:type="spellStart"/>
      <w:r w:rsidRPr="004F34CF">
        <w:t>the</w:t>
      </w:r>
      <w:proofErr w:type="spellEnd"/>
      <w:r w:rsidRPr="004F34CF">
        <w:t xml:space="preserve"> </w:t>
      </w:r>
      <w:proofErr w:type="spellStart"/>
      <w:r w:rsidRPr="004F34CF">
        <w:t>Cold</w:t>
      </w:r>
      <w:proofErr w:type="spellEnd"/>
      <w:r w:rsidRPr="004F34CF">
        <w:t xml:space="preserve"> </w:t>
      </w:r>
      <w:proofErr w:type="spellStart"/>
      <w:r w:rsidRPr="004F34CF">
        <w:t>War</w:t>
      </w:r>
      <w:proofErr w:type="spellEnd"/>
      <w:r w:rsidRPr="004F34CF">
        <w:t xml:space="preserve">, </w:t>
      </w:r>
      <w:proofErr w:type="spellStart"/>
      <w:r w:rsidRPr="004F34CF">
        <w:t>Turkish</w:t>
      </w:r>
      <w:proofErr w:type="spellEnd"/>
      <w:r w:rsidRPr="004F34CF">
        <w:t xml:space="preserve"> </w:t>
      </w:r>
      <w:proofErr w:type="spellStart"/>
      <w:r w:rsidRPr="004F34CF">
        <w:t>foreign</w:t>
      </w:r>
      <w:proofErr w:type="spellEnd"/>
      <w:r w:rsidRPr="004F34CF">
        <w:t xml:space="preserve"> </w:t>
      </w:r>
      <w:proofErr w:type="spellStart"/>
      <w:r w:rsidRPr="004F34CF">
        <w:t>policy</w:t>
      </w:r>
      <w:proofErr w:type="spellEnd"/>
      <w:r w:rsidRPr="004F34CF">
        <w:t xml:space="preserve"> </w:t>
      </w:r>
      <w:proofErr w:type="spellStart"/>
      <w:r w:rsidRPr="004F34CF">
        <w:t>gradually</w:t>
      </w:r>
      <w:proofErr w:type="spellEnd"/>
      <w:r w:rsidRPr="004F34CF">
        <w:t xml:space="preserve"> </w:t>
      </w:r>
      <w:proofErr w:type="spellStart"/>
      <w:r w:rsidRPr="004F34CF">
        <w:t>began</w:t>
      </w:r>
      <w:proofErr w:type="spellEnd"/>
      <w:r w:rsidRPr="004F34CF">
        <w:t xml:space="preserve"> </w:t>
      </w:r>
      <w:proofErr w:type="spellStart"/>
      <w:r w:rsidRPr="004F34CF">
        <w:t>to</w:t>
      </w:r>
      <w:proofErr w:type="spellEnd"/>
      <w:r w:rsidRPr="004F34CF">
        <w:t xml:space="preserve"> </w:t>
      </w:r>
      <w:proofErr w:type="spellStart"/>
      <w:r w:rsidRPr="004F34CF">
        <w:t>gain</w:t>
      </w:r>
      <w:proofErr w:type="spellEnd"/>
      <w:r w:rsidRPr="004F34CF">
        <w:t xml:space="preserve"> </w:t>
      </w:r>
      <w:proofErr w:type="spellStart"/>
      <w:r w:rsidRPr="004F34CF">
        <w:t>autonomy</w:t>
      </w:r>
      <w:proofErr w:type="spellEnd"/>
      <w:r w:rsidRPr="004F34CF">
        <w:t xml:space="preserve"> </w:t>
      </w:r>
      <w:proofErr w:type="spellStart"/>
      <w:r w:rsidRPr="004F34CF">
        <w:t>and</w:t>
      </w:r>
      <w:proofErr w:type="spellEnd"/>
      <w:r w:rsidRPr="004F34CF">
        <w:t xml:space="preserve"> </w:t>
      </w:r>
      <w:proofErr w:type="spellStart"/>
      <w:r w:rsidRPr="004F34CF">
        <w:t>thus</w:t>
      </w:r>
      <w:proofErr w:type="spellEnd"/>
      <w:r w:rsidRPr="004F34CF">
        <w:t xml:space="preserve"> </w:t>
      </w:r>
      <w:proofErr w:type="spellStart"/>
      <w:r w:rsidRPr="004F34CF">
        <w:t>enhance</w:t>
      </w:r>
      <w:proofErr w:type="spellEnd"/>
      <w:r w:rsidRPr="004F34CF">
        <w:t xml:space="preserve"> </w:t>
      </w:r>
      <w:proofErr w:type="spellStart"/>
      <w:r w:rsidRPr="004F34CF">
        <w:t>its</w:t>
      </w:r>
      <w:proofErr w:type="spellEnd"/>
      <w:r w:rsidRPr="004F34CF">
        <w:t xml:space="preserve"> </w:t>
      </w:r>
      <w:proofErr w:type="spellStart"/>
      <w:r w:rsidRPr="004F34CF">
        <w:t>capacity</w:t>
      </w:r>
      <w:proofErr w:type="spellEnd"/>
      <w:r w:rsidRPr="004F34CF">
        <w:t xml:space="preserve"> </w:t>
      </w:r>
      <w:proofErr w:type="spellStart"/>
      <w:r w:rsidRPr="004F34CF">
        <w:t>for</w:t>
      </w:r>
      <w:proofErr w:type="spellEnd"/>
      <w:r w:rsidRPr="004F34CF">
        <w:t xml:space="preserve"> </w:t>
      </w:r>
      <w:proofErr w:type="spellStart"/>
      <w:r w:rsidRPr="004F34CF">
        <w:t>action</w:t>
      </w:r>
      <w:proofErr w:type="spellEnd"/>
      <w:r w:rsidRPr="004F34CF">
        <w:t xml:space="preserve">. </w:t>
      </w:r>
      <w:proofErr w:type="spellStart"/>
      <w:r w:rsidRPr="004F34CF">
        <w:t>In</w:t>
      </w:r>
      <w:proofErr w:type="spellEnd"/>
      <w:r w:rsidRPr="004F34CF">
        <w:t xml:space="preserve"> </w:t>
      </w:r>
      <w:proofErr w:type="spellStart"/>
      <w:r w:rsidRPr="004F34CF">
        <w:t>the</w:t>
      </w:r>
      <w:proofErr w:type="spellEnd"/>
      <w:r w:rsidRPr="004F34CF">
        <w:t xml:space="preserve"> </w:t>
      </w:r>
      <w:proofErr w:type="spellStart"/>
      <w:r w:rsidRPr="004F34CF">
        <w:t>new</w:t>
      </w:r>
      <w:proofErr w:type="spellEnd"/>
      <w:r w:rsidRPr="004F34CF">
        <w:t xml:space="preserve"> </w:t>
      </w:r>
      <w:proofErr w:type="spellStart"/>
      <w:r w:rsidRPr="004F34CF">
        <w:t>order</w:t>
      </w:r>
      <w:proofErr w:type="spellEnd"/>
      <w:r w:rsidRPr="004F34CF">
        <w:t xml:space="preserve">, Türkiye </w:t>
      </w:r>
      <w:proofErr w:type="spellStart"/>
      <w:r w:rsidRPr="004F34CF">
        <w:t>attained</w:t>
      </w:r>
      <w:proofErr w:type="spellEnd"/>
      <w:r w:rsidRPr="004F34CF">
        <w:t xml:space="preserve"> a </w:t>
      </w:r>
      <w:proofErr w:type="spellStart"/>
      <w:r w:rsidRPr="004F34CF">
        <w:t>distinctive</w:t>
      </w:r>
      <w:proofErr w:type="spellEnd"/>
      <w:r w:rsidRPr="004F34CF">
        <w:t xml:space="preserve"> </w:t>
      </w:r>
      <w:proofErr w:type="spellStart"/>
      <w:r w:rsidRPr="004F34CF">
        <w:t>significance</w:t>
      </w:r>
      <w:proofErr w:type="spellEnd"/>
      <w:r w:rsidRPr="004F34CF">
        <w:t xml:space="preserve"> </w:t>
      </w:r>
      <w:proofErr w:type="spellStart"/>
      <w:r w:rsidRPr="004F34CF">
        <w:t>by</w:t>
      </w:r>
      <w:proofErr w:type="spellEnd"/>
      <w:r w:rsidRPr="004F34CF">
        <w:t xml:space="preserve"> </w:t>
      </w:r>
      <w:proofErr w:type="spellStart"/>
      <w:r w:rsidRPr="004F34CF">
        <w:t>acquiring</w:t>
      </w:r>
      <w:proofErr w:type="spellEnd"/>
      <w:r w:rsidRPr="004F34CF">
        <w:t xml:space="preserve"> </w:t>
      </w:r>
      <w:proofErr w:type="spellStart"/>
      <w:r w:rsidRPr="004F34CF">
        <w:t>freedom</w:t>
      </w:r>
      <w:proofErr w:type="spellEnd"/>
      <w:r w:rsidRPr="004F34CF">
        <w:t xml:space="preserve"> of </w:t>
      </w:r>
      <w:proofErr w:type="spellStart"/>
      <w:r w:rsidRPr="004F34CF">
        <w:t>maneuver</w:t>
      </w:r>
      <w:proofErr w:type="spellEnd"/>
      <w:r w:rsidRPr="004F34CF">
        <w:t xml:space="preserve"> </w:t>
      </w:r>
      <w:proofErr w:type="spellStart"/>
      <w:r w:rsidRPr="004F34CF">
        <w:t>and</w:t>
      </w:r>
      <w:proofErr w:type="spellEnd"/>
      <w:r w:rsidRPr="004F34CF">
        <w:t xml:space="preserve"> </w:t>
      </w:r>
      <w:proofErr w:type="spellStart"/>
      <w:r w:rsidRPr="004F34CF">
        <w:t>became</w:t>
      </w:r>
      <w:proofErr w:type="spellEnd"/>
      <w:r w:rsidRPr="004F34CF">
        <w:t xml:space="preserve"> a </w:t>
      </w:r>
      <w:proofErr w:type="spellStart"/>
      <w:r w:rsidRPr="004F34CF">
        <w:t>regional</w:t>
      </w:r>
      <w:proofErr w:type="spellEnd"/>
      <w:r w:rsidRPr="004F34CF">
        <w:t xml:space="preserve"> </w:t>
      </w:r>
      <w:proofErr w:type="spellStart"/>
      <w:r w:rsidRPr="004F34CF">
        <w:t>power</w:t>
      </w:r>
      <w:proofErr w:type="spellEnd"/>
      <w:r w:rsidRPr="004F34CF">
        <w:t xml:space="preserve">. </w:t>
      </w:r>
      <w:proofErr w:type="spellStart"/>
      <w:r w:rsidRPr="004F34CF">
        <w:t>With</w:t>
      </w:r>
      <w:proofErr w:type="spellEnd"/>
      <w:r w:rsidRPr="004F34CF">
        <w:t xml:space="preserve"> </w:t>
      </w:r>
      <w:proofErr w:type="spellStart"/>
      <w:r w:rsidRPr="004F34CF">
        <w:t>the</w:t>
      </w:r>
      <w:proofErr w:type="spellEnd"/>
      <w:r w:rsidRPr="004F34CF">
        <w:t xml:space="preserve"> </w:t>
      </w:r>
      <w:proofErr w:type="spellStart"/>
      <w:r w:rsidRPr="004F34CF">
        <w:t>shadow</w:t>
      </w:r>
      <w:proofErr w:type="spellEnd"/>
      <w:r w:rsidRPr="004F34CF">
        <w:t xml:space="preserve"> of </w:t>
      </w:r>
      <w:proofErr w:type="spellStart"/>
      <w:r w:rsidRPr="004F34CF">
        <w:t>Cold</w:t>
      </w:r>
      <w:proofErr w:type="spellEnd"/>
      <w:r w:rsidRPr="004F34CF">
        <w:t xml:space="preserve"> </w:t>
      </w:r>
      <w:proofErr w:type="spellStart"/>
      <w:r w:rsidRPr="004F34CF">
        <w:t>War</w:t>
      </w:r>
      <w:proofErr w:type="spellEnd"/>
      <w:r w:rsidRPr="004F34CF">
        <w:t xml:space="preserve"> </w:t>
      </w:r>
      <w:r>
        <w:t xml:space="preserve">on </w:t>
      </w:r>
      <w:proofErr w:type="spellStart"/>
      <w:r>
        <w:t>the</w:t>
      </w:r>
      <w:proofErr w:type="spellEnd"/>
      <w:r>
        <w:t xml:space="preserve"> </w:t>
      </w:r>
      <w:proofErr w:type="spellStart"/>
      <w:r w:rsidRPr="004F34CF">
        <w:t>geopolitical</w:t>
      </w:r>
      <w:proofErr w:type="spellEnd"/>
      <w:r w:rsidRPr="004F34CF">
        <w:t xml:space="preserve"> </w:t>
      </w:r>
      <w:proofErr w:type="spellStart"/>
      <w:r w:rsidRPr="004F34CF">
        <w:t>realities</w:t>
      </w:r>
      <w:proofErr w:type="spellEnd"/>
      <w:r w:rsidRPr="004F34CF">
        <w:t xml:space="preserve"> lifting, Türkiye </w:t>
      </w:r>
      <w:proofErr w:type="spellStart"/>
      <w:r w:rsidRPr="004F34CF">
        <w:t>seized</w:t>
      </w:r>
      <w:proofErr w:type="spellEnd"/>
      <w:r w:rsidRPr="004F34CF">
        <w:t xml:space="preserve"> </w:t>
      </w:r>
      <w:proofErr w:type="spellStart"/>
      <w:r w:rsidRPr="004F34CF">
        <w:t>the</w:t>
      </w:r>
      <w:proofErr w:type="spellEnd"/>
      <w:r w:rsidRPr="004F34CF">
        <w:t xml:space="preserve"> </w:t>
      </w:r>
      <w:proofErr w:type="spellStart"/>
      <w:r w:rsidRPr="004F34CF">
        <w:t>opportunity</w:t>
      </w:r>
      <w:proofErr w:type="spellEnd"/>
      <w:r w:rsidRPr="004F34CF">
        <w:t xml:space="preserve"> </w:t>
      </w:r>
      <w:proofErr w:type="spellStart"/>
      <w:r w:rsidRPr="004F34CF">
        <w:t>to</w:t>
      </w:r>
      <w:proofErr w:type="spellEnd"/>
      <w:r w:rsidRPr="004F34CF">
        <w:t xml:space="preserve"> </w:t>
      </w:r>
      <w:proofErr w:type="spellStart"/>
      <w:r w:rsidRPr="004F34CF">
        <w:t>rediscover</w:t>
      </w:r>
      <w:proofErr w:type="spellEnd"/>
      <w:r w:rsidRPr="004F34CF">
        <w:t xml:space="preserve"> </w:t>
      </w:r>
      <w:proofErr w:type="spellStart"/>
      <w:r w:rsidRPr="004F34CF">
        <w:t>its</w:t>
      </w:r>
      <w:proofErr w:type="spellEnd"/>
      <w:r w:rsidRPr="004F34CF">
        <w:t xml:space="preserve"> </w:t>
      </w:r>
      <w:proofErr w:type="spellStart"/>
      <w:r w:rsidRPr="004F34CF">
        <w:t>historical</w:t>
      </w:r>
      <w:proofErr w:type="spellEnd"/>
      <w:r w:rsidRPr="004F34CF">
        <w:t xml:space="preserve"> </w:t>
      </w:r>
      <w:proofErr w:type="spellStart"/>
      <w:r w:rsidRPr="004F34CF">
        <w:t>and</w:t>
      </w:r>
      <w:proofErr w:type="spellEnd"/>
      <w:r w:rsidRPr="004F34CF">
        <w:t xml:space="preserve"> </w:t>
      </w:r>
      <w:proofErr w:type="spellStart"/>
      <w:r w:rsidRPr="004F34CF">
        <w:t>cultural</w:t>
      </w:r>
      <w:proofErr w:type="spellEnd"/>
      <w:r w:rsidRPr="004F34CF">
        <w:t xml:space="preserve"> </w:t>
      </w:r>
      <w:proofErr w:type="spellStart"/>
      <w:r w:rsidRPr="004F34CF">
        <w:t>ties</w:t>
      </w:r>
      <w:proofErr w:type="spellEnd"/>
      <w:r w:rsidRPr="004F34CF">
        <w:t xml:space="preserve"> </w:t>
      </w:r>
      <w:proofErr w:type="spellStart"/>
      <w:r w:rsidRPr="004F34CF">
        <w:t>with</w:t>
      </w:r>
      <w:proofErr w:type="spellEnd"/>
      <w:r w:rsidRPr="004F34CF">
        <w:t xml:space="preserve"> </w:t>
      </w:r>
      <w:proofErr w:type="spellStart"/>
      <w:r w:rsidRPr="004F34CF">
        <w:t>neighboring</w:t>
      </w:r>
      <w:proofErr w:type="spellEnd"/>
      <w:r w:rsidRPr="004F34CF">
        <w:t xml:space="preserve"> </w:t>
      </w:r>
      <w:proofErr w:type="spellStart"/>
      <w:r w:rsidRPr="004F34CF">
        <w:t>countries</w:t>
      </w:r>
      <w:proofErr w:type="spellEnd"/>
      <w:r w:rsidRPr="004F34CF">
        <w:t xml:space="preserve">. </w:t>
      </w:r>
      <w:proofErr w:type="spellStart"/>
      <w:r w:rsidRPr="004F34CF">
        <w:t>This</w:t>
      </w:r>
      <w:proofErr w:type="spellEnd"/>
      <w:r w:rsidRPr="004F34CF">
        <w:t xml:space="preserve"> </w:t>
      </w:r>
      <w:proofErr w:type="spellStart"/>
      <w:r w:rsidRPr="004F34CF">
        <w:t>opportunity</w:t>
      </w:r>
      <w:proofErr w:type="spellEnd"/>
      <w:r w:rsidRPr="004F34CF">
        <w:t xml:space="preserve"> </w:t>
      </w:r>
      <w:proofErr w:type="spellStart"/>
      <w:r w:rsidRPr="004F34CF">
        <w:t>paved</w:t>
      </w:r>
      <w:proofErr w:type="spellEnd"/>
      <w:r w:rsidRPr="004F34CF">
        <w:t xml:space="preserve"> </w:t>
      </w:r>
      <w:proofErr w:type="spellStart"/>
      <w:r w:rsidRPr="004F34CF">
        <w:t>the</w:t>
      </w:r>
      <w:proofErr w:type="spellEnd"/>
      <w:r w:rsidRPr="004F34CF">
        <w:t xml:space="preserve"> </w:t>
      </w:r>
      <w:proofErr w:type="spellStart"/>
      <w:r w:rsidRPr="004F34CF">
        <w:t>way</w:t>
      </w:r>
      <w:proofErr w:type="spellEnd"/>
      <w:r w:rsidRPr="004F34CF">
        <w:t xml:space="preserve"> </w:t>
      </w:r>
      <w:proofErr w:type="spellStart"/>
      <w:r w:rsidRPr="004F34CF">
        <w:t>for</w:t>
      </w:r>
      <w:proofErr w:type="spellEnd"/>
      <w:r w:rsidRPr="004F34CF">
        <w:t xml:space="preserve"> </w:t>
      </w:r>
      <w:proofErr w:type="spellStart"/>
      <w:r w:rsidRPr="004F34CF">
        <w:t>Türkiye’s</w:t>
      </w:r>
      <w:proofErr w:type="spellEnd"/>
      <w:r w:rsidRPr="004F34CF">
        <w:t xml:space="preserve"> </w:t>
      </w:r>
      <w:proofErr w:type="spellStart"/>
      <w:r w:rsidRPr="004F34CF">
        <w:t>regional</w:t>
      </w:r>
      <w:proofErr w:type="spellEnd"/>
      <w:r w:rsidRPr="004F34CF">
        <w:t xml:space="preserve"> </w:t>
      </w:r>
      <w:proofErr w:type="spellStart"/>
      <w:r w:rsidRPr="004F34CF">
        <w:t>leadership</w:t>
      </w:r>
      <w:proofErr w:type="spellEnd"/>
      <w:r w:rsidRPr="004F34CF">
        <w:t xml:space="preserve">. </w:t>
      </w:r>
      <w:proofErr w:type="spellStart"/>
      <w:r w:rsidRPr="004F34CF">
        <w:t>This</w:t>
      </w:r>
      <w:proofErr w:type="spellEnd"/>
      <w:r w:rsidRPr="004F34CF">
        <w:t xml:space="preserve"> </w:t>
      </w:r>
      <w:proofErr w:type="spellStart"/>
      <w:r w:rsidRPr="004F34CF">
        <w:t>study</w:t>
      </w:r>
      <w:proofErr w:type="spellEnd"/>
      <w:r w:rsidRPr="004F34CF">
        <w:t xml:space="preserve"> </w:t>
      </w:r>
      <w:proofErr w:type="spellStart"/>
      <w:r w:rsidRPr="004F34CF">
        <w:t>focuses</w:t>
      </w:r>
      <w:proofErr w:type="spellEnd"/>
      <w:r w:rsidRPr="004F34CF">
        <w:t xml:space="preserve"> on a </w:t>
      </w:r>
      <w:proofErr w:type="spellStart"/>
      <w:r w:rsidRPr="004F34CF">
        <w:t>sample</w:t>
      </w:r>
      <w:proofErr w:type="spellEnd"/>
      <w:r w:rsidRPr="004F34CF">
        <w:t xml:space="preserve"> of </w:t>
      </w:r>
      <w:proofErr w:type="spellStart"/>
      <w:r w:rsidRPr="004F34CF">
        <w:t>Türkiye’s</w:t>
      </w:r>
      <w:proofErr w:type="spellEnd"/>
      <w:r w:rsidRPr="004F34CF">
        <w:t xml:space="preserve"> </w:t>
      </w:r>
      <w:proofErr w:type="spellStart"/>
      <w:r w:rsidRPr="004F34CF">
        <w:t>mediation</w:t>
      </w:r>
      <w:proofErr w:type="spellEnd"/>
      <w:r w:rsidRPr="004F34CF">
        <w:t xml:space="preserve"> </w:t>
      </w:r>
      <w:proofErr w:type="spellStart"/>
      <w:r w:rsidRPr="004F34CF">
        <w:t>and</w:t>
      </w:r>
      <w:proofErr w:type="spellEnd"/>
      <w:r w:rsidRPr="004F34CF">
        <w:t xml:space="preserve"> </w:t>
      </w:r>
      <w:proofErr w:type="spellStart"/>
      <w:r w:rsidRPr="004F34CF">
        <w:t>conflict</w:t>
      </w:r>
      <w:proofErr w:type="spellEnd"/>
      <w:r w:rsidRPr="004F34CF">
        <w:t xml:space="preserve"> </w:t>
      </w:r>
      <w:proofErr w:type="spellStart"/>
      <w:r w:rsidRPr="004F34CF">
        <w:t>resolution</w:t>
      </w:r>
      <w:proofErr w:type="spellEnd"/>
      <w:r w:rsidRPr="004F34CF">
        <w:t xml:space="preserve"> </w:t>
      </w:r>
      <w:proofErr w:type="spellStart"/>
      <w:r w:rsidRPr="004F34CF">
        <w:t>efforts</w:t>
      </w:r>
      <w:proofErr w:type="spellEnd"/>
      <w:r w:rsidRPr="004F34CF">
        <w:t xml:space="preserve"> </w:t>
      </w:r>
      <w:proofErr w:type="spellStart"/>
      <w:r w:rsidRPr="004F34CF">
        <w:t>employed</w:t>
      </w:r>
      <w:proofErr w:type="spellEnd"/>
      <w:r w:rsidRPr="004F34CF">
        <w:t xml:space="preserve"> </w:t>
      </w:r>
      <w:proofErr w:type="spellStart"/>
      <w:r w:rsidRPr="004F34CF">
        <w:t>to</w:t>
      </w:r>
      <w:proofErr w:type="spellEnd"/>
      <w:r w:rsidRPr="004F34CF">
        <w:t xml:space="preserve"> </w:t>
      </w:r>
      <w:proofErr w:type="spellStart"/>
      <w:r w:rsidRPr="004F34CF">
        <w:t>turn</w:t>
      </w:r>
      <w:proofErr w:type="spellEnd"/>
      <w:r w:rsidRPr="004F34CF">
        <w:t xml:space="preserve"> </w:t>
      </w:r>
      <w:proofErr w:type="spellStart"/>
      <w:r w:rsidRPr="004F34CF">
        <w:t>neighboring</w:t>
      </w:r>
      <w:proofErr w:type="spellEnd"/>
      <w:r w:rsidRPr="004F34CF">
        <w:t xml:space="preserve"> </w:t>
      </w:r>
      <w:proofErr w:type="spellStart"/>
      <w:r w:rsidRPr="004F34CF">
        <w:t>states</w:t>
      </w:r>
      <w:proofErr w:type="spellEnd"/>
      <w:r w:rsidRPr="004F34CF">
        <w:t xml:space="preserve"> </w:t>
      </w:r>
      <w:proofErr w:type="spellStart"/>
      <w:r w:rsidRPr="004F34CF">
        <w:t>into</w:t>
      </w:r>
      <w:proofErr w:type="spellEnd"/>
      <w:r w:rsidRPr="004F34CF">
        <w:t xml:space="preserve"> </w:t>
      </w:r>
      <w:proofErr w:type="spellStart"/>
      <w:r w:rsidRPr="004F34CF">
        <w:t>followers</w:t>
      </w:r>
      <w:proofErr w:type="spellEnd"/>
      <w:r w:rsidRPr="004F34CF">
        <w:t xml:space="preserve"> in </w:t>
      </w:r>
      <w:proofErr w:type="spellStart"/>
      <w:r w:rsidRPr="004F34CF">
        <w:t>line</w:t>
      </w:r>
      <w:proofErr w:type="spellEnd"/>
      <w:r w:rsidRPr="004F34CF">
        <w:t xml:space="preserve"> </w:t>
      </w:r>
      <w:proofErr w:type="spellStart"/>
      <w:r w:rsidRPr="004F34CF">
        <w:t>with</w:t>
      </w:r>
      <w:proofErr w:type="spellEnd"/>
      <w:r w:rsidRPr="004F34CF">
        <w:t xml:space="preserve"> </w:t>
      </w:r>
      <w:proofErr w:type="spellStart"/>
      <w:r w:rsidRPr="004F34CF">
        <w:t>its</w:t>
      </w:r>
      <w:proofErr w:type="spellEnd"/>
      <w:r w:rsidRPr="004F34CF">
        <w:t xml:space="preserve"> </w:t>
      </w:r>
      <w:proofErr w:type="spellStart"/>
      <w:r w:rsidRPr="004F34CF">
        <w:t>regional</w:t>
      </w:r>
      <w:proofErr w:type="spellEnd"/>
      <w:r w:rsidRPr="004F34CF">
        <w:t xml:space="preserve"> </w:t>
      </w:r>
      <w:proofErr w:type="spellStart"/>
      <w:r w:rsidRPr="004F34CF">
        <w:t>leadership</w:t>
      </w:r>
      <w:proofErr w:type="spellEnd"/>
      <w:r w:rsidRPr="004F34CF">
        <w:t xml:space="preserve"> </w:t>
      </w:r>
      <w:proofErr w:type="spellStart"/>
      <w:r w:rsidRPr="004F34CF">
        <w:t>objective</w:t>
      </w:r>
      <w:proofErr w:type="spellEnd"/>
      <w:r w:rsidRPr="004F34CF">
        <w:t xml:space="preserve">. </w:t>
      </w:r>
      <w:proofErr w:type="spellStart"/>
      <w:r w:rsidRPr="004F34CF">
        <w:t>In</w:t>
      </w:r>
      <w:proofErr w:type="spellEnd"/>
      <w:r w:rsidRPr="004F34CF">
        <w:t xml:space="preserve"> </w:t>
      </w:r>
      <w:proofErr w:type="spellStart"/>
      <w:r w:rsidRPr="004F34CF">
        <w:t>this</w:t>
      </w:r>
      <w:proofErr w:type="spellEnd"/>
      <w:r w:rsidRPr="004F34CF">
        <w:t xml:space="preserve"> </w:t>
      </w:r>
      <w:proofErr w:type="spellStart"/>
      <w:r w:rsidRPr="004F34CF">
        <w:t>context</w:t>
      </w:r>
      <w:proofErr w:type="spellEnd"/>
      <w:r w:rsidRPr="004F34CF">
        <w:t xml:space="preserve">, </w:t>
      </w:r>
      <w:proofErr w:type="spellStart"/>
      <w:r w:rsidRPr="004F34CF">
        <w:t>the</w:t>
      </w:r>
      <w:proofErr w:type="spellEnd"/>
      <w:r w:rsidRPr="004F34CF">
        <w:t xml:space="preserve"> </w:t>
      </w:r>
      <w:proofErr w:type="spellStart"/>
      <w:r w:rsidRPr="004F34CF">
        <w:t>aim</w:t>
      </w:r>
      <w:proofErr w:type="spellEnd"/>
      <w:r w:rsidRPr="004F34CF">
        <w:t xml:space="preserve"> is </w:t>
      </w:r>
      <w:proofErr w:type="spellStart"/>
      <w:r w:rsidRPr="004F34CF">
        <w:t>to</w:t>
      </w:r>
      <w:proofErr w:type="spellEnd"/>
      <w:r w:rsidRPr="004F34CF">
        <w:t xml:space="preserve"> </w:t>
      </w:r>
      <w:proofErr w:type="spellStart"/>
      <w:r w:rsidRPr="004F34CF">
        <w:t>initiate</w:t>
      </w:r>
      <w:proofErr w:type="spellEnd"/>
      <w:r w:rsidRPr="004F34CF">
        <w:t xml:space="preserve"> a </w:t>
      </w:r>
      <w:proofErr w:type="spellStart"/>
      <w:r w:rsidRPr="004F34CF">
        <w:t>discussion</w:t>
      </w:r>
      <w:proofErr w:type="spellEnd"/>
      <w:r w:rsidRPr="004F34CF">
        <w:t xml:space="preserve"> on </w:t>
      </w:r>
      <w:proofErr w:type="spellStart"/>
      <w:r w:rsidRPr="004F34CF">
        <w:t>the</w:t>
      </w:r>
      <w:proofErr w:type="spellEnd"/>
      <w:r w:rsidRPr="004F34CF">
        <w:t xml:space="preserve"> </w:t>
      </w:r>
      <w:proofErr w:type="spellStart"/>
      <w:r w:rsidRPr="004F34CF">
        <w:t>corridors</w:t>
      </w:r>
      <w:proofErr w:type="spellEnd"/>
      <w:r w:rsidRPr="004F34CF">
        <w:t xml:space="preserve"> </w:t>
      </w:r>
      <w:proofErr w:type="spellStart"/>
      <w:r w:rsidRPr="004F34CF">
        <w:t>that</w:t>
      </w:r>
      <w:proofErr w:type="spellEnd"/>
      <w:r w:rsidRPr="004F34CF">
        <w:t xml:space="preserve"> </w:t>
      </w:r>
      <w:proofErr w:type="spellStart"/>
      <w:r w:rsidRPr="004F34CF">
        <w:t>have</w:t>
      </w:r>
      <w:proofErr w:type="spellEnd"/>
      <w:r w:rsidRPr="004F34CF">
        <w:t xml:space="preserve"> </w:t>
      </w:r>
      <w:proofErr w:type="spellStart"/>
      <w:r w:rsidRPr="004F34CF">
        <w:t>occupied</w:t>
      </w:r>
      <w:proofErr w:type="spellEnd"/>
      <w:r w:rsidRPr="004F34CF">
        <w:t xml:space="preserve"> a </w:t>
      </w:r>
      <w:proofErr w:type="spellStart"/>
      <w:r w:rsidRPr="004F34CF">
        <w:t>significant</w:t>
      </w:r>
      <w:proofErr w:type="spellEnd"/>
      <w:r w:rsidRPr="004F34CF">
        <w:t xml:space="preserve"> </w:t>
      </w:r>
      <w:proofErr w:type="spellStart"/>
      <w:r w:rsidRPr="004F34CF">
        <w:t>place</w:t>
      </w:r>
      <w:proofErr w:type="spellEnd"/>
      <w:r w:rsidRPr="004F34CF">
        <w:t xml:space="preserve"> in </w:t>
      </w:r>
      <w:proofErr w:type="spellStart"/>
      <w:r w:rsidRPr="004F34CF">
        <w:t>Turkish</w:t>
      </w:r>
      <w:proofErr w:type="spellEnd"/>
      <w:r w:rsidRPr="004F34CF">
        <w:t xml:space="preserve"> </w:t>
      </w:r>
      <w:proofErr w:type="spellStart"/>
      <w:r w:rsidRPr="004F34CF">
        <w:t>foreign</w:t>
      </w:r>
      <w:proofErr w:type="spellEnd"/>
      <w:r w:rsidRPr="004F34CF">
        <w:t xml:space="preserve"> </w:t>
      </w:r>
      <w:proofErr w:type="spellStart"/>
      <w:r w:rsidRPr="004F34CF">
        <w:t>policy</w:t>
      </w:r>
      <w:proofErr w:type="spellEnd"/>
      <w:r>
        <w:t xml:space="preserve">, </w:t>
      </w:r>
      <w:proofErr w:type="spellStart"/>
      <w:r>
        <w:t>particularly</w:t>
      </w:r>
      <w:proofErr w:type="spellEnd"/>
      <w:r>
        <w:t xml:space="preserve"> in </w:t>
      </w:r>
      <w:proofErr w:type="spellStart"/>
      <w:r>
        <w:t>recent</w:t>
      </w:r>
      <w:proofErr w:type="spellEnd"/>
      <w:r>
        <w:t xml:space="preserve"> </w:t>
      </w:r>
      <w:proofErr w:type="spellStart"/>
      <w:r>
        <w:t>years</w:t>
      </w:r>
      <w:proofErr w:type="spellEnd"/>
      <w:r>
        <w:t xml:space="preserve">. </w:t>
      </w:r>
      <w:r w:rsidRPr="004F34CF">
        <w:t xml:space="preserve">Türkiye </w:t>
      </w:r>
      <w:proofErr w:type="spellStart"/>
      <w:r w:rsidRPr="004F34CF">
        <w:t>endeavors</w:t>
      </w:r>
      <w:proofErr w:type="spellEnd"/>
      <w:r w:rsidRPr="004F34CF">
        <w:t xml:space="preserve"> </w:t>
      </w:r>
      <w:proofErr w:type="spellStart"/>
      <w:r w:rsidRPr="004F34CF">
        <w:t>to</w:t>
      </w:r>
      <w:proofErr w:type="spellEnd"/>
      <w:r w:rsidRPr="004F34CF">
        <w:t xml:space="preserve"> </w:t>
      </w:r>
      <w:proofErr w:type="spellStart"/>
      <w:r w:rsidRPr="004F34CF">
        <w:t>reconcile</w:t>
      </w:r>
      <w:proofErr w:type="spellEnd"/>
      <w:r w:rsidRPr="004F34CF">
        <w:t xml:space="preserve"> </w:t>
      </w:r>
      <w:proofErr w:type="spellStart"/>
      <w:r w:rsidRPr="004F34CF">
        <w:t>conflicting</w:t>
      </w:r>
      <w:proofErr w:type="spellEnd"/>
      <w:r w:rsidRPr="004F34CF">
        <w:t xml:space="preserve"> </w:t>
      </w:r>
      <w:proofErr w:type="spellStart"/>
      <w:r w:rsidRPr="004F34CF">
        <w:t>parties</w:t>
      </w:r>
      <w:proofErr w:type="spellEnd"/>
      <w:r w:rsidRPr="004F34CF">
        <w:t xml:space="preserve"> </w:t>
      </w:r>
      <w:proofErr w:type="spellStart"/>
      <w:r w:rsidRPr="004F34CF">
        <w:t>by</w:t>
      </w:r>
      <w:proofErr w:type="spellEnd"/>
      <w:r w:rsidRPr="004F34CF">
        <w:t xml:space="preserve"> </w:t>
      </w:r>
      <w:proofErr w:type="spellStart"/>
      <w:r w:rsidRPr="004F34CF">
        <w:t>designing</w:t>
      </w:r>
      <w:proofErr w:type="spellEnd"/>
      <w:r w:rsidRPr="004F34CF">
        <w:t xml:space="preserve"> </w:t>
      </w:r>
      <w:proofErr w:type="spellStart"/>
      <w:r w:rsidRPr="004F34CF">
        <w:t>corridors</w:t>
      </w:r>
      <w:proofErr w:type="spellEnd"/>
      <w:r w:rsidRPr="004F34CF">
        <w:t xml:space="preserve"> </w:t>
      </w:r>
      <w:proofErr w:type="spellStart"/>
      <w:r w:rsidRPr="004F34CF">
        <w:t>to</w:t>
      </w:r>
      <w:proofErr w:type="spellEnd"/>
      <w:r w:rsidRPr="004F34CF">
        <w:t xml:space="preserve"> </w:t>
      </w:r>
      <w:proofErr w:type="spellStart"/>
      <w:r w:rsidRPr="004F34CF">
        <w:t>resolve</w:t>
      </w:r>
      <w:proofErr w:type="spellEnd"/>
      <w:r w:rsidRPr="004F34CF">
        <w:t xml:space="preserve"> </w:t>
      </w:r>
      <w:proofErr w:type="spellStart"/>
      <w:r w:rsidRPr="004F34CF">
        <w:t>conflicts</w:t>
      </w:r>
      <w:proofErr w:type="spellEnd"/>
      <w:r w:rsidRPr="004F34CF">
        <w:t xml:space="preserve"> </w:t>
      </w:r>
      <w:proofErr w:type="spellStart"/>
      <w:r w:rsidRPr="004F34CF">
        <w:t>both</w:t>
      </w:r>
      <w:proofErr w:type="spellEnd"/>
      <w:r w:rsidRPr="004F34CF">
        <w:t xml:space="preserve"> in </w:t>
      </w:r>
      <w:proofErr w:type="spellStart"/>
      <w:r w:rsidRPr="004F34CF">
        <w:t>its</w:t>
      </w:r>
      <w:proofErr w:type="spellEnd"/>
      <w:r w:rsidRPr="004F34CF">
        <w:t xml:space="preserve"> </w:t>
      </w:r>
      <w:proofErr w:type="spellStart"/>
      <w:r w:rsidRPr="004F34CF">
        <w:t>vicinity</w:t>
      </w:r>
      <w:proofErr w:type="spellEnd"/>
      <w:r w:rsidRPr="004F34CF">
        <w:t xml:space="preserve"> </w:t>
      </w:r>
      <w:proofErr w:type="spellStart"/>
      <w:r w:rsidRPr="004F34CF">
        <w:t>and</w:t>
      </w:r>
      <w:proofErr w:type="spellEnd"/>
      <w:r w:rsidRPr="004F34CF">
        <w:t xml:space="preserve"> in </w:t>
      </w:r>
      <w:proofErr w:type="spellStart"/>
      <w:r w:rsidRPr="004F34CF">
        <w:t>regions</w:t>
      </w:r>
      <w:proofErr w:type="spellEnd"/>
      <w:r w:rsidRPr="004F34CF">
        <w:t xml:space="preserve"> </w:t>
      </w:r>
      <w:proofErr w:type="spellStart"/>
      <w:r w:rsidRPr="004F34CF">
        <w:t>where</w:t>
      </w:r>
      <w:proofErr w:type="spellEnd"/>
      <w:r w:rsidRPr="004F34CF">
        <w:t xml:space="preserve"> </w:t>
      </w:r>
      <w:proofErr w:type="spellStart"/>
      <w:r w:rsidRPr="004F34CF">
        <w:t>its</w:t>
      </w:r>
      <w:proofErr w:type="spellEnd"/>
      <w:r w:rsidRPr="004F34CF">
        <w:t xml:space="preserve"> </w:t>
      </w:r>
      <w:proofErr w:type="spellStart"/>
      <w:r w:rsidRPr="004F34CF">
        <w:t>national</w:t>
      </w:r>
      <w:proofErr w:type="spellEnd"/>
      <w:r w:rsidRPr="004F34CF">
        <w:t xml:space="preserve"> </w:t>
      </w:r>
      <w:proofErr w:type="spellStart"/>
      <w:r w:rsidRPr="004F34CF">
        <w:t>interests</w:t>
      </w:r>
      <w:proofErr w:type="spellEnd"/>
      <w:r w:rsidRPr="004F34CF">
        <w:t xml:space="preserve"> </w:t>
      </w:r>
      <w:proofErr w:type="spellStart"/>
      <w:r w:rsidRPr="004F34CF">
        <w:t>are</w:t>
      </w:r>
      <w:proofErr w:type="spellEnd"/>
      <w:r w:rsidRPr="004F34CF">
        <w:t xml:space="preserve"> at </w:t>
      </w:r>
      <w:proofErr w:type="spellStart"/>
      <w:r w:rsidRPr="004F34CF">
        <w:t>stake</w:t>
      </w:r>
      <w:proofErr w:type="spellEnd"/>
      <w:r w:rsidRPr="004F34CF">
        <w:t xml:space="preserve">. </w:t>
      </w:r>
      <w:proofErr w:type="spellStart"/>
      <w:r w:rsidRPr="004F34CF">
        <w:t>In</w:t>
      </w:r>
      <w:proofErr w:type="spellEnd"/>
      <w:r w:rsidRPr="004F34CF">
        <w:t xml:space="preserve"> </w:t>
      </w:r>
      <w:proofErr w:type="spellStart"/>
      <w:r w:rsidRPr="004F34CF">
        <w:t>doing</w:t>
      </w:r>
      <w:proofErr w:type="spellEnd"/>
      <w:r w:rsidRPr="004F34CF">
        <w:t xml:space="preserve"> </w:t>
      </w:r>
      <w:proofErr w:type="spellStart"/>
      <w:r w:rsidRPr="004F34CF">
        <w:t>so</w:t>
      </w:r>
      <w:proofErr w:type="spellEnd"/>
      <w:r w:rsidRPr="004F34CF">
        <w:t xml:space="preserve">, it </w:t>
      </w:r>
      <w:proofErr w:type="spellStart"/>
      <w:r w:rsidRPr="004F34CF">
        <w:t>considers</w:t>
      </w:r>
      <w:proofErr w:type="spellEnd"/>
      <w:r w:rsidRPr="004F34CF">
        <w:t xml:space="preserve"> </w:t>
      </w:r>
      <w:proofErr w:type="spellStart"/>
      <w:r w:rsidRPr="004F34CF">
        <w:t>the</w:t>
      </w:r>
      <w:proofErr w:type="spellEnd"/>
      <w:r w:rsidRPr="004F34CF">
        <w:t xml:space="preserve"> </w:t>
      </w:r>
      <w:proofErr w:type="spellStart"/>
      <w:r w:rsidRPr="004F34CF">
        <w:t>interests</w:t>
      </w:r>
      <w:proofErr w:type="spellEnd"/>
      <w:r w:rsidRPr="004F34CF">
        <w:t xml:space="preserve"> </w:t>
      </w:r>
      <w:proofErr w:type="spellStart"/>
      <w:r w:rsidRPr="004F34CF">
        <w:t>and</w:t>
      </w:r>
      <w:proofErr w:type="spellEnd"/>
      <w:r w:rsidRPr="004F34CF">
        <w:t xml:space="preserve"> </w:t>
      </w:r>
      <w:proofErr w:type="spellStart"/>
      <w:r w:rsidRPr="004F34CF">
        <w:t>demands</w:t>
      </w:r>
      <w:proofErr w:type="spellEnd"/>
      <w:r w:rsidRPr="004F34CF">
        <w:t xml:space="preserve"> of </w:t>
      </w:r>
      <w:proofErr w:type="spellStart"/>
      <w:r w:rsidRPr="004F34CF">
        <w:t>the</w:t>
      </w:r>
      <w:proofErr w:type="spellEnd"/>
      <w:r w:rsidRPr="004F34CF">
        <w:t xml:space="preserve"> </w:t>
      </w:r>
      <w:proofErr w:type="spellStart"/>
      <w:r w:rsidRPr="004F34CF">
        <w:t>parties</w:t>
      </w:r>
      <w:proofErr w:type="spellEnd"/>
      <w:r w:rsidRPr="004F34CF">
        <w:t xml:space="preserve"> </w:t>
      </w:r>
      <w:proofErr w:type="spellStart"/>
      <w:r w:rsidRPr="004F34CF">
        <w:t>involved</w:t>
      </w:r>
      <w:proofErr w:type="spellEnd"/>
      <w:r w:rsidRPr="004F34CF">
        <w:t xml:space="preserve">, </w:t>
      </w:r>
      <w:proofErr w:type="spellStart"/>
      <w:r w:rsidRPr="004F34CF">
        <w:t>while</w:t>
      </w:r>
      <w:proofErr w:type="spellEnd"/>
      <w:r w:rsidRPr="004F34CF">
        <w:t xml:space="preserve"> </w:t>
      </w:r>
      <w:proofErr w:type="spellStart"/>
      <w:r w:rsidRPr="004F34CF">
        <w:t>aiming</w:t>
      </w:r>
      <w:proofErr w:type="spellEnd"/>
      <w:r w:rsidRPr="004F34CF">
        <w:t xml:space="preserve"> </w:t>
      </w:r>
      <w:proofErr w:type="spellStart"/>
      <w:r w:rsidRPr="004F34CF">
        <w:t>to</w:t>
      </w:r>
      <w:proofErr w:type="spellEnd"/>
      <w:r w:rsidRPr="004F34CF">
        <w:t xml:space="preserve"> </w:t>
      </w:r>
      <w:proofErr w:type="spellStart"/>
      <w:r w:rsidRPr="004F34CF">
        <w:t>secure</w:t>
      </w:r>
      <w:proofErr w:type="spellEnd"/>
      <w:r w:rsidRPr="004F34CF">
        <w:t xml:space="preserve"> </w:t>
      </w:r>
      <w:proofErr w:type="spellStart"/>
      <w:r w:rsidRPr="004F34CF">
        <w:t>their</w:t>
      </w:r>
      <w:proofErr w:type="spellEnd"/>
      <w:r w:rsidRPr="004F34CF">
        <w:t xml:space="preserve"> </w:t>
      </w:r>
      <w:proofErr w:type="spellStart"/>
      <w:r w:rsidRPr="004F34CF">
        <w:t>support</w:t>
      </w:r>
      <w:proofErr w:type="spellEnd"/>
      <w:r w:rsidRPr="004F34CF">
        <w:t xml:space="preserve"> in </w:t>
      </w:r>
      <w:proofErr w:type="spellStart"/>
      <w:r w:rsidRPr="004F34CF">
        <w:t>the</w:t>
      </w:r>
      <w:proofErr w:type="spellEnd"/>
      <w:r w:rsidRPr="004F34CF">
        <w:t xml:space="preserve"> </w:t>
      </w:r>
      <w:proofErr w:type="spellStart"/>
      <w:r w:rsidRPr="004F34CF">
        <w:t>international</w:t>
      </w:r>
      <w:proofErr w:type="spellEnd"/>
      <w:r w:rsidRPr="004F34CF">
        <w:t xml:space="preserve"> arena. </w:t>
      </w:r>
      <w:proofErr w:type="spellStart"/>
      <w:r w:rsidRPr="004F34CF">
        <w:t>Accordingly</w:t>
      </w:r>
      <w:proofErr w:type="spellEnd"/>
      <w:r w:rsidRPr="004F34CF">
        <w:t xml:space="preserve">, </w:t>
      </w:r>
      <w:proofErr w:type="spellStart"/>
      <w:r w:rsidRPr="004F34CF">
        <w:t>the</w:t>
      </w:r>
      <w:proofErr w:type="spellEnd"/>
      <w:r w:rsidRPr="004F34CF">
        <w:t xml:space="preserve"> </w:t>
      </w:r>
      <w:proofErr w:type="spellStart"/>
      <w:r w:rsidRPr="004F34CF">
        <w:t>Zangezur</w:t>
      </w:r>
      <w:proofErr w:type="spellEnd"/>
      <w:r w:rsidRPr="004F34CF">
        <w:t xml:space="preserve"> </w:t>
      </w:r>
      <w:proofErr w:type="spellStart"/>
      <w:r w:rsidRPr="004F34CF">
        <w:t>Corridor</w:t>
      </w:r>
      <w:proofErr w:type="spellEnd"/>
      <w:r w:rsidRPr="004F34CF">
        <w:t xml:space="preserve">, </w:t>
      </w:r>
      <w:r>
        <w:t xml:space="preserve">Black </w:t>
      </w:r>
      <w:proofErr w:type="spellStart"/>
      <w:r>
        <w:t>Sea</w:t>
      </w:r>
      <w:proofErr w:type="spellEnd"/>
      <w:r>
        <w:t xml:space="preserve"> </w:t>
      </w:r>
      <w:proofErr w:type="spellStart"/>
      <w:r>
        <w:t>Grain</w:t>
      </w:r>
      <w:proofErr w:type="spellEnd"/>
      <w:r>
        <w:t xml:space="preserve"> </w:t>
      </w:r>
      <w:proofErr w:type="spellStart"/>
      <w:r>
        <w:t>Initiative</w:t>
      </w:r>
      <w:proofErr w:type="spellEnd"/>
      <w:r w:rsidRPr="004F34CF">
        <w:t xml:space="preserve">, </w:t>
      </w:r>
      <w:proofErr w:type="spellStart"/>
      <w:r>
        <w:t>Iraq</w:t>
      </w:r>
      <w:proofErr w:type="spellEnd"/>
      <w:r>
        <w:t xml:space="preserve"> </w:t>
      </w:r>
      <w:r w:rsidRPr="004F34CF">
        <w:t xml:space="preserve">Development Road, </w:t>
      </w:r>
      <w:proofErr w:type="spellStart"/>
      <w:r w:rsidRPr="004F34CF">
        <w:t>and</w:t>
      </w:r>
      <w:proofErr w:type="spellEnd"/>
      <w:r w:rsidRPr="004F34CF">
        <w:t xml:space="preserve"> </w:t>
      </w:r>
      <w:proofErr w:type="spellStart"/>
      <w:r w:rsidRPr="004F34CF">
        <w:t>Somalia-Ethiopia</w:t>
      </w:r>
      <w:proofErr w:type="spellEnd"/>
      <w:r w:rsidRPr="004F34CF">
        <w:t xml:space="preserve"> </w:t>
      </w:r>
      <w:proofErr w:type="spellStart"/>
      <w:r w:rsidRPr="004F34CF">
        <w:t>Corridor</w:t>
      </w:r>
      <w:proofErr w:type="spellEnd"/>
      <w:r w:rsidRPr="004F34CF">
        <w:t xml:space="preserve"> </w:t>
      </w:r>
      <w:proofErr w:type="spellStart"/>
      <w:r w:rsidRPr="004F34CF">
        <w:t>have</w:t>
      </w:r>
      <w:proofErr w:type="spellEnd"/>
      <w:r w:rsidRPr="004F34CF">
        <w:t xml:space="preserve"> </w:t>
      </w:r>
      <w:proofErr w:type="spellStart"/>
      <w:r w:rsidRPr="004F34CF">
        <w:t>been</w:t>
      </w:r>
      <w:proofErr w:type="spellEnd"/>
      <w:r w:rsidRPr="004F34CF">
        <w:t xml:space="preserve"> </w:t>
      </w:r>
      <w:proofErr w:type="spellStart"/>
      <w:r w:rsidRPr="004F34CF">
        <w:t>examined</w:t>
      </w:r>
      <w:proofErr w:type="spellEnd"/>
      <w:r w:rsidRPr="004F34CF">
        <w:t xml:space="preserve"> </w:t>
      </w:r>
      <w:proofErr w:type="spellStart"/>
      <w:r w:rsidRPr="004F34CF">
        <w:t>sequentially</w:t>
      </w:r>
      <w:proofErr w:type="spellEnd"/>
      <w:r w:rsidRPr="004F34CF">
        <w:t xml:space="preserve"> </w:t>
      </w:r>
      <w:proofErr w:type="spellStart"/>
      <w:r w:rsidRPr="004F34CF">
        <w:t>to</w:t>
      </w:r>
      <w:proofErr w:type="spellEnd"/>
      <w:r w:rsidRPr="004F34CF">
        <w:t xml:space="preserve"> </w:t>
      </w:r>
      <w:proofErr w:type="spellStart"/>
      <w:r w:rsidRPr="004F34CF">
        <w:t>identify</w:t>
      </w:r>
      <w:proofErr w:type="spellEnd"/>
      <w:r w:rsidRPr="004F34CF">
        <w:t xml:space="preserve"> </w:t>
      </w:r>
      <w:proofErr w:type="spellStart"/>
      <w:r w:rsidRPr="004F34CF">
        <w:t>the</w:t>
      </w:r>
      <w:proofErr w:type="spellEnd"/>
      <w:r w:rsidRPr="004F34CF">
        <w:t xml:space="preserve"> </w:t>
      </w:r>
      <w:proofErr w:type="spellStart"/>
      <w:r w:rsidRPr="004F34CF">
        <w:t>interests</w:t>
      </w:r>
      <w:proofErr w:type="spellEnd"/>
      <w:r w:rsidRPr="004F34CF">
        <w:t xml:space="preserve"> </w:t>
      </w:r>
      <w:proofErr w:type="spellStart"/>
      <w:r w:rsidRPr="004F34CF">
        <w:t>and</w:t>
      </w:r>
      <w:proofErr w:type="spellEnd"/>
      <w:r w:rsidRPr="004F34CF">
        <w:t xml:space="preserve"> </w:t>
      </w:r>
      <w:proofErr w:type="spellStart"/>
      <w:r w:rsidRPr="004F34CF">
        <w:t>demands</w:t>
      </w:r>
      <w:proofErr w:type="spellEnd"/>
      <w:r w:rsidRPr="004F34CF">
        <w:t xml:space="preserve"> of </w:t>
      </w:r>
      <w:proofErr w:type="spellStart"/>
      <w:r w:rsidRPr="004F34CF">
        <w:t>the</w:t>
      </w:r>
      <w:proofErr w:type="spellEnd"/>
      <w:r w:rsidRPr="004F34CF">
        <w:t xml:space="preserve"> </w:t>
      </w:r>
      <w:proofErr w:type="spellStart"/>
      <w:r w:rsidRPr="004F34CF">
        <w:t>parties</w:t>
      </w:r>
      <w:proofErr w:type="spellEnd"/>
      <w:r w:rsidRPr="004F34CF">
        <w:t xml:space="preserve">. </w:t>
      </w:r>
      <w:proofErr w:type="spellStart"/>
      <w:r w:rsidRPr="004F34CF">
        <w:t>The</w:t>
      </w:r>
      <w:proofErr w:type="spellEnd"/>
      <w:r w:rsidRPr="004F34CF">
        <w:t xml:space="preserve"> </w:t>
      </w:r>
      <w:proofErr w:type="spellStart"/>
      <w:r w:rsidRPr="004F34CF">
        <w:t>significance</w:t>
      </w:r>
      <w:proofErr w:type="spellEnd"/>
      <w:r w:rsidRPr="004F34CF">
        <w:t xml:space="preserve"> of </w:t>
      </w:r>
      <w:proofErr w:type="spellStart"/>
      <w:r w:rsidRPr="004F34CF">
        <w:t>these</w:t>
      </w:r>
      <w:proofErr w:type="spellEnd"/>
      <w:r w:rsidRPr="004F34CF">
        <w:t xml:space="preserve"> </w:t>
      </w:r>
      <w:proofErr w:type="spellStart"/>
      <w:r w:rsidRPr="004F34CF">
        <w:t>corridors</w:t>
      </w:r>
      <w:proofErr w:type="spellEnd"/>
      <w:r w:rsidRPr="004F34CF">
        <w:t xml:space="preserve"> </w:t>
      </w:r>
      <w:proofErr w:type="spellStart"/>
      <w:r w:rsidRPr="004F34CF">
        <w:t>for</w:t>
      </w:r>
      <w:proofErr w:type="spellEnd"/>
      <w:r w:rsidRPr="004F34CF">
        <w:t xml:space="preserve"> Türkiye has </w:t>
      </w:r>
      <w:proofErr w:type="spellStart"/>
      <w:r w:rsidRPr="004F34CF">
        <w:t>been</w:t>
      </w:r>
      <w:proofErr w:type="spellEnd"/>
      <w:r w:rsidRPr="004F34CF">
        <w:t xml:space="preserve"> </w:t>
      </w:r>
      <w:proofErr w:type="spellStart"/>
      <w:r w:rsidRPr="004F34CF">
        <w:t>analyzed</w:t>
      </w:r>
      <w:proofErr w:type="spellEnd"/>
      <w:r w:rsidRPr="004F34CF">
        <w:t xml:space="preserve"> </w:t>
      </w:r>
      <w:proofErr w:type="spellStart"/>
      <w:r w:rsidRPr="004F34CF">
        <w:t>within</w:t>
      </w:r>
      <w:proofErr w:type="spellEnd"/>
      <w:r w:rsidRPr="004F34CF">
        <w:t xml:space="preserve"> </w:t>
      </w:r>
      <w:proofErr w:type="spellStart"/>
      <w:r w:rsidRPr="004F34CF">
        <w:t>the</w:t>
      </w:r>
      <w:proofErr w:type="spellEnd"/>
      <w:r w:rsidRPr="004F34CF">
        <w:t xml:space="preserve"> </w:t>
      </w:r>
      <w:proofErr w:type="spellStart"/>
      <w:r w:rsidRPr="004F34CF">
        <w:t>framework</w:t>
      </w:r>
      <w:proofErr w:type="spellEnd"/>
      <w:r w:rsidRPr="004F34CF">
        <w:t xml:space="preserve"> of </w:t>
      </w:r>
      <w:proofErr w:type="spellStart"/>
      <w:r w:rsidRPr="004F34CF">
        <w:t>the</w:t>
      </w:r>
      <w:proofErr w:type="spellEnd"/>
      <w:r w:rsidRPr="004F34CF">
        <w:t xml:space="preserve"> </w:t>
      </w:r>
      <w:r>
        <w:t xml:space="preserve">model </w:t>
      </w:r>
      <w:proofErr w:type="spellStart"/>
      <w:r>
        <w:t>called</w:t>
      </w:r>
      <w:proofErr w:type="spellEnd"/>
      <w:r>
        <w:t xml:space="preserve"> </w:t>
      </w:r>
      <w:proofErr w:type="spellStart"/>
      <w:r>
        <w:t>grand</w:t>
      </w:r>
      <w:proofErr w:type="spellEnd"/>
      <w:r>
        <w:t xml:space="preserve"> </w:t>
      </w:r>
      <w:proofErr w:type="spellStart"/>
      <w:r>
        <w:t>strategy</w:t>
      </w:r>
      <w:proofErr w:type="spellEnd"/>
      <w:r w:rsidRPr="004F34CF">
        <w:t xml:space="preserve"> of </w:t>
      </w:r>
      <w:proofErr w:type="spellStart"/>
      <w:r w:rsidRPr="004F34CF">
        <w:t>middle</w:t>
      </w:r>
      <w:proofErr w:type="spellEnd"/>
      <w:r w:rsidRPr="004F34CF">
        <w:t xml:space="preserve"> </w:t>
      </w:r>
      <w:proofErr w:type="spellStart"/>
      <w:r w:rsidRPr="004F34CF">
        <w:t>powers</w:t>
      </w:r>
      <w:proofErr w:type="spellEnd"/>
      <w:r w:rsidRPr="004F34CF">
        <w:t xml:space="preserve">. </w:t>
      </w:r>
      <w:proofErr w:type="spellStart"/>
      <w:r w:rsidRPr="004F34CF">
        <w:t>In</w:t>
      </w:r>
      <w:proofErr w:type="spellEnd"/>
      <w:r w:rsidRPr="004F34CF">
        <w:t xml:space="preserve"> </w:t>
      </w:r>
      <w:proofErr w:type="spellStart"/>
      <w:r w:rsidRPr="004F34CF">
        <w:t>this</w:t>
      </w:r>
      <w:proofErr w:type="spellEnd"/>
      <w:r w:rsidRPr="004F34CF">
        <w:t xml:space="preserve"> </w:t>
      </w:r>
      <w:proofErr w:type="spellStart"/>
      <w:r w:rsidRPr="004F34CF">
        <w:t>theoretical</w:t>
      </w:r>
      <w:proofErr w:type="spellEnd"/>
      <w:r w:rsidRPr="004F34CF">
        <w:t xml:space="preserve"> </w:t>
      </w:r>
      <w:proofErr w:type="spellStart"/>
      <w:r w:rsidRPr="004F34CF">
        <w:t>context</w:t>
      </w:r>
      <w:proofErr w:type="spellEnd"/>
      <w:r w:rsidRPr="004F34CF">
        <w:t xml:space="preserve">, </w:t>
      </w:r>
      <w:proofErr w:type="spellStart"/>
      <w:r w:rsidRPr="004F34CF">
        <w:t>the</w:t>
      </w:r>
      <w:proofErr w:type="spellEnd"/>
      <w:r w:rsidRPr="004F34CF">
        <w:t xml:space="preserve"> </w:t>
      </w:r>
      <w:proofErr w:type="spellStart"/>
      <w:r w:rsidRPr="004F34CF">
        <w:t>study</w:t>
      </w:r>
      <w:proofErr w:type="spellEnd"/>
      <w:r>
        <w:t xml:space="preserve"> </w:t>
      </w:r>
      <w:proofErr w:type="spellStart"/>
      <w:r>
        <w:t>seeks</w:t>
      </w:r>
      <w:proofErr w:type="spellEnd"/>
      <w:r>
        <w:t xml:space="preserve"> </w:t>
      </w:r>
      <w:proofErr w:type="spellStart"/>
      <w:r>
        <w:t>to</w:t>
      </w:r>
      <w:proofErr w:type="spellEnd"/>
      <w:r>
        <w:t xml:space="preserve"> </w:t>
      </w:r>
      <w:proofErr w:type="spellStart"/>
      <w:r>
        <w:t>answer</w:t>
      </w:r>
      <w:proofErr w:type="spellEnd"/>
      <w:r>
        <w:t xml:space="preserve"> </w:t>
      </w:r>
      <w:proofErr w:type="spellStart"/>
      <w:r>
        <w:t>the</w:t>
      </w:r>
      <w:proofErr w:type="spellEnd"/>
      <w:r>
        <w:t xml:space="preserve"> </w:t>
      </w:r>
      <w:proofErr w:type="spellStart"/>
      <w:r>
        <w:t>question</w:t>
      </w:r>
      <w:proofErr w:type="spellEnd"/>
      <w:r>
        <w:t>: “</w:t>
      </w:r>
      <w:proofErr w:type="spellStart"/>
      <w:r>
        <w:t>What</w:t>
      </w:r>
      <w:proofErr w:type="spellEnd"/>
      <w:r>
        <w:t xml:space="preserve"> is </w:t>
      </w:r>
      <w:proofErr w:type="spellStart"/>
      <w:r>
        <w:t>Türkiye’</w:t>
      </w:r>
      <w:r w:rsidRPr="004F34CF">
        <w:t>s</w:t>
      </w:r>
      <w:proofErr w:type="spellEnd"/>
      <w:r w:rsidRPr="004F34CF">
        <w:t xml:space="preserve"> </w:t>
      </w:r>
      <w:proofErr w:type="spellStart"/>
      <w:r w:rsidRPr="004F34CF">
        <w:t>objective</w:t>
      </w:r>
      <w:proofErr w:type="spellEnd"/>
      <w:r w:rsidRPr="004F34CF">
        <w:t xml:space="preserve"> in </w:t>
      </w:r>
      <w:proofErr w:type="spellStart"/>
      <w:r w:rsidRPr="004F34CF">
        <w:t>designing</w:t>
      </w:r>
      <w:proofErr w:type="spellEnd"/>
      <w:r w:rsidRPr="004F34CF">
        <w:t xml:space="preserve"> </w:t>
      </w:r>
      <w:proofErr w:type="spellStart"/>
      <w:r w:rsidRPr="004F34CF">
        <w:t>or</w:t>
      </w:r>
      <w:proofErr w:type="spellEnd"/>
      <w:r w:rsidRPr="004F34CF">
        <w:t xml:space="preserve"> </w:t>
      </w:r>
      <w:proofErr w:type="spellStart"/>
      <w:r w:rsidRPr="004F34CF">
        <w:t>initiating</w:t>
      </w:r>
      <w:proofErr w:type="spellEnd"/>
      <w:r w:rsidRPr="004F34CF">
        <w:t xml:space="preserve"> </w:t>
      </w:r>
      <w:proofErr w:type="spellStart"/>
      <w:r w:rsidRPr="004F34CF">
        <w:t>corridors</w:t>
      </w:r>
      <w:proofErr w:type="spellEnd"/>
      <w:r w:rsidRPr="004F34CF">
        <w:t xml:space="preserve"> </w:t>
      </w:r>
      <w:proofErr w:type="spellStart"/>
      <w:r w:rsidRPr="004F34CF">
        <w:t>to</w:t>
      </w:r>
      <w:proofErr w:type="spellEnd"/>
      <w:r w:rsidRPr="004F34CF">
        <w:t xml:space="preserve"> </w:t>
      </w:r>
      <w:proofErr w:type="spellStart"/>
      <w:r w:rsidRPr="004F34CF">
        <w:t>resolve</w:t>
      </w:r>
      <w:proofErr w:type="spellEnd"/>
      <w:r w:rsidRPr="004F34CF">
        <w:t xml:space="preserve"> </w:t>
      </w:r>
      <w:proofErr w:type="spellStart"/>
      <w:r w:rsidRPr="004F34CF">
        <w:t>conflicts</w:t>
      </w:r>
      <w:proofErr w:type="spellEnd"/>
      <w:r w:rsidRPr="004F34CF">
        <w:t xml:space="preserve"> </w:t>
      </w:r>
      <w:proofErr w:type="spellStart"/>
      <w:r w:rsidRPr="004F34CF">
        <w:t>arising</w:t>
      </w:r>
      <w:proofErr w:type="spellEnd"/>
      <w:r w:rsidRPr="004F34CF">
        <w:t xml:space="preserve"> in </w:t>
      </w:r>
      <w:proofErr w:type="spellStart"/>
      <w:r w:rsidRPr="004F34CF">
        <w:t>its</w:t>
      </w:r>
      <w:proofErr w:type="spellEnd"/>
      <w:r w:rsidRPr="004F34CF">
        <w:t xml:space="preserve"> </w:t>
      </w:r>
      <w:proofErr w:type="spellStart"/>
      <w:r w:rsidRPr="004F34CF">
        <w:t>immediate</w:t>
      </w:r>
      <w:proofErr w:type="spellEnd"/>
      <w:r w:rsidRPr="004F34CF">
        <w:t xml:space="preserve"> </w:t>
      </w:r>
      <w:proofErr w:type="spellStart"/>
      <w:r w:rsidRPr="004F34CF">
        <w:t>neighborhood</w:t>
      </w:r>
      <w:proofErr w:type="spellEnd"/>
      <w:r w:rsidRPr="004F34CF">
        <w:t xml:space="preserve"> </w:t>
      </w:r>
      <w:proofErr w:type="spellStart"/>
      <w:r w:rsidRPr="004F34CF">
        <w:t>and</w:t>
      </w:r>
      <w:proofErr w:type="spellEnd"/>
      <w:r w:rsidRPr="004F34CF">
        <w:t xml:space="preserve"> </w:t>
      </w:r>
      <w:proofErr w:type="spellStart"/>
      <w:r w:rsidRPr="004F34CF">
        <w:t>regions</w:t>
      </w:r>
      <w:proofErr w:type="spellEnd"/>
      <w:r w:rsidRPr="004F34CF">
        <w:t xml:space="preserve"> </w:t>
      </w:r>
      <w:proofErr w:type="spellStart"/>
      <w:r w:rsidRPr="004F34CF">
        <w:t>where</w:t>
      </w:r>
      <w:proofErr w:type="spellEnd"/>
      <w:r w:rsidRPr="004F34CF">
        <w:t xml:space="preserve"> </w:t>
      </w:r>
      <w:proofErr w:type="spellStart"/>
      <w:r w:rsidRPr="004F34CF">
        <w:t>its</w:t>
      </w:r>
      <w:proofErr w:type="spellEnd"/>
      <w:r w:rsidRPr="004F34CF">
        <w:t xml:space="preserve"> </w:t>
      </w:r>
      <w:proofErr w:type="spellStart"/>
      <w:r w:rsidRPr="004F34CF">
        <w:t>n</w:t>
      </w:r>
      <w:r>
        <w:t>ational</w:t>
      </w:r>
      <w:proofErr w:type="spellEnd"/>
      <w:r>
        <w:t xml:space="preserve"> </w:t>
      </w:r>
      <w:proofErr w:type="spellStart"/>
      <w:r>
        <w:t>interests</w:t>
      </w:r>
      <w:proofErr w:type="spellEnd"/>
      <w:r>
        <w:t xml:space="preserve"> </w:t>
      </w:r>
      <w:proofErr w:type="spellStart"/>
      <w:r>
        <w:t>are</w:t>
      </w:r>
      <w:proofErr w:type="spellEnd"/>
      <w:r>
        <w:t xml:space="preserve"> </w:t>
      </w:r>
      <w:proofErr w:type="spellStart"/>
      <w:r>
        <w:t>present</w:t>
      </w:r>
      <w:proofErr w:type="spellEnd"/>
      <w:r>
        <w:t xml:space="preserve">?” </w:t>
      </w:r>
      <w:r w:rsidRPr="004F34CF">
        <w:t xml:space="preserve">As a </w:t>
      </w:r>
      <w:proofErr w:type="spellStart"/>
      <w:r w:rsidRPr="004F34CF">
        <w:t>result</w:t>
      </w:r>
      <w:proofErr w:type="spellEnd"/>
      <w:r w:rsidRPr="004F34CF">
        <w:t xml:space="preserve">, </w:t>
      </w:r>
      <w:proofErr w:type="spellStart"/>
      <w:r w:rsidRPr="004F34CF">
        <w:t>the</w:t>
      </w:r>
      <w:proofErr w:type="spellEnd"/>
      <w:r w:rsidRPr="004F34CF">
        <w:t xml:space="preserve"> </w:t>
      </w:r>
      <w:proofErr w:type="spellStart"/>
      <w:r w:rsidRPr="004F34CF">
        <w:t>hypothesis</w:t>
      </w:r>
      <w:proofErr w:type="spellEnd"/>
      <w:r w:rsidRPr="004F34CF">
        <w:t xml:space="preserve"> </w:t>
      </w:r>
      <w:proofErr w:type="spellStart"/>
      <w:r w:rsidRPr="004F34CF">
        <w:t>that</w:t>
      </w:r>
      <w:proofErr w:type="spellEnd"/>
      <w:r w:rsidRPr="004F34CF">
        <w:t xml:space="preserve"> Türkiye </w:t>
      </w:r>
      <w:proofErr w:type="spellStart"/>
      <w:r w:rsidRPr="004F34CF">
        <w:t>implements</w:t>
      </w:r>
      <w:proofErr w:type="spellEnd"/>
      <w:r w:rsidRPr="004F34CF">
        <w:t xml:space="preserve"> </w:t>
      </w:r>
      <w:proofErr w:type="spellStart"/>
      <w:r w:rsidRPr="004F34CF">
        <w:t>its</w:t>
      </w:r>
      <w:proofErr w:type="spellEnd"/>
      <w:r w:rsidRPr="004F34CF">
        <w:t xml:space="preserve"> </w:t>
      </w:r>
      <w:proofErr w:type="spellStart"/>
      <w:r w:rsidRPr="004F34CF">
        <w:t>grand</w:t>
      </w:r>
      <w:proofErr w:type="spellEnd"/>
      <w:r w:rsidRPr="004F34CF">
        <w:t xml:space="preserve"> </w:t>
      </w:r>
      <w:proofErr w:type="spellStart"/>
      <w:r w:rsidRPr="004F34CF">
        <w:t>strategy</w:t>
      </w:r>
      <w:proofErr w:type="spellEnd"/>
      <w:r w:rsidRPr="004F34CF">
        <w:t xml:space="preserve"> </w:t>
      </w:r>
      <w:proofErr w:type="spellStart"/>
      <w:r w:rsidRPr="004F34CF">
        <w:t>by</w:t>
      </w:r>
      <w:proofErr w:type="spellEnd"/>
      <w:r w:rsidRPr="004F34CF">
        <w:t xml:space="preserve"> </w:t>
      </w:r>
      <w:proofErr w:type="spellStart"/>
      <w:r w:rsidRPr="004F34CF">
        <w:t>utilizing</w:t>
      </w:r>
      <w:proofErr w:type="spellEnd"/>
      <w:r w:rsidRPr="004F34CF">
        <w:t xml:space="preserve"> </w:t>
      </w:r>
      <w:proofErr w:type="spellStart"/>
      <w:r w:rsidRPr="004F34CF">
        <w:t>corridor</w:t>
      </w:r>
      <w:proofErr w:type="spellEnd"/>
      <w:r w:rsidRPr="004F34CF">
        <w:t xml:space="preserve"> </w:t>
      </w:r>
      <w:proofErr w:type="spellStart"/>
      <w:r w:rsidRPr="004F34CF">
        <w:t>diplomacy</w:t>
      </w:r>
      <w:proofErr w:type="spellEnd"/>
      <w:r w:rsidRPr="004F34CF">
        <w:t xml:space="preserve"> in </w:t>
      </w:r>
      <w:proofErr w:type="spellStart"/>
      <w:r w:rsidRPr="004F34CF">
        <w:t>pursuit</w:t>
      </w:r>
      <w:proofErr w:type="spellEnd"/>
      <w:r w:rsidRPr="004F34CF">
        <w:t xml:space="preserve"> of </w:t>
      </w:r>
      <w:proofErr w:type="spellStart"/>
      <w:r w:rsidRPr="004F34CF">
        <w:t>regional</w:t>
      </w:r>
      <w:proofErr w:type="spellEnd"/>
      <w:r w:rsidRPr="004F34CF">
        <w:t xml:space="preserve"> </w:t>
      </w:r>
      <w:proofErr w:type="spellStart"/>
      <w:r w:rsidRPr="004F34CF">
        <w:t>leadership</w:t>
      </w:r>
      <w:proofErr w:type="spellEnd"/>
      <w:r w:rsidRPr="004F34CF">
        <w:t xml:space="preserve"> has </w:t>
      </w:r>
      <w:proofErr w:type="spellStart"/>
      <w:r w:rsidRPr="004F34CF">
        <w:t>been</w:t>
      </w:r>
      <w:proofErr w:type="spellEnd"/>
      <w:r w:rsidRPr="004F34CF">
        <w:t xml:space="preserve"> </w:t>
      </w:r>
      <w:proofErr w:type="spellStart"/>
      <w:r w:rsidRPr="004F34CF">
        <w:t>confirmed</w:t>
      </w:r>
      <w:proofErr w:type="spellEnd"/>
      <w:r w:rsidRPr="004F34CF">
        <w:t xml:space="preserve">. </w:t>
      </w:r>
      <w:bookmarkStart w:id="255" w:name="OLE_LINK1"/>
      <w:bookmarkStart w:id="256" w:name="OLE_LINK2"/>
      <w:proofErr w:type="spellStart"/>
      <w:r>
        <w:t>This</w:t>
      </w:r>
      <w:proofErr w:type="spellEnd"/>
      <w:r>
        <w:t xml:space="preserve"> is </w:t>
      </w:r>
      <w:proofErr w:type="spellStart"/>
      <w:r>
        <w:t>because</w:t>
      </w:r>
      <w:proofErr w:type="spellEnd"/>
      <w:r>
        <w:t xml:space="preserve"> </w:t>
      </w:r>
      <w:proofErr w:type="spellStart"/>
      <w:r>
        <w:t>e</w:t>
      </w:r>
      <w:r w:rsidRPr="004F34CF">
        <w:t>ach</w:t>
      </w:r>
      <w:proofErr w:type="spellEnd"/>
      <w:r w:rsidRPr="004F34CF">
        <w:t xml:space="preserve"> of </w:t>
      </w:r>
      <w:proofErr w:type="spellStart"/>
      <w:r w:rsidRPr="004F34CF">
        <w:t>these</w:t>
      </w:r>
      <w:proofErr w:type="spellEnd"/>
      <w:r w:rsidRPr="004F34CF">
        <w:t xml:space="preserve"> </w:t>
      </w:r>
      <w:proofErr w:type="spellStart"/>
      <w:r w:rsidRPr="004F34CF">
        <w:t>corridors</w:t>
      </w:r>
      <w:proofErr w:type="spellEnd"/>
      <w:r w:rsidRPr="004F34CF">
        <w:t xml:space="preserve"> </w:t>
      </w:r>
      <w:proofErr w:type="spellStart"/>
      <w:r w:rsidRPr="004F34CF">
        <w:t>serves</w:t>
      </w:r>
      <w:proofErr w:type="spellEnd"/>
      <w:r w:rsidRPr="004F34CF">
        <w:t xml:space="preserve"> </w:t>
      </w:r>
      <w:proofErr w:type="spellStart"/>
      <w:r w:rsidRPr="004F34CF">
        <w:t>or</w:t>
      </w:r>
      <w:proofErr w:type="spellEnd"/>
      <w:r w:rsidRPr="004F34CF">
        <w:t xml:space="preserve"> </w:t>
      </w:r>
      <w:proofErr w:type="spellStart"/>
      <w:r w:rsidRPr="004F34CF">
        <w:t>will</w:t>
      </w:r>
      <w:proofErr w:type="spellEnd"/>
      <w:r w:rsidRPr="004F34CF">
        <w:t xml:space="preserve"> </w:t>
      </w:r>
      <w:proofErr w:type="spellStart"/>
      <w:r w:rsidRPr="004F34CF">
        <w:t>serve</w:t>
      </w:r>
      <w:proofErr w:type="spellEnd"/>
      <w:r w:rsidRPr="004F34CF">
        <w:t xml:space="preserve"> </w:t>
      </w:r>
      <w:proofErr w:type="spellStart"/>
      <w:r w:rsidRPr="004F34CF">
        <w:t>regional</w:t>
      </w:r>
      <w:proofErr w:type="spellEnd"/>
      <w:r w:rsidRPr="004F34CF">
        <w:t xml:space="preserve"> </w:t>
      </w:r>
      <w:proofErr w:type="spellStart"/>
      <w:r w:rsidRPr="004F34CF">
        <w:t>peace</w:t>
      </w:r>
      <w:proofErr w:type="spellEnd"/>
      <w:r w:rsidRPr="004F34CF">
        <w:t xml:space="preserve"> </w:t>
      </w:r>
      <w:proofErr w:type="spellStart"/>
      <w:r w:rsidRPr="004F34CF">
        <w:t>and</w:t>
      </w:r>
      <w:proofErr w:type="spellEnd"/>
      <w:r w:rsidRPr="004F34CF">
        <w:t xml:space="preserve"> </w:t>
      </w:r>
      <w:proofErr w:type="spellStart"/>
      <w:r w:rsidRPr="004F34CF">
        <w:t>stability</w:t>
      </w:r>
      <w:proofErr w:type="spellEnd"/>
      <w:r w:rsidRPr="004F34CF">
        <w:t xml:space="preserve"> </w:t>
      </w:r>
      <w:proofErr w:type="spellStart"/>
      <w:r w:rsidRPr="004F34CF">
        <w:t>by</w:t>
      </w:r>
      <w:proofErr w:type="spellEnd"/>
      <w:r w:rsidRPr="004F34CF">
        <w:t xml:space="preserve"> </w:t>
      </w:r>
      <w:proofErr w:type="spellStart"/>
      <w:r w:rsidRPr="004F34CF">
        <w:t>accommodating</w:t>
      </w:r>
      <w:proofErr w:type="spellEnd"/>
      <w:r w:rsidRPr="004F34CF">
        <w:t xml:space="preserve"> </w:t>
      </w:r>
      <w:proofErr w:type="spellStart"/>
      <w:r w:rsidRPr="004F34CF">
        <w:t>the</w:t>
      </w:r>
      <w:proofErr w:type="spellEnd"/>
      <w:r w:rsidRPr="004F34CF">
        <w:t xml:space="preserve"> </w:t>
      </w:r>
      <w:proofErr w:type="spellStart"/>
      <w:r w:rsidRPr="004F34CF">
        <w:t>interests</w:t>
      </w:r>
      <w:proofErr w:type="spellEnd"/>
      <w:r w:rsidRPr="004F34CF">
        <w:t xml:space="preserve"> of </w:t>
      </w:r>
      <w:proofErr w:type="spellStart"/>
      <w:r w:rsidRPr="004F34CF">
        <w:t>conflicting</w:t>
      </w:r>
      <w:proofErr w:type="spellEnd"/>
      <w:r w:rsidRPr="004F34CF">
        <w:t xml:space="preserve"> </w:t>
      </w:r>
      <w:proofErr w:type="spellStart"/>
      <w:r w:rsidRPr="004F34CF">
        <w:t>parties</w:t>
      </w:r>
      <w:proofErr w:type="spellEnd"/>
      <w:r w:rsidRPr="004F34CF">
        <w:t>.</w:t>
      </w:r>
      <w:bookmarkEnd w:id="255"/>
      <w:bookmarkEnd w:id="256"/>
      <w:r w:rsidRPr="004F34CF">
        <w:t xml:space="preserve"> </w:t>
      </w:r>
      <w:proofErr w:type="spellStart"/>
      <w:r w:rsidRPr="004F34CF">
        <w:t>Moreover</w:t>
      </w:r>
      <w:proofErr w:type="spellEnd"/>
      <w:r w:rsidRPr="004F34CF">
        <w:t xml:space="preserve">, </w:t>
      </w:r>
      <w:proofErr w:type="spellStart"/>
      <w:r w:rsidRPr="004F34CF">
        <w:t>some</w:t>
      </w:r>
      <w:proofErr w:type="spellEnd"/>
      <w:r w:rsidRPr="004F34CF">
        <w:t xml:space="preserve"> of </w:t>
      </w:r>
      <w:proofErr w:type="spellStart"/>
      <w:r w:rsidRPr="004F34CF">
        <w:t>these</w:t>
      </w:r>
      <w:proofErr w:type="spellEnd"/>
      <w:r w:rsidRPr="004F34CF">
        <w:t xml:space="preserve"> </w:t>
      </w:r>
      <w:proofErr w:type="spellStart"/>
      <w:r w:rsidRPr="004F34CF">
        <w:t>corridors</w:t>
      </w:r>
      <w:proofErr w:type="spellEnd"/>
      <w:r w:rsidRPr="004F34CF">
        <w:t xml:space="preserve"> </w:t>
      </w:r>
      <w:proofErr w:type="spellStart"/>
      <w:r w:rsidRPr="004F34CF">
        <w:t>are</w:t>
      </w:r>
      <w:proofErr w:type="spellEnd"/>
      <w:r w:rsidRPr="004F34CF">
        <w:t xml:space="preserve"> </w:t>
      </w:r>
      <w:proofErr w:type="spellStart"/>
      <w:r w:rsidRPr="004F34CF">
        <w:t>beneficial</w:t>
      </w:r>
      <w:proofErr w:type="spellEnd"/>
      <w:r w:rsidRPr="004F34CF">
        <w:t xml:space="preserve"> </w:t>
      </w:r>
      <w:proofErr w:type="spellStart"/>
      <w:r w:rsidRPr="004F34CF">
        <w:t>for</w:t>
      </w:r>
      <w:proofErr w:type="spellEnd"/>
      <w:r w:rsidRPr="004F34CF">
        <w:t xml:space="preserve"> global </w:t>
      </w:r>
      <w:proofErr w:type="spellStart"/>
      <w:r w:rsidRPr="004F34CF">
        <w:t>peace</w:t>
      </w:r>
      <w:proofErr w:type="spellEnd"/>
      <w:r w:rsidRPr="004F34CF">
        <w:t xml:space="preserve"> </w:t>
      </w:r>
      <w:proofErr w:type="spellStart"/>
      <w:r w:rsidRPr="004F34CF">
        <w:t>and</w:t>
      </w:r>
      <w:proofErr w:type="spellEnd"/>
      <w:r w:rsidRPr="004F34CF">
        <w:t xml:space="preserve"> </w:t>
      </w:r>
      <w:proofErr w:type="spellStart"/>
      <w:r w:rsidRPr="004F34CF">
        <w:t>stability</w:t>
      </w:r>
      <w:proofErr w:type="spellEnd"/>
      <w:r w:rsidRPr="004F34CF">
        <w:t xml:space="preserve"> </w:t>
      </w:r>
      <w:proofErr w:type="spellStart"/>
      <w:r w:rsidRPr="004F34CF">
        <w:t>due</w:t>
      </w:r>
      <w:proofErr w:type="spellEnd"/>
      <w:r w:rsidRPr="004F34CF">
        <w:t xml:space="preserve"> </w:t>
      </w:r>
      <w:proofErr w:type="spellStart"/>
      <w:r w:rsidRPr="004F34CF">
        <w:t>to</w:t>
      </w:r>
      <w:proofErr w:type="spellEnd"/>
      <w:r w:rsidRPr="004F34CF">
        <w:t xml:space="preserve"> </w:t>
      </w:r>
      <w:proofErr w:type="spellStart"/>
      <w:r w:rsidRPr="004F34CF">
        <w:t>their</w:t>
      </w:r>
      <w:proofErr w:type="spellEnd"/>
      <w:r w:rsidRPr="004F34CF">
        <w:t xml:space="preserve"> </w:t>
      </w:r>
      <w:proofErr w:type="spellStart"/>
      <w:r w:rsidRPr="004F34CF">
        <w:t>wide</w:t>
      </w:r>
      <w:proofErr w:type="spellEnd"/>
      <w:r w:rsidRPr="004F34CF">
        <w:t xml:space="preserve"> </w:t>
      </w:r>
      <w:proofErr w:type="spellStart"/>
      <w:r w:rsidRPr="004F34CF">
        <w:t>impact</w:t>
      </w:r>
      <w:proofErr w:type="spellEnd"/>
      <w:r w:rsidRPr="004F34CF">
        <w:t xml:space="preserve"> </w:t>
      </w:r>
      <w:proofErr w:type="spellStart"/>
      <w:r w:rsidRPr="004F34CF">
        <w:t>scale</w:t>
      </w:r>
      <w:proofErr w:type="spellEnd"/>
      <w:r w:rsidRPr="004F34CF">
        <w:t xml:space="preserve">. On </w:t>
      </w:r>
      <w:proofErr w:type="spellStart"/>
      <w:r w:rsidRPr="004F34CF">
        <w:t>the</w:t>
      </w:r>
      <w:proofErr w:type="spellEnd"/>
      <w:r w:rsidRPr="004F34CF">
        <w:t xml:space="preserve"> </w:t>
      </w:r>
      <w:proofErr w:type="spellStart"/>
      <w:r w:rsidRPr="004F34CF">
        <w:t>other</w:t>
      </w:r>
      <w:proofErr w:type="spellEnd"/>
      <w:r w:rsidRPr="004F34CF">
        <w:t xml:space="preserve"> </w:t>
      </w:r>
      <w:proofErr w:type="spellStart"/>
      <w:r w:rsidRPr="004F34CF">
        <w:t>hand</w:t>
      </w:r>
      <w:proofErr w:type="spellEnd"/>
      <w:r w:rsidRPr="004F34CF">
        <w:t xml:space="preserve">, </w:t>
      </w:r>
      <w:proofErr w:type="spellStart"/>
      <w:r w:rsidRPr="004F34CF">
        <w:t>through</w:t>
      </w:r>
      <w:proofErr w:type="spellEnd"/>
      <w:r w:rsidRPr="004F34CF">
        <w:t xml:space="preserve"> </w:t>
      </w:r>
      <w:proofErr w:type="spellStart"/>
      <w:r w:rsidRPr="004F34CF">
        <w:t>these</w:t>
      </w:r>
      <w:proofErr w:type="spellEnd"/>
      <w:r w:rsidRPr="004F34CF">
        <w:t xml:space="preserve"> </w:t>
      </w:r>
      <w:proofErr w:type="spellStart"/>
      <w:r w:rsidRPr="004F34CF">
        <w:t>corridors</w:t>
      </w:r>
      <w:proofErr w:type="spellEnd"/>
      <w:r w:rsidRPr="004F34CF">
        <w:t xml:space="preserve">, Türkiye </w:t>
      </w:r>
      <w:proofErr w:type="spellStart"/>
      <w:r w:rsidRPr="004F34CF">
        <w:t>also</w:t>
      </w:r>
      <w:proofErr w:type="spellEnd"/>
      <w:r w:rsidRPr="004F34CF">
        <w:t xml:space="preserve"> </w:t>
      </w:r>
      <w:proofErr w:type="spellStart"/>
      <w:r w:rsidRPr="004F34CF">
        <w:t>aims</w:t>
      </w:r>
      <w:proofErr w:type="spellEnd"/>
      <w:r w:rsidRPr="004F34CF">
        <w:t xml:space="preserve"> </w:t>
      </w:r>
      <w:proofErr w:type="spellStart"/>
      <w:r w:rsidRPr="004F34CF">
        <w:t>to</w:t>
      </w:r>
      <w:proofErr w:type="spellEnd"/>
      <w:r w:rsidRPr="004F34CF">
        <w:t xml:space="preserve"> </w:t>
      </w:r>
      <w:proofErr w:type="spellStart"/>
      <w:r w:rsidRPr="004F34CF">
        <w:t>secure</w:t>
      </w:r>
      <w:proofErr w:type="spellEnd"/>
      <w:r w:rsidRPr="004F34CF">
        <w:t xml:space="preserve"> </w:t>
      </w:r>
      <w:proofErr w:type="spellStart"/>
      <w:r w:rsidRPr="004F34CF">
        <w:t>its</w:t>
      </w:r>
      <w:proofErr w:type="spellEnd"/>
      <w:r w:rsidRPr="004F34CF">
        <w:t xml:space="preserve"> </w:t>
      </w:r>
      <w:proofErr w:type="spellStart"/>
      <w:r w:rsidRPr="004F34CF">
        <w:t>strategic</w:t>
      </w:r>
      <w:proofErr w:type="spellEnd"/>
      <w:r w:rsidRPr="004F34CF">
        <w:t xml:space="preserve"> </w:t>
      </w:r>
      <w:proofErr w:type="spellStart"/>
      <w:r w:rsidRPr="004F34CF">
        <w:t>interests</w:t>
      </w:r>
      <w:proofErr w:type="spellEnd"/>
      <w:r w:rsidRPr="004F34CF">
        <w:t xml:space="preserve">, </w:t>
      </w:r>
      <w:proofErr w:type="spellStart"/>
      <w:r w:rsidRPr="004F34CF">
        <w:t>such</w:t>
      </w:r>
      <w:proofErr w:type="spellEnd"/>
      <w:r w:rsidRPr="004F34CF">
        <w:t xml:space="preserve"> as </w:t>
      </w:r>
      <w:proofErr w:type="spellStart"/>
      <w:r w:rsidRPr="004F34CF">
        <w:t>security</w:t>
      </w:r>
      <w:proofErr w:type="spellEnd"/>
      <w:r w:rsidRPr="004F34CF">
        <w:t xml:space="preserve">, </w:t>
      </w:r>
      <w:proofErr w:type="spellStart"/>
      <w:r w:rsidRPr="004F34CF">
        <w:t>prosperity</w:t>
      </w:r>
      <w:proofErr w:type="spellEnd"/>
      <w:r w:rsidRPr="004F34CF">
        <w:t xml:space="preserve">, </w:t>
      </w:r>
      <w:proofErr w:type="spellStart"/>
      <w:r w:rsidRPr="004F34CF">
        <w:t>and</w:t>
      </w:r>
      <w:proofErr w:type="spellEnd"/>
      <w:r w:rsidRPr="004F34CF">
        <w:t xml:space="preserve"> </w:t>
      </w:r>
      <w:proofErr w:type="spellStart"/>
      <w:r w:rsidRPr="004F34CF">
        <w:t>status</w:t>
      </w:r>
      <w:proofErr w:type="spellEnd"/>
      <w:r w:rsidRPr="004F34CF">
        <w:t xml:space="preserve">. </w:t>
      </w:r>
      <w:proofErr w:type="spellStart"/>
      <w:r w:rsidRPr="004F34CF">
        <w:t>In</w:t>
      </w:r>
      <w:proofErr w:type="spellEnd"/>
      <w:r w:rsidRPr="004F34CF">
        <w:t xml:space="preserve"> </w:t>
      </w:r>
      <w:proofErr w:type="spellStart"/>
      <w:r w:rsidRPr="004F34CF">
        <w:t>this</w:t>
      </w:r>
      <w:proofErr w:type="spellEnd"/>
      <w:r w:rsidRPr="004F34CF">
        <w:t xml:space="preserve"> </w:t>
      </w:r>
      <w:proofErr w:type="spellStart"/>
      <w:r w:rsidRPr="004F34CF">
        <w:t>regard</w:t>
      </w:r>
      <w:proofErr w:type="spellEnd"/>
      <w:r w:rsidRPr="004F34CF">
        <w:t xml:space="preserve">, </w:t>
      </w:r>
      <w:proofErr w:type="spellStart"/>
      <w:r w:rsidRPr="004F34CF">
        <w:t>Türkiye’s</w:t>
      </w:r>
      <w:proofErr w:type="spellEnd"/>
      <w:r w:rsidRPr="004F34CF">
        <w:t xml:space="preserve"> </w:t>
      </w:r>
      <w:proofErr w:type="spellStart"/>
      <w:r w:rsidRPr="004F34CF">
        <w:t>grand</w:t>
      </w:r>
      <w:proofErr w:type="spellEnd"/>
      <w:r w:rsidRPr="004F34CF">
        <w:t xml:space="preserve"> </w:t>
      </w:r>
      <w:proofErr w:type="spellStart"/>
      <w:r w:rsidRPr="004F34CF">
        <w:t>strategy</w:t>
      </w:r>
      <w:proofErr w:type="spellEnd"/>
      <w:r w:rsidRPr="004F34CF">
        <w:t xml:space="preserve"> is </w:t>
      </w:r>
      <w:proofErr w:type="spellStart"/>
      <w:r w:rsidRPr="004F34CF">
        <w:t>long-term</w:t>
      </w:r>
      <w:proofErr w:type="spellEnd"/>
      <w:r w:rsidRPr="004F34CF">
        <w:t xml:space="preserve">. </w:t>
      </w:r>
      <w:proofErr w:type="spellStart"/>
      <w:r w:rsidRPr="004F34CF">
        <w:t>To</w:t>
      </w:r>
      <w:proofErr w:type="spellEnd"/>
      <w:r w:rsidRPr="004F34CF">
        <w:t xml:space="preserve"> </w:t>
      </w:r>
      <w:proofErr w:type="spellStart"/>
      <w:r w:rsidRPr="004F34CF">
        <w:t>achieve</w:t>
      </w:r>
      <w:proofErr w:type="spellEnd"/>
      <w:r w:rsidRPr="004F34CF">
        <w:t xml:space="preserve"> </w:t>
      </w:r>
      <w:proofErr w:type="spellStart"/>
      <w:r w:rsidRPr="004F34CF">
        <w:t>these</w:t>
      </w:r>
      <w:proofErr w:type="spellEnd"/>
      <w:r w:rsidRPr="004F34CF">
        <w:t xml:space="preserve"> </w:t>
      </w:r>
      <w:proofErr w:type="spellStart"/>
      <w:r w:rsidRPr="004F34CF">
        <w:t>objectives</w:t>
      </w:r>
      <w:proofErr w:type="spellEnd"/>
      <w:r w:rsidRPr="004F34CF">
        <w:t xml:space="preserve">, Türkiye </w:t>
      </w:r>
      <w:proofErr w:type="spellStart"/>
      <w:r w:rsidRPr="004F34CF">
        <w:t>takes</w:t>
      </w:r>
      <w:proofErr w:type="spellEnd"/>
      <w:r w:rsidRPr="004F34CF">
        <w:t xml:space="preserve"> </w:t>
      </w:r>
      <w:proofErr w:type="spellStart"/>
      <w:r w:rsidRPr="004F34CF">
        <w:t>into</w:t>
      </w:r>
      <w:proofErr w:type="spellEnd"/>
      <w:r w:rsidRPr="004F34CF">
        <w:t xml:space="preserve"> </w:t>
      </w:r>
      <w:proofErr w:type="spellStart"/>
      <w:r w:rsidRPr="004F34CF">
        <w:t>account</w:t>
      </w:r>
      <w:proofErr w:type="spellEnd"/>
      <w:r w:rsidRPr="004F34CF">
        <w:t xml:space="preserve"> </w:t>
      </w:r>
      <w:proofErr w:type="spellStart"/>
      <w:r w:rsidRPr="004F34CF">
        <w:t>the</w:t>
      </w:r>
      <w:proofErr w:type="spellEnd"/>
      <w:r w:rsidRPr="004F34CF">
        <w:t xml:space="preserve"> </w:t>
      </w:r>
      <w:proofErr w:type="spellStart"/>
      <w:r w:rsidRPr="004F34CF">
        <w:t>interests</w:t>
      </w:r>
      <w:proofErr w:type="spellEnd"/>
      <w:r w:rsidRPr="004F34CF">
        <w:t xml:space="preserve"> </w:t>
      </w:r>
      <w:proofErr w:type="spellStart"/>
      <w:r w:rsidRPr="004F34CF">
        <w:t>and</w:t>
      </w:r>
      <w:proofErr w:type="spellEnd"/>
      <w:r w:rsidRPr="004F34CF">
        <w:t xml:space="preserve"> </w:t>
      </w:r>
      <w:proofErr w:type="spellStart"/>
      <w:r w:rsidRPr="004F34CF">
        <w:t>demands</w:t>
      </w:r>
      <w:proofErr w:type="spellEnd"/>
      <w:r w:rsidRPr="004F34CF">
        <w:t xml:space="preserve"> of </w:t>
      </w:r>
      <w:proofErr w:type="spellStart"/>
      <w:r w:rsidRPr="004F34CF">
        <w:t>its</w:t>
      </w:r>
      <w:proofErr w:type="spellEnd"/>
      <w:r w:rsidRPr="004F34CF">
        <w:t xml:space="preserve"> </w:t>
      </w:r>
      <w:proofErr w:type="spellStart"/>
      <w:r w:rsidRPr="004F34CF">
        <w:t>counterparts</w:t>
      </w:r>
      <w:proofErr w:type="spellEnd"/>
      <w:r w:rsidRPr="004F34CF">
        <w:t xml:space="preserve">, </w:t>
      </w:r>
      <w:proofErr w:type="spellStart"/>
      <w:r w:rsidRPr="004F34CF">
        <w:t>employing</w:t>
      </w:r>
      <w:proofErr w:type="spellEnd"/>
      <w:r w:rsidRPr="004F34CF">
        <w:t xml:space="preserve"> </w:t>
      </w:r>
      <w:proofErr w:type="spellStart"/>
      <w:r w:rsidRPr="004F34CF">
        <w:t>its</w:t>
      </w:r>
      <w:proofErr w:type="spellEnd"/>
      <w:r w:rsidRPr="004F34CF">
        <w:t xml:space="preserve"> </w:t>
      </w:r>
      <w:proofErr w:type="spellStart"/>
      <w:r w:rsidRPr="004F34CF">
        <w:t>political</w:t>
      </w:r>
      <w:proofErr w:type="spellEnd"/>
      <w:r w:rsidRPr="004F34CF">
        <w:t xml:space="preserve">, </w:t>
      </w:r>
      <w:proofErr w:type="spellStart"/>
      <w:r w:rsidRPr="004F34CF">
        <w:t>military</w:t>
      </w:r>
      <w:proofErr w:type="spellEnd"/>
      <w:r w:rsidRPr="004F34CF">
        <w:t xml:space="preserve">, </w:t>
      </w:r>
      <w:proofErr w:type="spellStart"/>
      <w:r w:rsidRPr="004F34CF">
        <w:t>economic</w:t>
      </w:r>
      <w:proofErr w:type="spellEnd"/>
      <w:r w:rsidRPr="004F34CF">
        <w:t xml:space="preserve">, </w:t>
      </w:r>
      <w:proofErr w:type="spellStart"/>
      <w:r w:rsidRPr="004F34CF">
        <w:t>and</w:t>
      </w:r>
      <w:proofErr w:type="spellEnd"/>
      <w:r w:rsidRPr="004F34CF">
        <w:t xml:space="preserve"> </w:t>
      </w:r>
      <w:proofErr w:type="spellStart"/>
      <w:r w:rsidRPr="004F34CF">
        <w:t>diplomatic</w:t>
      </w:r>
      <w:proofErr w:type="spellEnd"/>
      <w:r w:rsidRPr="004F34CF">
        <w:t xml:space="preserve"> </w:t>
      </w:r>
      <w:proofErr w:type="spellStart"/>
      <w:r w:rsidRPr="004F34CF">
        <w:t>power</w:t>
      </w:r>
      <w:proofErr w:type="spellEnd"/>
      <w:r w:rsidRPr="004F34CF">
        <w:t xml:space="preserve"> in </w:t>
      </w:r>
      <w:proofErr w:type="spellStart"/>
      <w:r w:rsidRPr="004F34CF">
        <w:t>harmony</w:t>
      </w:r>
      <w:proofErr w:type="spellEnd"/>
      <w:r w:rsidRPr="004F34CF">
        <w:t xml:space="preserve"> </w:t>
      </w:r>
      <w:proofErr w:type="spellStart"/>
      <w:r w:rsidRPr="004F34CF">
        <w:t>with</w:t>
      </w:r>
      <w:proofErr w:type="spellEnd"/>
      <w:r w:rsidRPr="004F34CF">
        <w:t xml:space="preserve"> </w:t>
      </w:r>
      <w:proofErr w:type="spellStart"/>
      <w:r w:rsidRPr="004F34CF">
        <w:t>it</w:t>
      </w:r>
      <w:r>
        <w:t>s</w:t>
      </w:r>
      <w:proofErr w:type="spellEnd"/>
      <w:r>
        <w:t xml:space="preserve"> </w:t>
      </w:r>
      <w:proofErr w:type="spellStart"/>
      <w:r>
        <w:t>historical</w:t>
      </w:r>
      <w:proofErr w:type="spellEnd"/>
      <w:r>
        <w:t xml:space="preserve"> </w:t>
      </w:r>
      <w:proofErr w:type="spellStart"/>
      <w:r>
        <w:t>and</w:t>
      </w:r>
      <w:proofErr w:type="spellEnd"/>
      <w:r>
        <w:t xml:space="preserve"> </w:t>
      </w:r>
      <w:proofErr w:type="spellStart"/>
      <w:r>
        <w:t>cultural</w:t>
      </w:r>
      <w:proofErr w:type="spellEnd"/>
      <w:r>
        <w:t xml:space="preserve"> </w:t>
      </w:r>
      <w:proofErr w:type="spellStart"/>
      <w:r>
        <w:t>ties</w:t>
      </w:r>
      <w:proofErr w:type="spellEnd"/>
      <w:r>
        <w:t xml:space="preserve">. </w:t>
      </w:r>
      <w:proofErr w:type="spellStart"/>
      <w:r w:rsidRPr="004F34CF">
        <w:t>Thus</w:t>
      </w:r>
      <w:proofErr w:type="spellEnd"/>
      <w:r w:rsidRPr="004F34CF">
        <w:t xml:space="preserve">, </w:t>
      </w:r>
      <w:proofErr w:type="spellStart"/>
      <w:r w:rsidRPr="004F34CF">
        <w:t>through</w:t>
      </w:r>
      <w:proofErr w:type="spellEnd"/>
      <w:r w:rsidRPr="004F34CF">
        <w:t xml:space="preserve"> </w:t>
      </w:r>
      <w:proofErr w:type="spellStart"/>
      <w:r w:rsidRPr="004F34CF">
        <w:t>corridor</w:t>
      </w:r>
      <w:proofErr w:type="spellEnd"/>
      <w:r w:rsidRPr="004F34CF">
        <w:t xml:space="preserve"> </w:t>
      </w:r>
      <w:proofErr w:type="spellStart"/>
      <w:r w:rsidRPr="004F34CF">
        <w:t>diplomacy</w:t>
      </w:r>
      <w:proofErr w:type="spellEnd"/>
      <w:r w:rsidRPr="004F34CF">
        <w:t xml:space="preserve">, Türkiye is </w:t>
      </w:r>
      <w:proofErr w:type="spellStart"/>
      <w:r w:rsidRPr="004F34CF">
        <w:t>capable</w:t>
      </w:r>
      <w:proofErr w:type="spellEnd"/>
      <w:r w:rsidRPr="004F34CF">
        <w:t xml:space="preserve"> of </w:t>
      </w:r>
      <w:proofErr w:type="spellStart"/>
      <w:r w:rsidRPr="004F34CF">
        <w:t>turning</w:t>
      </w:r>
      <w:proofErr w:type="spellEnd"/>
      <w:r w:rsidRPr="004F34CF">
        <w:t xml:space="preserve"> </w:t>
      </w:r>
      <w:proofErr w:type="spellStart"/>
      <w:r w:rsidRPr="004F34CF">
        <w:t>the</w:t>
      </w:r>
      <w:proofErr w:type="spellEnd"/>
      <w:r w:rsidRPr="004F34CF">
        <w:t xml:space="preserve"> </w:t>
      </w:r>
      <w:proofErr w:type="spellStart"/>
      <w:r w:rsidRPr="004F34CF">
        <w:t>reconciled</w:t>
      </w:r>
      <w:proofErr w:type="spellEnd"/>
      <w:r w:rsidRPr="004F34CF">
        <w:t xml:space="preserve"> </w:t>
      </w:r>
      <w:proofErr w:type="spellStart"/>
      <w:r w:rsidRPr="004F34CF">
        <w:t>parties</w:t>
      </w:r>
      <w:proofErr w:type="spellEnd"/>
      <w:r w:rsidRPr="004F34CF">
        <w:t xml:space="preserve"> </w:t>
      </w:r>
      <w:proofErr w:type="spellStart"/>
      <w:r w:rsidRPr="004F34CF">
        <w:t>into</w:t>
      </w:r>
      <w:proofErr w:type="spellEnd"/>
      <w:r w:rsidRPr="004F34CF">
        <w:t xml:space="preserve"> </w:t>
      </w:r>
      <w:proofErr w:type="spellStart"/>
      <w:r w:rsidRPr="004F34CF">
        <w:t>its</w:t>
      </w:r>
      <w:proofErr w:type="spellEnd"/>
      <w:r w:rsidRPr="004F34CF">
        <w:t xml:space="preserve"> </w:t>
      </w:r>
      <w:proofErr w:type="spellStart"/>
      <w:r w:rsidRPr="004F34CF">
        <w:t>followers</w:t>
      </w:r>
      <w:proofErr w:type="spellEnd"/>
      <w:r w:rsidRPr="004F34CF">
        <w:t xml:space="preserve"> in </w:t>
      </w:r>
      <w:proofErr w:type="spellStart"/>
      <w:r w:rsidRPr="004F34CF">
        <w:t>the</w:t>
      </w:r>
      <w:proofErr w:type="spellEnd"/>
      <w:r w:rsidRPr="004F34CF">
        <w:t xml:space="preserve"> </w:t>
      </w:r>
      <w:proofErr w:type="spellStart"/>
      <w:r w:rsidRPr="004F34CF">
        <w:t>intern</w:t>
      </w:r>
      <w:r>
        <w:t>ational</w:t>
      </w:r>
      <w:proofErr w:type="spellEnd"/>
      <w:r>
        <w:t xml:space="preserve"> arena. </w:t>
      </w:r>
      <w:proofErr w:type="spellStart"/>
      <w:r>
        <w:t>Finally</w:t>
      </w:r>
      <w:proofErr w:type="spellEnd"/>
      <w:r>
        <w:t xml:space="preserve">, </w:t>
      </w:r>
      <w:proofErr w:type="spellStart"/>
      <w:r>
        <w:t>Türkiye’</w:t>
      </w:r>
      <w:r w:rsidRPr="004F34CF">
        <w:t>s</w:t>
      </w:r>
      <w:proofErr w:type="spellEnd"/>
      <w:r w:rsidRPr="004F34CF">
        <w:t xml:space="preserve"> </w:t>
      </w:r>
      <w:proofErr w:type="spellStart"/>
      <w:r w:rsidRPr="004F34CF">
        <w:t>dexterity</w:t>
      </w:r>
      <w:proofErr w:type="spellEnd"/>
      <w:r w:rsidRPr="004F34CF">
        <w:t xml:space="preserve"> in </w:t>
      </w:r>
      <w:proofErr w:type="spellStart"/>
      <w:r w:rsidRPr="004F34CF">
        <w:t>the</w:t>
      </w:r>
      <w:proofErr w:type="spellEnd"/>
      <w:r w:rsidRPr="004F34CF">
        <w:t xml:space="preserve"> Ankara </w:t>
      </w:r>
      <w:proofErr w:type="spellStart"/>
      <w:r w:rsidRPr="004F34CF">
        <w:t>Process</w:t>
      </w:r>
      <w:proofErr w:type="spellEnd"/>
      <w:r w:rsidRPr="004F34CF">
        <w:t xml:space="preserve">, </w:t>
      </w:r>
      <w:proofErr w:type="spellStart"/>
      <w:r w:rsidRPr="004F34CF">
        <w:t>which</w:t>
      </w:r>
      <w:proofErr w:type="spellEnd"/>
      <w:r w:rsidRPr="004F34CF">
        <w:t xml:space="preserve"> </w:t>
      </w:r>
      <w:proofErr w:type="spellStart"/>
      <w:r w:rsidRPr="004F34CF">
        <w:t>facilitated</w:t>
      </w:r>
      <w:proofErr w:type="spellEnd"/>
      <w:r w:rsidRPr="004F34CF">
        <w:t xml:space="preserve"> </w:t>
      </w:r>
      <w:proofErr w:type="spellStart"/>
      <w:r w:rsidRPr="004F34CF">
        <w:t>the</w:t>
      </w:r>
      <w:proofErr w:type="spellEnd"/>
      <w:r w:rsidRPr="004F34CF">
        <w:t xml:space="preserve"> </w:t>
      </w:r>
      <w:proofErr w:type="spellStart"/>
      <w:r w:rsidRPr="004F34CF">
        <w:t>opening</w:t>
      </w:r>
      <w:proofErr w:type="spellEnd"/>
      <w:r w:rsidRPr="004F34CF">
        <w:t xml:space="preserve"> of </w:t>
      </w:r>
      <w:proofErr w:type="spellStart"/>
      <w:r w:rsidRPr="004F34CF">
        <w:t>the</w:t>
      </w:r>
      <w:proofErr w:type="spellEnd"/>
      <w:r w:rsidRPr="004F34CF">
        <w:t xml:space="preserve"> </w:t>
      </w:r>
      <w:proofErr w:type="spellStart"/>
      <w:r w:rsidRPr="004F34CF">
        <w:t>Somalia-Ethiopia</w:t>
      </w:r>
      <w:proofErr w:type="spellEnd"/>
      <w:r w:rsidRPr="004F34CF">
        <w:t xml:space="preserve"> </w:t>
      </w:r>
      <w:proofErr w:type="spellStart"/>
      <w:r w:rsidRPr="004F34CF">
        <w:t>Corridor</w:t>
      </w:r>
      <w:proofErr w:type="spellEnd"/>
      <w:r w:rsidRPr="004F34CF">
        <w:t xml:space="preserve">, has </w:t>
      </w:r>
      <w:proofErr w:type="spellStart"/>
      <w:r w:rsidRPr="004F34CF">
        <w:t>become</w:t>
      </w:r>
      <w:proofErr w:type="spellEnd"/>
      <w:r w:rsidRPr="004F34CF">
        <w:t xml:space="preserve"> a </w:t>
      </w:r>
      <w:proofErr w:type="spellStart"/>
      <w:r w:rsidRPr="004F34CF">
        <w:t>unique</w:t>
      </w:r>
      <w:proofErr w:type="spellEnd"/>
      <w:r w:rsidRPr="004F34CF">
        <w:t xml:space="preserve"> </w:t>
      </w:r>
      <w:proofErr w:type="spellStart"/>
      <w:r w:rsidRPr="004F34CF">
        <w:t>experience</w:t>
      </w:r>
      <w:proofErr w:type="spellEnd"/>
      <w:r w:rsidRPr="004F34CF">
        <w:t xml:space="preserve"> </w:t>
      </w:r>
      <w:proofErr w:type="spellStart"/>
      <w:r w:rsidRPr="004F34CF">
        <w:t>that</w:t>
      </w:r>
      <w:proofErr w:type="spellEnd"/>
      <w:r w:rsidRPr="004F34CF">
        <w:t xml:space="preserve"> </w:t>
      </w:r>
      <w:proofErr w:type="spellStart"/>
      <w:r w:rsidRPr="004F34CF">
        <w:t>could</w:t>
      </w:r>
      <w:proofErr w:type="spellEnd"/>
      <w:r w:rsidRPr="004F34CF">
        <w:t xml:space="preserve"> </w:t>
      </w:r>
      <w:proofErr w:type="spellStart"/>
      <w:r w:rsidRPr="004F34CF">
        <w:t>also</w:t>
      </w:r>
      <w:proofErr w:type="spellEnd"/>
      <w:r w:rsidRPr="004F34CF">
        <w:t xml:space="preserve"> </w:t>
      </w:r>
      <w:proofErr w:type="spellStart"/>
      <w:r w:rsidRPr="004F34CF">
        <w:t>contribute</w:t>
      </w:r>
      <w:proofErr w:type="spellEnd"/>
      <w:r w:rsidRPr="004F34CF">
        <w:t xml:space="preserve"> </w:t>
      </w:r>
      <w:proofErr w:type="spellStart"/>
      <w:r w:rsidRPr="004F34CF">
        <w:t>to</w:t>
      </w:r>
      <w:proofErr w:type="spellEnd"/>
      <w:r w:rsidRPr="004F34CF">
        <w:t xml:space="preserve"> </w:t>
      </w:r>
      <w:proofErr w:type="spellStart"/>
      <w:r w:rsidRPr="004F34CF">
        <w:t>the</w:t>
      </w:r>
      <w:proofErr w:type="spellEnd"/>
      <w:r w:rsidRPr="004F34CF">
        <w:t xml:space="preserve"> </w:t>
      </w:r>
      <w:proofErr w:type="spellStart"/>
      <w:r w:rsidRPr="004F34CF">
        <w:t>opening</w:t>
      </w:r>
      <w:proofErr w:type="spellEnd"/>
      <w:r w:rsidRPr="004F34CF">
        <w:t xml:space="preserve"> of </w:t>
      </w:r>
      <w:proofErr w:type="spellStart"/>
      <w:r w:rsidRPr="004F34CF">
        <w:t>the</w:t>
      </w:r>
      <w:proofErr w:type="spellEnd"/>
      <w:r w:rsidRPr="004F34CF">
        <w:t xml:space="preserve"> </w:t>
      </w:r>
      <w:proofErr w:type="spellStart"/>
      <w:r w:rsidRPr="004F34CF">
        <w:t>Zangezur</w:t>
      </w:r>
      <w:proofErr w:type="spellEnd"/>
      <w:r w:rsidRPr="004F34CF">
        <w:t xml:space="preserve"> </w:t>
      </w:r>
      <w:proofErr w:type="spellStart"/>
      <w:r w:rsidRPr="004F34CF">
        <w:t>Corridor</w:t>
      </w:r>
      <w:proofErr w:type="spellEnd"/>
      <w:r w:rsidRPr="004F34CF">
        <w:t xml:space="preserve">. </w:t>
      </w:r>
      <w:proofErr w:type="spellStart"/>
      <w:r w:rsidRPr="004F34CF">
        <w:t>Furthermore</w:t>
      </w:r>
      <w:proofErr w:type="spellEnd"/>
      <w:r w:rsidRPr="004F34CF">
        <w:t xml:space="preserve">, </w:t>
      </w:r>
      <w:proofErr w:type="spellStart"/>
      <w:r w:rsidRPr="004F34CF">
        <w:t>the</w:t>
      </w:r>
      <w:proofErr w:type="spellEnd"/>
      <w:r w:rsidRPr="004F34CF">
        <w:t xml:space="preserve"> global </w:t>
      </w:r>
      <w:proofErr w:type="spellStart"/>
      <w:r w:rsidRPr="004F34CF">
        <w:t>impact</w:t>
      </w:r>
      <w:proofErr w:type="spellEnd"/>
      <w:r w:rsidRPr="004F34CF">
        <w:t xml:space="preserve"> </w:t>
      </w:r>
      <w:proofErr w:type="spellStart"/>
      <w:r w:rsidRPr="004F34CF">
        <w:t>created</w:t>
      </w:r>
      <w:proofErr w:type="spellEnd"/>
      <w:r w:rsidRPr="004F34CF">
        <w:t xml:space="preserve"> </w:t>
      </w:r>
      <w:proofErr w:type="spellStart"/>
      <w:r w:rsidRPr="004F34CF">
        <w:t>by</w:t>
      </w:r>
      <w:proofErr w:type="spellEnd"/>
      <w:r w:rsidRPr="004F34CF">
        <w:t xml:space="preserve"> T</w:t>
      </w:r>
      <w:r>
        <w:t xml:space="preserve">ürkiye </w:t>
      </w:r>
      <w:proofErr w:type="spellStart"/>
      <w:r>
        <w:t>through</w:t>
      </w:r>
      <w:proofErr w:type="spellEnd"/>
      <w:r>
        <w:t xml:space="preserve"> </w:t>
      </w:r>
      <w:proofErr w:type="spellStart"/>
      <w:r>
        <w:t>the</w:t>
      </w:r>
      <w:proofErr w:type="spellEnd"/>
      <w:r>
        <w:t xml:space="preserve"> </w:t>
      </w:r>
      <w:r w:rsidRPr="00CB0549">
        <w:t xml:space="preserve">Black </w:t>
      </w:r>
      <w:proofErr w:type="spellStart"/>
      <w:r w:rsidRPr="00CB0549">
        <w:t>Sea</w:t>
      </w:r>
      <w:proofErr w:type="spellEnd"/>
      <w:r w:rsidRPr="00CB0549">
        <w:t xml:space="preserve"> </w:t>
      </w:r>
      <w:proofErr w:type="spellStart"/>
      <w:r w:rsidRPr="00CB0549">
        <w:t>Grain</w:t>
      </w:r>
      <w:proofErr w:type="spellEnd"/>
      <w:r w:rsidRPr="00CB0549">
        <w:t xml:space="preserve"> </w:t>
      </w:r>
      <w:proofErr w:type="spellStart"/>
      <w:r w:rsidRPr="00CB0549">
        <w:t>Initiative</w:t>
      </w:r>
      <w:proofErr w:type="spellEnd"/>
      <w:r w:rsidRPr="004F34CF">
        <w:t xml:space="preserve"> </w:t>
      </w:r>
      <w:proofErr w:type="spellStart"/>
      <w:r w:rsidRPr="004F34CF">
        <w:t>serves</w:t>
      </w:r>
      <w:proofErr w:type="spellEnd"/>
      <w:r w:rsidRPr="004F34CF">
        <w:t xml:space="preserve"> as a model </w:t>
      </w:r>
      <w:proofErr w:type="spellStart"/>
      <w:r w:rsidRPr="004F34CF">
        <w:t>for</w:t>
      </w:r>
      <w:proofErr w:type="spellEnd"/>
      <w:r w:rsidRPr="004F34CF">
        <w:t xml:space="preserve"> </w:t>
      </w:r>
      <w:proofErr w:type="spellStart"/>
      <w:r w:rsidRPr="004F34CF">
        <w:t>the</w:t>
      </w:r>
      <w:proofErr w:type="spellEnd"/>
      <w:r w:rsidRPr="004F34CF">
        <w:t xml:space="preserve"> </w:t>
      </w:r>
      <w:proofErr w:type="spellStart"/>
      <w:r>
        <w:t>Iraq</w:t>
      </w:r>
      <w:proofErr w:type="spellEnd"/>
      <w:r>
        <w:t xml:space="preserve"> </w:t>
      </w:r>
      <w:r w:rsidRPr="004F34CF">
        <w:t xml:space="preserve">Development Road. </w:t>
      </w:r>
      <w:proofErr w:type="spellStart"/>
      <w:r>
        <w:t>From</w:t>
      </w:r>
      <w:proofErr w:type="spellEnd"/>
      <w:r>
        <w:t xml:space="preserve"> </w:t>
      </w:r>
      <w:proofErr w:type="spellStart"/>
      <w:r>
        <w:t>this</w:t>
      </w:r>
      <w:proofErr w:type="spellEnd"/>
      <w:r>
        <w:t xml:space="preserve"> </w:t>
      </w:r>
      <w:proofErr w:type="spellStart"/>
      <w:r>
        <w:t>point</w:t>
      </w:r>
      <w:proofErr w:type="spellEnd"/>
      <w:r>
        <w:t xml:space="preserve"> of </w:t>
      </w:r>
      <w:proofErr w:type="spellStart"/>
      <w:r>
        <w:t>view</w:t>
      </w:r>
      <w:proofErr w:type="spellEnd"/>
      <w:r>
        <w:t xml:space="preserve">, </w:t>
      </w:r>
      <w:proofErr w:type="spellStart"/>
      <w:r>
        <w:t>t</w:t>
      </w:r>
      <w:r w:rsidRPr="004F34CF">
        <w:t>he</w:t>
      </w:r>
      <w:proofErr w:type="spellEnd"/>
      <w:r w:rsidRPr="004F34CF">
        <w:t xml:space="preserve"> </w:t>
      </w:r>
      <w:proofErr w:type="spellStart"/>
      <w:r w:rsidRPr="004F34CF">
        <w:t>similarity</w:t>
      </w:r>
      <w:proofErr w:type="spellEnd"/>
      <w:r w:rsidRPr="004F34CF">
        <w:t xml:space="preserve"> of </w:t>
      </w:r>
      <w:proofErr w:type="spellStart"/>
      <w:r w:rsidRPr="004F34CF">
        <w:t>conditions</w:t>
      </w:r>
      <w:proofErr w:type="spellEnd"/>
      <w:r w:rsidRPr="004F34CF">
        <w:t xml:space="preserve"> </w:t>
      </w:r>
      <w:proofErr w:type="spellStart"/>
      <w:r w:rsidRPr="004F34CF">
        <w:t>among</w:t>
      </w:r>
      <w:proofErr w:type="spellEnd"/>
      <w:r w:rsidRPr="004F34CF">
        <w:t xml:space="preserve"> </w:t>
      </w:r>
      <w:proofErr w:type="spellStart"/>
      <w:r w:rsidRPr="004F34CF">
        <w:t>these</w:t>
      </w:r>
      <w:proofErr w:type="spellEnd"/>
      <w:r w:rsidRPr="004F34CF">
        <w:t xml:space="preserve"> </w:t>
      </w:r>
      <w:proofErr w:type="spellStart"/>
      <w:r w:rsidRPr="004F34CF">
        <w:t>corridors</w:t>
      </w:r>
      <w:proofErr w:type="spellEnd"/>
      <w:r w:rsidRPr="004F34CF">
        <w:t xml:space="preserve"> </w:t>
      </w:r>
      <w:proofErr w:type="spellStart"/>
      <w:r w:rsidRPr="004F34CF">
        <w:t>creates</w:t>
      </w:r>
      <w:proofErr w:type="spellEnd"/>
      <w:r w:rsidRPr="004F34CF">
        <w:t xml:space="preserve"> a </w:t>
      </w:r>
      <w:proofErr w:type="spellStart"/>
      <w:r w:rsidRPr="004F34CF">
        <w:t>pattern</w:t>
      </w:r>
      <w:proofErr w:type="spellEnd"/>
      <w:r w:rsidRPr="004F34CF">
        <w:t xml:space="preserve"> </w:t>
      </w:r>
      <w:proofErr w:type="spellStart"/>
      <w:r w:rsidRPr="004F34CF">
        <w:t>that</w:t>
      </w:r>
      <w:proofErr w:type="spellEnd"/>
      <w:r w:rsidRPr="004F34CF">
        <w:t xml:space="preserve"> </w:t>
      </w:r>
      <w:proofErr w:type="spellStart"/>
      <w:r w:rsidRPr="004F34CF">
        <w:t>will</w:t>
      </w:r>
      <w:proofErr w:type="spellEnd"/>
      <w:r w:rsidRPr="004F34CF">
        <w:t xml:space="preserve"> </w:t>
      </w:r>
      <w:proofErr w:type="spellStart"/>
      <w:r w:rsidRPr="004F34CF">
        <w:t>add</w:t>
      </w:r>
      <w:proofErr w:type="spellEnd"/>
      <w:r w:rsidRPr="004F34CF">
        <w:t xml:space="preserve"> </w:t>
      </w:r>
      <w:proofErr w:type="spellStart"/>
      <w:r w:rsidRPr="004F34CF">
        <w:t>consis</w:t>
      </w:r>
      <w:r>
        <w:t>tency</w:t>
      </w:r>
      <w:proofErr w:type="spellEnd"/>
      <w:r>
        <w:t xml:space="preserve"> </w:t>
      </w:r>
      <w:proofErr w:type="spellStart"/>
      <w:r>
        <w:t>and</w:t>
      </w:r>
      <w:proofErr w:type="spellEnd"/>
      <w:r>
        <w:t xml:space="preserve"> </w:t>
      </w:r>
      <w:proofErr w:type="spellStart"/>
      <w:r>
        <w:t>experience</w:t>
      </w:r>
      <w:proofErr w:type="spellEnd"/>
      <w:r>
        <w:t xml:space="preserve"> </w:t>
      </w:r>
      <w:proofErr w:type="spellStart"/>
      <w:r>
        <w:t>to</w:t>
      </w:r>
      <w:proofErr w:type="spellEnd"/>
      <w:r>
        <w:t xml:space="preserve"> </w:t>
      </w:r>
      <w:proofErr w:type="spellStart"/>
      <w:r>
        <w:t>Türkiye’</w:t>
      </w:r>
      <w:r w:rsidRPr="004F34CF">
        <w:t>s</w:t>
      </w:r>
      <w:proofErr w:type="spellEnd"/>
      <w:r w:rsidRPr="004F34CF">
        <w:t xml:space="preserve"> </w:t>
      </w:r>
      <w:proofErr w:type="spellStart"/>
      <w:r w:rsidRPr="004F34CF">
        <w:t>grand</w:t>
      </w:r>
      <w:proofErr w:type="spellEnd"/>
      <w:r w:rsidRPr="004F34CF">
        <w:t xml:space="preserve"> </w:t>
      </w:r>
      <w:proofErr w:type="spellStart"/>
      <w:r w:rsidRPr="004F34CF">
        <w:t>strategy</w:t>
      </w:r>
      <w:proofErr w:type="spellEnd"/>
      <w:r w:rsidRPr="004F34CF">
        <w:t>.</w:t>
      </w:r>
    </w:p>
    <w:p w14:paraId="625A6B41" w14:textId="77777777" w:rsidR="00B470AD" w:rsidRDefault="00B470AD" w:rsidP="0079785E">
      <w:pPr>
        <w:jc w:val="both"/>
      </w:pPr>
    </w:p>
    <w:p w14:paraId="41D188BC" w14:textId="13503376" w:rsidR="00B470AD" w:rsidRDefault="00B470AD" w:rsidP="0079785E">
      <w:pPr>
        <w:jc w:val="both"/>
      </w:pPr>
      <w:proofErr w:type="spellStart"/>
      <w:r>
        <w:rPr>
          <w:b/>
          <w:bCs/>
        </w:rPr>
        <w:t>Keywords</w:t>
      </w:r>
      <w:proofErr w:type="spellEnd"/>
      <w:r w:rsidRPr="00DE7662">
        <w:rPr>
          <w:b/>
          <w:bCs/>
        </w:rPr>
        <w:t>:</w:t>
      </w:r>
      <w:r>
        <w:t xml:space="preserve"> </w:t>
      </w:r>
      <w:proofErr w:type="spellStart"/>
      <w:r w:rsidRPr="004F34CF">
        <w:t>Turkish</w:t>
      </w:r>
      <w:proofErr w:type="spellEnd"/>
      <w:r w:rsidRPr="004F34CF">
        <w:t xml:space="preserve"> </w:t>
      </w:r>
      <w:proofErr w:type="spellStart"/>
      <w:r w:rsidRPr="004F34CF">
        <w:t>Foreign</w:t>
      </w:r>
      <w:proofErr w:type="spellEnd"/>
      <w:r w:rsidRPr="004F34CF">
        <w:t xml:space="preserve"> </w:t>
      </w:r>
      <w:proofErr w:type="spellStart"/>
      <w:r w:rsidRPr="004F34CF">
        <w:t>Policy</w:t>
      </w:r>
      <w:proofErr w:type="spellEnd"/>
      <w:r w:rsidRPr="004F34CF">
        <w:t xml:space="preserve">, </w:t>
      </w:r>
      <w:proofErr w:type="spellStart"/>
      <w:r w:rsidRPr="004F34CF">
        <w:t>Middle</w:t>
      </w:r>
      <w:proofErr w:type="spellEnd"/>
      <w:r w:rsidRPr="004F34CF">
        <w:t xml:space="preserve"> </w:t>
      </w:r>
      <w:proofErr w:type="spellStart"/>
      <w:r w:rsidRPr="004F34CF">
        <w:t>Power</w:t>
      </w:r>
      <w:proofErr w:type="spellEnd"/>
      <w:r w:rsidRPr="004F34CF">
        <w:t xml:space="preserve">, Grand </w:t>
      </w:r>
      <w:proofErr w:type="spellStart"/>
      <w:r w:rsidRPr="004F34CF">
        <w:t>Strategy</w:t>
      </w:r>
      <w:proofErr w:type="spellEnd"/>
      <w:r w:rsidRPr="004F34CF">
        <w:t xml:space="preserve">, </w:t>
      </w:r>
      <w:proofErr w:type="spellStart"/>
      <w:r w:rsidRPr="004F34CF">
        <w:t>Corridor</w:t>
      </w:r>
      <w:proofErr w:type="spellEnd"/>
      <w:r w:rsidRPr="004F34CF">
        <w:t xml:space="preserve"> </w:t>
      </w:r>
      <w:proofErr w:type="spellStart"/>
      <w:r w:rsidRPr="004F34CF">
        <w:t>Diplomacy</w:t>
      </w:r>
      <w:proofErr w:type="spellEnd"/>
      <w:r w:rsidRPr="004F34CF">
        <w:t xml:space="preserve">, </w:t>
      </w:r>
      <w:proofErr w:type="spellStart"/>
      <w:r w:rsidRPr="004F34CF">
        <w:t>Zangezur</w:t>
      </w:r>
      <w:proofErr w:type="spellEnd"/>
      <w:r w:rsidRPr="004F34CF">
        <w:t xml:space="preserve"> </w:t>
      </w:r>
      <w:proofErr w:type="spellStart"/>
      <w:r w:rsidRPr="004F34CF">
        <w:t>Corridor</w:t>
      </w:r>
      <w:proofErr w:type="spellEnd"/>
      <w:r w:rsidRPr="004F34CF">
        <w:t xml:space="preserve">, Black </w:t>
      </w:r>
      <w:proofErr w:type="spellStart"/>
      <w:r w:rsidRPr="004F34CF">
        <w:t>Sea</w:t>
      </w:r>
      <w:proofErr w:type="spellEnd"/>
      <w:r w:rsidRPr="004F34CF">
        <w:t xml:space="preserve"> </w:t>
      </w:r>
      <w:proofErr w:type="spellStart"/>
      <w:r w:rsidRPr="004F34CF">
        <w:t>Grain</w:t>
      </w:r>
      <w:proofErr w:type="spellEnd"/>
      <w:r w:rsidRPr="004F34CF">
        <w:t xml:space="preserve"> </w:t>
      </w:r>
      <w:proofErr w:type="spellStart"/>
      <w:r w:rsidRPr="004F34CF">
        <w:t>Initiative</w:t>
      </w:r>
      <w:proofErr w:type="spellEnd"/>
      <w:r w:rsidRPr="004F34CF">
        <w:t xml:space="preserve">, </w:t>
      </w:r>
      <w:proofErr w:type="spellStart"/>
      <w:r w:rsidRPr="004F34CF">
        <w:t>Iraq</w:t>
      </w:r>
      <w:proofErr w:type="spellEnd"/>
      <w:r w:rsidRPr="004F34CF">
        <w:t xml:space="preserve"> Development Road, Somali-</w:t>
      </w:r>
      <w:proofErr w:type="spellStart"/>
      <w:r w:rsidRPr="004F34CF">
        <w:t>Ethiopia</w:t>
      </w:r>
      <w:proofErr w:type="spellEnd"/>
      <w:r w:rsidRPr="004F34CF">
        <w:t xml:space="preserve"> </w:t>
      </w:r>
      <w:proofErr w:type="spellStart"/>
      <w:r w:rsidRPr="004F34CF">
        <w:lastRenderedPageBreak/>
        <w:t>Corridor</w:t>
      </w:r>
      <w:proofErr w:type="spellEnd"/>
      <w:r>
        <w:t xml:space="preserve"> </w:t>
      </w:r>
    </w:p>
    <w:p w14:paraId="520F0019" w14:textId="77777777" w:rsidR="00B96A5B" w:rsidRDefault="00B96A5B" w:rsidP="0079785E">
      <w:pPr>
        <w:jc w:val="both"/>
      </w:pPr>
    </w:p>
    <w:p w14:paraId="1E777242" w14:textId="77777777" w:rsidR="00B470AD" w:rsidRPr="00BE518B" w:rsidRDefault="00B470AD" w:rsidP="0079785E">
      <w:pPr>
        <w:jc w:val="both"/>
        <w:rPr>
          <w:b/>
        </w:rPr>
      </w:pPr>
      <w:r w:rsidRPr="00BE518B">
        <w:rPr>
          <w:b/>
        </w:rPr>
        <w:t>GİRİŞ</w:t>
      </w:r>
    </w:p>
    <w:p w14:paraId="67671F46" w14:textId="77777777" w:rsidR="00B470AD" w:rsidRDefault="00B470AD" w:rsidP="0079785E">
      <w:pPr>
        <w:jc w:val="both"/>
      </w:pPr>
      <w:r w:rsidRPr="00BE518B">
        <w:t>Soğuk Savaş’ın ardından ortaya çıkan hâl ve şartlarda Türk dış politikası, giderek özerkleşmeye ve böylece hareket kabiliyetini artırmaya başlamıştır. Bu uygun hâl ve şartların ortaya çıkmasına, Varşova Paktı’nın dağılması ve Sovyet Sosyalist Cumhuriyetler Birliği’nin (SSCB) çökmesi vesile olmuştur. Zira böylece iki kutuplu uluslararası sistem de sona ermiştir. Türkiye, Soğuk Savaş döneminde SSCB’den algıladığı güvenlik tehdidi sebebiyle uluslararası ilişkileri, Batı’nın stratejik hedeflerine ve politikasına göre yorumlamıştır. Nitekim özellikle yakın çevresindeki bölgelere yönelik dış politikası, daha çok Batı’nın kaygı ve çıkarlarına göre şekillenmiştir. Ancak yeni düzende Türkiye, serbestlik elde etmek suretiyle özgül bir önem kazanarak bölgesel güç hâline gelmiştir. Soğuk Savaş’ın jeopolitik gerçeklikler üstündeki gölgesi çekilince de komşularıyla mevcut tarihî ve kültürel bağlarını yeniden keşfetme fırsatını yakalamıştır. Bu fırsatın, Türkiye’ye, bölgesel liderlik yolunu açtığı iddia edilebilir.</w:t>
      </w:r>
    </w:p>
    <w:p w14:paraId="2F22ED6A" w14:textId="77777777" w:rsidR="00B96A5B" w:rsidRPr="00BE518B" w:rsidRDefault="00B96A5B" w:rsidP="0079785E">
      <w:pPr>
        <w:jc w:val="both"/>
      </w:pPr>
    </w:p>
    <w:p w14:paraId="7A279D56" w14:textId="77777777" w:rsidR="00B470AD" w:rsidRDefault="00B470AD" w:rsidP="0079785E">
      <w:pPr>
        <w:jc w:val="both"/>
      </w:pPr>
      <w:r w:rsidRPr="00BE518B">
        <w:t xml:space="preserve">Bu çalışmada, Türkiye’nin bölgesel liderlik amacı doğrultusunda, yakın çevresindeki devletleri birer takipçi yapabilmek için kullandığı ara buluculuk ve çatışma çözümlerinden bir örnekleme odaklanılacaktır. Bu bağlamda amaç, özellikle son yıllarda, Türk dış politikasında önemli bir yer işgal eden koridorları tartışmaya açmaktır. Nitekim koridorlar arasında tespit edilen benzerlik ve farklılıkların, Türk dış politikasına dair yeni bir yoruma imkân sağlayacağı umulmaktadır. </w:t>
      </w:r>
      <w:proofErr w:type="gramStart"/>
      <w:r w:rsidRPr="00BE518B">
        <w:t>Türkiye,</w:t>
      </w:r>
      <w:proofErr w:type="gramEnd"/>
      <w:r w:rsidRPr="00BE518B">
        <w:t xml:space="preserve"> gerek çevresinde gerekse ulusal çıkarlarının bulunduğu coğrafyalarda meydana gelen çatışmaların çözümüne yönelik koridorlar tasarlayarak çatışan tarafları uzlaştırmak için çabalamaktadır. Bu suretle aslında tarafların çıkar ve taleplerini gözetmektedir ve karşılığında ise uluslararası alanda kendisini desteklemelerini amaçlamaktadır. Söz konusu koridorların Türkiye için önemi, orta güçlerin büyük stratejisi modeline göre incelenecektir. Bu kuramsal çerçevede, “Türkiye’nin, yakın çevresinde ve ulusal çıkarlarının bulunduğu coğrafyalarda ortaya çıkan çatışmaların çözümüne yönelik tasarladığı yahut teşebbüs ettiği koridorlardan maksadı nedir?” sorusuna yanıt aranacaktır. Böylece Türkiye’nin koridor diplomasisini, bölgesel liderlik hedefi doğrultusunda kullanarak büyük stratejisini tatbik ettiğine ilişkin hipotez sınanacaktır. </w:t>
      </w:r>
    </w:p>
    <w:p w14:paraId="7A0D9BD6" w14:textId="77777777" w:rsidR="00B96A5B" w:rsidRPr="00BE518B" w:rsidRDefault="00B96A5B" w:rsidP="0079785E">
      <w:pPr>
        <w:jc w:val="both"/>
      </w:pPr>
    </w:p>
    <w:p w14:paraId="5CCBF56F" w14:textId="77777777" w:rsidR="00B470AD" w:rsidRDefault="00B470AD" w:rsidP="0079785E">
      <w:pPr>
        <w:jc w:val="both"/>
      </w:pPr>
      <w:r w:rsidRPr="00BE518B">
        <w:t xml:space="preserve">Çalışma, öncelikle belirgin bir kuramsal çerçeve ile sınırlandırılmıştır. Daha sonra Türkiye’nin yakın çevresinde ve ulusal çıkarlarının bulunduğu coğrafyalarda ortaya çıkan çatışmaların çözümüne yönelik tasarladığı yahut teşebbüs ettiği koridorlardan bir örneklem oluşturulmuştur. Bu doğrultuda </w:t>
      </w:r>
      <w:proofErr w:type="spellStart"/>
      <w:r w:rsidRPr="00BE518B">
        <w:t>Zengezur</w:t>
      </w:r>
      <w:proofErr w:type="spellEnd"/>
      <w:r w:rsidRPr="00BE518B">
        <w:t xml:space="preserve"> Koridoru, Tahıl Koridoru, Kalkınma Yolu ve Somali-Etiyopya Koridoru sırasıyla incelenerek tarafların çıkar ve talepleri tespit edilmiştir. Türkiye’nin, bölgesel liderlik hedefi doğrultusunda, bu çıkar ve talepleri gözetmek suretiyle çatışan tarafları kendisinin birer takipçisi hâline getirmeyi amaçladığı savunulmuştur. Bu bağlamda Türkiye’nin büyük stratejisini tatbik ettiği görülmüştür.</w:t>
      </w:r>
      <w:r w:rsidRPr="00BE518B">
        <w:t> </w:t>
      </w:r>
    </w:p>
    <w:p w14:paraId="762EEE74" w14:textId="77777777" w:rsidR="00B96A5B" w:rsidRPr="00BE518B" w:rsidRDefault="00B96A5B" w:rsidP="0079785E">
      <w:pPr>
        <w:jc w:val="both"/>
      </w:pPr>
    </w:p>
    <w:p w14:paraId="179393A5" w14:textId="77777777" w:rsidR="00B470AD" w:rsidRPr="00BE518B" w:rsidRDefault="00B470AD" w:rsidP="0079785E">
      <w:pPr>
        <w:jc w:val="both"/>
        <w:rPr>
          <w:b/>
        </w:rPr>
      </w:pPr>
      <w:r>
        <w:rPr>
          <w:b/>
        </w:rPr>
        <w:t>1. BÜYÜK STRATEJİ ve</w:t>
      </w:r>
      <w:r w:rsidRPr="00BE518B">
        <w:rPr>
          <w:b/>
        </w:rPr>
        <w:t xml:space="preserve"> BÖLGESEL LİDERLİK</w:t>
      </w:r>
    </w:p>
    <w:p w14:paraId="1393DF23" w14:textId="77777777" w:rsidR="00B470AD" w:rsidRPr="00BE518B" w:rsidRDefault="00B470AD" w:rsidP="0079785E">
      <w:pPr>
        <w:jc w:val="both"/>
      </w:pPr>
      <w:r w:rsidRPr="00BE518B">
        <w:t>Türkiye, otuz yılı aşkın bir süredir hem iç hem de dış gelişmelerden istifade ederek bağımsız bir dış politika takip etmeye çalışmaktadır. Geçen süre boyunca edindiği kabiliyet ve tecrübeler sayesinde Türkiye, artık bir “büyük strateji” oluşturabilecek seviyeye erişmiştir</w:t>
      </w:r>
      <w:r>
        <w:t xml:space="preserve"> (Ateşoğlu Güney, 2024, s. 3)</w:t>
      </w:r>
      <w:r w:rsidRPr="00BE518B">
        <w:t>. Türkiye ölçeğindeki devletleri</w:t>
      </w:r>
      <w:r>
        <w:t xml:space="preserve">, “orta güç” olarak tarif eden </w:t>
      </w:r>
      <w:proofErr w:type="spellStart"/>
      <w:r w:rsidRPr="00BE518B">
        <w:t>Pardo’ya</w:t>
      </w:r>
      <w:proofErr w:type="spellEnd"/>
      <w:r>
        <w:t xml:space="preserve"> (2023)</w:t>
      </w:r>
      <w:r w:rsidRPr="00BE518B">
        <w:t xml:space="preserve"> göre bu devletlerin büyük strateji oluşturabilmeleri için belli başlı şartları sağlamaları gerekmektedir. İlk olarak bunların etkileri, mümkün olduğunda küresel ancak daima bölgesel </w:t>
      </w:r>
      <w:r w:rsidRPr="00BE518B">
        <w:lastRenderedPageBreak/>
        <w:t>düzeyde olmalıdır. Sonra, uzun vadeli bir strateji geliştirmelidirler. Bu strateji; güvenlik, refah ve statü gibi yüksek amaçlara hizmet etmelidir. Son olarak kendilerini bu amaçlara ulaştıracak askerî, ekonomik, diplomatik ve sair araçlara sahip olmalıdırlar</w:t>
      </w:r>
      <w:r>
        <w:t xml:space="preserve"> (s. 28)</w:t>
      </w:r>
      <w:r w:rsidRPr="00BE518B">
        <w:t xml:space="preserve">. Türkiye ise bölgesel bir güç olarak bu şartları zaten sağlamaktadır. </w:t>
      </w:r>
    </w:p>
    <w:p w14:paraId="2AE3EC0D" w14:textId="77777777" w:rsidR="00B470AD" w:rsidRDefault="00B470AD" w:rsidP="0079785E">
      <w:pPr>
        <w:jc w:val="both"/>
      </w:pPr>
      <w:r w:rsidRPr="00BE518B">
        <w:t xml:space="preserve">Türkiye, Soğuk Savaş’ın ardından yakın çevresinde ortaya çıkan jeopolitik gerçekliklerin farkına vararak uluslararası sistemde kendisini yeniden konumlandırmaya başlamıştır. Bu suretle jeopolitik konumu ve imparatorluk mirasından kaynaklanan görev ve sorumluluklarıyla yüzleşmiştir. Bölgesel liderlik amacı doğrultusunda bir dış politika belirleyen Türkiye; askerî, ekonomik ve diplomatik gücünün yanı sıra tarihî ve kültürel bağlarını da kullanarak büyük strateji oluşturabilecek seviyeye erişmiştir. Nitekim </w:t>
      </w:r>
      <w:proofErr w:type="spellStart"/>
      <w:r w:rsidRPr="00BE518B">
        <w:t>Schirm’e</w:t>
      </w:r>
      <w:proofErr w:type="spellEnd"/>
      <w:r w:rsidRPr="00BE518B">
        <w:t xml:space="preserve"> </w:t>
      </w:r>
      <w:r>
        <w:t xml:space="preserve">(2010) </w:t>
      </w:r>
      <w:r w:rsidRPr="00BE518B">
        <w:t>göre başarılı bir liderlik, yalnızca kaynaklara ve arzuya değil; aynı zamanda takipçilerin desteğine de bağlıdır</w:t>
      </w:r>
      <w:r>
        <w:t xml:space="preserve"> (s. 199)</w:t>
      </w:r>
      <w:r w:rsidRPr="00BE518B">
        <w:t xml:space="preserve">. Bu bağlamda Türkiye, tarihî ve kültürel bağlara sahip olduğu yakın çevresindeki devletlerin çıkar ve taleplerini gözeterek onları uluslararası alandaki takipçileri hâline getirmeyi amaçlamaktadır. </w:t>
      </w:r>
    </w:p>
    <w:p w14:paraId="7657BF81" w14:textId="77777777" w:rsidR="00B96A5B" w:rsidRPr="00BE518B" w:rsidRDefault="00B96A5B" w:rsidP="0079785E">
      <w:pPr>
        <w:jc w:val="both"/>
      </w:pPr>
    </w:p>
    <w:p w14:paraId="04E37A41" w14:textId="77777777" w:rsidR="00B470AD" w:rsidRPr="00BE518B" w:rsidRDefault="00B470AD" w:rsidP="0079785E">
      <w:pPr>
        <w:jc w:val="both"/>
        <w:rPr>
          <w:b/>
        </w:rPr>
      </w:pPr>
      <w:r>
        <w:rPr>
          <w:b/>
        </w:rPr>
        <w:t>2. KORİDORLAR ve</w:t>
      </w:r>
      <w:r w:rsidRPr="00BE518B">
        <w:rPr>
          <w:b/>
        </w:rPr>
        <w:t xml:space="preserve"> TARAFLAR </w:t>
      </w:r>
    </w:p>
    <w:p w14:paraId="25D5C6B0" w14:textId="77777777" w:rsidR="00B470AD" w:rsidRDefault="00B470AD" w:rsidP="0079785E">
      <w:pPr>
        <w:jc w:val="both"/>
      </w:pPr>
      <w:r w:rsidRPr="00BE518B">
        <w:t xml:space="preserve">Türkiye, </w:t>
      </w:r>
      <w:proofErr w:type="spellStart"/>
      <w:r w:rsidRPr="00BE518B">
        <w:t>Zengezur</w:t>
      </w:r>
      <w:proofErr w:type="spellEnd"/>
      <w:r w:rsidRPr="00BE518B">
        <w:t xml:space="preserve"> Koridoru için </w:t>
      </w:r>
      <w:proofErr w:type="spellStart"/>
      <w:r w:rsidRPr="00BE518B">
        <w:t>Kafkaslar’da</w:t>
      </w:r>
      <w:proofErr w:type="spellEnd"/>
      <w:r w:rsidRPr="00BE518B">
        <w:t xml:space="preserve"> Azerbaycan ve Ermenistan’a doğrudan; Rusya Federasyonu (RF) ve İran’a ise dolaylı yoldan muhatap olmaktadır. Öte yandan Karadeniz’de Tahıl Koridoru açılması için RF ve Ukrayna’yı uzlaştırırken Birleşmiş Milletler (BM) </w:t>
      </w:r>
      <w:proofErr w:type="gramStart"/>
      <w:r w:rsidRPr="00BE518B">
        <w:t>ile birlikte</w:t>
      </w:r>
      <w:proofErr w:type="gramEnd"/>
      <w:r w:rsidRPr="00BE518B">
        <w:t xml:space="preserve"> ara buluculuk etmiştir. Kalkınma Yolu’nun inşa edilebilmesi için Irak ile doğrudan iş birliği yapan Türkiye, bu projede katkısı ve kazancı olacak Katar ve Birleşik Arap Emirlikleri (BAE) gibi Körfez ülkeleriyle de uyum sağlamıştır. Son olarak Afrika </w:t>
      </w:r>
      <w:proofErr w:type="spellStart"/>
      <w:r w:rsidRPr="00BE518B">
        <w:t>Boynuzu’nda</w:t>
      </w:r>
      <w:proofErr w:type="spellEnd"/>
      <w:r w:rsidRPr="00BE518B">
        <w:t xml:space="preserve"> Somali ile Etiyopya arasında ortaya çıkan çatışmayı, bir koridor vasıtasıyla çözüme kavuşturan Türkiye, bu süreçte tarafları Ankara’da ağırlayarak ara bulucu olmuştur. </w:t>
      </w:r>
    </w:p>
    <w:p w14:paraId="27513CA2" w14:textId="77777777" w:rsidR="0079785E" w:rsidRPr="00BE518B" w:rsidRDefault="0079785E" w:rsidP="0079785E">
      <w:pPr>
        <w:jc w:val="both"/>
      </w:pPr>
    </w:p>
    <w:p w14:paraId="153414D3" w14:textId="77777777" w:rsidR="00B470AD" w:rsidRPr="00BE518B" w:rsidRDefault="00B470AD" w:rsidP="0079785E">
      <w:pPr>
        <w:jc w:val="both"/>
        <w:rPr>
          <w:b/>
        </w:rPr>
      </w:pPr>
      <w:r w:rsidRPr="00BE518B">
        <w:rPr>
          <w:b/>
        </w:rPr>
        <w:t xml:space="preserve">2.1. </w:t>
      </w:r>
      <w:proofErr w:type="spellStart"/>
      <w:r w:rsidRPr="00BE518B">
        <w:rPr>
          <w:b/>
        </w:rPr>
        <w:t>Zengezur</w:t>
      </w:r>
      <w:proofErr w:type="spellEnd"/>
      <w:r w:rsidRPr="00BE518B">
        <w:rPr>
          <w:b/>
        </w:rPr>
        <w:t xml:space="preserve"> Koridoru</w:t>
      </w:r>
    </w:p>
    <w:p w14:paraId="0A0F8FB0" w14:textId="77777777" w:rsidR="00B470AD" w:rsidRDefault="00B470AD" w:rsidP="0079785E">
      <w:pPr>
        <w:jc w:val="both"/>
      </w:pPr>
      <w:r w:rsidRPr="00BE518B">
        <w:t xml:space="preserve">Azerbaycan’ın Yukarı Karabağ bölgesinin yanı sıra çevresindeki yedi bölge, yaklaşık otuz yıl boyunca Ermenistan’ın işgalinde kalmıştır. Yukarı Karabağ’ın çevresindeki bölgeler, kırk dört gün süren Vatan Muharebesi’ndeki zaferle kurtarılmıştır. Karabağ Zaferi’nin ardından 2020’de imzalanan ateşkes antlaşmasında, Azerbaycan ile onun </w:t>
      </w:r>
      <w:proofErr w:type="spellStart"/>
      <w:r w:rsidRPr="00BE518B">
        <w:t>ekslav</w:t>
      </w:r>
      <w:proofErr w:type="spellEnd"/>
      <w:r w:rsidRPr="00BE518B">
        <w:rPr>
          <w:vertAlign w:val="superscript"/>
        </w:rPr>
        <w:footnoteReference w:id="80"/>
      </w:r>
      <w:r w:rsidRPr="00BE518B">
        <w:t xml:space="preserve"> toprağı Nahçıvan’ı birbirine bağlayacak kara ve demiryollarından müteşekkil bir koridorun açılması, Ermenistan tarafından taahhüt edilmiştir. </w:t>
      </w:r>
      <w:proofErr w:type="spellStart"/>
      <w:r w:rsidRPr="00BE518B">
        <w:t>Zengezur</w:t>
      </w:r>
      <w:proofErr w:type="spellEnd"/>
      <w:r w:rsidRPr="00BE518B">
        <w:t xml:space="preserve"> bölgesinden geçmesi öngörülen bu koridor, aslında, Azerbaycan’ı Türkiye’ye kavuşturacaktır. Bu yüzden Azerbaycan, ateşkesin ilan edildiği Üçlü </w:t>
      </w:r>
      <w:proofErr w:type="spellStart"/>
      <w:r w:rsidRPr="00BE518B">
        <w:t>Bildiri’ye</w:t>
      </w:r>
      <w:proofErr w:type="spellEnd"/>
      <w:r w:rsidRPr="00BE518B">
        <w:rPr>
          <w:vertAlign w:val="superscript"/>
        </w:rPr>
        <w:footnoteReference w:id="81"/>
      </w:r>
      <w:r w:rsidRPr="00BE518B">
        <w:t xml:space="preserve"> </w:t>
      </w:r>
      <w:proofErr w:type="spellStart"/>
      <w:r w:rsidRPr="00BE518B">
        <w:t>Zengezur</w:t>
      </w:r>
      <w:proofErr w:type="spellEnd"/>
      <w:r w:rsidRPr="00BE518B">
        <w:t xml:space="preserve"> </w:t>
      </w:r>
      <w:proofErr w:type="spellStart"/>
      <w:r w:rsidRPr="00BE518B">
        <w:t>Koridoru’nun</w:t>
      </w:r>
      <w:proofErr w:type="spellEnd"/>
      <w:r w:rsidRPr="00BE518B">
        <w:t xml:space="preserve"> açılmasına ilişkin bir karar ekleterek oldukça stratejik bir hamle yapmıştır</w:t>
      </w:r>
      <w:r>
        <w:t xml:space="preserve"> (Dumlu &amp; Şahin, 2024, s. 178)</w:t>
      </w:r>
      <w:r w:rsidRPr="00BE518B">
        <w:t xml:space="preserve">. Türkiye ise Üçlü </w:t>
      </w:r>
      <w:proofErr w:type="spellStart"/>
      <w:r w:rsidRPr="00BE518B">
        <w:t>Bildiri’de</w:t>
      </w:r>
      <w:proofErr w:type="spellEnd"/>
      <w:r w:rsidRPr="00BE518B">
        <w:t xml:space="preserve"> yer almamasına rağmen 2021’de Azerbaycan ile </w:t>
      </w:r>
      <w:proofErr w:type="spellStart"/>
      <w:r w:rsidRPr="00BE518B">
        <w:t>Şuşa</w:t>
      </w:r>
      <w:proofErr w:type="spellEnd"/>
      <w:r w:rsidRPr="00BE518B">
        <w:t xml:space="preserve"> Beyannamesi’ni</w:t>
      </w:r>
      <w:r w:rsidRPr="00BE518B">
        <w:rPr>
          <w:vertAlign w:val="superscript"/>
        </w:rPr>
        <w:footnoteReference w:id="82"/>
      </w:r>
      <w:r w:rsidRPr="00BE518B">
        <w:t xml:space="preserve"> imzalayarak </w:t>
      </w:r>
      <w:proofErr w:type="spellStart"/>
      <w:r w:rsidRPr="00BE518B">
        <w:t>Zengezur</w:t>
      </w:r>
      <w:proofErr w:type="spellEnd"/>
      <w:r w:rsidRPr="00BE518B">
        <w:t xml:space="preserve"> </w:t>
      </w:r>
      <w:proofErr w:type="spellStart"/>
      <w:r w:rsidRPr="00BE518B">
        <w:t>Koridoru’nun</w:t>
      </w:r>
      <w:proofErr w:type="spellEnd"/>
      <w:r w:rsidRPr="00BE518B">
        <w:t xml:space="preserve"> açılması meselesine dâhil olabilmiştir. </w:t>
      </w:r>
    </w:p>
    <w:p w14:paraId="478DC36F" w14:textId="77777777" w:rsidR="0079785E" w:rsidRPr="00BE518B" w:rsidRDefault="0079785E" w:rsidP="0079785E">
      <w:pPr>
        <w:jc w:val="both"/>
      </w:pPr>
    </w:p>
    <w:p w14:paraId="12080CC9" w14:textId="77777777" w:rsidR="00B470AD" w:rsidRDefault="00B470AD" w:rsidP="0079785E">
      <w:pPr>
        <w:jc w:val="both"/>
      </w:pPr>
      <w:r w:rsidRPr="00BE518B">
        <w:lastRenderedPageBreak/>
        <w:t xml:space="preserve">Azerbaycan’dan Avrupa’ya uzanan enerji ve ulaşım hatları, </w:t>
      </w:r>
      <w:proofErr w:type="spellStart"/>
      <w:r w:rsidRPr="00BE518B">
        <w:t>Tovuz</w:t>
      </w:r>
      <w:proofErr w:type="spellEnd"/>
      <w:r w:rsidRPr="00BE518B">
        <w:t xml:space="preserve"> bölgesinden geçmektedir. Karabağ’daki Ermeni işgali, </w:t>
      </w:r>
      <w:proofErr w:type="spellStart"/>
      <w:r w:rsidRPr="00BE518B">
        <w:t>Tovuz</w:t>
      </w:r>
      <w:proofErr w:type="spellEnd"/>
      <w:r w:rsidRPr="00BE518B">
        <w:t xml:space="preserve"> güzergâhının jeoekonomik hassasiyetini artırmıştır. Bu sebeple Azerbaycan, </w:t>
      </w:r>
      <w:proofErr w:type="spellStart"/>
      <w:r w:rsidRPr="00BE518B">
        <w:t>Zengezur</w:t>
      </w:r>
      <w:proofErr w:type="spellEnd"/>
      <w:r w:rsidRPr="00BE518B">
        <w:t xml:space="preserve"> </w:t>
      </w:r>
      <w:proofErr w:type="spellStart"/>
      <w:r w:rsidRPr="00BE518B">
        <w:t>Koridoru’nu</w:t>
      </w:r>
      <w:proofErr w:type="spellEnd"/>
      <w:r w:rsidRPr="00BE518B">
        <w:t xml:space="preserve"> alternatif bir güzergâh olarak tasarlamıştır</w:t>
      </w:r>
      <w:r>
        <w:t xml:space="preserve"> (Güler, 2020, s. 2)</w:t>
      </w:r>
      <w:r w:rsidRPr="00BE518B">
        <w:t>. Söz gelimi</w:t>
      </w:r>
      <w:r>
        <w:t>,</w:t>
      </w:r>
      <w:r w:rsidRPr="00BE518B">
        <w:t xml:space="preserve"> koridorda inşa edilecek demir yolları, Bakü-Tiflis-Kars demir yoluna bir alternatif olacaktır</w:t>
      </w:r>
      <w:r>
        <w:t xml:space="preserve"> (</w:t>
      </w:r>
      <w:proofErr w:type="spellStart"/>
      <w:r>
        <w:t>Gasımova</w:t>
      </w:r>
      <w:proofErr w:type="spellEnd"/>
      <w:r>
        <w:t xml:space="preserve"> &amp; Erçin </w:t>
      </w:r>
      <w:proofErr w:type="spellStart"/>
      <w:r>
        <w:t>Yurcu</w:t>
      </w:r>
      <w:proofErr w:type="spellEnd"/>
      <w:r>
        <w:t>, 2023, s. 7)</w:t>
      </w:r>
      <w:r w:rsidRPr="00BE518B">
        <w:t>. Ayrıca Karabağ, Ermeni işgali altındayken Azerbaycan’ın Nahçıvan ile bağlantısını kendi toprakları üzerinden sağlayan İran</w:t>
      </w:r>
      <w:r>
        <w:t xml:space="preserve"> (</w:t>
      </w:r>
      <w:proofErr w:type="spellStart"/>
      <w:r>
        <w:t>Kaleji</w:t>
      </w:r>
      <w:proofErr w:type="spellEnd"/>
      <w:r>
        <w:t xml:space="preserve">, </w:t>
      </w:r>
      <w:proofErr w:type="spellStart"/>
      <w:r>
        <w:t>February</w:t>
      </w:r>
      <w:proofErr w:type="spellEnd"/>
      <w:r>
        <w:t xml:space="preserve"> 6, 2024)</w:t>
      </w:r>
      <w:r w:rsidRPr="00BE518B">
        <w:t xml:space="preserve">, bu suretle Azerbaycan ile Türkiye arasındaki ticarî ilişkilere de tahakküm edebilmiştir. Ancak </w:t>
      </w:r>
      <w:proofErr w:type="spellStart"/>
      <w:r w:rsidRPr="00BE518B">
        <w:t>Zengezur</w:t>
      </w:r>
      <w:proofErr w:type="spellEnd"/>
      <w:r w:rsidRPr="00BE518B">
        <w:t xml:space="preserve"> Koridoru sayesinde İran, devre dışı bırakılacaktır</w:t>
      </w:r>
      <w:r>
        <w:t xml:space="preserve"> (Dumlu &amp; Şahin, 2024, s. 185)</w:t>
      </w:r>
      <w:r w:rsidRPr="00BE518B">
        <w:t>.</w:t>
      </w:r>
    </w:p>
    <w:p w14:paraId="445CB8F6" w14:textId="77777777" w:rsidR="0079785E" w:rsidRPr="00BE518B" w:rsidRDefault="0079785E" w:rsidP="0079785E">
      <w:pPr>
        <w:jc w:val="both"/>
      </w:pPr>
    </w:p>
    <w:p w14:paraId="59DF3730" w14:textId="77777777" w:rsidR="00B470AD" w:rsidRDefault="00B470AD" w:rsidP="0079785E">
      <w:pPr>
        <w:jc w:val="both"/>
      </w:pPr>
      <w:r w:rsidRPr="00BE518B">
        <w:t xml:space="preserve">Öte yandan Ermenistan, Azerbaycan topraklarını işgal ettiği günden beri bölgesel tecritten mustariptir. Ancak </w:t>
      </w:r>
      <w:proofErr w:type="spellStart"/>
      <w:r w:rsidRPr="00BE518B">
        <w:t>Zengezur</w:t>
      </w:r>
      <w:proofErr w:type="spellEnd"/>
      <w:r w:rsidRPr="00BE518B">
        <w:t xml:space="preserve"> </w:t>
      </w:r>
      <w:proofErr w:type="spellStart"/>
      <w:r w:rsidRPr="00BE518B">
        <w:t>Koridoru’nun</w:t>
      </w:r>
      <w:proofErr w:type="spellEnd"/>
      <w:r w:rsidRPr="00BE518B">
        <w:t xml:space="preserve"> açılmasına müsaade ettiği takdirde bu tecritten kurtulabilecektir. Zira bu suretle bölgesel iş birliğine dâhil olarak hem Azerbaycan ile kalıcı barışa hizmet edecek hem de Türkiye ile ilişkilerini normalleştirecektir. Bu bakımdan Ermenistan, aslında, Güney </w:t>
      </w:r>
      <w:proofErr w:type="spellStart"/>
      <w:r w:rsidRPr="00BE518B">
        <w:t>Kafkaslar’daki</w:t>
      </w:r>
      <w:proofErr w:type="spellEnd"/>
      <w:r w:rsidRPr="00BE518B">
        <w:t xml:space="preserve"> barış ve istikrarın temini için tarihî bir fırsat yakalamıştır. Üstelik bölgesel barış ve istikrar, Ermenistan’ın refah ve kalkınmasına da yarayacaktır. Böylece Ermeni </w:t>
      </w:r>
      <w:proofErr w:type="spellStart"/>
      <w:r w:rsidRPr="00BE518B">
        <w:t>Diasporası’nın</w:t>
      </w:r>
      <w:proofErr w:type="spellEnd"/>
      <w:r w:rsidRPr="00BE518B">
        <w:t xml:space="preserve"> ekonomik tahakkümü kırılabilecektir. Diasporaya ekonomik bağımlılık zayıfladığı takdirde siyasî tahakküm de kırılabilecektir</w:t>
      </w:r>
      <w:r>
        <w:t xml:space="preserve"> (Dumlu &amp; Şahin, 2024, </w:t>
      </w:r>
      <w:proofErr w:type="spellStart"/>
      <w:r>
        <w:t>ss</w:t>
      </w:r>
      <w:proofErr w:type="spellEnd"/>
      <w:r>
        <w:t>. 182-186)</w:t>
      </w:r>
      <w:r w:rsidRPr="00BE518B">
        <w:t xml:space="preserve">. </w:t>
      </w:r>
    </w:p>
    <w:p w14:paraId="3F1FCA08" w14:textId="77777777" w:rsidR="0079785E" w:rsidRPr="00BE518B" w:rsidRDefault="0079785E" w:rsidP="0079785E">
      <w:pPr>
        <w:jc w:val="both"/>
      </w:pPr>
    </w:p>
    <w:p w14:paraId="635500CE" w14:textId="77777777" w:rsidR="00B470AD" w:rsidRDefault="00B470AD" w:rsidP="0079785E">
      <w:pPr>
        <w:jc w:val="both"/>
      </w:pPr>
      <w:r w:rsidRPr="00BE518B">
        <w:t xml:space="preserve">Türkiye, Güney </w:t>
      </w:r>
      <w:proofErr w:type="spellStart"/>
      <w:r w:rsidRPr="00BE518B">
        <w:t>Kafkaslar’a</w:t>
      </w:r>
      <w:proofErr w:type="spellEnd"/>
      <w:r w:rsidRPr="00BE518B">
        <w:t xml:space="preserve"> yönelik politikasını, büyük stratejisi doğrultusunda tatbik etmektedir. Zira </w:t>
      </w:r>
      <w:proofErr w:type="spellStart"/>
      <w:r w:rsidRPr="00BE518B">
        <w:t>Zengezur</w:t>
      </w:r>
      <w:proofErr w:type="spellEnd"/>
      <w:r w:rsidRPr="00BE518B">
        <w:t xml:space="preserve"> Koridoru, küresel ölçekte Orta </w:t>
      </w:r>
      <w:proofErr w:type="spellStart"/>
      <w:r w:rsidRPr="00BE518B">
        <w:t>Koridor’un</w:t>
      </w:r>
      <w:proofErr w:type="spellEnd"/>
      <w:r w:rsidRPr="00BE518B">
        <w:t xml:space="preserve"> bir parçasını teşkil edecektir. Böylece Nahçıvan ile mevcut kara sınırı sayesinde Türkiye, tarihî İpek Yolu’nun canlandırılmasına yönelik sürdürülen Kuşak ve Yol Girişimi’nde önemli bir köprübaşını tutacaktır. Üstelik Türkiye, bu koridordan Türk Dünyası’na doğrudan kavuşabilecektir</w:t>
      </w:r>
      <w:r>
        <w:t xml:space="preserve"> (Dumlu &amp; Şahin, 2024, s. 182)</w:t>
      </w:r>
      <w:r w:rsidRPr="00BE518B">
        <w:t xml:space="preserve">. Bu bakımdan Türkiye’nin Güney </w:t>
      </w:r>
      <w:proofErr w:type="spellStart"/>
      <w:r w:rsidRPr="00BE518B">
        <w:t>Kafkaslar’daki</w:t>
      </w:r>
      <w:proofErr w:type="spellEnd"/>
      <w:r w:rsidRPr="00BE518B">
        <w:t xml:space="preserve"> stratejisi uzun vadelidir. Türkiye, bu amaçlara ulaşabilmek için askerî ve diplomatik gücünü bir arada ve ahenkle kullanmaktadır. Bu bağlamda büyük stratejisi doğrultusunda </w:t>
      </w:r>
      <w:proofErr w:type="spellStart"/>
      <w:r w:rsidRPr="00BE518B">
        <w:t>Zengezur</w:t>
      </w:r>
      <w:proofErr w:type="spellEnd"/>
      <w:r w:rsidRPr="00BE518B">
        <w:t xml:space="preserve"> </w:t>
      </w:r>
      <w:proofErr w:type="spellStart"/>
      <w:r w:rsidRPr="00BE518B">
        <w:t>Koridoru’nun</w:t>
      </w:r>
      <w:proofErr w:type="spellEnd"/>
      <w:r w:rsidRPr="00BE518B">
        <w:t xml:space="preserve"> açılabilmesi için Azerbaycan’ın yanı sıra Ermenistan’ın da çıkar ve taleplerini gözetmektedir. Nitekim Azerbaycan, bu koridor vasıtasıyla Batı’ya erişim hususunda temin edilirken Ermenistan’a da bölgesel iş birliğine kabul edileceği </w:t>
      </w:r>
      <w:proofErr w:type="spellStart"/>
      <w:r w:rsidRPr="00BE518B">
        <w:t>vâdedilmiştir</w:t>
      </w:r>
      <w:proofErr w:type="spellEnd"/>
      <w:r w:rsidRPr="00BE518B">
        <w:t xml:space="preserve">. Böylelikle Türkiye, bölgesel liderlik hedefi doğrultusunda </w:t>
      </w:r>
      <w:proofErr w:type="spellStart"/>
      <w:r w:rsidRPr="00BE518B">
        <w:t>Zengezur</w:t>
      </w:r>
      <w:proofErr w:type="spellEnd"/>
      <w:r w:rsidRPr="00BE518B">
        <w:t xml:space="preserve"> </w:t>
      </w:r>
      <w:proofErr w:type="spellStart"/>
      <w:r w:rsidRPr="00BE518B">
        <w:t>Koridoru’nun</w:t>
      </w:r>
      <w:proofErr w:type="spellEnd"/>
      <w:r w:rsidRPr="00BE518B">
        <w:t xml:space="preserve"> açılmasını sağlamak suretiyle Azerbaycan ve Ermenistan’ı birer takipçisi hâline getirmeyi tasarlamaktadır. </w:t>
      </w:r>
    </w:p>
    <w:p w14:paraId="7280B8E6" w14:textId="77777777" w:rsidR="0079785E" w:rsidRPr="00BE518B" w:rsidRDefault="0079785E" w:rsidP="0079785E">
      <w:pPr>
        <w:jc w:val="both"/>
        <w:rPr>
          <w:b/>
        </w:rPr>
      </w:pPr>
    </w:p>
    <w:p w14:paraId="4F0CCCE8" w14:textId="77777777" w:rsidR="00B470AD" w:rsidRPr="00BE518B" w:rsidRDefault="00B470AD" w:rsidP="0079785E">
      <w:pPr>
        <w:jc w:val="both"/>
        <w:rPr>
          <w:b/>
        </w:rPr>
      </w:pPr>
      <w:r w:rsidRPr="00BE518B">
        <w:rPr>
          <w:b/>
        </w:rPr>
        <w:t>2.2. Tahıl Koridoru</w:t>
      </w:r>
    </w:p>
    <w:p w14:paraId="391DB39A" w14:textId="77777777" w:rsidR="00B470AD" w:rsidRDefault="00B470AD" w:rsidP="0079785E">
      <w:pPr>
        <w:jc w:val="both"/>
      </w:pPr>
      <w:proofErr w:type="spellStart"/>
      <w:r w:rsidRPr="00BE518B">
        <w:t>RF’nin</w:t>
      </w:r>
      <w:proofErr w:type="spellEnd"/>
      <w:r w:rsidRPr="00BE518B">
        <w:t xml:space="preserve"> 2022’de Ukrayna’yı istila girişimiyle başlayan savaş, enerji ve gıda başta olmak üzere küresel ticaretin birçok alanını olumsuz etkilemiştir. Nitekim en önemli tahıl ihracatçıları olan bu iki ülkenin birbiriyle savaşması, küresel ölçekte bir tahıl krizine sebep olmuştur. Üstelik Karadeniz limanlarındaki abluka ve açıklarındaki mayınlar, tahıl ihracatına engel olduğundan ötürü küresel bir gıda kıtlığı tehlikesi belirmiştir</w:t>
      </w:r>
      <w:r>
        <w:t xml:space="preserve"> (Acer, 2022, </w:t>
      </w:r>
      <w:proofErr w:type="spellStart"/>
      <w:r>
        <w:t>ss</w:t>
      </w:r>
      <w:proofErr w:type="spellEnd"/>
      <w:r>
        <w:t>. 1-2)</w:t>
      </w:r>
      <w:r w:rsidRPr="00BE518B">
        <w:t>. Savaşan taraflarla ilişkilerini dengeli bir biçimde sürdüren Türkiye’nin ara buluculuğu ve ısrarlı çabaları sayesinde, BM’nin gözetiminde tahıl krizinin çözümüne yönelik oluşturulan “Karadeniz Tahıl Girişimi”, 22 Temmuz 2022’de faaliyete başlamıştır. RF ile Ukrayna’yı İstanbul’da bir araya getiren girişim, taraflar arasında imzalanan Tahıl Koridoru Anlaşması’yla</w:t>
      </w:r>
      <w:r w:rsidRPr="00BE518B">
        <w:rPr>
          <w:vertAlign w:val="superscript"/>
        </w:rPr>
        <w:footnoteReference w:id="83"/>
      </w:r>
      <w:r w:rsidRPr="00BE518B">
        <w:t xml:space="preserve"> krizi bir süreliğine </w:t>
      </w:r>
      <w:r w:rsidRPr="00BE518B">
        <w:lastRenderedPageBreak/>
        <w:t>çözmüştür. Böylece savaş sebebiyle Ukrayna limanlarında bekletilen tahıl ve gübre, Karadeniz’e serbestçe çıkarılarak Türk Boğazları aracılığıyla yeniden dünyaya dağıtılabilmiştir</w:t>
      </w:r>
      <w:r>
        <w:t xml:space="preserve"> (</w:t>
      </w:r>
      <w:proofErr w:type="spellStart"/>
      <w:r>
        <w:t>Dellal</w:t>
      </w:r>
      <w:proofErr w:type="spellEnd"/>
      <w:r>
        <w:t>, 2022).</w:t>
      </w:r>
    </w:p>
    <w:p w14:paraId="2B9E4702" w14:textId="77777777" w:rsidR="0079785E" w:rsidRPr="00BE518B" w:rsidRDefault="0079785E" w:rsidP="0079785E">
      <w:pPr>
        <w:jc w:val="both"/>
      </w:pPr>
    </w:p>
    <w:p w14:paraId="437FF42F" w14:textId="77777777" w:rsidR="00B470AD" w:rsidRDefault="00B470AD" w:rsidP="0079785E">
      <w:pPr>
        <w:jc w:val="both"/>
      </w:pPr>
      <w:r w:rsidRPr="00BE518B">
        <w:t>Bu anlaşmayla oluşturulan güvenli güzergâh sayesinde RF ile Ukrayna, tarım ürünlerini ihraç edebilmiştir. Böylece tahıl ithal eden ülkelerin yaklaşık olarak 33 milyon ton</w:t>
      </w:r>
      <w:r w:rsidRPr="00BE518B">
        <w:rPr>
          <w:vertAlign w:val="superscript"/>
        </w:rPr>
        <w:footnoteReference w:id="84"/>
      </w:r>
      <w:r w:rsidRPr="00BE518B">
        <w:t xml:space="preserve"> tahıla erişmesiyle buğday, arpa ve mısır gibi ürünlerin fiyatları, savaştan önceki seviyeye düşmüştür</w:t>
      </w:r>
      <w:r>
        <w:t xml:space="preserve"> (İstikbal, 19 Ağustos 2022)</w:t>
      </w:r>
      <w:r w:rsidRPr="00BE518B">
        <w:t>. Bununla beraber RF, Ukrayna limanlarından yük almak için yola çıkan gemileri, İstanbul’daki Ortak Koordinasyon Merkezinde denetleyerek bunların silah ve askerî malzeme taşımadıklarından emin olabilmiştir</w:t>
      </w:r>
      <w:r>
        <w:t xml:space="preserve"> (Acer, 2022, s. 3)</w:t>
      </w:r>
      <w:r w:rsidRPr="00BE518B">
        <w:t xml:space="preserve">. Ancak RF, anlaşmanın üç defa uzatılmasına itiraz etmese de uygulanışından duyduğu rahatsızlığı her defasında beyan etmiştir. Sonuç itibarıyla Tahıl </w:t>
      </w:r>
      <w:proofErr w:type="spellStart"/>
      <w:r w:rsidRPr="00BE518B">
        <w:t>Koridoru’ndaki</w:t>
      </w:r>
      <w:proofErr w:type="spellEnd"/>
      <w:r w:rsidRPr="00BE518B">
        <w:t xml:space="preserve"> ihracat şartlarının iyileştirilmesine ilişkin taleplerinin dikkate alınmadığını gerekçe göstererek anlaşmadan çekilmiştir</w:t>
      </w:r>
      <w:r>
        <w:t xml:space="preserve"> (Acer, 2023, s. 9)</w:t>
      </w:r>
      <w:r w:rsidRPr="00BE518B">
        <w:t xml:space="preserve">. </w:t>
      </w:r>
    </w:p>
    <w:p w14:paraId="5EC823F6" w14:textId="77777777" w:rsidR="0079785E" w:rsidRPr="00BE518B" w:rsidRDefault="0079785E" w:rsidP="0079785E">
      <w:pPr>
        <w:jc w:val="both"/>
      </w:pPr>
    </w:p>
    <w:p w14:paraId="1EC795BA" w14:textId="77777777" w:rsidR="00B470AD" w:rsidRDefault="00B470AD" w:rsidP="0079785E">
      <w:pPr>
        <w:jc w:val="both"/>
      </w:pPr>
      <w:r w:rsidRPr="00BE518B">
        <w:t xml:space="preserve">Türkiye, Karadeniz havzasına yönelik politikasını, büyük stratejisi doğrultusunda tatbik etmiştir. Zira Tahıl </w:t>
      </w:r>
      <w:proofErr w:type="spellStart"/>
      <w:r w:rsidRPr="00BE518B">
        <w:t>Koridoru’nun</w:t>
      </w:r>
      <w:proofErr w:type="spellEnd"/>
      <w:r w:rsidRPr="00BE518B">
        <w:t xml:space="preserve"> küresel ölçekte etkileri olmuştur. Güvenlik Konseyindeki daimî üyelerin veto yetkisi sebebiyle birçok bölgesel ve küresel kriz karşısında âciz kalan BM, beklenildiği üzere Ukrayna’daki savaş karşısında da çaresiz kalmıştır. Nitekim Tahıl </w:t>
      </w:r>
      <w:proofErr w:type="spellStart"/>
      <w:r w:rsidRPr="00BE518B">
        <w:t>Koridoru’nun</w:t>
      </w:r>
      <w:proofErr w:type="spellEnd"/>
      <w:r w:rsidRPr="00BE518B">
        <w:t xml:space="preserve"> açılmasına ilişkin Ukrayna’nın BM’ye sunduğu teklif, teşkilat bünyesinde somut bir karşılık bulmamıştır</w:t>
      </w:r>
      <w:r>
        <w:t xml:space="preserve"> (Yeşiltaş, 23 Eylül 2022)</w:t>
      </w:r>
      <w:r w:rsidRPr="00BE518B">
        <w:t xml:space="preserve">. Ancak Türkiye, muhasım taraflar için güvenilir bir ara bulucu olarak Tahıl </w:t>
      </w:r>
      <w:proofErr w:type="spellStart"/>
      <w:r w:rsidRPr="00BE518B">
        <w:t>Koridoru’nun</w:t>
      </w:r>
      <w:proofErr w:type="spellEnd"/>
      <w:r w:rsidRPr="00BE518B">
        <w:t xml:space="preserve"> açılmasını mümkün kılmıştır. Böylelikle BM’nin yetemediği hâl ve şartlarda Türkiye, öncü olmuştur</w:t>
      </w:r>
      <w:r>
        <w:t xml:space="preserve"> (Pirinççi, 20 Ağustos 2022)</w:t>
      </w:r>
      <w:r w:rsidRPr="00BE518B">
        <w:t>. Bu bağlamda diplomatik ve yumuşak gücünü ustalıkla kullanmıştır.</w:t>
      </w:r>
    </w:p>
    <w:p w14:paraId="3573ABCC" w14:textId="77777777" w:rsidR="0079785E" w:rsidRPr="00BE518B" w:rsidRDefault="0079785E" w:rsidP="0079785E">
      <w:pPr>
        <w:jc w:val="both"/>
      </w:pPr>
    </w:p>
    <w:p w14:paraId="69C7D490" w14:textId="77777777" w:rsidR="00B470AD" w:rsidRDefault="00B470AD" w:rsidP="0079785E">
      <w:pPr>
        <w:jc w:val="both"/>
      </w:pPr>
      <w:r w:rsidRPr="00BE518B">
        <w:t>Türkiye’nin gösterdiği liderlik, bu bakımdan bölgesel ölçeği de aşmıştır. Öyle ki koridor vasıtasıyla sevk edilen tahıl ve diğer gıda maddelerinin yüzde 46’sı Asya’ya, yüzde 40’ı Batı Avrupa’ya, yüzde 12’si Afrika’ya ve yüzde 1’i ise Doğu Avrupa’ya ulaştırılmıştır</w:t>
      </w:r>
      <w:r>
        <w:t xml:space="preserve"> (Acer, 2023, s. 17)</w:t>
      </w:r>
      <w:r w:rsidRPr="00BE518B">
        <w:t xml:space="preserve">. Böylece üç farklı kıtada bulunan kırk beş ülkede, tahıl krizinin etkileri bir süreliğine de olsa azalmıştır. Oysa Türkiye, Tahıl </w:t>
      </w:r>
      <w:proofErr w:type="spellStart"/>
      <w:r w:rsidRPr="00BE518B">
        <w:t>Koridoru’nun</w:t>
      </w:r>
      <w:proofErr w:type="spellEnd"/>
      <w:r w:rsidRPr="00BE518B">
        <w:t xml:space="preserve"> uzun vadeli bir çözüm olmasını amaçlamıştır ancak uluslararası şartlar buna müsaade etmemiştir. Sonuç itibarıyla Türkiye, büyük stratejisi doğrultusunda Tahıl </w:t>
      </w:r>
      <w:proofErr w:type="spellStart"/>
      <w:r w:rsidRPr="00BE518B">
        <w:t>Koridoru’nun</w:t>
      </w:r>
      <w:proofErr w:type="spellEnd"/>
      <w:r w:rsidRPr="00BE518B">
        <w:t xml:space="preserve"> açılabilmesi için RF ile Ukrayna’nın yanı sıra uluslararası toplumun da çıkar ve taleplerini gözetmiştir. Nitekim bu koridor vasıtasıyla Asya, Avrupa ve Afrika’daki birçok ülkenin gıda güvenliği sağlanmıştır. Böylelikle Türkiye, bölgesel liderlik hedefi doğrultusunda Tahıl </w:t>
      </w:r>
      <w:proofErr w:type="spellStart"/>
      <w:r w:rsidRPr="00BE518B">
        <w:t>Koridoru’nun</w:t>
      </w:r>
      <w:proofErr w:type="spellEnd"/>
      <w:r w:rsidRPr="00BE518B">
        <w:t xml:space="preserve"> açılmasını sağlamak suretiyle özellikle gelişmekte olan ülkeleri birer takipçisi hâline getirmeyi tasarlamıştır. </w:t>
      </w:r>
    </w:p>
    <w:p w14:paraId="0167D50A" w14:textId="77777777" w:rsidR="0079785E" w:rsidRPr="00BE518B" w:rsidRDefault="0079785E" w:rsidP="0079785E">
      <w:pPr>
        <w:jc w:val="both"/>
      </w:pPr>
    </w:p>
    <w:p w14:paraId="323289E8" w14:textId="77777777" w:rsidR="00B470AD" w:rsidRPr="00BE518B" w:rsidRDefault="00B470AD" w:rsidP="0079785E">
      <w:pPr>
        <w:jc w:val="both"/>
        <w:rPr>
          <w:b/>
        </w:rPr>
      </w:pPr>
      <w:r w:rsidRPr="00BE518B">
        <w:rPr>
          <w:b/>
        </w:rPr>
        <w:t>2.3. Kalkınma Yolu</w:t>
      </w:r>
    </w:p>
    <w:p w14:paraId="57E14AD8" w14:textId="77777777" w:rsidR="00B470AD" w:rsidRDefault="00B470AD" w:rsidP="0079785E">
      <w:pPr>
        <w:jc w:val="both"/>
      </w:pPr>
      <w:r w:rsidRPr="00BE518B">
        <w:t xml:space="preserve">Kırk yılı aşkın bir süredir aralıklarla devam eden savaşlar ve bu kargaşada güç kazanarak faaliyet alanlarını genişleten terör örgütleri sebebiyle devlet otoritesinden yoksun kalan Irak, ekonomik bakımdan da çetin şartlarda var olma mücadelesini sürdürmektedir. Üstelik Irak ekonomisinin temelini petrolden elde edilen gelir oluşturduğundan ötürü ekonomik kaynakları </w:t>
      </w:r>
      <w:r w:rsidRPr="00BE518B">
        <w:lastRenderedPageBreak/>
        <w:t xml:space="preserve">çeşitlendirecek projeler, ülkenin geleceği için hayatî bir önem arz etmektedir. Türkiye ile ortaklaşa inşa edilecek Kalkınma Yolu da bu projelerden birisidir. Basra Körfezi’ndeki Büyük </w:t>
      </w:r>
      <w:proofErr w:type="spellStart"/>
      <w:r w:rsidRPr="00BE518B">
        <w:t>Fav</w:t>
      </w:r>
      <w:proofErr w:type="spellEnd"/>
      <w:r w:rsidRPr="00BE518B">
        <w:t xml:space="preserve"> Limanı’ndan başlayıp Irak’ı boydan boya geçerek Türkiye’ye ulaşması tasarlanan kara ve demir yollarının yanı sıra petrol boru hatlarından müteşekkil güzergâh, emtianın taşınma süresini kısaltacağından dolayı Avrupa için de Süveyş Kanalı’na bir alternatif olabilecektir. Dahası, başta Körfez ülkeleri olmak üzere çevre ülkeler de Kalkınma Yolu’ndan kazanç elde edebilecektir</w:t>
      </w:r>
      <w:r>
        <w:t xml:space="preserve"> (Karataş, 17 Aralık 2023)</w:t>
      </w:r>
      <w:r w:rsidRPr="00BE518B">
        <w:t>.</w:t>
      </w:r>
    </w:p>
    <w:p w14:paraId="5A77EF91" w14:textId="77777777" w:rsidR="0079785E" w:rsidRPr="00BE518B" w:rsidRDefault="0079785E" w:rsidP="0079785E">
      <w:pPr>
        <w:jc w:val="both"/>
      </w:pPr>
    </w:p>
    <w:p w14:paraId="790117D5" w14:textId="77777777" w:rsidR="00B470AD" w:rsidRDefault="00B470AD" w:rsidP="0079785E">
      <w:pPr>
        <w:jc w:val="both"/>
      </w:pPr>
      <w:r w:rsidRPr="00BE518B">
        <w:t>Irak, Kalkınma Yolu sayesinde bölgesel iş birliğini artırmayı ve bu suretle ortaya çıkacak ekonomik fırsatlardan istifade etmeyi amaçlamaktadır. Körfez ülkeleri de Kalkınma Yolu vasıtasıyla Avrupa’ya daha kısa sürede erişme imkânına kavuşacaktır</w:t>
      </w:r>
      <w:r>
        <w:t xml:space="preserve"> (İpek, 2024, s. 15)</w:t>
      </w:r>
      <w:r w:rsidRPr="00BE518B">
        <w:t>. Bu yol, aksi istikamette kullanıldığı takdirde, Türkiye’nin de Körfez ülkeleriyle ticareti kolaylaşacaktır. Üstelik Irak ile kurulacak ticarî iş birliği, siyasî ve askerî iş birliklerini de mümkün kılacaktır. Zira Irak’ın kuzeyinde barınan terör örgütü PKK, Kalkınma Yolu’nun güvenliğine yönelik en ciddî tehdit olarak belirmektedir</w:t>
      </w:r>
      <w:r>
        <w:t xml:space="preserve"> (Karataş, 17 Aralık 2023)</w:t>
      </w:r>
      <w:r w:rsidRPr="00BE518B">
        <w:t>. Böylece bir yandan Kalkınma Yolu’nda asayiş tesis edilirken diğer yandan da Türkiye’nin güvenlik kaygıları teskin edilebilecektir. Dahası, İran’ın vekil güç olarak Irak’ta kullandığı milislerin de Kalkınma Yolu’na rıza göstermeleri elzemdir</w:t>
      </w:r>
      <w:r>
        <w:t xml:space="preserve"> (Alaca, </w:t>
      </w:r>
      <w:proofErr w:type="spellStart"/>
      <w:r>
        <w:t>September</w:t>
      </w:r>
      <w:proofErr w:type="spellEnd"/>
      <w:r>
        <w:t xml:space="preserve"> 15, 2024)</w:t>
      </w:r>
      <w:r w:rsidRPr="00BE518B">
        <w:t>. Bunların yanı sıra Türkiye ile Irak arasında gelişecek güvenlik odaklı iş birliği, Körfez ülkeleri için ABD ve İran’ı dengeleyici bir unsur olacaktır</w:t>
      </w:r>
      <w:r>
        <w:t xml:space="preserve"> (</w:t>
      </w:r>
      <w:proofErr w:type="spellStart"/>
      <w:r>
        <w:t>Rakipoğlu</w:t>
      </w:r>
      <w:proofErr w:type="spellEnd"/>
      <w:r>
        <w:t>, 27 Nisan 2024)</w:t>
      </w:r>
      <w:r w:rsidRPr="00BE518B">
        <w:t xml:space="preserve">. </w:t>
      </w:r>
    </w:p>
    <w:p w14:paraId="4090D236" w14:textId="77777777" w:rsidR="0079785E" w:rsidRPr="00BE518B" w:rsidRDefault="0079785E" w:rsidP="0079785E">
      <w:pPr>
        <w:jc w:val="both"/>
      </w:pPr>
    </w:p>
    <w:p w14:paraId="39FC3EA4" w14:textId="77777777" w:rsidR="00B470AD" w:rsidRDefault="00B470AD" w:rsidP="0079785E">
      <w:pPr>
        <w:jc w:val="both"/>
      </w:pPr>
      <w:r w:rsidRPr="00BE518B">
        <w:t>Türkiye, Orta Doğu ve Basra Körfezi’ne yönelik politikasını, büyük stratejisi doğrultusunda tatbik etmektedir. Zira Kalkınma Yolu, bölgesel ölçekte bir girişim olmasına rağmen beklentiler itibarıyla küresel bir etki yaratmaya namzet bir girişimdir. Türkiye’nin bölgesel liderlik çabalarının önemli bir sonucu olan Kalkınma Yolu, bu ülkenin dışlandığı Doğu Akdeniz Boru Hattı (</w:t>
      </w:r>
      <w:proofErr w:type="spellStart"/>
      <w:r w:rsidRPr="00BE518B">
        <w:t>EastMed</w:t>
      </w:r>
      <w:proofErr w:type="spellEnd"/>
      <w:r w:rsidRPr="00BE518B">
        <w:t>) ve Hindistan-Orta Doğu-Avrupa Ekonomik Koridoru (IMEC) gibi girişimlere karşı bölgesel bir yanıt olarak değerlendirilebilecektir</w:t>
      </w:r>
      <w:r>
        <w:t xml:space="preserve"> (</w:t>
      </w:r>
      <w:proofErr w:type="spellStart"/>
      <w:r>
        <w:t>Rakipoğlu</w:t>
      </w:r>
      <w:proofErr w:type="spellEnd"/>
      <w:r>
        <w:t>, 27 Nisan 2024)</w:t>
      </w:r>
      <w:r w:rsidRPr="00BE518B">
        <w:t>. Üstelik bu özelliği itibarıyla Kalkınma Yolu, Batı’nın IMEC ve Çin Halk Cumhuriyeti’nin (ÇHC) Kuşak ve Yol Girişimi’nin tersine, bölge ülkelerini kalkındırmaya yönelik uzun vadeli bir girişimdir</w:t>
      </w:r>
      <w:r>
        <w:t xml:space="preserve"> (Karataş, 17 Aralık 2023)</w:t>
      </w:r>
      <w:r w:rsidRPr="00BE518B">
        <w:t>. Bu bakımdan Türkiye, başta Irak olmak üzere diğer Körfez ülkelerinin de çıkar ve taleplerini gözeterek onları uluslararası alanda birer takipçisi hâline getirmeyi tasarlamaktadır. Nitekim Kalkınma Yolu’ndaki inşaat için ekonomik, iş birliği için diplomatik ve güvenlik için askerî imkân ve kabiliyetleri haizdir ve bunları, bölgedeki ülkelerle eş güdüm içinde ve onların da yararına kullanmaya hazırdır.</w:t>
      </w:r>
    </w:p>
    <w:p w14:paraId="08EA1DB0" w14:textId="77777777" w:rsidR="0079785E" w:rsidRPr="00BE518B" w:rsidRDefault="0079785E" w:rsidP="0079785E">
      <w:pPr>
        <w:jc w:val="both"/>
      </w:pPr>
    </w:p>
    <w:p w14:paraId="1CFBE196" w14:textId="77777777" w:rsidR="00B470AD" w:rsidRPr="00BE518B" w:rsidRDefault="00B470AD" w:rsidP="0079785E">
      <w:pPr>
        <w:jc w:val="both"/>
        <w:rPr>
          <w:b/>
        </w:rPr>
      </w:pPr>
      <w:r w:rsidRPr="00BE518B">
        <w:rPr>
          <w:b/>
        </w:rPr>
        <w:t xml:space="preserve">2.4. Somali-Etiyopya Koridoru </w:t>
      </w:r>
    </w:p>
    <w:p w14:paraId="060A0054" w14:textId="77777777" w:rsidR="00B470AD" w:rsidRDefault="00B470AD" w:rsidP="0079785E">
      <w:pPr>
        <w:jc w:val="both"/>
      </w:pPr>
      <w:r w:rsidRPr="00BE518B">
        <w:t xml:space="preserve">Afrika </w:t>
      </w:r>
      <w:proofErr w:type="spellStart"/>
      <w:r w:rsidRPr="00BE518B">
        <w:t>Boynuzu’ndaki</w:t>
      </w:r>
      <w:proofErr w:type="spellEnd"/>
      <w:r w:rsidRPr="00BE518B">
        <w:t xml:space="preserve"> bir kara ülkesi olması hasebiyle Etiyopya’nın askerî ve ticarî faaliyetleri için denize erişimi yoktur. Bir koridor vasıtasıyla Aden Körfezi’ne erişebilmek için Somali’nin ayrılıkçı bölgesi </w:t>
      </w:r>
      <w:proofErr w:type="spellStart"/>
      <w:r w:rsidRPr="00BE518B">
        <w:t>Somaliland</w:t>
      </w:r>
      <w:proofErr w:type="spellEnd"/>
      <w:r w:rsidRPr="00BE518B">
        <w:t xml:space="preserve"> ile 1 Ocak 2024’te münferiden bir mutabakat zaptı imzalamıştır. Ancak bu suretle Somali’nin toprak bütünlüğüne kastederek egemenlik haklarını çiğnemiştir. Buna karşılık olarak Somali, Etiyopya ile diplomatik ilişkilerini kesmiştir</w:t>
      </w:r>
      <w:r>
        <w:t xml:space="preserve"> (Demirtaş, 12 Aralık 2024)</w:t>
      </w:r>
      <w:r w:rsidRPr="00BE518B">
        <w:t xml:space="preserve">. İki ülkeyle de siyasî, askerî ve ekonomik ilişkileri gelişkin olan Türkiye ise Afrika </w:t>
      </w:r>
      <w:proofErr w:type="spellStart"/>
      <w:r w:rsidRPr="00BE518B">
        <w:t>Boynuzu’nda</w:t>
      </w:r>
      <w:proofErr w:type="spellEnd"/>
      <w:r w:rsidRPr="00BE518B">
        <w:t xml:space="preserve"> tırmanan gerilimin bütün bir Kızıldeniz havzasını etkileyebileceğini öngörerek Ankara Süreci marifetiyle sorunun çözümüne yönelik ciddî bir çaba sarf etmiştir. Nihayet 11 Aralık 2024’te Ankara’da bir araya getirilen taraflar, Türkiye’nin ara buluculuğuyla </w:t>
      </w:r>
      <w:r w:rsidRPr="00BE518B">
        <w:lastRenderedPageBreak/>
        <w:t>uzlaştırılmıştır.</w:t>
      </w:r>
      <w:r w:rsidRPr="00BE518B">
        <w:rPr>
          <w:vertAlign w:val="superscript"/>
        </w:rPr>
        <w:footnoteReference w:id="85"/>
      </w:r>
      <w:r w:rsidRPr="00BE518B">
        <w:t xml:space="preserve"> </w:t>
      </w:r>
    </w:p>
    <w:p w14:paraId="1A990CD9" w14:textId="77777777" w:rsidR="0079785E" w:rsidRPr="00BE518B" w:rsidRDefault="0079785E" w:rsidP="0079785E">
      <w:pPr>
        <w:jc w:val="both"/>
      </w:pPr>
    </w:p>
    <w:p w14:paraId="48BB38E8" w14:textId="77777777" w:rsidR="00B470AD" w:rsidRDefault="00B470AD" w:rsidP="0079785E">
      <w:pPr>
        <w:jc w:val="both"/>
      </w:pPr>
      <w:r w:rsidRPr="00BE518B">
        <w:t>Somali, Türkiye’nin Afrika kıtasına yönelik politikasının merkez üssü sayılabilecektir. Nitekim Türkiye, 8 Şubat 2024’te Somali ile imzaladığı “Savunma ve Ekonomik İş Birliği Çerçeve Anlaşması” sayesinde bu soruna müdahale edebilmiştir</w:t>
      </w:r>
      <w:r>
        <w:t xml:space="preserve"> (Devecioğlu, Mart 2024, s. 11)</w:t>
      </w:r>
      <w:r w:rsidRPr="00BE518B">
        <w:t>. Öte yandan Türkiye’nin Afrika politikasında, Etiyopya da önemli bir yer işgal etmektedir. Askerî ve ticarî alanlardaki iş birliği anlaşmalarıyla Etiyopya, Türkiye’nin Afrika’daki ekonomik ortaklarından biri olmuştur</w:t>
      </w:r>
      <w:r>
        <w:t xml:space="preserve"> (Demirtaş, 12 Ağustos 2024)</w:t>
      </w:r>
      <w:r w:rsidRPr="00BE518B">
        <w:t>. Türkiye’nin kolaylaştırıcılığıyla uzlaştırılan taraflardan Somali, Ankara Bildirisi’nde</w:t>
      </w:r>
      <w:r>
        <w:t xml:space="preserve"> (2024)</w:t>
      </w:r>
      <w:r w:rsidRPr="00BE518B">
        <w:t xml:space="preserve"> toprak bütünlüğü ve egemenlik haklarını teyit ettirmiştir. Etiyopya da Somali’nin egemenlik yetkisi altında kullanacağı denize erişim ayrıcalığını tasdik ettirmiştir. Türkiye ise Ankara Süreci’nin sonucunda; Etiyopya’daki ekonomik, Somali’deki stratejik çıkarlarını temin etmiştir. Bu bağlamda bölgesel barış ve istikrara katkı sağlayarak aslında Kızıldeniz havzasındaki jeostratejik dengeyi korumuştur</w:t>
      </w:r>
      <w:r>
        <w:t xml:space="preserve"> (Demirtaş, 17 Ağustos 2024)</w:t>
      </w:r>
      <w:r w:rsidRPr="00BE518B">
        <w:t>.</w:t>
      </w:r>
    </w:p>
    <w:p w14:paraId="16B23E8A" w14:textId="77777777" w:rsidR="0079785E" w:rsidRPr="00BE518B" w:rsidRDefault="0079785E" w:rsidP="0079785E">
      <w:pPr>
        <w:jc w:val="both"/>
      </w:pPr>
    </w:p>
    <w:p w14:paraId="5183046E" w14:textId="77777777" w:rsidR="00B470AD" w:rsidRDefault="00B470AD" w:rsidP="0079785E">
      <w:pPr>
        <w:jc w:val="both"/>
      </w:pPr>
      <w:r w:rsidRPr="00BE518B">
        <w:t xml:space="preserve">Türkiye, Afrika </w:t>
      </w:r>
      <w:proofErr w:type="spellStart"/>
      <w:r w:rsidRPr="00BE518B">
        <w:t>Boynuzu’ndaki</w:t>
      </w:r>
      <w:proofErr w:type="spellEnd"/>
      <w:r w:rsidRPr="00BE518B">
        <w:t xml:space="preserve"> siyasî, askerî ve ekonomik faaliyetlerini diplomatik girişimleriyle tahkim etmektedir. Ankara Süreci ve bu sürecin sonunda imzalanan bildiri, Türkiye’nin bir ara bulucu olarak güvenilirliğini ve saygınlığını kanıtlamıştır. Sonuç itibarıyla tarafların çıkar ve talepleri karşılanmıştır. Bu bakımdan Türkiye, Afrika kıtasına yönelik politikasında, Somali ile Etiyopya’yı takipçisi hâline getirmeye muktedirdir. Üstelik Türkiye’nin BM Şartı ve Afrika Birliği Kurucu Antlaşması’nda yer alan ilkeler temelinde barış ve istikrarı önceleyen, insanî yardım ve kalkınma odaklı yaklaşımı, muhtemel iş birliklerinin sürdürülebilirliği için diğer Afrika ülkelerine de güvence vermektedir</w:t>
      </w:r>
      <w:r>
        <w:t xml:space="preserve"> (Devecioğlu, 12 Aralık 2024)</w:t>
      </w:r>
      <w:r w:rsidRPr="00BE518B">
        <w:t xml:space="preserve">. Bu bakımdan Türkiye, Afrika’ya yönelik politikasını, büyük stratejisi doğrultusunda tatbik etmektedir. Zira koridor diplomasisinin uzun vadeli etkisi, Afrika </w:t>
      </w:r>
      <w:proofErr w:type="spellStart"/>
      <w:r w:rsidRPr="00BE518B">
        <w:t>Boynuzu’ndan</w:t>
      </w:r>
      <w:proofErr w:type="spellEnd"/>
      <w:r w:rsidRPr="00BE518B">
        <w:t xml:space="preserve"> bütün kıtaya sirayet edebilecek mahiyettedir. Nitekim Türkiye’nin Afrika politikası, güvenlik ve refah gibi yüksek amaçlara hizmet etmektedir. Böylece Türkiye de kıtada önemli bir statü kazanmaktadır.</w:t>
      </w:r>
    </w:p>
    <w:p w14:paraId="08DB43AC" w14:textId="77777777" w:rsidR="0079785E" w:rsidRPr="00BE518B" w:rsidRDefault="0079785E" w:rsidP="0079785E">
      <w:pPr>
        <w:jc w:val="both"/>
      </w:pPr>
    </w:p>
    <w:p w14:paraId="2A4DDC3C" w14:textId="77777777" w:rsidR="00B470AD" w:rsidRPr="00BE518B" w:rsidRDefault="00B470AD" w:rsidP="0079785E">
      <w:pPr>
        <w:jc w:val="both"/>
        <w:rPr>
          <w:b/>
        </w:rPr>
      </w:pPr>
      <w:r>
        <w:rPr>
          <w:b/>
        </w:rPr>
        <w:t>SONUÇ ve</w:t>
      </w:r>
      <w:r w:rsidRPr="00BE518B">
        <w:rPr>
          <w:b/>
        </w:rPr>
        <w:t xml:space="preserve"> BEKLENTİLER</w:t>
      </w:r>
    </w:p>
    <w:p w14:paraId="0806AF56" w14:textId="77777777" w:rsidR="00B470AD" w:rsidRDefault="00B470AD" w:rsidP="0079785E">
      <w:pPr>
        <w:jc w:val="both"/>
      </w:pPr>
      <w:r w:rsidRPr="00BE518B">
        <w:t xml:space="preserve">Türkiye, </w:t>
      </w:r>
      <w:proofErr w:type="spellStart"/>
      <w:r w:rsidRPr="00BE518B">
        <w:t>Kafkaslar’da</w:t>
      </w:r>
      <w:proofErr w:type="spellEnd"/>
      <w:r w:rsidRPr="00BE518B">
        <w:t xml:space="preserve"> bölgesel liderliğini tahkim etmek için </w:t>
      </w:r>
      <w:proofErr w:type="spellStart"/>
      <w:r w:rsidRPr="00BE518B">
        <w:t>Zengezur</w:t>
      </w:r>
      <w:proofErr w:type="spellEnd"/>
      <w:r w:rsidRPr="00BE518B">
        <w:t xml:space="preserve"> </w:t>
      </w:r>
      <w:proofErr w:type="spellStart"/>
      <w:r w:rsidRPr="00BE518B">
        <w:t>Koridoru’nun</w:t>
      </w:r>
      <w:proofErr w:type="spellEnd"/>
      <w:r w:rsidRPr="00BE518B">
        <w:t xml:space="preserve"> açılmasını amaçlamaktadır. Üstelik bu suretle Avrasya’da da etkili bir güç hâline gelebilecektir. Bu doğrultuda Azerbaycan’ın çıkarlarını savunurken Ermenistan’ın taleplerini de dikkate almaktadır. Öte yandan Karadeniz’de Tahıl </w:t>
      </w:r>
      <w:proofErr w:type="spellStart"/>
      <w:r w:rsidRPr="00BE518B">
        <w:t>Koridoru’nun</w:t>
      </w:r>
      <w:proofErr w:type="spellEnd"/>
      <w:r w:rsidRPr="00BE518B">
        <w:t xml:space="preserve"> kurulması için RF ve Ukrayna arasında ara bulucu olarak iki tarafın da çıkar ve taleplerini gözetmiştir. Dahası, koridor vasıtasıyla sevk edilen tahıl ve gıda maddeleri dünyanın dört bir yanına ulaştığından dolayı Türkiye, aslında farklı kıtalardan birçok ülkenin çıkarlarını koruyarak küresel bir etki yaratmıştır. </w:t>
      </w:r>
    </w:p>
    <w:p w14:paraId="7E9DEC19" w14:textId="77777777" w:rsidR="0079785E" w:rsidRPr="00BE518B" w:rsidRDefault="0079785E" w:rsidP="0079785E">
      <w:pPr>
        <w:jc w:val="both"/>
      </w:pPr>
    </w:p>
    <w:p w14:paraId="038118F0" w14:textId="77777777" w:rsidR="00B470AD" w:rsidRDefault="00B470AD" w:rsidP="0079785E">
      <w:pPr>
        <w:jc w:val="both"/>
      </w:pPr>
      <w:r w:rsidRPr="00BE518B">
        <w:t xml:space="preserve">Türkiye, Orta Doğu’daki bölgesel liderliğini tahkim etmek için Kalkınma Yolu’nun açılmasını amaçlamaktadır. Üstelik daha önce dışlandığı </w:t>
      </w:r>
      <w:proofErr w:type="spellStart"/>
      <w:r w:rsidRPr="00BE518B">
        <w:t>EastMed</w:t>
      </w:r>
      <w:proofErr w:type="spellEnd"/>
      <w:r w:rsidRPr="00BE518B">
        <w:t xml:space="preserve"> ve IMEC gibi küresel girişimlere karşı Kalkınma Yolu’na teveccüh ederek stratejik bir hamle yapmıştır. Bu doğrultuda Irak’ın çıkarlarını savunurken aynı zamanda Katar ve BAE gibi Körfez ülkeleriyle de iş birliği </w:t>
      </w:r>
      <w:r w:rsidRPr="00BE518B">
        <w:lastRenderedPageBreak/>
        <w:t xml:space="preserve">yapmaktadır. Böylelikle itibarı, Körfez’e değin genişleyerek bölgesel sınırları da aşacaktır. Son olarak Somali ile Etiyopya arasında ara buluculuk yapan Türkiye, bu suretle Afrika </w:t>
      </w:r>
      <w:proofErr w:type="spellStart"/>
      <w:r w:rsidRPr="00BE518B">
        <w:t>Boynuzu’ndaki</w:t>
      </w:r>
      <w:proofErr w:type="spellEnd"/>
      <w:r w:rsidRPr="00BE518B">
        <w:t xml:space="preserve"> ekonomik ve stratejik çıkarlarını temin etmiştir. Ankara Süreci’nde iki tarafın çıkar ve talepleri doğrultusunda bir koridor tasarlayarak aslında Kızıldeniz havzasındaki barış ve istikrara da katkı sağlamıştır. Böylelikle diğer Afrika ülkeleri nezdinde, güvenilirliğini ve saygınlığını artırmıştır. </w:t>
      </w:r>
    </w:p>
    <w:p w14:paraId="00D2DBEE" w14:textId="77777777" w:rsidR="0079785E" w:rsidRPr="00BE518B" w:rsidRDefault="0079785E" w:rsidP="0079785E">
      <w:pPr>
        <w:jc w:val="both"/>
      </w:pPr>
    </w:p>
    <w:p w14:paraId="0AA6667D" w14:textId="77777777" w:rsidR="00B470AD" w:rsidRDefault="00B470AD" w:rsidP="0079785E">
      <w:pPr>
        <w:jc w:val="both"/>
      </w:pPr>
      <w:r w:rsidRPr="00BE518B">
        <w:t>Sonuç itibarıyla Türkiye, koridor diplomasisini, bölgesel liderlik hedefi doğrultusunda kullanarak büyük stratejisini tatbik etmektedir. Zira bu koridorlardan her biri, çatışan tarafların çıkarlarını temin etmek suretiyle bölgesel barış ve istikrara hizmet etmiş ya da edecektir. Dahası, söz konusu koridorlardan bazıları, geniş bir etki ölçeği olması itibarıyla küresel barış ve istikrara da yararlıdır. Öte yandan Türkiye, bu koridorlar vasıtasıyla güvenlik, refah ve statü gibi kendi stratejik çıkarlarını da temin etmeyi amaçlamaktadır. Bu bakımdan Türkiye’nin büyük stratejisi uzun vadelidir. Türkiye, bu amaçlarına ulaşabilmek için muhataplarının çıkar ve taleplerini gözetmektedir. Bu doğrultuda siyasî, askerî, ekonomik ve diplomatik gücüyle beraber tarihî ve kültürel bağlarını bir arada ve ahenkle kullanmaktadır. Böylelikle Türkiye, koridor diplomasisi marifetiyle uzlaştırdığı tarafları, uluslararası alandaki takipçileri hâline getirmeye muktedir olmaktadır.</w:t>
      </w:r>
    </w:p>
    <w:p w14:paraId="5F40AB32" w14:textId="77777777" w:rsidR="0079785E" w:rsidRPr="00BE518B" w:rsidRDefault="0079785E" w:rsidP="0079785E">
      <w:pPr>
        <w:jc w:val="both"/>
      </w:pPr>
    </w:p>
    <w:p w14:paraId="702C9EC6" w14:textId="635A51A2" w:rsidR="00B470AD" w:rsidRDefault="00B470AD" w:rsidP="0079785E">
      <w:pPr>
        <w:jc w:val="both"/>
      </w:pPr>
      <w:r w:rsidRPr="00BE518B">
        <w:t xml:space="preserve">Son olarak Somali-Etiyopya </w:t>
      </w:r>
      <w:proofErr w:type="spellStart"/>
      <w:r w:rsidRPr="00BE518B">
        <w:t>Koridoru’nun</w:t>
      </w:r>
      <w:proofErr w:type="spellEnd"/>
      <w:r w:rsidRPr="00BE518B">
        <w:t xml:space="preserve"> açılması için Ankara Süreci’nde Türkiye’nin gösterdiği maharet, </w:t>
      </w:r>
      <w:proofErr w:type="spellStart"/>
      <w:r w:rsidRPr="00BE518B">
        <w:t>Zengezur</w:t>
      </w:r>
      <w:proofErr w:type="spellEnd"/>
      <w:r w:rsidRPr="00BE518B">
        <w:t xml:space="preserve"> </w:t>
      </w:r>
      <w:proofErr w:type="spellStart"/>
      <w:r w:rsidRPr="00BE518B">
        <w:t>Koridoru’nun</w:t>
      </w:r>
      <w:proofErr w:type="spellEnd"/>
      <w:r w:rsidRPr="00BE518B">
        <w:t xml:space="preserve"> da açılmasına yarayabilecek eşsiz bir tecrübe olmuştur. Ayrıca Türkiye’nin Tahıl Koridoru marifetiyle yarattığı küresel etki, Kalkınma Yolu için âdeta bir örnek teşkil etmektedir. Bu bakımdan söz konusu koridorların birbirine benzer şartlar içinde olması, belirgin bir örüntü yaratarak Türkiye’nin büyük stratejisine tutarlılık ve tecrübe katacaktır.</w:t>
      </w:r>
    </w:p>
    <w:p w14:paraId="19C9E916" w14:textId="77777777" w:rsidR="00D37D80" w:rsidRPr="00BE518B" w:rsidRDefault="00D37D80" w:rsidP="0079785E">
      <w:pPr>
        <w:jc w:val="both"/>
      </w:pPr>
    </w:p>
    <w:p w14:paraId="7AD3F342" w14:textId="77777777" w:rsidR="00B470AD" w:rsidRPr="0079785E" w:rsidRDefault="00B470AD">
      <w:pPr>
        <w:pStyle w:val="ListeParagraf"/>
        <w:numPr>
          <w:ilvl w:val="0"/>
          <w:numId w:val="84"/>
        </w:numPr>
        <w:jc w:val="both"/>
        <w:rPr>
          <w:b/>
        </w:rPr>
      </w:pPr>
      <w:r w:rsidRPr="0079785E">
        <w:rPr>
          <w:b/>
        </w:rPr>
        <w:t>KAYNAKÇA</w:t>
      </w:r>
    </w:p>
    <w:p w14:paraId="30282962" w14:textId="77777777" w:rsidR="00B470AD" w:rsidRPr="00BE518B" w:rsidRDefault="00B470AD">
      <w:pPr>
        <w:pStyle w:val="ListeParagraf"/>
        <w:numPr>
          <w:ilvl w:val="0"/>
          <w:numId w:val="84"/>
        </w:numPr>
        <w:jc w:val="both"/>
      </w:pPr>
      <w:r w:rsidRPr="00BE518B">
        <w:t xml:space="preserve">Acer, </w:t>
      </w:r>
      <w:r>
        <w:t>Y</w:t>
      </w:r>
      <w:r w:rsidRPr="00BE518B">
        <w:t>. (Temmuz 2022)</w:t>
      </w:r>
      <w:r>
        <w:t>. Rusya-Ukrayna savaşının gıda arzına e</w:t>
      </w:r>
      <w:r w:rsidRPr="00BE518B">
        <w:t>tkile</w:t>
      </w:r>
      <w:r>
        <w:t>ri ve Tahıl Koridoru Anlaşması</w:t>
      </w:r>
      <w:r w:rsidRPr="00BE518B">
        <w:t xml:space="preserve">. </w:t>
      </w:r>
      <w:r w:rsidRPr="0079785E">
        <w:rPr>
          <w:i/>
        </w:rPr>
        <w:t>SETA | Perspektif</w:t>
      </w:r>
      <w:r w:rsidRPr="005938BE">
        <w:t xml:space="preserve">, </w:t>
      </w:r>
      <w:r>
        <w:t>(</w:t>
      </w:r>
      <w:r w:rsidRPr="005938BE">
        <w:t>343</w:t>
      </w:r>
      <w:r>
        <w:t>)</w:t>
      </w:r>
      <w:r w:rsidRPr="00BE518B">
        <w:t>. https://www.setav.org/perspektif-rusya-ukrayna-savasinin-gida-arzina-etkileri-ve-tahil-koridoru-anlasmasi [Erişim Tarihi: 26.12.2024].</w:t>
      </w:r>
    </w:p>
    <w:p w14:paraId="0FC85891" w14:textId="77777777" w:rsidR="00B470AD" w:rsidRPr="00BE518B" w:rsidRDefault="00B470AD">
      <w:pPr>
        <w:pStyle w:val="ListeParagraf"/>
        <w:numPr>
          <w:ilvl w:val="0"/>
          <w:numId w:val="84"/>
        </w:numPr>
        <w:jc w:val="both"/>
      </w:pPr>
      <w:r>
        <w:t>Acer, Y</w:t>
      </w:r>
      <w:r w:rsidRPr="00BE518B">
        <w:t>.</w:t>
      </w:r>
      <w:r>
        <w:t xml:space="preserve"> </w:t>
      </w:r>
      <w:r w:rsidRPr="00BE518B">
        <w:t>(Temmuz 2023).</w:t>
      </w:r>
      <w:r>
        <w:t xml:space="preserve"> </w:t>
      </w:r>
      <w:r w:rsidRPr="00BE518B">
        <w:t>Rusya’nın</w:t>
      </w:r>
      <w:r>
        <w:t xml:space="preserve"> Tahıl Koridoru Anlaşması’ndan ç</w:t>
      </w:r>
      <w:r w:rsidRPr="00BE518B">
        <w:t>e</w:t>
      </w:r>
      <w:r>
        <w:t>kilmesi ve anlaşmanın g</w:t>
      </w:r>
      <w:r w:rsidRPr="00BE518B">
        <w:t xml:space="preserve">eleceği”. </w:t>
      </w:r>
      <w:r w:rsidRPr="0079785E">
        <w:rPr>
          <w:i/>
        </w:rPr>
        <w:t>SETA | Analiz</w:t>
      </w:r>
      <w:r w:rsidRPr="005938BE">
        <w:t xml:space="preserve">, </w:t>
      </w:r>
      <w:r>
        <w:t>(</w:t>
      </w:r>
      <w:r w:rsidRPr="005938BE">
        <w:t>392</w:t>
      </w:r>
      <w:r>
        <w:t>).</w:t>
      </w:r>
      <w:r w:rsidRPr="00BE518B">
        <w:t xml:space="preserve">  https://www.setav.org/ara/analiz-rusyanin-tahil-koridoru-anlasmasindan-cekilmesi-ve-anlasmanin-gelecegi [Erişim Tarihi: 29.12.2024].</w:t>
      </w:r>
    </w:p>
    <w:p w14:paraId="13FA5C7D" w14:textId="77777777" w:rsidR="00B470AD" w:rsidRPr="00BE518B" w:rsidRDefault="00B470AD">
      <w:pPr>
        <w:pStyle w:val="ListeParagraf"/>
        <w:numPr>
          <w:ilvl w:val="0"/>
          <w:numId w:val="84"/>
        </w:numPr>
        <w:jc w:val="both"/>
      </w:pPr>
      <w:r w:rsidRPr="00BE518B">
        <w:t xml:space="preserve">Alaca, </w:t>
      </w:r>
      <w:r>
        <w:t>M</w:t>
      </w:r>
      <w:r w:rsidRPr="00BE518B">
        <w:t>.</w:t>
      </w:r>
      <w:r>
        <w:t xml:space="preserve"> (</w:t>
      </w:r>
      <w:proofErr w:type="spellStart"/>
      <w:r w:rsidRPr="00BE518B">
        <w:t>September</w:t>
      </w:r>
      <w:proofErr w:type="spellEnd"/>
      <w:r w:rsidRPr="00BE518B">
        <w:t xml:space="preserve"> 15, 2024</w:t>
      </w:r>
      <w:r>
        <w:t xml:space="preserve">). </w:t>
      </w:r>
      <w:proofErr w:type="spellStart"/>
      <w:r w:rsidRPr="00BE518B">
        <w:t>Does</w:t>
      </w:r>
      <w:proofErr w:type="spellEnd"/>
      <w:r w:rsidRPr="00BE518B">
        <w:t xml:space="preserve"> </w:t>
      </w:r>
      <w:proofErr w:type="spellStart"/>
      <w:r w:rsidRPr="00BE518B">
        <w:t>Turkey</w:t>
      </w:r>
      <w:proofErr w:type="spellEnd"/>
      <w:r w:rsidRPr="00BE518B">
        <w:t xml:space="preserve"> </w:t>
      </w:r>
      <w:proofErr w:type="spellStart"/>
      <w:r w:rsidRPr="00BE518B">
        <w:t>have</w:t>
      </w:r>
      <w:proofErr w:type="spellEnd"/>
      <w:r w:rsidRPr="00BE518B">
        <w:t xml:space="preserve"> </w:t>
      </w:r>
      <w:proofErr w:type="spellStart"/>
      <w:r w:rsidRPr="00BE518B">
        <w:t>new</w:t>
      </w:r>
      <w:proofErr w:type="spellEnd"/>
      <w:r w:rsidRPr="00BE518B">
        <w:t xml:space="preserve"> </w:t>
      </w:r>
      <w:proofErr w:type="spellStart"/>
      <w:r w:rsidRPr="00BE518B">
        <w:t>approach</w:t>
      </w:r>
      <w:proofErr w:type="spellEnd"/>
      <w:r w:rsidRPr="00BE518B">
        <w:t xml:space="preserve"> </w:t>
      </w:r>
      <w:proofErr w:type="spellStart"/>
      <w:r>
        <w:t>to</w:t>
      </w:r>
      <w:proofErr w:type="spellEnd"/>
      <w:r>
        <w:t xml:space="preserve"> Iran-</w:t>
      </w:r>
      <w:proofErr w:type="spellStart"/>
      <w:r>
        <w:t>backed</w:t>
      </w:r>
      <w:proofErr w:type="spellEnd"/>
      <w:r>
        <w:t xml:space="preserve"> </w:t>
      </w:r>
      <w:proofErr w:type="spellStart"/>
      <w:r>
        <w:t>groups</w:t>
      </w:r>
      <w:proofErr w:type="spellEnd"/>
      <w:r>
        <w:t xml:space="preserve"> in </w:t>
      </w:r>
      <w:proofErr w:type="spellStart"/>
      <w:proofErr w:type="gramStart"/>
      <w:r>
        <w:t>Iraq</w:t>
      </w:r>
      <w:proofErr w:type="spellEnd"/>
      <w:r>
        <w:t>?</w:t>
      </w:r>
      <w:r w:rsidRPr="00BE518B">
        <w:t>.</w:t>
      </w:r>
      <w:proofErr w:type="gramEnd"/>
      <w:r w:rsidRPr="00BE518B">
        <w:t xml:space="preserve"> </w:t>
      </w:r>
      <w:proofErr w:type="spellStart"/>
      <w:r w:rsidRPr="0079785E">
        <w:rPr>
          <w:i/>
        </w:rPr>
        <w:t>Amwaj</w:t>
      </w:r>
      <w:proofErr w:type="spellEnd"/>
      <w:r w:rsidRPr="0079785E">
        <w:rPr>
          <w:i/>
        </w:rPr>
        <w:t xml:space="preserve"> Media</w:t>
      </w:r>
      <w:r w:rsidRPr="00BE518B">
        <w:t>. https://amwaj.media/article/does-turkey-have-new-approach-to-iran-backed-groups-in-iraq [Erişim Tarihi: 31.12.2024].</w:t>
      </w:r>
    </w:p>
    <w:p w14:paraId="06BAE887" w14:textId="77777777" w:rsidR="00B470AD" w:rsidRDefault="00B470AD">
      <w:pPr>
        <w:pStyle w:val="ListeParagraf"/>
        <w:numPr>
          <w:ilvl w:val="0"/>
          <w:numId w:val="84"/>
        </w:numPr>
        <w:jc w:val="both"/>
      </w:pPr>
      <w:r>
        <w:t>Ateşoğlu Güney, N. (</w:t>
      </w:r>
      <w:r w:rsidRPr="00BE518B">
        <w:t>26 Nisan 2024</w:t>
      </w:r>
      <w:r>
        <w:t>). Orta güçlerin büyük stratejisi ve Türkiye</w:t>
      </w:r>
      <w:r w:rsidRPr="00BE518B">
        <w:t xml:space="preserve">. </w:t>
      </w:r>
      <w:r w:rsidRPr="0079785E">
        <w:rPr>
          <w:i/>
        </w:rPr>
        <w:t>Millî İstihbarat Akademisi | Görüş</w:t>
      </w:r>
      <w:r>
        <w:t>.</w:t>
      </w:r>
      <w:r w:rsidRPr="00BE518B">
        <w:t xml:space="preserve"> https://mia.edu.tr/uploads/f/prof-dr-nursin-atesoglunun-grsleri_1.pdf [Erişim Tarihi: 16.01.2025].</w:t>
      </w:r>
    </w:p>
    <w:p w14:paraId="4B773099" w14:textId="77777777" w:rsidR="00B470AD" w:rsidRPr="00BE518B" w:rsidRDefault="00B470AD">
      <w:pPr>
        <w:pStyle w:val="ListeParagraf"/>
        <w:numPr>
          <w:ilvl w:val="0"/>
          <w:numId w:val="84"/>
        </w:numPr>
        <w:jc w:val="both"/>
      </w:pPr>
      <w:proofErr w:type="spellStart"/>
      <w:r w:rsidRPr="00BE518B">
        <w:t>Azərbaycan</w:t>
      </w:r>
      <w:proofErr w:type="spellEnd"/>
      <w:r w:rsidRPr="00BE518B">
        <w:t xml:space="preserve"> </w:t>
      </w:r>
      <w:proofErr w:type="spellStart"/>
      <w:r w:rsidRPr="00BE518B">
        <w:t>Respublikasının</w:t>
      </w:r>
      <w:proofErr w:type="spellEnd"/>
      <w:r w:rsidRPr="00BE518B">
        <w:t xml:space="preserve"> </w:t>
      </w:r>
      <w:proofErr w:type="spellStart"/>
      <w:r w:rsidRPr="00BE518B">
        <w:t>Prezidenti</w:t>
      </w:r>
      <w:proofErr w:type="spellEnd"/>
      <w:r w:rsidRPr="00BE518B">
        <w:t xml:space="preserve"> İlham </w:t>
      </w:r>
      <w:proofErr w:type="spellStart"/>
      <w:r w:rsidRPr="00BE518B">
        <w:t>Əliyev</w:t>
      </w:r>
      <w:proofErr w:type="spellEnd"/>
      <w:r w:rsidRPr="00BE518B">
        <w:t xml:space="preserve">. </w:t>
      </w:r>
      <w:r>
        <w:t>(</w:t>
      </w:r>
      <w:r w:rsidRPr="00BE518B">
        <w:t xml:space="preserve">10 </w:t>
      </w:r>
      <w:proofErr w:type="spellStart"/>
      <w:r w:rsidRPr="00BE518B">
        <w:t>Noyabr</w:t>
      </w:r>
      <w:proofErr w:type="spellEnd"/>
      <w:r w:rsidRPr="00BE518B">
        <w:t xml:space="preserve"> 2020</w:t>
      </w:r>
      <w:r>
        <w:t>)</w:t>
      </w:r>
      <w:r w:rsidRPr="00BE518B">
        <w:t xml:space="preserve">. </w:t>
      </w:r>
      <w:proofErr w:type="spellStart"/>
      <w:r w:rsidRPr="00BE518B">
        <w:t>Azərbaycan</w:t>
      </w:r>
      <w:proofErr w:type="spellEnd"/>
      <w:r w:rsidRPr="00BE518B">
        <w:t xml:space="preserve"> </w:t>
      </w:r>
      <w:proofErr w:type="spellStart"/>
      <w:r w:rsidRPr="00BE518B">
        <w:t>Respublikasının</w:t>
      </w:r>
      <w:proofErr w:type="spellEnd"/>
      <w:r w:rsidRPr="00BE518B">
        <w:t xml:space="preserve"> </w:t>
      </w:r>
      <w:proofErr w:type="spellStart"/>
      <w:r w:rsidRPr="00BE518B">
        <w:t>Prezidenti</w:t>
      </w:r>
      <w:proofErr w:type="spellEnd"/>
      <w:r w:rsidRPr="00BE518B">
        <w:t xml:space="preserve">, </w:t>
      </w:r>
      <w:proofErr w:type="spellStart"/>
      <w:r w:rsidRPr="00BE518B">
        <w:t>Ermənistan</w:t>
      </w:r>
      <w:proofErr w:type="spellEnd"/>
      <w:r w:rsidRPr="00BE518B">
        <w:t xml:space="preserve"> </w:t>
      </w:r>
      <w:proofErr w:type="spellStart"/>
      <w:r w:rsidRPr="00BE518B">
        <w:t>Respublikasının</w:t>
      </w:r>
      <w:proofErr w:type="spellEnd"/>
      <w:r w:rsidRPr="00BE518B">
        <w:t xml:space="preserve"> Baş Naziri </w:t>
      </w:r>
      <w:proofErr w:type="spellStart"/>
      <w:r w:rsidRPr="00BE518B">
        <w:t>və</w:t>
      </w:r>
      <w:proofErr w:type="spellEnd"/>
      <w:r w:rsidRPr="00BE518B">
        <w:t xml:space="preserve"> </w:t>
      </w:r>
      <w:proofErr w:type="spellStart"/>
      <w:r w:rsidRPr="00BE518B">
        <w:t>Rusiya</w:t>
      </w:r>
      <w:proofErr w:type="spellEnd"/>
      <w:r>
        <w:t xml:space="preserve"> </w:t>
      </w:r>
      <w:proofErr w:type="spellStart"/>
      <w:r>
        <w:t>Federasiyasının</w:t>
      </w:r>
      <w:proofErr w:type="spellEnd"/>
      <w:r>
        <w:t xml:space="preserve"> </w:t>
      </w:r>
      <w:proofErr w:type="spellStart"/>
      <w:r>
        <w:t>Prezidentinin</w:t>
      </w:r>
      <w:proofErr w:type="spellEnd"/>
      <w:r>
        <w:t xml:space="preserve"> </w:t>
      </w:r>
      <w:proofErr w:type="spellStart"/>
      <w:r>
        <w:t>b</w:t>
      </w:r>
      <w:r w:rsidRPr="00BE518B">
        <w:t>ə</w:t>
      </w:r>
      <w:r>
        <w:t>yanatı</w:t>
      </w:r>
      <w:proofErr w:type="spellEnd"/>
      <w:r w:rsidRPr="00BE518B">
        <w:t>. https://president.az/az/articles/view/45923 [Erişim Tarihi: 25.12.2024].</w:t>
      </w:r>
    </w:p>
    <w:p w14:paraId="36904835" w14:textId="77777777" w:rsidR="00B470AD" w:rsidRPr="00BE518B" w:rsidRDefault="00B470AD">
      <w:pPr>
        <w:pStyle w:val="ListeParagraf"/>
        <w:numPr>
          <w:ilvl w:val="0"/>
          <w:numId w:val="84"/>
        </w:numPr>
        <w:jc w:val="both"/>
      </w:pPr>
      <w:proofErr w:type="spellStart"/>
      <w:r w:rsidRPr="00BE518B">
        <w:t>Dellal</w:t>
      </w:r>
      <w:proofErr w:type="spellEnd"/>
      <w:r w:rsidRPr="00BE518B">
        <w:t xml:space="preserve">, </w:t>
      </w:r>
      <w:r>
        <w:t>İ</w:t>
      </w:r>
      <w:r w:rsidRPr="00BE518B">
        <w:t>.</w:t>
      </w:r>
      <w:r>
        <w:t xml:space="preserve"> (2022). Tahıl Koridoru ve önemi</w:t>
      </w:r>
      <w:r w:rsidRPr="00BE518B">
        <w:t xml:space="preserve">. </w:t>
      </w:r>
      <w:r w:rsidRPr="0079785E">
        <w:rPr>
          <w:i/>
        </w:rPr>
        <w:t>Türkiye İnsani Çalışmalar Yıllığı</w:t>
      </w:r>
      <w:r w:rsidRPr="00BE518B">
        <w:t xml:space="preserve">. https://yillik.kizilayakademi.org.tr/tahil-koridoru-ve-onemi/ [Erişim Tarihi: </w:t>
      </w:r>
      <w:r w:rsidRPr="00BE518B">
        <w:lastRenderedPageBreak/>
        <w:t>26.12.2024].</w:t>
      </w:r>
    </w:p>
    <w:p w14:paraId="582EDEF0" w14:textId="77777777" w:rsidR="00B470AD" w:rsidRPr="00BE518B" w:rsidRDefault="00B470AD">
      <w:pPr>
        <w:pStyle w:val="ListeParagraf"/>
        <w:numPr>
          <w:ilvl w:val="0"/>
          <w:numId w:val="84"/>
        </w:numPr>
        <w:jc w:val="both"/>
      </w:pPr>
      <w:r w:rsidRPr="00BE518B">
        <w:t xml:space="preserve">Demirtaş, </w:t>
      </w:r>
      <w:r>
        <w:t>T</w:t>
      </w:r>
      <w:r w:rsidRPr="00BE518B">
        <w:t xml:space="preserve">. </w:t>
      </w:r>
      <w:r>
        <w:t>(</w:t>
      </w:r>
      <w:r w:rsidRPr="00BE518B">
        <w:t>12 Ağustos 2024</w:t>
      </w:r>
      <w:r>
        <w:t>). Somali-Etiyopya krizinde çözüm arayışları: Ankara sürecinin ikinci turu</w:t>
      </w:r>
      <w:r w:rsidRPr="00BE518B">
        <w:t xml:space="preserve">. </w:t>
      </w:r>
      <w:r w:rsidRPr="0079785E">
        <w:rPr>
          <w:i/>
        </w:rPr>
        <w:t>SETA | Odak</w:t>
      </w:r>
      <w:r w:rsidRPr="00BE518B">
        <w:t>. https://www.setav.org/odak/odak-somali-etiyopya-krizinde-cozum-arayislari-ankara-surecinin-ikinci-turu [Erişim Tarihi: 01.01.2025].</w:t>
      </w:r>
    </w:p>
    <w:p w14:paraId="192B742F" w14:textId="77777777" w:rsidR="00B470AD" w:rsidRPr="00BE518B" w:rsidRDefault="00B470AD">
      <w:pPr>
        <w:pStyle w:val="ListeParagraf"/>
        <w:numPr>
          <w:ilvl w:val="0"/>
          <w:numId w:val="84"/>
        </w:numPr>
        <w:jc w:val="both"/>
      </w:pPr>
      <w:r w:rsidRPr="00BE518B">
        <w:t xml:space="preserve">Demirtaş, </w:t>
      </w:r>
      <w:r>
        <w:t>T</w:t>
      </w:r>
      <w:r w:rsidRPr="00BE518B">
        <w:t>.</w:t>
      </w:r>
      <w:r>
        <w:t xml:space="preserve"> (</w:t>
      </w:r>
      <w:r w:rsidRPr="00BE518B">
        <w:t>17 Ağustos 2024</w:t>
      </w:r>
      <w:r>
        <w:t>).</w:t>
      </w:r>
      <w:r w:rsidRPr="00BE518B">
        <w:t xml:space="preserve"> Ankara </w:t>
      </w:r>
      <w:r>
        <w:t>Süreci’nde Türkiye’nin rolü</w:t>
      </w:r>
      <w:r w:rsidRPr="00BE518B">
        <w:t xml:space="preserve">. </w:t>
      </w:r>
      <w:r w:rsidRPr="0079785E">
        <w:rPr>
          <w:i/>
        </w:rPr>
        <w:t>SETA | Odak</w:t>
      </w:r>
      <w:r w:rsidRPr="00BE518B">
        <w:t>. https://www.setav.org/yorum/ankara-surecinde-turkiyenin-rolu [Erişim Tarihi: 01.01.2025].</w:t>
      </w:r>
    </w:p>
    <w:p w14:paraId="3314DE21" w14:textId="77777777" w:rsidR="00B470AD" w:rsidRPr="00BE518B" w:rsidRDefault="00B470AD">
      <w:pPr>
        <w:pStyle w:val="ListeParagraf"/>
        <w:numPr>
          <w:ilvl w:val="0"/>
          <w:numId w:val="84"/>
        </w:numPr>
        <w:jc w:val="both"/>
      </w:pPr>
      <w:r w:rsidRPr="00BE518B">
        <w:t xml:space="preserve">Demirtaş, </w:t>
      </w:r>
      <w:r>
        <w:t>T</w:t>
      </w:r>
      <w:r w:rsidRPr="00BE518B">
        <w:t>.</w:t>
      </w:r>
      <w:r>
        <w:t xml:space="preserve"> (</w:t>
      </w:r>
      <w:r w:rsidRPr="00BE518B">
        <w:t>12 Aralık 2024</w:t>
      </w:r>
      <w:r>
        <w:t>).</w:t>
      </w:r>
      <w:r w:rsidRPr="00BE518B">
        <w:t xml:space="preserve"> Türkiye’nin Afrika</w:t>
      </w:r>
      <w:r>
        <w:t xml:space="preserve"> </w:t>
      </w:r>
      <w:proofErr w:type="spellStart"/>
      <w:r>
        <w:t>Boynuzu’nda</w:t>
      </w:r>
      <w:proofErr w:type="spellEnd"/>
      <w:r>
        <w:t xml:space="preserve"> barış diplomasisi</w:t>
      </w:r>
      <w:r w:rsidRPr="00BE518B">
        <w:t xml:space="preserve">. </w:t>
      </w:r>
      <w:r w:rsidRPr="0079785E">
        <w:rPr>
          <w:i/>
        </w:rPr>
        <w:t>SETA | Odak</w:t>
      </w:r>
      <w:r w:rsidRPr="00BE518B">
        <w:t>. https://www.setav.org/turkiyenin-afrika-boynuzunda-baris-diplomasisi [Erişim Tarihi: 01.01.2025].</w:t>
      </w:r>
    </w:p>
    <w:p w14:paraId="429A7486" w14:textId="77777777" w:rsidR="00B470AD" w:rsidRPr="00BE518B" w:rsidRDefault="00B470AD">
      <w:pPr>
        <w:pStyle w:val="ListeParagraf"/>
        <w:numPr>
          <w:ilvl w:val="0"/>
          <w:numId w:val="84"/>
        </w:numPr>
        <w:jc w:val="both"/>
      </w:pPr>
      <w:r w:rsidRPr="00BE518B">
        <w:t xml:space="preserve">Devecioğlu, </w:t>
      </w:r>
      <w:r>
        <w:t>K</w:t>
      </w:r>
      <w:r w:rsidRPr="00BE518B">
        <w:t xml:space="preserve">. (Mart 2024). </w:t>
      </w:r>
      <w:r>
        <w:t>Türkiye ve Somali: Bölgesel güvenlikten ekonomik k</w:t>
      </w:r>
      <w:r w:rsidRPr="00BE518B">
        <w:t>alkınmaya</w:t>
      </w:r>
      <w:r>
        <w:t xml:space="preserve"> yeni bir iş birliği yaklaşımı</w:t>
      </w:r>
      <w:r w:rsidRPr="00BE518B">
        <w:t xml:space="preserve">. </w:t>
      </w:r>
      <w:r w:rsidRPr="0079785E">
        <w:rPr>
          <w:i/>
        </w:rPr>
        <w:t>ORSAM | Analiz</w:t>
      </w:r>
      <w:r w:rsidRPr="005938BE">
        <w:t xml:space="preserve">, </w:t>
      </w:r>
      <w:r>
        <w:t>(</w:t>
      </w:r>
      <w:r w:rsidRPr="005938BE">
        <w:t>317</w:t>
      </w:r>
      <w:r>
        <w:t>).</w:t>
      </w:r>
      <w:r w:rsidRPr="00BE518B">
        <w:t xml:space="preserve"> https://www.orsam.org.tr/tr/turkiye-ve-somali-bolgesel-guvenlikten-ekonomik-kalkinmaya-yeni-bir-is-birligi-yaklasimi/ [Erişim Tarihi: 15.01.2025].</w:t>
      </w:r>
    </w:p>
    <w:p w14:paraId="3A751F08" w14:textId="77777777" w:rsidR="00B470AD" w:rsidRPr="00BE518B" w:rsidRDefault="00B470AD">
      <w:pPr>
        <w:pStyle w:val="ListeParagraf"/>
        <w:numPr>
          <w:ilvl w:val="0"/>
          <w:numId w:val="84"/>
        </w:numPr>
        <w:jc w:val="both"/>
      </w:pPr>
      <w:r w:rsidRPr="00BE518B">
        <w:t xml:space="preserve">Devecioğlu, </w:t>
      </w:r>
      <w:r>
        <w:t>K</w:t>
      </w:r>
      <w:r w:rsidRPr="00BE518B">
        <w:t>.</w:t>
      </w:r>
      <w:r>
        <w:t xml:space="preserve"> (</w:t>
      </w:r>
      <w:r w:rsidRPr="00BE518B">
        <w:t>12 Aralık 2024</w:t>
      </w:r>
      <w:r>
        <w:t>). Etiyopya-Somali krizinde Türkiye’nin d</w:t>
      </w:r>
      <w:r w:rsidRPr="00BE518B">
        <w:t>ipl</w:t>
      </w:r>
      <w:r>
        <w:t>omasi zaferi: Ankara Bildirisi</w:t>
      </w:r>
      <w:r w:rsidRPr="00BE518B">
        <w:t xml:space="preserve">. </w:t>
      </w:r>
      <w:r w:rsidRPr="0079785E">
        <w:rPr>
          <w:i/>
        </w:rPr>
        <w:t>ORSAM</w:t>
      </w:r>
      <w:r w:rsidRPr="00BE518B">
        <w:t>. https://orsam.org.tr/tr/etiyopya-somali-krizinde-turkiyenin-diplomasi-zaferi-ankara-bildirisi/ [Erişim Tarihi: 02.01.2025].</w:t>
      </w:r>
    </w:p>
    <w:p w14:paraId="3A345464" w14:textId="77777777" w:rsidR="00B470AD" w:rsidRPr="00BE518B" w:rsidRDefault="00B470AD">
      <w:pPr>
        <w:pStyle w:val="ListeParagraf"/>
        <w:numPr>
          <w:ilvl w:val="0"/>
          <w:numId w:val="84"/>
        </w:numPr>
        <w:jc w:val="both"/>
      </w:pPr>
      <w:r>
        <w:t>Dumlu, H. &amp;</w:t>
      </w:r>
      <w:r w:rsidRPr="00BE518B">
        <w:t xml:space="preserve"> Şahin</w:t>
      </w:r>
      <w:r>
        <w:t xml:space="preserve"> G. (2024). </w:t>
      </w:r>
      <w:proofErr w:type="spellStart"/>
      <w:r>
        <w:t>Zengezur</w:t>
      </w:r>
      <w:proofErr w:type="spellEnd"/>
      <w:r>
        <w:t xml:space="preserve"> Koridoru ve alternatif ç</w:t>
      </w:r>
      <w:r w:rsidRPr="00BE518B">
        <w:t>özümler: Türkiye için</w:t>
      </w:r>
      <w:r>
        <w:t xml:space="preserve"> riskler, tehditler ve fırsatlar</w:t>
      </w:r>
      <w:r w:rsidRPr="00BE518B">
        <w:t xml:space="preserve">. </w:t>
      </w:r>
      <w:r w:rsidRPr="0079785E">
        <w:rPr>
          <w:i/>
        </w:rPr>
        <w:t>Avrasya İncelemeleri Dergisi, 13</w:t>
      </w:r>
      <w:r>
        <w:t>(</w:t>
      </w:r>
      <w:r w:rsidRPr="00BE518B">
        <w:t>2</w:t>
      </w:r>
      <w:r>
        <w:t>), 169-194.</w:t>
      </w:r>
      <w:r w:rsidRPr="00BE518B">
        <w:t xml:space="preserve"> DOI: 10.26650/jes.2024.1488591.</w:t>
      </w:r>
    </w:p>
    <w:p w14:paraId="04965C0B" w14:textId="77777777" w:rsidR="00B470AD" w:rsidRPr="00BE518B" w:rsidRDefault="00B470AD">
      <w:pPr>
        <w:pStyle w:val="ListeParagraf"/>
        <w:numPr>
          <w:ilvl w:val="0"/>
          <w:numId w:val="84"/>
        </w:numPr>
        <w:jc w:val="both"/>
      </w:pPr>
      <w:proofErr w:type="spellStart"/>
      <w:r>
        <w:t>Gasımova</w:t>
      </w:r>
      <w:proofErr w:type="spellEnd"/>
      <w:r>
        <w:t>, T. &amp;</w:t>
      </w:r>
      <w:r w:rsidRPr="00BE518B">
        <w:t xml:space="preserve"> Erçin </w:t>
      </w:r>
      <w:proofErr w:type="spellStart"/>
      <w:r w:rsidRPr="00BE518B">
        <w:t>Yurcu</w:t>
      </w:r>
      <w:proofErr w:type="spellEnd"/>
      <w:r>
        <w:t xml:space="preserve">, M. (2023). </w:t>
      </w:r>
      <w:proofErr w:type="spellStart"/>
      <w:r w:rsidRPr="00BE518B">
        <w:t>Zenge</w:t>
      </w:r>
      <w:r>
        <w:t>zur</w:t>
      </w:r>
      <w:proofErr w:type="spellEnd"/>
      <w:r>
        <w:t xml:space="preserve"> </w:t>
      </w:r>
      <w:proofErr w:type="spellStart"/>
      <w:r>
        <w:t>Koridoru’nun</w:t>
      </w:r>
      <w:proofErr w:type="spellEnd"/>
      <w:r>
        <w:t xml:space="preserve"> Azerbaycan’ın dış ticaret ve lojistik faaliyetlerine olası e</w:t>
      </w:r>
      <w:r w:rsidRPr="00BE518B">
        <w:t>tkilerin</w:t>
      </w:r>
      <w:r>
        <w:t>in SWOT analizi</w:t>
      </w:r>
      <w:r w:rsidRPr="00BE518B">
        <w:t xml:space="preserve">. </w:t>
      </w:r>
      <w:r w:rsidRPr="0079785E">
        <w:rPr>
          <w:i/>
        </w:rPr>
        <w:t>Dumlupınar Üniversitesi İİBF Dergisi</w:t>
      </w:r>
      <w:r>
        <w:t>, (</w:t>
      </w:r>
      <w:r w:rsidRPr="00BE518B">
        <w:t>12</w:t>
      </w:r>
      <w:r>
        <w:t>), 1-15.</w:t>
      </w:r>
      <w:r w:rsidRPr="00BE518B">
        <w:t xml:space="preserve"> DOI: 10.58627/dpuiibf.1172010.</w:t>
      </w:r>
    </w:p>
    <w:p w14:paraId="1755D210" w14:textId="77777777" w:rsidR="00B470AD" w:rsidRPr="00BE518B" w:rsidRDefault="00B470AD">
      <w:pPr>
        <w:pStyle w:val="ListeParagraf"/>
        <w:numPr>
          <w:ilvl w:val="0"/>
          <w:numId w:val="84"/>
        </w:numPr>
        <w:jc w:val="both"/>
      </w:pPr>
      <w:r>
        <w:t>Güler, M. Ç</w:t>
      </w:r>
      <w:r w:rsidRPr="00BE518B">
        <w:t xml:space="preserve">. </w:t>
      </w:r>
      <w:r>
        <w:t xml:space="preserve">(Temmuz 2020). </w:t>
      </w:r>
      <w:proofErr w:type="spellStart"/>
      <w:r>
        <w:t>Tovuz</w:t>
      </w:r>
      <w:proofErr w:type="spellEnd"/>
      <w:r>
        <w:t xml:space="preserve"> s</w:t>
      </w:r>
      <w:r w:rsidRPr="00BE518B">
        <w:t>ınır</w:t>
      </w:r>
      <w:r>
        <w:t>ında Azerbaycan ile Ermenistan arasında yaşanan çatışma ve arka planı</w:t>
      </w:r>
      <w:r w:rsidRPr="00BE518B">
        <w:t xml:space="preserve">. </w:t>
      </w:r>
      <w:r w:rsidRPr="0079785E">
        <w:rPr>
          <w:i/>
        </w:rPr>
        <w:t>SETA | Perspektif</w:t>
      </w:r>
      <w:r>
        <w:t>, (</w:t>
      </w:r>
      <w:r w:rsidRPr="00BE518B">
        <w:t>292</w:t>
      </w:r>
      <w:r>
        <w:t>)</w:t>
      </w:r>
      <w:r w:rsidRPr="00BE518B">
        <w:t>. https://www.setav.org/perspektif/perspektif-tovuz-sinirinda-azerbaycan-ile-ermenistan-arasinda-yasanan-catisma-ve-arka-plani [Erişim Tarihi: 09.01.2025].</w:t>
      </w:r>
    </w:p>
    <w:p w14:paraId="52686EE7" w14:textId="77777777" w:rsidR="00B470AD" w:rsidRPr="00BE518B" w:rsidRDefault="00B470AD">
      <w:pPr>
        <w:pStyle w:val="ListeParagraf"/>
        <w:numPr>
          <w:ilvl w:val="0"/>
          <w:numId w:val="84"/>
        </w:numPr>
        <w:jc w:val="both"/>
      </w:pPr>
      <w:r>
        <w:t>İpek, F. O</w:t>
      </w:r>
      <w:r w:rsidRPr="00BE518B">
        <w:t>. (Nisan 2024)</w:t>
      </w:r>
      <w:r>
        <w:t>. Türkiye-Irak ilişkilerinde tarihi dönemeç ve stratejik ortaklık fırsatı</w:t>
      </w:r>
      <w:r w:rsidRPr="00BE518B">
        <w:t xml:space="preserve">. </w:t>
      </w:r>
      <w:r w:rsidRPr="0079785E">
        <w:rPr>
          <w:i/>
        </w:rPr>
        <w:t>SETA | Analiz</w:t>
      </w:r>
      <w:r>
        <w:t>, (</w:t>
      </w:r>
      <w:r w:rsidRPr="00BE518B">
        <w:t>419</w:t>
      </w:r>
      <w:r>
        <w:t>)</w:t>
      </w:r>
      <w:r w:rsidRPr="00BE518B">
        <w:t>. https://www.setav.org/analiz/analiz-turkiye-irak-iliskilerinde-tarihi-donemec-ve-stratejik-ortaklik-firsati [Erişim Tarihi: 30.12.2024].</w:t>
      </w:r>
    </w:p>
    <w:p w14:paraId="0B736B83" w14:textId="77777777" w:rsidR="00B470AD" w:rsidRPr="00BE518B" w:rsidRDefault="00B470AD">
      <w:pPr>
        <w:pStyle w:val="ListeParagraf"/>
        <w:numPr>
          <w:ilvl w:val="0"/>
          <w:numId w:val="84"/>
        </w:numPr>
        <w:jc w:val="both"/>
      </w:pPr>
      <w:r>
        <w:t>İstikbal, D</w:t>
      </w:r>
      <w:r w:rsidRPr="00BE518B">
        <w:t>.</w:t>
      </w:r>
      <w:r>
        <w:t xml:space="preserve"> (</w:t>
      </w:r>
      <w:r w:rsidRPr="00BE518B">
        <w:t>19 Ağustos 2022</w:t>
      </w:r>
      <w:r>
        <w:t>). Küresel r</w:t>
      </w:r>
      <w:r w:rsidRPr="00BE518B">
        <w:t xml:space="preserve">esesyon, </w:t>
      </w:r>
      <w:r>
        <w:t>gıda enflasyonu ve enerji krizi</w:t>
      </w:r>
      <w:r w:rsidRPr="00BE518B">
        <w:t xml:space="preserve">. </w:t>
      </w:r>
      <w:r w:rsidRPr="0079785E">
        <w:rPr>
          <w:i/>
        </w:rPr>
        <w:t>Star Açık Görüş</w:t>
      </w:r>
      <w:r w:rsidRPr="00BE518B">
        <w:t>. https://www.star.com.tr/acik-gorus/kuresel-resesyon-gida-enflasyonu-ve-enerji-krizi-haber-1731839/ [Erişim Tarihi: 28.12.2024].</w:t>
      </w:r>
    </w:p>
    <w:p w14:paraId="65F04107" w14:textId="77777777" w:rsidR="00B470AD" w:rsidRPr="00BE518B" w:rsidRDefault="00B470AD">
      <w:pPr>
        <w:pStyle w:val="ListeParagraf"/>
        <w:numPr>
          <w:ilvl w:val="0"/>
          <w:numId w:val="84"/>
        </w:numPr>
        <w:jc w:val="both"/>
      </w:pPr>
      <w:proofErr w:type="spellStart"/>
      <w:r>
        <w:t>Kaleji</w:t>
      </w:r>
      <w:proofErr w:type="spellEnd"/>
      <w:r>
        <w:t>, V</w:t>
      </w:r>
      <w:r w:rsidRPr="00BE518B">
        <w:t xml:space="preserve">. </w:t>
      </w:r>
      <w:r>
        <w:t>(</w:t>
      </w:r>
      <w:proofErr w:type="spellStart"/>
      <w:r w:rsidRPr="00BE518B">
        <w:t>February</w:t>
      </w:r>
      <w:proofErr w:type="spellEnd"/>
      <w:r w:rsidRPr="00BE518B">
        <w:t xml:space="preserve"> 6, 2024</w:t>
      </w:r>
      <w:r>
        <w:t xml:space="preserve">). Is </w:t>
      </w:r>
      <w:proofErr w:type="spellStart"/>
      <w:r>
        <w:t>the</w:t>
      </w:r>
      <w:proofErr w:type="spellEnd"/>
      <w:r>
        <w:t xml:space="preserve"> Aras </w:t>
      </w:r>
      <w:proofErr w:type="spellStart"/>
      <w:r>
        <w:t>Corridor</w:t>
      </w:r>
      <w:proofErr w:type="spellEnd"/>
      <w:r>
        <w:t xml:space="preserve"> an </w:t>
      </w:r>
      <w:proofErr w:type="spellStart"/>
      <w:r>
        <w:t>alternative</w:t>
      </w:r>
      <w:proofErr w:type="spellEnd"/>
      <w:r>
        <w:t xml:space="preserve"> </w:t>
      </w:r>
      <w:proofErr w:type="spellStart"/>
      <w:r>
        <w:t>to</w:t>
      </w:r>
      <w:proofErr w:type="spellEnd"/>
      <w:r>
        <w:t xml:space="preserve"> </w:t>
      </w:r>
      <w:proofErr w:type="spellStart"/>
      <w:proofErr w:type="gramStart"/>
      <w:r>
        <w:t>Zangezur</w:t>
      </w:r>
      <w:proofErr w:type="spellEnd"/>
      <w:r>
        <w:t>?</w:t>
      </w:r>
      <w:r w:rsidRPr="00BE518B">
        <w:t>.</w:t>
      </w:r>
      <w:proofErr w:type="gramEnd"/>
      <w:r w:rsidRPr="00BE518B">
        <w:t xml:space="preserve"> </w:t>
      </w:r>
      <w:proofErr w:type="spellStart"/>
      <w:r w:rsidRPr="0079785E">
        <w:rPr>
          <w:i/>
        </w:rPr>
        <w:t>The</w:t>
      </w:r>
      <w:proofErr w:type="spellEnd"/>
      <w:r w:rsidRPr="0079785E">
        <w:rPr>
          <w:i/>
        </w:rPr>
        <w:t xml:space="preserve"> Central </w:t>
      </w:r>
      <w:proofErr w:type="spellStart"/>
      <w:r w:rsidRPr="0079785E">
        <w:rPr>
          <w:i/>
        </w:rPr>
        <w:t>Asia-Caucasus</w:t>
      </w:r>
      <w:proofErr w:type="spellEnd"/>
      <w:r w:rsidRPr="0079785E">
        <w:rPr>
          <w:i/>
        </w:rPr>
        <w:t xml:space="preserve"> </w:t>
      </w:r>
      <w:proofErr w:type="spellStart"/>
      <w:r w:rsidRPr="0079785E">
        <w:rPr>
          <w:i/>
        </w:rPr>
        <w:t>Analyst</w:t>
      </w:r>
      <w:proofErr w:type="spellEnd"/>
      <w:r w:rsidRPr="00BE518B">
        <w:t>. https://www.cacianalyst.org/publications/analytical-articles/item/13788-is-the-aras-corridor-an-alternativeto-zangezur [Erişim Tarihi: 07.01.2025].</w:t>
      </w:r>
    </w:p>
    <w:p w14:paraId="4CFB8B79" w14:textId="77777777" w:rsidR="00B470AD" w:rsidRPr="00BE518B" w:rsidRDefault="00B470AD">
      <w:pPr>
        <w:pStyle w:val="ListeParagraf"/>
        <w:numPr>
          <w:ilvl w:val="0"/>
          <w:numId w:val="84"/>
        </w:numPr>
        <w:jc w:val="both"/>
      </w:pPr>
      <w:r>
        <w:t>Karataş, İ</w:t>
      </w:r>
      <w:r w:rsidRPr="00BE518B">
        <w:t xml:space="preserve">. </w:t>
      </w:r>
      <w:r>
        <w:t xml:space="preserve">(17 Aralık 2023). </w:t>
      </w:r>
      <w:r w:rsidRPr="00BE518B">
        <w:t>Irak’ın Kal</w:t>
      </w:r>
      <w:r>
        <w:t>kınma Yolu Projesi: Riskler ve avantajlar</w:t>
      </w:r>
      <w:r w:rsidRPr="00BE518B">
        <w:t xml:space="preserve">. </w:t>
      </w:r>
      <w:r w:rsidRPr="0079785E">
        <w:rPr>
          <w:i/>
        </w:rPr>
        <w:t>Orta Doğu ve Afrika Araştırmacıları Derneği</w:t>
      </w:r>
      <w:r w:rsidRPr="00BE518B">
        <w:t>. https://ordaf.org/irakin-kalkinma-yolu-projesi-riskler-ve-avantajlar/ [Erişim Tarihi: 29.12.2024].</w:t>
      </w:r>
    </w:p>
    <w:p w14:paraId="69228A4E" w14:textId="77777777" w:rsidR="00B470AD" w:rsidRPr="00BE518B" w:rsidRDefault="00B470AD">
      <w:pPr>
        <w:pStyle w:val="ListeParagraf"/>
        <w:numPr>
          <w:ilvl w:val="0"/>
          <w:numId w:val="84"/>
        </w:numPr>
        <w:jc w:val="both"/>
      </w:pPr>
      <w:proofErr w:type="spellStart"/>
      <w:r>
        <w:t>Pardo</w:t>
      </w:r>
      <w:proofErr w:type="spellEnd"/>
      <w:r>
        <w:t>, R. P</w:t>
      </w:r>
      <w:r w:rsidRPr="00BE518B">
        <w:t>.</w:t>
      </w:r>
      <w:r>
        <w:t xml:space="preserve"> (2023).</w:t>
      </w:r>
      <w:r w:rsidRPr="00BE518B">
        <w:t xml:space="preserve"> </w:t>
      </w:r>
      <w:r w:rsidRPr="0079785E">
        <w:rPr>
          <w:i/>
        </w:rPr>
        <w:t xml:space="preserve">South </w:t>
      </w:r>
      <w:proofErr w:type="spellStart"/>
      <w:r w:rsidRPr="0079785E">
        <w:rPr>
          <w:i/>
        </w:rPr>
        <w:t>Korea’s</w:t>
      </w:r>
      <w:proofErr w:type="spellEnd"/>
      <w:r w:rsidRPr="0079785E">
        <w:rPr>
          <w:i/>
        </w:rPr>
        <w:t xml:space="preserve"> </w:t>
      </w:r>
      <w:proofErr w:type="spellStart"/>
      <w:r w:rsidRPr="0079785E">
        <w:rPr>
          <w:i/>
        </w:rPr>
        <w:t>grand</w:t>
      </w:r>
      <w:proofErr w:type="spellEnd"/>
      <w:r w:rsidRPr="0079785E">
        <w:rPr>
          <w:i/>
        </w:rPr>
        <w:t xml:space="preserve"> </w:t>
      </w:r>
      <w:proofErr w:type="spellStart"/>
      <w:r w:rsidRPr="0079785E">
        <w:rPr>
          <w:i/>
        </w:rPr>
        <w:t>strategy</w:t>
      </w:r>
      <w:proofErr w:type="spellEnd"/>
      <w:r w:rsidRPr="0079785E">
        <w:rPr>
          <w:i/>
        </w:rPr>
        <w:t xml:space="preserve">: </w:t>
      </w:r>
      <w:proofErr w:type="spellStart"/>
      <w:r w:rsidRPr="0079785E">
        <w:rPr>
          <w:i/>
        </w:rPr>
        <w:t>Making</w:t>
      </w:r>
      <w:proofErr w:type="spellEnd"/>
      <w:r w:rsidRPr="0079785E">
        <w:rPr>
          <w:i/>
        </w:rPr>
        <w:t xml:space="preserve"> </w:t>
      </w:r>
      <w:proofErr w:type="spellStart"/>
      <w:r w:rsidRPr="0079785E">
        <w:rPr>
          <w:i/>
        </w:rPr>
        <w:t>its</w:t>
      </w:r>
      <w:proofErr w:type="spellEnd"/>
      <w:r w:rsidRPr="0079785E">
        <w:rPr>
          <w:i/>
        </w:rPr>
        <w:t xml:space="preserve"> </w:t>
      </w:r>
      <w:proofErr w:type="spellStart"/>
      <w:r w:rsidRPr="0079785E">
        <w:rPr>
          <w:i/>
        </w:rPr>
        <w:t>own</w:t>
      </w:r>
      <w:proofErr w:type="spellEnd"/>
      <w:r w:rsidRPr="0079785E">
        <w:rPr>
          <w:i/>
        </w:rPr>
        <w:t xml:space="preserve"> </w:t>
      </w:r>
      <w:proofErr w:type="spellStart"/>
      <w:r w:rsidRPr="0079785E">
        <w:rPr>
          <w:i/>
        </w:rPr>
        <w:t>destiny</w:t>
      </w:r>
      <w:proofErr w:type="spellEnd"/>
      <w:r>
        <w:t xml:space="preserve">. Columbia </w:t>
      </w:r>
      <w:proofErr w:type="spellStart"/>
      <w:r>
        <w:t>University</w:t>
      </w:r>
      <w:proofErr w:type="spellEnd"/>
      <w:r>
        <w:t xml:space="preserve"> </w:t>
      </w:r>
      <w:proofErr w:type="spellStart"/>
      <w:r>
        <w:t>Press</w:t>
      </w:r>
      <w:proofErr w:type="spellEnd"/>
      <w:r w:rsidRPr="00BE518B">
        <w:t>.</w:t>
      </w:r>
    </w:p>
    <w:p w14:paraId="6D20BB02" w14:textId="77777777" w:rsidR="00B470AD" w:rsidRPr="00BE518B" w:rsidRDefault="00B470AD">
      <w:pPr>
        <w:pStyle w:val="ListeParagraf"/>
        <w:numPr>
          <w:ilvl w:val="0"/>
          <w:numId w:val="84"/>
        </w:numPr>
        <w:jc w:val="both"/>
      </w:pPr>
      <w:r w:rsidRPr="00BE518B">
        <w:t>Pirinç</w:t>
      </w:r>
      <w:r>
        <w:t>çi, F</w:t>
      </w:r>
      <w:r w:rsidRPr="00BE518B">
        <w:t>.</w:t>
      </w:r>
      <w:r>
        <w:t xml:space="preserve"> (</w:t>
      </w:r>
      <w:r w:rsidRPr="00BE518B">
        <w:t>20 Ağustos 2022</w:t>
      </w:r>
      <w:r>
        <w:t>). Türkiye’nin barış diplomasisi</w:t>
      </w:r>
      <w:r w:rsidRPr="00BE518B">
        <w:t xml:space="preserve">. </w:t>
      </w:r>
      <w:r w:rsidRPr="0079785E">
        <w:rPr>
          <w:i/>
        </w:rPr>
        <w:t>Sabah</w:t>
      </w:r>
      <w:r w:rsidRPr="00BE518B">
        <w:t>. https://www.sabah.com.tr/yazarlar/perspektif/ferhat-pirincci/2022/08/20/turkiyenin-baris-diplomasisi [Erişim Tarihi: 28.12.2024].</w:t>
      </w:r>
    </w:p>
    <w:p w14:paraId="1BB3326A" w14:textId="77777777" w:rsidR="00B470AD" w:rsidRPr="00BE518B" w:rsidRDefault="00B470AD">
      <w:pPr>
        <w:pStyle w:val="ListeParagraf"/>
        <w:numPr>
          <w:ilvl w:val="0"/>
          <w:numId w:val="84"/>
        </w:numPr>
        <w:jc w:val="both"/>
      </w:pPr>
      <w:proofErr w:type="spellStart"/>
      <w:r w:rsidRPr="00BE518B">
        <w:t>Rakipoğlu</w:t>
      </w:r>
      <w:proofErr w:type="spellEnd"/>
      <w:r>
        <w:t>, M</w:t>
      </w:r>
      <w:r w:rsidRPr="00BE518B">
        <w:t xml:space="preserve">. </w:t>
      </w:r>
      <w:r>
        <w:t>(</w:t>
      </w:r>
      <w:r w:rsidRPr="00BE518B">
        <w:t>27 Nisan 2024</w:t>
      </w:r>
      <w:r>
        <w:t>). Körfez perspektifinden Türkiye-Irak y</w:t>
      </w:r>
      <w:r w:rsidRPr="00BE518B">
        <w:t>akınl</w:t>
      </w:r>
      <w:r>
        <w:t>aşması ve Kalkınma Yolu Projesi</w:t>
      </w:r>
      <w:r w:rsidRPr="00BE518B">
        <w:t xml:space="preserve">. </w:t>
      </w:r>
      <w:r w:rsidRPr="0079785E">
        <w:rPr>
          <w:i/>
        </w:rPr>
        <w:t>Sabah</w:t>
      </w:r>
      <w:r w:rsidRPr="00BE518B">
        <w:t>. https://www.sabah.com.tr/yazarlar/perspektif/mehmet-</w:t>
      </w:r>
      <w:r w:rsidRPr="00BE518B">
        <w:lastRenderedPageBreak/>
        <w:t>rakipoglu/2024/04/27/korfez-perspektifinden-turkiye-irak-yakinlasmasi-ve-kalkinma-yolu-projesi [Erişim Tarihi: 30.12.2024].</w:t>
      </w:r>
    </w:p>
    <w:p w14:paraId="44A1DB8F" w14:textId="77777777" w:rsidR="00B470AD" w:rsidRDefault="00B470AD">
      <w:pPr>
        <w:pStyle w:val="ListeParagraf"/>
        <w:numPr>
          <w:ilvl w:val="0"/>
          <w:numId w:val="84"/>
        </w:numPr>
        <w:jc w:val="both"/>
      </w:pPr>
      <w:proofErr w:type="spellStart"/>
      <w:r>
        <w:t>Schrim</w:t>
      </w:r>
      <w:proofErr w:type="spellEnd"/>
      <w:r>
        <w:t>, S</w:t>
      </w:r>
      <w:r w:rsidRPr="00BE518B">
        <w:t>.</w:t>
      </w:r>
      <w:r>
        <w:t xml:space="preserve"> (2010). </w:t>
      </w:r>
      <w:proofErr w:type="spellStart"/>
      <w:r w:rsidRPr="00BE518B">
        <w:t>Leader</w:t>
      </w:r>
      <w:proofErr w:type="spellEnd"/>
      <w:r w:rsidRPr="00BE518B">
        <w:t xml:space="preserve"> in </w:t>
      </w:r>
      <w:proofErr w:type="spellStart"/>
      <w:r w:rsidRPr="00BE518B">
        <w:t>need</w:t>
      </w:r>
      <w:proofErr w:type="spellEnd"/>
      <w:r w:rsidRPr="00BE518B">
        <w:t xml:space="preserve"> of </w:t>
      </w:r>
      <w:proofErr w:type="spellStart"/>
      <w:r w:rsidRPr="00BE518B">
        <w:t>followers</w:t>
      </w:r>
      <w:proofErr w:type="spellEnd"/>
      <w:r w:rsidRPr="00BE518B">
        <w:t xml:space="preserve">: </w:t>
      </w:r>
      <w:proofErr w:type="spellStart"/>
      <w:r w:rsidRPr="00BE518B">
        <w:t>Emergi</w:t>
      </w:r>
      <w:r>
        <w:t>ng</w:t>
      </w:r>
      <w:proofErr w:type="spellEnd"/>
      <w:r>
        <w:t xml:space="preserve"> </w:t>
      </w:r>
      <w:proofErr w:type="spellStart"/>
      <w:r>
        <w:t>powers</w:t>
      </w:r>
      <w:proofErr w:type="spellEnd"/>
      <w:r>
        <w:t xml:space="preserve"> in global </w:t>
      </w:r>
      <w:proofErr w:type="spellStart"/>
      <w:r>
        <w:t>governance</w:t>
      </w:r>
      <w:proofErr w:type="spellEnd"/>
      <w:r>
        <w:t>.</w:t>
      </w:r>
      <w:r w:rsidRPr="00BE518B">
        <w:t xml:space="preserve"> </w:t>
      </w:r>
      <w:proofErr w:type="spellStart"/>
      <w:r w:rsidRPr="0079785E">
        <w:rPr>
          <w:i/>
        </w:rPr>
        <w:t>European</w:t>
      </w:r>
      <w:proofErr w:type="spellEnd"/>
      <w:r w:rsidRPr="0079785E">
        <w:rPr>
          <w:i/>
        </w:rPr>
        <w:t xml:space="preserve"> </w:t>
      </w:r>
      <w:proofErr w:type="spellStart"/>
      <w:r w:rsidRPr="0079785E">
        <w:rPr>
          <w:i/>
        </w:rPr>
        <w:t>Journal</w:t>
      </w:r>
      <w:proofErr w:type="spellEnd"/>
      <w:r w:rsidRPr="0079785E">
        <w:rPr>
          <w:i/>
        </w:rPr>
        <w:t xml:space="preserve"> of International </w:t>
      </w:r>
      <w:proofErr w:type="spellStart"/>
      <w:r w:rsidRPr="0079785E">
        <w:rPr>
          <w:i/>
        </w:rPr>
        <w:t>Relations</w:t>
      </w:r>
      <w:proofErr w:type="spellEnd"/>
      <w:r w:rsidRPr="0079785E">
        <w:rPr>
          <w:i/>
        </w:rPr>
        <w:t>, 16</w:t>
      </w:r>
      <w:r>
        <w:t>(</w:t>
      </w:r>
      <w:r w:rsidRPr="00BE518B">
        <w:t>2</w:t>
      </w:r>
      <w:r>
        <w:t>),</w:t>
      </w:r>
      <w:r w:rsidRPr="00BE518B">
        <w:t xml:space="preserve"> 197-221.</w:t>
      </w:r>
    </w:p>
    <w:p w14:paraId="1070C8A1" w14:textId="77777777" w:rsidR="00B470AD" w:rsidRPr="00BE518B" w:rsidRDefault="00B470AD">
      <w:pPr>
        <w:pStyle w:val="ListeParagraf"/>
        <w:numPr>
          <w:ilvl w:val="0"/>
          <w:numId w:val="84"/>
        </w:numPr>
        <w:jc w:val="both"/>
      </w:pPr>
      <w:proofErr w:type="spellStart"/>
      <w:r w:rsidRPr="00BE518B">
        <w:t>The</w:t>
      </w:r>
      <w:proofErr w:type="spellEnd"/>
      <w:r w:rsidRPr="00BE518B">
        <w:t xml:space="preserve"> </w:t>
      </w:r>
      <w:proofErr w:type="spellStart"/>
      <w:r w:rsidRPr="00BE518B">
        <w:t>Humanitarian</w:t>
      </w:r>
      <w:proofErr w:type="spellEnd"/>
      <w:r w:rsidRPr="00BE518B">
        <w:t xml:space="preserve"> Data Exchange. </w:t>
      </w:r>
      <w:r>
        <w:t>(</w:t>
      </w:r>
      <w:proofErr w:type="spellStart"/>
      <w:proofErr w:type="gramStart"/>
      <w:r>
        <w:t>n.d</w:t>
      </w:r>
      <w:proofErr w:type="spellEnd"/>
      <w:r>
        <w:t>.</w:t>
      </w:r>
      <w:proofErr w:type="gramEnd"/>
      <w:r>
        <w:t xml:space="preserve">). Black </w:t>
      </w:r>
      <w:proofErr w:type="spellStart"/>
      <w:r>
        <w:t>Sea</w:t>
      </w:r>
      <w:proofErr w:type="spellEnd"/>
      <w:r>
        <w:t xml:space="preserve"> </w:t>
      </w:r>
      <w:proofErr w:type="spellStart"/>
      <w:r>
        <w:t>Grain</w:t>
      </w:r>
      <w:proofErr w:type="spellEnd"/>
      <w:r>
        <w:t xml:space="preserve"> </w:t>
      </w:r>
      <w:proofErr w:type="spellStart"/>
      <w:r>
        <w:t>Initiative</w:t>
      </w:r>
      <w:proofErr w:type="spellEnd"/>
      <w:r>
        <w:t xml:space="preserve"> </w:t>
      </w:r>
      <w:proofErr w:type="spellStart"/>
      <w:r>
        <w:t>vessel</w:t>
      </w:r>
      <w:proofErr w:type="spellEnd"/>
      <w:r>
        <w:t xml:space="preserve"> </w:t>
      </w:r>
      <w:proofErr w:type="spellStart"/>
      <w:r>
        <w:t>m</w:t>
      </w:r>
      <w:r w:rsidRPr="00BE518B">
        <w:t>ovements</w:t>
      </w:r>
      <w:proofErr w:type="spellEnd"/>
      <w:r w:rsidRPr="00BE518B">
        <w:t>. https://data.humdata.org/dataset/black-sea-grain-initiative-vessel-movements [Erişim Tarihi: 28.12.2024].</w:t>
      </w:r>
    </w:p>
    <w:p w14:paraId="51CD8D7F" w14:textId="77777777" w:rsidR="00B470AD" w:rsidRPr="00BE518B" w:rsidRDefault="00B470AD">
      <w:pPr>
        <w:pStyle w:val="ListeParagraf"/>
        <w:numPr>
          <w:ilvl w:val="0"/>
          <w:numId w:val="84"/>
        </w:numPr>
        <w:jc w:val="both"/>
      </w:pPr>
      <w:r w:rsidRPr="00BE518B">
        <w:t>Türkiye Cumhuriyeti Cumhurbaşkanlığı</w:t>
      </w:r>
      <w:r>
        <w:t xml:space="preserve">. (15 Haziran 2021). </w:t>
      </w:r>
      <w:r w:rsidRPr="00BE518B">
        <w:t>Türkiye Cumhuriy</w:t>
      </w:r>
      <w:r>
        <w:t>eti ile Azerbaycan Cumhuriyeti arasında müttefiklik i</w:t>
      </w:r>
      <w:r w:rsidRPr="00BE518B">
        <w:t>lişki</w:t>
      </w:r>
      <w:r>
        <w:t xml:space="preserve">leri hakkında </w:t>
      </w:r>
      <w:proofErr w:type="spellStart"/>
      <w:r>
        <w:t>Şuşa</w:t>
      </w:r>
      <w:proofErr w:type="spellEnd"/>
      <w:r>
        <w:t xml:space="preserve"> Beyannamesi</w:t>
      </w:r>
      <w:r w:rsidRPr="00BE518B">
        <w:t>. https://www.tccb.gov.tr/assets/dosya/2021-06-15-Azaebaycan-SusaBeyannamesi.pdf [Erişim Tarihi: 25.12.2024].</w:t>
      </w:r>
    </w:p>
    <w:p w14:paraId="55BA2624" w14:textId="77777777" w:rsidR="00B470AD" w:rsidRPr="00BE518B" w:rsidRDefault="00B470AD">
      <w:pPr>
        <w:pStyle w:val="ListeParagraf"/>
        <w:numPr>
          <w:ilvl w:val="0"/>
          <w:numId w:val="84"/>
        </w:numPr>
        <w:jc w:val="both"/>
      </w:pPr>
      <w:r w:rsidRPr="00BE518B">
        <w:t xml:space="preserve">Türkiye Cumhuriyeti Dışişleri Bakanlığı. </w:t>
      </w:r>
      <w:r>
        <w:t>(</w:t>
      </w:r>
      <w:r w:rsidRPr="00BE518B">
        <w:t>11 Aralık 2024</w:t>
      </w:r>
      <w:r>
        <w:t xml:space="preserve">). </w:t>
      </w:r>
      <w:r w:rsidRPr="00BE518B">
        <w:t>Türkiye Cumhuriyeti’nin kolaylaştırıcılığıyla Etiyopya Federal Demokratik Cumhuriyeti ve Somali Federal Cumhuriyeti</w:t>
      </w:r>
      <w:r>
        <w:t>’nin Ankara Bildirisi</w:t>
      </w:r>
      <w:r w:rsidRPr="00BE518B">
        <w:t>. https://www.mfa.gov.tr/etiyopya-federal-demokratik-cumhuriyeti-ve-somali-federal-cumhuriyeti-nin-ankara-bildirisi.tr.mfa [Erişim Tarihi: 02.01.2025].</w:t>
      </w:r>
    </w:p>
    <w:p w14:paraId="61560739" w14:textId="77777777" w:rsidR="00B470AD" w:rsidRPr="00BE518B" w:rsidRDefault="00B470AD">
      <w:pPr>
        <w:pStyle w:val="ListeParagraf"/>
        <w:numPr>
          <w:ilvl w:val="0"/>
          <w:numId w:val="84"/>
        </w:numPr>
        <w:jc w:val="both"/>
      </w:pPr>
      <w:r w:rsidRPr="00BE518B">
        <w:t xml:space="preserve">United Nations. </w:t>
      </w:r>
      <w:r>
        <w:t>(</w:t>
      </w:r>
      <w:proofErr w:type="spellStart"/>
      <w:r>
        <w:t>July</w:t>
      </w:r>
      <w:proofErr w:type="spellEnd"/>
      <w:r>
        <w:t xml:space="preserve"> 22, 2022). </w:t>
      </w:r>
      <w:proofErr w:type="spellStart"/>
      <w:r>
        <w:t>Initiative</w:t>
      </w:r>
      <w:proofErr w:type="spellEnd"/>
      <w:r>
        <w:t xml:space="preserve"> on </w:t>
      </w:r>
      <w:proofErr w:type="spellStart"/>
      <w:r>
        <w:t>the</w:t>
      </w:r>
      <w:proofErr w:type="spellEnd"/>
      <w:r>
        <w:t xml:space="preserve"> </w:t>
      </w:r>
      <w:proofErr w:type="spellStart"/>
      <w:r>
        <w:t>safe</w:t>
      </w:r>
      <w:proofErr w:type="spellEnd"/>
      <w:r>
        <w:t xml:space="preserve"> </w:t>
      </w:r>
      <w:proofErr w:type="spellStart"/>
      <w:r>
        <w:t>transportation</w:t>
      </w:r>
      <w:proofErr w:type="spellEnd"/>
      <w:r>
        <w:t xml:space="preserve"> of </w:t>
      </w:r>
      <w:proofErr w:type="spellStart"/>
      <w:r>
        <w:t>grain</w:t>
      </w:r>
      <w:proofErr w:type="spellEnd"/>
      <w:r>
        <w:t xml:space="preserve"> </w:t>
      </w:r>
      <w:proofErr w:type="spellStart"/>
      <w:r>
        <w:t>and</w:t>
      </w:r>
      <w:proofErr w:type="spellEnd"/>
      <w:r>
        <w:t xml:space="preserve"> </w:t>
      </w:r>
      <w:proofErr w:type="spellStart"/>
      <w:r>
        <w:t>f</w:t>
      </w:r>
      <w:r w:rsidRPr="00BE518B">
        <w:t>oodstuffs</w:t>
      </w:r>
      <w:proofErr w:type="spellEnd"/>
      <w:r w:rsidRPr="00BE518B">
        <w:t xml:space="preserve"> </w:t>
      </w:r>
      <w:proofErr w:type="spellStart"/>
      <w:r w:rsidRPr="00BE518B">
        <w:t>from</w:t>
      </w:r>
      <w:proofErr w:type="spellEnd"/>
      <w:r w:rsidRPr="00BE518B">
        <w:t xml:space="preserve"> </w:t>
      </w:r>
      <w:proofErr w:type="spellStart"/>
      <w:r>
        <w:t>Ukrainian</w:t>
      </w:r>
      <w:proofErr w:type="spellEnd"/>
      <w:r>
        <w:t xml:space="preserve"> </w:t>
      </w:r>
      <w:proofErr w:type="spellStart"/>
      <w:r>
        <w:t>ports</w:t>
      </w:r>
      <w:proofErr w:type="spellEnd"/>
      <w:r w:rsidRPr="00BE518B">
        <w:t>. https://peacemaker.un.org/sites/default/files/document/files/2024/05/blackseagraininitiativefulltext.pdf [Erişim Tarihi: 28.12.2024].</w:t>
      </w:r>
    </w:p>
    <w:p w14:paraId="3C5FEEDF" w14:textId="30D784C9" w:rsidR="00D37D80" w:rsidRDefault="00B470AD">
      <w:pPr>
        <w:pStyle w:val="ListeParagraf"/>
        <w:numPr>
          <w:ilvl w:val="0"/>
          <w:numId w:val="84"/>
        </w:numPr>
        <w:jc w:val="both"/>
      </w:pPr>
      <w:r>
        <w:t>Yeşiltaş, M</w:t>
      </w:r>
      <w:r w:rsidRPr="00BE518B">
        <w:t xml:space="preserve">. </w:t>
      </w:r>
      <w:r>
        <w:t>(</w:t>
      </w:r>
      <w:r w:rsidRPr="00BE518B">
        <w:t>23 Eylül 2022</w:t>
      </w:r>
      <w:r>
        <w:t xml:space="preserve">). </w:t>
      </w:r>
      <w:r w:rsidRPr="00BE518B">
        <w:t xml:space="preserve">Bölgeselden küresele </w:t>
      </w:r>
      <w:r>
        <w:t>çok boyutlu Türk dış politikası</w:t>
      </w:r>
      <w:r w:rsidRPr="00BE518B">
        <w:t xml:space="preserve">. </w:t>
      </w:r>
      <w:r w:rsidRPr="0079785E">
        <w:rPr>
          <w:i/>
        </w:rPr>
        <w:t>Anadolu Ajansı</w:t>
      </w:r>
      <w:r w:rsidRPr="00BE518B">
        <w:t>. https://www.aa.com.tr/tr/analiz/bolgeselden-kuresele-cok-kutuplu-turk-dis-politikasi/2692841 [Erişim Tarihi: 28.12.2024].</w:t>
      </w:r>
    </w:p>
    <w:p w14:paraId="79C7958A" w14:textId="77777777" w:rsidR="00B828C4" w:rsidRPr="00097B24" w:rsidRDefault="00D37D80" w:rsidP="00B828C4">
      <w:pPr>
        <w:jc w:val="center"/>
      </w:pPr>
      <w:r>
        <w:br w:type="page"/>
      </w:r>
    </w:p>
    <w:p w14:paraId="78C0D5DA" w14:textId="77777777" w:rsidR="00B828C4" w:rsidRPr="00E5359D" w:rsidRDefault="00B828C4" w:rsidP="00B828C4">
      <w:pPr>
        <w:jc w:val="center"/>
        <w:rPr>
          <w:b/>
          <w:bCs/>
        </w:rPr>
      </w:pPr>
      <w:r w:rsidRPr="00E5359D">
        <w:rPr>
          <w:b/>
          <w:bCs/>
        </w:rPr>
        <w:lastRenderedPageBreak/>
        <w:t xml:space="preserve">Dezenformasyonla Savaşı Meşrulaştırma Siyaseti: Ukrayna </w:t>
      </w:r>
      <w:r>
        <w:rPr>
          <w:b/>
          <w:bCs/>
        </w:rPr>
        <w:t>v</w:t>
      </w:r>
      <w:r w:rsidRPr="00E5359D">
        <w:rPr>
          <w:b/>
          <w:bCs/>
        </w:rPr>
        <w:t>e Gazze Örneği</w:t>
      </w:r>
    </w:p>
    <w:p w14:paraId="18D8FCAA" w14:textId="77777777" w:rsidR="00B828C4" w:rsidRPr="00097B24" w:rsidRDefault="00B828C4" w:rsidP="00B828C4">
      <w:pPr>
        <w:jc w:val="center"/>
        <w:rPr>
          <w:b/>
          <w:bCs/>
        </w:rPr>
      </w:pPr>
    </w:p>
    <w:p w14:paraId="5761D1F5" w14:textId="77777777" w:rsidR="00B828C4" w:rsidRDefault="00B828C4" w:rsidP="00B828C4"/>
    <w:p w14:paraId="5EC099CA" w14:textId="77777777" w:rsidR="00B828C4" w:rsidRDefault="00B828C4" w:rsidP="00B828C4">
      <w:pPr>
        <w:jc w:val="center"/>
      </w:pPr>
      <w:r>
        <w:t>Murat Turpçu</w:t>
      </w:r>
      <w:r>
        <w:br/>
        <w:t>Öğr. Gör., Kırşehir Ahi Evran Üniversitesi</w:t>
      </w:r>
      <w:r>
        <w:rPr>
          <w:rStyle w:val="DipnotBavurusu"/>
          <w:rFonts w:eastAsiaTheme="majorEastAsia"/>
        </w:rPr>
        <w:footnoteReference w:id="86"/>
      </w:r>
      <w:r>
        <w:br/>
        <w:t>murat.turpcu@ahievran.edu.tr</w:t>
      </w:r>
      <w:r>
        <w:br/>
      </w:r>
      <w:r w:rsidRPr="00714B8C">
        <w:t>0009-0000-8147-1346</w:t>
      </w:r>
    </w:p>
    <w:p w14:paraId="1DD8C8E8" w14:textId="77777777" w:rsidR="00B828C4" w:rsidRDefault="00B828C4" w:rsidP="00B828C4">
      <w:pPr>
        <w:jc w:val="both"/>
      </w:pPr>
    </w:p>
    <w:p w14:paraId="20A01CB0" w14:textId="77777777" w:rsidR="00B828C4" w:rsidRPr="00097B24" w:rsidRDefault="00B828C4" w:rsidP="00B828C4">
      <w:pPr>
        <w:jc w:val="center"/>
        <w:rPr>
          <w:b/>
          <w:bCs/>
        </w:rPr>
      </w:pPr>
      <w:r w:rsidRPr="00097B24">
        <w:rPr>
          <w:b/>
          <w:bCs/>
        </w:rPr>
        <w:t>Özet</w:t>
      </w:r>
    </w:p>
    <w:p w14:paraId="39794C74" w14:textId="77777777" w:rsidR="00B828C4" w:rsidRPr="005D465D" w:rsidRDefault="00B828C4" w:rsidP="00B828C4">
      <w:pPr>
        <w:jc w:val="both"/>
      </w:pPr>
      <w:r w:rsidRPr="00E5359D">
        <w:t xml:space="preserve">Günümüzde bilgi teknolojilerindeki gelişmeler, devletlerin birbiri hakkındaki haberlerden bilgi sahibi olmalarını bir zaruret haline getirmiş ve hatta devletler bunu bir güç olarak görmeye başlamıştır. </w:t>
      </w:r>
      <w:r w:rsidRPr="005D465D">
        <w:t>Sadece ikili ilişkiler değil, uluslararası ilişkiler de dijital dönüşüme ayak uydurmuştur. Klasik diplomasi anlayışından dijital diplomasiye geçiş de bu dönüşümün bir sonucu olarak karşımıza çıkmaktadır. Hedef kitleye ulaşımı kolaylaştıran dijital diplomasi devletlerin hangi bilgi veya haberi paylaşacağı konusunda da seçici davranma, amaçları doğrultusunda bunları kullanma imkânı tanımıştır.</w:t>
      </w:r>
      <w:r>
        <w:t xml:space="preserve"> </w:t>
      </w:r>
      <w:r w:rsidRPr="005D465D">
        <w:t>Fransızca “</w:t>
      </w:r>
      <w:proofErr w:type="spellStart"/>
      <w:r w:rsidRPr="005D465D">
        <w:t>désinformation</w:t>
      </w:r>
      <w:proofErr w:type="spellEnd"/>
      <w:r w:rsidRPr="005D465D">
        <w:t xml:space="preserve">” kelimesinden gelen dezenformasyonun </w:t>
      </w:r>
      <w:r>
        <w:t xml:space="preserve">“bilgi çarpıtma” olarak </w:t>
      </w:r>
      <w:proofErr w:type="spellStart"/>
      <w:r>
        <w:t>Türkçe’de</w:t>
      </w:r>
      <w:proofErr w:type="spellEnd"/>
      <w:r>
        <w:t xml:space="preserve"> karşılık bulması da olasıdır. </w:t>
      </w:r>
      <w:r w:rsidRPr="005D465D">
        <w:t>İnsanların daha kötüsüne ve şiddete inanma eğilimi dezenformasyonun beslendiği asıl kaynak yani çıkış noktasıdır. Bu da çarpıtılmış bilginin yayılma hızının gerçek bilginin yayılma hızının önüne geçmesine neden olmaktadır. Her geçen gün ortaya çıkan yeni yöntemlere bir de yapay zekâ teknolojisindeki gelişmeler eklenince dezenformasyon yeni bir boyut kazanmıştır. Bu teknoloji sayesinde dezenformasyon yaratmak sadece kapalı kapılar arkasında güçlü altyapısı olan kişi, kuruluş ve devletlere ait olmayacak aynı zamanda tabana da yayılacak ve internet bağlantısı olan herkes bu potansiyele sahip olacaktır. Özellikle çatışma ve savaş hallerinde devletler gerek saldırılarını gerekse savunmalarını üçüncü kişilerle paylaşırken dezenformasyona başvurmaktadırlar. Bunun en güzel örnekler</w:t>
      </w:r>
      <w:r>
        <w:t>in</w:t>
      </w:r>
      <w:r w:rsidRPr="005D465D">
        <w:t>i</w:t>
      </w:r>
      <w:r>
        <w:t>n</w:t>
      </w:r>
      <w:r w:rsidRPr="005D465D">
        <w:t xml:space="preserve"> </w:t>
      </w:r>
      <w:r>
        <w:t xml:space="preserve">bu çalışmanın da konusu olan </w:t>
      </w:r>
      <w:r w:rsidRPr="005D465D">
        <w:t>Ukrayna ve Gazze örnekleri</w:t>
      </w:r>
      <w:r>
        <w:t xml:space="preserve"> olabileceği söylenebilir</w:t>
      </w:r>
      <w:r w:rsidRPr="005D465D">
        <w:t>. Tarafların birbirine karşı yürüttüğü faaliyetlerin dezenformasyon yoluyla dış dünyada etki yaratması beklenmektedir. Bu çalışma sonucunda dezenformasyonun kimi zaman kendi yaptığını meşrulaştırmak, kimi zaman da karşı tarafı karalamak için kullanıldığı görülmektedir. Bulgulardan diğeri de dezenformasyonu sadece savaşın tarafları değil, bunlara sempati duyan üçüncü taraflar da yapmaktadırlar.</w:t>
      </w:r>
      <w:r>
        <w:t xml:space="preserve"> </w:t>
      </w:r>
    </w:p>
    <w:p w14:paraId="7D76C0AC" w14:textId="77777777" w:rsidR="00B828C4" w:rsidRPr="005D465D" w:rsidRDefault="00B828C4" w:rsidP="00B828C4">
      <w:pPr>
        <w:jc w:val="both"/>
      </w:pPr>
    </w:p>
    <w:p w14:paraId="4FCA9213" w14:textId="77777777" w:rsidR="00B828C4" w:rsidRPr="00E5359D" w:rsidRDefault="00B828C4" w:rsidP="00B828C4">
      <w:pPr>
        <w:jc w:val="both"/>
      </w:pPr>
    </w:p>
    <w:p w14:paraId="2952CC07" w14:textId="77777777" w:rsidR="00B828C4" w:rsidRDefault="00B828C4" w:rsidP="00B828C4">
      <w:pPr>
        <w:jc w:val="both"/>
      </w:pPr>
    </w:p>
    <w:p w14:paraId="6869FC50" w14:textId="77777777" w:rsidR="00B828C4" w:rsidRPr="0038054B" w:rsidRDefault="00B828C4" w:rsidP="00B828C4">
      <w:pPr>
        <w:jc w:val="both"/>
      </w:pPr>
      <w:r w:rsidRPr="00DE7662">
        <w:rPr>
          <w:b/>
          <w:bCs/>
        </w:rPr>
        <w:t xml:space="preserve">Anahtar </w:t>
      </w:r>
      <w:r>
        <w:rPr>
          <w:b/>
          <w:bCs/>
        </w:rPr>
        <w:t>Kelimeler</w:t>
      </w:r>
      <w:r w:rsidRPr="00DE7662">
        <w:rPr>
          <w:b/>
          <w:bCs/>
        </w:rPr>
        <w:t>:</w:t>
      </w:r>
      <w:r>
        <w:t xml:space="preserve"> </w:t>
      </w:r>
      <w:r w:rsidRPr="0038054B">
        <w:t>Dezenformasyon, Meşrulaştırma</w:t>
      </w:r>
      <w:r>
        <w:t xml:space="preserve"> Siyaseti</w:t>
      </w:r>
      <w:r w:rsidRPr="0038054B">
        <w:t xml:space="preserve">, </w:t>
      </w:r>
      <w:r>
        <w:t xml:space="preserve">Savaş, </w:t>
      </w:r>
      <w:r w:rsidRPr="0038054B">
        <w:t xml:space="preserve">Gazze, Ukrayna. </w:t>
      </w:r>
    </w:p>
    <w:p w14:paraId="1F5D080F" w14:textId="52D46297" w:rsidR="00B828C4" w:rsidRDefault="00B828C4">
      <w:pPr>
        <w:autoSpaceDE/>
        <w:autoSpaceDN/>
      </w:pPr>
      <w:r>
        <w:br w:type="page"/>
      </w:r>
    </w:p>
    <w:p w14:paraId="38D716B8" w14:textId="77777777" w:rsidR="00FA457D" w:rsidRPr="00B1089D" w:rsidRDefault="00FA457D" w:rsidP="00D37D80">
      <w:pPr>
        <w:autoSpaceDE/>
        <w:autoSpaceDN/>
      </w:pPr>
    </w:p>
    <w:p w14:paraId="4F0ADED2" w14:textId="77777777" w:rsidR="00FA457D" w:rsidRPr="00B1089D" w:rsidRDefault="00FA457D" w:rsidP="004C7694">
      <w:pPr>
        <w:pStyle w:val="Tark"/>
      </w:pPr>
      <w:bookmarkStart w:id="257" w:name="_Toc192855277"/>
      <w:proofErr w:type="spellStart"/>
      <w:r w:rsidRPr="00B1089D">
        <w:t>The</w:t>
      </w:r>
      <w:proofErr w:type="spellEnd"/>
      <w:r w:rsidRPr="00B1089D">
        <w:t xml:space="preserve"> </w:t>
      </w:r>
      <w:proofErr w:type="spellStart"/>
      <w:r w:rsidRPr="00B1089D">
        <w:t>Importance</w:t>
      </w:r>
      <w:proofErr w:type="spellEnd"/>
      <w:r w:rsidRPr="00B1089D">
        <w:t xml:space="preserve"> </w:t>
      </w:r>
      <w:proofErr w:type="spellStart"/>
      <w:r w:rsidRPr="00B1089D">
        <w:t>and</w:t>
      </w:r>
      <w:proofErr w:type="spellEnd"/>
      <w:r w:rsidRPr="00B1089D">
        <w:t xml:space="preserve"> </w:t>
      </w:r>
      <w:proofErr w:type="spellStart"/>
      <w:r w:rsidRPr="00B1089D">
        <w:t>Impacts</w:t>
      </w:r>
      <w:proofErr w:type="spellEnd"/>
      <w:r w:rsidRPr="00B1089D">
        <w:t xml:space="preserve"> of </w:t>
      </w:r>
      <w:proofErr w:type="spellStart"/>
      <w:r w:rsidRPr="00B1089D">
        <w:t>the</w:t>
      </w:r>
      <w:proofErr w:type="spellEnd"/>
      <w:r w:rsidRPr="00B1089D">
        <w:t xml:space="preserve"> United Nations </w:t>
      </w:r>
      <w:proofErr w:type="spellStart"/>
      <w:r w:rsidRPr="00B1089D">
        <w:t>Policies</w:t>
      </w:r>
      <w:proofErr w:type="spellEnd"/>
      <w:r w:rsidRPr="00B1089D">
        <w:t xml:space="preserve"> on United </w:t>
      </w:r>
      <w:proofErr w:type="spellStart"/>
      <w:r w:rsidRPr="00B1089D">
        <w:t>Arab</w:t>
      </w:r>
      <w:proofErr w:type="spellEnd"/>
      <w:r w:rsidRPr="00B1089D">
        <w:t xml:space="preserve"> Emirates' </w:t>
      </w:r>
      <w:proofErr w:type="spellStart"/>
      <w:r w:rsidRPr="00B1089D">
        <w:t>Gender</w:t>
      </w:r>
      <w:proofErr w:type="spellEnd"/>
      <w:r w:rsidRPr="00B1089D">
        <w:t xml:space="preserve"> </w:t>
      </w:r>
      <w:proofErr w:type="spellStart"/>
      <w:r w:rsidRPr="00B1089D">
        <w:t>Equality</w:t>
      </w:r>
      <w:bookmarkEnd w:id="257"/>
      <w:proofErr w:type="spellEnd"/>
    </w:p>
    <w:p w14:paraId="6F13010B" w14:textId="77777777" w:rsidR="00FA457D" w:rsidRPr="00B1089D" w:rsidRDefault="00FA457D" w:rsidP="00FA457D">
      <w:pPr>
        <w:widowControl/>
        <w:jc w:val="center"/>
      </w:pPr>
    </w:p>
    <w:p w14:paraId="471BEC45" w14:textId="77777777" w:rsidR="00FA457D" w:rsidRPr="00B1089D" w:rsidRDefault="00FA457D" w:rsidP="00FA457D">
      <w:pPr>
        <w:widowControl/>
        <w:jc w:val="center"/>
      </w:pPr>
      <w:proofErr w:type="spellStart"/>
      <w:r w:rsidRPr="00B1089D">
        <w:t>Sevde</w:t>
      </w:r>
      <w:proofErr w:type="spellEnd"/>
      <w:r w:rsidRPr="00B1089D">
        <w:t xml:space="preserve"> ÖZBEY</w:t>
      </w:r>
      <w:r w:rsidRPr="00B1089D">
        <w:br/>
      </w:r>
      <w:proofErr w:type="spellStart"/>
      <w:r w:rsidRPr="00B1089D">
        <w:t>Istanbul</w:t>
      </w:r>
      <w:proofErr w:type="spellEnd"/>
      <w:r w:rsidRPr="00B1089D">
        <w:t xml:space="preserve"> Kültür </w:t>
      </w:r>
      <w:proofErr w:type="spellStart"/>
      <w:r w:rsidRPr="00B1089D">
        <w:t>University</w:t>
      </w:r>
      <w:proofErr w:type="spellEnd"/>
      <w:r w:rsidRPr="00B1089D">
        <w:t xml:space="preserve">, International </w:t>
      </w:r>
      <w:proofErr w:type="spellStart"/>
      <w:r w:rsidRPr="00B1089D">
        <w:t>Relations</w:t>
      </w:r>
      <w:proofErr w:type="spellEnd"/>
      <w:r w:rsidRPr="00B1089D">
        <w:t xml:space="preserve">, </w:t>
      </w:r>
      <w:r w:rsidRPr="00B1089D">
        <w:br/>
      </w:r>
      <w:proofErr w:type="spellStart"/>
      <w:r w:rsidRPr="00B1089D">
        <w:t>Institute</w:t>
      </w:r>
      <w:proofErr w:type="spellEnd"/>
      <w:r w:rsidRPr="00B1089D">
        <w:t xml:space="preserve"> of </w:t>
      </w:r>
      <w:proofErr w:type="spellStart"/>
      <w:r w:rsidRPr="00B1089D">
        <w:t>Graduate</w:t>
      </w:r>
      <w:proofErr w:type="spellEnd"/>
      <w:r w:rsidRPr="00B1089D">
        <w:t xml:space="preserve"> </w:t>
      </w:r>
      <w:proofErr w:type="spellStart"/>
      <w:r w:rsidRPr="00B1089D">
        <w:t>Studies</w:t>
      </w:r>
      <w:proofErr w:type="spellEnd"/>
      <w:r w:rsidRPr="00B1089D">
        <w:t xml:space="preserve">, </w:t>
      </w:r>
      <w:hyperlink r:id="rId379" w:history="1">
        <w:r w:rsidRPr="00B1089D">
          <w:rPr>
            <w:rStyle w:val="Kpr"/>
          </w:rPr>
          <w:t>2200006954@stu.iku.edu.tr</w:t>
        </w:r>
      </w:hyperlink>
      <w:r w:rsidRPr="00B1089D">
        <w:t>, 0009-0009-5646-0878</w:t>
      </w:r>
    </w:p>
    <w:p w14:paraId="1543F4DA" w14:textId="77777777" w:rsidR="00FA457D" w:rsidRPr="00B1089D" w:rsidRDefault="00FA457D" w:rsidP="00FA457D">
      <w:pPr>
        <w:widowControl/>
        <w:jc w:val="center"/>
      </w:pPr>
    </w:p>
    <w:p w14:paraId="6B15043E" w14:textId="77777777" w:rsidR="00FA457D" w:rsidRPr="00B1089D" w:rsidRDefault="00FA457D" w:rsidP="00FA457D">
      <w:pPr>
        <w:widowControl/>
        <w:jc w:val="center"/>
      </w:pPr>
      <w:r w:rsidRPr="00B1089D">
        <w:t>Prof. Dr. Çağla Gül YESEVİ</w:t>
      </w:r>
      <w:r w:rsidRPr="00B1089D">
        <w:br/>
        <w:t xml:space="preserve">Chair of </w:t>
      </w:r>
      <w:proofErr w:type="spellStart"/>
      <w:r w:rsidRPr="00B1089D">
        <w:t>the</w:t>
      </w:r>
      <w:proofErr w:type="spellEnd"/>
      <w:r w:rsidRPr="00B1089D">
        <w:t xml:space="preserve"> </w:t>
      </w:r>
      <w:proofErr w:type="spellStart"/>
      <w:r w:rsidRPr="00B1089D">
        <w:t>Department</w:t>
      </w:r>
      <w:proofErr w:type="spellEnd"/>
      <w:r w:rsidRPr="00B1089D">
        <w:t xml:space="preserve"> of International </w:t>
      </w:r>
      <w:proofErr w:type="spellStart"/>
      <w:r w:rsidRPr="00B1089D">
        <w:t>Relations</w:t>
      </w:r>
      <w:proofErr w:type="spellEnd"/>
      <w:r w:rsidRPr="00B1089D">
        <w:t xml:space="preserve">, </w:t>
      </w:r>
      <w:proofErr w:type="spellStart"/>
      <w:r w:rsidRPr="00B1089D">
        <w:t>Istanbul</w:t>
      </w:r>
      <w:proofErr w:type="spellEnd"/>
      <w:r w:rsidRPr="00B1089D">
        <w:t xml:space="preserve"> Kültür </w:t>
      </w:r>
      <w:proofErr w:type="spellStart"/>
      <w:r w:rsidRPr="00B1089D">
        <w:t>University</w:t>
      </w:r>
      <w:proofErr w:type="spellEnd"/>
      <w:r w:rsidRPr="00B1089D">
        <w:t>,</w:t>
      </w:r>
      <w:r w:rsidRPr="00B1089D">
        <w:br/>
      </w:r>
      <w:hyperlink r:id="rId380" w:history="1">
        <w:r w:rsidRPr="00B1089D">
          <w:rPr>
            <w:rStyle w:val="Kpr"/>
          </w:rPr>
          <w:t>c.yesevi@iku.edu.tr</w:t>
        </w:r>
      </w:hyperlink>
      <w:r w:rsidRPr="00B1089D">
        <w:t>, 0000-0003-3509-7060</w:t>
      </w:r>
    </w:p>
    <w:p w14:paraId="2050AF71" w14:textId="77777777" w:rsidR="00FA457D" w:rsidRPr="00B1089D" w:rsidRDefault="00FA457D" w:rsidP="00FA457D">
      <w:pPr>
        <w:widowControl/>
        <w:jc w:val="center"/>
      </w:pPr>
    </w:p>
    <w:p w14:paraId="526751B3" w14:textId="77777777" w:rsidR="00FA457D" w:rsidRPr="00B1089D" w:rsidRDefault="00FA457D" w:rsidP="00FA457D">
      <w:pPr>
        <w:widowControl/>
        <w:jc w:val="center"/>
      </w:pPr>
      <w:proofErr w:type="spellStart"/>
      <w:r w:rsidRPr="00B1089D">
        <w:rPr>
          <w:b/>
          <w:bCs/>
        </w:rPr>
        <w:t>Abstract</w:t>
      </w:r>
      <w:proofErr w:type="spellEnd"/>
    </w:p>
    <w:p w14:paraId="60B61D16" w14:textId="77777777" w:rsidR="00FA457D" w:rsidRPr="00B1089D" w:rsidRDefault="00FA457D" w:rsidP="00FD0380">
      <w:pPr>
        <w:widowControl/>
        <w:jc w:val="both"/>
      </w:pP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investigate</w:t>
      </w:r>
      <w:proofErr w:type="spellEnd"/>
      <w:r w:rsidRPr="00B1089D">
        <w:t xml:space="preserve"> </w:t>
      </w:r>
      <w:proofErr w:type="spellStart"/>
      <w:r w:rsidRPr="00B1089D">
        <w:t>the</w:t>
      </w:r>
      <w:proofErr w:type="spellEnd"/>
      <w:r w:rsidRPr="00B1089D">
        <w:t xml:space="preserve"> </w:t>
      </w:r>
      <w:proofErr w:type="spellStart"/>
      <w:r w:rsidRPr="00B1089D">
        <w:t>extent</w:t>
      </w:r>
      <w:proofErr w:type="spellEnd"/>
      <w:r w:rsidRPr="00B1089D">
        <w:t xml:space="preserve"> </w:t>
      </w:r>
      <w:proofErr w:type="spellStart"/>
      <w:r w:rsidRPr="00B1089D">
        <w:t>to</w:t>
      </w:r>
      <w:proofErr w:type="spellEnd"/>
      <w:r w:rsidRPr="00B1089D">
        <w:t xml:space="preserve"> </w:t>
      </w:r>
      <w:proofErr w:type="spellStart"/>
      <w:r w:rsidRPr="00B1089D">
        <w:t>which</w:t>
      </w:r>
      <w:proofErr w:type="spellEnd"/>
      <w:r w:rsidRPr="00B1089D">
        <w:t xml:space="preserve"> general </w:t>
      </w:r>
      <w:proofErr w:type="spellStart"/>
      <w:r w:rsidRPr="00B1089D">
        <w:t>policies</w:t>
      </w:r>
      <w:proofErr w:type="spellEnd"/>
      <w:r w:rsidRPr="00B1089D">
        <w:t xml:space="preserve"> </w:t>
      </w:r>
      <w:proofErr w:type="spellStart"/>
      <w:r w:rsidRPr="00B1089D">
        <w:t>and</w:t>
      </w:r>
      <w:proofErr w:type="spellEnd"/>
      <w:r w:rsidRPr="00B1089D">
        <w:t xml:space="preserve"> </w:t>
      </w:r>
      <w:proofErr w:type="spellStart"/>
      <w:r w:rsidRPr="00B1089D">
        <w:t>recommendations</w:t>
      </w:r>
      <w:proofErr w:type="spellEnd"/>
      <w:r w:rsidRPr="00B1089D">
        <w:t xml:space="preserve"> of </w:t>
      </w:r>
      <w:proofErr w:type="spellStart"/>
      <w:r w:rsidRPr="00B1089D">
        <w:t>the</w:t>
      </w:r>
      <w:proofErr w:type="spellEnd"/>
      <w:r w:rsidRPr="00B1089D">
        <w:t xml:space="preserve"> United Nations (UN) </w:t>
      </w:r>
      <w:proofErr w:type="spellStart"/>
      <w:r w:rsidRPr="00B1089D">
        <w:t>were</w:t>
      </w:r>
      <w:proofErr w:type="spellEnd"/>
      <w:r w:rsidRPr="00B1089D">
        <w:t xml:space="preserve"> </w:t>
      </w:r>
      <w:proofErr w:type="spellStart"/>
      <w:r w:rsidRPr="00B1089D">
        <w:t>effective</w:t>
      </w:r>
      <w:proofErr w:type="spellEnd"/>
      <w:r w:rsidRPr="00B1089D">
        <w:t xml:space="preserve"> </w:t>
      </w:r>
      <w:proofErr w:type="spellStart"/>
      <w:r w:rsidRPr="00B1089D">
        <w:t>for</w:t>
      </w:r>
      <w:proofErr w:type="spellEnd"/>
      <w:r w:rsidRPr="00B1089D">
        <w:t xml:space="preserve"> </w:t>
      </w:r>
      <w:proofErr w:type="spellStart"/>
      <w:r w:rsidRPr="00B1089D">
        <w:t>gender</w:t>
      </w:r>
      <w:proofErr w:type="spellEnd"/>
      <w:r w:rsidRPr="00B1089D">
        <w:t xml:space="preserve"> </w:t>
      </w:r>
      <w:proofErr w:type="spellStart"/>
      <w:r w:rsidRPr="00B1089D">
        <w:t>equality</w:t>
      </w:r>
      <w:proofErr w:type="spellEnd"/>
      <w:r w:rsidRPr="00B1089D">
        <w:t xml:space="preserve"> in </w:t>
      </w:r>
      <w:proofErr w:type="spellStart"/>
      <w:r w:rsidRPr="00B1089D">
        <w:t>the</w:t>
      </w:r>
      <w:proofErr w:type="spellEnd"/>
      <w:r w:rsidRPr="00B1089D">
        <w:t xml:space="preserve"> United </w:t>
      </w:r>
      <w:proofErr w:type="spellStart"/>
      <w:r w:rsidRPr="00B1089D">
        <w:t>Arab</w:t>
      </w:r>
      <w:proofErr w:type="spellEnd"/>
      <w:r w:rsidRPr="00B1089D">
        <w:t xml:space="preserve"> Emirates (UAE). </w:t>
      </w:r>
      <w:proofErr w:type="spellStart"/>
      <w:r w:rsidRPr="00B1089D">
        <w:t>Numerous</w:t>
      </w:r>
      <w:proofErr w:type="spellEnd"/>
      <w:r w:rsidRPr="00B1089D">
        <w:t xml:space="preserve"> </w:t>
      </w:r>
      <w:proofErr w:type="spellStart"/>
      <w:r w:rsidRPr="00B1089D">
        <w:t>case</w:t>
      </w:r>
      <w:proofErr w:type="spellEnd"/>
      <w:r w:rsidRPr="00B1089D">
        <w:t xml:space="preserve"> </w:t>
      </w:r>
      <w:proofErr w:type="spellStart"/>
      <w:r w:rsidRPr="00B1089D">
        <w:t>studies</w:t>
      </w:r>
      <w:proofErr w:type="spellEnd"/>
      <w:r w:rsidRPr="00B1089D">
        <w:t xml:space="preserve"> </w:t>
      </w:r>
      <w:proofErr w:type="spellStart"/>
      <w:r w:rsidRPr="00B1089D">
        <w:t>have</w:t>
      </w:r>
      <w:proofErr w:type="spellEnd"/>
      <w:r w:rsidRPr="00B1089D">
        <w:t xml:space="preserve"> </w:t>
      </w:r>
      <w:proofErr w:type="spellStart"/>
      <w:r w:rsidRPr="00B1089D">
        <w:t>examined</w:t>
      </w:r>
      <w:proofErr w:type="spellEnd"/>
      <w:r w:rsidRPr="00B1089D">
        <w:t xml:space="preserve"> </w:t>
      </w:r>
      <w:proofErr w:type="spellStart"/>
      <w:r w:rsidRPr="00B1089D">
        <w:t>the</w:t>
      </w:r>
      <w:proofErr w:type="spellEnd"/>
      <w:r w:rsidRPr="00B1089D">
        <w:t xml:space="preserve"> </w:t>
      </w:r>
      <w:proofErr w:type="spellStart"/>
      <w:r w:rsidRPr="00B1089D">
        <w:t>impact</w:t>
      </w:r>
      <w:proofErr w:type="spellEnd"/>
      <w:r w:rsidRPr="00B1089D">
        <w:t xml:space="preserve"> </w:t>
      </w:r>
      <w:proofErr w:type="spellStart"/>
      <w:r w:rsidRPr="00B1089D">
        <w:t>and</w:t>
      </w:r>
      <w:proofErr w:type="spellEnd"/>
      <w:r w:rsidRPr="00B1089D">
        <w:t xml:space="preserve"> role of </w:t>
      </w:r>
      <w:proofErr w:type="spellStart"/>
      <w:r w:rsidRPr="00B1089D">
        <w:t>international</w:t>
      </w:r>
      <w:proofErr w:type="spellEnd"/>
      <w:r w:rsidRPr="00B1089D">
        <w:t xml:space="preserve"> </w:t>
      </w:r>
      <w:proofErr w:type="spellStart"/>
      <w:r w:rsidRPr="00B1089D">
        <w:t>organizations</w:t>
      </w:r>
      <w:proofErr w:type="spellEnd"/>
      <w:r w:rsidRPr="00B1089D">
        <w:t xml:space="preserve"> in </w:t>
      </w:r>
      <w:proofErr w:type="spellStart"/>
      <w:r w:rsidRPr="00B1089D">
        <w:t>various</w:t>
      </w:r>
      <w:proofErr w:type="spellEnd"/>
      <w:r w:rsidRPr="00B1089D">
        <w:t xml:space="preserve"> </w:t>
      </w:r>
      <w:proofErr w:type="spellStart"/>
      <w:r w:rsidRPr="00B1089D">
        <w:t>countries</w:t>
      </w:r>
      <w:proofErr w:type="spellEnd"/>
      <w:r w:rsidRPr="00B1089D">
        <w:t xml:space="preserve">, </w:t>
      </w:r>
      <w:proofErr w:type="spellStart"/>
      <w:r w:rsidRPr="00B1089D">
        <w:t>often</w:t>
      </w:r>
      <w:proofErr w:type="spellEnd"/>
      <w:r w:rsidRPr="00B1089D">
        <w:t xml:space="preserve"> </w:t>
      </w:r>
      <w:proofErr w:type="spellStart"/>
      <w:r w:rsidRPr="00B1089D">
        <w:t>highlighting</w:t>
      </w:r>
      <w:proofErr w:type="spellEnd"/>
      <w:r w:rsidRPr="00B1089D">
        <w:t xml:space="preserve"> </w:t>
      </w:r>
      <w:proofErr w:type="spellStart"/>
      <w:r w:rsidRPr="00B1089D">
        <w:t>European</w:t>
      </w:r>
      <w:proofErr w:type="spellEnd"/>
      <w:r w:rsidRPr="00B1089D">
        <w:t xml:space="preserve"> </w:t>
      </w:r>
      <w:proofErr w:type="spellStart"/>
      <w:r w:rsidRPr="00B1089D">
        <w:t>Union</w:t>
      </w:r>
      <w:proofErr w:type="spellEnd"/>
      <w:r w:rsidRPr="00B1089D">
        <w:t xml:space="preserve"> </w:t>
      </w:r>
      <w:proofErr w:type="spellStart"/>
      <w:r w:rsidRPr="00B1089D">
        <w:t>countries</w:t>
      </w:r>
      <w:proofErr w:type="spellEnd"/>
      <w:r w:rsidRPr="00B1089D">
        <w:t xml:space="preserve"> as </w:t>
      </w:r>
      <w:proofErr w:type="spellStart"/>
      <w:r w:rsidRPr="00B1089D">
        <w:t>models</w:t>
      </w:r>
      <w:proofErr w:type="spellEnd"/>
      <w:r w:rsidRPr="00B1089D">
        <w:t xml:space="preserve"> of </w:t>
      </w:r>
      <w:proofErr w:type="spellStart"/>
      <w:r w:rsidRPr="00B1089D">
        <w:t>best</w:t>
      </w:r>
      <w:proofErr w:type="spellEnd"/>
      <w:r w:rsidRPr="00B1089D">
        <w:t xml:space="preserve"> </w:t>
      </w:r>
      <w:proofErr w:type="spellStart"/>
      <w:r w:rsidRPr="00B1089D">
        <w:t>practices</w:t>
      </w:r>
      <w:proofErr w:type="spellEnd"/>
      <w:r w:rsidRPr="00B1089D">
        <w:t xml:space="preserve">. </w:t>
      </w:r>
      <w:proofErr w:type="spellStart"/>
      <w:r w:rsidRPr="00B1089D">
        <w:t>Other</w:t>
      </w:r>
      <w:proofErr w:type="spellEnd"/>
      <w:r w:rsidRPr="00B1089D">
        <w:t xml:space="preserve"> </w:t>
      </w:r>
      <w:proofErr w:type="spellStart"/>
      <w:r w:rsidRPr="00B1089D">
        <w:t>research</w:t>
      </w:r>
      <w:proofErr w:type="spellEnd"/>
      <w:r w:rsidRPr="00B1089D">
        <w:t xml:space="preserve"> has </w:t>
      </w:r>
      <w:proofErr w:type="spellStart"/>
      <w:r w:rsidRPr="00B1089D">
        <w:t>been</w:t>
      </w:r>
      <w:proofErr w:type="spellEnd"/>
      <w:r w:rsidRPr="00B1089D">
        <w:t xml:space="preserve"> </w:t>
      </w:r>
      <w:proofErr w:type="spellStart"/>
      <w:r w:rsidRPr="00B1089D">
        <w:t>conducted</w:t>
      </w:r>
      <w:proofErr w:type="spellEnd"/>
      <w:r w:rsidRPr="00B1089D">
        <w:t xml:space="preserve"> in </w:t>
      </w:r>
      <w:proofErr w:type="spellStart"/>
      <w:r w:rsidRPr="00B1089D">
        <w:t>war-torn</w:t>
      </w:r>
      <w:proofErr w:type="spellEnd"/>
      <w:r w:rsidRPr="00B1089D">
        <w:t xml:space="preserve">, </w:t>
      </w:r>
      <w:proofErr w:type="spellStart"/>
      <w:r w:rsidRPr="00B1089D">
        <w:t>conflict-affected</w:t>
      </w:r>
      <w:proofErr w:type="spellEnd"/>
      <w:r w:rsidRPr="00B1089D">
        <w:t xml:space="preserve">, </w:t>
      </w:r>
      <w:proofErr w:type="spellStart"/>
      <w:r w:rsidRPr="00B1089D">
        <w:t>and</w:t>
      </w:r>
      <w:proofErr w:type="spellEnd"/>
      <w:r w:rsidRPr="00B1089D">
        <w:t xml:space="preserve"> </w:t>
      </w:r>
      <w:proofErr w:type="spellStart"/>
      <w:r w:rsidRPr="00B1089D">
        <w:t>undemocratic</w:t>
      </w:r>
      <w:proofErr w:type="spellEnd"/>
      <w:r w:rsidRPr="00B1089D">
        <w:t xml:space="preserve"> </w:t>
      </w:r>
      <w:proofErr w:type="spellStart"/>
      <w:r w:rsidRPr="00B1089D">
        <w:t>countries</w:t>
      </w:r>
      <w:proofErr w:type="spellEnd"/>
      <w:r w:rsidRPr="00B1089D">
        <w:t xml:space="preserve">, </w:t>
      </w:r>
      <w:proofErr w:type="spellStart"/>
      <w:r w:rsidRPr="00B1089D">
        <w:t>revealing</w:t>
      </w:r>
      <w:proofErr w:type="spellEnd"/>
      <w:r w:rsidRPr="00B1089D">
        <w:t xml:space="preserve"> </w:t>
      </w:r>
      <w:proofErr w:type="spellStart"/>
      <w:r w:rsidRPr="00B1089D">
        <w:t>shortcomings</w:t>
      </w:r>
      <w:proofErr w:type="spellEnd"/>
      <w:r w:rsidRPr="00B1089D">
        <w:t xml:space="preserve"> in </w:t>
      </w:r>
      <w:proofErr w:type="spellStart"/>
      <w:r w:rsidRPr="00B1089D">
        <w:t>terms</w:t>
      </w:r>
      <w:proofErr w:type="spellEnd"/>
      <w:r w:rsidRPr="00B1089D">
        <w:t xml:space="preserve"> of </w:t>
      </w:r>
      <w:proofErr w:type="spellStart"/>
      <w:r w:rsidRPr="00B1089D">
        <w:t>gender</w:t>
      </w:r>
      <w:proofErr w:type="spellEnd"/>
      <w:r w:rsidRPr="00B1089D">
        <w:t xml:space="preserve"> </w:t>
      </w:r>
      <w:proofErr w:type="spellStart"/>
      <w:r w:rsidRPr="00B1089D">
        <w:t>equality</w:t>
      </w:r>
      <w:proofErr w:type="spellEnd"/>
      <w:r w:rsidRPr="00B1089D">
        <w:t xml:space="preserve">. </w:t>
      </w:r>
      <w:proofErr w:type="spellStart"/>
      <w:r w:rsidRPr="00B1089D">
        <w:t>However</w:t>
      </w:r>
      <w:proofErr w:type="spellEnd"/>
      <w:r w:rsidRPr="00B1089D">
        <w:t xml:space="preserve">, </w:t>
      </w:r>
      <w:proofErr w:type="spellStart"/>
      <w:r w:rsidRPr="00B1089D">
        <w:t>the</w:t>
      </w:r>
      <w:proofErr w:type="spellEnd"/>
      <w:r w:rsidRPr="00B1089D">
        <w:t xml:space="preserve"> UAE as a </w:t>
      </w:r>
      <w:proofErr w:type="spellStart"/>
      <w:r w:rsidRPr="00B1089D">
        <w:t>Middle</w:t>
      </w:r>
      <w:proofErr w:type="spellEnd"/>
      <w:r w:rsidRPr="00B1089D">
        <w:t xml:space="preserve"> </w:t>
      </w:r>
      <w:proofErr w:type="spellStart"/>
      <w:r w:rsidRPr="00B1089D">
        <w:t>Eastern</w:t>
      </w:r>
      <w:proofErr w:type="spellEnd"/>
      <w:r w:rsidRPr="00B1089D">
        <w:t xml:space="preserve"> </w:t>
      </w:r>
      <w:proofErr w:type="spellStart"/>
      <w:r w:rsidRPr="00B1089D">
        <w:t>Muslim-majority</w:t>
      </w:r>
      <w:proofErr w:type="spellEnd"/>
      <w:r w:rsidRPr="00B1089D">
        <w:t xml:space="preserve"> </w:t>
      </w:r>
      <w:proofErr w:type="spellStart"/>
      <w:r w:rsidRPr="00B1089D">
        <w:t>country</w:t>
      </w:r>
      <w:proofErr w:type="spellEnd"/>
      <w:r w:rsidRPr="00B1089D">
        <w:t xml:space="preserve"> </w:t>
      </w:r>
      <w:proofErr w:type="spellStart"/>
      <w:r w:rsidRPr="00B1089D">
        <w:t>and</w:t>
      </w:r>
      <w:proofErr w:type="spellEnd"/>
      <w:r w:rsidRPr="00B1089D">
        <w:t xml:space="preserve"> a federal </w:t>
      </w:r>
      <w:proofErr w:type="spellStart"/>
      <w:r w:rsidRPr="00B1089D">
        <w:t>presidential</w:t>
      </w:r>
      <w:proofErr w:type="spellEnd"/>
      <w:r w:rsidRPr="00B1089D">
        <w:t xml:space="preserve"> </w:t>
      </w:r>
      <w:proofErr w:type="spellStart"/>
      <w:r w:rsidRPr="00B1089D">
        <w:t>elected</w:t>
      </w:r>
      <w:proofErr w:type="spellEnd"/>
      <w:r w:rsidRPr="00B1089D">
        <w:t xml:space="preserve"> </w:t>
      </w:r>
      <w:proofErr w:type="spellStart"/>
      <w:r w:rsidRPr="00B1089D">
        <w:t>monarchy</w:t>
      </w:r>
      <w:proofErr w:type="spellEnd"/>
      <w:r w:rsidRPr="00B1089D">
        <w:t xml:space="preserve">, has </w:t>
      </w:r>
      <w:proofErr w:type="spellStart"/>
      <w:r w:rsidRPr="00B1089D">
        <w:t>made</w:t>
      </w:r>
      <w:proofErr w:type="spellEnd"/>
      <w:r w:rsidRPr="00B1089D">
        <w:t xml:space="preserve"> </w:t>
      </w:r>
      <w:proofErr w:type="spellStart"/>
      <w:r w:rsidRPr="00B1089D">
        <w:t>significant</w:t>
      </w:r>
      <w:proofErr w:type="spellEnd"/>
      <w:r w:rsidRPr="00B1089D">
        <w:t xml:space="preserve"> </w:t>
      </w:r>
      <w:proofErr w:type="spellStart"/>
      <w:r w:rsidRPr="00B1089D">
        <w:t>progress</w:t>
      </w:r>
      <w:proofErr w:type="spellEnd"/>
      <w:r w:rsidRPr="00B1089D">
        <w:t xml:space="preserve"> in </w:t>
      </w:r>
      <w:proofErr w:type="spellStart"/>
      <w:r w:rsidRPr="00B1089D">
        <w:t>gender</w:t>
      </w:r>
      <w:proofErr w:type="spellEnd"/>
      <w:r w:rsidRPr="00B1089D">
        <w:t xml:space="preserve"> </w:t>
      </w:r>
      <w:proofErr w:type="spellStart"/>
      <w:r w:rsidRPr="00B1089D">
        <w:t>equality</w:t>
      </w:r>
      <w:proofErr w:type="spellEnd"/>
      <w:r w:rsidRPr="00B1089D">
        <w:t xml:space="preserve"> </w:t>
      </w:r>
      <w:proofErr w:type="spellStart"/>
      <w:r w:rsidRPr="00B1089D">
        <w:t>by</w:t>
      </w:r>
      <w:proofErr w:type="spellEnd"/>
      <w:r w:rsidRPr="00B1089D">
        <w:t xml:space="preserve"> </w:t>
      </w:r>
      <w:proofErr w:type="spellStart"/>
      <w:r w:rsidRPr="00B1089D">
        <w:t>adopting</w:t>
      </w:r>
      <w:proofErr w:type="spellEnd"/>
      <w:r w:rsidRPr="00B1089D">
        <w:t xml:space="preserve"> </w:t>
      </w:r>
      <w:proofErr w:type="spellStart"/>
      <w:r w:rsidRPr="00B1089D">
        <w:t>the</w:t>
      </w:r>
      <w:proofErr w:type="spellEnd"/>
      <w:r w:rsidRPr="00B1089D">
        <w:t xml:space="preserve"> </w:t>
      </w:r>
      <w:proofErr w:type="spellStart"/>
      <w:r w:rsidRPr="00B1089D">
        <w:t>recommendations</w:t>
      </w:r>
      <w:proofErr w:type="spellEnd"/>
      <w:r w:rsidRPr="00B1089D">
        <w:t xml:space="preserve"> of </w:t>
      </w:r>
      <w:proofErr w:type="spellStart"/>
      <w:r w:rsidRPr="00B1089D">
        <w:t>the</w:t>
      </w:r>
      <w:proofErr w:type="spellEnd"/>
      <w:r w:rsidRPr="00B1089D">
        <w:t xml:space="preserve"> </w:t>
      </w:r>
      <w:proofErr w:type="spellStart"/>
      <w:r w:rsidRPr="00B1089D">
        <w:t>Beijing</w:t>
      </w:r>
      <w:proofErr w:type="spellEnd"/>
      <w:r w:rsidRPr="00B1089D">
        <w:t xml:space="preserve"> Conference 1995 </w:t>
      </w:r>
      <w:proofErr w:type="spellStart"/>
      <w:r w:rsidRPr="00B1089D">
        <w:t>and</w:t>
      </w:r>
      <w:proofErr w:type="spellEnd"/>
      <w:r w:rsidRPr="00B1089D">
        <w:t xml:space="preserve"> </w:t>
      </w:r>
      <w:proofErr w:type="spellStart"/>
      <w:r w:rsidRPr="00B1089D">
        <w:t>setting</w:t>
      </w:r>
      <w:proofErr w:type="spellEnd"/>
      <w:r w:rsidRPr="00B1089D">
        <w:t xml:space="preserve"> </w:t>
      </w:r>
      <w:proofErr w:type="spellStart"/>
      <w:r w:rsidRPr="00B1089D">
        <w:t>national</w:t>
      </w:r>
      <w:proofErr w:type="spellEnd"/>
      <w:r w:rsidRPr="00B1089D">
        <w:t xml:space="preserve"> </w:t>
      </w:r>
      <w:proofErr w:type="spellStart"/>
      <w:r w:rsidRPr="00B1089D">
        <w:t>strategies</w:t>
      </w:r>
      <w:proofErr w:type="spellEnd"/>
      <w:r w:rsidRPr="00B1089D">
        <w:t xml:space="preserve"> </w:t>
      </w:r>
      <w:proofErr w:type="spellStart"/>
      <w:r w:rsidRPr="00B1089D">
        <w:t>and</w:t>
      </w:r>
      <w:proofErr w:type="spellEnd"/>
      <w:r w:rsidRPr="00B1089D">
        <w:t xml:space="preserve"> </w:t>
      </w:r>
      <w:proofErr w:type="spellStart"/>
      <w:r w:rsidRPr="00B1089D">
        <w:t>action</w:t>
      </w:r>
      <w:proofErr w:type="spellEnd"/>
      <w:r w:rsidRPr="00B1089D">
        <w:t xml:space="preserve"> </w:t>
      </w:r>
      <w:proofErr w:type="spellStart"/>
      <w:r w:rsidRPr="00B1089D">
        <w:t>plans</w:t>
      </w:r>
      <w:proofErr w:type="spellEnd"/>
      <w:r w:rsidRPr="00B1089D">
        <w:t xml:space="preserve"> </w:t>
      </w:r>
      <w:proofErr w:type="spellStart"/>
      <w:r w:rsidRPr="00B1089D">
        <w:t>to</w:t>
      </w:r>
      <w:proofErr w:type="spellEnd"/>
      <w:r w:rsidRPr="00B1089D">
        <w:t xml:space="preserve"> </w:t>
      </w:r>
      <w:proofErr w:type="spellStart"/>
      <w:r w:rsidRPr="00B1089D">
        <w:t>implement</w:t>
      </w:r>
      <w:proofErr w:type="spellEnd"/>
      <w:r w:rsidRPr="00B1089D">
        <w:t xml:space="preserve"> </w:t>
      </w:r>
      <w:proofErr w:type="spellStart"/>
      <w:r w:rsidRPr="00B1089D">
        <w:t>these</w:t>
      </w:r>
      <w:proofErr w:type="spellEnd"/>
      <w:r w:rsidRPr="00B1089D">
        <w:t xml:space="preserve"> </w:t>
      </w:r>
      <w:proofErr w:type="spellStart"/>
      <w:r w:rsidRPr="00B1089D">
        <w:t>recommendations</w:t>
      </w:r>
      <w:proofErr w:type="spellEnd"/>
      <w:r w:rsidRPr="00B1089D">
        <w:t xml:space="preserve">. </w:t>
      </w:r>
      <w:proofErr w:type="spellStart"/>
      <w:r w:rsidRPr="00B1089D">
        <w:t>This</w:t>
      </w:r>
      <w:proofErr w:type="spellEnd"/>
      <w:r w:rsidRPr="00B1089D">
        <w:t xml:space="preserve"> </w:t>
      </w:r>
      <w:proofErr w:type="spellStart"/>
      <w:r w:rsidRPr="00B1089D">
        <w:t>makes</w:t>
      </w:r>
      <w:proofErr w:type="spellEnd"/>
      <w:r w:rsidRPr="00B1089D">
        <w:t xml:space="preserve"> </w:t>
      </w:r>
      <w:proofErr w:type="spellStart"/>
      <w:r w:rsidRPr="00B1089D">
        <w:t>the</w:t>
      </w:r>
      <w:proofErr w:type="spellEnd"/>
      <w:r w:rsidRPr="00B1089D">
        <w:t xml:space="preserve"> UAE a </w:t>
      </w:r>
      <w:proofErr w:type="spellStart"/>
      <w:r w:rsidRPr="00B1089D">
        <w:t>unique</w:t>
      </w:r>
      <w:proofErr w:type="spellEnd"/>
      <w:r w:rsidRPr="00B1089D">
        <w:t xml:space="preserve"> </w:t>
      </w:r>
      <w:proofErr w:type="spellStart"/>
      <w:r w:rsidRPr="00B1089D">
        <w:t>setting</w:t>
      </w:r>
      <w:proofErr w:type="spellEnd"/>
      <w:r w:rsidRPr="00B1089D">
        <w:t xml:space="preserve"> </w:t>
      </w:r>
      <w:proofErr w:type="spellStart"/>
      <w:r w:rsidRPr="00B1089D">
        <w:t>to</w:t>
      </w:r>
      <w:proofErr w:type="spellEnd"/>
      <w:r w:rsidRPr="00B1089D">
        <w:t xml:space="preserve"> </w:t>
      </w:r>
      <w:proofErr w:type="spellStart"/>
      <w:r w:rsidRPr="00B1089D">
        <w:t>study</w:t>
      </w:r>
      <w:proofErr w:type="spellEnd"/>
      <w:r w:rsidRPr="00B1089D">
        <w:t xml:space="preserve"> </w:t>
      </w:r>
      <w:proofErr w:type="spellStart"/>
      <w:r w:rsidRPr="00B1089D">
        <w:t>and</w:t>
      </w:r>
      <w:proofErr w:type="spellEnd"/>
      <w:r w:rsidRPr="00B1089D">
        <w:t xml:space="preserve"> </w:t>
      </w:r>
      <w:proofErr w:type="spellStart"/>
      <w:r w:rsidRPr="00B1089D">
        <w:t>contribute</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literature</w:t>
      </w:r>
      <w:proofErr w:type="spellEnd"/>
      <w:r w:rsidRPr="00B1089D">
        <w:t xml:space="preserve"> on </w:t>
      </w:r>
      <w:proofErr w:type="spellStart"/>
      <w:r w:rsidRPr="00B1089D">
        <w:t>gender</w:t>
      </w:r>
      <w:proofErr w:type="spellEnd"/>
      <w:r w:rsidRPr="00B1089D">
        <w:t xml:space="preserve"> </w:t>
      </w:r>
      <w:proofErr w:type="spellStart"/>
      <w:r w:rsidRPr="00B1089D">
        <w:t>equality</w:t>
      </w:r>
      <w:proofErr w:type="spellEnd"/>
      <w:r w:rsidRPr="00B1089D">
        <w:t xml:space="preserve">. </w:t>
      </w:r>
      <w:proofErr w:type="spellStart"/>
      <w:r w:rsidRPr="00B1089D">
        <w:t>Gender</w:t>
      </w:r>
      <w:proofErr w:type="spellEnd"/>
      <w:r w:rsidRPr="00B1089D">
        <w:t xml:space="preserve"> </w:t>
      </w:r>
      <w:proofErr w:type="spellStart"/>
      <w:r w:rsidRPr="00B1089D">
        <w:t>equality</w:t>
      </w:r>
      <w:proofErr w:type="spellEnd"/>
      <w:r w:rsidRPr="00B1089D">
        <w:t xml:space="preserve"> can be </w:t>
      </w:r>
      <w:proofErr w:type="spellStart"/>
      <w:r w:rsidRPr="00B1089D">
        <w:t>measured</w:t>
      </w:r>
      <w:proofErr w:type="spellEnd"/>
      <w:r w:rsidRPr="00B1089D">
        <w:t xml:space="preserve"> in </w:t>
      </w:r>
      <w:proofErr w:type="spellStart"/>
      <w:r w:rsidRPr="00B1089D">
        <w:t>terms</w:t>
      </w:r>
      <w:proofErr w:type="spellEnd"/>
      <w:r w:rsidRPr="00B1089D">
        <w:t xml:space="preserve"> of </w:t>
      </w:r>
      <w:proofErr w:type="spellStart"/>
      <w:r w:rsidRPr="00B1089D">
        <w:t>many</w:t>
      </w:r>
      <w:proofErr w:type="spellEnd"/>
      <w:r w:rsidRPr="00B1089D">
        <w:t xml:space="preserve"> </w:t>
      </w:r>
      <w:proofErr w:type="spellStart"/>
      <w:r w:rsidRPr="00B1089D">
        <w:t>aspects</w:t>
      </w:r>
      <w:proofErr w:type="spellEnd"/>
      <w:r w:rsidRPr="00B1089D">
        <w:t xml:space="preserve"> but in </w:t>
      </w:r>
      <w:proofErr w:type="spellStart"/>
      <w:r w:rsidRPr="00B1089D">
        <w:t>this</w:t>
      </w:r>
      <w:proofErr w:type="spellEnd"/>
      <w:r w:rsidRPr="00B1089D">
        <w:t xml:space="preserve"> </w:t>
      </w:r>
      <w:proofErr w:type="spellStart"/>
      <w:r w:rsidRPr="00B1089D">
        <w:t>study</w:t>
      </w:r>
      <w:proofErr w:type="spellEnd"/>
      <w:r w:rsidRPr="00B1089D">
        <w:t xml:space="preserve">, it </w:t>
      </w:r>
      <w:proofErr w:type="spellStart"/>
      <w:r w:rsidRPr="00B1089D">
        <w:t>will</w:t>
      </w:r>
      <w:proofErr w:type="spellEnd"/>
      <w:r w:rsidRPr="00B1089D">
        <w:t xml:space="preserve"> be </w:t>
      </w:r>
      <w:proofErr w:type="spellStart"/>
      <w:r w:rsidRPr="00B1089D">
        <w:t>analyzed</w:t>
      </w:r>
      <w:proofErr w:type="spellEnd"/>
      <w:r w:rsidRPr="00B1089D">
        <w:t xml:space="preserve"> in </w:t>
      </w:r>
      <w:proofErr w:type="spellStart"/>
      <w:r w:rsidRPr="00B1089D">
        <w:t>terms</w:t>
      </w:r>
      <w:proofErr w:type="spellEnd"/>
      <w:r w:rsidRPr="00B1089D">
        <w:t xml:space="preserve"> of </w:t>
      </w:r>
      <w:proofErr w:type="spellStart"/>
      <w:r w:rsidRPr="00B1089D">
        <w:t>representation</w:t>
      </w:r>
      <w:proofErr w:type="spellEnd"/>
      <w:r w:rsidRPr="00B1089D">
        <w:t xml:space="preserve">, </w:t>
      </w:r>
      <w:proofErr w:type="spellStart"/>
      <w:r w:rsidRPr="00B1089D">
        <w:t>employment</w:t>
      </w:r>
      <w:proofErr w:type="spellEnd"/>
      <w:r w:rsidRPr="00B1089D">
        <w:t xml:space="preserve">, </w:t>
      </w:r>
      <w:proofErr w:type="spellStart"/>
      <w:r w:rsidRPr="00B1089D">
        <w:t>and</w:t>
      </w:r>
      <w:proofErr w:type="spellEnd"/>
      <w:r w:rsidRPr="00B1089D">
        <w:t xml:space="preserve"> </w:t>
      </w:r>
      <w:proofErr w:type="spellStart"/>
      <w:r w:rsidRPr="00B1089D">
        <w:t>women’s</w:t>
      </w:r>
      <w:proofErr w:type="spellEnd"/>
      <w:r w:rsidRPr="00B1089D">
        <w:t xml:space="preserve"> </w:t>
      </w:r>
      <w:proofErr w:type="spellStart"/>
      <w:r w:rsidRPr="00B1089D">
        <w:t>rights</w:t>
      </w:r>
      <w:proofErr w:type="spellEnd"/>
      <w:r w:rsidRPr="00B1089D">
        <w:t xml:space="preserve"> </w:t>
      </w:r>
      <w:proofErr w:type="spellStart"/>
      <w:r w:rsidRPr="00B1089D">
        <w:t>through</w:t>
      </w:r>
      <w:proofErr w:type="spellEnd"/>
      <w:r w:rsidRPr="00B1089D">
        <w:t xml:space="preserve"> </w:t>
      </w:r>
      <w:proofErr w:type="spellStart"/>
      <w:r w:rsidRPr="00B1089D">
        <w:t>primary</w:t>
      </w:r>
      <w:proofErr w:type="spellEnd"/>
      <w:r w:rsidRPr="00B1089D">
        <w:t xml:space="preserve"> </w:t>
      </w:r>
      <w:proofErr w:type="spellStart"/>
      <w:r w:rsidRPr="00B1089D">
        <w:t>and</w:t>
      </w:r>
      <w:proofErr w:type="spellEnd"/>
      <w:r w:rsidRPr="00B1089D">
        <w:t xml:space="preserve"> </w:t>
      </w:r>
      <w:proofErr w:type="spellStart"/>
      <w:r w:rsidRPr="00B1089D">
        <w:t>secondary</w:t>
      </w:r>
      <w:proofErr w:type="spellEnd"/>
      <w:r w:rsidRPr="00B1089D">
        <w:t xml:space="preserve"> </w:t>
      </w:r>
      <w:proofErr w:type="spellStart"/>
      <w:r w:rsidRPr="00B1089D">
        <w:t>sources</w:t>
      </w:r>
      <w:proofErr w:type="spellEnd"/>
      <w:r w:rsidRPr="00B1089D">
        <w:t xml:space="preserve"> as </w:t>
      </w:r>
      <w:proofErr w:type="spellStart"/>
      <w:r w:rsidRPr="00B1089D">
        <w:t>well</w:t>
      </w:r>
      <w:proofErr w:type="spellEnd"/>
      <w:r w:rsidRPr="00B1089D">
        <w:t xml:space="preserve"> as in-</w:t>
      </w:r>
      <w:proofErr w:type="spellStart"/>
      <w:r w:rsidRPr="00B1089D">
        <w:t>depth</w:t>
      </w:r>
      <w:proofErr w:type="spellEnd"/>
      <w:r w:rsidRPr="00B1089D">
        <w:t xml:space="preserve"> </w:t>
      </w:r>
      <w:proofErr w:type="spellStart"/>
      <w:r w:rsidRPr="00B1089D">
        <w:t>interviews</w:t>
      </w:r>
      <w:proofErr w:type="spellEnd"/>
      <w:r w:rsidRPr="00B1089D">
        <w:t xml:space="preserve"> </w:t>
      </w:r>
      <w:proofErr w:type="spellStart"/>
      <w:r w:rsidRPr="00B1089D">
        <w:t>conducted</w:t>
      </w:r>
      <w:proofErr w:type="spellEnd"/>
      <w:r w:rsidRPr="00B1089D">
        <w:t xml:space="preserve"> </w:t>
      </w:r>
      <w:proofErr w:type="spellStart"/>
      <w:r w:rsidRPr="00B1089D">
        <w:t>with</w:t>
      </w:r>
      <w:proofErr w:type="spellEnd"/>
      <w:r w:rsidRPr="00B1089D">
        <w:t xml:space="preserve"> </w:t>
      </w:r>
      <w:proofErr w:type="spellStart"/>
      <w:r w:rsidRPr="00B1089D">
        <w:t>Emirati</w:t>
      </w:r>
      <w:proofErr w:type="spellEnd"/>
      <w:r w:rsidRPr="00B1089D">
        <w:t xml:space="preserve"> </w:t>
      </w:r>
      <w:proofErr w:type="spellStart"/>
      <w:r w:rsidRPr="00B1089D">
        <w:t>women</w:t>
      </w:r>
      <w:proofErr w:type="spellEnd"/>
      <w:r w:rsidRPr="00B1089D">
        <w:t xml:space="preserve">. </w:t>
      </w:r>
      <w:proofErr w:type="spellStart"/>
      <w:r w:rsidRPr="00B1089D">
        <w:t>The</w:t>
      </w:r>
      <w:proofErr w:type="spellEnd"/>
      <w:r w:rsidRPr="00B1089D">
        <w:t xml:space="preserve"> main </w:t>
      </w:r>
      <w:proofErr w:type="spellStart"/>
      <w:r w:rsidRPr="00B1089D">
        <w:t>contribution</w:t>
      </w:r>
      <w:proofErr w:type="spellEnd"/>
      <w:r w:rsidRPr="00B1089D">
        <w:t xml:space="preserve"> of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will</w:t>
      </w:r>
      <w:proofErr w:type="spellEnd"/>
      <w:r w:rsidRPr="00B1089D">
        <w:t xml:space="preserve"> be </w:t>
      </w:r>
      <w:proofErr w:type="spellStart"/>
      <w:r w:rsidRPr="00B1089D">
        <w:t>to</w:t>
      </w:r>
      <w:proofErr w:type="spellEnd"/>
      <w:r w:rsidRPr="00B1089D">
        <w:t xml:space="preserve"> </w:t>
      </w:r>
      <w:proofErr w:type="spellStart"/>
      <w:r w:rsidRPr="00B1089D">
        <w:t>assess</w:t>
      </w:r>
      <w:proofErr w:type="spellEnd"/>
      <w:r w:rsidRPr="00B1089D">
        <w:t xml:space="preserve"> </w:t>
      </w:r>
      <w:proofErr w:type="spellStart"/>
      <w:r w:rsidRPr="00B1089D">
        <w:t>the</w:t>
      </w:r>
      <w:proofErr w:type="spellEnd"/>
      <w:r w:rsidRPr="00B1089D">
        <w:t xml:space="preserve"> </w:t>
      </w:r>
      <w:proofErr w:type="spellStart"/>
      <w:r w:rsidRPr="00B1089D">
        <w:t>effectiveness</w:t>
      </w:r>
      <w:proofErr w:type="spellEnd"/>
      <w:r w:rsidRPr="00B1089D">
        <w:t xml:space="preserve"> </w:t>
      </w:r>
      <w:proofErr w:type="spellStart"/>
      <w:r w:rsidRPr="00B1089D">
        <w:t>and</w:t>
      </w:r>
      <w:proofErr w:type="spellEnd"/>
      <w:r w:rsidRPr="00B1089D">
        <w:t xml:space="preserve"> </w:t>
      </w:r>
      <w:proofErr w:type="spellStart"/>
      <w:r w:rsidRPr="00B1089D">
        <w:t>impact</w:t>
      </w:r>
      <w:proofErr w:type="spellEnd"/>
      <w:r w:rsidRPr="00B1089D">
        <w:t xml:space="preserve"> of </w:t>
      </w:r>
      <w:proofErr w:type="spellStart"/>
      <w:r w:rsidRPr="00B1089D">
        <w:t>the</w:t>
      </w:r>
      <w:proofErr w:type="spellEnd"/>
      <w:r w:rsidRPr="00B1089D">
        <w:t xml:space="preserve"> UN </w:t>
      </w:r>
      <w:proofErr w:type="spellStart"/>
      <w:r w:rsidRPr="00B1089D">
        <w:t>policies</w:t>
      </w:r>
      <w:proofErr w:type="spellEnd"/>
      <w:r w:rsidRPr="00B1089D">
        <w:t xml:space="preserve"> in </w:t>
      </w:r>
      <w:proofErr w:type="spellStart"/>
      <w:r w:rsidRPr="00B1089D">
        <w:t>advancing</w:t>
      </w:r>
      <w:proofErr w:type="spellEnd"/>
      <w:r w:rsidRPr="00B1089D">
        <w:t xml:space="preserve"> </w:t>
      </w:r>
      <w:proofErr w:type="spellStart"/>
      <w:r w:rsidRPr="00B1089D">
        <w:t>the</w:t>
      </w:r>
      <w:proofErr w:type="spellEnd"/>
      <w:r w:rsidRPr="00B1089D">
        <w:t xml:space="preserve"> </w:t>
      </w:r>
      <w:proofErr w:type="spellStart"/>
      <w:r w:rsidRPr="00B1089D">
        <w:t>gender</w:t>
      </w:r>
      <w:proofErr w:type="spellEnd"/>
      <w:r w:rsidRPr="00B1089D">
        <w:t xml:space="preserve"> </w:t>
      </w:r>
      <w:proofErr w:type="spellStart"/>
      <w:r w:rsidRPr="00B1089D">
        <w:t>ambitions</w:t>
      </w:r>
      <w:proofErr w:type="spellEnd"/>
      <w:r w:rsidRPr="00B1089D">
        <w:t xml:space="preserve"> of </w:t>
      </w:r>
      <w:proofErr w:type="spellStart"/>
      <w:r w:rsidRPr="00B1089D">
        <w:t>the</w:t>
      </w:r>
      <w:proofErr w:type="spellEnd"/>
      <w:r w:rsidRPr="00B1089D">
        <w:t xml:space="preserve"> UAE, </w:t>
      </w:r>
      <w:proofErr w:type="spellStart"/>
      <w:r w:rsidRPr="00B1089D">
        <w:t>while</w:t>
      </w:r>
      <w:proofErr w:type="spellEnd"/>
      <w:r w:rsidRPr="00B1089D">
        <w:t xml:space="preserve"> </w:t>
      </w:r>
      <w:proofErr w:type="spellStart"/>
      <w:r w:rsidRPr="00B1089D">
        <w:t>also</w:t>
      </w:r>
      <w:proofErr w:type="spellEnd"/>
      <w:r w:rsidRPr="00B1089D">
        <w:t xml:space="preserve"> </w:t>
      </w:r>
      <w:proofErr w:type="spellStart"/>
      <w:r w:rsidRPr="00B1089D">
        <w:t>examining</w:t>
      </w:r>
      <w:proofErr w:type="spellEnd"/>
      <w:r w:rsidRPr="00B1089D">
        <w:t xml:space="preserve"> </w:t>
      </w:r>
      <w:proofErr w:type="spellStart"/>
      <w:r w:rsidRPr="00B1089D">
        <w:t>the</w:t>
      </w:r>
      <w:proofErr w:type="spellEnd"/>
      <w:r w:rsidRPr="00B1089D">
        <w:t xml:space="preserve"> </w:t>
      </w:r>
      <w:proofErr w:type="spellStart"/>
      <w:r w:rsidRPr="00B1089D">
        <w:t>extent</w:t>
      </w:r>
      <w:proofErr w:type="spellEnd"/>
      <w:r w:rsidRPr="00B1089D">
        <w:t xml:space="preserve"> </w:t>
      </w:r>
      <w:proofErr w:type="spellStart"/>
      <w:r w:rsidRPr="00B1089D">
        <w:t>to</w:t>
      </w:r>
      <w:proofErr w:type="spellEnd"/>
      <w:r w:rsidRPr="00B1089D">
        <w:t xml:space="preserve"> </w:t>
      </w:r>
      <w:proofErr w:type="spellStart"/>
      <w:r w:rsidRPr="00B1089D">
        <w:t>which</w:t>
      </w:r>
      <w:proofErr w:type="spellEnd"/>
      <w:r w:rsidRPr="00B1089D">
        <w:t xml:space="preserve"> </w:t>
      </w:r>
      <w:proofErr w:type="spellStart"/>
      <w:r w:rsidRPr="00B1089D">
        <w:t>these</w:t>
      </w:r>
      <w:proofErr w:type="spellEnd"/>
      <w:r w:rsidRPr="00B1089D">
        <w:t xml:space="preserve"> </w:t>
      </w:r>
      <w:proofErr w:type="spellStart"/>
      <w:r w:rsidRPr="00B1089D">
        <w:t>policies</w:t>
      </w:r>
      <w:proofErr w:type="spellEnd"/>
      <w:r w:rsidRPr="00B1089D">
        <w:t xml:space="preserve"> </w:t>
      </w:r>
      <w:proofErr w:type="spellStart"/>
      <w:r w:rsidRPr="00B1089D">
        <w:t>equally</w:t>
      </w:r>
      <w:proofErr w:type="spellEnd"/>
      <w:r w:rsidRPr="00B1089D">
        <w:t xml:space="preserve"> </w:t>
      </w:r>
      <w:proofErr w:type="spellStart"/>
      <w:r w:rsidRPr="00B1089D">
        <w:t>benefit</w:t>
      </w:r>
      <w:proofErr w:type="spellEnd"/>
      <w:r w:rsidRPr="00B1089D">
        <w:t xml:space="preserve"> </w:t>
      </w:r>
      <w:proofErr w:type="spellStart"/>
      <w:r w:rsidRPr="00B1089D">
        <w:t>all</w:t>
      </w:r>
      <w:proofErr w:type="spellEnd"/>
      <w:r w:rsidRPr="00B1089D">
        <w:t xml:space="preserve"> </w:t>
      </w:r>
      <w:proofErr w:type="spellStart"/>
      <w:r w:rsidRPr="00B1089D">
        <w:t>women</w:t>
      </w:r>
      <w:proofErr w:type="spellEnd"/>
      <w:r w:rsidRPr="00B1089D">
        <w:t xml:space="preserve"> </w:t>
      </w:r>
      <w:proofErr w:type="spellStart"/>
      <w:r w:rsidRPr="00B1089D">
        <w:t>across</w:t>
      </w:r>
      <w:proofErr w:type="spellEnd"/>
      <w:r w:rsidRPr="00B1089D">
        <w:t xml:space="preserve"> </w:t>
      </w:r>
      <w:proofErr w:type="spellStart"/>
      <w:r w:rsidRPr="00B1089D">
        <w:t>the</w:t>
      </w:r>
      <w:proofErr w:type="spellEnd"/>
      <w:r w:rsidRPr="00B1089D">
        <w:t xml:space="preserve"> </w:t>
      </w:r>
      <w:proofErr w:type="spellStart"/>
      <w:r w:rsidRPr="00B1089D">
        <w:t>country</w:t>
      </w:r>
      <w:proofErr w:type="spellEnd"/>
      <w:r w:rsidRPr="00B1089D">
        <w:t>.</w:t>
      </w:r>
    </w:p>
    <w:p w14:paraId="4586C5C2" w14:textId="77777777" w:rsidR="00FA457D" w:rsidRPr="00B1089D" w:rsidRDefault="00FA457D" w:rsidP="00FD0380">
      <w:pPr>
        <w:widowControl/>
        <w:jc w:val="both"/>
      </w:pPr>
    </w:p>
    <w:p w14:paraId="5E5D8B7A" w14:textId="77777777" w:rsidR="00FA457D" w:rsidRPr="00B1089D" w:rsidRDefault="00FA457D" w:rsidP="00FD0380">
      <w:pPr>
        <w:widowControl/>
        <w:jc w:val="both"/>
      </w:pPr>
      <w:proofErr w:type="spellStart"/>
      <w:r w:rsidRPr="00B1089D">
        <w:rPr>
          <w:b/>
          <w:bCs/>
        </w:rPr>
        <w:t>Keywords</w:t>
      </w:r>
      <w:proofErr w:type="spellEnd"/>
      <w:r w:rsidRPr="00B1089D">
        <w:rPr>
          <w:b/>
          <w:bCs/>
        </w:rPr>
        <w:t>:</w:t>
      </w:r>
      <w:r w:rsidRPr="00B1089D">
        <w:t xml:space="preserve"> </w:t>
      </w:r>
      <w:proofErr w:type="spellStart"/>
      <w:r w:rsidRPr="00B1089D">
        <w:t>Gender</w:t>
      </w:r>
      <w:proofErr w:type="spellEnd"/>
      <w:r w:rsidRPr="00B1089D">
        <w:t xml:space="preserve"> </w:t>
      </w:r>
      <w:proofErr w:type="spellStart"/>
      <w:r w:rsidRPr="00B1089D">
        <w:t>Equality</w:t>
      </w:r>
      <w:proofErr w:type="spellEnd"/>
      <w:r w:rsidRPr="00B1089D">
        <w:t xml:space="preserve">, United </w:t>
      </w:r>
      <w:proofErr w:type="spellStart"/>
      <w:r w:rsidRPr="00B1089D">
        <w:t>Arab</w:t>
      </w:r>
      <w:proofErr w:type="spellEnd"/>
      <w:r w:rsidRPr="00B1089D">
        <w:t xml:space="preserve"> Emirates, United Nations, </w:t>
      </w:r>
      <w:proofErr w:type="spellStart"/>
      <w:r w:rsidRPr="00B1089D">
        <w:t>Women’s</w:t>
      </w:r>
      <w:proofErr w:type="spellEnd"/>
      <w:r w:rsidRPr="00B1089D">
        <w:t xml:space="preserve"> </w:t>
      </w:r>
      <w:proofErr w:type="spellStart"/>
      <w:r w:rsidRPr="00B1089D">
        <w:t>rights</w:t>
      </w:r>
      <w:proofErr w:type="spellEnd"/>
    </w:p>
    <w:p w14:paraId="45BCA5A8" w14:textId="77777777" w:rsidR="00FA457D" w:rsidRPr="00B1089D" w:rsidRDefault="00FA457D" w:rsidP="00FD0380">
      <w:pPr>
        <w:widowControl/>
        <w:jc w:val="both"/>
      </w:pPr>
    </w:p>
    <w:p w14:paraId="712BEBCE" w14:textId="3D586F61" w:rsidR="00D37D80" w:rsidRDefault="00FA457D" w:rsidP="00FD0380">
      <w:pPr>
        <w:widowControl/>
        <w:jc w:val="both"/>
      </w:pPr>
      <w:proofErr w:type="spellStart"/>
      <w:r w:rsidRPr="00B1089D">
        <w:t>This</w:t>
      </w:r>
      <w:proofErr w:type="spellEnd"/>
      <w:r w:rsidRPr="00B1089D">
        <w:t xml:space="preserve"> </w:t>
      </w:r>
      <w:proofErr w:type="spellStart"/>
      <w:r w:rsidRPr="00B1089D">
        <w:t>project</w:t>
      </w:r>
      <w:proofErr w:type="spellEnd"/>
      <w:r w:rsidRPr="00B1089D">
        <w:t xml:space="preserve">, </w:t>
      </w:r>
      <w:proofErr w:type="spellStart"/>
      <w:r w:rsidRPr="00B1089D">
        <w:t>titled</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w:t>
      </w:r>
      <w:proofErr w:type="spellStart"/>
      <w:r w:rsidRPr="00B1089D">
        <w:t>and</w:t>
      </w:r>
      <w:proofErr w:type="spellEnd"/>
      <w:r w:rsidRPr="00B1089D">
        <w:t xml:space="preserve"> </w:t>
      </w:r>
      <w:proofErr w:type="spellStart"/>
      <w:r w:rsidRPr="00B1089D">
        <w:t>Impacts</w:t>
      </w:r>
      <w:proofErr w:type="spellEnd"/>
      <w:r w:rsidRPr="00B1089D">
        <w:t xml:space="preserve"> of United Nations </w:t>
      </w:r>
      <w:proofErr w:type="spellStart"/>
      <w:r w:rsidRPr="00B1089D">
        <w:t>Policies</w:t>
      </w:r>
      <w:proofErr w:type="spellEnd"/>
      <w:r w:rsidRPr="00B1089D">
        <w:t xml:space="preserve"> on </w:t>
      </w:r>
      <w:proofErr w:type="spellStart"/>
      <w:r w:rsidRPr="00B1089D">
        <w:t>Gender</w:t>
      </w:r>
      <w:proofErr w:type="spellEnd"/>
      <w:r w:rsidRPr="00B1089D">
        <w:t xml:space="preserve"> </w:t>
      </w:r>
      <w:proofErr w:type="spellStart"/>
      <w:r w:rsidRPr="00B1089D">
        <w:t>Equality</w:t>
      </w:r>
      <w:proofErr w:type="spellEnd"/>
      <w:r w:rsidRPr="00B1089D">
        <w:t xml:space="preserve"> in </w:t>
      </w:r>
      <w:proofErr w:type="spellStart"/>
      <w:r w:rsidRPr="00B1089D">
        <w:t>the</w:t>
      </w:r>
      <w:proofErr w:type="spellEnd"/>
      <w:r w:rsidRPr="00B1089D">
        <w:t xml:space="preserve"> United </w:t>
      </w:r>
      <w:proofErr w:type="spellStart"/>
      <w:r w:rsidRPr="00B1089D">
        <w:t>Arab</w:t>
      </w:r>
      <w:proofErr w:type="spellEnd"/>
      <w:r w:rsidRPr="00B1089D">
        <w:t xml:space="preserve"> Emirates" (</w:t>
      </w:r>
      <w:proofErr w:type="spellStart"/>
      <w:r w:rsidRPr="00B1089D">
        <w:t>project</w:t>
      </w:r>
      <w:proofErr w:type="spellEnd"/>
      <w:r w:rsidRPr="00B1089D">
        <w:t xml:space="preserve"> </w:t>
      </w:r>
      <w:proofErr w:type="spellStart"/>
      <w:r w:rsidRPr="00B1089D">
        <w:t>code</w:t>
      </w:r>
      <w:proofErr w:type="spellEnd"/>
      <w:r w:rsidRPr="00B1089D">
        <w:t xml:space="preserve"> İKÜ-BAP02-2402), is </w:t>
      </w:r>
      <w:proofErr w:type="spellStart"/>
      <w:r w:rsidRPr="00B1089D">
        <w:t>supported</w:t>
      </w:r>
      <w:proofErr w:type="spellEnd"/>
      <w:r w:rsidRPr="00B1089D">
        <w:t xml:space="preserve"> </w:t>
      </w:r>
      <w:proofErr w:type="spellStart"/>
      <w:r w:rsidRPr="00B1089D">
        <w:t>by</w:t>
      </w:r>
      <w:proofErr w:type="spellEnd"/>
      <w:r w:rsidRPr="00B1089D">
        <w:t xml:space="preserve"> </w:t>
      </w:r>
      <w:proofErr w:type="spellStart"/>
      <w:r w:rsidRPr="00B1089D">
        <w:t>the</w:t>
      </w:r>
      <w:proofErr w:type="spellEnd"/>
      <w:r w:rsidRPr="00B1089D">
        <w:t xml:space="preserve"> İKÜ </w:t>
      </w:r>
      <w:proofErr w:type="spellStart"/>
      <w:r w:rsidRPr="00B1089D">
        <w:t>Technology</w:t>
      </w:r>
      <w:proofErr w:type="spellEnd"/>
      <w:r w:rsidRPr="00B1089D">
        <w:t xml:space="preserve"> </w:t>
      </w:r>
      <w:proofErr w:type="spellStart"/>
      <w:r w:rsidRPr="00B1089D">
        <w:t>and</w:t>
      </w:r>
      <w:proofErr w:type="spellEnd"/>
      <w:r w:rsidRPr="00B1089D">
        <w:t xml:space="preserve"> Project </w:t>
      </w:r>
      <w:proofErr w:type="spellStart"/>
      <w:r w:rsidRPr="00B1089D">
        <w:t>Support</w:t>
      </w:r>
      <w:proofErr w:type="spellEnd"/>
      <w:r w:rsidRPr="00B1089D">
        <w:t xml:space="preserve">. I am </w:t>
      </w:r>
      <w:proofErr w:type="spellStart"/>
      <w:r w:rsidRPr="00B1089D">
        <w:t>contributing</w:t>
      </w:r>
      <w:proofErr w:type="spellEnd"/>
      <w:r w:rsidRPr="00B1089D">
        <w:t xml:space="preserve"> as a </w:t>
      </w:r>
      <w:proofErr w:type="spellStart"/>
      <w:r w:rsidRPr="00B1089D">
        <w:t>researcher</w:t>
      </w:r>
      <w:proofErr w:type="spellEnd"/>
      <w:r w:rsidRPr="00B1089D">
        <w:t xml:space="preserve"> </w:t>
      </w:r>
      <w:proofErr w:type="spellStart"/>
      <w:r w:rsidRPr="00B1089D">
        <w:t>under</w:t>
      </w:r>
      <w:proofErr w:type="spellEnd"/>
      <w:r w:rsidRPr="00B1089D">
        <w:t xml:space="preserve"> </w:t>
      </w:r>
      <w:proofErr w:type="spellStart"/>
      <w:r w:rsidRPr="00B1089D">
        <w:t>the</w:t>
      </w:r>
      <w:proofErr w:type="spellEnd"/>
      <w:r w:rsidRPr="00B1089D">
        <w:t xml:space="preserve"> </w:t>
      </w:r>
      <w:proofErr w:type="spellStart"/>
      <w:r w:rsidRPr="00B1089D">
        <w:t>supervision</w:t>
      </w:r>
      <w:proofErr w:type="spellEnd"/>
      <w:r w:rsidRPr="00B1089D">
        <w:t xml:space="preserve"> of Prof. Dr. Çağla Gül YESEVİ.</w:t>
      </w:r>
    </w:p>
    <w:p w14:paraId="177235A5" w14:textId="4E2A049A" w:rsidR="00FA457D" w:rsidRDefault="00D37D80" w:rsidP="00D37D80">
      <w:pPr>
        <w:autoSpaceDE/>
        <w:autoSpaceDN/>
      </w:pPr>
      <w:r>
        <w:br w:type="page"/>
      </w:r>
    </w:p>
    <w:p w14:paraId="1380BA2F" w14:textId="77777777" w:rsidR="00FA457D" w:rsidRDefault="00FA457D" w:rsidP="004C7694">
      <w:pPr>
        <w:pStyle w:val="Tark"/>
      </w:pPr>
      <w:bookmarkStart w:id="258" w:name="_Toc192855278"/>
      <w:proofErr w:type="spellStart"/>
      <w:r>
        <w:lastRenderedPageBreak/>
        <w:t>Metaverse</w:t>
      </w:r>
      <w:proofErr w:type="spellEnd"/>
      <w:r>
        <w:t>, Rekreasyon ve Toplumsal Cinsiyet Eşitliği: Dijital Dünyadaki Fırsatlar ve Tehditler</w:t>
      </w:r>
      <w:bookmarkEnd w:id="258"/>
    </w:p>
    <w:p w14:paraId="4C735C3D" w14:textId="77777777" w:rsidR="00FA457D" w:rsidRPr="008D56F1" w:rsidRDefault="00FA457D" w:rsidP="00FA457D">
      <w:pPr>
        <w:jc w:val="center"/>
        <w:rPr>
          <w:b/>
          <w:bCs/>
        </w:rPr>
      </w:pPr>
    </w:p>
    <w:p w14:paraId="00A66EB9" w14:textId="77777777" w:rsidR="00FA457D" w:rsidRDefault="00FA457D" w:rsidP="00FA457D">
      <w:pPr>
        <w:jc w:val="center"/>
      </w:pPr>
      <w:r>
        <w:t>Oğuzhan YILMAZ</w:t>
      </w:r>
      <w:r>
        <w:br/>
      </w:r>
      <w:r w:rsidRPr="00314B10">
        <w:t>Doktora Öğrencisi, Atatü</w:t>
      </w:r>
      <w:r>
        <w:t>rk Üniversitesi, Spor Yönetimi Ana Bilim Dalı</w:t>
      </w:r>
      <w:r>
        <w:rPr>
          <w:rStyle w:val="DipnotBavurusu"/>
          <w:rFonts w:eastAsiaTheme="majorEastAsia"/>
        </w:rPr>
        <w:t xml:space="preserve"> </w:t>
      </w:r>
      <w:r>
        <w:rPr>
          <w:rStyle w:val="DipnotBavurusu"/>
          <w:rFonts w:eastAsiaTheme="majorEastAsia"/>
        </w:rPr>
        <w:footnoteReference w:id="87"/>
      </w:r>
      <w:r>
        <w:br/>
      </w:r>
      <w:hyperlink r:id="rId381" w:history="1">
        <w:r w:rsidRPr="00314B10">
          <w:rPr>
            <w:rStyle w:val="Kpr"/>
            <w:rFonts w:eastAsiaTheme="majorEastAsia"/>
          </w:rPr>
          <w:t>oguzhanyilmaz9352@gmail.com</w:t>
        </w:r>
      </w:hyperlink>
      <w:r w:rsidRPr="00314B10">
        <w:t xml:space="preserve"> </w:t>
      </w:r>
      <w:r w:rsidRPr="00314B10">
        <w:br/>
      </w:r>
      <w:proofErr w:type="spellStart"/>
      <w:r w:rsidRPr="00314B10">
        <w:t>Orcid</w:t>
      </w:r>
      <w:proofErr w:type="spellEnd"/>
      <w:r w:rsidRPr="00314B10">
        <w:t xml:space="preserve"> ID: 0009-0009-7969-7667</w:t>
      </w:r>
    </w:p>
    <w:p w14:paraId="0BF26B87" w14:textId="77777777" w:rsidR="00FA457D" w:rsidRDefault="00FA457D" w:rsidP="00FA457D">
      <w:pPr>
        <w:jc w:val="center"/>
      </w:pPr>
    </w:p>
    <w:p w14:paraId="6E13D5FC" w14:textId="77777777" w:rsidR="00FA457D" w:rsidRDefault="00FA457D" w:rsidP="00FA457D">
      <w:pPr>
        <w:jc w:val="center"/>
        <w:rPr>
          <w:rFonts w:eastAsiaTheme="majorEastAsia"/>
        </w:rPr>
      </w:pPr>
      <w:r>
        <w:t>Şükran DERTLİ</w:t>
      </w:r>
      <w:r>
        <w:br/>
      </w:r>
      <w:r w:rsidRPr="00314B10">
        <w:t xml:space="preserve">Yüksek Lisans Öğrencisi, </w:t>
      </w:r>
      <w:r>
        <w:t>Bayburt</w:t>
      </w:r>
      <w:r w:rsidRPr="00314B10">
        <w:t xml:space="preserve"> Üniversitesi, </w:t>
      </w:r>
      <w:r>
        <w:t>Mühendislik</w:t>
      </w:r>
      <w:r w:rsidRPr="00314B10">
        <w:t xml:space="preserve"> Yönetimi </w:t>
      </w:r>
      <w:r>
        <w:t>Ana Bilim Dalı</w:t>
      </w:r>
      <w:r>
        <w:rPr>
          <w:vertAlign w:val="superscript"/>
        </w:rPr>
        <w:t>2</w:t>
      </w:r>
      <w:r w:rsidRPr="0028393A">
        <w:rPr>
          <w:vertAlign w:val="superscript"/>
        </w:rPr>
        <w:t>*</w:t>
      </w:r>
      <w:r>
        <w:br/>
      </w:r>
      <w:hyperlink r:id="rId382" w:history="1">
        <w:r w:rsidRPr="00314B10">
          <w:rPr>
            <w:rStyle w:val="Kpr"/>
            <w:rFonts w:eastAsiaTheme="majorEastAsia"/>
          </w:rPr>
          <w:t>sukrandertli25@gmail.com</w:t>
        </w:r>
      </w:hyperlink>
      <w:r w:rsidRPr="00314B10">
        <w:t xml:space="preserve"> </w:t>
      </w:r>
      <w:r w:rsidRPr="00314B10">
        <w:br/>
      </w:r>
      <w:proofErr w:type="spellStart"/>
      <w:r w:rsidRPr="00314B10">
        <w:t>Orcid</w:t>
      </w:r>
      <w:proofErr w:type="spellEnd"/>
      <w:r w:rsidRPr="00314B10">
        <w:t xml:space="preserve"> ID: </w:t>
      </w:r>
      <w:r w:rsidRPr="00314B10">
        <w:rPr>
          <w:rFonts w:eastAsiaTheme="majorEastAsia"/>
        </w:rPr>
        <w:t>0000-0001-9901-5349</w:t>
      </w:r>
    </w:p>
    <w:p w14:paraId="0A0515E1" w14:textId="77777777" w:rsidR="00FA457D" w:rsidRPr="008D56F1" w:rsidRDefault="00FA457D" w:rsidP="00FA457D">
      <w:pPr>
        <w:jc w:val="center"/>
        <w:rPr>
          <w:rFonts w:eastAsiaTheme="majorEastAsia"/>
        </w:rPr>
      </w:pPr>
    </w:p>
    <w:p w14:paraId="00251536" w14:textId="77777777" w:rsidR="00FA457D" w:rsidRPr="00097B24" w:rsidRDefault="00FA457D" w:rsidP="00FA457D">
      <w:pPr>
        <w:jc w:val="center"/>
        <w:rPr>
          <w:b/>
          <w:bCs/>
        </w:rPr>
      </w:pPr>
      <w:r w:rsidRPr="00097B24">
        <w:rPr>
          <w:b/>
          <w:bCs/>
        </w:rPr>
        <w:t>Özet</w:t>
      </w:r>
    </w:p>
    <w:p w14:paraId="29AB5C23" w14:textId="77777777" w:rsidR="00FA457D" w:rsidRDefault="00FA457D" w:rsidP="00FA457D">
      <w:pPr>
        <w:jc w:val="both"/>
        <w:rPr>
          <w:color w:val="000000" w:themeColor="text1"/>
        </w:rPr>
      </w:pPr>
      <w:r w:rsidRPr="00CF4938">
        <w:rPr>
          <w:color w:val="000000" w:themeColor="text1"/>
        </w:rPr>
        <w:t xml:space="preserve">Dijitalleşmenin hızla ilerlediği günümüzde, toplumsal yapılar ve yaşam biçimleri hızlı bir değişim ve dönüşüm geçirmektedir.  Bu dönüşümde </w:t>
      </w:r>
      <w:proofErr w:type="spellStart"/>
      <w:r w:rsidRPr="00CF4938">
        <w:rPr>
          <w:color w:val="000000" w:themeColor="text1"/>
        </w:rPr>
        <w:t>metaverse</w:t>
      </w:r>
      <w:proofErr w:type="spellEnd"/>
      <w:r w:rsidRPr="00CF4938">
        <w:rPr>
          <w:color w:val="000000" w:themeColor="text1"/>
        </w:rPr>
        <w:t xml:space="preserve"> gibi teknolojiler, toplumsal cinsiyet eşitliği, rekreasyon gibi alanlarda önemli fırsatları ve zorlukları ortaya çıkarabilmektedir. Bu araştırmanın temel amacı </w:t>
      </w:r>
      <w:proofErr w:type="spellStart"/>
      <w:r w:rsidRPr="00CF4938">
        <w:rPr>
          <w:color w:val="000000" w:themeColor="text1"/>
        </w:rPr>
        <w:t>metaverse</w:t>
      </w:r>
      <w:proofErr w:type="spellEnd"/>
      <w:r w:rsidRPr="00CF4938">
        <w:rPr>
          <w:color w:val="000000" w:themeColor="text1"/>
        </w:rPr>
        <w:t xml:space="preserve">, rekreasyon ve toplumsal cinsiyet eşitliğinin dijital dönüşüm sürecindeki etkilerini hem de bu alandaki fırsatları ve karşılaşılan zorlukları derinlemesine incelemektir. İlgili </w:t>
      </w:r>
      <w:proofErr w:type="spellStart"/>
      <w:r w:rsidRPr="00CF4938">
        <w:rPr>
          <w:color w:val="000000" w:themeColor="text1"/>
        </w:rPr>
        <w:t>alanyazın</w:t>
      </w:r>
      <w:proofErr w:type="spellEnd"/>
      <w:r w:rsidRPr="00CF4938">
        <w:rPr>
          <w:color w:val="000000" w:themeColor="text1"/>
        </w:rPr>
        <w:t xml:space="preserve"> incelendiğinde dijitalleşmenin toplumsal cinsiyet eşitliği üzerindeki etkilerinin sınırlı sayıda çalışmada ele alınmasına rağmen </w:t>
      </w:r>
      <w:proofErr w:type="spellStart"/>
      <w:r w:rsidRPr="00CF4938">
        <w:rPr>
          <w:color w:val="000000" w:themeColor="text1"/>
        </w:rPr>
        <w:t>metaverse’ün</w:t>
      </w:r>
      <w:proofErr w:type="spellEnd"/>
      <w:r w:rsidRPr="00CF4938">
        <w:rPr>
          <w:color w:val="000000" w:themeColor="text1"/>
        </w:rPr>
        <w:t xml:space="preserve"> bu alandaki potansiyel etkileri yeterince araştırılmamıştır. Bu noktada, literatürde dijital rekreasyon ve toplumsal cinsiyet eşitliği konularının bir arada incelenmesi noktasında eksiklik bulunduğu belirlenmiştir. Buradan hareketle bu araştırma </w:t>
      </w:r>
      <w:proofErr w:type="spellStart"/>
      <w:r w:rsidRPr="00CF4938">
        <w:rPr>
          <w:color w:val="000000" w:themeColor="text1"/>
        </w:rPr>
        <w:t>metaverse</w:t>
      </w:r>
      <w:proofErr w:type="spellEnd"/>
      <w:r w:rsidRPr="00CF4938">
        <w:rPr>
          <w:color w:val="000000" w:themeColor="text1"/>
        </w:rPr>
        <w:t xml:space="preserve"> ve dijitalleşmenin toplumsal yapılar üzerinde nasıl şekil değiştirdiğini gözler önüne sererek daha geniş bir çerçeve sunmayı ve </w:t>
      </w:r>
      <w:proofErr w:type="spellStart"/>
      <w:r w:rsidRPr="00CF4938">
        <w:rPr>
          <w:color w:val="000000" w:themeColor="text1"/>
        </w:rPr>
        <w:t>alanyazındaki</w:t>
      </w:r>
      <w:proofErr w:type="spellEnd"/>
      <w:r w:rsidRPr="00CF4938">
        <w:rPr>
          <w:color w:val="000000" w:themeColor="text1"/>
        </w:rPr>
        <w:t xml:space="preserve"> bu boşluğu doldurmayı hedeflemektedir. Dolayısıyla bu araştırma dijital dünyadaki etkileşimlerin toplumsal cinsiyet eşitliği ve sosyal yapı üzerindeki etkilerini anlamaya ve gelecekteki araştırmalara yol göstermeye katkı sağlaması açısından son derece önem arz etmektedir. Derleme olarak tasarlanan bu araştırmada kavramsal analiz tekniğinden yararlanılmıştır. Çalışma sonucunda </w:t>
      </w:r>
      <w:proofErr w:type="spellStart"/>
      <w:r w:rsidRPr="00CF4938">
        <w:rPr>
          <w:color w:val="000000" w:themeColor="text1"/>
        </w:rPr>
        <w:t>metaverse</w:t>
      </w:r>
      <w:proofErr w:type="spellEnd"/>
      <w:r w:rsidRPr="00CF4938">
        <w:rPr>
          <w:color w:val="000000" w:themeColor="text1"/>
        </w:rPr>
        <w:t xml:space="preserve"> ve dijitalleşmenin, toplumsal cinsiyet eşitliği için olumlu bir platform olabilme potansiyeli taşımasına rağmen sınırlı erişim ve dijital beceri eşitsizlikleri gibi </w:t>
      </w:r>
      <w:proofErr w:type="gramStart"/>
      <w:r w:rsidRPr="00CF4938">
        <w:rPr>
          <w:color w:val="000000" w:themeColor="text1"/>
        </w:rPr>
        <w:t>bir takım</w:t>
      </w:r>
      <w:proofErr w:type="gramEnd"/>
      <w:r w:rsidRPr="00CF4938">
        <w:rPr>
          <w:color w:val="000000" w:themeColor="text1"/>
        </w:rPr>
        <w:t xml:space="preserve"> sorunlarla karşılaşabileceği belirlenmiştir. Bununla birlikte rekreasyonun sosyal katılımı artırma ve toplumsal bağları güçlendirme açısından önemli fırsatlar sunabileceği fakat sanal dünyadaki erişim engelleri ve güvenlik gibi meselelerin bu fırsatları sınırlandırabileceği sonucuna varılmıştır. </w:t>
      </w:r>
      <w:r w:rsidRPr="00CF4938">
        <w:rPr>
          <w:bCs/>
          <w:color w:val="000000" w:themeColor="text1"/>
        </w:rPr>
        <w:t xml:space="preserve">Dijital rekreasyonun hem </w:t>
      </w:r>
      <w:r w:rsidRPr="00CF4938">
        <w:rPr>
          <w:color w:val="000000" w:themeColor="text1"/>
        </w:rPr>
        <w:t xml:space="preserve">sosyal katılımın </w:t>
      </w:r>
      <w:proofErr w:type="gramStart"/>
      <w:r w:rsidRPr="00CF4938">
        <w:rPr>
          <w:color w:val="000000" w:themeColor="text1"/>
        </w:rPr>
        <w:t>artırılmasında,</w:t>
      </w:r>
      <w:proofErr w:type="gramEnd"/>
      <w:r w:rsidRPr="00CF4938">
        <w:rPr>
          <w:color w:val="000000" w:themeColor="text1"/>
        </w:rPr>
        <w:t xml:space="preserve"> hem de toplumsal bağların güçlendirilmesinde etkin rol alabileceği belirlenmiştir. Tüm bu durumlar değerlendirildiğinde toplumsal cinsiyet eşitliğinin dijital dünyada sağlanabilmesi için özel stratejiler geliştirilmesi gözler önüne serilmiştir. Gelecekteki araştırmalar, </w:t>
      </w:r>
      <w:proofErr w:type="spellStart"/>
      <w:r w:rsidRPr="00CF4938">
        <w:rPr>
          <w:color w:val="000000" w:themeColor="text1"/>
        </w:rPr>
        <w:t>metaverse</w:t>
      </w:r>
      <w:proofErr w:type="spellEnd"/>
      <w:r w:rsidRPr="00CF4938">
        <w:rPr>
          <w:color w:val="000000" w:themeColor="text1"/>
        </w:rPr>
        <w:t xml:space="preserve">, rekreasyon ve toplumsal cinsiyet eşitliğinin dijital dönüşüm sürecindeki etkilerini daha kapsamlı bir şekilde inceleyerek, bu alanlarda eşitlikçi bir yaklaşım geliştirilmesi için rehberlik edebilir. Aynı zamanda dijital rekreasyon etkinliklerine katılımın, </w:t>
      </w:r>
      <w:r w:rsidRPr="00CF4938">
        <w:rPr>
          <w:color w:val="000000" w:themeColor="text1"/>
        </w:rPr>
        <w:lastRenderedPageBreak/>
        <w:t>sosyal ilişkileri ve toplumsal cinsiyet eşitliği üzerindeki etkisini inceleyen nicel araştırmaların yapılması önerilmiştir.</w:t>
      </w:r>
    </w:p>
    <w:p w14:paraId="2DFA61F1" w14:textId="77777777" w:rsidR="00FA457D" w:rsidRPr="008D56F1" w:rsidRDefault="00FA457D" w:rsidP="00FA457D">
      <w:pPr>
        <w:jc w:val="both"/>
        <w:rPr>
          <w:color w:val="000000" w:themeColor="text1"/>
        </w:rPr>
      </w:pPr>
    </w:p>
    <w:p w14:paraId="798C1764" w14:textId="77777777" w:rsidR="00FA457D" w:rsidRDefault="00FA457D" w:rsidP="00FA457D">
      <w:pPr>
        <w:jc w:val="both"/>
      </w:pPr>
      <w:r w:rsidRPr="00DE7662">
        <w:rPr>
          <w:b/>
          <w:bCs/>
        </w:rPr>
        <w:t xml:space="preserve">Anahtar </w:t>
      </w:r>
      <w:r>
        <w:rPr>
          <w:b/>
          <w:bCs/>
        </w:rPr>
        <w:t>Kelime</w:t>
      </w:r>
      <w:r w:rsidRPr="00DE7662">
        <w:rPr>
          <w:b/>
          <w:bCs/>
        </w:rPr>
        <w:t>ler:</w:t>
      </w:r>
      <w:r>
        <w:t xml:space="preserve"> Toplumsal Cinsiyet Eşitliği, </w:t>
      </w:r>
      <w:proofErr w:type="spellStart"/>
      <w:r>
        <w:t>Metaverse</w:t>
      </w:r>
      <w:proofErr w:type="spellEnd"/>
      <w:r>
        <w:t>, Rekreasyon, Dijitalleşme.</w:t>
      </w:r>
    </w:p>
    <w:p w14:paraId="0E6A440D" w14:textId="24838F55" w:rsidR="00B96A5B" w:rsidRDefault="00B96A5B">
      <w:pPr>
        <w:autoSpaceDE/>
        <w:autoSpaceDN/>
        <w:rPr>
          <w:rFonts w:eastAsiaTheme="majorEastAsia" w:cstheme="majorBidi"/>
          <w:b/>
          <w:szCs w:val="40"/>
        </w:rPr>
      </w:pPr>
      <w:r>
        <w:br w:type="page"/>
      </w:r>
    </w:p>
    <w:p w14:paraId="661E77F5" w14:textId="77777777" w:rsidR="00FA457D" w:rsidRDefault="00FA457D" w:rsidP="004C7694">
      <w:pPr>
        <w:pStyle w:val="Tark"/>
      </w:pPr>
    </w:p>
    <w:p w14:paraId="1DC16FC8" w14:textId="77777777" w:rsidR="00FA457D" w:rsidRDefault="00FA457D" w:rsidP="004C7694">
      <w:pPr>
        <w:pStyle w:val="Tark"/>
      </w:pPr>
      <w:bookmarkStart w:id="259" w:name="_Toc192855279"/>
      <w:proofErr w:type="spellStart"/>
      <w:r w:rsidRPr="00463584">
        <w:t>Metaverse</w:t>
      </w:r>
      <w:proofErr w:type="spellEnd"/>
      <w:r w:rsidRPr="00463584">
        <w:t xml:space="preserve">, </w:t>
      </w:r>
      <w:proofErr w:type="spellStart"/>
      <w:r w:rsidRPr="00463584">
        <w:t>Recreation</w:t>
      </w:r>
      <w:proofErr w:type="spellEnd"/>
      <w:r w:rsidRPr="00463584">
        <w:t xml:space="preserve"> </w:t>
      </w:r>
      <w:proofErr w:type="spellStart"/>
      <w:r w:rsidRPr="00463584">
        <w:t>and</w:t>
      </w:r>
      <w:proofErr w:type="spellEnd"/>
      <w:r w:rsidRPr="00463584">
        <w:t xml:space="preserve"> </w:t>
      </w:r>
      <w:proofErr w:type="spellStart"/>
      <w:r w:rsidRPr="00463584">
        <w:t>Gender</w:t>
      </w:r>
      <w:proofErr w:type="spellEnd"/>
      <w:r w:rsidRPr="00463584">
        <w:t xml:space="preserve"> </w:t>
      </w:r>
      <w:proofErr w:type="spellStart"/>
      <w:r w:rsidRPr="00463584">
        <w:t>Equality</w:t>
      </w:r>
      <w:proofErr w:type="spellEnd"/>
      <w:r w:rsidRPr="00463584">
        <w:t xml:space="preserve">: </w:t>
      </w:r>
      <w:proofErr w:type="spellStart"/>
      <w:r w:rsidRPr="00463584">
        <w:t>Opportunities</w:t>
      </w:r>
      <w:proofErr w:type="spellEnd"/>
      <w:r w:rsidRPr="00463584">
        <w:t xml:space="preserve"> </w:t>
      </w:r>
      <w:proofErr w:type="spellStart"/>
      <w:r w:rsidRPr="00463584">
        <w:t>and</w:t>
      </w:r>
      <w:proofErr w:type="spellEnd"/>
      <w:r w:rsidRPr="00463584">
        <w:t xml:space="preserve"> </w:t>
      </w:r>
      <w:proofErr w:type="spellStart"/>
      <w:r w:rsidRPr="00463584">
        <w:t>Threats</w:t>
      </w:r>
      <w:proofErr w:type="spellEnd"/>
      <w:r w:rsidRPr="00463584">
        <w:t xml:space="preserve"> in </w:t>
      </w:r>
      <w:proofErr w:type="spellStart"/>
      <w:r w:rsidRPr="00463584">
        <w:t>the</w:t>
      </w:r>
      <w:proofErr w:type="spellEnd"/>
      <w:r w:rsidRPr="00463584">
        <w:t xml:space="preserve"> </w:t>
      </w:r>
      <w:proofErr w:type="spellStart"/>
      <w:r w:rsidRPr="00463584">
        <w:t>Digital</w:t>
      </w:r>
      <w:proofErr w:type="spellEnd"/>
      <w:r w:rsidRPr="00463584">
        <w:t xml:space="preserve"> World</w:t>
      </w:r>
      <w:bookmarkEnd w:id="259"/>
    </w:p>
    <w:p w14:paraId="20EA02F5" w14:textId="77777777" w:rsidR="00FA457D" w:rsidRDefault="00FA457D" w:rsidP="00FA457D">
      <w:pPr>
        <w:jc w:val="center"/>
        <w:rPr>
          <w:rFonts w:eastAsiaTheme="majorEastAsia"/>
        </w:rPr>
      </w:pPr>
    </w:p>
    <w:p w14:paraId="4C80266D" w14:textId="77777777" w:rsidR="00FA457D" w:rsidRPr="009C66F8" w:rsidRDefault="00FA457D" w:rsidP="00FA457D">
      <w:pPr>
        <w:jc w:val="center"/>
      </w:pPr>
      <w:r w:rsidRPr="009C66F8">
        <w:t>Oğuzhan YILMAZ</w:t>
      </w:r>
    </w:p>
    <w:p w14:paraId="6B4F10FE" w14:textId="77777777" w:rsidR="00FA457D" w:rsidRPr="009C66F8" w:rsidRDefault="00FA457D" w:rsidP="00FA457D">
      <w:pPr>
        <w:jc w:val="center"/>
      </w:pPr>
      <w:proofErr w:type="spellStart"/>
      <w:r w:rsidRPr="009C66F8">
        <w:t>PhD</w:t>
      </w:r>
      <w:proofErr w:type="spellEnd"/>
      <w:r w:rsidRPr="009C66F8">
        <w:t xml:space="preserve"> </w:t>
      </w:r>
      <w:proofErr w:type="spellStart"/>
      <w:r w:rsidRPr="009C66F8">
        <w:t>Student</w:t>
      </w:r>
      <w:proofErr w:type="spellEnd"/>
      <w:r w:rsidRPr="009C66F8">
        <w:t xml:space="preserve">, Atatürk </w:t>
      </w:r>
      <w:proofErr w:type="spellStart"/>
      <w:r w:rsidRPr="009C66F8">
        <w:t>University</w:t>
      </w:r>
      <w:proofErr w:type="spellEnd"/>
      <w:r w:rsidRPr="009C66F8">
        <w:t xml:space="preserve">, </w:t>
      </w:r>
      <w:proofErr w:type="spellStart"/>
      <w:r w:rsidRPr="009C66F8">
        <w:t>Department</w:t>
      </w:r>
      <w:proofErr w:type="spellEnd"/>
      <w:r w:rsidRPr="009C66F8">
        <w:t xml:space="preserve"> of </w:t>
      </w:r>
      <w:proofErr w:type="spellStart"/>
      <w:r w:rsidRPr="009C66F8">
        <w:t>Sport</w:t>
      </w:r>
      <w:proofErr w:type="spellEnd"/>
      <w:r w:rsidRPr="009C66F8">
        <w:t xml:space="preserve"> Management</w:t>
      </w:r>
      <w:r w:rsidRPr="00F21AA8">
        <w:rPr>
          <w:vertAlign w:val="superscript"/>
        </w:rPr>
        <w:t>1</w:t>
      </w:r>
    </w:p>
    <w:p w14:paraId="534BC19B" w14:textId="598004F3" w:rsidR="00FA457D" w:rsidRPr="009C66F8" w:rsidRDefault="00FA457D" w:rsidP="00FA457D">
      <w:pPr>
        <w:jc w:val="center"/>
      </w:pPr>
      <w:hyperlink r:id="rId383" w:history="1">
        <w:r w:rsidRPr="00E2172A">
          <w:rPr>
            <w:rStyle w:val="Kpr"/>
            <w:rFonts w:eastAsiaTheme="majorEastAsia"/>
          </w:rPr>
          <w:t>oguzhanyilmaz9352@gmail.com</w:t>
        </w:r>
      </w:hyperlink>
    </w:p>
    <w:p w14:paraId="1C4F2F5A" w14:textId="77777777" w:rsidR="00FA457D" w:rsidRDefault="00FA457D" w:rsidP="00FA457D">
      <w:pPr>
        <w:jc w:val="center"/>
      </w:pPr>
      <w:proofErr w:type="spellStart"/>
      <w:r w:rsidRPr="009C66F8">
        <w:t>Orcid</w:t>
      </w:r>
      <w:proofErr w:type="spellEnd"/>
      <w:r w:rsidRPr="009C66F8">
        <w:t xml:space="preserve"> ID: 0009-0009-7969-7667</w:t>
      </w:r>
    </w:p>
    <w:p w14:paraId="24D85395" w14:textId="77777777" w:rsidR="00FA457D" w:rsidRDefault="00FA457D" w:rsidP="00FA457D">
      <w:pPr>
        <w:jc w:val="center"/>
      </w:pPr>
    </w:p>
    <w:p w14:paraId="1A0B4456" w14:textId="77777777" w:rsidR="00FA457D" w:rsidRPr="009C66F8" w:rsidRDefault="00FA457D" w:rsidP="00FA457D">
      <w:pPr>
        <w:jc w:val="center"/>
      </w:pPr>
      <w:r w:rsidRPr="009C66F8">
        <w:t>Şükran DERTLİ</w:t>
      </w:r>
    </w:p>
    <w:p w14:paraId="3D495C7A" w14:textId="77777777" w:rsidR="00FA457D" w:rsidRPr="009C66F8" w:rsidRDefault="00FA457D" w:rsidP="00FA457D">
      <w:pPr>
        <w:jc w:val="center"/>
      </w:pPr>
      <w:proofErr w:type="spellStart"/>
      <w:r w:rsidRPr="009C66F8">
        <w:t>Graduate</w:t>
      </w:r>
      <w:proofErr w:type="spellEnd"/>
      <w:r w:rsidRPr="009C66F8">
        <w:t xml:space="preserve"> </w:t>
      </w:r>
      <w:proofErr w:type="spellStart"/>
      <w:r w:rsidRPr="009C66F8">
        <w:t>Student</w:t>
      </w:r>
      <w:proofErr w:type="spellEnd"/>
      <w:r w:rsidRPr="009C66F8">
        <w:t xml:space="preserve">, Bayburt </w:t>
      </w:r>
      <w:proofErr w:type="spellStart"/>
      <w:r w:rsidRPr="009C66F8">
        <w:t>University</w:t>
      </w:r>
      <w:proofErr w:type="spellEnd"/>
      <w:r w:rsidRPr="009C66F8">
        <w:t xml:space="preserve">, </w:t>
      </w:r>
      <w:proofErr w:type="spellStart"/>
      <w:r w:rsidRPr="009C66F8">
        <w:t>Department</w:t>
      </w:r>
      <w:proofErr w:type="spellEnd"/>
      <w:r w:rsidRPr="009C66F8">
        <w:t xml:space="preserve"> of </w:t>
      </w:r>
      <w:proofErr w:type="spellStart"/>
      <w:r w:rsidRPr="009C66F8">
        <w:t>Engineering</w:t>
      </w:r>
      <w:proofErr w:type="spellEnd"/>
      <w:r w:rsidRPr="009C66F8">
        <w:t xml:space="preserve"> Management </w:t>
      </w:r>
      <w:r>
        <w:rPr>
          <w:vertAlign w:val="superscript"/>
        </w:rPr>
        <w:t>2</w:t>
      </w:r>
      <w:r w:rsidRPr="00F21AA8">
        <w:rPr>
          <w:vertAlign w:val="superscript"/>
        </w:rPr>
        <w:t>*</w:t>
      </w:r>
    </w:p>
    <w:p w14:paraId="426D87DE" w14:textId="1F4AC36F" w:rsidR="00FA457D" w:rsidRPr="009C66F8" w:rsidRDefault="00FA457D" w:rsidP="00FA457D">
      <w:pPr>
        <w:jc w:val="center"/>
      </w:pPr>
      <w:hyperlink r:id="rId384" w:history="1">
        <w:r w:rsidRPr="00E2172A">
          <w:rPr>
            <w:rStyle w:val="Kpr"/>
            <w:rFonts w:eastAsiaTheme="majorEastAsia"/>
          </w:rPr>
          <w:t>sukrandertli25@gmail.com</w:t>
        </w:r>
      </w:hyperlink>
    </w:p>
    <w:p w14:paraId="7F02176D" w14:textId="77777777" w:rsidR="00FA457D" w:rsidRDefault="00FA457D" w:rsidP="00FA457D">
      <w:pPr>
        <w:jc w:val="center"/>
      </w:pPr>
      <w:proofErr w:type="spellStart"/>
      <w:r w:rsidRPr="009C66F8">
        <w:t>Orcid</w:t>
      </w:r>
      <w:proofErr w:type="spellEnd"/>
      <w:r w:rsidRPr="009C66F8">
        <w:t xml:space="preserve"> ID: 0000-0001-9901-5349</w:t>
      </w:r>
    </w:p>
    <w:p w14:paraId="0E49B141" w14:textId="77777777" w:rsidR="00FA457D" w:rsidRDefault="00FA457D" w:rsidP="00FA457D">
      <w:pPr>
        <w:jc w:val="center"/>
      </w:pPr>
    </w:p>
    <w:p w14:paraId="3C21B972" w14:textId="77777777" w:rsidR="00FA457D" w:rsidRPr="00852F0F" w:rsidRDefault="00FA457D" w:rsidP="00FA457D">
      <w:pPr>
        <w:jc w:val="center"/>
        <w:rPr>
          <w:b/>
        </w:rPr>
      </w:pPr>
      <w:proofErr w:type="spellStart"/>
      <w:r w:rsidRPr="00852F0F">
        <w:rPr>
          <w:b/>
        </w:rPr>
        <w:t>Abstract</w:t>
      </w:r>
      <w:proofErr w:type="spellEnd"/>
    </w:p>
    <w:p w14:paraId="74D4120B" w14:textId="77777777" w:rsidR="00FA457D" w:rsidRDefault="00FA457D" w:rsidP="00FA457D">
      <w:pPr>
        <w:jc w:val="both"/>
      </w:pPr>
      <w:proofErr w:type="spellStart"/>
      <w:r w:rsidRPr="00563776">
        <w:t>In</w:t>
      </w:r>
      <w:proofErr w:type="spellEnd"/>
      <w:r w:rsidRPr="00563776">
        <w:t xml:space="preserve"> </w:t>
      </w:r>
      <w:proofErr w:type="spellStart"/>
      <w:r w:rsidRPr="00563776">
        <w:t>today's</w:t>
      </w:r>
      <w:proofErr w:type="spellEnd"/>
      <w:r w:rsidRPr="00563776">
        <w:t xml:space="preserve"> </w:t>
      </w:r>
      <w:proofErr w:type="spellStart"/>
      <w:r w:rsidRPr="00563776">
        <w:t>world</w:t>
      </w:r>
      <w:proofErr w:type="spellEnd"/>
      <w:r w:rsidRPr="00563776">
        <w:t xml:space="preserve"> of </w:t>
      </w:r>
      <w:proofErr w:type="spellStart"/>
      <w:r w:rsidRPr="00563776">
        <w:t>rapidly</w:t>
      </w:r>
      <w:proofErr w:type="spellEnd"/>
      <w:r w:rsidRPr="00563776">
        <w:t xml:space="preserve"> </w:t>
      </w:r>
      <w:proofErr w:type="spellStart"/>
      <w:r w:rsidRPr="00563776">
        <w:t>advancing</w:t>
      </w:r>
      <w:proofErr w:type="spellEnd"/>
      <w:r w:rsidRPr="00563776">
        <w:t xml:space="preserve"> </w:t>
      </w:r>
      <w:proofErr w:type="spellStart"/>
      <w:r w:rsidRPr="00563776">
        <w:t>digitalization</w:t>
      </w:r>
      <w:proofErr w:type="spellEnd"/>
      <w:r w:rsidRPr="00563776">
        <w:t xml:space="preserve">, </w:t>
      </w:r>
      <w:proofErr w:type="spellStart"/>
      <w:r w:rsidRPr="00563776">
        <w:t>social</w:t>
      </w:r>
      <w:proofErr w:type="spellEnd"/>
      <w:r w:rsidRPr="00563776">
        <w:t xml:space="preserve"> </w:t>
      </w:r>
      <w:proofErr w:type="spellStart"/>
      <w:r w:rsidRPr="00563776">
        <w:t>structures</w:t>
      </w:r>
      <w:proofErr w:type="spellEnd"/>
      <w:r w:rsidRPr="00563776">
        <w:t xml:space="preserve"> </w:t>
      </w:r>
      <w:proofErr w:type="spellStart"/>
      <w:r w:rsidRPr="00563776">
        <w:t>and</w:t>
      </w:r>
      <w:proofErr w:type="spellEnd"/>
      <w:r w:rsidRPr="00563776">
        <w:t xml:space="preserve"> </w:t>
      </w:r>
      <w:proofErr w:type="spellStart"/>
      <w:r w:rsidRPr="00563776">
        <w:t>lifestyles</w:t>
      </w:r>
      <w:proofErr w:type="spellEnd"/>
      <w:r w:rsidRPr="00563776">
        <w:t xml:space="preserve"> </w:t>
      </w:r>
      <w:proofErr w:type="spellStart"/>
      <w:r w:rsidRPr="00563776">
        <w:t>are</w:t>
      </w:r>
      <w:proofErr w:type="spellEnd"/>
      <w:r w:rsidRPr="00563776">
        <w:t xml:space="preserve"> </w:t>
      </w:r>
      <w:proofErr w:type="spellStart"/>
      <w:r w:rsidRPr="00563776">
        <w:t>undergoing</w:t>
      </w:r>
      <w:proofErr w:type="spellEnd"/>
      <w:r w:rsidRPr="00563776">
        <w:t xml:space="preserve"> </w:t>
      </w:r>
      <w:proofErr w:type="spellStart"/>
      <w:r w:rsidRPr="00563776">
        <w:t>rapid</w:t>
      </w:r>
      <w:proofErr w:type="spellEnd"/>
      <w:r w:rsidRPr="00563776">
        <w:t xml:space="preserve"> </w:t>
      </w:r>
      <w:proofErr w:type="spellStart"/>
      <w:r w:rsidRPr="00563776">
        <w:t>change</w:t>
      </w:r>
      <w:proofErr w:type="spellEnd"/>
      <w:r w:rsidRPr="00563776">
        <w:t xml:space="preserve"> </w:t>
      </w:r>
      <w:proofErr w:type="spellStart"/>
      <w:r w:rsidRPr="00563776">
        <w:t>and</w:t>
      </w:r>
      <w:proofErr w:type="spellEnd"/>
      <w:r w:rsidRPr="00563776">
        <w:t xml:space="preserve"> </w:t>
      </w:r>
      <w:proofErr w:type="spellStart"/>
      <w:r w:rsidRPr="00563776">
        <w:t>transformation</w:t>
      </w:r>
      <w:proofErr w:type="spellEnd"/>
      <w:r w:rsidRPr="00563776">
        <w:t xml:space="preserve">.  </w:t>
      </w:r>
      <w:proofErr w:type="spellStart"/>
      <w:r w:rsidRPr="00563776">
        <w:t>In</w:t>
      </w:r>
      <w:proofErr w:type="spellEnd"/>
      <w:r w:rsidRPr="00563776">
        <w:t xml:space="preserve"> </w:t>
      </w:r>
      <w:proofErr w:type="spellStart"/>
      <w:r w:rsidRPr="00563776">
        <w:t>this</w:t>
      </w:r>
      <w:proofErr w:type="spellEnd"/>
      <w:r w:rsidRPr="00563776">
        <w:t xml:space="preserve"> </w:t>
      </w:r>
      <w:proofErr w:type="spellStart"/>
      <w:r w:rsidRPr="00563776">
        <w:t>transformation</w:t>
      </w:r>
      <w:proofErr w:type="spellEnd"/>
      <w:r w:rsidRPr="00563776">
        <w:t xml:space="preserve">, </w:t>
      </w:r>
      <w:proofErr w:type="spellStart"/>
      <w:r w:rsidRPr="00563776">
        <w:t>technologies</w:t>
      </w:r>
      <w:proofErr w:type="spellEnd"/>
      <w:r w:rsidRPr="00563776">
        <w:t xml:space="preserve"> </w:t>
      </w:r>
      <w:proofErr w:type="spellStart"/>
      <w:r w:rsidRPr="00563776">
        <w:t>such</w:t>
      </w:r>
      <w:proofErr w:type="spellEnd"/>
      <w:r w:rsidRPr="00563776">
        <w:t xml:space="preserve"> as </w:t>
      </w:r>
      <w:proofErr w:type="spellStart"/>
      <w:r w:rsidRPr="00563776">
        <w:t>the</w:t>
      </w:r>
      <w:proofErr w:type="spellEnd"/>
      <w:r w:rsidRPr="00563776">
        <w:t xml:space="preserve"> </w:t>
      </w:r>
      <w:proofErr w:type="spellStart"/>
      <w:r w:rsidRPr="00563776">
        <w:t>metaverse</w:t>
      </w:r>
      <w:proofErr w:type="spellEnd"/>
      <w:r w:rsidRPr="00563776">
        <w:t xml:space="preserve"> can </w:t>
      </w:r>
      <w:proofErr w:type="spellStart"/>
      <w:r w:rsidRPr="00563776">
        <w:t>reveal</w:t>
      </w:r>
      <w:proofErr w:type="spellEnd"/>
      <w:r w:rsidRPr="00563776">
        <w:t xml:space="preserve"> </w:t>
      </w:r>
      <w:proofErr w:type="spellStart"/>
      <w:r w:rsidRPr="00563776">
        <w:t>important</w:t>
      </w:r>
      <w:proofErr w:type="spellEnd"/>
      <w:r w:rsidRPr="00563776">
        <w:t xml:space="preserve"> </w:t>
      </w:r>
      <w:proofErr w:type="spellStart"/>
      <w:r w:rsidRPr="00563776">
        <w:t>opportunities</w:t>
      </w:r>
      <w:proofErr w:type="spellEnd"/>
      <w:r w:rsidRPr="00563776">
        <w:t xml:space="preserve"> </w:t>
      </w:r>
      <w:proofErr w:type="spellStart"/>
      <w:r w:rsidRPr="00563776">
        <w:t>and</w:t>
      </w:r>
      <w:proofErr w:type="spellEnd"/>
      <w:r w:rsidRPr="00563776">
        <w:t xml:space="preserve"> </w:t>
      </w:r>
      <w:proofErr w:type="spellStart"/>
      <w:r w:rsidRPr="00563776">
        <w:t>challenges</w:t>
      </w:r>
      <w:proofErr w:type="spellEnd"/>
      <w:r w:rsidRPr="00563776">
        <w:t xml:space="preserve"> in </w:t>
      </w:r>
      <w:proofErr w:type="spellStart"/>
      <w:r w:rsidRPr="00563776">
        <w:t>areas</w:t>
      </w:r>
      <w:proofErr w:type="spellEnd"/>
      <w:r w:rsidRPr="00563776">
        <w:t xml:space="preserve"> </w:t>
      </w:r>
      <w:proofErr w:type="spellStart"/>
      <w:r w:rsidRPr="00563776">
        <w:t>such</w:t>
      </w:r>
      <w:proofErr w:type="spellEnd"/>
      <w:r w:rsidRPr="00563776">
        <w:t xml:space="preserve"> as </w:t>
      </w:r>
      <w:proofErr w:type="spellStart"/>
      <w:r w:rsidRPr="00563776">
        <w:t>gender</w:t>
      </w:r>
      <w:proofErr w:type="spellEnd"/>
      <w:r w:rsidRPr="00563776">
        <w:t xml:space="preserve"> </w:t>
      </w:r>
      <w:proofErr w:type="spellStart"/>
      <w:r w:rsidRPr="00563776">
        <w:t>equality</w:t>
      </w:r>
      <w:proofErr w:type="spellEnd"/>
      <w:r w:rsidRPr="00563776">
        <w:t xml:space="preserve"> </w:t>
      </w:r>
      <w:proofErr w:type="spellStart"/>
      <w:r w:rsidRPr="00563776">
        <w:t>and</w:t>
      </w:r>
      <w:proofErr w:type="spellEnd"/>
      <w:r w:rsidRPr="00563776">
        <w:t xml:space="preserve"> </w:t>
      </w:r>
      <w:proofErr w:type="spellStart"/>
      <w:r w:rsidRPr="00563776">
        <w:t>recreation</w:t>
      </w:r>
      <w:proofErr w:type="spellEnd"/>
      <w:r w:rsidRPr="00563776">
        <w:t xml:space="preserve">. </w:t>
      </w:r>
      <w:proofErr w:type="spellStart"/>
      <w:r w:rsidRPr="00563776">
        <w:t>The</w:t>
      </w:r>
      <w:proofErr w:type="spellEnd"/>
      <w:r w:rsidRPr="00563776">
        <w:t xml:space="preserve"> main </w:t>
      </w:r>
      <w:proofErr w:type="spellStart"/>
      <w:r w:rsidRPr="00563776">
        <w:t>purpose</w:t>
      </w:r>
      <w:proofErr w:type="spellEnd"/>
      <w:r w:rsidRPr="00563776">
        <w:t xml:space="preserve"> of </w:t>
      </w:r>
      <w:proofErr w:type="spellStart"/>
      <w:r w:rsidRPr="00563776">
        <w:t>this</w:t>
      </w:r>
      <w:proofErr w:type="spellEnd"/>
      <w:r w:rsidRPr="00563776">
        <w:t xml:space="preserve"> </w:t>
      </w:r>
      <w:proofErr w:type="spellStart"/>
      <w:r w:rsidRPr="00563776">
        <w:t>research</w:t>
      </w:r>
      <w:proofErr w:type="spellEnd"/>
      <w:r w:rsidRPr="00563776">
        <w:t xml:space="preserve"> is </w:t>
      </w:r>
      <w:proofErr w:type="spellStart"/>
      <w:r w:rsidRPr="00563776">
        <w:t>to</w:t>
      </w:r>
      <w:proofErr w:type="spellEnd"/>
      <w:r w:rsidRPr="00563776">
        <w:t xml:space="preserve"> </w:t>
      </w:r>
      <w:proofErr w:type="spellStart"/>
      <w:r w:rsidRPr="00563776">
        <w:t>examine</w:t>
      </w:r>
      <w:proofErr w:type="spellEnd"/>
      <w:r w:rsidRPr="00563776">
        <w:t xml:space="preserve"> </w:t>
      </w:r>
      <w:proofErr w:type="spellStart"/>
      <w:r w:rsidRPr="00563776">
        <w:t>the</w:t>
      </w:r>
      <w:proofErr w:type="spellEnd"/>
      <w:r w:rsidRPr="00563776">
        <w:t xml:space="preserve"> </w:t>
      </w:r>
      <w:proofErr w:type="spellStart"/>
      <w:r w:rsidRPr="00563776">
        <w:t>effects</w:t>
      </w:r>
      <w:proofErr w:type="spellEnd"/>
      <w:r w:rsidRPr="00563776">
        <w:t xml:space="preserve"> of </w:t>
      </w:r>
      <w:proofErr w:type="spellStart"/>
      <w:r w:rsidRPr="00563776">
        <w:t>metaverse</w:t>
      </w:r>
      <w:proofErr w:type="spellEnd"/>
      <w:r w:rsidRPr="00563776">
        <w:t xml:space="preserve">, </w:t>
      </w:r>
      <w:proofErr w:type="spellStart"/>
      <w:r w:rsidRPr="00563776">
        <w:t>recreation</w:t>
      </w:r>
      <w:proofErr w:type="spellEnd"/>
      <w:r w:rsidRPr="00563776">
        <w:t xml:space="preserve"> </w:t>
      </w:r>
      <w:proofErr w:type="spellStart"/>
      <w:r w:rsidRPr="00563776">
        <w:t>and</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in </w:t>
      </w:r>
      <w:proofErr w:type="spellStart"/>
      <w:r w:rsidRPr="00563776">
        <w:t>the</w:t>
      </w:r>
      <w:proofErr w:type="spellEnd"/>
      <w:r w:rsidRPr="00563776">
        <w:t xml:space="preserve"> </w:t>
      </w:r>
      <w:proofErr w:type="spellStart"/>
      <w:r w:rsidRPr="00563776">
        <w:t>digital</w:t>
      </w:r>
      <w:proofErr w:type="spellEnd"/>
      <w:r w:rsidRPr="00563776">
        <w:t xml:space="preserve"> </w:t>
      </w:r>
      <w:proofErr w:type="spellStart"/>
      <w:r w:rsidRPr="00563776">
        <w:t>transformation</w:t>
      </w:r>
      <w:proofErr w:type="spellEnd"/>
      <w:r w:rsidRPr="00563776">
        <w:t xml:space="preserve"> </w:t>
      </w:r>
      <w:proofErr w:type="spellStart"/>
      <w:r w:rsidRPr="00563776">
        <w:t>process</w:t>
      </w:r>
      <w:proofErr w:type="spellEnd"/>
      <w:r w:rsidRPr="00563776">
        <w:t xml:space="preserve">, as </w:t>
      </w:r>
      <w:proofErr w:type="spellStart"/>
      <w:r w:rsidRPr="00563776">
        <w:t>well</w:t>
      </w:r>
      <w:proofErr w:type="spellEnd"/>
      <w:r w:rsidRPr="00563776">
        <w:t xml:space="preserve"> as </w:t>
      </w:r>
      <w:proofErr w:type="spellStart"/>
      <w:r w:rsidRPr="00563776">
        <w:t>the</w:t>
      </w:r>
      <w:proofErr w:type="spellEnd"/>
      <w:r w:rsidRPr="00563776">
        <w:t xml:space="preserve"> </w:t>
      </w:r>
      <w:proofErr w:type="spellStart"/>
      <w:r w:rsidRPr="00563776">
        <w:t>opportunities</w:t>
      </w:r>
      <w:proofErr w:type="spellEnd"/>
      <w:r w:rsidRPr="00563776">
        <w:t xml:space="preserve"> </w:t>
      </w:r>
      <w:proofErr w:type="spellStart"/>
      <w:r w:rsidRPr="00563776">
        <w:t>and</w:t>
      </w:r>
      <w:proofErr w:type="spellEnd"/>
      <w:r w:rsidRPr="00563776">
        <w:t xml:space="preserve"> </w:t>
      </w:r>
      <w:proofErr w:type="spellStart"/>
      <w:r w:rsidRPr="00563776">
        <w:t>challenges</w:t>
      </w:r>
      <w:proofErr w:type="spellEnd"/>
      <w:r w:rsidRPr="00563776">
        <w:t xml:space="preserve"> in </w:t>
      </w:r>
      <w:proofErr w:type="spellStart"/>
      <w:r w:rsidRPr="00563776">
        <w:t>this</w:t>
      </w:r>
      <w:proofErr w:type="spellEnd"/>
      <w:r w:rsidRPr="00563776">
        <w:t xml:space="preserve"> </w:t>
      </w:r>
      <w:proofErr w:type="spellStart"/>
      <w:r w:rsidRPr="00563776">
        <w:t>field</w:t>
      </w:r>
      <w:proofErr w:type="spellEnd"/>
      <w:r w:rsidRPr="00563776">
        <w:t xml:space="preserve">. </w:t>
      </w:r>
      <w:proofErr w:type="spellStart"/>
      <w:r w:rsidRPr="00563776">
        <w:t>When</w:t>
      </w:r>
      <w:proofErr w:type="spellEnd"/>
      <w:r w:rsidRPr="00563776">
        <w:t xml:space="preserve"> </w:t>
      </w:r>
      <w:proofErr w:type="spellStart"/>
      <w:r w:rsidRPr="00563776">
        <w:t>the</w:t>
      </w:r>
      <w:proofErr w:type="spellEnd"/>
      <w:r w:rsidRPr="00563776">
        <w:t xml:space="preserve"> </w:t>
      </w:r>
      <w:proofErr w:type="spellStart"/>
      <w:r w:rsidRPr="00563776">
        <w:t>relevant</w:t>
      </w:r>
      <w:proofErr w:type="spellEnd"/>
      <w:r w:rsidRPr="00563776">
        <w:t xml:space="preserve"> </w:t>
      </w:r>
      <w:proofErr w:type="spellStart"/>
      <w:r w:rsidRPr="00563776">
        <w:t>literature</w:t>
      </w:r>
      <w:proofErr w:type="spellEnd"/>
      <w:r w:rsidRPr="00563776">
        <w:t xml:space="preserve"> is </w:t>
      </w:r>
      <w:proofErr w:type="spellStart"/>
      <w:r w:rsidRPr="00563776">
        <w:t>examined</w:t>
      </w:r>
      <w:proofErr w:type="spellEnd"/>
      <w:r w:rsidRPr="00563776">
        <w:t xml:space="preserve">, </w:t>
      </w:r>
      <w:proofErr w:type="spellStart"/>
      <w:r w:rsidRPr="00563776">
        <w:t>although</w:t>
      </w:r>
      <w:proofErr w:type="spellEnd"/>
      <w:r w:rsidRPr="00563776">
        <w:t xml:space="preserve"> </w:t>
      </w:r>
      <w:proofErr w:type="spellStart"/>
      <w:r w:rsidRPr="00563776">
        <w:t>the</w:t>
      </w:r>
      <w:proofErr w:type="spellEnd"/>
      <w:r w:rsidRPr="00563776">
        <w:t xml:space="preserve"> </w:t>
      </w:r>
      <w:proofErr w:type="spellStart"/>
      <w:r w:rsidRPr="00563776">
        <w:t>effects</w:t>
      </w:r>
      <w:proofErr w:type="spellEnd"/>
      <w:r w:rsidRPr="00563776">
        <w:t xml:space="preserve"> of </w:t>
      </w:r>
      <w:proofErr w:type="spellStart"/>
      <w:r w:rsidRPr="00563776">
        <w:t>digitalization</w:t>
      </w:r>
      <w:proofErr w:type="spellEnd"/>
      <w:r w:rsidRPr="00563776">
        <w:t xml:space="preserve"> on </w:t>
      </w:r>
      <w:proofErr w:type="spellStart"/>
      <w:r w:rsidRPr="00563776">
        <w:t>gender</w:t>
      </w:r>
      <w:proofErr w:type="spellEnd"/>
      <w:r w:rsidRPr="00563776">
        <w:t xml:space="preserve"> </w:t>
      </w:r>
      <w:proofErr w:type="spellStart"/>
      <w:r w:rsidRPr="00563776">
        <w:t>equality</w:t>
      </w:r>
      <w:proofErr w:type="spellEnd"/>
      <w:r w:rsidRPr="00563776">
        <w:t xml:space="preserve"> </w:t>
      </w:r>
      <w:proofErr w:type="spellStart"/>
      <w:r w:rsidRPr="00563776">
        <w:t>have</w:t>
      </w:r>
      <w:proofErr w:type="spellEnd"/>
      <w:r w:rsidRPr="00563776">
        <w:t xml:space="preserve"> </w:t>
      </w:r>
      <w:proofErr w:type="spellStart"/>
      <w:r w:rsidRPr="00563776">
        <w:t>been</w:t>
      </w:r>
      <w:proofErr w:type="spellEnd"/>
      <w:r w:rsidRPr="00563776">
        <w:t xml:space="preserve"> </w:t>
      </w:r>
      <w:proofErr w:type="spellStart"/>
      <w:r w:rsidRPr="00563776">
        <w:t>addressed</w:t>
      </w:r>
      <w:proofErr w:type="spellEnd"/>
      <w:r w:rsidRPr="00563776">
        <w:t xml:space="preserve"> in a </w:t>
      </w:r>
      <w:proofErr w:type="spellStart"/>
      <w:r w:rsidRPr="00563776">
        <w:t>limited</w:t>
      </w:r>
      <w:proofErr w:type="spellEnd"/>
      <w:r w:rsidRPr="00563776">
        <w:t xml:space="preserve"> </w:t>
      </w:r>
      <w:proofErr w:type="spellStart"/>
      <w:r w:rsidRPr="00563776">
        <w:t>number</w:t>
      </w:r>
      <w:proofErr w:type="spellEnd"/>
      <w:r w:rsidRPr="00563776">
        <w:t xml:space="preserve"> of </w:t>
      </w:r>
      <w:proofErr w:type="spellStart"/>
      <w:r w:rsidRPr="00563776">
        <w:t>studies</w:t>
      </w:r>
      <w:proofErr w:type="spellEnd"/>
      <w:r w:rsidRPr="00563776">
        <w:t xml:space="preserve">, </w:t>
      </w:r>
      <w:proofErr w:type="spellStart"/>
      <w:r w:rsidRPr="00563776">
        <w:t>the</w:t>
      </w:r>
      <w:proofErr w:type="spellEnd"/>
      <w:r w:rsidRPr="00563776">
        <w:t xml:space="preserve"> </w:t>
      </w:r>
      <w:proofErr w:type="spellStart"/>
      <w:r w:rsidRPr="00563776">
        <w:t>potential</w:t>
      </w:r>
      <w:proofErr w:type="spellEnd"/>
      <w:r w:rsidRPr="00563776">
        <w:t xml:space="preserve"> </w:t>
      </w:r>
      <w:proofErr w:type="spellStart"/>
      <w:r w:rsidRPr="00563776">
        <w:t>effects</w:t>
      </w:r>
      <w:proofErr w:type="spellEnd"/>
      <w:r w:rsidRPr="00563776">
        <w:t xml:space="preserve"> of </w:t>
      </w:r>
      <w:proofErr w:type="spellStart"/>
      <w:r w:rsidRPr="00563776">
        <w:t>the</w:t>
      </w:r>
      <w:proofErr w:type="spellEnd"/>
      <w:r w:rsidRPr="00563776">
        <w:t xml:space="preserve"> </w:t>
      </w:r>
      <w:proofErr w:type="spellStart"/>
      <w:r w:rsidRPr="00563776">
        <w:t>metaverse</w:t>
      </w:r>
      <w:proofErr w:type="spellEnd"/>
      <w:r w:rsidRPr="00563776">
        <w:t xml:space="preserve"> in </w:t>
      </w:r>
      <w:proofErr w:type="spellStart"/>
      <w:r w:rsidRPr="00563776">
        <w:t>this</w:t>
      </w:r>
      <w:proofErr w:type="spellEnd"/>
      <w:r w:rsidRPr="00563776">
        <w:t xml:space="preserve"> </w:t>
      </w:r>
      <w:proofErr w:type="spellStart"/>
      <w:r w:rsidRPr="00563776">
        <w:t>area</w:t>
      </w:r>
      <w:proofErr w:type="spellEnd"/>
      <w:r w:rsidRPr="00563776">
        <w:t xml:space="preserve"> </w:t>
      </w:r>
      <w:proofErr w:type="spellStart"/>
      <w:r w:rsidRPr="00563776">
        <w:t>have</w:t>
      </w:r>
      <w:proofErr w:type="spellEnd"/>
      <w:r w:rsidRPr="00563776">
        <w:t xml:space="preserve"> not </w:t>
      </w:r>
      <w:proofErr w:type="spellStart"/>
      <w:r w:rsidRPr="00563776">
        <w:t>been</w:t>
      </w:r>
      <w:proofErr w:type="spellEnd"/>
      <w:r w:rsidRPr="00563776">
        <w:t xml:space="preserve"> </w:t>
      </w:r>
      <w:proofErr w:type="spellStart"/>
      <w:r w:rsidRPr="00563776">
        <w:t>sufficiently</w:t>
      </w:r>
      <w:proofErr w:type="spellEnd"/>
      <w:r w:rsidRPr="00563776">
        <w:t xml:space="preserve"> </w:t>
      </w:r>
      <w:proofErr w:type="spellStart"/>
      <w:r w:rsidRPr="00563776">
        <w:t>investigated</w:t>
      </w:r>
      <w:proofErr w:type="spellEnd"/>
      <w:r w:rsidRPr="00563776">
        <w:t xml:space="preserve">. At </w:t>
      </w:r>
      <w:proofErr w:type="spellStart"/>
      <w:r w:rsidRPr="00563776">
        <w:t>this</w:t>
      </w:r>
      <w:proofErr w:type="spellEnd"/>
      <w:r w:rsidRPr="00563776">
        <w:t xml:space="preserve"> </w:t>
      </w:r>
      <w:proofErr w:type="spellStart"/>
      <w:r w:rsidRPr="00563776">
        <w:t>point</w:t>
      </w:r>
      <w:proofErr w:type="spellEnd"/>
      <w:r w:rsidRPr="00563776">
        <w:t xml:space="preserve">, it has </w:t>
      </w:r>
      <w:proofErr w:type="spellStart"/>
      <w:r w:rsidRPr="00563776">
        <w:t>been</w:t>
      </w:r>
      <w:proofErr w:type="spellEnd"/>
      <w:r w:rsidRPr="00563776">
        <w:t xml:space="preserve"> </w:t>
      </w:r>
      <w:proofErr w:type="spellStart"/>
      <w:r w:rsidRPr="00563776">
        <w:t>determined</w:t>
      </w:r>
      <w:proofErr w:type="spellEnd"/>
      <w:r w:rsidRPr="00563776">
        <w:t xml:space="preserve"> </w:t>
      </w:r>
      <w:proofErr w:type="spellStart"/>
      <w:r w:rsidRPr="00563776">
        <w:t>that</w:t>
      </w:r>
      <w:proofErr w:type="spellEnd"/>
      <w:r w:rsidRPr="00563776">
        <w:t xml:space="preserve"> </w:t>
      </w:r>
      <w:proofErr w:type="spellStart"/>
      <w:r w:rsidRPr="00563776">
        <w:t>there</w:t>
      </w:r>
      <w:proofErr w:type="spellEnd"/>
      <w:r w:rsidRPr="00563776">
        <w:t xml:space="preserve"> is a </w:t>
      </w:r>
      <w:proofErr w:type="spellStart"/>
      <w:r w:rsidRPr="00563776">
        <w:t>gap</w:t>
      </w:r>
      <w:proofErr w:type="spellEnd"/>
      <w:r w:rsidRPr="00563776">
        <w:t xml:space="preserve"> in </w:t>
      </w:r>
      <w:proofErr w:type="spellStart"/>
      <w:r w:rsidRPr="00563776">
        <w:t>the</w:t>
      </w:r>
      <w:proofErr w:type="spellEnd"/>
      <w:r w:rsidRPr="00563776">
        <w:t xml:space="preserve"> </w:t>
      </w:r>
      <w:proofErr w:type="spellStart"/>
      <w:r w:rsidRPr="00563776">
        <w:t>literature</w:t>
      </w:r>
      <w:proofErr w:type="spellEnd"/>
      <w:r w:rsidRPr="00563776">
        <w:t xml:space="preserve"> in </w:t>
      </w:r>
      <w:proofErr w:type="spellStart"/>
      <w:r w:rsidRPr="00563776">
        <w:t>terms</w:t>
      </w:r>
      <w:proofErr w:type="spellEnd"/>
      <w:r w:rsidRPr="00563776">
        <w:t xml:space="preserve"> of </w:t>
      </w:r>
      <w:proofErr w:type="spellStart"/>
      <w:r w:rsidRPr="00563776">
        <w:t>examining</w:t>
      </w:r>
      <w:proofErr w:type="spellEnd"/>
      <w:r w:rsidRPr="00563776">
        <w:t xml:space="preserve"> </w:t>
      </w:r>
      <w:proofErr w:type="spellStart"/>
      <w:r w:rsidRPr="00563776">
        <w:t>digital</w:t>
      </w:r>
      <w:proofErr w:type="spellEnd"/>
      <w:r w:rsidRPr="00563776">
        <w:t xml:space="preserve"> </w:t>
      </w:r>
      <w:proofErr w:type="spellStart"/>
      <w:r w:rsidRPr="00563776">
        <w:t>recreation</w:t>
      </w:r>
      <w:proofErr w:type="spellEnd"/>
      <w:r w:rsidRPr="00563776">
        <w:t xml:space="preserve"> </w:t>
      </w:r>
      <w:proofErr w:type="spellStart"/>
      <w:r w:rsidRPr="00563776">
        <w:t>and</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w:t>
      </w:r>
      <w:proofErr w:type="spellStart"/>
      <w:r w:rsidRPr="00563776">
        <w:t>issues</w:t>
      </w:r>
      <w:proofErr w:type="spellEnd"/>
      <w:r w:rsidRPr="00563776">
        <w:t xml:space="preserve"> </w:t>
      </w:r>
      <w:proofErr w:type="spellStart"/>
      <w:r w:rsidRPr="00563776">
        <w:t>together</w:t>
      </w:r>
      <w:proofErr w:type="spellEnd"/>
      <w:r w:rsidRPr="00563776">
        <w:t xml:space="preserve">. </w:t>
      </w:r>
      <w:proofErr w:type="spellStart"/>
      <w:r w:rsidRPr="00563776">
        <w:t>From</w:t>
      </w:r>
      <w:proofErr w:type="spellEnd"/>
      <w:r w:rsidRPr="00563776">
        <w:t xml:space="preserve"> </w:t>
      </w:r>
      <w:proofErr w:type="spellStart"/>
      <w:r w:rsidRPr="00563776">
        <w:t>this</w:t>
      </w:r>
      <w:proofErr w:type="spellEnd"/>
      <w:r w:rsidRPr="00563776">
        <w:t xml:space="preserve"> </w:t>
      </w:r>
      <w:proofErr w:type="spellStart"/>
      <w:r w:rsidRPr="00563776">
        <w:t>point</w:t>
      </w:r>
      <w:proofErr w:type="spellEnd"/>
      <w:r w:rsidRPr="00563776">
        <w:t xml:space="preserve"> of </w:t>
      </w:r>
      <w:proofErr w:type="spellStart"/>
      <w:r w:rsidRPr="00563776">
        <w:t>view</w:t>
      </w:r>
      <w:proofErr w:type="spellEnd"/>
      <w:r w:rsidRPr="00563776">
        <w:t xml:space="preserve">, </w:t>
      </w:r>
      <w:proofErr w:type="spellStart"/>
      <w:r w:rsidRPr="00563776">
        <w:t>this</w:t>
      </w:r>
      <w:proofErr w:type="spellEnd"/>
      <w:r w:rsidRPr="00563776">
        <w:t xml:space="preserve"> </w:t>
      </w:r>
      <w:proofErr w:type="spellStart"/>
      <w:r w:rsidRPr="00563776">
        <w:t>research</w:t>
      </w:r>
      <w:proofErr w:type="spellEnd"/>
      <w:r w:rsidRPr="00563776">
        <w:t xml:space="preserve"> </w:t>
      </w:r>
      <w:proofErr w:type="spellStart"/>
      <w:r w:rsidRPr="00563776">
        <w:t>aims</w:t>
      </w:r>
      <w:proofErr w:type="spellEnd"/>
      <w:r w:rsidRPr="00563776">
        <w:t xml:space="preserve"> </w:t>
      </w:r>
      <w:proofErr w:type="spellStart"/>
      <w:r w:rsidRPr="00563776">
        <w:t>to</w:t>
      </w:r>
      <w:proofErr w:type="spellEnd"/>
      <w:r w:rsidRPr="00563776">
        <w:t xml:space="preserve"> </w:t>
      </w:r>
      <w:proofErr w:type="spellStart"/>
      <w:r w:rsidRPr="00563776">
        <w:t>provide</w:t>
      </w:r>
      <w:proofErr w:type="spellEnd"/>
      <w:r w:rsidRPr="00563776">
        <w:t xml:space="preserve"> a </w:t>
      </w:r>
      <w:proofErr w:type="spellStart"/>
      <w:r w:rsidRPr="00563776">
        <w:t>broader</w:t>
      </w:r>
      <w:proofErr w:type="spellEnd"/>
      <w:r w:rsidRPr="00563776">
        <w:t xml:space="preserve"> </w:t>
      </w:r>
      <w:proofErr w:type="spellStart"/>
      <w:r w:rsidRPr="00563776">
        <w:t>framework</w:t>
      </w:r>
      <w:proofErr w:type="spellEnd"/>
      <w:r w:rsidRPr="00563776">
        <w:t xml:space="preserve"> </w:t>
      </w:r>
      <w:proofErr w:type="spellStart"/>
      <w:r w:rsidRPr="00563776">
        <w:t>and</w:t>
      </w:r>
      <w:proofErr w:type="spellEnd"/>
      <w:r w:rsidRPr="00563776">
        <w:t xml:space="preserve"> </w:t>
      </w:r>
      <w:proofErr w:type="spellStart"/>
      <w:r w:rsidRPr="00563776">
        <w:t>fill</w:t>
      </w:r>
      <w:proofErr w:type="spellEnd"/>
      <w:r w:rsidRPr="00563776">
        <w:t xml:space="preserve"> </w:t>
      </w:r>
      <w:proofErr w:type="spellStart"/>
      <w:r w:rsidRPr="00563776">
        <w:t>this</w:t>
      </w:r>
      <w:proofErr w:type="spellEnd"/>
      <w:r w:rsidRPr="00563776">
        <w:t xml:space="preserve"> </w:t>
      </w:r>
      <w:proofErr w:type="spellStart"/>
      <w:r w:rsidRPr="00563776">
        <w:t>gap</w:t>
      </w:r>
      <w:proofErr w:type="spellEnd"/>
      <w:r w:rsidRPr="00563776">
        <w:t xml:space="preserve"> in </w:t>
      </w:r>
      <w:proofErr w:type="spellStart"/>
      <w:r w:rsidRPr="00563776">
        <w:t>the</w:t>
      </w:r>
      <w:proofErr w:type="spellEnd"/>
      <w:r w:rsidRPr="00563776">
        <w:t xml:space="preserve"> </w:t>
      </w:r>
      <w:proofErr w:type="spellStart"/>
      <w:r w:rsidRPr="00563776">
        <w:t>literature</w:t>
      </w:r>
      <w:proofErr w:type="spellEnd"/>
      <w:r w:rsidRPr="00563776">
        <w:t xml:space="preserve"> </w:t>
      </w:r>
      <w:proofErr w:type="spellStart"/>
      <w:r w:rsidRPr="00563776">
        <w:t>by</w:t>
      </w:r>
      <w:proofErr w:type="spellEnd"/>
      <w:r w:rsidRPr="00563776">
        <w:t xml:space="preserve"> </w:t>
      </w:r>
      <w:proofErr w:type="spellStart"/>
      <w:r w:rsidRPr="00563776">
        <w:t>revealing</w:t>
      </w:r>
      <w:proofErr w:type="spellEnd"/>
      <w:r w:rsidRPr="00563776">
        <w:t xml:space="preserve"> how </w:t>
      </w:r>
      <w:proofErr w:type="spellStart"/>
      <w:r w:rsidRPr="00563776">
        <w:t>the</w:t>
      </w:r>
      <w:proofErr w:type="spellEnd"/>
      <w:r w:rsidRPr="00563776">
        <w:t xml:space="preserve"> </w:t>
      </w:r>
      <w:proofErr w:type="spellStart"/>
      <w:r w:rsidRPr="00563776">
        <w:t>metaverse</w:t>
      </w:r>
      <w:proofErr w:type="spellEnd"/>
      <w:r w:rsidRPr="00563776">
        <w:t xml:space="preserve"> </w:t>
      </w:r>
      <w:proofErr w:type="spellStart"/>
      <w:r w:rsidRPr="00563776">
        <w:t>and</w:t>
      </w:r>
      <w:proofErr w:type="spellEnd"/>
      <w:r w:rsidRPr="00563776">
        <w:t xml:space="preserve"> </w:t>
      </w:r>
      <w:proofErr w:type="spellStart"/>
      <w:r w:rsidRPr="00563776">
        <w:t>digitalization</w:t>
      </w:r>
      <w:proofErr w:type="spellEnd"/>
      <w:r w:rsidRPr="00563776">
        <w:t xml:space="preserve"> </w:t>
      </w:r>
      <w:proofErr w:type="spellStart"/>
      <w:r w:rsidRPr="00563776">
        <w:t>have</w:t>
      </w:r>
      <w:proofErr w:type="spellEnd"/>
      <w:r w:rsidRPr="00563776">
        <w:t xml:space="preserve"> </w:t>
      </w:r>
      <w:proofErr w:type="spellStart"/>
      <w:r w:rsidRPr="00563776">
        <w:t>shaped</w:t>
      </w:r>
      <w:proofErr w:type="spellEnd"/>
      <w:r w:rsidRPr="00563776">
        <w:t xml:space="preserve"> </w:t>
      </w:r>
      <w:proofErr w:type="spellStart"/>
      <w:r w:rsidRPr="00563776">
        <w:t>social</w:t>
      </w:r>
      <w:proofErr w:type="spellEnd"/>
      <w:r w:rsidRPr="00563776">
        <w:t xml:space="preserve"> </w:t>
      </w:r>
      <w:proofErr w:type="spellStart"/>
      <w:r w:rsidRPr="00563776">
        <w:t>structures</w:t>
      </w:r>
      <w:proofErr w:type="spellEnd"/>
      <w:r w:rsidRPr="00563776">
        <w:t xml:space="preserve">. </w:t>
      </w:r>
      <w:proofErr w:type="spellStart"/>
      <w:r w:rsidRPr="00563776">
        <w:t>Therefore</w:t>
      </w:r>
      <w:proofErr w:type="spellEnd"/>
      <w:r w:rsidRPr="00563776">
        <w:t xml:space="preserve">, </w:t>
      </w:r>
      <w:proofErr w:type="spellStart"/>
      <w:r w:rsidRPr="00563776">
        <w:t>this</w:t>
      </w:r>
      <w:proofErr w:type="spellEnd"/>
      <w:r w:rsidRPr="00563776">
        <w:t xml:space="preserve"> </w:t>
      </w:r>
      <w:proofErr w:type="spellStart"/>
      <w:r w:rsidRPr="00563776">
        <w:t>research</w:t>
      </w:r>
      <w:proofErr w:type="spellEnd"/>
      <w:r w:rsidRPr="00563776">
        <w:t xml:space="preserve"> is </w:t>
      </w:r>
      <w:proofErr w:type="spellStart"/>
      <w:r w:rsidRPr="00563776">
        <w:t>extremely</w:t>
      </w:r>
      <w:proofErr w:type="spellEnd"/>
      <w:r w:rsidRPr="00563776">
        <w:t xml:space="preserve"> </w:t>
      </w:r>
      <w:proofErr w:type="spellStart"/>
      <w:r w:rsidRPr="00563776">
        <w:t>important</w:t>
      </w:r>
      <w:proofErr w:type="spellEnd"/>
      <w:r w:rsidRPr="00563776">
        <w:t xml:space="preserve"> in </w:t>
      </w:r>
      <w:proofErr w:type="spellStart"/>
      <w:r w:rsidRPr="00563776">
        <w:t>terms</w:t>
      </w:r>
      <w:proofErr w:type="spellEnd"/>
      <w:r w:rsidRPr="00563776">
        <w:t xml:space="preserve"> of </w:t>
      </w:r>
      <w:proofErr w:type="spellStart"/>
      <w:r w:rsidRPr="00563776">
        <w:t>contributing</w:t>
      </w:r>
      <w:proofErr w:type="spellEnd"/>
      <w:r w:rsidRPr="00563776">
        <w:t xml:space="preserve"> </w:t>
      </w:r>
      <w:proofErr w:type="spellStart"/>
      <w:r w:rsidRPr="00563776">
        <w:t>to</w:t>
      </w:r>
      <w:proofErr w:type="spellEnd"/>
      <w:r w:rsidRPr="00563776">
        <w:t xml:space="preserve"> </w:t>
      </w:r>
      <w:proofErr w:type="spellStart"/>
      <w:r w:rsidRPr="00563776">
        <w:t>understanding</w:t>
      </w:r>
      <w:proofErr w:type="spellEnd"/>
      <w:r w:rsidRPr="00563776">
        <w:t xml:space="preserve"> </w:t>
      </w:r>
      <w:proofErr w:type="spellStart"/>
      <w:r w:rsidRPr="00563776">
        <w:t>the</w:t>
      </w:r>
      <w:proofErr w:type="spellEnd"/>
      <w:r w:rsidRPr="00563776">
        <w:t xml:space="preserve"> </w:t>
      </w:r>
      <w:proofErr w:type="spellStart"/>
      <w:r w:rsidRPr="00563776">
        <w:t>effects</w:t>
      </w:r>
      <w:proofErr w:type="spellEnd"/>
      <w:r w:rsidRPr="00563776">
        <w:t xml:space="preserve"> of </w:t>
      </w:r>
      <w:proofErr w:type="spellStart"/>
      <w:r w:rsidRPr="00563776">
        <w:t>interactions</w:t>
      </w:r>
      <w:proofErr w:type="spellEnd"/>
      <w:r w:rsidRPr="00563776">
        <w:t xml:space="preserve"> in </w:t>
      </w:r>
      <w:proofErr w:type="spellStart"/>
      <w:r w:rsidRPr="00563776">
        <w:t>the</w:t>
      </w:r>
      <w:proofErr w:type="spellEnd"/>
      <w:r w:rsidRPr="00563776">
        <w:t xml:space="preserve"> </w:t>
      </w:r>
      <w:proofErr w:type="spellStart"/>
      <w:r w:rsidRPr="00563776">
        <w:t>digital</w:t>
      </w:r>
      <w:proofErr w:type="spellEnd"/>
      <w:r w:rsidRPr="00563776">
        <w:t xml:space="preserve"> </w:t>
      </w:r>
      <w:proofErr w:type="spellStart"/>
      <w:r w:rsidRPr="00563776">
        <w:t>world</w:t>
      </w:r>
      <w:proofErr w:type="spellEnd"/>
      <w:r w:rsidRPr="00563776">
        <w:t xml:space="preserve"> on </w:t>
      </w:r>
      <w:proofErr w:type="spellStart"/>
      <w:r w:rsidRPr="00563776">
        <w:t>gender</w:t>
      </w:r>
      <w:proofErr w:type="spellEnd"/>
      <w:r w:rsidRPr="00563776">
        <w:t xml:space="preserve"> </w:t>
      </w:r>
      <w:proofErr w:type="spellStart"/>
      <w:r w:rsidRPr="00563776">
        <w:t>equality</w:t>
      </w:r>
      <w:proofErr w:type="spellEnd"/>
      <w:r w:rsidRPr="00563776">
        <w:t xml:space="preserve"> </w:t>
      </w:r>
      <w:proofErr w:type="spellStart"/>
      <w:r w:rsidRPr="00563776">
        <w:t>and</w:t>
      </w:r>
      <w:proofErr w:type="spellEnd"/>
      <w:r w:rsidRPr="00563776">
        <w:t xml:space="preserve"> </w:t>
      </w:r>
      <w:proofErr w:type="spellStart"/>
      <w:r w:rsidRPr="00563776">
        <w:t>social</w:t>
      </w:r>
      <w:proofErr w:type="spellEnd"/>
      <w:r w:rsidRPr="00563776">
        <w:t xml:space="preserve"> </w:t>
      </w:r>
      <w:proofErr w:type="spellStart"/>
      <w:r w:rsidRPr="00563776">
        <w:t>structure</w:t>
      </w:r>
      <w:proofErr w:type="spellEnd"/>
      <w:r w:rsidRPr="00563776">
        <w:t xml:space="preserve"> </w:t>
      </w:r>
      <w:proofErr w:type="spellStart"/>
      <w:r w:rsidRPr="00563776">
        <w:t>and</w:t>
      </w:r>
      <w:proofErr w:type="spellEnd"/>
      <w:r w:rsidRPr="00563776">
        <w:t xml:space="preserve"> </w:t>
      </w:r>
      <w:proofErr w:type="spellStart"/>
      <w:r w:rsidRPr="00563776">
        <w:t>guiding</w:t>
      </w:r>
      <w:proofErr w:type="spellEnd"/>
      <w:r w:rsidRPr="00563776">
        <w:t xml:space="preserve"> </w:t>
      </w:r>
      <w:proofErr w:type="spellStart"/>
      <w:r w:rsidRPr="00563776">
        <w:t>future</w:t>
      </w:r>
      <w:proofErr w:type="spellEnd"/>
      <w:r w:rsidRPr="00563776">
        <w:t xml:space="preserve"> </w:t>
      </w:r>
      <w:proofErr w:type="spellStart"/>
      <w:r w:rsidRPr="00563776">
        <w:t>research</w:t>
      </w:r>
      <w:proofErr w:type="spellEnd"/>
      <w:r w:rsidRPr="00563776">
        <w:t xml:space="preserve">. </w:t>
      </w:r>
      <w:proofErr w:type="spellStart"/>
      <w:r w:rsidRPr="00563776">
        <w:t>Conceptual</w:t>
      </w:r>
      <w:proofErr w:type="spellEnd"/>
      <w:r w:rsidRPr="00563776">
        <w:t xml:space="preserve"> </w:t>
      </w:r>
      <w:proofErr w:type="spellStart"/>
      <w:r w:rsidRPr="00563776">
        <w:t>analysis</w:t>
      </w:r>
      <w:proofErr w:type="spellEnd"/>
      <w:r w:rsidRPr="00563776">
        <w:t xml:space="preserve"> </w:t>
      </w:r>
      <w:proofErr w:type="spellStart"/>
      <w:r w:rsidRPr="00563776">
        <w:t>technique</w:t>
      </w:r>
      <w:proofErr w:type="spellEnd"/>
      <w:r w:rsidRPr="00563776">
        <w:t xml:space="preserve"> </w:t>
      </w:r>
      <w:proofErr w:type="spellStart"/>
      <w:r w:rsidRPr="00563776">
        <w:t>was</w:t>
      </w:r>
      <w:proofErr w:type="spellEnd"/>
      <w:r w:rsidRPr="00563776">
        <w:t xml:space="preserve"> </w:t>
      </w:r>
      <w:proofErr w:type="spellStart"/>
      <w:r w:rsidRPr="00563776">
        <w:t>used</w:t>
      </w:r>
      <w:proofErr w:type="spellEnd"/>
      <w:r w:rsidRPr="00563776">
        <w:t xml:space="preserve"> in </w:t>
      </w:r>
      <w:proofErr w:type="spellStart"/>
      <w:r w:rsidRPr="00563776">
        <w:t>this</w:t>
      </w:r>
      <w:proofErr w:type="spellEnd"/>
      <w:r w:rsidRPr="00563776">
        <w:t xml:space="preserve"> </w:t>
      </w:r>
      <w:proofErr w:type="spellStart"/>
      <w:r w:rsidRPr="00563776">
        <w:t>research</w:t>
      </w:r>
      <w:proofErr w:type="spellEnd"/>
      <w:r w:rsidRPr="00563776">
        <w:t xml:space="preserve">, </w:t>
      </w:r>
      <w:proofErr w:type="spellStart"/>
      <w:r w:rsidRPr="00563776">
        <w:t>which</w:t>
      </w:r>
      <w:proofErr w:type="spellEnd"/>
      <w:r w:rsidRPr="00563776">
        <w:t xml:space="preserve"> </w:t>
      </w:r>
      <w:proofErr w:type="spellStart"/>
      <w:r w:rsidRPr="00563776">
        <w:t>was</w:t>
      </w:r>
      <w:proofErr w:type="spellEnd"/>
      <w:r w:rsidRPr="00563776">
        <w:t xml:space="preserve"> </w:t>
      </w:r>
      <w:proofErr w:type="spellStart"/>
      <w:r w:rsidRPr="00563776">
        <w:t>designed</w:t>
      </w:r>
      <w:proofErr w:type="spellEnd"/>
      <w:r w:rsidRPr="00563776">
        <w:t xml:space="preserve"> as a </w:t>
      </w:r>
      <w:proofErr w:type="spellStart"/>
      <w:r w:rsidRPr="00563776">
        <w:t>review</w:t>
      </w:r>
      <w:proofErr w:type="spellEnd"/>
      <w:r w:rsidRPr="00563776">
        <w:t xml:space="preserve">. </w:t>
      </w:r>
      <w:proofErr w:type="spellStart"/>
      <w:r w:rsidRPr="00563776">
        <w:t>The</w:t>
      </w:r>
      <w:proofErr w:type="spellEnd"/>
      <w:r w:rsidRPr="00563776">
        <w:t xml:space="preserve"> </w:t>
      </w:r>
      <w:proofErr w:type="spellStart"/>
      <w:r w:rsidRPr="00563776">
        <w:t>study</w:t>
      </w:r>
      <w:proofErr w:type="spellEnd"/>
      <w:r w:rsidRPr="00563776">
        <w:t xml:space="preserve"> </w:t>
      </w:r>
      <w:proofErr w:type="spellStart"/>
      <w:r w:rsidRPr="00563776">
        <w:t>concluded</w:t>
      </w:r>
      <w:proofErr w:type="spellEnd"/>
      <w:r w:rsidRPr="00563776">
        <w:t xml:space="preserve"> </w:t>
      </w:r>
      <w:proofErr w:type="spellStart"/>
      <w:r w:rsidRPr="00563776">
        <w:t>that</w:t>
      </w:r>
      <w:proofErr w:type="spellEnd"/>
      <w:r w:rsidRPr="00563776">
        <w:t xml:space="preserve"> </w:t>
      </w:r>
      <w:proofErr w:type="spellStart"/>
      <w:r w:rsidRPr="00563776">
        <w:t>although</w:t>
      </w:r>
      <w:proofErr w:type="spellEnd"/>
      <w:r w:rsidRPr="00563776">
        <w:t xml:space="preserve"> </w:t>
      </w:r>
      <w:proofErr w:type="spellStart"/>
      <w:r w:rsidRPr="00563776">
        <w:t>the</w:t>
      </w:r>
      <w:proofErr w:type="spellEnd"/>
      <w:r w:rsidRPr="00563776">
        <w:t xml:space="preserve"> </w:t>
      </w:r>
      <w:proofErr w:type="spellStart"/>
      <w:r w:rsidRPr="00563776">
        <w:t>metaverse</w:t>
      </w:r>
      <w:proofErr w:type="spellEnd"/>
      <w:r w:rsidRPr="00563776">
        <w:t xml:space="preserve"> </w:t>
      </w:r>
      <w:proofErr w:type="spellStart"/>
      <w:r w:rsidRPr="00563776">
        <w:t>and</w:t>
      </w:r>
      <w:proofErr w:type="spellEnd"/>
      <w:r w:rsidRPr="00563776">
        <w:t xml:space="preserve"> </w:t>
      </w:r>
      <w:proofErr w:type="spellStart"/>
      <w:r w:rsidRPr="00563776">
        <w:t>digitalization</w:t>
      </w:r>
      <w:proofErr w:type="spellEnd"/>
      <w:r w:rsidRPr="00563776">
        <w:t xml:space="preserve"> </w:t>
      </w:r>
      <w:proofErr w:type="spellStart"/>
      <w:r w:rsidRPr="00563776">
        <w:t>have</w:t>
      </w:r>
      <w:proofErr w:type="spellEnd"/>
      <w:r w:rsidRPr="00563776">
        <w:t xml:space="preserve"> </w:t>
      </w:r>
      <w:proofErr w:type="spellStart"/>
      <w:r w:rsidRPr="00563776">
        <w:t>the</w:t>
      </w:r>
      <w:proofErr w:type="spellEnd"/>
      <w:r w:rsidRPr="00563776">
        <w:t xml:space="preserve"> </w:t>
      </w:r>
      <w:proofErr w:type="spellStart"/>
      <w:r w:rsidRPr="00563776">
        <w:t>potential</w:t>
      </w:r>
      <w:proofErr w:type="spellEnd"/>
      <w:r w:rsidRPr="00563776">
        <w:t xml:space="preserve"> </w:t>
      </w:r>
      <w:proofErr w:type="spellStart"/>
      <w:r w:rsidRPr="00563776">
        <w:t>to</w:t>
      </w:r>
      <w:proofErr w:type="spellEnd"/>
      <w:r w:rsidRPr="00563776">
        <w:t xml:space="preserve"> be a </w:t>
      </w:r>
      <w:proofErr w:type="spellStart"/>
      <w:r w:rsidRPr="00563776">
        <w:t>positive</w:t>
      </w:r>
      <w:proofErr w:type="spellEnd"/>
      <w:r w:rsidRPr="00563776">
        <w:t xml:space="preserve"> platform </w:t>
      </w:r>
      <w:proofErr w:type="spellStart"/>
      <w:r w:rsidRPr="00563776">
        <w:t>for</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they </w:t>
      </w:r>
      <w:proofErr w:type="spellStart"/>
      <w:r w:rsidRPr="00563776">
        <w:t>may</w:t>
      </w:r>
      <w:proofErr w:type="spellEnd"/>
      <w:r w:rsidRPr="00563776">
        <w:t xml:space="preserve"> </w:t>
      </w:r>
      <w:proofErr w:type="spellStart"/>
      <w:r w:rsidRPr="00563776">
        <w:t>face</w:t>
      </w:r>
      <w:proofErr w:type="spellEnd"/>
      <w:r w:rsidRPr="00563776">
        <w:t xml:space="preserve"> a </w:t>
      </w:r>
      <w:proofErr w:type="spellStart"/>
      <w:r w:rsidRPr="00563776">
        <w:t>number</w:t>
      </w:r>
      <w:proofErr w:type="spellEnd"/>
      <w:r w:rsidRPr="00563776">
        <w:t xml:space="preserve"> of </w:t>
      </w:r>
      <w:proofErr w:type="spellStart"/>
      <w:r w:rsidRPr="00563776">
        <w:t>challenges</w:t>
      </w:r>
      <w:proofErr w:type="spellEnd"/>
      <w:r w:rsidRPr="00563776">
        <w:t xml:space="preserve"> </w:t>
      </w:r>
      <w:proofErr w:type="spellStart"/>
      <w:r w:rsidRPr="00563776">
        <w:t>such</w:t>
      </w:r>
      <w:proofErr w:type="spellEnd"/>
      <w:r w:rsidRPr="00563776">
        <w:t xml:space="preserve"> as </w:t>
      </w:r>
      <w:proofErr w:type="spellStart"/>
      <w:r w:rsidRPr="00563776">
        <w:t>limited</w:t>
      </w:r>
      <w:proofErr w:type="spellEnd"/>
      <w:r w:rsidRPr="00563776">
        <w:t xml:space="preserve"> </w:t>
      </w:r>
      <w:proofErr w:type="spellStart"/>
      <w:r w:rsidRPr="00563776">
        <w:t>access</w:t>
      </w:r>
      <w:proofErr w:type="spellEnd"/>
      <w:r w:rsidRPr="00563776">
        <w:t xml:space="preserve"> </w:t>
      </w:r>
      <w:proofErr w:type="spellStart"/>
      <w:r w:rsidRPr="00563776">
        <w:t>and</w:t>
      </w:r>
      <w:proofErr w:type="spellEnd"/>
      <w:r w:rsidRPr="00563776">
        <w:t xml:space="preserve"> </w:t>
      </w:r>
      <w:proofErr w:type="spellStart"/>
      <w:r w:rsidRPr="00563776">
        <w:t>digital</w:t>
      </w:r>
      <w:proofErr w:type="spellEnd"/>
      <w:r w:rsidRPr="00563776">
        <w:t xml:space="preserve"> </w:t>
      </w:r>
      <w:proofErr w:type="spellStart"/>
      <w:r w:rsidRPr="00563776">
        <w:t>skills</w:t>
      </w:r>
      <w:proofErr w:type="spellEnd"/>
      <w:r w:rsidRPr="00563776">
        <w:t xml:space="preserve"> </w:t>
      </w:r>
      <w:proofErr w:type="spellStart"/>
      <w:r w:rsidRPr="00563776">
        <w:t>inequalities</w:t>
      </w:r>
      <w:proofErr w:type="spellEnd"/>
      <w:r w:rsidRPr="00563776">
        <w:t xml:space="preserve">. </w:t>
      </w:r>
      <w:proofErr w:type="spellStart"/>
      <w:r w:rsidRPr="00563776">
        <w:t>In</w:t>
      </w:r>
      <w:proofErr w:type="spellEnd"/>
      <w:r w:rsidRPr="00563776">
        <w:t xml:space="preserve"> </w:t>
      </w:r>
      <w:proofErr w:type="spellStart"/>
      <w:r w:rsidRPr="00563776">
        <w:t>addition</w:t>
      </w:r>
      <w:proofErr w:type="spellEnd"/>
      <w:r w:rsidRPr="00563776">
        <w:t xml:space="preserve">, it </w:t>
      </w:r>
      <w:proofErr w:type="spellStart"/>
      <w:r w:rsidRPr="00563776">
        <w:t>was</w:t>
      </w:r>
      <w:proofErr w:type="spellEnd"/>
      <w:r w:rsidRPr="00563776">
        <w:t xml:space="preserve"> </w:t>
      </w:r>
      <w:proofErr w:type="spellStart"/>
      <w:r w:rsidRPr="00563776">
        <w:t>concluded</w:t>
      </w:r>
      <w:proofErr w:type="spellEnd"/>
      <w:r w:rsidRPr="00563776">
        <w:t xml:space="preserve"> </w:t>
      </w:r>
      <w:proofErr w:type="spellStart"/>
      <w:r w:rsidRPr="00563776">
        <w:t>that</w:t>
      </w:r>
      <w:proofErr w:type="spellEnd"/>
      <w:r w:rsidRPr="00563776">
        <w:t xml:space="preserve"> </w:t>
      </w:r>
      <w:proofErr w:type="spellStart"/>
      <w:r w:rsidRPr="00563776">
        <w:t>recreation</w:t>
      </w:r>
      <w:proofErr w:type="spellEnd"/>
      <w:r w:rsidRPr="00563776">
        <w:t xml:space="preserve"> can </w:t>
      </w:r>
      <w:proofErr w:type="spellStart"/>
      <w:r w:rsidRPr="00563776">
        <w:t>offer</w:t>
      </w:r>
      <w:proofErr w:type="spellEnd"/>
      <w:r w:rsidRPr="00563776">
        <w:t xml:space="preserve"> </w:t>
      </w:r>
      <w:proofErr w:type="spellStart"/>
      <w:r w:rsidRPr="00563776">
        <w:t>important</w:t>
      </w:r>
      <w:proofErr w:type="spellEnd"/>
      <w:r w:rsidRPr="00563776">
        <w:t xml:space="preserve"> </w:t>
      </w:r>
      <w:proofErr w:type="spellStart"/>
      <w:r w:rsidRPr="00563776">
        <w:t>opportunities</w:t>
      </w:r>
      <w:proofErr w:type="spellEnd"/>
      <w:r w:rsidRPr="00563776">
        <w:t xml:space="preserve"> </w:t>
      </w:r>
      <w:proofErr w:type="spellStart"/>
      <w:r w:rsidRPr="00563776">
        <w:t>to</w:t>
      </w:r>
      <w:proofErr w:type="spellEnd"/>
      <w:r w:rsidRPr="00563776">
        <w:t xml:space="preserve"> </w:t>
      </w:r>
      <w:proofErr w:type="spellStart"/>
      <w:r w:rsidRPr="00563776">
        <w:t>increase</w:t>
      </w:r>
      <w:proofErr w:type="spellEnd"/>
      <w:r w:rsidRPr="00563776">
        <w:t xml:space="preserve"> </w:t>
      </w:r>
      <w:proofErr w:type="spellStart"/>
      <w:r w:rsidRPr="00563776">
        <w:t>social</w:t>
      </w:r>
      <w:proofErr w:type="spellEnd"/>
      <w:r w:rsidRPr="00563776">
        <w:t xml:space="preserve"> </w:t>
      </w:r>
      <w:proofErr w:type="spellStart"/>
      <w:r w:rsidRPr="00563776">
        <w:t>participation</w:t>
      </w:r>
      <w:proofErr w:type="spellEnd"/>
      <w:r w:rsidRPr="00563776">
        <w:t xml:space="preserve"> </w:t>
      </w:r>
      <w:proofErr w:type="spellStart"/>
      <w:r w:rsidRPr="00563776">
        <w:t>and</w:t>
      </w:r>
      <w:proofErr w:type="spellEnd"/>
      <w:r w:rsidRPr="00563776">
        <w:t xml:space="preserve"> </w:t>
      </w:r>
      <w:proofErr w:type="spellStart"/>
      <w:r w:rsidRPr="00563776">
        <w:t>strengthen</w:t>
      </w:r>
      <w:proofErr w:type="spellEnd"/>
      <w:r w:rsidRPr="00563776">
        <w:t xml:space="preserve"> </w:t>
      </w:r>
      <w:proofErr w:type="spellStart"/>
      <w:r w:rsidRPr="00563776">
        <w:t>social</w:t>
      </w:r>
      <w:proofErr w:type="spellEnd"/>
      <w:r w:rsidRPr="00563776">
        <w:t xml:space="preserve"> </w:t>
      </w:r>
      <w:proofErr w:type="spellStart"/>
      <w:r w:rsidRPr="00563776">
        <w:t>bonds</w:t>
      </w:r>
      <w:proofErr w:type="spellEnd"/>
      <w:r w:rsidRPr="00563776">
        <w:t xml:space="preserve">, but </w:t>
      </w:r>
      <w:proofErr w:type="spellStart"/>
      <w:r w:rsidRPr="00563776">
        <w:t>issues</w:t>
      </w:r>
      <w:proofErr w:type="spellEnd"/>
      <w:r w:rsidRPr="00563776">
        <w:t xml:space="preserve"> </w:t>
      </w:r>
      <w:proofErr w:type="spellStart"/>
      <w:r w:rsidRPr="00563776">
        <w:t>such</w:t>
      </w:r>
      <w:proofErr w:type="spellEnd"/>
      <w:r w:rsidRPr="00563776">
        <w:t xml:space="preserve"> as </w:t>
      </w:r>
      <w:proofErr w:type="spellStart"/>
      <w:r w:rsidRPr="00563776">
        <w:t>access</w:t>
      </w:r>
      <w:proofErr w:type="spellEnd"/>
      <w:r w:rsidRPr="00563776">
        <w:t xml:space="preserve"> </w:t>
      </w:r>
      <w:proofErr w:type="spellStart"/>
      <w:r w:rsidRPr="00563776">
        <w:t>barriers</w:t>
      </w:r>
      <w:proofErr w:type="spellEnd"/>
      <w:r w:rsidRPr="00563776">
        <w:t xml:space="preserve"> </w:t>
      </w:r>
      <w:proofErr w:type="spellStart"/>
      <w:r w:rsidRPr="00563776">
        <w:t>and</w:t>
      </w:r>
      <w:proofErr w:type="spellEnd"/>
      <w:r w:rsidRPr="00563776">
        <w:t xml:space="preserve"> </w:t>
      </w:r>
      <w:proofErr w:type="spellStart"/>
      <w:r w:rsidRPr="00563776">
        <w:t>security</w:t>
      </w:r>
      <w:proofErr w:type="spellEnd"/>
      <w:r w:rsidRPr="00563776">
        <w:t xml:space="preserve"> in </w:t>
      </w:r>
      <w:proofErr w:type="spellStart"/>
      <w:r w:rsidRPr="00563776">
        <w:t>the</w:t>
      </w:r>
      <w:proofErr w:type="spellEnd"/>
      <w:r w:rsidRPr="00563776">
        <w:t xml:space="preserve"> </w:t>
      </w:r>
      <w:proofErr w:type="spellStart"/>
      <w:r w:rsidRPr="00563776">
        <w:t>virtual</w:t>
      </w:r>
      <w:proofErr w:type="spellEnd"/>
      <w:r w:rsidRPr="00563776">
        <w:t xml:space="preserve"> </w:t>
      </w:r>
      <w:proofErr w:type="spellStart"/>
      <w:r w:rsidRPr="00563776">
        <w:t>world</w:t>
      </w:r>
      <w:proofErr w:type="spellEnd"/>
      <w:r w:rsidRPr="00563776">
        <w:t xml:space="preserve"> </w:t>
      </w:r>
      <w:proofErr w:type="spellStart"/>
      <w:r w:rsidRPr="00563776">
        <w:t>may</w:t>
      </w:r>
      <w:proofErr w:type="spellEnd"/>
      <w:r w:rsidRPr="00563776">
        <w:t xml:space="preserve"> limit </w:t>
      </w:r>
      <w:proofErr w:type="spellStart"/>
      <w:r w:rsidRPr="00563776">
        <w:t>these</w:t>
      </w:r>
      <w:proofErr w:type="spellEnd"/>
      <w:r w:rsidRPr="00563776">
        <w:t xml:space="preserve"> </w:t>
      </w:r>
      <w:proofErr w:type="spellStart"/>
      <w:r w:rsidRPr="00563776">
        <w:t>opportunities</w:t>
      </w:r>
      <w:proofErr w:type="spellEnd"/>
      <w:r w:rsidRPr="00563776">
        <w:t xml:space="preserve">. </w:t>
      </w:r>
      <w:proofErr w:type="spellStart"/>
      <w:r w:rsidRPr="00563776">
        <w:t>It</w:t>
      </w:r>
      <w:proofErr w:type="spellEnd"/>
      <w:r w:rsidRPr="00563776">
        <w:t xml:space="preserve"> has </w:t>
      </w:r>
      <w:proofErr w:type="spellStart"/>
      <w:r w:rsidRPr="00563776">
        <w:t>been</w:t>
      </w:r>
      <w:proofErr w:type="spellEnd"/>
      <w:r w:rsidRPr="00563776">
        <w:t xml:space="preserve"> </w:t>
      </w:r>
      <w:proofErr w:type="spellStart"/>
      <w:r w:rsidRPr="00563776">
        <w:t>determined</w:t>
      </w:r>
      <w:proofErr w:type="spellEnd"/>
      <w:r w:rsidRPr="00563776">
        <w:t xml:space="preserve"> </w:t>
      </w:r>
      <w:proofErr w:type="spellStart"/>
      <w:r w:rsidRPr="00563776">
        <w:t>that</w:t>
      </w:r>
      <w:proofErr w:type="spellEnd"/>
      <w:r w:rsidRPr="00563776">
        <w:t xml:space="preserve"> </w:t>
      </w:r>
      <w:proofErr w:type="spellStart"/>
      <w:r w:rsidRPr="00563776">
        <w:t>digital</w:t>
      </w:r>
      <w:proofErr w:type="spellEnd"/>
      <w:r w:rsidRPr="00563776">
        <w:t xml:space="preserve"> </w:t>
      </w:r>
      <w:proofErr w:type="spellStart"/>
      <w:r w:rsidRPr="00563776">
        <w:t>recreation</w:t>
      </w:r>
      <w:proofErr w:type="spellEnd"/>
      <w:r w:rsidRPr="00563776">
        <w:t xml:space="preserve"> can </w:t>
      </w:r>
      <w:proofErr w:type="spellStart"/>
      <w:r w:rsidRPr="00563776">
        <w:t>play</w:t>
      </w:r>
      <w:proofErr w:type="spellEnd"/>
      <w:r w:rsidRPr="00563776">
        <w:t xml:space="preserve"> an </w:t>
      </w:r>
      <w:proofErr w:type="spellStart"/>
      <w:r w:rsidRPr="00563776">
        <w:t>effective</w:t>
      </w:r>
      <w:proofErr w:type="spellEnd"/>
      <w:r w:rsidRPr="00563776">
        <w:t xml:space="preserve"> role in </w:t>
      </w:r>
      <w:proofErr w:type="spellStart"/>
      <w:r w:rsidRPr="00563776">
        <w:t>both</w:t>
      </w:r>
      <w:proofErr w:type="spellEnd"/>
      <w:r w:rsidRPr="00563776">
        <w:t xml:space="preserve"> </w:t>
      </w:r>
      <w:proofErr w:type="spellStart"/>
      <w:r w:rsidRPr="00563776">
        <w:t>increasing</w:t>
      </w:r>
      <w:proofErr w:type="spellEnd"/>
      <w:r w:rsidRPr="00563776">
        <w:t xml:space="preserve"> </w:t>
      </w:r>
      <w:proofErr w:type="spellStart"/>
      <w:r w:rsidRPr="00563776">
        <w:t>social</w:t>
      </w:r>
      <w:proofErr w:type="spellEnd"/>
      <w:r w:rsidRPr="00563776">
        <w:t xml:space="preserve"> </w:t>
      </w:r>
      <w:proofErr w:type="spellStart"/>
      <w:r w:rsidRPr="00563776">
        <w:t>participation</w:t>
      </w:r>
      <w:proofErr w:type="spellEnd"/>
      <w:r w:rsidRPr="00563776">
        <w:t xml:space="preserve"> </w:t>
      </w:r>
      <w:proofErr w:type="spellStart"/>
      <w:r w:rsidRPr="00563776">
        <w:t>and</w:t>
      </w:r>
      <w:proofErr w:type="spellEnd"/>
      <w:r w:rsidRPr="00563776">
        <w:t xml:space="preserve"> </w:t>
      </w:r>
      <w:proofErr w:type="spellStart"/>
      <w:r w:rsidRPr="00563776">
        <w:t>strengthening</w:t>
      </w:r>
      <w:proofErr w:type="spellEnd"/>
      <w:r w:rsidRPr="00563776">
        <w:t xml:space="preserve"> </w:t>
      </w:r>
      <w:proofErr w:type="spellStart"/>
      <w:r w:rsidRPr="00563776">
        <w:t>social</w:t>
      </w:r>
      <w:proofErr w:type="spellEnd"/>
      <w:r w:rsidRPr="00563776">
        <w:t xml:space="preserve"> </w:t>
      </w:r>
      <w:proofErr w:type="spellStart"/>
      <w:r w:rsidRPr="00563776">
        <w:t>bonds</w:t>
      </w:r>
      <w:proofErr w:type="spellEnd"/>
      <w:r w:rsidRPr="00563776">
        <w:t xml:space="preserve">. </w:t>
      </w:r>
      <w:proofErr w:type="spellStart"/>
      <w:r w:rsidRPr="00563776">
        <w:t>In</w:t>
      </w:r>
      <w:proofErr w:type="spellEnd"/>
      <w:r w:rsidRPr="00563776">
        <w:t xml:space="preserve"> </w:t>
      </w:r>
      <w:proofErr w:type="spellStart"/>
      <w:r w:rsidRPr="00563776">
        <w:t>all</w:t>
      </w:r>
      <w:proofErr w:type="spellEnd"/>
      <w:r w:rsidRPr="00563776">
        <w:t xml:space="preserve"> </w:t>
      </w:r>
      <w:proofErr w:type="spellStart"/>
      <w:r w:rsidRPr="00563776">
        <w:t>these</w:t>
      </w:r>
      <w:proofErr w:type="spellEnd"/>
      <w:r w:rsidRPr="00563776">
        <w:t xml:space="preserve"> </w:t>
      </w:r>
      <w:proofErr w:type="spellStart"/>
      <w:r w:rsidRPr="00563776">
        <w:t>cases</w:t>
      </w:r>
      <w:proofErr w:type="spellEnd"/>
      <w:r w:rsidRPr="00563776">
        <w:t xml:space="preserve">, it is </w:t>
      </w:r>
      <w:proofErr w:type="spellStart"/>
      <w:r w:rsidRPr="00563776">
        <w:t>evident</w:t>
      </w:r>
      <w:proofErr w:type="spellEnd"/>
      <w:r w:rsidRPr="00563776">
        <w:t xml:space="preserve"> </w:t>
      </w:r>
      <w:proofErr w:type="spellStart"/>
      <w:r w:rsidRPr="00563776">
        <w:t>that</w:t>
      </w:r>
      <w:proofErr w:type="spellEnd"/>
      <w:r w:rsidRPr="00563776">
        <w:t xml:space="preserve"> </w:t>
      </w:r>
      <w:proofErr w:type="spellStart"/>
      <w:r w:rsidRPr="00563776">
        <w:t>specific</w:t>
      </w:r>
      <w:proofErr w:type="spellEnd"/>
      <w:r w:rsidRPr="00563776">
        <w:t xml:space="preserve"> </w:t>
      </w:r>
      <w:proofErr w:type="spellStart"/>
      <w:r w:rsidRPr="00563776">
        <w:t>strategies</w:t>
      </w:r>
      <w:proofErr w:type="spellEnd"/>
      <w:r w:rsidRPr="00563776">
        <w:t xml:space="preserve"> </w:t>
      </w:r>
      <w:proofErr w:type="spellStart"/>
      <w:r w:rsidRPr="00563776">
        <w:t>need</w:t>
      </w:r>
      <w:proofErr w:type="spellEnd"/>
      <w:r w:rsidRPr="00563776">
        <w:t xml:space="preserve"> </w:t>
      </w:r>
      <w:proofErr w:type="spellStart"/>
      <w:r w:rsidRPr="00563776">
        <w:t>to</w:t>
      </w:r>
      <w:proofErr w:type="spellEnd"/>
      <w:r w:rsidRPr="00563776">
        <w:t xml:space="preserve"> be </w:t>
      </w:r>
      <w:proofErr w:type="spellStart"/>
      <w:r w:rsidRPr="00563776">
        <w:t>developed</w:t>
      </w:r>
      <w:proofErr w:type="spellEnd"/>
      <w:r w:rsidRPr="00563776">
        <w:t xml:space="preserve"> </w:t>
      </w:r>
      <w:proofErr w:type="spellStart"/>
      <w:r w:rsidRPr="00563776">
        <w:t>to</w:t>
      </w:r>
      <w:proofErr w:type="spellEnd"/>
      <w:r w:rsidRPr="00563776">
        <w:t xml:space="preserve"> </w:t>
      </w:r>
      <w:proofErr w:type="spellStart"/>
      <w:r w:rsidRPr="00563776">
        <w:t>ensure</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in </w:t>
      </w:r>
      <w:proofErr w:type="spellStart"/>
      <w:r w:rsidRPr="00563776">
        <w:t>the</w:t>
      </w:r>
      <w:proofErr w:type="spellEnd"/>
      <w:r w:rsidRPr="00563776">
        <w:t xml:space="preserve"> </w:t>
      </w:r>
      <w:proofErr w:type="spellStart"/>
      <w:r w:rsidRPr="00563776">
        <w:t>digital</w:t>
      </w:r>
      <w:proofErr w:type="spellEnd"/>
      <w:r w:rsidRPr="00563776">
        <w:t xml:space="preserve"> </w:t>
      </w:r>
      <w:proofErr w:type="spellStart"/>
      <w:r w:rsidRPr="00563776">
        <w:t>world</w:t>
      </w:r>
      <w:proofErr w:type="spellEnd"/>
      <w:r w:rsidRPr="00563776">
        <w:t xml:space="preserve">. </w:t>
      </w:r>
      <w:proofErr w:type="spellStart"/>
      <w:r w:rsidRPr="00563776">
        <w:t>Future</w:t>
      </w:r>
      <w:proofErr w:type="spellEnd"/>
      <w:r w:rsidRPr="00563776">
        <w:t xml:space="preserve"> </w:t>
      </w:r>
      <w:proofErr w:type="spellStart"/>
      <w:r w:rsidRPr="00563776">
        <w:t>research</w:t>
      </w:r>
      <w:proofErr w:type="spellEnd"/>
      <w:r w:rsidRPr="00563776">
        <w:t xml:space="preserve"> </w:t>
      </w:r>
      <w:proofErr w:type="spellStart"/>
      <w:r w:rsidRPr="00563776">
        <w:t>could</w:t>
      </w:r>
      <w:proofErr w:type="spellEnd"/>
      <w:r w:rsidRPr="00563776">
        <w:t xml:space="preserve"> </w:t>
      </w:r>
      <w:proofErr w:type="spellStart"/>
      <w:r w:rsidRPr="00563776">
        <w:t>more</w:t>
      </w:r>
      <w:proofErr w:type="spellEnd"/>
      <w:r w:rsidRPr="00563776">
        <w:t xml:space="preserve"> </w:t>
      </w:r>
      <w:proofErr w:type="spellStart"/>
      <w:r w:rsidRPr="00563776">
        <w:t>comprehensively</w:t>
      </w:r>
      <w:proofErr w:type="spellEnd"/>
      <w:r w:rsidRPr="00563776">
        <w:t xml:space="preserve"> </w:t>
      </w:r>
      <w:proofErr w:type="spellStart"/>
      <w:r w:rsidRPr="00563776">
        <w:t>examine</w:t>
      </w:r>
      <w:proofErr w:type="spellEnd"/>
      <w:r w:rsidRPr="00563776">
        <w:t xml:space="preserve"> </w:t>
      </w:r>
      <w:proofErr w:type="spellStart"/>
      <w:r w:rsidRPr="00563776">
        <w:t>the</w:t>
      </w:r>
      <w:proofErr w:type="spellEnd"/>
      <w:r w:rsidRPr="00563776">
        <w:t xml:space="preserve"> </w:t>
      </w:r>
      <w:proofErr w:type="spellStart"/>
      <w:r w:rsidRPr="00563776">
        <w:t>impact</w:t>
      </w:r>
      <w:proofErr w:type="spellEnd"/>
      <w:r w:rsidRPr="00563776">
        <w:t xml:space="preserve"> of </w:t>
      </w:r>
      <w:proofErr w:type="spellStart"/>
      <w:r w:rsidRPr="00563776">
        <w:t>the</w:t>
      </w:r>
      <w:proofErr w:type="spellEnd"/>
      <w:r w:rsidRPr="00563776">
        <w:t xml:space="preserve"> </w:t>
      </w:r>
      <w:proofErr w:type="spellStart"/>
      <w:r w:rsidRPr="00563776">
        <w:t>metaverse</w:t>
      </w:r>
      <w:proofErr w:type="spellEnd"/>
      <w:r w:rsidRPr="00563776">
        <w:t xml:space="preserve">, </w:t>
      </w:r>
      <w:proofErr w:type="spellStart"/>
      <w:r w:rsidRPr="00563776">
        <w:t>recreation</w:t>
      </w:r>
      <w:proofErr w:type="spellEnd"/>
      <w:r w:rsidRPr="00563776">
        <w:t xml:space="preserve"> </w:t>
      </w:r>
      <w:proofErr w:type="spellStart"/>
      <w:r w:rsidRPr="00563776">
        <w:t>and</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in </w:t>
      </w:r>
      <w:proofErr w:type="spellStart"/>
      <w:r w:rsidRPr="00563776">
        <w:t>the</w:t>
      </w:r>
      <w:proofErr w:type="spellEnd"/>
      <w:r w:rsidRPr="00563776">
        <w:t xml:space="preserve"> </w:t>
      </w:r>
      <w:proofErr w:type="spellStart"/>
      <w:r w:rsidRPr="00563776">
        <w:t>digital</w:t>
      </w:r>
      <w:proofErr w:type="spellEnd"/>
      <w:r w:rsidRPr="00563776">
        <w:t xml:space="preserve"> </w:t>
      </w:r>
      <w:proofErr w:type="spellStart"/>
      <w:r w:rsidRPr="00563776">
        <w:t>transformation</w:t>
      </w:r>
      <w:proofErr w:type="spellEnd"/>
      <w:r w:rsidRPr="00563776">
        <w:t xml:space="preserve"> </w:t>
      </w:r>
      <w:proofErr w:type="spellStart"/>
      <w:r w:rsidRPr="00563776">
        <w:t>process</w:t>
      </w:r>
      <w:proofErr w:type="spellEnd"/>
      <w:r w:rsidRPr="00563776">
        <w:t xml:space="preserve"> </w:t>
      </w:r>
      <w:proofErr w:type="spellStart"/>
      <w:r w:rsidRPr="00563776">
        <w:t>and</w:t>
      </w:r>
      <w:proofErr w:type="spellEnd"/>
      <w:r w:rsidRPr="00563776">
        <w:t xml:space="preserve"> </w:t>
      </w:r>
      <w:proofErr w:type="spellStart"/>
      <w:r w:rsidRPr="00563776">
        <w:t>provide</w:t>
      </w:r>
      <w:proofErr w:type="spellEnd"/>
      <w:r w:rsidRPr="00563776">
        <w:t xml:space="preserve"> </w:t>
      </w:r>
      <w:proofErr w:type="spellStart"/>
      <w:r w:rsidRPr="00563776">
        <w:t>guidance</w:t>
      </w:r>
      <w:proofErr w:type="spellEnd"/>
      <w:r w:rsidRPr="00563776">
        <w:t xml:space="preserve"> </w:t>
      </w:r>
      <w:proofErr w:type="spellStart"/>
      <w:r w:rsidRPr="00563776">
        <w:t>for</w:t>
      </w:r>
      <w:proofErr w:type="spellEnd"/>
      <w:r w:rsidRPr="00563776">
        <w:t xml:space="preserve"> </w:t>
      </w:r>
      <w:proofErr w:type="spellStart"/>
      <w:r w:rsidRPr="00563776">
        <w:t>developing</w:t>
      </w:r>
      <w:proofErr w:type="spellEnd"/>
      <w:r w:rsidRPr="00563776">
        <w:t xml:space="preserve"> an </w:t>
      </w:r>
      <w:proofErr w:type="spellStart"/>
      <w:r w:rsidRPr="00563776">
        <w:t>equitable</w:t>
      </w:r>
      <w:proofErr w:type="spellEnd"/>
      <w:r w:rsidRPr="00563776">
        <w:t xml:space="preserve"> </w:t>
      </w:r>
      <w:proofErr w:type="spellStart"/>
      <w:r w:rsidRPr="00563776">
        <w:t>approach</w:t>
      </w:r>
      <w:proofErr w:type="spellEnd"/>
      <w:r w:rsidRPr="00563776">
        <w:t xml:space="preserve"> in </w:t>
      </w:r>
      <w:proofErr w:type="spellStart"/>
      <w:r w:rsidRPr="00563776">
        <w:t>these</w:t>
      </w:r>
      <w:proofErr w:type="spellEnd"/>
      <w:r w:rsidRPr="00563776">
        <w:t xml:space="preserve"> </w:t>
      </w:r>
      <w:proofErr w:type="spellStart"/>
      <w:r w:rsidRPr="00563776">
        <w:t>areas</w:t>
      </w:r>
      <w:proofErr w:type="spellEnd"/>
      <w:r w:rsidRPr="00563776">
        <w:t xml:space="preserve">. </w:t>
      </w:r>
      <w:proofErr w:type="spellStart"/>
      <w:r w:rsidRPr="00563776">
        <w:t>Quantitative</w:t>
      </w:r>
      <w:proofErr w:type="spellEnd"/>
      <w:r w:rsidRPr="00563776">
        <w:t xml:space="preserve"> </w:t>
      </w:r>
      <w:proofErr w:type="spellStart"/>
      <w:r w:rsidRPr="00563776">
        <w:t>research</w:t>
      </w:r>
      <w:proofErr w:type="spellEnd"/>
      <w:r w:rsidRPr="00563776">
        <w:t xml:space="preserve"> </w:t>
      </w:r>
      <w:proofErr w:type="spellStart"/>
      <w:r w:rsidRPr="00563776">
        <w:t>examining</w:t>
      </w:r>
      <w:proofErr w:type="spellEnd"/>
      <w:r w:rsidRPr="00563776">
        <w:t xml:space="preserve"> </w:t>
      </w:r>
      <w:proofErr w:type="spellStart"/>
      <w:r w:rsidRPr="00563776">
        <w:t>the</w:t>
      </w:r>
      <w:proofErr w:type="spellEnd"/>
      <w:r w:rsidRPr="00563776">
        <w:t xml:space="preserve"> </w:t>
      </w:r>
      <w:proofErr w:type="spellStart"/>
      <w:r w:rsidRPr="00563776">
        <w:t>impact</w:t>
      </w:r>
      <w:proofErr w:type="spellEnd"/>
      <w:r w:rsidRPr="00563776">
        <w:t xml:space="preserve"> of </w:t>
      </w:r>
      <w:proofErr w:type="spellStart"/>
      <w:r w:rsidRPr="00563776">
        <w:t>participation</w:t>
      </w:r>
      <w:proofErr w:type="spellEnd"/>
      <w:r w:rsidRPr="00563776">
        <w:t xml:space="preserve"> in </w:t>
      </w:r>
      <w:proofErr w:type="spellStart"/>
      <w:r w:rsidRPr="00563776">
        <w:t>digital</w:t>
      </w:r>
      <w:proofErr w:type="spellEnd"/>
      <w:r w:rsidRPr="00563776">
        <w:t xml:space="preserve"> </w:t>
      </w:r>
      <w:proofErr w:type="spellStart"/>
      <w:r w:rsidRPr="00563776">
        <w:t>recreation</w:t>
      </w:r>
      <w:proofErr w:type="spellEnd"/>
      <w:r w:rsidRPr="00563776">
        <w:t xml:space="preserve"> </w:t>
      </w:r>
      <w:proofErr w:type="spellStart"/>
      <w:r w:rsidRPr="00563776">
        <w:t>activities</w:t>
      </w:r>
      <w:proofErr w:type="spellEnd"/>
      <w:r w:rsidRPr="00563776">
        <w:t xml:space="preserve"> on </w:t>
      </w:r>
      <w:proofErr w:type="spellStart"/>
      <w:r w:rsidRPr="00563776">
        <w:t>social</w:t>
      </w:r>
      <w:proofErr w:type="spellEnd"/>
      <w:r w:rsidRPr="00563776">
        <w:t xml:space="preserve"> </w:t>
      </w:r>
      <w:proofErr w:type="spellStart"/>
      <w:r w:rsidRPr="00563776">
        <w:t>relations</w:t>
      </w:r>
      <w:proofErr w:type="spellEnd"/>
      <w:r w:rsidRPr="00563776">
        <w:t xml:space="preserve"> </w:t>
      </w:r>
      <w:proofErr w:type="spellStart"/>
      <w:r w:rsidRPr="00563776">
        <w:t>and</w:t>
      </w:r>
      <w:proofErr w:type="spellEnd"/>
      <w:r w:rsidRPr="00563776">
        <w:t xml:space="preserve"> </w:t>
      </w:r>
      <w:proofErr w:type="spellStart"/>
      <w:r w:rsidRPr="00563776">
        <w:t>gender</w:t>
      </w:r>
      <w:proofErr w:type="spellEnd"/>
      <w:r w:rsidRPr="00563776">
        <w:t xml:space="preserve"> </w:t>
      </w:r>
      <w:proofErr w:type="spellStart"/>
      <w:r w:rsidRPr="00563776">
        <w:t>equality</w:t>
      </w:r>
      <w:proofErr w:type="spellEnd"/>
      <w:r w:rsidRPr="00563776">
        <w:t xml:space="preserve"> is </w:t>
      </w:r>
      <w:proofErr w:type="spellStart"/>
      <w:r w:rsidRPr="00563776">
        <w:t>also</w:t>
      </w:r>
      <w:proofErr w:type="spellEnd"/>
      <w:r w:rsidRPr="00563776">
        <w:t xml:space="preserve"> </w:t>
      </w:r>
      <w:proofErr w:type="spellStart"/>
      <w:r w:rsidRPr="00563776">
        <w:t>recommended</w:t>
      </w:r>
      <w:proofErr w:type="spellEnd"/>
      <w:r>
        <w:t>.</w:t>
      </w:r>
    </w:p>
    <w:p w14:paraId="06C522B7" w14:textId="77777777" w:rsidR="00FA457D" w:rsidRDefault="00FA457D" w:rsidP="00FA457D">
      <w:pPr>
        <w:jc w:val="both"/>
      </w:pPr>
    </w:p>
    <w:p w14:paraId="53D17D8D" w14:textId="77777777" w:rsidR="00FA457D" w:rsidRDefault="00FA457D" w:rsidP="00FA457D">
      <w:pPr>
        <w:rPr>
          <w:bCs/>
        </w:rPr>
      </w:pPr>
      <w:proofErr w:type="spellStart"/>
      <w:r w:rsidRPr="00563776">
        <w:rPr>
          <w:b/>
          <w:bCs/>
        </w:rPr>
        <w:t>Keywords</w:t>
      </w:r>
      <w:proofErr w:type="spellEnd"/>
      <w:r w:rsidRPr="00563776">
        <w:rPr>
          <w:b/>
          <w:bCs/>
        </w:rPr>
        <w:t xml:space="preserve">: </w:t>
      </w:r>
      <w:proofErr w:type="spellStart"/>
      <w:r w:rsidRPr="00563776">
        <w:rPr>
          <w:bCs/>
        </w:rPr>
        <w:t>Gender</w:t>
      </w:r>
      <w:proofErr w:type="spellEnd"/>
      <w:r w:rsidRPr="00563776">
        <w:rPr>
          <w:bCs/>
        </w:rPr>
        <w:t xml:space="preserve"> </w:t>
      </w:r>
      <w:proofErr w:type="spellStart"/>
      <w:r w:rsidRPr="00563776">
        <w:rPr>
          <w:bCs/>
        </w:rPr>
        <w:t>Equality</w:t>
      </w:r>
      <w:proofErr w:type="spellEnd"/>
      <w:r w:rsidRPr="00563776">
        <w:rPr>
          <w:bCs/>
        </w:rPr>
        <w:t xml:space="preserve">, </w:t>
      </w:r>
      <w:proofErr w:type="spellStart"/>
      <w:r w:rsidRPr="00563776">
        <w:rPr>
          <w:bCs/>
        </w:rPr>
        <w:t>Metaverse</w:t>
      </w:r>
      <w:proofErr w:type="spellEnd"/>
      <w:r w:rsidRPr="00563776">
        <w:rPr>
          <w:bCs/>
        </w:rPr>
        <w:t xml:space="preserve">, </w:t>
      </w:r>
      <w:proofErr w:type="spellStart"/>
      <w:r w:rsidRPr="00563776">
        <w:rPr>
          <w:bCs/>
        </w:rPr>
        <w:t>Recreation</w:t>
      </w:r>
      <w:proofErr w:type="spellEnd"/>
      <w:r w:rsidRPr="00563776">
        <w:rPr>
          <w:bCs/>
        </w:rPr>
        <w:t xml:space="preserve">, </w:t>
      </w:r>
      <w:proofErr w:type="spellStart"/>
      <w:r w:rsidRPr="00563776">
        <w:rPr>
          <w:bCs/>
        </w:rPr>
        <w:t>Digitalization</w:t>
      </w:r>
      <w:proofErr w:type="spellEnd"/>
      <w:r w:rsidRPr="00563776">
        <w:rPr>
          <w:bCs/>
        </w:rPr>
        <w:t>.</w:t>
      </w:r>
    </w:p>
    <w:p w14:paraId="26CA7778" w14:textId="77777777" w:rsidR="00FA457D" w:rsidRDefault="00FA457D" w:rsidP="00FA457D"/>
    <w:p w14:paraId="6203F762" w14:textId="77777777" w:rsidR="00B96A5B" w:rsidRPr="00097B24" w:rsidRDefault="00B96A5B" w:rsidP="00FA457D"/>
    <w:p w14:paraId="405609FD" w14:textId="77777777" w:rsidR="00FA457D" w:rsidRDefault="00FA457D" w:rsidP="00FA457D">
      <w:pPr>
        <w:jc w:val="both"/>
        <w:rPr>
          <w:b/>
          <w:bCs/>
        </w:rPr>
      </w:pPr>
      <w:r>
        <w:rPr>
          <w:b/>
          <w:bCs/>
        </w:rPr>
        <w:lastRenderedPageBreak/>
        <w:t>1. GİRİŞ</w:t>
      </w:r>
    </w:p>
    <w:p w14:paraId="3FCA0F1E" w14:textId="77777777" w:rsidR="00FA457D" w:rsidRDefault="00FA457D" w:rsidP="00FA457D">
      <w:pPr>
        <w:jc w:val="both"/>
      </w:pPr>
      <w:r w:rsidRPr="00980654">
        <w:rPr>
          <w:bCs/>
        </w:rPr>
        <w:t xml:space="preserve">Son yıllarda teknolojinin hızlı bir şekilde ilerlemesi, </w:t>
      </w:r>
      <w:proofErr w:type="spellStart"/>
      <w:r w:rsidRPr="00980654">
        <w:rPr>
          <w:bCs/>
        </w:rPr>
        <w:t>metaverse</w:t>
      </w:r>
      <w:proofErr w:type="spellEnd"/>
      <w:r w:rsidRPr="00980654">
        <w:rPr>
          <w:bCs/>
        </w:rPr>
        <w:t xml:space="preserve"> teknolojisinin gelişimine olanak tanımış ve bu sayede potansiyel olarak ikinci bir dünyanın toplum yaşamına entegre edilmesi mümkün olmuştur. Bu gelişmelerle birlikte, eğitim sistemlerinden iş toplantılarına, oyunlardan sosyal etkinliklere kadar birçok farklı alan, </w:t>
      </w:r>
      <w:proofErr w:type="spellStart"/>
      <w:r w:rsidRPr="00980654">
        <w:rPr>
          <w:bCs/>
        </w:rPr>
        <w:t>metaverse</w:t>
      </w:r>
      <w:proofErr w:type="spellEnd"/>
      <w:r w:rsidRPr="00980654">
        <w:rPr>
          <w:bCs/>
        </w:rPr>
        <w:t xml:space="preserve"> evreninde yer bulmuş ve bu sanal ortamlar, bireylerin günlük yaşantılarında önemli bir yer edinmeye başlamıştır </w:t>
      </w:r>
      <w:r w:rsidRPr="00980654">
        <w:t>(Güler ve Savaş, 2022).</w:t>
      </w:r>
      <w:r w:rsidRPr="00980654">
        <w:rPr>
          <w:bCs/>
        </w:rPr>
        <w:t xml:space="preserve"> Dünyanın giderek dijitalleşmesi, toplum yaşamında sanal dünyaların daha fazla kullanılmasına yol açmış ve “</w:t>
      </w:r>
      <w:proofErr w:type="spellStart"/>
      <w:r w:rsidRPr="00980654">
        <w:rPr>
          <w:bCs/>
        </w:rPr>
        <w:t>metaverse</w:t>
      </w:r>
      <w:proofErr w:type="spellEnd"/>
      <w:r w:rsidRPr="00980654">
        <w:rPr>
          <w:bCs/>
        </w:rPr>
        <w:t xml:space="preserve">” kavramı, küresel ölçekte dikkatleri üzerine çekmiştir (Ülger ve Ülger, 2023). Bu kavram, 2021 yılında Mark Zuckerberg’in sosyal medya platformlarının ismini “Meta” olarak </w:t>
      </w:r>
      <w:r w:rsidRPr="00194568">
        <w:rPr>
          <w:bCs/>
        </w:rPr>
        <w:t xml:space="preserve">değiştirmesiyle geniş bir kitleye ulaşmış ve ardından hızla popülerlik kazanmıştır (Koçak, 2023). </w:t>
      </w:r>
      <w:proofErr w:type="spellStart"/>
      <w:r w:rsidRPr="00194568">
        <w:rPr>
          <w:bCs/>
        </w:rPr>
        <w:t>Metaverse</w:t>
      </w:r>
      <w:proofErr w:type="spellEnd"/>
      <w:r w:rsidRPr="00194568">
        <w:rPr>
          <w:bCs/>
        </w:rPr>
        <w:t xml:space="preserve">, </w:t>
      </w:r>
      <w:proofErr w:type="spellStart"/>
      <w:r w:rsidRPr="00194568">
        <w:rPr>
          <w:bCs/>
        </w:rPr>
        <w:t>alanyazında</w:t>
      </w:r>
      <w:proofErr w:type="spellEnd"/>
      <w:r w:rsidRPr="00194568">
        <w:rPr>
          <w:bCs/>
        </w:rPr>
        <w:t>, sanal objeler ve artırılmış gerçeklik kullanılarak, fiziksel dünyayla bağlantıyı tamamen koparmadan deneyimler sağlayan bir teknoloji olarak tanımlanmaktadır (</w:t>
      </w:r>
      <w:proofErr w:type="spellStart"/>
      <w:r w:rsidRPr="00194568">
        <w:rPr>
          <w:bCs/>
        </w:rPr>
        <w:t>Güripek</w:t>
      </w:r>
      <w:proofErr w:type="spellEnd"/>
      <w:r w:rsidRPr="00194568">
        <w:rPr>
          <w:bCs/>
        </w:rPr>
        <w:t>, 2022). Ancak, bu kavram yalnızca fiziksel ve sanal dünyaların birleştirilmesinin ötesinde bir anlam taşır; aynı zamanda bu dünyaların birbirleriyle olan etkileşimlerini de kapsamaktadır (</w:t>
      </w:r>
      <w:proofErr w:type="spellStart"/>
      <w:r w:rsidRPr="00194568">
        <w:rPr>
          <w:bCs/>
        </w:rPr>
        <w:t>Topaçoğlu</w:t>
      </w:r>
      <w:proofErr w:type="spellEnd"/>
      <w:r w:rsidRPr="00194568">
        <w:rPr>
          <w:bCs/>
        </w:rPr>
        <w:t xml:space="preserve"> ve Kılavuz, 2022).</w:t>
      </w:r>
      <w:r w:rsidRPr="00194568">
        <w:rPr>
          <w:rFonts w:eastAsiaTheme="minorEastAsia"/>
          <w:color w:val="000000" w:themeColor="text1"/>
          <w:kern w:val="24"/>
          <w:sz w:val="36"/>
          <w:szCs w:val="36"/>
        </w:rPr>
        <w:t xml:space="preserve"> </w:t>
      </w:r>
      <w:proofErr w:type="spellStart"/>
      <w:r w:rsidRPr="00194568">
        <w:rPr>
          <w:bCs/>
        </w:rPr>
        <w:t>Metaverse</w:t>
      </w:r>
      <w:proofErr w:type="spellEnd"/>
      <w:r w:rsidRPr="00194568">
        <w:rPr>
          <w:bCs/>
        </w:rPr>
        <w:t xml:space="preserve">, toplum yaşamında insanların alışkanlıkları ve boş zaman değerlendirme biçimlerini köklü bir şekilde değiştirmiştir. Bu değişimle birlikte, elektronik boş zaman kapsamında değerlendirilen pek çok rekreasyonel aktivite, </w:t>
      </w:r>
      <w:proofErr w:type="spellStart"/>
      <w:r w:rsidRPr="00194568">
        <w:rPr>
          <w:bCs/>
        </w:rPr>
        <w:t>metaverse</w:t>
      </w:r>
      <w:proofErr w:type="spellEnd"/>
      <w:r w:rsidRPr="00194568">
        <w:rPr>
          <w:bCs/>
        </w:rPr>
        <w:t xml:space="preserve"> dünyasında yeni bir boyut kazanarak kendine yer bulmuştur. Avatarlar aracılığıyla katılınabilen konserler, sergiler, müzeler, turistik şehir turları, sinemalar ve oyunlar gibi etkinlikler, bu sanal dünyadaki boş zaman aktivitelerinin örnekleridir. </w:t>
      </w:r>
      <w:proofErr w:type="spellStart"/>
      <w:r w:rsidRPr="00194568">
        <w:rPr>
          <w:bCs/>
        </w:rPr>
        <w:t>Metaverse</w:t>
      </w:r>
      <w:proofErr w:type="spellEnd"/>
      <w:r w:rsidRPr="00194568">
        <w:rPr>
          <w:bCs/>
        </w:rPr>
        <w:t xml:space="preserve"> ortamında bireylerin bu faaliyetlere katılabilmesi için uçak veya otel rezervasyonu yapmalarına gerek yoktur; evlerinden oturdukları yerden avatarları aracılığıyla bu etkinliklere katılabilir ve sosyal alanları keşfedebilirler. Bu şekilde, fiziksel dünyada sinema salonlarında, stadyumlarda ya da kafeteryalarda gerçekleşen etkinliklerin yerini, sanal ortamda benzer şekilde kurgulanan aktiviteler almakta ve katılımcılar, avatarları aracılığıyla bu sanal etkinliklere katılabilmektedir (</w:t>
      </w:r>
      <w:proofErr w:type="spellStart"/>
      <w:r w:rsidRPr="00194568">
        <w:rPr>
          <w:bCs/>
        </w:rPr>
        <w:t>Güncan</w:t>
      </w:r>
      <w:proofErr w:type="spellEnd"/>
      <w:r w:rsidRPr="00194568">
        <w:rPr>
          <w:bCs/>
        </w:rPr>
        <w:t xml:space="preserve">, 2023). </w:t>
      </w:r>
      <w:proofErr w:type="spellStart"/>
      <w:r w:rsidRPr="00194568">
        <w:t>Metaverse</w:t>
      </w:r>
      <w:proofErr w:type="spellEnd"/>
      <w:r w:rsidRPr="00194568">
        <w:t xml:space="preserve">, internetin geçmişte başardığı pek çok işlevi daha işbirlikçi ve aktif bir biçimde yerine getirebilecek bir dijital evren olarak karşımıza çıkmaktadır. Bu sanal dünya, yalnızca bireylerin sosyal etkileşimlerini değil, aynı zamanda ticaret, eğitim, eğlence gibi pek çok alandaki faaliyetlerini de dönüştürme potansiyeline sahiptir. </w:t>
      </w:r>
      <w:proofErr w:type="spellStart"/>
      <w:r w:rsidRPr="00194568">
        <w:t>Metaverse’ün</w:t>
      </w:r>
      <w:proofErr w:type="spellEnd"/>
      <w:r w:rsidRPr="00194568">
        <w:t xml:space="preserve"> sunduğu olanaklar, kullanıcıların dijital ortamda daha fazla katılım göstererek, fiziksel dünyada yapabilecekleri faaliyetlerin ötesine geçmelerine imkân tanımaktadır. Dolayısıyla bu dijital evrenin etkinliği, özellikle ticari faaliyetler açısından sunduğu kolaylıklarla şekillenecektir. Bu bağlamda, blok zincir ve kripto para birimleri, </w:t>
      </w:r>
      <w:proofErr w:type="spellStart"/>
      <w:r w:rsidRPr="00194568">
        <w:t>Metaverse’ün</w:t>
      </w:r>
      <w:proofErr w:type="spellEnd"/>
      <w:r w:rsidRPr="00194568">
        <w:t xml:space="preserve"> ekosistemini oluşturacak temel unsurlar arasında yer alacaktır. Kullanıcılar, dijital avatarlar edinmek, sanal araziler almak veya sosyal etkinlikler düzenlemek için bu sanal etkileşim ortamlarını kolaylaştıran kripto jetonları kullanabilecektir. Bu yeniliklerin hayata geçirilebilmesi için, </w:t>
      </w:r>
      <w:proofErr w:type="spellStart"/>
      <w:r w:rsidRPr="00194568">
        <w:t>Metaverse’ün</w:t>
      </w:r>
      <w:proofErr w:type="spellEnd"/>
      <w:r w:rsidRPr="00194568">
        <w:t xml:space="preserve"> kullanıcılarına sürükleyici ve etkileşimli deneyimler sunabilmesi adına, ticari işlemlerin güvenli ve verimli bir şekilde gerçekleştirilebilmesi için blok zincir teknolojisinin entegre edilmesi büyük önem taşımaktadır (Kürkçü ve Altınok, 2024).</w:t>
      </w:r>
    </w:p>
    <w:p w14:paraId="45B2D46E" w14:textId="77777777" w:rsidR="00FA457D" w:rsidRDefault="00FA457D" w:rsidP="00FA457D">
      <w:pPr>
        <w:jc w:val="both"/>
        <w:rPr>
          <w:bCs/>
        </w:rPr>
      </w:pPr>
    </w:p>
    <w:p w14:paraId="788C5454" w14:textId="77777777" w:rsidR="00FA457D" w:rsidRDefault="00FA457D" w:rsidP="00FA457D">
      <w:pPr>
        <w:jc w:val="both"/>
        <w:rPr>
          <w:bCs/>
        </w:rPr>
      </w:pPr>
      <w:r w:rsidRPr="006F4A30">
        <w:rPr>
          <w:bCs/>
        </w:rPr>
        <w:t xml:space="preserve">Dijitalleşmenin hızla ilerlediği günümüzde, toplumsal yapılar ve yaşam biçimleri önemli bir değişim ve dönüşüm süreci içindedir. Bu dönüşümde, </w:t>
      </w:r>
      <w:proofErr w:type="spellStart"/>
      <w:r w:rsidRPr="006F4A30">
        <w:rPr>
          <w:bCs/>
        </w:rPr>
        <w:t>metaverse</w:t>
      </w:r>
      <w:proofErr w:type="spellEnd"/>
      <w:r w:rsidRPr="006F4A30">
        <w:rPr>
          <w:bCs/>
        </w:rPr>
        <w:t xml:space="preserve"> gibi yeni teknolojiler, toplumsal cinsiyet eşitliği, rekreasyon gibi alanlarda hem büyük fırsatlar hem de çeşitli zorluklar ortaya koymaktadır. </w:t>
      </w:r>
      <w:proofErr w:type="spellStart"/>
      <w:r w:rsidRPr="006F4A30">
        <w:rPr>
          <w:bCs/>
        </w:rPr>
        <w:t>Metaverse</w:t>
      </w:r>
      <w:proofErr w:type="spellEnd"/>
      <w:r w:rsidRPr="006F4A30">
        <w:rPr>
          <w:bCs/>
        </w:rPr>
        <w:t xml:space="preserve">, sanal dünyaların sunduğu etkileşimli deneyimlerle, insanların sosyal, kültürel ve ekonomik yaşamlarına dokunurken, bu süreçte toplumsal cinsiyet eşitliği açısından da farklı dinamikler yaratmaktadır. Bu araştırmanın temel amacı, </w:t>
      </w:r>
      <w:proofErr w:type="spellStart"/>
      <w:r w:rsidRPr="006F4A30">
        <w:rPr>
          <w:bCs/>
        </w:rPr>
        <w:t>metaverse</w:t>
      </w:r>
      <w:proofErr w:type="spellEnd"/>
      <w:r w:rsidRPr="006F4A30">
        <w:rPr>
          <w:bCs/>
        </w:rPr>
        <w:t xml:space="preserve">, rekreasyon ve toplumsal cinsiyet eşitliğinin dijital dönüşüm sürecindeki etkilerini </w:t>
      </w:r>
      <w:r w:rsidRPr="006F4A30">
        <w:rPr>
          <w:bCs/>
        </w:rPr>
        <w:lastRenderedPageBreak/>
        <w:t>derinlemesine incelemek ve bu alandaki fırsatları ile karşılaşılan zorlukları ortaya koymaktır.</w:t>
      </w:r>
    </w:p>
    <w:p w14:paraId="3A8C0896" w14:textId="77777777" w:rsidR="00FA457D" w:rsidRPr="006F4A30" w:rsidRDefault="00FA457D" w:rsidP="00FA457D">
      <w:pPr>
        <w:jc w:val="both"/>
        <w:rPr>
          <w:bCs/>
        </w:rPr>
      </w:pPr>
    </w:p>
    <w:p w14:paraId="293235E4" w14:textId="77777777" w:rsidR="00FA457D" w:rsidRDefault="00FA457D" w:rsidP="00FA457D">
      <w:pPr>
        <w:jc w:val="both"/>
        <w:rPr>
          <w:bCs/>
        </w:rPr>
      </w:pPr>
      <w:r w:rsidRPr="006F4A30">
        <w:rPr>
          <w:bCs/>
        </w:rPr>
        <w:t xml:space="preserve">Literatürde dijitalleşmenin toplumsal cinsiyet eşitliği üzerindeki etkileri sınırlı sayıda çalışmada ele alınmış olsa </w:t>
      </w:r>
      <w:proofErr w:type="gramStart"/>
      <w:r w:rsidRPr="006F4A30">
        <w:rPr>
          <w:bCs/>
        </w:rPr>
        <w:t>da,</w:t>
      </w:r>
      <w:proofErr w:type="gramEnd"/>
      <w:r w:rsidRPr="006F4A30">
        <w:rPr>
          <w:bCs/>
        </w:rPr>
        <w:t xml:space="preserve"> </w:t>
      </w:r>
      <w:proofErr w:type="spellStart"/>
      <w:r w:rsidRPr="006F4A30">
        <w:rPr>
          <w:bCs/>
        </w:rPr>
        <w:t>metaverse’ün</w:t>
      </w:r>
      <w:proofErr w:type="spellEnd"/>
      <w:r w:rsidRPr="006F4A30">
        <w:rPr>
          <w:bCs/>
        </w:rPr>
        <w:t xml:space="preserve"> bu alandaki potansiyel etkileri henüz yeterince araştırılmamıştır. Özellikle dijital rekreasyon ve toplumsal cinsiyet eşitliği konularının bir arada ele alınması konusunda eksiklikler bulunmaktadır. Bu boşluğu doldurmak amacıyla bu araştırma, dijitalleşme ve </w:t>
      </w:r>
      <w:proofErr w:type="spellStart"/>
      <w:r w:rsidRPr="006F4A30">
        <w:rPr>
          <w:bCs/>
        </w:rPr>
        <w:t>metaverse’ün</w:t>
      </w:r>
      <w:proofErr w:type="spellEnd"/>
      <w:r w:rsidRPr="006F4A30">
        <w:rPr>
          <w:bCs/>
        </w:rPr>
        <w:t xml:space="preserve"> toplumsal yapıları nasıl şekillendirdiğini inceleyerek daha geniş bir bakış açısı sunmayı hedeflemektedir. Araştırma, toplumsal cinsiyet eşitliği ve dijital rekreasyonun kesişim noktasındaki etkileşimleri analiz ederek gelecekteki çalışmalara ışık tutmayı amaçlamaktadır.</w:t>
      </w:r>
    </w:p>
    <w:p w14:paraId="064A25AD" w14:textId="77777777" w:rsidR="00FA457D" w:rsidRPr="00194568" w:rsidRDefault="00FA457D" w:rsidP="00FA457D">
      <w:pPr>
        <w:jc w:val="both"/>
        <w:rPr>
          <w:bCs/>
        </w:rPr>
      </w:pPr>
    </w:p>
    <w:p w14:paraId="65941A03" w14:textId="77777777" w:rsidR="00FA457D" w:rsidRDefault="00FA457D" w:rsidP="00FA457D">
      <w:pPr>
        <w:jc w:val="both"/>
        <w:rPr>
          <w:b/>
          <w:bCs/>
        </w:rPr>
      </w:pPr>
      <w:r>
        <w:rPr>
          <w:b/>
          <w:bCs/>
        </w:rPr>
        <w:t>2. LİTERATÜR TARAMASI</w:t>
      </w:r>
    </w:p>
    <w:p w14:paraId="7DB6DFD2" w14:textId="77777777" w:rsidR="00FA457D" w:rsidRDefault="00FA457D" w:rsidP="00FA457D">
      <w:pPr>
        <w:jc w:val="both"/>
        <w:rPr>
          <w:bCs/>
        </w:rPr>
      </w:pPr>
      <w:r w:rsidRPr="00362AA4">
        <w:rPr>
          <w:bCs/>
        </w:rPr>
        <w:t xml:space="preserve">Bu literatür taraması, </w:t>
      </w:r>
      <w:proofErr w:type="spellStart"/>
      <w:r w:rsidRPr="00362AA4">
        <w:rPr>
          <w:bCs/>
        </w:rPr>
        <w:t>metaverse</w:t>
      </w:r>
      <w:proofErr w:type="spellEnd"/>
      <w:r w:rsidRPr="00362AA4">
        <w:rPr>
          <w:bCs/>
        </w:rPr>
        <w:t xml:space="preserve"> kavramının tanımından başlayarak, bu dijital dünyanın rekreasyonel ve toplumsal cinsiyet perspektifinden nasıl bir dönüşüm sağladığını incelemektedir. Bu bağlamda, </w:t>
      </w:r>
      <w:proofErr w:type="spellStart"/>
      <w:r w:rsidRPr="00362AA4">
        <w:rPr>
          <w:bCs/>
        </w:rPr>
        <w:t>metaverse’ün</w:t>
      </w:r>
      <w:proofErr w:type="spellEnd"/>
      <w:r w:rsidRPr="00362AA4">
        <w:rPr>
          <w:bCs/>
        </w:rPr>
        <w:t xml:space="preserve"> rekreasyonel etkinlikler, toplumsal cinsiyet eşitliği ve sosyal katılım üzerine sunduğu fırsatlar, mevcut çalışmalar ışığında değerlendiril</w:t>
      </w:r>
      <w:r>
        <w:rPr>
          <w:bCs/>
        </w:rPr>
        <w:t>miştir</w:t>
      </w:r>
      <w:r w:rsidRPr="00362AA4">
        <w:rPr>
          <w:bCs/>
        </w:rPr>
        <w:t xml:space="preserve">. Aynı zamanda, </w:t>
      </w:r>
      <w:proofErr w:type="spellStart"/>
      <w:r w:rsidRPr="00362AA4">
        <w:rPr>
          <w:bCs/>
        </w:rPr>
        <w:t>metaverse’ün</w:t>
      </w:r>
      <w:proofErr w:type="spellEnd"/>
      <w:r w:rsidRPr="00362AA4">
        <w:rPr>
          <w:bCs/>
        </w:rPr>
        <w:t xml:space="preserve"> toplumsal cinsiyet eşitliği açısından sağladığı fırsatlar ve engeller, literatür taraması kapsamında f</w:t>
      </w:r>
      <w:r>
        <w:rPr>
          <w:bCs/>
        </w:rPr>
        <w:t>arklı açılardan ele alınmıştır.</w:t>
      </w:r>
    </w:p>
    <w:p w14:paraId="6BB5695B" w14:textId="77777777" w:rsidR="00FA457D" w:rsidRPr="00362AA4" w:rsidRDefault="00FA457D" w:rsidP="00FA457D">
      <w:pPr>
        <w:jc w:val="both"/>
        <w:rPr>
          <w:bCs/>
        </w:rPr>
      </w:pPr>
    </w:p>
    <w:p w14:paraId="2997C1D2" w14:textId="77777777" w:rsidR="00FA457D" w:rsidRPr="00C5178B" w:rsidRDefault="00FA457D" w:rsidP="00FA457D">
      <w:pPr>
        <w:jc w:val="both"/>
        <w:rPr>
          <w:b/>
          <w:bCs/>
        </w:rPr>
      </w:pPr>
      <w:r w:rsidRPr="007F5EEB">
        <w:rPr>
          <w:b/>
          <w:bCs/>
        </w:rPr>
        <w:t xml:space="preserve">2.1. </w:t>
      </w:r>
      <w:proofErr w:type="spellStart"/>
      <w:r w:rsidRPr="007F5EEB">
        <w:rPr>
          <w:b/>
          <w:bCs/>
        </w:rPr>
        <w:t>Metaverse</w:t>
      </w:r>
      <w:proofErr w:type="spellEnd"/>
    </w:p>
    <w:p w14:paraId="3DF34F36" w14:textId="1238350C" w:rsidR="00FA457D" w:rsidRPr="006B36A6" w:rsidRDefault="00FA457D" w:rsidP="00FA457D">
      <w:pPr>
        <w:jc w:val="both"/>
        <w:rPr>
          <w:bCs/>
        </w:rPr>
      </w:pPr>
      <w:r w:rsidRPr="006B36A6">
        <w:rPr>
          <w:bCs/>
        </w:rPr>
        <w:t xml:space="preserve">Dijital yaşamların ve çevrimiçi yaşamların birleştirilmesiyle 2020'lerin paradigmasının anahtar kelimesi olan </w:t>
      </w:r>
      <w:proofErr w:type="spellStart"/>
      <w:r w:rsidRPr="006B36A6">
        <w:rPr>
          <w:bCs/>
        </w:rPr>
        <w:t>metaverse</w:t>
      </w:r>
      <w:proofErr w:type="spellEnd"/>
      <w:r w:rsidRPr="006B36A6">
        <w:rPr>
          <w:bCs/>
        </w:rPr>
        <w:t xml:space="preserve"> sanal evreni 1992’de yayınlanan “</w:t>
      </w:r>
      <w:proofErr w:type="spellStart"/>
      <w:r w:rsidRPr="006B36A6">
        <w:rPr>
          <w:bCs/>
        </w:rPr>
        <w:t>Snow</w:t>
      </w:r>
      <w:proofErr w:type="spellEnd"/>
      <w:r w:rsidRPr="006B36A6">
        <w:rPr>
          <w:bCs/>
        </w:rPr>
        <w:t xml:space="preserve"> </w:t>
      </w:r>
      <w:proofErr w:type="spellStart"/>
      <w:r w:rsidRPr="006B36A6">
        <w:rPr>
          <w:bCs/>
        </w:rPr>
        <w:t>Crash</w:t>
      </w:r>
      <w:proofErr w:type="spellEnd"/>
      <w:r w:rsidRPr="006B36A6">
        <w:rPr>
          <w:bCs/>
        </w:rPr>
        <w:t xml:space="preserve">” adlı romandan türetilmiştir (Ağırman ve Barakalı, 2022).  </w:t>
      </w:r>
      <w:proofErr w:type="spellStart"/>
      <w:r w:rsidRPr="006B36A6">
        <w:rPr>
          <w:bCs/>
        </w:rPr>
        <w:t>Metaverse</w:t>
      </w:r>
      <w:proofErr w:type="spellEnd"/>
      <w:r w:rsidRPr="006B36A6">
        <w:rPr>
          <w:bCs/>
        </w:rPr>
        <w:t xml:space="preserve"> teknolojisi; Meta (Yunanca kökenli olup, “ötesi”, “sonrası” ya da “ötesinde” anlamlarına gelir) ve evren bileşenlerinden oluşan bir terimdir. Başka bir deyişle, </w:t>
      </w:r>
      <w:proofErr w:type="spellStart"/>
      <w:r w:rsidRPr="006B36A6">
        <w:rPr>
          <w:bCs/>
        </w:rPr>
        <w:t>metaverse</w:t>
      </w:r>
      <w:proofErr w:type="spellEnd"/>
      <w:r w:rsidRPr="006B36A6">
        <w:rPr>
          <w:bCs/>
        </w:rPr>
        <w:t xml:space="preserve">, fiziksel gerçekliği dijital sanallıkla birleştiren, sürekli ve kalıcı birçok kullanıcılı ortamı </w:t>
      </w:r>
      <w:r w:rsidRPr="006B36A6">
        <w:rPr>
          <w:bCs/>
          <w:color w:val="000000" w:themeColor="text1"/>
        </w:rPr>
        <w:t xml:space="preserve">ifade eden bir post-gerçeklik evrenidir. Bu kavram, bireylerin sanal ortamda etkileşime girebildiği, sınırları belirsiz bir dijital alanı tanımlar ve bu sayede fiziksel dünyadan bağımsız bir sanal gerçeklik deneyimi sunmaktadır </w:t>
      </w:r>
      <w:r w:rsidRPr="006B36A6">
        <w:rPr>
          <w:noProof/>
          <w:color w:val="000000" w:themeColor="text1"/>
        </w:rPr>
        <w:t>(Mystakidis, 2022)</w:t>
      </w:r>
      <w:r w:rsidRPr="006B36A6">
        <w:rPr>
          <w:bCs/>
          <w:color w:val="000000" w:themeColor="text1"/>
        </w:rPr>
        <w:t>.</w:t>
      </w:r>
    </w:p>
    <w:p w14:paraId="3A328DC1" w14:textId="1157B7EC" w:rsidR="00FA457D" w:rsidRPr="006D50FF" w:rsidRDefault="00FA457D" w:rsidP="00FA457D">
      <w:pPr>
        <w:jc w:val="both"/>
        <w:rPr>
          <w:noProof/>
          <w:color w:val="000000" w:themeColor="text1"/>
          <w:shd w:val="clear" w:color="auto" w:fill="FFFFFF"/>
        </w:rPr>
      </w:pPr>
      <w:r w:rsidRPr="006B36A6">
        <w:rPr>
          <w:bCs/>
        </w:rPr>
        <w:t xml:space="preserve">Genel olarak, </w:t>
      </w:r>
      <w:proofErr w:type="spellStart"/>
      <w:r w:rsidRPr="006B36A6">
        <w:rPr>
          <w:bCs/>
        </w:rPr>
        <w:t>metaverse’ün</w:t>
      </w:r>
      <w:proofErr w:type="spellEnd"/>
      <w:r w:rsidRPr="006B36A6">
        <w:rPr>
          <w:bCs/>
        </w:rPr>
        <w:t xml:space="preserve"> gelişimi makro perspektiften “</w:t>
      </w:r>
      <w:r w:rsidRPr="006B36A6">
        <w:rPr>
          <w:bCs/>
          <w:iCs/>
        </w:rPr>
        <w:t>dijital ikizler”, “dijital yerliler”</w:t>
      </w:r>
      <w:r w:rsidRPr="006B36A6">
        <w:rPr>
          <w:bCs/>
        </w:rPr>
        <w:t> ve sonunda</w:t>
      </w:r>
      <w:r w:rsidRPr="006B36A6">
        <w:rPr>
          <w:bCs/>
          <w:iCs/>
        </w:rPr>
        <w:t xml:space="preserve"> “gerçeküstücülük</w:t>
      </w:r>
      <w:r w:rsidRPr="006B36A6">
        <w:rPr>
          <w:bCs/>
        </w:rPr>
        <w:t xml:space="preserve">” olmak üzere üç ardışık aşamadan oluşmaktadır </w:t>
      </w:r>
      <w:r w:rsidRPr="006B36A6">
        <w:rPr>
          <w:noProof/>
          <w:color w:val="000000" w:themeColor="text1"/>
          <w:shd w:val="clear" w:color="auto" w:fill="FFFFFF"/>
        </w:rPr>
        <w:t xml:space="preserve">(Lee et al., 2024). İlk aşama, fiziksel dünyayı dijital ortamda yansıtan dijital ikizler evresidir. Bu aşamada, sanal dünyalar, gerçek dünyadaki insanları ve nesneleri yüksek doğrulukla temsil eden dijital kopyalarla donatılmaktadır. Sanal ortamda gerçekleşen etkinlikler ve özellikler, fiziksel dünyanın paralel bir yansıması olarak işlev görür ve burada kullanıcılar, duygusal yanıtlar ve hareketler gibi özellikler aracılığıyla sanal dünyayla etkileşimde bulunmaktadırlar. İkinci aşama, dijital yerliler olarak tanımlanan kullanıcıların, dijital dünyalarda yenilikler yaratmalarına olanak tanımaktadır. Bu aşama, avatarlar aracılığıyla sanal dünyalarda varlık gösteren bireylerin, yalnızca sanal alanda mevcut olan içerikler üretmesini sağlamaktadır. Bu içerikler, fiziksel dünyadaki karşılıklarıyla giderek daha fazla örtüşmeye başlar ve dijital dünyadaki üretim süreçleri, fiziksel dünyada da yankı bulmaktadır. Üçüncü ve son aşama, metaverse’ün tam anlamıyla olgunlaştığı, gerçekliği kendi içinde asimile eden gerçeküstücülük evresine işaret etmektedir. Bu aşama, fiziksel ve sanal dünyaların mükemmel bir entegrasyonunu sağlar ve her iki alan arasında karşılıklı bir simbiyoz oluşmaktadır. Sanal dünya, fiziksel dünyayı geride bırakarak daha geniş bir kapsamda varlık </w:t>
      </w:r>
      <w:r w:rsidRPr="006D50FF">
        <w:rPr>
          <w:noProof/>
          <w:color w:val="000000" w:themeColor="text1"/>
          <w:shd w:val="clear" w:color="auto" w:fill="FFFFFF"/>
        </w:rPr>
        <w:t>göstererek, gerçek dünyada var olmayan sahneler ile yaşam formları sanal alemde hayata geçirilmektedir (Wang et al., 2022).</w:t>
      </w:r>
    </w:p>
    <w:p w14:paraId="4074F55D" w14:textId="77777777" w:rsidR="00FA457D" w:rsidRDefault="00FA457D" w:rsidP="00FA457D">
      <w:pPr>
        <w:jc w:val="both"/>
        <w:rPr>
          <w:noProof/>
        </w:rPr>
      </w:pPr>
      <w:proofErr w:type="spellStart"/>
      <w:r w:rsidRPr="006D50FF">
        <w:t>Alanyazında</w:t>
      </w:r>
      <w:proofErr w:type="spellEnd"/>
      <w:r w:rsidRPr="006D50FF">
        <w:t xml:space="preserve"> </w:t>
      </w:r>
      <w:proofErr w:type="spellStart"/>
      <w:r w:rsidRPr="006D50FF">
        <w:t>metaverse’ün</w:t>
      </w:r>
      <w:proofErr w:type="spellEnd"/>
      <w:r w:rsidRPr="006D50FF">
        <w:t xml:space="preserve"> dört temel unsurunun olduğundan bahsedilmekte ve bu unsurların </w:t>
      </w:r>
      <w:r w:rsidRPr="006D50FF">
        <w:lastRenderedPageBreak/>
        <w:t xml:space="preserve">artırılmış gerçeklik, sanal gerçeklik, yaşam günlüğü ve ayna dünyası olduğu belirtilmektedir (Güler vd., 2022; </w:t>
      </w:r>
      <w:proofErr w:type="spellStart"/>
      <w:r w:rsidRPr="006D50FF">
        <w:t>Topaçoğlu</w:t>
      </w:r>
      <w:proofErr w:type="spellEnd"/>
      <w:r w:rsidRPr="006D50FF">
        <w:t xml:space="preserve"> ve Kılavuz, 2022).</w:t>
      </w:r>
      <w:r w:rsidRPr="006D50FF">
        <w:rPr>
          <w:bCs/>
        </w:rPr>
        <w:t xml:space="preserve"> Genişletilmiş Gerçeklik (XR); bir dizi etkileşimli ve sürükleyici teknolojiyi kapsayan geniş bir terimdir. Bu terim, verilerin dijital ortamda görsel olarak temsil edilmesini ve kullanıcılarla etkileşimde bulunmalarını sağlayan çeşitli elektronik platformları tanımlamaktadır. XR, temelde Sanal Gerçeklik (VR), Artırılmış Gerçeklik (AR) ve Karma Gerçeklik (MR) gibi farklı teknolojileri içermektedir </w:t>
      </w:r>
      <w:r w:rsidRPr="006D50FF">
        <w:rPr>
          <w:noProof/>
        </w:rPr>
        <w:t>(Milgram et al., 1995).</w:t>
      </w:r>
      <w:r w:rsidRPr="006D50FF">
        <w:rPr>
          <w:bCs/>
        </w:rPr>
        <w:t xml:space="preserve"> Bu teknolojilerin her birinde, bireyler, teknolojinin oluşturduğu sanal ya da kısmi dijital dünyada gözlem yaparak etkileşimde bulunulmasına katkı sağlamaktadır. Sanal Gerçeklik (VR); tamamen dijital olarak oluşturulmuş ve kullanıcıyı fiziksel dünyadan bağımsız bir ortamda varmış gibi hissettiren sanal bir evrendir. Bu ortamda kullanıcılar, tıpkı gerçek dünyada olduğu gibi, hareket etme ve etkileşimde bulunma yeteneğine sahip olmaktadırlar </w:t>
      </w:r>
      <w:r w:rsidRPr="006D50FF">
        <w:rPr>
          <w:noProof/>
        </w:rPr>
        <w:t>(Slater and Sanchez-Vives, 2016</w:t>
      </w:r>
      <w:proofErr w:type="gramStart"/>
      <w:r w:rsidRPr="006D50FF">
        <w:rPr>
          <w:noProof/>
        </w:rPr>
        <w:t>)</w:t>
      </w:r>
      <w:r w:rsidRPr="006D50FF">
        <w:rPr>
          <w:bCs/>
        </w:rPr>
        <w:t>.Görsel</w:t>
      </w:r>
      <w:proofErr w:type="gramEnd"/>
      <w:r w:rsidRPr="006D50FF">
        <w:rPr>
          <w:bCs/>
        </w:rPr>
        <w:t xml:space="preserve">, işitsel, dokunsal ve hareketle etkileşim gibi çeşitli duyusal deneyimler, VR kaskları, başlıklar ve özel koşu bantları gibi çok duyulu ekipmanlarla güçlendirmektedir </w:t>
      </w:r>
      <w:r w:rsidRPr="006D50FF">
        <w:rPr>
          <w:noProof/>
        </w:rPr>
        <w:t>(Pellas et al., 2020; Pellas et al., 2021)</w:t>
      </w:r>
      <w:r w:rsidRPr="006D50FF">
        <w:rPr>
          <w:bCs/>
        </w:rPr>
        <w:t xml:space="preserve">. Artırılmış Gerçeklik (AR) ise, dijital öğeleri fiziksel dünyaya entegre ederek, kullanıcıların gerçek çevrelerinde sanal unsurlar görmelerine olanak tanımaktadır. Bu teknoloji, dijital verileri fiziksel ortamla birleştirir ve bu birleşim, kullanıcıya zenginleştirilmiş bir deneyim sunmaktadır </w:t>
      </w:r>
      <w:r w:rsidRPr="006D50FF">
        <w:rPr>
          <w:noProof/>
        </w:rPr>
        <w:t>(Ibáñez and Delgado-Kloos, 2018).</w:t>
      </w:r>
      <w:r w:rsidRPr="006D50FF">
        <w:rPr>
          <w:bCs/>
        </w:rPr>
        <w:t xml:space="preserve"> AR, akıllı telefonlar, tabletler, gözlükler gibi çeşitli cihazlarla sağlanabilir ve fiziksel dünyayı dijital katmanlarla zenginleştirmektedir </w:t>
      </w:r>
      <w:r w:rsidRPr="006D50FF">
        <w:rPr>
          <w:noProof/>
        </w:rPr>
        <w:t>(Klopfer, 2008).</w:t>
      </w:r>
      <w:r w:rsidRPr="006D50FF">
        <w:rPr>
          <w:bCs/>
        </w:rPr>
        <w:t xml:space="preserve"> Ayrıca, AR teknolojisi, VR kulaklıklarıyla </w:t>
      </w:r>
      <w:proofErr w:type="gramStart"/>
      <w:r w:rsidRPr="006D50FF">
        <w:rPr>
          <w:bCs/>
        </w:rPr>
        <w:t>entegre</w:t>
      </w:r>
      <w:proofErr w:type="gramEnd"/>
      <w:r w:rsidRPr="006D50FF">
        <w:rPr>
          <w:bCs/>
        </w:rPr>
        <w:t xml:space="preserve"> bir şekilde çalışarak, kullanıcıların sanal ve gerçek dünyalar arasında geçiş yapmalarını sağlayan dinamik bir deneyim sunmaktadır</w:t>
      </w:r>
      <w:r w:rsidRPr="006D50FF">
        <w:rPr>
          <w:noProof/>
        </w:rPr>
        <w:t xml:space="preserve"> (Mystakidis et al., 2022)</w:t>
      </w:r>
      <w:r w:rsidRPr="006D50FF">
        <w:rPr>
          <w:bCs/>
        </w:rPr>
        <w:t xml:space="preserve">. Kısaca </w:t>
      </w:r>
      <w:proofErr w:type="spellStart"/>
      <w:r w:rsidRPr="006D50FF">
        <w:rPr>
          <w:color w:val="000000" w:themeColor="text1"/>
          <w:shd w:val="clear" w:color="auto" w:fill="FFFFFF"/>
        </w:rPr>
        <w:t>metaverse</w:t>
      </w:r>
      <w:proofErr w:type="spellEnd"/>
      <w:r w:rsidRPr="006D50FF">
        <w:rPr>
          <w:color w:val="000000" w:themeColor="text1"/>
          <w:shd w:val="clear" w:color="auto" w:fill="FFFFFF"/>
        </w:rPr>
        <w:t xml:space="preserve"> çeşitli yeni teknolojileri entegre etmektedir </w:t>
      </w:r>
      <w:r w:rsidRPr="006D50FF">
        <w:rPr>
          <w:noProof/>
          <w:color w:val="000000" w:themeColor="text1"/>
          <w:shd w:val="clear" w:color="auto" w:fill="FFFFFF"/>
        </w:rPr>
        <w:t>(Lee et al., 2024).</w:t>
      </w:r>
      <w:r w:rsidRPr="006D50FF">
        <w:rPr>
          <w:bCs/>
        </w:rPr>
        <w:t xml:space="preserve"> Özellikle, dijital ikiz teknolojisi, gerçek dünyayı dijital ortamda yansıtarak sanal bir kopyasını üretmektedir. Sanal Gerçeklik (VR)</w:t>
      </w:r>
      <w:r w:rsidRPr="00875F2A">
        <w:rPr>
          <w:bCs/>
        </w:rPr>
        <w:t xml:space="preserve"> ve Artırılmış Gerçeklik (AR) ise kullanıcıya sürükleyici bir üç boyutlu deneyim sunmaktadır. 5G ve ötesi bağlantı teknolojileri, </w:t>
      </w:r>
      <w:proofErr w:type="spellStart"/>
      <w:r w:rsidRPr="00875F2A">
        <w:rPr>
          <w:bCs/>
        </w:rPr>
        <w:t>metaverse</w:t>
      </w:r>
      <w:proofErr w:type="spellEnd"/>
      <w:r w:rsidRPr="00875F2A">
        <w:rPr>
          <w:bCs/>
        </w:rPr>
        <w:t xml:space="preserve"> cihazları için ultra yüksek güvenilirlik ve ultra düşük gecikme süreleri sağlayarak bu sanal evrenin performansını artırmaktadır. Giyilebilir sensörler ve beyin-bilgisayar arayüzleri (BCI), kullanıcıların </w:t>
      </w:r>
      <w:proofErr w:type="spellStart"/>
      <w:r w:rsidRPr="00875F2A">
        <w:rPr>
          <w:bCs/>
        </w:rPr>
        <w:t>metaverse</w:t>
      </w:r>
      <w:proofErr w:type="spellEnd"/>
      <w:r w:rsidRPr="00875F2A">
        <w:rPr>
          <w:bCs/>
        </w:rPr>
        <w:t xml:space="preserve"> içindeki avatarlarıyla etkileşimde bulunmalarını mümkün kılmaktadır. Yapay </w:t>
      </w:r>
      <w:proofErr w:type="gramStart"/>
      <w:r w:rsidRPr="00875F2A">
        <w:rPr>
          <w:bCs/>
        </w:rPr>
        <w:t>Zeka</w:t>
      </w:r>
      <w:proofErr w:type="gramEnd"/>
      <w:r w:rsidRPr="00875F2A">
        <w:rPr>
          <w:bCs/>
        </w:rPr>
        <w:t xml:space="preserve"> (AI), büyük ölçekli </w:t>
      </w:r>
      <w:proofErr w:type="spellStart"/>
      <w:r w:rsidRPr="00875F2A">
        <w:rPr>
          <w:bCs/>
        </w:rPr>
        <w:t>metaverse'lerin</w:t>
      </w:r>
      <w:proofErr w:type="spellEnd"/>
      <w:r w:rsidRPr="00875F2A">
        <w:rPr>
          <w:bCs/>
        </w:rPr>
        <w:t xml:space="preserve"> oluşturulmasını ve işlemesini sağlayarak, bu sanal dünyaların daha dinamik hale gelmesine olanak tanımaktadır. Son olarak, blok zinciri ve değiştirilemez belirteçler (NFT) ise </w:t>
      </w:r>
      <w:proofErr w:type="spellStart"/>
      <w:r w:rsidRPr="00875F2A">
        <w:rPr>
          <w:bCs/>
        </w:rPr>
        <w:t>metaverse</w:t>
      </w:r>
      <w:proofErr w:type="spellEnd"/>
      <w:r w:rsidRPr="00875F2A">
        <w:rPr>
          <w:bCs/>
        </w:rPr>
        <w:t xml:space="preserve"> varlıklarının gerçek mülkiyet haklarını belirlemede kritik bir rol oynamaktadır </w:t>
      </w:r>
      <w:r w:rsidRPr="00875F2A">
        <w:rPr>
          <w:noProof/>
        </w:rPr>
        <w:t>(Lim et al., 2022).</w:t>
      </w:r>
    </w:p>
    <w:p w14:paraId="61F5B8DD" w14:textId="77777777" w:rsidR="00FA457D" w:rsidRPr="007E59FB" w:rsidRDefault="00FA457D" w:rsidP="00FA457D">
      <w:pPr>
        <w:jc w:val="both"/>
        <w:rPr>
          <w:noProof/>
          <w:color w:val="000000" w:themeColor="text1"/>
          <w:shd w:val="clear" w:color="auto" w:fill="FFFFFF"/>
        </w:rPr>
      </w:pPr>
    </w:p>
    <w:p w14:paraId="2AC1EC73" w14:textId="77777777" w:rsidR="00FA457D" w:rsidRPr="00382F40" w:rsidRDefault="00FA457D" w:rsidP="00FA457D">
      <w:pPr>
        <w:jc w:val="both"/>
        <w:rPr>
          <w:b/>
          <w:bCs/>
        </w:rPr>
      </w:pPr>
      <w:r w:rsidRPr="00382F40">
        <w:rPr>
          <w:b/>
          <w:bCs/>
        </w:rPr>
        <w:t>2.2. Rekreasyon</w:t>
      </w:r>
    </w:p>
    <w:p w14:paraId="6C98BC69" w14:textId="77777777" w:rsidR="00FA457D" w:rsidRPr="00382F40" w:rsidRDefault="00FA457D" w:rsidP="00FA457D">
      <w:pPr>
        <w:jc w:val="both"/>
        <w:rPr>
          <w:noProof/>
        </w:rPr>
      </w:pPr>
      <w:r w:rsidRPr="00382F40">
        <w:rPr>
          <w:bCs/>
        </w:rPr>
        <w:t xml:space="preserve">Rekreasyon faaliyetleri, bireylerin serbest zamanlarında, eğlence ve tatmin dürtülerini karşılamak amacıyla, gönüllü olarak katıldıkları etkinlikler olarak tanımlanabilir </w:t>
      </w:r>
      <w:sdt>
        <w:sdtPr>
          <w:rPr>
            <w:bCs/>
          </w:rPr>
          <w:id w:val="-1917232956"/>
          <w:citation/>
        </w:sdtPr>
        <w:sdtContent>
          <w:r w:rsidRPr="00382F40">
            <w:rPr>
              <w:bCs/>
            </w:rPr>
            <w:fldChar w:fldCharType="begin"/>
          </w:r>
          <w:r w:rsidRPr="00382F40">
            <w:rPr>
              <w:bCs/>
            </w:rPr>
            <w:instrText xml:space="preserve"> CITATION Sağ86 \l 1055 </w:instrText>
          </w:r>
          <w:r w:rsidRPr="00382F40">
            <w:rPr>
              <w:bCs/>
            </w:rPr>
            <w:fldChar w:fldCharType="separate"/>
          </w:r>
          <w:r w:rsidRPr="00382F40">
            <w:rPr>
              <w:noProof/>
            </w:rPr>
            <w:t>(Sağcan, 1986)</w:t>
          </w:r>
          <w:r w:rsidRPr="00382F40">
            <w:rPr>
              <w:bCs/>
            </w:rPr>
            <w:fldChar w:fldCharType="end"/>
          </w:r>
        </w:sdtContent>
      </w:sdt>
      <w:r w:rsidRPr="00382F40">
        <w:rPr>
          <w:bCs/>
        </w:rPr>
        <w:t xml:space="preserve">. Rekreasyon, insanların yaşam kalitesini artırmayı hedefleyen, serbest zamanlarında ve gönüllü olarak gerçekleştirdikleri, doğaya zarar vermeyen faaliyetleri kapsayan multidisipliner bir alandır. Bu tanımda, “boş zaman” </w:t>
      </w:r>
      <w:proofErr w:type="gramStart"/>
      <w:r w:rsidRPr="00382F40">
        <w:rPr>
          <w:bCs/>
        </w:rPr>
        <w:t>ile birlikte</w:t>
      </w:r>
      <w:proofErr w:type="gramEnd"/>
      <w:r w:rsidRPr="00382F40">
        <w:rPr>
          <w:bCs/>
        </w:rPr>
        <w:t xml:space="preserve"> “serbest zaman” kavramının kullanılması bilinçli bir tercihtir. Günümüzde yapılan araştırmalarda, yaşam kalitesinin artırılması çabalarının yalnızca boş zamanla sınırlı kalmayıp, serbest zaman diliminde de değerlendirildiği ve vurgulandığı görülmektedir. Ayrıca, kavramsal tanımda “doğaya zarar vermeden” ifadesinin yer almasının sebebi, insanın doğanın bir parçası olarak, sürdürülebilir bir çevre oluşturma sorumluluğuna sahip olmasından kaynaklanmaktadır. Bu yaklaşım, gelecek nesillere sağlıklı bir doğa bırakma gerekliliğini de ifade etmektedir. Tanımda, yaşam kalitesinin rekreasyonla doğrudan ilişkili olduğu da görülmektedir. Bu noktadan hareketle, “yaşam kalitesi” kavramı üzerine düşünülmesi gerektiği ortaya çıkmaktadır. Yaşam kalitesi, en temel anlamıyla </w:t>
      </w:r>
      <w:r w:rsidRPr="00382F40">
        <w:rPr>
          <w:bCs/>
        </w:rPr>
        <w:lastRenderedPageBreak/>
        <w:t xml:space="preserve">bireylerin yaşamlarından memnun olmalarıyla ilişkilidir. Rekreasyon, bireylerin yaşam doyumunu artıran bir etkinlik </w:t>
      </w:r>
      <w:proofErr w:type="gramStart"/>
      <w:r w:rsidRPr="00382F40">
        <w:rPr>
          <w:bCs/>
        </w:rPr>
        <w:t>olarak,</w:t>
      </w:r>
      <w:proofErr w:type="gramEnd"/>
      <w:r w:rsidRPr="00382F40">
        <w:rPr>
          <w:bCs/>
        </w:rPr>
        <w:t xml:space="preserve"> hem haz alma hem de sağlıklı olma ve başarı gereksinimlerine dayanan bir güdüye sahiptir. Bu sebeple, insanların yaşamdan zevk almaları ile rekreasyon faaliyetlerinin doğrudan bir bağlantısı bulunmaktadır </w:t>
      </w:r>
      <w:sdt>
        <w:sdtPr>
          <w:rPr>
            <w:bCs/>
          </w:rPr>
          <w:id w:val="-629483399"/>
          <w:citation/>
        </w:sdtPr>
        <w:sdtContent>
          <w:r w:rsidRPr="00382F40">
            <w:rPr>
              <w:bCs/>
            </w:rPr>
            <w:fldChar w:fldCharType="begin"/>
          </w:r>
          <w:r w:rsidRPr="00382F40">
            <w:rPr>
              <w:bCs/>
            </w:rPr>
            <w:instrText xml:space="preserve"> CITATION Tüt12 \l 1055 </w:instrText>
          </w:r>
          <w:r w:rsidRPr="00382F40">
            <w:rPr>
              <w:bCs/>
            </w:rPr>
            <w:fldChar w:fldCharType="separate"/>
          </w:r>
          <w:r w:rsidRPr="00382F40">
            <w:rPr>
              <w:noProof/>
            </w:rPr>
            <w:t>(Tütüncü, Rekreasyon ve rekreasyon terapisinin yaşam kalitesindeki rolü, 2012)</w:t>
          </w:r>
          <w:r w:rsidRPr="00382F40">
            <w:rPr>
              <w:bCs/>
            </w:rPr>
            <w:fldChar w:fldCharType="end"/>
          </w:r>
        </w:sdtContent>
      </w:sdt>
      <w:r w:rsidRPr="00382F40">
        <w:rPr>
          <w:bCs/>
        </w:rPr>
        <w:t xml:space="preserve">. Rekreasyon ülkelerin </w:t>
      </w:r>
      <w:proofErr w:type="spellStart"/>
      <w:r w:rsidRPr="00382F40">
        <w:rPr>
          <w:bCs/>
        </w:rPr>
        <w:t>sosyo</w:t>
      </w:r>
      <w:proofErr w:type="spellEnd"/>
      <w:r w:rsidRPr="00382F40">
        <w:rPr>
          <w:bCs/>
        </w:rPr>
        <w:t xml:space="preserve"> ekonomik ve kültürel gelişme seviyelerine göre ilgi alanlarına girmekte ve önem kazanmaktadır. Öyle ki rekreasyon anlayışının gelişmesi, toplumda yeni iş alanlarının ve yeni beklentilerin ortaya çıkmasına neden olmuştur.</w:t>
      </w:r>
      <w:r w:rsidRPr="00382F40">
        <w:rPr>
          <w:bCs/>
          <w:noProof/>
        </w:rPr>
        <w:t xml:space="preserve"> </w:t>
      </w:r>
      <w:r w:rsidRPr="00382F40">
        <w:rPr>
          <w:noProof/>
        </w:rPr>
        <w:t>(Karaküçük, 2014)</w:t>
      </w:r>
      <w:r w:rsidRPr="00382F40">
        <w:rPr>
          <w:bCs/>
        </w:rPr>
        <w:t>.</w:t>
      </w:r>
      <w:r w:rsidRPr="00382F40">
        <w:rPr>
          <w:color w:val="111111"/>
          <w:shd w:val="clear" w:color="auto" w:fill="FFFFFF"/>
        </w:rPr>
        <w:t xml:space="preserve"> Günümüzde rekreasyon etkinliklerinde ortaya çıkan çeşitlilik ve amaç farklılıklarının giderek bir zenginliği sergilemesi, toplumun rekreasyon liderine olan talebini artırdığı söylenebilir. Önemli bir rekreasyonel potansiyel oluşturan sporda da meydana çıkan yeni yönelişler ve anlayışlar, rekreasyon lideri talebini arttırmaktadır </w:t>
      </w:r>
      <w:r w:rsidRPr="00382F40">
        <w:rPr>
          <w:noProof/>
          <w:color w:val="111111"/>
          <w:shd w:val="clear" w:color="auto" w:fill="FFFFFF"/>
        </w:rPr>
        <w:t xml:space="preserve">(Karaküçük ve Yetim, 1996). Rekreatif etkinlikler, bireylerin yaşamlarındaki stres ve zorluklardan kurtulmalarına yardımcı olarak, kişisel gelişim süreçlerini desteklemektedir. Bu faaliyetler, bireylerin kendilikleri, sosyal ilişkileri ve sosyokültürel uyumları üzerinde olumlu etkilerde bulunmaktadır (Patry et al., 2007; Iwasaki, 2007; Şener vd., 2007; Axelsen, 2009). </w:t>
      </w:r>
      <w:r w:rsidRPr="00382F40">
        <w:rPr>
          <w:bCs/>
        </w:rPr>
        <w:t xml:space="preserve">Rekreasyon faaliyetleri, insanların bedensel ve ruhsal yorgunluklarını gidererek, onlara fiziksel, zihinsel ve yaratıcı açıdan güç kazandırmaktadır </w:t>
      </w:r>
      <w:sdt>
        <w:sdtPr>
          <w:rPr>
            <w:bCs/>
          </w:rPr>
          <w:id w:val="1122880766"/>
          <w:citation/>
        </w:sdtPr>
        <w:sdtContent>
          <w:r w:rsidRPr="00382F40">
            <w:rPr>
              <w:bCs/>
            </w:rPr>
            <w:fldChar w:fldCharType="begin"/>
          </w:r>
          <w:r w:rsidRPr="00382F40">
            <w:rPr>
              <w:bCs/>
            </w:rPr>
            <w:instrText xml:space="preserve"> CITATION Sağ86 \l 1055 </w:instrText>
          </w:r>
          <w:r w:rsidRPr="00382F40">
            <w:rPr>
              <w:bCs/>
            </w:rPr>
            <w:fldChar w:fldCharType="separate"/>
          </w:r>
          <w:r w:rsidRPr="00382F40">
            <w:rPr>
              <w:noProof/>
            </w:rPr>
            <w:t>(Sağcan, 1986)</w:t>
          </w:r>
          <w:r w:rsidRPr="00382F40">
            <w:rPr>
              <w:bCs/>
            </w:rPr>
            <w:fldChar w:fldCharType="end"/>
          </w:r>
        </w:sdtContent>
      </w:sdt>
      <w:r w:rsidRPr="00382F40">
        <w:rPr>
          <w:bCs/>
        </w:rPr>
        <w:t xml:space="preserve">. Rekreasyonel faaliyetlere katılımı etkileyen faktörler, iki ana başlık altında incelenebilir: organizasyonel ve çevresel fiziksel unsurlar ile bireyin içsel dünyasını oluşturan fizyolojik özellikler, ruhsal durum ve negatif içsel deneyimler. Organizasyonel unsurlar, rekreasyon alanlarının durumu ve çevresel faktörler, dışsal etmenler olarak katılımı doğrudan etkileyen unsurlardır. Bunun yanı sıra, bireyin içsel durumu, yani fizyolojik ve psikolojik faktörler de katılımı etkileyen önemli unsurlar arasında yer almaktadır. Bu nedenle, rekreasyonel faaliyetlere katılımın artırılması için çevresel ve içsel faktörlerin birlikte değerlendirilmesi gerekmektedir. Bu bütüncül yaklaşım, pratikte rekreasyonel faaliyetlerin etkinliğini artırmaya yardımcı olacak ve bireylerin daha fazla katılımına katkı sağlamaktadır </w:t>
      </w:r>
      <w:r w:rsidRPr="00382F40">
        <w:rPr>
          <w:noProof/>
        </w:rPr>
        <w:t>(Tütüncü vd., 2011).</w:t>
      </w:r>
    </w:p>
    <w:p w14:paraId="3A80F0AC" w14:textId="77777777" w:rsidR="00FA457D" w:rsidRPr="00091982" w:rsidRDefault="00FA457D" w:rsidP="00FA457D">
      <w:pPr>
        <w:jc w:val="both"/>
        <w:rPr>
          <w:bCs/>
        </w:rPr>
      </w:pPr>
    </w:p>
    <w:p w14:paraId="7F9DB8F1" w14:textId="349D55DA" w:rsidR="00FA457D" w:rsidRDefault="00FA457D" w:rsidP="00FA457D">
      <w:pPr>
        <w:jc w:val="both"/>
        <w:rPr>
          <w:b/>
          <w:bCs/>
        </w:rPr>
      </w:pPr>
      <w:r w:rsidRPr="007F5EEB">
        <w:rPr>
          <w:b/>
          <w:bCs/>
        </w:rPr>
        <w:t>2.3. Toplumsal Cinsiyet Eşitliği</w:t>
      </w:r>
    </w:p>
    <w:p w14:paraId="60CCFA2C" w14:textId="77777777" w:rsidR="00FA457D" w:rsidRDefault="00FA457D" w:rsidP="00FA457D">
      <w:pPr>
        <w:jc w:val="both"/>
        <w:rPr>
          <w:bCs/>
        </w:rPr>
      </w:pPr>
      <w:r w:rsidRPr="009D3103">
        <w:rPr>
          <w:bCs/>
        </w:rPr>
        <w:t xml:space="preserve">Eşitlik, bireylerin tüm yeteneklerini özgürce ve tam olarak geliştirebilecekleri bir toplumsal ortamın yaratılmasını ve bu ortamın önündeki tüm toplumsal ve siyasal engellerin kaldırılmasını ifade etmektedir. Eşitsizlik ise, önlenebilir olması nedeniyle gereksiz ve adaletsiz farklılıklar olarak tanımlanmaktadır. Bu bağlamda, kadın ve erkek arasındaki genetik, fizyolojik ve biyolojik farklar eşitsizlik olarak ele alınmamaktadır. Toplumsal cinsiyet eşitsizliği, farklı iktidar ilişkilerinin bir sonucu olarak, toplumun kadın ve erkeğe dair algılarından kaynaklanmaktadır. Toplumsal cinsiyet eşitsizliği, kadınların politik, ekonomik, sosyal, kültürel ve medeni alanlarda insan hakları ve temel özgürlüklerine erişimini engelleyen, kısıtlayan veya ortadan kaldıran bir ayrımcılığa işaret etmektedir. Bu eşitsizlik, kadının eğitim, iş gücüne katılımı, gelir durumu gibi pek çok alanda olumsuz etkiler yaratmakta ve toplumsal baskı oluşturarak kadının sağlığı da dahil olmak üzere çeşitli sorunlara yol açmaktadır </w:t>
      </w:r>
      <w:r w:rsidRPr="009D3103">
        <w:t>(Şimşek, 2011; CEDAW, 2005).</w:t>
      </w:r>
      <w:r w:rsidRPr="009D3103">
        <w:rPr>
          <w:bCs/>
        </w:rPr>
        <w:t xml:space="preserve"> Genel olarak, doğumla ilişkilendirilen cinsiyet, bireylerin biyolojik farklılıklarını ifade etmektedir. Ancak, “toplumsal cinsiyet” kavramı, biyolojik cinsiyetten farklı olarak, kadın ve erkeğin sosyal ve kültürel açıdan nasıl tanımlandığını, toplumların bu iki cinsiyeti birbirinden ayırma biçimlerini ve onlara atfettiği toplumsal rolleri açıklamak için kullanılmaktadır </w:t>
      </w:r>
      <w:r w:rsidRPr="009D3103">
        <w:rPr>
          <w:noProof/>
        </w:rPr>
        <w:t>(Ecevit, 2013)</w:t>
      </w:r>
      <w:r w:rsidRPr="009D3103">
        <w:rPr>
          <w:bCs/>
        </w:rPr>
        <w:t>.</w:t>
      </w:r>
      <w:r w:rsidRPr="009D3103">
        <w:rPr>
          <w:rFonts w:eastAsiaTheme="minorEastAsia"/>
          <w:color w:val="000000" w:themeColor="text1"/>
          <w:kern w:val="24"/>
          <w:sz w:val="56"/>
          <w:szCs w:val="56"/>
        </w:rPr>
        <w:t xml:space="preserve"> </w:t>
      </w:r>
      <w:r w:rsidRPr="009D3103">
        <w:rPr>
          <w:bCs/>
        </w:rPr>
        <w:t>Toplumsal cinsiyet rolleri, bireylere cinsiyetlerine dayalı olarak doğdukları andan itibaren benimsenmesi beklenen toplumsal davranış kalıplarını, toplumların cinsiyetle ilgili beklentilerini, değerlerini ve inançlarını tanımlamaktadır (</w:t>
      </w:r>
      <w:proofErr w:type="spellStart"/>
      <w:r w:rsidRPr="009D3103">
        <w:rPr>
          <w:bCs/>
        </w:rPr>
        <w:t>Blackstone</w:t>
      </w:r>
      <w:proofErr w:type="spellEnd"/>
      <w:r w:rsidRPr="009D3103">
        <w:rPr>
          <w:bCs/>
        </w:rPr>
        <w:t xml:space="preserve">, 2003). Kısaca kadın ve erkeğin toplum tarafından belirlenen rol ve </w:t>
      </w:r>
      <w:r w:rsidRPr="009D3103">
        <w:rPr>
          <w:bCs/>
        </w:rPr>
        <w:lastRenderedPageBreak/>
        <w:t xml:space="preserve">sorumluluklarına toplumsal cinsiyet denir. Bu kavram, farklı toplumlarda ve zaman içinde değişiklik gösterebilir. Hem ulusal hem de uluslararası düzeydeki güncel politikalar, bireyler arasındaki eşitsizliği artırmakta ve bu eşitsizlikten kadınlar daha fazla etkilenmektedir. Toplumsal cinsiyet eşitsizliği nedeniyle kadınlar, daha düşük sağlık, eğitim, işgücü katılımı ve gelir düzeyine sahip konumlar ile karşı karşıyadır. Dünya nüfusunun yarısını oluşturan kadınların, toplumsal statülerinin düşük olması ve ikinci sınıf insan muamelesi görmeleri, sağlık ve eğitim gibi temel hizmetlere erişimlerini olumsuz yönde etkilemektedir. Bu nedenle, kadınların güçlendirilmesi ve toplumsal cinsiyet eşitliğinin politika, strateji ve uygulamalara yansıtılması büyük bir önem </w:t>
      </w:r>
      <w:r w:rsidRPr="000D66DE">
        <w:rPr>
          <w:bCs/>
        </w:rPr>
        <w:t>taşımaktadır. Cinsiyet eşitliğinin sağlanması ve toplumsal cinsiyet ayrımcılığının ortadan kaldırılması için Dünya ve Türkiye’de pek çok girişim olmasına rağmen, istenen düzeye henüz ulaşılabilmiş değildir (</w:t>
      </w:r>
      <w:proofErr w:type="spellStart"/>
      <w:r w:rsidRPr="000D66DE">
        <w:rPr>
          <w:bCs/>
        </w:rPr>
        <w:t>Demirgöz</w:t>
      </w:r>
      <w:proofErr w:type="spellEnd"/>
      <w:r w:rsidRPr="000D66DE">
        <w:rPr>
          <w:bCs/>
        </w:rPr>
        <w:t xml:space="preserve"> Bal, 2014).</w:t>
      </w:r>
    </w:p>
    <w:p w14:paraId="32A6574E" w14:textId="77777777" w:rsidR="00FA457D" w:rsidRDefault="00FA457D" w:rsidP="00FA457D">
      <w:pPr>
        <w:jc w:val="both"/>
        <w:rPr>
          <w:bCs/>
        </w:rPr>
      </w:pPr>
    </w:p>
    <w:p w14:paraId="327025B3" w14:textId="12F34EE2" w:rsidR="00FA457D" w:rsidRPr="000D66DE" w:rsidRDefault="00FA457D" w:rsidP="00FA457D">
      <w:pPr>
        <w:jc w:val="both"/>
        <w:rPr>
          <w:b/>
          <w:bCs/>
        </w:rPr>
      </w:pPr>
      <w:r w:rsidRPr="000D66DE">
        <w:rPr>
          <w:b/>
          <w:bCs/>
        </w:rPr>
        <w:t xml:space="preserve">2.4. </w:t>
      </w:r>
      <w:proofErr w:type="spellStart"/>
      <w:r w:rsidRPr="000D66DE">
        <w:rPr>
          <w:b/>
          <w:bCs/>
        </w:rPr>
        <w:t>Metaverse</w:t>
      </w:r>
      <w:proofErr w:type="spellEnd"/>
      <w:r w:rsidRPr="000D66DE">
        <w:rPr>
          <w:b/>
          <w:bCs/>
        </w:rPr>
        <w:t>, Rekreasyon ve Toplumsal Cinsiyet Eşitliğine Yönelik Dijital Dünyadaki Fırsatlar</w:t>
      </w:r>
    </w:p>
    <w:p w14:paraId="1363201E" w14:textId="77777777" w:rsidR="00FA457D" w:rsidRDefault="00FA457D" w:rsidP="00FA457D">
      <w:pPr>
        <w:jc w:val="both"/>
        <w:rPr>
          <w:bCs/>
        </w:rPr>
      </w:pPr>
      <w:proofErr w:type="spellStart"/>
      <w:r w:rsidRPr="000D66DE">
        <w:rPr>
          <w:bCs/>
        </w:rPr>
        <w:t>Metaverse</w:t>
      </w:r>
      <w:proofErr w:type="spellEnd"/>
      <w:r w:rsidRPr="000D66DE">
        <w:rPr>
          <w:bCs/>
        </w:rPr>
        <w:t xml:space="preserve">, son zamanlarda dijital alanın sınırlarını genişleterek, sanal ve fiziksel dünyalar arasındaki etkileşimi güçlendiren önemli bir kavram haline gelmiştir. Bu dijital ortamda, kullanıcılar sanal dünyalar aracılığıyla etkileşimde bulunarak çeşitli sosyal, kültürel ve ekonomik fırsatlar elde etme imkânına sahiptir (Türkoğlu, 2023). Ayrıca, bu sanal evren teknolojisi toplumsal cinsiyet eşitliği açısından da yeni fırsatlar sunmaktadır. </w:t>
      </w:r>
      <w:proofErr w:type="spellStart"/>
      <w:r w:rsidRPr="000D66DE">
        <w:rPr>
          <w:bCs/>
        </w:rPr>
        <w:t>Metaverse</w:t>
      </w:r>
      <w:proofErr w:type="spellEnd"/>
      <w:r w:rsidRPr="000D66DE">
        <w:rPr>
          <w:bCs/>
        </w:rPr>
        <w:t xml:space="preserve"> teknolojisinin rekreasyon alanlarında sunduğu imkanlar, bireylerin boş zamanlarını daha verimli şekilde değerlendirebilmelerini sağlayarak önemli avantajlar sunmaktadır (</w:t>
      </w:r>
      <w:proofErr w:type="spellStart"/>
      <w:r w:rsidRPr="000D66DE">
        <w:rPr>
          <w:bCs/>
        </w:rPr>
        <w:t>Güncan</w:t>
      </w:r>
      <w:proofErr w:type="spellEnd"/>
      <w:r w:rsidRPr="000D66DE">
        <w:rPr>
          <w:bCs/>
        </w:rPr>
        <w:t xml:space="preserve">, 2023). Sanal ortamlar, coğrafi sınırlamaları ortadan kaldırarak herkesin, bulunduğu yerden bağımsız olarak etkinliklere katılmasına olanak tanımaktadır. Bu, özellikle fiziksel engelleri olan bireyler için büyük bir fırsat yaratmaktadır (Savaş, 2023). </w:t>
      </w:r>
      <w:proofErr w:type="spellStart"/>
      <w:r w:rsidRPr="000D66DE">
        <w:rPr>
          <w:bCs/>
        </w:rPr>
        <w:t>Metaverse’de</w:t>
      </w:r>
      <w:proofErr w:type="spellEnd"/>
      <w:r w:rsidRPr="000D66DE">
        <w:rPr>
          <w:bCs/>
        </w:rPr>
        <w:t xml:space="preserve"> rekreasyonel faaliyetlere katılmak, bedensel sınırlamaları aşmak ve kişisel sınırları zorlamak açısından önemli bir imkân sunmaktadır (Kaya vd., 2023).</w:t>
      </w:r>
    </w:p>
    <w:p w14:paraId="3AC9C1DF" w14:textId="77777777" w:rsidR="00B80551" w:rsidRPr="000D66DE" w:rsidRDefault="00B80551" w:rsidP="00FA457D">
      <w:pPr>
        <w:jc w:val="both"/>
        <w:rPr>
          <w:bCs/>
        </w:rPr>
      </w:pPr>
    </w:p>
    <w:p w14:paraId="16DD4003" w14:textId="3CFF7005" w:rsidR="00FA457D" w:rsidRDefault="00FA457D" w:rsidP="00FA457D">
      <w:pPr>
        <w:jc w:val="both"/>
      </w:pPr>
      <w:r w:rsidRPr="007A2A79">
        <w:t>Toplumsal cinsiyet eşitliği aç</w:t>
      </w:r>
      <w:r w:rsidRPr="000D66DE">
        <w:t xml:space="preserve">ısından bakıldığında, </w:t>
      </w:r>
      <w:proofErr w:type="spellStart"/>
      <w:r w:rsidRPr="000D66DE">
        <w:t>metaverse’ü</w:t>
      </w:r>
      <w:r w:rsidRPr="007A2A79">
        <w:t>n</w:t>
      </w:r>
      <w:proofErr w:type="spellEnd"/>
      <w:r w:rsidRPr="007A2A79">
        <w:t xml:space="preserve"> sunduğu dijital platformlar, kadın ve erkek arasındaki ayrımları ortadan kaldırma potansiyeline sahiptir. Geleneksel toplumsal cinsiyet rollerinin dijital ortamda daha esnek bir şekilde yer alması, bireylerin kimliklerini daha özgür bir biçim</w:t>
      </w:r>
      <w:r w:rsidRPr="000D66DE">
        <w:t xml:space="preserve">de ifade etmelerine olanak tanımaktadır (Erken, 2022; Kürkçü ve Altınok, 2024). Öyle ki </w:t>
      </w:r>
      <w:proofErr w:type="spellStart"/>
      <w:r w:rsidRPr="007A2A79">
        <w:t>metaverse'e</w:t>
      </w:r>
      <w:proofErr w:type="spellEnd"/>
      <w:r w:rsidRPr="007A2A79">
        <w:t xml:space="preserve"> dair </w:t>
      </w:r>
      <w:r w:rsidRPr="000D66DE">
        <w:t>(</w:t>
      </w:r>
      <w:proofErr w:type="spellStart"/>
      <w:r w:rsidRPr="000D66DE">
        <w:rPr>
          <w:color w:val="222222"/>
          <w:sz w:val="20"/>
          <w:szCs w:val="20"/>
          <w:shd w:val="clear" w:color="auto" w:fill="FFFFFF"/>
        </w:rPr>
        <w:t>Şenkardeş</w:t>
      </w:r>
      <w:proofErr w:type="spellEnd"/>
      <w:r w:rsidRPr="000D66DE">
        <w:t xml:space="preserve"> 2023; </w:t>
      </w:r>
      <w:r w:rsidRPr="000D66DE">
        <w:rPr>
          <w:color w:val="222222"/>
          <w:sz w:val="20"/>
          <w:szCs w:val="20"/>
          <w:shd w:val="clear" w:color="auto" w:fill="FFFFFF"/>
        </w:rPr>
        <w:t>Çobanoğlu, 2023; Nalbant ve Aydın, 2025</w:t>
      </w:r>
      <w:r w:rsidRPr="000D66DE">
        <w:t xml:space="preserve">) gibi </w:t>
      </w:r>
      <w:r w:rsidRPr="007A2A79">
        <w:t>çeşitli çalışmalar, kadınların dijital platformlarda daha fazla görünürlük kazandığını ve bu durumun toplumsal cinsiyet eşitliğine katkı sağla</w:t>
      </w:r>
      <w:r w:rsidRPr="000D66DE">
        <w:t xml:space="preserve">yabileceğini </w:t>
      </w:r>
      <w:r w:rsidRPr="007A2A79">
        <w:t>göstermektedir</w:t>
      </w:r>
      <w:r w:rsidRPr="000D66DE">
        <w:t>.</w:t>
      </w:r>
      <w:r w:rsidRPr="000D66DE">
        <w:rPr>
          <w:rFonts w:eastAsiaTheme="minorEastAsia"/>
          <w:color w:val="000000" w:themeColor="text1"/>
          <w:kern w:val="24"/>
          <w:sz w:val="56"/>
          <w:szCs w:val="56"/>
        </w:rPr>
        <w:t xml:space="preserve"> </w:t>
      </w:r>
      <w:proofErr w:type="spellStart"/>
      <w:r w:rsidRPr="000D66DE">
        <w:t>Metaverse</w:t>
      </w:r>
      <w:proofErr w:type="spellEnd"/>
      <w:r w:rsidRPr="000D66DE">
        <w:t xml:space="preserve"> ve benzeri dijital dünyalar, toplumsal cinsiyet eşitliği için politika geliştiren kurumlar adına bir test alanı işlevi görmektedir. Dijitalleşen dünyada, eşitlikçi uygulamaların test edilmesi ve iyileştirilmesi, kadınların iş gücüne katılımının artırılması ve toplumsal rollerinin güçlendirilmesi için değerli fırsatlar sunmaktadır. Dijital platformlarda gerçekleştirilen çalışmalar, kadınlar ve erkekler arasında eşit hakların sağlanması gerektiği anlayışını pekiştirmekte ve toplumsal cinsiyet eşitliği konusunda daha kapsayıcı yaklaşımların benimsenmesine zemin hazırlamaktadır (Kurtoğlu ve Karaman, 2023; Kayan, 2024). Bu noktada </w:t>
      </w:r>
      <w:proofErr w:type="spellStart"/>
      <w:r w:rsidRPr="007A2A79">
        <w:t>metaverse</w:t>
      </w:r>
      <w:proofErr w:type="spellEnd"/>
      <w:r w:rsidRPr="007A2A79">
        <w:t xml:space="preserve"> ve diğer dijital dünyaların rekreasyon ve toplumsal cinsiyet eşitliği için sunduğu fırsatlar, daha adil ve eşitlikçi bir dijital toplumu inşa etme yolunda önemli bir adım olarak değerlendirilebilir. Bu ortamlar, fiziksel engelleri aşarak daha geniş bir katılım sağlarken, toplumsal cinsiyet eşitsizliklerini de dijital ortamda çözme imkânı sunmaktadır.</w:t>
      </w:r>
    </w:p>
    <w:p w14:paraId="73C8DC10" w14:textId="77777777" w:rsidR="00B80551" w:rsidRDefault="00B80551" w:rsidP="00FA457D">
      <w:pPr>
        <w:jc w:val="both"/>
      </w:pPr>
    </w:p>
    <w:p w14:paraId="0ED9216A" w14:textId="77777777" w:rsidR="00B80551" w:rsidRPr="000D66DE" w:rsidRDefault="00B80551" w:rsidP="00FA457D">
      <w:pPr>
        <w:jc w:val="both"/>
      </w:pPr>
    </w:p>
    <w:p w14:paraId="40ED7AB9" w14:textId="77777777" w:rsidR="00FA457D" w:rsidRDefault="00FA457D" w:rsidP="00FA457D">
      <w:pPr>
        <w:jc w:val="both"/>
        <w:rPr>
          <w:b/>
          <w:bCs/>
        </w:rPr>
      </w:pPr>
      <w:r w:rsidRPr="00CC78B6">
        <w:rPr>
          <w:b/>
          <w:bCs/>
        </w:rPr>
        <w:lastRenderedPageBreak/>
        <w:t xml:space="preserve">2.5. </w:t>
      </w:r>
      <w:proofErr w:type="spellStart"/>
      <w:r w:rsidRPr="00CC78B6">
        <w:rPr>
          <w:b/>
          <w:bCs/>
        </w:rPr>
        <w:t>Metaverse</w:t>
      </w:r>
      <w:proofErr w:type="spellEnd"/>
      <w:r w:rsidRPr="00CC78B6">
        <w:rPr>
          <w:b/>
          <w:bCs/>
        </w:rPr>
        <w:t xml:space="preserve">, Rekreasyon ve Toplumsal Cinsiyet Eşitliğine Yönelik Dijital Dünyadaki </w:t>
      </w:r>
      <w:r w:rsidRPr="00664393">
        <w:rPr>
          <w:b/>
          <w:bCs/>
        </w:rPr>
        <w:t>Tehditler</w:t>
      </w:r>
    </w:p>
    <w:p w14:paraId="7189D78E" w14:textId="77777777" w:rsidR="00FA457D" w:rsidRDefault="00FA457D" w:rsidP="00FA457D">
      <w:pPr>
        <w:jc w:val="both"/>
        <w:rPr>
          <w:noProof/>
        </w:rPr>
      </w:pPr>
      <w:proofErr w:type="spellStart"/>
      <w:r w:rsidRPr="006942D4">
        <w:t>Metaverse’ün</w:t>
      </w:r>
      <w:proofErr w:type="spellEnd"/>
      <w:r w:rsidRPr="006942D4">
        <w:t xml:space="preserve"> sunduğu umut verici fırsatlara rağmen, güvenlik ve gizlilik sorunları, daha fazla gelişimini engelleyen en önemli zorluklar arasında yer almaktadır. </w:t>
      </w:r>
      <w:proofErr w:type="spellStart"/>
      <w:r w:rsidRPr="006942D4">
        <w:t>Metaverse’ün</w:t>
      </w:r>
      <w:proofErr w:type="spellEnd"/>
      <w:r w:rsidRPr="006942D4">
        <w:t xml:space="preserve"> içinde bulunduğu dijital ortamda, büyük veri akışlarının yönetimi, kullanıcı profilleme uygulamaları, yapay </w:t>
      </w:r>
      <w:proofErr w:type="gramStart"/>
      <w:r w:rsidRPr="006942D4">
        <w:t>zeka</w:t>
      </w:r>
      <w:proofErr w:type="gramEnd"/>
      <w:r w:rsidRPr="006942D4">
        <w:t xml:space="preserve"> (AI) algoritmalarının yanlış sonuçlar üretmesi ve fiziksel altyapı ile insan bedenlerinin güvenliği gibi çeşitli konularda birçok güvenlik ve gizlilik ihlali meydana gelebilir. İlk olarak, </w:t>
      </w:r>
      <w:proofErr w:type="spellStart"/>
      <w:r w:rsidRPr="006942D4">
        <w:t>metaverse</w:t>
      </w:r>
      <w:proofErr w:type="spellEnd"/>
      <w:r w:rsidRPr="006942D4">
        <w:t xml:space="preserve">, en son teknolojilerin ve bunlar üzerine inşa edilen sistemlerin entegrasyonunu içerdiğinden, bu sistemlerin güvenlik açıkları ve potansiyel kusurları da </w:t>
      </w:r>
      <w:proofErr w:type="spellStart"/>
      <w:r w:rsidRPr="006942D4">
        <w:t>metaverse’e</w:t>
      </w:r>
      <w:proofErr w:type="spellEnd"/>
      <w:r w:rsidRPr="006942D4">
        <w:t xml:space="preserve"> miras kalmaktadır. Giyilebilir cihazların veya bulut tabanlı depolama sistemlerinin ele geçirilmesi, sanal para birimlerinin çalınması ve yapay zekânın sahte haber üretimi amacıyla kötüye kullanılması gibi olaylar, bu yeni teknolojilerin yol açabileceği güvenlik tehditlerine örnek teşkil etmektedir. İkinci olarak, </w:t>
      </w:r>
      <w:proofErr w:type="spellStart"/>
      <w:r w:rsidRPr="006942D4">
        <w:t>metaverse’deki</w:t>
      </w:r>
      <w:proofErr w:type="spellEnd"/>
      <w:r w:rsidRPr="006942D4">
        <w:t xml:space="preserve"> teknolojilerin birleşimi ile ortaya çıkan tehditler, sanal dünyada daha büyük boyutlara ulaşabilir ve şiddetini artırabilir. Ayrıca, fiziksel ya da siber dünyada henüz karşılaşılan ve tanımlanmamış olan, sanal casusluk ve sanal takip gibi yeni tehditler de bu dijital evrende ortaya çıkabilir </w:t>
      </w:r>
      <w:r w:rsidRPr="006942D4">
        <w:rPr>
          <w:noProof/>
        </w:rPr>
        <w:t>(Leenes, 2007).</w:t>
      </w:r>
      <w:r w:rsidRPr="006942D4">
        <w:rPr>
          <w:rFonts w:eastAsiaTheme="minorEastAsia"/>
          <w:color w:val="000000" w:themeColor="text1"/>
          <w:kern w:val="24"/>
          <w:sz w:val="56"/>
          <w:szCs w:val="56"/>
        </w:rPr>
        <w:t xml:space="preserve"> </w:t>
      </w:r>
      <w:r w:rsidRPr="006942D4">
        <w:rPr>
          <w:noProof/>
        </w:rPr>
        <w:t>Yapay zeka algoritmaları kullanarak sanal bir ortam oluşturulması sürecinde, kullanıcılar, beyin dalgası desenleri, yüz ifadeleri, göz hareketleri, el hareketleri, sesli ifadeler, biyometrik veriler ve çevresel faktörler gibi çeşitli verileri toplamak amacıyla yerleşik sensörlere sahip giyilebilir artırılmış gerçeklik (AR) ve sanal gerçeklik (VR) cihazları kullanılabilmektedir. Bu cihazlar, kullanıcının fiziksel ve duygusal durumlarını izleyerek, sanal ortamda etkileşimlerini kişiselleştirmeye olanak tanımaktadır. Ayrıca, metaverse içerisinde kullanıcıların benzersiz bir şekilde tanımlanabilmesi için, bu tür cihazlar, kullanıcıların gerçek konumlarını izlemek amacıyla kötüye kullanılabilir. Bu durum, kullanıcı gizliliği ve güvenliği açısından önemli endişelere yol açmaktadır (Shang et al., 2020).</w:t>
      </w:r>
    </w:p>
    <w:p w14:paraId="501F664F" w14:textId="77777777" w:rsidR="00FA457D" w:rsidRPr="006942D4" w:rsidRDefault="00FA457D" w:rsidP="00FA457D">
      <w:pPr>
        <w:jc w:val="both"/>
        <w:rPr>
          <w:noProof/>
        </w:rPr>
      </w:pPr>
    </w:p>
    <w:p w14:paraId="5FA4CB20" w14:textId="77777777" w:rsidR="00FA457D" w:rsidRDefault="00FA457D" w:rsidP="00FA457D">
      <w:pPr>
        <w:jc w:val="both"/>
        <w:rPr>
          <w:bCs/>
        </w:rPr>
      </w:pPr>
      <w:proofErr w:type="spellStart"/>
      <w:r w:rsidRPr="0099536B">
        <w:rPr>
          <w:bCs/>
        </w:rPr>
        <w:t>Metaverse</w:t>
      </w:r>
      <w:proofErr w:type="spellEnd"/>
      <w:r w:rsidRPr="0099536B">
        <w:rPr>
          <w:bCs/>
        </w:rPr>
        <w:t>, dijital dünyaların geleceğini şekillendiren ve birçok fırsat sunduğu kadar bazı tehditleri de beraberinde getiren bir kavramdır. Özellikle toplumsal cinsiyet eşitliği ve rekreasyon gibi alanlarda sunduğu potansiyel, beraberinde çeşitli risk ve tehditleri de gündeme getirmektedir. Bu tehditler, kullanıcıların dijital kimliklerinin güvenliği, sosyal etkileşimlerdeki ayrımcılık ve dijital katılımda yaşanan eşitsizlik gibi unsurları içermektedir.</w:t>
      </w:r>
    </w:p>
    <w:p w14:paraId="50117014" w14:textId="77777777" w:rsidR="00FA457D" w:rsidRPr="0099536B" w:rsidRDefault="00FA457D" w:rsidP="00FA457D">
      <w:pPr>
        <w:jc w:val="both"/>
        <w:rPr>
          <w:bCs/>
        </w:rPr>
      </w:pPr>
    </w:p>
    <w:p w14:paraId="480586DB" w14:textId="77777777" w:rsidR="00FA457D" w:rsidRDefault="00FA457D" w:rsidP="00FA457D">
      <w:pPr>
        <w:jc w:val="both"/>
        <w:rPr>
          <w:bCs/>
        </w:rPr>
      </w:pPr>
      <w:r w:rsidRPr="002B7BE1">
        <w:rPr>
          <w:bCs/>
        </w:rPr>
        <w:t xml:space="preserve">İlk olarak, </w:t>
      </w:r>
      <w:proofErr w:type="spellStart"/>
      <w:r w:rsidRPr="002B7BE1">
        <w:rPr>
          <w:bCs/>
        </w:rPr>
        <w:t>metaverse</w:t>
      </w:r>
      <w:proofErr w:type="spellEnd"/>
      <w:r w:rsidRPr="002B7BE1">
        <w:rPr>
          <w:bCs/>
        </w:rPr>
        <w:t xml:space="preserve"> ortamında kullanıcıların dijital avatarları aracılığıyla gerçekleştirdikleri etkileşimler, kimlik ve gizlilik sorunlarını gündeme getirmektedir. Bu platformlarda, kullanıcıların kişisel bilgileri toplandığı için, siber saldırılara ve veri ihlallerine açık hale gelebilmektedirler (Bakır, 2022).</w:t>
      </w:r>
      <w:r w:rsidRPr="009D3BD4">
        <w:rPr>
          <w:b/>
          <w:bCs/>
        </w:rPr>
        <w:t xml:space="preserve"> </w:t>
      </w:r>
      <w:r w:rsidRPr="002B7BE1">
        <w:rPr>
          <w:bCs/>
        </w:rPr>
        <w:t xml:space="preserve">Bu durum, özellikle kadın kullanıcılar için daha büyük bir tehdit oluşturmaktadır çünkü kadınlar, dijital ortamda sıklıkla cinsel taciz, nefret söylemi ve çevrimiçi ayrımcılık gibi sorunlarla </w:t>
      </w:r>
      <w:r w:rsidRPr="00077770">
        <w:rPr>
          <w:bCs/>
        </w:rPr>
        <w:t xml:space="preserve">karşılaşmaktadır (Bacaksız, 2023). </w:t>
      </w:r>
      <w:proofErr w:type="spellStart"/>
      <w:r w:rsidRPr="00077770">
        <w:rPr>
          <w:bCs/>
        </w:rPr>
        <w:t>Metaverse'de</w:t>
      </w:r>
      <w:proofErr w:type="spellEnd"/>
      <w:r w:rsidRPr="00077770">
        <w:rPr>
          <w:bCs/>
        </w:rPr>
        <w:t xml:space="preserve"> kadınların güvenliğini ve eşitliğini sağlamak adına atılacak adımlar oldukça kritiktir, ancak</w:t>
      </w:r>
      <w:r w:rsidRPr="006F4A30">
        <w:rPr>
          <w:bCs/>
        </w:rPr>
        <w:t xml:space="preserve"> dijital alandaki ayrımcılık ve cinsiyetçi tutumların nasıl engelleneceği konusunda belirsizlikler bulunmaktadır. Bir diğer tehdit ise, </w:t>
      </w:r>
      <w:proofErr w:type="spellStart"/>
      <w:r w:rsidRPr="006F4A30">
        <w:rPr>
          <w:bCs/>
        </w:rPr>
        <w:t>metaverse'in</w:t>
      </w:r>
      <w:proofErr w:type="spellEnd"/>
      <w:r w:rsidRPr="006F4A30">
        <w:rPr>
          <w:bCs/>
        </w:rPr>
        <w:t xml:space="preserve"> rekreasyon alanlarında sunduğu olanakların tüm kullanıcılar tarafından eşit şekilde erişilebilir olmamasıdır. Fiziksel engelleri olan bireylerin, dijital dünyada daha eşit bir erişim imkânına sahip olabilmesi beklenirken, aslında </w:t>
      </w:r>
      <w:proofErr w:type="spellStart"/>
      <w:r w:rsidRPr="006F4A30">
        <w:rPr>
          <w:bCs/>
        </w:rPr>
        <w:t>metaverse</w:t>
      </w:r>
      <w:proofErr w:type="spellEnd"/>
      <w:r w:rsidRPr="006F4A30">
        <w:rPr>
          <w:bCs/>
        </w:rPr>
        <w:t xml:space="preserve"> gibi platformlarda bu bireylerin karşılaştığı engeller çoğunlukla devam etmektedir. Bu durum, dijital dünyaların “eşitlikçi” olmaktan ziyade yalnızca belirli grupların ihtiyaçlarına hitap eden alanlar olmasına neden olabilir </w:t>
      </w:r>
      <w:r w:rsidRPr="00077770">
        <w:rPr>
          <w:bCs/>
        </w:rPr>
        <w:t>(Kocabay Şener, 2021).</w:t>
      </w:r>
      <w:r>
        <w:rPr>
          <w:b/>
          <w:bCs/>
        </w:rPr>
        <w:t xml:space="preserve"> </w:t>
      </w:r>
      <w:r w:rsidRPr="00A267DD">
        <w:rPr>
          <w:bCs/>
        </w:rPr>
        <w:t xml:space="preserve">Son olarak, dijital dünyaların sunduğu toplumsal cinsiyet eşitliği fırsatları, toplumsal cinsiyet normlarını ve kalıplarını yeniden </w:t>
      </w:r>
      <w:r w:rsidRPr="00A267DD">
        <w:rPr>
          <w:bCs/>
        </w:rPr>
        <w:lastRenderedPageBreak/>
        <w:t xml:space="preserve">üretebilir. </w:t>
      </w:r>
      <w:proofErr w:type="spellStart"/>
      <w:r w:rsidRPr="00A267DD">
        <w:rPr>
          <w:bCs/>
        </w:rPr>
        <w:t>Metaverse</w:t>
      </w:r>
      <w:proofErr w:type="spellEnd"/>
      <w:r w:rsidRPr="00A267DD">
        <w:rPr>
          <w:bCs/>
        </w:rPr>
        <w:t xml:space="preserve">, daha özgür bir etkileşim alanı sunsa </w:t>
      </w:r>
      <w:proofErr w:type="gramStart"/>
      <w:r w:rsidRPr="00A267DD">
        <w:rPr>
          <w:bCs/>
        </w:rPr>
        <w:t>da,</w:t>
      </w:r>
      <w:proofErr w:type="gramEnd"/>
      <w:r w:rsidRPr="00A267DD">
        <w:rPr>
          <w:bCs/>
        </w:rPr>
        <w:t xml:space="preserve"> bu ortamda cinsiyet temelli ayrımcılıklar kolayca yeniden inşa edilebilir (Özarslan, 2023). Toplumsal cinsiyet eşitliğine yönelik yapılan dijital çalışmalar, toplumsal normlar tarafından şekillendirilen ve kadınların dijital ortamlarda da maruz kaldığı cinsiyetçi davranışların ortadan kaldırılmasına yeterince odaklanmadığı sürece bu tehditlerin artması muhtemeldir.</w:t>
      </w:r>
    </w:p>
    <w:p w14:paraId="1713665D" w14:textId="77777777" w:rsidR="00FA457D" w:rsidRPr="00664393" w:rsidRDefault="00FA457D" w:rsidP="00FA457D">
      <w:pPr>
        <w:jc w:val="both"/>
        <w:rPr>
          <w:b/>
          <w:bCs/>
        </w:rPr>
      </w:pPr>
    </w:p>
    <w:p w14:paraId="5E4AB95A" w14:textId="77777777" w:rsidR="00FA457D" w:rsidRPr="00DC7F1E" w:rsidRDefault="00FA457D" w:rsidP="00FA457D">
      <w:pPr>
        <w:jc w:val="both"/>
        <w:rPr>
          <w:b/>
          <w:bCs/>
        </w:rPr>
      </w:pPr>
      <w:r w:rsidRPr="00664393">
        <w:rPr>
          <w:b/>
          <w:bCs/>
        </w:rPr>
        <w:t>3. SONUÇLAR</w:t>
      </w:r>
    </w:p>
    <w:p w14:paraId="73B59B0B" w14:textId="1B2600E8" w:rsidR="00FA457D" w:rsidRDefault="00FA457D" w:rsidP="00FA457D">
      <w:pPr>
        <w:jc w:val="both"/>
      </w:pPr>
      <w:proofErr w:type="spellStart"/>
      <w:r w:rsidRPr="00DC6EA7">
        <w:t>Metaverse</w:t>
      </w:r>
      <w:proofErr w:type="spellEnd"/>
      <w:r w:rsidRPr="00DC6EA7">
        <w:t xml:space="preserve"> konusu, birçok araştırmacının ilgisini çekmiş ve bu alanda çeşitli çalışmalar yapılmıştır. Şimdiye kadar, </w:t>
      </w:r>
      <w:proofErr w:type="spellStart"/>
      <w:r w:rsidRPr="00DC6EA7">
        <w:t>metaverse’in</w:t>
      </w:r>
      <w:proofErr w:type="spellEnd"/>
      <w:r w:rsidRPr="00DC6EA7">
        <w:t xml:space="preserve"> farklı yönlerine dair birkaç önemli araştırma yayımlanmıştır. </w:t>
      </w:r>
      <w:r>
        <w:t xml:space="preserve">Öyle ki </w:t>
      </w:r>
      <w:proofErr w:type="spellStart"/>
      <w:r>
        <w:t>Leenes</w:t>
      </w:r>
      <w:proofErr w:type="spellEnd"/>
      <w:r>
        <w:t xml:space="preserve"> (2007), </w:t>
      </w:r>
      <w:r w:rsidRPr="00DC6EA7">
        <w:t>Second Life gibi çevrimiçi oyunlardaki potansiyel gizlilik risklerini sosyal ve hukuki açılardan değerlendirmektedir.</w:t>
      </w:r>
      <w:r>
        <w:t xml:space="preserve"> </w:t>
      </w:r>
      <w:r>
        <w:rPr>
          <w:noProof/>
        </w:rPr>
        <w:t>Dionisio et al., (</w:t>
      </w:r>
      <w:r w:rsidRPr="00DC6EA7">
        <w:rPr>
          <w:noProof/>
        </w:rPr>
        <w:t>2013)</w:t>
      </w:r>
      <w:r w:rsidRPr="00DC6EA7">
        <w:t xml:space="preserve">, 3D sanal dünyaların (veya </w:t>
      </w:r>
      <w:proofErr w:type="spellStart"/>
      <w:r w:rsidRPr="00DC6EA7">
        <w:t>metaverse’in</w:t>
      </w:r>
      <w:proofErr w:type="spellEnd"/>
      <w:r w:rsidRPr="00DC6EA7">
        <w:t xml:space="preserve">) uygulanabilirliğine dair dört temel özelliği belirtmekte ve bu özelliklerin gelişen sanal dünya teknolojileriyle nasıl şekillendiğini tartışmaktadır. </w:t>
      </w:r>
      <w:r>
        <w:rPr>
          <w:noProof/>
        </w:rPr>
        <w:t>Ning et al., (</w:t>
      </w:r>
      <w:r w:rsidRPr="009125CF">
        <w:rPr>
          <w:noProof/>
        </w:rPr>
        <w:t>2021)</w:t>
      </w:r>
      <w:r>
        <w:rPr>
          <w:noProof/>
        </w:rPr>
        <w:t xml:space="preserve"> </w:t>
      </w:r>
      <w:r w:rsidRPr="00DC6EA7">
        <w:t xml:space="preserve">ulusal politikalar, endüstriyel projeler, altyapılar, destekleyici teknolojiler, VR ve sosyal </w:t>
      </w:r>
      <w:proofErr w:type="spellStart"/>
      <w:r w:rsidRPr="00DC6EA7">
        <w:t>metaverse</w:t>
      </w:r>
      <w:proofErr w:type="spellEnd"/>
      <w:r w:rsidRPr="00DC6EA7">
        <w:t xml:space="preserve"> perspektifinden </w:t>
      </w:r>
      <w:proofErr w:type="spellStart"/>
      <w:r w:rsidRPr="00DC6EA7">
        <w:t>metaverse’in</w:t>
      </w:r>
      <w:proofErr w:type="spellEnd"/>
      <w:r w:rsidRPr="00DC6EA7">
        <w:t xml:space="preserve"> gelişim durumunu incelemektedir. </w:t>
      </w:r>
      <w:r>
        <w:rPr>
          <w:noProof/>
        </w:rPr>
        <w:t>Yang et al., (</w:t>
      </w:r>
      <w:r w:rsidRPr="00E86C24">
        <w:rPr>
          <w:noProof/>
        </w:rPr>
        <w:t>2022)</w:t>
      </w:r>
      <w:r w:rsidRPr="00DC6EA7">
        <w:t xml:space="preserve"> </w:t>
      </w:r>
      <w:proofErr w:type="spellStart"/>
      <w:r w:rsidRPr="00DC6EA7">
        <w:t>metaverse’in</w:t>
      </w:r>
      <w:proofErr w:type="spellEnd"/>
      <w:r w:rsidRPr="00DC6EA7">
        <w:t xml:space="preserve"> gelecekteki inşası için yapay </w:t>
      </w:r>
      <w:proofErr w:type="gramStart"/>
      <w:r w:rsidRPr="00DC6EA7">
        <w:t>zeka</w:t>
      </w:r>
      <w:proofErr w:type="gramEnd"/>
      <w:r w:rsidRPr="00DC6EA7">
        <w:t xml:space="preserve"> ve blok zinciri teknolojilerinin potansiyelini araştırmaktadır.</w:t>
      </w:r>
      <w:r>
        <w:t xml:space="preserve"> </w:t>
      </w:r>
      <w:r w:rsidRPr="00FA511B">
        <w:rPr>
          <w:noProof/>
        </w:rPr>
        <w:t xml:space="preserve">Park </w:t>
      </w:r>
      <w:r>
        <w:rPr>
          <w:noProof/>
        </w:rPr>
        <w:t>and Kim (</w:t>
      </w:r>
      <w:r w:rsidRPr="00FA511B">
        <w:rPr>
          <w:noProof/>
        </w:rPr>
        <w:t>2022)</w:t>
      </w:r>
      <w:r>
        <w:t xml:space="preserve"> </w:t>
      </w:r>
      <w:proofErr w:type="spellStart"/>
      <w:r w:rsidRPr="00DC6EA7">
        <w:t>metaverse’</w:t>
      </w:r>
      <w:r>
        <w:t>ü</w:t>
      </w:r>
      <w:r w:rsidRPr="00DC6EA7">
        <w:t>n</w:t>
      </w:r>
      <w:proofErr w:type="spellEnd"/>
      <w:r w:rsidRPr="00DC6EA7">
        <w:t xml:space="preserve"> üç temel bileşenini (donanım, yazılım ve içerik) tartışmakta ve </w:t>
      </w:r>
      <w:proofErr w:type="spellStart"/>
      <w:r w:rsidRPr="00DC6EA7">
        <w:t>metaverse’deki</w:t>
      </w:r>
      <w:proofErr w:type="spellEnd"/>
      <w:r w:rsidRPr="00DC6EA7">
        <w:t xml:space="preserve"> kullanıcı etkileşimlerini, uygulama alanlarını ve temsili incelemektedir</w:t>
      </w:r>
      <w:r>
        <w:rPr>
          <w:noProof/>
        </w:rPr>
        <w:t>. Xu et al., (</w:t>
      </w:r>
      <w:r w:rsidRPr="00BC0572">
        <w:rPr>
          <w:noProof/>
        </w:rPr>
        <w:t>2022)</w:t>
      </w:r>
      <w:r>
        <w:rPr>
          <w:noProof/>
        </w:rPr>
        <w:t xml:space="preserve">, </w:t>
      </w:r>
      <w:r w:rsidRPr="00DC6EA7">
        <w:t xml:space="preserve">iletişim, ağ oluşturma, hesaplama ve blok zinciri perspektiflerinden uç etkinleştirilmiş </w:t>
      </w:r>
      <w:proofErr w:type="spellStart"/>
      <w:r w:rsidRPr="00DC6EA7">
        <w:t>metaverse</w:t>
      </w:r>
      <w:proofErr w:type="spellEnd"/>
      <w:r w:rsidRPr="00DC6EA7">
        <w:t xml:space="preserve"> üzerine kapsamlı bir araştırma sunmaktadır. </w:t>
      </w:r>
      <w:r>
        <w:rPr>
          <w:noProof/>
        </w:rPr>
        <w:t>Huynh-The et al., (</w:t>
      </w:r>
      <w:r w:rsidRPr="0037329A">
        <w:rPr>
          <w:noProof/>
        </w:rPr>
        <w:t>2023)</w:t>
      </w:r>
      <w:r>
        <w:rPr>
          <w:noProof/>
        </w:rPr>
        <w:t xml:space="preserve"> </w:t>
      </w:r>
      <w:proofErr w:type="spellStart"/>
      <w:r w:rsidRPr="00DC6EA7">
        <w:t>metaverse’in</w:t>
      </w:r>
      <w:proofErr w:type="spellEnd"/>
      <w:r w:rsidRPr="00DC6EA7">
        <w:t xml:space="preserve"> kurulumu ve geliştirilmesinde yapay </w:t>
      </w:r>
      <w:proofErr w:type="gramStart"/>
      <w:r w:rsidRPr="00DC6EA7">
        <w:t>zeka</w:t>
      </w:r>
      <w:proofErr w:type="gramEnd"/>
      <w:r w:rsidRPr="00DC6EA7">
        <w:t xml:space="preserve"> tekniklerinin rolünü ele almaktadır. Lee </w:t>
      </w:r>
      <w:r>
        <w:t>et al., (2024),</w:t>
      </w:r>
      <w:r w:rsidRPr="00DC6EA7">
        <w:t xml:space="preserve"> </w:t>
      </w:r>
      <w:proofErr w:type="spellStart"/>
      <w:r w:rsidRPr="00DC6EA7">
        <w:t>metaverse</w:t>
      </w:r>
      <w:proofErr w:type="spellEnd"/>
      <w:r w:rsidRPr="00DC6EA7">
        <w:t xml:space="preserve"> oluşturulurken kullanılan sekiz temel teknolojiyi ve bu süreçte kullanıcı odaklı faktörlerin sunduğu fırsatları incelemektedir.</w:t>
      </w:r>
    </w:p>
    <w:p w14:paraId="1909DDAC" w14:textId="77777777" w:rsidR="00FA457D" w:rsidRDefault="00FA457D" w:rsidP="00FA457D">
      <w:pPr>
        <w:jc w:val="both"/>
      </w:pPr>
    </w:p>
    <w:p w14:paraId="2A89DFE2" w14:textId="77777777" w:rsidR="00FA457D" w:rsidRDefault="00FA457D" w:rsidP="00FA457D">
      <w:pPr>
        <w:jc w:val="both"/>
      </w:pPr>
      <w:proofErr w:type="spellStart"/>
      <w:r w:rsidRPr="006F4A30">
        <w:t>Metaverse</w:t>
      </w:r>
      <w:proofErr w:type="spellEnd"/>
      <w:r w:rsidRPr="006F4A30">
        <w:t xml:space="preserve"> ve dijitalleşme, toplumsal cinsiyet eşitliği için potansiyel olarak olumlu bir platform oluşturabilirken, sınırlı erişim ve dijital beceri eşitsizlikleri gibi zorluklarla karşılaşılabilmektedir. Bu araştırma, dijital dünyadaki fırsatların toplumsal bağları güçlendirebilme potansiyeline sahip olduğunu ancak sanal dünyadaki erişim engelleri ve güvenlik meselelerinin bu fırsatları sınırlandırabileceğini ortaya koymuştur. Ayrıca, dijital rekreasyonun sosyal katılımı artırmak ve toplumsal bağları güçlendirme açısından önemli bir fırsat sunduğu; ancak dijital eşitsizlikler ve güvenlik sorunlarının bu süreçte engelleyici faktörler olabileceği belirlenmiştir. Bu araştırma, toplumsal cinsiyet eşitliğinin dijital dünyada sağlanabilmesi için özel stratejiler geliştirilmesi gerektiğini vurgulamaktadır. Gelecekteki araştırmalar, </w:t>
      </w:r>
      <w:proofErr w:type="spellStart"/>
      <w:r w:rsidRPr="006F4A30">
        <w:t>metaverse</w:t>
      </w:r>
      <w:proofErr w:type="spellEnd"/>
      <w:r w:rsidRPr="006F4A30">
        <w:t>, rekreasyon ve toplumsal cinsiyet eşitliğinin dijital dönüşüm sürecindeki etkilerini daha kapsamlı bir şekilde inceleyerek, bu alanlarda eşitlikçi bir yaklaşım geliştirilmesine rehberlik edebilir. Ayrıca, dijital rekreasyon etkinliklerine katılımın sosyal ilişkiler ve toplumsal cinsiyet eşitliği üzerindeki etkilerini inceleyen nicel araştırmaların yapılması önerilmektedir.</w:t>
      </w:r>
    </w:p>
    <w:p w14:paraId="065EB720" w14:textId="77777777" w:rsidR="00FA457D" w:rsidRPr="00664393" w:rsidRDefault="00FA457D" w:rsidP="00FA457D">
      <w:pPr>
        <w:jc w:val="both"/>
      </w:pPr>
    </w:p>
    <w:p w14:paraId="1F1C157A" w14:textId="77777777" w:rsidR="006B3587" w:rsidRPr="006B3587" w:rsidRDefault="006B3587" w:rsidP="006B3587">
      <w:pPr>
        <w:jc w:val="both"/>
        <w:rPr>
          <w:b/>
          <w:bCs/>
          <w:color w:val="000000" w:themeColor="text1"/>
          <w:sz w:val="22"/>
          <w:szCs w:val="22"/>
        </w:rPr>
      </w:pPr>
      <w:r w:rsidRPr="006B3587">
        <w:rPr>
          <w:b/>
          <w:bCs/>
          <w:color w:val="000000" w:themeColor="text1"/>
          <w:sz w:val="22"/>
          <w:szCs w:val="22"/>
        </w:rPr>
        <w:t>KAYNAKÇA</w:t>
      </w:r>
    </w:p>
    <w:p w14:paraId="1370AEA2" w14:textId="77777777" w:rsidR="006B3587" w:rsidRPr="006B3587" w:rsidRDefault="006B3587" w:rsidP="006B3587">
      <w:pPr>
        <w:jc w:val="both"/>
        <w:rPr>
          <w:color w:val="000000" w:themeColor="text1"/>
          <w:sz w:val="22"/>
          <w:szCs w:val="22"/>
        </w:rPr>
      </w:pPr>
      <w:r w:rsidRPr="006B3587">
        <w:rPr>
          <w:color w:val="000000" w:themeColor="text1"/>
          <w:sz w:val="22"/>
          <w:szCs w:val="22"/>
        </w:rPr>
        <w:t>1.</w:t>
      </w:r>
      <w:r w:rsidRPr="006B3587">
        <w:rPr>
          <w:color w:val="000000" w:themeColor="text1"/>
          <w:sz w:val="22"/>
          <w:szCs w:val="22"/>
        </w:rPr>
        <w:tab/>
        <w:t xml:space="preserve">Ağırman, E., &amp; Barakalı, O. C. (2022). Finans ve finansal hizmetlerin geleceği: </w:t>
      </w:r>
      <w:proofErr w:type="spellStart"/>
      <w:r w:rsidRPr="006B3587">
        <w:rPr>
          <w:color w:val="000000" w:themeColor="text1"/>
          <w:sz w:val="22"/>
          <w:szCs w:val="22"/>
        </w:rPr>
        <w:t>Metaverse</w:t>
      </w:r>
      <w:proofErr w:type="spellEnd"/>
      <w:r w:rsidRPr="006B3587">
        <w:rPr>
          <w:color w:val="000000" w:themeColor="text1"/>
          <w:sz w:val="22"/>
          <w:szCs w:val="22"/>
        </w:rPr>
        <w:t>. Avrasya Sosyal ve Ekonomi Araştırmaları Dergisi, 9(2), 329-346. https://dergipark.org.tr/en/pub/asead/issue/69756/1105440 adresinden alındı</w:t>
      </w:r>
    </w:p>
    <w:p w14:paraId="64E83100" w14:textId="77777777" w:rsidR="006B3587" w:rsidRPr="006B3587" w:rsidRDefault="006B3587" w:rsidP="006B3587">
      <w:pPr>
        <w:jc w:val="both"/>
        <w:rPr>
          <w:color w:val="000000" w:themeColor="text1"/>
          <w:sz w:val="22"/>
          <w:szCs w:val="22"/>
        </w:rPr>
      </w:pPr>
      <w:r w:rsidRPr="006B3587">
        <w:rPr>
          <w:color w:val="000000" w:themeColor="text1"/>
          <w:sz w:val="22"/>
          <w:szCs w:val="22"/>
        </w:rPr>
        <w:t>2.</w:t>
      </w:r>
      <w:r w:rsidRPr="006B3587">
        <w:rPr>
          <w:color w:val="000000" w:themeColor="text1"/>
          <w:sz w:val="22"/>
          <w:szCs w:val="22"/>
        </w:rPr>
        <w:tab/>
      </w:r>
      <w:proofErr w:type="spellStart"/>
      <w:r w:rsidRPr="006B3587">
        <w:rPr>
          <w:color w:val="000000" w:themeColor="text1"/>
          <w:sz w:val="22"/>
          <w:szCs w:val="22"/>
        </w:rPr>
        <w:t>Axelsen</w:t>
      </w:r>
      <w:proofErr w:type="spellEnd"/>
      <w:r w:rsidRPr="006B3587">
        <w:rPr>
          <w:color w:val="000000" w:themeColor="text1"/>
          <w:sz w:val="22"/>
          <w:szCs w:val="22"/>
        </w:rPr>
        <w:t xml:space="preserve">, M. (2009).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power</w:t>
      </w:r>
      <w:proofErr w:type="spellEnd"/>
      <w:r w:rsidRPr="006B3587">
        <w:rPr>
          <w:color w:val="000000" w:themeColor="text1"/>
          <w:sz w:val="22"/>
          <w:szCs w:val="22"/>
        </w:rPr>
        <w:t xml:space="preserve"> of </w:t>
      </w:r>
      <w:proofErr w:type="spellStart"/>
      <w:r w:rsidRPr="006B3587">
        <w:rPr>
          <w:color w:val="000000" w:themeColor="text1"/>
          <w:sz w:val="22"/>
          <w:szCs w:val="22"/>
        </w:rPr>
        <w:t>leisure</w:t>
      </w:r>
      <w:proofErr w:type="spellEnd"/>
      <w:r w:rsidRPr="006B3587">
        <w:rPr>
          <w:color w:val="000000" w:themeColor="text1"/>
          <w:sz w:val="22"/>
          <w:szCs w:val="22"/>
        </w:rPr>
        <w:t xml:space="preserve">: I </w:t>
      </w:r>
      <w:proofErr w:type="spellStart"/>
      <w:r w:rsidRPr="006B3587">
        <w:rPr>
          <w:color w:val="000000" w:themeColor="text1"/>
          <w:sz w:val="22"/>
          <w:szCs w:val="22"/>
        </w:rPr>
        <w:t>was</w:t>
      </w:r>
      <w:proofErr w:type="spellEnd"/>
      <w:r w:rsidRPr="006B3587">
        <w:rPr>
          <w:color w:val="000000" w:themeColor="text1"/>
          <w:sz w:val="22"/>
          <w:szCs w:val="22"/>
        </w:rPr>
        <w:t xml:space="preserve"> an </w:t>
      </w:r>
      <w:proofErr w:type="spellStart"/>
      <w:r w:rsidRPr="006B3587">
        <w:rPr>
          <w:color w:val="000000" w:themeColor="text1"/>
          <w:sz w:val="22"/>
          <w:szCs w:val="22"/>
        </w:rPr>
        <w:t>anoexic</w:t>
      </w:r>
      <w:proofErr w:type="spellEnd"/>
      <w:r w:rsidRPr="006B3587">
        <w:rPr>
          <w:color w:val="000000" w:themeColor="text1"/>
          <w:sz w:val="22"/>
          <w:szCs w:val="22"/>
        </w:rPr>
        <w:t xml:space="preserve">; I’m </w:t>
      </w:r>
      <w:proofErr w:type="spellStart"/>
      <w:r w:rsidRPr="006B3587">
        <w:rPr>
          <w:color w:val="000000" w:themeColor="text1"/>
          <w:sz w:val="22"/>
          <w:szCs w:val="22"/>
        </w:rPr>
        <w:t>now</w:t>
      </w:r>
      <w:proofErr w:type="spellEnd"/>
      <w:r w:rsidRPr="006B3587">
        <w:rPr>
          <w:color w:val="000000" w:themeColor="text1"/>
          <w:sz w:val="22"/>
          <w:szCs w:val="22"/>
        </w:rPr>
        <w:t xml:space="preserve"> a </w:t>
      </w:r>
      <w:proofErr w:type="spellStart"/>
      <w:r w:rsidRPr="006B3587">
        <w:rPr>
          <w:color w:val="000000" w:themeColor="text1"/>
          <w:sz w:val="22"/>
          <w:szCs w:val="22"/>
        </w:rPr>
        <w:t>healthy</w:t>
      </w:r>
      <w:proofErr w:type="spellEnd"/>
      <w:r w:rsidRPr="006B3587">
        <w:rPr>
          <w:color w:val="000000" w:themeColor="text1"/>
          <w:sz w:val="22"/>
          <w:szCs w:val="22"/>
        </w:rPr>
        <w:t xml:space="preserve"> </w:t>
      </w:r>
      <w:proofErr w:type="spellStart"/>
      <w:r w:rsidRPr="006B3587">
        <w:rPr>
          <w:color w:val="000000" w:themeColor="text1"/>
          <w:sz w:val="22"/>
          <w:szCs w:val="22"/>
        </w:rPr>
        <w:t>triathlet</w:t>
      </w:r>
      <w:proofErr w:type="spellEnd"/>
      <w:r w:rsidRPr="006B3587">
        <w:rPr>
          <w:color w:val="000000" w:themeColor="text1"/>
          <w:sz w:val="22"/>
          <w:szCs w:val="22"/>
        </w:rPr>
        <w:t xml:space="preserve">. </w:t>
      </w:r>
      <w:proofErr w:type="spellStart"/>
      <w:r w:rsidRPr="006B3587">
        <w:rPr>
          <w:color w:val="000000" w:themeColor="text1"/>
          <w:sz w:val="22"/>
          <w:szCs w:val="22"/>
        </w:rPr>
        <w:t>Lesiure</w:t>
      </w:r>
      <w:proofErr w:type="spellEnd"/>
      <w:r w:rsidRPr="006B3587">
        <w:rPr>
          <w:color w:val="000000" w:themeColor="text1"/>
          <w:sz w:val="22"/>
          <w:szCs w:val="22"/>
        </w:rPr>
        <w:t xml:space="preserve"> </w:t>
      </w:r>
      <w:proofErr w:type="spellStart"/>
      <w:r w:rsidRPr="006B3587">
        <w:rPr>
          <w:color w:val="000000" w:themeColor="text1"/>
          <w:sz w:val="22"/>
          <w:szCs w:val="22"/>
        </w:rPr>
        <w:t>Sciences</w:t>
      </w:r>
      <w:proofErr w:type="spellEnd"/>
      <w:r w:rsidRPr="006B3587">
        <w:rPr>
          <w:color w:val="000000" w:themeColor="text1"/>
          <w:sz w:val="22"/>
          <w:szCs w:val="22"/>
        </w:rPr>
        <w:t>, 31, 330–346.</w:t>
      </w:r>
    </w:p>
    <w:p w14:paraId="3AACB706" w14:textId="77777777" w:rsidR="006B3587" w:rsidRPr="006B3587" w:rsidRDefault="006B3587" w:rsidP="006B3587">
      <w:pPr>
        <w:jc w:val="both"/>
        <w:rPr>
          <w:color w:val="000000" w:themeColor="text1"/>
          <w:sz w:val="22"/>
          <w:szCs w:val="22"/>
        </w:rPr>
      </w:pPr>
      <w:r w:rsidRPr="006B3587">
        <w:rPr>
          <w:color w:val="000000" w:themeColor="text1"/>
          <w:sz w:val="22"/>
          <w:szCs w:val="22"/>
        </w:rPr>
        <w:t>3.</w:t>
      </w:r>
      <w:r w:rsidRPr="006B3587">
        <w:rPr>
          <w:color w:val="000000" w:themeColor="text1"/>
          <w:sz w:val="22"/>
          <w:szCs w:val="22"/>
        </w:rPr>
        <w:tab/>
        <w:t xml:space="preserve">Bacaksız, P. (2023). </w:t>
      </w:r>
      <w:proofErr w:type="spellStart"/>
      <w:r w:rsidRPr="006B3587">
        <w:rPr>
          <w:color w:val="000000" w:themeColor="text1"/>
          <w:sz w:val="22"/>
          <w:szCs w:val="22"/>
        </w:rPr>
        <w:t>Metaverse</w:t>
      </w:r>
      <w:proofErr w:type="spellEnd"/>
      <w:r w:rsidRPr="006B3587">
        <w:rPr>
          <w:color w:val="000000" w:themeColor="text1"/>
          <w:sz w:val="22"/>
          <w:szCs w:val="22"/>
        </w:rPr>
        <w:t xml:space="preserve"> ve sanal gerçeklik ortamları karşısında ceza hukuku. İnönü Üniversitesi Hukuk Fakültesi Dergisi, 14(1), 289-303.</w:t>
      </w:r>
    </w:p>
    <w:p w14:paraId="0EF63BD9" w14:textId="77777777" w:rsidR="006B3587" w:rsidRPr="006B3587" w:rsidRDefault="006B3587" w:rsidP="006B3587">
      <w:pPr>
        <w:jc w:val="both"/>
        <w:rPr>
          <w:color w:val="000000" w:themeColor="text1"/>
          <w:sz w:val="22"/>
          <w:szCs w:val="22"/>
        </w:rPr>
      </w:pPr>
      <w:r w:rsidRPr="006B3587">
        <w:rPr>
          <w:color w:val="000000" w:themeColor="text1"/>
          <w:sz w:val="22"/>
          <w:szCs w:val="22"/>
        </w:rPr>
        <w:t>4.</w:t>
      </w:r>
      <w:r w:rsidRPr="006B3587">
        <w:rPr>
          <w:color w:val="000000" w:themeColor="text1"/>
          <w:sz w:val="22"/>
          <w:szCs w:val="22"/>
        </w:rPr>
        <w:tab/>
        <w:t xml:space="preserve">Bakır, Ç. (2022). </w:t>
      </w:r>
      <w:proofErr w:type="spellStart"/>
      <w:r w:rsidRPr="006B3587">
        <w:rPr>
          <w:color w:val="000000" w:themeColor="text1"/>
          <w:sz w:val="22"/>
          <w:szCs w:val="22"/>
        </w:rPr>
        <w:t>Metaverse</w:t>
      </w:r>
      <w:proofErr w:type="spellEnd"/>
      <w:r w:rsidRPr="006B3587">
        <w:rPr>
          <w:color w:val="000000" w:themeColor="text1"/>
          <w:sz w:val="22"/>
          <w:szCs w:val="22"/>
        </w:rPr>
        <w:t xml:space="preserve"> üzerine kapsamlı bir araştırma. Avrupa Bilim ve Teknoloji Dergisi, </w:t>
      </w:r>
      <w:r w:rsidRPr="006B3587">
        <w:rPr>
          <w:color w:val="000000" w:themeColor="text1"/>
          <w:sz w:val="22"/>
          <w:szCs w:val="22"/>
        </w:rPr>
        <w:lastRenderedPageBreak/>
        <w:t>(45), 64-73.</w:t>
      </w:r>
    </w:p>
    <w:p w14:paraId="17629F12" w14:textId="77777777" w:rsidR="006B3587" w:rsidRPr="006B3587" w:rsidRDefault="006B3587" w:rsidP="006B3587">
      <w:pPr>
        <w:jc w:val="both"/>
        <w:rPr>
          <w:color w:val="000000" w:themeColor="text1"/>
          <w:sz w:val="22"/>
          <w:szCs w:val="22"/>
        </w:rPr>
      </w:pPr>
      <w:r w:rsidRPr="006B3587">
        <w:rPr>
          <w:color w:val="000000" w:themeColor="text1"/>
          <w:sz w:val="22"/>
          <w:szCs w:val="22"/>
        </w:rPr>
        <w:t>5.</w:t>
      </w:r>
      <w:r w:rsidRPr="006B3587">
        <w:rPr>
          <w:color w:val="000000" w:themeColor="text1"/>
          <w:sz w:val="22"/>
          <w:szCs w:val="22"/>
        </w:rPr>
        <w:tab/>
      </w:r>
      <w:proofErr w:type="spellStart"/>
      <w:r w:rsidRPr="006B3587">
        <w:rPr>
          <w:color w:val="000000" w:themeColor="text1"/>
          <w:sz w:val="22"/>
          <w:szCs w:val="22"/>
        </w:rPr>
        <w:t>Blackstone</w:t>
      </w:r>
      <w:proofErr w:type="spellEnd"/>
      <w:r w:rsidRPr="006B3587">
        <w:rPr>
          <w:color w:val="000000" w:themeColor="text1"/>
          <w:sz w:val="22"/>
          <w:szCs w:val="22"/>
        </w:rPr>
        <w:t xml:space="preserve">, A. (2003). </w:t>
      </w:r>
      <w:proofErr w:type="spellStart"/>
      <w:r w:rsidRPr="006B3587">
        <w:rPr>
          <w:color w:val="000000" w:themeColor="text1"/>
          <w:sz w:val="22"/>
          <w:szCs w:val="22"/>
        </w:rPr>
        <w:t>Gender</w:t>
      </w:r>
      <w:proofErr w:type="spellEnd"/>
      <w:r w:rsidRPr="006B3587">
        <w:rPr>
          <w:color w:val="000000" w:themeColor="text1"/>
          <w:sz w:val="22"/>
          <w:szCs w:val="22"/>
        </w:rPr>
        <w:t xml:space="preserve"> </w:t>
      </w:r>
      <w:proofErr w:type="spellStart"/>
      <w:r w:rsidRPr="006B3587">
        <w:rPr>
          <w:color w:val="000000" w:themeColor="text1"/>
          <w:sz w:val="22"/>
          <w:szCs w:val="22"/>
        </w:rPr>
        <w:t>roles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society</w:t>
      </w:r>
      <w:proofErr w:type="spellEnd"/>
      <w:r w:rsidRPr="006B3587">
        <w:rPr>
          <w:color w:val="000000" w:themeColor="text1"/>
          <w:sz w:val="22"/>
          <w:szCs w:val="22"/>
        </w:rPr>
        <w:t>. J. R. Miller</w:t>
      </w:r>
      <w:proofErr w:type="gramStart"/>
      <w:r w:rsidRPr="006B3587">
        <w:rPr>
          <w:color w:val="000000" w:themeColor="text1"/>
          <w:sz w:val="22"/>
          <w:szCs w:val="22"/>
        </w:rPr>
        <w:t>. ,</w:t>
      </w:r>
      <w:proofErr w:type="gramEnd"/>
      <w:r w:rsidRPr="006B3587">
        <w:rPr>
          <w:color w:val="000000" w:themeColor="text1"/>
          <w:sz w:val="22"/>
          <w:szCs w:val="22"/>
        </w:rPr>
        <w:t xml:space="preserve"> R. M. </w:t>
      </w:r>
      <w:proofErr w:type="spellStart"/>
      <w:r w:rsidRPr="006B3587">
        <w:rPr>
          <w:color w:val="000000" w:themeColor="text1"/>
          <w:sz w:val="22"/>
          <w:szCs w:val="22"/>
        </w:rPr>
        <w:t>Lerner</w:t>
      </w:r>
      <w:proofErr w:type="spellEnd"/>
      <w:r w:rsidRPr="006B3587">
        <w:rPr>
          <w:color w:val="000000" w:themeColor="text1"/>
          <w:sz w:val="22"/>
          <w:szCs w:val="22"/>
        </w:rPr>
        <w:t xml:space="preserve"> &amp; L. B. </w:t>
      </w:r>
      <w:proofErr w:type="spellStart"/>
      <w:r w:rsidRPr="006B3587">
        <w:rPr>
          <w:color w:val="000000" w:themeColor="text1"/>
          <w:sz w:val="22"/>
          <w:szCs w:val="22"/>
        </w:rPr>
        <w:t>Schiamberg</w:t>
      </w:r>
      <w:proofErr w:type="spellEnd"/>
      <w:r w:rsidRPr="006B3587">
        <w:rPr>
          <w:color w:val="000000" w:themeColor="text1"/>
          <w:sz w:val="22"/>
          <w:szCs w:val="22"/>
        </w:rPr>
        <w:t xml:space="preserve"> (</w:t>
      </w:r>
      <w:proofErr w:type="spellStart"/>
      <w:r w:rsidRPr="006B3587">
        <w:rPr>
          <w:color w:val="000000" w:themeColor="text1"/>
          <w:sz w:val="22"/>
          <w:szCs w:val="22"/>
        </w:rPr>
        <w:t>Eds</w:t>
      </w:r>
      <w:proofErr w:type="spellEnd"/>
      <w:r w:rsidRPr="006B3587">
        <w:rPr>
          <w:color w:val="000000" w:themeColor="text1"/>
          <w:sz w:val="22"/>
          <w:szCs w:val="22"/>
        </w:rPr>
        <w:t xml:space="preserve">.), Human </w:t>
      </w:r>
      <w:proofErr w:type="spellStart"/>
      <w:r w:rsidRPr="006B3587">
        <w:rPr>
          <w:color w:val="000000" w:themeColor="text1"/>
          <w:sz w:val="22"/>
          <w:szCs w:val="22"/>
        </w:rPr>
        <w:t>ecology</w:t>
      </w:r>
      <w:proofErr w:type="spellEnd"/>
      <w:r w:rsidRPr="006B3587">
        <w:rPr>
          <w:color w:val="000000" w:themeColor="text1"/>
          <w:sz w:val="22"/>
          <w:szCs w:val="22"/>
        </w:rPr>
        <w:t xml:space="preserve">: an </w:t>
      </w:r>
      <w:proofErr w:type="spellStart"/>
      <w:r w:rsidRPr="006B3587">
        <w:rPr>
          <w:color w:val="000000" w:themeColor="text1"/>
          <w:sz w:val="22"/>
          <w:szCs w:val="22"/>
        </w:rPr>
        <w:t>encyclopedia</w:t>
      </w:r>
      <w:proofErr w:type="spellEnd"/>
      <w:r w:rsidRPr="006B3587">
        <w:rPr>
          <w:color w:val="000000" w:themeColor="text1"/>
          <w:sz w:val="22"/>
          <w:szCs w:val="22"/>
        </w:rPr>
        <w:t xml:space="preserve"> of </w:t>
      </w:r>
      <w:proofErr w:type="spellStart"/>
      <w:r w:rsidRPr="006B3587">
        <w:rPr>
          <w:color w:val="000000" w:themeColor="text1"/>
          <w:sz w:val="22"/>
          <w:szCs w:val="22"/>
        </w:rPr>
        <w:t>children</w:t>
      </w:r>
      <w:proofErr w:type="spellEnd"/>
      <w:r w:rsidRPr="006B3587">
        <w:rPr>
          <w:color w:val="000000" w:themeColor="text1"/>
          <w:sz w:val="22"/>
          <w:szCs w:val="22"/>
        </w:rPr>
        <w:t xml:space="preserve">, </w:t>
      </w:r>
      <w:proofErr w:type="spellStart"/>
      <w:r w:rsidRPr="006B3587">
        <w:rPr>
          <w:color w:val="000000" w:themeColor="text1"/>
          <w:sz w:val="22"/>
          <w:szCs w:val="22"/>
        </w:rPr>
        <w:t>families</w:t>
      </w:r>
      <w:proofErr w:type="spellEnd"/>
      <w:r w:rsidRPr="006B3587">
        <w:rPr>
          <w:color w:val="000000" w:themeColor="text1"/>
          <w:sz w:val="22"/>
          <w:szCs w:val="22"/>
        </w:rPr>
        <w:t xml:space="preserve">, </w:t>
      </w:r>
      <w:proofErr w:type="spellStart"/>
      <w:r w:rsidRPr="006B3587">
        <w:rPr>
          <w:color w:val="000000" w:themeColor="text1"/>
          <w:sz w:val="22"/>
          <w:szCs w:val="22"/>
        </w:rPr>
        <w:t>communities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environments</w:t>
      </w:r>
      <w:proofErr w:type="spellEnd"/>
      <w:r w:rsidRPr="006B3587">
        <w:rPr>
          <w:color w:val="000000" w:themeColor="text1"/>
          <w:sz w:val="22"/>
          <w:szCs w:val="22"/>
        </w:rPr>
        <w:t xml:space="preserve"> (</w:t>
      </w:r>
      <w:proofErr w:type="spellStart"/>
      <w:r w:rsidRPr="006B3587">
        <w:rPr>
          <w:color w:val="000000" w:themeColor="text1"/>
          <w:sz w:val="22"/>
          <w:szCs w:val="22"/>
        </w:rPr>
        <w:t>ss</w:t>
      </w:r>
      <w:proofErr w:type="spellEnd"/>
      <w:r w:rsidRPr="006B3587">
        <w:rPr>
          <w:color w:val="000000" w:themeColor="text1"/>
          <w:sz w:val="22"/>
          <w:szCs w:val="22"/>
        </w:rPr>
        <w:t xml:space="preserve">. 335-338). </w:t>
      </w:r>
      <w:proofErr w:type="spellStart"/>
      <w:r w:rsidRPr="006B3587">
        <w:rPr>
          <w:color w:val="000000" w:themeColor="text1"/>
          <w:sz w:val="22"/>
          <w:szCs w:val="22"/>
        </w:rPr>
        <w:t>Orono</w:t>
      </w:r>
      <w:proofErr w:type="spellEnd"/>
      <w:r w:rsidRPr="006B3587">
        <w:rPr>
          <w:color w:val="000000" w:themeColor="text1"/>
          <w:sz w:val="22"/>
          <w:szCs w:val="22"/>
        </w:rPr>
        <w:t xml:space="preserve">: </w:t>
      </w:r>
      <w:proofErr w:type="spellStart"/>
      <w:r w:rsidRPr="006B3587">
        <w:rPr>
          <w:color w:val="000000" w:themeColor="text1"/>
          <w:sz w:val="22"/>
          <w:szCs w:val="22"/>
        </w:rPr>
        <w:t>DigitalCommons@UMaine</w:t>
      </w:r>
      <w:proofErr w:type="spellEnd"/>
      <w:r w:rsidRPr="006B3587">
        <w:rPr>
          <w:color w:val="000000" w:themeColor="text1"/>
          <w:sz w:val="22"/>
          <w:szCs w:val="22"/>
        </w:rPr>
        <w:t>.</w:t>
      </w:r>
    </w:p>
    <w:p w14:paraId="3D7D2199" w14:textId="77777777" w:rsidR="006B3587" w:rsidRPr="006B3587" w:rsidRDefault="006B3587" w:rsidP="006B3587">
      <w:pPr>
        <w:jc w:val="both"/>
        <w:rPr>
          <w:color w:val="000000" w:themeColor="text1"/>
          <w:sz w:val="22"/>
          <w:szCs w:val="22"/>
        </w:rPr>
      </w:pPr>
      <w:r w:rsidRPr="006B3587">
        <w:rPr>
          <w:color w:val="000000" w:themeColor="text1"/>
          <w:sz w:val="22"/>
          <w:szCs w:val="22"/>
        </w:rPr>
        <w:t>6.</w:t>
      </w:r>
      <w:r w:rsidRPr="006B3587">
        <w:rPr>
          <w:color w:val="000000" w:themeColor="text1"/>
          <w:sz w:val="22"/>
          <w:szCs w:val="22"/>
        </w:rPr>
        <w:tab/>
        <w:t xml:space="preserve">CEDAW (2005). </w:t>
      </w:r>
      <w:proofErr w:type="spellStart"/>
      <w:r w:rsidRPr="006B3587">
        <w:rPr>
          <w:color w:val="000000" w:themeColor="text1"/>
          <w:sz w:val="22"/>
          <w:szCs w:val="22"/>
        </w:rPr>
        <w:t>Concluding</w:t>
      </w:r>
      <w:proofErr w:type="spellEnd"/>
      <w:r w:rsidRPr="006B3587">
        <w:rPr>
          <w:color w:val="000000" w:themeColor="text1"/>
          <w:sz w:val="22"/>
          <w:szCs w:val="22"/>
        </w:rPr>
        <w:t xml:space="preserve"> </w:t>
      </w:r>
      <w:proofErr w:type="spellStart"/>
      <w:r w:rsidRPr="006B3587">
        <w:rPr>
          <w:color w:val="000000" w:themeColor="text1"/>
          <w:sz w:val="22"/>
          <w:szCs w:val="22"/>
        </w:rPr>
        <w:t>Comments</w:t>
      </w:r>
      <w:proofErr w:type="spellEnd"/>
      <w:r w:rsidRPr="006B3587">
        <w:rPr>
          <w:color w:val="000000" w:themeColor="text1"/>
          <w:sz w:val="22"/>
          <w:szCs w:val="22"/>
        </w:rPr>
        <w:t xml:space="preserve">: </w:t>
      </w:r>
      <w:proofErr w:type="spellStart"/>
      <w:r w:rsidRPr="006B3587">
        <w:rPr>
          <w:color w:val="000000" w:themeColor="text1"/>
          <w:sz w:val="22"/>
          <w:szCs w:val="22"/>
        </w:rPr>
        <w:t>Turkey</w:t>
      </w:r>
      <w:proofErr w:type="spellEnd"/>
      <w:r w:rsidRPr="006B3587">
        <w:rPr>
          <w:color w:val="000000" w:themeColor="text1"/>
          <w:sz w:val="22"/>
          <w:szCs w:val="22"/>
        </w:rPr>
        <w:t xml:space="preserve">. </w:t>
      </w:r>
      <w:proofErr w:type="spellStart"/>
      <w:r w:rsidRPr="006B3587">
        <w:rPr>
          <w:color w:val="000000" w:themeColor="text1"/>
          <w:sz w:val="22"/>
          <w:szCs w:val="22"/>
        </w:rPr>
        <w:t>Advance</w:t>
      </w:r>
      <w:proofErr w:type="spellEnd"/>
      <w:r w:rsidRPr="006B3587">
        <w:rPr>
          <w:color w:val="000000" w:themeColor="text1"/>
          <w:sz w:val="22"/>
          <w:szCs w:val="22"/>
        </w:rPr>
        <w:t xml:space="preserve"> </w:t>
      </w:r>
      <w:proofErr w:type="spellStart"/>
      <w:r w:rsidRPr="006B3587">
        <w:rPr>
          <w:color w:val="000000" w:themeColor="text1"/>
          <w:sz w:val="22"/>
          <w:szCs w:val="22"/>
        </w:rPr>
        <w:t>Unedited</w:t>
      </w:r>
      <w:proofErr w:type="spellEnd"/>
      <w:r w:rsidRPr="006B3587">
        <w:rPr>
          <w:color w:val="000000" w:themeColor="text1"/>
          <w:sz w:val="22"/>
          <w:szCs w:val="22"/>
        </w:rPr>
        <w:t xml:space="preserve"> </w:t>
      </w:r>
      <w:proofErr w:type="spellStart"/>
      <w:r w:rsidRPr="006B3587">
        <w:rPr>
          <w:color w:val="000000" w:themeColor="text1"/>
          <w:sz w:val="22"/>
          <w:szCs w:val="22"/>
        </w:rPr>
        <w:t>Version</w:t>
      </w:r>
      <w:proofErr w:type="spellEnd"/>
      <w:r w:rsidRPr="006B3587">
        <w:rPr>
          <w:color w:val="000000" w:themeColor="text1"/>
          <w:sz w:val="22"/>
          <w:szCs w:val="22"/>
        </w:rPr>
        <w:t>. http://www.un.org/womenwatch/daw/cedaw/reports/docs/concludecomments/Turkey.rev.1.pdf</w:t>
      </w:r>
    </w:p>
    <w:p w14:paraId="047EBCEF" w14:textId="77777777" w:rsidR="006B3587" w:rsidRPr="006B3587" w:rsidRDefault="006B3587" w:rsidP="006B3587">
      <w:pPr>
        <w:jc w:val="both"/>
        <w:rPr>
          <w:color w:val="000000" w:themeColor="text1"/>
          <w:sz w:val="22"/>
          <w:szCs w:val="22"/>
        </w:rPr>
      </w:pPr>
      <w:r w:rsidRPr="006B3587">
        <w:rPr>
          <w:color w:val="000000" w:themeColor="text1"/>
          <w:sz w:val="22"/>
          <w:szCs w:val="22"/>
        </w:rPr>
        <w:t>7.</w:t>
      </w:r>
      <w:r w:rsidRPr="006B3587">
        <w:rPr>
          <w:color w:val="000000" w:themeColor="text1"/>
          <w:sz w:val="22"/>
          <w:szCs w:val="22"/>
        </w:rPr>
        <w:tab/>
        <w:t xml:space="preserve">Çobanoğlu, S. (2023). Halkbilimi ve </w:t>
      </w:r>
      <w:proofErr w:type="spellStart"/>
      <w:r w:rsidRPr="006B3587">
        <w:rPr>
          <w:color w:val="000000" w:themeColor="text1"/>
          <w:sz w:val="22"/>
          <w:szCs w:val="22"/>
        </w:rPr>
        <w:t>Metaverse</w:t>
      </w:r>
      <w:proofErr w:type="spellEnd"/>
      <w:r w:rsidRPr="006B3587">
        <w:rPr>
          <w:color w:val="000000" w:themeColor="text1"/>
          <w:sz w:val="22"/>
          <w:szCs w:val="22"/>
        </w:rPr>
        <w:t xml:space="preserve"> İlişkisi Bağlamında </w:t>
      </w:r>
      <w:proofErr w:type="spellStart"/>
      <w:r w:rsidRPr="006B3587">
        <w:rPr>
          <w:color w:val="000000" w:themeColor="text1"/>
          <w:sz w:val="22"/>
          <w:szCs w:val="22"/>
        </w:rPr>
        <w:t>Metaetikverse</w:t>
      </w:r>
      <w:proofErr w:type="spellEnd"/>
      <w:r w:rsidRPr="006B3587">
        <w:rPr>
          <w:color w:val="000000" w:themeColor="text1"/>
          <w:sz w:val="22"/>
          <w:szCs w:val="22"/>
        </w:rPr>
        <w:t xml:space="preserve">. </w:t>
      </w:r>
      <w:proofErr w:type="spellStart"/>
      <w:r w:rsidRPr="006B3587">
        <w:rPr>
          <w:color w:val="000000" w:themeColor="text1"/>
          <w:sz w:val="22"/>
          <w:szCs w:val="22"/>
        </w:rPr>
        <w:t>Turcology</w:t>
      </w:r>
      <w:proofErr w:type="spellEnd"/>
      <w:r w:rsidRPr="006B3587">
        <w:rPr>
          <w:color w:val="000000" w:themeColor="text1"/>
          <w:sz w:val="22"/>
          <w:szCs w:val="22"/>
        </w:rPr>
        <w:t xml:space="preserve"> </w:t>
      </w:r>
      <w:proofErr w:type="spellStart"/>
      <w:r w:rsidRPr="006B3587">
        <w:rPr>
          <w:color w:val="000000" w:themeColor="text1"/>
          <w:sz w:val="22"/>
          <w:szCs w:val="22"/>
        </w:rPr>
        <w:t>Research</w:t>
      </w:r>
      <w:proofErr w:type="spellEnd"/>
      <w:r w:rsidRPr="006B3587">
        <w:rPr>
          <w:color w:val="000000" w:themeColor="text1"/>
          <w:sz w:val="22"/>
          <w:szCs w:val="22"/>
        </w:rPr>
        <w:t>, (77), 126-139</w:t>
      </w:r>
    </w:p>
    <w:p w14:paraId="0D22C1D8" w14:textId="77777777" w:rsidR="006B3587" w:rsidRPr="006B3587" w:rsidRDefault="006B3587" w:rsidP="006B3587">
      <w:pPr>
        <w:jc w:val="both"/>
        <w:rPr>
          <w:color w:val="000000" w:themeColor="text1"/>
          <w:sz w:val="22"/>
          <w:szCs w:val="22"/>
        </w:rPr>
      </w:pPr>
      <w:r w:rsidRPr="006B3587">
        <w:rPr>
          <w:color w:val="000000" w:themeColor="text1"/>
          <w:sz w:val="22"/>
          <w:szCs w:val="22"/>
        </w:rPr>
        <w:t>8.</w:t>
      </w:r>
      <w:r w:rsidRPr="006B3587">
        <w:rPr>
          <w:color w:val="000000" w:themeColor="text1"/>
          <w:sz w:val="22"/>
          <w:szCs w:val="22"/>
        </w:rPr>
        <w:tab/>
      </w:r>
      <w:proofErr w:type="spellStart"/>
      <w:r w:rsidRPr="006B3587">
        <w:rPr>
          <w:color w:val="000000" w:themeColor="text1"/>
          <w:sz w:val="22"/>
          <w:szCs w:val="22"/>
        </w:rPr>
        <w:t>Demirgöz</w:t>
      </w:r>
      <w:proofErr w:type="spellEnd"/>
      <w:r w:rsidRPr="006B3587">
        <w:rPr>
          <w:color w:val="000000" w:themeColor="text1"/>
          <w:sz w:val="22"/>
          <w:szCs w:val="22"/>
        </w:rPr>
        <w:t xml:space="preserve"> Bal, M.  (2014). Toplumsal cinsiyet eşitsizliğine genel </w:t>
      </w:r>
      <w:proofErr w:type="spellStart"/>
      <w:r w:rsidRPr="006B3587">
        <w:rPr>
          <w:color w:val="000000" w:themeColor="text1"/>
          <w:sz w:val="22"/>
          <w:szCs w:val="22"/>
        </w:rPr>
        <w:t>bakiş</w:t>
      </w:r>
      <w:proofErr w:type="spellEnd"/>
      <w:r w:rsidRPr="006B3587">
        <w:rPr>
          <w:color w:val="000000" w:themeColor="text1"/>
          <w:sz w:val="22"/>
          <w:szCs w:val="22"/>
        </w:rPr>
        <w:t>. Kadın Sağlığı Hemşireliği Dergisi, 1(1), 15-28.</w:t>
      </w:r>
    </w:p>
    <w:p w14:paraId="0973249C" w14:textId="77777777" w:rsidR="006B3587" w:rsidRPr="006B3587" w:rsidRDefault="006B3587" w:rsidP="006B3587">
      <w:pPr>
        <w:jc w:val="both"/>
        <w:rPr>
          <w:color w:val="000000" w:themeColor="text1"/>
          <w:sz w:val="22"/>
          <w:szCs w:val="22"/>
        </w:rPr>
      </w:pPr>
      <w:r w:rsidRPr="006B3587">
        <w:rPr>
          <w:color w:val="000000" w:themeColor="text1"/>
          <w:sz w:val="22"/>
          <w:szCs w:val="22"/>
        </w:rPr>
        <w:t>9.</w:t>
      </w:r>
      <w:r w:rsidRPr="006B3587">
        <w:rPr>
          <w:color w:val="000000" w:themeColor="text1"/>
          <w:sz w:val="22"/>
          <w:szCs w:val="22"/>
        </w:rPr>
        <w:tab/>
      </w:r>
      <w:proofErr w:type="spellStart"/>
      <w:r w:rsidRPr="006B3587">
        <w:rPr>
          <w:color w:val="000000" w:themeColor="text1"/>
          <w:sz w:val="22"/>
          <w:szCs w:val="22"/>
        </w:rPr>
        <w:t>Dionisio</w:t>
      </w:r>
      <w:proofErr w:type="spellEnd"/>
      <w:r w:rsidRPr="006B3587">
        <w:rPr>
          <w:color w:val="000000" w:themeColor="text1"/>
          <w:sz w:val="22"/>
          <w:szCs w:val="22"/>
        </w:rPr>
        <w:t xml:space="preserve">, J. D., </w:t>
      </w:r>
      <w:proofErr w:type="spellStart"/>
      <w:r w:rsidRPr="006B3587">
        <w:rPr>
          <w:color w:val="000000" w:themeColor="text1"/>
          <w:sz w:val="22"/>
          <w:szCs w:val="22"/>
        </w:rPr>
        <w:t>Lii</w:t>
      </w:r>
      <w:proofErr w:type="spellEnd"/>
      <w:r w:rsidRPr="006B3587">
        <w:rPr>
          <w:color w:val="000000" w:themeColor="text1"/>
          <w:sz w:val="22"/>
          <w:szCs w:val="22"/>
        </w:rPr>
        <w:t xml:space="preserve">, W. G., &amp; Gilbert, R. (2013). 3D </w:t>
      </w:r>
      <w:proofErr w:type="spellStart"/>
      <w:r w:rsidRPr="006B3587">
        <w:rPr>
          <w:color w:val="000000" w:themeColor="text1"/>
          <w:sz w:val="22"/>
          <w:szCs w:val="22"/>
        </w:rPr>
        <w:t>virtual</w:t>
      </w:r>
      <w:proofErr w:type="spellEnd"/>
      <w:r w:rsidRPr="006B3587">
        <w:rPr>
          <w:color w:val="000000" w:themeColor="text1"/>
          <w:sz w:val="22"/>
          <w:szCs w:val="22"/>
        </w:rPr>
        <w:t xml:space="preserve"> </w:t>
      </w:r>
      <w:proofErr w:type="spellStart"/>
      <w:r w:rsidRPr="006B3587">
        <w:rPr>
          <w:color w:val="000000" w:themeColor="text1"/>
          <w:sz w:val="22"/>
          <w:szCs w:val="22"/>
        </w:rPr>
        <w:t>worlds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Current</w:t>
      </w:r>
      <w:proofErr w:type="spellEnd"/>
      <w:r w:rsidRPr="006B3587">
        <w:rPr>
          <w:color w:val="000000" w:themeColor="text1"/>
          <w:sz w:val="22"/>
          <w:szCs w:val="22"/>
        </w:rPr>
        <w:t xml:space="preserve"> </w:t>
      </w:r>
      <w:proofErr w:type="spellStart"/>
      <w:r w:rsidRPr="006B3587">
        <w:rPr>
          <w:color w:val="000000" w:themeColor="text1"/>
          <w:sz w:val="22"/>
          <w:szCs w:val="22"/>
        </w:rPr>
        <w:t>status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future</w:t>
      </w:r>
      <w:proofErr w:type="spellEnd"/>
      <w:r w:rsidRPr="006B3587">
        <w:rPr>
          <w:color w:val="000000" w:themeColor="text1"/>
          <w:sz w:val="22"/>
          <w:szCs w:val="22"/>
        </w:rPr>
        <w:t xml:space="preserve"> </w:t>
      </w:r>
      <w:proofErr w:type="spellStart"/>
      <w:r w:rsidRPr="006B3587">
        <w:rPr>
          <w:color w:val="000000" w:themeColor="text1"/>
          <w:sz w:val="22"/>
          <w:szCs w:val="22"/>
        </w:rPr>
        <w:t>possibilities</w:t>
      </w:r>
      <w:proofErr w:type="spellEnd"/>
      <w:r w:rsidRPr="006B3587">
        <w:rPr>
          <w:color w:val="000000" w:themeColor="text1"/>
          <w:sz w:val="22"/>
          <w:szCs w:val="22"/>
        </w:rPr>
        <w:t xml:space="preserve">. ACM </w:t>
      </w:r>
      <w:proofErr w:type="spellStart"/>
      <w:r w:rsidRPr="006B3587">
        <w:rPr>
          <w:color w:val="000000" w:themeColor="text1"/>
          <w:sz w:val="22"/>
          <w:szCs w:val="22"/>
        </w:rPr>
        <w:t>computing</w:t>
      </w:r>
      <w:proofErr w:type="spellEnd"/>
      <w:r w:rsidRPr="006B3587">
        <w:rPr>
          <w:color w:val="000000" w:themeColor="text1"/>
          <w:sz w:val="22"/>
          <w:szCs w:val="22"/>
        </w:rPr>
        <w:t xml:space="preserve"> </w:t>
      </w:r>
      <w:proofErr w:type="spellStart"/>
      <w:r w:rsidRPr="006B3587">
        <w:rPr>
          <w:color w:val="000000" w:themeColor="text1"/>
          <w:sz w:val="22"/>
          <w:szCs w:val="22"/>
        </w:rPr>
        <w:t>surveys</w:t>
      </w:r>
      <w:proofErr w:type="spellEnd"/>
      <w:r w:rsidRPr="006B3587">
        <w:rPr>
          <w:color w:val="000000" w:themeColor="text1"/>
          <w:sz w:val="22"/>
          <w:szCs w:val="22"/>
        </w:rPr>
        <w:t xml:space="preserve"> (CSUR), 45(3), 1-38.</w:t>
      </w:r>
    </w:p>
    <w:p w14:paraId="21501D6F" w14:textId="77777777" w:rsidR="006B3587" w:rsidRPr="006B3587" w:rsidRDefault="006B3587" w:rsidP="006B3587">
      <w:pPr>
        <w:jc w:val="both"/>
        <w:rPr>
          <w:color w:val="000000" w:themeColor="text1"/>
          <w:sz w:val="22"/>
          <w:szCs w:val="22"/>
        </w:rPr>
      </w:pPr>
      <w:r w:rsidRPr="006B3587">
        <w:rPr>
          <w:color w:val="000000" w:themeColor="text1"/>
          <w:sz w:val="22"/>
          <w:szCs w:val="22"/>
        </w:rPr>
        <w:t>10.</w:t>
      </w:r>
      <w:r w:rsidRPr="006B3587">
        <w:rPr>
          <w:color w:val="000000" w:themeColor="text1"/>
          <w:sz w:val="22"/>
          <w:szCs w:val="22"/>
        </w:rPr>
        <w:tab/>
        <w:t xml:space="preserve">Ecevit, Y. (2013). Toplumsal cinsiyet çalışmaları. Emek. Y. Ecevit &amp; N. </w:t>
      </w:r>
      <w:proofErr w:type="spellStart"/>
      <w:r w:rsidRPr="006B3587">
        <w:rPr>
          <w:color w:val="000000" w:themeColor="text1"/>
          <w:sz w:val="22"/>
          <w:szCs w:val="22"/>
        </w:rPr>
        <w:t>Karkıner</w:t>
      </w:r>
      <w:proofErr w:type="spellEnd"/>
      <w:r w:rsidRPr="006B3587">
        <w:rPr>
          <w:color w:val="000000" w:themeColor="text1"/>
          <w:sz w:val="22"/>
          <w:szCs w:val="22"/>
        </w:rPr>
        <w:t xml:space="preserve"> (</w:t>
      </w:r>
      <w:proofErr w:type="spellStart"/>
      <w:r w:rsidRPr="006B3587">
        <w:rPr>
          <w:color w:val="000000" w:themeColor="text1"/>
          <w:sz w:val="22"/>
          <w:szCs w:val="22"/>
        </w:rPr>
        <w:t>Eds</w:t>
      </w:r>
      <w:proofErr w:type="spellEnd"/>
      <w:r w:rsidRPr="006B3587">
        <w:rPr>
          <w:color w:val="000000" w:themeColor="text1"/>
          <w:sz w:val="22"/>
          <w:szCs w:val="22"/>
        </w:rPr>
        <w:t xml:space="preserve">.). </w:t>
      </w:r>
      <w:proofErr w:type="gramStart"/>
      <w:r w:rsidRPr="006B3587">
        <w:rPr>
          <w:color w:val="000000" w:themeColor="text1"/>
          <w:sz w:val="22"/>
          <w:szCs w:val="22"/>
        </w:rPr>
        <w:t>içinde</w:t>
      </w:r>
      <w:proofErr w:type="gramEnd"/>
      <w:r w:rsidRPr="006B3587">
        <w:rPr>
          <w:color w:val="000000" w:themeColor="text1"/>
          <w:sz w:val="22"/>
          <w:szCs w:val="22"/>
        </w:rPr>
        <w:t xml:space="preserve"> Eskişehir: Anadolu Üniversitesi.</w:t>
      </w:r>
    </w:p>
    <w:p w14:paraId="1985FDF9" w14:textId="77777777" w:rsidR="006B3587" w:rsidRPr="006B3587" w:rsidRDefault="006B3587" w:rsidP="006B3587">
      <w:pPr>
        <w:jc w:val="both"/>
        <w:rPr>
          <w:color w:val="000000" w:themeColor="text1"/>
          <w:sz w:val="22"/>
          <w:szCs w:val="22"/>
        </w:rPr>
      </w:pPr>
      <w:r w:rsidRPr="006B3587">
        <w:rPr>
          <w:color w:val="000000" w:themeColor="text1"/>
          <w:sz w:val="22"/>
          <w:szCs w:val="22"/>
        </w:rPr>
        <w:t>11.</w:t>
      </w:r>
      <w:r w:rsidRPr="006B3587">
        <w:rPr>
          <w:color w:val="000000" w:themeColor="text1"/>
          <w:sz w:val="22"/>
          <w:szCs w:val="22"/>
        </w:rPr>
        <w:tab/>
        <w:t xml:space="preserve">Erken, F. (2022). </w:t>
      </w:r>
      <w:proofErr w:type="spellStart"/>
      <w:r w:rsidRPr="006B3587">
        <w:rPr>
          <w:color w:val="000000" w:themeColor="text1"/>
          <w:sz w:val="22"/>
          <w:szCs w:val="22"/>
        </w:rPr>
        <w:t>Sosyo</w:t>
      </w:r>
      <w:proofErr w:type="spellEnd"/>
      <w:r w:rsidRPr="006B3587">
        <w:rPr>
          <w:color w:val="000000" w:themeColor="text1"/>
          <w:sz w:val="22"/>
          <w:szCs w:val="22"/>
        </w:rPr>
        <w:t xml:space="preserve">-dijital eşitsizlik ekosisteminde sanal gerçeklikten </w:t>
      </w:r>
      <w:proofErr w:type="spellStart"/>
      <w:r w:rsidRPr="006B3587">
        <w:rPr>
          <w:color w:val="000000" w:themeColor="text1"/>
          <w:sz w:val="22"/>
          <w:szCs w:val="22"/>
        </w:rPr>
        <w:t>metaverse’e</w:t>
      </w:r>
      <w:proofErr w:type="spellEnd"/>
      <w:r w:rsidRPr="006B3587">
        <w:rPr>
          <w:color w:val="000000" w:themeColor="text1"/>
          <w:sz w:val="22"/>
          <w:szCs w:val="22"/>
        </w:rPr>
        <w:t xml:space="preserve"> erişilebilirlik: içeridekiler ve </w:t>
      </w:r>
      <w:proofErr w:type="spellStart"/>
      <w:r w:rsidRPr="006B3587">
        <w:rPr>
          <w:color w:val="000000" w:themeColor="text1"/>
          <w:sz w:val="22"/>
          <w:szCs w:val="22"/>
        </w:rPr>
        <w:t>dişaridakiler</w:t>
      </w:r>
      <w:proofErr w:type="spellEnd"/>
      <w:r w:rsidRPr="006B3587">
        <w:rPr>
          <w:color w:val="000000" w:themeColor="text1"/>
          <w:sz w:val="22"/>
          <w:szCs w:val="22"/>
        </w:rPr>
        <w:t>. Ufkun Ötesi Bilim Dergisi, 22(1), 84-99.</w:t>
      </w:r>
    </w:p>
    <w:p w14:paraId="446CFA58" w14:textId="77777777" w:rsidR="006B3587" w:rsidRPr="006B3587" w:rsidRDefault="006B3587" w:rsidP="006B3587">
      <w:pPr>
        <w:jc w:val="both"/>
        <w:rPr>
          <w:color w:val="000000" w:themeColor="text1"/>
          <w:sz w:val="22"/>
          <w:szCs w:val="22"/>
        </w:rPr>
      </w:pPr>
      <w:r w:rsidRPr="006B3587">
        <w:rPr>
          <w:color w:val="000000" w:themeColor="text1"/>
          <w:sz w:val="22"/>
          <w:szCs w:val="22"/>
        </w:rPr>
        <w:t>12.</w:t>
      </w:r>
      <w:r w:rsidRPr="006B3587">
        <w:rPr>
          <w:color w:val="000000" w:themeColor="text1"/>
          <w:sz w:val="22"/>
          <w:szCs w:val="22"/>
        </w:rPr>
        <w:tab/>
      </w:r>
      <w:proofErr w:type="spellStart"/>
      <w:r w:rsidRPr="006B3587">
        <w:rPr>
          <w:color w:val="000000" w:themeColor="text1"/>
          <w:sz w:val="22"/>
          <w:szCs w:val="22"/>
        </w:rPr>
        <w:t>Güncan</w:t>
      </w:r>
      <w:proofErr w:type="spellEnd"/>
      <w:r w:rsidRPr="006B3587">
        <w:rPr>
          <w:color w:val="000000" w:themeColor="text1"/>
          <w:sz w:val="22"/>
          <w:szCs w:val="22"/>
        </w:rPr>
        <w:t xml:space="preserve">, Ö. </w:t>
      </w:r>
      <w:proofErr w:type="spellStart"/>
      <w:r w:rsidRPr="006B3587">
        <w:rPr>
          <w:color w:val="000000" w:themeColor="text1"/>
          <w:sz w:val="22"/>
          <w:szCs w:val="22"/>
        </w:rPr>
        <w:t>Metaverse</w:t>
      </w:r>
      <w:proofErr w:type="spellEnd"/>
      <w:r w:rsidRPr="006B3587">
        <w:rPr>
          <w:color w:val="000000" w:themeColor="text1"/>
          <w:sz w:val="22"/>
          <w:szCs w:val="22"/>
        </w:rPr>
        <w:t xml:space="preserve"> dünyasında rekreasyon. Efe Akademi Yayınları, 107.</w:t>
      </w:r>
    </w:p>
    <w:p w14:paraId="23CCE759" w14:textId="77777777" w:rsidR="006B3587" w:rsidRPr="006B3587" w:rsidRDefault="006B3587" w:rsidP="006B3587">
      <w:pPr>
        <w:jc w:val="both"/>
        <w:rPr>
          <w:color w:val="000000" w:themeColor="text1"/>
          <w:sz w:val="22"/>
          <w:szCs w:val="22"/>
        </w:rPr>
      </w:pPr>
      <w:r w:rsidRPr="006B3587">
        <w:rPr>
          <w:color w:val="000000" w:themeColor="text1"/>
          <w:sz w:val="22"/>
          <w:szCs w:val="22"/>
        </w:rPr>
        <w:t>13.</w:t>
      </w:r>
      <w:r w:rsidRPr="006B3587">
        <w:rPr>
          <w:color w:val="000000" w:themeColor="text1"/>
          <w:sz w:val="22"/>
          <w:szCs w:val="22"/>
        </w:rPr>
        <w:tab/>
        <w:t>Güler, H., Altınışık, Ü. &amp; Bulut, Ç. (2022). Meta Evrende Spor ve Rekreasyon (</w:t>
      </w:r>
      <w:proofErr w:type="spellStart"/>
      <w:r w:rsidRPr="006B3587">
        <w:rPr>
          <w:color w:val="000000" w:themeColor="text1"/>
          <w:sz w:val="22"/>
          <w:szCs w:val="22"/>
        </w:rPr>
        <w:t>Metaverse</w:t>
      </w:r>
      <w:proofErr w:type="spellEnd"/>
      <w:r w:rsidRPr="006B3587">
        <w:rPr>
          <w:color w:val="000000" w:themeColor="text1"/>
          <w:sz w:val="22"/>
          <w:szCs w:val="22"/>
        </w:rPr>
        <w:t xml:space="preserve"> Spor ve Rekreasyon İlişkisi). (Ed. </w:t>
      </w:r>
      <w:proofErr w:type="spellStart"/>
      <w:r w:rsidRPr="006B3587">
        <w:rPr>
          <w:color w:val="000000" w:themeColor="text1"/>
          <w:sz w:val="22"/>
          <w:szCs w:val="22"/>
        </w:rPr>
        <w:t>Özmutlu</w:t>
      </w:r>
      <w:proofErr w:type="spellEnd"/>
      <w:r w:rsidRPr="006B3587">
        <w:rPr>
          <w:color w:val="000000" w:themeColor="text1"/>
          <w:sz w:val="22"/>
          <w:szCs w:val="22"/>
        </w:rPr>
        <w:t>, İ. &amp; Arı, Y.). Spor Bilimlerinde Betimsel Metinler içinde (</w:t>
      </w:r>
      <w:proofErr w:type="spellStart"/>
      <w:r w:rsidRPr="006B3587">
        <w:rPr>
          <w:color w:val="000000" w:themeColor="text1"/>
          <w:sz w:val="22"/>
          <w:szCs w:val="22"/>
        </w:rPr>
        <w:t>ss</w:t>
      </w:r>
      <w:proofErr w:type="spellEnd"/>
      <w:r w:rsidRPr="006B3587">
        <w:rPr>
          <w:color w:val="000000" w:themeColor="text1"/>
          <w:sz w:val="22"/>
          <w:szCs w:val="22"/>
        </w:rPr>
        <w:t>. 125-144). İstanbul: Efe Akademi Yayınları.</w:t>
      </w:r>
    </w:p>
    <w:p w14:paraId="06D411F5" w14:textId="77777777" w:rsidR="006B3587" w:rsidRPr="006B3587" w:rsidRDefault="006B3587" w:rsidP="006B3587">
      <w:pPr>
        <w:jc w:val="both"/>
        <w:rPr>
          <w:color w:val="000000" w:themeColor="text1"/>
          <w:sz w:val="22"/>
          <w:szCs w:val="22"/>
        </w:rPr>
      </w:pPr>
      <w:r w:rsidRPr="006B3587">
        <w:rPr>
          <w:color w:val="000000" w:themeColor="text1"/>
          <w:sz w:val="22"/>
          <w:szCs w:val="22"/>
        </w:rPr>
        <w:t>14.</w:t>
      </w:r>
      <w:r w:rsidRPr="006B3587">
        <w:rPr>
          <w:color w:val="000000" w:themeColor="text1"/>
          <w:sz w:val="22"/>
          <w:szCs w:val="22"/>
        </w:rPr>
        <w:tab/>
        <w:t xml:space="preserve">Güler, O. &amp; Savaş, S. (2022). Tüm yönleriyle </w:t>
      </w:r>
      <w:proofErr w:type="spellStart"/>
      <w:r w:rsidRPr="006B3587">
        <w:rPr>
          <w:color w:val="000000" w:themeColor="text1"/>
          <w:sz w:val="22"/>
          <w:szCs w:val="22"/>
        </w:rPr>
        <w:t>metaverse</w:t>
      </w:r>
      <w:proofErr w:type="spellEnd"/>
      <w:r w:rsidRPr="006B3587">
        <w:rPr>
          <w:color w:val="000000" w:themeColor="text1"/>
          <w:sz w:val="22"/>
          <w:szCs w:val="22"/>
        </w:rPr>
        <w:t xml:space="preserve"> çalışmaları, teknolojileri ve geleceği. Gazi </w:t>
      </w:r>
      <w:proofErr w:type="spellStart"/>
      <w:r w:rsidRPr="006B3587">
        <w:rPr>
          <w:color w:val="000000" w:themeColor="text1"/>
          <w:sz w:val="22"/>
          <w:szCs w:val="22"/>
        </w:rPr>
        <w:t>Journal</w:t>
      </w:r>
      <w:proofErr w:type="spellEnd"/>
      <w:r w:rsidRPr="006B3587">
        <w:rPr>
          <w:color w:val="000000" w:themeColor="text1"/>
          <w:sz w:val="22"/>
          <w:szCs w:val="22"/>
        </w:rPr>
        <w:t xml:space="preserve"> of </w:t>
      </w:r>
      <w:proofErr w:type="spellStart"/>
      <w:r w:rsidRPr="006B3587">
        <w:rPr>
          <w:color w:val="000000" w:themeColor="text1"/>
          <w:sz w:val="22"/>
          <w:szCs w:val="22"/>
        </w:rPr>
        <w:t>Engineering</w:t>
      </w:r>
      <w:proofErr w:type="spellEnd"/>
      <w:r w:rsidRPr="006B3587">
        <w:rPr>
          <w:color w:val="000000" w:themeColor="text1"/>
          <w:sz w:val="22"/>
          <w:szCs w:val="22"/>
        </w:rPr>
        <w:t xml:space="preserve"> </w:t>
      </w:r>
      <w:proofErr w:type="spellStart"/>
      <w:r w:rsidRPr="006B3587">
        <w:rPr>
          <w:color w:val="000000" w:themeColor="text1"/>
          <w:sz w:val="22"/>
          <w:szCs w:val="22"/>
        </w:rPr>
        <w:t>Sciences</w:t>
      </w:r>
      <w:proofErr w:type="spellEnd"/>
      <w:r w:rsidRPr="006B3587">
        <w:rPr>
          <w:color w:val="000000" w:themeColor="text1"/>
          <w:sz w:val="22"/>
          <w:szCs w:val="22"/>
        </w:rPr>
        <w:t>, 8(2), 292-319.</w:t>
      </w:r>
    </w:p>
    <w:p w14:paraId="10C1A891" w14:textId="77777777" w:rsidR="006B3587" w:rsidRPr="006B3587" w:rsidRDefault="006B3587" w:rsidP="006B3587">
      <w:pPr>
        <w:jc w:val="both"/>
        <w:rPr>
          <w:color w:val="000000" w:themeColor="text1"/>
          <w:sz w:val="22"/>
          <w:szCs w:val="22"/>
        </w:rPr>
      </w:pPr>
      <w:r w:rsidRPr="006B3587">
        <w:rPr>
          <w:color w:val="000000" w:themeColor="text1"/>
          <w:sz w:val="22"/>
          <w:szCs w:val="22"/>
        </w:rPr>
        <w:t>15.</w:t>
      </w:r>
      <w:r w:rsidRPr="006B3587">
        <w:rPr>
          <w:color w:val="000000" w:themeColor="text1"/>
          <w:sz w:val="22"/>
          <w:szCs w:val="22"/>
        </w:rPr>
        <w:tab/>
      </w:r>
      <w:proofErr w:type="spellStart"/>
      <w:r w:rsidRPr="006B3587">
        <w:rPr>
          <w:color w:val="000000" w:themeColor="text1"/>
          <w:sz w:val="22"/>
          <w:szCs w:val="22"/>
        </w:rPr>
        <w:t>Güripek</w:t>
      </w:r>
      <w:proofErr w:type="spellEnd"/>
      <w:r w:rsidRPr="006B3587">
        <w:rPr>
          <w:color w:val="000000" w:themeColor="text1"/>
          <w:sz w:val="22"/>
          <w:szCs w:val="22"/>
        </w:rPr>
        <w:t xml:space="preserve">, E. (2022). </w:t>
      </w:r>
      <w:proofErr w:type="spellStart"/>
      <w:r w:rsidRPr="006B3587">
        <w:rPr>
          <w:color w:val="000000" w:themeColor="text1"/>
          <w:sz w:val="22"/>
          <w:szCs w:val="22"/>
        </w:rPr>
        <w:t>Metaverse</w:t>
      </w:r>
      <w:proofErr w:type="spellEnd"/>
      <w:r w:rsidRPr="006B3587">
        <w:rPr>
          <w:color w:val="000000" w:themeColor="text1"/>
          <w:sz w:val="22"/>
          <w:szCs w:val="22"/>
        </w:rPr>
        <w:t xml:space="preserve"> (Öte Evren) ve Turizm. (Ed. Kurgun, H. &amp; Aktaş, E.). Turizm ve Teknoloji Sürdürülebilirlik Yaklaşımıyla içinde (</w:t>
      </w:r>
      <w:proofErr w:type="spellStart"/>
      <w:r w:rsidRPr="006B3587">
        <w:rPr>
          <w:color w:val="000000" w:themeColor="text1"/>
          <w:sz w:val="22"/>
          <w:szCs w:val="22"/>
        </w:rPr>
        <w:t>ss</w:t>
      </w:r>
      <w:proofErr w:type="spellEnd"/>
      <w:r w:rsidRPr="006B3587">
        <w:rPr>
          <w:color w:val="000000" w:themeColor="text1"/>
          <w:sz w:val="22"/>
          <w:szCs w:val="22"/>
        </w:rPr>
        <w:t>. 163-177). Ankara: Detay Yayıncılık.</w:t>
      </w:r>
    </w:p>
    <w:p w14:paraId="706C7DDE" w14:textId="77777777" w:rsidR="006B3587" w:rsidRPr="006B3587" w:rsidRDefault="006B3587" w:rsidP="006B3587">
      <w:pPr>
        <w:jc w:val="both"/>
        <w:rPr>
          <w:color w:val="000000" w:themeColor="text1"/>
          <w:sz w:val="22"/>
          <w:szCs w:val="22"/>
        </w:rPr>
      </w:pPr>
      <w:r w:rsidRPr="006B3587">
        <w:rPr>
          <w:color w:val="000000" w:themeColor="text1"/>
          <w:sz w:val="22"/>
          <w:szCs w:val="22"/>
        </w:rPr>
        <w:t>16.</w:t>
      </w:r>
      <w:r w:rsidRPr="006B3587">
        <w:rPr>
          <w:color w:val="000000" w:themeColor="text1"/>
          <w:sz w:val="22"/>
          <w:szCs w:val="22"/>
        </w:rPr>
        <w:tab/>
      </w:r>
      <w:proofErr w:type="spellStart"/>
      <w:r w:rsidRPr="006B3587">
        <w:rPr>
          <w:color w:val="000000" w:themeColor="text1"/>
          <w:sz w:val="22"/>
          <w:szCs w:val="22"/>
        </w:rPr>
        <w:t>Huynh-The</w:t>
      </w:r>
      <w:proofErr w:type="spellEnd"/>
      <w:r w:rsidRPr="006B3587">
        <w:rPr>
          <w:color w:val="000000" w:themeColor="text1"/>
          <w:sz w:val="22"/>
          <w:szCs w:val="22"/>
        </w:rPr>
        <w:t xml:space="preserve">, T., </w:t>
      </w:r>
      <w:proofErr w:type="spellStart"/>
      <w:r w:rsidRPr="006B3587">
        <w:rPr>
          <w:color w:val="000000" w:themeColor="text1"/>
          <w:sz w:val="22"/>
          <w:szCs w:val="22"/>
        </w:rPr>
        <w:t>Pham</w:t>
      </w:r>
      <w:proofErr w:type="spellEnd"/>
      <w:r w:rsidRPr="006B3587">
        <w:rPr>
          <w:color w:val="000000" w:themeColor="text1"/>
          <w:sz w:val="22"/>
          <w:szCs w:val="22"/>
        </w:rPr>
        <w:t xml:space="preserve">, Q. V., </w:t>
      </w:r>
      <w:proofErr w:type="spellStart"/>
      <w:r w:rsidRPr="006B3587">
        <w:rPr>
          <w:color w:val="000000" w:themeColor="text1"/>
          <w:sz w:val="22"/>
          <w:szCs w:val="22"/>
        </w:rPr>
        <w:t>Pham</w:t>
      </w:r>
      <w:proofErr w:type="spellEnd"/>
      <w:r w:rsidRPr="006B3587">
        <w:rPr>
          <w:color w:val="000000" w:themeColor="text1"/>
          <w:sz w:val="22"/>
          <w:szCs w:val="22"/>
        </w:rPr>
        <w:t xml:space="preserve">, X. Q., </w:t>
      </w:r>
      <w:proofErr w:type="spellStart"/>
      <w:r w:rsidRPr="006B3587">
        <w:rPr>
          <w:color w:val="000000" w:themeColor="text1"/>
          <w:sz w:val="22"/>
          <w:szCs w:val="22"/>
        </w:rPr>
        <w:t>Nguyen</w:t>
      </w:r>
      <w:proofErr w:type="spellEnd"/>
      <w:r w:rsidRPr="006B3587">
        <w:rPr>
          <w:color w:val="000000" w:themeColor="text1"/>
          <w:sz w:val="22"/>
          <w:szCs w:val="22"/>
        </w:rPr>
        <w:t xml:space="preserve">, T. T., Han, Z., &amp; Kim, D. S. (2023). </w:t>
      </w:r>
      <w:proofErr w:type="spellStart"/>
      <w:r w:rsidRPr="006B3587">
        <w:rPr>
          <w:color w:val="000000" w:themeColor="text1"/>
          <w:sz w:val="22"/>
          <w:szCs w:val="22"/>
        </w:rPr>
        <w:t>Artificial</w:t>
      </w:r>
      <w:proofErr w:type="spellEnd"/>
      <w:r w:rsidRPr="006B3587">
        <w:rPr>
          <w:color w:val="000000" w:themeColor="text1"/>
          <w:sz w:val="22"/>
          <w:szCs w:val="22"/>
        </w:rPr>
        <w:t xml:space="preserve"> </w:t>
      </w:r>
      <w:proofErr w:type="spellStart"/>
      <w:r w:rsidRPr="006B3587">
        <w:rPr>
          <w:color w:val="000000" w:themeColor="text1"/>
          <w:sz w:val="22"/>
          <w:szCs w:val="22"/>
        </w:rPr>
        <w:t>intelligence</w:t>
      </w:r>
      <w:proofErr w:type="spellEnd"/>
      <w:r w:rsidRPr="006B3587">
        <w:rPr>
          <w:color w:val="000000" w:themeColor="text1"/>
          <w:sz w:val="22"/>
          <w:szCs w:val="22"/>
        </w:rPr>
        <w:t xml:space="preserve"> </w:t>
      </w:r>
      <w:proofErr w:type="spellStart"/>
      <w:r w:rsidRPr="006B3587">
        <w:rPr>
          <w:color w:val="000000" w:themeColor="text1"/>
          <w:sz w:val="22"/>
          <w:szCs w:val="22"/>
        </w:rPr>
        <w:t>for</w:t>
      </w:r>
      <w:proofErr w:type="spellEnd"/>
      <w:r w:rsidRPr="006B3587">
        <w:rPr>
          <w:color w:val="000000" w:themeColor="text1"/>
          <w:sz w:val="22"/>
          <w:szCs w:val="22"/>
        </w:rPr>
        <w:t xml:space="preserve">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A </w:t>
      </w:r>
      <w:proofErr w:type="spellStart"/>
      <w:r w:rsidRPr="006B3587">
        <w:rPr>
          <w:color w:val="000000" w:themeColor="text1"/>
          <w:sz w:val="22"/>
          <w:szCs w:val="22"/>
        </w:rPr>
        <w:t>survey</w:t>
      </w:r>
      <w:proofErr w:type="spellEnd"/>
      <w:r w:rsidRPr="006B3587">
        <w:rPr>
          <w:color w:val="000000" w:themeColor="text1"/>
          <w:sz w:val="22"/>
          <w:szCs w:val="22"/>
        </w:rPr>
        <w:t xml:space="preserve">. </w:t>
      </w:r>
      <w:proofErr w:type="spellStart"/>
      <w:r w:rsidRPr="006B3587">
        <w:rPr>
          <w:color w:val="000000" w:themeColor="text1"/>
          <w:sz w:val="22"/>
          <w:szCs w:val="22"/>
        </w:rPr>
        <w:t>Engineering</w:t>
      </w:r>
      <w:proofErr w:type="spellEnd"/>
      <w:r w:rsidRPr="006B3587">
        <w:rPr>
          <w:color w:val="000000" w:themeColor="text1"/>
          <w:sz w:val="22"/>
          <w:szCs w:val="22"/>
        </w:rPr>
        <w:t xml:space="preserve"> Applications of </w:t>
      </w:r>
      <w:proofErr w:type="spellStart"/>
      <w:r w:rsidRPr="006B3587">
        <w:rPr>
          <w:color w:val="000000" w:themeColor="text1"/>
          <w:sz w:val="22"/>
          <w:szCs w:val="22"/>
        </w:rPr>
        <w:t>Artificial</w:t>
      </w:r>
      <w:proofErr w:type="spellEnd"/>
      <w:r w:rsidRPr="006B3587">
        <w:rPr>
          <w:color w:val="000000" w:themeColor="text1"/>
          <w:sz w:val="22"/>
          <w:szCs w:val="22"/>
        </w:rPr>
        <w:t xml:space="preserve"> </w:t>
      </w:r>
      <w:proofErr w:type="spellStart"/>
      <w:r w:rsidRPr="006B3587">
        <w:rPr>
          <w:color w:val="000000" w:themeColor="text1"/>
          <w:sz w:val="22"/>
          <w:szCs w:val="22"/>
        </w:rPr>
        <w:t>Intelligence</w:t>
      </w:r>
      <w:proofErr w:type="spellEnd"/>
      <w:r w:rsidRPr="006B3587">
        <w:rPr>
          <w:color w:val="000000" w:themeColor="text1"/>
          <w:sz w:val="22"/>
          <w:szCs w:val="22"/>
        </w:rPr>
        <w:t>, 117, 105581.</w:t>
      </w:r>
    </w:p>
    <w:p w14:paraId="0D259A86" w14:textId="77777777" w:rsidR="006B3587" w:rsidRPr="006B3587" w:rsidRDefault="006B3587" w:rsidP="006B3587">
      <w:pPr>
        <w:jc w:val="both"/>
        <w:rPr>
          <w:color w:val="000000" w:themeColor="text1"/>
          <w:sz w:val="22"/>
          <w:szCs w:val="22"/>
        </w:rPr>
      </w:pPr>
      <w:r w:rsidRPr="006B3587">
        <w:rPr>
          <w:color w:val="000000" w:themeColor="text1"/>
          <w:sz w:val="22"/>
          <w:szCs w:val="22"/>
        </w:rPr>
        <w:t>17.</w:t>
      </w:r>
      <w:r w:rsidRPr="006B3587">
        <w:rPr>
          <w:color w:val="000000" w:themeColor="text1"/>
          <w:sz w:val="22"/>
          <w:szCs w:val="22"/>
        </w:rPr>
        <w:tab/>
      </w:r>
      <w:proofErr w:type="spellStart"/>
      <w:r w:rsidRPr="006B3587">
        <w:rPr>
          <w:color w:val="000000" w:themeColor="text1"/>
          <w:sz w:val="22"/>
          <w:szCs w:val="22"/>
        </w:rPr>
        <w:t>Ibáñez</w:t>
      </w:r>
      <w:proofErr w:type="spellEnd"/>
      <w:r w:rsidRPr="006B3587">
        <w:rPr>
          <w:color w:val="000000" w:themeColor="text1"/>
          <w:sz w:val="22"/>
          <w:szCs w:val="22"/>
        </w:rPr>
        <w:t xml:space="preserve">, M. B., &amp; </w:t>
      </w:r>
      <w:proofErr w:type="spellStart"/>
      <w:r w:rsidRPr="006B3587">
        <w:rPr>
          <w:color w:val="000000" w:themeColor="text1"/>
          <w:sz w:val="22"/>
          <w:szCs w:val="22"/>
        </w:rPr>
        <w:t>Delgado-Kloos</w:t>
      </w:r>
      <w:proofErr w:type="spellEnd"/>
      <w:r w:rsidRPr="006B3587">
        <w:rPr>
          <w:color w:val="000000" w:themeColor="text1"/>
          <w:sz w:val="22"/>
          <w:szCs w:val="22"/>
        </w:rPr>
        <w:t xml:space="preserve">, C. (2018). </w:t>
      </w:r>
      <w:proofErr w:type="spellStart"/>
      <w:r w:rsidRPr="006B3587">
        <w:rPr>
          <w:color w:val="000000" w:themeColor="text1"/>
          <w:sz w:val="22"/>
          <w:szCs w:val="22"/>
        </w:rPr>
        <w:t>Augmented</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w:t>
      </w:r>
      <w:proofErr w:type="spellStart"/>
      <w:r w:rsidRPr="006B3587">
        <w:rPr>
          <w:color w:val="000000" w:themeColor="text1"/>
          <w:sz w:val="22"/>
          <w:szCs w:val="22"/>
        </w:rPr>
        <w:t>for</w:t>
      </w:r>
      <w:proofErr w:type="spellEnd"/>
      <w:r w:rsidRPr="006B3587">
        <w:rPr>
          <w:color w:val="000000" w:themeColor="text1"/>
          <w:sz w:val="22"/>
          <w:szCs w:val="22"/>
        </w:rPr>
        <w:t xml:space="preserve"> STEM </w:t>
      </w:r>
      <w:proofErr w:type="spellStart"/>
      <w:r w:rsidRPr="006B3587">
        <w:rPr>
          <w:color w:val="000000" w:themeColor="text1"/>
          <w:sz w:val="22"/>
          <w:szCs w:val="22"/>
        </w:rPr>
        <w:t>learning</w:t>
      </w:r>
      <w:proofErr w:type="spellEnd"/>
      <w:r w:rsidRPr="006B3587">
        <w:rPr>
          <w:color w:val="000000" w:themeColor="text1"/>
          <w:sz w:val="22"/>
          <w:szCs w:val="22"/>
        </w:rPr>
        <w:t xml:space="preserve">: A </w:t>
      </w:r>
      <w:proofErr w:type="spellStart"/>
      <w:r w:rsidRPr="006B3587">
        <w:rPr>
          <w:color w:val="000000" w:themeColor="text1"/>
          <w:sz w:val="22"/>
          <w:szCs w:val="22"/>
        </w:rPr>
        <w:t>systematic</w:t>
      </w:r>
      <w:proofErr w:type="spellEnd"/>
      <w:r w:rsidRPr="006B3587">
        <w:rPr>
          <w:color w:val="000000" w:themeColor="text1"/>
          <w:sz w:val="22"/>
          <w:szCs w:val="22"/>
        </w:rPr>
        <w:t xml:space="preserve"> </w:t>
      </w:r>
      <w:proofErr w:type="spellStart"/>
      <w:r w:rsidRPr="006B3587">
        <w:rPr>
          <w:color w:val="000000" w:themeColor="text1"/>
          <w:sz w:val="22"/>
          <w:szCs w:val="22"/>
        </w:rPr>
        <w:t>review</w:t>
      </w:r>
      <w:proofErr w:type="spellEnd"/>
      <w:r w:rsidRPr="006B3587">
        <w:rPr>
          <w:color w:val="000000" w:themeColor="text1"/>
          <w:sz w:val="22"/>
          <w:szCs w:val="22"/>
        </w:rPr>
        <w:t xml:space="preserve">. </w:t>
      </w:r>
      <w:proofErr w:type="spellStart"/>
      <w:r w:rsidRPr="006B3587">
        <w:rPr>
          <w:color w:val="000000" w:themeColor="text1"/>
          <w:sz w:val="22"/>
          <w:szCs w:val="22"/>
        </w:rPr>
        <w:t>Computers</w:t>
      </w:r>
      <w:proofErr w:type="spellEnd"/>
      <w:r w:rsidRPr="006B3587">
        <w:rPr>
          <w:color w:val="000000" w:themeColor="text1"/>
          <w:sz w:val="22"/>
          <w:szCs w:val="22"/>
        </w:rPr>
        <w:t xml:space="preserve"> &amp; </w:t>
      </w:r>
      <w:proofErr w:type="spellStart"/>
      <w:r w:rsidRPr="006B3587">
        <w:rPr>
          <w:color w:val="000000" w:themeColor="text1"/>
          <w:sz w:val="22"/>
          <w:szCs w:val="22"/>
        </w:rPr>
        <w:t>Education</w:t>
      </w:r>
      <w:proofErr w:type="spellEnd"/>
      <w:r w:rsidRPr="006B3587">
        <w:rPr>
          <w:color w:val="000000" w:themeColor="text1"/>
          <w:sz w:val="22"/>
          <w:szCs w:val="22"/>
        </w:rPr>
        <w:t>, 123, 109-123.</w:t>
      </w:r>
    </w:p>
    <w:p w14:paraId="76A5B74E" w14:textId="77777777" w:rsidR="006B3587" w:rsidRPr="006B3587" w:rsidRDefault="006B3587" w:rsidP="006B3587">
      <w:pPr>
        <w:jc w:val="both"/>
        <w:rPr>
          <w:color w:val="000000" w:themeColor="text1"/>
          <w:sz w:val="22"/>
          <w:szCs w:val="22"/>
        </w:rPr>
      </w:pPr>
      <w:r w:rsidRPr="006B3587">
        <w:rPr>
          <w:color w:val="000000" w:themeColor="text1"/>
          <w:sz w:val="22"/>
          <w:szCs w:val="22"/>
        </w:rPr>
        <w:t>18.</w:t>
      </w:r>
      <w:r w:rsidRPr="006B3587">
        <w:rPr>
          <w:color w:val="000000" w:themeColor="text1"/>
          <w:sz w:val="22"/>
          <w:szCs w:val="22"/>
        </w:rPr>
        <w:tab/>
      </w:r>
      <w:proofErr w:type="spellStart"/>
      <w:r w:rsidRPr="006B3587">
        <w:rPr>
          <w:color w:val="000000" w:themeColor="text1"/>
          <w:sz w:val="22"/>
          <w:szCs w:val="22"/>
        </w:rPr>
        <w:t>Iwasaki</w:t>
      </w:r>
      <w:proofErr w:type="spellEnd"/>
      <w:r w:rsidRPr="006B3587">
        <w:rPr>
          <w:color w:val="000000" w:themeColor="text1"/>
          <w:sz w:val="22"/>
          <w:szCs w:val="22"/>
        </w:rPr>
        <w:t xml:space="preserve">, Y. (2007). </w:t>
      </w:r>
      <w:proofErr w:type="spellStart"/>
      <w:r w:rsidRPr="006B3587">
        <w:rPr>
          <w:color w:val="000000" w:themeColor="text1"/>
          <w:sz w:val="22"/>
          <w:szCs w:val="22"/>
        </w:rPr>
        <w:t>Lesiure</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quality</w:t>
      </w:r>
      <w:proofErr w:type="spellEnd"/>
      <w:r w:rsidRPr="006B3587">
        <w:rPr>
          <w:color w:val="000000" w:themeColor="text1"/>
          <w:sz w:val="22"/>
          <w:szCs w:val="22"/>
        </w:rPr>
        <w:t xml:space="preserve"> of life in an </w:t>
      </w:r>
      <w:proofErr w:type="spellStart"/>
      <w:r w:rsidRPr="006B3587">
        <w:rPr>
          <w:color w:val="000000" w:themeColor="text1"/>
          <w:sz w:val="22"/>
          <w:szCs w:val="22"/>
        </w:rPr>
        <w:t>international</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multicultural</w:t>
      </w:r>
      <w:proofErr w:type="spellEnd"/>
      <w:r w:rsidRPr="006B3587">
        <w:rPr>
          <w:color w:val="000000" w:themeColor="text1"/>
          <w:sz w:val="22"/>
          <w:szCs w:val="22"/>
        </w:rPr>
        <w:t xml:space="preserve"> </w:t>
      </w:r>
      <w:proofErr w:type="spellStart"/>
      <w:r w:rsidRPr="006B3587">
        <w:rPr>
          <w:color w:val="000000" w:themeColor="text1"/>
          <w:sz w:val="22"/>
          <w:szCs w:val="22"/>
        </w:rPr>
        <w:t>context</w:t>
      </w:r>
      <w:proofErr w:type="spellEnd"/>
      <w:r w:rsidRPr="006B3587">
        <w:rPr>
          <w:color w:val="000000" w:themeColor="text1"/>
          <w:sz w:val="22"/>
          <w:szCs w:val="22"/>
        </w:rPr>
        <w:t xml:space="preserve">: </w:t>
      </w:r>
      <w:proofErr w:type="spellStart"/>
      <w:r w:rsidRPr="006B3587">
        <w:rPr>
          <w:color w:val="000000" w:themeColor="text1"/>
          <w:sz w:val="22"/>
          <w:szCs w:val="22"/>
        </w:rPr>
        <w:t>what</w:t>
      </w:r>
      <w:proofErr w:type="spellEnd"/>
      <w:r w:rsidRPr="006B3587">
        <w:rPr>
          <w:color w:val="000000" w:themeColor="text1"/>
          <w:sz w:val="22"/>
          <w:szCs w:val="22"/>
        </w:rPr>
        <w:t xml:space="preserve"> </w:t>
      </w:r>
      <w:proofErr w:type="spellStart"/>
      <w:r w:rsidRPr="006B3587">
        <w:rPr>
          <w:color w:val="000000" w:themeColor="text1"/>
          <w:sz w:val="22"/>
          <w:szCs w:val="22"/>
        </w:rPr>
        <w:t>are</w:t>
      </w:r>
      <w:proofErr w:type="spellEnd"/>
      <w:r w:rsidRPr="006B3587">
        <w:rPr>
          <w:color w:val="000000" w:themeColor="text1"/>
          <w:sz w:val="22"/>
          <w:szCs w:val="22"/>
        </w:rPr>
        <w:t xml:space="preserve"> </w:t>
      </w:r>
      <w:proofErr w:type="spellStart"/>
      <w:r w:rsidRPr="006B3587">
        <w:rPr>
          <w:color w:val="000000" w:themeColor="text1"/>
          <w:sz w:val="22"/>
          <w:szCs w:val="22"/>
        </w:rPr>
        <w:t>major</w:t>
      </w:r>
      <w:proofErr w:type="spellEnd"/>
      <w:r w:rsidRPr="006B3587">
        <w:rPr>
          <w:color w:val="000000" w:themeColor="text1"/>
          <w:sz w:val="22"/>
          <w:szCs w:val="22"/>
        </w:rPr>
        <w:t xml:space="preserve"> </w:t>
      </w:r>
      <w:proofErr w:type="spellStart"/>
      <w:r w:rsidRPr="006B3587">
        <w:rPr>
          <w:color w:val="000000" w:themeColor="text1"/>
          <w:sz w:val="22"/>
          <w:szCs w:val="22"/>
        </w:rPr>
        <w:t>pathways</w:t>
      </w:r>
      <w:proofErr w:type="spellEnd"/>
      <w:r w:rsidRPr="006B3587">
        <w:rPr>
          <w:color w:val="000000" w:themeColor="text1"/>
          <w:sz w:val="22"/>
          <w:szCs w:val="22"/>
        </w:rPr>
        <w:t xml:space="preserve"> </w:t>
      </w:r>
      <w:proofErr w:type="spellStart"/>
      <w:r w:rsidRPr="006B3587">
        <w:rPr>
          <w:color w:val="000000" w:themeColor="text1"/>
          <w:sz w:val="22"/>
          <w:szCs w:val="22"/>
        </w:rPr>
        <w:t>linking</w:t>
      </w:r>
      <w:proofErr w:type="spellEnd"/>
      <w:r w:rsidRPr="006B3587">
        <w:rPr>
          <w:color w:val="000000" w:themeColor="text1"/>
          <w:sz w:val="22"/>
          <w:szCs w:val="22"/>
        </w:rPr>
        <w:t xml:space="preserve"> </w:t>
      </w:r>
      <w:proofErr w:type="spellStart"/>
      <w:r w:rsidRPr="006B3587">
        <w:rPr>
          <w:color w:val="000000" w:themeColor="text1"/>
          <w:sz w:val="22"/>
          <w:szCs w:val="22"/>
        </w:rPr>
        <w:t>leisure</w:t>
      </w:r>
      <w:proofErr w:type="spellEnd"/>
      <w:r w:rsidRPr="006B3587">
        <w:rPr>
          <w:color w:val="000000" w:themeColor="text1"/>
          <w:sz w:val="22"/>
          <w:szCs w:val="22"/>
        </w:rPr>
        <w:t xml:space="preserve"> </w:t>
      </w:r>
      <w:proofErr w:type="spellStart"/>
      <w:r w:rsidRPr="006B3587">
        <w:rPr>
          <w:color w:val="000000" w:themeColor="text1"/>
          <w:sz w:val="22"/>
          <w:szCs w:val="22"/>
        </w:rPr>
        <w:t>to</w:t>
      </w:r>
      <w:proofErr w:type="spellEnd"/>
      <w:r w:rsidRPr="006B3587">
        <w:rPr>
          <w:color w:val="000000" w:themeColor="text1"/>
          <w:sz w:val="22"/>
          <w:szCs w:val="22"/>
        </w:rPr>
        <w:t xml:space="preserve"> </w:t>
      </w:r>
      <w:proofErr w:type="spellStart"/>
      <w:r w:rsidRPr="006B3587">
        <w:rPr>
          <w:color w:val="000000" w:themeColor="text1"/>
          <w:sz w:val="22"/>
          <w:szCs w:val="22"/>
        </w:rPr>
        <w:t>quality</w:t>
      </w:r>
      <w:proofErr w:type="spellEnd"/>
      <w:r w:rsidRPr="006B3587">
        <w:rPr>
          <w:color w:val="000000" w:themeColor="text1"/>
          <w:sz w:val="22"/>
          <w:szCs w:val="22"/>
        </w:rPr>
        <w:t xml:space="preserve"> of life. </w:t>
      </w:r>
      <w:proofErr w:type="spellStart"/>
      <w:r w:rsidRPr="006B3587">
        <w:rPr>
          <w:color w:val="000000" w:themeColor="text1"/>
          <w:sz w:val="22"/>
          <w:szCs w:val="22"/>
        </w:rPr>
        <w:t>Social</w:t>
      </w:r>
      <w:proofErr w:type="spellEnd"/>
      <w:r w:rsidRPr="006B3587">
        <w:rPr>
          <w:color w:val="000000" w:themeColor="text1"/>
          <w:sz w:val="22"/>
          <w:szCs w:val="22"/>
        </w:rPr>
        <w:t xml:space="preserve"> </w:t>
      </w:r>
      <w:proofErr w:type="spellStart"/>
      <w:r w:rsidRPr="006B3587">
        <w:rPr>
          <w:color w:val="000000" w:themeColor="text1"/>
          <w:sz w:val="22"/>
          <w:szCs w:val="22"/>
        </w:rPr>
        <w:t>Indicators</w:t>
      </w:r>
      <w:proofErr w:type="spellEnd"/>
      <w:r w:rsidRPr="006B3587">
        <w:rPr>
          <w:color w:val="000000" w:themeColor="text1"/>
          <w:sz w:val="22"/>
          <w:szCs w:val="22"/>
        </w:rPr>
        <w:t xml:space="preserve"> </w:t>
      </w:r>
      <w:proofErr w:type="spellStart"/>
      <w:r w:rsidRPr="006B3587">
        <w:rPr>
          <w:color w:val="000000" w:themeColor="text1"/>
          <w:sz w:val="22"/>
          <w:szCs w:val="22"/>
        </w:rPr>
        <w:t>Research</w:t>
      </w:r>
      <w:proofErr w:type="spellEnd"/>
      <w:r w:rsidRPr="006B3587">
        <w:rPr>
          <w:color w:val="000000" w:themeColor="text1"/>
          <w:sz w:val="22"/>
          <w:szCs w:val="22"/>
        </w:rPr>
        <w:t>, 82, 233–264.</w:t>
      </w:r>
    </w:p>
    <w:p w14:paraId="4E76271E" w14:textId="77777777" w:rsidR="006B3587" w:rsidRPr="006B3587" w:rsidRDefault="006B3587" w:rsidP="006B3587">
      <w:pPr>
        <w:jc w:val="both"/>
        <w:rPr>
          <w:color w:val="000000" w:themeColor="text1"/>
          <w:sz w:val="22"/>
          <w:szCs w:val="22"/>
        </w:rPr>
      </w:pPr>
      <w:r w:rsidRPr="006B3587">
        <w:rPr>
          <w:color w:val="000000" w:themeColor="text1"/>
          <w:sz w:val="22"/>
          <w:szCs w:val="22"/>
        </w:rPr>
        <w:t>19.</w:t>
      </w:r>
      <w:r w:rsidRPr="006B3587">
        <w:rPr>
          <w:color w:val="000000" w:themeColor="text1"/>
          <w:sz w:val="22"/>
          <w:szCs w:val="22"/>
        </w:rPr>
        <w:tab/>
        <w:t>Karaküçük, S. (2014). Rekreasyon: boş zamanları değerlendirme. Suat Karaküçük.</w:t>
      </w:r>
    </w:p>
    <w:p w14:paraId="25C78670" w14:textId="77777777" w:rsidR="006B3587" w:rsidRPr="006B3587" w:rsidRDefault="006B3587" w:rsidP="006B3587">
      <w:pPr>
        <w:jc w:val="both"/>
        <w:rPr>
          <w:color w:val="000000" w:themeColor="text1"/>
          <w:sz w:val="22"/>
          <w:szCs w:val="22"/>
        </w:rPr>
      </w:pPr>
      <w:r w:rsidRPr="006B3587">
        <w:rPr>
          <w:color w:val="000000" w:themeColor="text1"/>
          <w:sz w:val="22"/>
          <w:szCs w:val="22"/>
        </w:rPr>
        <w:t>20.</w:t>
      </w:r>
      <w:r w:rsidRPr="006B3587">
        <w:rPr>
          <w:color w:val="000000" w:themeColor="text1"/>
          <w:sz w:val="22"/>
          <w:szCs w:val="22"/>
        </w:rPr>
        <w:tab/>
        <w:t xml:space="preserve">Karaküçük, S., &amp; Yetim, A. (1996). Rekreasyon etkinliklerinde liderlik ve fonksiyonları. Gazi </w:t>
      </w:r>
      <w:proofErr w:type="spellStart"/>
      <w:r w:rsidRPr="006B3587">
        <w:rPr>
          <w:color w:val="000000" w:themeColor="text1"/>
          <w:sz w:val="22"/>
          <w:szCs w:val="22"/>
        </w:rPr>
        <w:t>Journal</w:t>
      </w:r>
      <w:proofErr w:type="spellEnd"/>
      <w:r w:rsidRPr="006B3587">
        <w:rPr>
          <w:color w:val="000000" w:themeColor="text1"/>
          <w:sz w:val="22"/>
          <w:szCs w:val="22"/>
        </w:rPr>
        <w:t xml:space="preserve"> of </w:t>
      </w:r>
      <w:proofErr w:type="spellStart"/>
      <w:r w:rsidRPr="006B3587">
        <w:rPr>
          <w:color w:val="000000" w:themeColor="text1"/>
          <w:sz w:val="22"/>
          <w:szCs w:val="22"/>
        </w:rPr>
        <w:t>Physical</w:t>
      </w:r>
      <w:proofErr w:type="spellEnd"/>
      <w:r w:rsidRPr="006B3587">
        <w:rPr>
          <w:color w:val="000000" w:themeColor="text1"/>
          <w:sz w:val="22"/>
          <w:szCs w:val="22"/>
        </w:rPr>
        <w:t xml:space="preserve"> </w:t>
      </w:r>
      <w:proofErr w:type="spellStart"/>
      <w:r w:rsidRPr="006B3587">
        <w:rPr>
          <w:color w:val="000000" w:themeColor="text1"/>
          <w:sz w:val="22"/>
          <w:szCs w:val="22"/>
        </w:rPr>
        <w:t>Education</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Sport</w:t>
      </w:r>
      <w:proofErr w:type="spellEnd"/>
      <w:r w:rsidRPr="006B3587">
        <w:rPr>
          <w:color w:val="000000" w:themeColor="text1"/>
          <w:sz w:val="22"/>
          <w:szCs w:val="22"/>
        </w:rPr>
        <w:t xml:space="preserve"> </w:t>
      </w:r>
      <w:proofErr w:type="spellStart"/>
      <w:r w:rsidRPr="006B3587">
        <w:rPr>
          <w:color w:val="000000" w:themeColor="text1"/>
          <w:sz w:val="22"/>
          <w:szCs w:val="22"/>
        </w:rPr>
        <w:t>Sciences</w:t>
      </w:r>
      <w:proofErr w:type="spellEnd"/>
      <w:r w:rsidRPr="006B3587">
        <w:rPr>
          <w:color w:val="000000" w:themeColor="text1"/>
          <w:sz w:val="22"/>
          <w:szCs w:val="22"/>
        </w:rPr>
        <w:t>, 1(1), 64-76.</w:t>
      </w:r>
    </w:p>
    <w:p w14:paraId="727D36AC" w14:textId="77777777" w:rsidR="006B3587" w:rsidRPr="006B3587" w:rsidRDefault="006B3587" w:rsidP="006B3587">
      <w:pPr>
        <w:jc w:val="both"/>
        <w:rPr>
          <w:color w:val="000000" w:themeColor="text1"/>
          <w:sz w:val="22"/>
          <w:szCs w:val="22"/>
        </w:rPr>
      </w:pPr>
      <w:r w:rsidRPr="006B3587">
        <w:rPr>
          <w:color w:val="000000" w:themeColor="text1"/>
          <w:sz w:val="22"/>
          <w:szCs w:val="22"/>
        </w:rPr>
        <w:t>21.</w:t>
      </w:r>
      <w:r w:rsidRPr="006B3587">
        <w:rPr>
          <w:color w:val="000000" w:themeColor="text1"/>
          <w:sz w:val="22"/>
          <w:szCs w:val="22"/>
        </w:rPr>
        <w:tab/>
        <w:t xml:space="preserve">Kaya, B., Güdek, O., &amp; Uygur, S. M. (2023). </w:t>
      </w:r>
      <w:proofErr w:type="spellStart"/>
      <w:r w:rsidRPr="006B3587">
        <w:rPr>
          <w:color w:val="000000" w:themeColor="text1"/>
          <w:sz w:val="22"/>
          <w:szCs w:val="22"/>
        </w:rPr>
        <w:t>Oryantiring</w:t>
      </w:r>
      <w:proofErr w:type="spellEnd"/>
      <w:r w:rsidRPr="006B3587">
        <w:rPr>
          <w:color w:val="000000" w:themeColor="text1"/>
          <w:sz w:val="22"/>
          <w:szCs w:val="22"/>
        </w:rPr>
        <w:t xml:space="preserve"> ve çöp topla-koş (</w:t>
      </w:r>
      <w:proofErr w:type="spellStart"/>
      <w:r w:rsidRPr="006B3587">
        <w:rPr>
          <w:color w:val="000000" w:themeColor="text1"/>
          <w:sz w:val="22"/>
          <w:szCs w:val="22"/>
        </w:rPr>
        <w:t>ploggıng</w:t>
      </w:r>
      <w:proofErr w:type="spellEnd"/>
      <w:r w:rsidRPr="006B3587">
        <w:rPr>
          <w:color w:val="000000" w:themeColor="text1"/>
          <w:sz w:val="22"/>
          <w:szCs w:val="22"/>
        </w:rPr>
        <w:t>) eko rekreasyon faaliyetleri için dijital oyun modeli geliştirme. Turizm Akademik Dergisi, 10(1), 119-131.</w:t>
      </w:r>
    </w:p>
    <w:p w14:paraId="48A76955" w14:textId="77777777" w:rsidR="006B3587" w:rsidRPr="006B3587" w:rsidRDefault="006B3587" w:rsidP="006B3587">
      <w:pPr>
        <w:jc w:val="both"/>
        <w:rPr>
          <w:color w:val="000000" w:themeColor="text1"/>
          <w:sz w:val="22"/>
          <w:szCs w:val="22"/>
        </w:rPr>
      </w:pPr>
      <w:r w:rsidRPr="006B3587">
        <w:rPr>
          <w:color w:val="000000" w:themeColor="text1"/>
          <w:sz w:val="22"/>
          <w:szCs w:val="22"/>
        </w:rPr>
        <w:t>22.</w:t>
      </w:r>
      <w:r w:rsidRPr="006B3587">
        <w:rPr>
          <w:color w:val="000000" w:themeColor="text1"/>
          <w:sz w:val="22"/>
          <w:szCs w:val="22"/>
        </w:rPr>
        <w:tab/>
        <w:t xml:space="preserve">Kayan, F. (2024). Sosyal medyada pazarlama stratejileri ve </w:t>
      </w:r>
      <w:proofErr w:type="spellStart"/>
      <w:r w:rsidRPr="006B3587">
        <w:rPr>
          <w:color w:val="000000" w:themeColor="text1"/>
          <w:sz w:val="22"/>
          <w:szCs w:val="22"/>
        </w:rPr>
        <w:t>ınfluencer'ların</w:t>
      </w:r>
      <w:proofErr w:type="spellEnd"/>
      <w:r w:rsidRPr="006B3587">
        <w:rPr>
          <w:color w:val="000000" w:themeColor="text1"/>
          <w:sz w:val="22"/>
          <w:szCs w:val="22"/>
        </w:rPr>
        <w:t xml:space="preserve"> tüketici davranışlarına etkileri.</w:t>
      </w:r>
    </w:p>
    <w:p w14:paraId="5980BDAA" w14:textId="77777777" w:rsidR="006B3587" w:rsidRPr="006B3587" w:rsidRDefault="006B3587" w:rsidP="006B3587">
      <w:pPr>
        <w:jc w:val="both"/>
        <w:rPr>
          <w:color w:val="000000" w:themeColor="text1"/>
          <w:sz w:val="22"/>
          <w:szCs w:val="22"/>
        </w:rPr>
      </w:pPr>
      <w:r w:rsidRPr="006B3587">
        <w:rPr>
          <w:color w:val="000000" w:themeColor="text1"/>
          <w:sz w:val="22"/>
          <w:szCs w:val="22"/>
        </w:rPr>
        <w:t>23.</w:t>
      </w:r>
      <w:r w:rsidRPr="006B3587">
        <w:rPr>
          <w:color w:val="000000" w:themeColor="text1"/>
          <w:sz w:val="22"/>
          <w:szCs w:val="22"/>
        </w:rPr>
        <w:tab/>
        <w:t>Kocabay-</w:t>
      </w:r>
      <w:proofErr w:type="spellStart"/>
      <w:r w:rsidRPr="006B3587">
        <w:rPr>
          <w:color w:val="000000" w:themeColor="text1"/>
          <w:sz w:val="22"/>
          <w:szCs w:val="22"/>
        </w:rPr>
        <w:t>şener</w:t>
      </w:r>
      <w:proofErr w:type="spellEnd"/>
      <w:r w:rsidRPr="006B3587">
        <w:rPr>
          <w:color w:val="000000" w:themeColor="text1"/>
          <w:sz w:val="22"/>
          <w:szCs w:val="22"/>
        </w:rPr>
        <w:t xml:space="preserve">, N. (2021). Facebook Nasıl “Meta” </w:t>
      </w:r>
      <w:proofErr w:type="spellStart"/>
      <w:proofErr w:type="gramStart"/>
      <w:r w:rsidRPr="006B3587">
        <w:rPr>
          <w:color w:val="000000" w:themeColor="text1"/>
          <w:sz w:val="22"/>
          <w:szCs w:val="22"/>
        </w:rPr>
        <w:t>laştı</w:t>
      </w:r>
      <w:proofErr w:type="spellEnd"/>
      <w:r w:rsidRPr="006B3587">
        <w:rPr>
          <w:color w:val="000000" w:themeColor="text1"/>
          <w:sz w:val="22"/>
          <w:szCs w:val="22"/>
        </w:rPr>
        <w:t>?.</w:t>
      </w:r>
      <w:proofErr w:type="gramEnd"/>
      <w:r w:rsidRPr="006B3587">
        <w:rPr>
          <w:color w:val="000000" w:themeColor="text1"/>
          <w:sz w:val="22"/>
          <w:szCs w:val="22"/>
        </w:rPr>
        <w:t xml:space="preserve"> Yeni Medya, 2021(11), 174-179.</w:t>
      </w:r>
    </w:p>
    <w:p w14:paraId="3AF91027" w14:textId="77777777" w:rsidR="006B3587" w:rsidRPr="006B3587" w:rsidRDefault="006B3587" w:rsidP="006B3587">
      <w:pPr>
        <w:jc w:val="both"/>
        <w:rPr>
          <w:color w:val="000000" w:themeColor="text1"/>
          <w:sz w:val="22"/>
          <w:szCs w:val="22"/>
        </w:rPr>
      </w:pPr>
      <w:r w:rsidRPr="006B3587">
        <w:rPr>
          <w:color w:val="000000" w:themeColor="text1"/>
          <w:sz w:val="22"/>
          <w:szCs w:val="22"/>
        </w:rPr>
        <w:t>24.</w:t>
      </w:r>
      <w:r w:rsidRPr="006B3587">
        <w:rPr>
          <w:color w:val="000000" w:themeColor="text1"/>
          <w:sz w:val="22"/>
          <w:szCs w:val="22"/>
        </w:rPr>
        <w:tab/>
        <w:t xml:space="preserve">Kurtoğlu, R., &amp; Karaman, M. (2023). </w:t>
      </w:r>
      <w:proofErr w:type="spellStart"/>
      <w:proofErr w:type="gramStart"/>
      <w:r w:rsidRPr="006B3587">
        <w:rPr>
          <w:color w:val="000000" w:themeColor="text1"/>
          <w:sz w:val="22"/>
          <w:szCs w:val="22"/>
        </w:rPr>
        <w:t>metaverse’ün</w:t>
      </w:r>
      <w:proofErr w:type="spellEnd"/>
      <w:proofErr w:type="gramEnd"/>
      <w:r w:rsidRPr="006B3587">
        <w:rPr>
          <w:color w:val="000000" w:themeColor="text1"/>
          <w:sz w:val="22"/>
          <w:szCs w:val="22"/>
        </w:rPr>
        <w:t xml:space="preserve"> pazarlama ve tüketici davranışları üzerine etkileri. Pazarlamada Seçme Konular: Kavramlar ve Çalışmalar, 197.</w:t>
      </w:r>
    </w:p>
    <w:p w14:paraId="7FED897F" w14:textId="77777777" w:rsidR="006B3587" w:rsidRPr="006B3587" w:rsidRDefault="006B3587" w:rsidP="006B3587">
      <w:pPr>
        <w:jc w:val="both"/>
        <w:rPr>
          <w:color w:val="000000" w:themeColor="text1"/>
          <w:sz w:val="22"/>
          <w:szCs w:val="22"/>
        </w:rPr>
      </w:pPr>
      <w:r w:rsidRPr="006B3587">
        <w:rPr>
          <w:color w:val="000000" w:themeColor="text1"/>
          <w:sz w:val="22"/>
          <w:szCs w:val="22"/>
        </w:rPr>
        <w:t>25.</w:t>
      </w:r>
      <w:r w:rsidRPr="006B3587">
        <w:rPr>
          <w:color w:val="000000" w:themeColor="text1"/>
          <w:sz w:val="22"/>
          <w:szCs w:val="22"/>
        </w:rPr>
        <w:tab/>
      </w:r>
      <w:proofErr w:type="spellStart"/>
      <w:r w:rsidRPr="006B3587">
        <w:rPr>
          <w:color w:val="000000" w:themeColor="text1"/>
          <w:sz w:val="22"/>
          <w:szCs w:val="22"/>
        </w:rPr>
        <w:t>Klopfer</w:t>
      </w:r>
      <w:proofErr w:type="spellEnd"/>
      <w:r w:rsidRPr="006B3587">
        <w:rPr>
          <w:color w:val="000000" w:themeColor="text1"/>
          <w:sz w:val="22"/>
          <w:szCs w:val="22"/>
        </w:rPr>
        <w:t xml:space="preserve">, E. (2008). </w:t>
      </w:r>
      <w:proofErr w:type="spellStart"/>
      <w:r w:rsidRPr="006B3587">
        <w:rPr>
          <w:color w:val="000000" w:themeColor="text1"/>
          <w:sz w:val="22"/>
          <w:szCs w:val="22"/>
        </w:rPr>
        <w:t>Augmented</w:t>
      </w:r>
      <w:proofErr w:type="spellEnd"/>
      <w:r w:rsidRPr="006B3587">
        <w:rPr>
          <w:color w:val="000000" w:themeColor="text1"/>
          <w:sz w:val="22"/>
          <w:szCs w:val="22"/>
        </w:rPr>
        <w:t xml:space="preserve"> </w:t>
      </w:r>
      <w:proofErr w:type="spellStart"/>
      <w:r w:rsidRPr="006B3587">
        <w:rPr>
          <w:color w:val="000000" w:themeColor="text1"/>
          <w:sz w:val="22"/>
          <w:szCs w:val="22"/>
        </w:rPr>
        <w:t>learning</w:t>
      </w:r>
      <w:proofErr w:type="spellEnd"/>
      <w:r w:rsidRPr="006B3587">
        <w:rPr>
          <w:color w:val="000000" w:themeColor="text1"/>
          <w:sz w:val="22"/>
          <w:szCs w:val="22"/>
        </w:rPr>
        <w:t xml:space="preserve">: </w:t>
      </w:r>
      <w:proofErr w:type="spellStart"/>
      <w:r w:rsidRPr="006B3587">
        <w:rPr>
          <w:color w:val="000000" w:themeColor="text1"/>
          <w:sz w:val="22"/>
          <w:szCs w:val="22"/>
        </w:rPr>
        <w:t>Research</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design</w:t>
      </w:r>
      <w:proofErr w:type="spellEnd"/>
      <w:r w:rsidRPr="006B3587">
        <w:rPr>
          <w:color w:val="000000" w:themeColor="text1"/>
          <w:sz w:val="22"/>
          <w:szCs w:val="22"/>
        </w:rPr>
        <w:t xml:space="preserve"> of mobile </w:t>
      </w:r>
      <w:proofErr w:type="spellStart"/>
      <w:r w:rsidRPr="006B3587">
        <w:rPr>
          <w:color w:val="000000" w:themeColor="text1"/>
          <w:sz w:val="22"/>
          <w:szCs w:val="22"/>
        </w:rPr>
        <w:t>educational</w:t>
      </w:r>
      <w:proofErr w:type="spellEnd"/>
      <w:r w:rsidRPr="006B3587">
        <w:rPr>
          <w:color w:val="000000" w:themeColor="text1"/>
          <w:sz w:val="22"/>
          <w:szCs w:val="22"/>
        </w:rPr>
        <w:t xml:space="preserve"> </w:t>
      </w:r>
      <w:proofErr w:type="spellStart"/>
      <w:r w:rsidRPr="006B3587">
        <w:rPr>
          <w:color w:val="000000" w:themeColor="text1"/>
          <w:sz w:val="22"/>
          <w:szCs w:val="22"/>
        </w:rPr>
        <w:t>games</w:t>
      </w:r>
      <w:proofErr w:type="spellEnd"/>
      <w:r w:rsidRPr="006B3587">
        <w:rPr>
          <w:color w:val="000000" w:themeColor="text1"/>
          <w:sz w:val="22"/>
          <w:szCs w:val="22"/>
        </w:rPr>
        <w:t xml:space="preserve">. MIT </w:t>
      </w:r>
      <w:proofErr w:type="spellStart"/>
      <w:r w:rsidRPr="006B3587">
        <w:rPr>
          <w:color w:val="000000" w:themeColor="text1"/>
          <w:sz w:val="22"/>
          <w:szCs w:val="22"/>
        </w:rPr>
        <w:t>press</w:t>
      </w:r>
      <w:proofErr w:type="spellEnd"/>
      <w:r w:rsidRPr="006B3587">
        <w:rPr>
          <w:color w:val="000000" w:themeColor="text1"/>
          <w:sz w:val="22"/>
          <w:szCs w:val="22"/>
        </w:rPr>
        <w:t>.</w:t>
      </w:r>
    </w:p>
    <w:p w14:paraId="56C0CB77" w14:textId="77777777" w:rsidR="006B3587" w:rsidRPr="006B3587" w:rsidRDefault="006B3587" w:rsidP="006B3587">
      <w:pPr>
        <w:jc w:val="both"/>
        <w:rPr>
          <w:color w:val="000000" w:themeColor="text1"/>
          <w:sz w:val="22"/>
          <w:szCs w:val="22"/>
        </w:rPr>
      </w:pPr>
      <w:r w:rsidRPr="006B3587">
        <w:rPr>
          <w:color w:val="000000" w:themeColor="text1"/>
          <w:sz w:val="22"/>
          <w:szCs w:val="22"/>
        </w:rPr>
        <w:t>26.</w:t>
      </w:r>
      <w:r w:rsidRPr="006B3587">
        <w:rPr>
          <w:color w:val="000000" w:themeColor="text1"/>
          <w:sz w:val="22"/>
          <w:szCs w:val="22"/>
        </w:rPr>
        <w:tab/>
        <w:t xml:space="preserve">Koçak, D. (2023). Web 1,0’dan Web 3,0’a </w:t>
      </w:r>
      <w:proofErr w:type="spellStart"/>
      <w:r w:rsidRPr="006B3587">
        <w:rPr>
          <w:color w:val="000000" w:themeColor="text1"/>
          <w:sz w:val="22"/>
          <w:szCs w:val="22"/>
        </w:rPr>
        <w:t>Metaverse’ün</w:t>
      </w:r>
      <w:proofErr w:type="spellEnd"/>
      <w:r w:rsidRPr="006B3587">
        <w:rPr>
          <w:color w:val="000000" w:themeColor="text1"/>
          <w:sz w:val="22"/>
          <w:szCs w:val="22"/>
        </w:rPr>
        <w:t xml:space="preserve"> Gelişimi ve Sunduğu Fırsatlar. Yeni Medya Elektronik Dergi, 7(2), 97-113.</w:t>
      </w:r>
    </w:p>
    <w:p w14:paraId="3D4A7783" w14:textId="77777777" w:rsidR="006B3587" w:rsidRPr="006B3587" w:rsidRDefault="006B3587" w:rsidP="006B3587">
      <w:pPr>
        <w:jc w:val="both"/>
        <w:rPr>
          <w:color w:val="000000" w:themeColor="text1"/>
          <w:sz w:val="22"/>
          <w:szCs w:val="22"/>
        </w:rPr>
      </w:pPr>
      <w:r w:rsidRPr="006B3587">
        <w:rPr>
          <w:color w:val="000000" w:themeColor="text1"/>
          <w:sz w:val="22"/>
          <w:szCs w:val="22"/>
        </w:rPr>
        <w:t>27.</w:t>
      </w:r>
      <w:r w:rsidRPr="006B3587">
        <w:rPr>
          <w:color w:val="000000" w:themeColor="text1"/>
          <w:sz w:val="22"/>
          <w:szCs w:val="22"/>
        </w:rPr>
        <w:tab/>
        <w:t xml:space="preserve">Kürkçü, D. D., &amp; Altınok, B. (2024). Uzman Görüşleri bağlamında </w:t>
      </w:r>
      <w:proofErr w:type="spellStart"/>
      <w:r w:rsidRPr="006B3587">
        <w:rPr>
          <w:color w:val="000000" w:themeColor="text1"/>
          <w:sz w:val="22"/>
          <w:szCs w:val="22"/>
        </w:rPr>
        <w:t>metaverse</w:t>
      </w:r>
      <w:proofErr w:type="spellEnd"/>
      <w:r w:rsidRPr="006B3587">
        <w:rPr>
          <w:color w:val="000000" w:themeColor="text1"/>
          <w:sz w:val="22"/>
          <w:szCs w:val="22"/>
        </w:rPr>
        <w:t xml:space="preserve"> ve gazeteciliğin geleceği. Türkiye İletişim Araştırmaları Dergisi, (Cumhuriyetin 100. Yılında Geleceğin İletişimi Özel Sayısı), 55-80.</w:t>
      </w:r>
    </w:p>
    <w:p w14:paraId="6CD7A9EA" w14:textId="77777777" w:rsidR="006B3587" w:rsidRPr="006B3587" w:rsidRDefault="006B3587" w:rsidP="006B3587">
      <w:pPr>
        <w:jc w:val="both"/>
        <w:rPr>
          <w:color w:val="000000" w:themeColor="text1"/>
          <w:sz w:val="22"/>
          <w:szCs w:val="22"/>
        </w:rPr>
      </w:pPr>
      <w:r w:rsidRPr="006B3587">
        <w:rPr>
          <w:color w:val="000000" w:themeColor="text1"/>
          <w:sz w:val="22"/>
          <w:szCs w:val="22"/>
        </w:rPr>
        <w:t>28.</w:t>
      </w:r>
      <w:r w:rsidRPr="006B3587">
        <w:rPr>
          <w:color w:val="000000" w:themeColor="text1"/>
          <w:sz w:val="22"/>
          <w:szCs w:val="22"/>
        </w:rPr>
        <w:tab/>
        <w:t xml:space="preserve">Lee, L. H., </w:t>
      </w:r>
      <w:proofErr w:type="spellStart"/>
      <w:r w:rsidRPr="006B3587">
        <w:rPr>
          <w:color w:val="000000" w:themeColor="text1"/>
          <w:sz w:val="22"/>
          <w:szCs w:val="22"/>
        </w:rPr>
        <w:t>Braud</w:t>
      </w:r>
      <w:proofErr w:type="spellEnd"/>
      <w:r w:rsidRPr="006B3587">
        <w:rPr>
          <w:color w:val="000000" w:themeColor="text1"/>
          <w:sz w:val="22"/>
          <w:szCs w:val="22"/>
        </w:rPr>
        <w:t xml:space="preserve">, T., Zhou, P. Y., Wang, L., Xu, D., Lin, Z., . . . </w:t>
      </w:r>
      <w:proofErr w:type="spellStart"/>
      <w:r w:rsidRPr="006B3587">
        <w:rPr>
          <w:color w:val="000000" w:themeColor="text1"/>
          <w:sz w:val="22"/>
          <w:szCs w:val="22"/>
        </w:rPr>
        <w:t>Hui</w:t>
      </w:r>
      <w:proofErr w:type="spellEnd"/>
      <w:r w:rsidRPr="006B3587">
        <w:rPr>
          <w:color w:val="000000" w:themeColor="text1"/>
          <w:sz w:val="22"/>
          <w:szCs w:val="22"/>
        </w:rPr>
        <w:t xml:space="preserve">, P. (2024). </w:t>
      </w:r>
      <w:proofErr w:type="spellStart"/>
      <w:r w:rsidRPr="006B3587">
        <w:rPr>
          <w:color w:val="000000" w:themeColor="text1"/>
          <w:sz w:val="22"/>
          <w:szCs w:val="22"/>
        </w:rPr>
        <w:t>All</w:t>
      </w:r>
      <w:proofErr w:type="spellEnd"/>
      <w:r w:rsidRPr="006B3587">
        <w:rPr>
          <w:color w:val="000000" w:themeColor="text1"/>
          <w:sz w:val="22"/>
          <w:szCs w:val="22"/>
        </w:rPr>
        <w:t xml:space="preserve"> </w:t>
      </w:r>
      <w:proofErr w:type="spellStart"/>
      <w:r w:rsidRPr="006B3587">
        <w:rPr>
          <w:color w:val="000000" w:themeColor="text1"/>
          <w:sz w:val="22"/>
          <w:szCs w:val="22"/>
        </w:rPr>
        <w:t>one</w:t>
      </w:r>
      <w:proofErr w:type="spellEnd"/>
      <w:r w:rsidRPr="006B3587">
        <w:rPr>
          <w:color w:val="000000" w:themeColor="text1"/>
          <w:sz w:val="22"/>
          <w:szCs w:val="22"/>
        </w:rPr>
        <w:t xml:space="preserve"> </w:t>
      </w:r>
      <w:proofErr w:type="spellStart"/>
      <w:r w:rsidRPr="006B3587">
        <w:rPr>
          <w:color w:val="000000" w:themeColor="text1"/>
          <w:sz w:val="22"/>
          <w:szCs w:val="22"/>
        </w:rPr>
        <w:t>needs</w:t>
      </w:r>
      <w:proofErr w:type="spellEnd"/>
      <w:r w:rsidRPr="006B3587">
        <w:rPr>
          <w:color w:val="000000" w:themeColor="text1"/>
          <w:sz w:val="22"/>
          <w:szCs w:val="22"/>
        </w:rPr>
        <w:t xml:space="preserve"> </w:t>
      </w:r>
      <w:proofErr w:type="spellStart"/>
      <w:r w:rsidRPr="006B3587">
        <w:rPr>
          <w:color w:val="000000" w:themeColor="text1"/>
          <w:sz w:val="22"/>
          <w:szCs w:val="22"/>
        </w:rPr>
        <w:t>to</w:t>
      </w:r>
      <w:proofErr w:type="spellEnd"/>
      <w:r w:rsidRPr="006B3587">
        <w:rPr>
          <w:color w:val="000000" w:themeColor="text1"/>
          <w:sz w:val="22"/>
          <w:szCs w:val="22"/>
        </w:rPr>
        <w:t xml:space="preserve"> </w:t>
      </w:r>
      <w:proofErr w:type="spellStart"/>
      <w:r w:rsidRPr="006B3587">
        <w:rPr>
          <w:color w:val="000000" w:themeColor="text1"/>
          <w:sz w:val="22"/>
          <w:szCs w:val="22"/>
        </w:rPr>
        <w:t>know</w:t>
      </w:r>
      <w:proofErr w:type="spellEnd"/>
      <w:r w:rsidRPr="006B3587">
        <w:rPr>
          <w:color w:val="000000" w:themeColor="text1"/>
          <w:sz w:val="22"/>
          <w:szCs w:val="22"/>
        </w:rPr>
        <w:t xml:space="preserve"> </w:t>
      </w:r>
      <w:proofErr w:type="spellStart"/>
      <w:r w:rsidRPr="006B3587">
        <w:rPr>
          <w:color w:val="000000" w:themeColor="text1"/>
          <w:sz w:val="22"/>
          <w:szCs w:val="22"/>
        </w:rPr>
        <w:t>about</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A </w:t>
      </w:r>
      <w:proofErr w:type="spellStart"/>
      <w:r w:rsidRPr="006B3587">
        <w:rPr>
          <w:color w:val="000000" w:themeColor="text1"/>
          <w:sz w:val="22"/>
          <w:szCs w:val="22"/>
        </w:rPr>
        <w:t>complete</w:t>
      </w:r>
      <w:proofErr w:type="spellEnd"/>
      <w:r w:rsidRPr="006B3587">
        <w:rPr>
          <w:color w:val="000000" w:themeColor="text1"/>
          <w:sz w:val="22"/>
          <w:szCs w:val="22"/>
        </w:rPr>
        <w:t xml:space="preserve"> </w:t>
      </w:r>
      <w:proofErr w:type="spellStart"/>
      <w:r w:rsidRPr="006B3587">
        <w:rPr>
          <w:color w:val="000000" w:themeColor="text1"/>
          <w:sz w:val="22"/>
          <w:szCs w:val="22"/>
        </w:rPr>
        <w:t>survey</w:t>
      </w:r>
      <w:proofErr w:type="spellEnd"/>
      <w:r w:rsidRPr="006B3587">
        <w:rPr>
          <w:color w:val="000000" w:themeColor="text1"/>
          <w:sz w:val="22"/>
          <w:szCs w:val="22"/>
        </w:rPr>
        <w:t xml:space="preserve"> on </w:t>
      </w:r>
      <w:proofErr w:type="spellStart"/>
      <w:r w:rsidRPr="006B3587">
        <w:rPr>
          <w:color w:val="000000" w:themeColor="text1"/>
          <w:sz w:val="22"/>
          <w:szCs w:val="22"/>
        </w:rPr>
        <w:t>technological</w:t>
      </w:r>
      <w:proofErr w:type="spellEnd"/>
      <w:r w:rsidRPr="006B3587">
        <w:rPr>
          <w:color w:val="000000" w:themeColor="text1"/>
          <w:sz w:val="22"/>
          <w:szCs w:val="22"/>
        </w:rPr>
        <w:t xml:space="preserve"> </w:t>
      </w:r>
      <w:proofErr w:type="spellStart"/>
      <w:r w:rsidRPr="006B3587">
        <w:rPr>
          <w:color w:val="000000" w:themeColor="text1"/>
          <w:sz w:val="22"/>
          <w:szCs w:val="22"/>
        </w:rPr>
        <w:t>singularity</w:t>
      </w:r>
      <w:proofErr w:type="spellEnd"/>
      <w:r w:rsidRPr="006B3587">
        <w:rPr>
          <w:color w:val="000000" w:themeColor="text1"/>
          <w:sz w:val="22"/>
          <w:szCs w:val="22"/>
        </w:rPr>
        <w:t xml:space="preserve">, </w:t>
      </w:r>
      <w:proofErr w:type="spellStart"/>
      <w:r w:rsidRPr="006B3587">
        <w:rPr>
          <w:color w:val="000000" w:themeColor="text1"/>
          <w:sz w:val="22"/>
          <w:szCs w:val="22"/>
        </w:rPr>
        <w:t>virtual</w:t>
      </w:r>
      <w:proofErr w:type="spellEnd"/>
      <w:r w:rsidRPr="006B3587">
        <w:rPr>
          <w:color w:val="000000" w:themeColor="text1"/>
          <w:sz w:val="22"/>
          <w:szCs w:val="22"/>
        </w:rPr>
        <w:t xml:space="preserve"> </w:t>
      </w:r>
      <w:proofErr w:type="spellStart"/>
      <w:r w:rsidRPr="006B3587">
        <w:rPr>
          <w:color w:val="000000" w:themeColor="text1"/>
          <w:sz w:val="22"/>
          <w:szCs w:val="22"/>
        </w:rPr>
        <w:t>ecosystem</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research</w:t>
      </w:r>
      <w:proofErr w:type="spellEnd"/>
      <w:r w:rsidRPr="006B3587">
        <w:rPr>
          <w:color w:val="000000" w:themeColor="text1"/>
          <w:sz w:val="22"/>
          <w:szCs w:val="22"/>
        </w:rPr>
        <w:t xml:space="preserve"> </w:t>
      </w:r>
      <w:proofErr w:type="spellStart"/>
      <w:r w:rsidRPr="006B3587">
        <w:rPr>
          <w:color w:val="000000" w:themeColor="text1"/>
          <w:sz w:val="22"/>
          <w:szCs w:val="22"/>
        </w:rPr>
        <w:t>agenda</w:t>
      </w:r>
      <w:proofErr w:type="spellEnd"/>
      <w:r w:rsidRPr="006B3587">
        <w:rPr>
          <w:color w:val="000000" w:themeColor="text1"/>
          <w:sz w:val="22"/>
          <w:szCs w:val="22"/>
        </w:rPr>
        <w:t xml:space="preserve">. </w:t>
      </w:r>
      <w:proofErr w:type="spellStart"/>
      <w:r w:rsidRPr="006B3587">
        <w:rPr>
          <w:color w:val="000000" w:themeColor="text1"/>
          <w:sz w:val="22"/>
          <w:szCs w:val="22"/>
        </w:rPr>
        <w:t>Foundations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trends</w:t>
      </w:r>
      <w:proofErr w:type="spellEnd"/>
      <w:r w:rsidRPr="006B3587">
        <w:rPr>
          <w:color w:val="000000" w:themeColor="text1"/>
          <w:sz w:val="22"/>
          <w:szCs w:val="22"/>
        </w:rPr>
        <w:t xml:space="preserve">® in </w:t>
      </w:r>
      <w:proofErr w:type="spellStart"/>
      <w:r w:rsidRPr="006B3587">
        <w:rPr>
          <w:color w:val="000000" w:themeColor="text1"/>
          <w:sz w:val="22"/>
          <w:szCs w:val="22"/>
        </w:rPr>
        <w:t>human-computer</w:t>
      </w:r>
      <w:proofErr w:type="spellEnd"/>
      <w:r w:rsidRPr="006B3587">
        <w:rPr>
          <w:color w:val="000000" w:themeColor="text1"/>
          <w:sz w:val="22"/>
          <w:szCs w:val="22"/>
        </w:rPr>
        <w:t xml:space="preserve"> </w:t>
      </w:r>
      <w:proofErr w:type="spellStart"/>
      <w:r w:rsidRPr="006B3587">
        <w:rPr>
          <w:color w:val="000000" w:themeColor="text1"/>
          <w:sz w:val="22"/>
          <w:szCs w:val="22"/>
        </w:rPr>
        <w:t>interaction</w:t>
      </w:r>
      <w:proofErr w:type="spellEnd"/>
      <w:r w:rsidRPr="006B3587">
        <w:rPr>
          <w:color w:val="000000" w:themeColor="text1"/>
          <w:sz w:val="22"/>
          <w:szCs w:val="22"/>
        </w:rPr>
        <w:t>, 18(2-3), 100-337. http://dx.doi.org/10.1561/1100000095 adresinden alındı</w:t>
      </w:r>
    </w:p>
    <w:p w14:paraId="289E613B" w14:textId="77777777" w:rsidR="006B3587" w:rsidRPr="006B3587" w:rsidRDefault="006B3587" w:rsidP="006B3587">
      <w:pPr>
        <w:jc w:val="both"/>
        <w:rPr>
          <w:color w:val="000000" w:themeColor="text1"/>
          <w:sz w:val="22"/>
          <w:szCs w:val="22"/>
        </w:rPr>
      </w:pPr>
      <w:r w:rsidRPr="006B3587">
        <w:rPr>
          <w:color w:val="000000" w:themeColor="text1"/>
          <w:sz w:val="22"/>
          <w:szCs w:val="22"/>
        </w:rPr>
        <w:lastRenderedPageBreak/>
        <w:t>29.</w:t>
      </w:r>
      <w:r w:rsidRPr="006B3587">
        <w:rPr>
          <w:color w:val="000000" w:themeColor="text1"/>
          <w:sz w:val="22"/>
          <w:szCs w:val="22"/>
        </w:rPr>
        <w:tab/>
      </w:r>
      <w:proofErr w:type="spellStart"/>
      <w:r w:rsidRPr="006B3587">
        <w:rPr>
          <w:color w:val="000000" w:themeColor="text1"/>
          <w:sz w:val="22"/>
          <w:szCs w:val="22"/>
        </w:rPr>
        <w:t>Leenes</w:t>
      </w:r>
      <w:proofErr w:type="spellEnd"/>
      <w:r w:rsidRPr="006B3587">
        <w:rPr>
          <w:color w:val="000000" w:themeColor="text1"/>
          <w:sz w:val="22"/>
          <w:szCs w:val="22"/>
        </w:rPr>
        <w:t xml:space="preserve">, R. (2007). </w:t>
      </w:r>
      <w:proofErr w:type="spellStart"/>
      <w:r w:rsidRPr="006B3587">
        <w:rPr>
          <w:color w:val="000000" w:themeColor="text1"/>
          <w:sz w:val="22"/>
          <w:szCs w:val="22"/>
        </w:rPr>
        <w:t>Privacy</w:t>
      </w:r>
      <w:proofErr w:type="spellEnd"/>
      <w:r w:rsidRPr="006B3587">
        <w:rPr>
          <w:color w:val="000000" w:themeColor="text1"/>
          <w:sz w:val="22"/>
          <w:szCs w:val="22"/>
        </w:rPr>
        <w:t xml:space="preserve"> in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Regulating</w:t>
      </w:r>
      <w:proofErr w:type="spellEnd"/>
      <w:r w:rsidRPr="006B3587">
        <w:rPr>
          <w:color w:val="000000" w:themeColor="text1"/>
          <w:sz w:val="22"/>
          <w:szCs w:val="22"/>
        </w:rPr>
        <w:t xml:space="preserve"> a </w:t>
      </w:r>
      <w:proofErr w:type="spellStart"/>
      <w:r w:rsidRPr="006B3587">
        <w:rPr>
          <w:color w:val="000000" w:themeColor="text1"/>
          <w:sz w:val="22"/>
          <w:szCs w:val="22"/>
        </w:rPr>
        <w:t>complex</w:t>
      </w:r>
      <w:proofErr w:type="spellEnd"/>
      <w:r w:rsidRPr="006B3587">
        <w:rPr>
          <w:color w:val="000000" w:themeColor="text1"/>
          <w:sz w:val="22"/>
          <w:szCs w:val="22"/>
        </w:rPr>
        <w:t xml:space="preserve"> </w:t>
      </w:r>
      <w:proofErr w:type="spellStart"/>
      <w:r w:rsidRPr="006B3587">
        <w:rPr>
          <w:color w:val="000000" w:themeColor="text1"/>
          <w:sz w:val="22"/>
          <w:szCs w:val="22"/>
        </w:rPr>
        <w:t>social</w:t>
      </w:r>
      <w:proofErr w:type="spellEnd"/>
      <w:r w:rsidRPr="006B3587">
        <w:rPr>
          <w:color w:val="000000" w:themeColor="text1"/>
          <w:sz w:val="22"/>
          <w:szCs w:val="22"/>
        </w:rPr>
        <w:t xml:space="preserve"> </w:t>
      </w:r>
      <w:proofErr w:type="spellStart"/>
      <w:r w:rsidRPr="006B3587">
        <w:rPr>
          <w:color w:val="000000" w:themeColor="text1"/>
          <w:sz w:val="22"/>
          <w:szCs w:val="22"/>
        </w:rPr>
        <w:t>construct</w:t>
      </w:r>
      <w:proofErr w:type="spellEnd"/>
      <w:r w:rsidRPr="006B3587">
        <w:rPr>
          <w:color w:val="000000" w:themeColor="text1"/>
          <w:sz w:val="22"/>
          <w:szCs w:val="22"/>
        </w:rPr>
        <w:t xml:space="preserve"> in a </w:t>
      </w:r>
      <w:proofErr w:type="spellStart"/>
      <w:r w:rsidRPr="006B3587">
        <w:rPr>
          <w:color w:val="000000" w:themeColor="text1"/>
          <w:sz w:val="22"/>
          <w:szCs w:val="22"/>
        </w:rPr>
        <w:t>virtual</w:t>
      </w:r>
      <w:proofErr w:type="spellEnd"/>
      <w:r w:rsidRPr="006B3587">
        <w:rPr>
          <w:color w:val="000000" w:themeColor="text1"/>
          <w:sz w:val="22"/>
          <w:szCs w:val="22"/>
        </w:rPr>
        <w:t xml:space="preserve"> </w:t>
      </w:r>
      <w:proofErr w:type="spellStart"/>
      <w:r w:rsidRPr="006B3587">
        <w:rPr>
          <w:color w:val="000000" w:themeColor="text1"/>
          <w:sz w:val="22"/>
          <w:szCs w:val="22"/>
        </w:rPr>
        <w:t>world</w:t>
      </w:r>
      <w:proofErr w:type="spellEnd"/>
      <w:r w:rsidRPr="006B3587">
        <w:rPr>
          <w:color w:val="000000" w:themeColor="text1"/>
          <w:sz w:val="22"/>
          <w:szCs w:val="22"/>
        </w:rPr>
        <w:t xml:space="preserve">. </w:t>
      </w:r>
      <w:proofErr w:type="spellStart"/>
      <w:r w:rsidRPr="006B3587">
        <w:rPr>
          <w:color w:val="000000" w:themeColor="text1"/>
          <w:sz w:val="22"/>
          <w:szCs w:val="22"/>
        </w:rPr>
        <w:t>In</w:t>
      </w:r>
      <w:proofErr w:type="spellEnd"/>
      <w:r w:rsidRPr="006B3587">
        <w:rPr>
          <w:color w:val="000000" w:themeColor="text1"/>
          <w:sz w:val="22"/>
          <w:szCs w:val="22"/>
        </w:rPr>
        <w:t xml:space="preserve"> IFIP </w:t>
      </w:r>
      <w:proofErr w:type="spellStart"/>
      <w:r w:rsidRPr="006B3587">
        <w:rPr>
          <w:color w:val="000000" w:themeColor="text1"/>
          <w:sz w:val="22"/>
          <w:szCs w:val="22"/>
        </w:rPr>
        <w:t>international</w:t>
      </w:r>
      <w:proofErr w:type="spellEnd"/>
      <w:r w:rsidRPr="006B3587">
        <w:rPr>
          <w:color w:val="000000" w:themeColor="text1"/>
          <w:sz w:val="22"/>
          <w:szCs w:val="22"/>
        </w:rPr>
        <w:t xml:space="preserve"> </w:t>
      </w:r>
      <w:proofErr w:type="spellStart"/>
      <w:r w:rsidRPr="006B3587">
        <w:rPr>
          <w:color w:val="000000" w:themeColor="text1"/>
          <w:sz w:val="22"/>
          <w:szCs w:val="22"/>
        </w:rPr>
        <w:t>Summer</w:t>
      </w:r>
      <w:proofErr w:type="spellEnd"/>
      <w:r w:rsidRPr="006B3587">
        <w:rPr>
          <w:color w:val="000000" w:themeColor="text1"/>
          <w:sz w:val="22"/>
          <w:szCs w:val="22"/>
        </w:rPr>
        <w:t xml:space="preserve"> School on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future</w:t>
      </w:r>
      <w:proofErr w:type="spellEnd"/>
      <w:r w:rsidRPr="006B3587">
        <w:rPr>
          <w:color w:val="000000" w:themeColor="text1"/>
          <w:sz w:val="22"/>
          <w:szCs w:val="22"/>
        </w:rPr>
        <w:t xml:space="preserve"> of </w:t>
      </w:r>
      <w:proofErr w:type="spellStart"/>
      <w:r w:rsidRPr="006B3587">
        <w:rPr>
          <w:color w:val="000000" w:themeColor="text1"/>
          <w:sz w:val="22"/>
          <w:szCs w:val="22"/>
        </w:rPr>
        <w:t>identity</w:t>
      </w:r>
      <w:proofErr w:type="spellEnd"/>
      <w:r w:rsidRPr="006B3587">
        <w:rPr>
          <w:color w:val="000000" w:themeColor="text1"/>
          <w:sz w:val="22"/>
          <w:szCs w:val="22"/>
        </w:rPr>
        <w:t xml:space="preserve"> in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information</w:t>
      </w:r>
      <w:proofErr w:type="spellEnd"/>
      <w:r w:rsidRPr="006B3587">
        <w:rPr>
          <w:color w:val="000000" w:themeColor="text1"/>
          <w:sz w:val="22"/>
          <w:szCs w:val="22"/>
        </w:rPr>
        <w:t xml:space="preserve"> </w:t>
      </w:r>
      <w:proofErr w:type="spellStart"/>
      <w:r w:rsidRPr="006B3587">
        <w:rPr>
          <w:color w:val="000000" w:themeColor="text1"/>
          <w:sz w:val="22"/>
          <w:szCs w:val="22"/>
        </w:rPr>
        <w:t>society</w:t>
      </w:r>
      <w:proofErr w:type="spellEnd"/>
      <w:r w:rsidRPr="006B3587">
        <w:rPr>
          <w:color w:val="000000" w:themeColor="text1"/>
          <w:sz w:val="22"/>
          <w:szCs w:val="22"/>
        </w:rPr>
        <w:t xml:space="preserve"> (s. 95-112). </w:t>
      </w:r>
      <w:proofErr w:type="gramStart"/>
      <w:r w:rsidRPr="006B3587">
        <w:rPr>
          <w:color w:val="000000" w:themeColor="text1"/>
          <w:sz w:val="22"/>
          <w:szCs w:val="22"/>
        </w:rPr>
        <w:t>içinde</w:t>
      </w:r>
      <w:proofErr w:type="gramEnd"/>
      <w:r w:rsidRPr="006B3587">
        <w:rPr>
          <w:color w:val="000000" w:themeColor="text1"/>
          <w:sz w:val="22"/>
          <w:szCs w:val="22"/>
        </w:rPr>
        <w:t xml:space="preserve"> Boston: </w:t>
      </w:r>
      <w:proofErr w:type="spellStart"/>
      <w:r w:rsidRPr="006B3587">
        <w:rPr>
          <w:color w:val="000000" w:themeColor="text1"/>
          <w:sz w:val="22"/>
          <w:szCs w:val="22"/>
        </w:rPr>
        <w:t>Springer</w:t>
      </w:r>
      <w:proofErr w:type="spellEnd"/>
      <w:r w:rsidRPr="006B3587">
        <w:rPr>
          <w:color w:val="000000" w:themeColor="text1"/>
          <w:sz w:val="22"/>
          <w:szCs w:val="22"/>
        </w:rPr>
        <w:t xml:space="preserve"> .</w:t>
      </w:r>
    </w:p>
    <w:p w14:paraId="5F04EB93" w14:textId="77777777" w:rsidR="006B3587" w:rsidRPr="006B3587" w:rsidRDefault="006B3587" w:rsidP="006B3587">
      <w:pPr>
        <w:jc w:val="both"/>
        <w:rPr>
          <w:color w:val="000000" w:themeColor="text1"/>
          <w:sz w:val="22"/>
          <w:szCs w:val="22"/>
        </w:rPr>
      </w:pPr>
      <w:r w:rsidRPr="006B3587">
        <w:rPr>
          <w:color w:val="000000" w:themeColor="text1"/>
          <w:sz w:val="22"/>
          <w:szCs w:val="22"/>
        </w:rPr>
        <w:t>30.</w:t>
      </w:r>
      <w:r w:rsidRPr="006B3587">
        <w:rPr>
          <w:color w:val="000000" w:themeColor="text1"/>
          <w:sz w:val="22"/>
          <w:szCs w:val="22"/>
        </w:rPr>
        <w:tab/>
      </w:r>
      <w:proofErr w:type="spellStart"/>
      <w:r w:rsidRPr="006B3587">
        <w:rPr>
          <w:color w:val="000000" w:themeColor="text1"/>
          <w:sz w:val="22"/>
          <w:szCs w:val="22"/>
        </w:rPr>
        <w:t>Lim</w:t>
      </w:r>
      <w:proofErr w:type="spellEnd"/>
      <w:r w:rsidRPr="006B3587">
        <w:rPr>
          <w:color w:val="000000" w:themeColor="text1"/>
          <w:sz w:val="22"/>
          <w:szCs w:val="22"/>
        </w:rPr>
        <w:t xml:space="preserve">, W. Y., </w:t>
      </w:r>
      <w:proofErr w:type="spellStart"/>
      <w:r w:rsidRPr="006B3587">
        <w:rPr>
          <w:color w:val="000000" w:themeColor="text1"/>
          <w:sz w:val="22"/>
          <w:szCs w:val="22"/>
        </w:rPr>
        <w:t>Xiong</w:t>
      </w:r>
      <w:proofErr w:type="spellEnd"/>
      <w:r w:rsidRPr="006B3587">
        <w:rPr>
          <w:color w:val="000000" w:themeColor="text1"/>
          <w:sz w:val="22"/>
          <w:szCs w:val="22"/>
        </w:rPr>
        <w:t xml:space="preserve">, Z., </w:t>
      </w:r>
      <w:proofErr w:type="spellStart"/>
      <w:r w:rsidRPr="006B3587">
        <w:rPr>
          <w:color w:val="000000" w:themeColor="text1"/>
          <w:sz w:val="22"/>
          <w:szCs w:val="22"/>
        </w:rPr>
        <w:t>Niyato</w:t>
      </w:r>
      <w:proofErr w:type="spellEnd"/>
      <w:r w:rsidRPr="006B3587">
        <w:rPr>
          <w:color w:val="000000" w:themeColor="text1"/>
          <w:sz w:val="22"/>
          <w:szCs w:val="22"/>
        </w:rPr>
        <w:t xml:space="preserve">, D., </w:t>
      </w:r>
      <w:proofErr w:type="spellStart"/>
      <w:r w:rsidRPr="006B3587">
        <w:rPr>
          <w:color w:val="000000" w:themeColor="text1"/>
          <w:sz w:val="22"/>
          <w:szCs w:val="22"/>
        </w:rPr>
        <w:t>Cao</w:t>
      </w:r>
      <w:proofErr w:type="spellEnd"/>
      <w:r w:rsidRPr="006B3587">
        <w:rPr>
          <w:color w:val="000000" w:themeColor="text1"/>
          <w:sz w:val="22"/>
          <w:szCs w:val="22"/>
        </w:rPr>
        <w:t xml:space="preserve">, X., </w:t>
      </w:r>
      <w:proofErr w:type="spellStart"/>
      <w:r w:rsidRPr="006B3587">
        <w:rPr>
          <w:color w:val="000000" w:themeColor="text1"/>
          <w:sz w:val="22"/>
          <w:szCs w:val="22"/>
        </w:rPr>
        <w:t>Miao</w:t>
      </w:r>
      <w:proofErr w:type="spellEnd"/>
      <w:r w:rsidRPr="006B3587">
        <w:rPr>
          <w:color w:val="000000" w:themeColor="text1"/>
          <w:sz w:val="22"/>
          <w:szCs w:val="22"/>
        </w:rPr>
        <w:t xml:space="preserve">, C., Sun, S., &amp; Yang, Q. (2022). </w:t>
      </w:r>
      <w:proofErr w:type="spellStart"/>
      <w:r w:rsidRPr="006B3587">
        <w:rPr>
          <w:color w:val="000000" w:themeColor="text1"/>
          <w:sz w:val="22"/>
          <w:szCs w:val="22"/>
        </w:rPr>
        <w:t>Realizing</w:t>
      </w:r>
      <w:proofErr w:type="spellEnd"/>
      <w:r w:rsidRPr="006B3587">
        <w:rPr>
          <w:color w:val="000000" w:themeColor="text1"/>
          <w:sz w:val="22"/>
          <w:szCs w:val="22"/>
        </w:rPr>
        <w:t xml:space="preserve">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with</w:t>
      </w:r>
      <w:proofErr w:type="spellEnd"/>
      <w:r w:rsidRPr="006B3587">
        <w:rPr>
          <w:color w:val="000000" w:themeColor="text1"/>
          <w:sz w:val="22"/>
          <w:szCs w:val="22"/>
        </w:rPr>
        <w:t xml:space="preserve"> </w:t>
      </w:r>
      <w:proofErr w:type="spellStart"/>
      <w:r w:rsidRPr="006B3587">
        <w:rPr>
          <w:color w:val="000000" w:themeColor="text1"/>
          <w:sz w:val="22"/>
          <w:szCs w:val="22"/>
        </w:rPr>
        <w:t>edge</w:t>
      </w:r>
      <w:proofErr w:type="spellEnd"/>
      <w:r w:rsidRPr="006B3587">
        <w:rPr>
          <w:color w:val="000000" w:themeColor="text1"/>
          <w:sz w:val="22"/>
          <w:szCs w:val="22"/>
        </w:rPr>
        <w:t xml:space="preserve"> </w:t>
      </w:r>
      <w:proofErr w:type="spellStart"/>
      <w:r w:rsidRPr="006B3587">
        <w:rPr>
          <w:color w:val="000000" w:themeColor="text1"/>
          <w:sz w:val="22"/>
          <w:szCs w:val="22"/>
        </w:rPr>
        <w:t>intelligence</w:t>
      </w:r>
      <w:proofErr w:type="spellEnd"/>
      <w:r w:rsidRPr="006B3587">
        <w:rPr>
          <w:color w:val="000000" w:themeColor="text1"/>
          <w:sz w:val="22"/>
          <w:szCs w:val="22"/>
        </w:rPr>
        <w:t xml:space="preserve">: A </w:t>
      </w:r>
      <w:proofErr w:type="spellStart"/>
      <w:r w:rsidRPr="006B3587">
        <w:rPr>
          <w:color w:val="000000" w:themeColor="text1"/>
          <w:sz w:val="22"/>
          <w:szCs w:val="22"/>
        </w:rPr>
        <w:t>match</w:t>
      </w:r>
      <w:proofErr w:type="spellEnd"/>
      <w:r w:rsidRPr="006B3587">
        <w:rPr>
          <w:color w:val="000000" w:themeColor="text1"/>
          <w:sz w:val="22"/>
          <w:szCs w:val="22"/>
        </w:rPr>
        <w:t xml:space="preserve"> </w:t>
      </w:r>
      <w:proofErr w:type="spellStart"/>
      <w:r w:rsidRPr="006B3587">
        <w:rPr>
          <w:color w:val="000000" w:themeColor="text1"/>
          <w:sz w:val="22"/>
          <w:szCs w:val="22"/>
        </w:rPr>
        <w:t>made</w:t>
      </w:r>
      <w:proofErr w:type="spellEnd"/>
      <w:r w:rsidRPr="006B3587">
        <w:rPr>
          <w:color w:val="000000" w:themeColor="text1"/>
          <w:sz w:val="22"/>
          <w:szCs w:val="22"/>
        </w:rPr>
        <w:t xml:space="preserve"> in </w:t>
      </w:r>
      <w:proofErr w:type="spellStart"/>
      <w:r w:rsidRPr="006B3587">
        <w:rPr>
          <w:color w:val="000000" w:themeColor="text1"/>
          <w:sz w:val="22"/>
          <w:szCs w:val="22"/>
        </w:rPr>
        <w:t>heaven</w:t>
      </w:r>
      <w:proofErr w:type="spellEnd"/>
      <w:r w:rsidRPr="006B3587">
        <w:rPr>
          <w:color w:val="000000" w:themeColor="text1"/>
          <w:sz w:val="22"/>
          <w:szCs w:val="22"/>
        </w:rPr>
        <w:t>. IEEE Wireless Communications, 30(4), 64-71.</w:t>
      </w:r>
    </w:p>
    <w:p w14:paraId="5ACE49C2" w14:textId="77777777" w:rsidR="006B3587" w:rsidRPr="006B3587" w:rsidRDefault="006B3587" w:rsidP="006B3587">
      <w:pPr>
        <w:jc w:val="both"/>
        <w:rPr>
          <w:color w:val="000000" w:themeColor="text1"/>
          <w:sz w:val="22"/>
          <w:szCs w:val="22"/>
        </w:rPr>
      </w:pPr>
      <w:r w:rsidRPr="006B3587">
        <w:rPr>
          <w:color w:val="000000" w:themeColor="text1"/>
          <w:sz w:val="22"/>
          <w:szCs w:val="22"/>
        </w:rPr>
        <w:t>31.</w:t>
      </w:r>
      <w:r w:rsidRPr="006B3587">
        <w:rPr>
          <w:color w:val="000000" w:themeColor="text1"/>
          <w:sz w:val="22"/>
          <w:szCs w:val="22"/>
        </w:rPr>
        <w:tab/>
      </w:r>
      <w:proofErr w:type="spellStart"/>
      <w:r w:rsidRPr="006B3587">
        <w:rPr>
          <w:color w:val="000000" w:themeColor="text1"/>
          <w:sz w:val="22"/>
          <w:szCs w:val="22"/>
        </w:rPr>
        <w:t>Milgram</w:t>
      </w:r>
      <w:proofErr w:type="spellEnd"/>
      <w:r w:rsidRPr="006B3587">
        <w:rPr>
          <w:color w:val="000000" w:themeColor="text1"/>
          <w:sz w:val="22"/>
          <w:szCs w:val="22"/>
        </w:rPr>
        <w:t xml:space="preserve">, P., </w:t>
      </w:r>
      <w:proofErr w:type="spellStart"/>
      <w:r w:rsidRPr="006B3587">
        <w:rPr>
          <w:color w:val="000000" w:themeColor="text1"/>
          <w:sz w:val="22"/>
          <w:szCs w:val="22"/>
        </w:rPr>
        <w:t>Takemura</w:t>
      </w:r>
      <w:proofErr w:type="spellEnd"/>
      <w:r w:rsidRPr="006B3587">
        <w:rPr>
          <w:color w:val="000000" w:themeColor="text1"/>
          <w:sz w:val="22"/>
          <w:szCs w:val="22"/>
        </w:rPr>
        <w:t xml:space="preserve">, H., </w:t>
      </w:r>
      <w:proofErr w:type="spellStart"/>
      <w:r w:rsidRPr="006B3587">
        <w:rPr>
          <w:color w:val="000000" w:themeColor="text1"/>
          <w:sz w:val="22"/>
          <w:szCs w:val="22"/>
        </w:rPr>
        <w:t>Utsumi</w:t>
      </w:r>
      <w:proofErr w:type="spellEnd"/>
      <w:r w:rsidRPr="006B3587">
        <w:rPr>
          <w:color w:val="000000" w:themeColor="text1"/>
          <w:sz w:val="22"/>
          <w:szCs w:val="22"/>
        </w:rPr>
        <w:t xml:space="preserve">, A., &amp; </w:t>
      </w:r>
      <w:proofErr w:type="spellStart"/>
      <w:r w:rsidRPr="006B3587">
        <w:rPr>
          <w:color w:val="000000" w:themeColor="text1"/>
          <w:sz w:val="22"/>
          <w:szCs w:val="22"/>
        </w:rPr>
        <w:t>Kishino</w:t>
      </w:r>
      <w:proofErr w:type="spellEnd"/>
      <w:r w:rsidRPr="006B3587">
        <w:rPr>
          <w:color w:val="000000" w:themeColor="text1"/>
          <w:sz w:val="22"/>
          <w:szCs w:val="22"/>
        </w:rPr>
        <w:t xml:space="preserve">, F. (1995). </w:t>
      </w:r>
      <w:proofErr w:type="spellStart"/>
      <w:r w:rsidRPr="006B3587">
        <w:rPr>
          <w:color w:val="000000" w:themeColor="text1"/>
          <w:sz w:val="22"/>
          <w:szCs w:val="22"/>
        </w:rPr>
        <w:t>Augmented</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A </w:t>
      </w:r>
      <w:proofErr w:type="spellStart"/>
      <w:r w:rsidRPr="006B3587">
        <w:rPr>
          <w:color w:val="000000" w:themeColor="text1"/>
          <w:sz w:val="22"/>
          <w:szCs w:val="22"/>
        </w:rPr>
        <w:t>class</w:t>
      </w:r>
      <w:proofErr w:type="spellEnd"/>
      <w:r w:rsidRPr="006B3587">
        <w:rPr>
          <w:color w:val="000000" w:themeColor="text1"/>
          <w:sz w:val="22"/>
          <w:szCs w:val="22"/>
        </w:rPr>
        <w:t xml:space="preserve"> of </w:t>
      </w:r>
      <w:proofErr w:type="spellStart"/>
      <w:r w:rsidRPr="006B3587">
        <w:rPr>
          <w:color w:val="000000" w:themeColor="text1"/>
          <w:sz w:val="22"/>
          <w:szCs w:val="22"/>
        </w:rPr>
        <w:t>displays</w:t>
      </w:r>
      <w:proofErr w:type="spellEnd"/>
      <w:r w:rsidRPr="006B3587">
        <w:rPr>
          <w:color w:val="000000" w:themeColor="text1"/>
          <w:sz w:val="22"/>
          <w:szCs w:val="22"/>
        </w:rPr>
        <w:t xml:space="preserve"> on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reality-virtuality</w:t>
      </w:r>
      <w:proofErr w:type="spellEnd"/>
      <w:r w:rsidRPr="006B3587">
        <w:rPr>
          <w:color w:val="000000" w:themeColor="text1"/>
          <w:sz w:val="22"/>
          <w:szCs w:val="22"/>
        </w:rPr>
        <w:t xml:space="preserve"> </w:t>
      </w:r>
      <w:proofErr w:type="spellStart"/>
      <w:r w:rsidRPr="006B3587">
        <w:rPr>
          <w:color w:val="000000" w:themeColor="text1"/>
          <w:sz w:val="22"/>
          <w:szCs w:val="22"/>
        </w:rPr>
        <w:t>continuum</w:t>
      </w:r>
      <w:proofErr w:type="spellEnd"/>
      <w:r w:rsidRPr="006B3587">
        <w:rPr>
          <w:color w:val="000000" w:themeColor="text1"/>
          <w:sz w:val="22"/>
          <w:szCs w:val="22"/>
        </w:rPr>
        <w:t xml:space="preserve">. </w:t>
      </w:r>
      <w:proofErr w:type="spellStart"/>
      <w:r w:rsidRPr="006B3587">
        <w:rPr>
          <w:color w:val="000000" w:themeColor="text1"/>
          <w:sz w:val="22"/>
          <w:szCs w:val="22"/>
        </w:rPr>
        <w:t>In</w:t>
      </w:r>
      <w:proofErr w:type="spellEnd"/>
      <w:r w:rsidRPr="006B3587">
        <w:rPr>
          <w:color w:val="000000" w:themeColor="text1"/>
          <w:sz w:val="22"/>
          <w:szCs w:val="22"/>
        </w:rPr>
        <w:t xml:space="preserve"> </w:t>
      </w:r>
      <w:proofErr w:type="spellStart"/>
      <w:r w:rsidRPr="006B3587">
        <w:rPr>
          <w:color w:val="000000" w:themeColor="text1"/>
          <w:sz w:val="22"/>
          <w:szCs w:val="22"/>
        </w:rPr>
        <w:t>Telemanipulator</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telepresence</w:t>
      </w:r>
      <w:proofErr w:type="spellEnd"/>
      <w:r w:rsidRPr="006B3587">
        <w:rPr>
          <w:color w:val="000000" w:themeColor="text1"/>
          <w:sz w:val="22"/>
          <w:szCs w:val="22"/>
        </w:rPr>
        <w:t xml:space="preserve"> </w:t>
      </w:r>
      <w:proofErr w:type="spellStart"/>
      <w:r w:rsidRPr="006B3587">
        <w:rPr>
          <w:color w:val="000000" w:themeColor="text1"/>
          <w:sz w:val="22"/>
          <w:szCs w:val="22"/>
        </w:rPr>
        <w:t>technologies</w:t>
      </w:r>
      <w:proofErr w:type="spellEnd"/>
      <w:r w:rsidRPr="006B3587">
        <w:rPr>
          <w:color w:val="000000" w:themeColor="text1"/>
          <w:sz w:val="22"/>
          <w:szCs w:val="22"/>
        </w:rPr>
        <w:t>, 2351, 282-292.</w:t>
      </w:r>
    </w:p>
    <w:p w14:paraId="36F06BC6" w14:textId="77777777" w:rsidR="006B3587" w:rsidRPr="006B3587" w:rsidRDefault="006B3587" w:rsidP="006B3587">
      <w:pPr>
        <w:jc w:val="both"/>
        <w:rPr>
          <w:color w:val="000000" w:themeColor="text1"/>
          <w:sz w:val="22"/>
          <w:szCs w:val="22"/>
        </w:rPr>
      </w:pPr>
      <w:r w:rsidRPr="006B3587">
        <w:rPr>
          <w:color w:val="000000" w:themeColor="text1"/>
          <w:sz w:val="22"/>
          <w:szCs w:val="22"/>
        </w:rPr>
        <w:t>32.</w:t>
      </w:r>
      <w:r w:rsidRPr="006B3587">
        <w:rPr>
          <w:color w:val="000000" w:themeColor="text1"/>
          <w:sz w:val="22"/>
          <w:szCs w:val="22"/>
        </w:rPr>
        <w:tab/>
      </w:r>
      <w:proofErr w:type="spellStart"/>
      <w:r w:rsidRPr="006B3587">
        <w:rPr>
          <w:color w:val="000000" w:themeColor="text1"/>
          <w:sz w:val="22"/>
          <w:szCs w:val="22"/>
        </w:rPr>
        <w:t>Mystakidis</w:t>
      </w:r>
      <w:proofErr w:type="spellEnd"/>
      <w:r w:rsidRPr="006B3587">
        <w:rPr>
          <w:color w:val="000000" w:themeColor="text1"/>
          <w:sz w:val="22"/>
          <w:szCs w:val="22"/>
        </w:rPr>
        <w:t xml:space="preserve">, S. (2022). </w:t>
      </w:r>
      <w:proofErr w:type="spellStart"/>
      <w:r w:rsidRPr="006B3587">
        <w:rPr>
          <w:color w:val="000000" w:themeColor="text1"/>
          <w:sz w:val="22"/>
          <w:szCs w:val="22"/>
        </w:rPr>
        <w:t>Metaverse</w:t>
      </w:r>
      <w:proofErr w:type="spellEnd"/>
      <w:r w:rsidRPr="006B3587">
        <w:rPr>
          <w:color w:val="000000" w:themeColor="text1"/>
          <w:sz w:val="22"/>
          <w:szCs w:val="22"/>
        </w:rPr>
        <w:t>. Encyclopedia, 2(1), 486-497. https://doi.org/10.3390/encyclopedia2010031 adresinden alındı</w:t>
      </w:r>
    </w:p>
    <w:p w14:paraId="40634BAB" w14:textId="77777777" w:rsidR="006B3587" w:rsidRPr="006B3587" w:rsidRDefault="006B3587" w:rsidP="006B3587">
      <w:pPr>
        <w:jc w:val="both"/>
        <w:rPr>
          <w:color w:val="000000" w:themeColor="text1"/>
          <w:sz w:val="22"/>
          <w:szCs w:val="22"/>
        </w:rPr>
      </w:pPr>
      <w:r w:rsidRPr="006B3587">
        <w:rPr>
          <w:color w:val="000000" w:themeColor="text1"/>
          <w:sz w:val="22"/>
          <w:szCs w:val="22"/>
        </w:rPr>
        <w:t>33.</w:t>
      </w:r>
      <w:r w:rsidRPr="006B3587">
        <w:rPr>
          <w:color w:val="000000" w:themeColor="text1"/>
          <w:sz w:val="22"/>
          <w:szCs w:val="22"/>
        </w:rPr>
        <w:tab/>
      </w:r>
      <w:proofErr w:type="spellStart"/>
      <w:r w:rsidRPr="006B3587">
        <w:rPr>
          <w:color w:val="000000" w:themeColor="text1"/>
          <w:sz w:val="22"/>
          <w:szCs w:val="22"/>
        </w:rPr>
        <w:t>Mystakidis</w:t>
      </w:r>
      <w:proofErr w:type="spellEnd"/>
      <w:r w:rsidRPr="006B3587">
        <w:rPr>
          <w:color w:val="000000" w:themeColor="text1"/>
          <w:sz w:val="22"/>
          <w:szCs w:val="22"/>
        </w:rPr>
        <w:t xml:space="preserve">, S., </w:t>
      </w:r>
      <w:proofErr w:type="spellStart"/>
      <w:r w:rsidRPr="006B3587">
        <w:rPr>
          <w:color w:val="000000" w:themeColor="text1"/>
          <w:sz w:val="22"/>
          <w:szCs w:val="22"/>
        </w:rPr>
        <w:t>Mystakidis</w:t>
      </w:r>
      <w:proofErr w:type="spellEnd"/>
      <w:r w:rsidRPr="006B3587">
        <w:rPr>
          <w:color w:val="000000" w:themeColor="text1"/>
          <w:sz w:val="22"/>
          <w:szCs w:val="22"/>
        </w:rPr>
        <w:t xml:space="preserve">, A., &amp; </w:t>
      </w:r>
      <w:proofErr w:type="spellStart"/>
      <w:r w:rsidRPr="006B3587">
        <w:rPr>
          <w:color w:val="000000" w:themeColor="text1"/>
          <w:sz w:val="22"/>
          <w:szCs w:val="22"/>
        </w:rPr>
        <w:t>Pellas</w:t>
      </w:r>
      <w:proofErr w:type="spellEnd"/>
      <w:r w:rsidRPr="006B3587">
        <w:rPr>
          <w:color w:val="000000" w:themeColor="text1"/>
          <w:sz w:val="22"/>
          <w:szCs w:val="22"/>
        </w:rPr>
        <w:t xml:space="preserve">, N. (2022). A </w:t>
      </w:r>
      <w:proofErr w:type="spellStart"/>
      <w:r w:rsidRPr="006B3587">
        <w:rPr>
          <w:color w:val="000000" w:themeColor="text1"/>
          <w:sz w:val="22"/>
          <w:szCs w:val="22"/>
        </w:rPr>
        <w:t>systematic</w:t>
      </w:r>
      <w:proofErr w:type="spellEnd"/>
      <w:r w:rsidRPr="006B3587">
        <w:rPr>
          <w:color w:val="000000" w:themeColor="text1"/>
          <w:sz w:val="22"/>
          <w:szCs w:val="22"/>
        </w:rPr>
        <w:t xml:space="preserve"> </w:t>
      </w:r>
      <w:proofErr w:type="spellStart"/>
      <w:r w:rsidRPr="006B3587">
        <w:rPr>
          <w:color w:val="000000" w:themeColor="text1"/>
          <w:sz w:val="22"/>
          <w:szCs w:val="22"/>
        </w:rPr>
        <w:t>mapping</w:t>
      </w:r>
      <w:proofErr w:type="spellEnd"/>
      <w:r w:rsidRPr="006B3587">
        <w:rPr>
          <w:color w:val="000000" w:themeColor="text1"/>
          <w:sz w:val="22"/>
          <w:szCs w:val="22"/>
        </w:rPr>
        <w:t xml:space="preserve"> </w:t>
      </w:r>
      <w:proofErr w:type="spellStart"/>
      <w:r w:rsidRPr="006B3587">
        <w:rPr>
          <w:color w:val="000000" w:themeColor="text1"/>
          <w:sz w:val="22"/>
          <w:szCs w:val="22"/>
        </w:rPr>
        <w:t>review</w:t>
      </w:r>
      <w:proofErr w:type="spellEnd"/>
      <w:r w:rsidRPr="006B3587">
        <w:rPr>
          <w:color w:val="000000" w:themeColor="text1"/>
          <w:sz w:val="22"/>
          <w:szCs w:val="22"/>
        </w:rPr>
        <w:t xml:space="preserve"> of </w:t>
      </w:r>
      <w:proofErr w:type="spellStart"/>
      <w:r w:rsidRPr="006B3587">
        <w:rPr>
          <w:color w:val="000000" w:themeColor="text1"/>
          <w:sz w:val="22"/>
          <w:szCs w:val="22"/>
        </w:rPr>
        <w:t>augmented</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w:t>
      </w:r>
      <w:proofErr w:type="spellStart"/>
      <w:r w:rsidRPr="006B3587">
        <w:rPr>
          <w:color w:val="000000" w:themeColor="text1"/>
          <w:sz w:val="22"/>
          <w:szCs w:val="22"/>
        </w:rPr>
        <w:t>applications</w:t>
      </w:r>
      <w:proofErr w:type="spellEnd"/>
      <w:r w:rsidRPr="006B3587">
        <w:rPr>
          <w:color w:val="000000" w:themeColor="text1"/>
          <w:sz w:val="22"/>
          <w:szCs w:val="22"/>
        </w:rPr>
        <w:t xml:space="preserve"> </w:t>
      </w:r>
      <w:proofErr w:type="spellStart"/>
      <w:r w:rsidRPr="006B3587">
        <w:rPr>
          <w:color w:val="000000" w:themeColor="text1"/>
          <w:sz w:val="22"/>
          <w:szCs w:val="22"/>
        </w:rPr>
        <w:t>to</w:t>
      </w:r>
      <w:proofErr w:type="spellEnd"/>
      <w:r w:rsidRPr="006B3587">
        <w:rPr>
          <w:color w:val="000000" w:themeColor="text1"/>
          <w:sz w:val="22"/>
          <w:szCs w:val="22"/>
        </w:rPr>
        <w:t xml:space="preserve"> </w:t>
      </w:r>
      <w:proofErr w:type="spellStart"/>
      <w:r w:rsidRPr="006B3587">
        <w:rPr>
          <w:color w:val="000000" w:themeColor="text1"/>
          <w:sz w:val="22"/>
          <w:szCs w:val="22"/>
        </w:rPr>
        <w:t>support</w:t>
      </w:r>
      <w:proofErr w:type="spellEnd"/>
      <w:r w:rsidRPr="006B3587">
        <w:rPr>
          <w:color w:val="000000" w:themeColor="text1"/>
          <w:sz w:val="22"/>
          <w:szCs w:val="22"/>
        </w:rPr>
        <w:t xml:space="preserve"> STEM </w:t>
      </w:r>
      <w:proofErr w:type="spellStart"/>
      <w:r w:rsidRPr="006B3587">
        <w:rPr>
          <w:color w:val="000000" w:themeColor="text1"/>
          <w:sz w:val="22"/>
          <w:szCs w:val="22"/>
        </w:rPr>
        <w:t>learning</w:t>
      </w:r>
      <w:proofErr w:type="spellEnd"/>
      <w:r w:rsidRPr="006B3587">
        <w:rPr>
          <w:color w:val="000000" w:themeColor="text1"/>
          <w:sz w:val="22"/>
          <w:szCs w:val="22"/>
        </w:rPr>
        <w:t xml:space="preserve"> in </w:t>
      </w:r>
      <w:proofErr w:type="spellStart"/>
      <w:r w:rsidRPr="006B3587">
        <w:rPr>
          <w:color w:val="000000" w:themeColor="text1"/>
          <w:sz w:val="22"/>
          <w:szCs w:val="22"/>
        </w:rPr>
        <w:t>higher</w:t>
      </w:r>
      <w:proofErr w:type="spellEnd"/>
      <w:r w:rsidRPr="006B3587">
        <w:rPr>
          <w:color w:val="000000" w:themeColor="text1"/>
          <w:sz w:val="22"/>
          <w:szCs w:val="22"/>
        </w:rPr>
        <w:t xml:space="preserve"> </w:t>
      </w:r>
      <w:proofErr w:type="spellStart"/>
      <w:r w:rsidRPr="006B3587">
        <w:rPr>
          <w:color w:val="000000" w:themeColor="text1"/>
          <w:sz w:val="22"/>
          <w:szCs w:val="22"/>
        </w:rPr>
        <w:t>education</w:t>
      </w:r>
      <w:proofErr w:type="spellEnd"/>
      <w:r w:rsidRPr="006B3587">
        <w:rPr>
          <w:color w:val="000000" w:themeColor="text1"/>
          <w:sz w:val="22"/>
          <w:szCs w:val="22"/>
        </w:rPr>
        <w:t xml:space="preserve">. </w:t>
      </w:r>
      <w:proofErr w:type="spellStart"/>
      <w:r w:rsidRPr="006B3587">
        <w:rPr>
          <w:color w:val="000000" w:themeColor="text1"/>
          <w:sz w:val="22"/>
          <w:szCs w:val="22"/>
        </w:rPr>
        <w:t>Education</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Information Technologies, 27(2), 1883-1927.</w:t>
      </w:r>
    </w:p>
    <w:p w14:paraId="3C5AB690" w14:textId="77777777" w:rsidR="006B3587" w:rsidRPr="006B3587" w:rsidRDefault="006B3587" w:rsidP="006B3587">
      <w:pPr>
        <w:jc w:val="both"/>
        <w:rPr>
          <w:color w:val="000000" w:themeColor="text1"/>
          <w:sz w:val="22"/>
          <w:szCs w:val="22"/>
        </w:rPr>
      </w:pPr>
      <w:r w:rsidRPr="006B3587">
        <w:rPr>
          <w:color w:val="000000" w:themeColor="text1"/>
          <w:sz w:val="22"/>
          <w:szCs w:val="22"/>
        </w:rPr>
        <w:t>34.</w:t>
      </w:r>
      <w:r w:rsidRPr="006B3587">
        <w:rPr>
          <w:color w:val="000000" w:themeColor="text1"/>
          <w:sz w:val="22"/>
          <w:szCs w:val="22"/>
        </w:rPr>
        <w:tab/>
        <w:t xml:space="preserve">Nalbant, K. G., &amp; Aydın, S. (2025). Endüstri 4.0'dan Endüstri 5.0'a Geçiş: Dijital Dönüşümde Yapay </w:t>
      </w:r>
      <w:proofErr w:type="gramStart"/>
      <w:r w:rsidRPr="006B3587">
        <w:rPr>
          <w:color w:val="000000" w:themeColor="text1"/>
          <w:sz w:val="22"/>
          <w:szCs w:val="22"/>
        </w:rPr>
        <w:t>Zeka</w:t>
      </w:r>
      <w:proofErr w:type="gramEnd"/>
      <w:r w:rsidRPr="006B3587">
        <w:rPr>
          <w:color w:val="000000" w:themeColor="text1"/>
          <w:sz w:val="22"/>
          <w:szCs w:val="22"/>
        </w:rPr>
        <w:t xml:space="preserve"> ve </w:t>
      </w:r>
      <w:proofErr w:type="spellStart"/>
      <w:r w:rsidRPr="006B3587">
        <w:rPr>
          <w:color w:val="000000" w:themeColor="text1"/>
          <w:sz w:val="22"/>
          <w:szCs w:val="22"/>
        </w:rPr>
        <w:t>Metaverse'in</w:t>
      </w:r>
      <w:proofErr w:type="spellEnd"/>
      <w:r w:rsidRPr="006B3587">
        <w:rPr>
          <w:color w:val="000000" w:themeColor="text1"/>
          <w:sz w:val="22"/>
          <w:szCs w:val="22"/>
        </w:rPr>
        <w:t xml:space="preserve"> Rolü. Sosyal, </w:t>
      </w:r>
      <w:proofErr w:type="gramStart"/>
      <w:r w:rsidRPr="006B3587">
        <w:rPr>
          <w:color w:val="000000" w:themeColor="text1"/>
          <w:sz w:val="22"/>
          <w:szCs w:val="22"/>
        </w:rPr>
        <w:t>Beşeri</w:t>
      </w:r>
      <w:proofErr w:type="gramEnd"/>
      <w:r w:rsidRPr="006B3587">
        <w:rPr>
          <w:color w:val="000000" w:themeColor="text1"/>
          <w:sz w:val="22"/>
          <w:szCs w:val="22"/>
        </w:rPr>
        <w:t xml:space="preserve"> ve İdari Bilimler Dergisi, 8(1), 41-54.</w:t>
      </w:r>
    </w:p>
    <w:p w14:paraId="7F1A8B2D" w14:textId="77777777" w:rsidR="006B3587" w:rsidRPr="006B3587" w:rsidRDefault="006B3587" w:rsidP="006B3587">
      <w:pPr>
        <w:jc w:val="both"/>
        <w:rPr>
          <w:color w:val="000000" w:themeColor="text1"/>
          <w:sz w:val="22"/>
          <w:szCs w:val="22"/>
        </w:rPr>
      </w:pPr>
      <w:r w:rsidRPr="006B3587">
        <w:rPr>
          <w:color w:val="000000" w:themeColor="text1"/>
          <w:sz w:val="22"/>
          <w:szCs w:val="22"/>
        </w:rPr>
        <w:t>35.</w:t>
      </w:r>
      <w:r w:rsidRPr="006B3587">
        <w:rPr>
          <w:color w:val="000000" w:themeColor="text1"/>
          <w:sz w:val="22"/>
          <w:szCs w:val="22"/>
        </w:rPr>
        <w:tab/>
      </w:r>
      <w:proofErr w:type="spellStart"/>
      <w:r w:rsidRPr="006B3587">
        <w:rPr>
          <w:color w:val="000000" w:themeColor="text1"/>
          <w:sz w:val="22"/>
          <w:szCs w:val="22"/>
        </w:rPr>
        <w:t>Ning</w:t>
      </w:r>
      <w:proofErr w:type="spellEnd"/>
      <w:r w:rsidRPr="006B3587">
        <w:rPr>
          <w:color w:val="000000" w:themeColor="text1"/>
          <w:sz w:val="22"/>
          <w:szCs w:val="22"/>
        </w:rPr>
        <w:t xml:space="preserve">, H., Wang, H., Lin, Y., Wang, W., </w:t>
      </w:r>
      <w:proofErr w:type="spellStart"/>
      <w:r w:rsidRPr="006B3587">
        <w:rPr>
          <w:color w:val="000000" w:themeColor="text1"/>
          <w:sz w:val="22"/>
          <w:szCs w:val="22"/>
        </w:rPr>
        <w:t>Dhelim</w:t>
      </w:r>
      <w:proofErr w:type="spellEnd"/>
      <w:r w:rsidRPr="006B3587">
        <w:rPr>
          <w:color w:val="000000" w:themeColor="text1"/>
          <w:sz w:val="22"/>
          <w:szCs w:val="22"/>
        </w:rPr>
        <w:t xml:space="preserve">, S., </w:t>
      </w:r>
      <w:proofErr w:type="spellStart"/>
      <w:r w:rsidRPr="006B3587">
        <w:rPr>
          <w:color w:val="000000" w:themeColor="text1"/>
          <w:sz w:val="22"/>
          <w:szCs w:val="22"/>
        </w:rPr>
        <w:t>Farha</w:t>
      </w:r>
      <w:proofErr w:type="spellEnd"/>
      <w:r w:rsidRPr="006B3587">
        <w:rPr>
          <w:color w:val="000000" w:themeColor="text1"/>
          <w:sz w:val="22"/>
          <w:szCs w:val="22"/>
        </w:rPr>
        <w:t xml:space="preserve">, F., . . . </w:t>
      </w:r>
      <w:proofErr w:type="spellStart"/>
      <w:r w:rsidRPr="006B3587">
        <w:rPr>
          <w:color w:val="000000" w:themeColor="text1"/>
          <w:sz w:val="22"/>
          <w:szCs w:val="22"/>
        </w:rPr>
        <w:t>Daneshmand</w:t>
      </w:r>
      <w:proofErr w:type="spellEnd"/>
      <w:r w:rsidRPr="006B3587">
        <w:rPr>
          <w:color w:val="000000" w:themeColor="text1"/>
          <w:sz w:val="22"/>
          <w:szCs w:val="22"/>
        </w:rPr>
        <w:t xml:space="preserve">, M. (2021). A </w:t>
      </w:r>
      <w:proofErr w:type="spellStart"/>
      <w:r w:rsidRPr="006B3587">
        <w:rPr>
          <w:color w:val="000000" w:themeColor="text1"/>
          <w:sz w:val="22"/>
          <w:szCs w:val="22"/>
        </w:rPr>
        <w:t>survey</w:t>
      </w:r>
      <w:proofErr w:type="spellEnd"/>
      <w:r w:rsidRPr="006B3587">
        <w:rPr>
          <w:color w:val="000000" w:themeColor="text1"/>
          <w:sz w:val="22"/>
          <w:szCs w:val="22"/>
        </w:rPr>
        <w:t xml:space="preserve"> on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state</w:t>
      </w:r>
      <w:proofErr w:type="spellEnd"/>
      <w:r w:rsidRPr="006B3587">
        <w:rPr>
          <w:color w:val="000000" w:themeColor="text1"/>
          <w:sz w:val="22"/>
          <w:szCs w:val="22"/>
        </w:rPr>
        <w:t>-of-</w:t>
      </w:r>
      <w:proofErr w:type="spellStart"/>
      <w:r w:rsidRPr="006B3587">
        <w:rPr>
          <w:color w:val="000000" w:themeColor="text1"/>
          <w:sz w:val="22"/>
          <w:szCs w:val="22"/>
        </w:rPr>
        <w:t>the</w:t>
      </w:r>
      <w:proofErr w:type="spellEnd"/>
      <w:r w:rsidRPr="006B3587">
        <w:rPr>
          <w:color w:val="000000" w:themeColor="text1"/>
          <w:sz w:val="22"/>
          <w:szCs w:val="22"/>
        </w:rPr>
        <w:t xml:space="preserve">-art, </w:t>
      </w:r>
      <w:proofErr w:type="spellStart"/>
      <w:r w:rsidRPr="006B3587">
        <w:rPr>
          <w:color w:val="000000" w:themeColor="text1"/>
          <w:sz w:val="22"/>
          <w:szCs w:val="22"/>
        </w:rPr>
        <w:t>technologies</w:t>
      </w:r>
      <w:proofErr w:type="spellEnd"/>
      <w:r w:rsidRPr="006B3587">
        <w:rPr>
          <w:color w:val="000000" w:themeColor="text1"/>
          <w:sz w:val="22"/>
          <w:szCs w:val="22"/>
        </w:rPr>
        <w:t xml:space="preserve">, </w:t>
      </w:r>
      <w:proofErr w:type="spellStart"/>
      <w:r w:rsidRPr="006B3587">
        <w:rPr>
          <w:color w:val="000000" w:themeColor="text1"/>
          <w:sz w:val="22"/>
          <w:szCs w:val="22"/>
        </w:rPr>
        <w:t>applications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challenges</w:t>
      </w:r>
      <w:proofErr w:type="spellEnd"/>
      <w:r w:rsidRPr="006B3587">
        <w:rPr>
          <w:color w:val="000000" w:themeColor="text1"/>
          <w:sz w:val="22"/>
          <w:szCs w:val="22"/>
        </w:rPr>
        <w:t xml:space="preserve">. </w:t>
      </w:r>
      <w:proofErr w:type="spellStart"/>
      <w:proofErr w:type="gramStart"/>
      <w:r w:rsidRPr="006B3587">
        <w:rPr>
          <w:color w:val="000000" w:themeColor="text1"/>
          <w:sz w:val="22"/>
          <w:szCs w:val="22"/>
        </w:rPr>
        <w:t>arXiv</w:t>
      </w:r>
      <w:proofErr w:type="spellEnd"/>
      <w:proofErr w:type="gramEnd"/>
      <w:r w:rsidRPr="006B3587">
        <w:rPr>
          <w:color w:val="000000" w:themeColor="text1"/>
          <w:sz w:val="22"/>
          <w:szCs w:val="22"/>
        </w:rPr>
        <w:t>.</w:t>
      </w:r>
    </w:p>
    <w:p w14:paraId="385A2786" w14:textId="77777777" w:rsidR="006B3587" w:rsidRPr="006B3587" w:rsidRDefault="006B3587" w:rsidP="006B3587">
      <w:pPr>
        <w:jc w:val="both"/>
        <w:rPr>
          <w:color w:val="000000" w:themeColor="text1"/>
          <w:sz w:val="22"/>
          <w:szCs w:val="22"/>
        </w:rPr>
      </w:pPr>
      <w:r w:rsidRPr="006B3587">
        <w:rPr>
          <w:color w:val="000000" w:themeColor="text1"/>
          <w:sz w:val="22"/>
          <w:szCs w:val="22"/>
        </w:rPr>
        <w:t>36.</w:t>
      </w:r>
      <w:r w:rsidRPr="006B3587">
        <w:rPr>
          <w:color w:val="000000" w:themeColor="text1"/>
          <w:sz w:val="22"/>
          <w:szCs w:val="22"/>
        </w:rPr>
        <w:tab/>
        <w:t>Özarslan, O. (2023). Modernliğin bedenlerinden, geleceğin bedenlerine sosyolojik bedenin transformasyonu. Nişantaşı Üniversitesi Sosyal Bilimler Dergisi, 11(3), 241-260.</w:t>
      </w:r>
    </w:p>
    <w:p w14:paraId="75AB01FD" w14:textId="77777777" w:rsidR="006B3587" w:rsidRPr="006B3587" w:rsidRDefault="006B3587" w:rsidP="006B3587">
      <w:pPr>
        <w:jc w:val="both"/>
        <w:rPr>
          <w:color w:val="000000" w:themeColor="text1"/>
          <w:sz w:val="22"/>
          <w:szCs w:val="22"/>
        </w:rPr>
      </w:pPr>
      <w:r w:rsidRPr="006B3587">
        <w:rPr>
          <w:color w:val="000000" w:themeColor="text1"/>
          <w:sz w:val="22"/>
          <w:szCs w:val="22"/>
        </w:rPr>
        <w:t>37.</w:t>
      </w:r>
      <w:r w:rsidRPr="006B3587">
        <w:rPr>
          <w:color w:val="000000" w:themeColor="text1"/>
          <w:sz w:val="22"/>
          <w:szCs w:val="22"/>
        </w:rPr>
        <w:tab/>
        <w:t xml:space="preserve">Park, S. M., &amp; Kim, Y. G. (2022). A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Taxonomy</w:t>
      </w:r>
      <w:proofErr w:type="spellEnd"/>
      <w:r w:rsidRPr="006B3587">
        <w:rPr>
          <w:color w:val="000000" w:themeColor="text1"/>
          <w:sz w:val="22"/>
          <w:szCs w:val="22"/>
        </w:rPr>
        <w:t xml:space="preserve">, </w:t>
      </w:r>
      <w:proofErr w:type="spellStart"/>
      <w:r w:rsidRPr="006B3587">
        <w:rPr>
          <w:color w:val="000000" w:themeColor="text1"/>
          <w:sz w:val="22"/>
          <w:szCs w:val="22"/>
        </w:rPr>
        <w:t>components</w:t>
      </w:r>
      <w:proofErr w:type="spellEnd"/>
      <w:r w:rsidRPr="006B3587">
        <w:rPr>
          <w:color w:val="000000" w:themeColor="text1"/>
          <w:sz w:val="22"/>
          <w:szCs w:val="22"/>
        </w:rPr>
        <w:t xml:space="preserve">, </w:t>
      </w:r>
      <w:proofErr w:type="spellStart"/>
      <w:r w:rsidRPr="006B3587">
        <w:rPr>
          <w:color w:val="000000" w:themeColor="text1"/>
          <w:sz w:val="22"/>
          <w:szCs w:val="22"/>
        </w:rPr>
        <w:t>applications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open</w:t>
      </w:r>
      <w:proofErr w:type="spellEnd"/>
      <w:r w:rsidRPr="006B3587">
        <w:rPr>
          <w:color w:val="000000" w:themeColor="text1"/>
          <w:sz w:val="22"/>
          <w:szCs w:val="22"/>
        </w:rPr>
        <w:t xml:space="preserve"> </w:t>
      </w:r>
      <w:proofErr w:type="spellStart"/>
      <w:r w:rsidRPr="006B3587">
        <w:rPr>
          <w:color w:val="000000" w:themeColor="text1"/>
          <w:sz w:val="22"/>
          <w:szCs w:val="22"/>
        </w:rPr>
        <w:t>challenges</w:t>
      </w:r>
      <w:proofErr w:type="spellEnd"/>
      <w:r w:rsidRPr="006B3587">
        <w:rPr>
          <w:color w:val="000000" w:themeColor="text1"/>
          <w:sz w:val="22"/>
          <w:szCs w:val="22"/>
        </w:rPr>
        <w:t xml:space="preserve">. IEEE </w:t>
      </w:r>
      <w:proofErr w:type="spellStart"/>
      <w:r w:rsidRPr="006B3587">
        <w:rPr>
          <w:color w:val="000000" w:themeColor="text1"/>
          <w:sz w:val="22"/>
          <w:szCs w:val="22"/>
        </w:rPr>
        <w:t>access</w:t>
      </w:r>
      <w:proofErr w:type="spellEnd"/>
      <w:r w:rsidRPr="006B3587">
        <w:rPr>
          <w:color w:val="000000" w:themeColor="text1"/>
          <w:sz w:val="22"/>
          <w:szCs w:val="22"/>
        </w:rPr>
        <w:t>, 10, 4209-4251.</w:t>
      </w:r>
    </w:p>
    <w:p w14:paraId="3C783D99" w14:textId="77777777" w:rsidR="006B3587" w:rsidRPr="006B3587" w:rsidRDefault="006B3587" w:rsidP="006B3587">
      <w:pPr>
        <w:jc w:val="both"/>
        <w:rPr>
          <w:color w:val="000000" w:themeColor="text1"/>
          <w:sz w:val="22"/>
          <w:szCs w:val="22"/>
        </w:rPr>
      </w:pPr>
      <w:r w:rsidRPr="006B3587">
        <w:rPr>
          <w:color w:val="000000" w:themeColor="text1"/>
          <w:sz w:val="22"/>
          <w:szCs w:val="22"/>
        </w:rPr>
        <w:t>38.</w:t>
      </w:r>
      <w:r w:rsidRPr="006B3587">
        <w:rPr>
          <w:color w:val="000000" w:themeColor="text1"/>
          <w:sz w:val="22"/>
          <w:szCs w:val="22"/>
        </w:rPr>
        <w:tab/>
      </w:r>
      <w:proofErr w:type="spellStart"/>
      <w:r w:rsidRPr="006B3587">
        <w:rPr>
          <w:color w:val="000000" w:themeColor="text1"/>
          <w:sz w:val="22"/>
          <w:szCs w:val="22"/>
        </w:rPr>
        <w:t>Patry</w:t>
      </w:r>
      <w:proofErr w:type="spellEnd"/>
      <w:r w:rsidRPr="006B3587">
        <w:rPr>
          <w:color w:val="000000" w:themeColor="text1"/>
          <w:sz w:val="22"/>
          <w:szCs w:val="22"/>
        </w:rPr>
        <w:t xml:space="preserve">, D. A., </w:t>
      </w:r>
      <w:proofErr w:type="spellStart"/>
      <w:r w:rsidRPr="006B3587">
        <w:rPr>
          <w:color w:val="000000" w:themeColor="text1"/>
          <w:sz w:val="22"/>
          <w:szCs w:val="22"/>
        </w:rPr>
        <w:t>Blanchard</w:t>
      </w:r>
      <w:proofErr w:type="spellEnd"/>
      <w:r w:rsidRPr="006B3587">
        <w:rPr>
          <w:color w:val="000000" w:themeColor="text1"/>
          <w:sz w:val="22"/>
          <w:szCs w:val="22"/>
        </w:rPr>
        <w:t xml:space="preserve">, C. M., &amp; Mask, L. (2007). </w:t>
      </w:r>
      <w:proofErr w:type="spellStart"/>
      <w:r w:rsidRPr="006B3587">
        <w:rPr>
          <w:color w:val="000000" w:themeColor="text1"/>
          <w:sz w:val="22"/>
          <w:szCs w:val="22"/>
        </w:rPr>
        <w:t>Measuring</w:t>
      </w:r>
      <w:proofErr w:type="spellEnd"/>
      <w:r w:rsidRPr="006B3587">
        <w:rPr>
          <w:color w:val="000000" w:themeColor="text1"/>
          <w:sz w:val="22"/>
          <w:szCs w:val="22"/>
        </w:rPr>
        <w:t xml:space="preserve"> </w:t>
      </w:r>
      <w:proofErr w:type="spellStart"/>
      <w:r w:rsidRPr="006B3587">
        <w:rPr>
          <w:color w:val="000000" w:themeColor="text1"/>
          <w:sz w:val="22"/>
          <w:szCs w:val="22"/>
        </w:rPr>
        <w:t>university</w:t>
      </w:r>
      <w:proofErr w:type="spellEnd"/>
      <w:r w:rsidRPr="006B3587">
        <w:rPr>
          <w:color w:val="000000" w:themeColor="text1"/>
          <w:sz w:val="22"/>
          <w:szCs w:val="22"/>
        </w:rPr>
        <w:t xml:space="preserve"> </w:t>
      </w:r>
      <w:proofErr w:type="spellStart"/>
      <w:r w:rsidRPr="006B3587">
        <w:rPr>
          <w:color w:val="000000" w:themeColor="text1"/>
          <w:sz w:val="22"/>
          <w:szCs w:val="22"/>
        </w:rPr>
        <w:t>students</w:t>
      </w:r>
      <w:proofErr w:type="spellEnd"/>
      <w:r w:rsidRPr="006B3587">
        <w:rPr>
          <w:color w:val="000000" w:themeColor="text1"/>
          <w:sz w:val="22"/>
          <w:szCs w:val="22"/>
        </w:rPr>
        <w:t xml:space="preserve">’ </w:t>
      </w:r>
      <w:proofErr w:type="spellStart"/>
      <w:r w:rsidRPr="006B3587">
        <w:rPr>
          <w:color w:val="000000" w:themeColor="text1"/>
          <w:sz w:val="22"/>
          <w:szCs w:val="22"/>
        </w:rPr>
        <w:t>regulatory</w:t>
      </w:r>
      <w:proofErr w:type="spellEnd"/>
      <w:r w:rsidRPr="006B3587">
        <w:rPr>
          <w:color w:val="000000" w:themeColor="text1"/>
          <w:sz w:val="22"/>
          <w:szCs w:val="22"/>
        </w:rPr>
        <w:t xml:space="preserve"> </w:t>
      </w:r>
      <w:proofErr w:type="spellStart"/>
      <w:r w:rsidRPr="006B3587">
        <w:rPr>
          <w:color w:val="000000" w:themeColor="text1"/>
          <w:sz w:val="22"/>
          <w:szCs w:val="22"/>
        </w:rPr>
        <w:t>leisure</w:t>
      </w:r>
      <w:proofErr w:type="spellEnd"/>
      <w:r w:rsidRPr="006B3587">
        <w:rPr>
          <w:color w:val="000000" w:themeColor="text1"/>
          <w:sz w:val="22"/>
          <w:szCs w:val="22"/>
        </w:rPr>
        <w:t xml:space="preserve"> </w:t>
      </w:r>
      <w:proofErr w:type="spellStart"/>
      <w:r w:rsidRPr="006B3587">
        <w:rPr>
          <w:color w:val="000000" w:themeColor="text1"/>
          <w:sz w:val="22"/>
          <w:szCs w:val="22"/>
        </w:rPr>
        <w:t>coping</w:t>
      </w:r>
      <w:proofErr w:type="spellEnd"/>
      <w:r w:rsidRPr="006B3587">
        <w:rPr>
          <w:color w:val="000000" w:themeColor="text1"/>
          <w:sz w:val="22"/>
          <w:szCs w:val="22"/>
        </w:rPr>
        <w:t xml:space="preserve"> </w:t>
      </w:r>
      <w:proofErr w:type="spellStart"/>
      <w:r w:rsidRPr="006B3587">
        <w:rPr>
          <w:color w:val="000000" w:themeColor="text1"/>
          <w:sz w:val="22"/>
          <w:szCs w:val="22"/>
        </w:rPr>
        <w:t>styles</w:t>
      </w:r>
      <w:proofErr w:type="spellEnd"/>
      <w:r w:rsidRPr="006B3587">
        <w:rPr>
          <w:color w:val="000000" w:themeColor="text1"/>
          <w:sz w:val="22"/>
          <w:szCs w:val="22"/>
        </w:rPr>
        <w:t xml:space="preserve">: </w:t>
      </w:r>
      <w:proofErr w:type="spellStart"/>
      <w:r w:rsidRPr="006B3587">
        <w:rPr>
          <w:color w:val="000000" w:themeColor="text1"/>
          <w:sz w:val="22"/>
          <w:szCs w:val="22"/>
        </w:rPr>
        <w:t>planned</w:t>
      </w:r>
      <w:proofErr w:type="spellEnd"/>
      <w:r w:rsidRPr="006B3587">
        <w:rPr>
          <w:color w:val="000000" w:themeColor="text1"/>
          <w:sz w:val="22"/>
          <w:szCs w:val="22"/>
        </w:rPr>
        <w:t xml:space="preserve"> </w:t>
      </w:r>
      <w:proofErr w:type="spellStart"/>
      <w:r w:rsidRPr="006B3587">
        <w:rPr>
          <w:color w:val="000000" w:themeColor="text1"/>
          <w:sz w:val="22"/>
          <w:szCs w:val="22"/>
        </w:rPr>
        <w:t>breathes</w:t>
      </w:r>
      <w:proofErr w:type="spellEnd"/>
      <w:r w:rsidRPr="006B3587">
        <w:rPr>
          <w:color w:val="000000" w:themeColor="text1"/>
          <w:sz w:val="22"/>
          <w:szCs w:val="22"/>
        </w:rPr>
        <w:t xml:space="preserve"> </w:t>
      </w:r>
      <w:proofErr w:type="spellStart"/>
      <w:r w:rsidRPr="006B3587">
        <w:rPr>
          <w:color w:val="000000" w:themeColor="text1"/>
          <w:sz w:val="22"/>
          <w:szCs w:val="22"/>
        </w:rPr>
        <w:t>or</w:t>
      </w:r>
      <w:proofErr w:type="spellEnd"/>
      <w:r w:rsidRPr="006B3587">
        <w:rPr>
          <w:color w:val="000000" w:themeColor="text1"/>
          <w:sz w:val="22"/>
          <w:szCs w:val="22"/>
        </w:rPr>
        <w:t xml:space="preserve"> </w:t>
      </w:r>
      <w:proofErr w:type="spellStart"/>
      <w:r w:rsidRPr="006B3587">
        <w:rPr>
          <w:color w:val="000000" w:themeColor="text1"/>
          <w:sz w:val="22"/>
          <w:szCs w:val="22"/>
        </w:rPr>
        <w:t>avoidance</w:t>
      </w:r>
      <w:proofErr w:type="spellEnd"/>
      <w:r w:rsidRPr="006B3587">
        <w:rPr>
          <w:color w:val="000000" w:themeColor="text1"/>
          <w:sz w:val="22"/>
          <w:szCs w:val="22"/>
        </w:rPr>
        <w:t xml:space="preserve">? </w:t>
      </w:r>
      <w:proofErr w:type="spellStart"/>
      <w:r w:rsidRPr="006B3587">
        <w:rPr>
          <w:color w:val="000000" w:themeColor="text1"/>
          <w:sz w:val="22"/>
          <w:szCs w:val="22"/>
        </w:rPr>
        <w:t>Leisure</w:t>
      </w:r>
      <w:proofErr w:type="spellEnd"/>
      <w:r w:rsidRPr="006B3587">
        <w:rPr>
          <w:color w:val="000000" w:themeColor="text1"/>
          <w:sz w:val="22"/>
          <w:szCs w:val="22"/>
        </w:rPr>
        <w:t xml:space="preserve"> </w:t>
      </w:r>
      <w:proofErr w:type="spellStart"/>
      <w:r w:rsidRPr="006B3587">
        <w:rPr>
          <w:color w:val="000000" w:themeColor="text1"/>
          <w:sz w:val="22"/>
          <w:szCs w:val="22"/>
        </w:rPr>
        <w:t>Sciences</w:t>
      </w:r>
      <w:proofErr w:type="spellEnd"/>
      <w:r w:rsidRPr="006B3587">
        <w:rPr>
          <w:color w:val="000000" w:themeColor="text1"/>
          <w:sz w:val="22"/>
          <w:szCs w:val="22"/>
        </w:rPr>
        <w:t>, 29, 247–265.</w:t>
      </w:r>
    </w:p>
    <w:p w14:paraId="6BDFE5A1" w14:textId="77777777" w:rsidR="006B3587" w:rsidRPr="006B3587" w:rsidRDefault="006B3587" w:rsidP="006B3587">
      <w:pPr>
        <w:jc w:val="both"/>
        <w:rPr>
          <w:color w:val="000000" w:themeColor="text1"/>
          <w:sz w:val="22"/>
          <w:szCs w:val="22"/>
        </w:rPr>
      </w:pPr>
      <w:r w:rsidRPr="006B3587">
        <w:rPr>
          <w:color w:val="000000" w:themeColor="text1"/>
          <w:sz w:val="22"/>
          <w:szCs w:val="22"/>
        </w:rPr>
        <w:t>39.</w:t>
      </w:r>
      <w:r w:rsidRPr="006B3587">
        <w:rPr>
          <w:color w:val="000000" w:themeColor="text1"/>
          <w:sz w:val="22"/>
          <w:szCs w:val="22"/>
        </w:rPr>
        <w:tab/>
      </w:r>
      <w:proofErr w:type="spellStart"/>
      <w:r w:rsidRPr="006B3587">
        <w:rPr>
          <w:color w:val="000000" w:themeColor="text1"/>
          <w:sz w:val="22"/>
          <w:szCs w:val="22"/>
        </w:rPr>
        <w:t>Pellas</w:t>
      </w:r>
      <w:proofErr w:type="spellEnd"/>
      <w:r w:rsidRPr="006B3587">
        <w:rPr>
          <w:color w:val="000000" w:themeColor="text1"/>
          <w:sz w:val="22"/>
          <w:szCs w:val="22"/>
        </w:rPr>
        <w:t xml:space="preserve">, N., </w:t>
      </w:r>
      <w:proofErr w:type="spellStart"/>
      <w:r w:rsidRPr="006B3587">
        <w:rPr>
          <w:color w:val="000000" w:themeColor="text1"/>
          <w:sz w:val="22"/>
          <w:szCs w:val="22"/>
        </w:rPr>
        <w:t>Dengel</w:t>
      </w:r>
      <w:proofErr w:type="spellEnd"/>
      <w:r w:rsidRPr="006B3587">
        <w:rPr>
          <w:color w:val="000000" w:themeColor="text1"/>
          <w:sz w:val="22"/>
          <w:szCs w:val="22"/>
        </w:rPr>
        <w:t xml:space="preserve">, A., &amp; </w:t>
      </w:r>
      <w:proofErr w:type="spellStart"/>
      <w:r w:rsidRPr="006B3587">
        <w:rPr>
          <w:color w:val="000000" w:themeColor="text1"/>
          <w:sz w:val="22"/>
          <w:szCs w:val="22"/>
        </w:rPr>
        <w:t>Christopoulos</w:t>
      </w:r>
      <w:proofErr w:type="spellEnd"/>
      <w:r w:rsidRPr="006B3587">
        <w:rPr>
          <w:color w:val="000000" w:themeColor="text1"/>
          <w:sz w:val="22"/>
          <w:szCs w:val="22"/>
        </w:rPr>
        <w:t xml:space="preserve">, A. (2020). A </w:t>
      </w:r>
      <w:proofErr w:type="spellStart"/>
      <w:r w:rsidRPr="006B3587">
        <w:rPr>
          <w:color w:val="000000" w:themeColor="text1"/>
          <w:sz w:val="22"/>
          <w:szCs w:val="22"/>
        </w:rPr>
        <w:t>scoping</w:t>
      </w:r>
      <w:proofErr w:type="spellEnd"/>
      <w:r w:rsidRPr="006B3587">
        <w:rPr>
          <w:color w:val="000000" w:themeColor="text1"/>
          <w:sz w:val="22"/>
          <w:szCs w:val="22"/>
        </w:rPr>
        <w:t xml:space="preserve"> </w:t>
      </w:r>
      <w:proofErr w:type="spellStart"/>
      <w:r w:rsidRPr="006B3587">
        <w:rPr>
          <w:color w:val="000000" w:themeColor="text1"/>
          <w:sz w:val="22"/>
          <w:szCs w:val="22"/>
        </w:rPr>
        <w:t>review</w:t>
      </w:r>
      <w:proofErr w:type="spellEnd"/>
      <w:r w:rsidRPr="006B3587">
        <w:rPr>
          <w:color w:val="000000" w:themeColor="text1"/>
          <w:sz w:val="22"/>
          <w:szCs w:val="22"/>
        </w:rPr>
        <w:t xml:space="preserve"> of </w:t>
      </w:r>
      <w:proofErr w:type="spellStart"/>
      <w:r w:rsidRPr="006B3587">
        <w:rPr>
          <w:color w:val="000000" w:themeColor="text1"/>
          <w:sz w:val="22"/>
          <w:szCs w:val="22"/>
        </w:rPr>
        <w:t>immersive</w:t>
      </w:r>
      <w:proofErr w:type="spellEnd"/>
      <w:r w:rsidRPr="006B3587">
        <w:rPr>
          <w:color w:val="000000" w:themeColor="text1"/>
          <w:sz w:val="22"/>
          <w:szCs w:val="22"/>
        </w:rPr>
        <w:t xml:space="preserve"> </w:t>
      </w:r>
      <w:proofErr w:type="spellStart"/>
      <w:r w:rsidRPr="006B3587">
        <w:rPr>
          <w:color w:val="000000" w:themeColor="text1"/>
          <w:sz w:val="22"/>
          <w:szCs w:val="22"/>
        </w:rPr>
        <w:t>virtual</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in STEM </w:t>
      </w:r>
      <w:proofErr w:type="spellStart"/>
      <w:r w:rsidRPr="006B3587">
        <w:rPr>
          <w:color w:val="000000" w:themeColor="text1"/>
          <w:sz w:val="22"/>
          <w:szCs w:val="22"/>
        </w:rPr>
        <w:t>education</w:t>
      </w:r>
      <w:proofErr w:type="spellEnd"/>
      <w:r w:rsidRPr="006B3587">
        <w:rPr>
          <w:color w:val="000000" w:themeColor="text1"/>
          <w:sz w:val="22"/>
          <w:szCs w:val="22"/>
        </w:rPr>
        <w:t xml:space="preserve">. IEEE </w:t>
      </w:r>
      <w:proofErr w:type="spellStart"/>
      <w:r w:rsidRPr="006B3587">
        <w:rPr>
          <w:color w:val="000000" w:themeColor="text1"/>
          <w:sz w:val="22"/>
          <w:szCs w:val="22"/>
        </w:rPr>
        <w:t>Transactions</w:t>
      </w:r>
      <w:proofErr w:type="spellEnd"/>
      <w:r w:rsidRPr="006B3587">
        <w:rPr>
          <w:color w:val="000000" w:themeColor="text1"/>
          <w:sz w:val="22"/>
          <w:szCs w:val="22"/>
        </w:rPr>
        <w:t xml:space="preserve"> on Learning Technologies, 13(4), 748-761. doi:10.1109/TLT.2020.3019405</w:t>
      </w:r>
    </w:p>
    <w:p w14:paraId="07794388" w14:textId="77777777" w:rsidR="006B3587" w:rsidRPr="006B3587" w:rsidRDefault="006B3587" w:rsidP="006B3587">
      <w:pPr>
        <w:jc w:val="both"/>
        <w:rPr>
          <w:color w:val="000000" w:themeColor="text1"/>
          <w:sz w:val="22"/>
          <w:szCs w:val="22"/>
        </w:rPr>
      </w:pPr>
      <w:r w:rsidRPr="006B3587">
        <w:rPr>
          <w:color w:val="000000" w:themeColor="text1"/>
          <w:sz w:val="22"/>
          <w:szCs w:val="22"/>
        </w:rPr>
        <w:t>40.</w:t>
      </w:r>
      <w:r w:rsidRPr="006B3587">
        <w:rPr>
          <w:color w:val="000000" w:themeColor="text1"/>
          <w:sz w:val="22"/>
          <w:szCs w:val="22"/>
        </w:rPr>
        <w:tab/>
      </w:r>
      <w:proofErr w:type="spellStart"/>
      <w:r w:rsidRPr="006B3587">
        <w:rPr>
          <w:color w:val="000000" w:themeColor="text1"/>
          <w:sz w:val="22"/>
          <w:szCs w:val="22"/>
        </w:rPr>
        <w:t>Pellas</w:t>
      </w:r>
      <w:proofErr w:type="spellEnd"/>
      <w:r w:rsidRPr="006B3587">
        <w:rPr>
          <w:color w:val="000000" w:themeColor="text1"/>
          <w:sz w:val="22"/>
          <w:szCs w:val="22"/>
        </w:rPr>
        <w:t xml:space="preserve">, N., </w:t>
      </w:r>
      <w:proofErr w:type="spellStart"/>
      <w:r w:rsidRPr="006B3587">
        <w:rPr>
          <w:color w:val="000000" w:themeColor="text1"/>
          <w:sz w:val="22"/>
          <w:szCs w:val="22"/>
        </w:rPr>
        <w:t>Mystakidis</w:t>
      </w:r>
      <w:proofErr w:type="spellEnd"/>
      <w:r w:rsidRPr="006B3587">
        <w:rPr>
          <w:color w:val="000000" w:themeColor="text1"/>
          <w:sz w:val="22"/>
          <w:szCs w:val="22"/>
        </w:rPr>
        <w:t xml:space="preserve">, S., &amp; </w:t>
      </w:r>
      <w:proofErr w:type="spellStart"/>
      <w:r w:rsidRPr="006B3587">
        <w:rPr>
          <w:color w:val="000000" w:themeColor="text1"/>
          <w:sz w:val="22"/>
          <w:szCs w:val="22"/>
        </w:rPr>
        <w:t>Kazanidis</w:t>
      </w:r>
      <w:proofErr w:type="spellEnd"/>
      <w:r w:rsidRPr="006B3587">
        <w:rPr>
          <w:color w:val="000000" w:themeColor="text1"/>
          <w:sz w:val="22"/>
          <w:szCs w:val="22"/>
        </w:rPr>
        <w:t xml:space="preserve">, I. (2021). </w:t>
      </w:r>
      <w:proofErr w:type="spellStart"/>
      <w:r w:rsidRPr="006B3587">
        <w:rPr>
          <w:color w:val="000000" w:themeColor="text1"/>
          <w:sz w:val="22"/>
          <w:szCs w:val="22"/>
        </w:rPr>
        <w:t>Immersive</w:t>
      </w:r>
      <w:proofErr w:type="spellEnd"/>
      <w:r w:rsidRPr="006B3587">
        <w:rPr>
          <w:color w:val="000000" w:themeColor="text1"/>
          <w:sz w:val="22"/>
          <w:szCs w:val="22"/>
        </w:rPr>
        <w:t xml:space="preserve"> Virtual </w:t>
      </w:r>
      <w:proofErr w:type="spellStart"/>
      <w:r w:rsidRPr="006B3587">
        <w:rPr>
          <w:color w:val="000000" w:themeColor="text1"/>
          <w:sz w:val="22"/>
          <w:szCs w:val="22"/>
        </w:rPr>
        <w:t>Reality</w:t>
      </w:r>
      <w:proofErr w:type="spellEnd"/>
      <w:r w:rsidRPr="006B3587">
        <w:rPr>
          <w:color w:val="000000" w:themeColor="text1"/>
          <w:sz w:val="22"/>
          <w:szCs w:val="22"/>
        </w:rPr>
        <w:t xml:space="preserve"> in K-12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Higher</w:t>
      </w:r>
      <w:proofErr w:type="spellEnd"/>
      <w:r w:rsidRPr="006B3587">
        <w:rPr>
          <w:color w:val="000000" w:themeColor="text1"/>
          <w:sz w:val="22"/>
          <w:szCs w:val="22"/>
        </w:rPr>
        <w:t xml:space="preserve"> </w:t>
      </w:r>
      <w:proofErr w:type="spellStart"/>
      <w:r w:rsidRPr="006B3587">
        <w:rPr>
          <w:color w:val="000000" w:themeColor="text1"/>
          <w:sz w:val="22"/>
          <w:szCs w:val="22"/>
        </w:rPr>
        <w:t>Education</w:t>
      </w:r>
      <w:proofErr w:type="spellEnd"/>
      <w:r w:rsidRPr="006B3587">
        <w:rPr>
          <w:color w:val="000000" w:themeColor="text1"/>
          <w:sz w:val="22"/>
          <w:szCs w:val="22"/>
        </w:rPr>
        <w:t xml:space="preserve">: A </w:t>
      </w:r>
      <w:proofErr w:type="spellStart"/>
      <w:r w:rsidRPr="006B3587">
        <w:rPr>
          <w:color w:val="000000" w:themeColor="text1"/>
          <w:sz w:val="22"/>
          <w:szCs w:val="22"/>
        </w:rPr>
        <w:t>systematic</w:t>
      </w:r>
      <w:proofErr w:type="spellEnd"/>
      <w:r w:rsidRPr="006B3587">
        <w:rPr>
          <w:color w:val="000000" w:themeColor="text1"/>
          <w:sz w:val="22"/>
          <w:szCs w:val="22"/>
        </w:rPr>
        <w:t xml:space="preserve"> </w:t>
      </w:r>
      <w:proofErr w:type="spellStart"/>
      <w:r w:rsidRPr="006B3587">
        <w:rPr>
          <w:color w:val="000000" w:themeColor="text1"/>
          <w:sz w:val="22"/>
          <w:szCs w:val="22"/>
        </w:rPr>
        <w:t>review</w:t>
      </w:r>
      <w:proofErr w:type="spellEnd"/>
      <w:r w:rsidRPr="006B3587">
        <w:rPr>
          <w:color w:val="000000" w:themeColor="text1"/>
          <w:sz w:val="22"/>
          <w:szCs w:val="22"/>
        </w:rPr>
        <w:t xml:space="preserve"> of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last</w:t>
      </w:r>
      <w:proofErr w:type="spellEnd"/>
      <w:r w:rsidRPr="006B3587">
        <w:rPr>
          <w:color w:val="000000" w:themeColor="text1"/>
          <w:sz w:val="22"/>
          <w:szCs w:val="22"/>
        </w:rPr>
        <w:t xml:space="preserve"> </w:t>
      </w:r>
      <w:proofErr w:type="spellStart"/>
      <w:r w:rsidRPr="006B3587">
        <w:rPr>
          <w:color w:val="000000" w:themeColor="text1"/>
          <w:sz w:val="22"/>
          <w:szCs w:val="22"/>
        </w:rPr>
        <w:t>decade</w:t>
      </w:r>
      <w:proofErr w:type="spellEnd"/>
      <w:r w:rsidRPr="006B3587">
        <w:rPr>
          <w:color w:val="000000" w:themeColor="text1"/>
          <w:sz w:val="22"/>
          <w:szCs w:val="22"/>
        </w:rPr>
        <w:t xml:space="preserve"> </w:t>
      </w:r>
      <w:proofErr w:type="spellStart"/>
      <w:r w:rsidRPr="006B3587">
        <w:rPr>
          <w:color w:val="000000" w:themeColor="text1"/>
          <w:sz w:val="22"/>
          <w:szCs w:val="22"/>
        </w:rPr>
        <w:t>scientific</w:t>
      </w:r>
      <w:proofErr w:type="spellEnd"/>
      <w:r w:rsidRPr="006B3587">
        <w:rPr>
          <w:color w:val="000000" w:themeColor="text1"/>
          <w:sz w:val="22"/>
          <w:szCs w:val="22"/>
        </w:rPr>
        <w:t xml:space="preserve"> </w:t>
      </w:r>
      <w:proofErr w:type="spellStart"/>
      <w:r w:rsidRPr="006B3587">
        <w:rPr>
          <w:color w:val="000000" w:themeColor="text1"/>
          <w:sz w:val="22"/>
          <w:szCs w:val="22"/>
        </w:rPr>
        <w:t>literature</w:t>
      </w:r>
      <w:proofErr w:type="spellEnd"/>
      <w:r w:rsidRPr="006B3587">
        <w:rPr>
          <w:color w:val="000000" w:themeColor="text1"/>
          <w:sz w:val="22"/>
          <w:szCs w:val="22"/>
        </w:rPr>
        <w:t xml:space="preserve">. Virtual </w:t>
      </w:r>
      <w:proofErr w:type="spellStart"/>
      <w:r w:rsidRPr="006B3587">
        <w:rPr>
          <w:color w:val="000000" w:themeColor="text1"/>
          <w:sz w:val="22"/>
          <w:szCs w:val="22"/>
        </w:rPr>
        <w:t>Reality</w:t>
      </w:r>
      <w:proofErr w:type="spellEnd"/>
      <w:r w:rsidRPr="006B3587">
        <w:rPr>
          <w:color w:val="000000" w:themeColor="text1"/>
          <w:sz w:val="22"/>
          <w:szCs w:val="22"/>
        </w:rPr>
        <w:t>, 25(3), 835-861.</w:t>
      </w:r>
    </w:p>
    <w:p w14:paraId="52207D6A" w14:textId="77777777" w:rsidR="006B3587" w:rsidRPr="006B3587" w:rsidRDefault="006B3587" w:rsidP="006B3587">
      <w:pPr>
        <w:jc w:val="both"/>
        <w:rPr>
          <w:color w:val="000000" w:themeColor="text1"/>
          <w:sz w:val="22"/>
          <w:szCs w:val="22"/>
        </w:rPr>
      </w:pPr>
      <w:r w:rsidRPr="006B3587">
        <w:rPr>
          <w:color w:val="000000" w:themeColor="text1"/>
          <w:sz w:val="22"/>
          <w:szCs w:val="22"/>
        </w:rPr>
        <w:t>41.</w:t>
      </w:r>
      <w:r w:rsidRPr="006B3587">
        <w:rPr>
          <w:color w:val="000000" w:themeColor="text1"/>
          <w:sz w:val="22"/>
          <w:szCs w:val="22"/>
        </w:rPr>
        <w:tab/>
      </w:r>
      <w:proofErr w:type="spellStart"/>
      <w:r w:rsidRPr="006B3587">
        <w:rPr>
          <w:color w:val="000000" w:themeColor="text1"/>
          <w:sz w:val="22"/>
          <w:szCs w:val="22"/>
        </w:rPr>
        <w:t>Sağcan</w:t>
      </w:r>
      <w:proofErr w:type="spellEnd"/>
      <w:r w:rsidRPr="006B3587">
        <w:rPr>
          <w:color w:val="000000" w:themeColor="text1"/>
          <w:sz w:val="22"/>
          <w:szCs w:val="22"/>
        </w:rPr>
        <w:t>, M. (1986). Rekreasyon ve turizm. İzmir: Cumhuriyet Basımevi.</w:t>
      </w:r>
    </w:p>
    <w:p w14:paraId="43783083" w14:textId="77777777" w:rsidR="006B3587" w:rsidRPr="006B3587" w:rsidRDefault="006B3587" w:rsidP="006B3587">
      <w:pPr>
        <w:jc w:val="both"/>
        <w:rPr>
          <w:color w:val="000000" w:themeColor="text1"/>
          <w:sz w:val="22"/>
          <w:szCs w:val="22"/>
        </w:rPr>
      </w:pPr>
      <w:r w:rsidRPr="006B3587">
        <w:rPr>
          <w:color w:val="000000" w:themeColor="text1"/>
          <w:sz w:val="22"/>
          <w:szCs w:val="22"/>
        </w:rPr>
        <w:t>42.</w:t>
      </w:r>
      <w:r w:rsidRPr="006B3587">
        <w:rPr>
          <w:color w:val="000000" w:themeColor="text1"/>
          <w:sz w:val="22"/>
          <w:szCs w:val="22"/>
        </w:rPr>
        <w:tab/>
        <w:t xml:space="preserve">Savaş, B. Ç. (2023). </w:t>
      </w:r>
      <w:proofErr w:type="spellStart"/>
      <w:r w:rsidRPr="006B3587">
        <w:rPr>
          <w:color w:val="000000" w:themeColor="text1"/>
          <w:sz w:val="22"/>
          <w:szCs w:val="22"/>
        </w:rPr>
        <w:t>Metaverse</w:t>
      </w:r>
      <w:proofErr w:type="spellEnd"/>
      <w:r w:rsidRPr="006B3587">
        <w:rPr>
          <w:color w:val="000000" w:themeColor="text1"/>
          <w:sz w:val="22"/>
          <w:szCs w:val="22"/>
        </w:rPr>
        <w:t xml:space="preserve"> ve Spor. Efe Akademi Yayınları.</w:t>
      </w:r>
    </w:p>
    <w:p w14:paraId="74E9E5BB" w14:textId="77777777" w:rsidR="006B3587" w:rsidRPr="006B3587" w:rsidRDefault="006B3587" w:rsidP="006B3587">
      <w:pPr>
        <w:jc w:val="both"/>
        <w:rPr>
          <w:color w:val="000000" w:themeColor="text1"/>
          <w:sz w:val="22"/>
          <w:szCs w:val="22"/>
        </w:rPr>
      </w:pPr>
      <w:r w:rsidRPr="006B3587">
        <w:rPr>
          <w:color w:val="000000" w:themeColor="text1"/>
          <w:sz w:val="22"/>
          <w:szCs w:val="22"/>
        </w:rPr>
        <w:t>43.</w:t>
      </w:r>
      <w:r w:rsidRPr="006B3587">
        <w:rPr>
          <w:color w:val="000000" w:themeColor="text1"/>
          <w:sz w:val="22"/>
          <w:szCs w:val="22"/>
        </w:rPr>
        <w:tab/>
        <w:t xml:space="preserve">Shang, J., Chen, S., </w:t>
      </w:r>
      <w:proofErr w:type="spellStart"/>
      <w:r w:rsidRPr="006B3587">
        <w:rPr>
          <w:color w:val="000000" w:themeColor="text1"/>
          <w:sz w:val="22"/>
          <w:szCs w:val="22"/>
        </w:rPr>
        <w:t>Wu</w:t>
      </w:r>
      <w:proofErr w:type="spellEnd"/>
      <w:r w:rsidRPr="006B3587">
        <w:rPr>
          <w:color w:val="000000" w:themeColor="text1"/>
          <w:sz w:val="22"/>
          <w:szCs w:val="22"/>
        </w:rPr>
        <w:t xml:space="preserve">, J., &amp; </w:t>
      </w:r>
      <w:proofErr w:type="spellStart"/>
      <w:r w:rsidRPr="006B3587">
        <w:rPr>
          <w:color w:val="000000" w:themeColor="text1"/>
          <w:sz w:val="22"/>
          <w:szCs w:val="22"/>
        </w:rPr>
        <w:t>Yin</w:t>
      </w:r>
      <w:proofErr w:type="spellEnd"/>
      <w:r w:rsidRPr="006B3587">
        <w:rPr>
          <w:color w:val="000000" w:themeColor="text1"/>
          <w:sz w:val="22"/>
          <w:szCs w:val="22"/>
        </w:rPr>
        <w:t xml:space="preserve">, S. (2020). </w:t>
      </w:r>
      <w:proofErr w:type="spellStart"/>
      <w:r w:rsidRPr="006B3587">
        <w:rPr>
          <w:color w:val="000000" w:themeColor="text1"/>
          <w:sz w:val="22"/>
          <w:szCs w:val="22"/>
        </w:rPr>
        <w:t>ARSpy</w:t>
      </w:r>
      <w:proofErr w:type="spellEnd"/>
      <w:r w:rsidRPr="006B3587">
        <w:rPr>
          <w:color w:val="000000" w:themeColor="text1"/>
          <w:sz w:val="22"/>
          <w:szCs w:val="22"/>
        </w:rPr>
        <w:t xml:space="preserve">: </w:t>
      </w:r>
      <w:proofErr w:type="spellStart"/>
      <w:r w:rsidRPr="006B3587">
        <w:rPr>
          <w:color w:val="000000" w:themeColor="text1"/>
          <w:sz w:val="22"/>
          <w:szCs w:val="22"/>
        </w:rPr>
        <w:t>Breaking</w:t>
      </w:r>
      <w:proofErr w:type="spellEnd"/>
      <w:r w:rsidRPr="006B3587">
        <w:rPr>
          <w:color w:val="000000" w:themeColor="text1"/>
          <w:sz w:val="22"/>
          <w:szCs w:val="22"/>
        </w:rPr>
        <w:t xml:space="preserve"> </w:t>
      </w:r>
      <w:proofErr w:type="spellStart"/>
      <w:r w:rsidRPr="006B3587">
        <w:rPr>
          <w:color w:val="000000" w:themeColor="text1"/>
          <w:sz w:val="22"/>
          <w:szCs w:val="22"/>
        </w:rPr>
        <w:t>location-based</w:t>
      </w:r>
      <w:proofErr w:type="spellEnd"/>
      <w:r w:rsidRPr="006B3587">
        <w:rPr>
          <w:color w:val="000000" w:themeColor="text1"/>
          <w:sz w:val="22"/>
          <w:szCs w:val="22"/>
        </w:rPr>
        <w:t xml:space="preserve"> </w:t>
      </w:r>
      <w:proofErr w:type="spellStart"/>
      <w:r w:rsidRPr="006B3587">
        <w:rPr>
          <w:color w:val="000000" w:themeColor="text1"/>
          <w:sz w:val="22"/>
          <w:szCs w:val="22"/>
        </w:rPr>
        <w:t>multi-player</w:t>
      </w:r>
      <w:proofErr w:type="spellEnd"/>
      <w:r w:rsidRPr="006B3587">
        <w:rPr>
          <w:color w:val="000000" w:themeColor="text1"/>
          <w:sz w:val="22"/>
          <w:szCs w:val="22"/>
        </w:rPr>
        <w:t xml:space="preserve"> </w:t>
      </w:r>
      <w:proofErr w:type="spellStart"/>
      <w:r w:rsidRPr="006B3587">
        <w:rPr>
          <w:color w:val="000000" w:themeColor="text1"/>
          <w:sz w:val="22"/>
          <w:szCs w:val="22"/>
        </w:rPr>
        <w:t>augmented</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w:t>
      </w:r>
      <w:proofErr w:type="spellStart"/>
      <w:r w:rsidRPr="006B3587">
        <w:rPr>
          <w:color w:val="000000" w:themeColor="text1"/>
          <w:sz w:val="22"/>
          <w:szCs w:val="22"/>
        </w:rPr>
        <w:t>application</w:t>
      </w:r>
      <w:proofErr w:type="spellEnd"/>
      <w:r w:rsidRPr="006B3587">
        <w:rPr>
          <w:color w:val="000000" w:themeColor="text1"/>
          <w:sz w:val="22"/>
          <w:szCs w:val="22"/>
        </w:rPr>
        <w:t xml:space="preserve"> </w:t>
      </w:r>
      <w:proofErr w:type="spellStart"/>
      <w:r w:rsidRPr="006B3587">
        <w:rPr>
          <w:color w:val="000000" w:themeColor="text1"/>
          <w:sz w:val="22"/>
          <w:szCs w:val="22"/>
        </w:rPr>
        <w:t>for</w:t>
      </w:r>
      <w:proofErr w:type="spellEnd"/>
      <w:r w:rsidRPr="006B3587">
        <w:rPr>
          <w:color w:val="000000" w:themeColor="text1"/>
          <w:sz w:val="22"/>
          <w:szCs w:val="22"/>
        </w:rPr>
        <w:t xml:space="preserve"> user </w:t>
      </w:r>
      <w:proofErr w:type="spellStart"/>
      <w:r w:rsidRPr="006B3587">
        <w:rPr>
          <w:color w:val="000000" w:themeColor="text1"/>
          <w:sz w:val="22"/>
          <w:szCs w:val="22"/>
        </w:rPr>
        <w:t>location</w:t>
      </w:r>
      <w:proofErr w:type="spellEnd"/>
      <w:r w:rsidRPr="006B3587">
        <w:rPr>
          <w:color w:val="000000" w:themeColor="text1"/>
          <w:sz w:val="22"/>
          <w:szCs w:val="22"/>
        </w:rPr>
        <w:t xml:space="preserve"> </w:t>
      </w:r>
      <w:proofErr w:type="spellStart"/>
      <w:r w:rsidRPr="006B3587">
        <w:rPr>
          <w:color w:val="000000" w:themeColor="text1"/>
          <w:sz w:val="22"/>
          <w:szCs w:val="22"/>
        </w:rPr>
        <w:t>tracking</w:t>
      </w:r>
      <w:proofErr w:type="spellEnd"/>
      <w:r w:rsidRPr="006B3587">
        <w:rPr>
          <w:color w:val="000000" w:themeColor="text1"/>
          <w:sz w:val="22"/>
          <w:szCs w:val="22"/>
        </w:rPr>
        <w:t xml:space="preserve">. IEEE </w:t>
      </w:r>
      <w:proofErr w:type="spellStart"/>
      <w:r w:rsidRPr="006B3587">
        <w:rPr>
          <w:color w:val="000000" w:themeColor="text1"/>
          <w:sz w:val="22"/>
          <w:szCs w:val="22"/>
        </w:rPr>
        <w:t>Transactions</w:t>
      </w:r>
      <w:proofErr w:type="spellEnd"/>
      <w:r w:rsidRPr="006B3587">
        <w:rPr>
          <w:color w:val="000000" w:themeColor="text1"/>
          <w:sz w:val="22"/>
          <w:szCs w:val="22"/>
        </w:rPr>
        <w:t xml:space="preserve"> on Mobile Computing, 21(2), 433-447.</w:t>
      </w:r>
    </w:p>
    <w:p w14:paraId="4C1F3676" w14:textId="77777777" w:rsidR="006B3587" w:rsidRPr="006B3587" w:rsidRDefault="006B3587" w:rsidP="006B3587">
      <w:pPr>
        <w:jc w:val="both"/>
        <w:rPr>
          <w:color w:val="000000" w:themeColor="text1"/>
          <w:sz w:val="22"/>
          <w:szCs w:val="22"/>
        </w:rPr>
      </w:pPr>
      <w:r w:rsidRPr="006B3587">
        <w:rPr>
          <w:color w:val="000000" w:themeColor="text1"/>
          <w:sz w:val="22"/>
          <w:szCs w:val="22"/>
        </w:rPr>
        <w:t>44.</w:t>
      </w:r>
      <w:r w:rsidRPr="006B3587">
        <w:rPr>
          <w:color w:val="000000" w:themeColor="text1"/>
          <w:sz w:val="22"/>
          <w:szCs w:val="22"/>
        </w:rPr>
        <w:tab/>
      </w:r>
      <w:proofErr w:type="spellStart"/>
      <w:r w:rsidRPr="006B3587">
        <w:rPr>
          <w:color w:val="000000" w:themeColor="text1"/>
          <w:sz w:val="22"/>
          <w:szCs w:val="22"/>
        </w:rPr>
        <w:t>Slater</w:t>
      </w:r>
      <w:proofErr w:type="spellEnd"/>
      <w:r w:rsidRPr="006B3587">
        <w:rPr>
          <w:color w:val="000000" w:themeColor="text1"/>
          <w:sz w:val="22"/>
          <w:szCs w:val="22"/>
        </w:rPr>
        <w:t>, M., &amp; Sanchez-</w:t>
      </w:r>
      <w:proofErr w:type="spellStart"/>
      <w:r w:rsidRPr="006B3587">
        <w:rPr>
          <w:color w:val="000000" w:themeColor="text1"/>
          <w:sz w:val="22"/>
          <w:szCs w:val="22"/>
        </w:rPr>
        <w:t>Vives</w:t>
      </w:r>
      <w:proofErr w:type="spellEnd"/>
      <w:r w:rsidRPr="006B3587">
        <w:rPr>
          <w:color w:val="000000" w:themeColor="text1"/>
          <w:sz w:val="22"/>
          <w:szCs w:val="22"/>
        </w:rPr>
        <w:t xml:space="preserve">, M. V. (2016). </w:t>
      </w:r>
      <w:proofErr w:type="spellStart"/>
      <w:r w:rsidRPr="006B3587">
        <w:rPr>
          <w:color w:val="000000" w:themeColor="text1"/>
          <w:sz w:val="22"/>
          <w:szCs w:val="22"/>
        </w:rPr>
        <w:t>Enhancing</w:t>
      </w:r>
      <w:proofErr w:type="spellEnd"/>
      <w:r w:rsidRPr="006B3587">
        <w:rPr>
          <w:color w:val="000000" w:themeColor="text1"/>
          <w:sz w:val="22"/>
          <w:szCs w:val="22"/>
        </w:rPr>
        <w:t xml:space="preserve"> </w:t>
      </w:r>
      <w:proofErr w:type="spellStart"/>
      <w:r w:rsidRPr="006B3587">
        <w:rPr>
          <w:color w:val="000000" w:themeColor="text1"/>
          <w:sz w:val="22"/>
          <w:szCs w:val="22"/>
        </w:rPr>
        <w:t>our</w:t>
      </w:r>
      <w:proofErr w:type="spellEnd"/>
      <w:r w:rsidRPr="006B3587">
        <w:rPr>
          <w:color w:val="000000" w:themeColor="text1"/>
          <w:sz w:val="22"/>
          <w:szCs w:val="22"/>
        </w:rPr>
        <w:t xml:space="preserve"> </w:t>
      </w:r>
      <w:proofErr w:type="spellStart"/>
      <w:r w:rsidRPr="006B3587">
        <w:rPr>
          <w:color w:val="000000" w:themeColor="text1"/>
          <w:sz w:val="22"/>
          <w:szCs w:val="22"/>
        </w:rPr>
        <w:t>lives</w:t>
      </w:r>
      <w:proofErr w:type="spellEnd"/>
      <w:r w:rsidRPr="006B3587">
        <w:rPr>
          <w:color w:val="000000" w:themeColor="text1"/>
          <w:sz w:val="22"/>
          <w:szCs w:val="22"/>
        </w:rPr>
        <w:t xml:space="preserve"> </w:t>
      </w:r>
      <w:proofErr w:type="spellStart"/>
      <w:r w:rsidRPr="006B3587">
        <w:rPr>
          <w:color w:val="000000" w:themeColor="text1"/>
          <w:sz w:val="22"/>
          <w:szCs w:val="22"/>
        </w:rPr>
        <w:t>with</w:t>
      </w:r>
      <w:proofErr w:type="spellEnd"/>
      <w:r w:rsidRPr="006B3587">
        <w:rPr>
          <w:color w:val="000000" w:themeColor="text1"/>
          <w:sz w:val="22"/>
          <w:szCs w:val="22"/>
        </w:rPr>
        <w:t xml:space="preserve"> </w:t>
      </w:r>
      <w:proofErr w:type="spellStart"/>
      <w:r w:rsidRPr="006B3587">
        <w:rPr>
          <w:color w:val="000000" w:themeColor="text1"/>
          <w:sz w:val="22"/>
          <w:szCs w:val="22"/>
        </w:rPr>
        <w:t>immersive</w:t>
      </w:r>
      <w:proofErr w:type="spellEnd"/>
      <w:r w:rsidRPr="006B3587">
        <w:rPr>
          <w:color w:val="000000" w:themeColor="text1"/>
          <w:sz w:val="22"/>
          <w:szCs w:val="22"/>
        </w:rPr>
        <w:t xml:space="preserve"> </w:t>
      </w:r>
      <w:proofErr w:type="spellStart"/>
      <w:r w:rsidRPr="006B3587">
        <w:rPr>
          <w:color w:val="000000" w:themeColor="text1"/>
          <w:sz w:val="22"/>
          <w:szCs w:val="22"/>
        </w:rPr>
        <w:t>virtual</w:t>
      </w:r>
      <w:proofErr w:type="spellEnd"/>
      <w:r w:rsidRPr="006B3587">
        <w:rPr>
          <w:color w:val="000000" w:themeColor="text1"/>
          <w:sz w:val="22"/>
          <w:szCs w:val="22"/>
        </w:rPr>
        <w:t xml:space="preserve"> </w:t>
      </w:r>
      <w:proofErr w:type="spellStart"/>
      <w:r w:rsidRPr="006B3587">
        <w:rPr>
          <w:color w:val="000000" w:themeColor="text1"/>
          <w:sz w:val="22"/>
          <w:szCs w:val="22"/>
        </w:rPr>
        <w:t>reality</w:t>
      </w:r>
      <w:proofErr w:type="spellEnd"/>
      <w:r w:rsidRPr="006B3587">
        <w:rPr>
          <w:color w:val="000000" w:themeColor="text1"/>
          <w:sz w:val="22"/>
          <w:szCs w:val="22"/>
        </w:rPr>
        <w:t xml:space="preserve">. </w:t>
      </w:r>
      <w:proofErr w:type="spellStart"/>
      <w:r w:rsidRPr="006B3587">
        <w:rPr>
          <w:color w:val="000000" w:themeColor="text1"/>
          <w:sz w:val="22"/>
          <w:szCs w:val="22"/>
        </w:rPr>
        <w:t>Frontiers</w:t>
      </w:r>
      <w:proofErr w:type="spellEnd"/>
      <w:r w:rsidRPr="006B3587">
        <w:rPr>
          <w:color w:val="000000" w:themeColor="text1"/>
          <w:sz w:val="22"/>
          <w:szCs w:val="22"/>
        </w:rPr>
        <w:t xml:space="preserve"> in </w:t>
      </w:r>
      <w:proofErr w:type="spellStart"/>
      <w:r w:rsidRPr="006B3587">
        <w:rPr>
          <w:color w:val="000000" w:themeColor="text1"/>
          <w:sz w:val="22"/>
          <w:szCs w:val="22"/>
        </w:rPr>
        <w:t>Robotics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AI, 3(74).</w:t>
      </w:r>
    </w:p>
    <w:p w14:paraId="64792C8C" w14:textId="77777777" w:rsidR="006B3587" w:rsidRPr="006B3587" w:rsidRDefault="006B3587" w:rsidP="006B3587">
      <w:pPr>
        <w:jc w:val="both"/>
        <w:rPr>
          <w:color w:val="000000" w:themeColor="text1"/>
          <w:sz w:val="22"/>
          <w:szCs w:val="22"/>
        </w:rPr>
      </w:pPr>
      <w:r w:rsidRPr="006B3587">
        <w:rPr>
          <w:color w:val="000000" w:themeColor="text1"/>
          <w:sz w:val="22"/>
          <w:szCs w:val="22"/>
        </w:rPr>
        <w:t>45.</w:t>
      </w:r>
      <w:r w:rsidRPr="006B3587">
        <w:rPr>
          <w:color w:val="000000" w:themeColor="text1"/>
          <w:sz w:val="22"/>
          <w:szCs w:val="22"/>
        </w:rPr>
        <w:tab/>
        <w:t xml:space="preserve">Şener, A., Terzioğlu, R. G., &amp; Karabulut, E. (2007). Life </w:t>
      </w:r>
      <w:proofErr w:type="spellStart"/>
      <w:r w:rsidRPr="006B3587">
        <w:rPr>
          <w:color w:val="000000" w:themeColor="text1"/>
          <w:sz w:val="22"/>
          <w:szCs w:val="22"/>
        </w:rPr>
        <w:t>satisfaction</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leisure</w:t>
      </w:r>
      <w:proofErr w:type="spellEnd"/>
      <w:r w:rsidRPr="006B3587">
        <w:rPr>
          <w:color w:val="000000" w:themeColor="text1"/>
          <w:sz w:val="22"/>
          <w:szCs w:val="22"/>
        </w:rPr>
        <w:t xml:space="preserve"> </w:t>
      </w:r>
      <w:proofErr w:type="spellStart"/>
      <w:r w:rsidRPr="006B3587">
        <w:rPr>
          <w:color w:val="000000" w:themeColor="text1"/>
          <w:sz w:val="22"/>
          <w:szCs w:val="22"/>
        </w:rPr>
        <w:t>activities</w:t>
      </w:r>
      <w:proofErr w:type="spellEnd"/>
      <w:r w:rsidRPr="006B3587">
        <w:rPr>
          <w:color w:val="000000" w:themeColor="text1"/>
          <w:sz w:val="22"/>
          <w:szCs w:val="22"/>
        </w:rPr>
        <w:t xml:space="preserve"> </w:t>
      </w:r>
      <w:proofErr w:type="spellStart"/>
      <w:r w:rsidRPr="006B3587">
        <w:rPr>
          <w:color w:val="000000" w:themeColor="text1"/>
          <w:sz w:val="22"/>
          <w:szCs w:val="22"/>
        </w:rPr>
        <w:t>during</w:t>
      </w:r>
      <w:proofErr w:type="spellEnd"/>
      <w:r w:rsidRPr="006B3587">
        <w:rPr>
          <w:color w:val="000000" w:themeColor="text1"/>
          <w:sz w:val="22"/>
          <w:szCs w:val="22"/>
        </w:rPr>
        <w:t xml:space="preserve"> </w:t>
      </w:r>
      <w:proofErr w:type="spellStart"/>
      <w:r w:rsidRPr="006B3587">
        <w:rPr>
          <w:color w:val="000000" w:themeColor="text1"/>
          <w:sz w:val="22"/>
          <w:szCs w:val="22"/>
        </w:rPr>
        <w:t>men’s</w:t>
      </w:r>
      <w:proofErr w:type="spellEnd"/>
      <w:r w:rsidRPr="006B3587">
        <w:rPr>
          <w:color w:val="000000" w:themeColor="text1"/>
          <w:sz w:val="22"/>
          <w:szCs w:val="22"/>
        </w:rPr>
        <w:t xml:space="preserve"> </w:t>
      </w:r>
      <w:proofErr w:type="spellStart"/>
      <w:r w:rsidRPr="006B3587">
        <w:rPr>
          <w:color w:val="000000" w:themeColor="text1"/>
          <w:sz w:val="22"/>
          <w:szCs w:val="22"/>
        </w:rPr>
        <w:t>retirement</w:t>
      </w:r>
      <w:proofErr w:type="spellEnd"/>
      <w:r w:rsidRPr="006B3587">
        <w:rPr>
          <w:color w:val="000000" w:themeColor="text1"/>
          <w:sz w:val="22"/>
          <w:szCs w:val="22"/>
        </w:rPr>
        <w:t xml:space="preserve">: a </w:t>
      </w:r>
      <w:proofErr w:type="spellStart"/>
      <w:r w:rsidRPr="006B3587">
        <w:rPr>
          <w:color w:val="000000" w:themeColor="text1"/>
          <w:sz w:val="22"/>
          <w:szCs w:val="22"/>
        </w:rPr>
        <w:t>Turkish</w:t>
      </w:r>
      <w:proofErr w:type="spellEnd"/>
      <w:r w:rsidRPr="006B3587">
        <w:rPr>
          <w:color w:val="000000" w:themeColor="text1"/>
          <w:sz w:val="22"/>
          <w:szCs w:val="22"/>
        </w:rPr>
        <w:t xml:space="preserve"> </w:t>
      </w:r>
      <w:proofErr w:type="spellStart"/>
      <w:r w:rsidRPr="006B3587">
        <w:rPr>
          <w:color w:val="000000" w:themeColor="text1"/>
          <w:sz w:val="22"/>
          <w:szCs w:val="22"/>
        </w:rPr>
        <w:t>sample</w:t>
      </w:r>
      <w:proofErr w:type="spellEnd"/>
      <w:r w:rsidRPr="006B3587">
        <w:rPr>
          <w:color w:val="000000" w:themeColor="text1"/>
          <w:sz w:val="22"/>
          <w:szCs w:val="22"/>
        </w:rPr>
        <w:t xml:space="preserve">. </w:t>
      </w:r>
      <w:proofErr w:type="spellStart"/>
      <w:r w:rsidRPr="006B3587">
        <w:rPr>
          <w:color w:val="000000" w:themeColor="text1"/>
          <w:sz w:val="22"/>
          <w:szCs w:val="22"/>
        </w:rPr>
        <w:t>Aging</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Mental</w:t>
      </w:r>
      <w:proofErr w:type="spellEnd"/>
      <w:r w:rsidRPr="006B3587">
        <w:rPr>
          <w:color w:val="000000" w:themeColor="text1"/>
          <w:sz w:val="22"/>
          <w:szCs w:val="22"/>
        </w:rPr>
        <w:t xml:space="preserve"> </w:t>
      </w:r>
      <w:proofErr w:type="spellStart"/>
      <w:r w:rsidRPr="006B3587">
        <w:rPr>
          <w:color w:val="000000" w:themeColor="text1"/>
          <w:sz w:val="22"/>
          <w:szCs w:val="22"/>
        </w:rPr>
        <w:t>Health</w:t>
      </w:r>
      <w:proofErr w:type="spellEnd"/>
      <w:r w:rsidRPr="006B3587">
        <w:rPr>
          <w:color w:val="000000" w:themeColor="text1"/>
          <w:sz w:val="22"/>
          <w:szCs w:val="22"/>
        </w:rPr>
        <w:t>, 11(1), 30–36.</w:t>
      </w:r>
    </w:p>
    <w:p w14:paraId="17AEF557" w14:textId="77777777" w:rsidR="006B3587" w:rsidRPr="006B3587" w:rsidRDefault="006B3587" w:rsidP="006B3587">
      <w:pPr>
        <w:jc w:val="both"/>
        <w:rPr>
          <w:color w:val="000000" w:themeColor="text1"/>
          <w:sz w:val="22"/>
          <w:szCs w:val="22"/>
        </w:rPr>
      </w:pPr>
      <w:r w:rsidRPr="006B3587">
        <w:rPr>
          <w:color w:val="000000" w:themeColor="text1"/>
          <w:sz w:val="22"/>
          <w:szCs w:val="22"/>
        </w:rPr>
        <w:t>46.</w:t>
      </w:r>
      <w:r w:rsidRPr="006B3587">
        <w:rPr>
          <w:color w:val="000000" w:themeColor="text1"/>
          <w:sz w:val="22"/>
          <w:szCs w:val="22"/>
        </w:rPr>
        <w:tab/>
      </w:r>
      <w:proofErr w:type="spellStart"/>
      <w:r w:rsidRPr="006B3587">
        <w:rPr>
          <w:color w:val="000000" w:themeColor="text1"/>
          <w:sz w:val="22"/>
          <w:szCs w:val="22"/>
        </w:rPr>
        <w:t>Şenkardeş</w:t>
      </w:r>
      <w:proofErr w:type="spellEnd"/>
      <w:r w:rsidRPr="006B3587">
        <w:rPr>
          <w:color w:val="000000" w:themeColor="text1"/>
          <w:sz w:val="22"/>
          <w:szCs w:val="22"/>
        </w:rPr>
        <w:t xml:space="preserve">, İ. Ç. G. (2023). </w:t>
      </w:r>
      <w:proofErr w:type="spellStart"/>
      <w:r w:rsidRPr="006B3587">
        <w:rPr>
          <w:color w:val="000000" w:themeColor="text1"/>
          <w:sz w:val="22"/>
          <w:szCs w:val="22"/>
        </w:rPr>
        <w:t>Merkeziyetsiz</w:t>
      </w:r>
      <w:proofErr w:type="spellEnd"/>
      <w:r w:rsidRPr="006B3587">
        <w:rPr>
          <w:color w:val="000000" w:themeColor="text1"/>
          <w:sz w:val="22"/>
          <w:szCs w:val="22"/>
        </w:rPr>
        <w:t xml:space="preserve"> Kamusal Alan: </w:t>
      </w:r>
      <w:proofErr w:type="spellStart"/>
      <w:r w:rsidRPr="006B3587">
        <w:rPr>
          <w:color w:val="000000" w:themeColor="text1"/>
          <w:sz w:val="22"/>
          <w:szCs w:val="22"/>
        </w:rPr>
        <w:t>Metaverse</w:t>
      </w:r>
      <w:proofErr w:type="spellEnd"/>
      <w:r w:rsidRPr="006B3587">
        <w:rPr>
          <w:color w:val="000000" w:themeColor="text1"/>
          <w:sz w:val="22"/>
          <w:szCs w:val="22"/>
        </w:rPr>
        <w:t xml:space="preserve"> Bağlamında Kamusal Alanı Yeniden Düşünmek. Dumlupınar Üniversitesi Sosyal Bilimler Dergisi, (76), 149-159.</w:t>
      </w:r>
    </w:p>
    <w:p w14:paraId="2E06D576" w14:textId="77777777" w:rsidR="006B3587" w:rsidRPr="006B3587" w:rsidRDefault="006B3587" w:rsidP="006B3587">
      <w:pPr>
        <w:jc w:val="both"/>
        <w:rPr>
          <w:color w:val="000000" w:themeColor="text1"/>
          <w:sz w:val="22"/>
          <w:szCs w:val="22"/>
        </w:rPr>
      </w:pPr>
      <w:r w:rsidRPr="006B3587">
        <w:rPr>
          <w:color w:val="000000" w:themeColor="text1"/>
          <w:sz w:val="22"/>
          <w:szCs w:val="22"/>
        </w:rPr>
        <w:t>47.</w:t>
      </w:r>
      <w:r w:rsidRPr="006B3587">
        <w:rPr>
          <w:color w:val="000000" w:themeColor="text1"/>
          <w:sz w:val="22"/>
          <w:szCs w:val="22"/>
        </w:rPr>
        <w:tab/>
        <w:t>Şimşek H. (2011). Toplumsal cinsiyet eşitsizliğinin kadın üreme sağlığına etkisi: Türkiye örneği. DEÜ Tıp Fakültesi Dergisi, 25(2), 119-126.</w:t>
      </w:r>
    </w:p>
    <w:p w14:paraId="5737D4F3" w14:textId="77777777" w:rsidR="006B3587" w:rsidRPr="006B3587" w:rsidRDefault="006B3587" w:rsidP="006B3587">
      <w:pPr>
        <w:jc w:val="both"/>
        <w:rPr>
          <w:color w:val="000000" w:themeColor="text1"/>
          <w:sz w:val="22"/>
          <w:szCs w:val="22"/>
        </w:rPr>
      </w:pPr>
      <w:r w:rsidRPr="006B3587">
        <w:rPr>
          <w:color w:val="000000" w:themeColor="text1"/>
          <w:sz w:val="22"/>
          <w:szCs w:val="22"/>
        </w:rPr>
        <w:t>48.</w:t>
      </w:r>
      <w:r w:rsidRPr="006B3587">
        <w:rPr>
          <w:color w:val="000000" w:themeColor="text1"/>
          <w:sz w:val="22"/>
          <w:szCs w:val="22"/>
        </w:rPr>
        <w:tab/>
      </w:r>
      <w:proofErr w:type="spellStart"/>
      <w:r w:rsidRPr="006B3587">
        <w:rPr>
          <w:color w:val="000000" w:themeColor="text1"/>
          <w:sz w:val="22"/>
          <w:szCs w:val="22"/>
        </w:rPr>
        <w:t>Topaçoğlu</w:t>
      </w:r>
      <w:proofErr w:type="spellEnd"/>
      <w:r w:rsidRPr="006B3587">
        <w:rPr>
          <w:color w:val="000000" w:themeColor="text1"/>
          <w:sz w:val="22"/>
          <w:szCs w:val="22"/>
        </w:rPr>
        <w:t xml:space="preserve">, O. &amp; Kılavuz, M.E.S. (2022). Rekreasyon ve sosyalleşme açısından </w:t>
      </w:r>
      <w:proofErr w:type="spellStart"/>
      <w:r w:rsidRPr="006B3587">
        <w:rPr>
          <w:color w:val="000000" w:themeColor="text1"/>
          <w:sz w:val="22"/>
          <w:szCs w:val="22"/>
        </w:rPr>
        <w:t>metaverse</w:t>
      </w:r>
      <w:proofErr w:type="spellEnd"/>
      <w:r w:rsidRPr="006B3587">
        <w:rPr>
          <w:color w:val="000000" w:themeColor="text1"/>
          <w:sz w:val="22"/>
          <w:szCs w:val="22"/>
        </w:rPr>
        <w:t xml:space="preserve"> incelemesi. </w:t>
      </w:r>
      <w:proofErr w:type="spellStart"/>
      <w:r w:rsidRPr="006B3587">
        <w:rPr>
          <w:color w:val="000000" w:themeColor="text1"/>
          <w:sz w:val="22"/>
          <w:szCs w:val="22"/>
        </w:rPr>
        <w:t>Journal</w:t>
      </w:r>
      <w:proofErr w:type="spellEnd"/>
      <w:r w:rsidRPr="006B3587">
        <w:rPr>
          <w:color w:val="000000" w:themeColor="text1"/>
          <w:sz w:val="22"/>
          <w:szCs w:val="22"/>
        </w:rPr>
        <w:t xml:space="preserve"> of </w:t>
      </w:r>
      <w:proofErr w:type="spellStart"/>
      <w:r w:rsidRPr="006B3587">
        <w:rPr>
          <w:color w:val="000000" w:themeColor="text1"/>
          <w:sz w:val="22"/>
          <w:szCs w:val="22"/>
        </w:rPr>
        <w:t>Recreation</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Tourism</w:t>
      </w:r>
      <w:proofErr w:type="spellEnd"/>
      <w:r w:rsidRPr="006B3587">
        <w:rPr>
          <w:color w:val="000000" w:themeColor="text1"/>
          <w:sz w:val="22"/>
          <w:szCs w:val="22"/>
        </w:rPr>
        <w:t xml:space="preserve"> </w:t>
      </w:r>
      <w:proofErr w:type="spellStart"/>
      <w:r w:rsidRPr="006B3587">
        <w:rPr>
          <w:color w:val="000000" w:themeColor="text1"/>
          <w:sz w:val="22"/>
          <w:szCs w:val="22"/>
        </w:rPr>
        <w:t>Research</w:t>
      </w:r>
      <w:proofErr w:type="spellEnd"/>
      <w:r w:rsidRPr="006B3587">
        <w:rPr>
          <w:color w:val="000000" w:themeColor="text1"/>
          <w:sz w:val="22"/>
          <w:szCs w:val="22"/>
        </w:rPr>
        <w:t>, 9(3), 18-37.</w:t>
      </w:r>
    </w:p>
    <w:p w14:paraId="13F15A41" w14:textId="77777777" w:rsidR="006B3587" w:rsidRPr="006B3587" w:rsidRDefault="006B3587" w:rsidP="006B3587">
      <w:pPr>
        <w:jc w:val="both"/>
        <w:rPr>
          <w:color w:val="000000" w:themeColor="text1"/>
          <w:sz w:val="22"/>
          <w:szCs w:val="22"/>
        </w:rPr>
      </w:pPr>
      <w:r w:rsidRPr="006B3587">
        <w:rPr>
          <w:color w:val="000000" w:themeColor="text1"/>
          <w:sz w:val="22"/>
          <w:szCs w:val="22"/>
        </w:rPr>
        <w:t>49.</w:t>
      </w:r>
      <w:r w:rsidRPr="006B3587">
        <w:rPr>
          <w:color w:val="000000" w:themeColor="text1"/>
          <w:sz w:val="22"/>
          <w:szCs w:val="22"/>
        </w:rPr>
        <w:tab/>
        <w:t xml:space="preserve">Türkoğlu, H. S. </w:t>
      </w:r>
      <w:proofErr w:type="spellStart"/>
      <w:r w:rsidRPr="006B3587">
        <w:rPr>
          <w:color w:val="000000" w:themeColor="text1"/>
          <w:sz w:val="22"/>
          <w:szCs w:val="22"/>
        </w:rPr>
        <w:t>Metaverse</w:t>
      </w:r>
      <w:proofErr w:type="spellEnd"/>
      <w:r w:rsidRPr="006B3587">
        <w:rPr>
          <w:color w:val="000000" w:themeColor="text1"/>
          <w:sz w:val="22"/>
          <w:szCs w:val="22"/>
        </w:rPr>
        <w:t xml:space="preserve">: Meta medya kavramı üzerinden sürükleyici </w:t>
      </w:r>
      <w:proofErr w:type="spellStart"/>
      <w:r w:rsidRPr="006B3587">
        <w:rPr>
          <w:color w:val="000000" w:themeColor="text1"/>
          <w:sz w:val="22"/>
          <w:szCs w:val="22"/>
        </w:rPr>
        <w:t>gazeteticilik</w:t>
      </w:r>
      <w:proofErr w:type="spellEnd"/>
      <w:r w:rsidRPr="006B3587">
        <w:rPr>
          <w:color w:val="000000" w:themeColor="text1"/>
          <w:sz w:val="22"/>
          <w:szCs w:val="22"/>
        </w:rPr>
        <w:t xml:space="preserve"> üzerine bir </w:t>
      </w:r>
      <w:proofErr w:type="spellStart"/>
      <w:r w:rsidRPr="006B3587">
        <w:rPr>
          <w:color w:val="000000" w:themeColor="text1"/>
          <w:sz w:val="22"/>
          <w:szCs w:val="22"/>
        </w:rPr>
        <w:t>incelemE</w:t>
      </w:r>
      <w:proofErr w:type="spellEnd"/>
      <w:r w:rsidRPr="006B3587">
        <w:rPr>
          <w:color w:val="000000" w:themeColor="text1"/>
          <w:sz w:val="22"/>
          <w:szCs w:val="22"/>
        </w:rPr>
        <w:t xml:space="preserve">. Uluslararası </w:t>
      </w:r>
      <w:proofErr w:type="gramStart"/>
      <w:r w:rsidRPr="006B3587">
        <w:rPr>
          <w:color w:val="000000" w:themeColor="text1"/>
          <w:sz w:val="22"/>
          <w:szCs w:val="22"/>
        </w:rPr>
        <w:t>Beşeri</w:t>
      </w:r>
      <w:proofErr w:type="gramEnd"/>
      <w:r w:rsidRPr="006B3587">
        <w:rPr>
          <w:color w:val="000000" w:themeColor="text1"/>
          <w:sz w:val="22"/>
          <w:szCs w:val="22"/>
        </w:rPr>
        <w:t xml:space="preserve"> ve Sosyal Bilimler İnceleme Dergisi, 7(2), 77-86.</w:t>
      </w:r>
    </w:p>
    <w:p w14:paraId="2D201946" w14:textId="77777777" w:rsidR="006B3587" w:rsidRPr="006B3587" w:rsidRDefault="006B3587" w:rsidP="006B3587">
      <w:pPr>
        <w:jc w:val="both"/>
        <w:rPr>
          <w:color w:val="000000" w:themeColor="text1"/>
          <w:sz w:val="22"/>
          <w:szCs w:val="22"/>
        </w:rPr>
      </w:pPr>
      <w:r w:rsidRPr="006B3587">
        <w:rPr>
          <w:color w:val="000000" w:themeColor="text1"/>
          <w:sz w:val="22"/>
          <w:szCs w:val="22"/>
        </w:rPr>
        <w:t>50.</w:t>
      </w:r>
      <w:r w:rsidRPr="006B3587">
        <w:rPr>
          <w:color w:val="000000" w:themeColor="text1"/>
          <w:sz w:val="22"/>
          <w:szCs w:val="22"/>
        </w:rPr>
        <w:tab/>
        <w:t>Tütüncü, Ö. (2012). Rekreasyon ve rekreasyon terapisinin yaşam kalitesindeki rolü. Anatolia: Turizm Araştırmaları Dergisi, 23(2), 248-252.</w:t>
      </w:r>
    </w:p>
    <w:p w14:paraId="43766BF8" w14:textId="77777777" w:rsidR="006B3587" w:rsidRPr="006B3587" w:rsidRDefault="006B3587" w:rsidP="006B3587">
      <w:pPr>
        <w:jc w:val="both"/>
        <w:rPr>
          <w:color w:val="000000" w:themeColor="text1"/>
          <w:sz w:val="22"/>
          <w:szCs w:val="22"/>
        </w:rPr>
      </w:pPr>
      <w:r w:rsidRPr="006B3587">
        <w:rPr>
          <w:color w:val="000000" w:themeColor="text1"/>
          <w:sz w:val="22"/>
          <w:szCs w:val="22"/>
        </w:rPr>
        <w:t>51.</w:t>
      </w:r>
      <w:r w:rsidRPr="006B3587">
        <w:rPr>
          <w:color w:val="000000" w:themeColor="text1"/>
          <w:sz w:val="22"/>
          <w:szCs w:val="22"/>
        </w:rPr>
        <w:tab/>
        <w:t xml:space="preserve">Tütüncü, Ö., Aydın, İ., </w:t>
      </w:r>
      <w:proofErr w:type="spellStart"/>
      <w:r w:rsidRPr="006B3587">
        <w:rPr>
          <w:color w:val="000000" w:themeColor="text1"/>
          <w:sz w:val="22"/>
          <w:szCs w:val="22"/>
        </w:rPr>
        <w:t>Küçükusta</w:t>
      </w:r>
      <w:proofErr w:type="spellEnd"/>
      <w:r w:rsidRPr="006B3587">
        <w:rPr>
          <w:color w:val="000000" w:themeColor="text1"/>
          <w:sz w:val="22"/>
          <w:szCs w:val="22"/>
        </w:rPr>
        <w:t>, D., Avcı, N., &amp; Taş, İ. (2011). Üniversite öğrencilerinin rekreasyon faaliyetlerine katılımını etkileyen unsurların analizi. Spor Bilimleri Dergisi, 22(2), 69-83.</w:t>
      </w:r>
    </w:p>
    <w:p w14:paraId="3118E542" w14:textId="77777777" w:rsidR="006B3587" w:rsidRPr="006B3587" w:rsidRDefault="006B3587" w:rsidP="006B3587">
      <w:pPr>
        <w:jc w:val="both"/>
        <w:rPr>
          <w:color w:val="000000" w:themeColor="text1"/>
          <w:sz w:val="22"/>
          <w:szCs w:val="22"/>
        </w:rPr>
      </w:pPr>
      <w:r w:rsidRPr="006B3587">
        <w:rPr>
          <w:color w:val="000000" w:themeColor="text1"/>
          <w:sz w:val="22"/>
          <w:szCs w:val="22"/>
        </w:rPr>
        <w:t>52.</w:t>
      </w:r>
      <w:r w:rsidRPr="006B3587">
        <w:rPr>
          <w:color w:val="000000" w:themeColor="text1"/>
          <w:sz w:val="22"/>
          <w:szCs w:val="22"/>
        </w:rPr>
        <w:tab/>
        <w:t xml:space="preserve">Ülger, Y.T. &amp; Ülger, H.T. (2023). </w:t>
      </w:r>
      <w:proofErr w:type="spellStart"/>
      <w:r w:rsidRPr="006B3587">
        <w:rPr>
          <w:color w:val="000000" w:themeColor="text1"/>
          <w:sz w:val="22"/>
          <w:szCs w:val="22"/>
        </w:rPr>
        <w:t>Metaverse</w:t>
      </w:r>
      <w:proofErr w:type="spellEnd"/>
      <w:r w:rsidRPr="006B3587">
        <w:rPr>
          <w:color w:val="000000" w:themeColor="text1"/>
          <w:sz w:val="22"/>
          <w:szCs w:val="22"/>
        </w:rPr>
        <w:t xml:space="preserve"> Evrenine Giriş Yapan Markalar Üzerine Bir İnceleme. Aksaray Üniversitesi İktisadi ve İdari Bilimler Fakültesi Dergisi, 15(1), 111-124.</w:t>
      </w:r>
    </w:p>
    <w:p w14:paraId="231FD87D" w14:textId="77777777" w:rsidR="006B3587" w:rsidRPr="006B3587" w:rsidRDefault="006B3587" w:rsidP="006B3587">
      <w:pPr>
        <w:jc w:val="both"/>
        <w:rPr>
          <w:color w:val="000000" w:themeColor="text1"/>
          <w:sz w:val="22"/>
          <w:szCs w:val="22"/>
        </w:rPr>
      </w:pPr>
      <w:r w:rsidRPr="006B3587">
        <w:rPr>
          <w:color w:val="000000" w:themeColor="text1"/>
          <w:sz w:val="22"/>
          <w:szCs w:val="22"/>
        </w:rPr>
        <w:lastRenderedPageBreak/>
        <w:t>53.</w:t>
      </w:r>
      <w:r w:rsidRPr="006B3587">
        <w:rPr>
          <w:color w:val="000000" w:themeColor="text1"/>
          <w:sz w:val="22"/>
          <w:szCs w:val="22"/>
        </w:rPr>
        <w:tab/>
        <w:t xml:space="preserve">Wang, Y., Su, Z., Zhang, N., </w:t>
      </w:r>
      <w:proofErr w:type="spellStart"/>
      <w:r w:rsidRPr="006B3587">
        <w:rPr>
          <w:color w:val="000000" w:themeColor="text1"/>
          <w:sz w:val="22"/>
          <w:szCs w:val="22"/>
        </w:rPr>
        <w:t>Xing</w:t>
      </w:r>
      <w:proofErr w:type="spellEnd"/>
      <w:r w:rsidRPr="006B3587">
        <w:rPr>
          <w:color w:val="000000" w:themeColor="text1"/>
          <w:sz w:val="22"/>
          <w:szCs w:val="22"/>
        </w:rPr>
        <w:t xml:space="preserve">, R., </w:t>
      </w:r>
      <w:proofErr w:type="spellStart"/>
      <w:r w:rsidRPr="006B3587">
        <w:rPr>
          <w:color w:val="000000" w:themeColor="text1"/>
          <w:sz w:val="22"/>
          <w:szCs w:val="22"/>
        </w:rPr>
        <w:t>Liu</w:t>
      </w:r>
      <w:proofErr w:type="spellEnd"/>
      <w:r w:rsidRPr="006B3587">
        <w:rPr>
          <w:color w:val="000000" w:themeColor="text1"/>
          <w:sz w:val="22"/>
          <w:szCs w:val="22"/>
        </w:rPr>
        <w:t xml:space="preserve">, D., </w:t>
      </w:r>
      <w:proofErr w:type="spellStart"/>
      <w:r w:rsidRPr="006B3587">
        <w:rPr>
          <w:color w:val="000000" w:themeColor="text1"/>
          <w:sz w:val="22"/>
          <w:szCs w:val="22"/>
        </w:rPr>
        <w:t>Luan</w:t>
      </w:r>
      <w:proofErr w:type="spellEnd"/>
      <w:r w:rsidRPr="006B3587">
        <w:rPr>
          <w:color w:val="000000" w:themeColor="text1"/>
          <w:sz w:val="22"/>
          <w:szCs w:val="22"/>
        </w:rPr>
        <w:t xml:space="preserve">, T. H., &amp; </w:t>
      </w:r>
      <w:proofErr w:type="spellStart"/>
      <w:r w:rsidRPr="006B3587">
        <w:rPr>
          <w:color w:val="000000" w:themeColor="text1"/>
          <w:sz w:val="22"/>
          <w:szCs w:val="22"/>
        </w:rPr>
        <w:t>Shen</w:t>
      </w:r>
      <w:proofErr w:type="spellEnd"/>
      <w:r w:rsidRPr="006B3587">
        <w:rPr>
          <w:color w:val="000000" w:themeColor="text1"/>
          <w:sz w:val="22"/>
          <w:szCs w:val="22"/>
        </w:rPr>
        <w:t xml:space="preserve">, X. (2022). A </w:t>
      </w:r>
      <w:proofErr w:type="spellStart"/>
      <w:r w:rsidRPr="006B3587">
        <w:rPr>
          <w:color w:val="000000" w:themeColor="text1"/>
          <w:sz w:val="22"/>
          <w:szCs w:val="22"/>
        </w:rPr>
        <w:t>survey</w:t>
      </w:r>
      <w:proofErr w:type="spellEnd"/>
      <w:r w:rsidRPr="006B3587">
        <w:rPr>
          <w:color w:val="000000" w:themeColor="text1"/>
          <w:sz w:val="22"/>
          <w:szCs w:val="22"/>
        </w:rPr>
        <w:t xml:space="preserve"> on </w:t>
      </w:r>
      <w:proofErr w:type="spellStart"/>
      <w:r w:rsidRPr="006B3587">
        <w:rPr>
          <w:color w:val="000000" w:themeColor="text1"/>
          <w:sz w:val="22"/>
          <w:szCs w:val="22"/>
        </w:rPr>
        <w:t>metaverse</w:t>
      </w:r>
      <w:proofErr w:type="spellEnd"/>
      <w:r w:rsidRPr="006B3587">
        <w:rPr>
          <w:color w:val="000000" w:themeColor="text1"/>
          <w:sz w:val="22"/>
          <w:szCs w:val="22"/>
        </w:rPr>
        <w:t xml:space="preserve">: Fundamentals, </w:t>
      </w:r>
      <w:proofErr w:type="spellStart"/>
      <w:r w:rsidRPr="006B3587">
        <w:rPr>
          <w:color w:val="000000" w:themeColor="text1"/>
          <w:sz w:val="22"/>
          <w:szCs w:val="22"/>
        </w:rPr>
        <w:t>security</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privacy</w:t>
      </w:r>
      <w:proofErr w:type="spellEnd"/>
      <w:r w:rsidRPr="006B3587">
        <w:rPr>
          <w:color w:val="000000" w:themeColor="text1"/>
          <w:sz w:val="22"/>
          <w:szCs w:val="22"/>
        </w:rPr>
        <w:t xml:space="preserve">. IEEE </w:t>
      </w:r>
      <w:proofErr w:type="spellStart"/>
      <w:r w:rsidRPr="006B3587">
        <w:rPr>
          <w:color w:val="000000" w:themeColor="text1"/>
          <w:sz w:val="22"/>
          <w:szCs w:val="22"/>
        </w:rPr>
        <w:t>communications</w:t>
      </w:r>
      <w:proofErr w:type="spellEnd"/>
      <w:r w:rsidRPr="006B3587">
        <w:rPr>
          <w:color w:val="000000" w:themeColor="text1"/>
          <w:sz w:val="22"/>
          <w:szCs w:val="22"/>
        </w:rPr>
        <w:t xml:space="preserve"> </w:t>
      </w:r>
      <w:proofErr w:type="spellStart"/>
      <w:r w:rsidRPr="006B3587">
        <w:rPr>
          <w:color w:val="000000" w:themeColor="text1"/>
          <w:sz w:val="22"/>
          <w:szCs w:val="22"/>
        </w:rPr>
        <w:t>surveys</w:t>
      </w:r>
      <w:proofErr w:type="spellEnd"/>
      <w:r w:rsidRPr="006B3587">
        <w:rPr>
          <w:color w:val="000000" w:themeColor="text1"/>
          <w:sz w:val="22"/>
          <w:szCs w:val="22"/>
        </w:rPr>
        <w:t xml:space="preserve"> &amp; </w:t>
      </w:r>
      <w:proofErr w:type="spellStart"/>
      <w:r w:rsidRPr="006B3587">
        <w:rPr>
          <w:color w:val="000000" w:themeColor="text1"/>
          <w:sz w:val="22"/>
          <w:szCs w:val="22"/>
        </w:rPr>
        <w:t>tutorials</w:t>
      </w:r>
      <w:proofErr w:type="spellEnd"/>
      <w:r w:rsidRPr="006B3587">
        <w:rPr>
          <w:color w:val="000000" w:themeColor="text1"/>
          <w:sz w:val="22"/>
          <w:szCs w:val="22"/>
        </w:rPr>
        <w:t>, 25(1), 319-352. doi:10.1109/COMST.2022.3202047</w:t>
      </w:r>
    </w:p>
    <w:p w14:paraId="17C10024" w14:textId="77777777" w:rsidR="006B3587" w:rsidRPr="006B3587" w:rsidRDefault="006B3587" w:rsidP="006B3587">
      <w:pPr>
        <w:jc w:val="both"/>
        <w:rPr>
          <w:color w:val="000000" w:themeColor="text1"/>
          <w:sz w:val="22"/>
          <w:szCs w:val="22"/>
        </w:rPr>
      </w:pPr>
      <w:r w:rsidRPr="006B3587">
        <w:rPr>
          <w:color w:val="000000" w:themeColor="text1"/>
          <w:sz w:val="22"/>
          <w:szCs w:val="22"/>
        </w:rPr>
        <w:t>54.</w:t>
      </w:r>
      <w:r w:rsidRPr="006B3587">
        <w:rPr>
          <w:color w:val="000000" w:themeColor="text1"/>
          <w:sz w:val="22"/>
          <w:szCs w:val="22"/>
        </w:rPr>
        <w:tab/>
        <w:t xml:space="preserve">Xu, M., Ng, W. C., </w:t>
      </w:r>
      <w:proofErr w:type="spellStart"/>
      <w:r w:rsidRPr="006B3587">
        <w:rPr>
          <w:color w:val="000000" w:themeColor="text1"/>
          <w:sz w:val="22"/>
          <w:szCs w:val="22"/>
        </w:rPr>
        <w:t>Lim</w:t>
      </w:r>
      <w:proofErr w:type="spellEnd"/>
      <w:r w:rsidRPr="006B3587">
        <w:rPr>
          <w:color w:val="000000" w:themeColor="text1"/>
          <w:sz w:val="22"/>
          <w:szCs w:val="22"/>
        </w:rPr>
        <w:t xml:space="preserve">, W. Y., </w:t>
      </w:r>
      <w:proofErr w:type="spellStart"/>
      <w:r w:rsidRPr="006B3587">
        <w:rPr>
          <w:color w:val="000000" w:themeColor="text1"/>
          <w:sz w:val="22"/>
          <w:szCs w:val="22"/>
        </w:rPr>
        <w:t>Kang</w:t>
      </w:r>
      <w:proofErr w:type="spellEnd"/>
      <w:r w:rsidRPr="006B3587">
        <w:rPr>
          <w:color w:val="000000" w:themeColor="text1"/>
          <w:sz w:val="22"/>
          <w:szCs w:val="22"/>
        </w:rPr>
        <w:t xml:space="preserve">, J., </w:t>
      </w:r>
      <w:proofErr w:type="spellStart"/>
      <w:r w:rsidRPr="006B3587">
        <w:rPr>
          <w:color w:val="000000" w:themeColor="text1"/>
          <w:sz w:val="22"/>
          <w:szCs w:val="22"/>
        </w:rPr>
        <w:t>Xiong</w:t>
      </w:r>
      <w:proofErr w:type="spellEnd"/>
      <w:r w:rsidRPr="006B3587">
        <w:rPr>
          <w:color w:val="000000" w:themeColor="text1"/>
          <w:sz w:val="22"/>
          <w:szCs w:val="22"/>
        </w:rPr>
        <w:t xml:space="preserve">, Z., </w:t>
      </w:r>
      <w:proofErr w:type="spellStart"/>
      <w:r w:rsidRPr="006B3587">
        <w:rPr>
          <w:color w:val="000000" w:themeColor="text1"/>
          <w:sz w:val="22"/>
          <w:szCs w:val="22"/>
        </w:rPr>
        <w:t>Niyato</w:t>
      </w:r>
      <w:proofErr w:type="spellEnd"/>
      <w:r w:rsidRPr="006B3587">
        <w:rPr>
          <w:color w:val="000000" w:themeColor="text1"/>
          <w:sz w:val="22"/>
          <w:szCs w:val="22"/>
        </w:rPr>
        <w:t xml:space="preserve">, D., . . . </w:t>
      </w:r>
      <w:proofErr w:type="spellStart"/>
      <w:r w:rsidRPr="006B3587">
        <w:rPr>
          <w:color w:val="000000" w:themeColor="text1"/>
          <w:sz w:val="22"/>
          <w:szCs w:val="22"/>
        </w:rPr>
        <w:t>Miao</w:t>
      </w:r>
      <w:proofErr w:type="spellEnd"/>
      <w:r w:rsidRPr="006B3587">
        <w:rPr>
          <w:color w:val="000000" w:themeColor="text1"/>
          <w:sz w:val="22"/>
          <w:szCs w:val="22"/>
        </w:rPr>
        <w:t xml:space="preserve">, C. (2022). A </w:t>
      </w:r>
      <w:proofErr w:type="spellStart"/>
      <w:r w:rsidRPr="006B3587">
        <w:rPr>
          <w:color w:val="000000" w:themeColor="text1"/>
          <w:sz w:val="22"/>
          <w:szCs w:val="22"/>
        </w:rPr>
        <w:t>full</w:t>
      </w:r>
      <w:proofErr w:type="spellEnd"/>
      <w:r w:rsidRPr="006B3587">
        <w:rPr>
          <w:color w:val="000000" w:themeColor="text1"/>
          <w:sz w:val="22"/>
          <w:szCs w:val="22"/>
        </w:rPr>
        <w:t xml:space="preserve"> </w:t>
      </w:r>
      <w:proofErr w:type="spellStart"/>
      <w:r w:rsidRPr="006B3587">
        <w:rPr>
          <w:color w:val="000000" w:themeColor="text1"/>
          <w:sz w:val="22"/>
          <w:szCs w:val="22"/>
        </w:rPr>
        <w:t>dive</w:t>
      </w:r>
      <w:proofErr w:type="spellEnd"/>
      <w:r w:rsidRPr="006B3587">
        <w:rPr>
          <w:color w:val="000000" w:themeColor="text1"/>
          <w:sz w:val="22"/>
          <w:szCs w:val="22"/>
        </w:rPr>
        <w:t xml:space="preserve"> </w:t>
      </w:r>
      <w:proofErr w:type="spellStart"/>
      <w:r w:rsidRPr="006B3587">
        <w:rPr>
          <w:color w:val="000000" w:themeColor="text1"/>
          <w:sz w:val="22"/>
          <w:szCs w:val="22"/>
        </w:rPr>
        <w:t>into</w:t>
      </w:r>
      <w:proofErr w:type="spellEnd"/>
      <w:r w:rsidRPr="006B3587">
        <w:rPr>
          <w:color w:val="000000" w:themeColor="text1"/>
          <w:sz w:val="22"/>
          <w:szCs w:val="22"/>
        </w:rPr>
        <w:t xml:space="preserve"> </w:t>
      </w:r>
      <w:proofErr w:type="spellStart"/>
      <w:r w:rsidRPr="006B3587">
        <w:rPr>
          <w:color w:val="000000" w:themeColor="text1"/>
          <w:sz w:val="22"/>
          <w:szCs w:val="22"/>
        </w:rPr>
        <w:t>realizing</w:t>
      </w:r>
      <w:proofErr w:type="spellEnd"/>
      <w:r w:rsidRPr="006B3587">
        <w:rPr>
          <w:color w:val="000000" w:themeColor="text1"/>
          <w:sz w:val="22"/>
          <w:szCs w:val="22"/>
        </w:rPr>
        <w:t xml:space="preserve">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edge-enabled</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w:t>
      </w:r>
      <w:proofErr w:type="spellStart"/>
      <w:r w:rsidRPr="006B3587">
        <w:rPr>
          <w:color w:val="000000" w:themeColor="text1"/>
          <w:sz w:val="22"/>
          <w:szCs w:val="22"/>
        </w:rPr>
        <w:t>Visions</w:t>
      </w:r>
      <w:proofErr w:type="spellEnd"/>
      <w:r w:rsidRPr="006B3587">
        <w:rPr>
          <w:color w:val="000000" w:themeColor="text1"/>
          <w:sz w:val="22"/>
          <w:szCs w:val="22"/>
        </w:rPr>
        <w:t xml:space="preserve">, </w:t>
      </w:r>
      <w:proofErr w:type="spellStart"/>
      <w:r w:rsidRPr="006B3587">
        <w:rPr>
          <w:color w:val="000000" w:themeColor="text1"/>
          <w:sz w:val="22"/>
          <w:szCs w:val="22"/>
        </w:rPr>
        <w:t>enabling</w:t>
      </w:r>
      <w:proofErr w:type="spellEnd"/>
      <w:r w:rsidRPr="006B3587">
        <w:rPr>
          <w:color w:val="000000" w:themeColor="text1"/>
          <w:sz w:val="22"/>
          <w:szCs w:val="22"/>
        </w:rPr>
        <w:t xml:space="preserve"> </w:t>
      </w:r>
      <w:proofErr w:type="spellStart"/>
      <w:r w:rsidRPr="006B3587">
        <w:rPr>
          <w:color w:val="000000" w:themeColor="text1"/>
          <w:sz w:val="22"/>
          <w:szCs w:val="22"/>
        </w:rPr>
        <w:t>technologies</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w:t>
      </w:r>
      <w:proofErr w:type="spellStart"/>
      <w:r w:rsidRPr="006B3587">
        <w:rPr>
          <w:color w:val="000000" w:themeColor="text1"/>
          <w:sz w:val="22"/>
          <w:szCs w:val="22"/>
        </w:rPr>
        <w:t>challenges</w:t>
      </w:r>
      <w:proofErr w:type="spellEnd"/>
      <w:r w:rsidRPr="006B3587">
        <w:rPr>
          <w:color w:val="000000" w:themeColor="text1"/>
          <w:sz w:val="22"/>
          <w:szCs w:val="22"/>
        </w:rPr>
        <w:t xml:space="preserve">. IEEE Communications </w:t>
      </w:r>
      <w:proofErr w:type="spellStart"/>
      <w:r w:rsidRPr="006B3587">
        <w:rPr>
          <w:color w:val="000000" w:themeColor="text1"/>
          <w:sz w:val="22"/>
          <w:szCs w:val="22"/>
        </w:rPr>
        <w:t>Surveys</w:t>
      </w:r>
      <w:proofErr w:type="spellEnd"/>
      <w:r w:rsidRPr="006B3587">
        <w:rPr>
          <w:color w:val="000000" w:themeColor="text1"/>
          <w:sz w:val="22"/>
          <w:szCs w:val="22"/>
        </w:rPr>
        <w:t xml:space="preserve"> &amp; </w:t>
      </w:r>
      <w:proofErr w:type="spellStart"/>
      <w:r w:rsidRPr="006B3587">
        <w:rPr>
          <w:color w:val="000000" w:themeColor="text1"/>
          <w:sz w:val="22"/>
          <w:szCs w:val="22"/>
        </w:rPr>
        <w:t>Tutorials</w:t>
      </w:r>
      <w:proofErr w:type="spellEnd"/>
      <w:r w:rsidRPr="006B3587">
        <w:rPr>
          <w:color w:val="000000" w:themeColor="text1"/>
          <w:sz w:val="22"/>
          <w:szCs w:val="22"/>
        </w:rPr>
        <w:t>, 25(1), 656-700.</w:t>
      </w:r>
    </w:p>
    <w:p w14:paraId="622F188D" w14:textId="77777777" w:rsidR="006B3587" w:rsidRPr="006B3587" w:rsidRDefault="006B3587" w:rsidP="006B3587">
      <w:pPr>
        <w:jc w:val="both"/>
        <w:rPr>
          <w:color w:val="000000" w:themeColor="text1"/>
          <w:sz w:val="22"/>
          <w:szCs w:val="22"/>
        </w:rPr>
      </w:pPr>
      <w:r w:rsidRPr="006B3587">
        <w:rPr>
          <w:color w:val="000000" w:themeColor="text1"/>
          <w:sz w:val="22"/>
          <w:szCs w:val="22"/>
        </w:rPr>
        <w:t>55.</w:t>
      </w:r>
      <w:r w:rsidRPr="006B3587">
        <w:rPr>
          <w:color w:val="000000" w:themeColor="text1"/>
          <w:sz w:val="22"/>
          <w:szCs w:val="22"/>
        </w:rPr>
        <w:tab/>
        <w:t xml:space="preserve">Yang, Q., Zhao, Y., Huang, H., </w:t>
      </w:r>
      <w:proofErr w:type="spellStart"/>
      <w:r w:rsidRPr="006B3587">
        <w:rPr>
          <w:color w:val="000000" w:themeColor="text1"/>
          <w:sz w:val="22"/>
          <w:szCs w:val="22"/>
        </w:rPr>
        <w:t>Xiong</w:t>
      </w:r>
      <w:proofErr w:type="spellEnd"/>
      <w:r w:rsidRPr="006B3587">
        <w:rPr>
          <w:color w:val="000000" w:themeColor="text1"/>
          <w:sz w:val="22"/>
          <w:szCs w:val="22"/>
        </w:rPr>
        <w:t xml:space="preserve">, Z., </w:t>
      </w:r>
      <w:proofErr w:type="spellStart"/>
      <w:r w:rsidRPr="006B3587">
        <w:rPr>
          <w:color w:val="000000" w:themeColor="text1"/>
          <w:sz w:val="22"/>
          <w:szCs w:val="22"/>
        </w:rPr>
        <w:t>Kang</w:t>
      </w:r>
      <w:proofErr w:type="spellEnd"/>
      <w:r w:rsidRPr="006B3587">
        <w:rPr>
          <w:color w:val="000000" w:themeColor="text1"/>
          <w:sz w:val="22"/>
          <w:szCs w:val="22"/>
        </w:rPr>
        <w:t xml:space="preserve">, J., &amp; Zheng, Z. (2022). </w:t>
      </w:r>
      <w:proofErr w:type="spellStart"/>
      <w:r w:rsidRPr="006B3587">
        <w:rPr>
          <w:color w:val="000000" w:themeColor="text1"/>
          <w:sz w:val="22"/>
          <w:szCs w:val="22"/>
        </w:rPr>
        <w:t>Fusing</w:t>
      </w:r>
      <w:proofErr w:type="spellEnd"/>
      <w:r w:rsidRPr="006B3587">
        <w:rPr>
          <w:color w:val="000000" w:themeColor="text1"/>
          <w:sz w:val="22"/>
          <w:szCs w:val="22"/>
        </w:rPr>
        <w:t xml:space="preserve"> </w:t>
      </w:r>
      <w:proofErr w:type="spellStart"/>
      <w:r w:rsidRPr="006B3587">
        <w:rPr>
          <w:color w:val="000000" w:themeColor="text1"/>
          <w:sz w:val="22"/>
          <w:szCs w:val="22"/>
        </w:rPr>
        <w:t>blockchain</w:t>
      </w:r>
      <w:proofErr w:type="spellEnd"/>
      <w:r w:rsidRPr="006B3587">
        <w:rPr>
          <w:color w:val="000000" w:themeColor="text1"/>
          <w:sz w:val="22"/>
          <w:szCs w:val="22"/>
        </w:rPr>
        <w:t xml:space="preserve"> </w:t>
      </w:r>
      <w:proofErr w:type="spellStart"/>
      <w:r w:rsidRPr="006B3587">
        <w:rPr>
          <w:color w:val="000000" w:themeColor="text1"/>
          <w:sz w:val="22"/>
          <w:szCs w:val="22"/>
        </w:rPr>
        <w:t>and</w:t>
      </w:r>
      <w:proofErr w:type="spellEnd"/>
      <w:r w:rsidRPr="006B3587">
        <w:rPr>
          <w:color w:val="000000" w:themeColor="text1"/>
          <w:sz w:val="22"/>
          <w:szCs w:val="22"/>
        </w:rPr>
        <w:t xml:space="preserve"> AI </w:t>
      </w:r>
      <w:proofErr w:type="spellStart"/>
      <w:r w:rsidRPr="006B3587">
        <w:rPr>
          <w:color w:val="000000" w:themeColor="text1"/>
          <w:sz w:val="22"/>
          <w:szCs w:val="22"/>
        </w:rPr>
        <w:t>with</w:t>
      </w:r>
      <w:proofErr w:type="spellEnd"/>
      <w:r w:rsidRPr="006B3587">
        <w:rPr>
          <w:color w:val="000000" w:themeColor="text1"/>
          <w:sz w:val="22"/>
          <w:szCs w:val="22"/>
        </w:rPr>
        <w:t xml:space="preserve"> </w:t>
      </w:r>
      <w:proofErr w:type="spellStart"/>
      <w:r w:rsidRPr="006B3587">
        <w:rPr>
          <w:color w:val="000000" w:themeColor="text1"/>
          <w:sz w:val="22"/>
          <w:szCs w:val="22"/>
        </w:rPr>
        <w:t>metaverse</w:t>
      </w:r>
      <w:proofErr w:type="spellEnd"/>
      <w:r w:rsidRPr="006B3587">
        <w:rPr>
          <w:color w:val="000000" w:themeColor="text1"/>
          <w:sz w:val="22"/>
          <w:szCs w:val="22"/>
        </w:rPr>
        <w:t xml:space="preserve">: A </w:t>
      </w:r>
      <w:proofErr w:type="spellStart"/>
      <w:r w:rsidRPr="006B3587">
        <w:rPr>
          <w:color w:val="000000" w:themeColor="text1"/>
          <w:sz w:val="22"/>
          <w:szCs w:val="22"/>
        </w:rPr>
        <w:t>survey</w:t>
      </w:r>
      <w:proofErr w:type="spellEnd"/>
      <w:r w:rsidRPr="006B3587">
        <w:rPr>
          <w:color w:val="000000" w:themeColor="text1"/>
          <w:sz w:val="22"/>
          <w:szCs w:val="22"/>
        </w:rPr>
        <w:t xml:space="preserve">. IEEE Open </w:t>
      </w:r>
      <w:proofErr w:type="spellStart"/>
      <w:r w:rsidRPr="006B3587">
        <w:rPr>
          <w:color w:val="000000" w:themeColor="text1"/>
          <w:sz w:val="22"/>
          <w:szCs w:val="22"/>
        </w:rPr>
        <w:t>Journal</w:t>
      </w:r>
      <w:proofErr w:type="spellEnd"/>
      <w:r w:rsidRPr="006B3587">
        <w:rPr>
          <w:color w:val="000000" w:themeColor="text1"/>
          <w:sz w:val="22"/>
          <w:szCs w:val="22"/>
        </w:rPr>
        <w:t xml:space="preserve"> of </w:t>
      </w:r>
      <w:proofErr w:type="spellStart"/>
      <w:r w:rsidRPr="006B3587">
        <w:rPr>
          <w:color w:val="000000" w:themeColor="text1"/>
          <w:sz w:val="22"/>
          <w:szCs w:val="22"/>
        </w:rPr>
        <w:t>the</w:t>
      </w:r>
      <w:proofErr w:type="spellEnd"/>
      <w:r w:rsidRPr="006B3587">
        <w:rPr>
          <w:color w:val="000000" w:themeColor="text1"/>
          <w:sz w:val="22"/>
          <w:szCs w:val="22"/>
        </w:rPr>
        <w:t xml:space="preserve"> </w:t>
      </w:r>
      <w:proofErr w:type="spellStart"/>
      <w:r w:rsidRPr="006B3587">
        <w:rPr>
          <w:color w:val="000000" w:themeColor="text1"/>
          <w:sz w:val="22"/>
          <w:szCs w:val="22"/>
        </w:rPr>
        <w:t>Computer</w:t>
      </w:r>
      <w:proofErr w:type="spellEnd"/>
      <w:r w:rsidRPr="006B3587">
        <w:rPr>
          <w:color w:val="000000" w:themeColor="text1"/>
          <w:sz w:val="22"/>
          <w:szCs w:val="22"/>
        </w:rPr>
        <w:t xml:space="preserve"> </w:t>
      </w:r>
      <w:proofErr w:type="spellStart"/>
      <w:r w:rsidRPr="006B3587">
        <w:rPr>
          <w:color w:val="000000" w:themeColor="text1"/>
          <w:sz w:val="22"/>
          <w:szCs w:val="22"/>
        </w:rPr>
        <w:t>Society</w:t>
      </w:r>
      <w:proofErr w:type="spellEnd"/>
      <w:r w:rsidRPr="006B3587">
        <w:rPr>
          <w:color w:val="000000" w:themeColor="text1"/>
          <w:sz w:val="22"/>
          <w:szCs w:val="22"/>
        </w:rPr>
        <w:t>, 3, 122-136.</w:t>
      </w:r>
    </w:p>
    <w:p w14:paraId="31AC0B84" w14:textId="270D2CB2" w:rsidR="00FA457D" w:rsidRPr="00C56026" w:rsidRDefault="00FA457D" w:rsidP="00FA457D">
      <w:pPr>
        <w:jc w:val="both"/>
        <w:rPr>
          <w:color w:val="000000" w:themeColor="text1"/>
          <w:sz w:val="22"/>
          <w:szCs w:val="22"/>
        </w:rPr>
      </w:pPr>
    </w:p>
    <w:p w14:paraId="75274739" w14:textId="02DDB30E" w:rsidR="00FA457D" w:rsidRPr="00D37D80" w:rsidRDefault="00D37D80" w:rsidP="00D37D80">
      <w:pPr>
        <w:autoSpaceDE/>
        <w:autoSpaceDN/>
        <w:rPr>
          <w:color w:val="000000" w:themeColor="text1"/>
        </w:rPr>
      </w:pPr>
      <w:r>
        <w:rPr>
          <w:color w:val="000000" w:themeColor="text1"/>
        </w:rPr>
        <w:br w:type="page"/>
      </w:r>
    </w:p>
    <w:p w14:paraId="7EE439F5" w14:textId="77777777" w:rsidR="00FA457D" w:rsidRPr="00B1089D" w:rsidRDefault="00FA457D" w:rsidP="004C7694">
      <w:pPr>
        <w:pStyle w:val="Tark"/>
      </w:pPr>
      <w:bookmarkStart w:id="260" w:name="_Toc192855280"/>
      <w:r w:rsidRPr="00B1089D">
        <w:lastRenderedPageBreak/>
        <w:t xml:space="preserve">Sosyal Medya Reklam Özellikleri ile Tüketici Satın Alma Niyeti Arasındaki İlişki ve Marka Güveninin </w:t>
      </w:r>
      <w:proofErr w:type="spellStart"/>
      <w:r w:rsidRPr="00B1089D">
        <w:t>Moderatör</w:t>
      </w:r>
      <w:proofErr w:type="spellEnd"/>
      <w:r w:rsidRPr="00B1089D">
        <w:t xml:space="preserve"> Etkisinin İncelenmesi</w:t>
      </w:r>
      <w:bookmarkEnd w:id="260"/>
    </w:p>
    <w:p w14:paraId="14906DB5" w14:textId="77777777" w:rsidR="00FA457D" w:rsidRPr="00B1089D" w:rsidRDefault="00FA457D" w:rsidP="00FA457D">
      <w:pPr>
        <w:widowControl/>
        <w:jc w:val="center"/>
      </w:pPr>
    </w:p>
    <w:p w14:paraId="03CD7C6B" w14:textId="77777777" w:rsidR="00FA457D" w:rsidRPr="00B1089D" w:rsidRDefault="00FA457D" w:rsidP="00FA457D">
      <w:pPr>
        <w:widowControl/>
        <w:jc w:val="center"/>
      </w:pPr>
      <w:proofErr w:type="spellStart"/>
      <w:r w:rsidRPr="00B1089D">
        <w:t>Mohammed</w:t>
      </w:r>
      <w:proofErr w:type="spellEnd"/>
      <w:r w:rsidRPr="00B1089D">
        <w:t xml:space="preserve"> </w:t>
      </w:r>
      <w:proofErr w:type="spellStart"/>
      <w:r w:rsidRPr="00B1089D">
        <w:t>Abdulrahman</w:t>
      </w:r>
      <w:proofErr w:type="spellEnd"/>
      <w:r w:rsidRPr="00B1089D">
        <w:t xml:space="preserve"> Ali AQLAN</w:t>
      </w:r>
      <w:r w:rsidRPr="00B1089D">
        <w:br/>
        <w:t>Yüksek Lisans Öğrencisi, Altınbaş Üniversitesi, Stratejik Pazarlama ve Marka Yönetimi</w:t>
      </w:r>
      <w:r w:rsidRPr="00B1089D">
        <w:br/>
        <w:t>223701330@ogr.altinbas.edu.tr</w:t>
      </w:r>
      <w:r w:rsidRPr="00B1089D">
        <w:br/>
        <w:t>0009-0001-2151-206X</w:t>
      </w:r>
    </w:p>
    <w:p w14:paraId="7D2AC92B" w14:textId="77777777" w:rsidR="00FA457D" w:rsidRPr="00B1089D" w:rsidRDefault="00FA457D" w:rsidP="00FA457D">
      <w:pPr>
        <w:widowControl/>
        <w:jc w:val="center"/>
      </w:pPr>
    </w:p>
    <w:p w14:paraId="6D746E94" w14:textId="77777777" w:rsidR="00FA457D" w:rsidRPr="00B1089D" w:rsidRDefault="00FA457D" w:rsidP="00FA457D">
      <w:pPr>
        <w:widowControl/>
        <w:jc w:val="center"/>
      </w:pPr>
      <w:r w:rsidRPr="00B1089D">
        <w:t>Dr. Öğr. Üyesi Gül Esin DELİPINAR</w:t>
      </w:r>
      <w:r w:rsidRPr="00B1089D">
        <w:br/>
        <w:t>​​​​​​​​​Dr. Öğretim Üyesi Lojistik Yönetimi, Altınbaş Üniversitesi</w:t>
      </w:r>
      <w:r w:rsidRPr="00B1089D">
        <w:br/>
        <w:t>gul.delipinar@altinbas.edu.tr</w:t>
      </w:r>
      <w:r w:rsidRPr="00B1089D">
        <w:br/>
        <w:t>0000-0001-5402-708X</w:t>
      </w:r>
    </w:p>
    <w:p w14:paraId="26C31CA0" w14:textId="77777777" w:rsidR="00FA457D" w:rsidRPr="00B1089D" w:rsidRDefault="00FA457D" w:rsidP="00FA457D">
      <w:pPr>
        <w:widowControl/>
        <w:jc w:val="center"/>
      </w:pPr>
    </w:p>
    <w:p w14:paraId="262DFF84" w14:textId="77777777" w:rsidR="00FA457D" w:rsidRPr="00B1089D" w:rsidRDefault="00FA457D" w:rsidP="00FA457D">
      <w:pPr>
        <w:widowControl/>
        <w:jc w:val="center"/>
      </w:pPr>
      <w:r w:rsidRPr="00B1089D">
        <w:rPr>
          <w:b/>
          <w:bCs/>
        </w:rPr>
        <w:t>Özet</w:t>
      </w:r>
    </w:p>
    <w:p w14:paraId="7DD75234" w14:textId="06F74ECD" w:rsidR="00FA457D" w:rsidRPr="00B1089D" w:rsidRDefault="00FA457D" w:rsidP="00791DCE">
      <w:pPr>
        <w:widowControl/>
        <w:jc w:val="both"/>
      </w:pPr>
      <w:r w:rsidRPr="00B1089D">
        <w:t xml:space="preserve">COVID-19 salgını, geleneksel pazarlamanın yerini dijital pazarlama yaklaşımlarının almasını hızlandırmıştır. İnsanların yaşam tarzlarındaki değişimler, sosyal medya platformlarında geçirilen sürenin artmasına neden olmuştur. Hızla gelişen sosyal medya pazarlama ortamında, sosyal medya reklamları tüketici davranışları üzerindeki etkisi giderek önem kazanmaktadır. Bu bağlamda, işletmelerin tüketici davranışlarını anlaması ve sosyal medya reklam stratejilerini optimize etmesi büyük önem taşımaktadır. Bu çalışma, Türkiye özelinde sosyal medya reklam özelliklerinin tüketicilerin satın alma niyetleri üzerindeki etkisini ve bu ilişkide marka güveninin </w:t>
      </w:r>
      <w:proofErr w:type="spellStart"/>
      <w:r w:rsidRPr="00B1089D">
        <w:t>moderatör</w:t>
      </w:r>
      <w:proofErr w:type="spellEnd"/>
      <w:r w:rsidRPr="00B1089D">
        <w:t xml:space="preserve"> rolünü incelemeyi amaçlamaktadır. Bu bağlamda, sosyal medya reklam özelliklerinin tüketicilerin satın alma niyetlerini nasıl etkilediği kapsamlı bir şekilde değerlendirilmektedir. Ayrıca, marka güveninin bu ilişki üzerindeki düzenleyici rolü ve ilişkiye yönelik etki düzeyi analiz edilmektedir. Çalışmanın </w:t>
      </w:r>
      <w:proofErr w:type="gramStart"/>
      <w:r w:rsidRPr="00B1089D">
        <w:t>sonuçları,</w:t>
      </w:r>
      <w:proofErr w:type="gramEnd"/>
      <w:r w:rsidRPr="00B1089D">
        <w:t xml:space="preserve"> hem akademik literatüre hem de pratik uygulamalara katkı sağlayacaktır.</w:t>
      </w:r>
      <w:r w:rsidR="00B80551">
        <w:t xml:space="preserve"> </w:t>
      </w:r>
      <w:r w:rsidRPr="00B1089D">
        <w:t xml:space="preserve">Araştırma, olasılıklı olmayan kolayda örnekleme yöntemi ile Türkiye'deki tüketicilerden veri toplayacaktır. Veri toplama aracı olarak, 5'li </w:t>
      </w:r>
      <w:proofErr w:type="spellStart"/>
      <w:r w:rsidRPr="00B1089D">
        <w:t>Likert</w:t>
      </w:r>
      <w:proofErr w:type="spellEnd"/>
      <w:r w:rsidRPr="00B1089D">
        <w:t xml:space="preserve"> tipi ölçek kullanan çevrimiçi bir anket tercih edilmiştir. Anket, katılımcılara sosyal medya platformları ve e-posta yoluyla ulaştırılacaktır. Toplanan veriler SPSS ve AMOS istatistik paket programlarıyla analiz edilecektir. Güvenirlik analizi için Cronbach Alpha katsayısı hesaplanacak, geçerlilik analizi, faktör analizi ve betimsel istatistikler uygulanacaktır. Yapısal eşitlik modellemesi, korelasyon analizi kullanılarak değişkenler arasındaki ilişkiler incelenecektir. Çalışmada, ölçme araçları olarak, sosyal medya reklam özellikleri ölçeği, marka güveni ölçeği ve tüketici satın alma niyeti ölçeği kullanılacaktır.</w:t>
      </w:r>
      <w:r w:rsidR="00B80551">
        <w:t xml:space="preserve"> </w:t>
      </w:r>
      <w:r w:rsidRPr="00B1089D">
        <w:t>Elde edilecek bulguların, sosyal medya reklam stratejilerinin geliştirilmesine ve tüketici satın alma niyetini etkileyen faktörlerin anlaşılmasına yardımcı olması beklenmektedir. Bu çalışma, marka güveninin sosyal medya reklam özellikleri ve tüketici satın alma niyeti arasındaki ilişkiyi nasıl etkilediği konusunda literatüre katkı sağlamayı hedeflemektedir. Sonuç kısmı, veri toplama ve analiz aşamalarının ardından yazılacaktır.</w:t>
      </w:r>
    </w:p>
    <w:p w14:paraId="48799C49" w14:textId="77777777" w:rsidR="00FA457D" w:rsidRPr="00B1089D" w:rsidRDefault="00FA457D" w:rsidP="00791DCE">
      <w:pPr>
        <w:widowControl/>
        <w:jc w:val="both"/>
      </w:pPr>
    </w:p>
    <w:p w14:paraId="7C6D7F0C" w14:textId="730A9939" w:rsidR="00D37D80" w:rsidRDefault="00FA457D" w:rsidP="00791DCE">
      <w:pPr>
        <w:widowControl/>
        <w:jc w:val="both"/>
      </w:pPr>
      <w:r w:rsidRPr="00B1089D">
        <w:rPr>
          <w:b/>
          <w:bCs/>
        </w:rPr>
        <w:t xml:space="preserve">Anahtar </w:t>
      </w:r>
      <w:r w:rsidRPr="00D10870">
        <w:rPr>
          <w:b/>
          <w:bCs/>
        </w:rPr>
        <w:t>Kelimel</w:t>
      </w:r>
      <w:r w:rsidRPr="00B1089D">
        <w:rPr>
          <w:b/>
          <w:bCs/>
        </w:rPr>
        <w:t>er:</w:t>
      </w:r>
      <w:r w:rsidRPr="00B1089D">
        <w:t xml:space="preserve"> Sosyal medya reklam özellikleri, marka güveni, tüketici satın alma niyeti.</w:t>
      </w:r>
    </w:p>
    <w:p w14:paraId="6AB46293" w14:textId="6A700A5D" w:rsidR="00FA457D" w:rsidRPr="00B1089D" w:rsidRDefault="00D37D80" w:rsidP="00D37D80">
      <w:pPr>
        <w:autoSpaceDE/>
        <w:autoSpaceDN/>
      </w:pPr>
      <w:r>
        <w:br w:type="page"/>
      </w:r>
    </w:p>
    <w:p w14:paraId="253682A9" w14:textId="6F2C8831" w:rsidR="00FA457D" w:rsidRPr="00B1089D" w:rsidRDefault="008A662B" w:rsidP="004C7694">
      <w:pPr>
        <w:pStyle w:val="Tark"/>
      </w:pPr>
      <w:bookmarkStart w:id="261" w:name="_Toc192855281"/>
      <w:r w:rsidRPr="00B1089D">
        <w:lastRenderedPageBreak/>
        <w:t>B</w:t>
      </w:r>
      <w:r w:rsidR="00D37D80">
        <w:t>IST</w:t>
      </w:r>
      <w:r w:rsidRPr="00B1089D">
        <w:t xml:space="preserve"> Manisa Endeksinde (</w:t>
      </w:r>
      <w:proofErr w:type="spellStart"/>
      <w:r w:rsidRPr="00B1089D">
        <w:t>Xsmns</w:t>
      </w:r>
      <w:proofErr w:type="spellEnd"/>
      <w:r w:rsidRPr="00B1089D">
        <w:t xml:space="preserve">) Yer Alan Şirketlerin </w:t>
      </w:r>
      <w:proofErr w:type="spellStart"/>
      <w:r w:rsidRPr="00B1089D">
        <w:t>Cr</w:t>
      </w:r>
      <w:r w:rsidR="00D37D80">
        <w:t>i</w:t>
      </w:r>
      <w:r w:rsidRPr="00B1089D">
        <w:t>t</w:t>
      </w:r>
      <w:r w:rsidR="00D37D80">
        <w:t>i</w:t>
      </w:r>
      <w:r w:rsidRPr="00B1089D">
        <w:t>c</w:t>
      </w:r>
      <w:proofErr w:type="spellEnd"/>
      <w:r w:rsidRPr="00B1089D">
        <w:t xml:space="preserve"> </w:t>
      </w:r>
      <w:proofErr w:type="gramStart"/>
      <w:r w:rsidRPr="00B1089D">
        <w:t>Ve</w:t>
      </w:r>
      <w:proofErr w:type="gramEnd"/>
      <w:r w:rsidRPr="00B1089D">
        <w:t xml:space="preserve"> Aroman Yöntemleriyle 2023 Yılı Finansal Performansının Analiz Edilmesi</w:t>
      </w:r>
      <w:bookmarkEnd w:id="261"/>
    </w:p>
    <w:p w14:paraId="373F5E65" w14:textId="77777777" w:rsidR="00FA457D" w:rsidRPr="00B1089D" w:rsidRDefault="00FA457D" w:rsidP="00FA457D">
      <w:pPr>
        <w:widowControl/>
        <w:jc w:val="center"/>
      </w:pPr>
    </w:p>
    <w:p w14:paraId="151509BB" w14:textId="77777777" w:rsidR="00FA457D" w:rsidRPr="00B1089D" w:rsidRDefault="00FA457D" w:rsidP="00FA457D">
      <w:pPr>
        <w:widowControl/>
        <w:jc w:val="center"/>
      </w:pPr>
      <w:r w:rsidRPr="00B1089D">
        <w:t>İbrahim YAVUZ</w:t>
      </w:r>
    </w:p>
    <w:p w14:paraId="632317E2" w14:textId="77777777" w:rsidR="00FA457D" w:rsidRPr="00B1089D" w:rsidRDefault="00FA457D" w:rsidP="00FA457D">
      <w:pPr>
        <w:widowControl/>
        <w:jc w:val="center"/>
      </w:pPr>
      <w:r w:rsidRPr="00B1089D">
        <w:t xml:space="preserve">Dr. Öğr. Üyesi, Kütahya Dumlupınar Üniversitesi, Simav Meslek </w:t>
      </w:r>
      <w:proofErr w:type="spellStart"/>
      <w:r w:rsidRPr="00B1089D">
        <w:t>Yüksekokılu</w:t>
      </w:r>
      <w:proofErr w:type="spellEnd"/>
      <w:r w:rsidRPr="00B1089D">
        <w:t xml:space="preserve">, Finans-Bankacılık ve Sigortacılık Bölümü, </w:t>
      </w:r>
      <w:proofErr w:type="spellStart"/>
      <w:r w:rsidRPr="00B1089D">
        <w:t>Kütahta</w:t>
      </w:r>
      <w:proofErr w:type="spellEnd"/>
      <w:r w:rsidRPr="00B1089D">
        <w:t>, Türkiye</w:t>
      </w:r>
      <w:r w:rsidRPr="00B1089D">
        <w:br/>
        <w:t>ibrahim.yavuz@dpu.edu.tr</w:t>
      </w:r>
      <w:r w:rsidRPr="00B1089D">
        <w:br/>
        <w:t>https://orcid.org/0000-0002-2099-0625</w:t>
      </w:r>
    </w:p>
    <w:p w14:paraId="545827D8" w14:textId="77777777" w:rsidR="00FA457D" w:rsidRPr="00B1089D" w:rsidRDefault="00FA457D" w:rsidP="00FA457D">
      <w:pPr>
        <w:widowControl/>
        <w:jc w:val="center"/>
      </w:pPr>
    </w:p>
    <w:p w14:paraId="54FD7524" w14:textId="77777777" w:rsidR="00FA457D" w:rsidRPr="00B1089D" w:rsidRDefault="00FA457D" w:rsidP="00FA457D">
      <w:pPr>
        <w:widowControl/>
        <w:jc w:val="center"/>
      </w:pPr>
      <w:r w:rsidRPr="00B1089D">
        <w:rPr>
          <w:b/>
          <w:bCs/>
        </w:rPr>
        <w:t>Özet</w:t>
      </w:r>
    </w:p>
    <w:p w14:paraId="1A83C098" w14:textId="77777777" w:rsidR="00FA457D" w:rsidRPr="00B1089D" w:rsidRDefault="00FA457D" w:rsidP="00791DCE">
      <w:pPr>
        <w:widowControl/>
        <w:jc w:val="both"/>
      </w:pPr>
      <w:r w:rsidRPr="00B1089D">
        <w:t xml:space="preserve">Çalışmada, Borsa İstanbul (BIST) Manisa Endeksinde (XSMNS) listelenen on şirketten verilerine ulaşılabilen dokuz şirketin, 2023 yılı finansal performansının analiz edilmesi amaçlanmıştır. Performans analizi için Çok Kriterli Karar Verme Tekniklerinden (ÇKKV) yararlanılmıştır. Kriterlerin ağırlıklarının (önem derecelerinin) hesaplanmasında CRITIC yönteminden, alternatiflerin performans sıralamasının belirlenmesinde ise AROMAN yönteminden yararlanılmıştır. Çalışmada, altı adet finansal performans kriteri kullanılmıştır: Dönen varlıklar, duran varlıklar, kısa vadeli yükümlülükler, uzun vadeli yükümlülükler, öz kaynaklar, net kâr. CRITIC yöntemi sonuçlarına göre, en önemli kriter, 0,2509 ağırlık oranı ile uzun vadeli yükümlülükler olurken, önem derecesi en düşük olan kriter, 0,1288 ağırlık oranı ile net kâr olarak tespit edilmiştir. CRITIC yöntemine göre hesaplanan ağırlıklar, AROMAN yöntemine entegre edilerek alternatiflerin performans sıralaması belirlenmiştir. AROMAN yöntemi sonuçlarına göre, BIST Manisa Endeksinde yer alan şirketlerden 2023 yılında en iyi finansal performans gösteren şirket, Vestel Elektronik Sanayi ve Ticaret A.Ş. olurken, Vestel Beyaz Eşya Sanayi ve Ticaret A.Ş. ikinci, </w:t>
      </w:r>
      <w:proofErr w:type="spellStart"/>
      <w:r w:rsidRPr="00B1089D">
        <w:t>Klimasan</w:t>
      </w:r>
      <w:proofErr w:type="spellEnd"/>
      <w:r w:rsidRPr="00B1089D">
        <w:t xml:space="preserve"> Klima Sanayi ve Ticaret A.Ş. üçüncü sırada yer almıştır. Seyitler Kimya Sanayi A.Ş. ise finansal performans sıralamasında son sırada yer almıştır.</w:t>
      </w:r>
    </w:p>
    <w:p w14:paraId="4B804AE1" w14:textId="77777777" w:rsidR="00FA457D" w:rsidRPr="00B1089D" w:rsidRDefault="00FA457D" w:rsidP="00791DCE">
      <w:pPr>
        <w:widowControl/>
        <w:jc w:val="both"/>
      </w:pPr>
    </w:p>
    <w:p w14:paraId="13C57468" w14:textId="77777777" w:rsidR="00FA457D" w:rsidRPr="00B1089D" w:rsidRDefault="00FA457D" w:rsidP="00791DCE">
      <w:pPr>
        <w:widowControl/>
        <w:jc w:val="both"/>
      </w:pPr>
      <w:r w:rsidRPr="00B1089D">
        <w:rPr>
          <w:b/>
          <w:bCs/>
        </w:rPr>
        <w:t xml:space="preserve">Anahtar </w:t>
      </w:r>
      <w:r w:rsidRPr="00D10870">
        <w:rPr>
          <w:b/>
          <w:bCs/>
        </w:rPr>
        <w:t>Kelimeler</w:t>
      </w:r>
      <w:r w:rsidRPr="00B1089D">
        <w:rPr>
          <w:b/>
          <w:bCs/>
        </w:rPr>
        <w:t>:</w:t>
      </w:r>
      <w:r w:rsidRPr="00B1089D">
        <w:t xml:space="preserve"> CRITIC Yöntemi, AROMAN Yöntemi, BIST Manisa Endeksi Şirketleri, Finansal Performans Analizi.</w:t>
      </w:r>
    </w:p>
    <w:p w14:paraId="190F6505" w14:textId="77777777" w:rsidR="00FA457D" w:rsidRPr="00B1089D" w:rsidRDefault="00FA457D" w:rsidP="00FA457D">
      <w:pPr>
        <w:widowControl/>
      </w:pPr>
    </w:p>
    <w:p w14:paraId="7EA31CDF" w14:textId="77777777" w:rsidR="00FA457D" w:rsidRPr="00B1089D" w:rsidRDefault="00FA457D" w:rsidP="00FA457D">
      <w:pPr>
        <w:widowControl/>
        <w:jc w:val="center"/>
      </w:pPr>
      <w:proofErr w:type="spellStart"/>
      <w:r w:rsidRPr="00B1089D">
        <w:rPr>
          <w:b/>
          <w:bCs/>
        </w:rPr>
        <w:t>Abstract</w:t>
      </w:r>
      <w:proofErr w:type="spellEnd"/>
    </w:p>
    <w:p w14:paraId="52978FB8" w14:textId="77777777" w:rsidR="00FA457D" w:rsidRPr="00B1089D" w:rsidRDefault="00FA457D" w:rsidP="00791DCE">
      <w:pPr>
        <w:widowControl/>
        <w:jc w:val="both"/>
      </w:pP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it is </w:t>
      </w:r>
      <w:proofErr w:type="spellStart"/>
      <w:r w:rsidRPr="00B1089D">
        <w:t>aimed</w:t>
      </w:r>
      <w:proofErr w:type="spellEnd"/>
      <w:r w:rsidRPr="00B1089D">
        <w:t xml:space="preserve"> </w:t>
      </w:r>
      <w:proofErr w:type="spellStart"/>
      <w:r w:rsidRPr="00B1089D">
        <w:t>to</w:t>
      </w:r>
      <w:proofErr w:type="spellEnd"/>
      <w:r w:rsidRPr="00B1089D">
        <w:t xml:space="preserve"> </w:t>
      </w:r>
      <w:proofErr w:type="spellStart"/>
      <w:r w:rsidRPr="00B1089D">
        <w:t>analyze</w:t>
      </w:r>
      <w:proofErr w:type="spellEnd"/>
      <w:r w:rsidRPr="00B1089D">
        <w:t xml:space="preserve">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performance</w:t>
      </w:r>
      <w:proofErr w:type="spellEnd"/>
      <w:r w:rsidRPr="00B1089D">
        <w:t xml:space="preserve"> of nine </w:t>
      </w:r>
      <w:proofErr w:type="spellStart"/>
      <w:r w:rsidRPr="00B1089D">
        <w:t>companies</w:t>
      </w:r>
      <w:proofErr w:type="spellEnd"/>
      <w:r w:rsidRPr="00B1089D">
        <w:t xml:space="preserve"> </w:t>
      </w:r>
      <w:proofErr w:type="spellStart"/>
      <w:r w:rsidRPr="00B1089D">
        <w:t>whose</w:t>
      </w:r>
      <w:proofErr w:type="spellEnd"/>
      <w:r w:rsidRPr="00B1089D">
        <w:t xml:space="preserve"> </w:t>
      </w:r>
      <w:proofErr w:type="gramStart"/>
      <w:r w:rsidRPr="00B1089D">
        <w:t>data</w:t>
      </w:r>
      <w:proofErr w:type="gramEnd"/>
      <w:r w:rsidRPr="00B1089D">
        <w:t xml:space="preserve"> </w:t>
      </w:r>
      <w:proofErr w:type="spellStart"/>
      <w:r w:rsidRPr="00B1089D">
        <w:t>are</w:t>
      </w:r>
      <w:proofErr w:type="spellEnd"/>
      <w:r w:rsidRPr="00B1089D">
        <w:t xml:space="preserve"> </w:t>
      </w:r>
      <w:proofErr w:type="spellStart"/>
      <w:r w:rsidRPr="00B1089D">
        <w:t>available</w:t>
      </w:r>
      <w:proofErr w:type="spellEnd"/>
      <w:r w:rsidRPr="00B1089D">
        <w:t xml:space="preserve"> </w:t>
      </w:r>
      <w:proofErr w:type="spellStart"/>
      <w:r w:rsidRPr="00B1089D">
        <w:t>among</w:t>
      </w:r>
      <w:proofErr w:type="spellEnd"/>
      <w:r w:rsidRPr="00B1089D">
        <w:t xml:space="preserve"> </w:t>
      </w:r>
      <w:proofErr w:type="spellStart"/>
      <w:r w:rsidRPr="00B1089D">
        <w:t>the</w:t>
      </w:r>
      <w:proofErr w:type="spellEnd"/>
      <w:r w:rsidRPr="00B1089D">
        <w:t xml:space="preserve"> ten </w:t>
      </w:r>
      <w:proofErr w:type="spellStart"/>
      <w:r w:rsidRPr="00B1089D">
        <w:t>companies</w:t>
      </w:r>
      <w:proofErr w:type="spellEnd"/>
      <w:r w:rsidRPr="00B1089D">
        <w:t xml:space="preserve"> </w:t>
      </w:r>
      <w:proofErr w:type="spellStart"/>
      <w:r w:rsidRPr="00B1089D">
        <w:t>listed</w:t>
      </w:r>
      <w:proofErr w:type="spellEnd"/>
      <w:r w:rsidRPr="00B1089D">
        <w:t xml:space="preserve"> in </w:t>
      </w:r>
      <w:proofErr w:type="spellStart"/>
      <w:r w:rsidRPr="00B1089D">
        <w:t>the</w:t>
      </w:r>
      <w:proofErr w:type="spellEnd"/>
      <w:r w:rsidRPr="00B1089D">
        <w:t xml:space="preserve"> Borsa </w:t>
      </w:r>
      <w:proofErr w:type="spellStart"/>
      <w:r w:rsidRPr="00B1089D">
        <w:t>Istanbul</w:t>
      </w:r>
      <w:proofErr w:type="spellEnd"/>
      <w:r w:rsidRPr="00B1089D">
        <w:t xml:space="preserve"> (BIST) Manisa Index (XSMNS) in 2023. Multi-</w:t>
      </w:r>
      <w:proofErr w:type="spellStart"/>
      <w:r w:rsidRPr="00B1089D">
        <w:t>Criteria</w:t>
      </w:r>
      <w:proofErr w:type="spellEnd"/>
      <w:r w:rsidRPr="00B1089D">
        <w:t xml:space="preserve"> </w:t>
      </w:r>
      <w:proofErr w:type="spellStart"/>
      <w:r w:rsidRPr="00B1089D">
        <w:t>Decision</w:t>
      </w:r>
      <w:proofErr w:type="spellEnd"/>
      <w:r w:rsidRPr="00B1089D">
        <w:t xml:space="preserve"> </w:t>
      </w:r>
      <w:proofErr w:type="spellStart"/>
      <w:r w:rsidRPr="00B1089D">
        <w:t>Making</w:t>
      </w:r>
      <w:proofErr w:type="spellEnd"/>
      <w:r w:rsidRPr="00B1089D">
        <w:t xml:space="preserve"> </w:t>
      </w:r>
      <w:proofErr w:type="spellStart"/>
      <w:r w:rsidRPr="00B1089D">
        <w:t>Techniques</w:t>
      </w:r>
      <w:proofErr w:type="spellEnd"/>
      <w:r w:rsidRPr="00B1089D">
        <w:t xml:space="preserve"> (MCDM) </w:t>
      </w:r>
      <w:proofErr w:type="spellStart"/>
      <w:r w:rsidRPr="00B1089D">
        <w:t>were</w:t>
      </w:r>
      <w:proofErr w:type="spellEnd"/>
      <w:r w:rsidRPr="00B1089D">
        <w:t xml:space="preserve"> </w:t>
      </w:r>
      <w:proofErr w:type="spellStart"/>
      <w:r w:rsidRPr="00B1089D">
        <w:t>utilized</w:t>
      </w:r>
      <w:proofErr w:type="spellEnd"/>
      <w:r w:rsidRPr="00B1089D">
        <w:t xml:space="preserve"> </w:t>
      </w:r>
      <w:proofErr w:type="spellStart"/>
      <w:r w:rsidRPr="00B1089D">
        <w:t>for</w:t>
      </w:r>
      <w:proofErr w:type="spellEnd"/>
      <w:r w:rsidRPr="00B1089D">
        <w:t xml:space="preserve"> </w:t>
      </w:r>
      <w:proofErr w:type="spellStart"/>
      <w:r w:rsidRPr="00B1089D">
        <w:t>performance</w:t>
      </w:r>
      <w:proofErr w:type="spellEnd"/>
      <w:r w:rsidRPr="00B1089D">
        <w:t xml:space="preserve"> </w:t>
      </w:r>
      <w:proofErr w:type="spellStart"/>
      <w:r w:rsidRPr="00B1089D">
        <w:t>analysis</w:t>
      </w:r>
      <w:proofErr w:type="spellEnd"/>
      <w:r w:rsidRPr="00B1089D">
        <w:t xml:space="preserve">. CRITIC </w:t>
      </w:r>
      <w:proofErr w:type="spellStart"/>
      <w:r w:rsidRPr="00B1089D">
        <w:t>method</w:t>
      </w:r>
      <w:proofErr w:type="spellEnd"/>
      <w:r w:rsidRPr="00B1089D">
        <w:t xml:space="preserve"> </w:t>
      </w:r>
      <w:proofErr w:type="spellStart"/>
      <w:r w:rsidRPr="00B1089D">
        <w:t>was</w:t>
      </w:r>
      <w:proofErr w:type="spellEnd"/>
      <w:r w:rsidRPr="00B1089D">
        <w:t xml:space="preserve">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calculate</w:t>
      </w:r>
      <w:proofErr w:type="spellEnd"/>
      <w:r w:rsidRPr="00B1089D">
        <w:t xml:space="preserve"> </w:t>
      </w:r>
      <w:proofErr w:type="spellStart"/>
      <w:r w:rsidRPr="00B1089D">
        <w:t>the</w:t>
      </w:r>
      <w:proofErr w:type="spellEnd"/>
      <w:r w:rsidRPr="00B1089D">
        <w:t xml:space="preserve"> </w:t>
      </w:r>
      <w:proofErr w:type="spellStart"/>
      <w:r w:rsidRPr="00B1089D">
        <w:t>weights</w:t>
      </w:r>
      <w:proofErr w:type="spellEnd"/>
      <w:r w:rsidRPr="00B1089D">
        <w:t xml:space="preserve"> (</w:t>
      </w:r>
      <w:proofErr w:type="spellStart"/>
      <w:r w:rsidRPr="00B1089D">
        <w:t>importance</w:t>
      </w:r>
      <w:proofErr w:type="spellEnd"/>
      <w:r w:rsidRPr="00B1089D">
        <w:t xml:space="preserve"> </w:t>
      </w:r>
      <w:proofErr w:type="spellStart"/>
      <w:r w:rsidRPr="00B1089D">
        <w:t>levels</w:t>
      </w:r>
      <w:proofErr w:type="spellEnd"/>
      <w:r w:rsidRPr="00B1089D">
        <w:t xml:space="preserve">) of </w:t>
      </w:r>
      <w:proofErr w:type="spellStart"/>
      <w:r w:rsidRPr="00B1089D">
        <w:t>the</w:t>
      </w:r>
      <w:proofErr w:type="spellEnd"/>
      <w:r w:rsidRPr="00B1089D">
        <w:t xml:space="preserve"> </w:t>
      </w:r>
      <w:proofErr w:type="spellStart"/>
      <w:r w:rsidRPr="00B1089D">
        <w:t>criteria</w:t>
      </w:r>
      <w:proofErr w:type="spellEnd"/>
      <w:r w:rsidRPr="00B1089D">
        <w:t xml:space="preserve"> </w:t>
      </w:r>
      <w:proofErr w:type="spellStart"/>
      <w:r w:rsidRPr="00B1089D">
        <w:t>and</w:t>
      </w:r>
      <w:proofErr w:type="spellEnd"/>
      <w:r w:rsidRPr="00B1089D">
        <w:t xml:space="preserve"> AROMAN </w:t>
      </w:r>
      <w:proofErr w:type="spellStart"/>
      <w:r w:rsidRPr="00B1089D">
        <w:t>method</w:t>
      </w:r>
      <w:proofErr w:type="spellEnd"/>
      <w:r w:rsidRPr="00B1089D">
        <w:t xml:space="preserve"> </w:t>
      </w:r>
      <w:proofErr w:type="spellStart"/>
      <w:r w:rsidRPr="00B1089D">
        <w:t>was</w:t>
      </w:r>
      <w:proofErr w:type="spellEnd"/>
      <w:r w:rsidRPr="00B1089D">
        <w:t xml:space="preserve"> </w:t>
      </w:r>
      <w:proofErr w:type="spellStart"/>
      <w:r w:rsidRPr="00B1089D">
        <w:t>used</w:t>
      </w:r>
      <w:proofErr w:type="spellEnd"/>
      <w:r w:rsidRPr="00B1089D">
        <w:t xml:space="preserve"> </w:t>
      </w:r>
      <w:proofErr w:type="spellStart"/>
      <w:r w:rsidRPr="00B1089D">
        <w:t>to</w:t>
      </w:r>
      <w:proofErr w:type="spellEnd"/>
      <w:r w:rsidRPr="00B1089D">
        <w:t xml:space="preserve"> </w:t>
      </w:r>
      <w:proofErr w:type="spellStart"/>
      <w:r w:rsidRPr="00B1089D">
        <w:t>determine</w:t>
      </w:r>
      <w:proofErr w:type="spellEnd"/>
      <w:r w:rsidRPr="00B1089D">
        <w:t xml:space="preserve"> </w:t>
      </w:r>
      <w:proofErr w:type="spellStart"/>
      <w:r w:rsidRPr="00B1089D">
        <w:t>the</w:t>
      </w:r>
      <w:proofErr w:type="spellEnd"/>
      <w:r w:rsidRPr="00B1089D">
        <w:t xml:space="preserve"> </w:t>
      </w:r>
      <w:proofErr w:type="spellStart"/>
      <w:r w:rsidRPr="00B1089D">
        <w:t>performance</w:t>
      </w:r>
      <w:proofErr w:type="spellEnd"/>
      <w:r w:rsidRPr="00B1089D">
        <w:t xml:space="preserve"> </w:t>
      </w:r>
      <w:proofErr w:type="spellStart"/>
      <w:r w:rsidRPr="00B1089D">
        <w:t>ranking</w:t>
      </w:r>
      <w:proofErr w:type="spellEnd"/>
      <w:r w:rsidRPr="00B1089D">
        <w:t xml:space="preserve"> of </w:t>
      </w:r>
      <w:proofErr w:type="spellStart"/>
      <w:r w:rsidRPr="00B1089D">
        <w:t>the</w:t>
      </w:r>
      <w:proofErr w:type="spellEnd"/>
      <w:r w:rsidRPr="00B1089D">
        <w:t xml:space="preserve"> </w:t>
      </w:r>
      <w:proofErr w:type="spellStart"/>
      <w:r w:rsidRPr="00B1089D">
        <w:t>alternatives</w:t>
      </w:r>
      <w:proofErr w:type="spellEnd"/>
      <w:r w:rsidRPr="00B1089D">
        <w:t xml:space="preserve">. </w:t>
      </w:r>
      <w:proofErr w:type="spellStart"/>
      <w:r w:rsidRPr="00B1089D">
        <w:t>Six</w:t>
      </w:r>
      <w:proofErr w:type="spellEnd"/>
      <w:r w:rsidRPr="00B1089D">
        <w:t xml:space="preserve"> </w:t>
      </w:r>
      <w:proofErr w:type="spellStart"/>
      <w:r w:rsidRPr="00B1089D">
        <w:t>financial</w:t>
      </w:r>
      <w:proofErr w:type="spellEnd"/>
      <w:r w:rsidRPr="00B1089D">
        <w:t xml:space="preserve"> </w:t>
      </w:r>
      <w:proofErr w:type="spellStart"/>
      <w:r w:rsidRPr="00B1089D">
        <w:t>performance</w:t>
      </w:r>
      <w:proofErr w:type="spellEnd"/>
      <w:r w:rsidRPr="00B1089D">
        <w:t xml:space="preserve"> </w:t>
      </w:r>
      <w:proofErr w:type="spellStart"/>
      <w:r w:rsidRPr="00B1089D">
        <w:t>criteria</w:t>
      </w:r>
      <w:proofErr w:type="spellEnd"/>
      <w:r w:rsidRPr="00B1089D">
        <w:t xml:space="preserve"> </w:t>
      </w:r>
      <w:proofErr w:type="spellStart"/>
      <w:r w:rsidRPr="00B1089D">
        <w:t>were</w:t>
      </w:r>
      <w:proofErr w:type="spellEnd"/>
      <w:r w:rsidRPr="00B1089D">
        <w:t xml:space="preserve"> </w:t>
      </w:r>
      <w:proofErr w:type="spellStart"/>
      <w:r w:rsidRPr="00B1089D">
        <w:t>used</w:t>
      </w:r>
      <w:proofErr w:type="spellEnd"/>
      <w:r w:rsidRPr="00B1089D">
        <w:t xml:space="preserve"> in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Current</w:t>
      </w:r>
      <w:proofErr w:type="spellEnd"/>
      <w:r w:rsidRPr="00B1089D">
        <w:t xml:space="preserve"> </w:t>
      </w:r>
      <w:proofErr w:type="spellStart"/>
      <w:r w:rsidRPr="00B1089D">
        <w:t>assets</w:t>
      </w:r>
      <w:proofErr w:type="spellEnd"/>
      <w:r w:rsidRPr="00B1089D">
        <w:t xml:space="preserve">, </w:t>
      </w:r>
      <w:proofErr w:type="spellStart"/>
      <w:r w:rsidRPr="00B1089D">
        <w:t>non-current</w:t>
      </w:r>
      <w:proofErr w:type="spellEnd"/>
      <w:r w:rsidRPr="00B1089D">
        <w:t xml:space="preserve"> </w:t>
      </w:r>
      <w:proofErr w:type="spellStart"/>
      <w:r w:rsidRPr="00B1089D">
        <w:t>assets</w:t>
      </w:r>
      <w:proofErr w:type="spellEnd"/>
      <w:r w:rsidRPr="00B1089D">
        <w:t xml:space="preserve">, </w:t>
      </w:r>
      <w:proofErr w:type="spellStart"/>
      <w:r w:rsidRPr="00B1089D">
        <w:t>short-term</w:t>
      </w:r>
      <w:proofErr w:type="spellEnd"/>
      <w:r w:rsidRPr="00B1089D">
        <w:t xml:space="preserve"> </w:t>
      </w:r>
      <w:proofErr w:type="spellStart"/>
      <w:r w:rsidRPr="00B1089D">
        <w:t>liabilities</w:t>
      </w:r>
      <w:proofErr w:type="spellEnd"/>
      <w:r w:rsidRPr="00B1089D">
        <w:t xml:space="preserve">, </w:t>
      </w:r>
      <w:proofErr w:type="spellStart"/>
      <w:r w:rsidRPr="00B1089D">
        <w:t>long-term</w:t>
      </w:r>
      <w:proofErr w:type="spellEnd"/>
      <w:r w:rsidRPr="00B1089D">
        <w:t xml:space="preserve"> </w:t>
      </w:r>
      <w:proofErr w:type="spellStart"/>
      <w:r w:rsidRPr="00B1089D">
        <w:t>liabilities</w:t>
      </w:r>
      <w:proofErr w:type="spellEnd"/>
      <w:r w:rsidRPr="00B1089D">
        <w:t xml:space="preserve">, </w:t>
      </w:r>
      <w:proofErr w:type="spellStart"/>
      <w:r w:rsidRPr="00B1089D">
        <w:t>equity</w:t>
      </w:r>
      <w:proofErr w:type="spellEnd"/>
      <w:r w:rsidRPr="00B1089D">
        <w:t xml:space="preserve">, net </w:t>
      </w:r>
      <w:proofErr w:type="spellStart"/>
      <w:r w:rsidRPr="00B1089D">
        <w:t>profit</w:t>
      </w:r>
      <w:proofErr w:type="spellEnd"/>
      <w:r w:rsidRPr="00B1089D">
        <w:t xml:space="preserve">. </w:t>
      </w:r>
      <w:proofErr w:type="spellStart"/>
      <w:r w:rsidRPr="00B1089D">
        <w:t>According</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results</w:t>
      </w:r>
      <w:proofErr w:type="spellEnd"/>
      <w:r w:rsidRPr="00B1089D">
        <w:t xml:space="preserve"> of </w:t>
      </w:r>
      <w:proofErr w:type="spellStart"/>
      <w:r w:rsidRPr="00B1089D">
        <w:t>the</w:t>
      </w:r>
      <w:proofErr w:type="spellEnd"/>
      <w:r w:rsidRPr="00B1089D">
        <w:t xml:space="preserve"> CRITIC </w:t>
      </w:r>
      <w:proofErr w:type="spellStart"/>
      <w:r w:rsidRPr="00B1089D">
        <w:t>method</w:t>
      </w:r>
      <w:proofErr w:type="spellEnd"/>
      <w:r w:rsidRPr="00B1089D">
        <w:t xml:space="preserve">, </w:t>
      </w:r>
      <w:proofErr w:type="spellStart"/>
      <w:r w:rsidRPr="00B1089D">
        <w:t>the</w:t>
      </w:r>
      <w:proofErr w:type="spellEnd"/>
      <w:r w:rsidRPr="00B1089D">
        <w:t xml:space="preserve"> </w:t>
      </w:r>
      <w:proofErr w:type="spellStart"/>
      <w:r w:rsidRPr="00B1089D">
        <w:t>most</w:t>
      </w:r>
      <w:proofErr w:type="spellEnd"/>
      <w:r w:rsidRPr="00B1089D">
        <w:t xml:space="preserve"> </w:t>
      </w:r>
      <w:proofErr w:type="spellStart"/>
      <w:r w:rsidRPr="00B1089D">
        <w:t>important</w:t>
      </w:r>
      <w:proofErr w:type="spellEnd"/>
      <w:r w:rsidRPr="00B1089D">
        <w:t xml:space="preserve"> </w:t>
      </w:r>
      <w:proofErr w:type="spellStart"/>
      <w:r w:rsidRPr="00B1089D">
        <w:t>criterion</w:t>
      </w:r>
      <w:proofErr w:type="spellEnd"/>
      <w:r w:rsidRPr="00B1089D">
        <w:t xml:space="preserve"> is </w:t>
      </w:r>
      <w:proofErr w:type="spellStart"/>
      <w:r w:rsidRPr="00B1089D">
        <w:t>long-term</w:t>
      </w:r>
      <w:proofErr w:type="spellEnd"/>
      <w:r w:rsidRPr="00B1089D">
        <w:t xml:space="preserve"> </w:t>
      </w:r>
      <w:proofErr w:type="spellStart"/>
      <w:r w:rsidRPr="00B1089D">
        <w:t>liabilities</w:t>
      </w:r>
      <w:proofErr w:type="spellEnd"/>
      <w:r w:rsidRPr="00B1089D">
        <w:t xml:space="preserve"> </w:t>
      </w:r>
      <w:proofErr w:type="spellStart"/>
      <w:r w:rsidRPr="00B1089D">
        <w:t>with</w:t>
      </w:r>
      <w:proofErr w:type="spellEnd"/>
      <w:r w:rsidRPr="00B1089D">
        <w:t xml:space="preserve"> a </w:t>
      </w:r>
      <w:proofErr w:type="spellStart"/>
      <w:r w:rsidRPr="00B1089D">
        <w:t>weight</w:t>
      </w:r>
      <w:proofErr w:type="spellEnd"/>
      <w:r w:rsidRPr="00B1089D">
        <w:t xml:space="preserve"> </w:t>
      </w:r>
      <w:proofErr w:type="spellStart"/>
      <w:r w:rsidRPr="00B1089D">
        <w:t>ratio</w:t>
      </w:r>
      <w:proofErr w:type="spellEnd"/>
      <w:r w:rsidRPr="00B1089D">
        <w:t xml:space="preserve"> of 0.2509, </w:t>
      </w:r>
      <w:proofErr w:type="spellStart"/>
      <w:r w:rsidRPr="00B1089D">
        <w:t>while</w:t>
      </w:r>
      <w:proofErr w:type="spellEnd"/>
      <w:r w:rsidRPr="00B1089D">
        <w:t xml:space="preserve"> </w:t>
      </w:r>
      <w:proofErr w:type="spellStart"/>
      <w:r w:rsidRPr="00B1089D">
        <w:t>the</w:t>
      </w:r>
      <w:proofErr w:type="spellEnd"/>
      <w:r w:rsidRPr="00B1089D">
        <w:t xml:space="preserve"> </w:t>
      </w:r>
      <w:proofErr w:type="spellStart"/>
      <w:r w:rsidRPr="00B1089D">
        <w:t>least</w:t>
      </w:r>
      <w:proofErr w:type="spellEnd"/>
      <w:r w:rsidRPr="00B1089D">
        <w:t xml:space="preserve"> </w:t>
      </w:r>
      <w:proofErr w:type="spellStart"/>
      <w:r w:rsidRPr="00B1089D">
        <w:t>important</w:t>
      </w:r>
      <w:proofErr w:type="spellEnd"/>
      <w:r w:rsidRPr="00B1089D">
        <w:t xml:space="preserve"> </w:t>
      </w:r>
      <w:proofErr w:type="spellStart"/>
      <w:r w:rsidRPr="00B1089D">
        <w:t>criterion</w:t>
      </w:r>
      <w:proofErr w:type="spellEnd"/>
      <w:r w:rsidRPr="00B1089D">
        <w:t xml:space="preserve"> is net </w:t>
      </w:r>
      <w:proofErr w:type="spellStart"/>
      <w:r w:rsidRPr="00B1089D">
        <w:t>profit</w:t>
      </w:r>
      <w:proofErr w:type="spellEnd"/>
      <w:r w:rsidRPr="00B1089D">
        <w:t xml:space="preserve"> </w:t>
      </w:r>
      <w:proofErr w:type="spellStart"/>
      <w:r w:rsidRPr="00B1089D">
        <w:t>with</w:t>
      </w:r>
      <w:proofErr w:type="spellEnd"/>
      <w:r w:rsidRPr="00B1089D">
        <w:t xml:space="preserve"> a </w:t>
      </w:r>
      <w:proofErr w:type="spellStart"/>
      <w:r w:rsidRPr="00B1089D">
        <w:t>weight</w:t>
      </w:r>
      <w:proofErr w:type="spellEnd"/>
      <w:r w:rsidRPr="00B1089D">
        <w:t xml:space="preserve"> </w:t>
      </w:r>
      <w:proofErr w:type="spellStart"/>
      <w:r w:rsidRPr="00B1089D">
        <w:t>ratio</w:t>
      </w:r>
      <w:proofErr w:type="spellEnd"/>
      <w:r w:rsidRPr="00B1089D">
        <w:t xml:space="preserve"> of 0.1288. </w:t>
      </w:r>
      <w:proofErr w:type="spellStart"/>
      <w:r w:rsidRPr="00B1089D">
        <w:t>The</w:t>
      </w:r>
      <w:proofErr w:type="spellEnd"/>
      <w:r w:rsidRPr="00B1089D">
        <w:t xml:space="preserve"> </w:t>
      </w:r>
      <w:proofErr w:type="spellStart"/>
      <w:r w:rsidRPr="00B1089D">
        <w:t>weights</w:t>
      </w:r>
      <w:proofErr w:type="spellEnd"/>
      <w:r w:rsidRPr="00B1089D">
        <w:t xml:space="preserve"> </w:t>
      </w:r>
      <w:proofErr w:type="spellStart"/>
      <w:r w:rsidRPr="00B1089D">
        <w:t>calculated</w:t>
      </w:r>
      <w:proofErr w:type="spellEnd"/>
      <w:r w:rsidRPr="00B1089D">
        <w:t xml:space="preserve"> </w:t>
      </w:r>
      <w:proofErr w:type="spellStart"/>
      <w:r w:rsidRPr="00B1089D">
        <w:t>according</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CRITIC </w:t>
      </w:r>
      <w:proofErr w:type="spellStart"/>
      <w:r w:rsidRPr="00B1089D">
        <w:t>method</w:t>
      </w:r>
      <w:proofErr w:type="spellEnd"/>
      <w:r w:rsidRPr="00B1089D">
        <w:t xml:space="preserve"> </w:t>
      </w:r>
      <w:proofErr w:type="spellStart"/>
      <w:r w:rsidRPr="00B1089D">
        <w:t>were</w:t>
      </w:r>
      <w:proofErr w:type="spellEnd"/>
      <w:r w:rsidRPr="00B1089D">
        <w:t xml:space="preserve"> </w:t>
      </w:r>
      <w:proofErr w:type="spellStart"/>
      <w:r w:rsidRPr="00B1089D">
        <w:t>integrated</w:t>
      </w:r>
      <w:proofErr w:type="spellEnd"/>
      <w:r w:rsidRPr="00B1089D">
        <w:t xml:space="preserve"> </w:t>
      </w:r>
      <w:proofErr w:type="spellStart"/>
      <w:r w:rsidRPr="00B1089D">
        <w:t>into</w:t>
      </w:r>
      <w:proofErr w:type="spellEnd"/>
      <w:r w:rsidRPr="00B1089D">
        <w:t xml:space="preserve"> </w:t>
      </w:r>
      <w:proofErr w:type="spellStart"/>
      <w:r w:rsidRPr="00B1089D">
        <w:t>the</w:t>
      </w:r>
      <w:proofErr w:type="spellEnd"/>
      <w:r w:rsidRPr="00B1089D">
        <w:t xml:space="preserve"> AROMAN </w:t>
      </w:r>
      <w:proofErr w:type="spellStart"/>
      <w:r w:rsidRPr="00B1089D">
        <w:t>method</w:t>
      </w:r>
      <w:proofErr w:type="spellEnd"/>
      <w:r w:rsidRPr="00B1089D">
        <w:t xml:space="preserve"> </w:t>
      </w:r>
      <w:proofErr w:type="spellStart"/>
      <w:r w:rsidRPr="00B1089D">
        <w:t>to</w:t>
      </w:r>
      <w:proofErr w:type="spellEnd"/>
      <w:r w:rsidRPr="00B1089D">
        <w:t xml:space="preserve"> </w:t>
      </w:r>
      <w:proofErr w:type="spellStart"/>
      <w:r w:rsidRPr="00B1089D">
        <w:t>determine</w:t>
      </w:r>
      <w:proofErr w:type="spellEnd"/>
      <w:r w:rsidRPr="00B1089D">
        <w:t xml:space="preserve"> </w:t>
      </w:r>
      <w:proofErr w:type="spellStart"/>
      <w:r w:rsidRPr="00B1089D">
        <w:t>the</w:t>
      </w:r>
      <w:proofErr w:type="spellEnd"/>
      <w:r w:rsidRPr="00B1089D">
        <w:t xml:space="preserve"> </w:t>
      </w:r>
      <w:proofErr w:type="spellStart"/>
      <w:r w:rsidRPr="00B1089D">
        <w:t>performance</w:t>
      </w:r>
      <w:proofErr w:type="spellEnd"/>
      <w:r w:rsidRPr="00B1089D">
        <w:t xml:space="preserve"> </w:t>
      </w:r>
      <w:proofErr w:type="spellStart"/>
      <w:r w:rsidRPr="00B1089D">
        <w:t>ranking</w:t>
      </w:r>
      <w:proofErr w:type="spellEnd"/>
      <w:r w:rsidRPr="00B1089D">
        <w:t xml:space="preserve"> of </w:t>
      </w:r>
      <w:proofErr w:type="spellStart"/>
      <w:r w:rsidRPr="00B1089D">
        <w:t>the</w:t>
      </w:r>
      <w:proofErr w:type="spellEnd"/>
      <w:r w:rsidRPr="00B1089D">
        <w:t xml:space="preserve"> </w:t>
      </w:r>
      <w:proofErr w:type="spellStart"/>
      <w:r w:rsidRPr="00B1089D">
        <w:t>alternatives</w:t>
      </w:r>
      <w:proofErr w:type="spellEnd"/>
      <w:r w:rsidRPr="00B1089D">
        <w:t xml:space="preserve">. </w:t>
      </w:r>
      <w:proofErr w:type="spellStart"/>
      <w:r w:rsidRPr="00B1089D">
        <w:t>According</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results</w:t>
      </w:r>
      <w:proofErr w:type="spellEnd"/>
      <w:r w:rsidRPr="00B1089D">
        <w:t xml:space="preserve"> of </w:t>
      </w:r>
      <w:proofErr w:type="spellStart"/>
      <w:r w:rsidRPr="00B1089D">
        <w:t>the</w:t>
      </w:r>
      <w:proofErr w:type="spellEnd"/>
      <w:r w:rsidRPr="00B1089D">
        <w:t xml:space="preserve"> AROMAN </w:t>
      </w:r>
      <w:proofErr w:type="spellStart"/>
      <w:r w:rsidRPr="00B1089D">
        <w:t>method</w:t>
      </w:r>
      <w:proofErr w:type="spellEnd"/>
      <w:r w:rsidRPr="00B1089D">
        <w:t xml:space="preserve">, Vestel Elektronik Sanayi ve Ticaret A.Ş. </w:t>
      </w:r>
      <w:proofErr w:type="spellStart"/>
      <w:r w:rsidRPr="00B1089D">
        <w:t>was</w:t>
      </w:r>
      <w:proofErr w:type="spellEnd"/>
      <w:r w:rsidRPr="00B1089D">
        <w:t xml:space="preserve"> </w:t>
      </w:r>
      <w:proofErr w:type="spellStart"/>
      <w:r w:rsidRPr="00B1089D">
        <w:t>the</w:t>
      </w:r>
      <w:proofErr w:type="spellEnd"/>
      <w:r w:rsidRPr="00B1089D">
        <w:t xml:space="preserve"> </w:t>
      </w:r>
      <w:proofErr w:type="spellStart"/>
      <w:r w:rsidRPr="00B1089D">
        <w:t>company</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best</w:t>
      </w:r>
      <w:proofErr w:type="spellEnd"/>
      <w:r w:rsidRPr="00B1089D">
        <w:t xml:space="preserve"> </w:t>
      </w:r>
      <w:proofErr w:type="spellStart"/>
      <w:r w:rsidRPr="00B1089D">
        <w:t>financial</w:t>
      </w:r>
      <w:proofErr w:type="spellEnd"/>
      <w:r w:rsidRPr="00B1089D">
        <w:t xml:space="preserve"> </w:t>
      </w:r>
      <w:proofErr w:type="spellStart"/>
      <w:r w:rsidRPr="00B1089D">
        <w:t>performance</w:t>
      </w:r>
      <w:proofErr w:type="spellEnd"/>
      <w:r w:rsidRPr="00B1089D">
        <w:t xml:space="preserve"> in 2023 </w:t>
      </w:r>
      <w:proofErr w:type="spellStart"/>
      <w:r w:rsidRPr="00B1089D">
        <w:t>among</w:t>
      </w:r>
      <w:proofErr w:type="spellEnd"/>
      <w:r w:rsidRPr="00B1089D">
        <w:t xml:space="preserve"> </w:t>
      </w:r>
      <w:proofErr w:type="spellStart"/>
      <w:r w:rsidRPr="00B1089D">
        <w:t>the</w:t>
      </w:r>
      <w:proofErr w:type="spellEnd"/>
      <w:r w:rsidRPr="00B1089D">
        <w:t xml:space="preserve"> </w:t>
      </w:r>
      <w:proofErr w:type="spellStart"/>
      <w:r w:rsidRPr="00B1089D">
        <w:t>companies</w:t>
      </w:r>
      <w:proofErr w:type="spellEnd"/>
      <w:r w:rsidRPr="00B1089D">
        <w:t xml:space="preserve"> in </w:t>
      </w:r>
      <w:proofErr w:type="spellStart"/>
      <w:r w:rsidRPr="00B1089D">
        <w:t>the</w:t>
      </w:r>
      <w:proofErr w:type="spellEnd"/>
      <w:r w:rsidRPr="00B1089D">
        <w:t xml:space="preserve"> BIST Manisa Index, </w:t>
      </w:r>
      <w:proofErr w:type="spellStart"/>
      <w:r w:rsidRPr="00B1089D">
        <w:t>while</w:t>
      </w:r>
      <w:proofErr w:type="spellEnd"/>
      <w:r w:rsidRPr="00B1089D">
        <w:t xml:space="preserve"> Vestel Beyaz Eşya Sanayi ve Ticaret A.Ş. </w:t>
      </w:r>
      <w:proofErr w:type="spellStart"/>
      <w:r w:rsidRPr="00B1089D">
        <w:t>ranked</w:t>
      </w:r>
      <w:proofErr w:type="spellEnd"/>
      <w:r w:rsidRPr="00B1089D">
        <w:t xml:space="preserve"> </w:t>
      </w:r>
      <w:proofErr w:type="spellStart"/>
      <w:r w:rsidRPr="00B1089D">
        <w:t>second</w:t>
      </w:r>
      <w:proofErr w:type="spellEnd"/>
      <w:r w:rsidRPr="00B1089D">
        <w:t xml:space="preserve"> </w:t>
      </w:r>
      <w:proofErr w:type="spellStart"/>
      <w:r w:rsidRPr="00B1089D">
        <w:t>and</w:t>
      </w:r>
      <w:proofErr w:type="spellEnd"/>
      <w:r w:rsidRPr="00B1089D">
        <w:t xml:space="preserve"> </w:t>
      </w:r>
      <w:proofErr w:type="spellStart"/>
      <w:r w:rsidRPr="00B1089D">
        <w:t>Klimasan</w:t>
      </w:r>
      <w:proofErr w:type="spellEnd"/>
      <w:r w:rsidRPr="00B1089D">
        <w:t xml:space="preserve"> Klima Sanayi ve Ticaret A.Ş. </w:t>
      </w:r>
      <w:proofErr w:type="spellStart"/>
      <w:r w:rsidRPr="00B1089D">
        <w:t>ranked</w:t>
      </w:r>
      <w:proofErr w:type="spellEnd"/>
      <w:r w:rsidRPr="00B1089D">
        <w:t xml:space="preserve"> </w:t>
      </w:r>
      <w:proofErr w:type="spellStart"/>
      <w:r w:rsidRPr="00B1089D">
        <w:t>third</w:t>
      </w:r>
      <w:proofErr w:type="spellEnd"/>
      <w:r w:rsidRPr="00B1089D">
        <w:t xml:space="preserve">. Seyitler Kimya Sanayi A.Ş. </w:t>
      </w:r>
      <w:proofErr w:type="spellStart"/>
      <w:r w:rsidRPr="00B1089D">
        <w:t>ranked</w:t>
      </w:r>
      <w:proofErr w:type="spellEnd"/>
      <w:r w:rsidRPr="00B1089D">
        <w:t xml:space="preserve"> </w:t>
      </w:r>
      <w:proofErr w:type="spellStart"/>
      <w:r w:rsidRPr="00B1089D">
        <w:t>last</w:t>
      </w:r>
      <w:proofErr w:type="spellEnd"/>
      <w:r w:rsidRPr="00B1089D">
        <w:t xml:space="preserve"> in </w:t>
      </w:r>
      <w:proofErr w:type="spellStart"/>
      <w:r w:rsidRPr="00B1089D">
        <w:t>the</w:t>
      </w:r>
      <w:proofErr w:type="spellEnd"/>
      <w:r w:rsidRPr="00B1089D">
        <w:t xml:space="preserve"> </w:t>
      </w:r>
      <w:proofErr w:type="spellStart"/>
      <w:r w:rsidRPr="00B1089D">
        <w:t>financial</w:t>
      </w:r>
      <w:proofErr w:type="spellEnd"/>
      <w:r w:rsidRPr="00B1089D">
        <w:t xml:space="preserve"> </w:t>
      </w:r>
      <w:proofErr w:type="spellStart"/>
      <w:r w:rsidRPr="00B1089D">
        <w:t>performance</w:t>
      </w:r>
      <w:proofErr w:type="spellEnd"/>
      <w:r w:rsidRPr="00B1089D">
        <w:t xml:space="preserve"> </w:t>
      </w:r>
      <w:proofErr w:type="spellStart"/>
      <w:r w:rsidRPr="00B1089D">
        <w:t>ranking</w:t>
      </w:r>
      <w:proofErr w:type="spellEnd"/>
      <w:r w:rsidRPr="00B1089D">
        <w:t>.</w:t>
      </w:r>
    </w:p>
    <w:p w14:paraId="1B7177AA" w14:textId="77777777" w:rsidR="00FA457D" w:rsidRPr="00B1089D" w:rsidRDefault="00FA457D" w:rsidP="00791DCE">
      <w:pPr>
        <w:widowControl/>
        <w:jc w:val="both"/>
      </w:pPr>
    </w:p>
    <w:p w14:paraId="6B0864DC" w14:textId="79E50048" w:rsidR="00D37D80" w:rsidRDefault="00FA457D" w:rsidP="00791DCE">
      <w:pPr>
        <w:widowControl/>
        <w:jc w:val="both"/>
      </w:pPr>
      <w:proofErr w:type="spellStart"/>
      <w:r w:rsidRPr="00B1089D">
        <w:rPr>
          <w:b/>
          <w:bCs/>
        </w:rPr>
        <w:lastRenderedPageBreak/>
        <w:t>Keywords</w:t>
      </w:r>
      <w:proofErr w:type="spellEnd"/>
      <w:r w:rsidRPr="00B1089D">
        <w:rPr>
          <w:b/>
          <w:bCs/>
        </w:rPr>
        <w:t>:</w:t>
      </w:r>
      <w:r w:rsidRPr="00B1089D">
        <w:t xml:space="preserve"> CRITIC </w:t>
      </w:r>
      <w:proofErr w:type="spellStart"/>
      <w:r w:rsidRPr="00B1089D">
        <w:t>Method</w:t>
      </w:r>
      <w:proofErr w:type="spellEnd"/>
      <w:r w:rsidRPr="00B1089D">
        <w:t xml:space="preserve">, AROMAN </w:t>
      </w:r>
      <w:proofErr w:type="spellStart"/>
      <w:r w:rsidRPr="00B1089D">
        <w:t>Method</w:t>
      </w:r>
      <w:proofErr w:type="spellEnd"/>
      <w:r w:rsidRPr="00B1089D">
        <w:t xml:space="preserve">, BIST Manisa Index </w:t>
      </w:r>
      <w:proofErr w:type="spellStart"/>
      <w:r w:rsidRPr="00B1089D">
        <w:t>Companies</w:t>
      </w:r>
      <w:proofErr w:type="spellEnd"/>
      <w:r w:rsidRPr="00B1089D">
        <w:t xml:space="preserve">, Financial </w:t>
      </w:r>
      <w:proofErr w:type="spellStart"/>
      <w:r w:rsidRPr="00B1089D">
        <w:t>Performance</w:t>
      </w:r>
      <w:proofErr w:type="spellEnd"/>
      <w:r w:rsidRPr="00B1089D">
        <w:t xml:space="preserve"> Analysis.</w:t>
      </w:r>
    </w:p>
    <w:p w14:paraId="3C123D4A" w14:textId="4BFA0A21" w:rsidR="00FA457D" w:rsidRPr="00B1089D" w:rsidRDefault="00D37D80" w:rsidP="00D37D80">
      <w:pPr>
        <w:autoSpaceDE/>
        <w:autoSpaceDN/>
      </w:pPr>
      <w:r>
        <w:br w:type="page"/>
      </w:r>
    </w:p>
    <w:p w14:paraId="22C612FB" w14:textId="77777777" w:rsidR="00FA457D" w:rsidRPr="00B1089D" w:rsidRDefault="00FA457D" w:rsidP="004C7694">
      <w:pPr>
        <w:pStyle w:val="Tark"/>
      </w:pPr>
      <w:bookmarkStart w:id="262" w:name="_Toc192855282"/>
      <w:r w:rsidRPr="00B1089D">
        <w:lastRenderedPageBreak/>
        <w:t xml:space="preserve">Mekânın </w:t>
      </w:r>
      <w:proofErr w:type="spellStart"/>
      <w:r w:rsidRPr="00B1089D">
        <w:t>Antroposen</w:t>
      </w:r>
      <w:proofErr w:type="spellEnd"/>
      <w:r w:rsidRPr="00B1089D">
        <w:t xml:space="preserve"> Bağlamında Yeniden Düşünülmesi: Sanat ve Mimarlık Perspektifi</w:t>
      </w:r>
      <w:bookmarkEnd w:id="262"/>
    </w:p>
    <w:p w14:paraId="23D2EB85" w14:textId="77777777" w:rsidR="00FA457D" w:rsidRPr="00B1089D" w:rsidRDefault="00FA457D" w:rsidP="00FA457D">
      <w:pPr>
        <w:widowControl/>
        <w:jc w:val="center"/>
      </w:pPr>
    </w:p>
    <w:p w14:paraId="6DA219F7" w14:textId="77777777" w:rsidR="00FA457D" w:rsidRPr="00B1089D" w:rsidRDefault="00FA457D" w:rsidP="00FA457D">
      <w:pPr>
        <w:widowControl/>
        <w:jc w:val="center"/>
      </w:pPr>
      <w:r w:rsidRPr="00B1089D">
        <w:t>Eylül Tuncay Mumcu</w:t>
      </w:r>
    </w:p>
    <w:p w14:paraId="7ECB11F6" w14:textId="77777777" w:rsidR="00FA457D" w:rsidRPr="00B1089D" w:rsidRDefault="00FA457D" w:rsidP="00FA457D">
      <w:pPr>
        <w:widowControl/>
        <w:jc w:val="center"/>
      </w:pPr>
      <w:proofErr w:type="spellStart"/>
      <w:r w:rsidRPr="00B1089D">
        <w:t>Yükek</w:t>
      </w:r>
      <w:proofErr w:type="spellEnd"/>
      <w:r w:rsidRPr="00B1089D">
        <w:t xml:space="preserve"> Lisans Öğrencisi, Haliç Üniversitesi, İç Mimarlık Anabilim Dalı</w:t>
      </w:r>
      <w:r w:rsidRPr="00B1089D">
        <w:br/>
        <w:t>21150950021@ogr.halic.edu.tr</w:t>
      </w:r>
      <w:r w:rsidRPr="00B1089D">
        <w:br/>
        <w:t>0009-0006-4757-5110</w:t>
      </w:r>
    </w:p>
    <w:p w14:paraId="4F7D06AC" w14:textId="77777777" w:rsidR="00FA457D" w:rsidRPr="00B1089D" w:rsidRDefault="00FA457D" w:rsidP="00FA457D">
      <w:pPr>
        <w:widowControl/>
        <w:jc w:val="center"/>
      </w:pPr>
    </w:p>
    <w:p w14:paraId="0A75DB84" w14:textId="77777777" w:rsidR="00FA457D" w:rsidRPr="00B1089D" w:rsidRDefault="00FA457D" w:rsidP="00FA457D">
      <w:pPr>
        <w:widowControl/>
        <w:jc w:val="center"/>
      </w:pPr>
      <w:r w:rsidRPr="00B1089D">
        <w:rPr>
          <w:b/>
          <w:bCs/>
        </w:rPr>
        <w:t>Özet</w:t>
      </w:r>
    </w:p>
    <w:p w14:paraId="66730110" w14:textId="77777777" w:rsidR="00FA457D" w:rsidRPr="00B1089D" w:rsidRDefault="00FA457D" w:rsidP="00791DCE">
      <w:pPr>
        <w:widowControl/>
        <w:jc w:val="both"/>
      </w:pPr>
      <w:r w:rsidRPr="00B1089D">
        <w:t xml:space="preserve">İnsan, varoluşundan beri kendisini diğer canlı türlerinden üstün görme eğiliminde olmuş ve gezegen üzerinde derin etkiler bırakmıştır. Doğal süreçlere müdahale edebilen baskın bir güç haline gelerek, </w:t>
      </w:r>
      <w:proofErr w:type="spellStart"/>
      <w:r w:rsidRPr="00B1089D">
        <w:t>Antroposen</w:t>
      </w:r>
      <w:proofErr w:type="spellEnd"/>
      <w:r w:rsidRPr="00B1089D">
        <w:t xml:space="preserve"> olarak adlandırılan bir çağa girmiştir. Paul J. </w:t>
      </w:r>
      <w:proofErr w:type="spellStart"/>
      <w:r w:rsidRPr="00B1089D">
        <w:t>Crutzen</w:t>
      </w:r>
      <w:proofErr w:type="spellEnd"/>
      <w:r w:rsidRPr="00B1089D">
        <w:t xml:space="preserve"> ve Eugene F. </w:t>
      </w:r>
      <w:proofErr w:type="spellStart"/>
      <w:r w:rsidRPr="00B1089D">
        <w:t>Stoermer’in</w:t>
      </w:r>
      <w:proofErr w:type="spellEnd"/>
      <w:r w:rsidRPr="00B1089D">
        <w:t xml:space="preserve"> 2000 yılında ortaya attığı </w:t>
      </w:r>
      <w:proofErr w:type="spellStart"/>
      <w:r w:rsidRPr="00B1089D">
        <w:t>Antroposen</w:t>
      </w:r>
      <w:proofErr w:type="spellEnd"/>
      <w:r w:rsidRPr="00B1089D">
        <w:t xml:space="preserve"> kavramı, mekânsal dinamiklerin yeniden ele alınması gerekliliğini gündeme getirmiştir. Bu çalışmanın amacı, </w:t>
      </w:r>
      <w:proofErr w:type="spellStart"/>
      <w:r w:rsidRPr="00B1089D">
        <w:t>Antroposen</w:t>
      </w:r>
      <w:proofErr w:type="spellEnd"/>
      <w:r w:rsidRPr="00B1089D">
        <w:t xml:space="preserve"> ve mekân kavramlarının, insan, sanat ve mimarlık ile olan ilişkisini araştırarak tartışmaya açmaktır. İnsanlık faaliyetlerinin gezegen üzerindeki etkilerini görünür bir hale getirerek, mekânın sadece fiziksel bir unsur değil, kültürel ve toplumsal bir yapı olarak da değerlendirilmesinin önemini vurgulamaktır. Bu bağlamda </w:t>
      </w:r>
      <w:proofErr w:type="spellStart"/>
      <w:r w:rsidRPr="00B1089D">
        <w:t>Antroposen</w:t>
      </w:r>
      <w:proofErr w:type="spellEnd"/>
      <w:r w:rsidRPr="00B1089D">
        <w:t xml:space="preserve"> ve mekân kavramlarının sanat ve mimarlık pratiklerindeki yeri ve toplumsal hafıza ile ekolojik bilincin kesişimi detaylı bir şekilde tartışılmıştır. Nitel bir araştırma olan bu çalışmanın kapsamı, </w:t>
      </w:r>
      <w:proofErr w:type="spellStart"/>
      <w:r w:rsidRPr="00B1089D">
        <w:t>Antroposen</w:t>
      </w:r>
      <w:proofErr w:type="spellEnd"/>
      <w:r w:rsidRPr="00B1089D">
        <w:t xml:space="preserve"> ve mekânın kavramsal boyutlarının incelenmesi ve insan, sanat ve mimarlık disiplinleri çerçevesinde </w:t>
      </w:r>
      <w:proofErr w:type="spellStart"/>
      <w:r w:rsidRPr="00B1089D">
        <w:t>Antroposen’in</w:t>
      </w:r>
      <w:proofErr w:type="spellEnd"/>
      <w:r w:rsidRPr="00B1089D">
        <w:t xml:space="preserve"> mekânsal bağlamda çevresel ve kültürel dönüşümünü nasıl temsil ettiğini ele almaktır. Bu kapsamda gerçekleştirilen literatür taramasının ardından elde edilen veriler, </w:t>
      </w:r>
      <w:proofErr w:type="gramStart"/>
      <w:r w:rsidRPr="00B1089D">
        <w:t>doküman</w:t>
      </w:r>
      <w:proofErr w:type="gramEnd"/>
      <w:r w:rsidRPr="00B1089D">
        <w:t xml:space="preserve"> analizi yöntemiyle değerlendirilmiş ve ‘</w:t>
      </w:r>
      <w:proofErr w:type="spellStart"/>
      <w:r w:rsidRPr="00B1089D">
        <w:t>Antroposen</w:t>
      </w:r>
      <w:proofErr w:type="spellEnd"/>
      <w:r w:rsidRPr="00B1089D">
        <w:t>’ ve ‘Mekân’ kavramları ile ilgili bulgulara ulaşılmıştır. Ulaşılan bulgular ışığında üç adet örnek çalışma incelenerek tartışılmıştır. Sonuç olarak ‘</w:t>
      </w:r>
      <w:proofErr w:type="spellStart"/>
      <w:r w:rsidRPr="00B1089D">
        <w:t>Antroposen</w:t>
      </w:r>
      <w:proofErr w:type="spellEnd"/>
      <w:r w:rsidRPr="00B1089D">
        <w:t xml:space="preserve">’ ve ‘Mekân’ kavramları ile insan, sanat ve mimarlık arasında </w:t>
      </w:r>
      <w:proofErr w:type="spellStart"/>
      <w:r w:rsidRPr="00B1089D">
        <w:t>disiplinlerarası</w:t>
      </w:r>
      <w:proofErr w:type="spellEnd"/>
      <w:r w:rsidRPr="00B1089D">
        <w:t xml:space="preserve"> bir perspektif ortaya konulmuş ve </w:t>
      </w:r>
      <w:proofErr w:type="spellStart"/>
      <w:r w:rsidRPr="00B1089D">
        <w:t>Antroposen</w:t>
      </w:r>
      <w:proofErr w:type="spellEnd"/>
      <w:r w:rsidRPr="00B1089D">
        <w:t xml:space="preserve"> çağında doğayla uyumlu, ekolojik ve kültürel farkındalığı artırmaya yönelik mekânsal tasarım ve sanat pratikleriyle beraber bireysel ve toplumsal dönüşümü sağlayacak öneriler sunulmuştur.</w:t>
      </w:r>
    </w:p>
    <w:p w14:paraId="64FC9FCC" w14:textId="77777777" w:rsidR="00FA457D" w:rsidRPr="00B1089D" w:rsidRDefault="00FA457D" w:rsidP="00791DCE">
      <w:pPr>
        <w:widowControl/>
        <w:jc w:val="both"/>
      </w:pPr>
      <w:r w:rsidRPr="00B1089D">
        <w:t>Bu bildiri Haliç Üniversitesi Lisansüstü Eğitim Enstitüsü İç Mimarlık Anabilim Dalı’nda Dr. Öğr. Üyesi Mustafa Kemal Yurttaş danışmanlığında hazırlamış olduğum Yüksek Lisans Tezinden üretilmiştir.</w:t>
      </w:r>
    </w:p>
    <w:p w14:paraId="4A8B3EE8" w14:textId="77777777" w:rsidR="00FA457D" w:rsidRPr="00B1089D" w:rsidRDefault="00FA457D" w:rsidP="00791DCE">
      <w:pPr>
        <w:widowControl/>
        <w:jc w:val="both"/>
      </w:pPr>
    </w:p>
    <w:p w14:paraId="5AF93667" w14:textId="76C50B16" w:rsidR="00D37D80" w:rsidRDefault="00FA457D" w:rsidP="00791DCE">
      <w:pPr>
        <w:widowControl/>
        <w:jc w:val="both"/>
      </w:pPr>
      <w:r w:rsidRPr="00B1089D">
        <w:rPr>
          <w:b/>
          <w:bCs/>
        </w:rPr>
        <w:t xml:space="preserve">Anahtar </w:t>
      </w:r>
      <w:r w:rsidRPr="00D10870">
        <w:rPr>
          <w:b/>
          <w:bCs/>
        </w:rPr>
        <w:t>Kelimeler</w:t>
      </w:r>
      <w:r w:rsidRPr="00B1089D">
        <w:rPr>
          <w:b/>
          <w:bCs/>
        </w:rPr>
        <w:t>:</w:t>
      </w:r>
      <w:r w:rsidRPr="00B1089D">
        <w:t xml:space="preserve"> </w:t>
      </w:r>
      <w:proofErr w:type="spellStart"/>
      <w:r w:rsidRPr="00B1089D">
        <w:t>Antroposen</w:t>
      </w:r>
      <w:proofErr w:type="spellEnd"/>
      <w:r w:rsidRPr="00B1089D">
        <w:t>, Sanat, Mimarlık, Mekân, İnsan</w:t>
      </w:r>
    </w:p>
    <w:p w14:paraId="42B17DB7" w14:textId="5026CB81" w:rsidR="00FF43F3" w:rsidRPr="00D37D80" w:rsidRDefault="00D37D80" w:rsidP="00D37D80">
      <w:pPr>
        <w:autoSpaceDE/>
        <w:autoSpaceDN/>
      </w:pPr>
      <w:r>
        <w:br w:type="page"/>
      </w:r>
    </w:p>
    <w:p w14:paraId="6FF08B0A" w14:textId="578953F0" w:rsidR="00FA457D" w:rsidRPr="006307C3" w:rsidRDefault="005500AB" w:rsidP="00B80551">
      <w:pPr>
        <w:pStyle w:val="Tark"/>
        <w:spacing w:before="0" w:after="0"/>
      </w:pPr>
      <w:bookmarkStart w:id="263" w:name="_Toc192855283"/>
      <w:r>
        <w:lastRenderedPageBreak/>
        <w:t xml:space="preserve">Bir </w:t>
      </w:r>
      <w:r w:rsidR="00FA457D" w:rsidRPr="006307C3">
        <w:t xml:space="preserve">Felsefe Tarihi Yorumu: Marks’ın </w:t>
      </w:r>
      <w:r w:rsidR="00FA457D" w:rsidRPr="006307C3">
        <w:rPr>
          <w:i/>
        </w:rPr>
        <w:t xml:space="preserve">Feuerbach Üzerine </w:t>
      </w:r>
      <w:proofErr w:type="spellStart"/>
      <w:r w:rsidR="00FA457D" w:rsidRPr="006307C3">
        <w:rPr>
          <w:i/>
        </w:rPr>
        <w:t>Tezler</w:t>
      </w:r>
      <w:r w:rsidR="00FA457D" w:rsidRPr="006307C3">
        <w:t>’i</w:t>
      </w:r>
      <w:bookmarkEnd w:id="263"/>
      <w:proofErr w:type="spellEnd"/>
    </w:p>
    <w:p w14:paraId="7A12EEDF" w14:textId="77777777" w:rsidR="00FA457D" w:rsidRPr="006307C3" w:rsidRDefault="00FA457D" w:rsidP="00B80551">
      <w:pPr>
        <w:jc w:val="center"/>
      </w:pPr>
    </w:p>
    <w:p w14:paraId="4362E51C" w14:textId="77777777" w:rsidR="00FA457D" w:rsidRDefault="00FA457D" w:rsidP="00B80551">
      <w:pPr>
        <w:jc w:val="center"/>
      </w:pPr>
      <w:r w:rsidRPr="006307C3">
        <w:t xml:space="preserve">Hayyam </w:t>
      </w:r>
      <w:proofErr w:type="spellStart"/>
      <w:r w:rsidRPr="006307C3">
        <w:t>Celilzade</w:t>
      </w:r>
      <w:proofErr w:type="spellEnd"/>
      <w:r w:rsidRPr="006307C3">
        <w:br/>
        <w:t>Dr. Öğr. Üyesi, Anadolu Üniversitesi, Edebiyat Fakültesi, Felsefe Bölümü</w:t>
      </w:r>
      <w:r w:rsidRPr="006307C3">
        <w:br/>
      </w:r>
      <w:hyperlink r:id="rId385" w:history="1">
        <w:r w:rsidRPr="006307C3">
          <w:rPr>
            <w:rStyle w:val="Kpr"/>
            <w:rFonts w:eastAsiaTheme="majorEastAsia"/>
          </w:rPr>
          <w:t>hayyamcelilzade@anadolu.edu.tr</w:t>
        </w:r>
      </w:hyperlink>
      <w:r w:rsidRPr="006307C3">
        <w:t xml:space="preserve"> </w:t>
      </w:r>
      <w:r w:rsidRPr="006307C3">
        <w:br/>
        <w:t>ORCID: 0000-0001-7739-9388</w:t>
      </w:r>
    </w:p>
    <w:p w14:paraId="43FC4601" w14:textId="77777777" w:rsidR="00FA457D" w:rsidRPr="006307C3" w:rsidRDefault="00FA457D" w:rsidP="00B80551">
      <w:pPr>
        <w:jc w:val="center"/>
      </w:pPr>
    </w:p>
    <w:p w14:paraId="40165E3E" w14:textId="77777777" w:rsidR="00FA457D" w:rsidRPr="006307C3" w:rsidRDefault="00FA457D" w:rsidP="00B80551">
      <w:pPr>
        <w:jc w:val="center"/>
        <w:rPr>
          <w:b/>
          <w:bCs/>
        </w:rPr>
      </w:pPr>
      <w:r w:rsidRPr="006307C3">
        <w:rPr>
          <w:b/>
          <w:bCs/>
        </w:rPr>
        <w:t>Özet</w:t>
      </w:r>
    </w:p>
    <w:p w14:paraId="352A4E1C" w14:textId="76FD6503" w:rsidR="00FA457D" w:rsidRPr="006307C3" w:rsidRDefault="00FA457D" w:rsidP="00B80551">
      <w:pPr>
        <w:jc w:val="both"/>
      </w:pPr>
      <w:r w:rsidRPr="006307C3">
        <w:t xml:space="preserve">Friedrich Engels tarafından “yeni dünya anlayışının dâhiyane tohumunun atılmış olduğu ilk belge” olarak adlandırdığı </w:t>
      </w:r>
      <w:r w:rsidRPr="006307C3">
        <w:rPr>
          <w:i/>
        </w:rPr>
        <w:t>Feuerbach Üzerine Tezler</w:t>
      </w:r>
      <w:r>
        <w:t>, Marks’ın</w:t>
      </w:r>
      <w:r w:rsidRPr="006307C3">
        <w:t xml:space="preserve"> </w:t>
      </w:r>
      <w:r>
        <w:t xml:space="preserve">idealizme yönelik eleştirilerinin </w:t>
      </w:r>
      <w:r w:rsidRPr="006307C3">
        <w:t xml:space="preserve">mahiyetini anlamak ve açıklamak isteyenler için </w:t>
      </w:r>
      <w:r>
        <w:t>önemli başvuru metinlerinden biridir</w:t>
      </w:r>
      <w:r w:rsidRPr="006307C3">
        <w:t xml:space="preserve">. Karl Marks’ın </w:t>
      </w:r>
      <w:r w:rsidRPr="006307C3">
        <w:rPr>
          <w:i/>
        </w:rPr>
        <w:t>Feuerbach Üzerine Tezler</w:t>
      </w:r>
      <w:r w:rsidRPr="006307C3">
        <w:t xml:space="preserve"> metninde özellikle iki kavram ve bu iki kavramla irtibatlı olan diğer yardımcı iki kavram ön plana çıkıyor. Bu iki kavram; </w:t>
      </w:r>
      <w:r w:rsidRPr="006307C3">
        <w:rPr>
          <w:i/>
        </w:rPr>
        <w:t>pratik</w:t>
      </w:r>
      <w:r w:rsidRPr="006307C3">
        <w:t xml:space="preserve"> ve </w:t>
      </w:r>
      <w:r w:rsidRPr="006307C3">
        <w:rPr>
          <w:i/>
        </w:rPr>
        <w:t>teorik</w:t>
      </w:r>
      <w:r w:rsidRPr="006307C3">
        <w:t xml:space="preserve"> ve bu iki kavramın irtibatta olduğu diğer iki kavramsa </w:t>
      </w:r>
      <w:r w:rsidRPr="006307C3">
        <w:rPr>
          <w:i/>
        </w:rPr>
        <w:t>somut</w:t>
      </w:r>
      <w:r w:rsidRPr="006307C3">
        <w:t xml:space="preserve"> ve </w:t>
      </w:r>
      <w:r w:rsidRPr="006307C3">
        <w:rPr>
          <w:i/>
        </w:rPr>
        <w:t>soyut</w:t>
      </w:r>
      <w:r w:rsidRPr="006307C3">
        <w:t xml:space="preserve"> kavramlarıdır. Bu dört kavramın işaret ettiği sahne </w:t>
      </w:r>
      <w:r w:rsidRPr="006307C3">
        <w:rPr>
          <w:i/>
        </w:rPr>
        <w:t>materyalizm</w:t>
      </w:r>
      <w:r w:rsidRPr="006307C3">
        <w:t xml:space="preserve">, müjdelediği kurtarıcıysa </w:t>
      </w:r>
      <w:proofErr w:type="spellStart"/>
      <w:r w:rsidRPr="006307C3">
        <w:rPr>
          <w:i/>
        </w:rPr>
        <w:t>devrim</w:t>
      </w:r>
      <w:r w:rsidRPr="006307C3">
        <w:t>’dir</w:t>
      </w:r>
      <w:proofErr w:type="spellEnd"/>
      <w:r w:rsidRPr="006307C3">
        <w:t xml:space="preserve">. </w:t>
      </w:r>
      <w:r w:rsidRPr="006307C3">
        <w:rPr>
          <w:color w:val="212121"/>
          <w:shd w:val="clear" w:color="auto" w:fill="FFFFFF"/>
        </w:rPr>
        <w:t xml:space="preserve">Marks ve Engels genellikle Feuerbach’tan, materyalizme kendi haklarını geri kazandıran filozof olarak bahseder. Ama bununla birlikte Marks söz konusu metinde Feuerbach’a karşı savaş açar. Bunun sebebi nedir? Marks’ın bu metinde idealizmi eleştirdiği ve </w:t>
      </w:r>
      <w:r w:rsidRPr="006307C3">
        <w:t xml:space="preserve">kendisinden önceki bütün materyalistleri </w:t>
      </w:r>
      <w:proofErr w:type="gramStart"/>
      <w:r w:rsidRPr="006307C3">
        <w:t>de,</w:t>
      </w:r>
      <w:proofErr w:type="gramEnd"/>
      <w:r w:rsidRPr="006307C3">
        <w:t xml:space="preserve"> idealizmden tamamen uzaklaşamadıkları için eleştirdiği görülür. Bu bağlamda onun kendisi de bir materyalist olan Feuerbach’ı niçin eleştirdiği anlam kazanır. Yazımızda Marksizm’in mahiyetinin ne olduğunu anlamaktan ve açıklamaktan ziyade neden böyle bir metnin ortaya çıktığını irdeleyeceğiz. Buna ilaveten </w:t>
      </w:r>
      <w:r w:rsidRPr="006307C3">
        <w:rPr>
          <w:i/>
        </w:rPr>
        <w:t>Feuerbach Üzerine Tezler</w:t>
      </w:r>
      <w:r w:rsidRPr="006307C3">
        <w:t xml:space="preserve"> metninin ortaya çıkmasını sağlayan olayların neler olduğu sorusuna cevap arayacağız. Ayrıca Marks’ın bu tezlerle ortaya koyduğu felsefe tarihi yorumunun ne kadar isabetli olduğunu da sorgulayacağız. Yazımızda kullanacağımız yöntem özü itibariyle hermenötik olup, ilgili metnin yakın okunmasından ibarettir.</w:t>
      </w:r>
    </w:p>
    <w:p w14:paraId="33035CFE" w14:textId="77777777" w:rsidR="00FA457D" w:rsidRDefault="00FA457D" w:rsidP="00B80551">
      <w:pPr>
        <w:jc w:val="both"/>
      </w:pPr>
      <w:r w:rsidRPr="006307C3">
        <w:rPr>
          <w:b/>
          <w:bCs/>
        </w:rPr>
        <w:t xml:space="preserve">Anahtar </w:t>
      </w:r>
      <w:r>
        <w:rPr>
          <w:b/>
          <w:bCs/>
        </w:rPr>
        <w:t>Kelimel</w:t>
      </w:r>
      <w:r w:rsidRPr="006307C3">
        <w:rPr>
          <w:b/>
          <w:bCs/>
        </w:rPr>
        <w:t>er:</w:t>
      </w:r>
      <w:r w:rsidRPr="006307C3">
        <w:t xml:space="preserve"> teorik, pratik, idealizm, materyalizm, devrim.</w:t>
      </w:r>
    </w:p>
    <w:p w14:paraId="2313476E" w14:textId="77777777" w:rsidR="00FA457D" w:rsidRPr="006307C3" w:rsidRDefault="00FA457D" w:rsidP="00B80551">
      <w:pPr>
        <w:jc w:val="both"/>
      </w:pPr>
    </w:p>
    <w:p w14:paraId="35A8018E" w14:textId="77777777" w:rsidR="00FA457D" w:rsidRPr="006307C3" w:rsidRDefault="00FA457D" w:rsidP="00B80551">
      <w:pPr>
        <w:jc w:val="both"/>
        <w:rPr>
          <w:b/>
        </w:rPr>
      </w:pPr>
      <w:r w:rsidRPr="006307C3">
        <w:rPr>
          <w:b/>
        </w:rPr>
        <w:t>GİRİŞ</w:t>
      </w:r>
    </w:p>
    <w:p w14:paraId="09508014" w14:textId="72192C75" w:rsidR="00FA457D" w:rsidRDefault="00FA457D" w:rsidP="00B80551">
      <w:pPr>
        <w:jc w:val="both"/>
      </w:pPr>
      <w:proofErr w:type="spellStart"/>
      <w:r w:rsidRPr="006307C3">
        <w:rPr>
          <w:i/>
        </w:rPr>
        <w:t>Feurbach</w:t>
      </w:r>
      <w:proofErr w:type="spellEnd"/>
      <w:r w:rsidRPr="006307C3">
        <w:rPr>
          <w:i/>
        </w:rPr>
        <w:t xml:space="preserve"> Üzerine </w:t>
      </w:r>
      <w:proofErr w:type="spellStart"/>
      <w:r w:rsidRPr="006307C3">
        <w:rPr>
          <w:i/>
        </w:rPr>
        <w:t>Tezler</w:t>
      </w:r>
      <w:r w:rsidRPr="006307C3">
        <w:t>’in</w:t>
      </w:r>
      <w:proofErr w:type="spellEnd"/>
      <w:r w:rsidRPr="006307C3">
        <w:t xml:space="preserve"> Marks’ın yayınlamayı düşünmediği notlarından oluştuğunu ve daha sonra Engels tarafından </w:t>
      </w:r>
      <w:r w:rsidRPr="006307C3">
        <w:rPr>
          <w:i/>
        </w:rPr>
        <w:t>Ludwig Feuerbach ve Klasik Alman Felsefesinin Sonu</w:t>
      </w:r>
      <w:r w:rsidRPr="006307C3">
        <w:t xml:space="preserve"> kitabına dâhil edildiğini biliyoruz. “1845 yılında yazılan özgün metin, Marks’ın yayımlamayı düşünmediği notlarından oluşuyor. Ancak Engels, bu notları, daha anlaşılır kılmak amacıyla çeşitli değişiklikler yaptıktan sonra, 1888’de çıkan </w:t>
      </w:r>
      <w:r w:rsidRPr="006307C3">
        <w:rPr>
          <w:i/>
        </w:rPr>
        <w:t>Ludwig Feuerbach ve Klasik Alman Felsefesinin Sonu</w:t>
      </w:r>
      <w:r w:rsidRPr="006307C3">
        <w:t xml:space="preserve"> adlı kitabının sonuna ekliyor.” (</w:t>
      </w:r>
      <w:proofErr w:type="spellStart"/>
      <w:r w:rsidRPr="006307C3">
        <w:t>Boyuneğmez</w:t>
      </w:r>
      <w:proofErr w:type="spellEnd"/>
      <w:r w:rsidRPr="006307C3">
        <w:t xml:space="preserve">, 2014: 1). Burada hermenötik anlamda bir sorun var. Bu notlar, bitmiş bir metin olarak ele alınabilir mi? Yazarın niyeti gözetilirse nasıl bir durum ortaya çıkar? Okur, bu metni yorumlarken Marks’ın niyeti kadar Engels’in niyetini de gözetmek durumunda mıdır? Ya da okur, Marks’ın onu yayınlatmayı düşünmemiş olsa da Engels’in yayınlatmak kararını kendisi vermesi gibi yorum yapmakta özgür müdür? </w:t>
      </w:r>
      <w:proofErr w:type="spellStart"/>
      <w:r w:rsidRPr="006307C3">
        <w:rPr>
          <w:i/>
        </w:rPr>
        <w:t>Feurbach</w:t>
      </w:r>
      <w:proofErr w:type="spellEnd"/>
      <w:r w:rsidRPr="006307C3">
        <w:rPr>
          <w:i/>
        </w:rPr>
        <w:t xml:space="preserve"> Üzerine </w:t>
      </w:r>
      <w:proofErr w:type="spellStart"/>
      <w:r w:rsidRPr="006307C3">
        <w:rPr>
          <w:i/>
        </w:rPr>
        <w:t>Tezler</w:t>
      </w:r>
      <w:r w:rsidRPr="006307C3">
        <w:t>’i</w:t>
      </w:r>
      <w:proofErr w:type="spellEnd"/>
      <w:r w:rsidRPr="006307C3">
        <w:t xml:space="preserve"> değerlendirirken bu gibi hermenötik meselelerin dikkate alınması gerekir. Belki de söz konusu hermenötik sorunlar, metni oluşturan on bir tezin ne dediğinden, tezlerin başarılı olup olmadığından daha önemlidir. Ancak biz bu ve benzeri konuları irdelemeyeceğiz, sadece böyle bir hermenötik soruna işaret etmekle yetineceğiz.</w:t>
      </w:r>
    </w:p>
    <w:p w14:paraId="2D8CEE71" w14:textId="77777777" w:rsidR="00B80551" w:rsidRPr="006307C3" w:rsidRDefault="00B80551" w:rsidP="00B80551">
      <w:pPr>
        <w:jc w:val="both"/>
      </w:pPr>
    </w:p>
    <w:p w14:paraId="704E2A6C" w14:textId="4ACB805C" w:rsidR="00FA457D" w:rsidRDefault="00FA457D" w:rsidP="00B80551">
      <w:pPr>
        <w:jc w:val="both"/>
      </w:pPr>
      <w:r w:rsidRPr="006307C3">
        <w:t xml:space="preserve">On bir tezi içeren bu metin, </w:t>
      </w:r>
      <w:r w:rsidRPr="006307C3">
        <w:rPr>
          <w:i/>
        </w:rPr>
        <w:t>soyut</w:t>
      </w:r>
      <w:r w:rsidRPr="006307C3">
        <w:t xml:space="preserve"> ve </w:t>
      </w:r>
      <w:r w:rsidRPr="006307C3">
        <w:rPr>
          <w:i/>
        </w:rPr>
        <w:t>teorik</w:t>
      </w:r>
      <w:r w:rsidRPr="006307C3">
        <w:t xml:space="preserve"> kavramlarına ve bu iki kavramın temel oluşturduğu idealizme karşı materyalist bir yaklaşım ortaya koyar. “Louis </w:t>
      </w:r>
      <w:proofErr w:type="spellStart"/>
      <w:r w:rsidRPr="006307C3">
        <w:t>Althusser</w:t>
      </w:r>
      <w:proofErr w:type="spellEnd"/>
      <w:r w:rsidRPr="006307C3">
        <w:t xml:space="preserve">, </w:t>
      </w:r>
      <w:r w:rsidRPr="006307C3">
        <w:rPr>
          <w:i/>
        </w:rPr>
        <w:t xml:space="preserve">Feuerbach Üzerine </w:t>
      </w:r>
      <w:proofErr w:type="spellStart"/>
      <w:r w:rsidRPr="006307C3">
        <w:rPr>
          <w:i/>
        </w:rPr>
        <w:t>Tezler</w:t>
      </w:r>
      <w:r w:rsidRPr="006307C3">
        <w:t>’i</w:t>
      </w:r>
      <w:proofErr w:type="spellEnd"/>
      <w:r w:rsidRPr="006307C3">
        <w:t xml:space="preserve">, idealist geçmişin gecesini kıran, önemli bir felsefi olayın </w:t>
      </w:r>
      <w:proofErr w:type="spellStart"/>
      <w:r w:rsidRPr="006307C3">
        <w:t>ışıklandırıcısı</w:t>
      </w:r>
      <w:proofErr w:type="spellEnd"/>
      <w:r w:rsidRPr="006307C3">
        <w:t xml:space="preserve"> olarak tasvir </w:t>
      </w:r>
      <w:r w:rsidRPr="006307C3">
        <w:lastRenderedPageBreak/>
        <w:t>eder” (</w:t>
      </w:r>
      <w:proofErr w:type="spellStart"/>
      <w:r w:rsidRPr="006307C3">
        <w:t>Jal</w:t>
      </w:r>
      <w:proofErr w:type="spellEnd"/>
      <w:r w:rsidRPr="006307C3">
        <w:t xml:space="preserve">, 1999: 1). Kanaatimizce bu metin sadece bir idealizm eleştirisi değil, aynı zamanda bir felsefe tarihi yorumudur. Yani bu metnin idealizmin felsefe tarihinin </w:t>
      </w:r>
      <w:r>
        <w:t>esas akımlarından biri</w:t>
      </w:r>
      <w:r w:rsidRPr="006307C3">
        <w:t xml:space="preserve"> olduğu ön kabulünü zımnen esas aldığı söylenebilir. Marks’ın yapmaya çalıştığı ise, idealizmin bir yanılgı olduğunu göstermektir. Onun bu teşebbüsü aynı zamanda bir felsefe tarihi yorumu olarak karşımıza çıkar. Dolayısıyla bizim çalışmamızdaki başlıca tezimiz, bu metnin bir felsefe tarihi yorumu olduğudur. Marks’ın bu felsefe tarihi yorumunun </w:t>
      </w:r>
      <w:r>
        <w:t>geçerli</w:t>
      </w:r>
      <w:r w:rsidRPr="006307C3">
        <w:t xml:space="preserve"> olup olmadığı sorusuna da cevap vermeye çalışacağız.</w:t>
      </w:r>
    </w:p>
    <w:p w14:paraId="41BFE5FE" w14:textId="77777777" w:rsidR="00B80551" w:rsidRPr="006307C3" w:rsidRDefault="00B80551" w:rsidP="00B80551">
      <w:pPr>
        <w:jc w:val="both"/>
      </w:pPr>
    </w:p>
    <w:p w14:paraId="01BE630E" w14:textId="7C082D00" w:rsidR="00FA457D" w:rsidRDefault="00FA457D" w:rsidP="00B80551">
      <w:pPr>
        <w:jc w:val="both"/>
      </w:pPr>
      <w:r w:rsidRPr="009A7F08">
        <w:t>Soyut</w:t>
      </w:r>
      <w:r w:rsidRPr="006307C3">
        <w:t xml:space="preserve"> ve </w:t>
      </w:r>
      <w:r w:rsidRPr="009A7F08">
        <w:t>teorik</w:t>
      </w:r>
      <w:r w:rsidRPr="006307C3">
        <w:t xml:space="preserve"> kavramlarının temel oluşturduğu idealizm, Marks’ın iddia ettiği kadar, </w:t>
      </w:r>
      <w:r w:rsidRPr="006307C3">
        <w:rPr>
          <w:i/>
        </w:rPr>
        <w:t>somut</w:t>
      </w:r>
      <w:r w:rsidRPr="006307C3">
        <w:t xml:space="preserve"> ve </w:t>
      </w:r>
      <w:r w:rsidRPr="006307C3">
        <w:rPr>
          <w:i/>
        </w:rPr>
        <w:t>pratik</w:t>
      </w:r>
      <w:r w:rsidRPr="006307C3">
        <w:t xml:space="preserve"> olanla irtibatsız mıdır? Marks </w:t>
      </w:r>
      <w:r w:rsidRPr="006307C3">
        <w:rPr>
          <w:i/>
        </w:rPr>
        <w:t xml:space="preserve">Felsefe </w:t>
      </w:r>
      <w:proofErr w:type="spellStart"/>
      <w:r w:rsidRPr="006307C3">
        <w:rPr>
          <w:i/>
        </w:rPr>
        <w:t>İncelemeleri</w:t>
      </w:r>
      <w:r w:rsidRPr="006307C3">
        <w:t>’nde</w:t>
      </w:r>
      <w:proofErr w:type="spellEnd"/>
      <w:r w:rsidRPr="006307C3">
        <w:t xml:space="preserve"> (1968: 25</w:t>
      </w:r>
      <w:proofErr w:type="gramStart"/>
      <w:r w:rsidRPr="006307C3">
        <w:t xml:space="preserve">)  </w:t>
      </w:r>
      <w:r>
        <w:t>“</w:t>
      </w:r>
      <w:proofErr w:type="gramEnd"/>
      <w:r>
        <w:t>Descartes’ten Hegel’e, Hobbes’t</w:t>
      </w:r>
      <w:r w:rsidRPr="006307C3">
        <w:t>an Feuerbach’a kadar uzanan bütün bu dönem boyunca filozoflar, hiç de zannettikleri gibi saf fikir gücüyle ileri atılmamışlardır. Aksine, onları ileriye iten, her şeyden önce, tabiat biliminde ve sanayideki müthiş ve coşkunluğu giderek artan ilerleme (</w:t>
      </w:r>
      <w:r w:rsidRPr="006307C3">
        <w:rPr>
          <w:i/>
        </w:rPr>
        <w:t>ide</w:t>
      </w:r>
      <w:r w:rsidRPr="006307C3">
        <w:t xml:space="preserve"> olarak ilerleme fikri) olmuştur” </w:t>
      </w:r>
      <w:r>
        <w:t xml:space="preserve">der. </w:t>
      </w:r>
      <w:r w:rsidRPr="006307C3">
        <w:t>Bununla Marks</w:t>
      </w:r>
      <w:r>
        <w:t>,</w:t>
      </w:r>
      <w:r w:rsidRPr="006307C3">
        <w:t xml:space="preserve"> idealizmin </w:t>
      </w:r>
      <w:r>
        <w:t xml:space="preserve">bir </w:t>
      </w:r>
      <w:r w:rsidRPr="006307C3">
        <w:t>yanılgı olduğunu, filozofların ise kendilerini kandırdıklarını söyler.</w:t>
      </w:r>
    </w:p>
    <w:p w14:paraId="31642094" w14:textId="77777777" w:rsidR="00B80551" w:rsidRPr="006307C3" w:rsidRDefault="00B80551" w:rsidP="00B80551">
      <w:pPr>
        <w:jc w:val="both"/>
      </w:pPr>
    </w:p>
    <w:p w14:paraId="7FEAC043" w14:textId="77777777" w:rsidR="00FA457D" w:rsidRDefault="00FA457D" w:rsidP="00B80551">
      <w:pPr>
        <w:jc w:val="both"/>
      </w:pPr>
      <w:r w:rsidRPr="006307C3">
        <w:t xml:space="preserve">Burada üzerinde düşünülmesi gerekilen soru, neden </w:t>
      </w:r>
      <w:r>
        <w:t xml:space="preserve">idealist </w:t>
      </w:r>
      <w:r w:rsidRPr="006307C3">
        <w:t xml:space="preserve">filozofların yanılgı içerisinde oldukları ve </w:t>
      </w:r>
      <w:r>
        <w:t xml:space="preserve">neden </w:t>
      </w:r>
      <w:r w:rsidRPr="006307C3">
        <w:t xml:space="preserve">idealizmin felsefe tarihinin </w:t>
      </w:r>
      <w:r>
        <w:t>esas akımlarından biri</w:t>
      </w:r>
      <w:r w:rsidRPr="006307C3">
        <w:t xml:space="preserve"> olduğudur.</w:t>
      </w:r>
      <w:r>
        <w:rPr>
          <w:rStyle w:val="DipnotBavurusu"/>
          <w:rFonts w:eastAsiaTheme="majorEastAsia"/>
        </w:rPr>
        <w:footnoteReference w:id="88"/>
      </w:r>
      <w:r w:rsidRPr="006307C3">
        <w:t xml:space="preserve"> Felsefe tarihine bakıldığında az sayıda ismin materyalist tutumu benimsediği görülür. </w:t>
      </w:r>
      <w:r>
        <w:t>Burada</w:t>
      </w:r>
      <w:r w:rsidRPr="006307C3">
        <w:t xml:space="preserve"> idealist tutumu destekleyen ve bir anlamda besleyen unsur olarak dinlerin belirleyici etkisinin dikkate alınması gerekir. Yani yüzyıllar önce idealist tutumun felsefi olarak materyalist tutumdan daha etkin olup olmadığı tartışması başladığını ve düşünce tarihinin bu tartışmanın sonucuna göre geliştiğini söylemek zordur. </w:t>
      </w:r>
      <w:r>
        <w:t xml:space="preserve">Yani </w:t>
      </w:r>
      <w:r w:rsidRPr="006307C3">
        <w:t>idealist tutum</w:t>
      </w:r>
      <w:r>
        <w:t>,</w:t>
      </w:r>
      <w:r w:rsidRPr="006307C3">
        <w:t xml:space="preserve"> dinlerin etken konumlarından dolayı felsefe tarihinin </w:t>
      </w:r>
      <w:r>
        <w:t xml:space="preserve">esas akımlarından birini </w:t>
      </w:r>
      <w:r w:rsidRPr="006307C3">
        <w:t xml:space="preserve">oluşturmuş olabilir. Nitekim </w:t>
      </w:r>
      <w:proofErr w:type="spellStart"/>
      <w:r w:rsidRPr="006307C3">
        <w:t>Ağaoğulları</w:t>
      </w:r>
      <w:proofErr w:type="spellEnd"/>
      <w:r w:rsidRPr="006307C3">
        <w:t xml:space="preserve"> (2011: </w:t>
      </w:r>
      <w:proofErr w:type="gramStart"/>
      <w:r w:rsidRPr="006307C3">
        <w:t>95’den</w:t>
      </w:r>
      <w:proofErr w:type="gramEnd"/>
      <w:r w:rsidRPr="006307C3">
        <w:t xml:space="preserve"> </w:t>
      </w:r>
      <w:proofErr w:type="spellStart"/>
      <w:r w:rsidRPr="006307C3">
        <w:t>akt</w:t>
      </w:r>
      <w:proofErr w:type="spellEnd"/>
      <w:r w:rsidRPr="006307C3">
        <w:t xml:space="preserve">. Tekin ve </w:t>
      </w:r>
      <w:r>
        <w:t>Sipahi</w:t>
      </w:r>
      <w:r w:rsidRPr="006307C3">
        <w:t>, 2013: 215) da Avrupa tarihinin Hıristiyan dönemler</w:t>
      </w:r>
      <w:r>
        <w:t>i için şu açıklamada bulunur: “B</w:t>
      </w:r>
      <w:r w:rsidRPr="006307C3">
        <w:t>u dönemde dini, toplumsal ve siyasal yapılar ve düşünceler iç içe geçmiş haldeydi. Orta Çağ’da Batı Avrupa’da amaç, ortak bir Hıristiyanlık ideali çerç</w:t>
      </w:r>
      <w:r>
        <w:t>evesinde iyi yaşam</w:t>
      </w:r>
      <w:r w:rsidRPr="006307C3">
        <w:t xml:space="preserve">a ulaşmaktı.” Ayrıca Marks’ın (1968: 121) kendisi de benzeri bir açıklamada bulunur: “Birbiri ardından güçlü kafalar dindarlığın dış görünüşünü benimsediler, </w:t>
      </w:r>
      <w:proofErr w:type="spellStart"/>
      <w:r w:rsidRPr="006307C3">
        <w:t>Kilise’den</w:t>
      </w:r>
      <w:proofErr w:type="spellEnd"/>
      <w:r w:rsidRPr="006307C3">
        <w:t>, dogmalarından ve törenlerinden saygı ile söz etmeye başladılar ve bunların kaçınılması imkânsız olan asgarisine de bizzat boyun eğdiler.”</w:t>
      </w:r>
    </w:p>
    <w:p w14:paraId="3DCB6F7B" w14:textId="77777777" w:rsidR="00B80551" w:rsidRPr="006307C3" w:rsidRDefault="00B80551" w:rsidP="00B80551">
      <w:pPr>
        <w:jc w:val="both"/>
      </w:pPr>
    </w:p>
    <w:p w14:paraId="6BDEC2AD" w14:textId="60B34233" w:rsidR="00FA457D" w:rsidRDefault="00FA457D" w:rsidP="00B80551">
      <w:pPr>
        <w:jc w:val="both"/>
      </w:pPr>
      <w:r w:rsidRPr="006307C3">
        <w:t>Ama bununla birlikte idealizmin Marks’ın iddia ettiği gibi maddi gerçekliği, somut olanı, pratiği dikkate almadığı tezinin tartışabilir olduğu kanaatindeyiz. Elbette Marks, “</w:t>
      </w:r>
      <w:r w:rsidRPr="006307C3">
        <w:rPr>
          <w:color w:val="000000"/>
        </w:rPr>
        <w:t xml:space="preserve">idealist insanın İspanya’daki çöküşünün kayda değer bir örneği olan” </w:t>
      </w:r>
      <w:r w:rsidRPr="006307C3">
        <w:t>(Özcan, 2000: 101) Don Kişot değil</w:t>
      </w:r>
      <w:r w:rsidRPr="006307C3">
        <w:rPr>
          <w:rStyle w:val="DipnotBavurusu"/>
          <w:rFonts w:eastAsiaTheme="majorEastAsia"/>
        </w:rPr>
        <w:footnoteReference w:id="89"/>
      </w:r>
      <w:r w:rsidRPr="006307C3">
        <w:t xml:space="preserve"> ama sanki </w:t>
      </w:r>
      <w:proofErr w:type="spellStart"/>
      <w:r w:rsidRPr="006307C3">
        <w:rPr>
          <w:i/>
        </w:rPr>
        <w:t>Feurbach</w:t>
      </w:r>
      <w:proofErr w:type="spellEnd"/>
      <w:r w:rsidRPr="006307C3">
        <w:rPr>
          <w:i/>
        </w:rPr>
        <w:t xml:space="preserve"> Üzerine </w:t>
      </w:r>
      <w:proofErr w:type="spellStart"/>
      <w:r w:rsidRPr="006307C3">
        <w:rPr>
          <w:i/>
        </w:rPr>
        <w:t>Tezler</w:t>
      </w:r>
      <w:r w:rsidRPr="006307C3">
        <w:t>’in</w:t>
      </w:r>
      <w:proofErr w:type="spellEnd"/>
      <w:r w:rsidRPr="006307C3">
        <w:t xml:space="preserve"> düşmanı yarı gerçek, yarı hayali bir düşmandır.</w:t>
      </w:r>
    </w:p>
    <w:p w14:paraId="1F76C564" w14:textId="77777777" w:rsidR="00B80551" w:rsidRPr="006307C3" w:rsidRDefault="00B80551" w:rsidP="00B80551">
      <w:pPr>
        <w:jc w:val="both"/>
      </w:pPr>
    </w:p>
    <w:p w14:paraId="5BDF4CD3" w14:textId="57FF7944" w:rsidR="00FA457D" w:rsidRDefault="00FA457D" w:rsidP="00B80551">
      <w:pPr>
        <w:jc w:val="both"/>
      </w:pPr>
      <w:r w:rsidRPr="006307C3">
        <w:t>Kendi felsef</w:t>
      </w:r>
      <w:r>
        <w:t>es</w:t>
      </w:r>
      <w:r w:rsidRPr="006307C3">
        <w:t xml:space="preserve">ini pratik felsefe olarak telakki eden Marks, </w:t>
      </w:r>
      <w:proofErr w:type="spellStart"/>
      <w:r w:rsidRPr="006307C3">
        <w:rPr>
          <w:i/>
        </w:rPr>
        <w:t>Feurbach</w:t>
      </w:r>
      <w:proofErr w:type="spellEnd"/>
      <w:r w:rsidRPr="006307C3">
        <w:rPr>
          <w:i/>
        </w:rPr>
        <w:t xml:space="preserve"> Üzerine </w:t>
      </w:r>
      <w:proofErr w:type="spellStart"/>
      <w:r w:rsidRPr="006307C3">
        <w:rPr>
          <w:i/>
        </w:rPr>
        <w:t>Tezler</w:t>
      </w:r>
      <w:r w:rsidRPr="006307C3">
        <w:t>’de</w:t>
      </w:r>
      <w:proofErr w:type="spellEnd"/>
      <w:r w:rsidRPr="006307C3">
        <w:t xml:space="preserve"> idealizmi ve idealist filozofları pratiği ve somut olanı dikkate almamakla eleştirirken bunu teorik olarak yapar. Teorik zeminin önceliği ve önemi karşımıza çıka</w:t>
      </w:r>
      <w:r>
        <w:t xml:space="preserve">r. Marks da filozofları </w:t>
      </w:r>
      <w:r>
        <w:lastRenderedPageBreak/>
        <w:t>pratik</w:t>
      </w:r>
      <w:r w:rsidRPr="006307C3">
        <w:t xml:space="preserve"> </w:t>
      </w:r>
      <w:r>
        <w:t>ve somut olanı</w:t>
      </w:r>
      <w:r w:rsidRPr="006307C3">
        <w:t xml:space="preserve"> dikkate almamakla eleştirirken teorik zeminden hareket ediyor. Pratik olanın ve somut olanın temel olduğunu savunmak için teorik ve soyut olana başvurulması hususu önemlidir. Marks’ın sadece teoriyle uğraşmadığını, somut bir şekilde mücadeleye yöneldiğini ve bu doğrultuda örgütleme işiyle yakından ilgilendiği bilinir. Bu anlamda Marks’ın, teorinin </w:t>
      </w:r>
      <w:proofErr w:type="spellStart"/>
      <w:r w:rsidRPr="006307C3">
        <w:rPr>
          <w:i/>
        </w:rPr>
        <w:t>praksis</w:t>
      </w:r>
      <w:r w:rsidRPr="006307C3">
        <w:t>’in</w:t>
      </w:r>
      <w:proofErr w:type="spellEnd"/>
      <w:r w:rsidRPr="006307C3">
        <w:t xml:space="preserve"> hizmetinde olmasını istediği, teoriyi </w:t>
      </w:r>
      <w:proofErr w:type="spellStart"/>
      <w:r w:rsidRPr="006307C3">
        <w:rPr>
          <w:i/>
        </w:rPr>
        <w:t>praksis</w:t>
      </w:r>
      <w:proofErr w:type="spellEnd"/>
      <w:r w:rsidRPr="006307C3">
        <w:t xml:space="preserve"> için özgürleştirici bir eylem olarak telakki ettiği bir gerçektir. Ama bununla birlikte “Marks, Hegel’e yönelik, materyalizm açısından yürütülen sistematik bir çalışma organize etmeliyiz” (</w:t>
      </w:r>
      <w:proofErr w:type="spellStart"/>
      <w:r w:rsidRPr="006307C3">
        <w:t>Jakubowski</w:t>
      </w:r>
      <w:proofErr w:type="spellEnd"/>
      <w:r w:rsidRPr="006307C3">
        <w:t xml:space="preserve">, 1978: 13) diyerek yukarıda altını çizdiğimiz hususun farkında olduğunu gösterir. Yani teoriye teoriyle değil, </w:t>
      </w:r>
      <w:proofErr w:type="spellStart"/>
      <w:r w:rsidRPr="006307C3">
        <w:rPr>
          <w:i/>
        </w:rPr>
        <w:t>praksis</w:t>
      </w:r>
      <w:r w:rsidRPr="006307C3">
        <w:t>’le</w:t>
      </w:r>
      <w:proofErr w:type="spellEnd"/>
      <w:r w:rsidRPr="006307C3">
        <w:t xml:space="preserve"> yanıt verilmelidir. “Komünizme entelektüeller, vizyonerler ve hayalperestler tarafından değil sadece işçilerin bizzat kendileri tarafından ulaşılacak. Devrim, hayırseverlik ve tecrübe değil önümüzdeki yoldur. Bu yolun (devrimin) fikirler tarafından yönlendirilmesi gerekir” (</w:t>
      </w:r>
      <w:proofErr w:type="spellStart"/>
      <w:r w:rsidRPr="006307C3">
        <w:t>Wolff</w:t>
      </w:r>
      <w:proofErr w:type="spellEnd"/>
      <w:r w:rsidRPr="006307C3">
        <w:t>, 2002: 46).</w:t>
      </w:r>
    </w:p>
    <w:p w14:paraId="70AC1C12" w14:textId="77777777" w:rsidR="00B80551" w:rsidRPr="006307C3" w:rsidRDefault="00B80551" w:rsidP="00B80551">
      <w:pPr>
        <w:jc w:val="both"/>
      </w:pPr>
    </w:p>
    <w:p w14:paraId="20931CBC" w14:textId="7EDBFE44" w:rsidR="00FA457D" w:rsidRDefault="00FA457D" w:rsidP="00B80551">
      <w:pPr>
        <w:jc w:val="both"/>
      </w:pPr>
      <w:r w:rsidRPr="006307C3">
        <w:t>Marks, toplumu ilgilendiren sorunların teorik dille ifadesinin proletaryanın bilinçlenmesi sürecine katkı sağladığını düşünmüş olabilir. “Birçok insan, teori veya bilimsel bir okulun onlara verebilecekleri gibi yapısal bir çerçeve içerisinde tutarlı bir ilkelere ihtiyaç duyarlar” (</w:t>
      </w:r>
      <w:proofErr w:type="spellStart"/>
      <w:r w:rsidRPr="006307C3">
        <w:t>Moreno</w:t>
      </w:r>
      <w:proofErr w:type="spellEnd"/>
      <w:r w:rsidRPr="006307C3">
        <w:t>, 2014: 57). Dolayısıyla Marks’ın teorik ve soyut olanın gerçekliğini ve önemini reddetmediğini</w:t>
      </w:r>
      <w:r>
        <w:t>, ikincil konuma yerleştirdiği söylenebilir.</w:t>
      </w:r>
      <w:r w:rsidRPr="006307C3">
        <w:t xml:space="preserve"> “Bu anlamda her şey onlara (üretim ilişkisi ve güçleri) dayanıyor. Herhangi bir toplumda mümkün olanın sınırlarını tayin ederler” </w:t>
      </w:r>
      <w:r w:rsidRPr="006307C3">
        <w:rPr>
          <w:rFonts w:eastAsia="Calibri"/>
        </w:rPr>
        <w:t>(Harman</w:t>
      </w:r>
      <w:r w:rsidRPr="006307C3">
        <w:t>, 1986: 6). O zaman idealizmin de pratik ve somut olanın gerçekliğini ve önemini reddetmediği, ikincil konuma yerleştirdiği söylenebilir.</w:t>
      </w:r>
    </w:p>
    <w:p w14:paraId="302DEFBD" w14:textId="77777777" w:rsidR="00B80551" w:rsidRPr="006307C3" w:rsidRDefault="00B80551" w:rsidP="00B80551">
      <w:pPr>
        <w:jc w:val="both"/>
      </w:pPr>
    </w:p>
    <w:p w14:paraId="46C22938" w14:textId="58B66B5E" w:rsidR="00FA457D" w:rsidRDefault="00FA457D" w:rsidP="00B80551">
      <w:pPr>
        <w:jc w:val="both"/>
      </w:pPr>
      <w:r w:rsidRPr="006307C3">
        <w:t xml:space="preserve">Şimdi </w:t>
      </w:r>
      <w:proofErr w:type="spellStart"/>
      <w:r w:rsidRPr="006307C3">
        <w:rPr>
          <w:i/>
        </w:rPr>
        <w:t>Feurbach</w:t>
      </w:r>
      <w:proofErr w:type="spellEnd"/>
      <w:r w:rsidRPr="006307C3">
        <w:rPr>
          <w:i/>
        </w:rPr>
        <w:t xml:space="preserve"> Üzerine </w:t>
      </w:r>
      <w:proofErr w:type="spellStart"/>
      <w:r w:rsidRPr="006307C3">
        <w:rPr>
          <w:i/>
        </w:rPr>
        <w:t>Tezler</w:t>
      </w:r>
      <w:r w:rsidRPr="006307C3">
        <w:t>’i</w:t>
      </w:r>
      <w:proofErr w:type="spellEnd"/>
      <w:r w:rsidRPr="006307C3">
        <w:t xml:space="preserve"> ortaya çıkaran nedenleri irdelemeye başlayabiliriz. Akabinde ise Marks’ın bu tezlerle ortaya koyduğu felsefe tarihi yorumunun ne kadar isabetli</w:t>
      </w:r>
      <w:r>
        <w:t xml:space="preserve"> olduğu sorusunu cevaplamaya çalışacağız.</w:t>
      </w:r>
    </w:p>
    <w:p w14:paraId="2029F0D3" w14:textId="77777777" w:rsidR="00B80551" w:rsidRPr="006307C3" w:rsidRDefault="00B80551" w:rsidP="00B80551">
      <w:pPr>
        <w:jc w:val="both"/>
      </w:pPr>
    </w:p>
    <w:p w14:paraId="21B429C7" w14:textId="6941C7F1" w:rsidR="00FA457D" w:rsidRPr="006307C3" w:rsidRDefault="00FA457D" w:rsidP="00B80551">
      <w:pPr>
        <w:jc w:val="both"/>
        <w:rPr>
          <w:b/>
        </w:rPr>
      </w:pPr>
      <w:r w:rsidRPr="006307C3">
        <w:rPr>
          <w:b/>
        </w:rPr>
        <w:t xml:space="preserve">1. Fransız Devrimi ve </w:t>
      </w:r>
      <w:proofErr w:type="spellStart"/>
      <w:r w:rsidRPr="006307C3">
        <w:rPr>
          <w:b/>
        </w:rPr>
        <w:t>Borodino</w:t>
      </w:r>
      <w:proofErr w:type="spellEnd"/>
      <w:r w:rsidRPr="006307C3">
        <w:rPr>
          <w:b/>
        </w:rPr>
        <w:t xml:space="preserve"> Savaşı</w:t>
      </w:r>
    </w:p>
    <w:p w14:paraId="17B3885E" w14:textId="1BA05DBE" w:rsidR="00FA457D" w:rsidRDefault="00FA457D" w:rsidP="00B80551">
      <w:pPr>
        <w:jc w:val="both"/>
        <w:rPr>
          <w:color w:val="000000"/>
          <w:shd w:val="clear" w:color="auto" w:fill="FFFFFF"/>
        </w:rPr>
      </w:pPr>
      <w:r w:rsidRPr="006307C3">
        <w:rPr>
          <w:color w:val="000000"/>
          <w:shd w:val="clear" w:color="auto" w:fill="FFFFFF"/>
        </w:rPr>
        <w:t xml:space="preserve">Marks ilk tezinde Feuerbach dâhil bütün materyalistlerin, gerçekliği pratik olarak kavrayamamalarından dolayı sistemlerinin eksik olduğunu işaret ediyor. Marks’ın ilk tezinde işaret ettiği sorun, felsefe tarihinin ilk materyalistlerinden olduğu kabul edilen Demokritos’la başlar. Marks </w:t>
      </w:r>
      <w:r w:rsidRPr="006307C3">
        <w:t xml:space="preserve">(2001: 30) </w:t>
      </w:r>
      <w:r w:rsidRPr="006307C3">
        <w:rPr>
          <w:color w:val="000000"/>
          <w:shd w:val="clear" w:color="auto" w:fill="FFFFFF"/>
        </w:rPr>
        <w:t xml:space="preserve">kendi doktora tezinde bu durumu </w:t>
      </w:r>
      <w:r>
        <w:rPr>
          <w:color w:val="000000"/>
          <w:shd w:val="clear" w:color="auto" w:fill="FFFFFF"/>
        </w:rPr>
        <w:t xml:space="preserve">üstü kapalı bir şekilde belirtir. </w:t>
      </w:r>
      <w:r w:rsidRPr="006307C3">
        <w:rPr>
          <w:color w:val="000000"/>
          <w:shd w:val="clear" w:color="auto" w:fill="FFFFFF"/>
        </w:rPr>
        <w:t xml:space="preserve">“Demokritos Mısır rahiplerinden, Pers ülkesinde </w:t>
      </w:r>
      <w:proofErr w:type="spellStart"/>
      <w:r w:rsidRPr="006307C3">
        <w:rPr>
          <w:color w:val="000000"/>
          <w:shd w:val="clear" w:color="auto" w:fill="FFFFFF"/>
        </w:rPr>
        <w:t>Kaldaioslardan</w:t>
      </w:r>
      <w:proofErr w:type="spellEnd"/>
      <w:r w:rsidRPr="006307C3">
        <w:rPr>
          <w:color w:val="000000"/>
          <w:shd w:val="clear" w:color="auto" w:fill="FFFFFF"/>
        </w:rPr>
        <w:t xml:space="preserve">, Hint </w:t>
      </w:r>
      <w:proofErr w:type="spellStart"/>
      <w:r w:rsidRPr="006307C3">
        <w:rPr>
          <w:color w:val="000000"/>
          <w:shd w:val="clear" w:color="auto" w:fill="FFFFFF"/>
        </w:rPr>
        <w:t>gymnosophistlerinden</w:t>
      </w:r>
      <w:proofErr w:type="spellEnd"/>
      <w:r w:rsidRPr="006307C3">
        <w:rPr>
          <w:color w:val="000000"/>
          <w:shd w:val="clear" w:color="auto" w:fill="FFFFFF"/>
        </w:rPr>
        <w:t xml:space="preserve"> bilgi almıştır.” Yani Demokritos’un felsefesi metafizikten arınmış değildir.</w:t>
      </w:r>
    </w:p>
    <w:p w14:paraId="5AB08165" w14:textId="77777777" w:rsidR="00B80551" w:rsidRPr="006307C3" w:rsidRDefault="00B80551" w:rsidP="00B80551">
      <w:pPr>
        <w:jc w:val="both"/>
        <w:rPr>
          <w:color w:val="000000"/>
          <w:shd w:val="clear" w:color="auto" w:fill="FFFFFF"/>
        </w:rPr>
      </w:pPr>
    </w:p>
    <w:p w14:paraId="5D834627" w14:textId="7238F8CB" w:rsidR="00FA457D" w:rsidRDefault="00FA457D" w:rsidP="00B80551">
      <w:pPr>
        <w:jc w:val="both"/>
        <w:rPr>
          <w:color w:val="000000"/>
          <w:shd w:val="clear" w:color="auto" w:fill="FFFFFF"/>
        </w:rPr>
      </w:pPr>
      <w:r w:rsidRPr="006307C3">
        <w:rPr>
          <w:color w:val="000000"/>
          <w:shd w:val="clear" w:color="auto" w:fill="FFFFFF"/>
        </w:rPr>
        <w:t>Yine ilk</w:t>
      </w:r>
      <w:r>
        <w:rPr>
          <w:color w:val="000000"/>
          <w:shd w:val="clear" w:color="auto" w:fill="FFFFFF"/>
        </w:rPr>
        <w:t xml:space="preserve"> tezin devamında Marks</w:t>
      </w:r>
      <w:r w:rsidRPr="006307C3">
        <w:rPr>
          <w:color w:val="000000"/>
          <w:shd w:val="clear" w:color="auto" w:fill="FFFFFF"/>
        </w:rPr>
        <w:t xml:space="preserve"> Feuerbach’ın</w:t>
      </w:r>
      <w:r>
        <w:rPr>
          <w:color w:val="000000"/>
          <w:shd w:val="clear" w:color="auto" w:fill="FFFFFF"/>
        </w:rPr>
        <w:t>,</w:t>
      </w:r>
      <w:r w:rsidRPr="006307C3">
        <w:rPr>
          <w:color w:val="000000"/>
          <w:shd w:val="clear" w:color="auto" w:fill="FFFFFF"/>
        </w:rPr>
        <w:t xml:space="preserve"> insan faaliyetinin nesnel faaliyet olduğunu kavrayamadığını ifade eder. Marks’ın insan faaliyetinin önemi üzerinde ilk tezde bu kadar ısrar etmesinin sebebi Kartezyenizm etkisi olabilir. Descartes, </w:t>
      </w:r>
      <w:proofErr w:type="spellStart"/>
      <w:r w:rsidRPr="006307C3">
        <w:rPr>
          <w:i/>
          <w:color w:val="000000"/>
          <w:shd w:val="clear" w:color="auto" w:fill="FFFFFF"/>
        </w:rPr>
        <w:t>res</w:t>
      </w:r>
      <w:proofErr w:type="spellEnd"/>
      <w:r w:rsidRPr="006307C3">
        <w:rPr>
          <w:i/>
          <w:color w:val="000000"/>
          <w:shd w:val="clear" w:color="auto" w:fill="FFFFFF"/>
        </w:rPr>
        <w:t xml:space="preserve"> </w:t>
      </w:r>
      <w:proofErr w:type="spellStart"/>
      <w:r w:rsidRPr="006307C3">
        <w:rPr>
          <w:i/>
          <w:color w:val="000000"/>
          <w:shd w:val="clear" w:color="auto" w:fill="FFFFFF"/>
        </w:rPr>
        <w:t>cogitans</w:t>
      </w:r>
      <w:r w:rsidRPr="006307C3">
        <w:rPr>
          <w:color w:val="000000"/>
          <w:shd w:val="clear" w:color="auto" w:fill="FFFFFF"/>
        </w:rPr>
        <w:t>’ın</w:t>
      </w:r>
      <w:proofErr w:type="spellEnd"/>
      <w:r w:rsidRPr="006307C3">
        <w:rPr>
          <w:color w:val="000000"/>
          <w:shd w:val="clear" w:color="auto" w:fill="FFFFFF"/>
        </w:rPr>
        <w:t xml:space="preserve"> (düşünen şey), </w:t>
      </w:r>
      <w:proofErr w:type="spellStart"/>
      <w:r w:rsidRPr="006307C3">
        <w:rPr>
          <w:i/>
          <w:color w:val="000000"/>
          <w:shd w:val="clear" w:color="auto" w:fill="FFFFFF"/>
        </w:rPr>
        <w:t>res</w:t>
      </w:r>
      <w:proofErr w:type="spellEnd"/>
      <w:r w:rsidRPr="006307C3">
        <w:rPr>
          <w:i/>
          <w:color w:val="000000"/>
          <w:shd w:val="clear" w:color="auto" w:fill="FFFFFF"/>
        </w:rPr>
        <w:t xml:space="preserve"> </w:t>
      </w:r>
      <w:proofErr w:type="spellStart"/>
      <w:r w:rsidRPr="006307C3">
        <w:rPr>
          <w:i/>
          <w:color w:val="000000"/>
          <w:shd w:val="clear" w:color="auto" w:fill="FFFFFF"/>
        </w:rPr>
        <w:t>extensa</w:t>
      </w:r>
      <w:r w:rsidRPr="006307C3">
        <w:rPr>
          <w:color w:val="000000"/>
          <w:shd w:val="clear" w:color="auto" w:fill="FFFFFF"/>
        </w:rPr>
        <w:t>’ya</w:t>
      </w:r>
      <w:proofErr w:type="spellEnd"/>
      <w:r w:rsidRPr="006307C3">
        <w:rPr>
          <w:color w:val="000000"/>
          <w:shd w:val="clear" w:color="auto" w:fill="FFFFFF"/>
        </w:rPr>
        <w:t xml:space="preserve"> (uzamlı şey) önceliğini vurgulayarak aynı zamanda insani faaliyetin doğa üzerindeki tahakkümünün de yolunu açar.</w:t>
      </w:r>
    </w:p>
    <w:p w14:paraId="5E1E8CBB" w14:textId="77777777" w:rsidR="00B80551" w:rsidRPr="006307C3" w:rsidRDefault="00B80551" w:rsidP="00B80551">
      <w:pPr>
        <w:jc w:val="both"/>
        <w:rPr>
          <w:color w:val="000000"/>
          <w:shd w:val="clear" w:color="auto" w:fill="FFFFFF"/>
        </w:rPr>
      </w:pPr>
    </w:p>
    <w:p w14:paraId="1027355D" w14:textId="77777777" w:rsidR="00FA457D" w:rsidRDefault="00FA457D" w:rsidP="00B80551">
      <w:pPr>
        <w:jc w:val="both"/>
      </w:pPr>
      <w:r w:rsidRPr="006307C3">
        <w:rPr>
          <w:color w:val="000000"/>
          <w:shd w:val="clear" w:color="auto" w:fill="FFFFFF"/>
        </w:rPr>
        <w:t>İnsan faaliyetinin nesnelliği bağlamında Marks’ı etkileyen diğer olaylar, “</w:t>
      </w:r>
      <w:proofErr w:type="spellStart"/>
      <w:r w:rsidRPr="006307C3">
        <w:rPr>
          <w:i/>
          <w:color w:val="000000"/>
          <w:shd w:val="clear" w:color="auto" w:fill="FFFFFF"/>
        </w:rPr>
        <w:t>Ancien</w:t>
      </w:r>
      <w:proofErr w:type="spellEnd"/>
      <w:r w:rsidRPr="006307C3">
        <w:rPr>
          <w:i/>
          <w:color w:val="000000"/>
          <w:shd w:val="clear" w:color="auto" w:fill="FFFFFF"/>
        </w:rPr>
        <w:t xml:space="preserve"> </w:t>
      </w:r>
      <w:proofErr w:type="spellStart"/>
      <w:r w:rsidRPr="006307C3">
        <w:rPr>
          <w:i/>
          <w:color w:val="000000"/>
          <w:shd w:val="clear" w:color="auto" w:fill="FFFFFF"/>
        </w:rPr>
        <w:t>Régime</w:t>
      </w:r>
      <w:r w:rsidRPr="006307C3">
        <w:rPr>
          <w:color w:val="000000"/>
          <w:shd w:val="clear" w:color="auto" w:fill="FFFFFF"/>
        </w:rPr>
        <w:t>’i</w:t>
      </w:r>
      <w:proofErr w:type="spellEnd"/>
      <w:r w:rsidRPr="006307C3">
        <w:rPr>
          <w:color w:val="000000"/>
          <w:shd w:val="clear" w:color="auto" w:fill="FFFFFF"/>
        </w:rPr>
        <w:t xml:space="preserve"> yıkıp kral-devlete son vererek ulus-devleti tarih sahnesine çıkaran” </w:t>
      </w:r>
      <w:r w:rsidRPr="006307C3">
        <w:t>(</w:t>
      </w:r>
      <w:proofErr w:type="spellStart"/>
      <w:r w:rsidRPr="006307C3">
        <w:t>Ağaoğulları</w:t>
      </w:r>
      <w:proofErr w:type="spellEnd"/>
      <w:r w:rsidRPr="006307C3">
        <w:t xml:space="preserve">, 2006: 340) </w:t>
      </w:r>
      <w:r w:rsidRPr="006307C3">
        <w:rPr>
          <w:color w:val="000000"/>
          <w:shd w:val="clear" w:color="auto" w:fill="FFFFFF"/>
        </w:rPr>
        <w:t xml:space="preserve">Fransız devrimi ve Napolyon’un </w:t>
      </w:r>
      <w:proofErr w:type="spellStart"/>
      <w:r w:rsidRPr="006307C3">
        <w:rPr>
          <w:color w:val="000000"/>
          <w:shd w:val="clear" w:color="auto" w:fill="FFFFFF"/>
        </w:rPr>
        <w:t>Borodino</w:t>
      </w:r>
      <w:proofErr w:type="spellEnd"/>
      <w:r w:rsidRPr="006307C3">
        <w:rPr>
          <w:color w:val="000000"/>
          <w:shd w:val="clear" w:color="auto" w:fill="FFFFFF"/>
        </w:rPr>
        <w:t xml:space="preserve"> </w:t>
      </w:r>
      <w:r>
        <w:rPr>
          <w:color w:val="000000"/>
          <w:shd w:val="clear" w:color="auto" w:fill="FFFFFF"/>
        </w:rPr>
        <w:t xml:space="preserve">yenilgisidir. </w:t>
      </w:r>
      <w:r w:rsidRPr="006307C3">
        <w:rPr>
          <w:color w:val="000000"/>
          <w:shd w:val="clear" w:color="auto" w:fill="FFFFFF"/>
        </w:rPr>
        <w:t>Bu iki olaydan birincisi, Kral devletinden u</w:t>
      </w:r>
      <w:r>
        <w:rPr>
          <w:color w:val="000000"/>
          <w:shd w:val="clear" w:color="auto" w:fill="FFFFFF"/>
        </w:rPr>
        <w:t xml:space="preserve">lus devlete geçişin habercisiydi. </w:t>
      </w:r>
      <w:r w:rsidRPr="006307C3">
        <w:rPr>
          <w:color w:val="000000"/>
          <w:shd w:val="clear" w:color="auto" w:fill="FFFFFF"/>
        </w:rPr>
        <w:t xml:space="preserve">“Fransa’da kısmi özgürlüğe kavuşma, evrensel özgürlüğe kavuşmanın temelidir” </w:t>
      </w:r>
      <w:r>
        <w:t>(Marks</w:t>
      </w:r>
      <w:r w:rsidRPr="006307C3">
        <w:t xml:space="preserve"> ve Engels, 2013: 52). </w:t>
      </w:r>
      <w:r>
        <w:rPr>
          <w:color w:val="000000"/>
          <w:shd w:val="clear" w:color="auto" w:fill="FFFFFF"/>
        </w:rPr>
        <w:t>Onun “Fransız d</w:t>
      </w:r>
      <w:r w:rsidRPr="006307C3">
        <w:rPr>
          <w:color w:val="000000"/>
          <w:shd w:val="clear" w:color="auto" w:fill="FFFFFF"/>
        </w:rPr>
        <w:t>evrimcilerinden bahsederken, onların Roma Devleti</w:t>
      </w:r>
      <w:r>
        <w:rPr>
          <w:color w:val="000000"/>
          <w:shd w:val="clear" w:color="auto" w:fill="FFFFFF"/>
        </w:rPr>
        <w:t>’</w:t>
      </w:r>
      <w:r w:rsidRPr="006307C3">
        <w:rPr>
          <w:color w:val="000000"/>
          <w:shd w:val="clear" w:color="auto" w:fill="FFFFFF"/>
        </w:rPr>
        <w:t>ne ve İmparatorluğu</w:t>
      </w:r>
      <w:r>
        <w:rPr>
          <w:color w:val="000000"/>
          <w:shd w:val="clear" w:color="auto" w:fill="FFFFFF"/>
        </w:rPr>
        <w:t>’</w:t>
      </w:r>
      <w:r w:rsidRPr="006307C3">
        <w:rPr>
          <w:color w:val="000000"/>
          <w:shd w:val="clear" w:color="auto" w:fill="FFFFFF"/>
        </w:rPr>
        <w:t xml:space="preserve">na imrendiklerinin altını çizmesi” </w:t>
      </w:r>
      <w:r w:rsidRPr="006307C3">
        <w:t xml:space="preserve">(Morrison, 2011: 2) </w:t>
      </w:r>
      <w:r w:rsidRPr="006307C3">
        <w:rPr>
          <w:color w:val="000000"/>
          <w:shd w:val="clear" w:color="auto" w:fill="FFFFFF"/>
        </w:rPr>
        <w:t>ve “1852’deki bakış açısından yola çıkar</w:t>
      </w:r>
      <w:r>
        <w:rPr>
          <w:color w:val="000000"/>
          <w:shd w:val="clear" w:color="auto" w:fill="FFFFFF"/>
        </w:rPr>
        <w:t xml:space="preserve">ak 1789 Fransız </w:t>
      </w:r>
      <w:r>
        <w:rPr>
          <w:color w:val="000000"/>
          <w:shd w:val="clear" w:color="auto" w:fill="FFFFFF"/>
        </w:rPr>
        <w:lastRenderedPageBreak/>
        <w:t>d</w:t>
      </w:r>
      <w:r w:rsidRPr="006307C3">
        <w:rPr>
          <w:color w:val="000000"/>
          <w:shd w:val="clear" w:color="auto" w:fill="FFFFFF"/>
        </w:rPr>
        <w:t xml:space="preserve">evrimine geri dönmesi” </w:t>
      </w:r>
      <w:r w:rsidRPr="006307C3">
        <w:t>(</w:t>
      </w:r>
      <w:proofErr w:type="spellStart"/>
      <w:r w:rsidRPr="006307C3">
        <w:t>Spang</w:t>
      </w:r>
      <w:proofErr w:type="spellEnd"/>
      <w:r w:rsidRPr="006307C3">
        <w:t xml:space="preserve">, 2003: 121) </w:t>
      </w:r>
      <w:r w:rsidRPr="006307C3">
        <w:rPr>
          <w:color w:val="000000"/>
          <w:shd w:val="clear" w:color="auto" w:fill="FFFFFF"/>
        </w:rPr>
        <w:t>bu olayın zihin dünyası üzerindeki etkisini ortaya koyuyor. “</w:t>
      </w:r>
      <w:r w:rsidRPr="006307C3">
        <w:t>Tüm iç koşullar yerine geldiğinde, Alman dirilişinin günü, Fransız horozunun ötüşüyle duyurulmuş olacak</w:t>
      </w:r>
      <w:r w:rsidRPr="006307C3">
        <w:rPr>
          <w:color w:val="000000"/>
          <w:shd w:val="clear" w:color="auto" w:fill="FFFFFF"/>
        </w:rPr>
        <w:t xml:space="preserve">” </w:t>
      </w:r>
      <w:r>
        <w:t>(Marks</w:t>
      </w:r>
      <w:r w:rsidRPr="006307C3">
        <w:t xml:space="preserve"> ve Engels 2013: 50).</w:t>
      </w:r>
    </w:p>
    <w:p w14:paraId="766073F4" w14:textId="77777777" w:rsidR="00B80551" w:rsidRPr="006307C3" w:rsidRDefault="00B80551" w:rsidP="00B80551">
      <w:pPr>
        <w:jc w:val="both"/>
        <w:rPr>
          <w:color w:val="000000"/>
          <w:shd w:val="clear" w:color="auto" w:fill="FFFFFF"/>
        </w:rPr>
      </w:pPr>
    </w:p>
    <w:p w14:paraId="4B36F98A" w14:textId="0EAD7B7C" w:rsidR="00FA457D" w:rsidRDefault="00FA457D" w:rsidP="00B80551">
      <w:pPr>
        <w:jc w:val="both"/>
        <w:rPr>
          <w:color w:val="000000"/>
          <w:shd w:val="clear" w:color="auto" w:fill="FFFFFF"/>
        </w:rPr>
      </w:pPr>
      <w:r w:rsidRPr="00AA1A6F">
        <w:rPr>
          <w:color w:val="000000"/>
          <w:shd w:val="clear" w:color="auto" w:fill="FFFFFF"/>
        </w:rPr>
        <w:t xml:space="preserve">İkinci olay ise Napolyon’un </w:t>
      </w:r>
      <w:proofErr w:type="spellStart"/>
      <w:r w:rsidRPr="00AA1A6F">
        <w:rPr>
          <w:color w:val="000000"/>
          <w:shd w:val="clear" w:color="auto" w:fill="FFFFFF"/>
        </w:rPr>
        <w:t>Borodino</w:t>
      </w:r>
      <w:proofErr w:type="spellEnd"/>
      <w:r w:rsidRPr="00AA1A6F">
        <w:rPr>
          <w:color w:val="000000"/>
          <w:shd w:val="clear" w:color="auto" w:fill="FFFFFF"/>
        </w:rPr>
        <w:t xml:space="preserve"> yenilgisidir. Bu olayın tarih felsefesi yazıcılığı açısından önemli bir yeri var. İlk defa bu olaydan tarih felsefesi için önemli tezler çıkaran isim, </w:t>
      </w:r>
      <w:proofErr w:type="spellStart"/>
      <w:r w:rsidRPr="00AA1A6F">
        <w:rPr>
          <w:color w:val="000000"/>
          <w:shd w:val="clear" w:color="auto" w:fill="FFFFFF"/>
        </w:rPr>
        <w:t>Lev</w:t>
      </w:r>
      <w:proofErr w:type="spellEnd"/>
      <w:r w:rsidRPr="00AA1A6F">
        <w:rPr>
          <w:color w:val="000000"/>
          <w:shd w:val="clear" w:color="auto" w:fill="FFFFFF"/>
        </w:rPr>
        <w:t xml:space="preserve"> Tolstoy’dur. O </w:t>
      </w:r>
      <w:r w:rsidRPr="00AA1A6F">
        <w:rPr>
          <w:i/>
          <w:color w:val="000000"/>
          <w:shd w:val="clear" w:color="auto" w:fill="FFFFFF"/>
        </w:rPr>
        <w:t xml:space="preserve">Savaş ve Barış </w:t>
      </w:r>
      <w:r w:rsidRPr="00AA1A6F">
        <w:rPr>
          <w:color w:val="000000"/>
          <w:shd w:val="clear" w:color="auto" w:fill="FFFFFF"/>
        </w:rPr>
        <w:t xml:space="preserve">romanında “tarihin/savaşın ‘büyük adamı’ tezine karşı çıkarak” </w:t>
      </w:r>
      <w:r w:rsidRPr="00AA1A6F">
        <w:t>(</w:t>
      </w:r>
      <w:proofErr w:type="spellStart"/>
      <w:r w:rsidRPr="00AA1A6F">
        <w:t>Naidu</w:t>
      </w:r>
      <w:proofErr w:type="spellEnd"/>
      <w:r w:rsidRPr="00AA1A6F">
        <w:t xml:space="preserve">, 1982: 33) </w:t>
      </w:r>
      <w:r w:rsidRPr="00AA1A6F">
        <w:rPr>
          <w:color w:val="000000"/>
          <w:shd w:val="clear" w:color="auto" w:fill="FFFFFF"/>
        </w:rPr>
        <w:t xml:space="preserve">tarihi yazanların ve tarihin seyrini değiştirenlerin büyük insanlar değil sıradan insanlar olduğunu gösterir. Onun bu çıkarımı yaşanmış bir olaya dayanır. “Tolstoy’a göre milli liderler hatta büyük liderler, tarihin büyük olaylarının gidişatını tayin etmezler” </w:t>
      </w:r>
      <w:r w:rsidRPr="00AA1A6F">
        <w:t>(</w:t>
      </w:r>
      <w:proofErr w:type="spellStart"/>
      <w:r w:rsidRPr="00AA1A6F">
        <w:t>Ahearn</w:t>
      </w:r>
      <w:proofErr w:type="spellEnd"/>
      <w:r w:rsidRPr="00AA1A6F">
        <w:t xml:space="preserve">, 2005: 632). </w:t>
      </w:r>
      <w:r w:rsidRPr="00AA1A6F">
        <w:rPr>
          <w:color w:val="000000"/>
          <w:shd w:val="clear" w:color="auto" w:fill="FFFFFF"/>
        </w:rPr>
        <w:t xml:space="preserve">Ayrıca Tolstoy’un muhtemelen </w:t>
      </w:r>
      <w:proofErr w:type="spellStart"/>
      <w:r w:rsidRPr="00AA1A6F">
        <w:rPr>
          <w:color w:val="000000"/>
          <w:shd w:val="clear" w:color="auto" w:fill="FFFFFF"/>
        </w:rPr>
        <w:t>Borodino</w:t>
      </w:r>
      <w:proofErr w:type="spellEnd"/>
      <w:r w:rsidRPr="00AA1A6F">
        <w:rPr>
          <w:color w:val="000000"/>
          <w:shd w:val="clear" w:color="auto" w:fill="FFFFFF"/>
        </w:rPr>
        <w:t xml:space="preserve"> olayından hareketle </w:t>
      </w:r>
      <w:r w:rsidRPr="00AA1A6F">
        <w:t>“yaklaşmakta olan devrimin, ‘halkın doğal hakkı dolayısıyla emekçilerin evrensel memnuniyetsizliği’ nedeniyle evrensel olarak sonuçlanacağına inandığı” (</w:t>
      </w:r>
      <w:proofErr w:type="spellStart"/>
      <w:r w:rsidRPr="00AA1A6F">
        <w:t>Keshner</w:t>
      </w:r>
      <w:proofErr w:type="spellEnd"/>
      <w:r w:rsidRPr="00AA1A6F">
        <w:t xml:space="preserve">, 2009: 22) düşünülebilir. Tolstoy’a atıfta bulunmamızın sebebi </w:t>
      </w:r>
      <w:r w:rsidRPr="00AA1A6F">
        <w:rPr>
          <w:color w:val="000000"/>
          <w:shd w:val="clear" w:color="auto" w:fill="FFFFFF"/>
        </w:rPr>
        <w:t xml:space="preserve">Marks’ın ondan etkilendiğini düşünüyor olmamız değildir. Nitekim </w:t>
      </w:r>
      <w:r w:rsidRPr="00AA1A6F">
        <w:rPr>
          <w:i/>
          <w:color w:val="000000"/>
          <w:shd w:val="clear" w:color="auto" w:fill="FFFFFF"/>
        </w:rPr>
        <w:t>Savaş ve Barış</w:t>
      </w:r>
      <w:r w:rsidRPr="00AA1A6F">
        <w:rPr>
          <w:color w:val="000000"/>
          <w:shd w:val="clear" w:color="auto" w:fill="FFFFFF"/>
        </w:rPr>
        <w:t xml:space="preserve">, Marks’ın bu metni </w:t>
      </w:r>
      <w:r w:rsidRPr="00AA1A6F">
        <w:rPr>
          <w:shd w:val="clear" w:color="auto" w:fill="FFFFFF"/>
        </w:rPr>
        <w:t>yazmasından</w:t>
      </w:r>
      <w:r w:rsidRPr="00AA1A6F">
        <w:rPr>
          <w:color w:val="000000"/>
          <w:shd w:val="clear" w:color="auto" w:fill="FFFFFF"/>
        </w:rPr>
        <w:t xml:space="preserve"> yirmi dört yıl sonra yayımlanır. Ancak </w:t>
      </w:r>
      <w:r w:rsidRPr="00AA1A6F">
        <w:rPr>
          <w:i/>
          <w:color w:val="000000"/>
          <w:shd w:val="clear" w:color="auto" w:fill="FFFFFF"/>
        </w:rPr>
        <w:t>Savaş ve Barış</w:t>
      </w:r>
      <w:r w:rsidRPr="00AA1A6F">
        <w:rPr>
          <w:color w:val="000000"/>
          <w:shd w:val="clear" w:color="auto" w:fill="FFFFFF"/>
        </w:rPr>
        <w:t xml:space="preserve">’a da esin kaynağı olan </w:t>
      </w:r>
      <w:proofErr w:type="spellStart"/>
      <w:r w:rsidRPr="00AA1A6F">
        <w:rPr>
          <w:color w:val="000000"/>
          <w:shd w:val="clear" w:color="auto" w:fill="FFFFFF"/>
        </w:rPr>
        <w:t>Borodino</w:t>
      </w:r>
      <w:proofErr w:type="spellEnd"/>
      <w:r w:rsidRPr="00AA1A6F">
        <w:rPr>
          <w:color w:val="000000"/>
          <w:shd w:val="clear" w:color="auto" w:fill="FFFFFF"/>
        </w:rPr>
        <w:t xml:space="preserve"> savaşının Marks için de ilham kaynağı olduğu kanaatindeyiz. </w:t>
      </w:r>
      <w:proofErr w:type="spellStart"/>
      <w:r w:rsidRPr="00AA1A6F">
        <w:rPr>
          <w:color w:val="000000"/>
          <w:shd w:val="clear" w:color="auto" w:fill="FFFFFF"/>
        </w:rPr>
        <w:t>Borodino</w:t>
      </w:r>
      <w:proofErr w:type="spellEnd"/>
      <w:r w:rsidRPr="00AA1A6F">
        <w:rPr>
          <w:color w:val="000000"/>
          <w:shd w:val="clear" w:color="auto" w:fill="FFFFFF"/>
        </w:rPr>
        <w:t xml:space="preserve"> savaşında Napolyon’un al</w:t>
      </w:r>
      <w:r>
        <w:rPr>
          <w:color w:val="000000"/>
          <w:shd w:val="clear" w:color="auto" w:fill="FFFFFF"/>
        </w:rPr>
        <w:t>dığı yenilgi, tarihin mahiyetini</w:t>
      </w:r>
      <w:r w:rsidRPr="00AA1A6F">
        <w:rPr>
          <w:color w:val="000000"/>
          <w:shd w:val="clear" w:color="auto" w:fill="FFFFFF"/>
        </w:rPr>
        <w:t xml:space="preserve"> farklı değerlendirmek gerektiği kanaatini doğurmuş olabilir. Zira </w:t>
      </w:r>
      <w:proofErr w:type="spellStart"/>
      <w:r w:rsidRPr="00AA1A6F">
        <w:rPr>
          <w:color w:val="000000"/>
          <w:shd w:val="clear" w:color="auto" w:fill="FFFFFF"/>
        </w:rPr>
        <w:t>Borodino</w:t>
      </w:r>
      <w:proofErr w:type="spellEnd"/>
      <w:r w:rsidRPr="00AA1A6F">
        <w:rPr>
          <w:color w:val="000000"/>
          <w:shd w:val="clear" w:color="auto" w:fill="FFFFFF"/>
        </w:rPr>
        <w:t xml:space="preserve"> savaşında o dönemin en güçlü ordusu Rus köylüler tarafından yenilgiye uğratıldı. Sıradan insanların da tarihin öznesi olabileceği fark edildi. </w:t>
      </w:r>
      <w:proofErr w:type="spellStart"/>
      <w:r w:rsidRPr="00AA1A6F">
        <w:rPr>
          <w:color w:val="000000"/>
          <w:shd w:val="clear" w:color="auto" w:fill="FFFFFF"/>
        </w:rPr>
        <w:t>Borodino</w:t>
      </w:r>
      <w:proofErr w:type="spellEnd"/>
      <w:r w:rsidRPr="00AA1A6F">
        <w:rPr>
          <w:color w:val="000000"/>
          <w:shd w:val="clear" w:color="auto" w:fill="FFFFFF"/>
        </w:rPr>
        <w:t xml:space="preserve"> savaşından önce Fransız devriminde de sıradan insanların tarihin öznesi olabileceği kavranılmıştı. Ama Fransız devriminin başlıca aktörleri ve söz konusu devrime giden süreci hazırlayan önemli isimler var. </w:t>
      </w:r>
      <w:proofErr w:type="spellStart"/>
      <w:r w:rsidRPr="00AA1A6F">
        <w:rPr>
          <w:color w:val="000000"/>
          <w:shd w:val="clear" w:color="auto" w:fill="FFFFFF"/>
        </w:rPr>
        <w:t>Borodino</w:t>
      </w:r>
      <w:proofErr w:type="spellEnd"/>
      <w:r w:rsidRPr="00AA1A6F">
        <w:rPr>
          <w:color w:val="000000"/>
          <w:shd w:val="clear" w:color="auto" w:fill="FFFFFF"/>
        </w:rPr>
        <w:t xml:space="preserve"> savaşının ise başlıca aktörleri ve önemli isimleri yoktur. </w:t>
      </w:r>
      <w:proofErr w:type="spellStart"/>
      <w:r w:rsidRPr="00AA1A6F">
        <w:rPr>
          <w:color w:val="000000"/>
          <w:shd w:val="clear" w:color="auto" w:fill="FFFFFF"/>
        </w:rPr>
        <w:t>Borodino’nun</w:t>
      </w:r>
      <w:proofErr w:type="spellEnd"/>
      <w:r w:rsidRPr="00AA1A6F">
        <w:rPr>
          <w:color w:val="000000"/>
          <w:shd w:val="clear" w:color="auto" w:fill="FFFFFF"/>
        </w:rPr>
        <w:t xml:space="preserve"> öznesi bütün bir halktır. Dolayısıyla Fransız devriminin yanı sıra </w:t>
      </w:r>
      <w:proofErr w:type="spellStart"/>
      <w:r w:rsidRPr="00AA1A6F">
        <w:rPr>
          <w:color w:val="000000"/>
          <w:shd w:val="clear" w:color="auto" w:fill="FFFFFF"/>
        </w:rPr>
        <w:t>Borodino</w:t>
      </w:r>
      <w:proofErr w:type="spellEnd"/>
      <w:r w:rsidRPr="00AA1A6F">
        <w:rPr>
          <w:color w:val="000000"/>
          <w:shd w:val="clear" w:color="auto" w:fill="FFFFFF"/>
        </w:rPr>
        <w:t xml:space="preserve"> savaşının Marks’ın düşünceleri üzerinde etkisi olduğu söylenebilir.</w:t>
      </w:r>
    </w:p>
    <w:p w14:paraId="4AD3CF5B" w14:textId="77777777" w:rsidR="00B80551" w:rsidRPr="006307C3" w:rsidRDefault="00B80551" w:rsidP="00B80551">
      <w:pPr>
        <w:jc w:val="both"/>
      </w:pPr>
    </w:p>
    <w:p w14:paraId="17100B49" w14:textId="306701B7" w:rsidR="00FA457D" w:rsidRPr="006307C3" w:rsidRDefault="00FA457D" w:rsidP="00B80551">
      <w:pPr>
        <w:jc w:val="both"/>
        <w:rPr>
          <w:b/>
          <w:color w:val="000000"/>
          <w:shd w:val="clear" w:color="auto" w:fill="FFFFFF"/>
        </w:rPr>
      </w:pPr>
      <w:r w:rsidRPr="006307C3">
        <w:rPr>
          <w:b/>
          <w:color w:val="000000"/>
          <w:shd w:val="clear" w:color="auto" w:fill="FFFFFF"/>
        </w:rPr>
        <w:t>2.Hegel’le Hegel’e Karşı</w:t>
      </w:r>
    </w:p>
    <w:p w14:paraId="5D8DB56D" w14:textId="7AB98FC3" w:rsidR="00FA457D" w:rsidRDefault="00FA457D" w:rsidP="00B80551">
      <w:pPr>
        <w:jc w:val="both"/>
      </w:pPr>
      <w:r w:rsidRPr="006307C3">
        <w:t xml:space="preserve">Marks, ikinci tezinde nesnel gerçekliğin insanın düşüncesine ait olup olmaması meselesinin teorik değil pratik mahiyette olduğunu iddia ediyor. Onun nesnel gerçeklikten kastı, dolaysız olduğunu düşündüğü maddi şeydir. </w:t>
      </w:r>
      <w:r w:rsidRPr="006307C3">
        <w:rPr>
          <w:color w:val="000000"/>
          <w:shd w:val="clear" w:color="auto" w:fill="FFFFFF"/>
        </w:rPr>
        <w:t xml:space="preserve">“İlk tarihsel eylem gereksinmeleri karşılayacak araçların üretimi, maddi yaşamın kendisinin üretimidir ve bu tarihsel eylem, bütün tarihin temel bir koşuludur” </w:t>
      </w:r>
      <w:r>
        <w:t>(Marks</w:t>
      </w:r>
      <w:r w:rsidRPr="006307C3">
        <w:t xml:space="preserve"> ve Engels, 2008: 53). Tezinin devamında Marks (2014: 82) pratikten yalıtılmış düşüncenin gerçekliği ya da gerçek olmayışı hakkındaki tartışmasının </w:t>
      </w:r>
      <w:r w:rsidRPr="006307C3">
        <w:rPr>
          <w:i/>
        </w:rPr>
        <w:t>skolastik</w:t>
      </w:r>
      <w:r w:rsidRPr="006307C3">
        <w:t xml:space="preserve"> bir sorun olduğunu ifade ediyor. Marks’ın kasti bir şekilde </w:t>
      </w:r>
      <w:r w:rsidRPr="006307C3">
        <w:rPr>
          <w:i/>
        </w:rPr>
        <w:t>skolastik</w:t>
      </w:r>
      <w:r w:rsidRPr="006307C3">
        <w:t xml:space="preserve"> sözcüğünü tercih ettiği düşünülebilir. Zira skolastik dönem öncesi felsefelerin özellikle </w:t>
      </w:r>
      <w:r>
        <w:t>A</w:t>
      </w:r>
      <w:r w:rsidRPr="006307C3">
        <w:t xml:space="preserve">ntik </w:t>
      </w:r>
      <w:r>
        <w:t>Y</w:t>
      </w:r>
      <w:r w:rsidRPr="006307C3">
        <w:t xml:space="preserve">unan ve Helenistik felsefenin </w:t>
      </w:r>
      <w:proofErr w:type="spellStart"/>
      <w:r w:rsidRPr="006307C3">
        <w:rPr>
          <w:i/>
        </w:rPr>
        <w:t>praksis</w:t>
      </w:r>
      <w:r w:rsidRPr="006307C3">
        <w:t>’i</w:t>
      </w:r>
      <w:proofErr w:type="spellEnd"/>
      <w:r w:rsidRPr="006307C3">
        <w:t xml:space="preserve"> ihmal ettiği söylenemez. Sokrates’in ve stoacı filozofların yaşamları ve faaliyetleri bunun kanıtıdır. </w:t>
      </w:r>
      <w:r>
        <w:t xml:space="preserve">Hem Sokrates’in (keza öğrencilerinin) hem de stoacı filozofların felsefelerinin </w:t>
      </w:r>
      <w:proofErr w:type="spellStart"/>
      <w:r w:rsidRPr="00B5206C">
        <w:rPr>
          <w:i/>
        </w:rPr>
        <w:t>praksis</w:t>
      </w:r>
      <w:proofErr w:type="spellEnd"/>
      <w:r>
        <w:t xml:space="preserve"> merkezli olduğu bile ileri sürülebilir. Sokrates’in erdem ve bilgi arasında kurduğu irtibat ve stoacı filozofların felsefeyi bir yaşam pratiği olarak telakki etmeleri bunu söylemeye imkân tanır.</w:t>
      </w:r>
    </w:p>
    <w:p w14:paraId="2076027F" w14:textId="77777777" w:rsidR="00FA457D" w:rsidRDefault="00FA457D" w:rsidP="00B80551">
      <w:pPr>
        <w:jc w:val="both"/>
      </w:pPr>
    </w:p>
    <w:p w14:paraId="6A4A8B31" w14:textId="3BCD1437" w:rsidR="00FA457D" w:rsidRPr="006307C3" w:rsidRDefault="00FA457D" w:rsidP="00B80551">
      <w:pPr>
        <w:jc w:val="both"/>
        <w:rPr>
          <w:color w:val="000000"/>
          <w:shd w:val="clear" w:color="auto" w:fill="FFFFFF"/>
        </w:rPr>
      </w:pPr>
      <w:r w:rsidRPr="006307C3">
        <w:rPr>
          <w:color w:val="000000"/>
          <w:shd w:val="clear" w:color="auto" w:fill="FFFFFF"/>
        </w:rPr>
        <w:t xml:space="preserve">Marks </w:t>
      </w:r>
      <w:r w:rsidRPr="006307C3">
        <w:t>(2014: 82) üçüncü tezinde ise “koşulların ve eğitimin değiştirilmesi hakkındaki materyalist öğreti, koşulların insanlar tarafından değiştirildiğini ve eğiticinin kendisinin eğitilmek zorunda olduğunu unutur” diyor. “Marks, Feuerbach düşüncesinin güçsüz noktasını görmüştü; bu düşünce güncelliğe, gerçekliği felsefe kurallarına (</w:t>
      </w:r>
      <w:proofErr w:type="spellStart"/>
      <w:r w:rsidRPr="006307C3">
        <w:rPr>
          <w:i/>
        </w:rPr>
        <w:t>normes</w:t>
      </w:r>
      <w:proofErr w:type="spellEnd"/>
      <w:r w:rsidRPr="006307C3">
        <w:t>) göre yeniden biçimlendirme çabasına yeterince karışmıyordu” (1976: 25)</w:t>
      </w:r>
      <w:r w:rsidRPr="006307C3">
        <w:rPr>
          <w:rStyle w:val="DipnotBavurusu"/>
          <w:rFonts w:eastAsiaTheme="majorEastAsia"/>
        </w:rPr>
        <w:footnoteReference w:id="90"/>
      </w:r>
      <w:r w:rsidRPr="006307C3">
        <w:t>.</w:t>
      </w:r>
    </w:p>
    <w:p w14:paraId="48CAB476" w14:textId="458D5CDE" w:rsidR="00FA457D" w:rsidRDefault="00FA457D" w:rsidP="00B80551">
      <w:pPr>
        <w:jc w:val="both"/>
      </w:pPr>
      <w:r w:rsidRPr="006307C3">
        <w:lastRenderedPageBreak/>
        <w:t xml:space="preserve">Marks, dört, beş, altı ve yedinci tezlerinde Feuerbach’ın din görüşünü eleştirir. Feuerbach’ın dinsel özü, insansal öze indirgediğini belirten Marks (2008: 9’dan </w:t>
      </w:r>
      <w:proofErr w:type="spellStart"/>
      <w:r w:rsidRPr="006307C3">
        <w:t>akt</w:t>
      </w:r>
      <w:proofErr w:type="spellEnd"/>
      <w:r w:rsidRPr="006307C3">
        <w:t xml:space="preserve">. Özyurt, 2015: 209) “felsefe, din hakkındaki tutumunu, ‘açıkçası tanrılardan nefret ediyorum’ ifadesinde </w:t>
      </w:r>
      <w:proofErr w:type="spellStart"/>
      <w:r w:rsidRPr="006307C3">
        <w:t>Prometeus’un</w:t>
      </w:r>
      <w:proofErr w:type="spellEnd"/>
      <w:r w:rsidRPr="006307C3">
        <w:t xml:space="preserve"> ağzından dile getirmiştir. Felsefe, ‘göksel ve yersel tüm tanrılara karşı’ insan bilincini ‘en yüksek tanrısallık’ konumuna yükseltir. İnsan bilincinin yanında, öteki tanrıların yeri yoktur” diyor. Ona göre Feuerbach, dinsel duyguyu tarihsel maddi koşullardan soyutlayarak kendi başına ele almasından dolayı, dinin toplumun ürünü olduğu gerçeğinin farkına varamıyor. Marks bunun sebebinin Feuerbach’ın sezgisel anlayıştan kopamayışı ve pratik </w:t>
      </w:r>
      <w:proofErr w:type="spellStart"/>
      <w:r w:rsidRPr="006307C3">
        <w:t>duyusallığı</w:t>
      </w:r>
      <w:proofErr w:type="spellEnd"/>
      <w:r w:rsidRPr="006307C3">
        <w:t xml:space="preserve"> kavrayamaması olduğunu söyler. Sonuç olarak Marks’ın değerlendirmesine göre Feuerbach, materyalist görüşün din anlayışına ulaşamamıştır.</w:t>
      </w:r>
    </w:p>
    <w:p w14:paraId="7117F617" w14:textId="77777777" w:rsidR="00B80551" w:rsidRPr="006307C3" w:rsidRDefault="00B80551" w:rsidP="00B80551">
      <w:pPr>
        <w:jc w:val="both"/>
      </w:pPr>
    </w:p>
    <w:p w14:paraId="2379EEA8" w14:textId="77777777" w:rsidR="00FA457D" w:rsidRDefault="00FA457D" w:rsidP="00B80551">
      <w:pPr>
        <w:jc w:val="both"/>
      </w:pPr>
      <w:r w:rsidRPr="006307C3">
        <w:t xml:space="preserve">Marks’ın söz konusu tezlerinde dinin tarihsel ve toplumsal olduğunu söylemesi hususu üzerinde durmak icap eder. “İnsanı yapan din değil, dini yapan insandır ama insan, dünyanın dışında bir yerlere çekilmiş soyut bir varlık değildir. İnsan, insanın dünyasıdır, devlettir, toplumdur” (Marks ve Engels, 2013: 38). Marks, Hegel’den etkilenerek dinin, tarihsel ve toplumsal olduğunu söyler. “Marks başyapıtı olan </w:t>
      </w:r>
      <w:r w:rsidRPr="006307C3">
        <w:rPr>
          <w:i/>
          <w:iCs/>
        </w:rPr>
        <w:t>Kapital</w:t>
      </w:r>
      <w:r w:rsidRPr="006307C3">
        <w:t xml:space="preserve">’de kendisinin Hegel’in öğrencisi olduğunu açıklar” (Kılınç, 2013: 239). “İdealist ve </w:t>
      </w:r>
      <w:proofErr w:type="spellStart"/>
      <w:r w:rsidRPr="006307C3">
        <w:t>yalanlaştırıcı</w:t>
      </w:r>
      <w:proofErr w:type="spellEnd"/>
      <w:r w:rsidRPr="006307C3">
        <w:t xml:space="preserve"> özlüğüne karşın, Hegel felsefesi, Marks’a kendi öğretisinin hazırlanması için, önemli öğeler, özellikle gerçeğin diyalektik gelişmesi ve insanın kendi emeği aracıyla kendi kendini yaratması görüşünü sunuyordu” (</w:t>
      </w:r>
      <w:proofErr w:type="spellStart"/>
      <w:r w:rsidRPr="006307C3">
        <w:t>Cornu</w:t>
      </w:r>
      <w:proofErr w:type="spellEnd"/>
      <w:r w:rsidRPr="006307C3">
        <w:t xml:space="preserve">, 1976: 341). Hegel, </w:t>
      </w:r>
      <w:r w:rsidRPr="006307C3">
        <w:rPr>
          <w:i/>
        </w:rPr>
        <w:t xml:space="preserve">mutlak </w:t>
      </w:r>
      <w:proofErr w:type="spellStart"/>
      <w:r w:rsidRPr="006307C3">
        <w:rPr>
          <w:i/>
        </w:rPr>
        <w:t>ruh</w:t>
      </w:r>
      <w:r w:rsidRPr="006307C3">
        <w:t>’un</w:t>
      </w:r>
      <w:proofErr w:type="spellEnd"/>
      <w:r w:rsidRPr="006307C3">
        <w:t xml:space="preserve"> somutlaşma sürecini anlatırken, bu sürece eşzamanlı olarak dinin antik dönemden modern döneme kadarki değişiminden ve dönüşümünden söz eder. “Onun ereği, kendinde ve kendisi için olan, bütünüyle genel son-erektir. Dinde bu genel tasarımın ötesine geçilmez: din genel-olanda kalır. İşte öncelikle bu genel inançtan, dünya-tarihinin öncesiz sonrasız usun bir ürünü olduğu ve usun tarihteki büyük devrimleri belirlediği inancından, felsefeye ve dünya-tarihi felsefesine girilmesi gerekir (Hegel, 2014: 52).</w:t>
      </w:r>
    </w:p>
    <w:p w14:paraId="646DB29D" w14:textId="77777777" w:rsidR="00B80551" w:rsidRPr="006307C3" w:rsidRDefault="00B80551" w:rsidP="00B80551">
      <w:pPr>
        <w:jc w:val="both"/>
      </w:pPr>
    </w:p>
    <w:p w14:paraId="17C56A11" w14:textId="5B309726" w:rsidR="00FA457D" w:rsidRDefault="00FA457D" w:rsidP="00B80551">
      <w:pPr>
        <w:jc w:val="both"/>
      </w:pPr>
      <w:r w:rsidRPr="006307C3">
        <w:t xml:space="preserve">Hegel sanatın, ahlakın ve insanla ilgili diğer alanların tarihsel doğaya sahip olduklarını savunur. Hegelci düşünceye göre felsefe de tarihsel bir çabadır. Felsefe onun açısından insanın tarihsel bulunuşu üzerinde eleştirel refleksiyondan ibarettir. Dolayısıyla Hegel’e (1976: 26) göre tarihsel süreç içerisinde “din </w:t>
      </w:r>
      <w:proofErr w:type="gramStart"/>
      <w:r w:rsidRPr="006307C3">
        <w:t>de,</w:t>
      </w:r>
      <w:proofErr w:type="gramEnd"/>
      <w:r w:rsidRPr="006307C3">
        <w:t xml:space="preserve"> işlenmesi gereken bir doğal yatkınlık, bir iç duygu, geliştirilmesi gereken bir içeriktir.” Din, sanat, ahlak ve diğer alanların tarihsellikleri Marks’ın düşüncesinde onların toplumsal olmalarıyla birlikte mütalaa edilir. “Onların (Antik Yunan) sanatının bizi büyülemesi, o sanatın içinde büyüdüğü toplumun ilkel karakteri ile çelişki teşkil etmez. Bu büyüleme, tersine o toplumun ürünüdür” (Marks, 1970: 81-82).</w:t>
      </w:r>
    </w:p>
    <w:p w14:paraId="032FD98A" w14:textId="77777777" w:rsidR="00B80551" w:rsidRPr="006307C3" w:rsidRDefault="00B80551" w:rsidP="00B80551">
      <w:pPr>
        <w:jc w:val="both"/>
      </w:pPr>
    </w:p>
    <w:p w14:paraId="0B82C926" w14:textId="77600BC6" w:rsidR="00FA457D" w:rsidRPr="006307C3" w:rsidRDefault="00FA457D" w:rsidP="00B80551">
      <w:pPr>
        <w:jc w:val="both"/>
        <w:rPr>
          <w:b/>
        </w:rPr>
      </w:pPr>
      <w:r w:rsidRPr="006307C3">
        <w:rPr>
          <w:b/>
        </w:rPr>
        <w:t>3.Filozoflar Ne İş</w:t>
      </w:r>
      <w:r w:rsidR="005500AB">
        <w:rPr>
          <w:b/>
        </w:rPr>
        <w:t xml:space="preserve"> Yapar</w:t>
      </w:r>
      <w:r w:rsidRPr="006307C3">
        <w:rPr>
          <w:b/>
        </w:rPr>
        <w:t>?</w:t>
      </w:r>
    </w:p>
    <w:p w14:paraId="336B6869" w14:textId="55EE798A" w:rsidR="00FA457D" w:rsidRDefault="00FA457D" w:rsidP="00B80551">
      <w:pPr>
        <w:jc w:val="both"/>
        <w:rPr>
          <w:iCs/>
          <w:color w:val="000000"/>
          <w:shd w:val="clear" w:color="auto" w:fill="FFFFFF"/>
        </w:rPr>
      </w:pPr>
      <w:r w:rsidRPr="006307C3">
        <w:t>Marks (2014: 84) sekizinci tezinde “tüm toplumsal yaşam özünde pratiktir”, dokuzuncu tezinde “</w:t>
      </w:r>
      <w:proofErr w:type="spellStart"/>
      <w:r w:rsidRPr="006307C3">
        <w:t>duyusallığı</w:t>
      </w:r>
      <w:proofErr w:type="spellEnd"/>
      <w:r w:rsidRPr="006307C3">
        <w:t xml:space="preserve"> pratik etkinlik olarak kavramayan materyalizmin ulaşabildiği en ileri nokta, tek tek bireyler ve burjuva toplumu görüşüdür” (2014: 84) onuncu tezinde ise “eski materyalizmin bakış noktası, burjuva toplumudur, yenisinin bakış noktası, insan toplumu ya da toplumsal insanlıktır” (2014: 85) diyor. Bu metnin en önemli ve en ünlü görüşünü ise on birinci tezinde dile getirir. “Filozoflar dünyayı yalnızca farklı şekillerde yorumladılar; önemli olan, onu değiştirmektir” (2014: 85). </w:t>
      </w:r>
      <w:r w:rsidRPr="006307C3">
        <w:rPr>
          <w:color w:val="000000"/>
          <w:shd w:val="clear" w:color="auto" w:fill="FFFFFF"/>
        </w:rPr>
        <w:t xml:space="preserve">Bu tezin dile getirdiği </w:t>
      </w:r>
      <w:r>
        <w:rPr>
          <w:color w:val="000000"/>
          <w:shd w:val="clear" w:color="auto" w:fill="FFFFFF"/>
        </w:rPr>
        <w:t>önerme</w:t>
      </w:r>
      <w:r w:rsidRPr="006307C3">
        <w:rPr>
          <w:color w:val="000000"/>
          <w:shd w:val="clear" w:color="auto" w:fill="FFFFFF"/>
        </w:rPr>
        <w:t xml:space="preserve"> ne kadar isabetlidir? </w:t>
      </w:r>
      <w:r w:rsidRPr="006307C3">
        <w:rPr>
          <w:iCs/>
          <w:color w:val="000000"/>
          <w:shd w:val="clear" w:color="auto" w:fill="FFFFFF"/>
        </w:rPr>
        <w:t>Hegel, felsefenin olaylar olup bittikten sonra devreye girdiğini söyler.</w:t>
      </w:r>
    </w:p>
    <w:p w14:paraId="27E65407" w14:textId="77777777" w:rsidR="00B80551" w:rsidRPr="006307C3" w:rsidRDefault="00B80551" w:rsidP="00B80551">
      <w:pPr>
        <w:jc w:val="both"/>
        <w:rPr>
          <w:color w:val="000000"/>
          <w:shd w:val="clear" w:color="auto" w:fill="FFFFFF"/>
        </w:rPr>
      </w:pPr>
    </w:p>
    <w:p w14:paraId="3A914110" w14:textId="77777777" w:rsidR="00FA457D" w:rsidRDefault="00FA457D" w:rsidP="00B80551">
      <w:pPr>
        <w:ind w:left="1021"/>
        <w:jc w:val="both"/>
      </w:pPr>
      <w:r w:rsidRPr="006307C3">
        <w:t xml:space="preserve">“Dünyanın nasıl olması gerektiğini öğretmek iddiası üzerine bir söz daha söyleyelim: felsefe bu konuda daima geç kalır. Dünyanın düşüncesi olarak, felsefe, ancak </w:t>
      </w:r>
      <w:proofErr w:type="gramStart"/>
      <w:r w:rsidRPr="006307C3">
        <w:t>realite</w:t>
      </w:r>
      <w:proofErr w:type="gramEnd"/>
      <w:r w:rsidRPr="006307C3">
        <w:t xml:space="preserve"> </w:t>
      </w:r>
      <w:r w:rsidRPr="006307C3">
        <w:lastRenderedPageBreak/>
        <w:t xml:space="preserve">oluşum sürecini işleyip bitirmiş olduğu zaman ortaya çıkar. Kavramın öğrettiğini, tarih aynı zorunlulukla gösterir: ancak varlıkların olgunluk çağındadır ki, ideal, </w:t>
      </w:r>
      <w:proofErr w:type="spellStart"/>
      <w:r w:rsidRPr="006307C3">
        <w:t>reel'in</w:t>
      </w:r>
      <w:proofErr w:type="spellEnd"/>
      <w:r w:rsidRPr="006307C3">
        <w:t xml:space="preserve"> karşısında boy gösterir ve aynı dünyayı cevheri içinde kavradıktan sonra, onu bir fikirler âlemi şeklinde yeniden inşa eder. Felsefenin soluk rengi solgun zemine vurduğu zaman, hayatın bir tezahürü ihtiyarlık günlerini tamamlıyor demektir. Felsefenin soluk rengiyle, o gençleştirilemez, sadece bilinebilir. </w:t>
      </w:r>
      <w:proofErr w:type="spellStart"/>
      <w:r w:rsidRPr="006307C3">
        <w:t>Minerva’nın</w:t>
      </w:r>
      <w:proofErr w:type="spellEnd"/>
      <w:r w:rsidRPr="006307C3">
        <w:t xml:space="preserve"> baykuşu, ancak gün batarken uçmaya başlar” (Hegel, 1991: 31).</w:t>
      </w:r>
    </w:p>
    <w:p w14:paraId="2482EA5B" w14:textId="77777777" w:rsidR="00B80551" w:rsidRPr="006307C3" w:rsidRDefault="00B80551" w:rsidP="00B80551">
      <w:pPr>
        <w:ind w:left="1021"/>
        <w:jc w:val="both"/>
      </w:pPr>
    </w:p>
    <w:p w14:paraId="7179D023" w14:textId="77777777" w:rsidR="00FA457D" w:rsidRDefault="00FA457D" w:rsidP="00B80551">
      <w:pPr>
        <w:jc w:val="both"/>
      </w:pPr>
      <w:r w:rsidRPr="006307C3">
        <w:rPr>
          <w:iCs/>
          <w:color w:val="000000"/>
          <w:shd w:val="clear" w:color="auto" w:fill="FFFFFF"/>
        </w:rPr>
        <w:t xml:space="preserve">Hegel’den aktardığımız pasaj söz konusu olduğu zaman, Marks’ın tezinin doğru olduğu düşünülebilir. Ama diğer filozoflar bu konuda Hegel’e katılırlar mı? Örneğin Nietzsche’nin felsefenin </w:t>
      </w:r>
      <w:proofErr w:type="spellStart"/>
      <w:r w:rsidRPr="006307C3">
        <w:rPr>
          <w:i/>
          <w:iCs/>
          <w:color w:val="000000"/>
          <w:shd w:val="clear" w:color="auto" w:fill="FFFFFF"/>
        </w:rPr>
        <w:t>dekadans</w:t>
      </w:r>
      <w:r w:rsidRPr="006307C3">
        <w:rPr>
          <w:iCs/>
          <w:color w:val="000000"/>
          <w:shd w:val="clear" w:color="auto" w:fill="FFFFFF"/>
        </w:rPr>
        <w:t>’ına</w:t>
      </w:r>
      <w:proofErr w:type="spellEnd"/>
      <w:r w:rsidRPr="006307C3">
        <w:rPr>
          <w:iCs/>
          <w:color w:val="000000"/>
          <w:shd w:val="clear" w:color="auto" w:fill="FFFFFF"/>
        </w:rPr>
        <w:t xml:space="preserve"> (bozulma, çökme) sebebiyet veren kişi olarak gördüğü Sokrates söz konusu olduğu zaman Marks’ın on birinci tezi ne kadar isabetlidir? Nietzsche Sokrates’ten </w:t>
      </w:r>
      <w:proofErr w:type="spellStart"/>
      <w:r w:rsidRPr="006307C3">
        <w:rPr>
          <w:i/>
          <w:iCs/>
          <w:color w:val="000000"/>
          <w:shd w:val="clear" w:color="auto" w:fill="FFFFFF"/>
        </w:rPr>
        <w:t>dekadans</w:t>
      </w:r>
      <w:r w:rsidRPr="006307C3">
        <w:rPr>
          <w:iCs/>
          <w:color w:val="000000"/>
          <w:shd w:val="clear" w:color="auto" w:fill="FFFFFF"/>
        </w:rPr>
        <w:t>’a</w:t>
      </w:r>
      <w:proofErr w:type="spellEnd"/>
      <w:r w:rsidRPr="006307C3">
        <w:rPr>
          <w:iCs/>
          <w:color w:val="000000"/>
          <w:shd w:val="clear" w:color="auto" w:fill="FFFFFF"/>
        </w:rPr>
        <w:t xml:space="preserve"> sebep olan filozof olarak bahsederken onun hayata yüz çevirmesini sert bir dille eleştirir. “Sokrates’te </w:t>
      </w:r>
      <w:proofErr w:type="spellStart"/>
      <w:r w:rsidRPr="006307C3">
        <w:rPr>
          <w:i/>
          <w:iCs/>
          <w:color w:val="000000"/>
          <w:shd w:val="clear" w:color="auto" w:fill="FFFFFF"/>
        </w:rPr>
        <w:t>decadence</w:t>
      </w:r>
      <w:r w:rsidRPr="006307C3">
        <w:rPr>
          <w:iCs/>
          <w:color w:val="000000"/>
          <w:shd w:val="clear" w:color="auto" w:fill="FFFFFF"/>
        </w:rPr>
        <w:t>’i</w:t>
      </w:r>
      <w:proofErr w:type="spellEnd"/>
      <w:r w:rsidRPr="006307C3">
        <w:rPr>
          <w:iCs/>
          <w:color w:val="000000"/>
          <w:shd w:val="clear" w:color="auto" w:fill="FFFFFF"/>
        </w:rPr>
        <w:t xml:space="preserve"> gösteren onun, yalnızca içgüdülerinin arsızlığını ve anarşisini itiraf etmesi değildir. Onun belirleyici özellikleri olan mantıksal </w:t>
      </w:r>
      <w:proofErr w:type="spellStart"/>
      <w:r w:rsidRPr="006307C3">
        <w:rPr>
          <w:iCs/>
          <w:color w:val="000000"/>
          <w:shd w:val="clear" w:color="auto" w:fill="FFFFFF"/>
        </w:rPr>
        <w:t>süperfetasyonu</w:t>
      </w:r>
      <w:proofErr w:type="spellEnd"/>
      <w:r w:rsidRPr="006307C3">
        <w:rPr>
          <w:iCs/>
          <w:color w:val="000000"/>
          <w:shd w:val="clear" w:color="auto" w:fill="FFFFFF"/>
        </w:rPr>
        <w:t xml:space="preserve"> ve keskin garez de bu </w:t>
      </w:r>
      <w:proofErr w:type="spellStart"/>
      <w:r w:rsidRPr="006307C3">
        <w:rPr>
          <w:i/>
          <w:iCs/>
          <w:color w:val="000000"/>
          <w:shd w:val="clear" w:color="auto" w:fill="FFFFFF"/>
        </w:rPr>
        <w:t>decadence</w:t>
      </w:r>
      <w:r w:rsidRPr="006307C3">
        <w:rPr>
          <w:iCs/>
          <w:color w:val="000000"/>
          <w:shd w:val="clear" w:color="auto" w:fill="FFFFFF"/>
        </w:rPr>
        <w:t>’i</w:t>
      </w:r>
      <w:proofErr w:type="spellEnd"/>
      <w:r w:rsidRPr="006307C3">
        <w:rPr>
          <w:iCs/>
          <w:color w:val="000000"/>
          <w:shd w:val="clear" w:color="auto" w:fill="FFFFFF"/>
        </w:rPr>
        <w:t xml:space="preserve"> gösteriyor” </w:t>
      </w:r>
      <w:r w:rsidRPr="006307C3">
        <w:t xml:space="preserve">(Nietzsche, 2000: 17). </w:t>
      </w:r>
      <w:r w:rsidRPr="006307C3">
        <w:rPr>
          <w:iCs/>
          <w:color w:val="000000"/>
          <w:shd w:val="clear" w:color="auto" w:fill="FFFFFF"/>
        </w:rPr>
        <w:t xml:space="preserve">Sokrates, Nietzsche’nin övgüyle bahsettiği </w:t>
      </w:r>
      <w:proofErr w:type="spellStart"/>
      <w:r w:rsidRPr="006307C3">
        <w:rPr>
          <w:i/>
          <w:iCs/>
          <w:color w:val="000000"/>
          <w:shd w:val="clear" w:color="auto" w:fill="FFFFFF"/>
        </w:rPr>
        <w:t>polis</w:t>
      </w:r>
      <w:r w:rsidRPr="006307C3">
        <w:rPr>
          <w:iCs/>
          <w:color w:val="000000"/>
          <w:shd w:val="clear" w:color="auto" w:fill="FFFFFF"/>
        </w:rPr>
        <w:t>’in</w:t>
      </w:r>
      <w:proofErr w:type="spellEnd"/>
      <w:r w:rsidRPr="006307C3">
        <w:rPr>
          <w:iCs/>
          <w:color w:val="000000"/>
          <w:shd w:val="clear" w:color="auto" w:fill="FFFFFF"/>
        </w:rPr>
        <w:t xml:space="preserve"> gündelik yaşamına karşı çıkan birisidir. Sokrates sadece Yunanlının gündelik yaşamına karşı çıkmakla kalmaz aynı zamanda onlara alternatif bir yaşam önerir. Kendisini Atina’nın at sineği adlandıran Sokrates, atın güzergâhını değiştirmeye çalışır. Sokrates idam edilse bile onun ölümünden sonra ne </w:t>
      </w:r>
      <w:proofErr w:type="spellStart"/>
      <w:r w:rsidRPr="006307C3">
        <w:rPr>
          <w:i/>
          <w:iCs/>
          <w:color w:val="000000"/>
          <w:shd w:val="clear" w:color="auto" w:fill="FFFFFF"/>
        </w:rPr>
        <w:t>polis</w:t>
      </w:r>
      <w:r w:rsidRPr="006307C3">
        <w:rPr>
          <w:iCs/>
          <w:color w:val="000000"/>
          <w:shd w:val="clear" w:color="auto" w:fill="FFFFFF"/>
        </w:rPr>
        <w:t>’te</w:t>
      </w:r>
      <w:proofErr w:type="spellEnd"/>
      <w:r w:rsidRPr="006307C3">
        <w:rPr>
          <w:iCs/>
          <w:color w:val="000000"/>
          <w:shd w:val="clear" w:color="auto" w:fill="FFFFFF"/>
        </w:rPr>
        <w:t xml:space="preserve"> ne de Antik dünyada hiçbir şey eskisi gibi olmadı. </w:t>
      </w:r>
      <w:proofErr w:type="spellStart"/>
      <w:r>
        <w:t>Hadot</w:t>
      </w:r>
      <w:proofErr w:type="spellEnd"/>
      <w:r w:rsidRPr="00A41C7A">
        <w:t xml:space="preserve"> </w:t>
      </w:r>
      <w:r>
        <w:t xml:space="preserve">(2011: 66), </w:t>
      </w:r>
      <w:r w:rsidRPr="00A41C7A">
        <w:t>Platon’un ilk niyeti</w:t>
      </w:r>
      <w:r>
        <w:t>nin</w:t>
      </w:r>
      <w:r w:rsidRPr="00A41C7A">
        <w:t xml:space="preserve"> </w:t>
      </w:r>
      <w:r>
        <w:t xml:space="preserve">siyasi olduğunu söyler. Ona göre Platon, </w:t>
      </w:r>
      <w:r w:rsidRPr="00CE75CA">
        <w:rPr>
          <w:i/>
        </w:rPr>
        <w:t>polis</w:t>
      </w:r>
      <w:r w:rsidRPr="00A41C7A">
        <w:t xml:space="preserve"> içinde etkili erkeklerin felsefe konusunda eğitilerek </w:t>
      </w:r>
      <w:r>
        <w:t>siyasi</w:t>
      </w:r>
      <w:r w:rsidRPr="00A41C7A">
        <w:t xml:space="preserve"> yaşamın değiştirilebileceğine inanmıştır</w:t>
      </w:r>
      <w:r>
        <w:t>.</w:t>
      </w:r>
      <w:r w:rsidRPr="00A41C7A">
        <w:t xml:space="preserve"> </w:t>
      </w:r>
      <w:proofErr w:type="spellStart"/>
      <w:r>
        <w:t>Hadot’nun</w:t>
      </w:r>
      <w:proofErr w:type="spellEnd"/>
      <w:r>
        <w:t xml:space="preserve"> bu </w:t>
      </w:r>
      <w:r w:rsidRPr="00A41C7A">
        <w:t xml:space="preserve">tespitini </w:t>
      </w:r>
      <w:r>
        <w:t>haklı çıkaran veriler var</w:t>
      </w:r>
      <w:r w:rsidRPr="00A41C7A">
        <w:t xml:space="preserve">. “Gerçekten de Asos’tan </w:t>
      </w:r>
      <w:proofErr w:type="spellStart"/>
      <w:r w:rsidRPr="00A41C7A">
        <w:t>Elis’e</w:t>
      </w:r>
      <w:proofErr w:type="spellEnd"/>
      <w:r w:rsidRPr="00A41C7A">
        <w:t xml:space="preserve"> kadar birçok </w:t>
      </w:r>
      <w:r w:rsidRPr="00A41C7A">
        <w:rPr>
          <w:i/>
        </w:rPr>
        <w:t>polis</w:t>
      </w:r>
      <w:r w:rsidRPr="00CE75CA">
        <w:t xml:space="preserve">, </w:t>
      </w:r>
      <w:r w:rsidRPr="00A41C7A">
        <w:t xml:space="preserve">Akademi’nin öğrencilerinden </w:t>
      </w:r>
      <w:r>
        <w:t>siyasi</w:t>
      </w:r>
      <w:r w:rsidRPr="00A41C7A">
        <w:t xml:space="preserve"> danışmanlık hizme</w:t>
      </w:r>
      <w:r>
        <w:t>ti almıştır</w:t>
      </w:r>
      <w:r w:rsidRPr="00A41C7A">
        <w:t>”</w:t>
      </w:r>
      <w:r>
        <w:t xml:space="preserve"> (</w:t>
      </w:r>
      <w:proofErr w:type="spellStart"/>
      <w:r>
        <w:t>Kranz</w:t>
      </w:r>
      <w:proofErr w:type="spellEnd"/>
      <w:r>
        <w:t xml:space="preserve">, 1945: 162’den </w:t>
      </w:r>
      <w:proofErr w:type="spellStart"/>
      <w:r>
        <w:t>akt</w:t>
      </w:r>
      <w:proofErr w:type="spellEnd"/>
      <w:r>
        <w:t xml:space="preserve">. </w:t>
      </w:r>
      <w:proofErr w:type="spellStart"/>
      <w:r>
        <w:t>İşsevenler</w:t>
      </w:r>
      <w:proofErr w:type="spellEnd"/>
      <w:r>
        <w:t xml:space="preserve">, 2015: 153). Lynch de (1972: 59’den </w:t>
      </w:r>
      <w:proofErr w:type="spellStart"/>
      <w:r>
        <w:t>akt</w:t>
      </w:r>
      <w:proofErr w:type="spellEnd"/>
      <w:r>
        <w:t xml:space="preserve">. </w:t>
      </w:r>
      <w:proofErr w:type="spellStart"/>
      <w:r>
        <w:t>Hadot</w:t>
      </w:r>
      <w:proofErr w:type="spellEnd"/>
      <w:r>
        <w:t xml:space="preserve">, 2011: 67) </w:t>
      </w:r>
      <w:r w:rsidRPr="00A41C7A">
        <w:t>Akademi</w:t>
      </w:r>
      <w:r>
        <w:t>’nin</w:t>
      </w:r>
      <w:r w:rsidRPr="00A41C7A">
        <w:t xml:space="preserve"> pek çok öğrencisi</w:t>
      </w:r>
      <w:r>
        <w:t>nin</w:t>
      </w:r>
      <w:r w:rsidRPr="00A41C7A">
        <w:t xml:space="preserve"> çeşitli </w:t>
      </w:r>
      <w:proofErr w:type="spellStart"/>
      <w:proofErr w:type="gramStart"/>
      <w:r w:rsidRPr="00CE75CA">
        <w:rPr>
          <w:i/>
        </w:rPr>
        <w:t>polis</w:t>
      </w:r>
      <w:r>
        <w:t>’lerde</w:t>
      </w:r>
      <w:proofErr w:type="spellEnd"/>
      <w:r w:rsidRPr="00A41C7A">
        <w:t>,</w:t>
      </w:r>
      <w:proofErr w:type="gramEnd"/>
      <w:r w:rsidRPr="00A41C7A">
        <w:t xml:space="preserve"> gerek hükümdarların danışmanları olarak gerek yasa</w:t>
      </w:r>
      <w:r>
        <w:t xml:space="preserve"> </w:t>
      </w:r>
      <w:r w:rsidRPr="00A41C7A">
        <w:t xml:space="preserve">yapıcılar olarak gerekse tiranlara karşı koyarak önemli </w:t>
      </w:r>
      <w:r>
        <w:t xml:space="preserve">siyasi </w:t>
      </w:r>
      <w:r w:rsidRPr="00A41C7A">
        <w:t xml:space="preserve">roller </w:t>
      </w:r>
      <w:r>
        <w:t xml:space="preserve">üstlendiğini belirtir. Bunu </w:t>
      </w:r>
      <w:r w:rsidRPr="00A41C7A">
        <w:t xml:space="preserve">Antik kaynaklar da </w:t>
      </w:r>
      <w:r>
        <w:t>onaylıyor</w:t>
      </w:r>
      <w:r w:rsidRPr="00A41C7A">
        <w:t>.</w:t>
      </w:r>
      <w:r>
        <w:t xml:space="preserve"> (</w:t>
      </w:r>
      <w:proofErr w:type="spellStart"/>
      <w:r>
        <w:t>Pappas</w:t>
      </w:r>
      <w:proofErr w:type="spellEnd"/>
      <w:r>
        <w:t xml:space="preserve">, 1995: 7). Bütün bunlardan hareket eden </w:t>
      </w:r>
      <w:proofErr w:type="spellStart"/>
      <w:r>
        <w:t>Klosko</w:t>
      </w:r>
      <w:proofErr w:type="spellEnd"/>
      <w:r>
        <w:t xml:space="preserve"> (1983: 483) ise</w:t>
      </w:r>
      <w:r w:rsidRPr="00A41C7A">
        <w:t xml:space="preserve"> Platon</w:t>
      </w:r>
      <w:r>
        <w:t xml:space="preserve">’un </w:t>
      </w:r>
      <w:proofErr w:type="spellStart"/>
      <w:r w:rsidRPr="00A41C7A">
        <w:rPr>
          <w:i/>
        </w:rPr>
        <w:t>Politeia</w:t>
      </w:r>
      <w:r w:rsidRPr="00A41C7A">
        <w:t>’yı</w:t>
      </w:r>
      <w:proofErr w:type="spellEnd"/>
      <w:r w:rsidRPr="00A41C7A">
        <w:t xml:space="preserve"> siy</w:t>
      </w:r>
      <w:r>
        <w:t xml:space="preserve">asi reform olarak tasarladığını ve </w:t>
      </w:r>
      <w:r w:rsidRPr="00A41C7A">
        <w:t>onu g</w:t>
      </w:r>
      <w:r>
        <w:t xml:space="preserve">erçekleştirmenin yollarını aradığını söyler. </w:t>
      </w:r>
      <w:r w:rsidRPr="00A41C7A">
        <w:t>Zorunlu şartlar sağlandığı vakit de böyle bir devletin mümkün olabileceğini ima eder.</w:t>
      </w:r>
      <w:r>
        <w:t xml:space="preserve"> </w:t>
      </w:r>
      <w:r w:rsidRPr="00346000">
        <w:t>Allen</w:t>
      </w:r>
      <w:r>
        <w:t xml:space="preserve"> (2011: 21),</w:t>
      </w:r>
      <w:r w:rsidRPr="00346000">
        <w:t xml:space="preserve"> “Platon’un </w:t>
      </w:r>
      <w:r>
        <w:t>felsefi</w:t>
      </w:r>
      <w:r w:rsidRPr="00346000">
        <w:t xml:space="preserve"> dağarcığının Atinalı politikacıların konuşmalarında yer aldı</w:t>
      </w:r>
      <w:r>
        <w:t>ğını fark ettiğini” ifade eder</w:t>
      </w:r>
      <w:r w:rsidRPr="00346000">
        <w:t>. “</w:t>
      </w:r>
      <w:proofErr w:type="spellStart"/>
      <w:r w:rsidRPr="00346000">
        <w:rPr>
          <w:i/>
        </w:rPr>
        <w:t>Politeia</w:t>
      </w:r>
      <w:r w:rsidRPr="00346000">
        <w:t>’da</w:t>
      </w:r>
      <w:proofErr w:type="spellEnd"/>
      <w:r w:rsidRPr="00346000">
        <w:t xml:space="preserve"> ve diğer diyaloglarda politik olan, Platon’un ütopik bir plan yaratması değil, Atina’nın politik dilinin şeklini değiştirme çabasıdır. Ütopik imge, bu amaçla kullanılan araçtır” diyen Allen, </w:t>
      </w:r>
      <w:r>
        <w:t xml:space="preserve">dikkatleri </w:t>
      </w:r>
      <w:proofErr w:type="spellStart"/>
      <w:r w:rsidRPr="00346000">
        <w:rPr>
          <w:i/>
        </w:rPr>
        <w:t>Politeia</w:t>
      </w:r>
      <w:r w:rsidRPr="00346000">
        <w:t>’nın</w:t>
      </w:r>
      <w:proofErr w:type="spellEnd"/>
      <w:r w:rsidRPr="00346000">
        <w:t xml:space="preserve"> ütopya olup olmadığı tartışmasına değil</w:t>
      </w:r>
      <w:r>
        <w:t>,</w:t>
      </w:r>
      <w:r w:rsidRPr="00346000">
        <w:t xml:space="preserve"> </w:t>
      </w:r>
      <w:proofErr w:type="spellStart"/>
      <w:r w:rsidRPr="00346000">
        <w:rPr>
          <w:i/>
        </w:rPr>
        <w:t>Politeia</w:t>
      </w:r>
      <w:r w:rsidRPr="00346000">
        <w:t>’nın</w:t>
      </w:r>
      <w:proofErr w:type="spellEnd"/>
      <w:r w:rsidRPr="00346000">
        <w:t xml:space="preserve"> işlevine vermemizi önerir. </w:t>
      </w:r>
      <w:proofErr w:type="spellStart"/>
      <w:r w:rsidRPr="00346000">
        <w:t>Desmond</w:t>
      </w:r>
      <w:proofErr w:type="spellEnd"/>
      <w:r w:rsidRPr="00346000">
        <w:t xml:space="preserve"> </w:t>
      </w:r>
      <w:r>
        <w:t xml:space="preserve">(2011: 20) </w:t>
      </w:r>
      <w:r w:rsidRPr="00346000">
        <w:t>da Akademi</w:t>
      </w:r>
      <w:r>
        <w:t>’</w:t>
      </w:r>
      <w:r w:rsidRPr="00346000">
        <w:t>nin devlet ada</w:t>
      </w:r>
      <w:r>
        <w:t>mı yetiştirmeye yönelik altını çizer.</w:t>
      </w:r>
    </w:p>
    <w:p w14:paraId="497D1255" w14:textId="77777777" w:rsidR="00B80551" w:rsidRDefault="00B80551" w:rsidP="00B80551">
      <w:pPr>
        <w:jc w:val="both"/>
      </w:pPr>
    </w:p>
    <w:p w14:paraId="6932B9EF" w14:textId="38B98A76" w:rsidR="00FA457D" w:rsidRDefault="00FA457D" w:rsidP="00B80551">
      <w:pPr>
        <w:jc w:val="both"/>
      </w:pPr>
      <w:r>
        <w:t xml:space="preserve">Özel olarak metnin on birinci, genel olarak ise diğer tezlerinin ortaya koyduğu felsefe tarihi yorumunun isabetsiz olmasının sebebi </w:t>
      </w:r>
      <w:r w:rsidRPr="006307C3">
        <w:rPr>
          <w:i/>
        </w:rPr>
        <w:t xml:space="preserve">Feuerbach Üzerine </w:t>
      </w:r>
      <w:proofErr w:type="spellStart"/>
      <w:r w:rsidRPr="006307C3">
        <w:rPr>
          <w:i/>
        </w:rPr>
        <w:t>Tezler</w:t>
      </w:r>
      <w:r>
        <w:t>’in</w:t>
      </w:r>
      <w:proofErr w:type="spellEnd"/>
      <w:r>
        <w:t xml:space="preserve"> yüzleştiği hermenötik sorunlar olabilir. Zira belirttiğimiz üzere bu metin Marks tarafından yayınlanması planlanmayan notlardan ibarettir.</w:t>
      </w:r>
    </w:p>
    <w:p w14:paraId="34B6E13A" w14:textId="77777777" w:rsidR="00B80551" w:rsidRPr="001F060C" w:rsidRDefault="00B80551" w:rsidP="00B80551">
      <w:pPr>
        <w:jc w:val="both"/>
      </w:pPr>
    </w:p>
    <w:p w14:paraId="5A140354" w14:textId="410196DA" w:rsidR="00FA457D" w:rsidRDefault="00FA457D" w:rsidP="00B80551">
      <w:pPr>
        <w:jc w:val="both"/>
        <w:rPr>
          <w:b/>
          <w:iCs/>
          <w:color w:val="000000"/>
          <w:shd w:val="clear" w:color="auto" w:fill="FFFFFF"/>
        </w:rPr>
      </w:pPr>
      <w:r>
        <w:rPr>
          <w:b/>
          <w:iCs/>
          <w:color w:val="000000"/>
          <w:shd w:val="clear" w:color="auto" w:fill="FFFFFF"/>
        </w:rPr>
        <w:t>Sonuç</w:t>
      </w:r>
    </w:p>
    <w:p w14:paraId="4CD090DF" w14:textId="7504F5B2" w:rsidR="00FA457D" w:rsidRDefault="00FA457D" w:rsidP="00B80551">
      <w:pPr>
        <w:jc w:val="both"/>
      </w:pPr>
      <w:r>
        <w:rPr>
          <w:iCs/>
          <w:color w:val="000000"/>
          <w:shd w:val="clear" w:color="auto" w:fill="FFFFFF"/>
        </w:rPr>
        <w:t xml:space="preserve">Hâsılı, Marks’ın </w:t>
      </w:r>
      <w:r w:rsidRPr="006307C3">
        <w:rPr>
          <w:i/>
        </w:rPr>
        <w:t>Feuerbach Üzerine Tezler</w:t>
      </w:r>
      <w:r>
        <w:rPr>
          <w:i/>
        </w:rPr>
        <w:t xml:space="preserve"> </w:t>
      </w:r>
      <w:r>
        <w:t xml:space="preserve">metni her şeyden önce hermenötik sorunlarla karşı karşıyadır. Bu sorunların yanı sıra bu metnin bir felsefe tarihi yorumu olduğu söylenebilir. Marks’ın bu felsefe tarihi yorumunun isabetli olmadığı sonucuna ulaştık. </w:t>
      </w:r>
      <w:r w:rsidRPr="006307C3">
        <w:rPr>
          <w:i/>
        </w:rPr>
        <w:t xml:space="preserve">Feuerbach Üzerine </w:t>
      </w:r>
      <w:r w:rsidRPr="006307C3">
        <w:rPr>
          <w:i/>
        </w:rPr>
        <w:lastRenderedPageBreak/>
        <w:t>Tezler</w:t>
      </w:r>
      <w:r>
        <w:rPr>
          <w:i/>
        </w:rPr>
        <w:t xml:space="preserve"> </w:t>
      </w:r>
      <w:r w:rsidRPr="006C3EE1">
        <w:t>metnini ortaya çıkaran</w:t>
      </w:r>
      <w:r>
        <w:rPr>
          <w:i/>
        </w:rPr>
        <w:t xml:space="preserve"> </w:t>
      </w:r>
      <w:r>
        <w:t xml:space="preserve">sebepler üzerinde durduk. Fransız devrimi ve </w:t>
      </w:r>
      <w:proofErr w:type="spellStart"/>
      <w:r>
        <w:t>Borodino</w:t>
      </w:r>
      <w:proofErr w:type="spellEnd"/>
      <w:r>
        <w:t xml:space="preserve"> savaşının bu metnin temel tezlerinin oluşmasında başlıca etkenlerden olduğunu savunduk. Buna binaen Hegel’in felsefesinin özellikle bu metin bağlamında Marks’ı etkilediğine değindik. Sokrates, Platon ve Stoacı filozoflar söz konusu olduğu vakit, </w:t>
      </w:r>
      <w:r w:rsidRPr="006307C3">
        <w:rPr>
          <w:i/>
        </w:rPr>
        <w:t xml:space="preserve">Feuerbach Üzerine </w:t>
      </w:r>
      <w:proofErr w:type="spellStart"/>
      <w:r w:rsidRPr="006307C3">
        <w:rPr>
          <w:i/>
        </w:rPr>
        <w:t>Tezler</w:t>
      </w:r>
      <w:r w:rsidRPr="0074483A">
        <w:t>’in</w:t>
      </w:r>
      <w:proofErr w:type="spellEnd"/>
      <w:r w:rsidRPr="0074483A">
        <w:t xml:space="preserve"> </w:t>
      </w:r>
      <w:r>
        <w:t>on birinci önermesinin gerçeği ifade etmediğinin altını çizdik. Sonuç olarak bu metnin isabetsiz bir felsefe tarihi yorumu olmasının sebebi, metnin yüzleştiği hermenötik sorunlardır.</w:t>
      </w:r>
    </w:p>
    <w:p w14:paraId="6A41122D" w14:textId="77777777" w:rsidR="00B80551" w:rsidRPr="00317068" w:rsidRDefault="00B80551" w:rsidP="00B80551">
      <w:pPr>
        <w:jc w:val="both"/>
        <w:rPr>
          <w:iCs/>
          <w:color w:val="000000"/>
          <w:shd w:val="clear" w:color="auto" w:fill="FFFFFF"/>
        </w:rPr>
      </w:pPr>
    </w:p>
    <w:p w14:paraId="78528F4E" w14:textId="77777777" w:rsidR="00FA457D" w:rsidRPr="00317068" w:rsidRDefault="00FA457D" w:rsidP="00B80551">
      <w:pPr>
        <w:rPr>
          <w:b/>
        </w:rPr>
      </w:pPr>
      <w:r w:rsidRPr="006307C3">
        <w:rPr>
          <w:b/>
        </w:rPr>
        <w:t>Kaynakça</w:t>
      </w:r>
    </w:p>
    <w:p w14:paraId="12508A71" w14:textId="5A5298F6"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Ağaoğulları</w:t>
      </w:r>
      <w:proofErr w:type="spellEnd"/>
      <w:r w:rsidRPr="00317068">
        <w:rPr>
          <w:rFonts w:ascii="Times New Roman" w:hAnsi="Times New Roman" w:cs="Times New Roman"/>
          <w:sz w:val="24"/>
          <w:szCs w:val="24"/>
        </w:rPr>
        <w:t xml:space="preserve">, M. A. (2006). </w:t>
      </w:r>
      <w:r w:rsidRPr="00317068">
        <w:rPr>
          <w:rFonts w:ascii="Times New Roman" w:hAnsi="Times New Roman" w:cs="Times New Roman"/>
          <w:i/>
          <w:sz w:val="24"/>
          <w:szCs w:val="24"/>
        </w:rPr>
        <w:t>Ulus-devlet ya da halkın egemenliği</w:t>
      </w:r>
      <w:r w:rsidRPr="00317068">
        <w:rPr>
          <w:rFonts w:ascii="Times New Roman" w:hAnsi="Times New Roman" w:cs="Times New Roman"/>
          <w:sz w:val="24"/>
          <w:szCs w:val="24"/>
        </w:rPr>
        <w:t>. İstanbul: İmge Yayınları.</w:t>
      </w:r>
    </w:p>
    <w:p w14:paraId="36DBC221" w14:textId="2DC2F367" w:rsidR="00FA457D" w:rsidRPr="00317068" w:rsidRDefault="00FA457D">
      <w:pPr>
        <w:pStyle w:val="Default"/>
        <w:numPr>
          <w:ilvl w:val="0"/>
          <w:numId w:val="63"/>
        </w:numPr>
        <w:jc w:val="both"/>
      </w:pPr>
      <w:proofErr w:type="spellStart"/>
      <w:r w:rsidRPr="00317068">
        <w:t>Ahearn</w:t>
      </w:r>
      <w:proofErr w:type="spellEnd"/>
      <w:r w:rsidRPr="00317068">
        <w:t xml:space="preserve">, S. T. (2005). </w:t>
      </w:r>
      <w:proofErr w:type="spellStart"/>
      <w:r w:rsidRPr="00317068">
        <w:t>Tolstoy’s</w:t>
      </w:r>
      <w:proofErr w:type="spellEnd"/>
      <w:r w:rsidRPr="00317068">
        <w:t xml:space="preserve"> </w:t>
      </w:r>
      <w:proofErr w:type="spellStart"/>
      <w:r w:rsidRPr="00317068">
        <w:t>integration</w:t>
      </w:r>
      <w:proofErr w:type="spellEnd"/>
      <w:r w:rsidRPr="00317068">
        <w:t xml:space="preserve"> </w:t>
      </w:r>
      <w:proofErr w:type="spellStart"/>
      <w:r w:rsidRPr="00317068">
        <w:t>metaphor</w:t>
      </w:r>
      <w:proofErr w:type="spellEnd"/>
      <w:r w:rsidRPr="00317068">
        <w:t xml:space="preserve"> </w:t>
      </w:r>
      <w:proofErr w:type="spellStart"/>
      <w:r w:rsidRPr="00317068">
        <w:t>from</w:t>
      </w:r>
      <w:proofErr w:type="spellEnd"/>
      <w:r w:rsidRPr="00317068">
        <w:t xml:space="preserve"> </w:t>
      </w:r>
      <w:proofErr w:type="spellStart"/>
      <w:r w:rsidRPr="00317068">
        <w:rPr>
          <w:i/>
        </w:rPr>
        <w:t>War</w:t>
      </w:r>
      <w:proofErr w:type="spellEnd"/>
      <w:r w:rsidRPr="00317068">
        <w:rPr>
          <w:i/>
        </w:rPr>
        <w:t xml:space="preserve"> </w:t>
      </w:r>
      <w:proofErr w:type="spellStart"/>
      <w:r w:rsidRPr="00317068">
        <w:rPr>
          <w:i/>
        </w:rPr>
        <w:t>and</w:t>
      </w:r>
      <w:proofErr w:type="spellEnd"/>
      <w:r w:rsidRPr="00317068">
        <w:rPr>
          <w:i/>
        </w:rPr>
        <w:t xml:space="preserve"> </w:t>
      </w:r>
      <w:proofErr w:type="spellStart"/>
      <w:r w:rsidRPr="00317068">
        <w:rPr>
          <w:i/>
        </w:rPr>
        <w:t>Peace</w:t>
      </w:r>
      <w:proofErr w:type="spellEnd"/>
      <w:r w:rsidRPr="00317068">
        <w:t xml:space="preserve">. </w:t>
      </w:r>
      <w:proofErr w:type="spellStart"/>
      <w:r w:rsidRPr="00317068">
        <w:rPr>
          <w:i/>
        </w:rPr>
        <w:t>The</w:t>
      </w:r>
      <w:proofErr w:type="spellEnd"/>
      <w:r w:rsidRPr="00317068">
        <w:rPr>
          <w:i/>
        </w:rPr>
        <w:t xml:space="preserve"> Mathematical </w:t>
      </w:r>
      <w:proofErr w:type="spellStart"/>
      <w:r w:rsidRPr="00317068">
        <w:rPr>
          <w:i/>
        </w:rPr>
        <w:t>Association</w:t>
      </w:r>
      <w:proofErr w:type="spellEnd"/>
      <w:r w:rsidRPr="00317068">
        <w:rPr>
          <w:i/>
        </w:rPr>
        <w:t xml:space="preserve"> of </w:t>
      </w:r>
      <w:proofErr w:type="spellStart"/>
      <w:r w:rsidRPr="00317068">
        <w:rPr>
          <w:i/>
        </w:rPr>
        <w:t>America</w:t>
      </w:r>
      <w:proofErr w:type="spellEnd"/>
      <w:r w:rsidRPr="00317068">
        <w:t>, 112, 631-638.</w:t>
      </w:r>
    </w:p>
    <w:p w14:paraId="27B344DB" w14:textId="77777777" w:rsidR="00FA457D" w:rsidRPr="00317068" w:rsidRDefault="00FA457D">
      <w:pPr>
        <w:pStyle w:val="DipnotMetni"/>
        <w:numPr>
          <w:ilvl w:val="0"/>
          <w:numId w:val="63"/>
        </w:numPr>
        <w:contextualSpacing/>
        <w:jc w:val="both"/>
        <w:rPr>
          <w:rFonts w:ascii="Times New Roman" w:hAnsi="Times New Roman" w:cs="Times New Roman"/>
          <w:sz w:val="24"/>
          <w:szCs w:val="24"/>
        </w:rPr>
      </w:pPr>
      <w:r w:rsidRPr="00317068">
        <w:rPr>
          <w:rFonts w:ascii="Times New Roman" w:hAnsi="Times New Roman" w:cs="Times New Roman"/>
          <w:sz w:val="24"/>
          <w:szCs w:val="24"/>
        </w:rPr>
        <w:t xml:space="preserve">Allen, D. S. (2011). </w:t>
      </w:r>
      <w:r w:rsidRPr="00317068">
        <w:rPr>
          <w:rFonts w:ascii="Times New Roman" w:hAnsi="Times New Roman" w:cs="Times New Roman"/>
          <w:i/>
          <w:sz w:val="24"/>
          <w:szCs w:val="24"/>
        </w:rPr>
        <w:t xml:space="preserve">Platon neden </w:t>
      </w:r>
      <w:proofErr w:type="gramStart"/>
      <w:r w:rsidRPr="00317068">
        <w:rPr>
          <w:rFonts w:ascii="Times New Roman" w:hAnsi="Times New Roman" w:cs="Times New Roman"/>
          <w:i/>
          <w:sz w:val="24"/>
          <w:szCs w:val="24"/>
        </w:rPr>
        <w:t>yazdı?.</w:t>
      </w:r>
      <w:proofErr w:type="gramEnd"/>
      <w:r w:rsidRPr="00317068">
        <w:rPr>
          <w:rFonts w:ascii="Times New Roman" w:hAnsi="Times New Roman" w:cs="Times New Roman"/>
          <w:sz w:val="24"/>
          <w:szCs w:val="24"/>
        </w:rPr>
        <w:t xml:space="preserve"> (A. Batur, Çev.). İstanbul: İletişim Yayınları.</w:t>
      </w:r>
    </w:p>
    <w:p w14:paraId="2365495F" w14:textId="2B008EAF"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Boyuneğmez</w:t>
      </w:r>
      <w:proofErr w:type="spellEnd"/>
      <w:r w:rsidRPr="00317068">
        <w:rPr>
          <w:rFonts w:ascii="Times New Roman" w:hAnsi="Times New Roman" w:cs="Times New Roman"/>
          <w:sz w:val="24"/>
          <w:szCs w:val="24"/>
        </w:rPr>
        <w:t xml:space="preserve">, M. (2014). Feuerbach Üzerine Tezler. </w:t>
      </w:r>
      <w:r w:rsidRPr="00317068">
        <w:rPr>
          <w:rFonts w:ascii="Times New Roman" w:hAnsi="Times New Roman" w:cs="Times New Roman"/>
          <w:i/>
          <w:sz w:val="24"/>
          <w:szCs w:val="24"/>
        </w:rPr>
        <w:t>Marksist Araştırmalar</w:t>
      </w:r>
      <w:r w:rsidRPr="00317068">
        <w:rPr>
          <w:rFonts w:ascii="Times New Roman" w:hAnsi="Times New Roman" w:cs="Times New Roman"/>
          <w:sz w:val="24"/>
          <w:szCs w:val="24"/>
        </w:rPr>
        <w:t>, 1-6.</w:t>
      </w:r>
    </w:p>
    <w:p w14:paraId="7FBC83BF" w14:textId="4F6EA85D"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Cornu</w:t>
      </w:r>
      <w:proofErr w:type="spellEnd"/>
      <w:r w:rsidRPr="00317068">
        <w:rPr>
          <w:rFonts w:ascii="Times New Roman" w:hAnsi="Times New Roman" w:cs="Times New Roman"/>
          <w:sz w:val="24"/>
          <w:szCs w:val="24"/>
        </w:rPr>
        <w:t>, A. (1976). Feuerbach ve Hegel Eleştiri. İçinde K. Somer, (</w:t>
      </w:r>
      <w:proofErr w:type="spellStart"/>
      <w:r w:rsidRPr="00317068">
        <w:rPr>
          <w:rFonts w:ascii="Times New Roman" w:hAnsi="Times New Roman" w:cs="Times New Roman"/>
          <w:sz w:val="24"/>
          <w:szCs w:val="24"/>
        </w:rPr>
        <w:t>Çev</w:t>
      </w:r>
      <w:proofErr w:type="spellEnd"/>
      <w:r w:rsidRPr="00317068">
        <w:rPr>
          <w:rFonts w:ascii="Times New Roman" w:hAnsi="Times New Roman" w:cs="Times New Roman"/>
          <w:sz w:val="24"/>
          <w:szCs w:val="24"/>
        </w:rPr>
        <w:t xml:space="preserve">). </w:t>
      </w:r>
      <w:r w:rsidRPr="00317068">
        <w:rPr>
          <w:rFonts w:ascii="Times New Roman" w:hAnsi="Times New Roman" w:cs="Times New Roman"/>
          <w:i/>
          <w:sz w:val="24"/>
          <w:szCs w:val="24"/>
        </w:rPr>
        <w:t>1844 Elyazmaları, Ekonomi Politik ve Felsefe</w:t>
      </w:r>
      <w:r w:rsidRPr="00317068">
        <w:rPr>
          <w:rFonts w:ascii="Times New Roman" w:hAnsi="Times New Roman" w:cs="Times New Roman"/>
          <w:sz w:val="24"/>
          <w:szCs w:val="24"/>
        </w:rPr>
        <w:t>. Ankara: Sol Yayınları.</w:t>
      </w:r>
    </w:p>
    <w:p w14:paraId="7E17261A" w14:textId="77777777" w:rsidR="00FA457D" w:rsidRPr="00317068" w:rsidRDefault="00FA457D">
      <w:pPr>
        <w:pStyle w:val="DipnotMetni"/>
        <w:numPr>
          <w:ilvl w:val="0"/>
          <w:numId w:val="63"/>
        </w:numPr>
        <w:contextualSpacing/>
        <w:jc w:val="both"/>
        <w:rPr>
          <w:rFonts w:ascii="Times New Roman" w:hAnsi="Times New Roman" w:cs="Times New Roman"/>
          <w:sz w:val="24"/>
          <w:szCs w:val="24"/>
        </w:rPr>
      </w:pPr>
      <w:proofErr w:type="spellStart"/>
      <w:r w:rsidRPr="00317068">
        <w:rPr>
          <w:rFonts w:ascii="Times New Roman" w:hAnsi="Times New Roman" w:cs="Times New Roman"/>
          <w:sz w:val="24"/>
          <w:szCs w:val="24"/>
        </w:rPr>
        <w:t>Desmond</w:t>
      </w:r>
      <w:proofErr w:type="spellEnd"/>
      <w:r w:rsidRPr="00317068">
        <w:rPr>
          <w:rFonts w:ascii="Times New Roman" w:hAnsi="Times New Roman" w:cs="Times New Roman"/>
          <w:sz w:val="24"/>
          <w:szCs w:val="24"/>
        </w:rPr>
        <w:t xml:space="preserve">, W. (2011). </w:t>
      </w:r>
      <w:proofErr w:type="spellStart"/>
      <w:r w:rsidRPr="00317068">
        <w:rPr>
          <w:rFonts w:ascii="Times New Roman" w:hAnsi="Times New Roman" w:cs="Times New Roman"/>
          <w:i/>
          <w:sz w:val="24"/>
          <w:szCs w:val="24"/>
        </w:rPr>
        <w:t>Philosopher-kings</w:t>
      </w:r>
      <w:proofErr w:type="spellEnd"/>
      <w:r w:rsidRPr="00317068">
        <w:rPr>
          <w:rFonts w:ascii="Times New Roman" w:hAnsi="Times New Roman" w:cs="Times New Roman"/>
          <w:i/>
          <w:sz w:val="24"/>
          <w:szCs w:val="24"/>
        </w:rPr>
        <w:t xml:space="preserve"> of </w:t>
      </w:r>
      <w:proofErr w:type="spellStart"/>
      <w:r w:rsidRPr="00317068">
        <w:rPr>
          <w:rFonts w:ascii="Times New Roman" w:hAnsi="Times New Roman" w:cs="Times New Roman"/>
          <w:i/>
          <w:sz w:val="24"/>
          <w:szCs w:val="24"/>
        </w:rPr>
        <w:t>antiquity</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London</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Continuum</w:t>
      </w:r>
      <w:proofErr w:type="spellEnd"/>
      <w:r w:rsidRPr="00317068">
        <w:rPr>
          <w:rFonts w:ascii="Times New Roman" w:hAnsi="Times New Roman" w:cs="Times New Roman"/>
          <w:sz w:val="24"/>
          <w:szCs w:val="24"/>
        </w:rPr>
        <w:t>.</w:t>
      </w:r>
    </w:p>
    <w:p w14:paraId="591DAD0D" w14:textId="77777777"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Hadot</w:t>
      </w:r>
      <w:proofErr w:type="spellEnd"/>
      <w:r w:rsidRPr="00317068">
        <w:rPr>
          <w:rFonts w:ascii="Times New Roman" w:hAnsi="Times New Roman" w:cs="Times New Roman"/>
          <w:sz w:val="24"/>
          <w:szCs w:val="24"/>
        </w:rPr>
        <w:t xml:space="preserve">, P. (2011). </w:t>
      </w:r>
      <w:r w:rsidRPr="00317068">
        <w:rPr>
          <w:rFonts w:ascii="Times New Roman" w:hAnsi="Times New Roman" w:cs="Times New Roman"/>
          <w:i/>
          <w:sz w:val="24"/>
          <w:szCs w:val="24"/>
        </w:rPr>
        <w:t xml:space="preserve">İlkçağ felsefesi </w:t>
      </w:r>
      <w:proofErr w:type="gramStart"/>
      <w:r w:rsidRPr="00317068">
        <w:rPr>
          <w:rFonts w:ascii="Times New Roman" w:hAnsi="Times New Roman" w:cs="Times New Roman"/>
          <w:i/>
          <w:sz w:val="24"/>
          <w:szCs w:val="24"/>
        </w:rPr>
        <w:t>nedir?</w:t>
      </w:r>
      <w:r w:rsidRPr="00317068">
        <w:rPr>
          <w:rFonts w:ascii="Times New Roman" w:hAnsi="Times New Roman" w:cs="Times New Roman"/>
          <w:sz w:val="24"/>
          <w:szCs w:val="24"/>
        </w:rPr>
        <w:t>.</w:t>
      </w:r>
      <w:proofErr w:type="gramEnd"/>
      <w:r w:rsidRPr="00317068">
        <w:rPr>
          <w:rFonts w:ascii="Times New Roman" w:hAnsi="Times New Roman" w:cs="Times New Roman"/>
          <w:sz w:val="24"/>
          <w:szCs w:val="24"/>
        </w:rPr>
        <w:t xml:space="preserve"> (M. </w:t>
      </w:r>
      <w:proofErr w:type="spellStart"/>
      <w:r w:rsidRPr="00317068">
        <w:rPr>
          <w:rFonts w:ascii="Times New Roman" w:hAnsi="Times New Roman" w:cs="Times New Roman"/>
          <w:sz w:val="24"/>
          <w:szCs w:val="24"/>
        </w:rPr>
        <w:t>Cedden</w:t>
      </w:r>
      <w:proofErr w:type="spellEnd"/>
      <w:r w:rsidRPr="00317068">
        <w:rPr>
          <w:rFonts w:ascii="Times New Roman" w:hAnsi="Times New Roman" w:cs="Times New Roman"/>
          <w:sz w:val="24"/>
          <w:szCs w:val="24"/>
        </w:rPr>
        <w:t>, Çev.). Ankara: Dost Yayınları.</w:t>
      </w:r>
    </w:p>
    <w:p w14:paraId="6284C46E" w14:textId="77777777" w:rsidR="00FA457D" w:rsidRPr="00317068" w:rsidRDefault="00FA457D">
      <w:pPr>
        <w:pStyle w:val="ListeParagraf"/>
        <w:numPr>
          <w:ilvl w:val="0"/>
          <w:numId w:val="63"/>
        </w:numPr>
        <w:jc w:val="both"/>
      </w:pPr>
      <w:r w:rsidRPr="00791DCE">
        <w:rPr>
          <w:rFonts w:eastAsia="Calibri"/>
        </w:rPr>
        <w:t>Harman</w:t>
      </w:r>
      <w:r w:rsidRPr="00317068">
        <w:t xml:space="preserve">, C. (1986). </w:t>
      </w:r>
      <w:r w:rsidRPr="00791DCE">
        <w:rPr>
          <w:rFonts w:eastAsia="Calibri"/>
        </w:rPr>
        <w:t xml:space="preserve">Base </w:t>
      </w:r>
      <w:proofErr w:type="spellStart"/>
      <w:r w:rsidRPr="00791DCE">
        <w:rPr>
          <w:rFonts w:eastAsia="Calibri"/>
        </w:rPr>
        <w:t>and</w:t>
      </w:r>
      <w:proofErr w:type="spellEnd"/>
      <w:r w:rsidRPr="00791DCE">
        <w:rPr>
          <w:rFonts w:eastAsia="Calibri"/>
        </w:rPr>
        <w:t xml:space="preserve"> </w:t>
      </w:r>
      <w:proofErr w:type="spellStart"/>
      <w:r w:rsidRPr="00791DCE">
        <w:rPr>
          <w:rFonts w:eastAsia="Calibri"/>
        </w:rPr>
        <w:t>superstructure</w:t>
      </w:r>
      <w:proofErr w:type="spellEnd"/>
      <w:r w:rsidRPr="00317068">
        <w:t>.</w:t>
      </w:r>
      <w:r w:rsidRPr="00791DCE">
        <w:rPr>
          <w:i/>
          <w:iCs/>
        </w:rPr>
        <w:t xml:space="preserve"> </w:t>
      </w:r>
      <w:r w:rsidRPr="00791DCE">
        <w:rPr>
          <w:rFonts w:eastAsia="Calibri"/>
          <w:i/>
          <w:iCs/>
        </w:rPr>
        <w:t xml:space="preserve">International </w:t>
      </w:r>
      <w:proofErr w:type="spellStart"/>
      <w:r w:rsidRPr="00791DCE">
        <w:rPr>
          <w:rFonts w:eastAsia="Calibri"/>
          <w:i/>
          <w:iCs/>
        </w:rPr>
        <w:t>Socialism</w:t>
      </w:r>
      <w:proofErr w:type="spellEnd"/>
      <w:r w:rsidRPr="00791DCE">
        <w:rPr>
          <w:iCs/>
        </w:rPr>
        <w:t>,</w:t>
      </w:r>
      <w:r w:rsidRPr="00791DCE">
        <w:rPr>
          <w:i/>
          <w:iCs/>
        </w:rPr>
        <w:t xml:space="preserve"> </w:t>
      </w:r>
      <w:r w:rsidRPr="00317068">
        <w:t>31</w:t>
      </w:r>
      <w:r w:rsidRPr="00791DCE">
        <w:rPr>
          <w:rFonts w:eastAsia="Calibri"/>
        </w:rPr>
        <w:t>, 3-44</w:t>
      </w:r>
      <w:r w:rsidRPr="00317068">
        <w:t>.</w:t>
      </w:r>
    </w:p>
    <w:p w14:paraId="1A70A1B4" w14:textId="633DDAFD" w:rsidR="00FA457D" w:rsidRPr="00317068" w:rsidRDefault="00FA457D">
      <w:pPr>
        <w:pStyle w:val="ListeParagraf"/>
        <w:numPr>
          <w:ilvl w:val="0"/>
          <w:numId w:val="63"/>
        </w:numPr>
        <w:adjustRightInd w:val="0"/>
        <w:jc w:val="both"/>
      </w:pPr>
      <w:r w:rsidRPr="00317068">
        <w:t xml:space="preserve">Hegel, G. W. F. (1976). </w:t>
      </w:r>
      <w:r w:rsidRPr="00791DCE">
        <w:rPr>
          <w:i/>
        </w:rPr>
        <w:t>Bütün Yapıtları (Seçmeler) I</w:t>
      </w:r>
      <w:r w:rsidRPr="00317068">
        <w:t xml:space="preserve"> (H. Demirhan, Çev.). Ankara: Onur Yayınları.</w:t>
      </w:r>
    </w:p>
    <w:p w14:paraId="6DF845E3" w14:textId="570708A1" w:rsidR="00FA457D" w:rsidRPr="00317068" w:rsidRDefault="00FA457D">
      <w:pPr>
        <w:pStyle w:val="ListeParagraf"/>
        <w:numPr>
          <w:ilvl w:val="0"/>
          <w:numId w:val="63"/>
        </w:numPr>
        <w:adjustRightInd w:val="0"/>
        <w:jc w:val="both"/>
      </w:pPr>
      <w:r w:rsidRPr="00317068">
        <w:t xml:space="preserve">Hegel, G. W. F. (1991). </w:t>
      </w:r>
      <w:r w:rsidRPr="00791DCE">
        <w:rPr>
          <w:i/>
        </w:rPr>
        <w:t>Hukuk Felsefesinin Prensipleri</w:t>
      </w:r>
      <w:r w:rsidRPr="00317068">
        <w:t>. (C. Karakaya, Çev.). Ankara: Sosyal Yayınları.</w:t>
      </w:r>
    </w:p>
    <w:p w14:paraId="689E0AF3" w14:textId="43E2F7D5"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Hegel, G. W. F. (2014). </w:t>
      </w:r>
      <w:r w:rsidRPr="00317068">
        <w:rPr>
          <w:rFonts w:ascii="Times New Roman" w:hAnsi="Times New Roman" w:cs="Times New Roman"/>
          <w:i/>
          <w:sz w:val="24"/>
          <w:szCs w:val="24"/>
        </w:rPr>
        <w:t>Tarihte Akıl</w:t>
      </w:r>
      <w:r w:rsidRPr="00317068">
        <w:rPr>
          <w:rFonts w:ascii="Times New Roman" w:hAnsi="Times New Roman" w:cs="Times New Roman"/>
          <w:sz w:val="24"/>
          <w:szCs w:val="24"/>
        </w:rPr>
        <w:t>. (Ö. Sözer, Çev.). İstanbul: Kabalcı Yayınları.</w:t>
      </w:r>
    </w:p>
    <w:p w14:paraId="1217054A" w14:textId="77777777"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İşsevenler</w:t>
      </w:r>
      <w:proofErr w:type="spellEnd"/>
      <w:r w:rsidRPr="00317068">
        <w:rPr>
          <w:rFonts w:ascii="Times New Roman" w:hAnsi="Times New Roman" w:cs="Times New Roman"/>
          <w:sz w:val="24"/>
          <w:szCs w:val="24"/>
        </w:rPr>
        <w:t xml:space="preserve">, O. V. (2015). </w:t>
      </w:r>
      <w:r w:rsidRPr="00317068">
        <w:rPr>
          <w:rFonts w:ascii="Times New Roman" w:hAnsi="Times New Roman" w:cs="Times New Roman"/>
          <w:i/>
          <w:sz w:val="24"/>
          <w:szCs w:val="24"/>
        </w:rPr>
        <w:t>Platon’da Varlık ve Yasa</w:t>
      </w:r>
      <w:r w:rsidRPr="00317068">
        <w:rPr>
          <w:rFonts w:ascii="Times New Roman" w:hAnsi="Times New Roman" w:cs="Times New Roman"/>
          <w:sz w:val="24"/>
          <w:szCs w:val="24"/>
        </w:rPr>
        <w:t>. İstanbul: Tekin Yayınları.</w:t>
      </w:r>
    </w:p>
    <w:p w14:paraId="1832A8C6" w14:textId="754A7D11"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Jakubowski</w:t>
      </w:r>
      <w:proofErr w:type="spellEnd"/>
      <w:r w:rsidRPr="00317068">
        <w:rPr>
          <w:rFonts w:ascii="Times New Roman" w:hAnsi="Times New Roman" w:cs="Times New Roman"/>
          <w:sz w:val="24"/>
          <w:szCs w:val="24"/>
        </w:rPr>
        <w:t xml:space="preserve">, F. (1978). </w:t>
      </w:r>
      <w:proofErr w:type="spellStart"/>
      <w:r w:rsidRPr="00317068">
        <w:rPr>
          <w:rFonts w:ascii="Times New Roman" w:hAnsi="Times New Roman" w:cs="Times New Roman"/>
          <w:i/>
          <w:sz w:val="24"/>
          <w:szCs w:val="24"/>
        </w:rPr>
        <w:t>Ideology</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and</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superstructure</w:t>
      </w:r>
      <w:proofErr w:type="spellEnd"/>
      <w:r w:rsidRPr="00317068">
        <w:rPr>
          <w:rFonts w:ascii="Times New Roman" w:hAnsi="Times New Roman" w:cs="Times New Roman"/>
          <w:i/>
          <w:sz w:val="24"/>
          <w:szCs w:val="24"/>
        </w:rPr>
        <w:t xml:space="preserve"> in </w:t>
      </w:r>
      <w:proofErr w:type="spellStart"/>
      <w:r w:rsidRPr="00317068">
        <w:rPr>
          <w:rFonts w:ascii="Times New Roman" w:hAnsi="Times New Roman" w:cs="Times New Roman"/>
          <w:i/>
          <w:sz w:val="24"/>
          <w:szCs w:val="24"/>
        </w:rPr>
        <w:t>historical</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materialism</w:t>
      </w:r>
      <w:proofErr w:type="spellEnd"/>
      <w:r w:rsidRPr="00317068">
        <w:rPr>
          <w:rFonts w:ascii="Times New Roman" w:hAnsi="Times New Roman" w:cs="Times New Roman"/>
          <w:sz w:val="24"/>
          <w:szCs w:val="24"/>
        </w:rPr>
        <w:t xml:space="preserve">. (A. </w:t>
      </w:r>
      <w:proofErr w:type="spellStart"/>
      <w:r w:rsidRPr="00317068">
        <w:rPr>
          <w:rFonts w:ascii="Times New Roman" w:hAnsi="Times New Roman" w:cs="Times New Roman"/>
          <w:sz w:val="24"/>
          <w:szCs w:val="24"/>
        </w:rPr>
        <w:t>Booth</w:t>
      </w:r>
      <w:proofErr w:type="spellEnd"/>
      <w:r w:rsidRPr="00317068">
        <w:rPr>
          <w:rFonts w:ascii="Times New Roman" w:hAnsi="Times New Roman" w:cs="Times New Roman"/>
          <w:sz w:val="24"/>
          <w:szCs w:val="24"/>
        </w:rPr>
        <w:t xml:space="preserve">, Çev.). </w:t>
      </w:r>
      <w:proofErr w:type="spellStart"/>
      <w:r w:rsidRPr="00317068">
        <w:rPr>
          <w:rFonts w:ascii="Times New Roman" w:hAnsi="Times New Roman" w:cs="Times New Roman"/>
          <w:sz w:val="24"/>
          <w:szCs w:val="24"/>
        </w:rPr>
        <w:t>London</w:t>
      </w:r>
      <w:proofErr w:type="spellEnd"/>
      <w:r w:rsidRPr="00317068">
        <w:rPr>
          <w:rFonts w:ascii="Times New Roman" w:hAnsi="Times New Roman" w:cs="Times New Roman"/>
          <w:sz w:val="24"/>
          <w:szCs w:val="24"/>
        </w:rPr>
        <w:t xml:space="preserve">: Allison &amp; </w:t>
      </w:r>
      <w:proofErr w:type="spellStart"/>
      <w:r w:rsidRPr="00317068">
        <w:rPr>
          <w:rFonts w:ascii="Times New Roman" w:hAnsi="Times New Roman" w:cs="Times New Roman"/>
          <w:sz w:val="24"/>
          <w:szCs w:val="24"/>
        </w:rPr>
        <w:t>Busby</w:t>
      </w:r>
      <w:proofErr w:type="spellEnd"/>
      <w:r w:rsidRPr="00317068">
        <w:rPr>
          <w:rFonts w:ascii="Times New Roman" w:hAnsi="Times New Roman" w:cs="Times New Roman"/>
          <w:sz w:val="24"/>
          <w:szCs w:val="24"/>
        </w:rPr>
        <w:t>.</w:t>
      </w:r>
    </w:p>
    <w:p w14:paraId="6A8172F1" w14:textId="77777777"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Jal</w:t>
      </w:r>
      <w:proofErr w:type="spellEnd"/>
      <w:r w:rsidRPr="00317068">
        <w:rPr>
          <w:rFonts w:ascii="Times New Roman" w:hAnsi="Times New Roman" w:cs="Times New Roman"/>
          <w:sz w:val="24"/>
          <w:szCs w:val="24"/>
        </w:rPr>
        <w:t xml:space="preserve">, M. (1999). Karl </w:t>
      </w:r>
      <w:proofErr w:type="spellStart"/>
      <w:r w:rsidRPr="00317068">
        <w:rPr>
          <w:rFonts w:ascii="Times New Roman" w:hAnsi="Times New Roman" w:cs="Times New Roman"/>
          <w:sz w:val="24"/>
          <w:szCs w:val="24"/>
        </w:rPr>
        <w:t>Marxs</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thesis</w:t>
      </w:r>
      <w:proofErr w:type="spellEnd"/>
      <w:r w:rsidRPr="00317068">
        <w:rPr>
          <w:rFonts w:ascii="Times New Roman" w:hAnsi="Times New Roman" w:cs="Times New Roman"/>
          <w:sz w:val="24"/>
          <w:szCs w:val="24"/>
        </w:rPr>
        <w:t xml:space="preserve"> on Feuerbach’: </w:t>
      </w:r>
      <w:proofErr w:type="spellStart"/>
      <w:r w:rsidRPr="00317068">
        <w:rPr>
          <w:rFonts w:ascii="Times New Roman" w:hAnsi="Times New Roman" w:cs="Times New Roman"/>
          <w:sz w:val="24"/>
          <w:szCs w:val="24"/>
        </w:rPr>
        <w:t>Towards</w:t>
      </w:r>
      <w:proofErr w:type="spellEnd"/>
      <w:r w:rsidRPr="00317068">
        <w:rPr>
          <w:rFonts w:ascii="Times New Roman" w:hAnsi="Times New Roman" w:cs="Times New Roman"/>
          <w:sz w:val="24"/>
          <w:szCs w:val="24"/>
        </w:rPr>
        <w:t xml:space="preserve"> an anti-</w:t>
      </w:r>
      <w:proofErr w:type="spellStart"/>
      <w:r w:rsidRPr="00317068">
        <w:rPr>
          <w:rFonts w:ascii="Times New Roman" w:hAnsi="Times New Roman" w:cs="Times New Roman"/>
          <w:sz w:val="24"/>
          <w:szCs w:val="24"/>
        </w:rPr>
        <w:t>hermeneutic</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study</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i/>
          <w:sz w:val="24"/>
          <w:szCs w:val="24"/>
        </w:rPr>
        <w:t>Indian</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Philosophical</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Quarterly</w:t>
      </w:r>
      <w:proofErr w:type="spellEnd"/>
      <w:r w:rsidRPr="00317068">
        <w:rPr>
          <w:rFonts w:ascii="Times New Roman" w:hAnsi="Times New Roman" w:cs="Times New Roman"/>
          <w:sz w:val="24"/>
          <w:szCs w:val="24"/>
        </w:rPr>
        <w:t xml:space="preserve">, </w:t>
      </w:r>
      <w:proofErr w:type="gramStart"/>
      <w:r w:rsidRPr="00317068">
        <w:rPr>
          <w:rFonts w:ascii="Times New Roman" w:hAnsi="Times New Roman" w:cs="Times New Roman"/>
          <w:sz w:val="24"/>
          <w:szCs w:val="24"/>
        </w:rPr>
        <w:t>XXVI(</w:t>
      </w:r>
      <w:proofErr w:type="gramEnd"/>
      <w:r w:rsidRPr="00317068">
        <w:rPr>
          <w:rFonts w:ascii="Times New Roman" w:hAnsi="Times New Roman" w:cs="Times New Roman"/>
          <w:sz w:val="24"/>
          <w:szCs w:val="24"/>
        </w:rPr>
        <w:t>4), 1-14.</w:t>
      </w:r>
    </w:p>
    <w:p w14:paraId="03237E8A" w14:textId="45ACFB72" w:rsidR="00FA457D" w:rsidRPr="00317068" w:rsidRDefault="00FA457D">
      <w:pPr>
        <w:pStyle w:val="Default"/>
        <w:numPr>
          <w:ilvl w:val="0"/>
          <w:numId w:val="63"/>
        </w:numPr>
        <w:jc w:val="both"/>
      </w:pPr>
      <w:proofErr w:type="spellStart"/>
      <w:r w:rsidRPr="00317068">
        <w:t>Keshner</w:t>
      </w:r>
      <w:proofErr w:type="spellEnd"/>
      <w:r w:rsidRPr="00317068">
        <w:t xml:space="preserve">, Z. (2009). Karl Marx </w:t>
      </w:r>
      <w:proofErr w:type="spellStart"/>
      <w:r w:rsidRPr="00317068">
        <w:t>and</w:t>
      </w:r>
      <w:proofErr w:type="spellEnd"/>
      <w:r w:rsidRPr="00317068">
        <w:t xml:space="preserve"> Leo Tolstoy: </w:t>
      </w:r>
      <w:proofErr w:type="spellStart"/>
      <w:r w:rsidRPr="00317068">
        <w:t>prophets</w:t>
      </w:r>
      <w:proofErr w:type="spellEnd"/>
      <w:r w:rsidRPr="00317068">
        <w:t xml:space="preserve"> of </w:t>
      </w:r>
      <w:proofErr w:type="spellStart"/>
      <w:r w:rsidRPr="00317068">
        <w:t>anarchism</w:t>
      </w:r>
      <w:proofErr w:type="spellEnd"/>
      <w:r w:rsidRPr="00317068">
        <w:t xml:space="preserve"> an </w:t>
      </w:r>
      <w:proofErr w:type="spellStart"/>
      <w:r w:rsidRPr="00317068">
        <w:t>analysis</w:t>
      </w:r>
      <w:proofErr w:type="spellEnd"/>
      <w:r w:rsidRPr="00317068">
        <w:t xml:space="preserve"> of </w:t>
      </w:r>
      <w:proofErr w:type="spellStart"/>
      <w:r w:rsidRPr="00317068">
        <w:t>theory</w:t>
      </w:r>
      <w:proofErr w:type="spellEnd"/>
      <w:r w:rsidRPr="00317068">
        <w:t xml:space="preserve"> </w:t>
      </w:r>
      <w:proofErr w:type="spellStart"/>
      <w:r w:rsidRPr="00317068">
        <w:t>and</w:t>
      </w:r>
      <w:proofErr w:type="spellEnd"/>
      <w:r w:rsidR="000C6508">
        <w:t xml:space="preserve"> </w:t>
      </w:r>
      <w:r w:rsidRPr="00317068">
        <w:t>practice,</w:t>
      </w:r>
      <w:hyperlink r:id="rId386" w:history="1">
        <w:r w:rsidRPr="00317068">
          <w:rPr>
            <w:rStyle w:val="Kpr"/>
            <w:rFonts w:eastAsiaTheme="majorEastAsia"/>
          </w:rPr>
          <w:t>https://documents.kenyon.edu/sociology/Comps%202008-2009/ZacharyKeshner.pdf</w:t>
        </w:r>
      </w:hyperlink>
      <w:r w:rsidRPr="00317068">
        <w:t xml:space="preserve"> (E. T.: 09.02.2025)</w:t>
      </w:r>
    </w:p>
    <w:p w14:paraId="03BA38B2" w14:textId="18373170" w:rsidR="00FA457D" w:rsidRPr="00317068" w:rsidRDefault="00FA457D">
      <w:pPr>
        <w:pStyle w:val="ListeParagraf"/>
        <w:numPr>
          <w:ilvl w:val="0"/>
          <w:numId w:val="63"/>
        </w:numPr>
        <w:jc w:val="both"/>
      </w:pPr>
      <w:r w:rsidRPr="00317068">
        <w:t xml:space="preserve">Kılınç, D. B. (2013). Marx’ın Hegel </w:t>
      </w:r>
      <w:proofErr w:type="gramStart"/>
      <w:r w:rsidRPr="00317068">
        <w:t>Eleştirisi:  Marx’ın</w:t>
      </w:r>
      <w:proofErr w:type="gramEnd"/>
      <w:r w:rsidRPr="00317068">
        <w:t xml:space="preserve"> Diyalektiği Sahiplenmesindeki Aşamalar. Doktora Tezi. Ankara: ODTÜ.</w:t>
      </w:r>
    </w:p>
    <w:p w14:paraId="1A1DBFDD" w14:textId="1870542E"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Klosko</w:t>
      </w:r>
      <w:proofErr w:type="spellEnd"/>
      <w:r w:rsidRPr="00317068">
        <w:rPr>
          <w:rFonts w:ascii="Times New Roman" w:hAnsi="Times New Roman" w:cs="Times New Roman"/>
          <w:sz w:val="24"/>
          <w:szCs w:val="24"/>
        </w:rPr>
        <w:t xml:space="preserve">, G. (1983). </w:t>
      </w:r>
      <w:proofErr w:type="spellStart"/>
      <w:r w:rsidRPr="00317068">
        <w:rPr>
          <w:rFonts w:ascii="Times New Roman" w:hAnsi="Times New Roman" w:cs="Times New Roman"/>
          <w:sz w:val="24"/>
          <w:szCs w:val="24"/>
        </w:rPr>
        <w:t>Plato’s</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utopianism</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the</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political</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content</w:t>
      </w:r>
      <w:proofErr w:type="spellEnd"/>
      <w:r w:rsidRPr="00317068">
        <w:rPr>
          <w:rFonts w:ascii="Times New Roman" w:hAnsi="Times New Roman" w:cs="Times New Roman"/>
          <w:sz w:val="24"/>
          <w:szCs w:val="24"/>
        </w:rPr>
        <w:t xml:space="preserve"> of </w:t>
      </w:r>
      <w:proofErr w:type="spellStart"/>
      <w:r w:rsidRPr="00317068">
        <w:rPr>
          <w:rFonts w:ascii="Times New Roman" w:hAnsi="Times New Roman" w:cs="Times New Roman"/>
          <w:sz w:val="24"/>
          <w:szCs w:val="24"/>
        </w:rPr>
        <w:t>the</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early</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dialogues</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i/>
          <w:sz w:val="24"/>
          <w:szCs w:val="24"/>
        </w:rPr>
        <w:t>The</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Review</w:t>
      </w:r>
      <w:proofErr w:type="spellEnd"/>
      <w:r w:rsidRPr="00317068">
        <w:rPr>
          <w:rFonts w:ascii="Times New Roman" w:hAnsi="Times New Roman" w:cs="Times New Roman"/>
          <w:i/>
          <w:sz w:val="24"/>
          <w:szCs w:val="24"/>
        </w:rPr>
        <w:t xml:space="preserve"> of </w:t>
      </w:r>
      <w:proofErr w:type="spellStart"/>
      <w:r w:rsidRPr="00317068">
        <w:rPr>
          <w:rFonts w:ascii="Times New Roman" w:hAnsi="Times New Roman" w:cs="Times New Roman"/>
          <w:i/>
          <w:sz w:val="24"/>
          <w:szCs w:val="24"/>
        </w:rPr>
        <w:t>Politics</w:t>
      </w:r>
      <w:proofErr w:type="spellEnd"/>
      <w:r w:rsidRPr="00317068">
        <w:rPr>
          <w:rFonts w:ascii="Times New Roman" w:hAnsi="Times New Roman" w:cs="Times New Roman"/>
          <w:sz w:val="24"/>
          <w:szCs w:val="24"/>
        </w:rPr>
        <w:t xml:space="preserve"> 45(4), 483-509.</w:t>
      </w:r>
    </w:p>
    <w:p w14:paraId="0256386D" w14:textId="285A2EEC"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Engels, F. (1968). </w:t>
      </w:r>
      <w:r w:rsidRPr="00317068">
        <w:rPr>
          <w:rFonts w:ascii="Times New Roman" w:hAnsi="Times New Roman" w:cs="Times New Roman"/>
          <w:i/>
          <w:sz w:val="24"/>
          <w:szCs w:val="24"/>
        </w:rPr>
        <w:t>Felsefe İncelemeleri</w:t>
      </w:r>
      <w:r w:rsidRPr="00317068">
        <w:rPr>
          <w:rFonts w:ascii="Times New Roman" w:hAnsi="Times New Roman" w:cs="Times New Roman"/>
          <w:sz w:val="24"/>
          <w:szCs w:val="24"/>
        </w:rPr>
        <w:t xml:space="preserve">. (C. </w:t>
      </w:r>
      <w:proofErr w:type="spellStart"/>
      <w:r w:rsidRPr="00317068">
        <w:rPr>
          <w:rFonts w:ascii="Times New Roman" w:hAnsi="Times New Roman" w:cs="Times New Roman"/>
          <w:sz w:val="24"/>
          <w:szCs w:val="24"/>
        </w:rPr>
        <w:t>Eroğul</w:t>
      </w:r>
      <w:proofErr w:type="spellEnd"/>
      <w:r w:rsidRPr="00317068">
        <w:rPr>
          <w:rFonts w:ascii="Times New Roman" w:hAnsi="Times New Roman" w:cs="Times New Roman"/>
          <w:sz w:val="24"/>
          <w:szCs w:val="24"/>
        </w:rPr>
        <w:t>, Çev.). Ankara: Sol Yayınları.</w:t>
      </w:r>
    </w:p>
    <w:p w14:paraId="40BF6C33" w14:textId="26C6CEC8"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(2001). </w:t>
      </w:r>
      <w:r w:rsidRPr="00317068">
        <w:rPr>
          <w:rFonts w:ascii="Times New Roman" w:hAnsi="Times New Roman" w:cs="Times New Roman"/>
          <w:i/>
          <w:sz w:val="24"/>
          <w:szCs w:val="24"/>
        </w:rPr>
        <w:t xml:space="preserve">Demokritos ile </w:t>
      </w:r>
      <w:proofErr w:type="spellStart"/>
      <w:r w:rsidRPr="00317068">
        <w:rPr>
          <w:rFonts w:ascii="Times New Roman" w:hAnsi="Times New Roman" w:cs="Times New Roman"/>
          <w:i/>
          <w:sz w:val="24"/>
          <w:szCs w:val="24"/>
        </w:rPr>
        <w:t>Epikouros’un</w:t>
      </w:r>
      <w:proofErr w:type="spellEnd"/>
      <w:r w:rsidRPr="00317068">
        <w:rPr>
          <w:rFonts w:ascii="Times New Roman" w:hAnsi="Times New Roman" w:cs="Times New Roman"/>
          <w:i/>
          <w:sz w:val="24"/>
          <w:szCs w:val="24"/>
        </w:rPr>
        <w:t xml:space="preserve"> doğa felsefelerindeki ayırım</w:t>
      </w:r>
      <w:r w:rsidRPr="00317068">
        <w:rPr>
          <w:rFonts w:ascii="Times New Roman" w:hAnsi="Times New Roman" w:cs="Times New Roman"/>
          <w:sz w:val="24"/>
          <w:szCs w:val="24"/>
        </w:rPr>
        <w:t>. (S. Babür, Çev.). Ankara: Ayraç Yayınları.</w:t>
      </w:r>
    </w:p>
    <w:p w14:paraId="0AA6C460" w14:textId="33F7873A"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(1970). </w:t>
      </w:r>
      <w:r w:rsidRPr="00317068">
        <w:rPr>
          <w:rFonts w:ascii="Times New Roman" w:hAnsi="Times New Roman" w:cs="Times New Roman"/>
          <w:i/>
          <w:sz w:val="24"/>
          <w:szCs w:val="24"/>
        </w:rPr>
        <w:t>Ekonomi Politiğin Eleştirisine Katkı</w:t>
      </w:r>
      <w:r w:rsidRPr="00317068">
        <w:rPr>
          <w:rFonts w:ascii="Times New Roman" w:hAnsi="Times New Roman" w:cs="Times New Roman"/>
          <w:sz w:val="24"/>
          <w:szCs w:val="24"/>
        </w:rPr>
        <w:t>. (S. Belli, Çev.). Ankara: Sol Yayınları.</w:t>
      </w:r>
    </w:p>
    <w:p w14:paraId="3AC84F85" w14:textId="3A0B9B3B"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(1976). </w:t>
      </w:r>
      <w:r w:rsidRPr="00317068">
        <w:rPr>
          <w:rFonts w:ascii="Times New Roman" w:hAnsi="Times New Roman" w:cs="Times New Roman"/>
          <w:i/>
          <w:sz w:val="24"/>
          <w:szCs w:val="24"/>
        </w:rPr>
        <w:t>1844 elyazmaları, ekonomi politik ve felsefe</w:t>
      </w:r>
      <w:r w:rsidRPr="00317068">
        <w:rPr>
          <w:rFonts w:ascii="Times New Roman" w:hAnsi="Times New Roman" w:cs="Times New Roman"/>
          <w:sz w:val="24"/>
          <w:szCs w:val="24"/>
        </w:rPr>
        <w:t>. (K. Somer, Çev.). Ankara: Sol Yayınları.</w:t>
      </w:r>
    </w:p>
    <w:p w14:paraId="319F8772" w14:textId="6A4EF422"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(2014). Feuerbach üzerine tezler. </w:t>
      </w:r>
      <w:r w:rsidRPr="00317068">
        <w:rPr>
          <w:rFonts w:ascii="Times New Roman" w:hAnsi="Times New Roman" w:cs="Times New Roman"/>
          <w:i/>
          <w:sz w:val="24"/>
          <w:szCs w:val="24"/>
        </w:rPr>
        <w:t>Sosyologca</w:t>
      </w:r>
      <w:r>
        <w:rPr>
          <w:rFonts w:ascii="Times New Roman" w:hAnsi="Times New Roman" w:cs="Times New Roman"/>
          <w:sz w:val="24"/>
          <w:szCs w:val="24"/>
        </w:rPr>
        <w:t>, 7, 80-</w:t>
      </w:r>
      <w:r w:rsidRPr="00317068">
        <w:rPr>
          <w:rFonts w:ascii="Times New Roman" w:hAnsi="Times New Roman" w:cs="Times New Roman"/>
          <w:sz w:val="24"/>
          <w:szCs w:val="24"/>
        </w:rPr>
        <w:t>85.</w:t>
      </w:r>
    </w:p>
    <w:p w14:paraId="501BE9FE" w14:textId="77777777"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(2015). </w:t>
      </w:r>
      <w:r w:rsidRPr="00317068">
        <w:rPr>
          <w:rFonts w:ascii="Times New Roman" w:hAnsi="Times New Roman" w:cs="Times New Roman"/>
          <w:i/>
          <w:sz w:val="24"/>
          <w:szCs w:val="24"/>
        </w:rPr>
        <w:t>Kapital</w:t>
      </w:r>
      <w:r w:rsidRPr="00317068">
        <w:rPr>
          <w:rFonts w:ascii="Times New Roman" w:hAnsi="Times New Roman" w:cs="Times New Roman"/>
          <w:sz w:val="24"/>
          <w:szCs w:val="24"/>
        </w:rPr>
        <w:t xml:space="preserve"> </w:t>
      </w:r>
      <w:r w:rsidRPr="00317068">
        <w:rPr>
          <w:rFonts w:ascii="Times New Roman" w:hAnsi="Times New Roman" w:cs="Times New Roman"/>
          <w:i/>
          <w:sz w:val="24"/>
          <w:szCs w:val="24"/>
        </w:rPr>
        <w:t xml:space="preserve">I. Cilt. </w:t>
      </w:r>
      <w:r w:rsidRPr="00317068">
        <w:rPr>
          <w:rFonts w:ascii="Times New Roman" w:hAnsi="Times New Roman" w:cs="Times New Roman"/>
          <w:sz w:val="24"/>
          <w:szCs w:val="24"/>
        </w:rPr>
        <w:t xml:space="preserve">(M. </w:t>
      </w:r>
      <w:proofErr w:type="spellStart"/>
      <w:r w:rsidRPr="00317068">
        <w:rPr>
          <w:rFonts w:ascii="Times New Roman" w:hAnsi="Times New Roman" w:cs="Times New Roman"/>
          <w:sz w:val="24"/>
          <w:szCs w:val="24"/>
        </w:rPr>
        <w:t>Selik</w:t>
      </w:r>
      <w:proofErr w:type="spellEnd"/>
      <w:r w:rsidRPr="00317068">
        <w:rPr>
          <w:rFonts w:ascii="Times New Roman" w:hAnsi="Times New Roman" w:cs="Times New Roman"/>
          <w:sz w:val="24"/>
          <w:szCs w:val="24"/>
        </w:rPr>
        <w:t xml:space="preserve"> ve N. </w:t>
      </w:r>
      <w:proofErr w:type="spellStart"/>
      <w:r w:rsidRPr="00317068">
        <w:rPr>
          <w:rFonts w:ascii="Times New Roman" w:hAnsi="Times New Roman" w:cs="Times New Roman"/>
          <w:sz w:val="24"/>
          <w:szCs w:val="24"/>
        </w:rPr>
        <w:t>Satlıgan</w:t>
      </w:r>
      <w:proofErr w:type="spellEnd"/>
      <w:r w:rsidRPr="00317068">
        <w:rPr>
          <w:rFonts w:ascii="Times New Roman" w:hAnsi="Times New Roman" w:cs="Times New Roman"/>
          <w:sz w:val="24"/>
          <w:szCs w:val="24"/>
        </w:rPr>
        <w:t>, Çev.). İstanbul: Yordam Kitap.</w:t>
      </w:r>
    </w:p>
    <w:p w14:paraId="59EC9D59" w14:textId="71F8A40D"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lastRenderedPageBreak/>
        <w:t xml:space="preserve">Marks. K., Engels, F. (2008). </w:t>
      </w:r>
      <w:r w:rsidRPr="00317068">
        <w:rPr>
          <w:rFonts w:ascii="Times New Roman" w:hAnsi="Times New Roman" w:cs="Times New Roman"/>
          <w:i/>
          <w:sz w:val="24"/>
          <w:szCs w:val="24"/>
        </w:rPr>
        <w:t>Alman İdeolojisi (Feuerbach)</w:t>
      </w:r>
      <w:r w:rsidRPr="00317068">
        <w:rPr>
          <w:rFonts w:ascii="Times New Roman" w:hAnsi="Times New Roman" w:cs="Times New Roman"/>
          <w:sz w:val="24"/>
          <w:szCs w:val="24"/>
        </w:rPr>
        <w:t>. (S. Belli, Çev.). Ankara: Sol Yayınları.</w:t>
      </w:r>
    </w:p>
    <w:p w14:paraId="655D44A2" w14:textId="6ABA6F8C"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Marks. K., Engels, F. (2013). </w:t>
      </w:r>
      <w:r w:rsidRPr="00317068">
        <w:rPr>
          <w:rFonts w:ascii="Times New Roman" w:hAnsi="Times New Roman" w:cs="Times New Roman"/>
          <w:i/>
          <w:sz w:val="24"/>
          <w:szCs w:val="24"/>
        </w:rPr>
        <w:t>Din üzerine</w:t>
      </w:r>
      <w:r w:rsidRPr="00317068">
        <w:rPr>
          <w:rFonts w:ascii="Times New Roman" w:hAnsi="Times New Roman" w:cs="Times New Roman"/>
          <w:sz w:val="24"/>
          <w:szCs w:val="24"/>
        </w:rPr>
        <w:t>. (K. Güvenç, Çev.). Ankara: Sol Yayınları.</w:t>
      </w:r>
    </w:p>
    <w:p w14:paraId="461EEADF" w14:textId="0D562C33"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Moreno</w:t>
      </w:r>
      <w:proofErr w:type="spellEnd"/>
      <w:r w:rsidRPr="00317068">
        <w:rPr>
          <w:rFonts w:ascii="Times New Roman" w:hAnsi="Times New Roman" w:cs="Times New Roman"/>
          <w:sz w:val="24"/>
          <w:szCs w:val="24"/>
        </w:rPr>
        <w:t xml:space="preserve">, N. (2014). </w:t>
      </w:r>
      <w:proofErr w:type="spellStart"/>
      <w:r w:rsidRPr="00317068">
        <w:rPr>
          <w:rFonts w:ascii="Times New Roman" w:hAnsi="Times New Roman" w:cs="Times New Roman"/>
          <w:i/>
          <w:sz w:val="24"/>
          <w:szCs w:val="24"/>
        </w:rPr>
        <w:t>The</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Revolutionary</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Dictatorship</w:t>
      </w:r>
      <w:proofErr w:type="spellEnd"/>
      <w:r w:rsidRPr="00317068">
        <w:rPr>
          <w:rFonts w:ascii="Times New Roman" w:hAnsi="Times New Roman" w:cs="Times New Roman"/>
          <w:i/>
          <w:sz w:val="24"/>
          <w:szCs w:val="24"/>
        </w:rPr>
        <w:t xml:space="preserve"> of </w:t>
      </w:r>
      <w:proofErr w:type="spellStart"/>
      <w:r w:rsidRPr="00317068">
        <w:rPr>
          <w:rFonts w:ascii="Times New Roman" w:hAnsi="Times New Roman" w:cs="Times New Roman"/>
          <w:i/>
          <w:sz w:val="24"/>
          <w:szCs w:val="24"/>
        </w:rPr>
        <w:t>the</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Proletariat</w:t>
      </w:r>
      <w:proofErr w:type="spellEnd"/>
      <w:r w:rsidRPr="00317068">
        <w:rPr>
          <w:rFonts w:ascii="Times New Roman" w:hAnsi="Times New Roman" w:cs="Times New Roman"/>
          <w:sz w:val="24"/>
          <w:szCs w:val="24"/>
        </w:rPr>
        <w:t xml:space="preserve">. (T. Monica, Çev.). Buenos Aires: El </w:t>
      </w:r>
      <w:proofErr w:type="spellStart"/>
      <w:r w:rsidRPr="00317068">
        <w:rPr>
          <w:rFonts w:ascii="Times New Roman" w:hAnsi="Times New Roman" w:cs="Times New Roman"/>
          <w:sz w:val="24"/>
          <w:szCs w:val="24"/>
        </w:rPr>
        <w:t>Socialista</w:t>
      </w:r>
      <w:proofErr w:type="spellEnd"/>
      <w:r w:rsidRPr="00317068">
        <w:rPr>
          <w:rFonts w:ascii="Times New Roman" w:hAnsi="Times New Roman" w:cs="Times New Roman"/>
          <w:sz w:val="24"/>
          <w:szCs w:val="24"/>
        </w:rPr>
        <w:t>.</w:t>
      </w:r>
    </w:p>
    <w:p w14:paraId="2B2535B2" w14:textId="3DEA47F1" w:rsidR="00FA457D" w:rsidRPr="00317068" w:rsidRDefault="00FA457D">
      <w:pPr>
        <w:pStyle w:val="Default"/>
        <w:numPr>
          <w:ilvl w:val="0"/>
          <w:numId w:val="63"/>
        </w:numPr>
        <w:jc w:val="both"/>
      </w:pPr>
      <w:r w:rsidRPr="00317068">
        <w:t xml:space="preserve">Morrison, I. (2011). </w:t>
      </w:r>
      <w:proofErr w:type="spellStart"/>
      <w:r w:rsidRPr="00317068">
        <w:t>Trotsky’s</w:t>
      </w:r>
      <w:proofErr w:type="spellEnd"/>
      <w:r w:rsidRPr="00317068">
        <w:t xml:space="preserve"> </w:t>
      </w:r>
      <w:proofErr w:type="spellStart"/>
      <w:r w:rsidRPr="00317068">
        <w:t>marxism</w:t>
      </w:r>
      <w:proofErr w:type="spellEnd"/>
      <w:r w:rsidRPr="00317068">
        <w:t xml:space="preserve">, </w:t>
      </w:r>
      <w:proofErr w:type="spellStart"/>
      <w:r w:rsidRPr="00317068">
        <w:rPr>
          <w:i/>
        </w:rPr>
        <w:t>The</w:t>
      </w:r>
      <w:proofErr w:type="spellEnd"/>
      <w:r w:rsidRPr="00317068">
        <w:rPr>
          <w:i/>
        </w:rPr>
        <w:t xml:space="preserve"> </w:t>
      </w:r>
      <w:proofErr w:type="spellStart"/>
      <w:r w:rsidRPr="00317068">
        <w:rPr>
          <w:i/>
        </w:rPr>
        <w:t>Platypus</w:t>
      </w:r>
      <w:proofErr w:type="spellEnd"/>
      <w:r w:rsidRPr="00317068">
        <w:rPr>
          <w:i/>
        </w:rPr>
        <w:t xml:space="preserve"> </w:t>
      </w:r>
      <w:proofErr w:type="spellStart"/>
      <w:r w:rsidRPr="00317068">
        <w:rPr>
          <w:i/>
        </w:rPr>
        <w:t>Review</w:t>
      </w:r>
      <w:proofErr w:type="spellEnd"/>
      <w:r w:rsidRPr="00317068">
        <w:t>, 37, 1-3.</w:t>
      </w:r>
    </w:p>
    <w:p w14:paraId="4D89A87B" w14:textId="77777777" w:rsidR="00FA457D" w:rsidRPr="00791DCE" w:rsidRDefault="00FA457D">
      <w:pPr>
        <w:pStyle w:val="ListeParagraf"/>
        <w:numPr>
          <w:ilvl w:val="0"/>
          <w:numId w:val="63"/>
        </w:numPr>
        <w:shd w:val="clear" w:color="auto" w:fill="FFFFFF"/>
        <w:jc w:val="both"/>
        <w:rPr>
          <w:color w:val="222222"/>
        </w:rPr>
      </w:pPr>
      <w:proofErr w:type="spellStart"/>
      <w:r w:rsidRPr="00317068">
        <w:t>Naidu</w:t>
      </w:r>
      <w:proofErr w:type="spellEnd"/>
      <w:r w:rsidRPr="00317068">
        <w:t xml:space="preserve">, M. V. (1982). Kant, </w:t>
      </w:r>
      <w:proofErr w:type="spellStart"/>
      <w:r w:rsidRPr="00317068">
        <w:t>Clausewitz</w:t>
      </w:r>
      <w:proofErr w:type="spellEnd"/>
      <w:r w:rsidRPr="00317068">
        <w:t xml:space="preserve">, </w:t>
      </w:r>
      <w:proofErr w:type="spellStart"/>
      <w:r w:rsidRPr="00317068">
        <w:t>Marxism</w:t>
      </w:r>
      <w:proofErr w:type="spellEnd"/>
      <w:r w:rsidRPr="00317068">
        <w:t xml:space="preserve"> </w:t>
      </w:r>
      <w:proofErr w:type="spellStart"/>
      <w:r w:rsidRPr="00317068">
        <w:t>and</w:t>
      </w:r>
      <w:proofErr w:type="spellEnd"/>
      <w:r w:rsidRPr="00317068">
        <w:t xml:space="preserve"> Tolstoy on </w:t>
      </w:r>
      <w:proofErr w:type="spellStart"/>
      <w:r w:rsidRPr="00317068">
        <w:t>war</w:t>
      </w:r>
      <w:proofErr w:type="spellEnd"/>
      <w:r w:rsidRPr="00317068">
        <w:t xml:space="preserve"> </w:t>
      </w:r>
      <w:proofErr w:type="spellStart"/>
      <w:r w:rsidRPr="00317068">
        <w:t>and</w:t>
      </w:r>
      <w:proofErr w:type="spellEnd"/>
      <w:r w:rsidRPr="00317068">
        <w:t xml:space="preserve"> </w:t>
      </w:r>
      <w:proofErr w:type="spellStart"/>
      <w:r w:rsidRPr="00317068">
        <w:t>peace</w:t>
      </w:r>
      <w:proofErr w:type="spellEnd"/>
      <w:r w:rsidRPr="00317068">
        <w:t xml:space="preserve">. </w:t>
      </w:r>
      <w:proofErr w:type="spellStart"/>
      <w:r w:rsidRPr="00791DCE">
        <w:rPr>
          <w:i/>
        </w:rPr>
        <w:t>Peace</w:t>
      </w:r>
      <w:proofErr w:type="spellEnd"/>
      <w:r w:rsidRPr="00791DCE">
        <w:rPr>
          <w:i/>
        </w:rPr>
        <w:t xml:space="preserve"> </w:t>
      </w:r>
      <w:proofErr w:type="spellStart"/>
      <w:r w:rsidRPr="00791DCE">
        <w:rPr>
          <w:i/>
        </w:rPr>
        <w:t>Research</w:t>
      </w:r>
      <w:proofErr w:type="spellEnd"/>
      <w:r w:rsidRPr="00317068">
        <w:t>, 14(1), 33-35</w:t>
      </w:r>
    </w:p>
    <w:p w14:paraId="35116714" w14:textId="5FD6B0DB" w:rsidR="00FA457D" w:rsidRPr="00317068" w:rsidRDefault="00FA457D">
      <w:pPr>
        <w:pStyle w:val="DipnotMetni"/>
        <w:numPr>
          <w:ilvl w:val="0"/>
          <w:numId w:val="63"/>
        </w:numPr>
        <w:jc w:val="both"/>
        <w:rPr>
          <w:rFonts w:ascii="Times New Roman" w:hAnsi="Times New Roman" w:cs="Times New Roman"/>
          <w:sz w:val="24"/>
          <w:szCs w:val="24"/>
        </w:rPr>
      </w:pPr>
      <w:r w:rsidRPr="00317068">
        <w:rPr>
          <w:rFonts w:ascii="Times New Roman" w:hAnsi="Times New Roman" w:cs="Times New Roman"/>
          <w:sz w:val="24"/>
          <w:szCs w:val="24"/>
        </w:rPr>
        <w:t xml:space="preserve">Nietzsche, F. (2000). </w:t>
      </w:r>
      <w:r w:rsidRPr="00317068">
        <w:rPr>
          <w:rFonts w:ascii="Times New Roman" w:hAnsi="Times New Roman" w:cs="Times New Roman"/>
          <w:i/>
          <w:sz w:val="24"/>
          <w:szCs w:val="24"/>
        </w:rPr>
        <w:t>Putların Alacakaranlığı</w:t>
      </w:r>
      <w:r w:rsidRPr="00317068">
        <w:rPr>
          <w:rFonts w:ascii="Times New Roman" w:hAnsi="Times New Roman" w:cs="Times New Roman"/>
          <w:sz w:val="24"/>
          <w:szCs w:val="24"/>
        </w:rPr>
        <w:t>. (H. Kaytan, Çev.). İstanbul: Tüm Zamanlar Yayınları.</w:t>
      </w:r>
    </w:p>
    <w:p w14:paraId="77AC2F6C" w14:textId="77777777" w:rsidR="00FA457D" w:rsidRPr="00317068" w:rsidRDefault="00FA457D">
      <w:pPr>
        <w:pStyle w:val="Default"/>
        <w:numPr>
          <w:ilvl w:val="0"/>
          <w:numId w:val="63"/>
        </w:numPr>
        <w:jc w:val="both"/>
      </w:pPr>
      <w:r w:rsidRPr="00317068">
        <w:t xml:space="preserve">Özcan, T. (2000). Romanda sosyal ortam. </w:t>
      </w:r>
      <w:r w:rsidRPr="00317068">
        <w:rPr>
          <w:i/>
        </w:rPr>
        <w:t>Fırat Üniversitesi Sosyal Bilimler Dergisi</w:t>
      </w:r>
      <w:r w:rsidRPr="00317068">
        <w:t>, 10(2), 99-110.</w:t>
      </w:r>
    </w:p>
    <w:p w14:paraId="23A4352D" w14:textId="4A4BA643" w:rsidR="00FA457D" w:rsidRPr="00791DCE" w:rsidRDefault="00FA457D">
      <w:pPr>
        <w:pStyle w:val="ListeParagraf"/>
        <w:numPr>
          <w:ilvl w:val="0"/>
          <w:numId w:val="63"/>
        </w:numPr>
        <w:adjustRightInd w:val="0"/>
        <w:jc w:val="both"/>
        <w:rPr>
          <w:i/>
          <w:iCs/>
        </w:rPr>
      </w:pPr>
      <w:r w:rsidRPr="00317068">
        <w:t xml:space="preserve">Özyurt, C. (2015). Marks’ta yanılsama ve ideoloji olarak din. </w:t>
      </w:r>
      <w:r w:rsidRPr="00791DCE">
        <w:rPr>
          <w:i/>
        </w:rPr>
        <w:t>Hitit Üniversitesi Sosyal Bilimler Enstitüsü Dergisi</w:t>
      </w:r>
      <w:r w:rsidRPr="00317068">
        <w:t>, 7(2), 207-240.</w:t>
      </w:r>
    </w:p>
    <w:p w14:paraId="6D98CB66" w14:textId="533636F9" w:rsidR="00FA457D" w:rsidRPr="00317068"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Pappas</w:t>
      </w:r>
      <w:proofErr w:type="spellEnd"/>
      <w:r w:rsidRPr="00317068">
        <w:rPr>
          <w:rFonts w:ascii="Times New Roman" w:hAnsi="Times New Roman" w:cs="Times New Roman"/>
          <w:sz w:val="24"/>
          <w:szCs w:val="24"/>
        </w:rPr>
        <w:t xml:space="preserve">, N. (1995). </w:t>
      </w:r>
      <w:r w:rsidRPr="00317068">
        <w:rPr>
          <w:rFonts w:ascii="Times New Roman" w:hAnsi="Times New Roman" w:cs="Times New Roman"/>
          <w:i/>
          <w:sz w:val="24"/>
          <w:szCs w:val="24"/>
        </w:rPr>
        <w:t xml:space="preserve">Plato </w:t>
      </w:r>
      <w:proofErr w:type="spellStart"/>
      <w:r w:rsidRPr="00317068">
        <w:rPr>
          <w:rFonts w:ascii="Times New Roman" w:hAnsi="Times New Roman" w:cs="Times New Roman"/>
          <w:i/>
          <w:sz w:val="24"/>
          <w:szCs w:val="24"/>
        </w:rPr>
        <w:t>and</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the</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republic</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London</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Routledge</w:t>
      </w:r>
      <w:proofErr w:type="spellEnd"/>
      <w:r w:rsidRPr="00317068">
        <w:rPr>
          <w:rFonts w:ascii="Times New Roman" w:hAnsi="Times New Roman" w:cs="Times New Roman"/>
          <w:sz w:val="24"/>
          <w:szCs w:val="24"/>
        </w:rPr>
        <w:t>.</w:t>
      </w:r>
    </w:p>
    <w:p w14:paraId="19BFEFE8" w14:textId="61E7D81B" w:rsidR="00FA457D" w:rsidRPr="00317068" w:rsidRDefault="00FA457D">
      <w:pPr>
        <w:pStyle w:val="ListeParagraf"/>
        <w:numPr>
          <w:ilvl w:val="0"/>
          <w:numId w:val="63"/>
        </w:numPr>
        <w:jc w:val="both"/>
      </w:pPr>
      <w:proofErr w:type="spellStart"/>
      <w:r w:rsidRPr="00317068">
        <w:t>Spang</w:t>
      </w:r>
      <w:proofErr w:type="spellEnd"/>
      <w:r w:rsidRPr="00317068">
        <w:t xml:space="preserve">, R. L. (2003). </w:t>
      </w:r>
      <w:proofErr w:type="spellStart"/>
      <w:r w:rsidRPr="00317068">
        <w:t>Paradigms</w:t>
      </w:r>
      <w:proofErr w:type="spellEnd"/>
      <w:r w:rsidRPr="00317068">
        <w:t xml:space="preserve"> </w:t>
      </w:r>
      <w:proofErr w:type="spellStart"/>
      <w:r w:rsidRPr="00317068">
        <w:t>and</w:t>
      </w:r>
      <w:proofErr w:type="spellEnd"/>
      <w:r w:rsidRPr="00317068">
        <w:t xml:space="preserve"> </w:t>
      </w:r>
      <w:proofErr w:type="spellStart"/>
      <w:r w:rsidRPr="00317068">
        <w:t>paranoia</w:t>
      </w:r>
      <w:proofErr w:type="spellEnd"/>
      <w:r w:rsidRPr="00317068">
        <w:t xml:space="preserve">: how modern ıs </w:t>
      </w:r>
      <w:proofErr w:type="spellStart"/>
      <w:r w:rsidRPr="00317068">
        <w:t>the</w:t>
      </w:r>
      <w:proofErr w:type="spellEnd"/>
      <w:r w:rsidRPr="00317068">
        <w:t xml:space="preserve"> French </w:t>
      </w:r>
      <w:proofErr w:type="spellStart"/>
      <w:proofErr w:type="gramStart"/>
      <w:r w:rsidRPr="00317068">
        <w:t>Revolution</w:t>
      </w:r>
      <w:proofErr w:type="spellEnd"/>
      <w:r w:rsidRPr="00317068">
        <w:t>?.</w:t>
      </w:r>
      <w:proofErr w:type="gramEnd"/>
      <w:r w:rsidRPr="00317068">
        <w:t xml:space="preserve"> </w:t>
      </w:r>
      <w:proofErr w:type="spellStart"/>
      <w:r w:rsidRPr="00791DCE">
        <w:rPr>
          <w:i/>
        </w:rPr>
        <w:t>The</w:t>
      </w:r>
      <w:proofErr w:type="spellEnd"/>
      <w:r w:rsidRPr="00791DCE">
        <w:rPr>
          <w:i/>
        </w:rPr>
        <w:t xml:space="preserve"> </w:t>
      </w:r>
      <w:proofErr w:type="spellStart"/>
      <w:r w:rsidRPr="00791DCE">
        <w:rPr>
          <w:i/>
        </w:rPr>
        <w:t>American</w:t>
      </w:r>
      <w:proofErr w:type="spellEnd"/>
      <w:r w:rsidRPr="00791DCE">
        <w:rPr>
          <w:i/>
        </w:rPr>
        <w:t xml:space="preserve"> </w:t>
      </w:r>
      <w:proofErr w:type="spellStart"/>
      <w:r w:rsidRPr="00791DCE">
        <w:rPr>
          <w:i/>
        </w:rPr>
        <w:t>Historical</w:t>
      </w:r>
      <w:proofErr w:type="spellEnd"/>
      <w:r w:rsidRPr="00791DCE">
        <w:rPr>
          <w:i/>
        </w:rPr>
        <w:t xml:space="preserve"> </w:t>
      </w:r>
      <w:proofErr w:type="spellStart"/>
      <w:r w:rsidRPr="00791DCE">
        <w:rPr>
          <w:i/>
        </w:rPr>
        <w:t>Review</w:t>
      </w:r>
      <w:proofErr w:type="spellEnd"/>
      <w:r w:rsidRPr="00317068">
        <w:t>, 108(1), 119-147.</w:t>
      </w:r>
    </w:p>
    <w:p w14:paraId="736367D4" w14:textId="165A61FF" w:rsidR="00FA457D" w:rsidRPr="00317068" w:rsidRDefault="00FA457D">
      <w:pPr>
        <w:pStyle w:val="ListeParagraf"/>
        <w:numPr>
          <w:ilvl w:val="0"/>
          <w:numId w:val="63"/>
        </w:numPr>
        <w:jc w:val="both"/>
      </w:pPr>
      <w:r w:rsidRPr="00317068">
        <w:t xml:space="preserve">Tekin, S., Sipahi B. E. (2013). Kent, yönetim, din, siyaset ve düşünce bağlamında orta çağ Avrupa’sına ilişkin genel bir değerlendirme. </w:t>
      </w:r>
      <w:r w:rsidRPr="00791DCE">
        <w:rPr>
          <w:i/>
        </w:rPr>
        <w:t>Tarih Okulu Dergisi (TOD)</w:t>
      </w:r>
      <w:r w:rsidRPr="00317068">
        <w:t>,</w:t>
      </w:r>
      <w:r w:rsidRPr="00791DCE">
        <w:rPr>
          <w:i/>
        </w:rPr>
        <w:t xml:space="preserve"> </w:t>
      </w:r>
      <w:r w:rsidRPr="00317068">
        <w:t>7(XVII), 189-219.</w:t>
      </w:r>
    </w:p>
    <w:p w14:paraId="479313F8" w14:textId="2666D59B" w:rsidR="00D37D80" w:rsidRDefault="00FA457D">
      <w:pPr>
        <w:pStyle w:val="DipnotMetni"/>
        <w:numPr>
          <w:ilvl w:val="0"/>
          <w:numId w:val="63"/>
        </w:numPr>
        <w:jc w:val="both"/>
        <w:rPr>
          <w:rFonts w:ascii="Times New Roman" w:hAnsi="Times New Roman" w:cs="Times New Roman"/>
          <w:sz w:val="24"/>
          <w:szCs w:val="24"/>
        </w:rPr>
      </w:pPr>
      <w:proofErr w:type="spellStart"/>
      <w:r w:rsidRPr="00317068">
        <w:rPr>
          <w:rFonts w:ascii="Times New Roman" w:hAnsi="Times New Roman" w:cs="Times New Roman"/>
          <w:sz w:val="24"/>
          <w:szCs w:val="24"/>
        </w:rPr>
        <w:t>Wolff</w:t>
      </w:r>
      <w:proofErr w:type="spellEnd"/>
      <w:r w:rsidRPr="00317068">
        <w:rPr>
          <w:rFonts w:ascii="Times New Roman" w:hAnsi="Times New Roman" w:cs="Times New Roman"/>
          <w:sz w:val="24"/>
          <w:szCs w:val="24"/>
        </w:rPr>
        <w:t xml:space="preserve">, J. (2002). </w:t>
      </w:r>
      <w:proofErr w:type="spellStart"/>
      <w:r w:rsidRPr="00317068">
        <w:rPr>
          <w:rFonts w:ascii="Times New Roman" w:hAnsi="Times New Roman" w:cs="Times New Roman"/>
          <w:i/>
          <w:sz w:val="24"/>
          <w:szCs w:val="24"/>
        </w:rPr>
        <w:t>Why</w:t>
      </w:r>
      <w:proofErr w:type="spellEnd"/>
      <w:r w:rsidRPr="00317068">
        <w:rPr>
          <w:rFonts w:ascii="Times New Roman" w:hAnsi="Times New Roman" w:cs="Times New Roman"/>
          <w:i/>
          <w:sz w:val="24"/>
          <w:szCs w:val="24"/>
        </w:rPr>
        <w:t xml:space="preserve"> </w:t>
      </w:r>
      <w:proofErr w:type="spellStart"/>
      <w:r w:rsidRPr="00317068">
        <w:rPr>
          <w:rFonts w:ascii="Times New Roman" w:hAnsi="Times New Roman" w:cs="Times New Roman"/>
          <w:i/>
          <w:sz w:val="24"/>
          <w:szCs w:val="24"/>
        </w:rPr>
        <w:t>read</w:t>
      </w:r>
      <w:proofErr w:type="spellEnd"/>
      <w:r w:rsidRPr="00317068">
        <w:rPr>
          <w:rFonts w:ascii="Times New Roman" w:hAnsi="Times New Roman" w:cs="Times New Roman"/>
          <w:i/>
          <w:sz w:val="24"/>
          <w:szCs w:val="24"/>
        </w:rPr>
        <w:t xml:space="preserve"> Marx </w:t>
      </w:r>
      <w:proofErr w:type="spellStart"/>
      <w:proofErr w:type="gramStart"/>
      <w:r w:rsidRPr="00317068">
        <w:rPr>
          <w:rFonts w:ascii="Times New Roman" w:hAnsi="Times New Roman" w:cs="Times New Roman"/>
          <w:i/>
          <w:sz w:val="24"/>
          <w:szCs w:val="24"/>
        </w:rPr>
        <w:t>today</w:t>
      </w:r>
      <w:proofErr w:type="spellEnd"/>
      <w:r w:rsidRPr="00317068">
        <w:rPr>
          <w:rFonts w:ascii="Times New Roman" w:hAnsi="Times New Roman" w:cs="Times New Roman"/>
          <w:i/>
          <w:sz w:val="24"/>
          <w:szCs w:val="24"/>
        </w:rPr>
        <w:t>?</w:t>
      </w:r>
      <w:r w:rsidRPr="00317068">
        <w:rPr>
          <w:rFonts w:ascii="Times New Roman" w:hAnsi="Times New Roman" w:cs="Times New Roman"/>
          <w:sz w:val="24"/>
          <w:szCs w:val="24"/>
        </w:rPr>
        <w:t>.</w:t>
      </w:r>
      <w:proofErr w:type="gramEnd"/>
      <w:r w:rsidRPr="00317068">
        <w:rPr>
          <w:rFonts w:ascii="Times New Roman" w:hAnsi="Times New Roman" w:cs="Times New Roman"/>
          <w:sz w:val="24"/>
          <w:szCs w:val="24"/>
        </w:rPr>
        <w:t xml:space="preserve"> New York: Oxford </w:t>
      </w:r>
      <w:proofErr w:type="spellStart"/>
      <w:r w:rsidRPr="00317068">
        <w:rPr>
          <w:rFonts w:ascii="Times New Roman" w:hAnsi="Times New Roman" w:cs="Times New Roman"/>
          <w:sz w:val="24"/>
          <w:szCs w:val="24"/>
        </w:rPr>
        <w:t>University</w:t>
      </w:r>
      <w:proofErr w:type="spellEnd"/>
      <w:r w:rsidRPr="00317068">
        <w:rPr>
          <w:rFonts w:ascii="Times New Roman" w:hAnsi="Times New Roman" w:cs="Times New Roman"/>
          <w:sz w:val="24"/>
          <w:szCs w:val="24"/>
        </w:rPr>
        <w:t xml:space="preserve"> </w:t>
      </w:r>
      <w:proofErr w:type="spellStart"/>
      <w:r w:rsidRPr="00317068">
        <w:rPr>
          <w:rFonts w:ascii="Times New Roman" w:hAnsi="Times New Roman" w:cs="Times New Roman"/>
          <w:sz w:val="24"/>
          <w:szCs w:val="24"/>
        </w:rPr>
        <w:t>Press</w:t>
      </w:r>
      <w:proofErr w:type="spellEnd"/>
      <w:r w:rsidRPr="00317068">
        <w:rPr>
          <w:rFonts w:ascii="Times New Roman" w:hAnsi="Times New Roman" w:cs="Times New Roman"/>
          <w:sz w:val="24"/>
          <w:szCs w:val="24"/>
        </w:rPr>
        <w:t>.</w:t>
      </w:r>
    </w:p>
    <w:p w14:paraId="7071F6EB" w14:textId="73CED60A" w:rsidR="00FA457D" w:rsidRPr="00D37D80" w:rsidRDefault="00D37D80" w:rsidP="00D37D80">
      <w:pPr>
        <w:autoSpaceDE/>
        <w:autoSpaceDN/>
      </w:pPr>
      <w:r>
        <w:br w:type="page"/>
      </w:r>
    </w:p>
    <w:p w14:paraId="5F1A8FCD" w14:textId="77777777" w:rsidR="00FA457D" w:rsidRPr="00B1089D" w:rsidRDefault="00FA457D" w:rsidP="004C7694">
      <w:pPr>
        <w:pStyle w:val="Tark"/>
      </w:pPr>
      <w:bookmarkStart w:id="264" w:name="_Toc192855284"/>
      <w:r w:rsidRPr="00B1089D">
        <w:lastRenderedPageBreak/>
        <w:t>Birleşmiş Milletler Uzmanlık Kuruluşlarının</w:t>
      </w:r>
      <w:r w:rsidRPr="00D10870">
        <w:t xml:space="preserve"> </w:t>
      </w:r>
      <w:r w:rsidRPr="00B1089D">
        <w:t>Ayrıcalık ve Bağışıklıkları</w:t>
      </w:r>
      <w:bookmarkEnd w:id="264"/>
    </w:p>
    <w:p w14:paraId="190BA42F" w14:textId="77777777" w:rsidR="00FA457D" w:rsidRPr="00B1089D" w:rsidRDefault="00FA457D" w:rsidP="00FA457D">
      <w:pPr>
        <w:widowControl/>
        <w:jc w:val="center"/>
      </w:pPr>
    </w:p>
    <w:p w14:paraId="6EA66A73" w14:textId="77777777" w:rsidR="00FA457D" w:rsidRPr="00B1089D" w:rsidRDefault="00FA457D" w:rsidP="00FA457D">
      <w:pPr>
        <w:widowControl/>
        <w:jc w:val="center"/>
      </w:pPr>
      <w:r w:rsidRPr="00B1089D">
        <w:t xml:space="preserve">Neslihan </w:t>
      </w:r>
      <w:proofErr w:type="spellStart"/>
      <w:r w:rsidRPr="00B1089D">
        <w:t>Özkerim</w:t>
      </w:r>
      <w:proofErr w:type="spellEnd"/>
      <w:r w:rsidRPr="00B1089D">
        <w:t xml:space="preserve"> Güner</w:t>
      </w:r>
    </w:p>
    <w:p w14:paraId="014EB3A5" w14:textId="77777777" w:rsidR="00FA457D" w:rsidRPr="00B1089D" w:rsidRDefault="00FA457D" w:rsidP="00FA457D">
      <w:pPr>
        <w:widowControl/>
        <w:jc w:val="center"/>
      </w:pPr>
      <w:r w:rsidRPr="00B1089D">
        <w:t>Dr. Öğr. Üyesi, Çankırı Karatekin Üniversitesi Hukuk Fakültesi</w:t>
      </w:r>
    </w:p>
    <w:p w14:paraId="434E69C7" w14:textId="77777777" w:rsidR="00FA457D" w:rsidRPr="00B1089D" w:rsidRDefault="00FA457D" w:rsidP="00FA457D">
      <w:pPr>
        <w:widowControl/>
        <w:jc w:val="center"/>
      </w:pPr>
      <w:r w:rsidRPr="00B1089D">
        <w:t>Milletlerarası Hukuk Anabilim Dalı,</w:t>
      </w:r>
    </w:p>
    <w:p w14:paraId="323CD0E9" w14:textId="77777777" w:rsidR="00FA457D" w:rsidRPr="00B1089D" w:rsidRDefault="00FA457D" w:rsidP="00FA457D">
      <w:pPr>
        <w:widowControl/>
        <w:jc w:val="center"/>
      </w:pPr>
      <w:r w:rsidRPr="00B1089D">
        <w:t>av.neslihanozkerim@windowslive.com</w:t>
      </w:r>
    </w:p>
    <w:p w14:paraId="622742E0" w14:textId="77777777" w:rsidR="00FA457D" w:rsidRPr="00D10870" w:rsidRDefault="00FA457D" w:rsidP="00FA457D">
      <w:pPr>
        <w:widowControl/>
        <w:jc w:val="center"/>
      </w:pPr>
      <w:proofErr w:type="spellStart"/>
      <w:r w:rsidRPr="00B1089D">
        <w:t>Orcid</w:t>
      </w:r>
      <w:proofErr w:type="spellEnd"/>
      <w:proofErr w:type="gramStart"/>
      <w:r w:rsidRPr="00B1089D">
        <w:t>: :</w:t>
      </w:r>
      <w:proofErr w:type="gramEnd"/>
      <w:r w:rsidRPr="00B1089D">
        <w:t xml:space="preserve"> 0000-0001-8130-9461</w:t>
      </w:r>
    </w:p>
    <w:p w14:paraId="173D691D" w14:textId="77777777" w:rsidR="00FA457D" w:rsidRPr="00D10870" w:rsidRDefault="00FA457D" w:rsidP="00FA457D">
      <w:pPr>
        <w:widowControl/>
        <w:jc w:val="center"/>
      </w:pPr>
    </w:p>
    <w:p w14:paraId="29F639EE" w14:textId="77777777" w:rsidR="00FA457D" w:rsidRPr="00B1089D" w:rsidRDefault="00FA457D" w:rsidP="00FA457D">
      <w:pPr>
        <w:widowControl/>
        <w:jc w:val="center"/>
        <w:rPr>
          <w:b/>
          <w:bCs/>
        </w:rPr>
      </w:pPr>
      <w:r w:rsidRPr="00D10870">
        <w:rPr>
          <w:b/>
          <w:bCs/>
        </w:rPr>
        <w:t>Özet</w:t>
      </w:r>
    </w:p>
    <w:p w14:paraId="6619225F" w14:textId="77777777" w:rsidR="00FA457D" w:rsidRPr="00B1089D" w:rsidRDefault="00FA457D" w:rsidP="00791DCE">
      <w:pPr>
        <w:widowControl/>
        <w:jc w:val="both"/>
      </w:pPr>
      <w:r w:rsidRPr="00B1089D">
        <w:t>Birleşmiş Milletlerin uzmanlık kuruluşları BM Şartının 57. maddesinde düzenlenmiştir. Buna</w:t>
      </w:r>
    </w:p>
    <w:p w14:paraId="667DC54B" w14:textId="19FDB97F" w:rsidR="00FA457D" w:rsidRDefault="00FA457D" w:rsidP="00791DCE">
      <w:pPr>
        <w:widowControl/>
        <w:jc w:val="both"/>
      </w:pPr>
      <w:proofErr w:type="gramStart"/>
      <w:r w:rsidRPr="00B1089D">
        <w:t>göre</w:t>
      </w:r>
      <w:proofErr w:type="gramEnd"/>
      <w:r w:rsidRPr="00B1089D">
        <w:t xml:space="preserve"> uzmanlık kuruluşları 63. madde uyarınca ECOSOC ile yapılan bir anlaşmanın Genel</w:t>
      </w:r>
      <w:r w:rsidR="00791DCE">
        <w:t xml:space="preserve"> </w:t>
      </w:r>
      <w:r w:rsidRPr="00B1089D">
        <w:t>Kurul tarafından onaylanması neticesinde BM’ye bağlanır. BM’nin on beş uzmanlık kuruluşu</w:t>
      </w:r>
      <w:r w:rsidR="00791DCE">
        <w:t xml:space="preserve"> </w:t>
      </w:r>
      <w:r w:rsidRPr="00B1089D">
        <w:t>bulunmaktadır. Uzmanlık kuruluşları uluslararası hukuk kişiliğine sahiptir ve evrensel olarak</w:t>
      </w:r>
      <w:r w:rsidR="00791DCE">
        <w:t xml:space="preserve"> </w:t>
      </w:r>
      <w:r w:rsidRPr="00B1089D">
        <w:t>faaliyet gösterirler. Uzmanlık kuruluşlarının işlevlerini yerine getirebilmeleri için diplomatik</w:t>
      </w:r>
      <w:r w:rsidR="00791DCE">
        <w:t xml:space="preserve"> </w:t>
      </w:r>
      <w:r w:rsidRPr="00B1089D">
        <w:t>ayrıcalık ve bağışıklıklardan yararlanmaları gerekir. Diplomasi hukuku, uluslararası hukukun</w:t>
      </w:r>
      <w:r w:rsidR="00791DCE">
        <w:t xml:space="preserve"> </w:t>
      </w:r>
      <w:r w:rsidRPr="00B1089D">
        <w:t xml:space="preserve">en eski kurumlarından biridir ve buna ilişkin kurallar, örf ve </w:t>
      </w:r>
      <w:proofErr w:type="gramStart"/>
      <w:r w:rsidRPr="00B1089D">
        <w:t>adet</w:t>
      </w:r>
      <w:proofErr w:type="gramEnd"/>
      <w:r w:rsidRPr="00B1089D">
        <w:t xml:space="preserve"> hukuku kurallarıdır. Bu</w:t>
      </w:r>
      <w:r w:rsidR="00791DCE">
        <w:t xml:space="preserve"> </w:t>
      </w:r>
      <w:r w:rsidRPr="00B1089D">
        <w:t>kurallar 1961 Diplomatik İlişkiler Hakkında Viyana Sözleşmesi ile kodifiye edilmiştir. 20.</w:t>
      </w:r>
      <w:r w:rsidR="00791DCE">
        <w:t xml:space="preserve"> </w:t>
      </w:r>
      <w:proofErr w:type="spellStart"/>
      <w:r w:rsidRPr="00B1089D">
        <w:t>yy’da</w:t>
      </w:r>
      <w:proofErr w:type="spellEnd"/>
      <w:r w:rsidRPr="00B1089D">
        <w:t xml:space="preserve"> uluslararası örgütlerin de uluslararası hukuk kişiliğinin kabulü neticesinde bunların da</w:t>
      </w:r>
      <w:r w:rsidR="00791DCE">
        <w:t xml:space="preserve"> </w:t>
      </w:r>
      <w:r w:rsidRPr="00B1089D">
        <w:t xml:space="preserve">diplomatik ayrıcalık ve bağışıklıklardan yararlanması gerektiği görüşü </w:t>
      </w:r>
      <w:proofErr w:type="gramStart"/>
      <w:r w:rsidRPr="00B1089D">
        <w:t>hakim</w:t>
      </w:r>
      <w:proofErr w:type="gramEnd"/>
      <w:r w:rsidRPr="00B1089D">
        <w:t xml:space="preserve"> olmuştur.</w:t>
      </w:r>
      <w:r w:rsidR="00791DCE">
        <w:t xml:space="preserve"> </w:t>
      </w:r>
      <w:r w:rsidRPr="00B1089D">
        <w:t>Fonksiyonel gereklilik teorisine dayanan uluslararası örgütlerin ayrıcalık ve bağışıklıkları ilk</w:t>
      </w:r>
      <w:r w:rsidR="00791DCE">
        <w:t xml:space="preserve"> </w:t>
      </w:r>
      <w:r w:rsidRPr="00B1089D">
        <w:t>olarak devletlerin iç hukuklarında düzenlenmiştir. Uluslararası örgütlerin diplomatik ayrıcalık</w:t>
      </w:r>
      <w:r w:rsidR="00791DCE">
        <w:t xml:space="preserve"> </w:t>
      </w:r>
      <w:r w:rsidRPr="00B1089D">
        <w:t>ve bağışıklıklarındaki ilişki devletlerinkinden farklıdır. Devletlerin diplomatik ayrıcalık ve</w:t>
      </w:r>
      <w:r w:rsidR="00791DCE">
        <w:t xml:space="preserve"> </w:t>
      </w:r>
      <w:r w:rsidRPr="00B1089D">
        <w:t>bağışıklıkları egemen eşit kişiler arasındaki karşılıklılık ilişkisine dayanır. Uluslararası</w:t>
      </w:r>
      <w:r w:rsidR="00791DCE">
        <w:t xml:space="preserve"> </w:t>
      </w:r>
      <w:r w:rsidRPr="00B1089D">
        <w:t>örgütlerin ise ülkesi yoktur ve personeli ile olan ilişkisi vatandaşlık bağına dayanmamaktadır.</w:t>
      </w:r>
      <w:r w:rsidR="00791DCE">
        <w:t xml:space="preserve"> </w:t>
      </w:r>
      <w:r w:rsidRPr="00B1089D">
        <w:t>Ancak hem örgütün hem de örgüt personelinin faaliyet gösterdiği devlete karşı korunması</w:t>
      </w:r>
      <w:r w:rsidR="00791DCE">
        <w:t xml:space="preserve"> </w:t>
      </w:r>
      <w:r w:rsidRPr="00B1089D">
        <w:t>gerektiği kabul edildiğinden bu husus uluslararası anlamda düzenlenmiştir. BM uzmanlık</w:t>
      </w:r>
      <w:r w:rsidR="00791DCE">
        <w:t xml:space="preserve"> </w:t>
      </w:r>
      <w:r w:rsidRPr="00B1089D">
        <w:t>kuruluşlarının diplomatik ayrıcalık ve bağışıklıkları, 1946 Birleşmiş Milletlerin Ayrıcalık ve</w:t>
      </w:r>
      <w:r w:rsidR="00791DCE">
        <w:t xml:space="preserve"> </w:t>
      </w:r>
      <w:r w:rsidRPr="00B1089D">
        <w:t>Bağışıklıklarına Dair Sözleşme ve buna dayanılarak hazırlanan ve kabul edilen 1947 BM</w:t>
      </w:r>
      <w:r w:rsidR="00791DCE">
        <w:t xml:space="preserve"> </w:t>
      </w:r>
      <w:r w:rsidRPr="00B1089D">
        <w:t xml:space="preserve">Uzmanlık Kuruluşlarının Ayrıcalık ve Bağışıklıklarına Dair </w:t>
      </w:r>
      <w:proofErr w:type="spellStart"/>
      <w:r w:rsidRPr="00B1089D">
        <w:t>Sözleşme’de</w:t>
      </w:r>
      <w:proofErr w:type="spellEnd"/>
      <w:r w:rsidRPr="00B1089D">
        <w:t xml:space="preserve"> düzenlenmiştir.</w:t>
      </w:r>
      <w:r w:rsidR="00791DCE">
        <w:t xml:space="preserve"> </w:t>
      </w:r>
      <w:r w:rsidRPr="00B1089D">
        <w:t>Ayrıca her uluslararası örgüt ev sahibi devletle anlaşma yapabilir ve bu hususta özel</w:t>
      </w:r>
      <w:r w:rsidR="00791DCE">
        <w:t xml:space="preserve"> </w:t>
      </w:r>
      <w:r w:rsidRPr="00B1089D">
        <w:t>düzenlemeler getirilebilir. Sunumda BM uzmanlık kuruluşlarının hukuk kişiliği, diplomatik</w:t>
      </w:r>
      <w:r w:rsidR="00791DCE">
        <w:t xml:space="preserve"> </w:t>
      </w:r>
      <w:r w:rsidRPr="00B1089D">
        <w:t>ayrıcalık ve bağışıklıkları, bu hususa ilişkin uluslararası ve yerel mahkeme kararları ile bahsi</w:t>
      </w:r>
      <w:r w:rsidR="00791DCE">
        <w:t xml:space="preserve"> </w:t>
      </w:r>
      <w:r w:rsidRPr="00B1089D">
        <w:t>geçen 1947 tarihli Sözleşme’nin içeriği ve düzenleme alanları aktarılacaktır. BM uzmanlık</w:t>
      </w:r>
      <w:r w:rsidR="00791DCE">
        <w:t xml:space="preserve"> </w:t>
      </w:r>
      <w:r w:rsidRPr="00B1089D">
        <w:t>kuruluşlarının ayrıcalık ve bağışıklıkları hususunda çok fazla çalışma yapılmamış olması</w:t>
      </w:r>
      <w:r w:rsidR="00791DCE">
        <w:t xml:space="preserve"> </w:t>
      </w:r>
      <w:r w:rsidRPr="00B1089D">
        <w:t>nedeniyle sunumun literatüre katkı sağlayacağı düşünülmektedir.</w:t>
      </w:r>
    </w:p>
    <w:p w14:paraId="5A5AF4A1" w14:textId="77777777" w:rsidR="00791DCE" w:rsidRPr="00B1089D" w:rsidRDefault="00791DCE" w:rsidP="00791DCE">
      <w:pPr>
        <w:widowControl/>
        <w:jc w:val="both"/>
      </w:pPr>
    </w:p>
    <w:p w14:paraId="0206B4D4" w14:textId="0202C37F" w:rsidR="00D37D80" w:rsidRDefault="00FA457D" w:rsidP="00791DCE">
      <w:pPr>
        <w:widowControl/>
        <w:jc w:val="both"/>
      </w:pPr>
      <w:r w:rsidRPr="00B1089D">
        <w:rPr>
          <w:b/>
          <w:bCs/>
        </w:rPr>
        <w:t xml:space="preserve">Anahtar </w:t>
      </w:r>
      <w:r w:rsidRPr="00D10870">
        <w:rPr>
          <w:b/>
          <w:bCs/>
        </w:rPr>
        <w:t>Kelimeler</w:t>
      </w:r>
      <w:r w:rsidRPr="00B1089D">
        <w:rPr>
          <w:b/>
          <w:bCs/>
        </w:rPr>
        <w:t>:</w:t>
      </w:r>
      <w:r w:rsidRPr="00B1089D">
        <w:t xml:space="preserve"> BM Uzmanlık kuruluşları, diplomatik ayrıcalık ve bağışıklık, </w:t>
      </w:r>
      <w:r w:rsidRPr="00D10870">
        <w:t>fonksiyonel gereklilik</w:t>
      </w:r>
      <w:r w:rsidRPr="00B1089D">
        <w:t xml:space="preserve"> teorisi</w:t>
      </w:r>
    </w:p>
    <w:p w14:paraId="29DC9B73" w14:textId="1747CE9A" w:rsidR="000C6508" w:rsidRPr="00D37D80" w:rsidRDefault="00D37D80" w:rsidP="00D37D80">
      <w:pPr>
        <w:autoSpaceDE/>
        <w:autoSpaceDN/>
      </w:pPr>
      <w:r>
        <w:br w:type="page"/>
      </w:r>
    </w:p>
    <w:p w14:paraId="6853158F" w14:textId="2AC53D37" w:rsidR="00FA457D" w:rsidRPr="00B1089D" w:rsidRDefault="008A662B" w:rsidP="004C7694">
      <w:pPr>
        <w:pStyle w:val="Tark"/>
      </w:pPr>
      <w:bookmarkStart w:id="265" w:name="_Toc192855285"/>
      <w:r w:rsidRPr="00B1089D">
        <w:lastRenderedPageBreak/>
        <w:t xml:space="preserve">Sosyolojik Açıdan Toplumsal Cinsiyet </w:t>
      </w:r>
      <w:proofErr w:type="gramStart"/>
      <w:r w:rsidRPr="00B1089D">
        <w:t>Ve</w:t>
      </w:r>
      <w:proofErr w:type="gramEnd"/>
      <w:r w:rsidRPr="00B1089D">
        <w:t xml:space="preserve"> Sağlık-Hastalık İlişkisi</w:t>
      </w:r>
      <w:bookmarkEnd w:id="265"/>
    </w:p>
    <w:p w14:paraId="566F0D81" w14:textId="61CAAEDB" w:rsidR="00FA457D" w:rsidRPr="00B1089D" w:rsidRDefault="004A1BC9" w:rsidP="00FA457D">
      <w:pPr>
        <w:widowControl/>
        <w:jc w:val="center"/>
      </w:pPr>
      <w:r w:rsidRPr="00B1089D">
        <w:t>Hacer Dilsiz</w:t>
      </w:r>
    </w:p>
    <w:p w14:paraId="7D65DFAE" w14:textId="711F88A9" w:rsidR="00FA457D" w:rsidRPr="00B1089D" w:rsidRDefault="00FA457D" w:rsidP="00FA457D">
      <w:pPr>
        <w:widowControl/>
        <w:jc w:val="center"/>
      </w:pPr>
      <w:r w:rsidRPr="00B1089D">
        <w:t xml:space="preserve">Yüksek Lisans Öğrencisi </w:t>
      </w:r>
    </w:p>
    <w:p w14:paraId="484323E6" w14:textId="77777777" w:rsidR="00FA457D" w:rsidRPr="00B1089D" w:rsidRDefault="00FA457D" w:rsidP="00FA457D">
      <w:pPr>
        <w:widowControl/>
        <w:jc w:val="center"/>
      </w:pPr>
      <w:r w:rsidRPr="00B1089D">
        <w:t>Fırat Üniversitesi Sosyal Bilimler Enstitüsü Kurumlar Sosyolojisi Anabilim Dalı</w:t>
      </w:r>
    </w:p>
    <w:p w14:paraId="52C51AFA" w14:textId="03C5BFD9" w:rsidR="00FA457D" w:rsidRPr="00B1089D" w:rsidRDefault="00FA457D" w:rsidP="004A1BC9">
      <w:pPr>
        <w:widowControl/>
        <w:jc w:val="center"/>
      </w:pPr>
      <w:r w:rsidRPr="00B1089D">
        <w:t>0000-0001-8447-8965</w:t>
      </w:r>
    </w:p>
    <w:p w14:paraId="6EA8BC4A" w14:textId="77777777" w:rsidR="00FA457D" w:rsidRPr="00B1089D" w:rsidRDefault="00FA457D" w:rsidP="00791DCE">
      <w:pPr>
        <w:widowControl/>
        <w:jc w:val="both"/>
      </w:pPr>
    </w:p>
    <w:p w14:paraId="3BC1FFEF" w14:textId="35CCAF92" w:rsidR="00FA457D" w:rsidRPr="00D10870" w:rsidRDefault="00FA457D" w:rsidP="00791DCE">
      <w:pPr>
        <w:widowControl/>
        <w:jc w:val="both"/>
      </w:pPr>
      <w:r w:rsidRPr="00B1089D">
        <w:t>Kadın ve erkeklerin sağlıklı ya da hasta olmaları, biyolojik yapılarının işleyişinden, sosyal konumlarından ve psikolojik durumlarından etkilenmektedir. Kadınlarla erkekler arasındaki bu farklılık iki cinsiyet arasındaki eşitsizlikten, kadınlarla erkeklerin birbirlerinden farklı sosyalizasyon süreçlerinden geçmelerinden ve farklı cinsiyet rollerine sahip olmalarından kaynaklanabilmektedir. Bu çalışmanın amacı toplumsal cinsiyet ile sağlık-hastalık arasındaki ilişkiyi sosyolojik bir perspektifle ortaya koymaktır.</w:t>
      </w:r>
      <w:r w:rsidR="00B80551">
        <w:t xml:space="preserve"> </w:t>
      </w:r>
      <w:r w:rsidRPr="00B1089D">
        <w:t>Bu çalışma teorik nitelikte bir çalışmadır. Cinsiyet, toplumsal cinsiyet,</w:t>
      </w:r>
      <w:r w:rsidRPr="00D10870">
        <w:t xml:space="preserve"> </w:t>
      </w:r>
      <w:r w:rsidRPr="00B1089D">
        <w:t>sağlık ve hastalık anahtar kelimeleri kullanılarak bir literatür taraması yapılmıştır. Elde edilen verilerden hareketle çalışmanın başlığına uygun biçimde oluşturulmuş olan içindekiler kısmına göre içerik hazırlanmıştır. Verilerin toplanması, derlenmesi ve araştırma raporunun oluşturulması aşamalarında, makale, kitap ve internet ortamındaki bilgilerden yararlanılmıştır.</w:t>
      </w:r>
    </w:p>
    <w:p w14:paraId="1C844F8A" w14:textId="77777777" w:rsidR="00FA457D" w:rsidRPr="00B1089D" w:rsidRDefault="00FA457D" w:rsidP="00791DCE">
      <w:pPr>
        <w:widowControl/>
        <w:jc w:val="both"/>
      </w:pPr>
    </w:p>
    <w:p w14:paraId="1AEC2133" w14:textId="32B99FDF" w:rsidR="00FA457D" w:rsidRPr="00B1089D" w:rsidRDefault="00FA457D" w:rsidP="00791DCE">
      <w:pPr>
        <w:widowControl/>
        <w:jc w:val="both"/>
      </w:pPr>
      <w:r w:rsidRPr="00B1089D">
        <w:rPr>
          <w:b/>
          <w:bCs/>
        </w:rPr>
        <w:t xml:space="preserve">Anahtar Kelimeler: </w:t>
      </w:r>
      <w:r w:rsidRPr="00B1089D">
        <w:t>Cinsiyet, Toplumsal Cinsiyet, Sağlık, Hastalık</w:t>
      </w:r>
    </w:p>
    <w:p w14:paraId="6FC2609D" w14:textId="77777777" w:rsidR="00FA457D" w:rsidRPr="00B1089D" w:rsidRDefault="00FA457D" w:rsidP="00791DCE">
      <w:pPr>
        <w:widowControl/>
        <w:jc w:val="both"/>
      </w:pPr>
    </w:p>
    <w:p w14:paraId="0F0164FE" w14:textId="77777777" w:rsidR="00FA457D" w:rsidRPr="00B1089D" w:rsidRDefault="00FA457D" w:rsidP="00791DCE">
      <w:pPr>
        <w:widowControl/>
        <w:jc w:val="both"/>
      </w:pPr>
      <w:r w:rsidRPr="00B1089D">
        <w:t xml:space="preserve">Hastalık ve sağlığın biyolojik, psikolojik kökenleriyle birlikte sosyal kökenleri de bulunmaktadır. İnsanların sağlıklı veyahut hasta olmaları ekonomik durum, eğitim seviyesi, medeni hal, meslekler, din, sosyal tabakalaşma, aile yapısı, boş zaman değerlendirme faaliyetleri, kentsel veya kırsal yaşam, göç gibi pek çok toplumsal faktöre bağlı olarak farklılık gösterebilmektedir. Bu faktörlerden </w:t>
      </w:r>
      <w:proofErr w:type="gramStart"/>
      <w:r w:rsidRPr="00B1089D">
        <w:t>biriside</w:t>
      </w:r>
      <w:proofErr w:type="gramEnd"/>
      <w:r w:rsidRPr="00B1089D">
        <w:t xml:space="preserve"> toplumsal cinsiyettir. Cinsiyet, kişinin doğuştan getirdiği, erkek veya kadın olarak sahip olduğu biyolojik, fizyolojik ve genetik özellikleri tanımlarken; toplumsal cinsiyet ise erkek </w:t>
      </w:r>
      <w:proofErr w:type="gramStart"/>
      <w:r w:rsidRPr="00B1089D">
        <w:t>ve ya</w:t>
      </w:r>
      <w:proofErr w:type="gramEnd"/>
      <w:r w:rsidRPr="00B1089D">
        <w:t xml:space="preserve"> kadın olmaya toplumun, kültürün sosyal olarak yüklediği anlamları ve beklentileri ifade etmektedir. Toplumsal cinsiyet, erkek ve kadınların toplum tarafından nasıl algılandığını, nasıl düşünüldüğünü ve nasıl davranmalarını beklediğine ilişkin yargıları, değerleri ve rolleri açıklamaya yönelik çok kapsamlı bir kavramdır. Kavram yalnızca bireysel kimliği ve şahsiyeti değil, sembolik düzeyde kadınlığın ve erkekliğin kültürel ideallerini de yaratmaktadır. Toplumsal cinsiyet farklılığı ile ruhsal ve fiziksel sağlık arasında bir bağlantı bulunmaktadır.</w:t>
      </w:r>
    </w:p>
    <w:p w14:paraId="438C24C9" w14:textId="77777777" w:rsidR="00FA457D" w:rsidRPr="00B1089D" w:rsidRDefault="00FA457D" w:rsidP="00791DCE">
      <w:pPr>
        <w:widowControl/>
        <w:jc w:val="both"/>
      </w:pPr>
      <w:r w:rsidRPr="00B1089D">
        <w:t>Günümüzde sağlık konusunda yapılmış olan tanımlar içinde en fazla bilineni, Dünya Sağlık Örgütü’nün (DSÖ) yapmış olduğu tanımdır.  DSÖ’nün 1948 yılında yapmış olduğu tanıma göre sağlık: “Yalnızca hasta ve sakat olmama durumu değil, bununla birlikte bedensel, psikolojik ve toplumsal olarak tamamen rahat, iyilik içerisinde olma halidir”. Hastalık, canlılarda normal fizyolojik yahut psikolojik yapıyı, işlevi ve dengeyi değiştiren yahut engelleyen ve bazı belirtilerle ortaya çıkan bozukluktur. Hastalık ise “canlılarda normal fizyolojik yahut psikolojik yapıyı, işlevi ve dengeyi değiştiren yahut engelleyen ve bazı belirtilerle ortaya çıkan bozukluktur”.</w:t>
      </w:r>
    </w:p>
    <w:p w14:paraId="726C1BEB" w14:textId="63BE5F2F" w:rsidR="00D37D80" w:rsidRDefault="00FA457D" w:rsidP="00791DCE">
      <w:pPr>
        <w:widowControl/>
        <w:jc w:val="both"/>
      </w:pPr>
      <w:r w:rsidRPr="004A1BC9">
        <w:t xml:space="preserve">Toplum tarafından kadınların ve erkeklerin birbirinden farklı sosyalleşme süreçlerinden geçmeleri ve farklı toplumsal roller sergilemeleri onların sağlık problemlerini, sağlık statülerini ve sağlıklarını koruma davranışlarını etkileyebilmektedir. Toplumsal cinsiyet-sağlık ilişkisini ele alan çalışmalar çoğunlukla kadınlar üzerine yapılmıştır. Ancak bu çalışmalar tek yanlı yapıldıkları için toplumsal cinsiyet-sağlık ilişkisini gösterme bakımından yetersiz kalmışlardır. Bu sebeple kadın sağlığı </w:t>
      </w:r>
      <w:proofErr w:type="gramStart"/>
      <w:r w:rsidRPr="004A1BC9">
        <w:t>ile birlikte</w:t>
      </w:r>
      <w:proofErr w:type="gramEnd"/>
      <w:r w:rsidRPr="004A1BC9">
        <w:t xml:space="preserve"> erkek sağlığı ile ilgili çalışmaların yapılması gerekmektedir. </w:t>
      </w:r>
      <w:r w:rsidRPr="004A1BC9">
        <w:lastRenderedPageBreak/>
        <w:t>Ayrıca sağlığa, toplumsal cinsiyet temelli değil insan hakları açısından bakarak değerlendirmelerin yapılması gerekir.</w:t>
      </w:r>
    </w:p>
    <w:p w14:paraId="19567A0C" w14:textId="77777777" w:rsidR="00D37D80" w:rsidRDefault="00D37D80">
      <w:pPr>
        <w:autoSpaceDE/>
        <w:autoSpaceDN/>
      </w:pPr>
      <w:r>
        <w:br w:type="page"/>
      </w:r>
    </w:p>
    <w:p w14:paraId="3877EB9A" w14:textId="77777777" w:rsidR="00FA457D" w:rsidRDefault="00FA457D" w:rsidP="00D37D80">
      <w:pPr>
        <w:widowControl/>
        <w:jc w:val="center"/>
      </w:pPr>
    </w:p>
    <w:p w14:paraId="6AC693EB" w14:textId="0AC93CFB" w:rsidR="00C1011D" w:rsidRDefault="00B80551" w:rsidP="00B80551">
      <w:pPr>
        <w:ind w:firstLine="567"/>
        <w:jc w:val="center"/>
        <w:rPr>
          <w:b/>
          <w:bCs/>
        </w:rPr>
      </w:pPr>
      <w:r w:rsidRPr="006275D0">
        <w:rPr>
          <w:b/>
          <w:bCs/>
        </w:rPr>
        <w:t>Annelik Sevgisi: Biyolojik Bir Gerçek Mi, Toplumsal Bir İnşa Mı?</w:t>
      </w:r>
    </w:p>
    <w:p w14:paraId="3DB73441" w14:textId="77777777" w:rsidR="00B80551" w:rsidRDefault="00B80551" w:rsidP="00B80551">
      <w:pPr>
        <w:ind w:firstLine="567"/>
        <w:jc w:val="center"/>
        <w:rPr>
          <w:b/>
          <w:bCs/>
        </w:rPr>
      </w:pPr>
    </w:p>
    <w:p w14:paraId="4D340B2B" w14:textId="77777777" w:rsidR="00D37D80" w:rsidRDefault="00C1011D" w:rsidP="00B80551">
      <w:pPr>
        <w:jc w:val="center"/>
      </w:pPr>
      <w:r>
        <w:t>Aleyna Melek Uçkan,</w:t>
      </w:r>
    </w:p>
    <w:p w14:paraId="5F258193" w14:textId="41574D0F" w:rsidR="00C1011D" w:rsidRDefault="00C1011D" w:rsidP="00B80551">
      <w:pPr>
        <w:jc w:val="center"/>
      </w:pPr>
      <w:proofErr w:type="spellStart"/>
      <w:r>
        <w:t>Ondokuz</w:t>
      </w:r>
      <w:proofErr w:type="spellEnd"/>
      <w:r>
        <w:t xml:space="preserve"> Mayıs Üniversitesi, Kadın ve Aile Araştırmaları</w:t>
      </w:r>
    </w:p>
    <w:p w14:paraId="3CE8D120" w14:textId="1E372EC6" w:rsidR="00C1011D" w:rsidRDefault="00D37D80" w:rsidP="00B80551">
      <w:pPr>
        <w:jc w:val="center"/>
      </w:pPr>
      <w:hyperlink r:id="rId387" w:history="1">
        <w:r w:rsidRPr="00705A37">
          <w:rPr>
            <w:rStyle w:val="Kpr"/>
          </w:rPr>
          <w:t>aleyna.ucukan@gmail.com</w:t>
        </w:r>
      </w:hyperlink>
    </w:p>
    <w:p w14:paraId="4AAB819B" w14:textId="77777777" w:rsidR="00C1011D" w:rsidRDefault="00C1011D" w:rsidP="00B80551">
      <w:pPr>
        <w:jc w:val="center"/>
      </w:pPr>
      <w:r w:rsidRPr="006275D0">
        <w:t>0009-0007-5674-6628</w:t>
      </w:r>
    </w:p>
    <w:p w14:paraId="4FAB1ACB" w14:textId="77777777" w:rsidR="00B80551" w:rsidRDefault="00B80551" w:rsidP="00B80551">
      <w:pPr>
        <w:jc w:val="center"/>
      </w:pPr>
    </w:p>
    <w:p w14:paraId="4F9255E8" w14:textId="77777777" w:rsidR="00C1011D" w:rsidRPr="00234537" w:rsidRDefault="00C1011D" w:rsidP="00B80551">
      <w:pPr>
        <w:jc w:val="center"/>
        <w:rPr>
          <w:b/>
          <w:bCs/>
        </w:rPr>
      </w:pPr>
      <w:r>
        <w:rPr>
          <w:b/>
          <w:bCs/>
        </w:rPr>
        <w:t>ÖZET</w:t>
      </w:r>
    </w:p>
    <w:p w14:paraId="1FC3233A" w14:textId="4456B183" w:rsidR="00C1011D" w:rsidRDefault="00C1011D" w:rsidP="00B80551">
      <w:pPr>
        <w:jc w:val="both"/>
      </w:pPr>
      <w:r>
        <w:t>Toplumsal yaşamda annelik, kadının sahip olduğu doğurganlık özelliği ile ona armağan edilen bir görev olarak kabul edilir. Bu görev kadının yaşamında baskılanmasının bir aracı olarak kullanılır. Kadın, söz konusu baskıya bunun kutsallaştırılmasıyla ikna edilir. Bu kutsallaştırmanın önemli etmenlerinden biri annelik sevgisidir. Nitekim annelik sevgisi, toplumsal cinsiyet rolleri etrafında şekillenen ve kadının içgüdüsel olarak sahip olduğu düşünülen bir duygudur. Anne olmak biyolojik bir gerçekken, annelik toplumun kurguladığı bir inşadır. A</w:t>
      </w:r>
      <w:r w:rsidRPr="002D4BC3">
        <w:t>nnelik, feminist kuramın önemli tartışma alanlarından biri olarak öne çıkmaktadır. Feministlere göre kadınların toplumsal olarak dezavantajlı bir konumda bulunmasının temel nedenlerinden biri, kadınlara yüklenen annelik rolüdür. Feminist eleştiriler, anneliğe ilişkin farklı yaklaşımlar ve bakış açılarını barındırmaktadır.</w:t>
      </w:r>
      <w:r>
        <w:t xml:space="preserve">  Liberal feministlere göre annelik,</w:t>
      </w:r>
      <w:r w:rsidRPr="000D2C79">
        <w:t xml:space="preserve"> </w:t>
      </w:r>
      <w:r w:rsidRPr="00B81CE5">
        <w:t xml:space="preserve">bireysel özgürlük ve eşitliğin bir parçası olarak ele alınır. </w:t>
      </w:r>
      <w:r>
        <w:t>K</w:t>
      </w:r>
      <w:r w:rsidRPr="00B81CE5">
        <w:t>adınların annelik</w:t>
      </w:r>
      <w:r>
        <w:t xml:space="preserve"> rolü</w:t>
      </w:r>
      <w:r w:rsidRPr="00B81CE5">
        <w:t xml:space="preserve"> ile bireysel kimlikleri arasında bir denge kurma</w:t>
      </w:r>
      <w:r>
        <w:t>larını</w:t>
      </w:r>
      <w:r w:rsidRPr="00B81CE5">
        <w:t xml:space="preserve"> ve her iki alanda da özgürleşme</w:t>
      </w:r>
      <w:r>
        <w:t>lerini</w:t>
      </w:r>
      <w:r w:rsidRPr="00B81CE5">
        <w:t xml:space="preserve"> hedefler.</w:t>
      </w:r>
      <w:r>
        <w:t xml:space="preserve"> Marksist-Sosyalist feministlere göre annelik, </w:t>
      </w:r>
      <w:r w:rsidRPr="00AD4874">
        <w:t>kadınları</w:t>
      </w:r>
      <w:r>
        <w:t>n</w:t>
      </w:r>
      <w:r w:rsidRPr="00AD4874">
        <w:t xml:space="preserve"> baskı altına al</w:t>
      </w:r>
      <w:r>
        <w:t>ın</w:t>
      </w:r>
      <w:r w:rsidRPr="00AD4874">
        <w:t>masını sağlayan rol olarak ifade edilmektedir.</w:t>
      </w:r>
      <w:r>
        <w:t xml:space="preserve"> Kadınlar ev içinde kalarak kendilerine yabancılaşmakta ve toplumsal yaşamdan uzaklaşmaktadırlar. Radikal feministlerde ise annelik, ataerkil sistemi yeniden üreten bir kurum ve kadınlara yapılan baskıların ana kaynağı olarak tanımlanır. A</w:t>
      </w:r>
      <w:r w:rsidRPr="004A747E">
        <w:t xml:space="preserve">nneliğin biyolojik olduğu kadar sosyal taraflarının da olduğunu düşünürler. </w:t>
      </w:r>
      <w:r w:rsidRPr="006275D0">
        <w:rPr>
          <w:color w:val="000000" w:themeColor="text1"/>
        </w:rPr>
        <w:t xml:space="preserve">Örneğin; annelik günlük yaşamda, söylemler ve toplumsal/kültürel </w:t>
      </w:r>
      <w:r>
        <w:rPr>
          <w:color w:val="000000" w:themeColor="text1"/>
        </w:rPr>
        <w:t xml:space="preserve">pratiklerle </w:t>
      </w:r>
      <w:r w:rsidRPr="006275D0">
        <w:rPr>
          <w:color w:val="000000" w:themeColor="text1"/>
        </w:rPr>
        <w:t xml:space="preserve">sürekli olarak oluşturulan bir şey olarak </w:t>
      </w:r>
      <w:proofErr w:type="spellStart"/>
      <w:proofErr w:type="gramStart"/>
      <w:r w:rsidRPr="006275D0">
        <w:rPr>
          <w:color w:val="000000" w:themeColor="text1"/>
        </w:rPr>
        <w:t>düşünülmektedir.</w:t>
      </w:r>
      <w:r w:rsidRPr="000A103E">
        <w:t>Bu</w:t>
      </w:r>
      <w:proofErr w:type="spellEnd"/>
      <w:proofErr w:type="gramEnd"/>
      <w:r w:rsidRPr="000A103E">
        <w:t xml:space="preserve"> çalışmada; feminist teorilerde annelik sevgisinin nasıl ele alındığına, anneliğin kadının kimliğindeki etkisine</w:t>
      </w:r>
      <w:r>
        <w:t xml:space="preserve"> bakılacak</w:t>
      </w:r>
      <w:r w:rsidRPr="000A103E">
        <w:t xml:space="preserve"> ve</w:t>
      </w:r>
      <w:r>
        <w:t xml:space="preserve"> tüm bunlar</w:t>
      </w:r>
      <w:r w:rsidRPr="000A103E">
        <w:t xml:space="preserve"> annelik rolünün eleştirisi üzerinden incelenecektir. </w:t>
      </w:r>
      <w:r>
        <w:t xml:space="preserve">Çalışma, toplumsal cinsiyet rollerinin annelik sevgisi üzerindeki etkilerini analiz ederken, bu sevginin kadınlardan beklenen bir role dönüşmesi çalışmanın merkezini oluşturmaktadır. Dolayısıyla bu çalışma, kadın kimliğinin annelik üzerinden şekillendirilme sürecine ışık tutarak, feminist teorilerin bu alandaki eleştirilerine odaklanmaktadır. Çalışma, üç ana akım feminist teorilerden; liberal feminizm, Marksist-sosyalist feminizm ve radikal feminizmi kapsamaktadır. </w:t>
      </w:r>
    </w:p>
    <w:p w14:paraId="2D85B170" w14:textId="77777777" w:rsidR="00B80551" w:rsidRPr="006850C7" w:rsidRDefault="00B80551" w:rsidP="00B80551">
      <w:pPr>
        <w:jc w:val="both"/>
      </w:pPr>
    </w:p>
    <w:p w14:paraId="5E2444DB" w14:textId="230CF52B" w:rsidR="00C1011D" w:rsidRDefault="00C1011D" w:rsidP="00B80551">
      <w:pPr>
        <w:jc w:val="both"/>
      </w:pPr>
      <w:r w:rsidRPr="00EB44D2">
        <w:rPr>
          <w:b/>
          <w:bCs/>
        </w:rPr>
        <w:t>Anahtar Kelimeler:</w:t>
      </w:r>
      <w:r>
        <w:rPr>
          <w:b/>
          <w:bCs/>
        </w:rPr>
        <w:t xml:space="preserve"> </w:t>
      </w:r>
      <w:r>
        <w:t>Annelik, sevgi, feminizm, ataerkil.</w:t>
      </w:r>
    </w:p>
    <w:p w14:paraId="1F7CF33B" w14:textId="77777777" w:rsidR="00D37D80" w:rsidRDefault="00D37D80" w:rsidP="00B80551">
      <w:pPr>
        <w:jc w:val="both"/>
      </w:pPr>
    </w:p>
    <w:p w14:paraId="30727833" w14:textId="77777777" w:rsidR="00C1011D" w:rsidRPr="002316DA" w:rsidRDefault="00C1011D" w:rsidP="00B80551">
      <w:pPr>
        <w:jc w:val="both"/>
        <w:rPr>
          <w:b/>
          <w:bCs/>
          <w:sz w:val="28"/>
          <w:szCs w:val="28"/>
        </w:rPr>
      </w:pPr>
      <w:r w:rsidRPr="002316DA">
        <w:rPr>
          <w:b/>
          <w:bCs/>
          <w:sz w:val="28"/>
          <w:szCs w:val="28"/>
        </w:rPr>
        <w:t>Giriş</w:t>
      </w:r>
    </w:p>
    <w:p w14:paraId="327A12EC" w14:textId="77777777" w:rsidR="00C1011D" w:rsidRDefault="00C1011D" w:rsidP="00B80551">
      <w:pPr>
        <w:jc w:val="both"/>
      </w:pPr>
      <w:r w:rsidRPr="001A79BF">
        <w:t xml:space="preserve">Annelik, toplumsal yaşam içinde kadının başat rollerinden biri olarak kabul edilir. Anne olan her kadının, annelik içgüdüsüne sahip olduğu ve bu içgüdü doğrultusunda toplumsal cinsiyet rollerini yerine getirmesi gerektiği düşünülür. </w:t>
      </w:r>
      <w:r w:rsidRPr="00E50FE0">
        <w:t xml:space="preserve">Annelik sevgisi üzerinden sürdürülen annelik süreci, kadının çocuğuna iyi bir şekilde bakması, çocuğunu emzirmesi ve onun için kendini feda edebilmesi fikrinden kaynaklanarak anlamlanır. Anneliğin içgüdüsel olduğuna dair bu düşünce ve bu düşünceyi destekleyecek çalışmalar, kadının toplumsal statüsünü belirler. Ancak bir kimlik olarak kadınlık, bu biyolojik işlevin yanı sıra toplumsal rol üzerinden de kurulur. “Bu durumun en somut göstergesi özellikle çocuğu olan kadınların diğer bütün kimliklerinden önce </w:t>
      </w:r>
      <w:r w:rsidRPr="00E50FE0">
        <w:lastRenderedPageBreak/>
        <w:t>annelik kimliği üzerinden tanımlanması ve diğer kimliklerin buna eklemlenmesidir.” (Vincent, 2010, s. 110</w:t>
      </w:r>
      <w:r>
        <w:t xml:space="preserve">, </w:t>
      </w:r>
      <w:proofErr w:type="spellStart"/>
      <w:r>
        <w:t>Akt</w:t>
      </w:r>
      <w:proofErr w:type="spellEnd"/>
      <w:r>
        <w:t xml:space="preserve">., </w:t>
      </w:r>
      <w:proofErr w:type="spellStart"/>
      <w:r>
        <w:t>Timurturkan</w:t>
      </w:r>
      <w:proofErr w:type="spellEnd"/>
      <w:r>
        <w:t>, 2019, s. 68</w:t>
      </w:r>
      <w:r w:rsidRPr="00E50FE0">
        <w:t>)</w:t>
      </w:r>
      <w:r w:rsidRPr="00E50FE0">
        <w:rPr>
          <w:b/>
          <w:bCs/>
        </w:rPr>
        <w:t xml:space="preserve"> </w:t>
      </w:r>
      <w:r w:rsidRPr="00E50FE0">
        <w:t>Diğer bir deyişle çocuğu olan kadın, ilk olarak anne olarak tanımlanır ve kadının bu rolü çalışan anne, yönetici anne, çalışmayan anne gibi kimliklerle pekiştirilir.  Bu kimlik kadının kamusal yaşamda bulunma biçimini etkilerken, aynı zamanda kadının çalışma hayatında bulunmasının önünde de önemli bir engeldir (</w:t>
      </w:r>
      <w:proofErr w:type="spellStart"/>
      <w:r w:rsidRPr="00E50FE0">
        <w:t>Timurturkan</w:t>
      </w:r>
      <w:proofErr w:type="spellEnd"/>
      <w:r w:rsidRPr="00E50FE0">
        <w:t>, 2019, s.</w:t>
      </w:r>
      <w:r>
        <w:t xml:space="preserve"> </w:t>
      </w:r>
      <w:r w:rsidRPr="00E50FE0">
        <w:t>68).</w:t>
      </w:r>
    </w:p>
    <w:p w14:paraId="5B3FA398" w14:textId="77777777" w:rsidR="00B80551" w:rsidRPr="00E50FE0" w:rsidRDefault="00B80551" w:rsidP="00B80551">
      <w:pPr>
        <w:jc w:val="both"/>
      </w:pPr>
    </w:p>
    <w:p w14:paraId="1034ABC6" w14:textId="77777777" w:rsidR="00C1011D" w:rsidRDefault="00C1011D" w:rsidP="00B80551">
      <w:pPr>
        <w:jc w:val="both"/>
      </w:pPr>
      <w:proofErr w:type="spellStart"/>
      <w:r w:rsidRPr="00E50FE0">
        <w:t>Chodorow’a</w:t>
      </w:r>
      <w:proofErr w:type="spellEnd"/>
      <w:r w:rsidRPr="00E50FE0">
        <w:t xml:space="preserve"> (1999) göre annelik sadece biyolojik bir durum değildir. O, kadınların “çocuğun bakımından sorumlu tutulan temel kişiler olarak görüldüğünü”, hatta biyolojik annenin olmadığı durumda diğer kadınların annenin sorumluluklarını üstlendiğini belirtir. Bu durumun karşısında olan feminist yaklaşım anneliğin biyolojik bir süreç olmadığını tartışmaya açmaktadır. Feminist yaklaşıma göre ne kadınlık ne de ona içkin olan biyolojik süreçler doğal bir kategoridir. Bunlar toplumsal, politik ve kültürel pratikler tarafından oluşturulmuştur. Dolayısıyla feminist düşünce anneliğin kadınlar için doğal bir durum olmadığını ve toplumsal olarak yapılandırıldığını iddia eder (</w:t>
      </w:r>
      <w:proofErr w:type="spellStart"/>
      <w:r w:rsidRPr="00952FAD">
        <w:t>Timurturkan</w:t>
      </w:r>
      <w:proofErr w:type="spellEnd"/>
      <w:r w:rsidRPr="00952FAD">
        <w:t>, 2019, s.</w:t>
      </w:r>
      <w:r>
        <w:t xml:space="preserve"> </w:t>
      </w:r>
      <w:r w:rsidRPr="00952FAD">
        <w:t>69</w:t>
      </w:r>
      <w:r>
        <w:t xml:space="preserve">, </w:t>
      </w:r>
      <w:proofErr w:type="spellStart"/>
      <w:r w:rsidRPr="00952FAD">
        <w:t>Akt</w:t>
      </w:r>
      <w:proofErr w:type="spellEnd"/>
      <w:r>
        <w:t>.,</w:t>
      </w:r>
      <w:r w:rsidRPr="00E50FE0">
        <w:t xml:space="preserve"> </w:t>
      </w:r>
      <w:proofErr w:type="spellStart"/>
      <w:r w:rsidRPr="00E50FE0">
        <w:t>Silva</w:t>
      </w:r>
      <w:proofErr w:type="spellEnd"/>
      <w:r w:rsidRPr="00E50FE0">
        <w:t xml:space="preserve">, s. 1) Nitekim kadının toplumsal konumunun anneliğin biyolojik olduğu düşüncesi üzerinden belirleyen kuramlar feminist düşümce tarafından reddedilir. Çünkü söz konusu kuramlar, toplumsal ve kültürel pratiklerin kadını dezavantajlı konuma ittirmesine zemin hazırlar. Bu durum feminist yaklaşımlar tarafından analiz edilir ve bu analize dahil edilen en önemli konular “kadının rolleri, aile içi sorumlulukları ve üreme </w:t>
      </w:r>
      <w:proofErr w:type="spellStart"/>
      <w:r w:rsidRPr="00E50FE0">
        <w:t>yetisi”dir</w:t>
      </w:r>
      <w:proofErr w:type="spellEnd"/>
      <w:r w:rsidRPr="00E50FE0">
        <w:t>. Onlara göre kadınların dezavantajlı konumda bulunmalarının en önemli nedeni bu konulardır, ancak bunların en başında annelik rolü gelmektedir (</w:t>
      </w:r>
      <w:proofErr w:type="spellStart"/>
      <w:r w:rsidRPr="00E50FE0">
        <w:t>Timurturkan</w:t>
      </w:r>
      <w:proofErr w:type="spellEnd"/>
      <w:r w:rsidRPr="00E50FE0">
        <w:t>, 2019, s.</w:t>
      </w:r>
      <w:r>
        <w:t xml:space="preserve"> </w:t>
      </w:r>
      <w:r w:rsidRPr="00E50FE0">
        <w:t>68).</w:t>
      </w:r>
    </w:p>
    <w:p w14:paraId="7F6AFB26" w14:textId="77777777" w:rsidR="00B80551" w:rsidRPr="00E50FE0" w:rsidRDefault="00B80551" w:rsidP="00B80551">
      <w:pPr>
        <w:jc w:val="both"/>
      </w:pPr>
    </w:p>
    <w:p w14:paraId="4FAE7BB5" w14:textId="77777777" w:rsidR="00C1011D" w:rsidRDefault="00C1011D" w:rsidP="00B80551">
      <w:pPr>
        <w:jc w:val="both"/>
      </w:pPr>
      <w:r w:rsidRPr="00E50FE0">
        <w:t>Çalışmanın devamında feminist düşüncelerin annelik rolüne ilişkin farklı yaklaşımları ve bakış açıları ele alınacaktır. Çalışma da annelik rolünün annelik sevgisi üzerinden yürütüldüğünün kabul edilmesinden dolayı annelik sevgisi ve annelik rolü eş değer kabul edilmektedir. Dolayısıyla çalışmanın devamında söz konusu edilecek annelik rolü, annelik sevgisi olarak değerlendirilecektir. Konu üç temel feminist yaklaşım olan liberal feminizm, Marksist-sosyalist feminizm ve radikal feminizmin anneliğe olan yaklaşımlarını içerecektir.</w:t>
      </w:r>
    </w:p>
    <w:p w14:paraId="5FF80FC6" w14:textId="77777777" w:rsidR="00B80551" w:rsidRPr="006D72C4" w:rsidRDefault="00B80551" w:rsidP="00B80551">
      <w:pPr>
        <w:jc w:val="both"/>
      </w:pPr>
    </w:p>
    <w:p w14:paraId="73CCB21B" w14:textId="77777777" w:rsidR="00C1011D" w:rsidRPr="00E9204D" w:rsidRDefault="00C1011D" w:rsidP="00B80551">
      <w:pPr>
        <w:rPr>
          <w:b/>
          <w:bCs/>
          <w:sz w:val="28"/>
          <w:szCs w:val="28"/>
        </w:rPr>
      </w:pPr>
      <w:r>
        <w:rPr>
          <w:b/>
          <w:bCs/>
          <w:sz w:val="28"/>
          <w:szCs w:val="28"/>
        </w:rPr>
        <w:t>1.</w:t>
      </w:r>
      <w:r w:rsidRPr="00E9204D">
        <w:rPr>
          <w:b/>
          <w:bCs/>
          <w:sz w:val="28"/>
          <w:szCs w:val="28"/>
        </w:rPr>
        <w:t>Liberal Feminizm</w:t>
      </w:r>
    </w:p>
    <w:p w14:paraId="0ED9B078" w14:textId="77777777" w:rsidR="00C1011D" w:rsidRDefault="00C1011D" w:rsidP="00B80551">
      <w:pPr>
        <w:jc w:val="both"/>
      </w:pPr>
      <w:r w:rsidRPr="00A21CA7">
        <w:t>Liberal feminizm, bireysel haklar ve özgürlükler temelinde kadınların eşit fırsatlara sahip olması gerektiğini savunur. Annelik, bu bağlamda, kadınların bireysel kimliklerini ve ekonomik özgürlüklerini koruyabilecekleri bir şekilde ele alınır. Liberal feminist yaklaşımlar, kadınların annelik rolüyle toplumsal cinsiyet kalıplarına hapsedilmesini eleştirirken, anneliği kadının bireysel bir tercihi ve yaşamının bir parçası olarak görür.</w:t>
      </w:r>
    </w:p>
    <w:p w14:paraId="7BB4FB3F" w14:textId="77777777" w:rsidR="00B80551" w:rsidRPr="00A21CA7" w:rsidRDefault="00B80551" w:rsidP="00B80551">
      <w:pPr>
        <w:jc w:val="both"/>
      </w:pPr>
    </w:p>
    <w:p w14:paraId="5053AC68" w14:textId="77777777" w:rsidR="00C1011D" w:rsidRDefault="00C1011D" w:rsidP="00B80551">
      <w:pPr>
        <w:jc w:val="both"/>
      </w:pPr>
      <w:r w:rsidRPr="00A21CA7">
        <w:t>Liberal feminizm, anneliğin kadının iş hayatına ve sosyal yaşamına engel teşkil etmemesi gerektiğini savunur. Bu nedenle, kreşler gibi kamusal desteklerin yaygınlaştırılması, doğum izni politikalarının iyileştirilmesi ve aile içindeki sorumlulukların eşit şekilde paylaşılması gerektiği vurgulanır (</w:t>
      </w:r>
      <w:proofErr w:type="spellStart"/>
      <w:r w:rsidRPr="00A21CA7">
        <w:t>Okin</w:t>
      </w:r>
      <w:proofErr w:type="spellEnd"/>
      <w:r w:rsidRPr="00A21CA7">
        <w:t>, 1989, s. 209). Aile yapısına yönelik liberal feminist görüşler, kadınların annelik ile bireysel kimliklerini bağdaştırabilecekleri eşitlikçi bir düzeni öncelikler.</w:t>
      </w:r>
    </w:p>
    <w:p w14:paraId="4945F109" w14:textId="77777777" w:rsidR="00B80551" w:rsidRPr="00A21CA7" w:rsidRDefault="00B80551" w:rsidP="00B80551">
      <w:pPr>
        <w:jc w:val="both"/>
      </w:pPr>
    </w:p>
    <w:p w14:paraId="042169AB" w14:textId="10DF71C8" w:rsidR="00B80551" w:rsidRPr="00A21CA7" w:rsidRDefault="00C1011D" w:rsidP="00B80551">
      <w:pPr>
        <w:jc w:val="both"/>
      </w:pPr>
      <w:r w:rsidRPr="00A21CA7">
        <w:t xml:space="preserve">Liberal feminist Susan Moller </w:t>
      </w:r>
      <w:proofErr w:type="spellStart"/>
      <w:r w:rsidRPr="00A21CA7">
        <w:t>Okin</w:t>
      </w:r>
      <w:proofErr w:type="spellEnd"/>
      <w:r w:rsidRPr="00A21CA7">
        <w:t>, bu konuda şöyle der: “Kadınların özel alan ve kamusal alan arasında denge kurabilmeleri, eşitlikçi bir toplumsal yapının gerekliliğidir. Aile, kadınların yalnızca annelik rolleriyle tanımlanmayacağı şekilde yeniden düzenlenmelidir” (</w:t>
      </w:r>
      <w:proofErr w:type="spellStart"/>
      <w:r w:rsidRPr="00A21CA7">
        <w:t>Okin</w:t>
      </w:r>
      <w:proofErr w:type="spellEnd"/>
      <w:r w:rsidRPr="00A21CA7">
        <w:t>, 1989, s. 20).</w:t>
      </w:r>
    </w:p>
    <w:p w14:paraId="59505C8B" w14:textId="77777777" w:rsidR="00C1011D" w:rsidRDefault="00C1011D" w:rsidP="00B80551">
      <w:pPr>
        <w:jc w:val="both"/>
      </w:pPr>
      <w:r w:rsidRPr="00A21CA7">
        <w:lastRenderedPageBreak/>
        <w:t xml:space="preserve">John Stuart </w:t>
      </w:r>
      <w:proofErr w:type="spellStart"/>
      <w:r w:rsidRPr="00A21CA7">
        <w:t>Mill</w:t>
      </w:r>
      <w:proofErr w:type="spellEnd"/>
      <w:r w:rsidRPr="00A21CA7">
        <w:t xml:space="preserve"> ve Harriet Taylor </w:t>
      </w:r>
      <w:proofErr w:type="spellStart"/>
      <w:r w:rsidRPr="00A21CA7">
        <w:t>Mill</w:t>
      </w:r>
      <w:proofErr w:type="spellEnd"/>
      <w:r w:rsidRPr="00A21CA7">
        <w:t xml:space="preserve"> gibi erken dönem liberal feminist düşünürler, anneliğin kadının yaşamını sınırlayıcı bir hale gelmemesi gerektiğini belirtmiş ve kadınların ekonomik ve siyasal özgürlüklerini kazanması için aile içindeki iş bölüşümünün daha adil bir yapıya kavuşması gerektiğini savunmuşlardır </w:t>
      </w:r>
      <w:proofErr w:type="spellStart"/>
      <w:r w:rsidRPr="00A21CA7">
        <w:t>Mill’e</w:t>
      </w:r>
      <w:proofErr w:type="spellEnd"/>
      <w:r w:rsidRPr="00A21CA7">
        <w:t xml:space="preserve"> göre, kadınların hem annelik rolünü hem de toplumsal rollerini yerine getirebilmesi, ancak eşit fırsatlar ve destekleyici politikalarla mümkündür (Geçit, 2013, </w:t>
      </w:r>
      <w:proofErr w:type="spellStart"/>
      <w:r w:rsidRPr="00A21CA7">
        <w:t>s</w:t>
      </w:r>
      <w:r>
        <w:t>s</w:t>
      </w:r>
      <w:proofErr w:type="spellEnd"/>
      <w:r w:rsidRPr="00A21CA7">
        <w:t>. 116-122)</w:t>
      </w:r>
      <w:r>
        <w:t>.</w:t>
      </w:r>
    </w:p>
    <w:p w14:paraId="55728DF4" w14:textId="77777777" w:rsidR="00B80551" w:rsidRPr="00A21CA7" w:rsidRDefault="00B80551" w:rsidP="00B80551">
      <w:pPr>
        <w:jc w:val="both"/>
      </w:pPr>
    </w:p>
    <w:p w14:paraId="7AFB2B0A" w14:textId="77777777" w:rsidR="00C1011D" w:rsidRDefault="00C1011D" w:rsidP="00B80551">
      <w:pPr>
        <w:jc w:val="both"/>
      </w:pPr>
      <w:r w:rsidRPr="00A21CA7">
        <w:t xml:space="preserve">Daha yakın dönem liberal feministler de bu görüşü geliştirmiştir. Örneğin, Betty </w:t>
      </w:r>
      <w:proofErr w:type="spellStart"/>
      <w:r w:rsidRPr="00A21CA7">
        <w:t>Friedan</w:t>
      </w:r>
      <w:proofErr w:type="spellEnd"/>
      <w:r w:rsidRPr="00A21CA7">
        <w:t xml:space="preserve">, </w:t>
      </w:r>
      <w:proofErr w:type="spellStart"/>
      <w:r w:rsidRPr="00A21CA7">
        <w:rPr>
          <w:i/>
          <w:iCs/>
        </w:rPr>
        <w:t>The</w:t>
      </w:r>
      <w:proofErr w:type="spellEnd"/>
      <w:r w:rsidRPr="00A21CA7">
        <w:rPr>
          <w:i/>
          <w:iCs/>
        </w:rPr>
        <w:t xml:space="preserve"> </w:t>
      </w:r>
      <w:proofErr w:type="spellStart"/>
      <w:r w:rsidRPr="00A21CA7">
        <w:rPr>
          <w:i/>
          <w:iCs/>
        </w:rPr>
        <w:t>Feminine</w:t>
      </w:r>
      <w:proofErr w:type="spellEnd"/>
      <w:r w:rsidRPr="00A21CA7">
        <w:rPr>
          <w:i/>
          <w:iCs/>
        </w:rPr>
        <w:t xml:space="preserve"> </w:t>
      </w:r>
      <w:proofErr w:type="spellStart"/>
      <w:r w:rsidRPr="00A21CA7">
        <w:rPr>
          <w:i/>
          <w:iCs/>
        </w:rPr>
        <w:t>Mystique</w:t>
      </w:r>
      <w:proofErr w:type="spellEnd"/>
      <w:r w:rsidRPr="00A21CA7">
        <w:t xml:space="preserve"> (1963) adlı eserinde, kadınların yalnızca annelik ve ev içi rollerle sınırlanmasının, onların bireysel potansiyellerini gerçekleştirmelerini engellediğini ifade eder. </w:t>
      </w:r>
      <w:proofErr w:type="spellStart"/>
      <w:r w:rsidRPr="00A21CA7">
        <w:t>Friedan</w:t>
      </w:r>
      <w:proofErr w:type="spellEnd"/>
      <w:r w:rsidRPr="00A21CA7">
        <w:t xml:space="preserve">, kadınların iş hayatında daha fazla yer alabilmesi için kreş hizmetleri, doğum izni ve aile dostu iş politikalarının geliştirilmesi gerektiğini vurgular. Ayrıca, </w:t>
      </w:r>
      <w:proofErr w:type="spellStart"/>
      <w:r w:rsidRPr="00A21CA7">
        <w:t>Annette</w:t>
      </w:r>
      <w:proofErr w:type="spellEnd"/>
      <w:r w:rsidRPr="00A21CA7">
        <w:t xml:space="preserve"> </w:t>
      </w:r>
      <w:proofErr w:type="spellStart"/>
      <w:r w:rsidRPr="00A21CA7">
        <w:t>Baier</w:t>
      </w:r>
      <w:proofErr w:type="spellEnd"/>
      <w:r w:rsidRPr="00A21CA7">
        <w:t xml:space="preserve"> ve Susan Moller </w:t>
      </w:r>
      <w:proofErr w:type="spellStart"/>
      <w:r w:rsidRPr="00A21CA7">
        <w:t>Okin</w:t>
      </w:r>
      <w:proofErr w:type="spellEnd"/>
      <w:r w:rsidRPr="00A21CA7">
        <w:t xml:space="preserve"> gibi düşünürler, anneliği bireysel bir tercih olarak görürken, bunun kadınlara yönelik yapısal eşitsizlikleri derinleştiren bir role dönüşmemesi için devletin sosyal politikalar geliştirmesini önermiştir. </w:t>
      </w:r>
      <w:proofErr w:type="spellStart"/>
      <w:r w:rsidRPr="00A21CA7">
        <w:t>Okin</w:t>
      </w:r>
      <w:proofErr w:type="spellEnd"/>
      <w:r w:rsidRPr="00A21CA7">
        <w:t>, özellikle aile içinde bakım emeğinin yeniden düzenlenmesi gerektiğini belirterek, erkeklerin de çocuk bakımında eşit derecede sorumluluk almasını savunur (</w:t>
      </w:r>
      <w:proofErr w:type="spellStart"/>
      <w:r w:rsidRPr="00A21CA7">
        <w:t>Okin</w:t>
      </w:r>
      <w:proofErr w:type="spellEnd"/>
      <w:r w:rsidRPr="00A21CA7">
        <w:t>, 1989, s. 70).</w:t>
      </w:r>
    </w:p>
    <w:p w14:paraId="2CBEC408" w14:textId="77777777" w:rsidR="00B80551" w:rsidRPr="00A21CA7" w:rsidRDefault="00B80551" w:rsidP="00B80551">
      <w:pPr>
        <w:jc w:val="both"/>
      </w:pPr>
    </w:p>
    <w:p w14:paraId="10AF2A14" w14:textId="77777777" w:rsidR="00C1011D" w:rsidRPr="00A21CA7" w:rsidRDefault="00C1011D" w:rsidP="00B80551">
      <w:pPr>
        <w:jc w:val="both"/>
      </w:pPr>
      <w:r w:rsidRPr="00A21CA7">
        <w:t>Bu yaklaşımlar, anneliği kadının toplumsal eşitliğe ulaşmasının önünde bir engel değil, destekleyici politikalarla özgürleştirici bir deneyim haline dönüştürmeyi hedefler.</w:t>
      </w:r>
    </w:p>
    <w:p w14:paraId="2AEDF617" w14:textId="77777777" w:rsidR="00C1011D" w:rsidRDefault="00C1011D" w:rsidP="00B80551">
      <w:pPr>
        <w:jc w:val="both"/>
      </w:pPr>
      <w:r w:rsidRPr="00A21CA7">
        <w:t xml:space="preserve">Sonuç olarak, liberal feminizmde annelik, bireysel özgürlük ve eşitliğin bir parçası olarak ele alınır. Kadınların annelik rolüyle toplumsal hayatta yer alabilmeleri için kreşler, ücretli doğum izni, esnek çalışma saatleri gibi yapısal düzenlemelerin gerekliliği savunulur. Bu bakış açısı, kadınların annelik ile bireysel kimlikleri arasında bir denge kurmasını ve her iki alanda da özgürleşmesini hedefler. </w:t>
      </w:r>
    </w:p>
    <w:p w14:paraId="36BED122" w14:textId="77777777" w:rsidR="00B80551" w:rsidRPr="00A21CA7" w:rsidRDefault="00B80551" w:rsidP="00B80551">
      <w:pPr>
        <w:jc w:val="both"/>
      </w:pPr>
    </w:p>
    <w:p w14:paraId="0606AC5F" w14:textId="77777777" w:rsidR="00C1011D" w:rsidRPr="00E9204D" w:rsidRDefault="00C1011D" w:rsidP="00B80551">
      <w:pPr>
        <w:jc w:val="both"/>
        <w:rPr>
          <w:b/>
          <w:bCs/>
          <w:sz w:val="28"/>
          <w:szCs w:val="28"/>
        </w:rPr>
      </w:pPr>
      <w:r>
        <w:rPr>
          <w:b/>
          <w:bCs/>
        </w:rPr>
        <w:t>2.</w:t>
      </w:r>
      <w:r w:rsidRPr="00E9204D">
        <w:rPr>
          <w:b/>
          <w:bCs/>
        </w:rPr>
        <w:t xml:space="preserve">  </w:t>
      </w:r>
      <w:r w:rsidRPr="00E9204D">
        <w:rPr>
          <w:b/>
          <w:bCs/>
          <w:sz w:val="28"/>
          <w:szCs w:val="28"/>
        </w:rPr>
        <w:t xml:space="preserve">Marksist-Sosyalist Feminizm </w:t>
      </w:r>
    </w:p>
    <w:p w14:paraId="490F6E16" w14:textId="77777777" w:rsidR="00C1011D" w:rsidRDefault="00C1011D" w:rsidP="00B80551">
      <w:pPr>
        <w:jc w:val="both"/>
      </w:pPr>
      <w:r w:rsidRPr="00A21CA7">
        <w:t>Marksist feminizm ve sosyalist feminizm, birçok çalışmada iki ayrı kuram olarak ele alınmaktadır. Ancak, bu iki yaklaşım arasında bazı farklılıklar olsa da ortak noktaları daha fazladır. Bu nedenle, bu çalışmada her iki yaklaşım "Marksist-Sosyalist feminizm" adı altında bir araya getirilmiştir (</w:t>
      </w:r>
      <w:proofErr w:type="spellStart"/>
      <w:r w:rsidRPr="00A21CA7">
        <w:t>Mermutlu</w:t>
      </w:r>
      <w:proofErr w:type="spellEnd"/>
      <w:r w:rsidRPr="00A21CA7">
        <w:t xml:space="preserve"> ve Taş Çetin, 2023, s.</w:t>
      </w:r>
      <w:r>
        <w:t xml:space="preserve"> </w:t>
      </w:r>
      <w:r w:rsidRPr="00A21CA7">
        <w:t>168).</w:t>
      </w:r>
    </w:p>
    <w:p w14:paraId="6382050B" w14:textId="77777777" w:rsidR="00B80551" w:rsidRPr="00A21CA7" w:rsidRDefault="00B80551" w:rsidP="00B80551">
      <w:pPr>
        <w:jc w:val="both"/>
      </w:pPr>
    </w:p>
    <w:p w14:paraId="6FFF16F5" w14:textId="77777777" w:rsidR="00C1011D" w:rsidRDefault="00C1011D" w:rsidP="00B80551">
      <w:pPr>
        <w:jc w:val="both"/>
      </w:pPr>
      <w:r w:rsidRPr="00A21CA7">
        <w:t xml:space="preserve">Marksist-Sosyalist feministler eşitsizliğin nedeninin hem ataerkillik hem de kapitalizm olduğunu ve bu ikisinin birlikte tartışılması gerektiğini söylerler. Marksist-Sosyalist feministler ev içi rolleri, annelik, çocuk bakımına ilişkin sorumlulukları önemli konular olarak görmektedirler (Bozok, 2018, s. 106, </w:t>
      </w:r>
      <w:proofErr w:type="spellStart"/>
      <w:r w:rsidRPr="00A21CA7">
        <w:t>Akt</w:t>
      </w:r>
      <w:proofErr w:type="spellEnd"/>
      <w:r w:rsidRPr="00A21CA7">
        <w:t xml:space="preserve">., </w:t>
      </w:r>
      <w:proofErr w:type="spellStart"/>
      <w:r w:rsidRPr="00A21CA7">
        <w:t>Timurturkan</w:t>
      </w:r>
      <w:proofErr w:type="spellEnd"/>
      <w:r w:rsidRPr="00A21CA7">
        <w:t>, 2019, s. 71).</w:t>
      </w:r>
    </w:p>
    <w:p w14:paraId="725C5907" w14:textId="77777777" w:rsidR="00B80551" w:rsidRPr="00A21CA7" w:rsidRDefault="00B80551" w:rsidP="00B80551">
      <w:pPr>
        <w:jc w:val="both"/>
      </w:pPr>
    </w:p>
    <w:p w14:paraId="64AFE938" w14:textId="4B92E68E" w:rsidR="00B80551" w:rsidRPr="00A21CA7" w:rsidRDefault="00C1011D" w:rsidP="00B80551">
      <w:pPr>
        <w:jc w:val="both"/>
      </w:pPr>
      <w:r w:rsidRPr="00A21CA7">
        <w:t xml:space="preserve">Marksist-sosyalist feminizm, Karl Marx ve Friedrich Engels’in bilimsel sosyalizm olarak tanımladıkları öğretinin klasik temelleri olarak kabul edilen bazı eserlerden faydalanılarak oluşmuştur (Yörük, 2009, </w:t>
      </w:r>
      <w:proofErr w:type="spellStart"/>
      <w:r w:rsidRPr="00A21CA7">
        <w:t>Akt</w:t>
      </w:r>
      <w:proofErr w:type="spellEnd"/>
      <w:r w:rsidRPr="00A21CA7">
        <w:t xml:space="preserve">., </w:t>
      </w:r>
      <w:proofErr w:type="spellStart"/>
      <w:r w:rsidRPr="00A21CA7">
        <w:t>Mermutlu</w:t>
      </w:r>
      <w:proofErr w:type="spellEnd"/>
      <w:r w:rsidRPr="00A21CA7">
        <w:t xml:space="preserve"> ve Taş Çetin, 2023, s.</w:t>
      </w:r>
      <w:r>
        <w:t xml:space="preserve"> </w:t>
      </w:r>
      <w:r w:rsidRPr="00A21CA7">
        <w:t>168).</w:t>
      </w:r>
      <w:r>
        <w:t xml:space="preserve"> Friedrich Engels’in </w:t>
      </w:r>
      <w:r w:rsidRPr="00A21CA7">
        <w:rPr>
          <w:i/>
          <w:iCs/>
        </w:rPr>
        <w:t>Ailenin, Devletin ve Özel Mülkiyetin Kökeni</w:t>
      </w:r>
      <w:r w:rsidRPr="00A21CA7">
        <w:t xml:space="preserve"> (1990) adlı eseri Marksist-sosyalist feminizm açısından önemli bir kaynaktır. Marksist-sosyalist feministler, kadınlar arasındaki farklara rağmen (etnik, ekonomik ve kimliksel) kadınların ortak ezilen bir sınıf olduğunu iddia ederler. Kadınların emek sömürüsünün mağdurları olduğunu ve bunun giderilmesi için “eşit işe eşit ücret” talebini dillendirirler. Bunların yanında kadınların iş yaşamındaki koşullarının iyileştirilmesi için pozitif hakları gündeme getirirler (Demir, 1997, Kayhan, 1997, </w:t>
      </w:r>
      <w:proofErr w:type="spellStart"/>
      <w:r w:rsidRPr="00A21CA7">
        <w:t>Donovan</w:t>
      </w:r>
      <w:proofErr w:type="spellEnd"/>
      <w:r w:rsidRPr="00A21CA7">
        <w:t xml:space="preserve">, 2001, Yörük, 2009, </w:t>
      </w:r>
      <w:proofErr w:type="spellStart"/>
      <w:r w:rsidRPr="00A21CA7">
        <w:t>Akt</w:t>
      </w:r>
      <w:proofErr w:type="spellEnd"/>
      <w:r w:rsidRPr="00A21CA7">
        <w:t xml:space="preserve">., </w:t>
      </w:r>
      <w:proofErr w:type="spellStart"/>
      <w:r w:rsidRPr="00A21CA7">
        <w:t>Mermutlu</w:t>
      </w:r>
      <w:proofErr w:type="spellEnd"/>
      <w:r w:rsidRPr="00A21CA7">
        <w:t xml:space="preserve"> ve Taş Çetin, 2023, s. 169).</w:t>
      </w:r>
    </w:p>
    <w:p w14:paraId="09B7C54C" w14:textId="77777777" w:rsidR="00C1011D" w:rsidRDefault="00C1011D" w:rsidP="00B80551">
      <w:pPr>
        <w:jc w:val="both"/>
      </w:pPr>
      <w:r w:rsidRPr="00A21CA7">
        <w:lastRenderedPageBreak/>
        <w:t>Marksist-sosyalist feministler, Marx’ın özellikle yabancılaşma kavramını kullanmışlardır. Bu bağlamda, yabancılaşmayı kendinden, diğer insanlardan ve anlam duygusundan kopuş olarak tanımlamışlardır. Ev işlerinin sıkıcı, önemsiz ve soyutlayıcı nitelikleri nedeniyle yabancılaştırıcı bir deneyim olarak değerlendirmişlerdir (</w:t>
      </w:r>
      <w:proofErr w:type="spellStart"/>
      <w:r w:rsidRPr="00A21CA7">
        <w:t>Donavan</w:t>
      </w:r>
      <w:proofErr w:type="spellEnd"/>
      <w:r w:rsidRPr="00A21CA7">
        <w:t xml:space="preserve">, 200, s. 153, Yörük, 2009, s. 68, </w:t>
      </w:r>
      <w:proofErr w:type="spellStart"/>
      <w:r w:rsidRPr="00A21CA7">
        <w:t>Akt</w:t>
      </w:r>
      <w:proofErr w:type="spellEnd"/>
      <w:r w:rsidRPr="00A21CA7">
        <w:t xml:space="preserve">., </w:t>
      </w:r>
      <w:proofErr w:type="spellStart"/>
      <w:r w:rsidRPr="00A21CA7">
        <w:t>Mermutlu</w:t>
      </w:r>
      <w:proofErr w:type="spellEnd"/>
      <w:r w:rsidRPr="00A21CA7">
        <w:t xml:space="preserve"> ve Taş Çetin, 2023, </w:t>
      </w:r>
      <w:proofErr w:type="spellStart"/>
      <w:r w:rsidRPr="00A21CA7">
        <w:t>s</w:t>
      </w:r>
      <w:r>
        <w:t>s</w:t>
      </w:r>
      <w:proofErr w:type="spellEnd"/>
      <w:r w:rsidRPr="00A21CA7">
        <w:t>.</w:t>
      </w:r>
      <w:r>
        <w:t xml:space="preserve"> </w:t>
      </w:r>
      <w:r w:rsidRPr="00A21CA7">
        <w:t>168-169).</w:t>
      </w:r>
    </w:p>
    <w:p w14:paraId="6B543CDB" w14:textId="77777777" w:rsidR="00B80551" w:rsidRPr="00A21CA7" w:rsidRDefault="00B80551" w:rsidP="00B80551">
      <w:pPr>
        <w:jc w:val="both"/>
        <w:rPr>
          <w:color w:val="FF0000"/>
        </w:rPr>
      </w:pPr>
    </w:p>
    <w:p w14:paraId="6A18B173" w14:textId="77777777" w:rsidR="00C1011D" w:rsidRDefault="00C1011D" w:rsidP="00B80551">
      <w:pPr>
        <w:jc w:val="both"/>
      </w:pPr>
      <w:r w:rsidRPr="00A21CA7">
        <w:t xml:space="preserve"> </w:t>
      </w:r>
      <w:r w:rsidRPr="00A21CA7">
        <w:rPr>
          <w:i/>
          <w:iCs/>
        </w:rPr>
        <w:t>“</w:t>
      </w:r>
      <w:r w:rsidRPr="00A21CA7">
        <w:t xml:space="preserve">Nancy </w:t>
      </w:r>
      <w:proofErr w:type="spellStart"/>
      <w:r w:rsidRPr="00A21CA7">
        <w:t>Chodorow’un</w:t>
      </w:r>
      <w:proofErr w:type="spellEnd"/>
      <w:r w:rsidRPr="00A21CA7">
        <w:t>, anneliğe ilişkin görüşünde; kadınların annelik rolünü üstlenmesinin hem bireysel kimliklerinin hem de toplumsal rollerinin şekillenmesinde önemli bir etkisi olduğunu savunur. “</w:t>
      </w:r>
      <w:proofErr w:type="spellStart"/>
      <w:r w:rsidRPr="00A21CA7">
        <w:rPr>
          <w:i/>
          <w:iCs/>
        </w:rPr>
        <w:t>The</w:t>
      </w:r>
      <w:proofErr w:type="spellEnd"/>
      <w:r w:rsidRPr="00A21CA7">
        <w:rPr>
          <w:i/>
          <w:iCs/>
        </w:rPr>
        <w:t xml:space="preserve"> </w:t>
      </w:r>
      <w:proofErr w:type="spellStart"/>
      <w:r w:rsidRPr="00A21CA7">
        <w:rPr>
          <w:i/>
          <w:iCs/>
        </w:rPr>
        <w:t>Reproduction</w:t>
      </w:r>
      <w:proofErr w:type="spellEnd"/>
      <w:r w:rsidRPr="00A21CA7">
        <w:rPr>
          <w:i/>
          <w:iCs/>
        </w:rPr>
        <w:t xml:space="preserve"> of </w:t>
      </w:r>
      <w:proofErr w:type="spellStart"/>
      <w:r w:rsidRPr="00A21CA7">
        <w:rPr>
          <w:i/>
          <w:iCs/>
        </w:rPr>
        <w:t>Mothering</w:t>
      </w:r>
      <w:proofErr w:type="spellEnd"/>
      <w:r w:rsidRPr="00A21CA7">
        <w:t xml:space="preserve">” (1978) adlı eserinde, anneliğin yalnızca biyolojik değil, aynı zamanda kültürel ve toplumsal bir süreç olduğunu ileri sürer. </w:t>
      </w:r>
      <w:proofErr w:type="spellStart"/>
      <w:r w:rsidRPr="00A21CA7">
        <w:t>Chodorow’un</w:t>
      </w:r>
      <w:proofErr w:type="spellEnd"/>
      <w:r w:rsidRPr="00A21CA7">
        <w:t xml:space="preserve"> çalışmasında, anneliğin kadınlar için bir kimlik ve yaşam pratiği olarak nesilden nesle aktarıldığını ve bunun özellikle kadınların duygusal emeğiyle bağlantılı olduğunu vurgular. Bu süreçte kadınlar, çocuklarının bakımı ve yetiştirilmesiyle duygusal bir bağ kurarken, erkek çocuklar annelerinden uzaklaşarak bireyselliklerini geliştirir. Bu durum, daha bağımsız roller üstlenirken, kadınların özel alana daha fazla bağlı kalmasına neden olur (</w:t>
      </w:r>
      <w:proofErr w:type="spellStart"/>
      <w:r w:rsidRPr="00A21CA7">
        <w:t>Chodorow</w:t>
      </w:r>
      <w:proofErr w:type="spellEnd"/>
      <w:r w:rsidRPr="00A21CA7">
        <w:t xml:space="preserve">, 1978, </w:t>
      </w:r>
      <w:proofErr w:type="spellStart"/>
      <w:r w:rsidRPr="00A21CA7">
        <w:t>Akt</w:t>
      </w:r>
      <w:proofErr w:type="spellEnd"/>
      <w:r w:rsidRPr="00A21CA7">
        <w:t>., Erdoğan, 2008, s.</w:t>
      </w:r>
      <w:r>
        <w:t xml:space="preserve"> </w:t>
      </w:r>
      <w:r w:rsidRPr="00A21CA7">
        <w:t>77)</w:t>
      </w:r>
      <w:r>
        <w:t>.</w:t>
      </w:r>
    </w:p>
    <w:p w14:paraId="7C4D8CBF" w14:textId="77777777" w:rsidR="00B80551" w:rsidRPr="00A21CA7" w:rsidRDefault="00B80551" w:rsidP="00B80551">
      <w:pPr>
        <w:jc w:val="both"/>
      </w:pPr>
    </w:p>
    <w:p w14:paraId="505C757F" w14:textId="77777777" w:rsidR="00C1011D" w:rsidRDefault="00C1011D" w:rsidP="00B80551">
      <w:pPr>
        <w:jc w:val="both"/>
      </w:pPr>
      <w:r w:rsidRPr="00A21CA7">
        <w:t>Sonuç olarak, Marksist ve sosyalist feminizm açısından annelik; kadınları baskı altına almasını sağlayan rol olarak ifade edilmektedir. Marksist feministler; annelik, çocuk bakımının ve ev içi emeğin kadınların kendilerine yabancılaşmasını sağlayan nedenler olarak yaklaşmaktadır. Yabancılaşma nedeniyle kadınlar, ev içinde kalarak toplumsal yaşamlarından uzaklaşmaktadırlar. Bu düşünce, Marksist feminizm bilinç yükseltme seansları ile kadınların beden kontrolü, ev içi emek gibi konular üzerinde düşünmeleri gerektiğini ifade etmektedir (</w:t>
      </w:r>
      <w:proofErr w:type="spellStart"/>
      <w:r w:rsidRPr="00A21CA7">
        <w:t>Donovan</w:t>
      </w:r>
      <w:proofErr w:type="spellEnd"/>
      <w:r w:rsidRPr="00A21CA7">
        <w:t xml:space="preserve">, 2006, </w:t>
      </w:r>
      <w:proofErr w:type="spellStart"/>
      <w:r w:rsidRPr="00A21CA7">
        <w:t>s</w:t>
      </w:r>
      <w:r>
        <w:t>s</w:t>
      </w:r>
      <w:proofErr w:type="spellEnd"/>
      <w:r w:rsidRPr="00A21CA7">
        <w:t xml:space="preserve">. 82-98). </w:t>
      </w:r>
    </w:p>
    <w:p w14:paraId="721898AD" w14:textId="77777777" w:rsidR="00B80551" w:rsidRPr="00A21CA7" w:rsidRDefault="00B80551" w:rsidP="00B80551">
      <w:pPr>
        <w:jc w:val="both"/>
        <w:rPr>
          <w:color w:val="FF0000"/>
        </w:rPr>
      </w:pPr>
    </w:p>
    <w:p w14:paraId="0614787C" w14:textId="77777777" w:rsidR="00C1011D" w:rsidRPr="00E9204D" w:rsidRDefault="00C1011D" w:rsidP="00B80551">
      <w:pPr>
        <w:jc w:val="both"/>
        <w:rPr>
          <w:b/>
          <w:bCs/>
          <w:sz w:val="28"/>
          <w:szCs w:val="28"/>
        </w:rPr>
      </w:pPr>
      <w:r w:rsidRPr="00E9204D">
        <w:rPr>
          <w:b/>
          <w:bCs/>
          <w:sz w:val="28"/>
          <w:szCs w:val="28"/>
        </w:rPr>
        <w:t>3.Radikal Feminizm</w:t>
      </w:r>
    </w:p>
    <w:p w14:paraId="5A5EDD60" w14:textId="77777777" w:rsidR="00C1011D" w:rsidRDefault="00C1011D" w:rsidP="00B80551">
      <w:pPr>
        <w:jc w:val="both"/>
      </w:pPr>
      <w:bookmarkStart w:id="266" w:name="_Hlk186060446"/>
      <w:r w:rsidRPr="00A21CA7">
        <w:t>Radikal feminizm, 1970'lerden sonra ortaya çıkan kadın ve erkek arasındaki eşitsiz toplumsal ilişkileri temelden sorgulayan bir hareket ve politik düşüncedir</w:t>
      </w:r>
      <w:r>
        <w:t xml:space="preserve"> </w:t>
      </w:r>
      <w:r w:rsidRPr="00A21CA7">
        <w:t>(</w:t>
      </w:r>
      <w:proofErr w:type="spellStart"/>
      <w:r w:rsidRPr="00A21CA7">
        <w:t>Mermutlu</w:t>
      </w:r>
      <w:proofErr w:type="spellEnd"/>
      <w:r w:rsidRPr="00A21CA7">
        <w:t xml:space="preserve"> ve Taş Çetin, 2023, s.</w:t>
      </w:r>
      <w:r>
        <w:t xml:space="preserve"> </w:t>
      </w:r>
      <w:r w:rsidRPr="00A21CA7">
        <w:t xml:space="preserve">169). Kadın erkek arasındaki eşitsizliği, ataerkil ve toplumsal cinsiyete bağlamaktadırlar. Radikal feministler, ‘özel olan politiktir’ söylemi üzerinden toplumsal cinsiyet eşitsizliğinin ailede yeniden üretildiğini vurgulamaktadırlar. Ailede başlayan eşitsizlik; eğitim, din, siyaset, iş gibi toplumsal alanlarda devam etmektedir. Bunu çözümlemek için ise kadın-erkek kimliklerinin tekrar düzenlenmesini ve dil ve kültürün eril yapısının dönüştürülmesini talep etmişlerdir. </w:t>
      </w:r>
    </w:p>
    <w:p w14:paraId="60678941" w14:textId="77777777" w:rsidR="00B80551" w:rsidRPr="00A21CA7" w:rsidRDefault="00B80551" w:rsidP="00B80551">
      <w:pPr>
        <w:jc w:val="both"/>
      </w:pPr>
    </w:p>
    <w:p w14:paraId="045F8BCA" w14:textId="77777777" w:rsidR="00C1011D" w:rsidRDefault="00C1011D" w:rsidP="00B80551">
      <w:pPr>
        <w:jc w:val="both"/>
      </w:pPr>
      <w:r w:rsidRPr="00A21CA7">
        <w:t>Radikal feminizm, erkek ve kadın arasında görülen eşitsizliğin ataerkil köklerine, kadınların erkekler tarafından toplumsal tahakkümüne vurgu yapar. Radikal feminizm, ataerkilliği, toplumsal hakları, ayrıcalıkları ve gücü öncelikle cinsiyete göre bölen ve sonuç olarak kadınları ezen ve erkekleri ayrıcalıklı kılan bir şey olarak görür.</w:t>
      </w:r>
    </w:p>
    <w:p w14:paraId="258B7B8C" w14:textId="77777777" w:rsidR="00B80551" w:rsidRPr="00A21CA7" w:rsidRDefault="00B80551" w:rsidP="00B80551">
      <w:pPr>
        <w:jc w:val="both"/>
      </w:pPr>
    </w:p>
    <w:p w14:paraId="608264AD" w14:textId="77777777" w:rsidR="00C1011D" w:rsidRDefault="00C1011D" w:rsidP="00B80551">
      <w:pPr>
        <w:jc w:val="both"/>
      </w:pPr>
      <w:r w:rsidRPr="00A21CA7">
        <w:t xml:space="preserve">Radikal feministlere göre genelde aile özel de ise annelik kurumu ataerkil sistemi yeniden üreten kurumlardır. Radikal feministler bu sebepten ötürü annelik kurumuna eleştirel yaklaşmaktadırlar. Onlar için kadınlara yapılan baskıların ana nedenini kadının anne olmasıdır. Kadınların baskı altında olmasının diğer sebeplerinden birisi de cinsel sınıf sistemidir. Bunun engellenmesi için kadınlar ile erkekler arasındaki biyolojik farklılığı en aza indirecek üretim teknolojilerinin geliştirilmesi gerektiğini savunmaktadırlar. Geliştirilen yeni teknolojilerle annelik, eski anlamını ve işlevini kaybedecektir. Oluşturulan bu yeni sistemle annelerin, çocuk </w:t>
      </w:r>
      <w:r w:rsidRPr="00A21CA7">
        <w:lastRenderedPageBreak/>
        <w:t xml:space="preserve">bakma zorunluluğu olmayacak, çocuk büyütmek isteyen de çocuk doğurmaya mecbur kalmayacaktır. Bu bağlamda bazı radikal feministlerin annelik üzerindeki yerleşmiş anlayışa karşı olduğu açığa çıkmaktadır (Demir, 1997, s. 66, </w:t>
      </w:r>
      <w:proofErr w:type="spellStart"/>
      <w:r w:rsidRPr="00A21CA7">
        <w:t>Akt</w:t>
      </w:r>
      <w:proofErr w:type="spellEnd"/>
      <w:r w:rsidRPr="00A21CA7">
        <w:t xml:space="preserve">., </w:t>
      </w:r>
      <w:proofErr w:type="spellStart"/>
      <w:r w:rsidRPr="00A21CA7">
        <w:t>Mermutlu</w:t>
      </w:r>
      <w:proofErr w:type="spellEnd"/>
      <w:r w:rsidRPr="00A21CA7">
        <w:t xml:space="preserve"> ve Taş Çetin, 2023, s.</w:t>
      </w:r>
      <w:r>
        <w:t xml:space="preserve"> </w:t>
      </w:r>
      <w:r w:rsidRPr="00A21CA7">
        <w:t>172).</w:t>
      </w:r>
    </w:p>
    <w:p w14:paraId="320BE06E" w14:textId="77777777" w:rsidR="00B80551" w:rsidRPr="00A21CA7" w:rsidRDefault="00B80551" w:rsidP="00B80551">
      <w:pPr>
        <w:jc w:val="both"/>
      </w:pPr>
    </w:p>
    <w:p w14:paraId="055D25B4" w14:textId="77777777" w:rsidR="00C1011D" w:rsidRDefault="00C1011D" w:rsidP="00B80551">
      <w:pPr>
        <w:jc w:val="both"/>
      </w:pPr>
      <w:r w:rsidRPr="00A21CA7">
        <w:t xml:space="preserve">Kadınların maruz kaldığı baskının nedenini üreyebilme yeteneği olduğunu öne süren </w:t>
      </w:r>
      <w:proofErr w:type="spellStart"/>
      <w:r w:rsidRPr="00A21CA7">
        <w:t>Shulamith</w:t>
      </w:r>
      <w:proofErr w:type="spellEnd"/>
      <w:r w:rsidRPr="00A21CA7">
        <w:t xml:space="preserve"> </w:t>
      </w:r>
      <w:proofErr w:type="spellStart"/>
      <w:r w:rsidRPr="00A21CA7">
        <w:t>Firestone’nin</w:t>
      </w:r>
      <w:proofErr w:type="spellEnd"/>
      <w:r w:rsidRPr="00A21CA7">
        <w:t xml:space="preserve"> temel savı üremenin fiziksel gerçekliklerinin kadını ev hayatı ile sınırladığı ve sosyal, politik ve ekonomik anlamda kadını güvensiz bir konuma düşürmesidir. Ona göre, kadınların özgürleşmesi biyolojik rollerden kurtulmalarıyla gerçekleşecektir. Bu konudaki en büyük isteği ise biyolojik yeniden üretim araçlarının ele geçirilmesi ve yapay üreme yöntemlerinin desteklenmesiyle kadınların özgürlüğüne kavuşmasıdır (Bahar, 2019, s.</w:t>
      </w:r>
      <w:r>
        <w:t xml:space="preserve"> </w:t>
      </w:r>
      <w:r w:rsidRPr="00A21CA7">
        <w:t>32).</w:t>
      </w:r>
    </w:p>
    <w:p w14:paraId="7C3EAC82" w14:textId="77777777" w:rsidR="00B80551" w:rsidRPr="00A21CA7" w:rsidRDefault="00B80551" w:rsidP="00B80551">
      <w:pPr>
        <w:jc w:val="both"/>
      </w:pPr>
    </w:p>
    <w:p w14:paraId="617C3099" w14:textId="77777777" w:rsidR="00C1011D" w:rsidRDefault="00C1011D" w:rsidP="00B80551">
      <w:pPr>
        <w:jc w:val="both"/>
      </w:pPr>
      <w:r w:rsidRPr="00A21CA7">
        <w:t>Anneliğin kadınlara doğuştan gelen içgüdüsel bir görev olduğu şeklindeki yaygın düşünceye karşı çıkan radikal feministler, anneliğin bir iş ve emek olduğuna vurgu yaparlar. Onlar anneliğin biyolojik olduğu kadar sosyal taraflarının da olduğunu düşünürler. “Onlara göre anneliğin izdüşümleri olan, doğurganlık, çocuk bakımı gibi pratiklerle kadın ev mekânına hapsedildi, çalışma hayatından uzaklaştırıldı. Bu yolla kadınların hem daha kolay kontrol altına alındığını hem de kadının üretici kapasitesinin küçümsendiğini vurgulamışlardır.” (</w:t>
      </w:r>
      <w:proofErr w:type="spellStart"/>
      <w:r w:rsidRPr="00A21CA7">
        <w:t>Neyer</w:t>
      </w:r>
      <w:proofErr w:type="spellEnd"/>
      <w:r w:rsidRPr="00A21CA7">
        <w:t xml:space="preserve"> ve </w:t>
      </w:r>
      <w:proofErr w:type="spellStart"/>
      <w:r w:rsidRPr="00A21CA7">
        <w:t>Bernerdi</w:t>
      </w:r>
      <w:proofErr w:type="spellEnd"/>
      <w:r w:rsidRPr="00A21CA7">
        <w:t>, 2011</w:t>
      </w:r>
      <w:r>
        <w:t>,</w:t>
      </w:r>
      <w:r w:rsidRPr="00A21CA7">
        <w:t xml:space="preserve"> </w:t>
      </w:r>
      <w:proofErr w:type="spellStart"/>
      <w:r>
        <w:t>ss</w:t>
      </w:r>
      <w:proofErr w:type="spellEnd"/>
      <w:r>
        <w:t xml:space="preserve">. </w:t>
      </w:r>
      <w:r w:rsidRPr="00A21CA7">
        <w:t xml:space="preserve">165-166, </w:t>
      </w:r>
      <w:proofErr w:type="spellStart"/>
      <w:r w:rsidRPr="00A21CA7">
        <w:t>Akt</w:t>
      </w:r>
      <w:proofErr w:type="spellEnd"/>
      <w:r w:rsidRPr="00A21CA7">
        <w:t xml:space="preserve">., </w:t>
      </w:r>
      <w:proofErr w:type="spellStart"/>
      <w:r w:rsidRPr="00A21CA7">
        <w:t>Mermutlu</w:t>
      </w:r>
      <w:proofErr w:type="spellEnd"/>
      <w:r w:rsidRPr="00A21CA7">
        <w:t xml:space="preserve"> ve Taş Çetin, 2023, </w:t>
      </w:r>
      <w:proofErr w:type="spellStart"/>
      <w:r w:rsidRPr="00A21CA7">
        <w:t>s</w:t>
      </w:r>
      <w:r>
        <w:t>s</w:t>
      </w:r>
      <w:proofErr w:type="spellEnd"/>
      <w:r w:rsidRPr="00A21CA7">
        <w:t>.</w:t>
      </w:r>
      <w:r>
        <w:t xml:space="preserve"> </w:t>
      </w:r>
      <w:r w:rsidRPr="00A21CA7">
        <w:t xml:space="preserve">171-172). </w:t>
      </w:r>
    </w:p>
    <w:p w14:paraId="6CA81C5D" w14:textId="77777777" w:rsidR="00B80551" w:rsidRPr="00A21CA7" w:rsidRDefault="00B80551" w:rsidP="00B80551">
      <w:pPr>
        <w:jc w:val="both"/>
      </w:pPr>
    </w:p>
    <w:p w14:paraId="74613EFC" w14:textId="77777777" w:rsidR="00C1011D" w:rsidRDefault="00C1011D" w:rsidP="00B80551">
      <w:pPr>
        <w:jc w:val="both"/>
      </w:pPr>
      <w:r w:rsidRPr="00A21CA7">
        <w:t xml:space="preserve">Ann </w:t>
      </w:r>
      <w:proofErr w:type="spellStart"/>
      <w:r w:rsidRPr="00A21CA7">
        <w:t>Oakley</w:t>
      </w:r>
      <w:proofErr w:type="spellEnd"/>
      <w:r w:rsidRPr="00A21CA7">
        <w:t>, annelik ve doğum üzerinden kadının ailedeki belirlenmiş konumuna dikkat çeker. “</w:t>
      </w:r>
      <w:proofErr w:type="spellStart"/>
      <w:r w:rsidRPr="00A21CA7">
        <w:t>Oakley’e</w:t>
      </w:r>
      <w:proofErr w:type="spellEnd"/>
      <w:r w:rsidRPr="00A21CA7">
        <w:t xml:space="preserve"> göre bu süreç annelik efsanesiyle işlemektedir ve bu efsane üç aşamalı bir anlayışla sağlanır.” Bunlardan ilki çocukların annelerine gereksinim duyduğunu, ikincisi annelerin çocuklarına gereksinim duyduğunu ve üçüncüsü de “anneliğin kadınların yaşamındaki en büyük başarıları olduğunu telkin eder.” Annelik kadınların kendilerini gerçekleştirmenin tek yolu olarak gösterilir. Ona göre bu efsane kadınların gördüğü eziyetin sebebidir ve bu üç önermeyi de kanıtlayan bir bulgu yoktur. “</w:t>
      </w:r>
      <w:proofErr w:type="spellStart"/>
      <w:r w:rsidRPr="00A21CA7">
        <w:t>Oakley</w:t>
      </w:r>
      <w:proofErr w:type="spellEnd"/>
      <w:r w:rsidRPr="00A21CA7">
        <w:t xml:space="preserve"> çocukluğundan beri anneliğe şartlandırılmış olarak büyüyen bir kızın anneliğe ihtiyaç duyacağını, anne ile yaşamaya alışkın çocuğun anneye ihtiyaç duyacağını ama bunları genel geçer ilkeler olarak kabul etmenin doğru olmayacağını belirtir.” </w:t>
      </w:r>
      <w:r w:rsidRPr="004D5636">
        <w:t>(</w:t>
      </w:r>
      <w:proofErr w:type="spellStart"/>
      <w:r w:rsidRPr="004D5636">
        <w:t>Oakley</w:t>
      </w:r>
      <w:proofErr w:type="spellEnd"/>
      <w:r w:rsidRPr="004D5636">
        <w:t>, 1974, s.</w:t>
      </w:r>
      <w:r>
        <w:t xml:space="preserve"> </w:t>
      </w:r>
      <w:r w:rsidRPr="004D5636">
        <w:t>186, Çağıl, 2020, s.</w:t>
      </w:r>
      <w:r>
        <w:t xml:space="preserve"> </w:t>
      </w:r>
      <w:r w:rsidRPr="004D5636">
        <w:t xml:space="preserve">141, </w:t>
      </w:r>
      <w:proofErr w:type="spellStart"/>
      <w:r w:rsidRPr="004D5636">
        <w:t>Akt</w:t>
      </w:r>
      <w:proofErr w:type="spellEnd"/>
      <w:r w:rsidRPr="004D5636">
        <w:t xml:space="preserve">., </w:t>
      </w:r>
      <w:proofErr w:type="spellStart"/>
      <w:r w:rsidRPr="004D5636">
        <w:t>Mermutlu</w:t>
      </w:r>
      <w:proofErr w:type="spellEnd"/>
      <w:r w:rsidRPr="004D5636">
        <w:t xml:space="preserve"> ve Taş Çetin, 2023, s.</w:t>
      </w:r>
      <w:r>
        <w:t xml:space="preserve"> </w:t>
      </w:r>
      <w:r w:rsidRPr="004D5636">
        <w:t xml:space="preserve">172). </w:t>
      </w:r>
      <w:bookmarkEnd w:id="266"/>
    </w:p>
    <w:p w14:paraId="413CCBD2" w14:textId="77777777" w:rsidR="00B80551" w:rsidRPr="004D5636" w:rsidRDefault="00B80551" w:rsidP="00B80551">
      <w:pPr>
        <w:jc w:val="both"/>
      </w:pPr>
    </w:p>
    <w:p w14:paraId="51BA4ED8" w14:textId="77777777" w:rsidR="00C1011D" w:rsidRPr="00A7450D" w:rsidRDefault="00C1011D" w:rsidP="00B80551">
      <w:pPr>
        <w:jc w:val="both"/>
        <w:rPr>
          <w:b/>
          <w:bCs/>
          <w:sz w:val="28"/>
          <w:szCs w:val="28"/>
        </w:rPr>
      </w:pPr>
      <w:r w:rsidRPr="00A7450D">
        <w:rPr>
          <w:b/>
          <w:bCs/>
          <w:sz w:val="28"/>
          <w:szCs w:val="28"/>
        </w:rPr>
        <w:t>Sonuç</w:t>
      </w:r>
    </w:p>
    <w:p w14:paraId="736F93B3" w14:textId="77777777" w:rsidR="00C1011D" w:rsidRDefault="00C1011D" w:rsidP="00B80551">
      <w:pPr>
        <w:jc w:val="both"/>
      </w:pPr>
      <w:bookmarkStart w:id="267" w:name="_Hlk191489773"/>
      <w:r>
        <w:t xml:space="preserve">Toplumsal yaşam içinde kurgulanan annelik, kadınların biyolojik olarak doğurgan olması etrafında temellenir. Bundandır ki anneliğin içgüdüsel olduğu ve her kadının annelik sevgisini içinde barındırdığını varsayılır. Nitekim annelik sevgisi, kadının biyolojik durumundan ziyade içinde yaşadığı toplumdan, yaşam biçiminden, kültürden etkilenir. </w:t>
      </w:r>
      <w:r w:rsidRPr="00A21CA7">
        <w:t>Bu çalışmada, annelik</w:t>
      </w:r>
      <w:r>
        <w:t xml:space="preserve"> sevgisi</w:t>
      </w:r>
      <w:r w:rsidRPr="00A21CA7">
        <w:t xml:space="preserve"> kavramının feminist teori</w:t>
      </w:r>
      <w:r>
        <w:t xml:space="preserve">lerdeki üç akım </w:t>
      </w:r>
      <w:r w:rsidRPr="00A21CA7">
        <w:t xml:space="preserve">içinde önemli bir tartışma alanı olduğu belirtilmektedir. Feminist teorilerin her biri, anneliği farklı şekillerde ele almaktadır. </w:t>
      </w:r>
    </w:p>
    <w:p w14:paraId="1B9EEB6F" w14:textId="77777777" w:rsidR="00B80551" w:rsidRDefault="00B80551" w:rsidP="00B80551">
      <w:pPr>
        <w:jc w:val="both"/>
      </w:pPr>
    </w:p>
    <w:p w14:paraId="1A823510" w14:textId="77777777" w:rsidR="00C1011D" w:rsidRDefault="00C1011D" w:rsidP="00B80551">
      <w:pPr>
        <w:jc w:val="both"/>
      </w:pPr>
      <w:r w:rsidRPr="00A21CA7">
        <w:t>Liberal feministler, anneliği kadının bireysel bir tercihi olarak kabul ederler. Onlara göre kadınların annelik rolüyle birlikte toplumsal ve ekonomik hayatta da yer alabilmesi için destekleyici politikalar gereklidir. Onların vurgulamak istediği eşitlikçi bir düzendir. Marksist-sosyalist feministler</w:t>
      </w:r>
      <w:r>
        <w:t xml:space="preserve"> ise </w:t>
      </w:r>
      <w:r w:rsidRPr="00A21CA7">
        <w:t>eşitsizliğin hem ataerkillikten hem de kapitalizmden kaynaklandığını düşünürler. Onlara göre annelik ve ev içi emek, kadınların kendilerine yabancılaşmasına neden olur. Bundan dolayı kadınlar toplumsal hayattan uzaklaşmaya başlar. Radikal feministler</w:t>
      </w:r>
      <w:r>
        <w:t xml:space="preserve"> </w:t>
      </w:r>
      <w:r w:rsidRPr="00A21CA7">
        <w:t xml:space="preserve">anneliğin ataerkil sistemi yeniden üreten bir kurum olduğunu savunurlar. Onlara göre annelik kadınlara yapılan baskının temel nedenlerinden biridir. Onlar kadınların biyolojik rollerden kurtulması için yapay üreme teknolojilerinin geliştirilmesi gerektiğini savunurlar. Annelik </w:t>
      </w:r>
      <w:r w:rsidRPr="00A21CA7">
        <w:lastRenderedPageBreak/>
        <w:t>rolünün, kadınların ev içine hapsolmasına ve</w:t>
      </w:r>
      <w:r w:rsidRPr="00A21CA7">
        <w:rPr>
          <w:b/>
          <w:bCs/>
        </w:rPr>
        <w:t xml:space="preserve"> </w:t>
      </w:r>
      <w:r w:rsidRPr="00A21CA7">
        <w:t>çalışma hayatından uzaklaşmasına neden olduğunu belirtirler.</w:t>
      </w:r>
    </w:p>
    <w:p w14:paraId="29017F46" w14:textId="77777777" w:rsidR="00B80551" w:rsidRPr="00A21CA7" w:rsidRDefault="00B80551" w:rsidP="00B80551">
      <w:pPr>
        <w:jc w:val="both"/>
      </w:pPr>
    </w:p>
    <w:p w14:paraId="103A6408" w14:textId="77777777" w:rsidR="00C1011D" w:rsidRDefault="00C1011D" w:rsidP="00B80551">
      <w:pPr>
        <w:jc w:val="both"/>
      </w:pPr>
      <w:r w:rsidRPr="00A21CA7">
        <w:t>Bu bağlamda şu sorulara yanıt aranmıştır: Anneli</w:t>
      </w:r>
      <w:r>
        <w:t>k</w:t>
      </w:r>
      <w:r w:rsidRPr="00A21CA7">
        <w:t xml:space="preserve"> sevgisi var mıdır? Annelik, kadının biyolojik bir gerçeği midir? Toplum tarafından oluşturulan bir tahakküm müdür? Bu sorulara yanıt arayan bu çalışma</w:t>
      </w:r>
      <w:r>
        <w:t xml:space="preserve">da </w:t>
      </w:r>
      <w:r w:rsidRPr="00A21CA7">
        <w:t>anne</w:t>
      </w:r>
      <w:r>
        <w:t xml:space="preserve"> olmanın</w:t>
      </w:r>
      <w:r w:rsidRPr="00A21CA7">
        <w:t xml:space="preserve"> biyolojik </w:t>
      </w:r>
      <w:r>
        <w:t xml:space="preserve">gerçeğinin arkasında yatan annelik sevgisinin toplumsal bir inşa olduğu sonucuna ulaşılmıştır. </w:t>
      </w:r>
    </w:p>
    <w:p w14:paraId="2B1C49BE" w14:textId="77777777" w:rsidR="00C1011D" w:rsidRDefault="00C1011D" w:rsidP="00B80551">
      <w:pPr>
        <w:jc w:val="both"/>
        <w:rPr>
          <w:b/>
          <w:bCs/>
          <w:sz w:val="28"/>
          <w:szCs w:val="28"/>
        </w:rPr>
      </w:pPr>
    </w:p>
    <w:p w14:paraId="7745D8C2" w14:textId="77777777" w:rsidR="00C1011D" w:rsidRDefault="00C1011D" w:rsidP="00B80551">
      <w:pPr>
        <w:rPr>
          <w:b/>
          <w:bCs/>
          <w:sz w:val="28"/>
          <w:szCs w:val="28"/>
        </w:rPr>
      </w:pPr>
      <w:r w:rsidRPr="00A7450D">
        <w:rPr>
          <w:b/>
          <w:bCs/>
          <w:sz w:val="28"/>
          <w:szCs w:val="28"/>
        </w:rPr>
        <w:t>KAYNAKÇA</w:t>
      </w:r>
    </w:p>
    <w:p w14:paraId="4D998968" w14:textId="77777777" w:rsidR="00C1011D" w:rsidRPr="00A7450D" w:rsidRDefault="00C1011D" w:rsidP="00B80551">
      <w:pPr>
        <w:ind w:left="708"/>
        <w:jc w:val="both"/>
        <w:rPr>
          <w:b/>
          <w:bCs/>
          <w:sz w:val="28"/>
          <w:szCs w:val="28"/>
        </w:rPr>
      </w:pPr>
    </w:p>
    <w:bookmarkEnd w:id="267"/>
    <w:p w14:paraId="16392916" w14:textId="77777777" w:rsidR="00C1011D" w:rsidRPr="00C7741F" w:rsidRDefault="00C1011D">
      <w:pPr>
        <w:pStyle w:val="ListeParagraf"/>
        <w:numPr>
          <w:ilvl w:val="0"/>
          <w:numId w:val="85"/>
        </w:numPr>
        <w:jc w:val="both"/>
      </w:pPr>
      <w:r w:rsidRPr="00C7741F">
        <w:t xml:space="preserve">Bahar, B. (2019). </w:t>
      </w:r>
      <w:r w:rsidRPr="00B80551">
        <w:rPr>
          <w:i/>
          <w:iCs/>
        </w:rPr>
        <w:t xml:space="preserve">Toplumsal cinsiyet bağlamında kadının annelik rolü: Elisabeth </w:t>
      </w:r>
      <w:proofErr w:type="spellStart"/>
      <w:r w:rsidRPr="00B80551">
        <w:rPr>
          <w:i/>
          <w:iCs/>
        </w:rPr>
        <w:t>Badınter</w:t>
      </w:r>
      <w:proofErr w:type="spellEnd"/>
      <w:r w:rsidRPr="00B80551">
        <w:rPr>
          <w:i/>
          <w:iCs/>
        </w:rPr>
        <w:t xml:space="preserve"> ve eleştirel annelik teorisi</w:t>
      </w:r>
      <w:r w:rsidRPr="00C7741F">
        <w:t xml:space="preserve"> </w:t>
      </w:r>
      <w:r>
        <w:t>[</w:t>
      </w:r>
      <w:r w:rsidRPr="00C7741F">
        <w:t>Yüksek Lisans Tezi. Gaziantep Üniversitesi</w:t>
      </w:r>
      <w:r>
        <w:t>]. Ulusal Tez Merkezi.</w:t>
      </w:r>
      <w:r w:rsidRPr="00C7741F">
        <w:t xml:space="preserve"> </w:t>
      </w:r>
    </w:p>
    <w:p w14:paraId="29E9DD5A" w14:textId="77777777" w:rsidR="00C1011D" w:rsidRPr="00C7741F" w:rsidRDefault="00C1011D">
      <w:pPr>
        <w:pStyle w:val="ListeParagraf"/>
        <w:numPr>
          <w:ilvl w:val="0"/>
          <w:numId w:val="85"/>
        </w:numPr>
        <w:jc w:val="both"/>
      </w:pPr>
      <w:proofErr w:type="spellStart"/>
      <w:r w:rsidRPr="00C7741F">
        <w:t>Donovan</w:t>
      </w:r>
      <w:proofErr w:type="spellEnd"/>
      <w:r w:rsidRPr="00C7741F">
        <w:t xml:space="preserve">, J. (2014). </w:t>
      </w:r>
      <w:r w:rsidRPr="00B80551">
        <w:rPr>
          <w:i/>
          <w:iCs/>
        </w:rPr>
        <w:t>Feminist teori</w:t>
      </w:r>
      <w:r w:rsidRPr="00C7741F">
        <w:t xml:space="preserve"> (M. A. Aksu Bora, Çev.)</w:t>
      </w:r>
      <w:r>
        <w:t>.</w:t>
      </w:r>
      <w:r w:rsidRPr="00C7741F">
        <w:t xml:space="preserve"> İletişim Yayınları.</w:t>
      </w:r>
    </w:p>
    <w:p w14:paraId="0BDD8D8E" w14:textId="77777777" w:rsidR="00C1011D" w:rsidRPr="00C7741F" w:rsidRDefault="00C1011D">
      <w:pPr>
        <w:pStyle w:val="ListeParagraf"/>
        <w:numPr>
          <w:ilvl w:val="0"/>
          <w:numId w:val="85"/>
        </w:numPr>
        <w:jc w:val="both"/>
      </w:pPr>
      <w:r w:rsidRPr="00C7741F">
        <w:t xml:space="preserve">Erdoğan, D. T. (2008). Nancy </w:t>
      </w:r>
      <w:proofErr w:type="spellStart"/>
      <w:r w:rsidRPr="00C7741F">
        <w:t>Chodorow’un</w:t>
      </w:r>
      <w:proofErr w:type="spellEnd"/>
      <w:r w:rsidRPr="00C7741F">
        <w:t xml:space="preserve"> </w:t>
      </w:r>
      <w:r>
        <w:t>d</w:t>
      </w:r>
      <w:r w:rsidRPr="00C7741F">
        <w:t xml:space="preserve">üşüncesinde </w:t>
      </w:r>
      <w:r>
        <w:t>t</w:t>
      </w:r>
      <w:r w:rsidRPr="00C7741F">
        <w:t xml:space="preserve">oplumsal </w:t>
      </w:r>
      <w:r>
        <w:t>c</w:t>
      </w:r>
      <w:r w:rsidRPr="00C7741F">
        <w:t xml:space="preserve">insiyet </w:t>
      </w:r>
      <w:r>
        <w:t>o</w:t>
      </w:r>
      <w:r w:rsidRPr="00C7741F">
        <w:t xml:space="preserve">rganizasyonunun </w:t>
      </w:r>
      <w:r>
        <w:t>m</w:t>
      </w:r>
      <w:r w:rsidRPr="00C7741F">
        <w:t xml:space="preserve">erkezi </w:t>
      </w:r>
      <w:r>
        <w:t>u</w:t>
      </w:r>
      <w:r w:rsidRPr="00C7741F">
        <w:t xml:space="preserve">nsuru </w:t>
      </w:r>
      <w:r>
        <w:t>o</w:t>
      </w:r>
      <w:r w:rsidRPr="00C7741F">
        <w:t xml:space="preserve">larak </w:t>
      </w:r>
      <w:r>
        <w:t>a</w:t>
      </w:r>
      <w:r w:rsidRPr="00C7741F">
        <w:t xml:space="preserve">nnelik. </w:t>
      </w:r>
      <w:r w:rsidRPr="00B80551">
        <w:rPr>
          <w:i/>
          <w:iCs/>
        </w:rPr>
        <w:t>Sosyal Politika Çalışmaları Dergisi</w:t>
      </w:r>
      <w:r w:rsidRPr="00C7741F">
        <w:t xml:space="preserve">, </w:t>
      </w:r>
      <w:r w:rsidRPr="00B80551">
        <w:rPr>
          <w:i/>
          <w:iCs/>
        </w:rPr>
        <w:t>14</w:t>
      </w:r>
      <w:r w:rsidRPr="00C7741F">
        <w:t xml:space="preserve">(14), 73-82. </w:t>
      </w:r>
      <w:r w:rsidRPr="00E9204D">
        <w:t>https://doi.org/10.21560/spcd.08011</w:t>
      </w:r>
      <w:r>
        <w:t>.</w:t>
      </w:r>
    </w:p>
    <w:p w14:paraId="4D8C3B7B" w14:textId="77777777" w:rsidR="00C1011D" w:rsidRPr="00C7741F" w:rsidRDefault="00C1011D">
      <w:pPr>
        <w:pStyle w:val="ListeParagraf"/>
        <w:numPr>
          <w:ilvl w:val="0"/>
          <w:numId w:val="85"/>
        </w:numPr>
        <w:jc w:val="both"/>
      </w:pPr>
      <w:r w:rsidRPr="00C7741F">
        <w:t xml:space="preserve">Geçit, B. (2013). John Stuart </w:t>
      </w:r>
      <w:proofErr w:type="spellStart"/>
      <w:r w:rsidRPr="00C7741F">
        <w:t>Mill’de</w:t>
      </w:r>
      <w:proofErr w:type="spellEnd"/>
      <w:r w:rsidRPr="00C7741F">
        <w:t xml:space="preserve"> </w:t>
      </w:r>
      <w:r>
        <w:t>k</w:t>
      </w:r>
      <w:r w:rsidRPr="00C7741F">
        <w:t xml:space="preserve">adının </w:t>
      </w:r>
      <w:r>
        <w:t>t</w:t>
      </w:r>
      <w:r w:rsidRPr="00C7741F">
        <w:t xml:space="preserve">oplumsal </w:t>
      </w:r>
      <w:r>
        <w:t>k</w:t>
      </w:r>
      <w:r w:rsidRPr="00C7741F">
        <w:t xml:space="preserve">onumu. </w:t>
      </w:r>
      <w:proofErr w:type="spellStart"/>
      <w:r w:rsidRPr="00B80551">
        <w:rPr>
          <w:i/>
          <w:iCs/>
        </w:rPr>
        <w:t>Beytulhikme</w:t>
      </w:r>
      <w:proofErr w:type="spellEnd"/>
      <w:r w:rsidRPr="00B80551">
        <w:rPr>
          <w:i/>
          <w:iCs/>
        </w:rPr>
        <w:t xml:space="preserve"> An International </w:t>
      </w:r>
      <w:proofErr w:type="spellStart"/>
      <w:r w:rsidRPr="00B80551">
        <w:rPr>
          <w:i/>
          <w:iCs/>
        </w:rPr>
        <w:t>Journal</w:t>
      </w:r>
      <w:proofErr w:type="spellEnd"/>
      <w:r w:rsidRPr="00B80551">
        <w:rPr>
          <w:i/>
          <w:iCs/>
        </w:rPr>
        <w:t xml:space="preserve"> of </w:t>
      </w:r>
      <w:proofErr w:type="spellStart"/>
      <w:r w:rsidRPr="00B80551">
        <w:rPr>
          <w:i/>
          <w:iCs/>
        </w:rPr>
        <w:t>Philosophy</w:t>
      </w:r>
      <w:proofErr w:type="spellEnd"/>
      <w:r w:rsidRPr="00B80551">
        <w:rPr>
          <w:i/>
          <w:iCs/>
        </w:rPr>
        <w:t>, 3</w:t>
      </w:r>
      <w:r w:rsidRPr="00C7741F">
        <w:t>(2), 105-127.</w:t>
      </w:r>
      <w:r>
        <w:t xml:space="preserve"> </w:t>
      </w:r>
    </w:p>
    <w:p w14:paraId="17D2AEAF" w14:textId="77777777" w:rsidR="00C1011D" w:rsidRPr="00C7741F" w:rsidRDefault="00C1011D">
      <w:pPr>
        <w:pStyle w:val="ListeParagraf"/>
        <w:numPr>
          <w:ilvl w:val="0"/>
          <w:numId w:val="85"/>
        </w:numPr>
        <w:jc w:val="both"/>
      </w:pPr>
      <w:proofErr w:type="spellStart"/>
      <w:r w:rsidRPr="00C7741F">
        <w:t>Mermutlu</w:t>
      </w:r>
      <w:proofErr w:type="spellEnd"/>
      <w:r w:rsidRPr="00C7741F">
        <w:t xml:space="preserve">, A., &amp; Taş Çetin, F. (2023). Radikal </w:t>
      </w:r>
      <w:r>
        <w:t>f</w:t>
      </w:r>
      <w:r w:rsidRPr="00C7741F">
        <w:t xml:space="preserve">eminist </w:t>
      </w:r>
      <w:r>
        <w:t>k</w:t>
      </w:r>
      <w:r w:rsidRPr="00C7741F">
        <w:t xml:space="preserve">uram ve </w:t>
      </w:r>
      <w:r>
        <w:t>a</w:t>
      </w:r>
      <w:r w:rsidRPr="00C7741F">
        <w:t xml:space="preserve">nnelik </w:t>
      </w:r>
      <w:r>
        <w:t>s</w:t>
      </w:r>
      <w:r w:rsidRPr="00C7741F">
        <w:t xml:space="preserve">öylemi. </w:t>
      </w:r>
      <w:r w:rsidRPr="00B80551">
        <w:rPr>
          <w:i/>
          <w:iCs/>
        </w:rPr>
        <w:t>HAFIZA</w:t>
      </w:r>
      <w:r w:rsidRPr="00C7741F">
        <w:t xml:space="preserve">, </w:t>
      </w:r>
      <w:r w:rsidRPr="00B80551">
        <w:rPr>
          <w:i/>
          <w:iCs/>
        </w:rPr>
        <w:t>5</w:t>
      </w:r>
      <w:r w:rsidRPr="00C7741F">
        <w:t xml:space="preserve">(2), 163-176. </w:t>
      </w:r>
      <w:r w:rsidRPr="001F09AE">
        <w:t>https://doi.org/10.56671/hafizadergisi.1364026</w:t>
      </w:r>
    </w:p>
    <w:p w14:paraId="0884309E" w14:textId="77777777" w:rsidR="00C1011D" w:rsidRPr="00C7741F" w:rsidRDefault="00C1011D">
      <w:pPr>
        <w:pStyle w:val="ListeParagraf"/>
        <w:numPr>
          <w:ilvl w:val="0"/>
          <w:numId w:val="85"/>
        </w:numPr>
        <w:jc w:val="both"/>
      </w:pPr>
      <w:proofErr w:type="spellStart"/>
      <w:r w:rsidRPr="00C7741F">
        <w:t>Okin</w:t>
      </w:r>
      <w:proofErr w:type="spellEnd"/>
      <w:r w:rsidRPr="00C7741F">
        <w:t xml:space="preserve">, S. (1989). </w:t>
      </w:r>
      <w:proofErr w:type="spellStart"/>
      <w:r w:rsidRPr="00B80551">
        <w:rPr>
          <w:i/>
          <w:iCs/>
        </w:rPr>
        <w:t>Justıce</w:t>
      </w:r>
      <w:proofErr w:type="spellEnd"/>
      <w:r w:rsidRPr="00B80551">
        <w:rPr>
          <w:i/>
          <w:iCs/>
        </w:rPr>
        <w:t xml:space="preserve">, </w:t>
      </w:r>
      <w:proofErr w:type="spellStart"/>
      <w:r w:rsidRPr="00B80551">
        <w:rPr>
          <w:i/>
          <w:iCs/>
        </w:rPr>
        <w:t>Gender</w:t>
      </w:r>
      <w:proofErr w:type="spellEnd"/>
      <w:r w:rsidRPr="00B80551">
        <w:rPr>
          <w:i/>
          <w:iCs/>
        </w:rPr>
        <w:t xml:space="preserve">, </w:t>
      </w:r>
      <w:proofErr w:type="spellStart"/>
      <w:r w:rsidRPr="00B80551">
        <w:rPr>
          <w:i/>
          <w:iCs/>
        </w:rPr>
        <w:t>and</w:t>
      </w:r>
      <w:proofErr w:type="spellEnd"/>
      <w:r w:rsidRPr="00B80551">
        <w:rPr>
          <w:i/>
          <w:iCs/>
        </w:rPr>
        <w:t xml:space="preserve"> </w:t>
      </w:r>
      <w:proofErr w:type="spellStart"/>
      <w:r w:rsidRPr="00B80551">
        <w:rPr>
          <w:i/>
          <w:iCs/>
        </w:rPr>
        <w:t>the</w:t>
      </w:r>
      <w:proofErr w:type="spellEnd"/>
      <w:r w:rsidRPr="00B80551">
        <w:rPr>
          <w:i/>
          <w:iCs/>
        </w:rPr>
        <w:t xml:space="preserve"> </w:t>
      </w:r>
      <w:proofErr w:type="spellStart"/>
      <w:r w:rsidRPr="00B80551">
        <w:rPr>
          <w:i/>
          <w:iCs/>
        </w:rPr>
        <w:t>Famıly</w:t>
      </w:r>
      <w:proofErr w:type="spellEnd"/>
      <w:r w:rsidRPr="00B80551">
        <w:rPr>
          <w:i/>
          <w:iCs/>
        </w:rPr>
        <w:t xml:space="preserve">. </w:t>
      </w:r>
      <w:proofErr w:type="spellStart"/>
      <w:r w:rsidRPr="00C7741F">
        <w:t>The</w:t>
      </w:r>
      <w:proofErr w:type="spellEnd"/>
      <w:r w:rsidRPr="00C7741F">
        <w:t xml:space="preserve"> </w:t>
      </w:r>
      <w:proofErr w:type="spellStart"/>
      <w:r w:rsidRPr="00C7741F">
        <w:t>University</w:t>
      </w:r>
      <w:proofErr w:type="spellEnd"/>
      <w:r w:rsidRPr="00C7741F">
        <w:t xml:space="preserve"> of Chicago Pres.</w:t>
      </w:r>
    </w:p>
    <w:p w14:paraId="5249C3FC" w14:textId="77777777" w:rsidR="00C1011D" w:rsidRPr="00C7741F" w:rsidRDefault="00C1011D">
      <w:pPr>
        <w:pStyle w:val="ListeParagraf"/>
        <w:numPr>
          <w:ilvl w:val="0"/>
          <w:numId w:val="85"/>
        </w:numPr>
        <w:jc w:val="both"/>
      </w:pPr>
      <w:proofErr w:type="spellStart"/>
      <w:r w:rsidRPr="00C7741F">
        <w:t>Timurturkan</w:t>
      </w:r>
      <w:proofErr w:type="spellEnd"/>
      <w:r w:rsidRPr="00C7741F">
        <w:t xml:space="preserve">, M. (2019). Annelik, </w:t>
      </w:r>
      <w:r>
        <w:t>s</w:t>
      </w:r>
      <w:r w:rsidRPr="00C7741F">
        <w:t xml:space="preserve">öylem ve </w:t>
      </w:r>
      <w:r>
        <w:t>i</w:t>
      </w:r>
      <w:r w:rsidRPr="00C7741F">
        <w:t xml:space="preserve">ktidar: </w:t>
      </w:r>
      <w:r>
        <w:t>e</w:t>
      </w:r>
      <w:r w:rsidRPr="00C7741F">
        <w:t xml:space="preserve">leştirel </w:t>
      </w:r>
      <w:r>
        <w:t>b</w:t>
      </w:r>
      <w:r w:rsidRPr="00C7741F">
        <w:t xml:space="preserve">ir </w:t>
      </w:r>
      <w:r>
        <w:t>t</w:t>
      </w:r>
      <w:r w:rsidRPr="00C7741F">
        <w:t xml:space="preserve">artışma. </w:t>
      </w:r>
      <w:r w:rsidRPr="00B80551">
        <w:rPr>
          <w:i/>
          <w:iCs/>
        </w:rPr>
        <w:t>SDÜ Fen Edebiyat Fakültesi Sosyal Bilimler Dergisi</w:t>
      </w:r>
      <w:r w:rsidRPr="00C7741F">
        <w:t>,</w:t>
      </w:r>
      <w:r>
        <w:t xml:space="preserve"> (47),</w:t>
      </w:r>
      <w:r w:rsidRPr="00C7741F">
        <w:t xml:space="preserve"> 64-78.</w:t>
      </w:r>
      <w:r>
        <w:t xml:space="preserve"> </w:t>
      </w:r>
      <w:r w:rsidRPr="00E90C4D">
        <w:t>https://doi.org/10.35237/sufesosbil.630546</w:t>
      </w:r>
      <w:r>
        <w:t>.</w:t>
      </w:r>
    </w:p>
    <w:p w14:paraId="72F0894A" w14:textId="3F4ED274" w:rsidR="00D37D80" w:rsidRDefault="00C1011D">
      <w:pPr>
        <w:pStyle w:val="ListeParagraf"/>
        <w:numPr>
          <w:ilvl w:val="0"/>
          <w:numId w:val="85"/>
        </w:numPr>
        <w:jc w:val="both"/>
      </w:pPr>
      <w:proofErr w:type="spellStart"/>
      <w:r w:rsidRPr="00C7741F">
        <w:t>Tunçdemir</w:t>
      </w:r>
      <w:proofErr w:type="spellEnd"/>
      <w:r w:rsidRPr="00C7741F">
        <w:t>, N. (2023)</w:t>
      </w:r>
      <w:r>
        <w:t>.</w:t>
      </w:r>
      <w:r w:rsidRPr="00C7741F">
        <w:t xml:space="preserve"> Toplumsal </w:t>
      </w:r>
      <w:r>
        <w:t>c</w:t>
      </w:r>
      <w:r w:rsidRPr="00C7741F">
        <w:t xml:space="preserve">insiyet ve </w:t>
      </w:r>
      <w:r>
        <w:t>a</w:t>
      </w:r>
      <w:r w:rsidRPr="00C7741F">
        <w:t xml:space="preserve">nnelik: </w:t>
      </w:r>
      <w:r>
        <w:t>k</w:t>
      </w:r>
      <w:r w:rsidRPr="00C7741F">
        <w:t xml:space="preserve">adınların </w:t>
      </w:r>
      <w:r>
        <w:t>d</w:t>
      </w:r>
      <w:r w:rsidRPr="00C7741F">
        <w:t xml:space="preserve">eneyimleri </w:t>
      </w:r>
      <w:r>
        <w:t>ü</w:t>
      </w:r>
      <w:r w:rsidRPr="00C7741F">
        <w:t xml:space="preserve">zerinden </w:t>
      </w:r>
      <w:r>
        <w:t>n</w:t>
      </w:r>
      <w:r w:rsidRPr="00C7741F">
        <w:t xml:space="preserve">itel </w:t>
      </w:r>
      <w:r>
        <w:t>b</w:t>
      </w:r>
      <w:r w:rsidRPr="00C7741F">
        <w:t xml:space="preserve">ir </w:t>
      </w:r>
      <w:r>
        <w:t>a</w:t>
      </w:r>
      <w:r w:rsidRPr="00C7741F">
        <w:t xml:space="preserve">raştırma. </w:t>
      </w:r>
      <w:r w:rsidRPr="00B80551">
        <w:rPr>
          <w:i/>
          <w:iCs/>
        </w:rPr>
        <w:t>Akdeniz Kadın Çalışmaları ve Toplumsal Cinsiyet Dergisi,</w:t>
      </w:r>
      <w:r w:rsidRPr="00C7741F">
        <w:t xml:space="preserve"> </w:t>
      </w:r>
      <w:r w:rsidRPr="00E90C4D">
        <w:t>(1) 178-207.</w:t>
      </w:r>
      <w:r>
        <w:t xml:space="preserve"> </w:t>
      </w:r>
      <w:hyperlink r:id="rId388" w:history="1">
        <w:r w:rsidR="00D37D80" w:rsidRPr="00705A37">
          <w:rPr>
            <w:rStyle w:val="Kpr"/>
          </w:rPr>
          <w:t>https://doi.org/10.33708/ktc.1379935</w:t>
        </w:r>
      </w:hyperlink>
    </w:p>
    <w:p w14:paraId="03E95B77" w14:textId="4DEC76D8" w:rsidR="004A1BC9" w:rsidRDefault="00D37D80" w:rsidP="00D37D80">
      <w:pPr>
        <w:autoSpaceDE/>
        <w:autoSpaceDN/>
      </w:pPr>
      <w:r>
        <w:br w:type="page"/>
      </w:r>
    </w:p>
    <w:p w14:paraId="34BC921B" w14:textId="162D9BD4" w:rsidR="003E3BD3" w:rsidRDefault="00B80551" w:rsidP="00B80551">
      <w:pPr>
        <w:jc w:val="center"/>
        <w:rPr>
          <w:b/>
        </w:rPr>
      </w:pPr>
      <w:r w:rsidRPr="00FD5450">
        <w:rPr>
          <w:b/>
        </w:rPr>
        <w:lastRenderedPageBreak/>
        <w:t>Suriyeli Öğrencilerin Sosyal Dışlanma Deneyimlerinin Okul Sosyal Hizmeti Açısından Değerlendirilmesi</w:t>
      </w:r>
    </w:p>
    <w:p w14:paraId="51689B02" w14:textId="77777777" w:rsidR="00B80551" w:rsidRPr="00FD5450" w:rsidRDefault="00B80551" w:rsidP="00B80551">
      <w:pPr>
        <w:jc w:val="center"/>
        <w:rPr>
          <w:b/>
        </w:rPr>
      </w:pPr>
    </w:p>
    <w:p w14:paraId="413DE801" w14:textId="77777777" w:rsidR="003E3BD3" w:rsidRPr="00FD5450" w:rsidRDefault="003E3BD3" w:rsidP="003E3BD3">
      <w:pPr>
        <w:jc w:val="center"/>
      </w:pPr>
      <w:r w:rsidRPr="00FD5450">
        <w:t>Derya Akçelik Yıldırım</w:t>
      </w:r>
    </w:p>
    <w:p w14:paraId="7EFA522A" w14:textId="77777777" w:rsidR="003E3BD3" w:rsidRPr="00FD5450" w:rsidRDefault="003E3BD3" w:rsidP="003E3BD3">
      <w:pPr>
        <w:jc w:val="center"/>
      </w:pPr>
      <w:r w:rsidRPr="00FD5450">
        <w:t>Yalova Üniversitesi, Sosyal Hizmet Bölümü</w:t>
      </w:r>
    </w:p>
    <w:p w14:paraId="642F135C" w14:textId="77777777" w:rsidR="003E3BD3" w:rsidRPr="00FD5450" w:rsidRDefault="003E3BD3" w:rsidP="003E3BD3">
      <w:pPr>
        <w:jc w:val="center"/>
      </w:pPr>
      <w:hyperlink r:id="rId389" w:history="1">
        <w:r w:rsidRPr="00FD5450">
          <w:rPr>
            <w:rStyle w:val="Kpr"/>
          </w:rPr>
          <w:t>derya.akclk@gmail.com</w:t>
        </w:r>
      </w:hyperlink>
    </w:p>
    <w:p w14:paraId="7D06A53B" w14:textId="77777777" w:rsidR="003E3BD3" w:rsidRDefault="003E3BD3" w:rsidP="003E3BD3">
      <w:pPr>
        <w:jc w:val="center"/>
      </w:pPr>
      <w:r w:rsidRPr="00FD5450">
        <w:t>0009-0003-0105-1301</w:t>
      </w:r>
    </w:p>
    <w:p w14:paraId="304E689F" w14:textId="77777777" w:rsidR="00B80551" w:rsidRPr="00FD5450" w:rsidRDefault="00B80551" w:rsidP="003E3BD3">
      <w:pPr>
        <w:jc w:val="center"/>
      </w:pPr>
    </w:p>
    <w:p w14:paraId="02FDCF75" w14:textId="77777777" w:rsidR="003E3BD3" w:rsidRPr="00FD5450" w:rsidRDefault="003E3BD3" w:rsidP="00B80551">
      <w:pPr>
        <w:jc w:val="center"/>
        <w:rPr>
          <w:b/>
        </w:rPr>
      </w:pPr>
      <w:r w:rsidRPr="00FD5450">
        <w:rPr>
          <w:b/>
        </w:rPr>
        <w:t>Özet</w:t>
      </w:r>
    </w:p>
    <w:p w14:paraId="5E0C7B1E" w14:textId="77777777" w:rsidR="003E3BD3" w:rsidRDefault="003E3BD3" w:rsidP="003E3BD3">
      <w:pPr>
        <w:jc w:val="both"/>
      </w:pPr>
      <w:r w:rsidRPr="00FD5450">
        <w:t xml:space="preserve">2011 yılında başlayan Suriye Savaşı Ortadoğu bölgesinde bazı dengeleri değiştirmiştir. Savaştan kaçan Suriyeliler komşu ülkelere sığınmışlardır. Her ülke belli sayıda sığınmacı kabul etmiştir. Türkiye en çok sığınmacıya ev sahipliği yapmıştır. İlk başlarda geçici olarak ağırlanan Suriyeli göçmenler savaşın uzun sürmesi bölgede sakinliğin sağlanamaması nedeniyle kalıcı olmaya başlamıştır. Türkiye Suriyeli sığınmacılar için öncelikle geçici çözümler üretmiş daha sonra kalıcı çözümlere yönelmiştir. Suriyeli göçmenlerin büyük bir çoğunluğu kadınlardan ve çocuklardan oluşmaktadır. Okul çağı çocuk sayısının fazlalığı eğitim politikalarında önemli değişikliklere yol açmıştır. Okullar uyum çalışmaları için önemli bir konumdadır. Bu nedenle uyum çalışmaları için okulların varlığı önem kazanırken geliştirilen politikalar </w:t>
      </w:r>
      <w:proofErr w:type="gramStart"/>
      <w:r w:rsidRPr="00FD5450">
        <w:t>bir takım</w:t>
      </w:r>
      <w:proofErr w:type="gramEnd"/>
      <w:r w:rsidRPr="00FD5450">
        <w:t xml:space="preserve"> zorlukları beraberinde getirmiştir. Bu çalışmanın amacı Suriyeli öğrencilerin eğitim sürecinde karşılaştıkları sosyal dışlanma problemlerini ele almak, bu sorunların eğitim başarıları üzerindeki etkilerini tartışmak ve okul sosyal hizmeti açısından müdahaleler ve çözüm önerileri sunmaktır. Araştırmanın yöntemi olarak nitel araştırma tekniklerinden </w:t>
      </w:r>
      <w:proofErr w:type="gramStart"/>
      <w:r w:rsidRPr="00FD5450">
        <w:t>doküman</w:t>
      </w:r>
      <w:proofErr w:type="gramEnd"/>
      <w:r w:rsidRPr="00FD5450">
        <w:t xml:space="preserve"> analizi tekniği kullanılacaktır. </w:t>
      </w:r>
      <w:proofErr w:type="gramStart"/>
      <w:r w:rsidRPr="00FD5450">
        <w:t>Doküman</w:t>
      </w:r>
      <w:proofErr w:type="gramEnd"/>
      <w:r w:rsidRPr="00FD5450">
        <w:t xml:space="preserve"> analizi, farklı kaynakların araştırma sorusu çerçevesinde okunması, derlenmesi, not alınması ve aktarılması süreçlerini içermektedir. Araştırmanın önemi, Suriyeli öğrencilerle ilgili alan yazına bakıldığında çok sayıda çalışma olmasına rağmen Suriyeli öğrencilerin sosyal dışlanmasıyla ilgili okul sosyal hizmeti müdahalelerine değinen bir çalışmaya rastlanmamıştır. Bu çalışma Suriyeli göçmen öğrencilerin eğitimdeki sosyal dışlanması hakkında bilgi sağlayacak olup ayrıca okul sosyal hizmeti alanına önemli bir katkı sunacaktır.</w:t>
      </w:r>
    </w:p>
    <w:p w14:paraId="4E7FC904" w14:textId="77777777" w:rsidR="00B80551" w:rsidRPr="00FD5450" w:rsidRDefault="00B80551" w:rsidP="003E3BD3">
      <w:pPr>
        <w:jc w:val="both"/>
      </w:pPr>
    </w:p>
    <w:p w14:paraId="1FDC0FE9" w14:textId="2D17A237" w:rsidR="003E3BD3" w:rsidRDefault="003E3BD3" w:rsidP="003E3BD3">
      <w:pPr>
        <w:jc w:val="both"/>
      </w:pPr>
      <w:r w:rsidRPr="00FD5450">
        <w:rPr>
          <w:b/>
        </w:rPr>
        <w:t xml:space="preserve">Anahtar </w:t>
      </w:r>
      <w:r w:rsidR="00B80551">
        <w:rPr>
          <w:b/>
        </w:rPr>
        <w:t>Kelimeler</w:t>
      </w:r>
      <w:r w:rsidRPr="00FD5450">
        <w:rPr>
          <w:b/>
        </w:rPr>
        <w:t xml:space="preserve">: </w:t>
      </w:r>
      <w:r w:rsidRPr="00FD5450">
        <w:t>Okul sosyal hizmeti, Suriyeli öğrenciler, sosyal dışlanma</w:t>
      </w:r>
    </w:p>
    <w:p w14:paraId="1A9EFFF0" w14:textId="77777777" w:rsidR="00D47EF1" w:rsidRPr="00FD5450" w:rsidRDefault="00D47EF1" w:rsidP="003E3BD3">
      <w:pPr>
        <w:jc w:val="both"/>
      </w:pPr>
    </w:p>
    <w:p w14:paraId="585B183D" w14:textId="77777777" w:rsidR="003E3BD3" w:rsidRPr="00FD5450" w:rsidRDefault="003E3BD3" w:rsidP="003E3BD3">
      <w:pPr>
        <w:jc w:val="both"/>
        <w:rPr>
          <w:b/>
        </w:rPr>
      </w:pPr>
      <w:r w:rsidRPr="00FD5450">
        <w:rPr>
          <w:b/>
        </w:rPr>
        <w:t>1.GİRİŞ</w:t>
      </w:r>
    </w:p>
    <w:p w14:paraId="39BDB7A6" w14:textId="52A0EF3D" w:rsidR="003E3BD3" w:rsidRDefault="003E3BD3" w:rsidP="003E3BD3">
      <w:pPr>
        <w:jc w:val="both"/>
      </w:pPr>
      <w:r w:rsidRPr="00FD5450">
        <w:t xml:space="preserve">İnsanlar tarih boyunca farklı sebeplerden bir yerden başka bir yere göç etmişlerdir. Savaşlar, daha iyi yaşam şartları, eğitim kariyer planları gibi sebepler göçün başlıca sebepleri arasındadır. Bu nedenlerle zorunlu veya gönüllü yerinden edilmeler yaşanmıştır. Genel tanımıyla </w:t>
      </w:r>
      <w:r w:rsidRPr="00FD5450">
        <w:rPr>
          <w:b/>
        </w:rPr>
        <w:t>göç</w:t>
      </w:r>
      <w:r w:rsidRPr="00FD5450">
        <w:t xml:space="preserve">; ekonomik, toplumsal, siyasi sebeplerle bireylerin ve toplulukların bir ülkeden başka bir ülkeye, bir yerleşim yerinden başka bir yerleşim yerine gitme işi; taşınma, hicret, </w:t>
      </w:r>
      <w:proofErr w:type="gramStart"/>
      <w:r w:rsidRPr="00FD5450">
        <w:t>muhacerettir(</w:t>
      </w:r>
      <w:proofErr w:type="gramEnd"/>
      <w:r w:rsidRPr="00FD5450">
        <w:t>TDK, 2025). Türkiye konumu itibariyle göç almaya ve vermeye devam eden bir ülkedir.</w:t>
      </w:r>
      <w:r w:rsidRPr="00FD5450">
        <w:rPr>
          <w:shd w:val="clear" w:color="auto" w:fill="FFFFFF"/>
        </w:rPr>
        <w:t xml:space="preserve"> Türkiye, doğusunda ve güneyinde çatışma ve istikrarsızlıkların yaşandığı bazı Orta Doğu ve Asya ülkeleriyle, batısında refah düzeyi ve insan hakları standartları yüksek Avrupa ülkeleri arasında köprü konumundadır. Ülkemiz coğrafi ve stratejik konumu sebebiyle tarih boyunca kitlesel sığınma hareketleri de dahil olmak üzere geniş anlamda göç hareketlerinin nihai durağı olmuş ve milyonlarca göçmene ev sahipliği </w:t>
      </w:r>
      <w:proofErr w:type="gramStart"/>
      <w:r w:rsidRPr="00FD5450">
        <w:rPr>
          <w:shd w:val="clear" w:color="auto" w:fill="FFFFFF"/>
        </w:rPr>
        <w:t>yapmıştır(</w:t>
      </w:r>
      <w:proofErr w:type="gramEnd"/>
      <w:r w:rsidRPr="00FD5450">
        <w:rPr>
          <w:shd w:val="clear" w:color="auto" w:fill="FFFFFF"/>
        </w:rPr>
        <w:t xml:space="preserve">Göç İdaresi Başkanlığı, 2025). </w:t>
      </w:r>
      <w:r w:rsidRPr="00FD5450">
        <w:t xml:space="preserve">Asya ve Arap ülkelerinden göç alırken, Avrupa ülkelerine göç vermektedir. Göç yolculuğunda kimi zaman hedef ülke kimi zaman transit ülke olma konumundadır. Bazı göçmenler için Türkiye hayallerin ülkesi konumundayken bazı göçmenler için hayallere giden yolda güvenilir bir durak </w:t>
      </w:r>
      <w:r w:rsidRPr="00FD5450">
        <w:lastRenderedPageBreak/>
        <w:t>olmaktadır.</w:t>
      </w:r>
    </w:p>
    <w:p w14:paraId="36A6C905" w14:textId="77777777" w:rsidR="00B80551" w:rsidRPr="00FD5450" w:rsidRDefault="00B80551" w:rsidP="003E3BD3">
      <w:pPr>
        <w:jc w:val="both"/>
      </w:pPr>
    </w:p>
    <w:p w14:paraId="3E3B2CD4" w14:textId="377A8EA0" w:rsidR="003E3BD3" w:rsidRDefault="003E3BD3" w:rsidP="003E3BD3">
      <w:pPr>
        <w:jc w:val="both"/>
      </w:pPr>
      <w:r w:rsidRPr="00FD5450">
        <w:t xml:space="preserve">Arap baharı ile başlayan başkaldırılar Ortadoğu’da dengeleri değiştirmiştir. Tunus’ta başlayan rejim karşıtı gösteriler sırasıyla Mısır, Libya, Yemen, Bahreyn ve Suriye’ye yayılmıştır. (Gültekin, 2019). Türkiye, Suriye’de yaşanan savaşta en önemli rollerden birini üstlenmiştir. 2011 yılında başlayan Suriye Savaşı’yla birlikte Türkiye’ye ilk kitlesel göçler gelmeye başlamıştır. 252 Kişilik bir grup Türkiye’ye gelmiş ve sığınma talebinde bulunmuştur. Bu olaydan sonra Türkiye açık kapı politikası gütmüş ve sayıları milyonları bulan Suriyeli göçmene ev sahipliği yapmıştır. İlk zamanlar, gelen Suriyeli kitlesinin geçici olduğu düşünülmüş ve politika olarak geçici çözümler üretilmiştir. Zaman içinde Suriye savaşının seyri, bölgede güvenli ortamın oluşturulmaması, ülkenin geleceğinin belirsizliği gibi nedenlerden Suriyeli sığınmacılar Türkiye’de kalıcı olmaya başlamıştır. Değişen bu koşullar politikalarda da kalıcı çözümler üretilmesini sağlamıştır. </w:t>
      </w:r>
    </w:p>
    <w:p w14:paraId="682B1A79" w14:textId="77777777" w:rsidR="00B80551" w:rsidRPr="00FD5450" w:rsidRDefault="00B80551" w:rsidP="003E3BD3">
      <w:pPr>
        <w:jc w:val="both"/>
      </w:pPr>
    </w:p>
    <w:p w14:paraId="7F338C77" w14:textId="58A385EC" w:rsidR="003E3BD3" w:rsidRDefault="003E3BD3" w:rsidP="003E3BD3">
      <w:pPr>
        <w:jc w:val="both"/>
      </w:pPr>
      <w:r w:rsidRPr="00FD5450">
        <w:t xml:space="preserve">Suriye göçmen gruplarının içinde en kalabalık sayıyı çocuklar oluşturmaktadır. Okul çağı çocuk oranının fazlalığı eğitimde yapılacak çalışmaları ön plana çıkarmıştır. Bu kapsamda farklı projelerle eğitimde uyum çalışmaları yapılmış, Suriyeli öğrenciler Türk eğitim sistemine dahil edilmiştir. Geçici eğitim merkezleri kurulmuş, kamp alanlarındaki Suriyeli öğrencilerin Arapça dilinde Suriye müfredatı görmesi sağlanarak göçmen öğrencilerin ülkelerine döndüklerinde göçün yarattığı eğitimsel boşluğa maruz kalmaması hedeflenmiştir. Göçmenlere yönelik politikalar, savaşın uzun sürmesi göçmen nüfusun hızla artması nedeniyle daha kalıcı çözümlere yönelmiştir. Bu nedenle Kapsayıcı eğitim projesi, </w:t>
      </w:r>
      <w:proofErr w:type="spellStart"/>
      <w:proofErr w:type="gramStart"/>
      <w:r w:rsidRPr="00FD5450">
        <w:t>Pıctes</w:t>
      </w:r>
      <w:proofErr w:type="spellEnd"/>
      <w:r w:rsidRPr="00FD5450">
        <w:t>(</w:t>
      </w:r>
      <w:proofErr w:type="gramEnd"/>
      <w:r w:rsidRPr="00FD5450">
        <w:t xml:space="preserve">Suriyeli öğrencilerin eğitime entegrasyonu) projesi hazırlanmış Suriyeli öğrencilerin Türk eğitim sistemine dahil edilmesi amaçlanmıştır. 2016-2017 yılında Suriyeliler örgün eğitime dahil edilmiş 2019 yılında geçici eğitim merkezleri tamamen </w:t>
      </w:r>
      <w:proofErr w:type="gramStart"/>
      <w:r w:rsidRPr="00FD5450">
        <w:t>kapatılmıştır(</w:t>
      </w:r>
      <w:r w:rsidRPr="00FD5450">
        <w:rPr>
          <w:color w:val="000000"/>
        </w:rPr>
        <w:t xml:space="preserve"> Emin</w:t>
      </w:r>
      <w:proofErr w:type="gramEnd"/>
      <w:r w:rsidRPr="00FD5450">
        <w:rPr>
          <w:color w:val="000000"/>
        </w:rPr>
        <w:t>, 2016; Kamış, 2023)</w:t>
      </w:r>
      <w:r w:rsidRPr="00FD5450">
        <w:t xml:space="preserve">. Örgün eğitime geçiş süreci beraberinde </w:t>
      </w:r>
      <w:proofErr w:type="gramStart"/>
      <w:r w:rsidRPr="00FD5450">
        <w:t>bir takım</w:t>
      </w:r>
      <w:proofErr w:type="gramEnd"/>
      <w:r w:rsidRPr="00FD5450">
        <w:t xml:space="preserve"> zorlukları getirmiştir. Çocuklar hem göç sürecinin getirdiği hem de uyum sürecinin getirdiği zorluklarla mücadele etmek zorunda kalmışlardır. Türkiye halkı ilk başlarda geçici olduğunu düşündüğü Suriyelilere karşı misafirperver duygularla yaklaşmış olsa da zamanla sürecin uzaması ve kalıcı olma yolundaki ilerleyiş sonucu dışlayıcı tutumlar sergilemişlerdir. Bu dışlayıcı tutumlar toplumun her kesiminde görülmüştür. Suriyeli öğrenciler de süreçten etkilenmiş, dışlayıcı tutumlara maruz kalmışlardır.</w:t>
      </w:r>
    </w:p>
    <w:p w14:paraId="29E1E9C1" w14:textId="77777777" w:rsidR="00B80551" w:rsidRPr="00FD5450" w:rsidRDefault="00B80551" w:rsidP="003E3BD3">
      <w:pPr>
        <w:jc w:val="both"/>
      </w:pPr>
    </w:p>
    <w:p w14:paraId="77A0AE0F" w14:textId="77777777" w:rsidR="003E3BD3" w:rsidRPr="00FD5450" w:rsidRDefault="003E3BD3" w:rsidP="00B80551">
      <w:pPr>
        <w:jc w:val="both"/>
        <w:outlineLvl w:val="2"/>
        <w:rPr>
          <w:b/>
        </w:rPr>
      </w:pPr>
      <w:r w:rsidRPr="00FD5450">
        <w:t xml:space="preserve">2. </w:t>
      </w:r>
      <w:r w:rsidRPr="00FD5450">
        <w:rPr>
          <w:b/>
        </w:rPr>
        <w:t>SOSYAL DIŞLANMA KAVRAMI VE EĞİTİMDEKİ YERİ</w:t>
      </w:r>
    </w:p>
    <w:p w14:paraId="6A4266D0" w14:textId="14559324" w:rsidR="003E3BD3" w:rsidRPr="00FD5450" w:rsidRDefault="003E3BD3" w:rsidP="00B80551">
      <w:pPr>
        <w:jc w:val="both"/>
        <w:outlineLvl w:val="2"/>
      </w:pPr>
      <w:r w:rsidRPr="00FD5450">
        <w:t xml:space="preserve">Sosyal dışlanma, hayatın içinde olan eşitsizlik anlayışına, güvencesiz bir geleceğe, geçici bir yerleşimine dair kapsayıcı bir düşünceyi ifade </w:t>
      </w:r>
      <w:proofErr w:type="gramStart"/>
      <w:r w:rsidRPr="00FD5450">
        <w:t>etmektedir(</w:t>
      </w:r>
      <w:proofErr w:type="gramEnd"/>
      <w:r w:rsidRPr="00FD5450">
        <w:t xml:space="preserve">Sapancalı, 2005: 53). Adaman ve </w:t>
      </w:r>
      <w:proofErr w:type="spellStart"/>
      <w:r w:rsidRPr="00FD5450">
        <w:t>Keyder</w:t>
      </w:r>
      <w:proofErr w:type="spellEnd"/>
      <w:r w:rsidRPr="00FD5450">
        <w:t xml:space="preserve"> açısından ise sosyal dışlanma kavramı, yoksul kimselerin eğitim fırsatlarından, yeteneklerini geliştirmek için sunulan imkanlardan yararlanamaması bunun yanında uğradıkları ayrımcılık sebebiyle toplum tarafından dışlanması ve sosyal yaşama katılımının engellenmesi olarak değerlendirmekte ve </w:t>
      </w:r>
      <w:proofErr w:type="gramStart"/>
      <w:r w:rsidRPr="00FD5450">
        <w:t>kavramsallaştırmaktadır(</w:t>
      </w:r>
      <w:proofErr w:type="gramEnd"/>
      <w:r w:rsidRPr="00FD5450">
        <w:t xml:space="preserve">Adaman ve </w:t>
      </w:r>
      <w:proofErr w:type="spellStart"/>
      <w:r w:rsidRPr="00FD5450">
        <w:t>Keyder</w:t>
      </w:r>
      <w:proofErr w:type="spellEnd"/>
      <w:r w:rsidRPr="00FD5450">
        <w:t xml:space="preserve">, 2007: 83 </w:t>
      </w:r>
      <w:proofErr w:type="spellStart"/>
      <w:r w:rsidRPr="00FD5450">
        <w:t>Akt.Akgün,G</w:t>
      </w:r>
      <w:proofErr w:type="spellEnd"/>
      <w:r w:rsidRPr="00FD5450">
        <w:t>., 2022). Sosyal dışlanma durağan değil, dinamik bir kavramdır ve hareketli bir süreci ifade etmektedir. Sosyal dışlanma toplum tarafından kabul edilmeme, dışlanma ile ilgili durum ve süreçlerini ifade etmektedir (Şahin, 2009: 24</w:t>
      </w:r>
      <w:proofErr w:type="gramStart"/>
      <w:r w:rsidRPr="00FD5450">
        <w:t>).Sosyal</w:t>
      </w:r>
      <w:proofErr w:type="gramEnd"/>
      <w:r w:rsidRPr="00FD5450">
        <w:t xml:space="preserve"> dışlanma kişinin sağlığının bozulmasına, gereksinimlerini sürekli olarak karşılayamaması, toplumla olan bağlarının zayıflaması, stres, kaygı, özsaygı kaybı, güvenin ortadan kalkmasına neden olmaktadır (</w:t>
      </w:r>
      <w:proofErr w:type="spellStart"/>
      <w:r w:rsidRPr="00FD5450">
        <w:t>Tokol</w:t>
      </w:r>
      <w:proofErr w:type="spellEnd"/>
      <w:r w:rsidRPr="00FD5450">
        <w:t xml:space="preserve">, 2013: 49). Sosyal dışlanma insan sosyalliğinin merkezindedir ve bu konuda yapılacak araştırmalar bireylerin ve toplumların aralarında geliştirdiği ilişkileri </w:t>
      </w:r>
      <w:proofErr w:type="spellStart"/>
      <w:r w:rsidRPr="00FD5450">
        <w:t>yordamaya</w:t>
      </w:r>
      <w:proofErr w:type="spellEnd"/>
      <w:r w:rsidRPr="00FD5450">
        <w:t xml:space="preserve"> imkân </w:t>
      </w:r>
      <w:proofErr w:type="gramStart"/>
      <w:r w:rsidRPr="00FD5450">
        <w:t>verecektir(</w:t>
      </w:r>
      <w:proofErr w:type="gramEnd"/>
      <w:r w:rsidRPr="00FD5450">
        <w:t xml:space="preserve">Çolak ve </w:t>
      </w:r>
      <w:proofErr w:type="spellStart"/>
      <w:r w:rsidRPr="00FD5450">
        <w:t>Teközel</w:t>
      </w:r>
      <w:proofErr w:type="spellEnd"/>
      <w:r w:rsidRPr="00FD5450">
        <w:t>, 2019).</w:t>
      </w:r>
    </w:p>
    <w:p w14:paraId="106F3306" w14:textId="5AD15F30" w:rsidR="003E3BD3" w:rsidRPr="00FD5450" w:rsidRDefault="003E3BD3" w:rsidP="003E3BD3">
      <w:pPr>
        <w:spacing w:before="100" w:beforeAutospacing="1" w:after="100" w:afterAutospacing="1"/>
        <w:jc w:val="both"/>
        <w:outlineLvl w:val="2"/>
      </w:pPr>
      <w:r w:rsidRPr="00FD5450">
        <w:lastRenderedPageBreak/>
        <w:t>Eğitim, sosyal dışlanmanın en belirgin şekilde hissedildiği alanlardan biridir. Aynı zamanda sosyal uyumun en önemli parçasıdır. Özellikle göçmenler ve mülteciler için eğitim, yalnızca bir bilgi edinme süreci değil, aynı zamanda toplumsal entegrasyonun bir aracı olma potansiyeline sahiptir. Türkiye’deki Suriyelilerin karşılaştığı sosyal dışlanma, genellikle dil engelleri, kültürel farklılıklar, toplumsal önyargılar ve ekonomik zorluklardan kaynaklanmaktadır. Göçmen öğrenciler, ev sahibi toplumun kültürel normlarına yabancı olabilir. Bu kültürel farklılıklar, öğrencilerin okula uyum sağlamasını zorlaştırarak sosyal dışlanmaya yol açabilir (Erdoğan, 2017</w:t>
      </w:r>
      <w:proofErr w:type="gramStart"/>
      <w:r w:rsidRPr="00FD5450">
        <w:t>).Mülteci</w:t>
      </w:r>
      <w:proofErr w:type="gramEnd"/>
      <w:r w:rsidRPr="00FD5450">
        <w:t xml:space="preserve"> kökenli öğrencilerin geçmişten taşıdıkları travmalara ilaveten ev sahibi ülkede önyargı ve ayrımcılık ile karşılaşmaları özel ve sosyal yaşamlarında onları daha da hırpalamaktadır (Marine, </w:t>
      </w:r>
      <w:proofErr w:type="spellStart"/>
      <w:r w:rsidRPr="00FD5450">
        <w:t>Ojo</w:t>
      </w:r>
      <w:proofErr w:type="spellEnd"/>
      <w:r w:rsidRPr="00FD5450">
        <w:t xml:space="preserve"> &amp;</w:t>
      </w:r>
      <w:proofErr w:type="spellStart"/>
      <w:r w:rsidRPr="00FD5450">
        <w:t>Chiramba</w:t>
      </w:r>
      <w:proofErr w:type="spellEnd"/>
      <w:r w:rsidRPr="00FD5450">
        <w:t>, 2017).</w:t>
      </w:r>
      <w:r w:rsidRPr="00FD5450">
        <w:rPr>
          <w:b/>
        </w:rPr>
        <w:t xml:space="preserve"> </w:t>
      </w:r>
    </w:p>
    <w:p w14:paraId="15053184" w14:textId="2D3D989E" w:rsidR="003E3BD3" w:rsidRPr="00FD5450" w:rsidRDefault="003E3BD3" w:rsidP="003E3BD3">
      <w:pPr>
        <w:spacing w:before="100" w:beforeAutospacing="1" w:after="100" w:afterAutospacing="1"/>
        <w:jc w:val="both"/>
        <w:outlineLvl w:val="2"/>
      </w:pPr>
      <w:r w:rsidRPr="00FD5450">
        <w:t xml:space="preserve">Önyargılar ve ayrımcılık ruhsal dünya üzerinde yıkıcı etkileri olan süreçlerdir. Göçmen çocuklar uyumlanma sürecinin zorluklarıyla mücadele ederken, ötekileştirildiklerinde sosyal katılım engellenmiş olur. Sosyal dışlanma, göçmen öğrencilerin akademik başarıları üzerinde olumsuz etkilere sahiptir. Dışlanmaya maruz kalan bireylerin akademik başarılarının düştüğü, derslere olan odaklarında azalma olduğu, zamanla okuldan uzaklaşma ve okul terki durumlarının yaşandığı ortaya koyulmuştur. Sosyal dışlanma ile göçmen öğrencilerin ruhsal sorunlar yaşadığı, depresyon, düşük benlik saygısı, kaygı, yalnızlık duygusu geliştirdiği ortaya </w:t>
      </w:r>
      <w:proofErr w:type="gramStart"/>
      <w:r w:rsidRPr="00FD5450">
        <w:t>koyulmuştur(</w:t>
      </w:r>
      <w:proofErr w:type="gramEnd"/>
      <w:r w:rsidRPr="00FD5450">
        <w:t>Erdoğan, 2017). Sosyal dışlanma ev sahibi toplumla bağları zayıflatan bir unsurdur. Sosyal bağları zayıflayan öğrenciler toplumun bir parçası olamaz ve aidiyet duyguları geliştiremez.</w:t>
      </w:r>
    </w:p>
    <w:p w14:paraId="0349619C" w14:textId="77777777" w:rsidR="003E3BD3" w:rsidRPr="00FD5450" w:rsidRDefault="003E3BD3" w:rsidP="00B80551">
      <w:pPr>
        <w:jc w:val="both"/>
        <w:outlineLvl w:val="3"/>
        <w:rPr>
          <w:b/>
          <w:bCs/>
        </w:rPr>
      </w:pPr>
      <w:r w:rsidRPr="00FD5450">
        <w:rPr>
          <w:b/>
          <w:bCs/>
        </w:rPr>
        <w:t>3. SURİYELİ ÖĞRENCİLERİN SOSYAL DIŞLANMASININ NEDENLERİ</w:t>
      </w:r>
    </w:p>
    <w:p w14:paraId="31324A2E" w14:textId="77777777" w:rsidR="003E3BD3" w:rsidRPr="00FD5450" w:rsidRDefault="003E3BD3" w:rsidP="00B80551">
      <w:pPr>
        <w:jc w:val="both"/>
        <w:outlineLvl w:val="3"/>
        <w:rPr>
          <w:b/>
          <w:bCs/>
        </w:rPr>
      </w:pPr>
      <w:r w:rsidRPr="00FD5450">
        <w:rPr>
          <w:b/>
          <w:bCs/>
        </w:rPr>
        <w:t>3.1. Dil Engelleri</w:t>
      </w:r>
    </w:p>
    <w:p w14:paraId="56415899" w14:textId="77777777" w:rsidR="00B80551" w:rsidRDefault="003E3BD3" w:rsidP="00B80551">
      <w:pPr>
        <w:jc w:val="both"/>
        <w:outlineLvl w:val="3"/>
        <w:rPr>
          <w:bCs/>
        </w:rPr>
      </w:pPr>
      <w:r w:rsidRPr="00FD5450">
        <w:rPr>
          <w:bCs/>
        </w:rPr>
        <w:t xml:space="preserve">Dil iletişimin en önemli ögesidir. Anlamak ve anlaşılmak dil ile mümkündür. Göç yeni bir ortama uyum, yeni dilsel çevreye uyum sağlama sürecini beraberinde getirir. Dil, göçmenlerin ev sahibi toplumla iletişim kurmasını sağlayan en önemli unsurdur. Dilden kaynaklı engeller göçmenlerin günlük yaşamını, eğitimlerini, iş bulma süreçlerini, topluma katılım süreçlerini doğrudan etkilemektedir. </w:t>
      </w:r>
    </w:p>
    <w:p w14:paraId="1F3054A8" w14:textId="77777777" w:rsidR="00B80551" w:rsidRDefault="00B80551" w:rsidP="00B80551">
      <w:pPr>
        <w:jc w:val="both"/>
        <w:outlineLvl w:val="3"/>
        <w:rPr>
          <w:bCs/>
        </w:rPr>
      </w:pPr>
    </w:p>
    <w:p w14:paraId="5604F0E1" w14:textId="244A6CEC" w:rsidR="003E3BD3" w:rsidRPr="00B80551" w:rsidRDefault="003E3BD3" w:rsidP="00B80551">
      <w:pPr>
        <w:jc w:val="both"/>
        <w:outlineLvl w:val="3"/>
        <w:rPr>
          <w:bCs/>
        </w:rPr>
      </w:pPr>
      <w:r w:rsidRPr="00FD5450">
        <w:rPr>
          <w:bCs/>
        </w:rPr>
        <w:t xml:space="preserve">Suriyeli öğrencilerle ilgili yapılan çalışmalarda en çok göze çarpan konu dil </w:t>
      </w:r>
      <w:proofErr w:type="gramStart"/>
      <w:r w:rsidRPr="00FD5450">
        <w:rPr>
          <w:bCs/>
        </w:rPr>
        <w:t>engelleridir</w:t>
      </w:r>
      <w:r w:rsidRPr="00FD5450">
        <w:rPr>
          <w:bCs/>
          <w:lang w:val="en-US"/>
        </w:rPr>
        <w:t>(</w:t>
      </w:r>
      <w:proofErr w:type="gramEnd"/>
      <w:r w:rsidRPr="00FD5450">
        <w:rPr>
          <w:bCs/>
          <w:lang w:val="en-US"/>
        </w:rPr>
        <w:t xml:space="preserve">Saraç, 2022). </w:t>
      </w:r>
      <w:r w:rsidRPr="00FD5450">
        <w:rPr>
          <w:bCs/>
        </w:rPr>
        <w:t xml:space="preserve">Yaş </w:t>
      </w:r>
      <w:proofErr w:type="gramStart"/>
      <w:r w:rsidRPr="00FD5450">
        <w:rPr>
          <w:bCs/>
        </w:rPr>
        <w:t>ile birlikte</w:t>
      </w:r>
      <w:proofErr w:type="gramEnd"/>
      <w:r w:rsidRPr="00FD5450">
        <w:rPr>
          <w:bCs/>
        </w:rPr>
        <w:t xml:space="preserve"> dil öğrenme süreci zorlaştığından dolayı, yetişkin göçmenlerin, çocuklara nazaran daha çok içe kapanma, sosyalleşmekten uzaklaşma eğiliminde oldukları görülmüştür. Avusturya’daki mülteci öğrencilerinin kapsayıcı ve dışlayıcı okul deneyimlerine ilişkin yapılan bir çalışmada göçmen kökenli öğrenciler ulusal kökenlerini veya anadillerini zorbalık nedeni olarak </w:t>
      </w:r>
      <w:proofErr w:type="gramStart"/>
      <w:r w:rsidRPr="00FD5450">
        <w:rPr>
          <w:bCs/>
        </w:rPr>
        <w:t>belirtmektedirler</w:t>
      </w:r>
      <w:r w:rsidRPr="00FD5450">
        <w:rPr>
          <w:bCs/>
          <w:lang w:val="en-US"/>
        </w:rPr>
        <w:t>(</w:t>
      </w:r>
      <w:proofErr w:type="gramEnd"/>
      <w:r w:rsidRPr="00FD5450">
        <w:rPr>
          <w:bCs/>
          <w:lang w:val="en-US"/>
        </w:rPr>
        <w:t xml:space="preserve">Bešić, </w:t>
      </w:r>
      <w:proofErr w:type="spellStart"/>
      <w:r w:rsidRPr="00FD5450">
        <w:rPr>
          <w:bCs/>
          <w:lang w:val="en-US"/>
        </w:rPr>
        <w:t>vd</w:t>
      </w:r>
      <w:proofErr w:type="spellEnd"/>
      <w:r w:rsidRPr="00FD5450">
        <w:rPr>
          <w:bCs/>
          <w:lang w:val="en-US"/>
        </w:rPr>
        <w:t xml:space="preserve">. , 2020). </w:t>
      </w:r>
      <w:r w:rsidRPr="00FD5450">
        <w:t>Dil eksikliği mülteci öğrencilerin azınlık konumuna düşmesine neden olmaktadır. Mülteci öğrenciler kendilerini akademik olarak bir değer değil, bir yük olarak hissetmektedirler. Bu nedenden dolayı daha az görünür olmaya ve içe kapanmaya başlarlar. Yetersiz dil becerileri nedeniyle derslerde konuşmak istemezler ve yerli öğrencilerle müfredat sonrası etkinliklere pek katılmazlar (</w:t>
      </w:r>
      <w:proofErr w:type="spellStart"/>
      <w:r w:rsidRPr="00FD5450">
        <w:t>Maringe</w:t>
      </w:r>
      <w:proofErr w:type="spellEnd"/>
      <w:r w:rsidRPr="00FD5450">
        <w:t xml:space="preserve">, </w:t>
      </w:r>
      <w:proofErr w:type="spellStart"/>
      <w:r w:rsidRPr="00FD5450">
        <w:t>Ojo</w:t>
      </w:r>
      <w:proofErr w:type="spellEnd"/>
      <w:r w:rsidRPr="00FD5450">
        <w:t xml:space="preserve"> &amp; </w:t>
      </w:r>
      <w:proofErr w:type="spellStart"/>
      <w:r w:rsidRPr="00FD5450">
        <w:t>Chiramba</w:t>
      </w:r>
      <w:proofErr w:type="spellEnd"/>
      <w:r w:rsidRPr="00FD5450">
        <w:t xml:space="preserve">, 2017). Göçmen öğrenciler, geldikleri ülkenin dilini yeterince bilmedikleri için eğitim sürecinde zorluklar yaşarlar. Dil engelleri öğrencilerin dersleri anlamasını, sınıf etkileşimlerine katılmasını ve akademik olarak başarı göstermesini </w:t>
      </w:r>
      <w:proofErr w:type="gramStart"/>
      <w:r w:rsidRPr="00FD5450">
        <w:t>zorlaştırır(</w:t>
      </w:r>
      <w:proofErr w:type="gramEnd"/>
      <w:r w:rsidRPr="00FD5450">
        <w:t>Aydın ve Kaya, 2017). Bu durum göçmen öğrencinin sınıf içinde dışlanmasına neden olmakta ve arkadaşları arasında sosyal kabulünü zorlaştırmaktadır.</w:t>
      </w:r>
    </w:p>
    <w:p w14:paraId="1699D6DC" w14:textId="77777777" w:rsidR="003E3BD3" w:rsidRPr="00FD5450" w:rsidRDefault="003E3BD3" w:rsidP="003E3BD3">
      <w:pPr>
        <w:spacing w:before="100" w:beforeAutospacing="1" w:after="100" w:afterAutospacing="1"/>
        <w:jc w:val="both"/>
        <w:outlineLvl w:val="3"/>
        <w:rPr>
          <w:b/>
          <w:bCs/>
        </w:rPr>
      </w:pPr>
      <w:r w:rsidRPr="00FD5450">
        <w:rPr>
          <w:b/>
          <w:bCs/>
        </w:rPr>
        <w:t>3.2. Kültürel ve Toplumsal Farklılıklar</w:t>
      </w:r>
    </w:p>
    <w:p w14:paraId="195AC8BB" w14:textId="77777777" w:rsidR="00B80551" w:rsidRDefault="003E3BD3" w:rsidP="003E3BD3">
      <w:pPr>
        <w:spacing w:before="100" w:beforeAutospacing="1" w:after="100" w:afterAutospacing="1"/>
        <w:jc w:val="both"/>
        <w:outlineLvl w:val="3"/>
      </w:pPr>
      <w:r w:rsidRPr="00FD5450">
        <w:lastRenderedPageBreak/>
        <w:t>Göç, insanlık tarihi boyunca toplumların kültürel ve sosyal yapılarını etkileyen bir olgu olarak karşımıza çıkmaktadır. Günümüzde savaşlar, ekonomik sebepler, küreselleşme, iklim değişikliğinden kaynaklı sorunlar nedeniyle göç hareketliliğinde artış gözlenmiştir. Göç eylemi ev sahibi toplumla etkileşimi zorunlu kılmaktadır. Bu etkileşim kültürel farklılıkları daha belirgin bir şekilde ortaya koymaktadır. Göçmenler, göç ettikleri ülkenin kültürel mirasını, dilini, dini inanışlarını, geleneklerini beraberinde taşır. Kültürel ögeler göçmenlerin kimliklerinin parçasıdır ve yeni topluma uyum sağlama noktasında önemli bir rol oynar. Aynı zamanda bu farklılıklar ev sahibi toplumla çatışmalar yaşanmasına da sebebiyet verebilir. Göçmenler için kendi kimliğini koruyarak yeni toplumla uyum sürecini yönetmek oldukça güçtür.</w:t>
      </w:r>
    </w:p>
    <w:p w14:paraId="40014707" w14:textId="484EFD5E" w:rsidR="003E3BD3" w:rsidRPr="00B80551" w:rsidRDefault="003E3BD3" w:rsidP="003E3BD3">
      <w:pPr>
        <w:spacing w:before="100" w:beforeAutospacing="1" w:after="100" w:afterAutospacing="1"/>
        <w:jc w:val="both"/>
        <w:outlineLvl w:val="3"/>
      </w:pPr>
      <w:r w:rsidRPr="00FD5450">
        <w:rPr>
          <w:bCs/>
        </w:rPr>
        <w:t>Suriye halkı, Türkiye halkı ile kültür ve inanış bakımından ortaklıklar göstermektedir. Buna rağmen Gül (2019)’un yüksek lisans tezinde yer alan ifade kültürel farklılıkların boyutunu ortaya koymaktadır. Suriyeli bir üniversite öğrencisi başörtüsü takma şeklinden dolayı Suriyeli olduğunun anlaşıldığının bu yüzden dışlayıcı tutumlara maruz kaldığını, bunun anlaşılmaması için Türkiye’deki kadınlar gibi başörtüsü takarak bu sorunun önüne geçmeye çalıştığını aktarmıştır.</w:t>
      </w:r>
      <w:r w:rsidRPr="00FD5450">
        <w:t xml:space="preserve"> </w:t>
      </w:r>
      <w:proofErr w:type="spellStart"/>
      <w:r w:rsidRPr="00FD5450">
        <w:rPr>
          <w:bCs/>
        </w:rPr>
        <w:t>Karkar</w:t>
      </w:r>
      <w:proofErr w:type="spellEnd"/>
      <w:r w:rsidRPr="00FD5450">
        <w:rPr>
          <w:bCs/>
        </w:rPr>
        <w:t xml:space="preserve"> (2020), Türk gençleri, Suriyelilerin tehdit oluşturduğu konusunda Türk halkı ile aynı görüştedir. Suriyelilere karşı önyargılıdır. Eğitim ve kültürel zenginlikler katma durumu olan Suriyelilere karşı tutum daha olumluyken diğerlerine karşı tutum olumsuzdur sonucuna ulaşmıştır. Doğa ve </w:t>
      </w:r>
      <w:proofErr w:type="gramStart"/>
      <w:r w:rsidRPr="00FD5450">
        <w:rPr>
          <w:bCs/>
        </w:rPr>
        <w:t>Buz(</w:t>
      </w:r>
      <w:proofErr w:type="gramEnd"/>
      <w:r w:rsidRPr="00FD5450">
        <w:rPr>
          <w:bCs/>
        </w:rPr>
        <w:t xml:space="preserve">2022) makalesinde ergenlik dönemindeki bireyin kendi kimliğini inşa etmesi gereken bir dönemde göç deneyimi yaşaması yeni ülkeye ilişkin aidiyet kazanma sürecinin zorluklarını da beraberinde getirmektedir. Bu durum kimlik kazanmayı başarmak ve yeni ülkeye aidiyet geliştirmek gibi ikili zorluklar taşımaktadır demiştir. </w:t>
      </w:r>
    </w:p>
    <w:p w14:paraId="0C0E9D14" w14:textId="77777777" w:rsidR="003E3BD3" w:rsidRPr="00FD5450" w:rsidRDefault="003E3BD3" w:rsidP="00B80551">
      <w:pPr>
        <w:jc w:val="both"/>
        <w:outlineLvl w:val="3"/>
        <w:rPr>
          <w:b/>
          <w:bCs/>
        </w:rPr>
      </w:pPr>
      <w:r w:rsidRPr="00FD5450">
        <w:rPr>
          <w:b/>
          <w:bCs/>
        </w:rPr>
        <w:t>3.3. Ekonomik Zorluklar</w:t>
      </w:r>
    </w:p>
    <w:p w14:paraId="27ACD153" w14:textId="4AD36FA5" w:rsidR="003E3BD3" w:rsidRPr="00FD5450" w:rsidRDefault="003E3BD3" w:rsidP="00B80551">
      <w:pPr>
        <w:jc w:val="both"/>
        <w:outlineLvl w:val="3"/>
        <w:rPr>
          <w:b/>
          <w:bCs/>
        </w:rPr>
      </w:pPr>
      <w:r w:rsidRPr="00FD5450">
        <w:rPr>
          <w:bCs/>
        </w:rPr>
        <w:t>Göçmen gruplar için ekonomik zorluklar kaçınılmazdır. Bir ülkeye uyum süreci yaşanırken, iş bulma ve para kazanma imkanları sınırlılık göstermektedir. Birçok göçmen yaptığı işin karşılığı olan ücreti alamamaktadır. Düşük ücretlerle çalışmayı kabul etmek zorunda kalmaktadır. Bir taraftan ev sahibi toplumun iş kollarını elinden alacağı düşüncesiyle dışladığı göçmenler, diğer taraftan aynı işi yapmasına rağmen ev sahibi topluluk bireyinden daha az ücret almaktadır. Bu durum göçmen öğrencileri de olumsuz etkilemektedir. Birçok öğrenci ailesinin ekonomik yaşamına katkı sağlamak için eğitimden uzaklaşmaktadır veya maddi yetersizlikler nedeniyle okula devam edememektedir.</w:t>
      </w:r>
    </w:p>
    <w:p w14:paraId="2BE71473" w14:textId="2C6EF23F" w:rsidR="003E3BD3" w:rsidRPr="00FD5450" w:rsidRDefault="003E3BD3" w:rsidP="003E3BD3">
      <w:pPr>
        <w:spacing w:before="100" w:beforeAutospacing="1" w:after="100" w:afterAutospacing="1"/>
        <w:jc w:val="both"/>
        <w:outlineLvl w:val="3"/>
      </w:pPr>
      <w:r w:rsidRPr="00FD5450">
        <w:t xml:space="preserve">Ersoy ve Turan’ın makale çalışması sığınmacı ve göçmen öğrencilerde sosyal dışlanma ve çeteleşme üzerine nitel bir çalışmadır. Çalışma okul ortamından uzaklaşan göçmen çocukların çeteleşme eğiliminin yüksek olduğunu ortaya koymuştur. Bu nedenle okul sosyal hizmetinin önemli katkılar sunacağını </w:t>
      </w:r>
      <w:proofErr w:type="gramStart"/>
      <w:r w:rsidRPr="00FD5450">
        <w:t>belirtmiştir(</w:t>
      </w:r>
      <w:proofErr w:type="gramEnd"/>
      <w:r w:rsidRPr="00FD5450">
        <w:t>Ersoy ve Turan, 2019).</w:t>
      </w:r>
      <w:r w:rsidRPr="00FD5450">
        <w:rPr>
          <w:noProof/>
        </w:rPr>
        <w:t xml:space="preserve">Göçmen topluluğun, göçün getirdiği olumsuzluklara rağmen dayanıklılık düzeyi yüksektir. Sosyal desteğe sahip olan bireyler daha az yalnız ve daha dayanıklıdır. Göçmenlerin yalnızlık ve dışlanma korkuları ruhsal sağlığını olumsuz </w:t>
      </w:r>
      <w:proofErr w:type="gramStart"/>
      <w:r w:rsidRPr="00FD5450">
        <w:rPr>
          <w:noProof/>
        </w:rPr>
        <w:t>etkilemektedir</w:t>
      </w:r>
      <w:r w:rsidRPr="00FD5450">
        <w:t>(</w:t>
      </w:r>
      <w:proofErr w:type="gramEnd"/>
      <w:r w:rsidRPr="00FD5450">
        <w:t xml:space="preserve">Lee, </w:t>
      </w:r>
      <w:r w:rsidRPr="00FD5450">
        <w:rPr>
          <w:shd w:val="clear" w:color="auto" w:fill="FFFFFF"/>
        </w:rPr>
        <w:t xml:space="preserve">Hong, Zhou, </w:t>
      </w:r>
      <w:proofErr w:type="spellStart"/>
      <w:r w:rsidRPr="00FD5450">
        <w:rPr>
          <w:shd w:val="clear" w:color="auto" w:fill="FFFFFF"/>
        </w:rPr>
        <w:t>Robles</w:t>
      </w:r>
      <w:proofErr w:type="spellEnd"/>
      <w:r w:rsidRPr="00FD5450">
        <w:rPr>
          <w:shd w:val="clear" w:color="auto" w:fill="FFFFFF"/>
        </w:rPr>
        <w:t xml:space="preserve">, </w:t>
      </w:r>
      <w:r w:rsidRPr="00FD5450">
        <w:t>2019).</w:t>
      </w:r>
    </w:p>
    <w:p w14:paraId="6AAD90B5" w14:textId="20F7A7B4" w:rsidR="003E3BD3" w:rsidRDefault="003E3BD3" w:rsidP="003E3BD3">
      <w:pPr>
        <w:jc w:val="both"/>
      </w:pPr>
      <w:r w:rsidRPr="00FD5450">
        <w:t xml:space="preserve">Mülteci üniversite öğrencileri ile ilgili yapılan bir çalışmada, mülteci üniversite öğrencilerinin mali zorluklara rağmen sarsılmaz bir dayanıklılığa sahip olduğu ortaya </w:t>
      </w:r>
      <w:proofErr w:type="gramStart"/>
      <w:r w:rsidRPr="00FD5450">
        <w:t>çıkmıştır(</w:t>
      </w:r>
      <w:proofErr w:type="gramEnd"/>
      <w:r w:rsidRPr="00FD5450">
        <w:t xml:space="preserve">Çelik, Özenç-Ira, 2024)Dağ(2016)’ </w:t>
      </w:r>
      <w:proofErr w:type="spellStart"/>
      <w:r w:rsidRPr="00FD5450">
        <w:t>nın</w:t>
      </w:r>
      <w:proofErr w:type="spellEnd"/>
      <w:r w:rsidRPr="00FD5450">
        <w:t xml:space="preserve"> yaptığı çalışmada ulaştığı sonuç maddi zorluk çeken öğrenciler arkadaşları tarafından değil, kendi kendilerini sınıf arkadaşlarından dışlamaktadırlar. Katılımcıların maddi yetersizliği tüketimden dışlanmalarına, özgüven kaybı ve içe kapanma </w:t>
      </w:r>
      <w:r w:rsidRPr="00FD5450">
        <w:lastRenderedPageBreak/>
        <w:t xml:space="preserve">yaşanmasına sebep olmaktadır. Göçmen aileler çoğunlukla düşük gelirli ve dezavantajlı gruplardan gelir. Bu durum, çocukların eğitim materyallerine, okul aktivitelerine ve destek hizmetlerine erişimini </w:t>
      </w:r>
      <w:proofErr w:type="gramStart"/>
      <w:r w:rsidRPr="00FD5450">
        <w:t>kısıtlar(</w:t>
      </w:r>
      <w:proofErr w:type="gramEnd"/>
      <w:r w:rsidRPr="00FD5450">
        <w:t>Kaya ve Aydın, 2018). Ekonomik eşitsizlikler Suriyeli öğrencilerin okuldan sosyal olarak dışlanmasına neden olur.</w:t>
      </w:r>
    </w:p>
    <w:p w14:paraId="033E4914" w14:textId="77777777" w:rsidR="00B80551" w:rsidRPr="00FD5450" w:rsidRDefault="00B80551" w:rsidP="003E3BD3">
      <w:pPr>
        <w:jc w:val="both"/>
      </w:pPr>
    </w:p>
    <w:p w14:paraId="7166DE24" w14:textId="77777777" w:rsidR="00B80551" w:rsidRDefault="003E3BD3" w:rsidP="00B80551">
      <w:pPr>
        <w:jc w:val="both"/>
        <w:outlineLvl w:val="3"/>
        <w:rPr>
          <w:b/>
          <w:bCs/>
        </w:rPr>
      </w:pPr>
      <w:r w:rsidRPr="00FD5450">
        <w:rPr>
          <w:b/>
          <w:bCs/>
        </w:rPr>
        <w:t>3.4. Toplumsal Önyargılar ve Ayrımcılık</w:t>
      </w:r>
    </w:p>
    <w:p w14:paraId="3E5490F5" w14:textId="4EDC3840" w:rsidR="003E3BD3" w:rsidRDefault="003E3BD3" w:rsidP="00B80551">
      <w:pPr>
        <w:jc w:val="both"/>
        <w:outlineLvl w:val="3"/>
        <w:rPr>
          <w:bCs/>
        </w:rPr>
      </w:pPr>
      <w:r w:rsidRPr="00FD5450">
        <w:rPr>
          <w:bCs/>
        </w:rPr>
        <w:t xml:space="preserve">Göç süreci beraberinde birtakım zorlukları getirmektedir. Bu zorlukların en önemlilerinden biri göçmenlerin ev sahibi topluma uyum sağlama sürecinde karşılaştığı önyargılar ve ayrımcılık gibi engellerdir.   Önyargılar ve ayrımcılık göçmenlerin, sosyal ekonomik ve psikolojik refahını olumsuz etkilemektedir ve toplumsal uyum sürecini zorlaştırmaktadır. Göçmen öğrenciler akran grupları ve öğretmenleri tarafından ayırıcı ve dışlayıcı tutumlara maruz kalabilirler. Bu durum okula aidiyet hissini zayıflatır ve sosyal dışlanmayı </w:t>
      </w:r>
      <w:proofErr w:type="gramStart"/>
      <w:r w:rsidRPr="00FD5450">
        <w:rPr>
          <w:bCs/>
        </w:rPr>
        <w:t>arttırır(</w:t>
      </w:r>
      <w:proofErr w:type="gramEnd"/>
      <w:r w:rsidRPr="00FD5450">
        <w:rPr>
          <w:bCs/>
        </w:rPr>
        <w:t>Şimşek 2019). Ayrımcılık eğitimde fırsat eşitliği sağlanmasını engeller.</w:t>
      </w:r>
    </w:p>
    <w:p w14:paraId="45A4A836" w14:textId="77777777" w:rsidR="00B80551" w:rsidRPr="00B80551" w:rsidRDefault="00B80551" w:rsidP="00B80551">
      <w:pPr>
        <w:jc w:val="both"/>
        <w:outlineLvl w:val="3"/>
        <w:rPr>
          <w:b/>
          <w:bCs/>
        </w:rPr>
      </w:pPr>
    </w:p>
    <w:p w14:paraId="4D49EA49" w14:textId="77777777" w:rsidR="003E3BD3" w:rsidRPr="00FD5450" w:rsidRDefault="003E3BD3" w:rsidP="00B80551">
      <w:pPr>
        <w:jc w:val="both"/>
        <w:outlineLvl w:val="3"/>
        <w:rPr>
          <w:bCs/>
        </w:rPr>
      </w:pPr>
      <w:r w:rsidRPr="00FD5450">
        <w:rPr>
          <w:b/>
          <w:bCs/>
        </w:rPr>
        <w:t>4. Okul Sosyal Hizmeti</w:t>
      </w:r>
    </w:p>
    <w:p w14:paraId="27ADBFD9" w14:textId="77777777" w:rsidR="003E3BD3" w:rsidRDefault="003E3BD3" w:rsidP="00B80551">
      <w:pPr>
        <w:jc w:val="both"/>
      </w:pPr>
      <w:r w:rsidRPr="00FD5450">
        <w:t xml:space="preserve">      Okul sosyal hizmeti, öğrencinin okul yaşantısını etkileyen problemlerin çözümünde çevresi içinde birey yaklaşımıyla değerlendirmede bulunan, akademik süreçlerin yanı sıra fiziksel ve ruhsal ihtiyaçlarına da odaklanan eğitim – öğretim sürecinden eşit bir şekilde yararlanmasını sağlayan sosyal hizmet mesleğinin uygulama alanlarından biridir. Okul sosyal hizmeti ilk olarak 1906-1907 yıllarında Amerika’nın farklı eyaletlerinde birbirinden habersiz başlamıştır. İlk başlarda okul sistemi içinde bir birim olarak değerlendirilmemiş, sivil toplum kuruluşları tarafından finanse edilmiştir. 1913 yılında okul sistemi içinde yer almış ve okul sistemi tarafından finanse edilmiştir.1960’a kadar dost öğretmen, ziyaretçi öğretmen olarak tanımlanmış, 1960 yılında </w:t>
      </w:r>
      <w:proofErr w:type="gramStart"/>
      <w:r w:rsidRPr="00FD5450">
        <w:t>NAWS(</w:t>
      </w:r>
      <w:proofErr w:type="gramEnd"/>
      <w:r w:rsidRPr="00FD5450">
        <w:t>Ulusal Sosyal Hizmetler Derneği) tarafından ziyaretçi öğretmen tanımı yerine okul sosyal hizmet uzmanı kavramının kullanılması önerilmiştir(Cebeci ve Artan, 2024)</w:t>
      </w:r>
    </w:p>
    <w:p w14:paraId="245C4CD4" w14:textId="77777777" w:rsidR="00B80551" w:rsidRPr="00FD5450" w:rsidRDefault="00B80551" w:rsidP="00B80551">
      <w:pPr>
        <w:jc w:val="both"/>
      </w:pPr>
    </w:p>
    <w:p w14:paraId="4FA5ACB1" w14:textId="03FC2E32" w:rsidR="003E3BD3" w:rsidRPr="00FD5450" w:rsidRDefault="003E3BD3" w:rsidP="00B80551">
      <w:pPr>
        <w:jc w:val="both"/>
      </w:pPr>
      <w:r w:rsidRPr="00FD5450">
        <w:t xml:space="preserve">Türkiye’de 1961 yılında üniversitelere kurulan </w:t>
      </w:r>
      <w:proofErr w:type="spellStart"/>
      <w:r w:rsidRPr="00FD5450">
        <w:t>medikososyaller</w:t>
      </w:r>
      <w:proofErr w:type="spellEnd"/>
      <w:r w:rsidRPr="00FD5450">
        <w:t xml:space="preserve"> 1966 yılında bünyesinde sosyal hizmet uzmanı çalıştırmaya </w:t>
      </w:r>
      <w:proofErr w:type="gramStart"/>
      <w:r w:rsidRPr="00FD5450">
        <w:t>başlamıştır(</w:t>
      </w:r>
      <w:proofErr w:type="gramEnd"/>
      <w:r w:rsidRPr="00FD5450">
        <w:t xml:space="preserve">Cebeci ve Artan, 2024). Bu okul sosyal hizmetinin ilk görüldüğü zamanlardır. Daha sonraki yıllarda pilot uygulamalarla okullarda da istihdam edilen sosyal hizmet uzmanları pilot uygulama son bulduğunda görevleri </w:t>
      </w:r>
      <w:proofErr w:type="gramStart"/>
      <w:r w:rsidRPr="00FD5450">
        <w:t>sonlanmıştır(</w:t>
      </w:r>
      <w:proofErr w:type="gramEnd"/>
      <w:r w:rsidRPr="00FD5450">
        <w:t xml:space="preserve">Tunç, 2019). Rehberlik öğretmenlerinin sosyal hizmete ihtiyaç duyduğu sorun alanlarının tespitiyle ilgili yapılan bir araştırmada, araştırmaya katılan rehberlik öğretmenlerinin %54’ü sosyal hizmet uzmanına diğer kuruluşlara havale aşaması ve çevresel kaynaklara erişim aşamasında ihtiyaç duymaktadır. Sosyal hizmet uzmanının profesyonel meslekler arasında kendisini farklı kılan özelliklerinden biri de müracaatçıları toplum kaynakları ile buluşturarak, kaynaklar ve insanlar arasında arabuluculuk rolünü aktif olarak </w:t>
      </w:r>
      <w:proofErr w:type="gramStart"/>
      <w:r w:rsidRPr="00FD5450">
        <w:t>kullanmasıdır(</w:t>
      </w:r>
      <w:proofErr w:type="spellStart"/>
      <w:proofErr w:type="gramEnd"/>
      <w:r w:rsidRPr="00FD5450">
        <w:t>Kuli</w:t>
      </w:r>
      <w:proofErr w:type="spellEnd"/>
      <w:r w:rsidRPr="00FD5450">
        <w:t xml:space="preserve"> ve Yıldırım, 2019)</w:t>
      </w:r>
    </w:p>
    <w:p w14:paraId="21DED95F" w14:textId="7C84EB15" w:rsidR="003E3BD3" w:rsidRDefault="003E3BD3" w:rsidP="00B80551">
      <w:pPr>
        <w:jc w:val="both"/>
      </w:pPr>
      <w:r w:rsidRPr="00FD5450">
        <w:t>Eğitimin sosyal uyumdaki rolü, toplumsal düzenle ilgili problemlerin giderilmesi ve özellikle çocuklar aracılığıyla bilgilendirme ve öğrenme süreçlerinin devreye sokularak sosyal uyumun kolaylaştırılması ve hızlandırılması şeklinde karşımıza çıkabilmektedir. “</w:t>
      </w:r>
      <w:r w:rsidRPr="00FD5450">
        <w:rPr>
          <w:i/>
        </w:rPr>
        <w:t xml:space="preserve">Toplumdaki farklılıklara uygun müdahalelerin gerçekleştirilebilmesi için kültürel yetkinliğe sahip, insan haklarını gözeten, ayrımcılık ve baskı karşıtı bir bakış açısına sahip olmak önem taşımaktadır. Birlikte yaşama değerinin vurgulandığı, asimile etmekten uzak çok kültürlü bir eğitim modeli toplumsal bütünleşmeye katkı </w:t>
      </w:r>
      <w:proofErr w:type="gramStart"/>
      <w:r w:rsidRPr="00FD5450">
        <w:rPr>
          <w:i/>
        </w:rPr>
        <w:t>sağlayacaktır</w:t>
      </w:r>
      <w:r w:rsidRPr="00FD5450">
        <w:t>”(</w:t>
      </w:r>
      <w:proofErr w:type="gramEnd"/>
      <w:r w:rsidRPr="00FD5450">
        <w:t xml:space="preserve">Akarçay, </w:t>
      </w:r>
      <w:proofErr w:type="spellStart"/>
      <w:r w:rsidRPr="00FD5450">
        <w:t>Kırlıoğlu</w:t>
      </w:r>
      <w:proofErr w:type="spellEnd"/>
      <w:r w:rsidRPr="00FD5450">
        <w:t xml:space="preserve"> 2020)</w:t>
      </w:r>
    </w:p>
    <w:p w14:paraId="1135879D" w14:textId="77777777" w:rsidR="00B80551" w:rsidRPr="00FD5450" w:rsidRDefault="00B80551" w:rsidP="00B80551">
      <w:pPr>
        <w:jc w:val="both"/>
      </w:pPr>
    </w:p>
    <w:p w14:paraId="7D45C788" w14:textId="77777777" w:rsidR="003E3BD3" w:rsidRPr="00FD5450" w:rsidRDefault="003E3BD3" w:rsidP="00B80551">
      <w:pPr>
        <w:jc w:val="both"/>
        <w:rPr>
          <w:b/>
        </w:rPr>
      </w:pPr>
      <w:r w:rsidRPr="00FD5450">
        <w:rPr>
          <w:b/>
        </w:rPr>
        <w:t>5.YÖNTEM</w:t>
      </w:r>
    </w:p>
    <w:p w14:paraId="7904AB2F" w14:textId="77777777" w:rsidR="003E3BD3" w:rsidRDefault="003E3BD3" w:rsidP="00B80551">
      <w:pPr>
        <w:jc w:val="both"/>
      </w:pPr>
      <w:r w:rsidRPr="00FD5450">
        <w:t xml:space="preserve">     Araştırmanın yöntemi olarak nitel araştırma tekniklerinden </w:t>
      </w:r>
      <w:proofErr w:type="gramStart"/>
      <w:r w:rsidRPr="00FD5450">
        <w:t>doküman</w:t>
      </w:r>
      <w:proofErr w:type="gramEnd"/>
      <w:r w:rsidRPr="00FD5450">
        <w:t xml:space="preserve"> analizi tekniği </w:t>
      </w:r>
      <w:r w:rsidRPr="00FD5450">
        <w:lastRenderedPageBreak/>
        <w:t xml:space="preserve">kullanılmıştır. </w:t>
      </w:r>
      <w:proofErr w:type="gramStart"/>
      <w:r w:rsidRPr="00FD5450">
        <w:t>Doküman</w:t>
      </w:r>
      <w:proofErr w:type="gramEnd"/>
      <w:r w:rsidRPr="00FD5450">
        <w:t xml:space="preserve"> analizi, farklı kaynakların araştırma sorusu çerçevesinde okunması, derlenmesi, not alınması ve aktarılması süreçlerini içermektedir. Suriyeli öğrencilerin eğitimde yaşadığı sosyal dışlanma deneyimleri nelerdir? Sorusu kapsamında incelenen </w:t>
      </w:r>
      <w:proofErr w:type="spellStart"/>
      <w:r w:rsidRPr="00FD5450">
        <w:t>dökümanlardan</w:t>
      </w:r>
      <w:proofErr w:type="spellEnd"/>
      <w:r w:rsidRPr="00FD5450">
        <w:t xml:space="preserve"> çalışma oluşturulmuştur. Araştırma sorusu çerçevesinde literatür taranmış, elde edilen bulgular çerçevesinde metin yazılmıştır. Bu çalışma Suriyeli göçmen öğrencilerin eğitimdeki sosyal dışlanması hakkında bilgi sağlayacak olup ayrıca okul sosyal hizmeti alanına önemli bir katkı sunacaktır.</w:t>
      </w:r>
    </w:p>
    <w:p w14:paraId="196F1A91" w14:textId="77777777" w:rsidR="00B80551" w:rsidRPr="00FD5450" w:rsidRDefault="00B80551" w:rsidP="00B80551">
      <w:pPr>
        <w:jc w:val="both"/>
      </w:pPr>
    </w:p>
    <w:p w14:paraId="432810CD" w14:textId="77777777" w:rsidR="003E3BD3" w:rsidRPr="00FD5450" w:rsidRDefault="003E3BD3" w:rsidP="00B80551">
      <w:pPr>
        <w:jc w:val="both"/>
        <w:outlineLvl w:val="3"/>
        <w:rPr>
          <w:b/>
          <w:bCs/>
        </w:rPr>
      </w:pPr>
      <w:r w:rsidRPr="00FD5450">
        <w:rPr>
          <w:b/>
          <w:bCs/>
        </w:rPr>
        <w:t>6. SONUÇ</w:t>
      </w:r>
    </w:p>
    <w:p w14:paraId="73196382" w14:textId="77777777" w:rsidR="003E3BD3" w:rsidRDefault="003E3BD3" w:rsidP="00B80551">
      <w:pPr>
        <w:jc w:val="both"/>
        <w:outlineLvl w:val="3"/>
        <w:rPr>
          <w:bCs/>
        </w:rPr>
      </w:pPr>
      <w:r w:rsidRPr="00FD5450">
        <w:rPr>
          <w:bCs/>
        </w:rPr>
        <w:t xml:space="preserve">      Göçmenlerin sosyal ve kültürel farklılıkları, toplumsal uyum sürecinde fırsatlar ve zorluklar barındırır. Kültürel anlamda çeşitlilik toplumlar için zenginlik sunarken, sosyal farklılıklar ise eşitsizlikleri ve dışlanmayı getirebilir. Bu nedenle göçmen öğrencilerin kültürel değerlerini koruyan aynı zamanda toplumla uyum sürecini destekleyen kapsayıcı politikalar geliştirilebilir. Göçmenlerin topluma uyumu, ev sahibi toplumun da aktif rol almasını gerektiren uzun dönemli bir süreçtir. Bu süreçte karşılıklı anlayış, hoşgörü ve diyalog kültürel ve sosyal farklılıkların bir zenginliğe dönüşmesinde kilit rol oynayacaktır. Dil engelleri, iletişim kurmanın ve sosyalleşmenin önündeki en büyük engellerden biridir. Dil becerisinin eksikliği, göçmen öğrencilerin okul ortamında daha içe kapanık, sosyal gruplara dahil olmaktan uzak, okul faaliyetlerine katılımda geride durmak gibi davranışlar sergilemesine neden olmaktadır. Bu durum sosyal dışlanma riskini arttırmaktadır. Dil eğitimi, okul ortamında öğrencilerden karma gruplar yaparak okuldaki süreçlerinde birbirlerine destek olmalarını teşvik edici sınıf içi etkinlikler, öğretmenlerin göçmen öğrencilere yönelik algıları bu sürecin göçmen öğrenciler lehine uyumu kolaylaştırıcı etki göstermesini sağlayabilir. Ev sahibi toplumun ve göçmen toplumunun ortak gayretiyle toplumsal bütünleşme sağlanabilir. Göçmen öğrencilere yönelik toplumsal önyargılar ve </w:t>
      </w:r>
      <w:proofErr w:type="gramStart"/>
      <w:r w:rsidRPr="00FD5450">
        <w:rPr>
          <w:bCs/>
        </w:rPr>
        <w:t>ayrımcılık,</w:t>
      </w:r>
      <w:proofErr w:type="gramEnd"/>
      <w:r w:rsidRPr="00FD5450">
        <w:rPr>
          <w:bCs/>
        </w:rPr>
        <w:t xml:space="preserve"> hem öğrencilerin bireysel refahını hem de toplumsal uyum sürecini olumsuz etkilemektedir. Bu sorunların aşılması için eğitim, farkındalık, yasal düzenlemeler ve toplumsal diyalog gibi stratejiler gerekir. Medyaya yansıyan olumsuz göçmen algısı her yaştan göçmenin olumsuz tutumlara maruz kalmasına sebep olmaktadır. Medya dilinin olumsuzluk yaymaktan uzak olması toplumsal bütünleşmeyi destekleyecektir. Yaşanan olumsuz deneyimler öğrenciler üzerinde kalıcı izler bırakmaktadır bu nedenle psikolojik destek ihtiyaçları belirgin olmaktadır. Okullarda hali hazırda psikolojik destek süreçlerini, psikolojik danışmanlar yürütmektedir. Göç </w:t>
      </w:r>
      <w:proofErr w:type="gramStart"/>
      <w:r w:rsidRPr="00FD5450">
        <w:rPr>
          <w:bCs/>
        </w:rPr>
        <w:t>komplike</w:t>
      </w:r>
      <w:proofErr w:type="gramEnd"/>
      <w:r w:rsidRPr="00FD5450">
        <w:rPr>
          <w:bCs/>
        </w:rPr>
        <w:t xml:space="preserve"> bir olgu olduğu için göçten kaynaklı problemler de çeşitlenmektedir. Okul sosyal hizmet uzmanları çevresi içinde birey anlayışıyla bireyi yalnızca kendi deneyimleriyle değil ailesi, çevresi, toplumsal boyutuyla ele alarak kapsamlı bir çözüm arayışına girer. Bu nedenle sosyal hizmet uzmanlarının müdahale rolleri okullarda önem teşkil etmektedir. Bu anlamda iki disiplin alanının ortak çalışması çözümün farklı bakış açılarıyla zenginleşmesine olanak tanıyacaktır.</w:t>
      </w:r>
    </w:p>
    <w:p w14:paraId="76F16E5D" w14:textId="77777777" w:rsidR="00B80551" w:rsidRPr="00FD5450" w:rsidRDefault="00B80551" w:rsidP="00B80551">
      <w:pPr>
        <w:jc w:val="both"/>
        <w:outlineLvl w:val="3"/>
        <w:rPr>
          <w:bCs/>
        </w:rPr>
      </w:pPr>
    </w:p>
    <w:p w14:paraId="300B66AB" w14:textId="77777777" w:rsidR="003E3BD3" w:rsidRPr="00FD5450" w:rsidRDefault="003E3BD3" w:rsidP="003E3BD3">
      <w:pPr>
        <w:jc w:val="both"/>
        <w:rPr>
          <w:b/>
        </w:rPr>
      </w:pPr>
      <w:r w:rsidRPr="00FD5450">
        <w:rPr>
          <w:b/>
        </w:rPr>
        <w:t>7. KAYNAKÇA</w:t>
      </w:r>
    </w:p>
    <w:p w14:paraId="406E6BF0" w14:textId="77777777" w:rsidR="003E3BD3" w:rsidRPr="00FD5450" w:rsidRDefault="003E3BD3">
      <w:pPr>
        <w:pStyle w:val="ListeParagraf"/>
        <w:widowControl/>
        <w:numPr>
          <w:ilvl w:val="0"/>
          <w:numId w:val="86"/>
        </w:numPr>
        <w:shd w:val="clear" w:color="auto" w:fill="FFFFFF" w:themeFill="background1"/>
        <w:autoSpaceDE/>
        <w:autoSpaceDN/>
        <w:spacing w:after="160"/>
        <w:jc w:val="both"/>
      </w:pPr>
      <w:r w:rsidRPr="00FD5450">
        <w:rPr>
          <w:shd w:val="clear" w:color="auto" w:fill="F7F8FA"/>
        </w:rPr>
        <w:t xml:space="preserve">Akarçay, D., &amp; </w:t>
      </w:r>
      <w:proofErr w:type="spellStart"/>
      <w:r w:rsidRPr="00FD5450">
        <w:rPr>
          <w:shd w:val="clear" w:color="auto" w:fill="F7F8FA"/>
        </w:rPr>
        <w:t>Kırlıoğlu</w:t>
      </w:r>
      <w:proofErr w:type="spellEnd"/>
      <w:r w:rsidRPr="00FD5450">
        <w:rPr>
          <w:shd w:val="clear" w:color="auto" w:fill="F7F8FA"/>
        </w:rPr>
        <w:t xml:space="preserve">, M. (2020). Sosyal Hizmetin Gözünden Sosyal Uyum İçin Bir Öneri: Çokkültürlü Eğitim. </w:t>
      </w:r>
      <w:r w:rsidRPr="00FD5450">
        <w:rPr>
          <w:i/>
          <w:shd w:val="clear" w:color="auto" w:fill="F7F8FA"/>
        </w:rPr>
        <w:t xml:space="preserve">Toplum </w:t>
      </w:r>
      <w:proofErr w:type="gramStart"/>
      <w:r w:rsidRPr="00FD5450">
        <w:rPr>
          <w:i/>
          <w:shd w:val="clear" w:color="auto" w:fill="F7F8FA"/>
        </w:rPr>
        <w:t>Ve</w:t>
      </w:r>
      <w:proofErr w:type="gramEnd"/>
      <w:r w:rsidRPr="00FD5450">
        <w:rPr>
          <w:i/>
          <w:shd w:val="clear" w:color="auto" w:fill="F7F8FA"/>
        </w:rPr>
        <w:t xml:space="preserve"> Sosyal Hizmet</w:t>
      </w:r>
      <w:r w:rsidRPr="00FD5450">
        <w:rPr>
          <w:shd w:val="clear" w:color="auto" w:fill="F7F8FA"/>
        </w:rPr>
        <w:t xml:space="preserve">, 31(2), 677-698. </w:t>
      </w:r>
      <w:hyperlink r:id="rId390" w:history="1">
        <w:r w:rsidRPr="00FD5450">
          <w:rPr>
            <w:rStyle w:val="Kpr"/>
            <w:shd w:val="clear" w:color="auto" w:fill="F7F8FA"/>
          </w:rPr>
          <w:t>https://doi.org/10.33417/tsh.694560</w:t>
        </w:r>
      </w:hyperlink>
    </w:p>
    <w:p w14:paraId="672FAA68" w14:textId="77777777" w:rsidR="003E3BD3" w:rsidRPr="00FD5450" w:rsidRDefault="003E3BD3">
      <w:pPr>
        <w:pStyle w:val="ListeParagraf"/>
        <w:widowControl/>
        <w:numPr>
          <w:ilvl w:val="0"/>
          <w:numId w:val="86"/>
        </w:numPr>
        <w:autoSpaceDE/>
        <w:autoSpaceDN/>
        <w:spacing w:after="160"/>
        <w:jc w:val="both"/>
      </w:pPr>
      <w:r w:rsidRPr="00FD5450">
        <w:t xml:space="preserve">Akgün, </w:t>
      </w:r>
      <w:proofErr w:type="gramStart"/>
      <w:r w:rsidRPr="00FD5450">
        <w:t>G.(</w:t>
      </w:r>
      <w:proofErr w:type="gramEnd"/>
      <w:r w:rsidRPr="00FD5450">
        <w:t xml:space="preserve">2022). </w:t>
      </w:r>
      <w:r w:rsidRPr="00FD5450">
        <w:rPr>
          <w:bCs/>
          <w:i/>
        </w:rPr>
        <w:t xml:space="preserve">Türkiye’de yaşayan Suriyelilerin sosyal dışlanma bağlamında </w:t>
      </w:r>
      <w:proofErr w:type="gramStart"/>
      <w:r w:rsidRPr="00FD5450">
        <w:rPr>
          <w:bCs/>
          <w:i/>
        </w:rPr>
        <w:t>değerlendirilmesi</w:t>
      </w:r>
      <w:r w:rsidRPr="00FD5450">
        <w:rPr>
          <w:bCs/>
        </w:rPr>
        <w:t>[</w:t>
      </w:r>
      <w:proofErr w:type="gramEnd"/>
      <w:r w:rsidRPr="00FD5450">
        <w:rPr>
          <w:bCs/>
        </w:rPr>
        <w:t>Yüksek lisans tezi]. Mersin Üniversitesi</w:t>
      </w:r>
    </w:p>
    <w:p w14:paraId="2AA937EA" w14:textId="77777777" w:rsidR="003E3BD3" w:rsidRPr="00FD5450" w:rsidRDefault="003E3BD3">
      <w:pPr>
        <w:pStyle w:val="ListeParagraf"/>
        <w:widowControl/>
        <w:numPr>
          <w:ilvl w:val="0"/>
          <w:numId w:val="86"/>
        </w:numPr>
        <w:autoSpaceDE/>
        <w:autoSpaceDN/>
        <w:spacing w:after="100" w:afterAutospacing="1"/>
        <w:jc w:val="both"/>
      </w:pPr>
      <w:r w:rsidRPr="00FD5450">
        <w:t>Aydın, H., &amp; Kaya, Y. (2017). Göçmen Çocukların Eğitiminde Karşılaşılan Sorunlar ve Çözüm Önerileri. </w:t>
      </w:r>
      <w:r w:rsidRPr="00FD5450">
        <w:rPr>
          <w:i/>
          <w:iCs/>
        </w:rPr>
        <w:t>Eğitim ve Bilim</w:t>
      </w:r>
      <w:r w:rsidRPr="00FD5450">
        <w:t>, 42(190), 1-20.</w:t>
      </w:r>
    </w:p>
    <w:p w14:paraId="38D2E792" w14:textId="77777777" w:rsidR="003E3BD3" w:rsidRPr="00FD5450" w:rsidRDefault="003E3BD3">
      <w:pPr>
        <w:pStyle w:val="ListeParagraf"/>
        <w:widowControl/>
        <w:numPr>
          <w:ilvl w:val="0"/>
          <w:numId w:val="86"/>
        </w:numPr>
        <w:autoSpaceDE/>
        <w:autoSpaceDN/>
        <w:spacing w:after="160"/>
        <w:jc w:val="both"/>
        <w:rPr>
          <w:shd w:val="clear" w:color="auto" w:fill="FFFFFF"/>
        </w:rPr>
      </w:pPr>
      <w:proofErr w:type="spellStart"/>
      <w:r w:rsidRPr="00FD5450">
        <w:rPr>
          <w:rStyle w:val="normaltextrun"/>
          <w:rFonts w:eastAsiaTheme="majorEastAsia"/>
          <w:shd w:val="clear" w:color="auto" w:fill="FFFFFF"/>
        </w:rPr>
        <w:lastRenderedPageBreak/>
        <w:t>Bešić</w:t>
      </w:r>
      <w:proofErr w:type="spellEnd"/>
      <w:r w:rsidRPr="00FD5450">
        <w:rPr>
          <w:rStyle w:val="normaltextrun"/>
          <w:rFonts w:eastAsiaTheme="majorEastAsia"/>
          <w:shd w:val="clear" w:color="auto" w:fill="FFFFFF"/>
        </w:rPr>
        <w:t xml:space="preserve"> E, </w:t>
      </w:r>
      <w:proofErr w:type="spellStart"/>
      <w:r w:rsidRPr="00FD5450">
        <w:rPr>
          <w:rStyle w:val="normaltextrun"/>
          <w:rFonts w:eastAsiaTheme="majorEastAsia"/>
          <w:shd w:val="clear" w:color="auto" w:fill="FFFFFF"/>
        </w:rPr>
        <w:t>Gasteiger-Klicpera</w:t>
      </w:r>
      <w:proofErr w:type="spellEnd"/>
      <w:r w:rsidRPr="00FD5450">
        <w:rPr>
          <w:rStyle w:val="normaltextrun"/>
          <w:rFonts w:eastAsiaTheme="majorEastAsia"/>
          <w:shd w:val="clear" w:color="auto" w:fill="FFFFFF"/>
        </w:rPr>
        <w:t xml:space="preserve"> B, </w:t>
      </w:r>
      <w:proofErr w:type="spellStart"/>
      <w:r w:rsidRPr="00FD5450">
        <w:rPr>
          <w:rStyle w:val="normaltextrun"/>
          <w:rFonts w:eastAsiaTheme="majorEastAsia"/>
          <w:shd w:val="clear" w:color="auto" w:fill="FFFFFF"/>
        </w:rPr>
        <w:t>Buchart</w:t>
      </w:r>
      <w:proofErr w:type="spellEnd"/>
      <w:r w:rsidRPr="00FD5450">
        <w:rPr>
          <w:rStyle w:val="normaltextrun"/>
          <w:rFonts w:eastAsiaTheme="majorEastAsia"/>
          <w:shd w:val="clear" w:color="auto" w:fill="FFFFFF"/>
        </w:rPr>
        <w:t xml:space="preserve"> C, </w:t>
      </w:r>
      <w:proofErr w:type="spellStart"/>
      <w:r w:rsidRPr="00FD5450">
        <w:rPr>
          <w:rStyle w:val="normaltextrun"/>
          <w:rFonts w:eastAsiaTheme="majorEastAsia"/>
          <w:shd w:val="clear" w:color="auto" w:fill="FFFFFF"/>
        </w:rPr>
        <w:t>Hafner</w:t>
      </w:r>
      <w:proofErr w:type="spellEnd"/>
      <w:r w:rsidRPr="00FD5450">
        <w:rPr>
          <w:rStyle w:val="normaltextrun"/>
          <w:rFonts w:eastAsiaTheme="majorEastAsia"/>
          <w:shd w:val="clear" w:color="auto" w:fill="FFFFFF"/>
        </w:rPr>
        <w:t xml:space="preserve"> J, </w:t>
      </w:r>
      <w:proofErr w:type="spellStart"/>
      <w:r w:rsidRPr="00FD5450">
        <w:rPr>
          <w:rStyle w:val="normaltextrun"/>
          <w:rFonts w:eastAsiaTheme="majorEastAsia"/>
          <w:shd w:val="clear" w:color="auto" w:fill="FFFFFF"/>
        </w:rPr>
        <w:t>Stefitz</w:t>
      </w:r>
      <w:proofErr w:type="spellEnd"/>
      <w:r w:rsidRPr="00FD5450">
        <w:rPr>
          <w:rStyle w:val="normaltextrun"/>
          <w:rFonts w:eastAsiaTheme="majorEastAsia"/>
          <w:shd w:val="clear" w:color="auto" w:fill="FFFFFF"/>
        </w:rPr>
        <w:t xml:space="preserve"> E. (2020) </w:t>
      </w:r>
      <w:proofErr w:type="spellStart"/>
      <w:r w:rsidRPr="00FD5450">
        <w:rPr>
          <w:rStyle w:val="normaltextrun"/>
          <w:rFonts w:eastAsiaTheme="majorEastAsia"/>
          <w:shd w:val="clear" w:color="auto" w:fill="FFFFFF"/>
        </w:rPr>
        <w:t>Refugee</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students</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perspectives</w:t>
      </w:r>
      <w:proofErr w:type="spellEnd"/>
      <w:r w:rsidRPr="00FD5450">
        <w:rPr>
          <w:rStyle w:val="normaltextrun"/>
          <w:rFonts w:eastAsiaTheme="majorEastAsia"/>
          <w:shd w:val="clear" w:color="auto" w:fill="FFFFFF"/>
        </w:rPr>
        <w:t xml:space="preserve"> on </w:t>
      </w:r>
      <w:proofErr w:type="spellStart"/>
      <w:r w:rsidRPr="00FD5450">
        <w:rPr>
          <w:rStyle w:val="normaltextrun"/>
          <w:rFonts w:eastAsiaTheme="majorEastAsia"/>
          <w:shd w:val="clear" w:color="auto" w:fill="FFFFFF"/>
        </w:rPr>
        <w:t>inclusive</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and</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exclusive</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school</w:t>
      </w:r>
      <w:proofErr w:type="spellEnd"/>
      <w:r w:rsidRPr="00FD5450">
        <w:rPr>
          <w:rStyle w:val="normaltextrun"/>
          <w:rFonts w:eastAsiaTheme="majorEastAsia"/>
          <w:shd w:val="clear" w:color="auto" w:fill="FFFFFF"/>
        </w:rPr>
        <w:t xml:space="preserve"> </w:t>
      </w:r>
      <w:proofErr w:type="spellStart"/>
      <w:r w:rsidRPr="00FD5450">
        <w:rPr>
          <w:rStyle w:val="normaltextrun"/>
          <w:rFonts w:eastAsiaTheme="majorEastAsia"/>
          <w:shd w:val="clear" w:color="auto" w:fill="FFFFFF"/>
        </w:rPr>
        <w:t>experiences</w:t>
      </w:r>
      <w:proofErr w:type="spellEnd"/>
      <w:r w:rsidRPr="00FD5450">
        <w:rPr>
          <w:rStyle w:val="normaltextrun"/>
          <w:rFonts w:eastAsiaTheme="majorEastAsia"/>
          <w:shd w:val="clear" w:color="auto" w:fill="FFFFFF"/>
        </w:rPr>
        <w:t xml:space="preserve"> in </w:t>
      </w:r>
      <w:proofErr w:type="spellStart"/>
      <w:r w:rsidRPr="00FD5450">
        <w:rPr>
          <w:rStyle w:val="normaltextrun"/>
          <w:rFonts w:eastAsiaTheme="majorEastAsia"/>
          <w:shd w:val="clear" w:color="auto" w:fill="FFFFFF"/>
        </w:rPr>
        <w:t>Austria</w:t>
      </w:r>
      <w:proofErr w:type="spellEnd"/>
      <w:r w:rsidRPr="00FD5450">
        <w:rPr>
          <w:rStyle w:val="normaltextrun"/>
          <w:rFonts w:eastAsiaTheme="majorEastAsia"/>
          <w:shd w:val="clear" w:color="auto" w:fill="FFFFFF"/>
        </w:rPr>
        <w:t xml:space="preserve">. </w:t>
      </w:r>
      <w:proofErr w:type="spellStart"/>
      <w:proofErr w:type="gramStart"/>
      <w:r w:rsidRPr="00FD5450">
        <w:rPr>
          <w:rStyle w:val="normaltextrun"/>
          <w:rFonts w:eastAsiaTheme="majorEastAsia"/>
          <w:i/>
          <w:iCs/>
          <w:shd w:val="clear" w:color="auto" w:fill="FFFFFF"/>
        </w:rPr>
        <w:t>tt</w:t>
      </w:r>
      <w:proofErr w:type="spellEnd"/>
      <w:proofErr w:type="gramEnd"/>
      <w:r w:rsidRPr="00FD5450">
        <w:rPr>
          <w:rStyle w:val="normaltextrun"/>
          <w:rFonts w:eastAsiaTheme="majorEastAsia"/>
          <w:shd w:val="clear" w:color="auto" w:fill="FFFFFF"/>
        </w:rPr>
        <w:t xml:space="preserve"> Oct;55(5):723-731. DOI: 10.1002/ijop.12662</w:t>
      </w:r>
      <w:r w:rsidRPr="00FD5450">
        <w:rPr>
          <w:rStyle w:val="eop"/>
          <w:rFonts w:eastAsiaTheme="majorEastAsia"/>
          <w:shd w:val="clear" w:color="auto" w:fill="FFFFFF"/>
        </w:rPr>
        <w:t> </w:t>
      </w:r>
    </w:p>
    <w:p w14:paraId="0E0AA488" w14:textId="77777777" w:rsidR="003E3BD3" w:rsidRPr="00FD5450" w:rsidRDefault="003E3BD3">
      <w:pPr>
        <w:pStyle w:val="ListeParagraf"/>
        <w:widowControl/>
        <w:numPr>
          <w:ilvl w:val="0"/>
          <w:numId w:val="86"/>
        </w:numPr>
        <w:autoSpaceDE/>
        <w:autoSpaceDN/>
        <w:spacing w:after="160"/>
        <w:jc w:val="both"/>
      </w:pPr>
      <w:r w:rsidRPr="00FD5450">
        <w:t xml:space="preserve">Cebeci, </w:t>
      </w:r>
      <w:proofErr w:type="gramStart"/>
      <w:r w:rsidRPr="00FD5450">
        <w:t>F. ,</w:t>
      </w:r>
      <w:proofErr w:type="gramEnd"/>
      <w:r w:rsidRPr="00FD5450">
        <w:t xml:space="preserve"> Artan, T.(2024). Okul Sosyal Hizmetinin Türkiye’deki Durumu. </w:t>
      </w:r>
      <w:proofErr w:type="spellStart"/>
      <w:r w:rsidRPr="00FD5450">
        <w:rPr>
          <w:i/>
        </w:rPr>
        <w:t>The</w:t>
      </w:r>
      <w:proofErr w:type="spellEnd"/>
      <w:r w:rsidRPr="00FD5450">
        <w:rPr>
          <w:i/>
        </w:rPr>
        <w:t xml:space="preserve"> </w:t>
      </w:r>
      <w:proofErr w:type="spellStart"/>
      <w:r w:rsidRPr="00FD5450">
        <w:rPr>
          <w:i/>
        </w:rPr>
        <w:t>Journal</w:t>
      </w:r>
      <w:proofErr w:type="spellEnd"/>
      <w:r w:rsidRPr="00FD5450">
        <w:rPr>
          <w:i/>
        </w:rPr>
        <w:t xml:space="preserve"> of </w:t>
      </w:r>
      <w:proofErr w:type="spellStart"/>
      <w:r w:rsidRPr="00FD5450">
        <w:rPr>
          <w:i/>
        </w:rPr>
        <w:t>Academic</w:t>
      </w:r>
      <w:proofErr w:type="spellEnd"/>
      <w:r w:rsidRPr="00FD5450">
        <w:rPr>
          <w:i/>
        </w:rPr>
        <w:t xml:space="preserve"> </w:t>
      </w:r>
      <w:proofErr w:type="spellStart"/>
      <w:r w:rsidRPr="00FD5450">
        <w:rPr>
          <w:i/>
        </w:rPr>
        <w:t>Social</w:t>
      </w:r>
      <w:proofErr w:type="spellEnd"/>
      <w:r w:rsidRPr="00FD5450">
        <w:rPr>
          <w:i/>
        </w:rPr>
        <w:t xml:space="preserve"> </w:t>
      </w:r>
      <w:proofErr w:type="spellStart"/>
      <w:r w:rsidRPr="00FD5450">
        <w:rPr>
          <w:i/>
        </w:rPr>
        <w:t>Science</w:t>
      </w:r>
      <w:proofErr w:type="spellEnd"/>
      <w:r w:rsidRPr="00FD5450">
        <w:rPr>
          <w:i/>
        </w:rPr>
        <w:t xml:space="preserve"> </w:t>
      </w:r>
      <w:r w:rsidRPr="00FD5450">
        <w:t>Yıl:12, Sayı: 152, Mayıs 2024, s. 194-213</w:t>
      </w:r>
    </w:p>
    <w:p w14:paraId="4956BCBD" w14:textId="77777777" w:rsidR="003E3BD3" w:rsidRPr="00FD5450" w:rsidRDefault="003E3BD3">
      <w:pPr>
        <w:pStyle w:val="ListeParagraf"/>
        <w:widowControl/>
        <w:numPr>
          <w:ilvl w:val="0"/>
          <w:numId w:val="86"/>
        </w:numPr>
        <w:autoSpaceDE/>
        <w:autoSpaceDN/>
        <w:spacing w:after="160"/>
        <w:jc w:val="both"/>
      </w:pPr>
      <w:proofErr w:type="spellStart"/>
      <w:proofErr w:type="gramStart"/>
      <w:r w:rsidRPr="00FD5450">
        <w:t>Çelik,S</w:t>
      </w:r>
      <w:proofErr w:type="spellEnd"/>
      <w:r w:rsidRPr="00FD5450">
        <w:t>.</w:t>
      </w:r>
      <w:proofErr w:type="gramEnd"/>
      <w:r w:rsidRPr="00FD5450">
        <w:t xml:space="preserve"> ve Özenç-Ira G.(2024).Çemberin dışında olmak mı yoksa çemberin karesini almak mı: Suriyeli mülteci öğrencilerin ve akademisyenlerin kapsayıcı kampüs iklimine ilişkin algıları. </w:t>
      </w:r>
      <w:r w:rsidRPr="00FD5450">
        <w:rPr>
          <w:i/>
        </w:rPr>
        <w:t>Uluslararası Kültürlerarası İlişkiler Dergisi</w:t>
      </w:r>
      <w:r w:rsidRPr="00FD5450">
        <w:t>. 102(102021). </w:t>
      </w:r>
    </w:p>
    <w:p w14:paraId="1F937581" w14:textId="77777777" w:rsidR="003E3BD3" w:rsidRPr="00FD5450" w:rsidRDefault="003E3BD3">
      <w:pPr>
        <w:pStyle w:val="Default"/>
        <w:widowControl/>
        <w:numPr>
          <w:ilvl w:val="0"/>
          <w:numId w:val="86"/>
        </w:numPr>
        <w:jc w:val="both"/>
        <w:rPr>
          <w:color w:val="auto"/>
        </w:rPr>
      </w:pPr>
      <w:r w:rsidRPr="00FD5450">
        <w:rPr>
          <w:color w:val="auto"/>
        </w:rPr>
        <w:t xml:space="preserve">Çolak, </w:t>
      </w:r>
      <w:proofErr w:type="gramStart"/>
      <w:r w:rsidRPr="00FD5450">
        <w:rPr>
          <w:color w:val="auto"/>
        </w:rPr>
        <w:t>Ç. ,</w:t>
      </w:r>
      <w:proofErr w:type="gramEnd"/>
      <w:r w:rsidRPr="00FD5450">
        <w:rPr>
          <w:color w:val="auto"/>
        </w:rPr>
        <w:t xml:space="preserve"> </w:t>
      </w:r>
      <w:proofErr w:type="spellStart"/>
      <w:r w:rsidRPr="00FD5450">
        <w:rPr>
          <w:color w:val="auto"/>
        </w:rPr>
        <w:t>Teköze</w:t>
      </w:r>
      <w:proofErr w:type="spellEnd"/>
      <w:r w:rsidRPr="00FD5450">
        <w:rPr>
          <w:color w:val="auto"/>
        </w:rPr>
        <w:t xml:space="preserve">, M.(2019). </w:t>
      </w:r>
      <w:r w:rsidRPr="00FD5450">
        <w:rPr>
          <w:bCs/>
          <w:color w:val="auto"/>
        </w:rPr>
        <w:t xml:space="preserve">Sosyal dışlanma olgusu üzerine genel bir inceleme. </w:t>
      </w:r>
    </w:p>
    <w:p w14:paraId="770F9D58" w14:textId="77777777" w:rsidR="003E3BD3" w:rsidRPr="00FD5450" w:rsidRDefault="003E3BD3">
      <w:pPr>
        <w:pStyle w:val="ListeParagraf"/>
        <w:widowControl/>
        <w:numPr>
          <w:ilvl w:val="0"/>
          <w:numId w:val="86"/>
        </w:numPr>
        <w:autoSpaceDE/>
        <w:autoSpaceDN/>
        <w:spacing w:after="160"/>
        <w:jc w:val="both"/>
      </w:pPr>
      <w:r w:rsidRPr="00FD5450">
        <w:rPr>
          <w:bCs/>
          <w:i/>
        </w:rPr>
        <w:t>Celal Bayar Üniversitesi Sosyal Bilimler Dergisi</w:t>
      </w:r>
      <w:r w:rsidRPr="00FD5450">
        <w:rPr>
          <w:bCs/>
        </w:rPr>
        <w:t xml:space="preserve">, </w:t>
      </w:r>
      <w:r w:rsidRPr="00FD5450">
        <w:t>17 (4), 293-315</w:t>
      </w:r>
    </w:p>
    <w:p w14:paraId="2D141DC0" w14:textId="77777777" w:rsidR="003E3BD3" w:rsidRPr="00FD5450" w:rsidRDefault="003E3BD3">
      <w:pPr>
        <w:pStyle w:val="ListeParagraf"/>
        <w:widowControl/>
        <w:numPr>
          <w:ilvl w:val="0"/>
          <w:numId w:val="86"/>
        </w:numPr>
        <w:autoSpaceDE/>
        <w:autoSpaceDN/>
        <w:spacing w:after="160"/>
        <w:jc w:val="both"/>
      </w:pPr>
      <w:r w:rsidRPr="00FD5450">
        <w:t>Dağ, A. Eğitimde Sosyal Dışlanma Sorunu ve Okul Sosyal Hizmeti. Akademik Sosyal Araştırmalar Dergisi, Yıl: 4, Sayı: 23, Mart 2016, s. 467-480</w:t>
      </w:r>
    </w:p>
    <w:p w14:paraId="77C60E10" w14:textId="77777777" w:rsidR="003E3BD3" w:rsidRPr="00FD5450" w:rsidRDefault="003E3BD3">
      <w:pPr>
        <w:pStyle w:val="ListeParagraf"/>
        <w:widowControl/>
        <w:numPr>
          <w:ilvl w:val="0"/>
          <w:numId w:val="86"/>
        </w:numPr>
        <w:autoSpaceDE/>
        <w:autoSpaceDN/>
        <w:spacing w:after="160"/>
        <w:jc w:val="both"/>
      </w:pPr>
      <w:r w:rsidRPr="00FD5450">
        <w:t xml:space="preserve">Doğan, H. &amp; Buz, S., (2022). “Göç Sürecinde Ergen Olmak” ODÜ Sosyal Bilimler Araştırma Dergisi ,12(3), 2797-2822 </w:t>
      </w:r>
      <w:proofErr w:type="spellStart"/>
      <w:r w:rsidRPr="00FD5450">
        <w:t>Doi</w:t>
      </w:r>
      <w:proofErr w:type="spellEnd"/>
      <w:r w:rsidRPr="00FD5450">
        <w:t>: 10.48146/odusobiad.1087253</w:t>
      </w:r>
    </w:p>
    <w:p w14:paraId="04166850" w14:textId="77777777" w:rsidR="003E3BD3" w:rsidRPr="00FD5450" w:rsidRDefault="003E3BD3">
      <w:pPr>
        <w:pStyle w:val="ListeParagraf"/>
        <w:widowControl/>
        <w:numPr>
          <w:ilvl w:val="0"/>
          <w:numId w:val="86"/>
        </w:numPr>
        <w:autoSpaceDE/>
        <w:autoSpaceDN/>
        <w:spacing w:after="160"/>
        <w:jc w:val="both"/>
        <w:rPr>
          <w:color w:val="000000"/>
          <w:shd w:val="clear" w:color="auto" w:fill="FFFFFF"/>
        </w:rPr>
      </w:pPr>
      <w:r w:rsidRPr="00FD5450">
        <w:t xml:space="preserve">Emin, </w:t>
      </w:r>
      <w:proofErr w:type="gramStart"/>
      <w:r w:rsidRPr="00FD5450">
        <w:t>M.N.(</w:t>
      </w:r>
      <w:proofErr w:type="gramEnd"/>
      <w:r w:rsidRPr="00FD5450">
        <w:t xml:space="preserve">2016)Türkiye’deki Suriyeli çocukların eğitimi. </w:t>
      </w:r>
      <w:proofErr w:type="spellStart"/>
      <w:proofErr w:type="gramStart"/>
      <w:r w:rsidRPr="00FD5450">
        <w:rPr>
          <w:i/>
          <w:iCs/>
        </w:rPr>
        <w:t>Siyaset,Ekonomi</w:t>
      </w:r>
      <w:proofErr w:type="spellEnd"/>
      <w:proofErr w:type="gramEnd"/>
      <w:r w:rsidRPr="00FD5450">
        <w:rPr>
          <w:i/>
          <w:iCs/>
        </w:rPr>
        <w:t xml:space="preserve"> ve Toplum Araştırmaları Vakfı. </w:t>
      </w:r>
      <w:r w:rsidRPr="00FD5450">
        <w:t>Sayı 153</w:t>
      </w:r>
    </w:p>
    <w:p w14:paraId="6AAC7923" w14:textId="77777777" w:rsidR="003E3BD3" w:rsidRPr="00FD5450" w:rsidRDefault="003E3BD3">
      <w:pPr>
        <w:pStyle w:val="ListeParagraf"/>
        <w:widowControl/>
        <w:numPr>
          <w:ilvl w:val="0"/>
          <w:numId w:val="86"/>
        </w:numPr>
        <w:autoSpaceDE/>
        <w:autoSpaceDN/>
        <w:spacing w:after="100" w:afterAutospacing="1"/>
        <w:jc w:val="both"/>
      </w:pPr>
      <w:r w:rsidRPr="00FD5450">
        <w:t>Erdoğan, M. M. (2017). Türkiye’deki Suriyeli Çocukların Eğitimi: Temel İhtiyaçlar ve Öneriler. </w:t>
      </w:r>
      <w:r w:rsidRPr="00FD5450">
        <w:rPr>
          <w:i/>
          <w:iCs/>
        </w:rPr>
        <w:t>İstanbul Politikalar Merkezi</w:t>
      </w:r>
      <w:r w:rsidRPr="00FD5450">
        <w:t>.</w:t>
      </w:r>
    </w:p>
    <w:p w14:paraId="75B016C4" w14:textId="77777777" w:rsidR="003E3BD3" w:rsidRPr="00FD5450" w:rsidRDefault="003E3BD3">
      <w:pPr>
        <w:pStyle w:val="ListeParagraf"/>
        <w:widowControl/>
        <w:numPr>
          <w:ilvl w:val="0"/>
          <w:numId w:val="86"/>
        </w:numPr>
        <w:adjustRightInd w:val="0"/>
        <w:jc w:val="both"/>
      </w:pPr>
      <w:r w:rsidRPr="00FD5450">
        <w:t xml:space="preserve">Ersoy, A. </w:t>
      </w:r>
      <w:proofErr w:type="gramStart"/>
      <w:r w:rsidRPr="00FD5450">
        <w:t>F. ,</w:t>
      </w:r>
      <w:proofErr w:type="gramEnd"/>
      <w:r w:rsidRPr="00FD5450">
        <w:t xml:space="preserve"> Turan, N. 2019 Sığınmacı ve Göçmen Öğrencilerde Sosyal Dışlanma Ve Çeteleşme. </w:t>
      </w:r>
      <w:r w:rsidRPr="00FD5450">
        <w:rPr>
          <w:i/>
          <w:iCs/>
        </w:rPr>
        <w:t xml:space="preserve">Üçüncü Sektör Sosyal Ekonomi Dergisi, </w:t>
      </w:r>
      <w:r w:rsidRPr="00FD5450">
        <w:t>54(2), 828-840</w:t>
      </w:r>
    </w:p>
    <w:p w14:paraId="7F666259" w14:textId="77777777" w:rsidR="003E3BD3" w:rsidRPr="00FD5450" w:rsidRDefault="003E3BD3">
      <w:pPr>
        <w:pStyle w:val="Default"/>
        <w:widowControl/>
        <w:numPr>
          <w:ilvl w:val="0"/>
          <w:numId w:val="86"/>
        </w:numPr>
        <w:jc w:val="both"/>
        <w:rPr>
          <w:bCs/>
          <w:color w:val="auto"/>
        </w:rPr>
      </w:pPr>
      <w:r w:rsidRPr="00FD5450">
        <w:rPr>
          <w:color w:val="auto"/>
        </w:rPr>
        <w:t xml:space="preserve">Gül, M. (2019). </w:t>
      </w:r>
      <w:r w:rsidRPr="00FD5450">
        <w:rPr>
          <w:bCs/>
          <w:color w:val="auto"/>
        </w:rPr>
        <w:t xml:space="preserve">Suriyeli mülteci üniversite öğrencilerinin sosyal dışlanma ve toplumsal cinsiyet eşitsizliğine ilişkin görüşleri: Uşak Üniversitesi </w:t>
      </w:r>
      <w:proofErr w:type="gramStart"/>
      <w:r w:rsidRPr="00FD5450">
        <w:rPr>
          <w:bCs/>
          <w:color w:val="auto"/>
        </w:rPr>
        <w:t>örneği[</w:t>
      </w:r>
      <w:proofErr w:type="gramEnd"/>
      <w:r w:rsidRPr="00FD5450">
        <w:rPr>
          <w:bCs/>
          <w:color w:val="auto"/>
        </w:rPr>
        <w:t>Yüksek lisans tezi]. Manisa Celal Bayar Üniversitesi</w:t>
      </w:r>
    </w:p>
    <w:p w14:paraId="15D7E7FF" w14:textId="77777777" w:rsidR="003E3BD3" w:rsidRPr="00FD5450" w:rsidRDefault="003E3BD3">
      <w:pPr>
        <w:pStyle w:val="ListeParagraf"/>
        <w:widowControl/>
        <w:numPr>
          <w:ilvl w:val="0"/>
          <w:numId w:val="86"/>
        </w:numPr>
        <w:autoSpaceDE/>
        <w:autoSpaceDN/>
        <w:spacing w:after="160"/>
        <w:jc w:val="both"/>
      </w:pPr>
      <w:r w:rsidRPr="00FD5450">
        <w:t xml:space="preserve">Gültekin, T. (2019). Türk sinemasında Suriye sorunu ve Suriyeli </w:t>
      </w:r>
      <w:proofErr w:type="gramStart"/>
      <w:r w:rsidRPr="00FD5450">
        <w:t>mülteciler[</w:t>
      </w:r>
      <w:proofErr w:type="gramEnd"/>
      <w:r w:rsidRPr="00FD5450">
        <w:t>Yüksek Lisans Tezi]. Batman Üniversitesi</w:t>
      </w:r>
    </w:p>
    <w:p w14:paraId="16EBD843" w14:textId="77777777" w:rsidR="003E3BD3" w:rsidRPr="00FD5450" w:rsidRDefault="003E3BD3">
      <w:pPr>
        <w:pStyle w:val="ListeParagraf"/>
        <w:widowControl/>
        <w:numPr>
          <w:ilvl w:val="0"/>
          <w:numId w:val="86"/>
        </w:numPr>
        <w:autoSpaceDE/>
        <w:autoSpaceDN/>
        <w:spacing w:after="160"/>
        <w:jc w:val="both"/>
      </w:pPr>
      <w:r w:rsidRPr="00FD5450">
        <w:t xml:space="preserve">Göç İdaresi Genel başkanlığı, </w:t>
      </w:r>
      <w:hyperlink r:id="rId391" w:history="1">
        <w:r w:rsidRPr="00FD5450">
          <w:rPr>
            <w:rStyle w:val="Kpr"/>
          </w:rPr>
          <w:t>https://www.goc.gov.tr/goc-tarihi adresinden 26.02.2025</w:t>
        </w:r>
      </w:hyperlink>
      <w:r w:rsidRPr="00FD5450">
        <w:t xml:space="preserve"> tarihli erişim.</w:t>
      </w:r>
    </w:p>
    <w:p w14:paraId="70D445C6" w14:textId="77777777" w:rsidR="003E3BD3" w:rsidRPr="00FD5450" w:rsidRDefault="003E3BD3">
      <w:pPr>
        <w:pStyle w:val="ListeParagraf"/>
        <w:widowControl/>
        <w:numPr>
          <w:ilvl w:val="0"/>
          <w:numId w:val="86"/>
        </w:numPr>
        <w:autoSpaceDE/>
        <w:autoSpaceDN/>
        <w:jc w:val="both"/>
        <w:textAlignment w:val="baseline"/>
      </w:pPr>
      <w:r w:rsidRPr="00FD5450">
        <w:rPr>
          <w:rStyle w:val="eop"/>
          <w:rFonts w:eastAsiaTheme="majorEastAsia"/>
          <w:color w:val="000000"/>
          <w:shd w:val="clear" w:color="auto" w:fill="FFFFFF"/>
        </w:rPr>
        <w:t xml:space="preserve">Kamış, </w:t>
      </w:r>
      <w:proofErr w:type="gramStart"/>
      <w:r w:rsidRPr="00FD5450">
        <w:rPr>
          <w:rStyle w:val="eop"/>
          <w:rFonts w:eastAsiaTheme="majorEastAsia"/>
          <w:color w:val="000000"/>
          <w:shd w:val="clear" w:color="auto" w:fill="FFFFFF"/>
        </w:rPr>
        <w:t>Y.(</w:t>
      </w:r>
      <w:proofErr w:type="gramEnd"/>
      <w:r w:rsidRPr="00FD5450">
        <w:rPr>
          <w:rStyle w:val="eop"/>
          <w:rFonts w:eastAsiaTheme="majorEastAsia"/>
          <w:color w:val="000000"/>
          <w:shd w:val="clear" w:color="auto" w:fill="FFFFFF"/>
        </w:rPr>
        <w:t>2023).</w:t>
      </w:r>
      <w:r w:rsidRPr="00FD5450">
        <w:rPr>
          <w:color w:val="FF0000"/>
        </w:rPr>
        <w:t xml:space="preserve"> </w:t>
      </w:r>
      <w:r w:rsidRPr="00FD5450">
        <w:rPr>
          <w:color w:val="000000" w:themeColor="text1"/>
        </w:rPr>
        <w:t>Eğitim entegrasyonu: Suriyeli sığınmacıların Türkiye’deki eğitimi ve karşılaşılan problemler. (</w:t>
      </w:r>
      <w:proofErr w:type="spellStart"/>
      <w:proofErr w:type="gramStart"/>
      <w:r w:rsidRPr="00FD5450">
        <w:rPr>
          <w:color w:val="000000" w:themeColor="text1"/>
        </w:rPr>
        <w:t>edt.Aşenur</w:t>
      </w:r>
      <w:proofErr w:type="spellEnd"/>
      <w:proofErr w:type="gramEnd"/>
      <w:r w:rsidRPr="00FD5450">
        <w:rPr>
          <w:color w:val="000000" w:themeColor="text1"/>
        </w:rPr>
        <w:t xml:space="preserve"> </w:t>
      </w:r>
      <w:proofErr w:type="spellStart"/>
      <w:r w:rsidRPr="00FD5450">
        <w:rPr>
          <w:color w:val="000000" w:themeColor="text1"/>
        </w:rPr>
        <w:t>Alişiroğlu</w:t>
      </w:r>
      <w:proofErr w:type="spellEnd"/>
      <w:r w:rsidRPr="00FD5450">
        <w:rPr>
          <w:color w:val="000000" w:themeColor="text1"/>
        </w:rPr>
        <w:t xml:space="preserve">). </w:t>
      </w:r>
      <w:proofErr w:type="spellStart"/>
      <w:r w:rsidRPr="00FD5450">
        <w:rPr>
          <w:color w:val="000000" w:themeColor="text1"/>
        </w:rPr>
        <w:t>Tuiç</w:t>
      </w:r>
      <w:proofErr w:type="spellEnd"/>
      <w:r w:rsidRPr="00FD5450">
        <w:rPr>
          <w:color w:val="000000" w:themeColor="text1"/>
        </w:rPr>
        <w:t xml:space="preserve"> akademi.</w:t>
      </w:r>
      <w:r w:rsidRPr="00FD5450">
        <w:t xml:space="preserve"> </w:t>
      </w:r>
      <w:r w:rsidRPr="00FD5450">
        <w:rPr>
          <w:color w:val="000000" w:themeColor="text1"/>
        </w:rPr>
        <w:t>https://www.tuicakademi.org/egitim-entegrasyonu-suriyeli-cocuklarin-turkiyedeki-egitimi-ve-egitimde-karsilasilan-sorunlar/</w:t>
      </w:r>
      <w:r w:rsidRPr="00FD5450">
        <w:rPr>
          <w:rStyle w:val="eop"/>
          <w:rFonts w:eastAsiaTheme="majorEastAsia"/>
          <w:color w:val="000000"/>
          <w:shd w:val="clear" w:color="auto" w:fill="FFFFFF"/>
        </w:rPr>
        <w:t>)(erişim, 14.01.2025)</w:t>
      </w:r>
    </w:p>
    <w:p w14:paraId="1A85A90E" w14:textId="77777777" w:rsidR="003E3BD3" w:rsidRPr="00FD5450" w:rsidRDefault="003E3BD3">
      <w:pPr>
        <w:pStyle w:val="ListeParagraf"/>
        <w:widowControl/>
        <w:numPr>
          <w:ilvl w:val="0"/>
          <w:numId w:val="86"/>
        </w:numPr>
        <w:adjustRightInd w:val="0"/>
        <w:jc w:val="both"/>
      </w:pPr>
      <w:proofErr w:type="spellStart"/>
      <w:r w:rsidRPr="00FD5450">
        <w:t>Kalebaşı</w:t>
      </w:r>
      <w:proofErr w:type="spellEnd"/>
      <w:r w:rsidRPr="00FD5450">
        <w:t xml:space="preserve">, A., Güngör, </w:t>
      </w:r>
      <w:proofErr w:type="gramStart"/>
      <w:r w:rsidRPr="00FD5450">
        <w:t>F.(</w:t>
      </w:r>
      <w:proofErr w:type="gramEnd"/>
      <w:r w:rsidRPr="00FD5450">
        <w:t>2019).</w:t>
      </w:r>
      <w:r w:rsidRPr="00FD5450">
        <w:rPr>
          <w:bCs/>
        </w:rPr>
        <w:t xml:space="preserve">Suriyeli ortaöğretim öğrencilerinin akademik ve sosyal uyum deneyimleri: Üsküdar'da nitel bir çalışma. </w:t>
      </w:r>
      <w:proofErr w:type="spellStart"/>
      <w:r w:rsidRPr="00FD5450">
        <w:rPr>
          <w:bCs/>
          <w:i/>
        </w:rPr>
        <w:t>Turkish</w:t>
      </w:r>
      <w:proofErr w:type="spellEnd"/>
      <w:r w:rsidRPr="00FD5450">
        <w:rPr>
          <w:bCs/>
          <w:i/>
        </w:rPr>
        <w:t xml:space="preserve"> </w:t>
      </w:r>
      <w:proofErr w:type="spellStart"/>
      <w:r w:rsidRPr="00FD5450">
        <w:rPr>
          <w:bCs/>
          <w:i/>
        </w:rPr>
        <w:t>Studies</w:t>
      </w:r>
      <w:proofErr w:type="spellEnd"/>
      <w:r w:rsidRPr="00FD5450">
        <w:rPr>
          <w:bCs/>
          <w:i/>
        </w:rPr>
        <w:t xml:space="preserve">- </w:t>
      </w:r>
      <w:proofErr w:type="spellStart"/>
      <w:r w:rsidRPr="00FD5450">
        <w:rPr>
          <w:bCs/>
          <w:i/>
        </w:rPr>
        <w:t>Social</w:t>
      </w:r>
      <w:proofErr w:type="spellEnd"/>
      <w:r w:rsidRPr="00FD5450">
        <w:rPr>
          <w:bCs/>
          <w:i/>
        </w:rPr>
        <w:t xml:space="preserve"> Sciences</w:t>
      </w:r>
      <w:r w:rsidRPr="00FD5450">
        <w:rPr>
          <w:bCs/>
        </w:rPr>
        <w:t>,14(4),1525-1545</w:t>
      </w:r>
    </w:p>
    <w:p w14:paraId="14B335C3" w14:textId="77777777" w:rsidR="003E3BD3" w:rsidRPr="00FD5450" w:rsidRDefault="003E3BD3">
      <w:pPr>
        <w:pStyle w:val="Default"/>
        <w:widowControl/>
        <w:numPr>
          <w:ilvl w:val="0"/>
          <w:numId w:val="86"/>
        </w:numPr>
        <w:jc w:val="both"/>
        <w:rPr>
          <w:bCs/>
          <w:color w:val="auto"/>
        </w:rPr>
      </w:pPr>
      <w:r w:rsidRPr="00FD5450">
        <w:rPr>
          <w:noProof/>
          <w:color w:val="auto"/>
        </w:rPr>
        <w:t>Karkar, M. M. (</w:t>
      </w:r>
      <w:proofErr w:type="gramStart"/>
      <w:r w:rsidRPr="00FD5450">
        <w:rPr>
          <w:noProof/>
          <w:color w:val="auto"/>
        </w:rPr>
        <w:t>2020)</w:t>
      </w:r>
      <w:proofErr w:type="spellStart"/>
      <w:r w:rsidRPr="00FD5450">
        <w:rPr>
          <w:bCs/>
          <w:i/>
          <w:color w:val="auto"/>
        </w:rPr>
        <w:t>Turkısh</w:t>
      </w:r>
      <w:proofErr w:type="spellEnd"/>
      <w:proofErr w:type="gramEnd"/>
      <w:r w:rsidRPr="00FD5450">
        <w:rPr>
          <w:bCs/>
          <w:i/>
          <w:color w:val="auto"/>
        </w:rPr>
        <w:t xml:space="preserve"> </w:t>
      </w:r>
      <w:proofErr w:type="spellStart"/>
      <w:r w:rsidRPr="00FD5450">
        <w:rPr>
          <w:bCs/>
          <w:i/>
          <w:color w:val="auto"/>
        </w:rPr>
        <w:t>youth</w:t>
      </w:r>
      <w:proofErr w:type="spellEnd"/>
      <w:r w:rsidRPr="00FD5450">
        <w:rPr>
          <w:bCs/>
          <w:i/>
          <w:color w:val="auto"/>
        </w:rPr>
        <w:t xml:space="preserve"> </w:t>
      </w:r>
      <w:proofErr w:type="spellStart"/>
      <w:r w:rsidRPr="00FD5450">
        <w:rPr>
          <w:bCs/>
          <w:i/>
          <w:color w:val="auto"/>
        </w:rPr>
        <w:t>attıtudes</w:t>
      </w:r>
      <w:proofErr w:type="spellEnd"/>
      <w:r w:rsidRPr="00FD5450">
        <w:rPr>
          <w:bCs/>
          <w:i/>
          <w:color w:val="auto"/>
        </w:rPr>
        <w:t xml:space="preserve"> </w:t>
      </w:r>
      <w:proofErr w:type="spellStart"/>
      <w:r w:rsidRPr="00FD5450">
        <w:rPr>
          <w:bCs/>
          <w:i/>
          <w:color w:val="auto"/>
        </w:rPr>
        <w:t>towards</w:t>
      </w:r>
      <w:proofErr w:type="spellEnd"/>
      <w:r w:rsidRPr="00FD5450">
        <w:rPr>
          <w:bCs/>
          <w:i/>
          <w:color w:val="auto"/>
        </w:rPr>
        <w:t xml:space="preserve"> </w:t>
      </w:r>
      <w:proofErr w:type="spellStart"/>
      <w:r w:rsidRPr="00FD5450">
        <w:rPr>
          <w:bCs/>
          <w:i/>
          <w:color w:val="auto"/>
        </w:rPr>
        <w:t>Syrıan</w:t>
      </w:r>
      <w:proofErr w:type="spellEnd"/>
      <w:r w:rsidRPr="00FD5450">
        <w:rPr>
          <w:i/>
          <w:noProof/>
          <w:color w:val="auto"/>
        </w:rPr>
        <w:t xml:space="preserve"> </w:t>
      </w:r>
      <w:proofErr w:type="spellStart"/>
      <w:r w:rsidRPr="00FD5450">
        <w:rPr>
          <w:bCs/>
          <w:i/>
          <w:color w:val="auto"/>
        </w:rPr>
        <w:t>ımmıgrants</w:t>
      </w:r>
      <w:proofErr w:type="spellEnd"/>
      <w:r w:rsidRPr="00FD5450">
        <w:rPr>
          <w:bCs/>
          <w:color w:val="auto"/>
        </w:rPr>
        <w:t>[Yüksek lisans tezi].Bahçeşehir Üniversitesi</w:t>
      </w:r>
    </w:p>
    <w:p w14:paraId="3A222BBE" w14:textId="77777777" w:rsidR="003E3BD3" w:rsidRPr="00FD5450" w:rsidRDefault="003E3BD3">
      <w:pPr>
        <w:pStyle w:val="ListeParagraf"/>
        <w:widowControl/>
        <w:numPr>
          <w:ilvl w:val="0"/>
          <w:numId w:val="86"/>
        </w:numPr>
        <w:autoSpaceDE/>
        <w:autoSpaceDN/>
        <w:spacing w:after="100" w:afterAutospacing="1"/>
        <w:jc w:val="both"/>
      </w:pPr>
      <w:r w:rsidRPr="00FD5450">
        <w:t>Kaya, Y., &amp; Aydın, H. (2018). Göçmen Öğrencilerin Eğitim Sürecinde Yaşadıkları Sorunlar ve Çözüm Önerileri. </w:t>
      </w:r>
      <w:r w:rsidRPr="00FD5450">
        <w:rPr>
          <w:i/>
          <w:iCs/>
        </w:rPr>
        <w:t>Uluslararası Eğitim Araştırmacıları Dergisi</w:t>
      </w:r>
      <w:r w:rsidRPr="00FD5450">
        <w:t>, 1(1), 45-60.</w:t>
      </w:r>
    </w:p>
    <w:p w14:paraId="4BF4F0D0" w14:textId="77777777" w:rsidR="003E3BD3" w:rsidRPr="00FD5450" w:rsidRDefault="003E3BD3">
      <w:pPr>
        <w:pStyle w:val="ListeParagraf"/>
        <w:widowControl/>
        <w:numPr>
          <w:ilvl w:val="0"/>
          <w:numId w:val="86"/>
        </w:numPr>
        <w:autoSpaceDE/>
        <w:autoSpaceDN/>
        <w:spacing w:after="160"/>
        <w:jc w:val="both"/>
      </w:pPr>
      <w:proofErr w:type="spellStart"/>
      <w:r w:rsidRPr="00FD5450">
        <w:t>Kuli</w:t>
      </w:r>
      <w:proofErr w:type="spellEnd"/>
      <w:r w:rsidRPr="00FD5450">
        <w:t xml:space="preserve">, G. ve Yıldırım, Ş. (2019). Rehberlik öğretmenlerinin okul sosyal hizmetine ihtiyaç duydukları sorun alanlarının belirlenmesi. </w:t>
      </w:r>
      <w:r w:rsidRPr="00FD5450">
        <w:rPr>
          <w:i/>
        </w:rPr>
        <w:t>Toplum ve Sosyal Hizmet</w:t>
      </w:r>
      <w:r w:rsidRPr="00FD5450">
        <w:t>, 30(2), 555-582.</w:t>
      </w:r>
    </w:p>
    <w:p w14:paraId="0EC73EC5" w14:textId="77777777" w:rsidR="003E3BD3" w:rsidRPr="00FD5450" w:rsidRDefault="003E3BD3">
      <w:pPr>
        <w:pStyle w:val="ListeParagraf"/>
        <w:widowControl/>
        <w:numPr>
          <w:ilvl w:val="0"/>
          <w:numId w:val="86"/>
        </w:numPr>
        <w:autoSpaceDE/>
        <w:autoSpaceDN/>
        <w:spacing w:after="160"/>
        <w:jc w:val="both"/>
      </w:pPr>
      <w:r w:rsidRPr="00FD5450">
        <w:t xml:space="preserve">Lee, </w:t>
      </w:r>
      <w:proofErr w:type="spellStart"/>
      <w:proofErr w:type="gramStart"/>
      <w:r w:rsidRPr="00FD5450">
        <w:t>J.,</w:t>
      </w:r>
      <w:r w:rsidRPr="00FD5450">
        <w:rPr>
          <w:shd w:val="clear" w:color="auto" w:fill="FFFFFF"/>
        </w:rPr>
        <w:t>Hong</w:t>
      </w:r>
      <w:proofErr w:type="spellEnd"/>
      <w:proofErr w:type="gramEnd"/>
      <w:r w:rsidRPr="00FD5450">
        <w:rPr>
          <w:shd w:val="clear" w:color="auto" w:fill="FFFFFF"/>
        </w:rPr>
        <w:t xml:space="preserve">, J., Zhou, Y., </w:t>
      </w:r>
      <w:proofErr w:type="spellStart"/>
      <w:r w:rsidRPr="00FD5450">
        <w:rPr>
          <w:shd w:val="clear" w:color="auto" w:fill="FFFFFF"/>
        </w:rPr>
        <w:t>Robles</w:t>
      </w:r>
      <w:proofErr w:type="spellEnd"/>
      <w:r w:rsidRPr="00FD5450">
        <w:rPr>
          <w:shd w:val="clear" w:color="auto" w:fill="FFFFFF"/>
        </w:rPr>
        <w:t>, G.</w:t>
      </w:r>
      <w:r w:rsidRPr="00FD5450">
        <w:t xml:space="preserve"> (2019). </w:t>
      </w:r>
      <w:proofErr w:type="spellStart"/>
      <w:r w:rsidRPr="00FD5450">
        <w:t>There</w:t>
      </w:r>
      <w:proofErr w:type="spellEnd"/>
      <w:r w:rsidRPr="00FD5450">
        <w:t xml:space="preserve"> </w:t>
      </w:r>
      <w:proofErr w:type="spellStart"/>
      <w:r w:rsidRPr="00FD5450">
        <w:t>lation</w:t>
      </w:r>
      <w:proofErr w:type="spellEnd"/>
      <w:r w:rsidRPr="00FD5450">
        <w:t xml:space="preserve"> </w:t>
      </w:r>
      <w:proofErr w:type="spellStart"/>
      <w:r w:rsidRPr="00FD5450">
        <w:t>ships</w:t>
      </w:r>
      <w:proofErr w:type="spellEnd"/>
      <w:r w:rsidRPr="00FD5450">
        <w:t xml:space="preserve"> </w:t>
      </w:r>
      <w:proofErr w:type="spellStart"/>
      <w:r w:rsidRPr="00FD5450">
        <w:t>between</w:t>
      </w:r>
      <w:proofErr w:type="spellEnd"/>
      <w:r w:rsidRPr="00FD5450">
        <w:t xml:space="preserve"> </w:t>
      </w:r>
      <w:proofErr w:type="spellStart"/>
      <w:r w:rsidRPr="00FD5450">
        <w:t>loneliness</w:t>
      </w:r>
      <w:proofErr w:type="spellEnd"/>
      <w:r w:rsidRPr="00FD5450">
        <w:t xml:space="preserve">, </w:t>
      </w:r>
      <w:proofErr w:type="spellStart"/>
      <w:r w:rsidRPr="00FD5450">
        <w:t>social</w:t>
      </w:r>
      <w:proofErr w:type="spellEnd"/>
      <w:r w:rsidRPr="00FD5450">
        <w:t xml:space="preserve"> </w:t>
      </w:r>
      <w:proofErr w:type="spellStart"/>
      <w:r w:rsidRPr="00FD5450">
        <w:t>support</w:t>
      </w:r>
      <w:proofErr w:type="spellEnd"/>
      <w:r w:rsidRPr="00FD5450">
        <w:t xml:space="preserve">, </w:t>
      </w:r>
      <w:proofErr w:type="spellStart"/>
      <w:r w:rsidRPr="00FD5450">
        <w:t>and</w:t>
      </w:r>
      <w:proofErr w:type="spellEnd"/>
      <w:r w:rsidRPr="00FD5450">
        <w:t xml:space="preserve"> </w:t>
      </w:r>
      <w:proofErr w:type="spellStart"/>
      <w:r w:rsidRPr="00FD5450">
        <w:t>resilience</w:t>
      </w:r>
      <w:proofErr w:type="spellEnd"/>
      <w:r w:rsidRPr="00FD5450">
        <w:t xml:space="preserve"> </w:t>
      </w:r>
      <w:proofErr w:type="spellStart"/>
      <w:r w:rsidRPr="00FD5450">
        <w:t>among</w:t>
      </w:r>
      <w:proofErr w:type="spellEnd"/>
      <w:r w:rsidRPr="00FD5450">
        <w:t xml:space="preserve"> </w:t>
      </w:r>
      <w:proofErr w:type="spellStart"/>
      <w:r w:rsidRPr="00FD5450">
        <w:t>latinx</w:t>
      </w:r>
      <w:proofErr w:type="spellEnd"/>
      <w:r w:rsidRPr="00FD5450">
        <w:t xml:space="preserve"> </w:t>
      </w:r>
      <w:proofErr w:type="spellStart"/>
      <w:r w:rsidRPr="00FD5450">
        <w:t>ımmigrants</w:t>
      </w:r>
      <w:proofErr w:type="spellEnd"/>
      <w:r w:rsidRPr="00FD5450">
        <w:t xml:space="preserve"> in </w:t>
      </w:r>
      <w:proofErr w:type="spellStart"/>
      <w:r w:rsidRPr="00FD5450">
        <w:t>the</w:t>
      </w:r>
      <w:proofErr w:type="spellEnd"/>
      <w:r w:rsidRPr="00FD5450">
        <w:t xml:space="preserve"> United </w:t>
      </w:r>
      <w:proofErr w:type="spellStart"/>
      <w:r w:rsidRPr="00FD5450">
        <w:t>States</w:t>
      </w:r>
      <w:proofErr w:type="spellEnd"/>
      <w:r w:rsidRPr="00FD5450">
        <w:t xml:space="preserve">. </w:t>
      </w:r>
      <w:proofErr w:type="spellStart"/>
      <w:r w:rsidRPr="00FD5450">
        <w:rPr>
          <w:i/>
        </w:rPr>
        <w:t>Clinical</w:t>
      </w:r>
      <w:proofErr w:type="spellEnd"/>
      <w:r w:rsidRPr="00FD5450">
        <w:rPr>
          <w:i/>
        </w:rPr>
        <w:t xml:space="preserve"> </w:t>
      </w:r>
      <w:proofErr w:type="spellStart"/>
      <w:r w:rsidRPr="00FD5450">
        <w:rPr>
          <w:i/>
        </w:rPr>
        <w:t>Social</w:t>
      </w:r>
      <w:proofErr w:type="spellEnd"/>
      <w:r w:rsidRPr="00FD5450">
        <w:rPr>
          <w:i/>
        </w:rPr>
        <w:t xml:space="preserve"> </w:t>
      </w:r>
      <w:proofErr w:type="spellStart"/>
      <w:r w:rsidRPr="00FD5450">
        <w:rPr>
          <w:i/>
        </w:rPr>
        <w:t>Work</w:t>
      </w:r>
      <w:proofErr w:type="spellEnd"/>
      <w:r w:rsidRPr="00FD5450">
        <w:rPr>
          <w:i/>
        </w:rPr>
        <w:t xml:space="preserve"> </w:t>
      </w:r>
      <w:proofErr w:type="spellStart"/>
      <w:r w:rsidRPr="00FD5450">
        <w:rPr>
          <w:i/>
        </w:rPr>
        <w:t>Journal</w:t>
      </w:r>
      <w:proofErr w:type="spellEnd"/>
      <w:r w:rsidRPr="00FD5450">
        <w:t xml:space="preserve">, 48, 99-109  </w:t>
      </w:r>
      <w:hyperlink r:id="rId392" w:history="1">
        <w:r w:rsidRPr="00FD5450">
          <w:rPr>
            <w:rStyle w:val="Kpr"/>
            <w:shd w:val="clear" w:color="auto" w:fill="FFFFFF"/>
          </w:rPr>
          <w:t>https://doi.org/10.1007/s10615-019-00728-w</w:t>
        </w:r>
      </w:hyperlink>
    </w:p>
    <w:p w14:paraId="0CBFD1ED" w14:textId="77777777" w:rsidR="003E3BD3" w:rsidRPr="00FD5450" w:rsidRDefault="003E3BD3">
      <w:pPr>
        <w:pStyle w:val="Default"/>
        <w:widowControl/>
        <w:numPr>
          <w:ilvl w:val="0"/>
          <w:numId w:val="86"/>
        </w:numPr>
        <w:jc w:val="both"/>
        <w:rPr>
          <w:color w:val="auto"/>
        </w:rPr>
      </w:pPr>
      <w:proofErr w:type="spellStart"/>
      <w:r w:rsidRPr="00FD5450">
        <w:rPr>
          <w:color w:val="auto"/>
        </w:rPr>
        <w:t>Maringe</w:t>
      </w:r>
      <w:proofErr w:type="spellEnd"/>
      <w:r w:rsidRPr="00FD5450">
        <w:rPr>
          <w:color w:val="auto"/>
        </w:rPr>
        <w:t xml:space="preserve">, F., </w:t>
      </w:r>
      <w:proofErr w:type="spellStart"/>
      <w:r w:rsidRPr="00FD5450">
        <w:rPr>
          <w:color w:val="auto"/>
        </w:rPr>
        <w:t>Ojo</w:t>
      </w:r>
      <w:proofErr w:type="spellEnd"/>
      <w:r w:rsidRPr="00FD5450">
        <w:rPr>
          <w:color w:val="auto"/>
        </w:rPr>
        <w:t xml:space="preserve">, E., </w:t>
      </w:r>
      <w:proofErr w:type="spellStart"/>
      <w:r w:rsidRPr="00FD5450">
        <w:rPr>
          <w:color w:val="auto"/>
        </w:rPr>
        <w:t>and</w:t>
      </w:r>
      <w:proofErr w:type="spellEnd"/>
      <w:r w:rsidRPr="00FD5450">
        <w:rPr>
          <w:color w:val="auto"/>
        </w:rPr>
        <w:t xml:space="preserve"> </w:t>
      </w:r>
      <w:proofErr w:type="spellStart"/>
      <w:r w:rsidRPr="00FD5450">
        <w:rPr>
          <w:color w:val="auto"/>
        </w:rPr>
        <w:t>Chiramba</w:t>
      </w:r>
      <w:proofErr w:type="spellEnd"/>
      <w:r w:rsidRPr="00FD5450">
        <w:rPr>
          <w:color w:val="auto"/>
        </w:rPr>
        <w:t xml:space="preserve">, O. (2017). </w:t>
      </w:r>
      <w:proofErr w:type="spellStart"/>
      <w:r w:rsidRPr="00FD5450">
        <w:rPr>
          <w:color w:val="auto"/>
        </w:rPr>
        <w:t>Traumatized</w:t>
      </w:r>
      <w:proofErr w:type="spellEnd"/>
      <w:r w:rsidRPr="00FD5450">
        <w:rPr>
          <w:color w:val="auto"/>
        </w:rPr>
        <w:t xml:space="preserve"> </w:t>
      </w:r>
      <w:proofErr w:type="spellStart"/>
      <w:r w:rsidRPr="00FD5450">
        <w:rPr>
          <w:color w:val="auto"/>
        </w:rPr>
        <w:t>home</w:t>
      </w:r>
      <w:proofErr w:type="spellEnd"/>
      <w:r w:rsidRPr="00FD5450">
        <w:rPr>
          <w:color w:val="auto"/>
        </w:rPr>
        <w:t xml:space="preserve"> </w:t>
      </w:r>
      <w:proofErr w:type="spellStart"/>
      <w:r w:rsidRPr="00FD5450">
        <w:rPr>
          <w:color w:val="auto"/>
        </w:rPr>
        <w:t>and</w:t>
      </w:r>
      <w:proofErr w:type="spellEnd"/>
      <w:r w:rsidRPr="00FD5450">
        <w:rPr>
          <w:color w:val="auto"/>
        </w:rPr>
        <w:t xml:space="preserve"> </w:t>
      </w:r>
      <w:proofErr w:type="spellStart"/>
      <w:r w:rsidRPr="00FD5450">
        <w:rPr>
          <w:color w:val="auto"/>
        </w:rPr>
        <w:t>away</w:t>
      </w:r>
      <w:proofErr w:type="spellEnd"/>
      <w:r w:rsidRPr="00FD5450">
        <w:rPr>
          <w:color w:val="auto"/>
        </w:rPr>
        <w:t xml:space="preserve">: </w:t>
      </w:r>
      <w:proofErr w:type="spellStart"/>
      <w:r w:rsidRPr="00FD5450">
        <w:rPr>
          <w:color w:val="auto"/>
        </w:rPr>
        <w:t>Toward</w:t>
      </w:r>
      <w:proofErr w:type="spellEnd"/>
      <w:r w:rsidRPr="00FD5450">
        <w:rPr>
          <w:color w:val="auto"/>
        </w:rPr>
        <w:t xml:space="preserve"> a </w:t>
      </w:r>
      <w:proofErr w:type="spellStart"/>
      <w:r w:rsidRPr="00FD5450">
        <w:rPr>
          <w:color w:val="auto"/>
        </w:rPr>
        <w:t>framework</w:t>
      </w:r>
      <w:proofErr w:type="spellEnd"/>
      <w:r w:rsidRPr="00FD5450">
        <w:rPr>
          <w:color w:val="auto"/>
        </w:rPr>
        <w:t xml:space="preserve"> </w:t>
      </w:r>
      <w:proofErr w:type="spellStart"/>
      <w:r w:rsidRPr="00FD5450">
        <w:rPr>
          <w:color w:val="auto"/>
        </w:rPr>
        <w:t>for</w:t>
      </w:r>
      <w:proofErr w:type="spellEnd"/>
      <w:r w:rsidRPr="00FD5450">
        <w:rPr>
          <w:color w:val="auto"/>
        </w:rPr>
        <w:t xml:space="preserve"> </w:t>
      </w:r>
      <w:proofErr w:type="spellStart"/>
      <w:r w:rsidRPr="00FD5450">
        <w:rPr>
          <w:color w:val="auto"/>
        </w:rPr>
        <w:t>ınterrogating</w:t>
      </w:r>
      <w:proofErr w:type="spellEnd"/>
      <w:r w:rsidRPr="00FD5450">
        <w:rPr>
          <w:color w:val="auto"/>
        </w:rPr>
        <w:t xml:space="preserve"> </w:t>
      </w:r>
      <w:proofErr w:type="spellStart"/>
      <w:r w:rsidRPr="00FD5450">
        <w:rPr>
          <w:color w:val="auto"/>
        </w:rPr>
        <w:t>policy</w:t>
      </w:r>
      <w:proofErr w:type="spellEnd"/>
      <w:r w:rsidRPr="00FD5450">
        <w:rPr>
          <w:color w:val="auto"/>
        </w:rPr>
        <w:t>–</w:t>
      </w:r>
      <w:proofErr w:type="spellStart"/>
      <w:r w:rsidRPr="00FD5450">
        <w:rPr>
          <w:color w:val="auto"/>
        </w:rPr>
        <w:t>practice</w:t>
      </w:r>
      <w:proofErr w:type="spellEnd"/>
      <w:r w:rsidRPr="00FD5450">
        <w:rPr>
          <w:color w:val="auto"/>
        </w:rPr>
        <w:t xml:space="preserve"> </w:t>
      </w:r>
      <w:proofErr w:type="spellStart"/>
      <w:r w:rsidRPr="00FD5450">
        <w:rPr>
          <w:color w:val="auto"/>
        </w:rPr>
        <w:t>disjunctures</w:t>
      </w:r>
      <w:proofErr w:type="spellEnd"/>
      <w:r w:rsidRPr="00FD5450">
        <w:rPr>
          <w:color w:val="auto"/>
        </w:rPr>
        <w:t xml:space="preserve"> </w:t>
      </w:r>
      <w:proofErr w:type="spellStart"/>
      <w:r w:rsidRPr="00FD5450">
        <w:rPr>
          <w:color w:val="auto"/>
        </w:rPr>
        <w:t>for</w:t>
      </w:r>
      <w:proofErr w:type="spellEnd"/>
      <w:r w:rsidRPr="00FD5450">
        <w:rPr>
          <w:color w:val="auto"/>
        </w:rPr>
        <w:t xml:space="preserve"> </w:t>
      </w:r>
      <w:proofErr w:type="spellStart"/>
      <w:r w:rsidRPr="00FD5450">
        <w:rPr>
          <w:color w:val="auto"/>
        </w:rPr>
        <w:t>refugee</w:t>
      </w:r>
      <w:proofErr w:type="spellEnd"/>
      <w:r w:rsidRPr="00FD5450">
        <w:rPr>
          <w:color w:val="auto"/>
        </w:rPr>
        <w:t xml:space="preserve"> </w:t>
      </w:r>
      <w:proofErr w:type="spellStart"/>
      <w:r w:rsidRPr="00FD5450">
        <w:rPr>
          <w:color w:val="auto"/>
        </w:rPr>
        <w:t>students</w:t>
      </w:r>
      <w:proofErr w:type="spellEnd"/>
      <w:r w:rsidRPr="00FD5450">
        <w:rPr>
          <w:color w:val="auto"/>
        </w:rPr>
        <w:t xml:space="preserve"> in </w:t>
      </w:r>
      <w:proofErr w:type="spellStart"/>
      <w:r w:rsidRPr="00FD5450">
        <w:rPr>
          <w:color w:val="auto"/>
        </w:rPr>
        <w:t>higher</w:t>
      </w:r>
      <w:proofErr w:type="spellEnd"/>
      <w:r w:rsidRPr="00FD5450">
        <w:rPr>
          <w:color w:val="auto"/>
        </w:rPr>
        <w:t xml:space="preserve"> </w:t>
      </w:r>
      <w:proofErr w:type="spellStart"/>
      <w:r w:rsidRPr="00FD5450">
        <w:rPr>
          <w:color w:val="auto"/>
        </w:rPr>
        <w:t>education</w:t>
      </w:r>
      <w:proofErr w:type="spellEnd"/>
      <w:r w:rsidRPr="00FD5450">
        <w:rPr>
          <w:color w:val="auto"/>
        </w:rPr>
        <w:t xml:space="preserve">. </w:t>
      </w:r>
      <w:proofErr w:type="spellStart"/>
      <w:r w:rsidRPr="00FD5450">
        <w:rPr>
          <w:i/>
          <w:color w:val="auto"/>
        </w:rPr>
        <w:t>European</w:t>
      </w:r>
      <w:proofErr w:type="spellEnd"/>
      <w:r w:rsidRPr="00FD5450">
        <w:rPr>
          <w:i/>
          <w:color w:val="auto"/>
        </w:rPr>
        <w:t xml:space="preserve"> Education</w:t>
      </w:r>
      <w:r w:rsidRPr="00FD5450">
        <w:rPr>
          <w:color w:val="auto"/>
        </w:rPr>
        <w:t>,0,1-21 DOI: 10.1080/10564934.2017.1352450</w:t>
      </w:r>
    </w:p>
    <w:p w14:paraId="35E53A14" w14:textId="77777777" w:rsidR="003E3BD3" w:rsidRPr="00FD5450" w:rsidRDefault="003E3BD3">
      <w:pPr>
        <w:pStyle w:val="Default"/>
        <w:widowControl/>
        <w:numPr>
          <w:ilvl w:val="0"/>
          <w:numId w:val="86"/>
        </w:numPr>
        <w:jc w:val="both"/>
        <w:rPr>
          <w:color w:val="auto"/>
        </w:rPr>
      </w:pPr>
      <w:r w:rsidRPr="00FD5450">
        <w:rPr>
          <w:color w:val="auto"/>
        </w:rPr>
        <w:lastRenderedPageBreak/>
        <w:t>Sapancalı, F. (2005). AB’nde sosyal dışlanma sorunu ve mücadele yöntemleri. Çalışma ve Toplum, 51-106.</w:t>
      </w:r>
    </w:p>
    <w:p w14:paraId="35F1E7F5" w14:textId="77777777" w:rsidR="003E3BD3" w:rsidRPr="00FD5450" w:rsidRDefault="003E3BD3">
      <w:pPr>
        <w:pStyle w:val="Default"/>
        <w:widowControl/>
        <w:numPr>
          <w:ilvl w:val="0"/>
          <w:numId w:val="86"/>
        </w:numPr>
        <w:jc w:val="both"/>
        <w:rPr>
          <w:bCs/>
          <w:color w:val="auto"/>
        </w:rPr>
      </w:pPr>
      <w:r w:rsidRPr="00FD5450">
        <w:rPr>
          <w:color w:val="auto"/>
        </w:rPr>
        <w:t xml:space="preserve">Saraç, </w:t>
      </w:r>
      <w:proofErr w:type="gramStart"/>
      <w:r w:rsidRPr="00FD5450">
        <w:rPr>
          <w:color w:val="auto"/>
        </w:rPr>
        <w:t>E.(</w:t>
      </w:r>
      <w:proofErr w:type="gramEnd"/>
      <w:r w:rsidRPr="00FD5450">
        <w:rPr>
          <w:color w:val="auto"/>
        </w:rPr>
        <w:t xml:space="preserve">2022). </w:t>
      </w:r>
      <w:r w:rsidRPr="00FD5450">
        <w:rPr>
          <w:bCs/>
          <w:color w:val="auto"/>
        </w:rPr>
        <w:t xml:space="preserve">Türkiye’de dezavantajlı grup olarak Suriyeli göçmen çocukların eğitim durumlarının </w:t>
      </w:r>
      <w:proofErr w:type="gramStart"/>
      <w:r w:rsidRPr="00FD5450">
        <w:rPr>
          <w:bCs/>
          <w:color w:val="auto"/>
        </w:rPr>
        <w:t>değerlendirilmesi[</w:t>
      </w:r>
      <w:proofErr w:type="gramEnd"/>
      <w:r w:rsidRPr="00FD5450">
        <w:rPr>
          <w:bCs/>
          <w:color w:val="auto"/>
        </w:rPr>
        <w:t>Yüksek lisans tezi]. Trakya Üniversitesi</w:t>
      </w:r>
    </w:p>
    <w:p w14:paraId="1C5C81EA" w14:textId="77777777" w:rsidR="003E3BD3" w:rsidRPr="00FD5450" w:rsidRDefault="003E3BD3">
      <w:pPr>
        <w:pStyle w:val="ListeParagraf"/>
        <w:widowControl/>
        <w:numPr>
          <w:ilvl w:val="0"/>
          <w:numId w:val="86"/>
        </w:numPr>
        <w:autoSpaceDE/>
        <w:autoSpaceDN/>
        <w:spacing w:after="100" w:afterAutospacing="1"/>
        <w:jc w:val="both"/>
      </w:pPr>
      <w:r w:rsidRPr="00FD5450">
        <w:t>Ş</w:t>
      </w:r>
      <w:r>
        <w:t>ahin, T</w:t>
      </w:r>
      <w:r w:rsidRPr="00FD5450">
        <w:t xml:space="preserve">. (2009). Sosyal dışlanma ve yoksulluk ilişkisi. Sosyal Yardım </w:t>
      </w:r>
      <w:proofErr w:type="spellStart"/>
      <w:r w:rsidRPr="00FD5450">
        <w:t>Uzamanlık</w:t>
      </w:r>
      <w:proofErr w:type="spellEnd"/>
      <w:r w:rsidRPr="00FD5450">
        <w:t xml:space="preserve"> Tezi, Başbakanlık Sosyal Yardımlaşma ve Dayanışma Genel Müdürlüğü, Ankara. </w:t>
      </w:r>
    </w:p>
    <w:p w14:paraId="23F0B4AB" w14:textId="77777777" w:rsidR="003E3BD3" w:rsidRPr="00FD5450" w:rsidRDefault="003E3BD3">
      <w:pPr>
        <w:pStyle w:val="ListeParagraf"/>
        <w:widowControl/>
        <w:numPr>
          <w:ilvl w:val="0"/>
          <w:numId w:val="86"/>
        </w:numPr>
        <w:autoSpaceDE/>
        <w:autoSpaceDN/>
        <w:spacing w:after="100" w:afterAutospacing="1"/>
        <w:jc w:val="both"/>
      </w:pPr>
      <w:r w:rsidRPr="00FD5450">
        <w:t>Şimşek, D. (2019). Göçmen Çocukların Eğitiminde Sosyal Dışlanma ve Ayrımcılık. </w:t>
      </w:r>
      <w:r w:rsidRPr="00FD5450">
        <w:rPr>
          <w:i/>
          <w:iCs/>
        </w:rPr>
        <w:t>Toplum ve Sosyal Hizmet</w:t>
      </w:r>
      <w:r w:rsidRPr="00FD5450">
        <w:t>, 30(2), 567-586.</w:t>
      </w:r>
    </w:p>
    <w:p w14:paraId="644FC29C" w14:textId="77777777" w:rsidR="003E3BD3" w:rsidRPr="00FD5450" w:rsidRDefault="003E3BD3">
      <w:pPr>
        <w:pStyle w:val="ListeParagraf"/>
        <w:widowControl/>
        <w:numPr>
          <w:ilvl w:val="0"/>
          <w:numId w:val="86"/>
        </w:numPr>
        <w:autoSpaceDE/>
        <w:autoSpaceDN/>
        <w:spacing w:after="100" w:afterAutospacing="1"/>
        <w:jc w:val="both"/>
      </w:pPr>
      <w:proofErr w:type="gramStart"/>
      <w:r w:rsidRPr="00FD5450">
        <w:t>TDK.(</w:t>
      </w:r>
      <w:proofErr w:type="gramEnd"/>
      <w:r w:rsidRPr="00FD5450">
        <w:t xml:space="preserve">2025). </w:t>
      </w:r>
      <w:hyperlink r:id="rId393" w:history="1">
        <w:r w:rsidRPr="00FD5450">
          <w:rPr>
            <w:rStyle w:val="Kpr"/>
          </w:rPr>
          <w:t>https://sozluk.gov.tr/</w:t>
        </w:r>
      </w:hyperlink>
      <w:proofErr w:type="gramStart"/>
      <w:r w:rsidRPr="00FD5450">
        <w:t xml:space="preserve">   (</w:t>
      </w:r>
      <w:proofErr w:type="gramEnd"/>
      <w:r w:rsidRPr="00FD5450">
        <w:t>Erişim tarihi: 26.02.2025 )</w:t>
      </w:r>
    </w:p>
    <w:p w14:paraId="62E9C73E" w14:textId="77777777" w:rsidR="003E3BD3" w:rsidRPr="00FD5450" w:rsidRDefault="003E3BD3">
      <w:pPr>
        <w:pStyle w:val="ListeParagraf"/>
        <w:widowControl/>
        <w:numPr>
          <w:ilvl w:val="0"/>
          <w:numId w:val="86"/>
        </w:numPr>
        <w:autoSpaceDE/>
        <w:autoSpaceDN/>
        <w:spacing w:after="100" w:afterAutospacing="1"/>
        <w:jc w:val="both"/>
      </w:pPr>
      <w:r>
        <w:t>TOKOL, A</w:t>
      </w:r>
      <w:r w:rsidRPr="00FD5450">
        <w:t>. (2013). Sosyal Politika II. Eskişehir: Anadolu Üniversitesi Açık öğretim Fakültesi Yayınları, Yayın No: 1835</w:t>
      </w:r>
    </w:p>
    <w:p w14:paraId="3D8D76EE" w14:textId="17ABAB1E" w:rsidR="00D47EF1" w:rsidRDefault="003E3BD3">
      <w:pPr>
        <w:pStyle w:val="ListeParagraf"/>
        <w:widowControl/>
        <w:numPr>
          <w:ilvl w:val="0"/>
          <w:numId w:val="86"/>
        </w:numPr>
        <w:autoSpaceDE/>
        <w:autoSpaceDN/>
        <w:spacing w:after="160"/>
        <w:jc w:val="both"/>
      </w:pPr>
      <w:r w:rsidRPr="00FD5450">
        <w:t xml:space="preserve">Tunç, B. (2019). Türkiye’de okul sosyal hizmetinin hayata geçirilmesinin önemi üzerine bir </w:t>
      </w:r>
      <w:proofErr w:type="gramStart"/>
      <w:r w:rsidRPr="00FD5450">
        <w:t>araştırma[</w:t>
      </w:r>
      <w:proofErr w:type="gramEnd"/>
      <w:r w:rsidRPr="00FD5450">
        <w:t>Yüksek lisans tezi].Üsküdar Üniversitesi</w:t>
      </w:r>
    </w:p>
    <w:p w14:paraId="3C6F5115" w14:textId="0E378C51" w:rsidR="004A1BC9" w:rsidRPr="00B1089D" w:rsidRDefault="00D47EF1" w:rsidP="00D47EF1">
      <w:pPr>
        <w:autoSpaceDE/>
        <w:autoSpaceDN/>
      </w:pPr>
      <w:r>
        <w:br w:type="page"/>
      </w:r>
    </w:p>
    <w:p w14:paraId="614D23F1" w14:textId="77777777" w:rsidR="00626F42" w:rsidRPr="00AE41BF" w:rsidRDefault="00626F42" w:rsidP="00626F42">
      <w:pPr>
        <w:ind w:left="227" w:right="113"/>
        <w:jc w:val="both"/>
        <w:rPr>
          <w:b/>
          <w:bCs/>
          <w:color w:val="000000" w:themeColor="text1"/>
        </w:rPr>
      </w:pPr>
      <w:r w:rsidRPr="00AE41BF">
        <w:rPr>
          <w:b/>
          <w:bCs/>
          <w:color w:val="000000" w:themeColor="text1"/>
        </w:rPr>
        <w:lastRenderedPageBreak/>
        <w:t>Turizmde Değişim Yönetimi Uygulamalarında Ülke Kültürünün Etkisi</w:t>
      </w:r>
    </w:p>
    <w:p w14:paraId="6768D068" w14:textId="77777777" w:rsidR="00626F42" w:rsidRPr="00AE41BF" w:rsidRDefault="00626F42" w:rsidP="00626F42">
      <w:pPr>
        <w:pStyle w:val="AralkYok"/>
        <w:jc w:val="both"/>
        <w:rPr>
          <w:rFonts w:cs="Times New Roman"/>
          <w:color w:val="000000" w:themeColor="text1"/>
          <w:szCs w:val="24"/>
        </w:rPr>
      </w:pPr>
      <w:r w:rsidRPr="00AE41BF">
        <w:rPr>
          <w:rFonts w:cs="Times New Roman"/>
          <w:color w:val="000000" w:themeColor="text1"/>
          <w:szCs w:val="24"/>
        </w:rPr>
        <w:t xml:space="preserve">              </w:t>
      </w:r>
    </w:p>
    <w:p w14:paraId="3B100949" w14:textId="77777777" w:rsidR="00626F42" w:rsidRPr="00626F42" w:rsidRDefault="00626F42" w:rsidP="00626F42">
      <w:pPr>
        <w:pStyle w:val="AralkYok"/>
        <w:jc w:val="both"/>
        <w:rPr>
          <w:rFonts w:ascii="Times New Roman" w:hAnsi="Times New Roman" w:cs="Times New Roman"/>
          <w:color w:val="000000" w:themeColor="text1"/>
          <w:szCs w:val="24"/>
        </w:rPr>
      </w:pPr>
      <w:r w:rsidRPr="00626F42">
        <w:rPr>
          <w:rFonts w:ascii="Times New Roman" w:hAnsi="Times New Roman" w:cs="Times New Roman"/>
          <w:color w:val="000000" w:themeColor="text1"/>
          <w:szCs w:val="24"/>
        </w:rPr>
        <w:t>Gizem Kandemir Altunel</w:t>
      </w:r>
    </w:p>
    <w:p w14:paraId="714117BF" w14:textId="77777777" w:rsidR="00626F42" w:rsidRPr="00626F42" w:rsidRDefault="00626F42" w:rsidP="00626F42">
      <w:pPr>
        <w:pStyle w:val="AralkYok"/>
        <w:jc w:val="both"/>
        <w:rPr>
          <w:rFonts w:ascii="Times New Roman" w:hAnsi="Times New Roman" w:cs="Times New Roman"/>
          <w:szCs w:val="24"/>
        </w:rPr>
      </w:pPr>
      <w:hyperlink r:id="rId394" w:history="1">
        <w:r w:rsidRPr="00626F42">
          <w:rPr>
            <w:rStyle w:val="Kpr"/>
            <w:rFonts w:ascii="Times New Roman" w:eastAsiaTheme="majorEastAsia" w:hAnsi="Times New Roman" w:cs="Times New Roman"/>
            <w:szCs w:val="24"/>
            <w:lang w:val="en-AU"/>
          </w:rPr>
          <w:t>kandemirgizem@gmail.com</w:t>
        </w:r>
      </w:hyperlink>
    </w:p>
    <w:p w14:paraId="6938FF9B" w14:textId="77777777" w:rsidR="00626F42" w:rsidRPr="00626F42" w:rsidRDefault="00626F42" w:rsidP="00626F42">
      <w:pPr>
        <w:pStyle w:val="AralkYok"/>
        <w:jc w:val="both"/>
        <w:rPr>
          <w:rFonts w:ascii="Times New Roman" w:hAnsi="Times New Roman" w:cs="Times New Roman"/>
          <w:szCs w:val="24"/>
        </w:rPr>
      </w:pPr>
      <w:r w:rsidRPr="00626F42">
        <w:rPr>
          <w:rFonts w:ascii="Times New Roman" w:hAnsi="Times New Roman" w:cs="Times New Roman"/>
          <w:szCs w:val="24"/>
        </w:rPr>
        <w:t>0000-0003-3969-951X</w:t>
      </w:r>
    </w:p>
    <w:p w14:paraId="4AB2DBDD" w14:textId="77777777" w:rsidR="00626F42" w:rsidRPr="00626F42" w:rsidRDefault="00626F42" w:rsidP="00626F42">
      <w:pPr>
        <w:pStyle w:val="AralkYok"/>
        <w:jc w:val="both"/>
        <w:rPr>
          <w:rFonts w:ascii="Times New Roman" w:hAnsi="Times New Roman" w:cs="Times New Roman"/>
          <w:szCs w:val="24"/>
        </w:rPr>
      </w:pPr>
    </w:p>
    <w:p w14:paraId="4AA97F1B" w14:textId="77777777" w:rsidR="00626F42" w:rsidRPr="00626F42" w:rsidRDefault="00626F42" w:rsidP="00626F42">
      <w:pPr>
        <w:pStyle w:val="AralkYok"/>
        <w:jc w:val="both"/>
        <w:rPr>
          <w:rFonts w:ascii="Times New Roman" w:hAnsi="Times New Roman" w:cs="Times New Roman"/>
          <w:szCs w:val="24"/>
        </w:rPr>
      </w:pPr>
      <w:r w:rsidRPr="00626F42">
        <w:rPr>
          <w:rFonts w:ascii="Times New Roman" w:hAnsi="Times New Roman" w:cs="Times New Roman"/>
          <w:szCs w:val="24"/>
        </w:rPr>
        <w:t>Yağmur Özer</w:t>
      </w:r>
    </w:p>
    <w:p w14:paraId="637E1622" w14:textId="77777777" w:rsidR="00626F42" w:rsidRPr="00626F42" w:rsidRDefault="00626F42" w:rsidP="00626F42">
      <w:pPr>
        <w:pStyle w:val="AralkYok"/>
        <w:jc w:val="both"/>
        <w:rPr>
          <w:rFonts w:ascii="Times New Roman" w:hAnsi="Times New Roman" w:cs="Times New Roman"/>
          <w:szCs w:val="24"/>
        </w:rPr>
      </w:pPr>
      <w:r w:rsidRPr="00626F42">
        <w:rPr>
          <w:rFonts w:ascii="Times New Roman" w:hAnsi="Times New Roman" w:cs="Times New Roman"/>
          <w:szCs w:val="24"/>
        </w:rPr>
        <w:t>İstanbul Galata Üniversitesi, Gastronomi ve Mutfak Sanatları Bölümü</w:t>
      </w:r>
    </w:p>
    <w:p w14:paraId="772402B2" w14:textId="77777777" w:rsidR="00626F42" w:rsidRPr="00626F42" w:rsidRDefault="00626F42" w:rsidP="00626F42">
      <w:pPr>
        <w:pStyle w:val="AralkYok"/>
        <w:jc w:val="both"/>
        <w:rPr>
          <w:rFonts w:ascii="Times New Roman" w:hAnsi="Times New Roman" w:cs="Times New Roman"/>
          <w:szCs w:val="24"/>
        </w:rPr>
      </w:pPr>
      <w:hyperlink r:id="rId395" w:history="1">
        <w:r w:rsidRPr="00626F42">
          <w:rPr>
            <w:rStyle w:val="Kpr"/>
            <w:rFonts w:ascii="Times New Roman" w:eastAsiaTheme="majorEastAsia" w:hAnsi="Times New Roman" w:cs="Times New Roman"/>
            <w:szCs w:val="24"/>
          </w:rPr>
          <w:t>yagmur.ozer@galata.edu.tr</w:t>
        </w:r>
      </w:hyperlink>
    </w:p>
    <w:p w14:paraId="3B885988" w14:textId="77777777" w:rsidR="00626F42" w:rsidRPr="00626F42" w:rsidRDefault="00626F42" w:rsidP="00626F42">
      <w:pPr>
        <w:pStyle w:val="AralkYok"/>
        <w:jc w:val="both"/>
        <w:rPr>
          <w:rFonts w:ascii="Times New Roman" w:hAnsi="Times New Roman" w:cs="Times New Roman"/>
          <w:szCs w:val="24"/>
        </w:rPr>
      </w:pPr>
      <w:r w:rsidRPr="00626F42">
        <w:rPr>
          <w:rFonts w:ascii="Times New Roman" w:hAnsi="Times New Roman" w:cs="Times New Roman"/>
          <w:szCs w:val="24"/>
        </w:rPr>
        <w:t>0000-0003-1166-7479</w:t>
      </w:r>
    </w:p>
    <w:p w14:paraId="78DF7B69" w14:textId="77777777" w:rsidR="00626F42" w:rsidRPr="00AE41BF" w:rsidRDefault="00626F42" w:rsidP="00626F42">
      <w:pPr>
        <w:pStyle w:val="AralkYok"/>
        <w:jc w:val="both"/>
        <w:rPr>
          <w:rFonts w:cs="Times New Roman"/>
          <w:szCs w:val="24"/>
        </w:rPr>
      </w:pPr>
    </w:p>
    <w:p w14:paraId="308E7683" w14:textId="77777777" w:rsidR="00626F42" w:rsidRPr="00AE41BF" w:rsidRDefault="00626F42" w:rsidP="00626F42">
      <w:pPr>
        <w:tabs>
          <w:tab w:val="left" w:pos="915"/>
        </w:tabs>
        <w:jc w:val="both"/>
        <w:rPr>
          <w:lang w:val="en-AU"/>
        </w:rPr>
      </w:pPr>
    </w:p>
    <w:p w14:paraId="646553BB" w14:textId="77777777" w:rsidR="00626F42" w:rsidRPr="00AE41BF" w:rsidRDefault="00626F42" w:rsidP="00626F42">
      <w:pPr>
        <w:ind w:left="227" w:right="113"/>
        <w:jc w:val="both"/>
        <w:rPr>
          <w:b/>
          <w:bCs/>
          <w:color w:val="000000" w:themeColor="text1"/>
        </w:rPr>
      </w:pPr>
      <w:r w:rsidRPr="00AE41BF">
        <w:rPr>
          <w:b/>
          <w:bCs/>
          <w:color w:val="000000" w:themeColor="text1"/>
        </w:rPr>
        <w:t>Özet</w:t>
      </w:r>
    </w:p>
    <w:p w14:paraId="1E4A2C77" w14:textId="77777777" w:rsidR="00626F42" w:rsidRPr="00902A79" w:rsidRDefault="00626F42" w:rsidP="00626F42">
      <w:pPr>
        <w:ind w:left="227" w:right="57"/>
        <w:jc w:val="both"/>
        <w:rPr>
          <w:color w:val="000000" w:themeColor="text1"/>
        </w:rPr>
      </w:pPr>
      <w:r w:rsidRPr="00902A79">
        <w:rPr>
          <w:color w:val="000000" w:themeColor="text1"/>
        </w:rPr>
        <w:t xml:space="preserve">Günümüzde işletmelerinin değişen çevre koşullarına </w:t>
      </w:r>
      <w:r>
        <w:rPr>
          <w:color w:val="000000" w:themeColor="text1"/>
        </w:rPr>
        <w:t xml:space="preserve">uyum sağlaması kaçınılmaz bir gerekliliktir. Ancak bu sürecin bilinçsiz bir şekilde yürütülmesi çeşitli sorunlara yol açabilmektedir. Değişime uyum sağlama süreci zaman alabilir ve işletmelerde dirençle karşılaşılabilir. Bu noktada, değişim yönetimi devreye girerek işletmelerin artan rekabet ortamında değişimi daha planlı ve etkili bir şekilde gerçekleştirmelerine yardımcı olan çağdaş bir yönetim yaklaşımı sunmaktadır. Turizmin dinamik yapısından kaynaklanan nedenlerden dolayı mevcut duruma uyum sağlamaya çalışırken başka bir değişim gereken durumla karşılaşması olasıdır. Sektörün her türlü değişimden kolay etkilenmesi ve rekabette avantaj sağlayabilmesi için değişime ve değişimin beraberinde getirdiği koşullara en hızlı şekilde </w:t>
      </w:r>
      <w:proofErr w:type="gramStart"/>
      <w:r>
        <w:rPr>
          <w:color w:val="000000" w:themeColor="text1"/>
        </w:rPr>
        <w:t>adapte olması</w:t>
      </w:r>
      <w:proofErr w:type="gramEnd"/>
      <w:r>
        <w:rPr>
          <w:color w:val="000000" w:themeColor="text1"/>
        </w:rPr>
        <w:t xml:space="preserve"> gerekmektedir. Bu çalışmada, turizmde değişim yönetimi uygulamalarında ülke kültürünün ne kadar etkili olduğunu ve insan topluluklarını ayıran temel farklardan biri olarak kabul edilen kültürün, değişim yönetimi uygulamalarına ve değişime karşı var olan dirence etkileri teorik açıdan incelenmiştir. Buradan hareketle turizm işletmelerinde değişim yönetimi uygulamaları ve ülke kültürünün etkisini ortaya koymayı amaçlayan bu çalışmada, insan faktörü ön safhada tutulmuştur. Araştırmada değişim ve değişim yönetimi ile ilgili kavramsal </w:t>
      </w:r>
      <w:proofErr w:type="spellStart"/>
      <w:r>
        <w:rPr>
          <w:color w:val="000000" w:themeColor="text1"/>
        </w:rPr>
        <w:t>arkaplan</w:t>
      </w:r>
      <w:proofErr w:type="spellEnd"/>
      <w:r>
        <w:rPr>
          <w:color w:val="000000" w:themeColor="text1"/>
        </w:rPr>
        <w:t xml:space="preserve"> kapsamında değişim yönetimi, örgütlerin değişime ihtiyaç duymalarının nedenleri, değişime olan direncin sınıflandırılması, turizm sektörü ve değişim yönetimi, ülke kültürünün değişim yönetimi uygulamalarındaki rolü ve </w:t>
      </w:r>
      <w:proofErr w:type="spellStart"/>
      <w:r>
        <w:rPr>
          <w:color w:val="000000" w:themeColor="text1"/>
        </w:rPr>
        <w:t>Hofstede</w:t>
      </w:r>
      <w:proofErr w:type="spellEnd"/>
      <w:r>
        <w:rPr>
          <w:color w:val="000000" w:themeColor="text1"/>
        </w:rPr>
        <w:t xml:space="preserve"> 6-D kültür boyutları çerçevesinde çalışanların değişime direnç nedenleri karşılaştırmalı olarak yer almaktadır. Çalışmada yapılan karşılaşmaya göre; güç uzaklık indeksi, bireysellik/toplumsallık indeksi, erillik indeksi, belirsizliği göz ardı etme indeksi, uzun dönemli uyum sağlama indeksi ve hoşgörü indeksleri iş ile ilgili nedenlerden dolayı oluşan direnç, kişisel nedenlerden meydana gelen direnç, sosyal nedenlerden kaynaklanan direnç ve örgütsel nedenler açısından oluşabilecek direnç unsurları değerlendirilmiştir.</w:t>
      </w:r>
    </w:p>
    <w:p w14:paraId="1E988A8E" w14:textId="77777777" w:rsidR="00626F42" w:rsidRDefault="00626F42" w:rsidP="00626F42">
      <w:pPr>
        <w:ind w:left="227" w:right="113"/>
        <w:jc w:val="both"/>
        <w:rPr>
          <w:color w:val="000000" w:themeColor="text1"/>
        </w:rPr>
      </w:pPr>
      <w:r w:rsidRPr="00902A79">
        <w:rPr>
          <w:b/>
          <w:bCs/>
          <w:color w:val="000000" w:themeColor="text1"/>
        </w:rPr>
        <w:t>Anahtar Sözcükler</w:t>
      </w:r>
      <w:r w:rsidRPr="00902A79">
        <w:rPr>
          <w:color w:val="000000" w:themeColor="text1"/>
        </w:rPr>
        <w:t>: Değişim Yönetimi, Turizm Sektörü, Ülke Kültürü, Kültürel Boyutlar</w:t>
      </w:r>
    </w:p>
    <w:p w14:paraId="5D081B56" w14:textId="77777777" w:rsidR="00626F42" w:rsidRPr="0010638E" w:rsidRDefault="00626F42" w:rsidP="00626F42">
      <w:pPr>
        <w:ind w:left="227" w:right="113"/>
        <w:jc w:val="both"/>
        <w:rPr>
          <w:color w:val="000000" w:themeColor="text1"/>
        </w:rPr>
      </w:pPr>
    </w:p>
    <w:p w14:paraId="1B0DA376" w14:textId="77777777" w:rsidR="00626F42" w:rsidRPr="00AE41BF" w:rsidRDefault="00626F42" w:rsidP="00626F42">
      <w:pPr>
        <w:ind w:left="227" w:right="113"/>
        <w:jc w:val="both"/>
        <w:rPr>
          <w:color w:val="000000" w:themeColor="text1"/>
        </w:rPr>
      </w:pPr>
      <w:proofErr w:type="spellStart"/>
      <w:r w:rsidRPr="00AE41BF">
        <w:rPr>
          <w:b/>
          <w:bCs/>
          <w:color w:val="000000" w:themeColor="text1"/>
        </w:rPr>
        <w:t>The</w:t>
      </w:r>
      <w:proofErr w:type="spellEnd"/>
      <w:r w:rsidRPr="00AE41BF">
        <w:rPr>
          <w:b/>
          <w:bCs/>
          <w:color w:val="000000" w:themeColor="text1"/>
        </w:rPr>
        <w:t xml:space="preserve"> </w:t>
      </w:r>
      <w:proofErr w:type="spellStart"/>
      <w:r w:rsidRPr="00AE41BF">
        <w:rPr>
          <w:b/>
          <w:bCs/>
          <w:color w:val="000000" w:themeColor="text1"/>
        </w:rPr>
        <w:t>Effect</w:t>
      </w:r>
      <w:proofErr w:type="spellEnd"/>
      <w:r w:rsidRPr="00AE41BF">
        <w:rPr>
          <w:b/>
          <w:bCs/>
          <w:color w:val="000000" w:themeColor="text1"/>
        </w:rPr>
        <w:t xml:space="preserve"> Of Country </w:t>
      </w:r>
      <w:proofErr w:type="spellStart"/>
      <w:r w:rsidRPr="00AE41BF">
        <w:rPr>
          <w:b/>
          <w:bCs/>
          <w:color w:val="000000" w:themeColor="text1"/>
        </w:rPr>
        <w:t>Culture</w:t>
      </w:r>
      <w:proofErr w:type="spellEnd"/>
      <w:r w:rsidRPr="00AE41BF">
        <w:rPr>
          <w:b/>
          <w:bCs/>
          <w:color w:val="000000" w:themeColor="text1"/>
        </w:rPr>
        <w:t xml:space="preserve"> On </w:t>
      </w:r>
      <w:proofErr w:type="spellStart"/>
      <w:r w:rsidRPr="00AE41BF">
        <w:rPr>
          <w:b/>
          <w:bCs/>
          <w:color w:val="000000" w:themeColor="text1"/>
        </w:rPr>
        <w:t>Tourısm</w:t>
      </w:r>
      <w:proofErr w:type="spellEnd"/>
      <w:r w:rsidRPr="00AE41BF">
        <w:rPr>
          <w:b/>
          <w:bCs/>
          <w:color w:val="000000" w:themeColor="text1"/>
        </w:rPr>
        <w:t xml:space="preserve"> </w:t>
      </w:r>
      <w:proofErr w:type="spellStart"/>
      <w:r w:rsidRPr="00AE41BF">
        <w:rPr>
          <w:b/>
          <w:bCs/>
          <w:color w:val="000000" w:themeColor="text1"/>
        </w:rPr>
        <w:t>Change</w:t>
      </w:r>
      <w:proofErr w:type="spellEnd"/>
      <w:r w:rsidRPr="00AE41BF">
        <w:rPr>
          <w:b/>
          <w:bCs/>
          <w:color w:val="000000" w:themeColor="text1"/>
        </w:rPr>
        <w:t xml:space="preserve"> Management </w:t>
      </w:r>
      <w:proofErr w:type="spellStart"/>
      <w:r w:rsidRPr="00AE41BF">
        <w:rPr>
          <w:b/>
          <w:bCs/>
          <w:color w:val="000000" w:themeColor="text1"/>
        </w:rPr>
        <w:t>Practıces</w:t>
      </w:r>
      <w:proofErr w:type="spellEnd"/>
    </w:p>
    <w:p w14:paraId="7544AAF3" w14:textId="77777777" w:rsidR="00626F42" w:rsidRDefault="00626F42" w:rsidP="00626F42">
      <w:pPr>
        <w:ind w:left="227" w:right="113"/>
        <w:jc w:val="both"/>
        <w:rPr>
          <w:b/>
          <w:bCs/>
          <w:color w:val="000000" w:themeColor="text1"/>
        </w:rPr>
      </w:pPr>
      <w:proofErr w:type="spellStart"/>
      <w:r w:rsidRPr="00AE41BF">
        <w:rPr>
          <w:b/>
          <w:bCs/>
          <w:color w:val="000000" w:themeColor="text1"/>
        </w:rPr>
        <w:t>Abstract</w:t>
      </w:r>
      <w:proofErr w:type="spellEnd"/>
    </w:p>
    <w:p w14:paraId="665F183F" w14:textId="77777777" w:rsidR="00626F42" w:rsidRDefault="00626F42" w:rsidP="00626F42">
      <w:pPr>
        <w:ind w:left="227" w:right="113"/>
        <w:jc w:val="both"/>
        <w:rPr>
          <w:color w:val="000000" w:themeColor="text1"/>
        </w:rPr>
      </w:pPr>
      <w:proofErr w:type="spellStart"/>
      <w:r w:rsidRPr="00A90795">
        <w:rPr>
          <w:color w:val="000000" w:themeColor="text1"/>
        </w:rPr>
        <w:t>Today</w:t>
      </w:r>
      <w:proofErr w:type="spellEnd"/>
      <w:r w:rsidRPr="00A90795">
        <w:rPr>
          <w:color w:val="000000" w:themeColor="text1"/>
        </w:rPr>
        <w:t xml:space="preserve">, it is an </w:t>
      </w:r>
      <w:proofErr w:type="spellStart"/>
      <w:r w:rsidRPr="00A90795">
        <w:rPr>
          <w:color w:val="000000" w:themeColor="text1"/>
        </w:rPr>
        <w:t>inevitable</w:t>
      </w:r>
      <w:proofErr w:type="spellEnd"/>
      <w:r w:rsidRPr="00A90795">
        <w:rPr>
          <w:color w:val="000000" w:themeColor="text1"/>
        </w:rPr>
        <w:t xml:space="preserve"> </w:t>
      </w:r>
      <w:proofErr w:type="spellStart"/>
      <w:r w:rsidRPr="00A90795">
        <w:rPr>
          <w:color w:val="000000" w:themeColor="text1"/>
        </w:rPr>
        <w:t>requirement</w:t>
      </w:r>
      <w:proofErr w:type="spellEnd"/>
      <w:r w:rsidRPr="00A90795">
        <w:rPr>
          <w:color w:val="000000" w:themeColor="text1"/>
        </w:rPr>
        <w:t xml:space="preserve"> </w:t>
      </w:r>
      <w:proofErr w:type="spellStart"/>
      <w:r w:rsidRPr="00A90795">
        <w:rPr>
          <w:color w:val="000000" w:themeColor="text1"/>
        </w:rPr>
        <w:t>for</w:t>
      </w:r>
      <w:proofErr w:type="spellEnd"/>
      <w:r w:rsidRPr="00A90795">
        <w:rPr>
          <w:color w:val="000000" w:themeColor="text1"/>
        </w:rPr>
        <w:t xml:space="preserve"> </w:t>
      </w:r>
      <w:proofErr w:type="spellStart"/>
      <w:r w:rsidRPr="00A90795">
        <w:rPr>
          <w:color w:val="000000" w:themeColor="text1"/>
        </w:rPr>
        <w:t>enterprises</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adapt</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changing</w:t>
      </w:r>
      <w:proofErr w:type="spellEnd"/>
      <w:r w:rsidRPr="00A90795">
        <w:rPr>
          <w:color w:val="000000" w:themeColor="text1"/>
        </w:rPr>
        <w:t xml:space="preserve"> </w:t>
      </w:r>
      <w:proofErr w:type="spellStart"/>
      <w:r w:rsidRPr="00A90795">
        <w:rPr>
          <w:color w:val="000000" w:themeColor="text1"/>
        </w:rPr>
        <w:t>environmental</w:t>
      </w:r>
      <w:proofErr w:type="spellEnd"/>
      <w:r w:rsidRPr="00A90795">
        <w:rPr>
          <w:color w:val="000000" w:themeColor="text1"/>
        </w:rPr>
        <w:t xml:space="preserve"> </w:t>
      </w:r>
      <w:proofErr w:type="spellStart"/>
      <w:r w:rsidRPr="00A90795">
        <w:rPr>
          <w:color w:val="000000" w:themeColor="text1"/>
        </w:rPr>
        <w:t>conditions</w:t>
      </w:r>
      <w:proofErr w:type="spellEnd"/>
      <w:r w:rsidRPr="00A90795">
        <w:rPr>
          <w:color w:val="000000" w:themeColor="text1"/>
        </w:rPr>
        <w:t xml:space="preserve">. </w:t>
      </w:r>
      <w:proofErr w:type="spellStart"/>
      <w:r w:rsidRPr="00A90795">
        <w:rPr>
          <w:color w:val="000000" w:themeColor="text1"/>
        </w:rPr>
        <w:t>However</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unconscious</w:t>
      </w:r>
      <w:proofErr w:type="spellEnd"/>
      <w:r w:rsidRPr="00A90795">
        <w:rPr>
          <w:color w:val="000000" w:themeColor="text1"/>
        </w:rPr>
        <w:t xml:space="preserve"> </w:t>
      </w:r>
      <w:proofErr w:type="spellStart"/>
      <w:r w:rsidRPr="00A90795">
        <w:rPr>
          <w:color w:val="000000" w:themeColor="text1"/>
        </w:rPr>
        <w:t>execution</w:t>
      </w:r>
      <w:proofErr w:type="spellEnd"/>
      <w:r w:rsidRPr="00A90795">
        <w:rPr>
          <w:color w:val="000000" w:themeColor="text1"/>
        </w:rPr>
        <w:t xml:space="preserve"> of </w:t>
      </w:r>
      <w:proofErr w:type="spellStart"/>
      <w:r w:rsidRPr="00A90795">
        <w:rPr>
          <w:color w:val="000000" w:themeColor="text1"/>
        </w:rPr>
        <w:t>this</w:t>
      </w:r>
      <w:proofErr w:type="spellEnd"/>
      <w:r w:rsidRPr="00A90795">
        <w:rPr>
          <w:color w:val="000000" w:themeColor="text1"/>
        </w:rPr>
        <w:t xml:space="preserve"> </w:t>
      </w:r>
      <w:proofErr w:type="spellStart"/>
      <w:r w:rsidRPr="00A90795">
        <w:rPr>
          <w:color w:val="000000" w:themeColor="text1"/>
        </w:rPr>
        <w:t>process</w:t>
      </w:r>
      <w:proofErr w:type="spellEnd"/>
      <w:r w:rsidRPr="00A90795">
        <w:rPr>
          <w:color w:val="000000" w:themeColor="text1"/>
        </w:rPr>
        <w:t xml:space="preserve"> can </w:t>
      </w:r>
      <w:proofErr w:type="spellStart"/>
      <w:r w:rsidRPr="00A90795">
        <w:rPr>
          <w:color w:val="000000" w:themeColor="text1"/>
        </w:rPr>
        <w:t>lead</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various</w:t>
      </w:r>
      <w:proofErr w:type="spellEnd"/>
      <w:r w:rsidRPr="00A90795">
        <w:rPr>
          <w:color w:val="000000" w:themeColor="text1"/>
        </w:rPr>
        <w:t xml:space="preserve"> </w:t>
      </w:r>
      <w:proofErr w:type="spellStart"/>
      <w:r w:rsidRPr="00A90795">
        <w:rPr>
          <w:color w:val="000000" w:themeColor="text1"/>
        </w:rPr>
        <w:t>problems</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process</w:t>
      </w:r>
      <w:proofErr w:type="spellEnd"/>
      <w:r w:rsidRPr="00A90795">
        <w:rPr>
          <w:color w:val="000000" w:themeColor="text1"/>
        </w:rPr>
        <w:t xml:space="preserve"> of </w:t>
      </w:r>
      <w:proofErr w:type="spellStart"/>
      <w:r w:rsidRPr="00A90795">
        <w:rPr>
          <w:color w:val="000000" w:themeColor="text1"/>
        </w:rPr>
        <w:t>adapting</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may</w:t>
      </w:r>
      <w:proofErr w:type="spellEnd"/>
      <w:r w:rsidRPr="00A90795">
        <w:rPr>
          <w:color w:val="000000" w:themeColor="text1"/>
        </w:rPr>
        <w:t xml:space="preserve"> </w:t>
      </w:r>
      <w:proofErr w:type="spellStart"/>
      <w:r w:rsidRPr="00A90795">
        <w:rPr>
          <w:color w:val="000000" w:themeColor="text1"/>
        </w:rPr>
        <w:t>take</w:t>
      </w:r>
      <w:proofErr w:type="spellEnd"/>
      <w:r w:rsidRPr="00A90795">
        <w:rPr>
          <w:color w:val="000000" w:themeColor="text1"/>
        </w:rPr>
        <w:t xml:space="preserve"> time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may</w:t>
      </w:r>
      <w:proofErr w:type="spellEnd"/>
      <w:r w:rsidRPr="00A90795">
        <w:rPr>
          <w:color w:val="000000" w:themeColor="text1"/>
        </w:rPr>
        <w:t xml:space="preserve"> be </w:t>
      </w:r>
      <w:proofErr w:type="spellStart"/>
      <w:r w:rsidRPr="00A90795">
        <w:rPr>
          <w:color w:val="000000" w:themeColor="text1"/>
        </w:rPr>
        <w:t>encountered</w:t>
      </w:r>
      <w:proofErr w:type="spellEnd"/>
      <w:r w:rsidRPr="00A90795">
        <w:rPr>
          <w:color w:val="000000" w:themeColor="text1"/>
        </w:rPr>
        <w:t xml:space="preserve"> in </w:t>
      </w:r>
      <w:proofErr w:type="spellStart"/>
      <w:r w:rsidRPr="00A90795">
        <w:rPr>
          <w:color w:val="000000" w:themeColor="text1"/>
        </w:rPr>
        <w:t>enterprises</w:t>
      </w:r>
      <w:proofErr w:type="spellEnd"/>
      <w:r w:rsidRPr="00A90795">
        <w:rPr>
          <w:color w:val="000000" w:themeColor="text1"/>
        </w:rPr>
        <w:t xml:space="preserve">. At </w:t>
      </w:r>
      <w:proofErr w:type="spellStart"/>
      <w:r w:rsidRPr="00A90795">
        <w:rPr>
          <w:color w:val="000000" w:themeColor="text1"/>
        </w:rPr>
        <w:t>this</w:t>
      </w:r>
      <w:proofErr w:type="spellEnd"/>
      <w:r w:rsidRPr="00A90795">
        <w:rPr>
          <w:color w:val="000000" w:themeColor="text1"/>
        </w:rPr>
        <w:t xml:space="preserve"> </w:t>
      </w:r>
      <w:proofErr w:type="spellStart"/>
      <w:r w:rsidRPr="00A90795">
        <w:rPr>
          <w:color w:val="000000" w:themeColor="text1"/>
        </w:rPr>
        <w:t>point</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comes</w:t>
      </w:r>
      <w:proofErr w:type="spellEnd"/>
      <w:r w:rsidRPr="00A90795">
        <w:rPr>
          <w:color w:val="000000" w:themeColor="text1"/>
        </w:rPr>
        <w:t xml:space="preserve"> </w:t>
      </w:r>
      <w:proofErr w:type="spellStart"/>
      <w:r w:rsidRPr="00A90795">
        <w:rPr>
          <w:color w:val="000000" w:themeColor="text1"/>
        </w:rPr>
        <w:t>into</w:t>
      </w:r>
      <w:proofErr w:type="spellEnd"/>
      <w:r w:rsidRPr="00A90795">
        <w:rPr>
          <w:color w:val="000000" w:themeColor="text1"/>
        </w:rPr>
        <w:t xml:space="preserve"> </w:t>
      </w:r>
      <w:proofErr w:type="spellStart"/>
      <w:r w:rsidRPr="00A90795">
        <w:rPr>
          <w:color w:val="000000" w:themeColor="text1"/>
        </w:rPr>
        <w:t>play</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offers</w:t>
      </w:r>
      <w:proofErr w:type="spellEnd"/>
      <w:r w:rsidRPr="00A90795">
        <w:rPr>
          <w:color w:val="000000" w:themeColor="text1"/>
        </w:rPr>
        <w:t xml:space="preserve"> a modern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approach</w:t>
      </w:r>
      <w:proofErr w:type="spellEnd"/>
      <w:r w:rsidRPr="00A90795">
        <w:rPr>
          <w:color w:val="000000" w:themeColor="text1"/>
        </w:rPr>
        <w:t xml:space="preserve"> </w:t>
      </w:r>
      <w:proofErr w:type="spellStart"/>
      <w:r w:rsidRPr="00A90795">
        <w:rPr>
          <w:color w:val="000000" w:themeColor="text1"/>
        </w:rPr>
        <w:t>that</w:t>
      </w:r>
      <w:proofErr w:type="spellEnd"/>
      <w:r w:rsidRPr="00A90795">
        <w:rPr>
          <w:color w:val="000000" w:themeColor="text1"/>
        </w:rPr>
        <w:t xml:space="preserve"> </w:t>
      </w:r>
      <w:proofErr w:type="spellStart"/>
      <w:r w:rsidRPr="00A90795">
        <w:rPr>
          <w:color w:val="000000" w:themeColor="text1"/>
        </w:rPr>
        <w:t>helps</w:t>
      </w:r>
      <w:proofErr w:type="spellEnd"/>
      <w:r w:rsidRPr="00A90795">
        <w:rPr>
          <w:color w:val="000000" w:themeColor="text1"/>
        </w:rPr>
        <w:t xml:space="preserve"> </w:t>
      </w:r>
      <w:proofErr w:type="spellStart"/>
      <w:r w:rsidRPr="00A90795">
        <w:rPr>
          <w:color w:val="000000" w:themeColor="text1"/>
        </w:rPr>
        <w:t>enterprises</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realize </w:t>
      </w:r>
      <w:proofErr w:type="spellStart"/>
      <w:r w:rsidRPr="00A90795">
        <w:rPr>
          <w:color w:val="000000" w:themeColor="text1"/>
        </w:rPr>
        <w:t>change</w:t>
      </w:r>
      <w:proofErr w:type="spellEnd"/>
      <w:r w:rsidRPr="00A90795">
        <w:rPr>
          <w:color w:val="000000" w:themeColor="text1"/>
        </w:rPr>
        <w:t xml:space="preserve"> in a </w:t>
      </w:r>
      <w:proofErr w:type="spellStart"/>
      <w:r w:rsidRPr="00A90795">
        <w:rPr>
          <w:color w:val="000000" w:themeColor="text1"/>
        </w:rPr>
        <w:t>more</w:t>
      </w:r>
      <w:proofErr w:type="spellEnd"/>
      <w:r w:rsidRPr="00A90795">
        <w:rPr>
          <w:color w:val="000000" w:themeColor="text1"/>
        </w:rPr>
        <w:t xml:space="preserve"> </w:t>
      </w:r>
      <w:proofErr w:type="spellStart"/>
      <w:r w:rsidRPr="00A90795">
        <w:rPr>
          <w:color w:val="000000" w:themeColor="text1"/>
        </w:rPr>
        <w:t>planned</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effective</w:t>
      </w:r>
      <w:proofErr w:type="spellEnd"/>
      <w:r w:rsidRPr="00A90795">
        <w:rPr>
          <w:color w:val="000000" w:themeColor="text1"/>
        </w:rPr>
        <w:t xml:space="preserve"> </w:t>
      </w:r>
      <w:proofErr w:type="spellStart"/>
      <w:r w:rsidRPr="00A90795">
        <w:rPr>
          <w:color w:val="000000" w:themeColor="text1"/>
        </w:rPr>
        <w:t>way</w:t>
      </w:r>
      <w:proofErr w:type="spellEnd"/>
      <w:r w:rsidRPr="00A90795">
        <w:rPr>
          <w:color w:val="000000" w:themeColor="text1"/>
        </w:rPr>
        <w:t xml:space="preserve"> in an </w:t>
      </w:r>
      <w:proofErr w:type="spellStart"/>
      <w:r w:rsidRPr="00A90795">
        <w:rPr>
          <w:color w:val="000000" w:themeColor="text1"/>
        </w:rPr>
        <w:t>increasingly</w:t>
      </w:r>
      <w:proofErr w:type="spellEnd"/>
      <w:r w:rsidRPr="00A90795">
        <w:rPr>
          <w:color w:val="000000" w:themeColor="text1"/>
        </w:rPr>
        <w:t xml:space="preserve"> </w:t>
      </w:r>
      <w:proofErr w:type="spellStart"/>
      <w:r w:rsidRPr="00A90795">
        <w:rPr>
          <w:color w:val="000000" w:themeColor="text1"/>
        </w:rPr>
        <w:t>competitive</w:t>
      </w:r>
      <w:proofErr w:type="spellEnd"/>
      <w:r w:rsidRPr="00A90795">
        <w:rPr>
          <w:color w:val="000000" w:themeColor="text1"/>
        </w:rPr>
        <w:t xml:space="preserve"> </w:t>
      </w:r>
      <w:proofErr w:type="spellStart"/>
      <w:r w:rsidRPr="00A90795">
        <w:rPr>
          <w:color w:val="000000" w:themeColor="text1"/>
        </w:rPr>
        <w:t>environment</w:t>
      </w:r>
      <w:proofErr w:type="spellEnd"/>
      <w:r w:rsidRPr="00A90795">
        <w:rPr>
          <w:color w:val="000000" w:themeColor="text1"/>
        </w:rPr>
        <w:t xml:space="preserve">. </w:t>
      </w:r>
      <w:proofErr w:type="spellStart"/>
      <w:r w:rsidRPr="00A90795">
        <w:rPr>
          <w:color w:val="000000" w:themeColor="text1"/>
        </w:rPr>
        <w:t>Due</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arising</w:t>
      </w:r>
      <w:proofErr w:type="spellEnd"/>
      <w:r w:rsidRPr="00A90795">
        <w:rPr>
          <w:color w:val="000000" w:themeColor="text1"/>
        </w:rPr>
        <w:t xml:space="preserve"> </w:t>
      </w:r>
      <w:proofErr w:type="spellStart"/>
      <w:r w:rsidRPr="00A90795">
        <w:rPr>
          <w:color w:val="000000" w:themeColor="text1"/>
        </w:rPr>
        <w:t>from</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dynamic</w:t>
      </w:r>
      <w:proofErr w:type="spellEnd"/>
      <w:r w:rsidRPr="00A90795">
        <w:rPr>
          <w:color w:val="000000" w:themeColor="text1"/>
        </w:rPr>
        <w:t xml:space="preserve"> </w:t>
      </w:r>
      <w:proofErr w:type="spellStart"/>
      <w:r w:rsidRPr="00A90795">
        <w:rPr>
          <w:color w:val="000000" w:themeColor="text1"/>
        </w:rPr>
        <w:t>structure</w:t>
      </w:r>
      <w:proofErr w:type="spellEnd"/>
      <w:r w:rsidRPr="00A90795">
        <w:rPr>
          <w:color w:val="000000" w:themeColor="text1"/>
        </w:rPr>
        <w:t xml:space="preserve"> of </w:t>
      </w:r>
      <w:proofErr w:type="spellStart"/>
      <w:r w:rsidRPr="00A90795">
        <w:rPr>
          <w:color w:val="000000" w:themeColor="text1"/>
        </w:rPr>
        <w:t>tourism</w:t>
      </w:r>
      <w:proofErr w:type="spellEnd"/>
      <w:r w:rsidRPr="00A90795">
        <w:rPr>
          <w:color w:val="000000" w:themeColor="text1"/>
        </w:rPr>
        <w:t xml:space="preserve">, it is </w:t>
      </w:r>
      <w:proofErr w:type="spellStart"/>
      <w:r w:rsidRPr="00A90795">
        <w:rPr>
          <w:color w:val="000000" w:themeColor="text1"/>
        </w:rPr>
        <w:t>possible</w:t>
      </w:r>
      <w:proofErr w:type="spellEnd"/>
      <w:r w:rsidRPr="00A90795">
        <w:rPr>
          <w:color w:val="000000" w:themeColor="text1"/>
        </w:rPr>
        <w:t xml:space="preserve"> </w:t>
      </w:r>
      <w:proofErr w:type="spellStart"/>
      <w:r w:rsidRPr="00A90795">
        <w:rPr>
          <w:color w:val="000000" w:themeColor="text1"/>
        </w:rPr>
        <w:t>that</w:t>
      </w:r>
      <w:proofErr w:type="spellEnd"/>
      <w:r w:rsidRPr="00A90795">
        <w:rPr>
          <w:color w:val="000000" w:themeColor="text1"/>
        </w:rPr>
        <w:t xml:space="preserve"> </w:t>
      </w:r>
      <w:proofErr w:type="spellStart"/>
      <w:r w:rsidRPr="00A90795">
        <w:rPr>
          <w:color w:val="000000" w:themeColor="text1"/>
        </w:rPr>
        <w:t>another</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will</w:t>
      </w:r>
      <w:proofErr w:type="spellEnd"/>
      <w:r w:rsidRPr="00A90795">
        <w:rPr>
          <w:color w:val="000000" w:themeColor="text1"/>
        </w:rPr>
        <w:t xml:space="preserve"> be </w:t>
      </w:r>
      <w:proofErr w:type="spellStart"/>
      <w:r w:rsidRPr="00A90795">
        <w:rPr>
          <w:color w:val="000000" w:themeColor="text1"/>
        </w:rPr>
        <w:t>encountered</w:t>
      </w:r>
      <w:proofErr w:type="spellEnd"/>
      <w:r w:rsidRPr="00A90795">
        <w:rPr>
          <w:color w:val="000000" w:themeColor="text1"/>
        </w:rPr>
        <w:t xml:space="preserve"> </w:t>
      </w:r>
      <w:proofErr w:type="spellStart"/>
      <w:r w:rsidRPr="00A90795">
        <w:rPr>
          <w:color w:val="000000" w:themeColor="text1"/>
        </w:rPr>
        <w:lastRenderedPageBreak/>
        <w:t>while</w:t>
      </w:r>
      <w:proofErr w:type="spellEnd"/>
      <w:r w:rsidRPr="00A90795">
        <w:rPr>
          <w:color w:val="000000" w:themeColor="text1"/>
        </w:rPr>
        <w:t xml:space="preserve"> </w:t>
      </w:r>
      <w:proofErr w:type="spellStart"/>
      <w:r w:rsidRPr="00A90795">
        <w:rPr>
          <w:color w:val="000000" w:themeColor="text1"/>
        </w:rPr>
        <w:t>trying</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adapt</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current</w:t>
      </w:r>
      <w:proofErr w:type="spellEnd"/>
      <w:r w:rsidRPr="00A90795">
        <w:rPr>
          <w:color w:val="000000" w:themeColor="text1"/>
        </w:rPr>
        <w:t xml:space="preserve"> </w:t>
      </w:r>
      <w:proofErr w:type="spellStart"/>
      <w:r w:rsidRPr="00A90795">
        <w:rPr>
          <w:color w:val="000000" w:themeColor="text1"/>
        </w:rPr>
        <w:t>situation</w:t>
      </w:r>
      <w:proofErr w:type="spellEnd"/>
      <w:r w:rsidRPr="00A90795">
        <w:rPr>
          <w:color w:val="000000" w:themeColor="text1"/>
        </w:rPr>
        <w:t xml:space="preserve">. </w:t>
      </w:r>
      <w:proofErr w:type="spellStart"/>
      <w:r w:rsidRPr="00A90795">
        <w:rPr>
          <w:color w:val="000000" w:themeColor="text1"/>
        </w:rPr>
        <w:t>In</w:t>
      </w:r>
      <w:proofErr w:type="spellEnd"/>
      <w:r w:rsidRPr="00A90795">
        <w:rPr>
          <w:color w:val="000000" w:themeColor="text1"/>
        </w:rPr>
        <w:t xml:space="preserve"> </w:t>
      </w:r>
      <w:proofErr w:type="spellStart"/>
      <w:r w:rsidRPr="00A90795">
        <w:rPr>
          <w:color w:val="000000" w:themeColor="text1"/>
        </w:rPr>
        <w:t>order</w:t>
      </w:r>
      <w:proofErr w:type="spellEnd"/>
      <w:r w:rsidRPr="00A90795">
        <w:rPr>
          <w:color w:val="000000" w:themeColor="text1"/>
        </w:rPr>
        <w:t xml:space="preserve"> </w:t>
      </w:r>
      <w:proofErr w:type="spellStart"/>
      <w:r w:rsidRPr="00A90795">
        <w:rPr>
          <w:color w:val="000000" w:themeColor="text1"/>
        </w:rPr>
        <w:t>for</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sector</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be </w:t>
      </w:r>
      <w:proofErr w:type="spellStart"/>
      <w:r w:rsidRPr="00A90795">
        <w:rPr>
          <w:color w:val="000000" w:themeColor="text1"/>
        </w:rPr>
        <w:t>easily</w:t>
      </w:r>
      <w:proofErr w:type="spellEnd"/>
      <w:r w:rsidRPr="00A90795">
        <w:rPr>
          <w:color w:val="000000" w:themeColor="text1"/>
        </w:rPr>
        <w:t xml:space="preserve"> </w:t>
      </w:r>
      <w:proofErr w:type="spellStart"/>
      <w:r w:rsidRPr="00A90795">
        <w:rPr>
          <w:color w:val="000000" w:themeColor="text1"/>
        </w:rPr>
        <w:t>affected</w:t>
      </w:r>
      <w:proofErr w:type="spellEnd"/>
      <w:r w:rsidRPr="00A90795">
        <w:rPr>
          <w:color w:val="000000" w:themeColor="text1"/>
        </w:rPr>
        <w:t xml:space="preserve"> </w:t>
      </w:r>
      <w:proofErr w:type="spellStart"/>
      <w:r w:rsidRPr="00A90795">
        <w:rPr>
          <w:color w:val="000000" w:themeColor="text1"/>
        </w:rPr>
        <w:t>by</w:t>
      </w:r>
      <w:proofErr w:type="spellEnd"/>
      <w:r w:rsidRPr="00A90795">
        <w:rPr>
          <w:color w:val="000000" w:themeColor="text1"/>
        </w:rPr>
        <w:t xml:space="preserve"> </w:t>
      </w:r>
      <w:proofErr w:type="spellStart"/>
      <w:r w:rsidRPr="00A90795">
        <w:rPr>
          <w:color w:val="000000" w:themeColor="text1"/>
        </w:rPr>
        <w:t>all</w:t>
      </w:r>
      <w:proofErr w:type="spellEnd"/>
      <w:r w:rsidRPr="00A90795">
        <w:rPr>
          <w:color w:val="000000" w:themeColor="text1"/>
        </w:rPr>
        <w:t xml:space="preserve"> </w:t>
      </w:r>
      <w:proofErr w:type="spellStart"/>
      <w:r w:rsidRPr="00A90795">
        <w:rPr>
          <w:color w:val="000000" w:themeColor="text1"/>
        </w:rPr>
        <w:t>kinds</w:t>
      </w:r>
      <w:proofErr w:type="spellEnd"/>
      <w:r w:rsidRPr="00A90795">
        <w:rPr>
          <w:color w:val="000000" w:themeColor="text1"/>
        </w:rPr>
        <w:t xml:space="preserve"> of </w:t>
      </w:r>
      <w:proofErr w:type="spellStart"/>
      <w:r w:rsidRPr="00A90795">
        <w:rPr>
          <w:color w:val="000000" w:themeColor="text1"/>
        </w:rPr>
        <w:t>changes</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gain</w:t>
      </w:r>
      <w:proofErr w:type="spellEnd"/>
      <w:r w:rsidRPr="00A90795">
        <w:rPr>
          <w:color w:val="000000" w:themeColor="text1"/>
        </w:rPr>
        <w:t xml:space="preserve"> an </w:t>
      </w:r>
      <w:proofErr w:type="spellStart"/>
      <w:r w:rsidRPr="00A90795">
        <w:rPr>
          <w:color w:val="000000" w:themeColor="text1"/>
        </w:rPr>
        <w:t>advantage</w:t>
      </w:r>
      <w:proofErr w:type="spellEnd"/>
      <w:r w:rsidRPr="00A90795">
        <w:rPr>
          <w:color w:val="000000" w:themeColor="text1"/>
        </w:rPr>
        <w:t xml:space="preserve"> in </w:t>
      </w:r>
      <w:proofErr w:type="spellStart"/>
      <w:r w:rsidRPr="00A90795">
        <w:rPr>
          <w:color w:val="000000" w:themeColor="text1"/>
        </w:rPr>
        <w:t>competition</w:t>
      </w:r>
      <w:proofErr w:type="spellEnd"/>
      <w:r w:rsidRPr="00A90795">
        <w:rPr>
          <w:color w:val="000000" w:themeColor="text1"/>
        </w:rPr>
        <w:t xml:space="preserve">, it is </w:t>
      </w:r>
      <w:proofErr w:type="spellStart"/>
      <w:r w:rsidRPr="00A90795">
        <w:rPr>
          <w:color w:val="000000" w:themeColor="text1"/>
        </w:rPr>
        <w:t>necessary</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adapt</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conditions</w:t>
      </w:r>
      <w:proofErr w:type="spellEnd"/>
      <w:r w:rsidRPr="00A90795">
        <w:rPr>
          <w:color w:val="000000" w:themeColor="text1"/>
        </w:rPr>
        <w:t xml:space="preserve"> </w:t>
      </w:r>
      <w:proofErr w:type="spellStart"/>
      <w:r w:rsidRPr="00A90795">
        <w:rPr>
          <w:color w:val="000000" w:themeColor="text1"/>
        </w:rPr>
        <w:t>brought</w:t>
      </w:r>
      <w:proofErr w:type="spellEnd"/>
      <w:r w:rsidRPr="00A90795">
        <w:rPr>
          <w:color w:val="000000" w:themeColor="text1"/>
        </w:rPr>
        <w:t xml:space="preserve"> </w:t>
      </w:r>
      <w:proofErr w:type="spellStart"/>
      <w:r w:rsidRPr="00A90795">
        <w:rPr>
          <w:color w:val="000000" w:themeColor="text1"/>
        </w:rPr>
        <w:t>about</w:t>
      </w:r>
      <w:proofErr w:type="spellEnd"/>
      <w:r w:rsidRPr="00A90795">
        <w:rPr>
          <w:color w:val="000000" w:themeColor="text1"/>
        </w:rPr>
        <w:t xml:space="preserve"> </w:t>
      </w:r>
      <w:proofErr w:type="spellStart"/>
      <w:r w:rsidRPr="00A90795">
        <w:rPr>
          <w:color w:val="000000" w:themeColor="text1"/>
        </w:rPr>
        <w:t>by</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in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fastest</w:t>
      </w:r>
      <w:proofErr w:type="spellEnd"/>
      <w:r w:rsidRPr="00A90795">
        <w:rPr>
          <w:color w:val="000000" w:themeColor="text1"/>
        </w:rPr>
        <w:t xml:space="preserve"> </w:t>
      </w:r>
      <w:proofErr w:type="spellStart"/>
      <w:r w:rsidRPr="00A90795">
        <w:rPr>
          <w:color w:val="000000" w:themeColor="text1"/>
        </w:rPr>
        <w:t>way</w:t>
      </w:r>
      <w:proofErr w:type="spellEnd"/>
      <w:r w:rsidRPr="00A90795">
        <w:rPr>
          <w:color w:val="000000" w:themeColor="text1"/>
        </w:rPr>
        <w:t xml:space="preserve">. </w:t>
      </w:r>
      <w:proofErr w:type="spellStart"/>
      <w:r w:rsidRPr="00A90795">
        <w:rPr>
          <w:color w:val="000000" w:themeColor="text1"/>
        </w:rPr>
        <w:t>In</w:t>
      </w:r>
      <w:proofErr w:type="spellEnd"/>
      <w:r w:rsidRPr="00A90795">
        <w:rPr>
          <w:color w:val="000000" w:themeColor="text1"/>
        </w:rPr>
        <w:t xml:space="preserve"> </w:t>
      </w:r>
      <w:proofErr w:type="spellStart"/>
      <w:r w:rsidRPr="00A90795">
        <w:rPr>
          <w:color w:val="000000" w:themeColor="text1"/>
        </w:rPr>
        <w:t>this</w:t>
      </w:r>
      <w:proofErr w:type="spellEnd"/>
      <w:r w:rsidRPr="00A90795">
        <w:rPr>
          <w:color w:val="000000" w:themeColor="text1"/>
        </w:rPr>
        <w:t xml:space="preserve"> </w:t>
      </w:r>
      <w:proofErr w:type="spellStart"/>
      <w:r w:rsidRPr="00A90795">
        <w:rPr>
          <w:color w:val="000000" w:themeColor="text1"/>
        </w:rPr>
        <w:t>study</w:t>
      </w:r>
      <w:proofErr w:type="spellEnd"/>
      <w:r w:rsidRPr="00A90795">
        <w:rPr>
          <w:color w:val="000000" w:themeColor="text1"/>
        </w:rPr>
        <w:t xml:space="preserve">, how </w:t>
      </w:r>
      <w:proofErr w:type="spellStart"/>
      <w:r w:rsidRPr="00A90795">
        <w:rPr>
          <w:color w:val="000000" w:themeColor="text1"/>
        </w:rPr>
        <w:t>effective</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culture</w:t>
      </w:r>
      <w:proofErr w:type="spellEnd"/>
      <w:r w:rsidRPr="00A90795">
        <w:rPr>
          <w:color w:val="000000" w:themeColor="text1"/>
        </w:rPr>
        <w:t xml:space="preserve"> of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country</w:t>
      </w:r>
      <w:proofErr w:type="spellEnd"/>
      <w:r w:rsidRPr="00A90795">
        <w:rPr>
          <w:color w:val="000000" w:themeColor="text1"/>
        </w:rPr>
        <w:t xml:space="preserve"> is in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practices</w:t>
      </w:r>
      <w:proofErr w:type="spellEnd"/>
      <w:r w:rsidRPr="00A90795">
        <w:rPr>
          <w:color w:val="000000" w:themeColor="text1"/>
        </w:rPr>
        <w:t xml:space="preserve"> in </w:t>
      </w:r>
      <w:proofErr w:type="spellStart"/>
      <w:r w:rsidRPr="00A90795">
        <w:rPr>
          <w:color w:val="000000" w:themeColor="text1"/>
        </w:rPr>
        <w:t>tourism</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effects</w:t>
      </w:r>
      <w:proofErr w:type="spellEnd"/>
      <w:r w:rsidRPr="00A90795">
        <w:rPr>
          <w:color w:val="000000" w:themeColor="text1"/>
        </w:rPr>
        <w:t xml:space="preserve"> of </w:t>
      </w:r>
      <w:proofErr w:type="spellStart"/>
      <w:r w:rsidRPr="00A90795">
        <w:rPr>
          <w:color w:val="000000" w:themeColor="text1"/>
        </w:rPr>
        <w:t>culture</w:t>
      </w:r>
      <w:proofErr w:type="spellEnd"/>
      <w:r w:rsidRPr="00A90795">
        <w:rPr>
          <w:color w:val="000000" w:themeColor="text1"/>
        </w:rPr>
        <w:t xml:space="preserve">, </w:t>
      </w:r>
      <w:proofErr w:type="spellStart"/>
      <w:r w:rsidRPr="00A90795">
        <w:rPr>
          <w:color w:val="000000" w:themeColor="text1"/>
        </w:rPr>
        <w:t>which</w:t>
      </w:r>
      <w:proofErr w:type="spellEnd"/>
      <w:r w:rsidRPr="00A90795">
        <w:rPr>
          <w:color w:val="000000" w:themeColor="text1"/>
        </w:rPr>
        <w:t xml:space="preserve"> is </w:t>
      </w:r>
      <w:proofErr w:type="spellStart"/>
      <w:r w:rsidRPr="00A90795">
        <w:rPr>
          <w:color w:val="000000" w:themeColor="text1"/>
        </w:rPr>
        <w:t>considered</w:t>
      </w:r>
      <w:proofErr w:type="spellEnd"/>
      <w:r w:rsidRPr="00A90795">
        <w:rPr>
          <w:color w:val="000000" w:themeColor="text1"/>
        </w:rPr>
        <w:t xml:space="preserve"> </w:t>
      </w:r>
      <w:proofErr w:type="spellStart"/>
      <w:r w:rsidRPr="00A90795">
        <w:rPr>
          <w:color w:val="000000" w:themeColor="text1"/>
        </w:rPr>
        <w:t>one</w:t>
      </w:r>
      <w:proofErr w:type="spellEnd"/>
      <w:r w:rsidRPr="00A90795">
        <w:rPr>
          <w:color w:val="000000" w:themeColor="text1"/>
        </w:rPr>
        <w:t xml:space="preserve"> of </w:t>
      </w:r>
      <w:proofErr w:type="spellStart"/>
      <w:r w:rsidRPr="00A90795">
        <w:rPr>
          <w:color w:val="000000" w:themeColor="text1"/>
        </w:rPr>
        <w:t>the</w:t>
      </w:r>
      <w:proofErr w:type="spellEnd"/>
      <w:r w:rsidRPr="00A90795">
        <w:rPr>
          <w:color w:val="000000" w:themeColor="text1"/>
        </w:rPr>
        <w:t xml:space="preserve"> main </w:t>
      </w:r>
      <w:proofErr w:type="spellStart"/>
      <w:r w:rsidRPr="00A90795">
        <w:rPr>
          <w:color w:val="000000" w:themeColor="text1"/>
        </w:rPr>
        <w:t>differences</w:t>
      </w:r>
      <w:proofErr w:type="spellEnd"/>
      <w:r w:rsidRPr="00A90795">
        <w:rPr>
          <w:color w:val="000000" w:themeColor="text1"/>
        </w:rPr>
        <w:t xml:space="preserve"> </w:t>
      </w:r>
      <w:proofErr w:type="spellStart"/>
      <w:r w:rsidRPr="00A90795">
        <w:rPr>
          <w:color w:val="000000" w:themeColor="text1"/>
        </w:rPr>
        <w:t>separating</w:t>
      </w:r>
      <w:proofErr w:type="spellEnd"/>
      <w:r w:rsidRPr="00A90795">
        <w:rPr>
          <w:color w:val="000000" w:themeColor="text1"/>
        </w:rPr>
        <w:t xml:space="preserve"> </w:t>
      </w:r>
      <w:proofErr w:type="spellStart"/>
      <w:r w:rsidRPr="00A90795">
        <w:rPr>
          <w:color w:val="000000" w:themeColor="text1"/>
        </w:rPr>
        <w:t>human</w:t>
      </w:r>
      <w:proofErr w:type="spellEnd"/>
      <w:r w:rsidRPr="00A90795">
        <w:rPr>
          <w:color w:val="000000" w:themeColor="text1"/>
        </w:rPr>
        <w:t xml:space="preserve"> </w:t>
      </w:r>
      <w:proofErr w:type="spellStart"/>
      <w:r w:rsidRPr="00A90795">
        <w:rPr>
          <w:color w:val="000000" w:themeColor="text1"/>
        </w:rPr>
        <w:t>communities</w:t>
      </w:r>
      <w:proofErr w:type="spellEnd"/>
      <w:r w:rsidRPr="00A90795">
        <w:rPr>
          <w:color w:val="000000" w:themeColor="text1"/>
        </w:rPr>
        <w:t xml:space="preserve">, on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practices</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existing</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were</w:t>
      </w:r>
      <w:proofErr w:type="spellEnd"/>
      <w:r w:rsidRPr="00A90795">
        <w:rPr>
          <w:color w:val="000000" w:themeColor="text1"/>
        </w:rPr>
        <w:t xml:space="preserve"> </w:t>
      </w:r>
      <w:proofErr w:type="spellStart"/>
      <w:r w:rsidRPr="00A90795">
        <w:rPr>
          <w:color w:val="000000" w:themeColor="text1"/>
        </w:rPr>
        <w:t>examined</w:t>
      </w:r>
      <w:proofErr w:type="spellEnd"/>
      <w:r w:rsidRPr="00A90795">
        <w:rPr>
          <w:color w:val="000000" w:themeColor="text1"/>
        </w:rPr>
        <w:t xml:space="preserve"> </w:t>
      </w:r>
      <w:proofErr w:type="spellStart"/>
      <w:r w:rsidRPr="00A90795">
        <w:rPr>
          <w:color w:val="000000" w:themeColor="text1"/>
        </w:rPr>
        <w:t>from</w:t>
      </w:r>
      <w:proofErr w:type="spellEnd"/>
      <w:r w:rsidRPr="00A90795">
        <w:rPr>
          <w:color w:val="000000" w:themeColor="text1"/>
        </w:rPr>
        <w:t xml:space="preserve"> a </w:t>
      </w:r>
      <w:proofErr w:type="spellStart"/>
      <w:r w:rsidRPr="00A90795">
        <w:rPr>
          <w:color w:val="000000" w:themeColor="text1"/>
        </w:rPr>
        <w:t>theoretical</w:t>
      </w:r>
      <w:proofErr w:type="spellEnd"/>
      <w:r w:rsidRPr="00A90795">
        <w:rPr>
          <w:color w:val="000000" w:themeColor="text1"/>
        </w:rPr>
        <w:t xml:space="preserve"> </w:t>
      </w:r>
      <w:proofErr w:type="spellStart"/>
      <w:r w:rsidRPr="00A90795">
        <w:rPr>
          <w:color w:val="000000" w:themeColor="text1"/>
        </w:rPr>
        <w:t>point</w:t>
      </w:r>
      <w:proofErr w:type="spellEnd"/>
      <w:r w:rsidRPr="00A90795">
        <w:rPr>
          <w:color w:val="000000" w:themeColor="text1"/>
        </w:rPr>
        <w:t xml:space="preserve"> of </w:t>
      </w:r>
      <w:proofErr w:type="spellStart"/>
      <w:r w:rsidRPr="00A90795">
        <w:rPr>
          <w:color w:val="000000" w:themeColor="text1"/>
        </w:rPr>
        <w:t>view</w:t>
      </w:r>
      <w:proofErr w:type="spellEnd"/>
      <w:r w:rsidRPr="00A90795">
        <w:rPr>
          <w:color w:val="000000" w:themeColor="text1"/>
        </w:rPr>
        <w:t xml:space="preserve">. </w:t>
      </w:r>
      <w:proofErr w:type="spellStart"/>
      <w:r w:rsidRPr="00A90795">
        <w:rPr>
          <w:color w:val="000000" w:themeColor="text1"/>
        </w:rPr>
        <w:t>Based</w:t>
      </w:r>
      <w:proofErr w:type="spellEnd"/>
      <w:r w:rsidRPr="00A90795">
        <w:rPr>
          <w:color w:val="000000" w:themeColor="text1"/>
        </w:rPr>
        <w:t xml:space="preserve"> on </w:t>
      </w:r>
      <w:proofErr w:type="spellStart"/>
      <w:r w:rsidRPr="00A90795">
        <w:rPr>
          <w:color w:val="000000" w:themeColor="text1"/>
        </w:rPr>
        <w:t>this</w:t>
      </w:r>
      <w:proofErr w:type="spellEnd"/>
      <w:r w:rsidRPr="00A90795">
        <w:rPr>
          <w:color w:val="000000" w:themeColor="text1"/>
        </w:rPr>
        <w:t xml:space="preserve">, in </w:t>
      </w:r>
      <w:proofErr w:type="spellStart"/>
      <w:r w:rsidRPr="00A90795">
        <w:rPr>
          <w:color w:val="000000" w:themeColor="text1"/>
        </w:rPr>
        <w:t>this</w:t>
      </w:r>
      <w:proofErr w:type="spellEnd"/>
      <w:r w:rsidRPr="00A90795">
        <w:rPr>
          <w:color w:val="000000" w:themeColor="text1"/>
        </w:rPr>
        <w:t xml:space="preserve"> </w:t>
      </w:r>
      <w:proofErr w:type="spellStart"/>
      <w:r w:rsidRPr="00A90795">
        <w:rPr>
          <w:color w:val="000000" w:themeColor="text1"/>
        </w:rPr>
        <w:t>study</w:t>
      </w:r>
      <w:proofErr w:type="spellEnd"/>
      <w:r w:rsidRPr="00A90795">
        <w:rPr>
          <w:color w:val="000000" w:themeColor="text1"/>
        </w:rPr>
        <w:t xml:space="preserve">, </w:t>
      </w:r>
      <w:proofErr w:type="spellStart"/>
      <w:r w:rsidRPr="00A90795">
        <w:rPr>
          <w:color w:val="000000" w:themeColor="text1"/>
        </w:rPr>
        <w:t>which</w:t>
      </w:r>
      <w:proofErr w:type="spellEnd"/>
      <w:r w:rsidRPr="00A90795">
        <w:rPr>
          <w:color w:val="000000" w:themeColor="text1"/>
        </w:rPr>
        <w:t xml:space="preserve"> </w:t>
      </w:r>
      <w:proofErr w:type="spellStart"/>
      <w:r w:rsidRPr="00A90795">
        <w:rPr>
          <w:color w:val="000000" w:themeColor="text1"/>
        </w:rPr>
        <w:t>aims</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reveal</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impact</w:t>
      </w:r>
      <w:proofErr w:type="spellEnd"/>
      <w:r w:rsidRPr="00A90795">
        <w:rPr>
          <w:color w:val="000000" w:themeColor="text1"/>
        </w:rPr>
        <w:t xml:space="preserve"> of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practices</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country</w:t>
      </w:r>
      <w:proofErr w:type="spellEnd"/>
      <w:r w:rsidRPr="00A90795">
        <w:rPr>
          <w:color w:val="000000" w:themeColor="text1"/>
        </w:rPr>
        <w:t xml:space="preserve"> </w:t>
      </w:r>
      <w:proofErr w:type="spellStart"/>
      <w:r w:rsidRPr="00A90795">
        <w:rPr>
          <w:color w:val="000000" w:themeColor="text1"/>
        </w:rPr>
        <w:t>culture</w:t>
      </w:r>
      <w:proofErr w:type="spellEnd"/>
      <w:r w:rsidRPr="00A90795">
        <w:rPr>
          <w:color w:val="000000" w:themeColor="text1"/>
        </w:rPr>
        <w:t xml:space="preserve"> in </w:t>
      </w:r>
      <w:proofErr w:type="spellStart"/>
      <w:r w:rsidRPr="00A90795">
        <w:rPr>
          <w:color w:val="000000" w:themeColor="text1"/>
        </w:rPr>
        <w:t>tourism</w:t>
      </w:r>
      <w:proofErr w:type="spellEnd"/>
      <w:r w:rsidRPr="00A90795">
        <w:rPr>
          <w:color w:val="000000" w:themeColor="text1"/>
        </w:rPr>
        <w:t xml:space="preserve"> </w:t>
      </w:r>
      <w:proofErr w:type="spellStart"/>
      <w:r w:rsidRPr="00A90795">
        <w:rPr>
          <w:color w:val="000000" w:themeColor="text1"/>
        </w:rPr>
        <w:t>enterprises</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human</w:t>
      </w:r>
      <w:proofErr w:type="spellEnd"/>
      <w:r w:rsidRPr="00A90795">
        <w:rPr>
          <w:color w:val="000000" w:themeColor="text1"/>
        </w:rPr>
        <w:t xml:space="preserve"> </w:t>
      </w:r>
      <w:proofErr w:type="spellStart"/>
      <w:r w:rsidRPr="00A90795">
        <w:rPr>
          <w:color w:val="000000" w:themeColor="text1"/>
        </w:rPr>
        <w:t>factor</w:t>
      </w:r>
      <w:proofErr w:type="spellEnd"/>
      <w:r w:rsidRPr="00A90795">
        <w:rPr>
          <w:color w:val="000000" w:themeColor="text1"/>
        </w:rPr>
        <w:t xml:space="preserve"> has </w:t>
      </w:r>
      <w:proofErr w:type="spellStart"/>
      <w:r w:rsidRPr="00A90795">
        <w:rPr>
          <w:color w:val="000000" w:themeColor="text1"/>
        </w:rPr>
        <w:t>been</w:t>
      </w:r>
      <w:proofErr w:type="spellEnd"/>
      <w:r w:rsidRPr="00A90795">
        <w:rPr>
          <w:color w:val="000000" w:themeColor="text1"/>
        </w:rPr>
        <w:t xml:space="preserve"> </w:t>
      </w:r>
      <w:proofErr w:type="spellStart"/>
      <w:r w:rsidRPr="00A90795">
        <w:rPr>
          <w:color w:val="000000" w:themeColor="text1"/>
        </w:rPr>
        <w:t>kept</w:t>
      </w:r>
      <w:proofErr w:type="spellEnd"/>
      <w:r w:rsidRPr="00A90795">
        <w:rPr>
          <w:color w:val="000000" w:themeColor="text1"/>
        </w:rPr>
        <w:t xml:space="preserve"> at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forefront</w:t>
      </w:r>
      <w:proofErr w:type="spellEnd"/>
      <w:r w:rsidRPr="00A90795">
        <w:rPr>
          <w:color w:val="000000" w:themeColor="text1"/>
        </w:rPr>
        <w:t xml:space="preserve">. </w:t>
      </w:r>
      <w:proofErr w:type="spellStart"/>
      <w:r w:rsidRPr="00A90795">
        <w:rPr>
          <w:color w:val="000000" w:themeColor="text1"/>
        </w:rPr>
        <w:t>Within</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conceptual</w:t>
      </w:r>
      <w:proofErr w:type="spellEnd"/>
      <w:r w:rsidRPr="00A90795">
        <w:rPr>
          <w:color w:val="000000" w:themeColor="text1"/>
        </w:rPr>
        <w:t xml:space="preserve"> background </w:t>
      </w:r>
      <w:proofErr w:type="spellStart"/>
      <w:r w:rsidRPr="00A90795">
        <w:rPr>
          <w:color w:val="000000" w:themeColor="text1"/>
        </w:rPr>
        <w:t>related</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why</w:t>
      </w:r>
      <w:proofErr w:type="spellEnd"/>
      <w:r w:rsidRPr="00A90795">
        <w:rPr>
          <w:color w:val="000000" w:themeColor="text1"/>
        </w:rPr>
        <w:t xml:space="preserve"> </w:t>
      </w:r>
      <w:proofErr w:type="spellStart"/>
      <w:r w:rsidRPr="00A90795">
        <w:rPr>
          <w:color w:val="000000" w:themeColor="text1"/>
        </w:rPr>
        <w:t>organizations</w:t>
      </w:r>
      <w:proofErr w:type="spellEnd"/>
      <w:r w:rsidRPr="00A90795">
        <w:rPr>
          <w:color w:val="000000" w:themeColor="text1"/>
        </w:rPr>
        <w:t xml:space="preserve"> </w:t>
      </w:r>
      <w:proofErr w:type="spellStart"/>
      <w:r w:rsidRPr="00A90795">
        <w:rPr>
          <w:color w:val="000000" w:themeColor="text1"/>
        </w:rPr>
        <w:t>need</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classification</w:t>
      </w:r>
      <w:proofErr w:type="spellEnd"/>
      <w:r w:rsidRPr="00A90795">
        <w:rPr>
          <w:color w:val="000000" w:themeColor="text1"/>
        </w:rPr>
        <w:t xml:space="preserve"> of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tourism</w:t>
      </w:r>
      <w:proofErr w:type="spellEnd"/>
      <w:r w:rsidRPr="00A90795">
        <w:rPr>
          <w:color w:val="000000" w:themeColor="text1"/>
        </w:rPr>
        <w:t xml:space="preserve"> </w:t>
      </w:r>
      <w:proofErr w:type="spellStart"/>
      <w:r w:rsidRPr="00A90795">
        <w:rPr>
          <w:color w:val="000000" w:themeColor="text1"/>
        </w:rPr>
        <w:t>sector</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role of </w:t>
      </w:r>
      <w:proofErr w:type="spellStart"/>
      <w:r w:rsidRPr="00A90795">
        <w:rPr>
          <w:color w:val="000000" w:themeColor="text1"/>
        </w:rPr>
        <w:t>country</w:t>
      </w:r>
      <w:proofErr w:type="spellEnd"/>
      <w:r w:rsidRPr="00A90795">
        <w:rPr>
          <w:color w:val="000000" w:themeColor="text1"/>
        </w:rPr>
        <w:t xml:space="preserve"> </w:t>
      </w:r>
      <w:proofErr w:type="spellStart"/>
      <w:r w:rsidRPr="00A90795">
        <w:rPr>
          <w:color w:val="000000" w:themeColor="text1"/>
        </w:rPr>
        <w:t>culture</w:t>
      </w:r>
      <w:proofErr w:type="spellEnd"/>
      <w:r w:rsidRPr="00A90795">
        <w:rPr>
          <w:color w:val="000000" w:themeColor="text1"/>
        </w:rPr>
        <w:t xml:space="preserve"> in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management</w:t>
      </w:r>
      <w:proofErr w:type="spellEnd"/>
      <w:r w:rsidRPr="00A90795">
        <w:rPr>
          <w:color w:val="000000" w:themeColor="text1"/>
        </w:rPr>
        <w:t xml:space="preserve"> </w:t>
      </w:r>
      <w:proofErr w:type="spellStart"/>
      <w:r w:rsidRPr="00A90795">
        <w:rPr>
          <w:color w:val="000000" w:themeColor="text1"/>
        </w:rPr>
        <w:t>practices</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for</w:t>
      </w:r>
      <w:proofErr w:type="spellEnd"/>
      <w:r w:rsidRPr="00A90795">
        <w:rPr>
          <w:color w:val="000000" w:themeColor="text1"/>
        </w:rPr>
        <w:t xml:space="preserve"> </w:t>
      </w:r>
      <w:proofErr w:type="spellStart"/>
      <w:r w:rsidRPr="00A90795">
        <w:rPr>
          <w:color w:val="000000" w:themeColor="text1"/>
        </w:rPr>
        <w:t>employees</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change</w:t>
      </w:r>
      <w:proofErr w:type="spellEnd"/>
      <w:r w:rsidRPr="00A90795">
        <w:rPr>
          <w:color w:val="000000" w:themeColor="text1"/>
        </w:rPr>
        <w:t xml:space="preserve"> </w:t>
      </w:r>
      <w:proofErr w:type="spellStart"/>
      <w:r w:rsidRPr="00A90795">
        <w:rPr>
          <w:color w:val="000000" w:themeColor="text1"/>
        </w:rPr>
        <w:t>within</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framework</w:t>
      </w:r>
      <w:proofErr w:type="spellEnd"/>
      <w:r w:rsidRPr="00A90795">
        <w:rPr>
          <w:color w:val="000000" w:themeColor="text1"/>
        </w:rPr>
        <w:t xml:space="preserve"> of </w:t>
      </w:r>
      <w:proofErr w:type="spellStart"/>
      <w:r w:rsidRPr="00A90795">
        <w:rPr>
          <w:color w:val="000000" w:themeColor="text1"/>
        </w:rPr>
        <w:t>Hofstede</w:t>
      </w:r>
      <w:proofErr w:type="spellEnd"/>
      <w:r w:rsidRPr="00A90795">
        <w:rPr>
          <w:color w:val="000000" w:themeColor="text1"/>
        </w:rPr>
        <w:t xml:space="preserve"> 6-D </w:t>
      </w:r>
      <w:proofErr w:type="spellStart"/>
      <w:r w:rsidRPr="00A90795">
        <w:rPr>
          <w:color w:val="000000" w:themeColor="text1"/>
        </w:rPr>
        <w:t>culture</w:t>
      </w:r>
      <w:proofErr w:type="spellEnd"/>
      <w:r w:rsidRPr="00A90795">
        <w:rPr>
          <w:color w:val="000000" w:themeColor="text1"/>
        </w:rPr>
        <w:t xml:space="preserve"> </w:t>
      </w:r>
      <w:proofErr w:type="spellStart"/>
      <w:r w:rsidRPr="00A90795">
        <w:rPr>
          <w:color w:val="000000" w:themeColor="text1"/>
        </w:rPr>
        <w:t>dimensions</w:t>
      </w:r>
      <w:proofErr w:type="spellEnd"/>
      <w:r w:rsidRPr="00A90795">
        <w:rPr>
          <w:color w:val="000000" w:themeColor="text1"/>
        </w:rPr>
        <w:t xml:space="preserve"> </w:t>
      </w:r>
      <w:proofErr w:type="spellStart"/>
      <w:r w:rsidRPr="00A90795">
        <w:rPr>
          <w:color w:val="000000" w:themeColor="text1"/>
        </w:rPr>
        <w:t>are</w:t>
      </w:r>
      <w:proofErr w:type="spellEnd"/>
      <w:r w:rsidRPr="00A90795">
        <w:rPr>
          <w:color w:val="000000" w:themeColor="text1"/>
        </w:rPr>
        <w:t xml:space="preserve"> </w:t>
      </w:r>
      <w:proofErr w:type="spellStart"/>
      <w:r w:rsidRPr="00A90795">
        <w:rPr>
          <w:color w:val="000000" w:themeColor="text1"/>
        </w:rPr>
        <w:t>included</w:t>
      </w:r>
      <w:proofErr w:type="spellEnd"/>
      <w:r w:rsidRPr="00A90795">
        <w:rPr>
          <w:color w:val="000000" w:themeColor="text1"/>
        </w:rPr>
        <w:t xml:space="preserve"> </w:t>
      </w:r>
      <w:proofErr w:type="spellStart"/>
      <w:r w:rsidRPr="00A90795">
        <w:rPr>
          <w:color w:val="000000" w:themeColor="text1"/>
        </w:rPr>
        <w:t>comparatively</w:t>
      </w:r>
      <w:proofErr w:type="spellEnd"/>
      <w:r w:rsidRPr="00A90795">
        <w:rPr>
          <w:color w:val="000000" w:themeColor="text1"/>
        </w:rPr>
        <w:t xml:space="preserve">. </w:t>
      </w:r>
      <w:proofErr w:type="spellStart"/>
      <w:r w:rsidRPr="00A90795">
        <w:rPr>
          <w:color w:val="000000" w:themeColor="text1"/>
        </w:rPr>
        <w:t>According</w:t>
      </w:r>
      <w:proofErr w:type="spellEnd"/>
      <w:r w:rsidRPr="00A90795">
        <w:rPr>
          <w:color w:val="000000" w:themeColor="text1"/>
        </w:rPr>
        <w:t xml:space="preserve"> </w:t>
      </w:r>
      <w:proofErr w:type="spellStart"/>
      <w:r w:rsidRPr="00A90795">
        <w:rPr>
          <w:color w:val="000000" w:themeColor="text1"/>
        </w:rPr>
        <w:t>to</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encounter</w:t>
      </w:r>
      <w:proofErr w:type="spellEnd"/>
      <w:r w:rsidRPr="00A90795">
        <w:rPr>
          <w:color w:val="000000" w:themeColor="text1"/>
        </w:rPr>
        <w:t xml:space="preserve"> </w:t>
      </w:r>
      <w:proofErr w:type="spellStart"/>
      <w:r w:rsidRPr="00A90795">
        <w:rPr>
          <w:color w:val="000000" w:themeColor="text1"/>
        </w:rPr>
        <w:t>made</w:t>
      </w:r>
      <w:proofErr w:type="spellEnd"/>
      <w:r w:rsidRPr="00A90795">
        <w:rPr>
          <w:color w:val="000000" w:themeColor="text1"/>
        </w:rPr>
        <w:t xml:space="preserve"> in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study</w:t>
      </w:r>
      <w:proofErr w:type="spellEnd"/>
      <w:r w:rsidRPr="00A90795">
        <w:rPr>
          <w:color w:val="000000" w:themeColor="text1"/>
        </w:rPr>
        <w:t xml:space="preserve">; </w:t>
      </w:r>
      <w:proofErr w:type="spellStart"/>
      <w:r w:rsidRPr="00A90795">
        <w:rPr>
          <w:color w:val="000000" w:themeColor="text1"/>
        </w:rPr>
        <w:t>the</w:t>
      </w:r>
      <w:proofErr w:type="spellEnd"/>
      <w:r w:rsidRPr="00A90795">
        <w:rPr>
          <w:color w:val="000000" w:themeColor="text1"/>
        </w:rPr>
        <w:t xml:space="preserve"> </w:t>
      </w:r>
      <w:proofErr w:type="spellStart"/>
      <w:r w:rsidRPr="00A90795">
        <w:rPr>
          <w:color w:val="000000" w:themeColor="text1"/>
        </w:rPr>
        <w:t>power</w:t>
      </w:r>
      <w:proofErr w:type="spellEnd"/>
      <w:r w:rsidRPr="00A90795">
        <w:rPr>
          <w:color w:val="000000" w:themeColor="text1"/>
        </w:rPr>
        <w:t xml:space="preserve"> </w:t>
      </w:r>
      <w:proofErr w:type="spellStart"/>
      <w:r w:rsidRPr="00A90795">
        <w:rPr>
          <w:color w:val="000000" w:themeColor="text1"/>
        </w:rPr>
        <w:t>distance</w:t>
      </w:r>
      <w:proofErr w:type="spellEnd"/>
      <w:r w:rsidRPr="00A90795">
        <w:rPr>
          <w:color w:val="000000" w:themeColor="text1"/>
        </w:rPr>
        <w:t xml:space="preserve"> </w:t>
      </w:r>
      <w:proofErr w:type="spellStart"/>
      <w:r w:rsidRPr="00A90795">
        <w:rPr>
          <w:color w:val="000000" w:themeColor="text1"/>
        </w:rPr>
        <w:t>index</w:t>
      </w:r>
      <w:proofErr w:type="spellEnd"/>
      <w:r w:rsidRPr="00A90795">
        <w:rPr>
          <w:color w:val="000000" w:themeColor="text1"/>
        </w:rPr>
        <w:t xml:space="preserve">, </w:t>
      </w:r>
      <w:proofErr w:type="spellStart"/>
      <w:r w:rsidRPr="00A90795">
        <w:rPr>
          <w:color w:val="000000" w:themeColor="text1"/>
        </w:rPr>
        <w:t>individuality</w:t>
      </w:r>
      <w:proofErr w:type="spellEnd"/>
      <w:r w:rsidRPr="00A90795">
        <w:rPr>
          <w:color w:val="000000" w:themeColor="text1"/>
        </w:rPr>
        <w:t>/</w:t>
      </w:r>
      <w:proofErr w:type="spellStart"/>
      <w:r w:rsidRPr="00A90795">
        <w:rPr>
          <w:color w:val="000000" w:themeColor="text1"/>
        </w:rPr>
        <w:t>sociality</w:t>
      </w:r>
      <w:proofErr w:type="spellEnd"/>
      <w:r w:rsidRPr="00A90795">
        <w:rPr>
          <w:color w:val="000000" w:themeColor="text1"/>
        </w:rPr>
        <w:t xml:space="preserve"> </w:t>
      </w:r>
      <w:proofErr w:type="spellStart"/>
      <w:r w:rsidRPr="00A90795">
        <w:rPr>
          <w:color w:val="000000" w:themeColor="text1"/>
        </w:rPr>
        <w:t>index</w:t>
      </w:r>
      <w:proofErr w:type="spellEnd"/>
      <w:r w:rsidRPr="00A90795">
        <w:rPr>
          <w:color w:val="000000" w:themeColor="text1"/>
        </w:rPr>
        <w:t xml:space="preserve">, </w:t>
      </w:r>
      <w:proofErr w:type="spellStart"/>
      <w:r w:rsidRPr="00A90795">
        <w:rPr>
          <w:color w:val="000000" w:themeColor="text1"/>
        </w:rPr>
        <w:t>masculinity</w:t>
      </w:r>
      <w:proofErr w:type="spellEnd"/>
      <w:r w:rsidRPr="00A90795">
        <w:rPr>
          <w:color w:val="000000" w:themeColor="text1"/>
        </w:rPr>
        <w:t xml:space="preserve"> </w:t>
      </w:r>
      <w:proofErr w:type="spellStart"/>
      <w:r w:rsidRPr="00A90795">
        <w:rPr>
          <w:color w:val="000000" w:themeColor="text1"/>
        </w:rPr>
        <w:t>index</w:t>
      </w:r>
      <w:proofErr w:type="spellEnd"/>
      <w:r w:rsidRPr="00A90795">
        <w:rPr>
          <w:color w:val="000000" w:themeColor="text1"/>
        </w:rPr>
        <w:t xml:space="preserve">, </w:t>
      </w:r>
      <w:proofErr w:type="spellStart"/>
      <w:r w:rsidRPr="00A90795">
        <w:rPr>
          <w:color w:val="000000" w:themeColor="text1"/>
        </w:rPr>
        <w:t>uncertainty</w:t>
      </w:r>
      <w:proofErr w:type="spellEnd"/>
      <w:r w:rsidRPr="00A90795">
        <w:rPr>
          <w:color w:val="000000" w:themeColor="text1"/>
        </w:rPr>
        <w:t xml:space="preserve"> </w:t>
      </w:r>
      <w:proofErr w:type="spellStart"/>
      <w:r w:rsidRPr="00A90795">
        <w:rPr>
          <w:color w:val="000000" w:themeColor="text1"/>
        </w:rPr>
        <w:t>ignoring</w:t>
      </w:r>
      <w:proofErr w:type="spellEnd"/>
      <w:r w:rsidRPr="00A90795">
        <w:rPr>
          <w:color w:val="000000" w:themeColor="text1"/>
        </w:rPr>
        <w:t xml:space="preserve"> </w:t>
      </w:r>
      <w:proofErr w:type="spellStart"/>
      <w:r w:rsidRPr="00A90795">
        <w:rPr>
          <w:color w:val="000000" w:themeColor="text1"/>
        </w:rPr>
        <w:t>index</w:t>
      </w:r>
      <w:proofErr w:type="spellEnd"/>
      <w:r w:rsidRPr="00A90795">
        <w:rPr>
          <w:color w:val="000000" w:themeColor="text1"/>
        </w:rPr>
        <w:t xml:space="preserve">, </w:t>
      </w:r>
      <w:proofErr w:type="spellStart"/>
      <w:r w:rsidRPr="00A90795">
        <w:rPr>
          <w:color w:val="000000" w:themeColor="text1"/>
        </w:rPr>
        <w:t>long-term</w:t>
      </w:r>
      <w:proofErr w:type="spellEnd"/>
      <w:r w:rsidRPr="00A90795">
        <w:rPr>
          <w:color w:val="000000" w:themeColor="text1"/>
        </w:rPr>
        <w:t xml:space="preserve"> </w:t>
      </w:r>
      <w:proofErr w:type="spellStart"/>
      <w:r w:rsidRPr="00A90795">
        <w:rPr>
          <w:color w:val="000000" w:themeColor="text1"/>
        </w:rPr>
        <w:t>adaptation</w:t>
      </w:r>
      <w:proofErr w:type="spellEnd"/>
      <w:r w:rsidRPr="00A90795">
        <w:rPr>
          <w:color w:val="000000" w:themeColor="text1"/>
        </w:rPr>
        <w:t xml:space="preserve"> </w:t>
      </w:r>
      <w:proofErr w:type="spellStart"/>
      <w:r w:rsidRPr="00A90795">
        <w:rPr>
          <w:color w:val="000000" w:themeColor="text1"/>
        </w:rPr>
        <w:t>index</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tolerance</w:t>
      </w:r>
      <w:proofErr w:type="spellEnd"/>
      <w:r w:rsidRPr="00A90795">
        <w:rPr>
          <w:color w:val="000000" w:themeColor="text1"/>
        </w:rPr>
        <w:t xml:space="preserve"> </w:t>
      </w:r>
      <w:proofErr w:type="spellStart"/>
      <w:r w:rsidRPr="00A90795">
        <w:rPr>
          <w:color w:val="000000" w:themeColor="text1"/>
        </w:rPr>
        <w:t>indices</w:t>
      </w:r>
      <w:proofErr w:type="spellEnd"/>
      <w:r w:rsidRPr="00A90795">
        <w:rPr>
          <w:color w:val="000000" w:themeColor="text1"/>
        </w:rPr>
        <w:t xml:space="preserve"> </w:t>
      </w:r>
      <w:proofErr w:type="spellStart"/>
      <w:r w:rsidRPr="00A90795">
        <w:rPr>
          <w:color w:val="000000" w:themeColor="text1"/>
        </w:rPr>
        <w:t>were</w:t>
      </w:r>
      <w:proofErr w:type="spellEnd"/>
      <w:r w:rsidRPr="00A90795">
        <w:rPr>
          <w:color w:val="000000" w:themeColor="text1"/>
        </w:rPr>
        <w:t xml:space="preserve"> </w:t>
      </w:r>
      <w:proofErr w:type="spellStart"/>
      <w:r w:rsidRPr="00A90795">
        <w:rPr>
          <w:color w:val="000000" w:themeColor="text1"/>
        </w:rPr>
        <w:t>evaluated</w:t>
      </w:r>
      <w:proofErr w:type="spellEnd"/>
      <w:r w:rsidRPr="00A90795">
        <w:rPr>
          <w:color w:val="000000" w:themeColor="text1"/>
        </w:rPr>
        <w:t xml:space="preserve"> in </w:t>
      </w:r>
      <w:proofErr w:type="spellStart"/>
      <w:r w:rsidRPr="00A90795">
        <w:rPr>
          <w:color w:val="000000" w:themeColor="text1"/>
        </w:rPr>
        <w:t>terms</w:t>
      </w:r>
      <w:proofErr w:type="spellEnd"/>
      <w:r w:rsidRPr="00A90795">
        <w:rPr>
          <w:color w:val="000000" w:themeColor="text1"/>
        </w:rPr>
        <w:t xml:space="preserve"> of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caused</w:t>
      </w:r>
      <w:proofErr w:type="spellEnd"/>
      <w:r w:rsidRPr="00A90795">
        <w:rPr>
          <w:color w:val="000000" w:themeColor="text1"/>
        </w:rPr>
        <w:t xml:space="preserve"> </w:t>
      </w:r>
      <w:proofErr w:type="spellStart"/>
      <w:r w:rsidRPr="00A90795">
        <w:rPr>
          <w:color w:val="000000" w:themeColor="text1"/>
        </w:rPr>
        <w:t>by</w:t>
      </w:r>
      <w:proofErr w:type="spellEnd"/>
      <w:r w:rsidRPr="00A90795">
        <w:rPr>
          <w:color w:val="000000" w:themeColor="text1"/>
        </w:rPr>
        <w:t xml:space="preserve"> </w:t>
      </w:r>
      <w:proofErr w:type="spellStart"/>
      <w:r w:rsidRPr="00A90795">
        <w:rPr>
          <w:color w:val="000000" w:themeColor="text1"/>
        </w:rPr>
        <w:t>work-related</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caused</w:t>
      </w:r>
      <w:proofErr w:type="spellEnd"/>
      <w:r w:rsidRPr="00A90795">
        <w:rPr>
          <w:color w:val="000000" w:themeColor="text1"/>
        </w:rPr>
        <w:t xml:space="preserve"> </w:t>
      </w:r>
      <w:proofErr w:type="spellStart"/>
      <w:r w:rsidRPr="00A90795">
        <w:rPr>
          <w:color w:val="000000" w:themeColor="text1"/>
        </w:rPr>
        <w:t>by</w:t>
      </w:r>
      <w:proofErr w:type="spellEnd"/>
      <w:r w:rsidRPr="00A90795">
        <w:rPr>
          <w:color w:val="000000" w:themeColor="text1"/>
        </w:rPr>
        <w:t xml:space="preserve"> </w:t>
      </w:r>
      <w:proofErr w:type="spellStart"/>
      <w:r w:rsidRPr="00A90795">
        <w:rPr>
          <w:color w:val="000000" w:themeColor="text1"/>
        </w:rPr>
        <w:t>personal</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caused</w:t>
      </w:r>
      <w:proofErr w:type="spellEnd"/>
      <w:r w:rsidRPr="00A90795">
        <w:rPr>
          <w:color w:val="000000" w:themeColor="text1"/>
        </w:rPr>
        <w:t xml:space="preserve"> </w:t>
      </w:r>
      <w:proofErr w:type="spellStart"/>
      <w:r w:rsidRPr="00A90795">
        <w:rPr>
          <w:color w:val="000000" w:themeColor="text1"/>
        </w:rPr>
        <w:t>by</w:t>
      </w:r>
      <w:proofErr w:type="spellEnd"/>
      <w:r w:rsidRPr="00A90795">
        <w:rPr>
          <w:color w:val="000000" w:themeColor="text1"/>
        </w:rPr>
        <w:t xml:space="preserve"> </w:t>
      </w:r>
      <w:proofErr w:type="spellStart"/>
      <w:r w:rsidRPr="00A90795">
        <w:rPr>
          <w:color w:val="000000" w:themeColor="text1"/>
        </w:rPr>
        <w:t>social</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 xml:space="preserve"> </w:t>
      </w:r>
      <w:proofErr w:type="spellStart"/>
      <w:r w:rsidRPr="00A90795">
        <w:rPr>
          <w:color w:val="000000" w:themeColor="text1"/>
        </w:rPr>
        <w:t>and</w:t>
      </w:r>
      <w:proofErr w:type="spellEnd"/>
      <w:r w:rsidRPr="00A90795">
        <w:rPr>
          <w:color w:val="000000" w:themeColor="text1"/>
        </w:rPr>
        <w:t xml:space="preserve"> </w:t>
      </w:r>
      <w:proofErr w:type="spellStart"/>
      <w:r w:rsidRPr="00A90795">
        <w:rPr>
          <w:color w:val="000000" w:themeColor="text1"/>
        </w:rPr>
        <w:t>resistance</w:t>
      </w:r>
      <w:proofErr w:type="spellEnd"/>
      <w:r w:rsidRPr="00A90795">
        <w:rPr>
          <w:color w:val="000000" w:themeColor="text1"/>
        </w:rPr>
        <w:t xml:space="preserve"> </w:t>
      </w:r>
      <w:proofErr w:type="spellStart"/>
      <w:r w:rsidRPr="00A90795">
        <w:rPr>
          <w:color w:val="000000" w:themeColor="text1"/>
        </w:rPr>
        <w:t>elements</w:t>
      </w:r>
      <w:proofErr w:type="spellEnd"/>
      <w:r w:rsidRPr="00A90795">
        <w:rPr>
          <w:color w:val="000000" w:themeColor="text1"/>
        </w:rPr>
        <w:t xml:space="preserve"> </w:t>
      </w:r>
      <w:proofErr w:type="spellStart"/>
      <w:r w:rsidRPr="00A90795">
        <w:rPr>
          <w:color w:val="000000" w:themeColor="text1"/>
        </w:rPr>
        <w:t>that</w:t>
      </w:r>
      <w:proofErr w:type="spellEnd"/>
      <w:r w:rsidRPr="00A90795">
        <w:rPr>
          <w:color w:val="000000" w:themeColor="text1"/>
        </w:rPr>
        <w:t xml:space="preserve"> </w:t>
      </w:r>
      <w:proofErr w:type="spellStart"/>
      <w:r w:rsidRPr="00A90795">
        <w:rPr>
          <w:color w:val="000000" w:themeColor="text1"/>
        </w:rPr>
        <w:t>may</w:t>
      </w:r>
      <w:proofErr w:type="spellEnd"/>
      <w:r w:rsidRPr="00A90795">
        <w:rPr>
          <w:color w:val="000000" w:themeColor="text1"/>
        </w:rPr>
        <w:t xml:space="preserve"> </w:t>
      </w:r>
      <w:proofErr w:type="spellStart"/>
      <w:r w:rsidRPr="00A90795">
        <w:rPr>
          <w:color w:val="000000" w:themeColor="text1"/>
        </w:rPr>
        <w:t>occur</w:t>
      </w:r>
      <w:proofErr w:type="spellEnd"/>
      <w:r w:rsidRPr="00A90795">
        <w:rPr>
          <w:color w:val="000000" w:themeColor="text1"/>
        </w:rPr>
        <w:t xml:space="preserve"> </w:t>
      </w:r>
      <w:proofErr w:type="spellStart"/>
      <w:r w:rsidRPr="00A90795">
        <w:rPr>
          <w:color w:val="000000" w:themeColor="text1"/>
        </w:rPr>
        <w:t>for</w:t>
      </w:r>
      <w:proofErr w:type="spellEnd"/>
      <w:r w:rsidRPr="00A90795">
        <w:rPr>
          <w:color w:val="000000" w:themeColor="text1"/>
        </w:rPr>
        <w:t xml:space="preserve"> </w:t>
      </w:r>
      <w:proofErr w:type="spellStart"/>
      <w:r w:rsidRPr="00A90795">
        <w:rPr>
          <w:color w:val="000000" w:themeColor="text1"/>
        </w:rPr>
        <w:t>organizational</w:t>
      </w:r>
      <w:proofErr w:type="spellEnd"/>
      <w:r w:rsidRPr="00A90795">
        <w:rPr>
          <w:color w:val="000000" w:themeColor="text1"/>
        </w:rPr>
        <w:t xml:space="preserve"> </w:t>
      </w:r>
      <w:proofErr w:type="spellStart"/>
      <w:r w:rsidRPr="00A90795">
        <w:rPr>
          <w:color w:val="000000" w:themeColor="text1"/>
        </w:rPr>
        <w:t>reasons</w:t>
      </w:r>
      <w:proofErr w:type="spellEnd"/>
      <w:r w:rsidRPr="00A90795">
        <w:rPr>
          <w:color w:val="000000" w:themeColor="text1"/>
        </w:rPr>
        <w:t>.</w:t>
      </w:r>
    </w:p>
    <w:p w14:paraId="69321F59" w14:textId="77777777" w:rsidR="00626F42" w:rsidRPr="00AE41BF" w:rsidRDefault="00626F42" w:rsidP="00626F42">
      <w:pPr>
        <w:ind w:left="227" w:right="113"/>
        <w:jc w:val="both"/>
        <w:rPr>
          <w:color w:val="000000" w:themeColor="text1"/>
        </w:rPr>
      </w:pPr>
      <w:proofErr w:type="spellStart"/>
      <w:r w:rsidRPr="00AE41BF">
        <w:rPr>
          <w:b/>
          <w:bCs/>
          <w:color w:val="000000" w:themeColor="text1"/>
        </w:rPr>
        <w:t>Keywords</w:t>
      </w:r>
      <w:proofErr w:type="spellEnd"/>
      <w:r w:rsidRPr="00AE41BF">
        <w:rPr>
          <w:b/>
          <w:bCs/>
          <w:color w:val="000000" w:themeColor="text1"/>
        </w:rPr>
        <w:t>:</w:t>
      </w:r>
      <w:r w:rsidRPr="00AE41BF">
        <w:rPr>
          <w:color w:val="000000" w:themeColor="text1"/>
        </w:rPr>
        <w:t xml:space="preserve"> </w:t>
      </w:r>
      <w:proofErr w:type="spellStart"/>
      <w:r w:rsidRPr="00AE41BF">
        <w:rPr>
          <w:color w:val="000000" w:themeColor="text1"/>
        </w:rPr>
        <w:t>Change</w:t>
      </w:r>
      <w:proofErr w:type="spellEnd"/>
      <w:r w:rsidRPr="00AE41BF">
        <w:rPr>
          <w:color w:val="000000" w:themeColor="text1"/>
        </w:rPr>
        <w:t xml:space="preserve"> Management, </w:t>
      </w:r>
      <w:proofErr w:type="spellStart"/>
      <w:r w:rsidRPr="00AE41BF">
        <w:rPr>
          <w:color w:val="000000" w:themeColor="text1"/>
        </w:rPr>
        <w:t>Tourism</w:t>
      </w:r>
      <w:proofErr w:type="spellEnd"/>
      <w:r w:rsidRPr="00AE41BF">
        <w:rPr>
          <w:color w:val="000000" w:themeColor="text1"/>
        </w:rPr>
        <w:t xml:space="preserve"> Management, </w:t>
      </w:r>
      <w:proofErr w:type="spellStart"/>
      <w:r w:rsidRPr="00AE41BF">
        <w:rPr>
          <w:color w:val="000000" w:themeColor="text1"/>
        </w:rPr>
        <w:t>National</w:t>
      </w:r>
      <w:proofErr w:type="spellEnd"/>
      <w:r w:rsidRPr="00AE41BF">
        <w:rPr>
          <w:color w:val="000000" w:themeColor="text1"/>
        </w:rPr>
        <w:t xml:space="preserve"> </w:t>
      </w:r>
      <w:proofErr w:type="spellStart"/>
      <w:r w:rsidRPr="00AE41BF">
        <w:rPr>
          <w:color w:val="000000" w:themeColor="text1"/>
        </w:rPr>
        <w:t>Culture</w:t>
      </w:r>
      <w:proofErr w:type="spellEnd"/>
      <w:r w:rsidRPr="00AE41BF">
        <w:rPr>
          <w:color w:val="000000" w:themeColor="text1"/>
        </w:rPr>
        <w:t xml:space="preserve">, </w:t>
      </w:r>
      <w:proofErr w:type="spellStart"/>
      <w:r w:rsidRPr="00AE41BF">
        <w:rPr>
          <w:color w:val="000000" w:themeColor="text1"/>
        </w:rPr>
        <w:t>Cultural</w:t>
      </w:r>
      <w:proofErr w:type="spellEnd"/>
      <w:r w:rsidRPr="00AE41BF">
        <w:rPr>
          <w:color w:val="000000" w:themeColor="text1"/>
        </w:rPr>
        <w:t xml:space="preserve"> </w:t>
      </w:r>
      <w:proofErr w:type="spellStart"/>
      <w:r w:rsidRPr="00AE41BF">
        <w:rPr>
          <w:color w:val="000000" w:themeColor="text1"/>
        </w:rPr>
        <w:t>Dimensions</w:t>
      </w:r>
      <w:proofErr w:type="spellEnd"/>
    </w:p>
    <w:p w14:paraId="42E979D7" w14:textId="77777777" w:rsidR="00626F42" w:rsidRPr="00AE41BF" w:rsidRDefault="00626F42" w:rsidP="00626F42">
      <w:pPr>
        <w:ind w:right="57"/>
        <w:jc w:val="both"/>
        <w:rPr>
          <w:color w:val="000000" w:themeColor="text1"/>
        </w:rPr>
      </w:pPr>
    </w:p>
    <w:p w14:paraId="11F40526" w14:textId="77777777" w:rsidR="00626F42" w:rsidRPr="00AE41BF" w:rsidRDefault="00626F42" w:rsidP="00626F42">
      <w:pPr>
        <w:ind w:left="227" w:right="113"/>
        <w:jc w:val="both"/>
        <w:rPr>
          <w:b/>
          <w:bCs/>
          <w:color w:val="000000" w:themeColor="text1"/>
        </w:rPr>
      </w:pPr>
      <w:r w:rsidRPr="00AE41BF">
        <w:rPr>
          <w:b/>
          <w:bCs/>
          <w:color w:val="000000" w:themeColor="text1"/>
        </w:rPr>
        <w:t xml:space="preserve">Giriş </w:t>
      </w:r>
    </w:p>
    <w:p w14:paraId="597646B0" w14:textId="77777777" w:rsidR="00626F42" w:rsidRDefault="00626F42" w:rsidP="00626F42">
      <w:pPr>
        <w:ind w:left="227" w:right="57"/>
        <w:jc w:val="both"/>
        <w:rPr>
          <w:color w:val="000000" w:themeColor="text1"/>
        </w:rPr>
      </w:pPr>
      <w:r w:rsidRPr="00AE41BF">
        <w:rPr>
          <w:color w:val="000000" w:themeColor="text1"/>
        </w:rPr>
        <w:t xml:space="preserve">Değişim yönetimi, her sektörde ileri seviyede dikkatle uygulanması gereken, doğru stratejiler ve doğru zamanlama yapıldığında rekabet şartlarını olumlu düzeyde değiştirebilecek bir yönetim şeklidir. Değişimle birlikte gelen avantajlar </w:t>
      </w:r>
      <w:r>
        <w:rPr>
          <w:color w:val="000000" w:themeColor="text1"/>
        </w:rPr>
        <w:t xml:space="preserve">incelendiğinde </w:t>
      </w:r>
      <w:r w:rsidRPr="00AE41BF">
        <w:rPr>
          <w:color w:val="000000" w:themeColor="text1"/>
        </w:rPr>
        <w:t>örgütün sadece rekabette değil, aynı zamanda birçok açıdan yenilenmesi anlamına gelmektedir. Olumlu değişim gösteren örgütler sektörde daha sıkı tutunarak ömrünü uzatmaktadırlar. Günümüzde hız ve</w:t>
      </w:r>
      <w:r>
        <w:rPr>
          <w:color w:val="000000" w:themeColor="text1"/>
        </w:rPr>
        <w:t xml:space="preserve"> çağın getirdiği</w:t>
      </w:r>
      <w:r w:rsidRPr="00AE41BF">
        <w:rPr>
          <w:color w:val="000000" w:themeColor="text1"/>
        </w:rPr>
        <w:t xml:space="preserve"> yeniliklerin önemi yadırganamayacak derecede fazladır. Çağın getirdiği teknolojik ve bilimsel araştırmaların ve iyileştirmelerin olmasından kaynaklanan durumlardan dolayı yeniliklere ayak uydurmak her örgüt için de zorunlu hale gelmiş ve bu zorunluluk örgütlerde iyi yönlü değişimi ortaya koymuştur. Örgütler kendi rekabet ortamlarından ayrılıp fark yaratmak, dikkat çekmek, müşteri memnuniyeti sağlamak</w:t>
      </w:r>
      <w:r>
        <w:rPr>
          <w:color w:val="000000" w:themeColor="text1"/>
        </w:rPr>
        <w:t xml:space="preserve"> ve var olan memnuniyeti arttırmak</w:t>
      </w:r>
      <w:r w:rsidRPr="00AE41BF">
        <w:rPr>
          <w:color w:val="000000" w:themeColor="text1"/>
        </w:rPr>
        <w:t xml:space="preserve">, daha verimli bir çalışma </w:t>
      </w:r>
      <w:r>
        <w:rPr>
          <w:color w:val="000000" w:themeColor="text1"/>
        </w:rPr>
        <w:t xml:space="preserve">düzeni </w:t>
      </w:r>
      <w:r w:rsidRPr="00AE41BF">
        <w:rPr>
          <w:color w:val="000000" w:themeColor="text1"/>
        </w:rPr>
        <w:t xml:space="preserve">sunabilmek adına değişime adım atmaktadırlar. Değişim yönetimiyle birlikte gelen avantajların yanında dezavantajların da olması kaçınılmazdır. Örgüt çalışanlarının değişime </w:t>
      </w:r>
      <w:r>
        <w:rPr>
          <w:color w:val="000000" w:themeColor="text1"/>
        </w:rPr>
        <w:t xml:space="preserve">karşı </w:t>
      </w:r>
      <w:r w:rsidRPr="00AE41BF">
        <w:rPr>
          <w:color w:val="000000" w:themeColor="text1"/>
        </w:rPr>
        <w:t>direnç göstermesi, oluşan yeni düzenden memnun kalmaması olası</w:t>
      </w:r>
      <w:r>
        <w:rPr>
          <w:color w:val="000000" w:themeColor="text1"/>
        </w:rPr>
        <w:t xml:space="preserve"> bir durum olarak karşımıza çıkmaktadır. </w:t>
      </w:r>
      <w:r w:rsidRPr="00AE41BF">
        <w:rPr>
          <w:color w:val="000000" w:themeColor="text1"/>
        </w:rPr>
        <w:t>Bu sebeple değişim yönetimin</w:t>
      </w:r>
      <w:r>
        <w:rPr>
          <w:color w:val="000000" w:themeColor="text1"/>
        </w:rPr>
        <w:t>in</w:t>
      </w:r>
      <w:r w:rsidRPr="00AE41BF">
        <w:rPr>
          <w:color w:val="000000" w:themeColor="text1"/>
        </w:rPr>
        <w:t xml:space="preserve"> </w:t>
      </w:r>
      <w:r>
        <w:rPr>
          <w:color w:val="000000" w:themeColor="text1"/>
        </w:rPr>
        <w:t>hayata geçirilmesi</w:t>
      </w:r>
      <w:r w:rsidRPr="00AE41BF">
        <w:rPr>
          <w:color w:val="000000" w:themeColor="text1"/>
        </w:rPr>
        <w:t xml:space="preserve"> aşamasında insan odaklı değişime gidilmesi daha sağlıklı sonuçları ortaya çıkaracaktır. Özellikle insan unsurunun önemi emek </w:t>
      </w:r>
      <w:r>
        <w:rPr>
          <w:color w:val="000000" w:themeColor="text1"/>
        </w:rPr>
        <w:t xml:space="preserve">unsurunun </w:t>
      </w:r>
      <w:r w:rsidRPr="00AE41BF">
        <w:rPr>
          <w:color w:val="000000" w:themeColor="text1"/>
        </w:rPr>
        <w:t>yoğun</w:t>
      </w:r>
      <w:r>
        <w:rPr>
          <w:color w:val="000000" w:themeColor="text1"/>
        </w:rPr>
        <w:t xml:space="preserve"> olduğu</w:t>
      </w:r>
      <w:r w:rsidRPr="00AE41BF">
        <w:rPr>
          <w:color w:val="000000" w:themeColor="text1"/>
        </w:rPr>
        <w:t xml:space="preserve"> turizm işletmelerinde kendini daha net bir şekilde belli etmektedir. Daha önce ulusal kültürler arasındaki farklılıkları çok uluslu şirketler ve örgütlerde geniş çaplı araştırmalar yaparak ortaya koyan çalışmalar olmasına rağmen (</w:t>
      </w:r>
      <w:proofErr w:type="spellStart"/>
      <w:r w:rsidRPr="00AE41BF">
        <w:rPr>
          <w:color w:val="000000" w:themeColor="text1"/>
        </w:rPr>
        <w:t>Cattell</w:t>
      </w:r>
      <w:proofErr w:type="spellEnd"/>
      <w:r w:rsidRPr="00AE41BF">
        <w:rPr>
          <w:color w:val="000000" w:themeColor="text1"/>
        </w:rPr>
        <w:t xml:space="preserve">, 1950; </w:t>
      </w:r>
      <w:proofErr w:type="spellStart"/>
      <w:r w:rsidRPr="00AE41BF">
        <w:rPr>
          <w:color w:val="000000" w:themeColor="text1"/>
        </w:rPr>
        <w:t>Furnham</w:t>
      </w:r>
      <w:proofErr w:type="spellEnd"/>
      <w:r w:rsidRPr="00AE41BF">
        <w:rPr>
          <w:color w:val="000000" w:themeColor="text1"/>
        </w:rPr>
        <w:t xml:space="preserve"> </w:t>
      </w:r>
      <w:r>
        <w:rPr>
          <w:color w:val="000000" w:themeColor="text1"/>
        </w:rPr>
        <w:t>vd.</w:t>
      </w:r>
      <w:r w:rsidRPr="00AE41BF">
        <w:rPr>
          <w:color w:val="000000" w:themeColor="text1"/>
        </w:rPr>
        <w:t xml:space="preserve">, 1994; </w:t>
      </w:r>
      <w:proofErr w:type="spellStart"/>
      <w:r w:rsidRPr="00AE41BF">
        <w:rPr>
          <w:color w:val="000000" w:themeColor="text1"/>
        </w:rPr>
        <w:t>Gupta</w:t>
      </w:r>
      <w:proofErr w:type="spellEnd"/>
      <w:r w:rsidRPr="00AE41BF">
        <w:rPr>
          <w:color w:val="000000" w:themeColor="text1"/>
        </w:rPr>
        <w:t xml:space="preserve"> </w:t>
      </w:r>
      <w:r>
        <w:rPr>
          <w:color w:val="000000" w:themeColor="text1"/>
        </w:rPr>
        <w:t>vd.</w:t>
      </w:r>
      <w:r w:rsidRPr="00AE41BF">
        <w:rPr>
          <w:color w:val="000000" w:themeColor="text1"/>
        </w:rPr>
        <w:t xml:space="preserve">, 2002 </w:t>
      </w:r>
      <w:proofErr w:type="spellStart"/>
      <w:r w:rsidRPr="00AE41BF">
        <w:rPr>
          <w:color w:val="000000" w:themeColor="text1"/>
        </w:rPr>
        <w:t>Hall</w:t>
      </w:r>
      <w:proofErr w:type="spellEnd"/>
      <w:r w:rsidRPr="00AE41BF">
        <w:rPr>
          <w:color w:val="000000" w:themeColor="text1"/>
        </w:rPr>
        <w:t xml:space="preserve"> ve </w:t>
      </w:r>
      <w:proofErr w:type="spellStart"/>
      <w:r w:rsidRPr="00AE41BF">
        <w:rPr>
          <w:color w:val="000000" w:themeColor="text1"/>
        </w:rPr>
        <w:t>Hall</w:t>
      </w:r>
      <w:proofErr w:type="spellEnd"/>
      <w:r w:rsidRPr="00AE41BF">
        <w:rPr>
          <w:color w:val="000000" w:themeColor="text1"/>
        </w:rPr>
        <w:t xml:space="preserve">, 1990; </w:t>
      </w:r>
      <w:proofErr w:type="spellStart"/>
      <w:r w:rsidRPr="00AE41BF">
        <w:rPr>
          <w:color w:val="000000" w:themeColor="text1"/>
        </w:rPr>
        <w:t>Hofstede</w:t>
      </w:r>
      <w:proofErr w:type="spellEnd"/>
      <w:r w:rsidRPr="00AE41BF">
        <w:rPr>
          <w:color w:val="000000" w:themeColor="text1"/>
        </w:rPr>
        <w:t xml:space="preserve">, 1980; </w:t>
      </w:r>
      <w:proofErr w:type="spellStart"/>
      <w:r w:rsidRPr="00AE41BF">
        <w:rPr>
          <w:color w:val="000000" w:themeColor="text1"/>
        </w:rPr>
        <w:t>Hofstede</w:t>
      </w:r>
      <w:proofErr w:type="spellEnd"/>
      <w:r w:rsidRPr="00AE41BF">
        <w:rPr>
          <w:color w:val="000000" w:themeColor="text1"/>
        </w:rPr>
        <w:t>, 2001</w:t>
      </w:r>
      <w:r>
        <w:rPr>
          <w:color w:val="000000" w:themeColor="text1"/>
        </w:rPr>
        <w:t>;</w:t>
      </w:r>
      <w:r w:rsidRPr="00AE41BF">
        <w:rPr>
          <w:color w:val="000000" w:themeColor="text1"/>
        </w:rPr>
        <w:t xml:space="preserve"> House v</w:t>
      </w:r>
      <w:r>
        <w:rPr>
          <w:color w:val="000000" w:themeColor="text1"/>
        </w:rPr>
        <w:t>d.</w:t>
      </w:r>
      <w:r w:rsidRPr="00AE41BF">
        <w:rPr>
          <w:color w:val="000000" w:themeColor="text1"/>
        </w:rPr>
        <w:t>, 2004</w:t>
      </w:r>
      <w:r>
        <w:rPr>
          <w:color w:val="000000" w:themeColor="text1"/>
        </w:rPr>
        <w:t xml:space="preserve">) </w:t>
      </w:r>
      <w:proofErr w:type="spellStart"/>
      <w:r w:rsidRPr="00786627">
        <w:rPr>
          <w:color w:val="000000" w:themeColor="text1"/>
        </w:rPr>
        <w:t>Hofstede’nin</w:t>
      </w:r>
      <w:proofErr w:type="spellEnd"/>
      <w:r w:rsidRPr="00786627">
        <w:rPr>
          <w:color w:val="000000" w:themeColor="text1"/>
        </w:rPr>
        <w:t xml:space="preserve"> 6D Kültür Boyutları Modeli ile değişime karşı oluşan direncin karşılaştırılmasını turizm sektöründe araştıran çalışmaların sınırlı olması bu çalışmanın gelecek araştırmalara kaynak</w:t>
      </w:r>
      <w:r>
        <w:rPr>
          <w:color w:val="000000" w:themeColor="text1"/>
        </w:rPr>
        <w:t xml:space="preserve"> açısından destek</w:t>
      </w:r>
      <w:r w:rsidRPr="00786627">
        <w:rPr>
          <w:color w:val="000000" w:themeColor="text1"/>
        </w:rPr>
        <w:t xml:space="preserve"> olmasını ve </w:t>
      </w:r>
      <w:proofErr w:type="spellStart"/>
      <w:r w:rsidRPr="00786627">
        <w:rPr>
          <w:color w:val="000000" w:themeColor="text1"/>
        </w:rPr>
        <w:t>alanyazına</w:t>
      </w:r>
      <w:proofErr w:type="spellEnd"/>
      <w:r w:rsidRPr="00786627">
        <w:rPr>
          <w:color w:val="000000" w:themeColor="text1"/>
        </w:rPr>
        <w:t xml:space="preserve"> farklı bir bakış açısı kazandırılmasını </w:t>
      </w:r>
      <w:r>
        <w:rPr>
          <w:color w:val="000000" w:themeColor="text1"/>
        </w:rPr>
        <w:t>planlamaktadır.</w:t>
      </w:r>
    </w:p>
    <w:p w14:paraId="2982BD82" w14:textId="77777777" w:rsidR="00626F42" w:rsidRPr="00AE41BF" w:rsidRDefault="00626F42" w:rsidP="00626F42">
      <w:pPr>
        <w:ind w:left="227" w:right="57"/>
        <w:jc w:val="both"/>
        <w:rPr>
          <w:color w:val="000000" w:themeColor="text1"/>
        </w:rPr>
      </w:pPr>
    </w:p>
    <w:p w14:paraId="17ACE977" w14:textId="77777777" w:rsidR="00626F42" w:rsidRPr="00AE41BF" w:rsidRDefault="00626F42" w:rsidP="00626F42">
      <w:pPr>
        <w:ind w:left="227" w:right="57"/>
        <w:jc w:val="both"/>
        <w:rPr>
          <w:b/>
          <w:bCs/>
          <w:color w:val="000000" w:themeColor="text1"/>
        </w:rPr>
      </w:pPr>
      <w:r w:rsidRPr="00AE41BF">
        <w:rPr>
          <w:b/>
          <w:bCs/>
          <w:color w:val="000000" w:themeColor="text1"/>
        </w:rPr>
        <w:lastRenderedPageBreak/>
        <w:t xml:space="preserve">1. Değişim Kavramı ve Değişim Yönetimine İlişkin Kavramsal </w:t>
      </w:r>
      <w:proofErr w:type="spellStart"/>
      <w:r w:rsidRPr="00AE41BF">
        <w:rPr>
          <w:b/>
          <w:bCs/>
          <w:color w:val="000000" w:themeColor="text1"/>
        </w:rPr>
        <w:t>Arkaplan</w:t>
      </w:r>
      <w:proofErr w:type="spellEnd"/>
    </w:p>
    <w:p w14:paraId="5F852769" w14:textId="77777777" w:rsidR="00626F42" w:rsidRDefault="00626F42" w:rsidP="00626F42">
      <w:pPr>
        <w:ind w:left="227" w:right="57"/>
        <w:jc w:val="both"/>
        <w:rPr>
          <w:color w:val="000000" w:themeColor="text1"/>
        </w:rPr>
      </w:pPr>
      <w:r w:rsidRPr="00AE41BF">
        <w:rPr>
          <w:color w:val="000000" w:themeColor="text1"/>
        </w:rPr>
        <w:t xml:space="preserve">Bu çalışmanın temel konusu olan değişim kavramı ve değişim yönetiminin genel çerçevesinin kavramsal olarak ifade edilmesi çalışmanın temel teorik </w:t>
      </w:r>
      <w:proofErr w:type="spellStart"/>
      <w:r w:rsidRPr="00AE41BF">
        <w:rPr>
          <w:color w:val="000000" w:themeColor="text1"/>
        </w:rPr>
        <w:t>arkaplanı</w:t>
      </w:r>
      <w:r>
        <w:rPr>
          <w:color w:val="000000" w:themeColor="text1"/>
        </w:rPr>
        <w:t>n</w:t>
      </w:r>
      <w:proofErr w:type="spellEnd"/>
      <w:r>
        <w:rPr>
          <w:color w:val="000000" w:themeColor="text1"/>
        </w:rPr>
        <w:t xml:space="preserve"> </w:t>
      </w:r>
      <w:r w:rsidRPr="00AE41BF">
        <w:rPr>
          <w:color w:val="000000" w:themeColor="text1"/>
        </w:rPr>
        <w:t>oluşturulması açısından önem arz etmektedir. Bu bağlamda ilgili literatür incelemesi sonucunda değişim kavramının planlı ya da plansız bir şekilde belirli koşullar altında bir konumdan başka bir konuma geçme durumu olduğu ve bu değişimin gözle görülebilen fiziksel bir şekilde olabileceği gibi duygusal bir durumun değişmesi olarak da tanımlandığı ifade edilebilir (Özalp, 1975:8). Değişim</w:t>
      </w:r>
      <w:r>
        <w:rPr>
          <w:color w:val="000000" w:themeColor="text1"/>
        </w:rPr>
        <w:t xml:space="preserve"> aynı zamanda </w:t>
      </w:r>
      <w:r w:rsidRPr="00AE41BF">
        <w:rPr>
          <w:color w:val="000000" w:themeColor="text1"/>
        </w:rPr>
        <w:t>her toplumu, örgütü, yönetici ya da bireyi etkisi altına ala</w:t>
      </w:r>
      <w:r>
        <w:rPr>
          <w:color w:val="000000" w:themeColor="text1"/>
        </w:rPr>
        <w:t xml:space="preserve">rak, </w:t>
      </w:r>
      <w:r w:rsidRPr="00AE41BF">
        <w:rPr>
          <w:color w:val="000000" w:themeColor="text1"/>
        </w:rPr>
        <w:t xml:space="preserve">biçimsel, fonksiyonel, teknolojik, ekolojik, hukuksal, siyasal ya da kültürel değişim gibi unsurları içeren geniş kapsamlı bir olgu olarak tanımlanmaktadır. </w:t>
      </w:r>
      <w:r>
        <w:rPr>
          <w:color w:val="000000" w:themeColor="text1"/>
        </w:rPr>
        <w:t xml:space="preserve"> Farklı bir tanımlamaya göre ise </w:t>
      </w:r>
      <w:r w:rsidRPr="00DB586B">
        <w:rPr>
          <w:color w:val="000000" w:themeColor="text1"/>
        </w:rPr>
        <w:t>değişim</w:t>
      </w:r>
      <w:r>
        <w:rPr>
          <w:color w:val="000000" w:themeColor="text1"/>
        </w:rPr>
        <w:t xml:space="preserve">, bulunan durumdan başka bir duruma geçiş şeklinde tanımlanmaktadır (Antep ve Türk, 2024). </w:t>
      </w:r>
      <w:r w:rsidRPr="00AE41BF">
        <w:rPr>
          <w:color w:val="000000" w:themeColor="text1"/>
        </w:rPr>
        <w:t xml:space="preserve">Değişim </w:t>
      </w:r>
      <w:r>
        <w:rPr>
          <w:color w:val="000000" w:themeColor="text1"/>
        </w:rPr>
        <w:t>y</w:t>
      </w:r>
      <w:r w:rsidRPr="00AE41BF">
        <w:rPr>
          <w:color w:val="000000" w:themeColor="text1"/>
        </w:rPr>
        <w:t xml:space="preserve">önetimi </w:t>
      </w:r>
      <w:r>
        <w:rPr>
          <w:color w:val="000000" w:themeColor="text1"/>
        </w:rPr>
        <w:t>kavramı ise</w:t>
      </w:r>
      <w:r w:rsidRPr="00AE41BF">
        <w:rPr>
          <w:color w:val="000000" w:themeColor="text1"/>
        </w:rPr>
        <w:t xml:space="preserve"> doğru zamanda, doğru kaynaklarla organize olabilmek, koşulların gerektirdiği durumsal geçişleri </w:t>
      </w:r>
      <w:r>
        <w:rPr>
          <w:color w:val="000000" w:themeColor="text1"/>
        </w:rPr>
        <w:t xml:space="preserve">zamanında </w:t>
      </w:r>
      <w:r w:rsidRPr="00AE41BF">
        <w:rPr>
          <w:color w:val="000000" w:themeColor="text1"/>
        </w:rPr>
        <w:t xml:space="preserve">hissedip, çok hassas dengeler üzerinde yoğunlaşarak </w:t>
      </w:r>
      <w:r>
        <w:rPr>
          <w:color w:val="000000" w:themeColor="text1"/>
        </w:rPr>
        <w:t>örgütlerin</w:t>
      </w:r>
      <w:r w:rsidRPr="00AE41BF">
        <w:rPr>
          <w:color w:val="000000" w:themeColor="text1"/>
        </w:rPr>
        <w:t>, kültür ve toplum için doğru olan stratejileri uygulama</w:t>
      </w:r>
      <w:r>
        <w:rPr>
          <w:color w:val="000000" w:themeColor="text1"/>
        </w:rPr>
        <w:t>ları</w:t>
      </w:r>
      <w:r w:rsidRPr="00AE41BF">
        <w:rPr>
          <w:color w:val="000000" w:themeColor="text1"/>
        </w:rPr>
        <w:t xml:space="preserve"> olarak tanımlanmaktadır (Boztaş, 2007; Tokat, 2012).</w:t>
      </w:r>
      <w:r>
        <w:rPr>
          <w:color w:val="000000" w:themeColor="text1"/>
        </w:rPr>
        <w:t xml:space="preserve"> Farklı bir tanımlamaya göre değişim yönetimi kavramı örgütlerin artan rekabete karşı oluşan değişim ihtiyaçlarını ortaya koyabilmek için geliştirilen stratejik bir yaklaşım olarak tanımlanmaktadır (Bahar ve </w:t>
      </w:r>
      <w:proofErr w:type="spellStart"/>
      <w:r>
        <w:rPr>
          <w:color w:val="000000" w:themeColor="text1"/>
        </w:rPr>
        <w:t>Özbozkurt</w:t>
      </w:r>
      <w:proofErr w:type="spellEnd"/>
      <w:r>
        <w:rPr>
          <w:color w:val="000000" w:themeColor="text1"/>
        </w:rPr>
        <w:t xml:space="preserve">, 2021). </w:t>
      </w:r>
      <w:r w:rsidRPr="00AE41BF">
        <w:rPr>
          <w:color w:val="000000" w:themeColor="text1"/>
        </w:rPr>
        <w:t>Genellikle değişim yönetimi uygulamalarının iki temel ama</w:t>
      </w:r>
      <w:r>
        <w:rPr>
          <w:color w:val="000000" w:themeColor="text1"/>
        </w:rPr>
        <w:t>ç üzerinde yoğunlaştığı</w:t>
      </w:r>
      <w:r w:rsidRPr="00AE41BF">
        <w:rPr>
          <w:color w:val="000000" w:themeColor="text1"/>
        </w:rPr>
        <w:t xml:space="preserve"> </w:t>
      </w:r>
      <w:r>
        <w:rPr>
          <w:color w:val="000000" w:themeColor="text1"/>
        </w:rPr>
        <w:t>görülmektedir.</w:t>
      </w:r>
      <w:r w:rsidRPr="00AE41BF">
        <w:rPr>
          <w:color w:val="000000" w:themeColor="text1"/>
        </w:rPr>
        <w:t xml:space="preserve"> Birinci amaç; örgütlerin yeni değişen kanunlara, pazara, iş gücü arzına, </w:t>
      </w:r>
      <w:r>
        <w:rPr>
          <w:color w:val="000000" w:themeColor="text1"/>
        </w:rPr>
        <w:t xml:space="preserve">değişen ve gelişen </w:t>
      </w:r>
      <w:r w:rsidRPr="00AE41BF">
        <w:rPr>
          <w:color w:val="000000" w:themeColor="text1"/>
        </w:rPr>
        <w:t xml:space="preserve">sosyal isteklere, yeni düşünce ve uygulamalara kendini </w:t>
      </w:r>
      <w:proofErr w:type="gramStart"/>
      <w:r w:rsidRPr="00AE41BF">
        <w:rPr>
          <w:color w:val="000000" w:themeColor="text1"/>
        </w:rPr>
        <w:t>adapte edebilmesi</w:t>
      </w:r>
      <w:proofErr w:type="gramEnd"/>
      <w:r>
        <w:rPr>
          <w:color w:val="000000" w:themeColor="text1"/>
        </w:rPr>
        <w:t xml:space="preserve"> iken,</w:t>
      </w:r>
      <w:r w:rsidRPr="00AE41BF">
        <w:rPr>
          <w:color w:val="000000" w:themeColor="text1"/>
        </w:rPr>
        <w:t xml:space="preserve"> ikinci ama</w:t>
      </w:r>
      <w:r>
        <w:rPr>
          <w:color w:val="000000" w:themeColor="text1"/>
        </w:rPr>
        <w:t>ç;</w:t>
      </w:r>
      <w:r w:rsidRPr="00AE41BF">
        <w:rPr>
          <w:color w:val="000000" w:themeColor="text1"/>
        </w:rPr>
        <w:t xml:space="preserve"> örgüt çalışanlarının davranışlarını değiştirerek, çalışanların birbirleriyle olan ilişkilerini düzenlemek, iş yapış şekillerindeki davranışları</w:t>
      </w:r>
      <w:r>
        <w:rPr>
          <w:color w:val="000000" w:themeColor="text1"/>
        </w:rPr>
        <w:t>nı</w:t>
      </w:r>
      <w:r w:rsidRPr="00AE41BF">
        <w:rPr>
          <w:color w:val="000000" w:themeColor="text1"/>
        </w:rPr>
        <w:t xml:space="preserve"> süre kaybını en aza indirgeyecek hale getirmek olarak ifade edil</w:t>
      </w:r>
      <w:r>
        <w:rPr>
          <w:color w:val="000000" w:themeColor="text1"/>
        </w:rPr>
        <w:t>diği görülmektedir</w:t>
      </w:r>
      <w:r w:rsidRPr="00AE41BF">
        <w:rPr>
          <w:color w:val="000000" w:themeColor="text1"/>
        </w:rPr>
        <w:t xml:space="preserve"> (</w:t>
      </w:r>
      <w:proofErr w:type="spellStart"/>
      <w:r w:rsidRPr="00AE41BF">
        <w:rPr>
          <w:color w:val="000000" w:themeColor="text1"/>
        </w:rPr>
        <w:t>Downey</w:t>
      </w:r>
      <w:proofErr w:type="spellEnd"/>
      <w:r w:rsidRPr="00AE41BF">
        <w:rPr>
          <w:color w:val="000000" w:themeColor="text1"/>
        </w:rPr>
        <w:t xml:space="preserve"> v</w:t>
      </w:r>
      <w:r>
        <w:rPr>
          <w:color w:val="000000" w:themeColor="text1"/>
        </w:rPr>
        <w:t>d.</w:t>
      </w:r>
      <w:r w:rsidRPr="00AE41BF">
        <w:rPr>
          <w:color w:val="000000" w:themeColor="text1"/>
        </w:rPr>
        <w:t xml:space="preserve">, 1955:621-653). Bir örgütte değişim yönetimi çalışmalarına başlandığı andan itibaren </w:t>
      </w:r>
      <w:r>
        <w:rPr>
          <w:color w:val="000000" w:themeColor="text1"/>
        </w:rPr>
        <w:t xml:space="preserve">üzerinde durulan ve </w:t>
      </w:r>
      <w:r w:rsidRPr="00AE41BF">
        <w:rPr>
          <w:color w:val="000000" w:themeColor="text1"/>
        </w:rPr>
        <w:t xml:space="preserve">dikkat edilmesi gereken bazı </w:t>
      </w:r>
      <w:r>
        <w:rPr>
          <w:color w:val="000000" w:themeColor="text1"/>
        </w:rPr>
        <w:t xml:space="preserve">önemli </w:t>
      </w:r>
      <w:r w:rsidRPr="00AE41BF">
        <w:rPr>
          <w:color w:val="000000" w:themeColor="text1"/>
        </w:rPr>
        <w:t>hususlar bulunmaktadır. Bunları</w:t>
      </w:r>
      <w:r>
        <w:rPr>
          <w:color w:val="000000" w:themeColor="text1"/>
        </w:rPr>
        <w:t>n</w:t>
      </w:r>
      <w:r w:rsidRPr="00AE41BF">
        <w:rPr>
          <w:color w:val="000000" w:themeColor="text1"/>
        </w:rPr>
        <w:t xml:space="preserve"> şu şekilde özetlenmesi mümkündür (Düren, 2000:236);</w:t>
      </w:r>
    </w:p>
    <w:p w14:paraId="1245D54B" w14:textId="77777777" w:rsidR="00626F42" w:rsidRPr="00AE41BF" w:rsidRDefault="00626F42" w:rsidP="00626F42">
      <w:pPr>
        <w:ind w:left="227" w:right="57"/>
        <w:jc w:val="both"/>
        <w:rPr>
          <w:color w:val="000000" w:themeColor="text1"/>
        </w:rPr>
      </w:pPr>
    </w:p>
    <w:p w14:paraId="1C14522D" w14:textId="77777777" w:rsidR="00626F42" w:rsidRPr="00AE41BF" w:rsidRDefault="00626F42">
      <w:pPr>
        <w:pStyle w:val="ListeParagraf"/>
        <w:widowControl/>
        <w:numPr>
          <w:ilvl w:val="0"/>
          <w:numId w:val="93"/>
        </w:numPr>
        <w:autoSpaceDE/>
        <w:autoSpaceDN/>
        <w:jc w:val="both"/>
      </w:pPr>
      <w:r w:rsidRPr="00AE41BF">
        <w:t xml:space="preserve">İlk olarak </w:t>
      </w:r>
      <w:r>
        <w:t xml:space="preserve">örgütte </w:t>
      </w:r>
      <w:r w:rsidRPr="00AE41BF">
        <w:t>değişime duyulan ihtiyaç tespit edilmelidir ve örgütün her düzeyi tarafından değişim ihtiyacı anlaşılır hale getiriler</w:t>
      </w:r>
      <w:r>
        <w:t>ek</w:t>
      </w:r>
      <w:r w:rsidRPr="00AE41BF">
        <w:t xml:space="preserve"> yeni bir vizyon ve yeni stratejiler geliştirilme</w:t>
      </w:r>
      <w:r>
        <w:t>li</w:t>
      </w:r>
      <w:r w:rsidRPr="00AE41BF">
        <w:t>dir.</w:t>
      </w:r>
    </w:p>
    <w:p w14:paraId="52A1371A" w14:textId="77777777" w:rsidR="00626F42" w:rsidRPr="00AE41BF" w:rsidRDefault="00626F42">
      <w:pPr>
        <w:pStyle w:val="ListeParagraf"/>
        <w:widowControl/>
        <w:numPr>
          <w:ilvl w:val="0"/>
          <w:numId w:val="93"/>
        </w:numPr>
        <w:autoSpaceDE/>
        <w:autoSpaceDN/>
        <w:jc w:val="both"/>
      </w:pPr>
      <w:r w:rsidRPr="00AE41BF">
        <w:t xml:space="preserve">Herkesin değişime katılmasını sağlamak için çalışanlar arasında bir </w:t>
      </w:r>
      <w:r>
        <w:t xml:space="preserve">denge </w:t>
      </w:r>
      <w:r w:rsidRPr="00AE41BF">
        <w:t xml:space="preserve">oluşturulmalı ve değişimden en çok etkilenecek konumdakiler tespit edilerek onlara </w:t>
      </w:r>
      <w:r>
        <w:t>önemli</w:t>
      </w:r>
      <w:r w:rsidRPr="00AE41BF">
        <w:t xml:space="preserve"> roller verilmeli</w:t>
      </w:r>
      <w:r>
        <w:t xml:space="preserve"> ve</w:t>
      </w:r>
      <w:r w:rsidRPr="00AE41BF">
        <w:t xml:space="preserve"> </w:t>
      </w:r>
      <w:r>
        <w:t xml:space="preserve">bu konuda </w:t>
      </w:r>
      <w:r w:rsidRPr="00AE41BF">
        <w:t>teşvik edilmelidir.</w:t>
      </w:r>
    </w:p>
    <w:p w14:paraId="0DCBC77A" w14:textId="77777777" w:rsidR="00626F42" w:rsidRPr="00AE41BF" w:rsidRDefault="00626F42">
      <w:pPr>
        <w:pStyle w:val="ListeParagraf"/>
        <w:widowControl/>
        <w:numPr>
          <w:ilvl w:val="0"/>
          <w:numId w:val="93"/>
        </w:numPr>
        <w:autoSpaceDE/>
        <w:autoSpaceDN/>
        <w:jc w:val="both"/>
      </w:pPr>
      <w:r w:rsidRPr="00AE41BF">
        <w:t xml:space="preserve">İletişim, etkileşim, eğitim </w:t>
      </w:r>
      <w:r>
        <w:t xml:space="preserve">gibi sürece destek olacak </w:t>
      </w:r>
      <w:r w:rsidRPr="00AE41BF">
        <w:t>faaliyetleri</w:t>
      </w:r>
      <w:r>
        <w:t>n</w:t>
      </w:r>
      <w:r w:rsidRPr="00AE41BF">
        <w:t xml:space="preserve"> ön plan</w:t>
      </w:r>
      <w:r>
        <w:t>d</w:t>
      </w:r>
      <w:r w:rsidRPr="00AE41BF">
        <w:t xml:space="preserve">a tutularak, katılımcı ve yaratıcı konumunda olanların kullanacağı yöntemler </w:t>
      </w:r>
      <w:r>
        <w:t>ortaya çıkarılmalıdır.</w:t>
      </w:r>
    </w:p>
    <w:p w14:paraId="5DB03D6E" w14:textId="77777777" w:rsidR="00626F42" w:rsidRPr="00AE41BF" w:rsidRDefault="00626F42">
      <w:pPr>
        <w:pStyle w:val="ListeParagraf"/>
        <w:widowControl/>
        <w:numPr>
          <w:ilvl w:val="0"/>
          <w:numId w:val="93"/>
        </w:numPr>
        <w:autoSpaceDE/>
        <w:autoSpaceDN/>
        <w:jc w:val="both"/>
      </w:pPr>
      <w:r w:rsidRPr="00AE41BF">
        <w:t>Değişim faaliyetlerinin bir neticesi olarak örgütün maddi</w:t>
      </w:r>
      <w:r>
        <w:t xml:space="preserve"> ve </w:t>
      </w:r>
      <w:r w:rsidRPr="00AE41BF">
        <w:t>manevi yararının sağlanacağı örgüt bireyleri tarafından benimsenmelidir.</w:t>
      </w:r>
    </w:p>
    <w:p w14:paraId="4D3181F2" w14:textId="77777777" w:rsidR="00626F42" w:rsidRDefault="00626F42">
      <w:pPr>
        <w:pStyle w:val="ListeParagraf"/>
        <w:widowControl/>
        <w:numPr>
          <w:ilvl w:val="0"/>
          <w:numId w:val="93"/>
        </w:numPr>
        <w:autoSpaceDE/>
        <w:autoSpaceDN/>
        <w:jc w:val="both"/>
      </w:pPr>
      <w:r w:rsidRPr="00AE41BF">
        <w:t>Belirlenen yeni yöntemlerin ve değişecek davranışların örgüt içinde yaygınlaşmasını sağlayacak uygulamalar</w:t>
      </w:r>
      <w:r>
        <w:t xml:space="preserve"> üzerine yoğunlaşılmalı ve bu konuda çalışılmalıdır.</w:t>
      </w:r>
    </w:p>
    <w:p w14:paraId="7F530AB6" w14:textId="77777777" w:rsidR="00626F42" w:rsidRDefault="00626F42" w:rsidP="00626F42">
      <w:pPr>
        <w:pStyle w:val="ListeParagraf"/>
        <w:jc w:val="both"/>
      </w:pPr>
    </w:p>
    <w:p w14:paraId="2FCED43D" w14:textId="77777777" w:rsidR="00626F42" w:rsidRDefault="00626F42" w:rsidP="00626F42">
      <w:pPr>
        <w:ind w:left="227"/>
        <w:jc w:val="both"/>
      </w:pPr>
      <w:r w:rsidRPr="00250DD0">
        <w:t>Örgütlerin değişim yönetimi uygulamalarına ihtiyaç duymalarının belli başlı nedenleri bulunmaktadır. Bu nedenleri</w:t>
      </w:r>
      <w:r>
        <w:t xml:space="preserve"> temel olarak</w:t>
      </w:r>
      <w:r w:rsidRPr="00250DD0">
        <w:t xml:space="preserve"> içsel ve dışsal nedenler </w:t>
      </w:r>
      <w:r>
        <w:t xml:space="preserve">şeklinde </w:t>
      </w:r>
      <w:r w:rsidRPr="00250DD0">
        <w:t>iki grupta toplamak mümkündür (</w:t>
      </w:r>
      <w:proofErr w:type="spellStart"/>
      <w:r w:rsidRPr="00250DD0">
        <w:t>Kinicki</w:t>
      </w:r>
      <w:proofErr w:type="spellEnd"/>
      <w:r w:rsidRPr="00250DD0">
        <w:t xml:space="preserve"> ve Williams, 2008: 327-328; </w:t>
      </w:r>
      <w:proofErr w:type="spellStart"/>
      <w:r w:rsidRPr="00250DD0">
        <w:t>Tüz</w:t>
      </w:r>
      <w:proofErr w:type="spellEnd"/>
      <w:r w:rsidRPr="00250DD0">
        <w:t>, 2004: 17-23):</w:t>
      </w:r>
    </w:p>
    <w:p w14:paraId="2CB10632" w14:textId="77777777" w:rsidR="00626F42" w:rsidRPr="00250DD0" w:rsidRDefault="00626F42" w:rsidP="00626F42">
      <w:pPr>
        <w:ind w:left="227"/>
        <w:jc w:val="both"/>
      </w:pPr>
    </w:p>
    <w:p w14:paraId="1E47846F" w14:textId="77777777" w:rsidR="00626F42" w:rsidRPr="00250DD0" w:rsidRDefault="00626F42">
      <w:pPr>
        <w:pStyle w:val="ListeParagraf"/>
        <w:widowControl/>
        <w:numPr>
          <w:ilvl w:val="0"/>
          <w:numId w:val="92"/>
        </w:numPr>
        <w:autoSpaceDE/>
        <w:autoSpaceDN/>
        <w:ind w:right="113"/>
        <w:jc w:val="both"/>
        <w:rPr>
          <w:color w:val="000000" w:themeColor="text1"/>
        </w:rPr>
      </w:pPr>
      <w:r w:rsidRPr="00250DD0">
        <w:rPr>
          <w:b/>
          <w:bCs/>
          <w:color w:val="000000" w:themeColor="text1"/>
        </w:rPr>
        <w:lastRenderedPageBreak/>
        <w:t>Dışsal Nedenler;</w:t>
      </w:r>
      <w:r w:rsidRPr="00250DD0">
        <w:rPr>
          <w:color w:val="000000" w:themeColor="text1"/>
        </w:rPr>
        <w:t xml:space="preserve"> Teknolojik koşullar, siyasal koşullar, ekonomik koşullar, toplumsal koşullar, doğal koşullar, küreselleşmenin etkisi gibi nedenlerle örgütleri değişime yönelten nedenle</w:t>
      </w:r>
      <w:r>
        <w:rPr>
          <w:color w:val="000000" w:themeColor="text1"/>
        </w:rPr>
        <w:t>r şeklinde sınıflandırılmaktadır.</w:t>
      </w:r>
    </w:p>
    <w:p w14:paraId="38B048C0" w14:textId="77777777" w:rsidR="00626F42" w:rsidRDefault="00626F42">
      <w:pPr>
        <w:pStyle w:val="ListeParagraf"/>
        <w:widowControl/>
        <w:numPr>
          <w:ilvl w:val="0"/>
          <w:numId w:val="92"/>
        </w:numPr>
        <w:autoSpaceDE/>
        <w:autoSpaceDN/>
        <w:ind w:right="113"/>
        <w:jc w:val="both"/>
        <w:rPr>
          <w:color w:val="000000" w:themeColor="text1"/>
        </w:rPr>
      </w:pPr>
      <w:r w:rsidRPr="00250DD0">
        <w:rPr>
          <w:b/>
          <w:bCs/>
          <w:color w:val="000000" w:themeColor="text1"/>
        </w:rPr>
        <w:t>İçsel Nedenler;</w:t>
      </w:r>
      <w:r w:rsidRPr="00250DD0">
        <w:rPr>
          <w:color w:val="000000" w:themeColor="text1"/>
        </w:rPr>
        <w:t xml:space="preserve"> Büyüme, küçülme, kurum birleşmeleri, tepe yönetimin değişmesi, örgütsel yetersizlikler, çalışanların değişimi talep etmesi gibi nedenlerle örgütleri değişime yönelten </w:t>
      </w:r>
      <w:r>
        <w:rPr>
          <w:color w:val="000000" w:themeColor="text1"/>
        </w:rPr>
        <w:t>nedenler şeklinde sınıflandırılmaktadır.</w:t>
      </w:r>
    </w:p>
    <w:p w14:paraId="5DE3D0F4" w14:textId="77777777" w:rsidR="00626F42" w:rsidRPr="00250DD0" w:rsidRDefault="00626F42" w:rsidP="00626F42">
      <w:pPr>
        <w:pStyle w:val="ListeParagraf"/>
        <w:ind w:left="947" w:right="113"/>
        <w:jc w:val="both"/>
        <w:rPr>
          <w:color w:val="000000" w:themeColor="text1"/>
        </w:rPr>
      </w:pPr>
    </w:p>
    <w:p w14:paraId="07D40D5E" w14:textId="77777777" w:rsidR="00626F42" w:rsidRDefault="00626F42" w:rsidP="00626F42">
      <w:pPr>
        <w:ind w:left="227" w:right="113"/>
        <w:jc w:val="both"/>
        <w:rPr>
          <w:color w:val="000000" w:themeColor="text1"/>
        </w:rPr>
      </w:pPr>
      <w:r w:rsidRPr="00AE41BF">
        <w:rPr>
          <w:color w:val="000000" w:themeColor="text1"/>
        </w:rPr>
        <w:t xml:space="preserve">Örgütlerin </w:t>
      </w:r>
      <w:r>
        <w:rPr>
          <w:color w:val="000000" w:themeColor="text1"/>
        </w:rPr>
        <w:t xml:space="preserve">bulunduğu çevre içerisinde </w:t>
      </w:r>
      <w:r w:rsidRPr="00AE41BF">
        <w:rPr>
          <w:color w:val="000000" w:themeColor="text1"/>
        </w:rPr>
        <w:t>başarılı olabilmek ve rakipleri karşısında rekabet avantajı sağlayabilmek için mutlaka içsel ve dışsal nedenleri dikkate alarak değişimin gerekti</w:t>
      </w:r>
      <w:r>
        <w:rPr>
          <w:color w:val="000000" w:themeColor="text1"/>
        </w:rPr>
        <w:t>rdiği</w:t>
      </w:r>
      <w:r w:rsidRPr="00AE41BF">
        <w:rPr>
          <w:color w:val="000000" w:themeColor="text1"/>
        </w:rPr>
        <w:t xml:space="preserve"> durumları tespit edip, değişim yönetimi uygulamalarına başvurmaları gerekmektedir.</w:t>
      </w:r>
      <w:r>
        <w:rPr>
          <w:color w:val="000000" w:themeColor="text1"/>
        </w:rPr>
        <w:t xml:space="preserve"> </w:t>
      </w:r>
      <w:r w:rsidRPr="00AE41BF">
        <w:rPr>
          <w:color w:val="000000" w:themeColor="text1"/>
        </w:rPr>
        <w:t xml:space="preserve">Değişimdeki “herhangi bir düzeyden başka bir düzeye geçme” </w:t>
      </w:r>
      <w:r>
        <w:rPr>
          <w:color w:val="000000" w:themeColor="text1"/>
        </w:rPr>
        <w:t>olarak adlandırılan noktada,</w:t>
      </w:r>
      <w:r w:rsidRPr="00AE41BF">
        <w:rPr>
          <w:color w:val="000000" w:themeColor="text1"/>
        </w:rPr>
        <w:t xml:space="preserve"> bazı durumlarda</w:t>
      </w:r>
      <w:r>
        <w:rPr>
          <w:color w:val="000000" w:themeColor="text1"/>
        </w:rPr>
        <w:t xml:space="preserve"> bu değişime karşı</w:t>
      </w:r>
      <w:r w:rsidRPr="00AE41BF">
        <w:rPr>
          <w:color w:val="000000" w:themeColor="text1"/>
        </w:rPr>
        <w:t xml:space="preserve"> dirençle </w:t>
      </w:r>
      <w:r>
        <w:rPr>
          <w:color w:val="000000" w:themeColor="text1"/>
        </w:rPr>
        <w:t>ve</w:t>
      </w:r>
      <w:r w:rsidRPr="00AE41BF">
        <w:rPr>
          <w:color w:val="000000" w:themeColor="text1"/>
        </w:rPr>
        <w:t xml:space="preserve"> farklı tepkilerle karşılaşmak </w:t>
      </w:r>
      <w:r>
        <w:rPr>
          <w:color w:val="000000" w:themeColor="text1"/>
        </w:rPr>
        <w:t>olasıdır.</w:t>
      </w:r>
      <w:r w:rsidRPr="00AE41BF">
        <w:rPr>
          <w:color w:val="000000" w:themeColor="text1"/>
        </w:rPr>
        <w:t xml:space="preserve"> Bu tepkiler </w:t>
      </w:r>
      <w:proofErr w:type="spellStart"/>
      <w:r>
        <w:rPr>
          <w:color w:val="000000" w:themeColor="text1"/>
        </w:rPr>
        <w:t>alanyazında</w:t>
      </w:r>
      <w:proofErr w:type="spellEnd"/>
      <w:r>
        <w:rPr>
          <w:color w:val="000000" w:themeColor="text1"/>
        </w:rPr>
        <w:t xml:space="preserve"> incelendiğinde </w:t>
      </w:r>
      <w:r w:rsidRPr="00AE41BF">
        <w:rPr>
          <w:color w:val="000000" w:themeColor="text1"/>
        </w:rPr>
        <w:t>aktif direnç gösterme ya da pasif olarak direnme şeklinde gerçekleş</w:t>
      </w:r>
      <w:r>
        <w:rPr>
          <w:color w:val="000000" w:themeColor="text1"/>
        </w:rPr>
        <w:t>tiği görülmektedir</w:t>
      </w:r>
      <w:r w:rsidRPr="00AE41BF">
        <w:rPr>
          <w:color w:val="000000" w:themeColor="text1"/>
        </w:rPr>
        <w:t xml:space="preserve"> (</w:t>
      </w:r>
      <w:proofErr w:type="spellStart"/>
      <w:r w:rsidRPr="00AE41BF">
        <w:rPr>
          <w:color w:val="000000" w:themeColor="text1"/>
        </w:rPr>
        <w:t>Töremen</w:t>
      </w:r>
      <w:proofErr w:type="spellEnd"/>
      <w:r w:rsidRPr="00AE41BF">
        <w:rPr>
          <w:color w:val="000000" w:themeColor="text1"/>
        </w:rPr>
        <w:t>, 2002:185-202). Değişime olan direncin nedenlerini toplamda dört kategoride toplamak mümkündür. Bunlar (Koçel, 2005:700-704; Budak ve Budak, 200</w:t>
      </w:r>
      <w:r>
        <w:rPr>
          <w:color w:val="000000" w:themeColor="text1"/>
        </w:rPr>
        <w:t xml:space="preserve">6; </w:t>
      </w:r>
      <w:r w:rsidRPr="00AE41BF">
        <w:rPr>
          <w:color w:val="000000" w:themeColor="text1"/>
        </w:rPr>
        <w:t>Şimşek</w:t>
      </w:r>
      <w:r>
        <w:rPr>
          <w:color w:val="000000" w:themeColor="text1"/>
        </w:rPr>
        <w:t xml:space="preserve"> vd.</w:t>
      </w:r>
      <w:r w:rsidRPr="00AE41BF">
        <w:rPr>
          <w:color w:val="000000" w:themeColor="text1"/>
        </w:rPr>
        <w:t>, 2008:423);</w:t>
      </w:r>
    </w:p>
    <w:p w14:paraId="6D1171C3" w14:textId="77777777" w:rsidR="00626F42" w:rsidRPr="00AE41BF" w:rsidRDefault="00626F42" w:rsidP="00626F42">
      <w:pPr>
        <w:ind w:left="227" w:right="113"/>
        <w:jc w:val="both"/>
        <w:rPr>
          <w:color w:val="000000" w:themeColor="text1"/>
        </w:rPr>
      </w:pPr>
    </w:p>
    <w:p w14:paraId="514642E5" w14:textId="77777777" w:rsidR="00626F42" w:rsidRDefault="00626F42" w:rsidP="00626F42">
      <w:pPr>
        <w:ind w:left="227" w:right="113"/>
        <w:jc w:val="both"/>
        <w:rPr>
          <w:color w:val="000000" w:themeColor="text1"/>
        </w:rPr>
      </w:pPr>
      <w:r w:rsidRPr="00AE41BF">
        <w:rPr>
          <w:b/>
          <w:bCs/>
          <w:color w:val="000000" w:themeColor="text1"/>
        </w:rPr>
        <w:t>İş ile İlgili Nedenlerden Dolayı Oluşan Direnç:</w:t>
      </w:r>
      <w:r w:rsidRPr="00AE41BF">
        <w:rPr>
          <w:color w:val="000000" w:themeColor="text1"/>
        </w:rPr>
        <w:t xml:space="preserve"> Çalışanların iş yükünün artacağından korkmaları, teknolojinin gelişmesinden dolayı meydana gelen işsizlik korkusu, iş-ücret-ödül-ceza gibi durumlarda değişikliğin çalışanlarda meydana getirdiği tedirginlik, değişimin tam aktarılmamasından </w:t>
      </w:r>
      <w:r>
        <w:rPr>
          <w:color w:val="000000" w:themeColor="text1"/>
        </w:rPr>
        <w:t>kaynaklı</w:t>
      </w:r>
      <w:r w:rsidRPr="00AE41BF">
        <w:rPr>
          <w:color w:val="000000" w:themeColor="text1"/>
        </w:rPr>
        <w:t xml:space="preserve"> meydana gelen değişiklik korkusu gibi nedenlerdir. </w:t>
      </w:r>
    </w:p>
    <w:p w14:paraId="0F812B2E" w14:textId="77777777" w:rsidR="00626F42" w:rsidRPr="00AE41BF" w:rsidRDefault="00626F42" w:rsidP="00626F42">
      <w:pPr>
        <w:ind w:left="227" w:right="113"/>
        <w:jc w:val="both"/>
        <w:rPr>
          <w:color w:val="000000" w:themeColor="text1"/>
        </w:rPr>
      </w:pPr>
    </w:p>
    <w:p w14:paraId="69622AF9" w14:textId="77777777" w:rsidR="00626F42" w:rsidRDefault="00626F42" w:rsidP="00626F42">
      <w:pPr>
        <w:ind w:left="227" w:right="113"/>
        <w:jc w:val="both"/>
        <w:rPr>
          <w:color w:val="000000" w:themeColor="text1"/>
        </w:rPr>
      </w:pPr>
      <w:r w:rsidRPr="00AE41BF">
        <w:rPr>
          <w:b/>
          <w:bCs/>
          <w:color w:val="000000" w:themeColor="text1"/>
        </w:rPr>
        <w:t>Kişisel Nedenler:</w:t>
      </w:r>
      <w:r w:rsidRPr="00AE41BF">
        <w:rPr>
          <w:color w:val="000000" w:themeColor="text1"/>
        </w:rPr>
        <w:t xml:space="preserve"> Çalışanların değişime bir bilinmezlik olarak bakması, alışkanlıklarından vazgeçmenin zor gelmesi, değişim hakkında ve değişimin getirecekleri hakkında yeterli bilgi ve donanıma sahip olmama gibi nedenlerden meydana gelen değişiklik korkusu gibi nedenlerdir. </w:t>
      </w:r>
    </w:p>
    <w:p w14:paraId="76177330" w14:textId="77777777" w:rsidR="00626F42" w:rsidRPr="00AE41BF" w:rsidRDefault="00626F42" w:rsidP="00626F42">
      <w:pPr>
        <w:ind w:left="227" w:right="113"/>
        <w:jc w:val="both"/>
        <w:rPr>
          <w:color w:val="000000" w:themeColor="text1"/>
        </w:rPr>
      </w:pPr>
    </w:p>
    <w:p w14:paraId="7CAAE561" w14:textId="77777777" w:rsidR="00626F42" w:rsidRDefault="00626F42" w:rsidP="00626F42">
      <w:pPr>
        <w:ind w:left="227" w:right="113"/>
        <w:jc w:val="both"/>
        <w:rPr>
          <w:color w:val="000000" w:themeColor="text1"/>
        </w:rPr>
      </w:pPr>
      <w:r w:rsidRPr="00AE41BF">
        <w:rPr>
          <w:b/>
          <w:bCs/>
          <w:color w:val="000000" w:themeColor="text1"/>
        </w:rPr>
        <w:t>Sosyal Nedenler:</w:t>
      </w:r>
      <w:r w:rsidRPr="00AE41BF">
        <w:rPr>
          <w:color w:val="000000" w:themeColor="text1"/>
        </w:rPr>
        <w:t xml:space="preserve"> Mevcut sosyal dengelerin bozulacağından korkmak, değişime önayak olanlara karşı güvensizlik duygusu, dışarıdan yönlendirilmeden hoşlanmama, mevcut değişimin menfaat sağlayacağını düşünme gibi nedenlerden meydana gelen değişiklik korkusu gibi nedenlerdir. </w:t>
      </w:r>
    </w:p>
    <w:p w14:paraId="432EBE7D" w14:textId="77777777" w:rsidR="00626F42" w:rsidRPr="00AE41BF" w:rsidRDefault="00626F42" w:rsidP="00626F42">
      <w:pPr>
        <w:ind w:left="227" w:right="113"/>
        <w:jc w:val="both"/>
        <w:rPr>
          <w:color w:val="000000" w:themeColor="text1"/>
        </w:rPr>
      </w:pPr>
    </w:p>
    <w:p w14:paraId="734E8BD0" w14:textId="77777777" w:rsidR="00626F42" w:rsidRDefault="00626F42" w:rsidP="00626F42">
      <w:pPr>
        <w:ind w:left="227" w:right="113"/>
        <w:jc w:val="both"/>
        <w:rPr>
          <w:color w:val="000000" w:themeColor="text1"/>
        </w:rPr>
      </w:pPr>
      <w:r w:rsidRPr="00AE41BF">
        <w:rPr>
          <w:b/>
          <w:bCs/>
          <w:color w:val="000000" w:themeColor="text1"/>
        </w:rPr>
        <w:t>Örgütsel Nedenler:</w:t>
      </w:r>
      <w:r w:rsidRPr="00AE41BF">
        <w:rPr>
          <w:color w:val="000000" w:themeColor="text1"/>
        </w:rPr>
        <w:t xml:space="preserve"> Ekip çalışmasının olmayışı, amaca yönelik çalışmama, güç dengelerinin bozulması, bir önceki değişim yönetimi uygulamalarının başarısız </w:t>
      </w:r>
      <w:r>
        <w:rPr>
          <w:color w:val="000000" w:themeColor="text1"/>
        </w:rPr>
        <w:t xml:space="preserve">bir şekilde </w:t>
      </w:r>
      <w:r w:rsidRPr="00AE41BF">
        <w:rPr>
          <w:color w:val="000000" w:themeColor="text1"/>
        </w:rPr>
        <w:t xml:space="preserve">sonuçlanması gibi nedenlerden meydana gelen değişiklik korkusu gibi nedenlerdir. Değişime olan direncin ortadan kalkmasına yardımcı olacak ya da direnç oluşmadan tedbir alınacak yöntemler mevcuttur. </w:t>
      </w:r>
      <w:r w:rsidRPr="0010638E">
        <w:rPr>
          <w:color w:val="000000" w:themeColor="text1"/>
        </w:rPr>
        <w:t>Bu yöntemler söyle sıralanabilir (</w:t>
      </w:r>
      <w:proofErr w:type="spellStart"/>
      <w:r w:rsidRPr="0010638E">
        <w:rPr>
          <w:color w:val="000000" w:themeColor="text1"/>
        </w:rPr>
        <w:t>Stoner</w:t>
      </w:r>
      <w:proofErr w:type="spellEnd"/>
      <w:r w:rsidRPr="0010638E">
        <w:rPr>
          <w:color w:val="000000" w:themeColor="text1"/>
        </w:rPr>
        <w:t xml:space="preserve"> ve </w:t>
      </w:r>
      <w:proofErr w:type="spellStart"/>
      <w:r w:rsidRPr="0010638E">
        <w:rPr>
          <w:color w:val="000000" w:themeColor="text1"/>
        </w:rPr>
        <w:t>Wankel</w:t>
      </w:r>
      <w:proofErr w:type="spellEnd"/>
      <w:r w:rsidRPr="0010638E">
        <w:rPr>
          <w:color w:val="000000" w:themeColor="text1"/>
        </w:rPr>
        <w:t xml:space="preserve">, 1986:359-360; </w:t>
      </w:r>
      <w:proofErr w:type="spellStart"/>
      <w:r w:rsidRPr="0010638E">
        <w:rPr>
          <w:color w:val="000000" w:themeColor="text1"/>
        </w:rPr>
        <w:t>Sandelands</w:t>
      </w:r>
      <w:proofErr w:type="spellEnd"/>
      <w:r w:rsidRPr="0010638E">
        <w:rPr>
          <w:color w:val="000000" w:themeColor="text1"/>
        </w:rPr>
        <w:t xml:space="preserve"> vd., 2010:81); İletişim ve eğitim, katılım ve destekleme</w:t>
      </w:r>
      <w:r>
        <w:rPr>
          <w:color w:val="000000" w:themeColor="text1"/>
        </w:rPr>
        <w:t xml:space="preserve"> çalışmaları</w:t>
      </w:r>
      <w:r w:rsidRPr="0010638E">
        <w:rPr>
          <w:color w:val="000000" w:themeColor="text1"/>
        </w:rPr>
        <w:t xml:space="preserve">, pazarlık ve taviz verme, tehdit ve baskı, manipülasyon ve </w:t>
      </w:r>
      <w:proofErr w:type="spellStart"/>
      <w:r w:rsidRPr="0010638E">
        <w:rPr>
          <w:color w:val="000000" w:themeColor="text1"/>
        </w:rPr>
        <w:t>kooptasyon</w:t>
      </w:r>
      <w:proofErr w:type="spellEnd"/>
      <w:r w:rsidRPr="0010638E">
        <w:rPr>
          <w:color w:val="000000" w:themeColor="text1"/>
        </w:rPr>
        <w:t xml:space="preserve"> gibi yöntemlerdir. Bu tedbirler alınarak değişime neden olan dirençler ortadan k</w:t>
      </w:r>
      <w:r>
        <w:rPr>
          <w:color w:val="000000" w:themeColor="text1"/>
        </w:rPr>
        <w:t xml:space="preserve">aldırılmadığında </w:t>
      </w:r>
      <w:r w:rsidRPr="0010638E">
        <w:rPr>
          <w:color w:val="000000" w:themeColor="text1"/>
        </w:rPr>
        <w:t>örgütlerde; yabancılaşma, çatışma, stres, direnme ve kriz gibi sorunlar</w:t>
      </w:r>
      <w:r>
        <w:rPr>
          <w:color w:val="000000" w:themeColor="text1"/>
        </w:rPr>
        <w:t xml:space="preserve"> ortaya çıkabilmektedir</w:t>
      </w:r>
      <w:r w:rsidRPr="0010638E">
        <w:rPr>
          <w:color w:val="000000" w:themeColor="text1"/>
        </w:rPr>
        <w:t xml:space="preserve"> (</w:t>
      </w:r>
      <w:proofErr w:type="spellStart"/>
      <w:r w:rsidRPr="0010638E">
        <w:rPr>
          <w:color w:val="000000" w:themeColor="text1"/>
        </w:rPr>
        <w:t>Coroğlu</w:t>
      </w:r>
      <w:proofErr w:type="spellEnd"/>
      <w:r w:rsidRPr="0010638E">
        <w:rPr>
          <w:color w:val="000000" w:themeColor="text1"/>
        </w:rPr>
        <w:t>, 2003:92-93; Yeniçeri, 2002:132-134).</w:t>
      </w:r>
    </w:p>
    <w:p w14:paraId="27569291" w14:textId="77777777" w:rsidR="00626F42" w:rsidRPr="00AE41BF" w:rsidRDefault="00626F42" w:rsidP="00626F42">
      <w:pPr>
        <w:ind w:left="227" w:right="113"/>
        <w:jc w:val="both"/>
        <w:rPr>
          <w:color w:val="000000" w:themeColor="text1"/>
        </w:rPr>
      </w:pPr>
    </w:p>
    <w:p w14:paraId="3F417CA6" w14:textId="77777777" w:rsidR="00626F42" w:rsidRPr="00AE41BF" w:rsidRDefault="00626F42" w:rsidP="00626F42">
      <w:pPr>
        <w:ind w:left="227" w:right="113"/>
        <w:jc w:val="both"/>
        <w:rPr>
          <w:b/>
          <w:bCs/>
          <w:color w:val="000000" w:themeColor="text1"/>
        </w:rPr>
      </w:pPr>
      <w:r w:rsidRPr="00AE41BF">
        <w:rPr>
          <w:b/>
          <w:bCs/>
          <w:color w:val="000000" w:themeColor="text1"/>
        </w:rPr>
        <w:t xml:space="preserve">2. Turizm Sektörü ve Değişim Yönetimi </w:t>
      </w:r>
    </w:p>
    <w:p w14:paraId="4E57BA14" w14:textId="77777777" w:rsidR="00626F42" w:rsidRDefault="00626F42" w:rsidP="00626F42">
      <w:pPr>
        <w:ind w:left="227" w:right="113"/>
        <w:jc w:val="both"/>
        <w:rPr>
          <w:color w:val="000000" w:themeColor="text1"/>
        </w:rPr>
      </w:pPr>
      <w:r w:rsidRPr="00AE41BF">
        <w:rPr>
          <w:color w:val="000000" w:themeColor="text1"/>
        </w:rPr>
        <w:t xml:space="preserve">Turizm sektörü tüm diğer sektörler gibi çevresel değişimlerden etkilenmekte ve buna paralel bir değişim içerisinde şekillenmektedir. Tarihsel süreç çerçevesinde incelendiğinde ilk </w:t>
      </w:r>
      <w:r w:rsidRPr="00AE41BF">
        <w:rPr>
          <w:color w:val="000000" w:themeColor="text1"/>
        </w:rPr>
        <w:lastRenderedPageBreak/>
        <w:t>yıllarda uygulanan yönetsel boyutlar açısından bilimsel dönem öncesinden klasik ve neoklasik dönemin getirdikleri sonrasında modern dönemin zorunlu kıldığı dinamikler incelendiğinde geçmişten bugüne yaşanan değişimler buna örnek gösterilebilir.</w:t>
      </w:r>
      <w:r>
        <w:rPr>
          <w:color w:val="000000" w:themeColor="text1"/>
        </w:rPr>
        <w:t xml:space="preserve"> </w:t>
      </w:r>
      <w:r w:rsidRPr="00AE41BF">
        <w:rPr>
          <w:color w:val="000000" w:themeColor="text1"/>
        </w:rPr>
        <w:t>Değişen dünyaya ayak uydurabilmek için turizm sektörü hizmet stratejilerinin geliştirmesi ve her geçen gün bilinçlenen ve tercihleri değişen</w:t>
      </w:r>
      <w:r>
        <w:rPr>
          <w:color w:val="000000" w:themeColor="text1"/>
        </w:rPr>
        <w:t xml:space="preserve"> ve gelişen</w:t>
      </w:r>
      <w:r w:rsidRPr="00AE41BF">
        <w:rPr>
          <w:color w:val="000000" w:themeColor="text1"/>
        </w:rPr>
        <w:t xml:space="preserve"> tüketicilere ayak uydurabilmek adına mutlaka değişim yönetimi uygulamalarına ağırlık vermesi gerektiği ifade edilebilir. Değişim yönetimi uygulamalarına ihtiyacı meydana getiren dışsal nedenler, işletmelerin </w:t>
      </w:r>
      <w:r>
        <w:rPr>
          <w:color w:val="000000" w:themeColor="text1"/>
        </w:rPr>
        <w:t xml:space="preserve">direkt olarak </w:t>
      </w:r>
      <w:r w:rsidRPr="00AE41BF">
        <w:rPr>
          <w:color w:val="000000" w:themeColor="text1"/>
        </w:rPr>
        <w:t>müdahale edemediği, bazen öngöremediği ve sonrasında yakalamakta güçlük çektiği nedenler arasındadır. Her bilginin neredeyse dünyanın her yerinden ulaşılabilecek hale geldiği günümüzde özellikle teknolojik koşulların değişmesi ve gelişmesi, internetin, t</w:t>
      </w:r>
      <w:r>
        <w:rPr>
          <w:color w:val="000000" w:themeColor="text1"/>
        </w:rPr>
        <w:t>elevizyon</w:t>
      </w:r>
      <w:r w:rsidRPr="00AE41BF">
        <w:rPr>
          <w:color w:val="000000" w:themeColor="text1"/>
        </w:rPr>
        <w:t xml:space="preserve"> kanallarının, sosyal medya araçlarının bütün dünyada neredeyse aktif kullanılan araçlar haline gelmesi, tüketiciye ulaşma noktasında turizm işletmelerinin de kullanmak zorunda kaldığı, strateji belirleme noktasında da kullanmaları gerektiği </w:t>
      </w:r>
      <w:r>
        <w:rPr>
          <w:color w:val="000000" w:themeColor="text1"/>
        </w:rPr>
        <w:t xml:space="preserve">önemli </w:t>
      </w:r>
      <w:r w:rsidRPr="00AE41BF">
        <w:rPr>
          <w:color w:val="000000" w:themeColor="text1"/>
        </w:rPr>
        <w:t>aracılar haline gelmiştir (Aktan, 1999). Bunun yanı sıra turistlerin destinasyon belirleme noktasında en çok dikkat ettiği koşulların başında gelen ekonomik ve siyasi koşullar, toplumsal ve kültürel yakınlık turizm işletmelerini değişime yönelten dış nedenler arasında yer al</w:t>
      </w:r>
      <w:r>
        <w:rPr>
          <w:color w:val="000000" w:themeColor="text1"/>
        </w:rPr>
        <w:t>dığı görülmektedir.</w:t>
      </w:r>
    </w:p>
    <w:p w14:paraId="168A7FF0" w14:textId="77777777" w:rsidR="00626F42" w:rsidRPr="00AE41BF" w:rsidRDefault="00626F42" w:rsidP="00626F42">
      <w:pPr>
        <w:ind w:left="227" w:right="113"/>
        <w:jc w:val="both"/>
        <w:rPr>
          <w:color w:val="000000" w:themeColor="text1"/>
        </w:rPr>
      </w:pPr>
    </w:p>
    <w:p w14:paraId="5A5AD887" w14:textId="77777777" w:rsidR="00626F42" w:rsidRDefault="00626F42" w:rsidP="00626F42">
      <w:pPr>
        <w:ind w:left="227" w:right="113"/>
        <w:jc w:val="both"/>
        <w:rPr>
          <w:color w:val="000000" w:themeColor="text1"/>
        </w:rPr>
      </w:pPr>
      <w:r w:rsidRPr="00AE41BF">
        <w:rPr>
          <w:color w:val="000000" w:themeColor="text1"/>
        </w:rPr>
        <w:t xml:space="preserve">Günümüzün bilinçli tüketicilerinin çevreye zarar vermeyen çevre dostu uygulamalar benimseyen sürdürülebilirlik anlayışına yönelmiş turizm işletmelerinin hizmet kalitesini belirleyen unsurlar arasına girmiş ve turizm işletmelerini küresel ve çevresel işletmeler olma yolunda değişime mecbur bırakmıştır. Turizm işletmelerini değişim yönetimi uygulamalarına yönlendiren dışsal nedenlerin yanı sıra içsel nedenleri de açıklamak anlamlı olacaktır. Bu çerçevede </w:t>
      </w:r>
      <w:r>
        <w:rPr>
          <w:color w:val="000000" w:themeColor="text1"/>
        </w:rPr>
        <w:t>t</w:t>
      </w:r>
      <w:r w:rsidRPr="00AE41BF">
        <w:rPr>
          <w:color w:val="000000" w:themeColor="text1"/>
        </w:rPr>
        <w:t>urizm sektöründe sunulan hizmetin kalitesinin işletmenin marka değerinin oluşmasına ve gelişmesine katkı sağladığı görülmektedir. Örgüt yönetiminin değişim isteği ya da örgüt içerisindeki değişiklik ihtiyacı erkenden hissedilmez ise bu direkt olarak hizmeti satın alana yansıyacak ve bu da işletmenin sürdürülebilirliğini etkileyecektir. Örneğin turizm sektöründe faaliyet gösteren herhangi bir işletmenin pazarını değiştirmek istemesi, daha farklı bir pazardan pay almak istemesi, hizmeti sunacak olan insan kaynağındaki değişimi mecbur hale getirecektir.</w:t>
      </w:r>
      <w:r>
        <w:rPr>
          <w:color w:val="000000" w:themeColor="text1"/>
        </w:rPr>
        <w:t xml:space="preserve"> </w:t>
      </w:r>
      <w:r w:rsidRPr="00AE41BF">
        <w:rPr>
          <w:color w:val="000000" w:themeColor="text1"/>
        </w:rPr>
        <w:t>Turizm işletmelerini değişime yönelten içsel nedenler arasında verimliliğin düşmesi, (daha az oda satışı, daha az tur satışı v</w:t>
      </w:r>
      <w:r>
        <w:rPr>
          <w:color w:val="000000" w:themeColor="text1"/>
        </w:rPr>
        <w:t>b.</w:t>
      </w:r>
      <w:r w:rsidRPr="00AE41BF">
        <w:rPr>
          <w:color w:val="000000" w:themeColor="text1"/>
        </w:rPr>
        <w:t>), çalışanların moral ve motivasyonlarındaki düşüş, çalışanların yükselen eğitim kalitesi karşısında sektörün alaylılar üzerinden faaliyet göstermeye devam etmesi gibi nedenler de yer almaktadır (Koçel, 2005).</w:t>
      </w:r>
    </w:p>
    <w:p w14:paraId="6A3191AD" w14:textId="77777777" w:rsidR="00626F42" w:rsidRPr="00AE41BF" w:rsidRDefault="00626F42" w:rsidP="00626F42">
      <w:pPr>
        <w:ind w:left="227" w:right="113"/>
        <w:jc w:val="both"/>
        <w:rPr>
          <w:color w:val="000000" w:themeColor="text1"/>
        </w:rPr>
      </w:pPr>
    </w:p>
    <w:p w14:paraId="0AAE8380" w14:textId="77777777" w:rsidR="00626F42" w:rsidRPr="00AE41BF" w:rsidRDefault="00626F42" w:rsidP="00626F42">
      <w:pPr>
        <w:ind w:left="227" w:right="113"/>
        <w:jc w:val="both"/>
        <w:rPr>
          <w:color w:val="000000" w:themeColor="text1"/>
        </w:rPr>
      </w:pPr>
      <w:r w:rsidRPr="00AE41BF">
        <w:rPr>
          <w:color w:val="000000" w:themeColor="text1"/>
        </w:rPr>
        <w:t>Turizm sektörünün yapısı gereği hizmeti sunacak ve hizmete değer katacak olan insan unsurudur ve herhangi bir turizm işletmesinde işlerin yapılışının değişmesinin çalışanda yaratacağı huzursuzluğun direkt olarak tüketiciye yansıma ihtimali oldukça yüksektir. Bunun yanı sıra teknolojik gelişmelerin insan emeğinin yerini alacağı korkusu turizm sektöründe değişime direnç sağlayacak unsurlar arasında</w:t>
      </w:r>
      <w:r>
        <w:rPr>
          <w:color w:val="000000" w:themeColor="text1"/>
        </w:rPr>
        <w:t xml:space="preserve"> yer almaktadır</w:t>
      </w:r>
      <w:r w:rsidRPr="00AE41BF">
        <w:rPr>
          <w:color w:val="000000" w:themeColor="text1"/>
        </w:rPr>
        <w:t xml:space="preserve">. Normal düzende bir otel işletmesinde kullanılan rezervasyon programı ile 3- 4 dakikada yapılan ve 4 kişi ile yürütülen bir operasyon </w:t>
      </w:r>
      <w:r>
        <w:rPr>
          <w:color w:val="000000" w:themeColor="text1"/>
        </w:rPr>
        <w:t>düşündüğümüzde,</w:t>
      </w:r>
      <w:r w:rsidRPr="00AE41BF">
        <w:rPr>
          <w:color w:val="000000" w:themeColor="text1"/>
        </w:rPr>
        <w:t xml:space="preserve"> değişim uygulamaları </w:t>
      </w:r>
      <w:proofErr w:type="gramStart"/>
      <w:r w:rsidRPr="00AE41BF">
        <w:rPr>
          <w:color w:val="000000" w:themeColor="text1"/>
        </w:rPr>
        <w:t>ile birlikte</w:t>
      </w:r>
      <w:proofErr w:type="gramEnd"/>
      <w:r w:rsidRPr="00AE41BF">
        <w:rPr>
          <w:color w:val="000000" w:themeColor="text1"/>
        </w:rPr>
        <w:t xml:space="preserve"> işlerin yapılış süresinin yarıya inmesi, eski düzende aktif olarak çalışan 4 kişiyi de huzursuz edebilir ve iş kaybetme korkusu ile değişime karşı bir direnç oluşmasını sağlayabil</w:t>
      </w:r>
      <w:r>
        <w:rPr>
          <w:color w:val="000000" w:themeColor="text1"/>
        </w:rPr>
        <w:t>mektedir.</w:t>
      </w:r>
    </w:p>
    <w:p w14:paraId="63F77D52" w14:textId="77777777" w:rsidR="00626F42" w:rsidRPr="000C1778" w:rsidRDefault="00626F42" w:rsidP="00626F42">
      <w:pPr>
        <w:ind w:left="227" w:right="113"/>
        <w:jc w:val="both"/>
        <w:rPr>
          <w:color w:val="000000" w:themeColor="text1"/>
        </w:rPr>
      </w:pPr>
      <w:r w:rsidRPr="00AE41BF">
        <w:rPr>
          <w:color w:val="000000" w:themeColor="text1"/>
        </w:rPr>
        <w:t xml:space="preserve">Turistik ürün tüketicilerinin satın alma davranışları diğer sektörlerde de görülebileceği gibi tüketicilerin alışkanlıkları üzerine devamlılık </w:t>
      </w:r>
      <w:r>
        <w:rPr>
          <w:color w:val="000000" w:themeColor="text1"/>
        </w:rPr>
        <w:t>sağladığı söylenebilmektedir</w:t>
      </w:r>
      <w:r w:rsidRPr="00AE41BF">
        <w:rPr>
          <w:color w:val="000000" w:themeColor="text1"/>
        </w:rPr>
        <w:t>. Örneğin sadece o işletmenin ürettiği pizzayı</w:t>
      </w:r>
      <w:r>
        <w:rPr>
          <w:color w:val="000000" w:themeColor="text1"/>
        </w:rPr>
        <w:t xml:space="preserve"> veya </w:t>
      </w:r>
      <w:r w:rsidRPr="00AE41BF">
        <w:rPr>
          <w:color w:val="000000" w:themeColor="text1"/>
        </w:rPr>
        <w:t xml:space="preserve">makarnayı yemek için aynı işletmeyi tercih eden </w:t>
      </w:r>
      <w:r w:rsidRPr="00AE41BF">
        <w:rPr>
          <w:color w:val="000000" w:themeColor="text1"/>
        </w:rPr>
        <w:lastRenderedPageBreak/>
        <w:t>tüketiciler</w:t>
      </w:r>
      <w:r>
        <w:rPr>
          <w:color w:val="000000" w:themeColor="text1"/>
        </w:rPr>
        <w:t xml:space="preserve"> </w:t>
      </w:r>
      <w:r w:rsidRPr="00AE41BF">
        <w:rPr>
          <w:color w:val="000000" w:themeColor="text1"/>
        </w:rPr>
        <w:t xml:space="preserve">mevcuttur. İşletmeye değişim yönetimi uygulamaları sonucunda gelen yeni düzenle yemek yapan aşçı yemeği aynı lezzetle yapamamaktan ya da değişimin getirdiklerine ayak uyduramamaktan korkarak değişime karşı aktif ya da pasif bir direnç gösterebilir. Değişim yönetimi uygulamaları ile turizm işletmelerinin hizmet verdiği sosyal grup değişikliğine neden olursa, bu çalışanların da kendisini rahatsız hissetmesine, örgüt içindeki insan kaynağındaki değişikliklerin çalışanların sosyal dengesinin de değişmesine sebebiyet verecektir. Bu durum karşısında çalışanlar değişime ayak uydurmaktan kaçınabilirler. </w:t>
      </w:r>
    </w:p>
    <w:p w14:paraId="288F98FE" w14:textId="77777777" w:rsidR="00626F42" w:rsidRDefault="00626F42" w:rsidP="00626F42">
      <w:pPr>
        <w:ind w:left="227" w:right="113"/>
        <w:jc w:val="both"/>
        <w:rPr>
          <w:b/>
          <w:bCs/>
          <w:color w:val="000000" w:themeColor="text1"/>
        </w:rPr>
      </w:pPr>
    </w:p>
    <w:p w14:paraId="27ED18D3" w14:textId="77777777" w:rsidR="00626F42" w:rsidRPr="00AE41BF" w:rsidRDefault="00626F42" w:rsidP="00626F42">
      <w:pPr>
        <w:ind w:left="227" w:right="113"/>
        <w:jc w:val="both"/>
        <w:rPr>
          <w:b/>
          <w:bCs/>
          <w:color w:val="000000" w:themeColor="text1"/>
        </w:rPr>
      </w:pPr>
      <w:r w:rsidRPr="00AE41BF">
        <w:rPr>
          <w:b/>
          <w:bCs/>
          <w:color w:val="000000" w:themeColor="text1"/>
        </w:rPr>
        <w:t>3. Ülke Kültürünün Değişim Yönetimi Uygulamalarındaki Rolü</w:t>
      </w:r>
    </w:p>
    <w:p w14:paraId="4DDE143E" w14:textId="77777777" w:rsidR="00626F42" w:rsidRPr="00AE41BF" w:rsidRDefault="00626F42" w:rsidP="00626F42">
      <w:pPr>
        <w:ind w:left="227" w:right="113"/>
        <w:jc w:val="both"/>
        <w:rPr>
          <w:color w:val="000000" w:themeColor="text1"/>
        </w:rPr>
      </w:pPr>
      <w:r w:rsidRPr="00AE41BF">
        <w:rPr>
          <w:color w:val="000000" w:themeColor="text1"/>
        </w:rPr>
        <w:t>Yapılan birçok araştırma kültürün kavram olarak çok geniş ve karmaşık bir anlam içerdiği ve disiplinler arası bir anlam ifade ettiği için farklı açılardan tanımlamalar yapılabileceği noktasında hemfikirdir. En genel anlamı ile kültür</w:t>
      </w:r>
      <w:r>
        <w:rPr>
          <w:color w:val="000000" w:themeColor="text1"/>
        </w:rPr>
        <w:t xml:space="preserve"> kavramı;</w:t>
      </w:r>
      <w:r w:rsidRPr="00AE41BF">
        <w:rPr>
          <w:color w:val="000000" w:themeColor="text1"/>
        </w:rPr>
        <w:t xml:space="preserve"> “öğrenilen ve paylaşılan değerler, inançlar ve semboller bütünü” olarak ifade edilebilir (Koçel, 2005). Meydana gelen kültür; ekoloji ve fiziksel çevre, aile, din, eğitim, siyasi sistem gibi birçok faktörün etkisi ile meydana gelmektedir (</w:t>
      </w:r>
      <w:proofErr w:type="spellStart"/>
      <w:r w:rsidRPr="00AE41BF">
        <w:rPr>
          <w:color w:val="000000" w:themeColor="text1"/>
        </w:rPr>
        <w:t>Tayeb</w:t>
      </w:r>
      <w:proofErr w:type="spellEnd"/>
      <w:r w:rsidRPr="00AE41BF">
        <w:rPr>
          <w:color w:val="000000" w:themeColor="text1"/>
        </w:rPr>
        <w:t xml:space="preserve">, 1995). </w:t>
      </w:r>
    </w:p>
    <w:p w14:paraId="5BBB7433" w14:textId="77777777" w:rsidR="00626F42" w:rsidRDefault="00626F42" w:rsidP="00626F42">
      <w:pPr>
        <w:ind w:left="227" w:right="113"/>
        <w:jc w:val="both"/>
        <w:rPr>
          <w:color w:val="000000" w:themeColor="text1"/>
        </w:rPr>
      </w:pPr>
      <w:r w:rsidRPr="00AE41BF">
        <w:rPr>
          <w:color w:val="000000" w:themeColor="text1"/>
        </w:rPr>
        <w:t xml:space="preserve">Kültür ve kültürün alt boyutlarıyla ilgili çalışmalar yapan </w:t>
      </w:r>
      <w:proofErr w:type="spellStart"/>
      <w:r w:rsidRPr="00AE41BF">
        <w:rPr>
          <w:color w:val="000000" w:themeColor="text1"/>
        </w:rPr>
        <w:t>Geert</w:t>
      </w:r>
      <w:proofErr w:type="spellEnd"/>
      <w:r w:rsidRPr="00AE41BF">
        <w:rPr>
          <w:color w:val="000000" w:themeColor="text1"/>
        </w:rPr>
        <w:t xml:space="preserve"> </w:t>
      </w:r>
      <w:proofErr w:type="spellStart"/>
      <w:r w:rsidRPr="00AE41BF">
        <w:rPr>
          <w:color w:val="000000" w:themeColor="text1"/>
        </w:rPr>
        <w:t>Hofstede</w:t>
      </w:r>
      <w:proofErr w:type="spellEnd"/>
      <w:r w:rsidRPr="00AE41BF">
        <w:rPr>
          <w:color w:val="000000" w:themeColor="text1"/>
        </w:rPr>
        <w:t>, kültürlerarası iletişim alanında birçok ülkenin de içerisinde bulunduğu bir araştırma yapmıştır. Bu araştırma sonucunda ülkelerin kültürel özellikleri açıkça ifade edilerek, ülkeler; güce uzaklık</w:t>
      </w:r>
      <w:r>
        <w:rPr>
          <w:color w:val="000000" w:themeColor="text1"/>
        </w:rPr>
        <w:t xml:space="preserve">, </w:t>
      </w:r>
      <w:r w:rsidRPr="00AE41BF">
        <w:rPr>
          <w:color w:val="000000" w:themeColor="text1"/>
        </w:rPr>
        <w:t>bire</w:t>
      </w:r>
      <w:r>
        <w:rPr>
          <w:color w:val="000000" w:themeColor="text1"/>
        </w:rPr>
        <w:t>yse</w:t>
      </w:r>
      <w:r w:rsidRPr="00AE41BF">
        <w:rPr>
          <w:color w:val="000000" w:themeColor="text1"/>
        </w:rPr>
        <w:t>llik- toplumsallık, belirsizliği göz ardı etme</w:t>
      </w:r>
      <w:r>
        <w:rPr>
          <w:color w:val="000000" w:themeColor="text1"/>
        </w:rPr>
        <w:t xml:space="preserve">, </w:t>
      </w:r>
      <w:r w:rsidRPr="00AE41BF">
        <w:rPr>
          <w:color w:val="000000" w:themeColor="text1"/>
        </w:rPr>
        <w:t>erillik, uzun dönemli uyum sağlama ve hoşgörü noktalarında değerlendirilmiştir (</w:t>
      </w:r>
      <w:proofErr w:type="spellStart"/>
      <w:r w:rsidRPr="00AE41BF">
        <w:rPr>
          <w:color w:val="000000" w:themeColor="text1"/>
        </w:rPr>
        <w:t>Hofstede</w:t>
      </w:r>
      <w:proofErr w:type="spellEnd"/>
      <w:r w:rsidRPr="00AE41BF">
        <w:rPr>
          <w:color w:val="000000" w:themeColor="text1"/>
        </w:rPr>
        <w:t>, 1994).  Türkiye ile ilgili yapılan araştırmanın sonucu bize ülkemizdeki kültürün değişim yönetimi uygulamalarında ne derece rol oynadığı noktasında ipucu ver</w:t>
      </w:r>
      <w:r>
        <w:rPr>
          <w:color w:val="000000" w:themeColor="text1"/>
        </w:rPr>
        <w:t>mektedir.</w:t>
      </w:r>
    </w:p>
    <w:p w14:paraId="4165B506" w14:textId="77777777" w:rsidR="00626F42" w:rsidRPr="00AE41BF" w:rsidRDefault="00626F42" w:rsidP="00626F42">
      <w:pPr>
        <w:ind w:left="227" w:right="113"/>
        <w:jc w:val="both"/>
        <w:rPr>
          <w:color w:val="000000" w:themeColor="text1"/>
        </w:rPr>
      </w:pPr>
    </w:p>
    <w:p w14:paraId="75DE819D" w14:textId="77777777" w:rsidR="00626F42" w:rsidRPr="00AE41BF" w:rsidRDefault="00626F42" w:rsidP="00626F42">
      <w:pPr>
        <w:ind w:left="227" w:right="113"/>
        <w:jc w:val="both"/>
        <w:rPr>
          <w:color w:val="000000" w:themeColor="text1"/>
        </w:rPr>
      </w:pPr>
      <w:r w:rsidRPr="00AE41BF">
        <w:rPr>
          <w:b/>
          <w:bCs/>
          <w:color w:val="000000" w:themeColor="text1"/>
        </w:rPr>
        <w:t>Şekil-1.</w:t>
      </w:r>
      <w:r w:rsidRPr="00AE41BF">
        <w:rPr>
          <w:color w:val="000000" w:themeColor="text1"/>
        </w:rPr>
        <w:t xml:space="preserve"> </w:t>
      </w:r>
      <w:proofErr w:type="spellStart"/>
      <w:r w:rsidRPr="00AE41BF">
        <w:rPr>
          <w:color w:val="000000" w:themeColor="text1"/>
        </w:rPr>
        <w:t>Hofstede’nin</w:t>
      </w:r>
      <w:proofErr w:type="spellEnd"/>
      <w:r w:rsidRPr="00AE41BF">
        <w:rPr>
          <w:color w:val="000000" w:themeColor="text1"/>
        </w:rPr>
        <w:t xml:space="preserve"> Kültür Boyutları Araştırması Türkiye Modeli</w:t>
      </w:r>
    </w:p>
    <w:p w14:paraId="741F6D73" w14:textId="77777777" w:rsidR="00626F42" w:rsidRPr="00AE41BF" w:rsidRDefault="00626F42" w:rsidP="00626F42">
      <w:pPr>
        <w:ind w:left="227" w:right="57"/>
        <w:jc w:val="both"/>
      </w:pPr>
      <w:r w:rsidRPr="00AE41BF">
        <w:rPr>
          <w:noProof/>
        </w:rPr>
        <w:drawing>
          <wp:inline distT="0" distB="0" distL="0" distR="0" wp14:anchorId="0F6D4981" wp14:editId="6EA99D5F">
            <wp:extent cx="5731510" cy="1527205"/>
            <wp:effectExtent l="0" t="0" r="2540" b="1587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6"/>
              </a:graphicData>
            </a:graphic>
          </wp:inline>
        </w:drawing>
      </w:r>
    </w:p>
    <w:p w14:paraId="74B6D9EC" w14:textId="77777777" w:rsidR="00626F42" w:rsidRPr="00AE41BF" w:rsidRDefault="00626F42" w:rsidP="00626F42">
      <w:pPr>
        <w:ind w:left="227" w:right="57"/>
        <w:jc w:val="both"/>
        <w:rPr>
          <w:color w:val="000000" w:themeColor="text1"/>
        </w:rPr>
      </w:pPr>
      <w:r w:rsidRPr="00AE41BF">
        <w:rPr>
          <w:b/>
          <w:bCs/>
          <w:i/>
          <w:iCs/>
          <w:color w:val="000000" w:themeColor="text1"/>
        </w:rPr>
        <w:t xml:space="preserve">Kaynak: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2010</w:t>
      </w:r>
    </w:p>
    <w:p w14:paraId="25D32A66" w14:textId="77777777" w:rsidR="00626F42" w:rsidRDefault="00626F42" w:rsidP="00626F42">
      <w:pPr>
        <w:ind w:left="227" w:right="113"/>
        <w:jc w:val="both"/>
        <w:rPr>
          <w:color w:val="000000" w:themeColor="text1"/>
        </w:rPr>
      </w:pPr>
      <w:r w:rsidRPr="00AE41BF">
        <w:rPr>
          <w:b/>
          <w:bCs/>
          <w:color w:val="000000" w:themeColor="text1"/>
        </w:rPr>
        <w:t>Güç Uzaklık Endeksi:</w:t>
      </w:r>
      <w:r w:rsidRPr="00AE41BF">
        <w:rPr>
          <w:color w:val="000000" w:themeColor="text1"/>
        </w:rPr>
        <w:t xml:space="preserve"> Bu boyut toplumlardaki ve organizasyonlardaki üyelerin gücün dağılımını ve bu dağılımdaki eşitsizliği kabullenme durumlarını göstermektedir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xml:space="preserve">, 2010). Türkiye bu araştırmada 66 puan alarak toplumdaki organizasyonların yapısının hiyerarşik yapıya bağımlı, güç merkezci olduklarını gösterirken aynı zamanda da amir ya da patronlarına onların koydukları kurallara güvendiklerini göstermektedir. İletişim kurma yolları dolaylı bir şekilde ilerler ve bilgi akışı sınırlıdır. Fakat tıpkı toplumun en temel taşı ailede baba figürünün gücü aile bireyleri tarafından kabul edildiği gibi organizasyonlarda da amirin dediği kabul edilerek tam güven sağlanır. </w:t>
      </w:r>
      <w:proofErr w:type="spellStart"/>
      <w:r w:rsidRPr="00AE41BF">
        <w:rPr>
          <w:color w:val="000000" w:themeColor="text1"/>
        </w:rPr>
        <w:t>Hofstede’nin</w:t>
      </w:r>
      <w:proofErr w:type="spellEnd"/>
      <w:r w:rsidRPr="00AE41BF">
        <w:rPr>
          <w:color w:val="000000" w:themeColor="text1"/>
        </w:rPr>
        <w:t xml:space="preserve"> Güç Uzaklık Endeksine bakıldığında; değişim yönetimi uygulamalarında Türkiye’de herhangi bir turizm işletmesinde uygulama kararı üst yönetimden geleceği taktirde, güç merkezlilik ve patrona güven, değişim yönetimi uygulamalarını kolaylaştıracak bir etki sergileyecektir.</w:t>
      </w:r>
    </w:p>
    <w:p w14:paraId="310E41AE" w14:textId="77777777" w:rsidR="00626F42" w:rsidRPr="00AE41BF" w:rsidRDefault="00626F42" w:rsidP="00626F42">
      <w:pPr>
        <w:ind w:left="227" w:right="113"/>
        <w:jc w:val="both"/>
        <w:rPr>
          <w:color w:val="000000" w:themeColor="text1"/>
        </w:rPr>
      </w:pPr>
    </w:p>
    <w:p w14:paraId="0AFA73A6" w14:textId="77777777" w:rsidR="00626F42" w:rsidRDefault="00626F42" w:rsidP="00626F42">
      <w:pPr>
        <w:ind w:left="227" w:right="113"/>
        <w:jc w:val="both"/>
        <w:rPr>
          <w:color w:val="000000" w:themeColor="text1"/>
        </w:rPr>
      </w:pPr>
      <w:r w:rsidRPr="00AE41BF">
        <w:rPr>
          <w:b/>
          <w:bCs/>
          <w:color w:val="000000" w:themeColor="text1"/>
        </w:rPr>
        <w:lastRenderedPageBreak/>
        <w:t>Bireysellik / Toplumsallık:</w:t>
      </w:r>
      <w:r w:rsidRPr="00AE41BF">
        <w:rPr>
          <w:color w:val="000000" w:themeColor="text1"/>
        </w:rPr>
        <w:t xml:space="preserve"> Bu boyut tam olarak toplum bireylerinin arasındaki bağı ifade etmektedir. İnsanların kendilerini “ben” ya da “biz” olarak görmeleri toplumların bireyselliğini ifade etmektedir. Bireyselci olarak görülen toplumlarda bireyler sadece kendilerine ya da yakın aile üyelerine bakmakla yükümlü hissederken, </w:t>
      </w:r>
      <w:proofErr w:type="spellStart"/>
      <w:r w:rsidRPr="00AE41BF">
        <w:rPr>
          <w:color w:val="000000" w:themeColor="text1"/>
        </w:rPr>
        <w:t>toplumsalcı</w:t>
      </w:r>
      <w:proofErr w:type="spellEnd"/>
      <w:r w:rsidRPr="00AE41BF">
        <w:rPr>
          <w:color w:val="000000" w:themeColor="text1"/>
        </w:rPr>
        <w:t xml:space="preserve"> bireyler ise sadakat duyguları yüksek gruplar halinde görülmektedir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xml:space="preserve"> 2010). Türkiye Bireysellik boyutundan 37 puan almıştır ve bu da Türkiye’nin kollektif çalışmaya yatkınlığını göstermektedir.</w:t>
      </w:r>
    </w:p>
    <w:p w14:paraId="45336D10" w14:textId="77777777" w:rsidR="00626F42" w:rsidRPr="00AE41BF" w:rsidRDefault="00626F42" w:rsidP="00626F42">
      <w:pPr>
        <w:ind w:left="227" w:right="113"/>
        <w:jc w:val="both"/>
        <w:rPr>
          <w:color w:val="000000" w:themeColor="text1"/>
        </w:rPr>
      </w:pPr>
    </w:p>
    <w:p w14:paraId="60EBDCC5" w14:textId="77777777" w:rsidR="00626F42" w:rsidRDefault="00626F42" w:rsidP="00626F42">
      <w:pPr>
        <w:ind w:left="227" w:right="113"/>
        <w:jc w:val="both"/>
        <w:rPr>
          <w:color w:val="000000" w:themeColor="text1"/>
        </w:rPr>
      </w:pPr>
      <w:r w:rsidRPr="00AE41BF">
        <w:rPr>
          <w:color w:val="000000" w:themeColor="text1"/>
        </w:rPr>
        <w:t>Organizasyon bazında düşünüldüğünde gruplar arası çatışmalardan kaçınılır ve kişiler arasındaki bağların ahlaki temele dayandığı görülmektedir. Kişiler arasındaki güven duygusunun oluşması zamana bağlı olarak değişse de adam kayırma</w:t>
      </w:r>
      <w:r>
        <w:rPr>
          <w:color w:val="000000" w:themeColor="text1"/>
        </w:rPr>
        <w:t xml:space="preserve"> gibi durumların </w:t>
      </w:r>
      <w:r w:rsidRPr="00AE41BF">
        <w:rPr>
          <w:color w:val="000000" w:themeColor="text1"/>
        </w:rPr>
        <w:t xml:space="preserve">bu bağlılıktan dolayı sıklıkla görüldüğü bilinmektedir.  </w:t>
      </w:r>
      <w:proofErr w:type="spellStart"/>
      <w:r w:rsidRPr="00AE41BF">
        <w:rPr>
          <w:color w:val="000000" w:themeColor="text1"/>
        </w:rPr>
        <w:t>Hofstede’nin</w:t>
      </w:r>
      <w:proofErr w:type="spellEnd"/>
      <w:r w:rsidRPr="00AE41BF">
        <w:rPr>
          <w:color w:val="000000" w:themeColor="text1"/>
        </w:rPr>
        <w:t xml:space="preserve"> Bireysellik- Bireycilik Endeksine bakıldığında; Türkiye’de aidiyet duygusunun yüksek olduğu ortaya çıkmakta ve kişiler bireysellikten ziyade topluca hareket ederek kendilerini daha güvende hissetmektedirler. Grubun büyük kısmının değişim yönetimine sıcak baktığı ve uygulamaların yararına inandığı turizm işletmelerinde uygulamaların daha da çabuk hayat bulacağı aşikardır.</w:t>
      </w:r>
    </w:p>
    <w:p w14:paraId="5381693A" w14:textId="77777777" w:rsidR="00626F42" w:rsidRPr="00AE41BF" w:rsidRDefault="00626F42" w:rsidP="00626F42">
      <w:pPr>
        <w:ind w:left="227" w:right="113"/>
        <w:jc w:val="both"/>
        <w:rPr>
          <w:color w:val="000000" w:themeColor="text1"/>
        </w:rPr>
      </w:pPr>
    </w:p>
    <w:p w14:paraId="26AEB2FC" w14:textId="77777777" w:rsidR="00626F42" w:rsidRDefault="00626F42" w:rsidP="00626F42">
      <w:pPr>
        <w:ind w:left="227" w:right="113"/>
        <w:jc w:val="both"/>
        <w:rPr>
          <w:color w:val="000000" w:themeColor="text1"/>
        </w:rPr>
      </w:pPr>
      <w:r w:rsidRPr="00AE41BF">
        <w:rPr>
          <w:b/>
          <w:bCs/>
          <w:color w:val="000000" w:themeColor="text1"/>
        </w:rPr>
        <w:t>Erillik:</w:t>
      </w:r>
      <w:r w:rsidRPr="00AE41BF">
        <w:rPr>
          <w:color w:val="000000" w:themeColor="text1"/>
        </w:rPr>
        <w:t xml:space="preserve"> Bu boyutta yüksek çıkan maskülen yapı, toplumun başarı dürtüsünün yüksekliğini göstermektedir. Feminen yapı ise toplumun sahip olduğu değerlere, başkalarının yaşam kalitesine ve kendisi dışındaki olaylara ve durumlara da duyarlı olduğunu göstermektedir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2010).  Türkiye bu araştırmada aldığı 45 puanla skalanın Feminen tarafındadır ve toplumsal eşitlik, görüş birliğine varma, ezilenin</w:t>
      </w:r>
      <w:r>
        <w:rPr>
          <w:color w:val="000000" w:themeColor="text1"/>
        </w:rPr>
        <w:t xml:space="preserve"> ve sorun yaşayan kişilerin</w:t>
      </w:r>
      <w:r w:rsidRPr="00AE41BF">
        <w:rPr>
          <w:color w:val="000000" w:themeColor="text1"/>
        </w:rPr>
        <w:t xml:space="preserve"> yanında olma gibi konular Türkiye için önemlidir. Organizasyonlarda statü gösterisi de Türkiye’nin feminen yapısından kaynaklanmaktadır. </w:t>
      </w:r>
      <w:proofErr w:type="spellStart"/>
      <w:r w:rsidRPr="00AE41BF">
        <w:rPr>
          <w:color w:val="000000" w:themeColor="text1"/>
        </w:rPr>
        <w:t>Hofstede’nin</w:t>
      </w:r>
      <w:proofErr w:type="spellEnd"/>
      <w:r w:rsidRPr="00AE41BF">
        <w:rPr>
          <w:color w:val="000000" w:themeColor="text1"/>
        </w:rPr>
        <w:t xml:space="preserve"> Erillik Endeksine bakıldığında; Türkiye’nin Feminen yapısı, toplumun değerlerine önem vermesi ve takdir görme arzusu turizm işletmelerinde başarı ile gerçekleştirilecek bir değişim yönetimi uygulamasına açık olduğu, değişime direnç olabilecek bir unsur olan çatışmalardan kaçınan tarafı ile uygulamaların sahiplenilmesini kolaylaştıracaktır.</w:t>
      </w:r>
    </w:p>
    <w:p w14:paraId="17152A04" w14:textId="77777777" w:rsidR="00626F42" w:rsidRPr="00AE41BF" w:rsidRDefault="00626F42" w:rsidP="00626F42">
      <w:pPr>
        <w:ind w:left="227" w:right="113"/>
        <w:jc w:val="both"/>
        <w:rPr>
          <w:color w:val="000000" w:themeColor="text1"/>
        </w:rPr>
      </w:pPr>
    </w:p>
    <w:p w14:paraId="21F9A556" w14:textId="77777777" w:rsidR="00626F42" w:rsidRDefault="00626F42" w:rsidP="00626F42">
      <w:pPr>
        <w:ind w:left="227" w:right="113"/>
        <w:jc w:val="both"/>
        <w:rPr>
          <w:color w:val="000000" w:themeColor="text1"/>
        </w:rPr>
      </w:pPr>
      <w:r w:rsidRPr="00AE41BF">
        <w:rPr>
          <w:b/>
          <w:bCs/>
          <w:color w:val="000000" w:themeColor="text1"/>
        </w:rPr>
        <w:t>Belirsizliği Göz Ardı Etme:</w:t>
      </w:r>
      <w:r w:rsidRPr="00AE41BF">
        <w:rPr>
          <w:color w:val="000000" w:themeColor="text1"/>
        </w:rPr>
        <w:t xml:space="preserve"> Belirsizlikten kaçınma boyutu bir toplumun geleceği asla bilemeyeceği gerçeğiyle ne kadar ilgilendiğinin ölçülmesiyle alakalıdır. Geleceği kontrol altına almaya çalışmak ya da direkt yaşanacakların olmasına izin vermek sorunsalı toplumlarda endişe uyandırır. Her toplumun bu endişeyi ele alış şekli </w:t>
      </w:r>
      <w:r>
        <w:rPr>
          <w:color w:val="000000" w:themeColor="text1"/>
        </w:rPr>
        <w:t>birbirinden farklılık göstermektedir.</w:t>
      </w:r>
      <w:r w:rsidRPr="00AE41BF">
        <w:rPr>
          <w:color w:val="000000" w:themeColor="text1"/>
        </w:rPr>
        <w:t xml:space="preserve"> Bir kültür mensuplarının, belirsiz veya bilinmeyen durumlarda bunlardan kaçınmaya çalışan inanç ve kurumlar oluşturduğu ölçüde, </w:t>
      </w:r>
      <w:r>
        <w:rPr>
          <w:color w:val="000000" w:themeColor="text1"/>
        </w:rPr>
        <w:t xml:space="preserve">bu durum </w:t>
      </w:r>
      <w:r w:rsidRPr="00AE41BF">
        <w:rPr>
          <w:color w:val="000000" w:themeColor="text1"/>
        </w:rPr>
        <w:t>Belirsizlik Kaçınma Puanına yansı</w:t>
      </w:r>
      <w:r>
        <w:rPr>
          <w:color w:val="000000" w:themeColor="text1"/>
        </w:rPr>
        <w:t>maktadır</w:t>
      </w:r>
      <w:r w:rsidRPr="00AE41BF">
        <w:rPr>
          <w:color w:val="000000" w:themeColor="text1"/>
        </w:rPr>
        <w:t xml:space="preserve">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2010).  Türkiye</w:t>
      </w:r>
      <w:r>
        <w:rPr>
          <w:color w:val="000000" w:themeColor="text1"/>
        </w:rPr>
        <w:t xml:space="preserve">’nin </w:t>
      </w:r>
      <w:r w:rsidRPr="00AE41BF">
        <w:rPr>
          <w:color w:val="000000" w:themeColor="text1"/>
        </w:rPr>
        <w:t>bu ölçütte 85 puan al</w:t>
      </w:r>
      <w:r>
        <w:rPr>
          <w:color w:val="000000" w:themeColor="text1"/>
        </w:rPr>
        <w:t xml:space="preserve">dığı görülmektedir. </w:t>
      </w:r>
      <w:r w:rsidRPr="00AE41BF">
        <w:rPr>
          <w:color w:val="000000" w:themeColor="text1"/>
        </w:rPr>
        <w:t>Buna göre, yasalara ve kurallara çok ihtiyaç duyul</w:t>
      </w:r>
      <w:r>
        <w:rPr>
          <w:color w:val="000000" w:themeColor="text1"/>
        </w:rPr>
        <w:t>duğu söylenebilmektedir</w:t>
      </w:r>
      <w:r w:rsidRPr="00AE41BF">
        <w:rPr>
          <w:color w:val="000000" w:themeColor="text1"/>
        </w:rPr>
        <w:t>. Endişeyi en aza indirmek için insanlar birçok</w:t>
      </w:r>
      <w:r>
        <w:rPr>
          <w:color w:val="000000" w:themeColor="text1"/>
        </w:rPr>
        <w:t xml:space="preserve"> farklı</w:t>
      </w:r>
      <w:r w:rsidRPr="00AE41BF">
        <w:rPr>
          <w:color w:val="000000" w:themeColor="text1"/>
        </w:rPr>
        <w:t xml:space="preserve"> ritüelden yararl</w:t>
      </w:r>
      <w:r>
        <w:rPr>
          <w:color w:val="000000" w:themeColor="text1"/>
        </w:rPr>
        <w:t>anmaktadırlar</w:t>
      </w:r>
      <w:r w:rsidRPr="00AE41BF">
        <w:rPr>
          <w:color w:val="000000" w:themeColor="text1"/>
        </w:rPr>
        <w:t xml:space="preserve">. </w:t>
      </w:r>
      <w:proofErr w:type="spellStart"/>
      <w:r w:rsidRPr="00AE41BF">
        <w:rPr>
          <w:color w:val="000000" w:themeColor="text1"/>
        </w:rPr>
        <w:t>Hofstede’nin</w:t>
      </w:r>
      <w:proofErr w:type="spellEnd"/>
      <w:r w:rsidRPr="00AE41BF">
        <w:rPr>
          <w:color w:val="000000" w:themeColor="text1"/>
        </w:rPr>
        <w:t xml:space="preserve"> Belirsizliği göz ardı etme indeksine bakıldığında Türkiye’de insanların belirsizlikten rahatsızlık duydukları açıkça görülmektedir. Değişim yönetimi uygulamalarının da çalışanlara yeterli derecede anlatılmaması durumunda, çalışanlar değişim yönetimine karşı direnç gösterebilirler. Turizm işletmelerinde yaşanacak ufak bir aksama dahi tüketiciye yansıtılırsa bu durum hizmet kalitesini etkileyecek</w:t>
      </w:r>
      <w:r>
        <w:rPr>
          <w:color w:val="000000" w:themeColor="text1"/>
        </w:rPr>
        <w:t xml:space="preserve"> olup</w:t>
      </w:r>
      <w:r w:rsidRPr="00AE41BF">
        <w:rPr>
          <w:color w:val="000000" w:themeColor="text1"/>
        </w:rPr>
        <w:t xml:space="preserve"> bu nedenle belirsizliğin karmaşıklığa</w:t>
      </w:r>
      <w:r w:rsidRPr="00AE41BF">
        <w:t xml:space="preserve"> </w:t>
      </w:r>
      <w:r w:rsidRPr="00AE41BF">
        <w:rPr>
          <w:color w:val="000000" w:themeColor="text1"/>
        </w:rPr>
        <w:t xml:space="preserve">neden olacağı inancı, turizm işletmelerinde değişim yönetimi uygulamaları açısından bir tehdit olarak algılanabilir. </w:t>
      </w:r>
    </w:p>
    <w:p w14:paraId="01488B78" w14:textId="77777777" w:rsidR="00626F42" w:rsidRPr="00AE41BF" w:rsidRDefault="00626F42" w:rsidP="00626F42">
      <w:pPr>
        <w:ind w:left="227" w:right="113"/>
        <w:jc w:val="both"/>
        <w:rPr>
          <w:color w:val="000000" w:themeColor="text1"/>
        </w:rPr>
      </w:pPr>
    </w:p>
    <w:p w14:paraId="571B290C" w14:textId="77777777" w:rsidR="00626F42" w:rsidRDefault="00626F42" w:rsidP="00626F42">
      <w:pPr>
        <w:ind w:left="227" w:right="113"/>
        <w:jc w:val="both"/>
        <w:rPr>
          <w:color w:val="000000" w:themeColor="text1"/>
        </w:rPr>
      </w:pPr>
      <w:r w:rsidRPr="00AE41BF">
        <w:rPr>
          <w:b/>
          <w:bCs/>
          <w:color w:val="000000" w:themeColor="text1"/>
        </w:rPr>
        <w:lastRenderedPageBreak/>
        <w:t>Uzun Dönemli Uyum Sağlama:</w:t>
      </w:r>
      <w:r w:rsidRPr="00AE41BF">
        <w:rPr>
          <w:color w:val="000000" w:themeColor="text1"/>
        </w:rPr>
        <w:t xml:space="preserve"> Bu boyuta göre toplumlar mevcut ve gelecek meselelerle uğraşırken temelde iki varoluş amacına göre hareket ederler ve bu ayrım toplumların normatif ya da pragmatik olmalarına göre değişmekte</w:t>
      </w:r>
      <w:r>
        <w:rPr>
          <w:color w:val="000000" w:themeColor="text1"/>
        </w:rPr>
        <w:t xml:space="preserve"> olduğu görülmektedir.</w:t>
      </w:r>
      <w:r w:rsidRPr="00AE41BF">
        <w:rPr>
          <w:color w:val="000000" w:themeColor="text1"/>
        </w:rPr>
        <w:t xml:space="preserve"> Normatif toplumlarda bireyler toplumsal değişimi daha </w:t>
      </w:r>
      <w:r>
        <w:rPr>
          <w:color w:val="000000" w:themeColor="text1"/>
        </w:rPr>
        <w:t xml:space="preserve">geniş bir </w:t>
      </w:r>
      <w:r w:rsidRPr="00AE41BF">
        <w:rPr>
          <w:color w:val="000000" w:themeColor="text1"/>
        </w:rPr>
        <w:t>zamana yayarak ve geleneklerini koruyarak gerçekleştirirken, pragmatik toplumlarda modern eğitimle</w:t>
      </w:r>
      <w:r>
        <w:rPr>
          <w:color w:val="000000" w:themeColor="text1"/>
        </w:rPr>
        <w:t>rle</w:t>
      </w:r>
      <w:r w:rsidRPr="00AE41BF">
        <w:rPr>
          <w:color w:val="000000" w:themeColor="text1"/>
        </w:rPr>
        <w:t xml:space="preserve"> ve bunun çabaları ile geleceğe </w:t>
      </w:r>
      <w:r>
        <w:rPr>
          <w:color w:val="000000" w:themeColor="text1"/>
        </w:rPr>
        <w:t xml:space="preserve">daha iyi bir şekilde </w:t>
      </w:r>
      <w:r w:rsidRPr="00AE41BF">
        <w:rPr>
          <w:color w:val="000000" w:themeColor="text1"/>
        </w:rPr>
        <w:t>hazırlanmaktadır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xml:space="preserve">, 2010). Türkiye 46 puan alarak ölçeğin ortasında, dolayısıyla </w:t>
      </w:r>
      <w:proofErr w:type="gramStart"/>
      <w:r w:rsidRPr="00AE41BF">
        <w:rPr>
          <w:color w:val="000000" w:themeColor="text1"/>
        </w:rPr>
        <w:t>hakim</w:t>
      </w:r>
      <w:proofErr w:type="gramEnd"/>
      <w:r w:rsidRPr="00AE41BF">
        <w:rPr>
          <w:color w:val="000000" w:themeColor="text1"/>
        </w:rPr>
        <w:t xml:space="preserve"> bir kültür tercihi çıkarılamamaktadır ve uzun dönemli uyum sağlama endeksine yatkınlığı görülmemektedir. </w:t>
      </w:r>
      <w:proofErr w:type="spellStart"/>
      <w:r w:rsidRPr="00AE41BF">
        <w:rPr>
          <w:color w:val="000000" w:themeColor="text1"/>
        </w:rPr>
        <w:t>Hofstede’nin</w:t>
      </w:r>
      <w:proofErr w:type="spellEnd"/>
      <w:r w:rsidRPr="00AE41BF">
        <w:rPr>
          <w:color w:val="000000" w:themeColor="text1"/>
        </w:rPr>
        <w:t xml:space="preserve"> </w:t>
      </w:r>
      <w:r>
        <w:rPr>
          <w:color w:val="000000" w:themeColor="text1"/>
        </w:rPr>
        <w:t>u</w:t>
      </w:r>
      <w:r w:rsidRPr="00AE41BF">
        <w:rPr>
          <w:color w:val="000000" w:themeColor="text1"/>
        </w:rPr>
        <w:t>zun dönemli uyum sağlama indeksine bakıldığında mevcut düzendeki ve gelecekteki sıkıntılarda geçmişi baz alma yatkınlığı, uygulanmış herhangi bir başarısız değişim yönetimi geçmişine sahip turizm işletmelerinde çalışanların geçmiş kötü tecrübe yüzünden yeni değişimlere olan inancını azaltacak</w:t>
      </w:r>
      <w:r>
        <w:rPr>
          <w:color w:val="000000" w:themeColor="text1"/>
        </w:rPr>
        <w:t>, bu inanç işlerin aksamasına sebebiyet verecek</w:t>
      </w:r>
      <w:r w:rsidRPr="00AE41BF">
        <w:rPr>
          <w:color w:val="000000" w:themeColor="text1"/>
        </w:rPr>
        <w:t xml:space="preserve"> ve değişime karşı bir direnç sağlayacaktır.</w:t>
      </w:r>
    </w:p>
    <w:p w14:paraId="4802A2E0" w14:textId="77777777" w:rsidR="00626F42" w:rsidRPr="00AE41BF" w:rsidRDefault="00626F42" w:rsidP="00626F42">
      <w:pPr>
        <w:ind w:left="227" w:right="113"/>
        <w:jc w:val="both"/>
        <w:rPr>
          <w:color w:val="000000" w:themeColor="text1"/>
        </w:rPr>
      </w:pPr>
    </w:p>
    <w:p w14:paraId="282F57CC" w14:textId="77777777" w:rsidR="00626F42" w:rsidRDefault="00626F42" w:rsidP="00626F42">
      <w:pPr>
        <w:ind w:left="227" w:right="113"/>
        <w:jc w:val="both"/>
        <w:rPr>
          <w:color w:val="000000" w:themeColor="text1"/>
        </w:rPr>
      </w:pPr>
      <w:r w:rsidRPr="00AE41BF">
        <w:rPr>
          <w:b/>
          <w:bCs/>
          <w:color w:val="000000" w:themeColor="text1"/>
        </w:rPr>
        <w:t>Hoşgörü:</w:t>
      </w:r>
      <w:r w:rsidRPr="00AE41BF">
        <w:rPr>
          <w:color w:val="000000" w:themeColor="text1"/>
        </w:rPr>
        <w:t xml:space="preserve"> </w:t>
      </w:r>
      <w:proofErr w:type="spellStart"/>
      <w:r w:rsidRPr="00AE41BF">
        <w:rPr>
          <w:color w:val="000000" w:themeColor="text1"/>
        </w:rPr>
        <w:t>Hofstede’ye</w:t>
      </w:r>
      <w:proofErr w:type="spellEnd"/>
      <w:r w:rsidRPr="00AE41BF">
        <w:rPr>
          <w:color w:val="000000" w:themeColor="text1"/>
        </w:rPr>
        <w:t xml:space="preserve"> göre toplumlar hoşgörülü ya da kısıtlayıcı olarak ikiye ayrılmaktadır. Hoşgörülü toplumlar bir nebze daha zayıf kontrol üzerine kuruluyken kısıtlayıcı topumlar ise daha güçlü bir kontrol mekanizması ile çalışmaktadır. Buna bağlı olarak da kültürler “anlayışlı” ya da “engellenmiş” olarak tanımlanarak ele alınır (</w:t>
      </w:r>
      <w:proofErr w:type="spellStart"/>
      <w:r w:rsidRPr="00AE41BF">
        <w:rPr>
          <w:color w:val="000000" w:themeColor="text1"/>
        </w:rPr>
        <w:t>Hofstede</w:t>
      </w:r>
      <w:proofErr w:type="spellEnd"/>
      <w:r w:rsidRPr="00AE41BF">
        <w:rPr>
          <w:color w:val="000000" w:themeColor="text1"/>
        </w:rPr>
        <w:t xml:space="preserve"> </w:t>
      </w:r>
      <w:r>
        <w:rPr>
          <w:color w:val="000000" w:themeColor="text1"/>
        </w:rPr>
        <w:t>vd.</w:t>
      </w:r>
      <w:r w:rsidRPr="00AE41BF">
        <w:rPr>
          <w:color w:val="000000" w:themeColor="text1"/>
        </w:rPr>
        <w:t xml:space="preserve">, 2010). Türkiye’nin aldığı 49 puan orta seviyelerde bir puan olduğu için hoşgörülü ya da hoşgörüsüz demek için yeterli karakteristik özellikleri göstermemektedir. Karadağ (2020)’ </w:t>
      </w:r>
      <w:proofErr w:type="spellStart"/>
      <w:r w:rsidRPr="00AE41BF">
        <w:rPr>
          <w:color w:val="000000" w:themeColor="text1"/>
        </w:rPr>
        <w:t>nin</w:t>
      </w:r>
      <w:proofErr w:type="spellEnd"/>
      <w:r w:rsidRPr="00AE41BF">
        <w:rPr>
          <w:color w:val="000000" w:themeColor="text1"/>
        </w:rPr>
        <w:t xml:space="preserve"> </w:t>
      </w:r>
      <w:proofErr w:type="spellStart"/>
      <w:r w:rsidRPr="00AE41BF">
        <w:rPr>
          <w:color w:val="000000" w:themeColor="text1"/>
        </w:rPr>
        <w:t>Hofstede’nin</w:t>
      </w:r>
      <w:proofErr w:type="spellEnd"/>
      <w:r w:rsidRPr="00AE41BF">
        <w:rPr>
          <w:color w:val="000000" w:themeColor="text1"/>
        </w:rPr>
        <w:t xml:space="preserve"> kültürel boyutlarını bölgelere göre incelediği çalışmasında Türkiye’nin kısıtlılığa yakın olduğunu belirtmiştir. Araştırmada Türkiye ortalamasının zıttı yönde çıkan sonuca göre Güneydoğu Anadolu Bölgesi 56 puan, Karadeniz Bölgesi ise 54,8 puanlık düzeyler ortaya çıkmıştır.  Bu durum kişilerin iş yaşamlarını ve sosyal yaşamlarını icra ederken daha mutlu olduklarını, manevi hazzın daha üstte tutulduğunu, insan odaklı bir yaklaşım sergilediklerini ve kişisel yaşam alanlarına da sahip çıktılarını göstermektedir (Karadağ, 2020:105-106). Bu çalışmada hoşgörü boyutu bu sonuç kıstas alınarak değerlendirilmiştir.</w:t>
      </w:r>
    </w:p>
    <w:p w14:paraId="3B480095" w14:textId="77777777" w:rsidR="00626F42" w:rsidRPr="0010638E" w:rsidRDefault="00626F42" w:rsidP="00626F42">
      <w:pPr>
        <w:ind w:left="227" w:right="113"/>
        <w:jc w:val="both"/>
        <w:rPr>
          <w:color w:val="000000" w:themeColor="text1"/>
        </w:rPr>
      </w:pPr>
    </w:p>
    <w:p w14:paraId="544B14F1" w14:textId="77777777" w:rsidR="00626F42" w:rsidRDefault="00626F42" w:rsidP="00626F42">
      <w:pPr>
        <w:ind w:right="113"/>
        <w:jc w:val="both"/>
        <w:rPr>
          <w:color w:val="000000" w:themeColor="text1"/>
        </w:rPr>
      </w:pPr>
      <w:r>
        <w:rPr>
          <w:b/>
          <w:bCs/>
          <w:color w:val="000000" w:themeColor="text1"/>
        </w:rPr>
        <w:t xml:space="preserve">    </w:t>
      </w:r>
      <w:r w:rsidRPr="00AE41BF">
        <w:rPr>
          <w:b/>
          <w:bCs/>
          <w:color w:val="000000" w:themeColor="text1"/>
        </w:rPr>
        <w:t>Tablo-1.</w:t>
      </w:r>
      <w:r w:rsidRPr="00AE41BF">
        <w:rPr>
          <w:color w:val="000000" w:themeColor="text1"/>
        </w:rPr>
        <w:t xml:space="preserve"> Türkiye </w:t>
      </w:r>
      <w:proofErr w:type="spellStart"/>
      <w:r w:rsidRPr="00AE41BF">
        <w:rPr>
          <w:color w:val="000000" w:themeColor="text1"/>
        </w:rPr>
        <w:t>Hofstede’nin</w:t>
      </w:r>
      <w:proofErr w:type="spellEnd"/>
      <w:r w:rsidRPr="00AE41BF">
        <w:rPr>
          <w:color w:val="000000" w:themeColor="text1"/>
        </w:rPr>
        <w:t xml:space="preserve"> 6D Kültür Boyutları Modeli ile Değişime Karşı Oluşan </w:t>
      </w:r>
    </w:p>
    <w:p w14:paraId="5F6F3FF5" w14:textId="77777777" w:rsidR="00626F42" w:rsidRPr="00AE41BF" w:rsidRDefault="00626F42" w:rsidP="00626F42">
      <w:pPr>
        <w:ind w:right="113"/>
        <w:jc w:val="both"/>
        <w:rPr>
          <w:color w:val="000000" w:themeColor="text1"/>
        </w:rPr>
      </w:pPr>
      <w:r>
        <w:rPr>
          <w:color w:val="000000" w:themeColor="text1"/>
        </w:rPr>
        <w:t xml:space="preserve">    </w:t>
      </w:r>
      <w:r w:rsidRPr="00AE41BF">
        <w:rPr>
          <w:color w:val="000000" w:themeColor="text1"/>
        </w:rPr>
        <w:t>Direncin Karşılaştırılması</w:t>
      </w:r>
    </w:p>
    <w:tbl>
      <w:tblPr>
        <w:tblStyle w:val="TabloKlavuzu"/>
        <w:tblpPr w:leftFromText="141" w:rightFromText="141" w:vertAnchor="page" w:horzAnchor="page" w:tblpX="1716" w:tblpY="5893"/>
        <w:tblW w:w="8789" w:type="dxa"/>
        <w:tblLayout w:type="fixed"/>
        <w:tblLook w:val="04A0" w:firstRow="1" w:lastRow="0" w:firstColumn="1" w:lastColumn="0" w:noHBand="0" w:noVBand="1"/>
      </w:tblPr>
      <w:tblGrid>
        <w:gridCol w:w="1838"/>
        <w:gridCol w:w="2208"/>
        <w:gridCol w:w="1811"/>
        <w:gridCol w:w="1509"/>
        <w:gridCol w:w="1423"/>
      </w:tblGrid>
      <w:tr w:rsidR="00626F42" w:rsidRPr="00C12529" w14:paraId="55251F3D" w14:textId="77777777" w:rsidTr="009732A9">
        <w:trPr>
          <w:trHeight w:val="420"/>
        </w:trPr>
        <w:tc>
          <w:tcPr>
            <w:tcW w:w="1838" w:type="dxa"/>
          </w:tcPr>
          <w:p w14:paraId="49F5951C" w14:textId="77777777" w:rsidR="00626F42" w:rsidRPr="00E07622" w:rsidRDefault="00626F42" w:rsidP="00626F42">
            <w:pPr>
              <w:jc w:val="both"/>
              <w:rPr>
                <w:rFonts w:cs="Times New Roman"/>
                <w:b/>
                <w:sz w:val="18"/>
                <w:szCs w:val="18"/>
              </w:rPr>
            </w:pPr>
          </w:p>
        </w:tc>
        <w:tc>
          <w:tcPr>
            <w:tcW w:w="2208" w:type="dxa"/>
          </w:tcPr>
          <w:p w14:paraId="6D663DB8" w14:textId="77777777" w:rsidR="00626F42" w:rsidRPr="00E07622" w:rsidRDefault="00626F42" w:rsidP="00626F42">
            <w:pPr>
              <w:jc w:val="both"/>
              <w:rPr>
                <w:rFonts w:cs="Times New Roman"/>
                <w:b/>
                <w:sz w:val="18"/>
                <w:szCs w:val="18"/>
              </w:rPr>
            </w:pPr>
            <w:r w:rsidRPr="00E07622">
              <w:rPr>
                <w:rFonts w:cs="Times New Roman"/>
                <w:b/>
                <w:sz w:val="18"/>
                <w:szCs w:val="18"/>
              </w:rPr>
              <w:t>İş ile İlgili Nedenlerden Dolayı Oluşan Direnç</w:t>
            </w:r>
          </w:p>
        </w:tc>
        <w:tc>
          <w:tcPr>
            <w:tcW w:w="1811" w:type="dxa"/>
          </w:tcPr>
          <w:p w14:paraId="065AA0ED" w14:textId="77777777" w:rsidR="00626F42" w:rsidRPr="00E07622" w:rsidRDefault="00626F42" w:rsidP="00626F42">
            <w:pPr>
              <w:jc w:val="both"/>
              <w:rPr>
                <w:rFonts w:cs="Times New Roman"/>
                <w:b/>
                <w:sz w:val="18"/>
                <w:szCs w:val="18"/>
              </w:rPr>
            </w:pPr>
          </w:p>
          <w:p w14:paraId="5DDC58EC" w14:textId="77777777" w:rsidR="00626F42" w:rsidRPr="00E07622" w:rsidRDefault="00626F42" w:rsidP="00626F42">
            <w:pPr>
              <w:jc w:val="both"/>
              <w:rPr>
                <w:rFonts w:cs="Times New Roman"/>
                <w:b/>
                <w:sz w:val="18"/>
                <w:szCs w:val="18"/>
              </w:rPr>
            </w:pPr>
          </w:p>
          <w:p w14:paraId="694C31BE" w14:textId="77777777" w:rsidR="00626F42" w:rsidRPr="00E07622" w:rsidRDefault="00626F42" w:rsidP="00626F42">
            <w:pPr>
              <w:jc w:val="both"/>
              <w:rPr>
                <w:rFonts w:cs="Times New Roman"/>
                <w:b/>
                <w:sz w:val="18"/>
                <w:szCs w:val="18"/>
              </w:rPr>
            </w:pPr>
            <w:r w:rsidRPr="00E07622">
              <w:rPr>
                <w:rFonts w:cs="Times New Roman"/>
                <w:b/>
                <w:sz w:val="18"/>
                <w:szCs w:val="18"/>
              </w:rPr>
              <w:t>Kişisel Nedenler</w:t>
            </w:r>
          </w:p>
        </w:tc>
        <w:tc>
          <w:tcPr>
            <w:tcW w:w="1509" w:type="dxa"/>
          </w:tcPr>
          <w:p w14:paraId="2B1D4853" w14:textId="77777777" w:rsidR="00626F42" w:rsidRPr="00E07622" w:rsidRDefault="00626F42" w:rsidP="00626F42">
            <w:pPr>
              <w:jc w:val="both"/>
              <w:rPr>
                <w:rFonts w:cs="Times New Roman"/>
                <w:b/>
                <w:sz w:val="18"/>
                <w:szCs w:val="18"/>
              </w:rPr>
            </w:pPr>
          </w:p>
          <w:p w14:paraId="1D6C6D20" w14:textId="77777777" w:rsidR="00626F42" w:rsidRPr="00E07622" w:rsidRDefault="00626F42" w:rsidP="00626F42">
            <w:pPr>
              <w:jc w:val="both"/>
              <w:rPr>
                <w:rFonts w:cs="Times New Roman"/>
                <w:b/>
                <w:sz w:val="18"/>
                <w:szCs w:val="18"/>
              </w:rPr>
            </w:pPr>
          </w:p>
          <w:p w14:paraId="63A31759" w14:textId="77777777" w:rsidR="00626F42" w:rsidRPr="00E07622" w:rsidRDefault="00626F42" w:rsidP="00626F42">
            <w:pPr>
              <w:jc w:val="both"/>
              <w:rPr>
                <w:rFonts w:cs="Times New Roman"/>
                <w:b/>
                <w:sz w:val="18"/>
                <w:szCs w:val="18"/>
              </w:rPr>
            </w:pPr>
            <w:r w:rsidRPr="00E07622">
              <w:rPr>
                <w:rFonts w:cs="Times New Roman"/>
                <w:b/>
                <w:sz w:val="18"/>
                <w:szCs w:val="18"/>
              </w:rPr>
              <w:t>Sosyal Nedenler</w:t>
            </w:r>
          </w:p>
        </w:tc>
        <w:tc>
          <w:tcPr>
            <w:tcW w:w="1423" w:type="dxa"/>
          </w:tcPr>
          <w:p w14:paraId="02C3B06A" w14:textId="77777777" w:rsidR="00626F42" w:rsidRPr="00E07622" w:rsidRDefault="00626F42" w:rsidP="00626F42">
            <w:pPr>
              <w:jc w:val="both"/>
              <w:rPr>
                <w:rFonts w:cs="Times New Roman"/>
                <w:b/>
                <w:sz w:val="18"/>
                <w:szCs w:val="18"/>
              </w:rPr>
            </w:pPr>
          </w:p>
          <w:p w14:paraId="28538862" w14:textId="77777777" w:rsidR="00626F42" w:rsidRPr="00E07622" w:rsidRDefault="00626F42" w:rsidP="00626F42">
            <w:pPr>
              <w:jc w:val="both"/>
              <w:rPr>
                <w:rFonts w:cs="Times New Roman"/>
                <w:b/>
                <w:sz w:val="18"/>
                <w:szCs w:val="18"/>
              </w:rPr>
            </w:pPr>
          </w:p>
          <w:p w14:paraId="27A3E216" w14:textId="77777777" w:rsidR="00626F42" w:rsidRPr="00E07622" w:rsidRDefault="00626F42" w:rsidP="00626F42">
            <w:pPr>
              <w:jc w:val="both"/>
              <w:rPr>
                <w:rFonts w:cs="Times New Roman"/>
                <w:b/>
                <w:sz w:val="18"/>
                <w:szCs w:val="18"/>
              </w:rPr>
            </w:pPr>
            <w:r w:rsidRPr="00E07622">
              <w:rPr>
                <w:rFonts w:cs="Times New Roman"/>
                <w:b/>
                <w:sz w:val="18"/>
                <w:szCs w:val="18"/>
              </w:rPr>
              <w:t>Örgütsel Nedenler</w:t>
            </w:r>
          </w:p>
        </w:tc>
      </w:tr>
      <w:tr w:rsidR="00626F42" w:rsidRPr="00C12529" w14:paraId="7E862753" w14:textId="77777777" w:rsidTr="009732A9">
        <w:trPr>
          <w:trHeight w:val="701"/>
        </w:trPr>
        <w:tc>
          <w:tcPr>
            <w:tcW w:w="1838" w:type="dxa"/>
          </w:tcPr>
          <w:p w14:paraId="0C2C3850" w14:textId="77777777" w:rsidR="00626F42" w:rsidRPr="00E07622" w:rsidRDefault="00626F42" w:rsidP="00626F42">
            <w:pPr>
              <w:jc w:val="both"/>
              <w:rPr>
                <w:rFonts w:cs="Times New Roman"/>
                <w:b/>
                <w:sz w:val="18"/>
                <w:szCs w:val="18"/>
              </w:rPr>
            </w:pPr>
          </w:p>
          <w:p w14:paraId="1778FDAD" w14:textId="77777777" w:rsidR="00626F42" w:rsidRPr="00E07622" w:rsidRDefault="00626F42" w:rsidP="00626F42">
            <w:pPr>
              <w:jc w:val="both"/>
              <w:rPr>
                <w:rFonts w:cs="Times New Roman"/>
                <w:b/>
                <w:sz w:val="18"/>
                <w:szCs w:val="18"/>
              </w:rPr>
            </w:pPr>
            <w:r w:rsidRPr="00E07622">
              <w:rPr>
                <w:rFonts w:cs="Times New Roman"/>
                <w:b/>
                <w:sz w:val="18"/>
                <w:szCs w:val="18"/>
              </w:rPr>
              <w:t>Güç Uzaklık Endeksi</w:t>
            </w:r>
          </w:p>
          <w:p w14:paraId="17A89A8F" w14:textId="77777777" w:rsidR="00626F42" w:rsidRPr="00E07622" w:rsidRDefault="00626F42" w:rsidP="00626F42">
            <w:pPr>
              <w:jc w:val="both"/>
              <w:rPr>
                <w:rFonts w:cs="Times New Roman"/>
                <w:b/>
                <w:sz w:val="18"/>
                <w:szCs w:val="18"/>
              </w:rPr>
            </w:pPr>
          </w:p>
        </w:tc>
        <w:tc>
          <w:tcPr>
            <w:tcW w:w="2208" w:type="dxa"/>
          </w:tcPr>
          <w:p w14:paraId="3A3E2914"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Gücün eşit dağılmaması / İşyerindeki çalışanların iş yükünün artmasından korkma durumu</w:t>
            </w:r>
          </w:p>
        </w:tc>
        <w:tc>
          <w:tcPr>
            <w:tcW w:w="1811" w:type="dxa"/>
          </w:tcPr>
          <w:p w14:paraId="7DBAC8E4"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Çalışanların alışkanlıklarından vazgeçmekten korkma durumu/Gücün ayrıcalık tanıması</w:t>
            </w:r>
          </w:p>
        </w:tc>
        <w:tc>
          <w:tcPr>
            <w:tcW w:w="1509" w:type="dxa"/>
          </w:tcPr>
          <w:p w14:paraId="01B9D0DD"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Gücün merkezi olması/ Çalışanların dışarıdan yönlendirilmekten hoşlanmaması</w:t>
            </w:r>
          </w:p>
        </w:tc>
        <w:tc>
          <w:tcPr>
            <w:tcW w:w="1423" w:type="dxa"/>
          </w:tcPr>
          <w:p w14:paraId="508E4F54"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Gücün merkezi olması/ İdarecilerin ve patronların kural koyucu olması ve bilgi akışının herkese ulaşamaması</w:t>
            </w:r>
          </w:p>
        </w:tc>
      </w:tr>
      <w:tr w:rsidR="00626F42" w:rsidRPr="00C12529" w14:paraId="0934C1B2" w14:textId="77777777" w:rsidTr="009732A9">
        <w:trPr>
          <w:trHeight w:val="494"/>
        </w:trPr>
        <w:tc>
          <w:tcPr>
            <w:tcW w:w="1838" w:type="dxa"/>
          </w:tcPr>
          <w:p w14:paraId="7B9F9BE0" w14:textId="77777777" w:rsidR="00626F42" w:rsidRPr="00E07622" w:rsidRDefault="00626F42" w:rsidP="00626F42">
            <w:pPr>
              <w:jc w:val="both"/>
              <w:rPr>
                <w:rFonts w:cs="Times New Roman"/>
                <w:b/>
                <w:sz w:val="18"/>
                <w:szCs w:val="18"/>
              </w:rPr>
            </w:pPr>
          </w:p>
          <w:p w14:paraId="352BE2D3" w14:textId="77777777" w:rsidR="00626F42" w:rsidRPr="00E07622" w:rsidRDefault="00626F42" w:rsidP="00626F42">
            <w:pPr>
              <w:jc w:val="both"/>
              <w:rPr>
                <w:rFonts w:cs="Times New Roman"/>
                <w:b/>
                <w:sz w:val="18"/>
                <w:szCs w:val="18"/>
              </w:rPr>
            </w:pPr>
            <w:r w:rsidRPr="00E07622">
              <w:rPr>
                <w:rFonts w:cs="Times New Roman"/>
                <w:b/>
                <w:sz w:val="18"/>
                <w:szCs w:val="18"/>
              </w:rPr>
              <w:t>Bireysellik/</w:t>
            </w:r>
          </w:p>
          <w:p w14:paraId="6FA99BA1" w14:textId="77777777" w:rsidR="00626F42" w:rsidRPr="00E07622" w:rsidRDefault="00626F42" w:rsidP="00626F42">
            <w:pPr>
              <w:jc w:val="both"/>
              <w:rPr>
                <w:rFonts w:cs="Times New Roman"/>
                <w:b/>
                <w:sz w:val="18"/>
                <w:szCs w:val="18"/>
              </w:rPr>
            </w:pPr>
            <w:r w:rsidRPr="00E07622">
              <w:rPr>
                <w:rFonts w:cs="Times New Roman"/>
                <w:b/>
                <w:sz w:val="18"/>
                <w:szCs w:val="18"/>
              </w:rPr>
              <w:t>Toplumsallık</w:t>
            </w:r>
          </w:p>
          <w:p w14:paraId="58C46DAB" w14:textId="77777777" w:rsidR="00626F42" w:rsidRPr="00E07622" w:rsidRDefault="00626F42" w:rsidP="00626F42">
            <w:pPr>
              <w:jc w:val="both"/>
              <w:rPr>
                <w:rFonts w:cs="Times New Roman"/>
                <w:b/>
                <w:sz w:val="18"/>
                <w:szCs w:val="18"/>
              </w:rPr>
            </w:pPr>
          </w:p>
        </w:tc>
        <w:tc>
          <w:tcPr>
            <w:tcW w:w="2208" w:type="dxa"/>
          </w:tcPr>
          <w:p w14:paraId="02B00E78"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Adam Kayırma/ İşyerindeki çalışanların iş yükünün artmasından korkma durumu</w:t>
            </w:r>
          </w:p>
        </w:tc>
        <w:tc>
          <w:tcPr>
            <w:tcW w:w="1811" w:type="dxa"/>
          </w:tcPr>
          <w:p w14:paraId="3727C0CD"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Aidiyet duygusu / Kişilerin bireysel hareket ettiklerinde güvensiz hissetmesi durumu</w:t>
            </w:r>
          </w:p>
        </w:tc>
        <w:tc>
          <w:tcPr>
            <w:tcW w:w="1509" w:type="dxa"/>
          </w:tcPr>
          <w:p w14:paraId="0B1C3C97"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 xml:space="preserve">Ahlaki erozyon </w:t>
            </w:r>
            <w:proofErr w:type="gramStart"/>
            <w:r w:rsidRPr="00E07622">
              <w:rPr>
                <w:rFonts w:cs="Times New Roman"/>
                <w:color w:val="000000" w:themeColor="text1"/>
                <w:sz w:val="18"/>
                <w:szCs w:val="18"/>
              </w:rPr>
              <w:t>/  Gruplar</w:t>
            </w:r>
            <w:proofErr w:type="gramEnd"/>
            <w:r w:rsidRPr="00E07622">
              <w:rPr>
                <w:rFonts w:cs="Times New Roman"/>
                <w:color w:val="000000" w:themeColor="text1"/>
                <w:sz w:val="18"/>
                <w:szCs w:val="18"/>
              </w:rPr>
              <w:t xml:space="preserve"> arası çatışmalardan çekinme</w:t>
            </w:r>
          </w:p>
        </w:tc>
        <w:tc>
          <w:tcPr>
            <w:tcW w:w="1423" w:type="dxa"/>
          </w:tcPr>
          <w:p w14:paraId="554D153E"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Bağımlılık derecesi- ‘</w:t>
            </w:r>
            <w:proofErr w:type="spellStart"/>
            <w:r w:rsidRPr="00E07622">
              <w:rPr>
                <w:rFonts w:cs="Times New Roman"/>
                <w:color w:val="000000" w:themeColor="text1"/>
                <w:sz w:val="18"/>
                <w:szCs w:val="18"/>
              </w:rPr>
              <w:t>Biz’in</w:t>
            </w:r>
            <w:proofErr w:type="spellEnd"/>
            <w:r w:rsidRPr="00E07622">
              <w:rPr>
                <w:rFonts w:cs="Times New Roman"/>
                <w:color w:val="000000" w:themeColor="text1"/>
                <w:sz w:val="18"/>
                <w:szCs w:val="18"/>
              </w:rPr>
              <w:t xml:space="preserve"> önemi /Ekip çalışmasının olmaması</w:t>
            </w:r>
          </w:p>
        </w:tc>
      </w:tr>
      <w:tr w:rsidR="00626F42" w:rsidRPr="00C12529" w14:paraId="23250AB3" w14:textId="77777777" w:rsidTr="009732A9">
        <w:trPr>
          <w:trHeight w:val="401"/>
        </w:trPr>
        <w:tc>
          <w:tcPr>
            <w:tcW w:w="1838" w:type="dxa"/>
          </w:tcPr>
          <w:p w14:paraId="47F778CB" w14:textId="77777777" w:rsidR="00626F42" w:rsidRPr="00E07622" w:rsidRDefault="00626F42" w:rsidP="00626F42">
            <w:pPr>
              <w:jc w:val="both"/>
              <w:rPr>
                <w:rFonts w:cs="Times New Roman"/>
                <w:b/>
                <w:sz w:val="18"/>
                <w:szCs w:val="18"/>
              </w:rPr>
            </w:pPr>
          </w:p>
          <w:p w14:paraId="7BE1E73F" w14:textId="77777777" w:rsidR="00626F42" w:rsidRPr="00E07622" w:rsidRDefault="00626F42" w:rsidP="00626F42">
            <w:pPr>
              <w:jc w:val="both"/>
              <w:rPr>
                <w:rFonts w:cs="Times New Roman"/>
                <w:b/>
                <w:sz w:val="18"/>
                <w:szCs w:val="18"/>
              </w:rPr>
            </w:pPr>
            <w:r w:rsidRPr="00E07622">
              <w:rPr>
                <w:rFonts w:cs="Times New Roman"/>
                <w:b/>
                <w:sz w:val="18"/>
                <w:szCs w:val="18"/>
              </w:rPr>
              <w:t>Erillik</w:t>
            </w:r>
          </w:p>
          <w:p w14:paraId="2471647C" w14:textId="77777777" w:rsidR="00626F42" w:rsidRPr="00E07622" w:rsidRDefault="00626F42" w:rsidP="00626F42">
            <w:pPr>
              <w:jc w:val="both"/>
              <w:rPr>
                <w:rFonts w:cs="Times New Roman"/>
                <w:b/>
                <w:sz w:val="18"/>
                <w:szCs w:val="18"/>
              </w:rPr>
            </w:pPr>
          </w:p>
        </w:tc>
        <w:tc>
          <w:tcPr>
            <w:tcW w:w="2208" w:type="dxa"/>
          </w:tcPr>
          <w:p w14:paraId="2D28A19F"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İş yükünün artması /Ceza-ödül-iş-ücret değişiklikleri</w:t>
            </w:r>
          </w:p>
        </w:tc>
        <w:tc>
          <w:tcPr>
            <w:tcW w:w="1811" w:type="dxa"/>
          </w:tcPr>
          <w:p w14:paraId="0ACD0990"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 xml:space="preserve">Statü kaybetme /Taktir görmeme </w:t>
            </w:r>
          </w:p>
        </w:tc>
        <w:tc>
          <w:tcPr>
            <w:tcW w:w="1509" w:type="dxa"/>
          </w:tcPr>
          <w:p w14:paraId="76F480A6"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Toplumsal eşitliğin sarsılması/</w:t>
            </w:r>
          </w:p>
          <w:p w14:paraId="1CF84802"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Sosyal dengelerin bozulması</w:t>
            </w:r>
          </w:p>
        </w:tc>
        <w:tc>
          <w:tcPr>
            <w:tcW w:w="1423" w:type="dxa"/>
          </w:tcPr>
          <w:p w14:paraId="7BEF372F"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Örgütsel kayıplar/ Hiyerarşik yapının bozulması / Görüş ayrılıkları</w:t>
            </w:r>
          </w:p>
        </w:tc>
      </w:tr>
      <w:tr w:rsidR="00626F42" w:rsidRPr="00C12529" w14:paraId="2AB79526" w14:textId="77777777" w:rsidTr="009732A9">
        <w:trPr>
          <w:trHeight w:val="408"/>
        </w:trPr>
        <w:tc>
          <w:tcPr>
            <w:tcW w:w="1838" w:type="dxa"/>
          </w:tcPr>
          <w:p w14:paraId="5F183BD5" w14:textId="77777777" w:rsidR="00626F42" w:rsidRPr="00E07622" w:rsidRDefault="00626F42" w:rsidP="00626F42">
            <w:pPr>
              <w:jc w:val="both"/>
              <w:rPr>
                <w:rFonts w:cs="Times New Roman"/>
                <w:b/>
                <w:sz w:val="18"/>
                <w:szCs w:val="18"/>
              </w:rPr>
            </w:pPr>
          </w:p>
          <w:p w14:paraId="3FBC4D2B" w14:textId="77777777" w:rsidR="00626F42" w:rsidRPr="00E07622" w:rsidRDefault="00626F42" w:rsidP="00626F42">
            <w:pPr>
              <w:jc w:val="both"/>
              <w:rPr>
                <w:rFonts w:cs="Times New Roman"/>
                <w:b/>
                <w:sz w:val="18"/>
                <w:szCs w:val="18"/>
              </w:rPr>
            </w:pPr>
            <w:r w:rsidRPr="00E07622">
              <w:rPr>
                <w:rFonts w:cs="Times New Roman"/>
                <w:b/>
                <w:sz w:val="18"/>
                <w:szCs w:val="18"/>
              </w:rPr>
              <w:t>Belirsizliği Göz Ardı Etme İndeksi</w:t>
            </w:r>
          </w:p>
          <w:p w14:paraId="35E94EF3" w14:textId="77777777" w:rsidR="00626F42" w:rsidRPr="00E07622" w:rsidRDefault="00626F42" w:rsidP="00626F42">
            <w:pPr>
              <w:jc w:val="both"/>
              <w:rPr>
                <w:rFonts w:cs="Times New Roman"/>
                <w:b/>
                <w:sz w:val="18"/>
                <w:szCs w:val="18"/>
              </w:rPr>
            </w:pPr>
          </w:p>
        </w:tc>
        <w:tc>
          <w:tcPr>
            <w:tcW w:w="2208" w:type="dxa"/>
          </w:tcPr>
          <w:p w14:paraId="5286A26F"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 xml:space="preserve">Değişim belirsizliği/İş kaybı </w:t>
            </w:r>
          </w:p>
        </w:tc>
        <w:tc>
          <w:tcPr>
            <w:tcW w:w="1811" w:type="dxa"/>
          </w:tcPr>
          <w:p w14:paraId="12125438"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Belirsizlikten kaçınma/ Değişime bir bilinmez olarak bakılması</w:t>
            </w:r>
          </w:p>
        </w:tc>
        <w:tc>
          <w:tcPr>
            <w:tcW w:w="1509" w:type="dxa"/>
          </w:tcPr>
          <w:p w14:paraId="64359E4A"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Belirsizliğin yarattığı ve bıraktığı izlenimler</w:t>
            </w:r>
          </w:p>
        </w:tc>
        <w:tc>
          <w:tcPr>
            <w:tcW w:w="1423" w:type="dxa"/>
          </w:tcPr>
          <w:p w14:paraId="780674B1"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Yeniliklere ayak uydurma/ Hizmet kalitesinin etkilenmesi</w:t>
            </w:r>
          </w:p>
        </w:tc>
      </w:tr>
      <w:tr w:rsidR="00626F42" w:rsidRPr="00C12529" w14:paraId="1077DA8B" w14:textId="77777777" w:rsidTr="009732A9">
        <w:trPr>
          <w:trHeight w:val="769"/>
        </w:trPr>
        <w:tc>
          <w:tcPr>
            <w:tcW w:w="1838" w:type="dxa"/>
          </w:tcPr>
          <w:p w14:paraId="5FE1AD64" w14:textId="77777777" w:rsidR="00626F42" w:rsidRPr="00E07622" w:rsidRDefault="00626F42" w:rsidP="00626F42">
            <w:pPr>
              <w:jc w:val="both"/>
              <w:rPr>
                <w:rFonts w:cs="Times New Roman"/>
                <w:b/>
                <w:sz w:val="18"/>
                <w:szCs w:val="18"/>
              </w:rPr>
            </w:pPr>
          </w:p>
          <w:p w14:paraId="6FC5C651" w14:textId="77777777" w:rsidR="00626F42" w:rsidRPr="00E07622" w:rsidRDefault="00626F42" w:rsidP="00626F42">
            <w:pPr>
              <w:jc w:val="both"/>
              <w:rPr>
                <w:rFonts w:cs="Times New Roman"/>
                <w:b/>
                <w:sz w:val="18"/>
                <w:szCs w:val="18"/>
              </w:rPr>
            </w:pPr>
            <w:r w:rsidRPr="00E07622">
              <w:rPr>
                <w:rFonts w:cs="Times New Roman"/>
                <w:b/>
                <w:sz w:val="18"/>
                <w:szCs w:val="18"/>
              </w:rPr>
              <w:t>Uzun Dönemli Uyum Sağlama</w:t>
            </w:r>
          </w:p>
          <w:p w14:paraId="11560E56" w14:textId="77777777" w:rsidR="00626F42" w:rsidRPr="00E07622" w:rsidRDefault="00626F42" w:rsidP="00626F42">
            <w:pPr>
              <w:jc w:val="both"/>
              <w:rPr>
                <w:rFonts w:cs="Times New Roman"/>
                <w:b/>
                <w:sz w:val="18"/>
                <w:szCs w:val="18"/>
              </w:rPr>
            </w:pPr>
          </w:p>
        </w:tc>
        <w:tc>
          <w:tcPr>
            <w:tcW w:w="2208" w:type="dxa"/>
          </w:tcPr>
          <w:p w14:paraId="2D70A4ED"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İşlerin aksaması/ Kesin sonuç alınamaması</w:t>
            </w:r>
          </w:p>
        </w:tc>
        <w:tc>
          <w:tcPr>
            <w:tcW w:w="1811" w:type="dxa"/>
          </w:tcPr>
          <w:p w14:paraId="5573EDF7"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 xml:space="preserve">Kişisel istikrarın kaybedilmesi  </w:t>
            </w:r>
          </w:p>
        </w:tc>
        <w:tc>
          <w:tcPr>
            <w:tcW w:w="1509" w:type="dxa"/>
          </w:tcPr>
          <w:p w14:paraId="5B7CFCB6"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Geleneklerin ve sosyal taleplerin zedelenmesi</w:t>
            </w:r>
          </w:p>
        </w:tc>
        <w:tc>
          <w:tcPr>
            <w:tcW w:w="1423" w:type="dxa"/>
          </w:tcPr>
          <w:p w14:paraId="64F7C61B"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Gelecekteki zorlukları kendi geçmişinden yola çıkarak çözme eğilimi/Bir önceki değişim uygulamalarının başarısız olması</w:t>
            </w:r>
          </w:p>
        </w:tc>
      </w:tr>
      <w:tr w:rsidR="00626F42" w:rsidRPr="00C12529" w14:paraId="4F27FC62" w14:textId="77777777" w:rsidTr="009732A9">
        <w:trPr>
          <w:trHeight w:val="1075"/>
        </w:trPr>
        <w:tc>
          <w:tcPr>
            <w:tcW w:w="1838" w:type="dxa"/>
          </w:tcPr>
          <w:p w14:paraId="6107CD14" w14:textId="77777777" w:rsidR="00626F42" w:rsidRPr="00E07622" w:rsidRDefault="00626F42" w:rsidP="00626F42">
            <w:pPr>
              <w:jc w:val="both"/>
              <w:rPr>
                <w:rFonts w:cs="Times New Roman"/>
                <w:b/>
                <w:sz w:val="18"/>
                <w:szCs w:val="18"/>
              </w:rPr>
            </w:pPr>
            <w:r w:rsidRPr="00E07622">
              <w:rPr>
                <w:rFonts w:cs="Times New Roman"/>
                <w:b/>
                <w:sz w:val="18"/>
                <w:szCs w:val="18"/>
              </w:rPr>
              <w:lastRenderedPageBreak/>
              <w:t>Hoşgörü</w:t>
            </w:r>
          </w:p>
        </w:tc>
        <w:tc>
          <w:tcPr>
            <w:tcW w:w="2208" w:type="dxa"/>
          </w:tcPr>
          <w:p w14:paraId="03535628"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İş yaşamından alınan hazdaki değişiklik</w:t>
            </w:r>
          </w:p>
        </w:tc>
        <w:tc>
          <w:tcPr>
            <w:tcW w:w="1811" w:type="dxa"/>
          </w:tcPr>
          <w:p w14:paraId="2F1CE080" w14:textId="77777777" w:rsidR="00626F42" w:rsidRPr="00E07622" w:rsidRDefault="00626F42" w:rsidP="00626F42">
            <w:pPr>
              <w:jc w:val="both"/>
              <w:rPr>
                <w:rFonts w:cs="Times New Roman"/>
                <w:color w:val="000000" w:themeColor="text1"/>
                <w:sz w:val="18"/>
                <w:szCs w:val="18"/>
              </w:rPr>
            </w:pPr>
            <w:bookmarkStart w:id="268" w:name="_Hlk56777387"/>
            <w:r w:rsidRPr="00E07622">
              <w:rPr>
                <w:rFonts w:cs="Times New Roman"/>
                <w:color w:val="000000" w:themeColor="text1"/>
                <w:sz w:val="18"/>
                <w:szCs w:val="18"/>
              </w:rPr>
              <w:t>Kişisel yaşamın kontrol edilmesi/ İfade özgürlüğü kısıtla</w:t>
            </w:r>
            <w:bookmarkEnd w:id="268"/>
            <w:r w:rsidRPr="00E07622">
              <w:rPr>
                <w:rFonts w:cs="Times New Roman"/>
                <w:color w:val="000000" w:themeColor="text1"/>
                <w:sz w:val="18"/>
                <w:szCs w:val="18"/>
              </w:rPr>
              <w:t>maları</w:t>
            </w:r>
          </w:p>
        </w:tc>
        <w:tc>
          <w:tcPr>
            <w:tcW w:w="1509" w:type="dxa"/>
          </w:tcPr>
          <w:p w14:paraId="01DD492D"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Sosyal hayatın kısıtlanması /Dışarıdan yönlendirilme korkusu</w:t>
            </w:r>
          </w:p>
        </w:tc>
        <w:tc>
          <w:tcPr>
            <w:tcW w:w="1423" w:type="dxa"/>
          </w:tcPr>
          <w:p w14:paraId="214CF015"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Örgütsel anlayıştaki değişiklik/</w:t>
            </w:r>
          </w:p>
          <w:p w14:paraId="1FA319F8" w14:textId="77777777" w:rsidR="00626F42" w:rsidRPr="00E07622" w:rsidRDefault="00626F42" w:rsidP="00626F42">
            <w:pPr>
              <w:jc w:val="both"/>
              <w:rPr>
                <w:rFonts w:cs="Times New Roman"/>
                <w:color w:val="000000" w:themeColor="text1"/>
                <w:sz w:val="18"/>
                <w:szCs w:val="18"/>
              </w:rPr>
            </w:pPr>
            <w:r w:rsidRPr="00E07622">
              <w:rPr>
                <w:rFonts w:cs="Times New Roman"/>
                <w:color w:val="000000" w:themeColor="text1"/>
                <w:sz w:val="18"/>
                <w:szCs w:val="18"/>
              </w:rPr>
              <w:t>Kontrol mekanizmasının artması</w:t>
            </w:r>
          </w:p>
        </w:tc>
      </w:tr>
    </w:tbl>
    <w:p w14:paraId="4C0A2BC5" w14:textId="77777777" w:rsidR="00626F42" w:rsidRPr="00C12529" w:rsidRDefault="00626F42" w:rsidP="00626F42">
      <w:pPr>
        <w:jc w:val="both"/>
        <w:rPr>
          <w:b/>
          <w:bCs/>
        </w:rPr>
      </w:pPr>
      <w:r>
        <w:rPr>
          <w:b/>
          <w:bCs/>
        </w:rPr>
        <w:t xml:space="preserve">       </w:t>
      </w:r>
    </w:p>
    <w:p w14:paraId="3D3DFB2F" w14:textId="77777777" w:rsidR="00626F42" w:rsidRDefault="00626F42" w:rsidP="00626F42">
      <w:pPr>
        <w:ind w:right="113"/>
        <w:jc w:val="both"/>
        <w:rPr>
          <w:b/>
          <w:bCs/>
          <w:color w:val="000000" w:themeColor="text1"/>
        </w:rPr>
      </w:pPr>
      <w:r>
        <w:rPr>
          <w:b/>
          <w:bCs/>
        </w:rPr>
        <w:t xml:space="preserve">      </w:t>
      </w:r>
      <w:r w:rsidRPr="00AD11D3">
        <w:rPr>
          <w:b/>
          <w:bCs/>
        </w:rPr>
        <w:t>Kaynak:</w:t>
      </w:r>
      <w:r>
        <w:t xml:space="preserve"> Yazarlar tarafından oluşturulmuştur.</w:t>
      </w:r>
    </w:p>
    <w:p w14:paraId="0DDA1304" w14:textId="77777777" w:rsidR="00626F42" w:rsidRPr="00AE41BF" w:rsidRDefault="00626F42" w:rsidP="00626F42">
      <w:pPr>
        <w:ind w:right="113"/>
        <w:jc w:val="both"/>
        <w:rPr>
          <w:b/>
          <w:bCs/>
          <w:color w:val="000000" w:themeColor="text1"/>
        </w:rPr>
      </w:pPr>
      <w:r w:rsidRPr="00AE41BF">
        <w:rPr>
          <w:b/>
          <w:bCs/>
          <w:color w:val="000000" w:themeColor="text1"/>
        </w:rPr>
        <w:t>Sonuç</w:t>
      </w:r>
    </w:p>
    <w:p w14:paraId="02184B3C" w14:textId="77777777" w:rsidR="00626F42" w:rsidRDefault="00626F42" w:rsidP="00626F42">
      <w:pPr>
        <w:ind w:right="113"/>
        <w:jc w:val="both"/>
        <w:rPr>
          <w:color w:val="000000" w:themeColor="text1"/>
        </w:rPr>
      </w:pPr>
      <w:r w:rsidRPr="00AE41BF">
        <w:rPr>
          <w:color w:val="000000" w:themeColor="text1"/>
        </w:rPr>
        <w:t xml:space="preserve">Turizmin dinamik yapısından kaynaklanan nedenlerden dolayı mevcut duruma uyum sağlamaya çalışırken başka bir değişim gereken durumla karşılaşılması olasıdır. Sektörün her türlü değişimden kolay etkilenmesi ve rekabette avantaj sağlayabilmesi için değişime ve değişimin beraberinde getirdiği koşullara en hızlı şekilde </w:t>
      </w:r>
      <w:proofErr w:type="gramStart"/>
      <w:r w:rsidRPr="00AE41BF">
        <w:rPr>
          <w:color w:val="000000" w:themeColor="text1"/>
        </w:rPr>
        <w:t>adapte olması</w:t>
      </w:r>
      <w:proofErr w:type="gramEnd"/>
      <w:r w:rsidRPr="00AE41BF">
        <w:rPr>
          <w:color w:val="000000" w:themeColor="text1"/>
        </w:rPr>
        <w:t xml:space="preserve"> gerekmektedir. Turizm işletmelerinin farklı yönetim ve uygulama anlayışları olsa da değişim süreçleri ve buna bağlı olarak çalışanlarda değişime karşı oluşan direncin benzerlikler göstermesi muhtemeldir. Bu nedenle çalışmamızda </w:t>
      </w:r>
      <w:proofErr w:type="spellStart"/>
      <w:r w:rsidRPr="00AE41BF">
        <w:rPr>
          <w:color w:val="000000" w:themeColor="text1"/>
        </w:rPr>
        <w:t>Hofstede’nin</w:t>
      </w:r>
      <w:proofErr w:type="spellEnd"/>
      <w:r w:rsidRPr="00AE41BF">
        <w:rPr>
          <w:color w:val="000000" w:themeColor="text1"/>
        </w:rPr>
        <w:t xml:space="preserve"> 6D kültürel boyutları modeli ile değişime karşı oluşan direncin karşılaştırılması yapılmıştır. Buna göre;</w:t>
      </w:r>
    </w:p>
    <w:p w14:paraId="790AFAE9" w14:textId="77777777" w:rsidR="00626F42" w:rsidRPr="00AE41BF" w:rsidRDefault="00626F42" w:rsidP="00626F42">
      <w:pPr>
        <w:ind w:right="113"/>
        <w:jc w:val="both"/>
        <w:rPr>
          <w:color w:val="000000" w:themeColor="text1"/>
        </w:rPr>
      </w:pPr>
    </w:p>
    <w:p w14:paraId="3548ACBE" w14:textId="77777777" w:rsidR="00626F42" w:rsidRDefault="00626F42" w:rsidP="00626F42">
      <w:pPr>
        <w:ind w:right="113"/>
        <w:jc w:val="both"/>
        <w:rPr>
          <w:color w:val="000000" w:themeColor="text1"/>
        </w:rPr>
      </w:pPr>
      <w:r w:rsidRPr="00AE41BF">
        <w:rPr>
          <w:color w:val="000000" w:themeColor="text1"/>
        </w:rPr>
        <w:t>Güç uzaklık indeksi ile iş ile ilgili nedenlerden dolayı oluşan direnç karşılaştırıldığında çalışanların gücün eşit dağılmaması ve iş yerinde iş yükünün artması, kişisel nedenler ile karşılaştırıldığında çalışanların alışkanlıklarından vazgeçmek istememesi, sosyal nedenler ile karşılaştırıldığında çalışanların dışarıdan yönlendirilmekten hoşlanmaması ve gücün merkezi olması, örgütsel nedenler ile karşılaştırıldığında idarecilerin ve patronların kural koyucu olması ve bilgi akışında problem oluşacağı gibi kaygılarla değişim yönetimine karşı direnç gösterebilecekleri görülmektedir.</w:t>
      </w:r>
    </w:p>
    <w:p w14:paraId="4017B53D" w14:textId="77777777" w:rsidR="00626F42" w:rsidRPr="00AE41BF" w:rsidRDefault="00626F42" w:rsidP="00626F42">
      <w:pPr>
        <w:ind w:right="113"/>
        <w:jc w:val="both"/>
        <w:rPr>
          <w:color w:val="000000" w:themeColor="text1"/>
        </w:rPr>
      </w:pPr>
    </w:p>
    <w:p w14:paraId="6890B22F" w14:textId="77777777" w:rsidR="00626F42" w:rsidRDefault="00626F42" w:rsidP="00626F42">
      <w:pPr>
        <w:ind w:right="113"/>
        <w:jc w:val="both"/>
        <w:rPr>
          <w:color w:val="000000" w:themeColor="text1"/>
        </w:rPr>
      </w:pPr>
      <w:r w:rsidRPr="00AE41BF">
        <w:rPr>
          <w:color w:val="000000" w:themeColor="text1"/>
        </w:rPr>
        <w:t>Bireysellik/ Toplumsallık indeksi ile iş ile ilgili nedenlerden dolayı oluşan direnç karşılaştırıldığında işyerindeki çalışanların iş yükünün artmasından çekinme ve adam kayırma gibi olumsuz durumların oluşabileceği, kişisel nedenler ile karşılaştırıldığında çalışanların aidiyet duygusunda oluşabilecek değişiklikler ve kişilerin bireysel hareket ettiklerinde meydana gelebilecek güvensizlik, sosyal nedenler ile karşılaştırıldığında ortaya çıkabilecek ahlaki erozyon ve gruplar arası çatışmalardan korkma, örgütsel nedenler ile karşılaştırıldığında kültür boyutlarında yer alan bağımlılık derecesindeki “biz</w:t>
      </w:r>
      <w:r>
        <w:rPr>
          <w:color w:val="000000" w:themeColor="text1"/>
        </w:rPr>
        <w:t>’’</w:t>
      </w:r>
      <w:r w:rsidRPr="00AE41BF">
        <w:rPr>
          <w:color w:val="000000" w:themeColor="text1"/>
        </w:rPr>
        <w:t xml:space="preserve"> kavramının önemi ile  ekip çalışması ruhunun kaybedilmesinden rahatsızlık duyma gibi nedenlerle kaygılarla değişim yönetimine karşı direnç gösterebilecekleri görülmektedir.</w:t>
      </w:r>
    </w:p>
    <w:p w14:paraId="1210AACA" w14:textId="77777777" w:rsidR="00626F42" w:rsidRPr="00AE41BF" w:rsidRDefault="00626F42" w:rsidP="00626F42">
      <w:pPr>
        <w:ind w:right="113"/>
        <w:jc w:val="both"/>
        <w:rPr>
          <w:color w:val="000000" w:themeColor="text1"/>
        </w:rPr>
      </w:pPr>
    </w:p>
    <w:p w14:paraId="2474C893" w14:textId="77777777" w:rsidR="00626F42" w:rsidRDefault="00626F42" w:rsidP="00626F42">
      <w:pPr>
        <w:ind w:right="113"/>
        <w:jc w:val="both"/>
        <w:rPr>
          <w:color w:val="000000" w:themeColor="text1"/>
        </w:rPr>
      </w:pPr>
      <w:r w:rsidRPr="00AE41BF">
        <w:rPr>
          <w:color w:val="000000" w:themeColor="text1"/>
        </w:rPr>
        <w:t>Erillik indeksi ile iş ile ilgili nedenlerden dolayı oluşan direnç karşılaştırıldığında iş yükünün artması ve ceza-ödül-iş-ücret dengesinin bozulması, kişisel nedenler ile karşılaştırıldığında çalışanların statü kaybı, takdir edilmeme kaygısı ve alışkanlıklarından uzaklaşmak durumunda kalma korkusu, sosyal nedenler ile karşılaştırıldığında değişim yönetim sürecinin getirebileceği belirsizlikle beraber çalışanların sosyal dengelerinin bozulması, örgütsel nedenler ile karşılaştırıldığında değişikliğin getirebileceği örgütsel kayıplarla işyerindeki hiyerarşik düzenin bozulması ve görüş ayrılıkları oluşabileceği kaygısı değişim yönetimine karşı direnç gösterebilecekleri görülmektedir.</w:t>
      </w:r>
    </w:p>
    <w:p w14:paraId="2F3F63EE" w14:textId="77777777" w:rsidR="00626F42" w:rsidRPr="00AE41BF" w:rsidRDefault="00626F42" w:rsidP="00626F42">
      <w:pPr>
        <w:ind w:right="113"/>
        <w:jc w:val="both"/>
        <w:rPr>
          <w:color w:val="000000" w:themeColor="text1"/>
        </w:rPr>
      </w:pPr>
    </w:p>
    <w:p w14:paraId="2DE9619A" w14:textId="77777777" w:rsidR="00626F42" w:rsidRPr="00AE41BF" w:rsidRDefault="00626F42" w:rsidP="00626F42">
      <w:pPr>
        <w:ind w:right="113"/>
        <w:jc w:val="both"/>
        <w:rPr>
          <w:color w:val="000000" w:themeColor="text1"/>
        </w:rPr>
      </w:pPr>
      <w:r w:rsidRPr="00AE41BF">
        <w:rPr>
          <w:color w:val="000000" w:themeColor="text1"/>
        </w:rPr>
        <w:t xml:space="preserve">Belirsizliği göz ardı etme indeksi ile iş ile ilgili nedenlerden dolayı oluşan direnç karşılaştırıldığında çalışanların net </w:t>
      </w:r>
      <w:r>
        <w:rPr>
          <w:color w:val="000000" w:themeColor="text1"/>
        </w:rPr>
        <w:t xml:space="preserve">bir şekilde </w:t>
      </w:r>
      <w:r w:rsidRPr="00AE41BF">
        <w:rPr>
          <w:color w:val="000000" w:themeColor="text1"/>
        </w:rPr>
        <w:t xml:space="preserve">anlatılmayan değişim yönetimi uygulamaları ile iş kaybı yaşayacaklarını düşünmeleri, kişisel nedenler ile karşılaştırıldığında çalışanların </w:t>
      </w:r>
      <w:r w:rsidRPr="00AE41BF">
        <w:rPr>
          <w:color w:val="000000" w:themeColor="text1"/>
        </w:rPr>
        <w:lastRenderedPageBreak/>
        <w:t xml:space="preserve">değişimi bir bilinmez </w:t>
      </w:r>
      <w:r>
        <w:rPr>
          <w:color w:val="000000" w:themeColor="text1"/>
        </w:rPr>
        <w:t xml:space="preserve">ve belirsiz durum </w:t>
      </w:r>
      <w:r w:rsidRPr="00AE41BF">
        <w:rPr>
          <w:color w:val="000000" w:themeColor="text1"/>
        </w:rPr>
        <w:t xml:space="preserve">olarak algılayıp </w:t>
      </w:r>
      <w:r>
        <w:rPr>
          <w:color w:val="000000" w:themeColor="text1"/>
        </w:rPr>
        <w:t xml:space="preserve">bu </w:t>
      </w:r>
      <w:r w:rsidRPr="00AE41BF">
        <w:rPr>
          <w:color w:val="000000" w:themeColor="text1"/>
        </w:rPr>
        <w:t>belirsizlikten tedirgin olması, sosyal nedenler ile karşılaştırıldığında çalışanların kendi geleneklerinin ve sosyal taleplerinin zedelenmesinden duydukları rahatsızlık, örgütsel nedenler ile karşılaştırıldığında değişen gelişmelere ayak uydurulamaması durumunda hizmet kalitesinin etkileneceğinin düşünülmesi gibi nedenlerle değişim yönetimine karşı direnç gösterebilecekleri görülmektedir.</w:t>
      </w:r>
    </w:p>
    <w:p w14:paraId="6D521700" w14:textId="77777777" w:rsidR="00626F42" w:rsidRPr="00AE41BF" w:rsidRDefault="00626F42" w:rsidP="00626F42">
      <w:pPr>
        <w:ind w:right="113"/>
        <w:jc w:val="both"/>
        <w:rPr>
          <w:color w:val="000000" w:themeColor="text1"/>
        </w:rPr>
      </w:pPr>
      <w:r w:rsidRPr="00AE41BF">
        <w:rPr>
          <w:color w:val="000000" w:themeColor="text1"/>
        </w:rPr>
        <w:t>Uzun dönemli uyum sağlama indeksi ile iş ile ilgili nedenlerden dolayı oluşan direnç karşılaştırıldığında işlerin hızlı ve kesin sonuç veremeyeceğinden duyulan rahatsızlık, kişisel nedenler ile karşılaştırıldığında kişisel istikrarın değişimle beraber kaybedilmesi korkusu, sosyal nedenler ile karşılaştırıldığında geleneklerin ve sosyal taleplerin zedelenmesinden duyulan rahatsızlık, örgütsel nedenler ile karşılaştırıldığında gelecekteki zorluklarla kendi geçmişinden yola çıkarak çözme eğiliminin meydana getirebileceği çıkmaz ve bir önceki değişim uygulamalarının başarısız olmasından kaynaklanan aynı zorlukları yaşama korkusu gibi nedenlerle değişim yönetimine karşı direnç gösterebilecekleri görülmektedir.</w:t>
      </w:r>
    </w:p>
    <w:p w14:paraId="014954D6" w14:textId="77777777" w:rsidR="00626F42" w:rsidRDefault="00626F42" w:rsidP="00626F42">
      <w:pPr>
        <w:ind w:right="113"/>
        <w:jc w:val="both"/>
        <w:rPr>
          <w:color w:val="000000" w:themeColor="text1"/>
        </w:rPr>
      </w:pPr>
      <w:r w:rsidRPr="00AE41BF">
        <w:rPr>
          <w:color w:val="000000" w:themeColor="text1"/>
        </w:rPr>
        <w:t xml:space="preserve">Hoşgörü indeksi ile iş ile ilgili nedenlerden dolayı oluşan direnç karşılaştırıldığında değişimle beraber iş yaşamından alınan hazzın azalmasından korkma, kişisel nedenler ile karşılaştırıldığında kişisel yaşamın kontrol edilmesinden ve ifade özgürlüğünün kısıtlanmasından korkma, sosyal nedenler ile karşılaştırıldığında değişimle beraber sosyal hayata ayırılacak zamanın kısıtlanması ve dışarıdan yönlendirilme korkusu, örgütsel nedenler ile karşılaştırıldığında  değişiklikle beraber örgütsel anlayışın değişerek örgütteki kontrol mekanizmasının artmasından duyulan rahatsız gibi nedenlerle değişim yönetimine karşı direnç gösterebilecekleri görülmektedir. </w:t>
      </w:r>
    </w:p>
    <w:p w14:paraId="7548568D" w14:textId="77777777" w:rsidR="00626F42" w:rsidRDefault="00626F42" w:rsidP="00626F42">
      <w:pPr>
        <w:ind w:right="113"/>
        <w:jc w:val="both"/>
        <w:rPr>
          <w:color w:val="000000" w:themeColor="text1"/>
        </w:rPr>
      </w:pPr>
    </w:p>
    <w:p w14:paraId="732D63FE" w14:textId="77777777" w:rsidR="00626F42" w:rsidRPr="00AE41BF" w:rsidRDefault="00626F42" w:rsidP="00626F42">
      <w:pPr>
        <w:ind w:right="57"/>
        <w:jc w:val="both"/>
        <w:rPr>
          <w:color w:val="000000" w:themeColor="text1"/>
        </w:rPr>
      </w:pPr>
      <w:proofErr w:type="spellStart"/>
      <w:r w:rsidRPr="009C726A">
        <w:rPr>
          <w:color w:val="000000" w:themeColor="text1"/>
        </w:rPr>
        <w:t>Hofstede’nin</w:t>
      </w:r>
      <w:proofErr w:type="spellEnd"/>
      <w:r w:rsidRPr="009C726A">
        <w:rPr>
          <w:color w:val="000000" w:themeColor="text1"/>
        </w:rPr>
        <w:t xml:space="preserve"> 6D Kültür Boyutları Modeli ile değişime karşı oluşan direncin karşılaştırılmasını turizm sektöründe araştıran çalışmaların sınırlı olması bu çalışmanın gelecek araştırmalara kaynak olmasını ve </w:t>
      </w:r>
      <w:proofErr w:type="spellStart"/>
      <w:r w:rsidRPr="009C726A">
        <w:rPr>
          <w:color w:val="000000" w:themeColor="text1"/>
        </w:rPr>
        <w:t>alanyazına</w:t>
      </w:r>
      <w:proofErr w:type="spellEnd"/>
      <w:r w:rsidRPr="009C726A">
        <w:rPr>
          <w:color w:val="000000" w:themeColor="text1"/>
        </w:rPr>
        <w:t xml:space="preserve"> farklı bir bakış açısı kazandırılması açısından literatüre katkısı olduğu ifade edilebilir. İleride yapılacak çalışmalar için </w:t>
      </w:r>
      <w:proofErr w:type="spellStart"/>
      <w:r w:rsidRPr="009C726A">
        <w:rPr>
          <w:color w:val="000000" w:themeColor="text1"/>
        </w:rPr>
        <w:t>Hofstede</w:t>
      </w:r>
      <w:proofErr w:type="spellEnd"/>
      <w:r w:rsidRPr="009C726A">
        <w:rPr>
          <w:color w:val="000000" w:themeColor="text1"/>
        </w:rPr>
        <w:t xml:space="preserve"> 6D Kültür Boyutları Modeli ile turizm sektöründe yer alan farklı alanlara odaklanılarak incelemeler önerilebilir.</w:t>
      </w:r>
      <w:r>
        <w:rPr>
          <w:color w:val="000000" w:themeColor="text1"/>
        </w:rPr>
        <w:t xml:space="preserve"> </w:t>
      </w:r>
    </w:p>
    <w:p w14:paraId="2F620DEC" w14:textId="77777777" w:rsidR="00626F42" w:rsidRDefault="00626F42" w:rsidP="00626F42">
      <w:pPr>
        <w:jc w:val="both"/>
        <w:rPr>
          <w:color w:val="000000" w:themeColor="text1"/>
        </w:rPr>
      </w:pPr>
    </w:p>
    <w:p w14:paraId="5FBCD9F2" w14:textId="77777777" w:rsidR="00626F42" w:rsidRDefault="00626F42" w:rsidP="00626F42">
      <w:pPr>
        <w:jc w:val="both"/>
        <w:rPr>
          <w:b/>
          <w:bCs/>
          <w:color w:val="000000" w:themeColor="text1"/>
        </w:rPr>
      </w:pPr>
      <w:r w:rsidRPr="00AE41BF">
        <w:rPr>
          <w:b/>
          <w:bCs/>
          <w:color w:val="000000" w:themeColor="text1"/>
        </w:rPr>
        <w:t>Kaynak</w:t>
      </w:r>
      <w:r>
        <w:rPr>
          <w:b/>
          <w:bCs/>
          <w:color w:val="000000" w:themeColor="text1"/>
        </w:rPr>
        <w:t>ça</w:t>
      </w:r>
    </w:p>
    <w:p w14:paraId="6B01F021" w14:textId="77777777" w:rsidR="00626F42" w:rsidRPr="000C1778" w:rsidRDefault="00626F42">
      <w:pPr>
        <w:pStyle w:val="ListeParagraf"/>
        <w:widowControl/>
        <w:numPr>
          <w:ilvl w:val="0"/>
          <w:numId w:val="94"/>
        </w:numPr>
        <w:autoSpaceDE/>
        <w:autoSpaceDN/>
        <w:jc w:val="both"/>
        <w:rPr>
          <w:color w:val="000000" w:themeColor="text1"/>
        </w:rPr>
      </w:pPr>
      <w:r w:rsidRPr="000C1778">
        <w:rPr>
          <w:color w:val="000000" w:themeColor="text1"/>
        </w:rPr>
        <w:t>Aktan, C. C. (1999). </w:t>
      </w:r>
      <w:r w:rsidRPr="000C1778">
        <w:rPr>
          <w:i/>
          <w:iCs/>
          <w:color w:val="000000" w:themeColor="text1"/>
        </w:rPr>
        <w:t>2000'li yıllarda yeni yönetim teknikleri: 2-stratejik yönetim</w:t>
      </w:r>
      <w:r w:rsidRPr="000C1778">
        <w:rPr>
          <w:color w:val="000000" w:themeColor="text1"/>
        </w:rPr>
        <w:t>. TÜGİAD.</w:t>
      </w:r>
    </w:p>
    <w:p w14:paraId="44660C50" w14:textId="77777777" w:rsidR="00626F42" w:rsidRPr="000C1778" w:rsidRDefault="00626F42">
      <w:pPr>
        <w:pStyle w:val="ListeParagraf"/>
        <w:widowControl/>
        <w:numPr>
          <w:ilvl w:val="0"/>
          <w:numId w:val="94"/>
        </w:numPr>
        <w:autoSpaceDE/>
        <w:autoSpaceDN/>
        <w:jc w:val="both"/>
        <w:rPr>
          <w:color w:val="000000" w:themeColor="text1"/>
        </w:rPr>
      </w:pPr>
      <w:r w:rsidRPr="000C1778">
        <w:rPr>
          <w:color w:val="000000" w:themeColor="text1"/>
        </w:rPr>
        <w:t xml:space="preserve">Antep, Z., ve Türk, A. (2024). Örgütsel </w:t>
      </w:r>
      <w:r w:rsidRPr="000C1778">
        <w:rPr>
          <w:color w:val="000000" w:themeColor="text1"/>
          <w:sz w:val="22"/>
        </w:rPr>
        <w:t>değişim yönetimi kavramının bibliyometrik analiz yöntemi ile incelenmesi.</w:t>
      </w:r>
      <w:r w:rsidRPr="000C1778">
        <w:rPr>
          <w:color w:val="000000" w:themeColor="text1"/>
        </w:rPr>
        <w:t xml:space="preserve"> </w:t>
      </w:r>
      <w:r w:rsidRPr="000C1778">
        <w:rPr>
          <w:i/>
          <w:iCs/>
          <w:color w:val="000000" w:themeColor="text1"/>
        </w:rPr>
        <w:t>Akademik Hassasiyetler, 12</w:t>
      </w:r>
      <w:r w:rsidRPr="000C1778">
        <w:rPr>
          <w:color w:val="000000" w:themeColor="text1"/>
        </w:rPr>
        <w:t>(25), 251-267.</w:t>
      </w:r>
    </w:p>
    <w:p w14:paraId="19F32950" w14:textId="77777777" w:rsidR="00626F42" w:rsidRPr="000C1778" w:rsidRDefault="00626F42">
      <w:pPr>
        <w:pStyle w:val="ListeParagraf"/>
        <w:widowControl/>
        <w:numPr>
          <w:ilvl w:val="0"/>
          <w:numId w:val="94"/>
        </w:numPr>
        <w:autoSpaceDE/>
        <w:autoSpaceDN/>
        <w:jc w:val="both"/>
        <w:rPr>
          <w:color w:val="000000" w:themeColor="text1"/>
        </w:rPr>
      </w:pPr>
      <w:r w:rsidRPr="000C1778">
        <w:rPr>
          <w:color w:val="000000" w:themeColor="text1"/>
        </w:rPr>
        <w:t xml:space="preserve">Bahar, E. ve </w:t>
      </w:r>
      <w:proofErr w:type="spellStart"/>
      <w:r w:rsidRPr="000C1778">
        <w:rPr>
          <w:color w:val="000000" w:themeColor="text1"/>
        </w:rPr>
        <w:t>Özbozkurt</w:t>
      </w:r>
      <w:proofErr w:type="spellEnd"/>
      <w:r w:rsidRPr="000C1778">
        <w:rPr>
          <w:color w:val="000000" w:themeColor="text1"/>
        </w:rPr>
        <w:t xml:space="preserve">, E. (2021). </w:t>
      </w:r>
      <w:r w:rsidRPr="000C1778">
        <w:rPr>
          <w:i/>
          <w:iCs/>
          <w:color w:val="000000" w:themeColor="text1"/>
        </w:rPr>
        <w:t>Değişim Yönetiminde Örgütsel Kültürün Fonksiyonu. İktisadi ve İdari Bilimler Alanında Uluslararası Araştırmalar</w:t>
      </w:r>
      <w:r w:rsidRPr="000C1778">
        <w:rPr>
          <w:color w:val="000000" w:themeColor="text1"/>
        </w:rPr>
        <w:t>. Eğitim Yayınevi.</w:t>
      </w:r>
    </w:p>
    <w:p w14:paraId="2084AA25"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Boztaş, K. (2007). Eğitimde değişim yönetimi. </w:t>
      </w:r>
      <w:r w:rsidRPr="000C1778">
        <w:rPr>
          <w:i/>
          <w:iCs/>
          <w:color w:val="000000" w:themeColor="text1"/>
        </w:rPr>
        <w:t>Eğitişim Dergisi</w:t>
      </w:r>
      <w:r w:rsidRPr="000C1778">
        <w:rPr>
          <w:color w:val="000000" w:themeColor="text1"/>
        </w:rPr>
        <w:t>, </w:t>
      </w:r>
      <w:r w:rsidRPr="000C1778">
        <w:rPr>
          <w:i/>
          <w:iCs/>
          <w:color w:val="000000" w:themeColor="text1"/>
        </w:rPr>
        <w:t>14</w:t>
      </w:r>
      <w:r w:rsidRPr="000C1778">
        <w:rPr>
          <w:color w:val="000000" w:themeColor="text1"/>
        </w:rPr>
        <w:t>, 1-10.</w:t>
      </w:r>
    </w:p>
    <w:p w14:paraId="1C801D3E"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Budak, G., ve Budak, G. (2006). </w:t>
      </w:r>
      <w:r w:rsidRPr="000C1778">
        <w:rPr>
          <w:i/>
          <w:iCs/>
          <w:color w:val="000000" w:themeColor="text1"/>
        </w:rPr>
        <w:t>Kriz ve kriz yönetimi.</w:t>
      </w:r>
      <w:r w:rsidRPr="000C1778">
        <w:rPr>
          <w:color w:val="000000" w:themeColor="text1"/>
        </w:rPr>
        <w:t> </w:t>
      </w:r>
      <w:r w:rsidRPr="000C1778">
        <w:rPr>
          <w:i/>
          <w:iCs/>
          <w:color w:val="000000" w:themeColor="text1"/>
        </w:rPr>
        <w:t xml:space="preserve">Çağdaş Yönetim Araçlarından Seçmeler, </w:t>
      </w:r>
      <w:r w:rsidRPr="000C1778">
        <w:rPr>
          <w:color w:val="000000" w:themeColor="text1"/>
        </w:rPr>
        <w:t>Nobel Yayıncılık.</w:t>
      </w:r>
    </w:p>
    <w:p w14:paraId="79EE9828"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Cattell</w:t>
      </w:r>
      <w:proofErr w:type="spellEnd"/>
      <w:r w:rsidRPr="000C1778">
        <w:rPr>
          <w:color w:val="000000" w:themeColor="text1"/>
        </w:rPr>
        <w:t xml:space="preserve">, R. (1950).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principal</w:t>
      </w:r>
      <w:proofErr w:type="spellEnd"/>
      <w:r w:rsidRPr="000C1778">
        <w:rPr>
          <w:color w:val="000000" w:themeColor="text1"/>
        </w:rPr>
        <w:t xml:space="preserve"> </w:t>
      </w:r>
      <w:proofErr w:type="spellStart"/>
      <w:r w:rsidRPr="000C1778">
        <w:rPr>
          <w:color w:val="000000" w:themeColor="text1"/>
        </w:rPr>
        <w:t>culture</w:t>
      </w:r>
      <w:proofErr w:type="spellEnd"/>
      <w:r w:rsidRPr="000C1778">
        <w:rPr>
          <w:color w:val="000000" w:themeColor="text1"/>
        </w:rPr>
        <w:t xml:space="preserve"> </w:t>
      </w:r>
      <w:proofErr w:type="spellStart"/>
      <w:r w:rsidRPr="000C1778">
        <w:rPr>
          <w:color w:val="000000" w:themeColor="text1"/>
        </w:rPr>
        <w:t>patterns</w:t>
      </w:r>
      <w:proofErr w:type="spellEnd"/>
      <w:r w:rsidRPr="000C1778">
        <w:rPr>
          <w:color w:val="000000" w:themeColor="text1"/>
        </w:rPr>
        <w:t xml:space="preserve"> </w:t>
      </w:r>
      <w:proofErr w:type="spellStart"/>
      <w:r w:rsidRPr="000C1778">
        <w:rPr>
          <w:color w:val="000000" w:themeColor="text1"/>
        </w:rPr>
        <w:t>discoverable</w:t>
      </w:r>
      <w:proofErr w:type="spellEnd"/>
      <w:r w:rsidRPr="000C1778">
        <w:rPr>
          <w:color w:val="000000" w:themeColor="text1"/>
        </w:rPr>
        <w:t xml:space="preserve"> in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synax</w:t>
      </w:r>
      <w:proofErr w:type="spellEnd"/>
      <w:r w:rsidRPr="000C1778">
        <w:rPr>
          <w:color w:val="000000" w:themeColor="text1"/>
        </w:rPr>
        <w:t xml:space="preserve"> </w:t>
      </w:r>
      <w:proofErr w:type="spellStart"/>
      <w:r w:rsidRPr="000C1778">
        <w:rPr>
          <w:color w:val="000000" w:themeColor="text1"/>
        </w:rPr>
        <w:t>dimension</w:t>
      </w:r>
      <w:proofErr w:type="spellEnd"/>
      <w:r w:rsidRPr="000C1778">
        <w:rPr>
          <w:color w:val="000000" w:themeColor="text1"/>
        </w:rPr>
        <w:t xml:space="preserve"> of </w:t>
      </w:r>
      <w:proofErr w:type="spellStart"/>
      <w:r w:rsidRPr="000C1778">
        <w:rPr>
          <w:color w:val="000000" w:themeColor="text1"/>
        </w:rPr>
        <w:t>existing</w:t>
      </w:r>
      <w:proofErr w:type="spellEnd"/>
      <w:r w:rsidRPr="000C1778">
        <w:rPr>
          <w:color w:val="000000" w:themeColor="text1"/>
        </w:rPr>
        <w:t xml:space="preserve"> </w:t>
      </w:r>
      <w:proofErr w:type="spellStart"/>
      <w:r w:rsidRPr="000C1778">
        <w:rPr>
          <w:color w:val="000000" w:themeColor="text1"/>
        </w:rPr>
        <w:t>nations</w:t>
      </w:r>
      <w:proofErr w:type="spellEnd"/>
      <w:r w:rsidRPr="000C1778">
        <w:rPr>
          <w:color w:val="000000" w:themeColor="text1"/>
        </w:rPr>
        <w:t xml:space="preserve">. </w:t>
      </w:r>
      <w:proofErr w:type="spellStart"/>
      <w:r w:rsidRPr="000C1778">
        <w:rPr>
          <w:i/>
          <w:iCs/>
          <w:color w:val="000000" w:themeColor="text1"/>
        </w:rPr>
        <w:t>Journal</w:t>
      </w:r>
      <w:proofErr w:type="spellEnd"/>
      <w:r w:rsidRPr="000C1778">
        <w:rPr>
          <w:i/>
          <w:iCs/>
          <w:color w:val="000000" w:themeColor="text1"/>
        </w:rPr>
        <w:t xml:space="preserve"> of </w:t>
      </w:r>
      <w:proofErr w:type="spellStart"/>
      <w:r w:rsidRPr="000C1778">
        <w:rPr>
          <w:i/>
          <w:iCs/>
          <w:color w:val="000000" w:themeColor="text1"/>
        </w:rPr>
        <w:t>Social</w:t>
      </w:r>
      <w:proofErr w:type="spellEnd"/>
      <w:r w:rsidRPr="000C1778">
        <w:rPr>
          <w:i/>
          <w:iCs/>
          <w:color w:val="000000" w:themeColor="text1"/>
        </w:rPr>
        <w:t xml:space="preserve"> </w:t>
      </w:r>
      <w:proofErr w:type="spellStart"/>
      <w:r w:rsidRPr="000C1778">
        <w:rPr>
          <w:i/>
          <w:iCs/>
          <w:color w:val="000000" w:themeColor="text1"/>
        </w:rPr>
        <w:t>Psychology</w:t>
      </w:r>
      <w:proofErr w:type="spellEnd"/>
      <w:r w:rsidRPr="000C1778">
        <w:rPr>
          <w:i/>
          <w:iCs/>
          <w:color w:val="000000" w:themeColor="text1"/>
        </w:rPr>
        <w:t>, 32,</w:t>
      </w:r>
      <w:r w:rsidRPr="000C1778">
        <w:rPr>
          <w:color w:val="000000" w:themeColor="text1"/>
        </w:rPr>
        <w:t xml:space="preserve"> 215-253.</w:t>
      </w:r>
    </w:p>
    <w:p w14:paraId="51501F0E"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Coroğlu</w:t>
      </w:r>
      <w:proofErr w:type="spellEnd"/>
      <w:r w:rsidRPr="000C1778">
        <w:rPr>
          <w:color w:val="000000" w:themeColor="text1"/>
        </w:rPr>
        <w:t xml:space="preserve">, C. (2003). </w:t>
      </w:r>
      <w:r w:rsidRPr="000C1778">
        <w:rPr>
          <w:i/>
          <w:iCs/>
          <w:color w:val="000000" w:themeColor="text1"/>
        </w:rPr>
        <w:t>İş Dünyasında Geleceğin Yönetimi.</w:t>
      </w:r>
      <w:r w:rsidRPr="000C1778">
        <w:rPr>
          <w:color w:val="000000" w:themeColor="text1"/>
        </w:rPr>
        <w:t xml:space="preserve"> Alfa Yayınları, İstanbul.</w:t>
      </w:r>
    </w:p>
    <w:p w14:paraId="09C444EA"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Downey</w:t>
      </w:r>
      <w:proofErr w:type="spellEnd"/>
      <w:r w:rsidRPr="000C1778">
        <w:rPr>
          <w:color w:val="000000" w:themeColor="text1"/>
        </w:rPr>
        <w:t xml:space="preserve">, H., </w:t>
      </w:r>
      <w:proofErr w:type="spellStart"/>
      <w:r w:rsidRPr="000C1778">
        <w:rPr>
          <w:color w:val="000000" w:themeColor="text1"/>
        </w:rPr>
        <w:t>Hellriegel</w:t>
      </w:r>
      <w:proofErr w:type="spellEnd"/>
      <w:r w:rsidRPr="000C1778">
        <w:rPr>
          <w:color w:val="000000" w:themeColor="text1"/>
        </w:rPr>
        <w:t xml:space="preserve">, D., &amp; </w:t>
      </w:r>
      <w:proofErr w:type="spellStart"/>
      <w:r w:rsidRPr="000C1778">
        <w:rPr>
          <w:color w:val="000000" w:themeColor="text1"/>
        </w:rPr>
        <w:t>Slocum</w:t>
      </w:r>
      <w:proofErr w:type="spellEnd"/>
      <w:r w:rsidRPr="000C1778">
        <w:rPr>
          <w:color w:val="000000" w:themeColor="text1"/>
        </w:rPr>
        <w:t xml:space="preserve">, J. (1975). </w:t>
      </w:r>
      <w:proofErr w:type="spellStart"/>
      <w:r w:rsidRPr="000C1778">
        <w:rPr>
          <w:color w:val="000000" w:themeColor="text1"/>
        </w:rPr>
        <w:t>Environmental</w:t>
      </w:r>
      <w:proofErr w:type="spellEnd"/>
      <w:r w:rsidRPr="000C1778">
        <w:rPr>
          <w:color w:val="000000" w:themeColor="text1"/>
        </w:rPr>
        <w:t xml:space="preserve"> </w:t>
      </w:r>
      <w:proofErr w:type="spellStart"/>
      <w:r w:rsidRPr="000C1778">
        <w:rPr>
          <w:color w:val="000000" w:themeColor="text1"/>
        </w:rPr>
        <w:t>uncertainty</w:t>
      </w:r>
      <w:proofErr w:type="spellEnd"/>
      <w:r w:rsidRPr="000C1778">
        <w:rPr>
          <w:color w:val="000000" w:themeColor="text1"/>
        </w:rPr>
        <w:t xml:space="preserve">: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construct</w:t>
      </w:r>
      <w:proofErr w:type="spellEnd"/>
      <w:r w:rsidRPr="000C1778">
        <w:rPr>
          <w:color w:val="000000" w:themeColor="text1"/>
        </w:rPr>
        <w:t xml:space="preserve"> </w:t>
      </w:r>
      <w:proofErr w:type="spellStart"/>
      <w:r w:rsidRPr="000C1778">
        <w:rPr>
          <w:color w:val="000000" w:themeColor="text1"/>
        </w:rPr>
        <w:t>and</w:t>
      </w:r>
      <w:proofErr w:type="spellEnd"/>
      <w:r w:rsidRPr="000C1778">
        <w:rPr>
          <w:color w:val="000000" w:themeColor="text1"/>
        </w:rPr>
        <w:t xml:space="preserve"> </w:t>
      </w:r>
      <w:proofErr w:type="spellStart"/>
      <w:r w:rsidRPr="000C1778">
        <w:rPr>
          <w:color w:val="000000" w:themeColor="text1"/>
        </w:rPr>
        <w:t>its</w:t>
      </w:r>
      <w:proofErr w:type="spellEnd"/>
      <w:r w:rsidRPr="000C1778">
        <w:rPr>
          <w:color w:val="000000" w:themeColor="text1"/>
        </w:rPr>
        <w:t xml:space="preserve"> </w:t>
      </w:r>
      <w:proofErr w:type="spellStart"/>
      <w:r w:rsidRPr="000C1778">
        <w:rPr>
          <w:color w:val="000000" w:themeColor="text1"/>
        </w:rPr>
        <w:t>operationalization</w:t>
      </w:r>
      <w:proofErr w:type="spellEnd"/>
      <w:r w:rsidRPr="000C1778">
        <w:rPr>
          <w:color w:val="000000" w:themeColor="text1"/>
        </w:rPr>
        <w:t xml:space="preserve">. </w:t>
      </w:r>
      <w:proofErr w:type="spellStart"/>
      <w:r w:rsidRPr="000C1778">
        <w:rPr>
          <w:i/>
          <w:iCs/>
          <w:color w:val="000000" w:themeColor="text1"/>
        </w:rPr>
        <w:t>Administrative</w:t>
      </w:r>
      <w:proofErr w:type="spellEnd"/>
      <w:r w:rsidRPr="000C1778">
        <w:rPr>
          <w:i/>
          <w:iCs/>
          <w:color w:val="000000" w:themeColor="text1"/>
        </w:rPr>
        <w:t xml:space="preserve"> </w:t>
      </w:r>
      <w:proofErr w:type="spellStart"/>
      <w:r w:rsidRPr="000C1778">
        <w:rPr>
          <w:i/>
          <w:iCs/>
          <w:color w:val="000000" w:themeColor="text1"/>
        </w:rPr>
        <w:t>Science</w:t>
      </w:r>
      <w:proofErr w:type="spellEnd"/>
      <w:r w:rsidRPr="000C1778">
        <w:rPr>
          <w:i/>
          <w:iCs/>
          <w:color w:val="000000" w:themeColor="text1"/>
        </w:rPr>
        <w:t xml:space="preserve"> </w:t>
      </w:r>
      <w:proofErr w:type="spellStart"/>
      <w:r w:rsidRPr="000C1778">
        <w:rPr>
          <w:i/>
          <w:iCs/>
          <w:color w:val="000000" w:themeColor="text1"/>
        </w:rPr>
        <w:t>Quarterly</w:t>
      </w:r>
      <w:proofErr w:type="spellEnd"/>
      <w:r w:rsidRPr="000C1778">
        <w:rPr>
          <w:i/>
          <w:iCs/>
          <w:color w:val="000000" w:themeColor="text1"/>
        </w:rPr>
        <w:t>, 20</w:t>
      </w:r>
      <w:r w:rsidRPr="000C1778">
        <w:rPr>
          <w:color w:val="000000" w:themeColor="text1"/>
        </w:rPr>
        <w:t>, 613-629.</w:t>
      </w:r>
    </w:p>
    <w:p w14:paraId="49947CE7"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Düren, A. Z. (2000). </w:t>
      </w:r>
      <w:r w:rsidRPr="000C1778">
        <w:rPr>
          <w:i/>
          <w:iCs/>
          <w:color w:val="000000" w:themeColor="text1"/>
        </w:rPr>
        <w:t>2000’li Yıllarda Yönetim.</w:t>
      </w:r>
      <w:r w:rsidRPr="000C1778">
        <w:rPr>
          <w:color w:val="000000" w:themeColor="text1"/>
        </w:rPr>
        <w:t xml:space="preserve"> Alfa Yayınları, İstanbul.</w:t>
      </w:r>
    </w:p>
    <w:p w14:paraId="60889716"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lastRenderedPageBreak/>
        <w:t>Furnham</w:t>
      </w:r>
      <w:proofErr w:type="spellEnd"/>
      <w:r w:rsidRPr="000C1778">
        <w:rPr>
          <w:color w:val="000000" w:themeColor="text1"/>
        </w:rPr>
        <w:t xml:space="preserve">, A., </w:t>
      </w:r>
      <w:proofErr w:type="spellStart"/>
      <w:r w:rsidRPr="000C1778">
        <w:rPr>
          <w:color w:val="000000" w:themeColor="text1"/>
        </w:rPr>
        <w:t>Kirkcaldy</w:t>
      </w:r>
      <w:proofErr w:type="spellEnd"/>
      <w:r w:rsidRPr="000C1778">
        <w:rPr>
          <w:color w:val="000000" w:themeColor="text1"/>
        </w:rPr>
        <w:t xml:space="preserve">, B. D., &amp; </w:t>
      </w:r>
      <w:proofErr w:type="spellStart"/>
      <w:r w:rsidRPr="000C1778">
        <w:rPr>
          <w:color w:val="000000" w:themeColor="text1"/>
        </w:rPr>
        <w:t>Lynn</w:t>
      </w:r>
      <w:proofErr w:type="spellEnd"/>
      <w:r w:rsidRPr="000C1778">
        <w:rPr>
          <w:color w:val="000000" w:themeColor="text1"/>
        </w:rPr>
        <w:t xml:space="preserve">, R. (1994). </w:t>
      </w:r>
      <w:proofErr w:type="spellStart"/>
      <w:r w:rsidRPr="000C1778">
        <w:rPr>
          <w:color w:val="000000" w:themeColor="text1"/>
        </w:rPr>
        <w:t>National</w:t>
      </w:r>
      <w:proofErr w:type="spellEnd"/>
      <w:r w:rsidRPr="000C1778">
        <w:rPr>
          <w:color w:val="000000" w:themeColor="text1"/>
        </w:rPr>
        <w:t xml:space="preserve"> </w:t>
      </w:r>
      <w:proofErr w:type="spellStart"/>
      <w:r w:rsidRPr="000C1778">
        <w:rPr>
          <w:color w:val="000000" w:themeColor="text1"/>
        </w:rPr>
        <w:t>attitudes</w:t>
      </w:r>
      <w:proofErr w:type="spellEnd"/>
      <w:r w:rsidRPr="000C1778">
        <w:rPr>
          <w:color w:val="000000" w:themeColor="text1"/>
        </w:rPr>
        <w:t xml:space="preserve"> </w:t>
      </w:r>
      <w:proofErr w:type="spellStart"/>
      <w:r w:rsidRPr="000C1778">
        <w:rPr>
          <w:color w:val="000000" w:themeColor="text1"/>
        </w:rPr>
        <w:t>to</w:t>
      </w:r>
      <w:proofErr w:type="spellEnd"/>
      <w:r w:rsidRPr="000C1778">
        <w:rPr>
          <w:color w:val="000000" w:themeColor="text1"/>
        </w:rPr>
        <w:t xml:space="preserve"> </w:t>
      </w:r>
      <w:proofErr w:type="spellStart"/>
      <w:r w:rsidRPr="000C1778">
        <w:rPr>
          <w:color w:val="000000" w:themeColor="text1"/>
        </w:rPr>
        <w:t>competitiveness</w:t>
      </w:r>
      <w:proofErr w:type="spellEnd"/>
      <w:r w:rsidRPr="000C1778">
        <w:rPr>
          <w:color w:val="000000" w:themeColor="text1"/>
        </w:rPr>
        <w:t xml:space="preserve">, </w:t>
      </w:r>
      <w:proofErr w:type="spellStart"/>
      <w:r w:rsidRPr="000C1778">
        <w:rPr>
          <w:color w:val="000000" w:themeColor="text1"/>
        </w:rPr>
        <w:t>money</w:t>
      </w:r>
      <w:proofErr w:type="spellEnd"/>
      <w:r w:rsidRPr="000C1778">
        <w:rPr>
          <w:color w:val="000000" w:themeColor="text1"/>
        </w:rPr>
        <w:t xml:space="preserve">, </w:t>
      </w:r>
      <w:proofErr w:type="spellStart"/>
      <w:r w:rsidRPr="000C1778">
        <w:rPr>
          <w:color w:val="000000" w:themeColor="text1"/>
        </w:rPr>
        <w:t>and</w:t>
      </w:r>
      <w:proofErr w:type="spellEnd"/>
      <w:r w:rsidRPr="000C1778">
        <w:rPr>
          <w:color w:val="000000" w:themeColor="text1"/>
        </w:rPr>
        <w:t xml:space="preserve"> </w:t>
      </w:r>
      <w:proofErr w:type="spellStart"/>
      <w:r w:rsidRPr="000C1778">
        <w:rPr>
          <w:color w:val="000000" w:themeColor="text1"/>
        </w:rPr>
        <w:t>work</w:t>
      </w:r>
      <w:proofErr w:type="spellEnd"/>
      <w:r w:rsidRPr="000C1778">
        <w:rPr>
          <w:color w:val="000000" w:themeColor="text1"/>
        </w:rPr>
        <w:t xml:space="preserve"> </w:t>
      </w:r>
      <w:proofErr w:type="spellStart"/>
      <w:r w:rsidRPr="000C1778">
        <w:rPr>
          <w:color w:val="000000" w:themeColor="text1"/>
        </w:rPr>
        <w:t>among</w:t>
      </w:r>
      <w:proofErr w:type="spellEnd"/>
      <w:r w:rsidRPr="000C1778">
        <w:rPr>
          <w:color w:val="000000" w:themeColor="text1"/>
        </w:rPr>
        <w:t xml:space="preserve"> </w:t>
      </w:r>
      <w:proofErr w:type="spellStart"/>
      <w:r w:rsidRPr="000C1778">
        <w:rPr>
          <w:color w:val="000000" w:themeColor="text1"/>
        </w:rPr>
        <w:t>young</w:t>
      </w:r>
      <w:proofErr w:type="spellEnd"/>
      <w:r w:rsidRPr="000C1778">
        <w:rPr>
          <w:color w:val="000000" w:themeColor="text1"/>
        </w:rPr>
        <w:t xml:space="preserve"> </w:t>
      </w:r>
      <w:proofErr w:type="spellStart"/>
      <w:r w:rsidRPr="000C1778">
        <w:rPr>
          <w:color w:val="000000" w:themeColor="text1"/>
        </w:rPr>
        <w:t>people</w:t>
      </w:r>
      <w:proofErr w:type="spellEnd"/>
      <w:r w:rsidRPr="000C1778">
        <w:rPr>
          <w:color w:val="000000" w:themeColor="text1"/>
        </w:rPr>
        <w:t xml:space="preserve">: First, </w:t>
      </w:r>
      <w:proofErr w:type="spellStart"/>
      <w:r w:rsidRPr="000C1778">
        <w:rPr>
          <w:color w:val="000000" w:themeColor="text1"/>
        </w:rPr>
        <w:t>second</w:t>
      </w:r>
      <w:proofErr w:type="spellEnd"/>
      <w:r w:rsidRPr="000C1778">
        <w:rPr>
          <w:color w:val="000000" w:themeColor="text1"/>
        </w:rPr>
        <w:t xml:space="preserve">, </w:t>
      </w:r>
      <w:proofErr w:type="spellStart"/>
      <w:r w:rsidRPr="000C1778">
        <w:rPr>
          <w:color w:val="000000" w:themeColor="text1"/>
        </w:rPr>
        <w:t>and</w:t>
      </w:r>
      <w:proofErr w:type="spellEnd"/>
      <w:r w:rsidRPr="000C1778">
        <w:rPr>
          <w:color w:val="000000" w:themeColor="text1"/>
        </w:rPr>
        <w:t xml:space="preserve"> </w:t>
      </w:r>
      <w:proofErr w:type="spellStart"/>
      <w:r w:rsidRPr="000C1778">
        <w:rPr>
          <w:color w:val="000000" w:themeColor="text1"/>
        </w:rPr>
        <w:t>third</w:t>
      </w:r>
      <w:proofErr w:type="spellEnd"/>
      <w:r w:rsidRPr="000C1778">
        <w:rPr>
          <w:color w:val="000000" w:themeColor="text1"/>
        </w:rPr>
        <w:t xml:space="preserve"> </w:t>
      </w:r>
      <w:proofErr w:type="spellStart"/>
      <w:r w:rsidRPr="000C1778">
        <w:rPr>
          <w:color w:val="000000" w:themeColor="text1"/>
        </w:rPr>
        <w:t>world</w:t>
      </w:r>
      <w:proofErr w:type="spellEnd"/>
      <w:r w:rsidRPr="000C1778">
        <w:rPr>
          <w:color w:val="000000" w:themeColor="text1"/>
        </w:rPr>
        <w:t xml:space="preserve"> </w:t>
      </w:r>
      <w:proofErr w:type="spellStart"/>
      <w:r w:rsidRPr="000C1778">
        <w:rPr>
          <w:color w:val="000000" w:themeColor="text1"/>
        </w:rPr>
        <w:t>differences</w:t>
      </w:r>
      <w:proofErr w:type="spellEnd"/>
      <w:r w:rsidRPr="000C1778">
        <w:rPr>
          <w:color w:val="000000" w:themeColor="text1"/>
        </w:rPr>
        <w:t xml:space="preserve">. </w:t>
      </w:r>
      <w:r w:rsidRPr="000C1778">
        <w:rPr>
          <w:i/>
          <w:iCs/>
          <w:color w:val="000000" w:themeColor="text1"/>
        </w:rPr>
        <w:t xml:space="preserve">Human </w:t>
      </w:r>
      <w:proofErr w:type="spellStart"/>
      <w:r w:rsidRPr="000C1778">
        <w:rPr>
          <w:i/>
          <w:iCs/>
          <w:color w:val="000000" w:themeColor="text1"/>
        </w:rPr>
        <w:t>Relations</w:t>
      </w:r>
      <w:proofErr w:type="spellEnd"/>
      <w:r w:rsidRPr="000C1778">
        <w:rPr>
          <w:i/>
          <w:iCs/>
          <w:color w:val="000000" w:themeColor="text1"/>
        </w:rPr>
        <w:t>, 47</w:t>
      </w:r>
      <w:r w:rsidRPr="000C1778">
        <w:rPr>
          <w:color w:val="000000" w:themeColor="text1"/>
        </w:rPr>
        <w:t>(1), 119-132.</w:t>
      </w:r>
    </w:p>
    <w:p w14:paraId="731919C8"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Gupta</w:t>
      </w:r>
      <w:proofErr w:type="spellEnd"/>
      <w:r w:rsidRPr="000C1778">
        <w:rPr>
          <w:color w:val="000000" w:themeColor="text1"/>
        </w:rPr>
        <w:t xml:space="preserve">, V., </w:t>
      </w:r>
      <w:proofErr w:type="spellStart"/>
      <w:r w:rsidRPr="000C1778">
        <w:rPr>
          <w:color w:val="000000" w:themeColor="text1"/>
        </w:rPr>
        <w:t>Hanges</w:t>
      </w:r>
      <w:proofErr w:type="spellEnd"/>
      <w:r w:rsidRPr="000C1778">
        <w:rPr>
          <w:color w:val="000000" w:themeColor="text1"/>
        </w:rPr>
        <w:t xml:space="preserve">, P. J., &amp; </w:t>
      </w:r>
      <w:proofErr w:type="spellStart"/>
      <w:r w:rsidRPr="000C1778">
        <w:rPr>
          <w:color w:val="000000" w:themeColor="text1"/>
        </w:rPr>
        <w:t>Dorfman</w:t>
      </w:r>
      <w:proofErr w:type="spellEnd"/>
      <w:r w:rsidRPr="000C1778">
        <w:rPr>
          <w:color w:val="000000" w:themeColor="text1"/>
        </w:rPr>
        <w:t xml:space="preserve">, P. (2002). </w:t>
      </w:r>
      <w:proofErr w:type="spellStart"/>
      <w:r w:rsidRPr="000C1778">
        <w:rPr>
          <w:color w:val="000000" w:themeColor="text1"/>
        </w:rPr>
        <w:t>Cultural</w:t>
      </w:r>
      <w:proofErr w:type="spellEnd"/>
      <w:r w:rsidRPr="000C1778">
        <w:rPr>
          <w:color w:val="000000" w:themeColor="text1"/>
        </w:rPr>
        <w:t xml:space="preserve"> </w:t>
      </w:r>
      <w:proofErr w:type="spellStart"/>
      <w:r w:rsidRPr="000C1778">
        <w:rPr>
          <w:color w:val="000000" w:themeColor="text1"/>
        </w:rPr>
        <w:t>clusters</w:t>
      </w:r>
      <w:proofErr w:type="spellEnd"/>
      <w:r w:rsidRPr="000C1778">
        <w:rPr>
          <w:color w:val="000000" w:themeColor="text1"/>
        </w:rPr>
        <w:t xml:space="preserve">: </w:t>
      </w:r>
      <w:proofErr w:type="spellStart"/>
      <w:r w:rsidRPr="000C1778">
        <w:rPr>
          <w:color w:val="000000" w:themeColor="text1"/>
        </w:rPr>
        <w:t>Methodology</w:t>
      </w:r>
      <w:proofErr w:type="spellEnd"/>
      <w:r w:rsidRPr="000C1778">
        <w:rPr>
          <w:color w:val="000000" w:themeColor="text1"/>
        </w:rPr>
        <w:t xml:space="preserve"> </w:t>
      </w:r>
      <w:proofErr w:type="spellStart"/>
      <w:r w:rsidRPr="000C1778">
        <w:rPr>
          <w:color w:val="000000" w:themeColor="text1"/>
        </w:rPr>
        <w:t>and</w:t>
      </w:r>
      <w:proofErr w:type="spellEnd"/>
      <w:r w:rsidRPr="000C1778">
        <w:rPr>
          <w:color w:val="000000" w:themeColor="text1"/>
        </w:rPr>
        <w:t xml:space="preserve"> </w:t>
      </w:r>
      <w:proofErr w:type="spellStart"/>
      <w:r w:rsidRPr="000C1778">
        <w:rPr>
          <w:color w:val="000000" w:themeColor="text1"/>
        </w:rPr>
        <w:t>findings</w:t>
      </w:r>
      <w:proofErr w:type="spellEnd"/>
      <w:r w:rsidRPr="000C1778">
        <w:rPr>
          <w:color w:val="000000" w:themeColor="text1"/>
        </w:rPr>
        <w:t xml:space="preserve">. </w:t>
      </w:r>
      <w:proofErr w:type="spellStart"/>
      <w:r w:rsidRPr="000C1778">
        <w:rPr>
          <w:i/>
          <w:iCs/>
          <w:color w:val="000000" w:themeColor="text1"/>
        </w:rPr>
        <w:t>Journal</w:t>
      </w:r>
      <w:proofErr w:type="spellEnd"/>
      <w:r w:rsidRPr="000C1778">
        <w:rPr>
          <w:i/>
          <w:iCs/>
          <w:color w:val="000000" w:themeColor="text1"/>
        </w:rPr>
        <w:t xml:space="preserve"> of World Business, 37</w:t>
      </w:r>
      <w:r w:rsidRPr="000C1778">
        <w:rPr>
          <w:color w:val="000000" w:themeColor="text1"/>
        </w:rPr>
        <w:t>(1), 11-15.</w:t>
      </w:r>
    </w:p>
    <w:p w14:paraId="24FEF1FD"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Hall</w:t>
      </w:r>
      <w:proofErr w:type="spellEnd"/>
      <w:r w:rsidRPr="000C1778">
        <w:rPr>
          <w:color w:val="000000" w:themeColor="text1"/>
        </w:rPr>
        <w:t xml:space="preserve">, E. T., &amp; </w:t>
      </w:r>
      <w:proofErr w:type="spellStart"/>
      <w:r w:rsidRPr="000C1778">
        <w:rPr>
          <w:color w:val="000000" w:themeColor="text1"/>
        </w:rPr>
        <w:t>Hall</w:t>
      </w:r>
      <w:proofErr w:type="spellEnd"/>
      <w:r w:rsidRPr="000C1778">
        <w:rPr>
          <w:color w:val="000000" w:themeColor="text1"/>
        </w:rPr>
        <w:t xml:space="preserve">, M. R. (1990). </w:t>
      </w:r>
      <w:proofErr w:type="spellStart"/>
      <w:r w:rsidRPr="000C1778">
        <w:rPr>
          <w:i/>
          <w:iCs/>
          <w:color w:val="000000" w:themeColor="text1"/>
        </w:rPr>
        <w:t>Hidden</w:t>
      </w:r>
      <w:proofErr w:type="spellEnd"/>
      <w:r w:rsidRPr="000C1778">
        <w:rPr>
          <w:i/>
          <w:iCs/>
          <w:color w:val="000000" w:themeColor="text1"/>
        </w:rPr>
        <w:t xml:space="preserve"> </w:t>
      </w:r>
      <w:proofErr w:type="spellStart"/>
      <w:r w:rsidRPr="000C1778">
        <w:rPr>
          <w:i/>
          <w:iCs/>
          <w:color w:val="000000" w:themeColor="text1"/>
        </w:rPr>
        <w:t>differences</w:t>
      </w:r>
      <w:proofErr w:type="spellEnd"/>
      <w:r w:rsidRPr="000C1778">
        <w:rPr>
          <w:i/>
          <w:iCs/>
          <w:color w:val="000000" w:themeColor="text1"/>
        </w:rPr>
        <w:t xml:space="preserve">: </w:t>
      </w:r>
      <w:proofErr w:type="spellStart"/>
      <w:r w:rsidRPr="000C1778">
        <w:rPr>
          <w:i/>
          <w:iCs/>
          <w:color w:val="000000" w:themeColor="text1"/>
        </w:rPr>
        <w:t>Doing</w:t>
      </w:r>
      <w:proofErr w:type="spellEnd"/>
      <w:r w:rsidRPr="000C1778">
        <w:rPr>
          <w:i/>
          <w:iCs/>
          <w:color w:val="000000" w:themeColor="text1"/>
        </w:rPr>
        <w:t xml:space="preserve"> </w:t>
      </w:r>
      <w:proofErr w:type="spellStart"/>
      <w:r w:rsidRPr="000C1778">
        <w:rPr>
          <w:i/>
          <w:iCs/>
          <w:color w:val="000000" w:themeColor="text1"/>
        </w:rPr>
        <w:t>business</w:t>
      </w:r>
      <w:proofErr w:type="spellEnd"/>
      <w:r w:rsidRPr="000C1778">
        <w:rPr>
          <w:i/>
          <w:iCs/>
          <w:color w:val="000000" w:themeColor="text1"/>
        </w:rPr>
        <w:t xml:space="preserve"> </w:t>
      </w:r>
      <w:proofErr w:type="spellStart"/>
      <w:r w:rsidRPr="000C1778">
        <w:rPr>
          <w:i/>
          <w:iCs/>
          <w:color w:val="000000" w:themeColor="text1"/>
        </w:rPr>
        <w:t>with</w:t>
      </w:r>
      <w:proofErr w:type="spellEnd"/>
      <w:r w:rsidRPr="000C1778">
        <w:rPr>
          <w:i/>
          <w:iCs/>
          <w:color w:val="000000" w:themeColor="text1"/>
        </w:rPr>
        <w:t xml:space="preserve"> </w:t>
      </w:r>
      <w:proofErr w:type="spellStart"/>
      <w:r w:rsidRPr="000C1778">
        <w:rPr>
          <w:i/>
          <w:iCs/>
          <w:color w:val="000000" w:themeColor="text1"/>
        </w:rPr>
        <w:t>the</w:t>
      </w:r>
      <w:proofErr w:type="spellEnd"/>
      <w:r w:rsidRPr="000C1778">
        <w:rPr>
          <w:i/>
          <w:iCs/>
          <w:color w:val="000000" w:themeColor="text1"/>
        </w:rPr>
        <w:t xml:space="preserve"> </w:t>
      </w:r>
      <w:proofErr w:type="spellStart"/>
      <w:r w:rsidRPr="000C1778">
        <w:rPr>
          <w:i/>
          <w:iCs/>
          <w:color w:val="000000" w:themeColor="text1"/>
        </w:rPr>
        <w:t>Japanese</w:t>
      </w:r>
      <w:proofErr w:type="spellEnd"/>
      <w:r w:rsidRPr="000C1778">
        <w:rPr>
          <w:i/>
          <w:iCs/>
          <w:color w:val="000000" w:themeColor="text1"/>
        </w:rPr>
        <w:t>.</w:t>
      </w:r>
      <w:r w:rsidRPr="000C1778">
        <w:rPr>
          <w:color w:val="000000" w:themeColor="text1"/>
        </w:rPr>
        <w:t xml:space="preserve"> </w:t>
      </w:r>
      <w:proofErr w:type="spellStart"/>
      <w:r w:rsidRPr="000C1778">
        <w:rPr>
          <w:color w:val="000000" w:themeColor="text1"/>
        </w:rPr>
        <w:t>Anchor</w:t>
      </w:r>
      <w:proofErr w:type="spellEnd"/>
      <w:r w:rsidRPr="000C1778">
        <w:rPr>
          <w:color w:val="000000" w:themeColor="text1"/>
        </w:rPr>
        <w:t xml:space="preserve"> </w:t>
      </w:r>
      <w:proofErr w:type="spellStart"/>
      <w:r w:rsidRPr="000C1778">
        <w:rPr>
          <w:color w:val="000000" w:themeColor="text1"/>
        </w:rPr>
        <w:t>Books</w:t>
      </w:r>
      <w:proofErr w:type="spellEnd"/>
      <w:r w:rsidRPr="000C1778">
        <w:rPr>
          <w:color w:val="000000" w:themeColor="text1"/>
        </w:rPr>
        <w:t>.</w:t>
      </w:r>
    </w:p>
    <w:p w14:paraId="639632C7"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Hofstede</w:t>
      </w:r>
      <w:proofErr w:type="spellEnd"/>
      <w:r w:rsidRPr="000C1778">
        <w:rPr>
          <w:color w:val="000000" w:themeColor="text1"/>
        </w:rPr>
        <w:t xml:space="preserve">, G. (1980). </w:t>
      </w:r>
      <w:proofErr w:type="spellStart"/>
      <w:r w:rsidRPr="000C1778">
        <w:rPr>
          <w:i/>
          <w:iCs/>
          <w:color w:val="000000" w:themeColor="text1"/>
        </w:rPr>
        <w:t>Culture’s</w:t>
      </w:r>
      <w:proofErr w:type="spellEnd"/>
      <w:r w:rsidRPr="000C1778">
        <w:rPr>
          <w:i/>
          <w:iCs/>
          <w:color w:val="000000" w:themeColor="text1"/>
        </w:rPr>
        <w:t xml:space="preserve"> </w:t>
      </w:r>
      <w:proofErr w:type="spellStart"/>
      <w:r w:rsidRPr="000C1778">
        <w:rPr>
          <w:i/>
          <w:iCs/>
          <w:color w:val="000000" w:themeColor="text1"/>
        </w:rPr>
        <w:t>consequences</w:t>
      </w:r>
      <w:proofErr w:type="spellEnd"/>
      <w:r w:rsidRPr="000C1778">
        <w:rPr>
          <w:i/>
          <w:iCs/>
          <w:color w:val="000000" w:themeColor="text1"/>
        </w:rPr>
        <w:t xml:space="preserve">: International </w:t>
      </w:r>
      <w:proofErr w:type="spellStart"/>
      <w:r w:rsidRPr="000C1778">
        <w:rPr>
          <w:i/>
          <w:iCs/>
          <w:color w:val="000000" w:themeColor="text1"/>
        </w:rPr>
        <w:t>differences</w:t>
      </w:r>
      <w:proofErr w:type="spellEnd"/>
      <w:r w:rsidRPr="000C1778">
        <w:rPr>
          <w:i/>
          <w:iCs/>
          <w:color w:val="000000" w:themeColor="text1"/>
        </w:rPr>
        <w:t xml:space="preserve"> in </w:t>
      </w:r>
      <w:proofErr w:type="spellStart"/>
      <w:r w:rsidRPr="000C1778">
        <w:rPr>
          <w:i/>
          <w:iCs/>
          <w:color w:val="000000" w:themeColor="text1"/>
        </w:rPr>
        <w:t>workrelated</w:t>
      </w:r>
      <w:proofErr w:type="spellEnd"/>
      <w:r w:rsidRPr="000C1778">
        <w:rPr>
          <w:i/>
          <w:iCs/>
          <w:color w:val="000000" w:themeColor="text1"/>
        </w:rPr>
        <w:t xml:space="preserve"> </w:t>
      </w:r>
      <w:proofErr w:type="spellStart"/>
      <w:r w:rsidRPr="000C1778">
        <w:rPr>
          <w:i/>
          <w:iCs/>
          <w:color w:val="000000" w:themeColor="text1"/>
        </w:rPr>
        <w:t>values</w:t>
      </w:r>
      <w:proofErr w:type="spellEnd"/>
      <w:r w:rsidRPr="000C1778">
        <w:rPr>
          <w:i/>
          <w:iCs/>
          <w:color w:val="000000" w:themeColor="text1"/>
        </w:rPr>
        <w:t xml:space="preserve">. </w:t>
      </w:r>
      <w:r w:rsidRPr="000C1778">
        <w:rPr>
          <w:color w:val="000000" w:themeColor="text1"/>
        </w:rPr>
        <w:t xml:space="preserve">Beverly </w:t>
      </w:r>
      <w:proofErr w:type="spellStart"/>
      <w:r w:rsidRPr="000C1778">
        <w:rPr>
          <w:color w:val="000000" w:themeColor="text1"/>
        </w:rPr>
        <w:t>Hills</w:t>
      </w:r>
      <w:proofErr w:type="spellEnd"/>
      <w:r w:rsidRPr="000C1778">
        <w:rPr>
          <w:color w:val="000000" w:themeColor="text1"/>
        </w:rPr>
        <w:t xml:space="preserve">, CA: </w:t>
      </w:r>
      <w:proofErr w:type="spellStart"/>
      <w:r w:rsidRPr="000C1778">
        <w:rPr>
          <w:color w:val="000000" w:themeColor="text1"/>
        </w:rPr>
        <w:t>Sage</w:t>
      </w:r>
      <w:proofErr w:type="spellEnd"/>
      <w:r w:rsidRPr="000C1778">
        <w:rPr>
          <w:color w:val="000000" w:themeColor="text1"/>
        </w:rPr>
        <w:t>.</w:t>
      </w:r>
    </w:p>
    <w:p w14:paraId="1426DB28"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Hofstede</w:t>
      </w:r>
      <w:proofErr w:type="spellEnd"/>
      <w:r w:rsidRPr="000C1778">
        <w:rPr>
          <w:color w:val="000000" w:themeColor="text1"/>
        </w:rPr>
        <w:t xml:space="preserve">, G. (1994).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business</w:t>
      </w:r>
      <w:proofErr w:type="spellEnd"/>
      <w:r w:rsidRPr="000C1778">
        <w:rPr>
          <w:color w:val="000000" w:themeColor="text1"/>
        </w:rPr>
        <w:t xml:space="preserve"> of </w:t>
      </w:r>
      <w:proofErr w:type="spellStart"/>
      <w:r w:rsidRPr="000C1778">
        <w:rPr>
          <w:color w:val="000000" w:themeColor="text1"/>
        </w:rPr>
        <w:t>international</w:t>
      </w:r>
      <w:proofErr w:type="spellEnd"/>
      <w:r w:rsidRPr="000C1778">
        <w:rPr>
          <w:color w:val="000000" w:themeColor="text1"/>
        </w:rPr>
        <w:t xml:space="preserve"> </w:t>
      </w:r>
      <w:proofErr w:type="spellStart"/>
      <w:r w:rsidRPr="000C1778">
        <w:rPr>
          <w:color w:val="000000" w:themeColor="text1"/>
        </w:rPr>
        <w:t>business</w:t>
      </w:r>
      <w:proofErr w:type="spellEnd"/>
      <w:r w:rsidRPr="000C1778">
        <w:rPr>
          <w:color w:val="000000" w:themeColor="text1"/>
        </w:rPr>
        <w:t xml:space="preserve"> is </w:t>
      </w:r>
      <w:proofErr w:type="spellStart"/>
      <w:r w:rsidRPr="000C1778">
        <w:rPr>
          <w:color w:val="000000" w:themeColor="text1"/>
        </w:rPr>
        <w:t>culture</w:t>
      </w:r>
      <w:proofErr w:type="spellEnd"/>
      <w:r w:rsidRPr="000C1778">
        <w:rPr>
          <w:color w:val="000000" w:themeColor="text1"/>
        </w:rPr>
        <w:t>. </w:t>
      </w:r>
      <w:r w:rsidRPr="000C1778">
        <w:rPr>
          <w:i/>
          <w:iCs/>
          <w:color w:val="000000" w:themeColor="text1"/>
        </w:rPr>
        <w:t xml:space="preserve">International Business </w:t>
      </w:r>
      <w:proofErr w:type="spellStart"/>
      <w:r w:rsidRPr="000C1778">
        <w:rPr>
          <w:i/>
          <w:iCs/>
          <w:color w:val="000000" w:themeColor="text1"/>
        </w:rPr>
        <w:t>Review</w:t>
      </w:r>
      <w:proofErr w:type="spellEnd"/>
      <w:r w:rsidRPr="000C1778">
        <w:rPr>
          <w:i/>
          <w:iCs/>
          <w:color w:val="000000" w:themeColor="text1"/>
        </w:rPr>
        <w:t>, 3(</w:t>
      </w:r>
      <w:r w:rsidRPr="000C1778">
        <w:rPr>
          <w:color w:val="000000" w:themeColor="text1"/>
        </w:rPr>
        <w:t>1), 1-14.</w:t>
      </w:r>
    </w:p>
    <w:p w14:paraId="31B23F5C"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Hofstede</w:t>
      </w:r>
      <w:proofErr w:type="spellEnd"/>
      <w:r w:rsidRPr="000C1778">
        <w:rPr>
          <w:color w:val="000000" w:themeColor="text1"/>
        </w:rPr>
        <w:t>, G. (2001). </w:t>
      </w:r>
      <w:proofErr w:type="spellStart"/>
      <w:r w:rsidRPr="000C1778">
        <w:rPr>
          <w:i/>
          <w:iCs/>
          <w:color w:val="000000" w:themeColor="text1"/>
        </w:rPr>
        <w:t>Culture's</w:t>
      </w:r>
      <w:proofErr w:type="spellEnd"/>
      <w:r w:rsidRPr="000C1778">
        <w:rPr>
          <w:i/>
          <w:iCs/>
          <w:color w:val="000000" w:themeColor="text1"/>
        </w:rPr>
        <w:t xml:space="preserve"> </w:t>
      </w:r>
      <w:proofErr w:type="spellStart"/>
      <w:r w:rsidRPr="000C1778">
        <w:rPr>
          <w:i/>
          <w:iCs/>
          <w:color w:val="000000" w:themeColor="text1"/>
        </w:rPr>
        <w:t>consequences</w:t>
      </w:r>
      <w:proofErr w:type="spellEnd"/>
      <w:r w:rsidRPr="000C1778">
        <w:rPr>
          <w:i/>
          <w:iCs/>
          <w:color w:val="000000" w:themeColor="text1"/>
        </w:rPr>
        <w:t xml:space="preserve">: </w:t>
      </w:r>
      <w:proofErr w:type="spellStart"/>
      <w:r w:rsidRPr="000C1778">
        <w:rPr>
          <w:i/>
          <w:iCs/>
          <w:color w:val="000000" w:themeColor="text1"/>
        </w:rPr>
        <w:t>Comparing</w:t>
      </w:r>
      <w:proofErr w:type="spellEnd"/>
      <w:r w:rsidRPr="000C1778">
        <w:rPr>
          <w:i/>
          <w:iCs/>
          <w:color w:val="000000" w:themeColor="text1"/>
        </w:rPr>
        <w:t xml:space="preserve"> </w:t>
      </w:r>
      <w:proofErr w:type="spellStart"/>
      <w:r w:rsidRPr="000C1778">
        <w:rPr>
          <w:i/>
          <w:iCs/>
          <w:color w:val="000000" w:themeColor="text1"/>
        </w:rPr>
        <w:t>values</w:t>
      </w:r>
      <w:proofErr w:type="spellEnd"/>
      <w:r w:rsidRPr="000C1778">
        <w:rPr>
          <w:i/>
          <w:iCs/>
          <w:color w:val="000000" w:themeColor="text1"/>
        </w:rPr>
        <w:t xml:space="preserve">, </w:t>
      </w:r>
      <w:proofErr w:type="spellStart"/>
      <w:r w:rsidRPr="000C1778">
        <w:rPr>
          <w:i/>
          <w:iCs/>
          <w:color w:val="000000" w:themeColor="text1"/>
        </w:rPr>
        <w:t>behaviors</w:t>
      </w:r>
      <w:proofErr w:type="spellEnd"/>
      <w:r w:rsidRPr="000C1778">
        <w:rPr>
          <w:i/>
          <w:iCs/>
          <w:color w:val="000000" w:themeColor="text1"/>
        </w:rPr>
        <w:t xml:space="preserve">, </w:t>
      </w:r>
      <w:proofErr w:type="spellStart"/>
      <w:r w:rsidRPr="000C1778">
        <w:rPr>
          <w:i/>
          <w:iCs/>
          <w:color w:val="000000" w:themeColor="text1"/>
        </w:rPr>
        <w:t>institutions</w:t>
      </w:r>
      <w:proofErr w:type="spellEnd"/>
      <w:r w:rsidRPr="000C1778">
        <w:rPr>
          <w:i/>
          <w:iCs/>
          <w:color w:val="000000" w:themeColor="text1"/>
        </w:rPr>
        <w:t xml:space="preserve"> </w:t>
      </w:r>
      <w:proofErr w:type="spellStart"/>
      <w:r w:rsidRPr="000C1778">
        <w:rPr>
          <w:i/>
          <w:iCs/>
          <w:color w:val="000000" w:themeColor="text1"/>
        </w:rPr>
        <w:t>and</w:t>
      </w:r>
      <w:proofErr w:type="spellEnd"/>
      <w:r w:rsidRPr="000C1778">
        <w:rPr>
          <w:i/>
          <w:iCs/>
          <w:color w:val="000000" w:themeColor="text1"/>
        </w:rPr>
        <w:t xml:space="preserve"> </w:t>
      </w:r>
      <w:proofErr w:type="spellStart"/>
      <w:r w:rsidRPr="000C1778">
        <w:rPr>
          <w:i/>
          <w:iCs/>
          <w:color w:val="000000" w:themeColor="text1"/>
        </w:rPr>
        <w:t>organizations</w:t>
      </w:r>
      <w:proofErr w:type="spellEnd"/>
      <w:r w:rsidRPr="000C1778">
        <w:rPr>
          <w:i/>
          <w:iCs/>
          <w:color w:val="000000" w:themeColor="text1"/>
        </w:rPr>
        <w:t xml:space="preserve"> </w:t>
      </w:r>
      <w:proofErr w:type="spellStart"/>
      <w:r w:rsidRPr="000C1778">
        <w:rPr>
          <w:i/>
          <w:iCs/>
          <w:color w:val="000000" w:themeColor="text1"/>
        </w:rPr>
        <w:t>across</w:t>
      </w:r>
      <w:proofErr w:type="spellEnd"/>
      <w:r w:rsidRPr="000C1778">
        <w:rPr>
          <w:i/>
          <w:iCs/>
          <w:color w:val="000000" w:themeColor="text1"/>
        </w:rPr>
        <w:t xml:space="preserve"> </w:t>
      </w:r>
      <w:proofErr w:type="spellStart"/>
      <w:r w:rsidRPr="000C1778">
        <w:rPr>
          <w:i/>
          <w:iCs/>
          <w:color w:val="000000" w:themeColor="text1"/>
        </w:rPr>
        <w:t>nations</w:t>
      </w:r>
      <w:proofErr w:type="spellEnd"/>
      <w:r w:rsidRPr="000C1778">
        <w:rPr>
          <w:color w:val="000000" w:themeColor="text1"/>
        </w:rPr>
        <w:t xml:space="preserve">. </w:t>
      </w:r>
      <w:proofErr w:type="spellStart"/>
      <w:r w:rsidRPr="000C1778">
        <w:rPr>
          <w:color w:val="000000" w:themeColor="text1"/>
        </w:rPr>
        <w:t>Sage</w:t>
      </w:r>
      <w:proofErr w:type="spellEnd"/>
      <w:r w:rsidRPr="000C1778">
        <w:rPr>
          <w:color w:val="000000" w:themeColor="text1"/>
        </w:rPr>
        <w:t xml:space="preserve"> Publications.</w:t>
      </w:r>
    </w:p>
    <w:p w14:paraId="1E357E3F"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Hofstede</w:t>
      </w:r>
      <w:proofErr w:type="spellEnd"/>
      <w:r w:rsidRPr="000C1778">
        <w:rPr>
          <w:color w:val="000000" w:themeColor="text1"/>
        </w:rPr>
        <w:t xml:space="preserve">, G., </w:t>
      </w:r>
      <w:proofErr w:type="spellStart"/>
      <w:r w:rsidRPr="000C1778">
        <w:rPr>
          <w:color w:val="000000" w:themeColor="text1"/>
        </w:rPr>
        <w:t>Hofstede</w:t>
      </w:r>
      <w:proofErr w:type="spellEnd"/>
      <w:r w:rsidRPr="000C1778">
        <w:rPr>
          <w:color w:val="000000" w:themeColor="text1"/>
        </w:rPr>
        <w:t xml:space="preserve">, G.J., &amp; </w:t>
      </w:r>
      <w:proofErr w:type="spellStart"/>
      <w:r w:rsidRPr="000C1778">
        <w:rPr>
          <w:color w:val="000000" w:themeColor="text1"/>
        </w:rPr>
        <w:t>Minkov</w:t>
      </w:r>
      <w:proofErr w:type="spellEnd"/>
      <w:r w:rsidRPr="000C1778">
        <w:rPr>
          <w:color w:val="000000" w:themeColor="text1"/>
        </w:rPr>
        <w:t xml:space="preserve">, M. (2010). </w:t>
      </w:r>
      <w:proofErr w:type="spellStart"/>
      <w:r w:rsidRPr="000C1778">
        <w:rPr>
          <w:i/>
          <w:iCs/>
          <w:color w:val="000000" w:themeColor="text1"/>
        </w:rPr>
        <w:t>Cultures</w:t>
      </w:r>
      <w:proofErr w:type="spellEnd"/>
      <w:r w:rsidRPr="000C1778">
        <w:rPr>
          <w:i/>
          <w:iCs/>
          <w:color w:val="000000" w:themeColor="text1"/>
        </w:rPr>
        <w:t xml:space="preserve"> </w:t>
      </w:r>
      <w:proofErr w:type="spellStart"/>
      <w:r w:rsidRPr="000C1778">
        <w:rPr>
          <w:i/>
          <w:iCs/>
          <w:color w:val="000000" w:themeColor="text1"/>
        </w:rPr>
        <w:t>and</w:t>
      </w:r>
      <w:proofErr w:type="spellEnd"/>
      <w:r w:rsidRPr="000C1778">
        <w:rPr>
          <w:i/>
          <w:iCs/>
          <w:color w:val="000000" w:themeColor="text1"/>
        </w:rPr>
        <w:t xml:space="preserve"> </w:t>
      </w:r>
      <w:proofErr w:type="spellStart"/>
      <w:r w:rsidRPr="000C1778">
        <w:rPr>
          <w:i/>
          <w:iCs/>
          <w:color w:val="000000" w:themeColor="text1"/>
        </w:rPr>
        <w:t>organizations</w:t>
      </w:r>
      <w:proofErr w:type="spellEnd"/>
      <w:r w:rsidRPr="000C1778">
        <w:rPr>
          <w:i/>
          <w:iCs/>
          <w:color w:val="000000" w:themeColor="text1"/>
        </w:rPr>
        <w:t xml:space="preserve">: Software of </w:t>
      </w:r>
      <w:proofErr w:type="spellStart"/>
      <w:r w:rsidRPr="000C1778">
        <w:rPr>
          <w:i/>
          <w:iCs/>
          <w:color w:val="000000" w:themeColor="text1"/>
        </w:rPr>
        <w:t>the</w:t>
      </w:r>
      <w:proofErr w:type="spellEnd"/>
      <w:r w:rsidRPr="000C1778">
        <w:rPr>
          <w:i/>
          <w:iCs/>
          <w:color w:val="000000" w:themeColor="text1"/>
        </w:rPr>
        <w:t xml:space="preserve"> </w:t>
      </w:r>
      <w:proofErr w:type="spellStart"/>
      <w:r w:rsidRPr="000C1778">
        <w:rPr>
          <w:i/>
          <w:iCs/>
          <w:color w:val="000000" w:themeColor="text1"/>
        </w:rPr>
        <w:t>mind</w:t>
      </w:r>
      <w:proofErr w:type="spellEnd"/>
      <w:r w:rsidRPr="000C1778">
        <w:rPr>
          <w:color w:val="000000" w:themeColor="text1"/>
        </w:rPr>
        <w:t xml:space="preserve"> (3rd Ed.). New York: McGraw-Hill.</w:t>
      </w:r>
    </w:p>
    <w:p w14:paraId="0538F7DA"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House, R. J., </w:t>
      </w:r>
      <w:proofErr w:type="spellStart"/>
      <w:r w:rsidRPr="000C1778">
        <w:rPr>
          <w:color w:val="000000" w:themeColor="text1"/>
        </w:rPr>
        <w:t>Hanges</w:t>
      </w:r>
      <w:proofErr w:type="spellEnd"/>
      <w:r w:rsidRPr="000C1778">
        <w:rPr>
          <w:color w:val="000000" w:themeColor="text1"/>
        </w:rPr>
        <w:t xml:space="preserve">, P. J., </w:t>
      </w:r>
      <w:proofErr w:type="spellStart"/>
      <w:r w:rsidRPr="000C1778">
        <w:rPr>
          <w:color w:val="000000" w:themeColor="text1"/>
        </w:rPr>
        <w:t>Javidan</w:t>
      </w:r>
      <w:proofErr w:type="spellEnd"/>
      <w:r w:rsidRPr="000C1778">
        <w:rPr>
          <w:color w:val="000000" w:themeColor="text1"/>
        </w:rPr>
        <w:t xml:space="preserve">, M., </w:t>
      </w:r>
      <w:proofErr w:type="spellStart"/>
      <w:r w:rsidRPr="000C1778">
        <w:rPr>
          <w:color w:val="000000" w:themeColor="text1"/>
        </w:rPr>
        <w:t>Dorfman</w:t>
      </w:r>
      <w:proofErr w:type="spellEnd"/>
      <w:r w:rsidRPr="000C1778">
        <w:rPr>
          <w:color w:val="000000" w:themeColor="text1"/>
        </w:rPr>
        <w:t xml:space="preserve">, P. W., &amp; </w:t>
      </w:r>
      <w:proofErr w:type="spellStart"/>
      <w:r w:rsidRPr="000C1778">
        <w:rPr>
          <w:color w:val="000000" w:themeColor="text1"/>
        </w:rPr>
        <w:t>Gupta</w:t>
      </w:r>
      <w:proofErr w:type="spellEnd"/>
      <w:r w:rsidRPr="000C1778">
        <w:rPr>
          <w:color w:val="000000" w:themeColor="text1"/>
        </w:rPr>
        <w:t>, V. (2004).</w:t>
      </w:r>
      <w:r w:rsidRPr="000C1778">
        <w:rPr>
          <w:i/>
          <w:iCs/>
          <w:color w:val="000000" w:themeColor="text1"/>
        </w:rPr>
        <w:t xml:space="preserve"> </w:t>
      </w:r>
      <w:proofErr w:type="spellStart"/>
      <w:r w:rsidRPr="000C1778">
        <w:rPr>
          <w:i/>
          <w:iCs/>
          <w:color w:val="000000" w:themeColor="text1"/>
        </w:rPr>
        <w:t>Culture</w:t>
      </w:r>
      <w:proofErr w:type="spellEnd"/>
      <w:r w:rsidRPr="000C1778">
        <w:rPr>
          <w:i/>
          <w:iCs/>
          <w:color w:val="000000" w:themeColor="text1"/>
        </w:rPr>
        <w:t xml:space="preserve">, </w:t>
      </w:r>
      <w:proofErr w:type="spellStart"/>
      <w:r w:rsidRPr="000C1778">
        <w:rPr>
          <w:i/>
          <w:iCs/>
          <w:color w:val="000000" w:themeColor="text1"/>
        </w:rPr>
        <w:t>leadership</w:t>
      </w:r>
      <w:proofErr w:type="spellEnd"/>
      <w:r w:rsidRPr="000C1778">
        <w:rPr>
          <w:i/>
          <w:iCs/>
          <w:color w:val="000000" w:themeColor="text1"/>
        </w:rPr>
        <w:t xml:space="preserve">, </w:t>
      </w:r>
      <w:proofErr w:type="spellStart"/>
      <w:r w:rsidRPr="000C1778">
        <w:rPr>
          <w:i/>
          <w:iCs/>
          <w:color w:val="000000" w:themeColor="text1"/>
        </w:rPr>
        <w:t>and</w:t>
      </w:r>
      <w:proofErr w:type="spellEnd"/>
      <w:r w:rsidRPr="000C1778">
        <w:rPr>
          <w:i/>
          <w:iCs/>
          <w:color w:val="000000" w:themeColor="text1"/>
        </w:rPr>
        <w:t xml:space="preserve"> </w:t>
      </w:r>
      <w:proofErr w:type="spellStart"/>
      <w:r w:rsidRPr="000C1778">
        <w:rPr>
          <w:i/>
          <w:iCs/>
          <w:color w:val="000000" w:themeColor="text1"/>
        </w:rPr>
        <w:t>organizations</w:t>
      </w:r>
      <w:proofErr w:type="spellEnd"/>
      <w:r w:rsidRPr="000C1778">
        <w:rPr>
          <w:i/>
          <w:iCs/>
          <w:color w:val="000000" w:themeColor="text1"/>
        </w:rPr>
        <w:t xml:space="preserve">: </w:t>
      </w:r>
      <w:proofErr w:type="spellStart"/>
      <w:r w:rsidRPr="000C1778">
        <w:rPr>
          <w:i/>
          <w:iCs/>
          <w:color w:val="000000" w:themeColor="text1"/>
        </w:rPr>
        <w:t>The</w:t>
      </w:r>
      <w:proofErr w:type="spellEnd"/>
      <w:r w:rsidRPr="000C1778">
        <w:rPr>
          <w:i/>
          <w:iCs/>
          <w:color w:val="000000" w:themeColor="text1"/>
        </w:rPr>
        <w:t xml:space="preserve"> GLOBE </w:t>
      </w:r>
      <w:proofErr w:type="spellStart"/>
      <w:r w:rsidRPr="000C1778">
        <w:rPr>
          <w:i/>
          <w:iCs/>
          <w:color w:val="000000" w:themeColor="text1"/>
        </w:rPr>
        <w:t>study</w:t>
      </w:r>
      <w:proofErr w:type="spellEnd"/>
      <w:r w:rsidRPr="000C1778">
        <w:rPr>
          <w:i/>
          <w:iCs/>
          <w:color w:val="000000" w:themeColor="text1"/>
        </w:rPr>
        <w:t xml:space="preserve"> of 62 </w:t>
      </w:r>
      <w:proofErr w:type="spellStart"/>
      <w:r w:rsidRPr="000C1778">
        <w:rPr>
          <w:i/>
          <w:iCs/>
          <w:color w:val="000000" w:themeColor="text1"/>
        </w:rPr>
        <w:t>societies</w:t>
      </w:r>
      <w:proofErr w:type="spellEnd"/>
      <w:r w:rsidRPr="000C1778">
        <w:rPr>
          <w:color w:val="000000" w:themeColor="text1"/>
        </w:rPr>
        <w:t xml:space="preserve">. </w:t>
      </w:r>
      <w:proofErr w:type="spellStart"/>
      <w:r w:rsidRPr="000C1778">
        <w:rPr>
          <w:color w:val="000000" w:themeColor="text1"/>
        </w:rPr>
        <w:t>Sage</w:t>
      </w:r>
      <w:proofErr w:type="spellEnd"/>
      <w:r w:rsidRPr="000C1778">
        <w:rPr>
          <w:color w:val="000000" w:themeColor="text1"/>
        </w:rPr>
        <w:t xml:space="preserve"> Publications.</w:t>
      </w:r>
    </w:p>
    <w:p w14:paraId="75892C2D"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Karadağ, D. (2020). </w:t>
      </w:r>
      <w:proofErr w:type="spellStart"/>
      <w:r w:rsidRPr="000C1778">
        <w:rPr>
          <w:i/>
          <w:iCs/>
          <w:color w:val="000000" w:themeColor="text1"/>
        </w:rPr>
        <w:t>Hofstede’nin</w:t>
      </w:r>
      <w:proofErr w:type="spellEnd"/>
      <w:r w:rsidRPr="000C1778">
        <w:rPr>
          <w:i/>
          <w:iCs/>
          <w:color w:val="000000" w:themeColor="text1"/>
        </w:rPr>
        <w:t xml:space="preserve"> kültürel boyutları kapsamında turizm çalışanlarında bölgesel farklılıkların incelenmesi</w:t>
      </w:r>
      <w:r w:rsidRPr="000C1778">
        <w:rPr>
          <w:color w:val="000000" w:themeColor="text1"/>
        </w:rPr>
        <w:t xml:space="preserve"> [Doktora tezi]. Karabük Üniversitesi.</w:t>
      </w:r>
    </w:p>
    <w:p w14:paraId="2A70AD37"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Kinicki</w:t>
      </w:r>
      <w:proofErr w:type="spellEnd"/>
      <w:r w:rsidRPr="000C1778">
        <w:rPr>
          <w:color w:val="000000" w:themeColor="text1"/>
        </w:rPr>
        <w:t xml:space="preserve">, A., &amp; Williams B. K. (2008). </w:t>
      </w:r>
      <w:r w:rsidRPr="000C1778">
        <w:rPr>
          <w:i/>
          <w:iCs/>
          <w:color w:val="000000" w:themeColor="text1"/>
        </w:rPr>
        <w:t xml:space="preserve">Management: A </w:t>
      </w:r>
      <w:proofErr w:type="spellStart"/>
      <w:r w:rsidRPr="000C1778">
        <w:rPr>
          <w:i/>
          <w:iCs/>
          <w:color w:val="000000" w:themeColor="text1"/>
        </w:rPr>
        <w:t>Practical</w:t>
      </w:r>
      <w:proofErr w:type="spellEnd"/>
      <w:r w:rsidRPr="000C1778">
        <w:rPr>
          <w:i/>
          <w:iCs/>
          <w:color w:val="000000" w:themeColor="text1"/>
        </w:rPr>
        <w:t xml:space="preserve"> </w:t>
      </w:r>
      <w:proofErr w:type="spellStart"/>
      <w:r w:rsidRPr="000C1778">
        <w:rPr>
          <w:i/>
          <w:iCs/>
          <w:color w:val="000000" w:themeColor="text1"/>
        </w:rPr>
        <w:t>Introduction</w:t>
      </w:r>
      <w:proofErr w:type="spellEnd"/>
      <w:r w:rsidRPr="000C1778">
        <w:rPr>
          <w:i/>
          <w:iCs/>
          <w:color w:val="000000" w:themeColor="text1"/>
        </w:rPr>
        <w:t>.</w:t>
      </w:r>
      <w:r w:rsidRPr="000C1778">
        <w:rPr>
          <w:color w:val="000000" w:themeColor="text1"/>
        </w:rPr>
        <w:t xml:space="preserve"> Third Edition, McGraw-Hill International Edition, New York.</w:t>
      </w:r>
    </w:p>
    <w:p w14:paraId="3FB1DBFD"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Koçel, T. (2005). </w:t>
      </w:r>
      <w:r w:rsidRPr="000C1778">
        <w:rPr>
          <w:i/>
          <w:iCs/>
          <w:color w:val="000000" w:themeColor="text1"/>
        </w:rPr>
        <w:t>İşletme Yöneticiliği</w:t>
      </w:r>
      <w:r w:rsidRPr="000C1778">
        <w:rPr>
          <w:color w:val="000000" w:themeColor="text1"/>
        </w:rPr>
        <w:t>. Arıkan Basım Yayım Dağıtım.</w:t>
      </w:r>
    </w:p>
    <w:p w14:paraId="25515DEA"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Özalp İ. (1975). İşletmelerin büyümesinde ortaya çıkan organizasyon sorunları. </w:t>
      </w:r>
      <w:r w:rsidRPr="000C1778">
        <w:rPr>
          <w:i/>
          <w:iCs/>
          <w:color w:val="000000" w:themeColor="text1"/>
        </w:rPr>
        <w:t>Adana İktisadi ve Ticari İlimler Akademisi Yayım</w:t>
      </w:r>
      <w:r w:rsidRPr="000C1778">
        <w:rPr>
          <w:color w:val="000000" w:themeColor="text1"/>
        </w:rPr>
        <w:t>, Adana.</w:t>
      </w:r>
    </w:p>
    <w:p w14:paraId="3D8CAE27"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Sandelands</w:t>
      </w:r>
      <w:proofErr w:type="spellEnd"/>
      <w:r w:rsidRPr="000C1778">
        <w:rPr>
          <w:color w:val="000000" w:themeColor="text1"/>
        </w:rPr>
        <w:t xml:space="preserve">, L., Stephen M. R., &amp; Ann, A., (2010).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play</w:t>
      </w:r>
      <w:proofErr w:type="spellEnd"/>
      <w:r w:rsidRPr="000C1778">
        <w:rPr>
          <w:color w:val="000000" w:themeColor="text1"/>
        </w:rPr>
        <w:t xml:space="preserve"> of </w:t>
      </w:r>
      <w:proofErr w:type="spellStart"/>
      <w:r w:rsidRPr="000C1778">
        <w:rPr>
          <w:color w:val="000000" w:themeColor="text1"/>
        </w:rPr>
        <w:t>change</w:t>
      </w:r>
      <w:proofErr w:type="spellEnd"/>
      <w:r w:rsidRPr="000C1778">
        <w:rPr>
          <w:color w:val="000000" w:themeColor="text1"/>
        </w:rPr>
        <w:t xml:space="preserve">. </w:t>
      </w:r>
      <w:proofErr w:type="spellStart"/>
      <w:r w:rsidRPr="000C1778">
        <w:rPr>
          <w:i/>
          <w:iCs/>
          <w:color w:val="000000" w:themeColor="text1"/>
        </w:rPr>
        <w:t>Journal</w:t>
      </w:r>
      <w:proofErr w:type="spellEnd"/>
      <w:r w:rsidRPr="000C1778">
        <w:rPr>
          <w:i/>
          <w:iCs/>
          <w:color w:val="000000" w:themeColor="text1"/>
        </w:rPr>
        <w:t xml:space="preserve"> of </w:t>
      </w:r>
      <w:proofErr w:type="spellStart"/>
      <w:r w:rsidRPr="000C1778">
        <w:rPr>
          <w:i/>
          <w:iCs/>
          <w:color w:val="000000" w:themeColor="text1"/>
        </w:rPr>
        <w:t>Organizational</w:t>
      </w:r>
      <w:proofErr w:type="spellEnd"/>
      <w:r w:rsidRPr="000C1778">
        <w:rPr>
          <w:i/>
          <w:iCs/>
          <w:color w:val="000000" w:themeColor="text1"/>
        </w:rPr>
        <w:t xml:space="preserve"> </w:t>
      </w:r>
      <w:proofErr w:type="spellStart"/>
      <w:r w:rsidRPr="000C1778">
        <w:rPr>
          <w:i/>
          <w:iCs/>
          <w:color w:val="000000" w:themeColor="text1"/>
        </w:rPr>
        <w:t>Change</w:t>
      </w:r>
      <w:proofErr w:type="spellEnd"/>
      <w:r w:rsidRPr="000C1778">
        <w:rPr>
          <w:i/>
          <w:iCs/>
          <w:color w:val="000000" w:themeColor="text1"/>
        </w:rPr>
        <w:t xml:space="preserve"> Management</w:t>
      </w:r>
      <w:r w:rsidRPr="000C1778">
        <w:rPr>
          <w:color w:val="000000" w:themeColor="text1"/>
        </w:rPr>
        <w:t>, 23(1).</w:t>
      </w:r>
    </w:p>
    <w:p w14:paraId="5901E755"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Stoner</w:t>
      </w:r>
      <w:proofErr w:type="spellEnd"/>
      <w:r w:rsidRPr="000C1778">
        <w:rPr>
          <w:color w:val="000000" w:themeColor="text1"/>
        </w:rPr>
        <w:t>, J. A. (1995). </w:t>
      </w:r>
      <w:r w:rsidRPr="000C1778">
        <w:rPr>
          <w:i/>
          <w:iCs/>
          <w:color w:val="000000" w:themeColor="text1"/>
        </w:rPr>
        <w:t>Management</w:t>
      </w:r>
      <w:r w:rsidRPr="000C1778">
        <w:rPr>
          <w:color w:val="000000" w:themeColor="text1"/>
        </w:rPr>
        <w:t xml:space="preserve">. </w:t>
      </w:r>
      <w:proofErr w:type="spellStart"/>
      <w:r w:rsidRPr="000C1778">
        <w:rPr>
          <w:color w:val="000000" w:themeColor="text1"/>
        </w:rPr>
        <w:t>Pearson</w:t>
      </w:r>
      <w:proofErr w:type="spellEnd"/>
      <w:r w:rsidRPr="000C1778">
        <w:rPr>
          <w:color w:val="000000" w:themeColor="text1"/>
        </w:rPr>
        <w:t xml:space="preserve"> </w:t>
      </w:r>
      <w:proofErr w:type="spellStart"/>
      <w:r w:rsidRPr="000C1778">
        <w:rPr>
          <w:color w:val="000000" w:themeColor="text1"/>
        </w:rPr>
        <w:t>Education</w:t>
      </w:r>
      <w:proofErr w:type="spellEnd"/>
      <w:r w:rsidRPr="000C1778">
        <w:rPr>
          <w:color w:val="000000" w:themeColor="text1"/>
        </w:rPr>
        <w:t xml:space="preserve"> </w:t>
      </w:r>
      <w:proofErr w:type="spellStart"/>
      <w:r w:rsidRPr="000C1778">
        <w:rPr>
          <w:color w:val="000000" w:themeColor="text1"/>
        </w:rPr>
        <w:t>India</w:t>
      </w:r>
      <w:proofErr w:type="spellEnd"/>
      <w:r w:rsidRPr="000C1778">
        <w:rPr>
          <w:color w:val="000000" w:themeColor="text1"/>
        </w:rPr>
        <w:t>.</w:t>
      </w:r>
    </w:p>
    <w:p w14:paraId="39148790"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Şimşek, Ş., Akgemci, T., ve Çelik, A. (2008). </w:t>
      </w:r>
      <w:r w:rsidRPr="000C1778">
        <w:rPr>
          <w:i/>
          <w:iCs/>
          <w:color w:val="000000" w:themeColor="text1"/>
        </w:rPr>
        <w:t>Davranış bilimlerine giriş ve örgütlerde davranış</w:t>
      </w:r>
      <w:r w:rsidRPr="000C1778">
        <w:rPr>
          <w:color w:val="000000" w:themeColor="text1"/>
        </w:rPr>
        <w:t>. Gazi Yayınları.</w:t>
      </w:r>
    </w:p>
    <w:p w14:paraId="63A1776D"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Tayeb</w:t>
      </w:r>
      <w:proofErr w:type="spellEnd"/>
      <w:r w:rsidRPr="000C1778">
        <w:rPr>
          <w:color w:val="000000" w:themeColor="text1"/>
        </w:rPr>
        <w:t xml:space="preserve">, M. (1995). </w:t>
      </w:r>
      <w:proofErr w:type="spellStart"/>
      <w:r w:rsidRPr="000C1778">
        <w:rPr>
          <w:color w:val="000000" w:themeColor="text1"/>
        </w:rPr>
        <w:t>The</w:t>
      </w:r>
      <w:proofErr w:type="spellEnd"/>
      <w:r w:rsidRPr="000C1778">
        <w:rPr>
          <w:color w:val="000000" w:themeColor="text1"/>
        </w:rPr>
        <w:t xml:space="preserve"> </w:t>
      </w:r>
      <w:proofErr w:type="spellStart"/>
      <w:r w:rsidRPr="000C1778">
        <w:rPr>
          <w:color w:val="000000" w:themeColor="text1"/>
        </w:rPr>
        <w:t>competitive</w:t>
      </w:r>
      <w:proofErr w:type="spellEnd"/>
      <w:r w:rsidRPr="000C1778">
        <w:rPr>
          <w:color w:val="000000" w:themeColor="text1"/>
        </w:rPr>
        <w:t xml:space="preserve"> </w:t>
      </w:r>
      <w:proofErr w:type="spellStart"/>
      <w:r w:rsidRPr="000C1778">
        <w:rPr>
          <w:color w:val="000000" w:themeColor="text1"/>
        </w:rPr>
        <w:t>advantage</w:t>
      </w:r>
      <w:proofErr w:type="spellEnd"/>
      <w:r w:rsidRPr="000C1778">
        <w:rPr>
          <w:color w:val="000000" w:themeColor="text1"/>
        </w:rPr>
        <w:t xml:space="preserve"> of </w:t>
      </w:r>
      <w:proofErr w:type="spellStart"/>
      <w:r w:rsidRPr="000C1778">
        <w:rPr>
          <w:color w:val="000000" w:themeColor="text1"/>
        </w:rPr>
        <w:t>nations</w:t>
      </w:r>
      <w:proofErr w:type="spellEnd"/>
      <w:r w:rsidRPr="000C1778">
        <w:rPr>
          <w:color w:val="000000" w:themeColor="text1"/>
        </w:rPr>
        <w:t xml:space="preserve">: </w:t>
      </w:r>
      <w:proofErr w:type="spellStart"/>
      <w:r w:rsidRPr="000C1778">
        <w:rPr>
          <w:color w:val="000000" w:themeColor="text1"/>
        </w:rPr>
        <w:t>the</w:t>
      </w:r>
      <w:proofErr w:type="spellEnd"/>
      <w:r w:rsidRPr="000C1778">
        <w:rPr>
          <w:color w:val="000000" w:themeColor="text1"/>
        </w:rPr>
        <w:t xml:space="preserve"> role of HRM </w:t>
      </w:r>
      <w:proofErr w:type="spellStart"/>
      <w:r w:rsidRPr="000C1778">
        <w:rPr>
          <w:color w:val="000000" w:themeColor="text1"/>
        </w:rPr>
        <w:t>and</w:t>
      </w:r>
      <w:proofErr w:type="spellEnd"/>
      <w:r w:rsidRPr="000C1778">
        <w:rPr>
          <w:color w:val="000000" w:themeColor="text1"/>
        </w:rPr>
        <w:t xml:space="preserve"> </w:t>
      </w:r>
      <w:proofErr w:type="spellStart"/>
      <w:r w:rsidRPr="000C1778">
        <w:rPr>
          <w:color w:val="000000" w:themeColor="text1"/>
        </w:rPr>
        <w:t>its</w:t>
      </w:r>
      <w:proofErr w:type="spellEnd"/>
      <w:r w:rsidRPr="000C1778">
        <w:rPr>
          <w:color w:val="000000" w:themeColor="text1"/>
        </w:rPr>
        <w:t xml:space="preserve"> </w:t>
      </w:r>
      <w:proofErr w:type="spellStart"/>
      <w:r w:rsidRPr="000C1778">
        <w:rPr>
          <w:color w:val="000000" w:themeColor="text1"/>
        </w:rPr>
        <w:t>socio-cultural</w:t>
      </w:r>
      <w:proofErr w:type="spellEnd"/>
      <w:r w:rsidRPr="000C1778">
        <w:rPr>
          <w:color w:val="000000" w:themeColor="text1"/>
        </w:rPr>
        <w:t xml:space="preserve"> </w:t>
      </w:r>
      <w:proofErr w:type="spellStart"/>
      <w:r w:rsidRPr="000C1778">
        <w:rPr>
          <w:color w:val="000000" w:themeColor="text1"/>
        </w:rPr>
        <w:t>context</w:t>
      </w:r>
      <w:proofErr w:type="spellEnd"/>
      <w:r w:rsidRPr="000C1778">
        <w:rPr>
          <w:color w:val="000000" w:themeColor="text1"/>
        </w:rPr>
        <w:t>. </w:t>
      </w:r>
      <w:r w:rsidRPr="000C1778">
        <w:rPr>
          <w:i/>
          <w:iCs/>
          <w:color w:val="000000" w:themeColor="text1"/>
        </w:rPr>
        <w:t xml:space="preserve">International </w:t>
      </w:r>
      <w:proofErr w:type="spellStart"/>
      <w:r w:rsidRPr="000C1778">
        <w:rPr>
          <w:i/>
          <w:iCs/>
          <w:color w:val="000000" w:themeColor="text1"/>
        </w:rPr>
        <w:t>Journal</w:t>
      </w:r>
      <w:proofErr w:type="spellEnd"/>
      <w:r w:rsidRPr="000C1778">
        <w:rPr>
          <w:i/>
          <w:iCs/>
          <w:color w:val="000000" w:themeColor="text1"/>
        </w:rPr>
        <w:t xml:space="preserve"> of Human Resource Management, 6</w:t>
      </w:r>
      <w:r w:rsidRPr="000C1778">
        <w:rPr>
          <w:color w:val="000000" w:themeColor="text1"/>
        </w:rPr>
        <w:t>(3), 588-605.</w:t>
      </w:r>
    </w:p>
    <w:p w14:paraId="446F81D0"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Tokat, B. (2012). </w:t>
      </w:r>
      <w:r w:rsidRPr="000C1778">
        <w:rPr>
          <w:i/>
          <w:iCs/>
          <w:color w:val="000000" w:themeColor="text1"/>
        </w:rPr>
        <w:t>Örgütlerde Değişim ve Değişimin Yönetimi</w:t>
      </w:r>
      <w:r w:rsidRPr="000C1778">
        <w:rPr>
          <w:color w:val="000000" w:themeColor="text1"/>
        </w:rPr>
        <w:t>. Seçkin Yayıncılık.</w:t>
      </w:r>
    </w:p>
    <w:p w14:paraId="04D3F403"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Tüz</w:t>
      </w:r>
      <w:proofErr w:type="spellEnd"/>
      <w:r w:rsidRPr="000C1778">
        <w:rPr>
          <w:color w:val="000000" w:themeColor="text1"/>
        </w:rPr>
        <w:t xml:space="preserve">, M. (2004). </w:t>
      </w:r>
      <w:r w:rsidRPr="000C1778">
        <w:rPr>
          <w:i/>
          <w:iCs/>
          <w:color w:val="000000" w:themeColor="text1"/>
        </w:rPr>
        <w:t>Değişim ve kaos ortamında işletme davranışı</w:t>
      </w:r>
      <w:r w:rsidRPr="000C1778">
        <w:rPr>
          <w:color w:val="000000" w:themeColor="text1"/>
        </w:rPr>
        <w:t>. Alfa Akademi Yayınları, Bursa.</w:t>
      </w:r>
    </w:p>
    <w:p w14:paraId="5244DCB3" w14:textId="77777777" w:rsidR="00626F42" w:rsidRPr="000C1778" w:rsidRDefault="00626F42">
      <w:pPr>
        <w:pStyle w:val="ListeParagraf"/>
        <w:widowControl/>
        <w:numPr>
          <w:ilvl w:val="0"/>
          <w:numId w:val="94"/>
        </w:numPr>
        <w:autoSpaceDE/>
        <w:autoSpaceDN/>
        <w:ind w:right="113"/>
        <w:jc w:val="both"/>
        <w:rPr>
          <w:color w:val="000000" w:themeColor="text1"/>
        </w:rPr>
      </w:pPr>
      <w:proofErr w:type="spellStart"/>
      <w:r w:rsidRPr="000C1778">
        <w:rPr>
          <w:color w:val="000000" w:themeColor="text1"/>
        </w:rPr>
        <w:t>Töremen</w:t>
      </w:r>
      <w:proofErr w:type="spellEnd"/>
      <w:r w:rsidRPr="000C1778">
        <w:rPr>
          <w:color w:val="000000" w:themeColor="text1"/>
        </w:rPr>
        <w:t>, F. (2002). Eğitim örgütlerinde değişimin engel ve nedenleri. </w:t>
      </w:r>
      <w:r w:rsidRPr="000C1778">
        <w:rPr>
          <w:i/>
          <w:iCs/>
          <w:color w:val="000000" w:themeColor="text1"/>
        </w:rPr>
        <w:t>Fırat Üniversitesi Sosyal Bilimler Dergisi</w:t>
      </w:r>
      <w:r w:rsidRPr="000C1778">
        <w:rPr>
          <w:color w:val="000000" w:themeColor="text1"/>
        </w:rPr>
        <w:t>, </w:t>
      </w:r>
      <w:r w:rsidRPr="000C1778">
        <w:rPr>
          <w:i/>
          <w:iCs/>
          <w:color w:val="000000" w:themeColor="text1"/>
        </w:rPr>
        <w:t>12</w:t>
      </w:r>
      <w:r w:rsidRPr="000C1778">
        <w:rPr>
          <w:color w:val="000000" w:themeColor="text1"/>
        </w:rPr>
        <w:t>(1), 185-202.</w:t>
      </w:r>
    </w:p>
    <w:p w14:paraId="36D38F0D" w14:textId="77777777" w:rsidR="00626F42" w:rsidRPr="000C1778" w:rsidRDefault="00626F42">
      <w:pPr>
        <w:pStyle w:val="ListeParagraf"/>
        <w:widowControl/>
        <w:numPr>
          <w:ilvl w:val="0"/>
          <w:numId w:val="94"/>
        </w:numPr>
        <w:autoSpaceDE/>
        <w:autoSpaceDN/>
        <w:ind w:right="113"/>
        <w:jc w:val="both"/>
        <w:rPr>
          <w:color w:val="000000" w:themeColor="text1"/>
        </w:rPr>
      </w:pPr>
      <w:r w:rsidRPr="000C1778">
        <w:rPr>
          <w:color w:val="000000" w:themeColor="text1"/>
        </w:rPr>
        <w:t xml:space="preserve">Yeniçeri, Ö. (2002). </w:t>
      </w:r>
      <w:r w:rsidRPr="000C1778">
        <w:rPr>
          <w:i/>
          <w:iCs/>
          <w:color w:val="000000" w:themeColor="text1"/>
        </w:rPr>
        <w:t>Örgütsel Değişmenin Yönetimi.</w:t>
      </w:r>
      <w:r w:rsidRPr="000C1778">
        <w:rPr>
          <w:color w:val="000000" w:themeColor="text1"/>
        </w:rPr>
        <w:t xml:space="preserve"> Nobel Yayın Dağıtım.</w:t>
      </w:r>
    </w:p>
    <w:p w14:paraId="6D23BF42" w14:textId="77777777" w:rsidR="00626F42" w:rsidRDefault="00626F42" w:rsidP="00626F42">
      <w:pPr>
        <w:rPr>
          <w:b/>
          <w:bCs/>
          <w:color w:val="000000" w:themeColor="text1"/>
        </w:rPr>
      </w:pPr>
    </w:p>
    <w:p w14:paraId="6C52EDDA" w14:textId="7C6C4983" w:rsidR="00D47EF1" w:rsidRDefault="00D47EF1" w:rsidP="00791DCE">
      <w:pPr>
        <w:widowControl/>
      </w:pPr>
    </w:p>
    <w:p w14:paraId="5A8C35D7" w14:textId="63D2DB67" w:rsidR="00FA457D" w:rsidRPr="00B1089D" w:rsidRDefault="00D47EF1" w:rsidP="00D47EF1">
      <w:pPr>
        <w:autoSpaceDE/>
        <w:autoSpaceDN/>
      </w:pPr>
      <w:r>
        <w:br w:type="page"/>
      </w:r>
    </w:p>
    <w:p w14:paraId="50B48671" w14:textId="36233FF4" w:rsidR="00FA457D" w:rsidRPr="00B1089D" w:rsidRDefault="00FA457D" w:rsidP="004C7694">
      <w:pPr>
        <w:pStyle w:val="Tark"/>
      </w:pPr>
      <w:bookmarkStart w:id="269" w:name="_Toc192855286"/>
      <w:proofErr w:type="spellStart"/>
      <w:r w:rsidRPr="00B1089D">
        <w:lastRenderedPageBreak/>
        <w:t>Metaverse</w:t>
      </w:r>
      <w:proofErr w:type="spellEnd"/>
      <w:r w:rsidRPr="00B1089D">
        <w:t xml:space="preserve"> Teknolojilerinin Hukuki Boyutları</w:t>
      </w:r>
      <w:bookmarkEnd w:id="269"/>
    </w:p>
    <w:p w14:paraId="38966AAD" w14:textId="77777777" w:rsidR="00FA457D" w:rsidRPr="00B1089D" w:rsidRDefault="00FA457D" w:rsidP="00FA457D">
      <w:pPr>
        <w:widowControl/>
        <w:jc w:val="center"/>
      </w:pPr>
      <w:r w:rsidRPr="00B1089D">
        <w:t>Mahmut AVCI</w:t>
      </w:r>
      <w:r w:rsidRPr="00B1089D">
        <w:br/>
        <w:t xml:space="preserve">Kahramanmaraş Sütçü İmam Üniversitesi Sosyal Bilimler Enstitüsü Eğitim Bilimleri Ana Bilim Dalı Eğitim Programları ve Öğretimi </w:t>
      </w:r>
      <w:r w:rsidRPr="00B1089D">
        <w:br/>
        <w:t>mavci18@gmail.com</w:t>
      </w:r>
      <w:r w:rsidRPr="00B1089D">
        <w:br/>
        <w:t>0009-0005-3518-1037</w:t>
      </w:r>
    </w:p>
    <w:p w14:paraId="7D874F94" w14:textId="77777777" w:rsidR="00FA457D" w:rsidRPr="00B1089D" w:rsidRDefault="00FA457D" w:rsidP="00FA457D">
      <w:pPr>
        <w:widowControl/>
        <w:jc w:val="center"/>
      </w:pPr>
    </w:p>
    <w:p w14:paraId="4B04CDB6" w14:textId="77777777" w:rsidR="00FA457D" w:rsidRPr="00B1089D" w:rsidRDefault="00FA457D" w:rsidP="00FA457D">
      <w:pPr>
        <w:widowControl/>
        <w:jc w:val="center"/>
      </w:pPr>
      <w:r w:rsidRPr="00B1089D">
        <w:t>Ramazan KARACA</w:t>
      </w:r>
      <w:r w:rsidRPr="00B1089D">
        <w:br/>
        <w:t xml:space="preserve">Kahramanmaraş Sütçü İmam Üniversitesi Sosyal Bilimler Enstitüsü Eğitim Bilimleri Ana Bilim Dalı Eğitim Programları ve Öğretimi </w:t>
      </w:r>
      <w:r w:rsidRPr="00B1089D">
        <w:br/>
        <w:t>ramazanka46@hotmail.com</w:t>
      </w:r>
      <w:r w:rsidRPr="00B1089D">
        <w:br/>
        <w:t>0000-0001-5155-6496</w:t>
      </w:r>
    </w:p>
    <w:p w14:paraId="12549D28" w14:textId="77777777" w:rsidR="00FA457D" w:rsidRPr="00B1089D" w:rsidRDefault="00FA457D" w:rsidP="00791DCE">
      <w:pPr>
        <w:widowControl/>
        <w:jc w:val="both"/>
      </w:pPr>
    </w:p>
    <w:p w14:paraId="531DB96F" w14:textId="77777777" w:rsidR="00FA457D" w:rsidRPr="00B1089D" w:rsidRDefault="00FA457D" w:rsidP="00791DCE">
      <w:pPr>
        <w:widowControl/>
        <w:jc w:val="center"/>
      </w:pPr>
      <w:r w:rsidRPr="00B1089D">
        <w:rPr>
          <w:b/>
          <w:bCs/>
        </w:rPr>
        <w:t>Özet</w:t>
      </w:r>
    </w:p>
    <w:p w14:paraId="365FB01D" w14:textId="77777777" w:rsidR="00FA457D" w:rsidRDefault="00FA457D" w:rsidP="00791DCE">
      <w:pPr>
        <w:widowControl/>
        <w:jc w:val="both"/>
      </w:pPr>
      <w:r w:rsidRPr="00B1089D">
        <w:t xml:space="preserve">Bu çalışmanın genel amacı, </w:t>
      </w:r>
      <w:proofErr w:type="spellStart"/>
      <w:r w:rsidRPr="00B1089D">
        <w:t>metaverse</w:t>
      </w:r>
      <w:proofErr w:type="spellEnd"/>
      <w:r w:rsidRPr="00B1089D">
        <w:t xml:space="preserve"> teknolojilerinin mevcut ve gelecekteki hukuki boyutlarının bilişim hukukçuları tarafından değerlendirilmesidir. Araştırmanın çalışma grubunu, mesleki tecrübeleri birbirinden farklı olan ve Türkiye'nin farklı bölgelerinde görev yapan 10 (on) bilişim hukukçusu oluşturmaktadır. Araştırmada, nitel araştırma yöntemlerinden biri olan görüşme yöntemi kullanılmıştır. Alan uzmanlarınca onay verilen 7 maddeden oluşan görüşme sorularına verilen cevaplar, betimsel analiz yöntemi ile incelenmiştir. Elde edilen veriler doğrultusunda, bilişim hukukçularının </w:t>
      </w:r>
      <w:proofErr w:type="spellStart"/>
      <w:r w:rsidRPr="00B1089D">
        <w:t>metaverse</w:t>
      </w:r>
      <w:proofErr w:type="spellEnd"/>
      <w:r w:rsidRPr="00B1089D">
        <w:t xml:space="preserve"> teknolojilerinin hukuksal açıdan ve hukuk eğitimi açısından verdikleri yanıtlar birbirlerini destekler niteliktedir. Verilen cevaplar analiz edildiğinde, katılımcıların ifadeleri belli başlıklar altında sınıflandırılmış ve yüzdeleri hesaplanmıştır. Elde edilen bulgulara göre, mevcut hukuk sisteminde </w:t>
      </w:r>
      <w:proofErr w:type="spellStart"/>
      <w:r w:rsidRPr="00B1089D">
        <w:t>metaverse</w:t>
      </w:r>
      <w:proofErr w:type="spellEnd"/>
      <w:r w:rsidRPr="00B1089D">
        <w:t xml:space="preserve"> teknolojileri ile ilgili herhangi bir mevzuat bulunmamaktadır. Katılımcılar, gelecekte </w:t>
      </w:r>
      <w:proofErr w:type="spellStart"/>
      <w:r w:rsidRPr="00B1089D">
        <w:t>metaverse</w:t>
      </w:r>
      <w:proofErr w:type="spellEnd"/>
      <w:r w:rsidRPr="00B1089D">
        <w:t xml:space="preserve"> kavramı </w:t>
      </w:r>
      <w:proofErr w:type="gramStart"/>
      <w:r w:rsidRPr="00B1089D">
        <w:t>ile birlikte</w:t>
      </w:r>
      <w:proofErr w:type="gramEnd"/>
      <w:r w:rsidRPr="00B1089D">
        <w:t xml:space="preserve"> sanal ve artırılmış gerçeklik, akıllı kontratlar, </w:t>
      </w:r>
      <w:proofErr w:type="spellStart"/>
      <w:r w:rsidRPr="00B1089D">
        <w:t>blokzincir</w:t>
      </w:r>
      <w:proofErr w:type="spellEnd"/>
      <w:r w:rsidRPr="00B1089D">
        <w:t xml:space="preserve">, nitelikli fikri tapu ve </w:t>
      </w:r>
      <w:proofErr w:type="spellStart"/>
      <w:r w:rsidRPr="00B1089D">
        <w:t>merkeziyetsiz</w:t>
      </w:r>
      <w:proofErr w:type="spellEnd"/>
      <w:r w:rsidRPr="00B1089D">
        <w:t xml:space="preserve"> transferler gibi temel web 3.0 teknolojilerinin kullanılmasının, hukuki anlamda önemli değişikliklere yol açacağını belirtmiştir. Bu teknolojiler, mevcut yasaların </w:t>
      </w:r>
      <w:proofErr w:type="gramStart"/>
      <w:r w:rsidRPr="00B1089D">
        <w:t>revize edilmesini</w:t>
      </w:r>
      <w:proofErr w:type="gramEnd"/>
      <w:r w:rsidRPr="00B1089D">
        <w:t xml:space="preserve">, suçların çeşitlenmesini ve cezalandırılmasını gerektirecektir. Ayrıca, hukuk eğitiminin de bu yeni teknolojilere uyum sağlayacak şekilde güncellenmesi gerektiği vurgulanmıştır. Sonuç olarak, </w:t>
      </w:r>
      <w:proofErr w:type="spellStart"/>
      <w:r w:rsidRPr="00B1089D">
        <w:t>metaverse</w:t>
      </w:r>
      <w:proofErr w:type="spellEnd"/>
      <w:r w:rsidRPr="00B1089D">
        <w:t xml:space="preserve"> teknolojilerinin hukuki </w:t>
      </w:r>
      <w:proofErr w:type="gramStart"/>
      <w:r w:rsidRPr="00B1089D">
        <w:t>boyutları,</w:t>
      </w:r>
      <w:proofErr w:type="gramEnd"/>
      <w:r w:rsidRPr="00B1089D">
        <w:t xml:space="preserve"> hem mevcut hukuk sisteminde hem de gelecekteki hukuk uygulamalarında önemli değişiklikler gerektirmektedir. Bu çalışma, bilişim hukukçularının perspektifinden </w:t>
      </w:r>
      <w:proofErr w:type="spellStart"/>
      <w:r w:rsidRPr="00B1089D">
        <w:t>metaverse</w:t>
      </w:r>
      <w:proofErr w:type="spellEnd"/>
      <w:r w:rsidRPr="00B1089D">
        <w:t xml:space="preserve"> teknolojilerinin hukuki etkilerini ortaya koyarak, gelecekteki hukuki düzenlemeler ve eğitim programları için önemli bir temel oluşturmaktadır.</w:t>
      </w:r>
    </w:p>
    <w:p w14:paraId="112436F0" w14:textId="77777777" w:rsidR="000C6508" w:rsidRPr="00B1089D" w:rsidRDefault="000C6508" w:rsidP="00FA457D">
      <w:pPr>
        <w:widowControl/>
      </w:pPr>
    </w:p>
    <w:p w14:paraId="0FF42BBE" w14:textId="78B18BA4" w:rsidR="00D47EF1" w:rsidRDefault="00FA457D" w:rsidP="00FA457D">
      <w:pPr>
        <w:widowControl/>
      </w:pPr>
      <w:r w:rsidRPr="00B1089D">
        <w:rPr>
          <w:b/>
          <w:bCs/>
        </w:rPr>
        <w:t xml:space="preserve">Anahtar </w:t>
      </w:r>
      <w:r w:rsidRPr="00D10870">
        <w:rPr>
          <w:b/>
          <w:bCs/>
        </w:rPr>
        <w:t>Kelime</w:t>
      </w:r>
      <w:r w:rsidRPr="00B1089D">
        <w:rPr>
          <w:b/>
          <w:bCs/>
        </w:rPr>
        <w:t xml:space="preserve">ler: </w:t>
      </w:r>
      <w:proofErr w:type="spellStart"/>
      <w:r w:rsidRPr="00B1089D">
        <w:t>Metaverse</w:t>
      </w:r>
      <w:proofErr w:type="spellEnd"/>
      <w:r w:rsidRPr="00B1089D">
        <w:t>, web 3.0, bilişim hukuku</w:t>
      </w:r>
    </w:p>
    <w:p w14:paraId="674A78BE" w14:textId="2E44B1EE" w:rsidR="00791DCE" w:rsidRPr="00B1089D" w:rsidRDefault="00D47EF1" w:rsidP="00D47EF1">
      <w:pPr>
        <w:autoSpaceDE/>
        <w:autoSpaceDN/>
      </w:pPr>
      <w:r>
        <w:br w:type="page"/>
      </w:r>
    </w:p>
    <w:p w14:paraId="523010D2" w14:textId="77777777" w:rsidR="00FA457D" w:rsidRPr="00D10870" w:rsidRDefault="00FA457D" w:rsidP="004C7694">
      <w:pPr>
        <w:pStyle w:val="Tark"/>
      </w:pPr>
      <w:bookmarkStart w:id="270" w:name="_Toc192855287"/>
      <w:r w:rsidRPr="00B1089D">
        <w:lastRenderedPageBreak/>
        <w:t>Banka Legal Ekosistemi Çerçevesinde Piyasa Disiplininin Değerlendirilmesi</w:t>
      </w:r>
      <w:bookmarkEnd w:id="270"/>
    </w:p>
    <w:p w14:paraId="19022846" w14:textId="77777777" w:rsidR="00FA457D" w:rsidRPr="00B1089D" w:rsidRDefault="00FA457D" w:rsidP="00FA457D">
      <w:pPr>
        <w:widowControl/>
        <w:jc w:val="center"/>
      </w:pPr>
    </w:p>
    <w:p w14:paraId="02CFD30F" w14:textId="77777777" w:rsidR="00FA457D" w:rsidRPr="00B1089D" w:rsidRDefault="00FA457D" w:rsidP="00FA457D">
      <w:pPr>
        <w:widowControl/>
        <w:jc w:val="center"/>
      </w:pPr>
      <w:r w:rsidRPr="00B1089D">
        <w:t>Dr. Bahriye Brooks</w:t>
      </w:r>
    </w:p>
    <w:p w14:paraId="79E0A0D1" w14:textId="77777777" w:rsidR="00FA457D" w:rsidRPr="00B1089D" w:rsidRDefault="00FA457D" w:rsidP="00FA457D">
      <w:pPr>
        <w:widowControl/>
        <w:jc w:val="center"/>
      </w:pPr>
      <w:r w:rsidRPr="00B1089D">
        <w:t>Ankara Yıldırım Beyazıt Üniversitesi Hukuk Fakültesi</w:t>
      </w:r>
    </w:p>
    <w:p w14:paraId="39865EE0" w14:textId="77777777" w:rsidR="00FA457D" w:rsidRPr="00B1089D" w:rsidRDefault="00FA457D" w:rsidP="00FA457D">
      <w:pPr>
        <w:widowControl/>
        <w:jc w:val="center"/>
      </w:pPr>
      <w:r w:rsidRPr="00B1089D">
        <w:t>Ticaret Hukuku A.B.D.</w:t>
      </w:r>
    </w:p>
    <w:p w14:paraId="72F285F9" w14:textId="77777777" w:rsidR="00FA457D" w:rsidRPr="00B1089D" w:rsidRDefault="00FA457D" w:rsidP="00FA457D">
      <w:pPr>
        <w:widowControl/>
        <w:jc w:val="center"/>
      </w:pPr>
      <w:hyperlink r:id="rId397" w:history="1">
        <w:r w:rsidRPr="00B1089D">
          <w:rPr>
            <w:rStyle w:val="Kpr"/>
          </w:rPr>
          <w:t>bbasaran@ybu.edu.tr</w:t>
        </w:r>
      </w:hyperlink>
    </w:p>
    <w:p w14:paraId="5D0A900D" w14:textId="77777777" w:rsidR="00FA457D" w:rsidRPr="00B1089D" w:rsidRDefault="00FA457D" w:rsidP="00FA457D">
      <w:pPr>
        <w:widowControl/>
        <w:jc w:val="center"/>
      </w:pPr>
      <w:r w:rsidRPr="00B1089D">
        <w:t>ORCID ID: 0000-0002-0664-8647</w:t>
      </w:r>
    </w:p>
    <w:p w14:paraId="79452074" w14:textId="77777777" w:rsidR="00FA457D" w:rsidRPr="00B1089D" w:rsidRDefault="00FA457D" w:rsidP="00FA457D">
      <w:pPr>
        <w:widowControl/>
        <w:jc w:val="center"/>
      </w:pPr>
    </w:p>
    <w:p w14:paraId="6BFB0B42" w14:textId="77777777" w:rsidR="00FA457D" w:rsidRPr="00B1089D" w:rsidRDefault="00FA457D" w:rsidP="00FA457D">
      <w:pPr>
        <w:widowControl/>
        <w:jc w:val="center"/>
      </w:pPr>
      <w:r w:rsidRPr="00B1089D">
        <w:rPr>
          <w:b/>
          <w:bCs/>
        </w:rPr>
        <w:t>Özet</w:t>
      </w:r>
    </w:p>
    <w:p w14:paraId="18EBCC67" w14:textId="1636EB9B" w:rsidR="00FA457D" w:rsidRPr="00B1089D" w:rsidRDefault="00FA457D" w:rsidP="00791DCE">
      <w:pPr>
        <w:widowControl/>
        <w:jc w:val="both"/>
      </w:pPr>
      <w:r w:rsidRPr="00B1089D">
        <w:t xml:space="preserve">Piyasa disiplini, günümüzün şeffaflık ve azami bilgi paylaşımı odaklı düzenleyici hukuk sisteminin önemli bir unsuru olarak, şirketin kararları nedeniyle mali kayıp riski taşıyan menfaat sahiplerinin, piyasayı takip ederek ve kendi etkilerini kullanarak firmayı denetlediği ve hesap verebilirliğini sağladığı bir durumu ifade eder. </w:t>
      </w:r>
      <w:proofErr w:type="spellStart"/>
      <w:r w:rsidRPr="00B1089D">
        <w:t>Sosyo</w:t>
      </w:r>
      <w:proofErr w:type="spellEnd"/>
      <w:r w:rsidRPr="00B1089D">
        <w:t xml:space="preserve">-ekonomik ve finansal sistemdeki önemlerinden ötürü kendilerine özgü hukuki düzenleme ve denetleme mekanizmalarına tabi kılınmış ve özel bir şirket </w:t>
      </w:r>
      <w:r w:rsidRPr="00D10870">
        <w:t>diyebileceğimiz ‘</w:t>
      </w:r>
      <w:r w:rsidRPr="00B1089D">
        <w:t>bankalarda’ piyasa disiplini, finansal istikrar, tüketicinin korunması ve ekonomik gelişme gibi büyük amaçlara hizmet ettiğinden ayrı bir önemi haizdir.</w:t>
      </w:r>
      <w:r w:rsidRPr="00D10870">
        <w:t xml:space="preserve"> </w:t>
      </w:r>
      <w:r w:rsidRPr="00B1089D">
        <w:t xml:space="preserve">Bankaların uymak zorunda olduğu düzenleyici (regülatif) disiplin mekanizmaları ile iç içe olan piyasa disiplini mekanizmaları, şeffaflığı ve bilgi akışını artırma, kurumsal yönetimi güçlendirme, bankaların ihtiyacı olan sermaye ve likidite gerekliliklerini tespit etme, ahlaki tehlikeyi minimize etme ve sistemi suçlardan ve usulsüzlüklerden arındırma  gibi kapsayıcı hedefler içererek tüketicilerin ve yatırımcıların güven içinde mali karar alabilmelerini sağlayarak  finansal ekosistemin sürdürülebilirliğini sağlamaktadır.  Bu bağlamda, bankacılıkta piyasa disiplininin hukuki düzenlemesinde dikkate alınacak noktalar, banka-dışı şirketlere tatbik edilecek piyasa disiplini kaidelerinden farklı olmalıdır. Zira, piyasa disiplininin bankalarda tam anlamıyla uygulanmasının sınırlamaları </w:t>
      </w:r>
      <w:proofErr w:type="spellStart"/>
      <w:r w:rsidRPr="00B1089D">
        <w:t>vardır.Finansal</w:t>
      </w:r>
      <w:proofErr w:type="spellEnd"/>
      <w:r w:rsidRPr="00B1089D">
        <w:t xml:space="preserve"> kriz durumunda bankalara sunulan yardım mekanizmaları, panik ortamını önlemeye çalışan  regülatif disiplin mekanizmalarının varlığı, bankadan halka arz edilen bilginin doğru ve tam olmasının  yayılma ve panik etkisi yüzünden tüketici nezdinde önemli olması ve  piyasa disiplininin ‘batamayacak kadar büyük’ şeklinde tabir edilen büyük bankalar nezdinde karşılığının olmayacağı gibi hususlar bu sınırlamalardan bazılarıdır.</w:t>
      </w:r>
    </w:p>
    <w:p w14:paraId="290D54C6" w14:textId="77777777" w:rsidR="00FA457D" w:rsidRPr="00B1089D" w:rsidRDefault="00FA457D" w:rsidP="00791DCE">
      <w:pPr>
        <w:widowControl/>
        <w:jc w:val="both"/>
      </w:pPr>
      <w:r w:rsidRPr="00B1089D">
        <w:t>Bu araştırma, söz konusu iki disiplin mekanizmasının bankacılık bağlamında incelenmesini ve belirtilen sınırlamaların, yalnızca paydaşlarla sınırlı kalmayıp banka menfaat sahipleri temelinde hukuki düzenlemeye tabi tutulması gerektiğini ortaya koymaktadır. Hukuk sistemi, güçlü ve istikrarlı bir bankacılık yapısını desteklemek adına, piyasa disiplinini düzenleyici disiplinin tamamlayıcı bir unsuru olarak değerlendirmelidir.</w:t>
      </w:r>
    </w:p>
    <w:p w14:paraId="7F7A0319" w14:textId="77777777" w:rsidR="00FA457D" w:rsidRPr="00B1089D" w:rsidRDefault="00FA457D" w:rsidP="00791DCE">
      <w:pPr>
        <w:widowControl/>
        <w:jc w:val="both"/>
      </w:pPr>
    </w:p>
    <w:p w14:paraId="06D5C7C1" w14:textId="0C63AE90" w:rsidR="00D47EF1" w:rsidRDefault="00FA457D" w:rsidP="00791DCE">
      <w:pPr>
        <w:widowControl/>
        <w:jc w:val="both"/>
      </w:pPr>
      <w:r w:rsidRPr="00B1089D">
        <w:rPr>
          <w:b/>
          <w:bCs/>
        </w:rPr>
        <w:t xml:space="preserve">Anahtar </w:t>
      </w:r>
      <w:r w:rsidRPr="00D10870">
        <w:rPr>
          <w:b/>
          <w:bCs/>
        </w:rPr>
        <w:t>Kelimel</w:t>
      </w:r>
      <w:r w:rsidRPr="00B1089D">
        <w:rPr>
          <w:b/>
          <w:bCs/>
        </w:rPr>
        <w:t>er:</w:t>
      </w:r>
      <w:r w:rsidRPr="00B1089D">
        <w:t xml:space="preserve"> banka, piyasa disiplini, hukuk sistemi, düzenleyici disiplin, menfaat sahipleri</w:t>
      </w:r>
    </w:p>
    <w:p w14:paraId="4F0B5246" w14:textId="329228AE" w:rsidR="00FA457D" w:rsidRPr="00B1089D" w:rsidRDefault="00D47EF1" w:rsidP="00D47EF1">
      <w:pPr>
        <w:autoSpaceDE/>
        <w:autoSpaceDN/>
      </w:pPr>
      <w:r>
        <w:br w:type="page"/>
      </w:r>
    </w:p>
    <w:p w14:paraId="00601596" w14:textId="77777777" w:rsidR="00FA457D" w:rsidRPr="00B1089D" w:rsidRDefault="00FA457D" w:rsidP="004C7694">
      <w:pPr>
        <w:pStyle w:val="Tark"/>
      </w:pPr>
      <w:bookmarkStart w:id="271" w:name="_Toc192855288"/>
      <w:r w:rsidRPr="00B1089D">
        <w:lastRenderedPageBreak/>
        <w:t>Türk Sermaye Piyasalarında Kripto Varlıkların Yeri ve Yeni Yasal Düzenlemenin Türk Yatırımcılar ve İşletmeler İçin Önemi</w:t>
      </w:r>
      <w:bookmarkEnd w:id="271"/>
    </w:p>
    <w:p w14:paraId="0128B9EB" w14:textId="77777777" w:rsidR="00FA457D" w:rsidRPr="00B1089D" w:rsidRDefault="00FA457D" w:rsidP="00FA457D">
      <w:pPr>
        <w:widowControl/>
        <w:jc w:val="center"/>
      </w:pPr>
    </w:p>
    <w:p w14:paraId="1271161C" w14:textId="77777777" w:rsidR="00FA457D" w:rsidRPr="00B1089D" w:rsidRDefault="00FA457D" w:rsidP="00FA457D">
      <w:pPr>
        <w:widowControl/>
        <w:jc w:val="center"/>
      </w:pPr>
      <w:r w:rsidRPr="00B1089D">
        <w:t>Perihan Gözüm</w:t>
      </w:r>
      <w:r w:rsidRPr="00B1089D">
        <w:br/>
        <w:t>Dr. Öğretim Üyesi, Çankırı Karatekin Üniversitesi, Hukuk</w:t>
      </w:r>
      <w:r w:rsidRPr="00B1089D">
        <w:br/>
        <w:t>gozumperihan@karatekin.edu.tr</w:t>
      </w:r>
      <w:r w:rsidRPr="00B1089D">
        <w:br/>
        <w:t>ORCID: 0000-0003-1174-8500</w:t>
      </w:r>
    </w:p>
    <w:p w14:paraId="1769F8B1" w14:textId="77777777" w:rsidR="00FA457D" w:rsidRPr="00B1089D" w:rsidRDefault="00FA457D" w:rsidP="00FA457D">
      <w:pPr>
        <w:widowControl/>
        <w:jc w:val="center"/>
      </w:pPr>
    </w:p>
    <w:p w14:paraId="57766628" w14:textId="2E8F5ED8" w:rsidR="00FA457D" w:rsidRPr="00B1089D" w:rsidRDefault="00FA457D" w:rsidP="00FA457D">
      <w:pPr>
        <w:widowControl/>
        <w:jc w:val="center"/>
      </w:pPr>
      <w:r w:rsidRPr="00B1089D">
        <w:t>Rabia Yıldırım</w:t>
      </w:r>
      <w:r w:rsidRPr="00B1089D">
        <w:br/>
        <w:t>Ankara Üniversitesi, Sosyal Bilimler Enstitüsü, Özel Hukuk Anabilim Dalı, Doktora Öğrencisi</w:t>
      </w:r>
      <w:r w:rsidRPr="00B1089D">
        <w:br/>
        <w:t>ruzumcu@ankara.edu.tr</w:t>
      </w:r>
      <w:r w:rsidRPr="00B1089D">
        <w:br/>
      </w:r>
      <w:proofErr w:type="gramStart"/>
      <w:r w:rsidRPr="00B1089D">
        <w:t>ORCID:  0000</w:t>
      </w:r>
      <w:proofErr w:type="gramEnd"/>
      <w:r w:rsidRPr="00B1089D">
        <w:t>-0002-9861-7636</w:t>
      </w:r>
    </w:p>
    <w:p w14:paraId="7439EDC9" w14:textId="77777777" w:rsidR="00FA457D" w:rsidRPr="00B1089D" w:rsidRDefault="00FA457D" w:rsidP="00FA457D">
      <w:pPr>
        <w:widowControl/>
        <w:jc w:val="center"/>
      </w:pPr>
    </w:p>
    <w:p w14:paraId="6D642F61" w14:textId="77777777" w:rsidR="00FA457D" w:rsidRPr="00B1089D" w:rsidRDefault="00FA457D" w:rsidP="00FA457D">
      <w:pPr>
        <w:widowControl/>
        <w:jc w:val="center"/>
      </w:pPr>
      <w:r w:rsidRPr="00B1089D">
        <w:rPr>
          <w:b/>
          <w:bCs/>
        </w:rPr>
        <w:t>Özet</w:t>
      </w:r>
    </w:p>
    <w:p w14:paraId="377A83B7" w14:textId="53F9589F" w:rsidR="00FA457D" w:rsidRPr="00B1089D" w:rsidRDefault="00FA457D" w:rsidP="00791DCE">
      <w:pPr>
        <w:widowControl/>
        <w:jc w:val="both"/>
      </w:pPr>
      <w:r w:rsidRPr="00B1089D">
        <w:t>İşbu çalışmanın amacı, Türkiye’de kripto varlıklara / kripto paralara ilişkin olarak hazırlanan ilk kanuni düzenlemeyi, 7518 sayılı Sermaye Piyasası Kanununda Değişiklik Yapılmasına Dair Kanunu, müspet ve menfi yönleriyle, avantaj ve dezavantajlarıyla, hukuki, işletmesel ve ekonomik parametrelere göre analiz etmek suretiyle Türk sermaye piyasalarında kripto varlıkların yerini ortaya koymaktır. Çalışma başta uzun yıllardır yürürlükte olan mevcut ve yeni yürürlüğe giren kanuni düzenlemeler, Türkiye Büyük Millet Meclisi bünyesindeki ilgili komisyon raporları, kanunun gerekçeleri ve Sermaye Piyasası Kurulu düzenlemeleriyle birlikte sermaye piyasaları, yatırım ve işletme alanlarındaki ulusal ve uluslararası akademik eserlerin irdelenmesi ve analiz edilmesi suretiyle hazırlanmıştır. Bireysel yatırımcıları korumayı, ziyadesiyle niş bir piyasayı regüle etmeyi, kurumsal yatırımcıların ve işletmelerin hak ve yükümlülüklerini ortaya koymayı ve de Türkiye’nin uluslararası finansal alandaki itibarını güçlendirmeyi amaçlayan bu yeni düzenleme Türk sermaye piyasalarında kripto varlıkların yerini de baştan ele almaktadır. Zira mezkûr düzenleme ile kripto varlıklara dair ilk kez kanun düzeyinde bir regülasyon hayata geçirilmiş, kripto varlık platformlarının kuruluşu, işleyişi, hizmet sağlayıcıların ortaklarında bulunması gereken özellikler ve sorumluluk esasları kapsamlı bir şekilde düzenlenmiştir. Fakat Kanun gerekçesi, uluslararası regülasyonlar ve yerleşik uygulamalar dikkate alındığında, konunun tamamen çözülmek bir yana dursun uzun vadede daha farklı ve daha büyük sorunların ortaya çıkması ihtimal dahilindedir. Kripto varlıklar ile ilgili işletme, hukuk, finans ve diğer alanlarda çokça eser bulunmakla birlikte işbu çalışmanın odak noktasındaki kanuni düzenleme Temmuz 2024 itibarıyla yürürlüğe girmiş olup yeni süreç hakkında yazılmış çok fazla eser bulunmamaktadır. Dolayısıyla, eserin konuyla ilgili ilk akademik kaynaklardan biri niteliğini taşıması eserin özgünlüğü ve yeniliğini gözler önüne sermektedir.</w:t>
      </w:r>
    </w:p>
    <w:p w14:paraId="721BD779" w14:textId="77777777" w:rsidR="00FA457D" w:rsidRPr="00B1089D" w:rsidRDefault="00FA457D" w:rsidP="00791DCE">
      <w:pPr>
        <w:widowControl/>
        <w:jc w:val="both"/>
      </w:pPr>
    </w:p>
    <w:p w14:paraId="31262E8D" w14:textId="0B65E888" w:rsidR="00D47EF1" w:rsidRDefault="00FA457D" w:rsidP="00791DCE">
      <w:pPr>
        <w:widowControl/>
        <w:jc w:val="both"/>
      </w:pPr>
      <w:r w:rsidRPr="00B1089D">
        <w:rPr>
          <w:b/>
          <w:bCs/>
        </w:rPr>
        <w:t xml:space="preserve">Anahtar </w:t>
      </w:r>
      <w:r>
        <w:rPr>
          <w:b/>
          <w:bCs/>
        </w:rPr>
        <w:t>Kelime</w:t>
      </w:r>
      <w:r w:rsidRPr="00B1089D">
        <w:rPr>
          <w:b/>
          <w:bCs/>
        </w:rPr>
        <w:t>ler:</w:t>
      </w:r>
      <w:r w:rsidRPr="00B1089D">
        <w:t xml:space="preserve"> Kripto Varlık, Sermaye Piyasaları, Sermaye Piyasası Hukuku, Sermaye Piyasası Kurulu.</w:t>
      </w:r>
    </w:p>
    <w:p w14:paraId="20D498CA" w14:textId="3817FC21" w:rsidR="00FA457D" w:rsidRPr="00097B24" w:rsidRDefault="00D47EF1" w:rsidP="00D47EF1">
      <w:pPr>
        <w:autoSpaceDE/>
        <w:autoSpaceDN/>
      </w:pPr>
      <w:r>
        <w:br w:type="page"/>
      </w:r>
    </w:p>
    <w:p w14:paraId="16F62E64" w14:textId="77777777" w:rsidR="00FA457D" w:rsidRDefault="00FA457D" w:rsidP="004C7694">
      <w:pPr>
        <w:pStyle w:val="Tark"/>
      </w:pPr>
      <w:bookmarkStart w:id="272" w:name="_Toc192855289"/>
      <w:r w:rsidRPr="001B13EC">
        <w:lastRenderedPageBreak/>
        <w:t>Türk Sermaye Piyasalarında Kripto Varlıkların Yeri ve Yeni Yasal Düzenlemenin Türk Yatırımcılar ve İşletmeler İçin Önemi</w:t>
      </w:r>
      <w:bookmarkEnd w:id="272"/>
    </w:p>
    <w:p w14:paraId="7D5E5DDC" w14:textId="77777777" w:rsidR="00FA457D" w:rsidRDefault="00FA457D" w:rsidP="00FA457D">
      <w:pPr>
        <w:jc w:val="center"/>
      </w:pPr>
    </w:p>
    <w:p w14:paraId="2843AF38" w14:textId="77777777" w:rsidR="00FA457D" w:rsidRDefault="00FA457D" w:rsidP="00FA457D">
      <w:pPr>
        <w:jc w:val="center"/>
      </w:pPr>
      <w:r>
        <w:t>Perihan Gözüm</w:t>
      </w:r>
      <w:r>
        <w:br/>
        <w:t>Dr. Öğretim Üyesi, Çankırı Karatekin Üniversitesi, Hukuk</w:t>
      </w:r>
      <w:r>
        <w:br/>
        <w:t>gozumperihan@karatekin.edu.tr</w:t>
      </w:r>
      <w:r>
        <w:br/>
      </w:r>
      <w:r w:rsidRPr="00F64BD8">
        <w:t>ORCID: 0000-0003-1174-8500</w:t>
      </w:r>
    </w:p>
    <w:p w14:paraId="47A5B935" w14:textId="77777777" w:rsidR="00FA457D" w:rsidRDefault="00FA457D" w:rsidP="00FA457D">
      <w:pPr>
        <w:jc w:val="both"/>
      </w:pPr>
    </w:p>
    <w:p w14:paraId="3BBEF322" w14:textId="77777777" w:rsidR="00FA457D" w:rsidRDefault="00FA457D" w:rsidP="00FA457D">
      <w:pPr>
        <w:jc w:val="center"/>
      </w:pPr>
      <w:r>
        <w:t>Rabia Yıldırım</w:t>
      </w:r>
      <w:r>
        <w:br/>
      </w:r>
      <w:r w:rsidRPr="00F64BD8">
        <w:t>Ankara Üniversitesi, Sosyal Bilimler Enstitüsü,</w:t>
      </w:r>
      <w:r>
        <w:t xml:space="preserve"> Özel Hukuk </w:t>
      </w:r>
      <w:r w:rsidRPr="00F64BD8">
        <w:t>Anabilim Dalı, Doktora Öğrencisi</w:t>
      </w:r>
      <w:r>
        <w:br/>
      </w:r>
      <w:r w:rsidRPr="00F64BD8">
        <w:t>ruzumcu@ankara.edu.tr</w:t>
      </w:r>
      <w:r>
        <w:br/>
      </w:r>
      <w:r w:rsidRPr="00F64BD8">
        <w:t>ORCID: 0000-0002-9861-7636</w:t>
      </w:r>
    </w:p>
    <w:p w14:paraId="278220C4" w14:textId="77777777" w:rsidR="00FA457D" w:rsidRDefault="00FA457D" w:rsidP="00FA457D">
      <w:pPr>
        <w:jc w:val="both"/>
      </w:pPr>
    </w:p>
    <w:p w14:paraId="462FC8A2" w14:textId="77777777" w:rsidR="00FA457D" w:rsidRPr="00097B24" w:rsidRDefault="00FA457D" w:rsidP="00FA457D">
      <w:pPr>
        <w:jc w:val="center"/>
        <w:rPr>
          <w:b/>
          <w:bCs/>
        </w:rPr>
      </w:pPr>
      <w:r w:rsidRPr="00097B24">
        <w:rPr>
          <w:b/>
          <w:bCs/>
        </w:rPr>
        <w:t>Özet</w:t>
      </w:r>
    </w:p>
    <w:p w14:paraId="3230C8FE" w14:textId="1FC9B843" w:rsidR="00FA457D" w:rsidRDefault="00FA457D" w:rsidP="00B80551">
      <w:pPr>
        <w:jc w:val="both"/>
      </w:pPr>
      <w:r w:rsidRPr="00C84BCC">
        <w:t>İşbu çalışmanın amacı, Türkiye’de kripto varlıklara / kripto paralara ilişkin olarak hazırlanan ilk kanuni düzenlemeyi, 7518 sayılı Sermaye Piyasası Kanununda Değişiklik Yapılmasına Dair Kanunu, müspet ve menfi yönleriyle, avantaj ve dezavantajlarıyla, hukuki, işletmesel ve ekonomik parametrelere göre analiz etmek suretiyle Türk sermaye piyasalarında kripto varlıkların yerini ortaya koymaktır. Çalışma başta uzun yıllardır yürürlükte olan mevcut ve yeni yürürlüğe giren kanuni düzenlemeler, Türkiye Büyük Millet Meclisi bünyesindeki ilgili komisyon raporları, kanunun gerekçeleri ve Sermaye Piyasası Kurulu düzenlemeleriyle birlikte sermaye piyasaları, yatırım ve işletme alanlarındaki ulusal ve uluslararası akademik eserlerin irdelenmesi ve analiz edilmesi suretiyle hazırlanmıştır. Bireysel yatırımcıları korumayı, ziyadesiyle niş bir piyasayı regüle etmeyi, kurumsal yatırımcıların ve işletmelerin hak ve yükümlülüklerini ortaya koymayı ve de Türkiye’nin uluslararası finansal alandaki itibarını güçlendirmeyi amaçlayan bu yeni düzenleme Türk sermaye piyasalarında kripto varlıkların yerini de baştan ele almaktadır. Zira mezkûr düzenleme ile kripto varlıklara dair ilk kez kanun düzeyinde bir regülasyon hayata geçirilmiş, kripto varlık platformlarının kuruluşu, işleyişi, hizmet sağlayıcıların ortaklarında bulunması gereken özellikler ve sorumluluk esasları kapsamlı bir şekilde düzenlenmiştir. Fakat Kanun gerekçesi, uluslararası regülasyonlar ve yerleşik uygulamalar dikkate alındığında, konunun tamamen çözülmek bir yana dursun uzun vadede daha farklı ve daha büyük sorunların ortaya çıkması ihtimal dahilindedir. Kripto varlıklar ile ilgili işletme, hukuk, finans ve diğer alanlarda çokça eser bulunmakla birlikte işbu çalışmanın odak noktasındaki kanuni düzenleme Temmuz 2024 itibarıyla yürürlüğe girmiş olup yeni süreç hakkında yazılmış çok fazla eser bulunmamaktadır. Dolayısıyla, eserin konuyla ilgili ilk akademik kaynaklardan biri niteliğini taşıması eserin özgünlüğü ve yeniliğini gözler önüne sermektedir.</w:t>
      </w:r>
    </w:p>
    <w:p w14:paraId="149B7F75" w14:textId="77777777" w:rsidR="00FA457D" w:rsidRDefault="00FA457D" w:rsidP="00B80551">
      <w:pPr>
        <w:jc w:val="both"/>
      </w:pPr>
    </w:p>
    <w:p w14:paraId="2C757469" w14:textId="6C6985F2" w:rsidR="00FA457D" w:rsidRDefault="000C6508" w:rsidP="00B80551">
      <w:pPr>
        <w:jc w:val="both"/>
      </w:pPr>
      <w:r>
        <w:rPr>
          <w:b/>
          <w:bCs/>
        </w:rPr>
        <w:t>Anahtar Kelimeler</w:t>
      </w:r>
      <w:r w:rsidR="00FA457D" w:rsidRPr="00DE7662">
        <w:rPr>
          <w:b/>
          <w:bCs/>
        </w:rPr>
        <w:t>:</w:t>
      </w:r>
      <w:r w:rsidR="00FA457D">
        <w:t xml:space="preserve"> </w:t>
      </w:r>
      <w:r w:rsidR="00FA457D" w:rsidRPr="00C84BCC">
        <w:t>Kripto Varlık, Sermaye Piyasaları, Sermaye Piyasası Hukuku, Sermaye Piyasası Kurulu.</w:t>
      </w:r>
    </w:p>
    <w:p w14:paraId="30FFAFDF" w14:textId="77777777" w:rsidR="00FA457D" w:rsidRDefault="00FA457D" w:rsidP="00B80551">
      <w:pPr>
        <w:jc w:val="both"/>
      </w:pPr>
    </w:p>
    <w:p w14:paraId="5C0ABBAD" w14:textId="77777777" w:rsidR="00FA457D" w:rsidRPr="007B6A6D" w:rsidRDefault="00FA457D" w:rsidP="00B80551">
      <w:pPr>
        <w:jc w:val="both"/>
        <w:rPr>
          <w:b/>
          <w:bCs/>
        </w:rPr>
      </w:pPr>
      <w:r w:rsidRPr="007B6A6D">
        <w:rPr>
          <w:b/>
          <w:bCs/>
        </w:rPr>
        <w:t>1. GİRİŞ</w:t>
      </w:r>
    </w:p>
    <w:p w14:paraId="22CEC87F" w14:textId="18AE966B" w:rsidR="00FA457D" w:rsidRDefault="00FA457D" w:rsidP="00B80551">
      <w:pPr>
        <w:jc w:val="both"/>
      </w:pPr>
      <w:r w:rsidRPr="007B6A6D">
        <w:t xml:space="preserve">Kripto paralar ya da bir diğer ifadeyle kripto varlıklar, </w:t>
      </w:r>
      <w:proofErr w:type="spellStart"/>
      <w:r w:rsidRPr="007B6A6D">
        <w:t>Satoshi</w:t>
      </w:r>
      <w:proofErr w:type="spellEnd"/>
      <w:r w:rsidRPr="007B6A6D">
        <w:t xml:space="preserve"> </w:t>
      </w:r>
      <w:proofErr w:type="spellStart"/>
      <w:r w:rsidRPr="007B6A6D">
        <w:t>Nakamoto</w:t>
      </w:r>
      <w:proofErr w:type="spellEnd"/>
      <w:r w:rsidRPr="007B6A6D">
        <w:t xml:space="preserve"> isimli kişinin/grubun “</w:t>
      </w:r>
      <w:r w:rsidRPr="007B6A6D">
        <w:rPr>
          <w:i/>
          <w:iCs/>
        </w:rPr>
        <w:t>Bitcoin: Uçtan Uca Elektronik Nakit Sistemi (Bitcoin: A Peer-</w:t>
      </w:r>
      <w:proofErr w:type="spellStart"/>
      <w:r w:rsidRPr="007B6A6D">
        <w:rPr>
          <w:i/>
          <w:iCs/>
        </w:rPr>
        <w:t>to</w:t>
      </w:r>
      <w:proofErr w:type="spellEnd"/>
      <w:r w:rsidRPr="007B6A6D">
        <w:rPr>
          <w:i/>
          <w:iCs/>
        </w:rPr>
        <w:t xml:space="preserve">-Peer Electronic Cash </w:t>
      </w:r>
      <w:proofErr w:type="spellStart"/>
      <w:r w:rsidRPr="007B6A6D">
        <w:rPr>
          <w:i/>
          <w:iCs/>
        </w:rPr>
        <w:t>System</w:t>
      </w:r>
      <w:proofErr w:type="spellEnd"/>
      <w:r w:rsidRPr="007B6A6D">
        <w:rPr>
          <w:i/>
          <w:iCs/>
        </w:rPr>
        <w:t>)</w:t>
      </w:r>
      <w:r w:rsidRPr="007B6A6D">
        <w:t xml:space="preserve">” başlıklı makalesini yayımlandığı 2008 yılından günümüze kadar finans ve hukuk dünyasının en çok tartışılan konularından biri olmuştur. Kripto para adı verilen teknolojilerin </w:t>
      </w:r>
      <w:r w:rsidRPr="007B6A6D">
        <w:lastRenderedPageBreak/>
        <w:t xml:space="preserve">günümüze kadar genel anlamda kabul görmüş yeknesak bir tanımı bulunmamaktadır. Bununla birlikte, kripto paraların çalışma usullerinden yola çıkılarak hem yurtiçinde hem de yurtdışında, öğretide çeşitli tanımlar yapılmıştır. Yılmaz’a (2023: 21) göre kripto paralar </w:t>
      </w:r>
      <w:r w:rsidRPr="007B6A6D">
        <w:rPr>
          <w:i/>
          <w:iCs/>
        </w:rPr>
        <w:t>“…yapısında kriptografi (şifreleme bilimi) kullanılan para birimleri…”</w:t>
      </w:r>
      <w:r w:rsidRPr="007B6A6D">
        <w:t xml:space="preserve"> olarak tanımlanabilmektedir. İmamoğlu’na (2024: 46) göre ise kripto paralar teknik olarak </w:t>
      </w:r>
      <w:r w:rsidRPr="007B6A6D">
        <w:rPr>
          <w:i/>
          <w:iCs/>
        </w:rPr>
        <w:t>“sanal cüzdanlardan şifre ile alınıp şifre ile kullanılan paralar”</w:t>
      </w:r>
      <w:r w:rsidRPr="007B6A6D">
        <w:t xml:space="preserve"> olarak ifade edilebilmektedir</w:t>
      </w:r>
    </w:p>
    <w:p w14:paraId="4EEA22BF" w14:textId="77777777" w:rsidR="00B80551" w:rsidRPr="007B6A6D" w:rsidRDefault="00B80551" w:rsidP="00B80551">
      <w:pPr>
        <w:jc w:val="both"/>
      </w:pPr>
    </w:p>
    <w:p w14:paraId="71EE7225" w14:textId="7CCD438F" w:rsidR="00FA457D" w:rsidRDefault="00FA457D" w:rsidP="00B80551">
      <w:pPr>
        <w:jc w:val="both"/>
      </w:pPr>
      <w:r w:rsidRPr="007B6A6D">
        <w:t>Kripto varlıkların hukuki niteliği ise benzer şekilde uzun yıllardır tartışma konusu olmuş ve yine uluslararası kuruluşlarca tarafından üzerinde mutabık kalınan bir nitelendirme yapılamamıştır. Türk hukuk sisteminde de hukuki bir düzenleme yapılmamış olması dolayısıyla öğretide çeşitli ve birbirinden farklı görüşler bulunmaktadır. Bir görüşe göre, geleneksel anlamda paranın temel özelliklerini taşımayan kripto varlıkların birer para birimi olarak kabul edilemeyeceği, maddi bir varlığa sahip olmaması dolayısıyla da eşya olarak nitelendirilmesinin mümkün olmadığı ve 6362 sayılı Sermaye Piyasası Kanunu (“</w:t>
      </w:r>
      <w:proofErr w:type="spellStart"/>
      <w:r w:rsidRPr="007B6A6D">
        <w:t>SerPK</w:t>
      </w:r>
      <w:proofErr w:type="spellEnd"/>
      <w:r w:rsidRPr="007B6A6D">
        <w:t xml:space="preserve">”) kapsamında düzenlenen menkul kıymetlerden biri olarak düzenlenmediği ileri sürülmüştür </w:t>
      </w:r>
      <w:r w:rsidRPr="007B6A6D">
        <w:rPr>
          <w:noProof/>
        </w:rPr>
        <w:t>(Turanboy, 2019: 62; Özdemir, 2021: 304; Yılmaz, 2023: 89)</w:t>
      </w:r>
      <w:r w:rsidRPr="007B6A6D">
        <w:t>. Bir başka düşünceye göre ise kripto varlıkların sermaye piyasası araçlarından biri olarak nitelendirilmesi noktasında her bir varlık özelinde değerlendirme yapılarak nitelendirme yapılması gerekmektedir</w:t>
      </w:r>
      <w:r w:rsidRPr="007B6A6D">
        <w:rPr>
          <w:noProof/>
        </w:rPr>
        <w:t xml:space="preserve"> (Demirtaş, 2022: 219)</w:t>
      </w:r>
      <w:r w:rsidRPr="007B6A6D">
        <w:t>.</w:t>
      </w:r>
    </w:p>
    <w:p w14:paraId="4F8CAF6F" w14:textId="77777777" w:rsidR="00B80551" w:rsidRPr="007B6A6D" w:rsidRDefault="00B80551" w:rsidP="00B80551">
      <w:pPr>
        <w:jc w:val="both"/>
      </w:pPr>
    </w:p>
    <w:p w14:paraId="639DF69E" w14:textId="69A5CA18" w:rsidR="00FA457D" w:rsidRDefault="00FA457D" w:rsidP="00B80551">
      <w:pPr>
        <w:jc w:val="both"/>
      </w:pPr>
      <w:r w:rsidRPr="007B6A6D">
        <w:t xml:space="preserve">Kripto varlıkların tanımı ve hukuki nitelendirilmesi ile ilgili tartışmalar bir yana dursun, kripto varlıkların temelini oluşturan </w:t>
      </w:r>
      <w:proofErr w:type="spellStart"/>
      <w:r w:rsidRPr="007B6A6D">
        <w:t>blokzincir</w:t>
      </w:r>
      <w:proofErr w:type="spellEnd"/>
      <w:r w:rsidRPr="007B6A6D">
        <w:t xml:space="preserve"> teknolojisi ile geleneksel ödeme yöntemlerine alternatif olacak yeni bir sistem oluşturulması, kullanıcılara daha hızlı, ucuz ve kolay bir ödeme imkânı sunulması ise başlı başına büyük bir dönüşüm olarak değerlendirilmektedir</w:t>
      </w:r>
      <w:r w:rsidRPr="007B6A6D">
        <w:rPr>
          <w:noProof/>
        </w:rPr>
        <w:t xml:space="preserve"> (Iersel, 2022: 57)</w:t>
      </w:r>
      <w:r w:rsidRPr="007B6A6D">
        <w:t>. Kripto varlıklar ile kullanıcılara; vergi ve harç muafiyeti sağlanmış, fiziki olarak saklama sorununun ortadan kaldırılmış, mahremiyetin tesis edilmesi gibi pek çok avantaj sağlanmıştır</w:t>
      </w:r>
      <w:r w:rsidRPr="007B6A6D">
        <w:rPr>
          <w:noProof/>
        </w:rPr>
        <w:t xml:space="preserve"> (İmamoğlu, 2024: 48)</w:t>
      </w:r>
      <w:r w:rsidRPr="007B6A6D">
        <w:t>. Bu sayede kısa bir süre zarfında kripto varlık piyasası dünya üzerindeki pek çok ülke vatandaşı tarafından kullanılan milyarlarca dolarlık bir endüstri haline gelmiştir. Ancak kripto varlıkların sağlamış olduğu avantajların yanında bu tür yeni nesi dijital mal varlıkların dolandırıcılık ve hırsızlık gibi suçlarına elverişli olmaları ve olası spekülasyonlar neticesinde fiyatlarında büyük değişimler yaşanması gibi riskler söz konusu olmaktadır</w:t>
      </w:r>
      <w:r w:rsidRPr="007B6A6D">
        <w:rPr>
          <w:noProof/>
        </w:rPr>
        <w:t xml:space="preserve"> (İmamoğlu, 2024: 41;</w:t>
      </w:r>
      <w:r w:rsidRPr="007B6A6D">
        <w:t xml:space="preserve"> </w:t>
      </w:r>
      <w:r w:rsidRPr="007B6A6D">
        <w:rPr>
          <w:noProof/>
        </w:rPr>
        <w:t>Brown, 2023)</w:t>
      </w:r>
      <w:r w:rsidRPr="007B6A6D">
        <w:t>. Kripto para kullanımının beraberinde getirdiği bu riskler ve sorunlar regülasyon eksikliği nedeniyle her geçen gün katlanarak büyümektedir, farklı şekiller almaktadır.</w:t>
      </w:r>
    </w:p>
    <w:p w14:paraId="3735E2D0" w14:textId="77777777" w:rsidR="00B80551" w:rsidRPr="007B6A6D" w:rsidRDefault="00B80551" w:rsidP="00B80551">
      <w:pPr>
        <w:jc w:val="both"/>
      </w:pPr>
    </w:p>
    <w:p w14:paraId="3E0AEAEF" w14:textId="77777777" w:rsidR="00FA457D" w:rsidRDefault="00FA457D" w:rsidP="00B80551">
      <w:pPr>
        <w:jc w:val="both"/>
      </w:pPr>
      <w:r w:rsidRPr="007B6A6D">
        <w:t xml:space="preserve">Yıllar içerisinde kripto varlıkların kullanılması suretiyle dünyanın çeşitli ülkelerinde dolandırıcılık, sahtecilik ve benzeri hukuksuz eylemlerde bulunulmuş ve hem ülkemizde hem de dünyada on binlerce, yüz binlerce kişi mağdur edilmiştir. Örneğin, 2019 yılında kendisini finans uzmanı olarak lanse eden Ruja </w:t>
      </w:r>
      <w:proofErr w:type="spellStart"/>
      <w:r w:rsidRPr="007B6A6D">
        <w:t>Ignatova</w:t>
      </w:r>
      <w:proofErr w:type="spellEnd"/>
      <w:r w:rsidRPr="007B6A6D">
        <w:t xml:space="preserve"> isimli şahıs, Amerika Birleşik Devletleri’nde (“ABD”) </w:t>
      </w:r>
      <w:proofErr w:type="spellStart"/>
      <w:r w:rsidRPr="007B6A6D">
        <w:t>OneCoin</w:t>
      </w:r>
      <w:proofErr w:type="spellEnd"/>
      <w:r w:rsidRPr="007B6A6D">
        <w:t xml:space="preserve"> adlı kripto parayı piyasaya sürerek yatırımcıları 4,5 milyar dolar dolandırmış, sürecin devamında ise ortadan kaybolmuştur</w:t>
      </w:r>
      <w:sdt>
        <w:sdtPr>
          <w:id w:val="-1877230405"/>
          <w:citation/>
        </w:sdtPr>
        <w:sdtContent>
          <w:r w:rsidRPr="007B6A6D">
            <w:fldChar w:fldCharType="begin"/>
          </w:r>
          <w:r w:rsidRPr="007B6A6D">
            <w:instrText xml:space="preserve">CITATION Byr24 \l 1055 </w:instrText>
          </w:r>
          <w:r w:rsidRPr="007B6A6D">
            <w:fldChar w:fldCharType="separate"/>
          </w:r>
          <w:r w:rsidRPr="007B6A6D">
            <w:rPr>
              <w:noProof/>
            </w:rPr>
            <w:t xml:space="preserve"> (Byrne, 2024)</w:t>
          </w:r>
          <w:r w:rsidRPr="007B6A6D">
            <w:fldChar w:fldCharType="end"/>
          </w:r>
        </w:sdtContent>
      </w:sdt>
      <w:r w:rsidRPr="007B6A6D">
        <w:t xml:space="preserve">. Türkiye’de de 20 Nisan 2021 tarihinde, </w:t>
      </w:r>
      <w:proofErr w:type="spellStart"/>
      <w:r w:rsidRPr="007B6A6D">
        <w:t>Thodex</w:t>
      </w:r>
      <w:proofErr w:type="spellEnd"/>
      <w:r w:rsidRPr="007B6A6D">
        <w:t xml:space="preserve"> Platformu olarak bilinen </w:t>
      </w:r>
      <w:proofErr w:type="spellStart"/>
      <w:r w:rsidRPr="007B6A6D">
        <w:t>Koineks</w:t>
      </w:r>
      <w:proofErr w:type="spellEnd"/>
      <w:r w:rsidRPr="007B6A6D">
        <w:t xml:space="preserve"> Teknoloji A.Ş.’</w:t>
      </w:r>
      <w:proofErr w:type="spellStart"/>
      <w:r w:rsidRPr="007B6A6D">
        <w:t>nin</w:t>
      </w:r>
      <w:proofErr w:type="spellEnd"/>
      <w:r w:rsidRPr="007B6A6D">
        <w:t xml:space="preserve"> kurucusu Faruk Fatih Özer yüksek kâr vaadiyle dolandırdığı kripto varlık yatırımcılarına ait 356 milyon doları da alarak yurt dışına kaçmıştır</w:t>
      </w:r>
      <w:sdt>
        <w:sdtPr>
          <w:id w:val="-1875375411"/>
          <w:citation/>
        </w:sdtPr>
        <w:sdtContent>
          <w:r w:rsidRPr="007B6A6D">
            <w:fldChar w:fldCharType="begin"/>
          </w:r>
          <w:r w:rsidRPr="007B6A6D">
            <w:instrText xml:space="preserve"> CITATION Şah221 \l 1055 </w:instrText>
          </w:r>
          <w:r w:rsidRPr="007B6A6D">
            <w:fldChar w:fldCharType="separate"/>
          </w:r>
          <w:r w:rsidRPr="007B6A6D">
            <w:rPr>
              <w:noProof/>
            </w:rPr>
            <w:t xml:space="preserve"> (Şahin, 2022)</w:t>
          </w:r>
          <w:r w:rsidRPr="007B6A6D">
            <w:fldChar w:fldCharType="end"/>
          </w:r>
        </w:sdtContent>
      </w:sdt>
      <w:r w:rsidRPr="007B6A6D">
        <w:t xml:space="preserve">. Kripto varlıkların hem Türkiye’de hem de dünyanın farklı bölgelerinde dolandırıcılık faaliyetlerinde, kara para aklanmasında ve terörün finansmanında aktif bir biçimde kullanılan araçlar haline gelmesi devletleri ve uluslararası örgütleri bu alanda regülasyon yapma mecburiyetine itmiştir. 2020 yılında ABD’de, </w:t>
      </w:r>
      <w:proofErr w:type="spellStart"/>
      <w:r w:rsidRPr="007B6A6D">
        <w:rPr>
          <w:i/>
          <w:iCs/>
        </w:rPr>
        <w:t>Stablecoin</w:t>
      </w:r>
      <w:proofErr w:type="spellEnd"/>
      <w:r w:rsidRPr="007B6A6D">
        <w:rPr>
          <w:i/>
          <w:iCs/>
        </w:rPr>
        <w:t xml:space="preserve"> </w:t>
      </w:r>
      <w:proofErr w:type="spellStart"/>
      <w:r w:rsidRPr="007B6A6D">
        <w:rPr>
          <w:i/>
          <w:iCs/>
        </w:rPr>
        <w:t>Tethering</w:t>
      </w:r>
      <w:proofErr w:type="spellEnd"/>
      <w:r w:rsidRPr="007B6A6D">
        <w:rPr>
          <w:i/>
          <w:iCs/>
        </w:rPr>
        <w:t xml:space="preserve"> </w:t>
      </w:r>
      <w:proofErr w:type="spellStart"/>
      <w:r w:rsidRPr="007B6A6D">
        <w:rPr>
          <w:i/>
          <w:iCs/>
        </w:rPr>
        <w:t>and</w:t>
      </w:r>
      <w:proofErr w:type="spellEnd"/>
      <w:r w:rsidRPr="007B6A6D">
        <w:rPr>
          <w:i/>
          <w:iCs/>
        </w:rPr>
        <w:t xml:space="preserve"> Bank </w:t>
      </w:r>
      <w:proofErr w:type="spellStart"/>
      <w:r w:rsidRPr="007B6A6D">
        <w:rPr>
          <w:i/>
          <w:iCs/>
        </w:rPr>
        <w:t>Licensing</w:t>
      </w:r>
      <w:proofErr w:type="spellEnd"/>
      <w:r w:rsidRPr="007B6A6D">
        <w:rPr>
          <w:i/>
          <w:iCs/>
        </w:rPr>
        <w:t xml:space="preserve"> </w:t>
      </w:r>
      <w:proofErr w:type="spellStart"/>
      <w:r w:rsidRPr="007B6A6D">
        <w:rPr>
          <w:i/>
          <w:iCs/>
        </w:rPr>
        <w:t>Enforcement</w:t>
      </w:r>
      <w:proofErr w:type="spellEnd"/>
      <w:r w:rsidRPr="007B6A6D">
        <w:rPr>
          <w:i/>
          <w:iCs/>
        </w:rPr>
        <w:t xml:space="preserve"> </w:t>
      </w:r>
      <w:r w:rsidRPr="007B6A6D">
        <w:t xml:space="preserve">isimli yasa tasarısı sunulmuş, Avrupa Birliği’nde </w:t>
      </w:r>
      <w:r w:rsidRPr="007B6A6D">
        <w:lastRenderedPageBreak/>
        <w:t xml:space="preserve">de 2020 yılında </w:t>
      </w:r>
      <w:proofErr w:type="spellStart"/>
      <w:r w:rsidRPr="007B6A6D">
        <w:t>Markets</w:t>
      </w:r>
      <w:proofErr w:type="spellEnd"/>
      <w:r w:rsidRPr="007B6A6D">
        <w:t xml:space="preserve"> in </w:t>
      </w:r>
      <w:proofErr w:type="spellStart"/>
      <w:r w:rsidRPr="007B6A6D">
        <w:t>Cryptto-Assets</w:t>
      </w:r>
      <w:proofErr w:type="spellEnd"/>
      <w:r w:rsidRPr="007B6A6D">
        <w:t xml:space="preserve"> </w:t>
      </w:r>
      <w:proofErr w:type="spellStart"/>
      <w:r w:rsidRPr="007B6A6D">
        <w:t>Regulation</w:t>
      </w:r>
      <w:proofErr w:type="spellEnd"/>
      <w:r w:rsidRPr="007B6A6D">
        <w:t xml:space="preserve"> (</w:t>
      </w:r>
      <w:r w:rsidRPr="007B6A6D">
        <w:rPr>
          <w:i/>
          <w:iCs/>
        </w:rPr>
        <w:t>Kripto Varlık Piyasaları Düzenlemesi</w:t>
      </w:r>
      <w:r w:rsidRPr="007B6A6D">
        <w:t xml:space="preserve"> – “</w:t>
      </w:r>
      <w:proofErr w:type="spellStart"/>
      <w:r w:rsidRPr="007B6A6D">
        <w:t>MiCA</w:t>
      </w:r>
      <w:proofErr w:type="spellEnd"/>
      <w:r w:rsidRPr="007B6A6D">
        <w:t>”) isimli düzenleme için ilk adım atılmış, bu yeni düzenleme de Nisan 2023’te kabul edilmiştir. Bahsi geçen düzenlemenin Aralık 2024’te yürürlüğe girmesi ve Avrupa ülkeleri için yeni bir hukuki çerçeve oluşturması beklenmektedir. AB’den örnek alınacak şekilde sınırlı sayıda ülke kripto varlıkların alım-satımı, vergilendirilmesi ve kripto para sektöründeki müşterilerin haklarını korumak amacıyla çalışmalara başlamıştır, bu ülkelerden biri de Türkiye Cumhuriyeti’dir (“Türkiye”).</w:t>
      </w:r>
    </w:p>
    <w:p w14:paraId="401D99D1" w14:textId="77777777" w:rsidR="00B80551" w:rsidRPr="007B6A6D" w:rsidRDefault="00B80551" w:rsidP="00B80551">
      <w:pPr>
        <w:jc w:val="both"/>
      </w:pPr>
    </w:p>
    <w:p w14:paraId="43E39D01" w14:textId="011F152E" w:rsidR="00FA457D" w:rsidRDefault="00FA457D" w:rsidP="00B80551">
      <w:pPr>
        <w:jc w:val="both"/>
      </w:pPr>
      <w:r w:rsidRPr="007B6A6D">
        <w:t xml:space="preserve">Türkiye 7518 sayılı </w:t>
      </w:r>
      <w:r w:rsidRPr="007B6A6D">
        <w:rPr>
          <w:i/>
          <w:iCs/>
        </w:rPr>
        <w:t xml:space="preserve">“Sermaye Piyasası Kanununda Değişiklik Yapılmasına Dair Kanun” </w:t>
      </w:r>
      <w:r w:rsidRPr="007B6A6D">
        <w:t xml:space="preserve">ile bu alanda kanun düzeyinde regülasyon yapan ilk ülkelerden biri olmuştur. 7518 sayılı Kanun, 2 Temmuz 2024 tarihinde 32590 sayılı Resmî </w:t>
      </w:r>
      <w:proofErr w:type="spellStart"/>
      <w:r w:rsidRPr="007B6A6D">
        <w:t>Gazete’de</w:t>
      </w:r>
      <w:proofErr w:type="spellEnd"/>
      <w:r w:rsidRPr="007B6A6D">
        <w:t xml:space="preserve"> yayımlanmış ve yürürlüğe girmiştir. İşbu çalışmada, Türkiye’nin kripto paralara dair ilk kanunu, ilk hukuki düzenlemesi olan ve toplum tarafından da </w:t>
      </w:r>
      <w:r w:rsidRPr="007B6A6D">
        <w:rPr>
          <w:i/>
          <w:iCs/>
        </w:rPr>
        <w:t>“Kripto Varlık Kanunu”</w:t>
      </w:r>
      <w:r w:rsidRPr="007B6A6D">
        <w:t xml:space="preserve"> olarak nitelendirilen bu hukuki düzenleme artıları ve eskileri ile bir bütün olarak ve kapsamlı bir biçimde incelenecektir. Makalede akıcılığın sağlanması adına 7518 sayılı </w:t>
      </w:r>
      <w:r w:rsidRPr="007B6A6D">
        <w:rPr>
          <w:i/>
          <w:iCs/>
        </w:rPr>
        <w:t>“Sermaye Piyasası Kanununda Değişiklik Yapılmasına Dair Kanun”</w:t>
      </w:r>
      <w:r w:rsidRPr="007B6A6D">
        <w:t xml:space="preserve"> yerine kısaca </w:t>
      </w:r>
      <w:r w:rsidRPr="007B6A6D">
        <w:rPr>
          <w:i/>
          <w:iCs/>
        </w:rPr>
        <w:t>“</w:t>
      </w:r>
      <w:bookmarkStart w:id="273" w:name="_Hlk170947165"/>
      <w:r w:rsidRPr="007B6A6D">
        <w:rPr>
          <w:i/>
          <w:iCs/>
        </w:rPr>
        <w:t xml:space="preserve">Kripto Varlık </w:t>
      </w:r>
      <w:bookmarkEnd w:id="273"/>
      <w:r w:rsidRPr="007B6A6D">
        <w:rPr>
          <w:i/>
          <w:iCs/>
        </w:rPr>
        <w:t>Kanunu”</w:t>
      </w:r>
      <w:r w:rsidRPr="007B6A6D">
        <w:t xml:space="preserve"> terimi kullanılması tercih edilmiştir. İşbu çalışmada Kripto Varlık Yasası ile ulaşılmaya çalışılan amaç, getirilen hukuki düzenlemeler, söz konusu düzenlemelerin Anayasa ve uluslararası düzenlemeler ile uyumu incelenerek söz konusu düzenlemenin, hazırlama amacına uygun olup olmadığı da tartışılacaktır.</w:t>
      </w:r>
    </w:p>
    <w:p w14:paraId="60FDAE8C" w14:textId="77777777" w:rsidR="00B80551" w:rsidRPr="007B6A6D" w:rsidRDefault="00B80551" w:rsidP="00B80551">
      <w:pPr>
        <w:jc w:val="both"/>
      </w:pPr>
    </w:p>
    <w:p w14:paraId="0E0B0276" w14:textId="77777777" w:rsidR="00FA457D" w:rsidRPr="007B6A6D" w:rsidRDefault="00FA457D" w:rsidP="00B80551">
      <w:pPr>
        <w:jc w:val="both"/>
        <w:rPr>
          <w:b/>
          <w:bCs/>
        </w:rPr>
      </w:pPr>
      <w:r w:rsidRPr="007B6A6D">
        <w:rPr>
          <w:b/>
          <w:bCs/>
        </w:rPr>
        <w:t>2. LİTERATÜR İNCELEMESİ</w:t>
      </w:r>
    </w:p>
    <w:p w14:paraId="576A2D33" w14:textId="207C300C" w:rsidR="00FA457D" w:rsidRDefault="00FA457D" w:rsidP="00B80551">
      <w:pPr>
        <w:jc w:val="both"/>
      </w:pPr>
      <w:r w:rsidRPr="007B6A6D">
        <w:t>Kripto paraların tarihçesi, hukuki açıdan değerlendirilmesi, avantajları ve dezavantajlarına ilişkin ulusal ve uluslararası literatürde çok sayıda kitap ve makale bulunmaktadır. Söz konusu eserlerde, özellikle de ulusal eserlerde genel olarak kripto paralara dair tanımların ve genel özelliklerinden sunulmasından sonra kapsamlı hukuki düzenlemeler yapılması gerektiği gerekçeleriyle vurgulanmıştır</w:t>
      </w:r>
      <w:r w:rsidRPr="007B6A6D">
        <w:rPr>
          <w:noProof/>
        </w:rPr>
        <w:t xml:space="preserve"> (İmamoğlu, 2024: 114)</w:t>
      </w:r>
      <w:r w:rsidRPr="007B6A6D">
        <w:t>. Bu nedenle işbu çalışmada da Kripto Varlık Kanunu’nun değerlendirilmesinde bu kaynaklardan faydalanılmıştır. Uluslararası eserler bakımından da kripto paraların olumlu ve olumsuz yönlerinin değerlendirildiği eserlerin yanı sıra regülasyonların değerlendirildiği çeşitli eserler bulunmaktadır</w:t>
      </w:r>
      <w:r w:rsidRPr="007B6A6D">
        <w:rPr>
          <w:noProof/>
        </w:rPr>
        <w:t xml:space="preserve"> (Iersel, 2022; Hrabčák &amp; Štrkolec, 2024)</w:t>
      </w:r>
      <w:r w:rsidRPr="007B6A6D">
        <w:t>. İşbu çalışmada diğer ülkelerin ve AB’nin regülasyonları ile karşılaştırmalı olarak değerlendirildiği bölümlerde bu eserlere bilhassa atıf yapılmıştır.</w:t>
      </w:r>
    </w:p>
    <w:p w14:paraId="3EDDC314" w14:textId="77777777" w:rsidR="00B80551" w:rsidRPr="007B6A6D" w:rsidRDefault="00B80551" w:rsidP="00B80551">
      <w:pPr>
        <w:jc w:val="both"/>
      </w:pPr>
    </w:p>
    <w:p w14:paraId="1F54F08B" w14:textId="77777777" w:rsidR="00FA457D" w:rsidRDefault="00FA457D" w:rsidP="00B80551">
      <w:pPr>
        <w:jc w:val="both"/>
      </w:pPr>
      <w:r w:rsidRPr="007B6A6D">
        <w:t xml:space="preserve">Çalışmanın esas konusu olan ve yeni çıkarılan Kripto Varlık Kanunu’nu ile ilgili literatürde henüz herhangi bir yayın bulunmamaktadır. Bu nedenle yapılan düzenlemenin incelenmesi ve değerlendirilmesi aşamasında öncelikle kanun teklifi ve gerekçesi, daha sonra kanunun gönderildiği esas komisyon olan Plan ve Bütçe Komisyonu Raporu, Türkiye Büyük Millet Meclisi (“TBMM”) tutanakları ve Sermaye Piyasası Kurumu’nun (“SPK”) 2 Temmuz 2024 tarihinde yapmış olduğu </w:t>
      </w:r>
      <w:r w:rsidRPr="007B6A6D">
        <w:rPr>
          <w:i/>
          <w:iCs/>
        </w:rPr>
        <w:t>“Kripto Varlık Hizmet Sağlayıcılara İlişkin Duyuru”</w:t>
      </w:r>
      <w:r w:rsidRPr="007B6A6D">
        <w:t xml:space="preserve"> esas alınmıştır. Kripto para düzenlemesinin bağımsız bir kanundan ziyade </w:t>
      </w:r>
      <w:proofErr w:type="spellStart"/>
      <w:r w:rsidRPr="007B6A6D">
        <w:t>SerPK’da</w:t>
      </w:r>
      <w:proofErr w:type="spellEnd"/>
      <w:r w:rsidRPr="007B6A6D">
        <w:t xml:space="preserve"> yapılan değişiklikler ve eklemeler vasıtasıyla yapıldığı dikkate alındığında, sermaye piyasası hukukuna ilişkin menkul kıymet, yatırımcının korunması benzeri kavramların açıklanması noktasında ise genel sermaye piyasası hukuku eserlerinden faydalanılmıştır</w:t>
      </w:r>
      <w:r w:rsidRPr="007B6A6D">
        <w:rPr>
          <w:noProof/>
        </w:rPr>
        <w:t xml:space="preserve"> (Adıgüzel, 2022; Karacan &amp; Karacan, 2021)</w:t>
      </w:r>
      <w:r w:rsidRPr="007B6A6D">
        <w:t xml:space="preserve">. Son olarak Kripto Varlık Kanunu’nun gerekçesinde kripto varlık hizmet sağlayıcıların sorumluluğunun </w:t>
      </w:r>
      <w:r w:rsidRPr="007B6A6D">
        <w:rPr>
          <w:i/>
          <w:iCs/>
        </w:rPr>
        <w:t>“tehlike sorumluluğu”</w:t>
      </w:r>
      <w:r w:rsidRPr="007B6A6D">
        <w:t xml:space="preserve"> kapsamına alındığı ifade edilmiş olup </w:t>
      </w:r>
      <w:r w:rsidRPr="007B6A6D">
        <w:rPr>
          <w:i/>
          <w:iCs/>
        </w:rPr>
        <w:t>“Tehlike sorumluluğu”</w:t>
      </w:r>
      <w:r w:rsidRPr="007B6A6D">
        <w:t xml:space="preserve"> kavramının kapsamı ve içeriğinin tanımlanması amacıyla da temel borçlar hukuku eserlerine atıf yapılmıştır</w:t>
      </w:r>
      <w:r w:rsidRPr="007B6A6D">
        <w:rPr>
          <w:noProof/>
        </w:rPr>
        <w:t xml:space="preserve"> (Kılıçoğlu, 2021; Gümüş, 2021; Eren, 2022: 770)</w:t>
      </w:r>
      <w:r w:rsidRPr="007B6A6D">
        <w:t>.</w:t>
      </w:r>
    </w:p>
    <w:p w14:paraId="53FF06F1" w14:textId="3FE0A21A" w:rsidR="00FA457D" w:rsidRPr="007B6A6D" w:rsidRDefault="00FA457D" w:rsidP="00B80551">
      <w:pPr>
        <w:jc w:val="both"/>
      </w:pPr>
    </w:p>
    <w:p w14:paraId="79BA2490" w14:textId="77777777" w:rsidR="00FA457D" w:rsidRPr="007B6A6D" w:rsidRDefault="00FA457D" w:rsidP="00B80551">
      <w:pPr>
        <w:jc w:val="both"/>
        <w:rPr>
          <w:b/>
          <w:bCs/>
        </w:rPr>
      </w:pPr>
      <w:r w:rsidRPr="007B6A6D">
        <w:rPr>
          <w:b/>
          <w:bCs/>
        </w:rPr>
        <w:lastRenderedPageBreak/>
        <w:t>3. KRİPTO VARLIK KANUNU VE DEĞERLENDİRİLMESİ</w:t>
      </w:r>
    </w:p>
    <w:p w14:paraId="7519A06B" w14:textId="77777777" w:rsidR="00FA457D" w:rsidRPr="007B6A6D" w:rsidRDefault="00FA457D" w:rsidP="00B80551">
      <w:pPr>
        <w:jc w:val="both"/>
        <w:rPr>
          <w:b/>
          <w:bCs/>
        </w:rPr>
      </w:pPr>
      <w:r w:rsidRPr="007B6A6D">
        <w:rPr>
          <w:b/>
          <w:bCs/>
        </w:rPr>
        <w:t>3.1. Genel Olarak</w:t>
      </w:r>
    </w:p>
    <w:p w14:paraId="732C2FAA" w14:textId="574C07E3" w:rsidR="00FA457D" w:rsidRDefault="00FA457D" w:rsidP="00B80551">
      <w:pPr>
        <w:jc w:val="both"/>
      </w:pPr>
      <w:r w:rsidRPr="007B6A6D">
        <w:t xml:space="preserve">16 Mayıs 2024 tarihinde 2/2162 Esas Numaralı </w:t>
      </w:r>
      <w:r w:rsidRPr="007B6A6D">
        <w:rPr>
          <w:i/>
          <w:iCs/>
        </w:rPr>
        <w:t>“Sermaye Piyasası Kanununda Değişiklik Yapılmasına Dair Kanun Teklif”</w:t>
      </w:r>
      <w:r w:rsidRPr="007B6A6D">
        <w:t xml:space="preserve"> (“Kanun Teklifi”) TBMM Başkanlığı’na sunulmuştur. Yasa tasarısı hakkında rapor hazırlanması amacıyla asli komisyon olarak Plan ve Bütçe Komisyonu’na, tali komisyon olarak ise Adalet Komisyonu </w:t>
      </w:r>
      <w:proofErr w:type="gramStart"/>
      <w:r w:rsidRPr="007B6A6D">
        <w:t>ile birlikte</w:t>
      </w:r>
      <w:proofErr w:type="gramEnd"/>
      <w:r w:rsidRPr="007B6A6D">
        <w:t xml:space="preserve"> Sanayi, Ticaret, Enerji, Tabii Kaynaklar, Bilgi ve Teknoloji Komisyonu’na havale edilmiştir.</w:t>
      </w:r>
    </w:p>
    <w:p w14:paraId="46EB34F0" w14:textId="77777777" w:rsidR="00B80551" w:rsidRPr="007B6A6D" w:rsidRDefault="00B80551" w:rsidP="00B80551">
      <w:pPr>
        <w:jc w:val="both"/>
      </w:pPr>
    </w:p>
    <w:p w14:paraId="012D8446" w14:textId="1AD77868" w:rsidR="00FA457D" w:rsidRDefault="00FA457D" w:rsidP="00B80551">
      <w:pPr>
        <w:jc w:val="both"/>
      </w:pPr>
      <w:r w:rsidRPr="007B6A6D">
        <w:t xml:space="preserve">Plan ve Bütçe Komisyonu 30 Mayıs 2024 tarihinde 32. birleşimini gerçekleştirmiş, komisyonda Kanun Teklifi hakkında olumlu ve olumsuz çeşitli görüşler ileri sürülmüş, eksiklikleri ve değiştirilmesi gereken noktalar kapsamlı bir şekilde tartışılmıştır. Plan ve Bütçe Komisyonu tarafından verilen 8 numaralı Karar ile Kanun Teklifi, bazı maddelerinde değişiklikler yapılarak kabul edilmiş ve Kanun Teklifine ilişkin rapor 5 Haziran 2024 tarihinde TBMM Başkanlığı’na sunulmuştur. Her ne kadar Kanun Teklifi Plan ve Bütçe Komisyonu’nda onaylanmış olsa da çalışmamızın devamında değinileceği üzere, komisyonda yer alan bazı milletvekilleri tarafından Kanun Teklifinin çeşitli yönlerden Anayasa ve diğer düzenleyici işlemlere aykırı olduğu, öngörülen düzenlemelerin çerçeve hükümler olduğu ve bu nedenle TBMM’nin nitelikli kanun oluşturma hak ve görevinden alıkonulmasına sebebiyet verdiği gerekçeleri ile olumsuz görüş bildirilmiştir. TBMM Genel Kurulu’nun 26 Haziran 2024 tarihli 96. Birleşiminde 231 kabul oyu ve 75 ret oyu ile 2/2162 sayılı </w:t>
      </w:r>
      <w:r w:rsidRPr="007B6A6D">
        <w:rPr>
          <w:i/>
          <w:iCs/>
        </w:rPr>
        <w:t xml:space="preserve">Sermaye Piyasası Kanununda Değişiklik Yapılmasına Dair Kanun </w:t>
      </w:r>
      <w:proofErr w:type="spellStart"/>
      <w:r w:rsidRPr="007B6A6D">
        <w:rPr>
          <w:i/>
          <w:iCs/>
        </w:rPr>
        <w:t>Teklifi”</w:t>
      </w:r>
      <w:r w:rsidRPr="007B6A6D">
        <w:t>nin</w:t>
      </w:r>
      <w:proofErr w:type="spellEnd"/>
      <w:r w:rsidRPr="007B6A6D">
        <w:t xml:space="preserve"> Plan ve Bütçe Komisyonu tarafından yapılan değişikliklerle kabul edilen son halinin kanunlaştırılmasına karar verilmiştir. Netice itibarıyla 7518 sayılı </w:t>
      </w:r>
      <w:r w:rsidRPr="007B6A6D">
        <w:rPr>
          <w:i/>
          <w:iCs/>
        </w:rPr>
        <w:t xml:space="preserve">“Sermaye Piyasası Kanununda Değişiklik Yapılmasına Dair Kanun” </w:t>
      </w:r>
      <w:r w:rsidRPr="007B6A6D">
        <w:t>2 Temmuz 2024 tarihinde 32590 sayılı Resmî Gazetede yayımlanmış ve yürürlüğe girmiştir. İşbu çalışmanın devamında Kripto Varlık Kanunu kapsamlı bir şekilde incelenecektir.</w:t>
      </w:r>
    </w:p>
    <w:p w14:paraId="591F3363" w14:textId="77777777" w:rsidR="00B80551" w:rsidRPr="007B6A6D" w:rsidRDefault="00B80551" w:rsidP="00B80551">
      <w:pPr>
        <w:jc w:val="both"/>
      </w:pPr>
    </w:p>
    <w:p w14:paraId="4A381A1E" w14:textId="77777777" w:rsidR="00FA457D" w:rsidRPr="007B6A6D" w:rsidRDefault="00FA457D" w:rsidP="00B80551">
      <w:pPr>
        <w:jc w:val="both"/>
        <w:rPr>
          <w:b/>
          <w:bCs/>
        </w:rPr>
      </w:pPr>
      <w:r w:rsidRPr="007B6A6D">
        <w:rPr>
          <w:b/>
          <w:bCs/>
        </w:rPr>
        <w:t>3.2. Kanunun Amacı</w:t>
      </w:r>
    </w:p>
    <w:p w14:paraId="654EBC93" w14:textId="5732DCFC" w:rsidR="00FA457D" w:rsidRDefault="00FA457D" w:rsidP="00B80551">
      <w:pPr>
        <w:jc w:val="both"/>
      </w:pPr>
      <w:r w:rsidRPr="007B6A6D">
        <w:t xml:space="preserve">Kripto varlıklara ilişkin düzenlemeler her ne kadar </w:t>
      </w:r>
      <w:proofErr w:type="spellStart"/>
      <w:r w:rsidRPr="007B6A6D">
        <w:t>SerPK’da</w:t>
      </w:r>
      <w:proofErr w:type="spellEnd"/>
      <w:r w:rsidRPr="007B6A6D">
        <w:t xml:space="preserve"> değişiklik yapılması ile sermaye piyasası hukukuna entegre edilmişse de sermaye piyasası hukukundan çeşitli yönlerden ayrılmakta ve kripto varlıklara ilişkin spesifik özellikler arz etmektedir. Bu nedenle Kripto Varlık Kanunu incelenirken kanun koyucunun ulaşmak istediği spesifik amaçlar ile uygulamaya dair gereklilikler dikkate alınacaktır. Ancak değerlendirmeler yapılırken kanun koyucunun amacı ile piyasa gerekliliklerinin yanında temel sermaye piyasası uygulamalarının da dikkatle üzerinde durulması gerekmektedir. Bu nedenle madde metinlerine geçmeden önce Kripto Para Kanunu’nun amaçları üzerinde durulması ihtiyacı hasıl olmuştur.</w:t>
      </w:r>
    </w:p>
    <w:p w14:paraId="23A45D1B" w14:textId="77777777" w:rsidR="00B80551" w:rsidRPr="007B6A6D" w:rsidRDefault="00B80551" w:rsidP="00B80551">
      <w:pPr>
        <w:jc w:val="both"/>
      </w:pPr>
    </w:p>
    <w:p w14:paraId="18A54A3E" w14:textId="77777777" w:rsidR="00FA457D" w:rsidRPr="007B6A6D" w:rsidRDefault="00FA457D" w:rsidP="00B80551">
      <w:pPr>
        <w:jc w:val="both"/>
        <w:rPr>
          <w:b/>
          <w:bCs/>
        </w:rPr>
      </w:pPr>
      <w:r w:rsidRPr="007B6A6D">
        <w:rPr>
          <w:b/>
          <w:bCs/>
        </w:rPr>
        <w:t>3.2.1. Kripto Varlıkların Kullanımının ve İşlem Hacminin Artması</w:t>
      </w:r>
    </w:p>
    <w:p w14:paraId="181DE326" w14:textId="55549A05" w:rsidR="00FA457D" w:rsidRDefault="00FA457D" w:rsidP="00B80551">
      <w:pPr>
        <w:jc w:val="both"/>
      </w:pPr>
      <w:r w:rsidRPr="007B6A6D">
        <w:t xml:space="preserve">Kripto varlıkların kullanımı, alım satımı, kripto para madenciliği, kripto para borsalarında yapılan işlemler ve işlem hacimleri her geçen gün artmaktadır. Türkiye de kripto para kullanımında ve kripto paraların alım satımında önde gelen ülkelerden biri konumundadır. </w:t>
      </w:r>
      <w:proofErr w:type="spellStart"/>
      <w:r w:rsidRPr="007B6A6D">
        <w:t>Statistica’nın</w:t>
      </w:r>
      <w:proofErr w:type="spellEnd"/>
      <w:r w:rsidRPr="007B6A6D">
        <w:t xml:space="preserve"> 2020 yılında 74 ülkeyi kapsayacak şekilde gerçekleştirdiği anket çalışmasında kripto paraların kullanılmasında Türkiye’nin Nijerya, Vietnam ve Filipinler’den sonra kripto paraları en çok kullanan ve bu alana bireysel yatırımcılar nezdinde en fazla yatırım yapan 4. ülke konumunda olduğu sonucuna ulaşılmıştır</w:t>
      </w:r>
      <w:r w:rsidRPr="007B6A6D">
        <w:rPr>
          <w:noProof/>
        </w:rPr>
        <w:t xml:space="preserve"> (Ülkür, 2023: 54)</w:t>
      </w:r>
      <w:r w:rsidRPr="007B6A6D">
        <w:t xml:space="preserve">. Kanun Teklifinin genel gerekçesinde de kripto paraların kullanımının küresel düzeyde arttığı, Covid-19 döneminde kişilerin risk alma isteklerinin değişmesinin kripto paraların yaygınlaşmasına neden olduğu, Türkiye’de de kripto para platformlarında hesap açan ve işlem yapan kişi sayısının 10 milyon </w:t>
      </w:r>
      <w:r w:rsidRPr="007B6A6D">
        <w:lastRenderedPageBreak/>
        <w:t xml:space="preserve">civarında olduğu ifade edilmiştir. Plan ve Bütçe Komisyonu toplantısında Ağrı ve Antalya milletvekillerinin sunmuş oldukları muhalefet şerhinde de </w:t>
      </w:r>
      <w:proofErr w:type="spellStart"/>
      <w:r w:rsidRPr="007B6A6D">
        <w:t>Chainalysis</w:t>
      </w:r>
      <w:proofErr w:type="spellEnd"/>
      <w:r w:rsidRPr="007B6A6D">
        <w:t xml:space="preserve"> firmasının araştırmasına göre Türkiye’nin 2023 yılındaki kripto para hacminin 1700 milyar doları aşarak dünya sıralamasında 4. sıraya çıktığı ifade edilmiştir (Plan ve Bütçe Komisyonu Raporu, 2024). Gerekçede Kripto Varlık Kanunu’nun oluşturulma sebebinin </w:t>
      </w:r>
      <w:proofErr w:type="spellStart"/>
      <w:r w:rsidRPr="007B6A6D">
        <w:t>blokzincir</w:t>
      </w:r>
      <w:proofErr w:type="spellEnd"/>
      <w:r w:rsidRPr="007B6A6D">
        <w:t xml:space="preserve"> teknolojisini engellemek olmadığı, aksine bu teknolojilerin faydalarının dikkate alındığı, teknolojinin değil alım satım faaliyetlerinin düzenleme altına alınmasının amaçlandığı ifade edilmiştir. Kanaatimizce kanun koyucunun bu yöndeki yaklaşımı yerinde bir yaklaşımdır. Zira Türkiye İstatistik Kurumu’nun 10 Şubat 2024 tarihinde yayımladığı verilere göre Türkiye nüfusu 85 milyon civarında olup nüfusun yaklaşık %11’i kripto varlıklara yatırım yapmakta ve bu oran her geçen gün artmaktadır. Hal böyleyken, Türkiye’nin genç ve hızla artan nüfusu da dikkate alındığında kripto varlıkların yasal bir çerçeveye alınmasının ve bu yatırımcıların kullanılmasının zaruri bir ihtiyaç haline geldiği sonucuna ulaşılmaktadır.</w:t>
      </w:r>
    </w:p>
    <w:p w14:paraId="29B7EB15" w14:textId="77777777" w:rsidR="00B80551" w:rsidRPr="007B6A6D" w:rsidRDefault="00B80551" w:rsidP="00B80551">
      <w:pPr>
        <w:jc w:val="both"/>
      </w:pPr>
    </w:p>
    <w:p w14:paraId="4D9FEC3D" w14:textId="77777777" w:rsidR="00FA457D" w:rsidRPr="007B6A6D" w:rsidRDefault="00FA457D" w:rsidP="00B80551">
      <w:pPr>
        <w:jc w:val="both"/>
        <w:rPr>
          <w:b/>
          <w:bCs/>
        </w:rPr>
      </w:pPr>
      <w:r w:rsidRPr="007B6A6D">
        <w:rPr>
          <w:b/>
          <w:bCs/>
        </w:rPr>
        <w:t>3.2.2. Kripto Para Kullanıcılarının Korunması</w:t>
      </w:r>
    </w:p>
    <w:p w14:paraId="0B36CC49" w14:textId="48EFCF8C" w:rsidR="00FA457D" w:rsidRDefault="00FA457D" w:rsidP="00B80551">
      <w:pPr>
        <w:jc w:val="both"/>
      </w:pPr>
      <w:r w:rsidRPr="007B6A6D">
        <w:t xml:space="preserve">Kripto Varlık Kanunu’nun temelinde şüphesiz kripto para kullanıcılarının korunması amacı yer almaktadır. Ülkemizde ve dünyada kripto para platformları aracılığıyla binlerce kişi dolandırılmakta ve mağdur edilmektedir. Var olmayan kripto varlıkların satılması, kripto para cüzdanlarının usulsüz bir şekilde ele geçirilmesi yahut kripto para borsası sahiplerinin müşterilere ait varlıklara el koyması suretiyle kullanıcılar dolandırılmakta her geçen gün kayıplar ve riskler daha vahim bir hal almaktadır. 2021 yılında yaşanan </w:t>
      </w:r>
      <w:proofErr w:type="spellStart"/>
      <w:r w:rsidRPr="007B6A6D">
        <w:t>Thodex</w:t>
      </w:r>
      <w:proofErr w:type="spellEnd"/>
      <w:r w:rsidRPr="007B6A6D">
        <w:t xml:space="preserve"> skandalının devamında yine benzer dolandırıcılık skandalları görülmüş öyle ki Smart </w:t>
      </w:r>
      <w:proofErr w:type="spellStart"/>
      <w:r w:rsidRPr="007B6A6D">
        <w:t>Coin</w:t>
      </w:r>
      <w:proofErr w:type="spellEnd"/>
      <w:r w:rsidRPr="007B6A6D">
        <w:t xml:space="preserve"> </w:t>
      </w:r>
      <w:proofErr w:type="spellStart"/>
      <w:r w:rsidRPr="007B6A6D">
        <w:t>Trade</w:t>
      </w:r>
      <w:proofErr w:type="spellEnd"/>
      <w:r w:rsidRPr="007B6A6D">
        <w:t xml:space="preserve"> vakası ile yaklaşık 40.000 kişi toplamda 1 milyar dolar dolandırılmıştır</w:t>
      </w:r>
      <w:sdt>
        <w:sdtPr>
          <w:id w:val="-779570980"/>
          <w:citation/>
        </w:sdtPr>
        <w:sdtContent>
          <w:r w:rsidRPr="007B6A6D">
            <w:fldChar w:fldCharType="begin"/>
          </w:r>
          <w:r w:rsidRPr="007B6A6D">
            <w:instrText xml:space="preserve">CITATION 1Mi24 \l 1055 </w:instrText>
          </w:r>
          <w:r w:rsidRPr="007B6A6D">
            <w:fldChar w:fldCharType="separate"/>
          </w:r>
          <w:r w:rsidRPr="007B6A6D">
            <w:rPr>
              <w:noProof/>
            </w:rPr>
            <w:t xml:space="preserve"> (Dölek, 2024)</w:t>
          </w:r>
          <w:r w:rsidRPr="007B6A6D">
            <w:fldChar w:fldCharType="end"/>
          </w:r>
        </w:sdtContent>
      </w:sdt>
      <w:r w:rsidRPr="007B6A6D">
        <w:t xml:space="preserve">. Kullanıcılara kripto para üzerinden yüksek kâr vaadinde bulunan şirket, aslında hiç var olmayan STC adlı kripto paranın alım satımı üzerinden kâr elde edildiğini iddia ederek çeşitli paralar ve kar payları dağıtmış, bu sayede kullanıcı sayısını zamanla arttırmıştır. Kullanıcı sayısının ve kullanıcıların sisteme yatırdığı paranın önemli meblağlara ulaşması üzerine toplanan paralar, yine </w:t>
      </w:r>
      <w:proofErr w:type="spellStart"/>
      <w:r w:rsidRPr="007B6A6D">
        <w:t>Thodex</w:t>
      </w:r>
      <w:proofErr w:type="spellEnd"/>
      <w:r w:rsidRPr="007B6A6D">
        <w:t xml:space="preserve"> vakasında olduğu gibi yurtdışına kaçırılmıştır</w:t>
      </w:r>
    </w:p>
    <w:p w14:paraId="2C30CFFA" w14:textId="77777777" w:rsidR="00B80551" w:rsidRPr="007B6A6D" w:rsidRDefault="00B80551" w:rsidP="00B80551">
      <w:pPr>
        <w:jc w:val="both"/>
      </w:pPr>
    </w:p>
    <w:p w14:paraId="5047C41E" w14:textId="32FA1171" w:rsidR="00FA457D" w:rsidRDefault="00FA457D" w:rsidP="00B80551">
      <w:pPr>
        <w:jc w:val="both"/>
      </w:pPr>
      <w:r w:rsidRPr="007B6A6D">
        <w:t xml:space="preserve">Tüm bu olumsuz örnekler, kripto varlıklara bu denli ilgi duyan yatırımcıların korunması gerekliliğini ortaya koymuş ve nihayetinde Türk kanun koyucu gerekli adımları atmıştır. Hazırlanan yeni kanuni düzenlemede kripto para kullanıcıların güvenliğinin ön plana alındığı açıkça görülmekte ve bu husus madde gerekçelerinde de tekrar edilmektedir. Örneğin; kripto varlık hizmet sağlayıcılarına ilişkin 3. maddesinin 2. fıkrasının gerekçesinde sistemlerin güvenli bir şekilde yönetilebilmesi için hizmet sağlayıcılarına yükümlülükler getirildiği, teknolojik altyapısının güvenliğinin sağlanması için TÜBİTAK tarafından kriterlerin belirleneceği öngörülmüştür. Aynı maddenin 3. fıkrasının gerekçesinde platformların ortak ve yönetim kurulu üyelerinin sahip olması gereken asgari şartların getirilmesinin amacının kripto para işlemlerinin gerektirdiği dürüstlük ve itibarın sağlanması olduğu vurgulanmıştır. Kripto Varlık Kanunu’nun 4. maddesinin gerekçesinde de </w:t>
      </w:r>
      <w:r w:rsidRPr="007B6A6D">
        <w:rPr>
          <w:i/>
          <w:iCs/>
        </w:rPr>
        <w:t xml:space="preserve">“platformlara </w:t>
      </w:r>
      <w:proofErr w:type="spellStart"/>
      <w:r w:rsidRPr="007B6A6D">
        <w:rPr>
          <w:i/>
          <w:iCs/>
        </w:rPr>
        <w:t>nezdlerinde</w:t>
      </w:r>
      <w:proofErr w:type="spellEnd"/>
      <w:r w:rsidRPr="007B6A6D">
        <w:rPr>
          <w:i/>
          <w:iCs/>
        </w:rPr>
        <w:t xml:space="preserve"> gerçekleşen işlemlerin güvenilir, şeffaf, etkin, istikrarlı, adil, dürüst ve rekabetçi bir şekilde gerçekleşmesinin sağlanması yükümlülüğü getirilmektedir” </w:t>
      </w:r>
      <w:r w:rsidRPr="007B6A6D">
        <w:t>şeklindeki ifadelerle güvenlik ve şeffaflık hususu bir kez daha vurgulanmıştır.</w:t>
      </w:r>
    </w:p>
    <w:p w14:paraId="1F8146EF" w14:textId="77777777" w:rsidR="00B80551" w:rsidRPr="007B6A6D" w:rsidRDefault="00B80551" w:rsidP="00B80551">
      <w:pPr>
        <w:jc w:val="both"/>
      </w:pPr>
    </w:p>
    <w:p w14:paraId="6C3B8431" w14:textId="77777777" w:rsidR="00FA457D" w:rsidRPr="007B6A6D" w:rsidRDefault="00FA457D" w:rsidP="00B80551">
      <w:pPr>
        <w:jc w:val="both"/>
        <w:rPr>
          <w:b/>
          <w:bCs/>
        </w:rPr>
      </w:pPr>
      <w:r w:rsidRPr="007B6A6D">
        <w:rPr>
          <w:b/>
          <w:bCs/>
        </w:rPr>
        <w:t xml:space="preserve">3.2.3. Türkiye’nin </w:t>
      </w:r>
      <w:proofErr w:type="spellStart"/>
      <w:r w:rsidRPr="007B6A6D">
        <w:rPr>
          <w:b/>
          <w:bCs/>
        </w:rPr>
        <w:t>FATF’ın</w:t>
      </w:r>
      <w:proofErr w:type="spellEnd"/>
      <w:r w:rsidRPr="007B6A6D">
        <w:rPr>
          <w:b/>
          <w:bCs/>
        </w:rPr>
        <w:t xml:space="preserve"> Gri Listesinden Çıkarılması</w:t>
      </w:r>
    </w:p>
    <w:p w14:paraId="424B4F13" w14:textId="3E7BDEE3" w:rsidR="00FA457D" w:rsidRDefault="00FA457D" w:rsidP="00B80551">
      <w:pPr>
        <w:jc w:val="both"/>
      </w:pPr>
      <w:r w:rsidRPr="007B6A6D">
        <w:t xml:space="preserve">Uluslararası terminolojide Financial Action </w:t>
      </w:r>
      <w:proofErr w:type="spellStart"/>
      <w:r w:rsidRPr="007B6A6D">
        <w:t>Task</w:t>
      </w:r>
      <w:proofErr w:type="spellEnd"/>
      <w:r w:rsidRPr="007B6A6D">
        <w:t xml:space="preserve"> Force olarak bilinen Mali Eylem Görev Gücü, kara para aklanması faaliyetlerinin önüne geçmek amacıyla alınabilecek tedbirleri incelemek </w:t>
      </w:r>
      <w:r w:rsidRPr="007B6A6D">
        <w:lastRenderedPageBreak/>
        <w:t xml:space="preserve">ve geliştirmek amacıyla 1989 yılında G7 ülkeleri tarafından kurulmuştur </w:t>
      </w:r>
      <w:r w:rsidRPr="007B6A6D">
        <w:rPr>
          <w:noProof/>
        </w:rPr>
        <w:t>(Zarate &amp; Watson, 2022: 370)</w:t>
      </w:r>
      <w:r w:rsidRPr="007B6A6D">
        <w:t xml:space="preserve">. </w:t>
      </w:r>
      <w:proofErr w:type="spellStart"/>
      <w:r w:rsidRPr="007B6A6D">
        <w:t>FATF’a</w:t>
      </w:r>
      <w:proofErr w:type="spellEnd"/>
      <w:r w:rsidRPr="007B6A6D">
        <w:t xml:space="preserve"> kara para aklama tekniklerini ve eğilimlerini inceleme ile ülkelerce alınmış önlemleri gözden geçirme yetkisi tanınmış ve daha sonra bu yetki terörün finansmanı ile mücadeleyi de kapsayacak şekilde genişletilmiştir FATF tarafından belirlenen standartlar FATF 40 Tavsiyesi olarak anılmakta ve </w:t>
      </w:r>
      <w:proofErr w:type="gramStart"/>
      <w:r w:rsidRPr="007B6A6D">
        <w:t>Bu</w:t>
      </w:r>
      <w:proofErr w:type="gramEnd"/>
      <w:r w:rsidRPr="007B6A6D">
        <w:t xml:space="preserve"> tavsiyelere uyulup uyulmadığını gözlemlemek amacıyla karşılıklı değerlendirme çalışmaları yaparak tespit edilen eksikliklerin giderilmesini talep etmektedir</w:t>
      </w:r>
      <w:r w:rsidRPr="007B6A6D">
        <w:rPr>
          <w:noProof/>
        </w:rPr>
        <w:t xml:space="preserve"> (Işık, 2022: 40)</w:t>
      </w:r>
      <w:r w:rsidRPr="007B6A6D">
        <w:t>. Değerlendirmeler neticesinde tavsiyelere uymayan ülkeler gri veya kara listeye alınmakta ve bu şekilde ülkelerin FATF 40 Tavsiyelerini uygulamalarını sağlaması amaçlanmaktadır. Türkiye, kara paranın aklanması ve terörizmin finansmanı ile mücadelede eksikliklerinin olduğu ve yeni teknolojiler ile ilgili ek tedbirler almadığı gibi gerekçelerle 2021 yılında gri listeye alınmıştır</w:t>
      </w:r>
      <w:r w:rsidRPr="007B6A6D">
        <w:rPr>
          <w:noProof/>
        </w:rPr>
        <w:t xml:space="preserve"> (Işık, 2022: 408)</w:t>
      </w:r>
      <w:r w:rsidRPr="007B6A6D">
        <w:t>.</w:t>
      </w:r>
    </w:p>
    <w:p w14:paraId="168F84DF" w14:textId="77777777" w:rsidR="00B80551" w:rsidRPr="007B6A6D" w:rsidRDefault="00B80551" w:rsidP="00B80551">
      <w:pPr>
        <w:jc w:val="both"/>
      </w:pPr>
    </w:p>
    <w:p w14:paraId="5E256EBB" w14:textId="4D1AFACE" w:rsidR="00FA457D" w:rsidRDefault="00FA457D" w:rsidP="00B80551">
      <w:pPr>
        <w:jc w:val="both"/>
      </w:pPr>
      <w:r w:rsidRPr="007B6A6D">
        <w:t xml:space="preserve">Türkiye </w:t>
      </w:r>
      <w:proofErr w:type="spellStart"/>
      <w:r w:rsidRPr="007B6A6D">
        <w:t>FATF’nin</w:t>
      </w:r>
      <w:proofErr w:type="spellEnd"/>
      <w:r w:rsidRPr="007B6A6D">
        <w:t xml:space="preserve"> gri listesinden çıkmak amacıyla çeşitli düzenlemeler yapmış ancak kripto varlıklar ile ilgili mevzuat boşluğu Kripto Varlık Kanunu’na kadar devam etmiştir. Plan ve Bütçe Komisyonu’nun hazırlamış olduğu raporda da ifade edildiği üzere çeşitli milletvekilleri Türkiye’nin gri listeden çıkmak için sağlaması gereken 40 şarttan 39’unu sağladığı, Kripto Varlık Kanunu’nun kabulü </w:t>
      </w:r>
      <w:proofErr w:type="gramStart"/>
      <w:r w:rsidRPr="007B6A6D">
        <w:t>ile beraber</w:t>
      </w:r>
      <w:proofErr w:type="gramEnd"/>
      <w:r w:rsidRPr="007B6A6D">
        <w:t xml:space="preserve"> gri listeden çıkmasının beklendiğini belirtmişlerdir. Nitekim 26 Haziran 2024’te Kripto Varlık Kanunu’nun kabulünün hemen ardından beklendiği üzere FATF, Türkiye’nin gri listeden çıkarılmasına karar vermiştir</w:t>
      </w:r>
      <w:sdt>
        <w:sdtPr>
          <w:id w:val="460472690"/>
          <w:citation/>
        </w:sdtPr>
        <w:sdtContent>
          <w:r w:rsidRPr="007B6A6D">
            <w:fldChar w:fldCharType="begin"/>
          </w:r>
          <w:r w:rsidRPr="007B6A6D">
            <w:instrText xml:space="preserve"> CITATION FAT24 \l 1055 </w:instrText>
          </w:r>
          <w:r w:rsidRPr="007B6A6D">
            <w:fldChar w:fldCharType="separate"/>
          </w:r>
          <w:r w:rsidRPr="007B6A6D">
            <w:rPr>
              <w:noProof/>
            </w:rPr>
            <w:t xml:space="preserve"> (FATF, 2024)</w:t>
          </w:r>
          <w:r w:rsidRPr="007B6A6D">
            <w:fldChar w:fldCharType="end"/>
          </w:r>
        </w:sdtContent>
      </w:sdt>
      <w:r w:rsidRPr="007B6A6D">
        <w:t>. Bu açıdan değerlendirildiğinde Kripto Varlık Kanunu’nun ortaya çıkış amaçlarından birinin kısa sürede gerçekleştiği ve bunun bile kanunun varlığının önemini açıkça gösterdiği ifade edilebilir.</w:t>
      </w:r>
    </w:p>
    <w:p w14:paraId="7C710051" w14:textId="77777777" w:rsidR="00B80551" w:rsidRPr="007B6A6D" w:rsidRDefault="00B80551" w:rsidP="00B80551">
      <w:pPr>
        <w:jc w:val="both"/>
      </w:pPr>
    </w:p>
    <w:p w14:paraId="5D15EC2D" w14:textId="77777777" w:rsidR="00FA457D" w:rsidRPr="007B6A6D" w:rsidRDefault="00FA457D" w:rsidP="00B80551">
      <w:pPr>
        <w:jc w:val="both"/>
        <w:rPr>
          <w:b/>
          <w:bCs/>
        </w:rPr>
      </w:pPr>
      <w:r w:rsidRPr="007B6A6D">
        <w:rPr>
          <w:b/>
          <w:bCs/>
        </w:rPr>
        <w:t>3.3. Kripto Varlık Yasası ve Değerlendirilmesi</w:t>
      </w:r>
    </w:p>
    <w:p w14:paraId="2D1257EF" w14:textId="1F14838F" w:rsidR="00FA457D" w:rsidRDefault="00FA457D" w:rsidP="00B80551">
      <w:pPr>
        <w:jc w:val="both"/>
      </w:pPr>
      <w:r w:rsidRPr="007B6A6D">
        <w:t xml:space="preserve">Kripto Varlık Kanunu’nu ile 6362 sayılı </w:t>
      </w:r>
      <w:proofErr w:type="spellStart"/>
      <w:r w:rsidRPr="007B6A6D">
        <w:t>SerPK’nın</w:t>
      </w:r>
      <w:proofErr w:type="spellEnd"/>
      <w:r w:rsidRPr="007B6A6D">
        <w:t xml:space="preserve"> 3, 13, 46, 74, 99,101, 103 ve 130. maddelerinin değiştirilmesi öngörülmüştür. Aynı zamanda </w:t>
      </w:r>
      <w:proofErr w:type="spellStart"/>
      <w:r w:rsidRPr="007B6A6D">
        <w:t>SerPK’ya</w:t>
      </w:r>
      <w:proofErr w:type="spellEnd"/>
      <w:r w:rsidRPr="007B6A6D">
        <w:t xml:space="preserve"> 35/B, 35/C, 99/A, 99/B, 109/A, 110/A, 110/B, 115/A ve Geçici 11. maddenin eklenmesi teklif edilmiştir. Çalışmada bu maddeler düzenlenme sırasına göre değil amaç ve kapsamları çerçevesinde incelemeye tabi tutulmuştur.</w:t>
      </w:r>
    </w:p>
    <w:p w14:paraId="50AA63CD" w14:textId="77777777" w:rsidR="00B80551" w:rsidRPr="007B6A6D" w:rsidRDefault="00B80551" w:rsidP="00B80551">
      <w:pPr>
        <w:jc w:val="both"/>
      </w:pPr>
    </w:p>
    <w:p w14:paraId="33C440A5" w14:textId="77777777" w:rsidR="00FA457D" w:rsidRPr="007B6A6D" w:rsidRDefault="00FA457D" w:rsidP="00B80551">
      <w:pPr>
        <w:jc w:val="both"/>
        <w:rPr>
          <w:b/>
          <w:bCs/>
        </w:rPr>
      </w:pPr>
      <w:r w:rsidRPr="007B6A6D">
        <w:rPr>
          <w:b/>
          <w:bCs/>
        </w:rPr>
        <w:t>3. 3. Tanımlar</w:t>
      </w:r>
    </w:p>
    <w:p w14:paraId="0AF0C519" w14:textId="7107CCCE" w:rsidR="00FA457D" w:rsidRDefault="00FA457D" w:rsidP="00B80551">
      <w:pPr>
        <w:jc w:val="both"/>
      </w:pPr>
      <w:r w:rsidRPr="007B6A6D">
        <w:t xml:space="preserve">Kripto Varlık Kanunu’nun 1. maddesi ile </w:t>
      </w:r>
      <w:proofErr w:type="spellStart"/>
      <w:r w:rsidRPr="007B6A6D">
        <w:t>SerPK’nın</w:t>
      </w:r>
      <w:proofErr w:type="spellEnd"/>
      <w:r w:rsidRPr="007B6A6D">
        <w:t xml:space="preserve"> </w:t>
      </w:r>
      <w:r w:rsidRPr="007B6A6D">
        <w:rPr>
          <w:i/>
          <w:iCs/>
        </w:rPr>
        <w:t>“Tanımlar”</w:t>
      </w:r>
      <w:r w:rsidRPr="007B6A6D">
        <w:t xml:space="preserve"> başlıklı 3. maddesine “</w:t>
      </w:r>
      <w:r w:rsidRPr="007B6A6D">
        <w:rPr>
          <w:i/>
          <w:iCs/>
        </w:rPr>
        <w:t>Cüzdan, kripto varlık, kripto varlık hizmet sağlayıcı, kripto varlık saklama hizmeti, platform ve TÜBİTAK”</w:t>
      </w:r>
      <w:r w:rsidRPr="007B6A6D">
        <w:t xml:space="preserve"> tanımları eklenmiştir. Yapılan bu düzenleme ile ilk kez başta kripto varlık kavramı olmak üzere kripto varlıklar ile ilgili temel kurum, kavram, süreç ve uygulamalar yasal olarak tanımlanmıştır.</w:t>
      </w:r>
    </w:p>
    <w:p w14:paraId="73404826" w14:textId="77777777" w:rsidR="00B80551" w:rsidRPr="007B6A6D" w:rsidRDefault="00B80551" w:rsidP="00B80551">
      <w:pPr>
        <w:jc w:val="both"/>
      </w:pPr>
    </w:p>
    <w:p w14:paraId="51C60AAD" w14:textId="77777777" w:rsidR="00FA457D" w:rsidRDefault="00FA457D" w:rsidP="00B80551">
      <w:pPr>
        <w:jc w:val="both"/>
      </w:pPr>
      <w:r w:rsidRPr="007B6A6D">
        <w:t xml:space="preserve">Bu kapsamda kripto varlık, </w:t>
      </w:r>
      <w:r w:rsidRPr="007B6A6D">
        <w:rPr>
          <w:i/>
          <w:iCs/>
        </w:rPr>
        <w:t>“Dağıtık defter teknolojisi veya benzer bir teknoloji kullanılarak elektronik olarak oluşturulup saklanabilen, dijital ağlar üzerinden dağıtımı yapılan ve değer veya hak ifade edebilen gayri maddi varlıklar”</w:t>
      </w:r>
      <w:r w:rsidRPr="007B6A6D">
        <w:t xml:space="preserve"> olarak tanımlanmıştır. Bu tanım genel anlamda kripto varlıkların genel özelliklerini taşıması bakımından yerindedir. Fakat gerekçede kripto varlıkların; fayda kripto varlıkları, elektronik kripto para kripto varlıkları, menkul kıymet kripto varlıkları gibi türlerinin bulunduğu ifade edilmiştir. Kripto paraların çeşitli kategorilere ayrılmasına rağmen, hukuki nitelik bakımından </w:t>
      </w:r>
      <w:r w:rsidRPr="007B6A6D">
        <w:rPr>
          <w:i/>
          <w:iCs/>
        </w:rPr>
        <w:t>“gayri maddi varlık”</w:t>
      </w:r>
      <w:r w:rsidRPr="007B6A6D">
        <w:t xml:space="preserve"> olarak ifade edilmesinin ilerleyen dönemlerde çeşitli handikapları beraberinde getireceği düşünülmektedir. Zira farklı türdeki kripto paralara uygulanacak hukuk ve olası uyuşmazlıklarda davaların görüleceği görevli mahkemelerin tespiti aşamasında zorlukları beraberinde getirebilecek niteliktedir. Kripto varlıklar her ne kadar </w:t>
      </w:r>
      <w:proofErr w:type="spellStart"/>
      <w:r w:rsidRPr="007B6A6D">
        <w:t>SerPK</w:t>
      </w:r>
      <w:proofErr w:type="spellEnd"/>
      <w:r w:rsidRPr="007B6A6D">
        <w:t xml:space="preserve"> kapsamına dahil edilmişse de kanun koyucu bu varlıkları </w:t>
      </w:r>
      <w:r w:rsidRPr="007B6A6D">
        <w:lastRenderedPageBreak/>
        <w:t>klasik anlamda birer menkul kıymet olarak kabul etmemiştir. Nitekim menkul kıymetler ortaklık ve benzeri haklar sağlama, belirli bir meblağı temsil etme, yatırım aracı olma, dönemsel gelir sağlama, kıymetli evraklara özgü özelliklere sahip olma gibi niteliklere sahiptir</w:t>
      </w:r>
      <w:r w:rsidRPr="007B6A6D">
        <w:rPr>
          <w:noProof/>
        </w:rPr>
        <w:t xml:space="preserve"> (Adıgüzel, 2022: 130)</w:t>
      </w:r>
      <w:r w:rsidRPr="007B6A6D">
        <w:t>. Fakat kripto varlıkların tamamı bakımından bu özelliklerin var olduğunu söylemek mümkün değildir.</w:t>
      </w:r>
    </w:p>
    <w:p w14:paraId="60AAFE7E" w14:textId="77777777" w:rsidR="00B80551" w:rsidRPr="007B6A6D" w:rsidRDefault="00B80551" w:rsidP="00B80551">
      <w:pPr>
        <w:jc w:val="both"/>
      </w:pPr>
    </w:p>
    <w:p w14:paraId="35946A56" w14:textId="77777777" w:rsidR="00FA457D" w:rsidRDefault="00FA457D" w:rsidP="00B80551">
      <w:pPr>
        <w:jc w:val="both"/>
      </w:pPr>
      <w:r w:rsidRPr="007B6A6D">
        <w:t xml:space="preserve">Kripto varlık hizmet sağlayıcıları kavramı platformlar, saklama hizmeti sunan kuruluşlar, yapılacak düzenlemeler ile kripto varlıkların ilk satış ve dağıtımı ile çeşitli hizmetler sunan kuruluşlar olarak ifade edilmiştir. Tanım hizmet sağlayıcılar bakımından genel bir tanım içermektedir. Dolayısıyla </w:t>
      </w:r>
      <w:proofErr w:type="spellStart"/>
      <w:r w:rsidRPr="007B6A6D">
        <w:t>SerPK’nın</w:t>
      </w:r>
      <w:proofErr w:type="spellEnd"/>
      <w:r w:rsidRPr="007B6A6D">
        <w:t xml:space="preserve"> çıkaracağı tebliğler gibi ikincil düzenlemeler ile kripto varlık hizmet sağlayıcılarının yapısının ve kapsamının genişleyebileceği sonucuna ulaşılabilir. Cüzdan kavramı ise kripto varlıkların özel ve açık anahtarlarının depolanmasını sağlayan, kripto varlıkların transfer edilmesine imkân tanıyan teknolojiler olarak ifade edilmiştir. Kripto varlık saklama hizmeti, cüzdanlara ilişkin özel anahtarların yönetimi, saklanması ve SPK tarafından belirlenecek diğer hizmetlerini ifade etmektedir. Bu kavramlar genel bir çerçeve çizmekte ancak ayrıntılı açıklamalara yer vermemektedir. Bu nedenle SPK’nın çıkaracağı tebliğler ve ikincil düzenlemeler ile mezkûr kavramlara ilişkin ayrıntılı tanımlara yer verilmesi mümkündür.</w:t>
      </w:r>
    </w:p>
    <w:p w14:paraId="5536E789" w14:textId="77777777" w:rsidR="00B80551" w:rsidRPr="007B6A6D" w:rsidRDefault="00B80551" w:rsidP="00B80551">
      <w:pPr>
        <w:jc w:val="both"/>
      </w:pPr>
    </w:p>
    <w:p w14:paraId="19C036C4" w14:textId="77777777" w:rsidR="00FA457D" w:rsidRPr="007B6A6D" w:rsidRDefault="00FA457D" w:rsidP="00B80551">
      <w:pPr>
        <w:jc w:val="both"/>
        <w:rPr>
          <w:b/>
          <w:bCs/>
        </w:rPr>
      </w:pPr>
      <w:r w:rsidRPr="007B6A6D">
        <w:rPr>
          <w:b/>
          <w:bCs/>
        </w:rPr>
        <w:t>3.4. Kripto Varlık Hizmet Sağlayıcılara İlişkin Esaslar ve Hizmet Sağlayıcının Yükümlülükleri</w:t>
      </w:r>
    </w:p>
    <w:p w14:paraId="7E01C8A7" w14:textId="5348DC18" w:rsidR="00FA457D" w:rsidRDefault="00FA457D" w:rsidP="00B80551">
      <w:pPr>
        <w:jc w:val="both"/>
      </w:pPr>
      <w:r w:rsidRPr="007B6A6D">
        <w:t xml:space="preserve">Kripto varlık hizmet sağlayıcı kavramı Kripto Varlık Kanunu’nun 1’inci maddesinin cc bendinde; </w:t>
      </w:r>
      <w:r w:rsidRPr="007B6A6D">
        <w:rPr>
          <w:i/>
          <w:iCs/>
        </w:rPr>
        <w:t>“Platformları, kripto varlık saklama hizmeti sağlayan kuruluşları ve bu Kanuna dayanılarak yapılacak düzenlemelerde kripto varlıkların ilk satış ya da dağıtımı dâhil olmak üzere kripto varlıklarla ilgili olarak hizmet sağlamak üzere belirlenmiş diğer kuruluşlar”</w:t>
      </w:r>
      <w:r w:rsidRPr="007B6A6D">
        <w:t xml:space="preserve"> olarak tanımlanmıştır.</w:t>
      </w:r>
    </w:p>
    <w:p w14:paraId="37FCC40E" w14:textId="77777777" w:rsidR="00B80551" w:rsidRPr="007B6A6D" w:rsidRDefault="00B80551" w:rsidP="00B80551">
      <w:pPr>
        <w:jc w:val="both"/>
      </w:pPr>
    </w:p>
    <w:p w14:paraId="257BAB80" w14:textId="2D3055DE" w:rsidR="00FA457D" w:rsidRDefault="00FA457D" w:rsidP="00B80551">
      <w:pPr>
        <w:jc w:val="both"/>
      </w:pPr>
      <w:r w:rsidRPr="007B6A6D">
        <w:t xml:space="preserve">Bu kapsamda hizmet sağlayıcılar kripto varlıkları saklayan, alım satımına aracılık yapan, müşterilere kripto varlıkların satışına yahut dağıtımına ilişkin hizmetleri sunan ve SPK tarafından yapılacak alt düzenlemeler ile belirlenecek diğer hizmetleri sunan platform ve benzeri kuruluşlardır. Çalışmanın önceki bölümünde de izah edildiği üzere; Kripto Varlık Kanunu müşterileri korumak ve kripto varlıkların suç işlemek yahut suçtan kaynaklanan gelirleri aklamak gibi faaliyetler için kullanılmasının önüne geçmek amacı ile oluşturulmuştur. Kripto varlıkların temelini oluşturan </w:t>
      </w:r>
      <w:proofErr w:type="spellStart"/>
      <w:r w:rsidRPr="007B6A6D">
        <w:t>blokzincir</w:t>
      </w:r>
      <w:proofErr w:type="spellEnd"/>
      <w:r w:rsidRPr="007B6A6D">
        <w:t xml:space="preserve"> teknolojisi ve getirmiş olduğu anonimlik ve uçta uca şifreleme gibi özellikler şüphesiz bu amaçların önünde önemli birer engel teşkil etmektedir. Kanun koyucu, Kripto Varlık Kanunu’nun çeşitli maddelerinde hizmet sağlayıcılara ilişkin ağır ve kapsamlı yükümlülükler getirmek suretiyle bu amaçlar hayata geçirilmeye çalışılmıştır.</w:t>
      </w:r>
    </w:p>
    <w:p w14:paraId="74E80CF3" w14:textId="77777777" w:rsidR="00B80551" w:rsidRPr="007B6A6D" w:rsidRDefault="00B80551" w:rsidP="00B80551">
      <w:pPr>
        <w:jc w:val="both"/>
      </w:pPr>
    </w:p>
    <w:p w14:paraId="146F18A8" w14:textId="325AF4A0" w:rsidR="00FA457D" w:rsidRDefault="00FA457D" w:rsidP="00B80551">
      <w:pPr>
        <w:jc w:val="both"/>
      </w:pPr>
      <w:r w:rsidRPr="007B6A6D">
        <w:t>Kripto Varlık Kanunu, hizmet sağlayıcılara ilişkin pek çok yükümlülük ihtiva etmesinin yanında SPK’ya daha kapsamlı düzenlemeler yapma yetkisi vermektedir. Bu çalışmada öncelikle kripto varlık hizmet sağlayıcıların kurulması, ortaklık yapısı ve ortaklara ilişkin hükümler incelenecek, yapılan düzenleme ile getirilen mevcut yükümlülükler değerlendirilecek, SPK’ya ek düzenleme yapma yetkisi verilen haller üzerinde durulacaktır.</w:t>
      </w:r>
    </w:p>
    <w:p w14:paraId="5EA8C7C7" w14:textId="77777777" w:rsidR="00B80551" w:rsidRPr="007B6A6D" w:rsidRDefault="00B80551" w:rsidP="00B80551">
      <w:pPr>
        <w:jc w:val="both"/>
      </w:pPr>
    </w:p>
    <w:p w14:paraId="05119FA1" w14:textId="666762D5" w:rsidR="00FA457D" w:rsidRPr="007B6A6D" w:rsidRDefault="00FA457D" w:rsidP="00B80551">
      <w:pPr>
        <w:jc w:val="both"/>
        <w:rPr>
          <w:b/>
          <w:bCs/>
        </w:rPr>
      </w:pPr>
      <w:r w:rsidRPr="007B6A6D">
        <w:rPr>
          <w:b/>
          <w:bCs/>
        </w:rPr>
        <w:t>3. 4. 1. Kripto Varlık Hizmet Sağlayıcıların Kurulması</w:t>
      </w:r>
    </w:p>
    <w:p w14:paraId="1025989E" w14:textId="274774E0" w:rsidR="00FA457D" w:rsidRDefault="00FA457D" w:rsidP="00B80551">
      <w:pPr>
        <w:jc w:val="both"/>
      </w:pPr>
      <w:r w:rsidRPr="007B6A6D">
        <w:t xml:space="preserve">Kripto Varlık Kanunu’nun 3. maddesi ile </w:t>
      </w:r>
      <w:proofErr w:type="spellStart"/>
      <w:r w:rsidRPr="007B6A6D">
        <w:t>SerPK’ya</w:t>
      </w:r>
      <w:proofErr w:type="spellEnd"/>
      <w:r w:rsidRPr="007B6A6D">
        <w:t xml:space="preserve"> </w:t>
      </w:r>
      <w:r w:rsidRPr="007B6A6D">
        <w:rPr>
          <w:i/>
          <w:iCs/>
        </w:rPr>
        <w:t xml:space="preserve">“Kripto varlık hizmet sağlayıcıları ve kripto varlıklara ilişkin hükümler” </w:t>
      </w:r>
      <w:r w:rsidRPr="007B6A6D">
        <w:t xml:space="preserve">başlıklı 35/B maddesinin eklenmesi uygun görülmüştür. Bu </w:t>
      </w:r>
      <w:r w:rsidRPr="007B6A6D">
        <w:lastRenderedPageBreak/>
        <w:t>madde ile hizmet sağlayıcı kuruluşların kurulması ve faaliyete başlaması SPK’nın iznine tabi tutulmuştur. Bu kuruluşların faaliyete başlaması, devam etmesi, ortaklık yapısı, pay devirleri, yönetimi, organizasyonu ve faaliyetlerin durdurulması SPK tarafından belirlenecek esaslara göre yapılacaktır.</w:t>
      </w:r>
    </w:p>
    <w:p w14:paraId="36D43627" w14:textId="77777777" w:rsidR="00B80551" w:rsidRPr="007B6A6D" w:rsidRDefault="00B80551" w:rsidP="00B80551">
      <w:pPr>
        <w:jc w:val="both"/>
      </w:pPr>
    </w:p>
    <w:p w14:paraId="0D5C9090" w14:textId="7B5B73A3" w:rsidR="00FA457D" w:rsidRDefault="00FA457D" w:rsidP="00B80551">
      <w:pPr>
        <w:jc w:val="both"/>
      </w:pPr>
      <w:r w:rsidRPr="007B6A6D">
        <w:t xml:space="preserve">Kripto Varlık Kanunu madde 17 ile </w:t>
      </w:r>
      <w:proofErr w:type="spellStart"/>
      <w:r w:rsidRPr="007B6A6D">
        <w:t>SerPK’ya</w:t>
      </w:r>
      <w:proofErr w:type="spellEnd"/>
      <w:r w:rsidRPr="007B6A6D">
        <w:t xml:space="preserve"> eklenen Geçici 11. madde ile mevcut kripto varlık platformları ile yeni kurulacak hizmet sağlayıcılara ilişkin esaslar düzenleme altına alınmıştır. Mezkûr madde uyarınca halihazırda faaliyette bulunan kripto varlık hizmet sağlayıcıları Kripto Varlık Kanunu’nun yürürlüğe girdiği tarihten itibaren 1 ay içerisinde SPK tarafından belirlenecek belgeler </w:t>
      </w:r>
      <w:proofErr w:type="gramStart"/>
      <w:r w:rsidRPr="007B6A6D">
        <w:t>ile birlikte</w:t>
      </w:r>
      <w:proofErr w:type="gramEnd"/>
      <w:r w:rsidRPr="007B6A6D">
        <w:t xml:space="preserve"> SPK ‘ya başvuruda bulunmak ve faaliyet izni almak zorundadırlar. Bu düzenlemenin lisans zorunluluğu getiren </w:t>
      </w:r>
      <w:proofErr w:type="spellStart"/>
      <w:r w:rsidRPr="007B6A6D">
        <w:t>MiCA</w:t>
      </w:r>
      <w:proofErr w:type="spellEnd"/>
      <w:r w:rsidRPr="007B6A6D">
        <w:t xml:space="preserve"> ile paralel bir düzenleme olduğu söylenebilir. Zira </w:t>
      </w:r>
      <w:proofErr w:type="spellStart"/>
      <w:r w:rsidRPr="007B6A6D">
        <w:t>MiCA</w:t>
      </w:r>
      <w:proofErr w:type="spellEnd"/>
      <w:r w:rsidRPr="007B6A6D">
        <w:t xml:space="preserve"> madde 53 ile kripto varlık hizmetlerinde bulunmak isteyen kişi ve kurumlar bakımından lisans zorunluluğu getirilmiştir</w:t>
      </w:r>
      <w:r w:rsidRPr="007B6A6D">
        <w:rPr>
          <w:noProof/>
        </w:rPr>
        <w:t xml:space="preserve"> (Çetin, 2023, 148)</w:t>
      </w:r>
      <w:r w:rsidRPr="007B6A6D">
        <w:t xml:space="preserve">. İzin almak ve faaliyetlerine devam etmek istemeyen platformların, müşterilerin menfaatlerini korumak suretiyle 3 ay içerisinde tasfiye kararı alacaklarına ve bu süre zarfında yeni müşteriler edinmeyeceklerine dair beyanda bulunmaları gerekmektedir. Tasfiye kararı alacak kuruluşların ise durumu internet sitelerinde açıklamaları ve müşterilerine bu durumu bildirmeleri zorunlu tutulmuştur. Kanunun yürürlük tarihinden sonra faaliyete başlayacak olan hizmet sağlayıcılar bakımından ise faaliyetlere başlamadan önce SPK’ya başvurarak, SPK’nın yapacağı düzenlemelerde öngörecekleri şartları sağlayacaklarını ve faaliyet izni almak üzere başvuru yapacaklarını beyan etmelidirler. Söz konusu maddenin 2’nci fıkrası ile SPK’nın düzenlemeleri yayımlandıktan sonra SPK tarafından belirlenecek süre içerisinde faaliyet izni başvurusunda bulunmadan kripto varlık hizmet sağlayıcılığı faaliyetinde bulunanların </w:t>
      </w:r>
      <w:proofErr w:type="spellStart"/>
      <w:r w:rsidRPr="007B6A6D">
        <w:t>SerPK’nın</w:t>
      </w:r>
      <w:proofErr w:type="spellEnd"/>
      <w:r w:rsidRPr="007B6A6D">
        <w:t xml:space="preserve"> 99’A ile 109/A maddeleri uyarınca cezalandırılacağı kabul edilmiştir.</w:t>
      </w:r>
    </w:p>
    <w:p w14:paraId="37A6A695" w14:textId="77777777" w:rsidR="00B80551" w:rsidRPr="007B6A6D" w:rsidRDefault="00B80551" w:rsidP="00B80551">
      <w:pPr>
        <w:jc w:val="both"/>
      </w:pPr>
    </w:p>
    <w:p w14:paraId="33228967" w14:textId="77777777" w:rsidR="00FA457D" w:rsidRDefault="00FA457D" w:rsidP="00B80551">
      <w:pPr>
        <w:jc w:val="both"/>
      </w:pPr>
      <w:r w:rsidRPr="007B6A6D">
        <w:t xml:space="preserve">Sermaye Piyasası Kurulu 2 Temmuz 2024 tarihinde </w:t>
      </w:r>
      <w:r w:rsidRPr="007B6A6D">
        <w:rPr>
          <w:i/>
          <w:iCs/>
        </w:rPr>
        <w:t>“Kripto Varlık Hizmet Sağlayıcılara İlişkin Duyuru”</w:t>
      </w:r>
      <w:r w:rsidRPr="007B6A6D">
        <w:t xml:space="preserve"> yayımlayarak halihazırda faaliyette bulunan ve faaliyetlerine devam etmek isteyen platformların 2 Ağustos 2024 tarihine kadar duyuru ekinde yer alan Ek 1 ve Ek 2 belgeleri </w:t>
      </w:r>
      <w:proofErr w:type="gramStart"/>
      <w:r w:rsidRPr="007B6A6D">
        <w:t>ile birlikte</w:t>
      </w:r>
      <w:proofErr w:type="gramEnd"/>
      <w:r w:rsidRPr="007B6A6D">
        <w:t xml:space="preserve"> SPK’ya başvurmak zorunda olduklarını bildirmiştir</w:t>
      </w:r>
      <w:r w:rsidRPr="007B6A6D">
        <w:rPr>
          <w:noProof/>
        </w:rPr>
        <w:t xml:space="preserve"> (Sermaye Piyasası Kurulu, 2024: 2)</w:t>
      </w:r>
      <w:r w:rsidRPr="007B6A6D">
        <w:t>. Tasfiye kararı verecek olan platformların ise aynı tarihe kadar ilan metninin ekinde yer alan Ek 2’yi doldurarak SPK’ya bildirimde bulunmalarını talep etmiştir</w:t>
      </w:r>
      <w:r w:rsidRPr="007B6A6D">
        <w:rPr>
          <w:noProof/>
        </w:rPr>
        <w:t xml:space="preserve"> (Sermaye Piyasası Kurulu, 2024: 1)</w:t>
      </w:r>
      <w:r w:rsidRPr="007B6A6D">
        <w:t>. SPK’nın alt düzenlemeleri ilan edilinceye kadar faaliyete başlamak isteyen hizmet sağlayıcıların ise Ek 1 ve Ek 2 belgeleri çerçevesinde SPK’ya yazılı olarak bildirmeleri gerektiğini duyurmuştur</w:t>
      </w:r>
      <w:r w:rsidRPr="007B6A6D">
        <w:rPr>
          <w:noProof/>
        </w:rPr>
        <w:t xml:space="preserve"> (Sermaye Piyasası Kurulu, 2024: 1)</w:t>
      </w:r>
      <w:r w:rsidRPr="007B6A6D">
        <w:t>. Yurtdışında yerleşik hizmet sağlayıcıların ise Türkiye’de yerleşik kişilere dair eylemlerini 2 Ekim 2024 tarihine kadar sona erdirmeleri gerektiği ilan edilmiştir</w:t>
      </w:r>
      <w:r w:rsidRPr="007B6A6D">
        <w:rPr>
          <w:noProof/>
        </w:rPr>
        <w:t xml:space="preserve"> (Sermaye Piyasası Kurulu, 2024: 3)</w:t>
      </w:r>
      <w:r w:rsidRPr="007B6A6D">
        <w:t xml:space="preserve">. Kripto Varlık Yasası’nın yürürlüğe girmesi üzerine Türkiye’de faaliyet gösteren fakat yurt dışında yerleşik olan </w:t>
      </w:r>
      <w:proofErr w:type="spellStart"/>
      <w:r w:rsidRPr="007B6A6D">
        <w:t>Binance</w:t>
      </w:r>
      <w:proofErr w:type="spellEnd"/>
      <w:r w:rsidRPr="007B6A6D">
        <w:t xml:space="preserve"> platformu 2 Temmuz 2024 tarihinde yaptığı açıklamada Türkiye’den erişime açık olduğunu ancak Türkçe dil seçeneğinin üç ay içerisinde kademeli olarak kapanacağını ve Türkiye’deki pazarlama faaliyetlerini durduracağını ilan etmiştir</w:t>
      </w:r>
      <w:sdt>
        <w:sdtPr>
          <w:id w:val="1595509973"/>
          <w:citation/>
        </w:sdtPr>
        <w:sdtContent>
          <w:r w:rsidRPr="007B6A6D">
            <w:fldChar w:fldCharType="begin"/>
          </w:r>
          <w:r w:rsidRPr="007B6A6D">
            <w:instrText xml:space="preserve"> CITATION Bin24 \l 1055 </w:instrText>
          </w:r>
          <w:r w:rsidRPr="007B6A6D">
            <w:fldChar w:fldCharType="separate"/>
          </w:r>
          <w:r w:rsidRPr="007B6A6D">
            <w:rPr>
              <w:noProof/>
            </w:rPr>
            <w:t xml:space="preserve"> (Binance , 2024)</w:t>
          </w:r>
          <w:r w:rsidRPr="007B6A6D">
            <w:fldChar w:fldCharType="end"/>
          </w:r>
        </w:sdtContent>
      </w:sdt>
      <w:r w:rsidRPr="007B6A6D">
        <w:t>.</w:t>
      </w:r>
    </w:p>
    <w:p w14:paraId="447DC5B9" w14:textId="77777777" w:rsidR="00B80551" w:rsidRPr="007B6A6D" w:rsidRDefault="00B80551" w:rsidP="00B80551">
      <w:pPr>
        <w:jc w:val="both"/>
      </w:pPr>
    </w:p>
    <w:p w14:paraId="4EFE0AE2" w14:textId="278174E0" w:rsidR="00FA457D" w:rsidRDefault="00FA457D" w:rsidP="00B80551">
      <w:pPr>
        <w:jc w:val="both"/>
      </w:pPr>
      <w:r w:rsidRPr="007B6A6D">
        <w:t xml:space="preserve">Kripto Varlık Kanunu’nun8’inci maddesi ile </w:t>
      </w:r>
      <w:proofErr w:type="spellStart"/>
      <w:r w:rsidRPr="007B6A6D">
        <w:t>SerPK’ya</w:t>
      </w:r>
      <w:proofErr w:type="spellEnd"/>
      <w:r w:rsidRPr="007B6A6D">
        <w:t xml:space="preserve"> 99/A maddesinin eklenmesi ve 12. maddesi ile </w:t>
      </w:r>
      <w:proofErr w:type="spellStart"/>
      <w:r w:rsidRPr="007B6A6D">
        <w:t>SerPK’ya</w:t>
      </w:r>
      <w:proofErr w:type="spellEnd"/>
      <w:r w:rsidRPr="007B6A6D">
        <w:t xml:space="preserve"> 109/A maddesinin eklenmiştir. </w:t>
      </w:r>
      <w:r w:rsidRPr="007B6A6D">
        <w:rPr>
          <w:i/>
          <w:iCs/>
        </w:rPr>
        <w:t>“İzinsiz kripto varlık hizmet sağlayıcılığı faaliyeti”</w:t>
      </w:r>
      <w:r w:rsidRPr="007B6A6D">
        <w:t xml:space="preserve"> başlıklı </w:t>
      </w:r>
      <w:proofErr w:type="spellStart"/>
      <w:r w:rsidRPr="007B6A6D">
        <w:t>SePK</w:t>
      </w:r>
      <w:proofErr w:type="spellEnd"/>
      <w:r w:rsidRPr="007B6A6D">
        <w:t xml:space="preserve"> 109/A maddesi ile SPK’dan izin almadan hizmet sağlayıcılığı faaliyetinde bulunan gerçek kişiler ile tüzel kişilerin yetkililerinin üç yıldan beş yıla kadar hapis cezası ve aynı zamanda beş bin günden on bin güne kadar adli para cezasıyla cezalandırılmasına karar verileceği düzenlenmiştir. </w:t>
      </w:r>
      <w:r w:rsidRPr="007B6A6D">
        <w:rPr>
          <w:i/>
          <w:iCs/>
        </w:rPr>
        <w:t xml:space="preserve">“Kripto varlık hizmet sağlayıcıların faaliyetlerinde </w:t>
      </w:r>
      <w:r w:rsidRPr="007B6A6D">
        <w:rPr>
          <w:i/>
          <w:iCs/>
        </w:rPr>
        <w:lastRenderedPageBreak/>
        <w:t>uygulanacak tedbirler”</w:t>
      </w:r>
      <w:r w:rsidRPr="007B6A6D">
        <w:t xml:space="preserve"> başlıklı </w:t>
      </w:r>
      <w:proofErr w:type="spellStart"/>
      <w:r w:rsidRPr="007B6A6D">
        <w:t>SerPK</w:t>
      </w:r>
      <w:proofErr w:type="spellEnd"/>
      <w:r w:rsidRPr="007B6A6D">
        <w:t xml:space="preserve"> 99/A maddesi ile izinsiz kripto varlık hizmet sağlayıcılığı kapsamında yer alan diğer faaliyetler listelenmiştir. Merkezi yurt dışında bulunan kripto varlık platformlarının Türkiye’deki kişilere yönelik faaliyetlerde bulunulması yahut SPK tarafından yayımlanacak ikincil düzenlemeler çerçevesinde yasaklanacak hizmetlerin Türkiye’de yerleşik kişilere sunulmasına dair faaliyetler de </w:t>
      </w:r>
      <w:proofErr w:type="spellStart"/>
      <w:r w:rsidRPr="007B6A6D">
        <w:t>SerPK’ya</w:t>
      </w:r>
      <w:proofErr w:type="spellEnd"/>
      <w:r w:rsidRPr="007B6A6D">
        <w:t xml:space="preserve"> 109/A kapsamında suç olarak kabul edilmiştir. Türkçe web sitelerinin yahut Türkiye’de iş yerinin açılması, sunulan hizmetlere yönelik Türkiye’de yerleşik olan kişiler aracılığıyla reklam, tanıtım ve benzeri faaliyetlerde bulunulmasının Türkiye’de yaşayan kişilere yönelik işlemler kapsamında olduğu ifade edilmiştir. Ancak SPK’ya Türkiye’de yaşayan kişilere yönelik işlemlerin tespitine dair ek kıstaslar getirmesi için yetki verilmiştir.</w:t>
      </w:r>
    </w:p>
    <w:p w14:paraId="19A69F5B" w14:textId="77777777" w:rsidR="00B80551" w:rsidRPr="007B6A6D" w:rsidRDefault="00B80551" w:rsidP="00B80551">
      <w:pPr>
        <w:jc w:val="both"/>
      </w:pPr>
    </w:p>
    <w:p w14:paraId="02F47179" w14:textId="2C6D7777" w:rsidR="00FA457D" w:rsidRDefault="00FA457D" w:rsidP="00B80551">
      <w:pPr>
        <w:jc w:val="both"/>
      </w:pPr>
      <w:r w:rsidRPr="007B6A6D">
        <w:t xml:space="preserve">Kripto Varlık Yasası ile </w:t>
      </w:r>
      <w:proofErr w:type="spellStart"/>
      <w:r w:rsidRPr="007B6A6D">
        <w:t>SerPK’ya</w:t>
      </w:r>
      <w:proofErr w:type="spellEnd"/>
      <w:r w:rsidRPr="007B6A6D">
        <w:t xml:space="preserve"> eklenen 99/A maddesinin 1. fıkrasında yer alan </w:t>
      </w:r>
      <w:r w:rsidRPr="007B6A6D">
        <w:rPr>
          <w:i/>
          <w:iCs/>
        </w:rPr>
        <w:t>“Faaliyetlerin Türkiye’de yerleşik kişilere yönelik olduğunun tespitine ilişkin ilave kıstaslar Kurul tarafından belirlenebilir”</w:t>
      </w:r>
      <w:r w:rsidRPr="007B6A6D">
        <w:t xml:space="preserve"> ibaresinin 1982 tarihli Türkiye Cumhuriyeti Anayasası’nın (“Anayasa”) 38. maddesine aykırılık teşkil ettiği düşünülmektedir. Anayasa’nın 38. maddesi uyarınca </w:t>
      </w:r>
      <w:r w:rsidRPr="007B6A6D">
        <w:rPr>
          <w:i/>
          <w:iCs/>
        </w:rPr>
        <w:t xml:space="preserve">“Kimse, işlendiği zaman yürürlükte bulunan kanunun suç saymadığı bir fiilden dolayı cezalandırılamaz; kimseye suçu işlediği zaman kanunda o suç için konulmuş olan cezadan daha ağır bir ceza verilemez… Ceza ve ceza yerine geçen güvenlik tedbirleri ancak kanunla konulur” </w:t>
      </w:r>
      <w:r w:rsidRPr="007B6A6D">
        <w:t xml:space="preserve">düzenlemesine haizdir. Öğretide </w:t>
      </w:r>
      <w:r w:rsidRPr="007B6A6D">
        <w:rPr>
          <w:i/>
          <w:iCs/>
        </w:rPr>
        <w:t>“suçta ve cezada kanunilik ilkesi”</w:t>
      </w:r>
      <w:r w:rsidRPr="007B6A6D">
        <w:t xml:space="preserve"> olarak adlandırılan bu ilkenin, temel olarak ceza hukukunda geçerli olmak üzere kabahatler ve disiplin suçları bakımından da geçerli olduğu kabul edilmektedir. Kanunilik ilkesinin bir sonucu olarak suç teşkil eden eylemlerin ve verilecek cezaların kanun ile açık bir şekilde tanımlanmış olması (belirlilik ilkesinin varlığı) gerekmektedir</w:t>
      </w:r>
      <w:r w:rsidRPr="007B6A6D">
        <w:rPr>
          <w:noProof/>
        </w:rPr>
        <w:t xml:space="preserve"> (Koca &amp; Üzülmez, 2023: 440)</w:t>
      </w:r>
      <w:r w:rsidRPr="007B6A6D">
        <w:t xml:space="preserve">. Anayasa Mahkemesi 2012/1035 sayılı 17/7/2014 tarihli bir kararında </w:t>
      </w:r>
      <w:proofErr w:type="gramStart"/>
      <w:r w:rsidRPr="007B6A6D">
        <w:t>da;</w:t>
      </w:r>
      <w:proofErr w:type="gramEnd"/>
      <w:r w:rsidRPr="007B6A6D">
        <w:t xml:space="preserve"> </w:t>
      </w:r>
      <w:r w:rsidRPr="007B6A6D">
        <w:rPr>
          <w:i/>
          <w:iCs/>
        </w:rPr>
        <w:t>“Kanunun varlığı kadar kanun metninin ve uygulamasının da bireylerin davranışlarının sonucunu önceden öngörebilecekleri kadar hukuki belirlilik taşıması bir diğer ifadeyle kanunun kalitesi de kanunilik koşulunun sağlanıp sağlanmadığının tespitinde önem arz etmektedir”</w:t>
      </w:r>
      <w:r w:rsidRPr="007B6A6D">
        <w:t xml:space="preserve"> şeklindeki ifadelerle belirlilik ilkesinin önemini bir kez daha vurgulamıştır</w:t>
      </w:r>
      <w:r w:rsidRPr="007B6A6D">
        <w:rPr>
          <w:noProof/>
        </w:rPr>
        <w:t xml:space="preserve"> (Özpolat, 2018: 616)</w:t>
      </w:r>
      <w:r w:rsidRPr="007B6A6D">
        <w:t xml:space="preserve">. Ancak </w:t>
      </w:r>
      <w:proofErr w:type="spellStart"/>
      <w:r w:rsidRPr="007B6A6D">
        <w:t>SerPK</w:t>
      </w:r>
      <w:proofErr w:type="spellEnd"/>
      <w:r w:rsidRPr="007B6A6D">
        <w:t xml:space="preserve"> madde 99/A ile SPK’ya izinsiz kripto varlık hizmet sağlayıcılığı faaliyetinin bir çeşidi olan yurtdışı merkezli platformların Türkiye’de bulunan kişilere yönelik faaliyetlerde bulunmasına dair ek kıstaslar belirleme yetkisinin verilmesi çeşitli muallaklıkları beraberinde getirebilir ve bu da belirlilik ilkesinin zedelenmesine sebep olabilir. Nitekim belirlilik ilkesi gereğince kanunların hiçbir duraksamaya yer vermeyecek şekilde açık ve uygulanabilir olması, idarenin keyfi uygulamalarının önüne geçecek tedbirleri içermesi gerekmektedir</w:t>
      </w:r>
      <w:r w:rsidRPr="007B6A6D">
        <w:rPr>
          <w:noProof/>
        </w:rPr>
        <w:t xml:space="preserve"> (Kocasakal, 2015: 30)</w:t>
      </w:r>
      <w:r w:rsidRPr="007B6A6D">
        <w:t>.</w:t>
      </w:r>
    </w:p>
    <w:p w14:paraId="24FA0AF4" w14:textId="77777777" w:rsidR="00B80551" w:rsidRPr="007B6A6D" w:rsidRDefault="00B80551" w:rsidP="00B80551">
      <w:pPr>
        <w:jc w:val="both"/>
      </w:pPr>
    </w:p>
    <w:p w14:paraId="76B1DB9C" w14:textId="77777777" w:rsidR="00FA457D" w:rsidRDefault="00FA457D" w:rsidP="00B80551">
      <w:pPr>
        <w:jc w:val="both"/>
      </w:pPr>
      <w:r w:rsidRPr="007B6A6D">
        <w:t xml:space="preserve">Kripto Varlık Kanunu ile SPK’ya suç teşkil edecek fiilleri düzenleme yetkisinin verilmiş olması, öğretide </w:t>
      </w:r>
      <w:r w:rsidRPr="007B6A6D">
        <w:rPr>
          <w:i/>
          <w:iCs/>
        </w:rPr>
        <w:t>“çerçeve kanun”, “beyaz hüküm”</w:t>
      </w:r>
      <w:r w:rsidRPr="007B6A6D">
        <w:t xml:space="preserve"> yahut </w:t>
      </w:r>
      <w:r w:rsidRPr="007B6A6D">
        <w:rPr>
          <w:i/>
          <w:iCs/>
        </w:rPr>
        <w:t>“açık ceza normu”</w:t>
      </w:r>
      <w:r w:rsidRPr="007B6A6D">
        <w:t xml:space="preserve"> olarak adlandırılan bir durumu ortaya çıkarmaktadır. Öğretide, bu tip çerçeve hükümlerin kanunilik ilkesinin dolanılması için kullanıldığı ve Anayasa’nın 38. maddesine aykırılık teşkil ettiği yönünde hâkim bir görüş mevcuttur. </w:t>
      </w:r>
      <w:r w:rsidRPr="007B6A6D">
        <w:rPr>
          <w:noProof/>
        </w:rPr>
        <w:t xml:space="preserve"> (Koca &amp; Üzülmez, 2023: 452; Özgenç, 2023: 715)</w:t>
      </w:r>
      <w:r w:rsidRPr="007B6A6D">
        <w:t>.</w:t>
      </w:r>
    </w:p>
    <w:p w14:paraId="644438C0" w14:textId="77777777" w:rsidR="00B80551" w:rsidRPr="007B6A6D" w:rsidRDefault="00B80551" w:rsidP="00B80551">
      <w:pPr>
        <w:jc w:val="both"/>
      </w:pPr>
    </w:p>
    <w:p w14:paraId="2042F9C5" w14:textId="77777777" w:rsidR="00FA457D" w:rsidRPr="007B6A6D" w:rsidRDefault="00FA457D" w:rsidP="00B80551">
      <w:pPr>
        <w:jc w:val="both"/>
        <w:rPr>
          <w:b/>
          <w:bCs/>
        </w:rPr>
      </w:pPr>
      <w:r w:rsidRPr="007B6A6D">
        <w:rPr>
          <w:b/>
          <w:bCs/>
        </w:rPr>
        <w:t>3. 4. 2. Kripto Varlık Hizmet Sağlayıcıların Ortaklık Yapısı</w:t>
      </w:r>
    </w:p>
    <w:p w14:paraId="4474BBFB" w14:textId="7E8CCBA5" w:rsidR="00FA457D" w:rsidRDefault="00FA457D" w:rsidP="00B80551">
      <w:pPr>
        <w:jc w:val="both"/>
      </w:pPr>
      <w:r w:rsidRPr="007B6A6D">
        <w:t xml:space="preserve">Kripto Varlık Kanunu madde 3/II uyarınca; hizmet sağlayıcıların sistemlerin güvenliğini sağlamak adına gereken önlemleri alması ve kontrolleri yapması, bu amaçla gerekli sistem ve birimleri oluşturması gerekmektedir. Hizmet sağlayıcılara ait teknolojik alt yapıların TÜBİTAK tarafından belirlenecek kriterlere uygun olması zorunluluğu bulunmaktadır. Bu fıkranın, madde gerekçesinde de ifade edildiği üzere, kripto para sistemlerinin güvenilir bir </w:t>
      </w:r>
      <w:r w:rsidRPr="007B6A6D">
        <w:lastRenderedPageBreak/>
        <w:t>biçimde çalışması bakımından yerinde bir düzenleme olduğu söylenebilir. Zira siber güvenliğe dair sorunlar kullanıcılar bakımından büyük bir risk teşkil etmektedir. Ancak teknik standartların belirlenmesi noktasında nasıl bir yol izleneceği zaman içinde görülecektir.</w:t>
      </w:r>
    </w:p>
    <w:p w14:paraId="06A74350" w14:textId="77777777" w:rsidR="00B80551" w:rsidRPr="007B6A6D" w:rsidRDefault="00B80551" w:rsidP="00B80551">
      <w:pPr>
        <w:jc w:val="both"/>
      </w:pPr>
    </w:p>
    <w:p w14:paraId="4D5C559D" w14:textId="7A6D7AB7" w:rsidR="00FA457D" w:rsidRDefault="00FA457D" w:rsidP="00B80551">
      <w:pPr>
        <w:jc w:val="both"/>
      </w:pPr>
      <w:r w:rsidRPr="007B6A6D">
        <w:t xml:space="preserve">Kripto Varlık Kanunu madde 3/III ile varlık hizmet sağlayıcıların ortaklarının sahip olması gereken şartlar tespit edilmiştir. Mezkûr fıkra ile ortaklara ilişkin olumlu ve olumsuz şartlar sunulmuştur. Bu kapsamda ortakların müflis olmaması, konkordato ilan etmiş olmaması, uzlaşma suretiyle yeniden yapılandırma başvurusu onaylanmış kişilerden olmaması gerekmektedir. Yine ortakların daha önceden faaliyet izni iptal edilmiş sigorta, faktöring, finansal kiralama, emeklilik, tasarruf finansman, varlık yönetim, ödeme işleticileri ve ödeme hizmeti sağlayıcıları, para ve sermaye piyasasında işlem yapan kuruluşlarda %10’un üzerinde payının bulunmaması ve kontrol sahibi olmaması şartı aranmaktadır. Kontrolü elinde bulunduran kişi kavramı kanaatimizce 6102 sayılı Türk Ticaret Kanunu madde 195’te düzenlenen </w:t>
      </w:r>
      <w:r w:rsidRPr="007B6A6D">
        <w:rPr>
          <w:i/>
          <w:iCs/>
        </w:rPr>
        <w:t>“hâkim teşebbüs”</w:t>
      </w:r>
      <w:r w:rsidRPr="007B6A6D">
        <w:t xml:space="preserve"> kavramı ile paralel bir düzenlemedir.</w:t>
      </w:r>
    </w:p>
    <w:p w14:paraId="24493245" w14:textId="77777777" w:rsidR="00B80551" w:rsidRPr="007B6A6D" w:rsidRDefault="00B80551" w:rsidP="00B80551">
      <w:pPr>
        <w:jc w:val="both"/>
      </w:pPr>
    </w:p>
    <w:p w14:paraId="6A4D422C" w14:textId="7ACFA81F" w:rsidR="00FA457D" w:rsidRDefault="00FA457D" w:rsidP="00B80551">
      <w:pPr>
        <w:jc w:val="both"/>
      </w:pPr>
      <w:r w:rsidRPr="007B6A6D">
        <w:t xml:space="preserve">Madde 3/III-a ile kripto varlık hizmet sağlayıcılarının ortaklarının çeşitli suçlardan dolayı hüküm giymemiş olmasına dair düzenlemeler yapılmıştır. Bu kapsamda ortakların mülga 765 sayılı mülga Türk Ceza Kanunu, 5237 sayılı Türk Ceza Kanunu ile özel kanunlarda yer alan zimmet, dolandırıcılık, güveni kötüye kullanma, irtikap, rüşvet, hileli iflas ve hırsızlık gibi yüz kızartıcı suçlardan hüküm giymemiş olmaları gerekmektedir. Ortakların istimal ve istihlâk kaçakçılığı haricindeki kaçakçılıklar, ihaleye fesat karıştırma, banka ve kredi kartlarının kötüye kullanılması, kara para aklama, bilişim sistemlerini bozma, engelleme, değiştirme, verileri yok etme ve terörizmin finansmanı gibi suçlardan da hüküm giymemesi şartı bulunmaktadır. Bu suçların yanında 7262 sayılı Kitle İmha Silahlarının Yayılmasının Finansmanının Önlenmesine İlişkin Kanun’un 5. maddesi ile sayılan suçlar ile Devlete karşı işlenen suçlar ile 3713 sayılı Terörle Mücadele Kanunu kapsamındaki suçlar ile vergi kaçakçılığına ilişkin suçlardan dolayı mahkûm olmaması gerekmektedir. Aynı zamanda kasten işlenmiş bir suçtan dolayı 5 yıldan daha uzun süreli kesinleşmiş bir mahkûmiyetin olmaması aranmaktadır. Ortakların </w:t>
      </w:r>
      <w:proofErr w:type="spellStart"/>
      <w:r w:rsidRPr="007B6A6D">
        <w:t>SerPK’nın</w:t>
      </w:r>
      <w:proofErr w:type="spellEnd"/>
      <w:r w:rsidRPr="007B6A6D">
        <w:t xml:space="preserve"> 101. maddesi uyarınca bilgi suistimali ve piyasa dolandırıcılığı suçlarından dolayı hakkında kısıtlama kararı verilmiş kişilerden olmamaları ve son olarak gereken mali güç ve itibara sahip olması şartı aranmıştır. Hizmet sağlayıcının dağıtılabilir kârının yarıdan fazlasını almaya yahut yönetim kurulunun çoğunluğunu seçmeye yetkili kişiler ve de imtiyazlı pay sahiplerinin bazıları ortakların taşıması gerektiği şartları taşımak zorunda tutulmuştur. Yönetim kurulu üyeleri ile hizmet sağlayıcı kurumu temsile yetkili kişilerin de mali güç şartı dışındaki tüm bu şartları taşıması gerektiği öngörülmüştür.</w:t>
      </w:r>
    </w:p>
    <w:p w14:paraId="37DF364F" w14:textId="77777777" w:rsidR="00B80551" w:rsidRPr="007B6A6D" w:rsidRDefault="00B80551" w:rsidP="00B80551">
      <w:pPr>
        <w:jc w:val="both"/>
      </w:pPr>
    </w:p>
    <w:p w14:paraId="30F07F88" w14:textId="77777777" w:rsidR="00FA457D" w:rsidRDefault="00FA457D" w:rsidP="00B80551">
      <w:pPr>
        <w:jc w:val="both"/>
      </w:pPr>
      <w:r w:rsidRPr="007B6A6D">
        <w:t xml:space="preserve">Kripto Varlık Yasası ile </w:t>
      </w:r>
      <w:bookmarkStart w:id="274" w:name="_Hlk170529380"/>
      <w:r w:rsidRPr="007B6A6D">
        <w:t xml:space="preserve">kripto varlık hizmet sağlayıcıları </w:t>
      </w:r>
      <w:bookmarkEnd w:id="274"/>
      <w:r w:rsidRPr="007B6A6D">
        <w:t xml:space="preserve">ve ortakları bakımından asgari şartların getirilmesi yerinde bir düzenlemedir. Zira işbu düzenlemeden önce kripto varlık piyasasında faaliyet göstermek isteyen kişiler herhangi bir mevzuata tabi olmaksızın platformlar açmakta ve bu platformları dolandırıcılık ve benzeri faaliyetlerde kullanma imkânına sahip olmaktaydı. Bu durum kripto paraya dayalı dolandırıcılık faaliyetlerinin artmasına sebebiyet vermekte idi. Ortaklara ilişkin şartlar incelendiğinde 5411 sayılı Bankacılık Kanunu’nun 8. maddesi ile paralel bir yaklaşımın olduğu görülebilir. Kripto para faaliyetlerindeki yüksek işlem hacimleri göz önünde bulundurulduğunda bunun yerinde bir düzenleme olduğu söylenebilir. Ancak kripto para hizmet sağlayıcılarının hangi yapıda ve hangi asgari sermaye tutarlarında kurulacağının belirlenmesi daha uygun olabilirdi. Nitekim </w:t>
      </w:r>
      <w:proofErr w:type="spellStart"/>
      <w:r w:rsidRPr="007B6A6D">
        <w:t>SerPK’ya</w:t>
      </w:r>
      <w:proofErr w:type="spellEnd"/>
      <w:r w:rsidRPr="007B6A6D">
        <w:t xml:space="preserve"> bu konuda bir düzenleme yapma yetki verilmiş olsa da Bankacılık Kanunu’ndaki gibi </w:t>
      </w:r>
      <w:r w:rsidRPr="007B6A6D">
        <w:lastRenderedPageBreak/>
        <w:t xml:space="preserve">bir asgari sermaye tutarı ve platformlar bakımından şirket türünün belirlenmesinin daha doğru bir yaklaşım olacağı kanaatindeyiz. Zira AB düzenlemesi olan </w:t>
      </w:r>
      <w:proofErr w:type="spellStart"/>
      <w:r w:rsidRPr="007B6A6D">
        <w:t>MiCA’da</w:t>
      </w:r>
      <w:proofErr w:type="spellEnd"/>
      <w:r w:rsidRPr="007B6A6D">
        <w:t xml:space="preserve"> hizmet sağlayıcıların sunmuş olduğu hizmetlere göre, 50.000 Euro ile 150.000 Euro aralığında çeşitli asgari sermaye tutarları benimsenmiştir</w:t>
      </w:r>
      <w:r w:rsidRPr="007B6A6D">
        <w:rPr>
          <w:noProof/>
        </w:rPr>
        <w:t xml:space="preserve"> (Çetin, 2023: 55)</w:t>
      </w:r>
      <w:r w:rsidRPr="007B6A6D">
        <w:t>.</w:t>
      </w:r>
    </w:p>
    <w:p w14:paraId="0FD77BA1" w14:textId="77777777" w:rsidR="00B80551" w:rsidRPr="007B6A6D" w:rsidRDefault="00B80551" w:rsidP="00B80551">
      <w:pPr>
        <w:jc w:val="both"/>
      </w:pPr>
    </w:p>
    <w:p w14:paraId="15594D50" w14:textId="6F9AABB3" w:rsidR="00FA457D" w:rsidRDefault="00FA457D" w:rsidP="00B80551">
      <w:pPr>
        <w:jc w:val="both"/>
      </w:pPr>
      <w:r w:rsidRPr="007B6A6D">
        <w:t xml:space="preserve">Kripto Para Kanunu madde 3 uyarınca, kripto para hizmet sağlayıcıları kanunda açıkça gösterilen hükümler dışında </w:t>
      </w:r>
      <w:proofErr w:type="spellStart"/>
      <w:r w:rsidRPr="007B6A6D">
        <w:t>SerPK’nın</w:t>
      </w:r>
      <w:proofErr w:type="spellEnd"/>
      <w:r w:rsidRPr="007B6A6D">
        <w:t xml:space="preserve"> diğer maddelerinin dışında bırakılmış, bunlara ilişkin düzenlemelerin SPK’nın takdiri ile gerçekleştirileceğine karar verilmiştir. Görüldüğü üzere Kripto Para Yasası kripto varlık platformlarına ilişkin genel bir çerçeve çizmekte, kalan konuların düzenlenmesine takdir yetkisini SPK’ya bırakmaktadır. İkincil düzenlemeler bakımından SPK’ya sınırsız bir yetki verilmiş olması Kanun Teklifinin eleştirildiği noktalardan biri olmuştur. Teknolojiyle birlikte hızlı bir şekilde gelişen kripto varlıklara dair düzenlemenin çerçeve bir şekilde yapılarak SPK’ya hızlı bir şekilde karar alma imkânı tanınması olumlu bir gelişme olarak görülebilir. Zira böylesine hızlı gelişen bir sektörde düzenlemelerin kanun ile yapılması çeşitli zorlukları ve gecikmeleri beraberinde getirebilir. Lakin sınırların bu denli geniş bir biçimde çizilmiş olması şüphesiz istenmeyen sonuçlara da sebebiyet verebilme potansiyeline sahiptir.</w:t>
      </w:r>
    </w:p>
    <w:p w14:paraId="38DD7B2C" w14:textId="77777777" w:rsidR="00B80551" w:rsidRPr="007B6A6D" w:rsidRDefault="00B80551" w:rsidP="00B80551">
      <w:pPr>
        <w:jc w:val="both"/>
      </w:pPr>
    </w:p>
    <w:p w14:paraId="1DF7C5CA" w14:textId="77777777" w:rsidR="00FA457D" w:rsidRPr="007B6A6D" w:rsidRDefault="00FA457D" w:rsidP="00B80551">
      <w:pPr>
        <w:jc w:val="both"/>
        <w:rPr>
          <w:b/>
          <w:bCs/>
        </w:rPr>
      </w:pPr>
      <w:r w:rsidRPr="007B6A6D">
        <w:rPr>
          <w:b/>
          <w:bCs/>
        </w:rPr>
        <w:t>3. 4. 3. Kripto Varlık Hizmet Sağlayıcıların Yükümlülükleri</w:t>
      </w:r>
    </w:p>
    <w:p w14:paraId="456B940C" w14:textId="1BB9F574" w:rsidR="00FA457D" w:rsidRDefault="00FA457D" w:rsidP="00B80551">
      <w:pPr>
        <w:jc w:val="both"/>
      </w:pPr>
      <w:r w:rsidRPr="007B6A6D">
        <w:t xml:space="preserve">Yukarıda izah edildiği üzere kanun koyucu kripto varlıklara ilişkin düzenlemeyi yaparken, bir yandan kripto varlık müşterilerini korumayı ve Türkiye’nin </w:t>
      </w:r>
      <w:proofErr w:type="spellStart"/>
      <w:r w:rsidRPr="007B6A6D">
        <w:t>FATF’nin</w:t>
      </w:r>
      <w:proofErr w:type="spellEnd"/>
      <w:r w:rsidRPr="007B6A6D">
        <w:t xml:space="preserve"> gri listesinden çıkarılmasını sağlamayı amaçlamış diğer yandan ise kanunun gerekçesinde de ifade edildiği üzere kripto varlıklara ilişkin sektörleri engelleyici bir yaklaşımdan uzak durmayı tercih etmiştir. Bu amaçla öncelikle kripto varlıkların kara paranın aklanması ve terörün finansmanı gibi suçların işlenmesinde birer araç olarak kullanımının önüne geçilmesine dair düzenlemeler yapmıştır. Kripto varlık platformlarının yükümlülüklerinin de bu amaçlar doğrultusunda belirlendiğini söylemek mümkündür. Zira düzenlemelere ve madde gerekçelerine bakıldığında pek çok maddenin temelinde bu amaçların yattığı açık bir şekilde görülebilmektedir.</w:t>
      </w:r>
    </w:p>
    <w:p w14:paraId="415B3FF9" w14:textId="77777777" w:rsidR="00B80551" w:rsidRPr="007B6A6D" w:rsidRDefault="00B80551" w:rsidP="00B80551">
      <w:pPr>
        <w:jc w:val="both"/>
      </w:pPr>
    </w:p>
    <w:p w14:paraId="4B1B7D01" w14:textId="480A2DB2" w:rsidR="00FA457D" w:rsidRDefault="00FA457D" w:rsidP="00B80551">
      <w:pPr>
        <w:jc w:val="both"/>
      </w:pPr>
      <w:r w:rsidRPr="007B6A6D">
        <w:t>Kripto Varlık Kanunu’nda, kripto varlık hizmet sağlayıcılarının yükümlülükleri tek bir maddede değil kanunun çeşitli maddelerinin fıkralarında düzenlenmiştir. Yukarıda izah edildiği üzere, hizmet sağlayıcılarının yükümlülüklerinden ilki öncelikle SPK’dan faaliyet izni almaktır. SPK’nın yapacağı ikincil düzenlemeler ve oluşturacağı tebliğler kapsamında izin alınması zorunlu tutulmuştur.</w:t>
      </w:r>
    </w:p>
    <w:p w14:paraId="1DA0CF30" w14:textId="77777777" w:rsidR="00B80551" w:rsidRPr="007B6A6D" w:rsidRDefault="00B80551" w:rsidP="00B80551">
      <w:pPr>
        <w:jc w:val="both"/>
      </w:pPr>
    </w:p>
    <w:p w14:paraId="789777BC" w14:textId="4987D53D" w:rsidR="00FA457D" w:rsidRDefault="00FA457D" w:rsidP="00B80551">
      <w:pPr>
        <w:jc w:val="both"/>
      </w:pPr>
      <w:r w:rsidRPr="007B6A6D">
        <w:t xml:space="preserve">Kripto Varlık Kanunu madde 4 ile müşteri ile platformlara, müşterilerin şikâyet ve itirazlarını çözmek üzere çeşitli birimler oluşturulması yükümlülüğü getirilmiştir. Yine müşterileri korumak ve hizmet sağlayıcıların müşterilerini zarara uğratmasının önüne geçmek amacıyla söz konusu platformları sorumluluktan kurtaracak şekilde oluşturulan sözleşme şartlarının geçersiz olduğu ifade edilmiştir. Bu düzenleme halihazırda 6098 sayılı Türk Borçlar Kanunu’nun 20. maddesi ile düzenlenen </w:t>
      </w:r>
      <w:r w:rsidRPr="007B6A6D">
        <w:rPr>
          <w:i/>
          <w:iCs/>
        </w:rPr>
        <w:t>“genel işlem koşulları”</w:t>
      </w:r>
      <w:r w:rsidRPr="007B6A6D">
        <w:t xml:space="preserve"> ve 6502 sayılı Tüketicinin Korunması Hakkında Kanun’un 5. maddesi ile hüküm altına alınan </w:t>
      </w:r>
      <w:r w:rsidRPr="007B6A6D">
        <w:rPr>
          <w:i/>
          <w:iCs/>
        </w:rPr>
        <w:t>“tüketici sözleşmelerindeki haksız şartlar”</w:t>
      </w:r>
      <w:r w:rsidRPr="007B6A6D">
        <w:t xml:space="preserve"> kavramları ile paralel bir düzenlemedir. Kanun koyucunun platformların müşteri aleyhine yapacağı sorumsuzluk anlaşmalarının geçersizliğinin altını tekrar çizmesi kripto varlık müşterilerinin korunmasına verdiği değeri göstermesi bakımından önemlidir.</w:t>
      </w:r>
    </w:p>
    <w:p w14:paraId="5698ACAA" w14:textId="77777777" w:rsidR="00B80551" w:rsidRPr="007B6A6D" w:rsidRDefault="00B80551" w:rsidP="00B80551">
      <w:pPr>
        <w:jc w:val="both"/>
      </w:pPr>
    </w:p>
    <w:p w14:paraId="65D96879" w14:textId="77777777" w:rsidR="00FA457D" w:rsidRDefault="00FA457D" w:rsidP="00B80551">
      <w:pPr>
        <w:jc w:val="both"/>
      </w:pPr>
      <w:r w:rsidRPr="007B6A6D">
        <w:t xml:space="preserve">Kripto varlık hizmet sağlayıcılarının yükümlülüklerinden bir diğeri ise sistemsel açıdan </w:t>
      </w:r>
      <w:r w:rsidRPr="007B6A6D">
        <w:lastRenderedPageBreak/>
        <w:t xml:space="preserve">güvenliği sağlamak, bu amaçla kontrol birimleri oluşturmak ve teknolojik altyapılarını kurmaktır. Ülkemizde ve dünyanın diğer ülkelerinde yaşanan kripto varlık hırsızlıkları kanun koyucunun bu yönde bir düzenleme yapmasını zorunlu kılmıştır. Zira kripto varlık platformlarının sunduğu saklama hizmetlerine dair teknolojik altyapının yeterince güçlü olmaması değeri milyarlarca dolara ulaşan kripto varlık hırsızlıklarına sebep olmaktadır. 2018 yılında Japonya’da faaliyet gösteren </w:t>
      </w:r>
      <w:proofErr w:type="spellStart"/>
      <w:r w:rsidRPr="007B6A6D">
        <w:t>Coincheck</w:t>
      </w:r>
      <w:proofErr w:type="spellEnd"/>
      <w:r w:rsidRPr="007B6A6D">
        <w:t xml:space="preserve"> piyasasından yaklaşık 500 milyon Amerikan doları değerinde kripto varlık çalınmış </w:t>
      </w:r>
      <w:sdt>
        <w:sdtPr>
          <w:id w:val="394867316"/>
          <w:citation/>
        </w:sdtPr>
        <w:sdtContent>
          <w:r w:rsidRPr="007B6A6D">
            <w:fldChar w:fldCharType="begin"/>
          </w:r>
          <w:r w:rsidRPr="007B6A6D">
            <w:instrText xml:space="preserve">CITATION BBC \l 1055 </w:instrText>
          </w:r>
          <w:r w:rsidRPr="007B6A6D">
            <w:fldChar w:fldCharType="separate"/>
          </w:r>
          <w:r w:rsidRPr="007B6A6D">
            <w:rPr>
              <w:noProof/>
            </w:rPr>
            <w:t>(BBC, 2018)</w:t>
          </w:r>
          <w:r w:rsidRPr="007B6A6D">
            <w:fldChar w:fldCharType="end"/>
          </w:r>
        </w:sdtContent>
      </w:sdt>
      <w:r w:rsidRPr="007B6A6D">
        <w:t xml:space="preserve">, 2022 yılında ABD’de </w:t>
      </w:r>
      <w:proofErr w:type="spellStart"/>
      <w:r w:rsidRPr="007B6A6D">
        <w:t>dark</w:t>
      </w:r>
      <w:proofErr w:type="spellEnd"/>
      <w:r w:rsidRPr="007B6A6D">
        <w:t xml:space="preserve"> web sitesinden 3 milyar 360 milyon dolarlık Bitcoin çalınmış</w:t>
      </w:r>
      <w:sdt>
        <w:sdtPr>
          <w:id w:val="1719164309"/>
          <w:citation/>
        </w:sdtPr>
        <w:sdtContent>
          <w:r w:rsidRPr="007B6A6D">
            <w:fldChar w:fldCharType="begin"/>
          </w:r>
          <w:r w:rsidRPr="007B6A6D">
            <w:instrText xml:space="preserve"> CITATION Max24 \l 1055 </w:instrText>
          </w:r>
          <w:r w:rsidRPr="007B6A6D">
            <w:fldChar w:fldCharType="separate"/>
          </w:r>
          <w:r w:rsidRPr="007B6A6D">
            <w:rPr>
              <w:noProof/>
            </w:rPr>
            <w:t xml:space="preserve"> (Matza, 2024)</w:t>
          </w:r>
          <w:r w:rsidRPr="007B6A6D">
            <w:fldChar w:fldCharType="end"/>
          </w:r>
        </w:sdtContent>
      </w:sdt>
      <w:r w:rsidRPr="007B6A6D">
        <w:t>, yine 2022 yılında ABD’de 25 milyon Amerikan doları değerinde kripto varlık illegal yollarla ele geçirilmiştir</w:t>
      </w:r>
      <w:sdt>
        <w:sdtPr>
          <w:id w:val="-1109662674"/>
          <w:citation/>
        </w:sdtPr>
        <w:sdtContent>
          <w:r w:rsidRPr="007B6A6D">
            <w:fldChar w:fldCharType="begin"/>
          </w:r>
          <w:r w:rsidRPr="007B6A6D">
            <w:instrText xml:space="preserve">CITATION BBC22 \l 1055 </w:instrText>
          </w:r>
          <w:r w:rsidRPr="007B6A6D">
            <w:fldChar w:fldCharType="separate"/>
          </w:r>
          <w:r w:rsidRPr="007B6A6D">
            <w:rPr>
              <w:noProof/>
            </w:rPr>
            <w:t xml:space="preserve"> (BBC, 2022)</w:t>
          </w:r>
          <w:r w:rsidRPr="007B6A6D">
            <w:fldChar w:fldCharType="end"/>
          </w:r>
        </w:sdtContent>
      </w:sdt>
      <w:r w:rsidRPr="007B6A6D">
        <w:t>. Benzer olayların önüne geçilmesi amacıyla hizmet sağlayıcılara getirilen bu yükümlülüğün yerinde bir düzenleme olduğu söylenebilir.</w:t>
      </w:r>
    </w:p>
    <w:p w14:paraId="32D24005" w14:textId="77777777" w:rsidR="00B80551" w:rsidRPr="007B6A6D" w:rsidRDefault="00B80551" w:rsidP="00B80551">
      <w:pPr>
        <w:jc w:val="both"/>
      </w:pPr>
    </w:p>
    <w:p w14:paraId="6089C97D" w14:textId="77777777" w:rsidR="00FA457D" w:rsidRDefault="00FA457D" w:rsidP="00B80551">
      <w:pPr>
        <w:jc w:val="both"/>
      </w:pPr>
      <w:r w:rsidRPr="007B6A6D">
        <w:t xml:space="preserve">Kripto Varlık Kanunu’nun 4. maddesi ile </w:t>
      </w:r>
      <w:proofErr w:type="spellStart"/>
      <w:r w:rsidRPr="007B6A6D">
        <w:t>SerPK’ya</w:t>
      </w:r>
      <w:proofErr w:type="spellEnd"/>
      <w:r w:rsidRPr="007B6A6D">
        <w:t xml:space="preserve"> eklenen 35/C maddesinin 1. fıkrası ile kripto varlık hizmet sağlayıcılara müşterilere ait kimlik bilgilerini 5549 sayılı Suç Gelirlerinin Aklanmasının Önlenmesi Hakkında Kanun ve mevzuatta yer alan hükümler kapsamında tespit etme yükümlülüğü getirilmiştir. İşbu düzenleme ise yeni bir düzenleme değildir. Zira 1 Mayıs 2021 tarihli Resmî Gazetede yayımlanan değişiklik ile 5337 sayılı Suç Gelirlerinin Aklanmasının ve Terörün Finansmanının Önlenmesine Dair Tedbirler Hakkında Yönetmelik’in 4’üncü maddesine eklenen “ü” bendi ile kripto varlık hizmet sağlayıcılar yükümlüler kapsamına dahil edilmiş bulunmakta idi</w:t>
      </w:r>
      <w:r w:rsidRPr="007B6A6D">
        <w:rPr>
          <w:noProof/>
        </w:rPr>
        <w:t xml:space="preserve"> (Mali Suçları Araştırma Kurulu Başkanlığı, 2021: 6)</w:t>
      </w:r>
      <w:r w:rsidRPr="007B6A6D">
        <w:t xml:space="preserve">. Lakin yükümlülüklerin ihlali halinde çeşitli cezalar öngörülmesi dolayısıyla, kanunilik ilkesinin gerektirdiği üzere, hizmet sağlayıcıların yükümlü kapsamına dahil edilmesinin kanun ile yapılması kanunilik ilkesinin gerçekleştirilmesi bakımından yerinde bir düzenlemedir. Suç Gelirlerinin Aklanmasının Önlenmesi Hakkında Kanunu ile suçtan elde edilen gelirlerin aklanmasının önüne geçilmesi amaçlanmıştır. Bu kanunun 3. maddesi çerçevesinde </w:t>
      </w:r>
      <w:r w:rsidRPr="007B6A6D">
        <w:rPr>
          <w:i/>
          <w:iCs/>
        </w:rPr>
        <w:t>“yükümlü”</w:t>
      </w:r>
      <w:r w:rsidRPr="007B6A6D">
        <w:t xml:space="preserve"> olarak kabul edilen kişiler kendileri nezdinde gerçekleştirilen yahut aracılık ettikleri işlemleri gerçekleştirmeden önce işlem yapanların yahut adına işlem yapılan kişilerin kimlik bilgilerini tespit etmek ve öngörülen tedbirleri almak zorundadırlar. Hizmet sağlayıcılar Suç Gelirlerinin Aklanmasının Önlenmesi Hakkında Kanun’un 4. maddesi çerçevesinde ise şüpheli işlemleri tespit etmek ve Maliye Bakanlığı’na bildirimde bulunmakla, 7. maddesi kapsamında Maliye Bakanlığı tarafından talep edilmesi halinde bilgi ve belge vermekle, 8. maddesi kapsamında kimlik tespitine dair evrakları sekiz yıl süre ile saklamak ve talep halinde ibraz etmekle yükümlü kılınmaktadırlar</w:t>
      </w:r>
    </w:p>
    <w:p w14:paraId="5337FE2D" w14:textId="77777777" w:rsidR="00B80551" w:rsidRPr="007B6A6D" w:rsidRDefault="00B80551" w:rsidP="00B80551">
      <w:pPr>
        <w:jc w:val="both"/>
      </w:pPr>
    </w:p>
    <w:p w14:paraId="2103B0F4" w14:textId="77777777" w:rsidR="00FA457D" w:rsidRDefault="00FA457D" w:rsidP="00B80551">
      <w:pPr>
        <w:jc w:val="both"/>
      </w:pPr>
      <w:r w:rsidRPr="007B6A6D">
        <w:t xml:space="preserve">Yukarıda izahı yapıldığı üzere; kripto varlıklar çeşitli dolandırıcılık faaliyetlerinde kullanılarak çok sayıda kişinin zararına işlem yapılabilmektedir. Kanun koyucu bu gibi faaliyetlerin önüne geçebilmek ve müşterileri korumak amacıyla </w:t>
      </w:r>
      <w:proofErr w:type="spellStart"/>
      <w:r w:rsidRPr="007B6A6D">
        <w:t>SerPK’ya</w:t>
      </w:r>
      <w:proofErr w:type="spellEnd"/>
      <w:r w:rsidRPr="007B6A6D">
        <w:t xml:space="preserve"> eklenen 35/C maddesinin 3. fıkrası ile piyasa bozucu eylemlerin engellenmesi, piyasaların şeffaf, güvenilir, adil, dürüst ve rekabetçi bir şekilde çalışmasının sağlanmasına dair hizmet sağlayıcılara büyük bir görev yüklemiştir. Bu fıkra uyarınca hizmet sağlayıcılar piyasa bozucu eylemlerin tespiti ve önlenmesi amacıyla gerekli denetim ve gözetim sistemlerini kurmak ve önlem almakla mükelleftir. Bu bağlamda piyasa bozucu nitelikteki işlemleri gerçekleştiren hesapların kısıtlanması, işlemlerinin durdurulması ve kapatılması gibi yaptırımda bulunmak ve SPK’ya bildirmekle yükümlüdürler. Yapılan bu düzenlemenin hizmet sağlayıcılara büyük bir sorumluluk getirdiği aşikârdır. Lakin, kanunun gerekçesinde de ifade edildiği üzere milyonlarca kullanıcıya sahip platformlarda gün içerisinde çok sayıda işlem gerçekleşmekte ve şüpheli işlemlerini ivedilikle tespitinin yapılıp, işlemleri gerçekleştiren hesaplar hakkında dondurma ve kapatma gibi ağır yaptırımların </w:t>
      </w:r>
      <w:r w:rsidRPr="007B6A6D">
        <w:lastRenderedPageBreak/>
        <w:t xml:space="preserve">uygulanması teknik açıdan oldukça zordur. Bunun yanında platformların SPK tarafından yaptırıma maruz kalmamak adına çeşitli hesaplar hakkında uygulayacağı hızlı yaptırımlar kullanıcıların menfaatlerine zarar verebilecek sonuçlar doğurabilir. Bu da platformların çeşitli tazminat davaları ile karşı karşıya kalmalarına ve maddi açıdan sorunlar yaşamalarına sebep olabilir. Dolayısıyla bu hükmün platformların yükünü makul seviyede tutacak şekilde </w:t>
      </w:r>
      <w:proofErr w:type="gramStart"/>
      <w:r w:rsidRPr="007B6A6D">
        <w:t>revize edilmesi</w:t>
      </w:r>
      <w:proofErr w:type="gramEnd"/>
      <w:r w:rsidRPr="007B6A6D">
        <w:t xml:space="preserve"> yahut ikincil düzenlemelerle sınırlarının çizilmesi yerinde bir uygulama olabilir. Mezkûr madde yurtdışında aktif olarak işlem gören ve fiyatlaması yurtdışında gerçekleşen kripto varlıkları madde kapsamını dışında bırakmıştır. Gerekçede bu durum, platformlarda oluşan fiyatların diğerlerini de etkilemesi olarak gösterilmiştir. Dolayısıyla bu madde yalnızca fiyatlaması Türkiye’de gerçekleşen varlıklar için geçerli bir düzenlemedir.</w:t>
      </w:r>
    </w:p>
    <w:p w14:paraId="0D355B76" w14:textId="77777777" w:rsidR="00B80551" w:rsidRPr="007B6A6D" w:rsidRDefault="00B80551" w:rsidP="00B80551">
      <w:pPr>
        <w:jc w:val="both"/>
      </w:pPr>
    </w:p>
    <w:p w14:paraId="25A853BD" w14:textId="6AB79B4D" w:rsidR="00FA457D" w:rsidRDefault="00FA457D" w:rsidP="00B80551">
      <w:pPr>
        <w:jc w:val="both"/>
      </w:pPr>
      <w:r w:rsidRPr="007B6A6D">
        <w:t>Hizmet sağlayıcıların bir diğer görevi ise, varlıkların saklandığı cüzdan ve hesaplara dair bilgi ve belgelerin her zaman güvenilir, müşterinin erişebileceği şekilde ve takip edilmesi mümkün olacak bir şekilde tutulmasını sağlamaktır. Bu amaçla MASAK tarafından belirlenecek esaslara uygun bir şekilde işlem yapılmasını sağlamak üzere gerekli düzenlemeleri yapmakla yükümlüdürler. Müşterilere ait nakit para ve kripto varlıkların hizmet sağlayıcıların hesaplarından bağımsız bir şekilde banka yahut SPK tarafından yetki verilecek kuruluşlarda tutulması gerekmektedir. Kanun koyucu hizmet sağlayıcıların müşterilere ait varlıklara haksız bir şekilde el koymasını ve hizmet sağlayıcılarının borçları nedeniyle müşterilere ait varlıkların haczinin önüne geçilmesini amaçlamıştır. Müşterilerin korunması ve güvenilir bir kripto varlık piyasasının oluşması bakımından yerinde bir düzenleme yapılmıştır.</w:t>
      </w:r>
    </w:p>
    <w:p w14:paraId="2027AA1E" w14:textId="77777777" w:rsidR="00B80551" w:rsidRPr="007B6A6D" w:rsidRDefault="00B80551" w:rsidP="00B80551">
      <w:pPr>
        <w:jc w:val="both"/>
      </w:pPr>
    </w:p>
    <w:p w14:paraId="45A13DFF" w14:textId="20CDD2A9" w:rsidR="00FA457D" w:rsidRDefault="00FA457D" w:rsidP="00B80551">
      <w:pPr>
        <w:jc w:val="both"/>
      </w:pPr>
      <w:r w:rsidRPr="007B6A6D">
        <w:t xml:space="preserve">Kripto Varlık Kanunu henüz yürürlüğe girmeden önce kamuoyunda tartışılan konulardan biri vergi konusu olmuştur. Plan ve Bütçe Komisyonu’nda gerçekleştirilen görüşmelerde de vergi konusu gündeme gelmiş, yerli ve yabancı müşterileri rahatsız etmeyecek vergi düzenlemeleri üzerinde çalışıldığı beyan edilmiştir. Kripto Varlık Kanunu her ne kadar henüz vergisel bir düzenleme içermemekteyse de hizmet sağlayıcılar bakımından maddi bir yükümlülük getirmiştir. Kanunun 16. maddesi ile hizmet sağlayıcıların bir önceki yıl faiz getirisi dışında kalan gelirlerinin tamamı üzerinden %1 oranında bir ödeneğin SPK’ya, yine %1 oranında bir bedelin </w:t>
      </w:r>
      <w:proofErr w:type="spellStart"/>
      <w:r w:rsidRPr="007B6A6D">
        <w:t>blokzincir</w:t>
      </w:r>
      <w:proofErr w:type="spellEnd"/>
      <w:r w:rsidRPr="007B6A6D">
        <w:t xml:space="preserve"> teknolojisi ile ilgili yeni Ar-</w:t>
      </w:r>
      <w:proofErr w:type="spellStart"/>
      <w:r w:rsidRPr="007B6A6D">
        <w:t>Ge</w:t>
      </w:r>
      <w:proofErr w:type="spellEnd"/>
      <w:r w:rsidRPr="007B6A6D">
        <w:t xml:space="preserve"> çalışmalarında harcanmak üzere TÜBİTAK’a ödenmesine hükmedilmiştir. Söz konusu bedel tabii olarak yalnızca Türkiye’de yerleşik olanlara yönelik faaliyetlerde bulunan platformlara uygulanacaktır. Fakat toplamda %2 oranında alınan bu bedeli platformların işlem ücreti adı altında müşterilerden talep etmesi halinde Türkiye’de yerleşik kripto varlık hizmet sağlayıcıların daha az tercih edilmesine ve küresel piyasaların gerisine düşmesine sebep olabilme tehlikesini haizdir.</w:t>
      </w:r>
    </w:p>
    <w:p w14:paraId="5CBD296A" w14:textId="77777777" w:rsidR="00B80551" w:rsidRPr="007B6A6D" w:rsidRDefault="00B80551" w:rsidP="00B80551">
      <w:pPr>
        <w:jc w:val="both"/>
      </w:pPr>
    </w:p>
    <w:p w14:paraId="55D42C4A" w14:textId="77777777" w:rsidR="00FA457D" w:rsidRPr="007B6A6D" w:rsidRDefault="00FA457D" w:rsidP="00B80551">
      <w:pPr>
        <w:jc w:val="both"/>
        <w:rPr>
          <w:b/>
          <w:bCs/>
        </w:rPr>
      </w:pPr>
      <w:r w:rsidRPr="007B6A6D">
        <w:rPr>
          <w:b/>
          <w:bCs/>
        </w:rPr>
        <w:t>3. 4. 4. Kripto Varlık Hizmet Sağlayıcıları ile Müşteriler Arasındaki İlişki</w:t>
      </w:r>
    </w:p>
    <w:p w14:paraId="49A6A933" w14:textId="19B5DF3F" w:rsidR="00B80551" w:rsidRPr="007B6A6D" w:rsidRDefault="00FA457D" w:rsidP="00B80551">
      <w:pPr>
        <w:jc w:val="both"/>
      </w:pPr>
      <w:bookmarkStart w:id="275" w:name="_Hlk170529435"/>
      <w:r w:rsidRPr="007B6A6D">
        <w:t xml:space="preserve">Yeni düzenlemenin dikkat çekici özelliği ise kripto varlık hizmet sağlayıcılarının belirli hallerde 6098 sayılı Türk Borçlar Kanunu’nun (“TBK”) 71. maddesinde düzenlenen </w:t>
      </w:r>
      <w:r w:rsidRPr="007B6A6D">
        <w:rPr>
          <w:i/>
          <w:iCs/>
        </w:rPr>
        <w:t>“Tehlike Sorumluluğu”</w:t>
      </w:r>
      <w:r w:rsidRPr="007B6A6D">
        <w:t xml:space="preserve"> müessesesi kapsamında sorumlu tutulmalarıdır. Yeni düzenlemenin 9. maddesi ile </w:t>
      </w:r>
      <w:proofErr w:type="spellStart"/>
      <w:r w:rsidRPr="007B6A6D">
        <w:t>SerPK’nın</w:t>
      </w:r>
      <w:proofErr w:type="spellEnd"/>
      <w:r w:rsidRPr="007B6A6D">
        <w:t xml:space="preserve"> 99/B maddesinin 4. fıkrası </w:t>
      </w:r>
      <w:r w:rsidRPr="007B6A6D">
        <w:rPr>
          <w:i/>
          <w:iCs/>
        </w:rPr>
        <w:t xml:space="preserve">“…Kripto varlık hizmet sağlayıcıları bilişim sistemlerinin işletilmesi, her türlü siber saldırı, bilgi güvenliği ihlalleri gibi fiillerden veya personelin her türlü davranışından kaynaklanan kripto varlık kayıplarından 6098 sayılı Kanunun 71 inci maddesi kapsamında sorumludur...” </w:t>
      </w:r>
      <w:r w:rsidRPr="007B6A6D">
        <w:t xml:space="preserve">şeklinde değiştirilmiştir. Bu şekilde kripto para endüstrisinde sıklıkla karşılaşılan siber saldırı, </w:t>
      </w:r>
      <w:proofErr w:type="spellStart"/>
      <w:r w:rsidRPr="007B6A6D">
        <w:t>hacklenme</w:t>
      </w:r>
      <w:proofErr w:type="spellEnd"/>
      <w:r w:rsidRPr="007B6A6D">
        <w:t>, veri hırsızlığı, veri sızıntısı gibi hallerde hizmet sağlayıcıların esasen bir kusursuz sorumluluk hali olan tehlike sorumluluğu kapsamında değerlendirilmesine ve sorumlu tutulmasına karar verilmiştir.</w:t>
      </w:r>
    </w:p>
    <w:p w14:paraId="5B81F2E8" w14:textId="006F4DB9" w:rsidR="00FA457D" w:rsidRDefault="00FA457D" w:rsidP="00B80551">
      <w:pPr>
        <w:jc w:val="both"/>
      </w:pPr>
      <w:r w:rsidRPr="007B6A6D">
        <w:lastRenderedPageBreak/>
        <w:t>Tehlike Sorumluluğu kavramı TBK’nın 71. maddesinde “…</w:t>
      </w:r>
      <w:r w:rsidRPr="007B6A6D">
        <w:rPr>
          <w:i/>
          <w:iCs/>
        </w:rPr>
        <w:t xml:space="preserve">Önemli ölçüde tehlike </w:t>
      </w:r>
      <w:proofErr w:type="spellStart"/>
      <w:r w:rsidRPr="007B6A6D">
        <w:rPr>
          <w:i/>
          <w:iCs/>
        </w:rPr>
        <w:t>arzeden</w:t>
      </w:r>
      <w:proofErr w:type="spellEnd"/>
      <w:r w:rsidRPr="007B6A6D">
        <w:rPr>
          <w:i/>
          <w:iCs/>
        </w:rPr>
        <w:t xml:space="preserve"> bir işletmenin faaliyetinden zarar doğduğu takdirde, bu zarardan işletme sahibi ve varsa işleten </w:t>
      </w:r>
      <w:proofErr w:type="spellStart"/>
      <w:r w:rsidRPr="007B6A6D">
        <w:rPr>
          <w:i/>
          <w:iCs/>
        </w:rPr>
        <w:t>müteselsilen</w:t>
      </w:r>
      <w:proofErr w:type="spellEnd"/>
      <w:r w:rsidRPr="007B6A6D">
        <w:rPr>
          <w:i/>
          <w:iCs/>
        </w:rPr>
        <w:t xml:space="preserve"> sorumludur. Bir işletmenin, mahiyeti veya faaliyette kullanılan malzeme, araçlar ya da güçler göz önünde tutulduğunda, bu işlerde uzman bir kişiden beklenen tüm özenin gösterilmesi durumunda bile sıkça veya ağır zararlar doğurmaya elverişli olduğu sonucuna varılırsa, bunun önemli ölçüde tehlike arz eden bir işletme olduğu kabul edilir…” </w:t>
      </w:r>
      <w:r w:rsidRPr="007B6A6D">
        <w:t>şeklinde düzenlenmiştir. Ancak kanaatimizce bu konuda kanun koyucu isabetli bir tercihte bulunmamıştır. Öyle ki;</w:t>
      </w:r>
    </w:p>
    <w:p w14:paraId="1681B7B2" w14:textId="77777777" w:rsidR="00B80551" w:rsidRPr="007B6A6D" w:rsidRDefault="00B80551" w:rsidP="00B80551">
      <w:pPr>
        <w:jc w:val="both"/>
      </w:pPr>
    </w:p>
    <w:p w14:paraId="2350874C" w14:textId="49055FD7" w:rsidR="00FA457D" w:rsidRDefault="00FA457D" w:rsidP="00B80551">
      <w:pPr>
        <w:jc w:val="both"/>
      </w:pPr>
      <w:r w:rsidRPr="007B6A6D">
        <w:t xml:space="preserve">Tehlike sorumluluğu kavramı hukuken son derece istisnai bir sorumluluk türüdür. Çok özel bazı iş sahalarında ve endüstrilerde kullanılması uygun ve dahi hakkaniyete uygun olan bu sorumluluk türü, doğası gereği tehlikenin bariz ve ağır olduğu hallerde işletme sahiplerinin hukuken hesap verebilmesi ve mağdurların maddi / manevi zararlarının karşılanması için bazı sosyal düşüncelerle ortaya çıkmıştır </w:t>
      </w:r>
      <w:r w:rsidRPr="007B6A6D">
        <w:rPr>
          <w:noProof/>
        </w:rPr>
        <w:t>(Korkusuz, 2011: 469; Eren, 2022: 770)</w:t>
      </w:r>
      <w:r w:rsidRPr="007B6A6D">
        <w:t xml:space="preserve">.  Esasen hukuk devleti ilkesinin varlık amacı ile de örtüşen bu sorumluluk türü Türk hukuk sistemi yanı sıra Kara Avrupası ve </w:t>
      </w:r>
      <w:proofErr w:type="spellStart"/>
      <w:r w:rsidRPr="007B6A6D">
        <w:t>Anglo</w:t>
      </w:r>
      <w:proofErr w:type="spellEnd"/>
      <w:r w:rsidRPr="007B6A6D">
        <w:t>-Sakson hukuk sistemlerinde de yer bulmuştur. Tehlike sorumluluğu kavramından bahsedebilmenin bazı özel şartları var olup bunlar; tehlike arz eden bir işletmenin bulunması, ortaya çıkan zarara önemli ölçüde tehlike arz eden işletmenin faaliyetinin sebep olması, işletmenin sıkça ve ağır zararlar doğurmaya elverişli olması, nitelikli özen yükümlülüğünün yerine getirilmesinin sorumluluğu ortadan kaldırmaya yetmemesi / özen eksikliğinin ilgililere yüklenememesi, tehlikenin ve zararın işletmenin niteliğinden doğmasıdır</w:t>
      </w:r>
      <w:r w:rsidRPr="007B6A6D">
        <w:rPr>
          <w:noProof/>
        </w:rPr>
        <w:t xml:space="preserve"> (Sarıhan, 2014: 1184; Gümüş, 2021: 603; Kılıçoğlu, 2021: 511)</w:t>
      </w:r>
      <w:r w:rsidRPr="007B6A6D">
        <w:t>. Ancak kanaatimizce bu unsurlar kripto para endüstrisinin doğasına uygun düşmemektedir.</w:t>
      </w:r>
    </w:p>
    <w:p w14:paraId="4A7F7B25" w14:textId="77777777" w:rsidR="00B80551" w:rsidRPr="007B6A6D" w:rsidRDefault="00B80551" w:rsidP="00B80551">
      <w:pPr>
        <w:jc w:val="both"/>
      </w:pPr>
    </w:p>
    <w:p w14:paraId="6363405B" w14:textId="6E3A8655" w:rsidR="00FA457D" w:rsidRDefault="00FA457D" w:rsidP="00B80551">
      <w:pPr>
        <w:jc w:val="both"/>
      </w:pPr>
      <w:r w:rsidRPr="007B6A6D">
        <w:t>İlk olarak, kripto para endüstrisi doğası gereği tehlike / tehdit arz eden bir endüstri değildir. Madencilik, nükleer enerji, havacılık ya da denizcilik gibi alanlarda işin doğası gereği her zaman için bir kayıp, kaza, aksaklık riski var iken bu endüstride böylesi bir durum söz konusu değildir. Her ne kadar geçmişte ülkemizde ve dünyada örnekleri görüldüğü üzere birtakım dolandırıcılık faaliyetleri örnekleri görülmüşse de bu tür örneklerin madencilik ya da nükleer enerji endüstrilerindeki sorun örneklerinden olmadığı aşikardır. Yeterli ve gerekli önlemlerin alınması, periyodik aralıklarla siber güvenlik denetimlerinin yapılması, yatırımcılar yönelik objektif bilgilendirme yükümlülüklerinin yerine getirilmesi ve daha birçok tedbirin alınmasıyla birlikte bu endüstride sıklıkla görülen sorunların önünün önemli ölçüde görüleceği düşünülmektedir.</w:t>
      </w:r>
    </w:p>
    <w:p w14:paraId="0DB353EF" w14:textId="77777777" w:rsidR="00B80551" w:rsidRPr="007B6A6D" w:rsidRDefault="00B80551" w:rsidP="00B80551">
      <w:pPr>
        <w:jc w:val="both"/>
      </w:pPr>
    </w:p>
    <w:p w14:paraId="71A8C36A" w14:textId="77777777" w:rsidR="00FA457D" w:rsidRDefault="00FA457D" w:rsidP="00B80551">
      <w:pPr>
        <w:jc w:val="both"/>
        <w:rPr>
          <w:noProof/>
        </w:rPr>
      </w:pPr>
      <w:r w:rsidRPr="007B6A6D">
        <w:t>İkinci olarak, bu sorumluluk türünden bahsedebilmek için herhangi bir kişiye (hizmet sağlayıcı personeli ya da müşteri / yatırımcı) bireysel olarak kusur veya özen eksikliğinin yüklenememesi gerekmektedir</w:t>
      </w:r>
      <w:r w:rsidRPr="007B6A6D">
        <w:rPr>
          <w:noProof/>
        </w:rPr>
        <w:t xml:space="preserve"> (Deschenaux &amp; Tercier, 1983: 20)</w:t>
      </w:r>
      <w:r w:rsidRPr="007B6A6D">
        <w:t xml:space="preserve">. Ancak kripto para endüstrisinde kusurun atfedilememesi gibi bir durumun da ortaya çıkmasının pek mümkün olmadığı tasavvur edilmektedir. Zira, doğrudan hizmet sağlayıcının kasıtlı bir eyleminin söz konusu olması gibi çok istisnai örnekler dışında bir haksız fiil ya da ihmal neticesinde yatırımcıların zarara uğraması halinde bu sorunun neden kaynaklandığı kolaylıkla tespit edilebilmektedir. Özellikle kripto para endüstrisinde hemen hemen her işlemin dijital mecralarda gerçekleşiyor olması ve bu mecralarda yapılan her işlemin bir dijital parmak izi bırakıyor olması, sorumluların tespit edilmesinde büyük bir kolaylık sağlayacaktır. Online ortamlarda yapılan herhangi bir işlemin hangi tarihte, hangi elektronik cihazdan, hangi </w:t>
      </w:r>
      <w:proofErr w:type="spellStart"/>
      <w:r w:rsidRPr="007B6A6D">
        <w:t>broadband</w:t>
      </w:r>
      <w:proofErr w:type="spellEnd"/>
      <w:r w:rsidRPr="007B6A6D">
        <w:t xml:space="preserve"> üzerinden yapıldığını gösteren ve özellikle siber suçlarla mücadelede çok büyük bir işlevi olan dijital parmak izleri sayesinde </w:t>
      </w:r>
      <w:r w:rsidRPr="007B6A6D">
        <w:lastRenderedPageBreak/>
        <w:t>sorumluluğun atfedilmesi ya da suçluların bulunması çok daha kolay bir hale gelmektedir. Hal böyleyken kripto para endüstrisinde de ortaya çıkması muhtemel sorunlarda sorumluların bu şekilde bulunması mümkün olacaktır</w:t>
      </w:r>
      <w:r w:rsidRPr="007B6A6D">
        <w:rPr>
          <w:noProof/>
        </w:rPr>
        <w:t xml:space="preserve"> (Ikwu vd., 2023: 4).</w:t>
      </w:r>
    </w:p>
    <w:p w14:paraId="42FEB3A9" w14:textId="77777777" w:rsidR="00B80551" w:rsidRPr="007B6A6D" w:rsidRDefault="00B80551" w:rsidP="00B80551">
      <w:pPr>
        <w:jc w:val="both"/>
        <w:rPr>
          <w:noProof/>
        </w:rPr>
      </w:pPr>
    </w:p>
    <w:p w14:paraId="725DA9F9" w14:textId="56405E44" w:rsidR="00FA457D" w:rsidRDefault="00FA457D" w:rsidP="00B80551">
      <w:pPr>
        <w:jc w:val="both"/>
      </w:pPr>
      <w:r w:rsidRPr="007B6A6D">
        <w:rPr>
          <w:noProof/>
        </w:rPr>
        <w:t>Tehlike sorumluluğu müessesesinin kripto para endüstrisinde uygulanmasının yerinde olmayacağını gösteren bir diğer done ise benzer</w:t>
      </w:r>
      <w:r w:rsidRPr="007B6A6D">
        <w:t xml:space="preserve"> endüstrilerde bu sorumluluk türünün uygulanmamasıdır. Ülkemizde bankacılık, finans, GSM operatörlüğü, internet servis sağlayıcılığı gibi farklı alanlarda faaliyet gösteren birçok kuruluş vardır ve tüm bu kuruluşlar sağladıkları hizmetlerle bireylerin ve işletmelerin parasal kaynakları, iletişim süreçleri ve daha birçok kritik öneme sahip verileriyle iştigal etmektedir. Ancak bu tür kuruluşların, özellikle de bankaların faaliyetleri için böylesi bir sorumluluk uygulaması söz konusu değildir. Bankaların, kripto para hizmet sağlayıcılar ile benzer bazı hizmetler sundukları dikkate alındığında bankalar için mevcut durumun kripto para hizmet sağlayıcıları için de öngörülebileceği tasavvur edilmektedir. Öyle ki, Açıkgöz (2015: 104) özen yükümlülüğünün layıkıyla ifa edildiği veyahut ifa edilmiş olsaydı dahi zararın vuku bulacağı ispat edilirse sorumluluktan kurtulmanın olanak dahilinde olduğunu, bankaların da bankanın olağan sebep sorumluluğuna dayalı objektif özen borcu bulunduğunu ifade etmektedir. Dahası yazar, bankaların kendisine hiçbir kusurun atfedilemeyeceğini kanıtlayarak illiyet bağını kesebileceğini ve sorumluluktan kurtulabileceğini de aktarmıştır </w:t>
      </w:r>
      <w:r w:rsidRPr="007B6A6D">
        <w:rPr>
          <w:noProof/>
        </w:rPr>
        <w:t>(Kara, 2021: 110)</w:t>
      </w:r>
      <w:r w:rsidRPr="007B6A6D">
        <w:t>. Hal böyleyken, bankaların dahi sorumluluktan kurtulma imkanına sahip olduğu bir zeminde, kripto para hizmet sağlayıcılarının tehlike sorumluluğu kapsamına alınması kanaatimizde uygun bir hukuki tercih olarak görülmemektedir.</w:t>
      </w:r>
    </w:p>
    <w:p w14:paraId="54D7A70D" w14:textId="77777777" w:rsidR="00B80551" w:rsidRPr="007B6A6D" w:rsidRDefault="00B80551" w:rsidP="00B80551">
      <w:pPr>
        <w:jc w:val="both"/>
      </w:pPr>
    </w:p>
    <w:p w14:paraId="0E4EA807" w14:textId="7E6D4C69" w:rsidR="00FA457D" w:rsidRDefault="00FA457D" w:rsidP="00B80551">
      <w:pPr>
        <w:jc w:val="both"/>
      </w:pPr>
      <w:r w:rsidRPr="007B6A6D">
        <w:t>Düzenlemedeki bu hükmün, TBMM Plan ve Bütçe Komisyonu raporuna göre Dijital Mecralar Komisyonu mensubu milletvekillerince de eleştirildiği, kripto varlık hizmet sağlayıcılarına yönelik Türk Borçlar Kanunu’nda yer alan tehlike sorumluluğu kapsamındaki kusursuz sorumluluk hükümlerinin uygulanmasının olağan dışı bir uygulama olarak görüldüğü yönündeki eleştiriler de işbu çalışmada sunulan argümanlarımızı destekler niteliktedir.</w:t>
      </w:r>
      <w:bookmarkEnd w:id="275"/>
    </w:p>
    <w:p w14:paraId="124A343E" w14:textId="77777777" w:rsidR="00B80551" w:rsidRPr="007B6A6D" w:rsidRDefault="00B80551" w:rsidP="00B80551">
      <w:pPr>
        <w:jc w:val="both"/>
      </w:pPr>
    </w:p>
    <w:p w14:paraId="7A90BDAD" w14:textId="77777777" w:rsidR="00FA457D" w:rsidRPr="007B6A6D" w:rsidRDefault="00FA457D" w:rsidP="00B80551">
      <w:pPr>
        <w:jc w:val="both"/>
        <w:rPr>
          <w:b/>
          <w:bCs/>
        </w:rPr>
      </w:pPr>
      <w:r w:rsidRPr="007B6A6D">
        <w:rPr>
          <w:b/>
          <w:bCs/>
        </w:rPr>
        <w:t>3.1.5. Kripto Varlık Hizmet Sağlayıcılarda Zimmet Suçu, Soruşturma Usulü ve Şahsi Sorumluluk</w:t>
      </w:r>
    </w:p>
    <w:p w14:paraId="1DC98B56" w14:textId="72274AC6" w:rsidR="00FA457D" w:rsidRPr="007B6A6D" w:rsidRDefault="00FA457D" w:rsidP="00B80551">
      <w:pPr>
        <w:jc w:val="both"/>
      </w:pPr>
      <w:r w:rsidRPr="007B6A6D">
        <w:t xml:space="preserve">Kripto Varlık Kanunu’nun 13. maddesi ile </w:t>
      </w:r>
      <w:proofErr w:type="spellStart"/>
      <w:r w:rsidRPr="007B6A6D">
        <w:t>SerPK’ya</w:t>
      </w:r>
      <w:proofErr w:type="spellEnd"/>
      <w:r w:rsidRPr="007B6A6D">
        <w:t xml:space="preserve"> eklenen </w:t>
      </w:r>
      <w:r w:rsidRPr="007B6A6D">
        <w:rPr>
          <w:i/>
          <w:iCs/>
        </w:rPr>
        <w:t xml:space="preserve">“Kripto varlık hizmet sağlayıcılarda zimmet” </w:t>
      </w:r>
      <w:r w:rsidRPr="007B6A6D">
        <w:t>başlıklı 110/A maddesi kripto varlık hizmet sağlayıcılarının işleyebileceği zimmet suçunu düzenlemektedir. Görevi dolaysıyla kendisine bırakılmış yahut koruma ve saklama yükümlülüğü kapsamındaki evrak, senet, eşya, para, para yerine geçen senet yahut kripto varlıkları kendisi veya üçüncü kişilerin zimmetine geçiren yönetim kurulu başkanı, yönetim kurulu üyeleri ve diğer mensupların cezalandırılacağı kabul edilmiştir. Mezkûr düzenleme 5411 sayılı Bankacılık Kanunu’nun 160. maddesi ile düzenlenen zimmet suçu ile paralel bir düzenlemedir. Fakat Bankacılık Kanunu’nda yer alan zimmet suçunun yaptırımı altı yıldan 12 yıla kadar para cezası ile beş bin güne kadar adli para cezası iken Kripto Varlık Kanunu’nda düzenlenen zimmet suçunun cezası daha ağır bir şekilde belirlenmiştir. İşbu madde uyarınca zimmet suçunu işleyen hizmet sağlayıcı yönetim kurulu başkan, üye ve diğer mensuplar hakkında sekiz yıldan on dört yıla kadar hapis cezası ile beş bin güne kadar adli para cezasına hükmedilecektir. Madde gerekçesinde de maddenin Bankacılık Kanunu esas alınarak düzenlendiği fakat dünyada ve ülkemizde yaşanan vakaların büyüklüğü, kripto varlıkların takip edilemez yapısı ve işlemlerin geri döndürülemez nitelikte olması dolayısıyla cezai yaptırımların diğer kurumlara nazaran daha ağır olmasına karar verildiği ifade edilmiştir.</w:t>
      </w:r>
    </w:p>
    <w:p w14:paraId="57F334E3" w14:textId="77777777" w:rsidR="00FA457D" w:rsidRDefault="00FA457D" w:rsidP="00B80551">
      <w:pPr>
        <w:jc w:val="both"/>
      </w:pPr>
      <w:r w:rsidRPr="007B6A6D">
        <w:lastRenderedPageBreak/>
        <w:t>Zimmet suçunun ortaya çıkmamasını sağlamak üzere hileli hareketlerle işlenmesi suçun nitelikli hali olarak kabul edilmiştir. Bu gibi hallerde verilecek cezanın on dört yıldan yirmi yıla kadar hapis cezası ile yirmi bin güne kadar hapis cezası olacağı, ancak bu miktarın hizmet sağlayıcı ve mağdurların uğradığı zararın üç katından az olamayacağı öngörülmüştür. Bankacılık Kanunu’nda ise alt sınır on iki yıldır.</w:t>
      </w:r>
    </w:p>
    <w:p w14:paraId="255C7792" w14:textId="77777777" w:rsidR="00B80551" w:rsidRPr="007B6A6D" w:rsidRDefault="00B80551" w:rsidP="00B80551">
      <w:pPr>
        <w:jc w:val="both"/>
      </w:pPr>
    </w:p>
    <w:p w14:paraId="2840CFB8" w14:textId="686C8BE2" w:rsidR="00FA457D" w:rsidRDefault="00FA457D" w:rsidP="00B80551">
      <w:pPr>
        <w:jc w:val="both"/>
      </w:pPr>
      <w:r w:rsidRPr="007B6A6D">
        <w:t>Kripto Varlık Kanunu 13/III ile faaliyet izni iptal edilen hizmet sağlayıcının kontrolünü hukuki yahut fiili olarak elinde bulunduran kişilerin hizmet sağlayıcıyı kendisi yahut üçüncü kişilerin menfaatine kullanması zimmet suçu kapsamına dahil edilmiştir. Bu suçun faillerinin ise on iki yıldan yirmi iki yıla kadar hapis cezası ile yirmi bin güne kadar adli para cezası ile cezalandırılacağı kabul edilmiştir. Bu durumda ödenecek miktarın hizmet sağlayıcı ve mağdurların zararının üç katından az olamayacağına karar verilmiştir. Bankacılık Kanunu 160/III ile düzenlenen suç tipinde ise verilecek hapis cezasının on yıldan yirmi yıla kadar olacağı öngörülmüştür.</w:t>
      </w:r>
    </w:p>
    <w:p w14:paraId="001ED2F3" w14:textId="77777777" w:rsidR="00B80551" w:rsidRPr="007B6A6D" w:rsidRDefault="00B80551" w:rsidP="00B80551">
      <w:pPr>
        <w:jc w:val="both"/>
      </w:pPr>
    </w:p>
    <w:p w14:paraId="596D84DB" w14:textId="273F43FB" w:rsidR="00FA457D" w:rsidRDefault="00FA457D" w:rsidP="00B80551">
      <w:pPr>
        <w:jc w:val="both"/>
      </w:pPr>
      <w:r w:rsidRPr="007B6A6D">
        <w:t>Kripto Varlık Kanunu madde 13/IV ve 13/V ile etkin pişmanlık hükümleri düzenlenerek soruşturma başlamadan önce varlıkların iadesi veya zararın tamamının tazmini halinde cezanın üçte ikisinin, kovuşturma başlamadan önce varlıkların iadesi veya zararın tamamının tazmini halinde cezanın yarısının indirilmesi kabul edilmiştir. Madde 13/VI uyarınca; zimmet konusunu oluşturan varlıkların azlığı dolayısıyla cezanın üçte birden yarıya kadar indirilmesi mümkündür.</w:t>
      </w:r>
    </w:p>
    <w:p w14:paraId="4DFF239D" w14:textId="77777777" w:rsidR="00B80551" w:rsidRPr="007B6A6D" w:rsidRDefault="00B80551" w:rsidP="00B80551">
      <w:pPr>
        <w:jc w:val="both"/>
      </w:pPr>
    </w:p>
    <w:p w14:paraId="598EBC8B" w14:textId="411FB6B8" w:rsidR="00FA457D" w:rsidRDefault="00FA457D" w:rsidP="00B80551">
      <w:pPr>
        <w:jc w:val="both"/>
      </w:pPr>
      <w:r w:rsidRPr="007B6A6D">
        <w:t>Kripto Varlık Kanunu madde 14 uyarınca, zimmet suçunu işleyen kripto varlık hizmet sağlayıcının yönetim kurulu başkanı, yönetim kurulu üyeleri, yönetim veya kontrolünü elinde bulunduran gerçek kişi ortakların SPK’nın talebi üzerine mahkemece iflasına karar verilebilir. İflas prosedüründe 2004 sayılı İcra ve İflas Kanunu’nun ilgili hükümleri uygulanır.</w:t>
      </w:r>
    </w:p>
    <w:p w14:paraId="153079A7" w14:textId="77777777" w:rsidR="00B80551" w:rsidRPr="007B6A6D" w:rsidRDefault="00B80551" w:rsidP="00B80551">
      <w:pPr>
        <w:jc w:val="both"/>
      </w:pPr>
    </w:p>
    <w:p w14:paraId="53E40B6B" w14:textId="78B19612" w:rsidR="00FA457D" w:rsidRDefault="00FA457D" w:rsidP="00B80551">
      <w:pPr>
        <w:jc w:val="both"/>
      </w:pPr>
      <w:r w:rsidRPr="007B6A6D">
        <w:t xml:space="preserve">Kripto Varlık Kanunu madde 14 uyarınca, kripto varlıkların zimmet suçunun soruşturulması için SPK’nın yazılı başvurusu gerekir fakat gecikmesinde sakınca bulunan hallerde yazılı başvuru yapılmadan da Cumhuriyet savcıları </w:t>
      </w:r>
      <w:proofErr w:type="spellStart"/>
      <w:r w:rsidRPr="007B6A6D">
        <w:t>re’sen</w:t>
      </w:r>
      <w:proofErr w:type="spellEnd"/>
      <w:r w:rsidRPr="007B6A6D">
        <w:t xml:space="preserve"> soruşturma başlatılır ve SPK bilgilendirilir. Madde 14/III ile görevli ve yetkili mahkeme tespit edilmiştir. Bu kapsamda; </w:t>
      </w:r>
      <w:r w:rsidRPr="007B6A6D">
        <w:rPr>
          <w:i/>
          <w:iCs/>
        </w:rPr>
        <w:t xml:space="preserve">“Bu Kanunda tanımlanan zimmet suçuna ait davalar, fiilin işlendiği yerin bağlı olduğu ilin adıyla anılan (1) numaralı ağır ceza mahkemelerinde görülür. Gerekli görülen yerlerde Adalet Bakanlığının teklifi üzerine Hâkimler ve Savcılar Kurulunca bu tür suçlara bakmak üzere o yerlerdeki diğer ağır ceza mahkemeleri de görevlendirilebilir” </w:t>
      </w:r>
      <w:r w:rsidRPr="007B6A6D">
        <w:t xml:space="preserve">hükmü düzenleme altına alınmıştır. Bu hüküm Bankacılık Kanunu’nun “Özel görev” başlıklı 164. madde ile paralel bir düzenlemedir. Dikkat edilmesi gereken nokta ise 5271 sayılı Ceza Muhakemesi Kanunu’nun (“CMK”) 12’nci maddesi uyarınca genel yetkili mahkeme suçun işlendiği yer mahkemesi iken kripto varlıkların zimmet suçu söz konusu olduğunda, suçun işlendiği ilçede bir ağır ceza mahkemesi bulunsa dahi suçun işlendiği il merkezinde bulunan ağır ceza mahkemesidir. Kripto Varlık Kanunu madde 15/VI ile zimmet suçu bakımından CMK’nın </w:t>
      </w:r>
      <w:r w:rsidRPr="007B6A6D">
        <w:rPr>
          <w:i/>
          <w:iCs/>
        </w:rPr>
        <w:t xml:space="preserve">“Taşınmazlara, hak ve alacaklara </w:t>
      </w:r>
      <w:proofErr w:type="spellStart"/>
      <w:r w:rsidRPr="007B6A6D">
        <w:rPr>
          <w:i/>
          <w:iCs/>
        </w:rPr>
        <w:t>elkoyma</w:t>
      </w:r>
      <w:proofErr w:type="spellEnd"/>
      <w:r w:rsidRPr="007B6A6D">
        <w:rPr>
          <w:i/>
          <w:iCs/>
        </w:rPr>
        <w:t>”</w:t>
      </w:r>
      <w:r w:rsidRPr="007B6A6D">
        <w:t xml:space="preserve"> başlıklı 128. maddesi ile </w:t>
      </w:r>
      <w:r w:rsidRPr="007B6A6D">
        <w:rPr>
          <w:i/>
          <w:iCs/>
        </w:rPr>
        <w:t>“Şirket yönetimi için kayyım tayini”</w:t>
      </w:r>
      <w:r w:rsidRPr="007B6A6D">
        <w:t xml:space="preserve"> başlıklı 133. maddelerin uygulanabileceğine hükmedilmiştir.</w:t>
      </w:r>
    </w:p>
    <w:p w14:paraId="46B559DE" w14:textId="77777777" w:rsidR="00B80551" w:rsidRPr="007B6A6D" w:rsidRDefault="00B80551" w:rsidP="00B80551">
      <w:pPr>
        <w:jc w:val="both"/>
      </w:pPr>
    </w:p>
    <w:p w14:paraId="6E96E96D" w14:textId="4FD71997" w:rsidR="00FA457D" w:rsidRPr="007B6A6D" w:rsidRDefault="00FA457D" w:rsidP="00B80551">
      <w:pPr>
        <w:jc w:val="both"/>
        <w:rPr>
          <w:b/>
          <w:bCs/>
        </w:rPr>
      </w:pPr>
      <w:r w:rsidRPr="007B6A6D">
        <w:rPr>
          <w:b/>
          <w:bCs/>
        </w:rPr>
        <w:t>4. SONUÇ</w:t>
      </w:r>
    </w:p>
    <w:p w14:paraId="2E85E778" w14:textId="77777777" w:rsidR="00FA457D" w:rsidRDefault="00FA457D" w:rsidP="00B80551">
      <w:pPr>
        <w:jc w:val="both"/>
      </w:pPr>
      <w:r w:rsidRPr="007B6A6D">
        <w:t xml:space="preserve">Kripto Varlık Kanunu kripto varlık yatırımcılarının / müşterilerinin sayıca fazla olduğu Türkiye Cumhuriyeti için elzem bir düzenlemedir ve bu konudaki kanun boşluğunu doldurması </w:t>
      </w:r>
      <w:r w:rsidRPr="007B6A6D">
        <w:lastRenderedPageBreak/>
        <w:t xml:space="preserve">bakımından mevzuatımızda önemli bir yere sahiptir. Eksiklikleri ve çeşitli handikapları bulunmasına rağmen bu konuda kanun düzeyinde bir regülasyon yapılması büyük bir adımdır. Bu kanun sayesinde Türkiye’nin </w:t>
      </w:r>
      <w:proofErr w:type="spellStart"/>
      <w:r w:rsidRPr="007B6A6D">
        <w:t>FATF’nin</w:t>
      </w:r>
      <w:proofErr w:type="spellEnd"/>
      <w:r w:rsidRPr="007B6A6D">
        <w:t xml:space="preserve"> gri listesinden çıkması bile başlı başına müspet bir gelişme olarak kabul edilmektedir.</w:t>
      </w:r>
    </w:p>
    <w:p w14:paraId="245D7233" w14:textId="77777777" w:rsidR="00B80551" w:rsidRPr="007B6A6D" w:rsidRDefault="00B80551" w:rsidP="00B80551">
      <w:pPr>
        <w:jc w:val="both"/>
      </w:pPr>
    </w:p>
    <w:p w14:paraId="620DBD95" w14:textId="09FD82CF" w:rsidR="00FA457D" w:rsidRDefault="00FA457D" w:rsidP="00B80551">
      <w:pPr>
        <w:jc w:val="both"/>
      </w:pPr>
      <w:r w:rsidRPr="007B6A6D">
        <w:t xml:space="preserve">Kripto Varlık Kanunu çerçeve hükümler içeren, pek çok konunun Sermaye Piyasası Kurulu’na bırakıldığı bir düzenlemedir. Bu durum çeşitli kolaylıklar sağladığı gibi yine birtakım belirsizlikleri de beraberinde getirmektedir. Zira kripto varlıklar gibi hızlı gelişen teknolojilere ayak uydurma ve hızlı hareket edebilme açısından Türkiye Büyük Millet Meclisi’nin toplanması ve karar alması yerine SPK’nın düzenleyici işlemler tesis etmesi çok daha kolay bir uygulamadır. Fakat SPK’ya verilen geniş yetkiler, kanunilik ilkesinin zedelenmesine sebep olabilirler. Nitekim </w:t>
      </w:r>
      <w:proofErr w:type="spellStart"/>
      <w:r w:rsidRPr="007B6A6D">
        <w:t>SerPK’ya</w:t>
      </w:r>
      <w:proofErr w:type="spellEnd"/>
      <w:r w:rsidRPr="007B6A6D">
        <w:t xml:space="preserve"> eklenen 99/A maddesi ile izinsiz kripto varlık hizmet sağlayıcılığı suçunun tespitine yönelik ek kıstaslar belirleme yetkisi bu belirsizliklere neden olabilecek ve Anayasa’nın 38. maddesine aykırılık teşkil edecektir. SPK tarafından yapılacak ikincil düzenlemeler ilan edildikçe bu hususların tekrar gündeme gelmesi kuvvetle muhtemeldir.</w:t>
      </w:r>
    </w:p>
    <w:p w14:paraId="13E33A2B" w14:textId="77777777" w:rsidR="00B80551" w:rsidRPr="007B6A6D" w:rsidRDefault="00B80551" w:rsidP="00B80551">
      <w:pPr>
        <w:jc w:val="both"/>
      </w:pPr>
    </w:p>
    <w:p w14:paraId="442EF8E9" w14:textId="5D900794" w:rsidR="00FA457D" w:rsidRDefault="00FA457D" w:rsidP="00B80551">
      <w:pPr>
        <w:jc w:val="both"/>
      </w:pPr>
      <w:r w:rsidRPr="007B6A6D">
        <w:t>Yapılan düzenlemede tanımlara “</w:t>
      </w:r>
      <w:r w:rsidRPr="007B6A6D">
        <w:rPr>
          <w:i/>
          <w:iCs/>
        </w:rPr>
        <w:t>kripto varlık”</w:t>
      </w:r>
      <w:r w:rsidRPr="007B6A6D">
        <w:t xml:space="preserve"> kavramının eklenmesi yerinde bir düzenlemedir. Fakat kripto varlık tanımının net bir şekilde yapılmamış olması, kanunun gerekçesinde çeşitli kripto varlık türlerinden söz edilmesine rağmen bu türlere dair açıklamalara yer verilmemiş olması kripto varlıklara ilişkin tartışmaların devam etmesine sebebiyet verecektir.</w:t>
      </w:r>
    </w:p>
    <w:p w14:paraId="71162536" w14:textId="77777777" w:rsidR="00B80551" w:rsidRPr="007B6A6D" w:rsidRDefault="00B80551" w:rsidP="00B80551">
      <w:pPr>
        <w:jc w:val="both"/>
      </w:pPr>
    </w:p>
    <w:p w14:paraId="590FDF2E" w14:textId="797FA46F" w:rsidR="00FA457D" w:rsidRDefault="00FA457D" w:rsidP="00B80551">
      <w:pPr>
        <w:jc w:val="both"/>
      </w:pPr>
      <w:r w:rsidRPr="007B6A6D">
        <w:t xml:space="preserve">Kripto varlık hizmet sağlayıcılara ve ortaklara ilişkin hükümler ise Bankacılık Kanunu ve ilgili mevzuat ile paralel düzenlemelerdir. Fakat kripto varlık hizmet sağlayıcıların hangi türde özel hukuk tüzel kişisi olabileceği ve asgari sermaye tutarına yer verilmemiş olması ise önemli bir eksiklik olarak değerlendirilmektedir. Bankacılık Kanunu’nda yer aldığı üzere anonim şirket türünün tercih edilmesi ve uygun bir asgari sermaye tutarının belirlenmesi gerekmektedir. Avrupa Birliği düzenlemesi olan </w:t>
      </w:r>
      <w:proofErr w:type="spellStart"/>
      <w:r w:rsidRPr="007B6A6D">
        <w:t>MiCA’da</w:t>
      </w:r>
      <w:proofErr w:type="spellEnd"/>
      <w:r w:rsidRPr="007B6A6D">
        <w:t xml:space="preserve"> da sunulan hizmetlere göre çeşitli sınırlar öngörülmüştür.</w:t>
      </w:r>
    </w:p>
    <w:p w14:paraId="51D13396" w14:textId="77777777" w:rsidR="00B80551" w:rsidRPr="007B6A6D" w:rsidRDefault="00B80551" w:rsidP="00B80551">
      <w:pPr>
        <w:jc w:val="both"/>
      </w:pPr>
    </w:p>
    <w:p w14:paraId="50F1CE10" w14:textId="30D43734" w:rsidR="00FA457D" w:rsidRDefault="00FA457D" w:rsidP="00B80551">
      <w:pPr>
        <w:jc w:val="both"/>
      </w:pPr>
      <w:r w:rsidRPr="007B6A6D">
        <w:t>Kripto Varlık Kanunu ile hizmet sağlayıcıların sorumluluğu, 6098 sayılı Türk Borçlar Kanunu’nun 71. maddesi ile düzenlenen tehlike sorumluluğu kapsamına dahil edilmiştir. Tehlike sorumluluğu hukuk sistemimizde oldukça istisnai bir şekilde düzenlenen kusursuz sorumluluk türlerinden biridir. Mezkûr kanundaki pek çok hüküm bakımından 5411 sayılı Bankacılık Kanunu esas alınmasına rağmen, hizmet sağlayıcılar bakımından çok daha ağır bir kusursuz sorumluluk esasının belirlenmesinin yerinde bir düzenleme olmadığı söylenebilir.</w:t>
      </w:r>
    </w:p>
    <w:p w14:paraId="74F57F07" w14:textId="77777777" w:rsidR="00B80551" w:rsidRPr="007B6A6D" w:rsidRDefault="00B80551" w:rsidP="00B80551">
      <w:pPr>
        <w:jc w:val="both"/>
      </w:pPr>
    </w:p>
    <w:p w14:paraId="677B1A4C" w14:textId="5856898D" w:rsidR="00FA457D" w:rsidRDefault="00FA457D" w:rsidP="00B80551">
      <w:pPr>
        <w:jc w:val="both"/>
      </w:pPr>
      <w:r w:rsidRPr="007B6A6D">
        <w:t xml:space="preserve">Kripto Varlık Kanunu’nda yer almayan ve SPK tarafından da henüz açıklama yapılmayan bir husus da 16 Nisan 2021 tarihinde 31456 sayılı Resmî </w:t>
      </w:r>
      <w:proofErr w:type="spellStart"/>
      <w:r w:rsidRPr="007B6A6D">
        <w:t>Gazete’de</w:t>
      </w:r>
      <w:proofErr w:type="spellEnd"/>
      <w:r w:rsidRPr="007B6A6D">
        <w:t xml:space="preserve"> yayımlanan </w:t>
      </w:r>
      <w:r w:rsidRPr="007B6A6D">
        <w:rPr>
          <w:i/>
          <w:iCs/>
        </w:rPr>
        <w:t>“Ödemelerde Kripto Varlıkların Kullanılmamasına Dair Yönetmelik”</w:t>
      </w:r>
      <w:r w:rsidRPr="007B6A6D">
        <w:t xml:space="preserve"> in yürürlükte olup olmadığı konusudur. Her ne kadar kanun koyucu Kripto Varlık Kanunu’nun gerekçesinde kripto varlık piyasasını engelleyici değil düzenleyici bir yaklaşım sergilediğini açıklasa da mezkûr yönetmeliğin mülga edildiğine dair bir karar söz konusu değildir. Bu konuda açık bir karar bulunmadığı sürece kripto varlıkların ödeme aracı olarak kullanılması mümkün değildir.</w:t>
      </w:r>
    </w:p>
    <w:p w14:paraId="5778DC30" w14:textId="77777777" w:rsidR="00B80551" w:rsidRPr="007B6A6D" w:rsidRDefault="00B80551" w:rsidP="00B80551">
      <w:pPr>
        <w:jc w:val="both"/>
      </w:pPr>
    </w:p>
    <w:p w14:paraId="78ACB152" w14:textId="0AE7C0E4" w:rsidR="00FA457D" w:rsidRDefault="00FA457D" w:rsidP="00B80551">
      <w:pPr>
        <w:jc w:val="both"/>
      </w:pPr>
      <w:r w:rsidRPr="007B6A6D">
        <w:t xml:space="preserve">Kripto Varlık Kanunu her ne kadar henüz vergisel bir düzenleme içermemekteyse de hizmet </w:t>
      </w:r>
      <w:r w:rsidRPr="007B6A6D">
        <w:lastRenderedPageBreak/>
        <w:t xml:space="preserve">sağlayıcılar bakımından maddi bir yükümlülük getirmiştir. Kanunun 16’ncı maddesi ile hizmet sağlayıcıların bir önceki yıl faiz getirisi dışında kalan gelirlerinin tamamı üzerinden %1 oranında bir ödeneğin SPK’ya, yine %1 oranında bir bedelin </w:t>
      </w:r>
      <w:proofErr w:type="spellStart"/>
      <w:r w:rsidRPr="007B6A6D">
        <w:t>blokzincir</w:t>
      </w:r>
      <w:proofErr w:type="spellEnd"/>
      <w:r w:rsidRPr="007B6A6D">
        <w:t xml:space="preserve"> teknolojisi ile ilgili teknolojilerin geliştirilmesinde harcanmak üzere TÜBİTAK’a ödenmesi öngörülmüştür. Söz konusu bedelin yalnızca Türkiye’de yerleşik olan hizmet sağlayıcılardan tahsil edilecek olması, hizmet sağlayıcıların bu bedeli çeşitli isimler altında müşterilerine yansıtmalarına sebep olabilir. Bu da Türkiye’de yerleşik hizmet sağlayıcıların küresel rekabet gücünü olumsuz yönde etkileyebileceği söylenebilir.</w:t>
      </w:r>
    </w:p>
    <w:p w14:paraId="6B63C4F8" w14:textId="77777777" w:rsidR="008003D6" w:rsidRPr="007B6A6D" w:rsidRDefault="008003D6" w:rsidP="00B80551">
      <w:pPr>
        <w:jc w:val="both"/>
      </w:pPr>
    </w:p>
    <w:p w14:paraId="555ED773" w14:textId="2C4AC3CA" w:rsidR="00D47EF1" w:rsidRDefault="00FA457D" w:rsidP="00B80551">
      <w:r w:rsidRPr="007B6A6D">
        <w:t xml:space="preserve">Kripto Varlık Kanunu, kripto varlıklara dair ilk düzenlemelerden biri olması yönüyle anlamlı ve önemli bir düzenlemedir. Getireceği sonuçlar ise SPK’nın tebliğlerinin yayımlanması ile netlik kazanacaktır. </w:t>
      </w:r>
    </w:p>
    <w:p w14:paraId="20BF1C01" w14:textId="77777777" w:rsidR="008003D6" w:rsidRPr="00D47EF1" w:rsidRDefault="008003D6" w:rsidP="00B80551"/>
    <w:p w14:paraId="70F1DA7B" w14:textId="77777777" w:rsidR="006B3587" w:rsidRPr="006B3587" w:rsidRDefault="006B3587" w:rsidP="00B80551">
      <w:pPr>
        <w:jc w:val="both"/>
        <w:rPr>
          <w:b/>
          <w:bCs/>
        </w:rPr>
      </w:pPr>
      <w:r w:rsidRPr="006B3587">
        <w:rPr>
          <w:b/>
          <w:bCs/>
        </w:rPr>
        <w:t>KAYNAKÇA</w:t>
      </w:r>
    </w:p>
    <w:p w14:paraId="095797E6" w14:textId="77777777" w:rsidR="006B3587" w:rsidRDefault="006B3587" w:rsidP="00B80551">
      <w:pPr>
        <w:jc w:val="both"/>
      </w:pPr>
      <w:r>
        <w:t>1.</w:t>
      </w:r>
      <w:r>
        <w:tab/>
        <w:t>Açıkgöz, O. (2015). Banka Hesabının İnternet Bankacılığı Yoluyla Boşaltılması Sonucu Meydana Gelen Zarardan Dolayı Bankanın Mevduat Sahibine Karşı Hukuki Sorumluluğu. KOÜHFD, 6(12), 69-113.</w:t>
      </w:r>
    </w:p>
    <w:p w14:paraId="006B05BC" w14:textId="77777777" w:rsidR="006B3587" w:rsidRDefault="006B3587" w:rsidP="00B80551">
      <w:pPr>
        <w:jc w:val="both"/>
      </w:pPr>
      <w:r>
        <w:t>2.</w:t>
      </w:r>
      <w:r>
        <w:tab/>
        <w:t>Adıgüzel, B. (2022). Sermaye Piyasası Hukuku. Ankara: Adalet Yayınevi.</w:t>
      </w:r>
    </w:p>
    <w:p w14:paraId="24C7B319" w14:textId="77777777" w:rsidR="006B3587" w:rsidRDefault="006B3587" w:rsidP="00B80551">
      <w:pPr>
        <w:jc w:val="both"/>
      </w:pPr>
      <w:r>
        <w:t>3.</w:t>
      </w:r>
      <w:r>
        <w:tab/>
        <w:t xml:space="preserve">BBC. (2018). Japonya'da Değeri 500 Milyon </w:t>
      </w:r>
      <w:proofErr w:type="gramStart"/>
      <w:r>
        <w:t>Doları</w:t>
      </w:r>
      <w:proofErr w:type="gramEnd"/>
      <w:r>
        <w:t xml:space="preserve"> Aşan Kripto Para Çalındı. https://www.bbc.com/turkce/haberler-dunya-42844689 adresinden alındı</w:t>
      </w:r>
    </w:p>
    <w:p w14:paraId="1C2E8999" w14:textId="77777777" w:rsidR="006B3587" w:rsidRDefault="006B3587" w:rsidP="00B80551">
      <w:pPr>
        <w:jc w:val="both"/>
      </w:pPr>
      <w:r>
        <w:t>4.</w:t>
      </w:r>
      <w:r>
        <w:tab/>
        <w:t xml:space="preserve">BBC. (2022). 3,3 Milyar </w:t>
      </w:r>
      <w:proofErr w:type="gramStart"/>
      <w:r>
        <w:t>Dolarlık</w:t>
      </w:r>
      <w:proofErr w:type="gramEnd"/>
      <w:r>
        <w:t xml:space="preserve"> Bitcoin Operasyonu: Çalınan Miktarın Bir kısmı 'Patlamış Mısır Kutusundan' Çıktı. BBC News Türkçe: https://www.bbc.com/turkce/articles/c4n7j9lg1jjo adresinden alındı</w:t>
      </w:r>
    </w:p>
    <w:p w14:paraId="40616472" w14:textId="77777777" w:rsidR="006B3587" w:rsidRDefault="006B3587" w:rsidP="00B80551">
      <w:pPr>
        <w:jc w:val="both"/>
      </w:pPr>
      <w:r>
        <w:t>5.</w:t>
      </w:r>
      <w:r>
        <w:tab/>
      </w:r>
      <w:proofErr w:type="spellStart"/>
      <w:proofErr w:type="gramStart"/>
      <w:r>
        <w:t>Binance</w:t>
      </w:r>
      <w:proofErr w:type="spellEnd"/>
      <w:r>
        <w:t xml:space="preserve"> .</w:t>
      </w:r>
      <w:proofErr w:type="gramEnd"/>
      <w:r>
        <w:t xml:space="preserve"> (2024). </w:t>
      </w:r>
      <w:proofErr w:type="spellStart"/>
      <w:r>
        <w:t>Updates</w:t>
      </w:r>
      <w:proofErr w:type="spellEnd"/>
      <w:r>
        <w:t xml:space="preserve"> </w:t>
      </w:r>
      <w:proofErr w:type="spellStart"/>
      <w:r>
        <w:t>to</w:t>
      </w:r>
      <w:proofErr w:type="spellEnd"/>
      <w:r>
        <w:t xml:space="preserve"> </w:t>
      </w:r>
      <w:proofErr w:type="spellStart"/>
      <w:r>
        <w:t>Binance’s</w:t>
      </w:r>
      <w:proofErr w:type="spellEnd"/>
      <w:r>
        <w:t xml:space="preserve"> Services in </w:t>
      </w:r>
      <w:proofErr w:type="spellStart"/>
      <w:r>
        <w:t>Turkey</w:t>
      </w:r>
      <w:proofErr w:type="spellEnd"/>
      <w:r>
        <w:t xml:space="preserve"> Under </w:t>
      </w:r>
      <w:proofErr w:type="spellStart"/>
      <w:r>
        <w:t>the</w:t>
      </w:r>
      <w:proofErr w:type="spellEnd"/>
      <w:r>
        <w:t xml:space="preserve"> New </w:t>
      </w:r>
      <w:proofErr w:type="spellStart"/>
      <w:r>
        <w:t>Crypto</w:t>
      </w:r>
      <w:proofErr w:type="spellEnd"/>
      <w:r>
        <w:t xml:space="preserve"> </w:t>
      </w:r>
      <w:proofErr w:type="spellStart"/>
      <w:r>
        <w:t>Regulations</w:t>
      </w:r>
      <w:proofErr w:type="spellEnd"/>
      <w:r>
        <w:t xml:space="preserve">. </w:t>
      </w:r>
      <w:proofErr w:type="spellStart"/>
      <w:r>
        <w:t>Binance</w:t>
      </w:r>
      <w:proofErr w:type="spellEnd"/>
      <w:r>
        <w:t>: https://www.binance.com/en/support/announcement/updates-to-binance-s-services-in-turkey-under-the-new-crypto-regulations-653d43c0083047beab4e1f6efcc48b30?hl=en adresinden alındı</w:t>
      </w:r>
    </w:p>
    <w:p w14:paraId="735751E6" w14:textId="77777777" w:rsidR="006B3587" w:rsidRDefault="006B3587" w:rsidP="00B80551">
      <w:pPr>
        <w:jc w:val="both"/>
      </w:pPr>
      <w:r>
        <w:t>6.</w:t>
      </w:r>
      <w:r>
        <w:tab/>
        <w:t xml:space="preserve">Brown, S. I. (2023). </w:t>
      </w:r>
      <w:proofErr w:type="spellStart"/>
      <w:r>
        <w:t>The</w:t>
      </w:r>
      <w:proofErr w:type="spellEnd"/>
      <w:r>
        <w:t xml:space="preserve"> Wild West, </w:t>
      </w:r>
      <w:proofErr w:type="spellStart"/>
      <w:r>
        <w:t>Cryptocurrency</w:t>
      </w:r>
      <w:proofErr w:type="spellEnd"/>
      <w:r>
        <w:t xml:space="preserve">, </w:t>
      </w:r>
      <w:proofErr w:type="spellStart"/>
      <w:r>
        <w:t>and</w:t>
      </w:r>
      <w:proofErr w:type="spellEnd"/>
      <w:r>
        <w:t xml:space="preserve"> </w:t>
      </w:r>
      <w:proofErr w:type="spellStart"/>
      <w:r>
        <w:t>Singapore</w:t>
      </w:r>
      <w:proofErr w:type="spellEnd"/>
      <w:r>
        <w:t xml:space="preserve">: </w:t>
      </w:r>
      <w:proofErr w:type="spellStart"/>
      <w:r>
        <w:t>Why</w:t>
      </w:r>
      <w:proofErr w:type="spellEnd"/>
      <w:r>
        <w:t xml:space="preserve"> </w:t>
      </w:r>
      <w:proofErr w:type="spellStart"/>
      <w:r>
        <w:t>the</w:t>
      </w:r>
      <w:proofErr w:type="spellEnd"/>
      <w:r>
        <w:t xml:space="preserve"> United </w:t>
      </w:r>
      <w:proofErr w:type="spellStart"/>
      <w:r>
        <w:t>States</w:t>
      </w:r>
      <w:proofErr w:type="spellEnd"/>
      <w:r>
        <w:t xml:space="preserve"> </w:t>
      </w:r>
      <w:proofErr w:type="spellStart"/>
      <w:r>
        <w:t>Should</w:t>
      </w:r>
      <w:proofErr w:type="spellEnd"/>
      <w:r>
        <w:t xml:space="preserve"> </w:t>
      </w:r>
      <w:proofErr w:type="spellStart"/>
      <w:r>
        <w:t>Follow</w:t>
      </w:r>
      <w:proofErr w:type="spellEnd"/>
      <w:r>
        <w:t xml:space="preserve"> </w:t>
      </w:r>
      <w:proofErr w:type="spellStart"/>
      <w:r>
        <w:t>Singapore's</w:t>
      </w:r>
      <w:proofErr w:type="spellEnd"/>
      <w:r>
        <w:t xml:space="preserve"> </w:t>
      </w:r>
      <w:proofErr w:type="spellStart"/>
      <w:r>
        <w:t>Lead</w:t>
      </w:r>
      <w:proofErr w:type="spellEnd"/>
      <w:r>
        <w:t xml:space="preserve"> in </w:t>
      </w:r>
      <w:proofErr w:type="spellStart"/>
      <w:r>
        <w:t>Cryptocurrency</w:t>
      </w:r>
      <w:proofErr w:type="spellEnd"/>
      <w:r>
        <w:t xml:space="preserve"> </w:t>
      </w:r>
      <w:proofErr w:type="spellStart"/>
      <w:r>
        <w:t>Regulation</w:t>
      </w:r>
      <w:proofErr w:type="spellEnd"/>
      <w:r>
        <w:t xml:space="preserve">. Indiana International &amp; </w:t>
      </w:r>
      <w:proofErr w:type="spellStart"/>
      <w:r>
        <w:t>Comparative</w:t>
      </w:r>
      <w:proofErr w:type="spellEnd"/>
      <w:r>
        <w:t xml:space="preserve"> </w:t>
      </w:r>
      <w:proofErr w:type="spellStart"/>
      <w:r>
        <w:t>Law</w:t>
      </w:r>
      <w:proofErr w:type="spellEnd"/>
      <w:r>
        <w:t xml:space="preserve"> </w:t>
      </w:r>
      <w:proofErr w:type="spellStart"/>
      <w:r>
        <w:t>Review</w:t>
      </w:r>
      <w:proofErr w:type="spellEnd"/>
      <w:r>
        <w:t>, 33(1), 191-224.</w:t>
      </w:r>
    </w:p>
    <w:p w14:paraId="77EDDD09" w14:textId="77777777" w:rsidR="006B3587" w:rsidRDefault="006B3587" w:rsidP="00B80551">
      <w:pPr>
        <w:jc w:val="both"/>
      </w:pPr>
      <w:r>
        <w:t>7.</w:t>
      </w:r>
      <w:r>
        <w:tab/>
      </w:r>
      <w:proofErr w:type="spellStart"/>
      <w:r>
        <w:t>Byrne</w:t>
      </w:r>
      <w:proofErr w:type="spellEnd"/>
      <w:r>
        <w:t xml:space="preserve">, R. (2024, 06 27). </w:t>
      </w:r>
      <w:proofErr w:type="spellStart"/>
      <w:r>
        <w:t>Reward</w:t>
      </w:r>
      <w:proofErr w:type="spellEnd"/>
      <w:r>
        <w:t xml:space="preserve"> </w:t>
      </w:r>
      <w:proofErr w:type="spellStart"/>
      <w:r>
        <w:t>for</w:t>
      </w:r>
      <w:proofErr w:type="spellEnd"/>
      <w:r>
        <w:t xml:space="preserve"> </w:t>
      </w:r>
      <w:proofErr w:type="spellStart"/>
      <w:r>
        <w:t>Fugitive</w:t>
      </w:r>
      <w:proofErr w:type="spellEnd"/>
      <w:r>
        <w:t xml:space="preserve"> ‘</w:t>
      </w:r>
      <w:proofErr w:type="spellStart"/>
      <w:r>
        <w:t>Cryptoqueen</w:t>
      </w:r>
      <w:proofErr w:type="spellEnd"/>
      <w:r>
        <w:t xml:space="preserve">’ </w:t>
      </w:r>
      <w:proofErr w:type="spellStart"/>
      <w:r>
        <w:t>Raised</w:t>
      </w:r>
      <w:proofErr w:type="spellEnd"/>
      <w:r>
        <w:t xml:space="preserve"> </w:t>
      </w:r>
      <w:proofErr w:type="spellStart"/>
      <w:r>
        <w:t>to</w:t>
      </w:r>
      <w:proofErr w:type="spellEnd"/>
      <w:r>
        <w:t xml:space="preserve"> $5m. 06 28, 2024 tarihinde BBC: https://www.bbc.com/news/articles/c9785924je3o adresinden alındı</w:t>
      </w:r>
    </w:p>
    <w:p w14:paraId="7B45A577" w14:textId="77777777" w:rsidR="006B3587" w:rsidRDefault="006B3587" w:rsidP="00B80551">
      <w:pPr>
        <w:jc w:val="both"/>
      </w:pPr>
      <w:r>
        <w:t>8.</w:t>
      </w:r>
      <w:r>
        <w:tab/>
        <w:t>Çetin, M. (2023). Sermaye Piyasası Hukuku Bakımından Kripto Varlıklar. İstanbul: On İki Levha Yayıncılık.</w:t>
      </w:r>
    </w:p>
    <w:p w14:paraId="39E9C888" w14:textId="77777777" w:rsidR="006B3587" w:rsidRDefault="006B3587" w:rsidP="00B80551">
      <w:pPr>
        <w:jc w:val="both"/>
      </w:pPr>
      <w:r>
        <w:t>9.</w:t>
      </w:r>
      <w:r>
        <w:tab/>
        <w:t>Demirtaş, A. A. (2022). Kripto Varlıkların Sermaye Piyasası Hukuku Açısından Değerlendirilmesi. Ankara: Seçkin Yayıncılık.</w:t>
      </w:r>
    </w:p>
    <w:p w14:paraId="58BEDE73" w14:textId="77777777" w:rsidR="006B3587" w:rsidRDefault="006B3587" w:rsidP="00B80551">
      <w:pPr>
        <w:jc w:val="both"/>
      </w:pPr>
      <w:r>
        <w:t>10.</w:t>
      </w:r>
      <w:r>
        <w:tab/>
      </w:r>
      <w:proofErr w:type="spellStart"/>
      <w:r>
        <w:t>Deschenaux</w:t>
      </w:r>
      <w:proofErr w:type="spellEnd"/>
      <w:r>
        <w:t xml:space="preserve">, H., &amp; </w:t>
      </w:r>
      <w:proofErr w:type="spellStart"/>
      <w:r>
        <w:t>Tercier</w:t>
      </w:r>
      <w:proofErr w:type="spellEnd"/>
      <w:r>
        <w:t>, P. (1983). Sorumluluk Hukuku. Ankara: Kadıoğlu Matbaası.</w:t>
      </w:r>
    </w:p>
    <w:p w14:paraId="2D68C1D6" w14:textId="77777777" w:rsidR="006B3587" w:rsidRDefault="006B3587" w:rsidP="00B80551">
      <w:pPr>
        <w:jc w:val="both"/>
      </w:pPr>
      <w:r>
        <w:t>11.</w:t>
      </w:r>
      <w:r>
        <w:tab/>
        <w:t xml:space="preserve">Dölek, N. (2024). 1 Milyar </w:t>
      </w:r>
      <w:proofErr w:type="gramStart"/>
      <w:r>
        <w:t>Dolarlık</w:t>
      </w:r>
      <w:proofErr w:type="gramEnd"/>
      <w:r>
        <w:t xml:space="preserve"> Kripto Vurgunu. TRT Haber: https://www.trthaber.com/haber/turkiye/1-milyar-dolarlik-kripto-vurgunu-862843.html adresinden alındı</w:t>
      </w:r>
    </w:p>
    <w:p w14:paraId="26E10357" w14:textId="77777777" w:rsidR="006B3587" w:rsidRDefault="006B3587" w:rsidP="00B80551">
      <w:pPr>
        <w:jc w:val="both"/>
      </w:pPr>
      <w:r>
        <w:t>12.</w:t>
      </w:r>
      <w:r>
        <w:tab/>
        <w:t xml:space="preserve">Eren, F. (2022). Borçlar Hukuku Genel </w:t>
      </w:r>
      <w:proofErr w:type="gramStart"/>
      <w:r>
        <w:t>Hükümler .</w:t>
      </w:r>
      <w:proofErr w:type="gramEnd"/>
      <w:r>
        <w:t xml:space="preserve"> Ankara: Yetkin </w:t>
      </w:r>
      <w:proofErr w:type="gramStart"/>
      <w:r>
        <w:t>Kitabevi .</w:t>
      </w:r>
      <w:proofErr w:type="gramEnd"/>
    </w:p>
    <w:p w14:paraId="2149D6DB" w14:textId="77777777" w:rsidR="006B3587" w:rsidRDefault="006B3587" w:rsidP="00B80551">
      <w:pPr>
        <w:jc w:val="both"/>
      </w:pPr>
      <w:r>
        <w:t>13.</w:t>
      </w:r>
      <w:r>
        <w:tab/>
        <w:t xml:space="preserve">FATF. (2024, 06 28). </w:t>
      </w:r>
      <w:proofErr w:type="spellStart"/>
      <w:r>
        <w:t>Outcomes</w:t>
      </w:r>
      <w:proofErr w:type="spellEnd"/>
      <w:r>
        <w:t xml:space="preserve"> FATF </w:t>
      </w:r>
      <w:proofErr w:type="spellStart"/>
      <w:r>
        <w:t>Plenary</w:t>
      </w:r>
      <w:proofErr w:type="spellEnd"/>
      <w:r>
        <w:t xml:space="preserve">, 26-28 </w:t>
      </w:r>
      <w:proofErr w:type="spellStart"/>
      <w:r>
        <w:t>June</w:t>
      </w:r>
      <w:proofErr w:type="spellEnd"/>
      <w:r>
        <w:t xml:space="preserve"> 2024. 06 28, 2024 tarihinde Financial Action </w:t>
      </w:r>
      <w:proofErr w:type="spellStart"/>
      <w:r>
        <w:t>Task</w:t>
      </w:r>
      <w:proofErr w:type="spellEnd"/>
      <w:r>
        <w:t xml:space="preserve"> Force: https://www.fatf-gafi.org/en/publications/Fatfgeneral/outcomes-fatf-plenary-june-2024.html adresinden alındı</w:t>
      </w:r>
    </w:p>
    <w:p w14:paraId="28C45684" w14:textId="77777777" w:rsidR="006B3587" w:rsidRDefault="006B3587" w:rsidP="00B80551">
      <w:pPr>
        <w:jc w:val="both"/>
      </w:pPr>
      <w:r>
        <w:t>14.</w:t>
      </w:r>
      <w:r>
        <w:tab/>
        <w:t>Gümüş, M. A. (2021). Borçlar Hukukunun Genel Hükümleri. Ankara: Yetkin Kitabevi.</w:t>
      </w:r>
    </w:p>
    <w:p w14:paraId="0F37E052" w14:textId="77777777" w:rsidR="006B3587" w:rsidRDefault="006B3587" w:rsidP="00B80551">
      <w:pPr>
        <w:jc w:val="both"/>
      </w:pPr>
      <w:r>
        <w:t>15.</w:t>
      </w:r>
      <w:r>
        <w:tab/>
      </w:r>
      <w:proofErr w:type="spellStart"/>
      <w:r>
        <w:t>Hrabčák</w:t>
      </w:r>
      <w:proofErr w:type="spellEnd"/>
      <w:r>
        <w:t xml:space="preserve">, L., &amp; </w:t>
      </w:r>
      <w:proofErr w:type="spellStart"/>
      <w:r>
        <w:t>Štrkolec</w:t>
      </w:r>
      <w:proofErr w:type="spellEnd"/>
      <w:r>
        <w:t xml:space="preserve">, M. (2024). EU </w:t>
      </w:r>
      <w:proofErr w:type="spellStart"/>
      <w:r>
        <w:t>Regulation</w:t>
      </w:r>
      <w:proofErr w:type="spellEnd"/>
      <w:r>
        <w:t xml:space="preserve"> of </w:t>
      </w:r>
      <w:proofErr w:type="spellStart"/>
      <w:r>
        <w:t>the</w:t>
      </w:r>
      <w:proofErr w:type="spellEnd"/>
      <w:r>
        <w:t xml:space="preserve"> </w:t>
      </w:r>
      <w:proofErr w:type="spellStart"/>
      <w:r>
        <w:t>Crypto-Assets</w:t>
      </w:r>
      <w:proofErr w:type="spellEnd"/>
      <w:r>
        <w:t xml:space="preserve"> Market. </w:t>
      </w:r>
      <w:proofErr w:type="spellStart"/>
      <w:r>
        <w:lastRenderedPageBreak/>
        <w:t>Bialystok</w:t>
      </w:r>
      <w:proofErr w:type="spellEnd"/>
      <w:r>
        <w:t xml:space="preserve"> Legal </w:t>
      </w:r>
      <w:proofErr w:type="spellStart"/>
      <w:r>
        <w:t>Studies</w:t>
      </w:r>
      <w:proofErr w:type="spellEnd"/>
      <w:r>
        <w:t>, 29(1), 27-45.</w:t>
      </w:r>
    </w:p>
    <w:p w14:paraId="6DA55F83" w14:textId="77777777" w:rsidR="006B3587" w:rsidRDefault="006B3587" w:rsidP="00B80551">
      <w:pPr>
        <w:jc w:val="both"/>
      </w:pPr>
      <w:r>
        <w:t>16.</w:t>
      </w:r>
      <w:r>
        <w:tab/>
      </w:r>
      <w:proofErr w:type="spellStart"/>
      <w:r>
        <w:t>Iersel</w:t>
      </w:r>
      <w:proofErr w:type="spellEnd"/>
      <w:r>
        <w:t xml:space="preserve">, D. V. (2022). </w:t>
      </w:r>
      <w:proofErr w:type="spellStart"/>
      <w:r>
        <w:t>Tethering</w:t>
      </w:r>
      <w:proofErr w:type="spellEnd"/>
      <w:r>
        <w:t xml:space="preserve"> </w:t>
      </w:r>
      <w:proofErr w:type="spellStart"/>
      <w:r>
        <w:t>the</w:t>
      </w:r>
      <w:proofErr w:type="spellEnd"/>
      <w:r>
        <w:t xml:space="preserve"> </w:t>
      </w:r>
      <w:proofErr w:type="spellStart"/>
      <w:r>
        <w:t>Crypto-Asset</w:t>
      </w:r>
      <w:proofErr w:type="spellEnd"/>
      <w:r>
        <w:t xml:space="preserve"> Market: </w:t>
      </w:r>
      <w:proofErr w:type="spellStart"/>
      <w:r>
        <w:t>The</w:t>
      </w:r>
      <w:proofErr w:type="spellEnd"/>
      <w:r>
        <w:t xml:space="preserve"> </w:t>
      </w:r>
      <w:proofErr w:type="spellStart"/>
      <w:r>
        <w:t>Regulation</w:t>
      </w:r>
      <w:proofErr w:type="spellEnd"/>
      <w:r>
        <w:t xml:space="preserve"> of </w:t>
      </w:r>
      <w:proofErr w:type="spellStart"/>
      <w:r>
        <w:t>Stablecoins</w:t>
      </w:r>
      <w:proofErr w:type="spellEnd"/>
      <w:r>
        <w:t xml:space="preserve"> </w:t>
      </w:r>
      <w:proofErr w:type="spellStart"/>
      <w:r>
        <w:t>In</w:t>
      </w:r>
      <w:proofErr w:type="spellEnd"/>
      <w:r>
        <w:t xml:space="preserve"> </w:t>
      </w:r>
      <w:proofErr w:type="spellStart"/>
      <w:r>
        <w:t>the</w:t>
      </w:r>
      <w:proofErr w:type="spellEnd"/>
      <w:r>
        <w:t xml:space="preserve"> </w:t>
      </w:r>
      <w:proofErr w:type="spellStart"/>
      <w:r>
        <w:t>European</w:t>
      </w:r>
      <w:proofErr w:type="spellEnd"/>
      <w:r>
        <w:t xml:space="preserve"> </w:t>
      </w:r>
      <w:proofErr w:type="spellStart"/>
      <w:r>
        <w:t>Union</w:t>
      </w:r>
      <w:proofErr w:type="spellEnd"/>
      <w:r>
        <w:t xml:space="preserve"> </w:t>
      </w:r>
      <w:proofErr w:type="spellStart"/>
      <w:r>
        <w:t>and</w:t>
      </w:r>
      <w:proofErr w:type="spellEnd"/>
      <w:r>
        <w:t xml:space="preserve"> United </w:t>
      </w:r>
      <w:proofErr w:type="spellStart"/>
      <w:r>
        <w:t>States</w:t>
      </w:r>
      <w:proofErr w:type="spellEnd"/>
      <w:r>
        <w:t xml:space="preserve">. Cambridge </w:t>
      </w:r>
      <w:proofErr w:type="spellStart"/>
      <w:r>
        <w:t>Law</w:t>
      </w:r>
      <w:proofErr w:type="spellEnd"/>
      <w:r>
        <w:t xml:space="preserve"> </w:t>
      </w:r>
      <w:proofErr w:type="spellStart"/>
      <w:r>
        <w:t>Review</w:t>
      </w:r>
      <w:proofErr w:type="spellEnd"/>
      <w:r>
        <w:t>, 7(1), 57-85.</w:t>
      </w:r>
    </w:p>
    <w:p w14:paraId="7C4E077E" w14:textId="77777777" w:rsidR="006B3587" w:rsidRDefault="006B3587" w:rsidP="00B80551">
      <w:pPr>
        <w:jc w:val="both"/>
      </w:pPr>
      <w:r>
        <w:t>17.</w:t>
      </w:r>
      <w:r>
        <w:tab/>
      </w:r>
      <w:proofErr w:type="spellStart"/>
      <w:r>
        <w:t>Ikwu</w:t>
      </w:r>
      <w:proofErr w:type="spellEnd"/>
      <w:r>
        <w:t xml:space="preserve">, R., </w:t>
      </w:r>
      <w:proofErr w:type="spellStart"/>
      <w:r>
        <w:t>Giommon</w:t>
      </w:r>
      <w:proofErr w:type="spellEnd"/>
      <w:r>
        <w:t xml:space="preserve">, L., </w:t>
      </w:r>
      <w:proofErr w:type="spellStart"/>
      <w:r>
        <w:t>Javed</w:t>
      </w:r>
      <w:proofErr w:type="spellEnd"/>
      <w:r>
        <w:t xml:space="preserve">, A., </w:t>
      </w:r>
      <w:proofErr w:type="spellStart"/>
      <w:r>
        <w:t>Burnap</w:t>
      </w:r>
      <w:proofErr w:type="spellEnd"/>
      <w:r>
        <w:t xml:space="preserve">, P., &amp; Williams, M. (2023). </w:t>
      </w:r>
      <w:proofErr w:type="spellStart"/>
      <w:r>
        <w:t>Digital</w:t>
      </w:r>
      <w:proofErr w:type="spellEnd"/>
      <w:r>
        <w:t xml:space="preserve"> </w:t>
      </w:r>
      <w:proofErr w:type="spellStart"/>
      <w:r>
        <w:t>Fingerprinting</w:t>
      </w:r>
      <w:proofErr w:type="spellEnd"/>
      <w:r>
        <w:t xml:space="preserve"> </w:t>
      </w:r>
      <w:proofErr w:type="spellStart"/>
      <w:r>
        <w:t>for</w:t>
      </w:r>
      <w:proofErr w:type="spellEnd"/>
      <w:r>
        <w:t xml:space="preserve"> </w:t>
      </w:r>
      <w:proofErr w:type="spellStart"/>
      <w:r>
        <w:t>Identifying</w:t>
      </w:r>
      <w:proofErr w:type="spellEnd"/>
      <w:r>
        <w:t xml:space="preserve"> </w:t>
      </w:r>
      <w:proofErr w:type="spellStart"/>
      <w:r>
        <w:t>Malicious</w:t>
      </w:r>
      <w:proofErr w:type="spellEnd"/>
      <w:r>
        <w:t xml:space="preserve">. </w:t>
      </w:r>
      <w:proofErr w:type="spellStart"/>
      <w:r>
        <w:t>Journal</w:t>
      </w:r>
      <w:proofErr w:type="spellEnd"/>
      <w:r>
        <w:t xml:space="preserve"> of </w:t>
      </w:r>
      <w:proofErr w:type="spellStart"/>
      <w:r>
        <w:t>Cybersecurity</w:t>
      </w:r>
      <w:proofErr w:type="spellEnd"/>
      <w:r>
        <w:t>, 9(1), 1-13.</w:t>
      </w:r>
    </w:p>
    <w:p w14:paraId="588263FC" w14:textId="77777777" w:rsidR="006B3587" w:rsidRDefault="006B3587" w:rsidP="00B80551">
      <w:pPr>
        <w:jc w:val="both"/>
      </w:pPr>
      <w:r>
        <w:t>18.</w:t>
      </w:r>
      <w:r>
        <w:tab/>
        <w:t>İmamoğlu, D. A. (2024). Kripto Para Birimleri ve Türk Hukukunda Düzenlenmesi. Ankara: Seçkin Yayıncılık.</w:t>
      </w:r>
    </w:p>
    <w:p w14:paraId="1D429417" w14:textId="77777777" w:rsidR="006B3587" w:rsidRDefault="006B3587" w:rsidP="00B80551">
      <w:pPr>
        <w:jc w:val="both"/>
      </w:pPr>
      <w:r>
        <w:t>19.</w:t>
      </w:r>
      <w:r>
        <w:tab/>
        <w:t xml:space="preserve">Işık, H. (2022). Mali Eylem Görev Gücü’nün (FATF) Gri Listesi ve Türkiye. International </w:t>
      </w:r>
      <w:proofErr w:type="spellStart"/>
      <w:r>
        <w:t>Journal</w:t>
      </w:r>
      <w:proofErr w:type="spellEnd"/>
      <w:r>
        <w:t xml:space="preserve"> of </w:t>
      </w:r>
      <w:proofErr w:type="spellStart"/>
      <w:r>
        <w:t>Public</w:t>
      </w:r>
      <w:proofErr w:type="spellEnd"/>
      <w:r>
        <w:t xml:space="preserve"> Finance, 7, 407-428.</w:t>
      </w:r>
    </w:p>
    <w:p w14:paraId="1E37EC28" w14:textId="77777777" w:rsidR="006B3587" w:rsidRDefault="006B3587" w:rsidP="00B80551">
      <w:pPr>
        <w:jc w:val="both"/>
      </w:pPr>
      <w:r>
        <w:t>20.</w:t>
      </w:r>
      <w:r>
        <w:tab/>
        <w:t>Kara, U. (2021). İnternet Bankacılığında Bankaların Özen Yükümlülüğü. İstanbul: İstanbul Medipol Üniversitesi.</w:t>
      </w:r>
    </w:p>
    <w:p w14:paraId="626B7E0A" w14:textId="77777777" w:rsidR="006B3587" w:rsidRDefault="006B3587" w:rsidP="00B80551">
      <w:pPr>
        <w:jc w:val="both"/>
      </w:pPr>
      <w:r>
        <w:t>21.</w:t>
      </w:r>
      <w:r>
        <w:tab/>
        <w:t>Karacan, A. İ., &amp; Karacan, E. E. (2021). Sermaye Piyasası Araçları. İstanbul: Legal Yayıncılık.</w:t>
      </w:r>
    </w:p>
    <w:p w14:paraId="50CF38B9" w14:textId="77777777" w:rsidR="006B3587" w:rsidRDefault="006B3587" w:rsidP="00B80551">
      <w:pPr>
        <w:jc w:val="both"/>
      </w:pPr>
      <w:r>
        <w:t>22.</w:t>
      </w:r>
      <w:r>
        <w:tab/>
        <w:t>Kılıçoğlu, A. (2021). Borçlar Hukuku Genel Hükümler. Ankara: Turhan Kitabevi.</w:t>
      </w:r>
    </w:p>
    <w:p w14:paraId="38BFEB0C" w14:textId="77777777" w:rsidR="006B3587" w:rsidRDefault="006B3587" w:rsidP="00B80551">
      <w:pPr>
        <w:jc w:val="both"/>
      </w:pPr>
      <w:r>
        <w:t>23.</w:t>
      </w:r>
      <w:r>
        <w:tab/>
        <w:t>Koca, M., &amp; Üzülmez, İ. (2023). Türk Ceza Hukuku Genel Hükümler. Ankara: Seçkin Yayıncılık.</w:t>
      </w:r>
    </w:p>
    <w:p w14:paraId="35A8FD08" w14:textId="77777777" w:rsidR="006B3587" w:rsidRDefault="006B3587" w:rsidP="00B80551">
      <w:pPr>
        <w:jc w:val="both"/>
      </w:pPr>
      <w:r>
        <w:t>24.</w:t>
      </w:r>
      <w:r>
        <w:tab/>
      </w:r>
      <w:proofErr w:type="spellStart"/>
      <w:r>
        <w:t>Kocasakal</w:t>
      </w:r>
      <w:proofErr w:type="spellEnd"/>
      <w:r>
        <w:t xml:space="preserve">, Ü. (2015). Anayasa Mahkemesi'nin Suçta Kanunilik İlkesi ile İlgili Bir Kararının İncelenmesi. Terazi Hukuk </w:t>
      </w:r>
      <w:proofErr w:type="spellStart"/>
      <w:r>
        <w:t>Degisi</w:t>
      </w:r>
      <w:proofErr w:type="spellEnd"/>
      <w:r>
        <w:t>, 10(108), 24-40.</w:t>
      </w:r>
    </w:p>
    <w:p w14:paraId="2EFFF54C" w14:textId="77777777" w:rsidR="006B3587" w:rsidRDefault="006B3587" w:rsidP="00B80551">
      <w:pPr>
        <w:jc w:val="both"/>
      </w:pPr>
      <w:r>
        <w:t>25.</w:t>
      </w:r>
      <w:r>
        <w:tab/>
        <w:t>Korkusuz, H. M. (2011). Tehlike Sorumluluğunun Hukukumuzdaki Yeri. Dicle Üniversitesi Hukuk Fakültesi Dergisi, 15-16(22-23-24-25), 89-99.</w:t>
      </w:r>
    </w:p>
    <w:p w14:paraId="2C7232D6" w14:textId="77777777" w:rsidR="006B3587" w:rsidRDefault="006B3587" w:rsidP="00B80551">
      <w:pPr>
        <w:jc w:val="both"/>
      </w:pPr>
      <w:r>
        <w:t>26.</w:t>
      </w:r>
      <w:r>
        <w:tab/>
        <w:t>Mali Suçları Araştırma Kurulu Başkanlığı. (2021). Kripto Varlık Hizmet Sağlayıcıları İçin Suç Gelirlerinin Aklanmasının ve Terörizmin Finansmanının Önlenmesine Dair Yükümlülüklere İlişkin Temel Esaslar.</w:t>
      </w:r>
    </w:p>
    <w:p w14:paraId="3415077F" w14:textId="77777777" w:rsidR="006B3587" w:rsidRDefault="006B3587" w:rsidP="00B80551">
      <w:pPr>
        <w:jc w:val="both"/>
      </w:pPr>
      <w:r>
        <w:t>27.</w:t>
      </w:r>
      <w:r>
        <w:tab/>
      </w:r>
      <w:proofErr w:type="spellStart"/>
      <w:r>
        <w:t>Matza</w:t>
      </w:r>
      <w:proofErr w:type="spellEnd"/>
      <w:r>
        <w:t xml:space="preserve">, M. (2024). US </w:t>
      </w:r>
      <w:proofErr w:type="spellStart"/>
      <w:r>
        <w:t>Brothers</w:t>
      </w:r>
      <w:proofErr w:type="spellEnd"/>
      <w:r>
        <w:t xml:space="preserve"> </w:t>
      </w:r>
      <w:proofErr w:type="spellStart"/>
      <w:r>
        <w:t>Arrested</w:t>
      </w:r>
      <w:proofErr w:type="spellEnd"/>
      <w:r>
        <w:t xml:space="preserve"> </w:t>
      </w:r>
      <w:proofErr w:type="spellStart"/>
      <w:r>
        <w:t>for</w:t>
      </w:r>
      <w:proofErr w:type="spellEnd"/>
      <w:r>
        <w:t xml:space="preserve"> </w:t>
      </w:r>
      <w:proofErr w:type="spellStart"/>
      <w:r>
        <w:t>Stealing</w:t>
      </w:r>
      <w:proofErr w:type="spellEnd"/>
      <w:r>
        <w:t xml:space="preserve"> $25m in </w:t>
      </w:r>
      <w:proofErr w:type="spellStart"/>
      <w:r>
        <w:t>crypto</w:t>
      </w:r>
      <w:proofErr w:type="spellEnd"/>
      <w:r>
        <w:t xml:space="preserve"> in </w:t>
      </w:r>
      <w:proofErr w:type="spellStart"/>
      <w:r>
        <w:t>Just</w:t>
      </w:r>
      <w:proofErr w:type="spellEnd"/>
      <w:r>
        <w:t xml:space="preserve"> 12 </w:t>
      </w:r>
      <w:proofErr w:type="spellStart"/>
      <w:r>
        <w:t>Seconds</w:t>
      </w:r>
      <w:proofErr w:type="spellEnd"/>
      <w:r>
        <w:t>. BBC: https://www.bbc.com/news/world-us-canada-69018575 adresinden alındı</w:t>
      </w:r>
    </w:p>
    <w:p w14:paraId="25CD5F1E" w14:textId="77777777" w:rsidR="006B3587" w:rsidRDefault="006B3587" w:rsidP="00B80551">
      <w:pPr>
        <w:jc w:val="both"/>
      </w:pPr>
      <w:r>
        <w:t>28.</w:t>
      </w:r>
      <w:r>
        <w:tab/>
        <w:t>Özdemir, G. (2021). Kripto Paraların Eşya Niteliği. Süleyman Demirel Üniversitesi Hukuk Fakültesi Dergisi, 11(1), 289-306.</w:t>
      </w:r>
    </w:p>
    <w:p w14:paraId="52C6BC6B" w14:textId="77777777" w:rsidR="006B3587" w:rsidRDefault="006B3587" w:rsidP="00B80551">
      <w:pPr>
        <w:jc w:val="both"/>
      </w:pPr>
      <w:r>
        <w:t>29.</w:t>
      </w:r>
      <w:r>
        <w:tab/>
        <w:t>Özgenç, İ. (2023). Türk Ceza Hukuku Genel Hükümler. Ankara: Seçkin Yayıncılık.</w:t>
      </w:r>
    </w:p>
    <w:p w14:paraId="2D372964" w14:textId="77777777" w:rsidR="006B3587" w:rsidRDefault="006B3587" w:rsidP="00B80551">
      <w:pPr>
        <w:jc w:val="both"/>
      </w:pPr>
      <w:r>
        <w:t>30.</w:t>
      </w:r>
      <w:r>
        <w:tab/>
        <w:t xml:space="preserve">Özpolat, H. (2018). Anayasa Mahkemesi'nin Bireysel Başvuru Kararlarında Maddi Anlamda Kanun Kriteri. Türkiye Adalet Akademisi </w:t>
      </w:r>
      <w:proofErr w:type="gramStart"/>
      <w:r>
        <w:t>Dergisi(</w:t>
      </w:r>
      <w:proofErr w:type="gramEnd"/>
      <w:r>
        <w:t>33), 609-622.</w:t>
      </w:r>
    </w:p>
    <w:p w14:paraId="383BB6F9" w14:textId="77777777" w:rsidR="006B3587" w:rsidRDefault="006B3587" w:rsidP="00B80551">
      <w:pPr>
        <w:jc w:val="both"/>
      </w:pPr>
      <w:r>
        <w:t>31.</w:t>
      </w:r>
      <w:r>
        <w:tab/>
        <w:t>Sarıhan, B. B. (2014). Türk Borçlar Kanunu'nda Genel Bir Kural Olarak Tehlike Sorumluluğu. Marmara Üniversitesi Hukuk Fakültesi Hukuk Araştırmaları Dergisi, 20(1), 1177-1196.</w:t>
      </w:r>
    </w:p>
    <w:p w14:paraId="65E73988" w14:textId="77777777" w:rsidR="006B3587" w:rsidRDefault="006B3587" w:rsidP="00B80551">
      <w:pPr>
        <w:jc w:val="both"/>
      </w:pPr>
      <w:r>
        <w:t>32.</w:t>
      </w:r>
      <w:r>
        <w:tab/>
        <w:t>Sermaye Piyasası Kurulu. (2024). Kripto Varlık Hizmet Sağlayıcılara İlişkin Duyuru. https://spk.gov.tr/duyurular/basin-duyurulari/2024/kripto-varlik-hizmet-saglayicilara-iliskin-duyuru adresinden alındı</w:t>
      </w:r>
    </w:p>
    <w:p w14:paraId="729716C1" w14:textId="77777777" w:rsidR="006B3587" w:rsidRDefault="006B3587" w:rsidP="00B80551">
      <w:pPr>
        <w:jc w:val="both"/>
      </w:pPr>
      <w:r>
        <w:t>33.</w:t>
      </w:r>
      <w:r>
        <w:tab/>
        <w:t>Şahin, M. E. (2022, 08 31). 356 Milyonluk THODEX Vurgunu: Faruk Fatih Özer Yakalandı. 06 20, 2024 tarihinde TRT Haber: https://www.trthaber.com/haber/gundem/356-milyonluk-thodex-vurgunu-faruk-fatih-ozer-yakalandi-705139.html adresinden alındı</w:t>
      </w:r>
    </w:p>
    <w:p w14:paraId="2950F016" w14:textId="77777777" w:rsidR="006B3587" w:rsidRDefault="006B3587" w:rsidP="00B80551">
      <w:pPr>
        <w:jc w:val="both"/>
      </w:pPr>
      <w:r>
        <w:t>34.</w:t>
      </w:r>
      <w:r>
        <w:tab/>
      </w:r>
      <w:proofErr w:type="spellStart"/>
      <w:r>
        <w:t>Turanboy</w:t>
      </w:r>
      <w:proofErr w:type="spellEnd"/>
      <w:r>
        <w:t>, A. (2019). Kripto Paraların Ortaya Çıkmaları ve Hukukî Nitelikleri. Banka ve Ticaret Hukuku Dergisi, 35(3), 47-62.</w:t>
      </w:r>
    </w:p>
    <w:p w14:paraId="21174D24" w14:textId="77777777" w:rsidR="006B3587" w:rsidRDefault="006B3587" w:rsidP="00B80551">
      <w:pPr>
        <w:jc w:val="both"/>
      </w:pPr>
      <w:r>
        <w:t>35.</w:t>
      </w:r>
      <w:r>
        <w:tab/>
        <w:t>Türkiye İstatistik Kurumu. (2024). Adrese Dayalı Nüfus Kayıt Sistemi Sonuçları, 2023. https://data.tuik.gov.tr/Bulten/Index?p=Adrese-Dayali-Nufus-Kayit-Sistemi-Sonuclari-2023-49684 adresinden alındı</w:t>
      </w:r>
    </w:p>
    <w:p w14:paraId="15F72D0E" w14:textId="77777777" w:rsidR="006B3587" w:rsidRDefault="006B3587" w:rsidP="00B80551">
      <w:pPr>
        <w:jc w:val="both"/>
      </w:pPr>
      <w:r>
        <w:t>36.</w:t>
      </w:r>
      <w:r>
        <w:tab/>
      </w:r>
      <w:proofErr w:type="spellStart"/>
      <w:r>
        <w:t>Ülkür</w:t>
      </w:r>
      <w:proofErr w:type="spellEnd"/>
      <w:r>
        <w:t xml:space="preserve">, B. (2023). Kripto Varlık İşlemlerinin Ödemeler Dengesi İstatistiklerine </w:t>
      </w:r>
      <w:proofErr w:type="spellStart"/>
      <w:r>
        <w:t>Yansıltılması</w:t>
      </w:r>
      <w:proofErr w:type="spellEnd"/>
      <w:r>
        <w:t>. İstanbul: Türkiye Cumhuriyet Merkez Bankası.</w:t>
      </w:r>
    </w:p>
    <w:p w14:paraId="468836CC" w14:textId="77777777" w:rsidR="006B3587" w:rsidRDefault="006B3587" w:rsidP="00B80551">
      <w:pPr>
        <w:jc w:val="both"/>
      </w:pPr>
      <w:r>
        <w:t>37.</w:t>
      </w:r>
      <w:r>
        <w:tab/>
        <w:t xml:space="preserve">Yılmaz, A. (2023). Türk Sermaye Piyasası Hukuku Açısından Kripto Para Birimi </w:t>
      </w:r>
      <w:r>
        <w:lastRenderedPageBreak/>
        <w:t>Bitcoin. Ankara: Seçkin Yayıncılık.</w:t>
      </w:r>
    </w:p>
    <w:p w14:paraId="72AAF93D" w14:textId="6B1C47FF" w:rsidR="006B3587" w:rsidRDefault="006B3587" w:rsidP="00B80551">
      <w:pPr>
        <w:jc w:val="both"/>
      </w:pPr>
      <w:r>
        <w:t>38.</w:t>
      </w:r>
      <w:r>
        <w:tab/>
      </w:r>
      <w:proofErr w:type="spellStart"/>
      <w:r>
        <w:t>Zarate</w:t>
      </w:r>
      <w:proofErr w:type="spellEnd"/>
      <w:r>
        <w:t xml:space="preserve">, J., &amp; Watson, S. (2022). </w:t>
      </w:r>
      <w:proofErr w:type="spellStart"/>
      <w:r>
        <w:t>The</w:t>
      </w:r>
      <w:proofErr w:type="spellEnd"/>
      <w:r>
        <w:t xml:space="preserve"> </w:t>
      </w:r>
      <w:proofErr w:type="spellStart"/>
      <w:r>
        <w:t>Lexicon</w:t>
      </w:r>
      <w:proofErr w:type="spellEnd"/>
      <w:r>
        <w:t xml:space="preserve"> of </w:t>
      </w:r>
      <w:proofErr w:type="spellStart"/>
      <w:r>
        <w:t>Terror</w:t>
      </w:r>
      <w:proofErr w:type="spellEnd"/>
      <w:r>
        <w:t xml:space="preserve">: </w:t>
      </w:r>
      <w:proofErr w:type="spellStart"/>
      <w:r>
        <w:t>Crystallization</w:t>
      </w:r>
      <w:proofErr w:type="spellEnd"/>
      <w:r>
        <w:t xml:space="preserve"> of </w:t>
      </w:r>
      <w:proofErr w:type="spellStart"/>
      <w:r>
        <w:t>the</w:t>
      </w:r>
      <w:proofErr w:type="spellEnd"/>
      <w:r>
        <w:t xml:space="preserve"> Definition of "</w:t>
      </w:r>
      <w:proofErr w:type="spellStart"/>
      <w:r>
        <w:t>Terrorism</w:t>
      </w:r>
      <w:proofErr w:type="spellEnd"/>
      <w:r>
        <w:t xml:space="preserve">" Through </w:t>
      </w:r>
      <w:proofErr w:type="spellStart"/>
      <w:r>
        <w:t>the</w:t>
      </w:r>
      <w:proofErr w:type="spellEnd"/>
      <w:r>
        <w:t xml:space="preserve"> Lens of </w:t>
      </w:r>
      <w:proofErr w:type="spellStart"/>
      <w:r>
        <w:t>Terrorist</w:t>
      </w:r>
      <w:proofErr w:type="spellEnd"/>
      <w:r>
        <w:t xml:space="preserve"> </w:t>
      </w:r>
      <w:proofErr w:type="spellStart"/>
      <w:r>
        <w:t>Financing</w:t>
      </w:r>
      <w:proofErr w:type="spellEnd"/>
      <w:r>
        <w:t xml:space="preserve"> &amp; </w:t>
      </w:r>
      <w:proofErr w:type="spellStart"/>
      <w:r>
        <w:t>The</w:t>
      </w:r>
      <w:proofErr w:type="spellEnd"/>
      <w:r>
        <w:t xml:space="preserve"> Final Action </w:t>
      </w:r>
      <w:proofErr w:type="spellStart"/>
      <w:r>
        <w:t>Task</w:t>
      </w:r>
      <w:proofErr w:type="spellEnd"/>
      <w:r>
        <w:t xml:space="preserve"> Force. Harvard </w:t>
      </w:r>
      <w:proofErr w:type="spellStart"/>
      <w:r>
        <w:t>National</w:t>
      </w:r>
      <w:proofErr w:type="spellEnd"/>
      <w:r>
        <w:t xml:space="preserve"> Security </w:t>
      </w:r>
      <w:proofErr w:type="spellStart"/>
      <w:r>
        <w:t>Journal</w:t>
      </w:r>
      <w:proofErr w:type="spellEnd"/>
      <w:r>
        <w:t>, 369-419. </w:t>
      </w:r>
    </w:p>
    <w:p w14:paraId="6B85B435" w14:textId="03F0F1C5" w:rsidR="00D47EF1" w:rsidRDefault="006B3587" w:rsidP="006B3587">
      <w:pPr>
        <w:autoSpaceDE/>
        <w:autoSpaceDN/>
      </w:pPr>
      <w:r>
        <w:br w:type="page"/>
      </w:r>
    </w:p>
    <w:p w14:paraId="498C782E" w14:textId="5649E291" w:rsidR="00FA457D" w:rsidRDefault="00FA457D" w:rsidP="00D47EF1">
      <w:pPr>
        <w:jc w:val="center"/>
        <w:rPr>
          <w:b/>
          <w:bCs/>
        </w:rPr>
      </w:pPr>
      <w:r w:rsidRPr="00D47EF1">
        <w:rPr>
          <w:b/>
          <w:bCs/>
        </w:rPr>
        <w:lastRenderedPageBreak/>
        <w:t>Ebeveyni Cezaevinde Olan ve SED Hizmetinden Yararlanan Çocuklarda Madde Bağımlılığı</w:t>
      </w:r>
    </w:p>
    <w:p w14:paraId="5EC6F443" w14:textId="77777777" w:rsidR="00D47EF1" w:rsidRPr="00D47EF1" w:rsidRDefault="00D47EF1" w:rsidP="00D47EF1">
      <w:pPr>
        <w:jc w:val="center"/>
        <w:rPr>
          <w:b/>
          <w:bCs/>
        </w:rPr>
      </w:pPr>
    </w:p>
    <w:p w14:paraId="2CEB65C3" w14:textId="77777777" w:rsidR="00FA457D" w:rsidRPr="00B1089D" w:rsidRDefault="00FA457D" w:rsidP="00FA457D">
      <w:pPr>
        <w:widowControl/>
        <w:jc w:val="center"/>
      </w:pPr>
      <w:r w:rsidRPr="00B1089D">
        <w:t>Seyit Ahmet BUDAK</w:t>
      </w:r>
      <w:r w:rsidRPr="00B1089D">
        <w:br/>
        <w:t>Sağlık Bilimleri Üniversitesi Gülhane Sağlık Bilimleri Enstitüsü, Sosyal Hizmet Bölümü Yüksek Lisans Öğlencisi</w:t>
      </w:r>
      <w:r w:rsidRPr="00B1089D">
        <w:br/>
      </w:r>
      <w:hyperlink r:id="rId398" w:history="1">
        <w:r w:rsidRPr="00B1089D">
          <w:rPr>
            <w:rStyle w:val="Kpr"/>
          </w:rPr>
          <w:t>seyitahmetbudak@gmail.com</w:t>
        </w:r>
      </w:hyperlink>
      <w:r w:rsidRPr="00B1089D">
        <w:t xml:space="preserve"> </w:t>
      </w:r>
      <w:r w:rsidRPr="00B1089D">
        <w:br/>
      </w:r>
      <w:proofErr w:type="spellStart"/>
      <w:r w:rsidRPr="00B1089D">
        <w:t>Orcid</w:t>
      </w:r>
      <w:proofErr w:type="spellEnd"/>
      <w:r w:rsidRPr="00B1089D">
        <w:t xml:space="preserve"> </w:t>
      </w:r>
      <w:proofErr w:type="gramStart"/>
      <w:r w:rsidRPr="00B1089D">
        <w:t>ID :</w:t>
      </w:r>
      <w:proofErr w:type="gramEnd"/>
      <w:r w:rsidRPr="00B1089D">
        <w:t xml:space="preserve"> 0009-0000-5514-1079</w:t>
      </w:r>
    </w:p>
    <w:p w14:paraId="5DABB6A4" w14:textId="77777777" w:rsidR="00FA457D" w:rsidRPr="00B1089D" w:rsidRDefault="00FA457D" w:rsidP="00FA457D">
      <w:pPr>
        <w:widowControl/>
        <w:jc w:val="center"/>
      </w:pPr>
    </w:p>
    <w:p w14:paraId="1F8A9263" w14:textId="77777777" w:rsidR="00FA457D" w:rsidRPr="00B1089D" w:rsidRDefault="00FA457D" w:rsidP="00FA457D">
      <w:pPr>
        <w:widowControl/>
        <w:jc w:val="center"/>
      </w:pPr>
      <w:r w:rsidRPr="00B1089D">
        <w:rPr>
          <w:b/>
          <w:bCs/>
        </w:rPr>
        <w:t>Özet</w:t>
      </w:r>
    </w:p>
    <w:p w14:paraId="221EAD85" w14:textId="5EA20C48" w:rsidR="00FA457D" w:rsidRPr="00B1089D" w:rsidRDefault="00FA457D" w:rsidP="00791DCE">
      <w:pPr>
        <w:widowControl/>
        <w:jc w:val="both"/>
      </w:pPr>
      <w:r w:rsidRPr="00B1089D">
        <w:t>Türkiye'de Aile ve Sosyal Hizmetler Bakanlığı tarafından yürütülen sosyal yardım programları kapsamında, ebeveyn kaybı yaşayan veya boşanma, cezaevi, hastalık gibi nedenlerle ebeveynlik rollerini yerine getirmekte zorluk çeken ailelerin çocuklarına yönelik </w:t>
      </w:r>
      <w:r w:rsidRPr="00B1089D">
        <w:rPr>
          <w:b/>
          <w:bCs/>
        </w:rPr>
        <w:t>Sosyal ve Ekonomik Destek (SED)</w:t>
      </w:r>
      <w:r w:rsidRPr="00B1089D">
        <w:t xml:space="preserve"> hizmeti sunulmaktadır. </w:t>
      </w:r>
      <w:proofErr w:type="spellStart"/>
      <w:r w:rsidRPr="00B1089D">
        <w:t>SED'in</w:t>
      </w:r>
      <w:proofErr w:type="spellEnd"/>
      <w:r w:rsidRPr="00B1089D">
        <w:t xml:space="preserve"> temel amacı, ekonomik yoksunluk nedeniyle çocukların kurum bakımına alınmasının önüne geçmek, bunun yerine ailelerinin yanında kalarak sağlıklı bir gelişim süreci içinde büyümelerini sağlamaktır. Bu doğrultuda, çocuklar düzenli olarak sosyal çalışma görevlileri tarafından psiko-sosyal destek mekanizmaları ile izlenmekte ve desteklenmektedir. SED hizmetinden yararlanan çocuklar, ebeveyn kaybı ya da ebeveynlerinden ayrı yaşama durumları nedeniyle dezavantajlı gruplar arasında yer almakta, bu da onların sosyal ve ekonomik yoksunluk yaşama risklerini artırmaktadır. Yapılan saha araştırmaları, ebeveynlerinden birinin cezaevinde olması nedeniyle bakım sorumluluğunun tek bir ebeveyne yüklenmesi durumunda, bu çocukların sosyal ve ekonomik işlevselliklerinin olumsuz etkilendiğini ortaya koymaktadır. Özellikle bu tür parçalanmış ailelerde yetişen çocukların madde bağımlılığı ve zararlı alışkanlıklar edinme riskinin daha yüksek olduğu gözlemlenmiştir. Madde bağımlılığı veya riskli davranışlar sergileyen çocukların bakımını üstlenen tek ebeveynlerin, bu tür bağımlılık sorunlarıyla baş etmede ciddi zorluklar yaşadığı bilinmektedir. Bu bağlamda, ebeveyni cezaevinde olan çocukların madde bağımlılığı ve zararlı alışkanlıklar edinme açısından daha yüksek risk taşıdığı ve bu alanda geliştirilen sosyal politika uygulamalarının etkinliğinin büyük bir önem taşıdığı söylenebilir. Dolayısıyla, ilgili sosyal destek mekanizmalarının güçlendirilmesi ve bu çocukların sosyal uyumlarını artırmaya yönelik kapsamlı müdahalelerin geliştirilmesi gerekmektedir.</w:t>
      </w:r>
    </w:p>
    <w:p w14:paraId="0DF37AB8" w14:textId="77777777" w:rsidR="00FA457D" w:rsidRPr="00B1089D" w:rsidRDefault="00FA457D" w:rsidP="00791DCE">
      <w:pPr>
        <w:widowControl/>
        <w:jc w:val="both"/>
      </w:pPr>
      <w:r w:rsidRPr="00B1089D">
        <w:rPr>
          <w:b/>
          <w:bCs/>
        </w:rPr>
        <w:t xml:space="preserve">Araştırma Sorusu: </w:t>
      </w:r>
      <w:r w:rsidRPr="00B1089D">
        <w:t>Ebeveyni cezaevinde olan ve Sosyal ve Ekonomik Destek (SED) programından yararlanan çocukların madde bağımlılığı ve riskli davranışlara yönelme eğilimleri nelerdir ve bu riskleri azaltmada mevcut sosyal destek mekanizmalarının etkinliği nasıl değerlendirilmektedir?</w:t>
      </w:r>
    </w:p>
    <w:p w14:paraId="50B7AF8C" w14:textId="602EFC6E" w:rsidR="00FA457D" w:rsidRPr="00B1089D" w:rsidRDefault="00FA457D" w:rsidP="00791DCE">
      <w:pPr>
        <w:widowControl/>
        <w:jc w:val="both"/>
      </w:pPr>
      <w:r w:rsidRPr="00B1089D">
        <w:rPr>
          <w:b/>
          <w:bCs/>
        </w:rPr>
        <w:t xml:space="preserve">Amaç ve Kapsam: </w:t>
      </w:r>
      <w:r w:rsidRPr="00B1089D">
        <w:t>Bu araştırma, Bingöl ilinde Sosyal ve Ekonomik Destek (SED) programından yararlanan ve ebeveynlerinden biri veya her ikisi cezaevinde bulunan 10 çocuğun madde bağımlılığı düzeylerini ve bağımlılık risk faktörlerini belirlemeyi amaçlamaktadır. Çalışma kapsamında, bu çocukların aileleriyle görüşmeler yapılarak çocukların bağımlılık eğilimleri, maruz kaldıkları psiko-sosyal riskler ve sosyal destek mekanizmalarına erişimleri analiz edilecektir. Elde edilen bulgular doğrultusunda, ebeveyni cezaevinde olan çocuklara yönelik daha etkili sosyal hizmet politikalarının geliştirilmesine katkı sunulması hedeflenmektedir.</w:t>
      </w:r>
    </w:p>
    <w:p w14:paraId="31D66B5F" w14:textId="0596E76C" w:rsidR="00FA457D" w:rsidRPr="00B1089D" w:rsidRDefault="00FA457D" w:rsidP="00791DCE">
      <w:pPr>
        <w:widowControl/>
        <w:jc w:val="both"/>
      </w:pPr>
      <w:r w:rsidRPr="00B1089D">
        <w:rPr>
          <w:b/>
          <w:bCs/>
        </w:rPr>
        <w:t xml:space="preserve">Yöntem: </w:t>
      </w:r>
      <w:r w:rsidRPr="00B1089D">
        <w:t xml:space="preserve">Nitel yöntem ile tasarlanan çalışmanın örneklemi Bingöl ilinde Sosyal ve Ekonomik Destek alan ebeveyni cezaevinde olan 15-17 yaş aralığında olan 10 çocuk ve çocukların ailesi olarak belirlenmiştir. Araştırma kapsamında örneklem grubuyla derinlemesine görüşmeler </w:t>
      </w:r>
      <w:r w:rsidRPr="00B1089D">
        <w:lastRenderedPageBreak/>
        <w:t>gerçekleştirilmiştir.</w:t>
      </w:r>
      <w:r w:rsidRPr="00B1089D">
        <w:rPr>
          <w:b/>
          <w:bCs/>
        </w:rPr>
        <w:t xml:space="preserve"> </w:t>
      </w:r>
      <w:r w:rsidRPr="00B1089D">
        <w:t>Araştırmacılar tarafından oluşturtulmuş yarı yapılandırmış formlarla görüşme formu kullanılmış ve görüşmeler yüz yüze yapılmıştır.</w:t>
      </w:r>
      <w:r w:rsidRPr="00B1089D">
        <w:rPr>
          <w:b/>
          <w:bCs/>
        </w:rPr>
        <w:t xml:space="preserve"> </w:t>
      </w:r>
      <w:r w:rsidRPr="00B1089D">
        <w:t>Görüşmelerde elde edilen veriler, MAXQDA programı aracılığıyla analiz edilmiştir.</w:t>
      </w:r>
    </w:p>
    <w:p w14:paraId="09E1E95E" w14:textId="77777777" w:rsidR="00FA457D" w:rsidRPr="00B1089D" w:rsidRDefault="00FA457D" w:rsidP="00791DCE">
      <w:pPr>
        <w:widowControl/>
        <w:jc w:val="both"/>
      </w:pPr>
    </w:p>
    <w:p w14:paraId="3AC2640F" w14:textId="77777777" w:rsidR="00FA457D" w:rsidRPr="00D10870" w:rsidRDefault="00FA457D" w:rsidP="00791DCE">
      <w:pPr>
        <w:widowControl/>
        <w:jc w:val="both"/>
      </w:pPr>
      <w:r w:rsidRPr="00B1089D">
        <w:rPr>
          <w:b/>
          <w:bCs/>
        </w:rPr>
        <w:t xml:space="preserve">Bulgular: </w:t>
      </w:r>
      <w:r w:rsidRPr="00B1089D">
        <w:t>Bu araştırma, ebeveynlerinden biri veya her ikisi cezaevinde bulunan çocukların erken yaşta madde bağımlılığı ve riskli alışkanlıklara yönelme eğilimlerinin yüksek olduğunu ortaya koymuştur. Özellikle anneler, çocuklarını kontrol etme ve bağımlılıkla baş etme konusunda zorlanmakta, bu süreçte çaresizlik hissi yaşamaktadır. Araştırma, sosyal hizmetlerin ekonomik</w:t>
      </w:r>
      <w:r w:rsidRPr="00B1089D">
        <w:rPr>
          <w:b/>
          <w:bCs/>
        </w:rPr>
        <w:t xml:space="preserve"> </w:t>
      </w:r>
      <w:r w:rsidRPr="00B1089D">
        <w:t>yardımlarla sınırlı kaldığını ve sosyal destek mekanizmalarının yetersiz olduğunu</w:t>
      </w:r>
      <w:r w:rsidRPr="00B1089D">
        <w:rPr>
          <w:b/>
          <w:bCs/>
        </w:rPr>
        <w:t> </w:t>
      </w:r>
      <w:r w:rsidRPr="00B1089D">
        <w:t>göstermektedir</w:t>
      </w:r>
      <w:r w:rsidRPr="00B1089D">
        <w:rPr>
          <w:b/>
          <w:bCs/>
        </w:rPr>
        <w:t>. </w:t>
      </w:r>
      <w:r w:rsidRPr="00B1089D">
        <w:t>Sosyal ve Ekonomik Destek (SED) programı, ailelerin sosyal ve ekonomik işlevselliğini kısmen artırsa da bağımlılıkla mücadelede yeterli etkiyi sağlayamamaktadır. Ayrıca, ailelerin bağımlılıkla ilgili sağlık ve rehabilitasyon hizmetlerine erişimi konusunda bilgi eksikliği yaşadığı tespit edilmiştir. Sonuç olarak, ebeveyni cezaevinde olan çocuklar için daha kapsamlı sosyal destek sistemlerinin geliştirilmesi gerekmektedir. Özellikle psikososyal destek mekanizmalarının güçlendirilmesi, ailelerin bağımlılıkla baş etme kapasitelerinin artırılması ve çocukların risklerden korunmasına yönelik önleyici sosyal hizmet politikalarının uygulanması kritik bir ihtiyaç olarak öne çıkmaktadır.</w:t>
      </w:r>
    </w:p>
    <w:p w14:paraId="4E857408" w14:textId="77777777" w:rsidR="00FA457D" w:rsidRPr="00B1089D" w:rsidRDefault="00FA457D" w:rsidP="00791DCE">
      <w:pPr>
        <w:widowControl/>
        <w:jc w:val="both"/>
      </w:pPr>
    </w:p>
    <w:p w14:paraId="70C135EA" w14:textId="1175C509" w:rsidR="00D47EF1" w:rsidRDefault="00FA457D" w:rsidP="00791DCE">
      <w:pPr>
        <w:widowControl/>
        <w:jc w:val="both"/>
      </w:pPr>
      <w:r w:rsidRPr="00B1089D">
        <w:rPr>
          <w:b/>
          <w:bCs/>
        </w:rPr>
        <w:t xml:space="preserve">Anahtar Kelimeler: </w:t>
      </w:r>
      <w:r w:rsidRPr="00B1089D">
        <w:t>Tek Ebeveynli çocuklar, ebeveyni cezaevinde olan çocuklar, çocuk madde bağımlılığı</w:t>
      </w:r>
    </w:p>
    <w:p w14:paraId="50FC605E" w14:textId="2A19815C" w:rsidR="00FA457D" w:rsidRPr="00B1089D" w:rsidRDefault="00D47EF1" w:rsidP="00D47EF1">
      <w:pPr>
        <w:autoSpaceDE/>
        <w:autoSpaceDN/>
      </w:pPr>
      <w:r>
        <w:br w:type="page"/>
      </w:r>
    </w:p>
    <w:p w14:paraId="7D09E530" w14:textId="2C6C432E" w:rsidR="00FA457D" w:rsidRPr="00B0752B" w:rsidRDefault="008A662B" w:rsidP="004C7694">
      <w:pPr>
        <w:pStyle w:val="Tark"/>
      </w:pPr>
      <w:bookmarkStart w:id="276" w:name="_Toc192855290"/>
      <w:r w:rsidRPr="00B0752B">
        <w:lastRenderedPageBreak/>
        <w:t xml:space="preserve">John Stuart </w:t>
      </w:r>
      <w:proofErr w:type="spellStart"/>
      <w:r w:rsidRPr="00B0752B">
        <w:t>Mill’in</w:t>
      </w:r>
      <w:proofErr w:type="spellEnd"/>
      <w:r w:rsidRPr="00B0752B">
        <w:t xml:space="preserve"> Felsefesinde Birey </w:t>
      </w:r>
      <w:proofErr w:type="gramStart"/>
      <w:r w:rsidRPr="00B0752B">
        <w:t>Ve</w:t>
      </w:r>
      <w:proofErr w:type="gramEnd"/>
      <w:r w:rsidRPr="00B0752B">
        <w:t xml:space="preserve"> Toplum </w:t>
      </w:r>
      <w:proofErr w:type="spellStart"/>
      <w:r w:rsidRPr="00B0752B">
        <w:t>İlşkisi</w:t>
      </w:r>
      <w:proofErr w:type="spellEnd"/>
      <w:r w:rsidRPr="00B0752B">
        <w:t xml:space="preserve"> Bağlamında İlerleme Düşüncesi</w:t>
      </w:r>
      <w:bookmarkEnd w:id="276"/>
    </w:p>
    <w:p w14:paraId="7FAA69FB" w14:textId="77777777" w:rsidR="00FA457D" w:rsidRPr="00B0752B" w:rsidRDefault="00FA457D" w:rsidP="00FA457D">
      <w:pPr>
        <w:jc w:val="center"/>
      </w:pPr>
      <w:r w:rsidRPr="00B0752B">
        <w:t xml:space="preserve">Doktora Öğrencisi, Can </w:t>
      </w:r>
      <w:proofErr w:type="spellStart"/>
      <w:r w:rsidRPr="00B0752B">
        <w:t>Birvar</w:t>
      </w:r>
      <w:proofErr w:type="spellEnd"/>
      <w:r w:rsidRPr="00B0752B">
        <w:t xml:space="preserve">, </w:t>
      </w:r>
      <w:proofErr w:type="spellStart"/>
      <w:r w:rsidRPr="00B0752B">
        <w:t>Ondokuz</w:t>
      </w:r>
      <w:proofErr w:type="spellEnd"/>
      <w:r w:rsidRPr="00B0752B">
        <w:t xml:space="preserve"> Mayıs Üniversitesi, Felsefe</w:t>
      </w:r>
    </w:p>
    <w:p w14:paraId="47B0B2A7" w14:textId="0938DD73" w:rsidR="00FA457D" w:rsidRPr="00B0752B" w:rsidRDefault="00FA457D" w:rsidP="00FA457D">
      <w:pPr>
        <w:jc w:val="center"/>
      </w:pPr>
      <w:hyperlink r:id="rId399" w:history="1">
        <w:r w:rsidRPr="00B0752B">
          <w:rPr>
            <w:rStyle w:val="Kpr"/>
            <w:rFonts w:eastAsiaTheme="majorEastAsia"/>
          </w:rPr>
          <w:t>can653@gmail.com</w:t>
        </w:r>
      </w:hyperlink>
    </w:p>
    <w:p w14:paraId="60C27CDE" w14:textId="77777777" w:rsidR="00FA457D" w:rsidRPr="00B0752B" w:rsidRDefault="00FA457D" w:rsidP="00FA457D">
      <w:pPr>
        <w:jc w:val="center"/>
      </w:pPr>
      <w:r w:rsidRPr="00B0752B">
        <w:t>0000-0001-7898-3789</w:t>
      </w:r>
    </w:p>
    <w:p w14:paraId="203D4670" w14:textId="77777777" w:rsidR="00FA457D" w:rsidRPr="00B0752B" w:rsidRDefault="00FA457D" w:rsidP="00FA457D">
      <w:pPr>
        <w:jc w:val="center"/>
      </w:pPr>
    </w:p>
    <w:p w14:paraId="69C3FED7" w14:textId="77777777" w:rsidR="00FA457D" w:rsidRPr="00B0752B" w:rsidRDefault="00FA457D" w:rsidP="008003D6">
      <w:pPr>
        <w:jc w:val="center"/>
        <w:rPr>
          <w:b/>
          <w:bCs/>
        </w:rPr>
      </w:pPr>
      <w:r w:rsidRPr="00B0752B">
        <w:rPr>
          <w:b/>
          <w:bCs/>
        </w:rPr>
        <w:t>Özet</w:t>
      </w:r>
    </w:p>
    <w:p w14:paraId="1F147B3D" w14:textId="77777777" w:rsidR="00FA457D" w:rsidRPr="00B0752B" w:rsidRDefault="00FA457D" w:rsidP="008003D6">
      <w:pPr>
        <w:jc w:val="both"/>
      </w:pPr>
      <w:r w:rsidRPr="00B0752B">
        <w:t xml:space="preserve">Bu çalışmada, John Stuart </w:t>
      </w:r>
      <w:proofErr w:type="spellStart"/>
      <w:r w:rsidRPr="00B0752B">
        <w:t>Mill’in</w:t>
      </w:r>
      <w:proofErr w:type="spellEnd"/>
      <w:r w:rsidRPr="00B0752B">
        <w:t xml:space="preserve"> birey ve toplum ilişkisine dair düşüncelerini, onun eserlerinden yola çıkarak incelenmiştir. Onun </w:t>
      </w:r>
      <w:r w:rsidRPr="00B0752B">
        <w:rPr>
          <w:i/>
          <w:iCs/>
        </w:rPr>
        <w:t>Özgürlük Üstüne</w:t>
      </w:r>
      <w:r w:rsidRPr="00B0752B">
        <w:t xml:space="preserve">, </w:t>
      </w:r>
      <w:r w:rsidRPr="00B0752B">
        <w:rPr>
          <w:i/>
          <w:iCs/>
        </w:rPr>
        <w:t>Faydacılık</w:t>
      </w:r>
      <w:r w:rsidRPr="00B0752B">
        <w:t xml:space="preserve"> ve </w:t>
      </w:r>
      <w:r w:rsidRPr="00B0752B">
        <w:rPr>
          <w:i/>
          <w:iCs/>
        </w:rPr>
        <w:t xml:space="preserve">Demokratik Yönetim Üzerine Düşünceler </w:t>
      </w:r>
      <w:r w:rsidRPr="00B0752B">
        <w:t xml:space="preserve">adlı eserleri referans alınmıştır. Bu eserlerindeki görüşler analiz edilmiş ve onun felsefesi anlaşılmaya çalışılmıştır. Çalışmanın temel araştırma sorusu, birey ve toplum arasındaki ilişkinin ne olduğu ve bu ilişkiyi demokrasi, eğitim ve bireysel özgürlüklerin nasıl etkilediğidir. Çalışma bu araştırma sorusu kapsamında yapılmış ve çalışmada farklı yorumlara yer verilmemiştir. Bunun yerine çalışmanın özgünlüğü, </w:t>
      </w:r>
      <w:proofErr w:type="spellStart"/>
      <w:r w:rsidRPr="00B0752B">
        <w:t>Mill’in</w:t>
      </w:r>
      <w:proofErr w:type="spellEnd"/>
      <w:r w:rsidRPr="00B0752B">
        <w:t xml:space="preserve"> felsefesinde arka planda kalmış düşünceleri ortaya çıkarılarak sağlanmıştır. Örneğin, bu çalışmada </w:t>
      </w:r>
      <w:proofErr w:type="spellStart"/>
      <w:r w:rsidRPr="00B0752B">
        <w:t>Mill’in</w:t>
      </w:r>
      <w:proofErr w:type="spellEnd"/>
      <w:r w:rsidRPr="00B0752B">
        <w:t xml:space="preserve"> toplumda orijinallik peşinde koşan bireylerin toplumsal ilerlemeyi sağladığına dair görüşü veya </w:t>
      </w:r>
      <w:proofErr w:type="spellStart"/>
      <w:r w:rsidRPr="00B0752B">
        <w:t>Mill’in</w:t>
      </w:r>
      <w:proofErr w:type="spellEnd"/>
      <w:r w:rsidRPr="00B0752B">
        <w:t xml:space="preserve"> sadece eğitimli insanların oy kullanmasını istemesi gibi ön plana çıkartılmıştır. </w:t>
      </w:r>
      <w:proofErr w:type="spellStart"/>
      <w:r w:rsidRPr="00B0752B">
        <w:t>Mill</w:t>
      </w:r>
      <w:proofErr w:type="spellEnd"/>
      <w:r w:rsidRPr="00B0752B">
        <w:t xml:space="preserve">, bireysel özgürlüğün önemli savunucularından biridir. Ona göre toplum, bireyleri farklılıklarından dolayı ötekileştirmemelidir. Çünkü bireylerin gelişimi ile toplumun gelişimi paraleldir. Yani bireyselliğin olmadığı bir toplumun gelişmesi mümkün değildir. Bundan dolayı toplum bireylerin gelişmesi için uygun bir ortam hazırlamalıdır. Ancak bireylerin sınırsız bir özgürlüğü de söz konusu olamaz. Dolayısıyla başkalarının hak ve özgürlüklerine müdahalede bulunan tüm bireyler toplum veya yönetim tarafından cezalandırılabilir. Aksi takdirde toplumsal ilerleme ve bireysel özgürlüğün sağlanması sekteye uğrayabilir. Bu anlamda </w:t>
      </w:r>
      <w:proofErr w:type="spellStart"/>
      <w:r w:rsidRPr="00B0752B">
        <w:t>Mill</w:t>
      </w:r>
      <w:proofErr w:type="spellEnd"/>
      <w:r w:rsidRPr="00B0752B">
        <w:t>, en iyi yönetim biçiminin demokrasi olduğunu düşünür. Çünkü bireysel özgürlükler demokrasi aracılığıyla korunabilir. Bu yüzden onun birey temelli özgürlük savunusunda demokrasinin de önemli bir yeri vardır. Bu çalışmanın amacı birey ve toplum arasındaki ilişkiyi ele almak, bireyin demokrasideki rolünü incelemek ve tüm bunlar ışığında toplumsal ilerlemenin nasıl mümkün olacağını göstermektir.</w:t>
      </w:r>
    </w:p>
    <w:p w14:paraId="6FC893AC" w14:textId="77777777" w:rsidR="00FA457D" w:rsidRPr="00B0752B" w:rsidRDefault="00FA457D" w:rsidP="00FA457D">
      <w:pPr>
        <w:spacing w:before="120" w:after="120" w:line="360" w:lineRule="auto"/>
        <w:jc w:val="both"/>
      </w:pPr>
      <w:r w:rsidRPr="00B0752B">
        <w:rPr>
          <w:b/>
          <w:bCs/>
        </w:rPr>
        <w:t>Anahtar Kelimeler:</w:t>
      </w:r>
      <w:r w:rsidRPr="00B0752B">
        <w:t xml:space="preserve"> Birey, özgürlük, demokrasi, toplum.</w:t>
      </w:r>
    </w:p>
    <w:p w14:paraId="7CD61661" w14:textId="77777777" w:rsidR="00FA457D" w:rsidRPr="00B0752B" w:rsidRDefault="00FA457D" w:rsidP="008003D6">
      <w:pPr>
        <w:rPr>
          <w:b/>
          <w:bCs/>
        </w:rPr>
      </w:pPr>
      <w:r w:rsidRPr="00B0752B">
        <w:rPr>
          <w:b/>
          <w:bCs/>
        </w:rPr>
        <w:t>Giriş</w:t>
      </w:r>
    </w:p>
    <w:p w14:paraId="3C2592D5" w14:textId="77777777" w:rsidR="00FA457D" w:rsidRPr="00B0752B" w:rsidRDefault="00FA457D" w:rsidP="008003D6">
      <w:pPr>
        <w:jc w:val="both"/>
      </w:pPr>
      <w:r w:rsidRPr="00B0752B">
        <w:t xml:space="preserve">John Stuart </w:t>
      </w:r>
      <w:proofErr w:type="spellStart"/>
      <w:r w:rsidRPr="00B0752B">
        <w:t>Mill</w:t>
      </w:r>
      <w:proofErr w:type="spellEnd"/>
      <w:r w:rsidRPr="00B0752B">
        <w:t xml:space="preserve">, 1806 yılında </w:t>
      </w:r>
      <w:r w:rsidRPr="00B0752B">
        <w:rPr>
          <w:i/>
          <w:iCs/>
        </w:rPr>
        <w:t xml:space="preserve">İngiliz </w:t>
      </w:r>
      <w:proofErr w:type="spellStart"/>
      <w:r w:rsidRPr="00B0752B">
        <w:rPr>
          <w:i/>
          <w:iCs/>
        </w:rPr>
        <w:t>Hindistanı’nın</w:t>
      </w:r>
      <w:proofErr w:type="spellEnd"/>
      <w:r w:rsidRPr="00B0752B">
        <w:rPr>
          <w:i/>
          <w:iCs/>
        </w:rPr>
        <w:t xml:space="preserve"> Tarihi</w:t>
      </w:r>
      <w:r w:rsidRPr="00B0752B">
        <w:t xml:space="preserve"> adlı eserin yazarı olan ünlü entelektüel James </w:t>
      </w:r>
      <w:proofErr w:type="spellStart"/>
      <w:r w:rsidRPr="00B0752B">
        <w:t>Mill’in</w:t>
      </w:r>
      <w:proofErr w:type="spellEnd"/>
      <w:r w:rsidRPr="00B0752B">
        <w:t xml:space="preserve"> oğlu olarak Londra da dünyaya gelmiştir. (</w:t>
      </w:r>
      <w:proofErr w:type="spellStart"/>
      <w:r w:rsidRPr="00B0752B">
        <w:t>Mill</w:t>
      </w:r>
      <w:proofErr w:type="spellEnd"/>
      <w:r w:rsidRPr="00B0752B">
        <w:t xml:space="preserve">, 2021, s. 2) James </w:t>
      </w:r>
      <w:proofErr w:type="spellStart"/>
      <w:r w:rsidRPr="00B0752B">
        <w:t>Mill</w:t>
      </w:r>
      <w:proofErr w:type="spellEnd"/>
      <w:r w:rsidRPr="00B0752B">
        <w:t xml:space="preserve">, Jeremy Bentham’ın faydacılık öğretisinin önemli bir savunucusu olmuştur. Dolayısıyla oğlu John Stuart </w:t>
      </w:r>
      <w:proofErr w:type="spellStart"/>
      <w:r w:rsidRPr="00B0752B">
        <w:t>Mill’e</w:t>
      </w:r>
      <w:proofErr w:type="spellEnd"/>
      <w:r w:rsidRPr="00B0752B">
        <w:t xml:space="preserve"> de bu öğretiyi aşılamıştır. John Stuart </w:t>
      </w:r>
      <w:proofErr w:type="spellStart"/>
      <w:r w:rsidRPr="00B0752B">
        <w:t>Mill</w:t>
      </w:r>
      <w:proofErr w:type="spellEnd"/>
      <w:r w:rsidRPr="00B0752B">
        <w:t xml:space="preserve"> de </w:t>
      </w:r>
      <w:proofErr w:type="spellStart"/>
      <w:r w:rsidRPr="00B0752B">
        <w:t>Benthamcı</w:t>
      </w:r>
      <w:proofErr w:type="spellEnd"/>
      <w:r w:rsidRPr="00B0752B">
        <w:t xml:space="preserve"> öğretinin biraz yumuşatılmış halini ölene kadar sürdürmüştür (Russel, 2017, </w:t>
      </w:r>
      <w:proofErr w:type="spellStart"/>
      <w:r w:rsidRPr="00B0752B">
        <w:t>ss</w:t>
      </w:r>
      <w:proofErr w:type="spellEnd"/>
      <w:r w:rsidRPr="00B0752B">
        <w:t xml:space="preserve">. 495-496).  John Stuart </w:t>
      </w:r>
      <w:proofErr w:type="spellStart"/>
      <w:r w:rsidRPr="00B0752B">
        <w:t>Mill’in</w:t>
      </w:r>
      <w:proofErr w:type="spellEnd"/>
      <w:r w:rsidRPr="00B0752B">
        <w:t xml:space="preserve">, otobiyografisinde anlattığına göre kendisi üç yaşında Yunanca öğrenmiş, yine erken yaşlarda David </w:t>
      </w:r>
      <w:proofErr w:type="spellStart"/>
      <w:r w:rsidRPr="00B0752B">
        <w:t>Hume</w:t>
      </w:r>
      <w:proofErr w:type="spellEnd"/>
      <w:r w:rsidRPr="00B0752B">
        <w:t xml:space="preserve">, </w:t>
      </w:r>
      <w:proofErr w:type="spellStart"/>
      <w:r w:rsidRPr="00B0752B">
        <w:t>Plutarkhos</w:t>
      </w:r>
      <w:proofErr w:type="spellEnd"/>
      <w:r w:rsidRPr="00B0752B">
        <w:t xml:space="preserve"> gibi düşünür ve tarihçilerin kitaplarını okumuştur. Yine </w:t>
      </w:r>
      <w:proofErr w:type="spellStart"/>
      <w:r w:rsidRPr="00B0752B">
        <w:t>Mill’in</w:t>
      </w:r>
      <w:proofErr w:type="spellEnd"/>
      <w:r w:rsidRPr="00B0752B">
        <w:t xml:space="preserve"> aktardığına göre on iki yaşından itibaren mantık eğitimi almaya başlamış, Aristoteles’in tüm mantık kitaplarını bitirmiştir (</w:t>
      </w:r>
      <w:proofErr w:type="spellStart"/>
      <w:r w:rsidRPr="00B0752B">
        <w:t>Mill</w:t>
      </w:r>
      <w:proofErr w:type="spellEnd"/>
      <w:r w:rsidRPr="00B0752B">
        <w:t xml:space="preserve">, 2021, </w:t>
      </w:r>
      <w:proofErr w:type="spellStart"/>
      <w:r w:rsidRPr="00B0752B">
        <w:t>ss</w:t>
      </w:r>
      <w:proofErr w:type="spellEnd"/>
      <w:r w:rsidRPr="00B0752B">
        <w:t>. 4-168).</w:t>
      </w:r>
    </w:p>
    <w:p w14:paraId="087EB825" w14:textId="77777777" w:rsidR="00FA457D" w:rsidRPr="00B0752B" w:rsidRDefault="00FA457D" w:rsidP="00FA457D">
      <w:pPr>
        <w:spacing w:before="120" w:after="120"/>
        <w:jc w:val="both"/>
      </w:pPr>
      <w:r w:rsidRPr="00B0752B">
        <w:t xml:space="preserve">19. yüzyılın önemli düşünürlerinden olan </w:t>
      </w:r>
      <w:proofErr w:type="spellStart"/>
      <w:r w:rsidRPr="00B0752B">
        <w:t>Mill</w:t>
      </w:r>
      <w:proofErr w:type="spellEnd"/>
      <w:r w:rsidRPr="00B0752B">
        <w:t xml:space="preserve">, siyaset felsefesi, etik, iktisat, mantık, epistemoloji, eğitim ve tarih gibi birçok alanda çalışıp, eserler vermiştir. O, bu şekilde çağdaşı olan ve kendisinden sonra yaşamış birçok ismi etkilemiştir. Onun felsefesinin ana etmenleri ise özgürlük üzerine söyledikleri ve </w:t>
      </w:r>
      <w:proofErr w:type="spellStart"/>
      <w:r w:rsidRPr="00B0752B">
        <w:t>utilitarist</w:t>
      </w:r>
      <w:proofErr w:type="spellEnd"/>
      <w:r w:rsidRPr="00B0752B">
        <w:t xml:space="preserve"> felsefe olmuştur. (Tüzen, 2014, s. 40) Özgürlük ve </w:t>
      </w:r>
      <w:proofErr w:type="spellStart"/>
      <w:r w:rsidRPr="00B0752B">
        <w:t>utilitarizm</w:t>
      </w:r>
      <w:proofErr w:type="spellEnd"/>
      <w:r w:rsidRPr="00B0752B">
        <w:t xml:space="preserve"> üzerine düşünceleriyle liberal düşüncenin gelişimine katkıda bulunmuştur. O, </w:t>
      </w:r>
      <w:r w:rsidRPr="00B0752B">
        <w:lastRenderedPageBreak/>
        <w:t xml:space="preserve">yaşanan </w:t>
      </w:r>
      <w:proofErr w:type="spellStart"/>
      <w:r w:rsidRPr="00B0752B">
        <w:t>sosyo</w:t>
      </w:r>
      <w:proofErr w:type="spellEnd"/>
      <w:r w:rsidRPr="00B0752B">
        <w:t xml:space="preserve">-ekonomik sorunların çözümü adına oldukça kafa yormuştur. Bu anlamda sosyalist düşünürlerin eleştirel düşüncelerinin etkisi altında kalmıştır. Buna rağmen onun sosyalist olarak nitelendirilmemesinin sebebi, düşüncesinin temelinde özgürlüğe yaptığı güçlü vurgulardır. “Ancak klasik liberal felsefeyi aşacak şekilde devlete, topluma ve bireye ahlaki sorumluluklar yüklemiş, bireysel özgürlükle toplumsal sorumluluk arasında bir denge kurmaya ve böylece aldığı liberal felsefi mirasa </w:t>
      </w:r>
      <w:proofErr w:type="spellStart"/>
      <w:r w:rsidRPr="00B0752B">
        <w:t>toplumsalcı</w:t>
      </w:r>
      <w:proofErr w:type="spellEnd"/>
      <w:r w:rsidRPr="00B0752B">
        <w:t xml:space="preserve"> bir bakış açısı eklemlemeye çalışmıştır. Böyle olmakla beraber siyasal özgürlüğe büyük değer atfeden </w:t>
      </w:r>
      <w:proofErr w:type="spellStart"/>
      <w:r w:rsidRPr="00B0752B">
        <w:t>Mill</w:t>
      </w:r>
      <w:proofErr w:type="spellEnd"/>
      <w:r w:rsidRPr="00B0752B">
        <w:t>, insanlığın kaçınılmaz olarak demokratik yönetime doğru evrildiğini düşünmektedir.” (Bayram, 2014, s. 58)</w:t>
      </w:r>
    </w:p>
    <w:p w14:paraId="006B10DA" w14:textId="77777777" w:rsidR="00FA457D" w:rsidRDefault="00FA457D" w:rsidP="00FA457D">
      <w:pPr>
        <w:spacing w:before="120" w:after="120"/>
        <w:jc w:val="both"/>
      </w:pPr>
      <w:r w:rsidRPr="00B0752B">
        <w:t xml:space="preserve">Bu çalışmada </w:t>
      </w:r>
      <w:proofErr w:type="spellStart"/>
      <w:r w:rsidRPr="00B0752B">
        <w:t>Mill’in</w:t>
      </w:r>
      <w:proofErr w:type="spellEnd"/>
      <w:r w:rsidRPr="00B0752B">
        <w:t xml:space="preserve"> felsefesinde birey ve toplum arasındaki ilişkiler incelenecektir. Bu incelemede düşünürün </w:t>
      </w:r>
      <w:r w:rsidRPr="00B0752B">
        <w:rPr>
          <w:i/>
          <w:iCs/>
        </w:rPr>
        <w:t>Özgürlük Üstüne</w:t>
      </w:r>
      <w:r w:rsidRPr="00B0752B">
        <w:t xml:space="preserve">, </w:t>
      </w:r>
      <w:r w:rsidRPr="00B0752B">
        <w:rPr>
          <w:i/>
          <w:iCs/>
        </w:rPr>
        <w:t>Faydacılık</w:t>
      </w:r>
      <w:r w:rsidRPr="00B0752B">
        <w:t xml:space="preserve"> ve </w:t>
      </w:r>
      <w:r w:rsidRPr="00B0752B">
        <w:rPr>
          <w:i/>
          <w:iCs/>
        </w:rPr>
        <w:t>Demokratik Yönetim Üzerine Düşünceler</w:t>
      </w:r>
      <w:r w:rsidRPr="00B0752B">
        <w:t xml:space="preserve"> kitapları referans alınacaktır. Bu anlamda çalışmanın ilk kısmında bireyin değeri ve toplumdaki yeri üzerinde; ikinci kısımda ise demokratik bir yönetim içinde bireyin rolü ve sorumlukları üzerinde durulacaktır. Her iki kısımda da birey ve toplum ilişkisi üzerine değerlendirmeler yapılacaktır.</w:t>
      </w:r>
    </w:p>
    <w:p w14:paraId="06313EEF" w14:textId="77777777" w:rsidR="00D47EF1" w:rsidRPr="00B0752B" w:rsidRDefault="00D47EF1" w:rsidP="00FA457D">
      <w:pPr>
        <w:spacing w:before="120" w:after="120"/>
        <w:jc w:val="both"/>
      </w:pPr>
    </w:p>
    <w:p w14:paraId="26723185" w14:textId="77777777" w:rsidR="00FA457D" w:rsidRPr="00B0752B" w:rsidRDefault="00FA457D" w:rsidP="008003D6">
      <w:pPr>
        <w:rPr>
          <w:b/>
          <w:bCs/>
        </w:rPr>
      </w:pPr>
      <w:r w:rsidRPr="00B0752B">
        <w:rPr>
          <w:b/>
          <w:bCs/>
        </w:rPr>
        <w:t>1.Bireyin Değeri ve Toplumdaki Yeri</w:t>
      </w:r>
    </w:p>
    <w:p w14:paraId="05E2893F" w14:textId="77777777" w:rsidR="00FA457D" w:rsidRPr="00B0752B" w:rsidRDefault="00FA457D" w:rsidP="008003D6">
      <w:pPr>
        <w:jc w:val="both"/>
      </w:pPr>
      <w:proofErr w:type="spellStart"/>
      <w:r w:rsidRPr="00B0752B">
        <w:t>Mill</w:t>
      </w:r>
      <w:proofErr w:type="spellEnd"/>
      <w:r w:rsidRPr="00B0752B">
        <w:t xml:space="preserve">, </w:t>
      </w:r>
      <w:r w:rsidRPr="00B0752B">
        <w:rPr>
          <w:i/>
          <w:iCs/>
        </w:rPr>
        <w:t>Özgürlük Üstüne</w:t>
      </w:r>
      <w:r w:rsidRPr="00B0752B">
        <w:t xml:space="preserve"> kitabında özgürlük savunusunu birey temelli ele almış ve bu kitapta birey olmanın üstünlüğünü ve değerini açıklamaya çalışmıştır. Bunun sebebi, onun, özgürlüğün başlangıç noktasını “birey olabilmek” olarak düşünmesidir. Ona göre birey olmak, kendi kararlarında, bedeninde, düşüncelerinde ve yaşamında tek karar sahibi olmak demektir. (Pınarcı, 2013, s. 54) Toplum, bireylerin düşünce farklılıklarını ve farklı yaşam tarzlarını olgunlukla karşılamalıdır; tüm bunların, bireylerin doğal hakları olduğunu kabul etmelidir. Çünkü toplum, bireylerin bu haklarına saygı gösterdiği takdirde bireyler, kişisel yeteneklerini kendi sınırlarını zorlayacak kadar kullanabileceklerdir. Ona göre toplumsal gelişimin koşulu budur. Aksi takdirde birey, kendi düşünce ve yeteneğinin gerektirdiği gibi davranmazsa, başkalarının istekleri ve arzuları doğrultusunda hareket etmeye zorlanırsa hem bireysel hem de toplumsal gelişim sekteye uğrar (</w:t>
      </w:r>
      <w:proofErr w:type="spellStart"/>
      <w:r w:rsidRPr="00B0752B">
        <w:t>Mill</w:t>
      </w:r>
      <w:proofErr w:type="spellEnd"/>
      <w:r w:rsidRPr="00B0752B">
        <w:t xml:space="preserve">, 2014, </w:t>
      </w:r>
      <w:proofErr w:type="spellStart"/>
      <w:r w:rsidRPr="00B0752B">
        <w:t>ss</w:t>
      </w:r>
      <w:proofErr w:type="spellEnd"/>
      <w:r w:rsidRPr="00B0752B">
        <w:t>. 87-90).</w:t>
      </w:r>
    </w:p>
    <w:p w14:paraId="5EB7F144" w14:textId="77777777" w:rsidR="00FA457D" w:rsidRPr="00B0752B" w:rsidRDefault="00FA457D" w:rsidP="00FA457D">
      <w:pPr>
        <w:spacing w:before="120" w:after="120"/>
        <w:jc w:val="both"/>
      </w:pPr>
      <w:proofErr w:type="spellStart"/>
      <w:r w:rsidRPr="00B0752B">
        <w:t>Mill’e</w:t>
      </w:r>
      <w:proofErr w:type="spellEnd"/>
      <w:r w:rsidRPr="00B0752B">
        <w:t xml:space="preserve"> göre bireylerin kendi yeteneklerini sonuna kadar kullanabilmesi için arkadaş çevresini ve kendi hayatını belirleyebilmesi gerekir. Birey kendi hayatını belirlerken kurallarla karşı karşıya kalabilir. Bu kurallar toplum ve yönetim tarafından getirilen sınırlamalardır. Ancak birey, bu kuralları, bu kurallara uyan kişilerin bunların kural olduğunu düşünmeden yapmalarından dolayı kısıtlayıcı olarak görmemiştir. Yani </w:t>
      </w:r>
      <w:proofErr w:type="spellStart"/>
      <w:r w:rsidRPr="00B0752B">
        <w:t>Mill</w:t>
      </w:r>
      <w:proofErr w:type="spellEnd"/>
      <w:r w:rsidRPr="00B0752B">
        <w:t>, toplum veya yönetim tarafından getirilen kurallara karşı çıkmaz, onun karşı çıktığı, bireyi baskı altına kurallardır (Pınarcı, 2013, s. 56).</w:t>
      </w:r>
    </w:p>
    <w:p w14:paraId="51AFA8D0" w14:textId="77777777" w:rsidR="00FA457D" w:rsidRPr="00B0752B" w:rsidRDefault="00FA457D" w:rsidP="00FA457D">
      <w:pPr>
        <w:spacing w:before="120" w:after="120"/>
        <w:jc w:val="both"/>
      </w:pPr>
      <w:proofErr w:type="spellStart"/>
      <w:r w:rsidRPr="00B0752B">
        <w:t>Mill</w:t>
      </w:r>
      <w:proofErr w:type="spellEnd"/>
      <w:r w:rsidRPr="00B0752B">
        <w:t>, bireylerin kendilerine özgü bireysel yetenekleri geliştirerek toplumda daha iyi bir konum kazanacaklarını düşünür. Ancak bireyler daha iyi bir konuma gelmek için birbirlerinin haklarına ve çıkarlarına müdahalede bulunmamalıdırlar. O, “insanların birbirlerine duydukları saygının, değerin ancak kendileri olmakla sağlanacağını ve toplumda çeşitliliğin var olmasıyla birlikte hayatın daha renkli ve canlı olacağını, bireyin sosyal yönünün gelişeceğini ve bireyselliğin oluşacağını belirtmiştir.” Ona göre toplumda orijinallik peşinde koşan insanların, gelenekçi insanlardan daha fazla olması gereklidir. Çünkü orijinallik peşinde koşan insanlar toplumu geliştirecek olanlardır. Böyle insanların toplumda yetiştirilmesi önemlidir. Bunun için ana koşul özgürlüktür (Pınarcı, 2013, s. 57).</w:t>
      </w:r>
    </w:p>
    <w:p w14:paraId="5AEC1352" w14:textId="77777777" w:rsidR="00FA457D" w:rsidRPr="00B0752B" w:rsidRDefault="00FA457D" w:rsidP="00FA457D">
      <w:pPr>
        <w:spacing w:before="120" w:after="120"/>
        <w:jc w:val="both"/>
      </w:pPr>
      <w:proofErr w:type="spellStart"/>
      <w:r>
        <w:t>Mill’e</w:t>
      </w:r>
      <w:proofErr w:type="spellEnd"/>
      <w:r>
        <w:t xml:space="preserve"> </w:t>
      </w:r>
      <w:r w:rsidRPr="00B0752B">
        <w:t xml:space="preserve">göre bireyin kendi üzerindeki hakimiyetinin ve toplumun birey üzerindeki hakimiyetinin belirlenmesi gereklidir. Ona göre toplumsallık durumu, insan için öylesine doğal, gerekli ve </w:t>
      </w:r>
      <w:r w:rsidRPr="00B0752B">
        <w:lastRenderedPageBreak/>
        <w:t>alışılageldik bir durumdur ki, kimi olağandışı koşullar ya da gönüllü bir soyutlanma çabası dışında, insan kendisini bir birliğin parçası olmak dışında tasavvur edemez; insanoğlu yabani bağımsızlık durumundan uzaklaştıkça, bu birlik de gitgide perçinleşmiştir. İnsanların kendi aralarında kurdukları toplumun, köle efendi ilişkisi hariç, herkesin çıkarının dikkate alınması dışında, başka bir temel üzerinde durmasının imkânsız olduğunu belirtir. Çünkü ona göre eşitlerden oluşan toplum, ancak herkesin çıkarına eşit derecede saygı duyulması anlayışı çerçevesinde var olabilir ve her medeni devlette, mutlak bir hükümdar hariç her kişi eş değerde olduğuna göre, herkes bir diğeriyle bu şartlar altında yaşamaya mecburdur (</w:t>
      </w:r>
      <w:proofErr w:type="spellStart"/>
      <w:r w:rsidRPr="00B0752B">
        <w:t>Mill</w:t>
      </w:r>
      <w:proofErr w:type="spellEnd"/>
      <w:r w:rsidRPr="00B0752B">
        <w:t>, 2019, s. 59).</w:t>
      </w:r>
    </w:p>
    <w:p w14:paraId="2DAE0FE0" w14:textId="77777777" w:rsidR="00FA457D" w:rsidRPr="00B0752B" w:rsidRDefault="00FA457D" w:rsidP="00FA457D">
      <w:pPr>
        <w:spacing w:before="120" w:after="120"/>
        <w:jc w:val="both"/>
      </w:pPr>
      <w:proofErr w:type="spellStart"/>
      <w:r w:rsidRPr="00B0752B">
        <w:t>Mill’e</w:t>
      </w:r>
      <w:proofErr w:type="spellEnd"/>
      <w:r w:rsidRPr="00B0752B">
        <w:t xml:space="preserve"> göre bir bireyin toplumu kötü anlamda etkilemesi onun cezalandırılmasını gerektirmektedir. Kendi çıkarı için başkalarının özgürlüklerini kısıtlayan bir kişi toplum veya yönetim tarafından durdurulmalıdır. Çünkü ona göre eylem türleri iki tanedir. Bunlardan ilki özel eylemlerdir. Özel eylemler sadece bireyi ilgilendirmektedir. Bu eylemler kimseyi etkilemediğinden diğer eylem türüyle bir ilişkisi yoktur. İkinci eylem türü ise kamusal eylemlerdir. Kamusal eylemler, başkalarının haklarına müdahale eden eylemlerdir. Bu türden eylemleri düzenlemek yönetimin görevidir. Yönetim yükümlülüklerini yerine getirmeyen bireyleri yasal yollarla cezalandırma hakkına sahiptir. Yükümlülüklerini yerine getirmeyen insanların cezalandırılması toplumun mutluluğu için yapılması gerekendir (Pınarcı, 2013, </w:t>
      </w:r>
      <w:proofErr w:type="spellStart"/>
      <w:r w:rsidRPr="00B0752B">
        <w:t>ss</w:t>
      </w:r>
      <w:proofErr w:type="spellEnd"/>
      <w:r w:rsidRPr="00B0752B">
        <w:t>. 59-60).</w:t>
      </w:r>
    </w:p>
    <w:p w14:paraId="09A3CB1C" w14:textId="77777777" w:rsidR="00FA457D" w:rsidRPr="00B0752B" w:rsidRDefault="00FA457D" w:rsidP="00FA457D">
      <w:pPr>
        <w:spacing w:before="120" w:after="120"/>
        <w:jc w:val="both"/>
      </w:pPr>
      <w:proofErr w:type="spellStart"/>
      <w:r w:rsidRPr="00B0752B">
        <w:t>Mill</w:t>
      </w:r>
      <w:proofErr w:type="spellEnd"/>
      <w:r w:rsidRPr="00B0752B">
        <w:t>, bireyselliği sağlanabilmesinde ve toplumsal yükümlülüklerin yerine getirilebilmesinde eğitimin önemli bir rolü olduğunu belirtir. Eğitim sayesinde bireylerin başkalarına iyilik yapma isteği artacak ve bu sayede toplumsal refah sağlanacaktır. Ancak eğitimi sadece devlet vermemelidir. Çünkü devlet istediği kalıpta insanlar yetiştirebilir. Bu toplumda tek biçimliliğe yol açar. Bu yüzden birey, gerek aileden gerekten toplumdan da eğitim almalıdır. Bu sayede toplumun refahına ve gelişimine katkı sağlayacak bireyler yetişecektir (Pınarcı, 2013, s. 61).</w:t>
      </w:r>
    </w:p>
    <w:p w14:paraId="6BB3B6A1" w14:textId="659435A1" w:rsidR="00FA457D" w:rsidRDefault="00FA457D" w:rsidP="00FA457D">
      <w:pPr>
        <w:spacing w:before="120" w:after="120"/>
        <w:jc w:val="both"/>
      </w:pPr>
      <w:r w:rsidRPr="00B0752B">
        <w:t xml:space="preserve">Sonuç olarak </w:t>
      </w:r>
      <w:proofErr w:type="spellStart"/>
      <w:r w:rsidRPr="00B0752B">
        <w:t>Mill’e</w:t>
      </w:r>
      <w:proofErr w:type="spellEnd"/>
      <w:r w:rsidRPr="00B0752B">
        <w:t xml:space="preserve"> göre, bireyin özgürlüğü ve kendi çıkarlarını takip etme hakkı, yüksek bir değerdir. Bireylerin özgürce düşünebilme, inançlarını ifade edebilme, kendilerini geliştirebilme ve kendi hayatlarını yönlendirme hakkı vardır. O, bireysel özgürlüğün toplumsal ilerlemeyi teşvik ettiğine inanır. Ancak ona göre, bireylerin özgürlüğü, başkalarının haklarını ihlal etme noktasında sınırlanabilir. Bireylerin davranışları, başkalarına zarar vermediği sürece özgür olmalıdır. Yani, bireylerin davranışları sadece kendilerini etkiliyorsa, toplum müdahale etmemelidir. Ancak başkalarına zarar verebilecek davranışlar, toplumun müdahalesini gerektirebilir. O, toplumun refahını arttırmak için bireylerin özgürlüğüne önem verirken, toplumunda rolü olduğunu düşünür. Toplum, bireylerin eğitimine, adalet sistemine, altyapıya ve sosyal hizmetlere yatırım yaparak bireylerin gelişimini desteklemelidir. Ona göre toplumun hedefi, bireylerin kendilerini gerçekleştirebilecekleri bir ortam sağlamaktır.</w:t>
      </w:r>
    </w:p>
    <w:p w14:paraId="687226F0" w14:textId="77777777" w:rsidR="00FA457D" w:rsidRPr="00B0752B" w:rsidRDefault="00FA457D" w:rsidP="00FA457D">
      <w:pPr>
        <w:spacing w:before="120" w:after="120"/>
        <w:jc w:val="both"/>
      </w:pPr>
    </w:p>
    <w:p w14:paraId="7E4CA71E" w14:textId="77777777" w:rsidR="00FA457D" w:rsidRPr="00B0752B" w:rsidRDefault="00FA457D" w:rsidP="008003D6">
      <w:pPr>
        <w:spacing w:before="120"/>
      </w:pPr>
      <w:r w:rsidRPr="00B0752B">
        <w:rPr>
          <w:b/>
          <w:bCs/>
        </w:rPr>
        <w:t>2.Demokratik Yönetim İçinde Bireyin Rolü</w:t>
      </w:r>
    </w:p>
    <w:p w14:paraId="5DB4133F" w14:textId="77777777" w:rsidR="00FA457D" w:rsidRPr="00B0752B" w:rsidRDefault="00FA457D" w:rsidP="00FA457D">
      <w:pPr>
        <w:adjustRightInd w:val="0"/>
        <w:spacing w:before="120" w:after="120"/>
        <w:jc w:val="both"/>
      </w:pPr>
      <w:proofErr w:type="spellStart"/>
      <w:r w:rsidRPr="00B0752B">
        <w:t>Mill’in</w:t>
      </w:r>
      <w:proofErr w:type="spellEnd"/>
      <w:r w:rsidRPr="00B0752B">
        <w:t xml:space="preserve"> felsefesinin temelinde bireysel özgürlük vardır. Bundan dolayı en iyi yönetim biçimini ne olduğuna yönelik düşüncelerinin arkasında hangi yönetim biçiminin bireysel özgürlüğü korumaya elverişli olduğu sorusu vardır. (Bayram, 2014, s. 60) Ona göre bir ülkenin yönetim şekli tercihe açıktır. O yönetimi bir araç olarak görür. Bu anlamda “araçların tercih edilebilirliğinin toplumun hedefleriyle ne ölçüde uyum sağladığına bağlı olarak değişeceği görüşündedir.” Ona göre tercih edilecek yönetim şeklinin insanlığın tamamının faydasıyla çelişki içinde olmaması gerekir. Bu gerçekleştiği aman o yönetim şeklinin toplumun refahını ve mutluluğunu sağlayacağını iddia edebiliriz (Safi, 2018, s. 658).</w:t>
      </w:r>
    </w:p>
    <w:p w14:paraId="605340B6" w14:textId="77777777" w:rsidR="00FA457D" w:rsidRPr="00B0752B" w:rsidRDefault="00FA457D" w:rsidP="00FA457D">
      <w:pPr>
        <w:adjustRightInd w:val="0"/>
        <w:spacing w:before="120" w:after="120"/>
        <w:jc w:val="both"/>
      </w:pPr>
      <w:proofErr w:type="spellStart"/>
      <w:r w:rsidRPr="00B0752B">
        <w:lastRenderedPageBreak/>
        <w:t>Mill’e</w:t>
      </w:r>
      <w:proofErr w:type="spellEnd"/>
      <w:r w:rsidRPr="00B0752B">
        <w:t xml:space="preserve"> göre özgürlükler ve bireysellik demokratik bir yönetim vasıtasıyla korunabilir. Ancak nüfus, her bireyin yönetime katılımını engel olmaktadır. Bundan dolayı </w:t>
      </w:r>
      <w:proofErr w:type="spellStart"/>
      <w:r w:rsidRPr="00B0752B">
        <w:t>Mill</w:t>
      </w:r>
      <w:proofErr w:type="spellEnd"/>
      <w:r w:rsidRPr="00B0752B">
        <w:t xml:space="preserve">, her ne kadar ideal yönetimin doğrudan demokrasi olduğunu düşünse de uygulanabilirlik açısından temsili demokrasiyi önümüze koyar. Ona göre bireysel özgürlük ile yönetime katılım paraleldir. Bu yüzden bireyin eğitim seviyesi arttırılarak, bireylerin yönetime katılımlarının sağlanması gerekir. Çünkü cahil insanlar bireysellikten uzaktır ve kolaylıkla çoğunluğun isteklerine yönelik hareket ederler (Pınarcı, 2013, </w:t>
      </w:r>
      <w:proofErr w:type="spellStart"/>
      <w:r w:rsidRPr="00B0752B">
        <w:t>ss</w:t>
      </w:r>
      <w:proofErr w:type="spellEnd"/>
      <w:r w:rsidRPr="00B0752B">
        <w:t xml:space="preserve">. 61-62). Bundan dolayı o, eşit oy hakkını yanlış bir demokrasi uygulaması olarak görür. Bu düşüncesinin iki sebebi vardır. İlki, eşit oy hakkının entelektüel kapasiteyi göz ardı etmek olmasıdır. İkincisi ise demokratik sistemin çoğunluğun tiranlığın dönüşmesi tehlikesi vardır. Dolayısıyla </w:t>
      </w:r>
      <w:proofErr w:type="spellStart"/>
      <w:r w:rsidRPr="00B0752B">
        <w:t>Mill’in</w:t>
      </w:r>
      <w:proofErr w:type="spellEnd"/>
      <w:r w:rsidRPr="00B0752B">
        <w:t xml:space="preserve"> demokrasisinde çoğunluğun değil, niteliğin öncelendiğini söyleyebiliriz (Safi, 2018, s. 662).</w:t>
      </w:r>
    </w:p>
    <w:p w14:paraId="74E66460" w14:textId="77777777" w:rsidR="00FA457D" w:rsidRPr="00B0752B" w:rsidRDefault="00FA457D" w:rsidP="00FA457D">
      <w:pPr>
        <w:adjustRightInd w:val="0"/>
        <w:spacing w:before="120" w:after="120"/>
        <w:jc w:val="both"/>
      </w:pPr>
      <w:r w:rsidRPr="00B0752B">
        <w:t xml:space="preserve">İlerleyen ve gelişen bir tarih anlayışını benimseyen </w:t>
      </w:r>
      <w:proofErr w:type="spellStart"/>
      <w:r w:rsidRPr="00B0752B">
        <w:t>Mill</w:t>
      </w:r>
      <w:proofErr w:type="spellEnd"/>
      <w:r w:rsidRPr="00B0752B">
        <w:t xml:space="preserve">, insanlık tarihini yabanıllık, barbarlık ve uygarlık olarak üç döneme ayırır ve bu dönemleri ekonomik, sosyal, siyasal yönden ele alır. O, insanlığın ilk döneminde toplumsallaşma olmadığından insanların ortak bir benliğe ve amaca sahip olmadıklarını belirtir. Bundan dolayı insanların uygar toplumda zenginliğe ve daha rahat yaşamlara sahip olduğunu düşünür. Uygarlık geliştikçe bireyler kendi kendilerini yönetecek seviyeye gelmişlerdir. Bunun olmasında toplumsallaşmanın önemli bir etkisi vardır. Yabanıllık döneminde insanlar arasında güven duygusu yoktur ve bundan dolayı ilkel toplulukta dayanışma söz konusu olmamıştır. Bu dayanışmanın olmaması insanların mülk edinmemelerine yol açmıştır. Barbarlık döneminde ise bu dayanışmanın tohumları atılmış ve insanlar mülk edinmeye başlamıştır. </w:t>
      </w:r>
      <w:proofErr w:type="spellStart"/>
      <w:r w:rsidRPr="00B0752B">
        <w:t>Mill’e</w:t>
      </w:r>
      <w:proofErr w:type="spellEnd"/>
      <w:r w:rsidRPr="00B0752B">
        <w:t xml:space="preserve"> göre bu dönemde ilerleme olabilmesi için iki şey gereklidir. Bunlar despot bir yönetim ve endüstrileşmedir. </w:t>
      </w:r>
      <w:proofErr w:type="spellStart"/>
      <w:r w:rsidRPr="00B0752B">
        <w:t>Mill</w:t>
      </w:r>
      <w:proofErr w:type="spellEnd"/>
      <w:r w:rsidRPr="00B0752B">
        <w:t xml:space="preserve">, “ilk aşamada kaba halk topluluğunun yönetilebilmesi için siyasal sistemin despotik olması gerektiğini bunun da mutlak monarklar ve gerçek aristokratlar tarafından yapılması gerektiğini ifade etmiştir.  Böyle bir siyasal yapıda bulunan ve barbarlık aşamasında köle vasfını taşıyan halkın sanayi devrimiyle birlikte atağa geçeceğini, özgürlüğe duyulan özlemin hızlı bir şekilde giderilmeye çalışılacağını belirtmiştir.” Ancak </w:t>
      </w:r>
      <w:proofErr w:type="spellStart"/>
      <w:r w:rsidRPr="00B0752B">
        <w:t>Mill</w:t>
      </w:r>
      <w:proofErr w:type="spellEnd"/>
      <w:r w:rsidRPr="00B0752B">
        <w:t xml:space="preserve">, uygarlık aşamasına gelmiş bireylerin despot bir yönetime ihtiyaç duymayacağını belirtir. Çünkü oba göre despotizm uygarlık yolunda geçici bir aşamadır. Despotizm yalnızca barbarlığı yenmek için kullanılmalıdır (Pınarcı, 2013, </w:t>
      </w:r>
      <w:proofErr w:type="spellStart"/>
      <w:r w:rsidRPr="00B0752B">
        <w:t>ss</w:t>
      </w:r>
      <w:proofErr w:type="spellEnd"/>
      <w:r w:rsidRPr="00B0752B">
        <w:t>. 63-65).</w:t>
      </w:r>
    </w:p>
    <w:p w14:paraId="45A5A40C" w14:textId="77777777" w:rsidR="00FA457D" w:rsidRDefault="00FA457D" w:rsidP="00FA457D">
      <w:pPr>
        <w:adjustRightInd w:val="0"/>
        <w:spacing w:before="120" w:after="120"/>
        <w:jc w:val="both"/>
      </w:pPr>
      <w:proofErr w:type="spellStart"/>
      <w:r w:rsidRPr="00B0752B">
        <w:t>Mill’e</w:t>
      </w:r>
      <w:proofErr w:type="spellEnd"/>
      <w:r w:rsidRPr="00B0752B">
        <w:t xml:space="preserve"> göre bireylerin farklılığını ve çeşitliliğini suç olarak değerlendirmektedir. Bundan dolayı da toplum, bireyselliğe müdahale etmek istemektedir. O, bu tarz toplumların gelişmeye ve ilerlemeye kapalı olduğunu belirtir. Ona göre toplum asıl çekinmesi gereken şey bireysellik değil, bireysel yetersizlik olmalıdır. Çoğunluğun birey üzerindeki zorbalığına engel olmak isteyen </w:t>
      </w:r>
      <w:proofErr w:type="spellStart"/>
      <w:r w:rsidRPr="00B0752B">
        <w:t>Mill</w:t>
      </w:r>
      <w:proofErr w:type="spellEnd"/>
      <w:r w:rsidRPr="00B0752B">
        <w:t xml:space="preserve">, siyasal gücün dengeli dağılımı üzerinde durur. Daha doğrusu o, demokrasiyi insanlığın yararına işleyen bir sistem haline nasıl getirebilirim kaygısı taşır. Demokratik yönetim şeklini benimsemesinin ve benimsediği bu demokrasinin elit bir demokrasi olmasının arkasında yatan sebepler bunlardır (Bayram, 2014, </w:t>
      </w:r>
      <w:proofErr w:type="spellStart"/>
      <w:r w:rsidRPr="00B0752B">
        <w:t>ss</w:t>
      </w:r>
      <w:proofErr w:type="spellEnd"/>
      <w:r w:rsidRPr="00B0752B">
        <w:t>. 62-64).</w:t>
      </w:r>
    </w:p>
    <w:p w14:paraId="7E932CDC" w14:textId="77777777" w:rsidR="00FA457D" w:rsidRPr="00B0752B" w:rsidRDefault="00FA457D" w:rsidP="00FA457D">
      <w:pPr>
        <w:adjustRightInd w:val="0"/>
        <w:spacing w:before="120" w:after="120"/>
        <w:jc w:val="both"/>
      </w:pPr>
      <w:r w:rsidRPr="00B0752B">
        <w:t xml:space="preserve">Sonuç olarak </w:t>
      </w:r>
      <w:proofErr w:type="spellStart"/>
      <w:r w:rsidRPr="00B0752B">
        <w:t>Mill’e</w:t>
      </w:r>
      <w:proofErr w:type="spellEnd"/>
      <w:r w:rsidRPr="00B0752B">
        <w:t xml:space="preserve"> göre toplumsal durumun zaruretlerini karşılayabilecek yönetim, tüm halkın katıldığı yönetimdir. Dolayısıyla ona göre en iyi yönetim biçimi doğrudan demokrasidir. Ancak herkes kamusal işlere kişisel olarak katılamayacağı için, yönetim temsili yapıda olmalıdır (</w:t>
      </w:r>
      <w:proofErr w:type="spellStart"/>
      <w:r w:rsidRPr="00B0752B">
        <w:t>Mill</w:t>
      </w:r>
      <w:proofErr w:type="spellEnd"/>
      <w:r w:rsidRPr="00B0752B">
        <w:t xml:space="preserve">, 2017, s. 117). Ancak siyasi özgürlük gerçek bir özgürlük ve bağımsızlığı sağlayamaz. Yavaş yavaş kamuoyu zorbalığı kendini gösterir ve kamuoyu zorbalığı siyasi baskıdan daha tehlikelidir. Bütün günlük hayata sokulur ve ruhları köleleştirir. </w:t>
      </w:r>
      <w:proofErr w:type="spellStart"/>
      <w:r w:rsidRPr="00B0752B">
        <w:t>Mill’in</w:t>
      </w:r>
      <w:proofErr w:type="spellEnd"/>
      <w:r w:rsidRPr="00B0752B">
        <w:t xml:space="preserve"> istediği ise yaratıcı kişilerin yeni düşünceleri özgür olarak ortaya koyabilmeleridir. Kamuoyunun baskısı, yığının egemen olması yüzünden seviyenin düşmesini engellemenin tek yolu yine özgürlüktür. Çünkü özgürlük, daima toplumun yenileşmesine yol açan bağımsız kişiler yaratır (Taşkın ve </w:t>
      </w:r>
      <w:r w:rsidRPr="00B0752B">
        <w:lastRenderedPageBreak/>
        <w:t xml:space="preserve">Becermen, 2013, s. 420). Bireylerin gelişiminde sorun gören </w:t>
      </w:r>
      <w:proofErr w:type="spellStart"/>
      <w:r w:rsidRPr="00B0752B">
        <w:t>Mill</w:t>
      </w:r>
      <w:proofErr w:type="spellEnd"/>
      <w:r w:rsidRPr="00B0752B">
        <w:t>, eşitlik ilkesini kenara atarak özgürlüğü ön plana çıkarır. Otorite ile biçimlendirilmiş bireylere siyasal eşitlik verilmemesi gerektiğini düşünür. Eşitsiz bir tutum sergileyerek eğitimli insanların oy hakkının arttırılmasını talep eder. Bunu talep ederken toplumun cahil çoğunluğunun açacağı zararları düşünür. Ona göre toplumun mutluluğunu sağlayacak olanlar kendilerini geliştirmiş insanlardır (Küçük, 2003, s. 115).</w:t>
      </w:r>
    </w:p>
    <w:p w14:paraId="6F2CDF37" w14:textId="77777777" w:rsidR="00FA457D" w:rsidRPr="00B0752B" w:rsidRDefault="00FA457D" w:rsidP="008003D6">
      <w:pPr>
        <w:spacing w:before="120"/>
        <w:rPr>
          <w:b/>
          <w:bCs/>
        </w:rPr>
      </w:pPr>
      <w:r w:rsidRPr="00B0752B">
        <w:rPr>
          <w:b/>
          <w:bCs/>
        </w:rPr>
        <w:t>Sonuç</w:t>
      </w:r>
    </w:p>
    <w:p w14:paraId="277C4561" w14:textId="01DA4BD1" w:rsidR="00FA457D" w:rsidRPr="00B0752B" w:rsidRDefault="00FA457D" w:rsidP="00FA457D">
      <w:pPr>
        <w:spacing w:before="120" w:after="120"/>
        <w:jc w:val="both"/>
      </w:pPr>
      <w:proofErr w:type="spellStart"/>
      <w:r w:rsidRPr="00B0752B">
        <w:t>Mill</w:t>
      </w:r>
      <w:proofErr w:type="spellEnd"/>
      <w:r w:rsidRPr="00B0752B">
        <w:t xml:space="preserve">, bireylerin toplum için kendilerini geliştirebilmelerinin çok önemli olduğunu düşünür. Çünkü onun felsefesinde bireyin gelişimi aynı zamanda toplumun ilerlemesi demektir. Yani bireylerin temel hak ve özgürlüklerini koruyan, onların ve kendilerini geliştirebilmelerini sağlayacak uygun ortamı sağlayan bir toplumun refah seviyesi yüksek olur. Ancak toplumda, bu refahın oluşabilmesi ve sürdürülebilmesi için başkalarının haklarını ihlal eden bireyleri cezalandırması gerekir. Aksi takdirde toplum içinde bir kaos söz konusu olur. Bu kaos, gelişimi ve refahı tamamen ortadan kaldırır. Çünkü bireylerin güvenliğinin sağlanmadığı bir toplum hiçbir amaca hizmet etmez. Çünkü </w:t>
      </w:r>
      <w:proofErr w:type="spellStart"/>
      <w:r w:rsidRPr="00B0752B">
        <w:t>Mill’e</w:t>
      </w:r>
      <w:proofErr w:type="spellEnd"/>
      <w:r w:rsidRPr="00B0752B">
        <w:t xml:space="preserve"> göre toplum, bireylerin eşit bir şekilde çıkarları gözetilerek ortaya çıkar.</w:t>
      </w:r>
    </w:p>
    <w:p w14:paraId="657E7294" w14:textId="77777777" w:rsidR="00FA457D" w:rsidRDefault="00FA457D" w:rsidP="00FA457D">
      <w:pPr>
        <w:spacing w:before="120" w:after="120"/>
        <w:jc w:val="both"/>
      </w:pPr>
      <w:r w:rsidRPr="00B0752B">
        <w:t xml:space="preserve">Toplum içinde orijinallik peşinde koşan bireylere ihtiyaç vardır. Bu orijinalliğin ortaya çıkabilmesi için iki önemli koşul vardır. İlki, bireysel özgürlük, ikincisi ise eğitimdir. Toplumda tek biçimci bireylerin yetişmemesi için eğitimi yalnızca devletin değil toplumunda vermesi gerekir. Toplumun verdiği eğitim sayesinde bireylerin iyilik yapma isteği artar, dolayısıyla da refah bir toplum ortaya çıkar. Devlet tarafından verilen eğitimin ise demokratik bir yönetim biçiminde olması gerekir. Yani bireylerin gelişimi bakımında en iyi yönetim biçimi demokrasidir. Ancak bu doğrudan demokrasi değildir. Çünkü doğrudan demokrasi </w:t>
      </w:r>
      <w:proofErr w:type="spellStart"/>
      <w:r w:rsidRPr="00B0752B">
        <w:t>uygulanabirlik</w:t>
      </w:r>
      <w:proofErr w:type="spellEnd"/>
      <w:r w:rsidRPr="00B0752B">
        <w:t xml:space="preserve"> açısından mümkün olamamaktadır. Bundan dolayı </w:t>
      </w:r>
      <w:proofErr w:type="spellStart"/>
      <w:r w:rsidRPr="00B0752B">
        <w:t>Mill</w:t>
      </w:r>
      <w:proofErr w:type="spellEnd"/>
      <w:r w:rsidRPr="00B0752B">
        <w:t xml:space="preserve"> için temsili demokrasi en mantıklı yönetimin şeklidir. Ancak </w:t>
      </w:r>
      <w:proofErr w:type="spellStart"/>
      <w:r w:rsidRPr="00B0752B">
        <w:t>Mill’in</w:t>
      </w:r>
      <w:proofErr w:type="spellEnd"/>
      <w:r w:rsidRPr="00B0752B">
        <w:t xml:space="preserve"> tasavvur ettiği demokraside yalnızca eğitimli insanların oy kullanma hakkı vardır. Eğitimsiz olan insanlar yönetimde söz sahibi olamaz. </w:t>
      </w:r>
      <w:proofErr w:type="spellStart"/>
      <w:r w:rsidRPr="00B0752B">
        <w:t>Mill’in</w:t>
      </w:r>
      <w:proofErr w:type="spellEnd"/>
      <w:r w:rsidRPr="00B0752B">
        <w:t xml:space="preserve"> bu şekilde düşünmesinin sebebi, cahil çoğunluğun demokraside doğru karar veremeyeceğini düşünmesidir. Toplumun mutluluğu kendi geliştirmiş insanlar tarafından sağlanabilir. Cahil çoğunluğun vereceği kararlar toplumun mutluluğunu engelleyebilir.</w:t>
      </w:r>
    </w:p>
    <w:p w14:paraId="4A8E7EEC" w14:textId="77777777" w:rsidR="00D47EF1" w:rsidRDefault="00D47EF1" w:rsidP="00FA457D">
      <w:pPr>
        <w:spacing w:before="120" w:after="120"/>
        <w:jc w:val="both"/>
      </w:pPr>
    </w:p>
    <w:p w14:paraId="3EFE7786" w14:textId="77777777" w:rsidR="00FA457D" w:rsidRPr="00B0752B" w:rsidRDefault="00FA457D" w:rsidP="00FA457D">
      <w:pPr>
        <w:spacing w:before="120" w:after="120"/>
        <w:jc w:val="both"/>
      </w:pPr>
      <w:r w:rsidRPr="00B0752B">
        <w:rPr>
          <w:b/>
          <w:bCs/>
        </w:rPr>
        <w:t>KAYNAKÇA</w:t>
      </w:r>
    </w:p>
    <w:p w14:paraId="433C2EC4" w14:textId="77777777" w:rsidR="00FA457D" w:rsidRPr="00B0752B" w:rsidRDefault="00FA457D">
      <w:pPr>
        <w:pStyle w:val="ListeParagraf"/>
        <w:numPr>
          <w:ilvl w:val="0"/>
          <w:numId w:val="64"/>
        </w:numPr>
        <w:adjustRightInd w:val="0"/>
        <w:spacing w:after="200"/>
        <w:jc w:val="both"/>
      </w:pPr>
      <w:r w:rsidRPr="00B0752B">
        <w:t xml:space="preserve">Bayram, Y. (2014).  John Stuart </w:t>
      </w:r>
      <w:proofErr w:type="spellStart"/>
      <w:r w:rsidRPr="00B0752B">
        <w:t>Mill’in</w:t>
      </w:r>
      <w:proofErr w:type="spellEnd"/>
      <w:r w:rsidRPr="00B0752B">
        <w:t xml:space="preserve"> Demokrasi Anlayışı Üzerine Bir Değerlendirme. </w:t>
      </w:r>
      <w:r w:rsidRPr="00791DCE">
        <w:rPr>
          <w:i/>
          <w:iCs/>
        </w:rPr>
        <w:t>KTÜ Sosyal Bilimler Dergisi</w:t>
      </w:r>
      <w:r w:rsidRPr="00B0752B">
        <w:t>, (7), 57-68.</w:t>
      </w:r>
    </w:p>
    <w:p w14:paraId="76DADBEF" w14:textId="77777777" w:rsidR="00FA457D" w:rsidRPr="00791DCE" w:rsidRDefault="00FA457D">
      <w:pPr>
        <w:pStyle w:val="ListeParagraf"/>
        <w:numPr>
          <w:ilvl w:val="0"/>
          <w:numId w:val="64"/>
        </w:numPr>
        <w:adjustRightInd w:val="0"/>
        <w:spacing w:after="200"/>
        <w:jc w:val="both"/>
        <w:rPr>
          <w:lang w:val="tr"/>
        </w:rPr>
      </w:pPr>
      <w:r w:rsidRPr="00791DCE">
        <w:rPr>
          <w:lang w:val="tr"/>
        </w:rPr>
        <w:t xml:space="preserve">Küçük, N. (2003). John Stuart </w:t>
      </w:r>
      <w:proofErr w:type="spellStart"/>
      <w:r w:rsidRPr="00791DCE">
        <w:rPr>
          <w:lang w:val="tr"/>
        </w:rPr>
        <w:t>Mill’in</w:t>
      </w:r>
      <w:proofErr w:type="spellEnd"/>
      <w:r w:rsidRPr="00791DCE">
        <w:rPr>
          <w:lang w:val="tr"/>
        </w:rPr>
        <w:t xml:space="preserve"> felsefesinde özgürlük ve eşitlik sorunu, [Basılmamış Doktora Tezi]. İstanbul Üniversitesi.</w:t>
      </w:r>
    </w:p>
    <w:p w14:paraId="45344BA5" w14:textId="77777777" w:rsidR="00FA457D" w:rsidRPr="00791DCE" w:rsidRDefault="00FA457D">
      <w:pPr>
        <w:pStyle w:val="ListeParagraf"/>
        <w:numPr>
          <w:ilvl w:val="0"/>
          <w:numId w:val="64"/>
        </w:numPr>
        <w:adjustRightInd w:val="0"/>
        <w:spacing w:after="200"/>
        <w:jc w:val="both"/>
        <w:rPr>
          <w:lang w:val="tr"/>
        </w:rPr>
      </w:pPr>
      <w:proofErr w:type="spellStart"/>
      <w:r w:rsidRPr="00791DCE">
        <w:rPr>
          <w:lang w:val="tr"/>
        </w:rPr>
        <w:t>Mill</w:t>
      </w:r>
      <w:proofErr w:type="spellEnd"/>
      <w:r w:rsidRPr="00791DCE">
        <w:rPr>
          <w:lang w:val="tr"/>
        </w:rPr>
        <w:t xml:space="preserve">, J. S. (2017). </w:t>
      </w:r>
      <w:r w:rsidRPr="00791DCE">
        <w:rPr>
          <w:i/>
          <w:iCs/>
          <w:lang w:val="tr"/>
        </w:rPr>
        <w:t>Demokratik yönetim üzerine düşünceler</w:t>
      </w:r>
      <w:r w:rsidRPr="00791DCE">
        <w:rPr>
          <w:lang w:val="tr"/>
        </w:rPr>
        <w:t xml:space="preserve"> (Ö. Orhan, Çev.). Pinhan Yayıncılık.</w:t>
      </w:r>
    </w:p>
    <w:p w14:paraId="0246E178" w14:textId="77777777" w:rsidR="00FA457D" w:rsidRPr="00791DCE" w:rsidRDefault="00FA457D">
      <w:pPr>
        <w:pStyle w:val="ListeParagraf"/>
        <w:numPr>
          <w:ilvl w:val="0"/>
          <w:numId w:val="64"/>
        </w:numPr>
        <w:adjustRightInd w:val="0"/>
        <w:spacing w:after="200"/>
        <w:jc w:val="both"/>
        <w:rPr>
          <w:lang w:val="tr"/>
        </w:rPr>
      </w:pPr>
      <w:proofErr w:type="spellStart"/>
      <w:r w:rsidRPr="00791DCE">
        <w:rPr>
          <w:lang w:val="tr"/>
        </w:rPr>
        <w:t>Mill</w:t>
      </w:r>
      <w:proofErr w:type="spellEnd"/>
      <w:r w:rsidRPr="00791DCE">
        <w:rPr>
          <w:lang w:val="tr"/>
        </w:rPr>
        <w:t xml:space="preserve">, J. S. (2019). </w:t>
      </w:r>
      <w:r w:rsidRPr="00791DCE">
        <w:rPr>
          <w:i/>
          <w:iCs/>
          <w:lang w:val="tr"/>
        </w:rPr>
        <w:t>Faydacılık</w:t>
      </w:r>
      <w:r w:rsidRPr="00791DCE">
        <w:rPr>
          <w:lang w:val="tr"/>
        </w:rPr>
        <w:t xml:space="preserve"> (G. Mürteza, Çev.). Pinhan Yayıncılık.</w:t>
      </w:r>
    </w:p>
    <w:p w14:paraId="74447AFA" w14:textId="77777777" w:rsidR="00FA457D" w:rsidRPr="00791DCE" w:rsidRDefault="00FA457D">
      <w:pPr>
        <w:pStyle w:val="ListeParagraf"/>
        <w:numPr>
          <w:ilvl w:val="0"/>
          <w:numId w:val="64"/>
        </w:numPr>
        <w:adjustRightInd w:val="0"/>
        <w:spacing w:after="200"/>
        <w:jc w:val="both"/>
        <w:rPr>
          <w:lang w:val="tr"/>
        </w:rPr>
      </w:pPr>
      <w:proofErr w:type="spellStart"/>
      <w:r w:rsidRPr="00791DCE">
        <w:rPr>
          <w:lang w:val="tr"/>
        </w:rPr>
        <w:t>Mill</w:t>
      </w:r>
      <w:proofErr w:type="spellEnd"/>
      <w:r w:rsidRPr="00791DCE">
        <w:rPr>
          <w:lang w:val="tr"/>
        </w:rPr>
        <w:t xml:space="preserve">, J. S. (2021). </w:t>
      </w:r>
      <w:r w:rsidRPr="00791DCE">
        <w:rPr>
          <w:i/>
          <w:iCs/>
        </w:rPr>
        <w:t>Otobiyografi</w:t>
      </w:r>
      <w:r w:rsidRPr="00B0752B">
        <w:t xml:space="preserve"> (Ö. Orhan, Çev.). Türkiye İş Bankası Yayınları.</w:t>
      </w:r>
    </w:p>
    <w:p w14:paraId="022EC67B" w14:textId="77777777" w:rsidR="00FA457D" w:rsidRPr="00791DCE" w:rsidRDefault="00FA457D">
      <w:pPr>
        <w:pStyle w:val="ListeParagraf"/>
        <w:numPr>
          <w:ilvl w:val="0"/>
          <w:numId w:val="64"/>
        </w:numPr>
        <w:adjustRightInd w:val="0"/>
        <w:spacing w:after="200"/>
        <w:jc w:val="both"/>
        <w:rPr>
          <w:lang w:val="tr"/>
        </w:rPr>
      </w:pPr>
      <w:proofErr w:type="spellStart"/>
      <w:r w:rsidRPr="00791DCE">
        <w:rPr>
          <w:lang w:val="tr"/>
        </w:rPr>
        <w:t>Mill</w:t>
      </w:r>
      <w:proofErr w:type="spellEnd"/>
      <w:r w:rsidRPr="00791DCE">
        <w:rPr>
          <w:lang w:val="tr"/>
        </w:rPr>
        <w:t xml:space="preserve">, J. S. (2014). </w:t>
      </w:r>
      <w:r w:rsidRPr="00791DCE">
        <w:rPr>
          <w:i/>
          <w:iCs/>
          <w:lang w:val="tr"/>
        </w:rPr>
        <w:t>Özgürlük üstüne</w:t>
      </w:r>
      <w:r w:rsidRPr="00791DCE">
        <w:rPr>
          <w:lang w:val="tr"/>
        </w:rPr>
        <w:t xml:space="preserve"> (A. Ertan, Çev.). Belge Yayınları.</w:t>
      </w:r>
    </w:p>
    <w:p w14:paraId="57811840" w14:textId="77777777" w:rsidR="00FA457D" w:rsidRPr="00791DCE" w:rsidRDefault="00FA457D">
      <w:pPr>
        <w:pStyle w:val="ListeParagraf"/>
        <w:numPr>
          <w:ilvl w:val="0"/>
          <w:numId w:val="64"/>
        </w:numPr>
        <w:adjustRightInd w:val="0"/>
        <w:spacing w:after="200"/>
        <w:jc w:val="both"/>
        <w:rPr>
          <w:lang w:val="tr"/>
        </w:rPr>
      </w:pPr>
      <w:r w:rsidRPr="00B0752B">
        <w:t xml:space="preserve">Pınarcı, (2013). E. </w:t>
      </w:r>
      <w:r w:rsidRPr="00791DCE">
        <w:rPr>
          <w:i/>
          <w:iCs/>
        </w:rPr>
        <w:t xml:space="preserve">John Stuart </w:t>
      </w:r>
      <w:proofErr w:type="spellStart"/>
      <w:r w:rsidRPr="00791DCE">
        <w:rPr>
          <w:i/>
          <w:iCs/>
        </w:rPr>
        <w:t>Mill’in</w:t>
      </w:r>
      <w:proofErr w:type="spellEnd"/>
      <w:r w:rsidRPr="00791DCE">
        <w:rPr>
          <w:i/>
          <w:iCs/>
        </w:rPr>
        <w:t xml:space="preserve"> liberalizm anlayışı</w:t>
      </w:r>
      <w:r w:rsidRPr="00B0752B">
        <w:t xml:space="preserve"> [Yüksek Lisans Tezi, Uludağ Üniversitesi]. Ulusal Tez Merkezi.</w:t>
      </w:r>
    </w:p>
    <w:p w14:paraId="0E8C389B" w14:textId="77777777" w:rsidR="00FA457D" w:rsidRPr="00B0752B" w:rsidRDefault="00FA457D">
      <w:pPr>
        <w:pStyle w:val="ListeParagraf"/>
        <w:numPr>
          <w:ilvl w:val="0"/>
          <w:numId w:val="64"/>
        </w:numPr>
        <w:adjustRightInd w:val="0"/>
        <w:spacing w:after="200"/>
        <w:jc w:val="both"/>
      </w:pPr>
      <w:r w:rsidRPr="00B0752B">
        <w:t xml:space="preserve">Russel, B. (2017). </w:t>
      </w:r>
      <w:r w:rsidRPr="00791DCE">
        <w:rPr>
          <w:i/>
          <w:iCs/>
        </w:rPr>
        <w:t xml:space="preserve">Batı felsefesi tarihi 3 </w:t>
      </w:r>
      <w:r w:rsidRPr="00B0752B">
        <w:t>(A. Fethi, Çev.). Alfa.</w:t>
      </w:r>
    </w:p>
    <w:p w14:paraId="34644543" w14:textId="77777777" w:rsidR="00FA457D" w:rsidRPr="00B0752B" w:rsidRDefault="00FA457D">
      <w:pPr>
        <w:pStyle w:val="ListeParagraf"/>
        <w:numPr>
          <w:ilvl w:val="0"/>
          <w:numId w:val="64"/>
        </w:numPr>
        <w:adjustRightInd w:val="0"/>
        <w:spacing w:after="200"/>
        <w:jc w:val="both"/>
      </w:pPr>
      <w:r w:rsidRPr="00B0752B">
        <w:t xml:space="preserve">Safi, İ. (2018). John Stuart </w:t>
      </w:r>
      <w:proofErr w:type="spellStart"/>
      <w:r w:rsidRPr="00B0752B">
        <w:t>Mill’in</w:t>
      </w:r>
      <w:proofErr w:type="spellEnd"/>
      <w:r w:rsidRPr="00B0752B">
        <w:t xml:space="preserve"> siyaset felsefesinde demokrasi, </w:t>
      </w:r>
      <w:r w:rsidRPr="00791DCE">
        <w:rPr>
          <w:i/>
          <w:iCs/>
        </w:rPr>
        <w:t>Dokuz Eylül Üniversitesi Sosyal Bilimler Enstitüsü Dergisi</w:t>
      </w:r>
      <w:r w:rsidRPr="00B0752B">
        <w:t xml:space="preserve">, </w:t>
      </w:r>
      <w:r w:rsidRPr="00791DCE">
        <w:rPr>
          <w:i/>
          <w:iCs/>
        </w:rPr>
        <w:t>20</w:t>
      </w:r>
      <w:r w:rsidRPr="00B0752B">
        <w:t xml:space="preserve"> (4), 655-664. </w:t>
      </w:r>
      <w:hyperlink r:id="rId400" w:history="1">
        <w:r w:rsidRPr="00791DCE">
          <w:rPr>
            <w:rStyle w:val="Kpr"/>
            <w:rFonts w:eastAsiaTheme="majorEastAsia"/>
          </w:rPr>
          <w:t>https://doi.org/10.16953/deusosbil.470926</w:t>
        </w:r>
      </w:hyperlink>
    </w:p>
    <w:p w14:paraId="05C1E29A" w14:textId="2E9B3ABD" w:rsidR="00FA457D" w:rsidRPr="00791DCE" w:rsidRDefault="00FA457D">
      <w:pPr>
        <w:pStyle w:val="ListeParagraf"/>
        <w:numPr>
          <w:ilvl w:val="0"/>
          <w:numId w:val="64"/>
        </w:numPr>
        <w:adjustRightInd w:val="0"/>
        <w:spacing w:after="200"/>
        <w:jc w:val="both"/>
        <w:rPr>
          <w:lang w:val="tr"/>
        </w:rPr>
      </w:pPr>
      <w:r w:rsidRPr="00791DCE">
        <w:rPr>
          <w:lang w:val="tr"/>
        </w:rPr>
        <w:t xml:space="preserve">Taşkın, A. ve Becermen, M. (2013). </w:t>
      </w:r>
      <w:r w:rsidRPr="00791DCE">
        <w:rPr>
          <w:i/>
          <w:iCs/>
          <w:lang w:val="tr"/>
        </w:rPr>
        <w:t>Felsefe tarihi 2</w:t>
      </w:r>
      <w:r w:rsidRPr="00791DCE">
        <w:rPr>
          <w:lang w:val="tr"/>
        </w:rPr>
        <w:t>. Sentez Yayıncılık.</w:t>
      </w:r>
    </w:p>
    <w:p w14:paraId="7A1ED774" w14:textId="6A477A4C" w:rsidR="00D47EF1" w:rsidRDefault="00FA457D">
      <w:pPr>
        <w:pStyle w:val="ListeParagraf"/>
        <w:numPr>
          <w:ilvl w:val="0"/>
          <w:numId w:val="64"/>
        </w:numPr>
        <w:adjustRightInd w:val="0"/>
        <w:spacing w:after="200"/>
        <w:jc w:val="both"/>
      </w:pPr>
      <w:r w:rsidRPr="00B0752B">
        <w:t xml:space="preserve">Tüzen, M. A. (2014) “John Stuart </w:t>
      </w:r>
      <w:proofErr w:type="spellStart"/>
      <w:r w:rsidRPr="00B0752B">
        <w:t>Mill’de</w:t>
      </w:r>
      <w:proofErr w:type="spellEnd"/>
      <w:r w:rsidRPr="00B0752B">
        <w:t xml:space="preserve"> demokrasinin meşruiyeti”, </w:t>
      </w:r>
      <w:r w:rsidRPr="00791DCE">
        <w:rPr>
          <w:i/>
          <w:iCs/>
        </w:rPr>
        <w:t>Mavi Atlas GŞÜ Edebiyat Fakültesi Dergisi</w:t>
      </w:r>
      <w:r w:rsidRPr="00B0752B">
        <w:t>, (2), 40-53. https://doi.org/10.18795/ma.85481.</w:t>
      </w:r>
    </w:p>
    <w:p w14:paraId="7A7E2235" w14:textId="52447266" w:rsidR="00B470AD" w:rsidRPr="00D47EF1" w:rsidRDefault="00D47EF1" w:rsidP="00D47EF1">
      <w:pPr>
        <w:autoSpaceDE/>
        <w:autoSpaceDN/>
      </w:pPr>
      <w:r>
        <w:br w:type="page"/>
      </w:r>
    </w:p>
    <w:p w14:paraId="225FE1A5" w14:textId="77777777" w:rsidR="0089759E" w:rsidRDefault="0089759E" w:rsidP="0089759E">
      <w:pPr>
        <w:jc w:val="center"/>
      </w:pPr>
    </w:p>
    <w:p w14:paraId="53603714" w14:textId="77777777" w:rsidR="0089759E" w:rsidRDefault="0089759E" w:rsidP="0089759E">
      <w:pPr>
        <w:jc w:val="center"/>
        <w:rPr>
          <w:b/>
          <w:bCs/>
        </w:rPr>
      </w:pPr>
      <w:r w:rsidRPr="00A71342">
        <w:rPr>
          <w:b/>
          <w:bCs/>
        </w:rPr>
        <w:t xml:space="preserve">Geleneği Yeniden Üretmek: </w:t>
      </w:r>
      <w:proofErr w:type="spellStart"/>
      <w:r w:rsidRPr="00A71342">
        <w:rPr>
          <w:b/>
          <w:bCs/>
        </w:rPr>
        <w:t>Metinlerarasılık</w:t>
      </w:r>
      <w:proofErr w:type="spellEnd"/>
      <w:r w:rsidRPr="00A71342">
        <w:rPr>
          <w:b/>
          <w:bCs/>
        </w:rPr>
        <w:t xml:space="preserve"> Bağlamında Sezai Karakoç’un </w:t>
      </w:r>
      <w:r w:rsidRPr="00B72DDD">
        <w:rPr>
          <w:b/>
          <w:bCs/>
          <w:i/>
          <w:iCs/>
        </w:rPr>
        <w:t>Ateş Dansı</w:t>
      </w:r>
    </w:p>
    <w:p w14:paraId="2D2DE6B0" w14:textId="77777777" w:rsidR="0089759E" w:rsidRDefault="0089759E" w:rsidP="0089759E">
      <w:pPr>
        <w:jc w:val="center"/>
        <w:rPr>
          <w:b/>
          <w:bCs/>
        </w:rPr>
      </w:pPr>
    </w:p>
    <w:p w14:paraId="54F7C168" w14:textId="77777777" w:rsidR="0089759E" w:rsidRDefault="0089759E" w:rsidP="0089759E">
      <w:pPr>
        <w:jc w:val="center"/>
        <w:rPr>
          <w:b/>
          <w:bCs/>
        </w:rPr>
      </w:pPr>
      <w:r>
        <w:rPr>
          <w:b/>
          <w:bCs/>
        </w:rPr>
        <w:t>Ramazan Kandemir ENSER</w:t>
      </w:r>
    </w:p>
    <w:p w14:paraId="3FC399F5" w14:textId="77777777" w:rsidR="0089759E" w:rsidRDefault="0089759E" w:rsidP="0089759E">
      <w:pPr>
        <w:jc w:val="center"/>
        <w:rPr>
          <w:b/>
          <w:bCs/>
        </w:rPr>
      </w:pPr>
      <w:r>
        <w:rPr>
          <w:b/>
          <w:bCs/>
        </w:rPr>
        <w:t>Öğr. Gör. Dr., Sakarya Üniversitesi, Türk Dili Bölümü</w:t>
      </w:r>
    </w:p>
    <w:p w14:paraId="4DF62A6A" w14:textId="77777777" w:rsidR="0089759E" w:rsidRPr="00F23860" w:rsidRDefault="0089759E" w:rsidP="0089759E">
      <w:pPr>
        <w:jc w:val="center"/>
        <w:rPr>
          <w:color w:val="000000" w:themeColor="text1"/>
        </w:rPr>
      </w:pPr>
      <w:hyperlink r:id="rId401" w:history="1">
        <w:r w:rsidRPr="00F23860">
          <w:rPr>
            <w:rStyle w:val="Kpr"/>
            <w:color w:val="000000" w:themeColor="text1"/>
          </w:rPr>
          <w:t>renser@sakarya.edu.tr</w:t>
        </w:r>
      </w:hyperlink>
    </w:p>
    <w:p w14:paraId="77C5F940" w14:textId="77777777" w:rsidR="0089759E" w:rsidRPr="00F23860" w:rsidRDefault="0089759E" w:rsidP="0089759E">
      <w:pPr>
        <w:jc w:val="center"/>
        <w:rPr>
          <w:color w:val="000000" w:themeColor="text1"/>
        </w:rPr>
      </w:pPr>
      <w:hyperlink r:id="rId402" w:history="1">
        <w:r w:rsidRPr="00F23860">
          <w:rPr>
            <w:rStyle w:val="Kpr"/>
            <w:color w:val="000000" w:themeColor="text1"/>
          </w:rPr>
          <w:t>https://orcid.org/0000-0003-4090-2132</w:t>
        </w:r>
      </w:hyperlink>
    </w:p>
    <w:p w14:paraId="00F7F6CD" w14:textId="77777777" w:rsidR="0089759E" w:rsidRPr="00A71342" w:rsidRDefault="0089759E" w:rsidP="0089759E">
      <w:pPr>
        <w:jc w:val="both"/>
        <w:rPr>
          <w:b/>
          <w:bCs/>
        </w:rPr>
      </w:pPr>
    </w:p>
    <w:p w14:paraId="43C3D530" w14:textId="77777777" w:rsidR="0089759E" w:rsidRPr="000B008D" w:rsidRDefault="0089759E" w:rsidP="0089759E">
      <w:pPr>
        <w:jc w:val="center"/>
        <w:rPr>
          <w:b/>
          <w:bCs/>
        </w:rPr>
      </w:pPr>
      <w:r w:rsidRPr="000B008D">
        <w:rPr>
          <w:b/>
          <w:bCs/>
        </w:rPr>
        <w:t>Öz</w:t>
      </w:r>
      <w:r>
        <w:rPr>
          <w:b/>
          <w:bCs/>
        </w:rPr>
        <w:t>et</w:t>
      </w:r>
    </w:p>
    <w:p w14:paraId="4AD66D8D" w14:textId="77777777" w:rsidR="0089759E" w:rsidRDefault="0089759E" w:rsidP="0089759E">
      <w:r w:rsidRPr="000B008D">
        <w:t xml:space="preserve">Modern Türk şiirinin temel sorunlarından biri, Türk modernleşme tarihinde de görüldüğü üzere gelenekle bağın keskin bir kopuşa neden olması kabul edilir. Bu sorun, özellikle </w:t>
      </w:r>
      <w:proofErr w:type="gramStart"/>
      <w:r w:rsidRPr="000B008D">
        <w:t>muhafazakar</w:t>
      </w:r>
      <w:proofErr w:type="gramEnd"/>
      <w:r w:rsidRPr="000B008D">
        <w:t xml:space="preserve"> çevreler için ontolojik bir boyut arz eder. 1950’lere kadar gelenekle bağ kurma konusunda Mehmet Akif, Yahya Kemal gibi farklı tarzda şiir anlayışına sahip şairler önemli hamleler yapmışlardır. 20. yüzyılın ortalarında önemli bir poetik sorun olarak tartışılan bu konuda en esaslı çıkışlardan biri Sezai Karakoç tarafından gelir. İlk şiirlerinden itibaren onun gelenekle bağ kurma çabalarını görmek mümkünse de özellikle </w:t>
      </w:r>
      <w:r w:rsidRPr="000B008D">
        <w:rPr>
          <w:i/>
          <w:iCs/>
        </w:rPr>
        <w:t>Hızırla Kırk Saat</w:t>
      </w:r>
      <w:r w:rsidRPr="000B008D">
        <w:t xml:space="preserve">’le başlayan </w:t>
      </w:r>
      <w:proofErr w:type="spellStart"/>
      <w:r w:rsidRPr="000B008D">
        <w:t>poemlerinde</w:t>
      </w:r>
      <w:proofErr w:type="spellEnd"/>
      <w:r w:rsidRPr="000B008D">
        <w:t xml:space="preserve"> Karakoç’un bu soruna çok boyutlu eğildiği ve şiirini inşa ederken de gelenekten önemli ölçüde yararlandığı görülür. Karakoç için gelenek sadece şiirinin oturduğu zemin değil, söyleyiş, imge dünyası ve biçim açısından da önemli bir kaynaktır.  Bu çalışmada Sezai Karakoç’un </w:t>
      </w:r>
      <w:r w:rsidRPr="000B008D">
        <w:rPr>
          <w:i/>
          <w:iCs/>
        </w:rPr>
        <w:t>Ateş Dansı</w:t>
      </w:r>
      <w:r w:rsidRPr="000B008D">
        <w:t xml:space="preserve"> adlı kitabında yer alan şiirlerin geleneksel şiirle olan ilişkisi ortaya konacak, söz konusu şiirlerin </w:t>
      </w:r>
      <w:proofErr w:type="spellStart"/>
      <w:r w:rsidRPr="000B008D">
        <w:t>metinlerarasılık</w:t>
      </w:r>
      <w:proofErr w:type="spellEnd"/>
      <w:r w:rsidRPr="000B008D">
        <w:t xml:space="preserve"> açısından göndermede bulunduğu şiirler tespit edilecek ve Karakoç’un gelenekle nasıl bir bağ kurduğu üzerinde durulacaktır. Karakoç ve gelenek üzerine yapılmış pek çok çalışma olmasına rağmen </w:t>
      </w:r>
      <w:r w:rsidRPr="000B008D">
        <w:rPr>
          <w:i/>
          <w:iCs/>
        </w:rPr>
        <w:t>Ateş Dansı</w:t>
      </w:r>
      <w:r w:rsidRPr="000B008D">
        <w:t xml:space="preserve"> kitabında yer alan şiirlerin </w:t>
      </w:r>
      <w:proofErr w:type="spellStart"/>
      <w:r w:rsidRPr="000B008D">
        <w:t>metinlerarasılık</w:t>
      </w:r>
      <w:proofErr w:type="spellEnd"/>
      <w:r w:rsidRPr="000B008D">
        <w:t xml:space="preserve"> açısından doğrudan ele alındığı bütünlüklü bir çalışma olmamasından hareketle böyle bir çalışmanın yapılması gerekli görülmüştür. Nitel bir araştırma olan bu çalışmada </w:t>
      </w:r>
      <w:proofErr w:type="spellStart"/>
      <w:r w:rsidRPr="000B008D">
        <w:t>metinlerarasılık</w:t>
      </w:r>
      <w:proofErr w:type="spellEnd"/>
      <w:r w:rsidRPr="000B008D">
        <w:t xml:space="preserve"> yöntemi kullanılmıştır. Yapılan çalışma ile Sezai Karakoç’un, şiirini var ederken geleneği sadece soyut bir birikim olarak görmediği, geleneği oluşturan kimi şairlerin belirli şiirleriyle doğrudan </w:t>
      </w:r>
      <w:proofErr w:type="spellStart"/>
      <w:r w:rsidRPr="000B008D">
        <w:t>metinlerarası</w:t>
      </w:r>
      <w:proofErr w:type="spellEnd"/>
      <w:r w:rsidRPr="000B008D">
        <w:t xml:space="preserve"> ilişkiler de kurduğu ve yeri geldiğinde ideolojisi doğrultusunda geleneği nasıl tashih ettiği tespit edilmeye çalışılmıştır.</w:t>
      </w:r>
    </w:p>
    <w:p w14:paraId="1F359ABC" w14:textId="77777777" w:rsidR="0089759E" w:rsidRDefault="0089759E" w:rsidP="0089759E">
      <w:pPr>
        <w:jc w:val="both"/>
      </w:pPr>
    </w:p>
    <w:p w14:paraId="667DCFF9" w14:textId="77777777" w:rsidR="0089759E" w:rsidRDefault="0089759E" w:rsidP="0089759E">
      <w:pPr>
        <w:jc w:val="both"/>
      </w:pPr>
      <w:r w:rsidRPr="000B008D">
        <w:rPr>
          <w:b/>
          <w:bCs/>
        </w:rPr>
        <w:t xml:space="preserve">Anahtar Kelimeler: </w:t>
      </w:r>
      <w:r w:rsidRPr="000B008D">
        <w:t xml:space="preserve">Sezai Karakoç, Ateş Dansı, gelenek, </w:t>
      </w:r>
      <w:proofErr w:type="spellStart"/>
      <w:r w:rsidRPr="000B008D">
        <w:t>metinlerarasılık</w:t>
      </w:r>
      <w:proofErr w:type="spellEnd"/>
      <w:r w:rsidRPr="000B008D">
        <w:t>.</w:t>
      </w:r>
    </w:p>
    <w:p w14:paraId="03A06DB6" w14:textId="77777777" w:rsidR="0089759E" w:rsidRPr="007A47E0" w:rsidRDefault="0089759E" w:rsidP="0089759E">
      <w:pPr>
        <w:jc w:val="both"/>
      </w:pPr>
    </w:p>
    <w:p w14:paraId="3C9D81F6" w14:textId="77777777" w:rsidR="0089759E" w:rsidRPr="006E1AD6" w:rsidRDefault="0089759E" w:rsidP="0089759E">
      <w:pPr>
        <w:tabs>
          <w:tab w:val="left" w:pos="567"/>
        </w:tabs>
        <w:jc w:val="center"/>
        <w:rPr>
          <w:b/>
          <w:bCs/>
          <w:color w:val="000000" w:themeColor="text1"/>
        </w:rPr>
      </w:pPr>
      <w:r w:rsidRPr="006E1AD6">
        <w:rPr>
          <w:b/>
          <w:bCs/>
          <w:color w:val="000000" w:themeColor="text1"/>
        </w:rPr>
        <w:t>Giriş</w:t>
      </w:r>
    </w:p>
    <w:p w14:paraId="018F7F9B" w14:textId="77777777" w:rsidR="0089759E" w:rsidRPr="004C4B53" w:rsidRDefault="0089759E" w:rsidP="0089759E">
      <w:pPr>
        <w:tabs>
          <w:tab w:val="left" w:pos="567"/>
        </w:tabs>
        <w:jc w:val="both"/>
        <w:rPr>
          <w:color w:val="000000" w:themeColor="text1"/>
        </w:rPr>
      </w:pPr>
      <w:proofErr w:type="spellStart"/>
      <w:r w:rsidRPr="004C4B53">
        <w:rPr>
          <w:color w:val="000000" w:themeColor="text1"/>
        </w:rPr>
        <w:t>Metinlerarasılık</w:t>
      </w:r>
      <w:proofErr w:type="spellEnd"/>
      <w:r w:rsidRPr="004C4B53">
        <w:rPr>
          <w:color w:val="000000" w:themeColor="text1"/>
        </w:rPr>
        <w:t xml:space="preserve">, </w:t>
      </w:r>
      <w:proofErr w:type="spellStart"/>
      <w:r w:rsidRPr="004C4B53">
        <w:rPr>
          <w:color w:val="000000" w:themeColor="text1"/>
        </w:rPr>
        <w:t>postmodern</w:t>
      </w:r>
      <w:proofErr w:type="spellEnd"/>
      <w:r w:rsidRPr="004C4B53">
        <w:rPr>
          <w:color w:val="000000" w:themeColor="text1"/>
        </w:rPr>
        <w:t xml:space="preserve"> edebiyatın başlıca tekniklerinden biri olarak kabul edilse </w:t>
      </w:r>
      <w:proofErr w:type="gramStart"/>
      <w:r w:rsidRPr="004C4B53">
        <w:rPr>
          <w:color w:val="000000" w:themeColor="text1"/>
        </w:rPr>
        <w:t>de,</w:t>
      </w:r>
      <w:proofErr w:type="gramEnd"/>
      <w:r w:rsidRPr="004C4B53">
        <w:rPr>
          <w:color w:val="000000" w:themeColor="text1"/>
        </w:rPr>
        <w:t xml:space="preserve"> aslında edebiyat tarihinde oldukça eski bir geçmişe sahiptir. “Bütüncül bir yapıya kavuşturulması amacıyla bir edebî metnin dokusuna hem edebiyat alanından hem de başka alanlardan metin parçalarının katılması” (Akalın, 2011, s. 1667) şeklinde tanımlanan </w:t>
      </w:r>
      <w:proofErr w:type="spellStart"/>
      <w:r w:rsidRPr="004C4B53">
        <w:rPr>
          <w:color w:val="000000" w:themeColor="text1"/>
        </w:rPr>
        <w:t>metinlerarasılık</w:t>
      </w:r>
      <w:proofErr w:type="spellEnd"/>
      <w:r w:rsidRPr="004C4B53">
        <w:rPr>
          <w:color w:val="000000" w:themeColor="text1"/>
        </w:rPr>
        <w:t xml:space="preserve">, geniş bir tarihsel süreçte farklı anlamlar yüklenerek kullanılmış bir yöntemdir. Bu kavram, yansıtmacı metinlerde iç gerçekliği temel alınan dış gerçekliğe yaklaştırmak amacıyla kullanılırken, </w:t>
      </w:r>
      <w:proofErr w:type="spellStart"/>
      <w:r w:rsidRPr="004C4B53">
        <w:rPr>
          <w:color w:val="000000" w:themeColor="text1"/>
        </w:rPr>
        <w:t>modernist</w:t>
      </w:r>
      <w:proofErr w:type="spellEnd"/>
      <w:r w:rsidRPr="004C4B53">
        <w:rPr>
          <w:color w:val="000000" w:themeColor="text1"/>
        </w:rPr>
        <w:t xml:space="preserve"> metinlerde daha çok motif, imge, yapı gibi estetik unsurlar çerçevesinde işlevselleştirilmiştir (</w:t>
      </w:r>
      <w:proofErr w:type="spellStart"/>
      <w:r w:rsidRPr="004C4B53">
        <w:rPr>
          <w:color w:val="000000" w:themeColor="text1"/>
        </w:rPr>
        <w:t>Sazyek</w:t>
      </w:r>
      <w:proofErr w:type="spellEnd"/>
      <w:r w:rsidRPr="004C4B53">
        <w:rPr>
          <w:color w:val="000000" w:themeColor="text1"/>
        </w:rPr>
        <w:t xml:space="preserve">, 2013). Ancak </w:t>
      </w:r>
      <w:proofErr w:type="spellStart"/>
      <w:r w:rsidRPr="004C4B53">
        <w:rPr>
          <w:color w:val="000000" w:themeColor="text1"/>
        </w:rPr>
        <w:t>postmodern</w:t>
      </w:r>
      <w:proofErr w:type="spellEnd"/>
      <w:r w:rsidRPr="004C4B53">
        <w:rPr>
          <w:color w:val="000000" w:themeColor="text1"/>
        </w:rPr>
        <w:t xml:space="preserve"> edebiyat </w:t>
      </w:r>
      <w:proofErr w:type="gramStart"/>
      <w:r w:rsidRPr="004C4B53">
        <w:rPr>
          <w:color w:val="000000" w:themeColor="text1"/>
        </w:rPr>
        <w:t>ile birlikte</w:t>
      </w:r>
      <w:proofErr w:type="gramEnd"/>
      <w:r w:rsidRPr="004C4B53">
        <w:rPr>
          <w:color w:val="000000" w:themeColor="text1"/>
        </w:rPr>
        <w:t xml:space="preserve"> </w:t>
      </w:r>
      <w:proofErr w:type="spellStart"/>
      <w:r w:rsidRPr="004C4B53">
        <w:rPr>
          <w:color w:val="000000" w:themeColor="text1"/>
        </w:rPr>
        <w:t>metinlerarasılık</w:t>
      </w:r>
      <w:proofErr w:type="spellEnd"/>
      <w:r w:rsidRPr="004C4B53">
        <w:rPr>
          <w:color w:val="000000" w:themeColor="text1"/>
        </w:rPr>
        <w:t>, yalnızca anlam düzeyinde değil, aynı zamanda biçim, üslup ve kurgu açısından da belirleyici bir unsur hâline gelmiştir.</w:t>
      </w:r>
    </w:p>
    <w:p w14:paraId="791F0A7D" w14:textId="77777777" w:rsidR="0089759E" w:rsidRPr="004C4B53" w:rsidRDefault="0089759E" w:rsidP="0089759E">
      <w:pPr>
        <w:tabs>
          <w:tab w:val="left" w:pos="567"/>
        </w:tabs>
        <w:jc w:val="both"/>
        <w:rPr>
          <w:color w:val="000000" w:themeColor="text1"/>
        </w:rPr>
      </w:pPr>
      <w:r w:rsidRPr="004C4B53">
        <w:rPr>
          <w:color w:val="000000" w:themeColor="text1"/>
        </w:rPr>
        <w:t xml:space="preserve">Edebiyat kuramı ve eleştirisinde </w:t>
      </w:r>
      <w:proofErr w:type="spellStart"/>
      <w:r w:rsidRPr="004C4B53">
        <w:rPr>
          <w:color w:val="000000" w:themeColor="text1"/>
        </w:rPr>
        <w:t>metinlerarasılığın</w:t>
      </w:r>
      <w:proofErr w:type="spellEnd"/>
      <w:r w:rsidRPr="004C4B53">
        <w:rPr>
          <w:color w:val="000000" w:themeColor="text1"/>
        </w:rPr>
        <w:t xml:space="preserve"> bir yazınsal söylem olarak ele alınması, Rus dilbilimci ve edebiyat kuramcısı Mihail </w:t>
      </w:r>
      <w:proofErr w:type="spellStart"/>
      <w:r w:rsidRPr="004C4B53">
        <w:rPr>
          <w:color w:val="000000" w:themeColor="text1"/>
        </w:rPr>
        <w:t>Bahtin’in</w:t>
      </w:r>
      <w:proofErr w:type="spellEnd"/>
      <w:r w:rsidRPr="004C4B53">
        <w:rPr>
          <w:color w:val="000000" w:themeColor="text1"/>
        </w:rPr>
        <w:t xml:space="preserve"> çalışmaları sayesinde mümkün olmuştur. </w:t>
      </w:r>
      <w:proofErr w:type="spellStart"/>
      <w:r w:rsidRPr="004C4B53">
        <w:rPr>
          <w:color w:val="000000" w:themeColor="text1"/>
        </w:rPr>
        <w:t>Bahtin</w:t>
      </w:r>
      <w:proofErr w:type="spellEnd"/>
      <w:r w:rsidRPr="004C4B53">
        <w:rPr>
          <w:color w:val="000000" w:themeColor="text1"/>
        </w:rPr>
        <w:t>, “</w:t>
      </w:r>
      <w:proofErr w:type="spellStart"/>
      <w:r w:rsidRPr="004C4B53">
        <w:rPr>
          <w:color w:val="000000" w:themeColor="text1"/>
        </w:rPr>
        <w:t>metinlerarasılık</w:t>
      </w:r>
      <w:proofErr w:type="spellEnd"/>
      <w:r w:rsidRPr="004C4B53">
        <w:rPr>
          <w:color w:val="000000" w:themeColor="text1"/>
        </w:rPr>
        <w:t>” terimi yerine “</w:t>
      </w:r>
      <w:proofErr w:type="spellStart"/>
      <w:r w:rsidRPr="004C4B53">
        <w:rPr>
          <w:color w:val="000000" w:themeColor="text1"/>
        </w:rPr>
        <w:t>dialogism</w:t>
      </w:r>
      <w:proofErr w:type="spellEnd"/>
      <w:r w:rsidRPr="004C4B53">
        <w:rPr>
          <w:color w:val="000000" w:themeColor="text1"/>
        </w:rPr>
        <w:t>” (</w:t>
      </w:r>
      <w:proofErr w:type="spellStart"/>
      <w:r w:rsidRPr="004C4B53">
        <w:rPr>
          <w:color w:val="000000" w:themeColor="text1"/>
        </w:rPr>
        <w:t>söyleşimcilik</w:t>
      </w:r>
      <w:proofErr w:type="spellEnd"/>
      <w:r w:rsidRPr="004C4B53">
        <w:rPr>
          <w:color w:val="000000" w:themeColor="text1"/>
        </w:rPr>
        <w:t xml:space="preserve">) kavramını kullanarak, tüm söz türlerinin hem söz konusu nesne, konu veya durum ile hem de dinleyici/okuyucu ile belirli </w:t>
      </w:r>
      <w:r w:rsidRPr="004C4B53">
        <w:rPr>
          <w:color w:val="000000" w:themeColor="text1"/>
        </w:rPr>
        <w:lastRenderedPageBreak/>
        <w:t>bir ilişki içerisinde olduğunu öne sürer. Ona göre söz, ancak bu çift yönlü tutum sayesinde varlık kazanabilir ve tanımlanabilir (</w:t>
      </w:r>
      <w:proofErr w:type="spellStart"/>
      <w:r w:rsidRPr="004C4B53">
        <w:rPr>
          <w:color w:val="000000" w:themeColor="text1"/>
        </w:rPr>
        <w:t>Bakhtin</w:t>
      </w:r>
      <w:proofErr w:type="spellEnd"/>
      <w:r w:rsidRPr="004C4B53">
        <w:rPr>
          <w:color w:val="000000" w:themeColor="text1"/>
        </w:rPr>
        <w:t>, 2000).</w:t>
      </w:r>
    </w:p>
    <w:p w14:paraId="36E24B8F" w14:textId="77777777" w:rsidR="0089759E" w:rsidRDefault="0089759E" w:rsidP="0089759E">
      <w:pPr>
        <w:tabs>
          <w:tab w:val="left" w:pos="567"/>
        </w:tabs>
        <w:rPr>
          <w:color w:val="000000" w:themeColor="text1"/>
        </w:rPr>
      </w:pPr>
      <w:proofErr w:type="spellStart"/>
      <w:r w:rsidRPr="004C4B53">
        <w:rPr>
          <w:color w:val="000000" w:themeColor="text1"/>
        </w:rPr>
        <w:t>Bahtin’e</w:t>
      </w:r>
      <w:proofErr w:type="spellEnd"/>
      <w:r w:rsidRPr="004C4B53">
        <w:rPr>
          <w:color w:val="000000" w:themeColor="text1"/>
        </w:rPr>
        <w:t xml:space="preserve"> göre her sözlü iletişim ve etkileşim, bir söyleşim sürecine dayanır ve bireyler arası bir olgu niteliği taşır. Bu </w:t>
      </w:r>
      <w:proofErr w:type="gramStart"/>
      <w:r w:rsidRPr="004C4B53">
        <w:rPr>
          <w:color w:val="000000" w:themeColor="text1"/>
        </w:rPr>
        <w:t>çerçevede,</w:t>
      </w:r>
      <w:proofErr w:type="gramEnd"/>
      <w:r w:rsidRPr="004C4B53">
        <w:rPr>
          <w:color w:val="000000" w:themeColor="text1"/>
        </w:rPr>
        <w:t xml:space="preserve"> ister edebi ister gündelik içerikli metinler olsun, her sözce toplumsal bir bağlamda köklenmiş olup belirli bir toplumsal çevreye yöneliktir. Dolayısıyla her söylem, kendisini oluşturan ayrışık sözlerin taşıyıcısıdır. </w:t>
      </w:r>
      <w:proofErr w:type="spellStart"/>
      <w:r w:rsidRPr="004C4B53">
        <w:rPr>
          <w:color w:val="000000" w:themeColor="text1"/>
        </w:rPr>
        <w:t>Bahtin'in</w:t>
      </w:r>
      <w:proofErr w:type="spellEnd"/>
      <w:r w:rsidRPr="004C4B53">
        <w:rPr>
          <w:color w:val="000000" w:themeColor="text1"/>
        </w:rPr>
        <w:t xml:space="preserve"> bu yaklaşımı, </w:t>
      </w:r>
      <w:proofErr w:type="spellStart"/>
      <w:r w:rsidRPr="004C4B53">
        <w:rPr>
          <w:color w:val="000000" w:themeColor="text1"/>
        </w:rPr>
        <w:t>metinlerarasılık</w:t>
      </w:r>
      <w:proofErr w:type="spellEnd"/>
      <w:r w:rsidRPr="004C4B53">
        <w:rPr>
          <w:color w:val="000000" w:themeColor="text1"/>
        </w:rPr>
        <w:t xml:space="preserve"> kuramını geliştiren sonraki eleştirmenler tarafından da benimsenmiştir. Yapısalcılık ve postyapısalcılık gibi çağdaş eleştiri kuramları, metni tarihsel süreçten, üretildiği bağlamdan ve hatta yazarından bağımsız bir yapı olarak ele alırken, </w:t>
      </w:r>
      <w:proofErr w:type="spellStart"/>
      <w:r w:rsidRPr="004C4B53">
        <w:rPr>
          <w:color w:val="000000" w:themeColor="text1"/>
        </w:rPr>
        <w:t>Bahtin</w:t>
      </w:r>
      <w:proofErr w:type="spellEnd"/>
      <w:r w:rsidRPr="004C4B53">
        <w:rPr>
          <w:color w:val="000000" w:themeColor="text1"/>
        </w:rPr>
        <w:t xml:space="preserve"> bunun aksine, her söylemin diğer söylemlerle iç içe geçtiğini, hiçbir söylemin diğerlerinden bağımsız olamayacağını savunur. O, </w:t>
      </w:r>
      <w:proofErr w:type="spellStart"/>
      <w:r w:rsidRPr="004C4B53">
        <w:rPr>
          <w:color w:val="000000" w:themeColor="text1"/>
        </w:rPr>
        <w:t>söyleşimci</w:t>
      </w:r>
      <w:proofErr w:type="spellEnd"/>
      <w:r w:rsidRPr="004C4B53">
        <w:rPr>
          <w:color w:val="000000" w:themeColor="text1"/>
        </w:rPr>
        <w:t xml:space="preserve"> yöntemin her söyleme özgü bir olgu olduğunu belirterek, “Nesneye yönelen tüm yollar, söylemi kaçınılmaz olarak başka bir söyleme ulaştırır ve onunla etkileşime girmesine neden olur… Yalnız ‘yalnız’ Âdem, bütünüyle </w:t>
      </w:r>
      <w:proofErr w:type="spellStart"/>
      <w:r w:rsidRPr="004C4B53">
        <w:rPr>
          <w:color w:val="000000" w:themeColor="text1"/>
        </w:rPr>
        <w:t>söyleşimcilikten</w:t>
      </w:r>
      <w:proofErr w:type="spellEnd"/>
      <w:r w:rsidRPr="004C4B53">
        <w:rPr>
          <w:color w:val="000000" w:themeColor="text1"/>
        </w:rPr>
        <w:t xml:space="preserve"> muaf tutulabilir” ifadelerini kullanır (</w:t>
      </w:r>
      <w:proofErr w:type="spellStart"/>
      <w:r w:rsidRPr="004C4B53">
        <w:rPr>
          <w:color w:val="000000" w:themeColor="text1"/>
        </w:rPr>
        <w:t>Aktulum</w:t>
      </w:r>
      <w:proofErr w:type="spellEnd"/>
      <w:r w:rsidRPr="004C4B53">
        <w:rPr>
          <w:color w:val="000000" w:themeColor="text1"/>
        </w:rPr>
        <w:t>, 2000, s. 27).</w:t>
      </w:r>
    </w:p>
    <w:p w14:paraId="22796C6A" w14:textId="77777777" w:rsidR="0089759E" w:rsidRPr="004C4B53" w:rsidRDefault="0089759E" w:rsidP="0089759E">
      <w:pPr>
        <w:tabs>
          <w:tab w:val="left" w:pos="567"/>
        </w:tabs>
        <w:jc w:val="both"/>
        <w:rPr>
          <w:color w:val="000000" w:themeColor="text1"/>
        </w:rPr>
      </w:pPr>
    </w:p>
    <w:p w14:paraId="2740F294" w14:textId="77777777" w:rsidR="0089759E" w:rsidRDefault="0089759E" w:rsidP="0089759E">
      <w:pPr>
        <w:tabs>
          <w:tab w:val="left" w:pos="567"/>
        </w:tabs>
        <w:rPr>
          <w:color w:val="000000" w:themeColor="text1"/>
        </w:rPr>
      </w:pPr>
      <w:proofErr w:type="spellStart"/>
      <w:r w:rsidRPr="004C4B53">
        <w:rPr>
          <w:color w:val="000000" w:themeColor="text1"/>
        </w:rPr>
        <w:t>Metinlerarasılık</w:t>
      </w:r>
      <w:proofErr w:type="spellEnd"/>
      <w:r w:rsidRPr="004C4B53">
        <w:rPr>
          <w:color w:val="000000" w:themeColor="text1"/>
        </w:rPr>
        <w:t xml:space="preserve"> kavramını akademik bağlamda ilk kez ele alarak ona kuramsal bir çerçeve çizen araştırmacı ise Julia </w:t>
      </w:r>
      <w:proofErr w:type="spellStart"/>
      <w:r w:rsidRPr="004C4B53">
        <w:rPr>
          <w:color w:val="000000" w:themeColor="text1"/>
        </w:rPr>
        <w:t>Kristeva’dır</w:t>
      </w:r>
      <w:proofErr w:type="spellEnd"/>
      <w:r w:rsidRPr="004C4B53">
        <w:rPr>
          <w:color w:val="000000" w:themeColor="text1"/>
        </w:rPr>
        <w:t xml:space="preserve">. 1969 yılında yayımladığı </w:t>
      </w:r>
      <w:proofErr w:type="spellStart"/>
      <w:r w:rsidRPr="004C4B53">
        <w:rPr>
          <w:i/>
          <w:iCs/>
          <w:color w:val="000000" w:themeColor="text1"/>
        </w:rPr>
        <w:t>Sémeiotiké</w:t>
      </w:r>
      <w:proofErr w:type="spellEnd"/>
      <w:r w:rsidRPr="004C4B53">
        <w:rPr>
          <w:i/>
          <w:iCs/>
          <w:color w:val="000000" w:themeColor="text1"/>
        </w:rPr>
        <w:t xml:space="preserve">: </w:t>
      </w:r>
      <w:proofErr w:type="spellStart"/>
      <w:r w:rsidRPr="004C4B53">
        <w:rPr>
          <w:i/>
          <w:iCs/>
          <w:color w:val="000000" w:themeColor="text1"/>
        </w:rPr>
        <w:t>Recherches</w:t>
      </w:r>
      <w:proofErr w:type="spellEnd"/>
      <w:r w:rsidRPr="004C4B53">
        <w:rPr>
          <w:i/>
          <w:iCs/>
          <w:color w:val="000000" w:themeColor="text1"/>
        </w:rPr>
        <w:t xml:space="preserve"> </w:t>
      </w:r>
      <w:proofErr w:type="spellStart"/>
      <w:r w:rsidRPr="004C4B53">
        <w:rPr>
          <w:i/>
          <w:iCs/>
          <w:color w:val="000000" w:themeColor="text1"/>
        </w:rPr>
        <w:t>pour</w:t>
      </w:r>
      <w:proofErr w:type="spellEnd"/>
      <w:r w:rsidRPr="004C4B53">
        <w:rPr>
          <w:i/>
          <w:iCs/>
          <w:color w:val="000000" w:themeColor="text1"/>
        </w:rPr>
        <w:t xml:space="preserve"> </w:t>
      </w:r>
      <w:proofErr w:type="spellStart"/>
      <w:r w:rsidRPr="004C4B53">
        <w:rPr>
          <w:i/>
          <w:iCs/>
          <w:color w:val="000000" w:themeColor="text1"/>
        </w:rPr>
        <w:t>une</w:t>
      </w:r>
      <w:proofErr w:type="spellEnd"/>
      <w:r w:rsidRPr="004C4B53">
        <w:rPr>
          <w:i/>
          <w:iCs/>
          <w:color w:val="000000" w:themeColor="text1"/>
        </w:rPr>
        <w:t xml:space="preserve"> </w:t>
      </w:r>
      <w:proofErr w:type="spellStart"/>
      <w:r w:rsidRPr="004C4B53">
        <w:rPr>
          <w:i/>
          <w:iCs/>
          <w:color w:val="000000" w:themeColor="text1"/>
        </w:rPr>
        <w:t>sémanalyse</w:t>
      </w:r>
      <w:proofErr w:type="spellEnd"/>
      <w:r w:rsidRPr="004C4B53">
        <w:rPr>
          <w:color w:val="000000" w:themeColor="text1"/>
        </w:rPr>
        <w:t xml:space="preserve"> adlı eserinde, “Her metin, bir alıntılar mozaiğidir; her metin, içinde başka bir metnin eritildiği ve dönüştürüldüğü bir yapıdır” diyerek </w:t>
      </w:r>
      <w:proofErr w:type="spellStart"/>
      <w:r w:rsidRPr="004C4B53">
        <w:rPr>
          <w:color w:val="000000" w:themeColor="text1"/>
        </w:rPr>
        <w:t>metinlerarasılığın</w:t>
      </w:r>
      <w:proofErr w:type="spellEnd"/>
      <w:r w:rsidRPr="004C4B53">
        <w:rPr>
          <w:color w:val="000000" w:themeColor="text1"/>
        </w:rPr>
        <w:t xml:space="preserve"> </w:t>
      </w:r>
      <w:proofErr w:type="spellStart"/>
      <w:r w:rsidRPr="004C4B53">
        <w:rPr>
          <w:color w:val="000000" w:themeColor="text1"/>
        </w:rPr>
        <w:t>yazınsallığın</w:t>
      </w:r>
      <w:proofErr w:type="spellEnd"/>
      <w:r w:rsidRPr="004C4B53">
        <w:rPr>
          <w:color w:val="000000" w:themeColor="text1"/>
        </w:rPr>
        <w:t xml:space="preserve"> temel ölçütlerinden biri haline getirir (</w:t>
      </w:r>
      <w:proofErr w:type="spellStart"/>
      <w:r w:rsidRPr="004C4B53">
        <w:rPr>
          <w:color w:val="000000" w:themeColor="text1"/>
        </w:rPr>
        <w:t>Aktulum</w:t>
      </w:r>
      <w:proofErr w:type="spellEnd"/>
      <w:r w:rsidRPr="004C4B53">
        <w:rPr>
          <w:color w:val="000000" w:themeColor="text1"/>
        </w:rPr>
        <w:t>, 2000).</w:t>
      </w:r>
    </w:p>
    <w:p w14:paraId="01A6E9F7" w14:textId="77777777" w:rsidR="0089759E" w:rsidRPr="004C4B53" w:rsidRDefault="0089759E" w:rsidP="0089759E">
      <w:pPr>
        <w:tabs>
          <w:tab w:val="left" w:pos="567"/>
        </w:tabs>
        <w:jc w:val="both"/>
        <w:rPr>
          <w:color w:val="000000" w:themeColor="text1"/>
        </w:rPr>
      </w:pPr>
    </w:p>
    <w:p w14:paraId="7B6A662B" w14:textId="77777777" w:rsidR="0089759E" w:rsidRDefault="0089759E" w:rsidP="0089759E">
      <w:pPr>
        <w:tabs>
          <w:tab w:val="left" w:pos="567"/>
        </w:tabs>
        <w:rPr>
          <w:color w:val="000000" w:themeColor="text1"/>
        </w:rPr>
      </w:pPr>
      <w:r w:rsidRPr="004C4B53">
        <w:rPr>
          <w:color w:val="000000" w:themeColor="text1"/>
        </w:rPr>
        <w:t xml:space="preserve">Başlangıçta yapısalcı düşünceye yakın duran Roland </w:t>
      </w:r>
      <w:proofErr w:type="spellStart"/>
      <w:r w:rsidRPr="004C4B53">
        <w:rPr>
          <w:color w:val="000000" w:themeColor="text1"/>
        </w:rPr>
        <w:t>Barthes</w:t>
      </w:r>
      <w:proofErr w:type="spellEnd"/>
      <w:r w:rsidRPr="004C4B53">
        <w:rPr>
          <w:color w:val="000000" w:themeColor="text1"/>
        </w:rPr>
        <w:t xml:space="preserve">, daha sonra </w:t>
      </w:r>
      <w:proofErr w:type="spellStart"/>
      <w:r w:rsidRPr="004C4B53">
        <w:rPr>
          <w:color w:val="000000" w:themeColor="text1"/>
        </w:rPr>
        <w:t>Kristeva’nın</w:t>
      </w:r>
      <w:proofErr w:type="spellEnd"/>
      <w:r w:rsidRPr="004C4B53">
        <w:rPr>
          <w:color w:val="000000" w:themeColor="text1"/>
        </w:rPr>
        <w:t xml:space="preserve"> </w:t>
      </w:r>
      <w:proofErr w:type="spellStart"/>
      <w:r w:rsidRPr="004C4B53">
        <w:rPr>
          <w:color w:val="000000" w:themeColor="text1"/>
        </w:rPr>
        <w:t>metinlerarasılık</w:t>
      </w:r>
      <w:proofErr w:type="spellEnd"/>
      <w:r w:rsidRPr="004C4B53">
        <w:rPr>
          <w:color w:val="000000" w:themeColor="text1"/>
        </w:rPr>
        <w:t xml:space="preserve"> kuramını benimseyerek, metin kavramını özne merkezli bir anlayıştan uzaklaştırır. O, yeni bir metin tanımı geliştirerek, </w:t>
      </w:r>
      <w:proofErr w:type="spellStart"/>
      <w:r w:rsidRPr="004C4B53">
        <w:rPr>
          <w:color w:val="000000" w:themeColor="text1"/>
        </w:rPr>
        <w:t>metinlerarasılığın</w:t>
      </w:r>
      <w:proofErr w:type="spellEnd"/>
      <w:r w:rsidRPr="004C4B53">
        <w:rPr>
          <w:color w:val="000000" w:themeColor="text1"/>
        </w:rPr>
        <w:t xml:space="preserve"> yazınsal üretimin temel bir unsuru olduğunu savunur: “Her metin </w:t>
      </w:r>
      <w:proofErr w:type="spellStart"/>
      <w:r w:rsidRPr="004C4B53">
        <w:rPr>
          <w:color w:val="000000" w:themeColor="text1"/>
        </w:rPr>
        <w:t>metinlerarasıdır</w:t>
      </w:r>
      <w:proofErr w:type="spellEnd"/>
      <w:r w:rsidRPr="004C4B53">
        <w:rPr>
          <w:color w:val="000000" w:themeColor="text1"/>
        </w:rPr>
        <w:t xml:space="preserve">; onda farklı düzeylerde ve çeşitli biçimlerde başka metinler yer alır. Bu </w:t>
      </w:r>
      <w:proofErr w:type="gramStart"/>
      <w:r w:rsidRPr="004C4B53">
        <w:rPr>
          <w:color w:val="000000" w:themeColor="text1"/>
        </w:rPr>
        <w:t>metinler,</w:t>
      </w:r>
      <w:proofErr w:type="gramEnd"/>
      <w:r w:rsidRPr="004C4B53">
        <w:rPr>
          <w:color w:val="000000" w:themeColor="text1"/>
        </w:rPr>
        <w:t xml:space="preserve"> hem geçmişte edinilen bilgi birikiminden hem de çevremizdeki kültürel ortamdan kaynaklanır. Her metin, eski alıntıların yeni bir örgüsüdür” (</w:t>
      </w:r>
      <w:proofErr w:type="spellStart"/>
      <w:r w:rsidRPr="004C4B53">
        <w:rPr>
          <w:color w:val="000000" w:themeColor="text1"/>
        </w:rPr>
        <w:t>Aktulum</w:t>
      </w:r>
      <w:proofErr w:type="spellEnd"/>
      <w:r w:rsidRPr="004C4B53">
        <w:rPr>
          <w:color w:val="000000" w:themeColor="text1"/>
        </w:rPr>
        <w:t>, 2000, s. 56).</w:t>
      </w:r>
    </w:p>
    <w:p w14:paraId="3BDE7DBA" w14:textId="77777777" w:rsidR="0089759E" w:rsidRPr="004C4B53" w:rsidRDefault="0089759E" w:rsidP="0089759E">
      <w:pPr>
        <w:tabs>
          <w:tab w:val="left" w:pos="567"/>
        </w:tabs>
        <w:jc w:val="both"/>
        <w:rPr>
          <w:color w:val="000000" w:themeColor="text1"/>
        </w:rPr>
      </w:pPr>
    </w:p>
    <w:p w14:paraId="618A2268" w14:textId="77777777" w:rsidR="0089759E" w:rsidRDefault="0089759E" w:rsidP="0089759E">
      <w:pPr>
        <w:tabs>
          <w:tab w:val="left" w:pos="567"/>
        </w:tabs>
        <w:rPr>
          <w:color w:val="000000" w:themeColor="text1"/>
        </w:rPr>
      </w:pPr>
      <w:proofErr w:type="spellStart"/>
      <w:r w:rsidRPr="004C4B53">
        <w:rPr>
          <w:color w:val="000000" w:themeColor="text1"/>
        </w:rPr>
        <w:t>Metinlerarasılık</w:t>
      </w:r>
      <w:proofErr w:type="spellEnd"/>
      <w:r w:rsidRPr="004C4B53">
        <w:rPr>
          <w:color w:val="000000" w:themeColor="text1"/>
        </w:rPr>
        <w:t xml:space="preserve"> konusunda önemli katkılar sunan eleştirmenlerden biri de </w:t>
      </w:r>
      <w:proofErr w:type="spellStart"/>
      <w:r w:rsidRPr="004C4B53">
        <w:rPr>
          <w:color w:val="000000" w:themeColor="text1"/>
        </w:rPr>
        <w:t>Gérard</w:t>
      </w:r>
      <w:proofErr w:type="spellEnd"/>
      <w:r w:rsidRPr="004C4B53">
        <w:rPr>
          <w:color w:val="000000" w:themeColor="text1"/>
        </w:rPr>
        <w:t xml:space="preserve"> </w:t>
      </w:r>
      <w:proofErr w:type="spellStart"/>
      <w:r w:rsidRPr="004C4B53">
        <w:rPr>
          <w:color w:val="000000" w:themeColor="text1"/>
        </w:rPr>
        <w:t>Genette’tir</w:t>
      </w:r>
      <w:proofErr w:type="spellEnd"/>
      <w:r w:rsidRPr="004C4B53">
        <w:rPr>
          <w:color w:val="000000" w:themeColor="text1"/>
        </w:rPr>
        <w:t xml:space="preserve">. </w:t>
      </w:r>
      <w:proofErr w:type="spellStart"/>
      <w:r w:rsidRPr="004C4B53">
        <w:rPr>
          <w:color w:val="000000" w:themeColor="text1"/>
        </w:rPr>
        <w:t>Kristeva’nın</w:t>
      </w:r>
      <w:proofErr w:type="spellEnd"/>
      <w:r w:rsidRPr="004C4B53">
        <w:rPr>
          <w:color w:val="000000" w:themeColor="text1"/>
        </w:rPr>
        <w:t xml:space="preserve"> “</w:t>
      </w:r>
      <w:proofErr w:type="spellStart"/>
      <w:r w:rsidRPr="004C4B53">
        <w:rPr>
          <w:color w:val="000000" w:themeColor="text1"/>
        </w:rPr>
        <w:t>intertextuality</w:t>
      </w:r>
      <w:proofErr w:type="spellEnd"/>
      <w:r w:rsidRPr="004C4B53">
        <w:rPr>
          <w:color w:val="000000" w:themeColor="text1"/>
        </w:rPr>
        <w:t>” (</w:t>
      </w:r>
      <w:proofErr w:type="spellStart"/>
      <w:r w:rsidRPr="004C4B53">
        <w:rPr>
          <w:color w:val="000000" w:themeColor="text1"/>
        </w:rPr>
        <w:t>metinlerarasılık</w:t>
      </w:r>
      <w:proofErr w:type="spellEnd"/>
      <w:r w:rsidRPr="004C4B53">
        <w:rPr>
          <w:color w:val="000000" w:themeColor="text1"/>
        </w:rPr>
        <w:t>) kavramını benimsemek yerine, “</w:t>
      </w:r>
      <w:proofErr w:type="spellStart"/>
      <w:r w:rsidRPr="004C4B53">
        <w:rPr>
          <w:color w:val="000000" w:themeColor="text1"/>
        </w:rPr>
        <w:t>hypertextualité</w:t>
      </w:r>
      <w:proofErr w:type="spellEnd"/>
      <w:r w:rsidRPr="004C4B53">
        <w:rPr>
          <w:color w:val="000000" w:themeColor="text1"/>
        </w:rPr>
        <w:t xml:space="preserve">” (ana-metinsellik) kavramını geliştiren </w:t>
      </w:r>
      <w:proofErr w:type="spellStart"/>
      <w:r w:rsidRPr="004C4B53">
        <w:rPr>
          <w:color w:val="000000" w:themeColor="text1"/>
        </w:rPr>
        <w:t>Genette</w:t>
      </w:r>
      <w:proofErr w:type="spellEnd"/>
      <w:r w:rsidRPr="004C4B53">
        <w:rPr>
          <w:color w:val="000000" w:themeColor="text1"/>
        </w:rPr>
        <w:t xml:space="preserve">, </w:t>
      </w:r>
      <w:proofErr w:type="spellStart"/>
      <w:r w:rsidRPr="004C4B53">
        <w:rPr>
          <w:color w:val="000000" w:themeColor="text1"/>
        </w:rPr>
        <w:t>metinlerarasılığın</w:t>
      </w:r>
      <w:proofErr w:type="spellEnd"/>
      <w:r w:rsidRPr="004C4B53">
        <w:rPr>
          <w:color w:val="000000" w:themeColor="text1"/>
        </w:rPr>
        <w:t xml:space="preserve"> kavramsal boyutu ile uygulamaya dönük yönlerini birbirinden ayırarak yeni bir kuramsal çerçeve oluşturur.</w:t>
      </w:r>
    </w:p>
    <w:p w14:paraId="0B56E7D2" w14:textId="77777777" w:rsidR="0089759E" w:rsidRPr="004C4B53" w:rsidRDefault="0089759E" w:rsidP="0089759E">
      <w:pPr>
        <w:tabs>
          <w:tab w:val="left" w:pos="567"/>
        </w:tabs>
        <w:jc w:val="both"/>
        <w:rPr>
          <w:color w:val="000000" w:themeColor="text1"/>
        </w:rPr>
      </w:pPr>
    </w:p>
    <w:p w14:paraId="20081651" w14:textId="77777777" w:rsidR="0089759E" w:rsidRPr="004C4B53" w:rsidRDefault="0089759E" w:rsidP="0089759E">
      <w:pPr>
        <w:tabs>
          <w:tab w:val="left" w:pos="567"/>
        </w:tabs>
        <w:jc w:val="both"/>
        <w:rPr>
          <w:color w:val="000000" w:themeColor="text1"/>
        </w:rPr>
      </w:pPr>
      <w:r w:rsidRPr="004C4B53">
        <w:rPr>
          <w:color w:val="000000" w:themeColor="text1"/>
        </w:rPr>
        <w:t xml:space="preserve">Genel olarak, </w:t>
      </w:r>
      <w:proofErr w:type="spellStart"/>
      <w:r w:rsidRPr="004C4B53">
        <w:rPr>
          <w:color w:val="000000" w:themeColor="text1"/>
        </w:rPr>
        <w:t>metinlerarasılık</w:t>
      </w:r>
      <w:proofErr w:type="spellEnd"/>
      <w:r w:rsidRPr="004C4B53">
        <w:rPr>
          <w:color w:val="000000" w:themeColor="text1"/>
        </w:rPr>
        <w:t xml:space="preserve"> üzerine yapılan kuramsal çalışmalar incelendiğinde, her eleştirmenin bu kavramı farklı perspektiflerden ele aldığı görülse de ortak paydada benzer çıkarımlara ulaşıldığı söylenebilir. Bu bağlamda, hiçbir metnin kendi başına var olamayacağı, her metnin doğrudan ya da dolaylı olarak başka metinlerle ilişki içerisinde olduğu ve bunun da </w:t>
      </w:r>
      <w:proofErr w:type="spellStart"/>
      <w:r w:rsidRPr="004C4B53">
        <w:rPr>
          <w:color w:val="000000" w:themeColor="text1"/>
        </w:rPr>
        <w:t>yazınsallığın</w:t>
      </w:r>
      <w:proofErr w:type="spellEnd"/>
      <w:r w:rsidRPr="004C4B53">
        <w:rPr>
          <w:color w:val="000000" w:themeColor="text1"/>
        </w:rPr>
        <w:t xml:space="preserve"> temel koşullarından biri olduğu görüşü yaygın olarak kabul görmektedir.</w:t>
      </w:r>
    </w:p>
    <w:p w14:paraId="714CEFA6" w14:textId="77777777" w:rsidR="0089759E" w:rsidRDefault="0089759E" w:rsidP="0089759E">
      <w:pPr>
        <w:tabs>
          <w:tab w:val="left" w:pos="567"/>
        </w:tabs>
        <w:rPr>
          <w:color w:val="000000" w:themeColor="text1"/>
        </w:rPr>
      </w:pPr>
      <w:proofErr w:type="spellStart"/>
      <w:r w:rsidRPr="004C4B53">
        <w:rPr>
          <w:color w:val="000000" w:themeColor="text1"/>
        </w:rPr>
        <w:t>Metinlerarasılığın</w:t>
      </w:r>
      <w:proofErr w:type="spellEnd"/>
      <w:r w:rsidRPr="004C4B53">
        <w:rPr>
          <w:color w:val="000000" w:themeColor="text1"/>
        </w:rPr>
        <w:t xml:space="preserve"> yöntemler türsel dönüştürmeler, biçimsel dönüştürmeler ve </w:t>
      </w:r>
      <w:proofErr w:type="spellStart"/>
      <w:r w:rsidRPr="004C4B53">
        <w:rPr>
          <w:color w:val="000000" w:themeColor="text1"/>
        </w:rPr>
        <w:t>biçemsel</w:t>
      </w:r>
      <w:proofErr w:type="spellEnd"/>
      <w:r w:rsidRPr="004C4B53">
        <w:rPr>
          <w:color w:val="000000" w:themeColor="text1"/>
        </w:rPr>
        <w:t xml:space="preserve"> dönüştürmeler ile alt metin karşısındaki tavır açısından farklı şekillerde adlandırılır. Genel olarak </w:t>
      </w:r>
      <w:proofErr w:type="spellStart"/>
      <w:r w:rsidRPr="004C4B53">
        <w:rPr>
          <w:color w:val="000000" w:themeColor="text1"/>
        </w:rPr>
        <w:t>metinlerasılıktan</w:t>
      </w:r>
      <w:proofErr w:type="spellEnd"/>
      <w:r w:rsidRPr="004C4B53">
        <w:rPr>
          <w:color w:val="000000" w:themeColor="text1"/>
        </w:rPr>
        <w:t xml:space="preserve"> bahsedilen metinsel ilişkilerde alıntı (</w:t>
      </w:r>
      <w:proofErr w:type="spellStart"/>
      <w:r w:rsidRPr="004C4B53">
        <w:rPr>
          <w:color w:val="000000" w:themeColor="text1"/>
        </w:rPr>
        <w:t>citation</w:t>
      </w:r>
      <w:proofErr w:type="spellEnd"/>
      <w:r w:rsidRPr="004C4B53">
        <w:rPr>
          <w:color w:val="000000" w:themeColor="text1"/>
        </w:rPr>
        <w:t xml:space="preserve">), </w:t>
      </w:r>
      <w:proofErr w:type="spellStart"/>
      <w:r w:rsidRPr="004C4B53">
        <w:rPr>
          <w:color w:val="000000" w:themeColor="text1"/>
        </w:rPr>
        <w:t>gönderge</w:t>
      </w:r>
      <w:proofErr w:type="spellEnd"/>
      <w:r w:rsidRPr="004C4B53">
        <w:rPr>
          <w:color w:val="000000" w:themeColor="text1"/>
        </w:rPr>
        <w:t xml:space="preserve"> (</w:t>
      </w:r>
      <w:proofErr w:type="spellStart"/>
      <w:r w:rsidRPr="004C4B53">
        <w:rPr>
          <w:color w:val="000000" w:themeColor="text1"/>
        </w:rPr>
        <w:t>référence</w:t>
      </w:r>
      <w:proofErr w:type="spellEnd"/>
      <w:r w:rsidRPr="004C4B53">
        <w:rPr>
          <w:color w:val="000000" w:themeColor="text1"/>
        </w:rPr>
        <w:t>), gizli alıntı (</w:t>
      </w:r>
      <w:proofErr w:type="spellStart"/>
      <w:r w:rsidRPr="004C4B53">
        <w:rPr>
          <w:color w:val="000000" w:themeColor="text1"/>
        </w:rPr>
        <w:t>plagiat</w:t>
      </w:r>
      <w:proofErr w:type="spellEnd"/>
      <w:r w:rsidRPr="004C4B53">
        <w:rPr>
          <w:color w:val="000000" w:themeColor="text1"/>
        </w:rPr>
        <w:t>), anıştırma (</w:t>
      </w:r>
      <w:proofErr w:type="spellStart"/>
      <w:r w:rsidRPr="004C4B53">
        <w:rPr>
          <w:color w:val="000000" w:themeColor="text1"/>
        </w:rPr>
        <w:t>allusion</w:t>
      </w:r>
      <w:proofErr w:type="spellEnd"/>
      <w:r w:rsidRPr="004C4B53">
        <w:rPr>
          <w:color w:val="000000" w:themeColor="text1"/>
        </w:rPr>
        <w:t xml:space="preserve">), parodi, alaycı dönüştürüm (le </w:t>
      </w:r>
      <w:proofErr w:type="spellStart"/>
      <w:r w:rsidRPr="004C4B53">
        <w:rPr>
          <w:color w:val="000000" w:themeColor="text1"/>
        </w:rPr>
        <w:t>travestissement</w:t>
      </w:r>
      <w:proofErr w:type="spellEnd"/>
      <w:r w:rsidRPr="004C4B53">
        <w:rPr>
          <w:color w:val="000000" w:themeColor="text1"/>
        </w:rPr>
        <w:t xml:space="preserve"> </w:t>
      </w:r>
      <w:proofErr w:type="spellStart"/>
      <w:r w:rsidRPr="004C4B53">
        <w:rPr>
          <w:color w:val="000000" w:themeColor="text1"/>
        </w:rPr>
        <w:t>burlesque</w:t>
      </w:r>
      <w:proofErr w:type="spellEnd"/>
      <w:r w:rsidRPr="004C4B53">
        <w:rPr>
          <w:color w:val="000000" w:themeColor="text1"/>
        </w:rPr>
        <w:t>), pastiş en çok kullanılan yöntemler olarak kabul edilir (</w:t>
      </w:r>
      <w:proofErr w:type="spellStart"/>
      <w:r w:rsidRPr="004C4B53">
        <w:rPr>
          <w:color w:val="000000" w:themeColor="text1"/>
        </w:rPr>
        <w:t>Aktulum</w:t>
      </w:r>
      <w:proofErr w:type="spellEnd"/>
      <w:r w:rsidRPr="004C4B53">
        <w:rPr>
          <w:color w:val="000000" w:themeColor="text1"/>
        </w:rPr>
        <w:t>, 2000).</w:t>
      </w:r>
    </w:p>
    <w:p w14:paraId="2F92A56C" w14:textId="77777777" w:rsidR="0089759E" w:rsidRPr="004C4B53" w:rsidRDefault="0089759E" w:rsidP="0089759E">
      <w:pPr>
        <w:tabs>
          <w:tab w:val="left" w:pos="567"/>
        </w:tabs>
        <w:jc w:val="both"/>
        <w:rPr>
          <w:color w:val="000000" w:themeColor="text1"/>
        </w:rPr>
      </w:pPr>
    </w:p>
    <w:p w14:paraId="27E0EC4A" w14:textId="77777777" w:rsidR="0089759E" w:rsidRPr="00653542" w:rsidRDefault="0089759E">
      <w:pPr>
        <w:pStyle w:val="ListeParagraf"/>
        <w:widowControl/>
        <w:numPr>
          <w:ilvl w:val="0"/>
          <w:numId w:val="89"/>
        </w:numPr>
        <w:tabs>
          <w:tab w:val="left" w:pos="567"/>
        </w:tabs>
        <w:autoSpaceDE/>
        <w:autoSpaceDN/>
        <w:ind w:left="426"/>
        <w:jc w:val="both"/>
        <w:rPr>
          <w:b/>
          <w:bCs/>
          <w:color w:val="000000" w:themeColor="text1"/>
        </w:rPr>
      </w:pPr>
      <w:r w:rsidRPr="00653542">
        <w:rPr>
          <w:b/>
          <w:bCs/>
          <w:color w:val="000000" w:themeColor="text1"/>
        </w:rPr>
        <w:t xml:space="preserve">Sezai Karakoç’ta Gelenekle İlişki ve </w:t>
      </w:r>
      <w:proofErr w:type="spellStart"/>
      <w:r w:rsidRPr="00653542">
        <w:rPr>
          <w:b/>
          <w:bCs/>
          <w:color w:val="000000" w:themeColor="text1"/>
        </w:rPr>
        <w:t>Metinlerarasılık</w:t>
      </w:r>
      <w:proofErr w:type="spellEnd"/>
    </w:p>
    <w:p w14:paraId="7AD5945E" w14:textId="77777777" w:rsidR="0089759E" w:rsidRDefault="0089759E" w:rsidP="0089759E">
      <w:pPr>
        <w:tabs>
          <w:tab w:val="left" w:pos="567"/>
        </w:tabs>
        <w:rPr>
          <w:color w:val="000000" w:themeColor="text1"/>
        </w:rPr>
      </w:pPr>
      <w:r w:rsidRPr="004C4B53">
        <w:rPr>
          <w:color w:val="000000" w:themeColor="text1"/>
        </w:rPr>
        <w:lastRenderedPageBreak/>
        <w:t xml:space="preserve">Sezai Karakoç, geleneğe yaslanarak modern Türk şiiri içinde yeni bir şiir var etmeye çalışır. Ona göre modernleşme sürecinde Türk şiirinde de görülen büyük kırılma ve keskin kopuş, şiiri bir çıkmaza sokmaktadır. Bu düşünceden hareketle Karakoç, modern şiirin imkanları içinde geleneği yeniden canlandırmanın yollarını dener. Özellikle </w:t>
      </w:r>
      <w:r w:rsidRPr="004C4B53">
        <w:rPr>
          <w:i/>
          <w:iCs/>
          <w:color w:val="000000" w:themeColor="text1"/>
        </w:rPr>
        <w:t>Hızırla Kırk Saat</w:t>
      </w:r>
      <w:r w:rsidRPr="004C4B53">
        <w:rPr>
          <w:color w:val="000000" w:themeColor="text1"/>
        </w:rPr>
        <w:t xml:space="preserve">’le başlayan </w:t>
      </w:r>
      <w:proofErr w:type="spellStart"/>
      <w:r w:rsidRPr="004C4B53">
        <w:rPr>
          <w:color w:val="000000" w:themeColor="text1"/>
        </w:rPr>
        <w:t>poemleri</w:t>
      </w:r>
      <w:proofErr w:type="spellEnd"/>
      <w:r w:rsidRPr="004C4B53">
        <w:rPr>
          <w:color w:val="000000" w:themeColor="text1"/>
        </w:rPr>
        <w:t xml:space="preserve"> döneminde Batı şiir geleneğini de dışlamadan Doğu şiir geleneğini kendine zemin yapmaya çalışır. </w:t>
      </w:r>
      <w:proofErr w:type="spellStart"/>
      <w:r w:rsidRPr="004C4B53">
        <w:rPr>
          <w:color w:val="000000" w:themeColor="text1"/>
        </w:rPr>
        <w:t>Poemlerini</w:t>
      </w:r>
      <w:proofErr w:type="spellEnd"/>
      <w:r w:rsidRPr="004C4B53">
        <w:rPr>
          <w:color w:val="000000" w:themeColor="text1"/>
        </w:rPr>
        <w:t xml:space="preserve"> meydana getirirken kimi zaman belirli bir metinle ilişki kurarak alt metinlerle bir söyleşime girer. Örneğin </w:t>
      </w:r>
      <w:r w:rsidRPr="004C4B53">
        <w:rPr>
          <w:i/>
          <w:iCs/>
          <w:color w:val="000000" w:themeColor="text1"/>
        </w:rPr>
        <w:t>Hızırla Kırk Saat</w:t>
      </w:r>
      <w:r w:rsidRPr="004C4B53">
        <w:rPr>
          <w:color w:val="000000" w:themeColor="text1"/>
        </w:rPr>
        <w:t xml:space="preserve">, Dante’nin </w:t>
      </w:r>
      <w:r w:rsidRPr="004C4B53">
        <w:rPr>
          <w:i/>
          <w:iCs/>
          <w:color w:val="000000" w:themeColor="text1"/>
        </w:rPr>
        <w:t xml:space="preserve">İlahi </w:t>
      </w:r>
      <w:proofErr w:type="spellStart"/>
      <w:r w:rsidRPr="004C4B53">
        <w:rPr>
          <w:i/>
          <w:iCs/>
          <w:color w:val="000000" w:themeColor="text1"/>
        </w:rPr>
        <w:t>Komedya</w:t>
      </w:r>
      <w:r w:rsidRPr="004C4B53">
        <w:rPr>
          <w:color w:val="000000" w:themeColor="text1"/>
        </w:rPr>
        <w:t>’sı</w:t>
      </w:r>
      <w:proofErr w:type="spellEnd"/>
      <w:r w:rsidRPr="004C4B53">
        <w:rPr>
          <w:color w:val="000000" w:themeColor="text1"/>
        </w:rPr>
        <w:t xml:space="preserve"> ile İkbal’in </w:t>
      </w:r>
      <w:proofErr w:type="spellStart"/>
      <w:r w:rsidRPr="004C4B53">
        <w:rPr>
          <w:i/>
          <w:iCs/>
          <w:color w:val="000000" w:themeColor="text1"/>
        </w:rPr>
        <w:t>Cavidnâme</w:t>
      </w:r>
      <w:r w:rsidRPr="004C4B53">
        <w:rPr>
          <w:color w:val="000000" w:themeColor="text1"/>
        </w:rPr>
        <w:t>’siyle</w:t>
      </w:r>
      <w:proofErr w:type="spellEnd"/>
      <w:r w:rsidRPr="004C4B53">
        <w:rPr>
          <w:color w:val="000000" w:themeColor="text1"/>
        </w:rPr>
        <w:t xml:space="preserve"> kısmen biçimsel, büyük orada ise tematik olarak ilişkili bir metindir. Yine </w:t>
      </w:r>
      <w:r w:rsidRPr="004C4B53">
        <w:rPr>
          <w:i/>
          <w:iCs/>
          <w:color w:val="000000" w:themeColor="text1"/>
        </w:rPr>
        <w:t>Taha’nın Kitabı</w:t>
      </w:r>
      <w:r w:rsidRPr="004C4B53">
        <w:rPr>
          <w:color w:val="000000" w:themeColor="text1"/>
        </w:rPr>
        <w:t xml:space="preserve">, modernleşme karşısındaki tavır açısından Goethe’nin </w:t>
      </w:r>
      <w:r w:rsidRPr="004C4B53">
        <w:rPr>
          <w:i/>
          <w:iCs/>
          <w:color w:val="000000" w:themeColor="text1"/>
        </w:rPr>
        <w:t>Faust</w:t>
      </w:r>
      <w:r w:rsidRPr="004C4B53">
        <w:rPr>
          <w:color w:val="000000" w:themeColor="text1"/>
        </w:rPr>
        <w:t xml:space="preserve">’una bir reddiye şeklinde tasarlanmış ve dolaylı bir </w:t>
      </w:r>
      <w:proofErr w:type="spellStart"/>
      <w:r w:rsidRPr="004C4B53">
        <w:rPr>
          <w:color w:val="000000" w:themeColor="text1"/>
        </w:rPr>
        <w:t>metinlerarasılık</w:t>
      </w:r>
      <w:proofErr w:type="spellEnd"/>
      <w:r w:rsidRPr="004C4B53">
        <w:rPr>
          <w:color w:val="000000" w:themeColor="text1"/>
        </w:rPr>
        <w:t xml:space="preserve"> ilişkisi kurulmuştur. </w:t>
      </w:r>
      <w:r w:rsidRPr="004C4B53">
        <w:rPr>
          <w:i/>
          <w:iCs/>
          <w:color w:val="000000" w:themeColor="text1"/>
        </w:rPr>
        <w:t xml:space="preserve">Gül </w:t>
      </w:r>
      <w:proofErr w:type="spellStart"/>
      <w:r w:rsidRPr="004C4B53">
        <w:rPr>
          <w:i/>
          <w:iCs/>
          <w:color w:val="000000" w:themeColor="text1"/>
        </w:rPr>
        <w:t>Muştusu</w:t>
      </w:r>
      <w:r w:rsidRPr="004C4B53">
        <w:rPr>
          <w:color w:val="000000" w:themeColor="text1"/>
        </w:rPr>
        <w:t>’ndan</w:t>
      </w:r>
      <w:proofErr w:type="spellEnd"/>
      <w:r w:rsidRPr="004C4B53">
        <w:rPr>
          <w:color w:val="000000" w:themeColor="text1"/>
        </w:rPr>
        <w:t xml:space="preserve"> itibaren ise Karakoç, doğrudan İslam şiiri, doğal olarak da en çok divan şiiri geleneği ile bağ kurmaya çalışmıştır. Bu ilişkiyi </w:t>
      </w:r>
      <w:r w:rsidRPr="004C4B53">
        <w:rPr>
          <w:i/>
          <w:iCs/>
          <w:color w:val="000000" w:themeColor="text1"/>
        </w:rPr>
        <w:t xml:space="preserve">Gül </w:t>
      </w:r>
      <w:proofErr w:type="spellStart"/>
      <w:r w:rsidRPr="004C4B53">
        <w:rPr>
          <w:i/>
          <w:iCs/>
          <w:color w:val="000000" w:themeColor="text1"/>
        </w:rPr>
        <w:t>Muştusu</w:t>
      </w:r>
      <w:r w:rsidRPr="004C4B53">
        <w:rPr>
          <w:color w:val="000000" w:themeColor="text1"/>
        </w:rPr>
        <w:t>’nda</w:t>
      </w:r>
      <w:proofErr w:type="spellEnd"/>
      <w:r w:rsidRPr="004C4B53">
        <w:rPr>
          <w:color w:val="000000" w:themeColor="text1"/>
        </w:rPr>
        <w:t xml:space="preserve"> olduğu gibi kimi zaman mazmunları alıp yeniden yorumlamakla kurarken, </w:t>
      </w:r>
      <w:proofErr w:type="spellStart"/>
      <w:r w:rsidRPr="004C4B53">
        <w:rPr>
          <w:i/>
          <w:iCs/>
          <w:color w:val="000000" w:themeColor="text1"/>
        </w:rPr>
        <w:t>Çeşmeler</w:t>
      </w:r>
      <w:r w:rsidRPr="004C4B53">
        <w:rPr>
          <w:color w:val="000000" w:themeColor="text1"/>
        </w:rPr>
        <w:t>’de</w:t>
      </w:r>
      <w:proofErr w:type="spellEnd"/>
      <w:r w:rsidRPr="004C4B53">
        <w:rPr>
          <w:color w:val="000000" w:themeColor="text1"/>
        </w:rPr>
        <w:t xml:space="preserve"> ise tarih düşme geleneğini farklı bir biçimde yeniden üreterek yapar. </w:t>
      </w:r>
      <w:r w:rsidRPr="004C4B53">
        <w:rPr>
          <w:i/>
          <w:iCs/>
          <w:color w:val="000000" w:themeColor="text1"/>
        </w:rPr>
        <w:t>Leyla ile Mecnun</w:t>
      </w:r>
      <w:r w:rsidRPr="004C4B53">
        <w:rPr>
          <w:color w:val="000000" w:themeColor="text1"/>
        </w:rPr>
        <w:t xml:space="preserve"> ve </w:t>
      </w:r>
      <w:r w:rsidRPr="004C4B53">
        <w:rPr>
          <w:i/>
          <w:iCs/>
          <w:color w:val="000000" w:themeColor="text1"/>
        </w:rPr>
        <w:t xml:space="preserve">Ateş </w:t>
      </w:r>
      <w:proofErr w:type="spellStart"/>
      <w:r w:rsidRPr="004C4B53">
        <w:rPr>
          <w:i/>
          <w:iCs/>
          <w:color w:val="000000" w:themeColor="text1"/>
        </w:rPr>
        <w:t>Dansı’</w:t>
      </w:r>
      <w:r w:rsidRPr="004C4B53">
        <w:rPr>
          <w:color w:val="000000" w:themeColor="text1"/>
        </w:rPr>
        <w:t>nda</w:t>
      </w:r>
      <w:proofErr w:type="spellEnd"/>
      <w:r w:rsidRPr="004C4B53">
        <w:rPr>
          <w:color w:val="000000" w:themeColor="text1"/>
        </w:rPr>
        <w:t xml:space="preserve"> ise doğrudan divan şiirine ait metinleri ya yeniden üreterek ya da o metinlerle ilişki kurarak bir şiir meydana getirir. Bu anlamda Karakoç’un divan şiiri ile olan ilişkisi şairliğinin olgunluk döneminden itibaren daha da yoğunlaşır ve belirginleşir.</w:t>
      </w:r>
    </w:p>
    <w:p w14:paraId="6EA9D0E8" w14:textId="77777777" w:rsidR="0089759E" w:rsidRPr="004C4B53" w:rsidRDefault="0089759E" w:rsidP="0089759E">
      <w:pPr>
        <w:tabs>
          <w:tab w:val="left" w:pos="567"/>
        </w:tabs>
        <w:jc w:val="both"/>
        <w:rPr>
          <w:color w:val="000000" w:themeColor="text1"/>
        </w:rPr>
      </w:pPr>
    </w:p>
    <w:p w14:paraId="03C050BE" w14:textId="77777777" w:rsidR="0089759E" w:rsidRDefault="0089759E" w:rsidP="0089759E">
      <w:pPr>
        <w:tabs>
          <w:tab w:val="left" w:pos="567"/>
        </w:tabs>
        <w:rPr>
          <w:color w:val="000000" w:themeColor="text1"/>
        </w:rPr>
      </w:pPr>
      <w:r w:rsidRPr="004C4B53">
        <w:rPr>
          <w:color w:val="000000" w:themeColor="text1"/>
        </w:rPr>
        <w:t xml:space="preserve">Karakoç, gelenekle biçim ya da söyleyiş gibi daha yüzeysel ilişki biçimleri yerine daha esansiyel bir tavra yönelir. Onun yapmaya çalıştığı divan şiirinin arka planında yer alan “metafizik </w:t>
      </w:r>
      <w:proofErr w:type="spellStart"/>
      <w:r w:rsidRPr="004C4B53">
        <w:rPr>
          <w:color w:val="000000" w:themeColor="text1"/>
        </w:rPr>
        <w:t>hava”dır</w:t>
      </w:r>
      <w:proofErr w:type="spellEnd"/>
      <w:r w:rsidRPr="004C4B53">
        <w:rPr>
          <w:color w:val="000000" w:themeColor="text1"/>
        </w:rPr>
        <w:t xml:space="preserve">. Nitekim, divan şiirinin bütününü olgun bir şairin tek bir kitabı şeklinde değerlendirir. Edebiyat Yazıları </w:t>
      </w:r>
      <w:proofErr w:type="spellStart"/>
      <w:r w:rsidRPr="004C4B53">
        <w:rPr>
          <w:color w:val="000000" w:themeColor="text1"/>
        </w:rPr>
        <w:t>I’de</w:t>
      </w:r>
      <w:proofErr w:type="spellEnd"/>
      <w:r w:rsidRPr="004C4B53">
        <w:rPr>
          <w:color w:val="000000" w:themeColor="text1"/>
        </w:rPr>
        <w:t xml:space="preserve"> İslam şiir geleneğinin tümünde gördüğü bu hali, Nedim ve Fuzûlî üzerinden örneklendirir:</w:t>
      </w:r>
    </w:p>
    <w:p w14:paraId="03E63144" w14:textId="77777777" w:rsidR="0089759E" w:rsidRPr="004C4B53" w:rsidRDefault="0089759E" w:rsidP="0089759E">
      <w:pPr>
        <w:tabs>
          <w:tab w:val="left" w:pos="567"/>
        </w:tabs>
        <w:jc w:val="both"/>
        <w:rPr>
          <w:color w:val="000000" w:themeColor="text1"/>
        </w:rPr>
      </w:pPr>
    </w:p>
    <w:p w14:paraId="30FC9F92" w14:textId="77777777" w:rsidR="0089759E" w:rsidRDefault="0089759E" w:rsidP="0089759E">
      <w:pPr>
        <w:tabs>
          <w:tab w:val="left" w:pos="567"/>
        </w:tabs>
        <w:ind w:left="851"/>
        <w:rPr>
          <w:color w:val="000000" w:themeColor="text1"/>
          <w:sz w:val="20"/>
          <w:szCs w:val="20"/>
        </w:rPr>
      </w:pPr>
      <w:r w:rsidRPr="004C4B53">
        <w:rPr>
          <w:color w:val="000000" w:themeColor="text1"/>
          <w:sz w:val="20"/>
          <w:szCs w:val="20"/>
        </w:rPr>
        <w:t xml:space="preserve">“Birbirlerinin tam zıddı görünmelerine karşın, Fuzûlî ile Nedim arasında, belki garip, fakat büyük bir yakınlık olduğunu görmek için ikisinin divanını arka arkaya okumak yeterlidir. Bu yakınlığı bir biçim yakınlığı, söyleyiş yakınlığı gibi görmek yanlış olur. Bu, daha çok bir ruh yakınlığı, aynı dünyayı iki uçtan solumadan gelen bir yakınlıktır. Nedim, Fuzûlî’nin yaşadığı çağda ve yerlerde yaşasaydı, yine de belki bir Fuzûlî olamazdı. Ama, onun ne kadar yakınından geçerdi! Ve kim- bilir belki, Fuzûlî de, Lâle Devrinde İstanbul’da yaşayan ve devlet ileri gelenlerince değeri bilinen bir şair olsaydı, kuşkusuz, yine de bir Nedim olmazdı; ama, bugünkü Fuzûlî’den çok Nedim’e yakın bir şair olurdu. Bununla şiirde, şairlikte bütün ağırlığı, çağa, çevreye, yaşanan gerçeğe atfetmiş olmuyorum. Anlatmak istediğim, içinde bulunulan uygarlık </w:t>
      </w:r>
      <w:proofErr w:type="gramStart"/>
      <w:r w:rsidRPr="004C4B53">
        <w:rPr>
          <w:color w:val="000000" w:themeColor="text1"/>
          <w:sz w:val="20"/>
          <w:szCs w:val="20"/>
        </w:rPr>
        <w:t>havası,</w:t>
      </w:r>
      <w:proofErr w:type="gramEnd"/>
      <w:r w:rsidRPr="004C4B53">
        <w:rPr>
          <w:color w:val="000000" w:themeColor="text1"/>
          <w:sz w:val="20"/>
          <w:szCs w:val="20"/>
        </w:rPr>
        <w:t xml:space="preserve"> ve onun metafizik ruhudur. Bu şairlerin, iç âlemleri, </w:t>
      </w:r>
      <w:proofErr w:type="spellStart"/>
      <w:r w:rsidRPr="004C4B53">
        <w:rPr>
          <w:color w:val="000000" w:themeColor="text1"/>
          <w:sz w:val="20"/>
          <w:szCs w:val="20"/>
        </w:rPr>
        <w:t>özbenlikleri</w:t>
      </w:r>
      <w:proofErr w:type="spellEnd"/>
      <w:r w:rsidRPr="004C4B53">
        <w:rPr>
          <w:color w:val="000000" w:themeColor="text1"/>
          <w:sz w:val="20"/>
          <w:szCs w:val="20"/>
        </w:rPr>
        <w:t xml:space="preserve"> birbirinden ne kadar ayrı ve hatta birbirine zıt olsa </w:t>
      </w:r>
      <w:proofErr w:type="gramStart"/>
      <w:r w:rsidRPr="004C4B53">
        <w:rPr>
          <w:color w:val="000000" w:themeColor="text1"/>
          <w:sz w:val="20"/>
          <w:szCs w:val="20"/>
        </w:rPr>
        <w:t>da,</w:t>
      </w:r>
      <w:proofErr w:type="gramEnd"/>
      <w:r w:rsidRPr="004C4B53">
        <w:rPr>
          <w:color w:val="000000" w:themeColor="text1"/>
          <w:sz w:val="20"/>
          <w:szCs w:val="20"/>
        </w:rPr>
        <w:t xml:space="preserve"> aralarında, katılacakları bir </w:t>
      </w:r>
      <w:proofErr w:type="spellStart"/>
      <w:r w:rsidRPr="004C4B53">
        <w:rPr>
          <w:color w:val="000000" w:themeColor="text1"/>
          <w:sz w:val="20"/>
          <w:szCs w:val="20"/>
        </w:rPr>
        <w:t>mânevi</w:t>
      </w:r>
      <w:proofErr w:type="spellEnd"/>
      <w:r w:rsidRPr="004C4B53">
        <w:rPr>
          <w:color w:val="000000" w:themeColor="text1"/>
          <w:sz w:val="20"/>
          <w:szCs w:val="20"/>
        </w:rPr>
        <w:t xml:space="preserve"> hava yüzünden, bir yakınlık vardır; dış şartlar ve görünümler ne kadar tersine çevirse de, gerçekte kırılmaz bir yakınlıktır bu, demek istiyorum.” (Karakoç, 2014, s.  28-29)</w:t>
      </w:r>
    </w:p>
    <w:p w14:paraId="668281C6" w14:textId="77777777" w:rsidR="0089759E" w:rsidRPr="00D27397" w:rsidRDefault="0089759E" w:rsidP="0089759E">
      <w:pPr>
        <w:tabs>
          <w:tab w:val="left" w:pos="567"/>
        </w:tabs>
        <w:ind w:left="851"/>
        <w:jc w:val="both"/>
        <w:rPr>
          <w:color w:val="000000" w:themeColor="text1"/>
          <w:sz w:val="20"/>
          <w:szCs w:val="20"/>
        </w:rPr>
      </w:pPr>
    </w:p>
    <w:p w14:paraId="37B96BB0" w14:textId="77777777" w:rsidR="0089759E" w:rsidRDefault="0089759E" w:rsidP="0089759E">
      <w:pPr>
        <w:tabs>
          <w:tab w:val="left" w:pos="567"/>
        </w:tabs>
        <w:rPr>
          <w:color w:val="000000" w:themeColor="text1"/>
        </w:rPr>
      </w:pPr>
      <w:r w:rsidRPr="004C4B53">
        <w:rPr>
          <w:color w:val="000000" w:themeColor="text1"/>
        </w:rPr>
        <w:t xml:space="preserve">Karakoç, şiirini var ederken bir taraftan geleneği oluşturan bu metafizik düşünceyi şiirinin mayası haline getirmeye çalışırken bazen de geleneğin somut örnekleriyle ilişki kurmaya çalışır. Karakoç’un bu çabasının görüldüğü örneklerden biri de Ateş </w:t>
      </w:r>
      <w:proofErr w:type="spellStart"/>
      <w:r w:rsidRPr="004C4B53">
        <w:rPr>
          <w:color w:val="000000" w:themeColor="text1"/>
        </w:rPr>
        <w:t>Dansı’dır</w:t>
      </w:r>
      <w:proofErr w:type="spellEnd"/>
      <w:r w:rsidRPr="004C4B53">
        <w:rPr>
          <w:color w:val="000000" w:themeColor="text1"/>
        </w:rPr>
        <w:t xml:space="preserve">. Birinci baskısı 1987’de yapılan Ateş Dansı, 13 şiirden oluşur ve bu şiirler açık bir biçimde divan şiiriyle biçimsel ve söyleyiş açısından benzerlikler gösterir. </w:t>
      </w:r>
    </w:p>
    <w:p w14:paraId="5F6501D9" w14:textId="77777777" w:rsidR="0089759E" w:rsidRPr="004C4B53" w:rsidRDefault="0089759E" w:rsidP="0089759E">
      <w:pPr>
        <w:tabs>
          <w:tab w:val="left" w:pos="567"/>
        </w:tabs>
        <w:jc w:val="both"/>
        <w:rPr>
          <w:color w:val="000000" w:themeColor="text1"/>
        </w:rPr>
      </w:pPr>
    </w:p>
    <w:p w14:paraId="4104C38A" w14:textId="77777777" w:rsidR="0089759E" w:rsidRPr="00653542" w:rsidRDefault="0089759E">
      <w:pPr>
        <w:pStyle w:val="ListeParagraf"/>
        <w:widowControl/>
        <w:numPr>
          <w:ilvl w:val="0"/>
          <w:numId w:val="89"/>
        </w:numPr>
        <w:tabs>
          <w:tab w:val="left" w:pos="567"/>
        </w:tabs>
        <w:autoSpaceDE/>
        <w:autoSpaceDN/>
        <w:ind w:left="426"/>
        <w:jc w:val="both"/>
        <w:rPr>
          <w:b/>
          <w:bCs/>
          <w:color w:val="000000" w:themeColor="text1"/>
        </w:rPr>
      </w:pPr>
      <w:r w:rsidRPr="00DF4089">
        <w:rPr>
          <w:b/>
          <w:bCs/>
          <w:i/>
          <w:iCs/>
          <w:color w:val="000000" w:themeColor="text1"/>
        </w:rPr>
        <w:t xml:space="preserve">Ateş </w:t>
      </w:r>
      <w:proofErr w:type="spellStart"/>
      <w:r w:rsidRPr="00DF4089">
        <w:rPr>
          <w:b/>
          <w:bCs/>
          <w:i/>
          <w:iCs/>
          <w:color w:val="000000" w:themeColor="text1"/>
        </w:rPr>
        <w:t>Dansı</w:t>
      </w:r>
      <w:r w:rsidRPr="00653542">
        <w:rPr>
          <w:b/>
          <w:bCs/>
          <w:color w:val="000000" w:themeColor="text1"/>
        </w:rPr>
        <w:t>’nda</w:t>
      </w:r>
      <w:proofErr w:type="spellEnd"/>
      <w:r w:rsidRPr="00653542">
        <w:rPr>
          <w:b/>
          <w:bCs/>
          <w:color w:val="000000" w:themeColor="text1"/>
        </w:rPr>
        <w:t xml:space="preserve"> </w:t>
      </w:r>
      <w:proofErr w:type="spellStart"/>
      <w:r w:rsidRPr="00653542">
        <w:rPr>
          <w:b/>
          <w:bCs/>
          <w:color w:val="000000" w:themeColor="text1"/>
        </w:rPr>
        <w:t>Metinlerarası</w:t>
      </w:r>
      <w:proofErr w:type="spellEnd"/>
      <w:r w:rsidRPr="00653542">
        <w:rPr>
          <w:b/>
          <w:bCs/>
          <w:color w:val="000000" w:themeColor="text1"/>
        </w:rPr>
        <w:t xml:space="preserve"> İlişkiler</w:t>
      </w:r>
    </w:p>
    <w:p w14:paraId="6ECE5993" w14:textId="77777777" w:rsidR="0089759E" w:rsidRDefault="0089759E" w:rsidP="0089759E">
      <w:pPr>
        <w:tabs>
          <w:tab w:val="left" w:pos="567"/>
        </w:tabs>
        <w:rPr>
          <w:color w:val="000000" w:themeColor="text1"/>
        </w:rPr>
      </w:pPr>
      <w:r w:rsidRPr="004C4B53">
        <w:rPr>
          <w:color w:val="000000" w:themeColor="text1"/>
        </w:rPr>
        <w:t xml:space="preserve">Ateş Dansı şiirinin birinci bölümünde ateşe düşüp dans eden ve dansına devam eden bir kadın tasvir edilir. Şiirde kadının, ateşin ve dansın zengin çağrışımlı birer imge olarak kullanıldığı açıktır. Şiirin birinci bendinde tasvir edilen kadın, ateşe düşmesine rağmen “dans edişini </w:t>
      </w:r>
      <w:proofErr w:type="spellStart"/>
      <w:r w:rsidRPr="004C4B53">
        <w:rPr>
          <w:color w:val="000000" w:themeColor="text1"/>
        </w:rPr>
        <w:t>durduramamış”tır</w:t>
      </w:r>
      <w:proofErr w:type="spellEnd"/>
      <w:r w:rsidRPr="004C4B53">
        <w:rPr>
          <w:color w:val="000000" w:themeColor="text1"/>
        </w:rPr>
        <w:t xml:space="preserve">. Adeta kadını ateşe çeken bir cazibe vardır. “Parlayıp </w:t>
      </w:r>
      <w:proofErr w:type="spellStart"/>
      <w:r w:rsidRPr="004C4B53">
        <w:rPr>
          <w:color w:val="000000" w:themeColor="text1"/>
        </w:rPr>
        <w:t>parlayıp</w:t>
      </w:r>
      <w:proofErr w:type="spellEnd"/>
      <w:r w:rsidRPr="004C4B53">
        <w:rPr>
          <w:color w:val="000000" w:themeColor="text1"/>
        </w:rPr>
        <w:t xml:space="preserve"> sönüyordu tükenen bir mum gibi / Bahar iplikçileriyle dokunmuş giysileri” dizelerinde ifade edildiği </w:t>
      </w:r>
      <w:r w:rsidRPr="004C4B53">
        <w:rPr>
          <w:color w:val="000000" w:themeColor="text1"/>
        </w:rPr>
        <w:lastRenderedPageBreak/>
        <w:t xml:space="preserve">üzere kadının giysilerinin bahar iplikçikleriyle dokunmuş olması, onun narin, zarif tarafına işaret eder. Kelebeklerin daha çok bahar mevsiminde ortaya çıktığı göz önünde bulundurulduğunda burada kadın ile kelebek arasında bir ilgi kurulduğu görülür. Ayrıca kendisini ateşten koruyamaması ve ateşte yandığı halde dans edişini durduramaması, klasik edebiyattaki şem’ ve pervane alegorisini çağrıştırmaktadır. Yine söz konusu dizelerde farklı bir </w:t>
      </w:r>
      <w:proofErr w:type="spellStart"/>
      <w:r w:rsidRPr="004C4B53">
        <w:rPr>
          <w:color w:val="000000" w:themeColor="text1"/>
        </w:rPr>
        <w:t>gönderge</w:t>
      </w:r>
      <w:proofErr w:type="spellEnd"/>
      <w:r w:rsidRPr="004C4B53">
        <w:rPr>
          <w:color w:val="000000" w:themeColor="text1"/>
        </w:rPr>
        <w:t xml:space="preserve"> olarak da olsa “mum” kelimesinin de kullanılması bu ilgiyi kuvvetlendirmektedir.  Bu alegorik hikâyede de pervane, </w:t>
      </w:r>
      <w:proofErr w:type="spellStart"/>
      <w:r w:rsidRPr="004C4B53">
        <w:rPr>
          <w:color w:val="000000" w:themeColor="text1"/>
        </w:rPr>
        <w:t>şem’in</w:t>
      </w:r>
      <w:proofErr w:type="spellEnd"/>
      <w:r w:rsidRPr="004C4B53">
        <w:rPr>
          <w:color w:val="000000" w:themeColor="text1"/>
        </w:rPr>
        <w:t xml:space="preserve"> aşkına tutulduğu için onun çevresinde döner durur ve sonunda </w:t>
      </w:r>
      <w:proofErr w:type="spellStart"/>
      <w:r w:rsidRPr="004C4B53">
        <w:rPr>
          <w:color w:val="000000" w:themeColor="text1"/>
        </w:rPr>
        <w:t>şem’in</w:t>
      </w:r>
      <w:proofErr w:type="spellEnd"/>
      <w:r w:rsidRPr="004C4B53">
        <w:rPr>
          <w:color w:val="000000" w:themeColor="text1"/>
        </w:rPr>
        <w:t xml:space="preserve"> ateşiyle tutuştuğu halde halinden şikayetçi olmaz. Gelenekle örtük ya da açık biçimde sürekli söyleşimde olan Karakoç’un, ateşte dans eden kadın imgesi ile klasik edebiyattaki bu alegorik hikâyeye bir anıştırma (</w:t>
      </w:r>
      <w:proofErr w:type="spellStart"/>
      <w:r w:rsidRPr="004C4B53">
        <w:rPr>
          <w:color w:val="000000" w:themeColor="text1"/>
        </w:rPr>
        <w:t>allusion</w:t>
      </w:r>
      <w:proofErr w:type="spellEnd"/>
      <w:r w:rsidRPr="004C4B53">
        <w:rPr>
          <w:color w:val="000000" w:themeColor="text1"/>
        </w:rPr>
        <w:t xml:space="preserve">) yaptığı görülmektedir. Fakat şunu da eklemek gerekir ki bu alegorik hikâye daha çok ilahi aşka işaret ettiği halde, Karakoç’un şiirinde bu anlam arka planıyla kullanılmaz; zira şiirde kadın, aşkın bir amaçtan dolayı değil, “kendisini kendisi için </w:t>
      </w:r>
      <w:proofErr w:type="spellStart"/>
      <w:r w:rsidRPr="004C4B53">
        <w:rPr>
          <w:color w:val="000000" w:themeColor="text1"/>
        </w:rPr>
        <w:t>yak”maktadır</w:t>
      </w:r>
      <w:proofErr w:type="spellEnd"/>
      <w:r w:rsidRPr="004C4B53">
        <w:rPr>
          <w:color w:val="000000" w:themeColor="text1"/>
        </w:rPr>
        <w:t xml:space="preserve">. </w:t>
      </w:r>
    </w:p>
    <w:p w14:paraId="7D4F5170" w14:textId="77777777" w:rsidR="0089759E" w:rsidRPr="004C4B53" w:rsidRDefault="0089759E" w:rsidP="0089759E">
      <w:pPr>
        <w:tabs>
          <w:tab w:val="left" w:pos="567"/>
        </w:tabs>
        <w:jc w:val="both"/>
        <w:rPr>
          <w:color w:val="000000" w:themeColor="text1"/>
        </w:rPr>
      </w:pPr>
    </w:p>
    <w:p w14:paraId="66F42B3F" w14:textId="77777777" w:rsidR="0089759E" w:rsidRDefault="0089759E" w:rsidP="0089759E">
      <w:pPr>
        <w:tabs>
          <w:tab w:val="left" w:pos="567"/>
        </w:tabs>
        <w:rPr>
          <w:color w:val="000000" w:themeColor="text1"/>
        </w:rPr>
      </w:pPr>
      <w:r w:rsidRPr="004C4B53">
        <w:rPr>
          <w:color w:val="000000" w:themeColor="text1"/>
        </w:rPr>
        <w:t xml:space="preserve">Şiirin devamında ise başka bir anıştırma yapılır. İkinci bentte görsel imajlarla yine ateşte dans eden kadın tasvir edilir. “Soluğu alevdi, kızgın kum çığıydı sesi / Sonbahar kızıllığıyla elleri tutuşturuyordu göğü” dizeleri ateşin sıcaklığını ve kızıl rengini öne çıkarırken “Cennet kentinden cehennem kentine atılmış köprü /İdi vücudunu saran bir ebemkuşağı kefeni” dizelerinde ise yukarıda “Bahar iplikçileriyle dokunmuş </w:t>
      </w:r>
      <w:proofErr w:type="spellStart"/>
      <w:r w:rsidRPr="004C4B53">
        <w:rPr>
          <w:color w:val="000000" w:themeColor="text1"/>
        </w:rPr>
        <w:t>giysileri”nin</w:t>
      </w:r>
      <w:proofErr w:type="spellEnd"/>
      <w:r w:rsidRPr="004C4B53">
        <w:rPr>
          <w:color w:val="000000" w:themeColor="text1"/>
        </w:rPr>
        <w:t xml:space="preserve"> renkliliğine vurgu yapılır. Görüldüğü üzere şiir öznesi olan kadın, rengarenk giysiler -ki ikinci bentte kefen olarak ifade edilir- içinde ateşte yanmaktadır. Bu görsel imajlarla ateşte dans eden kadın “Heykeltıraş için değil, ressam için değil / Şair için model olmayı bil(</w:t>
      </w:r>
      <w:proofErr w:type="spellStart"/>
      <w:r w:rsidRPr="004C4B53">
        <w:rPr>
          <w:color w:val="000000" w:themeColor="text1"/>
        </w:rPr>
        <w:t>miştir</w:t>
      </w:r>
      <w:proofErr w:type="spellEnd"/>
      <w:r w:rsidRPr="004C4B53">
        <w:rPr>
          <w:color w:val="000000" w:themeColor="text1"/>
        </w:rPr>
        <w:t xml:space="preserve">)”. Burada “şair” tekil anlamda Karakoç’u ifade edebileceği gibi daha genel anlamda başka şairleri de imleyebilir. Bu durumda “ateşte dans eden </w:t>
      </w:r>
      <w:proofErr w:type="spellStart"/>
      <w:r w:rsidRPr="004C4B53">
        <w:rPr>
          <w:color w:val="000000" w:themeColor="text1"/>
        </w:rPr>
        <w:t>kadın”ın</w:t>
      </w:r>
      <w:proofErr w:type="spellEnd"/>
      <w:r w:rsidRPr="004C4B53">
        <w:rPr>
          <w:color w:val="000000" w:themeColor="text1"/>
        </w:rPr>
        <w:t xml:space="preserve"> sadece Karakoç’un şiir öznesi olmadığı, başka eserlerde de kullanıldığı sonucuna ulaşılmaktadır. “Güneşe giden ateşin jesti mimiği / Bir anda hayatı soyunup ölüme girdi” dizeleri de göz önünde bulundurulduğunda ateşte rengarenk giysiler içinde ateşte yanan ve hayatı soyunup ölüme giden kadının, Zümrüdüanka kuşuna gönderme yaptığı söylenebilir.</w:t>
      </w:r>
    </w:p>
    <w:p w14:paraId="402C0FF1" w14:textId="77777777" w:rsidR="0089759E" w:rsidRPr="004C4B53" w:rsidRDefault="0089759E" w:rsidP="0089759E">
      <w:pPr>
        <w:tabs>
          <w:tab w:val="left" w:pos="567"/>
        </w:tabs>
        <w:jc w:val="both"/>
        <w:rPr>
          <w:color w:val="000000" w:themeColor="text1"/>
        </w:rPr>
      </w:pPr>
    </w:p>
    <w:p w14:paraId="756C5448" w14:textId="77777777" w:rsidR="0089759E" w:rsidRDefault="0089759E" w:rsidP="0089759E">
      <w:pPr>
        <w:tabs>
          <w:tab w:val="left" w:pos="567"/>
        </w:tabs>
        <w:rPr>
          <w:color w:val="000000" w:themeColor="text1"/>
        </w:rPr>
      </w:pPr>
      <w:r w:rsidRPr="004C4B53">
        <w:rPr>
          <w:color w:val="000000" w:themeColor="text1"/>
        </w:rPr>
        <w:t xml:space="preserve">Pek çok mitolojide karşılaşılan bu kuş, Yunan mitolojisinde Phoenix, Mısır’da </w:t>
      </w:r>
      <w:proofErr w:type="spellStart"/>
      <w:r w:rsidRPr="004C4B53">
        <w:rPr>
          <w:color w:val="000000" w:themeColor="text1"/>
        </w:rPr>
        <w:t>Fenix</w:t>
      </w:r>
      <w:proofErr w:type="spellEnd"/>
      <w:r w:rsidRPr="004C4B53">
        <w:rPr>
          <w:color w:val="000000" w:themeColor="text1"/>
        </w:rPr>
        <w:t xml:space="preserve">, Araplarda </w:t>
      </w:r>
      <w:proofErr w:type="spellStart"/>
      <w:r w:rsidRPr="004C4B53">
        <w:rPr>
          <w:color w:val="000000" w:themeColor="text1"/>
        </w:rPr>
        <w:t>Anqa</w:t>
      </w:r>
      <w:proofErr w:type="spellEnd"/>
      <w:r w:rsidRPr="004C4B53">
        <w:rPr>
          <w:color w:val="000000" w:themeColor="text1"/>
        </w:rPr>
        <w:t xml:space="preserve">, İran’da </w:t>
      </w:r>
      <w:proofErr w:type="spellStart"/>
      <w:r w:rsidRPr="004C4B53">
        <w:rPr>
          <w:color w:val="000000" w:themeColor="text1"/>
        </w:rPr>
        <w:t>Simurg</w:t>
      </w:r>
      <w:proofErr w:type="spellEnd"/>
      <w:r w:rsidRPr="004C4B53">
        <w:rPr>
          <w:color w:val="000000" w:themeColor="text1"/>
        </w:rPr>
        <w:t xml:space="preserve"> isimleriyle bilinmektedir. Benzer niteliklere sahip bu efsanevi kuş, Uzakdoğu Asya’da da farklı isimlerle bilinmektedir (</w:t>
      </w:r>
      <w:proofErr w:type="spellStart"/>
      <w:r w:rsidRPr="004C4B53">
        <w:rPr>
          <w:color w:val="000000" w:themeColor="text1"/>
        </w:rPr>
        <w:t>Coleman</w:t>
      </w:r>
      <w:proofErr w:type="spellEnd"/>
      <w:r w:rsidRPr="004C4B53">
        <w:rPr>
          <w:color w:val="000000" w:themeColor="text1"/>
        </w:rPr>
        <w:t>, 2007). Yunan mitolojisinde Phoenix, 350 yıllık aralıklarla -ki bu rakam kaynaklara göre göre değişebilmektedir- bir odun yığını içinde kanat çırparak kendisini ateşte yakar ve küllerinden tekrar doğar (</w:t>
      </w:r>
      <w:proofErr w:type="spellStart"/>
      <w:r w:rsidRPr="004C4B53">
        <w:rPr>
          <w:color w:val="000000" w:themeColor="text1"/>
        </w:rPr>
        <w:t>Coleman</w:t>
      </w:r>
      <w:proofErr w:type="spellEnd"/>
      <w:r w:rsidRPr="004C4B53">
        <w:rPr>
          <w:color w:val="000000" w:themeColor="text1"/>
        </w:rPr>
        <w:t xml:space="preserve">, 2007). Geniş bir kültürel yelpazede bilinen bu kuşla ilgili efsaneler az da olsa değişiklikler göstermektedir. Fakat Akpınar ve Yılmaz </w:t>
      </w:r>
      <w:proofErr w:type="spellStart"/>
      <w:r w:rsidRPr="004C4B53">
        <w:rPr>
          <w:color w:val="000000" w:themeColor="text1"/>
        </w:rPr>
        <w:t>Çebin’in</w:t>
      </w:r>
      <w:proofErr w:type="spellEnd"/>
      <w:r w:rsidRPr="004C4B53">
        <w:rPr>
          <w:color w:val="000000" w:themeColor="text1"/>
        </w:rPr>
        <w:t xml:space="preserve"> (2015) de belirttiği üzere her kültürde farklı özellikler yüklense de Phoenix, Anka ve </w:t>
      </w:r>
      <w:proofErr w:type="spellStart"/>
      <w:r w:rsidRPr="004C4B53">
        <w:rPr>
          <w:color w:val="000000" w:themeColor="text1"/>
        </w:rPr>
        <w:t>Simurg’un</w:t>
      </w:r>
      <w:proofErr w:type="spellEnd"/>
      <w:r w:rsidRPr="004C4B53">
        <w:rPr>
          <w:color w:val="000000" w:themeColor="text1"/>
        </w:rPr>
        <w:t xml:space="preserve"> değişmeyen ortak noktası döngüsel periyodlar halinde kendisini yakıp küllerinden tekrar doğmasıdır. Bu sebepledir ki bu kuş, dünya literatüründe öldükten sonra tekrar doğmayı, ölümsüzlüğü, dirilişi ve canlılığı simgeler. Renkli tüyleri olan ve dişi bir kuş olduğu bilinen Anka’nın (Pala 1998) ateşte kendini yakması, açık bir biçimde Karakoç’un şiirinde “ateşte dans eden kadın” imajıyla son derece benzeşmektedir. Fakat Karakoç’un şiirindeki anıştırma salt bir efsaneye değildir. Divan şiirinde renkli bir görünümü olan Anka’nın kendini ateşe vermesi ve küllerinden doğmasını anlatan pek çok beyit vardır. Şeyh </w:t>
      </w:r>
      <w:proofErr w:type="spellStart"/>
      <w:r w:rsidRPr="004C4B53">
        <w:rPr>
          <w:color w:val="000000" w:themeColor="text1"/>
        </w:rPr>
        <w:t>Galib’in</w:t>
      </w:r>
      <w:proofErr w:type="spellEnd"/>
      <w:r w:rsidRPr="004C4B53">
        <w:rPr>
          <w:color w:val="000000" w:themeColor="text1"/>
        </w:rPr>
        <w:t xml:space="preserve"> “Öyle yaksın beni kim </w:t>
      </w:r>
      <w:proofErr w:type="spellStart"/>
      <w:r w:rsidRPr="004C4B53">
        <w:rPr>
          <w:color w:val="000000" w:themeColor="text1"/>
        </w:rPr>
        <w:t>âteş</w:t>
      </w:r>
      <w:proofErr w:type="spellEnd"/>
      <w:r w:rsidRPr="004C4B53">
        <w:rPr>
          <w:color w:val="000000" w:themeColor="text1"/>
        </w:rPr>
        <w:t xml:space="preserve">-i </w:t>
      </w:r>
      <w:proofErr w:type="spellStart"/>
      <w:r w:rsidRPr="004C4B53">
        <w:rPr>
          <w:color w:val="000000" w:themeColor="text1"/>
        </w:rPr>
        <w:t>reng</w:t>
      </w:r>
      <w:proofErr w:type="spellEnd"/>
      <w:r w:rsidRPr="004C4B53">
        <w:rPr>
          <w:color w:val="000000" w:themeColor="text1"/>
        </w:rPr>
        <w:t xml:space="preserve">-â-rengim / </w:t>
      </w:r>
      <w:proofErr w:type="spellStart"/>
      <w:r w:rsidRPr="004C4B53">
        <w:rPr>
          <w:color w:val="000000" w:themeColor="text1"/>
        </w:rPr>
        <w:t>Murg</w:t>
      </w:r>
      <w:proofErr w:type="spellEnd"/>
      <w:r w:rsidRPr="004C4B53">
        <w:rPr>
          <w:color w:val="000000" w:themeColor="text1"/>
        </w:rPr>
        <w:t>-i ‘</w:t>
      </w:r>
      <w:proofErr w:type="spellStart"/>
      <w:r w:rsidRPr="004C4B53">
        <w:rPr>
          <w:color w:val="000000" w:themeColor="text1"/>
        </w:rPr>
        <w:t>ankâ</w:t>
      </w:r>
      <w:proofErr w:type="spellEnd"/>
      <w:r w:rsidRPr="004C4B53">
        <w:rPr>
          <w:color w:val="000000" w:themeColor="text1"/>
        </w:rPr>
        <w:t xml:space="preserve"> çıka </w:t>
      </w:r>
      <w:proofErr w:type="spellStart"/>
      <w:r w:rsidRPr="004C4B53">
        <w:rPr>
          <w:color w:val="000000" w:themeColor="text1"/>
        </w:rPr>
        <w:t>hâkister</w:t>
      </w:r>
      <w:proofErr w:type="spellEnd"/>
      <w:r w:rsidRPr="004C4B53">
        <w:rPr>
          <w:color w:val="000000" w:themeColor="text1"/>
        </w:rPr>
        <w:t xml:space="preserve">-i </w:t>
      </w:r>
      <w:proofErr w:type="spellStart"/>
      <w:r w:rsidRPr="004C4B53">
        <w:rPr>
          <w:color w:val="000000" w:themeColor="text1"/>
        </w:rPr>
        <w:t>hâşâkimden</w:t>
      </w:r>
      <w:proofErr w:type="spellEnd"/>
      <w:r w:rsidRPr="004C4B53">
        <w:rPr>
          <w:color w:val="000000" w:themeColor="text1"/>
        </w:rPr>
        <w:t xml:space="preserve">” (Güler, 1993, s. 522) beyti, bunun iyi bir örneğidir. Karakoç’un yarattığı ateşte dans eden kadın imajı, yukarıdaki beyitte rengarenk bir ateşin içinde yanmak isteyen şiir öznesini çağrıştırmaktadır. </w:t>
      </w:r>
    </w:p>
    <w:p w14:paraId="57EA5626" w14:textId="77777777" w:rsidR="0089759E" w:rsidRPr="004C4B53" w:rsidRDefault="0089759E" w:rsidP="0089759E">
      <w:pPr>
        <w:tabs>
          <w:tab w:val="left" w:pos="567"/>
        </w:tabs>
        <w:jc w:val="both"/>
        <w:rPr>
          <w:color w:val="000000" w:themeColor="text1"/>
        </w:rPr>
      </w:pPr>
    </w:p>
    <w:p w14:paraId="53F7E3B8" w14:textId="77777777" w:rsidR="0089759E" w:rsidRPr="004C4B53" w:rsidRDefault="0089759E" w:rsidP="0089759E">
      <w:pPr>
        <w:tabs>
          <w:tab w:val="left" w:pos="567"/>
        </w:tabs>
        <w:jc w:val="both"/>
        <w:rPr>
          <w:color w:val="000000" w:themeColor="text1"/>
        </w:rPr>
      </w:pPr>
      <w:r w:rsidRPr="004C4B53">
        <w:rPr>
          <w:color w:val="000000" w:themeColor="text1"/>
        </w:rPr>
        <w:t xml:space="preserve">Yukarıda görüldüğü şekilde </w:t>
      </w:r>
      <w:proofErr w:type="spellStart"/>
      <w:r w:rsidRPr="004C4B53">
        <w:rPr>
          <w:color w:val="000000" w:themeColor="text1"/>
        </w:rPr>
        <w:t>metinlerarası</w:t>
      </w:r>
      <w:proofErr w:type="spellEnd"/>
      <w:r w:rsidRPr="004C4B53">
        <w:rPr>
          <w:color w:val="000000" w:themeColor="text1"/>
        </w:rPr>
        <w:t xml:space="preserve"> ilişki açısından örtük bir biçimde kullanılan anıştırma (</w:t>
      </w:r>
      <w:proofErr w:type="spellStart"/>
      <w:r w:rsidRPr="004C4B53">
        <w:rPr>
          <w:color w:val="000000" w:themeColor="text1"/>
        </w:rPr>
        <w:t>allusion</w:t>
      </w:r>
      <w:proofErr w:type="spellEnd"/>
      <w:r w:rsidRPr="004C4B53">
        <w:rPr>
          <w:color w:val="000000" w:themeColor="text1"/>
        </w:rPr>
        <w:t xml:space="preserve">) ötesinde Sezai Karakoç’un, </w:t>
      </w:r>
      <w:r w:rsidRPr="004C4B53">
        <w:rPr>
          <w:i/>
          <w:iCs/>
          <w:color w:val="000000" w:themeColor="text1"/>
        </w:rPr>
        <w:t>Leyla ile Mecnun</w:t>
      </w:r>
      <w:r w:rsidRPr="004C4B53">
        <w:rPr>
          <w:color w:val="000000" w:themeColor="text1"/>
        </w:rPr>
        <w:t xml:space="preserve">’da yaptığına benzer şekilde gelenekle doğrudan söyleşime girdiği örneklere de </w:t>
      </w:r>
      <w:r w:rsidRPr="004C4B53">
        <w:rPr>
          <w:i/>
          <w:iCs/>
          <w:color w:val="000000" w:themeColor="text1"/>
        </w:rPr>
        <w:t xml:space="preserve">Ateş </w:t>
      </w:r>
      <w:proofErr w:type="spellStart"/>
      <w:r w:rsidRPr="004C4B53">
        <w:rPr>
          <w:i/>
          <w:iCs/>
          <w:color w:val="000000" w:themeColor="text1"/>
        </w:rPr>
        <w:t>Dansı</w:t>
      </w:r>
      <w:r w:rsidRPr="004C4B53">
        <w:rPr>
          <w:color w:val="000000" w:themeColor="text1"/>
        </w:rPr>
        <w:t>’nda</w:t>
      </w:r>
      <w:proofErr w:type="spellEnd"/>
      <w:r w:rsidRPr="004C4B53">
        <w:rPr>
          <w:color w:val="000000" w:themeColor="text1"/>
        </w:rPr>
        <w:t xml:space="preserve"> rastlamak mümkündür. Bu anlamda Ateş </w:t>
      </w:r>
      <w:proofErr w:type="spellStart"/>
      <w:r w:rsidRPr="004C4B53">
        <w:rPr>
          <w:color w:val="000000" w:themeColor="text1"/>
        </w:rPr>
        <w:t>Dansı’nda</w:t>
      </w:r>
      <w:proofErr w:type="spellEnd"/>
      <w:r w:rsidRPr="004C4B53">
        <w:rPr>
          <w:color w:val="000000" w:themeColor="text1"/>
        </w:rPr>
        <w:t xml:space="preserve"> yer alan şiirlerin çoğu, doğrudan </w:t>
      </w:r>
      <w:proofErr w:type="spellStart"/>
      <w:r w:rsidRPr="004C4B53">
        <w:rPr>
          <w:color w:val="000000" w:themeColor="text1"/>
        </w:rPr>
        <w:t>metinlerarasılık</w:t>
      </w:r>
      <w:proofErr w:type="spellEnd"/>
      <w:r w:rsidRPr="004C4B53">
        <w:rPr>
          <w:color w:val="000000" w:themeColor="text1"/>
        </w:rPr>
        <w:t xml:space="preserve"> açısından değerlendirilmeye müsaittir. Bu şiirlerden biri de “İstanbul’un Hazan </w:t>
      </w:r>
      <w:proofErr w:type="spellStart"/>
      <w:r w:rsidRPr="004C4B53">
        <w:rPr>
          <w:color w:val="000000" w:themeColor="text1"/>
        </w:rPr>
        <w:t>Gazeli”dir</w:t>
      </w:r>
      <w:proofErr w:type="spellEnd"/>
      <w:r w:rsidRPr="004C4B53">
        <w:rPr>
          <w:color w:val="000000" w:themeColor="text1"/>
        </w:rPr>
        <w:t>. Şiirin biçimi açısından olmasa da söyleyiş ve içeriği açısından divan şairi Nedim’in “</w:t>
      </w:r>
      <w:proofErr w:type="spellStart"/>
      <w:r w:rsidRPr="004C4B53">
        <w:rPr>
          <w:color w:val="000000" w:themeColor="text1"/>
        </w:rPr>
        <w:t>Sadâbâd</w:t>
      </w:r>
      <w:proofErr w:type="spellEnd"/>
      <w:r w:rsidRPr="004C4B53">
        <w:rPr>
          <w:color w:val="000000" w:themeColor="text1"/>
        </w:rPr>
        <w:t xml:space="preserve"> </w:t>
      </w:r>
      <w:proofErr w:type="spellStart"/>
      <w:r w:rsidRPr="004C4B53">
        <w:rPr>
          <w:color w:val="000000" w:themeColor="text1"/>
        </w:rPr>
        <w:t>Şarkısı”nın</w:t>
      </w:r>
      <w:proofErr w:type="spellEnd"/>
      <w:r w:rsidRPr="004C4B53">
        <w:rPr>
          <w:color w:val="000000" w:themeColor="text1"/>
        </w:rPr>
        <w:t xml:space="preserve"> bir parodisi olduğu anlaşılır. Şunu da belirtmek gerekir ki Nedim’in şarkısı ile Karakoç’un söz konusu şiiri üzerine </w:t>
      </w:r>
      <w:proofErr w:type="spellStart"/>
      <w:r w:rsidRPr="004C4B53">
        <w:rPr>
          <w:color w:val="000000" w:themeColor="text1"/>
        </w:rPr>
        <w:t>Andı’nın</w:t>
      </w:r>
      <w:proofErr w:type="spellEnd"/>
      <w:r w:rsidRPr="004C4B53">
        <w:rPr>
          <w:color w:val="000000" w:themeColor="text1"/>
        </w:rPr>
        <w:t xml:space="preserve"> (2010), Gündüz’ün (2013), Işık’ın (2019), Akyol’un (2022) ve Güneş’in (2023) çalışmaları olmuştur fakat bu çalışmalarda </w:t>
      </w:r>
      <w:proofErr w:type="spellStart"/>
      <w:r w:rsidRPr="004C4B53">
        <w:rPr>
          <w:color w:val="000000" w:themeColor="text1"/>
        </w:rPr>
        <w:t>metinlerarasılık</w:t>
      </w:r>
      <w:proofErr w:type="spellEnd"/>
      <w:r w:rsidRPr="004C4B53">
        <w:rPr>
          <w:color w:val="000000" w:themeColor="text1"/>
        </w:rPr>
        <w:t xml:space="preserve"> açısından bu iki metin arasındaki </w:t>
      </w:r>
      <w:proofErr w:type="spellStart"/>
      <w:r w:rsidRPr="004C4B53">
        <w:rPr>
          <w:color w:val="000000" w:themeColor="text1"/>
        </w:rPr>
        <w:t>parodik</w:t>
      </w:r>
      <w:proofErr w:type="spellEnd"/>
      <w:r w:rsidRPr="004C4B53">
        <w:rPr>
          <w:color w:val="000000" w:themeColor="text1"/>
        </w:rPr>
        <w:t xml:space="preserve"> ilişkiye değinen bir çalışma olmamıştır.</w:t>
      </w:r>
    </w:p>
    <w:p w14:paraId="67E7E39B" w14:textId="77777777" w:rsidR="0089759E" w:rsidRDefault="0089759E" w:rsidP="0089759E">
      <w:pPr>
        <w:tabs>
          <w:tab w:val="left" w:pos="567"/>
        </w:tabs>
        <w:rPr>
          <w:color w:val="000000" w:themeColor="text1"/>
        </w:rPr>
      </w:pPr>
      <w:r w:rsidRPr="004C4B53">
        <w:rPr>
          <w:color w:val="000000" w:themeColor="text1"/>
        </w:rPr>
        <w:t>Bilindiği üzere edebiyat alanında parodi, bir metni başka bir amaçla yeniden kullanmak, ona yeni bir amaç yüklemektir (</w:t>
      </w:r>
      <w:proofErr w:type="spellStart"/>
      <w:r w:rsidRPr="004C4B53">
        <w:rPr>
          <w:color w:val="000000" w:themeColor="text1"/>
        </w:rPr>
        <w:t>Aktulum</w:t>
      </w:r>
      <w:proofErr w:type="spellEnd"/>
      <w:r w:rsidRPr="004C4B53">
        <w:rPr>
          <w:color w:val="000000" w:themeColor="text1"/>
        </w:rPr>
        <w:t>, 2000). Antik Yunan’da parodi, destan gibi konusu ciddi bir metni alıp sıradan, hiçbir kahramanlık olayı anlatmayan, basit, sıradan bir metne dönüştürmek anlamında kullanılır (</w:t>
      </w:r>
      <w:proofErr w:type="spellStart"/>
      <w:r w:rsidRPr="004C4B53">
        <w:rPr>
          <w:color w:val="000000" w:themeColor="text1"/>
        </w:rPr>
        <w:t>Aktulum</w:t>
      </w:r>
      <w:proofErr w:type="spellEnd"/>
      <w:r w:rsidRPr="004C4B53">
        <w:rPr>
          <w:color w:val="000000" w:themeColor="text1"/>
        </w:rPr>
        <w:t xml:space="preserve">, 2000). Genellikle de yaratılan üst metin, gülünç ya da komik bir etki yaratır. Fakat son yıllarda yapılan çalışmalarda parodinin ila da alt metinle ilişkisinde komik olmak ya da alt metnin değerini düşürmek gibi bir amacının olmayabileceği de ortaya konmuştur. Bu anlamda parodi, </w:t>
      </w:r>
      <w:proofErr w:type="gramStart"/>
      <w:r w:rsidRPr="004C4B53">
        <w:rPr>
          <w:color w:val="000000" w:themeColor="text1"/>
        </w:rPr>
        <w:t>pekala</w:t>
      </w:r>
      <w:proofErr w:type="gramEnd"/>
      <w:r w:rsidRPr="004C4B53">
        <w:rPr>
          <w:color w:val="000000" w:themeColor="text1"/>
        </w:rPr>
        <w:t xml:space="preserve"> bir metni alıp dönüştürürken alt metne saygı ortaya koyabilmekte ve o metni yüceltme yoluna da gidilebilmektedir (</w:t>
      </w:r>
      <w:proofErr w:type="spellStart"/>
      <w:r w:rsidRPr="004C4B53">
        <w:rPr>
          <w:color w:val="000000" w:themeColor="text1"/>
        </w:rPr>
        <w:t>Rose</w:t>
      </w:r>
      <w:proofErr w:type="spellEnd"/>
      <w:r w:rsidRPr="004C4B53">
        <w:rPr>
          <w:color w:val="000000" w:themeColor="text1"/>
        </w:rPr>
        <w:t xml:space="preserve">, 2016). </w:t>
      </w:r>
    </w:p>
    <w:p w14:paraId="4613A260" w14:textId="77777777" w:rsidR="0089759E" w:rsidRPr="004C4B53" w:rsidRDefault="0089759E" w:rsidP="0089759E">
      <w:pPr>
        <w:tabs>
          <w:tab w:val="left" w:pos="567"/>
        </w:tabs>
        <w:jc w:val="both"/>
        <w:rPr>
          <w:color w:val="000000" w:themeColor="text1"/>
        </w:rPr>
      </w:pPr>
    </w:p>
    <w:p w14:paraId="7A491A62" w14:textId="77777777" w:rsidR="0089759E" w:rsidRPr="004C4B53" w:rsidRDefault="0089759E" w:rsidP="0089759E">
      <w:pPr>
        <w:tabs>
          <w:tab w:val="left" w:pos="567"/>
        </w:tabs>
        <w:jc w:val="both"/>
        <w:rPr>
          <w:color w:val="000000" w:themeColor="text1"/>
        </w:rPr>
      </w:pPr>
      <w:r w:rsidRPr="004C4B53">
        <w:rPr>
          <w:color w:val="000000" w:themeColor="text1"/>
        </w:rPr>
        <w:t>Sezai Karakoç’un “İstanbul’un Hazan Gazeli” ile Nedim’in “</w:t>
      </w:r>
      <w:proofErr w:type="spellStart"/>
      <w:r w:rsidRPr="004C4B53">
        <w:rPr>
          <w:color w:val="000000" w:themeColor="text1"/>
        </w:rPr>
        <w:t>Sadâbâd</w:t>
      </w:r>
      <w:proofErr w:type="spellEnd"/>
      <w:r w:rsidRPr="004C4B53">
        <w:rPr>
          <w:color w:val="000000" w:themeColor="text1"/>
        </w:rPr>
        <w:t xml:space="preserve"> Şarkısı” arasındaki metinsel ilişki de tam bu tarz bir parodiye örnektir. Öncelikle Nedim’in </w:t>
      </w:r>
      <w:proofErr w:type="spellStart"/>
      <w:r w:rsidRPr="004C4B53">
        <w:rPr>
          <w:color w:val="000000" w:themeColor="text1"/>
        </w:rPr>
        <w:t>Şarkı’sını</w:t>
      </w:r>
      <w:proofErr w:type="spellEnd"/>
      <w:r w:rsidRPr="004C4B53">
        <w:rPr>
          <w:color w:val="000000" w:themeColor="text1"/>
        </w:rPr>
        <w:t xml:space="preserve"> ve Karakoç’un İstanbul’un Hazan </w:t>
      </w:r>
      <w:proofErr w:type="spellStart"/>
      <w:r w:rsidRPr="004C4B53">
        <w:rPr>
          <w:color w:val="000000" w:themeColor="text1"/>
        </w:rPr>
        <w:t>Gazeli’ni</w:t>
      </w:r>
      <w:proofErr w:type="spellEnd"/>
      <w:r w:rsidRPr="004C4B53">
        <w:rPr>
          <w:color w:val="000000" w:themeColor="text1"/>
        </w:rPr>
        <w:t xml:space="preserve"> vermek yerinde olacaktır. </w:t>
      </w:r>
    </w:p>
    <w:p w14:paraId="618615D0" w14:textId="77777777" w:rsidR="0089759E" w:rsidRPr="004C4B53" w:rsidRDefault="0089759E" w:rsidP="0089759E">
      <w:pPr>
        <w:pStyle w:val="ListeParagraf"/>
        <w:tabs>
          <w:tab w:val="left" w:pos="567"/>
        </w:tabs>
        <w:ind w:left="851"/>
        <w:jc w:val="both"/>
        <w:rPr>
          <w:b/>
          <w:bCs/>
          <w:color w:val="000000" w:themeColor="text1"/>
          <w:sz w:val="20"/>
          <w:szCs w:val="20"/>
        </w:rPr>
      </w:pPr>
      <w:r w:rsidRPr="004C4B53">
        <w:rPr>
          <w:b/>
          <w:bCs/>
          <w:color w:val="000000" w:themeColor="text1"/>
          <w:sz w:val="20"/>
          <w:szCs w:val="20"/>
        </w:rPr>
        <w:t>Şarkı</w:t>
      </w:r>
    </w:p>
    <w:p w14:paraId="6FFFC246"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“Bir safa bahşedelim gel şu dil-i </w:t>
      </w:r>
      <w:proofErr w:type="spellStart"/>
      <w:r w:rsidRPr="004C4B53">
        <w:rPr>
          <w:color w:val="000000" w:themeColor="text1"/>
          <w:sz w:val="20"/>
          <w:szCs w:val="20"/>
        </w:rPr>
        <w:t>nâ</w:t>
      </w:r>
      <w:proofErr w:type="spellEnd"/>
      <w:r w:rsidRPr="004C4B53">
        <w:rPr>
          <w:color w:val="000000" w:themeColor="text1"/>
          <w:sz w:val="20"/>
          <w:szCs w:val="20"/>
        </w:rPr>
        <w:t>-şâda</w:t>
      </w:r>
    </w:p>
    <w:p w14:paraId="41CCDEFB"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p>
    <w:p w14:paraId="6B931E1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İşte üç çifte kayık iskelede </w:t>
      </w:r>
      <w:proofErr w:type="spellStart"/>
      <w:r w:rsidRPr="004C4B53">
        <w:rPr>
          <w:color w:val="000000" w:themeColor="text1"/>
          <w:sz w:val="20"/>
          <w:szCs w:val="20"/>
        </w:rPr>
        <w:t>âmâde</w:t>
      </w:r>
      <w:proofErr w:type="spellEnd"/>
    </w:p>
    <w:p w14:paraId="05F57F0B"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p>
    <w:p w14:paraId="36178F0E" w14:textId="77777777" w:rsidR="0089759E" w:rsidRPr="004C4B53" w:rsidRDefault="0089759E" w:rsidP="0089759E">
      <w:pPr>
        <w:pStyle w:val="ListeParagraf"/>
        <w:tabs>
          <w:tab w:val="left" w:pos="567"/>
        </w:tabs>
        <w:ind w:left="851"/>
        <w:jc w:val="both"/>
        <w:rPr>
          <w:color w:val="000000" w:themeColor="text1"/>
          <w:sz w:val="20"/>
          <w:szCs w:val="20"/>
        </w:rPr>
      </w:pPr>
    </w:p>
    <w:p w14:paraId="40D7DF8E"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Gülelim oynayalım kâm alalım </w:t>
      </w:r>
      <w:proofErr w:type="spellStart"/>
      <w:r w:rsidRPr="004C4B53">
        <w:rPr>
          <w:color w:val="000000" w:themeColor="text1"/>
          <w:sz w:val="20"/>
          <w:szCs w:val="20"/>
        </w:rPr>
        <w:t>dünyâdan</w:t>
      </w:r>
      <w:proofErr w:type="spellEnd"/>
    </w:p>
    <w:p w14:paraId="34A831C3"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Mâ</w:t>
      </w:r>
      <w:proofErr w:type="spellEnd"/>
      <w:r w:rsidRPr="004C4B53">
        <w:rPr>
          <w:color w:val="000000" w:themeColor="text1"/>
          <w:sz w:val="20"/>
          <w:szCs w:val="20"/>
        </w:rPr>
        <w:t xml:space="preserve">'-i </w:t>
      </w:r>
      <w:proofErr w:type="spellStart"/>
      <w:r w:rsidRPr="004C4B53">
        <w:rPr>
          <w:color w:val="000000" w:themeColor="text1"/>
          <w:sz w:val="20"/>
          <w:szCs w:val="20"/>
        </w:rPr>
        <w:t>Tesnîm</w:t>
      </w:r>
      <w:proofErr w:type="spellEnd"/>
      <w:r w:rsidRPr="004C4B53">
        <w:rPr>
          <w:color w:val="000000" w:themeColor="text1"/>
          <w:sz w:val="20"/>
          <w:szCs w:val="20"/>
        </w:rPr>
        <w:t xml:space="preserve"> içelim Çeşme-i Nev-</w:t>
      </w:r>
      <w:proofErr w:type="spellStart"/>
      <w:r w:rsidRPr="004C4B53">
        <w:rPr>
          <w:color w:val="000000" w:themeColor="text1"/>
          <w:sz w:val="20"/>
          <w:szCs w:val="20"/>
        </w:rPr>
        <w:t>peydâdan</w:t>
      </w:r>
      <w:proofErr w:type="spellEnd"/>
    </w:p>
    <w:p w14:paraId="3389E440"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Görelim </w:t>
      </w:r>
      <w:proofErr w:type="spellStart"/>
      <w:r w:rsidRPr="004C4B53">
        <w:rPr>
          <w:color w:val="000000" w:themeColor="text1"/>
          <w:sz w:val="20"/>
          <w:szCs w:val="20"/>
        </w:rPr>
        <w:t>âb</w:t>
      </w:r>
      <w:proofErr w:type="spellEnd"/>
      <w:r w:rsidRPr="004C4B53">
        <w:rPr>
          <w:color w:val="000000" w:themeColor="text1"/>
          <w:sz w:val="20"/>
          <w:szCs w:val="20"/>
        </w:rPr>
        <w:t xml:space="preserve">-ı </w:t>
      </w:r>
      <w:proofErr w:type="spellStart"/>
      <w:r w:rsidRPr="004C4B53">
        <w:rPr>
          <w:color w:val="000000" w:themeColor="text1"/>
          <w:sz w:val="20"/>
          <w:szCs w:val="20"/>
        </w:rPr>
        <w:t>hayât</w:t>
      </w:r>
      <w:proofErr w:type="spellEnd"/>
      <w:r w:rsidRPr="004C4B53">
        <w:rPr>
          <w:color w:val="000000" w:themeColor="text1"/>
          <w:sz w:val="20"/>
          <w:szCs w:val="20"/>
        </w:rPr>
        <w:t xml:space="preserve"> </w:t>
      </w:r>
      <w:proofErr w:type="spellStart"/>
      <w:r w:rsidRPr="004C4B53">
        <w:rPr>
          <w:color w:val="000000" w:themeColor="text1"/>
          <w:sz w:val="20"/>
          <w:szCs w:val="20"/>
        </w:rPr>
        <w:t>akdığın</w:t>
      </w:r>
      <w:proofErr w:type="spellEnd"/>
      <w:r w:rsidRPr="004C4B53">
        <w:rPr>
          <w:color w:val="000000" w:themeColor="text1"/>
          <w:sz w:val="20"/>
          <w:szCs w:val="20"/>
        </w:rPr>
        <w:t xml:space="preserve"> </w:t>
      </w:r>
      <w:proofErr w:type="spellStart"/>
      <w:r w:rsidRPr="004C4B53">
        <w:rPr>
          <w:color w:val="000000" w:themeColor="text1"/>
          <w:sz w:val="20"/>
          <w:szCs w:val="20"/>
        </w:rPr>
        <w:t>ejderhâdan</w:t>
      </w:r>
      <w:proofErr w:type="spellEnd"/>
    </w:p>
    <w:p w14:paraId="4C063FFE"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p>
    <w:p w14:paraId="26D1DDD3" w14:textId="77777777" w:rsidR="0089759E" w:rsidRPr="004C4B53" w:rsidRDefault="0089759E" w:rsidP="0089759E">
      <w:pPr>
        <w:pStyle w:val="ListeParagraf"/>
        <w:tabs>
          <w:tab w:val="left" w:pos="567"/>
        </w:tabs>
        <w:ind w:left="851"/>
        <w:jc w:val="both"/>
        <w:rPr>
          <w:color w:val="000000" w:themeColor="text1"/>
          <w:sz w:val="20"/>
          <w:szCs w:val="20"/>
        </w:rPr>
      </w:pPr>
    </w:p>
    <w:p w14:paraId="5C37A65E"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Geh</w:t>
      </w:r>
      <w:proofErr w:type="spellEnd"/>
      <w:r w:rsidRPr="004C4B53">
        <w:rPr>
          <w:color w:val="000000" w:themeColor="text1"/>
          <w:sz w:val="20"/>
          <w:szCs w:val="20"/>
        </w:rPr>
        <w:t xml:space="preserve"> </w:t>
      </w:r>
      <w:proofErr w:type="spellStart"/>
      <w:r w:rsidRPr="004C4B53">
        <w:rPr>
          <w:color w:val="000000" w:themeColor="text1"/>
          <w:sz w:val="20"/>
          <w:szCs w:val="20"/>
        </w:rPr>
        <w:t>varub</w:t>
      </w:r>
      <w:proofErr w:type="spellEnd"/>
      <w:r w:rsidRPr="004C4B53">
        <w:rPr>
          <w:color w:val="000000" w:themeColor="text1"/>
          <w:sz w:val="20"/>
          <w:szCs w:val="20"/>
        </w:rPr>
        <w:t xml:space="preserve"> </w:t>
      </w:r>
      <w:proofErr w:type="spellStart"/>
      <w:r w:rsidRPr="004C4B53">
        <w:rPr>
          <w:color w:val="000000" w:themeColor="text1"/>
          <w:sz w:val="20"/>
          <w:szCs w:val="20"/>
        </w:rPr>
        <w:t>havz</w:t>
      </w:r>
      <w:proofErr w:type="spellEnd"/>
      <w:r w:rsidRPr="004C4B53">
        <w:rPr>
          <w:color w:val="000000" w:themeColor="text1"/>
          <w:sz w:val="20"/>
          <w:szCs w:val="20"/>
        </w:rPr>
        <w:t xml:space="preserve"> kenarında </w:t>
      </w:r>
      <w:proofErr w:type="spellStart"/>
      <w:r w:rsidRPr="004C4B53">
        <w:rPr>
          <w:color w:val="000000" w:themeColor="text1"/>
          <w:sz w:val="20"/>
          <w:szCs w:val="20"/>
        </w:rPr>
        <w:t>hırâmân</w:t>
      </w:r>
      <w:proofErr w:type="spellEnd"/>
      <w:r w:rsidRPr="004C4B53">
        <w:rPr>
          <w:color w:val="000000" w:themeColor="text1"/>
          <w:sz w:val="20"/>
          <w:szCs w:val="20"/>
        </w:rPr>
        <w:t xml:space="preserve"> olalım</w:t>
      </w:r>
    </w:p>
    <w:p w14:paraId="5DF63F42"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Geh</w:t>
      </w:r>
      <w:proofErr w:type="spellEnd"/>
      <w:r w:rsidRPr="004C4B53">
        <w:rPr>
          <w:color w:val="000000" w:themeColor="text1"/>
          <w:sz w:val="20"/>
          <w:szCs w:val="20"/>
        </w:rPr>
        <w:t xml:space="preserve"> </w:t>
      </w:r>
      <w:proofErr w:type="spellStart"/>
      <w:r w:rsidRPr="004C4B53">
        <w:rPr>
          <w:color w:val="000000" w:themeColor="text1"/>
          <w:sz w:val="20"/>
          <w:szCs w:val="20"/>
        </w:rPr>
        <w:t>gelüb</w:t>
      </w:r>
      <w:proofErr w:type="spellEnd"/>
      <w:r w:rsidRPr="004C4B53">
        <w:rPr>
          <w:color w:val="000000" w:themeColor="text1"/>
          <w:sz w:val="20"/>
          <w:szCs w:val="20"/>
        </w:rPr>
        <w:t xml:space="preserve"> </w:t>
      </w:r>
      <w:proofErr w:type="spellStart"/>
      <w:r w:rsidRPr="004C4B53">
        <w:rPr>
          <w:color w:val="000000" w:themeColor="text1"/>
          <w:sz w:val="20"/>
          <w:szCs w:val="20"/>
        </w:rPr>
        <w:t>Kasr</w:t>
      </w:r>
      <w:proofErr w:type="spellEnd"/>
      <w:r w:rsidRPr="004C4B53">
        <w:rPr>
          <w:color w:val="000000" w:themeColor="text1"/>
          <w:sz w:val="20"/>
          <w:szCs w:val="20"/>
        </w:rPr>
        <w:t xml:space="preserve">-ı </w:t>
      </w:r>
      <w:proofErr w:type="spellStart"/>
      <w:r w:rsidRPr="004C4B53">
        <w:rPr>
          <w:color w:val="000000" w:themeColor="text1"/>
          <w:sz w:val="20"/>
          <w:szCs w:val="20"/>
        </w:rPr>
        <w:t>Cinân</w:t>
      </w:r>
      <w:proofErr w:type="spellEnd"/>
      <w:r w:rsidRPr="004C4B53">
        <w:rPr>
          <w:color w:val="000000" w:themeColor="text1"/>
          <w:sz w:val="20"/>
          <w:szCs w:val="20"/>
        </w:rPr>
        <w:t xml:space="preserve"> seyrine hayran olalım</w:t>
      </w:r>
    </w:p>
    <w:p w14:paraId="4AE5C26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Gâh şarki </w:t>
      </w:r>
      <w:proofErr w:type="spellStart"/>
      <w:r w:rsidRPr="004C4B53">
        <w:rPr>
          <w:color w:val="000000" w:themeColor="text1"/>
          <w:sz w:val="20"/>
          <w:szCs w:val="20"/>
        </w:rPr>
        <w:t>okuyub</w:t>
      </w:r>
      <w:proofErr w:type="spellEnd"/>
      <w:r w:rsidRPr="004C4B53">
        <w:rPr>
          <w:color w:val="000000" w:themeColor="text1"/>
          <w:sz w:val="20"/>
          <w:szCs w:val="20"/>
        </w:rPr>
        <w:t xml:space="preserve"> gah gazel-hân olalım</w:t>
      </w:r>
    </w:p>
    <w:p w14:paraId="6B5F09A8"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p>
    <w:p w14:paraId="38026CFD" w14:textId="77777777" w:rsidR="0089759E" w:rsidRPr="004C4B53" w:rsidRDefault="0089759E" w:rsidP="0089759E">
      <w:pPr>
        <w:pStyle w:val="ListeParagraf"/>
        <w:tabs>
          <w:tab w:val="left" w:pos="567"/>
        </w:tabs>
        <w:ind w:left="851"/>
        <w:jc w:val="both"/>
        <w:rPr>
          <w:color w:val="000000" w:themeColor="text1"/>
          <w:sz w:val="20"/>
          <w:szCs w:val="20"/>
        </w:rPr>
      </w:pPr>
    </w:p>
    <w:p w14:paraId="501C0299"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İzn</w:t>
      </w:r>
      <w:proofErr w:type="spellEnd"/>
      <w:r w:rsidRPr="004C4B53">
        <w:rPr>
          <w:color w:val="000000" w:themeColor="text1"/>
          <w:sz w:val="20"/>
          <w:szCs w:val="20"/>
        </w:rPr>
        <w:t xml:space="preserve"> </w:t>
      </w:r>
      <w:proofErr w:type="spellStart"/>
      <w:r w:rsidRPr="004C4B53">
        <w:rPr>
          <w:color w:val="000000" w:themeColor="text1"/>
          <w:sz w:val="20"/>
          <w:szCs w:val="20"/>
        </w:rPr>
        <w:t>alub</w:t>
      </w:r>
      <w:proofErr w:type="spellEnd"/>
      <w:r w:rsidRPr="004C4B53">
        <w:rPr>
          <w:color w:val="000000" w:themeColor="text1"/>
          <w:sz w:val="20"/>
          <w:szCs w:val="20"/>
        </w:rPr>
        <w:t xml:space="preserve"> </w:t>
      </w:r>
      <w:proofErr w:type="spellStart"/>
      <w:r w:rsidRPr="004C4B53">
        <w:rPr>
          <w:color w:val="000000" w:themeColor="text1"/>
          <w:sz w:val="20"/>
          <w:szCs w:val="20"/>
        </w:rPr>
        <w:t>Cum'a</w:t>
      </w:r>
      <w:proofErr w:type="spellEnd"/>
      <w:r w:rsidRPr="004C4B53">
        <w:rPr>
          <w:color w:val="000000" w:themeColor="text1"/>
          <w:sz w:val="20"/>
          <w:szCs w:val="20"/>
        </w:rPr>
        <w:t xml:space="preserve"> namazına </w:t>
      </w:r>
      <w:proofErr w:type="spellStart"/>
      <w:r w:rsidRPr="004C4B53">
        <w:rPr>
          <w:color w:val="000000" w:themeColor="text1"/>
          <w:sz w:val="20"/>
          <w:szCs w:val="20"/>
        </w:rPr>
        <w:t>deyû</w:t>
      </w:r>
      <w:proofErr w:type="spellEnd"/>
      <w:r w:rsidRPr="004C4B53">
        <w:rPr>
          <w:color w:val="000000" w:themeColor="text1"/>
          <w:sz w:val="20"/>
          <w:szCs w:val="20"/>
        </w:rPr>
        <w:t xml:space="preserve"> </w:t>
      </w:r>
      <w:proofErr w:type="spellStart"/>
      <w:r w:rsidRPr="004C4B53">
        <w:rPr>
          <w:color w:val="000000" w:themeColor="text1"/>
          <w:sz w:val="20"/>
          <w:szCs w:val="20"/>
        </w:rPr>
        <w:t>mâderden</w:t>
      </w:r>
      <w:proofErr w:type="spellEnd"/>
    </w:p>
    <w:p w14:paraId="5D9C758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Bir gün </w:t>
      </w:r>
      <w:proofErr w:type="spellStart"/>
      <w:r w:rsidRPr="004C4B53">
        <w:rPr>
          <w:color w:val="000000" w:themeColor="text1"/>
          <w:sz w:val="20"/>
          <w:szCs w:val="20"/>
        </w:rPr>
        <w:t>uğrulayalım</w:t>
      </w:r>
      <w:proofErr w:type="spellEnd"/>
      <w:r w:rsidRPr="004C4B53">
        <w:rPr>
          <w:color w:val="000000" w:themeColor="text1"/>
          <w:sz w:val="20"/>
          <w:szCs w:val="20"/>
        </w:rPr>
        <w:t xml:space="preserve"> </w:t>
      </w:r>
      <w:proofErr w:type="spellStart"/>
      <w:r w:rsidRPr="004C4B53">
        <w:rPr>
          <w:color w:val="000000" w:themeColor="text1"/>
          <w:sz w:val="20"/>
          <w:szCs w:val="20"/>
        </w:rPr>
        <w:t>çerh</w:t>
      </w:r>
      <w:proofErr w:type="spellEnd"/>
      <w:r w:rsidRPr="004C4B53">
        <w:rPr>
          <w:color w:val="000000" w:themeColor="text1"/>
          <w:sz w:val="20"/>
          <w:szCs w:val="20"/>
        </w:rPr>
        <w:t>-i sitem-perverden</w:t>
      </w:r>
    </w:p>
    <w:p w14:paraId="5654D278"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Dolaşub</w:t>
      </w:r>
      <w:proofErr w:type="spellEnd"/>
      <w:r w:rsidRPr="004C4B53">
        <w:rPr>
          <w:color w:val="000000" w:themeColor="text1"/>
          <w:sz w:val="20"/>
          <w:szCs w:val="20"/>
        </w:rPr>
        <w:t xml:space="preserve"> iskeleye doğru </w:t>
      </w:r>
      <w:proofErr w:type="spellStart"/>
      <w:r w:rsidRPr="004C4B53">
        <w:rPr>
          <w:color w:val="000000" w:themeColor="text1"/>
          <w:sz w:val="20"/>
          <w:szCs w:val="20"/>
        </w:rPr>
        <w:t>nihân</w:t>
      </w:r>
      <w:proofErr w:type="spellEnd"/>
      <w:r w:rsidRPr="004C4B53">
        <w:rPr>
          <w:color w:val="000000" w:themeColor="text1"/>
          <w:sz w:val="20"/>
          <w:szCs w:val="20"/>
        </w:rPr>
        <w:t xml:space="preserve"> yollardan</w:t>
      </w:r>
    </w:p>
    <w:p w14:paraId="0F1B220F"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p>
    <w:p w14:paraId="1EF65279" w14:textId="77777777" w:rsidR="0089759E" w:rsidRPr="004C4B53" w:rsidRDefault="0089759E" w:rsidP="0089759E">
      <w:pPr>
        <w:pStyle w:val="ListeParagraf"/>
        <w:tabs>
          <w:tab w:val="left" w:pos="567"/>
        </w:tabs>
        <w:ind w:left="851"/>
        <w:jc w:val="both"/>
        <w:rPr>
          <w:color w:val="000000" w:themeColor="text1"/>
          <w:sz w:val="20"/>
          <w:szCs w:val="20"/>
        </w:rPr>
      </w:pPr>
    </w:p>
    <w:p w14:paraId="6AC6A83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Bir sen ü bir ben ü bir </w:t>
      </w:r>
      <w:proofErr w:type="spellStart"/>
      <w:r w:rsidRPr="004C4B53">
        <w:rPr>
          <w:color w:val="000000" w:themeColor="text1"/>
          <w:sz w:val="20"/>
          <w:szCs w:val="20"/>
        </w:rPr>
        <w:t>mutrib</w:t>
      </w:r>
      <w:proofErr w:type="spellEnd"/>
      <w:r w:rsidRPr="004C4B53">
        <w:rPr>
          <w:color w:val="000000" w:themeColor="text1"/>
          <w:sz w:val="20"/>
          <w:szCs w:val="20"/>
        </w:rPr>
        <w:t xml:space="preserve">-i </w:t>
      </w:r>
      <w:proofErr w:type="spellStart"/>
      <w:r w:rsidRPr="004C4B53">
        <w:rPr>
          <w:color w:val="000000" w:themeColor="text1"/>
          <w:sz w:val="20"/>
          <w:szCs w:val="20"/>
        </w:rPr>
        <w:t>pâkîze-edâ</w:t>
      </w:r>
      <w:proofErr w:type="spellEnd"/>
    </w:p>
    <w:p w14:paraId="622F87DD"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İznin olursa eğer bir de </w:t>
      </w:r>
      <w:proofErr w:type="spellStart"/>
      <w:r w:rsidRPr="004C4B53">
        <w:rPr>
          <w:color w:val="000000" w:themeColor="text1"/>
          <w:sz w:val="20"/>
          <w:szCs w:val="20"/>
        </w:rPr>
        <w:t>Nedîm</w:t>
      </w:r>
      <w:proofErr w:type="spellEnd"/>
      <w:r w:rsidRPr="004C4B53">
        <w:rPr>
          <w:color w:val="000000" w:themeColor="text1"/>
          <w:sz w:val="20"/>
          <w:szCs w:val="20"/>
        </w:rPr>
        <w:t xml:space="preserve">-i </w:t>
      </w:r>
      <w:proofErr w:type="spellStart"/>
      <w:r w:rsidRPr="004C4B53">
        <w:rPr>
          <w:color w:val="000000" w:themeColor="text1"/>
          <w:sz w:val="20"/>
          <w:szCs w:val="20"/>
        </w:rPr>
        <w:t>şeydâ</w:t>
      </w:r>
      <w:proofErr w:type="spellEnd"/>
    </w:p>
    <w:p w14:paraId="547C134F"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Gayrı </w:t>
      </w:r>
      <w:proofErr w:type="spellStart"/>
      <w:r w:rsidRPr="004C4B53">
        <w:rPr>
          <w:color w:val="000000" w:themeColor="text1"/>
          <w:sz w:val="20"/>
          <w:szCs w:val="20"/>
        </w:rPr>
        <w:t>yârânı</w:t>
      </w:r>
      <w:proofErr w:type="spellEnd"/>
      <w:r w:rsidRPr="004C4B53">
        <w:rPr>
          <w:color w:val="000000" w:themeColor="text1"/>
          <w:sz w:val="20"/>
          <w:szCs w:val="20"/>
        </w:rPr>
        <w:t xml:space="preserve"> bugünlük </w:t>
      </w:r>
      <w:proofErr w:type="spellStart"/>
      <w:r w:rsidRPr="004C4B53">
        <w:rPr>
          <w:color w:val="000000" w:themeColor="text1"/>
          <w:sz w:val="20"/>
          <w:szCs w:val="20"/>
        </w:rPr>
        <w:t>edib</w:t>
      </w:r>
      <w:proofErr w:type="spellEnd"/>
      <w:r w:rsidRPr="004C4B53">
        <w:rPr>
          <w:color w:val="000000" w:themeColor="text1"/>
          <w:sz w:val="20"/>
          <w:szCs w:val="20"/>
        </w:rPr>
        <w:t xml:space="preserve"> ey şuh feda</w:t>
      </w:r>
    </w:p>
    <w:p w14:paraId="36FD985D"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Gidelim </w:t>
      </w:r>
      <w:proofErr w:type="spellStart"/>
      <w:r w:rsidRPr="004C4B53">
        <w:rPr>
          <w:color w:val="000000" w:themeColor="text1"/>
          <w:sz w:val="20"/>
          <w:szCs w:val="20"/>
        </w:rPr>
        <w:t>serv</w:t>
      </w:r>
      <w:proofErr w:type="spellEnd"/>
      <w:r w:rsidRPr="004C4B53">
        <w:rPr>
          <w:color w:val="000000" w:themeColor="text1"/>
          <w:sz w:val="20"/>
          <w:szCs w:val="20"/>
        </w:rPr>
        <w:t xml:space="preserve">-i </w:t>
      </w:r>
      <w:proofErr w:type="spellStart"/>
      <w:r w:rsidRPr="004C4B53">
        <w:rPr>
          <w:color w:val="000000" w:themeColor="text1"/>
          <w:sz w:val="20"/>
          <w:szCs w:val="20"/>
        </w:rPr>
        <w:t>revânım</w:t>
      </w:r>
      <w:proofErr w:type="spellEnd"/>
      <w:r w:rsidRPr="004C4B53">
        <w:rPr>
          <w:color w:val="000000" w:themeColor="text1"/>
          <w:sz w:val="20"/>
          <w:szCs w:val="20"/>
        </w:rPr>
        <w:t xml:space="preserve"> yürü </w:t>
      </w:r>
      <w:proofErr w:type="spellStart"/>
      <w:r w:rsidRPr="004C4B53">
        <w:rPr>
          <w:color w:val="000000" w:themeColor="text1"/>
          <w:sz w:val="20"/>
          <w:szCs w:val="20"/>
        </w:rPr>
        <w:t>Sa’d-âbâd’a</w:t>
      </w:r>
      <w:proofErr w:type="spellEnd"/>
      <w:r w:rsidRPr="004C4B53">
        <w:rPr>
          <w:color w:val="000000" w:themeColor="text1"/>
          <w:sz w:val="20"/>
          <w:szCs w:val="20"/>
        </w:rPr>
        <w:t>” (Macit, 1997, s. 264)</w:t>
      </w:r>
    </w:p>
    <w:p w14:paraId="39CAF962" w14:textId="77777777" w:rsidR="0089759E" w:rsidRPr="004C4B53" w:rsidRDefault="0089759E" w:rsidP="0089759E">
      <w:pPr>
        <w:pStyle w:val="ListeParagraf"/>
        <w:tabs>
          <w:tab w:val="left" w:pos="567"/>
        </w:tabs>
        <w:ind w:left="851"/>
        <w:jc w:val="both"/>
        <w:rPr>
          <w:b/>
          <w:bCs/>
          <w:color w:val="000000" w:themeColor="text1"/>
          <w:sz w:val="20"/>
          <w:szCs w:val="20"/>
        </w:rPr>
      </w:pPr>
    </w:p>
    <w:p w14:paraId="3ACDF706" w14:textId="77777777" w:rsidR="0089759E" w:rsidRPr="004C4B53" w:rsidRDefault="0089759E" w:rsidP="0089759E">
      <w:pPr>
        <w:pStyle w:val="ListeParagraf"/>
        <w:tabs>
          <w:tab w:val="left" w:pos="567"/>
        </w:tabs>
        <w:ind w:left="851"/>
        <w:jc w:val="both"/>
        <w:rPr>
          <w:b/>
          <w:bCs/>
          <w:color w:val="000000" w:themeColor="text1"/>
          <w:sz w:val="20"/>
          <w:szCs w:val="20"/>
        </w:rPr>
      </w:pPr>
      <w:r w:rsidRPr="004C4B53">
        <w:rPr>
          <w:b/>
          <w:bCs/>
          <w:color w:val="000000" w:themeColor="text1"/>
          <w:sz w:val="20"/>
          <w:szCs w:val="20"/>
        </w:rPr>
        <w:t>İstanbul'un Hazan Gazeli</w:t>
      </w:r>
    </w:p>
    <w:p w14:paraId="0A8A7388"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“Ne yapacaksın plaj yerlerini</w:t>
      </w:r>
    </w:p>
    <w:p w14:paraId="7C7ECD6B"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lastRenderedPageBreak/>
        <w:t xml:space="preserve">Gidelim </w:t>
      </w:r>
      <w:proofErr w:type="spellStart"/>
      <w:r w:rsidRPr="004C4B53">
        <w:rPr>
          <w:color w:val="000000" w:themeColor="text1"/>
          <w:sz w:val="20"/>
          <w:szCs w:val="20"/>
        </w:rPr>
        <w:t>Kâğıthaneye</w:t>
      </w:r>
      <w:proofErr w:type="spellEnd"/>
      <w:r w:rsidRPr="004C4B53">
        <w:rPr>
          <w:color w:val="000000" w:themeColor="text1"/>
          <w:sz w:val="20"/>
          <w:szCs w:val="20"/>
        </w:rPr>
        <w:t xml:space="preserve"> </w:t>
      </w:r>
      <w:proofErr w:type="spellStart"/>
      <w:r w:rsidRPr="004C4B53">
        <w:rPr>
          <w:color w:val="000000" w:themeColor="text1"/>
          <w:sz w:val="20"/>
          <w:szCs w:val="20"/>
        </w:rPr>
        <w:t>Sâdabad</w:t>
      </w:r>
      <w:proofErr w:type="spellEnd"/>
      <w:r w:rsidRPr="004C4B53">
        <w:rPr>
          <w:color w:val="000000" w:themeColor="text1"/>
          <w:sz w:val="20"/>
          <w:szCs w:val="20"/>
        </w:rPr>
        <w:t xml:space="preserve"> harabelerine</w:t>
      </w:r>
    </w:p>
    <w:p w14:paraId="279B77BC" w14:textId="77777777" w:rsidR="0089759E" w:rsidRPr="004C4B53" w:rsidRDefault="0089759E" w:rsidP="0089759E">
      <w:pPr>
        <w:pStyle w:val="ListeParagraf"/>
        <w:tabs>
          <w:tab w:val="left" w:pos="567"/>
        </w:tabs>
        <w:ind w:left="851"/>
        <w:jc w:val="both"/>
        <w:rPr>
          <w:color w:val="000000" w:themeColor="text1"/>
          <w:sz w:val="20"/>
          <w:szCs w:val="20"/>
        </w:rPr>
      </w:pPr>
    </w:p>
    <w:p w14:paraId="124D3680"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Şâd etmek için Nedim'in ruhunu</w:t>
      </w:r>
    </w:p>
    <w:p w14:paraId="37307FC0"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Ağzımızı dayayalım kurumuş çeşmelerine</w:t>
      </w:r>
    </w:p>
    <w:p w14:paraId="5AA1CBE1" w14:textId="77777777" w:rsidR="0089759E" w:rsidRPr="004C4B53" w:rsidRDefault="0089759E" w:rsidP="0089759E">
      <w:pPr>
        <w:pStyle w:val="ListeParagraf"/>
        <w:tabs>
          <w:tab w:val="left" w:pos="567"/>
        </w:tabs>
        <w:ind w:left="851"/>
        <w:jc w:val="both"/>
        <w:rPr>
          <w:color w:val="000000" w:themeColor="text1"/>
          <w:sz w:val="20"/>
          <w:szCs w:val="20"/>
        </w:rPr>
      </w:pPr>
    </w:p>
    <w:p w14:paraId="0C175C7F"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'Sinemaya gidiyorum” de annene</w:t>
      </w:r>
    </w:p>
    <w:p w14:paraId="77441ADF"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Cuma namazına gidelim onun yerine</w:t>
      </w:r>
    </w:p>
    <w:p w14:paraId="0AC7D9B2" w14:textId="77777777" w:rsidR="0089759E" w:rsidRPr="004C4B53" w:rsidRDefault="0089759E" w:rsidP="0089759E">
      <w:pPr>
        <w:pStyle w:val="ListeParagraf"/>
        <w:tabs>
          <w:tab w:val="left" w:pos="567"/>
        </w:tabs>
        <w:ind w:left="851"/>
        <w:jc w:val="both"/>
        <w:rPr>
          <w:color w:val="000000" w:themeColor="text1"/>
          <w:sz w:val="20"/>
          <w:szCs w:val="20"/>
        </w:rPr>
      </w:pPr>
    </w:p>
    <w:p w14:paraId="2FF73EBB"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Bakalım hayranlıkla Süleymaniye’ye </w:t>
      </w:r>
    </w:p>
    <w:p w14:paraId="3B2E6732" w14:textId="77777777" w:rsidR="0089759E" w:rsidRPr="004C4B53" w:rsidRDefault="0089759E" w:rsidP="0089759E">
      <w:pPr>
        <w:pStyle w:val="ListeParagraf"/>
        <w:tabs>
          <w:tab w:val="left" w:pos="567"/>
        </w:tabs>
        <w:ind w:left="851"/>
        <w:jc w:val="both"/>
        <w:rPr>
          <w:color w:val="000000" w:themeColor="text1"/>
          <w:sz w:val="20"/>
          <w:szCs w:val="20"/>
        </w:rPr>
      </w:pPr>
      <w:proofErr w:type="spellStart"/>
      <w:r w:rsidRPr="004C4B53">
        <w:rPr>
          <w:color w:val="000000" w:themeColor="text1"/>
          <w:sz w:val="20"/>
          <w:szCs w:val="20"/>
        </w:rPr>
        <w:t>Sultanahmed</w:t>
      </w:r>
      <w:proofErr w:type="spellEnd"/>
      <w:r w:rsidRPr="004C4B53">
        <w:rPr>
          <w:color w:val="000000" w:themeColor="text1"/>
          <w:sz w:val="20"/>
          <w:szCs w:val="20"/>
        </w:rPr>
        <w:t xml:space="preserve"> kubbe ve minarelerine</w:t>
      </w:r>
    </w:p>
    <w:p w14:paraId="7E39CC24" w14:textId="77777777" w:rsidR="0089759E" w:rsidRPr="004C4B53" w:rsidRDefault="0089759E" w:rsidP="0089759E">
      <w:pPr>
        <w:pStyle w:val="ListeParagraf"/>
        <w:tabs>
          <w:tab w:val="left" w:pos="567"/>
        </w:tabs>
        <w:ind w:left="851"/>
        <w:jc w:val="both"/>
        <w:rPr>
          <w:color w:val="000000" w:themeColor="text1"/>
          <w:sz w:val="20"/>
          <w:szCs w:val="20"/>
        </w:rPr>
      </w:pPr>
    </w:p>
    <w:p w14:paraId="0A597F43"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Sahaflarda kitapların sonbaharında </w:t>
      </w:r>
    </w:p>
    <w:p w14:paraId="2673DC5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Erelim geçmiş baharın menekşelerine</w:t>
      </w:r>
    </w:p>
    <w:p w14:paraId="45D80B5B" w14:textId="77777777" w:rsidR="0089759E" w:rsidRPr="004C4B53" w:rsidRDefault="0089759E" w:rsidP="0089759E">
      <w:pPr>
        <w:pStyle w:val="ListeParagraf"/>
        <w:tabs>
          <w:tab w:val="left" w:pos="567"/>
        </w:tabs>
        <w:ind w:left="851"/>
        <w:jc w:val="both"/>
        <w:rPr>
          <w:color w:val="000000" w:themeColor="text1"/>
          <w:sz w:val="20"/>
          <w:szCs w:val="20"/>
        </w:rPr>
      </w:pPr>
    </w:p>
    <w:p w14:paraId="0C388C89"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İstanbul’un kaybolan geçmiş tarihini tabiatını </w:t>
      </w:r>
    </w:p>
    <w:p w14:paraId="70741B83"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Son kez tadalım başlamadan ahiret seferine</w:t>
      </w:r>
    </w:p>
    <w:p w14:paraId="31507630" w14:textId="77777777" w:rsidR="0089759E" w:rsidRPr="004C4B53" w:rsidRDefault="0089759E" w:rsidP="0089759E">
      <w:pPr>
        <w:pStyle w:val="ListeParagraf"/>
        <w:tabs>
          <w:tab w:val="left" w:pos="567"/>
        </w:tabs>
        <w:ind w:left="851"/>
        <w:jc w:val="both"/>
        <w:rPr>
          <w:color w:val="000000" w:themeColor="text1"/>
          <w:sz w:val="20"/>
          <w:szCs w:val="20"/>
        </w:rPr>
      </w:pPr>
    </w:p>
    <w:p w14:paraId="76D2E42E"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Dünyadan daha dünya ahiretten ahiret </w:t>
      </w:r>
    </w:p>
    <w:p w14:paraId="1388A343" w14:textId="77777777" w:rsidR="0089759E" w:rsidRPr="00D27397"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Bir kent ki benzer divan şairlerinin kasidelerine” (Karakoç, 1998, s. 22)</w:t>
      </w:r>
    </w:p>
    <w:p w14:paraId="7BEC000D" w14:textId="77777777" w:rsidR="0089759E" w:rsidRDefault="0089759E" w:rsidP="0089759E">
      <w:pPr>
        <w:tabs>
          <w:tab w:val="left" w:pos="567"/>
        </w:tabs>
        <w:rPr>
          <w:color w:val="000000" w:themeColor="text1"/>
        </w:rPr>
      </w:pPr>
      <w:r w:rsidRPr="004C4B53">
        <w:rPr>
          <w:color w:val="000000" w:themeColor="text1"/>
        </w:rPr>
        <w:t xml:space="preserve">Şarkıda şiir anlatıcısı, bir sevgiliye seslenmekte ve cuma namazına izin almak ifadelerinden bu sevgilinin bir erkek olduğu anlaşılmaktadır. Şiir anlatıcısı, sevgiliyi zevk ve eğlencenin simgesi konumunda olan </w:t>
      </w:r>
      <w:proofErr w:type="spellStart"/>
      <w:r w:rsidRPr="004C4B53">
        <w:rPr>
          <w:color w:val="000000" w:themeColor="text1"/>
        </w:rPr>
        <w:t>Sadâbâd’a</w:t>
      </w:r>
      <w:proofErr w:type="spellEnd"/>
      <w:r w:rsidRPr="004C4B53">
        <w:rPr>
          <w:color w:val="000000" w:themeColor="text1"/>
        </w:rPr>
        <w:t xml:space="preserve"> davet etmekte ve birlikte orada hayatın dünyevi ve tensel zevklerini birlikte yaşamaya çağırmaktadır. </w:t>
      </w:r>
    </w:p>
    <w:p w14:paraId="27CAF433" w14:textId="77777777" w:rsidR="0089759E" w:rsidRPr="004C4B53" w:rsidRDefault="0089759E" w:rsidP="0089759E">
      <w:pPr>
        <w:tabs>
          <w:tab w:val="left" w:pos="567"/>
        </w:tabs>
        <w:jc w:val="both"/>
        <w:rPr>
          <w:color w:val="000000" w:themeColor="text1"/>
        </w:rPr>
      </w:pPr>
    </w:p>
    <w:p w14:paraId="30071D92" w14:textId="77777777" w:rsidR="0089759E" w:rsidRDefault="0089759E" w:rsidP="0089759E">
      <w:pPr>
        <w:tabs>
          <w:tab w:val="left" w:pos="567"/>
        </w:tabs>
        <w:rPr>
          <w:color w:val="000000" w:themeColor="text1"/>
        </w:rPr>
      </w:pPr>
      <w:r w:rsidRPr="004C4B53">
        <w:rPr>
          <w:color w:val="000000" w:themeColor="text1"/>
        </w:rPr>
        <w:t xml:space="preserve">Karakoç’un şiirinde ise şiir anlatıcısı genç bir delikanlıya seslenir fakat bu arkadaşça bir sesleniştir. Nedim’in dünya zevklerine olan daveti yerine Karakoç’un şiirinde inanca ve kültürel mirasa dönük bir çağrı yapılır. Karakoç, Nedim’in </w:t>
      </w:r>
      <w:proofErr w:type="spellStart"/>
      <w:r w:rsidRPr="004C4B53">
        <w:rPr>
          <w:color w:val="000000" w:themeColor="text1"/>
        </w:rPr>
        <w:t>Şarkı’sında</w:t>
      </w:r>
      <w:proofErr w:type="spellEnd"/>
      <w:r w:rsidRPr="004C4B53">
        <w:rPr>
          <w:color w:val="000000" w:themeColor="text1"/>
        </w:rPr>
        <w:t xml:space="preserve"> dile getirdiği hayata bakış açısını yerinden etmekte ve ona bir alternatif yaşam sunmaktadır. Her ne kadar Karakoç’un bu tavrı, Nedim’in düşüncelerini ret anlamına gelse de Nedim’in bir parçası olduğu kültürel varlığın bir bütün olarak kabullenildiği görülür. Şiirin başında yer alan “Ne yapacaksın plaj yerlerini / Gidelim </w:t>
      </w:r>
      <w:proofErr w:type="spellStart"/>
      <w:r w:rsidRPr="004C4B53">
        <w:rPr>
          <w:color w:val="000000" w:themeColor="text1"/>
        </w:rPr>
        <w:t>Kâğıthaneye</w:t>
      </w:r>
      <w:proofErr w:type="spellEnd"/>
      <w:r w:rsidRPr="004C4B53">
        <w:rPr>
          <w:color w:val="000000" w:themeColor="text1"/>
        </w:rPr>
        <w:t xml:space="preserve"> </w:t>
      </w:r>
      <w:proofErr w:type="spellStart"/>
      <w:r w:rsidRPr="004C4B53">
        <w:rPr>
          <w:color w:val="000000" w:themeColor="text1"/>
        </w:rPr>
        <w:t>Sâdabad</w:t>
      </w:r>
      <w:proofErr w:type="spellEnd"/>
      <w:r w:rsidRPr="004C4B53">
        <w:rPr>
          <w:color w:val="000000" w:themeColor="text1"/>
        </w:rPr>
        <w:t xml:space="preserve"> harabelerine // Şâd etmek için Nedim’in ruhunu / Ağzımızı dayayalım kurumuş çeşmelerine” dizeleri, bunu göstermektedir. Kurulduğu günden itibaren zevk ve eğlencenin simgesi olan </w:t>
      </w:r>
      <w:proofErr w:type="spellStart"/>
      <w:r w:rsidRPr="004C4B53">
        <w:rPr>
          <w:color w:val="000000" w:themeColor="text1"/>
        </w:rPr>
        <w:t>Sadabad</w:t>
      </w:r>
      <w:proofErr w:type="spellEnd"/>
      <w:r w:rsidRPr="004C4B53">
        <w:rPr>
          <w:color w:val="000000" w:themeColor="text1"/>
        </w:rPr>
        <w:t xml:space="preserve">, artık harabe haline gelmiş, çeşmeleri de kurumuştur. </w:t>
      </w:r>
      <w:proofErr w:type="spellStart"/>
      <w:r w:rsidRPr="004C4B53">
        <w:rPr>
          <w:color w:val="000000" w:themeColor="text1"/>
        </w:rPr>
        <w:t>Sadabad</w:t>
      </w:r>
      <w:proofErr w:type="spellEnd"/>
      <w:r w:rsidRPr="004C4B53">
        <w:rPr>
          <w:color w:val="000000" w:themeColor="text1"/>
        </w:rPr>
        <w:t xml:space="preserve">, zevk ve eğlence açısından olmasa da kültürel bir miras olarak Karakoç için bir anlam ifade etmektedir.  Nitekim Karakoç’un şiirinin başlığındaki “hazan” kelimesi aslında </w:t>
      </w:r>
      <w:proofErr w:type="spellStart"/>
      <w:r w:rsidRPr="004C4B53">
        <w:rPr>
          <w:color w:val="000000" w:themeColor="text1"/>
        </w:rPr>
        <w:t>Sadabad’ın</w:t>
      </w:r>
      <w:proofErr w:type="spellEnd"/>
      <w:r w:rsidRPr="004C4B53">
        <w:rPr>
          <w:color w:val="000000" w:themeColor="text1"/>
        </w:rPr>
        <w:t xml:space="preserve"> harabe haline gelişine ve parçası olduğu şehrin ve medeniyetin halihazırdaki görünümüne işaret etmektedir.  </w:t>
      </w:r>
    </w:p>
    <w:p w14:paraId="1C064A1A" w14:textId="77777777" w:rsidR="0089759E" w:rsidRPr="004C4B53" w:rsidRDefault="0089759E" w:rsidP="0089759E">
      <w:pPr>
        <w:tabs>
          <w:tab w:val="left" w:pos="567"/>
        </w:tabs>
        <w:jc w:val="both"/>
        <w:rPr>
          <w:color w:val="000000" w:themeColor="text1"/>
        </w:rPr>
      </w:pPr>
    </w:p>
    <w:p w14:paraId="385575AD" w14:textId="77777777" w:rsidR="0089759E" w:rsidRDefault="0089759E" w:rsidP="0089759E">
      <w:pPr>
        <w:tabs>
          <w:tab w:val="left" w:pos="567"/>
        </w:tabs>
        <w:rPr>
          <w:color w:val="000000" w:themeColor="text1"/>
        </w:rPr>
      </w:pPr>
      <w:r w:rsidRPr="004C4B53">
        <w:rPr>
          <w:color w:val="000000" w:themeColor="text1"/>
        </w:rPr>
        <w:t xml:space="preserve">Nedim, sevgilisini zevk ve eğlenceye çağırırken Karakoç ise muhatabını bundan sakınmaya çağırır. “Ne yapacaksın plaj yerlerini” diyerek insanın bedensel olarak öne çıktığı ve dinin kurallarına uymayan “plaj” yerine </w:t>
      </w:r>
      <w:proofErr w:type="spellStart"/>
      <w:r w:rsidRPr="004C4B53">
        <w:rPr>
          <w:color w:val="000000" w:themeColor="text1"/>
        </w:rPr>
        <w:t>Sadabad’a</w:t>
      </w:r>
      <w:proofErr w:type="spellEnd"/>
      <w:r w:rsidRPr="004C4B53">
        <w:rPr>
          <w:color w:val="000000" w:themeColor="text1"/>
        </w:rPr>
        <w:t xml:space="preserve"> giderek bu kültürel mirası yad etmeyi ve ona sahip çıkmayı salık verir. Karakoç, Nedim’in şiirinde bir zevk ve eğlence </w:t>
      </w:r>
      <w:proofErr w:type="gramStart"/>
      <w:r w:rsidRPr="004C4B53">
        <w:rPr>
          <w:color w:val="000000" w:themeColor="text1"/>
        </w:rPr>
        <w:t>mekanı</w:t>
      </w:r>
      <w:proofErr w:type="gramEnd"/>
      <w:r w:rsidRPr="004C4B53">
        <w:rPr>
          <w:color w:val="000000" w:themeColor="text1"/>
        </w:rPr>
        <w:t xml:space="preserve"> olan </w:t>
      </w:r>
      <w:proofErr w:type="spellStart"/>
      <w:r w:rsidRPr="004C4B53">
        <w:rPr>
          <w:color w:val="000000" w:themeColor="text1"/>
        </w:rPr>
        <w:t>Sadâbâd’ı</w:t>
      </w:r>
      <w:proofErr w:type="spellEnd"/>
      <w:r w:rsidRPr="004C4B53">
        <w:rPr>
          <w:color w:val="000000" w:themeColor="text1"/>
        </w:rPr>
        <w:t xml:space="preserve">, bağlamından çıkararak onu tarihsel ve kültürel bir simgeye dönüştürmektedir. Fakat bu kültürel mirası sadece </w:t>
      </w:r>
      <w:proofErr w:type="spellStart"/>
      <w:r w:rsidRPr="004C4B53">
        <w:rPr>
          <w:color w:val="000000" w:themeColor="text1"/>
        </w:rPr>
        <w:t>Sadâbâd’la</w:t>
      </w:r>
      <w:proofErr w:type="spellEnd"/>
      <w:r w:rsidRPr="004C4B53">
        <w:rPr>
          <w:color w:val="000000" w:themeColor="text1"/>
        </w:rPr>
        <w:t xml:space="preserve"> da sınırlamaz. Nitekim muhatabını davet ettiği bir başka eylem de “Bakalım hayranlıkla Süleymaniye’ye / </w:t>
      </w:r>
      <w:proofErr w:type="spellStart"/>
      <w:r w:rsidRPr="004C4B53">
        <w:rPr>
          <w:color w:val="000000" w:themeColor="text1"/>
        </w:rPr>
        <w:t>Sultanahmed</w:t>
      </w:r>
      <w:proofErr w:type="spellEnd"/>
      <w:r w:rsidRPr="004C4B53">
        <w:rPr>
          <w:color w:val="000000" w:themeColor="text1"/>
        </w:rPr>
        <w:t xml:space="preserve"> kubbe ve minarelerine” dizelerinde ifade edildiği üzere İstanbul’un dini simgelerinin başında gelen Süleymaniye ve Sultanahmet camileridir. Dolayısıyla Karakoç, tarihi-seyirlik mekanların yanına tarihî-dinî mekanları da eklemiş olur. Karakoç’un çağrısındaki dinî vurgu, sadece mekânsal değildir. Nedim’in şiirinde “</w:t>
      </w:r>
      <w:proofErr w:type="spellStart"/>
      <w:r w:rsidRPr="004C4B53">
        <w:rPr>
          <w:color w:val="000000" w:themeColor="text1"/>
        </w:rPr>
        <w:t>İzn</w:t>
      </w:r>
      <w:proofErr w:type="spellEnd"/>
      <w:r w:rsidRPr="004C4B53">
        <w:rPr>
          <w:color w:val="000000" w:themeColor="text1"/>
        </w:rPr>
        <w:t xml:space="preserve"> </w:t>
      </w:r>
      <w:proofErr w:type="spellStart"/>
      <w:r w:rsidRPr="004C4B53">
        <w:rPr>
          <w:color w:val="000000" w:themeColor="text1"/>
        </w:rPr>
        <w:t>alub</w:t>
      </w:r>
      <w:proofErr w:type="spellEnd"/>
      <w:r w:rsidRPr="004C4B53">
        <w:rPr>
          <w:color w:val="000000" w:themeColor="text1"/>
        </w:rPr>
        <w:t xml:space="preserve"> </w:t>
      </w:r>
      <w:proofErr w:type="spellStart"/>
      <w:r w:rsidRPr="004C4B53">
        <w:rPr>
          <w:color w:val="000000" w:themeColor="text1"/>
        </w:rPr>
        <w:t>Cum’a</w:t>
      </w:r>
      <w:proofErr w:type="spellEnd"/>
      <w:r w:rsidRPr="004C4B53">
        <w:rPr>
          <w:color w:val="000000" w:themeColor="text1"/>
        </w:rPr>
        <w:t xml:space="preserve"> namazına </w:t>
      </w:r>
      <w:proofErr w:type="spellStart"/>
      <w:r w:rsidRPr="004C4B53">
        <w:rPr>
          <w:color w:val="000000" w:themeColor="text1"/>
        </w:rPr>
        <w:t>deyû</w:t>
      </w:r>
      <w:proofErr w:type="spellEnd"/>
      <w:r w:rsidRPr="004C4B53">
        <w:rPr>
          <w:color w:val="000000" w:themeColor="text1"/>
        </w:rPr>
        <w:t xml:space="preserve"> maderden / Bir gün </w:t>
      </w:r>
      <w:proofErr w:type="spellStart"/>
      <w:r w:rsidRPr="004C4B53">
        <w:rPr>
          <w:color w:val="000000" w:themeColor="text1"/>
        </w:rPr>
        <w:t>uğrulayalım</w:t>
      </w:r>
      <w:proofErr w:type="spellEnd"/>
      <w:r w:rsidRPr="004C4B53">
        <w:rPr>
          <w:color w:val="000000" w:themeColor="text1"/>
        </w:rPr>
        <w:t xml:space="preserve"> </w:t>
      </w:r>
      <w:proofErr w:type="spellStart"/>
      <w:r w:rsidRPr="004C4B53">
        <w:rPr>
          <w:color w:val="000000" w:themeColor="text1"/>
        </w:rPr>
        <w:t>çerh</w:t>
      </w:r>
      <w:proofErr w:type="spellEnd"/>
      <w:r w:rsidRPr="004C4B53">
        <w:rPr>
          <w:color w:val="000000" w:themeColor="text1"/>
        </w:rPr>
        <w:t xml:space="preserve">-i sitem-perverden” beytinde görüldüğü üzere cuma namazına gidiyorum diye izin almak </w:t>
      </w:r>
      <w:r w:rsidRPr="004C4B53">
        <w:rPr>
          <w:color w:val="000000" w:themeColor="text1"/>
        </w:rPr>
        <w:lastRenderedPageBreak/>
        <w:t xml:space="preserve">felekten bir gün çalmak için bir bahane olarak kullanılmaktadır. Karakoç ise sekülerleşmiş ve dini yaşama pek sıcak bakılmadığı anlaşılan bir ortamda muhatabını dini yaşamaya çağırır. </w:t>
      </w:r>
      <w:proofErr w:type="gramStart"/>
      <w:r w:rsidRPr="004C4B53">
        <w:rPr>
          <w:color w:val="000000" w:themeColor="text1"/>
        </w:rPr>
        <w:t>“ ‘</w:t>
      </w:r>
      <w:proofErr w:type="gramEnd"/>
      <w:r w:rsidRPr="004C4B53">
        <w:rPr>
          <w:color w:val="000000" w:themeColor="text1"/>
        </w:rPr>
        <w:t xml:space="preserve">Sinemaya gidiyorum’ de annene /Cuma namazına gidelim onun yerine” dizeleri, Nedim’in metnin parodisidir. Nedim’in metninde dini yaşam olağan iken eğlence norm dışı bir davranıştır. Karakoç, toplumun sekülerleştiğini ve modern toplumda geleneksel değerlerin altüst oluşunu ifade etmek için bu durumu tersine çevirir. Artık bu toplumda sinemaya, yani eğlenceye gitmek normalleşmişken Cuma namazına gitmek adeta norm dışı bir eyleme dönüşmüştür. </w:t>
      </w:r>
    </w:p>
    <w:p w14:paraId="41904A76" w14:textId="77777777" w:rsidR="0089759E" w:rsidRPr="004C4B53" w:rsidRDefault="0089759E" w:rsidP="0089759E">
      <w:pPr>
        <w:tabs>
          <w:tab w:val="left" w:pos="567"/>
        </w:tabs>
        <w:jc w:val="both"/>
        <w:rPr>
          <w:color w:val="000000" w:themeColor="text1"/>
        </w:rPr>
      </w:pPr>
    </w:p>
    <w:p w14:paraId="578557D3" w14:textId="77777777" w:rsidR="0089759E" w:rsidRDefault="0089759E" w:rsidP="0089759E">
      <w:pPr>
        <w:tabs>
          <w:tab w:val="left" w:pos="567"/>
        </w:tabs>
        <w:rPr>
          <w:color w:val="000000" w:themeColor="text1"/>
        </w:rPr>
      </w:pPr>
      <w:r w:rsidRPr="004C4B53">
        <w:rPr>
          <w:color w:val="000000" w:themeColor="text1"/>
        </w:rPr>
        <w:t xml:space="preserve">Nedim, şiirinde sevgilisini “bir </w:t>
      </w:r>
      <w:proofErr w:type="spellStart"/>
      <w:r w:rsidRPr="004C4B53">
        <w:rPr>
          <w:color w:val="000000" w:themeColor="text1"/>
        </w:rPr>
        <w:t>mutrib</w:t>
      </w:r>
      <w:proofErr w:type="spellEnd"/>
      <w:r w:rsidRPr="004C4B53">
        <w:rPr>
          <w:color w:val="000000" w:themeColor="text1"/>
        </w:rPr>
        <w:t xml:space="preserve">-i </w:t>
      </w:r>
      <w:proofErr w:type="spellStart"/>
      <w:r w:rsidRPr="004C4B53">
        <w:rPr>
          <w:color w:val="000000" w:themeColor="text1"/>
        </w:rPr>
        <w:t>pâkîze-edâ”nın</w:t>
      </w:r>
      <w:proofErr w:type="spellEnd"/>
      <w:r w:rsidRPr="004C4B53">
        <w:rPr>
          <w:color w:val="000000" w:themeColor="text1"/>
        </w:rPr>
        <w:t xml:space="preserve"> olacağı sazlı sözlü bir eğlenceye davet ederken Karakoç’un şiirinde buna dair bir ayrıntı yoktur. Fakat onun yerine “Sahaflarda kitapların sonbaharında / Erelim geçmiş baharın menekşelerine” denilerek müziğin yerine kitabı koymuş olur. </w:t>
      </w:r>
    </w:p>
    <w:p w14:paraId="31871404" w14:textId="77777777" w:rsidR="0089759E" w:rsidRPr="004C4B53" w:rsidRDefault="0089759E" w:rsidP="0089759E">
      <w:pPr>
        <w:tabs>
          <w:tab w:val="left" w:pos="567"/>
        </w:tabs>
        <w:jc w:val="both"/>
        <w:rPr>
          <w:color w:val="000000" w:themeColor="text1"/>
        </w:rPr>
      </w:pPr>
    </w:p>
    <w:p w14:paraId="2617B98B" w14:textId="77777777" w:rsidR="0089759E" w:rsidRPr="004C4B53" w:rsidRDefault="0089759E" w:rsidP="0089759E">
      <w:pPr>
        <w:tabs>
          <w:tab w:val="left" w:pos="567"/>
        </w:tabs>
        <w:jc w:val="both"/>
        <w:rPr>
          <w:color w:val="000000" w:themeColor="text1"/>
        </w:rPr>
      </w:pPr>
      <w:r w:rsidRPr="004C4B53">
        <w:rPr>
          <w:color w:val="000000" w:themeColor="text1"/>
        </w:rPr>
        <w:t xml:space="preserve">Bu çerçeveden bakıldığında Nedim, şiirinde günü yaşamanın ve hayata dair hazları tatmanın peşinde olduğu halde Karakoç, geçmişten kalan bakiyeyi sahiplenmenin ve varlığını sürdüren kültürel mirasla bir doyum yaşamanın derdindedir. </w:t>
      </w:r>
      <w:proofErr w:type="spellStart"/>
      <w:r w:rsidRPr="004C4B53">
        <w:rPr>
          <w:color w:val="000000" w:themeColor="text1"/>
        </w:rPr>
        <w:t>Andı’nın</w:t>
      </w:r>
      <w:proofErr w:type="spellEnd"/>
      <w:r w:rsidRPr="004C4B53">
        <w:rPr>
          <w:color w:val="000000" w:themeColor="text1"/>
        </w:rPr>
        <w:t xml:space="preserve"> (2010: 29) da belirtiği üzere Nedim’in şarkısında gezip dolaşma, sazlı sözlü işret ve bedensel zevk ön plandayken Karakoç’un söz konusu gazelinde ibadet (“Cuma namazı”), sanat ve kültür (“Süleymaniye, </w:t>
      </w:r>
      <w:proofErr w:type="spellStart"/>
      <w:r w:rsidRPr="004C4B53">
        <w:rPr>
          <w:color w:val="000000" w:themeColor="text1"/>
        </w:rPr>
        <w:t>Sultanahmed</w:t>
      </w:r>
      <w:proofErr w:type="spellEnd"/>
      <w:r w:rsidRPr="004C4B53">
        <w:rPr>
          <w:color w:val="000000" w:themeColor="text1"/>
        </w:rPr>
        <w:t xml:space="preserve"> kubbe ve minareleri”) ile tarih ve tabiat (“Geçmiş zamanın menekşeleri”, “İstanbul’un kaybolan geçmiş tarihini tabiatı”) yer alır. Bu anlamda Karakoç’un, alt metin olan Nedim’in şiirini, komikleştirmeden, ona saygısını göstererek </w:t>
      </w:r>
      <w:proofErr w:type="spellStart"/>
      <w:r w:rsidRPr="004C4B53">
        <w:rPr>
          <w:color w:val="000000" w:themeColor="text1"/>
        </w:rPr>
        <w:t>parodileştirdiği</w:t>
      </w:r>
      <w:proofErr w:type="spellEnd"/>
      <w:r w:rsidRPr="004C4B53">
        <w:rPr>
          <w:color w:val="000000" w:themeColor="text1"/>
        </w:rPr>
        <w:t xml:space="preserve"> görülmektedir. </w:t>
      </w:r>
    </w:p>
    <w:p w14:paraId="7735C609" w14:textId="77777777" w:rsidR="0089759E" w:rsidRDefault="0089759E" w:rsidP="0089759E">
      <w:pPr>
        <w:tabs>
          <w:tab w:val="left" w:pos="567"/>
        </w:tabs>
        <w:rPr>
          <w:color w:val="000000" w:themeColor="text1"/>
        </w:rPr>
      </w:pPr>
      <w:r w:rsidRPr="004C4B53">
        <w:rPr>
          <w:color w:val="000000" w:themeColor="text1"/>
        </w:rPr>
        <w:t xml:space="preserve">Karakoç’un Ateş </w:t>
      </w:r>
      <w:proofErr w:type="spellStart"/>
      <w:r w:rsidRPr="004C4B53">
        <w:rPr>
          <w:color w:val="000000" w:themeColor="text1"/>
        </w:rPr>
        <w:t>Dansı’nda</w:t>
      </w:r>
      <w:proofErr w:type="spellEnd"/>
      <w:r w:rsidRPr="004C4B53">
        <w:rPr>
          <w:color w:val="000000" w:themeColor="text1"/>
        </w:rPr>
        <w:t xml:space="preserve"> gelenekle ilişki kurma biçimleri açısından başvurduğu yöntemlerden biri de pastiştir. Pastiş, bir metin yaratılırken başka bir türe ya da yazara/şaire ait biçemin ya da biçimin taklit edilmesidir. Öykünme, bir yazarın/şairin dil ve anlatım özelliklerini taklit ederek gerçekleşir. Taklit edilen metin değil, metnin biçemidir. (</w:t>
      </w:r>
      <w:proofErr w:type="spellStart"/>
      <w:r w:rsidRPr="004C4B53">
        <w:rPr>
          <w:color w:val="000000" w:themeColor="text1"/>
        </w:rPr>
        <w:t>Aktulum</w:t>
      </w:r>
      <w:proofErr w:type="spellEnd"/>
      <w:r w:rsidRPr="004C4B53">
        <w:rPr>
          <w:color w:val="000000" w:themeColor="text1"/>
        </w:rPr>
        <w:t xml:space="preserve">, 2000). Parodide olduğu gibi pastişte de bir taklit vardır fakat, </w:t>
      </w:r>
      <w:proofErr w:type="spellStart"/>
      <w:r w:rsidRPr="004C4B53">
        <w:rPr>
          <w:color w:val="000000" w:themeColor="text1"/>
        </w:rPr>
        <w:t>Sazyek’in</w:t>
      </w:r>
      <w:proofErr w:type="spellEnd"/>
      <w:r w:rsidRPr="004C4B53">
        <w:rPr>
          <w:color w:val="000000" w:themeColor="text1"/>
        </w:rPr>
        <w:t xml:space="preserve"> (2013) de belirttiği üzere pastişteki taklit yalnızca metnin biçemiyle sınırlıdır. Ayrıca pastişte taklit edilen, öykünülen, başlı başına bir türe, tarza has söylem, biçim formatıdır. Bu anlamda </w:t>
      </w:r>
      <w:proofErr w:type="spellStart"/>
      <w:r w:rsidRPr="004C4B53">
        <w:rPr>
          <w:color w:val="000000" w:themeColor="text1"/>
        </w:rPr>
        <w:t>metinlerarasılık</w:t>
      </w:r>
      <w:proofErr w:type="spellEnd"/>
      <w:r w:rsidRPr="004C4B53">
        <w:rPr>
          <w:color w:val="000000" w:themeColor="text1"/>
        </w:rPr>
        <w:t xml:space="preserve"> yöntemleri içinde pastiş, daha yüzeysel bir ilişki ile gerçekleşmiş olur.</w:t>
      </w:r>
    </w:p>
    <w:p w14:paraId="64FB3E7B" w14:textId="77777777" w:rsidR="0089759E" w:rsidRPr="004C4B53" w:rsidRDefault="0089759E" w:rsidP="0089759E">
      <w:pPr>
        <w:tabs>
          <w:tab w:val="left" w:pos="567"/>
        </w:tabs>
        <w:jc w:val="both"/>
        <w:rPr>
          <w:color w:val="000000" w:themeColor="text1"/>
        </w:rPr>
      </w:pPr>
    </w:p>
    <w:p w14:paraId="1598CE3A" w14:textId="77777777" w:rsidR="0089759E" w:rsidRPr="004C4B53" w:rsidRDefault="0089759E" w:rsidP="0089759E">
      <w:pPr>
        <w:tabs>
          <w:tab w:val="left" w:pos="567"/>
        </w:tabs>
        <w:jc w:val="both"/>
        <w:rPr>
          <w:color w:val="000000" w:themeColor="text1"/>
        </w:rPr>
      </w:pPr>
      <w:r w:rsidRPr="004C4B53">
        <w:rPr>
          <w:color w:val="000000" w:themeColor="text1"/>
        </w:rPr>
        <w:t xml:space="preserve">Ateş </w:t>
      </w:r>
      <w:proofErr w:type="spellStart"/>
      <w:r w:rsidRPr="004C4B53">
        <w:rPr>
          <w:color w:val="000000" w:themeColor="text1"/>
        </w:rPr>
        <w:t>Dansı’nda</w:t>
      </w:r>
      <w:proofErr w:type="spellEnd"/>
      <w:r w:rsidRPr="004C4B53">
        <w:rPr>
          <w:color w:val="000000" w:themeColor="text1"/>
        </w:rPr>
        <w:t xml:space="preserve"> pastişe en iyi örneklerden biri “Gazel” adını taşıyan şiirdir. Divan şiirine ait bir mazım biçimi olan gazel, bu şiire başlık olarak seçilmiştir. Şiirin biçimine bakıldığında gazelde olduğu gibi beyitler şeklinde yazılmış olduğu görülür ve kullanılan redif ve kafiye sistemi de tıpkı klasik gazel formuna uygundur. Öncelikle şiiri vermek yerinde olacaktır:</w:t>
      </w:r>
    </w:p>
    <w:p w14:paraId="222C3CDF" w14:textId="77777777" w:rsidR="0089759E" w:rsidRPr="004C4B53" w:rsidRDefault="0089759E" w:rsidP="0089759E">
      <w:pPr>
        <w:pStyle w:val="ListeParagraf"/>
        <w:tabs>
          <w:tab w:val="left" w:pos="567"/>
        </w:tabs>
        <w:ind w:left="851"/>
        <w:jc w:val="both"/>
        <w:rPr>
          <w:b/>
          <w:bCs/>
          <w:color w:val="000000" w:themeColor="text1"/>
          <w:sz w:val="20"/>
          <w:szCs w:val="20"/>
        </w:rPr>
      </w:pPr>
      <w:r w:rsidRPr="004C4B53">
        <w:rPr>
          <w:b/>
          <w:bCs/>
          <w:color w:val="000000" w:themeColor="text1"/>
          <w:sz w:val="20"/>
          <w:szCs w:val="20"/>
        </w:rPr>
        <w:t>Gazel</w:t>
      </w:r>
    </w:p>
    <w:p w14:paraId="1627FA86"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“Rüzgâr ışıdı titredi çiğ gül düştü</w:t>
      </w:r>
    </w:p>
    <w:p w14:paraId="16C2B369"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Tutunduğu dalı tutuşturup bülbül düştü</w:t>
      </w:r>
    </w:p>
    <w:p w14:paraId="4669769F" w14:textId="77777777" w:rsidR="0089759E" w:rsidRPr="004C4B53" w:rsidRDefault="0089759E" w:rsidP="0089759E">
      <w:pPr>
        <w:pStyle w:val="ListeParagraf"/>
        <w:tabs>
          <w:tab w:val="left" w:pos="567"/>
        </w:tabs>
        <w:ind w:left="851"/>
        <w:jc w:val="both"/>
        <w:rPr>
          <w:color w:val="000000" w:themeColor="text1"/>
          <w:sz w:val="20"/>
          <w:szCs w:val="20"/>
        </w:rPr>
      </w:pPr>
    </w:p>
    <w:p w14:paraId="56F8836F"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Gün doğumundan gün batımına kızardı bahçe</w:t>
      </w:r>
    </w:p>
    <w:p w14:paraId="16D712B7"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 xml:space="preserve">Bir </w:t>
      </w:r>
      <w:proofErr w:type="spellStart"/>
      <w:r w:rsidRPr="004C4B53">
        <w:rPr>
          <w:color w:val="000000" w:themeColor="text1"/>
          <w:sz w:val="20"/>
          <w:szCs w:val="20"/>
        </w:rPr>
        <w:t>bir</w:t>
      </w:r>
      <w:proofErr w:type="spellEnd"/>
      <w:r w:rsidRPr="004C4B53">
        <w:rPr>
          <w:color w:val="000000" w:themeColor="text1"/>
          <w:sz w:val="20"/>
          <w:szCs w:val="20"/>
        </w:rPr>
        <w:t xml:space="preserve"> leylak nergis lale ve sümbül düştü</w:t>
      </w:r>
    </w:p>
    <w:p w14:paraId="53F5C4B4" w14:textId="77777777" w:rsidR="0089759E" w:rsidRPr="004C4B53" w:rsidRDefault="0089759E" w:rsidP="0089759E">
      <w:pPr>
        <w:pStyle w:val="ListeParagraf"/>
        <w:tabs>
          <w:tab w:val="left" w:pos="567"/>
        </w:tabs>
        <w:ind w:left="851"/>
        <w:jc w:val="both"/>
        <w:rPr>
          <w:color w:val="000000" w:themeColor="text1"/>
          <w:sz w:val="20"/>
          <w:szCs w:val="20"/>
        </w:rPr>
      </w:pPr>
    </w:p>
    <w:p w14:paraId="16881F82"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Ne çam dayandı ne kestane ne kavak ne nar</w:t>
      </w:r>
    </w:p>
    <w:p w14:paraId="7F2D8A33"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Bin yıllık çınar gürül gürül düştü</w:t>
      </w:r>
    </w:p>
    <w:p w14:paraId="111BCDC7" w14:textId="77777777" w:rsidR="0089759E" w:rsidRPr="004C4B53" w:rsidRDefault="0089759E" w:rsidP="0089759E">
      <w:pPr>
        <w:pStyle w:val="ListeParagraf"/>
        <w:tabs>
          <w:tab w:val="left" w:pos="567"/>
        </w:tabs>
        <w:ind w:left="851"/>
        <w:jc w:val="both"/>
        <w:rPr>
          <w:color w:val="000000" w:themeColor="text1"/>
          <w:sz w:val="20"/>
          <w:szCs w:val="20"/>
        </w:rPr>
      </w:pPr>
    </w:p>
    <w:p w14:paraId="72B1F985"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Geçti mi ki yeşilin sonsuzluk yüklü çağı</w:t>
      </w:r>
    </w:p>
    <w:p w14:paraId="30BE664B"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Kader yanardağından kızıl kara kül düştü</w:t>
      </w:r>
    </w:p>
    <w:p w14:paraId="13671235" w14:textId="77777777" w:rsidR="0089759E" w:rsidRPr="004C4B53" w:rsidRDefault="0089759E" w:rsidP="0089759E">
      <w:pPr>
        <w:pStyle w:val="ListeParagraf"/>
        <w:tabs>
          <w:tab w:val="left" w:pos="567"/>
        </w:tabs>
        <w:ind w:left="851"/>
        <w:jc w:val="both"/>
        <w:rPr>
          <w:color w:val="000000" w:themeColor="text1"/>
          <w:sz w:val="20"/>
          <w:szCs w:val="20"/>
        </w:rPr>
      </w:pPr>
    </w:p>
    <w:p w14:paraId="74322F40" w14:textId="77777777" w:rsidR="0089759E" w:rsidRPr="004C4B53" w:rsidRDefault="0089759E" w:rsidP="0089759E">
      <w:pPr>
        <w:pStyle w:val="ListeParagraf"/>
        <w:tabs>
          <w:tab w:val="left" w:pos="567"/>
        </w:tabs>
        <w:ind w:left="851"/>
        <w:jc w:val="both"/>
        <w:rPr>
          <w:color w:val="000000" w:themeColor="text1"/>
          <w:sz w:val="20"/>
          <w:szCs w:val="20"/>
        </w:rPr>
      </w:pPr>
      <w:r w:rsidRPr="004C4B53">
        <w:rPr>
          <w:color w:val="000000" w:themeColor="text1"/>
          <w:sz w:val="20"/>
          <w:szCs w:val="20"/>
        </w:rPr>
        <w:t>Vakit görmemişti böyle bir kıyameti</w:t>
      </w:r>
    </w:p>
    <w:p w14:paraId="444BACB3" w14:textId="77777777" w:rsidR="0089759E" w:rsidRDefault="0089759E" w:rsidP="0089759E">
      <w:pPr>
        <w:pStyle w:val="ListeParagraf"/>
        <w:tabs>
          <w:tab w:val="left" w:pos="567"/>
        </w:tabs>
        <w:ind w:left="851"/>
        <w:rPr>
          <w:color w:val="000000" w:themeColor="text1"/>
          <w:sz w:val="20"/>
          <w:szCs w:val="20"/>
        </w:rPr>
      </w:pPr>
      <w:r w:rsidRPr="004C4B53">
        <w:rPr>
          <w:color w:val="000000" w:themeColor="text1"/>
          <w:sz w:val="20"/>
          <w:szCs w:val="20"/>
        </w:rPr>
        <w:t>Akıl sarardı karardı ruh gönül düştü” (Karakoç, 1998, s. 19)</w:t>
      </w:r>
    </w:p>
    <w:p w14:paraId="262D3202" w14:textId="77777777" w:rsidR="0089759E" w:rsidRPr="004C4B53" w:rsidRDefault="0089759E" w:rsidP="0089759E">
      <w:pPr>
        <w:pStyle w:val="ListeParagraf"/>
        <w:tabs>
          <w:tab w:val="left" w:pos="567"/>
        </w:tabs>
        <w:ind w:left="851"/>
        <w:jc w:val="both"/>
        <w:rPr>
          <w:color w:val="000000" w:themeColor="text1"/>
          <w:sz w:val="20"/>
          <w:szCs w:val="20"/>
        </w:rPr>
      </w:pPr>
    </w:p>
    <w:p w14:paraId="2EE44E8B" w14:textId="77777777" w:rsidR="0089759E" w:rsidRPr="004C4B53" w:rsidRDefault="0089759E" w:rsidP="0089759E">
      <w:pPr>
        <w:tabs>
          <w:tab w:val="left" w:pos="567"/>
        </w:tabs>
        <w:jc w:val="both"/>
        <w:rPr>
          <w:color w:val="000000" w:themeColor="text1"/>
        </w:rPr>
      </w:pPr>
      <w:r w:rsidRPr="004C4B53">
        <w:rPr>
          <w:color w:val="000000" w:themeColor="text1"/>
        </w:rPr>
        <w:t xml:space="preserve">Şiir, </w:t>
      </w:r>
      <w:proofErr w:type="spellStart"/>
      <w:r w:rsidRPr="004C4B53">
        <w:rPr>
          <w:color w:val="000000" w:themeColor="text1"/>
        </w:rPr>
        <w:t>aa</w:t>
      </w:r>
      <w:proofErr w:type="spellEnd"/>
      <w:r w:rsidRPr="004C4B53">
        <w:rPr>
          <w:color w:val="000000" w:themeColor="text1"/>
        </w:rPr>
        <w:t xml:space="preserve">, </w:t>
      </w:r>
      <w:proofErr w:type="spellStart"/>
      <w:r w:rsidRPr="004C4B53">
        <w:rPr>
          <w:color w:val="000000" w:themeColor="text1"/>
        </w:rPr>
        <w:t>xa</w:t>
      </w:r>
      <w:proofErr w:type="spellEnd"/>
      <w:r w:rsidRPr="004C4B53">
        <w:rPr>
          <w:color w:val="000000" w:themeColor="text1"/>
        </w:rPr>
        <w:t xml:space="preserve">, </w:t>
      </w:r>
      <w:proofErr w:type="spellStart"/>
      <w:r w:rsidRPr="004C4B53">
        <w:rPr>
          <w:color w:val="000000" w:themeColor="text1"/>
        </w:rPr>
        <w:t>xa</w:t>
      </w:r>
      <w:proofErr w:type="spellEnd"/>
      <w:r w:rsidRPr="004C4B53">
        <w:rPr>
          <w:color w:val="000000" w:themeColor="text1"/>
        </w:rPr>
        <w:t xml:space="preserve">, </w:t>
      </w:r>
      <w:proofErr w:type="spellStart"/>
      <w:r w:rsidRPr="004C4B53">
        <w:rPr>
          <w:color w:val="000000" w:themeColor="text1"/>
        </w:rPr>
        <w:t>xa</w:t>
      </w:r>
      <w:proofErr w:type="spellEnd"/>
      <w:r w:rsidRPr="004C4B53">
        <w:rPr>
          <w:color w:val="000000" w:themeColor="text1"/>
        </w:rPr>
        <w:t xml:space="preserve">, </w:t>
      </w:r>
      <w:proofErr w:type="spellStart"/>
      <w:r w:rsidRPr="004C4B53">
        <w:rPr>
          <w:color w:val="000000" w:themeColor="text1"/>
        </w:rPr>
        <w:t>xa</w:t>
      </w:r>
      <w:proofErr w:type="spellEnd"/>
      <w:r w:rsidRPr="004C4B53">
        <w:rPr>
          <w:color w:val="000000" w:themeColor="text1"/>
        </w:rPr>
        <w:t xml:space="preserve"> şeklinde kafiyelenmiş ve “düştü” kelimesi de redif olarak kullanılmıştır. Ayrıca “gül, bülbül, sümbül, gürül, kül ve gönül” kelimelerinde de l harfi </w:t>
      </w:r>
      <w:proofErr w:type="spellStart"/>
      <w:r w:rsidRPr="004C4B53">
        <w:rPr>
          <w:color w:val="000000" w:themeColor="text1"/>
        </w:rPr>
        <w:t>revi</w:t>
      </w:r>
      <w:proofErr w:type="spellEnd"/>
      <w:r w:rsidRPr="004C4B53">
        <w:rPr>
          <w:color w:val="000000" w:themeColor="text1"/>
        </w:rPr>
        <w:t xml:space="preserve"> olarak kullanılmıştır. Bu şiiri, söyleyiş açısından divan şiirinin gazel formundan farkı, aruz vezniyle yazılmamış olmasıdır. Onun dışında biçimsel açıdan Karakoç’un bu şiirde gazel biçimine öykünerek bir şiir yarattığı açıkça görülmektedir. Fakat biçem ve ses açısından bakıldığında daha özelde bir şairin belirli bir metnine öykündüğü de görülür. Özellikle “düştü” redifi, bu şiirle Şeyh </w:t>
      </w:r>
      <w:proofErr w:type="spellStart"/>
      <w:r w:rsidRPr="004C4B53">
        <w:rPr>
          <w:color w:val="000000" w:themeColor="text1"/>
        </w:rPr>
        <w:t>Galib’in</w:t>
      </w:r>
      <w:proofErr w:type="spellEnd"/>
      <w:r w:rsidRPr="004C4B53">
        <w:rPr>
          <w:color w:val="000000" w:themeColor="text1"/>
        </w:rPr>
        <w:t xml:space="preserve"> aynı redifli bir gazeliyle benzerlik göstermektedir (Sürgit, 2015). Özellikle metinde geçen “</w:t>
      </w:r>
      <w:proofErr w:type="spellStart"/>
      <w:r w:rsidRPr="004C4B53">
        <w:rPr>
          <w:color w:val="000000" w:themeColor="text1"/>
        </w:rPr>
        <w:t>rüzgâr</w:t>
      </w:r>
      <w:proofErr w:type="spellEnd"/>
      <w:r w:rsidRPr="004C4B53">
        <w:rPr>
          <w:color w:val="000000" w:themeColor="text1"/>
        </w:rPr>
        <w:t>”, “</w:t>
      </w:r>
      <w:proofErr w:type="spellStart"/>
      <w:r w:rsidRPr="004C4B53">
        <w:rPr>
          <w:color w:val="000000" w:themeColor="text1"/>
        </w:rPr>
        <w:t>gül</w:t>
      </w:r>
      <w:proofErr w:type="spellEnd"/>
      <w:r w:rsidRPr="004C4B53">
        <w:rPr>
          <w:color w:val="000000" w:themeColor="text1"/>
        </w:rPr>
        <w:t>”, “</w:t>
      </w:r>
      <w:proofErr w:type="spellStart"/>
      <w:r w:rsidRPr="004C4B53">
        <w:rPr>
          <w:color w:val="000000" w:themeColor="text1"/>
        </w:rPr>
        <w:t>bülbül</w:t>
      </w:r>
      <w:proofErr w:type="spellEnd"/>
      <w:r w:rsidRPr="004C4B53">
        <w:rPr>
          <w:color w:val="000000" w:themeColor="text1"/>
        </w:rPr>
        <w:t>”, “bahçe”, “leylak”, “nergis”, “lâle”, “sümbül”, “çınar”, “kıyamet”, “akıl”, “ruh”, “</w:t>
      </w:r>
      <w:proofErr w:type="spellStart"/>
      <w:r w:rsidRPr="004C4B53">
        <w:rPr>
          <w:color w:val="000000" w:themeColor="text1"/>
        </w:rPr>
        <w:t>gönül</w:t>
      </w:r>
      <w:proofErr w:type="spellEnd"/>
      <w:r w:rsidRPr="004C4B53">
        <w:rPr>
          <w:color w:val="000000" w:themeColor="text1"/>
        </w:rPr>
        <w:t xml:space="preserve">” kelimelerinin divan şiiri vokabüleriyle koşutluk içinde olduğu görülmektedir (Sürgit, 2015). Fakat divan şiirinin mazmun yapısı içinde simgesel değerleri olan bu kelimeler, Karakoç’un şiirinde tamamen farklı anlam ve çağrışım değerleriyle kullanılmıştır. Bu iki metin arasındaki söyleyişi daha iyi görmek için Şeyh </w:t>
      </w:r>
      <w:proofErr w:type="spellStart"/>
      <w:r w:rsidRPr="004C4B53">
        <w:rPr>
          <w:color w:val="000000" w:themeColor="text1"/>
        </w:rPr>
        <w:t>Gâlib’in</w:t>
      </w:r>
      <w:proofErr w:type="spellEnd"/>
      <w:r w:rsidRPr="004C4B53">
        <w:rPr>
          <w:color w:val="000000" w:themeColor="text1"/>
        </w:rPr>
        <w:t xml:space="preserve"> şiirini vermek gerekmektedir.</w:t>
      </w:r>
    </w:p>
    <w:p w14:paraId="07A5FFD8"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r w:rsidRPr="00B07621">
        <w:rPr>
          <w:color w:val="000000" w:themeColor="text1"/>
          <w:sz w:val="20"/>
          <w:szCs w:val="20"/>
        </w:rPr>
        <w:t xml:space="preserve">Yine </w:t>
      </w:r>
      <w:proofErr w:type="spellStart"/>
      <w:r w:rsidRPr="00B07621">
        <w:rPr>
          <w:color w:val="000000" w:themeColor="text1"/>
          <w:sz w:val="20"/>
          <w:szCs w:val="20"/>
        </w:rPr>
        <w:t>zevrak</w:t>
      </w:r>
      <w:proofErr w:type="spellEnd"/>
      <w:r w:rsidRPr="00B07621">
        <w:rPr>
          <w:color w:val="000000" w:themeColor="text1"/>
          <w:sz w:val="20"/>
          <w:szCs w:val="20"/>
        </w:rPr>
        <w:t xml:space="preserve">-ı derûnum kırılıp </w:t>
      </w:r>
      <w:proofErr w:type="spellStart"/>
      <w:r w:rsidRPr="00B07621">
        <w:rPr>
          <w:color w:val="000000" w:themeColor="text1"/>
          <w:sz w:val="20"/>
          <w:szCs w:val="20"/>
        </w:rPr>
        <w:t>kenâra</w:t>
      </w:r>
      <w:proofErr w:type="spellEnd"/>
      <w:r w:rsidRPr="00B07621">
        <w:rPr>
          <w:color w:val="000000" w:themeColor="text1"/>
          <w:sz w:val="20"/>
          <w:szCs w:val="20"/>
        </w:rPr>
        <w:t xml:space="preserve"> düştü </w:t>
      </w:r>
    </w:p>
    <w:p w14:paraId="0654B0AD"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Dayanır mı </w:t>
      </w:r>
      <w:proofErr w:type="spellStart"/>
      <w:r w:rsidRPr="00B07621">
        <w:rPr>
          <w:color w:val="000000" w:themeColor="text1"/>
          <w:sz w:val="20"/>
          <w:szCs w:val="20"/>
        </w:rPr>
        <w:t>şîşedir</w:t>
      </w:r>
      <w:proofErr w:type="spellEnd"/>
      <w:r w:rsidRPr="00B07621">
        <w:rPr>
          <w:color w:val="000000" w:themeColor="text1"/>
          <w:sz w:val="20"/>
          <w:szCs w:val="20"/>
        </w:rPr>
        <w:t xml:space="preserve"> bu </w:t>
      </w:r>
      <w:proofErr w:type="spellStart"/>
      <w:r w:rsidRPr="00B07621">
        <w:rPr>
          <w:color w:val="000000" w:themeColor="text1"/>
          <w:sz w:val="20"/>
          <w:szCs w:val="20"/>
        </w:rPr>
        <w:t>reh</w:t>
      </w:r>
      <w:proofErr w:type="spellEnd"/>
      <w:r w:rsidRPr="00B07621">
        <w:rPr>
          <w:color w:val="000000" w:themeColor="text1"/>
          <w:sz w:val="20"/>
          <w:szCs w:val="20"/>
        </w:rPr>
        <w:t xml:space="preserve">-i </w:t>
      </w:r>
      <w:proofErr w:type="spellStart"/>
      <w:r w:rsidRPr="00B07621">
        <w:rPr>
          <w:color w:val="000000" w:themeColor="text1"/>
          <w:sz w:val="20"/>
          <w:szCs w:val="20"/>
        </w:rPr>
        <w:t>seng-sâra</w:t>
      </w:r>
      <w:proofErr w:type="spellEnd"/>
      <w:r w:rsidRPr="00B07621">
        <w:rPr>
          <w:color w:val="000000" w:themeColor="text1"/>
          <w:sz w:val="20"/>
          <w:szCs w:val="20"/>
        </w:rPr>
        <w:t xml:space="preserve"> düştü </w:t>
      </w:r>
    </w:p>
    <w:p w14:paraId="7A0AA0F4"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r w:rsidRPr="00B07621">
        <w:rPr>
          <w:color w:val="000000" w:themeColor="text1"/>
          <w:sz w:val="20"/>
          <w:szCs w:val="20"/>
        </w:rPr>
        <w:t xml:space="preserve">O </w:t>
      </w:r>
      <w:proofErr w:type="spellStart"/>
      <w:r w:rsidRPr="00B07621">
        <w:rPr>
          <w:color w:val="000000" w:themeColor="text1"/>
          <w:sz w:val="20"/>
          <w:szCs w:val="20"/>
        </w:rPr>
        <w:t>zamân</w:t>
      </w:r>
      <w:proofErr w:type="spellEnd"/>
      <w:r w:rsidRPr="00B07621">
        <w:rPr>
          <w:color w:val="000000" w:themeColor="text1"/>
          <w:sz w:val="20"/>
          <w:szCs w:val="20"/>
        </w:rPr>
        <w:t xml:space="preserve"> ki </w:t>
      </w:r>
      <w:proofErr w:type="spellStart"/>
      <w:r w:rsidRPr="00B07621">
        <w:rPr>
          <w:color w:val="000000" w:themeColor="text1"/>
          <w:sz w:val="20"/>
          <w:szCs w:val="20"/>
        </w:rPr>
        <w:t>bezm</w:t>
      </w:r>
      <w:proofErr w:type="spellEnd"/>
      <w:r w:rsidRPr="00B07621">
        <w:rPr>
          <w:color w:val="000000" w:themeColor="text1"/>
          <w:sz w:val="20"/>
          <w:szCs w:val="20"/>
        </w:rPr>
        <w:t xml:space="preserve">-i </w:t>
      </w:r>
      <w:proofErr w:type="spellStart"/>
      <w:r w:rsidRPr="00B07621">
        <w:rPr>
          <w:color w:val="000000" w:themeColor="text1"/>
          <w:sz w:val="20"/>
          <w:szCs w:val="20"/>
        </w:rPr>
        <w:t>cânda</w:t>
      </w:r>
      <w:proofErr w:type="spellEnd"/>
      <w:r w:rsidRPr="00B07621">
        <w:rPr>
          <w:color w:val="000000" w:themeColor="text1"/>
          <w:sz w:val="20"/>
          <w:szCs w:val="20"/>
        </w:rPr>
        <w:t xml:space="preserve"> bölüşüldü </w:t>
      </w:r>
      <w:proofErr w:type="spellStart"/>
      <w:r w:rsidRPr="00B07621">
        <w:rPr>
          <w:color w:val="000000" w:themeColor="text1"/>
          <w:sz w:val="20"/>
          <w:szCs w:val="20"/>
        </w:rPr>
        <w:t>kâle</w:t>
      </w:r>
      <w:proofErr w:type="spellEnd"/>
      <w:r w:rsidRPr="00B07621">
        <w:rPr>
          <w:color w:val="000000" w:themeColor="text1"/>
          <w:sz w:val="20"/>
          <w:szCs w:val="20"/>
        </w:rPr>
        <w:t xml:space="preserve">-i kâm   </w:t>
      </w:r>
    </w:p>
    <w:p w14:paraId="04CDB51E"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Bize hisse-i </w:t>
      </w:r>
      <w:proofErr w:type="spellStart"/>
      <w:r w:rsidRPr="00B07621">
        <w:rPr>
          <w:color w:val="000000" w:themeColor="text1"/>
          <w:sz w:val="20"/>
          <w:szCs w:val="20"/>
        </w:rPr>
        <w:t>mahabbet</w:t>
      </w:r>
      <w:proofErr w:type="spellEnd"/>
      <w:r w:rsidRPr="00B07621">
        <w:rPr>
          <w:color w:val="000000" w:themeColor="text1"/>
          <w:sz w:val="20"/>
          <w:szCs w:val="20"/>
        </w:rPr>
        <w:t xml:space="preserve"> dil-i </w:t>
      </w:r>
      <w:proofErr w:type="spellStart"/>
      <w:r w:rsidRPr="00B07621">
        <w:rPr>
          <w:color w:val="000000" w:themeColor="text1"/>
          <w:sz w:val="20"/>
          <w:szCs w:val="20"/>
        </w:rPr>
        <w:t>pâre</w:t>
      </w:r>
      <w:proofErr w:type="spellEnd"/>
      <w:r w:rsidRPr="00B07621">
        <w:rPr>
          <w:color w:val="000000" w:themeColor="text1"/>
          <w:sz w:val="20"/>
          <w:szCs w:val="20"/>
        </w:rPr>
        <w:t xml:space="preserve"> </w:t>
      </w:r>
      <w:proofErr w:type="spellStart"/>
      <w:r w:rsidRPr="00B07621">
        <w:rPr>
          <w:color w:val="000000" w:themeColor="text1"/>
          <w:sz w:val="20"/>
          <w:szCs w:val="20"/>
        </w:rPr>
        <w:t>pâre</w:t>
      </w:r>
      <w:proofErr w:type="spellEnd"/>
      <w:r w:rsidRPr="00B07621">
        <w:rPr>
          <w:color w:val="000000" w:themeColor="text1"/>
          <w:sz w:val="20"/>
          <w:szCs w:val="20"/>
        </w:rPr>
        <w:t xml:space="preserve"> düştü </w:t>
      </w:r>
    </w:p>
    <w:p w14:paraId="62A9F8C4"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proofErr w:type="spellStart"/>
      <w:r w:rsidRPr="00B07621">
        <w:rPr>
          <w:color w:val="000000" w:themeColor="text1"/>
          <w:sz w:val="20"/>
          <w:szCs w:val="20"/>
        </w:rPr>
        <w:t>Gehî</w:t>
      </w:r>
      <w:proofErr w:type="spellEnd"/>
      <w:r w:rsidRPr="00B07621">
        <w:rPr>
          <w:color w:val="000000" w:themeColor="text1"/>
          <w:sz w:val="20"/>
          <w:szCs w:val="20"/>
        </w:rPr>
        <w:t xml:space="preserve"> </w:t>
      </w:r>
      <w:proofErr w:type="spellStart"/>
      <w:r w:rsidRPr="00B07621">
        <w:rPr>
          <w:color w:val="000000" w:themeColor="text1"/>
          <w:sz w:val="20"/>
          <w:szCs w:val="20"/>
        </w:rPr>
        <w:t>zîr</w:t>
      </w:r>
      <w:proofErr w:type="spellEnd"/>
      <w:r w:rsidRPr="00B07621">
        <w:rPr>
          <w:color w:val="000000" w:themeColor="text1"/>
          <w:sz w:val="20"/>
          <w:szCs w:val="20"/>
        </w:rPr>
        <w:t xml:space="preserve">-i serde desti </w:t>
      </w:r>
      <w:proofErr w:type="spellStart"/>
      <w:r w:rsidRPr="00B07621">
        <w:rPr>
          <w:color w:val="000000" w:themeColor="text1"/>
          <w:sz w:val="20"/>
          <w:szCs w:val="20"/>
        </w:rPr>
        <w:t>geh</w:t>
      </w:r>
      <w:proofErr w:type="spellEnd"/>
      <w:r w:rsidRPr="00B07621">
        <w:rPr>
          <w:color w:val="000000" w:themeColor="text1"/>
          <w:sz w:val="20"/>
          <w:szCs w:val="20"/>
        </w:rPr>
        <w:t xml:space="preserve"> ayağı koltuğunda  </w:t>
      </w:r>
    </w:p>
    <w:p w14:paraId="2DB9723D"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Düşe kalka </w:t>
      </w:r>
      <w:proofErr w:type="spellStart"/>
      <w:r w:rsidRPr="00B07621">
        <w:rPr>
          <w:color w:val="000000" w:themeColor="text1"/>
          <w:sz w:val="20"/>
          <w:szCs w:val="20"/>
        </w:rPr>
        <w:t>haste</w:t>
      </w:r>
      <w:proofErr w:type="spellEnd"/>
      <w:r w:rsidRPr="00B07621">
        <w:rPr>
          <w:color w:val="000000" w:themeColor="text1"/>
          <w:sz w:val="20"/>
          <w:szCs w:val="20"/>
        </w:rPr>
        <w:t xml:space="preserve">-i gam der-i </w:t>
      </w:r>
      <w:proofErr w:type="spellStart"/>
      <w:r w:rsidRPr="00B07621">
        <w:rPr>
          <w:color w:val="000000" w:themeColor="text1"/>
          <w:sz w:val="20"/>
          <w:szCs w:val="20"/>
        </w:rPr>
        <w:t>lutf</w:t>
      </w:r>
      <w:proofErr w:type="spellEnd"/>
      <w:r w:rsidRPr="00B07621">
        <w:rPr>
          <w:color w:val="000000" w:themeColor="text1"/>
          <w:sz w:val="20"/>
          <w:szCs w:val="20"/>
        </w:rPr>
        <w:t xml:space="preserve">-ı yâre düştü </w:t>
      </w:r>
    </w:p>
    <w:p w14:paraId="3E604B61"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proofErr w:type="spellStart"/>
      <w:r w:rsidRPr="00B07621">
        <w:rPr>
          <w:color w:val="000000" w:themeColor="text1"/>
          <w:sz w:val="20"/>
          <w:szCs w:val="20"/>
        </w:rPr>
        <w:t>Erişüp</w:t>
      </w:r>
      <w:proofErr w:type="spellEnd"/>
      <w:r w:rsidRPr="00B07621">
        <w:rPr>
          <w:color w:val="000000" w:themeColor="text1"/>
          <w:sz w:val="20"/>
          <w:szCs w:val="20"/>
        </w:rPr>
        <w:t xml:space="preserve"> </w:t>
      </w:r>
      <w:proofErr w:type="spellStart"/>
      <w:r w:rsidRPr="00B07621">
        <w:rPr>
          <w:color w:val="000000" w:themeColor="text1"/>
          <w:sz w:val="20"/>
          <w:szCs w:val="20"/>
        </w:rPr>
        <w:t>bahâra</w:t>
      </w:r>
      <w:proofErr w:type="spellEnd"/>
      <w:r w:rsidRPr="00B07621">
        <w:rPr>
          <w:color w:val="000000" w:themeColor="text1"/>
          <w:sz w:val="20"/>
          <w:szCs w:val="20"/>
        </w:rPr>
        <w:t xml:space="preserve"> bülbül yenilendi sohbet-i gül  </w:t>
      </w:r>
    </w:p>
    <w:p w14:paraId="0F388B14"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Yine nevbet-i tahammül dil-i </w:t>
      </w:r>
      <w:proofErr w:type="spellStart"/>
      <w:r w:rsidRPr="00B07621">
        <w:rPr>
          <w:color w:val="000000" w:themeColor="text1"/>
          <w:sz w:val="20"/>
          <w:szCs w:val="20"/>
        </w:rPr>
        <w:t>bî-karâra</w:t>
      </w:r>
      <w:proofErr w:type="spellEnd"/>
      <w:r w:rsidRPr="00B07621">
        <w:rPr>
          <w:color w:val="000000" w:themeColor="text1"/>
          <w:sz w:val="20"/>
          <w:szCs w:val="20"/>
        </w:rPr>
        <w:t xml:space="preserve"> düştü </w:t>
      </w:r>
    </w:p>
    <w:p w14:paraId="073C32A5"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proofErr w:type="spellStart"/>
      <w:r w:rsidRPr="00B07621">
        <w:rPr>
          <w:color w:val="000000" w:themeColor="text1"/>
          <w:sz w:val="20"/>
          <w:szCs w:val="20"/>
        </w:rPr>
        <w:t>Meh</w:t>
      </w:r>
      <w:proofErr w:type="spellEnd"/>
      <w:r w:rsidRPr="00B07621">
        <w:rPr>
          <w:color w:val="000000" w:themeColor="text1"/>
          <w:sz w:val="20"/>
          <w:szCs w:val="20"/>
        </w:rPr>
        <w:t xml:space="preserve">-i </w:t>
      </w:r>
      <w:proofErr w:type="spellStart"/>
      <w:r w:rsidRPr="00B07621">
        <w:rPr>
          <w:color w:val="000000" w:themeColor="text1"/>
          <w:sz w:val="20"/>
          <w:szCs w:val="20"/>
        </w:rPr>
        <w:t>burc</w:t>
      </w:r>
      <w:proofErr w:type="spellEnd"/>
      <w:r w:rsidRPr="00B07621">
        <w:rPr>
          <w:color w:val="000000" w:themeColor="text1"/>
          <w:sz w:val="20"/>
          <w:szCs w:val="20"/>
        </w:rPr>
        <w:t xml:space="preserve">-ı </w:t>
      </w:r>
      <w:proofErr w:type="spellStart"/>
      <w:r w:rsidRPr="00B07621">
        <w:rPr>
          <w:color w:val="000000" w:themeColor="text1"/>
          <w:sz w:val="20"/>
          <w:szCs w:val="20"/>
        </w:rPr>
        <w:t>ârızında</w:t>
      </w:r>
      <w:proofErr w:type="spellEnd"/>
      <w:r w:rsidRPr="00B07621">
        <w:rPr>
          <w:color w:val="000000" w:themeColor="text1"/>
          <w:sz w:val="20"/>
          <w:szCs w:val="20"/>
        </w:rPr>
        <w:t xml:space="preserve"> gönül oldu hâle </w:t>
      </w:r>
      <w:proofErr w:type="spellStart"/>
      <w:r w:rsidRPr="00B07621">
        <w:rPr>
          <w:color w:val="000000" w:themeColor="text1"/>
          <w:sz w:val="20"/>
          <w:szCs w:val="20"/>
        </w:rPr>
        <w:t>mâil</w:t>
      </w:r>
      <w:proofErr w:type="spellEnd"/>
      <w:r w:rsidRPr="00B07621">
        <w:rPr>
          <w:color w:val="000000" w:themeColor="text1"/>
          <w:sz w:val="20"/>
          <w:szCs w:val="20"/>
        </w:rPr>
        <w:t xml:space="preserve">  </w:t>
      </w:r>
    </w:p>
    <w:p w14:paraId="2B6F9625"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Bana kendi </w:t>
      </w:r>
      <w:proofErr w:type="spellStart"/>
      <w:proofErr w:type="gramStart"/>
      <w:r w:rsidRPr="00B07621">
        <w:rPr>
          <w:color w:val="000000" w:themeColor="text1"/>
          <w:sz w:val="20"/>
          <w:szCs w:val="20"/>
        </w:rPr>
        <w:t>tâli‘</w:t>
      </w:r>
      <w:proofErr w:type="gramEnd"/>
      <w:r w:rsidRPr="00B07621">
        <w:rPr>
          <w:color w:val="000000" w:themeColor="text1"/>
          <w:sz w:val="20"/>
          <w:szCs w:val="20"/>
        </w:rPr>
        <w:t>imden</w:t>
      </w:r>
      <w:proofErr w:type="spellEnd"/>
      <w:r w:rsidRPr="00B07621">
        <w:rPr>
          <w:color w:val="000000" w:themeColor="text1"/>
          <w:sz w:val="20"/>
          <w:szCs w:val="20"/>
        </w:rPr>
        <w:t xml:space="preserve"> bu </w:t>
      </w:r>
      <w:proofErr w:type="spellStart"/>
      <w:r w:rsidRPr="00B07621">
        <w:rPr>
          <w:color w:val="000000" w:themeColor="text1"/>
          <w:sz w:val="20"/>
          <w:szCs w:val="20"/>
        </w:rPr>
        <w:t>siyeh</w:t>
      </w:r>
      <w:proofErr w:type="spellEnd"/>
      <w:r w:rsidRPr="00B07621">
        <w:rPr>
          <w:color w:val="000000" w:themeColor="text1"/>
          <w:sz w:val="20"/>
          <w:szCs w:val="20"/>
        </w:rPr>
        <w:t xml:space="preserve"> </w:t>
      </w:r>
      <w:proofErr w:type="spellStart"/>
      <w:r w:rsidRPr="00B07621">
        <w:rPr>
          <w:color w:val="000000" w:themeColor="text1"/>
          <w:sz w:val="20"/>
          <w:szCs w:val="20"/>
        </w:rPr>
        <w:t>sitâre</w:t>
      </w:r>
      <w:proofErr w:type="spellEnd"/>
      <w:r w:rsidRPr="00B07621">
        <w:rPr>
          <w:color w:val="000000" w:themeColor="text1"/>
          <w:sz w:val="20"/>
          <w:szCs w:val="20"/>
        </w:rPr>
        <w:t xml:space="preserve"> düştü </w:t>
      </w:r>
    </w:p>
    <w:p w14:paraId="72DFD7BD"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r w:rsidRPr="00B07621">
        <w:rPr>
          <w:color w:val="000000" w:themeColor="text1"/>
          <w:sz w:val="20"/>
          <w:szCs w:val="20"/>
        </w:rPr>
        <w:t xml:space="preserve">Süzülüp o </w:t>
      </w:r>
      <w:proofErr w:type="spellStart"/>
      <w:r w:rsidRPr="00B07621">
        <w:rPr>
          <w:color w:val="000000" w:themeColor="text1"/>
          <w:sz w:val="20"/>
          <w:szCs w:val="20"/>
        </w:rPr>
        <w:t>çeşm</w:t>
      </w:r>
      <w:proofErr w:type="spellEnd"/>
      <w:r w:rsidRPr="00B07621">
        <w:rPr>
          <w:color w:val="000000" w:themeColor="text1"/>
          <w:sz w:val="20"/>
          <w:szCs w:val="20"/>
        </w:rPr>
        <w:t xml:space="preserve">-i </w:t>
      </w:r>
      <w:proofErr w:type="spellStart"/>
      <w:r w:rsidRPr="00B07621">
        <w:rPr>
          <w:color w:val="000000" w:themeColor="text1"/>
          <w:sz w:val="20"/>
          <w:szCs w:val="20"/>
        </w:rPr>
        <w:t>âhû</w:t>
      </w:r>
      <w:proofErr w:type="spellEnd"/>
      <w:r w:rsidRPr="00B07621">
        <w:rPr>
          <w:color w:val="000000" w:themeColor="text1"/>
          <w:sz w:val="20"/>
          <w:szCs w:val="20"/>
        </w:rPr>
        <w:t xml:space="preserve"> dedi zevk-i </w:t>
      </w:r>
      <w:proofErr w:type="spellStart"/>
      <w:r w:rsidRPr="00B07621">
        <w:rPr>
          <w:color w:val="000000" w:themeColor="text1"/>
          <w:sz w:val="20"/>
          <w:szCs w:val="20"/>
        </w:rPr>
        <w:t>vasla</w:t>
      </w:r>
      <w:proofErr w:type="spellEnd"/>
      <w:r w:rsidRPr="00B07621">
        <w:rPr>
          <w:color w:val="000000" w:themeColor="text1"/>
          <w:sz w:val="20"/>
          <w:szCs w:val="20"/>
        </w:rPr>
        <w:t xml:space="preserve"> </w:t>
      </w:r>
      <w:proofErr w:type="gramStart"/>
      <w:r w:rsidRPr="00B07621">
        <w:rPr>
          <w:color w:val="000000" w:themeColor="text1"/>
          <w:sz w:val="20"/>
          <w:szCs w:val="20"/>
        </w:rPr>
        <w:t>Ya</w:t>
      </w:r>
      <w:proofErr w:type="gramEnd"/>
      <w:r w:rsidRPr="00B07621">
        <w:rPr>
          <w:color w:val="000000" w:themeColor="text1"/>
          <w:sz w:val="20"/>
          <w:szCs w:val="20"/>
        </w:rPr>
        <w:t xml:space="preserve"> Hû    </w:t>
      </w:r>
    </w:p>
    <w:p w14:paraId="106466BF" w14:textId="77777777" w:rsidR="0089759E" w:rsidRPr="00B07621" w:rsidRDefault="0089759E" w:rsidP="0089759E">
      <w:pPr>
        <w:pStyle w:val="ListeParagraf"/>
        <w:tabs>
          <w:tab w:val="left" w:pos="567"/>
        </w:tabs>
        <w:ind w:left="993"/>
        <w:jc w:val="both"/>
        <w:rPr>
          <w:color w:val="000000" w:themeColor="text1"/>
          <w:sz w:val="20"/>
          <w:szCs w:val="20"/>
        </w:rPr>
      </w:pPr>
      <w:r w:rsidRPr="00B07621">
        <w:rPr>
          <w:color w:val="000000" w:themeColor="text1"/>
          <w:sz w:val="20"/>
          <w:szCs w:val="20"/>
        </w:rPr>
        <w:tab/>
        <w:t xml:space="preserve">Bu </w:t>
      </w:r>
      <w:proofErr w:type="spellStart"/>
      <w:r w:rsidRPr="00B07621">
        <w:rPr>
          <w:color w:val="000000" w:themeColor="text1"/>
          <w:sz w:val="20"/>
          <w:szCs w:val="20"/>
        </w:rPr>
        <w:t>degildi</w:t>
      </w:r>
      <w:proofErr w:type="spellEnd"/>
      <w:r w:rsidRPr="00B07621">
        <w:rPr>
          <w:color w:val="000000" w:themeColor="text1"/>
          <w:sz w:val="20"/>
          <w:szCs w:val="20"/>
        </w:rPr>
        <w:t xml:space="preserve"> neyleyim bu yolum </w:t>
      </w:r>
      <w:proofErr w:type="spellStart"/>
      <w:r w:rsidRPr="00B07621">
        <w:rPr>
          <w:color w:val="000000" w:themeColor="text1"/>
          <w:sz w:val="20"/>
          <w:szCs w:val="20"/>
        </w:rPr>
        <w:t>intizâra</w:t>
      </w:r>
      <w:proofErr w:type="spellEnd"/>
      <w:r w:rsidRPr="00B07621">
        <w:rPr>
          <w:color w:val="000000" w:themeColor="text1"/>
          <w:sz w:val="20"/>
          <w:szCs w:val="20"/>
        </w:rPr>
        <w:t xml:space="preserve"> düştü </w:t>
      </w:r>
    </w:p>
    <w:p w14:paraId="76C6753D" w14:textId="77777777" w:rsidR="0089759E" w:rsidRPr="00B07621" w:rsidRDefault="0089759E">
      <w:pPr>
        <w:pStyle w:val="ListeParagraf"/>
        <w:widowControl/>
        <w:numPr>
          <w:ilvl w:val="0"/>
          <w:numId w:val="88"/>
        </w:numPr>
        <w:tabs>
          <w:tab w:val="left" w:pos="567"/>
        </w:tabs>
        <w:autoSpaceDE/>
        <w:autoSpaceDN/>
        <w:ind w:left="993" w:firstLine="0"/>
        <w:jc w:val="both"/>
        <w:rPr>
          <w:color w:val="000000" w:themeColor="text1"/>
          <w:sz w:val="20"/>
          <w:szCs w:val="20"/>
        </w:rPr>
      </w:pPr>
      <w:proofErr w:type="spellStart"/>
      <w:r w:rsidRPr="00B07621">
        <w:rPr>
          <w:color w:val="000000" w:themeColor="text1"/>
          <w:sz w:val="20"/>
          <w:szCs w:val="20"/>
        </w:rPr>
        <w:t>Reh</w:t>
      </w:r>
      <w:proofErr w:type="spellEnd"/>
      <w:r w:rsidRPr="00B07621">
        <w:rPr>
          <w:color w:val="000000" w:themeColor="text1"/>
          <w:sz w:val="20"/>
          <w:szCs w:val="20"/>
        </w:rPr>
        <w:t xml:space="preserve">-i </w:t>
      </w:r>
      <w:proofErr w:type="spellStart"/>
      <w:r w:rsidRPr="00B07621">
        <w:rPr>
          <w:color w:val="000000" w:themeColor="text1"/>
          <w:sz w:val="20"/>
          <w:szCs w:val="20"/>
        </w:rPr>
        <w:t>Mevlevîde</w:t>
      </w:r>
      <w:proofErr w:type="spellEnd"/>
      <w:r w:rsidRPr="00B07621">
        <w:rPr>
          <w:color w:val="000000" w:themeColor="text1"/>
          <w:sz w:val="20"/>
          <w:szCs w:val="20"/>
        </w:rPr>
        <w:t xml:space="preserve"> </w:t>
      </w:r>
      <w:proofErr w:type="spellStart"/>
      <w:r w:rsidRPr="00B07621">
        <w:rPr>
          <w:color w:val="000000" w:themeColor="text1"/>
          <w:sz w:val="20"/>
          <w:szCs w:val="20"/>
        </w:rPr>
        <w:t>Gâlib</w:t>
      </w:r>
      <w:proofErr w:type="spellEnd"/>
      <w:r w:rsidRPr="00B07621">
        <w:rPr>
          <w:color w:val="000000" w:themeColor="text1"/>
          <w:sz w:val="20"/>
          <w:szCs w:val="20"/>
        </w:rPr>
        <w:t xml:space="preserve"> bu sıfatla kaldı </w:t>
      </w:r>
      <w:proofErr w:type="spellStart"/>
      <w:r w:rsidRPr="00B07621">
        <w:rPr>
          <w:color w:val="000000" w:themeColor="text1"/>
          <w:sz w:val="20"/>
          <w:szCs w:val="20"/>
        </w:rPr>
        <w:t>hayrân</w:t>
      </w:r>
      <w:proofErr w:type="spellEnd"/>
      <w:r w:rsidRPr="00B07621">
        <w:rPr>
          <w:color w:val="000000" w:themeColor="text1"/>
          <w:sz w:val="20"/>
          <w:szCs w:val="20"/>
        </w:rPr>
        <w:t xml:space="preserve">   </w:t>
      </w:r>
    </w:p>
    <w:p w14:paraId="368CACC8" w14:textId="77777777" w:rsidR="0089759E" w:rsidRDefault="0089759E" w:rsidP="0089759E">
      <w:pPr>
        <w:pStyle w:val="ListeParagraf"/>
        <w:tabs>
          <w:tab w:val="left" w:pos="567"/>
        </w:tabs>
        <w:ind w:left="993"/>
        <w:rPr>
          <w:color w:val="000000" w:themeColor="text1"/>
          <w:sz w:val="20"/>
          <w:szCs w:val="20"/>
        </w:rPr>
      </w:pPr>
      <w:r w:rsidRPr="00B07621">
        <w:rPr>
          <w:color w:val="000000" w:themeColor="text1"/>
          <w:sz w:val="20"/>
          <w:szCs w:val="20"/>
        </w:rPr>
        <w:tab/>
        <w:t xml:space="preserve">Kimi terk-i </w:t>
      </w:r>
      <w:proofErr w:type="spellStart"/>
      <w:r w:rsidRPr="00B07621">
        <w:rPr>
          <w:color w:val="000000" w:themeColor="text1"/>
          <w:sz w:val="20"/>
          <w:szCs w:val="20"/>
        </w:rPr>
        <w:t>nâm</w:t>
      </w:r>
      <w:proofErr w:type="spellEnd"/>
      <w:r w:rsidRPr="00B07621">
        <w:rPr>
          <w:color w:val="000000" w:themeColor="text1"/>
          <w:sz w:val="20"/>
          <w:szCs w:val="20"/>
        </w:rPr>
        <w:t xml:space="preserve"> ü </w:t>
      </w:r>
      <w:proofErr w:type="spellStart"/>
      <w:r w:rsidRPr="00B07621">
        <w:rPr>
          <w:color w:val="000000" w:themeColor="text1"/>
          <w:sz w:val="20"/>
          <w:szCs w:val="20"/>
        </w:rPr>
        <w:t>şâna</w:t>
      </w:r>
      <w:proofErr w:type="spellEnd"/>
      <w:r w:rsidRPr="00B07621">
        <w:rPr>
          <w:color w:val="000000" w:themeColor="text1"/>
          <w:sz w:val="20"/>
          <w:szCs w:val="20"/>
        </w:rPr>
        <w:t xml:space="preserve"> kimi </w:t>
      </w:r>
      <w:proofErr w:type="spellStart"/>
      <w:r w:rsidRPr="00B07621">
        <w:rPr>
          <w:color w:val="000000" w:themeColor="text1"/>
          <w:sz w:val="20"/>
          <w:szCs w:val="20"/>
        </w:rPr>
        <w:t>itibâra</w:t>
      </w:r>
      <w:proofErr w:type="spellEnd"/>
      <w:r w:rsidRPr="00B07621">
        <w:rPr>
          <w:color w:val="000000" w:themeColor="text1"/>
          <w:sz w:val="20"/>
          <w:szCs w:val="20"/>
        </w:rPr>
        <w:t xml:space="preserve"> düştü (Okçu, 1993, s. 868).</w:t>
      </w:r>
    </w:p>
    <w:p w14:paraId="4DCD45A7" w14:textId="77777777" w:rsidR="0089759E" w:rsidRPr="00B07621" w:rsidRDefault="0089759E" w:rsidP="0089759E">
      <w:pPr>
        <w:pStyle w:val="ListeParagraf"/>
        <w:tabs>
          <w:tab w:val="left" w:pos="567"/>
        </w:tabs>
        <w:ind w:left="993"/>
        <w:jc w:val="both"/>
        <w:rPr>
          <w:color w:val="000000" w:themeColor="text1"/>
          <w:sz w:val="20"/>
          <w:szCs w:val="20"/>
        </w:rPr>
      </w:pPr>
    </w:p>
    <w:p w14:paraId="56F5FF11" w14:textId="77777777" w:rsidR="0089759E" w:rsidRDefault="0089759E" w:rsidP="0089759E">
      <w:pPr>
        <w:tabs>
          <w:tab w:val="left" w:pos="567"/>
        </w:tabs>
        <w:rPr>
          <w:color w:val="000000" w:themeColor="text1"/>
        </w:rPr>
      </w:pPr>
      <w:r w:rsidRPr="004C4B53">
        <w:rPr>
          <w:color w:val="000000" w:themeColor="text1"/>
        </w:rPr>
        <w:t xml:space="preserve">Şeyh </w:t>
      </w:r>
      <w:proofErr w:type="spellStart"/>
      <w:r w:rsidRPr="004C4B53">
        <w:rPr>
          <w:color w:val="000000" w:themeColor="text1"/>
        </w:rPr>
        <w:t>Gâlib’in</w:t>
      </w:r>
      <w:proofErr w:type="spellEnd"/>
      <w:r w:rsidRPr="004C4B53">
        <w:rPr>
          <w:color w:val="000000" w:themeColor="text1"/>
        </w:rPr>
        <w:t xml:space="preserve"> gazelinde “düştü” redifinin Türkçede ifade ettiği anlam çerçevesi göz önünde bulundurulduğunda olumsuz bir tablonun resmedildiği söylenebilir. Şiirin anlatıcısı, yaşadıklarından yakınan, haline üzülen ve talihe karşı sitem eden bir tavır içindedir. Zahir anlamıyla bakıldığında şiir kişisi, bu alemde pek çok meşakkate maruz kalmakta ve acı çekmektedir. </w:t>
      </w:r>
      <w:proofErr w:type="spellStart"/>
      <w:r w:rsidRPr="004C4B53">
        <w:rPr>
          <w:color w:val="000000" w:themeColor="text1"/>
        </w:rPr>
        <w:t>Açar’ın</w:t>
      </w:r>
      <w:proofErr w:type="spellEnd"/>
      <w:r w:rsidRPr="004C4B53">
        <w:rPr>
          <w:color w:val="000000" w:themeColor="text1"/>
        </w:rPr>
        <w:t xml:space="preserve"> (2018) de belirttiği üzere tasavvufi sembolizm açısından düşünüldüğünde ise şiir anlatıcısının derdi bu alemde olanlarla ilgili değildir; zira ruhlar </w:t>
      </w:r>
      <w:proofErr w:type="spellStart"/>
      <w:r w:rsidRPr="004C4B53">
        <w:rPr>
          <w:color w:val="000000" w:themeColor="text1"/>
        </w:rPr>
        <w:t>bezminde</w:t>
      </w:r>
      <w:proofErr w:type="spellEnd"/>
      <w:r w:rsidRPr="004C4B53">
        <w:rPr>
          <w:color w:val="000000" w:themeColor="text1"/>
        </w:rPr>
        <w:t xml:space="preserve"> takdir olunana karşı tasavvuf ehli bir teslimiyet içindedir. Burada asıl yakınılan, “ana </w:t>
      </w:r>
      <w:proofErr w:type="spellStart"/>
      <w:r w:rsidRPr="004C4B53">
        <w:rPr>
          <w:color w:val="000000" w:themeColor="text1"/>
        </w:rPr>
        <w:t>vatan”dan</w:t>
      </w:r>
      <w:proofErr w:type="spellEnd"/>
      <w:r w:rsidRPr="004C4B53">
        <w:rPr>
          <w:color w:val="000000" w:themeColor="text1"/>
        </w:rPr>
        <w:t xml:space="preserve"> ayrı düşüp gurbette hasret çekmektir. Dolayısıyla </w:t>
      </w:r>
      <w:proofErr w:type="spellStart"/>
      <w:r w:rsidRPr="004C4B53">
        <w:rPr>
          <w:color w:val="000000" w:themeColor="text1"/>
        </w:rPr>
        <w:t>Gâlib’in</w:t>
      </w:r>
      <w:proofErr w:type="spellEnd"/>
      <w:r w:rsidRPr="004C4B53">
        <w:rPr>
          <w:color w:val="000000" w:themeColor="text1"/>
        </w:rPr>
        <w:t xml:space="preserve"> şiirinde birlikte olunan sevgilinin muvakkat yitiminden, ondan uzak kalmadan kaynaklanan bir hüzün ve üzüntü hali anlatılır. </w:t>
      </w:r>
    </w:p>
    <w:p w14:paraId="3647227E" w14:textId="77777777" w:rsidR="0089759E" w:rsidRPr="004C4B53" w:rsidRDefault="0089759E" w:rsidP="0089759E">
      <w:pPr>
        <w:tabs>
          <w:tab w:val="left" w:pos="567"/>
        </w:tabs>
        <w:jc w:val="both"/>
        <w:rPr>
          <w:color w:val="000000" w:themeColor="text1"/>
        </w:rPr>
      </w:pPr>
    </w:p>
    <w:p w14:paraId="62030427" w14:textId="77777777" w:rsidR="0089759E" w:rsidRDefault="0089759E" w:rsidP="0089759E">
      <w:pPr>
        <w:tabs>
          <w:tab w:val="left" w:pos="567"/>
        </w:tabs>
        <w:rPr>
          <w:color w:val="000000" w:themeColor="text1"/>
        </w:rPr>
      </w:pPr>
      <w:r w:rsidRPr="004C4B53">
        <w:rPr>
          <w:color w:val="000000" w:themeColor="text1"/>
        </w:rPr>
        <w:t xml:space="preserve">Karakoç’un Gazel’inde de redifin çizdiği anlam evreni olumsuzdur. Şiirin geneline de bir hüzün, üzüntü hali hakimdir. Karakoç’un şiirinde bir yitikten bahsedilir fakat </w:t>
      </w:r>
      <w:proofErr w:type="spellStart"/>
      <w:r w:rsidRPr="004C4B53">
        <w:rPr>
          <w:color w:val="000000" w:themeColor="text1"/>
        </w:rPr>
        <w:t>Gâlib’in</w:t>
      </w:r>
      <w:proofErr w:type="spellEnd"/>
      <w:r w:rsidRPr="004C4B53">
        <w:rPr>
          <w:color w:val="000000" w:themeColor="text1"/>
        </w:rPr>
        <w:t xml:space="preserve"> tasavvufi sembolizmi, burada tarihsel bir sürece dönüşmüştür. </w:t>
      </w:r>
      <w:proofErr w:type="spellStart"/>
      <w:r w:rsidRPr="004C4B53">
        <w:rPr>
          <w:color w:val="000000" w:themeColor="text1"/>
        </w:rPr>
        <w:t>Sürgit’in</w:t>
      </w:r>
      <w:proofErr w:type="spellEnd"/>
      <w:r w:rsidRPr="004C4B53">
        <w:rPr>
          <w:color w:val="000000" w:themeColor="text1"/>
        </w:rPr>
        <w:t xml:space="preserve"> (2015) de belirttiği üzere Karakoç’un söz konusu şiirinde, modernizm karşısında İslam medeniyetinin yaşadığı çöküş ve sonrasında yaşanan acı tablo resmedilir. Her iki şiirde de bir yitik durumdan bahsedilebilir. İki şiirin </w:t>
      </w:r>
      <w:proofErr w:type="spellStart"/>
      <w:r w:rsidRPr="004C4B53">
        <w:rPr>
          <w:color w:val="000000" w:themeColor="text1"/>
        </w:rPr>
        <w:t>biçemsel</w:t>
      </w:r>
      <w:proofErr w:type="spellEnd"/>
      <w:r w:rsidRPr="004C4B53">
        <w:rPr>
          <w:color w:val="000000" w:themeColor="text1"/>
        </w:rPr>
        <w:t xml:space="preserve"> benzerliği de göz önünde bulundurulduğunda Karakoç’un “Gazel” şiirinde, </w:t>
      </w:r>
      <w:proofErr w:type="spellStart"/>
      <w:r w:rsidRPr="004C4B53">
        <w:rPr>
          <w:color w:val="000000" w:themeColor="text1"/>
        </w:rPr>
        <w:t>Gâlib’in</w:t>
      </w:r>
      <w:proofErr w:type="spellEnd"/>
      <w:r w:rsidRPr="004C4B53">
        <w:rPr>
          <w:color w:val="000000" w:themeColor="text1"/>
        </w:rPr>
        <w:t xml:space="preserve"> gazelinin tematik yapısını dönüşüme uğratarak </w:t>
      </w:r>
      <w:proofErr w:type="spellStart"/>
      <w:r w:rsidRPr="004C4B53">
        <w:rPr>
          <w:color w:val="000000" w:themeColor="text1"/>
        </w:rPr>
        <w:t>biçemsel</w:t>
      </w:r>
      <w:proofErr w:type="spellEnd"/>
      <w:r w:rsidRPr="004C4B53">
        <w:rPr>
          <w:color w:val="000000" w:themeColor="text1"/>
        </w:rPr>
        <w:t xml:space="preserve"> açıdan ona öykündüğü söylenebilir. “Düştü” redifinin fonetik göndermesi ile divan şiirinin nazım biçimi olan gazelin söyleyiş tarzına yakınlaşma, söz konusu şiirde pastişi oluşturan temel etkenlerdir. </w:t>
      </w:r>
    </w:p>
    <w:p w14:paraId="28C337D7" w14:textId="77777777" w:rsidR="0089759E" w:rsidRPr="004C4B53" w:rsidRDefault="0089759E" w:rsidP="0089759E">
      <w:pPr>
        <w:tabs>
          <w:tab w:val="left" w:pos="567"/>
        </w:tabs>
        <w:jc w:val="both"/>
        <w:rPr>
          <w:color w:val="000000" w:themeColor="text1"/>
        </w:rPr>
      </w:pPr>
    </w:p>
    <w:p w14:paraId="64420D9E" w14:textId="77777777" w:rsidR="0089759E" w:rsidRDefault="0089759E" w:rsidP="0089759E">
      <w:pPr>
        <w:tabs>
          <w:tab w:val="left" w:pos="567"/>
        </w:tabs>
        <w:jc w:val="both"/>
        <w:rPr>
          <w:color w:val="000000" w:themeColor="text1"/>
        </w:rPr>
      </w:pPr>
      <w:r w:rsidRPr="004C4B53">
        <w:rPr>
          <w:color w:val="000000" w:themeColor="text1"/>
        </w:rPr>
        <w:lastRenderedPageBreak/>
        <w:t xml:space="preserve">Bunun dışında </w:t>
      </w:r>
      <w:r w:rsidRPr="004C4B53">
        <w:rPr>
          <w:i/>
          <w:iCs/>
          <w:color w:val="000000" w:themeColor="text1"/>
        </w:rPr>
        <w:t xml:space="preserve">Ateş </w:t>
      </w:r>
      <w:proofErr w:type="spellStart"/>
      <w:r w:rsidRPr="004C4B53">
        <w:rPr>
          <w:i/>
          <w:iCs/>
          <w:color w:val="000000" w:themeColor="text1"/>
        </w:rPr>
        <w:t>Dansı</w:t>
      </w:r>
      <w:r w:rsidRPr="004C4B53">
        <w:rPr>
          <w:color w:val="000000" w:themeColor="text1"/>
        </w:rPr>
        <w:t>’nda</w:t>
      </w:r>
      <w:proofErr w:type="spellEnd"/>
      <w:r w:rsidRPr="004C4B53">
        <w:rPr>
          <w:color w:val="000000" w:themeColor="text1"/>
        </w:rPr>
        <w:t xml:space="preserve"> yer alan “Kızkulesi’ne Gazel”, “Diriliş” şiirlerinde divan şiirinin gazel formunun söyleyiş biçimlerine öykündüğü görülür. Ayrıca anonim edebiyatın önemli örneklerinden olan ninni formu da söyleyiş açısından yine “Ninni” başlığı altında Karakoç tarafından denenir. Kitabın sonunda yer alan “Şairlere </w:t>
      </w:r>
      <w:proofErr w:type="gramStart"/>
      <w:r w:rsidRPr="004C4B53">
        <w:rPr>
          <w:color w:val="000000" w:themeColor="text1"/>
        </w:rPr>
        <w:t>Ve</w:t>
      </w:r>
      <w:proofErr w:type="gramEnd"/>
      <w:r w:rsidRPr="004C4B53">
        <w:rPr>
          <w:color w:val="000000" w:themeColor="text1"/>
        </w:rPr>
        <w:t xml:space="preserve"> Şiirlere Dair Dörtlük”</w:t>
      </w:r>
      <w:r w:rsidRPr="004C4B53">
        <w:rPr>
          <w:i/>
          <w:iCs/>
          <w:color w:val="000000" w:themeColor="text1"/>
        </w:rPr>
        <w:t xml:space="preserve"> </w:t>
      </w:r>
      <w:r w:rsidRPr="004C4B53">
        <w:rPr>
          <w:color w:val="000000" w:themeColor="text1"/>
        </w:rPr>
        <w:t>başlığı altında yer alan dörtlükler de divan şiirindeki rubai formunun ve söyleyiş biçiminin taklit edildiği birer pastiş örneği olarak kabul edilebilir.</w:t>
      </w:r>
    </w:p>
    <w:p w14:paraId="5511506C" w14:textId="77777777" w:rsidR="0089759E" w:rsidRPr="004C4B53" w:rsidRDefault="0089759E" w:rsidP="0089759E">
      <w:pPr>
        <w:tabs>
          <w:tab w:val="left" w:pos="567"/>
        </w:tabs>
        <w:jc w:val="both"/>
        <w:rPr>
          <w:color w:val="000000" w:themeColor="text1"/>
        </w:rPr>
      </w:pPr>
    </w:p>
    <w:p w14:paraId="144719E7" w14:textId="77777777" w:rsidR="0089759E" w:rsidRPr="004C4B53" w:rsidRDefault="0089759E" w:rsidP="0089759E">
      <w:pPr>
        <w:tabs>
          <w:tab w:val="left" w:pos="567"/>
        </w:tabs>
        <w:jc w:val="both"/>
        <w:rPr>
          <w:b/>
          <w:bCs/>
          <w:color w:val="000000" w:themeColor="text1"/>
        </w:rPr>
      </w:pPr>
      <w:r w:rsidRPr="004C4B53">
        <w:rPr>
          <w:b/>
          <w:bCs/>
          <w:color w:val="000000" w:themeColor="text1"/>
        </w:rPr>
        <w:t>Sonuç</w:t>
      </w:r>
    </w:p>
    <w:p w14:paraId="06B95E28" w14:textId="77777777" w:rsidR="0089759E" w:rsidRDefault="0089759E" w:rsidP="0089759E">
      <w:pPr>
        <w:tabs>
          <w:tab w:val="left" w:pos="567"/>
        </w:tabs>
        <w:rPr>
          <w:color w:val="000000" w:themeColor="text1"/>
        </w:rPr>
      </w:pPr>
      <w:r w:rsidRPr="004C4B53">
        <w:rPr>
          <w:color w:val="000000" w:themeColor="text1"/>
        </w:rPr>
        <w:t xml:space="preserve">Sezai Karakoç, gelenekle bağını koparmadan, modern Türk şiiri içerisinde özgün bir şiir anlayışı geliştirmeye çalışmıştır. Ona göre, modernleşme süreciyle birlikte Türk şiirinde yaşanan köklü kırılma ve belirgin kopuş, şiiri bir çıkmaza sürüklemiştir. Bu bağlamda Karakoç, modern şiirin sunduğu imkânları kullanarak geleneği yeniden canlandırmanın yollarını aramıştır. Özellikle </w:t>
      </w:r>
      <w:r w:rsidRPr="004C4B53">
        <w:rPr>
          <w:rStyle w:val="Vurgu"/>
          <w:color w:val="000000" w:themeColor="text1"/>
        </w:rPr>
        <w:t>Hızırla Kırk Saat</w:t>
      </w:r>
      <w:r w:rsidRPr="004C4B53">
        <w:rPr>
          <w:color w:val="000000" w:themeColor="text1"/>
        </w:rPr>
        <w:t xml:space="preserve"> ile başlayan </w:t>
      </w:r>
      <w:proofErr w:type="spellStart"/>
      <w:r w:rsidRPr="004C4B53">
        <w:rPr>
          <w:color w:val="000000" w:themeColor="text1"/>
        </w:rPr>
        <w:t>poemleri</w:t>
      </w:r>
      <w:proofErr w:type="spellEnd"/>
      <w:r w:rsidRPr="004C4B53">
        <w:rPr>
          <w:color w:val="000000" w:themeColor="text1"/>
        </w:rPr>
        <w:t xml:space="preserve"> sürecinde, Batı şiir geleneğini bütünüyle dışlamaksızın, Doğu şiir geleneğini şiir anlayışının temeline yerleştirmiştir. Şiirlerini inşa ederken kimi zaman belirli metinlerle doğrudan ilişki kurarak alt metinler aracılığıyla bir söyleşim oluşturmuştur. Özellikle şairliğinin olgunluk yılları ve sonrasında divan şiiri ile doğrudan ilişkili metinler meydana getirmiştir. </w:t>
      </w:r>
      <w:r w:rsidRPr="004C4B53">
        <w:rPr>
          <w:i/>
          <w:iCs/>
          <w:color w:val="000000" w:themeColor="text1"/>
        </w:rPr>
        <w:t>Leyla ile Mecnun</w:t>
      </w:r>
      <w:r w:rsidRPr="004C4B53">
        <w:rPr>
          <w:color w:val="000000" w:themeColor="text1"/>
        </w:rPr>
        <w:t xml:space="preserve"> ve </w:t>
      </w:r>
      <w:r w:rsidRPr="004C4B53">
        <w:rPr>
          <w:i/>
          <w:iCs/>
          <w:color w:val="000000" w:themeColor="text1"/>
        </w:rPr>
        <w:t>Ateş Dansı</w:t>
      </w:r>
      <w:r w:rsidRPr="004C4B53">
        <w:rPr>
          <w:color w:val="000000" w:themeColor="text1"/>
        </w:rPr>
        <w:t xml:space="preserve">, Karakoç’un bu çabasının iki farklı örneği olarak sayılabilir. Şunu da belirtmek gerekir ki Karakoç’un metinlerinde </w:t>
      </w:r>
      <w:proofErr w:type="spellStart"/>
      <w:r w:rsidRPr="004C4B53">
        <w:rPr>
          <w:color w:val="000000" w:themeColor="text1"/>
        </w:rPr>
        <w:t>metinlerarasılık</w:t>
      </w:r>
      <w:proofErr w:type="spellEnd"/>
      <w:r w:rsidRPr="004C4B53">
        <w:rPr>
          <w:color w:val="000000" w:themeColor="text1"/>
        </w:rPr>
        <w:t xml:space="preserve">, amaçlanarak kullanılmış ve bir yöntem olarak benimsenmiş değildir. Zira İslamcı duruşu tartışmasız olan Karakoç’u, </w:t>
      </w:r>
      <w:proofErr w:type="spellStart"/>
      <w:r w:rsidRPr="004C4B53">
        <w:rPr>
          <w:color w:val="000000" w:themeColor="text1"/>
        </w:rPr>
        <w:t>postmodern</w:t>
      </w:r>
      <w:proofErr w:type="spellEnd"/>
      <w:r w:rsidRPr="004C4B53">
        <w:rPr>
          <w:color w:val="000000" w:themeColor="text1"/>
        </w:rPr>
        <w:t xml:space="preserve"> edebiyatla ve yöntemleriyle bilinç düzeyinde ilişkilendirmek mümkün değildir. Fakat Karakoç’un kendi kişisel yeteneği ve çabası ile gelenekle kurduğu bağın sonucunda </w:t>
      </w:r>
      <w:proofErr w:type="spellStart"/>
      <w:r w:rsidRPr="004C4B53">
        <w:rPr>
          <w:color w:val="000000" w:themeColor="text1"/>
        </w:rPr>
        <w:t>metinlerarasılık</w:t>
      </w:r>
      <w:proofErr w:type="spellEnd"/>
      <w:r w:rsidRPr="004C4B53">
        <w:rPr>
          <w:color w:val="000000" w:themeColor="text1"/>
        </w:rPr>
        <w:t xml:space="preserve"> kavramı çerçevesinde değerlendirilebilecek kullanımların söz konusu olduğu görülmektedir. </w:t>
      </w:r>
      <w:r w:rsidRPr="004C4B53">
        <w:rPr>
          <w:i/>
          <w:iCs/>
          <w:color w:val="000000" w:themeColor="text1"/>
        </w:rPr>
        <w:t xml:space="preserve">Ateş </w:t>
      </w:r>
      <w:proofErr w:type="spellStart"/>
      <w:r w:rsidRPr="004C4B53">
        <w:rPr>
          <w:i/>
          <w:iCs/>
          <w:color w:val="000000" w:themeColor="text1"/>
        </w:rPr>
        <w:t>Dansı’</w:t>
      </w:r>
      <w:r w:rsidRPr="004C4B53">
        <w:rPr>
          <w:color w:val="000000" w:themeColor="text1"/>
        </w:rPr>
        <w:t>ndaki</w:t>
      </w:r>
      <w:proofErr w:type="spellEnd"/>
      <w:r w:rsidRPr="004C4B53">
        <w:rPr>
          <w:color w:val="000000" w:themeColor="text1"/>
        </w:rPr>
        <w:t xml:space="preserve"> şiirlere bakıldığında Karakoç’un hem biçimsel hem de dolaylı biçimde içeriksel olarak divan şiiriyle açık bir söyleşime girdiği ve </w:t>
      </w:r>
      <w:proofErr w:type="spellStart"/>
      <w:r w:rsidRPr="004C4B53">
        <w:rPr>
          <w:color w:val="000000" w:themeColor="text1"/>
        </w:rPr>
        <w:t>metinlerarasılık</w:t>
      </w:r>
      <w:proofErr w:type="spellEnd"/>
      <w:r w:rsidRPr="004C4B53">
        <w:rPr>
          <w:color w:val="000000" w:themeColor="text1"/>
        </w:rPr>
        <w:t xml:space="preserve"> kuramı kapsamına giren şiirler yazdığı görülmektedir. “Ateş Dansı I” şiirinde “ateşte dans eden kadın” imajı ile şem’ ve pervane alegorisi ile Anka kuşunun yaşamı arasında imge düzeyinde örtük ilişkiler kurulduğu ve bu efsaneler ve bu efsaneleri işleyen, Şeyh </w:t>
      </w:r>
      <w:proofErr w:type="spellStart"/>
      <w:r w:rsidRPr="004C4B53">
        <w:rPr>
          <w:color w:val="000000" w:themeColor="text1"/>
        </w:rPr>
        <w:t>Gâlib’in</w:t>
      </w:r>
      <w:proofErr w:type="spellEnd"/>
      <w:r w:rsidRPr="004C4B53">
        <w:rPr>
          <w:color w:val="000000" w:themeColor="text1"/>
        </w:rPr>
        <w:t xml:space="preserve"> beytinde olduğu gibi, kimi metinler ile anıştırma (</w:t>
      </w:r>
      <w:proofErr w:type="spellStart"/>
      <w:r w:rsidRPr="004C4B53">
        <w:rPr>
          <w:color w:val="000000" w:themeColor="text1"/>
        </w:rPr>
        <w:t>allusion</w:t>
      </w:r>
      <w:proofErr w:type="spellEnd"/>
      <w:r w:rsidRPr="004C4B53">
        <w:rPr>
          <w:color w:val="000000" w:themeColor="text1"/>
        </w:rPr>
        <w:t xml:space="preserve">) yoluyla bir </w:t>
      </w:r>
      <w:proofErr w:type="spellStart"/>
      <w:r w:rsidRPr="004C4B53">
        <w:rPr>
          <w:color w:val="000000" w:themeColor="text1"/>
        </w:rPr>
        <w:t>metinlerarası</w:t>
      </w:r>
      <w:proofErr w:type="spellEnd"/>
      <w:r w:rsidRPr="004C4B53">
        <w:rPr>
          <w:color w:val="000000" w:themeColor="text1"/>
        </w:rPr>
        <w:t xml:space="preserve"> bir ilişki kurulduğu görülmüştür. Karakoç’un </w:t>
      </w:r>
      <w:r w:rsidRPr="004C4B53">
        <w:rPr>
          <w:i/>
          <w:iCs/>
          <w:color w:val="000000" w:themeColor="text1"/>
        </w:rPr>
        <w:t xml:space="preserve">Ateş </w:t>
      </w:r>
      <w:proofErr w:type="spellStart"/>
      <w:r w:rsidRPr="004C4B53">
        <w:rPr>
          <w:i/>
          <w:iCs/>
          <w:color w:val="000000" w:themeColor="text1"/>
        </w:rPr>
        <w:t>Dansı</w:t>
      </w:r>
      <w:r w:rsidRPr="004C4B53">
        <w:rPr>
          <w:color w:val="000000" w:themeColor="text1"/>
        </w:rPr>
        <w:t>’nda</w:t>
      </w:r>
      <w:proofErr w:type="spellEnd"/>
      <w:r w:rsidRPr="004C4B53">
        <w:rPr>
          <w:color w:val="000000" w:themeColor="text1"/>
        </w:rPr>
        <w:t xml:space="preserve"> “İstanbul’un Hazan Gazeli” şiirinde, </w:t>
      </w:r>
      <w:proofErr w:type="spellStart"/>
      <w:r w:rsidRPr="004C4B53">
        <w:rPr>
          <w:color w:val="000000" w:themeColor="text1"/>
        </w:rPr>
        <w:t>metinlerarasılığın</w:t>
      </w:r>
      <w:proofErr w:type="spellEnd"/>
      <w:r w:rsidRPr="004C4B53">
        <w:rPr>
          <w:color w:val="000000" w:themeColor="text1"/>
        </w:rPr>
        <w:t xml:space="preserve"> önemli yöntemlerinden biri olan parodiye başvurduğu görülür. Karakoç, söz konusu şiirinde Nedim’in “</w:t>
      </w:r>
      <w:proofErr w:type="spellStart"/>
      <w:r w:rsidRPr="004C4B53">
        <w:rPr>
          <w:color w:val="000000" w:themeColor="text1"/>
        </w:rPr>
        <w:t>Sadâbâd</w:t>
      </w:r>
      <w:proofErr w:type="spellEnd"/>
      <w:r w:rsidRPr="004C4B53">
        <w:rPr>
          <w:color w:val="000000" w:themeColor="text1"/>
        </w:rPr>
        <w:t xml:space="preserve"> Şarkısı” olarak bilinen ünlü şarkısına parodi olarak değerlendirilebilecek modern bir nazire yazar. Yalnız buradaki parodi, bilinen yaygın kullanımından farklı olarak, komik bir etki yaratmaktan ziyade kök metnin konusunu alarak ondan yeni bir metin yaratmak şeklinde olmuştur. Karakoç, Nedim’in zevke ve eğlenceye davetini, dini yaşama ve kültürel mirasa sahip çıkma şeklinde bir davete dönüştürür. Bunu yaparken de geleneğin bir parçası olan Nedim’in şiirini düşünsel anlamda bir kritiğe ve tashihe tabi tutar fakat alt metne saygı göstermeyi de ihmal etmez. Karakoç’un yapmış olduğu </w:t>
      </w:r>
      <w:proofErr w:type="spellStart"/>
      <w:r w:rsidRPr="004C4B53">
        <w:rPr>
          <w:color w:val="000000" w:themeColor="text1"/>
        </w:rPr>
        <w:t>parodik</w:t>
      </w:r>
      <w:proofErr w:type="spellEnd"/>
      <w:r w:rsidRPr="004C4B53">
        <w:rPr>
          <w:color w:val="000000" w:themeColor="text1"/>
        </w:rPr>
        <w:t xml:space="preserve"> işlem, yıkıcı değil, saygı ve sempati barındıran bir eylem olarak karşımıza çıkar. Bunun dışında Karakoç, “Gazel” adını taşıyan şiirinde ise Şeyh </w:t>
      </w:r>
      <w:proofErr w:type="spellStart"/>
      <w:r w:rsidRPr="004C4B53">
        <w:rPr>
          <w:color w:val="000000" w:themeColor="text1"/>
        </w:rPr>
        <w:t>Gâlib’in</w:t>
      </w:r>
      <w:proofErr w:type="spellEnd"/>
      <w:r w:rsidRPr="004C4B53">
        <w:rPr>
          <w:color w:val="000000" w:themeColor="text1"/>
        </w:rPr>
        <w:t xml:space="preserve"> “Düştü” redifli bir gazelini </w:t>
      </w:r>
      <w:proofErr w:type="spellStart"/>
      <w:r w:rsidRPr="004C4B53">
        <w:rPr>
          <w:color w:val="000000" w:themeColor="text1"/>
        </w:rPr>
        <w:t>biçemsel</w:t>
      </w:r>
      <w:proofErr w:type="spellEnd"/>
      <w:r w:rsidRPr="004C4B53">
        <w:rPr>
          <w:color w:val="000000" w:themeColor="text1"/>
        </w:rPr>
        <w:t xml:space="preserve"> açıdan taklit ederek orijinal bir pastiş örneği yaratır. Bunu yaparken de divan şiirinin vokabülerini alıp yeniden yorumlayarak bu şiire yakın bir biçem oluşturmaya çalışır. Doğrudan bir metinle ilişkili olmasa yine “Kızkulesi’ne Gazel”, “Diriliş”, “Şairlere ve Şiire Dair Dörtlükler” gibi şiirlerinde de divan şiirinin nazım biçimlerinin kullanıldığı ve </w:t>
      </w:r>
      <w:proofErr w:type="spellStart"/>
      <w:r w:rsidRPr="004C4B53">
        <w:rPr>
          <w:color w:val="000000" w:themeColor="text1"/>
        </w:rPr>
        <w:t>biçemsel</w:t>
      </w:r>
      <w:proofErr w:type="spellEnd"/>
      <w:r w:rsidRPr="004C4B53">
        <w:rPr>
          <w:color w:val="000000" w:themeColor="text1"/>
        </w:rPr>
        <w:t xml:space="preserve"> açıdan gazel ve rubai formlarının söyleyiş biçimlerinin bu şiirlerde de uygulanmaya çalışıldığı görülmüştür.</w:t>
      </w:r>
    </w:p>
    <w:p w14:paraId="105DD098" w14:textId="77777777" w:rsidR="0089759E" w:rsidRPr="004C4B53" w:rsidRDefault="0089759E" w:rsidP="0089759E">
      <w:pPr>
        <w:tabs>
          <w:tab w:val="left" w:pos="567"/>
        </w:tabs>
        <w:jc w:val="both"/>
        <w:rPr>
          <w:color w:val="000000" w:themeColor="text1"/>
        </w:rPr>
      </w:pPr>
    </w:p>
    <w:p w14:paraId="7A180333" w14:textId="77777777" w:rsidR="0089759E" w:rsidRPr="004C4B53" w:rsidRDefault="0089759E" w:rsidP="0089759E">
      <w:pPr>
        <w:tabs>
          <w:tab w:val="left" w:pos="567"/>
        </w:tabs>
        <w:jc w:val="both"/>
        <w:rPr>
          <w:b/>
          <w:bCs/>
          <w:color w:val="000000" w:themeColor="text1"/>
        </w:rPr>
      </w:pPr>
      <w:r w:rsidRPr="004C4B53">
        <w:rPr>
          <w:b/>
          <w:bCs/>
          <w:color w:val="000000" w:themeColor="text1"/>
        </w:rPr>
        <w:lastRenderedPageBreak/>
        <w:t>Kaynakça</w:t>
      </w:r>
    </w:p>
    <w:p w14:paraId="063FAD46" w14:textId="77777777" w:rsidR="0089759E" w:rsidRPr="00F23860" w:rsidRDefault="0089759E">
      <w:pPr>
        <w:pStyle w:val="ListeParagraf"/>
        <w:widowControl/>
        <w:numPr>
          <w:ilvl w:val="0"/>
          <w:numId w:val="90"/>
        </w:numPr>
        <w:tabs>
          <w:tab w:val="left" w:pos="567"/>
        </w:tabs>
        <w:autoSpaceDE/>
        <w:autoSpaceDN/>
        <w:jc w:val="both"/>
        <w:rPr>
          <w:color w:val="000000" w:themeColor="text1"/>
        </w:rPr>
      </w:pPr>
      <w:r w:rsidRPr="00F23860">
        <w:rPr>
          <w:color w:val="000000" w:themeColor="text1"/>
        </w:rPr>
        <w:t xml:space="preserve">Açar, Z. (2018). Şeyh </w:t>
      </w:r>
      <w:proofErr w:type="spellStart"/>
      <w:r w:rsidRPr="00F23860">
        <w:rPr>
          <w:color w:val="000000" w:themeColor="text1"/>
        </w:rPr>
        <w:t>Galib’in</w:t>
      </w:r>
      <w:proofErr w:type="spellEnd"/>
      <w:r w:rsidRPr="00F23860">
        <w:rPr>
          <w:color w:val="000000" w:themeColor="text1"/>
        </w:rPr>
        <w:t xml:space="preserve"> “</w:t>
      </w:r>
      <w:proofErr w:type="spellStart"/>
      <w:r w:rsidRPr="00F23860">
        <w:rPr>
          <w:color w:val="000000" w:themeColor="text1"/>
        </w:rPr>
        <w:t>Düşdü</w:t>
      </w:r>
      <w:proofErr w:type="spellEnd"/>
      <w:r w:rsidRPr="00F23860">
        <w:rPr>
          <w:color w:val="000000" w:themeColor="text1"/>
        </w:rPr>
        <w:t xml:space="preserve">” Redifli Gazeli ile Kul Yusuf’un “Düştü” Redifli Deyişindeki Müşterek Tasavvufî Kavramlar Üzerine Bir Değerlendirme. </w:t>
      </w:r>
      <w:proofErr w:type="spellStart"/>
      <w:r w:rsidRPr="00F23860">
        <w:rPr>
          <w:i/>
          <w:iCs/>
          <w:color w:val="000000" w:themeColor="text1"/>
        </w:rPr>
        <w:t>Littera</w:t>
      </w:r>
      <w:proofErr w:type="spellEnd"/>
      <w:r w:rsidRPr="00F23860">
        <w:rPr>
          <w:i/>
          <w:iCs/>
          <w:color w:val="000000" w:themeColor="text1"/>
        </w:rPr>
        <w:t xml:space="preserve"> Turca </w:t>
      </w:r>
      <w:proofErr w:type="spellStart"/>
      <w:r w:rsidRPr="00F23860">
        <w:rPr>
          <w:i/>
          <w:iCs/>
          <w:color w:val="000000" w:themeColor="text1"/>
        </w:rPr>
        <w:t>Journal</w:t>
      </w:r>
      <w:proofErr w:type="spellEnd"/>
      <w:r w:rsidRPr="00F23860">
        <w:rPr>
          <w:i/>
          <w:iCs/>
          <w:color w:val="000000" w:themeColor="text1"/>
        </w:rPr>
        <w:t xml:space="preserve"> of </w:t>
      </w:r>
      <w:proofErr w:type="spellStart"/>
      <w:r w:rsidRPr="00F23860">
        <w:rPr>
          <w:i/>
          <w:iCs/>
          <w:color w:val="000000" w:themeColor="text1"/>
        </w:rPr>
        <w:t>Turkish</w:t>
      </w:r>
      <w:proofErr w:type="spellEnd"/>
      <w:r w:rsidRPr="00F23860">
        <w:rPr>
          <w:i/>
          <w:iCs/>
          <w:color w:val="000000" w:themeColor="text1"/>
        </w:rPr>
        <w:t xml:space="preserve"> Language </w:t>
      </w:r>
      <w:proofErr w:type="spellStart"/>
      <w:r w:rsidRPr="00F23860">
        <w:rPr>
          <w:i/>
          <w:iCs/>
          <w:color w:val="000000" w:themeColor="text1"/>
        </w:rPr>
        <w:t>and</w:t>
      </w:r>
      <w:proofErr w:type="spellEnd"/>
      <w:r w:rsidRPr="00F23860">
        <w:rPr>
          <w:i/>
          <w:iCs/>
          <w:color w:val="000000" w:themeColor="text1"/>
        </w:rPr>
        <w:t xml:space="preserve"> </w:t>
      </w:r>
      <w:proofErr w:type="spellStart"/>
      <w:r w:rsidRPr="00F23860">
        <w:rPr>
          <w:i/>
          <w:iCs/>
          <w:color w:val="000000" w:themeColor="text1"/>
        </w:rPr>
        <w:t>Literature</w:t>
      </w:r>
      <w:proofErr w:type="spellEnd"/>
      <w:r w:rsidRPr="00F23860">
        <w:rPr>
          <w:i/>
          <w:iCs/>
          <w:color w:val="000000" w:themeColor="text1"/>
        </w:rPr>
        <w:t xml:space="preserve">, </w:t>
      </w:r>
      <w:r w:rsidRPr="00F23860">
        <w:rPr>
          <w:color w:val="000000" w:themeColor="text1"/>
        </w:rPr>
        <w:t xml:space="preserve">4(1), </w:t>
      </w:r>
      <w:proofErr w:type="spellStart"/>
      <w:r w:rsidRPr="00F23860">
        <w:rPr>
          <w:color w:val="000000" w:themeColor="text1"/>
        </w:rPr>
        <w:t>ss</w:t>
      </w:r>
      <w:proofErr w:type="spellEnd"/>
      <w:r w:rsidRPr="00F23860">
        <w:rPr>
          <w:color w:val="000000" w:themeColor="text1"/>
        </w:rPr>
        <w:t>. 1-16.</w:t>
      </w:r>
    </w:p>
    <w:p w14:paraId="53E6FF90" w14:textId="77777777" w:rsidR="0089759E" w:rsidRPr="00F23860" w:rsidRDefault="0089759E">
      <w:pPr>
        <w:pStyle w:val="ListeParagraf"/>
        <w:widowControl/>
        <w:numPr>
          <w:ilvl w:val="0"/>
          <w:numId w:val="90"/>
        </w:numPr>
        <w:tabs>
          <w:tab w:val="left" w:pos="567"/>
        </w:tabs>
        <w:autoSpaceDE/>
        <w:autoSpaceDN/>
        <w:jc w:val="both"/>
        <w:rPr>
          <w:color w:val="000000" w:themeColor="text1"/>
        </w:rPr>
      </w:pPr>
      <w:r w:rsidRPr="00F23860">
        <w:rPr>
          <w:color w:val="000000" w:themeColor="text1"/>
        </w:rPr>
        <w:t xml:space="preserve">Akpınar, S.; Yılmaz </w:t>
      </w:r>
      <w:proofErr w:type="spellStart"/>
      <w:r w:rsidRPr="00F23860">
        <w:rPr>
          <w:color w:val="000000" w:themeColor="text1"/>
        </w:rPr>
        <w:t>Çebin</w:t>
      </w:r>
      <w:proofErr w:type="spellEnd"/>
      <w:r w:rsidRPr="00F23860">
        <w:rPr>
          <w:color w:val="000000" w:themeColor="text1"/>
        </w:rPr>
        <w:t xml:space="preserve">, B. (2015). İkinci Yeni Şiirinde Phoenix ve </w:t>
      </w:r>
      <w:proofErr w:type="spellStart"/>
      <w:r w:rsidRPr="00F23860">
        <w:rPr>
          <w:color w:val="000000" w:themeColor="text1"/>
        </w:rPr>
        <w:t>Pan’ın</w:t>
      </w:r>
      <w:proofErr w:type="spellEnd"/>
      <w:r w:rsidRPr="00F23860">
        <w:rPr>
          <w:color w:val="000000" w:themeColor="text1"/>
        </w:rPr>
        <w:t xml:space="preserve"> Simgesel Anlamları. </w:t>
      </w:r>
      <w:proofErr w:type="spellStart"/>
      <w:r w:rsidRPr="00F23860">
        <w:rPr>
          <w:i/>
          <w:iCs/>
          <w:color w:val="000000" w:themeColor="text1"/>
        </w:rPr>
        <w:t>Journal</w:t>
      </w:r>
      <w:proofErr w:type="spellEnd"/>
      <w:r w:rsidRPr="00F23860">
        <w:rPr>
          <w:i/>
          <w:iCs/>
          <w:color w:val="000000" w:themeColor="text1"/>
        </w:rPr>
        <w:t xml:space="preserve"> of International </w:t>
      </w:r>
      <w:proofErr w:type="spellStart"/>
      <w:r w:rsidRPr="00F23860">
        <w:rPr>
          <w:i/>
          <w:iCs/>
          <w:color w:val="000000" w:themeColor="text1"/>
        </w:rPr>
        <w:t>Social</w:t>
      </w:r>
      <w:proofErr w:type="spellEnd"/>
      <w:r w:rsidRPr="00F23860">
        <w:rPr>
          <w:i/>
          <w:iCs/>
          <w:color w:val="000000" w:themeColor="text1"/>
        </w:rPr>
        <w:t xml:space="preserve"> </w:t>
      </w:r>
      <w:proofErr w:type="spellStart"/>
      <w:r w:rsidRPr="00F23860">
        <w:rPr>
          <w:i/>
          <w:iCs/>
          <w:color w:val="000000" w:themeColor="text1"/>
        </w:rPr>
        <w:t>Research</w:t>
      </w:r>
      <w:proofErr w:type="spellEnd"/>
      <w:r w:rsidRPr="00F23860">
        <w:rPr>
          <w:color w:val="000000" w:themeColor="text1"/>
        </w:rPr>
        <w:t>, 8(39).</w:t>
      </w:r>
    </w:p>
    <w:p w14:paraId="5FE72CCC" w14:textId="77777777" w:rsidR="0089759E" w:rsidRPr="00F23860" w:rsidRDefault="0089759E">
      <w:pPr>
        <w:pStyle w:val="ListeParagraf"/>
        <w:numPr>
          <w:ilvl w:val="0"/>
          <w:numId w:val="89"/>
        </w:numPr>
        <w:tabs>
          <w:tab w:val="left" w:pos="567"/>
        </w:tabs>
        <w:autoSpaceDE/>
        <w:autoSpaceDN/>
        <w:jc w:val="both"/>
        <w:rPr>
          <w:color w:val="000000" w:themeColor="text1"/>
        </w:rPr>
      </w:pPr>
      <w:proofErr w:type="spellStart"/>
      <w:r w:rsidRPr="00F23860">
        <w:rPr>
          <w:color w:val="000000" w:themeColor="text1"/>
        </w:rPr>
        <w:t>Aktulum</w:t>
      </w:r>
      <w:proofErr w:type="spellEnd"/>
      <w:r w:rsidRPr="00F23860">
        <w:rPr>
          <w:color w:val="000000" w:themeColor="text1"/>
        </w:rPr>
        <w:t xml:space="preserve">, K. (2000). </w:t>
      </w:r>
      <w:proofErr w:type="spellStart"/>
      <w:r w:rsidRPr="00F23860">
        <w:rPr>
          <w:i/>
          <w:iCs/>
          <w:color w:val="000000" w:themeColor="text1"/>
        </w:rPr>
        <w:t>Metinlerarası</w:t>
      </w:r>
      <w:proofErr w:type="spellEnd"/>
      <w:r w:rsidRPr="00F23860">
        <w:rPr>
          <w:i/>
          <w:iCs/>
          <w:color w:val="000000" w:themeColor="text1"/>
        </w:rPr>
        <w:t xml:space="preserve"> İlişkiler</w:t>
      </w:r>
      <w:r w:rsidRPr="00F23860">
        <w:rPr>
          <w:color w:val="000000" w:themeColor="text1"/>
        </w:rPr>
        <w:t>. Ankara: Öteki Yayınevi.</w:t>
      </w:r>
    </w:p>
    <w:p w14:paraId="42AE871E"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Akyol, İ. (2022). Sezai Karakoç’un Gazelleri</w:t>
      </w:r>
      <w:r w:rsidRPr="00F23860">
        <w:rPr>
          <w:i/>
          <w:iCs/>
          <w:color w:val="000000" w:themeColor="text1"/>
        </w:rPr>
        <w:t xml:space="preserve">. </w:t>
      </w:r>
      <w:r w:rsidRPr="00F23860">
        <w:rPr>
          <w:color w:val="000000" w:themeColor="text1"/>
        </w:rPr>
        <w:t>Şamlıoğlu, K. vd. (</w:t>
      </w:r>
      <w:proofErr w:type="spellStart"/>
      <w:r w:rsidRPr="00F23860">
        <w:rPr>
          <w:color w:val="000000" w:themeColor="text1"/>
        </w:rPr>
        <w:t>Edl</w:t>
      </w:r>
      <w:proofErr w:type="spellEnd"/>
      <w:r w:rsidRPr="00F23860">
        <w:rPr>
          <w:color w:val="000000" w:themeColor="text1"/>
        </w:rPr>
        <w:t xml:space="preserve">.) </w:t>
      </w:r>
      <w:r w:rsidRPr="00F23860">
        <w:rPr>
          <w:i/>
          <w:iCs/>
          <w:color w:val="000000" w:themeColor="text1"/>
        </w:rPr>
        <w:t>Tüm Yönleriyle Sezai Karakoç, Şiir Anlayışı</w:t>
      </w:r>
      <w:r w:rsidRPr="00F23860">
        <w:rPr>
          <w:color w:val="000000" w:themeColor="text1"/>
        </w:rPr>
        <w:t xml:space="preserve"> içinde (s. 97-106). Bursa: Ekin Yayınevi. </w:t>
      </w:r>
    </w:p>
    <w:p w14:paraId="3C827126"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proofErr w:type="spellStart"/>
      <w:r w:rsidRPr="00F23860">
        <w:rPr>
          <w:color w:val="000000" w:themeColor="text1"/>
        </w:rPr>
        <w:t>Bakhtin</w:t>
      </w:r>
      <w:proofErr w:type="spellEnd"/>
      <w:r w:rsidRPr="00F23860">
        <w:rPr>
          <w:color w:val="000000" w:themeColor="text1"/>
        </w:rPr>
        <w:t xml:space="preserve">, M. (2000). </w:t>
      </w:r>
      <w:r w:rsidRPr="00F23860">
        <w:rPr>
          <w:i/>
          <w:iCs/>
          <w:color w:val="000000" w:themeColor="text1"/>
        </w:rPr>
        <w:t>Karnavaldan Romana, Edebiyat Teorisinden Dil Felsefesine Seçme Yazılar</w:t>
      </w:r>
      <w:r w:rsidRPr="00F23860">
        <w:rPr>
          <w:color w:val="000000" w:themeColor="text1"/>
        </w:rPr>
        <w:t xml:space="preserve">. </w:t>
      </w:r>
      <w:proofErr w:type="spellStart"/>
      <w:r w:rsidRPr="00F23860">
        <w:rPr>
          <w:color w:val="000000" w:themeColor="text1"/>
        </w:rPr>
        <w:t>Irzık</w:t>
      </w:r>
      <w:proofErr w:type="spellEnd"/>
      <w:r w:rsidRPr="00F23860">
        <w:rPr>
          <w:color w:val="000000" w:themeColor="text1"/>
        </w:rPr>
        <w:t xml:space="preserve">, S. (Der.) </w:t>
      </w:r>
      <w:proofErr w:type="spellStart"/>
      <w:r w:rsidRPr="00F23860">
        <w:rPr>
          <w:color w:val="000000" w:themeColor="text1"/>
        </w:rPr>
        <w:t>Soydemir</w:t>
      </w:r>
      <w:proofErr w:type="spellEnd"/>
      <w:r w:rsidRPr="00F23860">
        <w:rPr>
          <w:color w:val="000000" w:themeColor="text1"/>
        </w:rPr>
        <w:t>, C. (Çev.). İstanbul: Ayrıntı Yayınları.</w:t>
      </w:r>
    </w:p>
    <w:p w14:paraId="733BA42E"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proofErr w:type="spellStart"/>
      <w:r w:rsidRPr="00F23860">
        <w:rPr>
          <w:color w:val="000000" w:themeColor="text1"/>
        </w:rPr>
        <w:t>Coleman</w:t>
      </w:r>
      <w:proofErr w:type="spellEnd"/>
      <w:r w:rsidRPr="00F23860">
        <w:rPr>
          <w:color w:val="000000" w:themeColor="text1"/>
        </w:rPr>
        <w:t xml:space="preserve">, J.A. (2007). </w:t>
      </w:r>
      <w:proofErr w:type="spellStart"/>
      <w:r w:rsidRPr="00F23860">
        <w:rPr>
          <w:i/>
          <w:iCs/>
          <w:color w:val="000000" w:themeColor="text1"/>
        </w:rPr>
        <w:t>The</w:t>
      </w:r>
      <w:proofErr w:type="spellEnd"/>
      <w:r w:rsidRPr="00F23860">
        <w:rPr>
          <w:i/>
          <w:iCs/>
          <w:color w:val="000000" w:themeColor="text1"/>
        </w:rPr>
        <w:t xml:space="preserve"> Dictionary of Mythology An A-Z of </w:t>
      </w:r>
      <w:proofErr w:type="spellStart"/>
      <w:r w:rsidRPr="00F23860">
        <w:rPr>
          <w:i/>
          <w:iCs/>
          <w:color w:val="000000" w:themeColor="text1"/>
        </w:rPr>
        <w:t>Themes</w:t>
      </w:r>
      <w:proofErr w:type="spellEnd"/>
      <w:r w:rsidRPr="00F23860">
        <w:rPr>
          <w:i/>
          <w:iCs/>
          <w:color w:val="000000" w:themeColor="text1"/>
        </w:rPr>
        <w:t xml:space="preserve">, </w:t>
      </w:r>
      <w:proofErr w:type="spellStart"/>
      <w:r w:rsidRPr="00F23860">
        <w:rPr>
          <w:i/>
          <w:iCs/>
          <w:color w:val="000000" w:themeColor="text1"/>
        </w:rPr>
        <w:t>Legends</w:t>
      </w:r>
      <w:proofErr w:type="spellEnd"/>
      <w:r w:rsidRPr="00F23860">
        <w:rPr>
          <w:i/>
          <w:iCs/>
          <w:color w:val="000000" w:themeColor="text1"/>
        </w:rPr>
        <w:t xml:space="preserve"> </w:t>
      </w:r>
      <w:proofErr w:type="spellStart"/>
      <w:r w:rsidRPr="00F23860">
        <w:rPr>
          <w:i/>
          <w:iCs/>
          <w:color w:val="000000" w:themeColor="text1"/>
        </w:rPr>
        <w:t>and</w:t>
      </w:r>
      <w:proofErr w:type="spellEnd"/>
      <w:r w:rsidRPr="00F23860">
        <w:rPr>
          <w:i/>
          <w:iCs/>
          <w:color w:val="000000" w:themeColor="text1"/>
        </w:rPr>
        <w:t xml:space="preserve"> </w:t>
      </w:r>
      <w:proofErr w:type="spellStart"/>
      <w:r w:rsidRPr="00F23860">
        <w:rPr>
          <w:i/>
          <w:iCs/>
          <w:color w:val="000000" w:themeColor="text1"/>
        </w:rPr>
        <w:t>Heros</w:t>
      </w:r>
      <w:proofErr w:type="spellEnd"/>
      <w:r w:rsidRPr="00F23860">
        <w:rPr>
          <w:i/>
          <w:iCs/>
          <w:color w:val="000000" w:themeColor="text1"/>
        </w:rPr>
        <w:t>,</w:t>
      </w:r>
      <w:r w:rsidRPr="00F23860">
        <w:rPr>
          <w:color w:val="000000" w:themeColor="text1"/>
        </w:rPr>
        <w:t xml:space="preserve"> </w:t>
      </w:r>
      <w:proofErr w:type="spellStart"/>
      <w:r w:rsidRPr="00F23860">
        <w:rPr>
          <w:color w:val="000000" w:themeColor="text1"/>
        </w:rPr>
        <w:t>London</w:t>
      </w:r>
      <w:proofErr w:type="spellEnd"/>
      <w:r w:rsidRPr="00F23860">
        <w:rPr>
          <w:color w:val="000000" w:themeColor="text1"/>
        </w:rPr>
        <w:t xml:space="preserve">: </w:t>
      </w:r>
      <w:proofErr w:type="spellStart"/>
      <w:r w:rsidRPr="00F23860">
        <w:rPr>
          <w:color w:val="000000" w:themeColor="text1"/>
        </w:rPr>
        <w:t>Arcturus</w:t>
      </w:r>
      <w:proofErr w:type="spellEnd"/>
      <w:r w:rsidRPr="00F23860">
        <w:rPr>
          <w:color w:val="000000" w:themeColor="text1"/>
        </w:rPr>
        <w:t xml:space="preserve"> Publishing Limited.</w:t>
      </w:r>
    </w:p>
    <w:p w14:paraId="52166FB2"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Güler, Z. (2014). Şeyh </w:t>
      </w:r>
      <w:proofErr w:type="spellStart"/>
      <w:r w:rsidRPr="00F23860">
        <w:rPr>
          <w:color w:val="000000" w:themeColor="text1"/>
        </w:rPr>
        <w:t>Galib</w:t>
      </w:r>
      <w:proofErr w:type="spellEnd"/>
      <w:r w:rsidRPr="00F23860">
        <w:rPr>
          <w:color w:val="000000" w:themeColor="text1"/>
        </w:rPr>
        <w:t xml:space="preserve"> Divanında Anka-</w:t>
      </w:r>
      <w:proofErr w:type="spellStart"/>
      <w:r w:rsidRPr="00F23860">
        <w:rPr>
          <w:color w:val="000000" w:themeColor="text1"/>
        </w:rPr>
        <w:t>Simurg</w:t>
      </w:r>
      <w:proofErr w:type="spellEnd"/>
      <w:r w:rsidRPr="00F23860">
        <w:rPr>
          <w:color w:val="000000" w:themeColor="text1"/>
        </w:rPr>
        <w:t xml:space="preserve"> Sembolü. </w:t>
      </w:r>
      <w:r w:rsidRPr="00F23860">
        <w:rPr>
          <w:i/>
          <w:iCs/>
          <w:color w:val="000000" w:themeColor="text1"/>
        </w:rPr>
        <w:t xml:space="preserve">International </w:t>
      </w:r>
      <w:proofErr w:type="spellStart"/>
      <w:r w:rsidRPr="00F23860">
        <w:rPr>
          <w:i/>
          <w:iCs/>
          <w:color w:val="000000" w:themeColor="text1"/>
        </w:rPr>
        <w:t>Journal</w:t>
      </w:r>
      <w:proofErr w:type="spellEnd"/>
      <w:r w:rsidRPr="00F23860">
        <w:rPr>
          <w:i/>
          <w:iCs/>
          <w:color w:val="000000" w:themeColor="text1"/>
        </w:rPr>
        <w:t xml:space="preserve"> of Language Academy.</w:t>
      </w:r>
      <w:r w:rsidRPr="00F23860">
        <w:rPr>
          <w:color w:val="000000" w:themeColor="text1"/>
        </w:rPr>
        <w:t xml:space="preserve"> Volume 2/1 Spring 2014, </w:t>
      </w:r>
      <w:proofErr w:type="spellStart"/>
      <w:r w:rsidRPr="00F23860">
        <w:rPr>
          <w:color w:val="000000" w:themeColor="text1"/>
        </w:rPr>
        <w:t>ss</w:t>
      </w:r>
      <w:proofErr w:type="spellEnd"/>
      <w:r w:rsidRPr="00F23860">
        <w:rPr>
          <w:color w:val="000000" w:themeColor="text1"/>
        </w:rPr>
        <w:t>. 63/72.</w:t>
      </w:r>
    </w:p>
    <w:p w14:paraId="41C7EA96"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Gündüz, O. (2013). İkinci yeni şiiri içinde geleneği sürdüren şair: Sezai Karakoç. </w:t>
      </w:r>
      <w:r w:rsidRPr="00F23860">
        <w:rPr>
          <w:i/>
          <w:iCs/>
          <w:color w:val="000000" w:themeColor="text1"/>
        </w:rPr>
        <w:t>Muhafazakâr Düşünce Dergisi,</w:t>
      </w:r>
      <w:r w:rsidRPr="00F23860">
        <w:rPr>
          <w:color w:val="000000" w:themeColor="text1"/>
        </w:rPr>
        <w:t xml:space="preserve"> 10(38), </w:t>
      </w:r>
      <w:proofErr w:type="spellStart"/>
      <w:r w:rsidRPr="00F23860">
        <w:rPr>
          <w:color w:val="000000" w:themeColor="text1"/>
        </w:rPr>
        <w:t>ss</w:t>
      </w:r>
      <w:proofErr w:type="spellEnd"/>
      <w:r w:rsidRPr="00F23860">
        <w:rPr>
          <w:color w:val="000000" w:themeColor="text1"/>
        </w:rPr>
        <w:t>. 53-81.</w:t>
      </w:r>
    </w:p>
    <w:p w14:paraId="2D7F5E0D"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Güneş, E. (2023). Sezai Karakoç ve Sinema. </w:t>
      </w:r>
      <w:r w:rsidRPr="00F23860">
        <w:rPr>
          <w:i/>
          <w:iCs/>
          <w:color w:val="000000" w:themeColor="text1"/>
        </w:rPr>
        <w:t>Kahramanmaraş Sütçü İmam Üniversitesi Sosyal Bilimler Dergisi</w:t>
      </w:r>
      <w:r w:rsidRPr="00F23860">
        <w:rPr>
          <w:color w:val="000000" w:themeColor="text1"/>
        </w:rPr>
        <w:t xml:space="preserve">, 20(2), </w:t>
      </w:r>
      <w:proofErr w:type="spellStart"/>
      <w:r w:rsidRPr="00F23860">
        <w:rPr>
          <w:color w:val="000000" w:themeColor="text1"/>
        </w:rPr>
        <w:t>ss</w:t>
      </w:r>
      <w:proofErr w:type="spellEnd"/>
      <w:r w:rsidRPr="00F23860">
        <w:rPr>
          <w:color w:val="000000" w:themeColor="text1"/>
        </w:rPr>
        <w:t>. 404-409.</w:t>
      </w:r>
    </w:p>
    <w:p w14:paraId="0A47DF3C" w14:textId="77777777" w:rsidR="0089759E" w:rsidRPr="00F23860" w:rsidRDefault="0089759E">
      <w:pPr>
        <w:pStyle w:val="ListeParagraf"/>
        <w:widowControl/>
        <w:numPr>
          <w:ilvl w:val="0"/>
          <w:numId w:val="89"/>
        </w:numPr>
        <w:autoSpaceDE/>
        <w:autoSpaceDN/>
        <w:jc w:val="both"/>
        <w:rPr>
          <w:color w:val="000000" w:themeColor="text1"/>
        </w:rPr>
      </w:pPr>
      <w:r w:rsidRPr="00F23860">
        <w:rPr>
          <w:color w:val="000000" w:themeColor="text1"/>
        </w:rPr>
        <w:t xml:space="preserve">Akalın, Ş. H. (2011). </w:t>
      </w:r>
      <w:r w:rsidRPr="00F23860">
        <w:rPr>
          <w:i/>
          <w:iCs/>
          <w:color w:val="000000" w:themeColor="text1"/>
        </w:rPr>
        <w:t>Türkçe Sözlük.</w:t>
      </w:r>
      <w:r w:rsidRPr="00F23860">
        <w:rPr>
          <w:color w:val="000000" w:themeColor="text1"/>
        </w:rPr>
        <w:t xml:space="preserve">  Ankara: Türk Dil kurumu Yayınları.</w:t>
      </w:r>
    </w:p>
    <w:p w14:paraId="024BB15B"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Işık, İ. (2019). Nedim’den Sezai Karakoç’a, Sinemadan </w:t>
      </w:r>
      <w:proofErr w:type="gramStart"/>
      <w:r w:rsidRPr="00F23860">
        <w:rPr>
          <w:color w:val="000000" w:themeColor="text1"/>
        </w:rPr>
        <w:t>Cumaya</w:t>
      </w:r>
      <w:proofErr w:type="gramEnd"/>
      <w:r w:rsidRPr="00F23860">
        <w:rPr>
          <w:color w:val="000000" w:themeColor="text1"/>
        </w:rPr>
        <w:t xml:space="preserve">, Düşüncenin Ve Mekânın Dönüşümü. </w:t>
      </w:r>
      <w:r w:rsidRPr="00F23860">
        <w:rPr>
          <w:i/>
          <w:iCs/>
          <w:color w:val="000000" w:themeColor="text1"/>
        </w:rPr>
        <w:t>Atatürk Üniversitesi Edebiyat Fakültesi Dergisi</w:t>
      </w:r>
      <w:r w:rsidRPr="00F23860">
        <w:rPr>
          <w:color w:val="000000" w:themeColor="text1"/>
        </w:rPr>
        <w:t xml:space="preserve">, (63), </w:t>
      </w:r>
      <w:proofErr w:type="spellStart"/>
      <w:r w:rsidRPr="00F23860">
        <w:rPr>
          <w:color w:val="000000" w:themeColor="text1"/>
        </w:rPr>
        <w:t>ss</w:t>
      </w:r>
      <w:proofErr w:type="spellEnd"/>
      <w:r w:rsidRPr="00F23860">
        <w:rPr>
          <w:color w:val="000000" w:themeColor="text1"/>
        </w:rPr>
        <w:t>. 325-339.</w:t>
      </w:r>
    </w:p>
    <w:p w14:paraId="2CDF9826"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Karakoç, S. (2014). </w:t>
      </w:r>
      <w:r w:rsidRPr="00F23860">
        <w:rPr>
          <w:i/>
          <w:iCs/>
          <w:color w:val="000000" w:themeColor="text1"/>
        </w:rPr>
        <w:t>Edebiyat Yazıları I.</w:t>
      </w:r>
      <w:r w:rsidRPr="00F23860">
        <w:rPr>
          <w:color w:val="000000" w:themeColor="text1"/>
        </w:rPr>
        <w:t xml:space="preserve"> İstanbul: Diriliş Yayınları.</w:t>
      </w:r>
    </w:p>
    <w:p w14:paraId="18DCA41B"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Karakoç, S. (1998). </w:t>
      </w:r>
      <w:r w:rsidRPr="00F23860">
        <w:rPr>
          <w:i/>
          <w:iCs/>
          <w:color w:val="000000" w:themeColor="text1"/>
        </w:rPr>
        <w:t xml:space="preserve">Şiirler VII, Ateş Dansı. </w:t>
      </w:r>
      <w:r w:rsidRPr="00F23860">
        <w:rPr>
          <w:color w:val="000000" w:themeColor="text1"/>
        </w:rPr>
        <w:t>İstanbul: Diriliş Yayınları.</w:t>
      </w:r>
    </w:p>
    <w:p w14:paraId="63905010"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Macit, M. (1997). </w:t>
      </w:r>
      <w:proofErr w:type="spellStart"/>
      <w:r w:rsidRPr="00F23860">
        <w:rPr>
          <w:i/>
          <w:iCs/>
          <w:color w:val="000000" w:themeColor="text1"/>
        </w:rPr>
        <w:t>Nedîm</w:t>
      </w:r>
      <w:proofErr w:type="spellEnd"/>
      <w:r w:rsidRPr="00F23860">
        <w:rPr>
          <w:i/>
          <w:iCs/>
          <w:color w:val="000000" w:themeColor="text1"/>
        </w:rPr>
        <w:t xml:space="preserve"> Divanı.</w:t>
      </w:r>
      <w:r w:rsidRPr="00F23860">
        <w:rPr>
          <w:color w:val="000000" w:themeColor="text1"/>
        </w:rPr>
        <w:t xml:space="preserve"> Ankara: Akçağ Yayınları.</w:t>
      </w:r>
    </w:p>
    <w:p w14:paraId="325C4EC1"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Okçu, N. (1993). </w:t>
      </w:r>
      <w:r w:rsidRPr="00F23860">
        <w:rPr>
          <w:i/>
          <w:iCs/>
          <w:color w:val="000000" w:themeColor="text1"/>
        </w:rPr>
        <w:t xml:space="preserve">Şeyh </w:t>
      </w:r>
      <w:proofErr w:type="spellStart"/>
      <w:r w:rsidRPr="00F23860">
        <w:rPr>
          <w:i/>
          <w:iCs/>
          <w:color w:val="000000" w:themeColor="text1"/>
        </w:rPr>
        <w:t>Gâlib</w:t>
      </w:r>
      <w:proofErr w:type="spellEnd"/>
      <w:r w:rsidRPr="00F23860">
        <w:rPr>
          <w:i/>
          <w:iCs/>
          <w:color w:val="000000" w:themeColor="text1"/>
        </w:rPr>
        <w:t xml:space="preserve"> (Hayatı, Edebî Kişiliği, Eserleri, Şiirlerinin </w:t>
      </w:r>
      <w:proofErr w:type="spellStart"/>
      <w:r w:rsidRPr="00F23860">
        <w:rPr>
          <w:i/>
          <w:iCs/>
          <w:color w:val="000000" w:themeColor="text1"/>
        </w:rPr>
        <w:t>Umûmî</w:t>
      </w:r>
      <w:proofErr w:type="spellEnd"/>
      <w:r w:rsidRPr="00F23860">
        <w:rPr>
          <w:i/>
          <w:iCs/>
          <w:color w:val="000000" w:themeColor="text1"/>
        </w:rPr>
        <w:t xml:space="preserve"> </w:t>
      </w:r>
      <w:proofErr w:type="spellStart"/>
      <w:r w:rsidRPr="00F23860">
        <w:rPr>
          <w:i/>
          <w:iCs/>
          <w:color w:val="000000" w:themeColor="text1"/>
        </w:rPr>
        <w:t>Tahlîli</w:t>
      </w:r>
      <w:proofErr w:type="spellEnd"/>
      <w:r w:rsidRPr="00F23860">
        <w:rPr>
          <w:i/>
          <w:iCs/>
          <w:color w:val="000000" w:themeColor="text1"/>
        </w:rPr>
        <w:t xml:space="preserve"> ve </w:t>
      </w:r>
      <w:proofErr w:type="spellStart"/>
      <w:r w:rsidRPr="00F23860">
        <w:rPr>
          <w:i/>
          <w:iCs/>
          <w:color w:val="000000" w:themeColor="text1"/>
        </w:rPr>
        <w:t>Divânının</w:t>
      </w:r>
      <w:proofErr w:type="spellEnd"/>
      <w:r w:rsidRPr="00F23860">
        <w:rPr>
          <w:i/>
          <w:iCs/>
          <w:color w:val="000000" w:themeColor="text1"/>
        </w:rPr>
        <w:t xml:space="preserve"> </w:t>
      </w:r>
      <w:proofErr w:type="spellStart"/>
      <w:r w:rsidRPr="00F23860">
        <w:rPr>
          <w:i/>
          <w:iCs/>
          <w:color w:val="000000" w:themeColor="text1"/>
        </w:rPr>
        <w:t>Tenkidlî</w:t>
      </w:r>
      <w:proofErr w:type="spellEnd"/>
      <w:r w:rsidRPr="00F23860">
        <w:rPr>
          <w:i/>
          <w:iCs/>
          <w:color w:val="000000" w:themeColor="text1"/>
        </w:rPr>
        <w:t xml:space="preserve"> Metni). </w:t>
      </w:r>
      <w:r w:rsidRPr="00F23860">
        <w:rPr>
          <w:color w:val="000000" w:themeColor="text1"/>
        </w:rPr>
        <w:t>Ankara: Kültür Bakanlığı Yayınları.</w:t>
      </w:r>
    </w:p>
    <w:p w14:paraId="1A460CE5" w14:textId="77777777" w:rsidR="0089759E" w:rsidRPr="00F23860" w:rsidRDefault="0089759E">
      <w:pPr>
        <w:pStyle w:val="ListeParagraf"/>
        <w:widowControl/>
        <w:numPr>
          <w:ilvl w:val="0"/>
          <w:numId w:val="89"/>
        </w:numPr>
        <w:tabs>
          <w:tab w:val="left" w:pos="567"/>
        </w:tabs>
        <w:autoSpaceDE/>
        <w:autoSpaceDN/>
        <w:jc w:val="both"/>
        <w:rPr>
          <w:color w:val="000000" w:themeColor="text1"/>
        </w:rPr>
      </w:pPr>
      <w:r w:rsidRPr="00F23860">
        <w:rPr>
          <w:color w:val="000000" w:themeColor="text1"/>
        </w:rPr>
        <w:t xml:space="preserve">Pala, İ. (1998). </w:t>
      </w:r>
      <w:r w:rsidRPr="00F23860">
        <w:rPr>
          <w:i/>
          <w:iCs/>
          <w:color w:val="000000" w:themeColor="text1"/>
        </w:rPr>
        <w:t>Ansiklopedik Divan Şiiri Sözlüğü</w:t>
      </w:r>
      <w:r w:rsidRPr="00F23860">
        <w:rPr>
          <w:color w:val="000000" w:themeColor="text1"/>
        </w:rPr>
        <w:t>. İstanbul: Ötüken Yayınları.</w:t>
      </w:r>
    </w:p>
    <w:p w14:paraId="0C696B4F" w14:textId="77777777" w:rsidR="0089759E" w:rsidRPr="00F23860" w:rsidRDefault="0089759E">
      <w:pPr>
        <w:pStyle w:val="ListeParagraf"/>
        <w:numPr>
          <w:ilvl w:val="0"/>
          <w:numId w:val="89"/>
        </w:numPr>
        <w:tabs>
          <w:tab w:val="left" w:pos="567"/>
        </w:tabs>
        <w:autoSpaceDE/>
        <w:autoSpaceDN/>
        <w:jc w:val="both"/>
        <w:rPr>
          <w:color w:val="000000" w:themeColor="text1"/>
        </w:rPr>
      </w:pPr>
      <w:proofErr w:type="spellStart"/>
      <w:r w:rsidRPr="00F23860">
        <w:rPr>
          <w:color w:val="000000" w:themeColor="text1"/>
        </w:rPr>
        <w:t>Rose</w:t>
      </w:r>
      <w:proofErr w:type="spellEnd"/>
      <w:r w:rsidRPr="00F23860">
        <w:rPr>
          <w:color w:val="000000" w:themeColor="text1"/>
        </w:rPr>
        <w:t xml:space="preserve">, M. A. (2016). </w:t>
      </w:r>
      <w:r w:rsidRPr="00F23860">
        <w:rPr>
          <w:i/>
          <w:iCs/>
          <w:color w:val="000000" w:themeColor="text1"/>
        </w:rPr>
        <w:t xml:space="preserve">Parodi: Antik, Modern ve </w:t>
      </w:r>
      <w:proofErr w:type="spellStart"/>
      <w:r w:rsidRPr="00F23860">
        <w:rPr>
          <w:i/>
          <w:iCs/>
          <w:color w:val="000000" w:themeColor="text1"/>
        </w:rPr>
        <w:t>Postmodern</w:t>
      </w:r>
      <w:proofErr w:type="spellEnd"/>
      <w:r w:rsidRPr="00F23860">
        <w:rPr>
          <w:i/>
          <w:iCs/>
          <w:color w:val="000000" w:themeColor="text1"/>
        </w:rPr>
        <w:t>.</w:t>
      </w:r>
      <w:r w:rsidRPr="00F23860">
        <w:rPr>
          <w:color w:val="000000" w:themeColor="text1"/>
        </w:rPr>
        <w:t xml:space="preserve"> Cansu D. (Çev.). Ankara: Hece Yayınları.</w:t>
      </w:r>
    </w:p>
    <w:p w14:paraId="43467F6E" w14:textId="77777777" w:rsidR="0089759E" w:rsidRPr="004C4B53" w:rsidRDefault="0089759E" w:rsidP="0089759E">
      <w:pPr>
        <w:tabs>
          <w:tab w:val="left" w:pos="567"/>
        </w:tabs>
        <w:jc w:val="both"/>
        <w:rPr>
          <w:color w:val="000000" w:themeColor="text1"/>
        </w:rPr>
      </w:pPr>
      <w:proofErr w:type="spellStart"/>
      <w:r w:rsidRPr="004C4B53">
        <w:rPr>
          <w:color w:val="000000" w:themeColor="text1"/>
        </w:rPr>
        <w:t>Sazyek</w:t>
      </w:r>
      <w:proofErr w:type="spellEnd"/>
      <w:r w:rsidRPr="004C4B53">
        <w:rPr>
          <w:color w:val="000000" w:themeColor="text1"/>
        </w:rPr>
        <w:t xml:space="preserve">, H. (2013). </w:t>
      </w:r>
      <w:r w:rsidRPr="004C4B53">
        <w:rPr>
          <w:i/>
          <w:iCs/>
          <w:color w:val="000000" w:themeColor="text1"/>
        </w:rPr>
        <w:t>Roman Terimleri Sözlüğü.</w:t>
      </w:r>
      <w:r w:rsidRPr="004C4B53">
        <w:rPr>
          <w:color w:val="000000" w:themeColor="text1"/>
        </w:rPr>
        <w:t xml:space="preserve"> Ankara: Hece Yayınları. </w:t>
      </w:r>
    </w:p>
    <w:p w14:paraId="02936E9D" w14:textId="77777777" w:rsidR="0089759E" w:rsidRPr="007A47E0" w:rsidRDefault="0089759E" w:rsidP="0089759E">
      <w:pPr>
        <w:jc w:val="both"/>
      </w:pPr>
      <w:r w:rsidRPr="00413AB2">
        <w:rPr>
          <w:color w:val="000000" w:themeColor="text1"/>
        </w:rPr>
        <w:t xml:space="preserve">Sürgit, B. (2015). Edebiyat Geleneğiyle Kurduğu İlişki Açısından Sezai Karakoç’un “Gazel” Şiiri. </w:t>
      </w:r>
      <w:proofErr w:type="spellStart"/>
      <w:r w:rsidRPr="00413AB2">
        <w:rPr>
          <w:i/>
          <w:iCs/>
          <w:color w:val="000000" w:themeColor="text1"/>
        </w:rPr>
        <w:t>Journal</w:t>
      </w:r>
      <w:proofErr w:type="spellEnd"/>
      <w:r w:rsidRPr="00413AB2">
        <w:rPr>
          <w:i/>
          <w:iCs/>
          <w:color w:val="000000" w:themeColor="text1"/>
        </w:rPr>
        <w:t xml:space="preserve"> of </w:t>
      </w:r>
      <w:proofErr w:type="spellStart"/>
      <w:r w:rsidRPr="00413AB2">
        <w:rPr>
          <w:i/>
          <w:iCs/>
          <w:color w:val="000000" w:themeColor="text1"/>
        </w:rPr>
        <w:t>Turkish</w:t>
      </w:r>
      <w:proofErr w:type="spellEnd"/>
      <w:r w:rsidRPr="00413AB2">
        <w:rPr>
          <w:i/>
          <w:iCs/>
          <w:color w:val="000000" w:themeColor="text1"/>
        </w:rPr>
        <w:t xml:space="preserve"> Language </w:t>
      </w:r>
      <w:proofErr w:type="spellStart"/>
      <w:r w:rsidRPr="00413AB2">
        <w:rPr>
          <w:i/>
          <w:iCs/>
          <w:color w:val="000000" w:themeColor="text1"/>
        </w:rPr>
        <w:t>and</w:t>
      </w:r>
      <w:proofErr w:type="spellEnd"/>
      <w:r w:rsidRPr="00413AB2">
        <w:rPr>
          <w:i/>
          <w:iCs/>
          <w:color w:val="000000" w:themeColor="text1"/>
        </w:rPr>
        <w:t xml:space="preserve"> </w:t>
      </w:r>
      <w:proofErr w:type="spellStart"/>
      <w:r w:rsidRPr="00413AB2">
        <w:rPr>
          <w:i/>
          <w:iCs/>
          <w:color w:val="000000" w:themeColor="text1"/>
        </w:rPr>
        <w:t>Literature</w:t>
      </w:r>
      <w:proofErr w:type="spellEnd"/>
      <w:r w:rsidRPr="00413AB2">
        <w:rPr>
          <w:i/>
          <w:iCs/>
          <w:color w:val="000000" w:themeColor="text1"/>
        </w:rPr>
        <w:t>,</w:t>
      </w:r>
      <w:r w:rsidRPr="00413AB2">
        <w:rPr>
          <w:color w:val="000000" w:themeColor="text1"/>
        </w:rPr>
        <w:t xml:space="preserve"> 50(50), </w:t>
      </w:r>
      <w:proofErr w:type="spellStart"/>
      <w:r>
        <w:rPr>
          <w:color w:val="000000" w:themeColor="text1"/>
        </w:rPr>
        <w:t>ss</w:t>
      </w:r>
      <w:proofErr w:type="spellEnd"/>
      <w:r>
        <w:rPr>
          <w:color w:val="000000" w:themeColor="text1"/>
        </w:rPr>
        <w:t xml:space="preserve">. </w:t>
      </w:r>
      <w:r w:rsidRPr="00413AB2">
        <w:rPr>
          <w:color w:val="000000" w:themeColor="text1"/>
        </w:rPr>
        <w:t>97-112.</w:t>
      </w:r>
    </w:p>
    <w:p w14:paraId="6D0733BB" w14:textId="77777777" w:rsidR="0089759E" w:rsidRPr="007A47E0" w:rsidRDefault="0089759E" w:rsidP="0089759E">
      <w:pPr>
        <w:jc w:val="both"/>
      </w:pPr>
    </w:p>
    <w:p w14:paraId="48587DB4" w14:textId="77777777" w:rsidR="0089759E" w:rsidRDefault="0089759E" w:rsidP="0089759E">
      <w:pPr>
        <w:tabs>
          <w:tab w:val="left" w:pos="2647"/>
        </w:tabs>
        <w:jc w:val="both"/>
      </w:pPr>
    </w:p>
    <w:p w14:paraId="05DB3B09" w14:textId="77777777" w:rsidR="0089759E" w:rsidRDefault="0089759E" w:rsidP="0089759E">
      <w:pPr>
        <w:tabs>
          <w:tab w:val="left" w:pos="2647"/>
        </w:tabs>
        <w:jc w:val="both"/>
      </w:pPr>
    </w:p>
    <w:p w14:paraId="4674772D" w14:textId="63A2C1F8" w:rsidR="0089759E" w:rsidRDefault="0089759E">
      <w:pPr>
        <w:autoSpaceDE/>
        <w:autoSpaceDN/>
      </w:pPr>
      <w:r>
        <w:br w:type="page"/>
      </w:r>
    </w:p>
    <w:p w14:paraId="31EB13B5" w14:textId="77777777" w:rsidR="0089759E" w:rsidRDefault="0089759E" w:rsidP="0089759E">
      <w:pPr>
        <w:rPr>
          <w:b/>
        </w:rPr>
      </w:pPr>
    </w:p>
    <w:p w14:paraId="04944696" w14:textId="75E6CA48" w:rsidR="00B470AD" w:rsidRDefault="00B470AD" w:rsidP="00B470AD">
      <w:pPr>
        <w:jc w:val="center"/>
        <w:rPr>
          <w:b/>
        </w:rPr>
      </w:pPr>
      <w:r>
        <w:rPr>
          <w:b/>
        </w:rPr>
        <w:t>Kültürel Miras Sadece “Geçmişi” mi Temsil Eder?</w:t>
      </w:r>
    </w:p>
    <w:p w14:paraId="4764A855" w14:textId="77777777" w:rsidR="00B470AD" w:rsidRDefault="00B470AD" w:rsidP="00B470AD">
      <w:pPr>
        <w:jc w:val="center"/>
      </w:pPr>
    </w:p>
    <w:p w14:paraId="7B9A956C" w14:textId="77777777" w:rsidR="00B470AD" w:rsidRPr="008A4B35" w:rsidRDefault="00B470AD" w:rsidP="00B470AD">
      <w:pPr>
        <w:jc w:val="center"/>
      </w:pPr>
      <w:r w:rsidRPr="008A4B35">
        <w:t>Yılmaz Kaval</w:t>
      </w:r>
    </w:p>
    <w:p w14:paraId="74635A8D" w14:textId="77777777" w:rsidR="00B470AD" w:rsidRPr="008A4B35" w:rsidRDefault="00B470AD" w:rsidP="00B470AD">
      <w:pPr>
        <w:jc w:val="center"/>
      </w:pPr>
      <w:r w:rsidRPr="008A4B35">
        <w:t>Dr. Öğr. Üyesi Munzur Üniversitesi, Türk Dili ve Edebiyatı Bölümü yilmazkaval@munzur.edu.tr</w:t>
      </w:r>
    </w:p>
    <w:p w14:paraId="2295B8E7" w14:textId="77777777" w:rsidR="00B470AD" w:rsidRPr="008A4B35" w:rsidRDefault="00B470AD" w:rsidP="00B470AD">
      <w:pPr>
        <w:jc w:val="center"/>
      </w:pPr>
      <w:r w:rsidRPr="008A4B35">
        <w:t>ORCID ID: 0000-0002-5598-0670</w:t>
      </w:r>
    </w:p>
    <w:p w14:paraId="64E33C20" w14:textId="77777777" w:rsidR="00B470AD" w:rsidRDefault="00B470AD" w:rsidP="00B470AD">
      <w:pPr>
        <w:jc w:val="center"/>
        <w:rPr>
          <w:b/>
        </w:rPr>
      </w:pPr>
    </w:p>
    <w:p w14:paraId="7C867907" w14:textId="77777777" w:rsidR="00B470AD" w:rsidRDefault="00B470AD" w:rsidP="00B470AD">
      <w:pPr>
        <w:jc w:val="center"/>
        <w:rPr>
          <w:b/>
        </w:rPr>
      </w:pPr>
      <w:r>
        <w:rPr>
          <w:b/>
        </w:rPr>
        <w:t>Özet</w:t>
      </w:r>
    </w:p>
    <w:p w14:paraId="4DDE06D7" w14:textId="77777777" w:rsidR="00B470AD" w:rsidRPr="00DD1A04" w:rsidRDefault="00B470AD" w:rsidP="00B470AD">
      <w:pPr>
        <w:jc w:val="both"/>
        <w:rPr>
          <w:color w:val="000000" w:themeColor="text1"/>
        </w:rPr>
      </w:pPr>
      <w:r w:rsidRPr="00DD1A04">
        <w:rPr>
          <w:color w:val="000000" w:themeColor="text1"/>
        </w:rPr>
        <w:t>İnsanoğlunun en eski devirlerden itibaren meydana getirdiği ve gelecek nesillere çeşitli şekillerde aktardığı kültürel miras ürünleri, meydana getiriliş şekli ile çoğunlukla geçmişin temsilleri olarak kabul edilir. Konu ile ilgili hem dünyada hem de Türkiye’de araştırma yapan, görüş bildiren uzmanlar her ne kadar kültürel mirasın geçmiş</w:t>
      </w:r>
      <w:r>
        <w:rPr>
          <w:color w:val="000000" w:themeColor="text1"/>
        </w:rPr>
        <w:t xml:space="preserve"> </w:t>
      </w:r>
      <w:r w:rsidRPr="00DD1A04">
        <w:rPr>
          <w:color w:val="000000" w:themeColor="text1"/>
        </w:rPr>
        <w:t xml:space="preserve">ve geleceği kapsadığını belirtseler de toplumun büyük kısmında kültürel miras, sadece geçmiş ile ilişkilendirilmektedir. Ancak dikkatli bir şekilde bakıldığında kültürel miras ürünleri hiçbir zaman yaratıldıkları dönemdeki ilk şekli ile kalmayıp sürekli gelişmiş, dönüşmüş ya da yok olmuştur. O halde kültürel miras ürünlerini sadece dünden kalan bakiyeler olarak mı değerlendirmek gerekir? Bakıldığında bazı kültür ögelerinin her dönem varlığını devam ettirmesi onları sadece geçmişin kadim ürünleri olarak değerlendirmek anlamına gelmediğini göstermektedir. Çünkü kültür ürünleri, onu meydana getiren insan gibi sürekli bir aksiyon halindedir. Bu hareketlilik durumu, kültürü sürekli güncelleyip içinde bulunduğu zamanın da ürünü haline getirmektedir. Bakıldığında kültürel miras ürünlerinin içinde yaşadığımız günün şartları ile de aktarılması ve icra edilmesi bunların aynı zamanda yaşadığımız döneme ait unsurlar olduklarını da gösterir. Kaldı ki yaşadığımız dönemde bile yeni kültür ögeleri meydana gelmektedir. Kültürel mirasın önemine dikkat çeken Unesco’nun kültürel çalışmaları desteklemesinin hem dünyada hem de ülkemizde önemli yansımaları olmuştur. Kültürel mirasın Türkiye’de devlet ve bazı özel kurumlar tarafında önemli ölçüde desteklendiği görülürken aynı zamanda toplumun her kademesinde </w:t>
      </w:r>
      <w:r>
        <w:rPr>
          <w:color w:val="000000" w:themeColor="text1"/>
        </w:rPr>
        <w:t xml:space="preserve">de </w:t>
      </w:r>
      <w:r w:rsidRPr="00DD1A04">
        <w:rPr>
          <w:color w:val="000000" w:themeColor="text1"/>
        </w:rPr>
        <w:t>dikkate alındığına tesadüf edilmektedir. Bunun yanında eğitim ve öğretim kurumlarında kültürel miras derslerinin verilmesi, üzerine önemli akademik çalışmaların yapılması kültürel mirasın sadece geçmiş zamanın bakiyeleri olmadığını aynı zamanda yaşadığımız çağın bir gerçeği olduklarını da kanıtlamaktadır. Teknoloji ve bilginin sürekli güncellenip gelişmesi gibi kültürel miras ögeleri de güncellenip içinde bulunduğu dönemin şartlarına uyarlanmaktadır. Bunlar olurken elbette kültürel miras ögelerinin bütünüyle değiştiğini söyleyemeyiz. Ancak eski devirlerde dönemin de şartlarına göre icra edilen ve aktarılan bu ögeler, benzer tema ve fikirlerle içinde bulunulan zamanın şartlarına göre yaşatılmaya devem etmektedir. Bu çalışmada amaç, toplumun önemli bir kısmında kültürel mirasın sadece geçmiş ile ilintili olduğuna dair düşünceyi değiştirerek, kültürel mirasın içinde bulunduğumuz döneme de ait olduğunu açıklamaktır. Bu amaçla çalışma hazırlanırken aynı zamanda her toplum ve birey için önemli olan kültürel mirasın daha çok desteklenmesi ve korunması fikri de savunulacaktır.</w:t>
      </w:r>
    </w:p>
    <w:p w14:paraId="59B94557" w14:textId="77777777" w:rsidR="00B470AD" w:rsidRPr="001F7157" w:rsidRDefault="00B470AD" w:rsidP="00B470AD">
      <w:pPr>
        <w:jc w:val="both"/>
        <w:rPr>
          <w:color w:val="000000" w:themeColor="text1"/>
        </w:rPr>
      </w:pPr>
    </w:p>
    <w:p w14:paraId="33A5EF47" w14:textId="0C2C481B" w:rsidR="00D47EF1" w:rsidRDefault="00B470AD" w:rsidP="00B470AD">
      <w:pPr>
        <w:jc w:val="both"/>
      </w:pPr>
      <w:r w:rsidRPr="00FA5BF5">
        <w:rPr>
          <w:b/>
        </w:rPr>
        <w:t xml:space="preserve">Anahtar </w:t>
      </w:r>
      <w:r>
        <w:rPr>
          <w:b/>
        </w:rPr>
        <w:t>K</w:t>
      </w:r>
      <w:r w:rsidRPr="00FA5BF5">
        <w:rPr>
          <w:b/>
        </w:rPr>
        <w:t>elimeler</w:t>
      </w:r>
      <w:r>
        <w:t>: İnsan, Toplum, Kültürel Miras, Geçmiş, Gelecek.</w:t>
      </w:r>
    </w:p>
    <w:p w14:paraId="7D6C5F14" w14:textId="036B22D6" w:rsidR="00791DCE" w:rsidRPr="00D10870" w:rsidRDefault="00D47EF1" w:rsidP="00D47EF1">
      <w:pPr>
        <w:autoSpaceDE/>
        <w:autoSpaceDN/>
      </w:pPr>
      <w:r>
        <w:br w:type="page"/>
      </w:r>
    </w:p>
    <w:p w14:paraId="19DE0F01" w14:textId="34DFA935" w:rsidR="00C1011D" w:rsidRDefault="00D47EF1" w:rsidP="00C1011D">
      <w:pPr>
        <w:spacing w:before="120" w:after="120"/>
        <w:jc w:val="center"/>
        <w:rPr>
          <w:b/>
          <w:bCs/>
        </w:rPr>
      </w:pPr>
      <w:r w:rsidRPr="00CF23BE">
        <w:rPr>
          <w:b/>
          <w:bCs/>
        </w:rPr>
        <w:lastRenderedPageBreak/>
        <w:t>Gündelik Hayatın Yeni Mekânı Olarak Kitap Kafeler</w:t>
      </w:r>
    </w:p>
    <w:p w14:paraId="0B90E12E" w14:textId="77777777" w:rsidR="00D47EF1" w:rsidRPr="00CF23BE" w:rsidRDefault="00D47EF1" w:rsidP="00C1011D">
      <w:pPr>
        <w:spacing w:before="120" w:after="120"/>
        <w:jc w:val="center"/>
        <w:rPr>
          <w:b/>
        </w:rPr>
      </w:pPr>
    </w:p>
    <w:p w14:paraId="76F25813" w14:textId="20DC782E" w:rsidR="00C1011D" w:rsidRPr="00D47EF1" w:rsidRDefault="00C1011D" w:rsidP="00D47EF1">
      <w:pPr>
        <w:spacing w:before="120" w:after="120"/>
        <w:jc w:val="center"/>
        <w:rPr>
          <w:rFonts w:eastAsiaTheme="majorEastAsia"/>
          <w:bCs/>
        </w:rPr>
      </w:pPr>
      <w:r w:rsidRPr="00D47EF1">
        <w:rPr>
          <w:bCs/>
        </w:rPr>
        <w:t>Asuman KARAALİ</w:t>
      </w:r>
    </w:p>
    <w:p w14:paraId="7759F9E5" w14:textId="73619AFB" w:rsidR="00D47EF1" w:rsidRPr="00D47EF1" w:rsidRDefault="00D47EF1" w:rsidP="00D47EF1">
      <w:pPr>
        <w:spacing w:before="120" w:after="120"/>
        <w:jc w:val="center"/>
        <w:rPr>
          <w:bCs/>
        </w:rPr>
      </w:pPr>
      <w:proofErr w:type="spellStart"/>
      <w:r w:rsidRPr="00D47EF1">
        <w:rPr>
          <w:bCs/>
        </w:rPr>
        <w:t>Ondokuz</w:t>
      </w:r>
      <w:proofErr w:type="spellEnd"/>
      <w:r w:rsidRPr="00D47EF1">
        <w:rPr>
          <w:bCs/>
        </w:rPr>
        <w:t xml:space="preserve"> Mayıs Üniversitesi Lisansüstü Eğitim Enstitüsü, Sosyoloji Ana Bilim Dalı</w:t>
      </w:r>
    </w:p>
    <w:p w14:paraId="7884D8C8" w14:textId="7DFF9C15" w:rsidR="00D47EF1" w:rsidRDefault="00D47EF1" w:rsidP="00D47EF1">
      <w:pPr>
        <w:spacing w:before="120" w:after="120"/>
        <w:jc w:val="center"/>
        <w:rPr>
          <w:bCs/>
        </w:rPr>
      </w:pPr>
      <w:hyperlink r:id="rId403" w:history="1">
        <w:r w:rsidRPr="00705A37">
          <w:rPr>
            <w:rStyle w:val="Kpr"/>
            <w:bCs/>
          </w:rPr>
          <w:t>karaaliasuman@gmail.com</w:t>
        </w:r>
      </w:hyperlink>
    </w:p>
    <w:p w14:paraId="46BC3748" w14:textId="7A515FA1" w:rsidR="00D47EF1" w:rsidRPr="00D47EF1" w:rsidRDefault="00D47EF1" w:rsidP="00D47EF1">
      <w:pPr>
        <w:spacing w:before="120" w:after="120"/>
        <w:jc w:val="center"/>
        <w:rPr>
          <w:b/>
        </w:rPr>
      </w:pPr>
      <w:r w:rsidRPr="00D47EF1">
        <w:rPr>
          <w:b/>
        </w:rPr>
        <w:t>Özet</w:t>
      </w:r>
    </w:p>
    <w:p w14:paraId="4A29D261" w14:textId="19D88A1C" w:rsidR="00C1011D" w:rsidRDefault="00C1011D" w:rsidP="00C1011D">
      <w:pPr>
        <w:spacing w:before="120" w:after="120"/>
        <w:jc w:val="both"/>
      </w:pPr>
      <w:r w:rsidRPr="00853A56">
        <w:t xml:space="preserve">Mekânlar, gündelik hayatın en önemli alanlarından biridir. Toplumsal bir nitelik taşımasının yanında kullanım çeşitliliği de göstermektedir. Aile, iş, sosyal yaşamın tamamı mekân içinde sürdürülmektedir. Bireyler ev ve iş dışında zaman geçirmek için mekân tercihinde bulunurken mekânların temel özellikleri dışında farklı niteliklerini de göz önünde bulundurmaktadırlar. Bunun temel nedeni mekânın oluşumunun tesadüfî değil bir sisteme dayalı olmasıdır. Türkiye’de özellikle 1960’lardan sonra mekânın değişimi sonucu sosyalleşme aracı olan kafeler de dönüşüm geçirmiştir. Son yıllarda kitap kafeler popüler bir mekân olarak öne çıkmıştır. Bu araştırmanın amacı, insan ve mekân etkileşimini kitap kafeler üzerinden sosyolojik olarak incelemektir. Bu kapsamda kitap kafelerde görülmekte olan sanatsal aktiviteler, edebi ve felsefi </w:t>
      </w:r>
      <w:proofErr w:type="gramStart"/>
      <w:r w:rsidRPr="00853A56">
        <w:t>sohbetler,  yazar</w:t>
      </w:r>
      <w:proofErr w:type="gramEnd"/>
      <w:r w:rsidRPr="00853A56">
        <w:t>-okur buluşmaları, imza günleri, küçük çaplı yapılan söyleşiler, kitap okuma günleri, film analizi etkinliği gibi düzenlemelerin insanların sosyalleşmesine nasıl katkılar sağladığı gözlemlenecektir. Kitabevi ve kültür merkezlerinden bir sentez yapılarak oluşturulan kitap kafelerin; gençlerin, orta yaşlıların, kitapseverlerin tek başlarına ya da arkadaşlarıyla, tanıdıklarıyla kitap okuyup ders çalışabilmelerine ayrıca grup çalışmalarına ve iş görüşmelerine de imkân sağlayan ayrı okuma salonları bulunmaktadır. Bu ortamın sunulması ise bireylerin birbiri ile olan etkileşimini artırmaktadır. Bu çalışma, toplumsal davranış biçimi olan sosyal ilişkiler ağının günümüzde kitap kafeler üzerinden nasıl yürütüldüğünü ortaya koymayı hedeflemiştir. Farklılaşan işlevlerinin tespit edilmesiyle kitap kafelerin tipolojisi oluşturulacaktır. Araştırmanın temel sorusu ise yeni bir mekân tasarımı olarak kitap kafelerin müdavimlerinin bu mekânlarla kurmuş oldukları ilişkinin nasıl gerçekleştiğinin anlaşılmasıdır. Bu bağlamda çalışmada, kitap kafe müdavimlerinin mekânı nasıl deneyimlediklerine odaklanılmış ve kimlik-mekân ilişkisi anlaşılmaya çalışılmıştır. Nitel bir araştırma desenine göre tasarlanmış ve altı katılımcı ile yarı yapılandırılmış görüşmelere dayanan bu çalışmanın örneklemini Samsun Atakum’da bulunan Eflatun Kitap Kafe ve Cingöz Kütüphane oluşturmaktadır. Araştırmanın vardığı sonuçlar şu şekilde özetlenebilir: K</w:t>
      </w:r>
      <w:r>
        <w:t xml:space="preserve">itap kafelerin </w:t>
      </w:r>
      <w:r w:rsidRPr="00853A56">
        <w:t>kullanım şekli sosyalleşme ile ilişkilidir. K</w:t>
      </w:r>
      <w:r>
        <w:t>itap kafeler kültürel sermayenin yansımasıdır. Bireysel gelişme fırsatı sunan kitap kafelerde tüketim çok boyutludur.</w:t>
      </w:r>
    </w:p>
    <w:p w14:paraId="4178A848" w14:textId="77777777" w:rsidR="00C1011D" w:rsidRDefault="00C1011D" w:rsidP="00C1011D">
      <w:pPr>
        <w:spacing w:before="120" w:after="120"/>
        <w:jc w:val="both"/>
      </w:pPr>
      <w:r w:rsidRPr="00BE68AC">
        <w:rPr>
          <w:b/>
        </w:rPr>
        <w:t>Anahtar Kelimeler:</w:t>
      </w:r>
      <w:r w:rsidRPr="00BE68AC">
        <w:t xml:space="preserve"> Mekân Sosyolojisi, İnsan-Mekân Etkileşimi, Kitap Kafe.</w:t>
      </w:r>
    </w:p>
    <w:p w14:paraId="08B79918" w14:textId="77777777" w:rsidR="00C1011D" w:rsidRDefault="00C1011D" w:rsidP="00C1011D"/>
    <w:p w14:paraId="0678E399" w14:textId="5F9FE3BA" w:rsidR="00C1011D" w:rsidRDefault="008003D6" w:rsidP="00C1011D">
      <w:pPr>
        <w:jc w:val="center"/>
        <w:rPr>
          <w:b/>
        </w:rPr>
      </w:pPr>
      <w:proofErr w:type="spellStart"/>
      <w:r w:rsidRPr="008517E8">
        <w:rPr>
          <w:b/>
        </w:rPr>
        <w:t>Book</w:t>
      </w:r>
      <w:proofErr w:type="spellEnd"/>
      <w:r w:rsidRPr="008517E8">
        <w:rPr>
          <w:b/>
        </w:rPr>
        <w:t xml:space="preserve"> </w:t>
      </w:r>
      <w:proofErr w:type="spellStart"/>
      <w:r w:rsidRPr="008517E8">
        <w:rPr>
          <w:b/>
        </w:rPr>
        <w:t>Cafes</w:t>
      </w:r>
      <w:proofErr w:type="spellEnd"/>
      <w:r w:rsidRPr="008517E8">
        <w:rPr>
          <w:b/>
        </w:rPr>
        <w:t xml:space="preserve"> As New </w:t>
      </w:r>
      <w:proofErr w:type="spellStart"/>
      <w:r w:rsidRPr="008517E8">
        <w:rPr>
          <w:b/>
        </w:rPr>
        <w:t>Spaces</w:t>
      </w:r>
      <w:proofErr w:type="spellEnd"/>
      <w:r w:rsidRPr="008517E8">
        <w:rPr>
          <w:b/>
        </w:rPr>
        <w:t xml:space="preserve"> Of </w:t>
      </w:r>
      <w:proofErr w:type="spellStart"/>
      <w:r w:rsidRPr="008517E8">
        <w:rPr>
          <w:b/>
        </w:rPr>
        <w:t>Everyday</w:t>
      </w:r>
      <w:proofErr w:type="spellEnd"/>
      <w:r w:rsidRPr="008517E8">
        <w:rPr>
          <w:b/>
        </w:rPr>
        <w:t xml:space="preserve"> </w:t>
      </w:r>
      <w:proofErr w:type="spellStart"/>
      <w:r w:rsidRPr="008517E8">
        <w:rPr>
          <w:b/>
        </w:rPr>
        <w:t>Lıfe</w:t>
      </w:r>
      <w:proofErr w:type="spellEnd"/>
    </w:p>
    <w:p w14:paraId="40C9FE47" w14:textId="77777777" w:rsidR="00D47EF1" w:rsidRDefault="00D47EF1" w:rsidP="00C1011D">
      <w:pPr>
        <w:jc w:val="both"/>
        <w:rPr>
          <w:b/>
        </w:rPr>
      </w:pPr>
    </w:p>
    <w:p w14:paraId="3CE0DBE6" w14:textId="77777777" w:rsidR="00D47EF1" w:rsidRDefault="00D47EF1" w:rsidP="00D47EF1">
      <w:pPr>
        <w:jc w:val="center"/>
        <w:rPr>
          <w:b/>
        </w:rPr>
      </w:pPr>
      <w:proofErr w:type="spellStart"/>
      <w:r>
        <w:rPr>
          <w:b/>
        </w:rPr>
        <w:t>Abstract</w:t>
      </w:r>
      <w:proofErr w:type="spellEnd"/>
    </w:p>
    <w:p w14:paraId="66C008B2" w14:textId="33C237BB" w:rsidR="00C1011D" w:rsidRDefault="00C1011D" w:rsidP="00C1011D">
      <w:pPr>
        <w:jc w:val="both"/>
      </w:pPr>
      <w:proofErr w:type="spellStart"/>
      <w:r w:rsidRPr="001B22FB">
        <w:t>Spaces</w:t>
      </w:r>
      <w:proofErr w:type="spellEnd"/>
      <w:r w:rsidRPr="001B22FB">
        <w:t xml:space="preserve"> </w:t>
      </w:r>
      <w:proofErr w:type="spellStart"/>
      <w:r w:rsidRPr="001B22FB">
        <w:t>are</w:t>
      </w:r>
      <w:proofErr w:type="spellEnd"/>
      <w:r w:rsidRPr="001B22FB">
        <w:t xml:space="preserve"> </w:t>
      </w:r>
      <w:proofErr w:type="spellStart"/>
      <w:r w:rsidRPr="001B22FB">
        <w:t>one</w:t>
      </w:r>
      <w:proofErr w:type="spellEnd"/>
      <w:r w:rsidRPr="001B22FB">
        <w:t xml:space="preserve"> of </w:t>
      </w:r>
      <w:proofErr w:type="spellStart"/>
      <w:r w:rsidRPr="001B22FB">
        <w:t>the</w:t>
      </w:r>
      <w:proofErr w:type="spellEnd"/>
      <w:r w:rsidRPr="001B22FB">
        <w:t xml:space="preserve"> </w:t>
      </w:r>
      <w:proofErr w:type="spellStart"/>
      <w:r w:rsidRPr="001B22FB">
        <w:t>most</w:t>
      </w:r>
      <w:proofErr w:type="spellEnd"/>
      <w:r w:rsidRPr="001B22FB">
        <w:t xml:space="preserve"> </w:t>
      </w:r>
      <w:proofErr w:type="spellStart"/>
      <w:r w:rsidRPr="001B22FB">
        <w:t>important</w:t>
      </w:r>
      <w:proofErr w:type="spellEnd"/>
      <w:r w:rsidRPr="001B22FB">
        <w:t xml:space="preserve"> </w:t>
      </w:r>
      <w:proofErr w:type="spellStart"/>
      <w:r w:rsidRPr="001B22FB">
        <w:t>areas</w:t>
      </w:r>
      <w:proofErr w:type="spellEnd"/>
      <w:r w:rsidRPr="001B22FB">
        <w:t xml:space="preserve"> of </w:t>
      </w:r>
      <w:proofErr w:type="spellStart"/>
      <w:r w:rsidRPr="001B22FB">
        <w:t>daily</w:t>
      </w:r>
      <w:proofErr w:type="spellEnd"/>
      <w:r w:rsidRPr="001B22FB">
        <w:t xml:space="preserve"> life. </w:t>
      </w:r>
      <w:proofErr w:type="spellStart"/>
      <w:r w:rsidRPr="001B22FB">
        <w:t>In</w:t>
      </w:r>
      <w:proofErr w:type="spellEnd"/>
      <w:r w:rsidRPr="001B22FB">
        <w:t xml:space="preserve"> </w:t>
      </w:r>
      <w:proofErr w:type="spellStart"/>
      <w:r w:rsidRPr="001B22FB">
        <w:t>addition</w:t>
      </w:r>
      <w:proofErr w:type="spellEnd"/>
      <w:r w:rsidRPr="001B22FB">
        <w:t xml:space="preserve"> </w:t>
      </w:r>
      <w:proofErr w:type="spellStart"/>
      <w:r w:rsidRPr="001B22FB">
        <w:t>to</w:t>
      </w:r>
      <w:proofErr w:type="spellEnd"/>
      <w:r w:rsidRPr="001B22FB">
        <w:t xml:space="preserve"> </w:t>
      </w:r>
      <w:proofErr w:type="spellStart"/>
      <w:r w:rsidRPr="001B22FB">
        <w:t>having</w:t>
      </w:r>
      <w:proofErr w:type="spellEnd"/>
      <w:r w:rsidRPr="001B22FB">
        <w:t xml:space="preserve"> a </w:t>
      </w:r>
      <w:proofErr w:type="spellStart"/>
      <w:r w:rsidRPr="001B22FB">
        <w:t>social</w:t>
      </w:r>
      <w:proofErr w:type="spellEnd"/>
      <w:r w:rsidRPr="001B22FB">
        <w:t xml:space="preserve"> </w:t>
      </w:r>
      <w:proofErr w:type="spellStart"/>
      <w:r w:rsidRPr="001B22FB">
        <w:t>quality</w:t>
      </w:r>
      <w:proofErr w:type="spellEnd"/>
      <w:r w:rsidRPr="001B22FB">
        <w:t xml:space="preserve">, they </w:t>
      </w:r>
      <w:proofErr w:type="spellStart"/>
      <w:r w:rsidRPr="001B22FB">
        <w:t>also</w:t>
      </w:r>
      <w:proofErr w:type="spellEnd"/>
      <w:r w:rsidRPr="001B22FB">
        <w:t xml:space="preserve"> </w:t>
      </w:r>
      <w:proofErr w:type="spellStart"/>
      <w:r w:rsidRPr="001B22FB">
        <w:t>show</w:t>
      </w:r>
      <w:proofErr w:type="spellEnd"/>
      <w:r w:rsidRPr="001B22FB">
        <w:t xml:space="preserve"> </w:t>
      </w:r>
      <w:proofErr w:type="spellStart"/>
      <w:r w:rsidRPr="001B22FB">
        <w:t>diversity</w:t>
      </w:r>
      <w:proofErr w:type="spellEnd"/>
      <w:r w:rsidRPr="001B22FB">
        <w:t xml:space="preserve"> of </w:t>
      </w:r>
      <w:proofErr w:type="spellStart"/>
      <w:r w:rsidRPr="001B22FB">
        <w:t>use</w:t>
      </w:r>
      <w:proofErr w:type="spellEnd"/>
      <w:r w:rsidRPr="001B22FB">
        <w:t xml:space="preserve">. </w:t>
      </w:r>
      <w:proofErr w:type="spellStart"/>
      <w:r w:rsidRPr="001B22FB">
        <w:t>Family</w:t>
      </w:r>
      <w:proofErr w:type="spellEnd"/>
      <w:r w:rsidRPr="001B22FB">
        <w:t xml:space="preserve">, </w:t>
      </w:r>
      <w:proofErr w:type="spellStart"/>
      <w:r w:rsidRPr="001B22FB">
        <w:t>work</w:t>
      </w:r>
      <w:proofErr w:type="spellEnd"/>
      <w:r w:rsidRPr="001B22FB">
        <w:t xml:space="preserve"> </w:t>
      </w:r>
      <w:proofErr w:type="spellStart"/>
      <w:r w:rsidRPr="001B22FB">
        <w:t>and</w:t>
      </w:r>
      <w:proofErr w:type="spellEnd"/>
      <w:r w:rsidRPr="001B22FB">
        <w:t xml:space="preserve"> </w:t>
      </w:r>
      <w:proofErr w:type="spellStart"/>
      <w:r w:rsidRPr="001B22FB">
        <w:t>social</w:t>
      </w:r>
      <w:proofErr w:type="spellEnd"/>
      <w:r w:rsidRPr="001B22FB">
        <w:t xml:space="preserve"> life </w:t>
      </w:r>
      <w:proofErr w:type="spellStart"/>
      <w:r w:rsidRPr="001B22FB">
        <w:t>are</w:t>
      </w:r>
      <w:proofErr w:type="spellEnd"/>
      <w:r w:rsidRPr="001B22FB">
        <w:t xml:space="preserve"> </w:t>
      </w:r>
      <w:proofErr w:type="spellStart"/>
      <w:r w:rsidRPr="001B22FB">
        <w:t>all</w:t>
      </w:r>
      <w:proofErr w:type="spellEnd"/>
      <w:r w:rsidRPr="001B22FB">
        <w:t xml:space="preserve"> </w:t>
      </w:r>
      <w:proofErr w:type="spellStart"/>
      <w:r w:rsidRPr="001B22FB">
        <w:t>carried</w:t>
      </w:r>
      <w:proofErr w:type="spellEnd"/>
      <w:r w:rsidRPr="001B22FB">
        <w:t xml:space="preserve"> </w:t>
      </w:r>
      <w:proofErr w:type="spellStart"/>
      <w:r w:rsidRPr="001B22FB">
        <w:t>out</w:t>
      </w:r>
      <w:proofErr w:type="spellEnd"/>
      <w:r w:rsidRPr="001B22FB">
        <w:t xml:space="preserve"> in </w:t>
      </w:r>
      <w:proofErr w:type="spellStart"/>
      <w:r w:rsidRPr="001B22FB">
        <w:t>space</w:t>
      </w:r>
      <w:proofErr w:type="spellEnd"/>
      <w:r w:rsidRPr="001B22FB">
        <w:t xml:space="preserve">. </w:t>
      </w:r>
      <w:proofErr w:type="spellStart"/>
      <w:r w:rsidRPr="001B22FB">
        <w:t>When</w:t>
      </w:r>
      <w:proofErr w:type="spellEnd"/>
      <w:r w:rsidRPr="001B22FB">
        <w:t xml:space="preserve"> </w:t>
      </w:r>
      <w:proofErr w:type="spellStart"/>
      <w:r w:rsidRPr="001B22FB">
        <w:t>individuals</w:t>
      </w:r>
      <w:proofErr w:type="spellEnd"/>
      <w:r w:rsidRPr="001B22FB">
        <w:t xml:space="preserve"> </w:t>
      </w:r>
      <w:proofErr w:type="spellStart"/>
      <w:r w:rsidRPr="001B22FB">
        <w:t>choose</w:t>
      </w:r>
      <w:proofErr w:type="spellEnd"/>
      <w:r w:rsidRPr="001B22FB">
        <w:t xml:space="preserve"> a </w:t>
      </w:r>
      <w:proofErr w:type="spellStart"/>
      <w:r w:rsidRPr="001B22FB">
        <w:t>place</w:t>
      </w:r>
      <w:proofErr w:type="spellEnd"/>
      <w:r w:rsidRPr="001B22FB">
        <w:t xml:space="preserve"> </w:t>
      </w:r>
      <w:proofErr w:type="spellStart"/>
      <w:r w:rsidRPr="001B22FB">
        <w:t>to</w:t>
      </w:r>
      <w:proofErr w:type="spellEnd"/>
      <w:r w:rsidRPr="001B22FB">
        <w:t xml:space="preserve"> </w:t>
      </w:r>
      <w:proofErr w:type="spellStart"/>
      <w:r w:rsidRPr="001B22FB">
        <w:t>spend</w:t>
      </w:r>
      <w:proofErr w:type="spellEnd"/>
      <w:r w:rsidRPr="001B22FB">
        <w:t xml:space="preserve"> time </w:t>
      </w:r>
      <w:proofErr w:type="spellStart"/>
      <w:r w:rsidRPr="001B22FB">
        <w:t>outside</w:t>
      </w:r>
      <w:proofErr w:type="spellEnd"/>
      <w:r w:rsidRPr="001B22FB">
        <w:t xml:space="preserve"> of </w:t>
      </w:r>
      <w:proofErr w:type="spellStart"/>
      <w:r w:rsidRPr="001B22FB">
        <w:t>home</w:t>
      </w:r>
      <w:proofErr w:type="spellEnd"/>
      <w:r w:rsidRPr="001B22FB">
        <w:t xml:space="preserve"> </w:t>
      </w:r>
      <w:proofErr w:type="spellStart"/>
      <w:r w:rsidRPr="001B22FB">
        <w:t>and</w:t>
      </w:r>
      <w:proofErr w:type="spellEnd"/>
      <w:r w:rsidRPr="001B22FB">
        <w:t xml:space="preserve"> </w:t>
      </w:r>
      <w:proofErr w:type="spellStart"/>
      <w:r w:rsidRPr="001B22FB">
        <w:t>work</w:t>
      </w:r>
      <w:proofErr w:type="spellEnd"/>
      <w:r w:rsidRPr="001B22FB">
        <w:t xml:space="preserve">, they </w:t>
      </w:r>
      <w:proofErr w:type="spellStart"/>
      <w:r w:rsidRPr="001B22FB">
        <w:t>take</w:t>
      </w:r>
      <w:proofErr w:type="spellEnd"/>
      <w:r w:rsidRPr="001B22FB">
        <w:t xml:space="preserve"> </w:t>
      </w:r>
      <w:proofErr w:type="spellStart"/>
      <w:r w:rsidRPr="001B22FB">
        <w:t>into</w:t>
      </w:r>
      <w:proofErr w:type="spellEnd"/>
      <w:r w:rsidRPr="001B22FB">
        <w:t xml:space="preserve"> </w:t>
      </w:r>
      <w:proofErr w:type="spellStart"/>
      <w:r w:rsidRPr="001B22FB">
        <w:t>account</w:t>
      </w:r>
      <w:proofErr w:type="spellEnd"/>
      <w:r w:rsidRPr="001B22FB">
        <w:t xml:space="preserve"> </w:t>
      </w:r>
      <w:proofErr w:type="spellStart"/>
      <w:r w:rsidRPr="001B22FB">
        <w:t>different</w:t>
      </w:r>
      <w:proofErr w:type="spellEnd"/>
      <w:r w:rsidRPr="001B22FB">
        <w:t xml:space="preserve"> </w:t>
      </w:r>
      <w:proofErr w:type="spellStart"/>
      <w:r w:rsidRPr="001B22FB">
        <w:t>qualities</w:t>
      </w:r>
      <w:proofErr w:type="spellEnd"/>
      <w:r w:rsidRPr="001B22FB">
        <w:t xml:space="preserve"> of </w:t>
      </w:r>
      <w:proofErr w:type="spellStart"/>
      <w:r w:rsidRPr="001B22FB">
        <w:t>places</w:t>
      </w:r>
      <w:proofErr w:type="spellEnd"/>
      <w:r w:rsidRPr="001B22FB">
        <w:t xml:space="preserve"> </w:t>
      </w:r>
      <w:proofErr w:type="spellStart"/>
      <w:r w:rsidRPr="001B22FB">
        <w:t>other</w:t>
      </w:r>
      <w:proofErr w:type="spellEnd"/>
      <w:r w:rsidRPr="001B22FB">
        <w:t xml:space="preserve"> </w:t>
      </w:r>
      <w:proofErr w:type="spellStart"/>
      <w:r w:rsidRPr="001B22FB">
        <w:t>than</w:t>
      </w:r>
      <w:proofErr w:type="spellEnd"/>
      <w:r w:rsidRPr="001B22FB">
        <w:t xml:space="preserve"> </w:t>
      </w:r>
      <w:proofErr w:type="spellStart"/>
      <w:r w:rsidRPr="001B22FB">
        <w:t>their</w:t>
      </w:r>
      <w:proofErr w:type="spellEnd"/>
      <w:r w:rsidRPr="001B22FB">
        <w:t xml:space="preserve"> </w:t>
      </w:r>
      <w:proofErr w:type="spellStart"/>
      <w:r w:rsidRPr="001B22FB">
        <w:t>basic</w:t>
      </w:r>
      <w:proofErr w:type="spellEnd"/>
      <w:r w:rsidRPr="001B22FB">
        <w:t xml:space="preserve"> </w:t>
      </w:r>
      <w:proofErr w:type="spellStart"/>
      <w:r w:rsidRPr="001B22FB">
        <w:t>features</w:t>
      </w:r>
      <w:proofErr w:type="spellEnd"/>
      <w:r w:rsidRPr="001B22FB">
        <w:t xml:space="preserve">. </w:t>
      </w:r>
      <w:proofErr w:type="spellStart"/>
      <w:r w:rsidRPr="001B22FB">
        <w:t>The</w:t>
      </w:r>
      <w:proofErr w:type="spellEnd"/>
      <w:r w:rsidRPr="001B22FB">
        <w:t xml:space="preserve"> main </w:t>
      </w:r>
      <w:proofErr w:type="spellStart"/>
      <w:r w:rsidRPr="001B22FB">
        <w:t>reason</w:t>
      </w:r>
      <w:proofErr w:type="spellEnd"/>
      <w:r w:rsidRPr="001B22FB">
        <w:t xml:space="preserve"> </w:t>
      </w:r>
      <w:proofErr w:type="spellStart"/>
      <w:r w:rsidRPr="001B22FB">
        <w:t>for</w:t>
      </w:r>
      <w:proofErr w:type="spellEnd"/>
      <w:r w:rsidRPr="001B22FB">
        <w:t xml:space="preserve"> </w:t>
      </w:r>
      <w:proofErr w:type="spellStart"/>
      <w:r w:rsidRPr="001B22FB">
        <w:t>this</w:t>
      </w:r>
      <w:proofErr w:type="spellEnd"/>
      <w:r w:rsidRPr="001B22FB">
        <w:t xml:space="preserve"> is </w:t>
      </w:r>
      <w:proofErr w:type="spellStart"/>
      <w:r w:rsidRPr="001B22FB">
        <w:t>that</w:t>
      </w:r>
      <w:proofErr w:type="spellEnd"/>
      <w:r w:rsidRPr="001B22FB">
        <w:t xml:space="preserve"> </w:t>
      </w:r>
      <w:proofErr w:type="spellStart"/>
      <w:r w:rsidRPr="001B22FB">
        <w:t>the</w:t>
      </w:r>
      <w:proofErr w:type="spellEnd"/>
      <w:r w:rsidRPr="001B22FB">
        <w:t xml:space="preserve"> </w:t>
      </w:r>
      <w:proofErr w:type="spellStart"/>
      <w:r w:rsidRPr="001B22FB">
        <w:t>formation</w:t>
      </w:r>
      <w:proofErr w:type="spellEnd"/>
      <w:r w:rsidRPr="001B22FB">
        <w:t xml:space="preserve"> of </w:t>
      </w:r>
      <w:proofErr w:type="spellStart"/>
      <w:r w:rsidRPr="001B22FB">
        <w:t>space</w:t>
      </w:r>
      <w:proofErr w:type="spellEnd"/>
      <w:r w:rsidRPr="001B22FB">
        <w:t xml:space="preserve"> is not </w:t>
      </w:r>
      <w:proofErr w:type="spellStart"/>
      <w:r w:rsidRPr="001B22FB">
        <w:t>accidental</w:t>
      </w:r>
      <w:proofErr w:type="spellEnd"/>
      <w:r w:rsidRPr="001B22FB">
        <w:t xml:space="preserve"> but </w:t>
      </w:r>
      <w:proofErr w:type="spellStart"/>
      <w:r w:rsidRPr="001B22FB">
        <w:t>based</w:t>
      </w:r>
      <w:proofErr w:type="spellEnd"/>
      <w:r w:rsidRPr="001B22FB">
        <w:t xml:space="preserve"> on a </w:t>
      </w:r>
      <w:proofErr w:type="spellStart"/>
      <w:r w:rsidRPr="001B22FB">
        <w:t>system</w:t>
      </w:r>
      <w:proofErr w:type="spellEnd"/>
      <w:r w:rsidRPr="001B22FB">
        <w:t xml:space="preserve">. </w:t>
      </w:r>
      <w:proofErr w:type="spellStart"/>
      <w:r w:rsidRPr="001B22FB">
        <w:t>In</w:t>
      </w:r>
      <w:proofErr w:type="spellEnd"/>
      <w:r w:rsidRPr="001B22FB">
        <w:t xml:space="preserve"> </w:t>
      </w:r>
      <w:proofErr w:type="spellStart"/>
      <w:r w:rsidRPr="001B22FB">
        <w:t>Turkey</w:t>
      </w:r>
      <w:proofErr w:type="spellEnd"/>
      <w:r w:rsidRPr="001B22FB">
        <w:t xml:space="preserve">, </w:t>
      </w:r>
      <w:proofErr w:type="spellStart"/>
      <w:r w:rsidRPr="001B22FB">
        <w:t>especially</w:t>
      </w:r>
      <w:proofErr w:type="spellEnd"/>
      <w:r w:rsidRPr="001B22FB">
        <w:t xml:space="preserve"> </w:t>
      </w:r>
      <w:proofErr w:type="spellStart"/>
      <w:r w:rsidRPr="001B22FB">
        <w:t>after</w:t>
      </w:r>
      <w:proofErr w:type="spellEnd"/>
      <w:r w:rsidRPr="001B22FB">
        <w:t xml:space="preserve"> </w:t>
      </w:r>
      <w:proofErr w:type="spellStart"/>
      <w:r w:rsidRPr="001B22FB">
        <w:t>the</w:t>
      </w:r>
      <w:proofErr w:type="spellEnd"/>
      <w:r w:rsidRPr="001B22FB">
        <w:t xml:space="preserve"> 1960s, as a </w:t>
      </w:r>
      <w:proofErr w:type="spellStart"/>
      <w:r w:rsidRPr="001B22FB">
        <w:t>result</w:t>
      </w:r>
      <w:proofErr w:type="spellEnd"/>
      <w:r w:rsidRPr="001B22FB">
        <w:t xml:space="preserve"> of </w:t>
      </w:r>
      <w:proofErr w:type="spellStart"/>
      <w:r w:rsidRPr="001B22FB">
        <w:t>the</w:t>
      </w:r>
      <w:proofErr w:type="spellEnd"/>
      <w:r w:rsidRPr="001B22FB">
        <w:t xml:space="preserve"> </w:t>
      </w:r>
      <w:proofErr w:type="spellStart"/>
      <w:r w:rsidRPr="001B22FB">
        <w:t>transformation</w:t>
      </w:r>
      <w:proofErr w:type="spellEnd"/>
      <w:r w:rsidRPr="001B22FB">
        <w:t xml:space="preserve"> of </w:t>
      </w:r>
      <w:proofErr w:type="spellStart"/>
      <w:r w:rsidRPr="001B22FB">
        <w:t>space</w:t>
      </w:r>
      <w:proofErr w:type="spellEnd"/>
      <w:r w:rsidRPr="001B22FB">
        <w:t xml:space="preserve">, </w:t>
      </w:r>
      <w:proofErr w:type="spellStart"/>
      <w:r w:rsidRPr="001B22FB">
        <w:t>cafés</w:t>
      </w:r>
      <w:proofErr w:type="spellEnd"/>
      <w:r w:rsidRPr="001B22FB">
        <w:t xml:space="preserve">, </w:t>
      </w:r>
      <w:proofErr w:type="spellStart"/>
      <w:r w:rsidRPr="001B22FB">
        <w:t>which</w:t>
      </w:r>
      <w:proofErr w:type="spellEnd"/>
      <w:r w:rsidRPr="001B22FB">
        <w:t xml:space="preserve"> </w:t>
      </w:r>
      <w:proofErr w:type="spellStart"/>
      <w:r w:rsidRPr="001B22FB">
        <w:t>are</w:t>
      </w:r>
      <w:proofErr w:type="spellEnd"/>
      <w:r w:rsidRPr="001B22FB">
        <w:t xml:space="preserve"> a </w:t>
      </w:r>
      <w:proofErr w:type="spellStart"/>
      <w:r w:rsidRPr="001B22FB">
        <w:t>means</w:t>
      </w:r>
      <w:proofErr w:type="spellEnd"/>
      <w:r w:rsidRPr="001B22FB">
        <w:t xml:space="preserve"> of </w:t>
      </w:r>
      <w:proofErr w:type="spellStart"/>
      <w:r w:rsidRPr="001B22FB">
        <w:t>socialization</w:t>
      </w:r>
      <w:proofErr w:type="spellEnd"/>
      <w:r w:rsidRPr="001B22FB">
        <w:t xml:space="preserve">, </w:t>
      </w:r>
      <w:proofErr w:type="spellStart"/>
      <w:r w:rsidRPr="001B22FB">
        <w:t>have</w:t>
      </w:r>
      <w:proofErr w:type="spellEnd"/>
      <w:r w:rsidRPr="001B22FB">
        <w:t xml:space="preserve"> </w:t>
      </w:r>
      <w:proofErr w:type="spellStart"/>
      <w:r w:rsidRPr="001B22FB">
        <w:t>also</w:t>
      </w:r>
      <w:proofErr w:type="spellEnd"/>
      <w:r w:rsidRPr="001B22FB">
        <w:t xml:space="preserve"> </w:t>
      </w:r>
      <w:proofErr w:type="spellStart"/>
      <w:r w:rsidRPr="001B22FB">
        <w:lastRenderedPageBreak/>
        <w:t>undergone</w:t>
      </w:r>
      <w:proofErr w:type="spellEnd"/>
      <w:r w:rsidRPr="001B22FB">
        <w:t xml:space="preserve"> a </w:t>
      </w:r>
      <w:proofErr w:type="spellStart"/>
      <w:r w:rsidRPr="001B22FB">
        <w:t>transformation</w:t>
      </w:r>
      <w:proofErr w:type="spellEnd"/>
      <w:r w:rsidRPr="001B22FB">
        <w:t xml:space="preserve">. </w:t>
      </w:r>
      <w:proofErr w:type="spellStart"/>
      <w:r w:rsidRPr="001B22FB">
        <w:t>In</w:t>
      </w:r>
      <w:proofErr w:type="spellEnd"/>
      <w:r w:rsidRPr="001B22FB">
        <w:t xml:space="preserve"> </w:t>
      </w:r>
      <w:proofErr w:type="spellStart"/>
      <w:r w:rsidRPr="001B22FB">
        <w:t>recent</w:t>
      </w:r>
      <w:proofErr w:type="spellEnd"/>
      <w:r w:rsidRPr="001B22FB">
        <w:t xml:space="preserve"> </w:t>
      </w:r>
      <w:proofErr w:type="spellStart"/>
      <w:r w:rsidRPr="001B22FB">
        <w:t>years</w:t>
      </w:r>
      <w:proofErr w:type="spellEnd"/>
      <w:r w:rsidRPr="001B22FB">
        <w:t xml:space="preserve">,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have</w:t>
      </w:r>
      <w:proofErr w:type="spellEnd"/>
      <w:r w:rsidRPr="001B22FB">
        <w:t xml:space="preserve"> </w:t>
      </w:r>
      <w:proofErr w:type="spellStart"/>
      <w:r w:rsidRPr="001B22FB">
        <w:t>come</w:t>
      </w:r>
      <w:proofErr w:type="spellEnd"/>
      <w:r w:rsidRPr="001B22FB">
        <w:t xml:space="preserve"> </w:t>
      </w:r>
      <w:proofErr w:type="spellStart"/>
      <w:r w:rsidRPr="001B22FB">
        <w:t>to</w:t>
      </w:r>
      <w:proofErr w:type="spellEnd"/>
      <w:r w:rsidRPr="001B22FB">
        <w:t xml:space="preserve"> </w:t>
      </w:r>
      <w:proofErr w:type="spellStart"/>
      <w:r w:rsidRPr="001B22FB">
        <w:t>the</w:t>
      </w:r>
      <w:proofErr w:type="spellEnd"/>
      <w:r w:rsidRPr="001B22FB">
        <w:t xml:space="preserve"> </w:t>
      </w:r>
      <w:proofErr w:type="spellStart"/>
      <w:r w:rsidRPr="001B22FB">
        <w:t>fore</w:t>
      </w:r>
      <w:proofErr w:type="spellEnd"/>
      <w:r w:rsidRPr="001B22FB">
        <w:t xml:space="preserve"> as a popular </w:t>
      </w:r>
      <w:proofErr w:type="spellStart"/>
      <w:r w:rsidRPr="001B22FB">
        <w:t>place</w:t>
      </w:r>
      <w:proofErr w:type="spellEnd"/>
      <w:r w:rsidRPr="001B22FB">
        <w:t xml:space="preserve">. </w:t>
      </w:r>
      <w:proofErr w:type="spellStart"/>
      <w:r w:rsidRPr="001B22FB">
        <w:t>The</w:t>
      </w:r>
      <w:proofErr w:type="spellEnd"/>
      <w:r w:rsidRPr="001B22FB">
        <w:t xml:space="preserve"> </w:t>
      </w:r>
      <w:proofErr w:type="spellStart"/>
      <w:r w:rsidRPr="001B22FB">
        <w:t>aim</w:t>
      </w:r>
      <w:proofErr w:type="spellEnd"/>
      <w:r w:rsidRPr="001B22FB">
        <w:t xml:space="preserve"> of </w:t>
      </w:r>
      <w:proofErr w:type="spellStart"/>
      <w:r w:rsidRPr="001B22FB">
        <w:t>this</w:t>
      </w:r>
      <w:proofErr w:type="spellEnd"/>
      <w:r w:rsidRPr="001B22FB">
        <w:t xml:space="preserve"> </w:t>
      </w:r>
      <w:proofErr w:type="spellStart"/>
      <w:r w:rsidRPr="001B22FB">
        <w:t>research</w:t>
      </w:r>
      <w:proofErr w:type="spellEnd"/>
      <w:r w:rsidRPr="001B22FB">
        <w:t xml:space="preserve"> is </w:t>
      </w:r>
      <w:proofErr w:type="spellStart"/>
      <w:r w:rsidRPr="001B22FB">
        <w:t>to</w:t>
      </w:r>
      <w:proofErr w:type="spellEnd"/>
      <w:r w:rsidRPr="001B22FB">
        <w:t xml:space="preserve"> </w:t>
      </w:r>
      <w:proofErr w:type="spellStart"/>
      <w:r w:rsidRPr="001B22FB">
        <w:t>sociologically</w:t>
      </w:r>
      <w:proofErr w:type="spellEnd"/>
      <w:r w:rsidRPr="001B22FB">
        <w:t xml:space="preserve"> </w:t>
      </w:r>
      <w:proofErr w:type="spellStart"/>
      <w:r w:rsidRPr="001B22FB">
        <w:t>examine</w:t>
      </w:r>
      <w:proofErr w:type="spellEnd"/>
      <w:r w:rsidRPr="001B22FB">
        <w:t xml:space="preserve"> </w:t>
      </w:r>
      <w:proofErr w:type="spellStart"/>
      <w:r w:rsidRPr="001B22FB">
        <w:t>the</w:t>
      </w:r>
      <w:proofErr w:type="spellEnd"/>
      <w:r w:rsidRPr="001B22FB">
        <w:t xml:space="preserve"> </w:t>
      </w:r>
      <w:proofErr w:type="spellStart"/>
      <w:r w:rsidRPr="001B22FB">
        <w:t>interaction</w:t>
      </w:r>
      <w:proofErr w:type="spellEnd"/>
      <w:r w:rsidRPr="001B22FB">
        <w:t xml:space="preserve"> </w:t>
      </w:r>
      <w:proofErr w:type="spellStart"/>
      <w:r w:rsidRPr="001B22FB">
        <w:t>between</w:t>
      </w:r>
      <w:proofErr w:type="spellEnd"/>
      <w:r w:rsidRPr="001B22FB">
        <w:t xml:space="preserve"> </w:t>
      </w:r>
      <w:proofErr w:type="spellStart"/>
      <w:r w:rsidRPr="001B22FB">
        <w:t>people</w:t>
      </w:r>
      <w:proofErr w:type="spellEnd"/>
      <w:r w:rsidRPr="001B22FB">
        <w:t xml:space="preserve"> </w:t>
      </w:r>
      <w:proofErr w:type="spellStart"/>
      <w:r w:rsidRPr="001B22FB">
        <w:t>and</w:t>
      </w:r>
      <w:proofErr w:type="spellEnd"/>
      <w:r w:rsidRPr="001B22FB">
        <w:t xml:space="preserve"> </w:t>
      </w:r>
      <w:proofErr w:type="spellStart"/>
      <w:r w:rsidRPr="001B22FB">
        <w:t>space</w:t>
      </w:r>
      <w:proofErr w:type="spellEnd"/>
      <w:r w:rsidRPr="001B22FB">
        <w:t xml:space="preserve"> </w:t>
      </w:r>
      <w:proofErr w:type="spellStart"/>
      <w:r w:rsidRPr="001B22FB">
        <w:t>through</w:t>
      </w:r>
      <w:proofErr w:type="spellEnd"/>
      <w:r w:rsidRPr="001B22FB">
        <w:t xml:space="preserve">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In</w:t>
      </w:r>
      <w:proofErr w:type="spellEnd"/>
      <w:r w:rsidRPr="001B22FB">
        <w:t xml:space="preserve"> </w:t>
      </w:r>
      <w:proofErr w:type="spellStart"/>
      <w:r w:rsidRPr="001B22FB">
        <w:t>this</w:t>
      </w:r>
      <w:proofErr w:type="spellEnd"/>
      <w:r w:rsidRPr="001B22FB">
        <w:t xml:space="preserve"> </w:t>
      </w:r>
      <w:proofErr w:type="spellStart"/>
      <w:r w:rsidRPr="001B22FB">
        <w:t>context</w:t>
      </w:r>
      <w:proofErr w:type="spellEnd"/>
      <w:r w:rsidRPr="001B22FB">
        <w:t xml:space="preserve">, it </w:t>
      </w:r>
      <w:proofErr w:type="spellStart"/>
      <w:r w:rsidRPr="001B22FB">
        <w:t>will</w:t>
      </w:r>
      <w:proofErr w:type="spellEnd"/>
      <w:r w:rsidRPr="001B22FB">
        <w:t xml:space="preserve"> be </w:t>
      </w:r>
      <w:proofErr w:type="spellStart"/>
      <w:r w:rsidRPr="001B22FB">
        <w:t>observed</w:t>
      </w:r>
      <w:proofErr w:type="spellEnd"/>
      <w:r w:rsidRPr="001B22FB">
        <w:t xml:space="preserve"> how </w:t>
      </w:r>
      <w:proofErr w:type="spellStart"/>
      <w:r w:rsidRPr="001B22FB">
        <w:t>arrangements</w:t>
      </w:r>
      <w:proofErr w:type="spellEnd"/>
      <w:r w:rsidRPr="001B22FB">
        <w:t xml:space="preserve"> </w:t>
      </w:r>
      <w:proofErr w:type="spellStart"/>
      <w:r w:rsidRPr="001B22FB">
        <w:t>such</w:t>
      </w:r>
      <w:proofErr w:type="spellEnd"/>
      <w:r w:rsidRPr="001B22FB">
        <w:t xml:space="preserve"> as </w:t>
      </w:r>
      <w:proofErr w:type="spellStart"/>
      <w:r w:rsidRPr="001B22FB">
        <w:t>artistic</w:t>
      </w:r>
      <w:proofErr w:type="spellEnd"/>
      <w:r w:rsidRPr="001B22FB">
        <w:t xml:space="preserve"> </w:t>
      </w:r>
      <w:proofErr w:type="spellStart"/>
      <w:r w:rsidRPr="001B22FB">
        <w:t>activities</w:t>
      </w:r>
      <w:proofErr w:type="spellEnd"/>
      <w:r w:rsidRPr="001B22FB">
        <w:t xml:space="preserve">, </w:t>
      </w:r>
      <w:proofErr w:type="spellStart"/>
      <w:r w:rsidRPr="001B22FB">
        <w:t>literary</w:t>
      </w:r>
      <w:proofErr w:type="spellEnd"/>
      <w:r w:rsidRPr="001B22FB">
        <w:t xml:space="preserve"> </w:t>
      </w:r>
      <w:proofErr w:type="spellStart"/>
      <w:r w:rsidRPr="001B22FB">
        <w:t>and</w:t>
      </w:r>
      <w:proofErr w:type="spellEnd"/>
      <w:r w:rsidRPr="001B22FB">
        <w:t xml:space="preserve"> </w:t>
      </w:r>
      <w:proofErr w:type="spellStart"/>
      <w:r w:rsidRPr="001B22FB">
        <w:t>philosophical</w:t>
      </w:r>
      <w:proofErr w:type="spellEnd"/>
      <w:r w:rsidRPr="001B22FB">
        <w:t xml:space="preserve"> </w:t>
      </w:r>
      <w:proofErr w:type="spellStart"/>
      <w:r w:rsidRPr="001B22FB">
        <w:t>conversations</w:t>
      </w:r>
      <w:proofErr w:type="spellEnd"/>
      <w:r w:rsidRPr="001B22FB">
        <w:t xml:space="preserve">, </w:t>
      </w:r>
      <w:proofErr w:type="spellStart"/>
      <w:r w:rsidRPr="001B22FB">
        <w:t>author-reader</w:t>
      </w:r>
      <w:proofErr w:type="spellEnd"/>
      <w:r w:rsidRPr="001B22FB">
        <w:t xml:space="preserve"> </w:t>
      </w:r>
      <w:proofErr w:type="spellStart"/>
      <w:r w:rsidRPr="001B22FB">
        <w:t>meetings</w:t>
      </w:r>
      <w:proofErr w:type="spellEnd"/>
      <w:r w:rsidRPr="001B22FB">
        <w:t xml:space="preserve">, </w:t>
      </w:r>
      <w:proofErr w:type="spellStart"/>
      <w:r w:rsidRPr="001B22FB">
        <w:t>book</w:t>
      </w:r>
      <w:proofErr w:type="spellEnd"/>
      <w:r w:rsidRPr="001B22FB">
        <w:t xml:space="preserve"> </w:t>
      </w:r>
      <w:proofErr w:type="spellStart"/>
      <w:r w:rsidRPr="001B22FB">
        <w:t>signing</w:t>
      </w:r>
      <w:proofErr w:type="spellEnd"/>
      <w:r w:rsidRPr="001B22FB">
        <w:t xml:space="preserve"> </w:t>
      </w:r>
      <w:proofErr w:type="spellStart"/>
      <w:r w:rsidRPr="001B22FB">
        <w:t>days</w:t>
      </w:r>
      <w:proofErr w:type="spellEnd"/>
      <w:r w:rsidRPr="001B22FB">
        <w:t xml:space="preserve">, </w:t>
      </w:r>
      <w:proofErr w:type="spellStart"/>
      <w:r w:rsidRPr="001B22FB">
        <w:t>small-scale</w:t>
      </w:r>
      <w:proofErr w:type="spellEnd"/>
      <w:r w:rsidRPr="001B22FB">
        <w:t xml:space="preserve"> </w:t>
      </w:r>
      <w:proofErr w:type="spellStart"/>
      <w:r w:rsidRPr="001B22FB">
        <w:t>interviews</w:t>
      </w:r>
      <w:proofErr w:type="spellEnd"/>
      <w:r w:rsidRPr="001B22FB">
        <w:t xml:space="preserve">, </w:t>
      </w:r>
      <w:proofErr w:type="spellStart"/>
      <w:r w:rsidRPr="001B22FB">
        <w:t>book</w:t>
      </w:r>
      <w:proofErr w:type="spellEnd"/>
      <w:r w:rsidRPr="001B22FB">
        <w:t xml:space="preserve"> </w:t>
      </w:r>
      <w:proofErr w:type="spellStart"/>
      <w:r w:rsidRPr="001B22FB">
        <w:t>reading</w:t>
      </w:r>
      <w:proofErr w:type="spellEnd"/>
      <w:r w:rsidRPr="001B22FB">
        <w:t xml:space="preserve"> </w:t>
      </w:r>
      <w:proofErr w:type="spellStart"/>
      <w:r w:rsidRPr="001B22FB">
        <w:t>days</w:t>
      </w:r>
      <w:proofErr w:type="spellEnd"/>
      <w:r w:rsidRPr="001B22FB">
        <w:t xml:space="preserve">, </w:t>
      </w:r>
      <w:proofErr w:type="spellStart"/>
      <w:r w:rsidRPr="001B22FB">
        <w:t>and</w:t>
      </w:r>
      <w:proofErr w:type="spellEnd"/>
      <w:r w:rsidRPr="001B22FB">
        <w:t xml:space="preserve"> film </w:t>
      </w:r>
      <w:proofErr w:type="spellStart"/>
      <w:r w:rsidRPr="001B22FB">
        <w:t>analysis</w:t>
      </w:r>
      <w:proofErr w:type="spellEnd"/>
      <w:r w:rsidRPr="001B22FB">
        <w:t xml:space="preserve"> </w:t>
      </w:r>
      <w:proofErr w:type="spellStart"/>
      <w:r w:rsidRPr="001B22FB">
        <w:t>activities</w:t>
      </w:r>
      <w:proofErr w:type="spellEnd"/>
      <w:r w:rsidRPr="001B22FB">
        <w:t xml:space="preserve"> in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contribute</w:t>
      </w:r>
      <w:proofErr w:type="spellEnd"/>
      <w:r w:rsidRPr="001B22FB">
        <w:t xml:space="preserve"> </w:t>
      </w:r>
      <w:proofErr w:type="spellStart"/>
      <w:r w:rsidRPr="001B22FB">
        <w:t>to</w:t>
      </w:r>
      <w:proofErr w:type="spellEnd"/>
      <w:r w:rsidRPr="001B22FB">
        <w:t xml:space="preserve"> </w:t>
      </w:r>
      <w:proofErr w:type="spellStart"/>
      <w:r w:rsidRPr="001B22FB">
        <w:t>the</w:t>
      </w:r>
      <w:proofErr w:type="spellEnd"/>
      <w:r w:rsidRPr="001B22FB">
        <w:t xml:space="preserve"> </w:t>
      </w:r>
      <w:proofErr w:type="spellStart"/>
      <w:r w:rsidRPr="001B22FB">
        <w:t>socialization</w:t>
      </w:r>
      <w:proofErr w:type="spellEnd"/>
      <w:r w:rsidRPr="001B22FB">
        <w:t xml:space="preserve"> of </w:t>
      </w:r>
      <w:proofErr w:type="spellStart"/>
      <w:r w:rsidRPr="001B22FB">
        <w:t>people</w:t>
      </w:r>
      <w:proofErr w:type="spellEnd"/>
      <w:r w:rsidRPr="001B22FB">
        <w:t xml:space="preserve">. A </w:t>
      </w:r>
      <w:proofErr w:type="spellStart"/>
      <w:r w:rsidRPr="001B22FB">
        <w:t>synthesis</w:t>
      </w:r>
      <w:proofErr w:type="spellEnd"/>
      <w:r w:rsidRPr="001B22FB">
        <w:t xml:space="preserve"> of </w:t>
      </w:r>
      <w:proofErr w:type="spellStart"/>
      <w:r w:rsidRPr="001B22FB">
        <w:t>bookstores</w:t>
      </w:r>
      <w:proofErr w:type="spellEnd"/>
      <w:r w:rsidRPr="001B22FB">
        <w:t xml:space="preserve"> </w:t>
      </w:r>
      <w:proofErr w:type="spellStart"/>
      <w:r w:rsidRPr="001B22FB">
        <w:t>and</w:t>
      </w:r>
      <w:proofErr w:type="spellEnd"/>
      <w:r w:rsidRPr="001B22FB">
        <w:t xml:space="preserve"> </w:t>
      </w:r>
      <w:proofErr w:type="spellStart"/>
      <w:r w:rsidRPr="001B22FB">
        <w:t>cultural</w:t>
      </w:r>
      <w:proofErr w:type="spellEnd"/>
      <w:r w:rsidRPr="001B22FB">
        <w:t xml:space="preserve"> </w:t>
      </w:r>
      <w:proofErr w:type="spellStart"/>
      <w:r w:rsidRPr="001B22FB">
        <w:t>centers</w:t>
      </w:r>
      <w:proofErr w:type="spellEnd"/>
      <w:r w:rsidRPr="001B22FB">
        <w:t xml:space="preserve">,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have</w:t>
      </w:r>
      <w:proofErr w:type="spellEnd"/>
      <w:r w:rsidRPr="001B22FB">
        <w:t xml:space="preserve"> </w:t>
      </w:r>
      <w:proofErr w:type="spellStart"/>
      <w:r w:rsidRPr="001B22FB">
        <w:t>separate</w:t>
      </w:r>
      <w:proofErr w:type="spellEnd"/>
      <w:r w:rsidRPr="001B22FB">
        <w:t xml:space="preserve"> </w:t>
      </w:r>
      <w:proofErr w:type="spellStart"/>
      <w:r w:rsidRPr="001B22FB">
        <w:t>reading</w:t>
      </w:r>
      <w:proofErr w:type="spellEnd"/>
      <w:r w:rsidRPr="001B22FB">
        <w:t xml:space="preserve"> </w:t>
      </w:r>
      <w:proofErr w:type="spellStart"/>
      <w:r w:rsidRPr="001B22FB">
        <w:t>rooms</w:t>
      </w:r>
      <w:proofErr w:type="spellEnd"/>
      <w:r w:rsidRPr="001B22FB">
        <w:t xml:space="preserve"> </w:t>
      </w:r>
      <w:proofErr w:type="spellStart"/>
      <w:r w:rsidRPr="001B22FB">
        <w:t>that</w:t>
      </w:r>
      <w:proofErr w:type="spellEnd"/>
      <w:r w:rsidRPr="001B22FB">
        <w:t xml:space="preserve"> </w:t>
      </w:r>
      <w:proofErr w:type="spellStart"/>
      <w:r w:rsidRPr="001B22FB">
        <w:t>allow</w:t>
      </w:r>
      <w:proofErr w:type="spellEnd"/>
      <w:r w:rsidRPr="001B22FB">
        <w:t xml:space="preserve"> </w:t>
      </w:r>
      <w:proofErr w:type="spellStart"/>
      <w:r w:rsidRPr="001B22FB">
        <w:t>young</w:t>
      </w:r>
      <w:proofErr w:type="spellEnd"/>
      <w:r w:rsidRPr="001B22FB">
        <w:t xml:space="preserve"> </w:t>
      </w:r>
      <w:proofErr w:type="spellStart"/>
      <w:r w:rsidRPr="001B22FB">
        <w:t>people</w:t>
      </w:r>
      <w:proofErr w:type="spellEnd"/>
      <w:r w:rsidRPr="001B22FB">
        <w:t xml:space="preserve">, </w:t>
      </w:r>
      <w:proofErr w:type="spellStart"/>
      <w:r w:rsidRPr="001B22FB">
        <w:t>middle-aged</w:t>
      </w:r>
      <w:proofErr w:type="spellEnd"/>
      <w:r w:rsidRPr="001B22FB">
        <w:t xml:space="preserve"> </w:t>
      </w:r>
      <w:proofErr w:type="spellStart"/>
      <w:r w:rsidRPr="001B22FB">
        <w:t>people</w:t>
      </w:r>
      <w:proofErr w:type="spellEnd"/>
      <w:r w:rsidRPr="001B22FB">
        <w:t xml:space="preserve"> </w:t>
      </w:r>
      <w:proofErr w:type="spellStart"/>
      <w:r w:rsidRPr="001B22FB">
        <w:t>and</w:t>
      </w:r>
      <w:proofErr w:type="spellEnd"/>
      <w:r w:rsidRPr="001B22FB">
        <w:t xml:space="preserve"> </w:t>
      </w:r>
      <w:proofErr w:type="spellStart"/>
      <w:r w:rsidRPr="001B22FB">
        <w:t>book</w:t>
      </w:r>
      <w:proofErr w:type="spellEnd"/>
      <w:r w:rsidRPr="001B22FB">
        <w:t xml:space="preserve"> </w:t>
      </w:r>
      <w:proofErr w:type="spellStart"/>
      <w:r w:rsidRPr="001B22FB">
        <w:t>lovers</w:t>
      </w:r>
      <w:proofErr w:type="spellEnd"/>
      <w:r w:rsidRPr="001B22FB">
        <w:t xml:space="preserve"> </w:t>
      </w:r>
      <w:proofErr w:type="spellStart"/>
      <w:r w:rsidRPr="001B22FB">
        <w:t>to</w:t>
      </w:r>
      <w:proofErr w:type="spellEnd"/>
      <w:r w:rsidRPr="001B22FB">
        <w:t xml:space="preserve"> </w:t>
      </w:r>
      <w:proofErr w:type="spellStart"/>
      <w:r w:rsidRPr="001B22FB">
        <w:t>read</w:t>
      </w:r>
      <w:proofErr w:type="spellEnd"/>
      <w:r w:rsidRPr="001B22FB">
        <w:t xml:space="preserve"> </w:t>
      </w:r>
      <w:proofErr w:type="spellStart"/>
      <w:r w:rsidRPr="001B22FB">
        <w:t>and</w:t>
      </w:r>
      <w:proofErr w:type="spellEnd"/>
      <w:r w:rsidRPr="001B22FB">
        <w:t xml:space="preserve"> </w:t>
      </w:r>
      <w:proofErr w:type="spellStart"/>
      <w:r w:rsidRPr="001B22FB">
        <w:t>study</w:t>
      </w:r>
      <w:proofErr w:type="spellEnd"/>
      <w:r w:rsidRPr="001B22FB">
        <w:t xml:space="preserve"> </w:t>
      </w:r>
      <w:proofErr w:type="spellStart"/>
      <w:r w:rsidRPr="001B22FB">
        <w:t>alone</w:t>
      </w:r>
      <w:proofErr w:type="spellEnd"/>
      <w:r w:rsidRPr="001B22FB">
        <w:t xml:space="preserve"> </w:t>
      </w:r>
      <w:proofErr w:type="spellStart"/>
      <w:r w:rsidRPr="001B22FB">
        <w:t>or</w:t>
      </w:r>
      <w:proofErr w:type="spellEnd"/>
      <w:r w:rsidRPr="001B22FB">
        <w:t xml:space="preserve"> </w:t>
      </w:r>
      <w:proofErr w:type="spellStart"/>
      <w:r w:rsidRPr="001B22FB">
        <w:t>with</w:t>
      </w:r>
      <w:proofErr w:type="spellEnd"/>
      <w:r w:rsidRPr="001B22FB">
        <w:t xml:space="preserve"> </w:t>
      </w:r>
      <w:proofErr w:type="spellStart"/>
      <w:r w:rsidRPr="001B22FB">
        <w:t>friends</w:t>
      </w:r>
      <w:proofErr w:type="spellEnd"/>
      <w:r w:rsidRPr="001B22FB">
        <w:t xml:space="preserve"> </w:t>
      </w:r>
      <w:proofErr w:type="spellStart"/>
      <w:r w:rsidRPr="001B22FB">
        <w:t>and</w:t>
      </w:r>
      <w:proofErr w:type="spellEnd"/>
      <w:r w:rsidRPr="001B22FB">
        <w:t xml:space="preserve"> </w:t>
      </w:r>
      <w:proofErr w:type="spellStart"/>
      <w:r w:rsidRPr="001B22FB">
        <w:t>acquaintances</w:t>
      </w:r>
      <w:proofErr w:type="spellEnd"/>
      <w:r w:rsidRPr="001B22FB">
        <w:t xml:space="preserve">, as </w:t>
      </w:r>
      <w:proofErr w:type="spellStart"/>
      <w:r w:rsidRPr="001B22FB">
        <w:t>well</w:t>
      </w:r>
      <w:proofErr w:type="spellEnd"/>
      <w:r w:rsidRPr="001B22FB">
        <w:t xml:space="preserve"> as </w:t>
      </w:r>
      <w:proofErr w:type="spellStart"/>
      <w:r w:rsidRPr="001B22FB">
        <w:t>group</w:t>
      </w:r>
      <w:proofErr w:type="spellEnd"/>
      <w:r w:rsidRPr="001B22FB">
        <w:t xml:space="preserve"> </w:t>
      </w:r>
      <w:proofErr w:type="spellStart"/>
      <w:r w:rsidRPr="001B22FB">
        <w:t>work</w:t>
      </w:r>
      <w:proofErr w:type="spellEnd"/>
      <w:r w:rsidRPr="001B22FB">
        <w:t xml:space="preserve"> </w:t>
      </w:r>
      <w:proofErr w:type="spellStart"/>
      <w:r w:rsidRPr="001B22FB">
        <w:t>and</w:t>
      </w:r>
      <w:proofErr w:type="spellEnd"/>
      <w:r w:rsidRPr="001B22FB">
        <w:t xml:space="preserve"> </w:t>
      </w:r>
      <w:proofErr w:type="spellStart"/>
      <w:r w:rsidRPr="001B22FB">
        <w:t>business</w:t>
      </w:r>
      <w:proofErr w:type="spellEnd"/>
      <w:r w:rsidRPr="001B22FB">
        <w:t xml:space="preserve"> </w:t>
      </w:r>
      <w:proofErr w:type="spellStart"/>
      <w:r w:rsidRPr="001B22FB">
        <w:t>meetings</w:t>
      </w:r>
      <w:proofErr w:type="spellEnd"/>
      <w:r w:rsidRPr="001B22FB">
        <w:t xml:space="preserve">. </w:t>
      </w:r>
      <w:proofErr w:type="spellStart"/>
      <w:r w:rsidRPr="001B22FB">
        <w:t>Providing</w:t>
      </w:r>
      <w:proofErr w:type="spellEnd"/>
      <w:r w:rsidRPr="001B22FB">
        <w:t xml:space="preserve"> </w:t>
      </w:r>
      <w:proofErr w:type="spellStart"/>
      <w:r w:rsidRPr="001B22FB">
        <w:t>this</w:t>
      </w:r>
      <w:proofErr w:type="spellEnd"/>
      <w:r w:rsidRPr="001B22FB">
        <w:t xml:space="preserve"> </w:t>
      </w:r>
      <w:proofErr w:type="spellStart"/>
      <w:r w:rsidRPr="001B22FB">
        <w:t>environment</w:t>
      </w:r>
      <w:proofErr w:type="spellEnd"/>
      <w:r w:rsidRPr="001B22FB">
        <w:t xml:space="preserve"> </w:t>
      </w:r>
      <w:proofErr w:type="spellStart"/>
      <w:r w:rsidRPr="001B22FB">
        <w:t>increases</w:t>
      </w:r>
      <w:proofErr w:type="spellEnd"/>
      <w:r w:rsidRPr="001B22FB">
        <w:t xml:space="preserve"> </w:t>
      </w:r>
      <w:proofErr w:type="spellStart"/>
      <w:r w:rsidRPr="001B22FB">
        <w:t>the</w:t>
      </w:r>
      <w:proofErr w:type="spellEnd"/>
      <w:r w:rsidRPr="001B22FB">
        <w:t xml:space="preserve"> </w:t>
      </w:r>
      <w:proofErr w:type="spellStart"/>
      <w:r w:rsidRPr="001B22FB">
        <w:t>interaction</w:t>
      </w:r>
      <w:proofErr w:type="spellEnd"/>
      <w:r w:rsidRPr="001B22FB">
        <w:t xml:space="preserve"> of </w:t>
      </w:r>
      <w:proofErr w:type="spellStart"/>
      <w:r w:rsidRPr="001B22FB">
        <w:t>individuals</w:t>
      </w:r>
      <w:proofErr w:type="spellEnd"/>
      <w:r w:rsidRPr="001B22FB">
        <w:t xml:space="preserve"> </w:t>
      </w:r>
      <w:proofErr w:type="spellStart"/>
      <w:r w:rsidRPr="001B22FB">
        <w:t>with</w:t>
      </w:r>
      <w:proofErr w:type="spellEnd"/>
      <w:r w:rsidRPr="001B22FB">
        <w:t xml:space="preserve"> </w:t>
      </w:r>
      <w:proofErr w:type="spellStart"/>
      <w:r w:rsidRPr="001B22FB">
        <w:t>each</w:t>
      </w:r>
      <w:proofErr w:type="spellEnd"/>
      <w:r w:rsidRPr="001B22FB">
        <w:t xml:space="preserve"> </w:t>
      </w:r>
      <w:proofErr w:type="spellStart"/>
      <w:r w:rsidRPr="001B22FB">
        <w:t>other</w:t>
      </w:r>
      <w:proofErr w:type="spellEnd"/>
      <w:r w:rsidRPr="001B22FB">
        <w:t xml:space="preserve">. </w:t>
      </w:r>
      <w:proofErr w:type="spellStart"/>
      <w:r w:rsidRPr="001B22FB">
        <w:t>This</w:t>
      </w:r>
      <w:proofErr w:type="spellEnd"/>
      <w:r w:rsidRPr="001B22FB">
        <w:t xml:space="preserve"> </w:t>
      </w:r>
      <w:proofErr w:type="spellStart"/>
      <w:r w:rsidRPr="001B22FB">
        <w:t>study</w:t>
      </w:r>
      <w:proofErr w:type="spellEnd"/>
      <w:r w:rsidRPr="001B22FB">
        <w:t xml:space="preserve"> </w:t>
      </w:r>
      <w:proofErr w:type="spellStart"/>
      <w:r w:rsidRPr="001B22FB">
        <w:t>aims</w:t>
      </w:r>
      <w:proofErr w:type="spellEnd"/>
      <w:r w:rsidRPr="001B22FB">
        <w:t xml:space="preserve"> </w:t>
      </w:r>
      <w:proofErr w:type="spellStart"/>
      <w:r w:rsidRPr="001B22FB">
        <w:t>to</w:t>
      </w:r>
      <w:proofErr w:type="spellEnd"/>
      <w:r w:rsidRPr="001B22FB">
        <w:t xml:space="preserve"> </w:t>
      </w:r>
      <w:proofErr w:type="spellStart"/>
      <w:r w:rsidRPr="001B22FB">
        <w:t>reveal</w:t>
      </w:r>
      <w:proofErr w:type="spellEnd"/>
      <w:r w:rsidRPr="001B22FB">
        <w:t xml:space="preserve"> how </w:t>
      </w:r>
      <w:proofErr w:type="spellStart"/>
      <w:r w:rsidRPr="001B22FB">
        <w:t>the</w:t>
      </w:r>
      <w:proofErr w:type="spellEnd"/>
      <w:r w:rsidRPr="001B22FB">
        <w:t xml:space="preserve"> network of </w:t>
      </w:r>
      <w:proofErr w:type="spellStart"/>
      <w:r w:rsidRPr="001B22FB">
        <w:t>social</w:t>
      </w:r>
      <w:proofErr w:type="spellEnd"/>
      <w:r w:rsidRPr="001B22FB">
        <w:t xml:space="preserve"> </w:t>
      </w:r>
      <w:proofErr w:type="spellStart"/>
      <w:r w:rsidRPr="001B22FB">
        <w:t>relations</w:t>
      </w:r>
      <w:proofErr w:type="spellEnd"/>
      <w:r w:rsidRPr="001B22FB">
        <w:t xml:space="preserve">, </w:t>
      </w:r>
      <w:proofErr w:type="spellStart"/>
      <w:r w:rsidRPr="001B22FB">
        <w:t>which</w:t>
      </w:r>
      <w:proofErr w:type="spellEnd"/>
      <w:r w:rsidRPr="001B22FB">
        <w:t xml:space="preserve"> is a form of </w:t>
      </w:r>
      <w:proofErr w:type="spellStart"/>
      <w:r w:rsidRPr="001B22FB">
        <w:t>social</w:t>
      </w:r>
      <w:proofErr w:type="spellEnd"/>
      <w:r w:rsidRPr="001B22FB">
        <w:t xml:space="preserve"> </w:t>
      </w:r>
      <w:proofErr w:type="spellStart"/>
      <w:r w:rsidRPr="001B22FB">
        <w:t>behavior</w:t>
      </w:r>
      <w:proofErr w:type="spellEnd"/>
      <w:r w:rsidRPr="001B22FB">
        <w:t xml:space="preserve">, is </w:t>
      </w:r>
      <w:proofErr w:type="spellStart"/>
      <w:r w:rsidRPr="001B22FB">
        <w:t>carried</w:t>
      </w:r>
      <w:proofErr w:type="spellEnd"/>
      <w:r w:rsidRPr="001B22FB">
        <w:t xml:space="preserve"> </w:t>
      </w:r>
      <w:proofErr w:type="spellStart"/>
      <w:r w:rsidRPr="001B22FB">
        <w:t>out</w:t>
      </w:r>
      <w:proofErr w:type="spellEnd"/>
      <w:r w:rsidRPr="001B22FB">
        <w:t xml:space="preserve"> </w:t>
      </w:r>
      <w:proofErr w:type="spellStart"/>
      <w:r w:rsidRPr="001B22FB">
        <w:t>through</w:t>
      </w:r>
      <w:proofErr w:type="spellEnd"/>
      <w:r w:rsidRPr="001B22FB">
        <w:t xml:space="preserve">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today</w:t>
      </w:r>
      <w:proofErr w:type="spellEnd"/>
      <w:r w:rsidRPr="001B22FB">
        <w:t xml:space="preserve">. A </w:t>
      </w:r>
      <w:proofErr w:type="spellStart"/>
      <w:r w:rsidRPr="001B22FB">
        <w:t>typology</w:t>
      </w:r>
      <w:proofErr w:type="spellEnd"/>
      <w:r w:rsidRPr="001B22FB">
        <w:t xml:space="preserve"> of </w:t>
      </w:r>
      <w:proofErr w:type="spellStart"/>
      <w:r w:rsidRPr="001B22FB">
        <w:t>book</w:t>
      </w:r>
      <w:proofErr w:type="spellEnd"/>
      <w:r w:rsidRPr="001B22FB">
        <w:t xml:space="preserve"> </w:t>
      </w:r>
      <w:proofErr w:type="spellStart"/>
      <w:r w:rsidRPr="001B22FB">
        <w:t>cafes</w:t>
      </w:r>
      <w:proofErr w:type="spellEnd"/>
      <w:r w:rsidRPr="001B22FB">
        <w:t xml:space="preserve"> </w:t>
      </w:r>
      <w:proofErr w:type="spellStart"/>
      <w:r w:rsidRPr="001B22FB">
        <w:t>will</w:t>
      </w:r>
      <w:proofErr w:type="spellEnd"/>
      <w:r w:rsidRPr="001B22FB">
        <w:t xml:space="preserve"> be </w:t>
      </w:r>
      <w:proofErr w:type="spellStart"/>
      <w:r w:rsidRPr="001B22FB">
        <w:t>created</w:t>
      </w:r>
      <w:proofErr w:type="spellEnd"/>
      <w:r w:rsidRPr="001B22FB">
        <w:t xml:space="preserve"> </w:t>
      </w:r>
      <w:proofErr w:type="spellStart"/>
      <w:r w:rsidRPr="001B22FB">
        <w:t>by</w:t>
      </w:r>
      <w:proofErr w:type="spellEnd"/>
      <w:r w:rsidRPr="001B22FB">
        <w:t xml:space="preserve"> </w:t>
      </w:r>
      <w:proofErr w:type="spellStart"/>
      <w:r w:rsidRPr="001B22FB">
        <w:t>identifying</w:t>
      </w:r>
      <w:proofErr w:type="spellEnd"/>
      <w:r w:rsidRPr="001B22FB">
        <w:t xml:space="preserve"> </w:t>
      </w:r>
      <w:proofErr w:type="spellStart"/>
      <w:r w:rsidRPr="001B22FB">
        <w:t>their</w:t>
      </w:r>
      <w:proofErr w:type="spellEnd"/>
      <w:r w:rsidRPr="001B22FB">
        <w:t xml:space="preserve"> </w:t>
      </w:r>
      <w:proofErr w:type="spellStart"/>
      <w:r w:rsidRPr="001B22FB">
        <w:t>differentiated</w:t>
      </w:r>
      <w:proofErr w:type="spellEnd"/>
      <w:r w:rsidRPr="001B22FB">
        <w:t xml:space="preserve"> </w:t>
      </w:r>
      <w:proofErr w:type="spellStart"/>
      <w:r w:rsidRPr="001B22FB">
        <w:t>functions</w:t>
      </w:r>
      <w:proofErr w:type="spellEnd"/>
      <w:r w:rsidRPr="001B22FB">
        <w:t xml:space="preserve">. </w:t>
      </w:r>
      <w:proofErr w:type="spellStart"/>
      <w:r w:rsidRPr="001B22FB">
        <w:t>The</w:t>
      </w:r>
      <w:proofErr w:type="spellEnd"/>
      <w:r w:rsidRPr="001B22FB">
        <w:t xml:space="preserve"> main </w:t>
      </w:r>
      <w:proofErr w:type="spellStart"/>
      <w:r w:rsidRPr="001B22FB">
        <w:t>question</w:t>
      </w:r>
      <w:proofErr w:type="spellEnd"/>
      <w:r w:rsidRPr="001B22FB">
        <w:t xml:space="preserve"> of </w:t>
      </w:r>
      <w:proofErr w:type="spellStart"/>
      <w:r w:rsidRPr="001B22FB">
        <w:t>the</w:t>
      </w:r>
      <w:proofErr w:type="spellEnd"/>
      <w:r w:rsidRPr="001B22FB">
        <w:t xml:space="preserve"> </w:t>
      </w:r>
      <w:proofErr w:type="spellStart"/>
      <w:r w:rsidRPr="001B22FB">
        <w:t>research</w:t>
      </w:r>
      <w:proofErr w:type="spellEnd"/>
      <w:r w:rsidRPr="001B22FB">
        <w:t xml:space="preserve"> is </w:t>
      </w:r>
      <w:proofErr w:type="spellStart"/>
      <w:r w:rsidRPr="001B22FB">
        <w:t>to</w:t>
      </w:r>
      <w:proofErr w:type="spellEnd"/>
      <w:r w:rsidRPr="001B22FB">
        <w:t xml:space="preserve"> </w:t>
      </w:r>
      <w:proofErr w:type="spellStart"/>
      <w:r w:rsidRPr="001B22FB">
        <w:t>understand</w:t>
      </w:r>
      <w:proofErr w:type="spellEnd"/>
      <w:r w:rsidRPr="001B22FB">
        <w:t xml:space="preserve"> how </w:t>
      </w:r>
      <w:proofErr w:type="spellStart"/>
      <w:r w:rsidRPr="001B22FB">
        <w:t>the</w:t>
      </w:r>
      <w:proofErr w:type="spellEnd"/>
      <w:r w:rsidRPr="001B22FB">
        <w:t xml:space="preserve"> </w:t>
      </w:r>
      <w:proofErr w:type="spellStart"/>
      <w:r w:rsidRPr="001B22FB">
        <w:t>regulars</w:t>
      </w:r>
      <w:proofErr w:type="spellEnd"/>
      <w:r w:rsidRPr="001B22FB">
        <w:t xml:space="preserve"> of </w:t>
      </w:r>
      <w:proofErr w:type="spellStart"/>
      <w:r w:rsidRPr="001B22FB">
        <w:t>book</w:t>
      </w:r>
      <w:proofErr w:type="spellEnd"/>
      <w:r w:rsidRPr="001B22FB">
        <w:t xml:space="preserve"> </w:t>
      </w:r>
      <w:proofErr w:type="spellStart"/>
      <w:r w:rsidRPr="001B22FB">
        <w:t>cafes</w:t>
      </w:r>
      <w:proofErr w:type="spellEnd"/>
      <w:r w:rsidRPr="001B22FB">
        <w:t xml:space="preserve"> as a </w:t>
      </w:r>
      <w:proofErr w:type="spellStart"/>
      <w:r w:rsidRPr="001B22FB">
        <w:t>new</w:t>
      </w:r>
      <w:proofErr w:type="spellEnd"/>
      <w:r w:rsidRPr="001B22FB">
        <w:t xml:space="preserve"> </w:t>
      </w:r>
      <w:proofErr w:type="spellStart"/>
      <w:r w:rsidRPr="001B22FB">
        <w:t>space</w:t>
      </w:r>
      <w:proofErr w:type="spellEnd"/>
      <w:r w:rsidRPr="001B22FB">
        <w:t xml:space="preserve"> </w:t>
      </w:r>
      <w:proofErr w:type="spellStart"/>
      <w:r w:rsidRPr="001B22FB">
        <w:t>design</w:t>
      </w:r>
      <w:proofErr w:type="spellEnd"/>
      <w:r w:rsidRPr="001B22FB">
        <w:t xml:space="preserve"> realize </w:t>
      </w:r>
      <w:proofErr w:type="spellStart"/>
      <w:r w:rsidRPr="001B22FB">
        <w:t>their</w:t>
      </w:r>
      <w:proofErr w:type="spellEnd"/>
      <w:r w:rsidRPr="001B22FB">
        <w:t xml:space="preserve"> </w:t>
      </w:r>
      <w:proofErr w:type="spellStart"/>
      <w:r w:rsidRPr="001B22FB">
        <w:t>relationship</w:t>
      </w:r>
      <w:proofErr w:type="spellEnd"/>
      <w:r w:rsidRPr="001B22FB">
        <w:t xml:space="preserve"> </w:t>
      </w:r>
      <w:proofErr w:type="spellStart"/>
      <w:r w:rsidRPr="001B22FB">
        <w:t>with</w:t>
      </w:r>
      <w:proofErr w:type="spellEnd"/>
      <w:r w:rsidRPr="001B22FB">
        <w:t xml:space="preserve"> </w:t>
      </w:r>
      <w:proofErr w:type="spellStart"/>
      <w:r w:rsidRPr="001B22FB">
        <w:t>these</w:t>
      </w:r>
      <w:proofErr w:type="spellEnd"/>
      <w:r w:rsidRPr="001B22FB">
        <w:t xml:space="preserve"> </w:t>
      </w:r>
      <w:proofErr w:type="spellStart"/>
      <w:r w:rsidRPr="001B22FB">
        <w:t>spaces</w:t>
      </w:r>
      <w:proofErr w:type="spellEnd"/>
      <w:r w:rsidRPr="001B22FB">
        <w:t xml:space="preserve">. </w:t>
      </w:r>
      <w:proofErr w:type="spellStart"/>
      <w:r w:rsidRPr="001B22FB">
        <w:t>In</w:t>
      </w:r>
      <w:proofErr w:type="spellEnd"/>
      <w:r w:rsidRPr="001B22FB">
        <w:t xml:space="preserve"> </w:t>
      </w:r>
      <w:proofErr w:type="spellStart"/>
      <w:r w:rsidRPr="001B22FB">
        <w:t>this</w:t>
      </w:r>
      <w:proofErr w:type="spellEnd"/>
      <w:r w:rsidRPr="001B22FB">
        <w:t xml:space="preserve"> </w:t>
      </w:r>
      <w:proofErr w:type="spellStart"/>
      <w:r w:rsidRPr="001B22FB">
        <w:t>context</w:t>
      </w:r>
      <w:proofErr w:type="spellEnd"/>
      <w:r w:rsidRPr="001B22FB">
        <w:t xml:space="preserve">, </w:t>
      </w:r>
      <w:proofErr w:type="spellStart"/>
      <w:r w:rsidRPr="001B22FB">
        <w:t>the</w:t>
      </w:r>
      <w:proofErr w:type="spellEnd"/>
      <w:r w:rsidRPr="001B22FB">
        <w:t xml:space="preserve"> </w:t>
      </w:r>
      <w:proofErr w:type="spellStart"/>
      <w:r w:rsidRPr="001B22FB">
        <w:t>study</w:t>
      </w:r>
      <w:proofErr w:type="spellEnd"/>
      <w:r w:rsidRPr="001B22FB">
        <w:t xml:space="preserve"> </w:t>
      </w:r>
      <w:proofErr w:type="spellStart"/>
      <w:r w:rsidRPr="001B22FB">
        <w:t>focuses</w:t>
      </w:r>
      <w:proofErr w:type="spellEnd"/>
      <w:r w:rsidRPr="001B22FB">
        <w:t xml:space="preserve"> on how </w:t>
      </w:r>
      <w:proofErr w:type="spellStart"/>
      <w:r w:rsidRPr="001B22FB">
        <w:t>book</w:t>
      </w:r>
      <w:proofErr w:type="spellEnd"/>
      <w:r w:rsidRPr="001B22FB">
        <w:t xml:space="preserve"> </w:t>
      </w:r>
      <w:proofErr w:type="spellStart"/>
      <w:r w:rsidRPr="001B22FB">
        <w:t>café</w:t>
      </w:r>
      <w:proofErr w:type="spellEnd"/>
      <w:r w:rsidRPr="001B22FB">
        <w:t xml:space="preserve"> </w:t>
      </w:r>
      <w:proofErr w:type="spellStart"/>
      <w:r w:rsidRPr="001B22FB">
        <w:t>patrons</w:t>
      </w:r>
      <w:proofErr w:type="spellEnd"/>
      <w:r w:rsidRPr="001B22FB">
        <w:t xml:space="preserve"> </w:t>
      </w:r>
      <w:proofErr w:type="spellStart"/>
      <w:r w:rsidRPr="001B22FB">
        <w:t>experience</w:t>
      </w:r>
      <w:proofErr w:type="spellEnd"/>
      <w:r w:rsidRPr="001B22FB">
        <w:t xml:space="preserve"> </w:t>
      </w:r>
      <w:proofErr w:type="spellStart"/>
      <w:r w:rsidRPr="001B22FB">
        <w:t>the</w:t>
      </w:r>
      <w:proofErr w:type="spellEnd"/>
      <w:r w:rsidRPr="001B22FB">
        <w:t xml:space="preserve"> </w:t>
      </w:r>
      <w:proofErr w:type="spellStart"/>
      <w:r w:rsidRPr="001B22FB">
        <w:t>space</w:t>
      </w:r>
      <w:proofErr w:type="spellEnd"/>
      <w:r w:rsidRPr="001B22FB">
        <w:t xml:space="preserve"> </w:t>
      </w:r>
      <w:proofErr w:type="spellStart"/>
      <w:r w:rsidRPr="001B22FB">
        <w:t>and</w:t>
      </w:r>
      <w:proofErr w:type="spellEnd"/>
      <w:r w:rsidRPr="001B22FB">
        <w:t xml:space="preserve"> </w:t>
      </w:r>
      <w:proofErr w:type="spellStart"/>
      <w:r w:rsidRPr="001B22FB">
        <w:t>tries</w:t>
      </w:r>
      <w:proofErr w:type="spellEnd"/>
      <w:r w:rsidRPr="001B22FB">
        <w:t xml:space="preserve"> </w:t>
      </w:r>
      <w:proofErr w:type="spellStart"/>
      <w:r w:rsidRPr="001B22FB">
        <w:t>to</w:t>
      </w:r>
      <w:proofErr w:type="spellEnd"/>
      <w:r w:rsidRPr="001B22FB">
        <w:t xml:space="preserve"> </w:t>
      </w:r>
      <w:proofErr w:type="spellStart"/>
      <w:r w:rsidRPr="001B22FB">
        <w:t>understand</w:t>
      </w:r>
      <w:proofErr w:type="spellEnd"/>
      <w:r w:rsidRPr="001B22FB">
        <w:t xml:space="preserve"> </w:t>
      </w:r>
      <w:proofErr w:type="spellStart"/>
      <w:r w:rsidRPr="001B22FB">
        <w:t>the</w:t>
      </w:r>
      <w:proofErr w:type="spellEnd"/>
      <w:r w:rsidRPr="001B22FB">
        <w:t xml:space="preserve"> </w:t>
      </w:r>
      <w:proofErr w:type="spellStart"/>
      <w:r w:rsidRPr="001B22FB">
        <w:t>relationship</w:t>
      </w:r>
      <w:proofErr w:type="spellEnd"/>
      <w:r w:rsidRPr="001B22FB">
        <w:t xml:space="preserve"> </w:t>
      </w:r>
      <w:proofErr w:type="spellStart"/>
      <w:r w:rsidRPr="001B22FB">
        <w:t>between</w:t>
      </w:r>
      <w:proofErr w:type="spellEnd"/>
      <w:r w:rsidRPr="001B22FB">
        <w:t xml:space="preserve"> </w:t>
      </w:r>
      <w:proofErr w:type="spellStart"/>
      <w:r w:rsidRPr="001B22FB">
        <w:t>identity</w:t>
      </w:r>
      <w:proofErr w:type="spellEnd"/>
      <w:r w:rsidRPr="001B22FB">
        <w:t xml:space="preserve"> </w:t>
      </w:r>
      <w:proofErr w:type="spellStart"/>
      <w:r w:rsidRPr="001B22FB">
        <w:t>and</w:t>
      </w:r>
      <w:proofErr w:type="spellEnd"/>
      <w:r w:rsidRPr="001B22FB">
        <w:t xml:space="preserve"> </w:t>
      </w:r>
      <w:proofErr w:type="spellStart"/>
      <w:r w:rsidRPr="001B22FB">
        <w:t>space</w:t>
      </w:r>
      <w:proofErr w:type="spellEnd"/>
      <w:r w:rsidRPr="001B22FB">
        <w:t xml:space="preserve">. </w:t>
      </w:r>
      <w:proofErr w:type="spellStart"/>
      <w:r w:rsidRPr="001B22FB">
        <w:t>The</w:t>
      </w:r>
      <w:proofErr w:type="spellEnd"/>
      <w:r w:rsidRPr="001B22FB">
        <w:t xml:space="preserve"> </w:t>
      </w:r>
      <w:proofErr w:type="spellStart"/>
      <w:r w:rsidRPr="001B22FB">
        <w:t>sample</w:t>
      </w:r>
      <w:proofErr w:type="spellEnd"/>
      <w:r w:rsidRPr="001B22FB">
        <w:t xml:space="preserve"> of </w:t>
      </w:r>
      <w:proofErr w:type="spellStart"/>
      <w:r w:rsidRPr="001B22FB">
        <w:t>this</w:t>
      </w:r>
      <w:proofErr w:type="spellEnd"/>
      <w:r w:rsidRPr="001B22FB">
        <w:t xml:space="preserve"> </w:t>
      </w:r>
      <w:proofErr w:type="spellStart"/>
      <w:r w:rsidRPr="001B22FB">
        <w:t>study</w:t>
      </w:r>
      <w:proofErr w:type="spellEnd"/>
      <w:r w:rsidRPr="001B22FB">
        <w:t xml:space="preserve">, </w:t>
      </w:r>
      <w:proofErr w:type="spellStart"/>
      <w:r w:rsidRPr="001B22FB">
        <w:t>which</w:t>
      </w:r>
      <w:proofErr w:type="spellEnd"/>
      <w:r w:rsidRPr="001B22FB">
        <w:t xml:space="preserve"> </w:t>
      </w:r>
      <w:proofErr w:type="spellStart"/>
      <w:r w:rsidRPr="001B22FB">
        <w:t>was</w:t>
      </w:r>
      <w:proofErr w:type="spellEnd"/>
      <w:r w:rsidRPr="001B22FB">
        <w:t xml:space="preserve"> </w:t>
      </w:r>
      <w:proofErr w:type="spellStart"/>
      <w:r w:rsidRPr="001B22FB">
        <w:t>designed</w:t>
      </w:r>
      <w:proofErr w:type="spellEnd"/>
      <w:r w:rsidRPr="001B22FB">
        <w:t xml:space="preserve"> </w:t>
      </w:r>
      <w:proofErr w:type="spellStart"/>
      <w:r w:rsidRPr="001B22FB">
        <w:t>according</w:t>
      </w:r>
      <w:proofErr w:type="spellEnd"/>
      <w:r w:rsidRPr="001B22FB">
        <w:t xml:space="preserve"> </w:t>
      </w:r>
      <w:proofErr w:type="spellStart"/>
      <w:r w:rsidRPr="001B22FB">
        <w:t>to</w:t>
      </w:r>
      <w:proofErr w:type="spellEnd"/>
      <w:r w:rsidRPr="001B22FB">
        <w:t xml:space="preserve"> a </w:t>
      </w:r>
      <w:proofErr w:type="spellStart"/>
      <w:r w:rsidRPr="001B22FB">
        <w:t>qualitative</w:t>
      </w:r>
      <w:proofErr w:type="spellEnd"/>
      <w:r w:rsidRPr="001B22FB">
        <w:t xml:space="preserve"> </w:t>
      </w:r>
      <w:proofErr w:type="spellStart"/>
      <w:r w:rsidRPr="001B22FB">
        <w:t>research</w:t>
      </w:r>
      <w:proofErr w:type="spellEnd"/>
      <w:r w:rsidRPr="001B22FB">
        <w:t xml:space="preserve"> </w:t>
      </w:r>
      <w:proofErr w:type="spellStart"/>
      <w:r w:rsidRPr="001B22FB">
        <w:t>design</w:t>
      </w:r>
      <w:proofErr w:type="spellEnd"/>
      <w:r w:rsidRPr="001B22FB">
        <w:t xml:space="preserve"> </w:t>
      </w:r>
      <w:proofErr w:type="spellStart"/>
      <w:r w:rsidRPr="001B22FB">
        <w:t>and</w:t>
      </w:r>
      <w:proofErr w:type="spellEnd"/>
      <w:r w:rsidRPr="001B22FB">
        <w:t xml:space="preserve"> </w:t>
      </w:r>
      <w:proofErr w:type="spellStart"/>
      <w:r w:rsidRPr="001B22FB">
        <w:t>based</w:t>
      </w:r>
      <w:proofErr w:type="spellEnd"/>
      <w:r w:rsidRPr="001B22FB">
        <w:t xml:space="preserve"> on semi-</w:t>
      </w:r>
      <w:proofErr w:type="spellStart"/>
      <w:r w:rsidRPr="001B22FB">
        <w:t>structured</w:t>
      </w:r>
      <w:proofErr w:type="spellEnd"/>
      <w:r w:rsidRPr="001B22FB">
        <w:t xml:space="preserve"> </w:t>
      </w:r>
      <w:proofErr w:type="spellStart"/>
      <w:r w:rsidRPr="001B22FB">
        <w:t>interviews</w:t>
      </w:r>
      <w:proofErr w:type="spellEnd"/>
      <w:r w:rsidRPr="001B22FB">
        <w:t xml:space="preserve"> </w:t>
      </w:r>
      <w:proofErr w:type="spellStart"/>
      <w:r w:rsidRPr="001B22FB">
        <w:t>with</w:t>
      </w:r>
      <w:proofErr w:type="spellEnd"/>
      <w:r w:rsidRPr="001B22FB">
        <w:t xml:space="preserve"> </w:t>
      </w:r>
      <w:proofErr w:type="spellStart"/>
      <w:r w:rsidRPr="001B22FB">
        <w:t>six</w:t>
      </w:r>
      <w:proofErr w:type="spellEnd"/>
      <w:r w:rsidRPr="001B22FB">
        <w:t xml:space="preserve"> </w:t>
      </w:r>
      <w:proofErr w:type="spellStart"/>
      <w:r w:rsidRPr="001B22FB">
        <w:t>participants</w:t>
      </w:r>
      <w:proofErr w:type="spellEnd"/>
      <w:r w:rsidRPr="001B22FB">
        <w:t xml:space="preserve">, </w:t>
      </w:r>
      <w:proofErr w:type="spellStart"/>
      <w:r w:rsidRPr="001B22FB">
        <w:t>consists</w:t>
      </w:r>
      <w:proofErr w:type="spellEnd"/>
      <w:r w:rsidRPr="001B22FB">
        <w:t xml:space="preserve"> of Eflatun Kitap Kafe </w:t>
      </w:r>
      <w:proofErr w:type="spellStart"/>
      <w:r w:rsidRPr="001B22FB">
        <w:t>and</w:t>
      </w:r>
      <w:proofErr w:type="spellEnd"/>
      <w:r w:rsidRPr="001B22FB">
        <w:t xml:space="preserve"> Cingöz Kütüphane in Atakum, Samsun. </w:t>
      </w:r>
      <w:proofErr w:type="spellStart"/>
      <w:r w:rsidRPr="001B22FB">
        <w:t>The</w:t>
      </w:r>
      <w:proofErr w:type="spellEnd"/>
      <w:r w:rsidRPr="001B22FB">
        <w:t xml:space="preserve"> </w:t>
      </w:r>
      <w:proofErr w:type="spellStart"/>
      <w:r w:rsidRPr="001B22FB">
        <w:t>conclusions</w:t>
      </w:r>
      <w:proofErr w:type="spellEnd"/>
      <w:r w:rsidRPr="001B22FB">
        <w:t xml:space="preserve"> of </w:t>
      </w:r>
      <w:proofErr w:type="spellStart"/>
      <w:r w:rsidRPr="001B22FB">
        <w:t>the</w:t>
      </w:r>
      <w:proofErr w:type="spellEnd"/>
      <w:r w:rsidRPr="001B22FB">
        <w:t xml:space="preserve"> </w:t>
      </w:r>
      <w:proofErr w:type="spellStart"/>
      <w:r w:rsidRPr="001B22FB">
        <w:t>study</w:t>
      </w:r>
      <w:proofErr w:type="spellEnd"/>
      <w:r w:rsidRPr="001B22FB">
        <w:t xml:space="preserve"> can be </w:t>
      </w:r>
      <w:proofErr w:type="spellStart"/>
      <w:r w:rsidRPr="001B22FB">
        <w:t>summarized</w:t>
      </w:r>
      <w:proofErr w:type="spellEnd"/>
      <w:r w:rsidRPr="001B22FB">
        <w:t xml:space="preserve"> as </w:t>
      </w:r>
      <w:proofErr w:type="spellStart"/>
      <w:r w:rsidRPr="001B22FB">
        <w:t>follows</w:t>
      </w:r>
      <w:proofErr w:type="spellEnd"/>
      <w:r w:rsidRPr="001B22FB">
        <w:t>:</w:t>
      </w:r>
      <w:r>
        <w:t xml:space="preserve"> </w:t>
      </w:r>
      <w:proofErr w:type="spellStart"/>
      <w:r w:rsidRPr="00B7404E">
        <w:t>The</w:t>
      </w:r>
      <w:proofErr w:type="spellEnd"/>
      <w:r w:rsidRPr="00B7404E">
        <w:t xml:space="preserve"> </w:t>
      </w:r>
      <w:proofErr w:type="spellStart"/>
      <w:r w:rsidRPr="00B7404E">
        <w:t>way</w:t>
      </w:r>
      <w:proofErr w:type="spellEnd"/>
      <w:r w:rsidRPr="00B7404E">
        <w:t xml:space="preserve"> </w:t>
      </w:r>
      <w:proofErr w:type="spellStart"/>
      <w:r w:rsidRPr="00B7404E">
        <w:t>book</w:t>
      </w:r>
      <w:proofErr w:type="spellEnd"/>
      <w:r w:rsidRPr="00B7404E">
        <w:t xml:space="preserve"> </w:t>
      </w:r>
      <w:proofErr w:type="spellStart"/>
      <w:r w:rsidRPr="00B7404E">
        <w:t>cafes</w:t>
      </w:r>
      <w:proofErr w:type="spellEnd"/>
      <w:r w:rsidRPr="00B7404E">
        <w:t xml:space="preserve"> </w:t>
      </w:r>
      <w:proofErr w:type="spellStart"/>
      <w:r w:rsidRPr="00B7404E">
        <w:t>are</w:t>
      </w:r>
      <w:proofErr w:type="spellEnd"/>
      <w:r w:rsidRPr="00B7404E">
        <w:t xml:space="preserve"> </w:t>
      </w:r>
      <w:proofErr w:type="spellStart"/>
      <w:r w:rsidRPr="00B7404E">
        <w:t>used</w:t>
      </w:r>
      <w:proofErr w:type="spellEnd"/>
      <w:r w:rsidRPr="00B7404E">
        <w:t xml:space="preserve"> is </w:t>
      </w:r>
      <w:proofErr w:type="spellStart"/>
      <w:r w:rsidRPr="00B7404E">
        <w:t>related</w:t>
      </w:r>
      <w:proofErr w:type="spellEnd"/>
      <w:r w:rsidRPr="00B7404E">
        <w:t xml:space="preserve"> </w:t>
      </w:r>
      <w:proofErr w:type="spellStart"/>
      <w:r w:rsidRPr="00B7404E">
        <w:t>to</w:t>
      </w:r>
      <w:proofErr w:type="spellEnd"/>
      <w:r w:rsidRPr="00B7404E">
        <w:t xml:space="preserve"> </w:t>
      </w:r>
      <w:proofErr w:type="spellStart"/>
      <w:r w:rsidRPr="00B7404E">
        <w:t>socialization</w:t>
      </w:r>
      <w:proofErr w:type="spellEnd"/>
      <w:r w:rsidRPr="00B7404E">
        <w:t xml:space="preserve">. </w:t>
      </w:r>
      <w:proofErr w:type="spellStart"/>
      <w:r w:rsidRPr="00B7404E">
        <w:t>Book</w:t>
      </w:r>
      <w:proofErr w:type="spellEnd"/>
      <w:r w:rsidRPr="00B7404E">
        <w:t xml:space="preserve"> </w:t>
      </w:r>
      <w:proofErr w:type="spellStart"/>
      <w:r w:rsidRPr="00B7404E">
        <w:t>cafés</w:t>
      </w:r>
      <w:proofErr w:type="spellEnd"/>
      <w:r w:rsidRPr="00B7404E">
        <w:t xml:space="preserve"> </w:t>
      </w:r>
      <w:proofErr w:type="spellStart"/>
      <w:r w:rsidRPr="00B7404E">
        <w:t>are</w:t>
      </w:r>
      <w:proofErr w:type="spellEnd"/>
      <w:r w:rsidRPr="00B7404E">
        <w:t xml:space="preserve"> a </w:t>
      </w:r>
      <w:proofErr w:type="spellStart"/>
      <w:r w:rsidRPr="00B7404E">
        <w:t>reflection</w:t>
      </w:r>
      <w:proofErr w:type="spellEnd"/>
      <w:r w:rsidRPr="00B7404E">
        <w:t xml:space="preserve"> of </w:t>
      </w:r>
      <w:proofErr w:type="spellStart"/>
      <w:r w:rsidRPr="00B7404E">
        <w:t>cultural</w:t>
      </w:r>
      <w:proofErr w:type="spellEnd"/>
      <w:r w:rsidRPr="00B7404E">
        <w:t xml:space="preserve"> </w:t>
      </w:r>
      <w:proofErr w:type="spellStart"/>
      <w:r w:rsidRPr="00B7404E">
        <w:t>capital</w:t>
      </w:r>
      <w:proofErr w:type="spellEnd"/>
      <w:r w:rsidRPr="00B7404E">
        <w:t xml:space="preserve">. </w:t>
      </w:r>
      <w:proofErr w:type="spellStart"/>
      <w:r w:rsidRPr="00B7404E">
        <w:t>Consumption</w:t>
      </w:r>
      <w:proofErr w:type="spellEnd"/>
      <w:r w:rsidRPr="00B7404E">
        <w:t xml:space="preserve"> is </w:t>
      </w:r>
      <w:proofErr w:type="spellStart"/>
      <w:r w:rsidRPr="00B7404E">
        <w:t>multidimensional</w:t>
      </w:r>
      <w:proofErr w:type="spellEnd"/>
      <w:r w:rsidRPr="00B7404E">
        <w:t xml:space="preserve"> in </w:t>
      </w:r>
      <w:proofErr w:type="spellStart"/>
      <w:r w:rsidRPr="00B7404E">
        <w:t>book</w:t>
      </w:r>
      <w:proofErr w:type="spellEnd"/>
      <w:r w:rsidRPr="00B7404E">
        <w:t xml:space="preserve"> </w:t>
      </w:r>
      <w:proofErr w:type="spellStart"/>
      <w:r w:rsidRPr="00B7404E">
        <w:t>cafes</w:t>
      </w:r>
      <w:proofErr w:type="spellEnd"/>
      <w:r w:rsidRPr="00B7404E">
        <w:t xml:space="preserve"> </w:t>
      </w:r>
      <w:proofErr w:type="spellStart"/>
      <w:r w:rsidRPr="00B7404E">
        <w:t>that</w:t>
      </w:r>
      <w:proofErr w:type="spellEnd"/>
      <w:r w:rsidRPr="00B7404E">
        <w:t xml:space="preserve"> </w:t>
      </w:r>
      <w:proofErr w:type="spellStart"/>
      <w:r w:rsidRPr="00B7404E">
        <w:t>offer</w:t>
      </w:r>
      <w:proofErr w:type="spellEnd"/>
      <w:r w:rsidRPr="00B7404E">
        <w:t xml:space="preserve"> </w:t>
      </w:r>
      <w:proofErr w:type="spellStart"/>
      <w:r w:rsidRPr="00B7404E">
        <w:t>the</w:t>
      </w:r>
      <w:proofErr w:type="spellEnd"/>
      <w:r w:rsidRPr="00B7404E">
        <w:t xml:space="preserve"> </w:t>
      </w:r>
      <w:proofErr w:type="spellStart"/>
      <w:r w:rsidRPr="00B7404E">
        <w:t>opportunity</w:t>
      </w:r>
      <w:proofErr w:type="spellEnd"/>
      <w:r w:rsidRPr="00B7404E">
        <w:t xml:space="preserve"> </w:t>
      </w:r>
      <w:proofErr w:type="spellStart"/>
      <w:r w:rsidRPr="00B7404E">
        <w:t>for</w:t>
      </w:r>
      <w:proofErr w:type="spellEnd"/>
      <w:r w:rsidRPr="00B7404E">
        <w:t xml:space="preserve"> </w:t>
      </w:r>
      <w:proofErr w:type="spellStart"/>
      <w:r w:rsidRPr="00B7404E">
        <w:t>individual</w:t>
      </w:r>
      <w:proofErr w:type="spellEnd"/>
      <w:r w:rsidRPr="00B7404E">
        <w:t xml:space="preserve"> </w:t>
      </w:r>
      <w:proofErr w:type="spellStart"/>
      <w:r w:rsidRPr="00B7404E">
        <w:t>development</w:t>
      </w:r>
      <w:proofErr w:type="spellEnd"/>
      <w:r w:rsidRPr="00B7404E">
        <w:t>.</w:t>
      </w:r>
    </w:p>
    <w:p w14:paraId="31BEB4B2" w14:textId="77777777" w:rsidR="00D47EF1" w:rsidRDefault="00D47EF1" w:rsidP="00C1011D">
      <w:pPr>
        <w:jc w:val="both"/>
      </w:pPr>
    </w:p>
    <w:p w14:paraId="701A83A1" w14:textId="77777777" w:rsidR="00C1011D" w:rsidRPr="001B22FB" w:rsidRDefault="00C1011D" w:rsidP="00C1011D">
      <w:pPr>
        <w:jc w:val="both"/>
      </w:pPr>
      <w:proofErr w:type="spellStart"/>
      <w:r w:rsidRPr="008517E8">
        <w:rPr>
          <w:b/>
        </w:rPr>
        <w:t>Keywords</w:t>
      </w:r>
      <w:proofErr w:type="spellEnd"/>
      <w:r w:rsidRPr="008517E8">
        <w:rPr>
          <w:b/>
        </w:rPr>
        <w:t>:</w:t>
      </w:r>
      <w:r w:rsidRPr="001B22FB">
        <w:t xml:space="preserve"> </w:t>
      </w:r>
      <w:proofErr w:type="spellStart"/>
      <w:r w:rsidRPr="001B22FB">
        <w:t>Sociology</w:t>
      </w:r>
      <w:proofErr w:type="spellEnd"/>
      <w:r w:rsidRPr="001B22FB">
        <w:t xml:space="preserve"> of Space, Human-Space </w:t>
      </w:r>
      <w:proofErr w:type="spellStart"/>
      <w:r w:rsidRPr="001B22FB">
        <w:t>Interaction</w:t>
      </w:r>
      <w:proofErr w:type="spellEnd"/>
      <w:r w:rsidRPr="001B22FB">
        <w:t xml:space="preserve">, </w:t>
      </w:r>
      <w:proofErr w:type="spellStart"/>
      <w:r w:rsidRPr="001B22FB">
        <w:t>Book</w:t>
      </w:r>
      <w:proofErr w:type="spellEnd"/>
      <w:r w:rsidRPr="001B22FB">
        <w:t xml:space="preserve"> </w:t>
      </w:r>
      <w:proofErr w:type="spellStart"/>
      <w:r w:rsidRPr="001B22FB">
        <w:t>Cafe</w:t>
      </w:r>
      <w:proofErr w:type="spellEnd"/>
      <w:r w:rsidRPr="001B22FB">
        <w:t>.</w:t>
      </w:r>
    </w:p>
    <w:p w14:paraId="4832D1ED" w14:textId="77777777" w:rsidR="00C1011D" w:rsidRDefault="00C1011D" w:rsidP="00D47EF1"/>
    <w:p w14:paraId="60AC3D00" w14:textId="77777777" w:rsidR="00C1011D" w:rsidRPr="00BA2AE1" w:rsidRDefault="00C1011D" w:rsidP="008003D6">
      <w:pPr>
        <w:rPr>
          <w:b/>
        </w:rPr>
      </w:pPr>
      <w:r w:rsidRPr="00BA2AE1">
        <w:rPr>
          <w:b/>
        </w:rPr>
        <w:t>Giriş</w:t>
      </w:r>
    </w:p>
    <w:p w14:paraId="4AAD02EA" w14:textId="77777777" w:rsidR="00C1011D" w:rsidRDefault="00C1011D" w:rsidP="008003D6">
      <w:pPr>
        <w:jc w:val="both"/>
      </w:pPr>
      <w:r w:rsidRPr="00BA2AE1">
        <w:t>Mekânlar, bireylerin etkileşim noktalarıdır. Türkiye’de mekânın değişimi sonucu</w:t>
      </w:r>
      <w:r>
        <w:t xml:space="preserve"> sosyalleşme aracı olan kafeler de </w:t>
      </w:r>
      <w:r w:rsidRPr="00BA2AE1">
        <w:t>dönüşüm geçirmiştir. Günümüzde klasik kafe anlayışının dışında, çalışmak için alternatif imkânlar sunan mekânların tercih edilmeye başla</w:t>
      </w:r>
      <w:r>
        <w:t>n</w:t>
      </w:r>
      <w:r w:rsidRPr="00BA2AE1">
        <w:t>dığı görülmektedir. Sosyal ve kültürel etkinliklerle bireylerin sosyalleşmesine katkı sağl</w:t>
      </w:r>
      <w:r>
        <w:t xml:space="preserve">ayan kitap kafeler; </w:t>
      </w:r>
      <w:r w:rsidRPr="00BA2AE1">
        <w:t>bireysel</w:t>
      </w:r>
      <w:r>
        <w:t xml:space="preserve"> ya da grupla</w:t>
      </w:r>
      <w:r w:rsidRPr="00BA2AE1">
        <w:t xml:space="preserve"> çalışmaya, çeşitli yeme- içme olanağın</w:t>
      </w:r>
      <w:r>
        <w:t xml:space="preserve">a da sahiptirler. </w:t>
      </w:r>
      <w:r w:rsidRPr="00BA2AE1">
        <w:t>Kitap ve kahve kültürün</w:t>
      </w:r>
      <w:r>
        <w:t xml:space="preserve">ü bir arada sunan kitap kafelerin </w:t>
      </w:r>
      <w:r w:rsidRPr="00BA2AE1">
        <w:t>modern döneme uyg</w:t>
      </w:r>
      <w:r>
        <w:t xml:space="preserve">un, </w:t>
      </w:r>
      <w:r w:rsidRPr="00BA2AE1">
        <w:t>yeni nesil mek</w:t>
      </w:r>
      <w:r>
        <w:t>ânlar olarak öne çıktığı görülmektedir.</w:t>
      </w:r>
      <w:r w:rsidRPr="00BA2AE1">
        <w:t xml:space="preserve"> </w:t>
      </w:r>
    </w:p>
    <w:p w14:paraId="6A55A3A5" w14:textId="77777777" w:rsidR="00C1011D" w:rsidRDefault="00C1011D" w:rsidP="00C1011D">
      <w:pPr>
        <w:spacing w:before="120" w:after="120"/>
        <w:jc w:val="both"/>
      </w:pPr>
      <w:r w:rsidRPr="00BA2AE1">
        <w:t>Mekân, sınırları belirlenmiş fiziki olarak varlığı tanımlanabilen bir yer olarak zihnimizde canlansa da kimine göre mekân; içinde bulunduğu</w:t>
      </w:r>
      <w:r>
        <w:t xml:space="preserve"> kalp iken </w:t>
      </w:r>
      <w:r w:rsidRPr="00BA2AE1">
        <w:t>kimine göre sosyal bağların yer aldığı yapı kimine göre ise soyut olmayan manevi bir yerdir. Dolayısıyla mekân hakkında genel geçer bir tanım yapmak mümkün değildir.</w:t>
      </w:r>
      <w:r>
        <w:t xml:space="preserve"> </w:t>
      </w:r>
      <w:r w:rsidRPr="00BA2AE1">
        <w:t>Tarih boyunca mekânın ne ve/veya neresi olduğu sorusuna ilişkin farklı disiplinler, cevap bulmak için zorlu bir çabaya girişmişlerdir. Filozoflar, sosyologlar, mimarlar, tarihçiler ve antropologlar gibi pek çok sosyal bilimci mekânı sorgulamış, mekân üzerinden düşünmüş ve mekânı kurgulamışlardır. Ancak insan-çevre ilişkileri ve insanın çevreyi algılamasıyla ilgili çalışmalar 1960’lardan sonra gerçekleşmiştir (Göregenli, 20</w:t>
      </w:r>
      <w:r>
        <w:t>10</w:t>
      </w:r>
      <w:r w:rsidRPr="00BA2AE1">
        <w:t>).</w:t>
      </w:r>
    </w:p>
    <w:p w14:paraId="7273EC92" w14:textId="77777777" w:rsidR="00C1011D" w:rsidRDefault="00C1011D" w:rsidP="00C1011D">
      <w:pPr>
        <w:spacing w:before="120" w:after="120"/>
        <w:jc w:val="both"/>
      </w:pPr>
      <w:r w:rsidRPr="00BA2AE1">
        <w:t xml:space="preserve">Mekân hakkında tek ve kesin bir tanım yapmak mümkün olmasa da mekânın insandan, toplumdan, coğrafyadan ve kültürden bağımsız şekillenemeyeceği noktasında ortak bir görüş hâkimdir. Dolayısıyla bu açıdan bakıldığında mekânın canlı ve dinamik bir yapıda olması öne çıkmaktadır. Mekân bireyi ve toplumu hem etkileyen hem de birey ve toplumdan etkilenen özelliktedir. </w:t>
      </w:r>
    </w:p>
    <w:p w14:paraId="64479200" w14:textId="77777777" w:rsidR="00C1011D" w:rsidRDefault="00C1011D" w:rsidP="00C1011D">
      <w:pPr>
        <w:spacing w:before="120" w:after="120"/>
        <w:jc w:val="both"/>
      </w:pPr>
      <w:r w:rsidRPr="00BA2AE1">
        <w:t xml:space="preserve">Mekân; toplumsal ve fiziksel anlamda insanın bir ürünüdür. Bu nedenle mekânlar üzerinde </w:t>
      </w:r>
      <w:r w:rsidRPr="00BA2AE1">
        <w:lastRenderedPageBreak/>
        <w:t xml:space="preserve">insanların izleri bulunmaktadır. Fiziksel olarak projelenip imar edilen mekânlar, insanların onlara anlam yüklemesiyle inşa edilirler. Mekânda ilk olarak fiziksel ihtiyaçları gidermek amaçlansa da mekân-insan arasındaki iletişimde insan mekânı etkilemekte bunu da ilk tuğlayı koyarak gerçekleştirmektedir. İnsan eliyle şekillenen bu mekânlar daha </w:t>
      </w:r>
      <w:proofErr w:type="gramStart"/>
      <w:r w:rsidRPr="00BA2AE1">
        <w:t>sonra,  bireyin</w:t>
      </w:r>
      <w:proofErr w:type="gramEnd"/>
      <w:r w:rsidRPr="00BA2AE1">
        <w:t xml:space="preserve"> vazgeçilmez yaşam alanları haline gelmiş ve onların bireysel ve toplumsal kimliklerini inşa sürecinde etkin olmuşlardır (Güle</w:t>
      </w:r>
      <w:r>
        <w:t>ç Solak, 2017</w:t>
      </w:r>
      <w:r w:rsidRPr="00BA2AE1">
        <w:t>).</w:t>
      </w:r>
    </w:p>
    <w:p w14:paraId="28B8F8AC" w14:textId="77777777" w:rsidR="00C1011D" w:rsidRDefault="00C1011D" w:rsidP="00C1011D">
      <w:pPr>
        <w:spacing w:before="120" w:after="120"/>
        <w:jc w:val="both"/>
      </w:pPr>
      <w:r w:rsidRPr="00BA2AE1">
        <w:t xml:space="preserve">İnsanın hayatını geçirdiği evi, mahallesi, sokağı, ulusu, memleketi gibi birçok öğe mekân aidiyeti kapsamında değerlendirilmektedir. Alıştığımız seslere, tatlara, kokulara, hafızamızda taşıdığımız görüntülere denk geldiğimizde kendimizi “evimizde hissederiz.” Sembolik bir alanı işaret eden “evinde hissetmek” duygusu mekâna ait olmayı da beraberinde getirir </w:t>
      </w:r>
      <w:r w:rsidRPr="00050C6A">
        <w:t>(</w:t>
      </w:r>
      <w:proofErr w:type="spellStart"/>
      <w:r w:rsidRPr="00050C6A">
        <w:t>Antonsich</w:t>
      </w:r>
      <w:proofErr w:type="spellEnd"/>
      <w:r w:rsidRPr="00050C6A">
        <w:t>, 2010, aktaran Baykal, 2022). İnsanın ait hissettiği mekânla arasında duygusal bağlar</w:t>
      </w:r>
      <w:r w:rsidRPr="00BA2AE1">
        <w:t xml:space="preserve"> oluşmaktadır. Mekânda ihtiyaçlarını karşılayan birey aynı zamanda mekâna anlam yüklemektedir. Bu da ihtiyaçla birlikte değer kavramının insan ile mekân arasındaki kaynaşmada etkili olduğunu </w:t>
      </w:r>
      <w:proofErr w:type="spellStart"/>
      <w:proofErr w:type="gramStart"/>
      <w:r w:rsidRPr="00BA2AE1">
        <w:t>göstermektedir.“</w:t>
      </w:r>
      <w:proofErr w:type="gramEnd"/>
      <w:r w:rsidRPr="00BA2AE1">
        <w:t>Evde</w:t>
      </w:r>
      <w:proofErr w:type="spellEnd"/>
      <w:r w:rsidRPr="00BA2AE1">
        <w:t xml:space="preserve"> olma”, “tanıdık”, “gerçekten ben” hissiyle mekân insan arasında bir bütünleşme yaşanmaktadır. Mekân aidiyeti bireye </w:t>
      </w:r>
      <w:proofErr w:type="spellStart"/>
      <w:r w:rsidRPr="00BA2AE1">
        <w:t>sosyo</w:t>
      </w:r>
      <w:proofErr w:type="spellEnd"/>
      <w:r w:rsidRPr="00BA2AE1">
        <w:t>-mekânsal bir düzenleme sağlamaktadır</w:t>
      </w:r>
      <w:r>
        <w:t xml:space="preserve"> (Baykal, 2022</w:t>
      </w:r>
      <w:r w:rsidRPr="00BA2AE1">
        <w:t>).</w:t>
      </w:r>
      <w:r>
        <w:t xml:space="preserve">    </w:t>
      </w:r>
    </w:p>
    <w:p w14:paraId="5B289CD3" w14:textId="77777777" w:rsidR="00C1011D" w:rsidRDefault="00C1011D" w:rsidP="00C1011D">
      <w:pPr>
        <w:spacing w:before="120" w:after="120"/>
        <w:jc w:val="both"/>
      </w:pPr>
      <w:r w:rsidRPr="00BA2AE1">
        <w:t>Kent yaşamında tüketim mekânları bir tiyatro sahnesi gibi bireylerin performanslarını sergiledikleri zaman ve mekân örgütlemesi olarak ön</w:t>
      </w:r>
      <w:r>
        <w:t xml:space="preserve">e çıkmaktadır. </w:t>
      </w:r>
      <w:r w:rsidRPr="00BA2AE1">
        <w:t>Birey söz konusu mekânlar içerisindeki semboller, göstergeler üzerinden hayat tarzını biçimlend</w:t>
      </w:r>
      <w:r>
        <w:t>irmektedir (Harvey, 1997</w:t>
      </w:r>
      <w:r w:rsidRPr="00BA2AE1">
        <w:t>). Mekânın ve içindeki nesnelerin sembolik değeri ve gösteri mantığı doğrultusunda tüketim araçları olan mekânlar, bireylerin ürün veya hizmetleri tüketmelerine olanak sağlamaktadır</w:t>
      </w:r>
      <w:r>
        <w:t xml:space="preserve"> (</w:t>
      </w:r>
      <w:proofErr w:type="spellStart"/>
      <w:r>
        <w:t>Ritzer</w:t>
      </w:r>
      <w:proofErr w:type="spellEnd"/>
      <w:r>
        <w:t>, 2019</w:t>
      </w:r>
      <w:r w:rsidRPr="00BA2AE1">
        <w:t xml:space="preserve">). </w:t>
      </w:r>
    </w:p>
    <w:p w14:paraId="40152949" w14:textId="77777777" w:rsidR="00C1011D" w:rsidRDefault="00C1011D" w:rsidP="00C1011D">
      <w:pPr>
        <w:spacing w:before="120" w:after="120"/>
        <w:jc w:val="both"/>
      </w:pPr>
      <w:r w:rsidRPr="00BA2AE1">
        <w:t>Kent yaşamında bu tüketim ortamlarının önemli bir kısmı kafelerden oluşmaktadır. Kafe sözcüğü yabancı kökenli bir kelime olup, Türk Dil Kurumu’nun sözlüğünde “içecek ve hafif yiyeceklerin satıldığı, bazılarında kapı önlerinde oturacak yerlerin bulunduğu ayaküstü yiyecek yerleri” olarak tanımlanmıştır (T</w:t>
      </w:r>
      <w:r>
        <w:t xml:space="preserve">ürk </w:t>
      </w:r>
      <w:r w:rsidRPr="00BA2AE1">
        <w:t>D</w:t>
      </w:r>
      <w:r>
        <w:t xml:space="preserve">il </w:t>
      </w:r>
      <w:r w:rsidRPr="00BA2AE1">
        <w:t>K</w:t>
      </w:r>
      <w:r>
        <w:t xml:space="preserve">urumu </w:t>
      </w:r>
      <w:r w:rsidRPr="00050C6A">
        <w:t>[</w:t>
      </w:r>
      <w:r>
        <w:t>TDK</w:t>
      </w:r>
      <w:r w:rsidRPr="00050C6A">
        <w:t>]</w:t>
      </w:r>
      <w:r w:rsidRPr="00BA2AE1">
        <w:t xml:space="preserve">, 2024). Kültürden kültüre, ülkeden ülkeye farklılaşan çok sayıda kafe bulunmaktadır. Günümüzde yeni nesil kahveciler, </w:t>
      </w:r>
      <w:proofErr w:type="spellStart"/>
      <w:r w:rsidRPr="00BA2AE1">
        <w:t>spoken</w:t>
      </w:r>
      <w:proofErr w:type="spellEnd"/>
      <w:r w:rsidRPr="00BA2AE1">
        <w:t xml:space="preserve"> kafeler,</w:t>
      </w:r>
      <w:r>
        <w:t xml:space="preserve"> </w:t>
      </w:r>
      <w:r w:rsidRPr="00BA2AE1">
        <w:t xml:space="preserve">çalışma ve </w:t>
      </w:r>
      <w:proofErr w:type="spellStart"/>
      <w:r w:rsidRPr="00BA2AE1">
        <w:t>coworking</w:t>
      </w:r>
      <w:proofErr w:type="spellEnd"/>
      <w:r w:rsidRPr="00BA2AE1">
        <w:t xml:space="preserve"> kafeler, vegan ve sağlıklı yaşam kafeleri,</w:t>
      </w:r>
      <w:r>
        <w:t xml:space="preserve"> tematik kafeler, </w:t>
      </w:r>
      <w:r w:rsidRPr="00BA2AE1">
        <w:t>sanat ve konsept kafeler</w:t>
      </w:r>
      <w:r>
        <w:t xml:space="preserve">, </w:t>
      </w:r>
      <w:r w:rsidRPr="00BA2AE1">
        <w:t>gibi farklı seçeneklerin yanında bireysel çalışmaya, kültür sanat aktivitelerine, sosyalleşmeye imkân tanıyan hizmet anlayışıyla kitap kafeler de faaliyet göstermektedir.</w:t>
      </w:r>
    </w:p>
    <w:p w14:paraId="06DDBF2C" w14:textId="77777777" w:rsidR="00C1011D" w:rsidRDefault="00C1011D" w:rsidP="00C1011D">
      <w:pPr>
        <w:spacing w:before="120" w:after="120"/>
        <w:jc w:val="both"/>
      </w:pPr>
      <w:r w:rsidRPr="00BA2AE1">
        <w:t xml:space="preserve">Bireylerin gün içinde yeme, içme, giyinme gibi gündelik pratikleri, vakit geçirdikleri mekânlar, gittikleri okullar sosyal ve sembolik sermayelerin yansımasını oluşturmaktadırlar </w:t>
      </w:r>
      <w:r>
        <w:t>(Çakı ve Kızıltepe, 2017</w:t>
      </w:r>
      <w:r w:rsidRPr="00BA2AE1">
        <w:t xml:space="preserve">). </w:t>
      </w:r>
      <w:proofErr w:type="spellStart"/>
      <w:r w:rsidRPr="00BA2AE1">
        <w:t>Bourdieu’nün</w:t>
      </w:r>
      <w:proofErr w:type="spellEnd"/>
      <w:r w:rsidRPr="00BA2AE1">
        <w:t xml:space="preserve"> de belirttiği üzere sembolik sermaye bireyin sahip olduğu toplumsal ağlar ile desteklenen ve ekonomik olarak da görünebile</w:t>
      </w:r>
      <w:r>
        <w:t>n sermayedir (</w:t>
      </w:r>
      <w:proofErr w:type="spellStart"/>
      <w:r>
        <w:t>Bourdieu</w:t>
      </w:r>
      <w:proofErr w:type="spellEnd"/>
      <w:r>
        <w:t>, 2007</w:t>
      </w:r>
      <w:r w:rsidRPr="00BA2AE1">
        <w:t>). Kültürel sermaye ise bireysel ve toplumsal olarak kazanılan bilgi, beğeni, yetenek, deneyim, sanat, bilim, düşünce, ahlak, etik değerler, gelenek ve törelere yönelik bütün öğeleri içerir. Bu anlamda kültürel sermaye, toplumlarda oluşan kültür birikimini ifade etmektedir (Doğan,</w:t>
      </w:r>
      <w:r>
        <w:t xml:space="preserve"> 2009</w:t>
      </w:r>
      <w:r w:rsidRPr="00BA2AE1">
        <w:t>). Kültürel sermayenin yansıması olarak kitap kafelerde düzenlenen, kültür sanat etkinlikleri, bilimsel so</w:t>
      </w:r>
      <w:r>
        <w:t xml:space="preserve">hbetler, söyleşiler </w:t>
      </w:r>
      <w:r w:rsidRPr="00BA2AE1">
        <w:t>ilişkisel bağların devamlılığına katkı sağlarken müdavimlerin mekân</w:t>
      </w:r>
      <w:r>
        <w:t xml:space="preserve"> aidiyetini de pekiştirmektedir. H</w:t>
      </w:r>
      <w:r w:rsidRPr="00BA2AE1">
        <w:t>edef kitleyle bağlantılı olarak mekânsal</w:t>
      </w:r>
      <w:r>
        <w:t xml:space="preserve"> ayrışmanın gerçekleşmesi ve </w:t>
      </w:r>
      <w:r w:rsidRPr="00BA2AE1">
        <w:t>“mekânın tüke</w:t>
      </w:r>
      <w:r>
        <w:t>timi” ise kitap kafelerde sembolik sermayenin göstergesidir.</w:t>
      </w:r>
    </w:p>
    <w:p w14:paraId="03FBB2CF" w14:textId="77777777" w:rsidR="00C1011D" w:rsidRDefault="00C1011D" w:rsidP="00C1011D">
      <w:pPr>
        <w:spacing w:before="120" w:after="120"/>
        <w:jc w:val="both"/>
      </w:pPr>
      <w:r w:rsidRPr="00BA2AE1">
        <w:t xml:space="preserve">Bireyin doğumuyla başlayıp ölümüne kadar süren, toplumun istek ve beklentilerine uygun olarak etkilenmesi ve değiştirilmesi anlamına gelen kültürleme, eğitim sürecini de içine alan </w:t>
      </w:r>
      <w:r w:rsidRPr="00BA2AE1">
        <w:lastRenderedPageBreak/>
        <w:t>daha geniş bir kavramdır. Kültürleme; bilinç dışı, yaygın, kendiliğinden, rastgele bireysel öğrenmeleri ve şartlandırmaları içerir. Kültürlenme</w:t>
      </w:r>
      <w:r>
        <w:t xml:space="preserve"> ise, </w:t>
      </w:r>
      <w:proofErr w:type="gramStart"/>
      <w:r w:rsidRPr="00BA2AE1">
        <w:t>“ İki</w:t>
      </w:r>
      <w:proofErr w:type="gramEnd"/>
      <w:r w:rsidRPr="00BA2AE1">
        <w:t xml:space="preserve"> ya da çok sayıda kültür grubunun, sürekli ilişki ve etkileşim sonucunda, gruplardan birisinin ötekine ait kültürel öğeleri kabul etmesi, benimsemesi ve ortaya yeni bir kültür bileşiminin çıkmasıdır</w:t>
      </w:r>
      <w:r>
        <w:t>.</w:t>
      </w:r>
      <w:r w:rsidRPr="00D15814">
        <w:t>”</w:t>
      </w:r>
      <w:r>
        <w:t xml:space="preserve"> (Güvenç, 2005, s. 125-126) </w:t>
      </w:r>
      <w:r w:rsidRPr="00BA2AE1">
        <w:t xml:space="preserve">Bu bağlamda kitap kafe müdavimleri kültürleme ve kültürlenme kavramlarını mekânda deneyimlemektedirler. Örneğin, Eflatun Kitap Kafe’de her ayın 25’inde 4 müdavim ve bir misafir katılımcı ile gerçekleştirilen kültür sanat toplantıları kültürlenme, mekânda self servis olmamasına karşın müdavimlerin ortamda hissettikleri rahatlıkla çayını kendisinin doldurması durumu da kültürleme ile ilişkilidir. </w:t>
      </w:r>
    </w:p>
    <w:p w14:paraId="6A076F09" w14:textId="77777777" w:rsidR="00C1011D" w:rsidRDefault="00C1011D" w:rsidP="00C1011D">
      <w:pPr>
        <w:spacing w:before="120" w:after="120"/>
        <w:jc w:val="both"/>
      </w:pPr>
      <w:r w:rsidRPr="00BA2AE1">
        <w:t xml:space="preserve">Birey mekânı sadece fiziki bir alan olarak görmez. Mekân-birey arasında duygusal bir bağ da kurulur. Bu sayede mekân insanın iç dünyasını etkilemektedir. Mekân, insanın değerleri, dünyayı algılayış biçimi ve hayat tarzı ile ilişkilidir ve bireyin kimliğini yansıtmaktadır </w:t>
      </w:r>
      <w:r>
        <w:t>(Alver, 2013</w:t>
      </w:r>
      <w:r w:rsidRPr="00BA2AE1">
        <w:t xml:space="preserve">). </w:t>
      </w:r>
      <w:proofErr w:type="spellStart"/>
      <w:r w:rsidRPr="00BA2AE1">
        <w:t>Giddens’a</w:t>
      </w:r>
      <w:proofErr w:type="spellEnd"/>
      <w:r w:rsidRPr="00BA2AE1">
        <w:t xml:space="preserve"> göre kimlik, bireylerin kim oldukları ve onlar için yaşamda neyin anlamlı olduğuna ilişkin benimsedikleri anlayışlarla ilişkilidir. Sosyal kimlik </w:t>
      </w:r>
      <w:proofErr w:type="spellStart"/>
      <w:r w:rsidRPr="00BA2AE1">
        <w:t>Giddens’a</w:t>
      </w:r>
      <w:proofErr w:type="spellEnd"/>
      <w:r w:rsidRPr="00BA2AE1">
        <w:t xml:space="preserve"> göre; bir insana başkaları tarafından atfedilen özelliklere göndermede bulunur. Bu özellikler, insanın temel anlamda kim olduğunu gösteren ögelerdir. Pek çok insan birden fazla özellikten ve ögeden oluşan toplumsal kimliğe sahiptir. Bireyin kişisel kimliği, kendilik duygusunu inşa etme ve şekillendirmesini sağlayan dış dünyayla girişti</w:t>
      </w:r>
      <w:r>
        <w:t>ği anlaşmadır (</w:t>
      </w:r>
      <w:proofErr w:type="spellStart"/>
      <w:r>
        <w:t>Giddens</w:t>
      </w:r>
      <w:proofErr w:type="spellEnd"/>
      <w:r>
        <w:t>, 2008</w:t>
      </w:r>
      <w:r w:rsidRPr="00BA2AE1">
        <w:t>). Kitap kafeler, bireyin sorgulama, düşünme, kültürel gelişim ile kendini keşfetmesine fırsat tanıyarak bireysel kimlik oluşumunu destekler. Ayrıca bu mekânlar, bireylerin toplumla ve farklı düşünce yapılarıyla etkileşim kurmasını da sağlar. Benzer ilgi alanlarına sahip bireylerin bir araya gelmesi, söyleşiler, kültür sanat etkinlikleri sayesinde farklı bakış açılarıyla tanışılması, toplumsal değerlerin gelişimine katkı sağlanması ile bireylerin sosyal kimlik oluşumu açısından da önemli mekânlardır.</w:t>
      </w:r>
    </w:p>
    <w:p w14:paraId="3A3BA32E" w14:textId="77777777" w:rsidR="00C1011D" w:rsidRDefault="00C1011D" w:rsidP="00C1011D">
      <w:pPr>
        <w:spacing w:before="120" w:after="120"/>
        <w:jc w:val="both"/>
      </w:pPr>
      <w:r w:rsidRPr="00BA2AE1">
        <w:t xml:space="preserve">Mekân, bir kimlik unsuru olduğu gibi, bir değer ve referans alanıdır. Aynı zamanda mekân, insanın konumuna ve statüsüne dair ipuçları taşır. İnsan, kendini mekânlarda inşa etmiştir. Hayatının çeşitli ihtiyaçlarına, arzularına karşılık köyler, kentler kuran insan sürekli hayatının akışını dengeleyecek mekânlar üretir </w:t>
      </w:r>
      <w:r>
        <w:t>(Alver, 2013</w:t>
      </w:r>
      <w:r w:rsidRPr="00BA2AE1">
        <w:t xml:space="preserve">). Kitap kafe müdavimlerinin de mekânı yeniden üretme noktasında aktif rol oynadıkları, ev dışında çalışma alanı ya da okul gibi kullandıkları görülmektedir. </w:t>
      </w:r>
    </w:p>
    <w:p w14:paraId="1CEFFFAB" w14:textId="77777777" w:rsidR="00C1011D" w:rsidRDefault="00C1011D" w:rsidP="00C1011D">
      <w:pPr>
        <w:spacing w:before="120" w:after="120"/>
        <w:jc w:val="both"/>
      </w:pPr>
      <w:r w:rsidRPr="00BA2AE1">
        <w:t>Gündelik hayatın yeni mekânı olarak kitap kafeler üçüncü mekân özelliklerini göstermektedir. “Üçüncü mekânlar, sosyal olan mekânları ifade eder. Burada sosyal kelimesiyle anlatılmak istenen birlikteliklerin ve bir aradalıkların oluşturduğu ağ biçim</w:t>
      </w:r>
      <w:r>
        <w:t>leridir.” (Kayalı, 2021, s. 41)</w:t>
      </w:r>
      <w:r w:rsidRPr="00BA2AE1">
        <w:t xml:space="preserve"> Üçüncü mekânlar, insanların ev ve iş yerlerinden sonra en çok zaman geçirdikleri mekân anlamına gelmektedir</w:t>
      </w:r>
      <w:r>
        <w:t xml:space="preserve"> (Demir, 2017; Odabaş ve Akkaya, 2020). </w:t>
      </w:r>
      <w:r w:rsidRPr="00BA2AE1">
        <w:t>Üçüncü mekân kavramı, varlık gerekçesini ispatlama sorunuyla birlikte birinci ve ikinci mekân özelliklerini taşımaktadır. Mekânın bireylere rahatlık hissi vermesini sağlayan bazı ölçütlerin yakalanma başarısı bina, mimari, mekâna bağlı yeterlilik konularında asıl referans noktalarıdır</w:t>
      </w:r>
      <w:r>
        <w:t xml:space="preserve"> </w:t>
      </w:r>
      <w:r w:rsidRPr="00BA2AE1">
        <w:t>(Odabaş ve Akkaya</w:t>
      </w:r>
      <w:r>
        <w:t>, 2020</w:t>
      </w:r>
      <w:r w:rsidRPr="00BA2AE1">
        <w:t>).</w:t>
      </w:r>
    </w:p>
    <w:p w14:paraId="3E300270" w14:textId="77777777" w:rsidR="00C1011D" w:rsidRDefault="00C1011D" w:rsidP="00C1011D">
      <w:pPr>
        <w:spacing w:before="120" w:after="120"/>
        <w:jc w:val="both"/>
      </w:pPr>
      <w:proofErr w:type="spellStart"/>
      <w:r>
        <w:t>Kakırman</w:t>
      </w:r>
      <w:proofErr w:type="spellEnd"/>
      <w:r>
        <w:t xml:space="preserve"> Yıldız (2017</w:t>
      </w:r>
      <w:r w:rsidRPr="00BA2AE1">
        <w:t xml:space="preserve">), iş/ev ortamından farklı bir çalışma mekânı seçen bireylerin tercihlerinde, kütüphaneler kadar kafelerin de bulunduğunu ve bu tercihi belirleyen etmenler arasında “iç mekân tasarımı” ile “çalışma </w:t>
      </w:r>
      <w:proofErr w:type="spellStart"/>
      <w:r w:rsidRPr="00BA2AE1">
        <w:t>saatleri”nin</w:t>
      </w:r>
      <w:proofErr w:type="spellEnd"/>
      <w:r w:rsidRPr="00BA2AE1">
        <w:t xml:space="preserve"> etkili olduğunu ifade etmektedir</w:t>
      </w:r>
      <w:r>
        <w:t>. Buna karşılık Demir (2017</w:t>
      </w:r>
      <w:r w:rsidRPr="00BA2AE1">
        <w:t xml:space="preserve">), “ilişki dereceleri” ile “geçirilen zaman </w:t>
      </w:r>
      <w:proofErr w:type="spellStart"/>
      <w:r w:rsidRPr="00BA2AE1">
        <w:t>süresi”nin</w:t>
      </w:r>
      <w:proofErr w:type="spellEnd"/>
      <w:r w:rsidRPr="00BA2AE1">
        <w:t xml:space="preserve"> de belirleyici rolüne dikkat çekmektedir. Kütüphanelerin iç mekân tasarımında kullanılan renklerin psikolojik etkilerini inceleyen </w:t>
      </w:r>
      <w:proofErr w:type="spellStart"/>
      <w:r w:rsidRPr="00BA2AE1">
        <w:t>Hashempour</w:t>
      </w:r>
      <w:proofErr w:type="spellEnd"/>
      <w:r w:rsidRPr="00BA2AE1">
        <w:t xml:space="preserve"> ve </w:t>
      </w:r>
      <w:proofErr w:type="spellStart"/>
      <w:r w:rsidRPr="00BA2AE1">
        <w:t>Taghizadeh</w:t>
      </w:r>
      <w:proofErr w:type="spellEnd"/>
      <w:r>
        <w:t xml:space="preserve"> </w:t>
      </w:r>
      <w:proofErr w:type="spellStart"/>
      <w:r>
        <w:t>Sapchi</w:t>
      </w:r>
      <w:proofErr w:type="spellEnd"/>
      <w:r>
        <w:t xml:space="preserve"> (2015</w:t>
      </w:r>
      <w:r w:rsidRPr="00BA2AE1">
        <w:t xml:space="preserve">), işletmelerde renk seçimlerinin hizmet kalitesini yükselttiğine ve kullanıcıların odaklanma gücüne etki ederek verimliliği </w:t>
      </w:r>
      <w:r w:rsidRPr="00BA2AE1">
        <w:lastRenderedPageBreak/>
        <w:t>artırdığına işaret etmektedir.</w:t>
      </w:r>
    </w:p>
    <w:p w14:paraId="52DA48D2" w14:textId="77777777" w:rsidR="00C1011D" w:rsidRDefault="00C1011D" w:rsidP="00C1011D">
      <w:pPr>
        <w:spacing w:before="120" w:after="120"/>
        <w:jc w:val="both"/>
      </w:pPr>
      <w:r w:rsidRPr="00BA2AE1">
        <w:t>İnsanlar bir arada bulundukları mekân</w:t>
      </w:r>
      <w:r>
        <w:t xml:space="preserve">larda </w:t>
      </w:r>
      <w:r w:rsidRPr="00BA2AE1">
        <w:t>iletişime girerler. İletişim kurma süreci yalnızca bireyler arasında gerçekleşme</w:t>
      </w:r>
      <w:r>
        <w:t>z. D</w:t>
      </w:r>
      <w:r w:rsidRPr="00BA2AE1">
        <w:t xml:space="preserve">evlet-birey arasında, </w:t>
      </w:r>
      <w:r>
        <w:t xml:space="preserve">mekân-birey arasında, hayvanlar ile </w:t>
      </w:r>
      <w:r w:rsidRPr="00BA2AE1">
        <w:t>birey arasında da gerçekleşir. Böylece farklı etkileşim biçimleri ortaya çıkar. Gruplar ya da bireyler arasındaki etkileşimi daha iyi anlamlandırabilmek gündelik hayatın pratiklerinde net olarak hissedilir. Bu açıdan ele alındığında toplumsal etkileşim, “insanların diğerlerinin tepkilerini dikkate alarak gerçekleştirdikleri ey</w:t>
      </w:r>
      <w:r>
        <w:t xml:space="preserve">lemler” olarak tanımlanmaktadır. </w:t>
      </w:r>
      <w:r w:rsidRPr="00665343">
        <w:t>(Bozkurt, 2020</w:t>
      </w:r>
      <w:r>
        <w:t xml:space="preserve">, s. </w:t>
      </w:r>
      <w:r w:rsidRPr="00665343">
        <w:t>46</w:t>
      </w:r>
      <w:r>
        <w:t>)</w:t>
      </w:r>
    </w:p>
    <w:p w14:paraId="1B287ABB" w14:textId="77777777" w:rsidR="00C1011D" w:rsidRDefault="00C1011D" w:rsidP="00C1011D">
      <w:pPr>
        <w:spacing w:before="120" w:after="120"/>
        <w:jc w:val="both"/>
      </w:pPr>
      <w:r w:rsidRPr="00BC1963">
        <w:t>Toplumsal etkileşimin boyutu kurulan ilişkilere göre değişkenlik göstermektedir. Bazıları büyük boyutlu</w:t>
      </w:r>
      <w:r w:rsidRPr="00BA2AE1">
        <w:t xml:space="preserve"> ve geniş ölçekli olabilirken bazıları daha küçük ölçeklerde gerçekleşmektedir. Bazı etkileşimler daha formel, bazıları daha tesadüfî olarak ortaya çıkmaktadırlar. Toplumsal bir mekânda sürekli olarak ilişki içerisinde olan bireylerin paylaşmış oldukları kültürel özellikler, yaşama biçimleri, gündelik hayat pratikleri gibi etmenler zamanla birbirine benzemeye başlar. İlişkisel sosyolojiye göre mekânsal yakınlıklar, eğilimler ve yatkınlıklar; ortak kimlik, dil, sembol, kültür oluşumuna katkı sun</w:t>
      </w:r>
      <w:r>
        <w:t>maktadırlar (</w:t>
      </w:r>
      <w:proofErr w:type="spellStart"/>
      <w:r>
        <w:t>Crossley</w:t>
      </w:r>
      <w:proofErr w:type="spellEnd"/>
      <w:r>
        <w:t>, 2015</w:t>
      </w:r>
      <w:r w:rsidRPr="00BA2AE1">
        <w:t xml:space="preserve">). </w:t>
      </w:r>
    </w:p>
    <w:p w14:paraId="7AF9149F" w14:textId="77777777" w:rsidR="00C1011D" w:rsidRDefault="00C1011D" w:rsidP="00C1011D">
      <w:pPr>
        <w:spacing w:before="120" w:after="120"/>
        <w:jc w:val="both"/>
      </w:pPr>
      <w:r w:rsidRPr="00BA2AE1">
        <w:t xml:space="preserve">Kitap kafeler; sosyalleşme, ders çalışma, kitap okuma gibi çeşitli faaliyetler için bir alternatif oluşturmalarının yanı sıra tüketimi de sağlayıcı niteliktedirler. Bireylerin mekânlardan kitap satın almaları, çeşitli yiyecek ve içecekleri tercih etmeleri, ücretli etkinliklere katılmaları, toplantı salonlarını kiralamaları, birtakım hediyelik eşyaları almaları, sosyal medyada mekân ile ilgili paylaşım yapılması gibi davranışlar tüketimi var etmekte ve aynı zamanda da bunun devamlılığını sağlamaktadır. Hem “mekânın tüketimi” hem de “tüketim mekânı” olarak kitap kafelerde tüketim çok boyutludur. Mekânda var olan tüketim </w:t>
      </w:r>
      <w:proofErr w:type="gramStart"/>
      <w:r w:rsidRPr="00BA2AE1">
        <w:t>ile birlikte</w:t>
      </w:r>
      <w:proofErr w:type="gramEnd"/>
      <w:r w:rsidRPr="00BA2AE1">
        <w:t xml:space="preserve"> mekânın da tüketimi gerçekleşmektedir. Henri </w:t>
      </w:r>
      <w:proofErr w:type="spellStart"/>
      <w:r>
        <w:t>Lefebvre</w:t>
      </w:r>
      <w:proofErr w:type="spellEnd"/>
      <w:r>
        <w:t xml:space="preserve"> (2014</w:t>
      </w:r>
      <w:r w:rsidRPr="00BA2AE1">
        <w:t xml:space="preserve">) bu konuya şöyle açıklık getirmiştir: </w:t>
      </w:r>
    </w:p>
    <w:p w14:paraId="40991CE9" w14:textId="77777777" w:rsidR="00C1011D" w:rsidRDefault="00C1011D" w:rsidP="00C1011D">
      <w:pPr>
        <w:ind w:left="567"/>
        <w:jc w:val="both"/>
      </w:pPr>
      <w:r w:rsidRPr="00BA2AE1">
        <w:t xml:space="preserve">“İnsanlar, genellikle, sermaye birikim alanıyla, üretim mekânıyla ve üretilmiş mekânla, pazar mekânıyla, akışların cirit attığı ve devletin denetlediği mekânla, dolayısıyla, katı bir şekilde </w:t>
      </w:r>
      <w:proofErr w:type="spellStart"/>
      <w:r w:rsidRPr="00BA2AE1">
        <w:t>nicelendirilmiş</w:t>
      </w:r>
      <w:proofErr w:type="spellEnd"/>
      <w:r w:rsidRPr="00BA2AE1">
        <w:t xml:space="preserve"> mekânla örtüşen tüketim mekânını belli bir momentte terk ederler. Bu momentte, mekânı tüketmeye (üretici olmayan tüketim) doğru gide</w:t>
      </w:r>
      <w:r>
        <w:t>rler” (s.</w:t>
      </w:r>
      <w:r w:rsidRPr="00BA2AE1">
        <w:t>355</w:t>
      </w:r>
      <w:r>
        <w:t>).</w:t>
      </w:r>
    </w:p>
    <w:p w14:paraId="4CF6E7F1" w14:textId="77777777" w:rsidR="00C1011D" w:rsidRPr="00BA2AE1" w:rsidRDefault="00C1011D" w:rsidP="00C1011D">
      <w:pPr>
        <w:jc w:val="both"/>
      </w:pPr>
    </w:p>
    <w:p w14:paraId="372CE576" w14:textId="77777777" w:rsidR="00C1011D" w:rsidRPr="00BA2AE1" w:rsidRDefault="00C1011D" w:rsidP="00C1011D">
      <w:pPr>
        <w:tabs>
          <w:tab w:val="left" w:pos="1161"/>
        </w:tabs>
        <w:jc w:val="both"/>
      </w:pPr>
      <w:r w:rsidRPr="00BA2AE1">
        <w:t xml:space="preserve">Kitap kafeler doğrudan ürün satın almakla değil aynı zamanda farklı araçlarla da tüketim mekânı haline gelmiştir. </w:t>
      </w:r>
      <w:proofErr w:type="spellStart"/>
      <w:r>
        <w:t>Lefebvre</w:t>
      </w:r>
      <w:proofErr w:type="spellEnd"/>
      <w:r>
        <w:t xml:space="preserve"> (2016</w:t>
      </w:r>
      <w:r w:rsidRPr="00BA2AE1">
        <w:t xml:space="preserve">), </w:t>
      </w:r>
      <w:r w:rsidRPr="00BA2AE1">
        <w:rPr>
          <w:i/>
        </w:rPr>
        <w:t xml:space="preserve">Şehir </w:t>
      </w:r>
      <w:proofErr w:type="gramStart"/>
      <w:r w:rsidRPr="00BA2AE1">
        <w:rPr>
          <w:i/>
        </w:rPr>
        <w:t>Hakkı</w:t>
      </w:r>
      <w:r w:rsidRPr="00BA2AE1">
        <w:t>(</w:t>
      </w:r>
      <w:proofErr w:type="spellStart"/>
      <w:proofErr w:type="gramEnd"/>
      <w:r w:rsidRPr="00BA2AE1">
        <w:t>The</w:t>
      </w:r>
      <w:proofErr w:type="spellEnd"/>
      <w:r w:rsidRPr="00BA2AE1">
        <w:t xml:space="preserve"> Right </w:t>
      </w:r>
      <w:proofErr w:type="spellStart"/>
      <w:r w:rsidRPr="00BA2AE1">
        <w:t>tothe</w:t>
      </w:r>
      <w:proofErr w:type="spellEnd"/>
      <w:r w:rsidRPr="00BA2AE1">
        <w:t xml:space="preserve"> City) adlı eserinde tüketimdeki gerçeklik ve semboller üzerine düşüncelerini şöyle ifade etmiştir:</w:t>
      </w:r>
    </w:p>
    <w:p w14:paraId="506BC2B2" w14:textId="77777777" w:rsidR="00C1011D" w:rsidRPr="008D6596" w:rsidRDefault="00C1011D" w:rsidP="00C1011D">
      <w:pPr>
        <w:tabs>
          <w:tab w:val="left" w:pos="1161"/>
        </w:tabs>
        <w:spacing w:before="120" w:after="120"/>
        <w:ind w:left="567" w:right="48"/>
        <w:jc w:val="both"/>
      </w:pPr>
      <w:r w:rsidRPr="008D6596">
        <w:t>“Tüketim malları reklamı temel tüketim malı olur; sanata, edebiyata, şiire dahil olur ve onları retorik olarak kullanarak yerlerine geçmeye çalışır. Böylece bir toplumun ideolojisinin kendisi olur; her nesne bir gerçekliğe ve bir imgeye bölünür, bu imge tüketimin temel parçası olur. Mutluluğun, tatminin, gücün, zenginliğin, bilimin, tekniğin, vb. göstergeleri de tüketilmektedir. Böylece imgeleşmiş olan mekânsal tüketim, kitap kafelerdeki kullanım biçimlerini de değiştirmekte ve sadece bina ve yapıları hedef almayarak kimliksel, karakteristik temel ögeleri de beraberinde dönüştürmektedir” (s.81).</w:t>
      </w:r>
    </w:p>
    <w:p w14:paraId="511916E8" w14:textId="77777777" w:rsidR="00C1011D" w:rsidRPr="00BA2AE1" w:rsidRDefault="00C1011D" w:rsidP="008003D6">
      <w:pPr>
        <w:tabs>
          <w:tab w:val="left" w:pos="7082"/>
        </w:tabs>
        <w:jc w:val="both"/>
        <w:rPr>
          <w:b/>
        </w:rPr>
      </w:pPr>
      <w:r>
        <w:rPr>
          <w:b/>
        </w:rPr>
        <w:t>1. Yöntem</w:t>
      </w:r>
      <w:r w:rsidRPr="00BA2AE1">
        <w:rPr>
          <w:b/>
        </w:rPr>
        <w:tab/>
      </w:r>
    </w:p>
    <w:p w14:paraId="4A909FDE" w14:textId="77777777" w:rsidR="00C1011D" w:rsidRDefault="00C1011D" w:rsidP="008003D6">
      <w:pPr>
        <w:jc w:val="both"/>
      </w:pPr>
      <w:r w:rsidRPr="00BA2AE1">
        <w:t xml:space="preserve">Bu çalışma, insan ve mekân etkileşimini kitap kafeler üzerinden sosyolojik olarak incelemeyi amaçlamaktadır. Günümüzde yaşanan kentsel değişimle birlikte mekânlarda yaşanan dönüşümler, değişen toplumsal pratikler, toplum ve mekân arasındaki ilişkinin boyutu kitap kafeler aracılığıyla ele alınmaktadır. Araştırmanın temel sorusu ise yeni bir mekân tasarımı </w:t>
      </w:r>
      <w:r w:rsidRPr="00BA2AE1">
        <w:lastRenderedPageBreak/>
        <w:t>olarak kitap kafelerin müdavimlerinin bu mekânlarla kurmuş oldukları ilişkinin nasıl gerçekleştiğinin anlaşılmasıdır. Bu bağlamda çalışmada, kitap kafe müdavimlerinin mekânı nasıl deneyimlediklerine odaklanılacak ve kimlik-mekân ilişkisi anlaşılmaya çalışılacaktır. Araştırma; bireylerin tercihleri, algıları, duygu ve düşünceleri, deneyimleri gibi öznel verilere dayandığından nitel bir araştırmadır.</w:t>
      </w:r>
      <w:r>
        <w:t xml:space="preserve"> </w:t>
      </w:r>
      <w:r w:rsidRPr="00BA2AE1">
        <w:t xml:space="preserve">“Nitel araştırmacılar, dar anlamda belirli bir soru üzerine yoğunlaşmaz, bir bakış açısı benimserken kuramsal-felsefi paradigma hakkında sorgulayıcı, açık uçlu bir yerine oturma süreci dahilinde enine boyuna düşünürler. Nitel araştırmacılar, büyük olasılıkla verileri aynı anda hem </w:t>
      </w:r>
      <w:proofErr w:type="gramStart"/>
      <w:r w:rsidRPr="00BA2AE1">
        <w:t>toplar,</w:t>
      </w:r>
      <w:proofErr w:type="gramEnd"/>
      <w:r w:rsidRPr="00BA2AE1">
        <w:t xml:space="preserve"> hem analiz eder hem de yorumlar; bu adımlar arasında</w:t>
      </w:r>
      <w:r>
        <w:t xml:space="preserve"> gidip gelirler.” (</w:t>
      </w:r>
      <w:proofErr w:type="spellStart"/>
      <w:r>
        <w:t>Neuman</w:t>
      </w:r>
      <w:proofErr w:type="spellEnd"/>
      <w:r>
        <w:t>, 2014, s. 22)</w:t>
      </w:r>
      <w:r w:rsidRPr="00BA2AE1">
        <w:t xml:space="preserve"> Nitel araştırma, disiplinler arası bütüncül bakış açısı doğrultusunda araştırma problemini yorumlayıcı yaklaşımla inceleyen bir yöntemdir. Araştırma konusu olgu ve olaylar kendi bağlamında ele alınarak, bireylerin onlara yükledikleri anlamlar açısından yorumlanır (Altunışık vd</w:t>
      </w:r>
      <w:r>
        <w:t>., 2010</w:t>
      </w:r>
      <w:r w:rsidRPr="00BA2AE1">
        <w:t xml:space="preserve">). Değişik yaş gruplarındaki bireylerin gündelik hayattaki kitap kafe deneyimlerini </w:t>
      </w:r>
      <w:proofErr w:type="gramStart"/>
      <w:r w:rsidRPr="00BA2AE1">
        <w:t>anlamak,</w:t>
      </w:r>
      <w:proofErr w:type="gramEnd"/>
      <w:r w:rsidRPr="00BA2AE1">
        <w:t xml:space="preserve"> hem çeşitli faktörlerin etkisiyle hem de bireylerin öznel süreçleriyle bu deneyimleri ilişkilendirerek açıklamak adına yorumlayıcı yaklaşım tercih edilmiştir. Araştırmada amaca yönelik örnekleme yöntemi kullanılmıştır. Amaçlı örnekleme, zengin içeriğe sahip olduğu düşünülen durumların derinlemesine çalışılmasını sağlar (Yıldırım ve Şimşek, 2</w:t>
      </w:r>
      <w:r>
        <w:t>008</w:t>
      </w:r>
      <w:r w:rsidRPr="00BA2AE1">
        <w:t xml:space="preserve">). Çalışma kapsamında bağımsız kitap kafelerden; Eflatun Kitap Kafe, Holmes </w:t>
      </w:r>
      <w:proofErr w:type="spellStart"/>
      <w:r w:rsidRPr="00BA2AE1">
        <w:t>Book</w:t>
      </w:r>
      <w:proofErr w:type="spellEnd"/>
      <w:r w:rsidRPr="00BA2AE1">
        <w:t xml:space="preserve"> </w:t>
      </w:r>
      <w:proofErr w:type="spellStart"/>
      <w:r w:rsidRPr="00BA2AE1">
        <w:t>Coffee</w:t>
      </w:r>
      <w:proofErr w:type="spellEnd"/>
      <w:r w:rsidRPr="00BA2AE1">
        <w:t xml:space="preserve">, Cingöz Kütüphane Kafe, </w:t>
      </w:r>
      <w:proofErr w:type="spellStart"/>
      <w:r w:rsidRPr="00BA2AE1">
        <w:t>Mavra</w:t>
      </w:r>
      <w:proofErr w:type="spellEnd"/>
      <w:r w:rsidRPr="00BA2AE1">
        <w:t xml:space="preserve"> Kitap / Vegan Kafe, Erguvan Kitap Kafe ile görüşülmüştür. Holmes </w:t>
      </w:r>
      <w:proofErr w:type="spellStart"/>
      <w:r w:rsidRPr="00BA2AE1">
        <w:t>Book</w:t>
      </w:r>
      <w:proofErr w:type="spellEnd"/>
      <w:r w:rsidRPr="00BA2AE1">
        <w:t xml:space="preserve"> </w:t>
      </w:r>
      <w:proofErr w:type="spellStart"/>
      <w:r w:rsidRPr="00BA2AE1">
        <w:t>Coffee</w:t>
      </w:r>
      <w:proofErr w:type="spellEnd"/>
      <w:r w:rsidRPr="00BA2AE1">
        <w:t xml:space="preserve"> çalışmada yer almak istememiştir. </w:t>
      </w:r>
      <w:proofErr w:type="spellStart"/>
      <w:r w:rsidRPr="00BA2AE1">
        <w:t>Mavra</w:t>
      </w:r>
      <w:proofErr w:type="spellEnd"/>
      <w:r w:rsidRPr="00BA2AE1">
        <w:t xml:space="preserve"> Kitap / Vegan Kafe workshop atölyesine, Erguvan Kitap Kafe, kafeye dönüşme sürecinde olduğu için çalışmaya katılamamışlardır. Bu doğrultuda araştırmanın çalışma grubunu Samsun kenti Atakum ilçesinde yer alan bağımsız işletmelerden Cingöz Kütüphane Kafe ve Eflatun Kitap Kafe oluşturmaktadır. </w:t>
      </w:r>
    </w:p>
    <w:p w14:paraId="40463F8E" w14:textId="77777777" w:rsidR="008003D6" w:rsidRPr="00BA2AE1" w:rsidRDefault="008003D6" w:rsidP="008003D6">
      <w:pPr>
        <w:jc w:val="both"/>
      </w:pPr>
    </w:p>
    <w:p w14:paraId="2951DC78" w14:textId="77777777" w:rsidR="00C1011D" w:rsidRDefault="00C1011D" w:rsidP="00C1011D">
      <w:pPr>
        <w:jc w:val="both"/>
      </w:pPr>
      <w:r w:rsidRPr="00BA2AE1">
        <w:t>Araştırma verilerini toplama aracı olarak derinlemesine görüşme tekniği kullanılmıştır. Derinlemesine görüşme, ayrıntılı bilgi edinebilmek için önemlidir. Derinlemesine görüşme bir veri toplama tekniği olarak; açık uçlu soruların sorulması, etkin dinlemenin yapılması, cevapların kaydedilmesi ve ilişkili ek sorularla araştırma konusunun incelenmesini sağlar. Derinlemesine görüşme yoluyla sosyal dünyada görünür halde bulunan birçok olgu, süreç ve ilişkinin özüne inilmesi, detaylandırılması ve bütüncül bir şekilde anlaşılması hedeflenmektedir</w:t>
      </w:r>
      <w:r>
        <w:t xml:space="preserve"> (</w:t>
      </w:r>
      <w:proofErr w:type="spellStart"/>
      <w:r>
        <w:t>Kümbetoğlu</w:t>
      </w:r>
      <w:proofErr w:type="spellEnd"/>
      <w:r>
        <w:t>, 2005</w:t>
      </w:r>
      <w:r w:rsidRPr="00BA2AE1">
        <w:t xml:space="preserve">). Görüşmelerin yarı yapılandırılmış görüşme formu aracılığıyla her işletme için; bir işletme sahibi, bir çalışan ve iki müdavim ile oluşturulacak bir çalışma grubu ile yürütülmesi amaçlanmıştır ancak baristaların sirkülasyonunun fazla olması sebebiyle işletmelerde en az iki yıl çalışmış olmak kriterini sağlayan barista bulunmamasından dolayı işletme personeli ile planlanan görüşme, çalışmanın kapsamından çıkarılmıştır. Toplam 6 kişi ile görüşmeye dayanan bu çalışmada işletme sahiplerine ve müdavimlere yönelik iki ayrı yarı yapılandırılmış görüşme formu hazırlanmıştır. Derinlemesine görüşmede kullanılan sorular açık uçlu sorulardır. Görüşmeler esnasında veri kayıplarını önlemek amacıyla kayıt cihazı kullanılmıştır. Katılımcıların görüşleri, izin alınarak ses kaydına alınmıştır. Ses kayıtları ve görüşme sırasında tutulan notlar birleştirilerek bulgular elde edilmiştir. Görüşmenin yanı sıra verilerin toplanmasında gözleme de yer verilmiş olup toplanan veriler betimsel olarak analiz edilmiştir. Oluşturulan görüşme sorularından hareketle temalar belirlenmiş ve bu temalar altında analizler yapılmıştır. </w:t>
      </w:r>
    </w:p>
    <w:p w14:paraId="2CB59D06" w14:textId="49EE4EEE" w:rsidR="008003D6" w:rsidRPr="00A27754" w:rsidRDefault="008003D6" w:rsidP="00C1011D">
      <w:pPr>
        <w:jc w:val="both"/>
      </w:pPr>
    </w:p>
    <w:p w14:paraId="4483B2BF" w14:textId="77777777" w:rsidR="00C1011D" w:rsidRPr="00BA2AE1" w:rsidRDefault="00C1011D" w:rsidP="008003D6">
      <w:pPr>
        <w:jc w:val="both"/>
        <w:rPr>
          <w:b/>
        </w:rPr>
      </w:pPr>
      <w:r>
        <w:rPr>
          <w:b/>
        </w:rPr>
        <w:t xml:space="preserve">2. </w:t>
      </w:r>
      <w:r w:rsidRPr="00BA2AE1">
        <w:rPr>
          <w:b/>
        </w:rPr>
        <w:t>Bulgular ve Yorum</w:t>
      </w:r>
    </w:p>
    <w:p w14:paraId="0B6D2A59" w14:textId="77777777" w:rsidR="00C1011D" w:rsidRPr="00BA2AE1" w:rsidRDefault="00C1011D" w:rsidP="008003D6">
      <w:pPr>
        <w:jc w:val="both"/>
        <w:rPr>
          <w:b/>
        </w:rPr>
      </w:pPr>
      <w:r>
        <w:rPr>
          <w:b/>
        </w:rPr>
        <w:t xml:space="preserve">2.1. </w:t>
      </w:r>
      <w:r w:rsidRPr="00BA2AE1">
        <w:rPr>
          <w:b/>
        </w:rPr>
        <w:t>Tema 1: Mekân-Kimlik İlişkisi</w:t>
      </w:r>
    </w:p>
    <w:p w14:paraId="75FE4D74" w14:textId="77777777" w:rsidR="00C1011D" w:rsidRDefault="00C1011D" w:rsidP="008003D6">
      <w:pPr>
        <w:jc w:val="both"/>
      </w:pPr>
      <w:r w:rsidRPr="00BA2AE1">
        <w:t xml:space="preserve">Araştırma bulgularına göre kitap kafe müdavimlerine ilişkin mekân-kimlik ilişkisi teması </w:t>
      </w:r>
      <w:r w:rsidRPr="00BA2AE1">
        <w:lastRenderedPageBreak/>
        <w:t xml:space="preserve">“Mekâna yüklenen anlam”, “Evde hissetmek”, “Evde hissettirmek” ve “Özel hissetmek” olmak üzere dört kategoride ele alınmıştır. </w:t>
      </w:r>
    </w:p>
    <w:p w14:paraId="24616D68" w14:textId="77777777" w:rsidR="008003D6" w:rsidRPr="00BA2AE1" w:rsidRDefault="008003D6" w:rsidP="008003D6">
      <w:pPr>
        <w:jc w:val="both"/>
      </w:pPr>
    </w:p>
    <w:p w14:paraId="37EE5307" w14:textId="77777777" w:rsidR="00C1011D" w:rsidRPr="00BA2AE1" w:rsidRDefault="00C1011D" w:rsidP="008003D6">
      <w:pPr>
        <w:jc w:val="both"/>
        <w:rPr>
          <w:b/>
          <w:i/>
        </w:rPr>
      </w:pPr>
      <w:r>
        <w:rPr>
          <w:b/>
          <w:i/>
        </w:rPr>
        <w:t xml:space="preserve">2.1.1. </w:t>
      </w:r>
      <w:r w:rsidRPr="00BA2AE1">
        <w:rPr>
          <w:b/>
          <w:i/>
        </w:rPr>
        <w:t>Mekâna yüklenen anlam: “Kent içinde nefes almak”</w:t>
      </w:r>
    </w:p>
    <w:p w14:paraId="4CF3FEFF" w14:textId="77777777" w:rsidR="00C1011D" w:rsidRPr="00BA2AE1" w:rsidRDefault="00C1011D" w:rsidP="008003D6">
      <w:pPr>
        <w:jc w:val="both"/>
      </w:pPr>
      <w:r w:rsidRPr="00BA2AE1">
        <w:t>İnsan-mekân ilişkisi çift yönlü bir ilişkidir. Bir taraftan insanoğlu, tarihi boyunca barınacak basit evlerden en sofistike şehirlere değin mekânlar inşa ederken diğer taraftan da insanın bu mekânlar tarafından biçimlendirilmesi, davranış ve tutumlarının oluşması hep süregelmiştir. Bununla birlikte yine her türlü mimari inşa faaliyeti, insanın aklî-ruhî düzeyinin bir tezahürü olarak etik ve estetik bir kavrayışa yöneliktir. Bu ise aslında insanın mekânla kurduğu ilişkinin belirleyici unsurunun sadece işlevselliği olmadığını, hatta bunun da ötesinde hissi bir bağı olduğunu gösterir. Araştırmada, kitap kafe müdavimlerinin kitap kafeye yükledikleri anlamı öğrenmek amacıyla sorulan sorulara verilen cevaplarda da bu hissi bağ açıkça izlenmiştir. Genel olarak katılımcılar, müdavimi oldukları bu mekânları huzurlu, kendilerini iyi hissettiren mekânlar olarak tarif etmişlerdir:</w:t>
      </w:r>
    </w:p>
    <w:p w14:paraId="478A531B" w14:textId="77777777" w:rsidR="00C1011D" w:rsidRPr="00BA2AE1" w:rsidRDefault="00C1011D" w:rsidP="00C1011D">
      <w:pPr>
        <w:spacing w:before="120" w:after="120"/>
        <w:ind w:left="567" w:right="48"/>
        <w:jc w:val="both"/>
        <w:rPr>
          <w:color w:val="000000"/>
        </w:rPr>
      </w:pPr>
      <w:r w:rsidRPr="00BA2AE1">
        <w:t>“</w:t>
      </w:r>
      <w:r w:rsidRPr="00BA2AE1">
        <w:rPr>
          <w:color w:val="000000"/>
        </w:rPr>
        <w:t xml:space="preserve">Nefes alabileceğim, kendimi iyi hissettiğim, rahatlıkla iletişim kurabileceğim </w:t>
      </w:r>
      <w:proofErr w:type="gramStart"/>
      <w:r w:rsidRPr="00BA2AE1">
        <w:rPr>
          <w:color w:val="000000"/>
        </w:rPr>
        <w:t>insanların  bulunduğu</w:t>
      </w:r>
      <w:proofErr w:type="gramEnd"/>
      <w:r w:rsidRPr="00BA2AE1">
        <w:rPr>
          <w:color w:val="000000"/>
        </w:rPr>
        <w:t xml:space="preserve"> bir mekân. Size benzeyen sizin gibi insanlarla karşılaşma ihtimalinizin yüksek olduğu bir mekân olarak değerlendiriyorum” (Erkek, akademisyen, 58 yaşında).</w:t>
      </w:r>
    </w:p>
    <w:p w14:paraId="5DCC2053" w14:textId="7B00EBF0" w:rsidR="008003D6" w:rsidRPr="00BA2AE1" w:rsidRDefault="00C1011D" w:rsidP="008003D6">
      <w:pPr>
        <w:spacing w:before="120" w:after="120"/>
        <w:ind w:left="567" w:right="48"/>
        <w:jc w:val="both"/>
      </w:pPr>
      <w:r w:rsidRPr="00BA2AE1">
        <w:t xml:space="preserve"> “Kitap kafe en sevdiğim şeyleri ifade ediyor; kedi, kitap kahve üçlüsü. Çok huzurlu mekânlar, kendimi özgür hissettiğim yerler. Hani derler ya ıssız adada dinlenmek, aynen öyle”</w:t>
      </w:r>
      <w:r>
        <w:t xml:space="preserve"> </w:t>
      </w:r>
      <w:r w:rsidRPr="00BA2AE1">
        <w:t>(Kadın, veteriner hekim, 54 yaşında).</w:t>
      </w:r>
    </w:p>
    <w:p w14:paraId="27EFE796" w14:textId="77777777" w:rsidR="00C1011D" w:rsidRPr="00BA2AE1" w:rsidRDefault="00C1011D" w:rsidP="008003D6">
      <w:pPr>
        <w:jc w:val="both"/>
        <w:rPr>
          <w:b/>
          <w:i/>
        </w:rPr>
      </w:pPr>
      <w:r>
        <w:rPr>
          <w:b/>
          <w:i/>
        </w:rPr>
        <w:t xml:space="preserve">2.1.2. </w:t>
      </w:r>
      <w:r w:rsidRPr="00BA2AE1">
        <w:rPr>
          <w:b/>
          <w:i/>
        </w:rPr>
        <w:t>Evde hissetmek: “Kimse kimseye tuhaf bakmıyor”</w:t>
      </w:r>
    </w:p>
    <w:p w14:paraId="399422DC" w14:textId="77777777" w:rsidR="00C1011D" w:rsidRPr="00BA2AE1" w:rsidRDefault="00C1011D" w:rsidP="008003D6">
      <w:pPr>
        <w:jc w:val="both"/>
        <w:rPr>
          <w:b/>
          <w:i/>
        </w:rPr>
      </w:pPr>
      <w:r w:rsidRPr="00BA2AE1">
        <w:t>Ev, insanın hem varoluşsal hem de metaforik temel mekânıdır. Varoluşsaldır; çünkü ev, sürekli olarak kendisine dönmek istediğimiz menzilimizdir. Metaforiktir; çünkü ev, sahip olduğu anlamlarıyla okulu, işyerini vb. diğer tüm mekânları kendisiyle ilişkilendirdiğimiz ilk mekânımızdır. Kitap kafe müdavimlerinin kitap kafeyi tercih etme sebeplerini anlamak için yöneltilen sorulara verilen cevaplarda da yine bu evde olmak hissiyatı belirgin olarak karşımıza çıkmıştır. Katılımcılar bu mekânları; oturma alanlarının rahatlığı, sessizlik, renk düzeni, müzik tercihi, evde olma hissiyatını yaşama olarak ifade etmişleridir:</w:t>
      </w:r>
    </w:p>
    <w:p w14:paraId="030A22B3" w14:textId="77777777" w:rsidR="00C1011D" w:rsidRPr="00BA2AE1" w:rsidRDefault="00C1011D" w:rsidP="00C1011D">
      <w:pPr>
        <w:spacing w:before="120" w:after="120"/>
        <w:ind w:left="567" w:right="48"/>
        <w:jc w:val="both"/>
        <w:rPr>
          <w:color w:val="000000"/>
        </w:rPr>
      </w:pPr>
      <w:r w:rsidRPr="00BA2AE1">
        <w:rPr>
          <w:color w:val="000000"/>
        </w:rPr>
        <w:t xml:space="preserve">“Mekân insana kendi rengini ve şeklini verir. Renkler algımızı belirliyor, kahverengiden ve kırmızdan uzaklaştıkça mekânda oturma zamanımız artar. Fiziki yapı beni çok etkiliyor görüntü, </w:t>
      </w:r>
      <w:proofErr w:type="gramStart"/>
      <w:r w:rsidRPr="00BA2AE1">
        <w:rPr>
          <w:color w:val="000000"/>
        </w:rPr>
        <w:t>dizayn</w:t>
      </w:r>
      <w:proofErr w:type="gramEnd"/>
      <w:r w:rsidRPr="00BA2AE1">
        <w:rPr>
          <w:color w:val="000000"/>
        </w:rPr>
        <w:t>, tasarım yani kitap satılacak yerin de bir sanat eseri gibi düzenlenmesine dikkat ediyorum. Burada kendimi rahat hissediyorum evdeki çalışma masamda nasıl çalışıyorsam onun özgürlüğünü hissediyorum ve kimse kimseye tuhaf bakmıyor” (Erkek, akademisyen, 58 yaşında).</w:t>
      </w:r>
    </w:p>
    <w:p w14:paraId="36E1D929" w14:textId="77777777" w:rsidR="00C1011D" w:rsidRPr="00BA2AE1" w:rsidRDefault="00C1011D" w:rsidP="00C1011D">
      <w:pPr>
        <w:spacing w:before="120" w:after="120"/>
        <w:ind w:left="567" w:right="48"/>
        <w:jc w:val="both"/>
        <w:rPr>
          <w:color w:val="000000"/>
        </w:rPr>
      </w:pPr>
      <w:r w:rsidRPr="00BA2AE1">
        <w:rPr>
          <w:color w:val="000000"/>
        </w:rPr>
        <w:t>“Öncelikle bence çok kalabalık olamaması gerekiyor. Sakin bir ortam olması gerekiyor. Müzik seçimi de önemli çok hareketli, pop müzik tarzı insan okurken dikkati dağılabilir. Daha çok dinlendirici müzikler olabilir, caz tarzı müzikler, klasik müzikler, o tarz müziklerin olmasını daha çok tercih ederim kitap kafede”</w:t>
      </w:r>
      <w:r>
        <w:rPr>
          <w:color w:val="000000"/>
        </w:rPr>
        <w:t xml:space="preserve"> </w:t>
      </w:r>
      <w:r w:rsidRPr="00BA2AE1">
        <w:rPr>
          <w:color w:val="000000"/>
        </w:rPr>
        <w:t>(Erkek, öğrenci, 18 yaşında).</w:t>
      </w:r>
    </w:p>
    <w:p w14:paraId="1154D337" w14:textId="77777777" w:rsidR="00C1011D" w:rsidRPr="00BA2AE1" w:rsidRDefault="00C1011D" w:rsidP="008003D6">
      <w:pPr>
        <w:jc w:val="both"/>
        <w:rPr>
          <w:b/>
          <w:i/>
        </w:rPr>
      </w:pPr>
      <w:r>
        <w:rPr>
          <w:b/>
          <w:i/>
        </w:rPr>
        <w:t xml:space="preserve">2.1.3. </w:t>
      </w:r>
      <w:r w:rsidRPr="00BA2AE1">
        <w:rPr>
          <w:b/>
          <w:i/>
        </w:rPr>
        <w:t>Evde hissettirmek: “Mekânı düşünerek açtım”</w:t>
      </w:r>
    </w:p>
    <w:p w14:paraId="7E379CE0" w14:textId="77777777" w:rsidR="00C1011D" w:rsidRPr="00BA2AE1" w:rsidRDefault="00C1011D" w:rsidP="008003D6">
      <w:pPr>
        <w:jc w:val="both"/>
        <w:rPr>
          <w:shd w:val="clear" w:color="auto" w:fill="FFFFFF"/>
        </w:rPr>
      </w:pPr>
      <w:r w:rsidRPr="00BA2AE1">
        <w:rPr>
          <w:shd w:val="clear" w:color="auto" w:fill="FFFFFF"/>
        </w:rPr>
        <w:t xml:space="preserve">Yaşadığı ev, kişinin kimliğini yansıtır. </w:t>
      </w:r>
      <w:r w:rsidRPr="00BA2AE1">
        <w:t xml:space="preserve">Mekânın sadece fiziksel özelliklerine değil, aynı zamanda mekânın insan davranışlarına, sosyal etkilere ve algıya etkisi de dikkate alınır. </w:t>
      </w:r>
      <w:r w:rsidRPr="00BA2AE1">
        <w:rPr>
          <w:shd w:val="clear" w:color="auto" w:fill="FFFFFF"/>
        </w:rPr>
        <w:t xml:space="preserve">Geleni rahat ettirmek, ihtiyaçlarını karşılamak, taleplerini önemseyip düzenlemeler yapmak da evde hissettirme çabasıdır. </w:t>
      </w:r>
      <w:r w:rsidRPr="00BA2AE1">
        <w:t xml:space="preserve">İşletme sahiplerinin mekânı tasarlama fikrini anlamak için yöneltilen sorulara verilen cevaplar, evde hissettirme düşüncesi ile bağlantılıdır. İşletme sahiplerinin </w:t>
      </w:r>
      <w:r w:rsidRPr="00BA2AE1">
        <w:lastRenderedPageBreak/>
        <w:t>mekânı tasarlama fikri değişiklik göstermekle birlikte mekân tasarımındaki hassasiyetleri benzerdir:</w:t>
      </w:r>
    </w:p>
    <w:p w14:paraId="368A2A8C" w14:textId="77777777" w:rsidR="00C1011D" w:rsidRPr="00BA2AE1" w:rsidRDefault="00C1011D" w:rsidP="00C1011D">
      <w:pPr>
        <w:spacing w:before="120" w:after="120"/>
        <w:ind w:left="567" w:right="48"/>
        <w:jc w:val="both"/>
        <w:rPr>
          <w:color w:val="000000"/>
        </w:rPr>
      </w:pPr>
      <w:r w:rsidRPr="00BA2AE1">
        <w:rPr>
          <w:color w:val="000000"/>
        </w:rPr>
        <w:t xml:space="preserve"> “Dedemle birlikte ormana giderdik, o kitap okurdu ben oyun oynardım. Bana kitap sevgisinin dedemden geçtiğini düşünüyorum çünkü ailede başka kitap tutkunu yok. Bu mekânı tesadüfen açmadım. Düşünerek açtım. Sokaktan geçen insana hitap etmek isteyen bir işletme değiliz. Okurların bireyselliğini fark etmesi için koltuklar tek kişilik tasarlandı. Koltukların önündeki sehpalara kadar her şey özel yapım. Okur, bir koltuğa otursun, kitabını açsın, kahvesini ya da çayını söylesin ve bağımsızlığını ilan etsin istiyorum. İşletmeyi kurarken işletmeciliğimden yola çıkmadım okurluğumdan yola çıktım. Müziğin sözsün oluşuna dikkat ediyorum. Günün belirli saatlerinde müzik ritmi yükselip alçalabiliyor. Bu biraz benim ve işletmenin durumuna göre de değişken olabiliyor. Genelde klasik müzik, </w:t>
      </w:r>
      <w:proofErr w:type="spellStart"/>
      <w:r w:rsidRPr="00BA2AE1">
        <w:rPr>
          <w:color w:val="000000"/>
        </w:rPr>
        <w:t>blues</w:t>
      </w:r>
      <w:proofErr w:type="spellEnd"/>
      <w:r w:rsidRPr="00BA2AE1">
        <w:rPr>
          <w:color w:val="000000"/>
        </w:rPr>
        <w:t xml:space="preserve">, caz, </w:t>
      </w:r>
      <w:proofErr w:type="spellStart"/>
      <w:r w:rsidRPr="00BA2AE1">
        <w:rPr>
          <w:color w:val="000000"/>
        </w:rPr>
        <w:t>medidatif</w:t>
      </w:r>
      <w:proofErr w:type="spellEnd"/>
      <w:r w:rsidRPr="00BA2AE1">
        <w:rPr>
          <w:color w:val="000000"/>
        </w:rPr>
        <w:t xml:space="preserve"> müzikler seçiyorum. Koku yapabilecek herhangi bir yiyecek bulundurmayı</w:t>
      </w:r>
      <w:r>
        <w:rPr>
          <w:color w:val="000000"/>
        </w:rPr>
        <w:t xml:space="preserve">z çünkü </w:t>
      </w:r>
      <w:r w:rsidRPr="00BA2AE1">
        <w:rPr>
          <w:color w:val="000000"/>
        </w:rPr>
        <w:t>kitap kokusunun üzerine çıkacak her şeye karşıyım” (Erkek, kitapçı, 49 yaşında).</w:t>
      </w:r>
    </w:p>
    <w:p w14:paraId="6D8F095C" w14:textId="77777777" w:rsidR="00C1011D" w:rsidRPr="00BA2AE1" w:rsidRDefault="00C1011D" w:rsidP="00C1011D">
      <w:pPr>
        <w:spacing w:before="120" w:after="120"/>
        <w:ind w:left="567" w:right="48"/>
        <w:jc w:val="both"/>
        <w:rPr>
          <w:color w:val="000000"/>
        </w:rPr>
      </w:pPr>
      <w:r w:rsidRPr="00BA2AE1">
        <w:rPr>
          <w:color w:val="000000"/>
        </w:rPr>
        <w:t>“Hep bir ticaret fikri vardı. Biz Etüt Merkezi açacaktık</w:t>
      </w:r>
      <w:r>
        <w:rPr>
          <w:color w:val="000000"/>
        </w:rPr>
        <w:t>,</w:t>
      </w:r>
      <w:r w:rsidRPr="00BA2AE1">
        <w:rPr>
          <w:color w:val="000000"/>
        </w:rPr>
        <w:t xml:space="preserve"> 2015'te yerimizi tuttuk o yıllarda etüt merkezleri kapandı. Ankara'da böyle bir yeri gördük. Yaklaşık 3 aya yakın yer aradık bunu yapabileceğimiz çünkü aynı sistem</w:t>
      </w:r>
      <w:r>
        <w:rPr>
          <w:color w:val="000000"/>
        </w:rPr>
        <w:t>;</w:t>
      </w:r>
      <w:r w:rsidRPr="00BA2AE1">
        <w:rPr>
          <w:color w:val="000000"/>
        </w:rPr>
        <w:t xml:space="preserve"> sessiz ortam</w:t>
      </w:r>
      <w:r>
        <w:rPr>
          <w:color w:val="000000"/>
        </w:rPr>
        <w:t>,</w:t>
      </w:r>
      <w:r w:rsidRPr="00BA2AE1">
        <w:rPr>
          <w:color w:val="000000"/>
        </w:rPr>
        <w:t xml:space="preserve"> sesli ortam bölünmesi diye bir yer aradık</w:t>
      </w:r>
      <w:r>
        <w:rPr>
          <w:color w:val="000000"/>
        </w:rPr>
        <w:t>,</w:t>
      </w:r>
      <w:r w:rsidRPr="00BA2AE1">
        <w:rPr>
          <w:color w:val="000000"/>
        </w:rPr>
        <w:t xml:space="preserve"> uzatmadık kafamızda vardı böyle bir plan çünkü gördük şehir dışında böyle bir yeri ama Samsun'da böyle bir yer yoktu</w:t>
      </w:r>
      <w:r>
        <w:rPr>
          <w:color w:val="000000"/>
        </w:rPr>
        <w:t>,</w:t>
      </w:r>
      <w:r w:rsidRPr="00BA2AE1">
        <w:rPr>
          <w:color w:val="000000"/>
        </w:rPr>
        <w:t xml:space="preserve"> biz de olmayan bir şey açalım dedik. 100 lira giriş ücretiyle beraber içeceğini alıp tüm </w:t>
      </w:r>
      <w:r>
        <w:rPr>
          <w:color w:val="000000"/>
        </w:rPr>
        <w:t xml:space="preserve">gününü burada geçirebiliyorlar. </w:t>
      </w:r>
      <w:r w:rsidRPr="00BA2AE1">
        <w:rPr>
          <w:color w:val="000000"/>
        </w:rPr>
        <w:t>Yiyecek içecek sunumlarında öğrenciler bizi şekillendiriyor</w:t>
      </w:r>
      <w:r>
        <w:rPr>
          <w:color w:val="000000"/>
        </w:rPr>
        <w:t>. H</w:t>
      </w:r>
      <w:r w:rsidRPr="00BA2AE1">
        <w:rPr>
          <w:color w:val="000000"/>
        </w:rPr>
        <w:t>amburger yapıyoruz ama bazısı sandviç ekmeğini istiyorum diyor</w:t>
      </w:r>
      <w:r>
        <w:rPr>
          <w:color w:val="000000"/>
        </w:rPr>
        <w:t>,</w:t>
      </w:r>
      <w:r w:rsidRPr="00BA2AE1">
        <w:rPr>
          <w:color w:val="000000"/>
        </w:rPr>
        <w:t xml:space="preserve"> tost yapınca tost ekmeğine olmasın sandviç ekmeğine olsun gibi olunca onlara göre şekilleniyoruz. Müzik açacak yoğunlukta bir gereksinim de</w:t>
      </w:r>
      <w:r>
        <w:rPr>
          <w:color w:val="000000"/>
        </w:rPr>
        <w:t xml:space="preserve"> </w:t>
      </w:r>
      <w:r w:rsidRPr="00BA2AE1">
        <w:rPr>
          <w:color w:val="000000"/>
        </w:rPr>
        <w:t>olmuyor çünkü herkes ders çalışıyor” (Erkek, dış ticaret/serbest çalışan, 41 yaşında).</w:t>
      </w:r>
    </w:p>
    <w:p w14:paraId="2366F9B9" w14:textId="77777777" w:rsidR="00C1011D" w:rsidRPr="00BA2AE1" w:rsidRDefault="00C1011D" w:rsidP="008003D6">
      <w:pPr>
        <w:jc w:val="both"/>
        <w:rPr>
          <w:b/>
          <w:i/>
        </w:rPr>
      </w:pPr>
      <w:r>
        <w:rPr>
          <w:b/>
          <w:i/>
        </w:rPr>
        <w:t xml:space="preserve">2.1.4. </w:t>
      </w:r>
      <w:r w:rsidRPr="00BA2AE1">
        <w:rPr>
          <w:b/>
          <w:i/>
        </w:rPr>
        <w:t>Özel hissetmek: “Bana ait bir raf var”</w:t>
      </w:r>
    </w:p>
    <w:p w14:paraId="4086E5E1" w14:textId="77777777" w:rsidR="00C1011D" w:rsidRPr="00BA2AE1" w:rsidRDefault="00C1011D" w:rsidP="008003D6">
      <w:pPr>
        <w:jc w:val="both"/>
      </w:pPr>
      <w:r w:rsidRPr="00BA2AE1">
        <w:t>Bir mekânın tanıdık yüzü olmakla oraya ilk kez gitmek arasında fark vardır. Kitap kafenin müdavi olmak oranın yerlisi olmak demektir. İnsan eşyasının olduğu yere aidiyet geliştirir. Ayrıca kendini özel hisseder. Kitap kafe müdavimlerinin kendilerini mekânda özel hissetmesini sağlayan sebepleri anlamak için yöneltilen sorulara verilen cevaplar da aynı doğrultudadır:</w:t>
      </w:r>
    </w:p>
    <w:p w14:paraId="122DC102" w14:textId="77777777" w:rsidR="00C1011D" w:rsidRPr="00BA2AE1" w:rsidRDefault="00C1011D" w:rsidP="00C1011D">
      <w:pPr>
        <w:spacing w:before="120" w:after="120"/>
        <w:ind w:left="567" w:right="48"/>
        <w:jc w:val="both"/>
        <w:rPr>
          <w:color w:val="000000"/>
        </w:rPr>
      </w:pPr>
      <w:r w:rsidRPr="00BA2AE1">
        <w:rPr>
          <w:color w:val="000000"/>
        </w:rPr>
        <w:t xml:space="preserve"> “Bir müdavim rafımız var. Müdavim rafımızda kişilerin kendi kitapları bulunuyor. Müdavimler birbirini tanıdığı için bir müdavimin okuduğu kitabı görüp bu kitabı okumayı çok istiyordum deyip kitabın sahibini arayıp rafındaki kitap ilgimi çekiyor bakabilir miyim diye izin alıp inceleyebilir. Bu aynı zamanda müdavimlerin birbirinden kitap hakkında bilgi almalarını da sağlıyor” (Erkek, kitapçı, 49 yaşında).</w:t>
      </w:r>
    </w:p>
    <w:p w14:paraId="00521C28" w14:textId="77777777" w:rsidR="00C1011D" w:rsidRPr="00BA2AE1" w:rsidRDefault="00C1011D" w:rsidP="00C1011D">
      <w:pPr>
        <w:spacing w:before="120" w:after="120"/>
        <w:ind w:left="567" w:right="48"/>
        <w:jc w:val="both"/>
        <w:rPr>
          <w:color w:val="000000"/>
        </w:rPr>
      </w:pPr>
      <w:r w:rsidRPr="00BA2AE1">
        <w:rPr>
          <w:color w:val="000000"/>
        </w:rPr>
        <w:t>“Müdavim köşesi var, söz gelimi bütün kitapları alıp taşımanız gerekmiyor. Ben dahil birçok insanın burada bir köşesi var</w:t>
      </w:r>
      <w:r>
        <w:rPr>
          <w:color w:val="000000"/>
        </w:rPr>
        <w:t>,</w:t>
      </w:r>
      <w:r w:rsidRPr="00BA2AE1">
        <w:rPr>
          <w:color w:val="000000"/>
        </w:rPr>
        <w:t xml:space="preserve"> bir raf var</w:t>
      </w:r>
      <w:r>
        <w:rPr>
          <w:color w:val="000000"/>
        </w:rPr>
        <w:t>;</w:t>
      </w:r>
      <w:r w:rsidRPr="00BA2AE1">
        <w:rPr>
          <w:color w:val="000000"/>
        </w:rPr>
        <w:t xml:space="preserve"> orada bana ait olan 25-30 kitap okunma sırasını bekleyen</w:t>
      </w:r>
      <w:r>
        <w:rPr>
          <w:color w:val="000000"/>
        </w:rPr>
        <w:t xml:space="preserve">, </w:t>
      </w:r>
      <w:r w:rsidRPr="00BA2AE1">
        <w:rPr>
          <w:color w:val="000000"/>
        </w:rPr>
        <w:t>elimin altında olması ge</w:t>
      </w:r>
      <w:r>
        <w:rPr>
          <w:color w:val="000000"/>
        </w:rPr>
        <w:t>reken kitapları okuyabiliyorum. D</w:t>
      </w:r>
      <w:r w:rsidRPr="00BA2AE1">
        <w:rPr>
          <w:color w:val="000000"/>
        </w:rPr>
        <w:t>ergileri oradan takip edebiliyorum”</w:t>
      </w:r>
      <w:r>
        <w:rPr>
          <w:color w:val="000000"/>
        </w:rPr>
        <w:t xml:space="preserve"> </w:t>
      </w:r>
      <w:r w:rsidRPr="00BA2AE1">
        <w:rPr>
          <w:color w:val="000000"/>
        </w:rPr>
        <w:t>(Erkek, akademisyen, 58 yaşında).</w:t>
      </w:r>
    </w:p>
    <w:p w14:paraId="690EE75F" w14:textId="77777777" w:rsidR="00C1011D" w:rsidRPr="00BA2AE1" w:rsidRDefault="00C1011D" w:rsidP="008003D6">
      <w:pPr>
        <w:jc w:val="both"/>
        <w:rPr>
          <w:b/>
        </w:rPr>
      </w:pPr>
      <w:r>
        <w:rPr>
          <w:b/>
        </w:rPr>
        <w:t xml:space="preserve">2.2. </w:t>
      </w:r>
      <w:r w:rsidRPr="00BA2AE1">
        <w:rPr>
          <w:b/>
        </w:rPr>
        <w:t>Tema 2: Mekân Algısı</w:t>
      </w:r>
    </w:p>
    <w:p w14:paraId="7BCF143B" w14:textId="77777777" w:rsidR="00C1011D" w:rsidRDefault="00C1011D" w:rsidP="008003D6">
      <w:pPr>
        <w:jc w:val="both"/>
      </w:pPr>
      <w:r w:rsidRPr="00BA2AE1">
        <w:t>Araştırma bulgularına göre kitap kafe müdavimlerine ilişkin mekân algısı teması “Mekânın Farkı”, “Mekânı Tüketmek ve Yeniden Üretmek”, “İnsanı Okumak” olmak üzere üç kategoride ele alınmıştır.</w:t>
      </w:r>
    </w:p>
    <w:p w14:paraId="11983E62" w14:textId="77777777" w:rsidR="008003D6" w:rsidRPr="00BA2AE1" w:rsidRDefault="008003D6" w:rsidP="008003D6">
      <w:pPr>
        <w:jc w:val="both"/>
        <w:rPr>
          <w:b/>
        </w:rPr>
      </w:pPr>
    </w:p>
    <w:p w14:paraId="5248192A" w14:textId="77777777" w:rsidR="00C1011D" w:rsidRPr="00BA2AE1" w:rsidRDefault="00C1011D" w:rsidP="008003D6">
      <w:pPr>
        <w:jc w:val="both"/>
        <w:rPr>
          <w:b/>
          <w:i/>
        </w:rPr>
      </w:pPr>
      <w:r>
        <w:rPr>
          <w:b/>
          <w:i/>
        </w:rPr>
        <w:t xml:space="preserve">2.2.1. </w:t>
      </w:r>
      <w:r w:rsidRPr="00BA2AE1">
        <w:rPr>
          <w:b/>
          <w:i/>
        </w:rPr>
        <w:t>Mekânın Farkı: “Kütüphane kafe değil kitap kafe”</w:t>
      </w:r>
    </w:p>
    <w:p w14:paraId="32FA3228" w14:textId="77777777" w:rsidR="00C1011D" w:rsidRPr="00BA2AE1" w:rsidRDefault="00C1011D" w:rsidP="008003D6">
      <w:pPr>
        <w:jc w:val="both"/>
        <w:rPr>
          <w:b/>
          <w:i/>
        </w:rPr>
      </w:pPr>
      <w:r w:rsidRPr="00BA2AE1">
        <w:t xml:space="preserve">Bir mekânın kitaplarla dolu raflarını gördüğümüzde zihnimizde okuyan insanlar canlanır. </w:t>
      </w:r>
      <w:r w:rsidRPr="00BA2AE1">
        <w:lastRenderedPageBreak/>
        <w:t>Gözlemde derinleştiğimizde mekânlar arası farka odaklanabiliriz. Kütüphane kafe ve kitap kafe ayrımında kitabın önceliğini anlamak için yöneltilen sorulara verilen cevaplardan anlaşılacağı üzere hedef kitleyle bağlantılı olarak kitabın önceliği işletmeler arasında farklılık göstermektedir. Katılımcılar genelde, kütüphane kafe için önceliğin ders çalışmak, kitap kafe için önceliğin kitap olduğunu belirtmişlerdir:</w:t>
      </w:r>
    </w:p>
    <w:p w14:paraId="4362F076" w14:textId="77777777" w:rsidR="00C1011D" w:rsidRPr="00BA2AE1" w:rsidRDefault="00C1011D" w:rsidP="00C1011D">
      <w:pPr>
        <w:tabs>
          <w:tab w:val="left" w:pos="9781"/>
          <w:tab w:val="left" w:pos="9923"/>
        </w:tabs>
        <w:spacing w:before="120" w:after="120"/>
        <w:ind w:left="567" w:right="48"/>
        <w:jc w:val="both"/>
      </w:pPr>
      <w:r w:rsidRPr="00BA2AE1">
        <w:t xml:space="preserve">“Ortak noktası kitap olan farklı meslek dallarına ve görüşlerine sahip insanlardan oluşan genelde 30 yaş üstü, hayat akışını kurmuş, bireysel olarak kitaptan, kültür sanattan zevk alan ya da bunlardan bir tanesiyle ilgilenen müdavim kitlemiz var. Herkesin kitaba temas etmesini önemserim. Herkesin de bir kitapçısı olması gerektiğini düşünüyorum. Onun okuma tarzını bilen, neyden zevk aldığını bilen bir kitapçısının olması benim hayalim” </w:t>
      </w:r>
      <w:r w:rsidRPr="00BA2AE1">
        <w:rPr>
          <w:color w:val="000000"/>
        </w:rPr>
        <w:t>(Erkek, kitapçı, 49 yaşında).</w:t>
      </w:r>
    </w:p>
    <w:p w14:paraId="45AFC718" w14:textId="77777777" w:rsidR="00C1011D" w:rsidRPr="00BA2AE1" w:rsidRDefault="00C1011D" w:rsidP="00C1011D">
      <w:pPr>
        <w:tabs>
          <w:tab w:val="left" w:pos="9214"/>
          <w:tab w:val="left" w:pos="9356"/>
        </w:tabs>
        <w:spacing w:before="120" w:after="120"/>
        <w:ind w:left="567" w:right="48"/>
        <w:jc w:val="both"/>
      </w:pPr>
      <w:r w:rsidRPr="00BA2AE1">
        <w:t xml:space="preserve">“Hedef kitlemiz ağırlık üniversite öğrencileri ve üniversiteye hazırlananlar. </w:t>
      </w:r>
      <w:r w:rsidRPr="00BA2AE1">
        <w:rPr>
          <w:color w:val="000000"/>
        </w:rPr>
        <w:t>Kitapları okuyan kimse yok kütüphane diye geçer ama kitaplar tabiri caizse süs gibi duruyor. Merak ettim şunu alıp da okuyayım diyen kişi yok</w:t>
      </w:r>
      <w:r>
        <w:rPr>
          <w:color w:val="000000"/>
        </w:rPr>
        <w:t>. S</w:t>
      </w:r>
      <w:r w:rsidRPr="00BA2AE1">
        <w:rPr>
          <w:color w:val="000000"/>
        </w:rPr>
        <w:t>enede bir yeniliyoruz kitapları ama bizim yenilediklerimizle kalıyor. Kütüphaneden ben şu kitabı alayım da okuyayım diyeni hiç duymadım şimdiye kadar 4 senedir denk gelmedik” (Erkek, dış ticaret/serbest çalışan, 41 yaşında).</w:t>
      </w:r>
    </w:p>
    <w:p w14:paraId="0375B099" w14:textId="77777777" w:rsidR="00C1011D" w:rsidRPr="00BA2AE1" w:rsidRDefault="00C1011D" w:rsidP="008003D6">
      <w:pPr>
        <w:jc w:val="both"/>
        <w:rPr>
          <w:b/>
          <w:i/>
        </w:rPr>
      </w:pPr>
      <w:r>
        <w:rPr>
          <w:b/>
          <w:i/>
        </w:rPr>
        <w:t xml:space="preserve">2.2.2. </w:t>
      </w:r>
      <w:r w:rsidRPr="00BA2AE1">
        <w:rPr>
          <w:b/>
          <w:i/>
        </w:rPr>
        <w:t>Mekânı Tüketmek ve Yeniden Üretmek: “Okulda hissetmek”</w:t>
      </w:r>
    </w:p>
    <w:p w14:paraId="55049EFE" w14:textId="77777777" w:rsidR="00C1011D" w:rsidRPr="00BA2AE1" w:rsidRDefault="00C1011D" w:rsidP="008003D6">
      <w:pPr>
        <w:jc w:val="both"/>
      </w:pPr>
      <w:r w:rsidRPr="00BA2AE1">
        <w:t>Mekânsal pratikler “üretimi ve yeniden üretimi, nispi bir bağlılık içinde süreklilik sağlayan her toplumsal oluşuma has özgül yerleri ve mekânsal kümeleri kapsadığı</w:t>
      </w:r>
      <w:r>
        <w:t>” (</w:t>
      </w:r>
      <w:proofErr w:type="spellStart"/>
      <w:r>
        <w:t>Lefebvre</w:t>
      </w:r>
      <w:proofErr w:type="spellEnd"/>
      <w:r>
        <w:t>, 2014, s.</w:t>
      </w:r>
      <w:r w:rsidRPr="00BA2AE1">
        <w:t>63) için üretim ve yeniden üretimin iç içe girmiş olduğu kitap kafeler de toplumsal üretim ilişkilerinin yeniden-üretimi ile sıkı bir bağ içerisindedir. Kitap kafe müdavimlerinin mekânı kullanma şekillerine yönelik yöneltilen sorulara verdikleri cevaplarda da mekânın yeniden üretimi dikkat çekmektedir. Katılımcılar mekân ile ilgili okulda hissetmek, ev dışında bir çalışma mekânı olarak görmek gibi fikirler ileri sürmüşlerdir:</w:t>
      </w:r>
    </w:p>
    <w:p w14:paraId="2D546611" w14:textId="77777777" w:rsidR="00C1011D" w:rsidRPr="00BA2AE1" w:rsidRDefault="00C1011D" w:rsidP="00C1011D">
      <w:pPr>
        <w:tabs>
          <w:tab w:val="left" w:pos="9356"/>
        </w:tabs>
        <w:spacing w:before="120" w:after="120"/>
        <w:ind w:left="567" w:right="48"/>
        <w:jc w:val="both"/>
      </w:pPr>
      <w:r w:rsidRPr="00BA2AE1">
        <w:t>“Locayı aylık kiralamak isteyenler oluyor mesela bir tıp öğrencisi vardı burada gaza geliyorum deyip burayı kiralamak istediğini söyledi” (Erkek, dış ticaret/serbest çalışan, 41 yaşında).</w:t>
      </w:r>
    </w:p>
    <w:p w14:paraId="19DC7451" w14:textId="77777777" w:rsidR="00C1011D" w:rsidRPr="00BA2AE1" w:rsidRDefault="00C1011D" w:rsidP="00C1011D">
      <w:pPr>
        <w:tabs>
          <w:tab w:val="left" w:pos="9356"/>
        </w:tabs>
        <w:spacing w:before="120" w:after="120"/>
        <w:ind w:left="567" w:right="48"/>
        <w:jc w:val="both"/>
      </w:pPr>
      <w:r w:rsidRPr="00BA2AE1">
        <w:t xml:space="preserve">“Üniversitede okuttuğum derslerden biri </w:t>
      </w:r>
      <w:proofErr w:type="gramStart"/>
      <w:r w:rsidRPr="00BA2AE1">
        <w:t>“ Çocuk</w:t>
      </w:r>
      <w:proofErr w:type="gramEnd"/>
      <w:r w:rsidRPr="00BA2AE1">
        <w:t xml:space="preserve"> Edebiyatı”. Çocuk Edebiyatında bizim bir bölümümüz var</w:t>
      </w:r>
      <w:r>
        <w:t>,</w:t>
      </w:r>
      <w:r w:rsidRPr="00BA2AE1">
        <w:t xml:space="preserve"> çocuk kitapları. O konuya geldiğimizde öğrencilerimi alıp burada ders yapıyorum” (Erkek, akademisyen, 58 yaşında).</w:t>
      </w:r>
    </w:p>
    <w:p w14:paraId="39670E9C" w14:textId="77777777" w:rsidR="00C1011D" w:rsidRPr="00BA2AE1" w:rsidRDefault="00C1011D" w:rsidP="008003D6">
      <w:pPr>
        <w:jc w:val="both"/>
        <w:rPr>
          <w:b/>
          <w:i/>
        </w:rPr>
      </w:pPr>
      <w:r>
        <w:rPr>
          <w:b/>
          <w:i/>
        </w:rPr>
        <w:t xml:space="preserve">2.2.3. </w:t>
      </w:r>
      <w:r w:rsidRPr="00BA2AE1">
        <w:rPr>
          <w:b/>
          <w:i/>
        </w:rPr>
        <w:t>Kitap Kafe İşletmecisi Olmak: “İnsanı okumak”</w:t>
      </w:r>
    </w:p>
    <w:p w14:paraId="41A83F94" w14:textId="77777777" w:rsidR="00C1011D" w:rsidRPr="00BA2AE1" w:rsidRDefault="00C1011D" w:rsidP="008003D6">
      <w:pPr>
        <w:jc w:val="both"/>
        <w:rPr>
          <w:b/>
          <w:i/>
        </w:rPr>
      </w:pPr>
      <w:r w:rsidRPr="00BA2AE1">
        <w:t>İnsan kompleks bir varlıktır. Bütünüyle bilinmesi mümkün olmasa da tahmin edilebilir. Duygularımız, düşüncelerimiz, kişilik yapımız okunabilir yanlarımıza işaret eder. Kitap seçimlerimiz de bizim hakkımızda bilgi verir. Okur profilini tanımak açısından işletme sahibinin kitapla olan ilişkisini anlamak üzere sorulan sorulara verilen cevaplarda kitap kafe işletmecisi olmanın öne çıktığı görülmüştür:</w:t>
      </w:r>
    </w:p>
    <w:p w14:paraId="6E9BE07D" w14:textId="77777777" w:rsidR="00C1011D" w:rsidRPr="00BA2AE1" w:rsidRDefault="00C1011D" w:rsidP="00C1011D">
      <w:pPr>
        <w:spacing w:before="120" w:after="120"/>
        <w:ind w:left="567" w:right="48"/>
        <w:jc w:val="both"/>
      </w:pPr>
      <w:r w:rsidRPr="00BA2AE1">
        <w:t xml:space="preserve">“Ben bir bağımsız kitapçıyım. Bağımsız kitapçı Türkiye’de 50’nin altında. Bir kitapevi yaşadığı yerin demografik yapısını tespit edip ona göre kitap seçmelidir. Mesela Türkiye’de çok satanlar listesinde olan 10 kitabın 3 tanesi Karadeniz’de hiç satmaz. Çünkü coğrafi yapı olarak okur kitlesi buraya uygun değildir. Bunu genelde bir yayınevi tespit edemez. Bunu ancak kitapçı tespit edebilir. Aynı zamanda bir yayımcı olduğum için bundan çok faydalanıyorum. Genelde yaşadığım bölgenin okur profilini göz önünde bulundurarak kitap seçerim” </w:t>
      </w:r>
      <w:r w:rsidRPr="00BA2AE1">
        <w:rPr>
          <w:color w:val="000000"/>
        </w:rPr>
        <w:t>(Erkek, kitapçı, 49 yaşında).</w:t>
      </w:r>
    </w:p>
    <w:p w14:paraId="6CFFFF70" w14:textId="77777777" w:rsidR="00C1011D" w:rsidRPr="00BA2AE1" w:rsidRDefault="00C1011D" w:rsidP="00C1011D">
      <w:pPr>
        <w:spacing w:before="120" w:after="120"/>
        <w:ind w:left="567" w:right="48"/>
        <w:jc w:val="both"/>
      </w:pPr>
      <w:r w:rsidRPr="00BA2AE1">
        <w:lastRenderedPageBreak/>
        <w:t xml:space="preserve"> “</w:t>
      </w:r>
      <w:r w:rsidRPr="00BA2AE1">
        <w:rPr>
          <w:color w:val="000000"/>
        </w:rPr>
        <w:t>Kitaplığa kendi okuduklarımızı koyuyoruz çok meşhur ne varsa o an onu koyuyoruz” (Erkek, dış ticaret/serbest çalışan, 41 yaşında).</w:t>
      </w:r>
    </w:p>
    <w:p w14:paraId="33F75869" w14:textId="77777777" w:rsidR="00C1011D" w:rsidRPr="00BA2AE1" w:rsidRDefault="00C1011D" w:rsidP="008003D6">
      <w:pPr>
        <w:jc w:val="both"/>
      </w:pPr>
      <w:r>
        <w:rPr>
          <w:b/>
        </w:rPr>
        <w:t xml:space="preserve">2.3. </w:t>
      </w:r>
      <w:r w:rsidRPr="00BA2AE1">
        <w:rPr>
          <w:b/>
        </w:rPr>
        <w:t>Tema 3: Birey Mekân Etkileşimi</w:t>
      </w:r>
    </w:p>
    <w:p w14:paraId="33077D33" w14:textId="77777777" w:rsidR="00C1011D" w:rsidRDefault="00C1011D" w:rsidP="008003D6">
      <w:pPr>
        <w:jc w:val="both"/>
      </w:pPr>
      <w:r w:rsidRPr="00BA2AE1">
        <w:t>Araştırma bulgularına göre kitap kafe müdavimlerine ilişkin Birey Mekân Etkileşimi teması “Mekânın Sosyal İşlevi”, “Mekânda Sosyal Etkileşim”, “Mekânın Dizaynında ve Yiyecek İçecek Sunumda Müdavimlerin Rolü” olmak üzere üç kategoride ele alınmıştır.</w:t>
      </w:r>
    </w:p>
    <w:p w14:paraId="514085AC" w14:textId="77777777" w:rsidR="008003D6" w:rsidRPr="00BA2AE1" w:rsidRDefault="008003D6" w:rsidP="008003D6">
      <w:pPr>
        <w:jc w:val="both"/>
      </w:pPr>
    </w:p>
    <w:p w14:paraId="415AEB30" w14:textId="77777777" w:rsidR="00C1011D" w:rsidRPr="00BA2AE1" w:rsidRDefault="00C1011D" w:rsidP="008003D6">
      <w:pPr>
        <w:jc w:val="both"/>
        <w:rPr>
          <w:b/>
          <w:i/>
        </w:rPr>
      </w:pPr>
      <w:r>
        <w:rPr>
          <w:b/>
          <w:i/>
        </w:rPr>
        <w:t xml:space="preserve">2.3.1. </w:t>
      </w:r>
      <w:r w:rsidRPr="00BA2AE1">
        <w:rPr>
          <w:b/>
          <w:i/>
        </w:rPr>
        <w:t xml:space="preserve">Mekânın Sosyal İşlevi: “Kendi türünle karşılaşmak” </w:t>
      </w:r>
    </w:p>
    <w:p w14:paraId="57FD6C39" w14:textId="77777777" w:rsidR="00C1011D" w:rsidRPr="00BA2AE1" w:rsidRDefault="00C1011D" w:rsidP="008003D6">
      <w:pPr>
        <w:jc w:val="both"/>
        <w:rPr>
          <w:color w:val="000000" w:themeColor="text1"/>
        </w:rPr>
      </w:pPr>
      <w:r w:rsidRPr="00BA2AE1">
        <w:rPr>
          <w:color w:val="000000" w:themeColor="text1"/>
          <w:shd w:val="clear" w:color="auto" w:fill="FFFFFF"/>
        </w:rPr>
        <w:t xml:space="preserve">Goffman’ın </w:t>
      </w:r>
      <w:proofErr w:type="spellStart"/>
      <w:r w:rsidRPr="00BA2AE1">
        <w:rPr>
          <w:color w:val="000000" w:themeColor="text1"/>
          <w:shd w:val="clear" w:color="auto" w:fill="FFFFFF"/>
        </w:rPr>
        <w:t>dramaturjik</w:t>
      </w:r>
      <w:proofErr w:type="spellEnd"/>
      <w:r w:rsidRPr="00BA2AE1">
        <w:rPr>
          <w:color w:val="000000" w:themeColor="text1"/>
          <w:shd w:val="clear" w:color="auto" w:fill="FFFFFF"/>
        </w:rPr>
        <w:t xml:space="preserve"> bakış açısına göre oyuncular tiyatroda, oyun gereği role nasıl bürünüyorsa bireyler de toplumsal yaşamda kendilerine öyle roller benimsemektedirler. İnsanların davranışlarını betimlemede, drama ve tiyatro benzetmesinden yararlanan Goffman rolleri, verili bir statü veya toplumsal konumda bulunan bireyin izlediği, toplumsal olarak belirlenmiş beklentiler olarak ta</w:t>
      </w:r>
      <w:r>
        <w:rPr>
          <w:color w:val="000000" w:themeColor="text1"/>
          <w:shd w:val="clear" w:color="auto" w:fill="FFFFFF"/>
        </w:rPr>
        <w:t>nımlamaktadır (</w:t>
      </w:r>
      <w:proofErr w:type="spellStart"/>
      <w:r>
        <w:rPr>
          <w:color w:val="000000" w:themeColor="text1"/>
          <w:shd w:val="clear" w:color="auto" w:fill="FFFFFF"/>
        </w:rPr>
        <w:t>Giddens</w:t>
      </w:r>
      <w:proofErr w:type="spellEnd"/>
      <w:r>
        <w:rPr>
          <w:color w:val="000000" w:themeColor="text1"/>
          <w:shd w:val="clear" w:color="auto" w:fill="FFFFFF"/>
        </w:rPr>
        <w:t>, 2013</w:t>
      </w:r>
      <w:r w:rsidRPr="00BA2AE1">
        <w:rPr>
          <w:color w:val="000000" w:themeColor="text1"/>
          <w:shd w:val="clear" w:color="auto" w:fill="FFFFFF"/>
        </w:rPr>
        <w:t>). Seyirci ile aktörün etkileşimi de önem arz etmektedir ki aynı durum, toplumsal karşılaşmada da geçerlidir (P</w:t>
      </w:r>
      <w:r>
        <w:rPr>
          <w:color w:val="000000" w:themeColor="text1"/>
          <w:shd w:val="clear" w:color="auto" w:fill="FFFFFF"/>
        </w:rPr>
        <w:t>oloma, 2012</w:t>
      </w:r>
      <w:r w:rsidRPr="00BA2AE1">
        <w:rPr>
          <w:color w:val="000000" w:themeColor="text1"/>
          <w:shd w:val="clear" w:color="auto" w:fill="FFFFFF"/>
        </w:rPr>
        <w:t xml:space="preserve">). Ayrıca tiyatroda olduğu gibi toplumsal hayatta da sahne önü/arkası, dekor, kostüm vb. unsurlar bulunmakta ve bunlar, etkileşim düzeyinde önem atfetmektedir. </w:t>
      </w:r>
      <w:r w:rsidRPr="00BA2AE1">
        <w:rPr>
          <w:color w:val="000000" w:themeColor="text1"/>
        </w:rPr>
        <w:t>Kitap kafe müdavimlerinin kitap kafenin sosyal işlevine yönelik sorulara verdikleri cevaplarda sahne arkasındakine benzer bir rahatlıkla mekânda bulundukları ve benzeriyle karşılaşmak vurgusu dikkat çekmektedir:</w:t>
      </w:r>
    </w:p>
    <w:p w14:paraId="302DB41B" w14:textId="77777777" w:rsidR="00C1011D" w:rsidRPr="00BA2AE1" w:rsidRDefault="00C1011D" w:rsidP="00C1011D">
      <w:pPr>
        <w:spacing w:before="120" w:after="120"/>
        <w:ind w:left="567" w:right="45"/>
        <w:jc w:val="both"/>
      </w:pPr>
      <w:r w:rsidRPr="00BA2AE1">
        <w:t>“Hangi dünyaya açıksanız o dünyanın verilerine göre algı alanı oluşturuyorsunuz. O da ancak bu mekâna geliyo</w:t>
      </w:r>
      <w:r>
        <w:t xml:space="preserve">rsunuz işte en samimi olduğum dört </w:t>
      </w:r>
      <w:r w:rsidRPr="00BA2AE1">
        <w:t>arkadaşımla</w:t>
      </w:r>
      <w:r>
        <w:t xml:space="preserve"> buradaki sohbetimizde tanıştık, </w:t>
      </w:r>
      <w:r w:rsidRPr="00BA2AE1">
        <w:t>karşılaştık. Bize benzeyen insanlar birbirini buluyor, böyle bir etkileşimi var böyle bir özelliği var ve günden güne de çoğalıyor” (Erkek, akademisyen, 58 yaşında).</w:t>
      </w:r>
    </w:p>
    <w:p w14:paraId="64632AC6" w14:textId="77777777" w:rsidR="00C1011D" w:rsidRPr="00BA2AE1" w:rsidRDefault="00C1011D" w:rsidP="00C1011D">
      <w:pPr>
        <w:tabs>
          <w:tab w:val="left" w:pos="9781"/>
        </w:tabs>
        <w:spacing w:before="120" w:after="120"/>
        <w:ind w:left="567" w:right="45"/>
        <w:jc w:val="both"/>
      </w:pPr>
      <w:r w:rsidRPr="00BA2AE1">
        <w:t xml:space="preserve">“Buraya da zaten bir sürü okur geldiği için burada tanıştığımız dostlarımız da aynı evreni paylaştığımız insanlar. Dört yanının kitaplarla çevrili bir ortamda kahveni içip kitap okuyorsun. Dostların oluyor. Sosyal bir iletişim oluyor ve genellikle kendi dilinden insanlar oluyor ve hepsi birbirinden </w:t>
      </w:r>
      <w:r>
        <w:t xml:space="preserve">farklı oluyor. İnsanlar burada </w:t>
      </w:r>
      <w:proofErr w:type="spellStart"/>
      <w:r>
        <w:t>ü</w:t>
      </w:r>
      <w:r w:rsidRPr="00BA2AE1">
        <w:t>nvanlarından</w:t>
      </w:r>
      <w:proofErr w:type="spellEnd"/>
      <w:r w:rsidRPr="00BA2AE1">
        <w:t xml:space="preserve"> ya da sosyal statülerinden ya da mali statülerinden tamamen vareste. Tamamen insan olarak varlar</w:t>
      </w:r>
      <w:r>
        <w:t>,</w:t>
      </w:r>
      <w:r w:rsidRPr="00BA2AE1">
        <w:t xml:space="preserve"> ilginç bir şekilde belki de bu okumanın getirdiği sadeleşme yüzünden bilemiyorum” (Kadın, veteriner hekim, 54 yaşında).</w:t>
      </w:r>
    </w:p>
    <w:p w14:paraId="4B6CEC42" w14:textId="77777777" w:rsidR="00C1011D" w:rsidRPr="00BA2AE1" w:rsidRDefault="00C1011D" w:rsidP="008003D6">
      <w:pPr>
        <w:jc w:val="both"/>
        <w:rPr>
          <w:b/>
          <w:i/>
        </w:rPr>
      </w:pPr>
      <w:r>
        <w:rPr>
          <w:b/>
          <w:i/>
        </w:rPr>
        <w:t xml:space="preserve">2.3.2. </w:t>
      </w:r>
      <w:r w:rsidRPr="00BA2AE1">
        <w:rPr>
          <w:b/>
          <w:i/>
        </w:rPr>
        <w:t>Mekânda Sosyal Etkileşim: “Yaşanabilir dünya umudu”</w:t>
      </w:r>
    </w:p>
    <w:p w14:paraId="2CB08342" w14:textId="77777777" w:rsidR="00C1011D" w:rsidRPr="00BA2AE1" w:rsidRDefault="00C1011D" w:rsidP="008003D6">
      <w:pPr>
        <w:jc w:val="both"/>
      </w:pPr>
      <w:r w:rsidRPr="00BA2AE1">
        <w:t>Sosyallik, zamanla kazanılan bir özelliktir. İnsan, doğduğu anda sosyal bir varlık değildir ancak başkalarıyla kurduğu ilişkiler dahilinde yaşayabilmek için sosyal benliğini kazanmaktadır. İleride kendisini bekleyen hayat, sosyal ilişkilerle şekillenir. Dolayısıyla sosyal etkileşim kaçınılmazdır. Kitap kafelerde işletme sahibinin mekânda sosyal etkileşimi sağlamaya yönelik yaptıklarını anlamak için sorulan sorulara verilen cevaplar, ortak beğenilerin saptanması ve etkinlikler oluşturulmasına yöneliktir:</w:t>
      </w:r>
    </w:p>
    <w:p w14:paraId="0AA8484E" w14:textId="77777777" w:rsidR="00C1011D" w:rsidRPr="00BA2AE1" w:rsidRDefault="00C1011D" w:rsidP="00C1011D">
      <w:pPr>
        <w:spacing w:before="120" w:after="120"/>
        <w:ind w:left="567" w:right="48"/>
        <w:jc w:val="both"/>
      </w:pPr>
      <w:r w:rsidRPr="00BA2AE1">
        <w:t>“İnsanları bu mekânda buluşturan ortak şey, yaşanabilir bir dünya umudu. İşte, bazen okumaya gelip sayfadan bir satır okuyamadan ama sözelden çok şey okuyarak dönebiliyor insanlar. Ağırlıklı olarak kültür sanat temalı etkinlikler düzenliyoruz. Söyleşi, dinleti, imza günü, gösteri, atölye gibi etkinlikler yapıyoruz. Yaklaşık iki yıldır düzenli büyüklere masallar anlatılıyor. Büyüklere masallar bize şöyle de bir alan açtı; anlatıcı olmak isteyen bir çerçevemiz olduğunu fark ettik ve bir atölye açtık. Bir yıl sürdü ve o atölyeden 6 tane anlatıcı yetişti. Anlatıcılar; doktor, bankacı, hemşire, mühendis gibi farklı meslek gruplarından oluşuyor” (Erkek, kitapçı, 49 yaşında).</w:t>
      </w:r>
    </w:p>
    <w:p w14:paraId="74EA9D31" w14:textId="77777777" w:rsidR="00C1011D" w:rsidRPr="00BA2AE1" w:rsidRDefault="00C1011D" w:rsidP="00C1011D">
      <w:pPr>
        <w:spacing w:before="120" w:after="120"/>
        <w:ind w:left="567" w:right="48"/>
        <w:jc w:val="both"/>
      </w:pPr>
      <w:r w:rsidRPr="00BA2AE1">
        <w:lastRenderedPageBreak/>
        <w:t xml:space="preserve">“Bireysel olup da sonra grup olan çok kişi var tek kişi gelmiştir buraya sürekli aynı kişiler geldiği için 6-7 günden sonra artık selamlaşmaya başlayıp arkadaş oluyorlar. Ondan sonra da beraber çalışmaya başlıyorlar. Toplantılar oluyor </w:t>
      </w:r>
      <w:proofErr w:type="gramStart"/>
      <w:r w:rsidRPr="00BA2AE1">
        <w:t>mesela,  6</w:t>
      </w:r>
      <w:proofErr w:type="gramEnd"/>
      <w:r w:rsidRPr="00BA2AE1">
        <w:t>-7 yaş çocukları şu an mum etkinliği yapıyor. Bunun yetişkinler etkinliği de var. Bu sene bu aktivitelere başladık aslında. Felsefe grubu geldi burada bir kulüp toplantısı yaptı. Siyasi partiler burada gelip toplantı yaptılar. Yazın öğrenci kesimi gidince burası boş kalıyor, boş kaldığı zaman da bizim aktivitelerle burayı doldurmamız gerekiyor” (Erkek, dış ticaret/serbest çalışan, 41 yaşında).</w:t>
      </w:r>
    </w:p>
    <w:p w14:paraId="679D5E3B" w14:textId="77777777" w:rsidR="00C1011D" w:rsidRPr="00BA2AE1" w:rsidRDefault="00C1011D" w:rsidP="008003D6">
      <w:pPr>
        <w:jc w:val="both"/>
        <w:rPr>
          <w:b/>
          <w:i/>
        </w:rPr>
      </w:pPr>
      <w:r>
        <w:rPr>
          <w:b/>
          <w:i/>
        </w:rPr>
        <w:t xml:space="preserve">2.3.3. </w:t>
      </w:r>
      <w:r w:rsidRPr="00BA2AE1">
        <w:rPr>
          <w:b/>
          <w:i/>
        </w:rPr>
        <w:t>Mekânın Dizaynında ve Yiyecek İçecek Sunumunda Müdavimlerin Rolü: “Kitap kafede Samsun’un kent kültürü”, “Hızlı yiyecek sunumu”</w:t>
      </w:r>
    </w:p>
    <w:p w14:paraId="1B34D9D3" w14:textId="77777777" w:rsidR="00C1011D" w:rsidRPr="00BA2AE1" w:rsidRDefault="00C1011D" w:rsidP="008003D6">
      <w:pPr>
        <w:jc w:val="both"/>
      </w:pPr>
      <w:r w:rsidRPr="00BA2AE1">
        <w:t xml:space="preserve">Söylediklerimizin anlaşılması kadar gereğinin yapılması da önemlidir. Dikkate alındığımızın göstergesidir. Bir alana müdahale etme isteği o mekânla kurduğumuz bağı da pekiştirir. Mekânın </w:t>
      </w:r>
      <w:proofErr w:type="gramStart"/>
      <w:r w:rsidRPr="00BA2AE1">
        <w:t>dizaynında</w:t>
      </w:r>
      <w:proofErr w:type="gramEnd"/>
      <w:r w:rsidRPr="00BA2AE1">
        <w:t xml:space="preserve"> ve yiyecek içecek sunumunda müdavimlerin rolünü belirlemek için sorulan sorulara verilen cevaplar, taleplerin karşılık bulduğunu göstermektedir:</w:t>
      </w:r>
    </w:p>
    <w:p w14:paraId="559525B4" w14:textId="77777777" w:rsidR="00C1011D" w:rsidRPr="00BA2AE1" w:rsidRDefault="00C1011D" w:rsidP="00C1011D">
      <w:pPr>
        <w:spacing w:before="120" w:after="120"/>
        <w:ind w:left="567" w:right="48"/>
        <w:jc w:val="both"/>
      </w:pPr>
      <w:r w:rsidRPr="00BA2AE1">
        <w:t xml:space="preserve">“Tıp öğrencileri var, zaman kaybetmek istemiyor. Bana sıcak çorba lazım ki ben zaman kaybetmeyeyim diyor. </w:t>
      </w:r>
      <w:proofErr w:type="spellStart"/>
      <w:r w:rsidRPr="00BA2AE1">
        <w:t>Noodle</w:t>
      </w:r>
      <w:proofErr w:type="spellEnd"/>
      <w:r w:rsidRPr="00BA2AE1">
        <w:t xml:space="preserve"> çok sattık bir zamanlar. </w:t>
      </w:r>
      <w:proofErr w:type="spellStart"/>
      <w:r w:rsidRPr="00BA2AE1">
        <w:t>Noodle</w:t>
      </w:r>
      <w:proofErr w:type="spellEnd"/>
      <w:r w:rsidRPr="00BA2AE1">
        <w:t xml:space="preserve"> olsun ki ben karbonhidratımı buradan alayım hemen dersime geçeyim zaman kaybetmeyeyim yemekle diye uğraşan var. Değişik tipler o tipleri belirleyemiyoruz biz sadece gözlemleyebiliyoru</w:t>
      </w:r>
      <w:r>
        <w:t>z ona göre de bir şey yapıyoruz. Ş</w:t>
      </w:r>
      <w:r w:rsidRPr="00BA2AE1">
        <w:t>u anda hiç çorba yok mesela ama o zamanki profilde çok gidiyordu</w:t>
      </w:r>
      <w:r>
        <w:t>. Ş</w:t>
      </w:r>
      <w:r w:rsidRPr="00BA2AE1">
        <w:t>imdi tamamen tosta sandviçe hamburgere geçtik. Bunlar da ayrı bir tercih ediliyor bu sefer” (Erkek, dış ticaret/serbest çalışan, 41 yaşında).</w:t>
      </w:r>
    </w:p>
    <w:p w14:paraId="55D4511E" w14:textId="77777777" w:rsidR="00C1011D" w:rsidRPr="00BA2AE1" w:rsidRDefault="00C1011D" w:rsidP="00C1011D">
      <w:pPr>
        <w:spacing w:before="120" w:after="120"/>
        <w:ind w:left="567" w:right="48"/>
        <w:jc w:val="both"/>
      </w:pPr>
      <w:r w:rsidRPr="00BA2AE1">
        <w:t>“En son yayımlanan kitaplar için bir birim oluşturun demiştim oluşturdular. Yine yaşadığımız şehirle ilgili kent kültürü ile ilgili bir köşe olsun istedim. Samsun'un sanatı tarihi ile ilgili kitapların bir arada görünebileceği bir köşe var” (Erkek, akademisyen, 58 yaşında).</w:t>
      </w:r>
    </w:p>
    <w:p w14:paraId="4D38C6DC" w14:textId="77777777" w:rsidR="00C1011D" w:rsidRPr="00CA1CEF" w:rsidRDefault="00C1011D" w:rsidP="008003D6">
      <w:pPr>
        <w:rPr>
          <w:b/>
        </w:rPr>
      </w:pPr>
      <w:r w:rsidRPr="00CA1CEF">
        <w:rPr>
          <w:b/>
        </w:rPr>
        <w:t>Sonuç</w:t>
      </w:r>
    </w:p>
    <w:p w14:paraId="1631D365" w14:textId="77777777" w:rsidR="00C1011D" w:rsidRDefault="00C1011D" w:rsidP="008003D6">
      <w:pPr>
        <w:jc w:val="both"/>
        <w:rPr>
          <w:color w:val="000000" w:themeColor="text1"/>
          <w:shd w:val="clear" w:color="auto" w:fill="FFFFFF"/>
        </w:rPr>
      </w:pPr>
      <w:r>
        <w:t>M</w:t>
      </w:r>
      <w:r w:rsidRPr="009C5ECC">
        <w:t>ekân</w:t>
      </w:r>
      <w:r>
        <w:t>lar</w:t>
      </w:r>
      <w:r w:rsidRPr="009C5ECC">
        <w:t>, bireylerin ve grupların de</w:t>
      </w:r>
      <w:r>
        <w:t xml:space="preserve">neyimlerini, etkileşimlerini aynı zamanda </w:t>
      </w:r>
      <w:r w:rsidRPr="009C5ECC">
        <w:t>sosyal yapıyı belirleyen önemli unsurlardır. Sadece fiziksel bir yer olmaktan öte, toplumsal ilişkilerin, kimliklerin şekillendiği bir alandır. S</w:t>
      </w:r>
      <w:r>
        <w:t xml:space="preserve">on yıllarda </w:t>
      </w:r>
      <w:r w:rsidRPr="009C5ECC">
        <w:t xml:space="preserve">kitap kafeler dünya genelinde ve Türkiye’de popüler olarak tercih edilen mekânlardandır. </w:t>
      </w:r>
      <w:r>
        <w:rPr>
          <w:color w:val="000000" w:themeColor="text1"/>
          <w:shd w:val="clear" w:color="auto" w:fill="FFFFFF"/>
        </w:rPr>
        <w:t xml:space="preserve">Bu araştırmada mekân dönüşümü bağlamında örneklik teşkil eden kitap kafeler, insan ve mekân etkileşimi açısından ele alınmıştır. Saha çalışmasıyla desteklenen araştırmada, kitap kafe müdavimlerinin mekân ile ilişkisine farklı bakış açılarıyla yaklaşılmıştır. Çalışmada </w:t>
      </w:r>
      <w:r w:rsidRPr="008D2677">
        <w:rPr>
          <w:color w:val="000000" w:themeColor="text1"/>
          <w:shd w:val="clear" w:color="auto" w:fill="FFFFFF"/>
        </w:rPr>
        <w:t>nitel araştırma ya</w:t>
      </w:r>
      <w:r>
        <w:rPr>
          <w:color w:val="000000" w:themeColor="text1"/>
          <w:shd w:val="clear" w:color="auto" w:fill="FFFFFF"/>
        </w:rPr>
        <w:t xml:space="preserve">pılmış olup elde edilen </w:t>
      </w:r>
      <w:r w:rsidRPr="00F002F2">
        <w:rPr>
          <w:color w:val="000000" w:themeColor="text1"/>
          <w:shd w:val="clear" w:color="auto" w:fill="FFFFFF"/>
        </w:rPr>
        <w:t>veriler doğrudan alıntılarla desteklenerek betimsel analiz</w:t>
      </w:r>
      <w:r>
        <w:rPr>
          <w:color w:val="000000" w:themeColor="text1"/>
          <w:shd w:val="clear" w:color="auto" w:fill="FFFFFF"/>
        </w:rPr>
        <w:t xml:space="preserve"> yöntemi ile incelenmiştir. Bunun sonucunda çalışmanın temel sonuçlarına ulaşılmıştır. Bu sonuçlar şu şekildedir:</w:t>
      </w:r>
    </w:p>
    <w:p w14:paraId="10878BA2" w14:textId="77777777" w:rsidR="00C1011D" w:rsidRDefault="00C1011D" w:rsidP="00C1011D">
      <w:pPr>
        <w:spacing w:before="120"/>
        <w:jc w:val="both"/>
        <w:rPr>
          <w:color w:val="000000" w:themeColor="text1"/>
          <w:shd w:val="clear" w:color="auto" w:fill="FFFFFF"/>
        </w:rPr>
      </w:pPr>
      <w:r w:rsidRPr="009C5ECC">
        <w:t>Kitap kafelerin tercih edilme sebepleri insanların taleplerindeki çeşitliliğe göre farklılaşmaktadır. Rahat ve sakin ortam, zengin kitap koleksiyonu, ders çalışma</w:t>
      </w:r>
      <w:r>
        <w:t xml:space="preserve"> imkânı, yiyecek içecek sunumu, iç mekân tasarımı, çalışma saatleri, </w:t>
      </w:r>
      <w:r w:rsidRPr="009C5ECC">
        <w:t>dış mekân özelliği, kültürel ve sanatsal etkinlikler gibi gerekçelerle müdavimler kitap kafelerde zaman geçirmektedir. Mekân tercihinde öncelikli amaç ise hedef kitleyle ilişkilidir. Cingöz Kütüphane Kafe daha çok öğrenciler tarafından kullanıldığı için öncelikli amaç ders çalışmaktır. Eflatun Kitap Kafe aktif çalışma hayatında olan bireylerin daha çok te</w:t>
      </w:r>
      <w:r>
        <w:t xml:space="preserve">rcih ettiği mekândır ve öncelikli amaç kitap okuma ya da </w:t>
      </w:r>
      <w:r w:rsidRPr="009C5ECC">
        <w:t>grupla yapılan</w:t>
      </w:r>
      <w:r>
        <w:t xml:space="preserve"> sosyal etkinliklere yöneliktir.</w:t>
      </w:r>
    </w:p>
    <w:p w14:paraId="3B047355" w14:textId="77777777" w:rsidR="00C1011D" w:rsidRDefault="00C1011D" w:rsidP="00C1011D">
      <w:pPr>
        <w:spacing w:before="120"/>
        <w:jc w:val="both"/>
        <w:rPr>
          <w:color w:val="000000" w:themeColor="text1"/>
          <w:shd w:val="clear" w:color="auto" w:fill="FFFFFF"/>
        </w:rPr>
      </w:pPr>
      <w:r w:rsidRPr="009C5ECC">
        <w:t xml:space="preserve">İnsanları mekânlarda buluşturan bir diğer faktör ise sosyalleşme ve topluluk hissini yaşama arzusudur. Müdavimlerin, yakın ilişkilerinin olduğu kişilerle kitap kafede bulunma, ortak ilgiler </w:t>
      </w:r>
      <w:r w:rsidRPr="009C5ECC">
        <w:lastRenderedPageBreak/>
        <w:t xml:space="preserve">çerçevesinde sohbet etme davranışı bireylerin sosyal gelişimine katkı sağlamaktadır. Aynı zamanda mekânlarda kitap analizi, yazar-okur buluşması, şiir dinletileri, bilimsel sohbetler, seramik boyama atölyesi, mum yapımı, büyüklere masallar gibi çeşitli atölye çalışmaları, sinema gecesi gibi etkinliklerin yapılması bireylerin sosyalleşmesine uygun bir zemin hazırlamıştır. </w:t>
      </w:r>
    </w:p>
    <w:p w14:paraId="34C96789" w14:textId="77777777" w:rsidR="00C1011D" w:rsidRDefault="00C1011D" w:rsidP="00C1011D">
      <w:pPr>
        <w:spacing w:before="120"/>
        <w:jc w:val="both"/>
        <w:rPr>
          <w:color w:val="000000" w:themeColor="text1"/>
          <w:shd w:val="clear" w:color="auto" w:fill="FFFFFF"/>
        </w:rPr>
      </w:pPr>
      <w:r>
        <w:t>Kitap kafeler sadece bir okuma alanı değil, kimlik inşasının desteklendiği sosyal mekânlardır. Bireysel ve toplumsal kimliğin oluşumuna katkı sağlamaktadır.</w:t>
      </w:r>
    </w:p>
    <w:p w14:paraId="2D95BC93" w14:textId="77777777" w:rsidR="00C1011D" w:rsidRPr="00114028" w:rsidRDefault="00C1011D" w:rsidP="00C1011D">
      <w:pPr>
        <w:spacing w:before="120"/>
        <w:jc w:val="both"/>
        <w:rPr>
          <w:color w:val="000000" w:themeColor="text1"/>
          <w:shd w:val="clear" w:color="auto" w:fill="FFFFFF"/>
        </w:rPr>
      </w:pPr>
      <w:r w:rsidRPr="009C5ECC">
        <w:t>Kitap kafe müdavimlerinin; kendi özel mekânına gelerek, mekânda evinde gibi, rahat, huzurlu, özgür hissettiklerini dile getirmeleri, mekânı düzenli ve sık aralıklarla kullanmaları</w:t>
      </w:r>
      <w:r>
        <w:t>nın</w:t>
      </w:r>
      <w:r w:rsidRPr="009C5ECC">
        <w:t xml:space="preserve"> mekân aidiyeti ile i</w:t>
      </w:r>
      <w:r>
        <w:t>lişkili olduğu görülmüştür.</w:t>
      </w:r>
    </w:p>
    <w:p w14:paraId="64702A04" w14:textId="77777777" w:rsidR="00C1011D" w:rsidRDefault="00C1011D" w:rsidP="00C1011D">
      <w:pPr>
        <w:spacing w:before="120" w:after="120"/>
        <w:jc w:val="both"/>
      </w:pPr>
      <w:r w:rsidRPr="009C5ECC">
        <w:t>Araştırma yapılan her iki kitap kafenin de herkese hitap etmek isteyen bir işletme olmadığı, hedef kitlesiyle bağlantılı olarak standartlarının olduğu sonucuna varılmıştır. Bu bağlamda müdavimler mekânı bir kimlik unsuru olarak görmektedir.</w:t>
      </w:r>
    </w:p>
    <w:p w14:paraId="3E08DAC2" w14:textId="77777777" w:rsidR="00C1011D" w:rsidRDefault="00C1011D" w:rsidP="00C1011D">
      <w:pPr>
        <w:spacing w:before="120" w:after="120"/>
        <w:jc w:val="both"/>
      </w:pPr>
      <w:r w:rsidRPr="009C5ECC">
        <w:t>Kitap kafeler; kitap analizi, okur- yazar buluşmaları gibi etkinliklerle bilgi alışverişine imkân sağlayan mekânlardır. Ayrıca Eflatun Kitap Kafede yer alan müdavim</w:t>
      </w:r>
      <w:r>
        <w:t xml:space="preserve"> </w:t>
      </w:r>
      <w:r w:rsidRPr="009C5ECC">
        <w:t>köşesi, bireylerin birbirlerine kitap önerileri şeklinde yorumlanabilecek bir alan açmaktadır. Böylece konseptte yer alan bu köşe de enformasyon akışına katkı sağlamaktadır.</w:t>
      </w:r>
    </w:p>
    <w:p w14:paraId="74BD0F41" w14:textId="77777777" w:rsidR="00C1011D" w:rsidRDefault="00C1011D" w:rsidP="00C1011D">
      <w:pPr>
        <w:spacing w:before="120" w:after="120"/>
        <w:jc w:val="both"/>
      </w:pPr>
      <w:r w:rsidRPr="009C5ECC">
        <w:t>Kitap kafeler kültürel bir atmosfer</w:t>
      </w:r>
      <w:r>
        <w:t xml:space="preserve"> sundukları için kültür sanat faaliyetleriyle</w:t>
      </w:r>
      <w:r w:rsidRPr="009C5ECC">
        <w:t xml:space="preserve"> ilişkilendirilseler </w:t>
      </w:r>
      <w:proofErr w:type="gramStart"/>
      <w:r w:rsidRPr="009C5ECC">
        <w:t>de,</w:t>
      </w:r>
      <w:proofErr w:type="gramEnd"/>
      <w:r w:rsidRPr="009C5ECC">
        <w:t xml:space="preserve"> kahve, yiyecek, kitap gibi hizmetlerin satışının yapılması tüketim kültürüyle bağlantılıdır. Kitap kafelerdeki tüketim biçimlerinin hem fiziksel hem de sembolik olarak gerçekleştiği saptanmıştır.</w:t>
      </w:r>
    </w:p>
    <w:p w14:paraId="13FF1518" w14:textId="77777777" w:rsidR="00C1011D" w:rsidRDefault="00C1011D" w:rsidP="00C1011D">
      <w:pPr>
        <w:spacing w:before="120" w:after="120"/>
        <w:jc w:val="both"/>
      </w:pPr>
      <w:r w:rsidRPr="009C5ECC">
        <w:t>Kitap kafeler kitap okumaktan ç</w:t>
      </w:r>
      <w:r>
        <w:t>ok kitap okuma atmosferinde bulunma</w:t>
      </w:r>
      <w:r w:rsidRPr="009C5ECC">
        <w:t xml:space="preserve"> deneyiminin tüketildiği yer olabilmektedir. Sosyal medyada paylaşım yapmak amacıyla kitaplar, kahve ile bir araya getirilebilmekte bu da mekânın tüketilmeye açık olduğunu göstermektedir. Yapılan çalışmada müdavimlerin sosyal medyayı sembolik tüketim amaçlı kullanmadıkları, ancak mekânla yeni tanışanların bu tüketime açık oldukları sonucuna varılmıştır.</w:t>
      </w:r>
    </w:p>
    <w:p w14:paraId="3BD90386" w14:textId="77777777" w:rsidR="00C1011D" w:rsidRDefault="00C1011D" w:rsidP="00C1011D">
      <w:pPr>
        <w:spacing w:before="120" w:after="120"/>
        <w:jc w:val="both"/>
      </w:pPr>
      <w:r>
        <w:t>Kitap kafelerde tasarım ögelerinin müdavimlerin beklentilerine cevap verecek nitelikte düzenlenmesi hizmetin kalitesini artırmaktadır. B</w:t>
      </w:r>
      <w:r w:rsidRPr="009C5ECC">
        <w:t>ireysel ve gru</w:t>
      </w:r>
      <w:r>
        <w:t>pla çalışmaya elverişli i</w:t>
      </w:r>
      <w:r w:rsidRPr="009C5ECC">
        <w:t>yi aydınlatılmış okuma alanları</w:t>
      </w:r>
      <w:r>
        <w:t>, sesli ve sesiz ortam bölümlenmeleri, ilgi çeken dekoratif eşyalar,</w:t>
      </w:r>
      <w:r w:rsidRPr="009C5ECC">
        <w:t xml:space="preserve"> </w:t>
      </w:r>
      <w:r>
        <w:t xml:space="preserve">ortamdaki </w:t>
      </w:r>
      <w:r w:rsidRPr="009C5ECC">
        <w:t>renk uyumu, arka planda çalan hafif müzikler, kitap raflarının türlere göre ayrılması, mekânda</w:t>
      </w:r>
      <w:r>
        <w:t xml:space="preserve"> edebiyatçılarla ilgili resimlerin ve </w:t>
      </w:r>
      <w:r w:rsidRPr="009C5ECC">
        <w:t>özlü söz içeren tabloların olması, açık hava oturma bölümler</w:t>
      </w:r>
      <w:r>
        <w:t xml:space="preserve">i, bitkilerle süslenmiş alanlar, </w:t>
      </w:r>
      <w:r w:rsidRPr="009C5ECC">
        <w:t>estetik ve rahat bir mekân düzeni kitap kafeye olan ilgiyi artırmaktadır.</w:t>
      </w:r>
    </w:p>
    <w:p w14:paraId="0F69024D" w14:textId="77777777" w:rsidR="00C1011D" w:rsidRDefault="00C1011D" w:rsidP="00C1011D">
      <w:pPr>
        <w:spacing w:before="120" w:after="120"/>
        <w:jc w:val="both"/>
      </w:pPr>
      <w:r w:rsidRPr="008D040C">
        <w:t>Kitap kafelerde dış mekânda bireyler daha çok gruplar halinde birbirleriyle etkileşime geçmekteyken, iç mekânda bireysel ya da grupla olmayı tercih etme durumu değişkenlik göstermektedir. Ayrıca dış mekân kullanımı işletmenin konumuyla da ilişkilidir. Eflatun Kitap Kafede dış mekânı tercih eden bireylerin trafikten kaynaklı gürültü nedeniyle birbirleriyle etkileşimi kesintiye uğramaktadır. Bu da dış mekânda geçirilen süreyi kısaltmaktadır.</w:t>
      </w:r>
    </w:p>
    <w:p w14:paraId="4A89F68D" w14:textId="77777777" w:rsidR="00C1011D" w:rsidRDefault="00C1011D" w:rsidP="00C1011D">
      <w:pPr>
        <w:spacing w:before="120" w:after="120"/>
        <w:jc w:val="both"/>
      </w:pPr>
      <w:r w:rsidRPr="009C5ECC">
        <w:t>Kitap kafelerde işletme sahiplerinin müdavimler tarafından tanındığı ve ilişkilerinin sıcak, samimi olduğu bu da insanları iyi karşılandıkları mekânda zaman geçirmeye istekli hale getirdiği sonucuna ulaşılmıştır. Eflatun Kitap Kafede işl</w:t>
      </w:r>
      <w:r>
        <w:t xml:space="preserve">etme sahibinin bağımsız kitapçı, yayımcı </w:t>
      </w:r>
      <w:r w:rsidRPr="009C5ECC">
        <w:t>ve yazar oluşu</w:t>
      </w:r>
      <w:r>
        <w:t>,</w:t>
      </w:r>
      <w:r w:rsidRPr="009C5ECC">
        <w:t xml:space="preserve"> çeşitli etkinliklerde konuşma yap</w:t>
      </w:r>
      <w:r>
        <w:t xml:space="preserve">ması tanınırlığını artırmıştır. Ayrıca müdavimlerin işletme sahibiyle sohbet etmek için de mekâna geldikleri fark edilmiştir. </w:t>
      </w:r>
      <w:r w:rsidRPr="009C5ECC">
        <w:t xml:space="preserve">Cingöz </w:t>
      </w:r>
      <w:r w:rsidRPr="009C5ECC">
        <w:lastRenderedPageBreak/>
        <w:t xml:space="preserve">Kütüphane Kafede müdavimler, işletme sahibi ile her zaman karşılaşmamaktadır ancak güler </w:t>
      </w:r>
      <w:r>
        <w:t>yüzlü</w:t>
      </w:r>
      <w:r w:rsidRPr="009C5ECC">
        <w:t xml:space="preserve">, motivasyon artırıcı bir </w:t>
      </w:r>
      <w:r>
        <w:t>insan</w:t>
      </w:r>
      <w:r w:rsidRPr="009C5ECC">
        <w:t xml:space="preserve"> olarak</w:t>
      </w:r>
      <w:r>
        <w:t xml:space="preserve"> gördüklerini ve</w:t>
      </w:r>
      <w:r w:rsidRPr="009C5ECC">
        <w:t xml:space="preserve"> denk geldikleri zamanda sohbet et</w:t>
      </w:r>
      <w:r>
        <w:t>tiklerini ifade etmişlerdir.</w:t>
      </w:r>
    </w:p>
    <w:p w14:paraId="29C44A01" w14:textId="77777777" w:rsidR="00C1011D" w:rsidRPr="00713AC0" w:rsidRDefault="00C1011D" w:rsidP="00C1011D">
      <w:pPr>
        <w:spacing w:before="120" w:after="120"/>
        <w:jc w:val="both"/>
      </w:pPr>
      <w:r>
        <w:t xml:space="preserve">Son olarak araştırma kapsamında ulaşılan sonuçlardan biri de kitap kafenin </w:t>
      </w:r>
      <w:r w:rsidRPr="009C5ECC">
        <w:t>konu</w:t>
      </w:r>
      <w:r>
        <w:t xml:space="preserve">munun hizmet sunumu ve kullanım şekli üzerinde etkili olmasıdır. Her iki mekân da </w:t>
      </w:r>
      <w:r w:rsidRPr="009C5ECC">
        <w:t>Atakum ilçesinde bulunmaktadır ancak Eflatun Kitap Kafe yol üzerindeyken Cingöz Kütüphane</w:t>
      </w:r>
      <w:r>
        <w:t xml:space="preserve"> Kafe</w:t>
      </w:r>
      <w:r w:rsidRPr="009C5ECC">
        <w:t xml:space="preserve"> ara sokaktadır. Eflatun Kitap Kafe’yi tercih eden kesim daha çok iş hayatının içinde olan insanlar olduğundan içerik ve sunum belli bir gelir seviyesine hitap eder şekilde düzenlenmiştir. Ayrıca konumu itibariyle gerçek bir okur olmayıp merak edip uğrayan insanlara da açık bir işletmedir. Cingöz </w:t>
      </w:r>
      <w:proofErr w:type="spellStart"/>
      <w:r w:rsidRPr="009C5ECC">
        <w:t>Kütüphane’yi</w:t>
      </w:r>
      <w:proofErr w:type="spellEnd"/>
      <w:r w:rsidRPr="009C5ECC">
        <w:t xml:space="preserve"> çoğunlukla gençler ve öğrenciler ziyaret etmektedir.</w:t>
      </w:r>
      <w:r>
        <w:t xml:space="preserve"> Konum itibariyle ara sokaktadır. Genellikle insanların mekânı bilerek geldikleri ve s</w:t>
      </w:r>
      <w:r w:rsidRPr="009C5ECC">
        <w:t>unulan hizmetin</w:t>
      </w:r>
      <w:r>
        <w:t xml:space="preserve"> de</w:t>
      </w:r>
      <w:r w:rsidRPr="009C5ECC">
        <w:t xml:space="preserve"> daha çok öğrencilerin gelir düzeyine hitap edecek tarzda düzenlendiği sonucuna varılmıştır.</w:t>
      </w:r>
    </w:p>
    <w:p w14:paraId="6A57C67A" w14:textId="77777777" w:rsidR="00C1011D" w:rsidRPr="00BA2AE1" w:rsidRDefault="00C1011D" w:rsidP="00C1011D">
      <w:pPr>
        <w:spacing w:before="120" w:after="120"/>
        <w:jc w:val="both"/>
        <w:rPr>
          <w:b/>
        </w:rPr>
      </w:pPr>
      <w:r w:rsidRPr="00BA2AE1">
        <w:rPr>
          <w:b/>
        </w:rPr>
        <w:t>Kaynakça</w:t>
      </w:r>
    </w:p>
    <w:p w14:paraId="4466266A" w14:textId="77777777" w:rsidR="00C1011D" w:rsidRPr="00287A0C" w:rsidRDefault="00C1011D">
      <w:pPr>
        <w:pStyle w:val="ListeParagraf"/>
        <w:widowControl/>
        <w:numPr>
          <w:ilvl w:val="0"/>
          <w:numId w:val="74"/>
        </w:numPr>
        <w:autoSpaceDE/>
        <w:autoSpaceDN/>
        <w:spacing w:before="120" w:after="120"/>
        <w:jc w:val="both"/>
      </w:pPr>
      <w:r w:rsidRPr="00287A0C">
        <w:t xml:space="preserve">Altunışık, R., Coşkun, R., Bayraktaroğlu, S. ve Yıldırım, E. (2010). </w:t>
      </w:r>
      <w:r w:rsidRPr="00287A0C">
        <w:rPr>
          <w:i/>
        </w:rPr>
        <w:t>Sosyal bilimlerde araştırma yöntemleri SPSS uygulamalı</w:t>
      </w:r>
      <w:r w:rsidRPr="00287A0C">
        <w:t xml:space="preserve"> (6. Baskı). Sakarya Yayıncılık.</w:t>
      </w:r>
    </w:p>
    <w:p w14:paraId="1DDC8029" w14:textId="77777777" w:rsidR="00C1011D" w:rsidRPr="00287A0C" w:rsidRDefault="00C1011D">
      <w:pPr>
        <w:pStyle w:val="ListeParagraf"/>
        <w:widowControl/>
        <w:numPr>
          <w:ilvl w:val="0"/>
          <w:numId w:val="74"/>
        </w:numPr>
        <w:autoSpaceDE/>
        <w:autoSpaceDN/>
        <w:spacing w:before="120" w:after="120"/>
        <w:jc w:val="both"/>
      </w:pPr>
      <w:r w:rsidRPr="00287A0C">
        <w:t xml:space="preserve">Alver, K. (2013). </w:t>
      </w:r>
      <w:proofErr w:type="spellStart"/>
      <w:r w:rsidRPr="00287A0C">
        <w:rPr>
          <w:i/>
        </w:rPr>
        <w:t>Siteril</w:t>
      </w:r>
      <w:proofErr w:type="spellEnd"/>
      <w:r w:rsidRPr="00287A0C">
        <w:rPr>
          <w:i/>
        </w:rPr>
        <w:t xml:space="preserve"> hayatlar</w:t>
      </w:r>
      <w:r w:rsidRPr="00287A0C">
        <w:t>. Hece yayınları.</w:t>
      </w:r>
    </w:p>
    <w:p w14:paraId="2F2D5B98" w14:textId="77777777" w:rsidR="00C1011D" w:rsidRPr="00287A0C" w:rsidRDefault="00C1011D">
      <w:pPr>
        <w:pStyle w:val="ListeParagraf"/>
        <w:widowControl/>
        <w:numPr>
          <w:ilvl w:val="0"/>
          <w:numId w:val="74"/>
        </w:numPr>
        <w:autoSpaceDE/>
        <w:autoSpaceDN/>
        <w:spacing w:before="120" w:after="120"/>
        <w:jc w:val="both"/>
      </w:pPr>
      <w:r w:rsidRPr="00287A0C">
        <w:t xml:space="preserve">Baykal, B. (2022). </w:t>
      </w:r>
      <w:r w:rsidRPr="00287A0C">
        <w:rPr>
          <w:i/>
        </w:rPr>
        <w:t>Kültürel sermayenin bireyin mekân tercihine etkisi: Konya/Meram ilçesi kafe örneği</w:t>
      </w:r>
      <w:r w:rsidRPr="00287A0C">
        <w:t>. (Yayın No. 721681) [Yüksek Lisans Tezi, Karatay Üniversitesi]. Konya Karatay Üniversitesi Akademik ve Açık Erişim Bilgi Sistemi. https://acikerisim.karatay.edu.tr/yayin/1750545&amp;dil=1?yazilim=aea&amp;p=17&amp;q=*&amp;alan=tum_txt&amp;yayin=1750545&amp;dil=0</w:t>
      </w:r>
    </w:p>
    <w:p w14:paraId="7A1FA09F"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Bourdieu</w:t>
      </w:r>
      <w:proofErr w:type="spellEnd"/>
      <w:r w:rsidRPr="00287A0C">
        <w:t xml:space="preserve">, P. (2007). </w:t>
      </w:r>
      <w:r w:rsidRPr="00287A0C">
        <w:rPr>
          <w:i/>
        </w:rPr>
        <w:t xml:space="preserve">Düşünümsel bir </w:t>
      </w:r>
      <w:proofErr w:type="spellStart"/>
      <w:r w:rsidRPr="00287A0C">
        <w:rPr>
          <w:i/>
        </w:rPr>
        <w:t>antropolojiiçin</w:t>
      </w:r>
      <w:proofErr w:type="spellEnd"/>
      <w:r w:rsidRPr="00287A0C">
        <w:rPr>
          <w:i/>
        </w:rPr>
        <w:t xml:space="preserve"> cevaplar</w:t>
      </w:r>
      <w:r w:rsidRPr="00287A0C">
        <w:t xml:space="preserve">. (Çev. N. Öktem). İletişim Yayınları. </w:t>
      </w:r>
    </w:p>
    <w:p w14:paraId="2A61DBC4" w14:textId="77777777" w:rsidR="00C1011D" w:rsidRPr="00287A0C" w:rsidRDefault="00C1011D">
      <w:pPr>
        <w:pStyle w:val="ListeParagraf"/>
        <w:widowControl/>
        <w:numPr>
          <w:ilvl w:val="0"/>
          <w:numId w:val="74"/>
        </w:numPr>
        <w:autoSpaceDE/>
        <w:autoSpaceDN/>
        <w:spacing w:before="120" w:after="120"/>
        <w:jc w:val="both"/>
      </w:pPr>
      <w:r w:rsidRPr="00287A0C">
        <w:t xml:space="preserve">Bozkurt, V. (2020). </w:t>
      </w:r>
      <w:r w:rsidRPr="00287A0C">
        <w:rPr>
          <w:i/>
        </w:rPr>
        <w:t>Sosyolojiye giriş</w:t>
      </w:r>
      <w:r w:rsidRPr="00287A0C">
        <w:t xml:space="preserve">. İstanbul Üniversitesi Açık ve Uzaktan Eğitim Fakültesi: </w:t>
      </w:r>
      <w:hyperlink r:id="rId404" w:history="1">
        <w:r w:rsidRPr="00287A0C">
          <w:rPr>
            <w:rStyle w:val="Kpr"/>
            <w:rFonts w:eastAsiaTheme="majorEastAsia"/>
          </w:rPr>
          <w:t>https://alonot.com/sosyolojiye-giris-2020/-46</w:t>
        </w:r>
      </w:hyperlink>
      <w:r w:rsidRPr="00287A0C">
        <w:t xml:space="preserve"> adresinden alınmıştır. (11.07.2024).   </w:t>
      </w:r>
    </w:p>
    <w:p w14:paraId="0738A62E"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Crossley</w:t>
      </w:r>
      <w:proofErr w:type="spellEnd"/>
      <w:r w:rsidRPr="00287A0C">
        <w:t xml:space="preserve">, N. (2015). </w:t>
      </w:r>
      <w:r w:rsidRPr="00287A0C">
        <w:rPr>
          <w:i/>
        </w:rPr>
        <w:t xml:space="preserve">Etkileşimler, bitişiklikler ve beğeniler: ilişkisel sosyolojide 'ilişkileri' kavramsallaştırmak. </w:t>
      </w:r>
      <w:r w:rsidRPr="00287A0C">
        <w:rPr>
          <w:color w:val="212529"/>
        </w:rPr>
        <w:t>(Çev.  Ö. Akkaya),</w:t>
      </w:r>
      <w:r w:rsidRPr="00287A0C">
        <w:rPr>
          <w:rFonts w:ascii="Arial" w:hAnsi="Arial" w:cs="Arial"/>
          <w:i/>
          <w:color w:val="212529"/>
          <w:sz w:val="22"/>
          <w:szCs w:val="22"/>
        </w:rPr>
        <w:t xml:space="preserve"> </w:t>
      </w:r>
      <w:r w:rsidRPr="00287A0C">
        <w:rPr>
          <w:i/>
        </w:rPr>
        <w:t>İlişkisel Sosyoloji</w:t>
      </w:r>
      <w:r w:rsidRPr="00287A0C">
        <w:t>. Phoenix Yayınevi.</w:t>
      </w:r>
    </w:p>
    <w:p w14:paraId="234BDA20" w14:textId="77777777" w:rsidR="00C1011D" w:rsidRPr="00287A0C" w:rsidRDefault="00C1011D">
      <w:pPr>
        <w:pStyle w:val="ListeParagraf"/>
        <w:widowControl/>
        <w:numPr>
          <w:ilvl w:val="0"/>
          <w:numId w:val="74"/>
        </w:numPr>
        <w:autoSpaceDE/>
        <w:autoSpaceDN/>
        <w:spacing w:before="120" w:after="120"/>
        <w:jc w:val="both"/>
      </w:pPr>
      <w:r w:rsidRPr="00287A0C">
        <w:t xml:space="preserve">Çakı, F. ve Kızıltepe, B. (2017). Üçüncü yerler olarak kafeler ve gençlik: Balıkesir örnek olay incelemesi. </w:t>
      </w:r>
      <w:r w:rsidRPr="00287A0C">
        <w:rPr>
          <w:i/>
        </w:rPr>
        <w:t>Akademik İncelemeler Dergisi</w:t>
      </w:r>
      <w:r w:rsidRPr="00287A0C">
        <w:t>, (1), 173-202. https://dergipark.org.tr/tr/pub/akademikincelemeler/issue/28937/308922</w:t>
      </w:r>
    </w:p>
    <w:p w14:paraId="2FFBC5EF" w14:textId="77777777" w:rsidR="00C1011D" w:rsidRPr="00287A0C" w:rsidRDefault="00C1011D">
      <w:pPr>
        <w:pStyle w:val="ListeParagraf"/>
        <w:widowControl/>
        <w:numPr>
          <w:ilvl w:val="0"/>
          <w:numId w:val="74"/>
        </w:numPr>
        <w:autoSpaceDE/>
        <w:autoSpaceDN/>
        <w:spacing w:before="120" w:after="120"/>
        <w:jc w:val="both"/>
      </w:pPr>
      <w:r w:rsidRPr="00287A0C">
        <w:t xml:space="preserve">Demir, G. (2017). </w:t>
      </w:r>
      <w:proofErr w:type="spellStart"/>
      <w:r w:rsidRPr="00287A0C">
        <w:t>Oldenburg’un</w:t>
      </w:r>
      <w:proofErr w:type="spellEnd"/>
      <w:r w:rsidRPr="00287A0C">
        <w:t xml:space="preserve"> üçüncü mekân paradigması bağlamında kütüphane mekânının sorgulanması. </w:t>
      </w:r>
      <w:r w:rsidRPr="00287A0C">
        <w:rPr>
          <w:i/>
        </w:rPr>
        <w:t>Bilgi Dünyası</w:t>
      </w:r>
      <w:r w:rsidRPr="00287A0C">
        <w:t>, 18(2), 195-223. https://www.academia.edu/43618832/</w:t>
      </w:r>
    </w:p>
    <w:p w14:paraId="68E5202A" w14:textId="77777777" w:rsidR="00C1011D" w:rsidRPr="00287A0C" w:rsidRDefault="00C1011D">
      <w:pPr>
        <w:pStyle w:val="ListeParagraf"/>
        <w:widowControl/>
        <w:numPr>
          <w:ilvl w:val="0"/>
          <w:numId w:val="74"/>
        </w:numPr>
        <w:autoSpaceDE/>
        <w:autoSpaceDN/>
        <w:spacing w:before="120" w:after="120"/>
        <w:jc w:val="both"/>
      </w:pPr>
      <w:r w:rsidRPr="00287A0C">
        <w:t xml:space="preserve">Doğan, E. (2009). </w:t>
      </w:r>
      <w:r w:rsidRPr="00287A0C">
        <w:rPr>
          <w:i/>
        </w:rPr>
        <w:t>Tüketim toplumunda müzelerde yaşanan değişimlerin devlet müzeleri ve özel müzeler bağlamında değerlendirilmesi</w:t>
      </w:r>
      <w:r w:rsidRPr="00287A0C">
        <w:t>. (Yayın No. 230720) [Yüksek Lisans Tezi, Yıldız Teknik Üniversitesi]. YÖK Açık Bilim. https://acikbilim.yok.gov.tr/handle/20.500.12812/396622</w:t>
      </w:r>
    </w:p>
    <w:p w14:paraId="390FC9E5"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Giddens</w:t>
      </w:r>
      <w:proofErr w:type="spellEnd"/>
      <w:r w:rsidRPr="00287A0C">
        <w:t xml:space="preserve">, A. (2012). </w:t>
      </w:r>
      <w:r w:rsidRPr="00287A0C">
        <w:rPr>
          <w:i/>
        </w:rPr>
        <w:t>Sosyoloji</w:t>
      </w:r>
      <w:r w:rsidRPr="00287A0C">
        <w:t>. Kırmızı Yayınları.</w:t>
      </w:r>
    </w:p>
    <w:p w14:paraId="2DC1197A" w14:textId="77777777" w:rsidR="00C1011D" w:rsidRPr="00287A0C" w:rsidRDefault="00C1011D">
      <w:pPr>
        <w:pStyle w:val="ListeParagraf"/>
        <w:widowControl/>
        <w:numPr>
          <w:ilvl w:val="0"/>
          <w:numId w:val="74"/>
        </w:numPr>
        <w:autoSpaceDE/>
        <w:autoSpaceDN/>
        <w:spacing w:before="120" w:after="120"/>
        <w:jc w:val="both"/>
      </w:pPr>
      <w:r w:rsidRPr="00287A0C">
        <w:t xml:space="preserve">Göregenli, M. (2010). </w:t>
      </w:r>
      <w:r w:rsidRPr="00287A0C">
        <w:rPr>
          <w:i/>
        </w:rPr>
        <w:t>Çevre psikolojisi: insan mekân ilişkileri</w:t>
      </w:r>
      <w:r w:rsidRPr="00287A0C">
        <w:t>. İstanbul Bilgi Üniversitesi Yayınları.</w:t>
      </w:r>
    </w:p>
    <w:p w14:paraId="63FB3B81" w14:textId="77777777" w:rsidR="00C1011D" w:rsidRPr="00287A0C" w:rsidRDefault="00C1011D">
      <w:pPr>
        <w:pStyle w:val="ListeParagraf"/>
        <w:widowControl/>
        <w:numPr>
          <w:ilvl w:val="0"/>
          <w:numId w:val="74"/>
        </w:numPr>
        <w:autoSpaceDE/>
        <w:autoSpaceDN/>
        <w:spacing w:before="120" w:after="120"/>
        <w:jc w:val="both"/>
      </w:pPr>
      <w:r w:rsidRPr="00287A0C">
        <w:t xml:space="preserve">Güleç Solak, S. (2017). “Mekân-kimlik etkileşimi: kavramsal ve kuramsal bir bakış”. Space </w:t>
      </w:r>
      <w:proofErr w:type="spellStart"/>
      <w:r w:rsidRPr="00287A0C">
        <w:t>ıdentity</w:t>
      </w:r>
      <w:proofErr w:type="spellEnd"/>
      <w:r w:rsidRPr="00287A0C">
        <w:t xml:space="preserve"> </w:t>
      </w:r>
      <w:proofErr w:type="spellStart"/>
      <w:r w:rsidRPr="00287A0C">
        <w:t>ınteraction</w:t>
      </w:r>
      <w:proofErr w:type="spellEnd"/>
      <w:r w:rsidRPr="00287A0C">
        <w:t xml:space="preserve">: a </w:t>
      </w:r>
      <w:proofErr w:type="spellStart"/>
      <w:r w:rsidRPr="00287A0C">
        <w:t>conceptual</w:t>
      </w:r>
      <w:proofErr w:type="spellEnd"/>
      <w:r w:rsidRPr="00287A0C">
        <w:t xml:space="preserve"> </w:t>
      </w:r>
      <w:proofErr w:type="spellStart"/>
      <w:r w:rsidRPr="00287A0C">
        <w:t>and</w:t>
      </w:r>
      <w:proofErr w:type="spellEnd"/>
      <w:r w:rsidRPr="00287A0C">
        <w:t xml:space="preserve"> </w:t>
      </w:r>
      <w:proofErr w:type="spellStart"/>
      <w:r w:rsidRPr="00287A0C">
        <w:t>theoretical</w:t>
      </w:r>
      <w:proofErr w:type="spellEnd"/>
      <w:r w:rsidRPr="00287A0C">
        <w:t xml:space="preserve"> </w:t>
      </w:r>
      <w:proofErr w:type="spellStart"/>
      <w:r w:rsidRPr="00287A0C">
        <w:t>overview</w:t>
      </w:r>
      <w:proofErr w:type="spellEnd"/>
      <w:r w:rsidRPr="00287A0C">
        <w:t xml:space="preserve">. </w:t>
      </w:r>
      <w:r w:rsidRPr="00287A0C">
        <w:rPr>
          <w:i/>
        </w:rPr>
        <w:t>MANAS Sosyal Araştırmalar Dergisi</w:t>
      </w:r>
      <w:r w:rsidRPr="00287A0C">
        <w:t>, 6 (1). 13-37. https://dergipark.org.tr/tr/pub/mjss/issue/40509/485519</w:t>
      </w:r>
    </w:p>
    <w:p w14:paraId="3826AA11" w14:textId="77777777" w:rsidR="00C1011D" w:rsidRPr="00287A0C" w:rsidRDefault="00C1011D">
      <w:pPr>
        <w:pStyle w:val="ListeParagraf"/>
        <w:widowControl/>
        <w:numPr>
          <w:ilvl w:val="0"/>
          <w:numId w:val="74"/>
        </w:numPr>
        <w:autoSpaceDE/>
        <w:autoSpaceDN/>
        <w:spacing w:before="120" w:after="120"/>
        <w:jc w:val="both"/>
      </w:pPr>
      <w:r w:rsidRPr="00287A0C">
        <w:t xml:space="preserve">Güvenç, B. (2005). </w:t>
      </w:r>
      <w:r w:rsidRPr="00287A0C">
        <w:rPr>
          <w:i/>
        </w:rPr>
        <w:t>İnsan ve kültür</w:t>
      </w:r>
      <w:r w:rsidRPr="00287A0C">
        <w:t xml:space="preserve">. Remzi Kitabevi. </w:t>
      </w:r>
    </w:p>
    <w:p w14:paraId="3E571EB9" w14:textId="77777777" w:rsidR="00C1011D" w:rsidRPr="00287A0C" w:rsidRDefault="00C1011D">
      <w:pPr>
        <w:pStyle w:val="ListeParagraf"/>
        <w:widowControl/>
        <w:numPr>
          <w:ilvl w:val="0"/>
          <w:numId w:val="74"/>
        </w:numPr>
        <w:autoSpaceDE/>
        <w:autoSpaceDN/>
        <w:spacing w:before="120" w:after="120"/>
        <w:jc w:val="both"/>
      </w:pPr>
      <w:r w:rsidRPr="00287A0C">
        <w:lastRenderedPageBreak/>
        <w:t xml:space="preserve">Harvey, D. (1997). </w:t>
      </w:r>
      <w:r w:rsidRPr="00287A0C">
        <w:rPr>
          <w:i/>
        </w:rPr>
        <w:t>Postmodernliğin durumu</w:t>
      </w:r>
      <w:r w:rsidRPr="00287A0C">
        <w:t>. (Çev. S. Savran). Metis Yayınları.</w:t>
      </w:r>
    </w:p>
    <w:p w14:paraId="2F42832A" w14:textId="77777777" w:rsidR="00C1011D" w:rsidRPr="002A7DA9" w:rsidRDefault="00C1011D">
      <w:pPr>
        <w:pStyle w:val="ListeParagraf"/>
        <w:widowControl/>
        <w:numPr>
          <w:ilvl w:val="0"/>
          <w:numId w:val="74"/>
        </w:numPr>
        <w:autoSpaceDE/>
        <w:autoSpaceDN/>
        <w:spacing w:before="120" w:after="120"/>
        <w:jc w:val="both"/>
      </w:pPr>
      <w:proofErr w:type="spellStart"/>
      <w:r w:rsidRPr="00287A0C">
        <w:t>Hashempour</w:t>
      </w:r>
      <w:proofErr w:type="spellEnd"/>
      <w:r w:rsidRPr="00287A0C">
        <w:t xml:space="preserve">, L. ve </w:t>
      </w:r>
      <w:proofErr w:type="spellStart"/>
      <w:r w:rsidRPr="00287A0C">
        <w:t>TaghizadehSapchi</w:t>
      </w:r>
      <w:proofErr w:type="spellEnd"/>
      <w:r w:rsidRPr="00287A0C">
        <w:t xml:space="preserve">, A. (2015). Kütüphanelerin İç Mekân Tasarımına Yönelik Renk Etkileri. </w:t>
      </w:r>
      <w:r w:rsidRPr="00287A0C">
        <w:rPr>
          <w:i/>
        </w:rPr>
        <w:t xml:space="preserve">Elektronik Çağda İçerikten Mimariye Kütüphaneler </w:t>
      </w:r>
      <w:r w:rsidRPr="00287A0C">
        <w:t>[Bildiri Sunumu]. Üniversite ve Araştırma Kütüphanecileri Derneği, Ankara.</w:t>
      </w:r>
    </w:p>
    <w:p w14:paraId="25AEA193"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Kakırman</w:t>
      </w:r>
      <w:proofErr w:type="spellEnd"/>
      <w:r w:rsidRPr="00287A0C">
        <w:t xml:space="preserve"> Yıldız, A. (2017). Türk kütüphaneciliğinde mekân, kullanıcı ve hizmet sorunlarının bir değerlendirmesi. </w:t>
      </w:r>
      <w:r w:rsidRPr="00287A0C">
        <w:rPr>
          <w:i/>
        </w:rPr>
        <w:t>Marmara Türkiyat Araştırmaları Dergisi</w:t>
      </w:r>
      <w:r w:rsidRPr="00287A0C">
        <w:t>, 4(2), 417-430.</w:t>
      </w:r>
      <w:r w:rsidRPr="005836FD">
        <w:t xml:space="preserve"> </w:t>
      </w:r>
      <w:r w:rsidRPr="00287A0C">
        <w:t>https://dergipark.org.tr/tr/pub/mtad/issue/32849/364950</w:t>
      </w:r>
    </w:p>
    <w:p w14:paraId="37794A89" w14:textId="77777777" w:rsidR="00C1011D" w:rsidRPr="00287A0C" w:rsidRDefault="00C1011D">
      <w:pPr>
        <w:pStyle w:val="ListeParagraf"/>
        <w:widowControl/>
        <w:numPr>
          <w:ilvl w:val="0"/>
          <w:numId w:val="74"/>
        </w:numPr>
        <w:autoSpaceDE/>
        <w:autoSpaceDN/>
        <w:spacing w:before="120" w:after="120"/>
        <w:jc w:val="both"/>
      </w:pPr>
      <w:r w:rsidRPr="00287A0C">
        <w:t xml:space="preserve">Kayalı, S. (2021). </w:t>
      </w:r>
      <w:r w:rsidRPr="00287A0C">
        <w:rPr>
          <w:i/>
        </w:rPr>
        <w:t xml:space="preserve">Mekân sosyolojisi bağlamında kitap kafelerin insan ve mekân etkileşimi açısından </w:t>
      </w:r>
      <w:proofErr w:type="spellStart"/>
      <w:proofErr w:type="gramStart"/>
      <w:r w:rsidRPr="00287A0C">
        <w:rPr>
          <w:i/>
        </w:rPr>
        <w:t>incelenmesi:Ankara</w:t>
      </w:r>
      <w:proofErr w:type="spellEnd"/>
      <w:proofErr w:type="gramEnd"/>
      <w:r w:rsidRPr="00287A0C">
        <w:rPr>
          <w:i/>
        </w:rPr>
        <w:t xml:space="preserve"> örneği</w:t>
      </w:r>
      <w:r w:rsidRPr="00287A0C">
        <w:t xml:space="preserve">. (Yayın No. 695161) [Yüksek Lisans Tezi, Marmara Üniversitesi]. </w:t>
      </w:r>
      <w:r w:rsidRPr="00287A0C">
        <w:rPr>
          <w:rStyle w:val="hidden-xs"/>
          <w:rFonts w:eastAsiaTheme="majorEastAsia"/>
          <w:bCs/>
          <w:shd w:val="clear" w:color="auto" w:fill="FFFFFF"/>
        </w:rPr>
        <w:t xml:space="preserve">Marmara Üniversitesi </w:t>
      </w:r>
      <w:r w:rsidRPr="00287A0C">
        <w:rPr>
          <w:rStyle w:val="header-application-name"/>
          <w:bCs/>
          <w:shd w:val="clear" w:color="auto" w:fill="FFFFFF"/>
        </w:rPr>
        <w:t>Akademik Veri Yönetim Sistemi. https://avesis.marmara.edu.tr/yonetilen-tez/0846104f-79c9-4527-9c1a-c8c7c9cfce14/</w:t>
      </w:r>
    </w:p>
    <w:p w14:paraId="432D4435"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Kümbetoğlu</w:t>
      </w:r>
      <w:proofErr w:type="spellEnd"/>
      <w:r w:rsidRPr="00287A0C">
        <w:t xml:space="preserve">, B. (2005). </w:t>
      </w:r>
      <w:r w:rsidRPr="00287A0C">
        <w:rPr>
          <w:i/>
        </w:rPr>
        <w:t>Sosyolojide ve antropolojide niteliksel yöntem ve araştırma</w:t>
      </w:r>
      <w:r w:rsidRPr="00287A0C">
        <w:t xml:space="preserve">. Bağlam Yayıncılık. </w:t>
      </w:r>
    </w:p>
    <w:p w14:paraId="3A9E884F"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Lefebvre</w:t>
      </w:r>
      <w:proofErr w:type="spellEnd"/>
      <w:r w:rsidRPr="00287A0C">
        <w:t xml:space="preserve">, H. (2014). </w:t>
      </w:r>
      <w:r w:rsidRPr="00287A0C">
        <w:rPr>
          <w:i/>
        </w:rPr>
        <w:t xml:space="preserve">Mekânın üretimi. </w:t>
      </w:r>
      <w:r w:rsidRPr="00287A0C">
        <w:t>(Çev. I. Ergüden). Sel Yayınları.</w:t>
      </w:r>
    </w:p>
    <w:p w14:paraId="6EE01D7B"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Lefebvre</w:t>
      </w:r>
      <w:proofErr w:type="spellEnd"/>
      <w:r w:rsidRPr="00287A0C">
        <w:t xml:space="preserve">, H. (2016). </w:t>
      </w:r>
      <w:r w:rsidRPr="00287A0C">
        <w:rPr>
          <w:i/>
        </w:rPr>
        <w:t>Şehir hakkı</w:t>
      </w:r>
      <w:r w:rsidRPr="00287A0C">
        <w:t>. Sel Yayıncılık.</w:t>
      </w:r>
    </w:p>
    <w:p w14:paraId="26D7EF45"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Neuman</w:t>
      </w:r>
      <w:proofErr w:type="spellEnd"/>
      <w:r w:rsidRPr="00287A0C">
        <w:t xml:space="preserve">, W.L. (2014). </w:t>
      </w:r>
      <w:r w:rsidRPr="00287A0C">
        <w:rPr>
          <w:i/>
        </w:rPr>
        <w:t>Toplumsal araştırma yöntemleri nitel ve nicel yaklaşımlar</w:t>
      </w:r>
      <w:r w:rsidRPr="00287A0C">
        <w:t>. Siyasal Kitapevi.</w:t>
      </w:r>
    </w:p>
    <w:p w14:paraId="45030002" w14:textId="77777777" w:rsidR="00C1011D" w:rsidRPr="00287A0C" w:rsidRDefault="00C1011D">
      <w:pPr>
        <w:pStyle w:val="ListeParagraf"/>
        <w:widowControl/>
        <w:numPr>
          <w:ilvl w:val="0"/>
          <w:numId w:val="74"/>
        </w:numPr>
        <w:autoSpaceDE/>
        <w:autoSpaceDN/>
        <w:spacing w:before="120" w:after="120"/>
        <w:jc w:val="both"/>
      </w:pPr>
      <w:r w:rsidRPr="00287A0C">
        <w:t xml:space="preserve">Odabaş, H. ve Akkaya, M. A. (2020). </w:t>
      </w:r>
      <w:r w:rsidRPr="00287A0C">
        <w:rPr>
          <w:i/>
        </w:rPr>
        <w:t>Bilgi merkezlerinde mekân: değişen beklentiler ve mimari anlayış ışığında yönelimler</w:t>
      </w:r>
      <w:r w:rsidRPr="00287A0C">
        <w:t xml:space="preserve">. </w:t>
      </w:r>
      <w:proofErr w:type="spellStart"/>
      <w:r w:rsidRPr="00287A0C">
        <w:t>Hiperlink</w:t>
      </w:r>
      <w:proofErr w:type="spellEnd"/>
      <w:r w:rsidRPr="00287A0C">
        <w:t xml:space="preserve"> Yayınları.</w:t>
      </w:r>
    </w:p>
    <w:p w14:paraId="1F2433AE" w14:textId="77777777" w:rsidR="00C1011D" w:rsidRPr="00287A0C" w:rsidRDefault="00C1011D">
      <w:pPr>
        <w:pStyle w:val="ListeParagraf"/>
        <w:widowControl/>
        <w:numPr>
          <w:ilvl w:val="0"/>
          <w:numId w:val="74"/>
        </w:numPr>
        <w:autoSpaceDE/>
        <w:autoSpaceDN/>
        <w:spacing w:before="120" w:after="120"/>
        <w:jc w:val="both"/>
      </w:pPr>
      <w:proofErr w:type="spellStart"/>
      <w:r w:rsidRPr="00287A0C">
        <w:t>Ritzer</w:t>
      </w:r>
      <w:proofErr w:type="spellEnd"/>
      <w:r w:rsidRPr="00287A0C">
        <w:t xml:space="preserve">, G. (2019). </w:t>
      </w:r>
      <w:r w:rsidRPr="00287A0C">
        <w:rPr>
          <w:i/>
        </w:rPr>
        <w:t>Büyüsü bozulmuş dünyayı büyülemek</w:t>
      </w:r>
      <w:r w:rsidRPr="00287A0C">
        <w:t xml:space="preserve">. (Çev. F. </w:t>
      </w:r>
      <w:proofErr w:type="spellStart"/>
      <w:r w:rsidRPr="00287A0C">
        <w:t>Payzın</w:t>
      </w:r>
      <w:proofErr w:type="spellEnd"/>
      <w:r w:rsidRPr="00287A0C">
        <w:t>). Ayrıntı Yayınları.</w:t>
      </w:r>
    </w:p>
    <w:p w14:paraId="4ADF63B7" w14:textId="10C1D1E9" w:rsidR="00D47EF1" w:rsidRDefault="00C1011D">
      <w:pPr>
        <w:pStyle w:val="ListeParagraf"/>
        <w:widowControl/>
        <w:numPr>
          <w:ilvl w:val="0"/>
          <w:numId w:val="74"/>
        </w:numPr>
        <w:autoSpaceDE/>
        <w:autoSpaceDN/>
        <w:spacing w:before="120" w:after="120"/>
        <w:jc w:val="both"/>
      </w:pPr>
      <w:r w:rsidRPr="00287A0C">
        <w:t xml:space="preserve">Yıldırım, A. ve Şimşek, H. (2008). </w:t>
      </w:r>
      <w:r w:rsidRPr="00287A0C">
        <w:rPr>
          <w:i/>
        </w:rPr>
        <w:t>Sosyal bilimlerde nitel araştırma yöntemleri</w:t>
      </w:r>
      <w:r w:rsidRPr="00287A0C">
        <w:t xml:space="preserve"> (6. Baskı). Seçkin Yayıncılık.</w:t>
      </w:r>
    </w:p>
    <w:p w14:paraId="101DF7EE" w14:textId="552234A4" w:rsidR="00B470AD" w:rsidRPr="00D47EF1" w:rsidRDefault="00D47EF1" w:rsidP="00D47EF1">
      <w:pPr>
        <w:autoSpaceDE/>
        <w:autoSpaceDN/>
      </w:pPr>
      <w:r>
        <w:br w:type="page"/>
      </w:r>
    </w:p>
    <w:p w14:paraId="68BD1603" w14:textId="77777777" w:rsidR="00B470AD" w:rsidRDefault="00B470AD" w:rsidP="00B470AD">
      <w:pPr>
        <w:jc w:val="center"/>
        <w:rPr>
          <w:b/>
        </w:rPr>
      </w:pPr>
      <w:r>
        <w:rPr>
          <w:b/>
        </w:rPr>
        <w:lastRenderedPageBreak/>
        <w:t>Kültürel Miras Sadece “Geçmişi” mi Temsil Eder?</w:t>
      </w:r>
    </w:p>
    <w:p w14:paraId="39027168" w14:textId="77777777" w:rsidR="00B470AD" w:rsidRDefault="00B470AD" w:rsidP="00B470AD">
      <w:pPr>
        <w:jc w:val="center"/>
      </w:pPr>
    </w:p>
    <w:p w14:paraId="2DC56BC3" w14:textId="77777777" w:rsidR="00B470AD" w:rsidRPr="008A4B35" w:rsidRDefault="00B470AD" w:rsidP="00B470AD">
      <w:pPr>
        <w:jc w:val="center"/>
      </w:pPr>
      <w:r w:rsidRPr="008A4B35">
        <w:t>Yılmaz Kaval</w:t>
      </w:r>
    </w:p>
    <w:p w14:paraId="09C3EE89" w14:textId="77777777" w:rsidR="00B470AD" w:rsidRPr="008A4B35" w:rsidRDefault="00B470AD" w:rsidP="00B470AD">
      <w:pPr>
        <w:jc w:val="center"/>
      </w:pPr>
      <w:r w:rsidRPr="008A4B35">
        <w:t>Dr. Öğr. Üyesi Munzur Üniversitesi, Türk Dili ve Edebiyatı Bölümü yilmazkaval@munzur.edu.tr</w:t>
      </w:r>
    </w:p>
    <w:p w14:paraId="3CA2B751" w14:textId="77777777" w:rsidR="00B470AD" w:rsidRPr="008A4B35" w:rsidRDefault="00B470AD" w:rsidP="00B470AD">
      <w:pPr>
        <w:jc w:val="center"/>
      </w:pPr>
      <w:r w:rsidRPr="008A4B35">
        <w:t>ORCID ID: 0000-0002-5598-0670</w:t>
      </w:r>
    </w:p>
    <w:p w14:paraId="495F6515" w14:textId="77777777" w:rsidR="00B470AD" w:rsidRDefault="00B470AD" w:rsidP="00B470AD">
      <w:pPr>
        <w:jc w:val="center"/>
        <w:rPr>
          <w:b/>
        </w:rPr>
      </w:pPr>
    </w:p>
    <w:p w14:paraId="6BB5BB7B" w14:textId="77777777" w:rsidR="00B470AD" w:rsidRDefault="00B470AD" w:rsidP="00B470AD">
      <w:pPr>
        <w:jc w:val="center"/>
        <w:rPr>
          <w:b/>
        </w:rPr>
      </w:pPr>
      <w:r>
        <w:rPr>
          <w:b/>
        </w:rPr>
        <w:t>Özet</w:t>
      </w:r>
    </w:p>
    <w:p w14:paraId="35E64A41" w14:textId="77777777" w:rsidR="00B470AD" w:rsidRPr="00DD1A04" w:rsidRDefault="00B470AD" w:rsidP="00B470AD">
      <w:pPr>
        <w:jc w:val="both"/>
        <w:rPr>
          <w:color w:val="000000" w:themeColor="text1"/>
        </w:rPr>
      </w:pPr>
      <w:r w:rsidRPr="00DD1A04">
        <w:rPr>
          <w:color w:val="000000" w:themeColor="text1"/>
        </w:rPr>
        <w:t>İnsanoğlunun en eski devirlerden itibaren meydana getirdiği ve gelecek nesillere çeşitli şekillerde aktardığı kültürel miras ürünleri, meydana getiriliş şekli ile çoğunlukla geçmişin temsilleri olarak kabul edilir. Konu ile ilgili hem dünyada hem de Türkiye’de araştırma yapan, görüş bildiren uzmanlar her ne kadar kültürel mirasın geçmiş</w:t>
      </w:r>
      <w:r>
        <w:rPr>
          <w:color w:val="000000" w:themeColor="text1"/>
        </w:rPr>
        <w:t xml:space="preserve"> </w:t>
      </w:r>
      <w:r w:rsidRPr="00DD1A04">
        <w:rPr>
          <w:color w:val="000000" w:themeColor="text1"/>
        </w:rPr>
        <w:t xml:space="preserve">ve geleceği kapsadığını belirtseler de toplumun büyük kısmında kültürel miras, sadece geçmiş ile ilişkilendirilmektedir. Ancak dikkatli bir şekilde bakıldığında kültürel miras ürünleri hiçbir zaman yaratıldıkları dönemdeki ilk şekli ile kalmayıp sürekli gelişmiş, dönüşmüş ya da yok olmuştur. O halde kültürel miras ürünlerini sadece dünden kalan bakiyeler olarak mı değerlendirmek gerekir? Bakıldığında bazı kültür ögelerinin her dönem varlığını devam ettirmesi onları sadece geçmişin kadim ürünleri olarak değerlendirmek anlamına gelmediğini göstermektedir. Çünkü kültür ürünleri, onu meydana getiren insan gibi sürekli bir aksiyon halindedir. Bu hareketlilik durumu, kültürü sürekli güncelleyip içinde bulunduğu zamanın da ürünü haline getirmektedir. Bakıldığında kültürel miras ürünlerinin içinde yaşadığımız günün şartları ile de aktarılması ve icra edilmesi bunların aynı zamanda yaşadığımız döneme ait unsurlar olduklarını da gösterir. Kaldı ki yaşadığımız dönemde bile yeni kültür ögeleri meydana gelmektedir. Kültürel mirasın önemine dikkat çeken Unesco’nun kültürel çalışmaları desteklemesinin hem dünyada hem de ülkemizde önemli yansımaları olmuştur. Kültürel mirasın Türkiye’de devlet ve bazı özel kurumlar tarafında önemli ölçüde desteklendiği görülürken aynı zamanda toplumun her kademesinde </w:t>
      </w:r>
      <w:r>
        <w:rPr>
          <w:color w:val="000000" w:themeColor="text1"/>
        </w:rPr>
        <w:t xml:space="preserve">de </w:t>
      </w:r>
      <w:r w:rsidRPr="00DD1A04">
        <w:rPr>
          <w:color w:val="000000" w:themeColor="text1"/>
        </w:rPr>
        <w:t>dikkate alındığına tesadüf edilmektedir. Bunun yanında eğitim ve öğretim kurumlarında kültürel miras derslerinin verilmesi, üzerine önemli akademik çalışmaların yapılması kültürel mirasın sadece geçmiş zamanın bakiyeleri olmadığını aynı zamanda yaşadığımız çağın bir gerçeği olduklarını da kanıtlamaktadır. Teknoloji ve bilginin sürekli güncellenip gelişmesi gibi kültürel miras ögeleri de güncellenip içinde bulunduğu dönemin şartlarına uyarlanmaktadır. Bunlar olurken elbette kültürel miras ögelerinin bütünüyle değiştiğini söyleyemeyiz. Ancak eski devirlerde dönemin de şartlarına göre icra edilen ve aktarılan bu ögeler, benzer tema ve fikirlerle içinde bulunulan zamanın şartlarına göre yaşatılmaya devem etmektedir. Bu çalışmada amaç, toplumun önemli bir kısmında kültürel mirasın sadece geçmiş ile ilintili olduğuna dair düşünceyi değiştirerek, kültürel mirasın içinde bulunduğumuz döneme de ait olduğunu açıklamaktır. Bu amaçla çalışma hazırlanırken aynı zamanda her toplum ve birey için önemli olan kültürel mirasın daha çok desteklenmesi ve korunması fikri de savunulacaktır.</w:t>
      </w:r>
    </w:p>
    <w:p w14:paraId="5EBB8118" w14:textId="77777777" w:rsidR="00B470AD" w:rsidRPr="001F7157" w:rsidRDefault="00B470AD" w:rsidP="00B470AD">
      <w:pPr>
        <w:jc w:val="both"/>
        <w:rPr>
          <w:color w:val="000000" w:themeColor="text1"/>
        </w:rPr>
      </w:pPr>
    </w:p>
    <w:p w14:paraId="73AAB53D" w14:textId="752D1E1B" w:rsidR="00D47EF1" w:rsidRDefault="00B470AD" w:rsidP="00B470AD">
      <w:pPr>
        <w:jc w:val="both"/>
      </w:pPr>
      <w:r w:rsidRPr="00FA5BF5">
        <w:rPr>
          <w:b/>
        </w:rPr>
        <w:t xml:space="preserve">Anahtar </w:t>
      </w:r>
      <w:r>
        <w:rPr>
          <w:b/>
        </w:rPr>
        <w:t>K</w:t>
      </w:r>
      <w:r w:rsidRPr="00FA5BF5">
        <w:rPr>
          <w:b/>
        </w:rPr>
        <w:t>elimeler</w:t>
      </w:r>
      <w:r>
        <w:t>: İnsan, Toplum, Kültürel Miras, Geçmiş, Gelecek.</w:t>
      </w:r>
    </w:p>
    <w:p w14:paraId="6AD47F86" w14:textId="1B833C2F" w:rsidR="00B470AD" w:rsidRDefault="00D47EF1" w:rsidP="00D47EF1">
      <w:pPr>
        <w:autoSpaceDE/>
        <w:autoSpaceDN/>
      </w:pPr>
      <w:r>
        <w:br w:type="page"/>
      </w:r>
    </w:p>
    <w:p w14:paraId="6FD71C39" w14:textId="77777777" w:rsidR="00D47EF1" w:rsidRDefault="008A662B" w:rsidP="004C7694">
      <w:pPr>
        <w:pStyle w:val="Tark"/>
      </w:pPr>
      <w:bookmarkStart w:id="277" w:name="_Toc192855291"/>
      <w:r w:rsidRPr="00B1089D">
        <w:lastRenderedPageBreak/>
        <w:t xml:space="preserve">Covıd-19 Döneminde Kimlik </w:t>
      </w:r>
      <w:proofErr w:type="gramStart"/>
      <w:r w:rsidRPr="00B1089D">
        <w:t>Ve</w:t>
      </w:r>
      <w:proofErr w:type="gramEnd"/>
      <w:r w:rsidRPr="00B1089D">
        <w:t xml:space="preserve"> Aidiyet Duygusuna Dair </w:t>
      </w:r>
      <w:r w:rsidRPr="00D10870">
        <w:t>Anlatılar:</w:t>
      </w:r>
      <w:bookmarkEnd w:id="277"/>
    </w:p>
    <w:p w14:paraId="3C85D9A4" w14:textId="2A62A680" w:rsidR="00FA457D" w:rsidRDefault="008A662B" w:rsidP="004C7694">
      <w:pPr>
        <w:pStyle w:val="Tark"/>
      </w:pPr>
      <w:bookmarkStart w:id="278" w:name="_Toc192855292"/>
      <w:r w:rsidRPr="00B1089D">
        <w:t>Hollanda’dan Vaka Çalışmaları</w:t>
      </w:r>
      <w:bookmarkEnd w:id="278"/>
    </w:p>
    <w:p w14:paraId="2CFA98C3" w14:textId="77777777" w:rsidR="00D47EF1" w:rsidRPr="00D47EF1" w:rsidRDefault="00D47EF1" w:rsidP="00D47EF1">
      <w:pPr>
        <w:pStyle w:val="Metin"/>
      </w:pPr>
    </w:p>
    <w:p w14:paraId="75FB4423" w14:textId="77777777" w:rsidR="00FA457D" w:rsidRPr="00B1089D" w:rsidRDefault="00FA457D" w:rsidP="00FA457D">
      <w:pPr>
        <w:widowControl/>
        <w:jc w:val="center"/>
      </w:pPr>
      <w:r w:rsidRPr="00B1089D">
        <w:t>Ayşe Aldemir</w:t>
      </w:r>
    </w:p>
    <w:p w14:paraId="4371F192" w14:textId="77777777" w:rsidR="00FA457D" w:rsidRPr="00B1089D" w:rsidRDefault="00FA457D" w:rsidP="00FA457D">
      <w:pPr>
        <w:widowControl/>
        <w:jc w:val="center"/>
      </w:pPr>
      <w:r w:rsidRPr="00B1089D">
        <w:t xml:space="preserve">Bolu Abant İzzet Baysal Üniversitesi </w:t>
      </w:r>
      <w:proofErr w:type="spellStart"/>
      <w:r w:rsidRPr="00B1089D">
        <w:t>İleitşim</w:t>
      </w:r>
      <w:proofErr w:type="spellEnd"/>
      <w:r w:rsidRPr="00B1089D">
        <w:t xml:space="preserve"> Fakültesi Gazetecilik</w:t>
      </w:r>
    </w:p>
    <w:p w14:paraId="054D3573" w14:textId="77777777" w:rsidR="00FA457D" w:rsidRPr="00B1089D" w:rsidRDefault="00FA457D" w:rsidP="00FA457D">
      <w:pPr>
        <w:widowControl/>
        <w:jc w:val="center"/>
      </w:pPr>
      <w:hyperlink r:id="rId405" w:history="1">
        <w:r w:rsidRPr="00B1089D">
          <w:rPr>
            <w:rStyle w:val="Kpr"/>
          </w:rPr>
          <w:t>ayse.aldemir@ibu.edu.tr</w:t>
        </w:r>
      </w:hyperlink>
    </w:p>
    <w:p w14:paraId="7E083439" w14:textId="573498E0" w:rsidR="00FA457D" w:rsidRPr="00B1089D" w:rsidRDefault="00FA457D" w:rsidP="00FA457D">
      <w:pPr>
        <w:widowControl/>
        <w:jc w:val="center"/>
      </w:pPr>
      <w:r w:rsidRPr="00B1089D">
        <w:t xml:space="preserve"> 0000-0003-3045-6917</w:t>
      </w:r>
    </w:p>
    <w:p w14:paraId="1BC8586F" w14:textId="77777777" w:rsidR="00FA457D" w:rsidRPr="00B1089D" w:rsidRDefault="00FA457D" w:rsidP="00FA457D">
      <w:pPr>
        <w:widowControl/>
        <w:jc w:val="center"/>
      </w:pPr>
    </w:p>
    <w:p w14:paraId="6FF55930" w14:textId="77777777" w:rsidR="00FA457D" w:rsidRPr="00B1089D" w:rsidRDefault="00FA457D" w:rsidP="00FA457D">
      <w:pPr>
        <w:widowControl/>
        <w:jc w:val="center"/>
        <w:rPr>
          <w:b/>
          <w:bCs/>
        </w:rPr>
      </w:pPr>
      <w:r w:rsidRPr="00D10870">
        <w:rPr>
          <w:b/>
          <w:bCs/>
        </w:rPr>
        <w:t>Özet</w:t>
      </w:r>
    </w:p>
    <w:p w14:paraId="326B6F7D" w14:textId="142925C7" w:rsidR="00FA457D" w:rsidRPr="00B1089D" w:rsidRDefault="00FA457D" w:rsidP="007A647E">
      <w:pPr>
        <w:widowControl/>
        <w:jc w:val="both"/>
      </w:pPr>
      <w:r w:rsidRPr="00B1089D">
        <w:t xml:space="preserve">Bu çalışma Hollanda’da Türk göçmen kadınların kimlik ve aidiyet duygusuna ilişkin deneyim ve anlatılarını Hollanda bağlamıyla ilişkilendirerek katkıda bulunmayı amaçlamaktadır. Bu kadınların kimlik açısından kendilerini konumlandırmaları ve aidiyet duyguları, özgürlükçü ve liberal bir ülke olarak bilinen Hollanda’da son yıllarda aşırı sağın yükselişi ve COVID-19 pandemisinin yarattığı kriz ortamının getirdiği değişikliklerin gölgesinde sorgulanmıştır. Hollanda’da aşırı sağın göçmen karşıtı söyleminin yanı sıra </w:t>
      </w:r>
      <w:proofErr w:type="spellStart"/>
      <w:r w:rsidRPr="00B1089D">
        <w:t>kültürelci</w:t>
      </w:r>
      <w:proofErr w:type="spellEnd"/>
      <w:r w:rsidRPr="00B1089D">
        <w:t xml:space="preserve"> ötekileştirme söylemi, bu kadınların kendilerini nasıl tanımladığı ve tanımlandıkları, toplumsal kabul, aidiyet duygusu ve nasıl inşa edildikleri üzerinde etkili olmuştur. Bu bağlamda keşifsel bir analiz yapmak amacıyla Hollanda’nın dört büyük şehrinde (Amsterdam, Lahey, Rotterdam, Utrecht) yaşayan, aralarında sivil toplum temsilcisi, aktivist ve </w:t>
      </w:r>
      <w:proofErr w:type="spellStart"/>
      <w:r w:rsidRPr="00B1089D">
        <w:t>santçının</w:t>
      </w:r>
      <w:proofErr w:type="spellEnd"/>
      <w:r w:rsidRPr="00B1089D">
        <w:t xml:space="preserve"> da bulunduğu 13 Türk kadın ile derinlemesine görüşmeler yapılmıştır. Bulgular vatandaşlık, kimlik, ulusal aidiyete ilişkin kamusal söylemin ve ötekileştirme pratiklerinin ev sahibi ülkeye aidiyet duygusunu olumsuz etkilediğini, kadınların toplumsal kabul için aşırı emek harcamakla karşı karşıya kaldığını ve kimlik açısından kendilerini konumlandırmada zaman zaman güçlük ve karmaşa yaşadıklarını göstermiştir. Öte yandan kimlik ve aidiyete ilişkin karşılaştıkları sorunlara karşı direnç göstererek, kadınların kendilerini yaşadıkları şehirle özdeşleştirdikleri, Hollanda’da yaşama biçimini güçlü bir biçimde benimsedikleri ve kişisel hikayelerinin akış bilinci içinde oldukları görülmüştür.</w:t>
      </w:r>
    </w:p>
    <w:p w14:paraId="5EA0DB5C" w14:textId="77777777" w:rsidR="00FA457D" w:rsidRPr="00B1089D" w:rsidRDefault="00FA457D" w:rsidP="007A647E">
      <w:pPr>
        <w:widowControl/>
        <w:jc w:val="both"/>
      </w:pPr>
    </w:p>
    <w:p w14:paraId="5C0C472A" w14:textId="24F52A34" w:rsidR="00D47EF1" w:rsidRDefault="00FA457D" w:rsidP="007A647E">
      <w:pPr>
        <w:widowControl/>
        <w:jc w:val="both"/>
      </w:pPr>
      <w:r w:rsidRPr="00B1089D">
        <w:rPr>
          <w:b/>
          <w:bCs/>
        </w:rPr>
        <w:t>Anahtar Kelimeler:</w:t>
      </w:r>
      <w:r w:rsidRPr="00B1089D">
        <w:t xml:space="preserve"> Kimlik, Aidiyet, Türk Kadınlar, Hollanda</w:t>
      </w:r>
    </w:p>
    <w:p w14:paraId="5E1301EE" w14:textId="19CB2E6E" w:rsidR="00FA457D" w:rsidRPr="00D47EF1" w:rsidRDefault="00D47EF1" w:rsidP="00D47EF1">
      <w:pPr>
        <w:autoSpaceDE/>
        <w:autoSpaceDN/>
        <w:jc w:val="center"/>
        <w:rPr>
          <w:b/>
          <w:bCs/>
        </w:rPr>
      </w:pPr>
      <w:r>
        <w:br w:type="page"/>
      </w:r>
      <w:r w:rsidR="00FA457D" w:rsidRPr="00B1089D">
        <w:lastRenderedPageBreak/>
        <w:br/>
      </w:r>
      <w:r w:rsidR="00FA457D" w:rsidRPr="00D47EF1">
        <w:rPr>
          <w:b/>
          <w:bCs/>
        </w:rPr>
        <w:t xml:space="preserve">Sinemada Yapay Zekâ: </w:t>
      </w:r>
      <w:proofErr w:type="spellStart"/>
      <w:r w:rsidR="00FA457D" w:rsidRPr="00D47EF1">
        <w:rPr>
          <w:b/>
          <w:bCs/>
        </w:rPr>
        <w:t>The</w:t>
      </w:r>
      <w:proofErr w:type="spellEnd"/>
      <w:r w:rsidR="00FA457D" w:rsidRPr="00D47EF1">
        <w:rPr>
          <w:b/>
          <w:bCs/>
        </w:rPr>
        <w:t xml:space="preserve"> </w:t>
      </w:r>
      <w:proofErr w:type="spellStart"/>
      <w:r w:rsidR="00FA457D" w:rsidRPr="00D47EF1">
        <w:rPr>
          <w:b/>
          <w:bCs/>
        </w:rPr>
        <w:t>Last</w:t>
      </w:r>
      <w:proofErr w:type="spellEnd"/>
      <w:r w:rsidR="00FA457D" w:rsidRPr="00D47EF1">
        <w:rPr>
          <w:b/>
          <w:bCs/>
        </w:rPr>
        <w:t xml:space="preserve"> </w:t>
      </w:r>
      <w:proofErr w:type="spellStart"/>
      <w:r w:rsidR="00FA457D" w:rsidRPr="00D47EF1">
        <w:rPr>
          <w:b/>
          <w:bCs/>
        </w:rPr>
        <w:t>Screenwriter</w:t>
      </w:r>
      <w:proofErr w:type="spellEnd"/>
      <w:r w:rsidR="00FA457D" w:rsidRPr="00D47EF1">
        <w:rPr>
          <w:b/>
          <w:bCs/>
        </w:rPr>
        <w:t xml:space="preserve"> Filminin İncelenmesi</w:t>
      </w:r>
    </w:p>
    <w:p w14:paraId="1A3DE1FA" w14:textId="77777777" w:rsidR="00FA457D" w:rsidRPr="00B1089D" w:rsidRDefault="00FA457D" w:rsidP="00FA457D">
      <w:pPr>
        <w:widowControl/>
        <w:jc w:val="center"/>
      </w:pPr>
    </w:p>
    <w:p w14:paraId="5312F77B" w14:textId="77777777" w:rsidR="00FA457D" w:rsidRPr="00B1089D" w:rsidRDefault="00FA457D" w:rsidP="00FA457D">
      <w:pPr>
        <w:widowControl/>
        <w:jc w:val="center"/>
      </w:pPr>
      <w:r w:rsidRPr="00B1089D">
        <w:t>Anıl Kaan UÇAR</w:t>
      </w:r>
    </w:p>
    <w:p w14:paraId="19AD0459" w14:textId="77777777" w:rsidR="00FA457D" w:rsidRPr="00B1089D" w:rsidRDefault="00FA457D" w:rsidP="00FA457D">
      <w:pPr>
        <w:widowControl/>
        <w:jc w:val="center"/>
      </w:pPr>
      <w:r w:rsidRPr="00B1089D">
        <w:t>Doç. Dr., Ordu Üniversitesi, Gazetecilik ve Habercilik Bölümü</w:t>
      </w:r>
    </w:p>
    <w:p w14:paraId="1D8C9BEE" w14:textId="77777777" w:rsidR="00FA457D" w:rsidRPr="00B1089D" w:rsidRDefault="00FA457D" w:rsidP="00FA457D">
      <w:pPr>
        <w:widowControl/>
        <w:jc w:val="center"/>
      </w:pPr>
      <w:hyperlink r:id="rId406" w:history="1">
        <w:r w:rsidRPr="00B1089D">
          <w:rPr>
            <w:rStyle w:val="Kpr"/>
          </w:rPr>
          <w:t>anilkaanucar@gmail.com</w:t>
        </w:r>
      </w:hyperlink>
    </w:p>
    <w:p w14:paraId="3646CBE2" w14:textId="4CEB7F0E" w:rsidR="00FA457D" w:rsidRPr="00D10870" w:rsidRDefault="00FA457D" w:rsidP="00FA457D">
      <w:pPr>
        <w:widowControl/>
        <w:jc w:val="center"/>
      </w:pPr>
      <w:r w:rsidRPr="00B1089D">
        <w:t>0000-0002-8311-741X</w:t>
      </w:r>
    </w:p>
    <w:p w14:paraId="55086F72" w14:textId="77777777" w:rsidR="00FA457D" w:rsidRPr="00B1089D" w:rsidRDefault="00FA457D" w:rsidP="00FA457D">
      <w:pPr>
        <w:widowControl/>
        <w:jc w:val="center"/>
      </w:pPr>
    </w:p>
    <w:p w14:paraId="3FA85A28" w14:textId="77777777" w:rsidR="00FA457D" w:rsidRPr="00B1089D" w:rsidRDefault="00FA457D" w:rsidP="00FA457D">
      <w:pPr>
        <w:widowControl/>
        <w:jc w:val="center"/>
      </w:pPr>
      <w:r w:rsidRPr="00B1089D">
        <w:rPr>
          <w:b/>
          <w:bCs/>
        </w:rPr>
        <w:t>Özet</w:t>
      </w:r>
    </w:p>
    <w:p w14:paraId="38978008" w14:textId="099B07DB" w:rsidR="00FA457D" w:rsidRPr="00D10870" w:rsidRDefault="00FA457D" w:rsidP="007A647E">
      <w:pPr>
        <w:widowControl/>
        <w:jc w:val="both"/>
      </w:pPr>
      <w:r w:rsidRPr="00B1089D">
        <w:t>Yapay zekâ birçok alanı etkilediği gibi sinema sektörünü de tesiri altına almıştır. Son zamanlarda çekilen bazı filmlerde; senaryo yazımının, mekân, sahne ve karakter tasarımlarının yapay zekâ araçlarından yararlanılarak oluşturulması bu duruma işaret etmektedir. Bu bağlamda film endüstrisi, yapay zekâ teknolojilerinden profesyonel anlamda istifade etmeye başlamıştır</w:t>
      </w:r>
      <w:r w:rsidRPr="00B1089D">
        <w:rPr>
          <w:b/>
          <w:bCs/>
        </w:rPr>
        <w:t>.</w:t>
      </w:r>
      <w:r w:rsidRPr="00B1089D">
        <w:t xml:space="preserve"> Hollywood’da önemli film şirketleri, yapay zekâ teknolojisinden yararlanarak bir filmin başarılı olup olmayacağına ve hangi toplumsal grupların ilgisini çekip çekmeyeceğine dair analizler yapabilmektedir. Ayrıca son zamanlarda, tüm yapım süreci yapay zekâ ile tamamlanan filmler de ortaya çıkmıştır. Dolayısıyla yapay zekâ, sinema sektörünü dönüştürme ve değiştirme potansiyeli taşımaktadır. Buradan hareketle bu çalışma, yapay zekâ ve sinema ilişkisi üzerine bir tartışma ve değerlendirme yapmayı amaçlamaktadır. Bu kapsamda, çalışmada öncelikle yapay zekâ teknolojisinin ortaya çıkış sürecine, gelişimine ve uygulama alanlarına değinilmektedir. Ardından, sinemada yapay zekâ uygulamalarının kullanımı üzerinde durularak senaryosu yapay zekâ tarafından yazılan ve aynı zamanda yapay zekâ ile bir senaryo yazarının ilişkisine odaklanan 2024 yapımı </w:t>
      </w:r>
      <w:proofErr w:type="spellStart"/>
      <w:r w:rsidRPr="00B1089D">
        <w:t>The</w:t>
      </w:r>
      <w:proofErr w:type="spellEnd"/>
      <w:r w:rsidRPr="00B1089D">
        <w:t xml:space="preserve"> </w:t>
      </w:r>
      <w:proofErr w:type="spellStart"/>
      <w:r w:rsidRPr="00B1089D">
        <w:t>Last</w:t>
      </w:r>
      <w:proofErr w:type="spellEnd"/>
      <w:r w:rsidRPr="00B1089D">
        <w:t xml:space="preserve"> </w:t>
      </w:r>
      <w:proofErr w:type="spellStart"/>
      <w:r w:rsidRPr="00B1089D">
        <w:t>Screenwriter</w:t>
      </w:r>
      <w:proofErr w:type="spellEnd"/>
      <w:r w:rsidRPr="00B1089D">
        <w:t xml:space="preserve"> filmi betimsel analiz yaklaşımı ile incelenmektedir. Bu çerçevede film; sinema ve yapay zekâ, yapay zekâ ve karakterlerin dönüşümü, yapay zekâ ve hikâye anlatıcılığı temaları çerçevesinde ele alınmaktadır. Bu temalar ışığında; sinema ve yapay zekâ ilişkisine, bir senaryo yazarının yapay zekâ ile kurduğu bağa ve bir hikâye anlatıcısı olarak yapay zekâya odaklanılmaktadır.</w:t>
      </w:r>
    </w:p>
    <w:p w14:paraId="27178208" w14:textId="77777777" w:rsidR="00FA457D" w:rsidRPr="00B1089D" w:rsidRDefault="00FA457D" w:rsidP="007A647E">
      <w:pPr>
        <w:widowControl/>
        <w:jc w:val="both"/>
      </w:pPr>
    </w:p>
    <w:p w14:paraId="4BE43F8D" w14:textId="77777777" w:rsidR="00FA457D" w:rsidRPr="00B1089D" w:rsidRDefault="00FA457D" w:rsidP="007A647E">
      <w:pPr>
        <w:widowControl/>
        <w:jc w:val="both"/>
      </w:pPr>
      <w:r w:rsidRPr="00B1089D">
        <w:rPr>
          <w:b/>
          <w:bCs/>
        </w:rPr>
        <w:t>Anahtar</w:t>
      </w:r>
      <w:r w:rsidRPr="00D10870">
        <w:rPr>
          <w:b/>
          <w:bCs/>
        </w:rPr>
        <w:t xml:space="preserve"> Ke</w:t>
      </w:r>
      <w:r w:rsidRPr="00B1089D">
        <w:rPr>
          <w:b/>
          <w:bCs/>
        </w:rPr>
        <w:t>l</w:t>
      </w:r>
      <w:r w:rsidRPr="00D10870">
        <w:rPr>
          <w:b/>
          <w:bCs/>
        </w:rPr>
        <w:t xml:space="preserve">imeler: </w:t>
      </w:r>
      <w:r w:rsidRPr="00B1089D">
        <w:t xml:space="preserve">Yapay Zekâ, Sinema, </w:t>
      </w:r>
      <w:proofErr w:type="spellStart"/>
      <w:r w:rsidRPr="00B1089D">
        <w:t>The</w:t>
      </w:r>
      <w:proofErr w:type="spellEnd"/>
      <w:r w:rsidRPr="00B1089D">
        <w:t xml:space="preserve"> </w:t>
      </w:r>
      <w:proofErr w:type="spellStart"/>
      <w:r w:rsidRPr="00B1089D">
        <w:t>Last</w:t>
      </w:r>
      <w:proofErr w:type="spellEnd"/>
      <w:r w:rsidRPr="00B1089D">
        <w:t xml:space="preserve"> </w:t>
      </w:r>
      <w:proofErr w:type="spellStart"/>
      <w:r w:rsidRPr="00B1089D">
        <w:t>Screenwriter</w:t>
      </w:r>
      <w:proofErr w:type="spellEnd"/>
    </w:p>
    <w:p w14:paraId="0E66EB7A" w14:textId="77777777" w:rsidR="00FA457D" w:rsidRPr="00B1089D" w:rsidRDefault="00FA457D" w:rsidP="00FA457D">
      <w:pPr>
        <w:widowControl/>
      </w:pPr>
    </w:p>
    <w:p w14:paraId="1D646656" w14:textId="77777777" w:rsidR="00FA457D" w:rsidRPr="00B1089D" w:rsidRDefault="00FA457D" w:rsidP="00FA457D">
      <w:pPr>
        <w:widowControl/>
        <w:jc w:val="center"/>
      </w:pPr>
      <w:proofErr w:type="spellStart"/>
      <w:r w:rsidRPr="00B1089D">
        <w:rPr>
          <w:b/>
          <w:bCs/>
        </w:rPr>
        <w:t>Abstract</w:t>
      </w:r>
      <w:proofErr w:type="spellEnd"/>
    </w:p>
    <w:p w14:paraId="2FB6C1DE" w14:textId="1B8917C1" w:rsidR="00FA457D" w:rsidRPr="00D10870" w:rsidRDefault="00FA457D" w:rsidP="007A647E">
      <w:pPr>
        <w:widowControl/>
        <w:jc w:val="both"/>
      </w:pPr>
      <w:proofErr w:type="spellStart"/>
      <w:r w:rsidRPr="00B1089D">
        <w:t>Artificial</w:t>
      </w:r>
      <w:proofErr w:type="spellEnd"/>
      <w:r w:rsidRPr="00B1089D">
        <w:t xml:space="preserve"> </w:t>
      </w:r>
      <w:proofErr w:type="spellStart"/>
      <w:r w:rsidRPr="00B1089D">
        <w:t>intelligence</w:t>
      </w:r>
      <w:proofErr w:type="spellEnd"/>
      <w:r w:rsidRPr="00B1089D">
        <w:t xml:space="preserve"> has </w:t>
      </w:r>
      <w:proofErr w:type="spellStart"/>
      <w:r w:rsidRPr="00B1089D">
        <w:t>affected</w:t>
      </w:r>
      <w:proofErr w:type="spellEnd"/>
      <w:r w:rsidRPr="00B1089D">
        <w:t xml:space="preserve"> </w:t>
      </w:r>
      <w:proofErr w:type="spellStart"/>
      <w:r w:rsidRPr="00B1089D">
        <w:t>the</w:t>
      </w:r>
      <w:proofErr w:type="spellEnd"/>
      <w:r w:rsidRPr="00B1089D">
        <w:t xml:space="preserve"> </w:t>
      </w:r>
      <w:proofErr w:type="spellStart"/>
      <w:r w:rsidRPr="00B1089D">
        <w:t>movie</w:t>
      </w:r>
      <w:proofErr w:type="spellEnd"/>
      <w:r w:rsidRPr="00B1089D">
        <w:t xml:space="preserve"> </w:t>
      </w:r>
      <w:proofErr w:type="spellStart"/>
      <w:r w:rsidRPr="00B1089D">
        <w:t>industry</w:t>
      </w:r>
      <w:proofErr w:type="spellEnd"/>
      <w:r w:rsidRPr="00B1089D">
        <w:t xml:space="preserve"> as it has </w:t>
      </w:r>
      <w:proofErr w:type="spellStart"/>
      <w:r w:rsidRPr="00B1089D">
        <w:t>affected</w:t>
      </w:r>
      <w:proofErr w:type="spellEnd"/>
      <w:r w:rsidRPr="00B1089D">
        <w:t xml:space="preserve"> </w:t>
      </w:r>
      <w:proofErr w:type="spellStart"/>
      <w:r w:rsidRPr="00B1089D">
        <w:t>many</w:t>
      </w:r>
      <w:proofErr w:type="spellEnd"/>
      <w:r w:rsidRPr="00B1089D">
        <w:t xml:space="preserve"> </w:t>
      </w:r>
      <w:proofErr w:type="spellStart"/>
      <w:r w:rsidRPr="00B1089D">
        <w:t>fields</w:t>
      </w:r>
      <w:proofErr w:type="spellEnd"/>
      <w:r w:rsidRPr="00B1089D">
        <w:t xml:space="preserve">. </w:t>
      </w:r>
      <w:proofErr w:type="spellStart"/>
      <w:r w:rsidRPr="00B1089D">
        <w:t>In</w:t>
      </w:r>
      <w:proofErr w:type="spellEnd"/>
      <w:r w:rsidRPr="00B1089D">
        <w:t xml:space="preserve"> </w:t>
      </w:r>
      <w:proofErr w:type="spellStart"/>
      <w:r w:rsidRPr="00B1089D">
        <w:t>some</w:t>
      </w:r>
      <w:proofErr w:type="spellEnd"/>
      <w:r w:rsidRPr="00B1089D">
        <w:t xml:space="preserve"> </w:t>
      </w:r>
      <w:proofErr w:type="spellStart"/>
      <w:r w:rsidRPr="00B1089D">
        <w:t>recent</w:t>
      </w:r>
      <w:proofErr w:type="spellEnd"/>
      <w:r w:rsidRPr="00B1089D">
        <w:t xml:space="preserve"> </w:t>
      </w:r>
      <w:proofErr w:type="spellStart"/>
      <w:r w:rsidRPr="00B1089D">
        <w:t>films</w:t>
      </w:r>
      <w:proofErr w:type="spellEnd"/>
      <w:r w:rsidRPr="00B1089D">
        <w:t xml:space="preserve">, </w:t>
      </w:r>
      <w:proofErr w:type="spellStart"/>
      <w:r w:rsidRPr="00B1089D">
        <w:t>the</w:t>
      </w:r>
      <w:proofErr w:type="spellEnd"/>
      <w:r w:rsidRPr="00B1089D">
        <w:t xml:space="preserve"> </w:t>
      </w:r>
      <w:proofErr w:type="spellStart"/>
      <w:r w:rsidRPr="00B1089D">
        <w:t>use</w:t>
      </w:r>
      <w:proofErr w:type="spellEnd"/>
      <w:r w:rsidRPr="00B1089D">
        <w:t xml:space="preserve"> of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tools</w:t>
      </w:r>
      <w:proofErr w:type="spellEnd"/>
      <w:r w:rsidRPr="00B1089D">
        <w:t xml:space="preserve"> in </w:t>
      </w:r>
      <w:proofErr w:type="spellStart"/>
      <w:r w:rsidRPr="00B1089D">
        <w:t>script</w:t>
      </w:r>
      <w:proofErr w:type="spellEnd"/>
      <w:r w:rsidRPr="00B1089D">
        <w:t xml:space="preserve"> </w:t>
      </w:r>
      <w:proofErr w:type="spellStart"/>
      <w:r w:rsidRPr="00B1089D">
        <w:t>writing</w:t>
      </w:r>
      <w:proofErr w:type="spellEnd"/>
      <w:r w:rsidRPr="00B1089D">
        <w:t xml:space="preserve">, </w:t>
      </w:r>
      <w:proofErr w:type="spellStart"/>
      <w:r w:rsidRPr="00B1089D">
        <w:t>space</w:t>
      </w:r>
      <w:proofErr w:type="spellEnd"/>
      <w:r w:rsidRPr="00B1089D">
        <w:t xml:space="preserve">, </w:t>
      </w:r>
      <w:proofErr w:type="spellStart"/>
      <w:r w:rsidRPr="00B1089D">
        <w:t>scene</w:t>
      </w:r>
      <w:proofErr w:type="spellEnd"/>
      <w:r w:rsidRPr="00B1089D">
        <w:t xml:space="preserve"> </w:t>
      </w:r>
      <w:proofErr w:type="spellStart"/>
      <w:r w:rsidRPr="00B1089D">
        <w:t>and</w:t>
      </w:r>
      <w:proofErr w:type="spellEnd"/>
      <w:r w:rsidRPr="00B1089D">
        <w:t xml:space="preserve"> </w:t>
      </w:r>
      <w:proofErr w:type="spellStart"/>
      <w:r w:rsidRPr="00B1089D">
        <w:t>character</w:t>
      </w:r>
      <w:proofErr w:type="spellEnd"/>
      <w:r w:rsidRPr="00B1089D">
        <w:t xml:space="preserve"> </w:t>
      </w:r>
      <w:proofErr w:type="spellStart"/>
      <w:r w:rsidRPr="00B1089D">
        <w:t>designs</w:t>
      </w:r>
      <w:proofErr w:type="spellEnd"/>
      <w:r w:rsidRPr="00B1089D">
        <w:t xml:space="preserve"> </w:t>
      </w:r>
      <w:proofErr w:type="spellStart"/>
      <w:r w:rsidRPr="00B1089D">
        <w:t>points</w:t>
      </w:r>
      <w:proofErr w:type="spellEnd"/>
      <w:r w:rsidRPr="00B1089D">
        <w:t xml:space="preserve"> </w:t>
      </w:r>
      <w:proofErr w:type="spellStart"/>
      <w:r w:rsidRPr="00B1089D">
        <w:t>to</w:t>
      </w:r>
      <w:proofErr w:type="spellEnd"/>
      <w:r w:rsidRPr="00B1089D">
        <w:t xml:space="preserve"> </w:t>
      </w:r>
      <w:proofErr w:type="spellStart"/>
      <w:r w:rsidRPr="00B1089D">
        <w:t>this</w:t>
      </w:r>
      <w:proofErr w:type="spellEnd"/>
      <w:r w:rsidRPr="00B1089D">
        <w:t xml:space="preserve"> </w:t>
      </w:r>
      <w:proofErr w:type="spellStart"/>
      <w:r w:rsidRPr="00B1089D">
        <w:t>situation</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film </w:t>
      </w:r>
      <w:proofErr w:type="spellStart"/>
      <w:r w:rsidRPr="00B1089D">
        <w:t>industry</w:t>
      </w:r>
      <w:proofErr w:type="spellEnd"/>
      <w:r w:rsidRPr="00B1089D">
        <w:t xml:space="preserve"> has </w:t>
      </w:r>
      <w:proofErr w:type="spellStart"/>
      <w:r w:rsidRPr="00B1089D">
        <w:t>started</w:t>
      </w:r>
      <w:proofErr w:type="spellEnd"/>
      <w:r w:rsidRPr="00B1089D">
        <w:t xml:space="preserve"> </w:t>
      </w:r>
      <w:proofErr w:type="spellStart"/>
      <w:r w:rsidRPr="00B1089D">
        <w:t>to</w:t>
      </w:r>
      <w:proofErr w:type="spellEnd"/>
      <w:r w:rsidRPr="00B1089D">
        <w:t xml:space="preserve"> </w:t>
      </w:r>
      <w:proofErr w:type="spellStart"/>
      <w:r w:rsidRPr="00B1089D">
        <w:t>make</w:t>
      </w:r>
      <w:proofErr w:type="spellEnd"/>
      <w:r w:rsidRPr="00B1089D">
        <w:t xml:space="preserve"> </w:t>
      </w:r>
      <w:proofErr w:type="spellStart"/>
      <w:r w:rsidRPr="00B1089D">
        <w:t>professional</w:t>
      </w:r>
      <w:proofErr w:type="spellEnd"/>
      <w:r w:rsidRPr="00B1089D">
        <w:t xml:space="preserve"> </w:t>
      </w:r>
      <w:proofErr w:type="spellStart"/>
      <w:r w:rsidRPr="00B1089D">
        <w:t>use</w:t>
      </w:r>
      <w:proofErr w:type="spellEnd"/>
      <w:r w:rsidRPr="00B1089D">
        <w:t xml:space="preserve"> of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technologies</w:t>
      </w:r>
      <w:proofErr w:type="spellEnd"/>
      <w:r w:rsidRPr="00B1089D">
        <w:t xml:space="preserve">. </w:t>
      </w:r>
      <w:proofErr w:type="spellStart"/>
      <w:r w:rsidRPr="00B1089D">
        <w:t>In</w:t>
      </w:r>
      <w:proofErr w:type="spellEnd"/>
      <w:r w:rsidRPr="00B1089D">
        <w:t xml:space="preserve"> Hollywood, </w:t>
      </w:r>
      <w:proofErr w:type="spellStart"/>
      <w:r w:rsidRPr="00B1089D">
        <w:t>major</w:t>
      </w:r>
      <w:proofErr w:type="spellEnd"/>
      <w:r w:rsidRPr="00B1089D">
        <w:t xml:space="preserve"> film </w:t>
      </w:r>
      <w:proofErr w:type="spellStart"/>
      <w:r w:rsidRPr="00B1089D">
        <w:t>companies</w:t>
      </w:r>
      <w:proofErr w:type="spellEnd"/>
      <w:r w:rsidRPr="00B1089D">
        <w:t xml:space="preserve"> </w:t>
      </w:r>
      <w:proofErr w:type="spellStart"/>
      <w:r w:rsidRPr="00B1089D">
        <w:t>use</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technology</w:t>
      </w:r>
      <w:proofErr w:type="spellEnd"/>
      <w:r w:rsidRPr="00B1089D">
        <w:t xml:space="preserve"> </w:t>
      </w:r>
      <w:proofErr w:type="spellStart"/>
      <w:r w:rsidRPr="00B1089D">
        <w:t>to</w:t>
      </w:r>
      <w:proofErr w:type="spellEnd"/>
      <w:r w:rsidRPr="00B1089D">
        <w:t xml:space="preserve"> </w:t>
      </w:r>
      <w:proofErr w:type="spellStart"/>
      <w:r w:rsidRPr="00B1089D">
        <w:t>analyze</w:t>
      </w:r>
      <w:proofErr w:type="spellEnd"/>
      <w:r w:rsidRPr="00B1089D">
        <w:t xml:space="preserve"> </w:t>
      </w:r>
      <w:proofErr w:type="spellStart"/>
      <w:r w:rsidRPr="00B1089D">
        <w:t>whether</w:t>
      </w:r>
      <w:proofErr w:type="spellEnd"/>
      <w:r w:rsidRPr="00B1089D">
        <w:t xml:space="preserve"> a film </w:t>
      </w:r>
      <w:proofErr w:type="spellStart"/>
      <w:r w:rsidRPr="00B1089D">
        <w:t>will</w:t>
      </w:r>
      <w:proofErr w:type="spellEnd"/>
      <w:r w:rsidRPr="00B1089D">
        <w:t xml:space="preserve"> be </w:t>
      </w:r>
      <w:proofErr w:type="spellStart"/>
      <w:r w:rsidRPr="00B1089D">
        <w:t>successful</w:t>
      </w:r>
      <w:proofErr w:type="spellEnd"/>
      <w:r w:rsidRPr="00B1089D">
        <w:t xml:space="preserve"> </w:t>
      </w:r>
      <w:proofErr w:type="spellStart"/>
      <w:r w:rsidRPr="00B1089D">
        <w:t>and</w:t>
      </w:r>
      <w:proofErr w:type="spellEnd"/>
      <w:r w:rsidRPr="00B1089D">
        <w:t xml:space="preserve"> </w:t>
      </w:r>
      <w:proofErr w:type="spellStart"/>
      <w:r w:rsidRPr="00B1089D">
        <w:t>which</w:t>
      </w:r>
      <w:proofErr w:type="spellEnd"/>
      <w:r w:rsidRPr="00B1089D">
        <w:t xml:space="preserve"> </w:t>
      </w:r>
      <w:proofErr w:type="spellStart"/>
      <w:r w:rsidRPr="00B1089D">
        <w:t>social</w:t>
      </w:r>
      <w:proofErr w:type="spellEnd"/>
      <w:r w:rsidRPr="00B1089D">
        <w:t xml:space="preserve"> </w:t>
      </w:r>
      <w:proofErr w:type="spellStart"/>
      <w:r w:rsidRPr="00B1089D">
        <w:t>groups</w:t>
      </w:r>
      <w:proofErr w:type="spellEnd"/>
      <w:r w:rsidRPr="00B1089D">
        <w:t xml:space="preserve"> </w:t>
      </w:r>
      <w:proofErr w:type="spellStart"/>
      <w:r w:rsidRPr="00B1089D">
        <w:t>will</w:t>
      </w:r>
      <w:proofErr w:type="spellEnd"/>
      <w:r w:rsidRPr="00B1089D">
        <w:t xml:space="preserve"> be </w:t>
      </w:r>
      <w:proofErr w:type="spellStart"/>
      <w:r w:rsidRPr="00B1089D">
        <w:t>attracted</w:t>
      </w:r>
      <w:proofErr w:type="spellEnd"/>
      <w:r w:rsidRPr="00B1089D">
        <w:t xml:space="preserve"> </w:t>
      </w:r>
      <w:proofErr w:type="spellStart"/>
      <w:r w:rsidRPr="00B1089D">
        <w:t>to</w:t>
      </w:r>
      <w:proofErr w:type="spellEnd"/>
      <w:r w:rsidRPr="00B1089D">
        <w:t xml:space="preserve"> it. </w:t>
      </w:r>
      <w:proofErr w:type="spellStart"/>
      <w:r w:rsidRPr="00B1089D">
        <w:t>There</w:t>
      </w:r>
      <w:proofErr w:type="spellEnd"/>
      <w:r w:rsidRPr="00B1089D">
        <w:t xml:space="preserve"> </w:t>
      </w:r>
      <w:proofErr w:type="spellStart"/>
      <w:r w:rsidRPr="00B1089D">
        <w:t>have</w:t>
      </w:r>
      <w:proofErr w:type="spellEnd"/>
      <w:r w:rsidRPr="00B1089D">
        <w:t xml:space="preserve"> </w:t>
      </w:r>
      <w:proofErr w:type="spellStart"/>
      <w:r w:rsidRPr="00B1089D">
        <w:t>also</w:t>
      </w:r>
      <w:proofErr w:type="spellEnd"/>
      <w:r w:rsidRPr="00B1089D">
        <w:t xml:space="preserve"> </w:t>
      </w:r>
      <w:proofErr w:type="spellStart"/>
      <w:r w:rsidRPr="00B1089D">
        <w:t>recently</w:t>
      </w:r>
      <w:proofErr w:type="spellEnd"/>
      <w:r w:rsidRPr="00B1089D">
        <w:t xml:space="preserve"> </w:t>
      </w:r>
      <w:proofErr w:type="spellStart"/>
      <w:r w:rsidRPr="00B1089D">
        <w:t>been</w:t>
      </w:r>
      <w:proofErr w:type="spellEnd"/>
      <w:r w:rsidRPr="00B1089D">
        <w:t xml:space="preserve"> </w:t>
      </w:r>
      <w:proofErr w:type="spellStart"/>
      <w:r w:rsidRPr="00B1089D">
        <w:t>movies</w:t>
      </w:r>
      <w:proofErr w:type="spellEnd"/>
      <w:r w:rsidRPr="00B1089D">
        <w:t xml:space="preserve"> </w:t>
      </w:r>
      <w:proofErr w:type="spellStart"/>
      <w:r w:rsidRPr="00B1089D">
        <w:t>whose</w:t>
      </w:r>
      <w:proofErr w:type="spellEnd"/>
      <w:r w:rsidRPr="00B1089D">
        <w:t xml:space="preserve"> </w:t>
      </w:r>
      <w:proofErr w:type="spellStart"/>
      <w:r w:rsidRPr="00B1089D">
        <w:t>entire</w:t>
      </w:r>
      <w:proofErr w:type="spellEnd"/>
      <w:r w:rsidRPr="00B1089D">
        <w:t xml:space="preserve"> </w:t>
      </w:r>
      <w:proofErr w:type="spellStart"/>
      <w:r w:rsidRPr="00B1089D">
        <w:t>production</w:t>
      </w:r>
      <w:proofErr w:type="spellEnd"/>
      <w:r w:rsidRPr="00B1089D">
        <w:t xml:space="preserve"> </w:t>
      </w:r>
      <w:proofErr w:type="spellStart"/>
      <w:r w:rsidRPr="00B1089D">
        <w:t>process</w:t>
      </w:r>
      <w:proofErr w:type="spellEnd"/>
      <w:r w:rsidRPr="00B1089D">
        <w:t xml:space="preserve"> </w:t>
      </w:r>
      <w:proofErr w:type="spellStart"/>
      <w:r w:rsidRPr="00B1089D">
        <w:t>was</w:t>
      </w:r>
      <w:proofErr w:type="spellEnd"/>
      <w:r w:rsidRPr="00B1089D">
        <w:t xml:space="preserve"> </w:t>
      </w:r>
      <w:proofErr w:type="spellStart"/>
      <w:r w:rsidRPr="00B1089D">
        <w:t>completed</w:t>
      </w:r>
      <w:proofErr w:type="spellEnd"/>
      <w:r w:rsidRPr="00B1089D">
        <w:t xml:space="preserve"> </w:t>
      </w:r>
      <w:proofErr w:type="spellStart"/>
      <w:r w:rsidRPr="00B1089D">
        <w:t>with</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Therefore</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has </w:t>
      </w:r>
      <w:proofErr w:type="spellStart"/>
      <w:r w:rsidRPr="00B1089D">
        <w:t>the</w:t>
      </w:r>
      <w:proofErr w:type="spellEnd"/>
      <w:r w:rsidRPr="00B1089D">
        <w:t xml:space="preserve"> </w:t>
      </w:r>
      <w:proofErr w:type="spellStart"/>
      <w:r w:rsidRPr="00B1089D">
        <w:t>potential</w:t>
      </w:r>
      <w:proofErr w:type="spellEnd"/>
      <w:r w:rsidRPr="00B1089D">
        <w:t xml:space="preserve"> </w:t>
      </w:r>
      <w:proofErr w:type="spellStart"/>
      <w:r w:rsidRPr="00B1089D">
        <w:t>to</w:t>
      </w:r>
      <w:proofErr w:type="spellEnd"/>
      <w:r w:rsidRPr="00B1089D">
        <w:t xml:space="preserve"> </w:t>
      </w:r>
      <w:proofErr w:type="spellStart"/>
      <w:r w:rsidRPr="00B1089D">
        <w:t>transform</w:t>
      </w:r>
      <w:proofErr w:type="spellEnd"/>
      <w:r w:rsidRPr="00B1089D">
        <w:t xml:space="preserve"> </w:t>
      </w:r>
      <w:proofErr w:type="spellStart"/>
      <w:r w:rsidRPr="00B1089D">
        <w:t>and</w:t>
      </w:r>
      <w:proofErr w:type="spellEnd"/>
      <w:r w:rsidRPr="00B1089D">
        <w:t xml:space="preserve"> </w:t>
      </w:r>
      <w:proofErr w:type="spellStart"/>
      <w:r w:rsidRPr="00B1089D">
        <w:t>change</w:t>
      </w:r>
      <w:proofErr w:type="spellEnd"/>
      <w:r w:rsidRPr="00B1089D">
        <w:t xml:space="preserve"> </w:t>
      </w:r>
      <w:proofErr w:type="spellStart"/>
      <w:r w:rsidRPr="00B1089D">
        <w:t>the</w:t>
      </w:r>
      <w:proofErr w:type="spellEnd"/>
      <w:r w:rsidRPr="00B1089D">
        <w:t xml:space="preserve"> </w:t>
      </w:r>
      <w:proofErr w:type="spellStart"/>
      <w:r w:rsidRPr="00B1089D">
        <w:t>movie</w:t>
      </w:r>
      <w:proofErr w:type="spellEnd"/>
      <w:r w:rsidRPr="00B1089D">
        <w:t xml:space="preserve"> </w:t>
      </w:r>
      <w:proofErr w:type="spellStart"/>
      <w:r w:rsidRPr="00B1089D">
        <w:t>industry</w:t>
      </w:r>
      <w:proofErr w:type="spellEnd"/>
      <w:r w:rsidRPr="00B1089D">
        <w:t xml:space="preserve">. </w:t>
      </w:r>
      <w:proofErr w:type="spellStart"/>
      <w:r w:rsidRPr="00B1089D">
        <w:t>From</w:t>
      </w:r>
      <w:proofErr w:type="spellEnd"/>
      <w:r w:rsidRPr="00B1089D">
        <w:t xml:space="preserve"> </w:t>
      </w:r>
      <w:proofErr w:type="spellStart"/>
      <w:r w:rsidRPr="00B1089D">
        <w:t>this</w:t>
      </w:r>
      <w:proofErr w:type="spellEnd"/>
      <w:r w:rsidRPr="00B1089D">
        <w:t xml:space="preserve"> </w:t>
      </w:r>
      <w:proofErr w:type="spellStart"/>
      <w:r w:rsidRPr="00B1089D">
        <w:t>point</w:t>
      </w:r>
      <w:proofErr w:type="spellEnd"/>
      <w:r w:rsidRPr="00B1089D">
        <w:t xml:space="preserve"> of </w:t>
      </w:r>
      <w:proofErr w:type="spellStart"/>
      <w:r w:rsidRPr="00B1089D">
        <w:t>view</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discuss</w:t>
      </w:r>
      <w:proofErr w:type="spellEnd"/>
      <w:r w:rsidRPr="00B1089D">
        <w:t xml:space="preserve"> </w:t>
      </w:r>
      <w:proofErr w:type="spellStart"/>
      <w:r w:rsidRPr="00B1089D">
        <w:t>and</w:t>
      </w:r>
      <w:proofErr w:type="spellEnd"/>
      <w:r w:rsidRPr="00B1089D">
        <w:t xml:space="preserve"> </w:t>
      </w:r>
      <w:proofErr w:type="spellStart"/>
      <w:r w:rsidRPr="00B1089D">
        <w:t>evaluate</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w:t>
      </w:r>
      <w:proofErr w:type="spellStart"/>
      <w:r w:rsidRPr="00B1089D">
        <w:t>cinema</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first</w:t>
      </w:r>
      <w:proofErr w:type="spellEnd"/>
      <w:r w:rsidRPr="00B1089D">
        <w:t xml:space="preserve"> </w:t>
      </w:r>
      <w:proofErr w:type="spellStart"/>
      <w:r w:rsidRPr="00B1089D">
        <w:t>addresses</w:t>
      </w:r>
      <w:proofErr w:type="spellEnd"/>
      <w:r w:rsidRPr="00B1089D">
        <w:t xml:space="preserve"> </w:t>
      </w:r>
      <w:proofErr w:type="spellStart"/>
      <w:r w:rsidRPr="00B1089D">
        <w:t>the</w:t>
      </w:r>
      <w:proofErr w:type="spellEnd"/>
      <w:r w:rsidRPr="00B1089D">
        <w:t xml:space="preserve"> </w:t>
      </w:r>
      <w:proofErr w:type="spellStart"/>
      <w:r w:rsidRPr="00B1089D">
        <w:t>emergence</w:t>
      </w:r>
      <w:proofErr w:type="spellEnd"/>
      <w:r w:rsidRPr="00B1089D">
        <w:t xml:space="preserve">, </w:t>
      </w:r>
      <w:proofErr w:type="spellStart"/>
      <w:r w:rsidRPr="00B1089D">
        <w:t>development</w:t>
      </w:r>
      <w:proofErr w:type="spellEnd"/>
      <w:r w:rsidRPr="00B1089D">
        <w:t xml:space="preserve"> </w:t>
      </w:r>
      <w:proofErr w:type="spellStart"/>
      <w:r w:rsidRPr="00B1089D">
        <w:t>and</w:t>
      </w:r>
      <w:proofErr w:type="spellEnd"/>
      <w:r w:rsidRPr="00B1089D">
        <w:t xml:space="preserve"> </w:t>
      </w:r>
      <w:proofErr w:type="spellStart"/>
      <w:r w:rsidRPr="00B1089D">
        <w:t>application</w:t>
      </w:r>
      <w:proofErr w:type="spellEnd"/>
      <w:r w:rsidRPr="00B1089D">
        <w:t xml:space="preserve"> </w:t>
      </w:r>
      <w:proofErr w:type="spellStart"/>
      <w:r w:rsidRPr="00B1089D">
        <w:t>areas</w:t>
      </w:r>
      <w:proofErr w:type="spellEnd"/>
      <w:r w:rsidRPr="00B1089D">
        <w:t xml:space="preserve"> of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technology</w:t>
      </w:r>
      <w:proofErr w:type="spellEnd"/>
      <w:r w:rsidRPr="00B1089D">
        <w:t xml:space="preserve">. </w:t>
      </w:r>
      <w:proofErr w:type="spellStart"/>
      <w:r w:rsidRPr="00B1089D">
        <w:t>Then</w:t>
      </w:r>
      <w:proofErr w:type="spellEnd"/>
      <w:r w:rsidRPr="00B1089D">
        <w:t xml:space="preserve">, </w:t>
      </w:r>
      <w:proofErr w:type="spellStart"/>
      <w:r w:rsidRPr="00B1089D">
        <w:t>focusing</w:t>
      </w:r>
      <w:proofErr w:type="spellEnd"/>
      <w:r w:rsidRPr="00B1089D">
        <w:t xml:space="preserve"> on </w:t>
      </w:r>
      <w:proofErr w:type="spellStart"/>
      <w:r w:rsidRPr="00B1089D">
        <w:t>the</w:t>
      </w:r>
      <w:proofErr w:type="spellEnd"/>
      <w:r w:rsidRPr="00B1089D">
        <w:t xml:space="preserve"> </w:t>
      </w:r>
      <w:proofErr w:type="spellStart"/>
      <w:r w:rsidRPr="00B1089D">
        <w:t>use</w:t>
      </w:r>
      <w:proofErr w:type="spellEnd"/>
      <w:r w:rsidRPr="00B1089D">
        <w:t xml:space="preserve"> of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applications</w:t>
      </w:r>
      <w:proofErr w:type="spellEnd"/>
      <w:r w:rsidRPr="00B1089D">
        <w:t xml:space="preserve"> in </w:t>
      </w:r>
      <w:proofErr w:type="spellStart"/>
      <w:r w:rsidRPr="00B1089D">
        <w:t>cinema</w:t>
      </w:r>
      <w:proofErr w:type="spellEnd"/>
      <w:r w:rsidRPr="00B1089D">
        <w:t xml:space="preserve">, </w:t>
      </w:r>
      <w:proofErr w:type="spellStart"/>
      <w:r w:rsidRPr="00B1089D">
        <w:t>the</w:t>
      </w:r>
      <w:proofErr w:type="spellEnd"/>
      <w:r w:rsidRPr="00B1089D">
        <w:t xml:space="preserve"> 2024 film </w:t>
      </w:r>
      <w:proofErr w:type="spellStart"/>
      <w:r w:rsidRPr="00B1089D">
        <w:t>The</w:t>
      </w:r>
      <w:proofErr w:type="spellEnd"/>
      <w:r w:rsidRPr="00B1089D">
        <w:t xml:space="preserve"> </w:t>
      </w:r>
      <w:proofErr w:type="spellStart"/>
      <w:r w:rsidRPr="00B1089D">
        <w:t>Last</w:t>
      </w:r>
      <w:proofErr w:type="spellEnd"/>
      <w:r w:rsidRPr="00B1089D">
        <w:t xml:space="preserve"> </w:t>
      </w:r>
      <w:proofErr w:type="spellStart"/>
      <w:r w:rsidRPr="00B1089D">
        <w:t>Screenwriter</w:t>
      </w:r>
      <w:proofErr w:type="spellEnd"/>
      <w:r w:rsidRPr="00B1089D">
        <w:t xml:space="preserve">, </w:t>
      </w:r>
      <w:proofErr w:type="spellStart"/>
      <w:r w:rsidRPr="00B1089D">
        <w:t>whose</w:t>
      </w:r>
      <w:proofErr w:type="spellEnd"/>
      <w:r w:rsidRPr="00B1089D">
        <w:t xml:space="preserve"> </w:t>
      </w:r>
      <w:proofErr w:type="spellStart"/>
      <w:r w:rsidRPr="00B1089D">
        <w:t>script</w:t>
      </w:r>
      <w:proofErr w:type="spellEnd"/>
      <w:r w:rsidRPr="00B1089D">
        <w:t xml:space="preserve"> is </w:t>
      </w:r>
      <w:proofErr w:type="spellStart"/>
      <w:r w:rsidRPr="00B1089D">
        <w:t>written</w:t>
      </w:r>
      <w:proofErr w:type="spellEnd"/>
      <w:r w:rsidRPr="00B1089D">
        <w:t xml:space="preserve"> </w:t>
      </w:r>
      <w:proofErr w:type="spellStart"/>
      <w:r w:rsidRPr="00B1089D">
        <w:t>by</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w:t>
      </w:r>
      <w:proofErr w:type="spellStart"/>
      <w:r w:rsidRPr="00B1089D">
        <w:t>also</w:t>
      </w:r>
      <w:proofErr w:type="spellEnd"/>
      <w:r w:rsidRPr="00B1089D">
        <w:t xml:space="preserve"> </w:t>
      </w:r>
      <w:proofErr w:type="spellStart"/>
      <w:r w:rsidRPr="00B1089D">
        <w:t>focuses</w:t>
      </w:r>
      <w:proofErr w:type="spellEnd"/>
      <w:r w:rsidRPr="00B1089D">
        <w:t xml:space="preserve"> on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a </w:t>
      </w:r>
      <w:proofErr w:type="spellStart"/>
      <w:r w:rsidRPr="00B1089D">
        <w:t>screenwriter</w:t>
      </w:r>
      <w:proofErr w:type="spellEnd"/>
      <w:r w:rsidRPr="00B1089D">
        <w:t xml:space="preserve">, is </w:t>
      </w:r>
      <w:proofErr w:type="spellStart"/>
      <w:r w:rsidRPr="00B1089D">
        <w:t>examined</w:t>
      </w:r>
      <w:proofErr w:type="spellEnd"/>
      <w:r w:rsidRPr="00B1089D">
        <w:t xml:space="preserve"> </w:t>
      </w:r>
      <w:proofErr w:type="spellStart"/>
      <w:r w:rsidRPr="00B1089D">
        <w:t>with</w:t>
      </w:r>
      <w:proofErr w:type="spellEnd"/>
      <w:r w:rsidRPr="00B1089D">
        <w:t xml:space="preserve"> a </w:t>
      </w:r>
      <w:proofErr w:type="spellStart"/>
      <w:r w:rsidRPr="00B1089D">
        <w:t>descriptive</w:t>
      </w:r>
      <w:proofErr w:type="spellEnd"/>
      <w:r w:rsidRPr="00B1089D">
        <w:t xml:space="preserve"> </w:t>
      </w:r>
      <w:proofErr w:type="spellStart"/>
      <w:r w:rsidRPr="00B1089D">
        <w:t>analysis</w:t>
      </w:r>
      <w:proofErr w:type="spellEnd"/>
      <w:r w:rsidRPr="00B1089D">
        <w:t xml:space="preserve"> </w:t>
      </w:r>
      <w:proofErr w:type="spellStart"/>
      <w:r w:rsidRPr="00B1089D">
        <w:t>approach</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framework</w:t>
      </w:r>
      <w:proofErr w:type="spellEnd"/>
      <w:r w:rsidRPr="00B1089D">
        <w:t xml:space="preserve">, </w:t>
      </w:r>
      <w:proofErr w:type="spellStart"/>
      <w:r w:rsidRPr="00B1089D">
        <w:t>the</w:t>
      </w:r>
      <w:proofErr w:type="spellEnd"/>
      <w:r w:rsidRPr="00B1089D">
        <w:t xml:space="preserve"> film is </w:t>
      </w:r>
      <w:proofErr w:type="spellStart"/>
      <w:r w:rsidRPr="00B1089D">
        <w:t>discussed</w:t>
      </w:r>
      <w:proofErr w:type="spellEnd"/>
      <w:r w:rsidRPr="00B1089D">
        <w:t xml:space="preserve"> </w:t>
      </w:r>
      <w:proofErr w:type="spellStart"/>
      <w:r w:rsidRPr="00B1089D">
        <w:t>within</w:t>
      </w:r>
      <w:proofErr w:type="spellEnd"/>
      <w:r w:rsidRPr="00B1089D">
        <w:t xml:space="preserve"> </w:t>
      </w:r>
      <w:proofErr w:type="spellStart"/>
      <w:r w:rsidRPr="00B1089D">
        <w:t>the</w:t>
      </w:r>
      <w:proofErr w:type="spellEnd"/>
      <w:r w:rsidRPr="00B1089D">
        <w:t xml:space="preserve"> </w:t>
      </w:r>
      <w:proofErr w:type="spellStart"/>
      <w:r w:rsidRPr="00B1089D">
        <w:t>framework</w:t>
      </w:r>
      <w:proofErr w:type="spellEnd"/>
      <w:r w:rsidRPr="00B1089D">
        <w:t xml:space="preserve"> of </w:t>
      </w:r>
      <w:proofErr w:type="spellStart"/>
      <w:r w:rsidRPr="00B1089D">
        <w:t>the</w:t>
      </w:r>
      <w:proofErr w:type="spellEnd"/>
      <w:r w:rsidRPr="00B1089D">
        <w:t xml:space="preserve"> </w:t>
      </w:r>
      <w:proofErr w:type="spellStart"/>
      <w:r w:rsidRPr="00B1089D">
        <w:t>themes</w:t>
      </w:r>
      <w:proofErr w:type="spellEnd"/>
      <w:r w:rsidRPr="00B1089D">
        <w:t xml:space="preserve"> of </w:t>
      </w:r>
      <w:proofErr w:type="spellStart"/>
      <w:r w:rsidRPr="00B1089D">
        <w:t>cinema</w:t>
      </w:r>
      <w:proofErr w:type="spellEnd"/>
      <w:r w:rsidRPr="00B1089D">
        <w:t xml:space="preserve"> </w:t>
      </w:r>
      <w:proofErr w:type="spellStart"/>
      <w:r w:rsidRPr="00B1089D">
        <w:t>and</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w:t>
      </w:r>
      <w:proofErr w:type="spellStart"/>
      <w:r w:rsidRPr="00B1089D">
        <w:t>transformation</w:t>
      </w:r>
      <w:proofErr w:type="spellEnd"/>
      <w:r w:rsidRPr="00B1089D">
        <w:t xml:space="preserve"> of </w:t>
      </w:r>
      <w:proofErr w:type="spellStart"/>
      <w:r w:rsidRPr="00B1089D">
        <w:t>characters</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w:t>
      </w:r>
      <w:proofErr w:type="spellStart"/>
      <w:r w:rsidRPr="00B1089D">
        <w:t>storytelling</w:t>
      </w:r>
      <w:proofErr w:type="spellEnd"/>
      <w:r w:rsidRPr="00B1089D">
        <w:t xml:space="preserve">. </w:t>
      </w:r>
      <w:proofErr w:type="spellStart"/>
      <w:r w:rsidRPr="00B1089D">
        <w:t>In</w:t>
      </w:r>
      <w:proofErr w:type="spellEnd"/>
      <w:r w:rsidRPr="00B1089D">
        <w:t xml:space="preserve"> </w:t>
      </w:r>
      <w:proofErr w:type="spellStart"/>
      <w:r w:rsidRPr="00B1089D">
        <w:t>the</w:t>
      </w:r>
      <w:proofErr w:type="spellEnd"/>
      <w:r w:rsidRPr="00B1089D">
        <w:t xml:space="preserve"> </w:t>
      </w:r>
      <w:proofErr w:type="spellStart"/>
      <w:r w:rsidRPr="00B1089D">
        <w:t>light</w:t>
      </w:r>
      <w:proofErr w:type="spellEnd"/>
      <w:r w:rsidRPr="00B1089D">
        <w:t xml:space="preserve"> of </w:t>
      </w:r>
      <w:proofErr w:type="spellStart"/>
      <w:r w:rsidRPr="00B1089D">
        <w:t>these</w:t>
      </w:r>
      <w:proofErr w:type="spellEnd"/>
      <w:r w:rsidRPr="00B1089D">
        <w:t xml:space="preserve"> </w:t>
      </w:r>
      <w:proofErr w:type="spellStart"/>
      <w:r w:rsidRPr="00B1089D">
        <w:t>themes</w:t>
      </w:r>
      <w:proofErr w:type="spellEnd"/>
      <w:r w:rsidRPr="00B1089D">
        <w:t xml:space="preserve">, </w:t>
      </w:r>
      <w:proofErr w:type="spellStart"/>
      <w:r w:rsidRPr="00B1089D">
        <w:t>we</w:t>
      </w:r>
      <w:proofErr w:type="spellEnd"/>
      <w:r w:rsidRPr="00B1089D">
        <w:t xml:space="preserve"> </w:t>
      </w:r>
      <w:proofErr w:type="spellStart"/>
      <w:r w:rsidRPr="00B1089D">
        <w:t>focus</w:t>
      </w:r>
      <w:proofErr w:type="spellEnd"/>
      <w:r w:rsidRPr="00B1089D">
        <w:t xml:space="preserve"> on </w:t>
      </w:r>
      <w:proofErr w:type="spellStart"/>
      <w:r w:rsidRPr="00B1089D">
        <w:t>the</w:t>
      </w:r>
      <w:proofErr w:type="spellEnd"/>
      <w:r w:rsidRPr="00B1089D">
        <w:t xml:space="preserve"> </w:t>
      </w:r>
      <w:proofErr w:type="spellStart"/>
      <w:r w:rsidRPr="00B1089D">
        <w:lastRenderedPageBreak/>
        <w:t>relationship</w:t>
      </w:r>
      <w:proofErr w:type="spellEnd"/>
      <w:r w:rsidRPr="00B1089D">
        <w:t xml:space="preserve"> </w:t>
      </w:r>
      <w:proofErr w:type="spellStart"/>
      <w:r w:rsidRPr="00B1089D">
        <w:t>between</w:t>
      </w:r>
      <w:proofErr w:type="spellEnd"/>
      <w:r w:rsidRPr="00B1089D">
        <w:t xml:space="preserve"> </w:t>
      </w:r>
      <w:proofErr w:type="spellStart"/>
      <w:r w:rsidRPr="00B1089D">
        <w:t>cinema</w:t>
      </w:r>
      <w:proofErr w:type="spellEnd"/>
      <w:r w:rsidRPr="00B1089D">
        <w:t xml:space="preserve"> </w:t>
      </w:r>
      <w:proofErr w:type="spellStart"/>
      <w:r w:rsidRPr="00B1089D">
        <w:t>and</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a </w:t>
      </w:r>
      <w:proofErr w:type="spellStart"/>
      <w:r w:rsidRPr="00B1089D">
        <w:t>screenwriter's</w:t>
      </w:r>
      <w:proofErr w:type="spellEnd"/>
      <w:r w:rsidRPr="00B1089D">
        <w:t xml:space="preserve"> </w:t>
      </w:r>
      <w:proofErr w:type="spellStart"/>
      <w:r w:rsidRPr="00B1089D">
        <w:t>connection</w:t>
      </w:r>
      <w:proofErr w:type="spellEnd"/>
      <w:r w:rsidRPr="00B1089D">
        <w:t xml:space="preserve"> </w:t>
      </w:r>
      <w:proofErr w:type="spellStart"/>
      <w:r w:rsidRPr="00B1089D">
        <w:t>with</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and</w:t>
      </w:r>
      <w:proofErr w:type="spellEnd"/>
      <w:r w:rsidRPr="00B1089D">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as a </w:t>
      </w:r>
      <w:proofErr w:type="spellStart"/>
      <w:r w:rsidRPr="00B1089D">
        <w:t>storyteller</w:t>
      </w:r>
      <w:proofErr w:type="spellEnd"/>
      <w:r w:rsidRPr="00B1089D">
        <w:t>.</w:t>
      </w:r>
    </w:p>
    <w:p w14:paraId="11382636" w14:textId="77777777" w:rsidR="00FA457D" w:rsidRPr="00B1089D" w:rsidRDefault="00FA457D" w:rsidP="007A647E">
      <w:pPr>
        <w:widowControl/>
        <w:jc w:val="both"/>
      </w:pPr>
    </w:p>
    <w:p w14:paraId="321EA0D0" w14:textId="77777777" w:rsidR="00FA457D" w:rsidRDefault="00FA457D" w:rsidP="007A647E">
      <w:pPr>
        <w:widowControl/>
        <w:jc w:val="both"/>
      </w:pPr>
      <w:proofErr w:type="spellStart"/>
      <w:r w:rsidRPr="00D10870">
        <w:rPr>
          <w:b/>
          <w:bCs/>
        </w:rPr>
        <w:t>Keywords</w:t>
      </w:r>
      <w:proofErr w:type="spellEnd"/>
      <w:r w:rsidRPr="00B1089D">
        <w:rPr>
          <w:b/>
          <w:bCs/>
        </w:rPr>
        <w:t xml:space="preserve">: </w:t>
      </w:r>
      <w:proofErr w:type="spellStart"/>
      <w:r w:rsidRPr="00B1089D">
        <w:t>Artificial</w:t>
      </w:r>
      <w:proofErr w:type="spellEnd"/>
      <w:r w:rsidRPr="00B1089D">
        <w:t xml:space="preserve"> </w:t>
      </w:r>
      <w:proofErr w:type="spellStart"/>
      <w:r w:rsidRPr="00B1089D">
        <w:t>Intelligence</w:t>
      </w:r>
      <w:proofErr w:type="spellEnd"/>
      <w:r w:rsidRPr="00B1089D">
        <w:t xml:space="preserve">, </w:t>
      </w:r>
      <w:proofErr w:type="spellStart"/>
      <w:r w:rsidRPr="00B1089D">
        <w:t>Cinema</w:t>
      </w:r>
      <w:proofErr w:type="spellEnd"/>
      <w:r w:rsidRPr="00B1089D">
        <w:t xml:space="preserve">, </w:t>
      </w:r>
      <w:proofErr w:type="spellStart"/>
      <w:r w:rsidRPr="00B1089D">
        <w:t>The</w:t>
      </w:r>
      <w:proofErr w:type="spellEnd"/>
      <w:r w:rsidRPr="00B1089D">
        <w:t xml:space="preserve"> </w:t>
      </w:r>
      <w:proofErr w:type="spellStart"/>
      <w:r w:rsidRPr="00B1089D">
        <w:t>Last</w:t>
      </w:r>
      <w:proofErr w:type="spellEnd"/>
      <w:r w:rsidRPr="00B1089D">
        <w:t xml:space="preserve"> </w:t>
      </w:r>
      <w:proofErr w:type="spellStart"/>
      <w:r w:rsidRPr="00B1089D">
        <w:t>Screenwriter</w:t>
      </w:r>
      <w:proofErr w:type="spellEnd"/>
    </w:p>
    <w:p w14:paraId="5C0C1212" w14:textId="77777777" w:rsidR="00FA457D" w:rsidRDefault="00FA457D" w:rsidP="007A647E">
      <w:pPr>
        <w:widowControl/>
        <w:jc w:val="both"/>
      </w:pPr>
    </w:p>
    <w:p w14:paraId="561E1374" w14:textId="77777777" w:rsidR="00FA457D" w:rsidRDefault="00FA457D" w:rsidP="007A647E">
      <w:pPr>
        <w:jc w:val="both"/>
        <w:rPr>
          <w:b/>
          <w:bCs/>
        </w:rPr>
      </w:pPr>
      <w:r w:rsidRPr="00F0098E">
        <w:rPr>
          <w:b/>
          <w:bCs/>
        </w:rPr>
        <w:t>GİRİŞ</w:t>
      </w:r>
    </w:p>
    <w:p w14:paraId="5ADD3DF4" w14:textId="75610D9E" w:rsidR="00FA457D" w:rsidRPr="000E3DBD" w:rsidRDefault="00FA457D" w:rsidP="007A647E">
      <w:pPr>
        <w:jc w:val="both"/>
        <w:rPr>
          <w:b/>
          <w:bCs/>
        </w:rPr>
      </w:pPr>
      <w:r>
        <w:t xml:space="preserve">Yapay zekâ teknolojisi, tüm alanlarda olduğu gibi sinema endüstrisinde de etkisini giderek arttırmaktadır. Yapay zekâdan yararlanılarak gerçekçi mekânlar, karakterler ile sahneler tasarlanmakta, robot kameralar yardımıyla etkili çekimler yapılabilmekte, fragman ve sahne kurguları gerçekleştirilebilmektedir. Bugün Hollywood’da Warner </w:t>
      </w:r>
      <w:proofErr w:type="spellStart"/>
      <w:r>
        <w:t>Bros</w:t>
      </w:r>
      <w:proofErr w:type="spellEnd"/>
      <w:r>
        <w:t>. Entertainment ve 20th Century Fox gibi film yapım şirketleri, senaryoların tutup tutmayacağına dair analizler gerçekleştiren yapay zekâ uygulamalarını kullanmaktadır. Ayrıca senaryo yazımı konusunda da yapay zekâdan istifade eden film yapımcıları ve yönetmenleri, öyküsü yapay zekâ tarafından yazılan filmler çekmeye başlamıştır.</w:t>
      </w:r>
    </w:p>
    <w:p w14:paraId="749E9A4C" w14:textId="77777777" w:rsidR="00FA457D" w:rsidRDefault="00FA457D" w:rsidP="007A647E">
      <w:pPr>
        <w:spacing w:before="120" w:after="120"/>
        <w:jc w:val="both"/>
      </w:pPr>
      <w:r>
        <w:t xml:space="preserve">Buradan hareketle bu çalışmanın amacını; yapay zekâ ve sinema ilişkisini değerlendirmek ve anlatıcı bağlamında öznenin rolünün nereye doğru evrilmekte olduğunun tartışılması oluşturmaktadır. Bu çerçevede çalışma, sinemada yapay zekâ sürecine odaklanarak senaryosu </w:t>
      </w:r>
      <w:proofErr w:type="spellStart"/>
      <w:r>
        <w:t>ChatGPT</w:t>
      </w:r>
      <w:proofErr w:type="spellEnd"/>
      <w:r>
        <w:t xml:space="preserve"> tarafından yazılan 2024 yapımı </w:t>
      </w:r>
      <w:proofErr w:type="spellStart"/>
      <w:r>
        <w:t>The</w:t>
      </w:r>
      <w:proofErr w:type="spellEnd"/>
      <w:r>
        <w:t xml:space="preserve"> </w:t>
      </w:r>
      <w:proofErr w:type="spellStart"/>
      <w:r>
        <w:t>Last</w:t>
      </w:r>
      <w:proofErr w:type="spellEnd"/>
      <w:r>
        <w:t xml:space="preserve"> </w:t>
      </w:r>
      <w:proofErr w:type="spellStart"/>
      <w:r>
        <w:t>Screenwriter</w:t>
      </w:r>
      <w:proofErr w:type="spellEnd"/>
      <w:r>
        <w:t xml:space="preserve"> filmini incelemektedir.</w:t>
      </w:r>
    </w:p>
    <w:p w14:paraId="03923B97" w14:textId="275463AE" w:rsidR="00FA457D" w:rsidRDefault="00FA457D" w:rsidP="007A647E">
      <w:pPr>
        <w:spacing w:before="120" w:after="120"/>
        <w:jc w:val="both"/>
      </w:pPr>
      <w:r>
        <w:t xml:space="preserve">Çalışmada öncelikle, bir süreç ve olgu olarak yapay zekâ ele alınmaktadır. Akabinde, sinemada yapay zekânın kullanılmasına yönelik pratiklere değinilerek </w:t>
      </w:r>
      <w:proofErr w:type="spellStart"/>
      <w:r>
        <w:t>The</w:t>
      </w:r>
      <w:proofErr w:type="spellEnd"/>
      <w:r>
        <w:t xml:space="preserve"> </w:t>
      </w:r>
      <w:proofErr w:type="spellStart"/>
      <w:r>
        <w:t>Last</w:t>
      </w:r>
      <w:proofErr w:type="spellEnd"/>
      <w:r>
        <w:t xml:space="preserve"> </w:t>
      </w:r>
      <w:proofErr w:type="spellStart"/>
      <w:r>
        <w:t>Screenwriter</w:t>
      </w:r>
      <w:proofErr w:type="spellEnd"/>
      <w:r>
        <w:t xml:space="preserve"> filmi betimsel analiz yöntemiyle incelenmektedir. Bu kapsamda; </w:t>
      </w:r>
      <w:r w:rsidRPr="00DB194D">
        <w:rPr>
          <w:i/>
          <w:iCs/>
        </w:rPr>
        <w:t>sinema ve yapay zekâ</w:t>
      </w:r>
      <w:r>
        <w:t xml:space="preserve">, </w:t>
      </w:r>
      <w:r w:rsidRPr="00DB194D">
        <w:rPr>
          <w:i/>
          <w:iCs/>
        </w:rPr>
        <w:t>yapay zekâ ve karakterlerin dönüşümü</w:t>
      </w:r>
      <w:r>
        <w:t xml:space="preserve">, </w:t>
      </w:r>
      <w:r w:rsidRPr="00DB194D">
        <w:rPr>
          <w:i/>
          <w:iCs/>
        </w:rPr>
        <w:t>yapay zekâ ve hikâye anlatıcılığı</w:t>
      </w:r>
      <w:r>
        <w:t xml:space="preserve"> temaları belirlenerek filmin bu temalara karşılık gelen sahneleri örneklendirilerek değerlendirilmektedir.</w:t>
      </w:r>
    </w:p>
    <w:p w14:paraId="1C04CB93" w14:textId="77777777" w:rsidR="00FA457D" w:rsidRDefault="00FA457D">
      <w:pPr>
        <w:pStyle w:val="ListeParagraf"/>
        <w:widowControl/>
        <w:numPr>
          <w:ilvl w:val="0"/>
          <w:numId w:val="35"/>
        </w:numPr>
        <w:autoSpaceDE/>
        <w:autoSpaceDN/>
        <w:ind w:left="357" w:hanging="357"/>
        <w:jc w:val="both"/>
        <w:rPr>
          <w:b/>
          <w:bCs/>
        </w:rPr>
      </w:pPr>
      <w:r w:rsidRPr="0011648B">
        <w:rPr>
          <w:b/>
          <w:bCs/>
        </w:rPr>
        <w:t>TEORİK ÇERÇEVE</w:t>
      </w:r>
    </w:p>
    <w:p w14:paraId="7F029752" w14:textId="6B80D8A9" w:rsidR="00FA457D" w:rsidRPr="000E3DBD" w:rsidRDefault="00FA457D" w:rsidP="008003D6">
      <w:pPr>
        <w:spacing w:after="120"/>
        <w:jc w:val="both"/>
        <w:rPr>
          <w:b/>
          <w:bCs/>
        </w:rPr>
      </w:pPr>
      <w:r w:rsidRPr="000E3DBD">
        <w:t>Bu başlık altında çalışmanın teorik çerçevesi yer almaktadır. Bu bağlamda öncelikle bir olgu ve kavram olarak yapay zekâ ele alınmaktadır. Ardından ise, sinemada yapay zekânın nasıl kullanıldığı değerlendirilmektedir.</w:t>
      </w:r>
    </w:p>
    <w:p w14:paraId="21742B96" w14:textId="77777777" w:rsidR="00FA457D" w:rsidRPr="0011648B" w:rsidRDefault="00FA457D" w:rsidP="008003D6">
      <w:pPr>
        <w:jc w:val="both"/>
        <w:rPr>
          <w:b/>
          <w:bCs/>
        </w:rPr>
      </w:pPr>
      <w:r>
        <w:rPr>
          <w:b/>
          <w:bCs/>
        </w:rPr>
        <w:t xml:space="preserve">1.1. </w:t>
      </w:r>
      <w:r w:rsidRPr="0011648B">
        <w:rPr>
          <w:b/>
          <w:bCs/>
        </w:rPr>
        <w:t>Yapay Zekâ</w:t>
      </w:r>
    </w:p>
    <w:p w14:paraId="00B8EAA5" w14:textId="4904AC0D" w:rsidR="00FA457D" w:rsidRDefault="00FA457D" w:rsidP="008003D6">
      <w:pPr>
        <w:spacing w:after="120"/>
        <w:jc w:val="both"/>
      </w:pPr>
      <w:r w:rsidRPr="00FE5BB2">
        <w:t xml:space="preserve">Yapay zekâ; bilgiye hızla ulaşan, </w:t>
      </w:r>
      <w:r>
        <w:t>ulaştığı bilgilerden</w:t>
      </w:r>
      <w:r w:rsidRPr="00FE5BB2">
        <w:t xml:space="preserve"> bir kolaj yaparak konuyla ilgili tespitler ve görüşler sunan, fotoğraf tasarlayan, görüntüler oluşturan, çeviriler yapabilen, sesli komutlarla süreçleri ve durumları asiste eden ve buna benzer birçok pratiği eyleyen teknolojik bir gelişme olarak dikkat çekmektedir.</w:t>
      </w:r>
      <w:r>
        <w:t xml:space="preserve"> </w:t>
      </w:r>
      <w:proofErr w:type="spellStart"/>
      <w:r>
        <w:t>Britannica’ya</w:t>
      </w:r>
      <w:proofErr w:type="spellEnd"/>
      <w:r>
        <w:t xml:space="preserve"> göre (2024) yapay zekâ, bir bilgisayarın veya bilgisayar temelli çalışan bir robotun akıl sahibi varlıklarla bütünleşmiş faaliyetleri yapabilme ve becerebilme yeteneği olarak değerlendirilmektedir. </w:t>
      </w:r>
      <w:r w:rsidRPr="000564F3">
        <w:t>Yapay zek</w:t>
      </w:r>
      <w:r>
        <w:t xml:space="preserve">â alanında gerçekleştirdiği çalışmalarla bilinen </w:t>
      </w:r>
      <w:proofErr w:type="spellStart"/>
      <w:r w:rsidRPr="000564F3">
        <w:t>Marvin</w:t>
      </w:r>
      <w:proofErr w:type="spellEnd"/>
      <w:r w:rsidRPr="000564F3">
        <w:t xml:space="preserve"> </w:t>
      </w:r>
      <w:proofErr w:type="spellStart"/>
      <w:r w:rsidRPr="000564F3">
        <w:t>Min</w:t>
      </w:r>
      <w:r>
        <w:t>s</w:t>
      </w:r>
      <w:r w:rsidRPr="000564F3">
        <w:t>ky</w:t>
      </w:r>
      <w:proofErr w:type="spellEnd"/>
      <w:r w:rsidRPr="000564F3">
        <w:t>, yapay zek</w:t>
      </w:r>
      <w:r>
        <w:t>âyı, insan zekâsı</w:t>
      </w:r>
      <w:r w:rsidRPr="000564F3">
        <w:t xml:space="preserve"> gerektiren </w:t>
      </w:r>
      <w:r>
        <w:t>işleri makinelerin</w:t>
      </w:r>
      <w:r w:rsidRPr="000564F3">
        <w:t xml:space="preserve"> yapmasını sağlamak olarak </w:t>
      </w:r>
      <w:r>
        <w:t>ele almıştır. Dolayısıyla y</w:t>
      </w:r>
      <w:r w:rsidRPr="000564F3">
        <w:t>apay zek</w:t>
      </w:r>
      <w:r>
        <w:t>â,</w:t>
      </w:r>
      <w:r w:rsidRPr="000564F3">
        <w:t xml:space="preserve"> </w:t>
      </w:r>
      <w:r>
        <w:t>öğrenme, problem çözme ve etkileşim kurma gibi genellikle insanlarla ilişkilendirilen zihinsel pratikleri yapabilen makineler olarak tanımlanabilir (</w:t>
      </w:r>
      <w:r w:rsidRPr="00650936">
        <w:t>Jiang vd., 2022</w:t>
      </w:r>
      <w:r>
        <w:t xml:space="preserve">; </w:t>
      </w:r>
      <w:proofErr w:type="spellStart"/>
      <w:r>
        <w:t>Gursoy</w:t>
      </w:r>
      <w:proofErr w:type="spellEnd"/>
      <w:r>
        <w:t xml:space="preserve"> &amp; </w:t>
      </w:r>
      <w:proofErr w:type="spellStart"/>
      <w:r>
        <w:t>Cai</w:t>
      </w:r>
      <w:proofErr w:type="spellEnd"/>
      <w:r>
        <w:t>, 2025: 1).</w:t>
      </w:r>
    </w:p>
    <w:p w14:paraId="510E648D" w14:textId="534954D9" w:rsidR="00FA457D" w:rsidRDefault="00FA457D" w:rsidP="00FA457D">
      <w:pPr>
        <w:spacing w:before="120" w:after="120"/>
        <w:jc w:val="both"/>
      </w:pPr>
      <w:r>
        <w:t xml:space="preserve">Yapay zekânın gelişiminde, </w:t>
      </w:r>
      <w:r w:rsidRPr="00650936">
        <w:t>1936</w:t>
      </w:r>
      <w:r>
        <w:t xml:space="preserve">’da </w:t>
      </w:r>
      <w:r w:rsidRPr="00650936">
        <w:t>Alan Turing</w:t>
      </w:r>
      <w:r>
        <w:t>’in</w:t>
      </w:r>
      <w:r w:rsidRPr="00650936">
        <w:t xml:space="preserve"> yeni nesil elektronik bilgisayarların teorik anlamda temelini oluşturan ideal bir bilgisayarın matematiksel modelini öner</w:t>
      </w:r>
      <w:r>
        <w:t>mesi önemli bir adım olmuştur. Sonrasında,</w:t>
      </w:r>
      <w:r w:rsidRPr="00650936">
        <w:t xml:space="preserve"> </w:t>
      </w:r>
      <w:proofErr w:type="spellStart"/>
      <w:r w:rsidRPr="00650936">
        <w:t>Nörofizyologlar</w:t>
      </w:r>
      <w:proofErr w:type="spellEnd"/>
      <w:r w:rsidRPr="00650936">
        <w:t xml:space="preserve"> W. </w:t>
      </w:r>
      <w:proofErr w:type="spellStart"/>
      <w:r w:rsidRPr="00650936">
        <w:t>McCulloch</w:t>
      </w:r>
      <w:proofErr w:type="spellEnd"/>
      <w:r w:rsidRPr="00650936">
        <w:t xml:space="preserve"> ve W. </w:t>
      </w:r>
      <w:proofErr w:type="spellStart"/>
      <w:r w:rsidRPr="00650936">
        <w:t>Pitts</w:t>
      </w:r>
      <w:proofErr w:type="spellEnd"/>
      <w:r>
        <w:t>, M-P adındaki</w:t>
      </w:r>
      <w:r w:rsidRPr="00650936">
        <w:t xml:space="preserve"> ilk sinir ağı modelini inşa etmiştir</w:t>
      </w:r>
      <w:r>
        <w:t>. Bu model</w:t>
      </w:r>
      <w:r w:rsidRPr="00650936">
        <w:t xml:space="preserve">, </w:t>
      </w:r>
      <w:r>
        <w:t>biyolojik</w:t>
      </w:r>
      <w:r w:rsidRPr="00650936">
        <w:t xml:space="preserve"> nöronların </w:t>
      </w:r>
      <w:r>
        <w:t xml:space="preserve">yapısını ve çalışma biçimini taklit etmek için geliştirilmiştir. 1949’da ise </w:t>
      </w:r>
      <w:proofErr w:type="spellStart"/>
      <w:r>
        <w:t>Hebb</w:t>
      </w:r>
      <w:proofErr w:type="spellEnd"/>
      <w:r>
        <w:t>, nöropsikolojiden el alan öğrenme mekanizmasını önermiştir. İnsan biliş sürecine çok benzeyen “</w:t>
      </w:r>
      <w:proofErr w:type="spellStart"/>
      <w:r>
        <w:t>Hebb</w:t>
      </w:r>
      <w:proofErr w:type="spellEnd"/>
      <w:r>
        <w:t xml:space="preserve"> öğrenme kuralı”, verileri benzerliklerine göre </w:t>
      </w:r>
      <w:proofErr w:type="spellStart"/>
      <w:r>
        <w:t>kategorilendirebilen</w:t>
      </w:r>
      <w:proofErr w:type="spellEnd"/>
      <w:r>
        <w:t xml:space="preserve"> ve eğitim setlerinin istatistiksel niteliklerini ortaya koyabilen </w:t>
      </w:r>
      <w:r>
        <w:lastRenderedPageBreak/>
        <w:t xml:space="preserve">denetimsiz bir öğrenme pratiğidir </w:t>
      </w:r>
      <w:r w:rsidRPr="00650936">
        <w:t>(Jiang vd., 2022).</w:t>
      </w:r>
    </w:p>
    <w:p w14:paraId="3034604C" w14:textId="3F48F8C6" w:rsidR="00FA457D" w:rsidRDefault="00FA457D" w:rsidP="00FA457D">
      <w:pPr>
        <w:spacing w:before="120" w:after="120"/>
        <w:jc w:val="both"/>
      </w:pPr>
      <w:r w:rsidRPr="00650936">
        <w:t>Bu gelişmelerin ışığında</w:t>
      </w:r>
      <w:r>
        <w:t>,</w:t>
      </w:r>
      <w:r w:rsidRPr="00650936">
        <w:t xml:space="preserve"> </w:t>
      </w:r>
      <w:r>
        <w:t xml:space="preserve">yapay zekâ ekseninde </w:t>
      </w:r>
      <w:r w:rsidRPr="00650936">
        <w:t xml:space="preserve">1950 ile 1980 yılları arasında </w:t>
      </w:r>
      <w:r>
        <w:t xml:space="preserve">önemli sıçramalar gerçekleşmiştir. Örneğin, 1956 yılında </w:t>
      </w:r>
      <w:proofErr w:type="spellStart"/>
      <w:r w:rsidRPr="00650936">
        <w:t>Dartmouth’da</w:t>
      </w:r>
      <w:proofErr w:type="spellEnd"/>
      <w:r w:rsidRPr="00650936">
        <w:t xml:space="preserve"> </w:t>
      </w:r>
      <w:proofErr w:type="spellStart"/>
      <w:r w:rsidRPr="00650936">
        <w:t>düzenlenen</w:t>
      </w:r>
      <w:proofErr w:type="spellEnd"/>
      <w:r w:rsidRPr="00650936">
        <w:t xml:space="preserve"> bir </w:t>
      </w:r>
      <w:proofErr w:type="spellStart"/>
      <w:r w:rsidRPr="00650936">
        <w:t>çalıştayda</w:t>
      </w:r>
      <w:proofErr w:type="spellEnd"/>
      <w:r>
        <w:t xml:space="preserve"> McCarthy tarafından ilk defa yapay zekâ sözcüğü kullanılmıştır. </w:t>
      </w:r>
      <w:r w:rsidRPr="00650936">
        <w:t xml:space="preserve"> </w:t>
      </w:r>
      <w:r>
        <w:t xml:space="preserve">Yine McCarthy 1958 yılında ise yapay zekâ araştırması kapsamında kullanılacak olan ilk programlama dili </w:t>
      </w:r>
      <w:proofErr w:type="spellStart"/>
      <w:r>
        <w:t>LISP’i</w:t>
      </w:r>
      <w:proofErr w:type="spellEnd"/>
      <w:r>
        <w:t xml:space="preserve"> geliştirmiştir. </w:t>
      </w:r>
      <w:proofErr w:type="spellStart"/>
      <w:r>
        <w:t>Weizenbaum</w:t>
      </w:r>
      <w:proofErr w:type="spellEnd"/>
      <w:r>
        <w:t>, 1966’da insanlarla diyalog kurabilen ELIZA adındaki sanal psikoterapist uygulamasını tasarlamıştır. 1979 yılında ise, Amerikan Yapay Zekâ Derneği (AAAI) kurulmuştur (Kopar, 2023).</w:t>
      </w:r>
    </w:p>
    <w:p w14:paraId="645F1834" w14:textId="6D7CAC01" w:rsidR="00FA457D" w:rsidRPr="00D00F0A" w:rsidRDefault="00FA457D" w:rsidP="00FA457D">
      <w:pPr>
        <w:spacing w:before="120" w:after="120"/>
        <w:jc w:val="both"/>
        <w:rPr>
          <w:b/>
          <w:bCs/>
        </w:rPr>
      </w:pPr>
      <w:r>
        <w:t xml:space="preserve">1980’ler yapay zekâ kışı olarak isimlendirilmiştir. Çünkü bu dönemde yapay zekâ uygulamalarının geliştirilmesine yönelik ilgi kaybolmuştur. Ancak 1997 yılında IBM tarafından geliştirilen </w:t>
      </w:r>
      <w:proofErr w:type="spellStart"/>
      <w:r>
        <w:t>Deep</w:t>
      </w:r>
      <w:proofErr w:type="spellEnd"/>
      <w:r>
        <w:t xml:space="preserve"> Blue adındaki yapay zekâ programının, dünya satranç şampiyonu Garry </w:t>
      </w:r>
      <w:proofErr w:type="spellStart"/>
      <w:r>
        <w:t>Kasparov’u</w:t>
      </w:r>
      <w:proofErr w:type="spellEnd"/>
      <w:r>
        <w:t xml:space="preserve"> yenmesi yapay zekâya dair olan ilginin yeniden canlanmasına ortam hazırlamıştır. 2000’li yıllara gelindiğinde ise, Google başta olmak üzere diğer arama motorları ve sosyal medya uygulamaları, yapay zekâdan istifade etmektedir </w:t>
      </w:r>
      <w:r w:rsidRPr="00394AE4">
        <w:t>(</w:t>
      </w:r>
      <w:proofErr w:type="spellStart"/>
      <w:r w:rsidRPr="00394AE4">
        <w:t>Coşkun</w:t>
      </w:r>
      <w:proofErr w:type="spellEnd"/>
      <w:r w:rsidRPr="00394AE4">
        <w:t xml:space="preserve"> &amp; </w:t>
      </w:r>
      <w:proofErr w:type="spellStart"/>
      <w:r w:rsidRPr="00394AE4">
        <w:t>Gülleroğlu</w:t>
      </w:r>
      <w:proofErr w:type="spellEnd"/>
      <w:r w:rsidRPr="00394AE4">
        <w:t>, 2021: 949-950)</w:t>
      </w:r>
      <w:r w:rsidRPr="00DF183B">
        <w:t>.</w:t>
      </w:r>
      <w:r>
        <w:rPr>
          <w:b/>
          <w:bCs/>
        </w:rPr>
        <w:t xml:space="preserve"> </w:t>
      </w:r>
      <w:r w:rsidRPr="00394AE4">
        <w:t>Bugün gelinen noktada</w:t>
      </w:r>
      <w:r>
        <w:t>,</w:t>
      </w:r>
      <w:r w:rsidRPr="00394AE4">
        <w:t xml:space="preserve"> </w:t>
      </w:r>
      <w:proofErr w:type="spellStart"/>
      <w:r w:rsidRPr="00394AE4">
        <w:t>ChatGPT</w:t>
      </w:r>
      <w:proofErr w:type="spellEnd"/>
      <w:r w:rsidRPr="00394AE4">
        <w:t xml:space="preserve"> ve </w:t>
      </w:r>
      <w:proofErr w:type="spellStart"/>
      <w:r w:rsidRPr="00394AE4">
        <w:t>Deep</w:t>
      </w:r>
      <w:proofErr w:type="spellEnd"/>
      <w:r w:rsidRPr="00394AE4">
        <w:t xml:space="preserve"> </w:t>
      </w:r>
      <w:proofErr w:type="spellStart"/>
      <w:r w:rsidRPr="00394AE4">
        <w:t>Seek</w:t>
      </w:r>
      <w:proofErr w:type="spellEnd"/>
      <w:r w:rsidRPr="00394AE4">
        <w:t xml:space="preserve"> gibi yapay zekâ uygulamaları bireylerin kullanımına açılmıştır.</w:t>
      </w:r>
      <w:r>
        <w:rPr>
          <w:b/>
          <w:bCs/>
        </w:rPr>
        <w:t xml:space="preserve"> </w:t>
      </w:r>
      <w:r w:rsidRPr="00D00F0A">
        <w:t xml:space="preserve">Sesli asistanlar, çeviri uygulamaları, sağlık hizmetleri, navigasyon ve </w:t>
      </w:r>
      <w:proofErr w:type="spellStart"/>
      <w:r w:rsidRPr="00D00F0A">
        <w:t>çeşitli</w:t>
      </w:r>
      <w:proofErr w:type="spellEnd"/>
      <w:r w:rsidRPr="00D00F0A">
        <w:t xml:space="preserve"> robot uygulamalar</w:t>
      </w:r>
      <w:r>
        <w:t>ı</w:t>
      </w:r>
      <w:r w:rsidRPr="00D00F0A">
        <w:t xml:space="preserve"> (Develi, 2023), her geçen gün günlük yaşamda ağırlığını arttırırken yeni mesleklerin ortaya çıkmasına da ortam hazırlamaktadır. </w:t>
      </w:r>
      <w:r>
        <w:t>Bu bağlamda, y</w:t>
      </w:r>
      <w:r w:rsidRPr="00D00F0A">
        <w:t xml:space="preserve">apay zekâ siber </w:t>
      </w:r>
      <w:proofErr w:type="spellStart"/>
      <w:r w:rsidRPr="00D00F0A">
        <w:t>güvenlik</w:t>
      </w:r>
      <w:proofErr w:type="spellEnd"/>
      <w:r w:rsidRPr="00D00F0A">
        <w:t xml:space="preserve"> analisti, yapay zekâ etik sorumlusu, yapay zekâ uzmanı ve istem </w:t>
      </w:r>
      <w:proofErr w:type="spellStart"/>
      <w:r w:rsidRPr="00D00F0A">
        <w:t>mühendisi</w:t>
      </w:r>
      <w:proofErr w:type="spellEnd"/>
      <w:r w:rsidRPr="00D00F0A">
        <w:t xml:space="preserve"> gibi yeni uzmanlıkların oluşacağına yönelik tespitler mevcuttur (</w:t>
      </w:r>
      <w:proofErr w:type="spellStart"/>
      <w:r w:rsidRPr="00D00F0A">
        <w:t>Desmarais</w:t>
      </w:r>
      <w:proofErr w:type="spellEnd"/>
      <w:r w:rsidRPr="00D00F0A">
        <w:t>, 2024).</w:t>
      </w:r>
    </w:p>
    <w:p w14:paraId="2F305F81" w14:textId="77777777" w:rsidR="00FA457D" w:rsidRPr="003A0C00" w:rsidRDefault="00FA457D" w:rsidP="008003D6">
      <w:pPr>
        <w:jc w:val="both"/>
        <w:rPr>
          <w:b/>
          <w:bCs/>
        </w:rPr>
      </w:pPr>
      <w:r>
        <w:rPr>
          <w:b/>
          <w:bCs/>
        </w:rPr>
        <w:t>1.2. Sinemada Yapay Zekâ</w:t>
      </w:r>
    </w:p>
    <w:p w14:paraId="6DCC9ED1" w14:textId="77777777" w:rsidR="00FA457D" w:rsidRDefault="00FA457D" w:rsidP="008003D6">
      <w:pPr>
        <w:spacing w:after="120"/>
        <w:jc w:val="both"/>
      </w:pPr>
      <w:r>
        <w:t xml:space="preserve">Sinema, </w:t>
      </w:r>
      <w:proofErr w:type="spellStart"/>
      <w:r>
        <w:t>Lumiere</w:t>
      </w:r>
      <w:proofErr w:type="spellEnd"/>
      <w:r>
        <w:t xml:space="preserve"> kardeşlerin 1895 yılında gösterime sundukları trenin gara girişi sekansıyla toplumsal yaşama girmiş, özellikle de 20. yüzyılda etkisini artırarak gelişimini sürdürmüştür. Günümüzde gelinen noktada sinema, ulaştığı teknik kapasiteyle fiziki ve somut mekânın öneminin azaldığı, sanal mekânlar ve sanal karakterlerle öykülerin aktarılabildiği bir araca dönüşmüştür. Bu çerçevede yapay zekâ teknolojileri, sinemada tartışılmakta ve çeşitli aşamalarda kullanılmaktadır.</w:t>
      </w:r>
    </w:p>
    <w:p w14:paraId="5DF5B8A7" w14:textId="77777777" w:rsidR="00FA457D" w:rsidRDefault="00FA457D" w:rsidP="00FA457D">
      <w:pPr>
        <w:spacing w:before="120" w:after="120"/>
        <w:jc w:val="both"/>
      </w:pPr>
      <w:r w:rsidRPr="00050D7B">
        <w:t>Küresel ölçekte önemli film stüdyolarının bulunduğu Hollywood’da sinema endüstrisinin daha fazla kâr elde etmesi açısından yapay zekâ teknolojilerinden yararlanılm</w:t>
      </w:r>
      <w:r>
        <w:t xml:space="preserve">aktadır. Hollywood’da 1923 yılından beri var olan Warner </w:t>
      </w:r>
      <w:proofErr w:type="spellStart"/>
      <w:r>
        <w:t>Bros</w:t>
      </w:r>
      <w:proofErr w:type="spellEnd"/>
      <w:r>
        <w:t xml:space="preserve">. Entertainment; aktör, bütçe ve marka gibi noktalara odaklanarak başarı şansını tahmin edebilen yapay zekâ uygulaması </w:t>
      </w:r>
      <w:proofErr w:type="spellStart"/>
      <w:r>
        <w:t>Cinelytic</w:t>
      </w:r>
      <w:proofErr w:type="spellEnd"/>
      <w:r>
        <w:t xml:space="preserve"> ile çalışmaktadır (</w:t>
      </w:r>
      <w:proofErr w:type="spellStart"/>
      <w:r>
        <w:t>Siegel</w:t>
      </w:r>
      <w:proofErr w:type="spellEnd"/>
      <w:r>
        <w:t xml:space="preserve">, 2020). Hollywood’un bir diğer önemli film şirketi 20th Century Fox ise, Google </w:t>
      </w:r>
      <w:proofErr w:type="gramStart"/>
      <w:r>
        <w:t>ile birlikte</w:t>
      </w:r>
      <w:proofErr w:type="gramEnd"/>
      <w:r>
        <w:t xml:space="preserve"> geliştirdikleri ve filmlerin hitap edeceği toplumsal grupları analiz eden </w:t>
      </w:r>
      <w:proofErr w:type="spellStart"/>
      <w:r>
        <w:t>Merlin</w:t>
      </w:r>
      <w:proofErr w:type="spellEnd"/>
      <w:r>
        <w:t xml:space="preserve"> isimli bir yapay zekâ sisteminden faydalanmaktadır (</w:t>
      </w:r>
      <w:proofErr w:type="spellStart"/>
      <w:r w:rsidRPr="003410A5">
        <w:t>Campo-Rembado</w:t>
      </w:r>
      <w:proofErr w:type="spellEnd"/>
      <w:r>
        <w:t xml:space="preserve"> &amp; </w:t>
      </w:r>
      <w:proofErr w:type="spellStart"/>
      <w:r w:rsidRPr="003410A5">
        <w:t>Oakley</w:t>
      </w:r>
      <w:proofErr w:type="spellEnd"/>
      <w:r>
        <w:t>, 2018).</w:t>
      </w:r>
    </w:p>
    <w:p w14:paraId="36B9BAE8" w14:textId="62DF87AA" w:rsidR="00FA457D" w:rsidRDefault="00FA457D" w:rsidP="00FA457D">
      <w:pPr>
        <w:spacing w:before="120" w:after="120"/>
        <w:jc w:val="both"/>
      </w:pPr>
      <w:proofErr w:type="spellStart"/>
      <w:r>
        <w:t>ScriptBook</w:t>
      </w:r>
      <w:proofErr w:type="spellEnd"/>
      <w:r>
        <w:t xml:space="preserve"> adındaki yapay zekâ uygulaması ise, filmlerin senaryosunu tarayarak başarı olup olmayacağına dair bir analiz gerçekleştirmektedir. Belçika merkezli </w:t>
      </w:r>
      <w:proofErr w:type="spellStart"/>
      <w:r>
        <w:t>ScriptBook’un</w:t>
      </w:r>
      <w:proofErr w:type="spellEnd"/>
      <w:r>
        <w:t xml:space="preserve"> kurucusu </w:t>
      </w:r>
      <w:proofErr w:type="spellStart"/>
      <w:r>
        <w:t>Nadira</w:t>
      </w:r>
      <w:proofErr w:type="spellEnd"/>
      <w:r>
        <w:t xml:space="preserve"> </w:t>
      </w:r>
      <w:proofErr w:type="spellStart"/>
      <w:r>
        <w:t>Azermai’ye</w:t>
      </w:r>
      <w:proofErr w:type="spellEnd"/>
      <w:r>
        <w:t xml:space="preserve"> göre Sony şirketi, 2015 ile 2017 yılları arasında filmlerinin senaryolarını insanlar yerine yapay zekâ uygulaması kullanarak seçseydi ciddi bir servet elde edebilirdi. </w:t>
      </w:r>
      <w:proofErr w:type="spellStart"/>
      <w:r>
        <w:t>Azermai’ye</w:t>
      </w:r>
      <w:proofErr w:type="spellEnd"/>
      <w:r>
        <w:t xml:space="preserve"> göre </w:t>
      </w:r>
      <w:proofErr w:type="spellStart"/>
      <w:r>
        <w:t>ScriptBook</w:t>
      </w:r>
      <w:proofErr w:type="spellEnd"/>
      <w:r>
        <w:t xml:space="preserve">, Sony’nin gişede başarısız olan 32 filminin 22’sinin başarısız olacağını geriye dönük tahmin edebilmiştir. Film senaryoları üzerinden analiz gerçekleştirerek filmlerin gişede başarılı olup olmayacağına dair bir çıktı elde eden </w:t>
      </w:r>
      <w:proofErr w:type="spellStart"/>
      <w:r>
        <w:t>ScriptBook</w:t>
      </w:r>
      <w:proofErr w:type="spellEnd"/>
      <w:r>
        <w:t xml:space="preserve"> şirketi, yapay zekâ ile hikâye anlatımında devrim yapmayı amaçladıklarını vurgulamaktadır (</w:t>
      </w:r>
      <w:proofErr w:type="spellStart"/>
      <w:r>
        <w:t>Caranicas</w:t>
      </w:r>
      <w:proofErr w:type="spellEnd"/>
      <w:r>
        <w:t xml:space="preserve">, 2018).  </w:t>
      </w:r>
      <w:proofErr w:type="spellStart"/>
      <w:r>
        <w:t>ScriptBook’a</w:t>
      </w:r>
      <w:proofErr w:type="spellEnd"/>
      <w:r>
        <w:t xml:space="preserve"> benzer şekilde </w:t>
      </w:r>
      <w:proofErr w:type="spellStart"/>
      <w:r>
        <w:t>Vault</w:t>
      </w:r>
      <w:proofErr w:type="spellEnd"/>
      <w:r>
        <w:t xml:space="preserve"> da film </w:t>
      </w:r>
      <w:r w:rsidRPr="00BF7BDB">
        <w:t>fragmanlarının nasıl algılandığını değerlendirerek filmlerin hangi kitle tarafından ilgi göreceğini tespit edebildiğini vurgulamaktadır. Yine Pilot adındaki baş</w:t>
      </w:r>
      <w:r>
        <w:t>k</w:t>
      </w:r>
      <w:r w:rsidRPr="00BF7BDB">
        <w:t xml:space="preserve">a bir yapay zekâ uygulaması da bir filmin topluma </w:t>
      </w:r>
      <w:r w:rsidRPr="00BF7BDB">
        <w:lastRenderedPageBreak/>
        <w:t>arzından önce gişe gelirlerin</w:t>
      </w:r>
      <w:r>
        <w:t>i</w:t>
      </w:r>
      <w:r w:rsidRPr="00BF7BDB">
        <w:t xml:space="preserve"> tahmin </w:t>
      </w:r>
      <w:r>
        <w:t xml:space="preserve">etmeye yönelik </w:t>
      </w:r>
      <w:r w:rsidRPr="00BF7BDB">
        <w:t>analiz gerçekleştirebil</w:t>
      </w:r>
      <w:r>
        <w:t>mektedir</w:t>
      </w:r>
      <w:r w:rsidRPr="00BF7BDB">
        <w:t xml:space="preserve"> (Vincent, 2019).</w:t>
      </w:r>
    </w:p>
    <w:p w14:paraId="0E4420C3" w14:textId="346474C7" w:rsidR="00FA457D" w:rsidRPr="005B664C" w:rsidRDefault="00FA457D" w:rsidP="00FA457D">
      <w:pPr>
        <w:spacing w:before="120" w:after="120"/>
        <w:jc w:val="both"/>
      </w:pPr>
      <w:r>
        <w:t xml:space="preserve">Yapay zekâ sistemlerinden film senaryo yazımı aşamasında da istifade edilmeye başlanmıştır. Bu bağlamda, New York Üniversitesinden </w:t>
      </w:r>
      <w:proofErr w:type="spellStart"/>
      <w:r>
        <w:t>Godwin’in</w:t>
      </w:r>
      <w:proofErr w:type="spellEnd"/>
      <w:r>
        <w:t xml:space="preserve"> geliştirdiği uzun-kısa süreli bellek bir nöral ağ olan Benjamin adındaki yapay zekâ uygulamasına; </w:t>
      </w:r>
      <w:proofErr w:type="spellStart"/>
      <w:r>
        <w:t>Godwin</w:t>
      </w:r>
      <w:proofErr w:type="spellEnd"/>
      <w:r>
        <w:t xml:space="preserve"> ve film yapımcısı Oscar </w:t>
      </w:r>
      <w:proofErr w:type="spellStart"/>
      <w:r>
        <w:t>Sharp</w:t>
      </w:r>
      <w:proofErr w:type="spellEnd"/>
      <w:r>
        <w:t xml:space="preserve"> bir senaryo yazdırmıştır. Bu senaryo neticesinde, bilimkurgu kısa filmi olan </w:t>
      </w:r>
      <w:proofErr w:type="spellStart"/>
      <w:r>
        <w:t>Sunspring</w:t>
      </w:r>
      <w:proofErr w:type="spellEnd"/>
      <w:r>
        <w:t xml:space="preserve"> ortaya çıkmıştır (John, 2021: 1; Zengin, 2020: 161).</w:t>
      </w:r>
    </w:p>
    <w:p w14:paraId="66A9A171" w14:textId="0CE0BEFA" w:rsidR="00FA457D" w:rsidRDefault="00FA457D" w:rsidP="00FA457D">
      <w:pPr>
        <w:spacing w:before="120" w:after="120"/>
        <w:jc w:val="both"/>
      </w:pPr>
      <w:r>
        <w:t xml:space="preserve">Sinemada yapay zekâ; çekim, kurgu ve karakter tasarımı süreçlerinde de kullanılmaktadır. Örneğin robot kameralar, bir yazılım aracılığıyla kendisinden istenen görüntüleri çekmekte ve kaydetmektedir. İlaveten bu araçlar, bir kameramanın zorlanacağı sekansları, özel efektlerle çekebilmektedir (Zengin, 2020: 165). Bu gelişme, çekim süreçlerini hızlandırmakta ve sinemacılara yeni fırsatlar sunmaktadır. Yapay zekâ, görsel efektler (VFX) ve karakter tasarımında (CGI) önemli bir misyon üstlenmektedir. </w:t>
      </w:r>
      <w:r w:rsidRPr="00BE6E38">
        <w:t xml:space="preserve">NVIDIA </w:t>
      </w:r>
      <w:proofErr w:type="spellStart"/>
      <w:r w:rsidRPr="00BE6E38">
        <w:t>Omniverse</w:t>
      </w:r>
      <w:proofErr w:type="spellEnd"/>
      <w:r w:rsidRPr="00BE6E38">
        <w:t xml:space="preserve"> ve </w:t>
      </w:r>
      <w:proofErr w:type="spellStart"/>
      <w:r w:rsidRPr="00BE6E38">
        <w:t>Weta</w:t>
      </w:r>
      <w:proofErr w:type="spellEnd"/>
      <w:r w:rsidRPr="00BE6E38">
        <w:t xml:space="preserve"> </w:t>
      </w:r>
      <w:proofErr w:type="spellStart"/>
      <w:r w:rsidRPr="00BE6E38">
        <w:t>Digital'in</w:t>
      </w:r>
      <w:proofErr w:type="spellEnd"/>
      <w:r w:rsidRPr="00BE6E38">
        <w:t xml:space="preserve"> </w:t>
      </w:r>
      <w:proofErr w:type="spellStart"/>
      <w:r w:rsidRPr="00BE6E38">
        <w:t>Gazebo</w:t>
      </w:r>
      <w:proofErr w:type="spellEnd"/>
      <w:r>
        <w:t xml:space="preserve"> ismindeki görselleştirme aracı</w:t>
      </w:r>
      <w:r w:rsidRPr="00BE6E38">
        <w:t xml:space="preserve">, gerçek zamanlı ve fotogerçekçi ortamlar üretmekte ve insan hareketlerinin ve hislerinin ayrıntılarını yakalayarak bunları çok gerçekçi </w:t>
      </w:r>
      <w:r>
        <w:t>jest ve mimiklere</w:t>
      </w:r>
      <w:r w:rsidRPr="00BE6E38">
        <w:t xml:space="preserve"> dönüştürebilmektedir (</w:t>
      </w:r>
      <w:proofErr w:type="spellStart"/>
      <w:r w:rsidRPr="00BE6E38">
        <w:t>Swarnakar</w:t>
      </w:r>
      <w:proofErr w:type="spellEnd"/>
      <w:r w:rsidRPr="00BE6E38">
        <w:t>, 2024: 24).</w:t>
      </w:r>
      <w:r>
        <w:t xml:space="preserve"> Bu durum, sinemanın yapay zekâ çerçevesinde teknolojiyle girmiş olduğu ilişkiye dair önemli bir örnektir. Yine yapay zekâ araçları filmlerin kurgu süreçlerinde de kullanılabilmektedir. 2016 yılında çekilen Morgan isimli filmin fragmanı, Watson ismindeki yapay zekâ aracı tarafından kurgulanarak üretilmiştir (Cevher &amp; Aydın, 2020: 628).</w:t>
      </w:r>
    </w:p>
    <w:p w14:paraId="14A36CA1" w14:textId="250B37A4" w:rsidR="00FA457D" w:rsidRDefault="00FA457D" w:rsidP="00FA457D">
      <w:pPr>
        <w:spacing w:before="120" w:after="120"/>
        <w:jc w:val="both"/>
        <w:rPr>
          <w:b/>
          <w:bCs/>
        </w:rPr>
      </w:pPr>
      <w:r>
        <w:t>Tüm bu gelişmeler, sinemada yapay zekânın yapım öncesi, yapım aşaması ve yapım sonrası süreçlerde kullanılan teknolojik bir unsur olduğunu göstermektedir. Dolayısıyla yapay zekânın, sinemanın geleceğinde etkisini giderek arttırması mümkün görünmektedir.</w:t>
      </w:r>
    </w:p>
    <w:p w14:paraId="5C8B2AA3" w14:textId="77777777" w:rsidR="00FA457D" w:rsidRPr="00F364C1" w:rsidRDefault="00FA457D">
      <w:pPr>
        <w:pStyle w:val="ListeParagraf"/>
        <w:widowControl/>
        <w:numPr>
          <w:ilvl w:val="0"/>
          <w:numId w:val="35"/>
        </w:numPr>
        <w:autoSpaceDE/>
        <w:autoSpaceDN/>
        <w:ind w:left="426" w:hanging="426"/>
        <w:jc w:val="both"/>
        <w:rPr>
          <w:b/>
          <w:bCs/>
        </w:rPr>
      </w:pPr>
      <w:r w:rsidRPr="00F364C1">
        <w:rPr>
          <w:b/>
          <w:bCs/>
        </w:rPr>
        <w:t>ARAŞTIRMANIN YÖNTEMİ</w:t>
      </w:r>
    </w:p>
    <w:p w14:paraId="61EF9A5C" w14:textId="77777777" w:rsidR="00FA457D" w:rsidRDefault="00FA457D" w:rsidP="008003D6">
      <w:pPr>
        <w:jc w:val="both"/>
      </w:pPr>
      <w:r>
        <w:t xml:space="preserve">Bu çalışmada betimsel analiz yöntemi tercih edilmiştir. Betimsel analizde, araştırma sürecinde toplanan veriler, önceden saptanmış temalar çerçevesinde özetlenerek yorumlanmaktadır. Analiz; </w:t>
      </w:r>
      <w:r w:rsidRPr="007F6C08">
        <w:rPr>
          <w:i/>
          <w:iCs/>
        </w:rPr>
        <w:t>betimsel analiz için bir çerçeve oluşturmak</w:t>
      </w:r>
      <w:r>
        <w:t xml:space="preserve">, </w:t>
      </w:r>
      <w:r w:rsidRPr="007F6C08">
        <w:rPr>
          <w:i/>
          <w:iCs/>
        </w:rPr>
        <w:t>tematik çerçeveye göre verilerin işlenmesi</w:t>
      </w:r>
      <w:r>
        <w:t xml:space="preserve">, </w:t>
      </w:r>
      <w:r w:rsidRPr="007F6C08">
        <w:rPr>
          <w:i/>
          <w:iCs/>
        </w:rPr>
        <w:t>bulguların tanımlanması</w:t>
      </w:r>
      <w:r>
        <w:t xml:space="preserve"> ve </w:t>
      </w:r>
      <w:r>
        <w:rPr>
          <w:i/>
          <w:iCs/>
        </w:rPr>
        <w:t xml:space="preserve">bulguların </w:t>
      </w:r>
      <w:r w:rsidRPr="007F6C08">
        <w:rPr>
          <w:i/>
          <w:iCs/>
        </w:rPr>
        <w:t>yorumlanması</w:t>
      </w:r>
      <w:r>
        <w:t xml:space="preserve"> biçiminde dört aşamadan oluşmaktadır (Yıldırım &amp; Şimşek, 2011: 224). Bu çalışmada da </w:t>
      </w:r>
      <w:proofErr w:type="spellStart"/>
      <w:r>
        <w:t>The</w:t>
      </w:r>
      <w:proofErr w:type="spellEnd"/>
      <w:r>
        <w:t xml:space="preserve"> </w:t>
      </w:r>
      <w:proofErr w:type="spellStart"/>
      <w:r>
        <w:t>Last</w:t>
      </w:r>
      <w:proofErr w:type="spellEnd"/>
      <w:r>
        <w:t xml:space="preserve"> </w:t>
      </w:r>
      <w:proofErr w:type="spellStart"/>
      <w:r>
        <w:t>Screenwriter</w:t>
      </w:r>
      <w:proofErr w:type="spellEnd"/>
      <w:r>
        <w:t xml:space="preserve"> filmi izlendikten sonra yukarıda bahsedilen dört aşama dikkate alınarak belirlenen temalar bağlamında toplanan veriler; değerlendirilmiş, işlenmiş, tanımlanmış ve yorumlanmıştır. Aşağıdaki tabloda araştırma kapsamında belirlenen temalar ve bu temalar ekseninde gerçekleştirilen analizle ilgili bilgiler sunulmuştur.</w:t>
      </w:r>
    </w:p>
    <w:tbl>
      <w:tblPr>
        <w:tblStyle w:val="TabloKlavuzu"/>
        <w:tblpPr w:leftFromText="141" w:rightFromText="141" w:vertAnchor="text" w:horzAnchor="margin" w:tblpXSpec="center" w:tblpY="153"/>
        <w:tblW w:w="0" w:type="auto"/>
        <w:tblLook w:val="04A0" w:firstRow="1" w:lastRow="0" w:firstColumn="1" w:lastColumn="0" w:noHBand="0" w:noVBand="1"/>
      </w:tblPr>
      <w:tblGrid>
        <w:gridCol w:w="4467"/>
        <w:gridCol w:w="4467"/>
      </w:tblGrid>
      <w:tr w:rsidR="00FA457D" w14:paraId="7B5437B6" w14:textId="77777777" w:rsidTr="000610DA">
        <w:trPr>
          <w:trHeight w:val="264"/>
        </w:trPr>
        <w:tc>
          <w:tcPr>
            <w:tcW w:w="4467" w:type="dxa"/>
          </w:tcPr>
          <w:p w14:paraId="4001B1E2" w14:textId="77777777" w:rsidR="00FA457D" w:rsidRDefault="00FA457D" w:rsidP="000610DA">
            <w:pPr>
              <w:jc w:val="center"/>
              <w:rPr>
                <w:rFonts w:ascii="Times New Roman" w:hAnsi="Times New Roman" w:cs="Times New Roman"/>
                <w:b/>
                <w:bCs/>
              </w:rPr>
            </w:pPr>
            <w:r>
              <w:rPr>
                <w:rFonts w:ascii="Times New Roman" w:hAnsi="Times New Roman" w:cs="Times New Roman"/>
                <w:b/>
                <w:bCs/>
              </w:rPr>
              <w:t>Tema</w:t>
            </w:r>
          </w:p>
        </w:tc>
        <w:tc>
          <w:tcPr>
            <w:tcW w:w="4467" w:type="dxa"/>
          </w:tcPr>
          <w:p w14:paraId="1C120B9D" w14:textId="77777777" w:rsidR="00FA457D" w:rsidRDefault="00FA457D" w:rsidP="000610DA">
            <w:pPr>
              <w:jc w:val="center"/>
              <w:rPr>
                <w:rFonts w:ascii="Times New Roman" w:hAnsi="Times New Roman" w:cs="Times New Roman"/>
                <w:b/>
                <w:bCs/>
              </w:rPr>
            </w:pPr>
            <w:r>
              <w:rPr>
                <w:rFonts w:ascii="Times New Roman" w:hAnsi="Times New Roman" w:cs="Times New Roman"/>
                <w:b/>
                <w:bCs/>
              </w:rPr>
              <w:t>Analiz</w:t>
            </w:r>
          </w:p>
        </w:tc>
      </w:tr>
      <w:tr w:rsidR="00FA457D" w14:paraId="4797EE09" w14:textId="77777777" w:rsidTr="000610DA">
        <w:trPr>
          <w:trHeight w:val="792"/>
        </w:trPr>
        <w:tc>
          <w:tcPr>
            <w:tcW w:w="4467" w:type="dxa"/>
          </w:tcPr>
          <w:p w14:paraId="68EA2B5D" w14:textId="77777777" w:rsidR="00FA457D" w:rsidRPr="005C15B2" w:rsidRDefault="00FA457D" w:rsidP="000610DA">
            <w:pPr>
              <w:jc w:val="both"/>
              <w:rPr>
                <w:rFonts w:ascii="Times New Roman" w:hAnsi="Times New Roman" w:cs="Times New Roman"/>
              </w:rPr>
            </w:pPr>
            <w:r>
              <w:rPr>
                <w:rFonts w:ascii="Times New Roman" w:hAnsi="Times New Roman" w:cs="Times New Roman"/>
              </w:rPr>
              <w:t>Sinema ve Yapay Zekâ</w:t>
            </w:r>
          </w:p>
        </w:tc>
        <w:tc>
          <w:tcPr>
            <w:tcW w:w="4467" w:type="dxa"/>
          </w:tcPr>
          <w:p w14:paraId="7A8E7E80" w14:textId="77777777" w:rsidR="00FA457D" w:rsidRPr="005C15B2" w:rsidRDefault="00FA457D" w:rsidP="000610DA">
            <w:pPr>
              <w:jc w:val="both"/>
              <w:rPr>
                <w:rFonts w:ascii="Times New Roman" w:hAnsi="Times New Roman" w:cs="Times New Roman"/>
              </w:rPr>
            </w:pPr>
            <w:r w:rsidRPr="005C15B2">
              <w:rPr>
                <w:rFonts w:ascii="Times New Roman" w:hAnsi="Times New Roman" w:cs="Times New Roman"/>
              </w:rPr>
              <w:t>Filmin yapay zekâ bağlamında incelenmesi ve sinema yapay zekâ ilişkisine dair değerlendirme</w:t>
            </w:r>
          </w:p>
        </w:tc>
      </w:tr>
      <w:tr w:rsidR="00FA457D" w14:paraId="4AB294DA" w14:textId="77777777" w:rsidTr="000610DA">
        <w:trPr>
          <w:trHeight w:val="808"/>
        </w:trPr>
        <w:tc>
          <w:tcPr>
            <w:tcW w:w="4467" w:type="dxa"/>
          </w:tcPr>
          <w:p w14:paraId="2A939AB9" w14:textId="77777777" w:rsidR="00FA457D" w:rsidRPr="005C15B2" w:rsidRDefault="00FA457D" w:rsidP="000610DA">
            <w:pPr>
              <w:jc w:val="both"/>
              <w:rPr>
                <w:rFonts w:ascii="Times New Roman" w:hAnsi="Times New Roman" w:cs="Times New Roman"/>
              </w:rPr>
            </w:pPr>
            <w:r w:rsidRPr="005C15B2">
              <w:rPr>
                <w:rFonts w:ascii="Times New Roman" w:hAnsi="Times New Roman" w:cs="Times New Roman"/>
              </w:rPr>
              <w:t>Yapay Zekâ ve Karakterlerin Dönüşümü</w:t>
            </w:r>
          </w:p>
        </w:tc>
        <w:tc>
          <w:tcPr>
            <w:tcW w:w="4467" w:type="dxa"/>
          </w:tcPr>
          <w:p w14:paraId="7BA381AC" w14:textId="77777777" w:rsidR="00FA457D" w:rsidRPr="005C15B2" w:rsidRDefault="00FA457D" w:rsidP="000610DA">
            <w:pPr>
              <w:jc w:val="both"/>
              <w:rPr>
                <w:rFonts w:ascii="Times New Roman" w:hAnsi="Times New Roman" w:cs="Times New Roman"/>
              </w:rPr>
            </w:pPr>
            <w:r w:rsidRPr="005C15B2">
              <w:rPr>
                <w:rFonts w:ascii="Times New Roman" w:hAnsi="Times New Roman" w:cs="Times New Roman"/>
              </w:rPr>
              <w:t>Filmin</w:t>
            </w:r>
            <w:r>
              <w:rPr>
                <w:rFonts w:ascii="Times New Roman" w:hAnsi="Times New Roman" w:cs="Times New Roman"/>
              </w:rPr>
              <w:t xml:space="preserve"> </w:t>
            </w:r>
            <w:r w:rsidRPr="005C15B2">
              <w:rPr>
                <w:rFonts w:ascii="Times New Roman" w:hAnsi="Times New Roman" w:cs="Times New Roman"/>
              </w:rPr>
              <w:t>karakter</w:t>
            </w:r>
            <w:r>
              <w:rPr>
                <w:rFonts w:ascii="Times New Roman" w:hAnsi="Times New Roman" w:cs="Times New Roman"/>
              </w:rPr>
              <w:t>lerin</w:t>
            </w:r>
            <w:r w:rsidRPr="005C15B2">
              <w:rPr>
                <w:rFonts w:ascii="Times New Roman" w:hAnsi="Times New Roman" w:cs="Times New Roman"/>
              </w:rPr>
              <w:t>in yapay zekâ ile kurduğu ilişki ekseninde geçirdiği dönüşüm</w:t>
            </w:r>
            <w:r>
              <w:rPr>
                <w:rFonts w:ascii="Times New Roman" w:hAnsi="Times New Roman" w:cs="Times New Roman"/>
              </w:rPr>
              <w:t>ün incelenmesi</w:t>
            </w:r>
          </w:p>
        </w:tc>
      </w:tr>
      <w:tr w:rsidR="00FA457D" w14:paraId="66DC4FC7" w14:textId="77777777" w:rsidTr="000610DA">
        <w:trPr>
          <w:trHeight w:val="792"/>
        </w:trPr>
        <w:tc>
          <w:tcPr>
            <w:tcW w:w="4467" w:type="dxa"/>
          </w:tcPr>
          <w:p w14:paraId="4005424B" w14:textId="77777777" w:rsidR="00FA457D" w:rsidRPr="005C15B2" w:rsidRDefault="00FA457D" w:rsidP="000610DA">
            <w:pPr>
              <w:jc w:val="both"/>
              <w:rPr>
                <w:rFonts w:ascii="Times New Roman" w:hAnsi="Times New Roman" w:cs="Times New Roman"/>
              </w:rPr>
            </w:pPr>
            <w:r w:rsidRPr="005C15B2">
              <w:rPr>
                <w:rFonts w:ascii="Times New Roman" w:hAnsi="Times New Roman" w:cs="Times New Roman"/>
              </w:rPr>
              <w:t>Yapay Zekâ ve Hikâye Anlatıcılığı</w:t>
            </w:r>
          </w:p>
        </w:tc>
        <w:tc>
          <w:tcPr>
            <w:tcW w:w="4467" w:type="dxa"/>
          </w:tcPr>
          <w:p w14:paraId="24CCFB95" w14:textId="77777777" w:rsidR="00FA457D" w:rsidRPr="005C15B2" w:rsidRDefault="00FA457D" w:rsidP="000610DA">
            <w:pPr>
              <w:keepNext/>
              <w:jc w:val="both"/>
              <w:rPr>
                <w:rFonts w:ascii="Times New Roman" w:hAnsi="Times New Roman" w:cs="Times New Roman"/>
              </w:rPr>
            </w:pPr>
            <w:r w:rsidRPr="005C15B2">
              <w:rPr>
                <w:rFonts w:ascii="Times New Roman" w:hAnsi="Times New Roman" w:cs="Times New Roman"/>
              </w:rPr>
              <w:t xml:space="preserve">Bir anlatıcı olarak yapay zekânın Benjamin’in hikâye anlatıcısı kavramı bağlamında </w:t>
            </w:r>
            <w:r>
              <w:rPr>
                <w:rFonts w:ascii="Times New Roman" w:hAnsi="Times New Roman" w:cs="Times New Roman"/>
              </w:rPr>
              <w:t>değerlendirilmesi</w:t>
            </w:r>
          </w:p>
        </w:tc>
      </w:tr>
    </w:tbl>
    <w:p w14:paraId="2CED7E87" w14:textId="63283985" w:rsidR="00FA457D" w:rsidRPr="00A25F48" w:rsidRDefault="00FA457D" w:rsidP="00FA457D">
      <w:pPr>
        <w:pStyle w:val="ResimYazs"/>
        <w:framePr w:hSpace="141" w:wrap="around" w:vAnchor="text" w:hAnchor="page" w:x="4500" w:y="3023"/>
        <w:jc w:val="center"/>
        <w:rPr>
          <w:rFonts w:ascii="Times New Roman" w:hAnsi="Times New Roman" w:cs="Times New Roman"/>
          <w:i w:val="0"/>
          <w:iCs w:val="0"/>
          <w:color w:val="000000" w:themeColor="text1"/>
          <w:sz w:val="20"/>
          <w:szCs w:val="20"/>
        </w:rPr>
      </w:pPr>
      <w:r w:rsidRPr="00A25F48">
        <w:rPr>
          <w:rFonts w:ascii="Times New Roman" w:hAnsi="Times New Roman" w:cs="Times New Roman"/>
          <w:i w:val="0"/>
          <w:iCs w:val="0"/>
          <w:color w:val="000000" w:themeColor="text1"/>
          <w:sz w:val="20"/>
          <w:szCs w:val="20"/>
        </w:rPr>
        <w:t xml:space="preserve">Tablo </w:t>
      </w:r>
      <w:r w:rsidRPr="00A25F48">
        <w:rPr>
          <w:rFonts w:ascii="Times New Roman" w:hAnsi="Times New Roman" w:cs="Times New Roman"/>
          <w:i w:val="0"/>
          <w:iCs w:val="0"/>
          <w:color w:val="000000" w:themeColor="text1"/>
          <w:sz w:val="20"/>
          <w:szCs w:val="20"/>
        </w:rPr>
        <w:fldChar w:fldCharType="begin"/>
      </w:r>
      <w:r w:rsidRPr="00A25F48">
        <w:rPr>
          <w:rFonts w:ascii="Times New Roman" w:hAnsi="Times New Roman" w:cs="Times New Roman"/>
          <w:i w:val="0"/>
          <w:iCs w:val="0"/>
          <w:color w:val="000000" w:themeColor="text1"/>
          <w:sz w:val="20"/>
          <w:szCs w:val="20"/>
        </w:rPr>
        <w:instrText xml:space="preserve"> SEQ Tablo \* ARABIC </w:instrText>
      </w:r>
      <w:r w:rsidRPr="00A25F48">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2</w:t>
      </w:r>
      <w:r w:rsidRPr="00A25F48">
        <w:rPr>
          <w:rFonts w:ascii="Times New Roman" w:hAnsi="Times New Roman" w:cs="Times New Roman"/>
          <w:i w:val="0"/>
          <w:iCs w:val="0"/>
          <w:color w:val="000000" w:themeColor="text1"/>
          <w:sz w:val="20"/>
          <w:szCs w:val="20"/>
        </w:rPr>
        <w:fldChar w:fldCharType="end"/>
      </w:r>
      <w:r w:rsidRPr="00A25F48">
        <w:rPr>
          <w:rFonts w:ascii="Times New Roman" w:hAnsi="Times New Roman" w:cs="Times New Roman"/>
          <w:i w:val="0"/>
          <w:iCs w:val="0"/>
          <w:color w:val="000000" w:themeColor="text1"/>
          <w:sz w:val="20"/>
          <w:szCs w:val="20"/>
        </w:rPr>
        <w:t>: Analiz ve Değerlendirme Aşamaları</w:t>
      </w:r>
    </w:p>
    <w:p w14:paraId="2E1BD6D6" w14:textId="77777777" w:rsidR="00FA457D" w:rsidRDefault="00FA457D" w:rsidP="00FA457D">
      <w:pPr>
        <w:spacing w:before="120" w:after="120"/>
        <w:jc w:val="both"/>
        <w:rPr>
          <w:b/>
          <w:bCs/>
        </w:rPr>
      </w:pPr>
    </w:p>
    <w:p w14:paraId="7D0DA8C1" w14:textId="77777777" w:rsidR="00FA457D" w:rsidRDefault="00FA457D">
      <w:pPr>
        <w:pStyle w:val="ListeParagraf"/>
        <w:widowControl/>
        <w:numPr>
          <w:ilvl w:val="0"/>
          <w:numId w:val="35"/>
        </w:numPr>
        <w:autoSpaceDE/>
        <w:autoSpaceDN/>
        <w:ind w:left="426"/>
        <w:jc w:val="both"/>
        <w:rPr>
          <w:b/>
          <w:bCs/>
        </w:rPr>
      </w:pPr>
      <w:r w:rsidRPr="00F364C1">
        <w:rPr>
          <w:b/>
          <w:bCs/>
        </w:rPr>
        <w:lastRenderedPageBreak/>
        <w:t>BULGULARIN YORUMLANMASI</w:t>
      </w:r>
    </w:p>
    <w:p w14:paraId="100FEC3A" w14:textId="3A62589C" w:rsidR="00FA457D" w:rsidRPr="000E3DBD" w:rsidRDefault="00FA457D" w:rsidP="008003D6">
      <w:pPr>
        <w:ind w:left="66"/>
        <w:jc w:val="both"/>
        <w:rPr>
          <w:b/>
          <w:bCs/>
        </w:rPr>
      </w:pPr>
      <w:r w:rsidRPr="000E3DBD">
        <w:t xml:space="preserve">Çalışmanın bu kısmında </w:t>
      </w:r>
      <w:r w:rsidRPr="000E3DBD">
        <w:rPr>
          <w:i/>
          <w:iCs/>
        </w:rPr>
        <w:t>sinema ve yapay zekâ</w:t>
      </w:r>
      <w:r w:rsidRPr="000E3DBD">
        <w:t xml:space="preserve">, </w:t>
      </w:r>
      <w:r w:rsidRPr="000E3DBD">
        <w:rPr>
          <w:i/>
          <w:iCs/>
        </w:rPr>
        <w:t>yapay zekâ ve karakterlerin dönüşümü</w:t>
      </w:r>
      <w:r w:rsidRPr="000E3DBD">
        <w:t xml:space="preserve">, </w:t>
      </w:r>
      <w:r w:rsidRPr="000E3DBD">
        <w:rPr>
          <w:i/>
          <w:iCs/>
        </w:rPr>
        <w:t>yapay zekâ ve hikâye anlatıcılığı</w:t>
      </w:r>
      <w:r w:rsidRPr="000E3DBD">
        <w:t xml:space="preserve"> temaları çerçevesinde filmin sahneleri, öne çıkan karakterleri ve davranışları betimsel analiz kapsamında incelenerek yorumlanmaktadır. Tematik analiz kısmına geçmeden önce çalışmanın incelediği </w:t>
      </w:r>
      <w:proofErr w:type="spellStart"/>
      <w:r w:rsidRPr="000E3DBD">
        <w:t>The</w:t>
      </w:r>
      <w:proofErr w:type="spellEnd"/>
      <w:r w:rsidRPr="000E3DBD">
        <w:t xml:space="preserve"> </w:t>
      </w:r>
      <w:proofErr w:type="spellStart"/>
      <w:r w:rsidRPr="000E3DBD">
        <w:t>Last</w:t>
      </w:r>
      <w:proofErr w:type="spellEnd"/>
      <w:r w:rsidRPr="000E3DBD">
        <w:t xml:space="preserve"> </w:t>
      </w:r>
      <w:proofErr w:type="spellStart"/>
      <w:r w:rsidRPr="000E3DBD">
        <w:t>Screenwriter</w:t>
      </w:r>
      <w:proofErr w:type="spellEnd"/>
      <w:r w:rsidRPr="000E3DBD">
        <w:t xml:space="preserve"> filminin öyküsüne kısaca değinmek çözümlemenin daha iyi anlaşılması açısından yararlı olacaktır.</w:t>
      </w:r>
    </w:p>
    <w:p w14:paraId="4DE62724" w14:textId="69EE1DD4" w:rsidR="00FA457D" w:rsidRPr="005C5417" w:rsidRDefault="00FA457D" w:rsidP="00FA457D">
      <w:pPr>
        <w:spacing w:before="120" w:after="120"/>
        <w:jc w:val="both"/>
      </w:pPr>
      <w:r>
        <w:t>Film, Jack adındaki başarılı bir senaryo yazarının yaşamına odaklanmaktadır. Jack, eşi Sarah ve oğlu ile mutlu bir şekilde yaşayan, önemli film senaryolarına imza atmış ve sektörde tanınan bir senaryo yazarıdır. Jack’in birlikte çalıştığı yapım şirketinin sahibi Jack’e senaryo yazımında yardımcı olması için bir yapay zekâ aracı verir. Jack ilk başlarda bu araca mesafeli yaklaşsa da zaman içinde onunla çalışmaktan keyif almaya başlar. Ancak süreç içinde Jack, kendi başına öykü yazamaz hale gelir. Bu durum, Jack’in kendisine, ailesine ve çevresine yabancılaşmasına neden olur. Akabinde Sarah, oğlunu da alarak evi terk eder. Jack bu buhrandan kurtulmak amacıyla yapay zekâ aracını parçalar ve daktilo başına oturarak kendi başına bir senaryo yazar. Yapay zekânın üzerinde kurduğu tahakkümden kurtulan Jack, ailesiyle mutlu bir şekilde yeniden bir araya gelir.</w:t>
      </w:r>
    </w:p>
    <w:p w14:paraId="11786127" w14:textId="6EFB40F4" w:rsidR="00FA457D" w:rsidRPr="00F364C1" w:rsidRDefault="00FA457D">
      <w:pPr>
        <w:pStyle w:val="ListeParagraf"/>
        <w:widowControl/>
        <w:numPr>
          <w:ilvl w:val="1"/>
          <w:numId w:val="35"/>
        </w:numPr>
        <w:autoSpaceDE/>
        <w:autoSpaceDN/>
        <w:spacing w:before="120"/>
        <w:ind w:left="426"/>
        <w:jc w:val="both"/>
        <w:rPr>
          <w:b/>
          <w:bCs/>
        </w:rPr>
      </w:pPr>
      <w:r w:rsidRPr="00F364C1">
        <w:rPr>
          <w:b/>
          <w:bCs/>
        </w:rPr>
        <w:t>Sinema ve Yapay Zekâ</w:t>
      </w:r>
    </w:p>
    <w:p w14:paraId="5233DD2C" w14:textId="37F7C2E8" w:rsidR="00FA457D" w:rsidRDefault="00FA457D" w:rsidP="00FA457D">
      <w:pPr>
        <w:jc w:val="both"/>
      </w:pPr>
      <w:r>
        <w:t>Araştırmanın bu kısmında, filmde öne çıkan yapay zekâ sahneleri sinema bağlamında değerlendirilmiştir. Filmin açılış sekansında “bu film tamamen yapay zekâ tarafından yazılmıştır” ifadesine yer verilmektedir. Böylece öykünün en başında filmin bir yapay zekâ ürünü olduğu izleyiciye açıklanmaktadır.</w:t>
      </w:r>
    </w:p>
    <w:p w14:paraId="2AB8D02E" w14:textId="77777777" w:rsidR="00FA457D" w:rsidRDefault="00FA457D" w:rsidP="00FA457D">
      <w:pPr>
        <w:jc w:val="both"/>
      </w:pPr>
    </w:p>
    <w:p w14:paraId="0F173D78" w14:textId="77777777" w:rsidR="00FA457D" w:rsidRDefault="00FA457D" w:rsidP="00FA457D">
      <w:pPr>
        <w:keepNext/>
        <w:jc w:val="center"/>
      </w:pPr>
      <w:r>
        <w:rPr>
          <w:noProof/>
        </w:rPr>
        <w:drawing>
          <wp:inline distT="0" distB="0" distL="0" distR="0" wp14:anchorId="7E5BA5FC" wp14:editId="1CFBB1C1">
            <wp:extent cx="3940577" cy="1625835"/>
            <wp:effectExtent l="0" t="0" r="0" b="0"/>
            <wp:docPr id="1009103046" name="Resim 1" descr="ekran görüntüsü, siyah, metin, siyah beyaz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03046" name="Resim 1" descr="ekran görüntüsü, siyah, metin, siyah beyaz içeren bir resim&#10;&#10;Yapay zeka tarafından oluşturulan içerik yanlış olabilir."/>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4039530" cy="1666662"/>
                    </a:xfrm>
                    <a:prstGeom prst="rect">
                      <a:avLst/>
                    </a:prstGeom>
                  </pic:spPr>
                </pic:pic>
              </a:graphicData>
            </a:graphic>
          </wp:inline>
        </w:drawing>
      </w:r>
    </w:p>
    <w:p w14:paraId="099DE662" w14:textId="466FF743" w:rsidR="00FA457D" w:rsidRPr="00AA39EC" w:rsidRDefault="00FA457D" w:rsidP="00FA457D">
      <w:pPr>
        <w:pStyle w:val="ResimYazs"/>
        <w:jc w:val="center"/>
        <w:rPr>
          <w:rFonts w:ascii="Times New Roman" w:hAnsi="Times New Roman" w:cs="Times New Roman"/>
          <w:i w:val="0"/>
          <w:iCs w:val="0"/>
          <w:color w:val="000000" w:themeColor="text1"/>
          <w:sz w:val="20"/>
          <w:szCs w:val="20"/>
        </w:rPr>
      </w:pPr>
      <w:r w:rsidRPr="000A75F3">
        <w:rPr>
          <w:rFonts w:ascii="Times New Roman" w:hAnsi="Times New Roman" w:cs="Times New Roman"/>
          <w:i w:val="0"/>
          <w:iCs w:val="0"/>
          <w:color w:val="000000" w:themeColor="text1"/>
          <w:sz w:val="20"/>
          <w:szCs w:val="20"/>
        </w:rPr>
        <w:t xml:space="preserve">Görüntü </w:t>
      </w:r>
      <w:r w:rsidRPr="000A75F3">
        <w:rPr>
          <w:rFonts w:ascii="Times New Roman" w:hAnsi="Times New Roman" w:cs="Times New Roman"/>
          <w:i w:val="0"/>
          <w:iCs w:val="0"/>
          <w:color w:val="000000" w:themeColor="text1"/>
          <w:sz w:val="20"/>
          <w:szCs w:val="20"/>
        </w:rPr>
        <w:fldChar w:fldCharType="begin"/>
      </w:r>
      <w:r w:rsidRPr="000A75F3">
        <w:rPr>
          <w:rFonts w:ascii="Times New Roman" w:hAnsi="Times New Roman" w:cs="Times New Roman"/>
          <w:i w:val="0"/>
          <w:iCs w:val="0"/>
          <w:color w:val="000000" w:themeColor="text1"/>
          <w:sz w:val="20"/>
          <w:szCs w:val="20"/>
        </w:rPr>
        <w:instrText xml:space="preserve"> SEQ Görüntü \* ARABIC </w:instrText>
      </w:r>
      <w:r w:rsidRPr="000A75F3">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1</w:t>
      </w:r>
      <w:r w:rsidRPr="000A75F3">
        <w:rPr>
          <w:rFonts w:ascii="Times New Roman" w:hAnsi="Times New Roman" w:cs="Times New Roman"/>
          <w:i w:val="0"/>
          <w:iCs w:val="0"/>
          <w:color w:val="000000" w:themeColor="text1"/>
          <w:sz w:val="20"/>
          <w:szCs w:val="20"/>
        </w:rPr>
        <w:fldChar w:fldCharType="end"/>
      </w:r>
      <w:r w:rsidRPr="000A75F3">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 xml:space="preserve">Bir Yapay Zekâ Ürünü Olarak </w:t>
      </w:r>
      <w:proofErr w:type="spellStart"/>
      <w:r>
        <w:rPr>
          <w:rFonts w:ascii="Times New Roman" w:hAnsi="Times New Roman" w:cs="Times New Roman"/>
          <w:i w:val="0"/>
          <w:iCs w:val="0"/>
          <w:color w:val="000000" w:themeColor="text1"/>
          <w:sz w:val="20"/>
          <w:szCs w:val="20"/>
        </w:rPr>
        <w:t>The</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Last</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Screenwriter</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099C0383" w14:textId="36FD1845" w:rsidR="00FA457D" w:rsidRDefault="00FA457D" w:rsidP="00FA457D">
      <w:pPr>
        <w:jc w:val="both"/>
      </w:pPr>
      <w:r>
        <w:t xml:space="preserve">Film bütünüyle </w:t>
      </w:r>
      <w:proofErr w:type="spellStart"/>
      <w:r>
        <w:t>ChatGPT</w:t>
      </w:r>
      <w:proofErr w:type="spellEnd"/>
      <w:r>
        <w:t xml:space="preserve"> tarafından oluşturulan bir senaryoya sahiptir. Bu özelliği nedeniyle sinema endüstrisi tarafından protesto edilmiş ve buna bağlı olarak gösterim aşamasında salon problemi yaşamıştır (Schwartz, 2024). Bu yüzden film, YouTube üzerinden herkesin erişimine açılmıştır.</w:t>
      </w:r>
    </w:p>
    <w:p w14:paraId="413F7E20" w14:textId="77777777" w:rsidR="00FA457D" w:rsidRDefault="00FA457D" w:rsidP="00FA457D">
      <w:pPr>
        <w:keepNext/>
        <w:jc w:val="center"/>
      </w:pPr>
      <w:r>
        <w:rPr>
          <w:noProof/>
        </w:rPr>
        <w:lastRenderedPageBreak/>
        <w:drawing>
          <wp:inline distT="0" distB="0" distL="0" distR="0" wp14:anchorId="7EDF00AB" wp14:editId="4C298BDE">
            <wp:extent cx="3298292" cy="1910080"/>
            <wp:effectExtent l="0" t="0" r="3810" b="0"/>
            <wp:docPr id="447374028" name="Resim 3" descr="ekran görüntüsü, daire, hafif, lamb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74028" name="Resim 3" descr="ekran görüntüsü, daire, hafif, lamba içeren bir resim&#10;&#10;Yapay zeka tarafından oluşturulan içerik yanlış olabilir."/>
                    <pic:cNvPicPr/>
                  </pic:nvPicPr>
                  <pic:blipFill rotWithShape="1">
                    <a:blip r:embed="rId408" cstate="print">
                      <a:extLst>
                        <a:ext uri="{28A0092B-C50C-407E-A947-70E740481C1C}">
                          <a14:useLocalDpi xmlns:a14="http://schemas.microsoft.com/office/drawing/2010/main" val="0"/>
                        </a:ext>
                      </a:extLst>
                    </a:blip>
                    <a:srcRect l="13318" t="35324" r="14049" b="-1"/>
                    <a:stretch/>
                  </pic:blipFill>
                  <pic:spPr bwMode="auto">
                    <a:xfrm>
                      <a:off x="0" y="0"/>
                      <a:ext cx="3298292" cy="19100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E7A547" wp14:editId="00E48B13">
            <wp:extent cx="3525520" cy="3525520"/>
            <wp:effectExtent l="0" t="0" r="5080" b="5080"/>
            <wp:docPr id="41133560" name="Resim 2" descr="insan yüzü, giyim, kişi, şahıs,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3560" name="Resim 2" descr="insan yüzü, giyim, kişi, şahıs, ekran görüntüsü içeren bir resim&#10;&#10;Yapay zeka tarafından oluşturulan içerik yanlış olabilir."/>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3525520" cy="3525520"/>
                    </a:xfrm>
                    <a:prstGeom prst="rect">
                      <a:avLst/>
                    </a:prstGeom>
                  </pic:spPr>
                </pic:pic>
              </a:graphicData>
            </a:graphic>
          </wp:inline>
        </w:drawing>
      </w:r>
    </w:p>
    <w:p w14:paraId="3BD65AAE" w14:textId="0BB38112" w:rsidR="00FA457D" w:rsidRPr="00B06D47" w:rsidRDefault="00FA457D" w:rsidP="00FA457D">
      <w:pPr>
        <w:pStyle w:val="ResimYazs"/>
        <w:jc w:val="center"/>
        <w:rPr>
          <w:rFonts w:ascii="Times New Roman" w:hAnsi="Times New Roman" w:cs="Times New Roman"/>
          <w:i w:val="0"/>
          <w:iCs w:val="0"/>
          <w:color w:val="000000" w:themeColor="text1"/>
          <w:sz w:val="20"/>
          <w:szCs w:val="20"/>
        </w:rPr>
      </w:pPr>
      <w:r w:rsidRPr="000A75F3">
        <w:rPr>
          <w:rFonts w:ascii="Times New Roman" w:hAnsi="Times New Roman" w:cs="Times New Roman"/>
          <w:i w:val="0"/>
          <w:iCs w:val="0"/>
          <w:color w:val="000000" w:themeColor="text1"/>
          <w:sz w:val="20"/>
          <w:szCs w:val="20"/>
        </w:rPr>
        <w:t xml:space="preserve">Görüntü </w:t>
      </w:r>
      <w:r w:rsidRPr="000A75F3">
        <w:rPr>
          <w:rFonts w:ascii="Times New Roman" w:hAnsi="Times New Roman" w:cs="Times New Roman"/>
          <w:i w:val="0"/>
          <w:iCs w:val="0"/>
          <w:color w:val="000000" w:themeColor="text1"/>
          <w:sz w:val="20"/>
          <w:szCs w:val="20"/>
        </w:rPr>
        <w:fldChar w:fldCharType="begin"/>
      </w:r>
      <w:r w:rsidRPr="000A75F3">
        <w:rPr>
          <w:rFonts w:ascii="Times New Roman" w:hAnsi="Times New Roman" w:cs="Times New Roman"/>
          <w:i w:val="0"/>
          <w:iCs w:val="0"/>
          <w:color w:val="000000" w:themeColor="text1"/>
          <w:sz w:val="20"/>
          <w:szCs w:val="20"/>
        </w:rPr>
        <w:instrText xml:space="preserve"> SEQ Görüntü \* ARABIC </w:instrText>
      </w:r>
      <w:r w:rsidRPr="000A75F3">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2</w:t>
      </w:r>
      <w:r w:rsidRPr="000A75F3">
        <w:rPr>
          <w:rFonts w:ascii="Times New Roman" w:hAnsi="Times New Roman" w:cs="Times New Roman"/>
          <w:i w:val="0"/>
          <w:iCs w:val="0"/>
          <w:color w:val="000000" w:themeColor="text1"/>
          <w:sz w:val="20"/>
          <w:szCs w:val="20"/>
        </w:rPr>
        <w:fldChar w:fldCharType="end"/>
      </w:r>
      <w:r w:rsidRPr="000A75F3">
        <w:rPr>
          <w:rFonts w:ascii="Times New Roman" w:hAnsi="Times New Roman" w:cs="Times New Roman"/>
          <w:i w:val="0"/>
          <w:iCs w:val="0"/>
          <w:color w:val="000000" w:themeColor="text1"/>
          <w:sz w:val="20"/>
          <w:szCs w:val="20"/>
        </w:rPr>
        <w:t>: Yapay Zekâ ve Sinema</w:t>
      </w:r>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2961A2DF" w14:textId="2698EEAD" w:rsidR="00FA457D" w:rsidRPr="006E0742" w:rsidRDefault="00FA457D" w:rsidP="00FA457D">
      <w:pPr>
        <w:jc w:val="both"/>
      </w:pPr>
      <w:r>
        <w:t xml:space="preserve">Filmde yapay zekâ teknolojisi, kendisini evrimsel bir sürecin geldiği son nokta olarak lanse ederek sinemanın kendisinden yararlanmasının bir gereklilik olduğuna gönderme yapmaktadır. İlaveten filmdeki yapım şirketi sahibi de bundan sonraki süreçte bir endüstri olarak sinemanın yolculuğuna yapay zekâ </w:t>
      </w:r>
      <w:proofErr w:type="gramStart"/>
      <w:r>
        <w:t>ile birlikte</w:t>
      </w:r>
      <w:proofErr w:type="gramEnd"/>
      <w:r>
        <w:t xml:space="preserve"> devam edeceğinin altını çizmektedir. Günümüzde Hollywood’da 20th Century Fox isimli yapım şirketi </w:t>
      </w:r>
      <w:proofErr w:type="spellStart"/>
      <w:r>
        <w:t>Merlin</w:t>
      </w:r>
      <w:proofErr w:type="spellEnd"/>
      <w:r>
        <w:t xml:space="preserve"> isimli yapay zekâ sistemi vasıtasıyla çekilecek olan filmlerin tutup tutmayacağına dair analizler yapmaktadır. Yine Belçika’da </w:t>
      </w:r>
      <w:proofErr w:type="spellStart"/>
      <w:r>
        <w:t>ScriptBook</w:t>
      </w:r>
      <w:proofErr w:type="spellEnd"/>
      <w:r>
        <w:t xml:space="preserve"> adlı yapay zekâ uygulaması da film senaryolarının başarılı olup olmayacağına dair bir analiz gerçekleştirmektedir. İlaveten New York Üniversitesinde yapay zekâ teknolojilerine dair çalışmalar gerçekleştiren Ross </w:t>
      </w:r>
      <w:proofErr w:type="spellStart"/>
      <w:r>
        <w:t>Godwin’in</w:t>
      </w:r>
      <w:proofErr w:type="spellEnd"/>
      <w:r>
        <w:t xml:space="preserve"> geliştirdiği Benjamin adındaki uygulama, </w:t>
      </w:r>
      <w:proofErr w:type="spellStart"/>
      <w:r>
        <w:t>Sunspring</w:t>
      </w:r>
      <w:proofErr w:type="spellEnd"/>
      <w:r>
        <w:t xml:space="preserve"> isminde bir bilimkurgu kısa film senaryosu ortaya çıkarmıştır (Zengin, 2020: 160-161).</w:t>
      </w:r>
    </w:p>
    <w:p w14:paraId="21B220CD" w14:textId="540933FE" w:rsidR="00FA457D" w:rsidRPr="00367B17" w:rsidRDefault="00FA457D" w:rsidP="00FA457D">
      <w:pPr>
        <w:spacing w:before="120" w:after="120"/>
        <w:jc w:val="both"/>
      </w:pPr>
      <w:r>
        <w:t>F</w:t>
      </w:r>
      <w:r w:rsidRPr="00367B17">
        <w:t>ilmde</w:t>
      </w:r>
      <w:r>
        <w:t xml:space="preserve"> </w:t>
      </w:r>
      <w:r w:rsidRPr="00367B17">
        <w:t xml:space="preserve">Jack’in yapay zekâ ile </w:t>
      </w:r>
      <w:r>
        <w:t xml:space="preserve">senaryo </w:t>
      </w:r>
      <w:r w:rsidRPr="00367B17">
        <w:t>çalıştığı sahneler, sinema sanatının insanın yaratım sürecinden uzaklaşa</w:t>
      </w:r>
      <w:r>
        <w:t>cağına işaret etmektedir. Bu bağlamda bir sanat olarak sinema,</w:t>
      </w:r>
      <w:r w:rsidRPr="00367B17">
        <w:t xml:space="preserve"> Hegel’in sanat için ifade ettiği “hakikatin taşıyıcısı’’ (</w:t>
      </w:r>
      <w:proofErr w:type="spellStart"/>
      <w:r w:rsidRPr="00367B17">
        <w:t>Pippen</w:t>
      </w:r>
      <w:proofErr w:type="spellEnd"/>
      <w:r w:rsidRPr="00367B17">
        <w:t>, 2014: 98) olma niteliğini kaybet</w:t>
      </w:r>
      <w:r>
        <w:t xml:space="preserve">me </w:t>
      </w:r>
      <w:r>
        <w:lastRenderedPageBreak/>
        <w:t xml:space="preserve">durumuna sürüklenebilir. </w:t>
      </w:r>
      <w:r w:rsidRPr="00367B17">
        <w:t>İncelenen filmin senaryosunun yapay zekâ ile yazılması ve film içinde Jack’in yerini yapay zekânın almış olması, öznenin hakiki olanı kavrayarak ifade etme yetisini elinden almaktadır. Hegel’e göre (1977: 10);</w:t>
      </w:r>
      <w:r>
        <w:t xml:space="preserve"> “</w:t>
      </w:r>
      <w:r w:rsidRPr="00367B17">
        <w:t>her şey hakiki olanı yalnızca bir töz olarak değil, özne olarak da kavramaya ve ifade etmeye dayanır”</w:t>
      </w:r>
      <w:r>
        <w:t>. Dolayısıyla yapay zekânın sinemada etkin hale gelmesi, öznenin yaratım sürecindeki rolünü zayıflatmaktadır.</w:t>
      </w:r>
    </w:p>
    <w:p w14:paraId="49A11F81" w14:textId="77777777" w:rsidR="00FA457D" w:rsidRPr="00F364C1" w:rsidRDefault="00FA457D">
      <w:pPr>
        <w:pStyle w:val="ListeParagraf"/>
        <w:widowControl/>
        <w:numPr>
          <w:ilvl w:val="1"/>
          <w:numId w:val="35"/>
        </w:numPr>
        <w:autoSpaceDE/>
        <w:autoSpaceDN/>
        <w:ind w:left="426" w:hanging="426"/>
        <w:jc w:val="both"/>
        <w:rPr>
          <w:b/>
          <w:bCs/>
        </w:rPr>
      </w:pPr>
      <w:r w:rsidRPr="00F364C1">
        <w:rPr>
          <w:b/>
          <w:bCs/>
        </w:rPr>
        <w:t>Yapay Zekâ ve Karakterlerin Dönüşümü</w:t>
      </w:r>
    </w:p>
    <w:p w14:paraId="45427932" w14:textId="77777777" w:rsidR="00FA457D" w:rsidRPr="00091E71" w:rsidRDefault="00FA457D" w:rsidP="008003D6">
      <w:pPr>
        <w:jc w:val="both"/>
      </w:pPr>
      <w:r w:rsidRPr="00091E71">
        <w:t>Bu başlık altında film süresince yapay zekâ ile etkileşime giren Jack ve eşi</w:t>
      </w:r>
      <w:r>
        <w:t xml:space="preserve"> Sarah’ın </w:t>
      </w:r>
      <w:r w:rsidRPr="00091E71">
        <w:t xml:space="preserve">karakter olarak yaşadıkları değişim ve dönüşüm değerlendirilmektedir. Filmin ilk dakikalarında yazdığı senaryo sonucunda kazandığı ödülü alırken </w:t>
      </w:r>
      <w:r>
        <w:t xml:space="preserve">gösterilen </w:t>
      </w:r>
      <w:r w:rsidRPr="00091E71">
        <w:t>Jack oldukça mutlu</w:t>
      </w:r>
      <w:r>
        <w:t>dur</w:t>
      </w:r>
      <w:r w:rsidRPr="00091E71">
        <w:t>. Bu mutluluk, ödül</w:t>
      </w:r>
      <w:r>
        <w:t xml:space="preserve"> töreninin </w:t>
      </w:r>
      <w:r w:rsidRPr="00091E71">
        <w:t xml:space="preserve">ardından </w:t>
      </w:r>
      <w:r>
        <w:t>eşi</w:t>
      </w:r>
      <w:r w:rsidRPr="00091E71">
        <w:t xml:space="preserve"> ve arkadaşlarıyla </w:t>
      </w:r>
      <w:r>
        <w:t>katıldığı kutlama yemeğinde de</w:t>
      </w:r>
      <w:r w:rsidRPr="00091E71">
        <w:t xml:space="preserve"> </w:t>
      </w:r>
      <w:r>
        <w:t>devam etmektedir.</w:t>
      </w:r>
    </w:p>
    <w:p w14:paraId="22304B22" w14:textId="77777777" w:rsidR="00FA457D" w:rsidRDefault="00FA457D" w:rsidP="00FA457D">
      <w:pPr>
        <w:keepNext/>
        <w:jc w:val="center"/>
      </w:pPr>
      <w:r>
        <w:rPr>
          <w:b/>
          <w:bCs/>
          <w:noProof/>
        </w:rPr>
        <w:drawing>
          <wp:inline distT="0" distB="0" distL="0" distR="0" wp14:anchorId="38D281CC" wp14:editId="36F8C684">
            <wp:extent cx="3241040" cy="3241040"/>
            <wp:effectExtent l="0" t="0" r="0" b="0"/>
            <wp:docPr id="26381346" name="Resim 4" descr="insan yüzü, kişi, şahıs, adam, insan, giyi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1346" name="Resim 4" descr="insan yüzü, kişi, şahıs, adam, insan, giyim içeren bir resim&#10;&#10;Yapay zeka tarafından oluşturulan içerik yanlış olabilir."/>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241040" cy="3241040"/>
                    </a:xfrm>
                    <a:prstGeom prst="rect">
                      <a:avLst/>
                    </a:prstGeom>
                  </pic:spPr>
                </pic:pic>
              </a:graphicData>
            </a:graphic>
          </wp:inline>
        </w:drawing>
      </w:r>
    </w:p>
    <w:p w14:paraId="31BF1445" w14:textId="579AF2EA" w:rsidR="00FA457D" w:rsidRPr="000A75F3" w:rsidRDefault="00FA457D" w:rsidP="00FA457D">
      <w:pPr>
        <w:pStyle w:val="ResimYazs"/>
        <w:jc w:val="center"/>
        <w:rPr>
          <w:rFonts w:ascii="Times New Roman" w:hAnsi="Times New Roman" w:cs="Times New Roman"/>
          <w:b/>
          <w:bCs/>
          <w:i w:val="0"/>
          <w:iCs w:val="0"/>
          <w:color w:val="000000" w:themeColor="text1"/>
          <w:sz w:val="20"/>
          <w:szCs w:val="20"/>
        </w:rPr>
      </w:pPr>
      <w:r w:rsidRPr="000A75F3">
        <w:rPr>
          <w:rFonts w:ascii="Times New Roman" w:hAnsi="Times New Roman" w:cs="Times New Roman"/>
          <w:i w:val="0"/>
          <w:iCs w:val="0"/>
          <w:color w:val="000000" w:themeColor="text1"/>
          <w:sz w:val="20"/>
          <w:szCs w:val="20"/>
        </w:rPr>
        <w:t xml:space="preserve">Görüntü </w:t>
      </w:r>
      <w:r w:rsidRPr="000A75F3">
        <w:rPr>
          <w:rFonts w:ascii="Times New Roman" w:hAnsi="Times New Roman" w:cs="Times New Roman"/>
          <w:i w:val="0"/>
          <w:iCs w:val="0"/>
          <w:color w:val="000000" w:themeColor="text1"/>
          <w:sz w:val="20"/>
          <w:szCs w:val="20"/>
        </w:rPr>
        <w:fldChar w:fldCharType="begin"/>
      </w:r>
      <w:r w:rsidRPr="000A75F3">
        <w:rPr>
          <w:rFonts w:ascii="Times New Roman" w:hAnsi="Times New Roman" w:cs="Times New Roman"/>
          <w:i w:val="0"/>
          <w:iCs w:val="0"/>
          <w:color w:val="000000" w:themeColor="text1"/>
          <w:sz w:val="20"/>
          <w:szCs w:val="20"/>
        </w:rPr>
        <w:instrText xml:space="preserve"> SEQ Görüntü \* ARABIC </w:instrText>
      </w:r>
      <w:r w:rsidRPr="000A75F3">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3</w:t>
      </w:r>
      <w:r w:rsidRPr="000A75F3">
        <w:rPr>
          <w:rFonts w:ascii="Times New Roman" w:hAnsi="Times New Roman" w:cs="Times New Roman"/>
          <w:i w:val="0"/>
          <w:iCs w:val="0"/>
          <w:color w:val="000000" w:themeColor="text1"/>
          <w:sz w:val="20"/>
          <w:szCs w:val="20"/>
        </w:rPr>
        <w:fldChar w:fldCharType="end"/>
      </w:r>
      <w:r w:rsidRPr="000A75F3">
        <w:rPr>
          <w:rFonts w:ascii="Times New Roman" w:hAnsi="Times New Roman" w:cs="Times New Roman"/>
          <w:i w:val="0"/>
          <w:iCs w:val="0"/>
          <w:color w:val="000000" w:themeColor="text1"/>
          <w:sz w:val="20"/>
          <w:szCs w:val="20"/>
        </w:rPr>
        <w:t xml:space="preserve">: Karakterlerin Dönüşümü: </w:t>
      </w:r>
      <w:r>
        <w:rPr>
          <w:rFonts w:ascii="Times New Roman" w:hAnsi="Times New Roman" w:cs="Times New Roman"/>
          <w:i w:val="0"/>
          <w:iCs w:val="0"/>
          <w:color w:val="000000" w:themeColor="text1"/>
          <w:sz w:val="20"/>
          <w:szCs w:val="20"/>
        </w:rPr>
        <w:t xml:space="preserve">Filmin </w:t>
      </w:r>
      <w:r w:rsidRPr="000A75F3">
        <w:rPr>
          <w:rFonts w:ascii="Times New Roman" w:hAnsi="Times New Roman" w:cs="Times New Roman"/>
          <w:i w:val="0"/>
          <w:iCs w:val="0"/>
          <w:color w:val="000000" w:themeColor="text1"/>
          <w:sz w:val="20"/>
          <w:szCs w:val="20"/>
        </w:rPr>
        <w:t>İlk Sahneler</w:t>
      </w:r>
      <w:r>
        <w:rPr>
          <w:rFonts w:ascii="Times New Roman" w:hAnsi="Times New Roman" w:cs="Times New Roman"/>
          <w:i w:val="0"/>
          <w:iCs w:val="0"/>
          <w:color w:val="000000" w:themeColor="text1"/>
          <w:sz w:val="20"/>
          <w:szCs w:val="20"/>
        </w:rPr>
        <w:t>i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0A796865" w14:textId="001C8C9E" w:rsidR="00FA457D" w:rsidRDefault="00FA457D" w:rsidP="00FA457D">
      <w:pPr>
        <w:spacing w:before="120" w:after="120"/>
        <w:jc w:val="both"/>
      </w:pPr>
      <w:r w:rsidRPr="007652BE">
        <w:t>Film</w:t>
      </w:r>
      <w:r>
        <w:t>in</w:t>
      </w:r>
      <w:r w:rsidRPr="007652BE">
        <w:t xml:space="preserve"> ortalarında</w:t>
      </w:r>
      <w:r>
        <w:t xml:space="preserve"> ise,</w:t>
      </w:r>
      <w:r w:rsidRPr="007652BE">
        <w:t xml:space="preserve"> yapay zekâdan destek alarak senaryo yazmaya başlayan Jack</w:t>
      </w:r>
      <w:r>
        <w:t>,</w:t>
      </w:r>
      <w:r w:rsidRPr="007652BE">
        <w:t xml:space="preserve"> değişmeye </w:t>
      </w:r>
      <w:r>
        <w:t xml:space="preserve">başlamıştır. Jack’in bu değişimi, Sarah’ı da etkilemiş ve onu da değiştirmiştir. </w:t>
      </w:r>
      <w:r w:rsidRPr="007652BE">
        <w:t>Yoğun saatler yapay zekâ aracıyla zaman geçiren Jack, ailesini ihmal etmeye</w:t>
      </w:r>
      <w:r>
        <w:t xml:space="preserve"> başlamış</w:t>
      </w:r>
      <w:r w:rsidRPr="007652BE">
        <w:t xml:space="preserve"> ve kendi kendi</w:t>
      </w:r>
      <w:r>
        <w:t>ne</w:t>
      </w:r>
      <w:r w:rsidRPr="007652BE">
        <w:t xml:space="preserve"> bir şey </w:t>
      </w:r>
      <w:r>
        <w:t>yazamaz hale gelmiştir</w:t>
      </w:r>
      <w:r w:rsidRPr="007652BE">
        <w:t xml:space="preserve">. </w:t>
      </w:r>
      <w:r>
        <w:t xml:space="preserve">Bu durum yaşanırken Sarah da yalnız kalmış ve depresif bir ruh haline bürünmüştür. En nihayetinde, </w:t>
      </w:r>
      <w:r w:rsidRPr="007652BE">
        <w:t>Sarah</w:t>
      </w:r>
      <w:r>
        <w:t xml:space="preserve"> oğluyla birlikte </w:t>
      </w:r>
      <w:r w:rsidRPr="007652BE">
        <w:t>evi terk etmiş, Jack depresyona girmiş ve yeniden tek başına yazmanın yollarını aramaya başlamıştır.</w:t>
      </w:r>
      <w:r>
        <w:t xml:space="preserve"> Film bu sahneleriyle 1940 ve 1950’li yıllarda dikkat çekmeye başlayan </w:t>
      </w:r>
      <w:proofErr w:type="spellStart"/>
      <w:r>
        <w:t>tech-noir</w:t>
      </w:r>
      <w:proofErr w:type="spellEnd"/>
      <w:r>
        <w:t xml:space="preserve"> sinema türünün özelliklerini barındırmaktadır. </w:t>
      </w:r>
      <w:proofErr w:type="spellStart"/>
      <w:r>
        <w:t>Tech-noir</w:t>
      </w:r>
      <w:proofErr w:type="spellEnd"/>
      <w:r>
        <w:t>, teknolojinin karanlık yönlerini ve insan doğasının olumsuz taraflarıyla etkileşime girmesini konu alan bir film türüdür (</w:t>
      </w:r>
      <w:proofErr w:type="spellStart"/>
      <w:r>
        <w:t>Booker</w:t>
      </w:r>
      <w:proofErr w:type="spellEnd"/>
      <w:r>
        <w:t xml:space="preserve">, 2020: 418; </w:t>
      </w:r>
      <w:proofErr w:type="spellStart"/>
      <w:r>
        <w:t>Meehan</w:t>
      </w:r>
      <w:proofErr w:type="spellEnd"/>
      <w:r>
        <w:t>, 2008: 13).</w:t>
      </w:r>
    </w:p>
    <w:p w14:paraId="6EA6AF8C" w14:textId="77777777" w:rsidR="00FA457D" w:rsidRPr="00B06D47" w:rsidRDefault="00FA457D" w:rsidP="00FA457D">
      <w:pPr>
        <w:spacing w:before="120" w:after="120"/>
        <w:jc w:val="both"/>
      </w:pPr>
      <w:r>
        <w:t xml:space="preserve">İlaveten, Jack’in üretme yeteneğini kaybetmiş mutsuz hali hem kendisine hem çevresine yönelik bir yabancılaşma süreci içinde olduğuna işaret etmektedir. Bireyin kendi ile içinde bulunduğu toplumsal yaşamın arasında var olan ilişki ve etkileşimin bozulması bu yabancılaşma durumunu ortaya çıkarmaktadır (Kalaman &amp; </w:t>
      </w:r>
      <w:proofErr w:type="spellStart"/>
      <w:r>
        <w:t>Önür</w:t>
      </w:r>
      <w:proofErr w:type="spellEnd"/>
      <w:r>
        <w:t xml:space="preserve">, 2016: 281).  Jack’in çok başarılı bir senaryo yazarıyken bu işi yapmak için yapay zekâ teknolojisinden yararlanmaya başlaması ve bunun sonucunda bir şey yazamaz hale gelmesi; işine, emeğine, kendisine ve </w:t>
      </w:r>
      <w:r>
        <w:lastRenderedPageBreak/>
        <w:t>çevresine yabancılaşmasına zemin hazırlamaktadır. Dijital teknolojilerin hâkim olduğu bir ortamda bireyler ihtiyaçlarını gidermek için teknolojik makinelere yönelmektedir. Bu durum, bireylerin öz doğalarından ve benliklerinden uzaklaşmasına neden olarak başkalarıyla da anlamlı ilişkiler kuramaz hale gelmesine ortam hazırlamaktadır. Böylece bireyler, dijital yabancılaşmanın kurbanı haline gelmektedir (</w:t>
      </w:r>
      <w:proofErr w:type="spellStart"/>
      <w:r w:rsidRPr="005B54C1">
        <w:t>Ibtissem</w:t>
      </w:r>
      <w:proofErr w:type="spellEnd"/>
      <w:r w:rsidRPr="005B54C1">
        <w:t>,</w:t>
      </w:r>
      <w:r>
        <w:t xml:space="preserve"> 2024: 3).</w:t>
      </w:r>
    </w:p>
    <w:p w14:paraId="0BA98B4B" w14:textId="624B27BE" w:rsidR="00FA457D" w:rsidRDefault="00FA457D" w:rsidP="00FA457D">
      <w:pPr>
        <w:spacing w:before="120" w:after="120"/>
        <w:jc w:val="both"/>
      </w:pPr>
      <w:r w:rsidRPr="004076CA">
        <w:t>Gr</w:t>
      </w:r>
      <w:r>
        <w:t xml:space="preserve">iffiths (2005: 193-195), teknoloji bağımlılığı ile ilgili dijital ve online oyunlardan yola çıkarak altı aşama belirlemiştir. Bunlardan ilkini oluşturan </w:t>
      </w:r>
      <w:r w:rsidRPr="004076CA">
        <w:rPr>
          <w:i/>
          <w:iCs/>
        </w:rPr>
        <w:t>önem verme</w:t>
      </w:r>
      <w:r>
        <w:t xml:space="preserve"> sürecinde kişi, oyun dışı zamanda dahi oyunu düşünmektedir. Bu da kişinin gündelik rutinlerini tam anlamıyla yerine getirememesine neden olmaktadır. </w:t>
      </w:r>
      <w:r w:rsidRPr="004076CA">
        <w:rPr>
          <w:i/>
          <w:iCs/>
        </w:rPr>
        <w:t>Ruh hali değişikliği</w:t>
      </w:r>
      <w:r>
        <w:t xml:space="preserve"> adındaki ikinci süreçte ise birey, oyun oynayarak günlük problemlerden kaçma yoluna gitmektedir. Bireyin oyun oynarken deneyimlediği olumlu hissi yoğunlaştırmak için aşama </w:t>
      </w:r>
      <w:proofErr w:type="spellStart"/>
      <w:r>
        <w:t>aşama</w:t>
      </w:r>
      <w:proofErr w:type="spellEnd"/>
      <w:r>
        <w:t xml:space="preserve"> oyun oynama süresini arttırması da </w:t>
      </w:r>
      <w:r w:rsidRPr="004076CA">
        <w:rPr>
          <w:i/>
          <w:iCs/>
        </w:rPr>
        <w:t xml:space="preserve">tolerans </w:t>
      </w:r>
      <w:r>
        <w:t xml:space="preserve">periyodunu oluşturmaktadır. </w:t>
      </w:r>
      <w:r w:rsidRPr="001B52CC">
        <w:rPr>
          <w:i/>
          <w:iCs/>
        </w:rPr>
        <w:t>Yoksunluk belirtileri</w:t>
      </w:r>
      <w:r>
        <w:t xml:space="preserve"> adındaki dördüncü aşamada kişi, oyundan uzak kaldığında ve oyuna erişemediğinde </w:t>
      </w:r>
      <w:proofErr w:type="spellStart"/>
      <w:r>
        <w:t>titireme</w:t>
      </w:r>
      <w:proofErr w:type="spellEnd"/>
      <w:r>
        <w:t xml:space="preserve">, öfke ve ruhsal gelgitler yaşamaya başlamaktadır. Beşinci süreç olan </w:t>
      </w:r>
      <w:r w:rsidRPr="001B52CC">
        <w:rPr>
          <w:i/>
          <w:iCs/>
        </w:rPr>
        <w:t>düşünce ayrılıkları</w:t>
      </w:r>
      <w:r>
        <w:t xml:space="preserve"> kısmında, birey yoğun olarak oyun ile zaman geçirdiği için çevresinden kopmaktadır. Bu da onun ailesi ve arkadaşlarıyla çatışma yaşamasına neden olmaktadır. Son aşama ise </w:t>
      </w:r>
      <w:r w:rsidRPr="001B52CC">
        <w:rPr>
          <w:i/>
          <w:iCs/>
        </w:rPr>
        <w:t>tekrarlama</w:t>
      </w:r>
      <w:r>
        <w:t>dır. Bu aşamada birey, oyun ile olan bağını koparmak ister ve bu noktada başarısız olursa daha yoğun bir şekilde bağımlılık davranışları sergileyebilir.</w:t>
      </w:r>
    </w:p>
    <w:p w14:paraId="0251726C" w14:textId="78409384" w:rsidR="00FA457D" w:rsidRPr="00831D5D" w:rsidRDefault="00FA457D" w:rsidP="00FA457D">
      <w:pPr>
        <w:spacing w:before="120" w:after="120"/>
        <w:jc w:val="both"/>
      </w:pPr>
      <w:r>
        <w:t xml:space="preserve">Jack de filmin başından ortalarına kadar geçen süre içerisinde yukarıda ifade edilen aşamalara karşılık gelen bağımlılık davranışları sergilemektedir. Jack yapay zekâ aracından uzak kaldığında dahi onu düşünmekte ve ona oldukça </w:t>
      </w:r>
      <w:r w:rsidRPr="00F32361">
        <w:rPr>
          <w:i/>
          <w:iCs/>
        </w:rPr>
        <w:t>önem verme</w:t>
      </w:r>
      <w:r>
        <w:t xml:space="preserve">ktedir. Böylece gündelik pratiklerden kopan Jack’in </w:t>
      </w:r>
      <w:r w:rsidRPr="00F32361">
        <w:rPr>
          <w:i/>
          <w:iCs/>
        </w:rPr>
        <w:t xml:space="preserve">ruh hali değişikliği </w:t>
      </w:r>
      <w:r>
        <w:t xml:space="preserve">sahne görsellerinden de anlaşılmaktadır. Bununla birlikte Jack, bu durumdan kaçınmak için yapay zekâ ile daha yoğun zaman geçirmeye yönelerek </w:t>
      </w:r>
      <w:r w:rsidRPr="00F32361">
        <w:rPr>
          <w:i/>
          <w:iCs/>
        </w:rPr>
        <w:t xml:space="preserve">tolerans </w:t>
      </w:r>
      <w:r>
        <w:t xml:space="preserve">aşamasına karşılık gelen bir ruh haline bürünmektedir. Eşi Sarah ve oğlu ile vakit geçirmemesi, ruh halinde gelgitler yaşaması ve öfkelenmesi gibi duygu durumları da </w:t>
      </w:r>
      <w:r w:rsidRPr="00F32361">
        <w:rPr>
          <w:i/>
          <w:iCs/>
        </w:rPr>
        <w:t>yoksunluk belirtileri</w:t>
      </w:r>
      <w:r>
        <w:t xml:space="preserve"> ile </w:t>
      </w:r>
      <w:r w:rsidRPr="00831D5D">
        <w:rPr>
          <w:i/>
          <w:iCs/>
        </w:rPr>
        <w:t>düşünce ayrılıkları</w:t>
      </w:r>
      <w:r>
        <w:t xml:space="preserve"> süreçlerine denk düşmektedir. Ancak Jack, yapay zekâ ile kurduğu bağı koparabildiği için t</w:t>
      </w:r>
      <w:r w:rsidRPr="00831D5D">
        <w:rPr>
          <w:i/>
          <w:iCs/>
        </w:rPr>
        <w:t xml:space="preserve">ekrarlama </w:t>
      </w:r>
      <w:r>
        <w:t>aşamasına örnek davranışlar sergilememektedir.</w:t>
      </w:r>
    </w:p>
    <w:p w14:paraId="099F593A" w14:textId="77777777" w:rsidR="00FA457D" w:rsidRDefault="00FA457D" w:rsidP="00FA457D">
      <w:pPr>
        <w:keepNext/>
        <w:jc w:val="center"/>
      </w:pPr>
      <w:r>
        <w:rPr>
          <w:b/>
          <w:bCs/>
          <w:noProof/>
        </w:rPr>
        <w:lastRenderedPageBreak/>
        <w:drawing>
          <wp:inline distT="0" distB="0" distL="0" distR="0" wp14:anchorId="31CD95E9" wp14:editId="50B12582">
            <wp:extent cx="3515360" cy="3515360"/>
            <wp:effectExtent l="0" t="0" r="2540" b="2540"/>
            <wp:docPr id="920005289" name="Resim 5" descr="giyim, kişi, şahıs, adam, insan, mobily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05289" name="Resim 5" descr="giyim, kişi, şahıs, adam, insan, mobilya içeren bir resim&#10;&#10;Yapay zeka tarafından oluşturulan içerik yanlış olabilir."/>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3515360" cy="3515360"/>
                    </a:xfrm>
                    <a:prstGeom prst="rect">
                      <a:avLst/>
                    </a:prstGeom>
                  </pic:spPr>
                </pic:pic>
              </a:graphicData>
            </a:graphic>
          </wp:inline>
        </w:drawing>
      </w:r>
    </w:p>
    <w:p w14:paraId="412EBE32" w14:textId="485B878A" w:rsidR="00FA457D" w:rsidRPr="000A75F3" w:rsidRDefault="00FA457D" w:rsidP="00FA457D">
      <w:pPr>
        <w:pStyle w:val="ResimYazs"/>
        <w:jc w:val="center"/>
        <w:rPr>
          <w:rFonts w:ascii="Times New Roman" w:hAnsi="Times New Roman" w:cs="Times New Roman"/>
          <w:b/>
          <w:bCs/>
          <w:i w:val="0"/>
          <w:iCs w:val="0"/>
          <w:color w:val="000000" w:themeColor="text1"/>
          <w:sz w:val="20"/>
          <w:szCs w:val="20"/>
        </w:rPr>
      </w:pPr>
      <w:r w:rsidRPr="000A75F3">
        <w:rPr>
          <w:rFonts w:ascii="Times New Roman" w:hAnsi="Times New Roman" w:cs="Times New Roman"/>
          <w:i w:val="0"/>
          <w:iCs w:val="0"/>
          <w:color w:val="000000" w:themeColor="text1"/>
          <w:sz w:val="20"/>
          <w:szCs w:val="20"/>
        </w:rPr>
        <w:t xml:space="preserve">Görüntü </w:t>
      </w:r>
      <w:r w:rsidRPr="000A75F3">
        <w:rPr>
          <w:rFonts w:ascii="Times New Roman" w:hAnsi="Times New Roman" w:cs="Times New Roman"/>
          <w:i w:val="0"/>
          <w:iCs w:val="0"/>
          <w:color w:val="000000" w:themeColor="text1"/>
          <w:sz w:val="20"/>
          <w:szCs w:val="20"/>
        </w:rPr>
        <w:fldChar w:fldCharType="begin"/>
      </w:r>
      <w:r w:rsidRPr="000A75F3">
        <w:rPr>
          <w:rFonts w:ascii="Times New Roman" w:hAnsi="Times New Roman" w:cs="Times New Roman"/>
          <w:i w:val="0"/>
          <w:iCs w:val="0"/>
          <w:color w:val="000000" w:themeColor="text1"/>
          <w:sz w:val="20"/>
          <w:szCs w:val="20"/>
        </w:rPr>
        <w:instrText xml:space="preserve"> SEQ Görüntü \* ARABIC </w:instrText>
      </w:r>
      <w:r w:rsidRPr="000A75F3">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4</w:t>
      </w:r>
      <w:r w:rsidRPr="000A75F3">
        <w:rPr>
          <w:rFonts w:ascii="Times New Roman" w:hAnsi="Times New Roman" w:cs="Times New Roman"/>
          <w:i w:val="0"/>
          <w:iCs w:val="0"/>
          <w:color w:val="000000" w:themeColor="text1"/>
          <w:sz w:val="20"/>
          <w:szCs w:val="20"/>
        </w:rPr>
        <w:fldChar w:fldCharType="end"/>
      </w:r>
      <w:r w:rsidRPr="000A75F3">
        <w:rPr>
          <w:rFonts w:ascii="Times New Roman" w:hAnsi="Times New Roman" w:cs="Times New Roman"/>
          <w:i w:val="0"/>
          <w:iCs w:val="0"/>
          <w:color w:val="000000" w:themeColor="text1"/>
          <w:sz w:val="20"/>
          <w:szCs w:val="20"/>
        </w:rPr>
        <w:t xml:space="preserve">: Karakterlerin Dönüşümü: Filmin </w:t>
      </w:r>
      <w:r>
        <w:rPr>
          <w:rFonts w:ascii="Times New Roman" w:hAnsi="Times New Roman" w:cs="Times New Roman"/>
          <w:i w:val="0"/>
          <w:iCs w:val="0"/>
          <w:color w:val="000000" w:themeColor="text1"/>
          <w:sz w:val="20"/>
          <w:szCs w:val="20"/>
        </w:rPr>
        <w:t>Devamındaki</w:t>
      </w:r>
      <w:r w:rsidRPr="000A75F3">
        <w:rPr>
          <w:rFonts w:ascii="Times New Roman" w:hAnsi="Times New Roman" w:cs="Times New Roman"/>
          <w:i w:val="0"/>
          <w:iCs w:val="0"/>
          <w:color w:val="000000" w:themeColor="text1"/>
          <w:sz w:val="20"/>
          <w:szCs w:val="20"/>
        </w:rPr>
        <w:t xml:space="preserve"> Sahneler</w:t>
      </w:r>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39435082" w14:textId="606821F7" w:rsidR="00FA457D" w:rsidRPr="00603147" w:rsidRDefault="00FA457D" w:rsidP="00FA457D">
      <w:pPr>
        <w:jc w:val="both"/>
      </w:pPr>
      <w:r w:rsidRPr="00E97FA9">
        <w:t>Filmin ilerleyen sürecinde Jack kendini toparlar ve bir daktilonun başına oturarak yazmaya başlar. Burada Jack’in yapay zekâ aracından yararlanmayı bırakması bir kenara (zaten onu parçalamıştır) bilgisayar dahi kullanmaması dijital kültürden uzak bir ortam inşa etmeye dair çabaya işarettir. Bu şekilde senaryosun</w:t>
      </w:r>
      <w:r>
        <w:t>u</w:t>
      </w:r>
      <w:r w:rsidRPr="00E97FA9">
        <w:t xml:space="preserve"> tamamlayan Jack, </w:t>
      </w:r>
      <w:r>
        <w:t xml:space="preserve">eşi </w:t>
      </w:r>
      <w:r w:rsidRPr="00E97FA9">
        <w:t>Sarah</w:t>
      </w:r>
      <w:r>
        <w:t>’ın</w:t>
      </w:r>
      <w:r w:rsidRPr="00E97FA9">
        <w:t xml:space="preserve"> ve oğlunun yanına gider ve film dijital kültürden uzak bir ailenin mutlu halleriyle sona erer. </w:t>
      </w:r>
      <w:r>
        <w:t>Böylece Jack’in dijital yabancılaşmanın etkisinden ve Sarah’ın da depresif ruh halinden çıktığı vurgulanır.</w:t>
      </w:r>
    </w:p>
    <w:p w14:paraId="6674594D" w14:textId="77777777" w:rsidR="00FA457D" w:rsidRDefault="00FA457D" w:rsidP="00FA457D">
      <w:pPr>
        <w:keepNext/>
        <w:jc w:val="center"/>
      </w:pPr>
      <w:r>
        <w:rPr>
          <w:noProof/>
        </w:rPr>
        <w:drawing>
          <wp:inline distT="0" distB="0" distL="0" distR="0" wp14:anchorId="1C78B4B1" wp14:editId="69B14501">
            <wp:extent cx="3342640" cy="3342640"/>
            <wp:effectExtent l="0" t="0" r="0" b="0"/>
            <wp:docPr id="136965391" name="Resim 6" descr="kişi, şahıs, insan yüzü, oğlan, giyi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5391" name="Resim 6" descr="kişi, şahıs, insan yüzü, oğlan, giyim içeren bir resim&#10;&#10;Yapay zeka tarafından oluşturulan içerik yanlış olabilir."/>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3342640" cy="3342640"/>
                    </a:xfrm>
                    <a:prstGeom prst="rect">
                      <a:avLst/>
                    </a:prstGeom>
                  </pic:spPr>
                </pic:pic>
              </a:graphicData>
            </a:graphic>
          </wp:inline>
        </w:drawing>
      </w:r>
    </w:p>
    <w:p w14:paraId="1892C328" w14:textId="4BC5BE01" w:rsidR="00FA457D" w:rsidRPr="00F364C1" w:rsidRDefault="00FA457D" w:rsidP="00FA457D">
      <w:pPr>
        <w:pStyle w:val="ResimYazs"/>
        <w:jc w:val="center"/>
        <w:rPr>
          <w:rFonts w:ascii="Times New Roman" w:hAnsi="Times New Roman" w:cs="Times New Roman"/>
          <w:b/>
          <w:bCs/>
          <w:i w:val="0"/>
          <w:iCs w:val="0"/>
          <w:color w:val="000000" w:themeColor="text1"/>
          <w:sz w:val="20"/>
          <w:szCs w:val="20"/>
        </w:rPr>
      </w:pPr>
      <w:r w:rsidRPr="00A46541">
        <w:rPr>
          <w:rFonts w:ascii="Times New Roman" w:hAnsi="Times New Roman" w:cs="Times New Roman"/>
          <w:i w:val="0"/>
          <w:iCs w:val="0"/>
          <w:color w:val="000000" w:themeColor="text1"/>
          <w:sz w:val="20"/>
          <w:szCs w:val="20"/>
        </w:rPr>
        <w:t xml:space="preserve">Görüntü </w:t>
      </w:r>
      <w:r w:rsidRPr="00A46541">
        <w:rPr>
          <w:rFonts w:ascii="Times New Roman" w:hAnsi="Times New Roman" w:cs="Times New Roman"/>
          <w:i w:val="0"/>
          <w:iCs w:val="0"/>
          <w:color w:val="000000" w:themeColor="text1"/>
          <w:sz w:val="20"/>
          <w:szCs w:val="20"/>
        </w:rPr>
        <w:fldChar w:fldCharType="begin"/>
      </w:r>
      <w:r w:rsidRPr="00A46541">
        <w:rPr>
          <w:rFonts w:ascii="Times New Roman" w:hAnsi="Times New Roman" w:cs="Times New Roman"/>
          <w:i w:val="0"/>
          <w:iCs w:val="0"/>
          <w:color w:val="000000" w:themeColor="text1"/>
          <w:sz w:val="20"/>
          <w:szCs w:val="20"/>
        </w:rPr>
        <w:instrText xml:space="preserve"> SEQ Görüntü \* ARABIC </w:instrText>
      </w:r>
      <w:r w:rsidRPr="00A46541">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5</w:t>
      </w:r>
      <w:r w:rsidRPr="00A46541">
        <w:rPr>
          <w:rFonts w:ascii="Times New Roman" w:hAnsi="Times New Roman" w:cs="Times New Roman"/>
          <w:i w:val="0"/>
          <w:iCs w:val="0"/>
          <w:color w:val="000000" w:themeColor="text1"/>
          <w:sz w:val="20"/>
          <w:szCs w:val="20"/>
        </w:rPr>
        <w:fldChar w:fldCharType="end"/>
      </w:r>
      <w:r w:rsidRPr="00A46541">
        <w:rPr>
          <w:rFonts w:ascii="Times New Roman" w:hAnsi="Times New Roman" w:cs="Times New Roman"/>
          <w:i w:val="0"/>
          <w:iCs w:val="0"/>
          <w:color w:val="000000" w:themeColor="text1"/>
          <w:sz w:val="20"/>
          <w:szCs w:val="20"/>
        </w:rPr>
        <w:t>: Karakterlerin Dönüşümü: Filmin Son Sahneler</w:t>
      </w:r>
      <w:r w:rsidRPr="00A46541">
        <w:rPr>
          <w:rFonts w:ascii="Times New Roman" w:hAnsi="Times New Roman" w:cs="Times New Roman"/>
          <w:i w:val="0"/>
          <w:iCs w:val="0"/>
          <w:noProof/>
          <w:color w:val="000000" w:themeColor="text1"/>
          <w:sz w:val="20"/>
          <w:szCs w:val="20"/>
        </w:rPr>
        <w:t>i</w:t>
      </w:r>
      <w:r>
        <w:rPr>
          <w:rFonts w:ascii="Times New Roman" w:hAnsi="Times New Roman" w:cs="Times New Roman"/>
          <w:i w:val="0"/>
          <w:iCs w:val="0"/>
          <w:noProof/>
          <w:color w:val="000000" w:themeColor="text1"/>
          <w:sz w:val="20"/>
          <w:szCs w:val="20"/>
        </w:rPr>
        <w:t xml:space="preserve"> </w:t>
      </w:r>
      <w:r>
        <w:rPr>
          <w:rFonts w:ascii="Times New Roman" w:hAnsi="Times New Roman" w:cs="Times New Roman"/>
          <w:i w:val="0"/>
          <w:iCs w:val="0"/>
          <w:color w:val="000000" w:themeColor="text1"/>
          <w:sz w:val="20"/>
          <w:szCs w:val="20"/>
        </w:rPr>
        <w:t>(</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51558363" w14:textId="15EBFA0B" w:rsidR="00FA457D" w:rsidRPr="00F364C1" w:rsidRDefault="00FA457D">
      <w:pPr>
        <w:pStyle w:val="ListeParagraf"/>
        <w:widowControl/>
        <w:numPr>
          <w:ilvl w:val="1"/>
          <w:numId w:val="35"/>
        </w:numPr>
        <w:autoSpaceDE/>
        <w:autoSpaceDN/>
        <w:ind w:left="426" w:hanging="426"/>
        <w:jc w:val="both"/>
        <w:rPr>
          <w:b/>
          <w:bCs/>
        </w:rPr>
      </w:pPr>
      <w:r w:rsidRPr="00F364C1">
        <w:rPr>
          <w:b/>
          <w:bCs/>
        </w:rPr>
        <w:lastRenderedPageBreak/>
        <w:t>Yapay Zekâ ve Hikâye Anlatıcılığı</w:t>
      </w:r>
    </w:p>
    <w:p w14:paraId="589E4D19" w14:textId="18E42E66" w:rsidR="00FA457D" w:rsidRDefault="00FA457D" w:rsidP="008003D6">
      <w:pPr>
        <w:jc w:val="both"/>
      </w:pPr>
      <w:r>
        <w:t xml:space="preserve">Bu başlık altında filmde senaryo yazan ve aynı zamanda filmin gerçek anlamda öyküsünü de kaleme alan yapay zekâ, bir hikâye anlatıcısı olarak incelenmekte ve değerlendirilmektedir.  Hikâye anlatıcılığına modernizm bağlamında deneyim olgusu üzerinden bakan Walter Benjamin’e göre (2012), sanayi devrimi sonrası modern toplumsal süreçte hakiki deneyime karşılık gelen hikâye anlatıcılığı etkisini yitirmiştir. Çünkü hakiki deneyim pratiği ortadan kalkmıştır. Benjamin, herhangi bir tahakküme ve yönlendirmeye uğramadan öznenin bizatihi kendisi olarak elde ettiği deneyim sürecini </w:t>
      </w:r>
      <w:proofErr w:type="spellStart"/>
      <w:r w:rsidRPr="001377CF">
        <w:rPr>
          <w:i/>
          <w:iCs/>
        </w:rPr>
        <w:t>erfahrung</w:t>
      </w:r>
      <w:proofErr w:type="spellEnd"/>
      <w:r w:rsidRPr="001377CF">
        <w:rPr>
          <w:i/>
          <w:iCs/>
        </w:rPr>
        <w:t xml:space="preserve"> </w:t>
      </w:r>
      <w:r>
        <w:t xml:space="preserve">olarak tanımlamaktadır. Sanayi devrimi sürecinin akabinde </w:t>
      </w:r>
      <w:proofErr w:type="spellStart"/>
      <w:r>
        <w:t>erfahrung</w:t>
      </w:r>
      <w:proofErr w:type="spellEnd"/>
      <w:r>
        <w:t xml:space="preserve"> yerini hakiki olmayan, aracılı, dönüştürülmüş ve öznenin başrolde olmadığı bir deneyim süreci olan </w:t>
      </w:r>
      <w:proofErr w:type="spellStart"/>
      <w:r w:rsidRPr="001377CF">
        <w:rPr>
          <w:i/>
          <w:iCs/>
        </w:rPr>
        <w:t>erlebnise</w:t>
      </w:r>
      <w:proofErr w:type="spellEnd"/>
      <w:r w:rsidRPr="001377CF">
        <w:rPr>
          <w:i/>
          <w:iCs/>
        </w:rPr>
        <w:t xml:space="preserve"> </w:t>
      </w:r>
      <w:r>
        <w:t>bırakmıştır.</w:t>
      </w:r>
    </w:p>
    <w:p w14:paraId="4C0093A5" w14:textId="04D4AD97" w:rsidR="00FA457D" w:rsidRDefault="00FA457D" w:rsidP="00FA457D">
      <w:pPr>
        <w:jc w:val="both"/>
      </w:pPr>
      <w:r>
        <w:t>Filmde bir hikâye anlatıcısı olarak Jack’in yaşadığı da bu kavramlarla örtüşmektedir. Filmin başlarında kendisini bir hikâye anlatıcısı olarak tanımlayan Jack, yapay zekâ ile çalışmaya başladıktan sonra ona hayranlık beslemeye başlamıştır. Aşağıda yer alan görüntüler de görüldüğü gibi Jack, günlerce sürecek olan işlerini dakikalar içinde tamamlayan yapay zekâ aracıyla vakit geçirmekten mutlu olurken onu “24 saat çalışan bir yazar odası” olarak tanımlamaktadır.</w:t>
      </w:r>
    </w:p>
    <w:p w14:paraId="4D2CF96E" w14:textId="77777777" w:rsidR="00FA457D" w:rsidRDefault="00FA457D" w:rsidP="00FA457D">
      <w:pPr>
        <w:keepNext/>
        <w:jc w:val="center"/>
      </w:pPr>
      <w:r>
        <w:rPr>
          <w:noProof/>
        </w:rPr>
        <w:drawing>
          <wp:inline distT="0" distB="0" distL="0" distR="0" wp14:anchorId="0ED4699B" wp14:editId="340973EE">
            <wp:extent cx="3362960" cy="3362960"/>
            <wp:effectExtent l="0" t="0" r="2540" b="2540"/>
            <wp:docPr id="99775421" name="Resim 7" descr="insan yüzü, ekran görüntüsü, adam, insan, kişi, şahıs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5421" name="Resim 7" descr="insan yüzü, ekran görüntüsü, adam, insan, kişi, şahıs içeren bir resim&#10;&#10;Yapay zeka tarafından oluşturulan içerik yanlış olabilir."/>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3362960" cy="3362960"/>
                    </a:xfrm>
                    <a:prstGeom prst="rect">
                      <a:avLst/>
                    </a:prstGeom>
                  </pic:spPr>
                </pic:pic>
              </a:graphicData>
            </a:graphic>
          </wp:inline>
        </w:drawing>
      </w:r>
    </w:p>
    <w:p w14:paraId="5169DEA8" w14:textId="01453687" w:rsidR="00FA457D" w:rsidRPr="003672D0" w:rsidRDefault="00FA457D" w:rsidP="00FA457D">
      <w:pPr>
        <w:pStyle w:val="ResimYazs"/>
        <w:jc w:val="center"/>
        <w:rPr>
          <w:rFonts w:ascii="Times New Roman" w:hAnsi="Times New Roman" w:cs="Times New Roman"/>
          <w:i w:val="0"/>
          <w:iCs w:val="0"/>
          <w:color w:val="000000" w:themeColor="text1"/>
          <w:sz w:val="20"/>
          <w:szCs w:val="20"/>
        </w:rPr>
      </w:pPr>
      <w:r w:rsidRPr="003672D0">
        <w:rPr>
          <w:rFonts w:ascii="Times New Roman" w:hAnsi="Times New Roman" w:cs="Times New Roman"/>
          <w:i w:val="0"/>
          <w:iCs w:val="0"/>
          <w:color w:val="000000" w:themeColor="text1"/>
          <w:sz w:val="20"/>
          <w:szCs w:val="20"/>
        </w:rPr>
        <w:t xml:space="preserve">Görüntü </w:t>
      </w:r>
      <w:r w:rsidRPr="003672D0">
        <w:rPr>
          <w:rFonts w:ascii="Times New Roman" w:hAnsi="Times New Roman" w:cs="Times New Roman"/>
          <w:i w:val="0"/>
          <w:iCs w:val="0"/>
          <w:color w:val="000000" w:themeColor="text1"/>
          <w:sz w:val="20"/>
          <w:szCs w:val="20"/>
        </w:rPr>
        <w:fldChar w:fldCharType="begin"/>
      </w:r>
      <w:r w:rsidRPr="003672D0">
        <w:rPr>
          <w:rFonts w:ascii="Times New Roman" w:hAnsi="Times New Roman" w:cs="Times New Roman"/>
          <w:i w:val="0"/>
          <w:iCs w:val="0"/>
          <w:color w:val="000000" w:themeColor="text1"/>
          <w:sz w:val="20"/>
          <w:szCs w:val="20"/>
        </w:rPr>
        <w:instrText xml:space="preserve"> SEQ Görüntü \* ARABIC </w:instrText>
      </w:r>
      <w:r w:rsidRPr="003672D0">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6</w:t>
      </w:r>
      <w:r w:rsidRPr="003672D0">
        <w:rPr>
          <w:rFonts w:ascii="Times New Roman" w:hAnsi="Times New Roman" w:cs="Times New Roman"/>
          <w:i w:val="0"/>
          <w:iCs w:val="0"/>
          <w:color w:val="000000" w:themeColor="text1"/>
          <w:sz w:val="20"/>
          <w:szCs w:val="20"/>
        </w:rPr>
        <w:fldChar w:fldCharType="end"/>
      </w:r>
      <w:r w:rsidRPr="003672D0">
        <w:rPr>
          <w:rFonts w:ascii="Times New Roman" w:hAnsi="Times New Roman" w:cs="Times New Roman"/>
          <w:i w:val="0"/>
          <w:iCs w:val="0"/>
          <w:color w:val="000000" w:themeColor="text1"/>
          <w:sz w:val="20"/>
          <w:szCs w:val="20"/>
        </w:rPr>
        <w:t>: Jack ve Yapay Zekâ</w:t>
      </w:r>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658FA9DF" w14:textId="6E14259C" w:rsidR="00FA457D" w:rsidRDefault="00FA457D" w:rsidP="00FA457D">
      <w:pPr>
        <w:jc w:val="both"/>
      </w:pPr>
      <w:r>
        <w:t xml:space="preserve">Ancak zaman içinde Jack, hikâye üretemeyen ve hikâye anlatımını yapay zekâya bırakan bir yazara dönüşerek özne olmaktan uzaklaşmaktadır. Dolayısıyla ne deneyim ne de anlatıcı olarak başrolde olan kendisi değildir. Bu da </w:t>
      </w:r>
      <w:proofErr w:type="spellStart"/>
      <w:r w:rsidRPr="001377CF">
        <w:rPr>
          <w:i/>
          <w:iCs/>
        </w:rPr>
        <w:t>erfahrungtan</w:t>
      </w:r>
      <w:proofErr w:type="spellEnd"/>
      <w:r>
        <w:t xml:space="preserve"> uzak </w:t>
      </w:r>
      <w:proofErr w:type="spellStart"/>
      <w:r w:rsidRPr="001377CF">
        <w:rPr>
          <w:i/>
          <w:iCs/>
        </w:rPr>
        <w:t>erlebnise</w:t>
      </w:r>
      <w:proofErr w:type="spellEnd"/>
      <w:r w:rsidRPr="001377CF">
        <w:rPr>
          <w:i/>
          <w:iCs/>
        </w:rPr>
        <w:t xml:space="preserve"> </w:t>
      </w:r>
      <w:r>
        <w:t>yakın bir durum oluşturmaktadır. Film ilerledikçe Jack’in deneyimlerini aktarma gücü tükenmektedir. Böylece Jack’in hali, Benjamin’in “deneyimlerimizi paylaşma yeteneğimiz elimizden alınmış gibi.” (2012: 77) biçiminde değerlendirdiği hakiki deneyimden uzak anlatıcıya karşılık gelmektedir.</w:t>
      </w:r>
    </w:p>
    <w:p w14:paraId="5374BDDB" w14:textId="77777777" w:rsidR="00FA457D" w:rsidRDefault="00FA457D" w:rsidP="00FA457D">
      <w:pPr>
        <w:keepNext/>
        <w:jc w:val="center"/>
      </w:pPr>
      <w:r>
        <w:rPr>
          <w:noProof/>
        </w:rPr>
        <w:lastRenderedPageBreak/>
        <w:drawing>
          <wp:inline distT="0" distB="0" distL="0" distR="0" wp14:anchorId="1AD0EDC3" wp14:editId="4D14DA59">
            <wp:extent cx="3220720" cy="3220720"/>
            <wp:effectExtent l="0" t="0" r="5080" b="5080"/>
            <wp:docPr id="102120881" name="Resim 8" descr="insan yüzü, adam, insan, ekran görüntüsü, giyi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0881" name="Resim 8" descr="insan yüzü, adam, insan, ekran görüntüsü, giyim içeren bir resim&#10;&#10;Yapay zeka tarafından oluşturulan içerik yanlış olabilir."/>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3220720" cy="3220720"/>
                    </a:xfrm>
                    <a:prstGeom prst="rect">
                      <a:avLst/>
                    </a:prstGeom>
                  </pic:spPr>
                </pic:pic>
              </a:graphicData>
            </a:graphic>
          </wp:inline>
        </w:drawing>
      </w:r>
    </w:p>
    <w:p w14:paraId="40A45F56" w14:textId="618F4B92" w:rsidR="00FA457D" w:rsidRPr="003672D0" w:rsidRDefault="00FA457D" w:rsidP="00FA457D">
      <w:pPr>
        <w:pStyle w:val="ResimYazs"/>
        <w:jc w:val="center"/>
        <w:rPr>
          <w:rFonts w:ascii="Times New Roman" w:hAnsi="Times New Roman" w:cs="Times New Roman"/>
          <w:i w:val="0"/>
          <w:iCs w:val="0"/>
          <w:color w:val="000000" w:themeColor="text1"/>
          <w:sz w:val="20"/>
          <w:szCs w:val="20"/>
        </w:rPr>
      </w:pPr>
      <w:r w:rsidRPr="003672D0">
        <w:rPr>
          <w:rFonts w:ascii="Times New Roman" w:hAnsi="Times New Roman" w:cs="Times New Roman"/>
          <w:i w:val="0"/>
          <w:iCs w:val="0"/>
          <w:color w:val="000000" w:themeColor="text1"/>
          <w:sz w:val="20"/>
          <w:szCs w:val="20"/>
        </w:rPr>
        <w:t xml:space="preserve">Görüntü </w:t>
      </w:r>
      <w:r w:rsidRPr="003672D0">
        <w:rPr>
          <w:rFonts w:ascii="Times New Roman" w:hAnsi="Times New Roman" w:cs="Times New Roman"/>
          <w:i w:val="0"/>
          <w:iCs w:val="0"/>
          <w:color w:val="000000" w:themeColor="text1"/>
          <w:sz w:val="20"/>
          <w:szCs w:val="20"/>
        </w:rPr>
        <w:fldChar w:fldCharType="begin"/>
      </w:r>
      <w:r w:rsidRPr="003672D0">
        <w:rPr>
          <w:rFonts w:ascii="Times New Roman" w:hAnsi="Times New Roman" w:cs="Times New Roman"/>
          <w:i w:val="0"/>
          <w:iCs w:val="0"/>
          <w:color w:val="000000" w:themeColor="text1"/>
          <w:sz w:val="20"/>
          <w:szCs w:val="20"/>
        </w:rPr>
        <w:instrText xml:space="preserve"> SEQ Görüntü \* ARABIC </w:instrText>
      </w:r>
      <w:r w:rsidRPr="003672D0">
        <w:rPr>
          <w:rFonts w:ascii="Times New Roman" w:hAnsi="Times New Roman" w:cs="Times New Roman"/>
          <w:i w:val="0"/>
          <w:iCs w:val="0"/>
          <w:color w:val="000000" w:themeColor="text1"/>
          <w:sz w:val="20"/>
          <w:szCs w:val="20"/>
        </w:rPr>
        <w:fldChar w:fldCharType="separate"/>
      </w:r>
      <w:r w:rsidR="003B72F6">
        <w:rPr>
          <w:rFonts w:ascii="Times New Roman" w:hAnsi="Times New Roman" w:cs="Times New Roman"/>
          <w:i w:val="0"/>
          <w:iCs w:val="0"/>
          <w:noProof/>
          <w:color w:val="000000" w:themeColor="text1"/>
          <w:sz w:val="20"/>
          <w:szCs w:val="20"/>
        </w:rPr>
        <w:t>7</w:t>
      </w:r>
      <w:r w:rsidRPr="003672D0">
        <w:rPr>
          <w:rFonts w:ascii="Times New Roman" w:hAnsi="Times New Roman" w:cs="Times New Roman"/>
          <w:i w:val="0"/>
          <w:iCs w:val="0"/>
          <w:color w:val="000000" w:themeColor="text1"/>
          <w:sz w:val="20"/>
          <w:szCs w:val="20"/>
        </w:rPr>
        <w:fldChar w:fldCharType="end"/>
      </w:r>
      <w:r w:rsidRPr="003672D0">
        <w:rPr>
          <w:rFonts w:ascii="Times New Roman" w:hAnsi="Times New Roman" w:cs="Times New Roman"/>
          <w:i w:val="0"/>
          <w:iCs w:val="0"/>
          <w:color w:val="000000" w:themeColor="text1"/>
          <w:sz w:val="20"/>
          <w:szCs w:val="20"/>
        </w:rPr>
        <w:t>: Jack ve Hikâye Anlatıcılığı</w:t>
      </w:r>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Luisi</w:t>
      </w:r>
      <w:proofErr w:type="spellEnd"/>
      <w:r>
        <w:rPr>
          <w:rFonts w:ascii="Times New Roman" w:hAnsi="Times New Roman" w:cs="Times New Roman"/>
          <w:i w:val="0"/>
          <w:iCs w:val="0"/>
          <w:color w:val="000000" w:themeColor="text1"/>
          <w:sz w:val="20"/>
          <w:szCs w:val="20"/>
        </w:rPr>
        <w:t>, 2024).</w:t>
      </w:r>
    </w:p>
    <w:p w14:paraId="7CEA4BD7" w14:textId="77777777" w:rsidR="00FA457D" w:rsidRDefault="00FA457D" w:rsidP="00FA457D">
      <w:pPr>
        <w:spacing w:before="120" w:after="120"/>
        <w:jc w:val="both"/>
      </w:pPr>
      <w:r>
        <w:t>Bu noktada Benjamin, roman yazarı üzerinden de örnek verir. Ona göre roman yazarı, eserini dış dünyadan yalıtışmış halde bir odada yazmaktadır. Bu durum yazarı, hakiki deneyimden uzak hale getirmektedir (Benjamin, 2012: 81). Jack’in yapay zekâ tarafından deneyim ve üretim sürecinden dışlanması, yazarın bir özne ve üretici olarak sürecin hiçbir yerinde olmaması durumuna sebebiyet vermektedir.  Oysa Benjamin’e göre gerçek bir anlatıcı, enformasyon ağının gücüne kapılmamalı, toplumdan ve zanaatkârlardan beslenmelidir (Benjamin, 2012: 82, 93).</w:t>
      </w:r>
    </w:p>
    <w:p w14:paraId="436C82FF" w14:textId="77777777" w:rsidR="00FA457D" w:rsidRDefault="00FA457D" w:rsidP="008003D6">
      <w:pPr>
        <w:jc w:val="both"/>
        <w:rPr>
          <w:b/>
          <w:bCs/>
        </w:rPr>
      </w:pPr>
      <w:r>
        <w:rPr>
          <w:b/>
          <w:bCs/>
        </w:rPr>
        <w:t>SONUÇ</w:t>
      </w:r>
    </w:p>
    <w:p w14:paraId="34EA4F46" w14:textId="15F3D4E0" w:rsidR="00FA457D" w:rsidRPr="00DA5DB1" w:rsidRDefault="00FA457D" w:rsidP="008003D6">
      <w:pPr>
        <w:jc w:val="both"/>
      </w:pPr>
      <w:r w:rsidRPr="00DA5DB1">
        <w:t xml:space="preserve">Çalışma kapsamında betimsel analiz yöntemiyle incelenen </w:t>
      </w:r>
      <w:proofErr w:type="spellStart"/>
      <w:r w:rsidRPr="00DA5DB1">
        <w:t>The</w:t>
      </w:r>
      <w:proofErr w:type="spellEnd"/>
      <w:r w:rsidRPr="00DA5DB1">
        <w:t xml:space="preserve"> </w:t>
      </w:r>
      <w:proofErr w:type="spellStart"/>
      <w:r w:rsidRPr="00DA5DB1">
        <w:t>Last</w:t>
      </w:r>
      <w:proofErr w:type="spellEnd"/>
      <w:r w:rsidRPr="00DA5DB1">
        <w:t xml:space="preserve"> </w:t>
      </w:r>
      <w:proofErr w:type="spellStart"/>
      <w:r w:rsidRPr="00DA5DB1">
        <w:t>Screenwriter</w:t>
      </w:r>
      <w:proofErr w:type="spellEnd"/>
      <w:r w:rsidRPr="00DA5DB1">
        <w:t xml:space="preserve"> filmi ışığında, yapay zekânın sinema endüstrisi</w:t>
      </w:r>
      <w:r>
        <w:t>nde</w:t>
      </w:r>
      <w:r w:rsidRPr="00DA5DB1">
        <w:t xml:space="preserve"> etkisini arttıracağı düşünülmektedir. Ancak bununla birlikte filmlerdeki hakiki deneyime dayanan yazar katkısı ve öznenin doğal dokunuşu sınırlanacak</w:t>
      </w:r>
      <w:r>
        <w:t>tır.</w:t>
      </w:r>
      <w:r w:rsidRPr="00DA5DB1">
        <w:t xml:space="preserve"> Dolayısıyla Benjamin’in</w:t>
      </w:r>
      <w:r>
        <w:t xml:space="preserve"> (2012);</w:t>
      </w:r>
      <w:r w:rsidRPr="00DA5DB1">
        <w:t xml:space="preserve"> dönüştürülmüş ve öznenin başrolde olmadığı bir deneyim süreci olarak nitelendirdiği </w:t>
      </w:r>
      <w:proofErr w:type="spellStart"/>
      <w:r w:rsidRPr="00DA5DB1">
        <w:rPr>
          <w:i/>
          <w:iCs/>
        </w:rPr>
        <w:t>erlebnis</w:t>
      </w:r>
      <w:proofErr w:type="spellEnd"/>
      <w:r>
        <w:rPr>
          <w:i/>
          <w:iCs/>
        </w:rPr>
        <w:t xml:space="preserve"> </w:t>
      </w:r>
      <w:r w:rsidRPr="00DA5DB1">
        <w:t>kavramına denk düşen hakikatten uzak öykülerin ve bu öykülere dayalı filmlerin çoğalacağı öngörülebilir.</w:t>
      </w:r>
      <w:r>
        <w:t xml:space="preserve"> Ayrıca </w:t>
      </w:r>
      <w:r w:rsidRPr="00DA5DB1">
        <w:t>Hegel</w:t>
      </w:r>
      <w:r>
        <w:t xml:space="preserve"> (1977);</w:t>
      </w:r>
      <w:r w:rsidRPr="00DA5DB1">
        <w:t xml:space="preserve"> sanatı</w:t>
      </w:r>
      <w:r>
        <w:t>,</w:t>
      </w:r>
      <w:r w:rsidRPr="00DA5DB1">
        <w:t xml:space="preserve"> “hakikatin taşıyıcısı” olarak nitelendirmektedir. Ancak anlatıcı</w:t>
      </w:r>
      <w:r>
        <w:t>nın</w:t>
      </w:r>
      <w:r w:rsidRPr="00DA5DB1">
        <w:t xml:space="preserve"> ve anlatım işinin hakikate dayalı bir süreçten uzaklaşması, sanatın hakikatin taşıyıcısı olma niteliğini de kaybetmesine zemin hazırlamaktadır.</w:t>
      </w:r>
    </w:p>
    <w:p w14:paraId="1BEFF3B8" w14:textId="463A4AF3" w:rsidR="00FA457D" w:rsidRDefault="00FA457D" w:rsidP="00FA457D">
      <w:pPr>
        <w:spacing w:before="120" w:after="120"/>
        <w:jc w:val="both"/>
      </w:pPr>
      <w:r w:rsidRPr="005C01FB">
        <w:t>Filmde Jack’in senaryo yazımında yapay zekâdan yar</w:t>
      </w:r>
      <w:r>
        <w:t>ar</w:t>
      </w:r>
      <w:r w:rsidRPr="005C01FB">
        <w:t>lanmaya başlaması, onunla geçirdiği zamanın artması ve en nihayetinde senaryo yazamaz hale gel</w:t>
      </w:r>
      <w:r>
        <w:t xml:space="preserve">erek ruhsal bir buhrana sürüklenmesi, </w:t>
      </w:r>
      <w:r w:rsidRPr="005C01FB">
        <w:t>dijital yabancılaşma kavramıyla örtüşmektedir. Bireyin</w:t>
      </w:r>
      <w:r>
        <w:t xml:space="preserve"> teknolojinin etkisiyle </w:t>
      </w:r>
      <w:r w:rsidRPr="005C01FB">
        <w:t>kendisiyle ve içinde bulunduğu toplumsal yaşamla arasındaki ilişkinin zarar görmesi</w:t>
      </w:r>
      <w:r>
        <w:t>,</w:t>
      </w:r>
      <w:r w:rsidRPr="005C01FB">
        <w:t xml:space="preserve"> </w:t>
      </w:r>
      <w:r>
        <w:t xml:space="preserve">dijital yabancılaşmaya neden </w:t>
      </w:r>
      <w:r w:rsidRPr="005C01FB">
        <w:t>olmaktadır (Kalaman</w:t>
      </w:r>
      <w:r>
        <w:t xml:space="preserve"> &amp; </w:t>
      </w:r>
      <w:proofErr w:type="spellStart"/>
      <w:r>
        <w:t>Önür</w:t>
      </w:r>
      <w:proofErr w:type="spellEnd"/>
      <w:r w:rsidRPr="005C01FB">
        <w:t>, 2016: 281). Esasında bu durum,</w:t>
      </w:r>
      <w:r>
        <w:t xml:space="preserve"> ileride</w:t>
      </w:r>
      <w:r w:rsidRPr="005C01FB">
        <w:t xml:space="preserve"> yapay zekânın daha yoğun bir şekilde filmlerde kullanılmaya başlanmasıyla hem film sektörü çalışanlarının hem de </w:t>
      </w:r>
      <w:proofErr w:type="spellStart"/>
      <w:r>
        <w:t>izlerkitlelerin</w:t>
      </w:r>
      <w:proofErr w:type="spellEnd"/>
      <w:r w:rsidRPr="005C01FB">
        <w:t xml:space="preserve"> dijital yabancılaşmaya maruz kalarak </w:t>
      </w:r>
      <w:r w:rsidRPr="00DA5DB1">
        <w:t>sahici deneyimlerden ve anlatımlardan uzaklaşması</w:t>
      </w:r>
      <w:r w:rsidRPr="005C01FB">
        <w:t>na neden olabilir.</w:t>
      </w:r>
    </w:p>
    <w:p w14:paraId="5F6591AA" w14:textId="455A213F" w:rsidR="00FA457D" w:rsidRPr="005C01FB" w:rsidRDefault="00FA457D" w:rsidP="00FA457D">
      <w:pPr>
        <w:spacing w:before="120" w:after="120"/>
        <w:jc w:val="both"/>
      </w:pPr>
      <w:r w:rsidRPr="005C01FB">
        <w:t>Yine bu bağlamda, h</w:t>
      </w:r>
      <w:r w:rsidRPr="00DA5DB1">
        <w:t>ikâye anlatıcılığı</w:t>
      </w:r>
      <w:r w:rsidRPr="005C01FB">
        <w:t xml:space="preserve"> da</w:t>
      </w:r>
      <w:r w:rsidRPr="00DA5DB1">
        <w:t xml:space="preserve"> dijital bir dönüşüme uğramakta</w:t>
      </w:r>
      <w:r w:rsidRPr="005C01FB">
        <w:t xml:space="preserve">dır. 1940 ile 1950’li </w:t>
      </w:r>
      <w:r w:rsidRPr="005C01FB">
        <w:lastRenderedPageBreak/>
        <w:t xml:space="preserve">yıllarda etkisini gösteren </w:t>
      </w:r>
      <w:proofErr w:type="spellStart"/>
      <w:r w:rsidRPr="005C01FB">
        <w:t>tech-noir</w:t>
      </w:r>
      <w:proofErr w:type="spellEnd"/>
      <w:r w:rsidRPr="005C01FB">
        <w:t xml:space="preserve"> sinema türü, teknolojinin karanlık, belirsiz yönlerini ve insan doğasının olumsuz taraflarıyla etkileşime girmesini konu almaktadır (</w:t>
      </w:r>
      <w:proofErr w:type="spellStart"/>
      <w:r w:rsidRPr="005C01FB">
        <w:t>Booker</w:t>
      </w:r>
      <w:proofErr w:type="spellEnd"/>
      <w:r w:rsidRPr="005C01FB">
        <w:t xml:space="preserve">, 2020: 418; </w:t>
      </w:r>
      <w:proofErr w:type="spellStart"/>
      <w:r w:rsidRPr="005C01FB">
        <w:t>Meehan</w:t>
      </w:r>
      <w:proofErr w:type="spellEnd"/>
      <w:r w:rsidRPr="005C01FB">
        <w:t xml:space="preserve">, 2008: 13). Sinemadaki yapay zekâya dayalı hikâye anlatımı, </w:t>
      </w:r>
      <w:proofErr w:type="spellStart"/>
      <w:r w:rsidRPr="005C01FB">
        <w:t>tech-noir</w:t>
      </w:r>
      <w:proofErr w:type="spellEnd"/>
      <w:r w:rsidRPr="005C01FB">
        <w:t xml:space="preserve"> türünün distopik bir kurgu olarak sunduğu içeriklerin hakiki anlamda deneyimlenmesi</w:t>
      </w:r>
      <w:r>
        <w:t xml:space="preserve">ne ortam hazırlayabilir. </w:t>
      </w:r>
      <w:r w:rsidRPr="005C01FB">
        <w:t xml:space="preserve"> </w:t>
      </w:r>
      <w:r>
        <w:t>Bu da hakiki deneyimin ve üretici olarak öznenin başrolde olduğu hikâye anlatımının makine öğrenmesine dayalı algoritmik bir hale gelmesine neden olabilir.</w:t>
      </w:r>
    </w:p>
    <w:p w14:paraId="56920CF5" w14:textId="77777777" w:rsidR="00FA457D" w:rsidRPr="005C01FB" w:rsidRDefault="00FA457D" w:rsidP="00FA457D">
      <w:pPr>
        <w:spacing w:before="120"/>
        <w:jc w:val="both"/>
        <w:rPr>
          <w:b/>
          <w:bCs/>
        </w:rPr>
      </w:pPr>
      <w:r w:rsidRPr="00F03D82">
        <w:rPr>
          <w:b/>
          <w:bCs/>
        </w:rPr>
        <w:t>KAYNAKÇA</w:t>
      </w:r>
    </w:p>
    <w:p w14:paraId="3C0809EA" w14:textId="2DBA46FA" w:rsidR="00FA457D" w:rsidRDefault="00FA457D">
      <w:pPr>
        <w:pStyle w:val="ListeParagraf"/>
        <w:numPr>
          <w:ilvl w:val="0"/>
          <w:numId w:val="65"/>
        </w:numPr>
        <w:jc w:val="both"/>
      </w:pPr>
      <w:r>
        <w:t xml:space="preserve">Benjamin, W. (2012). </w:t>
      </w:r>
      <w:r w:rsidRPr="007A647E">
        <w:rPr>
          <w:i/>
          <w:iCs/>
        </w:rPr>
        <w:t>Son bakışta aşk</w:t>
      </w:r>
      <w:r>
        <w:t>. Metis Yayınları: İstanbul.</w:t>
      </w:r>
    </w:p>
    <w:p w14:paraId="1B7139F7" w14:textId="5E41BD89" w:rsidR="00FA457D" w:rsidRDefault="00FA457D">
      <w:pPr>
        <w:pStyle w:val="ListeParagraf"/>
        <w:numPr>
          <w:ilvl w:val="0"/>
          <w:numId w:val="65"/>
        </w:numPr>
        <w:jc w:val="both"/>
      </w:pPr>
      <w:proofErr w:type="spellStart"/>
      <w:r w:rsidRPr="00416AF4">
        <w:t>Booker</w:t>
      </w:r>
      <w:proofErr w:type="spellEnd"/>
      <w:r w:rsidRPr="00416AF4">
        <w:t xml:space="preserve">, M. K. (2020). </w:t>
      </w:r>
      <w:proofErr w:type="spellStart"/>
      <w:r w:rsidRPr="00416AF4">
        <w:t>Historical</w:t>
      </w:r>
      <w:proofErr w:type="spellEnd"/>
      <w:r w:rsidRPr="00416AF4">
        <w:t xml:space="preserve"> </w:t>
      </w:r>
      <w:proofErr w:type="spellStart"/>
      <w:r w:rsidRPr="00416AF4">
        <w:t>dictionary</w:t>
      </w:r>
      <w:proofErr w:type="spellEnd"/>
      <w:r w:rsidRPr="00416AF4">
        <w:t xml:space="preserve"> of </w:t>
      </w:r>
      <w:proofErr w:type="spellStart"/>
      <w:r w:rsidRPr="00416AF4">
        <w:t>science</w:t>
      </w:r>
      <w:proofErr w:type="spellEnd"/>
      <w:r w:rsidRPr="00416AF4">
        <w:t xml:space="preserve"> fiction </w:t>
      </w:r>
      <w:proofErr w:type="spellStart"/>
      <w:r w:rsidRPr="00416AF4">
        <w:t>cinema</w:t>
      </w:r>
      <w:proofErr w:type="spellEnd"/>
      <w:r w:rsidRPr="00416AF4">
        <w:t xml:space="preserve"> (1. baskı). </w:t>
      </w:r>
      <w:proofErr w:type="spellStart"/>
      <w:r w:rsidRPr="00416AF4">
        <w:t>Rowman</w:t>
      </w:r>
      <w:proofErr w:type="spellEnd"/>
      <w:r w:rsidRPr="00416AF4">
        <w:t xml:space="preserve"> &amp; </w:t>
      </w:r>
      <w:proofErr w:type="spellStart"/>
      <w:r w:rsidRPr="00416AF4">
        <w:t>Littlefield</w:t>
      </w:r>
      <w:proofErr w:type="spellEnd"/>
      <w:r w:rsidRPr="00416AF4">
        <w:t>.</w:t>
      </w:r>
    </w:p>
    <w:p w14:paraId="61C9780B" w14:textId="77777777" w:rsidR="00FA457D" w:rsidRDefault="00FA457D">
      <w:pPr>
        <w:pStyle w:val="ListeParagraf"/>
        <w:numPr>
          <w:ilvl w:val="0"/>
          <w:numId w:val="65"/>
        </w:numPr>
        <w:jc w:val="both"/>
      </w:pPr>
      <w:proofErr w:type="spellStart"/>
      <w:r w:rsidRPr="00975DC5">
        <w:t>Britannica</w:t>
      </w:r>
      <w:proofErr w:type="spellEnd"/>
      <w:r w:rsidRPr="00975DC5">
        <w:t xml:space="preserve"> (2024). </w:t>
      </w:r>
      <w:proofErr w:type="spellStart"/>
      <w:r w:rsidRPr="00975DC5">
        <w:t>Artifical</w:t>
      </w:r>
      <w:proofErr w:type="spellEnd"/>
      <w:r w:rsidRPr="00975DC5">
        <w:t xml:space="preserve"> </w:t>
      </w:r>
      <w:proofErr w:type="spellStart"/>
      <w:r w:rsidRPr="00975DC5">
        <w:t>intelligence</w:t>
      </w:r>
      <w:proofErr w:type="spellEnd"/>
      <w:r w:rsidRPr="00975DC5">
        <w:t>.</w:t>
      </w:r>
      <w:r>
        <w:t xml:space="preserve"> </w:t>
      </w:r>
      <w:r w:rsidRPr="00F51391">
        <w:t>https://www.britannica.com/technology/artificial-intelligence</w:t>
      </w:r>
    </w:p>
    <w:p w14:paraId="090F2A7F" w14:textId="77777777" w:rsidR="00FA457D" w:rsidRPr="00975DC5" w:rsidRDefault="00FA457D">
      <w:pPr>
        <w:pStyle w:val="ListeParagraf"/>
        <w:numPr>
          <w:ilvl w:val="0"/>
          <w:numId w:val="65"/>
        </w:numPr>
        <w:jc w:val="both"/>
      </w:pPr>
      <w:proofErr w:type="spellStart"/>
      <w:r w:rsidRPr="003410A5">
        <w:t>Campo-Rembado</w:t>
      </w:r>
      <w:proofErr w:type="spellEnd"/>
      <w:r w:rsidRPr="003410A5">
        <w:t xml:space="preserve">, M. </w:t>
      </w:r>
      <w:r>
        <w:t xml:space="preserve">&amp; </w:t>
      </w:r>
      <w:proofErr w:type="spellStart"/>
      <w:r w:rsidRPr="003410A5">
        <w:t>Oakley</w:t>
      </w:r>
      <w:proofErr w:type="spellEnd"/>
      <w:r w:rsidRPr="003410A5">
        <w:t xml:space="preserve">, S. </w:t>
      </w:r>
      <w:r>
        <w:t xml:space="preserve"> (2018). </w:t>
      </w:r>
      <w:r w:rsidRPr="003410A5">
        <w:t xml:space="preserve">How 20th Century Fox </w:t>
      </w:r>
      <w:proofErr w:type="spellStart"/>
      <w:r w:rsidRPr="003410A5">
        <w:t>uses</w:t>
      </w:r>
      <w:proofErr w:type="spellEnd"/>
      <w:r w:rsidRPr="003410A5">
        <w:t xml:space="preserve"> ml </w:t>
      </w:r>
      <w:proofErr w:type="spellStart"/>
      <w:r w:rsidRPr="003410A5">
        <w:t>to</w:t>
      </w:r>
      <w:proofErr w:type="spellEnd"/>
      <w:r w:rsidRPr="003410A5">
        <w:t xml:space="preserve"> </w:t>
      </w:r>
      <w:proofErr w:type="spellStart"/>
      <w:r w:rsidRPr="003410A5">
        <w:t>predict</w:t>
      </w:r>
      <w:proofErr w:type="spellEnd"/>
      <w:r w:rsidRPr="003410A5">
        <w:t xml:space="preserve"> a </w:t>
      </w:r>
      <w:proofErr w:type="spellStart"/>
      <w:r w:rsidRPr="003410A5">
        <w:t>movie</w:t>
      </w:r>
      <w:proofErr w:type="spellEnd"/>
      <w:r w:rsidRPr="003410A5">
        <w:t xml:space="preserve"> </w:t>
      </w:r>
      <w:proofErr w:type="spellStart"/>
      <w:r w:rsidRPr="003410A5">
        <w:t>audience</w:t>
      </w:r>
      <w:proofErr w:type="spellEnd"/>
      <w:r>
        <w:t>.</w:t>
      </w:r>
      <w:r w:rsidRPr="003410A5">
        <w:t xml:space="preserve"> </w:t>
      </w:r>
      <w:r w:rsidRPr="007A647E">
        <w:rPr>
          <w:i/>
          <w:iCs/>
        </w:rPr>
        <w:t>Google Cloud Blog</w:t>
      </w:r>
      <w:r>
        <w:t>.</w:t>
      </w:r>
      <w:r w:rsidRPr="003410A5">
        <w:t xml:space="preserve"> https://cloud.google.com/blog/products/ai-machine-learn- </w:t>
      </w:r>
      <w:proofErr w:type="spellStart"/>
      <w:r w:rsidRPr="003410A5">
        <w:t>ing</w:t>
      </w:r>
      <w:proofErr w:type="spellEnd"/>
      <w:r w:rsidRPr="003410A5">
        <w:t>/how-20th-century-fox-uses-ml-to-predict-a-movie-audience/ (</w:t>
      </w:r>
      <w:r>
        <w:t>Erişim Tarihi: 10.02.2025</w:t>
      </w:r>
      <w:r w:rsidRPr="003410A5">
        <w:t>).</w:t>
      </w:r>
    </w:p>
    <w:p w14:paraId="25DDFE37" w14:textId="77777777" w:rsidR="00FA457D" w:rsidRPr="007A647E" w:rsidRDefault="00FA457D">
      <w:pPr>
        <w:pStyle w:val="ListeParagraf"/>
        <w:numPr>
          <w:ilvl w:val="0"/>
          <w:numId w:val="65"/>
        </w:numPr>
        <w:jc w:val="both"/>
        <w:rPr>
          <w:b/>
          <w:bCs/>
        </w:rPr>
      </w:pPr>
      <w:proofErr w:type="spellStart"/>
      <w:r>
        <w:t>Caranicas</w:t>
      </w:r>
      <w:proofErr w:type="spellEnd"/>
      <w:r>
        <w:t xml:space="preserve">, P. (2018). </w:t>
      </w:r>
      <w:proofErr w:type="spellStart"/>
      <w:r w:rsidRPr="00241236">
        <w:t>Artificial</w:t>
      </w:r>
      <w:proofErr w:type="spellEnd"/>
      <w:r w:rsidRPr="00241236">
        <w:t xml:space="preserve"> </w:t>
      </w:r>
      <w:proofErr w:type="spellStart"/>
      <w:r>
        <w:t>i</w:t>
      </w:r>
      <w:r w:rsidRPr="00241236">
        <w:t>ntelligence</w:t>
      </w:r>
      <w:proofErr w:type="spellEnd"/>
      <w:r w:rsidRPr="00241236">
        <w:t xml:space="preserve"> </w:t>
      </w:r>
      <w:proofErr w:type="spellStart"/>
      <w:r w:rsidRPr="00241236">
        <w:t>could</w:t>
      </w:r>
      <w:proofErr w:type="spellEnd"/>
      <w:r w:rsidRPr="00241236">
        <w:t xml:space="preserve"> </w:t>
      </w:r>
      <w:proofErr w:type="spellStart"/>
      <w:r w:rsidRPr="00241236">
        <w:t>one</w:t>
      </w:r>
      <w:proofErr w:type="spellEnd"/>
      <w:r w:rsidRPr="00241236">
        <w:t xml:space="preserve"> </w:t>
      </w:r>
      <w:proofErr w:type="spellStart"/>
      <w:r w:rsidRPr="00241236">
        <w:t>day</w:t>
      </w:r>
      <w:proofErr w:type="spellEnd"/>
      <w:r w:rsidRPr="00241236">
        <w:t xml:space="preserve"> </w:t>
      </w:r>
      <w:proofErr w:type="spellStart"/>
      <w:r w:rsidRPr="00241236">
        <w:t>determine</w:t>
      </w:r>
      <w:proofErr w:type="spellEnd"/>
      <w:r w:rsidRPr="00241236">
        <w:t xml:space="preserve"> </w:t>
      </w:r>
      <w:proofErr w:type="spellStart"/>
      <w:r w:rsidRPr="00241236">
        <w:t>which</w:t>
      </w:r>
      <w:proofErr w:type="spellEnd"/>
      <w:r w:rsidRPr="00241236">
        <w:t xml:space="preserve"> </w:t>
      </w:r>
      <w:proofErr w:type="spellStart"/>
      <w:r w:rsidRPr="00241236">
        <w:t>films</w:t>
      </w:r>
      <w:proofErr w:type="spellEnd"/>
      <w:r w:rsidRPr="00241236">
        <w:t xml:space="preserve"> </w:t>
      </w:r>
      <w:proofErr w:type="spellStart"/>
      <w:r w:rsidRPr="00241236">
        <w:t>get</w:t>
      </w:r>
      <w:proofErr w:type="spellEnd"/>
      <w:r w:rsidRPr="00241236">
        <w:t xml:space="preserve"> </w:t>
      </w:r>
      <w:proofErr w:type="spellStart"/>
      <w:r w:rsidRPr="00241236">
        <w:t>made</w:t>
      </w:r>
      <w:proofErr w:type="spellEnd"/>
      <w:r>
        <w:t xml:space="preserve">. </w:t>
      </w:r>
      <w:r w:rsidRPr="00F51391">
        <w:t>https://variety.com/2018/artisans/news/artificial-intelligence-hollywood-1202865540/</w:t>
      </w:r>
      <w:r>
        <w:t xml:space="preserve"> (Erişim Tarihi: 10.02.2025).</w:t>
      </w:r>
    </w:p>
    <w:p w14:paraId="506E40AC" w14:textId="77777777" w:rsidR="00FA457D" w:rsidRDefault="00FA457D">
      <w:pPr>
        <w:pStyle w:val="ListeParagraf"/>
        <w:numPr>
          <w:ilvl w:val="0"/>
          <w:numId w:val="65"/>
        </w:numPr>
        <w:jc w:val="both"/>
      </w:pPr>
      <w:r w:rsidRPr="00BE6E38">
        <w:t>Cevher, E., &amp; Aydın, Y. (2020). Yapay zek</w:t>
      </w:r>
      <w:r>
        <w:t>â</w:t>
      </w:r>
      <w:r w:rsidRPr="00BE6E38">
        <w:t xml:space="preserve">nın şafağında sinema: </w:t>
      </w:r>
      <w:proofErr w:type="spellStart"/>
      <w:r w:rsidRPr="00BE6E38">
        <w:t>morgan</w:t>
      </w:r>
      <w:proofErr w:type="spellEnd"/>
      <w:r w:rsidRPr="00BE6E38">
        <w:t xml:space="preserve"> filmi fragmanı örneğ</w:t>
      </w:r>
      <w:r>
        <w:t>i.</w:t>
      </w:r>
      <w:r w:rsidRPr="00BE6E38">
        <w:t xml:space="preserve"> </w:t>
      </w:r>
      <w:r w:rsidRPr="007A647E">
        <w:rPr>
          <w:i/>
          <w:iCs/>
        </w:rPr>
        <w:t>Gümüşhane Üniversitesi İletişim Fakültesi Elektronik Dergisi, 8</w:t>
      </w:r>
      <w:r w:rsidRPr="00BE6E38">
        <w:t>(1), 614-642. https://doi.org/10.19145/e-gifder.559287</w:t>
      </w:r>
    </w:p>
    <w:p w14:paraId="30B3E545" w14:textId="77777777" w:rsidR="00FA457D" w:rsidRDefault="00FA457D">
      <w:pPr>
        <w:pStyle w:val="ListeParagraf"/>
        <w:numPr>
          <w:ilvl w:val="0"/>
          <w:numId w:val="65"/>
        </w:numPr>
        <w:jc w:val="both"/>
      </w:pPr>
      <w:proofErr w:type="spellStart"/>
      <w:r w:rsidRPr="005B664C">
        <w:t>Cohn</w:t>
      </w:r>
      <w:proofErr w:type="spellEnd"/>
      <w:r w:rsidRPr="005B664C">
        <w:t xml:space="preserve">, J. (2021). </w:t>
      </w:r>
      <w:proofErr w:type="spellStart"/>
      <w:r w:rsidRPr="005B664C">
        <w:t>The</w:t>
      </w:r>
      <w:proofErr w:type="spellEnd"/>
      <w:r w:rsidRPr="005B664C">
        <w:t xml:space="preserve"> </w:t>
      </w:r>
      <w:proofErr w:type="spellStart"/>
      <w:r w:rsidRPr="005B664C">
        <w:t>scientist</w:t>
      </w:r>
      <w:proofErr w:type="spellEnd"/>
      <w:r w:rsidRPr="005B664C">
        <w:t xml:space="preserve"> of </w:t>
      </w:r>
      <w:proofErr w:type="spellStart"/>
      <w:r w:rsidRPr="005B664C">
        <w:t>the</w:t>
      </w:r>
      <w:proofErr w:type="spellEnd"/>
      <w:r w:rsidRPr="005B664C">
        <w:t xml:space="preserve"> </w:t>
      </w:r>
      <w:proofErr w:type="spellStart"/>
      <w:r w:rsidRPr="005B664C">
        <w:t>holy</w:t>
      </w:r>
      <w:proofErr w:type="spellEnd"/>
      <w:r w:rsidRPr="005B664C">
        <w:t xml:space="preserve"> </w:t>
      </w:r>
      <w:proofErr w:type="spellStart"/>
      <w:r w:rsidRPr="005B664C">
        <w:t>ghost</w:t>
      </w:r>
      <w:proofErr w:type="spellEnd"/>
      <w:r w:rsidRPr="005B664C">
        <w:t>: </w:t>
      </w:r>
      <w:proofErr w:type="spellStart"/>
      <w:r w:rsidRPr="007A647E">
        <w:rPr>
          <w:i/>
          <w:iCs/>
        </w:rPr>
        <w:t>Sunspring</w:t>
      </w:r>
      <w:proofErr w:type="spellEnd"/>
      <w:r w:rsidRPr="005B664C">
        <w:t> </w:t>
      </w:r>
      <w:proofErr w:type="spellStart"/>
      <w:r w:rsidRPr="005B664C">
        <w:t>and</w:t>
      </w:r>
      <w:proofErr w:type="spellEnd"/>
      <w:r w:rsidRPr="005B664C">
        <w:t xml:space="preserve"> </w:t>
      </w:r>
      <w:proofErr w:type="spellStart"/>
      <w:r w:rsidRPr="005B664C">
        <w:t>reading</w:t>
      </w:r>
      <w:proofErr w:type="spellEnd"/>
      <w:r w:rsidRPr="005B664C">
        <w:t xml:space="preserve"> </w:t>
      </w:r>
      <w:proofErr w:type="spellStart"/>
      <w:r w:rsidRPr="005B664C">
        <w:t>nonsense</w:t>
      </w:r>
      <w:proofErr w:type="spellEnd"/>
      <w:r w:rsidRPr="005B664C">
        <w:t>. </w:t>
      </w:r>
      <w:r w:rsidRPr="007A647E">
        <w:rPr>
          <w:i/>
          <w:iCs/>
        </w:rPr>
        <w:t xml:space="preserve">JCMS: </w:t>
      </w:r>
      <w:proofErr w:type="spellStart"/>
      <w:r w:rsidRPr="007A647E">
        <w:rPr>
          <w:i/>
          <w:iCs/>
        </w:rPr>
        <w:t>Journal</w:t>
      </w:r>
      <w:proofErr w:type="spellEnd"/>
      <w:r w:rsidRPr="007A647E">
        <w:rPr>
          <w:i/>
          <w:iCs/>
        </w:rPr>
        <w:t xml:space="preserve"> of </w:t>
      </w:r>
      <w:proofErr w:type="spellStart"/>
      <w:r w:rsidRPr="007A647E">
        <w:rPr>
          <w:i/>
          <w:iCs/>
        </w:rPr>
        <w:t>Cinema</w:t>
      </w:r>
      <w:proofErr w:type="spellEnd"/>
      <w:r w:rsidRPr="007A647E">
        <w:rPr>
          <w:i/>
          <w:iCs/>
        </w:rPr>
        <w:t xml:space="preserve"> </w:t>
      </w:r>
      <w:proofErr w:type="spellStart"/>
      <w:r w:rsidRPr="007A647E">
        <w:rPr>
          <w:i/>
          <w:iCs/>
        </w:rPr>
        <w:t>and</w:t>
      </w:r>
      <w:proofErr w:type="spellEnd"/>
      <w:r w:rsidRPr="007A647E">
        <w:rPr>
          <w:i/>
          <w:iCs/>
        </w:rPr>
        <w:t xml:space="preserve"> Media Studies60</w:t>
      </w:r>
      <w:r w:rsidRPr="005B664C">
        <w:t>(5), 1-21.  </w:t>
      </w:r>
      <w:r w:rsidRPr="00F51391">
        <w:t>https://dx.doi.org/10.1353/cj.2021.0017</w:t>
      </w:r>
      <w:r w:rsidRPr="005B664C">
        <w:t>.</w:t>
      </w:r>
    </w:p>
    <w:p w14:paraId="006F594B" w14:textId="1B110D02" w:rsidR="00FA457D" w:rsidRDefault="00FA457D">
      <w:pPr>
        <w:pStyle w:val="ListeParagraf"/>
        <w:numPr>
          <w:ilvl w:val="0"/>
          <w:numId w:val="65"/>
        </w:numPr>
        <w:jc w:val="both"/>
      </w:pPr>
      <w:proofErr w:type="spellStart"/>
      <w:r w:rsidRPr="00394AE4">
        <w:t>Coşkun</w:t>
      </w:r>
      <w:proofErr w:type="spellEnd"/>
      <w:r w:rsidRPr="00394AE4">
        <w:t xml:space="preserve">, F., &amp; </w:t>
      </w:r>
      <w:proofErr w:type="spellStart"/>
      <w:r w:rsidRPr="00394AE4">
        <w:t>Gülleroğlu</w:t>
      </w:r>
      <w:proofErr w:type="spellEnd"/>
      <w:r w:rsidRPr="00394AE4">
        <w:t xml:space="preserve">, H. D. (2021). Yapay </w:t>
      </w:r>
      <w:proofErr w:type="spellStart"/>
      <w:r w:rsidRPr="00394AE4">
        <w:t>zekânın</w:t>
      </w:r>
      <w:proofErr w:type="spellEnd"/>
      <w:r w:rsidRPr="00394AE4">
        <w:t xml:space="preserve"> tarih </w:t>
      </w:r>
      <w:proofErr w:type="spellStart"/>
      <w:r w:rsidRPr="00394AE4">
        <w:t>içindeki</w:t>
      </w:r>
      <w:proofErr w:type="spellEnd"/>
      <w:r w:rsidRPr="00394AE4">
        <w:t xml:space="preserve"> </w:t>
      </w:r>
      <w:proofErr w:type="spellStart"/>
      <w:r w:rsidRPr="00394AE4">
        <w:t>gelişimi</w:t>
      </w:r>
      <w:proofErr w:type="spellEnd"/>
      <w:r w:rsidRPr="00394AE4">
        <w:t xml:space="preserve"> ve </w:t>
      </w:r>
      <w:proofErr w:type="spellStart"/>
      <w:r w:rsidRPr="00394AE4">
        <w:t>eğitimde</w:t>
      </w:r>
      <w:proofErr w:type="spellEnd"/>
      <w:r w:rsidRPr="00394AE4">
        <w:t xml:space="preserve"> kullanılması. </w:t>
      </w:r>
      <w:proofErr w:type="spellStart"/>
      <w:r w:rsidRPr="007A647E">
        <w:rPr>
          <w:i/>
          <w:iCs/>
        </w:rPr>
        <w:t>Journal</w:t>
      </w:r>
      <w:proofErr w:type="spellEnd"/>
      <w:r w:rsidRPr="007A647E">
        <w:rPr>
          <w:i/>
          <w:iCs/>
        </w:rPr>
        <w:t xml:space="preserve"> of </w:t>
      </w:r>
      <w:proofErr w:type="spellStart"/>
      <w:r w:rsidRPr="007A647E">
        <w:rPr>
          <w:i/>
          <w:iCs/>
        </w:rPr>
        <w:t>Faculty</w:t>
      </w:r>
      <w:proofErr w:type="spellEnd"/>
      <w:r w:rsidRPr="007A647E">
        <w:rPr>
          <w:i/>
          <w:iCs/>
        </w:rPr>
        <w:t xml:space="preserve"> of </w:t>
      </w:r>
      <w:proofErr w:type="spellStart"/>
      <w:r w:rsidRPr="007A647E">
        <w:rPr>
          <w:i/>
          <w:iCs/>
        </w:rPr>
        <w:t>Educational</w:t>
      </w:r>
      <w:proofErr w:type="spellEnd"/>
      <w:r w:rsidRPr="007A647E">
        <w:rPr>
          <w:i/>
          <w:iCs/>
        </w:rPr>
        <w:t xml:space="preserve"> </w:t>
      </w:r>
      <w:proofErr w:type="spellStart"/>
      <w:r w:rsidRPr="007A647E">
        <w:rPr>
          <w:i/>
          <w:iCs/>
        </w:rPr>
        <w:t>Sciences</w:t>
      </w:r>
      <w:proofErr w:type="spellEnd"/>
      <w:r w:rsidRPr="00394AE4">
        <w:t xml:space="preserve">, </w:t>
      </w:r>
      <w:r w:rsidRPr="007A647E">
        <w:rPr>
          <w:i/>
          <w:iCs/>
        </w:rPr>
        <w:t>54</w:t>
      </w:r>
      <w:r w:rsidRPr="00394AE4">
        <w:t xml:space="preserve">(3), 947–966. </w:t>
      </w:r>
      <w:hyperlink r:id="rId415" w:history="1">
        <w:r w:rsidRPr="007A647E">
          <w:rPr>
            <w:rStyle w:val="Kpr"/>
            <w:rFonts w:eastAsiaTheme="majorEastAsia"/>
            <w:color w:val="000000" w:themeColor="text1"/>
          </w:rPr>
          <w:t>https://doi.org/10.30964/auebfd.916220</w:t>
        </w:r>
      </w:hyperlink>
    </w:p>
    <w:p w14:paraId="4AC141D3" w14:textId="782CD034" w:rsidR="00FA457D" w:rsidRDefault="00FA457D">
      <w:pPr>
        <w:pStyle w:val="ListeParagraf"/>
        <w:numPr>
          <w:ilvl w:val="0"/>
          <w:numId w:val="65"/>
        </w:numPr>
        <w:jc w:val="both"/>
      </w:pPr>
      <w:proofErr w:type="spellStart"/>
      <w:r w:rsidRPr="00293FDE">
        <w:t>Desmarais</w:t>
      </w:r>
      <w:proofErr w:type="spellEnd"/>
      <w:r w:rsidRPr="00293FDE">
        <w:t>, A. (2024). Yapay zekâ ile hayatımıza giren 5 yeni meslek. https://tr.euronews.com/next/2024/03/20/yapay-zeka-ile-hayatimiza-giren-5-yeni-meslek (</w:t>
      </w:r>
      <w:proofErr w:type="spellStart"/>
      <w:r w:rsidRPr="00293FDE">
        <w:t>Erişim</w:t>
      </w:r>
      <w:proofErr w:type="spellEnd"/>
      <w:r w:rsidRPr="00293FDE">
        <w:t xml:space="preserve"> Tarihi: 06.05.2024).</w:t>
      </w:r>
    </w:p>
    <w:p w14:paraId="7307229A" w14:textId="6A3C49DB" w:rsidR="00FA457D" w:rsidRDefault="00FA457D">
      <w:pPr>
        <w:pStyle w:val="ListeParagraf"/>
        <w:numPr>
          <w:ilvl w:val="0"/>
          <w:numId w:val="65"/>
        </w:numPr>
        <w:jc w:val="both"/>
      </w:pPr>
      <w:r w:rsidRPr="005B1D3B">
        <w:t xml:space="preserve">Develi, H. (2023). </w:t>
      </w:r>
      <w:proofErr w:type="spellStart"/>
      <w:r w:rsidRPr="005B1D3B">
        <w:t>Günümüzde</w:t>
      </w:r>
      <w:proofErr w:type="spellEnd"/>
      <w:r w:rsidRPr="005B1D3B">
        <w:t xml:space="preserve"> yapay zekâ uygulamaları. https://www.ekonomim.com/kose-yazisi/gunumuzde- yapay-</w:t>
      </w:r>
      <w:proofErr w:type="gramStart"/>
      <w:r w:rsidRPr="005B1D3B">
        <w:t>zeka</w:t>
      </w:r>
      <w:proofErr w:type="gramEnd"/>
      <w:r w:rsidRPr="005B1D3B">
        <w:t>-</w:t>
      </w:r>
      <w:proofErr w:type="spellStart"/>
      <w:r w:rsidRPr="005B1D3B">
        <w:t>uygulamalari</w:t>
      </w:r>
      <w:proofErr w:type="spellEnd"/>
      <w:r w:rsidRPr="005B1D3B">
        <w:t>/694929 (</w:t>
      </w:r>
      <w:proofErr w:type="spellStart"/>
      <w:r w:rsidRPr="005B1D3B">
        <w:t>Erişim</w:t>
      </w:r>
      <w:proofErr w:type="spellEnd"/>
      <w:r w:rsidRPr="005B1D3B">
        <w:t xml:space="preserve"> Tarihi: 02.0</w:t>
      </w:r>
      <w:r>
        <w:t>2</w:t>
      </w:r>
      <w:r w:rsidRPr="005B1D3B">
        <w:t>.202</w:t>
      </w:r>
      <w:r>
        <w:t>5</w:t>
      </w:r>
      <w:r w:rsidRPr="005B1D3B">
        <w:t>).</w:t>
      </w:r>
    </w:p>
    <w:p w14:paraId="73C76946" w14:textId="77777777" w:rsidR="00FA457D" w:rsidRPr="007A647E" w:rsidRDefault="00FA457D">
      <w:pPr>
        <w:pStyle w:val="ListeParagraf"/>
        <w:numPr>
          <w:ilvl w:val="0"/>
          <w:numId w:val="65"/>
        </w:numPr>
        <w:jc w:val="both"/>
        <w:rPr>
          <w:color w:val="000000" w:themeColor="text1"/>
        </w:rPr>
      </w:pPr>
      <w:hyperlink r:id="rId416" w:tooltip="Dogan Gursoy" w:history="1">
        <w:r w:rsidRPr="007A647E">
          <w:rPr>
            <w:rStyle w:val="Kpr"/>
            <w:rFonts w:eastAsiaTheme="majorEastAsia"/>
            <w:color w:val="000000" w:themeColor="text1"/>
          </w:rPr>
          <w:t>Gursoy, D.</w:t>
        </w:r>
      </w:hyperlink>
      <w:r w:rsidRPr="007A647E">
        <w:rPr>
          <w:color w:val="000000" w:themeColor="text1"/>
        </w:rPr>
        <w:t> &amp; </w:t>
      </w:r>
      <w:hyperlink r:id="rId417" w:tooltip="Ruiying Cai" w:history="1">
        <w:r w:rsidRPr="007A647E">
          <w:rPr>
            <w:rStyle w:val="Kpr"/>
            <w:rFonts w:eastAsiaTheme="majorEastAsia"/>
            <w:color w:val="000000" w:themeColor="text1"/>
          </w:rPr>
          <w:t>Cai, R.</w:t>
        </w:r>
      </w:hyperlink>
      <w:r w:rsidRPr="007A647E">
        <w:rPr>
          <w:color w:val="000000" w:themeColor="text1"/>
        </w:rPr>
        <w:t xml:space="preserve"> (2025). </w:t>
      </w:r>
      <w:proofErr w:type="spellStart"/>
      <w:r w:rsidRPr="007A647E">
        <w:rPr>
          <w:color w:val="000000" w:themeColor="text1"/>
        </w:rPr>
        <w:t>Artificial</w:t>
      </w:r>
      <w:proofErr w:type="spellEnd"/>
      <w:r w:rsidRPr="007A647E">
        <w:rPr>
          <w:color w:val="000000" w:themeColor="text1"/>
        </w:rPr>
        <w:t xml:space="preserve"> </w:t>
      </w:r>
      <w:proofErr w:type="spellStart"/>
      <w:r w:rsidRPr="007A647E">
        <w:rPr>
          <w:color w:val="000000" w:themeColor="text1"/>
        </w:rPr>
        <w:t>intelligence</w:t>
      </w:r>
      <w:proofErr w:type="spellEnd"/>
      <w:r w:rsidRPr="007A647E">
        <w:rPr>
          <w:color w:val="000000" w:themeColor="text1"/>
        </w:rPr>
        <w:t xml:space="preserve">: an </w:t>
      </w:r>
      <w:proofErr w:type="spellStart"/>
      <w:r w:rsidRPr="007A647E">
        <w:rPr>
          <w:color w:val="000000" w:themeColor="text1"/>
        </w:rPr>
        <w:t>overview</w:t>
      </w:r>
      <w:proofErr w:type="spellEnd"/>
      <w:r w:rsidRPr="007A647E">
        <w:rPr>
          <w:color w:val="000000" w:themeColor="text1"/>
        </w:rPr>
        <w:t xml:space="preserve"> of </w:t>
      </w:r>
      <w:proofErr w:type="spellStart"/>
      <w:r w:rsidRPr="007A647E">
        <w:rPr>
          <w:color w:val="000000" w:themeColor="text1"/>
        </w:rPr>
        <w:t>research</w:t>
      </w:r>
      <w:proofErr w:type="spellEnd"/>
      <w:r w:rsidRPr="007A647E">
        <w:rPr>
          <w:color w:val="000000" w:themeColor="text1"/>
        </w:rPr>
        <w:t xml:space="preserve"> </w:t>
      </w:r>
      <w:proofErr w:type="spellStart"/>
      <w:r w:rsidRPr="007A647E">
        <w:rPr>
          <w:color w:val="000000" w:themeColor="text1"/>
        </w:rPr>
        <w:t>trends</w:t>
      </w:r>
      <w:proofErr w:type="spellEnd"/>
      <w:r w:rsidRPr="007A647E">
        <w:rPr>
          <w:color w:val="000000" w:themeColor="text1"/>
        </w:rPr>
        <w:t xml:space="preserve"> </w:t>
      </w:r>
      <w:proofErr w:type="spellStart"/>
      <w:r w:rsidRPr="007A647E">
        <w:rPr>
          <w:color w:val="000000" w:themeColor="text1"/>
        </w:rPr>
        <w:t>and</w:t>
      </w:r>
      <w:proofErr w:type="spellEnd"/>
      <w:r w:rsidRPr="007A647E">
        <w:rPr>
          <w:color w:val="000000" w:themeColor="text1"/>
        </w:rPr>
        <w:t xml:space="preserve"> </w:t>
      </w:r>
      <w:proofErr w:type="spellStart"/>
      <w:r w:rsidRPr="007A647E">
        <w:rPr>
          <w:color w:val="000000" w:themeColor="text1"/>
        </w:rPr>
        <w:t>future</w:t>
      </w:r>
      <w:proofErr w:type="spellEnd"/>
      <w:r w:rsidRPr="007A647E">
        <w:rPr>
          <w:color w:val="000000" w:themeColor="text1"/>
        </w:rPr>
        <w:t xml:space="preserve"> </w:t>
      </w:r>
      <w:proofErr w:type="spellStart"/>
      <w:r w:rsidRPr="007A647E">
        <w:rPr>
          <w:color w:val="000000" w:themeColor="text1"/>
        </w:rPr>
        <w:t>directions</w:t>
      </w:r>
      <w:proofErr w:type="spellEnd"/>
      <w:r w:rsidRPr="007A647E">
        <w:rPr>
          <w:color w:val="000000" w:themeColor="text1"/>
        </w:rPr>
        <w:t>. </w:t>
      </w:r>
      <w:hyperlink r:id="rId418" w:history="1">
        <w:r w:rsidRPr="007A647E">
          <w:rPr>
            <w:rStyle w:val="Kpr"/>
            <w:rFonts w:eastAsiaTheme="majorEastAsia"/>
            <w:i/>
            <w:iCs/>
            <w:color w:val="000000" w:themeColor="text1"/>
          </w:rPr>
          <w:t>International Journal of Contemporary Hospitality Management</w:t>
        </w:r>
      </w:hyperlink>
      <w:r w:rsidRPr="007A647E">
        <w:rPr>
          <w:color w:val="000000" w:themeColor="text1"/>
        </w:rPr>
        <w:t xml:space="preserve">, </w:t>
      </w:r>
      <w:r w:rsidRPr="007A647E">
        <w:rPr>
          <w:i/>
          <w:iCs/>
          <w:color w:val="000000" w:themeColor="text1"/>
        </w:rPr>
        <w:t>37</w:t>
      </w:r>
      <w:r w:rsidRPr="007A647E">
        <w:rPr>
          <w:color w:val="000000" w:themeColor="text1"/>
        </w:rPr>
        <w:t>(1), 1-17. </w:t>
      </w:r>
      <w:hyperlink r:id="rId419" w:tooltip="DOI: https://doi.org/10.1108/IJCHM-03-2024-0322" w:history="1">
        <w:r w:rsidRPr="007A647E">
          <w:rPr>
            <w:rStyle w:val="Kpr"/>
            <w:rFonts w:eastAsiaTheme="majorEastAsia"/>
            <w:color w:val="000000" w:themeColor="text1"/>
          </w:rPr>
          <w:t>https://doi.org/10.1108/IJCHM-03-2024-0322</w:t>
        </w:r>
      </w:hyperlink>
    </w:p>
    <w:p w14:paraId="441EA208" w14:textId="77777777" w:rsidR="00FA457D" w:rsidRPr="007A647E" w:rsidRDefault="00FA457D">
      <w:pPr>
        <w:pStyle w:val="ListeParagraf"/>
        <w:numPr>
          <w:ilvl w:val="0"/>
          <w:numId w:val="65"/>
        </w:numPr>
        <w:jc w:val="both"/>
        <w:rPr>
          <w:color w:val="000000" w:themeColor="text1"/>
        </w:rPr>
      </w:pPr>
      <w:r w:rsidRPr="007A647E">
        <w:rPr>
          <w:color w:val="000000" w:themeColor="text1"/>
        </w:rPr>
        <w:t>Griffiths, M. (2005) A ‘</w:t>
      </w:r>
      <w:proofErr w:type="spellStart"/>
      <w:r w:rsidRPr="007A647E">
        <w:rPr>
          <w:color w:val="000000" w:themeColor="text1"/>
        </w:rPr>
        <w:t>components</w:t>
      </w:r>
      <w:proofErr w:type="spellEnd"/>
      <w:r w:rsidRPr="007A647E">
        <w:rPr>
          <w:color w:val="000000" w:themeColor="text1"/>
        </w:rPr>
        <w:t xml:space="preserve">’ model of </w:t>
      </w:r>
      <w:proofErr w:type="spellStart"/>
      <w:r w:rsidRPr="007A647E">
        <w:rPr>
          <w:color w:val="000000" w:themeColor="text1"/>
        </w:rPr>
        <w:t>addiction</w:t>
      </w:r>
      <w:proofErr w:type="spellEnd"/>
      <w:r w:rsidRPr="007A647E">
        <w:rPr>
          <w:color w:val="000000" w:themeColor="text1"/>
        </w:rPr>
        <w:t xml:space="preserve"> </w:t>
      </w:r>
      <w:proofErr w:type="spellStart"/>
      <w:r w:rsidRPr="007A647E">
        <w:rPr>
          <w:color w:val="000000" w:themeColor="text1"/>
        </w:rPr>
        <w:t>within</w:t>
      </w:r>
      <w:proofErr w:type="spellEnd"/>
      <w:r w:rsidRPr="007A647E">
        <w:rPr>
          <w:color w:val="000000" w:themeColor="text1"/>
        </w:rPr>
        <w:t xml:space="preserve"> a </w:t>
      </w:r>
      <w:proofErr w:type="spellStart"/>
      <w:r w:rsidRPr="007A647E">
        <w:rPr>
          <w:color w:val="000000" w:themeColor="text1"/>
        </w:rPr>
        <w:t>biopsychosocial</w:t>
      </w:r>
      <w:proofErr w:type="spellEnd"/>
      <w:r w:rsidRPr="007A647E">
        <w:rPr>
          <w:color w:val="000000" w:themeColor="text1"/>
        </w:rPr>
        <w:t xml:space="preserve"> </w:t>
      </w:r>
      <w:proofErr w:type="spellStart"/>
      <w:r w:rsidRPr="007A647E">
        <w:rPr>
          <w:color w:val="000000" w:themeColor="text1"/>
        </w:rPr>
        <w:t>framework</w:t>
      </w:r>
      <w:proofErr w:type="spellEnd"/>
      <w:r w:rsidRPr="007A647E">
        <w:rPr>
          <w:color w:val="000000" w:themeColor="text1"/>
        </w:rPr>
        <w:t>, </w:t>
      </w:r>
      <w:proofErr w:type="spellStart"/>
      <w:r w:rsidRPr="007A647E">
        <w:rPr>
          <w:color w:val="000000" w:themeColor="text1"/>
        </w:rPr>
        <w:t>Journal</w:t>
      </w:r>
      <w:proofErr w:type="spellEnd"/>
      <w:r w:rsidRPr="007A647E">
        <w:rPr>
          <w:color w:val="000000" w:themeColor="text1"/>
        </w:rPr>
        <w:t xml:space="preserve"> of </w:t>
      </w:r>
      <w:proofErr w:type="spellStart"/>
      <w:r w:rsidRPr="007A647E">
        <w:rPr>
          <w:color w:val="000000" w:themeColor="text1"/>
        </w:rPr>
        <w:t>Substance</w:t>
      </w:r>
      <w:proofErr w:type="spellEnd"/>
      <w:r w:rsidRPr="007A647E">
        <w:rPr>
          <w:color w:val="000000" w:themeColor="text1"/>
        </w:rPr>
        <w:t xml:space="preserve"> </w:t>
      </w:r>
      <w:proofErr w:type="spellStart"/>
      <w:r w:rsidRPr="007A647E">
        <w:rPr>
          <w:color w:val="000000" w:themeColor="text1"/>
        </w:rPr>
        <w:t>Use</w:t>
      </w:r>
      <w:proofErr w:type="spellEnd"/>
      <w:r w:rsidRPr="007A647E">
        <w:rPr>
          <w:color w:val="000000" w:themeColor="text1"/>
        </w:rPr>
        <w:t>, 10:4, 191-197, DOI: </w:t>
      </w:r>
      <w:r w:rsidRPr="00F51391">
        <w:t>10.1080/14659890500114359</w:t>
      </w:r>
    </w:p>
    <w:p w14:paraId="663AF3A2" w14:textId="77777777" w:rsidR="00FA457D" w:rsidRDefault="00FA457D">
      <w:pPr>
        <w:pStyle w:val="ListeParagraf"/>
        <w:numPr>
          <w:ilvl w:val="0"/>
          <w:numId w:val="65"/>
        </w:numPr>
        <w:jc w:val="both"/>
      </w:pPr>
      <w:r w:rsidRPr="00AC1DDF">
        <w:t xml:space="preserve">Hegel, G. W. F. (1977). </w:t>
      </w:r>
      <w:proofErr w:type="spellStart"/>
      <w:r w:rsidRPr="00AC1DDF">
        <w:t>Phenomenology</w:t>
      </w:r>
      <w:proofErr w:type="spellEnd"/>
      <w:r w:rsidRPr="00AC1DDF">
        <w:t xml:space="preserve"> of spirit. (Trans. A.V. Miller). Oxford </w:t>
      </w:r>
      <w:proofErr w:type="spellStart"/>
      <w:r w:rsidRPr="00AC1DDF">
        <w:t>University</w:t>
      </w:r>
      <w:proofErr w:type="spellEnd"/>
      <w:r w:rsidRPr="00AC1DDF">
        <w:t xml:space="preserve"> </w:t>
      </w:r>
      <w:proofErr w:type="spellStart"/>
      <w:r w:rsidRPr="00AC1DDF">
        <w:t>Press</w:t>
      </w:r>
      <w:proofErr w:type="spellEnd"/>
      <w:r w:rsidRPr="00AC1DDF">
        <w:t>.</w:t>
      </w:r>
    </w:p>
    <w:p w14:paraId="7EA168D0" w14:textId="77777777" w:rsidR="00FA457D" w:rsidRDefault="00FA457D">
      <w:pPr>
        <w:pStyle w:val="ListeParagraf"/>
        <w:numPr>
          <w:ilvl w:val="0"/>
          <w:numId w:val="65"/>
        </w:numPr>
        <w:jc w:val="both"/>
      </w:pPr>
      <w:proofErr w:type="spellStart"/>
      <w:r w:rsidRPr="005B54C1">
        <w:t>Ibtissem</w:t>
      </w:r>
      <w:proofErr w:type="spellEnd"/>
      <w:r w:rsidRPr="005B54C1">
        <w:t xml:space="preserve">, T. (2024). </w:t>
      </w:r>
      <w:proofErr w:type="spellStart"/>
      <w:r w:rsidRPr="005B54C1">
        <w:t>Alienation</w:t>
      </w:r>
      <w:proofErr w:type="spellEnd"/>
      <w:r w:rsidRPr="005B54C1">
        <w:t xml:space="preserve"> </w:t>
      </w:r>
      <w:proofErr w:type="spellStart"/>
      <w:r>
        <w:t>i</w:t>
      </w:r>
      <w:r w:rsidRPr="005B54C1">
        <w:t>ssues</w:t>
      </w:r>
      <w:proofErr w:type="spellEnd"/>
      <w:r w:rsidRPr="005B54C1">
        <w:t xml:space="preserve"> </w:t>
      </w:r>
      <w:proofErr w:type="spellStart"/>
      <w:r w:rsidRPr="005B54C1">
        <w:t>and</w:t>
      </w:r>
      <w:proofErr w:type="spellEnd"/>
      <w:r w:rsidRPr="005B54C1">
        <w:t xml:space="preserve"> </w:t>
      </w:r>
      <w:proofErr w:type="spellStart"/>
      <w:r w:rsidRPr="005B54C1">
        <w:t>artificial</w:t>
      </w:r>
      <w:proofErr w:type="spellEnd"/>
      <w:r w:rsidRPr="005B54C1">
        <w:t xml:space="preserve"> </w:t>
      </w:r>
      <w:proofErr w:type="spellStart"/>
      <w:r w:rsidRPr="005B54C1">
        <w:t>ıntelligence</w:t>
      </w:r>
      <w:proofErr w:type="spellEnd"/>
      <w:r w:rsidRPr="005B54C1">
        <w:t xml:space="preserve"> in </w:t>
      </w:r>
      <w:proofErr w:type="spellStart"/>
      <w:r w:rsidRPr="005B54C1">
        <w:t>the</w:t>
      </w:r>
      <w:proofErr w:type="spellEnd"/>
      <w:r w:rsidRPr="005B54C1">
        <w:t xml:space="preserve"> </w:t>
      </w:r>
      <w:proofErr w:type="spellStart"/>
      <w:r w:rsidRPr="005B54C1">
        <w:t>era</w:t>
      </w:r>
      <w:proofErr w:type="spellEnd"/>
      <w:r w:rsidRPr="005B54C1">
        <w:t xml:space="preserve"> of </w:t>
      </w:r>
      <w:proofErr w:type="spellStart"/>
      <w:r w:rsidRPr="005B54C1">
        <w:t>society</w:t>
      </w:r>
      <w:proofErr w:type="spellEnd"/>
      <w:r w:rsidRPr="005B54C1">
        <w:t xml:space="preserve"> 5.0. </w:t>
      </w:r>
      <w:proofErr w:type="spellStart"/>
      <w:r w:rsidRPr="007A647E">
        <w:rPr>
          <w:i/>
          <w:iCs/>
        </w:rPr>
        <w:t>Arab</w:t>
      </w:r>
      <w:proofErr w:type="spellEnd"/>
      <w:r w:rsidRPr="007A647E">
        <w:rPr>
          <w:i/>
          <w:iCs/>
        </w:rPr>
        <w:t xml:space="preserve"> Media &amp; </w:t>
      </w:r>
      <w:proofErr w:type="spellStart"/>
      <w:r w:rsidRPr="007A647E">
        <w:rPr>
          <w:i/>
          <w:iCs/>
        </w:rPr>
        <w:t>Society</w:t>
      </w:r>
      <w:proofErr w:type="spellEnd"/>
      <w:r w:rsidRPr="005B54C1">
        <w:t>, </w:t>
      </w:r>
      <w:r w:rsidRPr="007A647E">
        <w:rPr>
          <w:i/>
          <w:iCs/>
        </w:rPr>
        <w:t>37</w:t>
      </w:r>
      <w:r w:rsidRPr="005B54C1">
        <w:t xml:space="preserve">, 1–10. </w:t>
      </w:r>
      <w:r w:rsidRPr="00F51391">
        <w:t>https://doi.org/10.70090/ti24ais5</w:t>
      </w:r>
    </w:p>
    <w:p w14:paraId="113EE109" w14:textId="77777777" w:rsidR="00FA457D" w:rsidRDefault="00FA457D">
      <w:pPr>
        <w:pStyle w:val="ListeParagraf"/>
        <w:numPr>
          <w:ilvl w:val="0"/>
          <w:numId w:val="65"/>
        </w:numPr>
        <w:jc w:val="both"/>
      </w:pPr>
      <w:r w:rsidRPr="00650936">
        <w:t xml:space="preserve">Jiang, Y., </w:t>
      </w:r>
      <w:proofErr w:type="spellStart"/>
      <w:r w:rsidRPr="00650936">
        <w:t>Li</w:t>
      </w:r>
      <w:proofErr w:type="spellEnd"/>
      <w:r w:rsidRPr="00650936">
        <w:t xml:space="preserve">, X., </w:t>
      </w:r>
      <w:proofErr w:type="spellStart"/>
      <w:r w:rsidRPr="00650936">
        <w:t>Luo</w:t>
      </w:r>
      <w:proofErr w:type="spellEnd"/>
      <w:r w:rsidRPr="00650936">
        <w:t>, H. </w:t>
      </w:r>
      <w:r w:rsidRPr="007A647E">
        <w:rPr>
          <w:i/>
          <w:iCs/>
        </w:rPr>
        <w:t>et al.</w:t>
      </w:r>
      <w:r w:rsidRPr="00650936">
        <w:t> </w:t>
      </w:r>
      <w:r>
        <w:t xml:space="preserve">(2022). </w:t>
      </w:r>
      <w:proofErr w:type="spellStart"/>
      <w:r w:rsidRPr="00650936">
        <w:t>Quo</w:t>
      </w:r>
      <w:proofErr w:type="spellEnd"/>
      <w:r w:rsidRPr="00650936">
        <w:t xml:space="preserve"> </w:t>
      </w:r>
      <w:proofErr w:type="spellStart"/>
      <w:r w:rsidRPr="00650936">
        <w:t>vadis</w:t>
      </w:r>
      <w:proofErr w:type="spellEnd"/>
      <w:r w:rsidRPr="00650936">
        <w:t xml:space="preserve"> </w:t>
      </w:r>
      <w:proofErr w:type="spellStart"/>
      <w:r w:rsidRPr="00650936">
        <w:t>artificial</w:t>
      </w:r>
      <w:proofErr w:type="spellEnd"/>
      <w:r w:rsidRPr="00650936">
        <w:t xml:space="preserve"> </w:t>
      </w:r>
      <w:proofErr w:type="spellStart"/>
      <w:proofErr w:type="gramStart"/>
      <w:r w:rsidRPr="00650936">
        <w:t>intelligence</w:t>
      </w:r>
      <w:proofErr w:type="spellEnd"/>
      <w:r w:rsidRPr="00650936">
        <w:t>?.</w:t>
      </w:r>
      <w:proofErr w:type="gramEnd"/>
      <w:r w:rsidRPr="00650936">
        <w:t> </w:t>
      </w:r>
      <w:proofErr w:type="spellStart"/>
      <w:r w:rsidRPr="007A647E">
        <w:rPr>
          <w:i/>
          <w:iCs/>
        </w:rPr>
        <w:t>Discov</w:t>
      </w:r>
      <w:proofErr w:type="spellEnd"/>
      <w:r w:rsidRPr="007A647E">
        <w:rPr>
          <w:i/>
          <w:iCs/>
        </w:rPr>
        <w:t xml:space="preserve"> </w:t>
      </w:r>
      <w:proofErr w:type="spellStart"/>
      <w:r w:rsidRPr="007A647E">
        <w:rPr>
          <w:i/>
          <w:iCs/>
        </w:rPr>
        <w:t>Artif</w:t>
      </w:r>
      <w:proofErr w:type="spellEnd"/>
      <w:r w:rsidRPr="007A647E">
        <w:rPr>
          <w:i/>
          <w:iCs/>
        </w:rPr>
        <w:t xml:space="preserve"> </w:t>
      </w:r>
      <w:proofErr w:type="spellStart"/>
      <w:r w:rsidRPr="007A647E">
        <w:rPr>
          <w:i/>
          <w:iCs/>
        </w:rPr>
        <w:t>Intell</w:t>
      </w:r>
      <w:proofErr w:type="spellEnd"/>
      <w:r w:rsidRPr="00650936">
        <w:t> </w:t>
      </w:r>
      <w:r w:rsidRPr="007A647E">
        <w:rPr>
          <w:i/>
          <w:iCs/>
        </w:rPr>
        <w:t>2</w:t>
      </w:r>
      <w:r>
        <w:t xml:space="preserve"> (</w:t>
      </w:r>
      <w:r w:rsidRPr="00650936">
        <w:t>4</w:t>
      </w:r>
      <w:r>
        <w:t xml:space="preserve">). </w:t>
      </w:r>
      <w:r w:rsidRPr="00650936">
        <w:t>https://doi.org/10.1007/s44163-022-00022-8</w:t>
      </w:r>
    </w:p>
    <w:p w14:paraId="344BD848" w14:textId="25EA5736" w:rsidR="00FA457D" w:rsidRDefault="00FA457D">
      <w:pPr>
        <w:pStyle w:val="ListeParagraf"/>
        <w:numPr>
          <w:ilvl w:val="0"/>
          <w:numId w:val="65"/>
        </w:numPr>
        <w:jc w:val="both"/>
      </w:pPr>
      <w:r w:rsidRPr="006F2F0B">
        <w:t>Kalaman</w:t>
      </w:r>
      <w:r>
        <w:t xml:space="preserve">, S. &amp; </w:t>
      </w:r>
      <w:proofErr w:type="spellStart"/>
      <w:r w:rsidRPr="006F2F0B">
        <w:t>Önür</w:t>
      </w:r>
      <w:proofErr w:type="spellEnd"/>
      <w:r>
        <w:t>, N. (</w:t>
      </w:r>
      <w:r w:rsidRPr="006F2F0B">
        <w:t>2016).</w:t>
      </w:r>
      <w:r>
        <w:t xml:space="preserve"> </w:t>
      </w:r>
      <w:r w:rsidRPr="006F2F0B">
        <w:t xml:space="preserve">Dijital gündelik yaşam: yeni toplumsallıklar ve dijital </w:t>
      </w:r>
      <w:proofErr w:type="spellStart"/>
      <w:proofErr w:type="gramStart"/>
      <w:r w:rsidRPr="006F2F0B">
        <w:lastRenderedPageBreak/>
        <w:t>yabancılaşma.</w:t>
      </w:r>
      <w:r w:rsidRPr="007A647E">
        <w:rPr>
          <w:i/>
          <w:iCs/>
        </w:rPr>
        <w:t>The</w:t>
      </w:r>
      <w:proofErr w:type="spellEnd"/>
      <w:proofErr w:type="gramEnd"/>
      <w:r w:rsidRPr="007A647E">
        <w:rPr>
          <w:i/>
          <w:iCs/>
        </w:rPr>
        <w:t xml:space="preserve"> </w:t>
      </w:r>
      <w:proofErr w:type="spellStart"/>
      <w:r w:rsidRPr="007A647E">
        <w:rPr>
          <w:i/>
          <w:iCs/>
        </w:rPr>
        <w:t>Journal</w:t>
      </w:r>
      <w:proofErr w:type="spellEnd"/>
      <w:r w:rsidRPr="007A647E">
        <w:rPr>
          <w:i/>
          <w:iCs/>
        </w:rPr>
        <w:t xml:space="preserve"> of </w:t>
      </w:r>
      <w:proofErr w:type="spellStart"/>
      <w:r w:rsidRPr="007A647E">
        <w:rPr>
          <w:i/>
          <w:iCs/>
        </w:rPr>
        <w:t>Academic</w:t>
      </w:r>
      <w:proofErr w:type="spellEnd"/>
      <w:r w:rsidRPr="007A647E">
        <w:rPr>
          <w:i/>
          <w:iCs/>
        </w:rPr>
        <w:t xml:space="preserve"> </w:t>
      </w:r>
      <w:proofErr w:type="spellStart"/>
      <w:r w:rsidRPr="007A647E">
        <w:rPr>
          <w:i/>
          <w:iCs/>
        </w:rPr>
        <w:t>Social</w:t>
      </w:r>
      <w:proofErr w:type="spellEnd"/>
      <w:r w:rsidRPr="007A647E">
        <w:rPr>
          <w:i/>
          <w:iCs/>
        </w:rPr>
        <w:t xml:space="preserve"> </w:t>
      </w:r>
      <w:proofErr w:type="spellStart"/>
      <w:r w:rsidRPr="007A647E">
        <w:rPr>
          <w:i/>
          <w:iCs/>
        </w:rPr>
        <w:t>Science</w:t>
      </w:r>
      <w:proofErr w:type="spellEnd"/>
      <w:r w:rsidRPr="007A647E">
        <w:rPr>
          <w:i/>
          <w:iCs/>
        </w:rPr>
        <w:t xml:space="preserve"> 4</w:t>
      </w:r>
      <w:r w:rsidRPr="006F2F0B">
        <w:t>(35), 269-289.</w:t>
      </w:r>
    </w:p>
    <w:p w14:paraId="5CB51CF8" w14:textId="77777777" w:rsidR="00FA457D" w:rsidRDefault="00FA457D">
      <w:pPr>
        <w:pStyle w:val="ListeParagraf"/>
        <w:numPr>
          <w:ilvl w:val="0"/>
          <w:numId w:val="65"/>
        </w:numPr>
        <w:jc w:val="both"/>
      </w:pPr>
      <w:r w:rsidRPr="00650936">
        <w:t xml:space="preserve">Kopar, E. (2023). Yapay </w:t>
      </w:r>
      <w:proofErr w:type="spellStart"/>
      <w:r w:rsidRPr="00650936">
        <w:t>zekânın</w:t>
      </w:r>
      <w:proofErr w:type="spellEnd"/>
      <w:r w:rsidRPr="00650936">
        <w:t xml:space="preserve"> </w:t>
      </w:r>
      <w:proofErr w:type="spellStart"/>
      <w:r w:rsidRPr="00650936">
        <w:t>tarihçesi</w:t>
      </w:r>
      <w:proofErr w:type="spellEnd"/>
      <w:r w:rsidRPr="00650936">
        <w:t xml:space="preserve"> ve </w:t>
      </w:r>
      <w:proofErr w:type="spellStart"/>
      <w:r w:rsidRPr="00650936">
        <w:t>gelişimi</w:t>
      </w:r>
      <w:proofErr w:type="spellEnd"/>
      <w:r w:rsidRPr="00650936">
        <w:t>. https://www.brandingturkiye.com/yapay-zekanin-tarihcesi-ve-gelisimi/ (</w:t>
      </w:r>
      <w:proofErr w:type="spellStart"/>
      <w:r w:rsidRPr="00650936">
        <w:t>Erişim</w:t>
      </w:r>
      <w:proofErr w:type="spellEnd"/>
      <w:r w:rsidRPr="00650936">
        <w:t xml:space="preserve"> Tarihi: 2</w:t>
      </w:r>
      <w:r>
        <w:t>0</w:t>
      </w:r>
      <w:r w:rsidRPr="00650936">
        <w:t>.0</w:t>
      </w:r>
      <w:r>
        <w:t>1</w:t>
      </w:r>
      <w:r w:rsidRPr="00650936">
        <w:t>.202</w:t>
      </w:r>
      <w:r>
        <w:t>5</w:t>
      </w:r>
      <w:r w:rsidRPr="00650936">
        <w:t>).</w:t>
      </w:r>
    </w:p>
    <w:p w14:paraId="2B2535A1" w14:textId="2A2087BD" w:rsidR="00FA457D" w:rsidRDefault="00FA457D">
      <w:pPr>
        <w:pStyle w:val="ListeParagraf"/>
        <w:numPr>
          <w:ilvl w:val="0"/>
          <w:numId w:val="65"/>
        </w:numPr>
        <w:jc w:val="both"/>
      </w:pPr>
      <w:proofErr w:type="spellStart"/>
      <w:r>
        <w:t>Luisi</w:t>
      </w:r>
      <w:proofErr w:type="spellEnd"/>
      <w:r>
        <w:t xml:space="preserve">, P. (Yönetmen). (2024). </w:t>
      </w:r>
      <w:proofErr w:type="spellStart"/>
      <w:r w:rsidRPr="007A647E">
        <w:rPr>
          <w:i/>
          <w:iCs/>
        </w:rPr>
        <w:t>The</w:t>
      </w:r>
      <w:proofErr w:type="spellEnd"/>
      <w:r w:rsidRPr="007A647E">
        <w:rPr>
          <w:i/>
          <w:iCs/>
        </w:rPr>
        <w:t xml:space="preserve"> </w:t>
      </w:r>
      <w:proofErr w:type="spellStart"/>
      <w:r w:rsidRPr="007A647E">
        <w:rPr>
          <w:i/>
          <w:iCs/>
        </w:rPr>
        <w:t>last</w:t>
      </w:r>
      <w:proofErr w:type="spellEnd"/>
      <w:r w:rsidRPr="007A647E">
        <w:rPr>
          <w:i/>
          <w:iCs/>
        </w:rPr>
        <w:t xml:space="preserve"> </w:t>
      </w:r>
      <w:proofErr w:type="spellStart"/>
      <w:r w:rsidRPr="007A647E">
        <w:rPr>
          <w:i/>
          <w:iCs/>
        </w:rPr>
        <w:t>screenwriter</w:t>
      </w:r>
      <w:proofErr w:type="spellEnd"/>
      <w:r>
        <w:t xml:space="preserve"> </w:t>
      </w:r>
      <w:r w:rsidRPr="003672D0">
        <w:t>[</w:t>
      </w:r>
      <w:r>
        <w:t>Film</w:t>
      </w:r>
      <w:r w:rsidRPr="003672D0">
        <w:t>]</w:t>
      </w:r>
      <w:r>
        <w:t xml:space="preserve">. David </w:t>
      </w:r>
      <w:proofErr w:type="spellStart"/>
      <w:r>
        <w:t>Luisi</w:t>
      </w:r>
      <w:proofErr w:type="spellEnd"/>
      <w:r>
        <w:t xml:space="preserve"> &amp; Peter </w:t>
      </w:r>
      <w:proofErr w:type="spellStart"/>
      <w:r>
        <w:t>Luisi</w:t>
      </w:r>
      <w:proofErr w:type="spellEnd"/>
      <w:r>
        <w:t>.</w:t>
      </w:r>
    </w:p>
    <w:p w14:paraId="4D872BAB" w14:textId="3D041E53" w:rsidR="00FA457D" w:rsidRDefault="00FA457D">
      <w:pPr>
        <w:pStyle w:val="ListeParagraf"/>
        <w:numPr>
          <w:ilvl w:val="0"/>
          <w:numId w:val="65"/>
        </w:numPr>
        <w:jc w:val="both"/>
      </w:pPr>
      <w:proofErr w:type="spellStart"/>
      <w:r w:rsidRPr="00416AF4">
        <w:t>Meehan</w:t>
      </w:r>
      <w:proofErr w:type="spellEnd"/>
      <w:r w:rsidRPr="00416AF4">
        <w:t xml:space="preserve">, P. (2008). </w:t>
      </w:r>
      <w:proofErr w:type="spellStart"/>
      <w:r w:rsidRPr="00416AF4">
        <w:t>The</w:t>
      </w:r>
      <w:proofErr w:type="spellEnd"/>
      <w:r w:rsidRPr="00416AF4">
        <w:t xml:space="preserve"> </w:t>
      </w:r>
      <w:proofErr w:type="spellStart"/>
      <w:r w:rsidRPr="00416AF4">
        <w:t>fusion</w:t>
      </w:r>
      <w:proofErr w:type="spellEnd"/>
      <w:r w:rsidRPr="00416AF4">
        <w:t xml:space="preserve"> of </w:t>
      </w:r>
      <w:proofErr w:type="spellStart"/>
      <w:r w:rsidRPr="00416AF4">
        <w:t>science</w:t>
      </w:r>
      <w:proofErr w:type="spellEnd"/>
      <w:r w:rsidRPr="00416AF4">
        <w:t xml:space="preserve"> fiction </w:t>
      </w:r>
      <w:proofErr w:type="spellStart"/>
      <w:r w:rsidRPr="00416AF4">
        <w:t>and</w:t>
      </w:r>
      <w:proofErr w:type="spellEnd"/>
      <w:r w:rsidRPr="00416AF4">
        <w:t xml:space="preserve"> film-</w:t>
      </w:r>
      <w:proofErr w:type="spellStart"/>
      <w:r w:rsidRPr="00416AF4">
        <w:t>noir</w:t>
      </w:r>
      <w:proofErr w:type="spellEnd"/>
      <w:r w:rsidRPr="00416AF4">
        <w:t xml:space="preserve"> (2. baskı). </w:t>
      </w:r>
      <w:proofErr w:type="spellStart"/>
      <w:r w:rsidRPr="00416AF4">
        <w:t>McFarland</w:t>
      </w:r>
      <w:proofErr w:type="spellEnd"/>
      <w:r w:rsidRPr="00416AF4">
        <w:t xml:space="preserve"> &amp; </w:t>
      </w:r>
      <w:proofErr w:type="spellStart"/>
      <w:r w:rsidRPr="00416AF4">
        <w:t>Company</w:t>
      </w:r>
      <w:proofErr w:type="spellEnd"/>
      <w:r w:rsidRPr="00416AF4">
        <w:t>.</w:t>
      </w:r>
    </w:p>
    <w:p w14:paraId="55A31237" w14:textId="77777777" w:rsidR="00FA457D" w:rsidRDefault="00FA457D">
      <w:pPr>
        <w:pStyle w:val="ListeParagraf"/>
        <w:numPr>
          <w:ilvl w:val="0"/>
          <w:numId w:val="65"/>
        </w:numPr>
        <w:jc w:val="both"/>
      </w:pPr>
      <w:proofErr w:type="spellStart"/>
      <w:r w:rsidRPr="00AC1DDF">
        <w:t>Pippen</w:t>
      </w:r>
      <w:proofErr w:type="spellEnd"/>
      <w:r w:rsidRPr="00AC1DDF">
        <w:t xml:space="preserve">, R. (2014). </w:t>
      </w:r>
      <w:proofErr w:type="spellStart"/>
      <w:r w:rsidRPr="00AC1DDF">
        <w:t>After</w:t>
      </w:r>
      <w:proofErr w:type="spellEnd"/>
      <w:r w:rsidRPr="00AC1DDF">
        <w:t xml:space="preserve"> </w:t>
      </w:r>
      <w:proofErr w:type="spellStart"/>
      <w:r w:rsidRPr="00AC1DDF">
        <w:t>the</w:t>
      </w:r>
      <w:proofErr w:type="spellEnd"/>
      <w:r w:rsidRPr="00AC1DDF">
        <w:t xml:space="preserve"> </w:t>
      </w:r>
      <w:proofErr w:type="spellStart"/>
      <w:r w:rsidRPr="00AC1DDF">
        <w:t>beautiful</w:t>
      </w:r>
      <w:proofErr w:type="spellEnd"/>
      <w:r w:rsidRPr="00AC1DDF">
        <w:t xml:space="preserve">: Hegel </w:t>
      </w:r>
      <w:proofErr w:type="spellStart"/>
      <w:r w:rsidRPr="00AC1DDF">
        <w:t>and</w:t>
      </w:r>
      <w:proofErr w:type="spellEnd"/>
      <w:r w:rsidRPr="00AC1DDF">
        <w:t xml:space="preserve"> </w:t>
      </w:r>
      <w:proofErr w:type="spellStart"/>
      <w:r w:rsidRPr="00AC1DDF">
        <w:t>the</w:t>
      </w:r>
      <w:proofErr w:type="spellEnd"/>
      <w:r w:rsidRPr="00AC1DDF">
        <w:t xml:space="preserve"> </w:t>
      </w:r>
      <w:proofErr w:type="spellStart"/>
      <w:r w:rsidRPr="00AC1DDF">
        <w:t>philosophy</w:t>
      </w:r>
      <w:proofErr w:type="spellEnd"/>
      <w:r w:rsidRPr="00AC1DDF">
        <w:t xml:space="preserve"> of </w:t>
      </w:r>
      <w:proofErr w:type="spellStart"/>
      <w:r w:rsidRPr="00AC1DDF">
        <w:t>pictorial</w:t>
      </w:r>
      <w:proofErr w:type="spellEnd"/>
      <w:r w:rsidRPr="00AC1DDF">
        <w:t xml:space="preserve"> </w:t>
      </w:r>
      <w:proofErr w:type="spellStart"/>
      <w:r w:rsidRPr="00AC1DDF">
        <w:t>modernism</w:t>
      </w:r>
      <w:proofErr w:type="spellEnd"/>
      <w:r w:rsidRPr="00AC1DDF">
        <w:t xml:space="preserve">. </w:t>
      </w:r>
      <w:proofErr w:type="spellStart"/>
      <w:r w:rsidRPr="00AC1DDF">
        <w:t>The</w:t>
      </w:r>
      <w:proofErr w:type="spellEnd"/>
      <w:r w:rsidRPr="00AC1DDF">
        <w:t xml:space="preserve"> </w:t>
      </w:r>
      <w:proofErr w:type="spellStart"/>
      <w:r w:rsidRPr="00AC1DDF">
        <w:t>University</w:t>
      </w:r>
      <w:proofErr w:type="spellEnd"/>
      <w:r>
        <w:t xml:space="preserve"> </w:t>
      </w:r>
      <w:r w:rsidRPr="00AC1DDF">
        <w:t xml:space="preserve">of Chicago </w:t>
      </w:r>
      <w:proofErr w:type="spellStart"/>
      <w:r w:rsidRPr="00AC1DDF">
        <w:t>Press</w:t>
      </w:r>
      <w:proofErr w:type="spellEnd"/>
      <w:r w:rsidRPr="00AC1DDF">
        <w:t>.</w:t>
      </w:r>
    </w:p>
    <w:p w14:paraId="6BFEB2AD" w14:textId="77777777" w:rsidR="00FA457D" w:rsidRDefault="00FA457D">
      <w:pPr>
        <w:pStyle w:val="ListeParagraf"/>
        <w:numPr>
          <w:ilvl w:val="0"/>
          <w:numId w:val="65"/>
        </w:numPr>
        <w:jc w:val="both"/>
      </w:pPr>
      <w:r>
        <w:t>Schwartz, W. (2024). Is ‘</w:t>
      </w:r>
      <w:proofErr w:type="spellStart"/>
      <w:r>
        <w:t>The</w:t>
      </w:r>
      <w:proofErr w:type="spellEnd"/>
      <w:r>
        <w:t xml:space="preserve"> </w:t>
      </w:r>
      <w:proofErr w:type="spellStart"/>
      <w:r>
        <w:t>last</w:t>
      </w:r>
      <w:proofErr w:type="spellEnd"/>
      <w:r>
        <w:t xml:space="preserve"> </w:t>
      </w:r>
      <w:proofErr w:type="spellStart"/>
      <w:r>
        <w:t>screenwriter</w:t>
      </w:r>
      <w:proofErr w:type="spellEnd"/>
      <w:r>
        <w:t xml:space="preserve">’ </w:t>
      </w:r>
      <w:proofErr w:type="spellStart"/>
      <w:r>
        <w:t>any</w:t>
      </w:r>
      <w:proofErr w:type="spellEnd"/>
      <w:r>
        <w:t xml:space="preserve"> </w:t>
      </w:r>
      <w:proofErr w:type="spellStart"/>
      <w:proofErr w:type="gramStart"/>
      <w:r>
        <w:t>good</w:t>
      </w:r>
      <w:proofErr w:type="spellEnd"/>
      <w:r>
        <w:t>?.</w:t>
      </w:r>
      <w:proofErr w:type="gramEnd"/>
      <w:r>
        <w:t xml:space="preserve"> </w:t>
      </w:r>
      <w:hyperlink r:id="rId420" w:history="1">
        <w:r w:rsidRPr="007A647E">
          <w:rPr>
            <w:rStyle w:val="Kpr"/>
            <w:rFonts w:eastAsiaTheme="majorEastAsia"/>
            <w:color w:val="000000" w:themeColor="text1"/>
          </w:rPr>
          <w:t>https://bookandfilmglobe.com/film/the-last-screenwriter/</w:t>
        </w:r>
      </w:hyperlink>
      <w:r w:rsidRPr="007A647E">
        <w:rPr>
          <w:color w:val="000000" w:themeColor="text1"/>
        </w:rPr>
        <w:t xml:space="preserve"> </w:t>
      </w:r>
      <w:r>
        <w:t>(Erişim Tarihi: 01.02.2025).</w:t>
      </w:r>
    </w:p>
    <w:p w14:paraId="251989DD" w14:textId="77777777" w:rsidR="00FA457D" w:rsidRDefault="00FA457D">
      <w:pPr>
        <w:pStyle w:val="ListeParagraf"/>
        <w:numPr>
          <w:ilvl w:val="0"/>
          <w:numId w:val="65"/>
        </w:numPr>
        <w:jc w:val="both"/>
      </w:pPr>
      <w:proofErr w:type="spellStart"/>
      <w:r>
        <w:t>Siegel</w:t>
      </w:r>
      <w:proofErr w:type="spellEnd"/>
      <w:r>
        <w:t xml:space="preserve">, T. (2020). </w:t>
      </w:r>
      <w:r w:rsidRPr="00050D7B">
        <w:t xml:space="preserve">Warner </w:t>
      </w:r>
      <w:proofErr w:type="spellStart"/>
      <w:r w:rsidRPr="00050D7B">
        <w:t>Bros</w:t>
      </w:r>
      <w:proofErr w:type="spellEnd"/>
      <w:r w:rsidRPr="00050D7B">
        <w:t xml:space="preserve">. </w:t>
      </w:r>
      <w:proofErr w:type="spellStart"/>
      <w:proofErr w:type="gramStart"/>
      <w:r w:rsidRPr="00050D7B">
        <w:t>signs</w:t>
      </w:r>
      <w:proofErr w:type="spellEnd"/>
      <w:proofErr w:type="gramEnd"/>
      <w:r w:rsidRPr="00050D7B">
        <w:t xml:space="preserve"> </w:t>
      </w:r>
      <w:proofErr w:type="spellStart"/>
      <w:r w:rsidRPr="00050D7B">
        <w:t>deal</w:t>
      </w:r>
      <w:proofErr w:type="spellEnd"/>
      <w:r w:rsidRPr="00050D7B">
        <w:t xml:space="preserve"> </w:t>
      </w:r>
      <w:proofErr w:type="spellStart"/>
      <w:r w:rsidRPr="00050D7B">
        <w:t>for</w:t>
      </w:r>
      <w:proofErr w:type="spellEnd"/>
      <w:r w:rsidRPr="00050D7B">
        <w:t xml:space="preserve"> </w:t>
      </w:r>
      <w:proofErr w:type="spellStart"/>
      <w:r w:rsidRPr="00050D7B">
        <w:t>aı-driven</w:t>
      </w:r>
      <w:proofErr w:type="spellEnd"/>
      <w:r w:rsidRPr="00050D7B">
        <w:t xml:space="preserve"> film </w:t>
      </w:r>
      <w:proofErr w:type="spellStart"/>
      <w:r w:rsidRPr="00050D7B">
        <w:t>management</w:t>
      </w:r>
      <w:proofErr w:type="spellEnd"/>
      <w:r w:rsidRPr="00050D7B">
        <w:t xml:space="preserve"> </w:t>
      </w:r>
      <w:r>
        <w:t>s</w:t>
      </w:r>
      <w:r w:rsidRPr="00050D7B">
        <w:t>ystem.</w:t>
      </w:r>
      <w:r w:rsidRPr="007A647E">
        <w:rPr>
          <w:b/>
          <w:bCs/>
        </w:rPr>
        <w:t> </w:t>
      </w:r>
      <w:proofErr w:type="gramStart"/>
      <w:r w:rsidRPr="00F51391">
        <w:t>https://www.hollywoodreporter.com/business/business-news/warner-bros-signs-deal-ai-driven-film-management-system-1268036/</w:t>
      </w:r>
      <w:r>
        <w:t xml:space="preserve">  (</w:t>
      </w:r>
      <w:proofErr w:type="gramEnd"/>
      <w:r>
        <w:t>Erişim Tarihi: 10.02.2025)</w:t>
      </w:r>
    </w:p>
    <w:p w14:paraId="5FCAB63B" w14:textId="77777777" w:rsidR="00FA457D" w:rsidRDefault="00FA457D">
      <w:pPr>
        <w:pStyle w:val="ListeParagraf"/>
        <w:numPr>
          <w:ilvl w:val="0"/>
          <w:numId w:val="65"/>
        </w:numPr>
        <w:jc w:val="both"/>
      </w:pPr>
      <w:proofErr w:type="spellStart"/>
      <w:r w:rsidRPr="00BE6E38">
        <w:t>Swarnakar</w:t>
      </w:r>
      <w:proofErr w:type="spellEnd"/>
      <w:r w:rsidRPr="00BE6E38">
        <w:t xml:space="preserve">, S. (2024). </w:t>
      </w:r>
      <w:proofErr w:type="spellStart"/>
      <w:r w:rsidRPr="00BE6E38">
        <w:t>Artificial</w:t>
      </w:r>
      <w:proofErr w:type="spellEnd"/>
      <w:r w:rsidRPr="00BE6E38">
        <w:t xml:space="preserve"> </w:t>
      </w:r>
      <w:proofErr w:type="spellStart"/>
      <w:r>
        <w:t>i</w:t>
      </w:r>
      <w:r w:rsidRPr="00BE6E38">
        <w:t>ntelligence</w:t>
      </w:r>
      <w:proofErr w:type="spellEnd"/>
      <w:r w:rsidRPr="00BE6E38">
        <w:t xml:space="preserve"> </w:t>
      </w:r>
      <w:proofErr w:type="spellStart"/>
      <w:r w:rsidRPr="00BE6E38">
        <w:t>and</w:t>
      </w:r>
      <w:proofErr w:type="spellEnd"/>
      <w:r w:rsidRPr="00BE6E38">
        <w:t xml:space="preserve"> </w:t>
      </w:r>
      <w:proofErr w:type="spellStart"/>
      <w:r w:rsidRPr="00BE6E38">
        <w:t>cinema-exploring</w:t>
      </w:r>
      <w:proofErr w:type="spellEnd"/>
      <w:r w:rsidRPr="00BE6E38">
        <w:t xml:space="preserve"> </w:t>
      </w:r>
      <w:proofErr w:type="spellStart"/>
      <w:r w:rsidRPr="00BE6E38">
        <w:t>the</w:t>
      </w:r>
      <w:proofErr w:type="spellEnd"/>
      <w:r w:rsidRPr="00BE6E38">
        <w:t xml:space="preserve"> </w:t>
      </w:r>
      <w:proofErr w:type="spellStart"/>
      <w:r>
        <w:t>i</w:t>
      </w:r>
      <w:r w:rsidRPr="00BE6E38">
        <w:t>mplications</w:t>
      </w:r>
      <w:proofErr w:type="spellEnd"/>
      <w:r w:rsidRPr="00BE6E38">
        <w:t xml:space="preserve"> of </w:t>
      </w:r>
      <w:proofErr w:type="spellStart"/>
      <w:r w:rsidRPr="00BE6E38">
        <w:t>artificial</w:t>
      </w:r>
      <w:proofErr w:type="spellEnd"/>
      <w:r w:rsidRPr="00BE6E38">
        <w:t xml:space="preserve"> </w:t>
      </w:r>
      <w:proofErr w:type="spellStart"/>
      <w:r>
        <w:t>i</w:t>
      </w:r>
      <w:r w:rsidRPr="00BE6E38">
        <w:t>ntelligence</w:t>
      </w:r>
      <w:proofErr w:type="spellEnd"/>
      <w:r w:rsidRPr="00BE6E38">
        <w:t xml:space="preserve"> in </w:t>
      </w:r>
      <w:proofErr w:type="spellStart"/>
      <w:r w:rsidRPr="00BE6E38">
        <w:t>cinema</w:t>
      </w:r>
      <w:proofErr w:type="spellEnd"/>
      <w:r w:rsidRPr="00BE6E38">
        <w:t>. </w:t>
      </w:r>
      <w:proofErr w:type="spellStart"/>
      <w:r w:rsidRPr="007A647E">
        <w:rPr>
          <w:i/>
          <w:iCs/>
        </w:rPr>
        <w:t>The</w:t>
      </w:r>
      <w:proofErr w:type="spellEnd"/>
      <w:r w:rsidRPr="007A647E">
        <w:rPr>
          <w:i/>
          <w:iCs/>
        </w:rPr>
        <w:t xml:space="preserve"> Media </w:t>
      </w:r>
      <w:proofErr w:type="spellStart"/>
      <w:r w:rsidRPr="007A647E">
        <w:rPr>
          <w:i/>
          <w:iCs/>
        </w:rPr>
        <w:t>Mosaic</w:t>
      </w:r>
      <w:proofErr w:type="spellEnd"/>
      <w:r w:rsidRPr="007A647E">
        <w:rPr>
          <w:i/>
          <w:iCs/>
        </w:rPr>
        <w:t xml:space="preserve">: </w:t>
      </w:r>
      <w:proofErr w:type="spellStart"/>
      <w:r w:rsidRPr="007A647E">
        <w:rPr>
          <w:i/>
          <w:iCs/>
        </w:rPr>
        <w:t>Exploring</w:t>
      </w:r>
      <w:proofErr w:type="spellEnd"/>
      <w:r w:rsidRPr="007A647E">
        <w:rPr>
          <w:i/>
          <w:iCs/>
        </w:rPr>
        <w:t xml:space="preserve"> </w:t>
      </w:r>
      <w:proofErr w:type="spellStart"/>
      <w:r w:rsidRPr="007A647E">
        <w:rPr>
          <w:i/>
          <w:iCs/>
        </w:rPr>
        <w:t>Diverse</w:t>
      </w:r>
      <w:proofErr w:type="spellEnd"/>
      <w:r w:rsidRPr="007A647E">
        <w:rPr>
          <w:i/>
          <w:iCs/>
        </w:rPr>
        <w:t xml:space="preserve"> </w:t>
      </w:r>
      <w:proofErr w:type="spellStart"/>
      <w:r w:rsidRPr="007A647E">
        <w:rPr>
          <w:i/>
          <w:iCs/>
        </w:rPr>
        <w:t>Artistic</w:t>
      </w:r>
      <w:proofErr w:type="spellEnd"/>
      <w:r w:rsidRPr="007A647E">
        <w:rPr>
          <w:i/>
          <w:iCs/>
        </w:rPr>
        <w:t xml:space="preserve"> Forms</w:t>
      </w:r>
      <w:r w:rsidRPr="00BE6E38">
        <w:t>, 21-26.</w:t>
      </w:r>
    </w:p>
    <w:p w14:paraId="7EBDD231" w14:textId="620C26A0" w:rsidR="00FA457D" w:rsidRPr="007A647E" w:rsidRDefault="00FA457D">
      <w:pPr>
        <w:pStyle w:val="ListeParagraf"/>
        <w:numPr>
          <w:ilvl w:val="0"/>
          <w:numId w:val="65"/>
        </w:numPr>
        <w:jc w:val="both"/>
        <w:rPr>
          <w:b/>
          <w:bCs/>
        </w:rPr>
      </w:pPr>
      <w:r>
        <w:t xml:space="preserve">Vincent, J. (2019). </w:t>
      </w:r>
      <w:r w:rsidRPr="00BF7BDB">
        <w:t xml:space="preserve">Hollywood is </w:t>
      </w:r>
      <w:proofErr w:type="spellStart"/>
      <w:r w:rsidRPr="00BF7BDB">
        <w:t>quietly</w:t>
      </w:r>
      <w:proofErr w:type="spellEnd"/>
      <w:r w:rsidRPr="00BF7BDB">
        <w:t xml:space="preserve"> </w:t>
      </w:r>
      <w:proofErr w:type="spellStart"/>
      <w:r w:rsidRPr="00BF7BDB">
        <w:t>using</w:t>
      </w:r>
      <w:proofErr w:type="spellEnd"/>
      <w:r w:rsidRPr="00BF7BDB">
        <w:t xml:space="preserve"> AI </w:t>
      </w:r>
      <w:proofErr w:type="spellStart"/>
      <w:r w:rsidRPr="00BF7BDB">
        <w:t>to</w:t>
      </w:r>
      <w:proofErr w:type="spellEnd"/>
      <w:r w:rsidRPr="00BF7BDB">
        <w:t xml:space="preserve"> </w:t>
      </w:r>
      <w:proofErr w:type="spellStart"/>
      <w:r w:rsidRPr="00BF7BDB">
        <w:t>help</w:t>
      </w:r>
      <w:proofErr w:type="spellEnd"/>
      <w:r w:rsidRPr="00BF7BDB">
        <w:t xml:space="preserve"> </w:t>
      </w:r>
      <w:proofErr w:type="spellStart"/>
      <w:r w:rsidRPr="00BF7BDB">
        <w:t>decide</w:t>
      </w:r>
      <w:proofErr w:type="spellEnd"/>
      <w:r w:rsidRPr="00BF7BDB">
        <w:t xml:space="preserve"> </w:t>
      </w:r>
      <w:proofErr w:type="spellStart"/>
      <w:r w:rsidRPr="00BF7BDB">
        <w:t>which</w:t>
      </w:r>
      <w:proofErr w:type="spellEnd"/>
      <w:r w:rsidRPr="00BF7BDB">
        <w:t xml:space="preserve"> </w:t>
      </w:r>
      <w:proofErr w:type="spellStart"/>
      <w:r w:rsidRPr="00BF7BDB">
        <w:t>movies</w:t>
      </w:r>
      <w:proofErr w:type="spellEnd"/>
      <w:r w:rsidRPr="00BF7BDB">
        <w:t xml:space="preserve"> </w:t>
      </w:r>
      <w:proofErr w:type="spellStart"/>
      <w:r w:rsidRPr="00BF7BDB">
        <w:t>to</w:t>
      </w:r>
      <w:proofErr w:type="spellEnd"/>
      <w:r w:rsidRPr="00BF7BDB">
        <w:t xml:space="preserve"> </w:t>
      </w:r>
      <w:proofErr w:type="spellStart"/>
      <w:r w:rsidRPr="00BF7BDB">
        <w:t>make</w:t>
      </w:r>
      <w:proofErr w:type="spellEnd"/>
      <w:r w:rsidRPr="00BF7BDB">
        <w:t>.</w:t>
      </w:r>
      <w:r>
        <w:t xml:space="preserve"> </w:t>
      </w:r>
      <w:hyperlink r:id="rId421" w:history="1">
        <w:r w:rsidRPr="007A647E">
          <w:rPr>
            <w:rStyle w:val="Kpr"/>
            <w:rFonts w:eastAsiaTheme="majorEastAsia"/>
            <w:color w:val="000000" w:themeColor="text1"/>
          </w:rPr>
          <w:t>https://www.theverge.com/2019/5/28/18637135/hollywood-ai-film-decision-script-analysis-data-machine-learning</w:t>
        </w:r>
      </w:hyperlink>
      <w:r>
        <w:t xml:space="preserve"> (Erişim Tarihi: 10.02.2025).</w:t>
      </w:r>
    </w:p>
    <w:p w14:paraId="53359D0F" w14:textId="0732A51D" w:rsidR="00FA457D" w:rsidRDefault="00FA457D">
      <w:pPr>
        <w:pStyle w:val="ListeParagraf"/>
        <w:numPr>
          <w:ilvl w:val="0"/>
          <w:numId w:val="65"/>
        </w:numPr>
        <w:jc w:val="both"/>
      </w:pPr>
      <w:r>
        <w:t xml:space="preserve">Yıldırım, A. &amp; Şimşek, H. (2011). </w:t>
      </w:r>
      <w:r w:rsidRPr="007A647E">
        <w:rPr>
          <w:i/>
          <w:iCs/>
        </w:rPr>
        <w:t>Sosyal bilimlerde nitel araştırma yöntemleri</w:t>
      </w:r>
      <w:r>
        <w:t>. Seçkin Yayıncılık: Ankara.</w:t>
      </w:r>
    </w:p>
    <w:p w14:paraId="4AD71AA5" w14:textId="39AB2FBD" w:rsidR="00D47EF1" w:rsidRDefault="00FA457D">
      <w:pPr>
        <w:pStyle w:val="ListeParagraf"/>
        <w:numPr>
          <w:ilvl w:val="0"/>
          <w:numId w:val="65"/>
        </w:numPr>
        <w:jc w:val="both"/>
      </w:pPr>
      <w:r w:rsidRPr="001F7761">
        <w:t xml:space="preserve">Zengin, F. (2020). Akıllı makine çağı sinemasına giriş: sinema sanatında yapay zekâ teknolojilerinin kullanımı. </w:t>
      </w:r>
      <w:r w:rsidRPr="007A647E">
        <w:rPr>
          <w:i/>
          <w:iCs/>
        </w:rPr>
        <w:t>İletişim Çalışmaları Dergisi, 6</w:t>
      </w:r>
      <w:r w:rsidRPr="001F7761">
        <w:t>(2), 151-177.</w:t>
      </w:r>
    </w:p>
    <w:p w14:paraId="6F0E565E" w14:textId="5193406C" w:rsidR="007A647E" w:rsidRPr="00B1089D" w:rsidRDefault="00D47EF1" w:rsidP="00D47EF1">
      <w:pPr>
        <w:autoSpaceDE/>
        <w:autoSpaceDN/>
      </w:pPr>
      <w:r>
        <w:br w:type="page"/>
      </w:r>
    </w:p>
    <w:p w14:paraId="49C0C25D" w14:textId="77777777" w:rsidR="00FA457D" w:rsidRPr="00D10870" w:rsidRDefault="00FA457D" w:rsidP="004C7694">
      <w:pPr>
        <w:pStyle w:val="Tark"/>
      </w:pPr>
      <w:bookmarkStart w:id="279" w:name="_Toc192855293"/>
      <w:r w:rsidRPr="00B1089D">
        <w:lastRenderedPageBreak/>
        <w:t>Yabancı Uyruklu Öğrencilerde Kültürel Zekâ ve Kültürel Şok Arasındaki İlişkinin İncelenmesi</w:t>
      </w:r>
      <w:bookmarkEnd w:id="279"/>
    </w:p>
    <w:p w14:paraId="02ED437A" w14:textId="77777777" w:rsidR="00FA457D" w:rsidRPr="00B1089D" w:rsidRDefault="00FA457D" w:rsidP="00FA457D">
      <w:pPr>
        <w:widowControl/>
        <w:jc w:val="center"/>
      </w:pPr>
    </w:p>
    <w:p w14:paraId="6342630E" w14:textId="77777777" w:rsidR="00FA457D" w:rsidRPr="00B1089D" w:rsidRDefault="00FA457D" w:rsidP="00FA457D">
      <w:pPr>
        <w:widowControl/>
        <w:jc w:val="center"/>
      </w:pPr>
      <w:r w:rsidRPr="00B1089D">
        <w:t>Yasemin KUZU</w:t>
      </w:r>
    </w:p>
    <w:p w14:paraId="04DEF1B9" w14:textId="77777777" w:rsidR="00FA457D" w:rsidRPr="00B1089D" w:rsidRDefault="00FA457D" w:rsidP="00FA457D">
      <w:pPr>
        <w:widowControl/>
        <w:jc w:val="center"/>
      </w:pPr>
      <w:r w:rsidRPr="00B1089D">
        <w:t>Doç. Dr., Kırşehir Ahi Evran Üniversitesi, Eğitim Bilimleri Bölümü</w:t>
      </w:r>
    </w:p>
    <w:p w14:paraId="77EC0452" w14:textId="77777777" w:rsidR="00FA457D" w:rsidRPr="00B1089D" w:rsidRDefault="00FA457D" w:rsidP="00FA457D">
      <w:pPr>
        <w:widowControl/>
        <w:jc w:val="center"/>
      </w:pPr>
      <w:hyperlink r:id="rId422" w:history="1">
        <w:r w:rsidRPr="00B1089D">
          <w:rPr>
            <w:rStyle w:val="Kpr"/>
          </w:rPr>
          <w:t>yaseminkuzu@ahievran.edu.tr</w:t>
        </w:r>
      </w:hyperlink>
    </w:p>
    <w:p w14:paraId="346EADE2" w14:textId="77777777" w:rsidR="00FA457D" w:rsidRPr="00B1089D" w:rsidRDefault="00FA457D" w:rsidP="00FA457D">
      <w:pPr>
        <w:widowControl/>
        <w:jc w:val="center"/>
      </w:pPr>
      <w:proofErr w:type="spellStart"/>
      <w:r w:rsidRPr="00B1089D">
        <w:t>Orcid</w:t>
      </w:r>
      <w:proofErr w:type="spellEnd"/>
      <w:r w:rsidRPr="00B1089D">
        <w:t xml:space="preserve"> ID:0000-0003-4301-2645</w:t>
      </w:r>
    </w:p>
    <w:p w14:paraId="151186C1" w14:textId="77777777" w:rsidR="00FA457D" w:rsidRPr="00B1089D" w:rsidRDefault="00FA457D" w:rsidP="00FA457D">
      <w:pPr>
        <w:widowControl/>
        <w:jc w:val="center"/>
      </w:pPr>
    </w:p>
    <w:p w14:paraId="5C6B50CF" w14:textId="77777777" w:rsidR="00FA457D" w:rsidRPr="00B1089D" w:rsidRDefault="00FA457D" w:rsidP="00FA457D">
      <w:pPr>
        <w:widowControl/>
        <w:jc w:val="center"/>
      </w:pPr>
      <w:r w:rsidRPr="00B1089D">
        <w:t>Sümeyye ÖZER</w:t>
      </w:r>
    </w:p>
    <w:p w14:paraId="1C0805F8" w14:textId="77777777" w:rsidR="00FA457D" w:rsidRPr="00B1089D" w:rsidRDefault="00FA457D" w:rsidP="00FA457D">
      <w:pPr>
        <w:widowControl/>
        <w:jc w:val="center"/>
      </w:pPr>
      <w:r w:rsidRPr="00B1089D">
        <w:t>Öğrenci, Kırşehir Ahi Evran Üniversitesi, Türkçe ve Sosyal Bilimler Eğitimi Bölümü</w:t>
      </w:r>
    </w:p>
    <w:p w14:paraId="7AD9BCBA" w14:textId="77777777" w:rsidR="00FA457D" w:rsidRPr="00B1089D" w:rsidRDefault="00FA457D" w:rsidP="00FA457D">
      <w:pPr>
        <w:widowControl/>
        <w:jc w:val="center"/>
      </w:pPr>
      <w:hyperlink r:id="rId423" w:history="1">
        <w:r w:rsidRPr="00B1089D">
          <w:rPr>
            <w:rStyle w:val="Kpr"/>
          </w:rPr>
          <w:t>ozersumeyye277@gmail.com</w:t>
        </w:r>
      </w:hyperlink>
    </w:p>
    <w:p w14:paraId="0E2A3046" w14:textId="77777777" w:rsidR="00FA457D" w:rsidRPr="00B1089D" w:rsidRDefault="00FA457D" w:rsidP="00FA457D">
      <w:pPr>
        <w:widowControl/>
        <w:jc w:val="center"/>
      </w:pPr>
    </w:p>
    <w:p w14:paraId="038A94EC" w14:textId="77777777" w:rsidR="00FA457D" w:rsidRPr="00B1089D" w:rsidRDefault="00FA457D" w:rsidP="00FA457D">
      <w:pPr>
        <w:widowControl/>
        <w:jc w:val="center"/>
      </w:pPr>
      <w:r w:rsidRPr="00B1089D">
        <w:t>Dilek GÜLMEZ</w:t>
      </w:r>
    </w:p>
    <w:p w14:paraId="767FCAA4" w14:textId="77777777" w:rsidR="00FA457D" w:rsidRPr="00B1089D" w:rsidRDefault="00FA457D" w:rsidP="00FA457D">
      <w:pPr>
        <w:widowControl/>
        <w:jc w:val="center"/>
      </w:pPr>
      <w:r w:rsidRPr="00B1089D">
        <w:t>Öğrenci, Kırşehir Ahi Evran Üniversitesi, Türkçe ve Sosyal Bilimler Eğitimi Bölümü</w:t>
      </w:r>
    </w:p>
    <w:p w14:paraId="1F8DFC87" w14:textId="77777777" w:rsidR="00FA457D" w:rsidRPr="00D10870" w:rsidRDefault="00FA457D" w:rsidP="00FA457D">
      <w:pPr>
        <w:widowControl/>
        <w:jc w:val="center"/>
      </w:pPr>
      <w:hyperlink r:id="rId424" w:history="1">
        <w:r w:rsidRPr="00B1089D">
          <w:rPr>
            <w:rStyle w:val="Kpr"/>
          </w:rPr>
          <w:t>gulmezdilek76@gmail.com</w:t>
        </w:r>
      </w:hyperlink>
    </w:p>
    <w:p w14:paraId="251D7FC4" w14:textId="77777777" w:rsidR="00FA457D" w:rsidRPr="00B1089D" w:rsidRDefault="00FA457D" w:rsidP="00FA457D">
      <w:pPr>
        <w:widowControl/>
        <w:jc w:val="center"/>
      </w:pPr>
    </w:p>
    <w:p w14:paraId="77BB48EF" w14:textId="77777777" w:rsidR="00FA457D" w:rsidRPr="00B1089D" w:rsidRDefault="00FA457D" w:rsidP="00FA457D">
      <w:pPr>
        <w:widowControl/>
        <w:jc w:val="center"/>
      </w:pPr>
      <w:r w:rsidRPr="00B1089D">
        <w:rPr>
          <w:b/>
          <w:bCs/>
        </w:rPr>
        <w:t>Özet</w:t>
      </w:r>
    </w:p>
    <w:p w14:paraId="66E9E4A5" w14:textId="77777777" w:rsidR="00FA457D" w:rsidRPr="00D10870" w:rsidRDefault="00FA457D" w:rsidP="007A647E">
      <w:pPr>
        <w:widowControl/>
        <w:jc w:val="both"/>
      </w:pPr>
      <w:r w:rsidRPr="00B1089D">
        <w:t xml:space="preserve">Uluslararası öğrenci hareketliliği son zamanlarda oldukça artmış; ülkemiz bu alanda dünyanın en fazla uluslararası öğrenci ağırlayan ülkelerinden biri hâline gelmiştir. Kendi kültürlerinden ayrılıp farklı bir kültürün içine giren bu öğrencilerin içine dâhil olduğu yeni kültüre oryantasyonu oldukça önemlidir. Kültürel zekâ, bir bireyin kendi kültürünü anlama ve değerlendirme yeteneği </w:t>
      </w:r>
      <w:proofErr w:type="gramStart"/>
      <w:r w:rsidRPr="00B1089D">
        <w:t>ile birlikte</w:t>
      </w:r>
      <w:proofErr w:type="gramEnd"/>
      <w:r w:rsidRPr="00B1089D">
        <w:t xml:space="preserve">, farklı kültürleri anlama ve bu farklılıklara uyum sağlama kapasitesini ifade eder. Kültür şoku ise bireylerin, alıştıkları kültürel çerçevelerinden farklı bir kültürle karşılaştıklarında deneyimledikleri duygu durumunu ifade eder. Bir kişinin yüksek kültürel zekâ seviyesine sahip olması, farklı kültürel bağlamlarda daha iyi anlaması ve bu bağlamda daha etkili bir şekilde iletişim kurması anlamına gelir. Bu durum, kültür şokunu daha iyi yönetmelerine yardımcı olabilir, çünkü birey, farklılıkları anlamak, değerlendirmek ve bu farklılıklara uyum sağlamak konusunda daha bilinçli olabilir. Bu düşünceden hareketle bu araştırmada kültürel zekâ ve kültür şoku kavramları birlikte ele alınacak, yabancı uyruklu öğrencilerde kültürel zekâ ve kültür şoku arasındaki ilişki incelenecektir. Bu bağlamda araştırma nicel araştırma yöntemlerinden ilişkisel tarama modelinde tasarlanmıştır. Araştırmanın evrenini Türkiye’de öğrenim görmekte olan lisans öğrencileri oluşturmaktadır. Veriler Kültürel Zekâ Ölçeği, Kültür Şoku Ölçeği ve araştırmacı tarafından hazırlanan Kişisel Bilgi Formu ile toplanmıştır. Araştırmanın örneklemi kolay ulaşılabilir örneklem yöntemi ile Google formlar yardımıyla hazırlanan çevrimiçi forma yanıt veren yabancı uyruklu öğrencilerdir. Elde edilen verilerin analizinde öğrencilerin kültürel </w:t>
      </w:r>
      <w:proofErr w:type="gramStart"/>
      <w:r w:rsidRPr="00B1089D">
        <w:t>zeka</w:t>
      </w:r>
      <w:proofErr w:type="gramEnd"/>
      <w:r w:rsidRPr="00B1089D">
        <w:t xml:space="preserve"> ve kültür şoku düzeyleri betimsel analizlerle hesaplanacak sonrasında </w:t>
      </w:r>
      <w:proofErr w:type="spellStart"/>
      <w:r w:rsidRPr="00B1089D">
        <w:t>Pearson</w:t>
      </w:r>
      <w:proofErr w:type="spellEnd"/>
      <w:r w:rsidRPr="00B1089D">
        <w:t xml:space="preserve"> korelasyon katsayısı ile kültürel zeka ve kültür şoku arasındaki ilişki hesaplanacaktır. Yabancı uyruklu öğrencilerde kültürel zekâ ile kültür şoku arasında zıt yönde bir ilişki beklenmektedir.</w:t>
      </w:r>
    </w:p>
    <w:p w14:paraId="35F57678" w14:textId="3CF50CF9" w:rsidR="00FA457D" w:rsidRPr="00B1089D" w:rsidRDefault="00FA457D" w:rsidP="007A647E">
      <w:pPr>
        <w:widowControl/>
        <w:jc w:val="both"/>
      </w:pPr>
    </w:p>
    <w:p w14:paraId="24CE9BFB" w14:textId="77777777" w:rsidR="00FA457D" w:rsidRPr="00B1089D" w:rsidRDefault="00FA457D" w:rsidP="007A647E">
      <w:pPr>
        <w:widowControl/>
        <w:jc w:val="both"/>
      </w:pPr>
      <w:r w:rsidRPr="00B1089D">
        <w:rPr>
          <w:b/>
          <w:bCs/>
        </w:rPr>
        <w:t xml:space="preserve">Anahtar </w:t>
      </w:r>
      <w:r w:rsidRPr="00D10870">
        <w:rPr>
          <w:b/>
          <w:bCs/>
        </w:rPr>
        <w:t>Kelime</w:t>
      </w:r>
      <w:r w:rsidRPr="00B1089D">
        <w:rPr>
          <w:b/>
          <w:bCs/>
        </w:rPr>
        <w:t>ler:</w:t>
      </w:r>
      <w:r w:rsidRPr="00B1089D">
        <w:t xml:space="preserve"> kültürel </w:t>
      </w:r>
      <w:proofErr w:type="gramStart"/>
      <w:r w:rsidRPr="00B1089D">
        <w:t>zeka</w:t>
      </w:r>
      <w:proofErr w:type="gramEnd"/>
      <w:r w:rsidRPr="00B1089D">
        <w:t>, kültürel şok, kültür, yabancı uyruklu öğrenci</w:t>
      </w:r>
    </w:p>
    <w:p w14:paraId="2542C37A" w14:textId="2CCF3618" w:rsidR="00D47EF1" w:rsidRDefault="00FA457D" w:rsidP="007A647E">
      <w:pPr>
        <w:widowControl/>
        <w:jc w:val="both"/>
      </w:pPr>
      <w:r w:rsidRPr="00B1089D">
        <w:t>*Bu çalışma Tübitak 2209-A projesi kapsamında desteklenmektedir.</w:t>
      </w:r>
    </w:p>
    <w:p w14:paraId="1A94654E" w14:textId="69EF8049" w:rsidR="00FA457D" w:rsidRPr="00B1089D" w:rsidRDefault="00D47EF1" w:rsidP="00D47EF1">
      <w:pPr>
        <w:autoSpaceDE/>
        <w:autoSpaceDN/>
      </w:pPr>
      <w:r>
        <w:br w:type="page"/>
      </w:r>
    </w:p>
    <w:p w14:paraId="49FF22D3" w14:textId="77777777" w:rsidR="00FA457D" w:rsidRPr="00B1089D" w:rsidRDefault="00FA457D" w:rsidP="004C7694">
      <w:pPr>
        <w:pStyle w:val="Tark"/>
      </w:pPr>
      <w:bookmarkStart w:id="280" w:name="_Toc192855294"/>
      <w:r w:rsidRPr="00B1089D">
        <w:lastRenderedPageBreak/>
        <w:t>Hatırlama ve Unutma Süreci Bağlamında Yapay Zekânın İşlevini Sorgulamak</w:t>
      </w:r>
      <w:bookmarkEnd w:id="280"/>
    </w:p>
    <w:p w14:paraId="5BE7C90D" w14:textId="77777777" w:rsidR="00FA457D" w:rsidRPr="00B1089D" w:rsidRDefault="00FA457D" w:rsidP="00FA457D">
      <w:pPr>
        <w:widowControl/>
        <w:jc w:val="center"/>
      </w:pPr>
    </w:p>
    <w:p w14:paraId="6618CDBD" w14:textId="77777777" w:rsidR="00FA457D" w:rsidRPr="00B1089D" w:rsidRDefault="00FA457D" w:rsidP="00FA457D">
      <w:pPr>
        <w:widowControl/>
        <w:jc w:val="center"/>
      </w:pPr>
      <w:r w:rsidRPr="00B1089D">
        <w:t xml:space="preserve">Rabia </w:t>
      </w:r>
      <w:proofErr w:type="spellStart"/>
      <w:r w:rsidRPr="00B1089D">
        <w:t>Zamur</w:t>
      </w:r>
      <w:proofErr w:type="spellEnd"/>
      <w:r w:rsidRPr="00B1089D">
        <w:t xml:space="preserve"> Tuncer </w:t>
      </w:r>
      <w:r w:rsidRPr="00B1089D">
        <w:br/>
        <w:t>Dr. Öğr. Üyesi, İstanbul Üniversitesi İletişim Fakültesi, Gazetecilik Bölümü</w:t>
      </w:r>
      <w:r w:rsidRPr="00B1089D">
        <w:br/>
      </w:r>
      <w:hyperlink r:id="rId425" w:history="1">
        <w:r w:rsidRPr="00B1089D">
          <w:rPr>
            <w:rStyle w:val="Kpr"/>
          </w:rPr>
          <w:t>rabia.zamur@istanbul.edu.tr</w:t>
        </w:r>
      </w:hyperlink>
    </w:p>
    <w:p w14:paraId="6099B994" w14:textId="3972B552" w:rsidR="00FA457D" w:rsidRPr="00B1089D" w:rsidRDefault="00FA457D" w:rsidP="00FA457D">
      <w:pPr>
        <w:widowControl/>
        <w:jc w:val="center"/>
      </w:pPr>
      <w:r w:rsidRPr="00B1089D">
        <w:t>0000-0001-9922-0334</w:t>
      </w:r>
    </w:p>
    <w:p w14:paraId="04714E84" w14:textId="77777777" w:rsidR="00FA457D" w:rsidRPr="00B1089D" w:rsidRDefault="00FA457D" w:rsidP="00FA457D">
      <w:pPr>
        <w:widowControl/>
        <w:jc w:val="center"/>
      </w:pPr>
    </w:p>
    <w:p w14:paraId="09DDD913" w14:textId="77777777" w:rsidR="00FA457D" w:rsidRPr="00B1089D" w:rsidRDefault="00FA457D" w:rsidP="00FA457D">
      <w:pPr>
        <w:widowControl/>
        <w:jc w:val="center"/>
      </w:pPr>
      <w:r w:rsidRPr="00B1089D">
        <w:rPr>
          <w:b/>
          <w:bCs/>
        </w:rPr>
        <w:t>Özet</w:t>
      </w:r>
    </w:p>
    <w:p w14:paraId="1EDD6D72" w14:textId="25CD85F1" w:rsidR="00FA457D" w:rsidRPr="00B1089D" w:rsidRDefault="00FA457D" w:rsidP="007A647E">
      <w:pPr>
        <w:widowControl/>
        <w:jc w:val="both"/>
      </w:pPr>
      <w:r w:rsidRPr="00B1089D">
        <w:t xml:space="preserve">Yapay zekâ teknolojisini çağımızın önemli fırsatlarından ve potansiyel tehditlerinden biri olarak betimlemek mümkündür. Yapay zekâ, bir bilgisayarın ya da bilgisayar kontrolündeki bir robotun insan gibi davranması başka bir deyişle, insan zekasını simüle etmesi olarak tanımlanmaktadır.  Robotik, 3D tasarım, bulut bilişim sistemleri, sanal ve artırılmış gerçeklik, animasyonlar, simülasyonlar gibi bileşenleri içerisinde barındıran ve Endüstri </w:t>
      </w:r>
      <w:proofErr w:type="gramStart"/>
      <w:r w:rsidRPr="00B1089D">
        <w:t>4.0</w:t>
      </w:r>
      <w:proofErr w:type="gramEnd"/>
      <w:r w:rsidRPr="00B1089D">
        <w:t xml:space="preserve"> olarak nitelendirilen Dördüncü Sanayi Devrimi’nin sunduğu yeniliklerden biri olarak yapay zekâ teknolojilerin insan gibi düşünme ve davranma açısından giderek önem kazanan rolü, yapay zekâ-insan ilişkisi bağlamında bireysel ve toplumsal bellek arasında kurulması gereken ilişkiye işaret etmektedir. Zira yapay zekânın bireysel ve toplumsal bellek açısından bir değer yaratma potansiyeline sahip olduğu, belleğin niteliği ve işleyişinde farklılıklar yarattığı ifade edilebilir. Bu çerçevede, bireysel ve toplumsal bellek konusu ile yapay zekanın birlikte okunması önem taşımaktadır. Bu noktadan hareketle, yapay zekâ aracılığı ile gerçekleştirilen faaliyetler ve uygulamaların, hatırlamaya ve unutmaya dair üretebileceği potansiyel çözümlerin tartışılması önem arz etmektedir. Fakat bu bağlamda gerçekleştirilen çalışmaların sayıca sınırlı olduğu gözlemlenmektedir. Bu çalışmada, yapay zekâ, bireysel ve toplumsal bellek üzerine kavramsal bir zemin sunulmuş, yapay zekanın hatırlama ve unutma süreci bağlamındaki işlevini sorgulayan çalışmalara değinilmiş ve yapay zekanın hatırlamaya ve unutmaya dair potansiyeli olumlu ve olumsuz bağlamlarda tartışılmıştır. Yapay zekânın bireysel ve toplumsal belleğe nüfuz eden alışkanlıklar ve pratiklerde yarattığı </w:t>
      </w:r>
      <w:proofErr w:type="gramStart"/>
      <w:r w:rsidRPr="00B1089D">
        <w:t>değişim  belirli</w:t>
      </w:r>
      <w:proofErr w:type="gramEnd"/>
      <w:r w:rsidRPr="00B1089D">
        <w:t xml:space="preserve"> örneklerle değerlendirilmiştir.</w:t>
      </w:r>
    </w:p>
    <w:p w14:paraId="2FBC6317" w14:textId="77777777" w:rsidR="00FA457D" w:rsidRPr="00B1089D" w:rsidRDefault="00FA457D" w:rsidP="00FA457D">
      <w:pPr>
        <w:widowControl/>
      </w:pPr>
    </w:p>
    <w:p w14:paraId="6932376E" w14:textId="0E22EDAE" w:rsidR="00D47EF1" w:rsidRDefault="00FA457D" w:rsidP="00FA457D">
      <w:pPr>
        <w:widowControl/>
      </w:pPr>
      <w:r w:rsidRPr="00B1089D">
        <w:rPr>
          <w:b/>
          <w:bCs/>
        </w:rPr>
        <w:t xml:space="preserve">Anahtar </w:t>
      </w:r>
      <w:r w:rsidRPr="00D10870">
        <w:rPr>
          <w:b/>
          <w:bCs/>
        </w:rPr>
        <w:t>Kelime</w:t>
      </w:r>
      <w:r w:rsidRPr="00B1089D">
        <w:rPr>
          <w:b/>
          <w:bCs/>
        </w:rPr>
        <w:t>ler:</w:t>
      </w:r>
      <w:r w:rsidRPr="00B1089D">
        <w:t xml:space="preserve"> Yapay zekâ, Bireysel bellek, Toplumsal bellek, Hatırlama, Unutma.</w:t>
      </w:r>
    </w:p>
    <w:p w14:paraId="3E860766" w14:textId="6C38C810" w:rsidR="007A647E" w:rsidRPr="00B1089D" w:rsidRDefault="00D47EF1" w:rsidP="00D47EF1">
      <w:pPr>
        <w:autoSpaceDE/>
        <w:autoSpaceDN/>
      </w:pPr>
      <w:r>
        <w:br w:type="page"/>
      </w:r>
    </w:p>
    <w:p w14:paraId="7D2DC5D0" w14:textId="77777777" w:rsidR="005500AB" w:rsidRPr="00EE1387" w:rsidRDefault="005500AB" w:rsidP="005500AB">
      <w:pPr>
        <w:pStyle w:val="Balk1"/>
        <w:rPr>
          <w:rFonts w:eastAsiaTheme="minorHAnsi" w:cs="Times New Roman"/>
          <w:b/>
          <w:bCs/>
          <w:kern w:val="2"/>
          <w:szCs w:val="24"/>
          <w14:ligatures w14:val="standardContextual"/>
        </w:rPr>
      </w:pPr>
      <w:bookmarkStart w:id="281" w:name="_Toc192855295"/>
      <w:r w:rsidRPr="00EE1387">
        <w:rPr>
          <w:rFonts w:eastAsiaTheme="minorHAnsi" w:cs="Times New Roman"/>
          <w:b/>
          <w:bCs/>
          <w:kern w:val="2"/>
          <w:szCs w:val="24"/>
          <w14:ligatures w14:val="standardContextual"/>
        </w:rPr>
        <w:lastRenderedPageBreak/>
        <w:t>Sür</w:t>
      </w:r>
      <w:r>
        <w:rPr>
          <w:rFonts w:eastAsiaTheme="minorHAnsi" w:cs="Times New Roman"/>
          <w:b/>
          <w:bCs/>
          <w:kern w:val="2"/>
          <w:szCs w:val="24"/>
          <w14:ligatures w14:val="standardContextual"/>
        </w:rPr>
        <w:t>dürü</w:t>
      </w:r>
      <w:r w:rsidRPr="00EE1387">
        <w:rPr>
          <w:rFonts w:eastAsiaTheme="minorHAnsi" w:cs="Times New Roman"/>
          <w:b/>
          <w:bCs/>
          <w:kern w:val="2"/>
          <w:szCs w:val="24"/>
          <w14:ligatures w14:val="standardContextual"/>
        </w:rPr>
        <w:t>lebilir Kalkınmanın Sağlanmasında Çok Düzeyli Yönetişimin Rolü</w:t>
      </w:r>
      <w:bookmarkEnd w:id="281"/>
    </w:p>
    <w:p w14:paraId="600AACF4" w14:textId="77777777" w:rsidR="005500AB" w:rsidRDefault="005500AB" w:rsidP="005500AB">
      <w:pPr>
        <w:jc w:val="center"/>
      </w:pPr>
    </w:p>
    <w:p w14:paraId="1499F82A" w14:textId="77777777" w:rsidR="005500AB" w:rsidRDefault="005500AB" w:rsidP="005500AB">
      <w:pPr>
        <w:jc w:val="center"/>
      </w:pPr>
      <w:r>
        <w:t xml:space="preserve">Arzu </w:t>
      </w:r>
      <w:proofErr w:type="spellStart"/>
      <w:r>
        <w:t>Dilaveroğlu</w:t>
      </w:r>
      <w:proofErr w:type="spellEnd"/>
      <w:r>
        <w:br/>
      </w:r>
      <w:proofErr w:type="spellStart"/>
      <w:r>
        <w:t>Dr.Öğr.Üyesi</w:t>
      </w:r>
      <w:proofErr w:type="spellEnd"/>
      <w:r>
        <w:t xml:space="preserve">, İstanbul Medipol Üniversitesi, İnsan ve Toplum Bilimleri Fakültesi, Siyaset Bilimi ve Kamu Yönetimi Bölümü </w:t>
      </w:r>
      <w:r>
        <w:br/>
        <w:t>adilaveroglu@medipol.edu.tr</w:t>
      </w:r>
      <w:r>
        <w:br/>
      </w:r>
      <w:r w:rsidRPr="00EE1387">
        <w:t>0000-0002-7850-8838</w:t>
      </w:r>
    </w:p>
    <w:p w14:paraId="71D22FD5" w14:textId="77777777" w:rsidR="005500AB" w:rsidRDefault="005500AB" w:rsidP="005500AB">
      <w:pPr>
        <w:jc w:val="both"/>
      </w:pPr>
    </w:p>
    <w:p w14:paraId="2781F0A5" w14:textId="77777777" w:rsidR="005500AB" w:rsidRDefault="005500AB" w:rsidP="005500AB">
      <w:pPr>
        <w:jc w:val="center"/>
        <w:rPr>
          <w:b/>
          <w:bCs/>
        </w:rPr>
      </w:pPr>
      <w:r w:rsidRPr="00097B24">
        <w:rPr>
          <w:b/>
          <w:bCs/>
        </w:rPr>
        <w:t>Özet</w:t>
      </w:r>
    </w:p>
    <w:p w14:paraId="0EDE6113" w14:textId="176AE64F" w:rsidR="005500AB" w:rsidRDefault="005500AB" w:rsidP="005500AB">
      <w:pPr>
        <w:jc w:val="both"/>
      </w:pPr>
      <w:r w:rsidRPr="00212E65">
        <w:t>Dünyanın karşılaştığı ve çözüm bekleyen küresel sorunlar, ortaya çıkan yeni ihtiyaçlar karar verici resmi aktörlerin ulus dışı aktörlerle ortaklıklar kurmasında etkili olmuştur. Uluslararası kuruluşların ortaya koymuş olduğu programlarda bu ortaklıkların kurulmasını teşvik etmektedir. Bunlardan biri 2015 yılında Birleşmiş Milletler (BM) tarafından belirlenen 17 amaç ve 169 hedef</w:t>
      </w:r>
      <w:r>
        <w:t>ten oluşan</w:t>
      </w:r>
      <w:r w:rsidRPr="00212E65">
        <w:t xml:space="preserve"> “Sürdürülebilir Kalkınma Amaçlarıdır (SKA)”. Bu amaçların gerçekleşmesi ile yoksulluktan sağlığa, eğitimden </w:t>
      </w:r>
      <w:r>
        <w:t>altyapı</w:t>
      </w:r>
      <w:r w:rsidRPr="00212E65">
        <w:t xml:space="preserve"> ihtiyacına kadar insanlığın karşılaştığı sorunlara çözüm üretmeye çalışmaktadırlar. Bu amaç ve hedeflerin gerçekleşmesinde tek başına merkezi hükümetin yer alması yerine farklı paydaşların bir araya gelmesi ve birlikte hareket etmesi bir gereklilik olarak görülmüş ve 17. </w:t>
      </w:r>
      <w:r>
        <w:t>a</w:t>
      </w:r>
      <w:r w:rsidRPr="00212E65">
        <w:t>maç</w:t>
      </w:r>
      <w:r>
        <w:t>ta</w:t>
      </w:r>
      <w:r w:rsidRPr="00212E65">
        <w:t xml:space="preserve"> küresel ortaklık vurgusu ile hazırlanmıştır.  Nitekim farklı paydaşların bir araya gelmesi sorunların tespiti ve çözümüne daha büyük bir çerçeveden bakılmasını sağlayacaktır. Bununla birlikte müşterek biçimde verilen kararlar, sorumlulukların</w:t>
      </w:r>
      <w:r>
        <w:t xml:space="preserve"> </w:t>
      </w:r>
      <w:r w:rsidRPr="00212E65">
        <w:t xml:space="preserve">da müşterek hale gelmesini </w:t>
      </w:r>
      <w:r>
        <w:t>ve</w:t>
      </w:r>
      <w:r w:rsidRPr="00212E65">
        <w:t xml:space="preserve"> yönetimin meşruluğunu artıracaktır. Bu durum aynı zamanda mevcut kaynakların daha etkin ve verimli şekilde kullanımın</w:t>
      </w:r>
      <w:r>
        <w:t xml:space="preserve">a da olumlu şekilde yansıyacaktır. </w:t>
      </w:r>
      <w:r w:rsidRPr="00212E65">
        <w:t xml:space="preserve"> </w:t>
      </w:r>
      <w:r>
        <w:t>S</w:t>
      </w:r>
      <w:r w:rsidRPr="00212E65">
        <w:t xml:space="preserve">ürdürülebilir kalkınma </w:t>
      </w:r>
      <w:r>
        <w:t>amaçlarına</w:t>
      </w:r>
      <w:r w:rsidRPr="00212E65">
        <w:t xml:space="preserve"> ulaşmak için ülkelerin ulusal, uluslararası ve yerel ölçekte birlikte çalışmalarını sağlayacak eylem planlarının hazırlanması önemli</w:t>
      </w:r>
      <w:r>
        <w:t>dir</w:t>
      </w:r>
      <w:r w:rsidRPr="00212E65">
        <w:t>. Ancak bu şekilde çok düzeyli bir yönetişim gerçekle</w:t>
      </w:r>
      <w:r>
        <w:t>şecektir.</w:t>
      </w:r>
      <w:r w:rsidRPr="00212E65">
        <w:t xml:space="preserve"> Ortak hareket etmeyi benimsemek ve bu anlamda mekanizmalar geliştirmek yönetişimin diğer ilkelerinin de yerleşmesi açısından ön koşul olarak kabul edilebilir. Çünkü iş birliğine açıksanız şeffaf, hesap verebilir ve daha etkin olabilirsiniz. </w:t>
      </w:r>
    </w:p>
    <w:p w14:paraId="043EC0B1" w14:textId="77777777" w:rsidR="005500AB" w:rsidRDefault="005500AB" w:rsidP="005500AB">
      <w:pPr>
        <w:jc w:val="both"/>
      </w:pPr>
      <w:r w:rsidRPr="00212E65">
        <w:t>Bu çalışmada alan yazını incelenerek; “</w:t>
      </w:r>
      <w:r>
        <w:t>K</w:t>
      </w:r>
      <w:r w:rsidRPr="00212E65">
        <w:t xml:space="preserve">üresel </w:t>
      </w:r>
      <w:r>
        <w:t>sorunların çözümünde çok düzeyli yönetişimin etkisi nedir?</w:t>
      </w:r>
      <w:r w:rsidRPr="00212E65">
        <w:t xml:space="preserve"> Neden gereklidir?</w:t>
      </w:r>
      <w:r>
        <w:t>”</w:t>
      </w:r>
      <w:r w:rsidRPr="00212E65">
        <w:t xml:space="preserve"> sorularına yanıt aranacaktır.  Halka en yakın birim olan yerel yönetimler sorunların tespiti, farklı paydaşların bir araya getirilmesi ve sürdürülebilir kalkınmanın sağlanmasında kilit roller üstlendiği ifade edilebilir. </w:t>
      </w:r>
      <w:r>
        <w:t>Bu sebeple çalışmada çok düzeyli yönetişim adımlarının atılmasına da belediyelerin katkısına değinilmeye çalışılmıştır. Türkiye İstatistik Kurumu 2024 verilerine göre ülke</w:t>
      </w:r>
      <w:r w:rsidRPr="00212E65">
        <w:t xml:space="preserve"> nüfusunun yaklaşık</w:t>
      </w:r>
      <w:r>
        <w:t xml:space="preserve"> </w:t>
      </w:r>
      <w:r w:rsidRPr="00212E65">
        <w:t>%</w:t>
      </w:r>
      <w:r>
        <w:t>18’ine</w:t>
      </w:r>
      <w:r w:rsidRPr="00212E65">
        <w:t xml:space="preserve"> hizmet sunan bir</w:t>
      </w:r>
      <w:r>
        <w:t xml:space="preserve"> </w:t>
      </w:r>
      <w:r w:rsidRPr="00212E65">
        <w:t xml:space="preserve">belediye olması, </w:t>
      </w:r>
      <w:r>
        <w:t xml:space="preserve">önemli bir turizm destinasyonu ve ticaret merkezi olarak kabul edilmesi, </w:t>
      </w:r>
      <w:r w:rsidRPr="00212E65">
        <w:t>sorun ve hizmet çeşitliliğinin fazlalığı sebebi ile İstanbul B</w:t>
      </w:r>
      <w:r>
        <w:t xml:space="preserve">üyükşehir </w:t>
      </w:r>
      <w:r w:rsidRPr="00212E65">
        <w:t>B</w:t>
      </w:r>
      <w:r>
        <w:t>elediyesi (İBB)</w:t>
      </w:r>
      <w:r w:rsidRPr="00212E65">
        <w:t xml:space="preserve"> örneklem olarak tercih edilmiştir. Çalışmada betimleyici yöntemle </w:t>
      </w:r>
      <w:r>
        <w:t xml:space="preserve">sürdürülebilirlik, yönetişim ve çok düzeyli yönetişimin kavramsal çerçevesi çizilecektir. </w:t>
      </w:r>
      <w:r w:rsidRPr="00212E65">
        <w:t>Ardından</w:t>
      </w:r>
      <w:r>
        <w:t xml:space="preserve"> Türkiye’deki yerel yönetimlerin </w:t>
      </w:r>
      <w:r w:rsidRPr="00212E65">
        <w:t>ulu</w:t>
      </w:r>
      <w:r>
        <w:t>s</w:t>
      </w:r>
      <w:r w:rsidRPr="00212E65">
        <w:t>lararası ort</w:t>
      </w:r>
      <w:r>
        <w:t xml:space="preserve">aklık kurabilmesini sağlayan yasal dayanaklardan </w:t>
      </w:r>
      <w:r w:rsidRPr="00212E65">
        <w:t>bahsedilecek</w:t>
      </w:r>
      <w:r>
        <w:t xml:space="preserve">, </w:t>
      </w:r>
      <w:r w:rsidRPr="00212E65">
        <w:t>İBB</w:t>
      </w:r>
      <w:r>
        <w:t xml:space="preserve"> </w:t>
      </w:r>
      <w:proofErr w:type="gramStart"/>
      <w:r w:rsidRPr="00212E65">
        <w:t>resmi</w:t>
      </w:r>
      <w:proofErr w:type="gramEnd"/>
      <w:r w:rsidRPr="00212E65">
        <w:t xml:space="preserve"> web sayfası ve açık veri portalı incelenerek, </w:t>
      </w:r>
      <w:r>
        <w:t>13 Mart 2024’te güncellenen verilere göre</w:t>
      </w:r>
      <w:r w:rsidRPr="00212E65">
        <w:t xml:space="preserve"> İBB</w:t>
      </w:r>
      <w:r>
        <w:t>’nin</w:t>
      </w:r>
      <w:r w:rsidRPr="00212E65">
        <w:t xml:space="preserve"> üye olduğu uluslararası kuruluşlar</w:t>
      </w:r>
      <w:r>
        <w:t xml:space="preserve"> </w:t>
      </w:r>
      <w:r w:rsidRPr="00212E65">
        <w:t xml:space="preserve">ve bu kuruluşların İstanbul için etkisine yer verilecektir. Çalışma sonunda elde edilen bulgulara göre İBB yirmi bir uluslararası kuruluşun üyesi durumundadır.  </w:t>
      </w:r>
      <w:r>
        <w:t>Sağlık, turizm, kültürel miras gibi alanlarda faaliyet gösteren uluslararası kuruluşların birinde kurucu üye, birinde p</w:t>
      </w:r>
      <w:r w:rsidRPr="00F15DF8">
        <w:t xml:space="preserve">roje </w:t>
      </w:r>
      <w:r>
        <w:t>p</w:t>
      </w:r>
      <w:r w:rsidRPr="00F15DF8">
        <w:t>artneri</w:t>
      </w:r>
      <w:r>
        <w:t>, ikisinde y</w:t>
      </w:r>
      <w:r w:rsidRPr="00BB4EAA">
        <w:t>önetim kurulu üyesi</w:t>
      </w:r>
      <w:r>
        <w:t xml:space="preserve">, diğerlerinde üye statüsündedir. Kuruluşlardan bazıları küresel ölçekte (C40) ortaklık sağlarken, bazıları bölgesel (B40) niteliktedir. </w:t>
      </w:r>
    </w:p>
    <w:p w14:paraId="7B6CE0A2" w14:textId="027AEDE6" w:rsidR="00FA457D" w:rsidRPr="00B1089D" w:rsidRDefault="005500AB" w:rsidP="00D47EF1">
      <w:pPr>
        <w:jc w:val="both"/>
      </w:pPr>
      <w:r w:rsidRPr="00DE7662">
        <w:rPr>
          <w:b/>
          <w:bCs/>
        </w:rPr>
        <w:t>Anahtar Sözcükler:</w:t>
      </w:r>
      <w:r>
        <w:t xml:space="preserve"> Çok düzeyli yönetişim, sürdürülebilirlik, küresel ortaklık. </w:t>
      </w:r>
      <w:r w:rsidR="00D47EF1">
        <w:br w:type="page"/>
      </w:r>
    </w:p>
    <w:p w14:paraId="1AF2A7A8" w14:textId="77777777" w:rsidR="00FA457D" w:rsidRDefault="00FA457D" w:rsidP="004C7694">
      <w:pPr>
        <w:pStyle w:val="Tark"/>
      </w:pPr>
      <w:bookmarkStart w:id="282" w:name="_Toc192855296"/>
      <w:r>
        <w:lastRenderedPageBreak/>
        <w:t xml:space="preserve">Akıllı Kentlerde Vatandaş Odaklı Bir Akıllı Uygulama: </w:t>
      </w:r>
      <w:proofErr w:type="spellStart"/>
      <w:r>
        <w:t>Living</w:t>
      </w:r>
      <w:proofErr w:type="spellEnd"/>
      <w:r>
        <w:t xml:space="preserve"> </w:t>
      </w:r>
      <w:proofErr w:type="spellStart"/>
      <w:r>
        <w:t>Lab</w:t>
      </w:r>
      <w:proofErr w:type="spellEnd"/>
      <w:r>
        <w:t xml:space="preserve"> Uygulaması</w:t>
      </w:r>
      <w:bookmarkEnd w:id="282"/>
    </w:p>
    <w:p w14:paraId="6A1694CC" w14:textId="77777777" w:rsidR="00FA457D" w:rsidRPr="008A662B" w:rsidRDefault="00FA457D" w:rsidP="00FA457D">
      <w:pPr>
        <w:jc w:val="center"/>
        <w:rPr>
          <w:bCs/>
        </w:rPr>
      </w:pPr>
      <w:r w:rsidRPr="008A662B">
        <w:rPr>
          <w:bCs/>
          <w:vertAlign w:val="superscript"/>
        </w:rPr>
        <w:footnoteReference w:id="91"/>
      </w:r>
      <w:r w:rsidRPr="008A662B">
        <w:rPr>
          <w:bCs/>
        </w:rPr>
        <w:t>Deniz Balcı</w:t>
      </w:r>
    </w:p>
    <w:p w14:paraId="7F573BDC" w14:textId="77777777" w:rsidR="00FA457D" w:rsidRPr="008A662B" w:rsidRDefault="00FA457D" w:rsidP="00FA457D">
      <w:pPr>
        <w:jc w:val="center"/>
        <w:rPr>
          <w:bCs/>
        </w:rPr>
      </w:pPr>
      <w:r w:rsidRPr="008A662B">
        <w:rPr>
          <w:bCs/>
        </w:rPr>
        <w:t>Doktor</w:t>
      </w:r>
    </w:p>
    <w:p w14:paraId="50A05A63" w14:textId="77777777" w:rsidR="00FA457D" w:rsidRPr="008A662B" w:rsidRDefault="00FA457D" w:rsidP="00FA457D">
      <w:pPr>
        <w:jc w:val="center"/>
        <w:rPr>
          <w:bCs/>
        </w:rPr>
      </w:pPr>
      <w:hyperlink r:id="rId426">
        <w:r w:rsidRPr="008A662B">
          <w:rPr>
            <w:bCs/>
            <w:color w:val="000000"/>
          </w:rPr>
          <w:t>balcideniz1991@hotmail.com</w:t>
        </w:r>
      </w:hyperlink>
    </w:p>
    <w:p w14:paraId="32B85E5C" w14:textId="746A5664" w:rsidR="00FA457D" w:rsidRDefault="00FA457D" w:rsidP="00FA457D">
      <w:pPr>
        <w:jc w:val="center"/>
        <w:rPr>
          <w:bCs/>
        </w:rPr>
      </w:pPr>
      <w:r w:rsidRPr="008A662B">
        <w:rPr>
          <w:bCs/>
        </w:rPr>
        <w:t>0000-0001-6868-1955</w:t>
      </w:r>
    </w:p>
    <w:p w14:paraId="13E9B3D3" w14:textId="77777777" w:rsidR="008003D6" w:rsidRPr="008A662B" w:rsidRDefault="008003D6" w:rsidP="00FA457D">
      <w:pPr>
        <w:jc w:val="center"/>
        <w:rPr>
          <w:bCs/>
        </w:rPr>
      </w:pPr>
    </w:p>
    <w:p w14:paraId="6608B374" w14:textId="77777777" w:rsidR="00FA457D" w:rsidRDefault="00FA457D" w:rsidP="00FA457D">
      <w:pPr>
        <w:jc w:val="center"/>
        <w:rPr>
          <w:b/>
        </w:rPr>
      </w:pPr>
      <w:r>
        <w:rPr>
          <w:b/>
        </w:rPr>
        <w:t>Özet</w:t>
      </w:r>
    </w:p>
    <w:p w14:paraId="76D966A4" w14:textId="77777777" w:rsidR="00FA457D" w:rsidRDefault="00FA457D" w:rsidP="00FA457D">
      <w:pPr>
        <w:jc w:val="both"/>
      </w:pPr>
      <w:r>
        <w:t xml:space="preserve">Kentler, ortaya çıktığı ilk günden bugüne dek hem içinde bulunduğu dönemden, fiziki sınırlardan, olay ve olgulardan derinden ve doğrudan etkilenmiş hem de sahip olduğu dinamik ve iletken yapısı ile değişimin taşıyıcı ve itici gücü olmuştur. Tarihsel gelişimi incelendiğinde her dönem farklı özelliklere sahip olan kent günümüzde içinde bulunduğumuz büyük bir değişim ve dönüşüm sürecinin en önemli unsurlarından biri olmuştur. Her geçen gün baş döndürücü bir hızda gelişen teknoloji, tüm dünyada birçok unsuru etkileyip dönüştürdüğü gibi kentleri de büyük bir değişim ve dönüşüm sürecine dahil etmiştir. Bu süreçte farklı odak noktaları ile birçok yeni kent kavramı ortaya çıkmıştır. Akıllı kentler de bu kavramlardan biridir. Genel bir tabirle bilgi iletişim teknolojilerinin kentin her türlü alanında kullanılması anlamına gelen akıllı kentlerde kent sakinlerinin kent yönetimine aktif katılım sağlaması oldukça önemsenen bir konu haline gelmiş ve bu yönde birçok akıllı kent tarafından akıllı uygulamalar geliştirilmiştir. </w:t>
      </w:r>
      <w:proofErr w:type="spellStart"/>
      <w:r>
        <w:t>Living</w:t>
      </w:r>
      <w:proofErr w:type="spellEnd"/>
      <w:r>
        <w:t xml:space="preserve"> </w:t>
      </w:r>
      <w:proofErr w:type="spellStart"/>
      <w:r>
        <w:t>Lab</w:t>
      </w:r>
      <w:proofErr w:type="spellEnd"/>
      <w:r>
        <w:t xml:space="preserve"> uygulaması da bu uygulamalardan biridir. Çalışmanın konusu akıllı kent kavramı ve </w:t>
      </w:r>
      <w:proofErr w:type="spellStart"/>
      <w:r>
        <w:t>living</w:t>
      </w:r>
      <w:proofErr w:type="spellEnd"/>
      <w:r>
        <w:t xml:space="preserve"> </w:t>
      </w:r>
      <w:proofErr w:type="spellStart"/>
      <w:r>
        <w:t>lab</w:t>
      </w:r>
      <w:proofErr w:type="spellEnd"/>
      <w:r>
        <w:t xml:space="preserve"> uygulaması ilişkisini irdelemektir. Çalışmanın önemi ise her geçen gün gelişen teknoloji, kentleri, kent sakinlerini, kent yaşamını doğrudan etkilemekte olup bu gelişmelere ayak uydurmak amacıyla birçok uygulama geliştirilmektedir. </w:t>
      </w:r>
      <w:proofErr w:type="spellStart"/>
      <w:r>
        <w:t>Living</w:t>
      </w:r>
      <w:proofErr w:type="spellEnd"/>
      <w:r>
        <w:t xml:space="preserve"> </w:t>
      </w:r>
      <w:proofErr w:type="spellStart"/>
      <w:r>
        <w:t>lab</w:t>
      </w:r>
      <w:proofErr w:type="spellEnd"/>
      <w:r>
        <w:t xml:space="preserve"> uygulaması da bunlardan bir olup çalışmada bu uygulama derinlemesine incelenecektir. Çalışmada araştırma yöntemi olarak literatür taraması kullanılmış olup konuyla alakalı yazılmış birçok yerli ve yabancı makale üzerinde yapılan detaylı araştırma sonucunda görülmektedir ki </w:t>
      </w:r>
      <w:proofErr w:type="spellStart"/>
      <w:r>
        <w:t>living</w:t>
      </w:r>
      <w:proofErr w:type="spellEnd"/>
      <w:r>
        <w:t xml:space="preserve"> </w:t>
      </w:r>
      <w:proofErr w:type="spellStart"/>
      <w:r>
        <w:t>lab</w:t>
      </w:r>
      <w:proofErr w:type="spellEnd"/>
      <w:r>
        <w:t xml:space="preserve"> uygulaması örgütlenme ve yönetim şekli açısından sahip olduğu hibrit yapısı ile akıllı kentler ile daha fazla önemsenen kent sakinlerinin karar alma mekanizmalarına aktif bir şekilde katılmasını ve kentin tüm paydaşlarının bir araya geldiği bir uygulama olarak akıllı kentlerin bir bileşeni olan akıllı yönetim bileşeni için oldukça önemli bir uygulamadır. Ayrıca bilgi iletişim teknolojisinin araçlarını kullanarak kent paydaşları </w:t>
      </w:r>
      <w:proofErr w:type="gramStart"/>
      <w:r>
        <w:t>ile birlikte</w:t>
      </w:r>
      <w:proofErr w:type="gramEnd"/>
      <w:r>
        <w:t xml:space="preserve"> kent sakinlerinin ihtiyaçlarının hem belirlenmesi hem de giderilmesinde kent yönetimi ile birlikte hareket ederek akıllı kentlerin bir fonksiyonu olarak ortaya çıkmaktadır. Akıllı kentlerin hedeflerine ulaşmayı oldukça kolaylaştıracak olan </w:t>
      </w:r>
      <w:proofErr w:type="spellStart"/>
      <w:r>
        <w:t>living</w:t>
      </w:r>
      <w:proofErr w:type="spellEnd"/>
      <w:r>
        <w:t xml:space="preserve"> </w:t>
      </w:r>
      <w:proofErr w:type="spellStart"/>
      <w:r>
        <w:t>lab</w:t>
      </w:r>
      <w:proofErr w:type="spellEnd"/>
      <w:r>
        <w:t xml:space="preserve"> uygulaması literatürde ve uygulamada yeni sayılabilecek bir kavram ve uygulama olup üzerine hem teorik hem de pratik olarak birçok çalışma yapılabilecek bir alandır.</w:t>
      </w:r>
    </w:p>
    <w:p w14:paraId="3AEE349E" w14:textId="77777777" w:rsidR="007A647E" w:rsidRDefault="007A647E" w:rsidP="00FA457D">
      <w:pPr>
        <w:jc w:val="both"/>
      </w:pPr>
    </w:p>
    <w:p w14:paraId="0D43AB4D" w14:textId="70DE2DF9" w:rsidR="00D47EF1" w:rsidRDefault="00FA457D" w:rsidP="00FA457D">
      <w:pPr>
        <w:jc w:val="both"/>
      </w:pPr>
      <w:r>
        <w:rPr>
          <w:b/>
        </w:rPr>
        <w:t>Anahtar Kelimeler</w:t>
      </w:r>
      <w:r>
        <w:t xml:space="preserve">: Kent, Akıllı Kent, Bilgi İletişim Teknolojileri, </w:t>
      </w:r>
      <w:proofErr w:type="spellStart"/>
      <w:r>
        <w:t>Living</w:t>
      </w:r>
      <w:proofErr w:type="spellEnd"/>
      <w:r>
        <w:t xml:space="preserve"> </w:t>
      </w:r>
      <w:proofErr w:type="spellStart"/>
      <w:r>
        <w:t>Lab</w:t>
      </w:r>
      <w:proofErr w:type="spellEnd"/>
      <w:r>
        <w:t>.</w:t>
      </w:r>
    </w:p>
    <w:p w14:paraId="1C218318" w14:textId="3EBC8F8C" w:rsidR="007A647E" w:rsidRDefault="00D47EF1" w:rsidP="00D47EF1">
      <w:pPr>
        <w:autoSpaceDE/>
        <w:autoSpaceDN/>
      </w:pPr>
      <w:r>
        <w:br w:type="page"/>
      </w:r>
    </w:p>
    <w:p w14:paraId="780F570D" w14:textId="77777777" w:rsidR="00FA457D" w:rsidRDefault="00FA457D" w:rsidP="00FA457D">
      <w:pPr>
        <w:jc w:val="center"/>
        <w:rPr>
          <w:b/>
        </w:rPr>
      </w:pPr>
      <w:r>
        <w:rPr>
          <w:b/>
        </w:rPr>
        <w:lastRenderedPageBreak/>
        <w:t xml:space="preserve">A </w:t>
      </w:r>
      <w:proofErr w:type="spellStart"/>
      <w:r>
        <w:rPr>
          <w:b/>
        </w:rPr>
        <w:t>Citizen-Oriented</w:t>
      </w:r>
      <w:proofErr w:type="spellEnd"/>
      <w:r>
        <w:rPr>
          <w:b/>
        </w:rPr>
        <w:t xml:space="preserve"> Smart Application in Smart </w:t>
      </w:r>
      <w:proofErr w:type="spellStart"/>
      <w:r>
        <w:rPr>
          <w:b/>
        </w:rPr>
        <w:t>Cities</w:t>
      </w:r>
      <w:proofErr w:type="spellEnd"/>
      <w:r>
        <w:rPr>
          <w:b/>
        </w:rPr>
        <w:t xml:space="preserve">: </w:t>
      </w:r>
      <w:proofErr w:type="spellStart"/>
      <w:r>
        <w:rPr>
          <w:b/>
        </w:rPr>
        <w:t>Living</w:t>
      </w:r>
      <w:proofErr w:type="spellEnd"/>
      <w:r>
        <w:rPr>
          <w:b/>
        </w:rPr>
        <w:t xml:space="preserve"> </w:t>
      </w:r>
      <w:proofErr w:type="spellStart"/>
      <w:r>
        <w:rPr>
          <w:b/>
        </w:rPr>
        <w:t>Lab</w:t>
      </w:r>
      <w:proofErr w:type="spellEnd"/>
      <w:r>
        <w:rPr>
          <w:b/>
        </w:rPr>
        <w:t xml:space="preserve"> Application</w:t>
      </w:r>
    </w:p>
    <w:p w14:paraId="484989A8" w14:textId="77777777" w:rsidR="008003D6" w:rsidRDefault="008003D6" w:rsidP="00FA457D">
      <w:pPr>
        <w:jc w:val="center"/>
        <w:rPr>
          <w:b/>
        </w:rPr>
      </w:pPr>
    </w:p>
    <w:p w14:paraId="7F8B82C2" w14:textId="77777777" w:rsidR="00FA457D" w:rsidRDefault="00FA457D" w:rsidP="00FA457D">
      <w:pPr>
        <w:jc w:val="center"/>
        <w:rPr>
          <w:b/>
        </w:rPr>
      </w:pPr>
      <w:proofErr w:type="spellStart"/>
      <w:r>
        <w:rPr>
          <w:b/>
        </w:rPr>
        <w:t>Abstract</w:t>
      </w:r>
      <w:proofErr w:type="spellEnd"/>
    </w:p>
    <w:p w14:paraId="26244231" w14:textId="77777777" w:rsidR="00FA457D" w:rsidRDefault="00FA457D" w:rsidP="00AF40EA">
      <w:pPr>
        <w:jc w:val="both"/>
      </w:pPr>
      <w:proofErr w:type="spellStart"/>
      <w:r>
        <w:t>From</w:t>
      </w:r>
      <w:proofErr w:type="spellEnd"/>
      <w:r>
        <w:t xml:space="preserve"> </w:t>
      </w:r>
      <w:proofErr w:type="spellStart"/>
      <w:r>
        <w:t>the</w:t>
      </w:r>
      <w:proofErr w:type="spellEnd"/>
      <w:r>
        <w:t xml:space="preserve"> </w:t>
      </w:r>
      <w:proofErr w:type="spellStart"/>
      <w:r>
        <w:t>first</w:t>
      </w:r>
      <w:proofErr w:type="spellEnd"/>
      <w:r>
        <w:t xml:space="preserve"> </w:t>
      </w:r>
      <w:proofErr w:type="spellStart"/>
      <w:r>
        <w:t>day</w:t>
      </w:r>
      <w:proofErr w:type="spellEnd"/>
      <w:r>
        <w:t xml:space="preserve"> of </w:t>
      </w:r>
      <w:proofErr w:type="spellStart"/>
      <w:r>
        <w:t>its</w:t>
      </w:r>
      <w:proofErr w:type="spellEnd"/>
      <w:r>
        <w:t xml:space="preserve"> </w:t>
      </w:r>
      <w:proofErr w:type="spellStart"/>
      <w:r>
        <w:t>emergence</w:t>
      </w:r>
      <w:proofErr w:type="spellEnd"/>
      <w:r>
        <w:t xml:space="preserve"> </w:t>
      </w:r>
      <w:proofErr w:type="spellStart"/>
      <w:r>
        <w:t>until</w:t>
      </w:r>
      <w:proofErr w:type="spellEnd"/>
      <w:r>
        <w:t xml:space="preserve"> </w:t>
      </w:r>
      <w:proofErr w:type="spellStart"/>
      <w:r>
        <w:t>today</w:t>
      </w:r>
      <w:proofErr w:type="spellEnd"/>
      <w:r>
        <w:t xml:space="preserve">, </w:t>
      </w:r>
      <w:proofErr w:type="spellStart"/>
      <w:r>
        <w:t>cities</w:t>
      </w:r>
      <w:proofErr w:type="spellEnd"/>
      <w:r>
        <w:t xml:space="preserve"> </w:t>
      </w:r>
      <w:proofErr w:type="spellStart"/>
      <w:r>
        <w:t>have</w:t>
      </w:r>
      <w:proofErr w:type="spellEnd"/>
      <w:r>
        <w:t xml:space="preserve"> </w:t>
      </w:r>
      <w:proofErr w:type="spellStart"/>
      <w:r>
        <w:t>been</w:t>
      </w:r>
      <w:proofErr w:type="spellEnd"/>
      <w:r>
        <w:t xml:space="preserve"> </w:t>
      </w:r>
      <w:proofErr w:type="spellStart"/>
      <w:r>
        <w:t>deeply</w:t>
      </w:r>
      <w:proofErr w:type="spellEnd"/>
      <w:r>
        <w:t xml:space="preserve"> </w:t>
      </w:r>
      <w:proofErr w:type="spellStart"/>
      <w:r>
        <w:t>and</w:t>
      </w:r>
      <w:proofErr w:type="spellEnd"/>
      <w:r>
        <w:t xml:space="preserve"> </w:t>
      </w:r>
      <w:proofErr w:type="spellStart"/>
      <w:r>
        <w:t>directly</w:t>
      </w:r>
      <w:proofErr w:type="spellEnd"/>
      <w:r>
        <w:t xml:space="preserve"> </w:t>
      </w:r>
      <w:proofErr w:type="spellStart"/>
      <w:r>
        <w:t>affected</w:t>
      </w:r>
      <w:proofErr w:type="spellEnd"/>
      <w:r>
        <w:t xml:space="preserve"> </w:t>
      </w:r>
      <w:proofErr w:type="spellStart"/>
      <w:r>
        <w:t>by</w:t>
      </w:r>
      <w:proofErr w:type="spellEnd"/>
      <w:r>
        <w:t xml:space="preserve"> </w:t>
      </w:r>
      <w:proofErr w:type="spellStart"/>
      <w:r>
        <w:t>the</w:t>
      </w:r>
      <w:proofErr w:type="spellEnd"/>
      <w:r>
        <w:t xml:space="preserve"> </w:t>
      </w:r>
      <w:proofErr w:type="spellStart"/>
      <w:r>
        <w:t>period</w:t>
      </w:r>
      <w:proofErr w:type="spellEnd"/>
      <w:r>
        <w:t xml:space="preserve">, </w:t>
      </w:r>
      <w:proofErr w:type="spellStart"/>
      <w:r>
        <w:t>physical</w:t>
      </w:r>
      <w:proofErr w:type="spellEnd"/>
      <w:r>
        <w:t xml:space="preserve"> </w:t>
      </w:r>
      <w:proofErr w:type="spellStart"/>
      <w:r>
        <w:t>borders</w:t>
      </w:r>
      <w:proofErr w:type="spellEnd"/>
      <w:r>
        <w:t xml:space="preserve">, </w:t>
      </w:r>
      <w:proofErr w:type="spellStart"/>
      <w:r>
        <w:t>events</w:t>
      </w:r>
      <w:proofErr w:type="spellEnd"/>
      <w:r>
        <w:t xml:space="preserve"> </w:t>
      </w:r>
      <w:proofErr w:type="spellStart"/>
      <w:r>
        <w:t>and</w:t>
      </w:r>
      <w:proofErr w:type="spellEnd"/>
      <w:r>
        <w:t xml:space="preserve"> </w:t>
      </w:r>
      <w:proofErr w:type="spellStart"/>
      <w:r>
        <w:t>phenomena</w:t>
      </w:r>
      <w:proofErr w:type="spellEnd"/>
      <w:r>
        <w:t xml:space="preserve"> they </w:t>
      </w:r>
      <w:proofErr w:type="spellStart"/>
      <w:r>
        <w:t>are</w:t>
      </w:r>
      <w:proofErr w:type="spellEnd"/>
      <w:r>
        <w:t xml:space="preserve"> in, </w:t>
      </w:r>
      <w:proofErr w:type="spellStart"/>
      <w:r>
        <w:t>and</w:t>
      </w:r>
      <w:proofErr w:type="spellEnd"/>
      <w:r>
        <w:t xml:space="preserve"> </w:t>
      </w:r>
      <w:proofErr w:type="spellStart"/>
      <w:r>
        <w:t>have</w:t>
      </w:r>
      <w:proofErr w:type="spellEnd"/>
      <w:r>
        <w:t xml:space="preserve"> </w:t>
      </w:r>
      <w:proofErr w:type="spellStart"/>
      <w:r>
        <w:t>been</w:t>
      </w:r>
      <w:proofErr w:type="spellEnd"/>
      <w:r>
        <w:t xml:space="preserve"> </w:t>
      </w:r>
      <w:proofErr w:type="spellStart"/>
      <w:r>
        <w:t>the</w:t>
      </w:r>
      <w:proofErr w:type="spellEnd"/>
      <w:r>
        <w:t xml:space="preserve"> </w:t>
      </w:r>
      <w:proofErr w:type="spellStart"/>
      <w:r>
        <w:t>carrier</w:t>
      </w:r>
      <w:proofErr w:type="spellEnd"/>
      <w:r>
        <w:t xml:space="preserve"> </w:t>
      </w:r>
      <w:proofErr w:type="spellStart"/>
      <w:r>
        <w:t>and</w:t>
      </w:r>
      <w:proofErr w:type="spellEnd"/>
      <w:r>
        <w:t xml:space="preserve"> </w:t>
      </w:r>
      <w:proofErr w:type="spellStart"/>
      <w:r>
        <w:t>driving</w:t>
      </w:r>
      <w:proofErr w:type="spellEnd"/>
      <w:r>
        <w:t xml:space="preserve"> </w:t>
      </w:r>
      <w:proofErr w:type="spellStart"/>
      <w:r>
        <w:t>force</w:t>
      </w:r>
      <w:proofErr w:type="spellEnd"/>
      <w:r>
        <w:t xml:space="preserve"> of </w:t>
      </w:r>
      <w:proofErr w:type="spellStart"/>
      <w:r>
        <w:t>change</w:t>
      </w:r>
      <w:proofErr w:type="spellEnd"/>
      <w:r>
        <w:t xml:space="preserve"> </w:t>
      </w:r>
      <w:proofErr w:type="spellStart"/>
      <w:r>
        <w:t>with</w:t>
      </w:r>
      <w:proofErr w:type="spellEnd"/>
      <w:r>
        <w:t xml:space="preserve"> </w:t>
      </w:r>
      <w:proofErr w:type="spellStart"/>
      <w:r>
        <w:t>their</w:t>
      </w:r>
      <w:proofErr w:type="spellEnd"/>
      <w:r>
        <w:t xml:space="preserve"> </w:t>
      </w:r>
      <w:proofErr w:type="spellStart"/>
      <w:r>
        <w:t>dynamic</w:t>
      </w:r>
      <w:proofErr w:type="spellEnd"/>
      <w:r>
        <w:t xml:space="preserve"> </w:t>
      </w:r>
      <w:proofErr w:type="spellStart"/>
      <w:r>
        <w:t>and</w:t>
      </w:r>
      <w:proofErr w:type="spellEnd"/>
      <w:r>
        <w:t xml:space="preserve"> </w:t>
      </w:r>
      <w:proofErr w:type="spellStart"/>
      <w:r>
        <w:t>conductive</w:t>
      </w:r>
      <w:proofErr w:type="spellEnd"/>
      <w:r>
        <w:t xml:space="preserve"> </w:t>
      </w:r>
      <w:proofErr w:type="spellStart"/>
      <w:r>
        <w:t>structure</w:t>
      </w:r>
      <w:proofErr w:type="spellEnd"/>
      <w:r>
        <w:t xml:space="preserve">. </w:t>
      </w:r>
      <w:proofErr w:type="spellStart"/>
      <w:r>
        <w:t>When</w:t>
      </w:r>
      <w:proofErr w:type="spellEnd"/>
      <w:r>
        <w:t xml:space="preserve"> </w:t>
      </w:r>
      <w:proofErr w:type="spellStart"/>
      <w:r>
        <w:t>its</w:t>
      </w:r>
      <w:proofErr w:type="spellEnd"/>
      <w:r>
        <w:t xml:space="preserve"> </w:t>
      </w:r>
      <w:proofErr w:type="spellStart"/>
      <w:r>
        <w:t>historical</w:t>
      </w:r>
      <w:proofErr w:type="spellEnd"/>
      <w:r>
        <w:t xml:space="preserve"> </w:t>
      </w:r>
      <w:proofErr w:type="spellStart"/>
      <w:r>
        <w:t>development</w:t>
      </w:r>
      <w:proofErr w:type="spellEnd"/>
      <w:r>
        <w:t xml:space="preserve"> is </w:t>
      </w:r>
      <w:proofErr w:type="spellStart"/>
      <w:r>
        <w:t>examined</w:t>
      </w:r>
      <w:proofErr w:type="spellEnd"/>
      <w:r>
        <w:t xml:space="preserve">, </w:t>
      </w:r>
      <w:proofErr w:type="spellStart"/>
      <w:r>
        <w:t>the</w:t>
      </w:r>
      <w:proofErr w:type="spellEnd"/>
      <w:r>
        <w:t xml:space="preserve"> </w:t>
      </w:r>
      <w:proofErr w:type="spellStart"/>
      <w:r>
        <w:t>city</w:t>
      </w:r>
      <w:proofErr w:type="spellEnd"/>
      <w:r>
        <w:t xml:space="preserve">, </w:t>
      </w:r>
      <w:proofErr w:type="spellStart"/>
      <w:r>
        <w:t>which</w:t>
      </w:r>
      <w:proofErr w:type="spellEnd"/>
      <w:r>
        <w:t xml:space="preserve"> has </w:t>
      </w:r>
      <w:proofErr w:type="spellStart"/>
      <w:r>
        <w:t>different</w:t>
      </w:r>
      <w:proofErr w:type="spellEnd"/>
      <w:r>
        <w:t xml:space="preserve"> </w:t>
      </w:r>
      <w:proofErr w:type="spellStart"/>
      <w:r>
        <w:t>characteristics</w:t>
      </w:r>
      <w:proofErr w:type="spellEnd"/>
      <w:r>
        <w:t xml:space="preserve"> in </w:t>
      </w:r>
      <w:proofErr w:type="spellStart"/>
      <w:r>
        <w:t>each</w:t>
      </w:r>
      <w:proofErr w:type="spellEnd"/>
      <w:r>
        <w:t xml:space="preserve"> </w:t>
      </w:r>
      <w:proofErr w:type="spellStart"/>
      <w:r>
        <w:t>period</w:t>
      </w:r>
      <w:proofErr w:type="spellEnd"/>
      <w:r>
        <w:t xml:space="preserve">, has </w:t>
      </w:r>
      <w:proofErr w:type="spellStart"/>
      <w:r>
        <w:t>become</w:t>
      </w:r>
      <w:proofErr w:type="spellEnd"/>
      <w:r>
        <w:t xml:space="preserve"> </w:t>
      </w:r>
      <w:proofErr w:type="spellStart"/>
      <w:r>
        <w:t>one</w:t>
      </w:r>
      <w:proofErr w:type="spellEnd"/>
      <w:r>
        <w:t xml:space="preserve"> of </w:t>
      </w:r>
      <w:proofErr w:type="spellStart"/>
      <w:r>
        <w:t>the</w:t>
      </w:r>
      <w:proofErr w:type="spellEnd"/>
      <w:r>
        <w:t xml:space="preserve"> </w:t>
      </w:r>
      <w:proofErr w:type="spellStart"/>
      <w:r>
        <w:t>most</w:t>
      </w:r>
      <w:proofErr w:type="spellEnd"/>
      <w:r>
        <w:t xml:space="preserve"> </w:t>
      </w:r>
      <w:proofErr w:type="spellStart"/>
      <w:r>
        <w:t>important</w:t>
      </w:r>
      <w:proofErr w:type="spellEnd"/>
      <w:r>
        <w:t xml:space="preserve"> </w:t>
      </w:r>
      <w:proofErr w:type="spellStart"/>
      <w:r>
        <w:t>elements</w:t>
      </w:r>
      <w:proofErr w:type="spellEnd"/>
      <w:r>
        <w:t xml:space="preserve"> of </w:t>
      </w:r>
      <w:proofErr w:type="spellStart"/>
      <w:r>
        <w:t>the</w:t>
      </w:r>
      <w:proofErr w:type="spellEnd"/>
      <w:r>
        <w:t xml:space="preserve"> </w:t>
      </w:r>
      <w:proofErr w:type="spellStart"/>
      <w:r>
        <w:t>great</w:t>
      </w:r>
      <w:proofErr w:type="spellEnd"/>
      <w:r>
        <w:t xml:space="preserve"> </w:t>
      </w:r>
      <w:proofErr w:type="spellStart"/>
      <w:r>
        <w:t>change</w:t>
      </w:r>
      <w:proofErr w:type="spellEnd"/>
      <w:r>
        <w:t xml:space="preserve"> </w:t>
      </w:r>
      <w:proofErr w:type="spellStart"/>
      <w:r>
        <w:t>and</w:t>
      </w:r>
      <w:proofErr w:type="spellEnd"/>
      <w:r>
        <w:t xml:space="preserve"> </w:t>
      </w:r>
      <w:proofErr w:type="spellStart"/>
      <w:r>
        <w:t>transformation</w:t>
      </w:r>
      <w:proofErr w:type="spellEnd"/>
      <w:r>
        <w:t xml:space="preserve"> </w:t>
      </w:r>
      <w:proofErr w:type="spellStart"/>
      <w:r>
        <w:t>process</w:t>
      </w:r>
      <w:proofErr w:type="spellEnd"/>
      <w:r>
        <w:t xml:space="preserve"> </w:t>
      </w:r>
      <w:proofErr w:type="spellStart"/>
      <w:r>
        <w:t>we</w:t>
      </w:r>
      <w:proofErr w:type="spellEnd"/>
      <w:r>
        <w:t xml:space="preserve"> </w:t>
      </w:r>
      <w:proofErr w:type="spellStart"/>
      <w:r>
        <w:t>are</w:t>
      </w:r>
      <w:proofErr w:type="spellEnd"/>
      <w:r>
        <w:t xml:space="preserve"> in </w:t>
      </w:r>
      <w:proofErr w:type="spellStart"/>
      <w:r>
        <w:t>today</w:t>
      </w:r>
      <w:proofErr w:type="spellEnd"/>
      <w:r>
        <w:t xml:space="preserve">. </w:t>
      </w:r>
      <w:proofErr w:type="spellStart"/>
      <w:r>
        <w:t>Technology</w:t>
      </w:r>
      <w:proofErr w:type="spellEnd"/>
      <w:r>
        <w:t xml:space="preserve">, </w:t>
      </w:r>
      <w:proofErr w:type="spellStart"/>
      <w:r>
        <w:t>which</w:t>
      </w:r>
      <w:proofErr w:type="spellEnd"/>
      <w:r>
        <w:t xml:space="preserve"> </w:t>
      </w:r>
      <w:proofErr w:type="spellStart"/>
      <w:r>
        <w:t>develops</w:t>
      </w:r>
      <w:proofErr w:type="spellEnd"/>
      <w:r>
        <w:t xml:space="preserve"> at a </w:t>
      </w:r>
      <w:proofErr w:type="spellStart"/>
      <w:r>
        <w:t>dizzying</w:t>
      </w:r>
      <w:proofErr w:type="spellEnd"/>
      <w:r>
        <w:t xml:space="preserve"> </w:t>
      </w:r>
      <w:proofErr w:type="spellStart"/>
      <w:r>
        <w:t>pace</w:t>
      </w:r>
      <w:proofErr w:type="spellEnd"/>
      <w:r>
        <w:t xml:space="preserve"> </w:t>
      </w:r>
      <w:proofErr w:type="spellStart"/>
      <w:r>
        <w:t>every</w:t>
      </w:r>
      <w:proofErr w:type="spellEnd"/>
      <w:r>
        <w:t xml:space="preserve"> </w:t>
      </w:r>
      <w:proofErr w:type="spellStart"/>
      <w:r>
        <w:t>day</w:t>
      </w:r>
      <w:proofErr w:type="spellEnd"/>
      <w:r>
        <w:t xml:space="preserve">, has </w:t>
      </w:r>
      <w:proofErr w:type="spellStart"/>
      <w:r>
        <w:t>affected</w:t>
      </w:r>
      <w:proofErr w:type="spellEnd"/>
      <w:r>
        <w:t xml:space="preserve"> </w:t>
      </w:r>
      <w:proofErr w:type="spellStart"/>
      <w:r>
        <w:t>and</w:t>
      </w:r>
      <w:proofErr w:type="spellEnd"/>
      <w:r>
        <w:t xml:space="preserve"> </w:t>
      </w:r>
      <w:proofErr w:type="spellStart"/>
      <w:r>
        <w:t>transformed</w:t>
      </w:r>
      <w:proofErr w:type="spellEnd"/>
      <w:r>
        <w:t xml:space="preserve"> </w:t>
      </w:r>
      <w:proofErr w:type="spellStart"/>
      <w:r>
        <w:t>many</w:t>
      </w:r>
      <w:proofErr w:type="spellEnd"/>
      <w:r>
        <w:t xml:space="preserve"> </w:t>
      </w:r>
      <w:proofErr w:type="spellStart"/>
      <w:r>
        <w:t>elements</w:t>
      </w:r>
      <w:proofErr w:type="spellEnd"/>
      <w:r>
        <w:t xml:space="preserve"> </w:t>
      </w:r>
      <w:proofErr w:type="spellStart"/>
      <w:r>
        <w:t>all</w:t>
      </w:r>
      <w:proofErr w:type="spellEnd"/>
      <w:r>
        <w:t xml:space="preserve"> </w:t>
      </w:r>
      <w:proofErr w:type="spellStart"/>
      <w:r>
        <w:t>over</w:t>
      </w:r>
      <w:proofErr w:type="spellEnd"/>
      <w:r>
        <w:t xml:space="preserve"> </w:t>
      </w:r>
      <w:proofErr w:type="spellStart"/>
      <w:r>
        <w:t>the</w:t>
      </w:r>
      <w:proofErr w:type="spellEnd"/>
      <w:r>
        <w:t xml:space="preserve"> </w:t>
      </w:r>
      <w:proofErr w:type="spellStart"/>
      <w:r>
        <w:t>world</w:t>
      </w:r>
      <w:proofErr w:type="spellEnd"/>
      <w:r>
        <w:t xml:space="preserve"> </w:t>
      </w:r>
      <w:proofErr w:type="spellStart"/>
      <w:r>
        <w:t>and</w:t>
      </w:r>
      <w:proofErr w:type="spellEnd"/>
      <w:r>
        <w:t xml:space="preserve"> has </w:t>
      </w:r>
      <w:proofErr w:type="spellStart"/>
      <w:r>
        <w:t>also</w:t>
      </w:r>
      <w:proofErr w:type="spellEnd"/>
      <w:r>
        <w:t xml:space="preserve"> </w:t>
      </w:r>
      <w:proofErr w:type="spellStart"/>
      <w:r>
        <w:t>included</w:t>
      </w:r>
      <w:proofErr w:type="spellEnd"/>
      <w:r>
        <w:t xml:space="preserve"> </w:t>
      </w:r>
      <w:proofErr w:type="spellStart"/>
      <w:r>
        <w:t>cities</w:t>
      </w:r>
      <w:proofErr w:type="spellEnd"/>
      <w:r>
        <w:t xml:space="preserve"> in a </w:t>
      </w:r>
      <w:proofErr w:type="spellStart"/>
      <w:r>
        <w:t>great</w:t>
      </w:r>
      <w:proofErr w:type="spellEnd"/>
      <w:r>
        <w:t xml:space="preserve"> </w:t>
      </w:r>
      <w:proofErr w:type="spellStart"/>
      <w:r>
        <w:t>change</w:t>
      </w:r>
      <w:proofErr w:type="spellEnd"/>
      <w:r>
        <w:t xml:space="preserve"> </w:t>
      </w:r>
      <w:proofErr w:type="spellStart"/>
      <w:r>
        <w:t>and</w:t>
      </w:r>
      <w:proofErr w:type="spellEnd"/>
      <w:r>
        <w:t xml:space="preserve"> </w:t>
      </w:r>
      <w:proofErr w:type="spellStart"/>
      <w:r>
        <w:t>transformation</w:t>
      </w:r>
      <w:proofErr w:type="spellEnd"/>
      <w:r>
        <w:t xml:space="preserve"> </w:t>
      </w:r>
      <w:proofErr w:type="spellStart"/>
      <w:r>
        <w:t>process</w:t>
      </w:r>
      <w:proofErr w:type="spellEnd"/>
      <w:r>
        <w:t xml:space="preserve">. </w:t>
      </w:r>
      <w:proofErr w:type="spellStart"/>
      <w:r>
        <w:t>In</w:t>
      </w:r>
      <w:proofErr w:type="spellEnd"/>
      <w:r>
        <w:t xml:space="preserve"> </w:t>
      </w:r>
      <w:proofErr w:type="spellStart"/>
      <w:r>
        <w:t>this</w:t>
      </w:r>
      <w:proofErr w:type="spellEnd"/>
      <w:r>
        <w:t xml:space="preserve"> </w:t>
      </w:r>
      <w:proofErr w:type="spellStart"/>
      <w:r>
        <w:t>process</w:t>
      </w:r>
      <w:proofErr w:type="spellEnd"/>
      <w:r>
        <w:t xml:space="preserve">, </w:t>
      </w:r>
      <w:proofErr w:type="spellStart"/>
      <w:r>
        <w:t>many</w:t>
      </w:r>
      <w:proofErr w:type="spellEnd"/>
      <w:r>
        <w:t xml:space="preserve"> </w:t>
      </w:r>
      <w:proofErr w:type="spellStart"/>
      <w:r>
        <w:t>new</w:t>
      </w:r>
      <w:proofErr w:type="spellEnd"/>
      <w:r>
        <w:t xml:space="preserve"> </w:t>
      </w:r>
      <w:proofErr w:type="spellStart"/>
      <w:r>
        <w:t>city</w:t>
      </w:r>
      <w:proofErr w:type="spellEnd"/>
      <w:r>
        <w:t xml:space="preserve"> </w:t>
      </w:r>
      <w:proofErr w:type="spellStart"/>
      <w:r>
        <w:t>concepts</w:t>
      </w:r>
      <w:proofErr w:type="spellEnd"/>
      <w:r>
        <w:t xml:space="preserve"> </w:t>
      </w:r>
      <w:proofErr w:type="spellStart"/>
      <w:r>
        <w:t>have</w:t>
      </w:r>
      <w:proofErr w:type="spellEnd"/>
      <w:r>
        <w:t xml:space="preserve"> </w:t>
      </w:r>
      <w:proofErr w:type="spellStart"/>
      <w:r>
        <w:t>emerged</w:t>
      </w:r>
      <w:proofErr w:type="spellEnd"/>
      <w:r>
        <w:t xml:space="preserve"> </w:t>
      </w:r>
      <w:proofErr w:type="spellStart"/>
      <w:r>
        <w:t>with</w:t>
      </w:r>
      <w:proofErr w:type="spellEnd"/>
      <w:r>
        <w:t xml:space="preserve"> </w:t>
      </w:r>
      <w:proofErr w:type="spellStart"/>
      <w:r>
        <w:t>different</w:t>
      </w:r>
      <w:proofErr w:type="spellEnd"/>
      <w:r>
        <w:t xml:space="preserve"> </w:t>
      </w:r>
      <w:proofErr w:type="spellStart"/>
      <w:r>
        <w:t>focal</w:t>
      </w:r>
      <w:proofErr w:type="spellEnd"/>
      <w:r>
        <w:t xml:space="preserve"> </w:t>
      </w:r>
      <w:proofErr w:type="spellStart"/>
      <w:r>
        <w:t>points</w:t>
      </w:r>
      <w:proofErr w:type="spellEnd"/>
      <w:r>
        <w:t xml:space="preserve">. Smart </w:t>
      </w:r>
      <w:proofErr w:type="spellStart"/>
      <w:r>
        <w:t>cities</w:t>
      </w:r>
      <w:proofErr w:type="spellEnd"/>
      <w:r>
        <w:t xml:space="preserve"> </w:t>
      </w:r>
      <w:proofErr w:type="spellStart"/>
      <w:r>
        <w:t>are</w:t>
      </w:r>
      <w:proofErr w:type="spellEnd"/>
      <w:r>
        <w:t xml:space="preserve"> </w:t>
      </w:r>
      <w:proofErr w:type="spellStart"/>
      <w:r>
        <w:t>one</w:t>
      </w:r>
      <w:proofErr w:type="spellEnd"/>
      <w:r>
        <w:t xml:space="preserve"> of </w:t>
      </w:r>
      <w:proofErr w:type="spellStart"/>
      <w:r>
        <w:t>these</w:t>
      </w:r>
      <w:proofErr w:type="spellEnd"/>
      <w:r>
        <w:t xml:space="preserve"> </w:t>
      </w:r>
      <w:proofErr w:type="spellStart"/>
      <w:r>
        <w:t>concepts</w:t>
      </w:r>
      <w:proofErr w:type="spellEnd"/>
      <w:r>
        <w:t xml:space="preserve">. </w:t>
      </w:r>
      <w:proofErr w:type="spellStart"/>
      <w:r>
        <w:t>In</w:t>
      </w:r>
      <w:proofErr w:type="spellEnd"/>
      <w:r>
        <w:t xml:space="preserve"> </w:t>
      </w:r>
      <w:proofErr w:type="spellStart"/>
      <w:r>
        <w:t>smart</w:t>
      </w:r>
      <w:proofErr w:type="spellEnd"/>
      <w:r>
        <w:t xml:space="preserve"> </w:t>
      </w:r>
      <w:proofErr w:type="spellStart"/>
      <w:r>
        <w:t>cities</w:t>
      </w:r>
      <w:proofErr w:type="spellEnd"/>
      <w:r>
        <w:t xml:space="preserve">, </w:t>
      </w:r>
      <w:proofErr w:type="spellStart"/>
      <w:r>
        <w:t>which</w:t>
      </w:r>
      <w:proofErr w:type="spellEnd"/>
      <w:r>
        <w:t xml:space="preserve"> </w:t>
      </w:r>
      <w:proofErr w:type="spellStart"/>
      <w:r>
        <w:t>generally</w:t>
      </w:r>
      <w:proofErr w:type="spellEnd"/>
      <w:r>
        <w:t xml:space="preserve"> </w:t>
      </w:r>
      <w:proofErr w:type="spellStart"/>
      <w:r>
        <w:t>means</w:t>
      </w:r>
      <w:proofErr w:type="spellEnd"/>
      <w:r>
        <w:t xml:space="preserve"> </w:t>
      </w:r>
      <w:proofErr w:type="spellStart"/>
      <w:r>
        <w:t>the</w:t>
      </w:r>
      <w:proofErr w:type="spellEnd"/>
      <w:r>
        <w:t xml:space="preserve"> </w:t>
      </w:r>
      <w:proofErr w:type="spellStart"/>
      <w:r>
        <w:t>use</w:t>
      </w:r>
      <w:proofErr w:type="spellEnd"/>
      <w:r>
        <w:t xml:space="preserve"> of </w:t>
      </w:r>
      <w:proofErr w:type="spellStart"/>
      <w:r>
        <w:t>information</w:t>
      </w:r>
      <w:proofErr w:type="spellEnd"/>
      <w:r>
        <w:t xml:space="preserve"> </w:t>
      </w:r>
      <w:proofErr w:type="spellStart"/>
      <w:r>
        <w:t>and</w:t>
      </w:r>
      <w:proofErr w:type="spellEnd"/>
      <w:r>
        <w:t xml:space="preserve"> </w:t>
      </w:r>
      <w:proofErr w:type="spellStart"/>
      <w:r>
        <w:t>communication</w:t>
      </w:r>
      <w:proofErr w:type="spellEnd"/>
      <w:r>
        <w:t xml:space="preserve"> </w:t>
      </w:r>
      <w:proofErr w:type="spellStart"/>
      <w:r>
        <w:t>technologies</w:t>
      </w:r>
      <w:proofErr w:type="spellEnd"/>
      <w:r>
        <w:t xml:space="preserve"> in </w:t>
      </w:r>
      <w:proofErr w:type="spellStart"/>
      <w:r>
        <w:t>all</w:t>
      </w:r>
      <w:proofErr w:type="spellEnd"/>
      <w:r>
        <w:t xml:space="preserve"> </w:t>
      </w:r>
      <w:proofErr w:type="spellStart"/>
      <w:r>
        <w:t>areas</w:t>
      </w:r>
      <w:proofErr w:type="spellEnd"/>
      <w:r>
        <w:t xml:space="preserve"> of </w:t>
      </w:r>
      <w:proofErr w:type="spellStart"/>
      <w:r>
        <w:t>the</w:t>
      </w:r>
      <w:proofErr w:type="spellEnd"/>
      <w:r>
        <w:t xml:space="preserve"> </w:t>
      </w:r>
      <w:proofErr w:type="spellStart"/>
      <w:r>
        <w:t>city</w:t>
      </w:r>
      <w:proofErr w:type="spellEnd"/>
      <w:r>
        <w:t xml:space="preserve">, </w:t>
      </w:r>
      <w:proofErr w:type="spellStart"/>
      <w:r>
        <w:t>active</w:t>
      </w:r>
      <w:proofErr w:type="spellEnd"/>
      <w:r>
        <w:t xml:space="preserve"> </w:t>
      </w:r>
      <w:proofErr w:type="spellStart"/>
      <w:r>
        <w:t>participation</w:t>
      </w:r>
      <w:proofErr w:type="spellEnd"/>
      <w:r>
        <w:t xml:space="preserve"> of </w:t>
      </w:r>
      <w:proofErr w:type="spellStart"/>
      <w:r>
        <w:t>city</w:t>
      </w:r>
      <w:proofErr w:type="spellEnd"/>
      <w:r>
        <w:t xml:space="preserve"> </w:t>
      </w:r>
      <w:proofErr w:type="spellStart"/>
      <w:r>
        <w:t>residents</w:t>
      </w:r>
      <w:proofErr w:type="spellEnd"/>
      <w:r>
        <w:t xml:space="preserve"> in </w:t>
      </w:r>
      <w:proofErr w:type="spellStart"/>
      <w:r>
        <w:t>city</w:t>
      </w:r>
      <w:proofErr w:type="spellEnd"/>
      <w:r>
        <w:t xml:space="preserve"> </w:t>
      </w:r>
      <w:proofErr w:type="spellStart"/>
      <w:r>
        <w:t>management</w:t>
      </w:r>
      <w:proofErr w:type="spellEnd"/>
      <w:r>
        <w:t xml:space="preserve"> has </w:t>
      </w:r>
      <w:proofErr w:type="spellStart"/>
      <w:r>
        <w:t>become</w:t>
      </w:r>
      <w:proofErr w:type="spellEnd"/>
      <w:r>
        <w:t xml:space="preserve"> a </w:t>
      </w:r>
      <w:proofErr w:type="spellStart"/>
      <w:r>
        <w:t>very</w:t>
      </w:r>
      <w:proofErr w:type="spellEnd"/>
      <w:r>
        <w:t xml:space="preserve"> </w:t>
      </w:r>
      <w:proofErr w:type="spellStart"/>
      <w:r>
        <w:t>important</w:t>
      </w:r>
      <w:proofErr w:type="spellEnd"/>
      <w:r>
        <w:t xml:space="preserve"> </w:t>
      </w:r>
      <w:proofErr w:type="spellStart"/>
      <w:r>
        <w:t>issue</w:t>
      </w:r>
      <w:proofErr w:type="spellEnd"/>
      <w:r>
        <w:t xml:space="preserve"> </w:t>
      </w:r>
      <w:proofErr w:type="spellStart"/>
      <w:r>
        <w:t>and</w:t>
      </w:r>
      <w:proofErr w:type="spellEnd"/>
      <w:r>
        <w:t xml:space="preserve"> </w:t>
      </w:r>
      <w:proofErr w:type="spellStart"/>
      <w:r>
        <w:t>smart</w:t>
      </w:r>
      <w:proofErr w:type="spellEnd"/>
      <w:r>
        <w:t xml:space="preserve"> </w:t>
      </w:r>
      <w:proofErr w:type="spellStart"/>
      <w:r>
        <w:t>applications</w:t>
      </w:r>
      <w:proofErr w:type="spellEnd"/>
      <w:r>
        <w:t xml:space="preserve"> </w:t>
      </w:r>
      <w:proofErr w:type="spellStart"/>
      <w:r>
        <w:t>have</w:t>
      </w:r>
      <w:proofErr w:type="spellEnd"/>
      <w:r>
        <w:t xml:space="preserve"> </w:t>
      </w:r>
      <w:proofErr w:type="spellStart"/>
      <w:r>
        <w:t>been</w:t>
      </w:r>
      <w:proofErr w:type="spellEnd"/>
      <w:r>
        <w:t xml:space="preserve"> </w:t>
      </w:r>
      <w:proofErr w:type="spellStart"/>
      <w:r>
        <w:t>developed</w:t>
      </w:r>
      <w:proofErr w:type="spellEnd"/>
      <w:r>
        <w:t xml:space="preserve"> </w:t>
      </w:r>
      <w:proofErr w:type="spellStart"/>
      <w:r>
        <w:t>by</w:t>
      </w:r>
      <w:proofErr w:type="spellEnd"/>
      <w:r>
        <w:t xml:space="preserve"> </w:t>
      </w:r>
      <w:proofErr w:type="spellStart"/>
      <w:r>
        <w:t>many</w:t>
      </w:r>
      <w:proofErr w:type="spellEnd"/>
      <w:r>
        <w:t xml:space="preserve"> </w:t>
      </w:r>
      <w:proofErr w:type="spellStart"/>
      <w:r>
        <w:t>smart</w:t>
      </w:r>
      <w:proofErr w:type="spellEnd"/>
      <w:r>
        <w:t xml:space="preserve"> </w:t>
      </w:r>
      <w:proofErr w:type="spellStart"/>
      <w:r>
        <w:t>cities</w:t>
      </w:r>
      <w:proofErr w:type="spellEnd"/>
      <w:r>
        <w:t xml:space="preserve"> in </w:t>
      </w:r>
      <w:proofErr w:type="spellStart"/>
      <w:r>
        <w:t>this</w:t>
      </w:r>
      <w:proofErr w:type="spellEnd"/>
      <w:r>
        <w:t xml:space="preserve"> </w:t>
      </w:r>
      <w:proofErr w:type="spellStart"/>
      <w:r>
        <w:t>direction</w:t>
      </w:r>
      <w:proofErr w:type="spellEnd"/>
      <w:r>
        <w:t xml:space="preserve">. </w:t>
      </w:r>
      <w:proofErr w:type="spellStart"/>
      <w:r>
        <w:t>Living</w:t>
      </w:r>
      <w:proofErr w:type="spellEnd"/>
      <w:r>
        <w:t xml:space="preserve"> </w:t>
      </w:r>
      <w:proofErr w:type="spellStart"/>
      <w:r>
        <w:t>Lab</w:t>
      </w:r>
      <w:proofErr w:type="spellEnd"/>
      <w:r>
        <w:t xml:space="preserve"> </w:t>
      </w:r>
      <w:proofErr w:type="spellStart"/>
      <w:r>
        <w:t>application</w:t>
      </w:r>
      <w:proofErr w:type="spellEnd"/>
      <w:r>
        <w:t xml:space="preserve"> is </w:t>
      </w:r>
      <w:proofErr w:type="spellStart"/>
      <w:r>
        <w:t>one</w:t>
      </w:r>
      <w:proofErr w:type="spellEnd"/>
      <w:r>
        <w:t xml:space="preserve"> of </w:t>
      </w:r>
      <w:proofErr w:type="spellStart"/>
      <w:r>
        <w:t>these</w:t>
      </w:r>
      <w:proofErr w:type="spellEnd"/>
      <w:r>
        <w:t xml:space="preserve"> </w:t>
      </w:r>
      <w:proofErr w:type="spellStart"/>
      <w:r>
        <w:t>applications</w:t>
      </w:r>
      <w:proofErr w:type="spellEnd"/>
      <w:r>
        <w:t xml:space="preserve">. </w:t>
      </w:r>
      <w:proofErr w:type="spellStart"/>
      <w:r>
        <w:t>The</w:t>
      </w:r>
      <w:proofErr w:type="spellEnd"/>
      <w:r>
        <w:t xml:space="preserve"> </w:t>
      </w:r>
      <w:proofErr w:type="spellStart"/>
      <w:r>
        <w:t>subject</w:t>
      </w:r>
      <w:proofErr w:type="spellEnd"/>
      <w:r>
        <w:t xml:space="preserve"> of </w:t>
      </w:r>
      <w:proofErr w:type="spellStart"/>
      <w:r>
        <w:t>the</w:t>
      </w:r>
      <w:proofErr w:type="spellEnd"/>
      <w:r>
        <w:t xml:space="preserve"> </w:t>
      </w:r>
      <w:proofErr w:type="spellStart"/>
      <w:r>
        <w:t>study</w:t>
      </w:r>
      <w:proofErr w:type="spellEnd"/>
      <w:r>
        <w:t xml:space="preserve"> is </w:t>
      </w:r>
      <w:proofErr w:type="spellStart"/>
      <w:r>
        <w:t>to</w:t>
      </w:r>
      <w:proofErr w:type="spellEnd"/>
      <w:r>
        <w:t xml:space="preserve"> </w:t>
      </w:r>
      <w:proofErr w:type="spellStart"/>
      <w:r>
        <w:t>examine</w:t>
      </w:r>
      <w:proofErr w:type="spellEnd"/>
      <w:r>
        <w:t xml:space="preserve"> </w:t>
      </w:r>
      <w:proofErr w:type="spellStart"/>
      <w:r>
        <w:t>the</w:t>
      </w:r>
      <w:proofErr w:type="spellEnd"/>
      <w:r>
        <w:t xml:space="preserve"> </w:t>
      </w:r>
      <w:proofErr w:type="spellStart"/>
      <w:r>
        <w:t>relationship</w:t>
      </w:r>
      <w:proofErr w:type="spellEnd"/>
      <w:r>
        <w:t xml:space="preserve"> </w:t>
      </w:r>
      <w:proofErr w:type="spellStart"/>
      <w:r>
        <w:t>between</w:t>
      </w:r>
      <w:proofErr w:type="spellEnd"/>
      <w:r>
        <w:t xml:space="preserve"> </w:t>
      </w:r>
      <w:proofErr w:type="spellStart"/>
      <w:r>
        <w:t>the</w:t>
      </w:r>
      <w:proofErr w:type="spellEnd"/>
      <w:r>
        <w:t xml:space="preserve"> </w:t>
      </w:r>
      <w:proofErr w:type="spellStart"/>
      <w:r>
        <w:t>smart</w:t>
      </w:r>
      <w:proofErr w:type="spellEnd"/>
      <w:r>
        <w:t xml:space="preserve"> </w:t>
      </w:r>
      <w:proofErr w:type="spellStart"/>
      <w:r>
        <w:t>city</w:t>
      </w:r>
      <w:proofErr w:type="spellEnd"/>
      <w:r>
        <w:t xml:space="preserve"> </w:t>
      </w:r>
      <w:proofErr w:type="spellStart"/>
      <w:r>
        <w:t>concept</w:t>
      </w:r>
      <w:proofErr w:type="spellEnd"/>
      <w:r>
        <w:t xml:space="preserve"> </w:t>
      </w:r>
      <w:proofErr w:type="spellStart"/>
      <w:r>
        <w:t>and</w:t>
      </w:r>
      <w:proofErr w:type="spellEnd"/>
      <w:r>
        <w:t xml:space="preserve"> </w:t>
      </w:r>
      <w:proofErr w:type="spellStart"/>
      <w:r>
        <w:t>living</w:t>
      </w:r>
      <w:proofErr w:type="spellEnd"/>
      <w:r>
        <w:t xml:space="preserve"> </w:t>
      </w:r>
      <w:proofErr w:type="spellStart"/>
      <w:r>
        <w:t>lab</w:t>
      </w:r>
      <w:proofErr w:type="spellEnd"/>
      <w:r>
        <w:t xml:space="preserve"> </w:t>
      </w:r>
      <w:proofErr w:type="spellStart"/>
      <w:r>
        <w:t>application</w:t>
      </w:r>
      <w:proofErr w:type="spellEnd"/>
      <w:r>
        <w:t xml:space="preserve">. </w:t>
      </w:r>
      <w:proofErr w:type="spellStart"/>
      <w:r>
        <w:t>The</w:t>
      </w:r>
      <w:proofErr w:type="spellEnd"/>
      <w:r>
        <w:t xml:space="preserve"> </w:t>
      </w:r>
      <w:proofErr w:type="spellStart"/>
      <w:r>
        <w:t>importance</w:t>
      </w:r>
      <w:proofErr w:type="spellEnd"/>
      <w:r>
        <w:t xml:space="preserve"> of </w:t>
      </w:r>
      <w:proofErr w:type="spellStart"/>
      <w:r>
        <w:t>the</w:t>
      </w:r>
      <w:proofErr w:type="spellEnd"/>
      <w:r>
        <w:t xml:space="preserve"> </w:t>
      </w:r>
      <w:proofErr w:type="spellStart"/>
      <w:r>
        <w:t>study</w:t>
      </w:r>
      <w:proofErr w:type="spellEnd"/>
      <w:r>
        <w:t xml:space="preserve"> is </w:t>
      </w:r>
      <w:proofErr w:type="spellStart"/>
      <w:r>
        <w:t>that</w:t>
      </w:r>
      <w:proofErr w:type="spellEnd"/>
      <w:r>
        <w:t xml:space="preserve"> </w:t>
      </w:r>
      <w:proofErr w:type="spellStart"/>
      <w:r>
        <w:t>technology</w:t>
      </w:r>
      <w:proofErr w:type="spellEnd"/>
      <w:r>
        <w:t xml:space="preserve">, </w:t>
      </w:r>
      <w:proofErr w:type="spellStart"/>
      <w:r>
        <w:t>which</w:t>
      </w:r>
      <w:proofErr w:type="spellEnd"/>
      <w:r>
        <w:t xml:space="preserve"> </w:t>
      </w:r>
      <w:proofErr w:type="spellStart"/>
      <w:r>
        <w:t>develops</w:t>
      </w:r>
      <w:proofErr w:type="spellEnd"/>
      <w:r>
        <w:t xml:space="preserve"> </w:t>
      </w:r>
      <w:proofErr w:type="spellStart"/>
      <w:r>
        <w:t>day</w:t>
      </w:r>
      <w:proofErr w:type="spellEnd"/>
      <w:r>
        <w:t xml:space="preserve"> </w:t>
      </w:r>
      <w:proofErr w:type="spellStart"/>
      <w:r>
        <w:t>by</w:t>
      </w:r>
      <w:proofErr w:type="spellEnd"/>
      <w:r>
        <w:t xml:space="preserve"> </w:t>
      </w:r>
      <w:proofErr w:type="spellStart"/>
      <w:r>
        <w:t>day</w:t>
      </w:r>
      <w:proofErr w:type="spellEnd"/>
      <w:r>
        <w:t xml:space="preserve">, </w:t>
      </w:r>
      <w:proofErr w:type="spellStart"/>
      <w:r>
        <w:t>directly</w:t>
      </w:r>
      <w:proofErr w:type="spellEnd"/>
      <w:r>
        <w:t xml:space="preserve"> </w:t>
      </w:r>
      <w:proofErr w:type="spellStart"/>
      <w:r>
        <w:t>affects</w:t>
      </w:r>
      <w:proofErr w:type="spellEnd"/>
      <w:r>
        <w:t xml:space="preserve"> </w:t>
      </w:r>
      <w:proofErr w:type="spellStart"/>
      <w:r>
        <w:t>cities</w:t>
      </w:r>
      <w:proofErr w:type="spellEnd"/>
      <w:r>
        <w:t xml:space="preserve">, </w:t>
      </w:r>
      <w:proofErr w:type="spellStart"/>
      <w:r>
        <w:t>city</w:t>
      </w:r>
      <w:proofErr w:type="spellEnd"/>
      <w:r>
        <w:t xml:space="preserve"> </w:t>
      </w:r>
      <w:proofErr w:type="spellStart"/>
      <w:r>
        <w:t>residents</w:t>
      </w:r>
      <w:proofErr w:type="spellEnd"/>
      <w:r>
        <w:t xml:space="preserve"> </w:t>
      </w:r>
      <w:proofErr w:type="spellStart"/>
      <w:r>
        <w:t>and</w:t>
      </w:r>
      <w:proofErr w:type="spellEnd"/>
      <w:r>
        <w:t xml:space="preserve"> urban life, </w:t>
      </w:r>
      <w:proofErr w:type="spellStart"/>
      <w:r>
        <w:t>and</w:t>
      </w:r>
      <w:proofErr w:type="spellEnd"/>
      <w:r>
        <w:t xml:space="preserve"> </w:t>
      </w:r>
      <w:proofErr w:type="spellStart"/>
      <w:r>
        <w:t>many</w:t>
      </w:r>
      <w:proofErr w:type="spellEnd"/>
      <w:r>
        <w:t xml:space="preserve"> </w:t>
      </w:r>
      <w:proofErr w:type="spellStart"/>
      <w:r>
        <w:t>applications</w:t>
      </w:r>
      <w:proofErr w:type="spellEnd"/>
      <w:r>
        <w:t xml:space="preserve"> </w:t>
      </w:r>
      <w:proofErr w:type="spellStart"/>
      <w:r>
        <w:t>are</w:t>
      </w:r>
      <w:proofErr w:type="spellEnd"/>
      <w:r>
        <w:t xml:space="preserve"> </w:t>
      </w:r>
      <w:proofErr w:type="spellStart"/>
      <w:r>
        <w:t>being</w:t>
      </w:r>
      <w:proofErr w:type="spellEnd"/>
      <w:r>
        <w:t xml:space="preserve"> </w:t>
      </w:r>
      <w:proofErr w:type="spellStart"/>
      <w:r>
        <w:t>developed</w:t>
      </w:r>
      <w:proofErr w:type="spellEnd"/>
      <w:r>
        <w:t xml:space="preserve"> in </w:t>
      </w:r>
      <w:proofErr w:type="spellStart"/>
      <w:r>
        <w:t>order</w:t>
      </w:r>
      <w:proofErr w:type="spellEnd"/>
      <w:r>
        <w:t xml:space="preserve"> </w:t>
      </w:r>
      <w:proofErr w:type="spellStart"/>
      <w:r>
        <w:t>to</w:t>
      </w:r>
      <w:proofErr w:type="spellEnd"/>
      <w:r>
        <w:t xml:space="preserve"> </w:t>
      </w:r>
      <w:proofErr w:type="spellStart"/>
      <w:r>
        <w:t>keep</w:t>
      </w:r>
      <w:proofErr w:type="spellEnd"/>
      <w:r>
        <w:t xml:space="preserve"> </w:t>
      </w:r>
      <w:proofErr w:type="spellStart"/>
      <w:r>
        <w:t>up</w:t>
      </w:r>
      <w:proofErr w:type="spellEnd"/>
      <w:r>
        <w:t xml:space="preserve"> </w:t>
      </w:r>
      <w:proofErr w:type="spellStart"/>
      <w:r>
        <w:t>with</w:t>
      </w:r>
      <w:proofErr w:type="spellEnd"/>
      <w:r>
        <w:t xml:space="preserve"> </w:t>
      </w:r>
      <w:proofErr w:type="spellStart"/>
      <w:r>
        <w:t>these</w:t>
      </w:r>
      <w:proofErr w:type="spellEnd"/>
      <w:r>
        <w:t xml:space="preserve"> </w:t>
      </w:r>
      <w:proofErr w:type="spellStart"/>
      <w:r>
        <w:t>developments</w:t>
      </w:r>
      <w:proofErr w:type="spellEnd"/>
      <w:r>
        <w:t xml:space="preserve">. </w:t>
      </w:r>
      <w:proofErr w:type="spellStart"/>
      <w:r>
        <w:t>Living</w:t>
      </w:r>
      <w:proofErr w:type="spellEnd"/>
      <w:r>
        <w:t xml:space="preserve"> </w:t>
      </w:r>
      <w:proofErr w:type="spellStart"/>
      <w:r>
        <w:t>lab</w:t>
      </w:r>
      <w:proofErr w:type="spellEnd"/>
      <w:r>
        <w:t xml:space="preserve"> </w:t>
      </w:r>
      <w:proofErr w:type="spellStart"/>
      <w:r>
        <w:t>application</w:t>
      </w:r>
      <w:proofErr w:type="spellEnd"/>
      <w:r>
        <w:t xml:space="preserve"> is </w:t>
      </w:r>
      <w:proofErr w:type="spellStart"/>
      <w:r>
        <w:t>one</w:t>
      </w:r>
      <w:proofErr w:type="spellEnd"/>
      <w:r>
        <w:t xml:space="preserve"> of </w:t>
      </w:r>
      <w:proofErr w:type="spellStart"/>
      <w:r>
        <w:t>them</w:t>
      </w:r>
      <w:proofErr w:type="spellEnd"/>
      <w:r>
        <w:t xml:space="preserve"> </w:t>
      </w:r>
      <w:proofErr w:type="spellStart"/>
      <w:r>
        <w:t>and</w:t>
      </w:r>
      <w:proofErr w:type="spellEnd"/>
      <w:r>
        <w:t xml:space="preserve"> </w:t>
      </w:r>
      <w:proofErr w:type="spellStart"/>
      <w:r>
        <w:t>this</w:t>
      </w:r>
      <w:proofErr w:type="spellEnd"/>
      <w:r>
        <w:t xml:space="preserve"> </w:t>
      </w:r>
      <w:proofErr w:type="spellStart"/>
      <w:r>
        <w:t>application</w:t>
      </w:r>
      <w:proofErr w:type="spellEnd"/>
      <w:r>
        <w:t xml:space="preserve"> </w:t>
      </w:r>
      <w:proofErr w:type="spellStart"/>
      <w:r>
        <w:t>will</w:t>
      </w:r>
      <w:proofErr w:type="spellEnd"/>
      <w:r>
        <w:t xml:space="preserve"> be </w:t>
      </w:r>
      <w:proofErr w:type="spellStart"/>
      <w:r>
        <w:t>examined</w:t>
      </w:r>
      <w:proofErr w:type="spellEnd"/>
      <w:r>
        <w:t xml:space="preserve"> in </w:t>
      </w:r>
      <w:proofErr w:type="spellStart"/>
      <w:r>
        <w:t>depth</w:t>
      </w:r>
      <w:proofErr w:type="spellEnd"/>
      <w:r>
        <w:t xml:space="preserve"> in </w:t>
      </w:r>
      <w:proofErr w:type="spellStart"/>
      <w:r>
        <w:t>the</w:t>
      </w:r>
      <w:proofErr w:type="spellEnd"/>
      <w:r>
        <w:t xml:space="preserve"> </w:t>
      </w:r>
      <w:proofErr w:type="spellStart"/>
      <w:r>
        <w:t>study</w:t>
      </w:r>
      <w:proofErr w:type="spellEnd"/>
      <w:r>
        <w:t xml:space="preserve">. </w:t>
      </w:r>
      <w:proofErr w:type="spellStart"/>
      <w:r>
        <w:t>Literature</w:t>
      </w:r>
      <w:proofErr w:type="spellEnd"/>
      <w:r>
        <w:t xml:space="preserve"> </w:t>
      </w:r>
      <w:proofErr w:type="spellStart"/>
      <w:r>
        <w:t>review</w:t>
      </w:r>
      <w:proofErr w:type="spellEnd"/>
      <w:r>
        <w:t xml:space="preserve"> </w:t>
      </w:r>
      <w:proofErr w:type="spellStart"/>
      <w:r>
        <w:t>was</w:t>
      </w:r>
      <w:proofErr w:type="spellEnd"/>
      <w:r>
        <w:t xml:space="preserve"> </w:t>
      </w:r>
      <w:proofErr w:type="spellStart"/>
      <w:r>
        <w:t>used</w:t>
      </w:r>
      <w:proofErr w:type="spellEnd"/>
      <w:r>
        <w:t xml:space="preserve"> as </w:t>
      </w:r>
      <w:proofErr w:type="spellStart"/>
      <w:r>
        <w:t>the</w:t>
      </w:r>
      <w:proofErr w:type="spellEnd"/>
      <w:r>
        <w:t xml:space="preserve"> </w:t>
      </w:r>
      <w:proofErr w:type="spellStart"/>
      <w:r>
        <w:t>research</w:t>
      </w:r>
      <w:proofErr w:type="spellEnd"/>
      <w:r>
        <w:t xml:space="preserve"> </w:t>
      </w:r>
      <w:proofErr w:type="spellStart"/>
      <w:r>
        <w:t>method</w:t>
      </w:r>
      <w:proofErr w:type="spellEnd"/>
      <w:r>
        <w:t xml:space="preserve"> in </w:t>
      </w:r>
      <w:proofErr w:type="spellStart"/>
      <w:r>
        <w:t>the</w:t>
      </w:r>
      <w:proofErr w:type="spellEnd"/>
      <w:r>
        <w:t xml:space="preserve"> </w:t>
      </w:r>
      <w:proofErr w:type="spellStart"/>
      <w:r>
        <w:t>study</w:t>
      </w:r>
      <w:proofErr w:type="spellEnd"/>
      <w:r>
        <w:t xml:space="preserve">, </w:t>
      </w:r>
      <w:proofErr w:type="spellStart"/>
      <w:r>
        <w:t>and</w:t>
      </w:r>
      <w:proofErr w:type="spellEnd"/>
      <w:r>
        <w:t xml:space="preserve"> as a </w:t>
      </w:r>
      <w:proofErr w:type="spellStart"/>
      <w:r>
        <w:t>result</w:t>
      </w:r>
      <w:proofErr w:type="spellEnd"/>
      <w:r>
        <w:t xml:space="preserve"> of </w:t>
      </w:r>
      <w:proofErr w:type="spellStart"/>
      <w:r>
        <w:t>detailed</w:t>
      </w:r>
      <w:proofErr w:type="spellEnd"/>
      <w:r>
        <w:t xml:space="preserve"> </w:t>
      </w:r>
      <w:proofErr w:type="spellStart"/>
      <w:r>
        <w:t>research</w:t>
      </w:r>
      <w:proofErr w:type="spellEnd"/>
      <w:r>
        <w:t xml:space="preserve"> on </w:t>
      </w:r>
      <w:proofErr w:type="spellStart"/>
      <w:r>
        <w:t>many</w:t>
      </w:r>
      <w:proofErr w:type="spellEnd"/>
      <w:r>
        <w:t xml:space="preserve"> </w:t>
      </w:r>
      <w:proofErr w:type="spellStart"/>
      <w:r>
        <w:t>local</w:t>
      </w:r>
      <w:proofErr w:type="spellEnd"/>
      <w:r>
        <w:t xml:space="preserve"> </w:t>
      </w:r>
      <w:proofErr w:type="spellStart"/>
      <w:r>
        <w:t>and</w:t>
      </w:r>
      <w:proofErr w:type="spellEnd"/>
      <w:r>
        <w:t xml:space="preserve"> </w:t>
      </w:r>
      <w:proofErr w:type="spellStart"/>
      <w:r>
        <w:t>foreign</w:t>
      </w:r>
      <w:proofErr w:type="spellEnd"/>
      <w:r>
        <w:t xml:space="preserve"> </w:t>
      </w:r>
      <w:proofErr w:type="spellStart"/>
      <w:r>
        <w:t>articles</w:t>
      </w:r>
      <w:proofErr w:type="spellEnd"/>
      <w:r>
        <w:t xml:space="preserve"> </w:t>
      </w:r>
      <w:proofErr w:type="spellStart"/>
      <w:r>
        <w:t>written</w:t>
      </w:r>
      <w:proofErr w:type="spellEnd"/>
      <w:r>
        <w:t xml:space="preserve"> on </w:t>
      </w:r>
      <w:proofErr w:type="spellStart"/>
      <w:r>
        <w:t>the</w:t>
      </w:r>
      <w:proofErr w:type="spellEnd"/>
      <w:r>
        <w:t xml:space="preserve"> </w:t>
      </w:r>
      <w:proofErr w:type="spellStart"/>
      <w:r>
        <w:t>subject</w:t>
      </w:r>
      <w:proofErr w:type="spellEnd"/>
      <w:r>
        <w:t xml:space="preserve">, it can be </w:t>
      </w:r>
      <w:proofErr w:type="spellStart"/>
      <w:r>
        <w:t>seen</w:t>
      </w:r>
      <w:proofErr w:type="spellEnd"/>
      <w:r>
        <w:t xml:space="preserve"> </w:t>
      </w:r>
      <w:proofErr w:type="spellStart"/>
      <w:r>
        <w:t>that</w:t>
      </w:r>
      <w:proofErr w:type="spellEnd"/>
      <w:r>
        <w:t xml:space="preserve"> </w:t>
      </w:r>
      <w:proofErr w:type="spellStart"/>
      <w:r>
        <w:t>the</w:t>
      </w:r>
      <w:proofErr w:type="spellEnd"/>
      <w:r>
        <w:t xml:space="preserve"> </w:t>
      </w:r>
      <w:proofErr w:type="spellStart"/>
      <w:r>
        <w:t>living</w:t>
      </w:r>
      <w:proofErr w:type="spellEnd"/>
      <w:r>
        <w:t xml:space="preserve"> </w:t>
      </w:r>
      <w:proofErr w:type="spellStart"/>
      <w:r>
        <w:t>lab</w:t>
      </w:r>
      <w:proofErr w:type="spellEnd"/>
      <w:r>
        <w:t xml:space="preserve"> </w:t>
      </w:r>
      <w:proofErr w:type="spellStart"/>
      <w:r>
        <w:t>application</w:t>
      </w:r>
      <w:proofErr w:type="spellEnd"/>
      <w:r>
        <w:t xml:space="preserve">, </w:t>
      </w:r>
      <w:proofErr w:type="spellStart"/>
      <w:r>
        <w:t>with</w:t>
      </w:r>
      <w:proofErr w:type="spellEnd"/>
      <w:r>
        <w:t xml:space="preserve"> </w:t>
      </w:r>
      <w:proofErr w:type="spellStart"/>
      <w:r>
        <w:t>its</w:t>
      </w:r>
      <w:proofErr w:type="spellEnd"/>
      <w:r>
        <w:t xml:space="preserve"> </w:t>
      </w:r>
      <w:proofErr w:type="spellStart"/>
      <w:r>
        <w:t>hybrid</w:t>
      </w:r>
      <w:proofErr w:type="spellEnd"/>
      <w:r>
        <w:t xml:space="preserve"> </w:t>
      </w:r>
      <w:proofErr w:type="spellStart"/>
      <w:r>
        <w:t>structure</w:t>
      </w:r>
      <w:proofErr w:type="spellEnd"/>
      <w:r>
        <w:t xml:space="preserve"> in </w:t>
      </w:r>
      <w:proofErr w:type="spellStart"/>
      <w:r>
        <w:t>terms</w:t>
      </w:r>
      <w:proofErr w:type="spellEnd"/>
      <w:r>
        <w:t xml:space="preserve"> of </w:t>
      </w:r>
      <w:proofErr w:type="spellStart"/>
      <w:r>
        <w:t>organization</w:t>
      </w:r>
      <w:proofErr w:type="spellEnd"/>
      <w:r>
        <w:t xml:space="preserve"> </w:t>
      </w:r>
      <w:proofErr w:type="spellStart"/>
      <w:r>
        <w:t>and</w:t>
      </w:r>
      <w:proofErr w:type="spellEnd"/>
      <w:r>
        <w:t xml:space="preserve"> </w:t>
      </w:r>
      <w:proofErr w:type="spellStart"/>
      <w:r>
        <w:t>management</w:t>
      </w:r>
      <w:proofErr w:type="spellEnd"/>
      <w:r>
        <w:t xml:space="preserve">, is a </w:t>
      </w:r>
      <w:proofErr w:type="spellStart"/>
      <w:r>
        <w:t>very</w:t>
      </w:r>
      <w:proofErr w:type="spellEnd"/>
      <w:r>
        <w:t xml:space="preserve"> </w:t>
      </w:r>
      <w:proofErr w:type="spellStart"/>
      <w:r>
        <w:t>important</w:t>
      </w:r>
      <w:proofErr w:type="spellEnd"/>
      <w:r>
        <w:t xml:space="preserve"> </w:t>
      </w:r>
      <w:proofErr w:type="spellStart"/>
      <w:r>
        <w:t>application</w:t>
      </w:r>
      <w:proofErr w:type="spellEnd"/>
      <w:r>
        <w:t xml:space="preserve"> </w:t>
      </w:r>
      <w:proofErr w:type="spellStart"/>
      <w:r>
        <w:t>for</w:t>
      </w:r>
      <w:proofErr w:type="spellEnd"/>
      <w:r>
        <w:t xml:space="preserve"> </w:t>
      </w:r>
      <w:proofErr w:type="spellStart"/>
      <w:r>
        <w:t>the</w:t>
      </w:r>
      <w:proofErr w:type="spellEnd"/>
      <w:r>
        <w:t xml:space="preserve"> </w:t>
      </w:r>
      <w:proofErr w:type="spellStart"/>
      <w:r>
        <w:t>smart</w:t>
      </w:r>
      <w:proofErr w:type="spellEnd"/>
      <w:r>
        <w:t xml:space="preserve"> </w:t>
      </w:r>
      <w:proofErr w:type="spellStart"/>
      <w:r>
        <w:t>management</w:t>
      </w:r>
      <w:proofErr w:type="spellEnd"/>
      <w:r>
        <w:t xml:space="preserve"> </w:t>
      </w:r>
      <w:proofErr w:type="spellStart"/>
      <w:r>
        <w:t>component</w:t>
      </w:r>
      <w:proofErr w:type="spellEnd"/>
      <w:r>
        <w:t xml:space="preserve">, </w:t>
      </w:r>
      <w:proofErr w:type="spellStart"/>
      <w:r>
        <w:t>which</w:t>
      </w:r>
      <w:proofErr w:type="spellEnd"/>
      <w:r>
        <w:t xml:space="preserve"> is a </w:t>
      </w:r>
      <w:proofErr w:type="spellStart"/>
      <w:r>
        <w:t>component</w:t>
      </w:r>
      <w:proofErr w:type="spellEnd"/>
      <w:r>
        <w:t xml:space="preserve"> of </w:t>
      </w:r>
      <w:proofErr w:type="spellStart"/>
      <w:r>
        <w:t>smart</w:t>
      </w:r>
      <w:proofErr w:type="spellEnd"/>
      <w:r>
        <w:t xml:space="preserve"> </w:t>
      </w:r>
      <w:proofErr w:type="spellStart"/>
      <w:r>
        <w:t>cities</w:t>
      </w:r>
      <w:proofErr w:type="spellEnd"/>
      <w:r>
        <w:t xml:space="preserve">, as it </w:t>
      </w:r>
      <w:proofErr w:type="spellStart"/>
      <w:r>
        <w:t>enables</w:t>
      </w:r>
      <w:proofErr w:type="spellEnd"/>
      <w:r>
        <w:t xml:space="preserve"> </w:t>
      </w:r>
      <w:proofErr w:type="spellStart"/>
      <w:r>
        <w:t>the</w:t>
      </w:r>
      <w:proofErr w:type="spellEnd"/>
      <w:r>
        <w:t xml:space="preserve"> </w:t>
      </w:r>
      <w:proofErr w:type="spellStart"/>
      <w:r>
        <w:t>city</w:t>
      </w:r>
      <w:proofErr w:type="spellEnd"/>
      <w:r>
        <w:t xml:space="preserve"> </w:t>
      </w:r>
      <w:proofErr w:type="spellStart"/>
      <w:r>
        <w:t>residents</w:t>
      </w:r>
      <w:proofErr w:type="spellEnd"/>
      <w:r>
        <w:t xml:space="preserve">, </w:t>
      </w:r>
      <w:proofErr w:type="spellStart"/>
      <w:r>
        <w:t>who</w:t>
      </w:r>
      <w:proofErr w:type="spellEnd"/>
      <w:r>
        <w:t xml:space="preserve"> </w:t>
      </w:r>
      <w:proofErr w:type="spellStart"/>
      <w:r>
        <w:t>are</w:t>
      </w:r>
      <w:proofErr w:type="spellEnd"/>
      <w:r>
        <w:t xml:space="preserve"> </w:t>
      </w:r>
      <w:proofErr w:type="spellStart"/>
      <w:r>
        <w:t>more</w:t>
      </w:r>
      <w:proofErr w:type="spellEnd"/>
      <w:r>
        <w:t xml:space="preserve"> </w:t>
      </w:r>
      <w:proofErr w:type="spellStart"/>
      <w:r>
        <w:t>important</w:t>
      </w:r>
      <w:proofErr w:type="spellEnd"/>
      <w:r>
        <w:t xml:space="preserve">, </w:t>
      </w:r>
      <w:proofErr w:type="spellStart"/>
      <w:r>
        <w:t>to</w:t>
      </w:r>
      <w:proofErr w:type="spellEnd"/>
      <w:r>
        <w:t xml:space="preserve"> </w:t>
      </w:r>
      <w:proofErr w:type="spellStart"/>
      <w:r>
        <w:t>actively</w:t>
      </w:r>
      <w:proofErr w:type="spellEnd"/>
      <w:r>
        <w:t xml:space="preserve"> </w:t>
      </w:r>
      <w:proofErr w:type="spellStart"/>
      <w:r>
        <w:t>participate</w:t>
      </w:r>
      <w:proofErr w:type="spellEnd"/>
      <w:r>
        <w:t xml:space="preserve"> in </w:t>
      </w:r>
      <w:proofErr w:type="spellStart"/>
      <w:r>
        <w:t>decision-making</w:t>
      </w:r>
      <w:proofErr w:type="spellEnd"/>
      <w:r>
        <w:t xml:space="preserve"> </w:t>
      </w:r>
      <w:proofErr w:type="spellStart"/>
      <w:r>
        <w:t>mechanisms</w:t>
      </w:r>
      <w:proofErr w:type="spellEnd"/>
      <w:r>
        <w:t xml:space="preserve"> </w:t>
      </w:r>
      <w:proofErr w:type="spellStart"/>
      <w:r>
        <w:t>and</w:t>
      </w:r>
      <w:proofErr w:type="spellEnd"/>
      <w:r>
        <w:t xml:space="preserve"> </w:t>
      </w:r>
      <w:proofErr w:type="spellStart"/>
      <w:r>
        <w:t>all</w:t>
      </w:r>
      <w:proofErr w:type="spellEnd"/>
      <w:r>
        <w:t xml:space="preserve"> </w:t>
      </w:r>
      <w:proofErr w:type="spellStart"/>
      <w:r>
        <w:t>stakeholders</w:t>
      </w:r>
      <w:proofErr w:type="spellEnd"/>
      <w:r>
        <w:t xml:space="preserve"> of </w:t>
      </w:r>
      <w:proofErr w:type="spellStart"/>
      <w:r>
        <w:t>the</w:t>
      </w:r>
      <w:proofErr w:type="spellEnd"/>
      <w:r>
        <w:t xml:space="preserve"> </w:t>
      </w:r>
      <w:proofErr w:type="spellStart"/>
      <w:r>
        <w:t>city</w:t>
      </w:r>
      <w:proofErr w:type="spellEnd"/>
      <w:r>
        <w:t xml:space="preserve"> </w:t>
      </w:r>
      <w:proofErr w:type="spellStart"/>
      <w:r>
        <w:t>come</w:t>
      </w:r>
      <w:proofErr w:type="spellEnd"/>
      <w:r>
        <w:t xml:space="preserve"> </w:t>
      </w:r>
      <w:proofErr w:type="spellStart"/>
      <w:r>
        <w:t>together</w:t>
      </w:r>
      <w:proofErr w:type="spellEnd"/>
      <w:r>
        <w:t xml:space="preserve">. </w:t>
      </w:r>
      <w:proofErr w:type="spellStart"/>
      <w:r>
        <w:t>In</w:t>
      </w:r>
      <w:proofErr w:type="spellEnd"/>
      <w:r>
        <w:t xml:space="preserve"> </w:t>
      </w:r>
      <w:proofErr w:type="spellStart"/>
      <w:r>
        <w:t>addition</w:t>
      </w:r>
      <w:proofErr w:type="spellEnd"/>
      <w:r>
        <w:t xml:space="preserve">, it </w:t>
      </w:r>
      <w:proofErr w:type="spellStart"/>
      <w:r>
        <w:t>emerges</w:t>
      </w:r>
      <w:proofErr w:type="spellEnd"/>
      <w:r>
        <w:t xml:space="preserve"> as a </w:t>
      </w:r>
      <w:proofErr w:type="spellStart"/>
      <w:r>
        <w:t>function</w:t>
      </w:r>
      <w:proofErr w:type="spellEnd"/>
      <w:r>
        <w:t xml:space="preserve"> of </w:t>
      </w:r>
      <w:proofErr w:type="spellStart"/>
      <w:r>
        <w:t>smart</w:t>
      </w:r>
      <w:proofErr w:type="spellEnd"/>
      <w:r>
        <w:t xml:space="preserve"> </w:t>
      </w:r>
      <w:proofErr w:type="spellStart"/>
      <w:r>
        <w:t>cities</w:t>
      </w:r>
      <w:proofErr w:type="spellEnd"/>
      <w:r>
        <w:t xml:space="preserve"> </w:t>
      </w:r>
      <w:proofErr w:type="spellStart"/>
      <w:r>
        <w:t>by</w:t>
      </w:r>
      <w:proofErr w:type="spellEnd"/>
      <w:r>
        <w:t xml:space="preserve"> </w:t>
      </w:r>
      <w:proofErr w:type="spellStart"/>
      <w:r>
        <w:t>acting</w:t>
      </w:r>
      <w:proofErr w:type="spellEnd"/>
      <w:r>
        <w:t xml:space="preserve"> </w:t>
      </w:r>
      <w:proofErr w:type="spellStart"/>
      <w:r>
        <w:t>together</w:t>
      </w:r>
      <w:proofErr w:type="spellEnd"/>
      <w:r>
        <w:t xml:space="preserve"> </w:t>
      </w:r>
      <w:proofErr w:type="spellStart"/>
      <w:r>
        <w:t>with</w:t>
      </w:r>
      <w:proofErr w:type="spellEnd"/>
      <w:r>
        <w:t xml:space="preserve"> </w:t>
      </w:r>
      <w:proofErr w:type="spellStart"/>
      <w:r>
        <w:t>the</w:t>
      </w:r>
      <w:proofErr w:type="spellEnd"/>
      <w:r>
        <w:t xml:space="preserve"> </w:t>
      </w:r>
      <w:proofErr w:type="spellStart"/>
      <w:r>
        <w:t>city</w:t>
      </w:r>
      <w:proofErr w:type="spellEnd"/>
      <w:r>
        <w:t xml:space="preserve"> </w:t>
      </w:r>
      <w:proofErr w:type="spellStart"/>
      <w:r>
        <w:t>management</w:t>
      </w:r>
      <w:proofErr w:type="spellEnd"/>
      <w:r>
        <w:t xml:space="preserve"> in </w:t>
      </w:r>
      <w:proofErr w:type="spellStart"/>
      <w:r>
        <w:t>determining</w:t>
      </w:r>
      <w:proofErr w:type="spellEnd"/>
      <w:r>
        <w:t xml:space="preserve"> </w:t>
      </w:r>
      <w:proofErr w:type="spellStart"/>
      <w:r>
        <w:t>and</w:t>
      </w:r>
      <w:proofErr w:type="spellEnd"/>
      <w:r>
        <w:t xml:space="preserve"> </w:t>
      </w:r>
      <w:proofErr w:type="spellStart"/>
      <w:r>
        <w:t>meeting</w:t>
      </w:r>
      <w:proofErr w:type="spellEnd"/>
      <w:r>
        <w:t xml:space="preserve"> </w:t>
      </w:r>
      <w:proofErr w:type="spellStart"/>
      <w:r>
        <w:t>the</w:t>
      </w:r>
      <w:proofErr w:type="spellEnd"/>
      <w:r>
        <w:t xml:space="preserve"> </w:t>
      </w:r>
      <w:proofErr w:type="spellStart"/>
      <w:r>
        <w:t>needs</w:t>
      </w:r>
      <w:proofErr w:type="spellEnd"/>
      <w:r>
        <w:t xml:space="preserve"> of </w:t>
      </w:r>
      <w:proofErr w:type="spellStart"/>
      <w:r>
        <w:t>the</w:t>
      </w:r>
      <w:proofErr w:type="spellEnd"/>
      <w:r>
        <w:t xml:space="preserve"> </w:t>
      </w:r>
      <w:proofErr w:type="spellStart"/>
      <w:r>
        <w:t>city</w:t>
      </w:r>
      <w:proofErr w:type="spellEnd"/>
      <w:r>
        <w:t xml:space="preserve"> </w:t>
      </w:r>
      <w:proofErr w:type="spellStart"/>
      <w:r>
        <w:t>residents</w:t>
      </w:r>
      <w:proofErr w:type="spellEnd"/>
      <w:r>
        <w:t xml:space="preserve"> </w:t>
      </w:r>
      <w:proofErr w:type="spellStart"/>
      <w:r>
        <w:t>together</w:t>
      </w:r>
      <w:proofErr w:type="spellEnd"/>
      <w:r>
        <w:t xml:space="preserve"> </w:t>
      </w:r>
      <w:proofErr w:type="spellStart"/>
      <w:r>
        <w:t>with</w:t>
      </w:r>
      <w:proofErr w:type="spellEnd"/>
      <w:r>
        <w:t xml:space="preserve"> </w:t>
      </w:r>
      <w:proofErr w:type="spellStart"/>
      <w:r>
        <w:t>the</w:t>
      </w:r>
      <w:proofErr w:type="spellEnd"/>
      <w:r>
        <w:t xml:space="preserve"> </w:t>
      </w:r>
      <w:proofErr w:type="spellStart"/>
      <w:r>
        <w:t>city</w:t>
      </w:r>
      <w:proofErr w:type="spellEnd"/>
      <w:r>
        <w:t xml:space="preserve"> </w:t>
      </w:r>
      <w:proofErr w:type="spellStart"/>
      <w:r>
        <w:t>stakeholders</w:t>
      </w:r>
      <w:proofErr w:type="spellEnd"/>
      <w:r>
        <w:t xml:space="preserve"> </w:t>
      </w:r>
      <w:proofErr w:type="spellStart"/>
      <w:r>
        <w:t>by</w:t>
      </w:r>
      <w:proofErr w:type="spellEnd"/>
      <w:r>
        <w:t xml:space="preserve"> </w:t>
      </w:r>
      <w:proofErr w:type="spellStart"/>
      <w:r>
        <w:t>using</w:t>
      </w:r>
      <w:proofErr w:type="spellEnd"/>
      <w:r>
        <w:t xml:space="preserve"> </w:t>
      </w:r>
      <w:proofErr w:type="spellStart"/>
      <w:r>
        <w:t>the</w:t>
      </w:r>
      <w:proofErr w:type="spellEnd"/>
      <w:r>
        <w:t xml:space="preserve"> </w:t>
      </w:r>
      <w:proofErr w:type="spellStart"/>
      <w:r>
        <w:t>tools</w:t>
      </w:r>
      <w:proofErr w:type="spellEnd"/>
      <w:r>
        <w:t xml:space="preserve"> of </w:t>
      </w:r>
      <w:proofErr w:type="spellStart"/>
      <w:r>
        <w:t>information</w:t>
      </w:r>
      <w:proofErr w:type="spellEnd"/>
      <w:r>
        <w:t xml:space="preserve"> </w:t>
      </w:r>
      <w:proofErr w:type="spellStart"/>
      <w:r>
        <w:t>communication</w:t>
      </w:r>
      <w:proofErr w:type="spellEnd"/>
      <w:r>
        <w:t xml:space="preserve"> </w:t>
      </w:r>
      <w:proofErr w:type="spellStart"/>
      <w:r>
        <w:t>technology</w:t>
      </w:r>
      <w:proofErr w:type="spellEnd"/>
      <w:r>
        <w:t xml:space="preserve">. </w:t>
      </w:r>
      <w:proofErr w:type="spellStart"/>
      <w:r>
        <w:t>The</w:t>
      </w:r>
      <w:proofErr w:type="spellEnd"/>
      <w:r>
        <w:t xml:space="preserve"> </w:t>
      </w:r>
      <w:proofErr w:type="spellStart"/>
      <w:r>
        <w:t>living</w:t>
      </w:r>
      <w:proofErr w:type="spellEnd"/>
      <w:r>
        <w:t xml:space="preserve"> </w:t>
      </w:r>
      <w:proofErr w:type="spellStart"/>
      <w:r>
        <w:t>lab</w:t>
      </w:r>
      <w:proofErr w:type="spellEnd"/>
      <w:r>
        <w:t xml:space="preserve"> </w:t>
      </w:r>
      <w:proofErr w:type="spellStart"/>
      <w:r>
        <w:t>application</w:t>
      </w:r>
      <w:proofErr w:type="spellEnd"/>
      <w:r>
        <w:t xml:space="preserve">, </w:t>
      </w:r>
      <w:proofErr w:type="spellStart"/>
      <w:r>
        <w:t>which</w:t>
      </w:r>
      <w:proofErr w:type="spellEnd"/>
      <w:r>
        <w:t xml:space="preserve"> </w:t>
      </w:r>
      <w:proofErr w:type="spellStart"/>
      <w:r>
        <w:t>will</w:t>
      </w:r>
      <w:proofErr w:type="spellEnd"/>
      <w:r>
        <w:t xml:space="preserve"> </w:t>
      </w:r>
      <w:proofErr w:type="spellStart"/>
      <w:r>
        <w:t>make</w:t>
      </w:r>
      <w:proofErr w:type="spellEnd"/>
      <w:r>
        <w:t xml:space="preserve"> it </w:t>
      </w:r>
      <w:proofErr w:type="spellStart"/>
      <w:r>
        <w:t>much</w:t>
      </w:r>
      <w:proofErr w:type="spellEnd"/>
      <w:r>
        <w:t xml:space="preserve"> </w:t>
      </w:r>
      <w:proofErr w:type="spellStart"/>
      <w:r>
        <w:t>easier</w:t>
      </w:r>
      <w:proofErr w:type="spellEnd"/>
      <w:r>
        <w:t xml:space="preserve"> </w:t>
      </w:r>
      <w:proofErr w:type="spellStart"/>
      <w:r>
        <w:t>to</w:t>
      </w:r>
      <w:proofErr w:type="spellEnd"/>
      <w:r>
        <w:t xml:space="preserve"> </w:t>
      </w:r>
      <w:proofErr w:type="spellStart"/>
      <w:r>
        <w:t>achieve</w:t>
      </w:r>
      <w:proofErr w:type="spellEnd"/>
      <w:r>
        <w:t xml:space="preserve"> </w:t>
      </w:r>
      <w:proofErr w:type="spellStart"/>
      <w:r>
        <w:t>the</w:t>
      </w:r>
      <w:proofErr w:type="spellEnd"/>
      <w:r>
        <w:t xml:space="preserve"> </w:t>
      </w:r>
      <w:proofErr w:type="spellStart"/>
      <w:r>
        <w:t>goals</w:t>
      </w:r>
      <w:proofErr w:type="spellEnd"/>
      <w:r>
        <w:t xml:space="preserve"> of </w:t>
      </w:r>
      <w:proofErr w:type="spellStart"/>
      <w:r>
        <w:t>smart</w:t>
      </w:r>
      <w:proofErr w:type="spellEnd"/>
      <w:r>
        <w:t xml:space="preserve"> </w:t>
      </w:r>
      <w:proofErr w:type="spellStart"/>
      <w:r>
        <w:t>cities</w:t>
      </w:r>
      <w:proofErr w:type="spellEnd"/>
      <w:r>
        <w:t xml:space="preserve">, is a </w:t>
      </w:r>
      <w:proofErr w:type="spellStart"/>
      <w:r>
        <w:t>relatively</w:t>
      </w:r>
      <w:proofErr w:type="spellEnd"/>
      <w:r>
        <w:t xml:space="preserve"> </w:t>
      </w:r>
      <w:proofErr w:type="spellStart"/>
      <w:r>
        <w:t>new</w:t>
      </w:r>
      <w:proofErr w:type="spellEnd"/>
      <w:r>
        <w:t xml:space="preserve"> </w:t>
      </w:r>
      <w:proofErr w:type="spellStart"/>
      <w:r>
        <w:t>concept</w:t>
      </w:r>
      <w:proofErr w:type="spellEnd"/>
      <w:r>
        <w:t xml:space="preserve"> </w:t>
      </w:r>
      <w:proofErr w:type="spellStart"/>
      <w:r>
        <w:t>and</w:t>
      </w:r>
      <w:proofErr w:type="spellEnd"/>
      <w:r>
        <w:t xml:space="preserve"> </w:t>
      </w:r>
      <w:proofErr w:type="spellStart"/>
      <w:r>
        <w:t>application</w:t>
      </w:r>
      <w:proofErr w:type="spellEnd"/>
      <w:r>
        <w:t xml:space="preserve"> in </w:t>
      </w:r>
      <w:proofErr w:type="spellStart"/>
      <w:r>
        <w:t>the</w:t>
      </w:r>
      <w:proofErr w:type="spellEnd"/>
      <w:r>
        <w:t xml:space="preserve"> </w:t>
      </w:r>
      <w:proofErr w:type="spellStart"/>
      <w:r>
        <w:t>literature</w:t>
      </w:r>
      <w:proofErr w:type="spellEnd"/>
      <w:r>
        <w:t xml:space="preserve"> </w:t>
      </w:r>
      <w:proofErr w:type="spellStart"/>
      <w:r>
        <w:t>and</w:t>
      </w:r>
      <w:proofErr w:type="spellEnd"/>
      <w:r>
        <w:t xml:space="preserve"> </w:t>
      </w:r>
      <w:proofErr w:type="spellStart"/>
      <w:r>
        <w:t>practice</w:t>
      </w:r>
      <w:proofErr w:type="spellEnd"/>
      <w:r>
        <w:t xml:space="preserve"> </w:t>
      </w:r>
      <w:proofErr w:type="spellStart"/>
      <w:r>
        <w:t>and</w:t>
      </w:r>
      <w:proofErr w:type="spellEnd"/>
      <w:r>
        <w:t xml:space="preserve"> is an </w:t>
      </w:r>
      <w:proofErr w:type="spellStart"/>
      <w:r>
        <w:t>area</w:t>
      </w:r>
      <w:proofErr w:type="spellEnd"/>
      <w:r>
        <w:t xml:space="preserve"> </w:t>
      </w:r>
      <w:proofErr w:type="spellStart"/>
      <w:r>
        <w:t>where</w:t>
      </w:r>
      <w:proofErr w:type="spellEnd"/>
      <w:r>
        <w:t xml:space="preserve"> </w:t>
      </w:r>
      <w:proofErr w:type="spellStart"/>
      <w:r>
        <w:t>many</w:t>
      </w:r>
      <w:proofErr w:type="spellEnd"/>
      <w:r>
        <w:t xml:space="preserve"> </w:t>
      </w:r>
      <w:proofErr w:type="spellStart"/>
      <w:r>
        <w:t>studies</w:t>
      </w:r>
      <w:proofErr w:type="spellEnd"/>
      <w:r>
        <w:t xml:space="preserve"> can be </w:t>
      </w:r>
      <w:proofErr w:type="gramStart"/>
      <w:r>
        <w:t>done</w:t>
      </w:r>
      <w:proofErr w:type="gramEnd"/>
      <w:r>
        <w:t xml:space="preserve"> </w:t>
      </w:r>
      <w:proofErr w:type="spellStart"/>
      <w:r>
        <w:t>both</w:t>
      </w:r>
      <w:proofErr w:type="spellEnd"/>
      <w:r>
        <w:t xml:space="preserve"> </w:t>
      </w:r>
      <w:proofErr w:type="spellStart"/>
      <w:r>
        <w:t>theoretically</w:t>
      </w:r>
      <w:proofErr w:type="spellEnd"/>
      <w:r>
        <w:t xml:space="preserve"> </w:t>
      </w:r>
      <w:proofErr w:type="spellStart"/>
      <w:r>
        <w:t>and</w:t>
      </w:r>
      <w:proofErr w:type="spellEnd"/>
      <w:r>
        <w:t xml:space="preserve"> </w:t>
      </w:r>
      <w:proofErr w:type="spellStart"/>
      <w:r>
        <w:t>practically</w:t>
      </w:r>
      <w:proofErr w:type="spellEnd"/>
      <w:r>
        <w:t>.</w:t>
      </w:r>
    </w:p>
    <w:p w14:paraId="7F076320" w14:textId="77777777" w:rsidR="00AF40EA" w:rsidRDefault="00AF40EA" w:rsidP="00AF40EA">
      <w:pPr>
        <w:jc w:val="both"/>
      </w:pPr>
    </w:p>
    <w:p w14:paraId="580C1310" w14:textId="77777777" w:rsidR="00FA457D" w:rsidRDefault="00FA457D" w:rsidP="00AF40EA">
      <w:pPr>
        <w:jc w:val="both"/>
      </w:pPr>
      <w:proofErr w:type="spellStart"/>
      <w:r>
        <w:rPr>
          <w:b/>
        </w:rPr>
        <w:t>Keywords</w:t>
      </w:r>
      <w:proofErr w:type="spellEnd"/>
      <w:r>
        <w:rPr>
          <w:b/>
        </w:rPr>
        <w:t>:</w:t>
      </w:r>
      <w:r>
        <w:t xml:space="preserve"> City, Smart City, Information </w:t>
      </w:r>
      <w:proofErr w:type="spellStart"/>
      <w:r>
        <w:t>Communication</w:t>
      </w:r>
      <w:proofErr w:type="spellEnd"/>
      <w:r>
        <w:t xml:space="preserve"> Technologies, </w:t>
      </w:r>
      <w:proofErr w:type="spellStart"/>
      <w:r>
        <w:t>Living</w:t>
      </w:r>
      <w:proofErr w:type="spellEnd"/>
      <w:r>
        <w:t xml:space="preserve"> </w:t>
      </w:r>
      <w:proofErr w:type="spellStart"/>
      <w:r>
        <w:t>Lab</w:t>
      </w:r>
      <w:proofErr w:type="spellEnd"/>
      <w:r>
        <w:t>.</w:t>
      </w:r>
    </w:p>
    <w:p w14:paraId="242D1F3B" w14:textId="77777777" w:rsidR="00AF40EA" w:rsidRDefault="00AF40EA" w:rsidP="00AF40EA">
      <w:pPr>
        <w:jc w:val="both"/>
      </w:pPr>
    </w:p>
    <w:p w14:paraId="62442EAB" w14:textId="77777777" w:rsidR="00FA457D" w:rsidRDefault="00FA457D" w:rsidP="00FA457D">
      <w:pPr>
        <w:jc w:val="both"/>
        <w:rPr>
          <w:b/>
        </w:rPr>
      </w:pPr>
      <w:r>
        <w:rPr>
          <w:b/>
        </w:rPr>
        <w:t>Giriş</w:t>
      </w:r>
    </w:p>
    <w:p w14:paraId="41A2B533" w14:textId="77777777" w:rsidR="0007621B" w:rsidRDefault="00FA457D" w:rsidP="00FA457D">
      <w:pPr>
        <w:jc w:val="both"/>
      </w:pPr>
      <w:r>
        <w:t xml:space="preserve">Kent kavramı, birden çok unsurdan oluşması ve birden çok disiplinin konusu olması dolayısıyla üzerinde uzlaşılmış tek bir tanımı bulunmamaktadır. Her disiplin değerlendirme yaptığı inceleme alanına göre her araştırmacı da farklı odak noktaları ile birbirinden farklı kent tanımları yapmıştır. Örneğin </w:t>
      </w:r>
      <w:proofErr w:type="spellStart"/>
      <w:r>
        <w:t>Huots</w:t>
      </w:r>
      <w:proofErr w:type="spellEnd"/>
      <w:r>
        <w:t xml:space="preserve">, </w:t>
      </w:r>
      <w:proofErr w:type="spellStart"/>
      <w:r>
        <w:t>Thalman</w:t>
      </w:r>
      <w:proofErr w:type="spellEnd"/>
      <w:r>
        <w:t xml:space="preserve"> ve </w:t>
      </w:r>
      <w:proofErr w:type="spellStart"/>
      <w:r>
        <w:t>Valbelle</w:t>
      </w:r>
      <w:proofErr w:type="spellEnd"/>
      <w:r>
        <w:t xml:space="preserve"> “kent, karmaşık bir toplum yapısının, bireysel düzeyde çözülemeyecek sorunların üstesinden gelmesine olanak sağladığı ve kendine özgü özellikleri bulunan bir yerleşim sistemidir.” şeklinde tanımlamışlardır. (</w:t>
      </w:r>
      <w:proofErr w:type="spellStart"/>
      <w:r>
        <w:t>Huot</w:t>
      </w:r>
      <w:proofErr w:type="spellEnd"/>
      <w:r>
        <w:t xml:space="preserve">, </w:t>
      </w:r>
      <w:proofErr w:type="spellStart"/>
      <w:r>
        <w:t>Thalman</w:t>
      </w:r>
      <w:proofErr w:type="spellEnd"/>
      <w:r>
        <w:t xml:space="preserve"> ve </w:t>
      </w:r>
      <w:proofErr w:type="spellStart"/>
      <w:r>
        <w:t>Valbelle</w:t>
      </w:r>
      <w:proofErr w:type="spellEnd"/>
      <w:r>
        <w:t xml:space="preserve">, 2000:33). İslam dünyasının en önemli düşünürlerinden İbn-i Haldun kent kavramını Mukaddime eserinde “topluluklar halinde bir araya toplanarak dünyayı imarın en son basamağı” olarak tanımlamıştır (Balcı, 2023:22).” </w:t>
      </w:r>
      <w:proofErr w:type="spellStart"/>
      <w:r>
        <w:t>Sjoberg</w:t>
      </w:r>
      <w:proofErr w:type="spellEnd"/>
      <w:r>
        <w:t xml:space="preserve"> odak noktasına teknolojiyi alarak kentleri sanayi öncesi, sanayileşmekte olan ve sanayileşme sonrası kentler olmak üzere üçlü bir sınıflandırma yapmıştır. Marx ise merkeze ekonomiyi alarak “toplumları ilkel, köleci, feodal, kapitalist ve sosyalist olmak üzere beşe ayırmıştır “. </w:t>
      </w:r>
      <w:proofErr w:type="spellStart"/>
      <w:r>
        <w:t>Pirenne</w:t>
      </w:r>
      <w:proofErr w:type="spellEnd"/>
      <w:r>
        <w:t xml:space="preserve"> de kenti Marx’a benzer şekilde </w:t>
      </w:r>
      <w:r>
        <w:lastRenderedPageBreak/>
        <w:t xml:space="preserve">ekonomik gelişmeler doğrultusunda örneğinin burjuvazi ve tüccar sınıfının ortaya çıkışı ile ifade etmiştir. Kenti belli unsurlardan oluşan mekanlar olarak tanımlayan Weber, bu unsurları pazar ve kale olarak açıklamıştır. </w:t>
      </w:r>
      <w:proofErr w:type="spellStart"/>
      <w:r>
        <w:t>Tönnies</w:t>
      </w:r>
      <w:proofErr w:type="spellEnd"/>
      <w:r>
        <w:t xml:space="preserve"> ise kenti toplumsal ilişkiler çerçevesinde ele almış ve “insanların birlikte yaşama formlarının farklılaşması ya da esaslı değişime uğramasıyla oluşan, bu farklılaşmaların </w:t>
      </w:r>
      <w:proofErr w:type="gramStart"/>
      <w:r>
        <w:t>mekanı</w:t>
      </w:r>
      <w:proofErr w:type="gramEnd"/>
      <w:r>
        <w:t xml:space="preserve"> olduğu kadar ona katkıda da bulunan kendine özgü bir toplumlaşma olarak tanımlamıştır (Yaylı, 2012:36).</w:t>
      </w:r>
    </w:p>
    <w:p w14:paraId="2CCA8B8B" w14:textId="77777777" w:rsidR="0007621B" w:rsidRDefault="0007621B" w:rsidP="00FA457D">
      <w:pPr>
        <w:jc w:val="both"/>
      </w:pPr>
    </w:p>
    <w:p w14:paraId="7EE7734B" w14:textId="240DD4A0" w:rsidR="00FA457D" w:rsidRDefault="00FA457D" w:rsidP="00FA457D">
      <w:pPr>
        <w:jc w:val="both"/>
      </w:pPr>
      <w:r>
        <w:t xml:space="preserve">Farklı tanımlardan yola çıkarak genel bir tabirle “kentler, toplumların evriminde içkin olan çelişkilerin, çatışma ve uzlaşmaların siyasal, tarihsel ve sosyolojik olarak biriktiği toplumsal ve mekânsal birimler </w:t>
      </w:r>
      <w:proofErr w:type="gramStart"/>
      <w:r>
        <w:t>“ olarak</w:t>
      </w:r>
      <w:proofErr w:type="gramEnd"/>
      <w:r>
        <w:t xml:space="preserve"> ifade edilebilir (Özdemir, 2010:45). Kentler bu birikimi sahip olduğu dinamik, iletken ve devingen yapısı gereği oluşturmaktadır. Tarihsel süreç içindeki gelişim ve değişimleri incelendiğinde kentlerin kurulduğu her dönemin kendine özgü şartlarından, o dönemki evrensel olay ve olgulardan doğrudan ve derinden etkilendiğini görmek mümkündür. İlk kentlerin ortaya çıkışı tarihi ve konumu konusunda birçok fikir ve tartışma mevcuttur. Her araştırmacı ilk kenti ortaya çıkaran sebeplerin farklı olduğunu ve farklı dönemlerde ortaya çıktığını söylese de en genel kabul gören görüş ilk kentlerin M.Ö 3000 yıllarında Mısır, Mezopotamya ve İndus vadisinde kurulduğudur. Antik Yunan döneminde kentler ise çevresindeki kırsal alanların sosyal, siyasal, ekonomik ve kültürel merkezi durumdadır. Polis ismi verilen Antik Yunan kentleri “sosyal, siyasal, ekonomik ve askeri birliği ayrı, bağımsız hukuki ve siyasi düzene sahip bir yerleşim alanıydı”. </w:t>
      </w:r>
      <w:proofErr w:type="gramStart"/>
      <w:r>
        <w:t>Ortaçağ</w:t>
      </w:r>
      <w:proofErr w:type="gramEnd"/>
      <w:r>
        <w:t xml:space="preserve"> döneminde kentler incelendiğinde ise kentleri etkileyen en önemli olayın bu dönem ticaretin hızla gelişmesi olmuştur. Özellikle Avrupa’da büyük bir hızla gelişen ticaret, kente göçün artmasını ve kent nüfusunun artmasına neden olmuştur. Ayrıca tüccarların ticaret yapmak amacıyla çıktıkları yolculuklar sırasında dinlenmek amacıyla kale ve dini yapılar çevresinde konaklamış ve zamanla buraların yeni yerleşim yerleri olmasını sağlayarak kente zenginlikler katmıştır. Ticaret kanunlarla düzenlenip korundukça gelişmiş, ticaret geliştikçe de kentler daha da kalabalıklaşmış ve büyümüştür. Sanayi Devrimi ile başlayan sanayileşme süreci ile kentleşme kavramı ortaya çıkmış ve “en önemli demokratik ve toplumsal hareketlilik odağı olmaya başlamıştır”. Tüm dünyayı etkisi altına alan, büyük bir değişim dönüşümün başlatıcısı olan küreselleşme de kentler üzerinde oldukça etkili olmuştur. Bu dönem kentleri asıl tanımlayan şey sanayi değil, hizmet sektörü üzerinden yenir tanımlamaya sahip olmuştur. Rekabeti üst düzeye çıkaran kentleşme ile kentler, sosyal, kültürel, ekonomik yapılanmalarını sürekli iyileştirip güçlendirerek bu yönleriyle ön plana çıkmışlardır (Yılmaz ve Çitçi, 2011:258).</w:t>
      </w:r>
    </w:p>
    <w:p w14:paraId="5A04A523" w14:textId="77777777" w:rsidR="0007621B" w:rsidRDefault="0007621B" w:rsidP="00FA457D">
      <w:pPr>
        <w:jc w:val="both"/>
      </w:pPr>
    </w:p>
    <w:p w14:paraId="103EFA90" w14:textId="77777777" w:rsidR="00FA457D" w:rsidRDefault="00FA457D" w:rsidP="00FA457D">
      <w:pPr>
        <w:jc w:val="both"/>
        <w:rPr>
          <w:b/>
        </w:rPr>
      </w:pPr>
      <w:r>
        <w:rPr>
          <w:b/>
        </w:rPr>
        <w:t>1.Akıllı Kent</w:t>
      </w:r>
    </w:p>
    <w:p w14:paraId="5B1F1298" w14:textId="77777777" w:rsidR="00FA457D" w:rsidRDefault="00FA457D" w:rsidP="00FA457D">
      <w:pPr>
        <w:jc w:val="both"/>
      </w:pPr>
      <w:r>
        <w:t>Kent kavramının tarihsel süreç içerisinde geçirdiği gelişim ve değişim gözlemlendiğinde görülmektedir ki kentler dinamik, iletken ve devingen yapısı gereği içinde doğduğu dönemin mevcut şartlarından, olaylardan ve olgularda derinden etkilenmiştir. Günümüzde de kentlerin değişim ve dönüşüm süreci içinde olduğu bu değişimi başlatan unsurun ise bilgi iletişim teknolojilerinin gelişmesi olduğu söylenebilir. Neredeyse tüm dünyayı etkisi altına bu gelişme ile bireylerin gündelik yaşamları, alışkanlıkları, algıları, ihtiyaçları ve beklentileri de değişmiştir. Kentler de bu değişim karşısında mevcutta sahip olduğu geleneksel yöntemler ve araçlar yetersiz kalmaya başlamış ve bu durum da yeni kent formları ortaya çıkmıştır. Bu yeni kent formlarından biri de akıllı kent kavramıdır.</w:t>
      </w:r>
    </w:p>
    <w:p w14:paraId="4CB168F3" w14:textId="77777777" w:rsidR="0007621B" w:rsidRDefault="0007621B" w:rsidP="00FA457D">
      <w:pPr>
        <w:jc w:val="both"/>
      </w:pPr>
    </w:p>
    <w:p w14:paraId="52193878" w14:textId="77777777" w:rsidR="00FA457D" w:rsidRDefault="00FA457D" w:rsidP="00FA457D">
      <w:pPr>
        <w:jc w:val="both"/>
      </w:pPr>
      <w:r>
        <w:t xml:space="preserve">Sosyal bilimler disiplinine ait birçok kavram gibi akıllı kent kavramı üzerinde de uzlaşım sağlanmış tek bir tanım bulunmamaktadır. Her yazar, düşünür, kurum ve kuruluşlar farklı odak </w:t>
      </w:r>
      <w:r>
        <w:lastRenderedPageBreak/>
        <w:t xml:space="preserve">noktaları ile farklı tanımlar yapmıştır. Kimi tanımlar eğitim, öğrenme ve bilgiye vurgu yapılırken kimi tanımlarda kentsel gelişimin kurumsal faktörlerini vurgulayan tanımlar yapılmaktadır. Bazı tanımlarda ise </w:t>
      </w:r>
      <w:proofErr w:type="spellStart"/>
      <w:r>
        <w:t>Dameri’nin</w:t>
      </w:r>
      <w:proofErr w:type="spellEnd"/>
      <w:r>
        <w:t xml:space="preserve"> yaptığı tanımda olduğu gibi bilgi iletişim teknolojileri odaklı tanımlar yapılmaktadır. </w:t>
      </w:r>
      <w:proofErr w:type="spellStart"/>
      <w:r>
        <w:t>Dameri</w:t>
      </w:r>
      <w:proofErr w:type="spellEnd"/>
      <w:r>
        <w:t xml:space="preserve"> akıllı kenti, iyi tanımlanmış bir coğrafi alanda gelişmiş teknolojilerin kullanıldığı, lojistik, enerji üretimi vb. alanlarda fayda yaratmak için vatandaşlarla </w:t>
      </w:r>
      <w:proofErr w:type="gramStart"/>
      <w:r>
        <w:t>işbirliği</w:t>
      </w:r>
      <w:proofErr w:type="gramEnd"/>
      <w:r>
        <w:t xml:space="preserve"> yapıldığı kent olarak tanımlamaktadır. Diğer odak noktaları kapsamında ise akıllı kentlerin, kent sakinlerinin bilgi, kültür ve yaşamı paylaşan sakinler olması konusunda motive edeceğini, yüksek eğitimli yetişkin nüfusun artacağını, kentin ekonomik yaşam koşullarını geliştirmek ve rekabet gücünü artıracağını, teknoloji araçlığıyla sürdürülebilirliği verimli bir şekilde gerçekleştireceğini, tüm paydaşlardan oluşan bir ortaklık oluşturulacağı ve tüm faaliyetlerin temel olarak yaşam kalitesinin artırılması hedefiyle gerçekleştirileceğini belirtmektedir (</w:t>
      </w:r>
      <w:proofErr w:type="spellStart"/>
      <w:r>
        <w:t>Kozlowski</w:t>
      </w:r>
      <w:proofErr w:type="spellEnd"/>
      <w:r>
        <w:t xml:space="preserve"> ve </w:t>
      </w:r>
      <w:proofErr w:type="spellStart"/>
      <w:r>
        <w:t>Suwar</w:t>
      </w:r>
      <w:proofErr w:type="spellEnd"/>
      <w:r>
        <w:t xml:space="preserve">, 2021:511). Ayrıca akıllı kent konusunda çalışmalar yapan Harrison ve arkadaşları akıllı kenti “fiziksel altyapısını, bilgi teknolojileri (BT) altyapısını, sosyal altyapısını ve iş altyapısını birleştirerek, kentin kolektif zekâsını güçlendiren kentlerdir”  şeklinde tanımlarken </w:t>
      </w:r>
      <w:proofErr w:type="spellStart"/>
      <w:r>
        <w:t>Hall</w:t>
      </w:r>
      <w:proofErr w:type="spellEnd"/>
      <w:r>
        <w:t xml:space="preserve"> ve arkadaşları “güvenli, çevre dostu yeşil ve verimli hale getirilen, kaynaklarını en iyi şekilde kullanan, güç, su, ulaşım vb. tüm altyapı sistemleri ve yapılarını, izleyebilen ve gerektiğinde kendi kendini tamir edebilen geleceğin kentsel merkezleridir” şeklinde tanımlanmıştır (Balcı ve Akçakaya, 20232:1230-1231).</w:t>
      </w:r>
    </w:p>
    <w:p w14:paraId="566E52BC" w14:textId="77777777" w:rsidR="0007621B" w:rsidRDefault="0007621B" w:rsidP="00FA457D">
      <w:pPr>
        <w:jc w:val="both"/>
      </w:pPr>
    </w:p>
    <w:p w14:paraId="2C9838F9" w14:textId="77777777" w:rsidR="00FA457D" w:rsidRDefault="00FA457D" w:rsidP="00FA457D">
      <w:pPr>
        <w:jc w:val="both"/>
      </w:pPr>
      <w:r>
        <w:t xml:space="preserve">Yapılan farklı tanımlardan da görülmektedir akıllı kent kavramının ulaşmak istediği belli hedefler, meydana getirmek istediği uygulamalar, projeler bulunmaktadır. Hedeflerine ulaşmak ve sahip olduğu fonksiyonları yerine getirmek için doğal bir şekilde ilişkili olduğu ilgili bileşenlerine gereksinim duymaktadır. Literatürde bu bileşenler ile ilgili bazı teoriler ve çalışmalar bulunsa da içlerinde en yaygın olan ve en genel kabul göreni Cohen’in Akıllı Şehir Çarkı (Smart </w:t>
      </w:r>
      <w:proofErr w:type="spellStart"/>
      <w:r>
        <w:t>Cities</w:t>
      </w:r>
      <w:proofErr w:type="spellEnd"/>
      <w:r>
        <w:t xml:space="preserve"> Wheel) ismini verdiği modeldir. Bu modele göre akıllı kentin altı temel bileşeni vardır. Bunlar: akıllı ekonomi, akıllı çevre, akıllı yönetişim, akıllı mobilite, akıllı vatandaş ve akıllı yaşamdır. Bu bileşenlerin kentlerin akıllı hale gelmesi sürecinde geliştirilecek akıllı uygulamaların temel alanları olup bu alanlar ile ilgili temel kavram ve unsurlar şu şekildedir:</w:t>
      </w:r>
    </w:p>
    <w:p w14:paraId="62CC18C4" w14:textId="77777777" w:rsidR="008003D6" w:rsidRDefault="008003D6" w:rsidP="00FA457D">
      <w:pPr>
        <w:jc w:val="both"/>
      </w:pPr>
    </w:p>
    <w:p w14:paraId="66CE7914" w14:textId="77777777" w:rsidR="00FA457D" w:rsidRDefault="00FA457D" w:rsidP="00FA457D">
      <w:pPr>
        <w:jc w:val="both"/>
      </w:pPr>
      <w:r>
        <w:t>“Akıllı Ekonomi: Yenilikçi ve girişimci ruh, iş piyasasında esneklik, uluslararası piyasalara entegrasyon ve dönüşüm kabiliyeti.</w:t>
      </w:r>
    </w:p>
    <w:p w14:paraId="65BB05B3" w14:textId="77777777" w:rsidR="008003D6" w:rsidRDefault="008003D6" w:rsidP="00FA457D">
      <w:pPr>
        <w:jc w:val="both"/>
      </w:pPr>
    </w:p>
    <w:p w14:paraId="1A07DF31" w14:textId="6C250E6F" w:rsidR="00FA457D" w:rsidRDefault="00FA457D" w:rsidP="00FA457D">
      <w:pPr>
        <w:jc w:val="both"/>
      </w:pPr>
      <w:r>
        <w:t xml:space="preserve">Akıllı Hareketlilik: Yerel ve yerel ötesi erişebilirlik, </w:t>
      </w:r>
      <w:proofErr w:type="spellStart"/>
      <w:r>
        <w:t>BİT’lerin</w:t>
      </w:r>
      <w:proofErr w:type="spellEnd"/>
      <w:r>
        <w:t>, modern, sürdürülebilir ve güvenli ulaşım sistemlerinin varlığı.</w:t>
      </w:r>
    </w:p>
    <w:p w14:paraId="0E870732" w14:textId="77777777" w:rsidR="008003D6" w:rsidRDefault="008003D6" w:rsidP="00FA457D">
      <w:pPr>
        <w:jc w:val="both"/>
      </w:pPr>
    </w:p>
    <w:p w14:paraId="3B0A15FF" w14:textId="64A7BC45" w:rsidR="00FA457D" w:rsidRDefault="00FA457D" w:rsidP="00FA457D">
      <w:pPr>
        <w:jc w:val="both"/>
      </w:pPr>
      <w:r>
        <w:t>Akıllı Yönetişim: Karar alma süreçlerinde katılım, yönetişim sistemlerinde şeffaflık, kamu hizmetlerinin varlığı ve erişilebilirlik, siyasal stratejilerin kalitesi.</w:t>
      </w:r>
    </w:p>
    <w:p w14:paraId="440D18F0" w14:textId="77777777" w:rsidR="008003D6" w:rsidRDefault="008003D6" w:rsidP="00FA457D">
      <w:pPr>
        <w:jc w:val="both"/>
      </w:pPr>
    </w:p>
    <w:p w14:paraId="0CFA9E26" w14:textId="11EE9E54" w:rsidR="00FA457D" w:rsidRDefault="00FA457D" w:rsidP="00FA457D">
      <w:pPr>
        <w:jc w:val="both"/>
      </w:pPr>
      <w:r>
        <w:t>Akıllı Çevre: Tabii çevre şartlarının çekiciliği, kirliliğin olmaması ve kaynakların sürdürülebilir yönetimi.</w:t>
      </w:r>
    </w:p>
    <w:p w14:paraId="3A9EF0ED" w14:textId="77777777" w:rsidR="008003D6" w:rsidRDefault="008003D6" w:rsidP="00FA457D">
      <w:pPr>
        <w:jc w:val="both"/>
      </w:pPr>
    </w:p>
    <w:p w14:paraId="0591C85D" w14:textId="0A3CA847" w:rsidR="00FA457D" w:rsidRDefault="00FA457D" w:rsidP="00FA457D">
      <w:pPr>
        <w:jc w:val="both"/>
      </w:pPr>
      <w:r>
        <w:t xml:space="preserve">Akıllı Yaşam: Kültür ve eğitim hizmetlerinin varlığı açısından istenilen ve ölçülen </w:t>
      </w:r>
      <w:proofErr w:type="gramStart"/>
      <w:r>
        <w:t>yaşam  standardı</w:t>
      </w:r>
      <w:proofErr w:type="gramEnd"/>
      <w:r>
        <w:t>, dijital hizmetlerin varlığı ve erişilebilirliği, turistik yerler, sosyal uyumu, sağlıklı çevre, kişi ve konut güvenliği.</w:t>
      </w:r>
    </w:p>
    <w:p w14:paraId="13F32B3F" w14:textId="77777777" w:rsidR="008003D6" w:rsidRDefault="008003D6" w:rsidP="00FA457D">
      <w:pPr>
        <w:jc w:val="both"/>
      </w:pPr>
    </w:p>
    <w:p w14:paraId="44C03FDF" w14:textId="77777777" w:rsidR="00FA457D" w:rsidRDefault="00FA457D" w:rsidP="00FA457D">
      <w:pPr>
        <w:jc w:val="both"/>
      </w:pPr>
      <w:r>
        <w:lastRenderedPageBreak/>
        <w:t xml:space="preserve">Akıllı Vatandaş: İnsani ve sosyal sermayenin yeterlilik ve kalite düzeyi, esneklik, </w:t>
      </w:r>
      <w:proofErr w:type="gramStart"/>
      <w:r>
        <w:t>yaratıcılık,  hoşgörü</w:t>
      </w:r>
      <w:proofErr w:type="gramEnd"/>
      <w:r>
        <w:t>, kozmopolitlik ve kamusal yaşama katılım“. (Uçar, vd., 2017).</w:t>
      </w:r>
    </w:p>
    <w:p w14:paraId="03404068" w14:textId="77777777" w:rsidR="008003D6" w:rsidRDefault="008003D6" w:rsidP="00FA457D">
      <w:pPr>
        <w:jc w:val="both"/>
      </w:pPr>
    </w:p>
    <w:p w14:paraId="1E5F2EAC" w14:textId="54106244" w:rsidR="00FA457D" w:rsidRDefault="00FA457D" w:rsidP="00FA457D">
      <w:pPr>
        <w:jc w:val="both"/>
      </w:pPr>
      <w:r>
        <w:t>Akıllı kentlerde akıllı uygulamaların geliştirileceği alanlar genel olarak bu altı alan olarak belirtilirken burada akıllı uygulamalar geliştirmek için bilgi iletişim teknolojisi araçlarına ihtiyaç duyulmaktadır. Bunlardan bazıları mobil cihazlar, dijital platformlar, nesnelerin interneti, büyük veri, açık veri ve bulut bilişimdir.</w:t>
      </w:r>
    </w:p>
    <w:p w14:paraId="63F0FA22" w14:textId="77777777" w:rsidR="008003D6" w:rsidRDefault="008003D6" w:rsidP="00FA457D">
      <w:pPr>
        <w:jc w:val="both"/>
      </w:pPr>
    </w:p>
    <w:p w14:paraId="448E3C19" w14:textId="77777777" w:rsidR="00FA457D" w:rsidRDefault="00FA457D" w:rsidP="00FA457D">
      <w:pPr>
        <w:jc w:val="both"/>
      </w:pPr>
      <w:r>
        <w:t>Mobil Cihazlar: Bilgisayarlar, tabletler, akıllı telefonlar, kiosklar, akıllı sayaçlar ve internet merkezleri gibi cihazlar ve platformlar birer mobil cihazdır. Bu mobil cihazlar akıllı kentlerin kent sakinlerinin ihtiyaç ve taleplerini karşılayacak olan akıllı uygulamaların birçok aşamasında kullanılmaktadır. Akıllı uygulamaların geliştirilmesi ve kullanılması gibi birçok aşamada yer alması mobil cihazların önemini oldukça artırmaktadır. Ayrıca mobil cihazların bazılarının kişiselleştirilmeye uygun formatta olması kent sakinleri tarafından daha kolay kullanılması ve uygulamaların yaygınlaştırılması konusunda da önemli katkılarda bulunmaktadır (</w:t>
      </w:r>
      <w:proofErr w:type="spellStart"/>
      <w:r>
        <w:t>Örselli</w:t>
      </w:r>
      <w:proofErr w:type="spellEnd"/>
      <w:r>
        <w:t xml:space="preserve"> ve Akbay, 2019:23).</w:t>
      </w:r>
    </w:p>
    <w:p w14:paraId="02343300" w14:textId="77777777" w:rsidR="008003D6" w:rsidRDefault="008003D6" w:rsidP="00FA457D">
      <w:pPr>
        <w:jc w:val="both"/>
      </w:pPr>
    </w:p>
    <w:p w14:paraId="1FA46D17" w14:textId="77777777" w:rsidR="00FA457D" w:rsidRDefault="00FA457D" w:rsidP="00FA457D">
      <w:pPr>
        <w:jc w:val="both"/>
      </w:pPr>
      <w:r>
        <w:t xml:space="preserve">Dijital Platformlar: Gruplar arasındaki etkileşimi kolaylaştırmak için çevrimiçi altyapıyı kullanan iş modelleridir. Bu dijital platformlardan bazıları, sosyal medya kanalları, çevrimiçi pazar yerleri, kitle kaynaklı web siteleri ve uygulamalarıdır. Dijital platformlar, önemli maliyet artışları olmadan büyüyebilir ve işlemleri gerçekleştirebilir yapısı ve sürekli çalışan, saat ve </w:t>
      </w:r>
      <w:proofErr w:type="gramStart"/>
      <w:r>
        <w:t>mekandan</w:t>
      </w:r>
      <w:proofErr w:type="gramEnd"/>
      <w:r>
        <w:t xml:space="preserve"> bağımsız bir erişilebilir yapısı ile kentin akıllı hale gelmesinde gerçek zamanlı etkileşimleri ve işlemleri mümkün kılarak kullanıcı katılımını artırmakta böylelikle dijital platformların işlevselliği de artmaktadır (Gibson, 2024:)</w:t>
      </w:r>
    </w:p>
    <w:p w14:paraId="0C1CCADE" w14:textId="77777777" w:rsidR="0007621B" w:rsidRDefault="0007621B" w:rsidP="00FA457D">
      <w:pPr>
        <w:jc w:val="both"/>
      </w:pPr>
    </w:p>
    <w:p w14:paraId="01F9D550" w14:textId="77777777" w:rsidR="00FA457D" w:rsidRDefault="00FA457D" w:rsidP="00FA457D">
      <w:pPr>
        <w:jc w:val="both"/>
      </w:pPr>
      <w:r>
        <w:t>Nesnelerin İnterneti: “Nesneler, nesneleri birbirine bağlayan iletişim ağları ve nesnelerden nesnelere akan verileri kullanan bilgisayar sistemlerinin” ana bileşeni olduğu nesnelerin interneti, “adreslenebilir nesnelerin kendi aralarında oluşturduğu, dünya çapında yaygın bir ağ ve bu ağdaki nesnelerin belirli bir protokol ile birbirleriyle iletişim içinde olmalarını sağlamaktadır”. Bilgi iletişim teknolojilerinin kullanımının yaygınlaşmasıyla nesneler artık fiziksel nesneler olmaktan çok sayısal nesneler haline gelmiştir. Sayısallaşan ve rakamsal olarak oldukça artan bu nesneler, nesnelerin interneti sayesinde “cihazların bir ağ altyapısı üzerinden uzaktan bağlanmasını, algılanmasını ve kontrol edilmesini sağlayan bir platform sağlar” (Oral ve Çakır, 2017:172)</w:t>
      </w:r>
    </w:p>
    <w:p w14:paraId="41E95919" w14:textId="77777777" w:rsidR="00E25BB1" w:rsidRDefault="00E25BB1" w:rsidP="00FA457D">
      <w:pPr>
        <w:jc w:val="both"/>
      </w:pPr>
    </w:p>
    <w:p w14:paraId="68791C40" w14:textId="77777777" w:rsidR="00FA457D" w:rsidRDefault="00FA457D" w:rsidP="00FA457D">
      <w:pPr>
        <w:jc w:val="both"/>
      </w:pPr>
      <w:r>
        <w:t>Büyük Veri: “Geleneksel veri tabanı tekniklerinin kullanılması suretiyle işlenmesi mümkün olmayan, farklı hacimlerdeki heterojen veridir ve çeşitli dijital içeriklerden oluşmaktadır. Büyük veri üç ana bileşenden oluşmaktadır. Bunlar çeşitlilik, hız ve hacimdir”. Çeşitlilik bileşeni verilerin birden çok tür ve formatta oluşunu ifade ederken hız bileşeni sürekli hareket halinde olan verinin üretilme hızı ve dolaşım hızının çok yüksek olduğunu ifade eder. Hacim bileşeni ise çok fazla türde ve çok yüksek hızda olan veri boyut olarak da oldukça büyük olmasını ifade eder. Depolanması ve erişilmesi konusunda bazı zorlukları beraberinde getiren büyük veri, bilginin de hammaddesi olarak bilgi iletişim teknolojilerinin vazgeçilmez bir aracı haline gelmiştir (Aktan, 2018:3-5).</w:t>
      </w:r>
    </w:p>
    <w:p w14:paraId="546E4B82" w14:textId="77777777" w:rsidR="00E25BB1" w:rsidRDefault="00E25BB1" w:rsidP="00FA457D">
      <w:pPr>
        <w:jc w:val="both"/>
      </w:pPr>
    </w:p>
    <w:p w14:paraId="093DBA51" w14:textId="7FA550CA" w:rsidR="00FA457D" w:rsidRDefault="00FA457D" w:rsidP="00FA457D">
      <w:pPr>
        <w:jc w:val="both"/>
      </w:pPr>
      <w:r>
        <w:t xml:space="preserve">Açık Veri: “Açık veri genel olarak bir telif hakkı, patent ya da diğer kontrol mekanizmalarına tabi olmaksızın herkes tarafından ücretsiz ve özgürce (hukuki, finansal, teknik engel </w:t>
      </w:r>
      <w:r>
        <w:lastRenderedPageBreak/>
        <w:t>olmaksızın) erişilebilen ve kullanılan veri olarak tanımlanmaktadır. Erişilebilir ve kısıtsız kullanılabilir olma, tekrar kullanılabilir ve dağıtılabilir olma açık verinin temel özellikleri olup, verinin açık veri tanımında değerlendirilebilmesi için; ücretsiz ve kısıtsız olma, her zaman ve her yerden erişim, insan tarafından anlaşılabilir ve makine tarafından okunabilir olma ve kullanıma uygun formata sahip olma şartlarını sağlaması gerekmektedir.” (</w:t>
      </w:r>
      <w:hyperlink r:id="rId427" w:history="1">
        <w:r w:rsidR="00E25BB1" w:rsidRPr="00A50B57">
          <w:rPr>
            <w:rStyle w:val="Kpr"/>
          </w:rPr>
          <w:t>https://ulasav.csb.gov.tr/dataset</w:t>
        </w:r>
      </w:hyperlink>
      <w:r>
        <w:t>).</w:t>
      </w:r>
    </w:p>
    <w:p w14:paraId="72A5BC57" w14:textId="77777777" w:rsidR="00E25BB1" w:rsidRDefault="00E25BB1" w:rsidP="00FA457D">
      <w:pPr>
        <w:jc w:val="both"/>
      </w:pPr>
    </w:p>
    <w:p w14:paraId="20217198" w14:textId="77777777" w:rsidR="00FA457D" w:rsidRDefault="00FA457D" w:rsidP="00FA457D">
      <w:pPr>
        <w:jc w:val="both"/>
      </w:pPr>
      <w:r>
        <w:t>Bulut Bilişim Teknolojisi: Tüm verilerin, bilgilerin, belgelerin, yazılımların, uygulamaların internet bulutu üzerinde yer alan sanal bir depoda depolanmasını ve internet üzerinden ulaşılmasını sağlayan bir teknolojidir. Bulut bilişim, bilgi iletişim teknolojilerinin gelişmesine paralel olarak artan ve neredeyse sınırsız sayıdaki verinin kolay ve en az maliyetle depolanmasına sağlamaktadır. Genel olarak “veri arşivleme, yedekleme ve web ve mobil uygulamalar için kullanılmaktadır” (Çelik, 2021:440).</w:t>
      </w:r>
    </w:p>
    <w:p w14:paraId="76EA83E0" w14:textId="77777777" w:rsidR="00E25BB1" w:rsidRDefault="00E25BB1" w:rsidP="00FA457D">
      <w:pPr>
        <w:jc w:val="both"/>
      </w:pPr>
    </w:p>
    <w:p w14:paraId="3E0FA897" w14:textId="77777777" w:rsidR="00FA457D" w:rsidRDefault="00FA457D" w:rsidP="00FA457D">
      <w:pPr>
        <w:jc w:val="both"/>
      </w:pPr>
      <w:r>
        <w:t>Kentler akıllı kent olma yolunda bilgi iletişim teknolojileri araçlarına kullanarak geliştirdiği ve uyguladığı akıllı uygulamalar ile kentsel hizmetlerin verimli ve etkin hale gelmesini, kenti diğer kentlerle rekabet edebilir hale getirmeyi, kent sakinlerinin yaşam kalitesini artırarak konforlu bir yaşam sunmayı, karar alma süreçlerine kent sakinlerinin aktif bir şekilde katılımının sağlanmasını ve kentsel sorunlara yerinde, doğru ve hızlı çözümler getirmeyi amaçlamaktadır (Varol, 2017:45-46).</w:t>
      </w:r>
    </w:p>
    <w:p w14:paraId="2497B8FC" w14:textId="77777777" w:rsidR="008003D6" w:rsidRDefault="008003D6" w:rsidP="00FA457D">
      <w:pPr>
        <w:jc w:val="both"/>
      </w:pPr>
    </w:p>
    <w:p w14:paraId="79C3708F" w14:textId="77777777" w:rsidR="00FA457D" w:rsidRDefault="00FA457D" w:rsidP="00FA457D">
      <w:pPr>
        <w:jc w:val="both"/>
      </w:pPr>
      <w:r>
        <w:rPr>
          <w:b/>
        </w:rPr>
        <w:t xml:space="preserve">2.Living </w:t>
      </w:r>
      <w:proofErr w:type="spellStart"/>
      <w:r>
        <w:rPr>
          <w:b/>
        </w:rPr>
        <w:t>Lab</w:t>
      </w:r>
      <w:proofErr w:type="spellEnd"/>
      <w:r>
        <w:rPr>
          <w:b/>
        </w:rPr>
        <w:t xml:space="preserve"> Uygulaması</w:t>
      </w:r>
    </w:p>
    <w:p w14:paraId="59C217A2" w14:textId="77777777" w:rsidR="00FA457D" w:rsidRDefault="00FA457D" w:rsidP="00FA457D">
      <w:pPr>
        <w:jc w:val="both"/>
      </w:pPr>
      <w:r>
        <w:t xml:space="preserve">Türkçe karşılığı yaşayan laboratuvar olan </w:t>
      </w:r>
      <w:proofErr w:type="spellStart"/>
      <w:r>
        <w:t>living</w:t>
      </w:r>
      <w:proofErr w:type="spellEnd"/>
      <w:r>
        <w:t xml:space="preserve"> </w:t>
      </w:r>
      <w:proofErr w:type="spellStart"/>
      <w:r>
        <w:t>lab</w:t>
      </w:r>
      <w:proofErr w:type="spellEnd"/>
      <w:r>
        <w:t xml:space="preserve"> kavramı ilk olarak William J. Mitchell tarafından ortaya çıkmıştır. Genel bir tanım olarak ise inovasyon araştırmalarını gerçek ortama aktarılmış yer olan </w:t>
      </w:r>
      <w:proofErr w:type="spellStart"/>
      <w:r>
        <w:t>living</w:t>
      </w:r>
      <w:proofErr w:type="spellEnd"/>
      <w:r>
        <w:t xml:space="preserve"> </w:t>
      </w:r>
      <w:proofErr w:type="spellStart"/>
      <w:r>
        <w:t>lab</w:t>
      </w:r>
      <w:proofErr w:type="spellEnd"/>
      <w:r>
        <w:t xml:space="preserve">, araştırmacıların vatandaşları gözlemleyerek ve test ederek ilham buldukları geliştirme ortamları hipotezlerini deneyler yoluyla ortaya koymasıdır. Dünyadaki tüm yaşayan laboratuvarları koordine eden kuruluş olan </w:t>
      </w:r>
      <w:proofErr w:type="spellStart"/>
      <w:r>
        <w:t>European</w:t>
      </w:r>
      <w:proofErr w:type="spellEnd"/>
      <w:r>
        <w:t xml:space="preserve"> Network of </w:t>
      </w:r>
      <w:proofErr w:type="spellStart"/>
      <w:r>
        <w:t>Living</w:t>
      </w:r>
      <w:proofErr w:type="spellEnd"/>
      <w:r>
        <w:t xml:space="preserve"> </w:t>
      </w:r>
      <w:proofErr w:type="spellStart"/>
      <w:r>
        <w:t>Labs</w:t>
      </w:r>
      <w:proofErr w:type="spellEnd"/>
      <w:r>
        <w:t xml:space="preserve"> (</w:t>
      </w:r>
      <w:proofErr w:type="spellStart"/>
      <w:r>
        <w:t>ENoLL</w:t>
      </w:r>
      <w:proofErr w:type="spellEnd"/>
      <w:r>
        <w:t xml:space="preserve">), kullanıcı odaklı inovasyon ekosistemleri yani </w:t>
      </w:r>
      <w:proofErr w:type="spellStart"/>
      <w:r>
        <w:t>Living</w:t>
      </w:r>
      <w:proofErr w:type="spellEnd"/>
      <w:r>
        <w:t xml:space="preserve"> </w:t>
      </w:r>
      <w:proofErr w:type="spellStart"/>
      <w:r>
        <w:t>Lab</w:t>
      </w:r>
      <w:proofErr w:type="spellEnd"/>
      <w:r>
        <w:t xml:space="preserve"> uygulamasını küresel olarak teşvik etmeyi ve geliştirmeyi amaçlayan, </w:t>
      </w:r>
      <w:proofErr w:type="gramStart"/>
      <w:r>
        <w:t>kar</w:t>
      </w:r>
      <w:proofErr w:type="gramEnd"/>
      <w:r>
        <w:t xml:space="preserve"> amacı gütmeyen uluslararası bir dernektir. </w:t>
      </w:r>
      <w:proofErr w:type="spellStart"/>
      <w:r>
        <w:t>ENoLL</w:t>
      </w:r>
      <w:proofErr w:type="spellEnd"/>
      <w:r>
        <w:t xml:space="preserve">, üyeleri arasında bilgi alışverişini, ortak eylemleri ve proje ortaklıklarını kolaylaştırmaya, AB politikalarını savunmaya ve teşvik etmeye, </w:t>
      </w:r>
      <w:proofErr w:type="spellStart"/>
      <w:r>
        <w:t>Living</w:t>
      </w:r>
      <w:proofErr w:type="spellEnd"/>
      <w:r>
        <w:t xml:space="preserve"> </w:t>
      </w:r>
      <w:proofErr w:type="spellStart"/>
      <w:r>
        <w:t>Lab</w:t>
      </w:r>
      <w:proofErr w:type="spellEnd"/>
      <w:r>
        <w:t xml:space="preserve"> uygulamasını teşvik etmeye ve dünya çapında uygulanmasını sağlamaya odaklanmaktadır. </w:t>
      </w:r>
      <w:proofErr w:type="spellStart"/>
      <w:r>
        <w:t>ENoLL</w:t>
      </w:r>
      <w:proofErr w:type="spellEnd"/>
      <w:r>
        <w:t xml:space="preserve">, </w:t>
      </w:r>
      <w:proofErr w:type="spellStart"/>
      <w:r>
        <w:t>living</w:t>
      </w:r>
      <w:proofErr w:type="spellEnd"/>
      <w:r>
        <w:t xml:space="preserve"> </w:t>
      </w:r>
      <w:proofErr w:type="spellStart"/>
      <w:r>
        <w:t>lab</w:t>
      </w:r>
      <w:proofErr w:type="spellEnd"/>
      <w:r>
        <w:t xml:space="preserve"> uygulamasını şu şekilde tanımlamaktadır: “vatandaş odaklı, açık inovasyon ekosistemleridir.  </w:t>
      </w:r>
      <w:proofErr w:type="gramStart"/>
      <w:r>
        <w:t>vatandaşlar</w:t>
      </w:r>
      <w:proofErr w:type="gramEnd"/>
      <w:r>
        <w:t xml:space="preserve"> ve kurumlarla birlikte gelişme yaklaşımı araştırma ve yenilik süreçlerini toplumla bütünleştirmek, yeni ürünler geliştirmek, açık inovasyonu, işbirliğine dayalı inovasyonu teşvik eden çözümler ile hayatı kolaylaştırmayı hedeflemektedir”. Avrupa Komisyonu ise vatandaşlar, hükümet ve iş dünyasının aktif olarak ortaklığıyla araştırma ve inovasyon süreçlerine katılımı içeren vatandaş odaklı açık inovasyon ekosistemleridir (Arslan, 2022:349-350). Bir başka tanımda ise </w:t>
      </w:r>
      <w:proofErr w:type="spellStart"/>
      <w:r>
        <w:t>living</w:t>
      </w:r>
      <w:proofErr w:type="spellEnd"/>
      <w:r>
        <w:t xml:space="preserve"> </w:t>
      </w:r>
      <w:proofErr w:type="spellStart"/>
      <w:r>
        <w:t>lab</w:t>
      </w:r>
      <w:proofErr w:type="spellEnd"/>
      <w:r>
        <w:t xml:space="preserve">, “inovasyon projeleri yürütmek üzere açık ve kullanıcı ilkelerini takip eden, yenilik ve gerçek hayattaki deneylere odaklanan çok paydaşlı bir kuruluştur” şeklinde tanımlanmıştır. Yerel zorlukları ve ihtiyaçları ele alabilecek, yeni olasılıklar keşfedecek, değişime esnek ve duyarlı, teknik becerilerin ve deneyimlerin paylaşıldığı yaratıcı alanlar olarak da başka bir şekilde tanımlanmıştır. Tanımlardan anlaşılmaktadır ki </w:t>
      </w:r>
      <w:proofErr w:type="spellStart"/>
      <w:r>
        <w:t>living</w:t>
      </w:r>
      <w:proofErr w:type="spellEnd"/>
      <w:r>
        <w:t xml:space="preserve"> </w:t>
      </w:r>
      <w:proofErr w:type="spellStart"/>
      <w:r>
        <w:t>lab</w:t>
      </w:r>
      <w:proofErr w:type="spellEnd"/>
      <w:r>
        <w:t xml:space="preserve"> uygulaması gerçek yaşam ortamlarında kentteki paydaşların bir araya gelerek sorunlara, ihtiyaç ve isteklere gelişen teknolojinin araçlarıyla karşılık vermeyi, kente dair birçok şeyi kentin paydaşlarını aktif bir şekilde katılımıyla yeni ürün ve hizmetlerin ortaya çıkmasına aracılık eden bir uygulamadır (Arslan, 2022:349-350). Akıllı kentlerin önemli bir fonksiyonu olan </w:t>
      </w:r>
      <w:proofErr w:type="spellStart"/>
      <w:r>
        <w:t>living</w:t>
      </w:r>
      <w:proofErr w:type="spellEnd"/>
      <w:r>
        <w:t xml:space="preserve"> </w:t>
      </w:r>
      <w:proofErr w:type="spellStart"/>
      <w:r>
        <w:t>lab</w:t>
      </w:r>
      <w:proofErr w:type="spellEnd"/>
      <w:r>
        <w:t xml:space="preserve">, </w:t>
      </w:r>
      <w:r>
        <w:lastRenderedPageBreak/>
        <w:t>akıllı kentlerin başlıca hedeflerinden bir olan kentlerde yaşam kalitesinin artırılmasını ve kıt kaynakların verimli, etkili ve sürdürülebilir bir şekilde kullanımını sağlamayı hedeflemektedir (Franz, 2015: 53).</w:t>
      </w:r>
    </w:p>
    <w:p w14:paraId="20E4991A" w14:textId="77777777" w:rsidR="00E25BB1" w:rsidRDefault="00E25BB1" w:rsidP="00FA457D">
      <w:pPr>
        <w:jc w:val="both"/>
      </w:pPr>
    </w:p>
    <w:p w14:paraId="06117B18" w14:textId="77777777" w:rsidR="00FA457D" w:rsidRDefault="00FA457D" w:rsidP="00FA457D">
      <w:pPr>
        <w:jc w:val="both"/>
      </w:pPr>
      <w:r>
        <w:t xml:space="preserve">Tüm dünyayı etkisi altına alan, her gün baş döndürücü bir hızda gelişen ve gerisinde kalmanın artık neredeyse </w:t>
      </w:r>
      <w:proofErr w:type="gramStart"/>
      <w:r>
        <w:t>imkansız</w:t>
      </w:r>
      <w:proofErr w:type="gramEnd"/>
      <w:r>
        <w:t xml:space="preserve"> olduğu bilgi iletişim teknolojilerinin gelişmesi, dinamik ve iletken yapısı gereği değişimin taşıyıcı gücü olan kentleri de oldukça derinden ve doğrudan etkilemektedir. Kent sakinlerinin ihtiyaç ve istekleri, kentlerin sorunları, fiziki yapısı ve kente dair daha birçok unsur ile kentler bir değişim dönüşüm süreci içine girmektedir. Bu süreçte bilgi iletişim teknolojilerini kullanarak yeni bir kent yapısı ortaya konmaktadır. Kentin girdiği bu değişim ve dönüşüm sürecinde özellikle kent paydaşlarının bu sürece aktif bir şekilde dahil olması oldukça önem kazanmıştır. </w:t>
      </w:r>
      <w:proofErr w:type="spellStart"/>
      <w:r>
        <w:t>Living</w:t>
      </w:r>
      <w:proofErr w:type="spellEnd"/>
      <w:r>
        <w:t xml:space="preserve"> </w:t>
      </w:r>
      <w:proofErr w:type="spellStart"/>
      <w:r>
        <w:t>lab</w:t>
      </w:r>
      <w:proofErr w:type="spellEnd"/>
      <w:r>
        <w:t xml:space="preserve"> uygulamasının da sahip olduğu en temel özelliklerden bir olan farklı tarafları bir araya getiren yönetişim yapısı, bu süreçte akıllı kentler için </w:t>
      </w:r>
      <w:proofErr w:type="spellStart"/>
      <w:r>
        <w:t>living</w:t>
      </w:r>
      <w:proofErr w:type="spellEnd"/>
      <w:r>
        <w:t xml:space="preserve"> </w:t>
      </w:r>
      <w:proofErr w:type="spellStart"/>
      <w:r>
        <w:t>lab</w:t>
      </w:r>
      <w:proofErr w:type="spellEnd"/>
      <w:r>
        <w:t xml:space="preserve"> uygulamasına oldukça önem kazandırmıştır. Kenti paylaşan farklı tarafları bir araya getirmesiyle hem aktif katılımı hem de paydaşlar arasında bir ağ oluşmasını sağlamaktadır (Memiş ve Bayraktar, 2020:956). Böylelikle bilgi iletişim teknolojileri kullanılarak paydaşların ihtiyaç ve taleplerine daha kolay, hızlı ve yerinde cevaplar verilmektedir. Akıllı kent kavramının bileşenlerinden bir olan akıllı yönetişim bileşeni için önemli bir işlevi yerine getiren </w:t>
      </w:r>
      <w:proofErr w:type="spellStart"/>
      <w:r>
        <w:t>living</w:t>
      </w:r>
      <w:proofErr w:type="spellEnd"/>
      <w:r>
        <w:t xml:space="preserve"> </w:t>
      </w:r>
      <w:proofErr w:type="spellStart"/>
      <w:r>
        <w:t>lab’in</w:t>
      </w:r>
      <w:proofErr w:type="spellEnd"/>
      <w:r>
        <w:t xml:space="preserve"> en önemli görevi de bir araya gelen kent paydaşları </w:t>
      </w:r>
      <w:proofErr w:type="gramStart"/>
      <w:r>
        <w:t>ile birlikte</w:t>
      </w:r>
      <w:proofErr w:type="gramEnd"/>
      <w:r>
        <w:t xml:space="preserve"> akıllı uygulamalar geliştirmek, yeniliklere ve gelişmelere açık bir akıllı toplum yaratmak, teknoloji tabanlı yeni iş oluşumlarını ve girişimciliği yaymaktır (Öztaş Karlı ve </w:t>
      </w:r>
      <w:proofErr w:type="spellStart"/>
      <w:r>
        <w:t>Açıksöz</w:t>
      </w:r>
      <w:proofErr w:type="spellEnd"/>
      <w:r>
        <w:t xml:space="preserve">, 2021:343). Ayrıca bilgi iletişim teknolojilerinden nesnelerin interneti, sensörler, yapay zekâ, sanal gerçeklik, 3D gibi araçları kullanarak akıllı kentin bir başka bileşeni olan akıllı yaşama da yönelik yeniliklerin geliştirilmesinde oldukça önemli bir rol oynamaktadır. Bu teknolojilerin kullanımından doğan sorunlarda yine </w:t>
      </w:r>
      <w:proofErr w:type="spellStart"/>
      <w:r>
        <w:t>living</w:t>
      </w:r>
      <w:proofErr w:type="spellEnd"/>
      <w:r>
        <w:t xml:space="preserve"> </w:t>
      </w:r>
      <w:proofErr w:type="spellStart"/>
      <w:r>
        <w:t>lab’ler</w:t>
      </w:r>
      <w:proofErr w:type="spellEnd"/>
      <w:r>
        <w:t xml:space="preserve"> yeni çözümler üreterek yardımcı olmaktadır (Memiş ve Bayraktar, 2020:957).</w:t>
      </w:r>
    </w:p>
    <w:p w14:paraId="2AB374CF" w14:textId="77777777" w:rsidR="00E25BB1" w:rsidRDefault="00E25BB1" w:rsidP="00FA457D">
      <w:pPr>
        <w:jc w:val="both"/>
      </w:pPr>
    </w:p>
    <w:p w14:paraId="67AC0801" w14:textId="77777777" w:rsidR="00FA457D" w:rsidRDefault="00FA457D" w:rsidP="00FA457D">
      <w:pPr>
        <w:jc w:val="both"/>
      </w:pPr>
      <w:r>
        <w:t xml:space="preserve">Gerçek yaşam ortamında sunulan fırsatlardan yararlanarak kentte karşılaşılan sorunlara, kent paydaşlarının katılımlarıyla yenilik ve teknoloji ile çözüm bulmak, sorunlara yanıt bulan, ihtiyaç ve taleplerini tespit eden ve karşılayan, yeni ürün ve hizmetlerin ortaya çıkmasına aracılık eden </w:t>
      </w:r>
      <w:proofErr w:type="spellStart"/>
      <w:r>
        <w:t>Living</w:t>
      </w:r>
      <w:proofErr w:type="spellEnd"/>
      <w:r>
        <w:t xml:space="preserve"> </w:t>
      </w:r>
      <w:proofErr w:type="spellStart"/>
      <w:r>
        <w:t>lab</w:t>
      </w:r>
      <w:proofErr w:type="spellEnd"/>
      <w:r>
        <w:t xml:space="preserve">, bazı bileşenlerden oluşmaktadır. Bunlar aktif yurttaş katılımı, gerçek yaşam ortamı, çok paydaşlı katılım, çoklu yöntem yaklaşımıdır. Aktif yurttaş katılımı </w:t>
      </w:r>
      <w:proofErr w:type="spellStart"/>
      <w:r>
        <w:t>living</w:t>
      </w:r>
      <w:proofErr w:type="spellEnd"/>
      <w:r>
        <w:t xml:space="preserve"> </w:t>
      </w:r>
      <w:proofErr w:type="spellStart"/>
      <w:r>
        <w:t>lab’lerin</w:t>
      </w:r>
      <w:proofErr w:type="spellEnd"/>
      <w:r>
        <w:t xml:space="preserve"> ortaya çıkmasında asıl nedenini oluşturmaktadır. </w:t>
      </w:r>
      <w:proofErr w:type="spellStart"/>
      <w:r>
        <w:t>Living</w:t>
      </w:r>
      <w:proofErr w:type="spellEnd"/>
      <w:r>
        <w:t xml:space="preserve"> </w:t>
      </w:r>
      <w:proofErr w:type="spellStart"/>
      <w:r>
        <w:t>lab</w:t>
      </w:r>
      <w:proofErr w:type="spellEnd"/>
      <w:r>
        <w:t xml:space="preserve"> süreçlerinde başarının sağlanması için en temel gereksinim yurttaşların aktif bir şekilde süreçlere katılmasıdır. Diğer bir bileşen ise gerçek yaşam ortamıdır. Türkçe anlamında da olduğu gerçek yaşam ortamlarını ifade eden </w:t>
      </w:r>
      <w:proofErr w:type="spellStart"/>
      <w:r>
        <w:t>living</w:t>
      </w:r>
      <w:proofErr w:type="spellEnd"/>
      <w:r>
        <w:t xml:space="preserve"> </w:t>
      </w:r>
      <w:proofErr w:type="spellStart"/>
      <w:r>
        <w:t>lab’ler</w:t>
      </w:r>
      <w:proofErr w:type="spellEnd"/>
      <w:r>
        <w:t xml:space="preserve">, sağlıklı bir laboratuvar ortamı elde etmek için etkinliklerini gerçek ortamda yapmaktadır. Canlı ve yaşayan bir ortamda veriler ve koşullar hakkında daha ayrıntılı bilgi sahibi olma </w:t>
      </w:r>
      <w:proofErr w:type="gramStart"/>
      <w:r>
        <w:t>imkanı</w:t>
      </w:r>
      <w:proofErr w:type="gramEnd"/>
      <w:r>
        <w:t xml:space="preserve"> varken aynı zamanda nesneleri, üretilen ürünleri, geliştirilen uygulamaları test etme ve deneyimleme imkanı da bulunmaktadır. Çok paydaşlı katılım bileşeni vatandaş katılımının oldukça önemli olduğu </w:t>
      </w:r>
      <w:proofErr w:type="spellStart"/>
      <w:r>
        <w:t>living</w:t>
      </w:r>
      <w:proofErr w:type="spellEnd"/>
      <w:r>
        <w:t xml:space="preserve"> </w:t>
      </w:r>
      <w:proofErr w:type="spellStart"/>
      <w:r>
        <w:t>lab’lerde</w:t>
      </w:r>
      <w:proofErr w:type="spellEnd"/>
      <w:r>
        <w:t xml:space="preserve"> kentteki ilgili tüm paydaşların (özel sektör, kamu sektörü ve akademisyenler) süreçlere dahil edilmesi anlamına gelmektedir. Son bileşen olan çoklu yöntem yaklaşımı ise en uygun metodolojiyi belirleyebilmek için birden fazla ve birbirinden farklı yöntemler kullanabilmektedir. İhtiyaçlarına göre vatandaş merkezli ve birlikte yaratma yöntemler bunlardan bazılardır. Birden çok paydaşın katılımıyla meydana gelen </w:t>
      </w:r>
      <w:proofErr w:type="spellStart"/>
      <w:r>
        <w:t>living</w:t>
      </w:r>
      <w:proofErr w:type="spellEnd"/>
      <w:r>
        <w:t xml:space="preserve"> </w:t>
      </w:r>
      <w:proofErr w:type="spellStart"/>
      <w:r>
        <w:t>lab</w:t>
      </w:r>
      <w:proofErr w:type="spellEnd"/>
      <w:r>
        <w:t xml:space="preserve"> her paydaşın sahip olduğu farklı bakış açılarına istinaden mühendislik, etnografya, psikoloji, sosyolojinin gibi farklı disiplinlere ait yöntemleri ve araçları kullanmaktadır (Arslan, 2022:352).</w:t>
      </w:r>
    </w:p>
    <w:p w14:paraId="07A061FD" w14:textId="77777777" w:rsidR="00E25BB1" w:rsidRDefault="00E25BB1" w:rsidP="00FA457D">
      <w:pPr>
        <w:jc w:val="both"/>
      </w:pPr>
    </w:p>
    <w:p w14:paraId="4DBC08B8" w14:textId="77777777" w:rsidR="00FA457D" w:rsidRDefault="00FA457D" w:rsidP="00FA457D">
      <w:pPr>
        <w:jc w:val="both"/>
      </w:pPr>
      <w:r>
        <w:t xml:space="preserve">Dört ana bileşenden oluşan </w:t>
      </w:r>
      <w:proofErr w:type="spellStart"/>
      <w:r>
        <w:t>living</w:t>
      </w:r>
      <w:proofErr w:type="spellEnd"/>
      <w:r>
        <w:t xml:space="preserve"> </w:t>
      </w:r>
      <w:proofErr w:type="spellStart"/>
      <w:r>
        <w:t>lab</w:t>
      </w:r>
      <w:proofErr w:type="spellEnd"/>
      <w:r>
        <w:t xml:space="preserve"> kavramı süreç olarak ise üç aşamadan oluşmaktadır. Bunlar keşif, deney ve değerlendirme. Bu aşamaları ve içerikleri hakkında edinilen bilgi aynı zamanda </w:t>
      </w:r>
      <w:proofErr w:type="spellStart"/>
      <w:r>
        <w:t>living</w:t>
      </w:r>
      <w:proofErr w:type="spellEnd"/>
      <w:r>
        <w:t xml:space="preserve"> </w:t>
      </w:r>
      <w:proofErr w:type="spellStart"/>
      <w:r>
        <w:t>lab</w:t>
      </w:r>
      <w:proofErr w:type="spellEnd"/>
      <w:r>
        <w:t xml:space="preserve"> kavramının </w:t>
      </w:r>
      <w:proofErr w:type="spellStart"/>
      <w:r>
        <w:t>uhreviyatı</w:t>
      </w:r>
      <w:proofErr w:type="spellEnd"/>
      <w:r>
        <w:t xml:space="preserve"> ve içeriğine dair oldukça önemli bir temel oluşturmaktadır. İlk aşama olan keşif aşamasında </w:t>
      </w:r>
      <w:proofErr w:type="spellStart"/>
      <w:r>
        <w:t>living</w:t>
      </w:r>
      <w:proofErr w:type="spellEnd"/>
      <w:r>
        <w:t xml:space="preserve"> </w:t>
      </w:r>
      <w:proofErr w:type="spellStart"/>
      <w:r>
        <w:t>lab’ler</w:t>
      </w:r>
      <w:proofErr w:type="spellEnd"/>
      <w:r>
        <w:t xml:space="preserve"> öncelikle mevcut duruma ilişkin bilgi edinmektedir. Sonrasında gelecekteki olası durumları ve ihtimalleri göz önünde bulundurarak tasarlama adımına geçmektedir. Genel olarak idealden konseptlere veya prototipe doğru bir çözümleme yaptıklarını söylemek mümkündür. Bir sonraki aşama ise deney aşamasıdır. Yaşayan, canlı, gerçek bir </w:t>
      </w:r>
      <w:proofErr w:type="spellStart"/>
      <w:r>
        <w:t>labaratuvar</w:t>
      </w:r>
      <w:proofErr w:type="spellEnd"/>
      <w:r>
        <w:t xml:space="preserve"> olan </w:t>
      </w:r>
      <w:proofErr w:type="spellStart"/>
      <w:r>
        <w:t>living</w:t>
      </w:r>
      <w:proofErr w:type="spellEnd"/>
      <w:r>
        <w:t xml:space="preserve"> </w:t>
      </w:r>
      <w:proofErr w:type="spellStart"/>
      <w:r>
        <w:t>lab’ler</w:t>
      </w:r>
      <w:proofErr w:type="spellEnd"/>
      <w:r>
        <w:t xml:space="preserve"> idealden yola çıkıp ortaya koyduğu konsept ya da prototipin üzerinde bazı testler ve deneyler uygulamaktadır. Son aşama olan değerlendirme aşamasında ise </w:t>
      </w:r>
      <w:proofErr w:type="spellStart"/>
      <w:r>
        <w:t>living</w:t>
      </w:r>
      <w:proofErr w:type="spellEnd"/>
      <w:r>
        <w:t xml:space="preserve"> </w:t>
      </w:r>
      <w:proofErr w:type="spellStart"/>
      <w:r>
        <w:t>lab’ler</w:t>
      </w:r>
      <w:proofErr w:type="spellEnd"/>
      <w:r>
        <w:t xml:space="preserve"> deney aşamasında yapılan testler sonucu beklenen etkinin elde edilip edilmediğinin kontrol edildiği aşamadır. Sonrasında uygulamayı hayata geçirmek, hedef pazara yönelik ilgili inovatif yeniliklerle desteklemek, pazara açılma stratejisi gibi sonuç odaklı işlemler yapılmaktadır. Böylelikle kent paydaşları tarafından ortak geliştiriciler olarak bu adımları izleyerek ortaya teknoloji tabanlı, etkili, verimli ürün ve hizmetler meydana getirilmiştir (</w:t>
      </w:r>
      <w:proofErr w:type="spellStart"/>
      <w:r>
        <w:t>Zanetti</w:t>
      </w:r>
      <w:proofErr w:type="spellEnd"/>
      <w:r>
        <w:t xml:space="preserve">, vd., </w:t>
      </w:r>
      <w:proofErr w:type="spellStart"/>
      <w:r>
        <w:t>t.y</w:t>
      </w:r>
      <w:proofErr w:type="spellEnd"/>
      <w:r>
        <w:t>.: 5).</w:t>
      </w:r>
    </w:p>
    <w:p w14:paraId="42C0605D" w14:textId="77777777" w:rsidR="00E25BB1" w:rsidRDefault="00E25BB1" w:rsidP="00FA457D">
      <w:pPr>
        <w:jc w:val="both"/>
      </w:pPr>
    </w:p>
    <w:p w14:paraId="41A76C6F" w14:textId="77777777" w:rsidR="00FA457D" w:rsidRDefault="00FA457D" w:rsidP="00FA457D">
      <w:pPr>
        <w:jc w:val="both"/>
      </w:pPr>
      <w:proofErr w:type="spellStart"/>
      <w:r>
        <w:t>Living</w:t>
      </w:r>
      <w:proofErr w:type="spellEnd"/>
      <w:r>
        <w:t xml:space="preserve"> </w:t>
      </w:r>
      <w:proofErr w:type="spellStart"/>
      <w:r>
        <w:t>lab</w:t>
      </w:r>
      <w:proofErr w:type="spellEnd"/>
      <w:r>
        <w:t xml:space="preserve"> sahip olduğu özellikleri getirdiği yenilikler ve sunduğu bilgi iletişim teknolojileri tabanlı çözümler ile birçok ülkede özellikle Avrupa’nın neredeyse her yerinde farklı şekillerde oluşturulduğu görülmektedir. Avrupa Birliği ülkeleri akıllı kent konseptini benimsediği plan ve projelerinde akıllı kentin bir bileşeni olan akıllı yönetişim bileşeni üzerinde sürdürülebilirliği sağlamakta yapacağı büyük katkı nedeniyle durmaktadır. Mevcut örnekler incelendiğinde özellikle Amsterdam, Barselona ve Helsinki’nin bu konuda oldukça büyük ve önemli adımlar attığı görülmektedir. Barselona’da gerçekleştirilen </w:t>
      </w:r>
      <w:proofErr w:type="spellStart"/>
      <w:r>
        <w:t>living</w:t>
      </w:r>
      <w:proofErr w:type="spellEnd"/>
      <w:r>
        <w:t xml:space="preserve"> </w:t>
      </w:r>
      <w:proofErr w:type="spellStart"/>
      <w:r>
        <w:t>lab</w:t>
      </w:r>
      <w:proofErr w:type="spellEnd"/>
      <w:r>
        <w:t xml:space="preserve"> uygulamaları incelendiğinde birden fazla ve çeşitte uygulamanın olduğunu görmek mümkündür. </w:t>
      </w:r>
      <w:proofErr w:type="spellStart"/>
      <w:proofErr w:type="gramStart"/>
      <w:r>
        <w:t>Universitat</w:t>
      </w:r>
      <w:proofErr w:type="spellEnd"/>
      <w:r>
        <w:t xml:space="preserve">  de</w:t>
      </w:r>
      <w:proofErr w:type="gramEnd"/>
      <w:r>
        <w:t xml:space="preserve"> Barcelona Barselona Üniversitesi’nin kendi bünyesinde kurduğu, paydaş olarak özel sektör, kamu yönetimi ve araştırmacılardan oluştuğu ve paydaşların aktif katılımına dayanan kullanıcı merkezli bir metodoloji aracılığıyla yenilikçi çözümler sunan bir uygulamadır. </w:t>
      </w:r>
      <w:proofErr w:type="spellStart"/>
      <w:r>
        <w:t>Living</w:t>
      </w:r>
      <w:proofErr w:type="spellEnd"/>
      <w:r>
        <w:t xml:space="preserve"> </w:t>
      </w:r>
      <w:proofErr w:type="spellStart"/>
      <w:r>
        <w:t>Lab</w:t>
      </w:r>
      <w:proofErr w:type="spellEnd"/>
      <w:r>
        <w:t xml:space="preserve"> UB ismini taşıyan </w:t>
      </w:r>
      <w:proofErr w:type="spellStart"/>
      <w:r>
        <w:t>living</w:t>
      </w:r>
      <w:proofErr w:type="spellEnd"/>
      <w:r>
        <w:t xml:space="preserve"> </w:t>
      </w:r>
      <w:proofErr w:type="spellStart"/>
      <w:r>
        <w:t>lab</w:t>
      </w:r>
      <w:proofErr w:type="spellEnd"/>
      <w:r>
        <w:t xml:space="preserve">, her zorluk için çok disiplinli bir araştırma ekibi ile ilgili aktörleri dahil ederek projenin ihtiyaçlarına göre keşfedebilecekleri, birlikte yaratabilecekleri ve değerlendirebilecekleri deneysel bir ortam yaratmaktadır. “Karmaşık sosyal zorlukları çözmek için insanlarla birlikte çalışıyoruz” misyonuyla çalışan </w:t>
      </w:r>
      <w:proofErr w:type="spellStart"/>
      <w:r>
        <w:t>living</w:t>
      </w:r>
      <w:proofErr w:type="spellEnd"/>
      <w:r>
        <w:t xml:space="preserve"> </w:t>
      </w:r>
      <w:proofErr w:type="spellStart"/>
      <w:r>
        <w:t>lab</w:t>
      </w:r>
      <w:proofErr w:type="spellEnd"/>
      <w:r>
        <w:t xml:space="preserve"> UB, insanların davranışlarıyla ilgili zorluklar konusunda şirketlere, kamu ve özel kurumlara (müşteriler, kullanıcılar...) geri bildirim sağlıyor, yeni ürün ve hizmetlerin geliştirilmesinin tüm aşamaları için planlama, kavramsallaştırma, prototipleme ve yenilikler üzerine çalışmaktadır. Bu çalışmayı yaparken araştırmalarında yeni fırsatlara, yeni fikirlerin geliştirilmesine ve yeni ürün ve hizmetlerin değerlendirilmesine ve test edilmesine entegre eden bir çalışma metodolojisi ve işbirlikçi tasarım yolunu kullanmaktadır (</w:t>
      </w:r>
      <w:proofErr w:type="spellStart"/>
      <w:r>
        <w:t>Living</w:t>
      </w:r>
      <w:proofErr w:type="spellEnd"/>
      <w:r>
        <w:t xml:space="preserve"> </w:t>
      </w:r>
      <w:proofErr w:type="spellStart"/>
      <w:r>
        <w:t>Lab</w:t>
      </w:r>
      <w:proofErr w:type="spellEnd"/>
      <w:r>
        <w:t xml:space="preserve"> UB, </w:t>
      </w:r>
      <w:proofErr w:type="spellStart"/>
      <w:r>
        <w:t>t.y</w:t>
      </w:r>
      <w:proofErr w:type="spellEnd"/>
      <w:r>
        <w:t>.)</w:t>
      </w:r>
    </w:p>
    <w:p w14:paraId="7B2E8CFD" w14:textId="77777777" w:rsidR="00E25BB1" w:rsidRDefault="00E25BB1" w:rsidP="00FA457D">
      <w:pPr>
        <w:jc w:val="both"/>
      </w:pPr>
    </w:p>
    <w:p w14:paraId="4EF7C640" w14:textId="77777777" w:rsidR="00FA457D" w:rsidRDefault="00FA457D" w:rsidP="00FA457D">
      <w:pPr>
        <w:jc w:val="both"/>
      </w:pPr>
      <w:r>
        <w:t xml:space="preserve">Barselona’da yer alan bir başka </w:t>
      </w:r>
      <w:proofErr w:type="spellStart"/>
      <w:r>
        <w:t>living</w:t>
      </w:r>
      <w:proofErr w:type="spellEnd"/>
      <w:r>
        <w:t xml:space="preserve"> </w:t>
      </w:r>
      <w:proofErr w:type="spellStart"/>
      <w:r>
        <w:t>lab</w:t>
      </w:r>
      <w:proofErr w:type="spellEnd"/>
      <w:r>
        <w:t xml:space="preserve"> ise Barselona Kent Konseyi ve "la </w:t>
      </w:r>
      <w:proofErr w:type="spellStart"/>
      <w:r>
        <w:t>Caixa</w:t>
      </w:r>
      <w:proofErr w:type="spellEnd"/>
      <w:r>
        <w:t>" Vakfı tarafından Barselona Küresel Sağlık Enstitüsü (</w:t>
      </w:r>
      <w:proofErr w:type="spellStart"/>
      <w:r>
        <w:t>ISGlobal</w:t>
      </w:r>
      <w:proofErr w:type="spellEnd"/>
      <w:r>
        <w:t>) ve AIDS Araştırma Enstitüsü (</w:t>
      </w:r>
      <w:proofErr w:type="spellStart"/>
      <w:r>
        <w:t>IrsiCaixa</w:t>
      </w:r>
      <w:proofErr w:type="spellEnd"/>
      <w:r>
        <w:t xml:space="preserve">) </w:t>
      </w:r>
      <w:proofErr w:type="gramStart"/>
      <w:r>
        <w:t>ile birlikte</w:t>
      </w:r>
      <w:proofErr w:type="gramEnd"/>
      <w:r>
        <w:t xml:space="preserve"> teşvik edilen bir girişim olan Barselona </w:t>
      </w:r>
      <w:proofErr w:type="spellStart"/>
      <w:r>
        <w:t>CaixaResearch</w:t>
      </w:r>
      <w:proofErr w:type="spellEnd"/>
      <w:r>
        <w:t xml:space="preserve"> </w:t>
      </w:r>
      <w:proofErr w:type="spellStart"/>
      <w:r>
        <w:t>Living</w:t>
      </w:r>
      <w:proofErr w:type="spellEnd"/>
      <w:r>
        <w:t xml:space="preserve"> </w:t>
      </w:r>
      <w:proofErr w:type="spellStart"/>
      <w:r>
        <w:t>Lab’dır</w:t>
      </w:r>
      <w:proofErr w:type="spellEnd"/>
      <w:r>
        <w:t xml:space="preserve">. Barselona </w:t>
      </w:r>
      <w:proofErr w:type="spellStart"/>
      <w:r>
        <w:t>CaixaResearchLiving</w:t>
      </w:r>
      <w:proofErr w:type="spellEnd"/>
      <w:r>
        <w:t xml:space="preserve"> </w:t>
      </w:r>
      <w:proofErr w:type="spellStart"/>
      <w:r>
        <w:t>Lab</w:t>
      </w:r>
      <w:proofErr w:type="spellEnd"/>
      <w:r>
        <w:t>, Barselona'daki bilimsel ve sosyal doku, kamu idareleri ve şehirdeki özel kuruluşlar arasında oluşturulan ortak yaratım ile Barselona'daki çeşitli kentsel zorluklarda araştırma ve yenilik yoluyla bilimsel bilgi üretmeyi amaçlamaktadır. Projelerinden bazıları ise göçmen nüfus için ruh sağlığına erişim, güvenli ve sağlıklı okul ortamları, sağlıklı ve sürdürülebilir gıdadır (</w:t>
      </w:r>
      <w:hyperlink r:id="rId428">
        <w:r>
          <w:rPr>
            <w:color w:val="0563C1"/>
            <w:u w:val="single"/>
          </w:rPr>
          <w:t>https://www.barcelona.cat/barcelonaciencia/en/science-city/science-</w:t>
        </w:r>
        <w:r>
          <w:rPr>
            <w:color w:val="0563C1"/>
            <w:u w:val="single"/>
          </w:rPr>
          <w:lastRenderedPageBreak/>
          <w:t>and-citizenship/living-labs</w:t>
        </w:r>
      </w:hyperlink>
      <w:r>
        <w:t>).</w:t>
      </w:r>
    </w:p>
    <w:p w14:paraId="10CA3F9A" w14:textId="77777777" w:rsidR="00E25BB1" w:rsidRDefault="00E25BB1" w:rsidP="00FA457D">
      <w:pPr>
        <w:jc w:val="both"/>
      </w:pPr>
    </w:p>
    <w:p w14:paraId="127D5C9F" w14:textId="77777777" w:rsidR="00FA457D" w:rsidRDefault="00FA457D" w:rsidP="00FA457D">
      <w:pPr>
        <w:jc w:val="both"/>
      </w:pPr>
      <w:r>
        <w:t xml:space="preserve">Akıllı kent olma yolunda önemli bir mesafe kaydetmiş ve tüm dünyaya örnek akıllı uygulamalar geliştiren Helsinki’de </w:t>
      </w:r>
      <w:proofErr w:type="spellStart"/>
      <w:r>
        <w:t>living</w:t>
      </w:r>
      <w:proofErr w:type="spellEnd"/>
      <w:r>
        <w:t xml:space="preserve"> </w:t>
      </w:r>
      <w:proofErr w:type="spellStart"/>
      <w:r>
        <w:t>lab</w:t>
      </w:r>
      <w:proofErr w:type="spellEnd"/>
      <w:r>
        <w:t xml:space="preserve"> uygulamasına oldukça önem vermekte ve pratikte uygulamaktadır. Helsinki Estonya (Tallinn) sınırı boyunca kırsal ve kentsel yaşam, çalışma ve girişimcilik için bilgi ağları ve çok sayıda konum sağlayan esnek çözümler geliştirmek için </w:t>
      </w:r>
      <w:proofErr w:type="spellStart"/>
      <w:r>
        <w:t>Living</w:t>
      </w:r>
      <w:proofErr w:type="spellEnd"/>
      <w:r>
        <w:t xml:space="preserve"> </w:t>
      </w:r>
      <w:proofErr w:type="spellStart"/>
      <w:r>
        <w:t>lab</w:t>
      </w:r>
      <w:proofErr w:type="spellEnd"/>
      <w:r>
        <w:t xml:space="preserve"> uygulamasını kullanmaktadır. Helsinki </w:t>
      </w:r>
      <w:proofErr w:type="spellStart"/>
      <w:r>
        <w:t>Living</w:t>
      </w:r>
      <w:proofErr w:type="spellEnd"/>
      <w:r>
        <w:t xml:space="preserve"> </w:t>
      </w:r>
      <w:proofErr w:type="spellStart"/>
      <w:r>
        <w:t>Lab</w:t>
      </w:r>
      <w:proofErr w:type="spellEnd"/>
      <w:r>
        <w:t>, Helsinki Şehri ile Helsinki-</w:t>
      </w:r>
      <w:proofErr w:type="spellStart"/>
      <w:r>
        <w:t>Uusimaa</w:t>
      </w:r>
      <w:proofErr w:type="spellEnd"/>
      <w:r>
        <w:t xml:space="preserve"> Bölgesi ve onun Estonya'daki ikiz şehri Tallinn arasında benzersiz bir ikili </w:t>
      </w:r>
      <w:proofErr w:type="gramStart"/>
      <w:r>
        <w:t>işbirliğine</w:t>
      </w:r>
      <w:proofErr w:type="gramEnd"/>
      <w:r>
        <w:t xml:space="preserve"> dayanmaktadır. Şehir bölgeleri, 65 kilometre genişliğindeki Finlandiya Körfezi ile birbirine bağlanmakta ve toplu olarak 2 milyondan fazla nüfusa ev sahipliği yapmaktadır. Estonya ve Finlandiya'nın ekonomik entegrasyonu, yüksek eğitim seviyeleri ve birbirini tamamlayan bölgesel ekonomilerle desteklenen Helsinki-Tallinn bölgesi, şehirlerarasında hem iş dünyası hem de işgücü piyasası için önemli fırsatlar sunacak yatırımlar yapmaktadır. Helsinki </w:t>
      </w:r>
      <w:proofErr w:type="spellStart"/>
      <w:r>
        <w:t>Living</w:t>
      </w:r>
      <w:proofErr w:type="spellEnd"/>
      <w:r>
        <w:t xml:space="preserve"> </w:t>
      </w:r>
      <w:proofErr w:type="spellStart"/>
      <w:r>
        <w:t>Lab</w:t>
      </w:r>
      <w:proofErr w:type="spellEnd"/>
      <w:r>
        <w:t xml:space="preserve">, bu değişikliklerin ve gelişmelerin iki şehir çevresindeki kırsal ve kentsel alanlardaki sosyal etkilerine ilişkin daha derin bir anlayış kazanmayı amaçlamaktadır. </w:t>
      </w:r>
      <w:proofErr w:type="spellStart"/>
      <w:r>
        <w:t>Living</w:t>
      </w:r>
      <w:proofErr w:type="spellEnd"/>
      <w:r>
        <w:t xml:space="preserve"> </w:t>
      </w:r>
      <w:proofErr w:type="spellStart"/>
      <w:r>
        <w:t>Lab</w:t>
      </w:r>
      <w:proofErr w:type="spellEnd"/>
      <w:r>
        <w:t xml:space="preserve"> ayrıca kırsal ve kentsel yaşam ve iş için birden fazla lokasyona olanak tanıyan dijital hizmetlere ve diğer yeni çözümlere ilişkin konulara da odaklanmaktadır. Büyüyen Helsinki metropol alanı, bitişik ve uzak kırsal alanlarda bulunan ekosistem hizmetlerine olan bağımlılığına yönelik sürdürülebilir çözümler aramaktadır. Helsinki </w:t>
      </w:r>
      <w:proofErr w:type="spellStart"/>
      <w:r>
        <w:t>Living</w:t>
      </w:r>
      <w:proofErr w:type="spellEnd"/>
      <w:r>
        <w:t xml:space="preserve"> </w:t>
      </w:r>
      <w:proofErr w:type="spellStart"/>
      <w:r>
        <w:t>lab</w:t>
      </w:r>
      <w:proofErr w:type="spellEnd"/>
      <w:r>
        <w:t xml:space="preserve"> kapsamında gerçekleştirilecek uygulamalar sayesinde, Helsinki-Tallinn bölgesindeki bölgesel kalkınma ve </w:t>
      </w:r>
      <w:proofErr w:type="gramStart"/>
      <w:r>
        <w:t>işbirliği</w:t>
      </w:r>
      <w:proofErr w:type="gramEnd"/>
      <w:r>
        <w:t xml:space="preserve"> modelleri üzerinde zamanında etki yaratacak ve Helsinki metropol bölgesinde yaşayan milyonları bulan kent nüfusuna yeni ekonomik kalkınma fırsatları sunacaktır (</w:t>
      </w:r>
      <w:hyperlink r:id="rId429">
        <w:r>
          <w:rPr>
            <w:color w:val="0563C1"/>
            <w:u w:val="single"/>
          </w:rPr>
          <w:t>https://rural-urban.eu/living-lab/helsinki</w:t>
        </w:r>
      </w:hyperlink>
      <w:r>
        <w:t>)</w:t>
      </w:r>
    </w:p>
    <w:p w14:paraId="45F4EE6B" w14:textId="77777777" w:rsidR="00E25BB1" w:rsidRDefault="00E25BB1" w:rsidP="00FA457D">
      <w:pPr>
        <w:jc w:val="both"/>
      </w:pPr>
    </w:p>
    <w:p w14:paraId="6E56EB4B" w14:textId="77777777" w:rsidR="00FA457D" w:rsidRDefault="00FA457D" w:rsidP="00FA457D">
      <w:pPr>
        <w:jc w:val="both"/>
      </w:pPr>
      <w:r>
        <w:t xml:space="preserve">Amsterdam’da diğer birçok Avrupa ülkesi gibi </w:t>
      </w:r>
      <w:proofErr w:type="spellStart"/>
      <w:r>
        <w:t>living</w:t>
      </w:r>
      <w:proofErr w:type="spellEnd"/>
      <w:r>
        <w:t xml:space="preserve"> </w:t>
      </w:r>
      <w:proofErr w:type="spellStart"/>
      <w:r>
        <w:t>lab</w:t>
      </w:r>
      <w:proofErr w:type="spellEnd"/>
      <w:r>
        <w:t xml:space="preserve"> uygulamasında sayı ve çeşitlilik bakımından oldukça zengindir. Sahip olduğu </w:t>
      </w:r>
      <w:proofErr w:type="spellStart"/>
      <w:r>
        <w:t>living</w:t>
      </w:r>
      <w:proofErr w:type="spellEnd"/>
      <w:r>
        <w:t xml:space="preserve"> </w:t>
      </w:r>
      <w:proofErr w:type="spellStart"/>
      <w:r>
        <w:t>lab</w:t>
      </w:r>
      <w:proofErr w:type="spellEnd"/>
      <w:r>
        <w:t xml:space="preserve"> uygulamalarından biri IOT </w:t>
      </w:r>
      <w:proofErr w:type="spellStart"/>
      <w:r>
        <w:t>Living</w:t>
      </w:r>
      <w:proofErr w:type="spellEnd"/>
      <w:r>
        <w:t xml:space="preserve"> </w:t>
      </w:r>
      <w:proofErr w:type="spellStart"/>
      <w:r>
        <w:t>Lab</w:t>
      </w:r>
      <w:proofErr w:type="spellEnd"/>
      <w:r>
        <w:t xml:space="preserve"> uygulamasıdır. Akıllı vatandaşlar, topluluklarının karşılaştığı zorlukları çözmek için birlikte çalışarak Akıllı Şehirler oluşturulmasında en önemli unsur olarak benimseyen uygulama bunu sağlamanın en önemli yolunun ise </w:t>
      </w:r>
      <w:proofErr w:type="spellStart"/>
      <w:r>
        <w:t>living</w:t>
      </w:r>
      <w:proofErr w:type="spellEnd"/>
      <w:r>
        <w:t xml:space="preserve"> </w:t>
      </w:r>
      <w:proofErr w:type="spellStart"/>
      <w:r>
        <w:t>lab</w:t>
      </w:r>
      <w:proofErr w:type="spellEnd"/>
      <w:r>
        <w:t xml:space="preserve"> uygulaması olduğunu belirtmektedir. Amsterdam şehrinin CTO ofisi Paul </w:t>
      </w:r>
      <w:proofErr w:type="spellStart"/>
      <w:r>
        <w:t>Manwaring</w:t>
      </w:r>
      <w:proofErr w:type="spellEnd"/>
      <w:r>
        <w:t xml:space="preserve">, Amsterdam Uygulamalı Bilimler Üniversitesi ve 2016'nın başlarında sona eren bir H2020 projesi olan Açık Veri İnkübatörü liderliğinde kurulan </w:t>
      </w:r>
      <w:proofErr w:type="spellStart"/>
      <w:r>
        <w:t>IoT</w:t>
      </w:r>
      <w:proofErr w:type="spellEnd"/>
      <w:r>
        <w:t xml:space="preserve"> </w:t>
      </w:r>
      <w:proofErr w:type="spellStart"/>
      <w:r>
        <w:t>Living</w:t>
      </w:r>
      <w:proofErr w:type="spellEnd"/>
      <w:r>
        <w:t xml:space="preserve"> </w:t>
      </w:r>
      <w:proofErr w:type="spellStart"/>
      <w:r>
        <w:t>Lab</w:t>
      </w:r>
      <w:proofErr w:type="spellEnd"/>
      <w:r>
        <w:t xml:space="preserve">, vatandaşları ve şehirleri yenilikleri test etme ve prototipleme konusunda teşvik etmek için kamusal alanlarda </w:t>
      </w:r>
      <w:proofErr w:type="spellStart"/>
      <w:r>
        <w:t>IoT</w:t>
      </w:r>
      <w:proofErr w:type="spellEnd"/>
      <w:r>
        <w:t xml:space="preserve"> etkileşimini teşvik etmektedir. </w:t>
      </w:r>
      <w:proofErr w:type="spellStart"/>
      <w:r>
        <w:t>IoT</w:t>
      </w:r>
      <w:proofErr w:type="spellEnd"/>
      <w:r>
        <w:t xml:space="preserve"> </w:t>
      </w:r>
      <w:proofErr w:type="spellStart"/>
      <w:r>
        <w:t>Living</w:t>
      </w:r>
      <w:proofErr w:type="spellEnd"/>
      <w:r>
        <w:t xml:space="preserve"> </w:t>
      </w:r>
      <w:proofErr w:type="spellStart"/>
      <w:r>
        <w:t>Lab'in</w:t>
      </w:r>
      <w:proofErr w:type="spellEnd"/>
      <w:r>
        <w:t xml:space="preserve"> amacı, yaklaşan </w:t>
      </w:r>
      <w:proofErr w:type="spellStart"/>
      <w:r>
        <w:t>IoT</w:t>
      </w:r>
      <w:proofErr w:type="spellEnd"/>
      <w:r>
        <w:t xml:space="preserve"> yenilikleri için </w:t>
      </w:r>
      <w:proofErr w:type="spellStart"/>
      <w:r>
        <w:t>IoT</w:t>
      </w:r>
      <w:proofErr w:type="spellEnd"/>
      <w:r>
        <w:t xml:space="preserve"> özellikli etkileşimli çözümler, eyleme geçirilebilir açık veri ve geliştirici dostu platformları keşfetmek ve denemektir. Bu, kentsel ortamda yeni etkili çözümlerin yaratılmasını ve </w:t>
      </w:r>
      <w:proofErr w:type="spellStart"/>
      <w:r>
        <w:t>Living</w:t>
      </w:r>
      <w:proofErr w:type="spellEnd"/>
      <w:r>
        <w:t xml:space="preserve"> </w:t>
      </w:r>
      <w:proofErr w:type="spellStart"/>
      <w:r>
        <w:t>Lab</w:t>
      </w:r>
      <w:proofErr w:type="spellEnd"/>
      <w:r>
        <w:t xml:space="preserve"> çalışma yönteminin etkin kullanımı yoluyla insanların yaşamlarını iyileştirmeyi teşvik etmektedir. </w:t>
      </w:r>
      <w:proofErr w:type="spellStart"/>
      <w:r>
        <w:t>IoT</w:t>
      </w:r>
      <w:proofErr w:type="spellEnd"/>
      <w:r>
        <w:t xml:space="preserve"> </w:t>
      </w:r>
      <w:proofErr w:type="spellStart"/>
      <w:r>
        <w:t>Living</w:t>
      </w:r>
      <w:proofErr w:type="spellEnd"/>
      <w:r>
        <w:t xml:space="preserve"> </w:t>
      </w:r>
      <w:proofErr w:type="spellStart"/>
      <w:r>
        <w:t>Lab</w:t>
      </w:r>
      <w:proofErr w:type="spellEnd"/>
      <w:r>
        <w:t xml:space="preserve">, diğer şehirlerin küresel olarak kendi </w:t>
      </w:r>
      <w:proofErr w:type="spellStart"/>
      <w:r>
        <w:t>IoT</w:t>
      </w:r>
      <w:proofErr w:type="spellEnd"/>
      <w:r>
        <w:t xml:space="preserve"> </w:t>
      </w:r>
      <w:proofErr w:type="spellStart"/>
      <w:r>
        <w:t>Living</w:t>
      </w:r>
      <w:proofErr w:type="spellEnd"/>
      <w:r>
        <w:t xml:space="preserve"> </w:t>
      </w:r>
      <w:proofErr w:type="spellStart"/>
      <w:r>
        <w:t>Lab'lerini</w:t>
      </w:r>
      <w:proofErr w:type="spellEnd"/>
      <w:r>
        <w:t xml:space="preserve"> oluşturmalarına yardımcı olmak için danışmanlık hizmetleri, atölye çalışmaları sağlar ve testleri kolaylaştırmaktadır. 2015'den beri açık </w:t>
      </w:r>
      <w:proofErr w:type="spellStart"/>
      <w:r>
        <w:t>IoT</w:t>
      </w:r>
      <w:proofErr w:type="spellEnd"/>
      <w:r>
        <w:t xml:space="preserve"> özellikli etkileşimli kamusal alanları ve </w:t>
      </w:r>
      <w:proofErr w:type="spellStart"/>
      <w:r>
        <w:t>Living</w:t>
      </w:r>
      <w:proofErr w:type="spellEnd"/>
      <w:r>
        <w:t xml:space="preserve"> </w:t>
      </w:r>
      <w:proofErr w:type="spellStart"/>
      <w:r>
        <w:t>Lab</w:t>
      </w:r>
      <w:proofErr w:type="spellEnd"/>
      <w:r>
        <w:t xml:space="preserve"> çalışma yöntemini kullanarak buluşmalar, atölye çalışmaları, </w:t>
      </w:r>
      <w:proofErr w:type="spellStart"/>
      <w:r>
        <w:t>hackathonlar</w:t>
      </w:r>
      <w:proofErr w:type="spellEnd"/>
      <w:r>
        <w:t>, meydan okumalar, araştırma projeleri ile kentin paydaşları olan yüzlerce akıllı vatandaş ile bağlantı kurulmuştur ve böylelikle yaparak öğrenme yaklaşımı, etkileşimli teknoloji, çoklu fiziksel prototipler ve endüstriler arasında değerli çözümler hakkında önemli bilgiler elde etmiştir (</w:t>
      </w:r>
      <w:hyperlink r:id="rId430">
        <w:r>
          <w:rPr>
            <w:color w:val="0563C1"/>
            <w:u w:val="single"/>
          </w:rPr>
          <w:t>https://amsterdamsmartcity.com/updates/project/iot-living-lab</w:t>
        </w:r>
      </w:hyperlink>
      <w:r>
        <w:t>).</w:t>
      </w:r>
    </w:p>
    <w:p w14:paraId="0E9F0DAB" w14:textId="77777777" w:rsidR="00E25BB1" w:rsidRDefault="00E25BB1" w:rsidP="00FA457D">
      <w:pPr>
        <w:jc w:val="both"/>
      </w:pPr>
    </w:p>
    <w:p w14:paraId="178D8A8B" w14:textId="29D893B8" w:rsidR="00FA457D" w:rsidRDefault="00FA457D" w:rsidP="00FA457D">
      <w:pPr>
        <w:jc w:val="both"/>
      </w:pPr>
      <w:r>
        <w:t xml:space="preserve">Amsterdam’da yer alan bir başka </w:t>
      </w:r>
      <w:proofErr w:type="spellStart"/>
      <w:r>
        <w:t>living</w:t>
      </w:r>
      <w:proofErr w:type="spellEnd"/>
      <w:r>
        <w:t xml:space="preserve"> </w:t>
      </w:r>
      <w:proofErr w:type="spellStart"/>
      <w:r>
        <w:t>lab</w:t>
      </w:r>
      <w:proofErr w:type="spellEnd"/>
      <w:r>
        <w:t xml:space="preserve"> uygulaması ise </w:t>
      </w:r>
      <w:proofErr w:type="spellStart"/>
      <w:r>
        <w:t>Marineterrein</w:t>
      </w:r>
      <w:proofErr w:type="spellEnd"/>
      <w:r>
        <w:t xml:space="preserve"> Amsterdam </w:t>
      </w:r>
      <w:proofErr w:type="spellStart"/>
      <w:r>
        <w:t>Living</w:t>
      </w:r>
      <w:proofErr w:type="spellEnd"/>
      <w:r>
        <w:t xml:space="preserve"> </w:t>
      </w:r>
      <w:proofErr w:type="spellStart"/>
      <w:r>
        <w:t>Lab</w:t>
      </w:r>
      <w:proofErr w:type="spellEnd"/>
      <w:r>
        <w:t xml:space="preserve"> uygulamasıdır. Misyon </w:t>
      </w:r>
      <w:proofErr w:type="spellStart"/>
      <w:r>
        <w:t>olarakgeleceğe</w:t>
      </w:r>
      <w:proofErr w:type="spellEnd"/>
      <w:r>
        <w:t xml:space="preserve"> hazır bir şehir bölgesine sahip olmayı benimseyen </w:t>
      </w:r>
      <w:proofErr w:type="spellStart"/>
      <w:r>
        <w:lastRenderedPageBreak/>
        <w:t>living</w:t>
      </w:r>
      <w:proofErr w:type="spellEnd"/>
      <w:r>
        <w:t xml:space="preserve"> </w:t>
      </w:r>
      <w:proofErr w:type="spellStart"/>
      <w:r>
        <w:t>lab</w:t>
      </w:r>
      <w:proofErr w:type="spellEnd"/>
      <w:r>
        <w:t xml:space="preserve">, kentsel dönüşüm için yeni çözümlere yönelik bilimsel araştırmalara olanaklar sunmaktadır. İnovasyon temaları olarak akıllı Hareketlilik, Su ve Atıkların Yeniden İşlenmesi, Kentsel Enerji, Şehri Yeşillendirmektir. Gerçek hayatta birçok araştırma, deneme ve test yapan </w:t>
      </w:r>
      <w:proofErr w:type="spellStart"/>
      <w:r>
        <w:t>living</w:t>
      </w:r>
      <w:proofErr w:type="spellEnd"/>
      <w:r>
        <w:t xml:space="preserve"> </w:t>
      </w:r>
      <w:proofErr w:type="spellStart"/>
      <w:r>
        <w:t>lab</w:t>
      </w:r>
      <w:proofErr w:type="spellEnd"/>
      <w:r>
        <w:t xml:space="preserve">, bunları hem kara da hem de suda gerçekleştirmektedir. Havzada, rıhtımlarda ve yollarda deney alanı olarak kullanılmıştır. Lokasyon olarak </w:t>
      </w:r>
      <w:proofErr w:type="spellStart"/>
      <w:r>
        <w:t>Marineterrein</w:t>
      </w:r>
      <w:proofErr w:type="spellEnd"/>
      <w:r>
        <w:t xml:space="preserve"> Amsterdam </w:t>
      </w:r>
      <w:proofErr w:type="spellStart"/>
      <w:r>
        <w:t>Kattenburgstraat</w:t>
      </w:r>
      <w:proofErr w:type="spellEnd"/>
      <w:r>
        <w:t xml:space="preserve"> 5, Amsterdam bölgesini alan </w:t>
      </w:r>
      <w:proofErr w:type="spellStart"/>
      <w:r>
        <w:t>living</w:t>
      </w:r>
      <w:proofErr w:type="spellEnd"/>
      <w:r>
        <w:t xml:space="preserve"> </w:t>
      </w:r>
      <w:proofErr w:type="spellStart"/>
      <w:r>
        <w:t>lab</w:t>
      </w:r>
      <w:proofErr w:type="spellEnd"/>
      <w:r>
        <w:t xml:space="preserve">, Amsterdam şehir merkezine 1,5 km uzaklıktadır. </w:t>
      </w:r>
      <w:proofErr w:type="spellStart"/>
      <w:r>
        <w:t>Marineterrein</w:t>
      </w:r>
      <w:proofErr w:type="spellEnd"/>
      <w:r>
        <w:t xml:space="preserve"> Yaşam Laboratuvarı, </w:t>
      </w:r>
      <w:proofErr w:type="spellStart"/>
      <w:r>
        <w:t>Bureau</w:t>
      </w:r>
      <w:proofErr w:type="spellEnd"/>
      <w:r>
        <w:t xml:space="preserve"> </w:t>
      </w:r>
      <w:proofErr w:type="spellStart"/>
      <w:r>
        <w:t>Marineterrein</w:t>
      </w:r>
      <w:proofErr w:type="spellEnd"/>
      <w:r>
        <w:t xml:space="preserve"> ve AMS Enstitüsü, Amsterdam Akıllı Şehir ve </w:t>
      </w:r>
      <w:proofErr w:type="spellStart"/>
      <w:r>
        <w:t>NEMO'nun</w:t>
      </w:r>
      <w:proofErr w:type="spellEnd"/>
      <w:r>
        <w:t xml:space="preserve"> desteği ve </w:t>
      </w:r>
      <w:proofErr w:type="gramStart"/>
      <w:r>
        <w:t>işbirliği</w:t>
      </w:r>
      <w:proofErr w:type="gramEnd"/>
      <w:r>
        <w:t xml:space="preserve"> ile kurulmuştur (</w:t>
      </w:r>
      <w:hyperlink r:id="rId431" w:history="1">
        <w:r w:rsidR="00E25BB1" w:rsidRPr="00A50B57">
          <w:rPr>
            <w:rStyle w:val="Kpr"/>
          </w:rPr>
          <w:t>https://www.amsinstitute.org/documents/62/20211008_Flyer_Marineterein_Amsterdam_Living_Lab_MALL.pdf</w:t>
        </w:r>
      </w:hyperlink>
      <w:r>
        <w:t>).</w:t>
      </w:r>
    </w:p>
    <w:p w14:paraId="41B9C851" w14:textId="77777777" w:rsidR="00E25BB1" w:rsidRDefault="00E25BB1" w:rsidP="00FA457D">
      <w:pPr>
        <w:jc w:val="both"/>
      </w:pPr>
    </w:p>
    <w:p w14:paraId="2C08B85C" w14:textId="77777777" w:rsidR="00FA457D" w:rsidRDefault="00FA457D" w:rsidP="00FA457D">
      <w:pPr>
        <w:jc w:val="both"/>
      </w:pPr>
      <w:r>
        <w:t xml:space="preserve">Türkiye’de ise tek örnek </w:t>
      </w:r>
      <w:proofErr w:type="spellStart"/>
      <w:r>
        <w:t>living</w:t>
      </w:r>
      <w:proofErr w:type="spellEnd"/>
      <w:r>
        <w:t xml:space="preserve"> </w:t>
      </w:r>
      <w:proofErr w:type="spellStart"/>
      <w:r>
        <w:t>lab</w:t>
      </w:r>
      <w:proofErr w:type="spellEnd"/>
      <w:r>
        <w:t xml:space="preserve"> uygulaması Başakşehir </w:t>
      </w:r>
      <w:proofErr w:type="spellStart"/>
      <w:r>
        <w:t>Living</w:t>
      </w:r>
      <w:proofErr w:type="spellEnd"/>
      <w:r>
        <w:t xml:space="preserve"> </w:t>
      </w:r>
      <w:proofErr w:type="spellStart"/>
      <w:r>
        <w:t>lab</w:t>
      </w:r>
      <w:proofErr w:type="spellEnd"/>
      <w:r>
        <w:t xml:space="preserve"> ismiyle 2013 yılında faaliyetlerine başlayan Başakşehir Belediyesi tarafından kurulmuştur. Bir inovasyon ve teknoloji merkezi olan Başakşehir </w:t>
      </w:r>
      <w:proofErr w:type="spellStart"/>
      <w:r>
        <w:t>Living</w:t>
      </w:r>
      <w:proofErr w:type="spellEnd"/>
      <w:r>
        <w:t xml:space="preserve"> </w:t>
      </w:r>
      <w:proofErr w:type="spellStart"/>
      <w:r>
        <w:t>Lab</w:t>
      </w:r>
      <w:proofErr w:type="spellEnd"/>
      <w:r>
        <w:t xml:space="preserve"> paydaşları olan girişimciler, belediyeler, </w:t>
      </w:r>
      <w:proofErr w:type="spellStart"/>
      <w:r>
        <w:t>ENoLL</w:t>
      </w:r>
      <w:proofErr w:type="spellEnd"/>
      <w:r>
        <w:t xml:space="preserve"> (</w:t>
      </w:r>
      <w:proofErr w:type="spellStart"/>
      <w:r>
        <w:t>European</w:t>
      </w:r>
      <w:proofErr w:type="spellEnd"/>
      <w:r>
        <w:t xml:space="preserve"> Network of </w:t>
      </w:r>
      <w:proofErr w:type="spellStart"/>
      <w:r>
        <w:t>Living</w:t>
      </w:r>
      <w:proofErr w:type="spellEnd"/>
      <w:r>
        <w:t xml:space="preserve"> </w:t>
      </w:r>
      <w:proofErr w:type="spellStart"/>
      <w:r>
        <w:t>Labs</w:t>
      </w:r>
      <w:proofErr w:type="spellEnd"/>
      <w:r>
        <w:t xml:space="preserve">), eğitim kurumları, vatandaşlar, sanayi ve sivil toplum kuruluşlarına birçok hizmet vermektedir. Eğitim, ulaşım, sağlık, güvenlik, konut, enerji gibi birçok kentsel alanda projeler geliştiren Başakşehir </w:t>
      </w:r>
      <w:proofErr w:type="spellStart"/>
      <w:r>
        <w:t>Living</w:t>
      </w:r>
      <w:proofErr w:type="spellEnd"/>
      <w:r>
        <w:t xml:space="preserve"> </w:t>
      </w:r>
      <w:proofErr w:type="spellStart"/>
      <w:r>
        <w:t>Lab</w:t>
      </w:r>
      <w:proofErr w:type="spellEnd"/>
      <w:r>
        <w:t xml:space="preserve"> aynı zamanda çok sayıda etkinlik, eğitim, seminer ve konferans ile kent sakinlerine hizmet sunmaktadır. Sağladığı hizmetlerden bazıları kuluçka merkezi, </w:t>
      </w:r>
      <w:proofErr w:type="spellStart"/>
      <w:r>
        <w:t>mentörlük</w:t>
      </w:r>
      <w:proofErr w:type="spellEnd"/>
      <w:r>
        <w:t xml:space="preserve"> ve iş geliştirme desteği, gerçek deneyim ortamı, tasarım desteği, girişimcilik eğitimi, laboratuvar desteği, ilişki ağı geliştirme desteğidir. </w:t>
      </w:r>
      <w:hyperlink r:id="rId432">
        <w:r>
          <w:rPr>
            <w:color w:val="0563C1"/>
            <w:u w:val="single"/>
          </w:rPr>
          <w:t>https://basaksehirlivinglab.com/</w:t>
        </w:r>
      </w:hyperlink>
    </w:p>
    <w:p w14:paraId="3AC39E8E" w14:textId="77777777" w:rsidR="00E25BB1" w:rsidRDefault="00E25BB1" w:rsidP="00FA457D">
      <w:pPr>
        <w:jc w:val="both"/>
        <w:rPr>
          <w:color w:val="0563C1"/>
          <w:u w:val="single"/>
        </w:rPr>
      </w:pPr>
    </w:p>
    <w:p w14:paraId="65956E4C" w14:textId="77777777" w:rsidR="00FA457D" w:rsidRDefault="00FA457D" w:rsidP="00FA457D">
      <w:pPr>
        <w:jc w:val="both"/>
        <w:rPr>
          <w:b/>
          <w:color w:val="000000"/>
        </w:rPr>
      </w:pPr>
      <w:r>
        <w:rPr>
          <w:b/>
          <w:color w:val="000000"/>
        </w:rPr>
        <w:t>Sonuç</w:t>
      </w:r>
    </w:p>
    <w:p w14:paraId="30B54163" w14:textId="1396A691" w:rsidR="00FA457D" w:rsidRDefault="00FA457D" w:rsidP="00FA457D">
      <w:pPr>
        <w:jc w:val="both"/>
        <w:rPr>
          <w:color w:val="000000"/>
        </w:rPr>
      </w:pPr>
      <w:r>
        <w:rPr>
          <w:color w:val="000000"/>
        </w:rPr>
        <w:t xml:space="preserve">İnsanlığın var olduğu günden bugüne kadar insanlar bir arada yaşama ihtiyacı duymuş ve her dönem birlikte yaşamak farklı isimlerle farklı nedenlerle farklı amaçlarla döneminde getirdiği kendine özgü koşullar çerçevesinde şekillendiği görülmektedir. Her türlü olay, olgu, anlayıştan doğrudan ve derinden etkilenen ve etkileyen bir kavram olan kent kavramı bunu sahip olduğu dinamik, devingen ve iletken yapısı ile gerçekleştirmektedir. Tarih boyunca bazen savunma amaçlı bazen korunma amaçlı kurulan kentler kimi zaman bir ticaret merkezi olurken kimi zaman da dini bir merkez olarak varlığını sürdürmüştür. Tarihsel süreçte kentler incelendiğinde görülmektedir ki kentler için değişmeyen tek şey aslında değişimin kendisi olmuştur. Bu değişim günümüzde de kentler için devam etmekte olup büyük bir değişim ve dönüşüm süreci içinde olduğunu söylemek mümkündür. Kentler de bu değişimi sağlayan bazen sanayileşme bazen de küreselleşme olurken bugünkü değişimin anahtarı bilgi iletişim teknolojilerinin hızlı bir şekilde gelişmesi olmuştur. Tüm dünyayı etkisi altına bu değişimden kentler de nasibini almış ve ortaya birçok yeni kent formları ortaya çıkmıştır. Bilgi iletişim teknolojileri kent sakinlerinin her geçen gün ihtiyaç ve beklentilerini değiştirmiş kent ise sahip olduğu geleneksel yöntem ver araçlarla bu ihtiyaç ve talepleri karşılamakta yetersiz kalmaya başlamıştır. Ortaya çıkan yeni kent formlarından bir olan akıllı kent kavramı kent sakinlerinin ihtiyaç ve beklentilerinin karşılanmasında, kentsel sorunların çözümünde, kentsel hizmetlerin sunumunda kısaca kente dair olan her şeyde bilgi iletişim teknolojisi araçlarını kullanmayı ifade etmektedir. Kent için büyük bir değişim ve dönüşüm olan bu süreçte kentlerin akıllandırılması, akıllı kent haline gelmesinde belli bazı kavramlar ve olgular önem arz etmektedir. Bunlardan biri ise yönetişim kavramıdır. Akıllı kent kavramıyla birlikte yönetişim kavramı da akıllı yönetişim haline gelerek akıllı kent kavramının en önemli bileşenlerinden biri olmuştur. Akıllı yönetişim bileşenini altında gerçekleştirilen ve hem bileşenin gereklerini hem de kenti akıllandırmaya en büyük katkıyı sunan uygulamalardan biri </w:t>
      </w:r>
      <w:proofErr w:type="spellStart"/>
      <w:r>
        <w:rPr>
          <w:color w:val="000000"/>
        </w:rPr>
        <w:t>living</w:t>
      </w:r>
      <w:proofErr w:type="spellEnd"/>
      <w:r>
        <w:rPr>
          <w:color w:val="000000"/>
        </w:rPr>
        <w:t xml:space="preserve"> </w:t>
      </w:r>
      <w:proofErr w:type="spellStart"/>
      <w:r>
        <w:rPr>
          <w:color w:val="000000"/>
        </w:rPr>
        <w:t>lab</w:t>
      </w:r>
      <w:proofErr w:type="spellEnd"/>
      <w:r>
        <w:rPr>
          <w:color w:val="000000"/>
        </w:rPr>
        <w:t xml:space="preserve"> uygulamasıdır. Kent paydaşlarının gerçek </w:t>
      </w:r>
      <w:r>
        <w:rPr>
          <w:color w:val="000000"/>
        </w:rPr>
        <w:lastRenderedPageBreak/>
        <w:t xml:space="preserve">yaşam ortamlarını bir laboratuvar ortamı olarak kullanarak aktif bir şekilde katılımıyla oluşan </w:t>
      </w:r>
      <w:proofErr w:type="spellStart"/>
      <w:r>
        <w:rPr>
          <w:color w:val="000000"/>
        </w:rPr>
        <w:t>Living</w:t>
      </w:r>
      <w:proofErr w:type="spellEnd"/>
      <w:r>
        <w:rPr>
          <w:color w:val="000000"/>
        </w:rPr>
        <w:t xml:space="preserve"> </w:t>
      </w:r>
      <w:proofErr w:type="spellStart"/>
      <w:r>
        <w:rPr>
          <w:color w:val="000000"/>
        </w:rPr>
        <w:t>lab</w:t>
      </w:r>
      <w:proofErr w:type="spellEnd"/>
      <w:r>
        <w:rPr>
          <w:color w:val="000000"/>
        </w:rPr>
        <w:t xml:space="preserve"> uygulaması kent paydaşlarının aktif katılımını sağlaması açısından ve bu </w:t>
      </w:r>
      <w:proofErr w:type="spellStart"/>
      <w:r>
        <w:rPr>
          <w:color w:val="000000"/>
        </w:rPr>
        <w:t>biraradalığı</w:t>
      </w:r>
      <w:proofErr w:type="spellEnd"/>
      <w:r>
        <w:rPr>
          <w:color w:val="000000"/>
        </w:rPr>
        <w:t xml:space="preserve"> bilgi iletişim teknolojileri tabanlı olarak gerçekleştirmesi akıllı kentin gelişimi için oldukça önemli bir adımdır. Kent paydaşları arasında bir ağ oluşturarak kente dair her türlü sorun </w:t>
      </w:r>
      <w:proofErr w:type="gramStart"/>
      <w:r>
        <w:rPr>
          <w:color w:val="000000"/>
        </w:rPr>
        <w:t>ve ya</w:t>
      </w:r>
      <w:proofErr w:type="gramEnd"/>
      <w:r>
        <w:rPr>
          <w:color w:val="000000"/>
        </w:rPr>
        <w:t xml:space="preserve"> talepleri kendi mevcut ortamında bilgi iletişim teknolojileri kullanarak çözen ve ortaya inovatif ürün ya da hizmetler çıkaran </w:t>
      </w:r>
      <w:proofErr w:type="spellStart"/>
      <w:r>
        <w:rPr>
          <w:color w:val="000000"/>
        </w:rPr>
        <w:t>living</w:t>
      </w:r>
      <w:proofErr w:type="spellEnd"/>
      <w:r>
        <w:rPr>
          <w:color w:val="000000"/>
        </w:rPr>
        <w:t xml:space="preserve"> </w:t>
      </w:r>
      <w:proofErr w:type="spellStart"/>
      <w:r>
        <w:rPr>
          <w:color w:val="000000"/>
        </w:rPr>
        <w:t>lab</w:t>
      </w:r>
      <w:proofErr w:type="spellEnd"/>
      <w:r>
        <w:rPr>
          <w:color w:val="000000"/>
        </w:rPr>
        <w:t xml:space="preserve"> örnekleri incelendiğinde görülmektedir özellikle Avrupa’da sayı ve çeşitlilik açısından yoğun durumdadır. Fakat akıllı kentlerin oluşmasında gelişmesinde ve sürdürülmesinde oldukça önemli ve katkısı yadsınamayacak kadar çok olan bu uygulama sadece Avrupa’da değil tüm dünyada sayısının artırılması artık bir lük değil ihtiyaç haline gelen kentlerin akıllandırılmasında oldukça büyük ve önemli bir adım olacaktır.</w:t>
      </w:r>
    </w:p>
    <w:p w14:paraId="349A3C65" w14:textId="77777777" w:rsidR="00FA457D" w:rsidRDefault="00FA457D" w:rsidP="00FA457D">
      <w:pPr>
        <w:jc w:val="both"/>
        <w:rPr>
          <w:color w:val="000000"/>
        </w:rPr>
      </w:pPr>
    </w:p>
    <w:p w14:paraId="1C0BC8D5" w14:textId="77777777" w:rsidR="00FA457D" w:rsidRDefault="00FA457D" w:rsidP="00FA457D">
      <w:pPr>
        <w:jc w:val="both"/>
      </w:pPr>
      <w:bookmarkStart w:id="283" w:name="_gjdgxs" w:colFirst="0" w:colLast="0"/>
      <w:bookmarkEnd w:id="283"/>
      <w:r>
        <w:rPr>
          <w:b/>
          <w:color w:val="000000"/>
        </w:rPr>
        <w:t>Kaynakça</w:t>
      </w:r>
    </w:p>
    <w:p w14:paraId="0B245A90" w14:textId="1580D6AE" w:rsidR="00FA457D" w:rsidRDefault="00FA457D">
      <w:pPr>
        <w:pStyle w:val="ListeParagraf"/>
        <w:numPr>
          <w:ilvl w:val="0"/>
          <w:numId w:val="66"/>
        </w:numPr>
        <w:jc w:val="both"/>
      </w:pPr>
      <w:r>
        <w:t xml:space="preserve">Aktan, E. (2018). Büyük Veri: Uygulama Alanları, Analitiği ve Güvenlik Boyutu. </w:t>
      </w:r>
      <w:r w:rsidRPr="00AF40EA">
        <w:rPr>
          <w:i/>
        </w:rPr>
        <w:t>Ankara Üniversitesi Bilgi Yönetimi Dergisi,</w:t>
      </w:r>
      <w:r>
        <w:t>1(1), 1-22.</w:t>
      </w:r>
    </w:p>
    <w:p w14:paraId="0CB30F39" w14:textId="0AB88810" w:rsidR="00FA457D" w:rsidRDefault="00FA457D">
      <w:pPr>
        <w:pStyle w:val="ListeParagraf"/>
        <w:numPr>
          <w:ilvl w:val="0"/>
          <w:numId w:val="66"/>
        </w:numPr>
        <w:jc w:val="both"/>
      </w:pPr>
      <w:r>
        <w:t xml:space="preserve">Arslan, M. (2022). </w:t>
      </w:r>
      <w:proofErr w:type="spellStart"/>
      <w:r>
        <w:t>Innovation</w:t>
      </w:r>
      <w:proofErr w:type="spellEnd"/>
      <w:r>
        <w:t xml:space="preserve"> in </w:t>
      </w:r>
      <w:proofErr w:type="spellStart"/>
      <w:r>
        <w:t>Municipalities</w:t>
      </w:r>
      <w:proofErr w:type="spellEnd"/>
      <w:r>
        <w:t xml:space="preserve">: Case of </w:t>
      </w:r>
      <w:proofErr w:type="spellStart"/>
      <w:r>
        <w:t>Living</w:t>
      </w:r>
      <w:proofErr w:type="spellEnd"/>
      <w:r>
        <w:t xml:space="preserve"> </w:t>
      </w:r>
      <w:proofErr w:type="spellStart"/>
      <w:r>
        <w:t>Lab</w:t>
      </w:r>
      <w:proofErr w:type="spellEnd"/>
      <w:r>
        <w:t xml:space="preserve">. </w:t>
      </w:r>
      <w:r w:rsidRPr="00AF40EA">
        <w:rPr>
          <w:i/>
        </w:rPr>
        <w:t>Marmara Üniversitesi Siyasal Bilimler Dergisi</w:t>
      </w:r>
      <w:r>
        <w:t>, 10(2), 337-366.</w:t>
      </w:r>
    </w:p>
    <w:p w14:paraId="4C5BA711" w14:textId="77777777" w:rsidR="00FA457D" w:rsidRDefault="00FA457D">
      <w:pPr>
        <w:pStyle w:val="ListeParagraf"/>
        <w:numPr>
          <w:ilvl w:val="0"/>
          <w:numId w:val="66"/>
        </w:numPr>
        <w:jc w:val="both"/>
      </w:pPr>
      <w:r>
        <w:t>Balcı, Deniz. (2023). Akıllı Kent Perspektifinde Belediyeler: Çorum Belediyesi’nde Akıllı Kent Uygulamaları. Ankara Hacı Bayram Veli Üniversitesi, Lisansüstü Eğitim Enstitüsü, Doktora Tezi.</w:t>
      </w:r>
    </w:p>
    <w:p w14:paraId="73251B34" w14:textId="77777777" w:rsidR="00FA457D" w:rsidRDefault="00FA457D">
      <w:pPr>
        <w:pStyle w:val="ListeParagraf"/>
        <w:numPr>
          <w:ilvl w:val="0"/>
          <w:numId w:val="66"/>
        </w:numPr>
        <w:jc w:val="both"/>
      </w:pPr>
      <w:r>
        <w:t xml:space="preserve">Balcı, D. ve Akçakaya, M. (2023). Akıllı Kent Vizyonunda Yönetişimden E-Yönetişime Bir Örnek: E-Belediye Uygulaması. </w:t>
      </w:r>
      <w:r w:rsidRPr="00AF40EA">
        <w:rPr>
          <w:i/>
        </w:rPr>
        <w:t xml:space="preserve">Ankara Hacı Bayram Veli Üniversitesi İktisadi ve İdari Bilimler Fakültesi Dergisi, </w:t>
      </w:r>
      <w:r>
        <w:t>25(3), 1227-1252</w:t>
      </w:r>
    </w:p>
    <w:p w14:paraId="71918689" w14:textId="64487FCA" w:rsidR="00FA457D" w:rsidRDefault="00FA457D">
      <w:pPr>
        <w:pStyle w:val="ListeParagraf"/>
        <w:numPr>
          <w:ilvl w:val="0"/>
          <w:numId w:val="66"/>
        </w:numPr>
        <w:jc w:val="both"/>
      </w:pPr>
      <w:r>
        <w:t xml:space="preserve">Çelik, K. (2021). Bulut Bilişim Teknolojileri, </w:t>
      </w:r>
      <w:r w:rsidRPr="00AF40EA">
        <w:rPr>
          <w:i/>
        </w:rPr>
        <w:t>Bartın Üniversitesi İktisadi ve İdari Bilimler Fakültesi Dergisi</w:t>
      </w:r>
      <w:r>
        <w:t>.12(24), 436-450.</w:t>
      </w:r>
    </w:p>
    <w:p w14:paraId="76E31E4B" w14:textId="77777777" w:rsidR="00FA457D" w:rsidRDefault="00FA457D">
      <w:pPr>
        <w:pStyle w:val="ListeParagraf"/>
        <w:numPr>
          <w:ilvl w:val="0"/>
          <w:numId w:val="66"/>
        </w:numPr>
        <w:jc w:val="both"/>
      </w:pPr>
      <w:r>
        <w:t xml:space="preserve">Evans, </w:t>
      </w:r>
      <w:proofErr w:type="spellStart"/>
      <w:r>
        <w:t>Penny</w:t>
      </w:r>
      <w:proofErr w:type="spellEnd"/>
      <w:r>
        <w:t xml:space="preserve">., </w:t>
      </w:r>
      <w:proofErr w:type="spellStart"/>
      <w:proofErr w:type="gramStart"/>
      <w:r>
        <w:t>Schuurman</w:t>
      </w:r>
      <w:proofErr w:type="spellEnd"/>
      <w:r>
        <w:t>,  Dimitri</w:t>
      </w:r>
      <w:proofErr w:type="gramEnd"/>
      <w:r>
        <w:t>.,</w:t>
      </w:r>
      <w:proofErr w:type="spellStart"/>
      <w:r>
        <w:t>Stahlbröst</w:t>
      </w:r>
      <w:proofErr w:type="spellEnd"/>
      <w:r>
        <w:t>, Anna.,</w:t>
      </w:r>
      <w:proofErr w:type="spellStart"/>
      <w:r>
        <w:t>Vervoort</w:t>
      </w:r>
      <w:proofErr w:type="spellEnd"/>
      <w:r>
        <w:t xml:space="preserve">, </w:t>
      </w:r>
      <w:proofErr w:type="spellStart"/>
      <w:r>
        <w:t>Koen</w:t>
      </w:r>
      <w:proofErr w:type="spellEnd"/>
      <w:r>
        <w:t xml:space="preserve">. (2019). </w:t>
      </w:r>
      <w:proofErr w:type="spellStart"/>
      <w:r>
        <w:t>Living</w:t>
      </w:r>
      <w:proofErr w:type="spellEnd"/>
      <w:r>
        <w:t xml:space="preserve"> </w:t>
      </w:r>
      <w:proofErr w:type="spellStart"/>
      <w:r>
        <w:t>Lab</w:t>
      </w:r>
      <w:proofErr w:type="spellEnd"/>
      <w:r>
        <w:t xml:space="preserve"> </w:t>
      </w:r>
      <w:proofErr w:type="spellStart"/>
      <w:r>
        <w:t>Methodology</w:t>
      </w:r>
      <w:proofErr w:type="spellEnd"/>
      <w:r>
        <w:t xml:space="preserve"> </w:t>
      </w:r>
      <w:proofErr w:type="spellStart"/>
      <w:r>
        <w:t>Handbook</w:t>
      </w:r>
      <w:proofErr w:type="spellEnd"/>
      <w:r>
        <w:t xml:space="preserve">, </w:t>
      </w:r>
      <w:hyperlink r:id="rId433">
        <w:r w:rsidRPr="00AF40EA">
          <w:rPr>
            <w:color w:val="0563C1"/>
            <w:u w:val="single"/>
          </w:rPr>
          <w:t>https://www.northwalescollaborative.wales/wp-content/uploads/2020/10/Living-lab-methodology-handbook_r.pdf</w:t>
        </w:r>
      </w:hyperlink>
      <w:r>
        <w:t>, (Erişim Tarihi 19.02.2025).</w:t>
      </w:r>
    </w:p>
    <w:p w14:paraId="020E0C13" w14:textId="77777777" w:rsidR="00FA457D" w:rsidRDefault="00FA457D">
      <w:pPr>
        <w:pStyle w:val="ListeParagraf"/>
        <w:numPr>
          <w:ilvl w:val="0"/>
          <w:numId w:val="66"/>
        </w:numPr>
        <w:jc w:val="both"/>
      </w:pPr>
      <w:r>
        <w:t xml:space="preserve">Gibson, Kate. (2024). </w:t>
      </w:r>
      <w:proofErr w:type="spellStart"/>
      <w:r>
        <w:t>Digital</w:t>
      </w:r>
      <w:proofErr w:type="spellEnd"/>
      <w:r>
        <w:t xml:space="preserve"> </w:t>
      </w:r>
      <w:proofErr w:type="spellStart"/>
      <w:r>
        <w:t>Platforms</w:t>
      </w:r>
      <w:proofErr w:type="spellEnd"/>
      <w:r>
        <w:t xml:space="preserve">: </w:t>
      </w:r>
      <w:proofErr w:type="spellStart"/>
      <w:r>
        <w:t>What</w:t>
      </w:r>
      <w:proofErr w:type="spellEnd"/>
      <w:r>
        <w:t xml:space="preserve"> They </w:t>
      </w:r>
      <w:proofErr w:type="spellStart"/>
      <w:r>
        <w:t>Are</w:t>
      </w:r>
      <w:proofErr w:type="spellEnd"/>
      <w:r>
        <w:t xml:space="preserve"> &amp; How They </w:t>
      </w:r>
      <w:proofErr w:type="spellStart"/>
      <w:r>
        <w:t>Create</w:t>
      </w:r>
      <w:proofErr w:type="spellEnd"/>
      <w:r>
        <w:t xml:space="preserve"> Value, </w:t>
      </w:r>
      <w:hyperlink r:id="rId434">
        <w:r w:rsidRPr="00AF40EA">
          <w:rPr>
            <w:color w:val="0563C1"/>
            <w:u w:val="single"/>
          </w:rPr>
          <w:t>https://online.hbs.edu/blog/post/what-is-a-digital-platform</w:t>
        </w:r>
      </w:hyperlink>
      <w:r w:rsidRPr="00AF40EA">
        <w:rPr>
          <w:color w:val="0563C1"/>
          <w:u w:val="single"/>
        </w:rPr>
        <w:t xml:space="preserve">, </w:t>
      </w:r>
      <w:r w:rsidRPr="00AF40EA">
        <w:rPr>
          <w:color w:val="000000"/>
        </w:rPr>
        <w:t>Erişim Tarihi:12.02.2025.</w:t>
      </w:r>
    </w:p>
    <w:p w14:paraId="6FF1ECDF" w14:textId="77777777" w:rsidR="00FA457D" w:rsidRDefault="00FA457D">
      <w:pPr>
        <w:pStyle w:val="ListeParagraf"/>
        <w:numPr>
          <w:ilvl w:val="0"/>
          <w:numId w:val="66"/>
        </w:numPr>
        <w:jc w:val="both"/>
      </w:pPr>
      <w:hyperlink r:id="rId435">
        <w:r w:rsidRPr="00AF40EA">
          <w:rPr>
            <w:color w:val="0563C1"/>
            <w:u w:val="single"/>
          </w:rPr>
          <w:t>https://amsterdamsmartcity.com/updates/project/iot-living-lab</w:t>
        </w:r>
      </w:hyperlink>
      <w:r w:rsidRPr="00AF40EA">
        <w:rPr>
          <w:color w:val="0563C1"/>
          <w:u w:val="single"/>
        </w:rPr>
        <w:t>,</w:t>
      </w:r>
      <w:r w:rsidRPr="00AF40EA">
        <w:rPr>
          <w:color w:val="000000"/>
          <w:u w:val="single"/>
        </w:rPr>
        <w:t>Erişim Tarihi:15.02.2025.</w:t>
      </w:r>
    </w:p>
    <w:p w14:paraId="2F191B27" w14:textId="77777777" w:rsidR="00FA457D" w:rsidRDefault="00FA457D">
      <w:pPr>
        <w:pStyle w:val="ListeParagraf"/>
        <w:numPr>
          <w:ilvl w:val="0"/>
          <w:numId w:val="66"/>
        </w:numPr>
        <w:jc w:val="both"/>
      </w:pPr>
      <w:hyperlink r:id="rId436">
        <w:r w:rsidRPr="00AF40EA">
          <w:rPr>
            <w:color w:val="0563C1"/>
            <w:u w:val="single"/>
          </w:rPr>
          <w:t>https://basaksehirlivinglab.com/</w:t>
        </w:r>
      </w:hyperlink>
      <w:r w:rsidRPr="00AF40EA">
        <w:rPr>
          <w:color w:val="0563C1"/>
          <w:u w:val="single"/>
        </w:rPr>
        <w:t xml:space="preserve">, </w:t>
      </w:r>
      <w:r w:rsidRPr="00AF40EA">
        <w:rPr>
          <w:color w:val="000000"/>
          <w:u w:val="single"/>
        </w:rPr>
        <w:t>Erişim Tarihi:12.02.2025.</w:t>
      </w:r>
    </w:p>
    <w:p w14:paraId="7133868D" w14:textId="77777777" w:rsidR="00FA457D" w:rsidRDefault="00FA457D">
      <w:pPr>
        <w:pStyle w:val="ListeParagraf"/>
        <w:numPr>
          <w:ilvl w:val="0"/>
          <w:numId w:val="66"/>
        </w:numPr>
        <w:jc w:val="both"/>
      </w:pPr>
      <w:hyperlink r:id="rId437">
        <w:r w:rsidRPr="00AF40EA">
          <w:rPr>
            <w:color w:val="0563C1"/>
            <w:u w:val="single"/>
          </w:rPr>
          <w:t>https://rural-urban.eu/living-lab/helsinki</w:t>
        </w:r>
      </w:hyperlink>
      <w:r w:rsidRPr="00AF40EA">
        <w:rPr>
          <w:color w:val="0563C1"/>
          <w:u w:val="single"/>
        </w:rPr>
        <w:t xml:space="preserve">, </w:t>
      </w:r>
      <w:r w:rsidRPr="00AF40EA">
        <w:rPr>
          <w:color w:val="000000"/>
          <w:u w:val="single"/>
        </w:rPr>
        <w:t>Erişim Tarihi:13.02.2025.</w:t>
      </w:r>
    </w:p>
    <w:p w14:paraId="60BDB1D4" w14:textId="77777777" w:rsidR="00FA457D" w:rsidRDefault="00FA457D">
      <w:pPr>
        <w:pStyle w:val="ListeParagraf"/>
        <w:numPr>
          <w:ilvl w:val="0"/>
          <w:numId w:val="66"/>
        </w:numPr>
        <w:jc w:val="both"/>
      </w:pPr>
      <w:hyperlink r:id="rId438">
        <w:r w:rsidRPr="00AF40EA">
          <w:rPr>
            <w:color w:val="0563C1"/>
            <w:u w:val="single"/>
          </w:rPr>
          <w:t>https://ulasav.csb.gov.tr/dataset</w:t>
        </w:r>
      </w:hyperlink>
      <w:r w:rsidRPr="00AF40EA">
        <w:rPr>
          <w:color w:val="0563C1"/>
          <w:u w:val="single"/>
        </w:rPr>
        <w:t xml:space="preserve">, </w:t>
      </w:r>
      <w:r w:rsidRPr="00AF40EA">
        <w:rPr>
          <w:color w:val="000000"/>
          <w:u w:val="single"/>
        </w:rPr>
        <w:t>Erişim Tarihi:20.02.2025.</w:t>
      </w:r>
    </w:p>
    <w:p w14:paraId="685BED5A" w14:textId="77777777" w:rsidR="00FA457D" w:rsidRPr="00AF40EA" w:rsidRDefault="00FA457D">
      <w:pPr>
        <w:pStyle w:val="ListeParagraf"/>
        <w:numPr>
          <w:ilvl w:val="0"/>
          <w:numId w:val="66"/>
        </w:numPr>
        <w:jc w:val="both"/>
        <w:rPr>
          <w:color w:val="0563C1"/>
          <w:u w:val="single"/>
        </w:rPr>
      </w:pPr>
      <w:hyperlink r:id="rId439">
        <w:r w:rsidRPr="00AF40EA">
          <w:rPr>
            <w:color w:val="0563C1"/>
            <w:u w:val="single"/>
          </w:rPr>
          <w:t>https://www.amsinstitute.org/documents/62/20211008_Flyer_Marineterein_Amsterdam_Living_Lab_MALL.pdf</w:t>
        </w:r>
      </w:hyperlink>
      <w:r w:rsidRPr="00AF40EA">
        <w:rPr>
          <w:color w:val="0563C1"/>
          <w:u w:val="single"/>
        </w:rPr>
        <w:t xml:space="preserve">, </w:t>
      </w:r>
      <w:r w:rsidRPr="00AF40EA">
        <w:rPr>
          <w:color w:val="000000"/>
          <w:u w:val="single"/>
        </w:rPr>
        <w:t>Erişim Tarihi:20.02.2025</w:t>
      </w:r>
      <w:r w:rsidRPr="00AF40EA">
        <w:rPr>
          <w:color w:val="0563C1"/>
          <w:u w:val="single"/>
        </w:rPr>
        <w:t>.</w:t>
      </w:r>
    </w:p>
    <w:p w14:paraId="29AD7FA5" w14:textId="77777777" w:rsidR="00FA457D" w:rsidRDefault="00FA457D">
      <w:pPr>
        <w:pStyle w:val="ListeParagraf"/>
        <w:numPr>
          <w:ilvl w:val="0"/>
          <w:numId w:val="66"/>
        </w:numPr>
        <w:jc w:val="both"/>
      </w:pPr>
      <w:hyperlink r:id="rId440">
        <w:r w:rsidRPr="00AF40EA">
          <w:rPr>
            <w:color w:val="0563C1"/>
            <w:u w:val="single"/>
          </w:rPr>
          <w:t>https://www.barcelona.cat/barcelonaciencia/en/science-city/science-and-citizenship/living-labs</w:t>
        </w:r>
      </w:hyperlink>
      <w:r w:rsidRPr="00AF40EA">
        <w:rPr>
          <w:color w:val="0563C1"/>
          <w:u w:val="single"/>
        </w:rPr>
        <w:t xml:space="preserve">, </w:t>
      </w:r>
      <w:r w:rsidRPr="00AF40EA">
        <w:rPr>
          <w:color w:val="000000"/>
          <w:u w:val="single"/>
        </w:rPr>
        <w:t>Erişim Tarihi:14.02.2025.</w:t>
      </w:r>
    </w:p>
    <w:p w14:paraId="0006B0A4" w14:textId="77777777" w:rsidR="00FA457D" w:rsidRDefault="00FA457D">
      <w:pPr>
        <w:pStyle w:val="ListeParagraf"/>
        <w:numPr>
          <w:ilvl w:val="0"/>
          <w:numId w:val="66"/>
        </w:numPr>
        <w:jc w:val="both"/>
      </w:pPr>
      <w:proofErr w:type="spellStart"/>
      <w:r>
        <w:t>Huot</w:t>
      </w:r>
      <w:proofErr w:type="spellEnd"/>
      <w:r>
        <w:t xml:space="preserve">, J. L., </w:t>
      </w:r>
      <w:proofErr w:type="spellStart"/>
      <w:r>
        <w:t>Thalmann</w:t>
      </w:r>
      <w:proofErr w:type="spellEnd"/>
      <w:r>
        <w:t xml:space="preserve">, J. P. </w:t>
      </w:r>
      <w:proofErr w:type="spellStart"/>
      <w:r>
        <w:t>and</w:t>
      </w:r>
      <w:proofErr w:type="spellEnd"/>
      <w:r>
        <w:t xml:space="preserve"> </w:t>
      </w:r>
      <w:proofErr w:type="spellStart"/>
      <w:r>
        <w:t>Valbelle</w:t>
      </w:r>
      <w:proofErr w:type="spellEnd"/>
      <w:r>
        <w:t xml:space="preserve">, D. (2000). Kentlerin Doğuşu (Çev.  </w:t>
      </w:r>
      <w:proofErr w:type="spellStart"/>
      <w:r>
        <w:t>A.</w:t>
      </w:r>
      <w:proofErr w:type="gramStart"/>
      <w:r>
        <w:t>B.Girgin</w:t>
      </w:r>
      <w:proofErr w:type="spellEnd"/>
      <w:proofErr w:type="gramEnd"/>
      <w:r>
        <w:t>), Ankara: İmge Kitabevi</w:t>
      </w:r>
    </w:p>
    <w:p w14:paraId="1BB332EF" w14:textId="77777777" w:rsidR="00FA457D" w:rsidRDefault="00FA457D">
      <w:pPr>
        <w:pStyle w:val="ListeParagraf"/>
        <w:numPr>
          <w:ilvl w:val="0"/>
          <w:numId w:val="66"/>
        </w:numPr>
        <w:jc w:val="both"/>
      </w:pPr>
      <w:proofErr w:type="spellStart"/>
      <w:r>
        <w:t>Kozlowski</w:t>
      </w:r>
      <w:proofErr w:type="spellEnd"/>
      <w:r>
        <w:t xml:space="preserve">, W. ve </w:t>
      </w:r>
      <w:proofErr w:type="spellStart"/>
      <w:r>
        <w:t>Suwar</w:t>
      </w:r>
      <w:proofErr w:type="spellEnd"/>
      <w:r>
        <w:t xml:space="preserve">, K. (2021). Smart City: </w:t>
      </w:r>
      <w:proofErr w:type="spellStart"/>
      <w:r>
        <w:t>Definitions</w:t>
      </w:r>
      <w:proofErr w:type="spellEnd"/>
      <w:r>
        <w:t xml:space="preserve">, </w:t>
      </w:r>
      <w:proofErr w:type="spellStart"/>
      <w:r>
        <w:t>Dimensions</w:t>
      </w:r>
      <w:proofErr w:type="spellEnd"/>
      <w:r>
        <w:t xml:space="preserve">, </w:t>
      </w:r>
      <w:proofErr w:type="spellStart"/>
      <w:r>
        <w:t>and</w:t>
      </w:r>
      <w:proofErr w:type="spellEnd"/>
      <w:r>
        <w:t xml:space="preserve"> </w:t>
      </w:r>
      <w:proofErr w:type="spellStart"/>
      <w:r>
        <w:t>Initiatives</w:t>
      </w:r>
      <w:proofErr w:type="spellEnd"/>
      <w:r>
        <w:t xml:space="preserve">. </w:t>
      </w:r>
      <w:proofErr w:type="spellStart"/>
      <w:r w:rsidRPr="00AF40EA">
        <w:rPr>
          <w:i/>
        </w:rPr>
        <w:t>European</w:t>
      </w:r>
      <w:proofErr w:type="spellEnd"/>
      <w:r w:rsidRPr="00AF40EA">
        <w:rPr>
          <w:i/>
        </w:rPr>
        <w:t xml:space="preserve"> </w:t>
      </w:r>
      <w:proofErr w:type="spellStart"/>
      <w:r w:rsidRPr="00AF40EA">
        <w:rPr>
          <w:i/>
        </w:rPr>
        <w:t>Research</w:t>
      </w:r>
      <w:proofErr w:type="spellEnd"/>
      <w:r w:rsidRPr="00AF40EA">
        <w:rPr>
          <w:i/>
        </w:rPr>
        <w:t xml:space="preserve"> </w:t>
      </w:r>
      <w:proofErr w:type="spellStart"/>
      <w:r w:rsidRPr="00AF40EA">
        <w:rPr>
          <w:i/>
        </w:rPr>
        <w:t>Studies</w:t>
      </w:r>
      <w:proofErr w:type="spellEnd"/>
      <w:r w:rsidRPr="00AF40EA">
        <w:rPr>
          <w:i/>
        </w:rPr>
        <w:t xml:space="preserve"> </w:t>
      </w:r>
      <w:proofErr w:type="spellStart"/>
      <w:r w:rsidRPr="00AF40EA">
        <w:rPr>
          <w:i/>
        </w:rPr>
        <w:t>Journal</w:t>
      </w:r>
      <w:proofErr w:type="spellEnd"/>
      <w:r>
        <w:t>. 24(3), 509-520.</w:t>
      </w:r>
    </w:p>
    <w:p w14:paraId="44B5CCDF" w14:textId="77777777" w:rsidR="00FA457D" w:rsidRDefault="00FA457D">
      <w:pPr>
        <w:pStyle w:val="ListeParagraf"/>
        <w:numPr>
          <w:ilvl w:val="0"/>
          <w:numId w:val="66"/>
        </w:numPr>
        <w:jc w:val="both"/>
      </w:pPr>
      <w:proofErr w:type="spellStart"/>
      <w:r>
        <w:t>Living</w:t>
      </w:r>
      <w:proofErr w:type="spellEnd"/>
      <w:r>
        <w:t xml:space="preserve"> </w:t>
      </w:r>
      <w:proofErr w:type="spellStart"/>
      <w:r>
        <w:t>Lab</w:t>
      </w:r>
      <w:proofErr w:type="spellEnd"/>
      <w:r>
        <w:t xml:space="preserve"> UB, </w:t>
      </w:r>
      <w:hyperlink r:id="rId441" w:anchor="what_we_do">
        <w:r w:rsidRPr="00AF40EA">
          <w:rPr>
            <w:color w:val="0563C1"/>
            <w:u w:val="single"/>
          </w:rPr>
          <w:t>https://www.ub.edu/livinglabub/en/#what_we_do</w:t>
        </w:r>
      </w:hyperlink>
      <w:r>
        <w:t>, Erişim Tarihi: 19.02.2025</w:t>
      </w:r>
    </w:p>
    <w:p w14:paraId="0D816A85" w14:textId="77777777" w:rsidR="00FA457D" w:rsidRDefault="00FA457D">
      <w:pPr>
        <w:pStyle w:val="ListeParagraf"/>
        <w:numPr>
          <w:ilvl w:val="0"/>
          <w:numId w:val="66"/>
        </w:numPr>
        <w:jc w:val="both"/>
      </w:pPr>
      <w:r>
        <w:t>Memiş, L., &amp; Küçük Bayraktar, H. (2020). Akıllı Kentler ve Yaşam Laboratuvarları (</w:t>
      </w:r>
      <w:proofErr w:type="spellStart"/>
      <w:r>
        <w:t>Living</w:t>
      </w:r>
      <w:proofErr w:type="spellEnd"/>
      <w:r>
        <w:t xml:space="preserve"> </w:t>
      </w:r>
      <w:proofErr w:type="spellStart"/>
      <w:r>
        <w:t>Labs</w:t>
      </w:r>
      <w:proofErr w:type="spellEnd"/>
      <w:r>
        <w:t xml:space="preserve">): Başakşehir Yaşam Laboratuvarı Örneğinde Bir İnceleme. </w:t>
      </w:r>
      <w:r w:rsidRPr="00AF40EA">
        <w:rPr>
          <w:i/>
        </w:rPr>
        <w:t xml:space="preserve">Uluslararası </w:t>
      </w:r>
      <w:r w:rsidRPr="00AF40EA">
        <w:rPr>
          <w:i/>
        </w:rPr>
        <w:lastRenderedPageBreak/>
        <w:t xml:space="preserve">Yönetim İktisat </w:t>
      </w:r>
      <w:proofErr w:type="gramStart"/>
      <w:r w:rsidRPr="00AF40EA">
        <w:rPr>
          <w:i/>
        </w:rPr>
        <w:t>Ve</w:t>
      </w:r>
      <w:proofErr w:type="gramEnd"/>
      <w:r w:rsidRPr="00AF40EA">
        <w:rPr>
          <w:i/>
        </w:rPr>
        <w:t xml:space="preserve"> İşletme Dergisi,</w:t>
      </w:r>
      <w:r>
        <w:t xml:space="preserve"> 16(4), 954-975</w:t>
      </w:r>
    </w:p>
    <w:p w14:paraId="38E02C2F" w14:textId="77777777" w:rsidR="00FA457D" w:rsidRDefault="00FA457D">
      <w:pPr>
        <w:pStyle w:val="ListeParagraf"/>
        <w:numPr>
          <w:ilvl w:val="0"/>
          <w:numId w:val="66"/>
        </w:numPr>
        <w:jc w:val="both"/>
      </w:pPr>
      <w:r>
        <w:t xml:space="preserve">Oral, O. ve Çakır, M. (2017). Nesnelerin İnterneti Kavramı ve Örnek Bir Prototipin Oluşturulması. </w:t>
      </w:r>
      <w:r w:rsidRPr="00AF40EA">
        <w:rPr>
          <w:i/>
        </w:rPr>
        <w:t>Mehmet Akif Ersoy Üniversitesi Fen Bilimleri Enstitüsü Dergisi</w:t>
      </w:r>
      <w:r>
        <w:t>, Özel Sayı 1, 172-177.</w:t>
      </w:r>
    </w:p>
    <w:p w14:paraId="0B0BE5F0" w14:textId="4C5B4824" w:rsidR="00FA457D" w:rsidRDefault="00FA457D">
      <w:pPr>
        <w:pStyle w:val="ListeParagraf"/>
        <w:numPr>
          <w:ilvl w:val="0"/>
          <w:numId w:val="66"/>
        </w:numPr>
        <w:jc w:val="both"/>
      </w:pPr>
      <w:proofErr w:type="spellStart"/>
      <w:r>
        <w:t>Örselli</w:t>
      </w:r>
      <w:proofErr w:type="spellEnd"/>
      <w:r>
        <w:t xml:space="preserve">, E. ve Akbay, C. (2019). Teknoloji ve Kent Yaşamında Dönüşüm: Akıllı Kentler. </w:t>
      </w:r>
      <w:r w:rsidRPr="00AF40EA">
        <w:rPr>
          <w:i/>
        </w:rPr>
        <w:t>Uluslararası Yönetim Akademisi Dergisi</w:t>
      </w:r>
      <w:r>
        <w:t>, 2(1), 228-241.</w:t>
      </w:r>
    </w:p>
    <w:p w14:paraId="6280DA03" w14:textId="36A14DFE" w:rsidR="00FA457D" w:rsidRDefault="00FA457D">
      <w:pPr>
        <w:pStyle w:val="ListeParagraf"/>
        <w:numPr>
          <w:ilvl w:val="0"/>
          <w:numId w:val="66"/>
        </w:numPr>
        <w:jc w:val="both"/>
      </w:pPr>
      <w:r>
        <w:t xml:space="preserve">Özdemir, E. (2010). Kentin Tanımlanmasında Sosyolojik Yaklaşımlar: Toplumsal Süreç ve/veya Mekânın Çözümlenmesi. </w:t>
      </w:r>
      <w:r w:rsidRPr="00AF40EA">
        <w:rPr>
          <w:i/>
        </w:rPr>
        <w:t>İdeal Kent Dergisi,</w:t>
      </w:r>
      <w:r>
        <w:t>1, 44-77</w:t>
      </w:r>
      <w:r>
        <w:br/>
      </w:r>
    </w:p>
    <w:p w14:paraId="04389D47" w14:textId="6539CEBB" w:rsidR="00FA457D" w:rsidRDefault="00FA457D">
      <w:pPr>
        <w:pStyle w:val="ListeParagraf"/>
        <w:numPr>
          <w:ilvl w:val="0"/>
          <w:numId w:val="66"/>
        </w:numPr>
        <w:jc w:val="both"/>
      </w:pPr>
      <w:r>
        <w:t xml:space="preserve">Öztaş Karlı, R. G., ve </w:t>
      </w:r>
      <w:proofErr w:type="spellStart"/>
      <w:r>
        <w:t>Açıksöz</w:t>
      </w:r>
      <w:proofErr w:type="spellEnd"/>
      <w:r>
        <w:t xml:space="preserve">, S. (2021). Akıllı Kent Yönetişimi ve Yaşayan Laboratuvarlar. </w:t>
      </w:r>
      <w:r w:rsidRPr="00AF40EA">
        <w:rPr>
          <w:i/>
        </w:rPr>
        <w:t xml:space="preserve">Stratejik </w:t>
      </w:r>
      <w:proofErr w:type="gramStart"/>
      <w:r w:rsidRPr="00AF40EA">
        <w:rPr>
          <w:i/>
        </w:rPr>
        <w:t>Ve</w:t>
      </w:r>
      <w:proofErr w:type="gramEnd"/>
      <w:r w:rsidRPr="00AF40EA">
        <w:rPr>
          <w:i/>
        </w:rPr>
        <w:t xml:space="preserve"> Sosyal Araştırmalar Dergisi</w:t>
      </w:r>
      <w:r>
        <w:t>, 5(2), 335-350.</w:t>
      </w:r>
    </w:p>
    <w:p w14:paraId="0AF66DC2" w14:textId="77777777" w:rsidR="00FA457D" w:rsidRDefault="00FA457D">
      <w:pPr>
        <w:pStyle w:val="ListeParagraf"/>
        <w:numPr>
          <w:ilvl w:val="0"/>
          <w:numId w:val="66"/>
        </w:numPr>
        <w:jc w:val="both"/>
      </w:pPr>
      <w:r>
        <w:t xml:space="preserve">Uçar, </w:t>
      </w:r>
      <w:proofErr w:type="gramStart"/>
      <w:r>
        <w:t>A. ,</w:t>
      </w:r>
      <w:proofErr w:type="gramEnd"/>
      <w:r>
        <w:t xml:space="preserve"> </w:t>
      </w:r>
      <w:proofErr w:type="spellStart"/>
      <w:r>
        <w:t>Negiz</w:t>
      </w:r>
      <w:proofErr w:type="spellEnd"/>
      <w:r>
        <w:t xml:space="preserve">, N. &amp; </w:t>
      </w:r>
      <w:proofErr w:type="spellStart"/>
      <w:r>
        <w:t>Şemşit</w:t>
      </w:r>
      <w:proofErr w:type="spellEnd"/>
      <w:r>
        <w:t xml:space="preserve">, S. (2017). Avrupa Birliği Akıllı Kent Uygulamaları ve Türkiye’deki Yansımaları, </w:t>
      </w:r>
      <w:r w:rsidRPr="00AF40EA">
        <w:rPr>
          <w:i/>
        </w:rPr>
        <w:t>Süleyman Demirel Üniversitesi İktisadi ve İdari Bilimler Fakültesi Dergisi,</w:t>
      </w:r>
      <w:r>
        <w:t xml:space="preserve"> </w:t>
      </w:r>
      <w:proofErr w:type="spellStart"/>
      <w:r>
        <w:t>Kayfor</w:t>
      </w:r>
      <w:proofErr w:type="spellEnd"/>
      <w:r>
        <w:t xml:space="preserve"> 15 Özel Sayısı, 1785-1798.</w:t>
      </w:r>
    </w:p>
    <w:p w14:paraId="2ADD7176" w14:textId="75BCC461" w:rsidR="00FA457D" w:rsidRDefault="00FA457D">
      <w:pPr>
        <w:pStyle w:val="ListeParagraf"/>
        <w:numPr>
          <w:ilvl w:val="0"/>
          <w:numId w:val="66"/>
        </w:numPr>
        <w:jc w:val="both"/>
      </w:pPr>
      <w:r>
        <w:t xml:space="preserve">Varol, C. (2017). Sürdürülebilir Gelişmede Akıllı Kent Yaklaşımı: Ankara’daki Belediyelerin Uygulamaları, </w:t>
      </w:r>
      <w:r w:rsidRPr="00AF40EA">
        <w:rPr>
          <w:i/>
        </w:rPr>
        <w:t>Çağdaş Yerel Yönetimler Dergisi,</w:t>
      </w:r>
      <w:r>
        <w:t xml:space="preserve"> 26(1), 43-58</w:t>
      </w:r>
    </w:p>
    <w:p w14:paraId="0C56885F" w14:textId="77777777" w:rsidR="00FA457D" w:rsidRDefault="00FA457D">
      <w:pPr>
        <w:pStyle w:val="ListeParagraf"/>
        <w:numPr>
          <w:ilvl w:val="0"/>
          <w:numId w:val="66"/>
        </w:numPr>
        <w:jc w:val="both"/>
      </w:pPr>
      <w:r>
        <w:t>Yaylı, H. (2012</w:t>
      </w:r>
      <w:proofErr w:type="gramStart"/>
      <w:r>
        <w:t>).Küreselleşmenin</w:t>
      </w:r>
      <w:proofErr w:type="gramEnd"/>
      <w:r>
        <w:t xml:space="preserve"> Kentler Üzerine Etkisi: İstanbul Örneği. </w:t>
      </w:r>
      <w:r w:rsidRPr="00AF40EA">
        <w:rPr>
          <w:i/>
        </w:rPr>
        <w:t>Sosyal Ekonomik Araştırmalar Dergis</w:t>
      </w:r>
      <w:r>
        <w:t>i, 12(24), 331-356.</w:t>
      </w:r>
    </w:p>
    <w:p w14:paraId="6EBA6971" w14:textId="77777777" w:rsidR="00FA457D" w:rsidRDefault="00FA457D">
      <w:pPr>
        <w:pStyle w:val="ListeParagraf"/>
        <w:numPr>
          <w:ilvl w:val="0"/>
          <w:numId w:val="66"/>
        </w:numPr>
        <w:jc w:val="both"/>
      </w:pPr>
      <w:r>
        <w:t xml:space="preserve">Yılmaz, E. ve Çitçi, S. (2011). Kentlerin Ortaya Çıkışı ve </w:t>
      </w:r>
      <w:proofErr w:type="spellStart"/>
      <w:r>
        <w:t>Sosyo</w:t>
      </w:r>
      <w:proofErr w:type="spellEnd"/>
      <w:r>
        <w:t xml:space="preserve">-politik Açıdan Türkiye’de Kentleşme Dönemleri, </w:t>
      </w:r>
      <w:r w:rsidRPr="00AF40EA">
        <w:rPr>
          <w:i/>
        </w:rPr>
        <w:t>Elektronik Sosyal Bilimler Dergisi,</w:t>
      </w:r>
      <w:r>
        <w:t>10(35), 252-267.</w:t>
      </w:r>
    </w:p>
    <w:p w14:paraId="006C1874" w14:textId="4BAFA49C" w:rsidR="00D47EF1" w:rsidRDefault="00FA457D">
      <w:pPr>
        <w:pStyle w:val="ListeParagraf"/>
        <w:numPr>
          <w:ilvl w:val="0"/>
          <w:numId w:val="66"/>
        </w:numPr>
        <w:jc w:val="both"/>
      </w:pPr>
      <w:proofErr w:type="spellStart"/>
      <w:r>
        <w:t>Zanetti</w:t>
      </w:r>
      <w:proofErr w:type="spellEnd"/>
      <w:r>
        <w:t xml:space="preserve">, M., </w:t>
      </w:r>
      <w:proofErr w:type="spellStart"/>
      <w:r>
        <w:t>Nollo</w:t>
      </w:r>
      <w:proofErr w:type="spellEnd"/>
      <w:r>
        <w:t xml:space="preserve">, G., &amp; De </w:t>
      </w:r>
      <w:proofErr w:type="spellStart"/>
      <w:r>
        <w:t>Cecco</w:t>
      </w:r>
      <w:proofErr w:type="spellEnd"/>
      <w:r>
        <w:t>, M. (</w:t>
      </w:r>
      <w:proofErr w:type="spellStart"/>
      <w:r>
        <w:t>t.y</w:t>
      </w:r>
      <w:proofErr w:type="spellEnd"/>
      <w:r>
        <w:t xml:space="preserve">.). </w:t>
      </w:r>
      <w:proofErr w:type="spellStart"/>
      <w:r>
        <w:t>Living</w:t>
      </w:r>
      <w:proofErr w:type="spellEnd"/>
      <w:r>
        <w:t xml:space="preserve"> </w:t>
      </w:r>
      <w:proofErr w:type="spellStart"/>
      <w:r>
        <w:t>Lab</w:t>
      </w:r>
      <w:proofErr w:type="spellEnd"/>
      <w:r>
        <w:t xml:space="preserve">, an </w:t>
      </w:r>
      <w:proofErr w:type="spellStart"/>
      <w:r>
        <w:t>Innovative</w:t>
      </w:r>
      <w:proofErr w:type="spellEnd"/>
      <w:r>
        <w:t xml:space="preserve"> </w:t>
      </w:r>
      <w:proofErr w:type="spellStart"/>
      <w:r>
        <w:t>Approach</w:t>
      </w:r>
      <w:proofErr w:type="spellEnd"/>
      <w:r>
        <w:t xml:space="preserve"> in Healthcare.</w:t>
      </w:r>
    </w:p>
    <w:p w14:paraId="5E7AAC13" w14:textId="751231FF" w:rsidR="00E25BB1" w:rsidRPr="00D47EF1" w:rsidRDefault="00D47EF1" w:rsidP="00D47EF1">
      <w:pPr>
        <w:autoSpaceDE/>
        <w:autoSpaceDN/>
      </w:pPr>
      <w:r>
        <w:br w:type="page"/>
      </w:r>
    </w:p>
    <w:p w14:paraId="0A93C8DF" w14:textId="383182FB" w:rsidR="00FA457D" w:rsidRPr="00B1089D" w:rsidRDefault="00FA457D" w:rsidP="004C7694">
      <w:pPr>
        <w:pStyle w:val="Tark"/>
      </w:pPr>
      <w:bookmarkStart w:id="284" w:name="_Toc192855297"/>
      <w:r w:rsidRPr="00B1089D">
        <w:lastRenderedPageBreak/>
        <w:t>Kent Kır Ayrımında Yeni Bir Sınıflandırma: Yoğun Kent, Orta Yoğun Kent ve Kır</w:t>
      </w:r>
      <w:bookmarkEnd w:id="284"/>
    </w:p>
    <w:p w14:paraId="628DD326" w14:textId="77777777" w:rsidR="00FA457D" w:rsidRPr="00B1089D" w:rsidRDefault="00FA457D" w:rsidP="00FA457D">
      <w:pPr>
        <w:widowControl/>
        <w:jc w:val="center"/>
      </w:pPr>
    </w:p>
    <w:p w14:paraId="75EA4539" w14:textId="77777777" w:rsidR="00FA457D" w:rsidRPr="00B1089D" w:rsidRDefault="00FA457D" w:rsidP="00FA457D">
      <w:pPr>
        <w:widowControl/>
        <w:jc w:val="center"/>
      </w:pPr>
      <w:r w:rsidRPr="00B1089D">
        <w:t>Kürşat SEKMAN</w:t>
      </w:r>
      <w:r w:rsidRPr="00B1089D">
        <w:br/>
        <w:t>Yüksek Lisans Öğrencisi, Amasya Üniversitesi, Sosyal Bilimler Enstitüsü / Siyaset Bilimi ve Kamu Yönetimi Anabilim Dalı</w:t>
      </w:r>
      <w:r w:rsidRPr="00B1089D">
        <w:br/>
        <w:t>kursatsekman@gmail.com</w:t>
      </w:r>
      <w:r w:rsidRPr="00B1089D">
        <w:br/>
        <w:t>0009-0001-5133-5412</w:t>
      </w:r>
    </w:p>
    <w:p w14:paraId="376E958B" w14:textId="77777777" w:rsidR="00FA457D" w:rsidRPr="00B1089D" w:rsidRDefault="00FA457D" w:rsidP="00FA457D">
      <w:pPr>
        <w:widowControl/>
        <w:jc w:val="center"/>
      </w:pPr>
    </w:p>
    <w:p w14:paraId="286BB676" w14:textId="77777777" w:rsidR="00FA457D" w:rsidRPr="00B1089D" w:rsidRDefault="00FA457D" w:rsidP="00FA457D">
      <w:pPr>
        <w:widowControl/>
        <w:jc w:val="center"/>
      </w:pPr>
      <w:r w:rsidRPr="00B1089D">
        <w:t>Kemal AYDIN</w:t>
      </w:r>
      <w:r w:rsidRPr="00B1089D">
        <w:br/>
        <w:t>Prof. Dr., Amasya Üniversitesi, Merzifon İktisadi ve İdari Bilimler Fakültesi</w:t>
      </w:r>
      <w:r w:rsidRPr="00B1089D">
        <w:br/>
        <w:t>kemal.aydin111@gmail.com</w:t>
      </w:r>
      <w:r w:rsidRPr="00B1089D">
        <w:br/>
        <w:t>0000-0002-2013-7085</w:t>
      </w:r>
    </w:p>
    <w:p w14:paraId="474392DA" w14:textId="77777777" w:rsidR="00FA457D" w:rsidRPr="00B1089D" w:rsidRDefault="00FA457D" w:rsidP="00FA457D">
      <w:pPr>
        <w:widowControl/>
        <w:jc w:val="center"/>
      </w:pPr>
    </w:p>
    <w:p w14:paraId="066581B3" w14:textId="77777777" w:rsidR="00FA457D" w:rsidRPr="00B1089D" w:rsidRDefault="00FA457D" w:rsidP="00FA457D">
      <w:pPr>
        <w:widowControl/>
        <w:jc w:val="center"/>
      </w:pPr>
      <w:r w:rsidRPr="00B1089D">
        <w:rPr>
          <w:b/>
          <w:bCs/>
        </w:rPr>
        <w:t>Özet</w:t>
      </w:r>
    </w:p>
    <w:p w14:paraId="7F2D74F5" w14:textId="77777777" w:rsidR="00FA457D" w:rsidRPr="00B1089D" w:rsidRDefault="00FA457D" w:rsidP="00AF40EA">
      <w:pPr>
        <w:widowControl/>
        <w:jc w:val="both"/>
      </w:pPr>
      <w:r w:rsidRPr="00B1089D">
        <w:t>Ülkemizde ilk nüfus sayımı 1927 senesinde gerçekleştirilmiştir. 2000 yılında sonuncusu gerçekleşen nüfus sayımları ve ilk kez 31 Aralık 2007 tarihi itibarıyla nüfus verilerinin üretildiği Adrese Dayalı Nüfus Kayıt Sistemi (ADNKS) istatistiklerinde istatistiki bölge, köy-şehir, kent-kır gibi başlıklar üzerinden tasnif yapılmıştır. İlgili istatistiklerde Devlet Planlama Teşkilatı tarafından hazırlanmış ve 1982 senesinde yayımlanmış olan ‘’Kent Eşiği Araştırması: Türkiye İçin Kent Tanımı’’ ölçütlerinden hareketle kent-kır sınıflamaları belirlenmiş, nüfusu 20.001 ve yukarı olan yerleşim yerleri kent, nüfusu 20.000 ve aşağı olan yerleşim yerleri kır olarak tanımlanmıştır. 20.000 nüfus kriteri ışığında yapılan kır-kent tanımlamaları 5216, 5747 ve 6360 sayılı Kanunlar gibi hukuki düzenlemelerin idari bölünüş biçimleri ve yerleşim yerlerinin tüzel kişilikleri üzerinde getirdiği değişiklerin fazlaca etkisi altında kalmıştır. Özellikle 6360 Sayılı Kanun ile 14 büyükşehir belediyesi ve 27 ilçe kurulması ile büyükşehir belediyelerinin il mülki sınırları ile özdeşleşmiş olması ve büyükşehirlerdeki belde ve köylerin mahalleye dönüştürülmesi, mevcut kent-kır tanımlamasını büyük oranda etkilemiştir. 2022 ADNKS istatistiklerine göre belde ve köylerde yaşayan nüfusun oranı 22,72 iken ilgili düzenlemelerin etkisiyle 8,65’e kadar gerilemiştir. Bilhassa büyükşehir belediyesi olan 30 şehirde, belde ve köy yönetimlerinin de kaldırılmasıyla birlikte kent-kır tanımlamalarının geçerliliğini kaybettiği görülmektedir. Bu doğrultuda TÜİK tarafından sürdürülebilir bir istatistik yapısının pekişmesi amacıyla mahalle ve köy düzeyinde, yoğun kent, orta yoğun kent ve kır şeklinde yeni bir kent-kır sınıflaması geliştirilmiş olup 2022 yılı verileri itibarıyla kamuoyuyla paylaşılmaya başlanmıştır. Yoğun kent, bir yerleşim yerindeki nüfusun %50 ve daha fazlasının kent merkezi gridlerinde yaşadığı; kır, nüfusun %50’si ve daha fazlasının kırsal gridlerde ikamet ettiği ve orta yoğun kent ise kır ve yoğun kent niteliklerine haiz olmayan yerleşim yerlerini ifade etmektedir (TÜİK, 2023; TÜİK, 2024). Bu çalışmanın amacı, kent-kır sınıflamalarında kullanılan muhtelif tanımlamaları istatistiki sonuçları göz önünde bulundurularak incelemek, hangisinin daha tutarlı ve geçerli olduğunu tespit etmeye çalışmaktır. Çalışma kapsamında çeşitli kurum ve kuruluşların kullandığı kent-kır sınıflandırmalarının karşılaştırılması, Genel Nüfus Sayımları ile ADNKS sonuçlarının analiz edilmesi yöntem olarak kullanılmıştır. Yerleşim yerlerini idari bölünüş ve hükmi şahsiyet gibi kriterler üzerinden tekdüze ve temel düzeyde sınıflandırmayan, veri üretmeye uygun, sürdürülebilir ve tüm yerleşim biçimlerinde uygulanabilecek yoğun kent, orta yoğun kent ve kır sınıflandırması üzerinden daha geçerli ve tutarlı istatistik üretilebileceği değerlendirilmiştir.</w:t>
      </w:r>
    </w:p>
    <w:p w14:paraId="0DECDF68" w14:textId="77777777" w:rsidR="00FA457D" w:rsidRPr="00B1089D" w:rsidRDefault="00FA457D" w:rsidP="00AF40EA">
      <w:pPr>
        <w:widowControl/>
        <w:jc w:val="both"/>
      </w:pPr>
    </w:p>
    <w:p w14:paraId="76B5E0E1" w14:textId="43AB8213" w:rsidR="00FA457D" w:rsidRPr="00B1089D" w:rsidRDefault="00FA457D" w:rsidP="00D47EF1">
      <w:pPr>
        <w:widowControl/>
        <w:jc w:val="both"/>
      </w:pPr>
      <w:r w:rsidRPr="00B1089D">
        <w:rPr>
          <w:b/>
          <w:bCs/>
        </w:rPr>
        <w:t xml:space="preserve">Anahtar </w:t>
      </w:r>
      <w:r w:rsidRPr="00D10870">
        <w:rPr>
          <w:b/>
          <w:bCs/>
        </w:rPr>
        <w:t>Kelime</w:t>
      </w:r>
      <w:r w:rsidRPr="00B1089D">
        <w:rPr>
          <w:b/>
          <w:bCs/>
        </w:rPr>
        <w:t>ler:</w:t>
      </w:r>
      <w:r w:rsidRPr="00B1089D">
        <w:t xml:space="preserve"> Kent-Kır, Yoğun Kent, Kentsel Nüfus, Kentsel Alan, Kırsal Alan</w:t>
      </w:r>
      <w:r w:rsidR="00D47EF1">
        <w:br w:type="page"/>
      </w:r>
    </w:p>
    <w:p w14:paraId="3A8104D6" w14:textId="77777777" w:rsidR="00FA457D" w:rsidRDefault="00FA457D" w:rsidP="004C7694">
      <w:pPr>
        <w:pStyle w:val="Tark"/>
      </w:pPr>
      <w:bookmarkStart w:id="285" w:name="_Toc192855298"/>
      <w:r w:rsidRPr="00B1089D">
        <w:lastRenderedPageBreak/>
        <w:t>İklim Değişikliğinin Tarım ve Kırsal Nüfus Üzerine Etkileri: Azerbaycan Örneği</w:t>
      </w:r>
      <w:bookmarkEnd w:id="285"/>
    </w:p>
    <w:p w14:paraId="04993617" w14:textId="77777777" w:rsidR="008003D6" w:rsidRPr="008003D6" w:rsidRDefault="008003D6" w:rsidP="008003D6">
      <w:pPr>
        <w:pStyle w:val="Metin"/>
      </w:pPr>
    </w:p>
    <w:p w14:paraId="02A34B34" w14:textId="77777777" w:rsidR="00FA457D" w:rsidRPr="00B1089D" w:rsidRDefault="00FA457D" w:rsidP="00FA457D">
      <w:pPr>
        <w:widowControl/>
        <w:jc w:val="center"/>
      </w:pPr>
      <w:proofErr w:type="spellStart"/>
      <w:r w:rsidRPr="00B1089D">
        <w:t>Öğr.Gör.</w:t>
      </w:r>
      <w:proofErr w:type="gramStart"/>
      <w:r w:rsidRPr="00B1089D">
        <w:t>Dr.Nihal</w:t>
      </w:r>
      <w:proofErr w:type="spellEnd"/>
      <w:proofErr w:type="gramEnd"/>
      <w:r w:rsidRPr="00B1089D">
        <w:t xml:space="preserve"> Gökçe</w:t>
      </w:r>
    </w:p>
    <w:p w14:paraId="4D88CBFA" w14:textId="77777777" w:rsidR="00FA457D" w:rsidRPr="00B1089D" w:rsidRDefault="00FA457D" w:rsidP="00FA457D">
      <w:pPr>
        <w:widowControl/>
        <w:jc w:val="center"/>
      </w:pPr>
      <w:r w:rsidRPr="00B1089D">
        <w:t>Hitit Üniversitesi</w:t>
      </w:r>
    </w:p>
    <w:p w14:paraId="1406179B" w14:textId="77777777" w:rsidR="00FA457D" w:rsidRPr="00B1089D" w:rsidRDefault="00FA457D" w:rsidP="00FA457D">
      <w:pPr>
        <w:widowControl/>
        <w:jc w:val="center"/>
      </w:pPr>
      <w:r w:rsidRPr="00B1089D">
        <w:t>nihalgokce@hitit.edu.tr</w:t>
      </w:r>
    </w:p>
    <w:p w14:paraId="48C4615C" w14:textId="77777777" w:rsidR="00FA457D" w:rsidRPr="00B1089D" w:rsidRDefault="00FA457D" w:rsidP="00FA457D">
      <w:pPr>
        <w:widowControl/>
        <w:jc w:val="center"/>
      </w:pPr>
      <w:proofErr w:type="spellStart"/>
      <w:r w:rsidRPr="00B1089D">
        <w:t>Orcid</w:t>
      </w:r>
      <w:proofErr w:type="spellEnd"/>
      <w:r w:rsidRPr="00B1089D">
        <w:t xml:space="preserve"> ID: 0000-0003-0030-658X</w:t>
      </w:r>
    </w:p>
    <w:p w14:paraId="30D7EE46" w14:textId="77777777" w:rsidR="00FA457D" w:rsidRPr="00B1089D" w:rsidRDefault="00FA457D" w:rsidP="00FA457D">
      <w:pPr>
        <w:widowControl/>
        <w:jc w:val="center"/>
      </w:pPr>
    </w:p>
    <w:p w14:paraId="66DCC3D3" w14:textId="77777777" w:rsidR="00FA457D" w:rsidRPr="00B1089D" w:rsidRDefault="00FA457D" w:rsidP="00FA457D">
      <w:pPr>
        <w:widowControl/>
        <w:jc w:val="center"/>
      </w:pPr>
      <w:r w:rsidRPr="00B1089D">
        <w:rPr>
          <w:b/>
          <w:bCs/>
        </w:rPr>
        <w:t>Özet</w:t>
      </w:r>
    </w:p>
    <w:p w14:paraId="3E517209" w14:textId="77777777" w:rsidR="00FA457D" w:rsidRPr="00D10870" w:rsidRDefault="00FA457D" w:rsidP="00AF40EA">
      <w:pPr>
        <w:widowControl/>
        <w:jc w:val="both"/>
      </w:pPr>
      <w:r w:rsidRPr="00B1089D">
        <w:t xml:space="preserve">Azerbaycan Güney Kafkasya bölgesinde yer almakta olup, ülke topraklarının %50-55’i tarım uygulamalarına elverişli alanlardan oluşmaktadır. Araziler ülkenin coğrafi yapısı nedeni ile farklı yükseltilere sahip olup, bu rölyefler iklim çeşitliliğine yol açmakta ve birçok türde bitkinin yetişmesine olanak sağlamaktadır. Ülkede kışların ılıman, hatta dönem </w:t>
      </w:r>
      <w:proofErr w:type="spellStart"/>
      <w:r w:rsidRPr="00B1089D">
        <w:t>dönem</w:t>
      </w:r>
      <w:proofErr w:type="spellEnd"/>
      <w:r w:rsidRPr="00B1089D">
        <w:t xml:space="preserve"> sıcak; yazların ise serin geçtiği bölgeler olduğu gibi mevsimlerin kurak ya da bol yağışlı geçtiği bölgeler de bulunmaktadır. İklim zenginliği nedeniyle Azerbaycan’da buğdaydan çaya, şeker pancarından çeltiğe kadar çok farklı tarım ürünleri yetiştirilmektedir. Sanayi Devrimi </w:t>
      </w:r>
      <w:proofErr w:type="gramStart"/>
      <w:r w:rsidRPr="00B1089D">
        <w:t>ile birlikte</w:t>
      </w:r>
      <w:proofErr w:type="gramEnd"/>
      <w:r w:rsidRPr="00B1089D">
        <w:t xml:space="preserve"> atmosfere salınan karbondioksit, metan, azot gibi gazların miktarında meydana gelen artışların yarattığı sera etkisi tüm dünyayı olduğu gibi Azerbaycan’ı da etkilemekte ve bu etkileri tersine çevirme konusunda duyarlı davranmasına rağmen ülkede iklim değişikliğinin yarattığı hava koşullarının ilerleyen yıllarda etkisini daha fazla hissettireceği öngörülmektedir. Bu makalede iklim değişikliğinin tarım üzerine etkileri Azerbaycan özelinde incelenecektir. 2022 yılı itibarı ile nüfusun </w:t>
      </w:r>
      <w:proofErr w:type="gramStart"/>
      <w:r w:rsidRPr="00B1089D">
        <w:t>% 47</w:t>
      </w:r>
      <w:proofErr w:type="gramEnd"/>
      <w:r w:rsidRPr="00B1089D">
        <w:t>’sinin kırsal alanda yaşadığı ülkede tarımı iyileştirmek toplumsal refahı artırmak açısından da öncelikli bir kamu politikası olmalıdır. Çalışma ülkenin sıcaklık artışı ve buna bağlı etkilerden dolayı iklim değişikliğinden en fazla etkilenecek alanlar arasında yer aldığını göstermektedir.</w:t>
      </w:r>
    </w:p>
    <w:p w14:paraId="55908AD3" w14:textId="77777777" w:rsidR="00FA457D" w:rsidRPr="00B1089D" w:rsidRDefault="00FA457D" w:rsidP="00AF40EA">
      <w:pPr>
        <w:widowControl/>
        <w:jc w:val="both"/>
      </w:pPr>
    </w:p>
    <w:p w14:paraId="7124A689" w14:textId="043280D0" w:rsidR="00D47EF1" w:rsidRDefault="00FA457D" w:rsidP="00AF40EA">
      <w:pPr>
        <w:widowControl/>
        <w:jc w:val="both"/>
      </w:pPr>
      <w:r w:rsidRPr="00B1089D">
        <w:rPr>
          <w:b/>
          <w:bCs/>
        </w:rPr>
        <w:t xml:space="preserve">Anahtar </w:t>
      </w:r>
      <w:r w:rsidRPr="00D10870">
        <w:rPr>
          <w:b/>
          <w:bCs/>
        </w:rPr>
        <w:t>K</w:t>
      </w:r>
      <w:r w:rsidRPr="00B1089D">
        <w:rPr>
          <w:b/>
          <w:bCs/>
        </w:rPr>
        <w:t>elimeler:</w:t>
      </w:r>
      <w:r w:rsidRPr="00B1089D">
        <w:t xml:space="preserve"> İklim değişikliği, kırsal kalkınma, tarım, toplumsal refah, kamu politikaları.</w:t>
      </w:r>
    </w:p>
    <w:p w14:paraId="04E5EFF0" w14:textId="62BDA9F0" w:rsidR="00FA457D" w:rsidRPr="00D10870" w:rsidRDefault="00D47EF1" w:rsidP="00D47EF1">
      <w:pPr>
        <w:autoSpaceDE/>
        <w:autoSpaceDN/>
      </w:pPr>
      <w:r>
        <w:br w:type="page"/>
      </w:r>
    </w:p>
    <w:p w14:paraId="2615BBAD" w14:textId="77777777" w:rsidR="00FA457D" w:rsidRPr="00D10870" w:rsidRDefault="00FA457D" w:rsidP="004C7694">
      <w:pPr>
        <w:pStyle w:val="Tark"/>
      </w:pPr>
      <w:bookmarkStart w:id="286" w:name="_Toc192855299"/>
      <w:r w:rsidRPr="00B1089D">
        <w:lastRenderedPageBreak/>
        <w:t>İklim Krizi ve Kent Yaşamı</w:t>
      </w:r>
      <w:bookmarkEnd w:id="286"/>
    </w:p>
    <w:p w14:paraId="2ACD9086" w14:textId="77777777" w:rsidR="00FA457D" w:rsidRPr="00B1089D" w:rsidRDefault="00FA457D" w:rsidP="00FA457D">
      <w:pPr>
        <w:widowControl/>
        <w:jc w:val="center"/>
      </w:pPr>
    </w:p>
    <w:p w14:paraId="2B2E32C2" w14:textId="77777777" w:rsidR="00FA457D" w:rsidRPr="00B1089D" w:rsidRDefault="00FA457D" w:rsidP="00FA457D">
      <w:pPr>
        <w:widowControl/>
        <w:jc w:val="center"/>
      </w:pPr>
      <w:proofErr w:type="spellStart"/>
      <w:r w:rsidRPr="00B1089D">
        <w:t>Öğr.Gör.</w:t>
      </w:r>
      <w:proofErr w:type="gramStart"/>
      <w:r w:rsidRPr="00B1089D">
        <w:t>Dr.Nihal</w:t>
      </w:r>
      <w:proofErr w:type="spellEnd"/>
      <w:proofErr w:type="gramEnd"/>
      <w:r w:rsidRPr="00B1089D">
        <w:t xml:space="preserve"> Gökçe</w:t>
      </w:r>
    </w:p>
    <w:p w14:paraId="265DFA4B" w14:textId="77777777" w:rsidR="00FA457D" w:rsidRPr="00B1089D" w:rsidRDefault="00FA457D" w:rsidP="00FA457D">
      <w:pPr>
        <w:widowControl/>
        <w:jc w:val="center"/>
      </w:pPr>
      <w:r w:rsidRPr="00B1089D">
        <w:t>Hitit Üniversitesi</w:t>
      </w:r>
    </w:p>
    <w:p w14:paraId="7E57E376" w14:textId="77777777" w:rsidR="00FA457D" w:rsidRPr="00B1089D" w:rsidRDefault="00FA457D" w:rsidP="00FA457D">
      <w:pPr>
        <w:widowControl/>
        <w:jc w:val="center"/>
      </w:pPr>
      <w:r w:rsidRPr="00B1089D">
        <w:t>nihalgokce@hitit.edu.tr</w:t>
      </w:r>
    </w:p>
    <w:p w14:paraId="0CBE2C5E" w14:textId="77777777" w:rsidR="00FA457D" w:rsidRPr="00D10870" w:rsidRDefault="00FA457D" w:rsidP="00FA457D">
      <w:pPr>
        <w:widowControl/>
        <w:jc w:val="center"/>
      </w:pPr>
      <w:proofErr w:type="spellStart"/>
      <w:r w:rsidRPr="00B1089D">
        <w:t>Orcid</w:t>
      </w:r>
      <w:proofErr w:type="spellEnd"/>
      <w:r w:rsidRPr="00B1089D">
        <w:t xml:space="preserve"> ID: 0000-0003-0030-658X</w:t>
      </w:r>
    </w:p>
    <w:p w14:paraId="76B8C76B" w14:textId="77777777" w:rsidR="00FA457D" w:rsidRPr="00B1089D" w:rsidRDefault="00FA457D" w:rsidP="00FA457D">
      <w:pPr>
        <w:widowControl/>
        <w:jc w:val="center"/>
      </w:pPr>
    </w:p>
    <w:p w14:paraId="29C759B2" w14:textId="77777777" w:rsidR="00FA457D" w:rsidRPr="00B1089D" w:rsidRDefault="00FA457D" w:rsidP="00FA457D">
      <w:pPr>
        <w:widowControl/>
        <w:jc w:val="center"/>
      </w:pPr>
      <w:r w:rsidRPr="00B1089D">
        <w:rPr>
          <w:b/>
          <w:bCs/>
        </w:rPr>
        <w:t>Özet</w:t>
      </w:r>
    </w:p>
    <w:p w14:paraId="5FC8C506" w14:textId="77777777" w:rsidR="00FA457D" w:rsidRPr="00D10870" w:rsidRDefault="00FA457D" w:rsidP="00AF40EA">
      <w:pPr>
        <w:widowControl/>
        <w:jc w:val="both"/>
      </w:pPr>
      <w:r w:rsidRPr="00B1089D">
        <w:t xml:space="preserve">Tarım Devrimi ve ticaret yollarının gelişmesi </w:t>
      </w:r>
      <w:proofErr w:type="gramStart"/>
      <w:r w:rsidRPr="00B1089D">
        <w:t>ile birlikte</w:t>
      </w:r>
      <w:proofErr w:type="gramEnd"/>
      <w:r w:rsidRPr="00B1089D">
        <w:t xml:space="preserve"> bozulmaya başlayan insan-doğa ilişkileri artık coğrafi sınır tanımayan bir iklim krizine evrilmiştir. Yeryüzünde nüfusun büyük bir kısmını barındıran ancak yüzölçümü olarak daha dar alanlarda konuşlanan kentler iklim krizine dönüşen iklim değişikliğinden en fazla etkilenen alanlar olarak karşımıza çıkmaktadır. Kent sakinleri ve kentsel mekânlar küresel ısınma </w:t>
      </w:r>
      <w:proofErr w:type="gramStart"/>
      <w:r w:rsidRPr="00B1089D">
        <w:t>ile birlikte</w:t>
      </w:r>
      <w:proofErr w:type="gramEnd"/>
      <w:r w:rsidRPr="00B1089D">
        <w:t xml:space="preserve"> daha sık ve yoğun olarak fırtına, dolu, sel, deniz seviyesinde yükselme, aşırı sıcak ve soğuk hava gün sayısında artış ve kuraklık gibi pek çok hava olayına maruz kalmaktadır. Ayrıca bu maruziyet toplum sağlığı ile ilgili sorunları da artırmakta ve yaygınlaştırmaktadır. Sosyal ve çevresel dokuyu, ekonomik faaliyetleri, altyapı hizmetlerini, barınma olanaklarını ve tüm canlıların iyilik halini önemli ölçüde etkileyen iklim değişikliği ve ona bağlı gerçekleşen hava olayları günbegün kent yaşamını daha da zorlaştırmakta ve çeşitli risklerle karşı karşıya bırakmaktadır. İklim değişikliğinden en fazla etkilenecek alanlar olan kentler aynı zamanda yarattığı sera gazı emisyonları nedeniyle iklim değişikliğine en fazla kaynak sağlayan mekânlardır. Bu çalışmanın amacı kent yaşamı ve iklim değişikliği arasındaki karşılıklı ilişkiyi irdelemektir. Çalışma iklim değişikliğinin etkilerini azaltmak ve önümüzdeki on yıllarda bu etkileri tersine çevirebilmek için kentlere önemli görevler düştüğünü göstermektedir. Bu sorumlulukları yerine getirmek aynı zamanda kentlerin iklim değişikliğinin etkilerine karşı daha dirençli olmasını sağlayacaktır. İklim konusunda kentlere düşen yükümlülükleri belirlemede ve bu yükümlülüklerin yerine getirilmesi için toplumsal farkındalığı artırmada politika yapıcılar temel aktörlerdir.</w:t>
      </w:r>
    </w:p>
    <w:p w14:paraId="343B5C55" w14:textId="77777777" w:rsidR="00FA457D" w:rsidRPr="00B1089D" w:rsidRDefault="00FA457D" w:rsidP="00AF40EA">
      <w:pPr>
        <w:widowControl/>
        <w:jc w:val="both"/>
      </w:pPr>
    </w:p>
    <w:p w14:paraId="64520AF5" w14:textId="4E48D54E" w:rsidR="00D47EF1" w:rsidRDefault="00FA457D" w:rsidP="00AF40EA">
      <w:pPr>
        <w:widowControl/>
        <w:jc w:val="both"/>
      </w:pPr>
      <w:r w:rsidRPr="00B1089D">
        <w:rPr>
          <w:b/>
          <w:bCs/>
        </w:rPr>
        <w:t>Anahtar Kelimeler:</w:t>
      </w:r>
      <w:r w:rsidRPr="00B1089D">
        <w:t xml:space="preserve"> İklim krizi, dirençlilik, aşırı hava olayları, kent yaşamı, kamu politikaları.</w:t>
      </w:r>
    </w:p>
    <w:p w14:paraId="457E823C" w14:textId="2D743642" w:rsidR="008A662B" w:rsidRPr="00D10870" w:rsidRDefault="00D47EF1" w:rsidP="00D47EF1">
      <w:pPr>
        <w:autoSpaceDE/>
        <w:autoSpaceDN/>
      </w:pPr>
      <w:r>
        <w:br w:type="page"/>
      </w:r>
    </w:p>
    <w:p w14:paraId="26597F80" w14:textId="55CE5A04" w:rsidR="00FA457D" w:rsidRDefault="009946D0" w:rsidP="004C7694">
      <w:pPr>
        <w:pStyle w:val="Tark"/>
      </w:pPr>
      <w:bookmarkStart w:id="287" w:name="_Toc192855300"/>
      <w:r w:rsidRPr="00B1089D">
        <w:lastRenderedPageBreak/>
        <w:t xml:space="preserve">Eğitim, Sosyal Yaşam </w:t>
      </w:r>
      <w:r w:rsidR="00B470AD" w:rsidRPr="00B1089D">
        <w:t>ve</w:t>
      </w:r>
      <w:r w:rsidRPr="00B1089D">
        <w:t xml:space="preserve"> Sağlık: 19. İngiliz Edebiyatı </w:t>
      </w:r>
      <w:proofErr w:type="gramStart"/>
      <w:r w:rsidRPr="00B1089D">
        <w:t>Ve</w:t>
      </w:r>
      <w:proofErr w:type="gramEnd"/>
      <w:r w:rsidRPr="00B1089D">
        <w:t xml:space="preserve"> Tarihi Bağlamında Charles </w:t>
      </w:r>
      <w:proofErr w:type="spellStart"/>
      <w:r w:rsidRPr="00D10870">
        <w:t>D</w:t>
      </w:r>
      <w:r w:rsidR="00B470AD">
        <w:t>i</w:t>
      </w:r>
      <w:r w:rsidRPr="00D10870">
        <w:t>ckens’ın</w:t>
      </w:r>
      <w:proofErr w:type="spellEnd"/>
      <w:r w:rsidRPr="00D10870">
        <w:t xml:space="preserve"> Eserlerine</w:t>
      </w:r>
      <w:r w:rsidRPr="00B1089D">
        <w:t xml:space="preserve"> Yansıyan Toplum Portresi</w:t>
      </w:r>
      <w:bookmarkEnd w:id="287"/>
    </w:p>
    <w:p w14:paraId="599D4972" w14:textId="77777777" w:rsidR="008003D6" w:rsidRPr="008003D6" w:rsidRDefault="008003D6" w:rsidP="008003D6">
      <w:pPr>
        <w:pStyle w:val="Metin"/>
      </w:pPr>
    </w:p>
    <w:p w14:paraId="0BE4B238" w14:textId="77777777" w:rsidR="008A662B" w:rsidRDefault="008A662B" w:rsidP="00AF3C45">
      <w:pPr>
        <w:jc w:val="center"/>
        <w:rPr>
          <w:b/>
        </w:rPr>
      </w:pPr>
      <w:r w:rsidRPr="008A662B">
        <w:t>Gülten AKGÜL</w:t>
      </w:r>
    </w:p>
    <w:p w14:paraId="2D8AE178" w14:textId="534F0F0B" w:rsidR="008A662B" w:rsidRPr="008A662B" w:rsidRDefault="00FA457D" w:rsidP="00AF3C45">
      <w:pPr>
        <w:jc w:val="center"/>
        <w:rPr>
          <w:b/>
        </w:rPr>
      </w:pPr>
      <w:r w:rsidRPr="008A662B">
        <w:t>İngilizce Öğretmeni,</w:t>
      </w:r>
    </w:p>
    <w:p w14:paraId="2E1FCBA6" w14:textId="77777777" w:rsidR="008A662B" w:rsidRPr="008A662B" w:rsidRDefault="00FA457D" w:rsidP="00AF40EA">
      <w:pPr>
        <w:widowControl/>
        <w:jc w:val="center"/>
      </w:pPr>
      <w:r w:rsidRPr="008A662B">
        <w:t xml:space="preserve"> </w:t>
      </w:r>
      <w:hyperlink r:id="rId442" w:history="1">
        <w:r w:rsidRPr="008A662B">
          <w:rPr>
            <w:rStyle w:val="Kpr"/>
          </w:rPr>
          <w:t>gulakgul5@gmail.com</w:t>
        </w:r>
      </w:hyperlink>
      <w:r w:rsidRPr="008A662B">
        <w:t xml:space="preserve">, </w:t>
      </w:r>
    </w:p>
    <w:p w14:paraId="2448590F" w14:textId="43F877FC" w:rsidR="00FA457D" w:rsidRDefault="00FA457D" w:rsidP="00AF40EA">
      <w:pPr>
        <w:widowControl/>
        <w:jc w:val="center"/>
      </w:pPr>
      <w:r w:rsidRPr="008A662B">
        <w:t>Kütahya/Simav Özel Eğitim Uygulama Okulu, Türkiye</w:t>
      </w:r>
    </w:p>
    <w:p w14:paraId="406682E1" w14:textId="77777777" w:rsidR="008A662B" w:rsidRDefault="008A662B" w:rsidP="00FA457D">
      <w:pPr>
        <w:widowControl/>
        <w:jc w:val="center"/>
      </w:pPr>
    </w:p>
    <w:p w14:paraId="068D5D35" w14:textId="37B7C3B7" w:rsidR="00FA457D" w:rsidRPr="008A662B" w:rsidRDefault="008A662B" w:rsidP="00AF3C45">
      <w:pPr>
        <w:jc w:val="center"/>
      </w:pPr>
      <w:r w:rsidRPr="008A662B">
        <w:t>Nurcan Ada ÇETİNKAYA</w:t>
      </w:r>
    </w:p>
    <w:p w14:paraId="35B13831" w14:textId="5F95D320" w:rsidR="008A662B" w:rsidRDefault="00FA457D" w:rsidP="00AF3C45">
      <w:pPr>
        <w:jc w:val="center"/>
      </w:pPr>
      <w:r w:rsidRPr="008A662B">
        <w:t>İngilizce Öğretmeni</w:t>
      </w:r>
    </w:p>
    <w:p w14:paraId="29B95180" w14:textId="3858FBCF" w:rsidR="008A662B" w:rsidRDefault="00FA457D" w:rsidP="00FA457D">
      <w:pPr>
        <w:widowControl/>
        <w:jc w:val="center"/>
      </w:pPr>
      <w:r w:rsidRPr="008A662B">
        <w:t xml:space="preserve"> </w:t>
      </w:r>
      <w:hyperlink r:id="rId443" w:history="1">
        <w:r w:rsidRPr="008A662B">
          <w:rPr>
            <w:rStyle w:val="Kpr"/>
          </w:rPr>
          <w:t>tunuh@hotmail.com</w:t>
        </w:r>
      </w:hyperlink>
    </w:p>
    <w:p w14:paraId="783D7C0A" w14:textId="11D16917" w:rsidR="00FA457D" w:rsidRPr="008A662B" w:rsidRDefault="00FA457D" w:rsidP="00FA457D">
      <w:pPr>
        <w:widowControl/>
        <w:jc w:val="center"/>
      </w:pPr>
      <w:r w:rsidRPr="008A662B">
        <w:t xml:space="preserve">Adana/Seyhan Şehit Metin </w:t>
      </w:r>
      <w:proofErr w:type="spellStart"/>
      <w:r w:rsidRPr="008A662B">
        <w:t>Malkav</w:t>
      </w:r>
      <w:proofErr w:type="spellEnd"/>
      <w:r w:rsidRPr="008A662B">
        <w:t xml:space="preserve"> Ortaokulu, Türkiye</w:t>
      </w:r>
    </w:p>
    <w:p w14:paraId="69CC77E7" w14:textId="77777777" w:rsidR="00FA457D" w:rsidRPr="00B1089D" w:rsidRDefault="00FA457D" w:rsidP="00FA457D">
      <w:pPr>
        <w:widowControl/>
        <w:jc w:val="center"/>
      </w:pPr>
    </w:p>
    <w:p w14:paraId="6420C4E3" w14:textId="77777777" w:rsidR="00FA457D" w:rsidRPr="00B1089D" w:rsidRDefault="00FA457D" w:rsidP="00FA457D">
      <w:pPr>
        <w:widowControl/>
        <w:jc w:val="center"/>
      </w:pPr>
      <w:r w:rsidRPr="00B1089D">
        <w:rPr>
          <w:b/>
          <w:bCs/>
        </w:rPr>
        <w:t>Özet</w:t>
      </w:r>
    </w:p>
    <w:p w14:paraId="582E2EDA" w14:textId="77777777" w:rsidR="00FA457D" w:rsidRPr="00B1089D" w:rsidRDefault="00FA457D" w:rsidP="00AF40EA">
      <w:pPr>
        <w:widowControl/>
        <w:jc w:val="both"/>
      </w:pPr>
      <w:r w:rsidRPr="00B1089D">
        <w:t xml:space="preserve">19. yüzyıl İngiltere’si, sanayileşmenin hız kazandığı ve toplumun köklü dönüşümler geçirdiği bir dönemdi. Bu süreç, eğitim ve sağlık sistemleri üzerinde derin izler bıraktı. Sanayi Devrimi, özellikle işçi sınıfını hedef alan bir yoksulluk dalgasını beraberinde getirdi. Sanayi Devriminin eğitim ve sağlık politikaları üzerindeki </w:t>
      </w:r>
      <w:proofErr w:type="gramStart"/>
      <w:r w:rsidRPr="00B1089D">
        <w:t>etkileri,</w:t>
      </w:r>
      <w:proofErr w:type="gramEnd"/>
      <w:r w:rsidRPr="00B1089D">
        <w:t xml:space="preserve"> hem tarihsel hem de edebi açıdan önemli bir inceleme alanıdır. Charles Dickens (1812-1870) gibi yazarlar, bu dönemin sosyal sorunlarını eserlerinde ele alarak toplumun eğitim ve sağlık sistemlerine yönelttikleri eleştirilerle dikkat çekmiştir. </w:t>
      </w:r>
      <w:proofErr w:type="spellStart"/>
      <w:r w:rsidRPr="00B1089D">
        <w:t>Dickens’ın</w:t>
      </w:r>
      <w:proofErr w:type="spellEnd"/>
      <w:r w:rsidRPr="00B1089D">
        <w:t xml:space="preserve"> eserleri, bu iki önemli sosyal dinamiği derinlemesine ele aldığı için, dönemin sosyal yapısını anlamak adına güçlü bir kaynak sunmaktadır. Bu bağlamda, </w:t>
      </w:r>
      <w:proofErr w:type="spellStart"/>
      <w:r w:rsidRPr="00B1089D">
        <w:t>Dickens’ın</w:t>
      </w:r>
      <w:proofErr w:type="spellEnd"/>
      <w:r w:rsidRPr="00B1089D">
        <w:t xml:space="preserve"> eserlerini inceleyerek, dönemin sosyal yaşamını ve devletin eğitim ve sağlık politikalarına olan etkilerini daha iyi kavrayabiliriz. Bu makalenin amacı, </w:t>
      </w:r>
      <w:proofErr w:type="spellStart"/>
      <w:r w:rsidRPr="00B1089D">
        <w:t>Dickens’ın</w:t>
      </w:r>
      <w:proofErr w:type="spellEnd"/>
      <w:r w:rsidRPr="00B1089D">
        <w:t xml:space="preserve"> eserlerinde eğitim ve sağlık sistemlerinin nasıl ele alındığını analiz ederek, sanayileşmenin ve fakirliğin bu sistemler üzerindeki etkilerini ortaya koymaktır. Aynı zamanda bu eserlerin, 19. yüzyıl İngiltere’sinde sosyal yaşamın şekillenmesindeki rolüne de ışık tutmak amaçlanmaktadır. Charles </w:t>
      </w:r>
      <w:proofErr w:type="spellStart"/>
      <w:r w:rsidRPr="00B1089D">
        <w:t>Dickens’ın</w:t>
      </w:r>
      <w:proofErr w:type="spellEnd"/>
      <w:r w:rsidRPr="00B1089D">
        <w:t xml:space="preserve"> </w:t>
      </w:r>
      <w:r w:rsidRPr="00B1089D">
        <w:rPr>
          <w:i/>
          <w:iCs/>
        </w:rPr>
        <w:t xml:space="preserve">Oliver </w:t>
      </w:r>
      <w:proofErr w:type="spellStart"/>
      <w:r w:rsidRPr="00B1089D">
        <w:rPr>
          <w:i/>
          <w:iCs/>
        </w:rPr>
        <w:t>Twist</w:t>
      </w:r>
      <w:proofErr w:type="spellEnd"/>
      <w:r w:rsidRPr="00B1089D">
        <w:t xml:space="preserve"> ve </w:t>
      </w:r>
      <w:r w:rsidRPr="00B1089D">
        <w:rPr>
          <w:i/>
          <w:iCs/>
        </w:rPr>
        <w:t xml:space="preserve">Zor Zamanlar </w:t>
      </w:r>
      <w:r w:rsidRPr="00B1089D">
        <w:t xml:space="preserve">gibi eserleri, dönemin eğitim ve sağlık sistemlerine dair keskin bir eleştiriyi barındırır. </w:t>
      </w:r>
      <w:r w:rsidRPr="00B1089D">
        <w:rPr>
          <w:i/>
          <w:iCs/>
        </w:rPr>
        <w:t>Zor Zamanlar</w:t>
      </w:r>
      <w:r w:rsidRPr="00B1089D">
        <w:t xml:space="preserve">, sanayileşmenin insan üzerindeki baskısını ve eğitimin mekanikleştiğini vurgularken, </w:t>
      </w:r>
      <w:r w:rsidRPr="00B1089D">
        <w:rPr>
          <w:i/>
          <w:iCs/>
        </w:rPr>
        <w:t xml:space="preserve">Oliver </w:t>
      </w:r>
      <w:proofErr w:type="spellStart"/>
      <w:r w:rsidRPr="00B1089D">
        <w:rPr>
          <w:i/>
          <w:iCs/>
        </w:rPr>
        <w:t>Twist</w:t>
      </w:r>
      <w:proofErr w:type="spellEnd"/>
      <w:r w:rsidRPr="00B1089D">
        <w:t xml:space="preserve"> fakirlik ve suç arasındaki ilişkiyi sorgular. Eğitimin, bireylerin sosyal statüsünü koruma aracı olarak kullanıldığına dikkat çeken Dickens, eğitim sisteminin bireysel gelişimi değil, iş gücünü desteklemeyi amaçladığını öne sürer. Eğitimin, toplumsal tabakalaşmayı pekiştirdiği Viktorya döneminde, okulların işçi sınıfı çocuklarına temel bilgileri bile öğretmediğini gözlemlemek mümkündür. Sağlık ise, aynı dönemde devletin öncelikleri arasında yer almadığından, işçi sınıfı hastalıklarla mücadelede büyük zorluklar yaşamıştır. </w:t>
      </w:r>
      <w:proofErr w:type="spellStart"/>
      <w:r w:rsidRPr="00B1089D">
        <w:t>Dickens’ın</w:t>
      </w:r>
      <w:proofErr w:type="spellEnd"/>
      <w:r w:rsidRPr="00B1089D">
        <w:t xml:space="preserve"> karakterleri sıklıkla hastalık ve kötü yaşam koşullarıyla boğuşur, bu da devletin sağlık politikalarına eleştiriler getirir. </w:t>
      </w:r>
      <w:proofErr w:type="spellStart"/>
      <w:r w:rsidRPr="00B1089D">
        <w:t>Dickens’ın</w:t>
      </w:r>
      <w:proofErr w:type="spellEnd"/>
      <w:r w:rsidRPr="00B1089D">
        <w:t xml:space="preserve"> eserleri, sanayileşmenin ve fakirliğin, eğitim ve sağlık sistemlerine olan etkilerini başarılı bir şekilde ele alır. Bu eleştiriler, sadece edebi değil, aynı zamanda sosyal bir tartışma başlatmıştır. Eserler, devletin bu alanlardaki yetersizliğine dikkat çekmiş ve 19. yüzyıl İngiltere’sinde reform hareketlerine ilham vermiştir. Eğitim ve sağlık sistemleri üzerine yapılan tarihsel analizlerin, edebiyatın bu konulara dair sunduğu perspektiflerle karşılaştırılması, daha kapsamlı bir bakış açısı sağlayabilir. Bu makale, özellikle </w:t>
      </w:r>
      <w:proofErr w:type="spellStart"/>
      <w:r w:rsidRPr="00B1089D">
        <w:t>Dickens’ın</w:t>
      </w:r>
      <w:proofErr w:type="spellEnd"/>
      <w:r w:rsidRPr="00B1089D">
        <w:t xml:space="preserve"> eleştirel bakışı, modern toplumların eğitim ve sağlık sistemleriyle ilgili tartışmalara katkı sağlayabilir.</w:t>
      </w:r>
    </w:p>
    <w:p w14:paraId="7EC83ABB" w14:textId="77777777" w:rsidR="00FA457D" w:rsidRPr="00B1089D" w:rsidRDefault="00FA457D" w:rsidP="00AF40EA">
      <w:pPr>
        <w:widowControl/>
        <w:jc w:val="both"/>
      </w:pPr>
    </w:p>
    <w:p w14:paraId="62821A75" w14:textId="5FE36D7C" w:rsidR="00D47EF1" w:rsidRDefault="00FA457D" w:rsidP="00AF40EA">
      <w:pPr>
        <w:widowControl/>
        <w:jc w:val="both"/>
      </w:pPr>
      <w:r w:rsidRPr="00B1089D">
        <w:rPr>
          <w:b/>
          <w:bCs/>
        </w:rPr>
        <w:t>Anahtar Kelimeler:</w:t>
      </w:r>
      <w:r w:rsidRPr="00B1089D">
        <w:t xml:space="preserve"> Charles Dickens, eğitim, sağlık, Sanayi Devrimi, toplum</w:t>
      </w:r>
    </w:p>
    <w:p w14:paraId="343DE487" w14:textId="0D53C150" w:rsidR="00FA457D" w:rsidRPr="00B1089D" w:rsidRDefault="00D47EF1" w:rsidP="00D47EF1">
      <w:pPr>
        <w:autoSpaceDE/>
        <w:autoSpaceDN/>
      </w:pPr>
      <w:r>
        <w:br w:type="page"/>
      </w:r>
    </w:p>
    <w:p w14:paraId="4574E9B5" w14:textId="35A2D466" w:rsidR="00FA457D" w:rsidRPr="00B1089D" w:rsidRDefault="009946D0" w:rsidP="004C7694">
      <w:pPr>
        <w:pStyle w:val="Tark"/>
      </w:pPr>
      <w:bookmarkStart w:id="288" w:name="_Toc192855301"/>
      <w:proofErr w:type="spellStart"/>
      <w:r w:rsidRPr="00B1089D">
        <w:lastRenderedPageBreak/>
        <w:t>Educat</w:t>
      </w:r>
      <w:r w:rsidR="00B470AD">
        <w:t>i</w:t>
      </w:r>
      <w:r w:rsidRPr="00B1089D">
        <w:t>on</w:t>
      </w:r>
      <w:proofErr w:type="spellEnd"/>
      <w:r w:rsidRPr="00B1089D">
        <w:t xml:space="preserve">, </w:t>
      </w:r>
      <w:proofErr w:type="spellStart"/>
      <w:r w:rsidRPr="00B1089D">
        <w:t>Soc</w:t>
      </w:r>
      <w:r w:rsidR="00B470AD">
        <w:t>i</w:t>
      </w:r>
      <w:r w:rsidRPr="00B1089D">
        <w:t>al</w:t>
      </w:r>
      <w:proofErr w:type="spellEnd"/>
      <w:r w:rsidRPr="00B1089D">
        <w:t xml:space="preserve"> L</w:t>
      </w:r>
      <w:r w:rsidR="00B470AD">
        <w:t>i</w:t>
      </w:r>
      <w:r w:rsidRPr="00B1089D">
        <w:t xml:space="preserve">fe, </w:t>
      </w:r>
      <w:proofErr w:type="spellStart"/>
      <w:r w:rsidRPr="00B1089D">
        <w:t>And</w:t>
      </w:r>
      <w:proofErr w:type="spellEnd"/>
      <w:r w:rsidRPr="00B1089D">
        <w:t xml:space="preserve"> </w:t>
      </w:r>
      <w:proofErr w:type="spellStart"/>
      <w:r w:rsidRPr="00B1089D">
        <w:t>Health</w:t>
      </w:r>
      <w:proofErr w:type="spellEnd"/>
      <w:r w:rsidRPr="00B1089D">
        <w:t xml:space="preserve">: A </w:t>
      </w:r>
      <w:proofErr w:type="spellStart"/>
      <w:r w:rsidRPr="00B1089D">
        <w:t>Portra</w:t>
      </w:r>
      <w:r w:rsidR="00B470AD">
        <w:t>it</w:t>
      </w:r>
      <w:proofErr w:type="spellEnd"/>
      <w:r w:rsidRPr="00B1089D">
        <w:t xml:space="preserve"> Of </w:t>
      </w:r>
      <w:proofErr w:type="spellStart"/>
      <w:r w:rsidRPr="00B1089D">
        <w:t>The</w:t>
      </w:r>
      <w:proofErr w:type="spellEnd"/>
      <w:r w:rsidRPr="00B1089D">
        <w:t xml:space="preserve"> </w:t>
      </w:r>
      <w:proofErr w:type="spellStart"/>
      <w:r w:rsidRPr="00B1089D">
        <w:t>Soc</w:t>
      </w:r>
      <w:r w:rsidR="00B470AD">
        <w:t>ie</w:t>
      </w:r>
      <w:r w:rsidRPr="00B1089D">
        <w:t>ty</w:t>
      </w:r>
      <w:proofErr w:type="spellEnd"/>
      <w:r w:rsidRPr="00B1089D">
        <w:t xml:space="preserve"> </w:t>
      </w:r>
      <w:proofErr w:type="spellStart"/>
      <w:r w:rsidRPr="00B1089D">
        <w:t>Reflected</w:t>
      </w:r>
      <w:proofErr w:type="spellEnd"/>
      <w:r w:rsidRPr="00B1089D">
        <w:t xml:space="preserve"> </w:t>
      </w:r>
      <w:proofErr w:type="spellStart"/>
      <w:r w:rsidR="00D47EF1">
        <w:t>In</w:t>
      </w:r>
      <w:proofErr w:type="spellEnd"/>
      <w:r w:rsidR="00D47EF1">
        <w:t xml:space="preserve"> </w:t>
      </w:r>
      <w:proofErr w:type="spellStart"/>
      <w:r w:rsidR="00D47EF1">
        <w:t>The</w:t>
      </w:r>
      <w:proofErr w:type="spellEnd"/>
      <w:r w:rsidRPr="00B1089D">
        <w:t xml:space="preserve"> Works Of Charles D</w:t>
      </w:r>
      <w:r w:rsidR="00B470AD">
        <w:t>i</w:t>
      </w:r>
      <w:r w:rsidRPr="00B1089D">
        <w:t xml:space="preserve">ckens </w:t>
      </w:r>
      <w:proofErr w:type="spellStart"/>
      <w:r w:rsidRPr="00B1089D">
        <w:t>In</w:t>
      </w:r>
      <w:proofErr w:type="spellEnd"/>
      <w:r w:rsidRPr="00B1089D">
        <w:t xml:space="preserve"> 19th-Century Engl</w:t>
      </w:r>
      <w:r w:rsidR="00B470AD">
        <w:t>i</w:t>
      </w:r>
      <w:r w:rsidRPr="00B1089D">
        <w:t xml:space="preserve">sh </w:t>
      </w:r>
      <w:proofErr w:type="spellStart"/>
      <w:r w:rsidRPr="00B1089D">
        <w:t>L</w:t>
      </w:r>
      <w:r w:rsidR="00B470AD">
        <w:t>it</w:t>
      </w:r>
      <w:r w:rsidRPr="00B1089D">
        <w:t>erature</w:t>
      </w:r>
      <w:proofErr w:type="spellEnd"/>
      <w:r w:rsidRPr="00B1089D">
        <w:t xml:space="preserve"> </w:t>
      </w:r>
      <w:proofErr w:type="spellStart"/>
      <w:r w:rsidRPr="00B1089D">
        <w:t>And</w:t>
      </w:r>
      <w:proofErr w:type="spellEnd"/>
      <w:r w:rsidRPr="00B1089D">
        <w:t xml:space="preserve"> </w:t>
      </w:r>
      <w:proofErr w:type="spellStart"/>
      <w:r w:rsidRPr="00B1089D">
        <w:t>H</w:t>
      </w:r>
      <w:r w:rsidR="00B470AD">
        <w:t>is</w:t>
      </w:r>
      <w:r w:rsidRPr="00B1089D">
        <w:t>tor</w:t>
      </w:r>
      <w:r w:rsidR="00B470AD">
        <w:t>ic</w:t>
      </w:r>
      <w:r w:rsidRPr="00B1089D">
        <w:t>al</w:t>
      </w:r>
      <w:proofErr w:type="spellEnd"/>
      <w:r w:rsidRPr="00B1089D">
        <w:t xml:space="preserve"> </w:t>
      </w:r>
      <w:proofErr w:type="spellStart"/>
      <w:r w:rsidRPr="00B1089D">
        <w:t>Context</w:t>
      </w:r>
      <w:bookmarkEnd w:id="288"/>
      <w:proofErr w:type="spellEnd"/>
    </w:p>
    <w:p w14:paraId="3136965A" w14:textId="77777777" w:rsidR="00FA457D" w:rsidRPr="00B1089D" w:rsidRDefault="00FA457D" w:rsidP="00FA457D">
      <w:pPr>
        <w:widowControl/>
        <w:jc w:val="center"/>
      </w:pPr>
    </w:p>
    <w:p w14:paraId="1632CD1F" w14:textId="77777777" w:rsidR="00FA457D" w:rsidRPr="00B1089D" w:rsidRDefault="00FA457D" w:rsidP="00D47EF1">
      <w:pPr>
        <w:widowControl/>
        <w:spacing w:before="100" w:beforeAutospacing="1" w:after="100" w:afterAutospacing="1"/>
        <w:jc w:val="center"/>
      </w:pPr>
      <w:proofErr w:type="spellStart"/>
      <w:r w:rsidRPr="00B1089D">
        <w:rPr>
          <w:b/>
          <w:bCs/>
        </w:rPr>
        <w:t>Abstract</w:t>
      </w:r>
      <w:proofErr w:type="spellEnd"/>
    </w:p>
    <w:p w14:paraId="35F3CA3F" w14:textId="77777777" w:rsidR="00FA457D" w:rsidRPr="00B1089D" w:rsidRDefault="00FA457D" w:rsidP="00D47EF1">
      <w:pPr>
        <w:widowControl/>
        <w:spacing w:before="100" w:beforeAutospacing="1" w:after="100" w:afterAutospacing="1"/>
        <w:jc w:val="both"/>
      </w:pPr>
      <w:r w:rsidRPr="00B1089D">
        <w:t xml:space="preserve">19th-century </w:t>
      </w:r>
      <w:proofErr w:type="spellStart"/>
      <w:r w:rsidRPr="00B1089D">
        <w:t>England</w:t>
      </w:r>
      <w:proofErr w:type="spellEnd"/>
      <w:r w:rsidRPr="00B1089D">
        <w:t xml:space="preserve"> </w:t>
      </w:r>
      <w:proofErr w:type="spellStart"/>
      <w:r w:rsidRPr="00B1089D">
        <w:t>was</w:t>
      </w:r>
      <w:proofErr w:type="spellEnd"/>
      <w:r w:rsidRPr="00B1089D">
        <w:t xml:space="preserve"> a </w:t>
      </w:r>
      <w:proofErr w:type="spellStart"/>
      <w:r w:rsidRPr="00B1089D">
        <w:t>period</w:t>
      </w:r>
      <w:proofErr w:type="spellEnd"/>
      <w:r w:rsidRPr="00B1089D">
        <w:t xml:space="preserve"> </w:t>
      </w:r>
      <w:proofErr w:type="spellStart"/>
      <w:r w:rsidRPr="00B1089D">
        <w:t>when</w:t>
      </w:r>
      <w:proofErr w:type="spellEnd"/>
      <w:r w:rsidRPr="00B1089D">
        <w:t xml:space="preserve"> </w:t>
      </w:r>
      <w:proofErr w:type="spellStart"/>
      <w:r w:rsidRPr="00B1089D">
        <w:t>industrialization</w:t>
      </w:r>
      <w:proofErr w:type="spellEnd"/>
      <w:r w:rsidRPr="00B1089D">
        <w:t xml:space="preserve"> </w:t>
      </w:r>
      <w:proofErr w:type="spellStart"/>
      <w:r w:rsidRPr="00B1089D">
        <w:t>accelerated</w:t>
      </w:r>
      <w:proofErr w:type="spellEnd"/>
      <w:r w:rsidRPr="00B1089D">
        <w:t xml:space="preserve"> </w:t>
      </w:r>
      <w:proofErr w:type="spellStart"/>
      <w:r w:rsidRPr="00B1089D">
        <w:t>and</w:t>
      </w:r>
      <w:proofErr w:type="spellEnd"/>
      <w:r w:rsidRPr="00B1089D">
        <w:t xml:space="preserve"> </w:t>
      </w:r>
      <w:proofErr w:type="spellStart"/>
      <w:r w:rsidRPr="00B1089D">
        <w:t>society</w:t>
      </w:r>
      <w:proofErr w:type="spellEnd"/>
      <w:r w:rsidRPr="00B1089D">
        <w:t xml:space="preserve"> </w:t>
      </w:r>
      <w:proofErr w:type="spellStart"/>
      <w:r w:rsidRPr="00B1089D">
        <w:t>underwent</w:t>
      </w:r>
      <w:proofErr w:type="spellEnd"/>
      <w:r w:rsidRPr="00B1089D">
        <w:t xml:space="preserve"> </w:t>
      </w:r>
      <w:proofErr w:type="spellStart"/>
      <w:r w:rsidRPr="00B1089D">
        <w:t>radical</w:t>
      </w:r>
      <w:proofErr w:type="spellEnd"/>
      <w:r w:rsidRPr="00B1089D">
        <w:t xml:space="preserve"> </w:t>
      </w:r>
      <w:proofErr w:type="spellStart"/>
      <w:r w:rsidRPr="00B1089D">
        <w:t>transformations</w:t>
      </w:r>
      <w:proofErr w:type="spellEnd"/>
      <w:r w:rsidRPr="00B1089D">
        <w:t xml:space="preserve">. </w:t>
      </w:r>
      <w:proofErr w:type="spellStart"/>
      <w:r w:rsidRPr="00B1089D">
        <w:t>This</w:t>
      </w:r>
      <w:proofErr w:type="spellEnd"/>
      <w:r w:rsidRPr="00B1089D">
        <w:t xml:space="preserve"> </w:t>
      </w:r>
      <w:proofErr w:type="spellStart"/>
      <w:r w:rsidRPr="00B1089D">
        <w:t>process</w:t>
      </w:r>
      <w:proofErr w:type="spellEnd"/>
      <w:r w:rsidRPr="00B1089D">
        <w:t xml:space="preserve"> </w:t>
      </w:r>
      <w:proofErr w:type="spellStart"/>
      <w:r w:rsidRPr="00B1089D">
        <w:t>left</w:t>
      </w:r>
      <w:proofErr w:type="spellEnd"/>
      <w:r w:rsidRPr="00B1089D">
        <w:t xml:space="preserve"> </w:t>
      </w:r>
      <w:proofErr w:type="spellStart"/>
      <w:r w:rsidRPr="00B1089D">
        <w:t>deep</w:t>
      </w:r>
      <w:proofErr w:type="spellEnd"/>
      <w:r w:rsidRPr="00B1089D">
        <w:t xml:space="preserve"> </w:t>
      </w:r>
      <w:proofErr w:type="spellStart"/>
      <w:r w:rsidRPr="00B1089D">
        <w:t>traces</w:t>
      </w:r>
      <w:proofErr w:type="spellEnd"/>
      <w:r w:rsidRPr="00B1089D">
        <w:t xml:space="preserve"> on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w:t>
      </w:r>
      <w:proofErr w:type="spellStart"/>
      <w:r w:rsidRPr="00B1089D">
        <w:t>The</w:t>
      </w:r>
      <w:proofErr w:type="spellEnd"/>
      <w:r w:rsidRPr="00B1089D">
        <w:t xml:space="preserve"> </w:t>
      </w:r>
      <w:proofErr w:type="spellStart"/>
      <w:r w:rsidRPr="00B1089D">
        <w:t>Industrial</w:t>
      </w:r>
      <w:proofErr w:type="spellEnd"/>
      <w:r w:rsidRPr="00B1089D">
        <w:t xml:space="preserve"> </w:t>
      </w:r>
      <w:proofErr w:type="spellStart"/>
      <w:r w:rsidRPr="00B1089D">
        <w:t>Revolution</w:t>
      </w:r>
      <w:proofErr w:type="spellEnd"/>
      <w:r w:rsidRPr="00B1089D">
        <w:t xml:space="preserve"> </w:t>
      </w:r>
      <w:proofErr w:type="spellStart"/>
      <w:r w:rsidRPr="00B1089D">
        <w:t>brought</w:t>
      </w:r>
      <w:proofErr w:type="spellEnd"/>
      <w:r w:rsidRPr="00B1089D">
        <w:t xml:space="preserve"> </w:t>
      </w:r>
      <w:proofErr w:type="spellStart"/>
      <w:r w:rsidRPr="00B1089D">
        <w:t>with</w:t>
      </w:r>
      <w:proofErr w:type="spellEnd"/>
      <w:r w:rsidRPr="00B1089D">
        <w:t xml:space="preserve"> it a </w:t>
      </w:r>
      <w:proofErr w:type="spellStart"/>
      <w:r w:rsidRPr="00B1089D">
        <w:t>wave</w:t>
      </w:r>
      <w:proofErr w:type="spellEnd"/>
      <w:r w:rsidRPr="00B1089D">
        <w:t xml:space="preserve"> of </w:t>
      </w:r>
      <w:proofErr w:type="spellStart"/>
      <w:r w:rsidRPr="00B1089D">
        <w:t>poverty</w:t>
      </w:r>
      <w:proofErr w:type="spellEnd"/>
      <w:r w:rsidRPr="00B1089D">
        <w:t xml:space="preserve"> </w:t>
      </w:r>
      <w:proofErr w:type="spellStart"/>
      <w:r w:rsidRPr="00B1089D">
        <w:t>that</w:t>
      </w:r>
      <w:proofErr w:type="spellEnd"/>
      <w:r w:rsidRPr="00B1089D">
        <w:t xml:space="preserve"> </w:t>
      </w:r>
      <w:proofErr w:type="spellStart"/>
      <w:r w:rsidRPr="00B1089D">
        <w:t>particularly</w:t>
      </w:r>
      <w:proofErr w:type="spellEnd"/>
      <w:r w:rsidRPr="00B1089D">
        <w:t xml:space="preserve"> </w:t>
      </w:r>
      <w:proofErr w:type="spellStart"/>
      <w:r w:rsidRPr="00B1089D">
        <w:t>targeted</w:t>
      </w:r>
      <w:proofErr w:type="spellEnd"/>
      <w:r w:rsidRPr="00B1089D">
        <w:t xml:space="preserve"> </w:t>
      </w:r>
      <w:proofErr w:type="spellStart"/>
      <w:r w:rsidRPr="00B1089D">
        <w:t>the</w:t>
      </w:r>
      <w:proofErr w:type="spellEnd"/>
      <w:r w:rsidRPr="00B1089D">
        <w:t xml:space="preserve"> </w:t>
      </w:r>
      <w:proofErr w:type="spellStart"/>
      <w:r w:rsidRPr="00B1089D">
        <w:t>working</w:t>
      </w:r>
      <w:proofErr w:type="spellEnd"/>
      <w:r w:rsidRPr="00B1089D">
        <w:t xml:space="preserve"> </w:t>
      </w:r>
      <w:proofErr w:type="spellStart"/>
      <w:r w:rsidRPr="00B1089D">
        <w:t>class</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the</w:t>
      </w:r>
      <w:proofErr w:type="spellEnd"/>
      <w:r w:rsidRPr="00B1089D">
        <w:t xml:space="preserve"> </w:t>
      </w:r>
      <w:proofErr w:type="spellStart"/>
      <w:r w:rsidRPr="00B1089D">
        <w:t>Industrial</w:t>
      </w:r>
      <w:proofErr w:type="spellEnd"/>
      <w:r w:rsidRPr="00B1089D">
        <w:t xml:space="preserve"> </w:t>
      </w:r>
      <w:proofErr w:type="spellStart"/>
      <w:r w:rsidRPr="00B1089D">
        <w:t>Revolution</w:t>
      </w:r>
      <w:proofErr w:type="spellEnd"/>
      <w:r w:rsidRPr="00B1089D">
        <w:t xml:space="preserve"> on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policies</w:t>
      </w:r>
      <w:proofErr w:type="spellEnd"/>
      <w:r w:rsidRPr="00B1089D">
        <w:t xml:space="preserve"> </w:t>
      </w:r>
      <w:proofErr w:type="spellStart"/>
      <w:r w:rsidRPr="00B1089D">
        <w:t>are</w:t>
      </w:r>
      <w:proofErr w:type="spellEnd"/>
      <w:r w:rsidRPr="00B1089D">
        <w:t xml:space="preserve"> a </w:t>
      </w:r>
      <w:proofErr w:type="spellStart"/>
      <w:r w:rsidRPr="00B1089D">
        <w:t>significant</w:t>
      </w:r>
      <w:proofErr w:type="spellEnd"/>
      <w:r w:rsidRPr="00B1089D">
        <w:t xml:space="preserve"> </w:t>
      </w:r>
      <w:proofErr w:type="spellStart"/>
      <w:r w:rsidRPr="00B1089D">
        <w:t>area</w:t>
      </w:r>
      <w:proofErr w:type="spellEnd"/>
      <w:r w:rsidRPr="00B1089D">
        <w:t xml:space="preserve"> of </w:t>
      </w:r>
      <w:proofErr w:type="spellStart"/>
      <w:r w:rsidRPr="00B1089D">
        <w:t>study</w:t>
      </w:r>
      <w:proofErr w:type="spellEnd"/>
      <w:r w:rsidRPr="00B1089D">
        <w:t xml:space="preserve"> </w:t>
      </w:r>
      <w:proofErr w:type="spellStart"/>
      <w:r w:rsidRPr="00B1089D">
        <w:t>both</w:t>
      </w:r>
      <w:proofErr w:type="spellEnd"/>
      <w:r w:rsidRPr="00B1089D">
        <w:t xml:space="preserve"> </w:t>
      </w:r>
      <w:proofErr w:type="spellStart"/>
      <w:r w:rsidRPr="00B1089D">
        <w:t>historically</w:t>
      </w:r>
      <w:proofErr w:type="spellEnd"/>
      <w:r w:rsidRPr="00B1089D">
        <w:t xml:space="preserve"> </w:t>
      </w:r>
      <w:proofErr w:type="spellStart"/>
      <w:r w:rsidRPr="00B1089D">
        <w:t>and</w:t>
      </w:r>
      <w:proofErr w:type="spellEnd"/>
      <w:r w:rsidRPr="00B1089D">
        <w:t xml:space="preserve"> </w:t>
      </w:r>
      <w:proofErr w:type="spellStart"/>
      <w:r w:rsidRPr="00B1089D">
        <w:t>literally</w:t>
      </w:r>
      <w:proofErr w:type="spellEnd"/>
      <w:r w:rsidRPr="00B1089D">
        <w:t xml:space="preserve">. </w:t>
      </w:r>
      <w:proofErr w:type="spellStart"/>
      <w:r w:rsidRPr="00B1089D">
        <w:t>The</w:t>
      </w:r>
      <w:proofErr w:type="spellEnd"/>
      <w:r w:rsidRPr="00B1089D">
        <w:t xml:space="preserve"> </w:t>
      </w:r>
      <w:proofErr w:type="spellStart"/>
      <w:r w:rsidRPr="00B1089D">
        <w:t>writers</w:t>
      </w:r>
      <w:proofErr w:type="spellEnd"/>
      <w:r w:rsidRPr="00B1089D">
        <w:t xml:space="preserve"> </w:t>
      </w:r>
      <w:proofErr w:type="spellStart"/>
      <w:r w:rsidRPr="00B1089D">
        <w:t>such</w:t>
      </w:r>
      <w:proofErr w:type="spellEnd"/>
      <w:r w:rsidRPr="00B1089D">
        <w:t xml:space="preserve"> as Charles Dickens (1812-1870) </w:t>
      </w:r>
      <w:proofErr w:type="spellStart"/>
      <w:r w:rsidRPr="00B1089D">
        <w:t>drew</w:t>
      </w:r>
      <w:proofErr w:type="spellEnd"/>
      <w:r w:rsidRPr="00B1089D">
        <w:t xml:space="preserve"> </w:t>
      </w:r>
      <w:proofErr w:type="spellStart"/>
      <w:r w:rsidRPr="00B1089D">
        <w:t>attention</w:t>
      </w:r>
      <w:proofErr w:type="spellEnd"/>
      <w:r w:rsidRPr="00B1089D">
        <w:t xml:space="preserve"> </w:t>
      </w:r>
      <w:proofErr w:type="spellStart"/>
      <w:r w:rsidRPr="00B1089D">
        <w:t>with</w:t>
      </w:r>
      <w:proofErr w:type="spellEnd"/>
      <w:r w:rsidRPr="00B1089D">
        <w:t xml:space="preserve"> </w:t>
      </w:r>
      <w:proofErr w:type="spellStart"/>
      <w:r w:rsidRPr="00B1089D">
        <w:t>their</w:t>
      </w:r>
      <w:proofErr w:type="spellEnd"/>
      <w:r w:rsidRPr="00B1089D">
        <w:t xml:space="preserve"> </w:t>
      </w:r>
      <w:proofErr w:type="spellStart"/>
      <w:r w:rsidRPr="00B1089D">
        <w:t>criticisms</w:t>
      </w:r>
      <w:proofErr w:type="spellEnd"/>
      <w:r w:rsidRPr="00B1089D">
        <w:t xml:space="preserve"> of </w:t>
      </w:r>
      <w:proofErr w:type="spellStart"/>
      <w:r w:rsidRPr="00B1089D">
        <w:t>the</w:t>
      </w:r>
      <w:proofErr w:type="spellEnd"/>
      <w:r w:rsidRPr="00B1089D">
        <w:t xml:space="preserve">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of </w:t>
      </w:r>
      <w:proofErr w:type="spellStart"/>
      <w:r w:rsidRPr="00B1089D">
        <w:t>society</w:t>
      </w:r>
      <w:proofErr w:type="spellEnd"/>
      <w:r w:rsidRPr="00B1089D">
        <w:t xml:space="preserve"> </w:t>
      </w:r>
      <w:proofErr w:type="spellStart"/>
      <w:r w:rsidRPr="00B1089D">
        <w:t>by</w:t>
      </w:r>
      <w:proofErr w:type="spellEnd"/>
      <w:r w:rsidRPr="00B1089D">
        <w:t xml:space="preserve"> </w:t>
      </w:r>
      <w:proofErr w:type="spellStart"/>
      <w:r w:rsidRPr="00B1089D">
        <w:t>addressing</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issues</w:t>
      </w:r>
      <w:proofErr w:type="spellEnd"/>
      <w:r w:rsidRPr="00B1089D">
        <w:t xml:space="preserve"> of </w:t>
      </w:r>
      <w:proofErr w:type="spellStart"/>
      <w:r w:rsidRPr="00B1089D">
        <w:t>this</w:t>
      </w:r>
      <w:proofErr w:type="spellEnd"/>
      <w:r w:rsidRPr="00B1089D">
        <w:t xml:space="preserve"> </w:t>
      </w:r>
      <w:proofErr w:type="spellStart"/>
      <w:r w:rsidRPr="00B1089D">
        <w:t>era</w:t>
      </w:r>
      <w:proofErr w:type="spellEnd"/>
      <w:r w:rsidRPr="00B1089D">
        <w:t xml:space="preserve"> in </w:t>
      </w:r>
      <w:proofErr w:type="spellStart"/>
      <w:r w:rsidRPr="00B1089D">
        <w:t>their</w:t>
      </w:r>
      <w:proofErr w:type="spellEnd"/>
      <w:r w:rsidRPr="00B1089D">
        <w:t xml:space="preserve"> </w:t>
      </w:r>
      <w:proofErr w:type="spellStart"/>
      <w:r w:rsidRPr="00B1089D">
        <w:t>works</w:t>
      </w:r>
      <w:proofErr w:type="spellEnd"/>
      <w:r w:rsidRPr="00B1089D">
        <w:t xml:space="preserve">. Dickens’ </w:t>
      </w:r>
      <w:proofErr w:type="spellStart"/>
      <w:r w:rsidRPr="00B1089D">
        <w:t>works</w:t>
      </w:r>
      <w:proofErr w:type="spellEnd"/>
      <w:r w:rsidRPr="00B1089D">
        <w:t xml:space="preserve"> </w:t>
      </w:r>
      <w:proofErr w:type="spellStart"/>
      <w:r w:rsidRPr="00B1089D">
        <w:t>provide</w:t>
      </w:r>
      <w:proofErr w:type="spellEnd"/>
      <w:r w:rsidRPr="00B1089D">
        <w:t xml:space="preserve"> a </w:t>
      </w:r>
      <w:proofErr w:type="spellStart"/>
      <w:r w:rsidRPr="00B1089D">
        <w:t>powerful</w:t>
      </w:r>
      <w:proofErr w:type="spellEnd"/>
      <w:r w:rsidRPr="00B1089D">
        <w:t xml:space="preserve"> </w:t>
      </w:r>
      <w:proofErr w:type="spellStart"/>
      <w:r w:rsidRPr="00B1089D">
        <w:t>source</w:t>
      </w:r>
      <w:proofErr w:type="spellEnd"/>
      <w:r w:rsidRPr="00B1089D">
        <w:t xml:space="preserve"> </w:t>
      </w:r>
      <w:proofErr w:type="spellStart"/>
      <w:r w:rsidRPr="00B1089D">
        <w:t>for</w:t>
      </w:r>
      <w:proofErr w:type="spellEnd"/>
      <w:r w:rsidRPr="00B1089D">
        <w:t xml:space="preserve"> </w:t>
      </w:r>
      <w:proofErr w:type="spellStart"/>
      <w:r w:rsidRPr="00B1089D">
        <w:t>understanding</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structure</w:t>
      </w:r>
      <w:proofErr w:type="spellEnd"/>
      <w:r w:rsidRPr="00B1089D">
        <w:t xml:space="preserve"> of </w:t>
      </w:r>
      <w:proofErr w:type="spellStart"/>
      <w:r w:rsidRPr="00B1089D">
        <w:t>the</w:t>
      </w:r>
      <w:proofErr w:type="spellEnd"/>
      <w:r w:rsidRPr="00B1089D">
        <w:t xml:space="preserve"> </w:t>
      </w:r>
      <w:proofErr w:type="spellStart"/>
      <w:r w:rsidRPr="00B1089D">
        <w:t>period</w:t>
      </w:r>
      <w:proofErr w:type="spellEnd"/>
      <w:r w:rsidRPr="00B1089D">
        <w:t xml:space="preserve">, as they </w:t>
      </w:r>
      <w:proofErr w:type="spellStart"/>
      <w:r w:rsidRPr="00B1089D">
        <w:t>deeply</w:t>
      </w:r>
      <w:proofErr w:type="spellEnd"/>
      <w:r w:rsidRPr="00B1089D">
        <w:t xml:space="preserve"> </w:t>
      </w:r>
      <w:proofErr w:type="spellStart"/>
      <w:r w:rsidRPr="00B1089D">
        <w:t>address</w:t>
      </w:r>
      <w:proofErr w:type="spellEnd"/>
      <w:r w:rsidRPr="00B1089D">
        <w:t xml:space="preserve"> </w:t>
      </w:r>
      <w:proofErr w:type="spellStart"/>
      <w:r w:rsidRPr="00B1089D">
        <w:t>these</w:t>
      </w:r>
      <w:proofErr w:type="spellEnd"/>
      <w:r w:rsidRPr="00B1089D">
        <w:t xml:space="preserve"> two </w:t>
      </w:r>
      <w:proofErr w:type="spellStart"/>
      <w:r w:rsidRPr="00B1089D">
        <w:t>significant</w:t>
      </w:r>
      <w:proofErr w:type="spellEnd"/>
      <w:r w:rsidRPr="00B1089D">
        <w:t xml:space="preserve"> </w:t>
      </w:r>
      <w:proofErr w:type="spellStart"/>
      <w:r w:rsidRPr="00B1089D">
        <w:t>social</w:t>
      </w:r>
      <w:proofErr w:type="spellEnd"/>
      <w:r w:rsidRPr="00B1089D">
        <w:t xml:space="preserve"> </w:t>
      </w:r>
      <w:proofErr w:type="spellStart"/>
      <w:r w:rsidRPr="00B1089D">
        <w:t>dynamics</w:t>
      </w:r>
      <w:proofErr w:type="spellEnd"/>
      <w:r w:rsidRPr="00B1089D">
        <w:t xml:space="preserve">. </w:t>
      </w:r>
      <w:proofErr w:type="spellStart"/>
      <w:r w:rsidRPr="00B1089D">
        <w:t>In</w:t>
      </w:r>
      <w:proofErr w:type="spellEnd"/>
      <w:r w:rsidRPr="00B1089D">
        <w:t xml:space="preserve"> </w:t>
      </w:r>
      <w:proofErr w:type="spellStart"/>
      <w:r w:rsidRPr="00B1089D">
        <w:t>this</w:t>
      </w:r>
      <w:proofErr w:type="spellEnd"/>
      <w:r w:rsidRPr="00B1089D">
        <w:t xml:space="preserve"> </w:t>
      </w:r>
      <w:proofErr w:type="spellStart"/>
      <w:r w:rsidRPr="00B1089D">
        <w:t>context</w:t>
      </w:r>
      <w:proofErr w:type="spellEnd"/>
      <w:r w:rsidRPr="00B1089D">
        <w:t xml:space="preserve">, </w:t>
      </w:r>
      <w:proofErr w:type="spellStart"/>
      <w:r w:rsidRPr="00B1089D">
        <w:t>by</w:t>
      </w:r>
      <w:proofErr w:type="spellEnd"/>
      <w:r w:rsidRPr="00B1089D">
        <w:t xml:space="preserve"> </w:t>
      </w:r>
      <w:proofErr w:type="spellStart"/>
      <w:r w:rsidRPr="00B1089D">
        <w:t>examining</w:t>
      </w:r>
      <w:proofErr w:type="spellEnd"/>
      <w:r w:rsidRPr="00B1089D">
        <w:t xml:space="preserve"> Dickens’ </w:t>
      </w:r>
      <w:proofErr w:type="spellStart"/>
      <w:r w:rsidRPr="00B1089D">
        <w:t>works</w:t>
      </w:r>
      <w:proofErr w:type="spellEnd"/>
      <w:r w:rsidRPr="00B1089D">
        <w:t xml:space="preserve">, </w:t>
      </w:r>
      <w:proofErr w:type="spellStart"/>
      <w:r w:rsidRPr="00B1089D">
        <w:t>we</w:t>
      </w:r>
      <w:proofErr w:type="spellEnd"/>
      <w:r w:rsidRPr="00B1089D">
        <w:t xml:space="preserve"> can </w:t>
      </w:r>
      <w:proofErr w:type="spellStart"/>
      <w:r w:rsidRPr="00B1089D">
        <w:t>better</w:t>
      </w:r>
      <w:proofErr w:type="spellEnd"/>
      <w:r w:rsidRPr="00B1089D">
        <w:t xml:space="preserve"> </w:t>
      </w:r>
      <w:proofErr w:type="spellStart"/>
      <w:r w:rsidRPr="00B1089D">
        <w:t>understand</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life of </w:t>
      </w:r>
      <w:proofErr w:type="spellStart"/>
      <w:r w:rsidRPr="00B1089D">
        <w:t>the</w:t>
      </w:r>
      <w:proofErr w:type="spellEnd"/>
      <w:r w:rsidRPr="00B1089D">
        <w:t xml:space="preserve"> </w:t>
      </w:r>
      <w:proofErr w:type="spellStart"/>
      <w:r w:rsidRPr="00B1089D">
        <w:t>period</w:t>
      </w:r>
      <w:proofErr w:type="spellEnd"/>
      <w:r w:rsidRPr="00B1089D">
        <w:t xml:space="preserve"> </w:t>
      </w:r>
      <w:proofErr w:type="spellStart"/>
      <w:r w:rsidRPr="00B1089D">
        <w:t>and</w:t>
      </w:r>
      <w:proofErr w:type="spellEnd"/>
      <w:r w:rsidRPr="00B1089D">
        <w:t xml:space="preserve"> </w:t>
      </w:r>
      <w:proofErr w:type="spellStart"/>
      <w:r w:rsidRPr="00B1089D">
        <w:t>its</w:t>
      </w:r>
      <w:proofErr w:type="spellEnd"/>
      <w:r w:rsidRPr="00B1089D">
        <w:t xml:space="preserve"> </w:t>
      </w:r>
      <w:proofErr w:type="spellStart"/>
      <w:r w:rsidRPr="00B1089D">
        <w:t>effects</w:t>
      </w:r>
      <w:proofErr w:type="spellEnd"/>
      <w:r w:rsidRPr="00B1089D">
        <w:t xml:space="preserve"> on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policies</w:t>
      </w:r>
      <w:proofErr w:type="spellEnd"/>
      <w:r w:rsidRPr="00B1089D">
        <w:t xml:space="preserve">. </w:t>
      </w:r>
      <w:proofErr w:type="spellStart"/>
      <w:r w:rsidRPr="00B1089D">
        <w:t>The</w:t>
      </w:r>
      <w:proofErr w:type="spellEnd"/>
      <w:r w:rsidRPr="00B1089D">
        <w:t xml:space="preserve"> </w:t>
      </w:r>
      <w:proofErr w:type="spellStart"/>
      <w:r w:rsidRPr="00B1089D">
        <w:t>purpose</w:t>
      </w:r>
      <w:proofErr w:type="spellEnd"/>
      <w:r w:rsidRPr="00B1089D">
        <w:t xml:space="preserve"> of </w:t>
      </w:r>
      <w:proofErr w:type="spellStart"/>
      <w:r w:rsidRPr="00B1089D">
        <w:t>this</w:t>
      </w:r>
      <w:proofErr w:type="spellEnd"/>
      <w:r w:rsidRPr="00B1089D">
        <w:t xml:space="preserve"> </w:t>
      </w:r>
      <w:proofErr w:type="spellStart"/>
      <w:r w:rsidRPr="00B1089D">
        <w:t>paper</w:t>
      </w:r>
      <w:proofErr w:type="spellEnd"/>
      <w:r w:rsidRPr="00B1089D">
        <w:t xml:space="preserve"> is </w:t>
      </w:r>
      <w:proofErr w:type="spellStart"/>
      <w:r w:rsidRPr="00B1089D">
        <w:t>to</w:t>
      </w:r>
      <w:proofErr w:type="spellEnd"/>
      <w:r w:rsidRPr="00B1089D">
        <w:t xml:space="preserve"> </w:t>
      </w:r>
      <w:proofErr w:type="spellStart"/>
      <w:r w:rsidRPr="00B1089D">
        <w:t>analyze</w:t>
      </w:r>
      <w:proofErr w:type="spellEnd"/>
      <w:r w:rsidRPr="00B1089D">
        <w:t xml:space="preserve"> how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w:t>
      </w:r>
      <w:proofErr w:type="spellStart"/>
      <w:r w:rsidRPr="00B1089D">
        <w:t>are</w:t>
      </w:r>
      <w:proofErr w:type="spellEnd"/>
      <w:r w:rsidRPr="00B1089D">
        <w:t xml:space="preserve"> </w:t>
      </w:r>
      <w:proofErr w:type="spellStart"/>
      <w:r w:rsidRPr="00B1089D">
        <w:t>addressed</w:t>
      </w:r>
      <w:proofErr w:type="spellEnd"/>
      <w:r w:rsidRPr="00B1089D">
        <w:t xml:space="preserve"> in Dickens’ </w:t>
      </w:r>
      <w:proofErr w:type="spellStart"/>
      <w:r w:rsidRPr="00B1089D">
        <w:t>works</w:t>
      </w:r>
      <w:proofErr w:type="spellEnd"/>
      <w:r w:rsidRPr="00B1089D">
        <w:t xml:space="preserve"> </w:t>
      </w:r>
      <w:proofErr w:type="spellStart"/>
      <w:r w:rsidRPr="00B1089D">
        <w:t>and</w:t>
      </w:r>
      <w:proofErr w:type="spellEnd"/>
      <w:r w:rsidRPr="00B1089D">
        <w:t xml:space="preserve"> </w:t>
      </w:r>
      <w:proofErr w:type="spellStart"/>
      <w:r w:rsidRPr="00B1089D">
        <w:t>to</w:t>
      </w:r>
      <w:proofErr w:type="spellEnd"/>
      <w:r w:rsidRPr="00B1089D">
        <w:t xml:space="preserve"> </w:t>
      </w:r>
      <w:proofErr w:type="spellStart"/>
      <w:r w:rsidRPr="00B1089D">
        <w:t>reveal</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industrialization</w:t>
      </w:r>
      <w:proofErr w:type="spellEnd"/>
      <w:r w:rsidRPr="00B1089D">
        <w:t xml:space="preserve"> </w:t>
      </w:r>
      <w:proofErr w:type="spellStart"/>
      <w:r w:rsidRPr="00B1089D">
        <w:t>and</w:t>
      </w:r>
      <w:proofErr w:type="spellEnd"/>
      <w:r w:rsidRPr="00B1089D">
        <w:t xml:space="preserve"> </w:t>
      </w:r>
      <w:proofErr w:type="spellStart"/>
      <w:r w:rsidRPr="00B1089D">
        <w:t>poverty</w:t>
      </w:r>
      <w:proofErr w:type="spellEnd"/>
      <w:r w:rsidRPr="00B1089D">
        <w:t xml:space="preserve"> on </w:t>
      </w:r>
      <w:proofErr w:type="spellStart"/>
      <w:r w:rsidRPr="00B1089D">
        <w:t>these</w:t>
      </w:r>
      <w:proofErr w:type="spellEnd"/>
      <w:r w:rsidRPr="00B1089D">
        <w:t xml:space="preserve"> </w:t>
      </w:r>
      <w:proofErr w:type="spellStart"/>
      <w:r w:rsidRPr="00B1089D">
        <w:t>systems</w:t>
      </w:r>
      <w:proofErr w:type="spellEnd"/>
      <w:r w:rsidRPr="00B1089D">
        <w:t xml:space="preserve">. </w:t>
      </w:r>
      <w:proofErr w:type="spellStart"/>
      <w:r w:rsidRPr="00B1089D">
        <w:t>It</w:t>
      </w:r>
      <w:proofErr w:type="spellEnd"/>
      <w:r w:rsidRPr="00B1089D">
        <w:t xml:space="preserve"> is </w:t>
      </w:r>
      <w:proofErr w:type="spellStart"/>
      <w:r w:rsidRPr="00B1089D">
        <w:t>also</w:t>
      </w:r>
      <w:proofErr w:type="spellEnd"/>
      <w:r w:rsidRPr="00B1089D">
        <w:t xml:space="preserve"> </w:t>
      </w:r>
      <w:proofErr w:type="spellStart"/>
      <w:r w:rsidRPr="00B1089D">
        <w:t>aimed</w:t>
      </w:r>
      <w:proofErr w:type="spellEnd"/>
      <w:r w:rsidRPr="00B1089D">
        <w:t xml:space="preserve"> </w:t>
      </w:r>
      <w:proofErr w:type="spellStart"/>
      <w:r w:rsidRPr="00B1089D">
        <w:t>to</w:t>
      </w:r>
      <w:proofErr w:type="spellEnd"/>
      <w:r w:rsidRPr="00B1089D">
        <w:t xml:space="preserve"> </w:t>
      </w:r>
      <w:proofErr w:type="spellStart"/>
      <w:r w:rsidRPr="00B1089D">
        <w:t>shed</w:t>
      </w:r>
      <w:proofErr w:type="spellEnd"/>
      <w:r w:rsidRPr="00B1089D">
        <w:t xml:space="preserve"> </w:t>
      </w:r>
      <w:proofErr w:type="spellStart"/>
      <w:r w:rsidRPr="00B1089D">
        <w:t>light</w:t>
      </w:r>
      <w:proofErr w:type="spellEnd"/>
      <w:r w:rsidRPr="00B1089D">
        <w:t xml:space="preserve"> on </w:t>
      </w:r>
      <w:proofErr w:type="spellStart"/>
      <w:r w:rsidRPr="00B1089D">
        <w:t>the</w:t>
      </w:r>
      <w:proofErr w:type="spellEnd"/>
      <w:r w:rsidRPr="00B1089D">
        <w:t xml:space="preserve"> role of </w:t>
      </w:r>
      <w:proofErr w:type="spellStart"/>
      <w:r w:rsidRPr="00B1089D">
        <w:t>these</w:t>
      </w:r>
      <w:proofErr w:type="spellEnd"/>
      <w:r w:rsidRPr="00B1089D">
        <w:t xml:space="preserve"> </w:t>
      </w:r>
      <w:proofErr w:type="spellStart"/>
      <w:r w:rsidRPr="00B1089D">
        <w:t>works</w:t>
      </w:r>
      <w:proofErr w:type="spellEnd"/>
      <w:r w:rsidRPr="00B1089D">
        <w:t xml:space="preserve"> in </w:t>
      </w:r>
      <w:proofErr w:type="spellStart"/>
      <w:r w:rsidRPr="00B1089D">
        <w:t>shaping</w:t>
      </w:r>
      <w:proofErr w:type="spellEnd"/>
      <w:r w:rsidRPr="00B1089D">
        <w:t xml:space="preserve"> </w:t>
      </w:r>
      <w:proofErr w:type="spellStart"/>
      <w:r w:rsidRPr="00B1089D">
        <w:t>social</w:t>
      </w:r>
      <w:proofErr w:type="spellEnd"/>
      <w:r w:rsidRPr="00B1089D">
        <w:t xml:space="preserve"> life in 19th-century </w:t>
      </w:r>
      <w:proofErr w:type="spellStart"/>
      <w:r w:rsidRPr="00B1089D">
        <w:t>England</w:t>
      </w:r>
      <w:proofErr w:type="spellEnd"/>
      <w:r w:rsidRPr="00B1089D">
        <w:t xml:space="preserve">. Charles Dickens’ </w:t>
      </w:r>
      <w:proofErr w:type="spellStart"/>
      <w:r w:rsidRPr="00B1089D">
        <w:t>works</w:t>
      </w:r>
      <w:proofErr w:type="spellEnd"/>
      <w:r w:rsidRPr="00B1089D">
        <w:t xml:space="preserve">, </w:t>
      </w:r>
      <w:proofErr w:type="spellStart"/>
      <w:r w:rsidRPr="00B1089D">
        <w:t>such</w:t>
      </w:r>
      <w:proofErr w:type="spellEnd"/>
      <w:r w:rsidRPr="00B1089D">
        <w:t xml:space="preserve"> as </w:t>
      </w:r>
      <w:r w:rsidRPr="00B1089D">
        <w:rPr>
          <w:i/>
          <w:iCs/>
        </w:rPr>
        <w:t xml:space="preserve">Oliver </w:t>
      </w:r>
      <w:proofErr w:type="spellStart"/>
      <w:r w:rsidRPr="00B1089D">
        <w:rPr>
          <w:i/>
          <w:iCs/>
        </w:rPr>
        <w:t>Twist</w:t>
      </w:r>
      <w:proofErr w:type="spellEnd"/>
      <w:r w:rsidRPr="00B1089D">
        <w:t xml:space="preserve"> </w:t>
      </w:r>
      <w:proofErr w:type="spellStart"/>
      <w:r w:rsidRPr="00B1089D">
        <w:t>and</w:t>
      </w:r>
      <w:proofErr w:type="spellEnd"/>
      <w:r w:rsidRPr="00B1089D">
        <w:t xml:space="preserve"> </w:t>
      </w:r>
      <w:r w:rsidRPr="00B1089D">
        <w:rPr>
          <w:i/>
          <w:iCs/>
        </w:rPr>
        <w:t>Hard Times</w:t>
      </w:r>
      <w:r w:rsidRPr="00B1089D">
        <w:t xml:space="preserve">, </w:t>
      </w:r>
      <w:proofErr w:type="spellStart"/>
      <w:r w:rsidRPr="00B1089D">
        <w:t>contain</w:t>
      </w:r>
      <w:proofErr w:type="spellEnd"/>
      <w:r w:rsidRPr="00B1089D">
        <w:t xml:space="preserve"> a </w:t>
      </w:r>
      <w:proofErr w:type="spellStart"/>
      <w:r w:rsidRPr="00B1089D">
        <w:t>sharp</w:t>
      </w:r>
      <w:proofErr w:type="spellEnd"/>
      <w:r w:rsidRPr="00B1089D">
        <w:t xml:space="preserve"> </w:t>
      </w:r>
      <w:proofErr w:type="spellStart"/>
      <w:r w:rsidRPr="00B1089D">
        <w:t>criticism</w:t>
      </w:r>
      <w:proofErr w:type="spellEnd"/>
      <w:r w:rsidRPr="00B1089D">
        <w:t xml:space="preserve"> of </w:t>
      </w:r>
      <w:proofErr w:type="spellStart"/>
      <w:r w:rsidRPr="00B1089D">
        <w:t>the</w:t>
      </w:r>
      <w:proofErr w:type="spellEnd"/>
      <w:r w:rsidRPr="00B1089D">
        <w:t xml:space="preserve">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of </w:t>
      </w:r>
      <w:proofErr w:type="spellStart"/>
      <w:r w:rsidRPr="00B1089D">
        <w:t>the</w:t>
      </w:r>
      <w:proofErr w:type="spellEnd"/>
      <w:r w:rsidRPr="00B1089D">
        <w:t xml:space="preserve"> </w:t>
      </w:r>
      <w:proofErr w:type="spellStart"/>
      <w:r w:rsidRPr="00B1089D">
        <w:t>period</w:t>
      </w:r>
      <w:proofErr w:type="spellEnd"/>
      <w:r w:rsidRPr="00B1089D">
        <w:t xml:space="preserve">. </w:t>
      </w:r>
      <w:proofErr w:type="spellStart"/>
      <w:r w:rsidRPr="00B1089D">
        <w:t>While</w:t>
      </w:r>
      <w:proofErr w:type="spellEnd"/>
      <w:r w:rsidRPr="00B1089D">
        <w:t xml:space="preserve"> </w:t>
      </w:r>
      <w:r w:rsidRPr="00B1089D">
        <w:rPr>
          <w:i/>
          <w:iCs/>
        </w:rPr>
        <w:t>Hard Times</w:t>
      </w:r>
      <w:r w:rsidRPr="00B1089D">
        <w:t xml:space="preserve"> </w:t>
      </w:r>
      <w:proofErr w:type="spellStart"/>
      <w:r w:rsidRPr="00B1089D">
        <w:t>emphasizes</w:t>
      </w:r>
      <w:proofErr w:type="spellEnd"/>
      <w:r w:rsidRPr="00B1089D">
        <w:t xml:space="preserve"> </w:t>
      </w:r>
      <w:proofErr w:type="spellStart"/>
      <w:r w:rsidRPr="00B1089D">
        <w:t>the</w:t>
      </w:r>
      <w:proofErr w:type="spellEnd"/>
      <w:r w:rsidRPr="00B1089D">
        <w:t xml:space="preserve"> </w:t>
      </w:r>
      <w:proofErr w:type="spellStart"/>
      <w:r w:rsidRPr="00B1089D">
        <w:t>pressure</w:t>
      </w:r>
      <w:proofErr w:type="spellEnd"/>
      <w:r w:rsidRPr="00B1089D">
        <w:t xml:space="preserve"> of </w:t>
      </w:r>
      <w:proofErr w:type="spellStart"/>
      <w:r w:rsidRPr="00B1089D">
        <w:t>industrialization</w:t>
      </w:r>
      <w:proofErr w:type="spellEnd"/>
      <w:r w:rsidRPr="00B1089D">
        <w:t xml:space="preserve"> on </w:t>
      </w:r>
      <w:proofErr w:type="spellStart"/>
      <w:r w:rsidRPr="00B1089D">
        <w:t>people</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mechanization</w:t>
      </w:r>
      <w:proofErr w:type="spellEnd"/>
      <w:r w:rsidRPr="00B1089D">
        <w:t xml:space="preserve"> of </w:t>
      </w:r>
      <w:proofErr w:type="spellStart"/>
      <w:r w:rsidRPr="00B1089D">
        <w:t>education</w:t>
      </w:r>
      <w:proofErr w:type="spellEnd"/>
      <w:r w:rsidRPr="00B1089D">
        <w:t xml:space="preserve">, </w:t>
      </w:r>
      <w:r w:rsidRPr="00B1089D">
        <w:rPr>
          <w:i/>
          <w:iCs/>
        </w:rPr>
        <w:t xml:space="preserve">Oliver </w:t>
      </w:r>
      <w:proofErr w:type="spellStart"/>
      <w:r w:rsidRPr="00B1089D">
        <w:rPr>
          <w:i/>
          <w:iCs/>
        </w:rPr>
        <w:t>Twist</w:t>
      </w:r>
      <w:proofErr w:type="spellEnd"/>
      <w:r w:rsidRPr="00B1089D">
        <w:t xml:space="preserve"> </w:t>
      </w:r>
      <w:proofErr w:type="spellStart"/>
      <w:r w:rsidRPr="00B1089D">
        <w:t>questions</w:t>
      </w:r>
      <w:proofErr w:type="spellEnd"/>
      <w:r w:rsidRPr="00B1089D">
        <w:t xml:space="preserve"> </w:t>
      </w:r>
      <w:proofErr w:type="spellStart"/>
      <w:r w:rsidRPr="00B1089D">
        <w:t>the</w:t>
      </w:r>
      <w:proofErr w:type="spellEnd"/>
      <w:r w:rsidRPr="00B1089D">
        <w:t xml:space="preserve"> </w:t>
      </w:r>
      <w:proofErr w:type="spellStart"/>
      <w:r w:rsidRPr="00B1089D">
        <w:t>relationship</w:t>
      </w:r>
      <w:proofErr w:type="spellEnd"/>
      <w:r w:rsidRPr="00B1089D">
        <w:t xml:space="preserve"> </w:t>
      </w:r>
      <w:proofErr w:type="spellStart"/>
      <w:r w:rsidRPr="00B1089D">
        <w:t>between</w:t>
      </w:r>
      <w:proofErr w:type="spellEnd"/>
      <w:r w:rsidRPr="00B1089D">
        <w:t xml:space="preserve"> </w:t>
      </w:r>
      <w:proofErr w:type="spellStart"/>
      <w:r w:rsidRPr="00B1089D">
        <w:t>poverty</w:t>
      </w:r>
      <w:proofErr w:type="spellEnd"/>
      <w:r w:rsidRPr="00B1089D">
        <w:t xml:space="preserve"> </w:t>
      </w:r>
      <w:proofErr w:type="spellStart"/>
      <w:r w:rsidRPr="00B1089D">
        <w:t>and</w:t>
      </w:r>
      <w:proofErr w:type="spellEnd"/>
      <w:r w:rsidRPr="00B1089D">
        <w:t xml:space="preserve"> </w:t>
      </w:r>
      <w:proofErr w:type="spellStart"/>
      <w:r w:rsidRPr="00B1089D">
        <w:t>crime</w:t>
      </w:r>
      <w:proofErr w:type="spellEnd"/>
      <w:r w:rsidRPr="00B1089D">
        <w:t xml:space="preserve">. </w:t>
      </w:r>
      <w:proofErr w:type="spellStart"/>
      <w:r w:rsidRPr="00B1089D">
        <w:t>Drawing</w:t>
      </w:r>
      <w:proofErr w:type="spellEnd"/>
      <w:r w:rsidRPr="00B1089D">
        <w:t xml:space="preserve"> </w:t>
      </w:r>
      <w:proofErr w:type="spellStart"/>
      <w:r w:rsidRPr="00B1089D">
        <w:t>attention</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fact</w:t>
      </w:r>
      <w:proofErr w:type="spellEnd"/>
      <w:r w:rsidRPr="00B1089D">
        <w:t xml:space="preserve"> </w:t>
      </w:r>
      <w:proofErr w:type="spellStart"/>
      <w:r w:rsidRPr="00B1089D">
        <w:t>that</w:t>
      </w:r>
      <w:proofErr w:type="spellEnd"/>
      <w:r w:rsidRPr="00B1089D">
        <w:t xml:space="preserve"> </w:t>
      </w:r>
      <w:proofErr w:type="spellStart"/>
      <w:r w:rsidRPr="00B1089D">
        <w:t>education</w:t>
      </w:r>
      <w:proofErr w:type="spellEnd"/>
      <w:r w:rsidRPr="00B1089D">
        <w:t xml:space="preserve"> is </w:t>
      </w:r>
      <w:proofErr w:type="spellStart"/>
      <w:r w:rsidRPr="00B1089D">
        <w:t>used</w:t>
      </w:r>
      <w:proofErr w:type="spellEnd"/>
      <w:r w:rsidRPr="00B1089D">
        <w:t xml:space="preserve"> as a </w:t>
      </w:r>
      <w:proofErr w:type="spellStart"/>
      <w:r w:rsidRPr="00B1089D">
        <w:t>means</w:t>
      </w:r>
      <w:proofErr w:type="spellEnd"/>
      <w:r w:rsidRPr="00B1089D">
        <w:t xml:space="preserve"> of </w:t>
      </w:r>
      <w:proofErr w:type="spellStart"/>
      <w:r w:rsidRPr="00B1089D">
        <w:t>protecting</w:t>
      </w:r>
      <w:proofErr w:type="spellEnd"/>
      <w:r w:rsidRPr="00B1089D">
        <w:t xml:space="preserve"> </w:t>
      </w:r>
      <w:proofErr w:type="spellStart"/>
      <w:r w:rsidRPr="00B1089D">
        <w:t>the</w:t>
      </w:r>
      <w:proofErr w:type="spellEnd"/>
      <w:r w:rsidRPr="00B1089D">
        <w:t xml:space="preserve"> </w:t>
      </w:r>
      <w:proofErr w:type="spellStart"/>
      <w:r w:rsidRPr="00B1089D">
        <w:t>social</w:t>
      </w:r>
      <w:proofErr w:type="spellEnd"/>
      <w:r w:rsidRPr="00B1089D">
        <w:t xml:space="preserve"> </w:t>
      </w:r>
      <w:proofErr w:type="spellStart"/>
      <w:r w:rsidRPr="00B1089D">
        <w:t>status</w:t>
      </w:r>
      <w:proofErr w:type="spellEnd"/>
      <w:r w:rsidRPr="00B1089D">
        <w:t xml:space="preserve"> of </w:t>
      </w:r>
      <w:proofErr w:type="spellStart"/>
      <w:r w:rsidRPr="00B1089D">
        <w:t>individuals</w:t>
      </w:r>
      <w:proofErr w:type="spellEnd"/>
      <w:r w:rsidRPr="00B1089D">
        <w:t xml:space="preserve">, Dickens </w:t>
      </w:r>
      <w:proofErr w:type="spellStart"/>
      <w:r w:rsidRPr="00B1089D">
        <w:t>argues</w:t>
      </w:r>
      <w:proofErr w:type="spellEnd"/>
      <w:r w:rsidRPr="00B1089D">
        <w:t xml:space="preserve"> </w:t>
      </w:r>
      <w:proofErr w:type="spellStart"/>
      <w:r w:rsidRPr="00B1089D">
        <w:t>that</w:t>
      </w:r>
      <w:proofErr w:type="spellEnd"/>
      <w:r w:rsidRPr="00B1089D">
        <w:t xml:space="preserve"> </w:t>
      </w:r>
      <w:proofErr w:type="spellStart"/>
      <w:r w:rsidRPr="00B1089D">
        <w:t>the</w:t>
      </w:r>
      <w:proofErr w:type="spellEnd"/>
      <w:r w:rsidRPr="00B1089D">
        <w:t xml:space="preserve"> </w:t>
      </w:r>
      <w:proofErr w:type="spellStart"/>
      <w:r w:rsidRPr="00B1089D">
        <w:t>education</w:t>
      </w:r>
      <w:proofErr w:type="spellEnd"/>
      <w:r w:rsidRPr="00B1089D">
        <w:t xml:space="preserve"> </w:t>
      </w:r>
      <w:proofErr w:type="spellStart"/>
      <w:r w:rsidRPr="00B1089D">
        <w:t>system</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support</w:t>
      </w:r>
      <w:proofErr w:type="spellEnd"/>
      <w:r w:rsidRPr="00B1089D">
        <w:t xml:space="preserve"> </w:t>
      </w:r>
      <w:proofErr w:type="spellStart"/>
      <w:r w:rsidRPr="00B1089D">
        <w:t>the</w:t>
      </w:r>
      <w:proofErr w:type="spellEnd"/>
      <w:r w:rsidRPr="00B1089D">
        <w:t xml:space="preserve"> </w:t>
      </w:r>
      <w:proofErr w:type="spellStart"/>
      <w:r w:rsidRPr="00B1089D">
        <w:t>workforce</w:t>
      </w:r>
      <w:proofErr w:type="spellEnd"/>
      <w:r w:rsidRPr="00B1089D">
        <w:t xml:space="preserve">, not </w:t>
      </w:r>
      <w:proofErr w:type="spellStart"/>
      <w:r w:rsidRPr="00B1089D">
        <w:t>individual</w:t>
      </w:r>
      <w:proofErr w:type="spellEnd"/>
      <w:r w:rsidRPr="00B1089D">
        <w:t xml:space="preserve"> </w:t>
      </w:r>
      <w:proofErr w:type="spellStart"/>
      <w:r w:rsidRPr="00B1089D">
        <w:t>development</w:t>
      </w:r>
      <w:proofErr w:type="spellEnd"/>
      <w:r w:rsidRPr="00B1089D">
        <w:t xml:space="preserve">. </w:t>
      </w:r>
      <w:proofErr w:type="spellStart"/>
      <w:r w:rsidRPr="00B1089D">
        <w:t>It</w:t>
      </w:r>
      <w:proofErr w:type="spellEnd"/>
      <w:r w:rsidRPr="00B1089D">
        <w:t xml:space="preserve"> is </w:t>
      </w:r>
      <w:proofErr w:type="spellStart"/>
      <w:r w:rsidRPr="00B1089D">
        <w:t>possible</w:t>
      </w:r>
      <w:proofErr w:type="spellEnd"/>
      <w:r w:rsidRPr="00B1089D">
        <w:t xml:space="preserve"> </w:t>
      </w:r>
      <w:proofErr w:type="spellStart"/>
      <w:r w:rsidRPr="00B1089D">
        <w:t>to</w:t>
      </w:r>
      <w:proofErr w:type="spellEnd"/>
      <w:r w:rsidRPr="00B1089D">
        <w:t xml:space="preserve"> </w:t>
      </w:r>
      <w:proofErr w:type="spellStart"/>
      <w:r w:rsidRPr="00B1089D">
        <w:t>observe</w:t>
      </w:r>
      <w:proofErr w:type="spellEnd"/>
      <w:r w:rsidRPr="00B1089D">
        <w:t xml:space="preserve"> </w:t>
      </w:r>
      <w:proofErr w:type="spellStart"/>
      <w:r w:rsidRPr="00B1089D">
        <w:t>that</w:t>
      </w:r>
      <w:proofErr w:type="spellEnd"/>
      <w:r w:rsidRPr="00B1089D">
        <w:t xml:space="preserve"> in </w:t>
      </w:r>
      <w:proofErr w:type="spellStart"/>
      <w:r w:rsidRPr="00B1089D">
        <w:t>the</w:t>
      </w:r>
      <w:proofErr w:type="spellEnd"/>
      <w:r w:rsidRPr="00B1089D">
        <w:t xml:space="preserve"> </w:t>
      </w:r>
      <w:proofErr w:type="spellStart"/>
      <w:r w:rsidRPr="00B1089D">
        <w:t>Victorian</w:t>
      </w:r>
      <w:proofErr w:type="spellEnd"/>
      <w:r w:rsidRPr="00B1089D">
        <w:t xml:space="preserve"> </w:t>
      </w:r>
      <w:proofErr w:type="spellStart"/>
      <w:r w:rsidRPr="00B1089D">
        <w:t>era</w:t>
      </w:r>
      <w:proofErr w:type="spellEnd"/>
      <w:r w:rsidRPr="00B1089D">
        <w:t xml:space="preserve">, </w:t>
      </w:r>
      <w:proofErr w:type="spellStart"/>
      <w:r w:rsidRPr="00B1089D">
        <w:t>when</w:t>
      </w:r>
      <w:proofErr w:type="spellEnd"/>
      <w:r w:rsidRPr="00B1089D">
        <w:t xml:space="preserve"> </w:t>
      </w:r>
      <w:proofErr w:type="spellStart"/>
      <w:r w:rsidRPr="00B1089D">
        <w:t>education</w:t>
      </w:r>
      <w:proofErr w:type="spellEnd"/>
      <w:r w:rsidRPr="00B1089D">
        <w:t xml:space="preserve"> </w:t>
      </w:r>
      <w:proofErr w:type="spellStart"/>
      <w:r w:rsidRPr="00B1089D">
        <w:t>reinforced</w:t>
      </w:r>
      <w:proofErr w:type="spellEnd"/>
      <w:r w:rsidRPr="00B1089D">
        <w:t xml:space="preserve"> </w:t>
      </w:r>
      <w:proofErr w:type="spellStart"/>
      <w:r w:rsidRPr="00B1089D">
        <w:t>social</w:t>
      </w:r>
      <w:proofErr w:type="spellEnd"/>
      <w:r w:rsidRPr="00B1089D">
        <w:t xml:space="preserve"> </w:t>
      </w:r>
      <w:proofErr w:type="spellStart"/>
      <w:r w:rsidRPr="00B1089D">
        <w:t>stratification</w:t>
      </w:r>
      <w:proofErr w:type="spellEnd"/>
      <w:r w:rsidRPr="00B1089D">
        <w:t xml:space="preserve">, </w:t>
      </w:r>
      <w:proofErr w:type="spellStart"/>
      <w:r w:rsidRPr="00B1089D">
        <w:t>schools</w:t>
      </w:r>
      <w:proofErr w:type="spellEnd"/>
      <w:r w:rsidRPr="00B1089D">
        <w:t xml:space="preserve"> </w:t>
      </w:r>
      <w:proofErr w:type="spellStart"/>
      <w:r w:rsidRPr="00B1089D">
        <w:t>did</w:t>
      </w:r>
      <w:proofErr w:type="spellEnd"/>
      <w:r w:rsidRPr="00B1089D">
        <w:t xml:space="preserve"> not </w:t>
      </w:r>
      <w:proofErr w:type="spellStart"/>
      <w:r w:rsidRPr="00B1089D">
        <w:t>even</w:t>
      </w:r>
      <w:proofErr w:type="spellEnd"/>
      <w:r w:rsidRPr="00B1089D">
        <w:t xml:space="preserve"> </w:t>
      </w:r>
      <w:proofErr w:type="spellStart"/>
      <w:r w:rsidRPr="00B1089D">
        <w:t>teach</w:t>
      </w:r>
      <w:proofErr w:type="spellEnd"/>
      <w:r w:rsidRPr="00B1089D">
        <w:t xml:space="preserve"> </w:t>
      </w:r>
      <w:proofErr w:type="spellStart"/>
      <w:r w:rsidRPr="00B1089D">
        <w:t>basic</w:t>
      </w:r>
      <w:proofErr w:type="spellEnd"/>
      <w:r w:rsidRPr="00B1089D">
        <w:t xml:space="preserve"> </w:t>
      </w:r>
      <w:proofErr w:type="spellStart"/>
      <w:r w:rsidRPr="00B1089D">
        <w:t>information</w:t>
      </w:r>
      <w:proofErr w:type="spellEnd"/>
      <w:r w:rsidRPr="00B1089D">
        <w:t xml:space="preserve"> </w:t>
      </w:r>
      <w:proofErr w:type="spellStart"/>
      <w:r w:rsidRPr="00B1089D">
        <w:t>to</w:t>
      </w:r>
      <w:proofErr w:type="spellEnd"/>
      <w:r w:rsidRPr="00B1089D">
        <w:t xml:space="preserve"> </w:t>
      </w:r>
      <w:proofErr w:type="spellStart"/>
      <w:r w:rsidRPr="00B1089D">
        <w:t>working-class</w:t>
      </w:r>
      <w:proofErr w:type="spellEnd"/>
      <w:r w:rsidRPr="00B1089D">
        <w:t xml:space="preserve"> </w:t>
      </w:r>
      <w:proofErr w:type="spellStart"/>
      <w:r w:rsidRPr="00B1089D">
        <w:t>children</w:t>
      </w:r>
      <w:proofErr w:type="spellEnd"/>
      <w:r w:rsidRPr="00B1089D">
        <w:t xml:space="preserve">. Since </w:t>
      </w:r>
      <w:proofErr w:type="spellStart"/>
      <w:r w:rsidRPr="00B1089D">
        <w:t>health</w:t>
      </w:r>
      <w:proofErr w:type="spellEnd"/>
      <w:r w:rsidRPr="00B1089D">
        <w:t xml:space="preserve"> </w:t>
      </w:r>
      <w:proofErr w:type="spellStart"/>
      <w:r w:rsidRPr="00B1089D">
        <w:t>was</w:t>
      </w:r>
      <w:proofErr w:type="spellEnd"/>
      <w:r w:rsidRPr="00B1089D">
        <w:t xml:space="preserve"> not </w:t>
      </w:r>
      <w:proofErr w:type="spellStart"/>
      <w:r w:rsidRPr="00B1089D">
        <w:t>among</w:t>
      </w:r>
      <w:proofErr w:type="spellEnd"/>
      <w:r w:rsidRPr="00B1089D">
        <w:t xml:space="preserve"> </w:t>
      </w:r>
      <w:proofErr w:type="spellStart"/>
      <w:r w:rsidRPr="00B1089D">
        <w:t>the</w:t>
      </w:r>
      <w:proofErr w:type="spellEnd"/>
      <w:r w:rsidRPr="00B1089D">
        <w:t xml:space="preserve"> </w:t>
      </w:r>
      <w:proofErr w:type="spellStart"/>
      <w:r w:rsidRPr="00B1089D">
        <w:t>state’s</w:t>
      </w:r>
      <w:proofErr w:type="spellEnd"/>
      <w:r w:rsidRPr="00B1089D">
        <w:t xml:space="preserve"> </w:t>
      </w:r>
      <w:proofErr w:type="spellStart"/>
      <w:r w:rsidRPr="00B1089D">
        <w:t>priorities</w:t>
      </w:r>
      <w:proofErr w:type="spellEnd"/>
      <w:r w:rsidRPr="00B1089D">
        <w:t xml:space="preserve"> in </w:t>
      </w:r>
      <w:proofErr w:type="spellStart"/>
      <w:r w:rsidRPr="00B1089D">
        <w:t>the</w:t>
      </w:r>
      <w:proofErr w:type="spellEnd"/>
      <w:r w:rsidRPr="00B1089D">
        <w:t xml:space="preserve"> </w:t>
      </w:r>
      <w:proofErr w:type="spellStart"/>
      <w:r w:rsidRPr="00B1089D">
        <w:t>same</w:t>
      </w:r>
      <w:proofErr w:type="spellEnd"/>
      <w:r w:rsidRPr="00B1089D">
        <w:t xml:space="preserve"> </w:t>
      </w:r>
      <w:proofErr w:type="spellStart"/>
      <w:r w:rsidRPr="00B1089D">
        <w:t>period</w:t>
      </w:r>
      <w:proofErr w:type="spellEnd"/>
      <w:r w:rsidRPr="00B1089D">
        <w:t xml:space="preserve">, </w:t>
      </w:r>
      <w:proofErr w:type="spellStart"/>
      <w:r w:rsidRPr="00B1089D">
        <w:t>the</w:t>
      </w:r>
      <w:proofErr w:type="spellEnd"/>
      <w:r w:rsidRPr="00B1089D">
        <w:t xml:space="preserve"> </w:t>
      </w:r>
      <w:proofErr w:type="spellStart"/>
      <w:r w:rsidRPr="00B1089D">
        <w:t>working</w:t>
      </w:r>
      <w:proofErr w:type="spellEnd"/>
      <w:r w:rsidRPr="00B1089D">
        <w:t xml:space="preserve"> </w:t>
      </w:r>
      <w:proofErr w:type="spellStart"/>
      <w:r w:rsidRPr="00B1089D">
        <w:t>class</w:t>
      </w:r>
      <w:proofErr w:type="spellEnd"/>
      <w:r w:rsidRPr="00B1089D">
        <w:t xml:space="preserve"> </w:t>
      </w:r>
      <w:proofErr w:type="spellStart"/>
      <w:r w:rsidRPr="00B1089D">
        <w:t>experienced</w:t>
      </w:r>
      <w:proofErr w:type="spellEnd"/>
      <w:r w:rsidRPr="00B1089D">
        <w:t xml:space="preserve"> </w:t>
      </w:r>
      <w:proofErr w:type="spellStart"/>
      <w:r w:rsidRPr="00B1089D">
        <w:t>great</w:t>
      </w:r>
      <w:proofErr w:type="spellEnd"/>
      <w:r w:rsidRPr="00B1089D">
        <w:t xml:space="preserve"> </w:t>
      </w:r>
      <w:proofErr w:type="spellStart"/>
      <w:r w:rsidRPr="00B1089D">
        <w:t>hardships</w:t>
      </w:r>
      <w:proofErr w:type="spellEnd"/>
      <w:r w:rsidRPr="00B1089D">
        <w:t xml:space="preserve"> in </w:t>
      </w:r>
      <w:proofErr w:type="spellStart"/>
      <w:r w:rsidRPr="00B1089D">
        <w:t>combating</w:t>
      </w:r>
      <w:proofErr w:type="spellEnd"/>
      <w:r w:rsidRPr="00B1089D">
        <w:t xml:space="preserve"> </w:t>
      </w:r>
      <w:proofErr w:type="spellStart"/>
      <w:r w:rsidRPr="00B1089D">
        <w:t>diseases</w:t>
      </w:r>
      <w:proofErr w:type="spellEnd"/>
      <w:r w:rsidRPr="00B1089D">
        <w:t xml:space="preserve">. Dickens’ </w:t>
      </w:r>
      <w:proofErr w:type="spellStart"/>
      <w:r w:rsidRPr="00B1089D">
        <w:t>characters</w:t>
      </w:r>
      <w:proofErr w:type="spellEnd"/>
      <w:r w:rsidRPr="00B1089D">
        <w:t xml:space="preserve"> </w:t>
      </w:r>
      <w:proofErr w:type="spellStart"/>
      <w:r w:rsidRPr="00B1089D">
        <w:t>often</w:t>
      </w:r>
      <w:proofErr w:type="spellEnd"/>
      <w:r w:rsidRPr="00B1089D">
        <w:t xml:space="preserve"> </w:t>
      </w:r>
      <w:proofErr w:type="spellStart"/>
      <w:r w:rsidRPr="00B1089D">
        <w:t>struggle</w:t>
      </w:r>
      <w:proofErr w:type="spellEnd"/>
      <w:r w:rsidRPr="00B1089D">
        <w:t xml:space="preserve"> </w:t>
      </w:r>
      <w:proofErr w:type="spellStart"/>
      <w:r w:rsidRPr="00B1089D">
        <w:t>with</w:t>
      </w:r>
      <w:proofErr w:type="spellEnd"/>
      <w:r w:rsidRPr="00B1089D">
        <w:t xml:space="preserve"> </w:t>
      </w:r>
      <w:proofErr w:type="spellStart"/>
      <w:r w:rsidRPr="00B1089D">
        <w:t>illness</w:t>
      </w:r>
      <w:proofErr w:type="spellEnd"/>
      <w:r w:rsidRPr="00B1089D">
        <w:t xml:space="preserve"> </w:t>
      </w:r>
      <w:proofErr w:type="spellStart"/>
      <w:r w:rsidRPr="00B1089D">
        <w:t>and</w:t>
      </w:r>
      <w:proofErr w:type="spellEnd"/>
      <w:r w:rsidRPr="00B1089D">
        <w:t xml:space="preserve"> </w:t>
      </w:r>
      <w:proofErr w:type="spellStart"/>
      <w:r w:rsidRPr="00B1089D">
        <w:t>poor</w:t>
      </w:r>
      <w:proofErr w:type="spellEnd"/>
      <w:r w:rsidRPr="00B1089D">
        <w:t xml:space="preserve"> </w:t>
      </w:r>
      <w:proofErr w:type="spellStart"/>
      <w:r w:rsidRPr="00B1089D">
        <w:t>living</w:t>
      </w:r>
      <w:proofErr w:type="spellEnd"/>
      <w:r w:rsidRPr="00B1089D">
        <w:t xml:space="preserve"> </w:t>
      </w:r>
      <w:proofErr w:type="spellStart"/>
      <w:r w:rsidRPr="00B1089D">
        <w:t>conditions</w:t>
      </w:r>
      <w:proofErr w:type="spellEnd"/>
      <w:r w:rsidRPr="00B1089D">
        <w:t xml:space="preserve">, </w:t>
      </w:r>
      <w:proofErr w:type="spellStart"/>
      <w:r w:rsidRPr="00B1089D">
        <w:t>which</w:t>
      </w:r>
      <w:proofErr w:type="spellEnd"/>
      <w:r w:rsidRPr="00B1089D">
        <w:t xml:space="preserve"> in </w:t>
      </w:r>
      <w:proofErr w:type="spellStart"/>
      <w:r w:rsidRPr="00B1089D">
        <w:t>turn</w:t>
      </w:r>
      <w:proofErr w:type="spellEnd"/>
      <w:r w:rsidRPr="00B1089D">
        <w:t xml:space="preserve"> </w:t>
      </w:r>
      <w:proofErr w:type="spellStart"/>
      <w:r w:rsidRPr="00B1089D">
        <w:t>prompts</w:t>
      </w:r>
      <w:proofErr w:type="spellEnd"/>
      <w:r w:rsidRPr="00B1089D">
        <w:t xml:space="preserve"> </w:t>
      </w:r>
      <w:proofErr w:type="spellStart"/>
      <w:r w:rsidRPr="00B1089D">
        <w:t>criticism</w:t>
      </w:r>
      <w:proofErr w:type="spellEnd"/>
      <w:r w:rsidRPr="00B1089D">
        <w:t xml:space="preserve"> of </w:t>
      </w:r>
      <w:proofErr w:type="spellStart"/>
      <w:r w:rsidRPr="00B1089D">
        <w:t>government</w:t>
      </w:r>
      <w:proofErr w:type="spellEnd"/>
      <w:r w:rsidRPr="00B1089D">
        <w:t xml:space="preserve"> </w:t>
      </w:r>
      <w:proofErr w:type="spellStart"/>
      <w:r w:rsidRPr="00B1089D">
        <w:t>health</w:t>
      </w:r>
      <w:proofErr w:type="spellEnd"/>
      <w:r w:rsidRPr="00B1089D">
        <w:t xml:space="preserve"> </w:t>
      </w:r>
      <w:proofErr w:type="spellStart"/>
      <w:r w:rsidRPr="00B1089D">
        <w:t>policies</w:t>
      </w:r>
      <w:proofErr w:type="spellEnd"/>
      <w:r w:rsidRPr="00B1089D">
        <w:t xml:space="preserve">. Dickens’ </w:t>
      </w:r>
      <w:proofErr w:type="spellStart"/>
      <w:r w:rsidRPr="00B1089D">
        <w:t>works</w:t>
      </w:r>
      <w:proofErr w:type="spellEnd"/>
      <w:r w:rsidRPr="00B1089D">
        <w:t xml:space="preserve"> </w:t>
      </w:r>
      <w:proofErr w:type="spellStart"/>
      <w:r w:rsidRPr="00B1089D">
        <w:t>successfully</w:t>
      </w:r>
      <w:proofErr w:type="spellEnd"/>
      <w:r w:rsidRPr="00B1089D">
        <w:t xml:space="preserve"> </w:t>
      </w:r>
      <w:proofErr w:type="spellStart"/>
      <w:r w:rsidRPr="00B1089D">
        <w:t>address</w:t>
      </w:r>
      <w:proofErr w:type="spellEnd"/>
      <w:r w:rsidRPr="00B1089D">
        <w:t xml:space="preserve"> </w:t>
      </w:r>
      <w:proofErr w:type="spellStart"/>
      <w:r w:rsidRPr="00B1089D">
        <w:t>the</w:t>
      </w:r>
      <w:proofErr w:type="spellEnd"/>
      <w:r w:rsidRPr="00B1089D">
        <w:t xml:space="preserve"> </w:t>
      </w:r>
      <w:proofErr w:type="spellStart"/>
      <w:r w:rsidRPr="00B1089D">
        <w:t>effects</w:t>
      </w:r>
      <w:proofErr w:type="spellEnd"/>
      <w:r w:rsidRPr="00B1089D">
        <w:t xml:space="preserve"> of </w:t>
      </w:r>
      <w:proofErr w:type="spellStart"/>
      <w:r w:rsidRPr="00B1089D">
        <w:t>industrialization</w:t>
      </w:r>
      <w:proofErr w:type="spellEnd"/>
      <w:r w:rsidRPr="00B1089D">
        <w:t xml:space="preserve"> </w:t>
      </w:r>
      <w:proofErr w:type="spellStart"/>
      <w:r w:rsidRPr="00B1089D">
        <w:t>and</w:t>
      </w:r>
      <w:proofErr w:type="spellEnd"/>
      <w:r w:rsidRPr="00B1089D">
        <w:t xml:space="preserve"> </w:t>
      </w:r>
      <w:proofErr w:type="spellStart"/>
      <w:r w:rsidRPr="00B1089D">
        <w:t>poverty</w:t>
      </w:r>
      <w:proofErr w:type="spellEnd"/>
      <w:r w:rsidRPr="00B1089D">
        <w:t xml:space="preserve"> on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w:t>
      </w:r>
      <w:proofErr w:type="spellStart"/>
      <w:r w:rsidRPr="00B1089D">
        <w:t>These</w:t>
      </w:r>
      <w:proofErr w:type="spellEnd"/>
      <w:r w:rsidRPr="00B1089D">
        <w:t xml:space="preserve"> </w:t>
      </w:r>
      <w:proofErr w:type="spellStart"/>
      <w:r w:rsidRPr="00B1089D">
        <w:t>criticisms</w:t>
      </w:r>
      <w:proofErr w:type="spellEnd"/>
      <w:r w:rsidRPr="00B1089D">
        <w:t xml:space="preserve"> </w:t>
      </w:r>
      <w:proofErr w:type="spellStart"/>
      <w:r w:rsidRPr="00B1089D">
        <w:t>have</w:t>
      </w:r>
      <w:proofErr w:type="spellEnd"/>
      <w:r w:rsidRPr="00B1089D">
        <w:t xml:space="preserve"> not </w:t>
      </w:r>
      <w:proofErr w:type="spellStart"/>
      <w:r w:rsidRPr="00B1089D">
        <w:t>only</w:t>
      </w:r>
      <w:proofErr w:type="spellEnd"/>
      <w:r w:rsidRPr="00B1089D">
        <w:t xml:space="preserve"> </w:t>
      </w:r>
      <w:proofErr w:type="spellStart"/>
      <w:r w:rsidRPr="00B1089D">
        <w:t>sparked</w:t>
      </w:r>
      <w:proofErr w:type="spellEnd"/>
      <w:r w:rsidRPr="00B1089D">
        <w:t xml:space="preserve"> </w:t>
      </w:r>
      <w:proofErr w:type="spellStart"/>
      <w:r w:rsidRPr="00B1089D">
        <w:t>literary</w:t>
      </w:r>
      <w:proofErr w:type="spellEnd"/>
      <w:r w:rsidRPr="00B1089D">
        <w:t xml:space="preserve"> but </w:t>
      </w:r>
      <w:proofErr w:type="spellStart"/>
      <w:r w:rsidRPr="00B1089D">
        <w:t>also</w:t>
      </w:r>
      <w:proofErr w:type="spellEnd"/>
      <w:r w:rsidRPr="00B1089D">
        <w:t xml:space="preserve"> </w:t>
      </w:r>
      <w:proofErr w:type="spellStart"/>
      <w:r w:rsidRPr="00B1089D">
        <w:t>social</w:t>
      </w:r>
      <w:proofErr w:type="spellEnd"/>
      <w:r w:rsidRPr="00B1089D">
        <w:t xml:space="preserve"> </w:t>
      </w:r>
      <w:proofErr w:type="spellStart"/>
      <w:r w:rsidRPr="00B1089D">
        <w:t>debate</w:t>
      </w:r>
      <w:proofErr w:type="spellEnd"/>
      <w:r w:rsidRPr="00B1089D">
        <w:t xml:space="preserve">. </w:t>
      </w:r>
      <w:proofErr w:type="spellStart"/>
      <w:r w:rsidRPr="00B1089D">
        <w:t>The</w:t>
      </w:r>
      <w:proofErr w:type="spellEnd"/>
      <w:r w:rsidRPr="00B1089D">
        <w:t xml:space="preserve"> </w:t>
      </w:r>
      <w:proofErr w:type="spellStart"/>
      <w:r w:rsidRPr="00B1089D">
        <w:t>works</w:t>
      </w:r>
      <w:proofErr w:type="spellEnd"/>
      <w:r w:rsidRPr="00B1089D">
        <w:t xml:space="preserve"> </w:t>
      </w:r>
      <w:proofErr w:type="spellStart"/>
      <w:r w:rsidRPr="00B1089D">
        <w:t>have</w:t>
      </w:r>
      <w:proofErr w:type="spellEnd"/>
      <w:r w:rsidRPr="00B1089D">
        <w:t xml:space="preserve"> </w:t>
      </w:r>
      <w:proofErr w:type="spellStart"/>
      <w:r w:rsidRPr="00B1089D">
        <w:t>drawn</w:t>
      </w:r>
      <w:proofErr w:type="spellEnd"/>
      <w:r w:rsidRPr="00B1089D">
        <w:t xml:space="preserve"> </w:t>
      </w:r>
      <w:proofErr w:type="spellStart"/>
      <w:r w:rsidRPr="00B1089D">
        <w:t>attention</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inadequacy</w:t>
      </w:r>
      <w:proofErr w:type="spellEnd"/>
      <w:r w:rsidRPr="00B1089D">
        <w:t xml:space="preserve"> of </w:t>
      </w:r>
      <w:proofErr w:type="spellStart"/>
      <w:r w:rsidRPr="00B1089D">
        <w:t>the</w:t>
      </w:r>
      <w:proofErr w:type="spellEnd"/>
      <w:r w:rsidRPr="00B1089D">
        <w:t xml:space="preserve"> </w:t>
      </w:r>
      <w:proofErr w:type="spellStart"/>
      <w:r w:rsidRPr="00B1089D">
        <w:t>state</w:t>
      </w:r>
      <w:proofErr w:type="spellEnd"/>
      <w:r w:rsidRPr="00B1089D">
        <w:t xml:space="preserve"> in </w:t>
      </w:r>
      <w:proofErr w:type="spellStart"/>
      <w:r w:rsidRPr="00B1089D">
        <w:t>these</w:t>
      </w:r>
      <w:proofErr w:type="spellEnd"/>
      <w:r w:rsidRPr="00B1089D">
        <w:t xml:space="preserve"> </w:t>
      </w:r>
      <w:proofErr w:type="spellStart"/>
      <w:r w:rsidRPr="00B1089D">
        <w:t>areas</w:t>
      </w:r>
      <w:proofErr w:type="spellEnd"/>
      <w:r w:rsidRPr="00B1089D">
        <w:t xml:space="preserve"> </w:t>
      </w:r>
      <w:proofErr w:type="spellStart"/>
      <w:r w:rsidRPr="00B1089D">
        <w:t>and</w:t>
      </w:r>
      <w:proofErr w:type="spellEnd"/>
      <w:r w:rsidRPr="00B1089D">
        <w:t xml:space="preserve"> </w:t>
      </w:r>
      <w:proofErr w:type="spellStart"/>
      <w:r w:rsidRPr="00B1089D">
        <w:t>inspired</w:t>
      </w:r>
      <w:proofErr w:type="spellEnd"/>
      <w:r w:rsidRPr="00B1089D">
        <w:t xml:space="preserve"> reform </w:t>
      </w:r>
      <w:proofErr w:type="spellStart"/>
      <w:r w:rsidRPr="00B1089D">
        <w:t>movements</w:t>
      </w:r>
      <w:proofErr w:type="spellEnd"/>
      <w:r w:rsidRPr="00B1089D">
        <w:t xml:space="preserve"> in 19th-century </w:t>
      </w:r>
      <w:proofErr w:type="spellStart"/>
      <w:r w:rsidRPr="00B1089D">
        <w:t>England</w:t>
      </w:r>
      <w:proofErr w:type="spellEnd"/>
      <w:r w:rsidRPr="00B1089D">
        <w:t xml:space="preserve">. </w:t>
      </w:r>
      <w:proofErr w:type="spellStart"/>
      <w:r w:rsidRPr="00B1089D">
        <w:t>Comparing</w:t>
      </w:r>
      <w:proofErr w:type="spellEnd"/>
      <w:r w:rsidRPr="00B1089D">
        <w:t xml:space="preserve"> </w:t>
      </w:r>
      <w:proofErr w:type="spellStart"/>
      <w:r w:rsidRPr="00B1089D">
        <w:t>the</w:t>
      </w:r>
      <w:proofErr w:type="spellEnd"/>
      <w:r w:rsidRPr="00B1089D">
        <w:t xml:space="preserve"> </w:t>
      </w:r>
      <w:proofErr w:type="spellStart"/>
      <w:r w:rsidRPr="00B1089D">
        <w:t>historical</w:t>
      </w:r>
      <w:proofErr w:type="spellEnd"/>
      <w:r w:rsidRPr="00B1089D">
        <w:t xml:space="preserve"> </w:t>
      </w:r>
      <w:proofErr w:type="spellStart"/>
      <w:r w:rsidRPr="00B1089D">
        <w:t>analyses</w:t>
      </w:r>
      <w:proofErr w:type="spellEnd"/>
      <w:r w:rsidRPr="00B1089D">
        <w:t xml:space="preserve"> of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w:t>
      </w:r>
      <w:proofErr w:type="spellStart"/>
      <w:r w:rsidRPr="00B1089D">
        <w:t>with</w:t>
      </w:r>
      <w:proofErr w:type="spellEnd"/>
      <w:r w:rsidRPr="00B1089D">
        <w:t xml:space="preserve"> </w:t>
      </w:r>
      <w:proofErr w:type="spellStart"/>
      <w:r w:rsidRPr="00B1089D">
        <w:t>the</w:t>
      </w:r>
      <w:proofErr w:type="spellEnd"/>
      <w:r w:rsidRPr="00B1089D">
        <w:t xml:space="preserve"> </w:t>
      </w:r>
      <w:proofErr w:type="spellStart"/>
      <w:r w:rsidRPr="00B1089D">
        <w:t>perspectives</w:t>
      </w:r>
      <w:proofErr w:type="spellEnd"/>
      <w:r w:rsidRPr="00B1089D">
        <w:t xml:space="preserve"> </w:t>
      </w:r>
      <w:proofErr w:type="spellStart"/>
      <w:r w:rsidRPr="00B1089D">
        <w:t>offered</w:t>
      </w:r>
      <w:proofErr w:type="spellEnd"/>
      <w:r w:rsidRPr="00B1089D">
        <w:t xml:space="preserve"> </w:t>
      </w:r>
      <w:proofErr w:type="spellStart"/>
      <w:r w:rsidRPr="00B1089D">
        <w:t>by</w:t>
      </w:r>
      <w:proofErr w:type="spellEnd"/>
      <w:r w:rsidRPr="00B1089D">
        <w:t xml:space="preserve"> </w:t>
      </w:r>
      <w:proofErr w:type="spellStart"/>
      <w:r w:rsidRPr="00B1089D">
        <w:t>literature</w:t>
      </w:r>
      <w:proofErr w:type="spellEnd"/>
      <w:r w:rsidRPr="00B1089D">
        <w:t xml:space="preserve"> on </w:t>
      </w:r>
      <w:proofErr w:type="spellStart"/>
      <w:r w:rsidRPr="00B1089D">
        <w:t>these</w:t>
      </w:r>
      <w:proofErr w:type="spellEnd"/>
      <w:r w:rsidRPr="00B1089D">
        <w:t xml:space="preserve"> </w:t>
      </w:r>
      <w:proofErr w:type="spellStart"/>
      <w:r w:rsidRPr="00B1089D">
        <w:t>issues</w:t>
      </w:r>
      <w:proofErr w:type="spellEnd"/>
      <w:r w:rsidRPr="00B1089D">
        <w:t xml:space="preserve"> can </w:t>
      </w:r>
      <w:proofErr w:type="spellStart"/>
      <w:r w:rsidRPr="00B1089D">
        <w:t>provide</w:t>
      </w:r>
      <w:proofErr w:type="spellEnd"/>
      <w:r w:rsidRPr="00B1089D">
        <w:t xml:space="preserve"> a </w:t>
      </w:r>
      <w:proofErr w:type="spellStart"/>
      <w:r w:rsidRPr="00B1089D">
        <w:t>more</w:t>
      </w:r>
      <w:proofErr w:type="spellEnd"/>
      <w:r w:rsidRPr="00B1089D">
        <w:t xml:space="preserve"> </w:t>
      </w:r>
      <w:proofErr w:type="spellStart"/>
      <w:r w:rsidRPr="00B1089D">
        <w:t>comprehensive</w:t>
      </w:r>
      <w:proofErr w:type="spellEnd"/>
      <w:r w:rsidRPr="00B1089D">
        <w:t xml:space="preserve"> </w:t>
      </w:r>
      <w:proofErr w:type="spellStart"/>
      <w:r w:rsidRPr="00B1089D">
        <w:t>perspective</w:t>
      </w:r>
      <w:proofErr w:type="spellEnd"/>
      <w:r w:rsidRPr="00B1089D">
        <w:t xml:space="preserve">. </w:t>
      </w:r>
      <w:proofErr w:type="spellStart"/>
      <w:r w:rsidRPr="00B1089D">
        <w:t>This</w:t>
      </w:r>
      <w:proofErr w:type="spellEnd"/>
      <w:r w:rsidRPr="00B1089D">
        <w:t xml:space="preserve"> </w:t>
      </w:r>
      <w:proofErr w:type="spellStart"/>
      <w:r w:rsidRPr="00B1089D">
        <w:t>paper</w:t>
      </w:r>
      <w:proofErr w:type="spellEnd"/>
      <w:r w:rsidRPr="00B1089D">
        <w:t xml:space="preserve">, </w:t>
      </w:r>
      <w:proofErr w:type="spellStart"/>
      <w:r w:rsidRPr="00B1089D">
        <w:t>especially</w:t>
      </w:r>
      <w:proofErr w:type="spellEnd"/>
      <w:r w:rsidRPr="00B1089D">
        <w:t xml:space="preserve"> Dickens’ </w:t>
      </w:r>
      <w:proofErr w:type="spellStart"/>
      <w:r w:rsidRPr="00B1089D">
        <w:t>critical</w:t>
      </w:r>
      <w:proofErr w:type="spellEnd"/>
      <w:r w:rsidRPr="00B1089D">
        <w:t xml:space="preserve"> </w:t>
      </w:r>
      <w:proofErr w:type="spellStart"/>
      <w:r w:rsidRPr="00B1089D">
        <w:t>perspective</w:t>
      </w:r>
      <w:proofErr w:type="spellEnd"/>
      <w:r w:rsidRPr="00B1089D">
        <w:t xml:space="preserve">, can </w:t>
      </w:r>
      <w:proofErr w:type="spellStart"/>
      <w:r w:rsidRPr="00B1089D">
        <w:t>contribute</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discussions</w:t>
      </w:r>
      <w:proofErr w:type="spellEnd"/>
      <w:r w:rsidRPr="00B1089D">
        <w:t xml:space="preserve"> on </w:t>
      </w:r>
      <w:proofErr w:type="spellStart"/>
      <w:r w:rsidRPr="00B1089D">
        <w:t>education</w:t>
      </w:r>
      <w:proofErr w:type="spellEnd"/>
      <w:r w:rsidRPr="00B1089D">
        <w:t xml:space="preserve"> </w:t>
      </w:r>
      <w:proofErr w:type="spellStart"/>
      <w:r w:rsidRPr="00B1089D">
        <w:t>and</w:t>
      </w:r>
      <w:proofErr w:type="spellEnd"/>
      <w:r w:rsidRPr="00B1089D">
        <w:t xml:space="preserve"> </w:t>
      </w:r>
      <w:proofErr w:type="spellStart"/>
      <w:r w:rsidRPr="00B1089D">
        <w:t>health</w:t>
      </w:r>
      <w:proofErr w:type="spellEnd"/>
      <w:r w:rsidRPr="00B1089D">
        <w:t xml:space="preserve"> </w:t>
      </w:r>
      <w:proofErr w:type="spellStart"/>
      <w:r w:rsidRPr="00B1089D">
        <w:t>systems</w:t>
      </w:r>
      <w:proofErr w:type="spellEnd"/>
      <w:r w:rsidRPr="00B1089D">
        <w:t xml:space="preserve"> in </w:t>
      </w:r>
      <w:proofErr w:type="spellStart"/>
      <w:r w:rsidRPr="00B1089D">
        <w:t>contemporary</w:t>
      </w:r>
      <w:proofErr w:type="spellEnd"/>
      <w:r w:rsidRPr="00B1089D">
        <w:t xml:space="preserve"> </w:t>
      </w:r>
      <w:proofErr w:type="spellStart"/>
      <w:r w:rsidRPr="00B1089D">
        <w:t>societies</w:t>
      </w:r>
      <w:proofErr w:type="spellEnd"/>
      <w:r w:rsidRPr="00B1089D">
        <w:t>.</w:t>
      </w:r>
    </w:p>
    <w:p w14:paraId="64A29E43" w14:textId="77777777" w:rsidR="00FA457D" w:rsidRPr="00B1089D" w:rsidRDefault="00FA457D" w:rsidP="00AF40EA">
      <w:pPr>
        <w:widowControl/>
        <w:jc w:val="both"/>
      </w:pPr>
    </w:p>
    <w:p w14:paraId="4D9E6634" w14:textId="7DFE7FAD" w:rsidR="00D47EF1" w:rsidRDefault="00FA457D" w:rsidP="00AF40EA">
      <w:pPr>
        <w:widowControl/>
        <w:jc w:val="both"/>
      </w:pPr>
      <w:proofErr w:type="spellStart"/>
      <w:r w:rsidRPr="00B1089D">
        <w:rPr>
          <w:b/>
          <w:bCs/>
        </w:rPr>
        <w:t>Keywords</w:t>
      </w:r>
      <w:proofErr w:type="spellEnd"/>
      <w:r w:rsidRPr="00B1089D">
        <w:rPr>
          <w:b/>
          <w:bCs/>
        </w:rPr>
        <w:t>:</w:t>
      </w:r>
      <w:r w:rsidRPr="00B1089D">
        <w:t xml:space="preserve"> Charles Dickens, </w:t>
      </w:r>
      <w:proofErr w:type="spellStart"/>
      <w:r w:rsidRPr="00B1089D">
        <w:t>education</w:t>
      </w:r>
      <w:proofErr w:type="spellEnd"/>
      <w:r w:rsidRPr="00B1089D">
        <w:t xml:space="preserve">, </w:t>
      </w:r>
      <w:proofErr w:type="spellStart"/>
      <w:r w:rsidRPr="00B1089D">
        <w:t>health</w:t>
      </w:r>
      <w:proofErr w:type="spellEnd"/>
      <w:r w:rsidRPr="00B1089D">
        <w:t xml:space="preserve">, </w:t>
      </w:r>
      <w:proofErr w:type="spellStart"/>
      <w:r w:rsidRPr="00B1089D">
        <w:t>the</w:t>
      </w:r>
      <w:proofErr w:type="spellEnd"/>
      <w:r w:rsidRPr="00B1089D">
        <w:t xml:space="preserve"> </w:t>
      </w:r>
      <w:proofErr w:type="spellStart"/>
      <w:r w:rsidRPr="00B1089D">
        <w:t>Industrialization</w:t>
      </w:r>
      <w:proofErr w:type="spellEnd"/>
      <w:r w:rsidRPr="00B1089D">
        <w:t xml:space="preserve"> </w:t>
      </w:r>
      <w:proofErr w:type="spellStart"/>
      <w:r w:rsidRPr="00B1089D">
        <w:t>Revolution</w:t>
      </w:r>
      <w:proofErr w:type="spellEnd"/>
      <w:r w:rsidRPr="00B1089D">
        <w:t xml:space="preserve">, </w:t>
      </w:r>
      <w:proofErr w:type="spellStart"/>
      <w:r w:rsidRPr="00B1089D">
        <w:t>society</w:t>
      </w:r>
      <w:proofErr w:type="spellEnd"/>
    </w:p>
    <w:p w14:paraId="219FCA56" w14:textId="45699F19" w:rsidR="00FA457D" w:rsidRDefault="00D47EF1" w:rsidP="00D47EF1">
      <w:pPr>
        <w:autoSpaceDE/>
        <w:autoSpaceDN/>
      </w:pPr>
      <w:r>
        <w:br w:type="page"/>
      </w:r>
    </w:p>
    <w:p w14:paraId="1D2514EB" w14:textId="77777777" w:rsidR="005500AB" w:rsidRPr="005500AB" w:rsidRDefault="005500AB" w:rsidP="005500AB">
      <w:pPr>
        <w:widowControl/>
        <w:autoSpaceDE/>
        <w:autoSpaceDN/>
        <w:jc w:val="center"/>
        <w:rPr>
          <w:rFonts w:eastAsia="Calibri"/>
          <w:b/>
          <w:bCs/>
          <w:kern w:val="2"/>
          <w:lang w:eastAsia="en-US"/>
          <w14:ligatures w14:val="standardContextual"/>
        </w:rPr>
      </w:pPr>
      <w:r w:rsidRPr="005500AB">
        <w:rPr>
          <w:rFonts w:eastAsia="Calibri"/>
          <w:b/>
          <w:bCs/>
          <w:kern w:val="2"/>
          <w:lang w:eastAsia="en-US"/>
          <w14:ligatures w14:val="standardContextual"/>
        </w:rPr>
        <w:lastRenderedPageBreak/>
        <w:t>Z Kuşağı ve Manevi Eğitim: Sanal Dünyada Dini Değerlerin Aktarımı Üzerine Bir İnceleme</w:t>
      </w:r>
    </w:p>
    <w:p w14:paraId="32A0348B" w14:textId="77777777" w:rsidR="005500AB" w:rsidRPr="005500AB" w:rsidRDefault="005500AB" w:rsidP="005500AB">
      <w:pPr>
        <w:widowControl/>
        <w:autoSpaceDE/>
        <w:autoSpaceDN/>
        <w:jc w:val="center"/>
        <w:rPr>
          <w:rFonts w:eastAsia="Calibri"/>
          <w:kern w:val="2"/>
          <w:lang w:eastAsia="en-US"/>
          <w14:ligatures w14:val="standardContextual"/>
        </w:rPr>
      </w:pPr>
    </w:p>
    <w:p w14:paraId="470C82AD" w14:textId="77777777" w:rsidR="005500AB" w:rsidRPr="005500AB" w:rsidRDefault="005500AB" w:rsidP="005500AB">
      <w:pPr>
        <w:widowControl/>
        <w:autoSpaceDE/>
        <w:autoSpaceDN/>
        <w:jc w:val="center"/>
        <w:rPr>
          <w:rFonts w:eastAsia="Calibri"/>
          <w:kern w:val="2"/>
          <w:lang w:eastAsia="en-US"/>
          <w14:ligatures w14:val="standardContextual"/>
        </w:rPr>
      </w:pPr>
      <w:r w:rsidRPr="005500AB">
        <w:rPr>
          <w:rFonts w:eastAsia="Calibri"/>
          <w:kern w:val="2"/>
          <w:lang w:eastAsia="en-US"/>
          <w14:ligatures w14:val="standardContextual"/>
        </w:rPr>
        <w:t>Hamza Aktaş</w:t>
      </w:r>
      <w:r w:rsidRPr="005500AB">
        <w:rPr>
          <w:rFonts w:eastAsia="Calibri"/>
          <w:kern w:val="2"/>
          <w:lang w:eastAsia="en-US"/>
          <w14:ligatures w14:val="standardContextual"/>
        </w:rPr>
        <w:br/>
        <w:t>Doç. Dr., Düzce Üniversitesi Çocuk ve Gençlik Eğitimi Uygulama ve Araştırma Merkez Müdürü, İlahiyat Fakültesi, Din Bilimleri Anabilim Dalı</w:t>
      </w:r>
      <w:r w:rsidRPr="005500AB">
        <w:rPr>
          <w:rFonts w:eastAsia="Calibri"/>
          <w:kern w:val="2"/>
          <w:lang w:eastAsia="en-US"/>
          <w14:ligatures w14:val="standardContextual"/>
        </w:rPr>
        <w:br/>
      </w:r>
      <w:hyperlink r:id="rId444" w:history="1">
        <w:r w:rsidRPr="005500AB">
          <w:rPr>
            <w:rFonts w:eastAsia="Calibri"/>
            <w:kern w:val="2"/>
            <w:lang w:eastAsia="en-US"/>
            <w14:ligatures w14:val="standardContextual"/>
          </w:rPr>
          <w:t>hamzaaktas@duzce.edu.tr</w:t>
        </w:r>
      </w:hyperlink>
      <w:r w:rsidRPr="005500AB">
        <w:rPr>
          <w:rFonts w:eastAsia="Calibri"/>
          <w:kern w:val="2"/>
          <w:lang w:eastAsia="en-US"/>
          <w14:ligatures w14:val="standardContextual"/>
        </w:rPr>
        <w:br/>
        <w:t xml:space="preserve"> 0000-0001-5059-2671</w:t>
      </w:r>
    </w:p>
    <w:p w14:paraId="45FDF9F1" w14:textId="77777777" w:rsidR="005500AB" w:rsidRPr="005500AB" w:rsidRDefault="005500AB" w:rsidP="005500AB">
      <w:pPr>
        <w:widowControl/>
        <w:autoSpaceDE/>
        <w:autoSpaceDN/>
        <w:jc w:val="both"/>
        <w:rPr>
          <w:rFonts w:eastAsia="Calibri"/>
          <w:kern w:val="2"/>
          <w:lang w:eastAsia="en-US"/>
          <w14:ligatures w14:val="standardContextual"/>
        </w:rPr>
      </w:pPr>
    </w:p>
    <w:p w14:paraId="3B6A7D40" w14:textId="77777777" w:rsidR="005500AB" w:rsidRPr="005500AB" w:rsidRDefault="005500AB" w:rsidP="005500AB">
      <w:pPr>
        <w:widowControl/>
        <w:autoSpaceDE/>
        <w:autoSpaceDN/>
        <w:jc w:val="center"/>
        <w:rPr>
          <w:rFonts w:eastAsia="Calibri"/>
          <w:b/>
          <w:bCs/>
          <w:kern w:val="2"/>
          <w:lang w:eastAsia="en-US"/>
          <w14:ligatures w14:val="standardContextual"/>
        </w:rPr>
      </w:pPr>
      <w:r w:rsidRPr="005500AB">
        <w:rPr>
          <w:rFonts w:eastAsia="Calibri"/>
          <w:b/>
          <w:bCs/>
          <w:kern w:val="2"/>
          <w:lang w:eastAsia="en-US"/>
          <w14:ligatures w14:val="standardContextual"/>
        </w:rPr>
        <w:t>Özet</w:t>
      </w:r>
    </w:p>
    <w:p w14:paraId="7F53CCE6" w14:textId="77777777" w:rsidR="005500AB" w:rsidRPr="005500AB" w:rsidRDefault="005500AB" w:rsidP="005500AB">
      <w:pPr>
        <w:widowControl/>
        <w:autoSpaceDE/>
        <w:autoSpaceDN/>
        <w:spacing w:beforeAutospacing="1" w:afterAutospacing="1"/>
        <w:jc w:val="both"/>
        <w:rPr>
          <w:rFonts w:eastAsia="SimSun"/>
          <w:lang w:val="en-US" w:eastAsia="zh-CN"/>
        </w:rPr>
      </w:pPr>
      <w:r w:rsidRPr="005500AB">
        <w:rPr>
          <w:rFonts w:eastAsia="SimSun"/>
          <w:lang w:val="en-US" w:eastAsia="zh-CN"/>
        </w:rPr>
        <w:t xml:space="preserve">Bu </w:t>
      </w:r>
      <w:proofErr w:type="spellStart"/>
      <w:r w:rsidRPr="005500AB">
        <w:rPr>
          <w:rFonts w:eastAsia="SimSun"/>
          <w:lang w:val="en-US" w:eastAsia="zh-CN"/>
        </w:rPr>
        <w:t>çalışma</w:t>
      </w:r>
      <w:proofErr w:type="spellEnd"/>
      <w:r w:rsidRPr="005500AB">
        <w:rPr>
          <w:rFonts w:eastAsia="SimSun"/>
          <w:lang w:val="en-US" w:eastAsia="zh-CN"/>
        </w:rPr>
        <w:t xml:space="preserve">, Z </w:t>
      </w:r>
      <w:proofErr w:type="spellStart"/>
      <w:r w:rsidRPr="005500AB">
        <w:rPr>
          <w:rFonts w:eastAsia="SimSun"/>
          <w:lang w:val="en-US" w:eastAsia="zh-CN"/>
        </w:rPr>
        <w:t>kuşağının</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eğitim</w:t>
      </w:r>
      <w:proofErr w:type="spellEnd"/>
      <w:r w:rsidRPr="005500AB">
        <w:rPr>
          <w:rFonts w:eastAsia="SimSun"/>
          <w:lang w:val="en-US" w:eastAsia="zh-CN"/>
        </w:rPr>
        <w:t xml:space="preserve"> </w:t>
      </w:r>
      <w:proofErr w:type="spellStart"/>
      <w:r w:rsidRPr="005500AB">
        <w:rPr>
          <w:rFonts w:eastAsia="SimSun"/>
          <w:lang w:val="en-US" w:eastAsia="zh-CN"/>
        </w:rPr>
        <w:t>süreçlerinde</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dünyanın</w:t>
      </w:r>
      <w:proofErr w:type="spellEnd"/>
      <w:r w:rsidRPr="005500AB">
        <w:rPr>
          <w:rFonts w:eastAsia="SimSun"/>
          <w:lang w:val="en-US" w:eastAsia="zh-CN"/>
        </w:rPr>
        <w:t xml:space="preserve"> </w:t>
      </w:r>
      <w:proofErr w:type="spellStart"/>
      <w:r w:rsidRPr="005500AB">
        <w:rPr>
          <w:rFonts w:eastAsia="SimSun"/>
          <w:lang w:val="en-US" w:eastAsia="zh-CN"/>
        </w:rPr>
        <w:t>rolünü</w:t>
      </w:r>
      <w:proofErr w:type="spellEnd"/>
      <w:r w:rsidRPr="005500AB">
        <w:rPr>
          <w:rFonts w:eastAsia="SimSun"/>
          <w:lang w:val="en-US" w:eastAsia="zh-CN"/>
        </w:rPr>
        <w:t xml:space="preserve"> </w:t>
      </w:r>
      <w:proofErr w:type="spellStart"/>
      <w:r w:rsidRPr="005500AB">
        <w:rPr>
          <w:rFonts w:eastAsia="SimSun"/>
          <w:lang w:val="en-US" w:eastAsia="zh-CN"/>
        </w:rPr>
        <w:t>ve</w:t>
      </w:r>
      <w:proofErr w:type="spellEnd"/>
      <w:r w:rsidRPr="005500AB">
        <w:rPr>
          <w:rFonts w:eastAsia="SimSun"/>
          <w:lang w:val="en-US" w:eastAsia="zh-CN"/>
        </w:rPr>
        <w:t xml:space="preserve"> </w:t>
      </w:r>
      <w:proofErr w:type="spellStart"/>
      <w:r w:rsidRPr="005500AB">
        <w:rPr>
          <w:rFonts w:eastAsia="SimSun"/>
          <w:lang w:val="en-US" w:eastAsia="zh-CN"/>
        </w:rPr>
        <w:t>dini</w:t>
      </w:r>
      <w:proofErr w:type="spellEnd"/>
      <w:r w:rsidRPr="005500AB">
        <w:rPr>
          <w:rFonts w:eastAsia="SimSun"/>
          <w:lang w:val="en-US" w:eastAsia="zh-CN"/>
        </w:rPr>
        <w:t xml:space="preserve"> </w:t>
      </w:r>
      <w:proofErr w:type="spellStart"/>
      <w:r w:rsidRPr="005500AB">
        <w:rPr>
          <w:rFonts w:eastAsia="SimSun"/>
          <w:lang w:val="en-US" w:eastAsia="zh-CN"/>
        </w:rPr>
        <w:t>değerlerin</w:t>
      </w:r>
      <w:proofErr w:type="spellEnd"/>
      <w:r w:rsidRPr="005500AB">
        <w:rPr>
          <w:rFonts w:eastAsia="SimSun"/>
          <w:lang w:val="en-US" w:eastAsia="zh-CN"/>
        </w:rPr>
        <w:t xml:space="preserve"> </w:t>
      </w:r>
      <w:proofErr w:type="spellStart"/>
      <w:r w:rsidRPr="005500AB">
        <w:rPr>
          <w:rFonts w:eastAsia="SimSun"/>
          <w:lang w:val="en-US" w:eastAsia="zh-CN"/>
        </w:rPr>
        <w:t>aktarımındaki</w:t>
      </w:r>
      <w:proofErr w:type="spellEnd"/>
      <w:r w:rsidRPr="005500AB">
        <w:rPr>
          <w:rFonts w:eastAsia="SimSun"/>
          <w:lang w:val="en-US" w:eastAsia="zh-CN"/>
        </w:rPr>
        <w:t xml:space="preserve"> </w:t>
      </w:r>
      <w:proofErr w:type="spellStart"/>
      <w:r w:rsidRPr="005500AB">
        <w:rPr>
          <w:rFonts w:eastAsia="SimSun"/>
          <w:lang w:val="en-US" w:eastAsia="zh-CN"/>
        </w:rPr>
        <w:t>etkisini</w:t>
      </w:r>
      <w:proofErr w:type="spellEnd"/>
      <w:r w:rsidRPr="005500AB">
        <w:rPr>
          <w:rFonts w:eastAsia="SimSun"/>
          <w:lang w:val="en-US" w:eastAsia="zh-CN"/>
        </w:rPr>
        <w:t xml:space="preserve"> </w:t>
      </w:r>
      <w:proofErr w:type="spellStart"/>
      <w:r w:rsidRPr="005500AB">
        <w:rPr>
          <w:rFonts w:eastAsia="SimSun"/>
          <w:lang w:val="en-US" w:eastAsia="zh-CN"/>
        </w:rPr>
        <w:t>incelemeyi</w:t>
      </w:r>
      <w:proofErr w:type="spellEnd"/>
      <w:r w:rsidRPr="005500AB">
        <w:rPr>
          <w:rFonts w:eastAsia="SimSun"/>
          <w:lang w:val="en-US" w:eastAsia="zh-CN"/>
        </w:rPr>
        <w:t xml:space="preserve"> </w:t>
      </w:r>
      <w:proofErr w:type="spellStart"/>
      <w:r w:rsidRPr="005500AB">
        <w:rPr>
          <w:rFonts w:eastAsia="SimSun"/>
          <w:lang w:val="en-US" w:eastAsia="zh-CN"/>
        </w:rPr>
        <w:t>amaçlamaktadır</w:t>
      </w:r>
      <w:proofErr w:type="spellEnd"/>
      <w:r w:rsidRPr="005500AB">
        <w:rPr>
          <w:rFonts w:eastAsia="SimSun"/>
          <w:lang w:val="en-US" w:eastAsia="zh-CN"/>
        </w:rPr>
        <w:t xml:space="preserve">. </w:t>
      </w:r>
      <w:proofErr w:type="spellStart"/>
      <w:r w:rsidRPr="005500AB">
        <w:rPr>
          <w:rFonts w:eastAsia="SimSun"/>
          <w:lang w:val="en-US" w:eastAsia="zh-CN"/>
        </w:rPr>
        <w:t>Teknolojik</w:t>
      </w:r>
      <w:proofErr w:type="spellEnd"/>
      <w:r w:rsidRPr="005500AB">
        <w:rPr>
          <w:rFonts w:eastAsia="SimSun"/>
          <w:lang w:val="en-US" w:eastAsia="zh-CN"/>
        </w:rPr>
        <w:t xml:space="preserve"> </w:t>
      </w:r>
      <w:proofErr w:type="spellStart"/>
      <w:r w:rsidRPr="005500AB">
        <w:rPr>
          <w:rFonts w:eastAsia="SimSun"/>
          <w:lang w:val="en-US" w:eastAsia="zh-CN"/>
        </w:rPr>
        <w:t>gelişimin</w:t>
      </w:r>
      <w:proofErr w:type="spellEnd"/>
      <w:r w:rsidRPr="005500AB">
        <w:rPr>
          <w:rFonts w:eastAsia="SimSun"/>
          <w:lang w:val="en-US" w:eastAsia="zh-CN"/>
        </w:rPr>
        <w:t xml:space="preserve"> </w:t>
      </w:r>
      <w:proofErr w:type="spellStart"/>
      <w:r w:rsidRPr="005500AB">
        <w:rPr>
          <w:rFonts w:eastAsia="SimSun"/>
          <w:lang w:val="en-US" w:eastAsia="zh-CN"/>
        </w:rPr>
        <w:t>hız</w:t>
      </w:r>
      <w:proofErr w:type="spellEnd"/>
      <w:r w:rsidRPr="005500AB">
        <w:rPr>
          <w:rFonts w:eastAsia="SimSun"/>
          <w:lang w:val="en-US" w:eastAsia="zh-CN"/>
        </w:rPr>
        <w:t xml:space="preserve"> </w:t>
      </w:r>
      <w:proofErr w:type="spellStart"/>
      <w:r w:rsidRPr="005500AB">
        <w:rPr>
          <w:rFonts w:eastAsia="SimSun"/>
          <w:lang w:val="en-US" w:eastAsia="zh-CN"/>
        </w:rPr>
        <w:t>kazandığı</w:t>
      </w:r>
      <w:proofErr w:type="spellEnd"/>
      <w:r w:rsidRPr="005500AB">
        <w:rPr>
          <w:rFonts w:eastAsia="SimSun"/>
          <w:lang w:val="en-US" w:eastAsia="zh-CN"/>
        </w:rPr>
        <w:t xml:space="preserve"> </w:t>
      </w:r>
      <w:proofErr w:type="spellStart"/>
      <w:r w:rsidRPr="005500AB">
        <w:rPr>
          <w:rFonts w:eastAsia="SimSun"/>
          <w:lang w:val="en-US" w:eastAsia="zh-CN"/>
        </w:rPr>
        <w:t>dijital</w:t>
      </w:r>
      <w:proofErr w:type="spellEnd"/>
      <w:r w:rsidRPr="005500AB">
        <w:rPr>
          <w:rFonts w:eastAsia="SimSun"/>
          <w:lang w:val="en-US" w:eastAsia="zh-CN"/>
        </w:rPr>
        <w:t xml:space="preserve"> </w:t>
      </w:r>
      <w:proofErr w:type="spellStart"/>
      <w:r w:rsidRPr="005500AB">
        <w:rPr>
          <w:rFonts w:eastAsia="SimSun"/>
          <w:lang w:val="en-US" w:eastAsia="zh-CN"/>
        </w:rPr>
        <w:t>çağda</w:t>
      </w:r>
      <w:proofErr w:type="spellEnd"/>
      <w:r w:rsidRPr="005500AB">
        <w:rPr>
          <w:rFonts w:eastAsia="SimSun"/>
          <w:lang w:val="en-US" w:eastAsia="zh-CN"/>
        </w:rPr>
        <w:t xml:space="preserve"> </w:t>
      </w:r>
      <w:proofErr w:type="spellStart"/>
      <w:r w:rsidRPr="005500AB">
        <w:rPr>
          <w:rFonts w:eastAsia="SimSun"/>
          <w:lang w:val="en-US" w:eastAsia="zh-CN"/>
        </w:rPr>
        <w:t>büyüyen</w:t>
      </w:r>
      <w:proofErr w:type="spellEnd"/>
      <w:r w:rsidRPr="005500AB">
        <w:rPr>
          <w:rFonts w:eastAsia="SimSun"/>
          <w:lang w:val="en-US" w:eastAsia="zh-CN"/>
        </w:rPr>
        <w:t xml:space="preserve"> Z </w:t>
      </w:r>
      <w:proofErr w:type="spellStart"/>
      <w:r w:rsidRPr="005500AB">
        <w:rPr>
          <w:rFonts w:eastAsia="SimSun"/>
          <w:lang w:val="en-US" w:eastAsia="zh-CN"/>
        </w:rPr>
        <w:t>kuşağı</w:t>
      </w:r>
      <w:proofErr w:type="spellEnd"/>
      <w:r w:rsidRPr="005500AB">
        <w:rPr>
          <w:rFonts w:eastAsia="SimSun"/>
          <w:lang w:val="en-US" w:eastAsia="zh-CN"/>
        </w:rPr>
        <w:t xml:space="preserve">, </w:t>
      </w:r>
      <w:proofErr w:type="spellStart"/>
      <w:r w:rsidRPr="005500AB">
        <w:rPr>
          <w:rFonts w:eastAsia="SimSun"/>
          <w:lang w:val="en-US" w:eastAsia="zh-CN"/>
        </w:rPr>
        <w:t>bilgilere</w:t>
      </w:r>
      <w:proofErr w:type="spellEnd"/>
      <w:r w:rsidRPr="005500AB">
        <w:rPr>
          <w:rFonts w:eastAsia="SimSun"/>
          <w:lang w:val="en-US" w:eastAsia="zh-CN"/>
        </w:rPr>
        <w:t xml:space="preserve"> </w:t>
      </w:r>
      <w:proofErr w:type="spellStart"/>
      <w:r w:rsidRPr="005500AB">
        <w:rPr>
          <w:rFonts w:eastAsia="SimSun"/>
          <w:lang w:val="en-US" w:eastAsia="zh-CN"/>
        </w:rPr>
        <w:t>kolay</w:t>
      </w:r>
      <w:proofErr w:type="spellEnd"/>
      <w:r w:rsidRPr="005500AB">
        <w:rPr>
          <w:rFonts w:eastAsia="SimSun"/>
          <w:lang w:val="en-US" w:eastAsia="zh-CN"/>
        </w:rPr>
        <w:t xml:space="preserve"> </w:t>
      </w:r>
      <w:proofErr w:type="spellStart"/>
      <w:r w:rsidRPr="005500AB">
        <w:rPr>
          <w:rFonts w:eastAsia="SimSun"/>
          <w:lang w:val="en-US" w:eastAsia="zh-CN"/>
        </w:rPr>
        <w:t>erişim</w:t>
      </w:r>
      <w:proofErr w:type="spellEnd"/>
      <w:r w:rsidRPr="005500AB">
        <w:rPr>
          <w:rFonts w:eastAsia="SimSun"/>
          <w:lang w:val="en-US" w:eastAsia="zh-CN"/>
        </w:rPr>
        <w:t xml:space="preserve"> </w:t>
      </w:r>
      <w:proofErr w:type="spellStart"/>
      <w:r w:rsidRPr="005500AB">
        <w:rPr>
          <w:rFonts w:eastAsia="SimSun"/>
          <w:lang w:val="en-US" w:eastAsia="zh-CN"/>
        </w:rPr>
        <w:t>sağlayan</w:t>
      </w:r>
      <w:proofErr w:type="spellEnd"/>
      <w:r w:rsidRPr="005500AB">
        <w:rPr>
          <w:rFonts w:eastAsia="SimSun"/>
          <w:lang w:val="en-US" w:eastAsia="zh-CN"/>
        </w:rPr>
        <w:t xml:space="preserve"> </w:t>
      </w:r>
      <w:proofErr w:type="spellStart"/>
      <w:r w:rsidRPr="005500AB">
        <w:rPr>
          <w:rFonts w:eastAsia="SimSun"/>
          <w:lang w:val="en-US" w:eastAsia="zh-CN"/>
        </w:rPr>
        <w:t>ancak</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bağları</w:t>
      </w:r>
      <w:proofErr w:type="spellEnd"/>
      <w:r w:rsidRPr="005500AB">
        <w:rPr>
          <w:rFonts w:eastAsia="SimSun"/>
          <w:lang w:val="en-US" w:eastAsia="zh-CN"/>
        </w:rPr>
        <w:t xml:space="preserve"> </w:t>
      </w:r>
      <w:proofErr w:type="spellStart"/>
      <w:r w:rsidRPr="005500AB">
        <w:rPr>
          <w:rFonts w:eastAsia="SimSun"/>
          <w:lang w:val="en-US" w:eastAsia="zh-CN"/>
        </w:rPr>
        <w:t>zayıflatabilecek</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ortamlarla</w:t>
      </w:r>
      <w:proofErr w:type="spellEnd"/>
      <w:r w:rsidRPr="005500AB">
        <w:rPr>
          <w:rFonts w:eastAsia="SimSun"/>
          <w:lang w:val="en-US" w:eastAsia="zh-CN"/>
        </w:rPr>
        <w:t xml:space="preserve"> </w:t>
      </w:r>
      <w:proofErr w:type="spellStart"/>
      <w:r w:rsidRPr="005500AB">
        <w:rPr>
          <w:rFonts w:eastAsia="SimSun"/>
          <w:lang w:val="en-US" w:eastAsia="zh-CN"/>
        </w:rPr>
        <w:t>yoğun</w:t>
      </w:r>
      <w:proofErr w:type="spellEnd"/>
      <w:r w:rsidRPr="005500AB">
        <w:rPr>
          <w:rFonts w:eastAsia="SimSun"/>
          <w:lang w:val="en-US" w:eastAsia="zh-CN"/>
        </w:rPr>
        <w:t xml:space="preserve"> </w:t>
      </w:r>
      <w:proofErr w:type="spellStart"/>
      <w:r w:rsidRPr="005500AB">
        <w:rPr>
          <w:rFonts w:eastAsia="SimSun"/>
          <w:lang w:val="en-US" w:eastAsia="zh-CN"/>
        </w:rPr>
        <w:t>etkileşim</w:t>
      </w:r>
      <w:proofErr w:type="spellEnd"/>
      <w:r w:rsidRPr="005500AB">
        <w:rPr>
          <w:rFonts w:eastAsia="SimSun"/>
          <w:lang w:val="en-US" w:eastAsia="zh-CN"/>
        </w:rPr>
        <w:t xml:space="preserve"> </w:t>
      </w:r>
      <w:proofErr w:type="spellStart"/>
      <w:r w:rsidRPr="005500AB">
        <w:rPr>
          <w:rFonts w:eastAsia="SimSun"/>
          <w:lang w:val="en-US" w:eastAsia="zh-CN"/>
        </w:rPr>
        <w:t>halindedir</w:t>
      </w:r>
      <w:proofErr w:type="spellEnd"/>
      <w:r w:rsidRPr="005500AB">
        <w:rPr>
          <w:rFonts w:eastAsia="SimSun"/>
          <w:lang w:val="en-US" w:eastAsia="zh-CN"/>
        </w:rPr>
        <w:t xml:space="preserve">. Bu </w:t>
      </w:r>
      <w:proofErr w:type="spellStart"/>
      <w:r w:rsidRPr="005500AB">
        <w:rPr>
          <w:rFonts w:eastAsia="SimSun"/>
          <w:lang w:val="en-US" w:eastAsia="zh-CN"/>
        </w:rPr>
        <w:t>bağlamda</w:t>
      </w:r>
      <w:proofErr w:type="spellEnd"/>
      <w:r w:rsidRPr="005500AB">
        <w:rPr>
          <w:rFonts w:eastAsia="SimSun"/>
          <w:lang w:val="en-US" w:eastAsia="zh-CN"/>
        </w:rPr>
        <w:t xml:space="preserve">, </w:t>
      </w:r>
      <w:proofErr w:type="spellStart"/>
      <w:r w:rsidRPr="005500AB">
        <w:rPr>
          <w:rFonts w:eastAsia="SimSun"/>
          <w:lang w:val="en-US" w:eastAsia="zh-CN"/>
        </w:rPr>
        <w:t>araştırma</w:t>
      </w:r>
      <w:proofErr w:type="spellEnd"/>
      <w:r w:rsidRPr="005500AB">
        <w:rPr>
          <w:rFonts w:eastAsia="SimSun"/>
          <w:lang w:val="en-US" w:eastAsia="zh-CN"/>
        </w:rPr>
        <w:t xml:space="preserve">, </w:t>
      </w:r>
      <w:proofErr w:type="spellStart"/>
      <w:r w:rsidRPr="005500AB">
        <w:rPr>
          <w:rFonts w:eastAsia="SimSun"/>
          <w:lang w:val="en-US" w:eastAsia="zh-CN"/>
        </w:rPr>
        <w:t>dini</w:t>
      </w:r>
      <w:proofErr w:type="spellEnd"/>
      <w:r w:rsidRPr="005500AB">
        <w:rPr>
          <w:rFonts w:eastAsia="SimSun"/>
          <w:lang w:val="en-US" w:eastAsia="zh-CN"/>
        </w:rPr>
        <w:t xml:space="preserve"> </w:t>
      </w:r>
      <w:proofErr w:type="spellStart"/>
      <w:r w:rsidRPr="005500AB">
        <w:rPr>
          <w:rFonts w:eastAsia="SimSun"/>
          <w:lang w:val="en-US" w:eastAsia="zh-CN"/>
        </w:rPr>
        <w:t>değerlerin</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platformlar</w:t>
      </w:r>
      <w:proofErr w:type="spellEnd"/>
      <w:r w:rsidRPr="005500AB">
        <w:rPr>
          <w:rFonts w:eastAsia="SimSun"/>
          <w:lang w:val="en-US" w:eastAsia="zh-CN"/>
        </w:rPr>
        <w:t xml:space="preserve"> </w:t>
      </w:r>
      <w:proofErr w:type="spellStart"/>
      <w:r w:rsidRPr="005500AB">
        <w:rPr>
          <w:rFonts w:eastAsia="SimSun"/>
          <w:lang w:val="en-US" w:eastAsia="zh-CN"/>
        </w:rPr>
        <w:t>aracılığıyla</w:t>
      </w:r>
      <w:proofErr w:type="spellEnd"/>
      <w:r w:rsidRPr="005500AB">
        <w:rPr>
          <w:rFonts w:eastAsia="SimSun"/>
          <w:lang w:val="en-US" w:eastAsia="zh-CN"/>
        </w:rPr>
        <w:t xml:space="preserve"> </w:t>
      </w:r>
      <w:proofErr w:type="spellStart"/>
      <w:r w:rsidRPr="005500AB">
        <w:rPr>
          <w:rFonts w:eastAsia="SimSun"/>
          <w:lang w:val="en-US" w:eastAsia="zh-CN"/>
        </w:rPr>
        <w:t>aktarılmasının</w:t>
      </w:r>
      <w:proofErr w:type="spellEnd"/>
      <w:r w:rsidRPr="005500AB">
        <w:rPr>
          <w:rFonts w:eastAsia="SimSun"/>
          <w:lang w:val="en-US" w:eastAsia="zh-CN"/>
        </w:rPr>
        <w:t xml:space="preserve"> </w:t>
      </w:r>
      <w:proofErr w:type="spellStart"/>
      <w:r w:rsidRPr="005500AB">
        <w:rPr>
          <w:rFonts w:eastAsia="SimSun"/>
          <w:lang w:val="en-US" w:eastAsia="zh-CN"/>
        </w:rPr>
        <w:t>etkinliğini</w:t>
      </w:r>
      <w:proofErr w:type="spellEnd"/>
      <w:r w:rsidRPr="005500AB">
        <w:rPr>
          <w:rFonts w:eastAsia="SimSun"/>
          <w:lang w:val="en-US" w:eastAsia="zh-CN"/>
        </w:rPr>
        <w:t xml:space="preserve"> </w:t>
      </w:r>
      <w:proofErr w:type="spellStart"/>
      <w:r w:rsidRPr="005500AB">
        <w:rPr>
          <w:rFonts w:eastAsia="SimSun"/>
          <w:lang w:val="en-US" w:eastAsia="zh-CN"/>
        </w:rPr>
        <w:t>sorgulamakta</w:t>
      </w:r>
      <w:proofErr w:type="spellEnd"/>
      <w:r w:rsidRPr="005500AB">
        <w:rPr>
          <w:rFonts w:eastAsia="SimSun"/>
          <w:lang w:val="en-US" w:eastAsia="zh-CN"/>
        </w:rPr>
        <w:t xml:space="preserve"> </w:t>
      </w:r>
      <w:proofErr w:type="spellStart"/>
      <w:r w:rsidRPr="005500AB">
        <w:rPr>
          <w:rFonts w:eastAsia="SimSun"/>
          <w:lang w:val="en-US" w:eastAsia="zh-CN"/>
        </w:rPr>
        <w:t>ve</w:t>
      </w:r>
      <w:proofErr w:type="spellEnd"/>
      <w:r w:rsidRPr="005500AB">
        <w:rPr>
          <w:rFonts w:eastAsia="SimSun"/>
          <w:lang w:val="en-US" w:eastAsia="zh-CN"/>
        </w:rPr>
        <w:t xml:space="preserve"> </w:t>
      </w:r>
      <w:proofErr w:type="spellStart"/>
      <w:r w:rsidRPr="005500AB">
        <w:rPr>
          <w:rFonts w:eastAsia="SimSun"/>
          <w:lang w:val="en-US" w:eastAsia="zh-CN"/>
        </w:rPr>
        <w:t>bu</w:t>
      </w:r>
      <w:proofErr w:type="spellEnd"/>
      <w:r w:rsidRPr="005500AB">
        <w:rPr>
          <w:rFonts w:eastAsia="SimSun"/>
          <w:lang w:val="en-US" w:eastAsia="zh-CN"/>
        </w:rPr>
        <w:t xml:space="preserve"> </w:t>
      </w:r>
      <w:proofErr w:type="spellStart"/>
      <w:r w:rsidRPr="005500AB">
        <w:rPr>
          <w:rFonts w:eastAsia="SimSun"/>
          <w:lang w:val="en-US" w:eastAsia="zh-CN"/>
        </w:rPr>
        <w:t>sürecin</w:t>
      </w:r>
      <w:proofErr w:type="spellEnd"/>
      <w:r w:rsidRPr="005500AB">
        <w:rPr>
          <w:rFonts w:eastAsia="SimSun"/>
          <w:lang w:val="en-US" w:eastAsia="zh-CN"/>
        </w:rPr>
        <w:t xml:space="preserve"> Z </w:t>
      </w:r>
      <w:proofErr w:type="spellStart"/>
      <w:r w:rsidRPr="005500AB">
        <w:rPr>
          <w:rFonts w:eastAsia="SimSun"/>
          <w:lang w:val="en-US" w:eastAsia="zh-CN"/>
        </w:rPr>
        <w:t>kuşağının</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gelişimlerine</w:t>
      </w:r>
      <w:proofErr w:type="spellEnd"/>
      <w:r w:rsidRPr="005500AB">
        <w:rPr>
          <w:rFonts w:eastAsia="SimSun"/>
          <w:lang w:val="en-US" w:eastAsia="zh-CN"/>
        </w:rPr>
        <w:t xml:space="preserve"> </w:t>
      </w:r>
      <w:proofErr w:type="spellStart"/>
      <w:r w:rsidRPr="005500AB">
        <w:rPr>
          <w:rFonts w:eastAsia="SimSun"/>
          <w:lang w:val="en-US" w:eastAsia="zh-CN"/>
        </w:rPr>
        <w:t>nasıl</w:t>
      </w:r>
      <w:proofErr w:type="spellEnd"/>
      <w:r w:rsidRPr="005500AB">
        <w:rPr>
          <w:rFonts w:eastAsia="SimSun"/>
          <w:lang w:val="en-US" w:eastAsia="zh-CN"/>
        </w:rPr>
        <w:t xml:space="preserve"> </w:t>
      </w:r>
      <w:proofErr w:type="spellStart"/>
      <w:r w:rsidRPr="005500AB">
        <w:rPr>
          <w:rFonts w:eastAsia="SimSun"/>
          <w:lang w:val="en-US" w:eastAsia="zh-CN"/>
        </w:rPr>
        <w:t>katkı</w:t>
      </w:r>
      <w:proofErr w:type="spellEnd"/>
      <w:r w:rsidRPr="005500AB">
        <w:rPr>
          <w:rFonts w:eastAsia="SimSun"/>
          <w:lang w:val="en-US" w:eastAsia="zh-CN"/>
        </w:rPr>
        <w:t xml:space="preserve"> </w:t>
      </w:r>
      <w:proofErr w:type="spellStart"/>
      <w:r w:rsidRPr="005500AB">
        <w:rPr>
          <w:rFonts w:eastAsia="SimSun"/>
          <w:lang w:val="en-US" w:eastAsia="zh-CN"/>
        </w:rPr>
        <w:t>sağlayabileceğini</w:t>
      </w:r>
      <w:proofErr w:type="spellEnd"/>
      <w:r w:rsidRPr="005500AB">
        <w:rPr>
          <w:rFonts w:eastAsia="SimSun"/>
          <w:lang w:val="en-US" w:eastAsia="zh-CN"/>
        </w:rPr>
        <w:t xml:space="preserve"> </w:t>
      </w:r>
      <w:proofErr w:type="spellStart"/>
      <w:r w:rsidRPr="005500AB">
        <w:rPr>
          <w:rFonts w:eastAsia="SimSun"/>
          <w:lang w:val="en-US" w:eastAsia="zh-CN"/>
        </w:rPr>
        <w:t>ortaya</w:t>
      </w:r>
      <w:proofErr w:type="spellEnd"/>
      <w:r w:rsidRPr="005500AB">
        <w:rPr>
          <w:rFonts w:eastAsia="SimSun"/>
          <w:lang w:val="en-US" w:eastAsia="zh-CN"/>
        </w:rPr>
        <w:t xml:space="preserve"> </w:t>
      </w:r>
      <w:proofErr w:type="spellStart"/>
      <w:r w:rsidRPr="005500AB">
        <w:rPr>
          <w:rFonts w:eastAsia="SimSun"/>
          <w:lang w:val="en-US" w:eastAsia="zh-CN"/>
        </w:rPr>
        <w:t>koymayı</w:t>
      </w:r>
      <w:proofErr w:type="spellEnd"/>
      <w:r w:rsidRPr="005500AB">
        <w:rPr>
          <w:rFonts w:eastAsia="SimSun"/>
          <w:lang w:val="en-US" w:eastAsia="zh-CN"/>
        </w:rPr>
        <w:t xml:space="preserve"> </w:t>
      </w:r>
      <w:proofErr w:type="spellStart"/>
      <w:r w:rsidRPr="005500AB">
        <w:rPr>
          <w:rFonts w:eastAsia="SimSun"/>
          <w:lang w:val="en-US" w:eastAsia="zh-CN"/>
        </w:rPr>
        <w:t>hedeflemektedir</w:t>
      </w:r>
      <w:proofErr w:type="spellEnd"/>
      <w:r w:rsidRPr="005500AB">
        <w:rPr>
          <w:rFonts w:eastAsia="SimSun"/>
          <w:lang w:val="en-US" w:eastAsia="zh-CN"/>
        </w:rPr>
        <w:t xml:space="preserve">. </w:t>
      </w:r>
      <w:proofErr w:type="spellStart"/>
      <w:r w:rsidRPr="005500AB">
        <w:rPr>
          <w:rFonts w:eastAsia="SimSun"/>
          <w:lang w:val="en-US" w:eastAsia="zh-CN"/>
        </w:rPr>
        <w:t>Araştırmada</w:t>
      </w:r>
      <w:proofErr w:type="spellEnd"/>
      <w:r w:rsidRPr="005500AB">
        <w:rPr>
          <w:rFonts w:eastAsia="SimSun"/>
          <w:lang w:val="en-US" w:eastAsia="zh-CN"/>
        </w:rPr>
        <w:t xml:space="preserve"> </w:t>
      </w:r>
      <w:proofErr w:type="spellStart"/>
      <w:r w:rsidRPr="005500AB">
        <w:rPr>
          <w:rFonts w:eastAsia="SimSun"/>
          <w:lang w:val="en-US" w:eastAsia="zh-CN"/>
        </w:rPr>
        <w:t>nitel</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yaklaşım</w:t>
      </w:r>
      <w:proofErr w:type="spellEnd"/>
      <w:r w:rsidRPr="005500AB">
        <w:rPr>
          <w:rFonts w:eastAsia="SimSun"/>
          <w:lang w:val="en-US" w:eastAsia="zh-CN"/>
        </w:rPr>
        <w:t xml:space="preserve"> </w:t>
      </w:r>
      <w:proofErr w:type="spellStart"/>
      <w:r w:rsidRPr="005500AB">
        <w:rPr>
          <w:rFonts w:eastAsia="SimSun"/>
          <w:lang w:val="en-US" w:eastAsia="zh-CN"/>
        </w:rPr>
        <w:t>benimsenerek</w:t>
      </w:r>
      <w:proofErr w:type="spellEnd"/>
      <w:r w:rsidRPr="005500AB">
        <w:rPr>
          <w:rFonts w:eastAsia="SimSun"/>
          <w:lang w:val="en-US" w:eastAsia="zh-CN"/>
        </w:rPr>
        <w:t xml:space="preserve">, </w:t>
      </w:r>
      <w:proofErr w:type="spellStart"/>
      <w:r w:rsidRPr="005500AB">
        <w:rPr>
          <w:rFonts w:eastAsia="SimSun"/>
          <w:lang w:val="en-US" w:eastAsia="zh-CN"/>
        </w:rPr>
        <w:t>literatür</w:t>
      </w:r>
      <w:proofErr w:type="spellEnd"/>
      <w:r w:rsidRPr="005500AB">
        <w:rPr>
          <w:rFonts w:eastAsia="SimSun"/>
          <w:lang w:val="en-US" w:eastAsia="zh-CN"/>
        </w:rPr>
        <w:t xml:space="preserve"> </w:t>
      </w:r>
      <w:proofErr w:type="spellStart"/>
      <w:r w:rsidRPr="005500AB">
        <w:rPr>
          <w:rFonts w:eastAsia="SimSun"/>
          <w:lang w:val="en-US" w:eastAsia="zh-CN"/>
        </w:rPr>
        <w:t>taraması</w:t>
      </w:r>
      <w:proofErr w:type="spellEnd"/>
      <w:r w:rsidRPr="005500AB">
        <w:rPr>
          <w:rFonts w:eastAsia="SimSun"/>
          <w:lang w:val="en-US" w:eastAsia="zh-CN"/>
        </w:rPr>
        <w:t xml:space="preserve"> </w:t>
      </w:r>
      <w:r w:rsidRPr="005500AB">
        <w:rPr>
          <w:rFonts w:eastAsia="SimSun"/>
          <w:lang w:eastAsia="zh-CN"/>
        </w:rPr>
        <w:t xml:space="preserve">ve sanal ortamlardaki örnekler </w:t>
      </w:r>
      <w:proofErr w:type="spellStart"/>
      <w:r w:rsidRPr="005500AB">
        <w:rPr>
          <w:rFonts w:eastAsia="SimSun"/>
          <w:lang w:val="en-US" w:eastAsia="zh-CN"/>
        </w:rPr>
        <w:t>yoluyla</w:t>
      </w:r>
      <w:proofErr w:type="spellEnd"/>
      <w:r w:rsidRPr="005500AB">
        <w:rPr>
          <w:rFonts w:eastAsia="SimSun"/>
          <w:lang w:val="en-US" w:eastAsia="zh-CN"/>
        </w:rPr>
        <w:t xml:space="preserve"> </w:t>
      </w:r>
      <w:proofErr w:type="spellStart"/>
      <w:r w:rsidRPr="005500AB">
        <w:rPr>
          <w:rFonts w:eastAsia="SimSun"/>
          <w:lang w:val="en-US" w:eastAsia="zh-CN"/>
        </w:rPr>
        <w:t>veri</w:t>
      </w:r>
      <w:proofErr w:type="spellEnd"/>
      <w:r w:rsidRPr="005500AB">
        <w:rPr>
          <w:rFonts w:eastAsia="SimSun"/>
          <w:lang w:val="en-US" w:eastAsia="zh-CN"/>
        </w:rPr>
        <w:t xml:space="preserve"> </w:t>
      </w:r>
      <w:proofErr w:type="spellStart"/>
      <w:r w:rsidRPr="005500AB">
        <w:rPr>
          <w:rFonts w:eastAsia="SimSun"/>
          <w:lang w:val="en-US" w:eastAsia="zh-CN"/>
        </w:rPr>
        <w:t>toplanmıştır</w:t>
      </w:r>
      <w:proofErr w:type="spellEnd"/>
      <w:r w:rsidRPr="005500AB">
        <w:rPr>
          <w:rFonts w:eastAsia="SimSun"/>
          <w:lang w:val="en-US" w:eastAsia="zh-CN"/>
        </w:rPr>
        <w:t xml:space="preserve">. </w:t>
      </w:r>
      <w:proofErr w:type="spellStart"/>
      <w:r w:rsidRPr="005500AB">
        <w:rPr>
          <w:rFonts w:eastAsia="SimSun"/>
          <w:lang w:val="en-US" w:eastAsia="zh-CN"/>
        </w:rPr>
        <w:t>Bulgular</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platformların</w:t>
      </w:r>
      <w:proofErr w:type="spellEnd"/>
      <w:r w:rsidRPr="005500AB">
        <w:rPr>
          <w:rFonts w:eastAsia="SimSun"/>
          <w:lang w:val="en-US" w:eastAsia="zh-CN"/>
        </w:rPr>
        <w:t xml:space="preserve"> </w:t>
      </w:r>
      <w:proofErr w:type="spellStart"/>
      <w:r w:rsidRPr="005500AB">
        <w:rPr>
          <w:rFonts w:eastAsia="SimSun"/>
          <w:lang w:val="en-US" w:eastAsia="zh-CN"/>
        </w:rPr>
        <w:t>dini</w:t>
      </w:r>
      <w:proofErr w:type="spellEnd"/>
      <w:r w:rsidRPr="005500AB">
        <w:rPr>
          <w:rFonts w:eastAsia="SimSun"/>
          <w:lang w:val="en-US" w:eastAsia="zh-CN"/>
        </w:rPr>
        <w:t xml:space="preserve"> </w:t>
      </w:r>
      <w:proofErr w:type="spellStart"/>
      <w:r w:rsidRPr="005500AB">
        <w:rPr>
          <w:rFonts w:eastAsia="SimSun"/>
          <w:lang w:val="en-US" w:eastAsia="zh-CN"/>
        </w:rPr>
        <w:t>değerlerin</w:t>
      </w:r>
      <w:proofErr w:type="spellEnd"/>
      <w:r w:rsidRPr="005500AB">
        <w:rPr>
          <w:rFonts w:eastAsia="SimSun"/>
          <w:lang w:val="en-US" w:eastAsia="zh-CN"/>
        </w:rPr>
        <w:t xml:space="preserve"> </w:t>
      </w:r>
      <w:proofErr w:type="spellStart"/>
      <w:r w:rsidRPr="005500AB">
        <w:rPr>
          <w:rFonts w:eastAsia="SimSun"/>
          <w:lang w:val="en-US" w:eastAsia="zh-CN"/>
        </w:rPr>
        <w:t>aktarımında</w:t>
      </w:r>
      <w:proofErr w:type="spellEnd"/>
      <w:r w:rsidRPr="005500AB">
        <w:rPr>
          <w:rFonts w:eastAsia="SimSun"/>
          <w:lang w:val="en-US" w:eastAsia="zh-CN"/>
        </w:rPr>
        <w:t xml:space="preserve"> </w:t>
      </w:r>
      <w:proofErr w:type="spellStart"/>
      <w:r w:rsidRPr="005500AB">
        <w:rPr>
          <w:rFonts w:eastAsia="SimSun"/>
          <w:lang w:val="en-US" w:eastAsia="zh-CN"/>
        </w:rPr>
        <w:t>yetersiz</w:t>
      </w:r>
      <w:proofErr w:type="spellEnd"/>
      <w:r w:rsidRPr="005500AB">
        <w:rPr>
          <w:rFonts w:eastAsia="SimSun"/>
          <w:lang w:val="en-US" w:eastAsia="zh-CN"/>
        </w:rPr>
        <w:t xml:space="preserve"> </w:t>
      </w:r>
      <w:proofErr w:type="spellStart"/>
      <w:r w:rsidRPr="005500AB">
        <w:rPr>
          <w:rFonts w:eastAsia="SimSun"/>
          <w:lang w:val="en-US" w:eastAsia="zh-CN"/>
        </w:rPr>
        <w:t>kalabileceğini</w:t>
      </w:r>
      <w:proofErr w:type="spellEnd"/>
      <w:r w:rsidRPr="005500AB">
        <w:rPr>
          <w:rFonts w:eastAsia="SimSun"/>
          <w:lang w:val="en-US" w:eastAsia="zh-CN"/>
        </w:rPr>
        <w:t xml:space="preserve">, </w:t>
      </w:r>
      <w:proofErr w:type="spellStart"/>
      <w:r w:rsidRPr="005500AB">
        <w:rPr>
          <w:rFonts w:eastAsia="SimSun"/>
          <w:lang w:val="en-US" w:eastAsia="zh-CN"/>
        </w:rPr>
        <w:t>ancak</w:t>
      </w:r>
      <w:proofErr w:type="spellEnd"/>
      <w:r w:rsidRPr="005500AB">
        <w:rPr>
          <w:rFonts w:eastAsia="SimSun"/>
          <w:lang w:val="en-US" w:eastAsia="zh-CN"/>
        </w:rPr>
        <w:t xml:space="preserve"> </w:t>
      </w:r>
      <w:proofErr w:type="spellStart"/>
      <w:r w:rsidRPr="005500AB">
        <w:rPr>
          <w:rFonts w:eastAsia="SimSun"/>
          <w:lang w:val="en-US" w:eastAsia="zh-CN"/>
        </w:rPr>
        <w:t>güncel</w:t>
      </w:r>
      <w:proofErr w:type="spellEnd"/>
      <w:r w:rsidRPr="005500AB">
        <w:rPr>
          <w:rFonts w:eastAsia="SimSun"/>
          <w:lang w:val="en-US" w:eastAsia="zh-CN"/>
        </w:rPr>
        <w:t xml:space="preserve"> </w:t>
      </w:r>
      <w:proofErr w:type="spellStart"/>
      <w:r w:rsidRPr="005500AB">
        <w:rPr>
          <w:rFonts w:eastAsia="SimSun"/>
          <w:lang w:val="en-US" w:eastAsia="zh-CN"/>
        </w:rPr>
        <w:t>ve</w:t>
      </w:r>
      <w:proofErr w:type="spellEnd"/>
      <w:r w:rsidRPr="005500AB">
        <w:rPr>
          <w:rFonts w:eastAsia="SimSun"/>
          <w:lang w:val="en-US" w:eastAsia="zh-CN"/>
        </w:rPr>
        <w:t xml:space="preserve"> </w:t>
      </w:r>
      <w:proofErr w:type="spellStart"/>
      <w:r w:rsidRPr="005500AB">
        <w:rPr>
          <w:rFonts w:eastAsia="SimSun"/>
          <w:lang w:val="en-US" w:eastAsia="zh-CN"/>
        </w:rPr>
        <w:t>interaktif</w:t>
      </w:r>
      <w:proofErr w:type="spellEnd"/>
      <w:r w:rsidRPr="005500AB">
        <w:rPr>
          <w:rFonts w:eastAsia="SimSun"/>
          <w:lang w:val="en-US" w:eastAsia="zh-CN"/>
        </w:rPr>
        <w:t xml:space="preserve"> </w:t>
      </w:r>
      <w:proofErr w:type="spellStart"/>
      <w:r w:rsidRPr="005500AB">
        <w:rPr>
          <w:rFonts w:eastAsia="SimSun"/>
          <w:lang w:val="en-US" w:eastAsia="zh-CN"/>
        </w:rPr>
        <w:t>yaklaşımlarla</w:t>
      </w:r>
      <w:proofErr w:type="spellEnd"/>
      <w:r w:rsidRPr="005500AB">
        <w:rPr>
          <w:rFonts w:eastAsia="SimSun"/>
          <w:lang w:val="en-US" w:eastAsia="zh-CN"/>
        </w:rPr>
        <w:t xml:space="preserve"> </w:t>
      </w:r>
      <w:proofErr w:type="spellStart"/>
      <w:r w:rsidRPr="005500AB">
        <w:rPr>
          <w:rFonts w:eastAsia="SimSun"/>
          <w:lang w:val="en-US" w:eastAsia="zh-CN"/>
        </w:rPr>
        <w:t>bu</w:t>
      </w:r>
      <w:proofErr w:type="spellEnd"/>
      <w:r w:rsidRPr="005500AB">
        <w:rPr>
          <w:rFonts w:eastAsia="SimSun"/>
          <w:lang w:val="en-US" w:eastAsia="zh-CN"/>
        </w:rPr>
        <w:t xml:space="preserve"> </w:t>
      </w:r>
      <w:proofErr w:type="spellStart"/>
      <w:r w:rsidRPr="005500AB">
        <w:rPr>
          <w:rFonts w:eastAsia="SimSun"/>
          <w:lang w:val="en-US" w:eastAsia="zh-CN"/>
        </w:rPr>
        <w:t>eksikliğin</w:t>
      </w:r>
      <w:proofErr w:type="spellEnd"/>
      <w:r w:rsidRPr="005500AB">
        <w:rPr>
          <w:rFonts w:eastAsia="SimSun"/>
          <w:lang w:val="en-US" w:eastAsia="zh-CN"/>
        </w:rPr>
        <w:t xml:space="preserve"> </w:t>
      </w:r>
      <w:proofErr w:type="spellStart"/>
      <w:r w:rsidRPr="005500AB">
        <w:rPr>
          <w:rFonts w:eastAsia="SimSun"/>
          <w:lang w:val="en-US" w:eastAsia="zh-CN"/>
        </w:rPr>
        <w:t>giderilebileceğini</w:t>
      </w:r>
      <w:proofErr w:type="spellEnd"/>
      <w:r w:rsidRPr="005500AB">
        <w:rPr>
          <w:rFonts w:eastAsia="SimSun"/>
          <w:lang w:val="en-US" w:eastAsia="zh-CN"/>
        </w:rPr>
        <w:t xml:space="preserve"> </w:t>
      </w:r>
      <w:proofErr w:type="spellStart"/>
      <w:r w:rsidRPr="005500AB">
        <w:rPr>
          <w:rFonts w:eastAsia="SimSun"/>
          <w:lang w:val="en-US" w:eastAsia="zh-CN"/>
        </w:rPr>
        <w:t>ortaya</w:t>
      </w:r>
      <w:proofErr w:type="spellEnd"/>
      <w:r w:rsidRPr="005500AB">
        <w:rPr>
          <w:rFonts w:eastAsia="SimSun"/>
          <w:lang w:val="en-US" w:eastAsia="zh-CN"/>
        </w:rPr>
        <w:t xml:space="preserve"> </w:t>
      </w:r>
      <w:proofErr w:type="spellStart"/>
      <w:r w:rsidRPr="005500AB">
        <w:rPr>
          <w:rFonts w:eastAsia="SimSun"/>
          <w:lang w:val="en-US" w:eastAsia="zh-CN"/>
        </w:rPr>
        <w:t>koymaktadır</w:t>
      </w:r>
      <w:proofErr w:type="spellEnd"/>
      <w:r w:rsidRPr="005500AB">
        <w:rPr>
          <w:rFonts w:eastAsia="SimSun"/>
          <w:lang w:val="en-US" w:eastAsia="zh-CN"/>
        </w:rPr>
        <w:t xml:space="preserve">. </w:t>
      </w:r>
      <w:proofErr w:type="spellStart"/>
      <w:r w:rsidRPr="005500AB">
        <w:rPr>
          <w:rFonts w:eastAsia="SimSun"/>
          <w:lang w:val="en-US" w:eastAsia="zh-CN"/>
        </w:rPr>
        <w:t>Ayrıca</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ortamların</w:t>
      </w:r>
      <w:proofErr w:type="spellEnd"/>
      <w:r w:rsidRPr="005500AB">
        <w:rPr>
          <w:rFonts w:eastAsia="SimSun"/>
          <w:lang w:val="en-US" w:eastAsia="zh-CN"/>
        </w:rPr>
        <w:t xml:space="preserve"> </w:t>
      </w:r>
      <w:proofErr w:type="spellStart"/>
      <w:r w:rsidRPr="005500AB">
        <w:rPr>
          <w:rFonts w:eastAsia="SimSun"/>
          <w:lang w:val="en-US" w:eastAsia="zh-CN"/>
        </w:rPr>
        <w:t>bireyselleşmiş</w:t>
      </w:r>
      <w:proofErr w:type="spellEnd"/>
      <w:r w:rsidRPr="005500AB">
        <w:rPr>
          <w:rFonts w:eastAsia="SimSun"/>
          <w:lang w:val="en-US" w:eastAsia="zh-CN"/>
        </w:rPr>
        <w:t xml:space="preserve"> </w:t>
      </w:r>
      <w:proofErr w:type="spellStart"/>
      <w:r w:rsidRPr="005500AB">
        <w:rPr>
          <w:rFonts w:eastAsia="SimSun"/>
          <w:lang w:val="en-US" w:eastAsia="zh-CN"/>
        </w:rPr>
        <w:t>öğrenme</w:t>
      </w:r>
      <w:proofErr w:type="spellEnd"/>
      <w:r w:rsidRPr="005500AB">
        <w:rPr>
          <w:rFonts w:eastAsia="SimSun"/>
          <w:lang w:val="en-US" w:eastAsia="zh-CN"/>
        </w:rPr>
        <w:t xml:space="preserve"> </w:t>
      </w:r>
      <w:proofErr w:type="spellStart"/>
      <w:r w:rsidRPr="005500AB">
        <w:rPr>
          <w:rFonts w:eastAsia="SimSun"/>
          <w:lang w:val="en-US" w:eastAsia="zh-CN"/>
        </w:rPr>
        <w:t>fırsatları</w:t>
      </w:r>
      <w:proofErr w:type="spellEnd"/>
      <w:r w:rsidRPr="005500AB">
        <w:rPr>
          <w:rFonts w:eastAsia="SimSun"/>
          <w:lang w:val="en-US" w:eastAsia="zh-CN"/>
        </w:rPr>
        <w:t xml:space="preserve"> </w:t>
      </w:r>
      <w:proofErr w:type="spellStart"/>
      <w:r w:rsidRPr="005500AB">
        <w:rPr>
          <w:rFonts w:eastAsia="SimSun"/>
          <w:lang w:val="en-US" w:eastAsia="zh-CN"/>
        </w:rPr>
        <w:t>sunarak</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eğitimi</w:t>
      </w:r>
      <w:proofErr w:type="spellEnd"/>
      <w:r w:rsidRPr="005500AB">
        <w:rPr>
          <w:rFonts w:eastAsia="SimSun"/>
          <w:lang w:val="en-US" w:eastAsia="zh-CN"/>
        </w:rPr>
        <w:t xml:space="preserve"> </w:t>
      </w:r>
      <w:proofErr w:type="spellStart"/>
      <w:r w:rsidRPr="005500AB">
        <w:rPr>
          <w:rFonts w:eastAsia="SimSun"/>
          <w:lang w:val="en-US" w:eastAsia="zh-CN"/>
        </w:rPr>
        <w:t>destekleyebileceği</w:t>
      </w:r>
      <w:proofErr w:type="spellEnd"/>
      <w:r w:rsidRPr="005500AB">
        <w:rPr>
          <w:rFonts w:eastAsia="SimSun"/>
          <w:lang w:val="en-US" w:eastAsia="zh-CN"/>
        </w:rPr>
        <w:t xml:space="preserve"> </w:t>
      </w:r>
      <w:proofErr w:type="spellStart"/>
      <w:r w:rsidRPr="005500AB">
        <w:rPr>
          <w:rFonts w:eastAsia="SimSun"/>
          <w:lang w:val="en-US" w:eastAsia="zh-CN"/>
        </w:rPr>
        <w:t>belirlenmiştir</w:t>
      </w:r>
      <w:proofErr w:type="spellEnd"/>
      <w:r w:rsidRPr="005500AB">
        <w:rPr>
          <w:rFonts w:eastAsia="SimSun"/>
          <w:lang w:val="en-US" w:eastAsia="zh-CN"/>
        </w:rPr>
        <w:t xml:space="preserve">. </w:t>
      </w:r>
      <w:proofErr w:type="spellStart"/>
      <w:r w:rsidRPr="005500AB">
        <w:rPr>
          <w:rFonts w:eastAsia="SimSun"/>
          <w:lang w:val="en-US" w:eastAsia="zh-CN"/>
        </w:rPr>
        <w:t>Araştırmada</w:t>
      </w:r>
      <w:proofErr w:type="spellEnd"/>
      <w:r w:rsidRPr="005500AB">
        <w:rPr>
          <w:rFonts w:eastAsia="SimSun"/>
          <w:lang w:val="en-US" w:eastAsia="zh-CN"/>
        </w:rPr>
        <w:t xml:space="preserve">, din </w:t>
      </w:r>
      <w:proofErr w:type="spellStart"/>
      <w:r w:rsidRPr="005500AB">
        <w:rPr>
          <w:rFonts w:eastAsia="SimSun"/>
          <w:lang w:val="en-US" w:eastAsia="zh-CN"/>
        </w:rPr>
        <w:t>eğitimcilerinin</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dünya</w:t>
      </w:r>
      <w:proofErr w:type="spellEnd"/>
      <w:r w:rsidRPr="005500AB">
        <w:rPr>
          <w:rFonts w:eastAsia="SimSun"/>
          <w:lang w:eastAsia="zh-CN"/>
        </w:rPr>
        <w:t>y</w:t>
      </w:r>
      <w:r w:rsidRPr="005500AB">
        <w:rPr>
          <w:rFonts w:eastAsia="SimSun"/>
          <w:lang w:val="en-US" w:eastAsia="zh-CN"/>
        </w:rPr>
        <w:t xml:space="preserve">ı </w:t>
      </w:r>
      <w:proofErr w:type="spellStart"/>
      <w:r w:rsidRPr="005500AB">
        <w:rPr>
          <w:rFonts w:eastAsia="SimSun"/>
          <w:lang w:val="en-US" w:eastAsia="zh-CN"/>
        </w:rPr>
        <w:t>etkili</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şekilde</w:t>
      </w:r>
      <w:proofErr w:type="spellEnd"/>
      <w:r w:rsidRPr="005500AB">
        <w:rPr>
          <w:rFonts w:eastAsia="SimSun"/>
          <w:lang w:val="en-US" w:eastAsia="zh-CN"/>
        </w:rPr>
        <w:t xml:space="preserve"> </w:t>
      </w:r>
      <w:proofErr w:type="spellStart"/>
      <w:r w:rsidRPr="005500AB">
        <w:rPr>
          <w:rFonts w:eastAsia="SimSun"/>
          <w:lang w:val="en-US" w:eastAsia="zh-CN"/>
        </w:rPr>
        <w:t>kullanabilmeleri</w:t>
      </w:r>
      <w:proofErr w:type="spellEnd"/>
      <w:r w:rsidRPr="005500AB">
        <w:rPr>
          <w:rFonts w:eastAsia="SimSun"/>
          <w:lang w:val="en-US" w:eastAsia="zh-CN"/>
        </w:rPr>
        <w:t xml:space="preserve"> </w:t>
      </w:r>
      <w:proofErr w:type="spellStart"/>
      <w:r w:rsidRPr="005500AB">
        <w:rPr>
          <w:rFonts w:eastAsia="SimSun"/>
          <w:lang w:val="en-US" w:eastAsia="zh-CN"/>
        </w:rPr>
        <w:t>için</w:t>
      </w:r>
      <w:proofErr w:type="spellEnd"/>
      <w:r w:rsidRPr="005500AB">
        <w:rPr>
          <w:rFonts w:eastAsia="SimSun"/>
          <w:lang w:val="en-US" w:eastAsia="zh-CN"/>
        </w:rPr>
        <w:t xml:space="preserve"> </w:t>
      </w:r>
      <w:proofErr w:type="spellStart"/>
      <w:r w:rsidRPr="005500AB">
        <w:rPr>
          <w:rFonts w:eastAsia="SimSun"/>
          <w:lang w:val="en-US" w:eastAsia="zh-CN"/>
        </w:rPr>
        <w:t>pedagojik</w:t>
      </w:r>
      <w:proofErr w:type="spellEnd"/>
      <w:r w:rsidRPr="005500AB">
        <w:rPr>
          <w:rFonts w:eastAsia="SimSun"/>
          <w:lang w:val="en-US" w:eastAsia="zh-CN"/>
        </w:rPr>
        <w:t xml:space="preserve"> </w:t>
      </w:r>
      <w:proofErr w:type="spellStart"/>
      <w:r w:rsidRPr="005500AB">
        <w:rPr>
          <w:rFonts w:eastAsia="SimSun"/>
          <w:lang w:val="en-US" w:eastAsia="zh-CN"/>
        </w:rPr>
        <w:t>yöntemler</w:t>
      </w:r>
      <w:proofErr w:type="spellEnd"/>
      <w:r w:rsidRPr="005500AB">
        <w:rPr>
          <w:rFonts w:eastAsia="SimSun"/>
          <w:lang w:val="en-US" w:eastAsia="zh-CN"/>
        </w:rPr>
        <w:t xml:space="preserve"> </w:t>
      </w:r>
      <w:proofErr w:type="spellStart"/>
      <w:r w:rsidRPr="005500AB">
        <w:rPr>
          <w:rFonts w:eastAsia="SimSun"/>
          <w:lang w:val="en-US" w:eastAsia="zh-CN"/>
        </w:rPr>
        <w:t>geliştirmeleri</w:t>
      </w:r>
      <w:proofErr w:type="spellEnd"/>
      <w:r w:rsidRPr="005500AB">
        <w:rPr>
          <w:rFonts w:eastAsia="SimSun"/>
          <w:lang w:val="en-US" w:eastAsia="zh-CN"/>
        </w:rPr>
        <w:t xml:space="preserve"> </w:t>
      </w:r>
      <w:proofErr w:type="spellStart"/>
      <w:r w:rsidRPr="005500AB">
        <w:rPr>
          <w:rFonts w:eastAsia="SimSun"/>
          <w:lang w:val="en-US" w:eastAsia="zh-CN"/>
        </w:rPr>
        <w:t>önerilmekte</w:t>
      </w:r>
      <w:proofErr w:type="spellEnd"/>
      <w:r w:rsidRPr="005500AB">
        <w:rPr>
          <w:rFonts w:eastAsia="SimSun"/>
          <w:lang w:val="en-US" w:eastAsia="zh-CN"/>
        </w:rPr>
        <w:t xml:space="preserve"> </w:t>
      </w:r>
      <w:proofErr w:type="spellStart"/>
      <w:r w:rsidRPr="005500AB">
        <w:rPr>
          <w:rFonts w:eastAsia="SimSun"/>
          <w:lang w:val="en-US" w:eastAsia="zh-CN"/>
        </w:rPr>
        <w:t>ve</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ortamların</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eğitimde</w:t>
      </w:r>
      <w:proofErr w:type="spellEnd"/>
      <w:r w:rsidRPr="005500AB">
        <w:rPr>
          <w:rFonts w:eastAsia="SimSun"/>
          <w:lang w:val="en-US" w:eastAsia="zh-CN"/>
        </w:rPr>
        <w:t xml:space="preserve"> </w:t>
      </w:r>
      <w:proofErr w:type="spellStart"/>
      <w:r w:rsidRPr="005500AB">
        <w:rPr>
          <w:rFonts w:eastAsia="SimSun"/>
          <w:lang w:val="en-US" w:eastAsia="zh-CN"/>
        </w:rPr>
        <w:t>tamamlayıcı</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unsur</w:t>
      </w:r>
      <w:proofErr w:type="spellEnd"/>
      <w:r w:rsidRPr="005500AB">
        <w:rPr>
          <w:rFonts w:eastAsia="SimSun"/>
          <w:lang w:val="en-US" w:eastAsia="zh-CN"/>
        </w:rPr>
        <w:t xml:space="preserve"> </w:t>
      </w:r>
      <w:proofErr w:type="spellStart"/>
      <w:r w:rsidRPr="005500AB">
        <w:rPr>
          <w:rFonts w:eastAsia="SimSun"/>
          <w:lang w:val="en-US" w:eastAsia="zh-CN"/>
        </w:rPr>
        <w:t>olarak</w:t>
      </w:r>
      <w:proofErr w:type="spellEnd"/>
      <w:r w:rsidRPr="005500AB">
        <w:rPr>
          <w:rFonts w:eastAsia="SimSun"/>
          <w:lang w:val="en-US" w:eastAsia="zh-CN"/>
        </w:rPr>
        <w:t xml:space="preserve"> </w:t>
      </w:r>
      <w:proofErr w:type="spellStart"/>
      <w:r w:rsidRPr="005500AB">
        <w:rPr>
          <w:rFonts w:eastAsia="SimSun"/>
          <w:lang w:val="en-US" w:eastAsia="zh-CN"/>
        </w:rPr>
        <w:t>ele</w:t>
      </w:r>
      <w:proofErr w:type="spellEnd"/>
      <w:r w:rsidRPr="005500AB">
        <w:rPr>
          <w:rFonts w:eastAsia="SimSun"/>
          <w:lang w:val="en-US" w:eastAsia="zh-CN"/>
        </w:rPr>
        <w:t xml:space="preserve"> </w:t>
      </w:r>
      <w:proofErr w:type="spellStart"/>
      <w:r w:rsidRPr="005500AB">
        <w:rPr>
          <w:rFonts w:eastAsia="SimSun"/>
          <w:lang w:val="en-US" w:eastAsia="zh-CN"/>
        </w:rPr>
        <w:t>alınması</w:t>
      </w:r>
      <w:proofErr w:type="spellEnd"/>
      <w:r w:rsidRPr="005500AB">
        <w:rPr>
          <w:rFonts w:eastAsia="SimSun"/>
          <w:lang w:val="en-US" w:eastAsia="zh-CN"/>
        </w:rPr>
        <w:t xml:space="preserve"> </w:t>
      </w:r>
      <w:proofErr w:type="spellStart"/>
      <w:r w:rsidRPr="005500AB">
        <w:rPr>
          <w:rFonts w:eastAsia="SimSun"/>
          <w:lang w:val="en-US" w:eastAsia="zh-CN"/>
        </w:rPr>
        <w:t>gerektiği</w:t>
      </w:r>
      <w:proofErr w:type="spellEnd"/>
      <w:r w:rsidRPr="005500AB">
        <w:rPr>
          <w:rFonts w:eastAsia="SimSun"/>
          <w:lang w:val="en-US" w:eastAsia="zh-CN"/>
        </w:rPr>
        <w:t xml:space="preserve"> </w:t>
      </w:r>
      <w:proofErr w:type="spellStart"/>
      <w:r w:rsidRPr="005500AB">
        <w:rPr>
          <w:rFonts w:eastAsia="SimSun"/>
          <w:lang w:val="en-US" w:eastAsia="zh-CN"/>
        </w:rPr>
        <w:t>vurgulanmaktadır</w:t>
      </w:r>
      <w:proofErr w:type="spellEnd"/>
      <w:r w:rsidRPr="005500AB">
        <w:rPr>
          <w:rFonts w:eastAsia="SimSun"/>
          <w:lang w:val="en-US" w:eastAsia="zh-CN"/>
        </w:rPr>
        <w:t xml:space="preserve">. Bu </w:t>
      </w:r>
      <w:proofErr w:type="spellStart"/>
      <w:r w:rsidRPr="005500AB">
        <w:rPr>
          <w:rFonts w:eastAsia="SimSun"/>
          <w:lang w:val="en-US" w:eastAsia="zh-CN"/>
        </w:rPr>
        <w:t>bağlamda</w:t>
      </w:r>
      <w:proofErr w:type="spellEnd"/>
      <w:r w:rsidRPr="005500AB">
        <w:rPr>
          <w:rFonts w:eastAsia="SimSun"/>
          <w:lang w:val="en-US" w:eastAsia="zh-CN"/>
        </w:rPr>
        <w:t xml:space="preserve"> </w:t>
      </w:r>
      <w:proofErr w:type="spellStart"/>
      <w:r w:rsidRPr="005500AB">
        <w:rPr>
          <w:rFonts w:eastAsia="SimSun"/>
          <w:lang w:val="en-US" w:eastAsia="zh-CN"/>
        </w:rPr>
        <w:t>çalışma</w:t>
      </w:r>
      <w:proofErr w:type="spellEnd"/>
      <w:r w:rsidRPr="005500AB">
        <w:rPr>
          <w:rFonts w:eastAsia="SimSun"/>
          <w:lang w:val="en-US" w:eastAsia="zh-CN"/>
        </w:rPr>
        <w:t xml:space="preserve">, hem </w:t>
      </w:r>
      <w:proofErr w:type="spellStart"/>
      <w:r w:rsidRPr="005500AB">
        <w:rPr>
          <w:rFonts w:eastAsia="SimSun"/>
          <w:lang w:val="en-US" w:eastAsia="zh-CN"/>
        </w:rPr>
        <w:t>teorik</w:t>
      </w:r>
      <w:proofErr w:type="spellEnd"/>
      <w:r w:rsidRPr="005500AB">
        <w:rPr>
          <w:rFonts w:eastAsia="SimSun"/>
          <w:lang w:val="en-US" w:eastAsia="zh-CN"/>
        </w:rPr>
        <w:t xml:space="preserve"> hem de </w:t>
      </w:r>
      <w:proofErr w:type="spellStart"/>
      <w:r w:rsidRPr="005500AB">
        <w:rPr>
          <w:rFonts w:eastAsia="SimSun"/>
          <w:lang w:val="en-US" w:eastAsia="zh-CN"/>
        </w:rPr>
        <w:t>pratik</w:t>
      </w:r>
      <w:proofErr w:type="spellEnd"/>
      <w:r w:rsidRPr="005500AB">
        <w:rPr>
          <w:rFonts w:eastAsia="SimSun"/>
          <w:lang w:val="en-US" w:eastAsia="zh-CN"/>
        </w:rPr>
        <w:t xml:space="preserve"> </w:t>
      </w:r>
      <w:proofErr w:type="spellStart"/>
      <w:r w:rsidRPr="005500AB">
        <w:rPr>
          <w:rFonts w:eastAsia="SimSun"/>
          <w:lang w:val="en-US" w:eastAsia="zh-CN"/>
        </w:rPr>
        <w:t>boyutlarıyla</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dünyada</w:t>
      </w:r>
      <w:proofErr w:type="spellEnd"/>
      <w:r w:rsidRPr="005500AB">
        <w:rPr>
          <w:rFonts w:eastAsia="SimSun"/>
          <w:lang w:val="en-US" w:eastAsia="zh-CN"/>
        </w:rPr>
        <w:t xml:space="preserve"> </w:t>
      </w:r>
      <w:proofErr w:type="spellStart"/>
      <w:r w:rsidRPr="005500AB">
        <w:rPr>
          <w:rFonts w:eastAsia="SimSun"/>
          <w:lang w:val="en-US" w:eastAsia="zh-CN"/>
        </w:rPr>
        <w:t>dini</w:t>
      </w:r>
      <w:proofErr w:type="spellEnd"/>
      <w:r w:rsidRPr="005500AB">
        <w:rPr>
          <w:rFonts w:eastAsia="SimSun"/>
          <w:lang w:val="en-US" w:eastAsia="zh-CN"/>
        </w:rPr>
        <w:t xml:space="preserve"> </w:t>
      </w:r>
      <w:proofErr w:type="spellStart"/>
      <w:r w:rsidRPr="005500AB">
        <w:rPr>
          <w:rFonts w:eastAsia="SimSun"/>
          <w:lang w:val="en-US" w:eastAsia="zh-CN"/>
        </w:rPr>
        <w:t>değer</w:t>
      </w:r>
      <w:proofErr w:type="spellEnd"/>
      <w:r w:rsidRPr="005500AB">
        <w:rPr>
          <w:rFonts w:eastAsia="SimSun"/>
          <w:lang w:val="en-US" w:eastAsia="zh-CN"/>
        </w:rPr>
        <w:t xml:space="preserve"> </w:t>
      </w:r>
      <w:proofErr w:type="spellStart"/>
      <w:r w:rsidRPr="005500AB">
        <w:rPr>
          <w:rFonts w:eastAsia="SimSun"/>
          <w:lang w:val="en-US" w:eastAsia="zh-CN"/>
        </w:rPr>
        <w:t>aktarımının</w:t>
      </w:r>
      <w:proofErr w:type="spellEnd"/>
      <w:r w:rsidRPr="005500AB">
        <w:rPr>
          <w:rFonts w:eastAsia="SimSun"/>
          <w:lang w:val="en-US" w:eastAsia="zh-CN"/>
        </w:rPr>
        <w:t xml:space="preserve"> </w:t>
      </w:r>
      <w:proofErr w:type="spellStart"/>
      <w:r w:rsidRPr="005500AB">
        <w:rPr>
          <w:rFonts w:eastAsia="SimSun"/>
          <w:lang w:val="en-US" w:eastAsia="zh-CN"/>
        </w:rPr>
        <w:t>önemi</w:t>
      </w:r>
      <w:proofErr w:type="spellEnd"/>
      <w:r w:rsidRPr="005500AB">
        <w:rPr>
          <w:rFonts w:eastAsia="SimSun"/>
          <w:lang w:val="en-US" w:eastAsia="zh-CN"/>
        </w:rPr>
        <w:t xml:space="preserve"> </w:t>
      </w:r>
      <w:proofErr w:type="spellStart"/>
      <w:r w:rsidRPr="005500AB">
        <w:rPr>
          <w:rFonts w:eastAsia="SimSun"/>
          <w:lang w:val="en-US" w:eastAsia="zh-CN"/>
        </w:rPr>
        <w:t>üzerine</w:t>
      </w:r>
      <w:proofErr w:type="spellEnd"/>
      <w:r w:rsidRPr="005500AB">
        <w:rPr>
          <w:rFonts w:eastAsia="SimSun"/>
          <w:lang w:val="en-US" w:eastAsia="zh-CN"/>
        </w:rPr>
        <w:t xml:space="preserve"> </w:t>
      </w:r>
      <w:proofErr w:type="spellStart"/>
      <w:r w:rsidRPr="005500AB">
        <w:rPr>
          <w:rFonts w:eastAsia="SimSun"/>
          <w:lang w:val="en-US" w:eastAsia="zh-CN"/>
        </w:rPr>
        <w:t>katkı</w:t>
      </w:r>
      <w:proofErr w:type="spellEnd"/>
      <w:r w:rsidRPr="005500AB">
        <w:rPr>
          <w:rFonts w:eastAsia="SimSun"/>
          <w:lang w:val="en-US" w:eastAsia="zh-CN"/>
        </w:rPr>
        <w:t xml:space="preserve"> </w:t>
      </w:r>
      <w:proofErr w:type="spellStart"/>
      <w:r w:rsidRPr="005500AB">
        <w:rPr>
          <w:rFonts w:eastAsia="SimSun"/>
          <w:lang w:val="en-US" w:eastAsia="zh-CN"/>
        </w:rPr>
        <w:t>sağlamaktadır</w:t>
      </w:r>
      <w:proofErr w:type="spellEnd"/>
      <w:r w:rsidRPr="005500AB">
        <w:rPr>
          <w:rFonts w:eastAsia="SimSun"/>
          <w:lang w:val="en-US" w:eastAsia="zh-CN"/>
        </w:rPr>
        <w:t xml:space="preserve">. </w:t>
      </w:r>
      <w:proofErr w:type="spellStart"/>
      <w:r w:rsidRPr="005500AB">
        <w:rPr>
          <w:rFonts w:eastAsia="SimSun"/>
          <w:lang w:val="en-US" w:eastAsia="zh-CN"/>
        </w:rPr>
        <w:t>Araştırmanın</w:t>
      </w:r>
      <w:proofErr w:type="spellEnd"/>
      <w:r w:rsidRPr="005500AB">
        <w:rPr>
          <w:rFonts w:eastAsia="SimSun"/>
          <w:lang w:val="en-US" w:eastAsia="zh-CN"/>
        </w:rPr>
        <w:t xml:space="preserve"> </w:t>
      </w:r>
      <w:proofErr w:type="spellStart"/>
      <w:r w:rsidRPr="005500AB">
        <w:rPr>
          <w:rFonts w:eastAsia="SimSun"/>
          <w:lang w:val="en-US" w:eastAsia="zh-CN"/>
        </w:rPr>
        <w:t>sınırlılıkları</w:t>
      </w:r>
      <w:proofErr w:type="spellEnd"/>
      <w:r w:rsidRPr="005500AB">
        <w:rPr>
          <w:rFonts w:eastAsia="SimSun"/>
          <w:lang w:val="en-US" w:eastAsia="zh-CN"/>
        </w:rPr>
        <w:t xml:space="preserve"> </w:t>
      </w:r>
      <w:proofErr w:type="spellStart"/>
      <w:r w:rsidRPr="005500AB">
        <w:rPr>
          <w:rFonts w:eastAsia="SimSun"/>
          <w:lang w:val="en-US" w:eastAsia="zh-CN"/>
        </w:rPr>
        <w:t>arasında</w:t>
      </w:r>
      <w:proofErr w:type="spellEnd"/>
      <w:r w:rsidRPr="005500AB">
        <w:rPr>
          <w:rFonts w:eastAsia="SimSun"/>
          <w:lang w:val="en-US" w:eastAsia="zh-CN"/>
        </w:rPr>
        <w:t xml:space="preserve">, </w:t>
      </w:r>
      <w:proofErr w:type="spellStart"/>
      <w:r w:rsidRPr="005500AB">
        <w:rPr>
          <w:rFonts w:eastAsia="SimSun"/>
          <w:lang w:val="en-US" w:eastAsia="zh-CN"/>
        </w:rPr>
        <w:t>verilerin</w:t>
      </w:r>
      <w:proofErr w:type="spellEnd"/>
      <w:r w:rsidRPr="005500AB">
        <w:rPr>
          <w:rFonts w:eastAsia="SimSun"/>
          <w:lang w:val="en-US" w:eastAsia="zh-CN"/>
        </w:rPr>
        <w:t xml:space="preserve"> </w:t>
      </w:r>
      <w:proofErr w:type="spellStart"/>
      <w:r w:rsidRPr="005500AB">
        <w:rPr>
          <w:rFonts w:eastAsia="SimSun"/>
          <w:lang w:val="en-US" w:eastAsia="zh-CN"/>
        </w:rPr>
        <w:t>belirli</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yaş</w:t>
      </w:r>
      <w:proofErr w:type="spellEnd"/>
      <w:r w:rsidRPr="005500AB">
        <w:rPr>
          <w:rFonts w:eastAsia="SimSun"/>
          <w:lang w:val="en-US" w:eastAsia="zh-CN"/>
        </w:rPr>
        <w:t xml:space="preserve"> </w:t>
      </w:r>
      <w:proofErr w:type="spellStart"/>
      <w:r w:rsidRPr="005500AB">
        <w:rPr>
          <w:rFonts w:eastAsia="SimSun"/>
          <w:lang w:val="en-US" w:eastAsia="zh-CN"/>
        </w:rPr>
        <w:t>grubu</w:t>
      </w:r>
      <w:proofErr w:type="spellEnd"/>
      <w:r w:rsidRPr="005500AB">
        <w:rPr>
          <w:rFonts w:eastAsia="SimSun"/>
          <w:lang w:val="en-US" w:eastAsia="zh-CN"/>
        </w:rPr>
        <w:t xml:space="preserve"> </w:t>
      </w:r>
      <w:proofErr w:type="spellStart"/>
      <w:r w:rsidRPr="005500AB">
        <w:rPr>
          <w:rFonts w:eastAsia="SimSun"/>
          <w:lang w:val="en-US" w:eastAsia="zh-CN"/>
        </w:rPr>
        <w:t>ile</w:t>
      </w:r>
      <w:proofErr w:type="spellEnd"/>
      <w:r w:rsidRPr="005500AB">
        <w:rPr>
          <w:rFonts w:eastAsia="SimSun"/>
          <w:lang w:val="en-US" w:eastAsia="zh-CN"/>
        </w:rPr>
        <w:t xml:space="preserve"> </w:t>
      </w:r>
      <w:proofErr w:type="spellStart"/>
      <w:r w:rsidRPr="005500AB">
        <w:rPr>
          <w:rFonts w:eastAsia="SimSun"/>
          <w:lang w:val="en-US" w:eastAsia="zh-CN"/>
        </w:rPr>
        <w:t>sınırlı</w:t>
      </w:r>
      <w:proofErr w:type="spellEnd"/>
      <w:r w:rsidRPr="005500AB">
        <w:rPr>
          <w:rFonts w:eastAsia="SimSun"/>
          <w:lang w:val="en-US" w:eastAsia="zh-CN"/>
        </w:rPr>
        <w:t xml:space="preserve"> </w:t>
      </w:r>
      <w:proofErr w:type="spellStart"/>
      <w:r w:rsidRPr="005500AB">
        <w:rPr>
          <w:rFonts w:eastAsia="SimSun"/>
          <w:lang w:val="en-US" w:eastAsia="zh-CN"/>
        </w:rPr>
        <w:t>kalması</w:t>
      </w:r>
      <w:proofErr w:type="spellEnd"/>
      <w:r w:rsidRPr="005500AB">
        <w:rPr>
          <w:rFonts w:eastAsia="SimSun"/>
          <w:lang w:val="en-US" w:eastAsia="zh-CN"/>
        </w:rPr>
        <w:t xml:space="preserve"> </w:t>
      </w:r>
      <w:proofErr w:type="spellStart"/>
      <w:r w:rsidRPr="005500AB">
        <w:rPr>
          <w:rFonts w:eastAsia="SimSun"/>
          <w:lang w:val="en-US" w:eastAsia="zh-CN"/>
        </w:rPr>
        <w:t>yer</w:t>
      </w:r>
      <w:proofErr w:type="spellEnd"/>
      <w:r w:rsidRPr="005500AB">
        <w:rPr>
          <w:rFonts w:eastAsia="SimSun"/>
          <w:lang w:val="en-US" w:eastAsia="zh-CN"/>
        </w:rPr>
        <w:t xml:space="preserve"> </w:t>
      </w:r>
      <w:proofErr w:type="spellStart"/>
      <w:r w:rsidRPr="005500AB">
        <w:rPr>
          <w:rFonts w:eastAsia="SimSun"/>
          <w:lang w:val="en-US" w:eastAsia="zh-CN"/>
        </w:rPr>
        <w:t>almakta</w:t>
      </w:r>
      <w:proofErr w:type="spellEnd"/>
      <w:r w:rsidRPr="005500AB">
        <w:rPr>
          <w:rFonts w:eastAsia="SimSun"/>
          <w:lang w:val="en-US" w:eastAsia="zh-CN"/>
        </w:rPr>
        <w:t xml:space="preserve"> </w:t>
      </w:r>
      <w:proofErr w:type="spellStart"/>
      <w:r w:rsidRPr="005500AB">
        <w:rPr>
          <w:rFonts w:eastAsia="SimSun"/>
          <w:lang w:val="en-US" w:eastAsia="zh-CN"/>
        </w:rPr>
        <w:t>olup</w:t>
      </w:r>
      <w:proofErr w:type="spellEnd"/>
      <w:r w:rsidRPr="005500AB">
        <w:rPr>
          <w:rFonts w:eastAsia="SimSun"/>
          <w:lang w:val="en-US" w:eastAsia="zh-CN"/>
        </w:rPr>
        <w:t xml:space="preserve"> </w:t>
      </w:r>
      <w:proofErr w:type="spellStart"/>
      <w:r w:rsidRPr="005500AB">
        <w:rPr>
          <w:rFonts w:eastAsia="SimSun"/>
          <w:lang w:val="en-US" w:eastAsia="zh-CN"/>
        </w:rPr>
        <w:t>gelecekteki</w:t>
      </w:r>
      <w:proofErr w:type="spellEnd"/>
      <w:r w:rsidRPr="005500AB">
        <w:rPr>
          <w:rFonts w:eastAsia="SimSun"/>
          <w:lang w:val="en-US" w:eastAsia="zh-CN"/>
        </w:rPr>
        <w:t xml:space="preserve"> </w:t>
      </w:r>
      <w:proofErr w:type="spellStart"/>
      <w:r w:rsidRPr="005500AB">
        <w:rPr>
          <w:rFonts w:eastAsia="SimSun"/>
          <w:lang w:val="en-US" w:eastAsia="zh-CN"/>
        </w:rPr>
        <w:t>çalışmalarda</w:t>
      </w:r>
      <w:proofErr w:type="spellEnd"/>
      <w:r w:rsidRPr="005500AB">
        <w:rPr>
          <w:rFonts w:eastAsia="SimSun"/>
          <w:lang w:val="en-US" w:eastAsia="zh-CN"/>
        </w:rPr>
        <w:t xml:space="preserve"> </w:t>
      </w:r>
      <w:proofErr w:type="spellStart"/>
      <w:r w:rsidRPr="005500AB">
        <w:rPr>
          <w:rFonts w:eastAsia="SimSun"/>
          <w:lang w:val="en-US" w:eastAsia="zh-CN"/>
        </w:rPr>
        <w:t>farklı</w:t>
      </w:r>
      <w:proofErr w:type="spellEnd"/>
      <w:r w:rsidRPr="005500AB">
        <w:rPr>
          <w:rFonts w:eastAsia="SimSun"/>
          <w:lang w:val="en-US" w:eastAsia="zh-CN"/>
        </w:rPr>
        <w:t xml:space="preserve"> </w:t>
      </w:r>
      <w:proofErr w:type="spellStart"/>
      <w:r w:rsidRPr="005500AB">
        <w:rPr>
          <w:rFonts w:eastAsia="SimSun"/>
          <w:lang w:val="en-US" w:eastAsia="zh-CN"/>
        </w:rPr>
        <w:t>kuşaklar</w:t>
      </w:r>
      <w:proofErr w:type="spellEnd"/>
      <w:r w:rsidRPr="005500AB">
        <w:rPr>
          <w:rFonts w:eastAsia="SimSun"/>
          <w:lang w:val="en-US" w:eastAsia="zh-CN"/>
        </w:rPr>
        <w:t xml:space="preserve"> </w:t>
      </w:r>
      <w:proofErr w:type="spellStart"/>
      <w:r w:rsidRPr="005500AB">
        <w:rPr>
          <w:rFonts w:eastAsia="SimSun"/>
          <w:lang w:val="en-US" w:eastAsia="zh-CN"/>
        </w:rPr>
        <w:t>ve</w:t>
      </w:r>
      <w:proofErr w:type="spellEnd"/>
      <w:r w:rsidRPr="005500AB">
        <w:rPr>
          <w:rFonts w:eastAsia="SimSun"/>
          <w:lang w:val="en-US" w:eastAsia="zh-CN"/>
        </w:rPr>
        <w:t xml:space="preserve"> </w:t>
      </w:r>
      <w:proofErr w:type="spellStart"/>
      <w:r w:rsidRPr="005500AB">
        <w:rPr>
          <w:rFonts w:eastAsia="SimSun"/>
          <w:lang w:val="en-US" w:eastAsia="zh-CN"/>
        </w:rPr>
        <w:t>kültürler</w:t>
      </w:r>
      <w:proofErr w:type="spellEnd"/>
      <w:r w:rsidRPr="005500AB">
        <w:rPr>
          <w:rFonts w:eastAsia="SimSun"/>
          <w:lang w:val="en-US" w:eastAsia="zh-CN"/>
        </w:rPr>
        <w:t xml:space="preserve"> </w:t>
      </w:r>
      <w:proofErr w:type="spellStart"/>
      <w:r w:rsidRPr="005500AB">
        <w:rPr>
          <w:rFonts w:eastAsia="SimSun"/>
          <w:lang w:val="en-US" w:eastAsia="zh-CN"/>
        </w:rPr>
        <w:t>üzerinde</w:t>
      </w:r>
      <w:proofErr w:type="spellEnd"/>
      <w:r w:rsidRPr="005500AB">
        <w:rPr>
          <w:rFonts w:eastAsia="SimSun"/>
          <w:lang w:val="en-US" w:eastAsia="zh-CN"/>
        </w:rPr>
        <w:t xml:space="preserve"> </w:t>
      </w:r>
      <w:proofErr w:type="spellStart"/>
      <w:r w:rsidRPr="005500AB">
        <w:rPr>
          <w:rFonts w:eastAsia="SimSun"/>
          <w:lang w:val="en-US" w:eastAsia="zh-CN"/>
        </w:rPr>
        <w:t>karşılaştırmalı</w:t>
      </w:r>
      <w:proofErr w:type="spellEnd"/>
      <w:r w:rsidRPr="005500AB">
        <w:rPr>
          <w:rFonts w:eastAsia="SimSun"/>
          <w:lang w:val="en-US" w:eastAsia="zh-CN"/>
        </w:rPr>
        <w:t xml:space="preserve"> </w:t>
      </w:r>
      <w:proofErr w:type="spellStart"/>
      <w:r w:rsidRPr="005500AB">
        <w:rPr>
          <w:rFonts w:eastAsia="SimSun"/>
          <w:lang w:val="en-US" w:eastAsia="zh-CN"/>
        </w:rPr>
        <w:t>analizler</w:t>
      </w:r>
      <w:proofErr w:type="spellEnd"/>
      <w:r w:rsidRPr="005500AB">
        <w:rPr>
          <w:rFonts w:eastAsia="SimSun"/>
          <w:lang w:val="en-US" w:eastAsia="zh-CN"/>
        </w:rPr>
        <w:t xml:space="preserve"> </w:t>
      </w:r>
      <w:proofErr w:type="spellStart"/>
      <w:r w:rsidRPr="005500AB">
        <w:rPr>
          <w:rFonts w:eastAsia="SimSun"/>
          <w:lang w:val="en-US" w:eastAsia="zh-CN"/>
        </w:rPr>
        <w:t>yapılması</w:t>
      </w:r>
      <w:proofErr w:type="spellEnd"/>
      <w:r w:rsidRPr="005500AB">
        <w:rPr>
          <w:rFonts w:eastAsia="SimSun"/>
          <w:lang w:val="en-US" w:eastAsia="zh-CN"/>
        </w:rPr>
        <w:t xml:space="preserve"> </w:t>
      </w:r>
      <w:proofErr w:type="spellStart"/>
      <w:r w:rsidRPr="005500AB">
        <w:rPr>
          <w:rFonts w:eastAsia="SimSun"/>
          <w:lang w:val="en-US" w:eastAsia="zh-CN"/>
        </w:rPr>
        <w:t>önerilmektedir</w:t>
      </w:r>
      <w:proofErr w:type="spellEnd"/>
      <w:r w:rsidRPr="005500AB">
        <w:rPr>
          <w:rFonts w:eastAsia="SimSun"/>
          <w:lang w:val="en-US" w:eastAsia="zh-CN"/>
        </w:rPr>
        <w:t xml:space="preserve">. Bu </w:t>
      </w:r>
      <w:proofErr w:type="spellStart"/>
      <w:r w:rsidRPr="005500AB">
        <w:rPr>
          <w:rFonts w:eastAsia="SimSun"/>
          <w:lang w:val="en-US" w:eastAsia="zh-CN"/>
        </w:rPr>
        <w:t>bağlamda</w:t>
      </w:r>
      <w:proofErr w:type="spellEnd"/>
      <w:r w:rsidRPr="005500AB">
        <w:rPr>
          <w:rFonts w:eastAsia="SimSun"/>
          <w:lang w:val="en-US" w:eastAsia="zh-CN"/>
        </w:rPr>
        <w:t xml:space="preserve">, </w:t>
      </w:r>
      <w:proofErr w:type="spellStart"/>
      <w:r w:rsidRPr="005500AB">
        <w:rPr>
          <w:rFonts w:eastAsia="SimSun"/>
          <w:lang w:val="en-US" w:eastAsia="zh-CN"/>
        </w:rPr>
        <w:t>çalışma</w:t>
      </w:r>
      <w:proofErr w:type="spellEnd"/>
      <w:r w:rsidRPr="005500AB">
        <w:rPr>
          <w:rFonts w:eastAsia="SimSun"/>
          <w:lang w:val="en-US" w:eastAsia="zh-CN"/>
        </w:rPr>
        <w:t xml:space="preserve">, </w:t>
      </w:r>
      <w:proofErr w:type="spellStart"/>
      <w:r w:rsidRPr="005500AB">
        <w:rPr>
          <w:rFonts w:eastAsia="SimSun"/>
          <w:lang w:val="en-US" w:eastAsia="zh-CN"/>
        </w:rPr>
        <w:t>sanal</w:t>
      </w:r>
      <w:proofErr w:type="spellEnd"/>
      <w:r w:rsidRPr="005500AB">
        <w:rPr>
          <w:rFonts w:eastAsia="SimSun"/>
          <w:lang w:val="en-US" w:eastAsia="zh-CN"/>
        </w:rPr>
        <w:t xml:space="preserve"> </w:t>
      </w:r>
      <w:proofErr w:type="spellStart"/>
      <w:r w:rsidRPr="005500AB">
        <w:rPr>
          <w:rFonts w:eastAsia="SimSun"/>
          <w:lang w:val="en-US" w:eastAsia="zh-CN"/>
        </w:rPr>
        <w:t>ortamların</w:t>
      </w:r>
      <w:proofErr w:type="spellEnd"/>
      <w:r w:rsidRPr="005500AB">
        <w:rPr>
          <w:rFonts w:eastAsia="SimSun"/>
          <w:lang w:val="en-US" w:eastAsia="zh-CN"/>
        </w:rPr>
        <w:t xml:space="preserve"> </w:t>
      </w:r>
      <w:proofErr w:type="spellStart"/>
      <w:r w:rsidRPr="005500AB">
        <w:rPr>
          <w:rFonts w:eastAsia="SimSun"/>
          <w:lang w:val="en-US" w:eastAsia="zh-CN"/>
        </w:rPr>
        <w:t>dini</w:t>
      </w:r>
      <w:proofErr w:type="spellEnd"/>
      <w:r w:rsidRPr="005500AB">
        <w:rPr>
          <w:rFonts w:eastAsia="SimSun"/>
          <w:lang w:val="en-US" w:eastAsia="zh-CN"/>
        </w:rPr>
        <w:t xml:space="preserve"> </w:t>
      </w:r>
      <w:proofErr w:type="spellStart"/>
      <w:r w:rsidRPr="005500AB">
        <w:rPr>
          <w:rFonts w:eastAsia="SimSun"/>
          <w:lang w:val="en-US" w:eastAsia="zh-CN"/>
        </w:rPr>
        <w:t>eğitimde</w:t>
      </w:r>
      <w:proofErr w:type="spellEnd"/>
      <w:r w:rsidRPr="005500AB">
        <w:rPr>
          <w:rFonts w:eastAsia="SimSun"/>
          <w:lang w:val="en-US" w:eastAsia="zh-CN"/>
        </w:rPr>
        <w:t xml:space="preserve"> </w:t>
      </w:r>
      <w:proofErr w:type="spellStart"/>
      <w:r w:rsidRPr="005500AB">
        <w:rPr>
          <w:rFonts w:eastAsia="SimSun"/>
          <w:lang w:val="en-US" w:eastAsia="zh-CN"/>
        </w:rPr>
        <w:t>etkili</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araç</w:t>
      </w:r>
      <w:proofErr w:type="spellEnd"/>
      <w:r w:rsidRPr="005500AB">
        <w:rPr>
          <w:rFonts w:eastAsia="SimSun"/>
          <w:lang w:val="en-US" w:eastAsia="zh-CN"/>
        </w:rPr>
        <w:t xml:space="preserve"> </w:t>
      </w:r>
      <w:proofErr w:type="spellStart"/>
      <w:r w:rsidRPr="005500AB">
        <w:rPr>
          <w:rFonts w:eastAsia="SimSun"/>
          <w:lang w:val="en-US" w:eastAsia="zh-CN"/>
        </w:rPr>
        <w:t>olarak</w:t>
      </w:r>
      <w:proofErr w:type="spellEnd"/>
      <w:r w:rsidRPr="005500AB">
        <w:rPr>
          <w:rFonts w:eastAsia="SimSun"/>
          <w:lang w:val="en-US" w:eastAsia="zh-CN"/>
        </w:rPr>
        <w:t xml:space="preserve"> </w:t>
      </w:r>
      <w:proofErr w:type="spellStart"/>
      <w:r w:rsidRPr="005500AB">
        <w:rPr>
          <w:rFonts w:eastAsia="SimSun"/>
          <w:lang w:val="en-US" w:eastAsia="zh-CN"/>
        </w:rPr>
        <w:t>nasıl</w:t>
      </w:r>
      <w:proofErr w:type="spellEnd"/>
      <w:r w:rsidRPr="005500AB">
        <w:rPr>
          <w:rFonts w:eastAsia="SimSun"/>
          <w:lang w:val="en-US" w:eastAsia="zh-CN"/>
        </w:rPr>
        <w:t xml:space="preserve"> </w:t>
      </w:r>
      <w:proofErr w:type="spellStart"/>
      <w:r w:rsidRPr="005500AB">
        <w:rPr>
          <w:rFonts w:eastAsia="SimSun"/>
          <w:lang w:val="en-US" w:eastAsia="zh-CN"/>
        </w:rPr>
        <w:t>kullanılabileceği</w:t>
      </w:r>
      <w:proofErr w:type="spellEnd"/>
      <w:r w:rsidRPr="005500AB">
        <w:rPr>
          <w:rFonts w:eastAsia="SimSun"/>
          <w:lang w:val="en-US" w:eastAsia="zh-CN"/>
        </w:rPr>
        <w:t xml:space="preserve"> </w:t>
      </w:r>
      <w:proofErr w:type="spellStart"/>
      <w:r w:rsidRPr="005500AB">
        <w:rPr>
          <w:rFonts w:eastAsia="SimSun"/>
          <w:lang w:val="en-US" w:eastAsia="zh-CN"/>
        </w:rPr>
        <w:t>konusuna</w:t>
      </w:r>
      <w:proofErr w:type="spellEnd"/>
      <w:r w:rsidRPr="005500AB">
        <w:rPr>
          <w:rFonts w:eastAsia="SimSun"/>
          <w:lang w:val="en-US" w:eastAsia="zh-CN"/>
        </w:rPr>
        <w:t xml:space="preserve"> </w:t>
      </w:r>
      <w:proofErr w:type="spellStart"/>
      <w:r w:rsidRPr="005500AB">
        <w:rPr>
          <w:rFonts w:eastAsia="SimSun"/>
          <w:lang w:val="en-US" w:eastAsia="zh-CN"/>
        </w:rPr>
        <w:t>teorik</w:t>
      </w:r>
      <w:proofErr w:type="spellEnd"/>
      <w:r w:rsidRPr="005500AB">
        <w:rPr>
          <w:rFonts w:eastAsia="SimSun"/>
          <w:lang w:val="en-US" w:eastAsia="zh-CN"/>
        </w:rPr>
        <w:t xml:space="preserve"> </w:t>
      </w:r>
      <w:proofErr w:type="spellStart"/>
      <w:r w:rsidRPr="005500AB">
        <w:rPr>
          <w:rFonts w:eastAsia="SimSun"/>
          <w:lang w:val="en-US" w:eastAsia="zh-CN"/>
        </w:rPr>
        <w:t>bir</w:t>
      </w:r>
      <w:proofErr w:type="spellEnd"/>
      <w:r w:rsidRPr="005500AB">
        <w:rPr>
          <w:rFonts w:eastAsia="SimSun"/>
          <w:lang w:val="en-US" w:eastAsia="zh-CN"/>
        </w:rPr>
        <w:t xml:space="preserve"> </w:t>
      </w:r>
      <w:proofErr w:type="spellStart"/>
      <w:r w:rsidRPr="005500AB">
        <w:rPr>
          <w:rFonts w:eastAsia="SimSun"/>
          <w:lang w:val="en-US" w:eastAsia="zh-CN"/>
        </w:rPr>
        <w:t>zemin</w:t>
      </w:r>
      <w:proofErr w:type="spellEnd"/>
      <w:r w:rsidRPr="005500AB">
        <w:rPr>
          <w:rFonts w:eastAsia="SimSun"/>
          <w:lang w:val="en-US" w:eastAsia="zh-CN"/>
        </w:rPr>
        <w:t xml:space="preserve"> </w:t>
      </w:r>
      <w:proofErr w:type="spellStart"/>
      <w:r w:rsidRPr="005500AB">
        <w:rPr>
          <w:rFonts w:eastAsia="SimSun"/>
          <w:lang w:val="en-US" w:eastAsia="zh-CN"/>
        </w:rPr>
        <w:t>sunmaktadır</w:t>
      </w:r>
      <w:proofErr w:type="spellEnd"/>
      <w:r w:rsidRPr="005500AB">
        <w:rPr>
          <w:rFonts w:eastAsia="SimSun"/>
          <w:lang w:val="en-US" w:eastAsia="zh-CN"/>
        </w:rPr>
        <w:t>.</w:t>
      </w:r>
    </w:p>
    <w:p w14:paraId="4CE88CCA" w14:textId="3084DDCB" w:rsidR="005500AB" w:rsidRPr="005500AB" w:rsidRDefault="005500AB" w:rsidP="005500AB">
      <w:pPr>
        <w:widowControl/>
        <w:autoSpaceDE/>
        <w:autoSpaceDN/>
        <w:spacing w:beforeAutospacing="1" w:afterAutospacing="1"/>
        <w:rPr>
          <w:rFonts w:eastAsia="SimSun"/>
          <w:lang w:eastAsia="zh-CN"/>
        </w:rPr>
      </w:pPr>
      <w:proofErr w:type="spellStart"/>
      <w:r w:rsidRPr="005500AB">
        <w:rPr>
          <w:rFonts w:eastAsia="SimSun"/>
          <w:b/>
          <w:bCs/>
          <w:lang w:val="en-US" w:eastAsia="zh-CN"/>
        </w:rPr>
        <w:t>Anahtar</w:t>
      </w:r>
      <w:proofErr w:type="spellEnd"/>
      <w:r w:rsidRPr="005500AB">
        <w:rPr>
          <w:rFonts w:eastAsia="SimSun"/>
          <w:b/>
          <w:bCs/>
          <w:lang w:val="en-US" w:eastAsia="zh-CN"/>
        </w:rPr>
        <w:t xml:space="preserve"> </w:t>
      </w:r>
      <w:proofErr w:type="spellStart"/>
      <w:r w:rsidR="008003D6">
        <w:rPr>
          <w:rFonts w:eastAsia="SimSun"/>
          <w:b/>
          <w:bCs/>
          <w:lang w:val="en-US" w:eastAsia="zh-CN"/>
        </w:rPr>
        <w:t>Kelimeler</w:t>
      </w:r>
      <w:proofErr w:type="spellEnd"/>
      <w:r w:rsidRPr="005500AB">
        <w:rPr>
          <w:rFonts w:eastAsia="SimSun"/>
          <w:b/>
          <w:bCs/>
          <w:lang w:val="en-US" w:eastAsia="zh-CN"/>
        </w:rPr>
        <w:t>:</w:t>
      </w:r>
      <w:r w:rsidRPr="005500AB">
        <w:rPr>
          <w:rFonts w:eastAsia="SimSun"/>
          <w:lang w:val="en-US" w:eastAsia="zh-CN"/>
        </w:rPr>
        <w:t xml:space="preserve"> Din </w:t>
      </w:r>
      <w:proofErr w:type="spellStart"/>
      <w:r w:rsidRPr="005500AB">
        <w:rPr>
          <w:rFonts w:eastAsia="SimSun"/>
          <w:lang w:val="en-US" w:eastAsia="zh-CN"/>
        </w:rPr>
        <w:t>Eğitimi</w:t>
      </w:r>
      <w:proofErr w:type="spellEnd"/>
      <w:r w:rsidRPr="005500AB">
        <w:rPr>
          <w:rFonts w:eastAsia="SimSun"/>
          <w:lang w:eastAsia="zh-CN"/>
        </w:rPr>
        <w:t xml:space="preserve">, </w:t>
      </w:r>
      <w:r w:rsidRPr="005500AB">
        <w:rPr>
          <w:rFonts w:eastAsia="SimSun"/>
          <w:lang w:val="en-US" w:eastAsia="zh-CN"/>
        </w:rPr>
        <w:t xml:space="preserve">Z </w:t>
      </w:r>
      <w:proofErr w:type="spellStart"/>
      <w:r w:rsidRPr="005500AB">
        <w:rPr>
          <w:rFonts w:eastAsia="SimSun"/>
          <w:lang w:val="en-US" w:eastAsia="zh-CN"/>
        </w:rPr>
        <w:t>Kuşağı</w:t>
      </w:r>
      <w:proofErr w:type="spellEnd"/>
      <w:r w:rsidRPr="005500AB">
        <w:rPr>
          <w:rFonts w:eastAsia="SimSun"/>
          <w:lang w:val="en-US" w:eastAsia="zh-CN"/>
        </w:rPr>
        <w:t xml:space="preserve">, </w:t>
      </w:r>
      <w:proofErr w:type="spellStart"/>
      <w:r w:rsidRPr="005500AB">
        <w:rPr>
          <w:rFonts w:eastAsia="SimSun"/>
          <w:lang w:val="en-US" w:eastAsia="zh-CN"/>
        </w:rPr>
        <w:t>Manevi</w:t>
      </w:r>
      <w:proofErr w:type="spellEnd"/>
      <w:r w:rsidRPr="005500AB">
        <w:rPr>
          <w:rFonts w:eastAsia="SimSun"/>
          <w:lang w:val="en-US" w:eastAsia="zh-CN"/>
        </w:rPr>
        <w:t xml:space="preserve"> </w:t>
      </w:r>
      <w:proofErr w:type="spellStart"/>
      <w:r w:rsidRPr="005500AB">
        <w:rPr>
          <w:rFonts w:eastAsia="SimSun"/>
          <w:lang w:val="en-US" w:eastAsia="zh-CN"/>
        </w:rPr>
        <w:t>Eğitim</w:t>
      </w:r>
      <w:proofErr w:type="spellEnd"/>
      <w:r w:rsidRPr="005500AB">
        <w:rPr>
          <w:rFonts w:eastAsia="SimSun"/>
          <w:lang w:val="en-US" w:eastAsia="zh-CN"/>
        </w:rPr>
        <w:t xml:space="preserve">, Sanal Dünya, Dini Değer </w:t>
      </w:r>
      <w:proofErr w:type="spellStart"/>
      <w:r w:rsidRPr="005500AB">
        <w:rPr>
          <w:rFonts w:eastAsia="SimSun"/>
          <w:lang w:val="en-US" w:eastAsia="zh-CN"/>
        </w:rPr>
        <w:t>Aktarımı</w:t>
      </w:r>
      <w:proofErr w:type="spellEnd"/>
      <w:r w:rsidRPr="005500AB">
        <w:rPr>
          <w:rFonts w:eastAsia="SimSun"/>
          <w:lang w:eastAsia="zh-CN"/>
        </w:rPr>
        <w:t>.</w:t>
      </w:r>
    </w:p>
    <w:p w14:paraId="106DF72E" w14:textId="77777777" w:rsidR="005500AB" w:rsidRPr="005500AB" w:rsidRDefault="005500AB" w:rsidP="005500AB">
      <w:pPr>
        <w:widowControl/>
        <w:autoSpaceDE/>
        <w:autoSpaceDN/>
        <w:spacing w:beforeAutospacing="1" w:afterAutospacing="1"/>
        <w:jc w:val="center"/>
        <w:rPr>
          <w:rFonts w:eastAsia="SimSun"/>
          <w:b/>
          <w:bCs/>
          <w:lang w:val="en-US" w:eastAsia="zh-CN"/>
        </w:rPr>
      </w:pPr>
      <w:r w:rsidRPr="005500AB">
        <w:rPr>
          <w:rFonts w:eastAsia="SimSun"/>
          <w:b/>
          <w:bCs/>
          <w:lang w:val="en-US" w:eastAsia="zh-CN"/>
        </w:rPr>
        <w:t>Generation Z and Spiritual Education: An Analysis of the Transmission of Religious Values in the Virtual World</w:t>
      </w:r>
    </w:p>
    <w:p w14:paraId="65B0525C" w14:textId="77777777" w:rsidR="005500AB" w:rsidRPr="005500AB" w:rsidRDefault="005500AB" w:rsidP="005500AB">
      <w:pPr>
        <w:widowControl/>
        <w:autoSpaceDE/>
        <w:autoSpaceDN/>
        <w:spacing w:beforeAutospacing="1" w:afterAutospacing="1"/>
        <w:jc w:val="center"/>
        <w:rPr>
          <w:rFonts w:eastAsia="SimSun"/>
          <w:lang w:val="en-US" w:eastAsia="zh-CN"/>
        </w:rPr>
      </w:pPr>
      <w:r w:rsidRPr="005500AB">
        <w:rPr>
          <w:rFonts w:eastAsia="SimSun"/>
          <w:b/>
          <w:bCs/>
          <w:lang w:val="en-US" w:eastAsia="zh-CN"/>
        </w:rPr>
        <w:t>Abstract</w:t>
      </w:r>
    </w:p>
    <w:p w14:paraId="38548B88" w14:textId="77777777" w:rsidR="005500AB" w:rsidRPr="005500AB" w:rsidRDefault="005500AB" w:rsidP="005500AB">
      <w:pPr>
        <w:widowControl/>
        <w:autoSpaceDE/>
        <w:autoSpaceDN/>
        <w:spacing w:beforeAutospacing="1" w:afterAutospacing="1"/>
        <w:jc w:val="both"/>
        <w:rPr>
          <w:rFonts w:eastAsia="SimSun"/>
          <w:lang w:val="en-US" w:eastAsia="zh-CN"/>
        </w:rPr>
      </w:pPr>
      <w:r w:rsidRPr="005500AB">
        <w:rPr>
          <w:rFonts w:eastAsia="SimSun"/>
          <w:lang w:val="en-US" w:eastAsia="zh-CN"/>
        </w:rPr>
        <w:t xml:space="preserve">This study aims to examine the role of the virtual world in the spiritual education processes of Generation Z and its impact on the transmission of religious values. Growing up in the digital age, where technological development has accelerated, Generation Z is in intense interaction with virtual environments that provide easy access to information but may weaken spiritual bonds. In this context, the research questions the effectiveness of transmitting religious values through virtual platforms and aims to reveal how this process can contribute to the spiritual development of Generation Z. A qualitative approach was adopted in the study, and data were collected through literature review and Examples in virtual environments. The findings indicate </w:t>
      </w:r>
      <w:r w:rsidRPr="005500AB">
        <w:rPr>
          <w:rFonts w:eastAsia="SimSun"/>
          <w:lang w:val="en-US" w:eastAsia="zh-CN"/>
        </w:rPr>
        <w:lastRenderedPageBreak/>
        <w:t>that virtual platforms may be insufficient in transmitting religious values; however, this deficiency can be addressed with up-to-date and interactive approaches. Furthermore, it has been determined that virtual environments can support spiritual education by offering individualized learning opportunities. The study suggests that religious educators should develop pedagogical methods to use the virtual world effectively and emphasizes that virtual environments should be considered as complementary elements in spiritual education. In this context, the study contributes both theoretically and practically to the importance of transmitting religious values in the virtual world. Among the limitations of the research is the restriction of data to a specific age group, and it is recommended that future studies conduct comparative analyses on different generations and cultures. Accordingly, this study provides a theoretical basis for how virtual environments can be used effectively as tools in religious education.</w:t>
      </w:r>
    </w:p>
    <w:p w14:paraId="1E79C0C4" w14:textId="77777777" w:rsidR="005500AB" w:rsidRPr="005500AB" w:rsidRDefault="005500AB" w:rsidP="005500AB">
      <w:pPr>
        <w:widowControl/>
        <w:autoSpaceDE/>
        <w:autoSpaceDN/>
        <w:spacing w:beforeAutospacing="1" w:afterAutospacing="1"/>
        <w:rPr>
          <w:rFonts w:eastAsia="SimSun"/>
          <w:lang w:val="en-US" w:eastAsia="zh-CN"/>
        </w:rPr>
      </w:pPr>
      <w:r w:rsidRPr="005500AB">
        <w:rPr>
          <w:rFonts w:eastAsia="SimSun"/>
          <w:b/>
          <w:bCs/>
          <w:lang w:val="en-US" w:eastAsia="zh-CN"/>
        </w:rPr>
        <w:t>Keywords:</w:t>
      </w:r>
      <w:r w:rsidRPr="005500AB">
        <w:rPr>
          <w:rFonts w:eastAsia="SimSun"/>
          <w:lang w:val="en-US" w:eastAsia="zh-CN"/>
        </w:rPr>
        <w:t xml:space="preserve"> Religious Education, Generation Z, Spiritual Education, Virtual World, Transmission of Religious Values.</w:t>
      </w:r>
    </w:p>
    <w:p w14:paraId="3FE4E94F" w14:textId="74CE0D9D" w:rsidR="005500AB" w:rsidRPr="005500AB" w:rsidRDefault="008003D6" w:rsidP="005500AB">
      <w:pPr>
        <w:widowControl/>
        <w:autoSpaceDE/>
        <w:autoSpaceDN/>
        <w:spacing w:before="100" w:beforeAutospacing="1" w:after="100" w:afterAutospacing="1"/>
        <w:jc w:val="center"/>
        <w:rPr>
          <w:b/>
          <w:bCs/>
        </w:rPr>
      </w:pPr>
      <w:r w:rsidRPr="005500AB">
        <w:rPr>
          <w:b/>
        </w:rPr>
        <w:t xml:space="preserve">Z Kuşağı </w:t>
      </w:r>
      <w:proofErr w:type="gramStart"/>
      <w:r w:rsidRPr="005500AB">
        <w:rPr>
          <w:b/>
        </w:rPr>
        <w:t>Ve</w:t>
      </w:r>
      <w:proofErr w:type="gramEnd"/>
      <w:r w:rsidRPr="005500AB">
        <w:rPr>
          <w:b/>
        </w:rPr>
        <w:t xml:space="preserve"> Manevi Eğitim: Sanal Dünyada Dini Değerlerin Aktarımı Üzerine Bir İnceleme</w:t>
      </w:r>
    </w:p>
    <w:p w14:paraId="4BD747D3" w14:textId="77777777" w:rsidR="005500AB" w:rsidRPr="005500AB" w:rsidRDefault="005500AB" w:rsidP="005500AB">
      <w:pPr>
        <w:widowControl/>
        <w:autoSpaceDE/>
        <w:autoSpaceDN/>
        <w:spacing w:before="120" w:after="120"/>
        <w:jc w:val="both"/>
        <w:rPr>
          <w:rFonts w:eastAsia="Calibri"/>
          <w:b/>
          <w:bCs/>
          <w:kern w:val="2"/>
          <w:lang w:eastAsia="en-US"/>
          <w14:ligatures w14:val="standardContextual"/>
        </w:rPr>
      </w:pPr>
      <w:r w:rsidRPr="005500AB">
        <w:rPr>
          <w:rFonts w:eastAsia="Calibri"/>
          <w:b/>
          <w:bCs/>
          <w:kern w:val="2"/>
          <w:lang w:eastAsia="en-US"/>
          <w14:ligatures w14:val="standardContextual"/>
        </w:rPr>
        <w:t>GİRİŞ</w:t>
      </w:r>
    </w:p>
    <w:p w14:paraId="1CEB5879" w14:textId="77777777" w:rsidR="005500AB" w:rsidRPr="005500AB" w:rsidRDefault="005500AB" w:rsidP="005500AB">
      <w:pPr>
        <w:widowControl/>
        <w:autoSpaceDE/>
        <w:autoSpaceDN/>
        <w:spacing w:before="120" w:after="120"/>
        <w:jc w:val="both"/>
      </w:pPr>
      <w:r w:rsidRPr="005500AB">
        <w:t>Dijital çağın getirdiği hızlı değişim ve teknolojik yenilikler, bireylerin sosyal, kültürel ve dini hayatlarında köklü dönüşümlere neden olmuştur. Özellikle Z kuşağı olarak adlandırılan genç nesil, dijital dünyanın sunduğu imkânlarla büyüyen ve teknolojiyi yaşamlarının ayrılmaz bir parçası haline getiren bireylerden oluşmaktadır. Bu bağlamda, Z kuşağının dini değerler ve manevi eğitimle olan ilişkisi, geleneksel yöntemlerden farklı yaklaşımlar gerektiren bir alan olarak öne çıkmaktadır.</w:t>
      </w:r>
    </w:p>
    <w:p w14:paraId="0BADE63D" w14:textId="77777777" w:rsidR="005500AB" w:rsidRPr="005500AB" w:rsidRDefault="005500AB" w:rsidP="005500AB">
      <w:pPr>
        <w:widowControl/>
        <w:autoSpaceDE/>
        <w:autoSpaceDN/>
        <w:spacing w:before="120" w:after="120"/>
        <w:jc w:val="both"/>
      </w:pPr>
      <w:r w:rsidRPr="005500AB">
        <w:t>Sanal dünya, bireylerin bilgiye erişim biçimlerini dönüştürerek öğrenme süreçlerini daha dinamik ve etkileşimli hale getirmiştir. Ancak bu durum, dini ve manevi değerlerin aktarımı açısından fırsatlar kadar riskleri de beraberinde getirmiştir. Bilgiye sınırsız erişim, bireylerin dini kimliklerini şekillendirmede önemli bir avantaj sağlarken, aynı zamanda yüzeysel bilgi edinme, bilgi kirliliği ve bireyselleşme gibi zorluklar doğurmuştur. Bu nedenle, sanal dünyanın manevi eğitim üzerindeki etkilerini analiz etmek, çağın gereklerine uygun bir din eğitimi modeli geliştirmek açısından büyük önem taşımaktadır.</w:t>
      </w:r>
    </w:p>
    <w:p w14:paraId="29666231" w14:textId="77777777" w:rsidR="005500AB" w:rsidRPr="005500AB" w:rsidRDefault="005500AB" w:rsidP="005500AB">
      <w:pPr>
        <w:widowControl/>
        <w:autoSpaceDE/>
        <w:autoSpaceDN/>
        <w:spacing w:before="120" w:after="120"/>
        <w:jc w:val="both"/>
      </w:pPr>
      <w:r w:rsidRPr="005500AB">
        <w:t xml:space="preserve">Bu araştırma, Z kuşağının manevi eğitim süreçlerinde sanal dünyanın rolünü ve dini değerlerin aktarımındaki etkisini incelemektedir. Araştırmada, yapay zekâ destekli uygulamalar, sosyal medya platformları ve dijital içeriklerin manevi eğitime katkıları ele alınmaktadır. Ayrıca, dini değerlerin aktarımında sanal dünyanın sağladığı fırsatlar ve karşılaşılan zorluklar değerlendirilmektedir. Bu </w:t>
      </w:r>
      <w:proofErr w:type="gramStart"/>
      <w:r w:rsidRPr="005500AB">
        <w:t>çalışma,</w:t>
      </w:r>
      <w:proofErr w:type="gramEnd"/>
      <w:r w:rsidRPr="005500AB">
        <w:t xml:space="preserve"> hem teorik hem de pratik boyutlarıyla din eğitiminin dijital çağdaki dönüşümünü anlamaya yönelik katkılar sunmayı amaçlamaktadır.</w:t>
      </w:r>
    </w:p>
    <w:p w14:paraId="57D1B5D6" w14:textId="77777777" w:rsidR="005500AB" w:rsidRPr="005500AB" w:rsidRDefault="005500AB" w:rsidP="008003D6">
      <w:pPr>
        <w:widowControl/>
        <w:autoSpaceDE/>
        <w:autoSpaceDN/>
        <w:jc w:val="both"/>
        <w:rPr>
          <w:b/>
        </w:rPr>
      </w:pPr>
      <w:r w:rsidRPr="005500AB">
        <w:rPr>
          <w:b/>
        </w:rPr>
        <w:t>1. ARAŞTIRMANIN KAPSAMI VE BAĞLAMI</w:t>
      </w:r>
    </w:p>
    <w:p w14:paraId="2339A9E3" w14:textId="77777777" w:rsidR="005500AB" w:rsidRPr="005500AB" w:rsidRDefault="005500AB" w:rsidP="008003D6">
      <w:pPr>
        <w:widowControl/>
        <w:autoSpaceDE/>
        <w:autoSpaceDN/>
        <w:jc w:val="both"/>
        <w:rPr>
          <w:b/>
        </w:rPr>
      </w:pPr>
      <w:r w:rsidRPr="005500AB">
        <w:rPr>
          <w:b/>
        </w:rPr>
        <w:t>1.1. Araştırmanın Amacı ve Önemi</w:t>
      </w:r>
    </w:p>
    <w:p w14:paraId="76372674" w14:textId="77777777" w:rsidR="005500AB" w:rsidRDefault="005500AB" w:rsidP="008003D6">
      <w:pPr>
        <w:widowControl/>
        <w:autoSpaceDE/>
        <w:autoSpaceDN/>
        <w:jc w:val="both"/>
      </w:pPr>
      <w:r w:rsidRPr="005500AB">
        <w:t xml:space="preserve">Z kuşağının manevi eğitim süreçlerinde sanal dünyanın etkisi, günümüzün dijitalleşen toplumu bağlamında önemli bir araştırma konusu olarak öne çıkmaktadır. Bu çalışma, teknolojik gelişmelerin bireylerin dini değerleri algılama ve içselleştirme süreçlerini nasıl şekillendirdiğini anlamayı amaçlamaktadır. Z kuşağı, dijital dünyanın sunduğu imkanlarla büyüyen bir nesil </w:t>
      </w:r>
      <w:r w:rsidRPr="005500AB">
        <w:lastRenderedPageBreak/>
        <w:t>olarak, geleneksel dini değerlerle modern teknoloji arasında bir denge kurma çabası içerisindedir. Bu bağlamda, sanal dünyanın sunduğu etkileşimli ve dinamik ortamların, dini değerlerin aktarımı ve benimsenmesinde nasıl bir rol oynadığı incelenmelidir. Araştırma, bu süreci pedagojik açıdan ele alarak, genç bireylerin manevi gelişimlerini destekleyecek etkili yöntem ve stratejiler geliştirmeyi hedeflemektedir. Özellikle dijital platformların içerik kalitesi, erişilebilirliği ve gençlerin ilgisini çekme potansiyeli gibi unsurların analiz edilmesi, bu alandaki pedagojik yaklaşımların daha verimli hale getirilmesine katkı sağlayacaktır.</w:t>
      </w:r>
    </w:p>
    <w:p w14:paraId="0D20C68F" w14:textId="77777777" w:rsidR="008003D6" w:rsidRPr="005500AB" w:rsidRDefault="008003D6" w:rsidP="008003D6">
      <w:pPr>
        <w:widowControl/>
        <w:autoSpaceDE/>
        <w:autoSpaceDN/>
        <w:jc w:val="both"/>
      </w:pPr>
    </w:p>
    <w:p w14:paraId="3CCB2ACC" w14:textId="77777777" w:rsidR="005500AB" w:rsidRPr="005500AB" w:rsidRDefault="005500AB" w:rsidP="008003D6">
      <w:pPr>
        <w:widowControl/>
        <w:autoSpaceDE/>
        <w:autoSpaceDN/>
        <w:jc w:val="both"/>
        <w:rPr>
          <w:b/>
        </w:rPr>
      </w:pPr>
      <w:r w:rsidRPr="005500AB">
        <w:rPr>
          <w:b/>
        </w:rPr>
        <w:t>1.2. Problemin Tanımı</w:t>
      </w:r>
    </w:p>
    <w:p w14:paraId="5935BB49" w14:textId="77777777" w:rsidR="005500AB" w:rsidRDefault="005500AB" w:rsidP="008003D6">
      <w:pPr>
        <w:widowControl/>
        <w:autoSpaceDE/>
        <w:autoSpaceDN/>
        <w:jc w:val="both"/>
      </w:pPr>
      <w:r w:rsidRPr="005500AB">
        <w:t xml:space="preserve">Z kuşağı, dijital teknolojilerle iç içe büyüyen ve sanal dünyada aktif bir şekilde varlık gösteren bir nesil olarak, </w:t>
      </w:r>
      <w:r w:rsidRPr="005500AB">
        <w:fldChar w:fldCharType="begin"/>
      </w:r>
      <w:r w:rsidRPr="005500AB">
        <w:instrText xml:space="preserve"> ADDIN ZOTERO_ITEM CSL_CITATION {"citationID":"nwKaeqvV","properties":{"formattedCitation":"(Survey, 2025)","plainCitation":"(Survey, 2025)","noteIndex":0},"citationItems":[{"id":938,"uris":["http://zotero.org/users/9822074/items/GJMQYEBE"],"itemData":{"id":938,"type":"webpage","container-title":"PES Survey","title":"Z Kuşağının Özellikleri: Yeni Neslin Tanımlayıcı","URL":"https://pessurvey.com/blog/z-kusaginin-ozellikleri-yeni-neslin-tanimlayici-nitelikleri","author":[{"family":"Survey","given":"Pes"}],"accessed":{"date-parts":[["2025",1,12]]},"issued":{"date-parts":[["2025"]]}}}],"schema":"https://github.com/citation-style-language/schema/raw/master/csl-citation.json"} </w:instrText>
      </w:r>
      <w:r w:rsidRPr="005500AB">
        <w:fldChar w:fldCharType="separate"/>
      </w:r>
      <w:r w:rsidRPr="005500AB">
        <w:t>(Survey, 2025)</w:t>
      </w:r>
      <w:r w:rsidRPr="005500AB">
        <w:fldChar w:fldCharType="end"/>
      </w:r>
      <w:r w:rsidRPr="005500AB">
        <w:t xml:space="preserve"> dini ve manevi değerlerin aktarımında yeni yaklaşımları gerektiren bir dinamik sunmaktadır. Geleneksel yöntemlerin yanı sıra, dijital platformların etkili bir şekilde kullanılması, bu neslin ihtiyaçlarına uygun çözümler geliştirilmesi açısından kritik öneme sahiptir. Ancak, sanal dünyada dini değerlerin aktarımında karşılaşılan temel zorluklar arasında dikkat dağınıklığı, bilgi kirliliği ve bireylerin dijital içeriklere olan güvensizliği yer almaktadır </w:t>
      </w:r>
      <w:r w:rsidRPr="005500AB">
        <w:fldChar w:fldCharType="begin"/>
      </w:r>
      <w:r w:rsidRPr="005500AB">
        <w:instrText xml:space="preserve"> ADDIN ZOTERO_ITEM CSL_CITATION {"citationID":"i46hZG73","properties":{"unsorted":true,"formattedCitation":"(Davies, 2016; Tekke &amp; Lale, 2021; Hocao\\uc0\\u287{}lu, 2023)","plainCitation":"(Davies, 2016; Tekke &amp; Lale, 2021; Hocaoğlu, 2023)","noteIndex":0},"citationItems":[{"id":933,"uris":["http://zotero.org/users/9822074/items/DVEVJDYV"],"itemData":{"id":933,"type":"article-journal","container-title":"New Media &amp; Society","language":"en","note":"publisher: SAGE Publications","page":"2139-2143","source":"SAGE Journals","title":"Mind Change: How Digital Technologies Are Leaving Their Mark on Our Brains","title-short":"Mind change","volume":"18","author":[{"family":"Davies","given":"Todd"}],"issued":{"date-parts":[["2016"]]}}},{"id":940,"uris":["http://zotero.org/users/9822074/items/VXG9CB7V"],"itemData":{"id":940,"type":"article-journal","abstract":"Bu çalışmanın amacı, kitle iletişim araçları ile sosyal medyada üretilen ve akışa dahil edilen bilgileri dijital etik ve siber güvenlik stratejileri bağlamında analiz etmektir. Dijital etik ilkeleri, bireylerin yaşam mahremiyetini göz önünde bulunduran normları kapsamaktadır. Siber uzay, bilgisayar ve bilgisayar ağlarına ilişkin bir kavram olmanın yanı sıra insan eliyle üretilen faaliyetler bütününü de içerdiği için, siber uzayda manipülasyon teknikleri önemli bir siber tehdit olarak kullanıcıların karşısına çıkmaktadır. Siber tehditlerle mücadele etmek için ise dijital etik kurallarının geliştirilmesi önem arz etmektedir. Dijital etik kurallarının ihlal edilmesi sonucunda yanlış ve yalan bilginin oluşmasıyla birlikte bireylerin yanlış bilgilendirilmesi söz konusu olmaktadır. Çalışmada, öncelikle bireyleri “aynı olma” paydasında buluşturma amacı güden sosyal medya, Adorno ve Horkheimer’ın kültür endüstrisi kavramı kapsamında değerlendirilmiştir. Bu doğrultuda, manipülatif nitelik taşıyan içerikler, dijital etik ilkeleri bağlamında analiz edilmiştir. Daha sonra, genelde siber uzayda karşılaşılan sosyal medya tehditleri ve özelde ise bilgi manipülasyonu devletlerin uyguladığı siber güvenlik stratejileri bağlamında karşılaştırılmıştır. Netice olarak, bilginin dijital etik ilkelerinden uzaklaştıkça manipülatif niteliğinin arttığı görülmüştür. Bu nedenle siber uzayın tüm aktörlerinin siber etik kurallarının geliştirilmesi ve uygulanabilmesi için etkin olmaları gerektiği tespit edilmiştir.","container-title":"Akademik İncelemeler Dergisi","DOI":"10.17550/akademikincelemeler.958167","ISSN":"1306-7885, 2602-3016","issue":"2","language":"tr","note":"number: 2\npublisher: Sakarya Üniversitesi","page":"44-62","source":"dergipark.org.tr","title":"Sosyal Medyada Etik, Bilgi Manipülasyonu ve Siber Güvenlik","volume":"16","author":[{"family":"Tekke","given":"Aynur"},{"family":"Lale","given":"Aybala"}],"issued":{"date-parts":[["2021"]]}}},{"id":679,"uris":["http://zotero.org/users/9822074/items/7GVLMH29"],"itemData":{"id":679,"type":"thesis","event-place":"İstanbul","genre":"Yüksek Lisans Tezi","publisher":"İstanbul Sebahattin Zaim Üniversitesi Lisansüstü Eğitim Enstitüsü","publisher-place":"İstanbul","title":"Dijital Dünyada Değişen Din Anlayışı","author":[{"family":"Hocaoğlu","given":"Neslihan"}],"issued":{"date-parts":[["2023"]]}}}],"schema":"https://github.com/citation-style-language/schema/raw/master/csl-citation.json"} </w:instrText>
      </w:r>
      <w:r w:rsidRPr="005500AB">
        <w:fldChar w:fldCharType="separate"/>
      </w:r>
      <w:r w:rsidRPr="005500AB">
        <w:t>(Davies, 2016; Tekke &amp; Lale, 2021; Hocaoğlu, 2023)</w:t>
      </w:r>
      <w:r w:rsidRPr="005500AB">
        <w:fldChar w:fldCharType="end"/>
      </w:r>
      <w:r w:rsidRPr="005500AB">
        <w:t>. Bu bağlamda, araştırmanın odak noktası, Z kuşağının dijital alışkanlıkları ve beklentileri göz önünde bulundurularak, dini değerlerin sanal ortamda nasıl daha etkili bir şekilde iletilebileceği sorusuna yanıt aramaktır. Özellikle etkileşimli içerikler, görsel-işitsel materyaller ve oyunlaştırma gibi yöntemlerin bu süreçte önemli bir rol oynayabileceği düşünülmektedir. Ayrıca, dijital platformlarda güvenilir ve ulaşılabilir kaynakların oluşturulması, bu neslin manevi gelişimine katkı sağlamak adına stratejik bir yaklaşım olarak değerlendirilmektedir. Dolayısıyla, bu çalışma, Z kuşağının dini değerlerle olan ilişkisini anlamaya yönelik kapsamlı bir çerçeve sunmayı ve dijital dünyanın sunduğu fırsatları bu bağlamda etkin bir şekilde kullanmayı amaçlamaktadır.</w:t>
      </w:r>
    </w:p>
    <w:p w14:paraId="53F0AF41" w14:textId="77777777" w:rsidR="008003D6" w:rsidRPr="005500AB" w:rsidRDefault="008003D6" w:rsidP="008003D6">
      <w:pPr>
        <w:widowControl/>
        <w:autoSpaceDE/>
        <w:autoSpaceDN/>
        <w:jc w:val="both"/>
      </w:pPr>
    </w:p>
    <w:p w14:paraId="7D5EBDED" w14:textId="77777777" w:rsidR="005500AB" w:rsidRPr="005500AB" w:rsidRDefault="005500AB" w:rsidP="008003D6">
      <w:pPr>
        <w:widowControl/>
        <w:autoSpaceDE/>
        <w:autoSpaceDN/>
        <w:jc w:val="both"/>
        <w:rPr>
          <w:b/>
        </w:rPr>
      </w:pPr>
      <w:r w:rsidRPr="005500AB">
        <w:rPr>
          <w:b/>
        </w:rPr>
        <w:t>1.3. Araştırmanın Yöntemi ve Sınırlılıkları</w:t>
      </w:r>
    </w:p>
    <w:p w14:paraId="36A92835" w14:textId="77777777" w:rsidR="005500AB" w:rsidRPr="005500AB" w:rsidRDefault="005500AB" w:rsidP="008003D6">
      <w:pPr>
        <w:widowControl/>
        <w:autoSpaceDE/>
        <w:autoSpaceDN/>
        <w:jc w:val="both"/>
      </w:pPr>
      <w:r w:rsidRPr="005500AB">
        <w:t>Bu çalışma, nitel araştırma yöntemine dayalı olarak literatür taraması, içerik analizi ve sanal platform örnekleri üzerinden veri toplamaktadır. Çalışmanın sınırlılığı, belirli bir yaş grubuna (Z kuşağı) ve sanal ortamlara odaklanmasıdır. Gelecek araştırmalar, farklı yaş grupları ve kültürler üzerinde yapılacak karşılaştırmalarla bu sınırları genişletebilir.</w:t>
      </w:r>
    </w:p>
    <w:p w14:paraId="12783D84" w14:textId="77777777" w:rsidR="005500AB" w:rsidRPr="005500AB" w:rsidRDefault="005500AB" w:rsidP="008003D6">
      <w:pPr>
        <w:widowControl/>
        <w:autoSpaceDE/>
        <w:autoSpaceDN/>
        <w:jc w:val="both"/>
        <w:rPr>
          <w:b/>
        </w:rPr>
      </w:pPr>
      <w:r w:rsidRPr="005500AB">
        <w:rPr>
          <w:b/>
        </w:rPr>
        <w:t>1.4. Kavramsal Çerçeve</w:t>
      </w:r>
    </w:p>
    <w:p w14:paraId="29DCB6A3" w14:textId="77777777" w:rsidR="005500AB" w:rsidRPr="005500AB" w:rsidRDefault="005500AB" w:rsidP="008003D6">
      <w:pPr>
        <w:widowControl/>
        <w:autoSpaceDE/>
        <w:autoSpaceDN/>
        <w:jc w:val="both"/>
      </w:pPr>
      <w:r w:rsidRPr="005500AB">
        <w:t>Araştırmanın temel kavramları şunlardır:</w:t>
      </w:r>
    </w:p>
    <w:p w14:paraId="13576236" w14:textId="77777777" w:rsidR="005500AB" w:rsidRPr="005500AB" w:rsidRDefault="005500AB" w:rsidP="005500AB">
      <w:pPr>
        <w:widowControl/>
        <w:autoSpaceDE/>
        <w:autoSpaceDN/>
        <w:spacing w:before="120" w:after="120"/>
        <w:jc w:val="both"/>
      </w:pPr>
      <w:r w:rsidRPr="005500AB">
        <w:t xml:space="preserve">• </w:t>
      </w:r>
      <w:r w:rsidRPr="005500AB">
        <w:rPr>
          <w:b/>
        </w:rPr>
        <w:t>Z Kuşağı:</w:t>
      </w:r>
      <w:r w:rsidRPr="005500AB">
        <w:t xml:space="preserve"> 1997-2012 yılları arasında doğmuş, dijital teknolojilerle iç içe büyüyen bir nesli ifade etmektedir. Bu nesil, sanal dünya ile yoğun bir etkileşim içinde olup dijital platformlar üzerinden bilgi edinme ve iletişim kurma alışkanlıkları geliştirmiştir </w:t>
      </w:r>
      <w:r w:rsidRPr="005500AB">
        <w:fldChar w:fldCharType="begin"/>
      </w:r>
      <w:r w:rsidRPr="005500AB">
        <w:instrText xml:space="preserve"> ADDIN ZOTERO_ITEM CSL_CITATION {"citationID":"M6KiMNQa","properties":{"formattedCitation":"(B\\uc0\\u252{}d\\uc0\\u252{}n Ayd\\uc0\\u305{}n, 2023)","plainCitation":"(Büdün Aydın, 2023)","noteIndex":0},"citationItems":[{"id":942,"uris":["http://zotero.org/users/9822074/items/2AYVRTP7"],"itemData":{"id":942,"type":"article-journal","container-title":"Gümüşhane Üniversitesi İletişim Fakültesi Elektronik Dergisi (e-gifder)","issue":"2","page":"1679-1702","title":"Kuşakların Teknoloji Kullanımının Mahremiyet Kapsamında Karşılaştırılması: Dijital Melezler ve Dijital Yerliler","volume":"11","author":[{"family":"Büdün Aydın","given":"Esra"}],"issued":{"date-parts":[["2023"]]}}}],"schema":"https://github.com/citation-style-language/schema/raw/master/csl-citation.json"} </w:instrText>
      </w:r>
      <w:r w:rsidRPr="005500AB">
        <w:fldChar w:fldCharType="separate"/>
      </w:r>
      <w:r w:rsidRPr="005500AB">
        <w:t>(Büdün Aydın, 2023)</w:t>
      </w:r>
      <w:r w:rsidRPr="005500AB">
        <w:fldChar w:fldCharType="end"/>
      </w:r>
      <w:r w:rsidRPr="005500AB">
        <w:t>.</w:t>
      </w:r>
    </w:p>
    <w:p w14:paraId="1A5F60AD" w14:textId="77777777" w:rsidR="005500AB" w:rsidRPr="005500AB" w:rsidRDefault="005500AB" w:rsidP="005500AB">
      <w:pPr>
        <w:widowControl/>
        <w:autoSpaceDE/>
        <w:autoSpaceDN/>
        <w:spacing w:before="120" w:after="120"/>
        <w:jc w:val="both"/>
      </w:pPr>
      <w:r w:rsidRPr="005500AB">
        <w:t xml:space="preserve">• </w:t>
      </w:r>
      <w:r w:rsidRPr="005500AB">
        <w:rPr>
          <w:b/>
        </w:rPr>
        <w:t>Manevi Eğitim:</w:t>
      </w:r>
      <w:r w:rsidRPr="005500AB">
        <w:t xml:space="preserve"> Bireylerin ahlaki ve ruhsal gelişimlerini desteklemeyi amaçlayan bir eğitim süreci olarak tanımlanmaktadır. Bu süreç, bireylerin değerler sistemi oluşturmasına ve toplumsal uyum sağlamasına katkıda bulunmaktadır </w:t>
      </w:r>
      <w:r w:rsidRPr="005500AB">
        <w:fldChar w:fldCharType="begin"/>
      </w:r>
      <w:r w:rsidRPr="005500AB">
        <w:instrText xml:space="preserve"> ADDIN ZOTERO_ITEM CSL_CITATION {"citationID":"Z2cajEWz","properties":{"formattedCitation":"(Meydan, 2015)","plainCitation":"(Meydan, 2015)","noteIndex":0},"citationItems":[{"id":943,"uris":["http://zotero.org/users/9822074/items/4N7NATDB"],"itemData":{"id":943,"type":"book","edition":"1.","event-place":"İstanbul","ISBN":"978-605-4036-61-5","publisher":"Dem Yayınları","publisher-place":"İstanbul","title":"Din Eğitiminde Manevi Boyut","author":[{"family":"Meydan","given":"Hasan"}],"issued":{"date-parts":[["2015"]]}}}],"schema":"https://github.com/citation-style-language/schema/raw/master/csl-citation.json"} </w:instrText>
      </w:r>
      <w:r w:rsidRPr="005500AB">
        <w:fldChar w:fldCharType="separate"/>
      </w:r>
      <w:r w:rsidRPr="005500AB">
        <w:t>(Meydan, 2015)</w:t>
      </w:r>
      <w:r w:rsidRPr="005500AB">
        <w:fldChar w:fldCharType="end"/>
      </w:r>
      <w:r w:rsidRPr="005500AB">
        <w:t>.</w:t>
      </w:r>
    </w:p>
    <w:p w14:paraId="580C8305" w14:textId="77777777" w:rsidR="005500AB" w:rsidRPr="005500AB" w:rsidRDefault="005500AB" w:rsidP="005500AB">
      <w:pPr>
        <w:widowControl/>
        <w:autoSpaceDE/>
        <w:autoSpaceDN/>
        <w:spacing w:before="120" w:after="120"/>
        <w:jc w:val="both"/>
      </w:pPr>
      <w:r w:rsidRPr="005500AB">
        <w:t xml:space="preserve">• </w:t>
      </w:r>
      <w:r w:rsidRPr="005500AB">
        <w:rPr>
          <w:b/>
        </w:rPr>
        <w:t>Sanal Dünya:</w:t>
      </w:r>
      <w:r w:rsidRPr="005500AB">
        <w:t xml:space="preserve"> İnternet, sosyal medya ve diğer dijital platformlar aracılığıyla oluşturulan etkileşim alanlarını kapsamaktadır. Bu alanlar, bireylerin kimlik inşasında ve değer sistemlerinin şekillenmesinde önemli bir rol oynamaktadır </w:t>
      </w:r>
      <w:r w:rsidRPr="005500AB">
        <w:fldChar w:fldCharType="begin"/>
      </w:r>
      <w:r w:rsidRPr="005500AB">
        <w:instrText xml:space="preserve"> ADDIN ZOTERO_ITEM CSL_CITATION {"citationID":"NrXHpm1z","properties":{"formattedCitation":"(S\\uc0\\u246{}\\uc0\\u287{}\\uc0\\u252{}t &amp; Birol, 2022)","plainCitation":"(Söğüt &amp; Birol, 2022)","noteIndex":0},"citationItems":[{"id":944,"uris":["http://zotero.org/users/9822074/items/EZWVWV74"],"itemData":{"id":944,"type":"book","abstract":"PDF | Sanal Dünya Sosyal Medya: Metalar ve Metaverse” isimli bu kitap; “Sanal Dünya ve Metaverse”, “Sanal Dünyada Habercilik ve Enformasyon” ve “Sanal... | Find, read and cite all the research you need on ResearchGate","event-place":"Ankara","ISBN":"978-625-433-7192","language":"en","publisher":"Nobel Akademik Yayıncılık","publisher-place":"Ankara","title":"Sanal Dünya ve Sosyal Medyada Metalar ve Metaverse","editor":[{"family":"Söğüt","given":"Tahsin"},{"family":"Birol","given":"Murat"}],"issued":{"date-parts":[["2022"]]}}}],"schema":"https://github.com/citation-style-language/schema/raw/master/csl-citation.json"} </w:instrText>
      </w:r>
      <w:r w:rsidRPr="005500AB">
        <w:fldChar w:fldCharType="separate"/>
      </w:r>
      <w:r w:rsidRPr="005500AB">
        <w:t>(Söğüt &amp; Birol, 2022)</w:t>
      </w:r>
      <w:r w:rsidRPr="005500AB">
        <w:fldChar w:fldCharType="end"/>
      </w:r>
      <w:r w:rsidRPr="005500AB">
        <w:t xml:space="preserve">. </w:t>
      </w:r>
    </w:p>
    <w:p w14:paraId="730B3D2A" w14:textId="77777777" w:rsidR="005500AB" w:rsidRPr="005500AB" w:rsidRDefault="005500AB" w:rsidP="005500AB">
      <w:pPr>
        <w:widowControl/>
        <w:autoSpaceDE/>
        <w:autoSpaceDN/>
        <w:spacing w:before="120" w:after="120"/>
        <w:jc w:val="both"/>
      </w:pPr>
      <w:r w:rsidRPr="005500AB">
        <w:t xml:space="preserve">• </w:t>
      </w:r>
      <w:r w:rsidRPr="005500AB">
        <w:rPr>
          <w:b/>
        </w:rPr>
        <w:t>Dini Değerler:</w:t>
      </w:r>
      <w:r w:rsidRPr="005500AB">
        <w:t xml:space="preserve"> Toplumların inanç sistemlerini ve ahlaki ilkelerini ifade etmektedir. Bu değerler, bireylerin manevi eğitim süreçlerinde ve toplumsal normların belirlenmesinde kritik bir öneme sahiptir </w:t>
      </w:r>
      <w:r w:rsidRPr="005500AB">
        <w:fldChar w:fldCharType="begin"/>
      </w:r>
      <w:r w:rsidRPr="005500AB">
        <w:instrText xml:space="preserve"> ADDIN ZOTERO_ITEM CSL_CITATION {"citationID":"mtHiDB3E","properties":{"formattedCitation":"(Aybey, 2018)","plainCitation":"(Aybey, 2018)","noteIndex":0},"citationItems":[{"id":493,"uris":["http://zotero.org/users/9822074/items/ZNIFUYCF"],"itemData":{"id":493,"type":"article-journal","abstract":"Aile, toplumsal yapının en küçük birimi ve gelecekte toplumu şekillendirmesi beklenen çocuğun sağlam bir karakter geliştirmesi bakımından ağır sorumluluklar yüklenmiş bir kurumdur. Bununla birlikte aile, değerlerin çocuklara aktarılmasında da son derece önemli bir yere sahiptir. Her doğan çocuk, bir takım kabiliyetlerle dünyaya gelir ve bunların geliştirilmesi ailenin sorumluluk alanı içinde önemli bir yer teşkil eder. Bu nedenle aile; yalnızca çocu ğ un biyolojik, psikolojik ve sosyal ihtiyaçlarını kar ş ılamakla sorumlu olmayıp, aynı zamanda onun dini ve ahlaki ihtiyaçlarını da tatmin etmekle görevlidir. Dolayısıyla genel olarak değerlerin özel olarak da dini değerlerin çocuğa kazandırıldığı en önemli kurum ailedir. Bu çalışmada öncelikle değer ve dini değer kavramlarından hareketle, dini değerlerin aktarılmasında ailenin rolü açıklanarak, bu süreçte dikkat edilmesi gereken bazı ilkeler üzerinde durulmuştur. Bu ilkelerden bazıları, çocuğun gelişim dönemleri bilmek, sevgi, model olma ve etkili iletişimdir. Çalışma sonucunda ailenin, çocuğa dini değer aktarımında büyük bir öneme sahip olduğu sonucuna varılmıştır.","container-title":"İnsan ve Toplum Bilimleri Araştırmaları Dergisi","DOI":"10.15869/itobiad.398540","ISSN":"2147-1185","issue":"2","journalAbbreviation":"itobiad","language":"tr","note":"number: 2\npublisher: Mustafa Süleyman ÖZCAN","page":"544-560","source":"dergipark.org.tr","title":"Ailenin Dini Değerleri Aktarmadaki Rolü ve Bu Süreçte Dikkat Edilmesi Gereken İlkeler","volume":"7","author":[{"family":"Aybey","given":"Salih"}],"issued":{"date-parts":[["2018"]]}}}],"schema":"https://github.com/citation-style-language/schema/raw/master/csl-citation.json"} </w:instrText>
      </w:r>
      <w:r w:rsidRPr="005500AB">
        <w:fldChar w:fldCharType="separate"/>
      </w:r>
      <w:r w:rsidRPr="005500AB">
        <w:t>(Aybey, 2018)</w:t>
      </w:r>
      <w:r w:rsidRPr="005500AB">
        <w:fldChar w:fldCharType="end"/>
      </w:r>
      <w:r w:rsidRPr="005500AB">
        <w:t xml:space="preserve">. </w:t>
      </w:r>
    </w:p>
    <w:p w14:paraId="1136791C" w14:textId="77777777" w:rsidR="005500AB" w:rsidRPr="005500AB" w:rsidRDefault="005500AB" w:rsidP="008003D6">
      <w:pPr>
        <w:widowControl/>
        <w:autoSpaceDE/>
        <w:autoSpaceDN/>
        <w:jc w:val="both"/>
      </w:pPr>
      <w:r w:rsidRPr="005500AB">
        <w:rPr>
          <w:b/>
          <w:bCs/>
        </w:rPr>
        <w:lastRenderedPageBreak/>
        <w:t>2. Z KUŞAĞI VE MANEVİ EĞİTİM</w:t>
      </w:r>
      <w:r w:rsidRPr="005500AB">
        <w:t xml:space="preserve"> </w:t>
      </w:r>
    </w:p>
    <w:p w14:paraId="71D0DC98" w14:textId="77777777" w:rsidR="005500AB" w:rsidRPr="005500AB" w:rsidRDefault="005500AB" w:rsidP="008003D6">
      <w:pPr>
        <w:widowControl/>
        <w:autoSpaceDE/>
        <w:autoSpaceDN/>
        <w:jc w:val="both"/>
        <w:rPr>
          <w:b/>
        </w:rPr>
      </w:pPr>
      <w:r w:rsidRPr="005500AB">
        <w:rPr>
          <w:b/>
        </w:rPr>
        <w:t xml:space="preserve">2.1. Z Kuşağının Tanımı ve Genel Özellikleri </w:t>
      </w:r>
    </w:p>
    <w:p w14:paraId="74ABA09C" w14:textId="77777777" w:rsidR="005500AB" w:rsidRDefault="005500AB" w:rsidP="008003D6">
      <w:pPr>
        <w:widowControl/>
        <w:autoSpaceDE/>
        <w:autoSpaceDN/>
        <w:jc w:val="both"/>
      </w:pPr>
      <w:r w:rsidRPr="005500AB">
        <w:t xml:space="preserve">Z kuşağı, dijital teknolojilere doğuştan aşina olan ve bu teknolojileri günlük yaşamlarının ayrılmaz bir parçası haline getiren bir nesil olarak tanımlanmaktadır </w:t>
      </w:r>
      <w:r w:rsidRPr="005500AB">
        <w:fldChar w:fldCharType="begin"/>
      </w:r>
      <w:r w:rsidRPr="005500AB">
        <w:instrText xml:space="preserve"> ADDIN ZOTERO_ITEM CSL_CITATION {"citationID":"OZWQNTGO","properties":{"formattedCitation":"(Baykal, 2023)","plainCitation":"(Baykal, 2023)","noteIndex":0},"citationItems":[{"id":946,"uris":["http://zotero.org/users/9822074/items/DZYXSW3P"],"itemData":{"id":946,"type":"book","event-place":"Gaziantep","ISBN":"978-975-447-721-4","publisher":"Özgür Yayınları","publisher-place":"Gaziantep","title":"Dijital Yerliler: Z Kuşağı ve Sosyal Medya Pazarlaması","author":[{"family":"Baykal","given":"Bilge"}],"issued":{"date-parts":[["2023"]]}}}],"schema":"https://github.com/citation-style-language/schema/raw/master/csl-citation.json"} </w:instrText>
      </w:r>
      <w:r w:rsidRPr="005500AB">
        <w:fldChar w:fldCharType="separate"/>
      </w:r>
      <w:r w:rsidRPr="005500AB">
        <w:t>(Baykal, 2023)</w:t>
      </w:r>
      <w:r w:rsidRPr="005500AB">
        <w:fldChar w:fldCharType="end"/>
      </w:r>
      <w:r w:rsidRPr="005500AB">
        <w:t xml:space="preserve">. Bu kuşak, bilgiye erişim ve iletişim açısından önceki nesillere kıyasla çok daha hızlı ve etkin bir şekilde hareket edebilmektedir. Sosyal medya ve çevrimiçi platformlar, Z kuşağının sosyalleşme biçimlerini şekillendiren temel araçlar arasında yer almakta ve bireylerin kimlik inşası süreçlerinde önemli bir rol oynamaktadır </w:t>
      </w:r>
      <w:r w:rsidRPr="005500AB">
        <w:fldChar w:fldCharType="begin"/>
      </w:r>
      <w:r w:rsidRPr="005500AB">
        <w:instrText xml:space="preserve"> ADDIN ZOTERO_ITEM CSL_CITATION {"citationID":"xyInG1Pt","properties":{"formattedCitation":"(Bayramo\\uc0\\u287{}lu &amp; G\\uc0\\u252{}ltekin, 2023)","plainCitation":"(Bayramoğlu &amp; Gültekin, 2023)","noteIndex":0},"citationItems":[{"id":1015,"uris":["http://zotero.org/users/9822074/items/NMXXGRRV"],"itemData":{"id":1015,"type":"article-journal","abstract":"“Dijital yerli” olarak tanımlanan Z kuşağı, 2000’lerden sonra doğan ve teknolojiyle iç içe büyümüş kişileri kapsamaktadır. İnterneti ve sosyal medyayı hayatındaki tüm süreçleri yönetmek için oldukça etkin bir şekilde kullanan bu kuşak, potansiyel bir sosyal medya bağımlısı olma riskiyle de karşı karşıyadır. Sorunlu sosyal medya kullanımı ya da takıntılı sosyal medya kullanımı gibi terimlerle de ifade edilen sosyal medya bağımlılığı; bir davranışsal bağımlılık türüdür. İnternet kullanımı konusunda kendini kontrol edememe duygusuyla karakterize edilen sosyal medya bağımlılığı, fiziksel ve duygusal problemlere neden olan olmakta ve bireyin sosyal gelişimini olumsuz yönde etkilemektedir. Z kuşağının sosyal medya bağımlılığının, yaşam doyumları üzerindeki etkisinin araştırıldığı bu çalışmada kolayda örneklem yoluyla ulaşılan 555 üniversite öğrencisinin sosyal medya kullanım alışkanlıkları incelenmiştir. Elde edilen bulgular doğrultusunda en yaygın olarak kullanılan sosyal medya platformlarının Instagram (%31), Whatsapp (%30,5) ve YouTube (%18,8) olduğu tespit edilmiştir. Katılımcıların yarısına yakını (%42,5), günlük 4 saatten fazla sosyal medya kullandıklarını ifade etmektedir. Katılımcıların sosyal medya kullanım süresi; sosyal medya bağımlılığı üzerinde anlamlı (sig=,000) düşük düzeyde (R2=0,06), pozitif bir etkisi bulunmaktadır. Ayrıca sosyal medyada geçirilen süre, yaşam doyumu üzerinde anlamlı (sig=,035), düşük düzeyde (R2=0,08) ve negatif bir etkisi bulunduğu tespit edilmiştir. Ancak sosyal medya bağımlılığın yaşam doyumu üzerinde doğrudan bir etkisi tespit edilmemiştir.","container-title":"Turkuaz Uluslararası Sosyo-Ekonomik Stratejik Araştırmalar Dergisi","ISSN":"2687-573X","issue":"1","language":"tr","note":"number: 1\npublisher: Manisa Stratejik Araştırmalar Derneği","page":"27-53","source":"dergipark.org.tr","title":"Z Kuşağının Sosyal Medya Bağımlılığının Yaşam Doyumu Üzerine Etkisi","volume":"5","author":[{"family":"Bayramoğlu","given":"Gökben"},{"family":"Gültekin","given":"Fırat"}],"issued":{"date-parts":[["2023"]]}}}],"schema":"https://github.com/citation-style-language/schema/raw/master/csl-citation.json"} </w:instrText>
      </w:r>
      <w:r w:rsidRPr="005500AB">
        <w:fldChar w:fldCharType="separate"/>
      </w:r>
      <w:r w:rsidRPr="005500AB">
        <w:t>(Bayramoğlu &amp; Gültekin, 2023)</w:t>
      </w:r>
      <w:r w:rsidRPr="005500AB">
        <w:fldChar w:fldCharType="end"/>
      </w:r>
      <w:r w:rsidRPr="005500AB">
        <w:t xml:space="preserve">. Aynı zamanda bireyselleşme eğilimi, bu neslin karakteristik özelliklerinden biri olarak öne çıkmaktadır; Z kuşağı bireyleri, kişisel tercihlere ve özgünlüklere büyük önem vermekte, geleneksel otorite figürlerine karşı daha eleştirel bir yaklaşım sergilemektedir </w:t>
      </w:r>
      <w:r w:rsidRPr="005500AB">
        <w:fldChar w:fldCharType="begin"/>
      </w:r>
      <w:r w:rsidRPr="005500AB">
        <w:instrText xml:space="preserve"> ADDIN ZOTERO_ITEM CSL_CITATION {"citationID":"2OD4tf3L","properties":{"formattedCitation":"(Akg\\uc0\\u252{}l, 2022)","plainCitation":"(Akgül, 2022)","noteIndex":0},"citationItems":[{"id":1017,"uris":["http://zotero.org/users/9822074/items/W9NAK3LS"],"itemData":{"id":1017,"type":"article-journal","abstract":"Bu araştırmanın amacı X, Y ve Z kuşağı bireylerinin toplumsal cinsiyet rollerine ilişkin tutumlarını karşılaştırmak, toplumsal cinsiyet rollerine ilişkin tutumda kuşaklar arasında bir farklılaşmanın olup olmadığını incelemektir. Bu amaç doğrultusunda Toplumsal Cinsiyet Rolleri Tutum Ölçeği kullanılmış olup ölçek; 84’ü X kuşağı, 208’i Y kuşağı ve 151’i Z kuşağında yer alan toplam 443 katılımcıya uygulanmıştır. Katılımcıların Toplumsal Cinsiyet Rolleri Tutum Ölçeğinin alt boyutları olan; eşitlikçi cinsiyet rolü, kadın cinsiyet rolü, evlilikte cinsiyet rolü, geleneksel cinsiyet rolü ve erkek cinsiyet rolüne ilişkin görüşleri incelendiğinde verilerin büyük bir çoğunluğunda X-Y ve X-Z kuşakları arasında istatistiksel olarak anlamlı bir fark (p&lt;0.05) olduğu saptanmıştır. Araştırma sonucunda X, Y ve Z kuşağında yer alan bireylerin genel olarak eşitlikçi cinsiyet anlayışına sahip olduğu gözlemlenmiş olmakla birlikte, X kuşağı katılımcılarının Y ve Z kuşağı katılımcılarına göre daha geleneksel bir anlayışa sahip oldukları görülmektedir. Araştırma sonuçları, kuşaklara yönelik toplumsal cinsiyete ilişkin bakış açılarını ortaya koymasından ve bu yönde çalışmaların literatürde sınırlı olmasından dolayı önem taşımaktadır.","container-title":"International Journal of Educational Spectrum","DOI":"10.47806/ijesacademic.1039180","ISSN":"2667-5870","issue":"1","journalAbbreviation":"IJES","language":"tr","note":"number: 1\npublisher: Hakan ULUM","page":"31-42","source":"dergipark.org.tr","title":"X, Y ve Z kuşağı bireylerinin toplumsal cinsiyet rollerine ilişkin tutumlarının incelenmesi","volume":"4","author":[{"family":"Akgül","given":"Hanife"}],"issued":{"date-parts":[["2022"]]}}}],"schema":"https://github.com/citation-style-language/schema/raw/master/csl-citation.json"} </w:instrText>
      </w:r>
      <w:r w:rsidRPr="005500AB">
        <w:fldChar w:fldCharType="separate"/>
      </w:r>
      <w:r w:rsidRPr="005500AB">
        <w:t>(Akgül, 2022)</w:t>
      </w:r>
      <w:r w:rsidRPr="005500AB">
        <w:fldChar w:fldCharType="end"/>
      </w:r>
      <w:r w:rsidRPr="005500AB">
        <w:t xml:space="preserve">. Bununla birlikte, sürekli çevrimiçi olma hali, bu kuşağın dikkat süresi ve derinlemesine düşünme becerileri üzerinde belirli etkiler bırakmakta, bu durum eğitim ve manevi gelişim süreçlerini de doğrudan etkilemektedir </w:t>
      </w:r>
      <w:r w:rsidRPr="005500AB">
        <w:fldChar w:fldCharType="begin"/>
      </w:r>
      <w:r w:rsidRPr="005500AB">
        <w:instrText xml:space="preserve"> ADDIN ZOTERO_ITEM CSL_CITATION {"citationID":"sQKpm4J5","properties":{"formattedCitation":"(Bayrak &amp; Ery\\uc0\\u252{}cel, 2024)","plainCitation":"(Bayrak &amp; Eryücel, 2024)","noteIndex":0},"citationItems":[{"id":1013,"uris":["http://zotero.org/users/9822074/items/RIC4XTFH"],"itemData":{"id":1013,"type":"article-journal","abstract":"Kuşak kavramı toplumun aynı zaman diliminde meydana getirdiği akran grubu olarak tanımlanmaktadır. Kuşak ayrımı konusunda yapılan çalışmalar, Z kuşağını 1995 ve sonrası doğanlar olarak belirlemektedir. Bilinçli farkındalık burada ve şimdi olana yargısız şekilde dikkatini vermek ve deneyimi olduğu gibi kabul etmektir. Yaşamın anlamı ise bireyin varoluşunun anlamı ve bir anlama yönelik arayışı olarak tanımlanmaktadır. Mâneviyat, bireyin yaşamı boyunca kutsalıanlamanın ve kutsal ile ilişki kurmanın yeni yollarını keşfettiği ruhsal bir arayış sürecidir. Teknoloji nesli olan Z kuşağında pek çok olumlu psikolojik değişken ile ilişki olan yaşamda anlam bilinçli farkındalık ve mânevî kaynaklar arasındaki ilişkinin incelenmesi araştırmanın amacını oluşturmaktadır. Araştırmanın katılımcıları Akdeniz Üniversitesinde öğrenim gören bireylerden tesadüfi yöntemle seçilen 500 öğrencidir. Araştırmada bilinçli farkındalık düzeyini ölçmek üzere Brown ve Ryan tarafından geliştirilen, Özyeşil, Arslan, Kesici ve Deniz tarafından Türkçeye uyarlanan Bilinçli Farkındalık Ölçeği kullanılmıştır. Yaşamın anlamı değişkeni için ise Steger ve arkadaşları tarafından geliştirilen, Yarar tarafından Türkçeye uyarlanan Yaşamın Anlamı Ölçeği tercih edilmiştir. Son olarak mânevî kaynaklar değişkeni için Westbrook ve arkadaşları tarafından geliştirilen, Ekşi ve arkadaşları tarafından Türkçeye uyarlanan Mânevî Kaynaklar Ölçeğinden yararlanılmıştır. Verilerin istatistiksel analizi SPSS 26 ile yapılmıştır. Araştırma bulgularına göre bilinçli farkındalık, yaşamın anlamı ve mânevî kaynaklar arasında pozitif yönde anlamlı ilişki bulunmuştur.","container-title":"İlahiyat Tetkikleri Dergisi","DOI":"10.29288/ilted.1415755","ISSN":"2458-7508, 2602-3946","issue":"61","journalAbbreviation":"ilted","language":"tr","note":"number: 61\npublisher: Atatürk Üniversitesi","page":"141-151","source":"dergipark.org.tr","title":"Z Kuşağında Bilinçli Farkındalık, Yaşamın Anlamı ve Manevi Kaynaklar","author":[{"family":"Bayrak","given":"Emine"},{"family":"Eryücel","given":"Sema"}],"issued":{"date-parts":[["2024"]]}}}],"schema":"https://github.com/citation-style-language/schema/raw/master/csl-citation.json"} </w:instrText>
      </w:r>
      <w:r w:rsidRPr="005500AB">
        <w:fldChar w:fldCharType="separate"/>
      </w:r>
      <w:r w:rsidRPr="005500AB">
        <w:t>(Bayrak &amp; Eryücel, 2024)</w:t>
      </w:r>
      <w:r w:rsidRPr="005500AB">
        <w:fldChar w:fldCharType="end"/>
      </w:r>
      <w:r w:rsidRPr="005500AB">
        <w:t>. Dolayısıyla, Z kuşağının manevi eğitimi bağlamında, onların dijital alışkanlıklarını ve bireysel eğilimlerini dikkate alan yenilikçi yaklaşımların geliştirilmesi gerekmektedir.</w:t>
      </w:r>
    </w:p>
    <w:p w14:paraId="3ABA603A" w14:textId="77777777" w:rsidR="008003D6" w:rsidRPr="005500AB" w:rsidRDefault="008003D6" w:rsidP="008003D6">
      <w:pPr>
        <w:widowControl/>
        <w:autoSpaceDE/>
        <w:autoSpaceDN/>
        <w:jc w:val="both"/>
      </w:pPr>
    </w:p>
    <w:p w14:paraId="773D885D" w14:textId="77777777" w:rsidR="005500AB" w:rsidRPr="005500AB" w:rsidRDefault="005500AB" w:rsidP="008003D6">
      <w:pPr>
        <w:widowControl/>
        <w:autoSpaceDE/>
        <w:autoSpaceDN/>
        <w:jc w:val="both"/>
        <w:rPr>
          <w:b/>
        </w:rPr>
      </w:pPr>
      <w:r w:rsidRPr="005500AB">
        <w:rPr>
          <w:b/>
        </w:rPr>
        <w:t xml:space="preserve">2.2. Manevi Eğitim Kavramı ve Önemi </w:t>
      </w:r>
    </w:p>
    <w:p w14:paraId="0EA55631" w14:textId="77777777" w:rsidR="005500AB" w:rsidRDefault="005500AB" w:rsidP="008003D6">
      <w:pPr>
        <w:widowControl/>
        <w:autoSpaceDE/>
        <w:autoSpaceDN/>
        <w:jc w:val="both"/>
      </w:pPr>
      <w:r w:rsidRPr="005500AB">
        <w:t xml:space="preserve">Manevi eğitim, bireyin ahlaki değerler ve ruhsal olgunluk kazanmasına yönelik bir süreç olarak, bireysel ve toplumsal yaşamda önemli bir yere sahiptir. Bu süreç, bireyin etik ilkeler doğrultusunda kararlar alabilen, sorumluluk bilinci gelişmiş ve topluma katkı sağlayan bir birey olmasını hedefler </w:t>
      </w:r>
      <w:r w:rsidRPr="005500AB">
        <w:fldChar w:fldCharType="begin"/>
      </w:r>
      <w:r w:rsidRPr="005500AB">
        <w:instrText xml:space="preserve"> ADDIN ZOTERO_ITEM CSL_CITATION {"citationID":"7Cz8uOFP","properties":{"formattedCitation":"(Meydan, 2015)","plainCitation":"(Meydan, 2015)","noteIndex":0},"citationItems":[{"id":943,"uris":["http://zotero.org/users/9822074/items/4N7NATDB"],"itemData":{"id":943,"type":"book","edition":"1.","event-place":"İstanbul","ISBN":"978-605-4036-61-5","publisher":"Dem Yayınları","publisher-place":"İstanbul","title":"Din Eğitiminde Manevi Boyut","author":[{"family":"Meydan","given":"Hasan"}],"issued":{"date-parts":[["2015"]]}}}],"schema":"https://github.com/citation-style-language/schema/raw/master/csl-citation.json"} </w:instrText>
      </w:r>
      <w:r w:rsidRPr="005500AB">
        <w:fldChar w:fldCharType="separate"/>
      </w:r>
      <w:r w:rsidRPr="005500AB">
        <w:t>(Meydan, 2015)</w:t>
      </w:r>
      <w:r w:rsidRPr="005500AB">
        <w:fldChar w:fldCharType="end"/>
      </w:r>
      <w:r w:rsidRPr="005500AB">
        <w:t xml:space="preserve">. Özellikle erken çocukluk döneminde başlayan manevi eğitim, bireyin kimlik oluşumu ve değerler sisteminin temellerini atmada belirleyici bir rol oynar </w:t>
      </w:r>
      <w:r w:rsidRPr="005500AB">
        <w:fldChar w:fldCharType="begin"/>
      </w:r>
      <w:r w:rsidRPr="005500AB">
        <w:instrText xml:space="preserve"> ADDIN ZOTERO_ITEM CSL_CITATION {"citationID":"1MqiMUZF","properties":{"formattedCitation":"(Tosun &amp; Y\\uc0\\u305{}ld\\uc0\\u305{}z, 2019; U\\uc0\\u231{}ar &amp; Sezgin, 2023)","plainCitation":"(Tosun &amp; Yıldız, 2019; Uçar &amp; Sezgin, 2023)","noteIndex":0},"citationItems":[{"id":1021,"uris":["http://zotero.org/users/9822074/items/D6PCY6I7"],"itemData":{"id":1021,"type":"article-journal","abstract":"Erken çocukluk döneminde din ve ahlak eğitimi ile ilgili uygulamalar ülkemizde ve dünyada çeşitli açılardan tartışılmaktadır. Söz konusu tartışmaların odağında hem bu tür bir eğitimin imkânı hem de içeriği yer almaktadır. Farklı ülkelerde uzun yıllardır uygulanmakta olan erken çocukluk dönemi din eğitimi yaklaşımlarının etki alanlarını ve uygulama sonuçlarını ortaya koymanın bu tartışmalara farklı bir bakış açısı kazandırması kaçınılmazdır. Bu bağlamda makalenin amacı dünyada uygulanmakta olan The Good Shepherd, The Godly Play, The Gift to the Child ve Waldorf yaklaşımının ahlak eğitimi ile ilgili boyutunu, gelişim özellikleri, din eğitimi yaklaşımları, öğrenme ortamları, yöntem, materyal, yaş, içerik ve değerlendirme açılarından karşılaştırmaktır. Erken çocuklukta din eğitimi teorilerini kıyaslamayı amaçlayan bu makale doküman incelemesi yöntemiyle hazırlanmıştır. Yaklaşımlar incelendiğinde; tamamının oyun ve eğitsel oyuncakları öğretimin merkezine alarak kişilerarası iletişim, doğa ve toplum bilinci gibi konulara odaklandıkları görülmektedir. Godly Play ve The Good Shepherd yöntemleri belli bir dine ait temel hikaye ve özellikleri aktarmaları bakımından dini öğrenme yaklaşımına uygunken; The Gift to the Child ve Waldorf yaklaşımları ise herhangi bir dini öğretiyi benimsememeleri yönüyle dinden öğrenme yaklaşımına uygun gibi görünmektedir. Godly Play ve The Good Shepherd yöntemlerinde materyal ve yöntemlerin Montessori yaklaşımına uygun olarak belirlendiği görülürken, The Gift to the Child ve Waldorf herhangi bir yaklaşıma bağlılık göstermez.","container-title":"Amasya İlahiyat Dergisi","DOI":"10.18498/amailad.539556","ISSN":"2667-7326, 2667-6710","issue":"12","language":"tr","note":"number: 12\npublisher: Amasya Üniversitesi","page":"121-151","source":"dergipark.org.tr","title":"Erken Çocukluk Dönemi Din Eğitimi Yaklaşımları Üzerine Karşılaştırmalı Bir Analiz","author":[{"family":"Tosun","given":"Aybiçe"},{"family":"Yıldız","given":"Kübra"}],"issued":{"date-parts":[["2019"]]}}},{"id":1019,"uris":["http://zotero.org/users/9822074/items/CS5LHKJW"],"itemData":{"id":1019,"type":"article-journal","abstract":"Birey yaşamı boyunca bebeklik döneminden başlayarak bilişsel, duyuşsal ve psikososyal olarak değişim evrelerine sahiptir. Bunlardan en önemlisi ve birey yaşamının diğer tüm aşamalarını da etkileyen bebeklik ve erken çocukluk dönemidir. Erken çocukluk, çocukluğun ilk yıllarından başlayarak okulöncesi evresinin tamamını kapsamaktadır. 0 - 72 ayı kapsayan bu evrede bireyin fiziksel, sosyal, duygusal ve zihinsel gelişiminin en hızlı olduğu bilinmektedir. Son dönemde tüm dünyada olduğu gibi ve Türkiye’de de okulöncesi bireylerin eğitiminin önemi gözeltilmeye başlanmış, nicelik ve nitelik bakımından okul öncesi eğitim geliştirilmeye çalışılmıştır. Bu dönemdeki bireylerin duygusal gelişimleri ve manevi bir takım ihtiyaçları da göz önüne alınarak Ratcliff ve Damon’ın çalışmaları incelendiğinde erken çocukluk dönemi maneviyatının biyolojik bir gerçek olduğu ortaya konmuştur. Ayrıca Fowler, Oser ve Elkind’in araştırmalarına bakıldığında yine aynı dönemin manevi gelişim basamaklarının detaylarının açığa çıkarıldığı bilinmektedir. Böylelikle erken çocukluk dönemi bireyleri için din eğitiminin varlığı ve zorunluluğu akademik zemine oturtulmuştur. Erken çocukluk dönemi eğitim yaklaşımları incelendiğinde Montessori önemli bir isim olarak göze çarpmaktadır. Doktor olmasının yanı sıra eğitimci kimliğiyle de ön plana çıkan Montessori, özellikle erken çocukluk dönemi bireyleri için geliştirdiği eğitim yaklaşımıyla tüm dünyada yankı uyandırmıştır. Ona göre erken çocukluk dönemi kritik dönem kabul edilmekle birlikte 0-3 (bilinçaltı gelişimi) ve 3-6 yaş (bilinç gelişimi) aralıklarına tekabül etmektedir. Bu dönemde edinilen tüm kazanımların bireyin sonraki evrelerdeki yaşamını etkilediğini bilimsel olarak ortaya koyan Montessori, geliştirdiği eğitim yaklaşımıyla bu yaş aralıklarındaki bireylerin kazanımlarını zenginleştirmeye çalışmıştır. Montessori açtığı eğitim kurumlarıyla, geliştirdiği materyallerle, öğretmenlere yönelik oluşturduğu kurslarla, kendi klinik psikoloji deneysel çalışmalarını eğitim bilimlerine entegre eden araştırma yöntemleriyle eğitime farklı bir bakış açısı getirerek döneminin tek düze yaklaşımlarından ve geleneksel eğitim anlayışından sıyrılmayı başarmıştır. Yine Montessori bireyin erken çocukluk döneminde manevi gelişiminin var olduğuna inanarak bu evredeki gelişimsel ihtiyaçlarının karşılanması gerektiğine vurgu yapmıştır. Manevi gelişimi, Tanrı’yla olan ilişki ve ahlaki gelişim bağlamında ele alan Montessori, bu dönemdeki bireylerin din eğitimine de farklı bir bakış açısı getirmiştir. Bu araştırmanın amacı erken çocukluk dönemi çocuğu için Montessori’nin din eğitimi anlayışını incelemektir. Montessori eğitim metodu Türkiye’deki eğitim bilimleri çalışmalarında etkili bir şekilde kullanılmış, hem teori hem de uygulamalı araştırmalara konu olmuştur. Ancak Türkiye’de yapılan bilimsel çalışmalarda Montessori’nin din eğitimi anlayışının aynı oranda dikkate alınmadığı göze çarpmaktadır. Bu araştırma Montessori’nin erken çocukluk dönemi din eğitimi metodunu doğrudan kendi eserlerinden ve bazı yorumcularının eserlerinden hareketle teorik olarak ele almaktadır. Çalışmada birincil kaynaklara ulaşılmaya gayret edilmiş daha sonra ilgili kitap, makale ve tezlere yer verilmiştir. Montessori’nin erken çocukluk dönemi din eğitimi anlayışı nitel araştırma yöntemlerinden döküman analizine tabi tutularak incelenmiştir. Montessori eğitimi metodunun genel ilkeleri için temalara ayrılarak kategoriler oluşturulup, bu temalara uygun belirli başlıklar altında incelemeye tabi tutulmuştur. Bu araştırmanın sonucunda, Montessori erken çocukluk dönemi eğitim yaklaşımının çağdaş eğitim sistemine uygunluk gösterdiği görülmüştür. Montessori’de erken çocukluk dönemi din eğitimi anlayışının Montessori eğitimi metoduna paralelliği doğrultusunda Montessori metodunda kullanılan tüm unsurlar ve ilkelerin Montessori’nin din eğitimi yaklaşımında kullanıldığından hareketle çağdaş din eğitimi yaklaşımlarına da uygunluk gösterdiği sonucuna ulaşılmıştır.","container-title":"Marife Dini Araştırmalar Dergisi","DOI":"10.33420/marife.1185650","ISSN":"2630-5550","issue":"1","journalAbbreviation":"Marife","language":"tr","note":"number: 1\npublisher: Yediveren Kitap","page":"235-259","source":"marife.org","title":"Montessori’de Erken Çocukluk Dönemi Din Eğitimi","volume":"23","author":[{"family":"Uçar","given":"Recep"},{"family":"Sezgin","given":"Şeyma"}],"issued":{"date-parts":[["2023"]]}}}],"schema":"https://github.com/citation-style-language/schema/raw/master/csl-citation.json"} </w:instrText>
      </w:r>
      <w:r w:rsidRPr="005500AB">
        <w:fldChar w:fldCharType="separate"/>
      </w:r>
      <w:r w:rsidRPr="005500AB">
        <w:t>(Tosun &amp; Yıldız, 2019; Uçar &amp; Sezgin, 2023)</w:t>
      </w:r>
      <w:r w:rsidRPr="005500AB">
        <w:fldChar w:fldCharType="end"/>
      </w:r>
      <w:r w:rsidRPr="005500AB">
        <w:t xml:space="preserve">. Bu bağlamda, manevi eğitimin sadece bireysel gelişimle sınırlı kalmayıp, aynı zamanda toplumsal barış ve dayanışmanın güçlenmesine de katkıda bulunduğu söylenebilir </w:t>
      </w:r>
      <w:r w:rsidRPr="005500AB">
        <w:fldChar w:fldCharType="begin"/>
      </w:r>
      <w:r w:rsidRPr="005500AB">
        <w:instrText xml:space="preserve"> ADDIN ZOTERO_ITEM CSL_CITATION {"citationID":"XYMxLdOB","properties":{"formattedCitation":"(H. Y\\uc0\\u305{}lmaz, 2001)","plainCitation":"(H. Yılmaz, 2001)","noteIndex":0},"citationItems":[{"id":1023,"uris":["http://zotero.org/users/9822074/items/4NPPDEQJ"],"itemData":{"id":1023,"type":"article-journal","container-title":"Cumhuriyet Üniversitesi İlahiyat Fakültesi Dergisi","issue":"2","page":"329-356","title":"Yaygın Din Eğitimi Kurumları ve Toplumsal Barış","volume":"5","author":[{"family":"Yılmaz","given":"Hüseyin"}],"issued":{"date-parts":[["2001"]]}}}],"schema":"https://github.com/citation-style-language/schema/raw/master/csl-citation.json"} </w:instrText>
      </w:r>
      <w:r w:rsidRPr="005500AB">
        <w:fldChar w:fldCharType="separate"/>
      </w:r>
      <w:r w:rsidRPr="005500AB">
        <w:t>(H. Yılmaz, 2001)</w:t>
      </w:r>
      <w:r w:rsidRPr="005500AB">
        <w:fldChar w:fldCharType="end"/>
      </w:r>
      <w:r w:rsidRPr="005500AB">
        <w:t xml:space="preserve">. Manevi eğitimin, bireylerin hayatlarına anlam katma, empati geliştirme ve etik sorumluluklarını fark etme süreçlerini desteklediği göz önüne alındığında </w:t>
      </w:r>
      <w:r w:rsidRPr="005500AB">
        <w:fldChar w:fldCharType="begin"/>
      </w:r>
      <w:r w:rsidRPr="005500AB">
        <w:instrText xml:space="preserve"> ADDIN ZOTERO_ITEM CSL_CITATION {"citationID":"LWKjO7tG","properties":{"formattedCitation":"(Artuk &amp; Balsak, 2024)","plainCitation":"(Artuk &amp; Balsak, 2024)","noteIndex":0},"citationItems":[{"id":1024,"uris":["http://zotero.org/users/9822074/items/8KR25HBZ"],"itemData":{"id":1024,"type":"chapter","container-title":"Manevi Danışmanlık ve Rehberlikte Farklı Yaklaşımlar","event-place":"Ankara","ISBN":"978-625-378-160-6","page":"103-140","publisher":"İksad Publishing House","publisher-place":"Ankara","title":"Ergenlerde Psikolojik Sağlamlık ve Maneviyat İlişkisinin İncelenmesi","author":[{"family":"Artuk","given":"Sami"},{"family":"Balsak","given":"Fuat"}],"editor":[{"family":"Balsak","given":"Fuat"}],"issued":{"date-parts":[["2024"]]}}}],"schema":"https://github.com/citation-style-language/schema/raw/master/csl-citation.json"} </w:instrText>
      </w:r>
      <w:r w:rsidRPr="005500AB">
        <w:fldChar w:fldCharType="separate"/>
      </w:r>
      <w:r w:rsidRPr="005500AB">
        <w:t>(Artuk &amp; Balsak, 2024)</w:t>
      </w:r>
      <w:r w:rsidRPr="005500AB">
        <w:fldChar w:fldCharType="end"/>
      </w:r>
      <w:r w:rsidRPr="005500AB">
        <w:t>, bu eğitimin planlı ve sistemli bir şekilde uygulanmasının gerekliliği daha da belirgin hale gelmektedir.</w:t>
      </w:r>
    </w:p>
    <w:p w14:paraId="539DB23B" w14:textId="77777777" w:rsidR="008003D6" w:rsidRPr="005500AB" w:rsidRDefault="008003D6" w:rsidP="008003D6">
      <w:pPr>
        <w:widowControl/>
        <w:autoSpaceDE/>
        <w:autoSpaceDN/>
        <w:jc w:val="both"/>
      </w:pPr>
    </w:p>
    <w:p w14:paraId="77E859C2" w14:textId="77777777" w:rsidR="005500AB" w:rsidRPr="005500AB" w:rsidRDefault="005500AB" w:rsidP="008003D6">
      <w:pPr>
        <w:widowControl/>
        <w:autoSpaceDE/>
        <w:autoSpaceDN/>
        <w:jc w:val="both"/>
        <w:rPr>
          <w:b/>
        </w:rPr>
      </w:pPr>
      <w:r w:rsidRPr="005500AB">
        <w:rPr>
          <w:b/>
        </w:rPr>
        <w:t xml:space="preserve">2.3. Z Kuşağında Manevi Gelişim Dinamikleri </w:t>
      </w:r>
    </w:p>
    <w:p w14:paraId="27C85E04" w14:textId="77777777" w:rsidR="005500AB" w:rsidRDefault="005500AB" w:rsidP="008003D6">
      <w:pPr>
        <w:widowControl/>
        <w:autoSpaceDE/>
        <w:autoSpaceDN/>
        <w:jc w:val="both"/>
      </w:pPr>
      <w:r w:rsidRPr="005500AB">
        <w:t xml:space="preserve">Z kuşağının manevi gelişim dinamikleri, modern çağın getirdiği değişimlerle birlikte farklı bir boyut kazanmıştır. Geleneksel dini eğitim yöntemleri, bu kuşağın beklentilerini ve ihtiyaçlarını tam anlamıyla karşılamakta yetersiz kalabilmektedir. Bunun temel sebeplerinden biri, Z kuşağının teknolojiyle iç içe büyümüş olması ve bilgiye erişim noktasında dijital araçları yoğun bir şekilde kullanmasıdır. Bu bağlamda, manevi eğitim süreçlerinde yeni nesil teknolojilerin etkin bir şekilde kullanılması kaçınılmaz bir gereklilik haline gelmiştir. Örneğin, dijital platformlar, mobil uygulamalar ve sanal gerçeklik gibi araçlar, manevi konuların daha interaktif ve erişilebilir bir şekilde aktarılmasına olanak tanıyabilir </w:t>
      </w:r>
      <w:r w:rsidRPr="005500AB">
        <w:fldChar w:fldCharType="begin"/>
      </w:r>
      <w:r w:rsidRPr="005500AB">
        <w:instrText xml:space="preserve"> ADDIN ZOTERO_ITEM CSL_CITATION {"citationID":"pG4LZu2u","properties":{"formattedCitation":"(Bayram, 2023)","plainCitation":"(Bayram, 2023)","noteIndex":0},"citationItems":[{"id":1025,"uris":["http://zotero.org/users/9822074/items/JT7T5ZMY"],"itemData":{"id":1025,"type":"thesis","abstract":"Geçmişten günümüze kadar gelen her bir yenilik, yeni bir dönemin başlangıcını simgelemiştir. Metaverse de, teknoloji alanında bir yenilik ve geleceğin teknolojisi olarak hem dünya düzeninde hem de insan hayatında yeni bir dönemi başlatacak olan oldukça radikal bir gelişmedir. Çünkü Metaverse, insanların şu ana kadarki sanal dünyalar ile olan ilişkisini farklı bir boyuta taşımayı planlamaktadır. Bu noktada bu çalışma da, insanlar için Metaverse' ün ne anlam ifade ettiğinin, onu nasıl algıladıklarının, ona karşı nasıl bir tutum sergilediklerinin bilinmesi açısından önem taşımaktadır.Bu kapsamda, Metaverse'e yönelik algılarının ortaya çıkarılması, bakış açılarında farklılıklar olup olmadığının tespit edilmesi ve varsa farklılıkların keşfedilmesi amaçlanarak, kuşakları ele alan bir çalışma gerçekleştirilmiştir. Kuşaklar arasından, teknolojik gelişmelerin ve değişimlerin daha yavaş olduğu dönemlerden günümüze kadar olan sürece ve teknoloji kullanımına hâkim olan Y kuşağı ile modern teknolojilerde daha aktif olduğu varsayılan, gelecek teknolojileri yaşayacak olan Z kuşağında yer alan bireyler hedeflenmiştir.Çalışmada nitel araştırma türlerinden durum çalışması, nitel araştırma veri toplama yöntemlerinde de derinlemesine mülakat yöntemi kullanılmış olup 50 kişi ile görüşme gerçekleştirilmiştir. Araştırma sonucunda her iki kuşağında, Metaverse'e yönelik hem kavramsal hem de genel algılarında, bazı durumlar kapsamında görüş benzerliklerine rastlanmıştır. Bununla birlikte, genel anlamda Y kuşağının Z kuşağına göre Metaverse'e karşı görece olarak biraz daha çekimser bir tavırda olduğu, daha fazla olumsuz görüşe sahip olduğu ve daha kaygılı olduğu gözlenmiştir. Aynı zamanda her iki kuşağında Metaverse'ü deneme eğilimlerin birbirlerine yakın olduğu ancak teknolojiyi benimseme eğilimi açısından ise Z kuşağının potansiyel olarak daha fazla eğilime sahip olduğu söylenebilir.","event-place":"Antalya","genre":"Yüksek Lisans Tezi","language":"tur","license":"info:eu-repo/semantics/openAccess","note":"Accepted: 2025-01-16T11:24:08Z\njournalAbbreviation: A research on examining consumer perceptions towards metaverse: Generations Y and Z","publisher":"Alanya Alaaddin Keykubat Üniversitesi Lisansüstü Eğitim Enstitüsü","publisher-place":"Antalya","source":"acikerisim.alanya.edu.tr","title":"Metaverse'e yönelik tüketici algılarının incelenmesi üzerine bir araştırma: Y ve Z kuşakları","title-short":"Metaverse'e yönelik tüketici algılarının incelenmesi üzerine bir araştırma","URL":"http://acikerisim.alanya.edu.tr/xmlui/handle/20.500.12868/2544","author":[{"family":"Bayram","given":"Feyza"}],"accessed":{"date-parts":[["2025",1,30]]},"issued":{"date-parts":[["2023"]]}}}],"schema":"https://github.com/citation-style-language/schema/raw/master/csl-citation.json"} </w:instrText>
      </w:r>
      <w:r w:rsidRPr="005500AB">
        <w:fldChar w:fldCharType="separate"/>
      </w:r>
      <w:r w:rsidRPr="005500AB">
        <w:t>(Bayram, 2023)</w:t>
      </w:r>
      <w:r w:rsidRPr="005500AB">
        <w:fldChar w:fldCharType="end"/>
      </w:r>
      <w:r w:rsidRPr="005500AB">
        <w:t xml:space="preserve">. Ayrıca, bu süreçte bireyselleşmenin ön planda olduğu Z kuşağı için kişiselleştirilmiş öğrenme deneyimleri sunulması da önem arz etmektedir </w:t>
      </w:r>
      <w:r w:rsidRPr="005500AB">
        <w:fldChar w:fldCharType="begin"/>
      </w:r>
      <w:r w:rsidRPr="005500AB">
        <w:instrText xml:space="preserve"> ADDIN ZOTERO_ITEM CSL_CITATION {"citationID":"2geOtxe4","properties":{"formattedCitation":"(Ard\\uc0\\u305{}\\uc0\\u231{} &amp; Altun, 2017)","plainCitation":"(Ardıç &amp; Altun, 2017)","noteIndex":0},"citationItems":[{"id":1027,"uris":["http://zotero.org/users/9822074/items/Y6SM3IE2"],"itemData":{"id":1027,"type":"article-journal","abstract":"Aynı yıllarda doğup, aynı çağın koşullarında, benzer toplumsal olayları, sıkıntıları, yükümlülükleri yaşamış kişiler topluluğunu tanımlamak için kuşak kavramı kullanılmaktadır. Kuşak oluşumu genellikle yaş ve sosyolojik olgulara göre sınıflandırılmaktadır. Bu sınıflandırma geçmişte sosyologların kuşakları sınıflandırırken nitelikli çalışmalar yapmalarında yardımcı olmuştur. Ancak günümüzde teknoloji, farklılaşan toplumsal değerler, değişen kariyer algıları, eğitim, çalışma koşulları gibi etkenler sınıflandırmanın farklı boyutlara göre değerlendirilmesinin gerekliliğini de ortaya çıkarmaktadır. Bu çalışmanın amacı, sınıflandırılan bu kuşakları pedagojik açıdan incelemektir. Özellikle dijital çağın öğreneni olarak da adlandırabileceğimiz Z Kuşağı öğreneninin davranışlarına dair çeşitli genellemeler ortaya çıkarmaktır. Bu araştırmada nitel araştırma yaklaşımı benimsenmiştir. Araştırmada tarama modeli kullanılmıştır. Ortaya çıkan bulgular ışığında dijital çağın öğreneninin özellikleri genel olarak belirlenmeye çalışılmış, ayrıca Sosyal Bilgiler eğitimi bağlamında da değerlendirilmiştir. Edinilen bulgular arasında dijital çağın öğrencilerinin teknolojiyi kişisel yaşam alanlarında aktif kullanmalarının yanı sıra, araştırma, öğrenme, bilgi edinme, yaratıcılık, yenilik, kariyer ve teknoloji becerilerini geliştirmek amacıyla kullandıkları da görülmektedir. Teknoloji ile günlük yaşamında iç içe olma, teknolojiyi etkin kullanma, sosyal medyada aktif olarak var olma, kısaca; teknoloji konusunda oldukça fazla bilgi ve beceriye sahip bireyler olmaları bu öğrencilerin en belirgin özellikleridir. Öğrenciler teknolojiyi bir sosyalleşme aracı olarak kullandıkları gibi öğrenme etkinliklerinde de kullanmaktadır. Çalışmada elde edilen diğer sonuç ise Sosyal Bilgiler öğrenme alanlarının, beceri ve değerlerinin dijital çağın öğrenci özelliklerini destekleyecek içeriklere sahip olmasıdır. Öğrencilerin yaratıcılıklarını destekleyecek uygulamalara yönlendirilmeleri, eğitim ortamlarında kullanılmak üzere içerik açısından zengin dijital eğitim materyalleri hazırlanması getirilen öneriler arasındadır.","container-title":"Uluslararası Sosyal Bilgilerde Yeni Yaklaşımlar Dergisi","ISSN":"2618-5725","issue":"1","journalAbbreviation":"IJONASS","language":"scheme=\"ISO639-1\"","note":"number: 1\npublisher: Hakan AKDAĞ","page":"12-30","source":"dergipark.org.tr","title":"Dijital Çağın Öğreneni","volume":"1","author":[{"family":"Ardıç","given":"Ebru"},{"family":"Altun","given":"Adnan"}],"issued":{"date-parts":[["2017"]]}}}],"schema":"https://github.com/citation-style-language/schema/raw/master/csl-citation.json"} </w:instrText>
      </w:r>
      <w:r w:rsidRPr="005500AB">
        <w:fldChar w:fldCharType="separate"/>
      </w:r>
      <w:r w:rsidRPr="005500AB">
        <w:t>(Ardıç &amp; Altun, 2017)</w:t>
      </w:r>
      <w:r w:rsidRPr="005500AB">
        <w:fldChar w:fldCharType="end"/>
      </w:r>
      <w:r w:rsidRPr="005500AB">
        <w:t xml:space="preserve">. Manevi gelişimin sadece geleneksel ritüellerle değil, aynı zamanda etik değerler, toplumsal sorumluluk ve anlam arayışı gibi unsurları da kapsaması gerektiği göz önüne alındığında </w:t>
      </w:r>
      <w:r w:rsidRPr="005500AB">
        <w:fldChar w:fldCharType="begin"/>
      </w:r>
      <w:r w:rsidRPr="005500AB">
        <w:instrText xml:space="preserve"> ADDIN ZOTERO_ITEM CSL_CITATION {"citationID":"yTdjubai","properties":{"formattedCitation":"(Karsl\\uc0\\u305{}, 2021)","plainCitation":"(Karslı, 2021)","noteIndex":0},"citationItems":[{"id":1029,"uris":["http://zotero.org/users/9822074/items/97B9D96K"],"itemData":{"id":1029,"type":"article-journal","abstract":"Günümüzde yaşadığımız pek çok bireysel ve toplumsal sorunun temelinde manevi-insani değerler eksikliği yatmaktadır. Değerler anlam, amaç, vicdan ve sorumluluk kabiliyetini kazandırarak bireyin diğerleri ve çevre ile olan ilişkilerinde kontrollü olmasına katkı sağlamaktadır. Bireye manevi insani değerler kazandıran en önemli olgulardan birisi dindir. Bu araştırmada üniversite öğrencilerinde manevi-insani değerler eğiliminin bazı demografik değişkenler ve dindarlık ile olan ilişkileri incelenmiştir. Araştırmada ölçme araçları olarak Manevi-İnsani Değerler Eğilimi Ölçeği ve Ok-Dini Tutum Ölçeği kullanılmıştır. Araştırmada elde edilen verilerin analizi sonucunda şu sonuçlar elde edilmiştir. Kadınların manevi-insani değerler eğilimi, dini tutum ve içsel dini motivasyon düzeyleri erkeklerinden anlamlı derecede daha yüksektir. İçedönüklerin manevi-insani değerler eğilimi, dini tutum ve içsel dini motivasyon düzeyleri dışadönüklerinkinden anlamlı derecede daha yüksektir. Araştırmada sevgi, saygı, duyarlılık, maneviyat değerleri ile dini tutum arasında pozitif ilişkiler tespit edilmiştir. Araştırma manevi-insani değerler eğilimi üzerinde dindarlığın çok önemli etkisinin olduğunu ortaya koymuştur.","container-title":"Ondokuz Mayıs Üniversitesi İlahiyat Fakültesi Dergisi","DOI":"10.17120/omuifd.891300","ISSN":"2587-1854","issue":"50","journalAbbreviation":"OMÜİFD","language":"tr","note":"number: 50\npublisher: Ondokuz Mayıs University","page":"143-174","source":"dergipark.org.tr","title":"Üniversite Öğrencilerinde Manevi-İnsani Değerler ve Dindarlık İlişkisi","author":[{"family":"Karslı","given":"Necmi"}],"issued":{"date-parts":[["2021"]]}}}],"schema":"https://github.com/citation-style-language/schema/raw/master/csl-citation.json"} </w:instrText>
      </w:r>
      <w:r w:rsidRPr="005500AB">
        <w:fldChar w:fldCharType="separate"/>
      </w:r>
      <w:r w:rsidRPr="005500AB">
        <w:t>(Karslı, 2021)</w:t>
      </w:r>
      <w:r w:rsidRPr="005500AB">
        <w:fldChar w:fldCharType="end"/>
      </w:r>
      <w:r w:rsidRPr="005500AB">
        <w:t xml:space="preserve">, bu kuşağa yönelik eğitim modellerinin çok boyutlu bir yaklaşımla tasarlanması gerekmektedir. </w:t>
      </w:r>
    </w:p>
    <w:p w14:paraId="0EF19625" w14:textId="77777777" w:rsidR="008003D6" w:rsidRDefault="008003D6" w:rsidP="008003D6">
      <w:pPr>
        <w:widowControl/>
        <w:autoSpaceDE/>
        <w:autoSpaceDN/>
        <w:jc w:val="both"/>
      </w:pPr>
    </w:p>
    <w:p w14:paraId="264382A0" w14:textId="77777777" w:rsidR="008003D6" w:rsidRDefault="008003D6" w:rsidP="008003D6">
      <w:pPr>
        <w:widowControl/>
        <w:autoSpaceDE/>
        <w:autoSpaceDN/>
        <w:jc w:val="both"/>
      </w:pPr>
    </w:p>
    <w:p w14:paraId="4AA99EE6" w14:textId="77777777" w:rsidR="008003D6" w:rsidRPr="005500AB" w:rsidRDefault="008003D6" w:rsidP="008003D6">
      <w:pPr>
        <w:widowControl/>
        <w:autoSpaceDE/>
        <w:autoSpaceDN/>
        <w:jc w:val="both"/>
      </w:pPr>
    </w:p>
    <w:p w14:paraId="4CCB8091" w14:textId="77777777" w:rsidR="005500AB" w:rsidRPr="005500AB" w:rsidRDefault="005500AB" w:rsidP="008003D6">
      <w:pPr>
        <w:widowControl/>
        <w:autoSpaceDE/>
        <w:autoSpaceDN/>
        <w:jc w:val="both"/>
        <w:rPr>
          <w:b/>
        </w:rPr>
      </w:pPr>
      <w:r w:rsidRPr="005500AB">
        <w:rPr>
          <w:b/>
        </w:rPr>
        <w:lastRenderedPageBreak/>
        <w:t xml:space="preserve">2.4. Dijital Çağın Z Kuşağı Üzerindeki Etkileri </w:t>
      </w:r>
    </w:p>
    <w:p w14:paraId="36100E99" w14:textId="77777777" w:rsidR="005500AB" w:rsidRDefault="005500AB" w:rsidP="008003D6">
      <w:pPr>
        <w:widowControl/>
        <w:autoSpaceDE/>
        <w:autoSpaceDN/>
        <w:jc w:val="both"/>
      </w:pPr>
      <w:r w:rsidRPr="005500AB">
        <w:t xml:space="preserve">Dijital çağ, Z kuşağının bilgiye erişim alışkanlıklarını köklü bir şekilde değiştirmiştir. İnternetin ve sosyal medya platformlarının yaygınlaşması, bu kuşağın dini bilgiye ulaşımını hızlandırmış ve çeşitlendirmiştir. Ancak, bu durum beraberinde bazı sorunları da getirmektedir. Özellikle bilgiye kolay erişim, çoğu zaman yüzeysel ve doğruluğu sorgulanmamış içeriklerin tüketilmesine yol açmaktadır </w:t>
      </w:r>
      <w:r w:rsidRPr="005500AB">
        <w:fldChar w:fldCharType="begin"/>
      </w:r>
      <w:r w:rsidRPr="005500AB">
        <w:instrText xml:space="preserve"> ADDIN ZOTERO_ITEM CSL_CITATION {"citationID":"cMJV83SP","properties":{"formattedCitation":"(Erten, 2019; \\uc0\\u304{}\\uc0\\u351{}liyen, 2020)","plainCitation":"(Erten, 2019; İşliyen, 2020)","noteIndex":0},"citationItems":[{"id":1033,"uris":["http://zotero.org/users/9822074/items/PXLN7ZRY"],"itemData":{"id":1033,"type":"article-journal","abstract":"Z kuşağının dijital teknolojiye yönelik tutumlarının nasıl değiştiğini belirlemek amacıyla farklı liselerde öğrenim gören öğrenciler üzerinde bu araştırma gerçekleştirilmiştir. Cinsiyet, ailenin gelir durumu, anne ve baba eğitim durumu değişkenleri aracılığıyla öğrencilerin dijital teknolojilere olan tutumlarını etkileyen faktörler, kullandıkları dijital araçlar ve hangi amaç doğrultusunda kullandıkları belirlenmiştir. Dijital teknolojiye yönelik öğrencilerin olumlu tutum sergiledikleri, ailelerin gelir düzeyleri ve eğitim seviyelerine bağlı olarak dijital teknolojiye yönelik tutumlarının değiştiği ve cinsiyetlerine göre herhangi değişim olmadığı belirlenmiştir. Öğrenciler, çoğunlukla akıllı cep telefonu, tablet, dizüstü bilgisayar kullandıklarını ifade etmişlerdir. Bu araçlarla öğrencilerin, müzik dinlemek ve indirmek, tv izlemek, internetten video izlemek ve indirmek, sosyal ağlarda gezinmek, internette gezinmek gibi etkinlikleri gerçekleştirdikleri ortaya çıkmıştır. Öğrenciler, dijital teknolojilerin hayatı kolaylaştırabildiği gibi amacına yönelik kullanılmadığında hayatı olumsuz yönde etkileyebileceği, bireyleri tembelliğe, hayal güçlerini köreltmeye ve bağımlılığa yol açacağı yönünde görüş belirtmişlerdir.","container-title":"Gümüşhane Üniversitesi Sosyal Bilimler Dergisi","ISSN":"1309-7423, 1309-7423","issue":"1","journalAbbreviation":"GUSBID","language":"tr","note":"number: 1\npublisher: Gümüşhane Üniversitesi","page":"190-202","source":"dergipark.org.tr","title":"Z Kuşağının Dijital Teknolojiye Yönelik Tutumları","volume":"10","author":[{"family":"Erten","given":"Pınar"}],"issued":{"date-parts":[["2019"]]}}},{"id":1031,"uris":["http://zotero.org/users/9822074/items/GXXSXP9C"],"itemData":{"id":1031,"type":"article-journal","abstract":"İçinde bulunduğumuz dijital çağ, internetin egemen olduğu bir dönemdir. Bu dönemin bir gereği olarak günümüz insanından beklenen, yeniliklere hızla uyum sağlaması, tüm gelişmelerden haberdar olması ve dünyada olup bitenleri takip etmesidir. Bu nedenle her an çevrimiçi olmak ve internete bağlı kalmak neredeyse hayati önem taşımaktadır. Bunun bir uzantısı olarak da internetin yeni yeni yaygınlaşmaya başladığı dönemlerde teknik bir duruma işaret eden internete ‘bağlanmak’ günümüzde vazgeçilmez bir tutkuyu ifade etmektedir. Dünya nüfusunun internetteki varlığı sürekli artış göstermekle birlikte internette geçirilen süre de her yıl fazlalaşmaktadır. Dolayısıyla internet her geçen yıl hayatımızı daha fazla etkilemektedir. İnternetin gündelik yaşam pratiklerimiz üzerindeki en derin etkilerinden biri hiç şüphesiz bilginin niceliğindeki artış ve niteliği üzerindeki dönüştürücü gücüdür. Bu çalışma ile dijitalleşmeye bağlı olarak bilginin internet çağındaki durumu irdelenmeye çalışılmıştır. Çalışmada Z kuşağı içinde yer alan üniversite öğrencileri ile nitel bir araştırma yöntemi olan odak grup çalışması gerçekleştirilmiştir. Çalışmada bilgi miktarındaki azami artış “infobezite” kavramı ile değerlendirilirken bilginin niteliksel değişimi ‘bağlamsızlık’ üzerinden tartışılmıştır. Elde edilen veriler ışığında görüşmecilerin bilgiye/enformasyona erişim noktasında öncelikli olarak interneti tercih ettikleri saptanmıştır. Bundaki en önemli etkenler ise internette bilgiye erişimin oldukça kolay olması ve ulaşılan bilgilerin ‘hap’ niteliğinde olmasıdır.","container-title":"Selçuk İletişim","ISSN":"2148-2942","issue":"1","journalAbbreviation":"JOSC","language":"tr","note":"number: 1\npublisher: Selcuk University","page":"246-272","source":"dergipark.org.tr","title":"Dijital Çağda Bilginin Değişen Niteliği ve İnfobezite: Z Kuşağı Üzerine Bir Odak Grup Çalışması","title-short":"DİJİTAL ÇAĞDA BİLGİNİN DEĞİŞEN NİTELİĞİ VE İNFOBEZİTE","volume":"13","author":[{"family":"İşliyen","given":"Fadime Şimşek"}],"issued":{"date-parts":[["2020"]]}}}],"schema":"https://github.com/citation-style-language/schema/raw/master/csl-citation.json"} </w:instrText>
      </w:r>
      <w:r w:rsidRPr="005500AB">
        <w:fldChar w:fldCharType="separate"/>
      </w:r>
      <w:r w:rsidRPr="005500AB">
        <w:t>(Erten, 2019; İşliyen, 2020)</w:t>
      </w:r>
      <w:r w:rsidRPr="005500AB">
        <w:fldChar w:fldCharType="end"/>
      </w:r>
      <w:r w:rsidRPr="005500AB">
        <w:t xml:space="preserve">. Bu, dini bilgilerin derinlemesine kavranmasını zorlaştırabilir ve bireylerin dini bağlarının zayıflamasına neden olabilir. Ayrıca, dijital ortamların anonim yapısı, bireylerin dini konularda daha fazla sorgulama yapmasına olanak tanırken, aynı zamanda yanlış yönlendirilme riskini de artırmaktadır </w:t>
      </w:r>
      <w:r w:rsidRPr="005500AB">
        <w:fldChar w:fldCharType="begin"/>
      </w:r>
      <w:r w:rsidRPr="005500AB">
        <w:instrText xml:space="preserve"> ADDIN ZOTERO_ITEM CSL_CITATION {"citationID":"owphA4tZ","properties":{"formattedCitation":"(\\uc0\\u199{}akmak, 2023)","plainCitation":"(Çakmak, 2023)","noteIndex":0},"citationItems":[{"id":1035,"uris":["http://zotero.org/users/9822074/items/9G572I3Z"],"itemData":{"id":1035,"type":"article-journal","abstract":"Bu makale dinden çıkma veya din değiştirme olarak ifade edilen inanç hareketlerinin dijitalleşme ile olan ilişkilerini belirlemeyi ve bu hareketleri dijitalleşmenin ortaya çıkardığı kavramlar üzerinden okumayı amaçlamaktadır. Dijitalleşme ile ortaya çıkan teknolojiler bireylerin duygu, düşünce ve davranışlarında oluğu gibi inanç dünyalarında da etkili olmuştur. Yapılan araştırmalar modernleşme ile başlayan dinden çıkma ve din değiştirme hareketlerinin dijital çağda farklılaştığını ve ivme kazandığını göstermektedir. Bu durum inanç değişikliği hareketlerinin dijitalleşme kavramları üzerinden yeniden okunması zorunluluğunu ortaya çıkarmıştır. Dijitalleşmenin birey üzerindeki etkisi noktasında literatürde iletişim, psikoloji, sosyoloji ve ilahiyat temelli çalışmalar bulunmaktadır. Bu çalışmalarda sanayi devrimi ile başlayan modernizmin dini hayata etkisi üzerine yoğunlaşılmış ve dijitalleşme bu çalışmalarda bir alt başlık olarak düşünülmüştür. Ancak modernleşme ile başlayan dini hayattaki problemler dijitalleşme ile farklı bir boyut kazanmıştır. İnanç hareketleri de burada önemli bir yer tutmaktadır. Dijitalleşme üzerine yapılan iletişim, sosyoloji ve psikoloji temelli çalışmalarda toplumu ve bireyi anlamak için dijitalin ortaya çıkardığı kavramlar kullanılmıştır. Benzer okumanın inanç hareketleri üzerinden de yapılması gerekir. Çünkü dijitalleşme sürecinde insan başlangıçta süje konumunda iken, zaman içerisinde hem süje hem de obje olarak konumlanmıştır. Böylece dijital, nesneleri ve insanlığın tamamına yakınını kendi kitlesi olarak belirlemiştir. Bundan dolayı dijital çağda inanç hareketlerinin daha iyi tanımlanması, altında yatan sebeplerinin daha iyi irdelenmesi için dijitalleşmenin oluşturduğu kavramlar üzerinden yeniden okunması gerekir. Bu noktada çalışmamızda söz konusu inanç temelli hareketler dijitalleşmenin oluşturduğu kavramlar üzerinden okunmuş ve bu hareketlerin bir kısmı “inanç göçebeliği” adı verilen yeni bir kavramla tanımlanmaya çalışılmıştır. Çalışmanın ilk bölümünde dijitalleşmenin ne anlama geldiği, ne gibi kavramlar ürettiği üzerinde durulmuştur. Daha sonra dijitalleşme ile birlikte değişen veya yeni ortaya çıkan inanç problemi ele alınmıştır. Din değiştirme olarak ifade edilen söz konusu inanç probleminin bir bölümü “inanç göçebeliği” olarak tanımlanmıştır. İnanç göçebeliğinin dijitalleşme ile ilişkisi üzerine durulmuş, dijitalin oluşturduğu göçebe davranışın inançta nasıl ortaya çıktığı belirtilmiştir. Ayrıca inanç göçebeliğinin dinden çıkma veya din değiştirme ile farkı dile getirilmiştir. Daha sonra ise inanç göçebeliği olarak ifade edilen dijital çağ inanç hareketinin muhtemel sebepleri üzerinde durulmuş, imanın bilişsel ve duygusal boyutuna değinilmiştir. Bunun yanında dijital çağın, insanın benliğinde ortaya çıkardığı travmaların imanın duygusal boyutuna etkisi üzerine durulmuş ve bunun inanç göçebeliği davranışına etkisi irdelenmiştir. Bu noktada çalışmamızda nitel yöntemlere dayalı fenomenolojik desen kullanılmış model olarak da hermenötik fenomenoloji modeli seçilmiştir. Buna ek olarak literatüre dayalı veriler betimsel analiz yöntemiyle analiz edilmiştir. Çalışmanın sonucunda dijital dönemde yoğunlaşan dinden çıkma veya din değiştirme hareketlerinin bir takım bireylerde göçebe bir davranışa dönüştüğü değerlendirilmiştir. Söz konusu davranışın dijitalleşmeyi yoğun bir şekilde hisseden ve taklidi imana sahip bireylerde görülebileceği dile getirilmiştir. Dijitalleşmenin getirmiş olduğu epistemolojik ve aksiyolojik sorunlara bilişsel ve duygusal boyutu eksik bir imanın cevap verememesi bu davranışın temel nedeni olarak düşünülmüştür. Bu sorunların “inanç göçebeliği” olarak ifade edilen inanç problemine neden olmaması için bireyde inancın bilişsel boyutunun sağlam bir zemine oturtulması gerektiği sonucuna ulaşılmıştır. Ayrıca dijitalin birey ve toplumda değer ve mutluluk ölçülerini değiştirmesi göçebe tutum ve davranışının diğer bir nedeni olarak kabul edilmiştir. İnancın duygusal boyutunun bireyde oluşturulmasıyla bu sorunun belli ölçüde ortadan kalkabileceği tespit edilmiştir.","container-title":"Şırnak Üniversitesi İlahiyat Fakültesi Dergisi","DOI":"10.35415/sirnakifd.1245524","ISSN":"2146-4901, 2667-6575","issue":"30","journalAbbreviation":"Şırnak İlahiyat Dergisi","language":"tr","note":"number: 30\npublisher: Şırnak Üniversitesi","page":"6-31","source":"dergipark.org.tr","title":"Dijital Çağın İnanç Problemi: İnanç Göçebeliği","title-short":"Dijital Çağın İnanç Problemi","author":[{"family":"Çakmak","given":"Fikrullah"}],"issued":{"date-parts":[["2023"]]}}}],"schema":"https://github.com/citation-style-language/schema/raw/master/csl-citation.json"} </w:instrText>
      </w:r>
      <w:r w:rsidRPr="005500AB">
        <w:fldChar w:fldCharType="separate"/>
      </w:r>
      <w:r w:rsidRPr="005500AB">
        <w:t>(Çakmak, 2023)</w:t>
      </w:r>
      <w:r w:rsidRPr="005500AB">
        <w:fldChar w:fldCharType="end"/>
      </w:r>
      <w:r w:rsidRPr="005500AB">
        <w:t>. Bu bağlamda, dijital çağın sunduğu imkânların etkin ve bilinçli bir şekilde kullanılması, Z kuşağının dini bilgi ediniminde hem fırsatları değerlendirebilmesi hem de olası risklerden korunabilmesi açısından büyük önem taşımaktadır.</w:t>
      </w:r>
    </w:p>
    <w:p w14:paraId="7984402B" w14:textId="77777777" w:rsidR="008003D6" w:rsidRPr="005500AB" w:rsidRDefault="008003D6" w:rsidP="008003D6">
      <w:pPr>
        <w:widowControl/>
        <w:autoSpaceDE/>
        <w:autoSpaceDN/>
        <w:jc w:val="both"/>
      </w:pPr>
    </w:p>
    <w:p w14:paraId="210CC7D8" w14:textId="77777777" w:rsidR="005500AB" w:rsidRPr="005500AB" w:rsidRDefault="005500AB" w:rsidP="008003D6">
      <w:pPr>
        <w:widowControl/>
        <w:autoSpaceDE/>
        <w:autoSpaceDN/>
        <w:jc w:val="both"/>
        <w:rPr>
          <w:b/>
          <w:bCs/>
        </w:rPr>
      </w:pPr>
      <w:r w:rsidRPr="005500AB">
        <w:rPr>
          <w:b/>
          <w:bCs/>
        </w:rPr>
        <w:t xml:space="preserve">3. SANAL DÜNYADA DİNİ DEĞERLERİN AKTARIMI  </w:t>
      </w:r>
    </w:p>
    <w:p w14:paraId="025B6F28" w14:textId="77777777" w:rsidR="005500AB" w:rsidRPr="005500AB" w:rsidRDefault="005500AB" w:rsidP="008003D6">
      <w:pPr>
        <w:widowControl/>
        <w:autoSpaceDE/>
        <w:autoSpaceDN/>
        <w:jc w:val="both"/>
        <w:rPr>
          <w:b/>
          <w:bCs/>
        </w:rPr>
      </w:pPr>
      <w:r w:rsidRPr="005500AB">
        <w:rPr>
          <w:b/>
          <w:bCs/>
        </w:rPr>
        <w:t>3.1. Dijital Araçların Kullanımı</w:t>
      </w:r>
    </w:p>
    <w:p w14:paraId="08C4022A" w14:textId="77777777" w:rsidR="005500AB" w:rsidRDefault="005500AB" w:rsidP="008003D6">
      <w:pPr>
        <w:widowControl/>
        <w:autoSpaceDE/>
        <w:autoSpaceDN/>
        <w:jc w:val="both"/>
        <w:rPr>
          <w:bCs/>
        </w:rPr>
      </w:pPr>
      <w:r w:rsidRPr="005500AB">
        <w:rPr>
          <w:bCs/>
        </w:rPr>
        <w:t>Günümüz dünyasında dijitalleşme, bireylerin yaşam tarzlarını, iletişim biçimlerini ve bilgiye erişim yöntemlerini köklü bir şekilde dönüştürmüştür. Bu dönüşüm, dini değerlerin aktarımı ve öğrenimi açısından da yeni fırsatlar ve zorluklar sunmaktadır. Özellikle dijital araçların kullanımı, dini bilgiye ulaşmayı kolaylaştırırken, aynı zamanda bu bilgilerin doğru bir şekilde aktarılmasını sağlama sorumluluğunu da beraberinde getirmiştir.</w:t>
      </w:r>
    </w:p>
    <w:p w14:paraId="4DB72D35" w14:textId="77777777" w:rsidR="008003D6" w:rsidRPr="005500AB" w:rsidRDefault="008003D6" w:rsidP="008003D6">
      <w:pPr>
        <w:widowControl/>
        <w:autoSpaceDE/>
        <w:autoSpaceDN/>
        <w:jc w:val="both"/>
        <w:rPr>
          <w:bCs/>
        </w:rPr>
      </w:pPr>
    </w:p>
    <w:p w14:paraId="6293B450" w14:textId="77777777" w:rsidR="005500AB" w:rsidRPr="005500AB" w:rsidRDefault="005500AB" w:rsidP="008003D6">
      <w:pPr>
        <w:widowControl/>
        <w:autoSpaceDE/>
        <w:autoSpaceDN/>
        <w:jc w:val="both"/>
        <w:rPr>
          <w:b/>
          <w:bCs/>
        </w:rPr>
      </w:pPr>
      <w:r w:rsidRPr="005500AB">
        <w:rPr>
          <w:b/>
          <w:bCs/>
        </w:rPr>
        <w:t>3.1.1. Mobil Uygulamalar, Podcastler ve Online Dersler</w:t>
      </w:r>
    </w:p>
    <w:p w14:paraId="57795497" w14:textId="77777777" w:rsidR="005500AB" w:rsidRDefault="005500AB" w:rsidP="008003D6">
      <w:pPr>
        <w:widowControl/>
        <w:autoSpaceDE/>
        <w:autoSpaceDN/>
        <w:jc w:val="both"/>
        <w:rPr>
          <w:bCs/>
        </w:rPr>
      </w:pPr>
      <w:r w:rsidRPr="005500AB">
        <w:rPr>
          <w:bCs/>
        </w:rPr>
        <w:t xml:space="preserve">Dijital araçların kullanımının yaygınlaşması, dini değerlerin aktarımında yeni ve etkili yöntemlerin ortaya çıkmasına olanak tanımaktadır. Mobil uygulamalar, kullanıcılarına etkileşimli içerikler sunarak dini bilgilerin öğrenilmesini daha kolay ve erişilebilir hale getirmektedir. Özellikle görsel ve işitsel materyallerle desteklenen bu uygulamalar, bireylerin öğrenme süreçlerini kişiselleştirmelerine imkân tanımaktadır </w:t>
      </w:r>
      <w:r w:rsidRPr="005500AB">
        <w:rPr>
          <w:bCs/>
        </w:rPr>
        <w:fldChar w:fldCharType="begin"/>
      </w:r>
      <w:r w:rsidRPr="005500AB">
        <w:rPr>
          <w:bCs/>
        </w:rPr>
        <w:instrText xml:space="preserve"> ADDIN ZOTERO_ITEM CSL_CITATION {"citationID":"wlbm5q2y","properties":{"formattedCitation":"(Ayg\\uc0\\u252{}l vd., 2022; \\uc0\\u199{}akmak, 2023)","plainCitation":"(Aygül vd., 2022; Çakmak, 2023)","noteIndex":0},"citationItems":[{"id":1037,"uris":["http://zotero.org/users/9822074/items/P2GADBRT"],"itemData":{"id":1037,"type":"article-journal","abstract":"Bu çalışmada, “Google Play Store” adlı mobil uygulama mağazasında bulunan, Türkiye kaynaklı İslami mobil uygulamalar ele alınmıştır. Mobil uygulama sayısının her geçen gün artması ve kullanım alanının giderek genişlemesi, üstelik uygulamaların etkileşimselliği ve işlevselliği bu alan üzerinde çalışmayı gerekli kılmaktadır. Araştırmanın amacı, İslami mobil uygulamaları incelemek ve sınıflandırmak, yaygın uygulama türlerini belirlemek, bu uygulamaların çeşitleri, içerikleri ve işlevlerine dair tematik bir analiz sunmaktır. Bu amaç doğrultusunda “Google Play Store”da yer alan 724 adet Türkiye kaynaklı İslami mobil uygulama tespit edilmiş ve incelenmiştir. Çalışmanın nicel verileri (kategori içindeki uygulama sayısı, indirilme oranı, kullanıcı yorumları ve ortalama puanlar) SPSS 23, nitel verileri (kelime bulutu ve grafikler) ise MAXQDA 2020 programı ile analiz edilmiştir. Ayrıca uygulamalar “ibadetler ve ritüeller”, “mobil öğrenme ve eğitim”, “yaşam tarzı ve tüketim pratikleri”, “etkileşim ve iletişim aracı”, “oyun ve eğlence kültürü” ve “gündelik yaşam pratikleri” olmak üzere 6 kategori temelinde tematik olarak yorumlanmıştır. Sonuç olarak dijital çağın bir gerekliliği noktasında dini bilgi ve pratiklerin de dijital platformlara taşınmakta olduğu, dindar bireylerin beğenilerini dikkate alan uygulamaların farklı sosyal kategorileri de kapsayacak şekilde “içerik/hizmet sağlayıcılar” tarafından üretilmekte olduğu belirlenmiştir. Türkiye kaynaklı İslami mobil uygulamaları inceleyen, sınıflandıran ve tematik bir şekilde analiz eden bir çalışmanın bulunmaması, araştırmayı alan yazın için özgün kılmaktadır.","container-title":"Selçuk Üniversitesi Edebiyat Fakültesi Dergisi","DOI":"10.21497/sefad.1128594","ISSN":"2458-908X","issue":"47","journalAbbreviation":"SEFAD","language":"tr","note":"number: 47\npublisher: Selçuk Üniversitesi","page":"251-278","source":"dergipark.org.tr","title":"Google Play Store’daki Türkiye Kaynaklı İslami Mobil Uygulamalar: Tematik Bir Analiz","title-short":"Google Play Store’daki Türkiye Kaynaklı İslami Mobil Uygulamalar","author":[{"family":"Aygül","given":"Hasan Hüseyin"},{"family":"Gürbüz","given":"Gamze"},{"family":"Ün","given":"Esra"}],"issued":{"date-parts":[["2022"]]}}},{"id":1035,"uris":["http://zotero.org/users/9822074/items/9G572I3Z"],"itemData":{"id":1035,"type":"article-journal","abstract":"Bu makale dinden çıkma veya din değiştirme olarak ifade edilen inanç hareketlerinin dijitalleşme ile olan ilişkilerini belirlemeyi ve bu hareketleri dijitalleşmenin ortaya çıkardığı kavramlar üzerinden okumayı amaçlamaktadır. Dijitalleşme ile ortaya çıkan teknolojiler bireylerin duygu, düşünce ve davranışlarında oluğu gibi inanç dünyalarında da etkili olmuştur. Yapılan araştırmalar modernleşme ile başlayan dinden çıkma ve din değiştirme hareketlerinin dijital çağda farklılaştığını ve ivme kazandığını göstermektedir. Bu durum inanç değişikliği hareketlerinin dijitalleşme kavramları üzerinden yeniden okunması zorunluluğunu ortaya çıkarmıştır. Dijitalleşmenin birey üzerindeki etkisi noktasında literatürde iletişim, psikoloji, sosyoloji ve ilahiyat temelli çalışmalar bulunmaktadır. Bu çalışmalarda sanayi devrimi ile başlayan modernizmin dini hayata etkisi üzerine yoğunlaşılmış ve dijitalleşme bu çalışmalarda bir alt başlık olarak düşünülmüştür. Ancak modernleşme ile başlayan dini hayattaki problemler dijitalleşme ile farklı bir boyut kazanmıştır. İnanç hareketleri de burada önemli bir yer tutmaktadır. Dijitalleşme üzerine yapılan iletişim, sosyoloji ve psikoloji temelli çalışmalarda toplumu ve bireyi anlamak için dijitalin ortaya çıkardığı kavramlar kullanılmıştır. Benzer okumanın inanç hareketleri üzerinden de yapılması gerekir. Çünkü dijitalleşme sürecinde insan başlangıçta süje konumunda iken, zaman içerisinde hem süje hem de obje olarak konumlanmıştır. Böylece dijital, nesneleri ve insanlığın tamamına yakınını kendi kitlesi olarak belirlemiştir. Bundan dolayı dijital çağda inanç hareketlerinin daha iyi tanımlanması, altında yatan sebeplerinin daha iyi irdelenmesi için dijitalleşmenin oluşturduğu kavramlar üzerinden yeniden okunması gerekir. Bu noktada çalışmamızda söz konusu inanç temelli hareketler dijitalleşmenin oluşturduğu kavramlar üzerinden okunmuş ve bu hareketlerin bir kısmı “inanç göçebeliği” adı verilen yeni bir kavramla tanımlanmaya çalışılmıştır. Çalışmanın ilk bölümünde dijitalleşmenin ne anlama geldiği, ne gibi kavramlar ürettiği üzerinde durulmuştur. Daha sonra dijitalleşme ile birlikte değişen veya yeni ortaya çıkan inanç problemi ele alınmıştır. Din değiştirme olarak ifade edilen söz konusu inanç probleminin bir bölümü “inanç göçebeliği” olarak tanımlanmıştır. İnanç göçebeliğinin dijitalleşme ile ilişkisi üzerine durulmuş, dijitalin oluşturduğu göçebe davranışın inançta nasıl ortaya çıktığı belirtilmiştir. Ayrıca inanç göçebeliğinin dinden çıkma veya din değiştirme ile farkı dile getirilmiştir. Daha sonra ise inanç göçebeliği olarak ifade edilen dijital çağ inanç hareketinin muhtemel sebepleri üzerinde durulmuş, imanın bilişsel ve duygusal boyutuna değinilmiştir. Bunun yanında dijital çağın, insanın benliğinde ortaya çıkardığı travmaların imanın duygusal boyutuna etkisi üzerine durulmuş ve bunun inanç göçebeliği davranışına etkisi irdelenmiştir. Bu noktada çalışmamızda nitel yöntemlere dayalı fenomenolojik desen kullanılmış model olarak da hermenötik fenomenoloji modeli seçilmiştir. Buna ek olarak literatüre dayalı veriler betimsel analiz yöntemiyle analiz edilmiştir. Çalışmanın sonucunda dijital dönemde yoğunlaşan dinden çıkma veya din değiştirme hareketlerinin bir takım bireylerde göçebe bir davranışa dönüştüğü değerlendirilmiştir. Söz konusu davranışın dijitalleşmeyi yoğun bir şekilde hisseden ve taklidi imana sahip bireylerde görülebileceği dile getirilmiştir. Dijitalleşmenin getirmiş olduğu epistemolojik ve aksiyolojik sorunlara bilişsel ve duygusal boyutu eksik bir imanın cevap verememesi bu davranışın temel nedeni olarak düşünülmüştür. Bu sorunların “inanç göçebeliği” olarak ifade edilen inanç problemine neden olmaması için bireyde inancın bilişsel boyutunun sağlam bir zemine oturtulması gerektiği sonucuna ulaşılmıştır. Ayrıca dijitalin birey ve toplumda değer ve mutluluk ölçülerini değiştirmesi göçebe tutum ve davranışının diğer bir nedeni olarak kabul edilmiştir. İnancın duygusal boyutunun bireyde oluşturulmasıyla bu sorunun belli ölçüde ortadan kalkabileceği tespit edilmiştir.","container-title":"Şırnak Üniversitesi İlahiyat Fakültesi Dergisi","DOI":"10.35415/sirnakifd.1245524","ISSN":"2146-4901, 2667-6575","issue":"30","journalAbbreviation":"Şırnak İlahiyat Dergisi","language":"tr","note":"number: 30\npublisher: Şırnak Üniversitesi","page":"6-31","source":"dergipark.org.tr","title":"Dijital Çağın İnanç Problemi: İnanç Göçebeliği","title-short":"Dijital Çağın İnanç Problemi","author":[{"family":"Çakmak","given":"Fikrullah"}],"issued":{"date-parts":[["2023"]]}}}],"schema":"https://github.com/citation-style-language/schema/raw/master/csl-citation.json"} </w:instrText>
      </w:r>
      <w:r w:rsidRPr="005500AB">
        <w:rPr>
          <w:bCs/>
        </w:rPr>
        <w:fldChar w:fldCharType="separate"/>
      </w:r>
      <w:r w:rsidRPr="005500AB">
        <w:t>(Aygül vd., 2022; Çakmak, 2023)</w:t>
      </w:r>
      <w:r w:rsidRPr="005500AB">
        <w:rPr>
          <w:bCs/>
        </w:rPr>
        <w:fldChar w:fldCharType="end"/>
      </w:r>
      <w:r w:rsidRPr="005500AB">
        <w:rPr>
          <w:bCs/>
        </w:rPr>
        <w:t xml:space="preserve">. Podcastler ve online dersler ise mekân ve zaman sınırlamalarını ortadan kaldırarak kullanıcıların istedikleri an ve yerde manevi eğitim alabilmelerine olanak sağlamaktadır. Bu araçlar, hem bireysel hem de toplumsal düzeyde dini değerlerin daha geniş kitlelere ulaştırılmasını desteklemekte, aynı zamanda geleneksel eğitim yöntemlerini tamamlayıcı bir rol üstlenmektedir </w:t>
      </w:r>
      <w:r w:rsidRPr="005500AB">
        <w:rPr>
          <w:bCs/>
        </w:rPr>
        <w:fldChar w:fldCharType="begin"/>
      </w:r>
      <w:r w:rsidRPr="005500AB">
        <w:rPr>
          <w:bCs/>
        </w:rPr>
        <w:instrText xml:space="preserve"> ADDIN ZOTERO_ITEM CSL_CITATION {"citationID":"JSuqiujS","properties":{"formattedCitation":"(\\uc0\\u214{}zdemir, 2023)","plainCitation":"(Özdemir, 2023)","noteIndex":0},"citationItems":[{"id":1039,"uris":["http://zotero.org/users/9822074/items/DGT25HXD"],"itemData":{"id":1039,"type":"article-journal","abstract":"Sosyal kontrol, bireylerin sosyal değerlere uygun biçimde davranmasını sağlayarak sosyal değerlerin ve normların gelecek nesillere aktarılmasını ve zamanın şartlarına uygun olarak yeniden üretilmesini sağlayan bir mekanizmadır. Geçmişten günümüze bakıldığı zaman din toplumların en önemli sosyal kontrol araçlarından birisi olmuştur. Din, toplum vasıtasıyla bireyleri kontrol etmektedir. Bu sayede dinin en önemli işlevi olan sosyal kontrol gerçekleştirilmiş olur. Günümüze gelindiğinde ise dinin yanı sıra yeni medya da önemli sosyal kontrol araçlarından birisi haline gelmiştir. Din ve yeni medya günümüz toplumların da önemini koruyan sosyal kontrol araçları olarak karşımıza çıkmaktadırlar. Özellikle dinin mahrem olarak nitelendirdiği konularda yeni medya araçlarında paylaşımlar yapılması sosyal kontrolün din ve yeni medya bağlamında ele alınması gerektiğini gözler önüne sermektedir. Bu bağlamda yeni medya ile yeniden üretime tabi tutulan hayatımıza yansımaları ele alınırken dindarlık anlayışının ve mahremiyet algısının değişime uğradığı görülmektedir. Literatür taraması şeklinde gerçekleştirilen bu çalışmanın kapsamı, sosyal kontrolde baskın rol oynayan yeni medya ve dinin gündelik yaşamımız üzerindeki etkilerini izah etmektir.","container-title":"Çukurova Üniversitesi Sosyal Bilimler Enstitüsü Dergisi","DOI":"10.35379/cusosbil.1321711","ISSN":"1304-8899","issue":"3","language":"tr","note":"number: 3\npublisher: Çukurova Üniversitesi","page":"42-50","source":"dergipark.org.tr","title":"Bir Sosyal Kontrol Aracı Olarak Din ve Yeni Medya","volume":"32","author":[{"family":"Özdemir","given":"Nur"}],"issued":{"date-parts":[["2023"]]}}}],"schema":"https://github.com/citation-style-language/schema/raw/master/csl-citation.json"} </w:instrText>
      </w:r>
      <w:r w:rsidRPr="005500AB">
        <w:rPr>
          <w:bCs/>
        </w:rPr>
        <w:fldChar w:fldCharType="separate"/>
      </w:r>
      <w:r w:rsidRPr="005500AB">
        <w:t>(Özdemir, 2023)</w:t>
      </w:r>
      <w:r w:rsidRPr="005500AB">
        <w:rPr>
          <w:bCs/>
        </w:rPr>
        <w:fldChar w:fldCharType="end"/>
      </w:r>
      <w:r w:rsidRPr="005500AB">
        <w:rPr>
          <w:bCs/>
        </w:rPr>
        <w:t>. Dijital teknolojilerin sunduğu bu yenilikçi imkânlar, manevi eğitimin sürdürülebilirliğini artırmakta ve dini bilgilerin aktarımını daha erişilebilir bir hale getirmektedir.</w:t>
      </w:r>
    </w:p>
    <w:p w14:paraId="107D0D43" w14:textId="77777777" w:rsidR="008003D6" w:rsidRPr="005500AB" w:rsidRDefault="008003D6" w:rsidP="008003D6">
      <w:pPr>
        <w:widowControl/>
        <w:autoSpaceDE/>
        <w:autoSpaceDN/>
        <w:jc w:val="both"/>
        <w:rPr>
          <w:bCs/>
        </w:rPr>
      </w:pPr>
    </w:p>
    <w:p w14:paraId="64AF1938" w14:textId="77777777" w:rsidR="005500AB" w:rsidRPr="005500AB" w:rsidRDefault="005500AB" w:rsidP="008003D6">
      <w:pPr>
        <w:widowControl/>
        <w:autoSpaceDE/>
        <w:autoSpaceDN/>
        <w:jc w:val="both"/>
        <w:rPr>
          <w:b/>
          <w:bCs/>
        </w:rPr>
      </w:pPr>
      <w:r w:rsidRPr="005500AB">
        <w:rPr>
          <w:b/>
          <w:bCs/>
        </w:rPr>
        <w:t>3.1.2. Sosyal Medya Fenomenlerinin Rolü</w:t>
      </w:r>
    </w:p>
    <w:p w14:paraId="2C67568E" w14:textId="77777777" w:rsidR="005500AB" w:rsidRPr="005500AB" w:rsidRDefault="005500AB" w:rsidP="008003D6">
      <w:pPr>
        <w:widowControl/>
        <w:autoSpaceDE/>
        <w:autoSpaceDN/>
        <w:jc w:val="both"/>
      </w:pPr>
      <w:r w:rsidRPr="005500AB">
        <w:t xml:space="preserve">Sosyal medya fenomenleri, günümüzde geniş kitlelere ulaşma potansiyelleri sayesinde dini içeriklerin yaygınlaşmasında önemli bir rol üstlenmektedir. Bu bireyler, takipçileriyle kurdukları etkileşim aracılığıyla dini değerlerin aktarımını sağlamakta ve bu süreçte bir nevi aracı konumunda bulunmaktadır. Ancak, bu tür içeriklerin üretimi ve paylaşımı </w:t>
      </w:r>
      <w:proofErr w:type="gramStart"/>
      <w:r w:rsidRPr="005500AB">
        <w:t>sırasında,</w:t>
      </w:r>
      <w:proofErr w:type="gramEnd"/>
      <w:r w:rsidRPr="005500AB">
        <w:t xml:space="preserve"> hem doğruluk hem de dini hassasiyetlere uygunluk büyük bir önem arz etmektedir. Fenomenlerin, takipçilerine sundukları bilgilerin güvenilirliğini temin etmeleri ve bu bilgileri aktarırken dini öğretileri saptırmamaları gerekmektedir </w:t>
      </w:r>
      <w:r w:rsidRPr="005500AB">
        <w:fldChar w:fldCharType="begin"/>
      </w:r>
      <w:r w:rsidRPr="005500AB">
        <w:instrText xml:space="preserve"> ADDIN ZOTERO_ITEM CSL_CITATION {"citationID":"TADD5c8v","properties":{"formattedCitation":"(\\uc0\\u214{}zta\\uc0\\u351{} &amp; \\uc0\\u220{}nalan, 2022)","plainCitation":"(Öztaş &amp; Ünalan, 2022)","noteIndex":0},"citationItems":[{"id":1041,"uris":["http://zotero.org/users/9822074/items/RLHMVPDJ"],"itemData":{"id":1041,"type":"article-journal","abstract":"Bu çalışma, özellikle kitle iletişim araçlarının yeni versiyonlarıyla birlikte hayatın öznesi haline gelen görünerek var olmanın, dolayısıyla dijital-sanal kitle kültürünün Kahramanmaraş Sütçü İmam Üniversitesinde okumakta olan öğrenciler üzerindeki etkisini araştırmayı amaçlamaktadır. “Sibernetik sosyalleşme”ye maruz kalan gençler bir nevi Baudrillard’ın simülasyon evreninde aslında kimsenin kimseyi duymadığı, görmediği, umursamadığı bir ortamda kendisini fark ettirebilmenin yolunu/yollarını aramaktadırlar. Bu süreçte fenomenler özelinde özgünlük ve görünürdeki gerçeklik gibi algılar altında diğerlerinden farklılaşmaya çalışan gençlerin çeşitliliği azaltan çevrimiçi niş grupları ortaya çıkardığı söylenebilir. Dolayısıyla bu da fenomenlerin kendi sunumlarını (tüketime yönelik veya diğer) medya endüstrisinde elde tutulması gereken niş izleyicilere göre uyarlamalarını gerekli kılmaktadır. Böyle bir sanal atmosferde, nicel yöntemde anket tekniği kullanılarak yapılan çalışmanın örneklemine giren gençlerin sosyo demografik değişkenlere göre dindarlık tutumları, sosyal medya fenomenlerinin onaylanma düzeyleri ve sosyal medyada gösteriş tüketimi eğilimi gibi problemler önemli görülmüştür. Bu doğrultuda tesadüfi yöntemle belirlenen katılımcıların fenomenlerle belirlenen problemler dahilinde yeni medyanın yeni iletişim yoluyla karşılıklı etkileşime girdikleri görülmektedir. Bu etkileşimde yaşanan değişimler ise çalışmanın değişkenlerine paralel farklılaşmaktadır. Bu değişkenler içerisinde sosyo-demografik özellikler ise önemli bir etken olarak karşımıza çıkmaktadır.","container-title":"Journal of Media and Religion Studies","DOI":"10.47951/mediad.1193878","ISSN":"2636-8811, 2636-8811","issue":"2","journalAbbreviation":"MEDİAD","language":"tr","note":"number: 2\npublisher: Hakan AYDIN","page":"431-454","source":"dergipark.org.tr","title":"Sosyal Medya Fenomenleri ve Üniversite Gençliği: Dini Tutum, Onaylanma ve Tüketim","title-short":"Sosyal Medya Fenomenleri ve Üniversite Gençliği","volume":"5","author":[{"family":"Öztaş","given":"Fatih"},{"family":"Ünalan","given":"Abdurrahman"}],"issued":{"date-parts":[["2022"]]}}}],"schema":"https://github.com/citation-style-language/schema/raw/master/csl-citation.json"} </w:instrText>
      </w:r>
      <w:r w:rsidRPr="005500AB">
        <w:fldChar w:fldCharType="separate"/>
      </w:r>
      <w:r w:rsidRPr="005500AB">
        <w:t>(Öztaş &amp; Ünalan, 2022)</w:t>
      </w:r>
      <w:r w:rsidRPr="005500AB">
        <w:fldChar w:fldCharType="end"/>
      </w:r>
      <w:r w:rsidRPr="005500AB">
        <w:t>. Aksi takdirde, yanlış bilgi yayılımı ve dini değerlerin yozlaşması gibi olumsuz sonuçlarla karşılaşılabilir. Bu bağlamda, sosyal medya fenomenlerinin sorumluluk bilinciyle hareket etmeleri ve içerik üretim sürecinde alanında uzman kişilerden destek almaları, dini içeriklerin doğru ve etkili bir şekilde yayılmasına katkı sağlayacaktır.</w:t>
      </w:r>
    </w:p>
    <w:p w14:paraId="13705DEE" w14:textId="77777777" w:rsidR="005500AB" w:rsidRPr="005500AB" w:rsidRDefault="005500AB" w:rsidP="005500AB">
      <w:pPr>
        <w:widowControl/>
        <w:autoSpaceDE/>
        <w:autoSpaceDN/>
        <w:spacing w:before="120" w:after="120"/>
        <w:jc w:val="both"/>
        <w:rPr>
          <w:b/>
          <w:bCs/>
        </w:rPr>
      </w:pPr>
    </w:p>
    <w:p w14:paraId="58D02CDB" w14:textId="77777777" w:rsidR="005500AB" w:rsidRPr="005500AB" w:rsidRDefault="005500AB" w:rsidP="008003D6">
      <w:pPr>
        <w:widowControl/>
        <w:autoSpaceDE/>
        <w:autoSpaceDN/>
        <w:jc w:val="both"/>
        <w:rPr>
          <w:b/>
          <w:bCs/>
        </w:rPr>
      </w:pPr>
      <w:r w:rsidRPr="005500AB">
        <w:rPr>
          <w:b/>
          <w:bCs/>
        </w:rPr>
        <w:t>3.2. Sanal Dünyanın Fırsatları ve Riskleri</w:t>
      </w:r>
    </w:p>
    <w:p w14:paraId="4555ACA5" w14:textId="77777777" w:rsidR="005500AB" w:rsidRDefault="005500AB" w:rsidP="008003D6">
      <w:pPr>
        <w:widowControl/>
        <w:autoSpaceDE/>
        <w:autoSpaceDN/>
        <w:jc w:val="both"/>
        <w:rPr>
          <w:bCs/>
        </w:rPr>
      </w:pPr>
      <w:r w:rsidRPr="005500AB">
        <w:rPr>
          <w:bCs/>
        </w:rPr>
        <w:t>Sanal dünya, teknolojik gelişmelerin bir ürünü olarak günümüzde yaşamın ayrılmaz bir parçası haline gelmiştir. Dijitalleşme, bireylerin ve toplumların günlük faaliyetlerini kolaylaştırırken, aynı zamanda çeşitli fırsatlar sunmakta ve riskler de barındırmaktadır. Bu bölümde, sanal dünyanın sunduğu avantajlar ile beraberinde getirdiği riskler akademik bir perspektiften ele alınacaktır.</w:t>
      </w:r>
    </w:p>
    <w:p w14:paraId="3FA3475B" w14:textId="77777777" w:rsidR="008003D6" w:rsidRPr="005500AB" w:rsidRDefault="008003D6" w:rsidP="008003D6">
      <w:pPr>
        <w:widowControl/>
        <w:autoSpaceDE/>
        <w:autoSpaceDN/>
        <w:jc w:val="both"/>
        <w:rPr>
          <w:bCs/>
        </w:rPr>
      </w:pPr>
    </w:p>
    <w:p w14:paraId="02CCFCAE" w14:textId="77777777" w:rsidR="005500AB" w:rsidRPr="005500AB" w:rsidRDefault="005500AB" w:rsidP="008003D6">
      <w:pPr>
        <w:widowControl/>
        <w:autoSpaceDE/>
        <w:autoSpaceDN/>
        <w:jc w:val="both"/>
        <w:rPr>
          <w:b/>
          <w:bCs/>
        </w:rPr>
      </w:pPr>
      <w:r w:rsidRPr="005500AB">
        <w:rPr>
          <w:b/>
          <w:bCs/>
        </w:rPr>
        <w:t>Fırsatlar</w:t>
      </w:r>
    </w:p>
    <w:p w14:paraId="0D063E4F" w14:textId="77777777" w:rsidR="005500AB" w:rsidRPr="005500AB" w:rsidRDefault="005500AB" w:rsidP="008003D6">
      <w:pPr>
        <w:widowControl/>
        <w:autoSpaceDE/>
        <w:autoSpaceDN/>
        <w:jc w:val="both"/>
        <w:rPr>
          <w:bCs/>
        </w:rPr>
      </w:pPr>
      <w:r w:rsidRPr="005500AB">
        <w:rPr>
          <w:bCs/>
        </w:rPr>
        <w:t xml:space="preserve">Sanal dünyanın en önemli avantajlarından biri, bilgiye erişim kolaylığıdır </w:t>
      </w:r>
      <w:r w:rsidRPr="005500AB">
        <w:rPr>
          <w:bCs/>
        </w:rPr>
        <w:fldChar w:fldCharType="begin"/>
      </w:r>
      <w:r w:rsidRPr="005500AB">
        <w:rPr>
          <w:bCs/>
        </w:rPr>
        <w:instrText xml:space="preserve"> ADDIN ZOTERO_ITEM CSL_CITATION {"citationID":"QQQSK0Ng","properties":{"formattedCitation":"(Anderson &amp; Rainie, 2018)","plainCitation":"(Anderson &amp; Rainie, 2018)","noteIndex":0},"citationItems":[{"id":931,"uris":["http://zotero.org/users/9822074/items/IDL2NXMX"],"itemData":{"id":931,"type":"post-weblog","abstract":"Many experts say digital life will continue to expand people’s boundaries and opportunities. Yet nearly a third think that people’s overall well-being will be more harmed than helped in coming years.","container-title":"Pew Research Center","language":"tr","title":"The Future of Well-Being in a Tech-Saturated World","URL":"https://www.pewresearch.org/internet/2018/04/17/the-future-of-well-being-in-a-tech-saturated-world/","author":[{"family":"Anderson","given":"Janna"},{"family":"Rainie","given":"Lee"}],"accessed":{"date-parts":[["2025",1,9]]},"issued":{"date-parts":[["2018"]]}}}],"schema":"https://github.com/citation-style-language/schema/raw/master/csl-citation.json"} </w:instrText>
      </w:r>
      <w:r w:rsidRPr="005500AB">
        <w:rPr>
          <w:bCs/>
        </w:rPr>
        <w:fldChar w:fldCharType="separate"/>
      </w:r>
      <w:r w:rsidRPr="005500AB">
        <w:t>(Anderson &amp; Rainie, 2018)</w:t>
      </w:r>
      <w:r w:rsidRPr="005500AB">
        <w:rPr>
          <w:bCs/>
        </w:rPr>
        <w:fldChar w:fldCharType="end"/>
      </w:r>
      <w:r w:rsidRPr="005500AB">
        <w:rPr>
          <w:bCs/>
        </w:rPr>
        <w:t xml:space="preserve">. İnternet, bireylere istedikleri bilgiye anında ulaşma imkânı tanırken, eğitim ve öğrenme süreçlerini de dönüştürmüştür. Çevrim içi eğitim platformları, uzaktan eğitim modelleri ve açık kaynak içerikler, bireylerin coğrafi sınırları aşarak bilgi edinmesini sağlamaktadır. Ayrıca, sanal dünya iş dünyasında da büyük fırsatlar yaratmıştır </w:t>
      </w:r>
      <w:r w:rsidRPr="005500AB">
        <w:rPr>
          <w:bCs/>
        </w:rPr>
        <w:fldChar w:fldCharType="begin"/>
      </w:r>
      <w:r w:rsidRPr="005500AB">
        <w:rPr>
          <w:bCs/>
        </w:rPr>
        <w:instrText xml:space="preserve"> ADDIN ZOTERO_ITEM CSL_CITATION {"citationID":"Ch9udmtM","properties":{"formattedCitation":"(G. T. \\uc0\\u199{}ift\\uc0\\u231{}i, 2021)","plainCitation":"(G. T. Çiftçi, 2021)","noteIndex":0},"citationItems":[{"id":1043,"uris":["http://zotero.org/users/9822074/items/8SJYWL38"],"itemData":{"id":1043,"type":"article-journal","abstract":"Öğrenme ihtiyaçlarının farklılaşması ve dijital iletişim teknolojilerinin gelişmesi ile açık ve uzaktan öğrenmenin kapsamı dinamik bir şekilde değişmektedir. Bu sebeple açık ve uzaktan öğrenme olanaklarından etkin ve işlevsel bir biçimde yararlanılabilmesi açısından kapsamın açıklanması önem kazanmaktadır. Bir kavramın kapsamını belirlemek için; o kavramın sınırları içindeki tüm anlamları, varlıkları ve etkilerini açıklamak gereklidir. Bu bağlamda; bu çalışmada dijital iletişim teknolojileri bağlamında gelişen açık ve uzaktan öğrenmenin kapsamını tanımlamak amaçlanmıştır. Bu araştırma tarama yöntemi ile yapılmış nitel bir durum çalışmasıdır. İncelemeler sonucunda; 21. yüzyılda öğrenmenin bir iletişim sürecine dönüştüğü, uzaktan öğrenmenin amacının bu iletişim süreçlerini öğrenme ihtiyaçlarını karşılamak isteyen her bir bireye, istenilen zamanda ve mekanda, bireyselleştirilebilen öğrenme olanakları ve etkileşimli ortamlarla bilgiyi ulaştırmak olduğu uzaktan öğrenmenin konusunun da bu iletişim süreçlerinin tasarlanması olduğu ortaya koyulmuştur. Özetle açık ve uzaktan öğrenmenin kapsamının her teknolojik gelişme ile zenginleştiği ve kapsamın dinamik bir yapıda olmasının öğrenme açısından en önemli unsur olduğu sonucuna varılmıştır.","container-title":"Açıköğretim Uygulamaları ve Araştırmaları Dergisi","ISSN":"2149-2360","issue":"1","journalAbbreviation":"AUAd","language":"tr","note":"number: 1\npublisher: Anadolu Üniversitesi","page":"1-23","source":"dergipark.org.tr","title":"Dijital iletişim teknolojileri bağlamında açık ve uzaktan öğrenmenin kapsamı","volume":"7","author":[{"family":"Çiftçi","given":"Gaye Topa"}],"issued":{"date-parts":[["2021"]]}}}],"schema":"https://github.com/citation-style-language/schema/raw/master/csl-citation.json"} </w:instrText>
      </w:r>
      <w:r w:rsidRPr="005500AB">
        <w:rPr>
          <w:bCs/>
        </w:rPr>
        <w:fldChar w:fldCharType="separate"/>
      </w:r>
      <w:r w:rsidRPr="005500AB">
        <w:t>(G. T. Çiftçi, 2021)</w:t>
      </w:r>
      <w:r w:rsidRPr="005500AB">
        <w:rPr>
          <w:bCs/>
        </w:rPr>
        <w:fldChar w:fldCharType="end"/>
      </w:r>
      <w:r w:rsidRPr="005500AB">
        <w:rPr>
          <w:bCs/>
        </w:rPr>
        <w:t>.</w:t>
      </w:r>
    </w:p>
    <w:p w14:paraId="43911ECA" w14:textId="77777777" w:rsidR="005500AB" w:rsidRPr="005500AB" w:rsidRDefault="005500AB" w:rsidP="005500AB">
      <w:pPr>
        <w:widowControl/>
        <w:autoSpaceDE/>
        <w:autoSpaceDN/>
        <w:spacing w:before="120" w:after="120"/>
        <w:jc w:val="both"/>
        <w:rPr>
          <w:bCs/>
        </w:rPr>
      </w:pPr>
      <w:r w:rsidRPr="005500AB">
        <w:rPr>
          <w:bCs/>
        </w:rPr>
        <w:t>Sosyal etkileşim açısından da sanal dünya önemli bir alan sunmaktadır. Sosyal medya platformları, bireylerin farklı kültürlerden insanlarla iletişim kurmasını kolaylaştırmış ve toplumsal farkındalığı artırmıştır. Özellikle sivil toplum faaliyetleri ve küresel kampanyaların yaygınlaşmasında bu platformların rolü büyüktür.</w:t>
      </w:r>
    </w:p>
    <w:p w14:paraId="3156FDCC" w14:textId="77777777" w:rsidR="005500AB" w:rsidRPr="005500AB" w:rsidRDefault="005500AB" w:rsidP="008003D6">
      <w:pPr>
        <w:widowControl/>
        <w:autoSpaceDE/>
        <w:autoSpaceDN/>
        <w:jc w:val="both"/>
        <w:rPr>
          <w:b/>
          <w:bCs/>
        </w:rPr>
      </w:pPr>
      <w:r w:rsidRPr="005500AB">
        <w:rPr>
          <w:b/>
          <w:bCs/>
        </w:rPr>
        <w:t>Riskler</w:t>
      </w:r>
    </w:p>
    <w:p w14:paraId="71533E2B" w14:textId="77777777" w:rsidR="005500AB" w:rsidRPr="005500AB" w:rsidRDefault="005500AB" w:rsidP="008003D6">
      <w:pPr>
        <w:widowControl/>
        <w:autoSpaceDE/>
        <w:autoSpaceDN/>
        <w:jc w:val="both"/>
        <w:rPr>
          <w:b/>
          <w:bCs/>
        </w:rPr>
      </w:pPr>
      <w:r w:rsidRPr="005500AB">
        <w:rPr>
          <w:bCs/>
        </w:rPr>
        <w:t xml:space="preserve">Sanal dünyanın beraberinde getirdiği riskler de göz ardı edilemez. Özellikle mahremiyet ve güvenlik sorunları </w:t>
      </w:r>
      <w:r w:rsidRPr="005500AB">
        <w:rPr>
          <w:bCs/>
        </w:rPr>
        <w:fldChar w:fldCharType="begin"/>
      </w:r>
      <w:r w:rsidRPr="005500AB">
        <w:rPr>
          <w:bCs/>
        </w:rPr>
        <w:instrText xml:space="preserve"> ADDIN ZOTERO_ITEM CSL_CITATION {"citationID":"ckAC2O6z","properties":{"formattedCitation":"(Anderson &amp; Rainie, 2018)","plainCitation":"(Anderson &amp; Rainie, 2018)","noteIndex":0},"citationItems":[{"id":931,"uris":["http://zotero.org/users/9822074/items/IDL2NXMX"],"itemData":{"id":931,"type":"post-weblog","abstract":"Many experts say digital life will continue to expand people’s boundaries and opportunities. Yet nearly a third think that people’s overall well-being will be more harmed than helped in coming years.","container-title":"Pew Research Center","language":"tr","title":"The Future of Well-Being in a Tech-Saturated World","URL":"https://www.pewresearch.org/internet/2018/04/17/the-future-of-well-being-in-a-tech-saturated-world/","author":[{"family":"Anderson","given":"Janna"},{"family":"Rainie","given":"Lee"}],"accessed":{"date-parts":[["2025",1,9]]},"issued":{"date-parts":[["2018"]]}}}],"schema":"https://github.com/citation-style-language/schema/raw/master/csl-citation.json"} </w:instrText>
      </w:r>
      <w:r w:rsidRPr="005500AB">
        <w:rPr>
          <w:bCs/>
        </w:rPr>
        <w:fldChar w:fldCharType="separate"/>
      </w:r>
      <w:r w:rsidRPr="005500AB">
        <w:t>(Anderson &amp; Rainie, 2018)</w:t>
      </w:r>
      <w:r w:rsidRPr="005500AB">
        <w:rPr>
          <w:bCs/>
        </w:rPr>
        <w:fldChar w:fldCharType="end"/>
      </w:r>
      <w:r w:rsidRPr="005500AB">
        <w:rPr>
          <w:bCs/>
        </w:rPr>
        <w:t>, bireylerin dijital dünyadaki varlıklarını tehdit eden önemli unsurlardır. Kişisel verilerin kötüye kullanımı, çevrim içi dolandırıcılık ve siber saldırılar, dijitalleşmenin karanlık yüzü olarak karşımıza çıkmaktadır. Ayrıca, sosyal medya platformlarının aşırı kullanımı, bireylerde bağımlılık ve psikolojik sorunlara yol açabilmektedir. Dijital ortamda yayılan yanlış bilgi ve dezenformasyon ise toplumsal kutuplaşmayı artıran bir diğer önemli risk faktörüdür.</w:t>
      </w:r>
    </w:p>
    <w:p w14:paraId="2184E744" w14:textId="77777777" w:rsidR="005500AB" w:rsidRPr="005500AB" w:rsidRDefault="005500AB" w:rsidP="005500AB">
      <w:pPr>
        <w:widowControl/>
        <w:autoSpaceDE/>
        <w:autoSpaceDN/>
        <w:spacing w:before="120" w:after="120"/>
        <w:jc w:val="both"/>
        <w:rPr>
          <w:bCs/>
        </w:rPr>
      </w:pPr>
      <w:r w:rsidRPr="005500AB">
        <w:rPr>
          <w:bCs/>
        </w:rPr>
        <w:t xml:space="preserve">Sanal dünyadaki anonimlik, bireylerin sorumluluk duygusunu azaltarak siber zorbalık gibi etik dışı davranışların artmasına neden olmuştur. Bu tür eylemler, özellikle genç bireyler üzerinde ciddi psikolojik etkiler yaratmaktadır. Ayrıca, dijital eşitsizlik konusu da dikkate alınması gereken bir diğer önemli meseledir. Teknolojiye erişim imkânı olmayan bireyler ve toplumlar, bu dünyada eşit fırsatlara sahip olamamaktadır </w:t>
      </w:r>
      <w:r w:rsidRPr="005500AB">
        <w:rPr>
          <w:bCs/>
        </w:rPr>
        <w:fldChar w:fldCharType="begin"/>
      </w:r>
      <w:r w:rsidRPr="005500AB">
        <w:rPr>
          <w:bCs/>
        </w:rPr>
        <w:instrText xml:space="preserve"> ADDIN ZOTERO_ITEM CSL_CITATION {"citationID":"YYIKVooY","properties":{"formattedCitation":"(Selwyn, 2014)","plainCitation":"(Selwyn, 2014)","noteIndex":0},"citationItems":[{"id":937,"uris":["http://zotero.org/users/9822074/items/KUN8YKF4"],"itemData":{"id":937,"type":"book","abstract":"Digital Technology and the Contemporary University  examines the often messy realities of higher education in the ‘digital age’. Drawing on a variety of theoretical and empirical perspectives, the book explores the intimate links between digital technology and wider shifts within contemporary higher education – not least the continued rise of the managerialist ‘bureaucratic’ university. It highlights the ways that these new trends can be challenged, and possibly changed altogether. \nAddressing a persistent gap in higher education and educational technology research, where digital technology is rarely subject to an appropriately critical approach, Degrees of Digitization offers an alternative reading of the social, political, economic and cultural issues surrounding universities and technology. The book highlights emerging themes that are beginning to be recognised and discussed in academia, but as yet have not been explored thoroughly. Over the course of eight wide-ranging chapters the book addresses issues such as:\n\n\n\nThe role of digital technology in university reform;\n\n\nDigital technologies and the organisation of universities; \n\n\nDigital technology and the working lives of university staff; \n\n\nDigital technology and the ‘student experience’; \n\n\nReimagining the place of digital technology within the contemporary university. \n\n</w:instrText>
      </w:r>
      <w:r w:rsidRPr="005500AB">
        <w:rPr>
          <w:rFonts w:eastAsia="MS Gothic"/>
          <w:bCs/>
        </w:rPr>
        <w:instrText xml:space="preserve">　</w:instrText>
      </w:r>
      <w:r w:rsidRPr="005500AB">
        <w:rPr>
          <w:bCs/>
        </w:rPr>
        <w:instrText xml:space="preserve">\nThis book will be of great interest to all students, academic researchers and writers working in the areas of education studies and/or educational technology, as well as being essential reading for anyone working in the areas of higher education research and digital media research.","edition":"1st Edition","event-place":"London","ISBN":"978-1-315-76865-6","note":"DOI: 10.4324/9781315768656","number-of-pages":"170","publisher":"Routledge","publisher-place":"London","title":"Digital Technology and the Contemporary University: Degrees of digitization","title-short":"Digital Technology and the Contemporary University","author":[{"family":"Selwyn","given":"Neil"}],"issued":{"date-parts":[["2014"]]}}}],"schema":"https://github.com/citation-style-language/schema/raw/master/csl-citation.json"} </w:instrText>
      </w:r>
      <w:r w:rsidRPr="005500AB">
        <w:rPr>
          <w:bCs/>
        </w:rPr>
        <w:fldChar w:fldCharType="separate"/>
      </w:r>
      <w:r w:rsidRPr="005500AB">
        <w:t>(Selwyn, 2014)</w:t>
      </w:r>
      <w:r w:rsidRPr="005500AB">
        <w:rPr>
          <w:bCs/>
        </w:rPr>
        <w:fldChar w:fldCharType="end"/>
      </w:r>
      <w:r w:rsidRPr="005500AB">
        <w:rPr>
          <w:bCs/>
        </w:rPr>
        <w:t>.</w:t>
      </w:r>
    </w:p>
    <w:p w14:paraId="02A8E7E9" w14:textId="77777777" w:rsidR="005500AB" w:rsidRDefault="005500AB" w:rsidP="005500AB">
      <w:pPr>
        <w:widowControl/>
        <w:autoSpaceDE/>
        <w:autoSpaceDN/>
        <w:spacing w:before="120" w:after="120"/>
        <w:jc w:val="both"/>
        <w:rPr>
          <w:bCs/>
        </w:rPr>
      </w:pPr>
      <w:r w:rsidRPr="005500AB">
        <w:rPr>
          <w:bCs/>
        </w:rPr>
        <w:t>Sanal dünya, sunduğu fırsatlarla toplumsal ve bireysel gelişimi destekleyen bir alan olmasının yanı sıra, çeşitli riskleri de beraberinde getirmektedir. Bu bağlamda, bireylerin dijital okuryazarlık becerilerini geliştirmesi ve sanal dünyada etik bir duruş sergilemesi büyük önem taşımaktadır. Aynı şekilde, devletler ve kurumlar da bu alanın düzenlenmesi ve güvenli hale getirilmesi için gerekli adımları atmalıdır. Sanal dünyanın potansiyelinden tam anlamıyla faydalanabilmek için risklerin farkında olmak ve bu riskleri minimize edecek stratejiler geliştirmek gerekmektedir.</w:t>
      </w:r>
    </w:p>
    <w:p w14:paraId="745A9390" w14:textId="77777777" w:rsidR="008003D6" w:rsidRPr="005500AB" w:rsidRDefault="008003D6" w:rsidP="005500AB">
      <w:pPr>
        <w:widowControl/>
        <w:autoSpaceDE/>
        <w:autoSpaceDN/>
        <w:spacing w:before="120" w:after="120"/>
        <w:jc w:val="both"/>
        <w:rPr>
          <w:bCs/>
        </w:rPr>
      </w:pPr>
    </w:p>
    <w:p w14:paraId="24D57EB5" w14:textId="77777777" w:rsidR="005500AB" w:rsidRPr="005500AB" w:rsidRDefault="005500AB" w:rsidP="008003D6">
      <w:pPr>
        <w:widowControl/>
        <w:autoSpaceDE/>
        <w:autoSpaceDN/>
        <w:jc w:val="both"/>
        <w:rPr>
          <w:b/>
          <w:bCs/>
        </w:rPr>
      </w:pPr>
      <w:r w:rsidRPr="005500AB">
        <w:rPr>
          <w:b/>
          <w:bCs/>
        </w:rPr>
        <w:t>3.2.1. Bilgi Kirliliği ve Yanlış Yönlendirme Tehlikesi</w:t>
      </w:r>
    </w:p>
    <w:p w14:paraId="2D6AADEA" w14:textId="77777777" w:rsidR="005500AB" w:rsidRPr="005500AB" w:rsidRDefault="005500AB" w:rsidP="008003D6">
      <w:pPr>
        <w:widowControl/>
        <w:autoSpaceDE/>
        <w:autoSpaceDN/>
        <w:jc w:val="both"/>
      </w:pPr>
      <w:r w:rsidRPr="005500AB">
        <w:t xml:space="preserve">Günümüzde dijital teknolojilerin hızla yaygınlaşması, bireylerin bilgiye erişim süreçlerini kökten değiştirmiştir. İnternet ve sosyal medya platformları, her yaştan ve her kesimden birey için bilgiye hızlı ve kolay ulaşım imkânı sunmaktadır. Ancak bu durum, beraberinde bilgi kirliliği ve yanlış yönlendirme tehlikesini de getirmektedir. Özellikle doğruluğu teyit edilmemiş </w:t>
      </w:r>
      <w:r w:rsidRPr="005500AB">
        <w:lastRenderedPageBreak/>
        <w:t xml:space="preserve">bilgilerin hızla yayılması, bireylerin algılarında karmaşa yaratmakta ve toplumda yanlış kanaatlerin oluşmasına neden olmaktadır </w:t>
      </w:r>
      <w:r w:rsidRPr="005500AB">
        <w:fldChar w:fldCharType="begin"/>
      </w:r>
      <w:r w:rsidRPr="005500AB">
        <w:instrText xml:space="preserve"> ADDIN ZOTERO_ITEM CSL_CITATION {"citationID":"wJnu2Jf2","properties":{"formattedCitation":"(Turkle, 2011)","plainCitation":"(Turkle, 2011)","noteIndex":0},"citationItems":[{"id":935,"uris":["http://zotero.org/users/9822074/items/BUAG6A9Q"],"itemData":{"id":935,"type":"book","abstract":"Alone together: Why we expect more from technology and less from each other","event-place":"New York","ISBN":"978-0-465-01021-9","language":"en","publisher":"Basic Books","publisher-place":"New York","source":"www.academia.edu","title":"Alone together: Why we expect more from technology and less from each other","title-short":"Alone together","URL":"https://www.academia.edu/3129910/Alone_together_Why_we_expect_more_from_technology_and_less_from_each_other","author":[{"family":"Turkle","given":"Sherry"}],"issued":{"date-parts":[["2011"]]}}}],"schema":"https://github.com/citation-style-language/schema/raw/master/csl-citation.json"} </w:instrText>
      </w:r>
      <w:r w:rsidRPr="005500AB">
        <w:fldChar w:fldCharType="separate"/>
      </w:r>
      <w:r w:rsidRPr="005500AB">
        <w:t>(Turkle, 2011)</w:t>
      </w:r>
      <w:r w:rsidRPr="005500AB">
        <w:fldChar w:fldCharType="end"/>
      </w:r>
      <w:r w:rsidRPr="005500AB">
        <w:t>.</w:t>
      </w:r>
    </w:p>
    <w:p w14:paraId="709EB169" w14:textId="77777777" w:rsidR="005500AB" w:rsidRPr="005500AB" w:rsidRDefault="005500AB" w:rsidP="005500AB">
      <w:pPr>
        <w:widowControl/>
        <w:autoSpaceDE/>
        <w:autoSpaceDN/>
        <w:spacing w:before="120" w:after="120"/>
        <w:jc w:val="both"/>
      </w:pPr>
      <w:r w:rsidRPr="005500AB">
        <w:t xml:space="preserve">Bilgi kirliliği, sadece bireysel düzeyde değil, toplumsal düzeyde de ciddi sonuçlar doğurabilir. Doğru olmayan bilgilerin yayılması, dini, kültürel ve sosyal değerlerin yanlış anlaşılmasına yol açabilir. Bunun sonucunda bireyler, güvenilir bilgiye ulaşma konusunda zorluk yaşayabilir ve bu durum, toplumsal güvenin zedelenmesine neden olabilir. Bilhassa kriz durumlarında veya hassas konular söz konusu olduğunda, bilgi kirliliğinin etkileri daha da yıkıcı olabilir. Yanlış bilgiler, kamuoyunun yanıltılmasına, yanlış kararların alınmasına ve toplumsal kutuplaşmanın artmasına yol açabilir </w:t>
      </w:r>
      <w:r w:rsidRPr="005500AB">
        <w:fldChar w:fldCharType="begin"/>
      </w:r>
      <w:r w:rsidRPr="005500AB">
        <w:instrText xml:space="preserve"> ADDIN ZOTERO_ITEM CSL_CITATION {"citationID":"wqleICOT","properties":{"formattedCitation":"(A. Yavuz, 2020)","plainCitation":"(A. Yavuz, 2020)","noteIndex":0},"citationItems":[{"id":1045,"uris":["http://zotero.org/users/9822074/items/747GEXQN"],"itemData":{"id":1045,"type":"article-journal","abstract":"Bilgi kirliliği eski bir sorun olsa da sosyal medya ve internet tabanlı mesajlaşma uygulamalarının yaygınlaşmasıyla daha sık gündeme gelmeye başladı. Salgın hastalık gibi kriz dönemlerinde kirli bilginin etkinliğinin tehlikeli olabilecek boyutta arttığı görüldü. Bu yazıda bilgi kirliliği sorununu felsefi açıdan inceleyeceğim. Bilgi kirliliğinin ne olduğu sorusunu tartıştıktan sonra bilgi kirliliğinin üç türü arasındaki ayrımları ele alacağım. Son olarak bilgi kaynağı ve bilgi aktarıcısı olarak bir öznenin sorumluluklarının neler olduğu konusunu inceleyeceğim. Tartışmanın pratik sonuçlarını salgın hastalık ile ilgili örnekler seçerek canlandırmaya çalışacağım.","container-title":"MSGSÜ Sosyal Bilimler","ISSN":"1309-4815, 2822-6852","issue":"22","language":"tr","note":"number: 22\npublisher: Mimar Sinan Güzel Sanatlar Üniversitesi","page":"203-217","source":"dergipark.org.tr","title":"Bilgi Kirliliği ve Bireysel Sorumluluk: Salgın Deneyimimiz","title-short":"Bilgi Kirliliği ve Bireysel Sorumluluk","volume":"2","author":[{"family":"Yavuz","given":"Alper"}],"issued":{"date-parts":[["2020"]]}}}],"schema":"https://github.com/citation-style-language/schema/raw/master/csl-citation.json"} </w:instrText>
      </w:r>
      <w:r w:rsidRPr="005500AB">
        <w:fldChar w:fldCharType="separate"/>
      </w:r>
      <w:r w:rsidRPr="005500AB">
        <w:t>(A. Yavuz, 2020)</w:t>
      </w:r>
      <w:r w:rsidRPr="005500AB">
        <w:fldChar w:fldCharType="end"/>
      </w:r>
      <w:r w:rsidRPr="005500AB">
        <w:t>.</w:t>
      </w:r>
    </w:p>
    <w:p w14:paraId="13090D52" w14:textId="77777777" w:rsidR="005500AB" w:rsidRPr="005500AB" w:rsidRDefault="005500AB" w:rsidP="005500AB">
      <w:pPr>
        <w:widowControl/>
        <w:autoSpaceDE/>
        <w:autoSpaceDN/>
        <w:spacing w:before="120" w:after="120"/>
        <w:jc w:val="both"/>
      </w:pPr>
      <w:r w:rsidRPr="005500AB">
        <w:t xml:space="preserve">Bu bağlamda, sanal dünyada güvenilir kaynakların ön plana çıkarılması ve doğru bilgiye erişimin teşvik edilmesi büyük önem taşımaktadır. Akademik ve etik standartlara uygun içeriklerin üretilmesi, bilgi kirliliğinin olumsuz etkilerini azaltmada kritik bir rol oynayabilir. Eğitim kurumları, medya kuruluşları ve uzman kişiler bu konuda önemli bir sorumluluk üstlenmelidir. Özellikle eğitim müfredatlarında medya okuryazarlığına yer verilmesi, bireylerin dijital dünyada karşılaştıkları bilgileri eleştirel bir gözle değerlendirme becerisi kazanmalarını sağlayacaktır </w:t>
      </w:r>
      <w:r w:rsidRPr="005500AB">
        <w:fldChar w:fldCharType="begin"/>
      </w:r>
      <w:r w:rsidRPr="005500AB">
        <w:instrText xml:space="preserve"> ADDIN ZOTERO_ITEM CSL_CITATION {"citationID":"04hiUM5a","properties":{"formattedCitation":"(Orta\\uc0\\u351{}, 2018; A. Yavuz, 2020)","plainCitation":"(Ortaş, 2018; A. Yavuz, 2020)","noteIndex":0},"citationItems":[{"id":1047,"uris":["http://zotero.org/users/9822074/items/GYYKHCBM"],"itemData":{"id":1047,"type":"article-journal","abstract":"Günümüz bilgi çağında bilgi üretmek, ürettiği bilgiyi yayın yolu ile paylaşmak ve başkasının ürettiği bilgiden haberdar olmak son derece önemlidir. Bugünki gelişmişliğin ölçüsüde bilgiye erişim ve bilgiden bilgi üretmektedir. Özellikle Endüstri 4.0 ve yapay zekânın konuşulduğu günümüzde bilgi edinme kaynakları olan kütüphaneler ve dokümantasyon merkezleri son derece hayati rol oynamaktadırlar. Ancak ülkemizde maalesef bilgiye, kitaba ve kütüphaneye az önem verilmektedir. Bu da iletişim çağının gereklerine ters düşmektedir. Bilgiye zamanında ulaşılmadan ve bilgiden bilgi üretimi sağlanmadan artık gelişmiş olmak mümkün değildir. Türkiye’de bilim politikasına uygun alt bu kapsamda yapı ivedilikle sağlamlaştırmalıdır.","container-title":"Türk Kütüphaneciliği","DOI":"10.24146/tkd.2018.39","ISSN":"2147-9682","issue":"3","journalAbbreviation":"TK","language":"tr","note":"number: 3\npublisher: Türk Kütüphaneciler Derneği","page":"223-232","source":"dergipark.org.tr","title":"Bilgi ve İletişim Çağında Bilimsel Bilgiye Erişimin Önemi ve Türkiye’nin Bilgiye Erişim Potansiyeli","volume":"32","author":[{"family":"Ortaş","given":"İbrahim"}],"issued":{"date-parts":[["2018"]]}}},{"id":1045,"uris":["http://zotero.org/users/9822074/items/747GEXQN"],"itemData":{"id":1045,"type":"article-journal","abstract":"Bilgi kirliliği eski bir sorun olsa da sosyal medya ve internet tabanlı mesajlaşma uygulamalarının yaygınlaşmasıyla daha sık gündeme gelmeye başladı. Salgın hastalık gibi kriz dönemlerinde kirli bilginin etkinliğinin tehlikeli olabilecek boyutta arttığı görüldü. Bu yazıda bilgi kirliliği sorununu felsefi açıdan inceleyeceğim. Bilgi kirliliğinin ne olduğu sorusunu tartıştıktan sonra bilgi kirliliğinin üç türü arasındaki ayrımları ele alacağım. Son olarak bilgi kaynağı ve bilgi aktarıcısı olarak bir öznenin sorumluluklarının neler olduğu konusunu inceleyeceğim. Tartışmanın pratik sonuçlarını salgın hastalık ile ilgili örnekler seçerek canlandırmaya çalışacağım.","container-title":"MSGSÜ Sosyal Bilimler","ISSN":"1309-4815, 2822-6852","issue":"22","language":"tr","note":"number: 22\npublisher: Mimar Sinan Güzel Sanatlar Üniversitesi","page":"203-217","source":"dergipark.org.tr","title":"Bilgi Kirliliği ve Bireysel Sorumluluk: Salgın Deneyimimiz","title-short":"Bilgi Kirliliği ve Bireysel Sorumluluk","volume":"2","author":[{"family":"Yavuz","given":"Alper"}],"issued":{"date-parts":[["2020"]]}}}],"schema":"https://github.com/citation-style-language/schema/raw/master/csl-citation.json"} </w:instrText>
      </w:r>
      <w:r w:rsidRPr="005500AB">
        <w:fldChar w:fldCharType="separate"/>
      </w:r>
      <w:r w:rsidRPr="005500AB">
        <w:t>(Ortaş, 2018; A. Yavuz, 2020)</w:t>
      </w:r>
      <w:r w:rsidRPr="005500AB">
        <w:fldChar w:fldCharType="end"/>
      </w:r>
      <w:r w:rsidRPr="005500AB">
        <w:t>.</w:t>
      </w:r>
    </w:p>
    <w:p w14:paraId="5D50C626" w14:textId="77777777" w:rsidR="005500AB" w:rsidRPr="005500AB" w:rsidRDefault="005500AB" w:rsidP="005500AB">
      <w:pPr>
        <w:widowControl/>
        <w:autoSpaceDE/>
        <w:autoSpaceDN/>
        <w:spacing w:before="120" w:after="120"/>
        <w:jc w:val="both"/>
      </w:pPr>
      <w:r w:rsidRPr="005500AB">
        <w:t xml:space="preserve">Ayrıca, dijital platformlarda kullanılan algoritmaların şeffaflığı artırılmalı ve kullanıcıların güvenilir kaynaklara yönlendirilmesi sağlanmalıdır. Sosyal medya şirketleri ve arama motorları, yanlış bilgilerin yayılmasını önlemek adına daha etkin filtreleme mekanizmaları geliştirmelidir. Bunun yanı sıra, bireylerin dijital okuryazarlık düzeylerinin artırılması da bilgi kirliliğiyle mücadelede önemli bir adımdır. Bireyler, karşılaştıkları bilgilerin doğruluğunu sorgulama alışkanlığı edinmeli ve güvenilir kaynaklara öncelik vermelidir </w:t>
      </w:r>
      <w:r w:rsidRPr="005500AB">
        <w:fldChar w:fldCharType="begin"/>
      </w:r>
      <w:r w:rsidRPr="005500AB">
        <w:instrText xml:space="preserve"> ADDIN ZOTERO_ITEM CSL_CITATION {"citationID":"ktgthFs5","properties":{"formattedCitation":"(A. Yavuz, 2020; Y\\uc0\\u305{}ld\\uc0\\u305{}r\\uc0\\u305{}m &amp; \\uc0\\u214{}zgen, 2024)","plainCitation":"(A. Yavuz, 2020; Yıldırım &amp; Özgen, 2024)","noteIndex":0},"citationItems":[{"id":1045,"uris":["http://zotero.org/users/9822074/items/747GEXQN"],"itemData":{"id":1045,"type":"article-journal","abstract":"Bilgi kirliliği eski bir sorun olsa da sosyal medya ve internet tabanlı mesajlaşma uygulamalarının yaygınlaşmasıyla daha sık gündeme gelmeye başladı. Salgın hastalık gibi kriz dönemlerinde kirli bilginin etkinliğinin tehlikeli olabilecek boyutta arttığı görüldü. Bu yazıda bilgi kirliliği sorununu felsefi açıdan inceleyeceğim. Bilgi kirliliğinin ne olduğu sorusunu tartıştıktan sonra bilgi kirliliğinin üç türü arasındaki ayrımları ele alacağım. Son olarak bilgi kaynağı ve bilgi aktarıcısı olarak bir öznenin sorumluluklarının neler olduğu konusunu inceleyeceğim. Tartışmanın pratik sonuçlarını salgın hastalık ile ilgili örnekler seçerek canlandırmaya çalışacağım.","container-title":"MSGSÜ Sosyal Bilimler","ISSN":"1309-4815, 2822-6852","issue":"22","language":"tr","note":"number: 22\npublisher: Mimar Sinan Güzel Sanatlar Üniversitesi","page":"203-217","source":"dergipark.org.tr","title":"Bilgi Kirliliği ve Bireysel Sorumluluk: Salgın Deneyimimiz","title-short":"Bilgi Kirliliği ve Bireysel Sorumluluk","volume":"2","author":[{"family":"Yavuz","given":"Alper"}],"issued":{"date-parts":[["2020"]]}}},{"id":1049,"uris":["http://zotero.org/users/9822074/items/7V7E6U6T"],"itemData":{"id":1049,"type":"article-journal","abstract":"Dijitalleşme, teknolojik ilerlemelerin hızlı bir şekilde toplumları etkisi altına almasıyla ortaya çıkan bir dönüşüm sürecidir. Bu süreç, bilgi düzeninin şekillenmesinde önemli bir role sahiptir. Dijitalleşmenin yaygınlaşması, bilgiye erişimi demokratikleştirerek herkesin bu kaynaklara daha rahat ulaşabilmesini sağlamıştır. Ancak, bu kolay erişim beraberinde bilgi düzensizlikleri ve çeşitli manipülasyon risklerini de getirmektedir. İnternet üzerinden hızla yayılan bilgiler arasında doğrulanmamış, yanıltıcı veya çarpıtılmış içeriklerin bulunması, kullanıcıları güvenilir kaynakları seçme konusunda güç durumda bırakmaktadır. Bu bağlamda, dijitalleşme ile bilgi düzensizlikleri arasındaki ilişki, bilgi yönetimi stratejilerini gözden geçirme ihtiyacını ortaya koymaktadır. Bu çalışma, dijitalleşmenin bilgi düzeni üzerindeki karmaşıklığını ve bu bağlamda toplumların karşılaştığı zorlukları anlamaya odaklanmaktadır. İnfodemi ve bilgi düzensizlikleri, bilgi ekosisteminin bozulmasında rol oynayan sosyal medya platformları, algoritmalar, filtre balonu ve yankı odaları, internet gazeteciliği, sosyal medyada algı yönetimi ve propaganda gibi bir kavramsal çerçevede açıklanmaktadır.","container-title":"Akademik Hassasiyetler","DOI":"10.58884/akademik-hassasiyetler.1435823","ISSN":"2148-5933, 2529-0088","issue":"25","language":"tr","note":"number: 25\npublisher: Hüzeyfe Süleyman ARSLAN","page":"500-529","source":"dergipark.org.tr","title":"Dijitalleşme Ekseninde İnfodemi ve Bilgi Düzensizlikleri","volume":"11","author":[{"family":"Yıldırım","given":"Merve Boyacı"},{"family":"Özgen","given":"Ebru"}],"issued":{"date-parts":[["2024"]]}}}],"schema":"https://github.com/citation-style-language/schema/raw/master/csl-citation.json"} </w:instrText>
      </w:r>
      <w:r w:rsidRPr="005500AB">
        <w:fldChar w:fldCharType="separate"/>
      </w:r>
      <w:r w:rsidRPr="005500AB">
        <w:t>(A. Yavuz, 2020; Yıldırım &amp; Özgen, 2024)</w:t>
      </w:r>
      <w:r w:rsidRPr="005500AB">
        <w:fldChar w:fldCharType="end"/>
      </w:r>
      <w:r w:rsidRPr="005500AB">
        <w:t xml:space="preserve">. </w:t>
      </w:r>
    </w:p>
    <w:p w14:paraId="7ECE84F4" w14:textId="77777777" w:rsidR="005500AB" w:rsidRDefault="005500AB" w:rsidP="005500AB">
      <w:pPr>
        <w:widowControl/>
        <w:autoSpaceDE/>
        <w:autoSpaceDN/>
        <w:spacing w:before="120" w:after="120"/>
        <w:jc w:val="both"/>
      </w:pPr>
      <w:r w:rsidRPr="005500AB">
        <w:t>Sonuç olarak, bilgi kirliliği ve yanlış yönlendirme tehlikesi, dijital çağın en büyük sorunlarından biridir. Bu sorunun çözümü, yalnızca bireysel çabalarla değil, aynı zamanda toplumsal iş birliği ile mümkündür. Eğitim kurumları, medya kuruluşları, teknoloji şirketleri ve bireyler arasında güçlü bir koordinasyon sağlanarak, sanal dünyada doğru bilginin yaygınlaştırılması hedeflenmelidir. Bu sayede hem bireylerin hem de toplumun bilinçli bir şekilde bilgiye erişimi desteklenebilir ve bilgi kirliliğinin olumsuz etkileri en aza indirilebilir.</w:t>
      </w:r>
    </w:p>
    <w:p w14:paraId="2BEC9260" w14:textId="77777777" w:rsidR="008003D6" w:rsidRPr="005500AB" w:rsidRDefault="008003D6" w:rsidP="005500AB">
      <w:pPr>
        <w:widowControl/>
        <w:autoSpaceDE/>
        <w:autoSpaceDN/>
        <w:spacing w:before="120" w:after="120"/>
        <w:jc w:val="both"/>
      </w:pPr>
    </w:p>
    <w:p w14:paraId="53CF8D16" w14:textId="77777777" w:rsidR="005500AB" w:rsidRPr="005500AB" w:rsidRDefault="005500AB" w:rsidP="008003D6">
      <w:pPr>
        <w:widowControl/>
        <w:autoSpaceDE/>
        <w:autoSpaceDN/>
        <w:jc w:val="both"/>
        <w:rPr>
          <w:b/>
          <w:bCs/>
        </w:rPr>
      </w:pPr>
      <w:r w:rsidRPr="005500AB">
        <w:rPr>
          <w:b/>
          <w:bCs/>
        </w:rPr>
        <w:t>3.2.2. Gençlere Ulaşmada Geniş Erişim İmkânı</w:t>
      </w:r>
    </w:p>
    <w:p w14:paraId="5C6455FD" w14:textId="77777777" w:rsidR="005500AB" w:rsidRPr="005500AB" w:rsidRDefault="005500AB" w:rsidP="008003D6">
      <w:pPr>
        <w:widowControl/>
        <w:autoSpaceDE/>
        <w:autoSpaceDN/>
        <w:jc w:val="both"/>
      </w:pPr>
      <w:r w:rsidRPr="005500AB">
        <w:t xml:space="preserve">Günümüzde dijitalleşme, eğitim süreçlerinde köklü değişimlere yol açmakta ve özellikle gençlere ulaşmada yeni fırsatlar sunmaktadır. Sanal platformların geniş erişim imkânları, bu bağlamda önemli bir avantaj olarak değerlendirilmektedir. Gençlerin yoğun bir şekilde dijital dünyada vakit geçirdiği göz önüne alındığında, bu platformlar aracılığıyla onlara bilgi ve değer aktarımı yapmak </w:t>
      </w:r>
      <w:r w:rsidRPr="005500AB">
        <w:fldChar w:fldCharType="begin"/>
      </w:r>
      <w:r w:rsidRPr="005500AB">
        <w:instrText xml:space="preserve"> ADDIN ZOTERO_ITEM CSL_CITATION {"citationID":"MUW956KD","properties":{"formattedCitation":"(Yaz\\uc0\\u305{}ba\\uc0\\u351{}\\uc0\\u305{}, 2024)","plainCitation":"(Yazıbaşı, 2024)","noteIndex":0},"citationItems":[{"id":949,"uris":["http://zotero.org/users/9822074/items/8YZBZ33T"],"itemData":{"id":949,"type":"book","event-place":"Ankara","ISBN":"9786256254824","number-of-pages":"110","publisher":"İlâhiyat Yayınları","publisher-place":"Ankara","title":"Z Kuşağına Göre Din ve Değer Eğitiminde Babanın Rolü","author":[{"family":"Yazıbaşı","given":"Muhammed"}],"issued":{"date-parts":[["2024"]]}}}],"schema":"https://github.com/citation-style-language/schema/raw/master/csl-citation.json"} </w:instrText>
      </w:r>
      <w:r w:rsidRPr="005500AB">
        <w:fldChar w:fldCharType="separate"/>
      </w:r>
      <w:r w:rsidRPr="005500AB">
        <w:t>(Yazıbaşı, 2024)</w:t>
      </w:r>
      <w:r w:rsidRPr="005500AB">
        <w:fldChar w:fldCharType="end"/>
      </w:r>
      <w:r w:rsidRPr="005500AB">
        <w:t>, eğitimciler için stratejik bir önem taşımaktadır.</w:t>
      </w:r>
    </w:p>
    <w:p w14:paraId="1043B250" w14:textId="77777777" w:rsidR="005500AB" w:rsidRPr="005500AB" w:rsidRDefault="005500AB" w:rsidP="005500AB">
      <w:pPr>
        <w:widowControl/>
        <w:autoSpaceDE/>
        <w:autoSpaceDN/>
        <w:spacing w:before="120" w:after="120"/>
        <w:jc w:val="both"/>
      </w:pPr>
      <w:r w:rsidRPr="005500AB">
        <w:t xml:space="preserve">Özellikle manevi içeriklerin dijital platformlar üzerinden hızlı ve kolay bir şekilde erişilebilir olması, gençlerin bu tür bilgi ve değerlerle daha sık karşılaşmasını sağlamaktadır. Geleneksel yöntemlerle kıyaslandığında, dijital araçlar bilgiye erişim sürecini hızlandırmakla kalmayıp, aynı zamanda bu bilgilerin yaygınlaşmasını da kolaylaştırmaktadır. Bu durum, gençlerin bilişsel ve duygusal gelişimlerine katkı sağlayabilecek içeriklerin daha geniş kitlelere ulaşmasını mümkün kılmaktadır </w:t>
      </w:r>
      <w:r w:rsidRPr="005500AB">
        <w:fldChar w:fldCharType="begin"/>
      </w:r>
      <w:r w:rsidRPr="005500AB">
        <w:instrText xml:space="preserve"> ADDIN ZOTERO_ITEM CSL_CITATION {"citationID":"9sRr1ijE","properties":{"formattedCitation":"(\\uc0\\u350{}im\\uc0\\u351{}ek, 2024)","plainCitation":"(Şimşek, 2024)","noteIndex":0},"citationItems":[{"id":532,"uris":["http://zotero.org/users/9822074/items/5ZBEX4D8"],"itemData":{"id":532,"type":"article-journal","abstract":"İletişim araçlarının yaygınlaşmasıyla bilgiye ulaşmak bir sorun olmaktan çıkmış, bilgiye ulaşma şekli ve güvenirliliği daha önemli hale gelmiştir. Ana öğesinin bilgi olduğu eğitimin de bu dönüşümden önemli ölçüde etkilendiği söylenebilir. Teknolojik imkânların eğitimde kullanılmaya başlanmasıyla birlikte gerek ulaşılan bilginin niceliği ve gerekse elde edilen bilginin çeşitliliğinde yüksek düzeyde bir artma gözlemlenmektedir. Din eğitiminin de iletişim alanındaki gelişmelerden payına düşeni alarak eğitim materyalleri açısından gerekli dönüşümleri zamanında gerçekleştirmesi elzemdir. Nitekim din eğitiminin dijital araçları kullanmada diğer eğitim alanlarından geride kalması dinin gelecek nesillere aktarılmasında ciddi problemleri beraberinde getirecektir. Din eğitimi, toplumların kültürel ve manevi değerlerini yeni nesle aktarmanın temel yollarından biri olduğu için, dijitalleşme sürecinin bu alana uyumu büyük önem arz etmektedir. Bir yaygın din eğitimi aracı olarak değerlendirilebilecek dijital mecralar birçok kişinin rahatlıkla ulaşabileceği avantajları barındırırken, her konunun her ortamda konuşulması, tartışılması ve anlatılması aynı zamanda kafa karışıklığına, ulaşılan bilginin sıhhatiyle ilgili tereddütlere sebep olmakta, bu da din öğretiminin kontrolünü zorlaştırmaktadır. Makalede, dijital çağda din eğitimi ve öğreniminin dinamikleri, 567 katılımcıyı kapsayan bir anket çalışmasıyla incelenmeye çalışılmıştır. Araştırmada dijital platformların din eğitimi üzerindeki etkileri, katkıları ve potansiyel zorlukları ayrıntılı bir şekilde ele alınmıştır. Dijital medyanın din öğretimindeki yeri, bu yeni ortamda bilgi doğruluğunun nasıl sağlanabileceği ve eğitimin niteliğindeki dönüşüm tartışılarak kontrol mekanizmaları tespit edilmeye gayret edilmiştir. Anket sonuçları, katılımcıların önemli bir kısmının din eğitimiyle ilgili bilgileri dijital kanallar aracılığıyla edinmeye yönelik bir eğilim içerisinde olduğunu ortaya koymuştur. Bu eğilim, dijital araçların din eğitimi süreçlerine sağladığı olumlu katkıları göstermektedir. Katılımcılar, teknolojik imkanların eğitimde kullanılmasının bilgiye ulaşmayı kolaylaştırdığını ve bilgi çeşitliliğini artırdığını ifade etmiştir. Ancak, dijital ortamda sunulan dini içeriklerin kalitesi ve güvenilirliği hususunda endişeler de dile getirilmiştir. Makale, dijital platformlarda sunulan din eğitiminin nitelikleri ve bireylerin dini anlayışları üzerindeki etkisini de değerlendirmekte, dijital din eğitiminin potansiyelini ve bu alanda karşılaşılan zorlukların üstesinden gelmek için atılması gereken adımlara yönelik düşünceler ortaya koymaktadır. Ayrıca, dijital platformlarda sunulan din eğitiminin nitelikleri ve bireylerin dini anlayışları ve yaşayışları üzerindeki etkisi incelenmiştir. Bu bulgular, dijital araçların din eğitimi süreçlerine sağladığı olumlu katkıları ortaya koyarken, aynı zamanda teknolojinin yaygınlaşmasının din eğitiminin geleceği üzerinde nasıl bir etki yarattığını da vurgulamaktadır. Araştırma, dijital çağda din eğitiminin önemini ve bu alandaki çalışmaların, eğitim süreçlerini daha etkili, erişilebilir ve kapsayıcı hale getirecek şekilde yönlendirilmesi gerektiğini göstermektedir. Eğitimin kalitesini ve güvenilirliğini sağlamak amacıyla dijital eğitim araçlarının etkin kullanımı, eğitim kalitesini artırmak için atılması gereken adımlar ve karşılaşılan zorlukların üstesinden gelmek için stratejilerin geliştirilmesi gerekmektedir. Makale, dijital platformların din eğitimi ve öğreniminin nasıl şekillendirilebileceğine dair kapsamlı bir bakış sunmaya çalışmış, dijital eğitim araçlarının din eğitimi süreçlerinde nasıl daha etkin kullanılabileceğini tartışmıştır. Nitel araştırma yöntemlerinden durum çalışması deseni uygulanan makalede veri toplama aracı anket çalışması yapılmıştır. Toplanan verilerin değerlendirilmesinde betimsel analiz yöntemi kullanılmıştır.","container-title":"İlahiyat Akademi","DOI":"10.52886/ilak.1435052","ISSN":"2149-3979, 2651-2718","issue":"19","language":"tr","note":"number: 19\npublisher: Gaziantep University","page":"249-283","source":"dergipark.org.tr","title":"Dijital Din Eğitimi","author":[{"family":"Şimşek","given":"Muhammed Emin"}],"issued":{"date-parts":[["2024"]]}}}],"schema":"https://github.com/citation-style-language/schema/raw/master/csl-citation.json"} </w:instrText>
      </w:r>
      <w:r w:rsidRPr="005500AB">
        <w:fldChar w:fldCharType="separate"/>
      </w:r>
      <w:r w:rsidRPr="005500AB">
        <w:t>(Şimşek, 2024)</w:t>
      </w:r>
      <w:r w:rsidRPr="005500AB">
        <w:fldChar w:fldCharType="end"/>
      </w:r>
      <w:r w:rsidRPr="005500AB">
        <w:t>.</w:t>
      </w:r>
    </w:p>
    <w:p w14:paraId="101C7404" w14:textId="77777777" w:rsidR="005500AB" w:rsidRPr="005500AB" w:rsidRDefault="005500AB" w:rsidP="005500AB">
      <w:pPr>
        <w:widowControl/>
        <w:autoSpaceDE/>
        <w:autoSpaceDN/>
        <w:spacing w:before="120" w:after="120"/>
        <w:jc w:val="both"/>
      </w:pPr>
      <w:r w:rsidRPr="005500AB">
        <w:t xml:space="preserve">Bununla birlikte, dijital platformların sunduğu etkileşimli öğrenme ortamları, öğrenme sürecini daha etkili hale getirmektedir. Etkileşimli uygulamalar, oyunlaştırma teknikleri ve multimedya </w:t>
      </w:r>
      <w:r w:rsidRPr="005500AB">
        <w:lastRenderedPageBreak/>
        <w:t xml:space="preserve">içerikleri gibi araçlar, gençlerin öğrenme süreçlerine aktif katılımını teşvik etmektedir. Bu tür yöntemler, bilgilerin kalıcılığını artırmakta ve öğrenmeyi daha eğlenceli bir hale getirmektedir </w:t>
      </w:r>
      <w:r w:rsidRPr="005500AB">
        <w:fldChar w:fldCharType="begin"/>
      </w:r>
      <w:r w:rsidRPr="005500AB">
        <w:instrText xml:space="preserve"> ADDIN ZOTERO_ITEM CSL_CITATION {"citationID":"YADEwLzL","properties":{"formattedCitation":"(\\uc0\\u214{}. Y\\uc0\\u305{}lmaz, 2023)","plainCitation":"(Ö. Yılmaz, 2023)","noteIndex":0},"citationItems":[{"id":1051,"uris":["http://zotero.org/users/9822074/items/7UGHZTXI"],"itemData":{"id":1051,"type":"chapter","abstract":"Hızlı teknolojik ilerleme, eğitim alanında önemli bir değişim ve dönüşüme yol açmıştır. Bu değişim, öğrenme süreçlerinin daha etkileşimli hale getirilmesi ve öğrenme ortamlarının daha çeşitli ve ilgi çekici hale getirilmesi yoluyla öğrencilerin aktif katılımını teşvik etmiştir. Bu durum, öğrencilerin öğrenme motivasyonunu ve sonuçlarını olumlu yönde etkilemektedir. “Dijital Çözümlerle Yenilikçi Fen Öğretimi” ise öğretmenlere, dijital teknolojileri kullanarak öğrencilere daha etkili bir fen eğitimi sunma fırsatı sunmaktadır. Öğrenciler, çevrimiçi eğitim materyalleri sayesinde fen konularını daha iyi anlayabilirler ve öğrenme materyallerine daha kolay erişebilirler. Öğretmenler, öğrencilerin ilerlemesini izlemek ve öğrenme süreçlerine uygun bir şekilde müdahale etmek için çeşitli dijital araçlar kullanabilirler. Bu teknolojik ilerleme, aynı zamanda öğrenme ortamlarının da değişimine yol açmaktadır. Geleneksel sınıf ortamlarının yerini, öğrencilerin her yerden erişebilecekleri çevrimiçi etkileşimli öğrenme ortamları almaktadır. Bu sayede öğrenciler, öğrenme süreçlerini kendi hızlarına göre yönetebilirler ve kendi öğrenme ihtiyaçlarına uygun olarak öğrenme materyallerini seçebilirler. Bu çalışmada, “Dijital Çözümlerle Yenilikçi Fen Öğretimi: Öğrenme Ortamları ve Teknolojiler” konusu detaylı bir şekilde incelenmiştir","container-title":"Educational Sciences Research- III","event-place":"Gaziantep","language":"tr","note":"publisher: Özgür Publications","page":"89-125","publisher":"Özgür Publications","publisher-place":"Gaziantep","source":"avesis.ebyu.edu.tr","title":"Innovative Science Education with Digital Solutions: Learning Environments and Technologies","title-short":"Innovative Science Education with Digital Solutions","URL":"https://avesis.ebyu.edu.tr/yayin/e6ee0bd7-2f01-4ce1-85e2-54aec1597ecc/innovative-science-education-with-digital-solutions-learning-environments-and-technologies","author":[{"family":"Yılmaz","given":"Özkan"}],"accessed":{"date-parts":[["2025",1,30]]},"issued":{"date-parts":[["2023"]]}}}],"schema":"https://github.com/citation-style-language/schema/raw/master/csl-citation.json"} </w:instrText>
      </w:r>
      <w:r w:rsidRPr="005500AB">
        <w:fldChar w:fldCharType="separate"/>
      </w:r>
      <w:r w:rsidRPr="005500AB">
        <w:t>(Ö. Yılmaz, 2023)</w:t>
      </w:r>
      <w:r w:rsidRPr="005500AB">
        <w:fldChar w:fldCharType="end"/>
      </w:r>
      <w:r w:rsidRPr="005500AB">
        <w:t>. Ancak bu noktada, içeriklerin pedagojik açıdan uygun bir şekilde tasarlanması büyük önem taşımaktadır. Eğitimcilerin, gençlerin bilişsel düzeylerini ve duygusal ihtiyaçlarını dikkate alarak dijital araçları yapılandırmaları gerekmektedir.</w:t>
      </w:r>
    </w:p>
    <w:p w14:paraId="2E9B85D6" w14:textId="77777777" w:rsidR="005500AB" w:rsidRPr="005500AB" w:rsidRDefault="005500AB" w:rsidP="005500AB">
      <w:pPr>
        <w:widowControl/>
        <w:autoSpaceDE/>
        <w:autoSpaceDN/>
        <w:spacing w:before="120" w:after="120"/>
        <w:jc w:val="both"/>
      </w:pPr>
      <w:r w:rsidRPr="005500AB">
        <w:t xml:space="preserve">Dijital platformların sağladığı olanakların etkili bir şekilde kullanılabilmesi için eğitimcilerin teknolojiyi sadece bir araç olarak görmemeleri, aynı zamanda pedagojik yaklaşımları dijital dünyaya entegre etmeleri gerekmektedir. Örneğin, sanal sınıflar veya çevrimiçi tartışma grupları gibi araçlar, gençlerin hem bireysel öğrenme süreçlerini desteklemekte hem de topluluk içinde </w:t>
      </w:r>
      <w:proofErr w:type="gramStart"/>
      <w:r w:rsidRPr="005500AB">
        <w:t>işbirliği</w:t>
      </w:r>
      <w:proofErr w:type="gramEnd"/>
      <w:r w:rsidRPr="005500AB">
        <w:t xml:space="preserve"> yapmalarını sağlamaktadır. Bu tür uygulamalar, sadece bilgi aktarımını değil, aynı zamanda eleştirel düşünme, problem çözme ve sosyal becerilerin gelişimini de teşvik etmektedir </w:t>
      </w:r>
      <w:r w:rsidRPr="005500AB">
        <w:fldChar w:fldCharType="begin"/>
      </w:r>
      <w:r w:rsidRPr="005500AB">
        <w:instrText xml:space="preserve"> ADDIN ZOTERO_ITEM CSL_CITATION {"citationID":"mfzBgiRn","properties":{"formattedCitation":"(G\\uc0\\u252{}nd\\uc0\\u252{}zalp, 2021)","plainCitation":"(Gündüzalp, 2021)","noteIndex":0},"citationItems":[{"id":1055,"uris":["http://zotero.org/users/9822074/items/B9PXT659"],"itemData":{"id":1055,"type":"article-journal","abstract":"Bu çalışma web 2.0 araçları ile zenginleştirilmiş çevrimiçi öğrenmenin öğrencilerin üst bilişsel ve yaratıcı düşünme becerilerine olan etkilerini belirlemek amacıyla gerçekleştirilmiştir. Çalışma yakınsayan paralel desen ile yürütülmüştür. Araştırma grubu durum örneklemesi yöntemi ile belirlenmiştir. Çalışmanın veri toplama araçları üst bilişsel düşünme becerileri ölçeği (ÜBDBÖ), marmara yaratıcı düşünme eğilimleri ölçeği (MYDEÖ) ve görüşme formudur. Çalışmadan elde edilen bulgulara göre üstbilişsel düşünme becerileri ve yaratıcı düşünme eğilimleri açısından deney grubunun ön test son test puanları arasında son test puanları lehine anlamlı farklılıklar olduğu görülmüştür. Ayrıca deney ve kontrol gruplarının üst bilişsel düşünme becerileri yaratıcı düşünme eğilimleri ön test son test puanları arasında son test puanları deney grubu lehine anlamlı farklılıklar olduğu görülmüştür. Öğrenci görüşlerine yönelik bulgularında bu bulguları desteklediği belirlenmiştir. Sonuç olarak çevrimiçi öğrenmeyi web 2.0 araçları ile zenginleştirmek, öğrencilerin üst bilişsel düşünme becerilerine ve yaratıcı düşünme eğilimlerine önemli katkılar sunmuş ve öğrencilerin web 2.0 araçları hakkında olumlu düşüncelere sahip olmalarına destek olmuştur.","container-title":"Uluslararası Türkçe Edebiyat Kültür Eğitim (TEKE) Dergisi","ISSN":"2147-0146, 2147-0146","issue":"3","journalAbbreviation":"TEKE","language":"tr","note":"number: 3\npublisher: Cengiz ALYILMAZ","page":"1158-1177","source":"dergipark.org.tr","title":"Web 2.0 Araçları ile Zenginleştirilmiş Çevrimiçi Öğrenmenin Öğrencilerin Üst Bilişsel ve Yaratıcı Düşünme Becerilerine Etkisi","volume":"10","author":[{"family":"Gündüzalp","given":"Cengiz"}],"issued":{"date-parts":[["2021"]]}}}],"schema":"https://github.com/citation-style-language/schema/raw/master/csl-citation.json"} </w:instrText>
      </w:r>
      <w:r w:rsidRPr="005500AB">
        <w:fldChar w:fldCharType="separate"/>
      </w:r>
      <w:r w:rsidRPr="005500AB">
        <w:t>(Gündüzalp, 2021)</w:t>
      </w:r>
      <w:r w:rsidRPr="005500AB">
        <w:fldChar w:fldCharType="end"/>
      </w:r>
      <w:r w:rsidRPr="005500AB">
        <w:t>.</w:t>
      </w:r>
    </w:p>
    <w:p w14:paraId="1F6A280E" w14:textId="77777777" w:rsidR="005500AB" w:rsidRDefault="005500AB" w:rsidP="005500AB">
      <w:pPr>
        <w:widowControl/>
        <w:autoSpaceDE/>
        <w:autoSpaceDN/>
        <w:spacing w:before="120" w:after="120"/>
        <w:jc w:val="both"/>
      </w:pPr>
      <w:r w:rsidRPr="005500AB">
        <w:t xml:space="preserve">Sonuç olarak, sanal platformlar gençlere ulaşmada büyük bir potansiyel sunmaktadır. Ancak bu potansiyelin etkili bir şekilde hayata geçirilebilmesi için eğitimcilerin titiz bir planlama yapması ve dijital araçları pedagojik hedeflere uygun bir şekilde kullanması gerekmektedir. Bu sayede, dijital platformların sunduğu geniş erişim imkânları, gençlerin hem bilişsel hem de duygusal gelişimlerine katkı sağlayacak şekilde optimize edilebilir. Eğitim süreçlerinin dijitalleşmeyle birlikte daha kapsayıcı ve etkili hale gelmesi, geleceğin bireylerinin çok yönlü gelişimine önemli katkılar sunacaktır. </w:t>
      </w:r>
    </w:p>
    <w:p w14:paraId="538DFFCE" w14:textId="77777777" w:rsidR="008003D6" w:rsidRPr="005500AB" w:rsidRDefault="008003D6" w:rsidP="005500AB">
      <w:pPr>
        <w:widowControl/>
        <w:autoSpaceDE/>
        <w:autoSpaceDN/>
        <w:spacing w:before="120" w:after="120"/>
        <w:jc w:val="both"/>
      </w:pPr>
    </w:p>
    <w:p w14:paraId="468F553C" w14:textId="77777777" w:rsidR="005500AB" w:rsidRPr="005500AB" w:rsidRDefault="005500AB" w:rsidP="008003D6">
      <w:pPr>
        <w:widowControl/>
        <w:autoSpaceDE/>
        <w:autoSpaceDN/>
        <w:jc w:val="both"/>
        <w:rPr>
          <w:b/>
          <w:bCs/>
        </w:rPr>
      </w:pPr>
      <w:r w:rsidRPr="005500AB">
        <w:rPr>
          <w:b/>
          <w:bCs/>
        </w:rPr>
        <w:t xml:space="preserve">4. Z KUŞAĞINA UYGUN MANEVİ EĞİTİM STRATEJİLERİ  </w:t>
      </w:r>
    </w:p>
    <w:p w14:paraId="03C5C8D3" w14:textId="77777777" w:rsidR="005500AB" w:rsidRPr="005500AB" w:rsidRDefault="005500AB" w:rsidP="008003D6">
      <w:pPr>
        <w:widowControl/>
        <w:autoSpaceDE/>
        <w:autoSpaceDN/>
        <w:jc w:val="both"/>
        <w:rPr>
          <w:b/>
          <w:bCs/>
        </w:rPr>
      </w:pPr>
      <w:r w:rsidRPr="005500AB">
        <w:rPr>
          <w:b/>
          <w:bCs/>
        </w:rPr>
        <w:t>4.1. Etkileşimli ve Teknoloji Odaklı Yaklaşımlar</w:t>
      </w:r>
    </w:p>
    <w:p w14:paraId="55B5FAF4" w14:textId="77777777" w:rsidR="005500AB" w:rsidRDefault="005500AB" w:rsidP="008003D6">
      <w:pPr>
        <w:widowControl/>
        <w:autoSpaceDE/>
        <w:autoSpaceDN/>
        <w:jc w:val="both"/>
        <w:rPr>
          <w:bCs/>
        </w:rPr>
      </w:pPr>
      <w:r w:rsidRPr="005500AB">
        <w:rPr>
          <w:bCs/>
        </w:rPr>
        <w:t xml:space="preserve">Günümüzün hızla değişen dijital dünyasında, Z kuşağı bireylerinin manevi eğitimi, geleneksel yöntemlerin ötesine geçerek daha yenilikçi ve etkileşimli yaklaşımları gerektirmektedir. Teknolojiyle iç içe büyüyen bu nesil, bilgiye hızlı erişim, görsel-işitsel materyallere olan ilgisi ve bireysel deneyimlere verdiği önem ile dikkat çekmektedir. Bu bağlamda, manevi eğitimin etkili bir şekilde sunulabilmesi için teknoloji odaklı stratejilere yönelmek kaçınılmaz hale gelmiştir </w:t>
      </w:r>
      <w:r w:rsidRPr="005500AB">
        <w:rPr>
          <w:bCs/>
        </w:rPr>
        <w:fldChar w:fldCharType="begin"/>
      </w:r>
      <w:r w:rsidRPr="005500AB">
        <w:rPr>
          <w:bCs/>
        </w:rPr>
        <w:instrText xml:space="preserve"> ADDIN ZOTERO_ITEM CSL_CITATION {"citationID":"O23lLfq7","properties":{"formattedCitation":"(Park vd., 2024)","plainCitation":"(Park vd., 2024)","noteIndex":0},"citationItems":[{"id":1057,"uris":["http://zotero.org/users/9822074/items/DK3CG96Y"],"itemData":{"id":1057,"type":"article-journal","abstract":"Background\nGeneration Z (Gen Z) includes individuals born between 1995 and 2012. These individuals experience high rates of anxiety and depression. Most Gen Z individuals identify with being spiritual, and aspects from religion and spirituality can be integrated into mental health treatment and care as both are related to lower levels of depression. However, research on the spiritual and mental health of Gen Z is sparse. To date, there are no systematic or scoping reviews on digital methods to address the spiritual and mental health of Gen Z.\n\nObjective\nThis scoping review aimed to describe the current state of digital methods to address spiritual and mental health among Gen Z, identify the knowledge gaps, and make suggestions for how to leverage digital spiritual and mental health interventions for Gen Z.\n\nMethods\nA comprehensive literature search was conducted in PubMed, Scopus, PsycInfo, CINAHL, Education Full Text, Google Scholar, SocIndex, and Sociological Abstracts. The inclusion criteria were as follows: (1) study population born between 1995 and 2012 (ie, Gen Z); (2) reporting on spiritual health or well-being, spirituality or religion, and mental health or well-being; (3) reporting on using digital methods; (4) publication in 1996 or beyond; (5) human subject research; (6) full text availability in English; (7) primary research study design; and (8) peer-reviewed article. Two authors screened articles and subsequently extracted data from the included articles to describe the available evidence.\n\nResults\nA total of 413 articles were screened at the title and abstract levels, of which 27 were further assessed with full text for eligibility. Five studies met the inclusion criteria, and data were extracted to summarize study characteristics and findings. The studies were performed across 4 different countries. There were 2 mixed-methods studies (South Africa and Canada), 2 cross-sectional studies (China and United States), and 1 randomized controlled trial (United States). Of these studies, only 2 discussed digital interventions (a text messaging–based intervention to improve spiritual and mental health, and a feasibility study for a mental health app). Other studies had a digital component with minor or unclear spiritual and mental health measures. Overall, there was a lack of consistency in how spiritual and mental health were measured.\n\nConclusions\nFew studies have focused on assessing the spiritual and mental health of Gen Z in the digital context, and no research to date has examined a digital spiritual and mental health application among Gen Z. Research is needed to inform the development and evaluation of approaches to address the spiritual and mental health of Gen Z via digital means (eg, mobile apps).","container-title":"Interactive Journal of Medical Research","DOI":"10.2196/48929","ISSN":"1929-073X","journalAbbreviation":"Interact J Med Res","note":"PMID: 38261532\nPMCID: PMC10879969","page":"e48929","source":"PubMed Central","title":"Digital Methods for the Spiritual and Mental Health of Generation Z: Scoping Review","title-short":"Digital Methods for the Spiritual and Mental Health of Generation Z","volume":"13","author":[{"family":"Park","given":"Susanna Y"},{"family":"Do","given":"Bridgette"},{"family":"Yourell","given":"Jacqlyn"},{"family":"Hermer","given":"Janice"},{"family":"Huberty","given":"Jennifer"}],"issued":{"date-parts":[["2024"]]}}}],"schema":"https://github.com/citation-style-language/schema/raw/master/csl-citation.json"} </w:instrText>
      </w:r>
      <w:r w:rsidRPr="005500AB">
        <w:rPr>
          <w:bCs/>
        </w:rPr>
        <w:fldChar w:fldCharType="separate"/>
      </w:r>
      <w:r w:rsidRPr="005500AB">
        <w:t>(Park vd., 2024)</w:t>
      </w:r>
      <w:r w:rsidRPr="005500AB">
        <w:rPr>
          <w:bCs/>
        </w:rPr>
        <w:fldChar w:fldCharType="end"/>
      </w:r>
      <w:r w:rsidRPr="005500AB">
        <w:rPr>
          <w:bCs/>
        </w:rPr>
        <w:t xml:space="preserve">. Bu yazıda, Z kuşağına uygun manevi eğitimde oyunlaştırma ve sanal gerçeklik uygulamalarının potansiyeli ele alınacaktır.  </w:t>
      </w:r>
    </w:p>
    <w:p w14:paraId="06FAE60D" w14:textId="77777777" w:rsidR="008003D6" w:rsidRPr="005500AB" w:rsidRDefault="008003D6" w:rsidP="008003D6">
      <w:pPr>
        <w:widowControl/>
        <w:autoSpaceDE/>
        <w:autoSpaceDN/>
        <w:jc w:val="both"/>
        <w:rPr>
          <w:bCs/>
        </w:rPr>
      </w:pPr>
    </w:p>
    <w:p w14:paraId="4169343D" w14:textId="77777777" w:rsidR="005500AB" w:rsidRPr="005500AB" w:rsidRDefault="005500AB" w:rsidP="008003D6">
      <w:pPr>
        <w:widowControl/>
        <w:autoSpaceDE/>
        <w:autoSpaceDN/>
        <w:jc w:val="both"/>
        <w:rPr>
          <w:b/>
          <w:bCs/>
        </w:rPr>
      </w:pPr>
      <w:r w:rsidRPr="005500AB">
        <w:rPr>
          <w:b/>
          <w:bCs/>
        </w:rPr>
        <w:t>4.1.1. Oyunlaştırma ve Sanal Gerçeklik Uygulamaları</w:t>
      </w:r>
    </w:p>
    <w:p w14:paraId="7C05DA94" w14:textId="77777777" w:rsidR="005500AB" w:rsidRPr="005500AB" w:rsidRDefault="005500AB" w:rsidP="008003D6">
      <w:pPr>
        <w:widowControl/>
        <w:autoSpaceDE/>
        <w:autoSpaceDN/>
        <w:jc w:val="both"/>
        <w:rPr>
          <w:bCs/>
        </w:rPr>
      </w:pPr>
      <w:r w:rsidRPr="005500AB">
        <w:rPr>
          <w:bCs/>
        </w:rPr>
        <w:t xml:space="preserve">Oyunlaştırma, eğitim süreçlerine oyun unsurlarının entegre edilmesiyle bireylerin motivasyonunu artırmayı hedefleyen bir yaklaşımdır. Z kuşağı bireyleri, oyunlara olan ilgileri ve rekabetçi yapılarıyla bu yönteme oldukça yatkındır. Manevi eğitimde oyunlaştırma, soyut kavramların somut hale getirilmesinde etkili bir araç olarak kullanılabilir </w:t>
      </w:r>
      <w:r w:rsidRPr="005500AB">
        <w:rPr>
          <w:bCs/>
        </w:rPr>
        <w:fldChar w:fldCharType="begin"/>
      </w:r>
      <w:r w:rsidRPr="005500AB">
        <w:rPr>
          <w:bCs/>
        </w:rPr>
        <w:instrText xml:space="preserve"> ADDIN ZOTERO_ITEM CSL_CITATION {"citationID":"dGKt9u0P","properties":{"formattedCitation":"(Cengiz, 2023)","plainCitation":"(Cengiz, 2023)","noteIndex":0},"citationItems":[{"id":1060,"uris":["http://zotero.org/users/9822074/items/MVDYVIBX"],"itemData":{"id":1060,"type":"article-journal","abstract":"İnternet ve kişisel elektronik cihazların kullanımının yaygınlaşmasıyla beraber dijital dünya daha önce hiç olmadığı kadar genişlemiş ve günlük hayattaki yerini sağlamlaştırmıştır. Dijitalin bu şekilde merkezi bir rol kazanması sosyal bilimlerin ilgisini çekmiş ve bu doğrultuda internet çalışmaları ya da dijitale yönelik araştırmalar son yıllarda hız kazanmıştır. İnternetin, kullanıma sunulduğu ilk yıllarda tartışıldığı gibi geçici bir safha niteliği taşımadığı artık açıktır. Dijital dünyaya dair ilginç bir karşılaşma noktası ise dijital dünyada yer alan dindir. Heidi Campbell ve Ruth Tsuria’nın editörlüğünü yaptığı Digital Religion: Understanding Religious Practice in Digital Media kitabı (Dijital Din: Dijital Medyada İcra Edilen Dini Pratikleri Anlamak), 20’den fazla yazarın katkı sunduğu, bu konuda yayımlanmış kapsamlı çalışmalardan biridir.","container-title":"Journal of Media and Religion Studies","DOI":"10.47951/mediad.1237539","ISSN":"2636-8811, 2636-8811","issue":"1","journalAbbreviation":"MEDİAD","language":"tr","note":"number: 1\npublisher: Hakan AYDIN","page":"235-241","source":"dergipark.org.tr","title":"Dijital Din: Dijital Medyada İcra Edilen Dini Pratikleri Anlamak","title-short":"Dijital Din","volume":"6","author":[{"family":"Cengiz","given":"Ömer Faruk"}],"issued":{"date-parts":[["2023"]]}}}],"schema":"https://github.com/citation-style-language/schema/raw/master/csl-citation.json"} </w:instrText>
      </w:r>
      <w:r w:rsidRPr="005500AB">
        <w:rPr>
          <w:bCs/>
        </w:rPr>
        <w:fldChar w:fldCharType="separate"/>
      </w:r>
      <w:r w:rsidRPr="005500AB">
        <w:t>(Cengiz, 2023)</w:t>
      </w:r>
      <w:r w:rsidRPr="005500AB">
        <w:rPr>
          <w:bCs/>
        </w:rPr>
        <w:fldChar w:fldCharType="end"/>
      </w:r>
      <w:r w:rsidRPr="005500AB">
        <w:rPr>
          <w:bCs/>
        </w:rPr>
        <w:t xml:space="preserve">. Örneğin, ahlaki değerlerin öğretimi için geliştirilen bir mobil uygulama, kullanıcıların belirli görevleri tamamlayarak puan toplamasına ve bu süreçte etik kararlar almayı öğrenmesine olanak tanıyabilir. Bu tür bir yaklaşım, gençlerin manevi değerleri öğrenirken aynı zamanda eğlenmelerini sağlar. Ayrıca, oyunlaştırma unsurları sayesinde bireylerin öğrenme sürecine aktif bir şekilde katılımı teşvik edilir. Ödül sistemleri, liderlik tabloları ve seviyelendirme gibi unsurlar, öğrenme sürecini dinamik hale getirerek Z kuşağının dikkatini çekmekte önemli rol oynar </w:t>
      </w:r>
      <w:r w:rsidRPr="005500AB">
        <w:rPr>
          <w:bCs/>
        </w:rPr>
        <w:fldChar w:fldCharType="begin"/>
      </w:r>
      <w:r w:rsidRPr="005500AB">
        <w:rPr>
          <w:bCs/>
        </w:rPr>
        <w:instrText xml:space="preserve"> ADDIN ZOTERO_ITEM CSL_CITATION {"citationID":"yEH2s7lA","properties":{"formattedCitation":"(Sezgin vd., 2018)","plainCitation":"(Sezgin vd., 2018)","noteIndex":0},"citationItems":[{"id":1064,"uris":["http://zotero.org/users/9822074/items/Z82TA8PJ"],"itemData":{"id":1064,"type":"article-journal","abstract":"Öğrenme süreçlerinde daha etkili, verimli ve çekici deneyimler sağlayabilmenin yollarından birisi de öğrenen motivasyonlarını arttırmak, öğrenenlerin bu süreçlere adanmışlıklarını sağlamak ve süreçlerin sürdürülebilirliklerine yönelik tasarımlar yapabilmekten geçmektedir. Bu doğrultuda oyunlaştırma, oyun tasarım ilkelerini oyun dışı bağlamlara uygulayabilmeye yönelik öneriler sunan yenilikçi bir yaklaşım olarak ortaya çıkmaktadır. Bu kapsamda bu çalışma oyunlaştırma yaklaşımını eğitim çerçevesinde ele almakta, oyunlaştırmanın tanımı, uygulama alanları, karakteristik özellikleri, oyuncu tipleri ve oyunlaştırma modellerine yönelik açıklamalarda bulunmaktadır. Çalışma, ilgili alanyazında yer alan mevcut bulguları sentezlenmekte ve oyunlaştırmayı eğitim süreçlerinde kullanmak isteyen araştırmacı ve uygulamacılara öneriler sunmaktadır. Bu çalışma sonucuna göre oyunlaştırma, öğrenenlerin motivasyonlarını artırmaya yönelik stratejileri kullanarak öğrenenlerin daha anlamlı öğrenme deneyimleri yaşayabilmelerine olanak sağlamakta, e-öğrenme süreçlerinde öğrenenlerin adanmışlığını ve öğrenme deneyimlerinin sürdürülebilirliğini sağlamak için kullanılabilecek bir yaklaşım olarak değerlendirilmektedir.","container-title":"Mehmet Akif Ersoy Üniversitesi Eğitim Fakültesi Dergisi","DOI":"10.21764/maeuefd.339909","ISSN":"2146-5983","issue":"45","language":"tr","note":"number: 45\npublisher: Burdur Mehmet Akif Ersoy Üniversitesi","page":"169-189","source":"dergipark.org.tr","title":"Oyunlaştırma, Eğitim ve Kuramsal Yaklaşımlar: Öğrenme Süreçlerinde Motivasyon, Adanmışlık ve Sürdürebilirlik","title-short":"Oyunlaştırma, Eğitim ve Kuramsal Yaklaşımlar","author":[{"family":"Sezgin","given":"Sezan"},{"family":"Bozkurt","given":"Aras"},{"family":"Yılmaz","given":"Ercan Altuğ"},{"family":"Linden","given":"Niels Van Der"}],"issued":{"date-parts":[["2018"]]}}}],"schema":"https://github.com/citation-style-language/schema/raw/master/csl-citation.json"} </w:instrText>
      </w:r>
      <w:r w:rsidRPr="005500AB">
        <w:rPr>
          <w:bCs/>
        </w:rPr>
        <w:fldChar w:fldCharType="separate"/>
      </w:r>
      <w:r w:rsidRPr="005500AB">
        <w:t>(Sezgin vd., 2018)</w:t>
      </w:r>
      <w:r w:rsidRPr="005500AB">
        <w:rPr>
          <w:bCs/>
        </w:rPr>
        <w:fldChar w:fldCharType="end"/>
      </w:r>
      <w:r w:rsidRPr="005500AB">
        <w:rPr>
          <w:bCs/>
        </w:rPr>
        <w:t xml:space="preserve"> .</w:t>
      </w:r>
    </w:p>
    <w:p w14:paraId="079F587B" w14:textId="77777777" w:rsidR="005500AB" w:rsidRPr="005500AB" w:rsidRDefault="005500AB" w:rsidP="005500AB">
      <w:pPr>
        <w:widowControl/>
        <w:autoSpaceDE/>
        <w:autoSpaceDN/>
        <w:spacing w:before="120" w:after="120"/>
        <w:jc w:val="both"/>
        <w:rPr>
          <w:bCs/>
        </w:rPr>
      </w:pPr>
      <w:r w:rsidRPr="005500AB">
        <w:rPr>
          <w:bCs/>
        </w:rPr>
        <w:t xml:space="preserve">Sanal gerçeklik (VR), bireylerin üç boyutlu bir ortamda etkileşimde bulunmasını sağlayarak deneyimsel öğrenme fırsatları sunan bir teknolojidir. Manevi eğitimde VR kullanımı, soyut kavramların somut deneyimlere dönüştürülmesini mümkün kılar. Örneğin, bir VR uygulaması </w:t>
      </w:r>
      <w:r w:rsidRPr="005500AB">
        <w:rPr>
          <w:bCs/>
        </w:rPr>
        <w:lastRenderedPageBreak/>
        <w:t xml:space="preserve">aracılığıyla kullanıcılar, tarihi bir dini </w:t>
      </w:r>
      <w:proofErr w:type="gramStart"/>
      <w:r w:rsidRPr="005500AB">
        <w:rPr>
          <w:bCs/>
        </w:rPr>
        <w:t>mekanın</w:t>
      </w:r>
      <w:proofErr w:type="gramEnd"/>
      <w:r w:rsidRPr="005500AB">
        <w:rPr>
          <w:bCs/>
        </w:rPr>
        <w:t xml:space="preserve"> atmosferini deneyimleyebilir ya da farklı kültürlerin manevi ritüellerine tanıklık edebilir. Bu tür deneyimler, gençlerin empati yeteneklerini geliştirmelerine ve manevi değerleri daha derin bir şekilde anlamalarına katkı sağlar </w:t>
      </w:r>
      <w:r w:rsidRPr="005500AB">
        <w:rPr>
          <w:bCs/>
        </w:rPr>
        <w:fldChar w:fldCharType="begin"/>
      </w:r>
      <w:r w:rsidRPr="005500AB">
        <w:rPr>
          <w:bCs/>
        </w:rPr>
        <w:instrText xml:space="preserve"> ADDIN ZOTERO_ITEM CSL_CITATION {"citationID":"jmSHeGGM","properties":{"formattedCitation":"(Hornbeck &amp; Barrett, 2008)","plainCitation":"(Hornbeck &amp; Barrett, 2008)","noteIndex":0},"citationItems":[{"id":1070,"uris":["http://zotero.org/users/9822074/items/QDKVIPMT"],"itemData":{"id":1070,"type":"article-journal","abstract":"Virtual reality (VR) is often described as a gateway to a religious or spiritual experience but why? In this article, using theories and evidence taken from the cognitive science of religion (CSOR), we hypothesize that human minds may interact with VR-hosted phenomena in a manner highly similar to that in which they interact with supernatural concepts. Specifically, we note that both VR inputs and supernatural concepts contain information that (1) contradicts the intuitive set of expectations we bring to an ontological category of phenomena (for example, natural objects, animals) and (2) allows us to draw a superabundance of inferences from our social cognitive mechanisms with minimal effort. We then summarize these points by illustrating a common VR phenomenon virtual touch wherein counterintuitive representations and strategic information coalesce to create an emotionally salient experience that is itself counterintuitive and by some accounts spiritual-like.","container-title":"Northern Lights: Film &amp; Media Studies Yearbook","DOI":"10.1386/nl.6.1.75_1","ISSN":"1601-829X, 2040-0586","issue":"1","language":"en","note":"publisher: Intellect","page":"75-90","source":"intellectdiscover.com","title":"Virtual reality as a spiritual experience: a perspective from the cognitive science of religion","title-short":"Virtual reality as a spiritual experience","volume":"6","author":[{"family":"Hornbeck","given":"Ryan G."},{"family":"Barrett","given":"Justin L."}],"issued":{"date-parts":[["2008"]]}}}],"schema":"https://github.com/citation-style-language/schema/raw/master/csl-citation.json"} </w:instrText>
      </w:r>
      <w:r w:rsidRPr="005500AB">
        <w:rPr>
          <w:bCs/>
        </w:rPr>
        <w:fldChar w:fldCharType="separate"/>
      </w:r>
      <w:r w:rsidRPr="005500AB">
        <w:t>(Hornbeck &amp; Barrett, 2008)</w:t>
      </w:r>
      <w:r w:rsidRPr="005500AB">
        <w:rPr>
          <w:bCs/>
        </w:rPr>
        <w:fldChar w:fldCharType="end"/>
      </w:r>
      <w:r w:rsidRPr="005500AB">
        <w:rPr>
          <w:bCs/>
        </w:rPr>
        <w:t xml:space="preserve">. Sanal gerçeklik aynı zamanda bireylerin kendi manevi yolculuklarını keşfetmelerine olanak tanır. Kullanıcılar, VR ortamında farklı senaryolarla karşılaşarak ahlaki seçimler yapabilir ve bu seçimlerin sonuçlarını gözlemleyebilir. Bu tür uygulamalar, gençlerin kritik düşünme becerilerini geliştirirken aynı zamanda manevi değerlerle ilgili farkındalık kazanmalarını destekler </w:t>
      </w:r>
      <w:r w:rsidRPr="005500AB">
        <w:rPr>
          <w:bCs/>
        </w:rPr>
        <w:fldChar w:fldCharType="begin"/>
      </w:r>
      <w:r w:rsidRPr="005500AB">
        <w:rPr>
          <w:bCs/>
        </w:rPr>
        <w:instrText xml:space="preserve"> ADDIN ZOTERO_ITEM CSL_CITATION {"citationID":"ubuDUxnB","properties":{"formattedCitation":"(Niforatos vd., 2020)","plainCitation":"(Niforatos vd., 2020)","noteIndex":0},"citationItems":[{"id":1075,"uris":["http://zotero.org/users/9822074/items/DRJYAT39"],"itemData":{"id":1075,"type":"paper-conference","abstract":"A moral dilemma is a decision-making paradox without unambiguously acceptable or preferable options. This paper investigates if and how the virtual enactment of two renowned moral dilemmas---the Trolley and the Mad Bomber---influence decision-making when compared with mentally visualizing such situations. We conducted two user studies with two gender-balanced samples of 60 participants in total that compared between paper-based and virtual-reality (VR) conditions, while simulating 5 distinct scenarios for the Trolley dilemma, and 4 storyline scenarios for the Mad Bomber's dilemma. Our findings suggest that the VR enactment of moral dilemmas further fosters utilitarian decision-making, while it amplifies biases such as sparing juveniles and seeking retribution. Ultimately, we theorize that the VR enactment of renowned moral dilemmas can yield ecologically-valid data for training future Artificial Intelligence (AI) systems on ethical decision-making, and we elicit early design principles for the training of such systems.","collection-title":"CHI '20","container-title":"Proceedings of the 2020 CHI Conference on Human Factors in Computing Systems","DOI":"10.1145/3313831.3376788","event-place":"New York, NY, USA","ISBN":"978-1-4503-6708-0","page":"1–12","publisher":"Association for Computing Machinery","publisher-place":"New York, NY, USA","source":"ACM Digital Library","title":"Would you do it?: Enacting Moral Dilemmas in Virtual Reality for Understanding Ethical Decision-Making","title-short":"Would you do it?","URL":"https://doi.org/10.1145/3313831.3376788","author":[{"family":"Niforatos","given":"Evangelos"},{"family":"Palma","given":"Adam"},{"family":"Gluszny","given":"Roman"},{"family":"Vourvopoulos","given":"Athanasios"},{"family":"Liarokapis","given":"Fotis"}],"accessed":{"date-parts":[["2025",1,30]]},"issued":{"date-parts":[["2020",4,23]]}}}],"schema":"https://github.com/citation-style-language/schema/raw/master/csl-citation.json"} </w:instrText>
      </w:r>
      <w:r w:rsidRPr="005500AB">
        <w:rPr>
          <w:bCs/>
        </w:rPr>
        <w:fldChar w:fldCharType="separate"/>
      </w:r>
      <w:r w:rsidRPr="005500AB">
        <w:t>(Niforatos vd., 2020)</w:t>
      </w:r>
      <w:r w:rsidRPr="005500AB">
        <w:rPr>
          <w:bCs/>
        </w:rPr>
        <w:fldChar w:fldCharType="end"/>
      </w:r>
      <w:r w:rsidRPr="005500AB">
        <w:rPr>
          <w:bCs/>
        </w:rPr>
        <w:t>.</w:t>
      </w:r>
    </w:p>
    <w:p w14:paraId="4E89757A" w14:textId="0A6CA7A9" w:rsidR="00B9252F" w:rsidRPr="005500AB" w:rsidRDefault="005500AB" w:rsidP="005500AB">
      <w:pPr>
        <w:widowControl/>
        <w:autoSpaceDE/>
        <w:autoSpaceDN/>
        <w:spacing w:before="120" w:after="120"/>
        <w:jc w:val="both"/>
        <w:rPr>
          <w:bCs/>
        </w:rPr>
      </w:pPr>
      <w:r w:rsidRPr="005500AB">
        <w:rPr>
          <w:bCs/>
        </w:rPr>
        <w:t xml:space="preserve">Z kuşağı bireylerinin manevi eğitimi, onların ilgi alanlarına ve öğrenme stillerine uygun yöntemlerle desteklenmelidir. Oyunlaştırma ve sanal gerçeklik uygulamaları, bu bağlamda etkili araçlar olarak öne çıkmaktadır. Teknolojinin sunduğu imkanlar sayesinde, manevi eğitim daha interaktif, eğlenceli ve anlamlı bir hale getirilebilir. Bu tür yenilikçi yaklaşımlar, gençlerin manevi değerlerle bağ kurmasını kolaylaştırarak onların bireysel ve toplumsal gelişimine katkı sağlayacaktır.  </w:t>
      </w:r>
    </w:p>
    <w:p w14:paraId="5A5A8165" w14:textId="77777777" w:rsidR="005500AB" w:rsidRPr="005500AB" w:rsidRDefault="005500AB" w:rsidP="00B9252F">
      <w:pPr>
        <w:widowControl/>
        <w:autoSpaceDE/>
        <w:autoSpaceDN/>
        <w:jc w:val="both"/>
        <w:rPr>
          <w:b/>
          <w:bCs/>
        </w:rPr>
      </w:pPr>
      <w:r w:rsidRPr="005500AB">
        <w:rPr>
          <w:b/>
          <w:bCs/>
        </w:rPr>
        <w:t>4.1.2. Kısa, Görsel Ağırlıklı İçeriklerin Önemi</w:t>
      </w:r>
    </w:p>
    <w:p w14:paraId="5D22F10E" w14:textId="77777777" w:rsidR="005500AB" w:rsidRPr="005500AB" w:rsidRDefault="005500AB" w:rsidP="00B9252F">
      <w:pPr>
        <w:widowControl/>
        <w:autoSpaceDE/>
        <w:autoSpaceDN/>
        <w:jc w:val="both"/>
        <w:rPr>
          <w:bCs/>
        </w:rPr>
      </w:pPr>
      <w:r w:rsidRPr="005500AB">
        <w:rPr>
          <w:bCs/>
        </w:rPr>
        <w:t xml:space="preserve">Dijital çağın hızla ilerlemesiyle birlikte, bilgiye erişim alışkanlıkları da köklü bir dönüşüm geçirmektedir. Günümüz kullanıcıları, yoğun bilgi akışı içerisinde dikkatlerini daha kısa sürede çekecek ve kolayca sindirilebilecek içeriklere yönelmektedir. Bu bağlamda, kısa ve görsel ağırlıklı içeriklerin önemi giderek artmaktadır </w:t>
      </w:r>
      <w:r w:rsidRPr="005500AB">
        <w:rPr>
          <w:bCs/>
        </w:rPr>
        <w:fldChar w:fldCharType="begin"/>
      </w:r>
      <w:r w:rsidRPr="005500AB">
        <w:rPr>
          <w:bCs/>
        </w:rPr>
        <w:instrText xml:space="preserve"> ADDIN ZOTERO_ITEM CSL_CITATION {"citationID":"GRiYN4TT","properties":{"formattedCitation":"(Bozkurt vd., 2021)","plainCitation":"(Bozkurt vd., 2021)","noteIndex":0},"citationItems":[{"id":1076,"uris":["http://zotero.org/users/9822074/items/9JQCHVJA"],"itemData":{"id":1076,"type":"article-journal","abstract":"Dijital bilgi çağında, enformasyon bilgiyi, bilgi ise bilgeliği sağladığı için, veriyi işleyip enformasyona dönüştürme en temel eylemlerden birisidir. Bilgi, dönüşümün tetikleyicisi ve hızlandırıcısıdır ve bu süreçte hayatta kalabilmenin bir yolu da dijital dönüşüm sürecine uyum sağlamaktır. Bu çalışma bağlamında dijital bilgi çağında dijital toplum, dijital dönüşüm, dijital eğitim ve dijital yeterlilikler kavramı ele alınmış ve bir araştırma sentezine ulaşılmaya çalışılmıştır. Çalışma dijital toplum ve dijital dönüşüm kavramlarının merkezinde insan olduğu sonucuna varmaktadır. Dijital eğitim süreçlerinde somut ve soyut teknolojilerin birbirini tamamlayacak şekilde kullanılması gerektiği, dijital eğitimin dijital yeterlilik ve okuryazarlık ile operasyonel olabileceği ayrıca vurgulanmaktadır. Dijitalleşme doğru yorumlanmadığında sağlayacağı avantajlardan çok dezavantajlar da sağlayabilecek bir kavramdır. Dolayısıyla dijital bilgi çağında dijitalleşmeyi doğru yorumlamak, doğru anlamak ve dönüşüm sürecinde doğru bağlamda konumlandırmak son derece önemlidir.","container-title":"Açıköğretim Uygulamaları ve Araştırmaları Dergisi","DOI":"10.51948/auad.911584","ISSN":"2149-2360","issue":"2","journalAbbreviation":"AUAd","language":"tr","note":"number: 2\npublisher: Anadolu Üniversitesi","page":"35-63","source":"dergipark.org.tr","title":"Dijital bilgi çağı: Dijital toplum, dijital dönüşüm, dijital eğitim ve dijital yeterlilikler","title-short":"Dijital bilgi çağı","volume":"7","author":[{"family":"Bozkurt","given":"Aras"},{"family":"Hamutoğlu","given":"Nazire Burçin"},{"family":"Kaban","given":"Aysegul Liman"},{"family":"Taşçı","given":"Gülşah"},{"family":"Aykul","given":"Mona"}],"issued":{"date-parts":[["2021"]]}}}],"schema":"https://github.com/citation-style-language/schema/raw/master/csl-citation.json"} </w:instrText>
      </w:r>
      <w:r w:rsidRPr="005500AB">
        <w:rPr>
          <w:bCs/>
        </w:rPr>
        <w:fldChar w:fldCharType="separate"/>
      </w:r>
      <w:r w:rsidRPr="005500AB">
        <w:t>(Bozkurt vd., 2021)</w:t>
      </w:r>
      <w:r w:rsidRPr="005500AB">
        <w:rPr>
          <w:bCs/>
        </w:rPr>
        <w:fldChar w:fldCharType="end"/>
      </w:r>
      <w:r w:rsidRPr="005500AB">
        <w:rPr>
          <w:bCs/>
        </w:rPr>
        <w:t>.</w:t>
      </w:r>
    </w:p>
    <w:p w14:paraId="20869F79" w14:textId="77777777" w:rsidR="005500AB" w:rsidRPr="005500AB" w:rsidRDefault="005500AB" w:rsidP="005500AB">
      <w:pPr>
        <w:widowControl/>
        <w:autoSpaceDE/>
        <w:autoSpaceDN/>
        <w:spacing w:before="120" w:beforeAutospacing="1" w:after="120" w:afterAutospacing="1"/>
        <w:jc w:val="both"/>
        <w:rPr>
          <w:bCs/>
        </w:rPr>
      </w:pPr>
      <w:r w:rsidRPr="005500AB">
        <w:rPr>
          <w:bCs/>
        </w:rPr>
        <w:t xml:space="preserve">Kısa içerikler, bilginin özünü sunarak kullanıcıların zamanını verimli kullanmasını sağlar. Özellikle sosyal medya platformlarında, uzun metinlerin yerini kısa açıklamalar, infografikler ve dikkat çekici görseller almıştır. Araştırmalar, kullanıcıların büyük bir kısmının uzun metinlerden ziyade, kısa ve görsel destekli içerikleri daha fazla tercih ettiğini göstermektedir </w:t>
      </w:r>
      <w:r w:rsidRPr="005500AB">
        <w:rPr>
          <w:bCs/>
        </w:rPr>
        <w:fldChar w:fldCharType="begin"/>
      </w:r>
      <w:r w:rsidRPr="005500AB">
        <w:rPr>
          <w:bCs/>
        </w:rPr>
        <w:instrText xml:space="preserve"> ADDIN ZOTERO_ITEM CSL_CITATION {"citationID":"W3zPRxch","properties":{"formattedCitation":"(G\\uc0\\u246{}kbayrak &amp; I\\uc0\\u351{}\\uc0\\u305{}kl\\uc0\\u305{}, 2021)","plainCitation":"(Gökbayrak &amp; Işıklı, 2021)","noteIndex":0},"citationItems":[{"id":539,"uris":["http://zotero.org/users/9822074/items/WFPA5JDV"],"itemData":{"id":539,"type":"chapter","container-title":"Yapay Zekâ, Transhümanizm ve Din","event-place":"Ankara","page":"105-145","publisher":"Diyanet İşleri Başkanlığı Yayınları","publisher-place":"Ankara","title":"Dijital Din Teorisi: Dijital Din, Geleneksel Dine Karşı","author":[{"family":"Gökbayrak","given":"Hilal"},{"family":"Işıklı","given":"Şevki"}],"editor":[{"family":"Kızılgeçit","given":"Muhammed"},{"family":"Yeşilyurt","given":"M."},{"family":"Ertugay","given":"R."},{"family":"Çinici","given":"Murat"}],"issued":{"date-parts":[["2021"]]}}}],"schema":"https://github.com/citation-style-language/schema/raw/master/csl-citation.json"} </w:instrText>
      </w:r>
      <w:r w:rsidRPr="005500AB">
        <w:rPr>
          <w:bCs/>
        </w:rPr>
        <w:fldChar w:fldCharType="separate"/>
      </w:r>
      <w:r w:rsidRPr="005500AB">
        <w:t>(Gökbayrak &amp; Işıklı, 2021)</w:t>
      </w:r>
      <w:r w:rsidRPr="005500AB">
        <w:rPr>
          <w:bCs/>
        </w:rPr>
        <w:fldChar w:fldCharType="end"/>
      </w:r>
      <w:r w:rsidRPr="005500AB">
        <w:rPr>
          <w:bCs/>
        </w:rPr>
        <w:t xml:space="preserve">. Bu </w:t>
      </w:r>
      <w:proofErr w:type="gramStart"/>
      <w:r w:rsidRPr="005500AB">
        <w:rPr>
          <w:bCs/>
        </w:rPr>
        <w:t>durum,</w:t>
      </w:r>
      <w:proofErr w:type="gramEnd"/>
      <w:r w:rsidRPr="005500AB">
        <w:rPr>
          <w:bCs/>
        </w:rPr>
        <w:t xml:space="preserve"> hem bireysel kullanıcıların hem de kurumların içerik stratejilerini yeniden şekillendirmesine neden olmuştur.</w:t>
      </w:r>
      <w:r w:rsidRPr="005500AB">
        <w:t xml:space="preserve"> </w:t>
      </w:r>
    </w:p>
    <w:p w14:paraId="67A0A252" w14:textId="77777777" w:rsidR="005500AB" w:rsidRPr="005500AB" w:rsidRDefault="005500AB" w:rsidP="005500AB">
      <w:pPr>
        <w:widowControl/>
        <w:autoSpaceDE/>
        <w:autoSpaceDN/>
        <w:spacing w:before="120" w:after="120"/>
        <w:jc w:val="both"/>
        <w:rPr>
          <w:bCs/>
        </w:rPr>
      </w:pPr>
      <w:r w:rsidRPr="005500AB">
        <w:rPr>
          <w:bCs/>
        </w:rPr>
        <w:t xml:space="preserve">Görsellerin bu süreçteki rolü ise oldukça kritiktir. İnsan beyni görsel bilgiyi yazılı bilgiye göre çok daha hızlı işler. Görsel unsurlar, karmaşık bilgileri basitleştirerek anlaşılabilir hale getirir ve mesajın etkili bir şekilde iletilmesini sağlar. Örneğin, bir araştırma sonucunu açıklamak için kullanılan bir grafik, yalnızca metinle anlatılan bir açıklamadan çok daha hızlı ve etkili bir şekilde anlaşılabilir. Bu nedenle, görsel ağırlıklı içerikler sadece estetik bir tercih değil, aynı zamanda iletişimde bir gereklilik haline gelmiştir </w:t>
      </w:r>
      <w:r w:rsidRPr="005500AB">
        <w:rPr>
          <w:bCs/>
        </w:rPr>
        <w:fldChar w:fldCharType="begin"/>
      </w:r>
      <w:r w:rsidRPr="005500AB">
        <w:rPr>
          <w:bCs/>
        </w:rPr>
        <w:instrText xml:space="preserve"> ADDIN ZOTERO_ITEM CSL_CITATION {"citationID":"X3gDCaWg","properties":{"formattedCitation":"(\\uc0\\u199{}ay, 2025)","plainCitation":"(Çay, 2025)","noteIndex":0},"citationItems":[{"id":1079,"uris":["http://zotero.org/users/9822074/items/TU3FL6EG"],"itemData":{"id":1079,"type":"webpage","abstract":"İnsan beyninin görsel algı yoluyla duyusal iletişim kurma şekli, son yıllarda yapılan nörobilimsel araştırmaların en dikkat çekici konularından biri haline geldi.","container-title":"Yeniçağ Gazetesi","language":"tr","title":"Görsel Algı ile beyin İletişiminde Yeni Dönem!","URL":"https://www.yenicaggazetesi.com.tr/gorsel-algi-ile-beyin-iletisiminde-yeni-donem-882681h.htm","author":[{"family":"Çay","given":"Süleyman"}],"accessed":{"date-parts":[["2025",2,1]]},"issued":{"date-parts":[["2025"]]}}}],"schema":"https://github.com/citation-style-language/schema/raw/master/csl-citation.json"} </w:instrText>
      </w:r>
      <w:r w:rsidRPr="005500AB">
        <w:rPr>
          <w:bCs/>
        </w:rPr>
        <w:fldChar w:fldCharType="separate"/>
      </w:r>
      <w:r w:rsidRPr="005500AB">
        <w:t>(Çay, 2025)</w:t>
      </w:r>
      <w:r w:rsidRPr="005500AB">
        <w:rPr>
          <w:bCs/>
        </w:rPr>
        <w:fldChar w:fldCharType="end"/>
      </w:r>
      <w:r w:rsidRPr="005500AB">
        <w:rPr>
          <w:bCs/>
        </w:rPr>
        <w:t>.</w:t>
      </w:r>
    </w:p>
    <w:p w14:paraId="18801AEE" w14:textId="77777777" w:rsidR="005500AB" w:rsidRPr="005500AB" w:rsidRDefault="005500AB" w:rsidP="005500AB">
      <w:pPr>
        <w:widowControl/>
        <w:autoSpaceDE/>
        <w:autoSpaceDN/>
        <w:spacing w:before="120" w:after="120"/>
        <w:jc w:val="both"/>
        <w:rPr>
          <w:bCs/>
        </w:rPr>
      </w:pPr>
      <w:r w:rsidRPr="005500AB">
        <w:rPr>
          <w:bCs/>
        </w:rPr>
        <w:t xml:space="preserve">Sonuç olarak, dijitalleşen dünyada kısa ve görsel ağırlıklı içerikler, etkili iletişim ve bilgi aktarımının temel araçlarından biri haline gelmiştir. Bu tür içeriklerin hem bireyler hem de kurumlar tarafından stratejik bir şekilde kullanılması, hedef kitleye ulaşmada önemli bir avantaj sağlamaktadır. Dolayısıyla, içerik üretiminde bu eğilimin göz önünde bulundurulması ve doğru yöntemlerle uygulanması büyük önem taşımaktadır.    </w:t>
      </w:r>
    </w:p>
    <w:p w14:paraId="0595C899" w14:textId="77777777" w:rsidR="005500AB" w:rsidRPr="005500AB" w:rsidRDefault="005500AB" w:rsidP="00B9252F">
      <w:pPr>
        <w:widowControl/>
        <w:autoSpaceDE/>
        <w:autoSpaceDN/>
        <w:jc w:val="both"/>
        <w:rPr>
          <w:b/>
          <w:bCs/>
        </w:rPr>
      </w:pPr>
      <w:r w:rsidRPr="005500AB">
        <w:rPr>
          <w:b/>
          <w:bCs/>
        </w:rPr>
        <w:t>4.2. Değerlerin Evrensel Bir Perspektiften Sunulması</w:t>
      </w:r>
    </w:p>
    <w:p w14:paraId="5E3D4888" w14:textId="77777777" w:rsidR="005500AB" w:rsidRPr="005500AB" w:rsidRDefault="005500AB" w:rsidP="00B9252F">
      <w:pPr>
        <w:widowControl/>
        <w:autoSpaceDE/>
        <w:autoSpaceDN/>
        <w:jc w:val="both"/>
        <w:rPr>
          <w:bCs/>
        </w:rPr>
      </w:pPr>
      <w:r w:rsidRPr="005500AB">
        <w:rPr>
          <w:bCs/>
        </w:rPr>
        <w:t xml:space="preserve">Değerler, bireylerin ve toplumların yaşamlarını şekillendiren, davranışlarını yönlendiren önemli unsurlar arasındadır. Ancak, bu değerlerin yalnızca yerel kültürün bir yansıması olarak ele alınması, evrensel bağlamda bir anlayış geliştirilmesini engelleyebilir. Evrensel bir perspektiften değerlere yaklaşmak, farklı kültürler arasında köprüler kurarak daha kapsayıcı ve anlayışlı bir dünya inşa etme potansiyeline sahiptir </w:t>
      </w:r>
      <w:r w:rsidRPr="005500AB">
        <w:rPr>
          <w:bCs/>
        </w:rPr>
        <w:fldChar w:fldCharType="begin"/>
      </w:r>
      <w:r w:rsidRPr="005500AB">
        <w:rPr>
          <w:bCs/>
        </w:rPr>
        <w:instrText xml:space="preserve"> ADDIN ZOTERO_ITEM CSL_CITATION {"citationID":"iaquhCu6","properties":{"formattedCitation":"(Meydan, 2014)","plainCitation":"(Meydan, 2014)","noteIndex":0},"citationItems":[{"id":193,"uris":["http://zotero.org/users/9822074/items/VAERGE4H"],"itemData":{"id":193,"type":"article-journal","container-title":"Bülent Ecevit Üniversitesi İlahiyat Fakültesi Dergisi","issue":"1","page":"93-108","title":"Okulda Değerler Eğitiminin Yeri ve Değerler Eğitimi Yaklaşımları Üzerine Bir Değerlendirme","volume":"1","author":[{"family":"Meydan","given":"Hasan"}],"issued":{"date-parts":[["2014"]]}}}],"schema":"https://github.com/citation-style-language/schema/raw/master/csl-citation.json"} </w:instrText>
      </w:r>
      <w:r w:rsidRPr="005500AB">
        <w:rPr>
          <w:bCs/>
        </w:rPr>
        <w:fldChar w:fldCharType="separate"/>
      </w:r>
      <w:r w:rsidRPr="005500AB">
        <w:t>(Meydan, 2014)</w:t>
      </w:r>
      <w:r w:rsidRPr="005500AB">
        <w:rPr>
          <w:bCs/>
        </w:rPr>
        <w:fldChar w:fldCharType="end"/>
      </w:r>
      <w:r w:rsidRPr="005500AB">
        <w:rPr>
          <w:bCs/>
        </w:rPr>
        <w:t>.</w:t>
      </w:r>
    </w:p>
    <w:p w14:paraId="70147706" w14:textId="77777777" w:rsidR="005500AB" w:rsidRPr="005500AB" w:rsidRDefault="005500AB" w:rsidP="005500AB">
      <w:pPr>
        <w:widowControl/>
        <w:autoSpaceDE/>
        <w:autoSpaceDN/>
        <w:spacing w:before="120" w:beforeAutospacing="1" w:after="120" w:afterAutospacing="1"/>
        <w:jc w:val="both"/>
        <w:rPr>
          <w:bCs/>
        </w:rPr>
      </w:pPr>
      <w:r w:rsidRPr="005500AB">
        <w:rPr>
          <w:bCs/>
        </w:rPr>
        <w:lastRenderedPageBreak/>
        <w:t xml:space="preserve">Evrensel değerler, insan hakları, adalet, özgürlük, eşitlik ve barış gibi tüm insanlık tarafından kabul gören kavramları içerir. Bu değerler, farklı toplumlar ve kültürler arasında ortak bir zemin oluşturabilir. Ancak, bu değerlerin evrensel olarak kabul görmesi, çeşitli kültürel bağlamlarda farklı yorumlanabileceği gerçeğini göz ardı etmez. Örneğin, özgürlük kavramı Batı kültüründe bireysel haklar çerçevesinde algılanırken, Doğu toplumlarında toplumsal uyum ve sorumlulukla ilişkilendirilebilir </w:t>
      </w:r>
      <w:r w:rsidRPr="005500AB">
        <w:rPr>
          <w:bCs/>
        </w:rPr>
        <w:fldChar w:fldCharType="begin"/>
      </w:r>
      <w:r w:rsidRPr="005500AB">
        <w:rPr>
          <w:bCs/>
        </w:rPr>
        <w:instrText xml:space="preserve"> ADDIN ZOTERO_ITEM CSL_CITATION {"citationID":"CHg4Gyn3","properties":{"formattedCitation":"(\\uc0\\u350{}ahin, 2008)","plainCitation":"(Şahin, 2008)","noteIndex":0},"citationItems":[{"id":1083,"uris":["http://zotero.org/users/9822074/items/FHQMDWB5"],"itemData":{"id":1083,"type":"thesis","event-place":"İstanbul","genre":"Doktora Tezi","publisher":"İstanbul Üniversitesi Sosyal Bilimler Enstitüsü","publisher-place":"İstanbul","title":"Farklı Özgürlük Anlayışları Çerçevesinde İfade Özgürlüğünün Temellendirilmesi ve Sınırlandırılması","author":[{"family":"Şahin","given":"Kemal"}],"issued":{"date-parts":[["2008"]]}}}],"schema":"https://github.com/citation-style-language/schema/raw/master/csl-citation.json"} </w:instrText>
      </w:r>
      <w:r w:rsidRPr="005500AB">
        <w:rPr>
          <w:bCs/>
        </w:rPr>
        <w:fldChar w:fldCharType="separate"/>
      </w:r>
      <w:r w:rsidRPr="005500AB">
        <w:t>(Şahin, 2008)</w:t>
      </w:r>
      <w:r w:rsidRPr="005500AB">
        <w:rPr>
          <w:bCs/>
        </w:rPr>
        <w:fldChar w:fldCharType="end"/>
      </w:r>
      <w:r w:rsidRPr="005500AB">
        <w:rPr>
          <w:bCs/>
        </w:rPr>
        <w:t>.</w:t>
      </w:r>
    </w:p>
    <w:p w14:paraId="5C27176A" w14:textId="77777777" w:rsidR="005500AB" w:rsidRPr="005500AB" w:rsidRDefault="005500AB" w:rsidP="005500AB">
      <w:pPr>
        <w:widowControl/>
        <w:autoSpaceDE/>
        <w:autoSpaceDN/>
        <w:spacing w:before="120" w:beforeAutospacing="1" w:after="120" w:afterAutospacing="1"/>
        <w:jc w:val="both"/>
        <w:rPr>
          <w:bCs/>
        </w:rPr>
      </w:pPr>
      <w:r w:rsidRPr="005500AB">
        <w:rPr>
          <w:bCs/>
        </w:rPr>
        <w:t xml:space="preserve">Evrensel bir perspektiften değerlerin sunulması, öncelikle kültürel farklılıkların göz önünde bulundurulmasını gerektirir. Kültürel bağlamların dikkate alınması, değerlerin dayatmacı bir şekilde değil, diyalog yoluyla aktarılmasını sağlar. Bu bağlamda, kültürel görecelilik ve evrensellik arasındaki dengeyi kurmak önemlidir. Değerlerin evrensel düzeyde anlaşılabilir hale getirilmesi için karşılıklı saygı, empati ve açık iletişim temel unsurlar olarak öne çıkar </w:t>
      </w:r>
      <w:r w:rsidRPr="005500AB">
        <w:rPr>
          <w:bCs/>
        </w:rPr>
        <w:fldChar w:fldCharType="begin"/>
      </w:r>
      <w:r w:rsidRPr="005500AB">
        <w:rPr>
          <w:bCs/>
        </w:rPr>
        <w:instrText xml:space="preserve"> ADDIN ZOTERO_ITEM CSL_CITATION {"citationID":"hpsDItlR","properties":{"formattedCitation":"(Pekel, 2019)","plainCitation":"(Pekel, 2019)","noteIndex":0},"citationItems":[{"id":1081,"uris":["http://zotero.org/users/9822074/items/GZDAJSF7"],"itemData":{"id":1081,"type":"article-journal","abstract":"İnsan hakları, tanımı gereği, evrenseldir. Öte yandan, insan haklarını temellendiren görüşler incelendiğinde, bu görüşlerin tüm insanların temsil edildiği kültürlerin ortak ürünü olmadığı, aksine, insan haklarının ortaya çıkışında belirli bir kültürün oldukça baskın olduğu görülmektedir. Yani insan haklarının “evrenselliği” iddiasını ortaya koyan temellendirmeler, bu iddiaya tezat oluşturacak şekilde, büyük ölçüde “yerel”dir; “Batı Avrupa kültürü”nün etkisi altında gelişmiştir. Dolayısıyla bu yazı, bu çelişkiden kaynaklanan problem üzerine odaklanmaktadır: Belirli bir kültürün etkisinde ortaya çıkan bir düşünce, evrensel olabilir mi? İnsan haklarına eleştirel bir gözle yaklaşan kültürel görecelilik anlayışına göre bu mümkün değildir. Bu yazıda, önce yukarıda bahsedilen çelişki ortaya konmaya çalışılacak, sonra da kültürel görecelilik anlayışının bu çelişkiye nasıl bir yaklaşımla tepki verdiği üzerinde durulacak, son olarak da evrensellik ve göreceliliğin uzlaştırılması için bir ölçü koymanın mümkün olup olmadığına ilişkin fikir yürütülecektir.","container-title":"Liberal Düşünce Dergisi","DOI":"10.36484/liberal.641079","ISSN":"1300-8781, 2667-6486","issue":"96","language":"tr","note":"number: 96\npublisher: Liberte Yayınları","page":"111-118","source":"dergipark.org.tr","title":"İnsan Haklarının Evrenselliği ve Kültürel Görecelilik","volume":"24","author":[{"family":"Pekel","given":"Abdulkadir"}],"issued":{"date-parts":[["2019"]]}}}],"schema":"https://github.com/citation-style-language/schema/raw/master/csl-citation.json"} </w:instrText>
      </w:r>
      <w:r w:rsidRPr="005500AB">
        <w:rPr>
          <w:bCs/>
        </w:rPr>
        <w:fldChar w:fldCharType="separate"/>
      </w:r>
      <w:r w:rsidRPr="005500AB">
        <w:t>(Pekel, 2019)</w:t>
      </w:r>
      <w:r w:rsidRPr="005500AB">
        <w:rPr>
          <w:bCs/>
        </w:rPr>
        <w:fldChar w:fldCharType="end"/>
      </w:r>
      <w:r w:rsidRPr="005500AB">
        <w:rPr>
          <w:bCs/>
        </w:rPr>
        <w:t>.</w:t>
      </w:r>
    </w:p>
    <w:p w14:paraId="62BA2F79" w14:textId="77777777" w:rsidR="005500AB" w:rsidRPr="005500AB" w:rsidRDefault="005500AB" w:rsidP="005500AB">
      <w:pPr>
        <w:widowControl/>
        <w:autoSpaceDE/>
        <w:autoSpaceDN/>
        <w:spacing w:before="120" w:after="120"/>
        <w:jc w:val="both"/>
        <w:rPr>
          <w:bCs/>
        </w:rPr>
      </w:pPr>
      <w:r w:rsidRPr="005500AB">
        <w:rPr>
          <w:bCs/>
        </w:rPr>
        <w:t xml:space="preserve">Eğitim, değerlerin evrensel bir perspektiften sunulmasında kritik bir rol oynar. Eğitim programlarının, öğrencilerin farklı kültürleri tanımalarını ve anlamalarını sağlayacak şekilde yapılandırılması gerekir. Bu süreçte, öğrencilerin kendi kültürel köklerini korurken diğer kültürlere karşı hoşgörülü bir yaklaşım geliştirmeleri teşvik edilmelidir. Ayrıca, medya ve sanat gibi araçlar da evrensel değerlerin yayılmasında etkili bir platform sunar </w:t>
      </w:r>
      <w:r w:rsidRPr="005500AB">
        <w:rPr>
          <w:bCs/>
        </w:rPr>
        <w:fldChar w:fldCharType="begin"/>
      </w:r>
      <w:r w:rsidRPr="005500AB">
        <w:rPr>
          <w:bCs/>
        </w:rPr>
        <w:instrText xml:space="preserve"> ADDIN ZOTERO_ITEM CSL_CITATION {"citationID":"RAIQpBql","properties":{"formattedCitation":"(\\uc0\\u199{}etin &amp; Balanuye, 2015; D. Yavuz, 2016)","plainCitation":"(Çetin &amp; Balanuye, 2015; D. Yavuz, 2016)","noteIndex":0},"citationItems":[{"id":1084,"uris":["http://zotero.org/users/9822074/items/DW5EBQ8C"],"itemData":{"id":1084,"type":"article-journal","abstract":"Eğitim ve felsefe yazınında değerlerin varlığı yadsınmamaktadır. Ancak her iki yazında da değerlerle ilgili ortak bir söylem oluşturulmuş değildir. Felsefede yapılan tartışmalar hala devam ettiği gibi eğitimde de hangi değerlerin aktarılacağına dönük bir fikir ortaklığı sağlanamamıştır. Bir kısım değerlerin pek de tartışılmadan, toplumsal hakimiyete göre belirlenip aktarılması gerektiğini ileri sürerken, diğer bir kısım ise buna karşı çıkarak aktarılacak değerleri ve bu bakışın meşruluğunu sorunsallaştırır. Bu iki yönlü tartışmada değerlerin kaynağının ortaya konması, hangi değerlerin seçilebileceği ile ilgili de önemli bir fikir verecektir. Ayrıca bu belirlenim sayesinde değerlerin sınırları belirginleştikçe, eğitim içinde de kullanılacak değerlerin seçilmesi daha az tartışmalı hale gelecektir. Bu bakımdan çeşitli değer tartışmalarına değinilecek ve değerlerin keşif mi yoksa icat mı olduğu tartışması yapılacaktır. Kaynağa ilişkin tartışmalarda değerlerin hem keşif hem de icat olabilecek özellikler gösterdiği ortaya konmaya çalışılacak ve çalışmanın sonunda ise değerlerin insanlığın mirasından önemli ortaklıklar (keşif) taşımakla birlikte, bu ortaklığa yerli değerlerin (icat) de eşlik ettiği söylenecektir. Eğitimde de aktarılması tercih edilecek değerlerin her ne kadar yerel hakimiyete göre şekillendiği açıksa da insanlık mirasının süzgecinden geçmesi gerektiği vurgulanacaktır.","container-title":"Kaygı. Bursa Uludağ Üniversitesi Fen-Edebiyat Fakültesi Felsefe Dergisi","DOI":"10.20981/kuufefd.03311","ISSN":"2645-8950","issue":"24","journalAbbreviation":"Kaygı","language":"tr","note":"number: 24\npublisher: Bursa Uludağ Üniversitesi","page":"191-203","source":"dergipark.org.tr","title":"Değerler ve Eğitim İlişkisi Üzerine","author":[{"family":"Çetin","given":"Necip"},{"family":"Balanuye","given":"Çetin"}],"issued":{"date-parts":[["2015"]]}}},{"id":1086,"uris":["http://zotero.org/users/9822074/items/L5CWTSWN"],"itemData":{"id":1086,"type":"article-journal","abstract":"Değerler Eğitimi, okulların bünyesinde eğitimin yeniden yapılandırılması için desteklenen ve geliştirilerek uygulanan bir projedir. Bu projenin amacı daha huzurlu, mutlu bir dünya, toplum oluşturmak ve birey için milli, manevi ve evrensel değerlerin farkına varan kaliteli insan yetiştirmektir. Bu çalışmamızın giriş bölümünde değerler eğitimin bir proje olarak nasıl ortaya çıktığına yer verilmiştir. Daha sonra değer, eğitim, değerler eğitimi tanımlanarak bunların kavramsal olarak ne anlama geldiği belirtilmiştir. Çalışmamız boyunca küreselleşen modern bilgi çağının sıkıntıları, değerleri nasıl yozlaştırdığı üzerinde durulmuş, okulların bu dönemde sadece öğretime ve bireysel başarıya odaklanarak insana kazandırması gereken değerleri kazandırmadaki yetersizliği ve bireylerin sahip oldukları olumsuz nitelikler ve davranışlar vurgulanmıştır. Bu çerçevede niçin Değerler Eğitimine ihtiyaç duyulduğu irdelenmiştir. Eğitim sürecinin insana değerler kazandırmada ve bu değerlerle toplumu, insanı biçimlendirmede rolü büyüktür. Bu çalışmanın ana amacı bireye kazandırılmak istenilen değerlerin eğitimin bizzat kendisi olduğunu belirtmek ve insanı değerler ile tanımlamaktır.","container-title":"Kafdağı","ISSN":"2458-7923, 2687-4024","issue":"1","language":"tr","note":"number: 1\npublisher: GÜNEŞ VAKFI","page":"29-39","source":"dergipark.org.tr","title":"Eğitimin Değerlerle Yeniden Tanımlanması","volume":"1","author":[{"family":"Yavuz","given":"Deniz"}],"issued":{"date-parts":[["2016"]]}}}],"schema":"https://github.com/citation-style-language/schema/raw/master/csl-citation.json"} </w:instrText>
      </w:r>
      <w:r w:rsidRPr="005500AB">
        <w:rPr>
          <w:bCs/>
        </w:rPr>
        <w:fldChar w:fldCharType="separate"/>
      </w:r>
      <w:r w:rsidRPr="005500AB">
        <w:t>(Çetin &amp; Balanuye, 2015; D. Yavuz, 2016)</w:t>
      </w:r>
      <w:r w:rsidRPr="005500AB">
        <w:rPr>
          <w:bCs/>
        </w:rPr>
        <w:fldChar w:fldCharType="end"/>
      </w:r>
      <w:r w:rsidRPr="005500AB">
        <w:rPr>
          <w:bCs/>
        </w:rPr>
        <w:t xml:space="preserve">. </w:t>
      </w:r>
    </w:p>
    <w:p w14:paraId="1BBC195D" w14:textId="77777777" w:rsidR="005500AB" w:rsidRPr="005500AB" w:rsidRDefault="005500AB" w:rsidP="005500AB">
      <w:pPr>
        <w:widowControl/>
        <w:autoSpaceDE/>
        <w:autoSpaceDN/>
        <w:spacing w:before="120" w:after="120"/>
        <w:jc w:val="both"/>
        <w:rPr>
          <w:bCs/>
        </w:rPr>
      </w:pPr>
      <w:r w:rsidRPr="005500AB">
        <w:rPr>
          <w:bCs/>
        </w:rPr>
        <w:t xml:space="preserve">Sonuç olarak, değerlerin evrensel bir perspektiften sunulması, farklılıkların bir tehdit değil, bir zenginlik olarak görülmesini sağlar. Bu yaklaşım, küreselleşen dünyada barışçıl bir birlikte yaşam modeli oluşturmak için gereklidir. Kültürel çeşitliliği kucaklayan ve insanlığın ortak değerlerini vurgulayan bir anlayış, daha adil ve sürdürülebilir bir geleceğin kapılarını aralayacaktır. </w:t>
      </w:r>
    </w:p>
    <w:p w14:paraId="1A25C78D" w14:textId="77777777" w:rsidR="005500AB" w:rsidRPr="005500AB" w:rsidRDefault="005500AB" w:rsidP="00B9252F">
      <w:pPr>
        <w:widowControl/>
        <w:autoSpaceDE/>
        <w:autoSpaceDN/>
        <w:jc w:val="both"/>
        <w:rPr>
          <w:b/>
          <w:bCs/>
        </w:rPr>
      </w:pPr>
      <w:r w:rsidRPr="005500AB">
        <w:rPr>
          <w:b/>
          <w:bCs/>
        </w:rPr>
        <w:t>4.2.1. Kültürel Çeşitlilik ve Hoşgörü Vurgusu</w:t>
      </w:r>
    </w:p>
    <w:p w14:paraId="366519A1" w14:textId="77777777" w:rsidR="005500AB" w:rsidRPr="005500AB" w:rsidRDefault="005500AB" w:rsidP="00B9252F">
      <w:pPr>
        <w:widowControl/>
        <w:autoSpaceDE/>
        <w:autoSpaceDN/>
        <w:jc w:val="both"/>
        <w:rPr>
          <w:bCs/>
        </w:rPr>
      </w:pPr>
      <w:r w:rsidRPr="005500AB">
        <w:rPr>
          <w:bCs/>
        </w:rPr>
        <w:t>Küreselleşen dünyada kültürel çeşitlilik, toplumların sosyal, ekonomik ve politik yapılarında önemli bir yer tutmaktadır. Farklı kültürlerin bir arada bulunduğu bir ortamda, hoşgörü kavramı, bireylerin ve grupların barış içinde bir arada yaşayabilmesi için temel bir gereklilik haline gelmiştir. Bu bağlamda, kültürel çeşitlilik ve hoşgörü arasındaki ilişki, toplumsal uyumun sağlanmasında kritik bir rol oynamaktadır.</w:t>
      </w:r>
    </w:p>
    <w:p w14:paraId="5F95122C" w14:textId="77777777" w:rsidR="005500AB" w:rsidRPr="005500AB" w:rsidRDefault="005500AB" w:rsidP="005500AB">
      <w:pPr>
        <w:widowControl/>
        <w:autoSpaceDE/>
        <w:autoSpaceDN/>
        <w:spacing w:before="120" w:after="120"/>
        <w:jc w:val="both"/>
        <w:rPr>
          <w:bCs/>
        </w:rPr>
      </w:pPr>
      <w:r w:rsidRPr="005500AB">
        <w:rPr>
          <w:bCs/>
        </w:rPr>
        <w:t xml:space="preserve">Kültürel çeşitlilik, bir toplumda farklı etnik, dini, dilsel ve geleneksel unsurların varlığını ifade eder. Bu çeşitlilik, her ne kadar zenginlik olarak kabul edilse </w:t>
      </w:r>
      <w:proofErr w:type="gramStart"/>
      <w:r w:rsidRPr="005500AB">
        <w:rPr>
          <w:bCs/>
        </w:rPr>
        <w:t>de,</w:t>
      </w:r>
      <w:proofErr w:type="gramEnd"/>
      <w:r w:rsidRPr="005500AB">
        <w:rPr>
          <w:bCs/>
        </w:rPr>
        <w:t xml:space="preserve"> aynı zamanda çatışma ve ayrışma risklerini de beraberinde getirebilir. Bu noktada hoşgörü, bireylerin farklılıkları kabul etmesi ve bu farklılıklara saygı göstermesi anlamına gelir. Hoşgörünün eksik olduğu durumlarda, önyargılar ve ayrımcılık gibi olumsuz toplumsal dinamikler ortaya çıkabilir </w:t>
      </w:r>
      <w:r w:rsidRPr="005500AB">
        <w:rPr>
          <w:bCs/>
        </w:rPr>
        <w:fldChar w:fldCharType="begin"/>
      </w:r>
      <w:r w:rsidRPr="005500AB">
        <w:rPr>
          <w:bCs/>
        </w:rPr>
        <w:instrText xml:space="preserve"> ADDIN ZOTERO_ITEM CSL_CITATION {"citationID":"T5ghu4KB","properties":{"formattedCitation":"(Y. A. \\uc0\\u199{}ift\\uc0\\u231{}i &amp; Ayd\\uc0\\u305{}n, 2015)","plainCitation":"(Y. A. Çiftçi &amp; Aydın, 2015)","noteIndex":0},"citationItems":[{"id":1092,"uris":["http://zotero.org/users/9822074/items/8CSZ7N86"],"itemData":{"id":1092,"type":"article-journal","abstract":"Çokkültürlü eğitim; etnik, ırksal, dil, din, cinsiyet, vb gibi kültürel özelliklere bağlı farklılıkların olduğu toplumlarda, önyargı, kimlik çatışması, güç çekişmelerini azaltmak için, toplumun farklı beklentilerine cevap veren eğitim politikaları ve uygulamalarının eğitime yansıtılması ve kültürel çoğulculuğu teşvik etmek için demokratik değerlere dayalı eğitimöğretim yaklaşımı ya da eğitim eşitliğini sağlamayı taahhüt eden karma okul anlayışı olarak tanımlanmaktadır. Bu çalışmada, çokkültürlü bir toplum olan Türkiye’de çokkültürlü eğitimin niçin gerekli olduğu gerekçelendirilmeye çalışılmıştır. Bu gerekçelerin, çokkültürlü eğitimin niçin gerekli olduğunu ortaya koymasının yanı sıra, eğitim programlarda ne tür bir içeriğin yer almasının uygun olacağı ve nasıl öğretilmesi gerektiği konusuna da açıklık getirebileceği düşünülmüştür.","container-title":"Süleyman Demirel Üniversitesi Fen-Edebiyat Fakültesi Sosyal Bilimler Dergisi","ISSN":"1300-9435, 2667-6206","issue":"33","language":"tr","note":"number: 33\npublisher: Süleyman Demirel Üniversitesi","page":"197-218","source":"dergipark.org.tr","title":"Türkiye’de Çokkültürlü Eğitimin Gerekliliği Üzerine Bir Çalışma","author":[{"family":"Çiftçi","given":"Yasemin Acar"},{"family":"Aydın","given":"Hasan"}],"issued":{"date-parts":[["2015"]]}}}],"schema":"https://github.com/citation-style-language/schema/raw/master/csl-citation.json"} </w:instrText>
      </w:r>
      <w:r w:rsidRPr="005500AB">
        <w:rPr>
          <w:bCs/>
        </w:rPr>
        <w:fldChar w:fldCharType="separate"/>
      </w:r>
      <w:r w:rsidRPr="005500AB">
        <w:t>(Y. A. Çiftçi &amp; Aydın, 2015)</w:t>
      </w:r>
      <w:r w:rsidRPr="005500AB">
        <w:rPr>
          <w:bCs/>
        </w:rPr>
        <w:fldChar w:fldCharType="end"/>
      </w:r>
      <w:r w:rsidRPr="005500AB">
        <w:rPr>
          <w:bCs/>
        </w:rPr>
        <w:t>.</w:t>
      </w:r>
    </w:p>
    <w:p w14:paraId="74E71645" w14:textId="77777777" w:rsidR="005500AB" w:rsidRPr="005500AB" w:rsidRDefault="005500AB" w:rsidP="005500AB">
      <w:pPr>
        <w:widowControl/>
        <w:autoSpaceDE/>
        <w:autoSpaceDN/>
        <w:spacing w:before="120" w:after="120"/>
        <w:jc w:val="both"/>
        <w:rPr>
          <w:bCs/>
        </w:rPr>
      </w:pPr>
      <w:r w:rsidRPr="005500AB">
        <w:rPr>
          <w:bCs/>
        </w:rPr>
        <w:t xml:space="preserve">Hoşgörünün teşvik edilmesi, bireylerin empati geliştirmesi ve diğer kültürlere açık bir bakış açısı kazanması ile mümkündür. Eğitim kurumları bu süreçte anahtar bir role sahiptir. Çok kültürlü eğitim programları, öğrencilerin farklı kültürleri tanımasını ve anlamasını sağlar. Bu tür programlar, bireyler arasında diyalog kurulmasını kolaylaştırarak kültürel bariyerlerin aşılmasına katkıda bulunur </w:t>
      </w:r>
      <w:r w:rsidRPr="005500AB">
        <w:rPr>
          <w:bCs/>
        </w:rPr>
        <w:fldChar w:fldCharType="begin"/>
      </w:r>
      <w:r w:rsidRPr="005500AB">
        <w:rPr>
          <w:bCs/>
        </w:rPr>
        <w:instrText xml:space="preserve"> ADDIN ZOTERO_ITEM CSL_CITATION {"citationID":"MSNBLcbA","properties":{"formattedCitation":"(Y. A. \\uc0\\u199{}ift\\uc0\\u231{}i &amp; Ayd\\uc0\\u305{}n, 2015)","plainCitation":"(Y. A. Çiftçi &amp; Aydın, 2015)","noteIndex":0},"citationItems":[{"id":1092,"uris":["http://zotero.org/users/9822074/items/8CSZ7N86"],"itemData":{"id":1092,"type":"article-journal","abstract":"Çokkültürlü eğitim; etnik, ırksal, dil, din, cinsiyet, vb gibi kültürel özelliklere bağlı farklılıkların olduğu toplumlarda, önyargı, kimlik çatışması, güç çekişmelerini azaltmak için, toplumun farklı beklentilerine cevap veren eğitim politikaları ve uygulamalarının eğitime yansıtılması ve kültürel çoğulculuğu teşvik etmek için demokratik değerlere dayalı eğitimöğretim yaklaşımı ya da eğitim eşitliğini sağlamayı taahhüt eden karma okul anlayışı olarak tanımlanmaktadır. Bu çalışmada, çokkültürlü bir toplum olan Türkiye’de çokkültürlü eğitimin niçin gerekli olduğu gerekçelendirilmeye çalışılmıştır. Bu gerekçelerin, çokkültürlü eğitimin niçin gerekli olduğunu ortaya koymasının yanı sıra, eğitim programlarda ne tür bir içeriğin yer almasının uygun olacağı ve nasıl öğretilmesi gerektiği konusuna da açıklık getirebileceği düşünülmüştür.","container-title":"Süleyman Demirel Üniversitesi Fen-Edebiyat Fakültesi Sosyal Bilimler Dergisi","ISSN":"1300-9435, 2667-6206","issue":"33","language":"tr","note":"number: 33\npublisher: Süleyman Demirel Üniversitesi","page":"197-218","source":"dergipark.org.tr","title":"Türkiye’de Çokkültürlü Eğitimin Gerekliliği Üzerine Bir Çalışma","author":[{"family":"Çiftçi","given":"Yasemin Acar"},{"family":"Aydın","given":"Hasan"}],"issued":{"date-parts":[["2015"]]}}}],"schema":"https://github.com/citation-style-language/schema/raw/master/csl-citation.json"} </w:instrText>
      </w:r>
      <w:r w:rsidRPr="005500AB">
        <w:rPr>
          <w:bCs/>
        </w:rPr>
        <w:fldChar w:fldCharType="separate"/>
      </w:r>
      <w:r w:rsidRPr="005500AB">
        <w:t>(Y. A. Çiftçi &amp; Aydın, 2015)</w:t>
      </w:r>
      <w:r w:rsidRPr="005500AB">
        <w:rPr>
          <w:bCs/>
        </w:rPr>
        <w:fldChar w:fldCharType="end"/>
      </w:r>
      <w:r w:rsidRPr="005500AB">
        <w:rPr>
          <w:bCs/>
        </w:rPr>
        <w:t>.</w:t>
      </w:r>
    </w:p>
    <w:p w14:paraId="604E51AC" w14:textId="77777777" w:rsidR="005500AB" w:rsidRPr="005500AB" w:rsidRDefault="005500AB" w:rsidP="005500AB">
      <w:pPr>
        <w:widowControl/>
        <w:autoSpaceDE/>
        <w:autoSpaceDN/>
        <w:spacing w:before="120" w:after="120"/>
        <w:jc w:val="both"/>
        <w:rPr>
          <w:bCs/>
        </w:rPr>
      </w:pPr>
      <w:r w:rsidRPr="005500AB">
        <w:rPr>
          <w:bCs/>
        </w:rPr>
        <w:t xml:space="preserve">Ayrıca, medya ve sanat gibi iletişim araçları da kültürel çeşitliliğin ve hoşgörünün yaygınlaştırılmasında etkili olabilir. Farklı kültürlere ait hikâyeler, filmler ve müzikler, </w:t>
      </w:r>
      <w:r w:rsidRPr="005500AB">
        <w:rPr>
          <w:bCs/>
        </w:rPr>
        <w:lastRenderedPageBreak/>
        <w:t>bireylerin diğer kültürlere karşı farkındalık geliştirmesine olanak tanır. Bu tür içerikler, toplumlar arasında ortak bir anlayış zemini oluşturabilir.</w:t>
      </w:r>
    </w:p>
    <w:p w14:paraId="37A01006" w14:textId="77777777" w:rsidR="005500AB" w:rsidRPr="005500AB" w:rsidRDefault="005500AB" w:rsidP="005500AB">
      <w:pPr>
        <w:widowControl/>
        <w:autoSpaceDE/>
        <w:autoSpaceDN/>
        <w:spacing w:before="120" w:after="120"/>
        <w:jc w:val="both"/>
        <w:rPr>
          <w:bCs/>
        </w:rPr>
      </w:pPr>
      <w:r w:rsidRPr="005500AB">
        <w:rPr>
          <w:bCs/>
        </w:rPr>
        <w:t xml:space="preserve">Sonuç olarak, kültürel çeşitlilik ve hoşgörü, toplumsal barışın ve sürdürülebilir kalkınmanın temel taşları arasında yer almaktadır. Farklılıkların bir tehdit olarak değil, bir zenginlik olarak görülmesi, toplumların daha kapsayıcı ve dayanışmacı bir yapıya kavuşmasını sağlayacaktır. Bu nedenle, bireylerin hoşgörü değerlerini içselleştirebilmesi için hem eğitim hem de sosyal politikalar düzeyinde kapsamlı stratejiler geliştirilmelidir. </w:t>
      </w:r>
    </w:p>
    <w:p w14:paraId="1293762C" w14:textId="77777777" w:rsidR="005500AB" w:rsidRPr="005500AB" w:rsidRDefault="005500AB" w:rsidP="00B9252F">
      <w:pPr>
        <w:widowControl/>
        <w:autoSpaceDE/>
        <w:autoSpaceDN/>
        <w:jc w:val="both"/>
        <w:rPr>
          <w:b/>
          <w:bCs/>
        </w:rPr>
      </w:pPr>
      <w:r w:rsidRPr="005500AB">
        <w:rPr>
          <w:b/>
          <w:bCs/>
        </w:rPr>
        <w:t>4.2.2. Evrensel Ahlaki Değerlerin Gençlere Hitap Edecek Şekilde Aktarılması</w:t>
      </w:r>
    </w:p>
    <w:p w14:paraId="3E292E1B" w14:textId="77777777" w:rsidR="005500AB" w:rsidRPr="005500AB" w:rsidRDefault="005500AB" w:rsidP="00B9252F">
      <w:pPr>
        <w:widowControl/>
        <w:autoSpaceDE/>
        <w:autoSpaceDN/>
        <w:jc w:val="both"/>
        <w:rPr>
          <w:bCs/>
        </w:rPr>
      </w:pPr>
      <w:r w:rsidRPr="005500AB">
        <w:rPr>
          <w:bCs/>
        </w:rPr>
        <w:t>Evrensel ahlaki değerler, insanlık tarihinin her döneminde toplumların temel yapı taşlarını oluşturmuş ve bireylerin bir arada uyum içerisinde yaşayabilmelerini sağlamıştır. Adalet, dürüstlük, saygı, hoşgörü ve sorumluluk gibi değerler, bireylerin hem kendileriyle hem de çevreleriyle sağlıklı ilişkiler kurabilmeleri açısından büyük önem taşımaktadır. Ancak bu değerlerin yeni nesillere etkili bir şekilde aktarılması, özellikle günümüzün hızlı değişen ve dijitalleşen dünyasında, ciddi bir çaba ve strateji gerektirmektedir.</w:t>
      </w:r>
    </w:p>
    <w:p w14:paraId="4CDA9D85" w14:textId="77777777" w:rsidR="005500AB" w:rsidRPr="005500AB" w:rsidRDefault="005500AB" w:rsidP="005500AB">
      <w:pPr>
        <w:widowControl/>
        <w:autoSpaceDE/>
        <w:autoSpaceDN/>
        <w:spacing w:before="120" w:after="120"/>
        <w:jc w:val="both"/>
        <w:rPr>
          <w:bCs/>
        </w:rPr>
      </w:pPr>
      <w:r w:rsidRPr="005500AB">
        <w:rPr>
          <w:bCs/>
        </w:rPr>
        <w:t xml:space="preserve">Gençlere evrensel ahlaki değerlerin aktarılmasında en önemli husus, bu değerlerin onların ilgi ve ihtiyaçlarına uygun bir şekilde sunulmasıdır. Geleneksel yöntemlerle yapılan didaktik söylemler, gençlerin ilgisini çekmekte yetersiz kalabilir. Bunun yerine, değerlerin günlük yaşamla ilişkilendirilmesi ve somut örneklerle desteklenmesi daha etkili bir yöntem olabilir </w:t>
      </w:r>
      <w:r w:rsidRPr="005500AB">
        <w:rPr>
          <w:bCs/>
        </w:rPr>
        <w:fldChar w:fldCharType="begin"/>
      </w:r>
      <w:r w:rsidRPr="005500AB">
        <w:rPr>
          <w:bCs/>
        </w:rPr>
        <w:instrText xml:space="preserve"> ADDIN ZOTERO_ITEM CSL_CITATION {"citationID":"RUNjuyMF","properties":{"formattedCitation":"(G\\uc0\\u252{}rses &amp; K\\uc0\\u305{}lavuz, 2016)","plainCitation":"(Gürses &amp; Kılavuz, 2016)","noteIndex":0},"citationItems":[{"id":1088,"uris":["http://zotero.org/users/9822074/items/56T5754T"],"itemData":{"id":1088,"type":"article-journal","abstract":"Günümüzde hızlı değişen çağdaş hayat tarzı, nesillerin birbiriyle iletişiminde farklılaşmaların ortaya çıkmasına neden olmuştur. Kuşaklar arası iletişim eksikliği her bir neslin kendisini toplumun bütününün bir parçası olarak değil, bir alt kültür olarak görmesine sebep olmuştur. Bu olumsuzlukları en az seviyeye indirgemek için din toplumunda iki ya da daha fazla yaş grubunun karşılıklı paylaşma yoluyla birlikte yaşamasına, öğrenmesine ve birlikte planlanmış eğitim etkinliklerine katılmasına daha fazla ihtiyaç duyulmuştur. Bu çalışmada nesiller arası formal ve informal din eğitimin imkânlarının neler olabileceği konusu ele alınmaktadır. Anahtar Kelimeler: ahlak, ahlak kuramları, bilişsel gelişim, gelenek Collective Learning of Moral Values among Generations: An Assessment with regard to Moral Development Theory by Kohlberg Abstract In our time, the rapid-changing modern lifestyle brings along emergence of differences in communication between generations. Due to lack of communication between generations, each generation conceives itself as a subculture, and not a part of the society as a whole. In order to minimise such negative circumstances, there is a growing requirement for collective living, learning and participation in collectively-planned educational activities of two or more groups of age in a religious society. Hereby study investigates the possibility of intergenerational formal and informal education of religion. Keywords: morals, moral theories, cognitive development, tradition","container-title":"Uludağ Üniversitesi İlahiyat Fakültesi Dergisi","ISSN":"1301-3394, 2667-680X","issue":"1","journalAbbreviation":"UÜİFD","language":"scheme=\"ISO639-1\"","note":"number: 1\npublisher: Bursa Uludağ Üniversitesi","page":"97-117","source":"dergipark.org.tr","title":"Kuşakların Ahlâkî Değerleri Birlikte Öğrenmesi: Kohlberg’in Ahlâkî Gelişim Kuramı Açısından Bir Değerlendirme","title-short":"Kuşakların Ahlâkî Değerleri Birlikte Öğrenmesi","volume":"25","author":[{"family":"Gürses","given":"İbrahim"},{"family":"Kılavuz","given":"Mehmet Akif"}],"issued":{"date-parts":[["2016"]]}}}],"schema":"https://github.com/citation-style-language/schema/raw/master/csl-citation.json"} </w:instrText>
      </w:r>
      <w:r w:rsidRPr="005500AB">
        <w:rPr>
          <w:bCs/>
        </w:rPr>
        <w:fldChar w:fldCharType="separate"/>
      </w:r>
      <w:r w:rsidRPr="005500AB">
        <w:t>(Gürses &amp; Kılavuz, 2016)</w:t>
      </w:r>
      <w:r w:rsidRPr="005500AB">
        <w:rPr>
          <w:bCs/>
        </w:rPr>
        <w:fldChar w:fldCharType="end"/>
      </w:r>
      <w:r w:rsidRPr="005500AB">
        <w:rPr>
          <w:bCs/>
        </w:rPr>
        <w:t>. Örneğin, dürüstlük kavramı bir hikâye ya da gerçek bir olay üzerinden ele alınarak tartışmaya açılabilir. Bu, gençlerin konuyu daha iyi anlamalarını ve kendi yaşamlarına uyarlamalarını kolaylaştırır.</w:t>
      </w:r>
    </w:p>
    <w:p w14:paraId="79D9DDBD" w14:textId="77777777" w:rsidR="005500AB" w:rsidRPr="005500AB" w:rsidRDefault="005500AB" w:rsidP="005500AB">
      <w:pPr>
        <w:widowControl/>
        <w:autoSpaceDE/>
        <w:autoSpaceDN/>
        <w:spacing w:before="120" w:after="120"/>
        <w:jc w:val="both"/>
        <w:rPr>
          <w:bCs/>
        </w:rPr>
      </w:pPr>
      <w:r w:rsidRPr="005500AB">
        <w:rPr>
          <w:bCs/>
        </w:rPr>
        <w:t xml:space="preserve">Dijital platformların yaygınlaşmasıyla birlikte, gençlere ulaşmak için teknolojiyi etkili bir araç olarak kullanmak önemlidir. Sosyal medya, çevrimiçi eğitim platformları ve mobil uygulamalar, ahlaki değerlerin gençlere aktarılmasında güçlü birer araç olabilir </w:t>
      </w:r>
      <w:r w:rsidRPr="005500AB">
        <w:rPr>
          <w:bCs/>
        </w:rPr>
        <w:fldChar w:fldCharType="begin"/>
      </w:r>
      <w:r w:rsidRPr="005500AB">
        <w:rPr>
          <w:bCs/>
        </w:rPr>
        <w:instrText xml:space="preserve"> ADDIN ZOTERO_ITEM CSL_CITATION {"citationID":"ggh0IluM","properties":{"formattedCitation":"(\\uc0\\u350{}ener, 2021)","plainCitation":"(Şener, 2021)","noteIndex":0},"citationItems":[{"id":671,"uris":["http://zotero.org/users/9822074/items/72X5ZU6S"],"itemData":{"id":671,"type":"article-journal","abstract":"Teknoloji toplumu olduğumuzdan beri hayatımıza giren sosyal medya özellikle gençlerin ilgi odağı olmayı başarmıştır. Sosyal medyanın gücü göz ardı edilemez durumdadır, bu yüzden sosyal medyanın fonksiyonları ve nasıl olması gerektiği önem arz etmektedir. Bu çalışma ile ergenlerin sosyal medya kullanmalarıyla birlikte gündelik hayatlarına nasıl etki ettiği, düşünce ve değerlerinde nasıl değişimler olduğunu tespit etmek hedeflenmektedir. Araştırmada nitel araştırma yöntemi kullanılmıştır. Araştırmanın evrenini, günümüz zaman dilimi içerisinde, Konya ili Meram, Selçuklu ve Karatay ilçelerindeki 14-20 yaş arası fertler ve bu kişilerin anneleri oluşturmaktadır. 14-20 yaş arası gençler ve anneleriyle yapılacak mülakat ile görüşleri alınıp değerlendirildikten sonra bir sonuca varılacaktır. Anneler ile yapılan görüşmede gençlerin sosyal medyadan olumsuz etkilendikleri, gençlerin düşünce ve değerler sistemi sosyal medyada geçirdikleri zamana göre farklılık gösterdiği sonucuna varılmıştır.","container-title":"Akademik Platform İslami Araştırmalar Dergisi","DOI":"10.52115/apjir.979579","ISSN":"2602-2893","issue":"3","journalAbbreviation":"APJIR","language":"tr","note":"number: 3\npublisher: Akademik Perspektif Derneği","page":"529-553","source":"dergipark.org.tr","title":"Sosyal Medyanın Gençlerin Düşünce ve Değerlerine Etkisi","volume":"5","author":[{"family":"Şener","given":"Sami"}],"issued":{"date-parts":[["2021"]]}}}],"schema":"https://github.com/citation-style-language/schema/raw/master/csl-citation.json"} </w:instrText>
      </w:r>
      <w:r w:rsidRPr="005500AB">
        <w:rPr>
          <w:bCs/>
        </w:rPr>
        <w:fldChar w:fldCharType="separate"/>
      </w:r>
      <w:r w:rsidRPr="005500AB">
        <w:t>(Şener, 2021)</w:t>
      </w:r>
      <w:r w:rsidRPr="005500AB">
        <w:rPr>
          <w:bCs/>
        </w:rPr>
        <w:fldChar w:fldCharType="end"/>
      </w:r>
      <w:r w:rsidRPr="005500AB">
        <w:rPr>
          <w:bCs/>
        </w:rPr>
        <w:t>. Örneğin, kısa videolar, infografikler veya interaktif oyunlar aracılığıyla değerler eğitimi daha eğlenceli ve ilgi çekici hale getirilebilir. Ayrıca, bu platformlar gençlerin aktif katılımını teşvik ederek öğrenme sürecini daha etkili kılabilir.</w:t>
      </w:r>
    </w:p>
    <w:p w14:paraId="361CA77A" w14:textId="77777777" w:rsidR="005500AB" w:rsidRPr="005500AB" w:rsidRDefault="005500AB" w:rsidP="005500AB">
      <w:pPr>
        <w:widowControl/>
        <w:autoSpaceDE/>
        <w:autoSpaceDN/>
        <w:spacing w:before="120" w:after="120"/>
        <w:jc w:val="both"/>
        <w:rPr>
          <w:bCs/>
        </w:rPr>
      </w:pPr>
      <w:r w:rsidRPr="005500AB">
        <w:rPr>
          <w:bCs/>
        </w:rPr>
        <w:t xml:space="preserve">Aileler ve eğitim kurumları da bu süreçte kritik bir rol oynamaktadır. Aile ortamında çocuklara model olacak davranışlar sergilenmesi ve bu değerlerin günlük yaşamda uygulanmasının teşvik edilmesi gereklidir </w:t>
      </w:r>
      <w:r w:rsidRPr="005500AB">
        <w:rPr>
          <w:bCs/>
        </w:rPr>
        <w:fldChar w:fldCharType="begin"/>
      </w:r>
      <w:r w:rsidRPr="005500AB">
        <w:rPr>
          <w:bCs/>
        </w:rPr>
        <w:instrText xml:space="preserve"> ADDIN ZOTERO_ITEM CSL_CITATION {"citationID":"3pntNClk","properties":{"formattedCitation":"(Aybey, 2018)","plainCitation":"(Aybey, 2018)","noteIndex":0},"citationItems":[{"id":493,"uris":["http://zotero.org/users/9822074/items/ZNIFUYCF"],"itemData":{"id":493,"type":"article-journal","abstract":"Aile, toplumsal yapının en küçük birimi ve gelecekte toplumu şekillendirmesi beklenen çocuğun sağlam bir karakter geliştirmesi bakımından ağır sorumluluklar yüklenmiş bir kurumdur. Bununla birlikte aile, değerlerin çocuklara aktarılmasında da son derece önemli bir yere sahiptir. Her doğan çocuk, bir takım kabiliyetlerle dünyaya gelir ve bunların geliştirilmesi ailenin sorumluluk alanı içinde önemli bir yer teşkil eder. Bu nedenle aile; yalnızca çocu ğ un biyolojik, psikolojik ve sosyal ihtiyaçlarını kar ş ılamakla sorumlu olmayıp, aynı zamanda onun dini ve ahlaki ihtiyaçlarını da tatmin etmekle görevlidir. Dolayısıyla genel olarak değerlerin özel olarak da dini değerlerin çocuğa kazandırıldığı en önemli kurum ailedir. Bu çalışmada öncelikle değer ve dini değer kavramlarından hareketle, dini değerlerin aktarılmasında ailenin rolü açıklanarak, bu süreçte dikkat edilmesi gereken bazı ilkeler üzerinde durulmuştur. Bu ilkelerden bazıları, çocuğun gelişim dönemleri bilmek, sevgi, model olma ve etkili iletişimdir. Çalışma sonucunda ailenin, çocuğa dini değer aktarımında büyük bir öneme sahip olduğu sonucuna varılmıştır.","container-title":"İnsan ve Toplum Bilimleri Araştırmaları Dergisi","DOI":"10.15869/itobiad.398540","ISSN":"2147-1185","issue":"2","journalAbbreviation":"itobiad","language":"tr","note":"number: 2\npublisher: Mustafa Süleyman ÖZCAN","page":"544-560","source":"dergipark.org.tr","title":"Ailenin Dini Değerleri Aktarmadaki Rolü ve Bu Süreçte Dikkat Edilmesi Gereken İlkeler","volume":"7","author":[{"family":"Aybey","given":"Salih"}],"issued":{"date-parts":[["2018"]]}}}],"schema":"https://github.com/citation-style-language/schema/raw/master/csl-citation.json"} </w:instrText>
      </w:r>
      <w:r w:rsidRPr="005500AB">
        <w:rPr>
          <w:bCs/>
        </w:rPr>
        <w:fldChar w:fldCharType="separate"/>
      </w:r>
      <w:r w:rsidRPr="005500AB">
        <w:t>(Aybey, 2018)</w:t>
      </w:r>
      <w:r w:rsidRPr="005500AB">
        <w:rPr>
          <w:bCs/>
        </w:rPr>
        <w:fldChar w:fldCharType="end"/>
      </w:r>
      <w:r w:rsidRPr="005500AB">
        <w:rPr>
          <w:bCs/>
        </w:rPr>
        <w:t>. Eğitim kurumları ise müfredatlarında evrensel ahlaki değerlere yer vererek öğrencilerin bu kavramlarla erken yaşta tanışmalarını sağlayabilir. Bunun yanı sıra, okul içindeki sosyal etkinlikler ve grup çalışmaları da bu değerlerin pratiğe dökülmesi açısından önemli fırsatlar sunar.</w:t>
      </w:r>
    </w:p>
    <w:p w14:paraId="0451CAEA" w14:textId="77777777" w:rsidR="005500AB" w:rsidRPr="005500AB" w:rsidRDefault="005500AB" w:rsidP="005500AB">
      <w:pPr>
        <w:widowControl/>
        <w:autoSpaceDE/>
        <w:autoSpaceDN/>
        <w:spacing w:before="120" w:after="120"/>
        <w:jc w:val="both"/>
        <w:rPr>
          <w:bCs/>
        </w:rPr>
      </w:pPr>
      <w:r w:rsidRPr="005500AB">
        <w:rPr>
          <w:bCs/>
        </w:rPr>
        <w:t xml:space="preserve">Sonuç olarak, evrensel ahlaki değerlerin gençlere hitap edecek şekilde aktarılması, onların kişisel gelişimlerine katkı sağlamakla kalmayıp toplumun genel refahına da olumlu etkilerde bulunacaktır. Bu süreçte yenilikçi yaklaşımlar benimsemek, gençlerin ihtiyaçlarını anlamak ve onlara uygun yöntemler geliştirmek kritik öneme sahiptir. Ahlaki değerlerin nesilden </w:t>
      </w:r>
      <w:proofErr w:type="spellStart"/>
      <w:r w:rsidRPr="005500AB">
        <w:rPr>
          <w:bCs/>
        </w:rPr>
        <w:t>nesile</w:t>
      </w:r>
      <w:proofErr w:type="spellEnd"/>
      <w:r w:rsidRPr="005500AB">
        <w:rPr>
          <w:bCs/>
        </w:rPr>
        <w:t xml:space="preserve"> </w:t>
      </w:r>
      <w:proofErr w:type="gramStart"/>
      <w:r w:rsidRPr="005500AB">
        <w:rPr>
          <w:bCs/>
        </w:rPr>
        <w:t>aktarımı,</w:t>
      </w:r>
      <w:proofErr w:type="gramEnd"/>
      <w:r w:rsidRPr="005500AB">
        <w:rPr>
          <w:bCs/>
        </w:rPr>
        <w:t xml:space="preserve"> hem bireysel hem de toplumsal düzeyde sürdürülebilir bir geleceğin inşası için vazgeçilmezdir.</w:t>
      </w:r>
    </w:p>
    <w:p w14:paraId="50E23372" w14:textId="77777777" w:rsidR="005500AB" w:rsidRPr="005500AB" w:rsidRDefault="005500AB" w:rsidP="00B9252F">
      <w:pPr>
        <w:widowControl/>
        <w:autoSpaceDE/>
        <w:autoSpaceDN/>
        <w:jc w:val="both"/>
        <w:rPr>
          <w:b/>
          <w:bCs/>
        </w:rPr>
      </w:pPr>
      <w:r w:rsidRPr="005500AB">
        <w:rPr>
          <w:b/>
          <w:bCs/>
        </w:rPr>
        <w:t>5. SONUÇ VE ÖNERİLER</w:t>
      </w:r>
    </w:p>
    <w:p w14:paraId="10DC7E59" w14:textId="77777777" w:rsidR="005500AB" w:rsidRDefault="005500AB" w:rsidP="00B9252F">
      <w:pPr>
        <w:widowControl/>
        <w:autoSpaceDE/>
        <w:autoSpaceDN/>
        <w:jc w:val="both"/>
        <w:rPr>
          <w:bCs/>
        </w:rPr>
      </w:pPr>
      <w:r w:rsidRPr="005500AB">
        <w:rPr>
          <w:bCs/>
        </w:rPr>
        <w:t xml:space="preserve">Dijitalleşme çağında, sanal platformlar bireylerin bilgiye erişimini kolaylaştıran önemli araçlar haline gelmiştir. Bu durum, dini değerlerin aktarımı ve dini eğitim süreçleri için de yeni fırsatlar ve zorluklar doğurmuştur. Bu makalede, sanal dünyanın dini değerlerin aktarımındaki rolü ele </w:t>
      </w:r>
      <w:r w:rsidRPr="005500AB">
        <w:rPr>
          <w:bCs/>
        </w:rPr>
        <w:lastRenderedPageBreak/>
        <w:t>alınmış ve bu bağlamda pedagojik yaklaşımlar ile dijital araçların etkili kullanımına yönelik öneriler sunulmuştur.</w:t>
      </w:r>
    </w:p>
    <w:p w14:paraId="6D86DCE6" w14:textId="77777777" w:rsidR="00B9252F" w:rsidRPr="005500AB" w:rsidRDefault="00B9252F" w:rsidP="00B9252F">
      <w:pPr>
        <w:widowControl/>
        <w:autoSpaceDE/>
        <w:autoSpaceDN/>
        <w:jc w:val="both"/>
        <w:rPr>
          <w:bCs/>
        </w:rPr>
      </w:pPr>
    </w:p>
    <w:p w14:paraId="75E7DF51" w14:textId="77777777" w:rsidR="005500AB" w:rsidRPr="005500AB" w:rsidRDefault="005500AB" w:rsidP="00B9252F">
      <w:pPr>
        <w:widowControl/>
        <w:autoSpaceDE/>
        <w:autoSpaceDN/>
        <w:jc w:val="both"/>
        <w:rPr>
          <w:b/>
        </w:rPr>
      </w:pPr>
      <w:r w:rsidRPr="005500AB">
        <w:rPr>
          <w:b/>
        </w:rPr>
        <w:t>5.1. Araştırma Bulgularının Değerlendirilmesi</w:t>
      </w:r>
    </w:p>
    <w:p w14:paraId="5B6F0F19" w14:textId="77777777" w:rsidR="005500AB" w:rsidRPr="005500AB" w:rsidRDefault="005500AB" w:rsidP="00B9252F">
      <w:pPr>
        <w:widowControl/>
        <w:autoSpaceDE/>
        <w:autoSpaceDN/>
        <w:jc w:val="both"/>
      </w:pPr>
      <w:r w:rsidRPr="005500AB">
        <w:t xml:space="preserve">Günümüzde teknolojinin hızla gelişmesi ve dijital platformların yaygınlaşması, bireylerin iletişim, bilgi edinme ve öğrenme biçimlerini köklü bir şekilde değiştirmiştir. Özellikle genç nesillerin dijital dünyayla olan güçlü etkileşimi, dini değerlerin aktarımı ve dini eğitim süreçlerinin de bu dönüşümden etkilenmesine neden olmuştur </w:t>
      </w:r>
      <w:r w:rsidRPr="005500AB">
        <w:fldChar w:fldCharType="begin"/>
      </w:r>
      <w:r w:rsidRPr="005500AB">
        <w:instrText xml:space="preserve"> ADDIN ZOTERO_ITEM CSL_CITATION {"citationID":"ZjGIeb32","properties":{"formattedCitation":"(G\\uc0\\u246{}k\\uc0\\u231{}e &amp; Tekin, 2021)","plainCitation":"(Gökçe &amp; Tekin, 2021)","noteIndex":0},"citationItems":[{"id":947,"uris":["http://zotero.org/users/9822074/items/6SYPXNIK"],"itemData":{"id":947,"type":"article-journal","abstract":"Bu çalışma Kuşak Teorisi merkezinde Z kuşağının dindarlık eğilimlerini ortaya koymayı amaçlamaktır. Bu amaç doğrultusunda; çalışmada Türkiye’nin farklı şehirlerinde, farklı sosyo-ekonomik düzeye sahip Z kuşağından kişilerle görüşmeler yapılmış ve sahip oldukları dini eğilimler analiz edilmiştir. Araştırma verilerinin toplanmasında, doküman analizi ve yarı yapılandırılmış görüşme tekniklerinden yararlanılmıştır. Çalışma grubunun oluşturulmasında ise amaçlı örnekleme yöntemlerinden ölçüt örnekleme tercih edilmiştir. Araştırmada; katılımcıların dinin daha çok dışsal anlamlarına önem verdikleri, dini belli birkaç boyutu ile sınırlı olarak anladıkları, dini daha çok kendilerine fayda sağlayan, ayrıcalık tanıyan veya kendilerini iyi hissetmelerini sağlayan bir sebep olarak anlamlandırdıkları, dinin ibadet boyutunun yanında etki, bilgi, ahlak gibi boyutlarına ilişkin göndermeler yaptığı, katılımcıların hayatında dinin etkilerinin daha az görüldüğü, katılımcıların ibadethaneye gitme sıklığının az olduğu ve düzenli bir ibadethane rutinlerinin olmadığı, toplu dini ibadetlere katılmayı tercih etmedikleri, kendilerini dindar olarak görmedikleri, ibadetler sonrası olumlu duygular hissettikleri, dini bilgi edinmeyi önemsedikleri, daha çok internet üzerinden araştırma yaptıkları ve arkadaş seçimlerinde dinin etkisinin olmadığı sonuçlarına ulaşılmıştır.","container-title":"Talim","ISSN":"2587-1927, 2630-5887","issue":"2","journalAbbreviation":"Talim","language":"tr","note":"number: 2\npublisher: Önder İmam Hatipliler Derneği","page":"182-205","source":"dergipark.org.tr","title":"Z Kuşağının Dindarlık Eğilimleri","volume":"5","author":[{"family":"Gökçe","given":"Sena"},{"family":"Tekin","given":"İshak"}],"issued":{"date-parts":[["2021"]]}}}],"schema":"https://github.com/citation-style-language/schema/raw/master/csl-citation.json"} </w:instrText>
      </w:r>
      <w:r w:rsidRPr="005500AB">
        <w:fldChar w:fldCharType="separate"/>
      </w:r>
      <w:r w:rsidRPr="005500AB">
        <w:t>(Gökçe &amp; Tekin, 2021)</w:t>
      </w:r>
      <w:r w:rsidRPr="005500AB">
        <w:fldChar w:fldCharType="end"/>
      </w:r>
      <w:r w:rsidRPr="005500AB">
        <w:t>. Bu bağlamda, sanal dünyanın sunduğu imkânlar kadar, içerdiği riskler de dikkat çekmektedir.</w:t>
      </w:r>
    </w:p>
    <w:p w14:paraId="4EA328D8" w14:textId="77777777" w:rsidR="005500AB" w:rsidRPr="005500AB" w:rsidRDefault="005500AB" w:rsidP="005500AB">
      <w:pPr>
        <w:widowControl/>
        <w:autoSpaceDE/>
        <w:autoSpaceDN/>
        <w:spacing w:before="120" w:after="120"/>
        <w:jc w:val="both"/>
      </w:pPr>
      <w:r w:rsidRPr="005500AB">
        <w:t xml:space="preserve">Sanal dünya, dini bilgilerin geniş kitlelere ulaştırılmasında önemli bir araç olarak kullanılmaktadır. Online dersler, dijital kitaplar, mobil uygulamalar ve sosyal medya platformları gibi araçlar, bireylerin dini bilgilere erişimini kolaylaştırmaktadır. Ayrıca, yapay zekâ destekli uygulamalar aracılığıyla kişiselleştirilmiş dini eğitim imkânları sunulabilmektedir. Örneğin, Kur'an-ı Kerim'in </w:t>
      </w:r>
      <w:proofErr w:type="spellStart"/>
      <w:r w:rsidRPr="005500AB">
        <w:t>tecvid</w:t>
      </w:r>
      <w:proofErr w:type="spellEnd"/>
      <w:r w:rsidRPr="005500AB">
        <w:t xml:space="preserve"> kurallarına uygun okunmasını öğreten uygulamalar veya hadis ve fıkıh bilgilerini interaktif bir şekilde sunan platformlar, öğrenmeyi hem kolaylaştırmakta hem de bireyler için daha cazip hale getirmektedir.</w:t>
      </w:r>
    </w:p>
    <w:p w14:paraId="6462BC7C" w14:textId="77777777" w:rsidR="005500AB" w:rsidRPr="005500AB" w:rsidRDefault="005500AB" w:rsidP="005500AB">
      <w:pPr>
        <w:widowControl/>
        <w:autoSpaceDE/>
        <w:autoSpaceDN/>
        <w:spacing w:before="120" w:after="120"/>
        <w:jc w:val="both"/>
      </w:pPr>
      <w:r w:rsidRPr="005500AB">
        <w:t>Ancak bu araçların etkili bir şekilde kullanılabilmesi için içeriklerin pedagojik açıdan zenginleştirilmesi büyük önem taşımaktadır. Geleneksel dini eğitim yöntemleriyle dijital dünyanın imkânlarını birleştiren hibrit yaklaşımlar, daha etkili sonuçlar doğurabilir. Özellikle gençlere hitap eden içeriklerin hazırlanmasında görsel ve işitsel materyallerin kullanımı, öğrenme sürecini destekleyebilir.</w:t>
      </w:r>
    </w:p>
    <w:p w14:paraId="3AE5CEF8" w14:textId="77777777" w:rsidR="005500AB" w:rsidRPr="005500AB" w:rsidRDefault="005500AB" w:rsidP="005500AB">
      <w:pPr>
        <w:widowControl/>
        <w:autoSpaceDE/>
        <w:autoSpaceDN/>
        <w:spacing w:before="120" w:after="120"/>
        <w:jc w:val="both"/>
      </w:pPr>
      <w:r w:rsidRPr="005500AB">
        <w:t>Sanal dünya, dini değerlerin aktarımında pek çok fırsat sunmaktadır. Öncelikle, coğrafi sınırların ötesine geçerek farklı kültürlerden bireylerin bir araya gelmesine olanak tanımaktadır. Bu durum, dini bilgilerin evrensel bir boyutta paylaşılmasını ve farklı bakış açılarıyla zenginleşmesini sağlamaktadır.</w:t>
      </w:r>
    </w:p>
    <w:p w14:paraId="1D41C57B" w14:textId="77777777" w:rsidR="005500AB" w:rsidRPr="005500AB" w:rsidRDefault="005500AB" w:rsidP="005500AB">
      <w:pPr>
        <w:widowControl/>
        <w:autoSpaceDE/>
        <w:autoSpaceDN/>
        <w:spacing w:before="120" w:after="120"/>
        <w:jc w:val="both"/>
      </w:pPr>
      <w:r w:rsidRPr="005500AB">
        <w:t xml:space="preserve">Bunun yanı sıra, dijital platformlar sayesinde bireyler kendi öğrenme hızlarına uygun içeriklere erişim sağlayabilir. Örneğin, online kurslar veya videolar aracılığıyla bireyler istedikleri zaman ve </w:t>
      </w:r>
      <w:proofErr w:type="gramStart"/>
      <w:r w:rsidRPr="005500AB">
        <w:t>mekanda</w:t>
      </w:r>
      <w:proofErr w:type="gramEnd"/>
      <w:r w:rsidRPr="005500AB">
        <w:t xml:space="preserve"> dini eğitim alabilirler. Ayrıca, sosyal medya platformları üzerinden yapılan canlı yayınlar veya soru-cevap oturumları, bireylerin din konusunda merak ettikleri sorulara anında yanıt bulmalarını mümkün kılmaktadır.</w:t>
      </w:r>
    </w:p>
    <w:p w14:paraId="7F41BACC" w14:textId="77777777" w:rsidR="005500AB" w:rsidRPr="005500AB" w:rsidRDefault="005500AB" w:rsidP="005500AB">
      <w:pPr>
        <w:widowControl/>
        <w:autoSpaceDE/>
        <w:autoSpaceDN/>
        <w:spacing w:before="120" w:after="120"/>
        <w:jc w:val="both"/>
      </w:pPr>
      <w:r w:rsidRPr="005500AB">
        <w:t>Yapay zekâ teknolojilerinin sunduğu imkanlar da bu süreçte önemli bir rol oynamaktadır. Örneğin, doğal dil işleme yetenekleri sayesinde yapay zekâ destekli sohbet robotları, bireylerin dini sorularını yanıtlayabilir veya onlara günlük ibadetlerini hatırlatabilir.</w:t>
      </w:r>
    </w:p>
    <w:p w14:paraId="17A83061" w14:textId="77777777" w:rsidR="005500AB" w:rsidRPr="005500AB" w:rsidRDefault="005500AB" w:rsidP="005500AB">
      <w:pPr>
        <w:widowControl/>
        <w:autoSpaceDE/>
        <w:autoSpaceDN/>
        <w:spacing w:before="120" w:after="120"/>
        <w:jc w:val="both"/>
      </w:pPr>
      <w:r w:rsidRPr="005500AB">
        <w:t>Sanal dünyanın sunduğu fırsatların yanı sıra bazı zorluklar da bulunmaktadır. Bu zorlukların başında, dijital platformlarda yer alan bilgi kirliliği gelmektedir. Özellikle dini konularda doğru ve güvenilir bilgiye ulaşmak her zaman kolay olmayabilir. Yanlış veya eksik bilgilerin yayılması, bireylerde yanlış inançların oluşmasına neden olabilir.</w:t>
      </w:r>
    </w:p>
    <w:p w14:paraId="2A54ADEA" w14:textId="77777777" w:rsidR="005500AB" w:rsidRPr="005500AB" w:rsidRDefault="005500AB" w:rsidP="005500AB">
      <w:pPr>
        <w:widowControl/>
        <w:autoSpaceDE/>
        <w:autoSpaceDN/>
        <w:spacing w:before="120" w:beforeAutospacing="1" w:after="120" w:afterAutospacing="1"/>
        <w:jc w:val="both"/>
      </w:pPr>
      <w:r w:rsidRPr="005500AB">
        <w:t>Bir diğer zorluk ise dijital bağımlılıkla ilgilidir. Sanal dünyada geçirilen uzun süreler, bireylerin gerçek hayattaki sosyal ilişkilerini ve ibadet alışkanlıklarını olumsuz etkileyebilir. Ayrıca, dijital platformlarda yer alan içeriklerin bazı durumlarda dini hassasiyetlere uygun olmaması da önemli bir sorun olarak karşımıza çıkmaktadır.</w:t>
      </w:r>
    </w:p>
    <w:p w14:paraId="0DA0B816" w14:textId="77777777" w:rsidR="005500AB" w:rsidRPr="005500AB" w:rsidRDefault="005500AB" w:rsidP="005500AB">
      <w:pPr>
        <w:widowControl/>
        <w:autoSpaceDE/>
        <w:autoSpaceDN/>
        <w:spacing w:before="120" w:beforeAutospacing="1" w:after="120" w:afterAutospacing="1"/>
        <w:jc w:val="both"/>
      </w:pPr>
      <w:r w:rsidRPr="005500AB">
        <w:lastRenderedPageBreak/>
        <w:t>Bu bağlamda, dijital platformlarda yer alan dini içeriklerin denetlenmesi ve doğruluğunun sağlanması büyük önem taşımaktadır. Aynı zamanda, bireylerin dijital okuryazarlık becerilerinin geliştirilmesi ve doğru bilgiye erişim konusunda bilinçlendirilmesi gerekmektedir.</w:t>
      </w:r>
    </w:p>
    <w:p w14:paraId="69C2E1CE" w14:textId="77777777" w:rsidR="005500AB" w:rsidRPr="005500AB" w:rsidRDefault="005500AB" w:rsidP="00B9252F">
      <w:pPr>
        <w:widowControl/>
        <w:autoSpaceDE/>
        <w:autoSpaceDN/>
        <w:jc w:val="both"/>
        <w:rPr>
          <w:b/>
        </w:rPr>
      </w:pPr>
      <w:r w:rsidRPr="005500AB">
        <w:rPr>
          <w:b/>
        </w:rPr>
        <w:t xml:space="preserve">5.2. Din Eğitiminde Dijitalleşmeye Yönelik Öneriler </w:t>
      </w:r>
    </w:p>
    <w:p w14:paraId="745D966A" w14:textId="77777777" w:rsidR="005500AB" w:rsidRDefault="005500AB" w:rsidP="00B9252F">
      <w:pPr>
        <w:widowControl/>
        <w:autoSpaceDE/>
        <w:autoSpaceDN/>
        <w:jc w:val="both"/>
      </w:pPr>
      <w:r w:rsidRPr="005500AB">
        <w:t xml:space="preserve">Din eğitiminde dijitalleşme sürecini desteklemek ve bu alanda daha etkili bir öğrenme ortamı oluşturmak adına çeşitli öneriler sunulmaktadır. Öncelikle, eğitimcilerin dijital becerilerinin artırılması, dijital araçların etkin ve pedagojik bir şekilde kullanılabilmesi için kritik bir öneme sahiptir. Bu bağlamda, yapay zekâ ve sanal platformların eğitim süreçlerine entegrasyonu sırasında kullanılabilecek pedagojik rehberlerin </w:t>
      </w:r>
      <w:proofErr w:type="gramStart"/>
      <w:r w:rsidRPr="005500AB">
        <w:t>geliştirilmesi,</w:t>
      </w:r>
      <w:proofErr w:type="gramEnd"/>
      <w:r w:rsidRPr="005500AB">
        <w:t xml:space="preserve"> hem öğretmenlerin hem de öğrencilerin bu teknolojileri daha verimli kullanmalarına olanak tanıyacaktır. Ayrıca, dijital platformlarda sunulan dini içeriklerin güvenilir ve doğrulanabilir kaynaklardan sağlanması, bilgi kirliliğini önlemek ve doğru dini bilgiyi yaygınlaştırmak açısından gereklidir. Son olarak, etkileşimli ve oyun tabanlı öğrenme araçlarının yaygınlaştırılması, öğrencilerin öğrenme süreçlerine daha aktif bir şekilde katılmalarını teşvik edebilir ve bu sayede din eğitiminin daha etkili bir hale gelmesine katkı sağlayabilir. Bu öneriler, din eğitiminin dijital çağın gereksinimlerine uyum sağlaması için önemli adımlar olarak değerlendirilmektedir.</w:t>
      </w:r>
    </w:p>
    <w:p w14:paraId="3715F7EA" w14:textId="77777777" w:rsidR="00B9252F" w:rsidRPr="005500AB" w:rsidRDefault="00B9252F" w:rsidP="00B9252F">
      <w:pPr>
        <w:widowControl/>
        <w:autoSpaceDE/>
        <w:autoSpaceDN/>
        <w:jc w:val="both"/>
      </w:pPr>
    </w:p>
    <w:p w14:paraId="45606701" w14:textId="77777777" w:rsidR="005500AB" w:rsidRPr="005500AB" w:rsidRDefault="005500AB" w:rsidP="00B9252F">
      <w:pPr>
        <w:widowControl/>
        <w:autoSpaceDE/>
        <w:autoSpaceDN/>
        <w:jc w:val="both"/>
        <w:rPr>
          <w:b/>
        </w:rPr>
      </w:pPr>
      <w:r w:rsidRPr="005500AB">
        <w:rPr>
          <w:b/>
        </w:rPr>
        <w:t xml:space="preserve">5.3. Gelecek Araştırmalar İçin Öneriler </w:t>
      </w:r>
    </w:p>
    <w:p w14:paraId="1E5C6D01" w14:textId="77777777" w:rsidR="005500AB" w:rsidRPr="005500AB" w:rsidRDefault="005500AB" w:rsidP="00B9252F">
      <w:pPr>
        <w:widowControl/>
        <w:autoSpaceDE/>
        <w:autoSpaceDN/>
        <w:jc w:val="both"/>
      </w:pPr>
      <w:r w:rsidRPr="005500AB">
        <w:t xml:space="preserve">Farklı kuşaklar ve kültürel bağlamlar temelinde gerçekleştirilecek araştırmalar, bireylerin manevi gelişim süreçlerini daha geniş bir perspektiften değerlendirme imkânı sunacaktır. Özellikle, dijitalleşmenin hız kazandığı günümüzde, sanal platformların genç bireylerin manevi değerlerini şekillendirme üzerindeki etkisi önemli bir araştırma konusu olarak öne çıkmaktadır. Bu bağlamda, sanal platformlarda sunulan içeriklerin gençlerin manevi gelişimini ne ölçüde desteklediği, bu içeriklerin niteliği ve erişim biçimlerinin analiz edilmesi gerekmektedir. Ayrıca, farklı kültürel bağlamlarda manevi gelişimin nasıl şekillendiğine dair karşılaştırmalı çalışmalar, bu alandaki bilgi birikimini zenginleştirebilir. Bu tür çalışmaların </w:t>
      </w:r>
      <w:proofErr w:type="gramStart"/>
      <w:r w:rsidRPr="005500AB">
        <w:t>sonuçları,</w:t>
      </w:r>
      <w:proofErr w:type="gramEnd"/>
      <w:r w:rsidRPr="005500AB">
        <w:t xml:space="preserve"> hem eğitim politikalarının geliştirilmesine hem de yeni nesillerin manevi değerlerini güçlendirecek stratejilerin oluşturulmasına katkı sağlayacaktır.</w:t>
      </w:r>
    </w:p>
    <w:p w14:paraId="5ACE7875" w14:textId="77777777" w:rsidR="005500AB" w:rsidRPr="005500AB" w:rsidRDefault="005500AB" w:rsidP="005500AB">
      <w:pPr>
        <w:widowControl/>
        <w:autoSpaceDE/>
        <w:autoSpaceDN/>
        <w:spacing w:before="120" w:after="120"/>
        <w:jc w:val="both"/>
        <w:rPr>
          <w:b/>
        </w:rPr>
      </w:pPr>
      <w:r w:rsidRPr="005500AB">
        <w:rPr>
          <w:b/>
        </w:rPr>
        <w:t>KAYNAKÇA</w:t>
      </w:r>
    </w:p>
    <w:p w14:paraId="3DF00A14"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5500AB">
        <w:rPr>
          <w:rFonts w:eastAsia="Calibri"/>
          <w:kern w:val="2"/>
          <w:lang w:eastAsia="en-US"/>
          <w14:ligatures w14:val="standardContextual"/>
        </w:rPr>
        <w:fldChar w:fldCharType="begin"/>
      </w:r>
      <w:r w:rsidRPr="00B9252F">
        <w:rPr>
          <w:rFonts w:eastAsia="Calibri"/>
          <w:kern w:val="2"/>
          <w:lang w:eastAsia="en-US"/>
          <w14:ligatures w14:val="standardContextual"/>
        </w:rPr>
        <w:instrText xml:space="preserve"> ADDIN ZOTERO_BIBL {"uncited":[],"omitted":[],"custom":[]} CSL_BIBLIOGRAPHY </w:instrText>
      </w:r>
      <w:r w:rsidRPr="005500AB">
        <w:rPr>
          <w:rFonts w:eastAsia="Calibri"/>
          <w:kern w:val="2"/>
          <w:lang w:eastAsia="en-US"/>
          <w14:ligatures w14:val="standardContextual"/>
        </w:rPr>
        <w:fldChar w:fldCharType="separate"/>
      </w:r>
      <w:r w:rsidRPr="00B9252F">
        <w:rPr>
          <w:rFonts w:eastAsia="Calibri"/>
          <w:kern w:val="2"/>
          <w:lang w:eastAsia="en-US"/>
          <w14:ligatures w14:val="standardContextual"/>
        </w:rPr>
        <w:t xml:space="preserve">Akgül, H. (2022). X, Y ve Z kuşağı bireylerinin toplumsal cinsiyet rollerine ilişkin tutumlarının incelenmesi. </w:t>
      </w:r>
      <w:r w:rsidRPr="00B9252F">
        <w:rPr>
          <w:rFonts w:eastAsia="Calibri"/>
          <w:i/>
          <w:iCs/>
          <w:kern w:val="2"/>
          <w:lang w:eastAsia="en-US"/>
          <w14:ligatures w14:val="standardContextual"/>
        </w:rPr>
        <w:t>International Journal of Educational Spectrum</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4</w:t>
      </w:r>
      <w:r w:rsidRPr="00B9252F">
        <w:rPr>
          <w:rFonts w:eastAsia="Calibri"/>
          <w:kern w:val="2"/>
          <w:lang w:eastAsia="en-US"/>
          <w14:ligatures w14:val="standardContextual"/>
        </w:rPr>
        <w:t>(1), Article 1. https://doi.org/10.47806/ijesacademic.1039180</w:t>
      </w:r>
    </w:p>
    <w:p w14:paraId="3CBF787C"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Anderson, J., &amp; Rainie, L. (2018). The Future of Well-Being in a Tech-Saturated World. </w:t>
      </w:r>
      <w:r w:rsidRPr="00B9252F">
        <w:rPr>
          <w:rFonts w:eastAsia="Calibri"/>
          <w:i/>
          <w:iCs/>
          <w:kern w:val="2"/>
          <w:lang w:eastAsia="en-US"/>
          <w14:ligatures w14:val="standardContextual"/>
        </w:rPr>
        <w:t>Pew Research Center</w:t>
      </w:r>
      <w:r w:rsidRPr="00B9252F">
        <w:rPr>
          <w:rFonts w:eastAsia="Calibri"/>
          <w:kern w:val="2"/>
          <w:lang w:eastAsia="en-US"/>
          <w14:ligatures w14:val="standardContextual"/>
        </w:rPr>
        <w:t>. https://www.pewresearch.org/internet/2018/04/17/the-future-of-well-being-in-a-tech-saturated-world/</w:t>
      </w:r>
    </w:p>
    <w:p w14:paraId="187DF102"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Ardıç, E., &amp; Altun, A. (2017). Dijital Çağın Öğreneni. </w:t>
      </w:r>
      <w:r w:rsidRPr="00B9252F">
        <w:rPr>
          <w:rFonts w:eastAsia="Calibri"/>
          <w:i/>
          <w:iCs/>
          <w:kern w:val="2"/>
          <w:lang w:eastAsia="en-US"/>
          <w14:ligatures w14:val="standardContextual"/>
        </w:rPr>
        <w:t>Uluslararası Sosyal Bilgilerde Yeni Yaklaşımlar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w:t>
      </w:r>
      <w:r w:rsidRPr="00B9252F">
        <w:rPr>
          <w:rFonts w:eastAsia="Calibri"/>
          <w:kern w:val="2"/>
          <w:lang w:eastAsia="en-US"/>
          <w14:ligatures w14:val="standardContextual"/>
        </w:rPr>
        <w:t>(1), Article 1.</w:t>
      </w:r>
    </w:p>
    <w:p w14:paraId="3293A9E7"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Artuk, S., &amp; Balsak, F. (2024). Ergenlerde Psikolojik Sağlamlık ve Maneviyat İlişkisinin İncelenmesi. İçinde F. Balsak (Ed.), </w:t>
      </w:r>
      <w:r w:rsidRPr="00B9252F">
        <w:rPr>
          <w:rFonts w:eastAsia="Calibri"/>
          <w:i/>
          <w:iCs/>
          <w:kern w:val="2"/>
          <w:lang w:eastAsia="en-US"/>
          <w14:ligatures w14:val="standardContextual"/>
        </w:rPr>
        <w:t>Manevi Danışmanlık ve Rehberlikte Farklı Yaklaşımlar</w:t>
      </w:r>
      <w:r w:rsidRPr="00B9252F">
        <w:rPr>
          <w:rFonts w:eastAsia="Calibri"/>
          <w:kern w:val="2"/>
          <w:lang w:eastAsia="en-US"/>
          <w14:ligatures w14:val="standardContextual"/>
        </w:rPr>
        <w:t xml:space="preserve"> (ss. 103-140). İksad Publishing House.</w:t>
      </w:r>
    </w:p>
    <w:p w14:paraId="65E9C407"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Aybey, S. (2018). Ailenin Dini Değerleri Aktarmadaki Rolü ve Bu Süreçte Dikkat Edilmesi Gereken İlkeler. </w:t>
      </w:r>
      <w:r w:rsidRPr="00B9252F">
        <w:rPr>
          <w:rFonts w:eastAsia="Calibri"/>
          <w:i/>
          <w:iCs/>
          <w:kern w:val="2"/>
          <w:lang w:eastAsia="en-US"/>
          <w14:ligatures w14:val="standardContextual"/>
        </w:rPr>
        <w:t>İnsan ve Toplum Bilimleri Araştırmaları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7</w:t>
      </w:r>
      <w:r w:rsidRPr="00B9252F">
        <w:rPr>
          <w:rFonts w:eastAsia="Calibri"/>
          <w:kern w:val="2"/>
          <w:lang w:eastAsia="en-US"/>
          <w14:ligatures w14:val="standardContextual"/>
        </w:rPr>
        <w:t>(2), Article 2. https://doi.org/10.15869/itobiad.398540</w:t>
      </w:r>
    </w:p>
    <w:p w14:paraId="54123AD3"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lastRenderedPageBreak/>
        <w:t xml:space="preserve">Aygül, H. H., Gürbüz, G., &amp; Ün, E. (2022). Google Play Store’daki Türkiye Kaynaklı İslami Mobil Uygulamalar: Tematik Bir Analiz. </w:t>
      </w:r>
      <w:r w:rsidRPr="00B9252F">
        <w:rPr>
          <w:rFonts w:eastAsia="Calibri"/>
          <w:i/>
          <w:iCs/>
          <w:kern w:val="2"/>
          <w:lang w:eastAsia="en-US"/>
          <w14:ligatures w14:val="standardContextual"/>
        </w:rPr>
        <w:t>Selçuk Üniversitesi Edebiyat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47</w:t>
      </w:r>
      <w:r w:rsidRPr="00B9252F">
        <w:rPr>
          <w:rFonts w:eastAsia="Calibri"/>
          <w:kern w:val="2"/>
          <w:lang w:eastAsia="en-US"/>
          <w14:ligatures w14:val="standardContextual"/>
        </w:rPr>
        <w:t>, Article 47. https://doi.org/10.21497/sefad.1128594</w:t>
      </w:r>
    </w:p>
    <w:p w14:paraId="5A679B4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Baykal, B. (2023). </w:t>
      </w:r>
      <w:r w:rsidRPr="00B9252F">
        <w:rPr>
          <w:rFonts w:eastAsia="Calibri"/>
          <w:i/>
          <w:iCs/>
          <w:kern w:val="2"/>
          <w:lang w:eastAsia="en-US"/>
          <w14:ligatures w14:val="standardContextual"/>
        </w:rPr>
        <w:t>Dijital Yerliler: Z Kuşağı ve Sosyal Medya Pazarlaması</w:t>
      </w:r>
      <w:r w:rsidRPr="00B9252F">
        <w:rPr>
          <w:rFonts w:eastAsia="Calibri"/>
          <w:kern w:val="2"/>
          <w:lang w:eastAsia="en-US"/>
          <w14:ligatures w14:val="standardContextual"/>
        </w:rPr>
        <w:t>. Özgür Yayınları.</w:t>
      </w:r>
    </w:p>
    <w:p w14:paraId="53BCB87A"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Bayrak, E., &amp; Eryücel, S. (2024). Z Kuşağında Bilinçli Farkındalık, Yaşamın Anlamı ve Manevi Kaynaklar. </w:t>
      </w:r>
      <w:r w:rsidRPr="00B9252F">
        <w:rPr>
          <w:rFonts w:eastAsia="Calibri"/>
          <w:i/>
          <w:iCs/>
          <w:kern w:val="2"/>
          <w:lang w:eastAsia="en-US"/>
          <w14:ligatures w14:val="standardContextual"/>
        </w:rPr>
        <w:t>İlahiyat Tetkikleri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61</w:t>
      </w:r>
      <w:r w:rsidRPr="00B9252F">
        <w:rPr>
          <w:rFonts w:eastAsia="Calibri"/>
          <w:kern w:val="2"/>
          <w:lang w:eastAsia="en-US"/>
          <w14:ligatures w14:val="standardContextual"/>
        </w:rPr>
        <w:t>, Article 61. https://doi.org/10.29288/ilted.1415755</w:t>
      </w:r>
    </w:p>
    <w:p w14:paraId="09FDF751"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Bayram, F. (2023). </w:t>
      </w:r>
      <w:r w:rsidRPr="00B9252F">
        <w:rPr>
          <w:rFonts w:eastAsia="Calibri"/>
          <w:i/>
          <w:iCs/>
          <w:kern w:val="2"/>
          <w:lang w:eastAsia="en-US"/>
          <w14:ligatures w14:val="standardContextual"/>
        </w:rPr>
        <w:t>Metaverse’e yönelik tüketici algılarının incelenmesi üzerine bir araştırma: Y ve Z kuşakları</w:t>
      </w:r>
      <w:r w:rsidRPr="00B9252F">
        <w:rPr>
          <w:rFonts w:eastAsia="Calibri"/>
          <w:kern w:val="2"/>
          <w:lang w:eastAsia="en-US"/>
          <w14:ligatures w14:val="standardContextual"/>
        </w:rPr>
        <w:t xml:space="preserve"> [Yüksek Lisans Tezi, Alanya Alaaddin Keykubat Üniversitesi Lisansüstü Eğitim Enstitüsü]. http://acikerisim.alanya.edu.tr/xmlui/handle/20.500.12868/2544</w:t>
      </w:r>
    </w:p>
    <w:p w14:paraId="6F058D7A"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Bayramoğlu, G., &amp; Gültekin, F. (2023). Z Kuşağının Sosyal Medya Bağımlılığının Yaşam Doyumu Üzerine Etkisi. </w:t>
      </w:r>
      <w:r w:rsidRPr="00B9252F">
        <w:rPr>
          <w:rFonts w:eastAsia="Calibri"/>
          <w:i/>
          <w:iCs/>
          <w:kern w:val="2"/>
          <w:lang w:eastAsia="en-US"/>
          <w14:ligatures w14:val="standardContextual"/>
        </w:rPr>
        <w:t>Turkuaz Uluslararası Sosyo-Ekonomik Stratejik Araştırmalar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w:t>
      </w:r>
      <w:r w:rsidRPr="00B9252F">
        <w:rPr>
          <w:rFonts w:eastAsia="Calibri"/>
          <w:kern w:val="2"/>
          <w:lang w:eastAsia="en-US"/>
          <w14:ligatures w14:val="standardContextual"/>
        </w:rPr>
        <w:t>(1), Article 1.</w:t>
      </w:r>
    </w:p>
    <w:p w14:paraId="43118438"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Bozkurt, A., Hamutoğlu, N. B., Kaban, A. L., Taşçı, G., &amp; Aykul, M. (2021). Dijital bilgi çağı: Dijital toplum, dijital dönüşüm, dijital eğitim ve dijital yeterlilikler. </w:t>
      </w:r>
      <w:r w:rsidRPr="00B9252F">
        <w:rPr>
          <w:rFonts w:eastAsia="Calibri"/>
          <w:i/>
          <w:iCs/>
          <w:kern w:val="2"/>
          <w:lang w:eastAsia="en-US"/>
          <w14:ligatures w14:val="standardContextual"/>
        </w:rPr>
        <w:t>Açıköğretim Uygulamaları ve Araştırmaları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7</w:t>
      </w:r>
      <w:r w:rsidRPr="00B9252F">
        <w:rPr>
          <w:rFonts w:eastAsia="Calibri"/>
          <w:kern w:val="2"/>
          <w:lang w:eastAsia="en-US"/>
          <w14:ligatures w14:val="standardContextual"/>
        </w:rPr>
        <w:t>(2), Article 2. https://doi.org/10.51948/auad.911584</w:t>
      </w:r>
    </w:p>
    <w:p w14:paraId="120A3EC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Büdün Aydın, E. (2023). Kuşakların Teknoloji Kullanımının Mahremiyet Kapsamında Karşılaştırılması: Dijital Melezler ve Dijital Yerliler. </w:t>
      </w:r>
      <w:r w:rsidRPr="00B9252F">
        <w:rPr>
          <w:rFonts w:eastAsia="Calibri"/>
          <w:i/>
          <w:iCs/>
          <w:kern w:val="2"/>
          <w:lang w:eastAsia="en-US"/>
          <w14:ligatures w14:val="standardContextual"/>
        </w:rPr>
        <w:t>Gümüşhane Üniversitesi İletişim Fakültesi Elektronik Dergisi (e-gifder)</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11</w:t>
      </w:r>
      <w:r w:rsidRPr="00B9252F">
        <w:rPr>
          <w:rFonts w:eastAsia="Calibri"/>
          <w:kern w:val="2"/>
          <w:lang w:eastAsia="en-US"/>
          <w14:ligatures w14:val="standardContextual"/>
        </w:rPr>
        <w:t>(2), 1679-1702.</w:t>
      </w:r>
    </w:p>
    <w:p w14:paraId="2E16F105"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Cengiz, Ö. F. (2023). Dijital Din: Dijital Medyada İcra Edilen Dini Pratikleri Anlamak. </w:t>
      </w:r>
      <w:r w:rsidRPr="00B9252F">
        <w:rPr>
          <w:rFonts w:eastAsia="Calibri"/>
          <w:i/>
          <w:iCs/>
          <w:kern w:val="2"/>
          <w:lang w:eastAsia="en-US"/>
          <w14:ligatures w14:val="standardContextual"/>
        </w:rPr>
        <w:t>Journal of Media and Religion Studies</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6</w:t>
      </w:r>
      <w:r w:rsidRPr="00B9252F">
        <w:rPr>
          <w:rFonts w:eastAsia="Calibri"/>
          <w:kern w:val="2"/>
          <w:lang w:eastAsia="en-US"/>
          <w14:ligatures w14:val="standardContextual"/>
        </w:rPr>
        <w:t>(1), Article 1. https://doi.org/10.47951/mediad.1237539</w:t>
      </w:r>
    </w:p>
    <w:p w14:paraId="41292468"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Çakmak, F. (2023). Dijital Çağın İnanç Problemi: İnanç Göçebeliği. </w:t>
      </w:r>
      <w:r w:rsidRPr="00B9252F">
        <w:rPr>
          <w:rFonts w:eastAsia="Calibri"/>
          <w:i/>
          <w:iCs/>
          <w:kern w:val="2"/>
          <w:lang w:eastAsia="en-US"/>
          <w14:ligatures w14:val="standardContextual"/>
        </w:rPr>
        <w:t>Şırnak Üniversitesi İlahiyat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30</w:t>
      </w:r>
      <w:r w:rsidRPr="00B9252F">
        <w:rPr>
          <w:rFonts w:eastAsia="Calibri"/>
          <w:kern w:val="2"/>
          <w:lang w:eastAsia="en-US"/>
          <w14:ligatures w14:val="standardContextual"/>
        </w:rPr>
        <w:t>, Article 30. https://doi.org/10.35415/sirnakifd.1245524</w:t>
      </w:r>
    </w:p>
    <w:p w14:paraId="62669095"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Çay, S. (2025). </w:t>
      </w:r>
      <w:r w:rsidRPr="00B9252F">
        <w:rPr>
          <w:rFonts w:eastAsia="Calibri"/>
          <w:i/>
          <w:iCs/>
          <w:kern w:val="2"/>
          <w:lang w:eastAsia="en-US"/>
          <w14:ligatures w14:val="standardContextual"/>
        </w:rPr>
        <w:t>Görsel Algı ile beyin İletişiminde Yeni Dönem!</w:t>
      </w:r>
      <w:r w:rsidRPr="00B9252F">
        <w:rPr>
          <w:rFonts w:eastAsia="Calibri"/>
          <w:kern w:val="2"/>
          <w:lang w:eastAsia="en-US"/>
          <w14:ligatures w14:val="standardContextual"/>
        </w:rPr>
        <w:t xml:space="preserve"> Yeniçağ Gazetesi. https://www.yenicaggazetesi.com.tr/gorsel-algi-ile-beyin-iletisiminde-yeni-donem-882681h.htm</w:t>
      </w:r>
    </w:p>
    <w:p w14:paraId="13C58610"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Çetin, N., &amp; Balanuye, Ç. (2015). Değerler ve Eğitim İlişkisi Üzerine. </w:t>
      </w:r>
      <w:r w:rsidRPr="00B9252F">
        <w:rPr>
          <w:rFonts w:eastAsia="Calibri"/>
          <w:i/>
          <w:iCs/>
          <w:kern w:val="2"/>
          <w:lang w:eastAsia="en-US"/>
          <w14:ligatures w14:val="standardContextual"/>
        </w:rPr>
        <w:t>Kaygı. Bursa Uludağ Üniversitesi Fen-Edebiyat Fakültesi Felsefe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24</w:t>
      </w:r>
      <w:r w:rsidRPr="00B9252F">
        <w:rPr>
          <w:rFonts w:eastAsia="Calibri"/>
          <w:kern w:val="2"/>
          <w:lang w:eastAsia="en-US"/>
          <w14:ligatures w14:val="standardContextual"/>
        </w:rPr>
        <w:t>, Article 24. https://doi.org/10.20981/kuufefd.03311</w:t>
      </w:r>
    </w:p>
    <w:p w14:paraId="1BB4D6CD"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Çiftçi, G. T. (2021). Dijital iletişim teknolojileri bağlamında açık ve uzaktan öğrenmenin kapsamı. </w:t>
      </w:r>
      <w:r w:rsidRPr="00B9252F">
        <w:rPr>
          <w:rFonts w:eastAsia="Calibri"/>
          <w:i/>
          <w:iCs/>
          <w:kern w:val="2"/>
          <w:lang w:eastAsia="en-US"/>
          <w14:ligatures w14:val="standardContextual"/>
        </w:rPr>
        <w:t>Açıköğretim Uygulamaları ve Araştırmaları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7</w:t>
      </w:r>
      <w:r w:rsidRPr="00B9252F">
        <w:rPr>
          <w:rFonts w:eastAsia="Calibri"/>
          <w:kern w:val="2"/>
          <w:lang w:eastAsia="en-US"/>
          <w14:ligatures w14:val="standardContextual"/>
        </w:rPr>
        <w:t>(1), Article 1.</w:t>
      </w:r>
    </w:p>
    <w:p w14:paraId="03A138CA"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Çiftçi, Y. A., &amp; Aydın, H. (2015). Türkiye’de Çokkültürlü Eğitimin Gerekliliği Üzerine Bir Çalışma. </w:t>
      </w:r>
      <w:r w:rsidRPr="00B9252F">
        <w:rPr>
          <w:rFonts w:eastAsia="Calibri"/>
          <w:i/>
          <w:iCs/>
          <w:kern w:val="2"/>
          <w:lang w:eastAsia="en-US"/>
          <w14:ligatures w14:val="standardContextual"/>
        </w:rPr>
        <w:t>Süleyman Demirel Üniversitesi Fen-Edebiyat Fakültesi Sosyal Bilimler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33</w:t>
      </w:r>
      <w:r w:rsidRPr="00B9252F">
        <w:rPr>
          <w:rFonts w:eastAsia="Calibri"/>
          <w:kern w:val="2"/>
          <w:lang w:eastAsia="en-US"/>
          <w14:ligatures w14:val="standardContextual"/>
        </w:rPr>
        <w:t>, Article 33.</w:t>
      </w:r>
    </w:p>
    <w:p w14:paraId="5B0C4757"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Davies, T. (2016). Mind Change: How Digital Technologies Are Leaving Their Mark on Our Brains. </w:t>
      </w:r>
      <w:r w:rsidRPr="00B9252F">
        <w:rPr>
          <w:rFonts w:eastAsia="Calibri"/>
          <w:i/>
          <w:iCs/>
          <w:kern w:val="2"/>
          <w:lang w:eastAsia="en-US"/>
          <w14:ligatures w14:val="standardContextual"/>
        </w:rPr>
        <w:t>New Media &amp; Society</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18</w:t>
      </w:r>
      <w:r w:rsidRPr="00B9252F">
        <w:rPr>
          <w:rFonts w:eastAsia="Calibri"/>
          <w:kern w:val="2"/>
          <w:lang w:eastAsia="en-US"/>
          <w14:ligatures w14:val="standardContextual"/>
        </w:rPr>
        <w:t>, 2139-2143.</w:t>
      </w:r>
    </w:p>
    <w:p w14:paraId="0119CA0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Erten, P. (2019). Z Kuşağının Dijital Teknolojiye Yönelik Tutumları. </w:t>
      </w:r>
      <w:r w:rsidRPr="00B9252F">
        <w:rPr>
          <w:rFonts w:eastAsia="Calibri"/>
          <w:i/>
          <w:iCs/>
          <w:kern w:val="2"/>
          <w:lang w:eastAsia="en-US"/>
          <w14:ligatures w14:val="standardContextual"/>
        </w:rPr>
        <w:t>Gümüşhane Üniversitesi Sosyal Bilimler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10</w:t>
      </w:r>
      <w:r w:rsidRPr="00B9252F">
        <w:rPr>
          <w:rFonts w:eastAsia="Calibri"/>
          <w:kern w:val="2"/>
          <w:lang w:eastAsia="en-US"/>
          <w14:ligatures w14:val="standardContextual"/>
        </w:rPr>
        <w:t>(1), Article 1.</w:t>
      </w:r>
    </w:p>
    <w:p w14:paraId="5567ED7E"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Gökbayrak, H., &amp; Işıklı, Ş. (2021). Dijital Din Teorisi: Dijital Din, Geleneksel Dine Karşı. İçinde M. Kızılgeçit, M. Yeşilyurt, R. Ertugay, &amp; M. Çinici (Ed.), </w:t>
      </w:r>
      <w:r w:rsidRPr="00B9252F">
        <w:rPr>
          <w:rFonts w:eastAsia="Calibri"/>
          <w:i/>
          <w:iCs/>
          <w:kern w:val="2"/>
          <w:lang w:eastAsia="en-US"/>
          <w14:ligatures w14:val="standardContextual"/>
        </w:rPr>
        <w:t>Yapay Zekâ, Transhümanizm ve Din</w:t>
      </w:r>
      <w:r w:rsidRPr="00B9252F">
        <w:rPr>
          <w:rFonts w:eastAsia="Calibri"/>
          <w:kern w:val="2"/>
          <w:lang w:eastAsia="en-US"/>
          <w14:ligatures w14:val="standardContextual"/>
        </w:rPr>
        <w:t xml:space="preserve"> (ss. 105-145). Diyanet İşleri Başkanlığı Yayınları.</w:t>
      </w:r>
    </w:p>
    <w:p w14:paraId="0F0EE62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Gökçe, S., &amp; Tekin, İ. (2021). Z Kuşağının Dindarlık Eğilimleri. </w:t>
      </w:r>
      <w:r w:rsidRPr="00B9252F">
        <w:rPr>
          <w:rFonts w:eastAsia="Calibri"/>
          <w:i/>
          <w:iCs/>
          <w:kern w:val="2"/>
          <w:lang w:eastAsia="en-US"/>
          <w14:ligatures w14:val="standardContextual"/>
        </w:rPr>
        <w:t>Talim</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w:t>
      </w:r>
      <w:r w:rsidRPr="00B9252F">
        <w:rPr>
          <w:rFonts w:eastAsia="Calibri"/>
          <w:kern w:val="2"/>
          <w:lang w:eastAsia="en-US"/>
          <w14:ligatures w14:val="standardContextual"/>
        </w:rPr>
        <w:t>(2), Article 2.</w:t>
      </w:r>
    </w:p>
    <w:p w14:paraId="49A009E9"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lastRenderedPageBreak/>
        <w:t xml:space="preserve">Gündüzalp, C. (2021). Web 2.0 Araçları ile Zenginleştirilmiş Çevrimiçi Öğrenmenin Öğrencilerin Üst Bilişsel ve Yaratıcı Düşünme Becerilerine Etkisi. </w:t>
      </w:r>
      <w:r w:rsidRPr="00B9252F">
        <w:rPr>
          <w:rFonts w:eastAsia="Calibri"/>
          <w:i/>
          <w:iCs/>
          <w:kern w:val="2"/>
          <w:lang w:eastAsia="en-US"/>
          <w14:ligatures w14:val="standardContextual"/>
        </w:rPr>
        <w:t>Uluslararası Türkçe Edebiyat Kültür Eğitim (TEKE)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10</w:t>
      </w:r>
      <w:r w:rsidRPr="00B9252F">
        <w:rPr>
          <w:rFonts w:eastAsia="Calibri"/>
          <w:kern w:val="2"/>
          <w:lang w:eastAsia="en-US"/>
          <w14:ligatures w14:val="standardContextual"/>
        </w:rPr>
        <w:t>(3), Article 3.</w:t>
      </w:r>
    </w:p>
    <w:p w14:paraId="1BA8FBC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Gürses, İ., &amp; Kılavuz, M. A. (2016). Kuşakların Ahlâkî Değerleri Birlikte Öğrenmesi: Kohlberg’in Ahlâkî Gelişim Kuramı Açısından Bir Değerlendirme. </w:t>
      </w:r>
      <w:r w:rsidRPr="00B9252F">
        <w:rPr>
          <w:rFonts w:eastAsia="Calibri"/>
          <w:i/>
          <w:iCs/>
          <w:kern w:val="2"/>
          <w:lang w:eastAsia="en-US"/>
          <w14:ligatures w14:val="standardContextual"/>
        </w:rPr>
        <w:t>Uludağ Üniversitesi İlahiyat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25</w:t>
      </w:r>
      <w:r w:rsidRPr="00B9252F">
        <w:rPr>
          <w:rFonts w:eastAsia="Calibri"/>
          <w:kern w:val="2"/>
          <w:lang w:eastAsia="en-US"/>
          <w14:ligatures w14:val="standardContextual"/>
        </w:rPr>
        <w:t>(1), Article 1.</w:t>
      </w:r>
    </w:p>
    <w:p w14:paraId="3CCFA363"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Hocaoğlu, N. (2023). </w:t>
      </w:r>
      <w:r w:rsidRPr="00B9252F">
        <w:rPr>
          <w:rFonts w:eastAsia="Calibri"/>
          <w:i/>
          <w:iCs/>
          <w:kern w:val="2"/>
          <w:lang w:eastAsia="en-US"/>
          <w14:ligatures w14:val="standardContextual"/>
        </w:rPr>
        <w:t>Dijital Dünyada Değişen Din Anlayışı</w:t>
      </w:r>
      <w:r w:rsidRPr="00B9252F">
        <w:rPr>
          <w:rFonts w:eastAsia="Calibri"/>
          <w:kern w:val="2"/>
          <w:lang w:eastAsia="en-US"/>
          <w14:ligatures w14:val="standardContextual"/>
        </w:rPr>
        <w:t xml:space="preserve"> [Yüksek Lisans Tezi]. İstanbul Sebahattin Zaim Üniversitesi Lisansüstü Eğitim Enstitüsü.</w:t>
      </w:r>
    </w:p>
    <w:p w14:paraId="04BBD93F"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Hornbeck, R. G., &amp; Barrett, J. L. (2008). Virtual reality as a spiritual experience: A perspective from the cognitive science of religion. </w:t>
      </w:r>
      <w:r w:rsidRPr="00B9252F">
        <w:rPr>
          <w:rFonts w:eastAsia="Calibri"/>
          <w:i/>
          <w:iCs/>
          <w:kern w:val="2"/>
          <w:lang w:eastAsia="en-US"/>
          <w14:ligatures w14:val="standardContextual"/>
        </w:rPr>
        <w:t>Northern Lights: Film &amp; Media Studies Yearbook</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6</w:t>
      </w:r>
      <w:r w:rsidRPr="00B9252F">
        <w:rPr>
          <w:rFonts w:eastAsia="Calibri"/>
          <w:kern w:val="2"/>
          <w:lang w:eastAsia="en-US"/>
          <w14:ligatures w14:val="standardContextual"/>
        </w:rPr>
        <w:t>(1), 75-90. https://doi.org/10.1386/nl.6.1.75_1</w:t>
      </w:r>
    </w:p>
    <w:p w14:paraId="3589F5EB"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İşliyen, F. Ş. (2020). Dijital Çağda Bilginin Değişen Niteliği ve İnfobezite: Z Kuşağı Üzerine Bir Odak Grup Çalışması. </w:t>
      </w:r>
      <w:r w:rsidRPr="00B9252F">
        <w:rPr>
          <w:rFonts w:eastAsia="Calibri"/>
          <w:i/>
          <w:iCs/>
          <w:kern w:val="2"/>
          <w:lang w:eastAsia="en-US"/>
          <w14:ligatures w14:val="standardContextual"/>
        </w:rPr>
        <w:t>Selçuk İletişim</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13</w:t>
      </w:r>
      <w:r w:rsidRPr="00B9252F">
        <w:rPr>
          <w:rFonts w:eastAsia="Calibri"/>
          <w:kern w:val="2"/>
          <w:lang w:eastAsia="en-US"/>
          <w14:ligatures w14:val="standardContextual"/>
        </w:rPr>
        <w:t>(1), Article 1.</w:t>
      </w:r>
    </w:p>
    <w:p w14:paraId="08ABFC69"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Karslı, N. (2021). Üniversite Öğrencilerinde Manevi-İnsani Değerler ve Dindarlık İlişkisi. </w:t>
      </w:r>
      <w:r w:rsidRPr="00B9252F">
        <w:rPr>
          <w:rFonts w:eastAsia="Calibri"/>
          <w:i/>
          <w:iCs/>
          <w:kern w:val="2"/>
          <w:lang w:eastAsia="en-US"/>
          <w14:ligatures w14:val="standardContextual"/>
        </w:rPr>
        <w:t>Ondokuz Mayıs Üniversitesi İlahiyat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50</w:t>
      </w:r>
      <w:r w:rsidRPr="00B9252F">
        <w:rPr>
          <w:rFonts w:eastAsia="Calibri"/>
          <w:kern w:val="2"/>
          <w:lang w:eastAsia="en-US"/>
          <w14:ligatures w14:val="standardContextual"/>
        </w:rPr>
        <w:t>, Article 50. https://doi.org/10.17120/omuifd.891300</w:t>
      </w:r>
    </w:p>
    <w:p w14:paraId="48FEF8EC"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Meydan, H. (2014). Okulda Değerler Eğitiminin Yeri ve Değerler Eğitimi Yaklaşımları Üzerine Bir Değerlendirme. </w:t>
      </w:r>
      <w:r w:rsidRPr="00B9252F">
        <w:rPr>
          <w:rFonts w:eastAsia="Calibri"/>
          <w:i/>
          <w:iCs/>
          <w:kern w:val="2"/>
          <w:lang w:eastAsia="en-US"/>
          <w14:ligatures w14:val="standardContextual"/>
        </w:rPr>
        <w:t>Bülent Ecevit Üniversitesi İlahiyat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w:t>
      </w:r>
      <w:r w:rsidRPr="00B9252F">
        <w:rPr>
          <w:rFonts w:eastAsia="Calibri"/>
          <w:kern w:val="2"/>
          <w:lang w:eastAsia="en-US"/>
          <w14:ligatures w14:val="standardContextual"/>
        </w:rPr>
        <w:t>(1), 93-108.</w:t>
      </w:r>
    </w:p>
    <w:p w14:paraId="78A0591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Meydan, H. (2015). </w:t>
      </w:r>
      <w:r w:rsidRPr="00B9252F">
        <w:rPr>
          <w:rFonts w:eastAsia="Calibri"/>
          <w:i/>
          <w:iCs/>
          <w:kern w:val="2"/>
          <w:lang w:eastAsia="en-US"/>
          <w14:ligatures w14:val="standardContextual"/>
        </w:rPr>
        <w:t>Din Eğitiminde Manevi Boyut</w:t>
      </w:r>
      <w:r w:rsidRPr="00B9252F">
        <w:rPr>
          <w:rFonts w:eastAsia="Calibri"/>
          <w:kern w:val="2"/>
          <w:lang w:eastAsia="en-US"/>
          <w14:ligatures w14:val="standardContextual"/>
        </w:rPr>
        <w:t xml:space="preserve"> (1.). Dem Yayınları.</w:t>
      </w:r>
    </w:p>
    <w:p w14:paraId="3A869BA7"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Niforatos, E., Palma, A., Gluszny, R., Vourvopoulos, A., &amp; Liarokapis, F. (2020). Would you do it?: Enacting Moral Dilemmas in Virtual Reality for Understanding Ethical Decision-Making. </w:t>
      </w:r>
      <w:r w:rsidRPr="00B9252F">
        <w:rPr>
          <w:rFonts w:eastAsia="Calibri"/>
          <w:i/>
          <w:iCs/>
          <w:kern w:val="2"/>
          <w:lang w:eastAsia="en-US"/>
          <w14:ligatures w14:val="standardContextual"/>
        </w:rPr>
        <w:t>Proceedings of the 2020 CHI Conference on Human Factors in Computing Systems</w:t>
      </w:r>
      <w:r w:rsidRPr="00B9252F">
        <w:rPr>
          <w:rFonts w:eastAsia="Calibri"/>
          <w:kern w:val="2"/>
          <w:lang w:eastAsia="en-US"/>
          <w14:ligatures w14:val="standardContextual"/>
        </w:rPr>
        <w:t>, 1-12. https://doi.org/10.1145/3313831.3376788</w:t>
      </w:r>
    </w:p>
    <w:p w14:paraId="590E167B"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Ortaş, İ. (2018). Bilgi ve İletişim Çağında Bilimsel Bilgiye Erişimin Önemi ve Türkiye’nin Bilgiye Erişim Potansiyeli. </w:t>
      </w:r>
      <w:r w:rsidRPr="00B9252F">
        <w:rPr>
          <w:rFonts w:eastAsia="Calibri"/>
          <w:i/>
          <w:iCs/>
          <w:kern w:val="2"/>
          <w:lang w:eastAsia="en-US"/>
          <w14:ligatures w14:val="standardContextual"/>
        </w:rPr>
        <w:t>Türk Kütüphaneciliği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32</w:t>
      </w:r>
      <w:r w:rsidRPr="00B9252F">
        <w:rPr>
          <w:rFonts w:eastAsia="Calibri"/>
          <w:kern w:val="2"/>
          <w:lang w:eastAsia="en-US"/>
          <w14:ligatures w14:val="standardContextual"/>
        </w:rPr>
        <w:t>(3), Article 3. https://doi.org/10.24146/tkd.2018.39</w:t>
      </w:r>
    </w:p>
    <w:p w14:paraId="0C814B19"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Özdemir, N. (2023). Bir Sosyal Kontrol Aracı Olarak Din ve Yeni Medya. </w:t>
      </w:r>
      <w:r w:rsidRPr="00B9252F">
        <w:rPr>
          <w:rFonts w:eastAsia="Calibri"/>
          <w:i/>
          <w:iCs/>
          <w:kern w:val="2"/>
          <w:lang w:eastAsia="en-US"/>
          <w14:ligatures w14:val="standardContextual"/>
        </w:rPr>
        <w:t>Çukurova Üniversitesi Sosyal Bilimler Enstitüsü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32</w:t>
      </w:r>
      <w:r w:rsidRPr="00B9252F">
        <w:rPr>
          <w:rFonts w:eastAsia="Calibri"/>
          <w:kern w:val="2"/>
          <w:lang w:eastAsia="en-US"/>
          <w14:ligatures w14:val="standardContextual"/>
        </w:rPr>
        <w:t>(3), Article 3. https://doi.org/10.35379/cusosbil.1321711</w:t>
      </w:r>
    </w:p>
    <w:p w14:paraId="572AAC7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Öztaş, F., &amp; Ünalan, A. (2022). Sosyal Medya Fenomenleri ve Üniversite Gençliği: Dini Tutum, Onaylanma ve Tüketim. </w:t>
      </w:r>
      <w:r w:rsidRPr="00B9252F">
        <w:rPr>
          <w:rFonts w:eastAsia="Calibri"/>
          <w:i/>
          <w:iCs/>
          <w:kern w:val="2"/>
          <w:lang w:eastAsia="en-US"/>
          <w14:ligatures w14:val="standardContextual"/>
        </w:rPr>
        <w:t>Journal of Media and Religion Studies</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w:t>
      </w:r>
      <w:r w:rsidRPr="00B9252F">
        <w:rPr>
          <w:rFonts w:eastAsia="Calibri"/>
          <w:kern w:val="2"/>
          <w:lang w:eastAsia="en-US"/>
          <w14:ligatures w14:val="standardContextual"/>
        </w:rPr>
        <w:t>(2), Article 2. https://doi.org/10.47951/mediad.1193878</w:t>
      </w:r>
    </w:p>
    <w:p w14:paraId="1B27156B"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Park, S. Y., Do, B., Yourell, J., Hermer, J., &amp; Huberty, J. (2024). Digital Methods for the Spiritual and Mental Health of Generation Z: Scoping Review. </w:t>
      </w:r>
      <w:r w:rsidRPr="00B9252F">
        <w:rPr>
          <w:rFonts w:eastAsia="Calibri"/>
          <w:i/>
          <w:iCs/>
          <w:kern w:val="2"/>
          <w:lang w:eastAsia="en-US"/>
          <w14:ligatures w14:val="standardContextual"/>
        </w:rPr>
        <w:t>Interactive Journal of Medical Research</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13</w:t>
      </w:r>
      <w:r w:rsidRPr="00B9252F">
        <w:rPr>
          <w:rFonts w:eastAsia="Calibri"/>
          <w:kern w:val="2"/>
          <w:lang w:eastAsia="en-US"/>
          <w14:ligatures w14:val="standardContextual"/>
        </w:rPr>
        <w:t>, e48929. https://doi.org/10.2196/48929</w:t>
      </w:r>
    </w:p>
    <w:p w14:paraId="456D689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Pekel, A. (2019). İnsan Haklarının Evrenselliği ve Kültürel Görecelilik. </w:t>
      </w:r>
      <w:r w:rsidRPr="00B9252F">
        <w:rPr>
          <w:rFonts w:eastAsia="Calibri"/>
          <w:i/>
          <w:iCs/>
          <w:kern w:val="2"/>
          <w:lang w:eastAsia="en-US"/>
          <w14:ligatures w14:val="standardContextual"/>
        </w:rPr>
        <w:t>Liberal Düşünce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24</w:t>
      </w:r>
      <w:r w:rsidRPr="00B9252F">
        <w:rPr>
          <w:rFonts w:eastAsia="Calibri"/>
          <w:kern w:val="2"/>
          <w:lang w:eastAsia="en-US"/>
          <w14:ligatures w14:val="standardContextual"/>
        </w:rPr>
        <w:t>(96), Article 96. https://doi.org/10.36484/liberal.641079</w:t>
      </w:r>
    </w:p>
    <w:p w14:paraId="11521D9C"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Selwyn, N. (2014). </w:t>
      </w:r>
      <w:r w:rsidRPr="00B9252F">
        <w:rPr>
          <w:rFonts w:eastAsia="Calibri"/>
          <w:i/>
          <w:iCs/>
          <w:kern w:val="2"/>
          <w:lang w:eastAsia="en-US"/>
          <w14:ligatures w14:val="standardContextual"/>
        </w:rPr>
        <w:t>Digital Technology and the Contemporary University: Degrees of digitization</w:t>
      </w:r>
      <w:r w:rsidRPr="00B9252F">
        <w:rPr>
          <w:rFonts w:eastAsia="Calibri"/>
          <w:kern w:val="2"/>
          <w:lang w:eastAsia="en-US"/>
          <w14:ligatures w14:val="standardContextual"/>
        </w:rPr>
        <w:t xml:space="preserve"> (1st Edition). Routledge. https://doi.org/10.4324/9781315768656</w:t>
      </w:r>
    </w:p>
    <w:p w14:paraId="1646985B"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Sezgin, S., Bozkurt, A., Yılmaz, E. A., &amp; Linden, N. V. D. (2018). Oyunlaştırma, Eğitim ve Kuramsal Yaklaşımlar: Öğrenme Süreçlerinde Motivasyon, Adanmışlık ve Sürdürebilirlik. </w:t>
      </w:r>
      <w:r w:rsidRPr="00B9252F">
        <w:rPr>
          <w:rFonts w:eastAsia="Calibri"/>
          <w:i/>
          <w:iCs/>
          <w:kern w:val="2"/>
          <w:lang w:eastAsia="en-US"/>
          <w14:ligatures w14:val="standardContextual"/>
        </w:rPr>
        <w:t>Mehmet Akif Ersoy Üniversitesi Eğitim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45</w:t>
      </w:r>
      <w:r w:rsidRPr="00B9252F">
        <w:rPr>
          <w:rFonts w:eastAsia="Calibri"/>
          <w:kern w:val="2"/>
          <w:lang w:eastAsia="en-US"/>
          <w14:ligatures w14:val="standardContextual"/>
        </w:rPr>
        <w:t>, Article 45. https://doi.org/10.21764/maeuefd.339909</w:t>
      </w:r>
    </w:p>
    <w:p w14:paraId="2D4F94C1"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Söğüt, T., &amp; Birol, M. (Ed.). (2022). </w:t>
      </w:r>
      <w:r w:rsidRPr="00B9252F">
        <w:rPr>
          <w:rFonts w:eastAsia="Calibri"/>
          <w:i/>
          <w:iCs/>
          <w:kern w:val="2"/>
          <w:lang w:eastAsia="en-US"/>
          <w14:ligatures w14:val="standardContextual"/>
        </w:rPr>
        <w:t>Sanal Dünya ve Sosyal Medyada Metalar ve Metaverse</w:t>
      </w:r>
      <w:r w:rsidRPr="00B9252F">
        <w:rPr>
          <w:rFonts w:eastAsia="Calibri"/>
          <w:kern w:val="2"/>
          <w:lang w:eastAsia="en-US"/>
          <w14:ligatures w14:val="standardContextual"/>
        </w:rPr>
        <w:t>. Nobel Akademik Yayıncılık.</w:t>
      </w:r>
    </w:p>
    <w:p w14:paraId="610A84B5"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lastRenderedPageBreak/>
        <w:t xml:space="preserve">Survey, P. (2025). </w:t>
      </w:r>
      <w:r w:rsidRPr="00B9252F">
        <w:rPr>
          <w:rFonts w:eastAsia="Calibri"/>
          <w:i/>
          <w:iCs/>
          <w:kern w:val="2"/>
          <w:lang w:eastAsia="en-US"/>
          <w14:ligatures w14:val="standardContextual"/>
        </w:rPr>
        <w:t>Z Kuşağının Özellikleri: Yeni Neslin Tanımlayıcı</w:t>
      </w:r>
      <w:r w:rsidRPr="00B9252F">
        <w:rPr>
          <w:rFonts w:eastAsia="Calibri"/>
          <w:kern w:val="2"/>
          <w:lang w:eastAsia="en-US"/>
          <w14:ligatures w14:val="standardContextual"/>
        </w:rPr>
        <w:t>. PES Survey. https://pessurvey.com/blog/z-kusaginin-ozellikleri-yeni-neslin-tanimlayici-nitelikleri</w:t>
      </w:r>
    </w:p>
    <w:p w14:paraId="6B91F05D"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Şahin, K. (2008). </w:t>
      </w:r>
      <w:r w:rsidRPr="00B9252F">
        <w:rPr>
          <w:rFonts w:eastAsia="Calibri"/>
          <w:i/>
          <w:iCs/>
          <w:kern w:val="2"/>
          <w:lang w:eastAsia="en-US"/>
          <w14:ligatures w14:val="standardContextual"/>
        </w:rPr>
        <w:t>Farklı Özgürlük Anlayışları Çerçevesinde İfade Özgürlüğünün Temellendirilmesi ve Sınırlandırılması</w:t>
      </w:r>
      <w:r w:rsidRPr="00B9252F">
        <w:rPr>
          <w:rFonts w:eastAsia="Calibri"/>
          <w:kern w:val="2"/>
          <w:lang w:eastAsia="en-US"/>
          <w14:ligatures w14:val="standardContextual"/>
        </w:rPr>
        <w:t xml:space="preserve"> [Doktora Tezi]. İstanbul Üniversitesi Sosyal Bilimler Enstitüsü.</w:t>
      </w:r>
    </w:p>
    <w:p w14:paraId="58BF0D1B"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Şener, S. (2021). Sosyal Medyanın Gençlerin Düşünce ve Değerlerine Etkisi. </w:t>
      </w:r>
      <w:r w:rsidRPr="00B9252F">
        <w:rPr>
          <w:rFonts w:eastAsia="Calibri"/>
          <w:i/>
          <w:iCs/>
          <w:kern w:val="2"/>
          <w:lang w:eastAsia="en-US"/>
          <w14:ligatures w14:val="standardContextual"/>
        </w:rPr>
        <w:t>Akademik Platform İslami Araştırmalar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w:t>
      </w:r>
      <w:r w:rsidRPr="00B9252F">
        <w:rPr>
          <w:rFonts w:eastAsia="Calibri"/>
          <w:kern w:val="2"/>
          <w:lang w:eastAsia="en-US"/>
          <w14:ligatures w14:val="standardContextual"/>
        </w:rPr>
        <w:t>(3), Article 3. https://doi.org/10.52115/apjir.979579</w:t>
      </w:r>
    </w:p>
    <w:p w14:paraId="34669F40"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Şimşek, M. E. (2024). Dijital Din Eğitimi. </w:t>
      </w:r>
      <w:r w:rsidRPr="00B9252F">
        <w:rPr>
          <w:rFonts w:eastAsia="Calibri"/>
          <w:i/>
          <w:iCs/>
          <w:kern w:val="2"/>
          <w:lang w:eastAsia="en-US"/>
          <w14:ligatures w14:val="standardContextual"/>
        </w:rPr>
        <w:t>İlahiyat Akademi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19</w:t>
      </w:r>
      <w:r w:rsidRPr="00B9252F">
        <w:rPr>
          <w:rFonts w:eastAsia="Calibri"/>
          <w:kern w:val="2"/>
          <w:lang w:eastAsia="en-US"/>
          <w14:ligatures w14:val="standardContextual"/>
        </w:rPr>
        <w:t>, Article 19. https://doi.org/10.52886/ilak.1435052</w:t>
      </w:r>
    </w:p>
    <w:p w14:paraId="5FF816F1"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Tekke, A., &amp; Lale, A. (2021). Sosyal Medyada Etik, Bilgi Manipülasyonu ve Siber Güvenlik. </w:t>
      </w:r>
      <w:r w:rsidRPr="00B9252F">
        <w:rPr>
          <w:rFonts w:eastAsia="Calibri"/>
          <w:i/>
          <w:iCs/>
          <w:kern w:val="2"/>
          <w:lang w:eastAsia="en-US"/>
          <w14:ligatures w14:val="standardContextual"/>
        </w:rPr>
        <w:t>Akademik İncelemeler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16</w:t>
      </w:r>
      <w:r w:rsidRPr="00B9252F">
        <w:rPr>
          <w:rFonts w:eastAsia="Calibri"/>
          <w:kern w:val="2"/>
          <w:lang w:eastAsia="en-US"/>
          <w14:ligatures w14:val="standardContextual"/>
        </w:rPr>
        <w:t>(2), Article 2. https://doi.org/10.17550/akademikincelemeler.958167</w:t>
      </w:r>
    </w:p>
    <w:p w14:paraId="4B94FA56"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Tosun, A., &amp; Yıldız, K. (2019). Erken Çocukluk Dönemi Din Eğitimi Yaklaşımları Üzerine Karşılaştırmalı Bir Analiz. </w:t>
      </w:r>
      <w:r w:rsidRPr="00B9252F">
        <w:rPr>
          <w:rFonts w:eastAsia="Calibri"/>
          <w:i/>
          <w:iCs/>
          <w:kern w:val="2"/>
          <w:lang w:eastAsia="en-US"/>
          <w14:ligatures w14:val="standardContextual"/>
        </w:rPr>
        <w:t>Amasya İlahiyat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12</w:t>
      </w:r>
      <w:r w:rsidRPr="00B9252F">
        <w:rPr>
          <w:rFonts w:eastAsia="Calibri"/>
          <w:kern w:val="2"/>
          <w:lang w:eastAsia="en-US"/>
          <w14:ligatures w14:val="standardContextual"/>
        </w:rPr>
        <w:t>, Article 12. https://doi.org/10.18498/amailad.539556</w:t>
      </w:r>
    </w:p>
    <w:p w14:paraId="2D548677"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Turkle, S. (2011). </w:t>
      </w:r>
      <w:r w:rsidRPr="00B9252F">
        <w:rPr>
          <w:rFonts w:eastAsia="Calibri"/>
          <w:i/>
          <w:iCs/>
          <w:kern w:val="2"/>
          <w:lang w:eastAsia="en-US"/>
          <w14:ligatures w14:val="standardContextual"/>
        </w:rPr>
        <w:t>Alone together: Why we expect more from technology and less from each other</w:t>
      </w:r>
      <w:r w:rsidRPr="00B9252F">
        <w:rPr>
          <w:rFonts w:eastAsia="Calibri"/>
          <w:kern w:val="2"/>
          <w:lang w:eastAsia="en-US"/>
          <w14:ligatures w14:val="standardContextual"/>
        </w:rPr>
        <w:t>. Basic Books. https://www.academia.edu/3129910/Alone_together_Why_we_expect_more_from_technology_and_less_from_each_other</w:t>
      </w:r>
    </w:p>
    <w:p w14:paraId="1EB7592D"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Uçar, R., &amp; Sezgin, Ş. (2023). Montessori’de Erken Çocukluk Dönemi Din Eğitimi. </w:t>
      </w:r>
      <w:r w:rsidRPr="00B9252F">
        <w:rPr>
          <w:rFonts w:eastAsia="Calibri"/>
          <w:i/>
          <w:iCs/>
          <w:kern w:val="2"/>
          <w:lang w:eastAsia="en-US"/>
          <w14:ligatures w14:val="standardContextual"/>
        </w:rPr>
        <w:t>Marife Dini Araştırmalar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23</w:t>
      </w:r>
      <w:r w:rsidRPr="00B9252F">
        <w:rPr>
          <w:rFonts w:eastAsia="Calibri"/>
          <w:kern w:val="2"/>
          <w:lang w:eastAsia="en-US"/>
          <w14:ligatures w14:val="standardContextual"/>
        </w:rPr>
        <w:t>(1), Article 1. https://doi.org/10.33420/marife.1185650</w:t>
      </w:r>
    </w:p>
    <w:p w14:paraId="7AE4D3EF"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Yavuz, A. (2020). Bilgi Kirliliği ve Bireysel Sorumluluk: Salgın Deneyimimiz. </w:t>
      </w:r>
      <w:r w:rsidRPr="00B9252F">
        <w:rPr>
          <w:rFonts w:eastAsia="Calibri"/>
          <w:i/>
          <w:iCs/>
          <w:kern w:val="2"/>
          <w:lang w:eastAsia="en-US"/>
          <w14:ligatures w14:val="standardContextual"/>
        </w:rPr>
        <w:t>MSGSÜ Sosyal Bilimler</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2</w:t>
      </w:r>
      <w:r w:rsidRPr="00B9252F">
        <w:rPr>
          <w:rFonts w:eastAsia="Calibri"/>
          <w:kern w:val="2"/>
          <w:lang w:eastAsia="en-US"/>
          <w14:ligatures w14:val="standardContextual"/>
        </w:rPr>
        <w:t>(22), Article 22.</w:t>
      </w:r>
    </w:p>
    <w:p w14:paraId="37A367B1"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Yavuz, D. (2016). Eğitimin Değerlerle Yeniden Tanımlanması. </w:t>
      </w:r>
      <w:r w:rsidRPr="00B9252F">
        <w:rPr>
          <w:rFonts w:eastAsia="Calibri"/>
          <w:i/>
          <w:iCs/>
          <w:kern w:val="2"/>
          <w:lang w:eastAsia="en-US"/>
          <w14:ligatures w14:val="standardContextual"/>
        </w:rPr>
        <w:t>Kafdağı</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w:t>
      </w:r>
      <w:r w:rsidRPr="00B9252F">
        <w:rPr>
          <w:rFonts w:eastAsia="Calibri"/>
          <w:kern w:val="2"/>
          <w:lang w:eastAsia="en-US"/>
          <w14:ligatures w14:val="standardContextual"/>
        </w:rPr>
        <w:t>(1), Article 1.</w:t>
      </w:r>
    </w:p>
    <w:p w14:paraId="12CDD27C"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Yazıbaşı, M. (2024). </w:t>
      </w:r>
      <w:r w:rsidRPr="00B9252F">
        <w:rPr>
          <w:rFonts w:eastAsia="Calibri"/>
          <w:i/>
          <w:iCs/>
          <w:kern w:val="2"/>
          <w:lang w:eastAsia="en-US"/>
          <w14:ligatures w14:val="standardContextual"/>
        </w:rPr>
        <w:t>Z Kuşağına Göre Din ve Değer Eğitiminde Babanın Rolü</w:t>
      </w:r>
      <w:r w:rsidRPr="00B9252F">
        <w:rPr>
          <w:rFonts w:eastAsia="Calibri"/>
          <w:kern w:val="2"/>
          <w:lang w:eastAsia="en-US"/>
          <w14:ligatures w14:val="standardContextual"/>
        </w:rPr>
        <w:t>. İlâhiyat Yayınları.</w:t>
      </w:r>
    </w:p>
    <w:p w14:paraId="7D10A913"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Yıldırım, M. B., &amp; Özgen, E. (2024). Dijitalleşme Ekseninde İnfodemi ve Bilgi Düzensizlikleri. </w:t>
      </w:r>
      <w:r w:rsidRPr="00B9252F">
        <w:rPr>
          <w:rFonts w:eastAsia="Calibri"/>
          <w:i/>
          <w:iCs/>
          <w:kern w:val="2"/>
          <w:lang w:eastAsia="en-US"/>
          <w14:ligatures w14:val="standardContextual"/>
        </w:rPr>
        <w:t>Akademik Hassasiyetler</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11</w:t>
      </w:r>
      <w:r w:rsidRPr="00B9252F">
        <w:rPr>
          <w:rFonts w:eastAsia="Calibri"/>
          <w:kern w:val="2"/>
          <w:lang w:eastAsia="en-US"/>
          <w14:ligatures w14:val="standardContextual"/>
        </w:rPr>
        <w:t>(25), Article 25. https://doi.org/10.58884/akademik-hassasiyetler.1435823</w:t>
      </w:r>
    </w:p>
    <w:p w14:paraId="0333296E" w14:textId="77777777" w:rsidR="005500AB"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Yılmaz, H. (2001). Yaygın Din Eğitimi Kurumları ve Toplumsal Barış. </w:t>
      </w:r>
      <w:r w:rsidRPr="00B9252F">
        <w:rPr>
          <w:rFonts w:eastAsia="Calibri"/>
          <w:i/>
          <w:iCs/>
          <w:kern w:val="2"/>
          <w:lang w:eastAsia="en-US"/>
          <w14:ligatures w14:val="standardContextual"/>
        </w:rPr>
        <w:t>Cumhuriyet Üniversitesi İlahiyat Fakültesi Dergisi</w:t>
      </w:r>
      <w:r w:rsidRPr="00B9252F">
        <w:rPr>
          <w:rFonts w:eastAsia="Calibri"/>
          <w:kern w:val="2"/>
          <w:lang w:eastAsia="en-US"/>
          <w14:ligatures w14:val="standardContextual"/>
        </w:rPr>
        <w:t xml:space="preserve">, </w:t>
      </w:r>
      <w:r w:rsidRPr="00B9252F">
        <w:rPr>
          <w:rFonts w:eastAsia="Calibri"/>
          <w:i/>
          <w:iCs/>
          <w:kern w:val="2"/>
          <w:lang w:eastAsia="en-US"/>
          <w14:ligatures w14:val="standardContextual"/>
        </w:rPr>
        <w:t>5</w:t>
      </w:r>
      <w:r w:rsidRPr="00B9252F">
        <w:rPr>
          <w:rFonts w:eastAsia="Calibri"/>
          <w:kern w:val="2"/>
          <w:lang w:eastAsia="en-US"/>
          <w14:ligatures w14:val="standardContextual"/>
        </w:rPr>
        <w:t>(2), 329-356.</w:t>
      </w:r>
    </w:p>
    <w:p w14:paraId="5749AA5B" w14:textId="40195BEF" w:rsidR="00D47EF1" w:rsidRPr="00B9252F" w:rsidRDefault="005500AB">
      <w:pPr>
        <w:pStyle w:val="ListeParagraf"/>
        <w:widowControl/>
        <w:numPr>
          <w:ilvl w:val="0"/>
          <w:numId w:val="87"/>
        </w:numPr>
        <w:autoSpaceDE/>
        <w:autoSpaceDN/>
        <w:spacing w:before="120" w:after="120"/>
        <w:jc w:val="both"/>
        <w:rPr>
          <w:rFonts w:eastAsia="Calibri"/>
          <w:kern w:val="2"/>
          <w:lang w:eastAsia="en-US"/>
          <w14:ligatures w14:val="standardContextual"/>
        </w:rPr>
      </w:pPr>
      <w:r w:rsidRPr="00B9252F">
        <w:rPr>
          <w:rFonts w:eastAsia="Calibri"/>
          <w:kern w:val="2"/>
          <w:lang w:eastAsia="en-US"/>
          <w14:ligatures w14:val="standardContextual"/>
        </w:rPr>
        <w:t xml:space="preserve">Yılmaz, Ö. (2023). Innovative Science Education with Digital Solutions: Learning Environments and Technologies. İçinde </w:t>
      </w:r>
      <w:r w:rsidRPr="00B9252F">
        <w:rPr>
          <w:rFonts w:eastAsia="Calibri"/>
          <w:i/>
          <w:iCs/>
          <w:kern w:val="2"/>
          <w:lang w:eastAsia="en-US"/>
          <w14:ligatures w14:val="standardContextual"/>
        </w:rPr>
        <w:t>Educational Sciences Research- III</w:t>
      </w:r>
      <w:r w:rsidRPr="00B9252F">
        <w:rPr>
          <w:rFonts w:eastAsia="Calibri"/>
          <w:kern w:val="2"/>
          <w:lang w:eastAsia="en-US"/>
          <w14:ligatures w14:val="standardContextual"/>
        </w:rPr>
        <w:t xml:space="preserve"> (ss. 89-125). Özgür Publications. https://avesis.ebyu.edu.tr/yayin/e6ee0bd7-2f01-4ce1-85e2-54aec1597ecc/innovative-science-education-with-digital-solutions-learning-environments-and-technologies</w:t>
      </w:r>
      <w:r w:rsidR="00D47EF1" w:rsidRPr="00B9252F">
        <w:rPr>
          <w:rFonts w:eastAsia="Calibri"/>
          <w:kern w:val="2"/>
          <w:lang w:eastAsia="en-US"/>
          <w14:ligatures w14:val="standardContextual"/>
        </w:rPr>
        <w:br w:type="page"/>
      </w:r>
    </w:p>
    <w:p w14:paraId="0348F0B4" w14:textId="77777777" w:rsidR="005500AB" w:rsidRPr="005500AB" w:rsidRDefault="005500AB" w:rsidP="005500AB">
      <w:pPr>
        <w:widowControl/>
        <w:autoSpaceDE/>
        <w:autoSpaceDN/>
        <w:spacing w:before="120" w:after="120"/>
        <w:ind w:left="720" w:hanging="720"/>
        <w:jc w:val="both"/>
        <w:rPr>
          <w:rFonts w:eastAsia="Calibri"/>
          <w:kern w:val="2"/>
          <w:lang w:eastAsia="en-US"/>
          <w14:ligatures w14:val="standardContextual"/>
        </w:rPr>
      </w:pPr>
    </w:p>
    <w:p w14:paraId="1330A6AB" w14:textId="24477607" w:rsidR="00FA457D" w:rsidRPr="00D47EF1" w:rsidRDefault="005500AB" w:rsidP="00D47EF1">
      <w:pPr>
        <w:widowControl/>
        <w:autoSpaceDE/>
        <w:autoSpaceDN/>
        <w:spacing w:before="120" w:after="120"/>
        <w:jc w:val="center"/>
        <w:rPr>
          <w:rFonts w:eastAsia="Calibri"/>
          <w:b/>
          <w:bCs/>
          <w:kern w:val="2"/>
          <w:lang w:eastAsia="en-US"/>
          <w14:ligatures w14:val="standardContextual"/>
        </w:rPr>
      </w:pPr>
      <w:r w:rsidRPr="005500AB">
        <w:rPr>
          <w:rFonts w:eastAsia="Calibri"/>
          <w:kern w:val="2"/>
          <w:lang w:eastAsia="en-US"/>
          <w14:ligatures w14:val="standardContextual"/>
        </w:rPr>
        <w:fldChar w:fldCharType="end"/>
      </w:r>
      <w:r w:rsidR="00FA457D" w:rsidRPr="00D47EF1">
        <w:rPr>
          <w:b/>
          <w:bCs/>
        </w:rPr>
        <w:t>Kültürel Değerler ve Boşanma Oranları: İsveç, Meksika ve Türkiye Örneğinde Aile Değerlerinin Dönüşümü</w:t>
      </w:r>
    </w:p>
    <w:p w14:paraId="4C76AF3C" w14:textId="77777777" w:rsidR="00FA457D" w:rsidRPr="00B1089D" w:rsidRDefault="00FA457D" w:rsidP="00FA457D">
      <w:pPr>
        <w:widowControl/>
        <w:jc w:val="center"/>
      </w:pPr>
      <w:r w:rsidRPr="00B1089D">
        <w:t>Aylin Çiçekli</w:t>
      </w:r>
      <w:r w:rsidRPr="00B1089D">
        <w:br/>
        <w:t>Dr. Öğr. Ü., Akdeniz Üniversitesi, Sosyoloji Bölümü</w:t>
      </w:r>
      <w:r w:rsidRPr="00B1089D">
        <w:br/>
        <w:t>aylincicekli@akdeniz.edu.tr</w:t>
      </w:r>
      <w:r w:rsidRPr="00B1089D">
        <w:br/>
      </w:r>
      <w:proofErr w:type="spellStart"/>
      <w:r w:rsidRPr="00B1089D">
        <w:t>Orcid</w:t>
      </w:r>
      <w:proofErr w:type="spellEnd"/>
      <w:r w:rsidRPr="00B1089D">
        <w:t xml:space="preserve"> ID: 0000 0002 3606 4351</w:t>
      </w:r>
    </w:p>
    <w:p w14:paraId="002D64B9" w14:textId="77777777" w:rsidR="00FA457D" w:rsidRPr="00B1089D" w:rsidRDefault="00FA457D" w:rsidP="00FA457D">
      <w:pPr>
        <w:widowControl/>
        <w:jc w:val="center"/>
      </w:pPr>
    </w:p>
    <w:p w14:paraId="687DAB1A" w14:textId="77777777" w:rsidR="00FA457D" w:rsidRPr="00B1089D" w:rsidRDefault="00FA457D" w:rsidP="00FA457D">
      <w:pPr>
        <w:widowControl/>
        <w:jc w:val="center"/>
      </w:pPr>
      <w:r w:rsidRPr="00B1089D">
        <w:rPr>
          <w:b/>
          <w:bCs/>
        </w:rPr>
        <w:t>Özet</w:t>
      </w:r>
    </w:p>
    <w:p w14:paraId="3819F07F" w14:textId="77777777" w:rsidR="00FA457D" w:rsidRPr="00B1089D" w:rsidRDefault="00FA457D" w:rsidP="00F977D7">
      <w:pPr>
        <w:widowControl/>
        <w:jc w:val="both"/>
      </w:pPr>
      <w:r w:rsidRPr="00B1089D">
        <w:t xml:space="preserve">Bu çalışma, evlilik, boşanma ve aile değerleri ekseninde, farklı toplumsal ve kültürel bağlamlara sahip ülkelerin boşanma karşıtı değerleri ve boşanma oranlarını karşılaştırmalı olarak analiz etmektedir. World </w:t>
      </w:r>
      <w:proofErr w:type="spellStart"/>
      <w:r w:rsidRPr="00B1089D">
        <w:t>Values</w:t>
      </w:r>
      <w:proofErr w:type="spellEnd"/>
      <w:r w:rsidRPr="00B1089D">
        <w:t xml:space="preserve"> </w:t>
      </w:r>
      <w:proofErr w:type="spellStart"/>
      <w:r w:rsidRPr="00B1089D">
        <w:t>Survey</w:t>
      </w:r>
      <w:proofErr w:type="spellEnd"/>
      <w:r w:rsidRPr="00B1089D">
        <w:t xml:space="preserve"> (WVS) verileri temel alınarak yapılan analizde, İsveç, Meksika ve Türkiye örnek ülkeler olarak ele alınmıştır. Bu ülkeler, modernleşme ve geleneksel değerlerin aile yapısına etkisini anlamak açısından zengin bir çerçeve sunmaktadır. İsveç, Kuzey Avrupa'da bireysel özgürlüklerin ve cinsiyet eşitliğinin ön planda tutulduğu, boşanmaya daha hoşgörülü bakılan bir ülkedir. Boşanma oranlarının yüksek olduğu İsveç’te, kişisel mutluluk ve bireysel özgürlüklerin aile kurumuna etkileri incelenmektedir. Bu durum, modernleşmenin ve liberal değerlerin boşanma oranlarını nasıl şekillendirdiğine dair önemli ipuçları sunar. Meksika, güçlü Katolik inançları ve geleneksel aile yapısıyla, boşanmaya karşı daha muhafazakâr bir tutuma sahiptir. Boşanma oranlarının nispeten düşük olduğu bu ülkede, dini ve toplumsal normların boşanma karşıtı tutumları nasıl güçlendirdiği değerlendirilmektedir. Aile değerlerinin korunması ve sosyal beklentilerin evlilik kararlarına etkisi bu bağlamda incelenir. Türkiye ise, geleneksel ve modern değerlerin çatıştığı, bölgesel ve sosyoekonomik farklılıkların belirgin olduğu bir ülke olarak analiz edilmektedir. Modernleşme ve toplumsal değişimlerle birlikte artış gösteren boşanma oranlarına rağmen, toplumsal normlar hâlâ boşanmaya karşı daha muhafazakâr bir tutum sergileyebilmektedir. Bu çalışma, Türkiye’deki boşanma algısını şekillendiren dinamiklerin ve kültürel dönüşüm süreçlerinin anlaşılmasına katkı sunar. Sonuç olarak, çalışma, toplumsal değerler ve boşanma tutumları arasındaki ilişkiye ışık tutmakta ve farklı değer sistemlerine sahip ülkelerdeki normların bireysel karar alma süreçlerindeki etkilerini karşılaştırmalı olarak ele almaktadır. Bu kapsamda elde edilen bulgular, modernleşme, dini normlar ve toplumsal değişimlerin aile yapısındaki dönüşüm üzerindeki etkilerini daha iyi anlamaya olanak tanımaktadır.</w:t>
      </w:r>
    </w:p>
    <w:p w14:paraId="562BF726" w14:textId="77777777" w:rsidR="00FA457D" w:rsidRPr="00B1089D" w:rsidRDefault="00FA457D" w:rsidP="00F977D7">
      <w:pPr>
        <w:widowControl/>
        <w:jc w:val="both"/>
      </w:pPr>
    </w:p>
    <w:p w14:paraId="6FB563CA" w14:textId="5A6596E8" w:rsidR="00D47EF1" w:rsidRDefault="00FA457D" w:rsidP="00F977D7">
      <w:pPr>
        <w:widowControl/>
        <w:jc w:val="both"/>
      </w:pPr>
      <w:r w:rsidRPr="00B1089D">
        <w:rPr>
          <w:b/>
          <w:bCs/>
        </w:rPr>
        <w:t xml:space="preserve">Anahtar </w:t>
      </w:r>
      <w:r w:rsidRPr="00D10870">
        <w:rPr>
          <w:b/>
          <w:bCs/>
        </w:rPr>
        <w:t>Kelimeler</w:t>
      </w:r>
      <w:r w:rsidRPr="00B1089D">
        <w:rPr>
          <w:b/>
          <w:bCs/>
        </w:rPr>
        <w:t>:</w:t>
      </w:r>
      <w:r w:rsidRPr="00B1089D">
        <w:t xml:space="preserve"> Boşanma, Aile, Kültürlerarası Analiz, Toplumsal Normlar, World Value </w:t>
      </w:r>
      <w:proofErr w:type="spellStart"/>
      <w:r w:rsidRPr="00B1089D">
        <w:t>Survey</w:t>
      </w:r>
      <w:proofErr w:type="spellEnd"/>
      <w:r w:rsidRPr="00B1089D">
        <w:t xml:space="preserve"> (WVS) verileri</w:t>
      </w:r>
    </w:p>
    <w:p w14:paraId="63B1589D" w14:textId="7094BFF5" w:rsidR="0038321B" w:rsidRPr="00D47EF1" w:rsidRDefault="00D47EF1" w:rsidP="00D47EF1">
      <w:pPr>
        <w:autoSpaceDE/>
        <w:autoSpaceDN/>
      </w:pPr>
      <w:r>
        <w:br w:type="page"/>
      </w:r>
    </w:p>
    <w:p w14:paraId="628D0AD5" w14:textId="25EB10EA" w:rsidR="00FA457D" w:rsidRPr="00B1089D" w:rsidRDefault="00FA457D" w:rsidP="004C7694">
      <w:pPr>
        <w:pStyle w:val="Tark"/>
      </w:pPr>
      <w:bookmarkStart w:id="289" w:name="_Toc192855302"/>
      <w:r w:rsidRPr="00B1089D">
        <w:lastRenderedPageBreak/>
        <w:t>Murathan Mungan’ın Seçtikleriyle ‘Erkekler Yalnızlıklar’ Adlı Öykü Kitabında Madun Erkeklikler</w:t>
      </w:r>
      <w:bookmarkEnd w:id="289"/>
    </w:p>
    <w:p w14:paraId="57E58291" w14:textId="77777777" w:rsidR="00FA457D" w:rsidRPr="00B1089D" w:rsidRDefault="00FA457D" w:rsidP="00FA457D">
      <w:pPr>
        <w:widowControl/>
        <w:jc w:val="center"/>
      </w:pPr>
      <w:r w:rsidRPr="00B1089D">
        <w:t>Merve Akgül</w:t>
      </w:r>
    </w:p>
    <w:p w14:paraId="1ACED1D0" w14:textId="77777777" w:rsidR="00FA457D" w:rsidRPr="00B1089D" w:rsidRDefault="00FA457D" w:rsidP="00FA457D">
      <w:pPr>
        <w:widowControl/>
        <w:jc w:val="center"/>
      </w:pPr>
      <w:r w:rsidRPr="00B1089D">
        <w:t xml:space="preserve">Yüksek Lisans Öğrencisi. </w:t>
      </w:r>
      <w:proofErr w:type="spellStart"/>
      <w:r w:rsidRPr="00B1089D">
        <w:t>Ondokuz</w:t>
      </w:r>
      <w:proofErr w:type="spellEnd"/>
      <w:r w:rsidRPr="00B1089D">
        <w:t xml:space="preserve"> Mayıs Üniversitesi Kadın ve Aile Araştırmaları Anabilim Dalı.</w:t>
      </w:r>
    </w:p>
    <w:p w14:paraId="0B53E9F0" w14:textId="77777777" w:rsidR="00FA457D" w:rsidRPr="00D10870" w:rsidRDefault="00FA457D" w:rsidP="00FA457D">
      <w:pPr>
        <w:widowControl/>
        <w:jc w:val="center"/>
      </w:pPr>
      <w:r w:rsidRPr="00B1089D">
        <w:t xml:space="preserve">E-posta: </w:t>
      </w:r>
      <w:hyperlink r:id="rId445" w:history="1">
        <w:r w:rsidRPr="00B1089D">
          <w:rPr>
            <w:rStyle w:val="Kpr"/>
          </w:rPr>
          <w:t>av.mervecakir@hotmail.com</w:t>
        </w:r>
      </w:hyperlink>
    </w:p>
    <w:p w14:paraId="2D4259B5" w14:textId="77777777" w:rsidR="00FA457D" w:rsidRPr="00B1089D" w:rsidRDefault="00FA457D" w:rsidP="00FA457D">
      <w:pPr>
        <w:widowControl/>
        <w:jc w:val="center"/>
      </w:pPr>
      <w:r w:rsidRPr="00B1089D">
        <w:t>ORCID: 0009-0008-4427-2055</w:t>
      </w:r>
    </w:p>
    <w:p w14:paraId="65782D19" w14:textId="77777777" w:rsidR="00FA457D" w:rsidRPr="00B1089D" w:rsidRDefault="00FA457D" w:rsidP="00FA457D">
      <w:pPr>
        <w:widowControl/>
        <w:jc w:val="center"/>
      </w:pPr>
    </w:p>
    <w:p w14:paraId="4E6708B3" w14:textId="77777777" w:rsidR="00FA457D" w:rsidRPr="00B1089D" w:rsidRDefault="00FA457D" w:rsidP="00FA457D">
      <w:pPr>
        <w:widowControl/>
        <w:jc w:val="center"/>
      </w:pPr>
      <w:r w:rsidRPr="00B1089D">
        <w:rPr>
          <w:b/>
          <w:bCs/>
        </w:rPr>
        <w:t>Özet</w:t>
      </w:r>
    </w:p>
    <w:p w14:paraId="61C59517" w14:textId="77777777" w:rsidR="00FA457D" w:rsidRPr="00D10870" w:rsidRDefault="00FA457D" w:rsidP="00F977D7">
      <w:pPr>
        <w:widowControl/>
        <w:jc w:val="both"/>
      </w:pPr>
      <w:r w:rsidRPr="00B1089D">
        <w:t xml:space="preserve">Cinsiyet çalışmaları, erkeklik ve kadınlık gibi kavramların toplumda nasıl şekillendiğini ve bu rollerin toplumsal yapılarla nasıl ilişkili olduğunu anlamaya yönelik önemli bir alandır. Bu çalışmalarda sıklıkla dikkat çeken temel bir konu hegemonik erkekliktir. Hegemonik erkeklik, toplumsal cinsiyet hiyerarşisinin en üstünde yer alan ve toplum tarafından ağırlıklı olarak değer verilen idealize edilmiş erkeklik modelini ifade eder. Bu kavram, belirli bir erkeklik biçiminin, daha az baskın veya marjinalleştirilmiş erkeklik biçimlerine kıyasla daha değerli görüldüğünü ve toplumsal normlar tarafından sürekli olarak güçlendirildiğini ima eder. Hegemonik erkeklik yalnızca toplumsal yapılar tarafından güçlendirilmez, aynı zamanda güç ilişkileriyle de derinden bağlantılıdır. Bu model, toplum içinde erkeklik etrafında baskın ve "doğal" normlar yaratır ve daha geniş toplumsal yapıları şekillendirmede önemli bir rol oynar. Hegemonik erkekliğin idealleştirilmesi, toplumsal normlar içinde tanımlayıcı bir unsur olarak yerleşmesine yol açar. Ayrıca, hegemonik erkekliğe yönelik artan akademik odaklanma, toplumsal yapılara dair daha derin bir anlayış kazanma yolunda önemli bir adım olarak kabul edilir. Hem toplumsal hem de bireysel düzeyde güç ilişkilerini ve cinsiyete dayalı eşitsizlikleri güçlendiren bir faktör olarak hegemonik erkeklik, toplumsal cinsiyet çalışmalarında merkezi bir odak noktası haline gelmiştir. Ancak, hegemonik erkekliğin baskınlığı, diğer, daha az görünür, marjinalleştirilmiş veya çevresel erkeklik biçimlerinin ihmal edilmesine yol açmıştır. Başka bir deyişle, hegemonik erkekliğin yanı sıra, toplumsal yapılar tarafından marjinalleştirilmiş ve "tabi kılınmış" erkeklikleri incelemek önemlidir. Hegemonik erkekliğin aksine, tabi kılınmış erkeklik, toplumdaki daha az görünür ve daha marjinalleştirilmiş erkeklik biçimlerini ifade eder. Bu erkeklik biçimleri, genellikle baskın toplumsal normlara uymakta zorlanan veya dışlanan ve ötekileştirilen grupları temsil eder. Sosyal yapılarda ikincil erkekliklerin rolü ve cinsiyet kimlikleri üzerindeki etkileri oldukça önemli bir araştırma </w:t>
      </w:r>
      <w:proofErr w:type="spellStart"/>
      <w:proofErr w:type="gramStart"/>
      <w:r w:rsidRPr="00B1089D">
        <w:t>konusudur.Ne</w:t>
      </w:r>
      <w:proofErr w:type="spellEnd"/>
      <w:proofErr w:type="gramEnd"/>
      <w:r w:rsidRPr="00B1089D">
        <w:t xml:space="preserve"> yazık ki, ikincil erkekliklerle ilgili araştırmalar sınırlıdır. Bu, cinsiyet çalışmalarının ve erkeklik araştırmalarının genellikle hegemonik erkekliğe odaklandığını ve diğer erkeklik biçimlerini bir kenara bıraktığını göstermektedir. Ancak, bu erkekliklerin hegemonik erkeklik kadar önemli olduğu ve sosyal yapıları anlamada temel bir rol oynadığı vurgulanmalıdır. Bu noktada, cinsiyet rollerinin ve kimliklerinin edebi eserlerde nasıl sorgulandığı ve temsil edildiği sorusu önemli bir araştırma alanı </w:t>
      </w:r>
      <w:proofErr w:type="spellStart"/>
      <w:proofErr w:type="gramStart"/>
      <w:r w:rsidRPr="00B1089D">
        <w:t>sunmaktadır.Bu</w:t>
      </w:r>
      <w:proofErr w:type="spellEnd"/>
      <w:proofErr w:type="gramEnd"/>
      <w:r w:rsidRPr="00B1089D">
        <w:t xml:space="preserve"> çalışma, Murathan Mungan'ın seçilmiş hikayelerindeki ikincil erkeklik figürlerini metin analizi yoluyla incelemeyi amaçlamaktadır. İkincil erkekliği araştırarak, çalışma bu erkeklik biçiminin toplumda nasıl şekillendiğini ve toplumsal pratikler içinde nasıl yer bulduğunu analiz edecektir. Çalışma, akademik literatürde ikincil erkeklikler üzerine daha fazla araştırma yapılması ihtiyacını ve cinsiyet çalışmalarına daha çok yönlü bir yaklaşımın önemini vurgulayacaktır.</w:t>
      </w:r>
    </w:p>
    <w:p w14:paraId="73F579EE" w14:textId="77777777" w:rsidR="00FA457D" w:rsidRPr="00B1089D" w:rsidRDefault="00FA457D" w:rsidP="00F977D7">
      <w:pPr>
        <w:widowControl/>
        <w:jc w:val="both"/>
      </w:pPr>
    </w:p>
    <w:p w14:paraId="2B5392DA" w14:textId="77777777" w:rsidR="00FA457D" w:rsidRPr="00D10870" w:rsidRDefault="00FA457D" w:rsidP="00F977D7">
      <w:pPr>
        <w:widowControl/>
        <w:jc w:val="both"/>
      </w:pPr>
      <w:r w:rsidRPr="00B1089D">
        <w:rPr>
          <w:b/>
          <w:bCs/>
        </w:rPr>
        <w:t>Anahtar Kelimeler:</w:t>
      </w:r>
      <w:r w:rsidRPr="00B1089D">
        <w:t xml:space="preserve"> Erkeklik çalışmaları, madun erkeklik, Murathan Mungan, öykü.</w:t>
      </w:r>
    </w:p>
    <w:p w14:paraId="4035848B" w14:textId="77777777" w:rsidR="00FA457D" w:rsidRPr="00B1089D" w:rsidRDefault="00FA457D" w:rsidP="00FA457D">
      <w:pPr>
        <w:widowControl/>
      </w:pPr>
    </w:p>
    <w:p w14:paraId="602AB00C" w14:textId="77777777" w:rsidR="00FA457D" w:rsidRPr="00B1089D" w:rsidRDefault="00FA457D" w:rsidP="00FA457D">
      <w:pPr>
        <w:widowControl/>
        <w:jc w:val="center"/>
      </w:pPr>
      <w:proofErr w:type="spellStart"/>
      <w:r w:rsidRPr="00B1089D">
        <w:rPr>
          <w:b/>
          <w:bCs/>
        </w:rPr>
        <w:t>Abstract</w:t>
      </w:r>
      <w:proofErr w:type="spellEnd"/>
    </w:p>
    <w:p w14:paraId="60B0973F" w14:textId="77777777" w:rsidR="00FA457D" w:rsidRPr="00D10870" w:rsidRDefault="00FA457D" w:rsidP="00F977D7">
      <w:pPr>
        <w:widowControl/>
        <w:jc w:val="both"/>
        <w:rPr>
          <w:b/>
          <w:bCs/>
        </w:rPr>
      </w:pPr>
      <w:proofErr w:type="spellStart"/>
      <w:r w:rsidRPr="00B1089D">
        <w:lastRenderedPageBreak/>
        <w:t>Gender</w:t>
      </w:r>
      <w:proofErr w:type="spellEnd"/>
      <w:r w:rsidRPr="00B1089D">
        <w:t xml:space="preserve"> </w:t>
      </w:r>
      <w:proofErr w:type="spellStart"/>
      <w:r w:rsidRPr="00B1089D">
        <w:t>studies</w:t>
      </w:r>
      <w:proofErr w:type="spellEnd"/>
      <w:r w:rsidRPr="00B1089D">
        <w:t xml:space="preserve"> is an </w:t>
      </w:r>
      <w:proofErr w:type="spellStart"/>
      <w:r w:rsidRPr="00B1089D">
        <w:t>important</w:t>
      </w:r>
      <w:proofErr w:type="spellEnd"/>
      <w:r w:rsidRPr="00B1089D">
        <w:t xml:space="preserve"> </w:t>
      </w:r>
      <w:proofErr w:type="spellStart"/>
      <w:r w:rsidRPr="00B1089D">
        <w:t>field</w:t>
      </w:r>
      <w:proofErr w:type="spellEnd"/>
      <w:r w:rsidRPr="00B1089D">
        <w:t xml:space="preserve"> </w:t>
      </w:r>
      <w:proofErr w:type="spellStart"/>
      <w:r w:rsidRPr="00B1089D">
        <w:t>that</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understand</w:t>
      </w:r>
      <w:proofErr w:type="spellEnd"/>
      <w:r w:rsidRPr="00B1089D">
        <w:t xml:space="preserve"> how </w:t>
      </w:r>
      <w:proofErr w:type="spellStart"/>
      <w:r w:rsidRPr="00B1089D">
        <w:t>concepts</w:t>
      </w:r>
      <w:proofErr w:type="spellEnd"/>
      <w:r w:rsidRPr="00B1089D">
        <w:t xml:space="preserve"> </w:t>
      </w:r>
      <w:proofErr w:type="spellStart"/>
      <w:r w:rsidRPr="00B1089D">
        <w:t>such</w:t>
      </w:r>
      <w:proofErr w:type="spellEnd"/>
      <w:r w:rsidRPr="00B1089D">
        <w:t xml:space="preserve"> as </w:t>
      </w:r>
      <w:proofErr w:type="spellStart"/>
      <w:r w:rsidRPr="00B1089D">
        <w:t>masculinity</w:t>
      </w:r>
      <w:proofErr w:type="spellEnd"/>
      <w:r w:rsidRPr="00B1089D">
        <w:t xml:space="preserve"> </w:t>
      </w:r>
      <w:proofErr w:type="spellStart"/>
      <w:r w:rsidRPr="00B1089D">
        <w:t>and</w:t>
      </w:r>
      <w:proofErr w:type="spellEnd"/>
      <w:r w:rsidRPr="00B1089D">
        <w:t xml:space="preserve"> </w:t>
      </w:r>
      <w:proofErr w:type="spellStart"/>
      <w:r w:rsidRPr="00B1089D">
        <w:t>femininity</w:t>
      </w:r>
      <w:proofErr w:type="spellEnd"/>
      <w:r w:rsidRPr="00B1089D">
        <w:t xml:space="preserve"> </w:t>
      </w:r>
      <w:proofErr w:type="spellStart"/>
      <w:r w:rsidRPr="00B1089D">
        <w:t>are</w:t>
      </w:r>
      <w:proofErr w:type="spellEnd"/>
      <w:r w:rsidRPr="00B1089D">
        <w:t xml:space="preserve"> </w:t>
      </w:r>
      <w:proofErr w:type="spellStart"/>
      <w:r w:rsidRPr="00B1089D">
        <w:t>shaped</w:t>
      </w:r>
      <w:proofErr w:type="spellEnd"/>
      <w:r w:rsidRPr="00B1089D">
        <w:t xml:space="preserve"> in </w:t>
      </w:r>
      <w:proofErr w:type="spellStart"/>
      <w:r w:rsidRPr="00B1089D">
        <w:t>society</w:t>
      </w:r>
      <w:proofErr w:type="spellEnd"/>
      <w:r w:rsidRPr="00B1089D">
        <w:t xml:space="preserve"> </w:t>
      </w:r>
      <w:proofErr w:type="spellStart"/>
      <w:r w:rsidRPr="00B1089D">
        <w:t>and</w:t>
      </w:r>
      <w:proofErr w:type="spellEnd"/>
      <w:r w:rsidRPr="00B1089D">
        <w:t xml:space="preserve"> how </w:t>
      </w:r>
      <w:proofErr w:type="spellStart"/>
      <w:r w:rsidRPr="00B1089D">
        <w:t>these</w:t>
      </w:r>
      <w:proofErr w:type="spellEnd"/>
      <w:r w:rsidRPr="00B1089D">
        <w:t xml:space="preserve"> </w:t>
      </w:r>
      <w:proofErr w:type="spellStart"/>
      <w:r w:rsidRPr="00B1089D">
        <w:t>roles</w:t>
      </w:r>
      <w:proofErr w:type="spellEnd"/>
      <w:r w:rsidRPr="00B1089D">
        <w:t xml:space="preserve"> </w:t>
      </w:r>
      <w:proofErr w:type="spellStart"/>
      <w:r w:rsidRPr="00B1089D">
        <w:t>are</w:t>
      </w:r>
      <w:proofErr w:type="spellEnd"/>
      <w:r w:rsidRPr="00B1089D">
        <w:t xml:space="preserve"> </w:t>
      </w:r>
      <w:proofErr w:type="spellStart"/>
      <w:r w:rsidRPr="00B1089D">
        <w:t>related</w:t>
      </w:r>
      <w:proofErr w:type="spellEnd"/>
      <w:r w:rsidRPr="00B1089D">
        <w:t xml:space="preserve"> </w:t>
      </w:r>
      <w:proofErr w:type="spellStart"/>
      <w:r w:rsidRPr="00B1089D">
        <w:t>to</w:t>
      </w:r>
      <w:proofErr w:type="spellEnd"/>
      <w:r w:rsidRPr="00B1089D">
        <w:t xml:space="preserve"> </w:t>
      </w:r>
      <w:proofErr w:type="spellStart"/>
      <w:r w:rsidRPr="00B1089D">
        <w:t>social</w:t>
      </w:r>
      <w:proofErr w:type="spellEnd"/>
      <w:r w:rsidRPr="00B1089D">
        <w:t xml:space="preserve"> </w:t>
      </w:r>
      <w:proofErr w:type="spellStart"/>
      <w:r w:rsidRPr="00B1089D">
        <w:t>structures</w:t>
      </w:r>
      <w:proofErr w:type="spellEnd"/>
      <w:r w:rsidRPr="00B1089D">
        <w:t xml:space="preserve">. A </w:t>
      </w:r>
      <w:proofErr w:type="spellStart"/>
      <w:r w:rsidRPr="00B1089D">
        <w:t>fundamental</w:t>
      </w:r>
      <w:proofErr w:type="spellEnd"/>
      <w:r w:rsidRPr="00B1089D">
        <w:t xml:space="preserve"> </w:t>
      </w:r>
      <w:proofErr w:type="spellStart"/>
      <w:r w:rsidRPr="00B1089D">
        <w:t>issue</w:t>
      </w:r>
      <w:proofErr w:type="spellEnd"/>
      <w:r w:rsidRPr="00B1089D">
        <w:t xml:space="preserve"> </w:t>
      </w:r>
      <w:proofErr w:type="spellStart"/>
      <w:r w:rsidRPr="00B1089D">
        <w:t>that</w:t>
      </w:r>
      <w:proofErr w:type="spellEnd"/>
      <w:r w:rsidRPr="00B1089D">
        <w:t xml:space="preserve"> </w:t>
      </w:r>
      <w:proofErr w:type="spellStart"/>
      <w:r w:rsidRPr="00B1089D">
        <w:t>often</w:t>
      </w:r>
      <w:proofErr w:type="spellEnd"/>
      <w:r w:rsidRPr="00B1089D">
        <w:t xml:space="preserve"> </w:t>
      </w:r>
      <w:proofErr w:type="spellStart"/>
      <w:r w:rsidRPr="00B1089D">
        <w:t>draws</w:t>
      </w:r>
      <w:proofErr w:type="spellEnd"/>
      <w:r w:rsidRPr="00B1089D">
        <w:t xml:space="preserve"> </w:t>
      </w:r>
      <w:proofErr w:type="spellStart"/>
      <w:r w:rsidRPr="00B1089D">
        <w:t>attention</w:t>
      </w:r>
      <w:proofErr w:type="spellEnd"/>
      <w:r w:rsidRPr="00B1089D">
        <w:t xml:space="preserve"> in </w:t>
      </w:r>
      <w:proofErr w:type="spellStart"/>
      <w:r w:rsidRPr="00B1089D">
        <w:t>these</w:t>
      </w:r>
      <w:proofErr w:type="spellEnd"/>
      <w:r w:rsidRPr="00B1089D">
        <w:t xml:space="preserve"> </w:t>
      </w:r>
      <w:proofErr w:type="spellStart"/>
      <w:r w:rsidRPr="00B1089D">
        <w:t>studies</w:t>
      </w:r>
      <w:proofErr w:type="spellEnd"/>
      <w:r w:rsidRPr="00B1089D">
        <w:t xml:space="preserve"> is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refers</w:t>
      </w:r>
      <w:proofErr w:type="spellEnd"/>
      <w:r w:rsidRPr="00B1089D">
        <w:t xml:space="preserve">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idealized</w:t>
      </w:r>
      <w:proofErr w:type="spellEnd"/>
      <w:r w:rsidRPr="00B1089D">
        <w:t xml:space="preserve"> model of </w:t>
      </w:r>
      <w:proofErr w:type="spellStart"/>
      <w:r w:rsidRPr="00B1089D">
        <w:t>masculinity</w:t>
      </w:r>
      <w:proofErr w:type="spellEnd"/>
      <w:r w:rsidRPr="00B1089D">
        <w:t xml:space="preserve"> </w:t>
      </w:r>
      <w:proofErr w:type="spellStart"/>
      <w:r w:rsidRPr="00B1089D">
        <w:t>that</w:t>
      </w:r>
      <w:proofErr w:type="spellEnd"/>
      <w:r w:rsidRPr="00B1089D">
        <w:t xml:space="preserve"> is at </w:t>
      </w:r>
      <w:proofErr w:type="spellStart"/>
      <w:r w:rsidRPr="00B1089D">
        <w:t>the</w:t>
      </w:r>
      <w:proofErr w:type="spellEnd"/>
      <w:r w:rsidRPr="00B1089D">
        <w:t xml:space="preserve"> top of </w:t>
      </w:r>
      <w:proofErr w:type="spellStart"/>
      <w:r w:rsidRPr="00B1089D">
        <w:t>the</w:t>
      </w:r>
      <w:proofErr w:type="spellEnd"/>
      <w:r w:rsidRPr="00B1089D">
        <w:t xml:space="preserve"> </w:t>
      </w:r>
      <w:proofErr w:type="spellStart"/>
      <w:r w:rsidRPr="00B1089D">
        <w:t>gender</w:t>
      </w:r>
      <w:proofErr w:type="spellEnd"/>
      <w:r w:rsidRPr="00B1089D">
        <w:t xml:space="preserve"> </w:t>
      </w:r>
      <w:proofErr w:type="spellStart"/>
      <w:r w:rsidRPr="00B1089D">
        <w:t>hierarchy</w:t>
      </w:r>
      <w:proofErr w:type="spellEnd"/>
      <w:r w:rsidRPr="00B1089D">
        <w:t xml:space="preserve"> </w:t>
      </w:r>
      <w:proofErr w:type="spellStart"/>
      <w:r w:rsidRPr="00B1089D">
        <w:t>and</w:t>
      </w:r>
      <w:proofErr w:type="spellEnd"/>
      <w:r w:rsidRPr="00B1089D">
        <w:t xml:space="preserve"> is </w:t>
      </w:r>
      <w:proofErr w:type="spellStart"/>
      <w:r w:rsidRPr="00B1089D">
        <w:t>heavily</w:t>
      </w:r>
      <w:proofErr w:type="spellEnd"/>
      <w:r w:rsidRPr="00B1089D">
        <w:t xml:space="preserve"> </w:t>
      </w:r>
      <w:proofErr w:type="spellStart"/>
      <w:r w:rsidRPr="00B1089D">
        <w:t>valued</w:t>
      </w:r>
      <w:proofErr w:type="spellEnd"/>
      <w:r w:rsidRPr="00B1089D">
        <w:t xml:space="preserve"> </w:t>
      </w:r>
      <w:proofErr w:type="spellStart"/>
      <w:r w:rsidRPr="00B1089D">
        <w:t>by</w:t>
      </w:r>
      <w:proofErr w:type="spellEnd"/>
      <w:r w:rsidRPr="00B1089D">
        <w:t xml:space="preserve"> </w:t>
      </w:r>
      <w:proofErr w:type="spellStart"/>
      <w:r w:rsidRPr="00B1089D">
        <w:t>society</w:t>
      </w:r>
      <w:proofErr w:type="spellEnd"/>
      <w:r w:rsidRPr="00B1089D">
        <w:t xml:space="preserve">. </w:t>
      </w:r>
      <w:proofErr w:type="spellStart"/>
      <w:r w:rsidRPr="00B1089D">
        <w:t>This</w:t>
      </w:r>
      <w:proofErr w:type="spellEnd"/>
      <w:r w:rsidRPr="00B1089D">
        <w:t xml:space="preserve"> </w:t>
      </w:r>
      <w:proofErr w:type="spellStart"/>
      <w:r w:rsidRPr="00B1089D">
        <w:t>concept</w:t>
      </w:r>
      <w:proofErr w:type="spellEnd"/>
      <w:r w:rsidRPr="00B1089D">
        <w:t xml:space="preserve"> </w:t>
      </w:r>
      <w:proofErr w:type="spellStart"/>
      <w:r w:rsidRPr="00B1089D">
        <w:t>implies</w:t>
      </w:r>
      <w:proofErr w:type="spellEnd"/>
      <w:r w:rsidRPr="00B1089D">
        <w:t xml:space="preserve"> </w:t>
      </w:r>
      <w:proofErr w:type="spellStart"/>
      <w:r w:rsidRPr="00B1089D">
        <w:t>that</w:t>
      </w:r>
      <w:proofErr w:type="spellEnd"/>
      <w:r w:rsidRPr="00B1089D">
        <w:t xml:space="preserve"> a </w:t>
      </w:r>
      <w:proofErr w:type="spellStart"/>
      <w:r w:rsidRPr="00B1089D">
        <w:t>certain</w:t>
      </w:r>
      <w:proofErr w:type="spellEnd"/>
      <w:r w:rsidRPr="00B1089D">
        <w:t xml:space="preserve"> form of </w:t>
      </w:r>
      <w:proofErr w:type="spellStart"/>
      <w:r w:rsidRPr="00B1089D">
        <w:t>masculinity</w:t>
      </w:r>
      <w:proofErr w:type="spellEnd"/>
      <w:r w:rsidRPr="00B1089D">
        <w:t xml:space="preserve"> is </w:t>
      </w:r>
      <w:proofErr w:type="spellStart"/>
      <w:r w:rsidRPr="00B1089D">
        <w:t>valued</w:t>
      </w:r>
      <w:proofErr w:type="spellEnd"/>
      <w:r w:rsidRPr="00B1089D">
        <w:t xml:space="preserve"> </w:t>
      </w:r>
      <w:proofErr w:type="spellStart"/>
      <w:r w:rsidRPr="00B1089D">
        <w:t>more</w:t>
      </w:r>
      <w:proofErr w:type="spellEnd"/>
      <w:r w:rsidRPr="00B1089D">
        <w:t xml:space="preserve"> </w:t>
      </w:r>
      <w:proofErr w:type="spellStart"/>
      <w:r w:rsidRPr="00B1089D">
        <w:t>than</w:t>
      </w:r>
      <w:proofErr w:type="spellEnd"/>
      <w:r w:rsidRPr="00B1089D">
        <w:t xml:space="preserve"> </w:t>
      </w:r>
      <w:proofErr w:type="spellStart"/>
      <w:r w:rsidRPr="00B1089D">
        <w:t>less</w:t>
      </w:r>
      <w:proofErr w:type="spellEnd"/>
      <w:r w:rsidRPr="00B1089D">
        <w:t xml:space="preserve"> </w:t>
      </w:r>
      <w:proofErr w:type="gramStart"/>
      <w:r w:rsidRPr="00B1089D">
        <w:t>dominant</w:t>
      </w:r>
      <w:proofErr w:type="gramEnd"/>
      <w:r w:rsidRPr="00B1089D">
        <w:t xml:space="preserve"> </w:t>
      </w:r>
      <w:proofErr w:type="spellStart"/>
      <w:r w:rsidRPr="00B1089D">
        <w:t>or</w:t>
      </w:r>
      <w:proofErr w:type="spellEnd"/>
      <w:r w:rsidRPr="00B1089D">
        <w:t xml:space="preserve"> </w:t>
      </w:r>
      <w:proofErr w:type="spellStart"/>
      <w:r w:rsidRPr="00B1089D">
        <w:t>marginalized</w:t>
      </w:r>
      <w:proofErr w:type="spellEnd"/>
      <w:r w:rsidRPr="00B1089D">
        <w:t xml:space="preserve"> </w:t>
      </w:r>
      <w:proofErr w:type="spellStart"/>
      <w:r w:rsidRPr="00B1089D">
        <w:t>forms</w:t>
      </w:r>
      <w:proofErr w:type="spellEnd"/>
      <w:r w:rsidRPr="00B1089D">
        <w:t xml:space="preserve"> of </w:t>
      </w:r>
      <w:proofErr w:type="spellStart"/>
      <w:r w:rsidRPr="00B1089D">
        <w:t>masculinity</w:t>
      </w:r>
      <w:proofErr w:type="spellEnd"/>
      <w:r w:rsidRPr="00B1089D">
        <w:t xml:space="preserve"> </w:t>
      </w:r>
      <w:proofErr w:type="spellStart"/>
      <w:r w:rsidRPr="00B1089D">
        <w:t>and</w:t>
      </w:r>
      <w:proofErr w:type="spellEnd"/>
      <w:r w:rsidRPr="00B1089D">
        <w:t xml:space="preserve"> is </w:t>
      </w:r>
      <w:proofErr w:type="spellStart"/>
      <w:r w:rsidRPr="00B1089D">
        <w:t>constantly</w:t>
      </w:r>
      <w:proofErr w:type="spellEnd"/>
      <w:r w:rsidRPr="00B1089D">
        <w:t xml:space="preserve"> </w:t>
      </w:r>
      <w:proofErr w:type="spellStart"/>
      <w:r w:rsidRPr="00B1089D">
        <w:t>reinforced</w:t>
      </w:r>
      <w:proofErr w:type="spellEnd"/>
      <w:r w:rsidRPr="00B1089D">
        <w:t xml:space="preserve"> </w:t>
      </w:r>
      <w:proofErr w:type="spellStart"/>
      <w:r w:rsidRPr="00B1089D">
        <w:t>by</w:t>
      </w:r>
      <w:proofErr w:type="spellEnd"/>
      <w:r w:rsidRPr="00B1089D">
        <w:t xml:space="preserve"> </w:t>
      </w:r>
      <w:proofErr w:type="spellStart"/>
      <w:r w:rsidRPr="00B1089D">
        <w:t>social</w:t>
      </w:r>
      <w:proofErr w:type="spellEnd"/>
      <w:r w:rsidRPr="00B1089D">
        <w:t xml:space="preserve"> </w:t>
      </w:r>
      <w:proofErr w:type="spellStart"/>
      <w:r w:rsidRPr="00B1089D">
        <w:t>norms</w:t>
      </w:r>
      <w:proofErr w:type="spellEnd"/>
      <w:r w:rsidRPr="00B1089D">
        <w:t xml:space="preserve">. </w:t>
      </w:r>
      <w:proofErr w:type="spellStart"/>
      <w:r w:rsidRPr="00B1089D">
        <w:t>Hegemonic</w:t>
      </w:r>
      <w:proofErr w:type="spellEnd"/>
      <w:r w:rsidRPr="00B1089D">
        <w:t xml:space="preserve"> </w:t>
      </w:r>
      <w:proofErr w:type="spellStart"/>
      <w:r w:rsidRPr="00B1089D">
        <w:t>masculinity</w:t>
      </w:r>
      <w:proofErr w:type="spellEnd"/>
      <w:r w:rsidRPr="00B1089D">
        <w:t xml:space="preserve"> is not </w:t>
      </w:r>
      <w:proofErr w:type="spellStart"/>
      <w:r w:rsidRPr="00B1089D">
        <w:t>only</w:t>
      </w:r>
      <w:proofErr w:type="spellEnd"/>
      <w:r w:rsidRPr="00B1089D">
        <w:t xml:space="preserve"> </w:t>
      </w:r>
      <w:proofErr w:type="spellStart"/>
      <w:r w:rsidRPr="00B1089D">
        <w:t>reinforced</w:t>
      </w:r>
      <w:proofErr w:type="spellEnd"/>
      <w:r w:rsidRPr="00B1089D">
        <w:t xml:space="preserve"> </w:t>
      </w:r>
      <w:proofErr w:type="spellStart"/>
      <w:r w:rsidRPr="00B1089D">
        <w:t>by</w:t>
      </w:r>
      <w:proofErr w:type="spellEnd"/>
      <w:r w:rsidRPr="00B1089D">
        <w:t xml:space="preserve"> </w:t>
      </w:r>
      <w:proofErr w:type="spellStart"/>
      <w:r w:rsidRPr="00B1089D">
        <w:t>social</w:t>
      </w:r>
      <w:proofErr w:type="spellEnd"/>
      <w:r w:rsidRPr="00B1089D">
        <w:t xml:space="preserve"> </w:t>
      </w:r>
      <w:proofErr w:type="spellStart"/>
      <w:r w:rsidRPr="00B1089D">
        <w:t>structures</w:t>
      </w:r>
      <w:proofErr w:type="spellEnd"/>
      <w:r w:rsidRPr="00B1089D">
        <w:t xml:space="preserve">, but is </w:t>
      </w:r>
      <w:proofErr w:type="spellStart"/>
      <w:r w:rsidRPr="00B1089D">
        <w:t>also</w:t>
      </w:r>
      <w:proofErr w:type="spellEnd"/>
      <w:r w:rsidRPr="00B1089D">
        <w:t xml:space="preserve"> </w:t>
      </w:r>
      <w:proofErr w:type="spellStart"/>
      <w:r w:rsidRPr="00B1089D">
        <w:t>deeply</w:t>
      </w:r>
      <w:proofErr w:type="spellEnd"/>
      <w:r w:rsidRPr="00B1089D">
        <w:t xml:space="preserve"> </w:t>
      </w:r>
      <w:proofErr w:type="spellStart"/>
      <w:r w:rsidRPr="00B1089D">
        <w:t>connected</w:t>
      </w:r>
      <w:proofErr w:type="spellEnd"/>
      <w:r w:rsidRPr="00B1089D">
        <w:t xml:space="preserve"> </w:t>
      </w:r>
      <w:proofErr w:type="spellStart"/>
      <w:r w:rsidRPr="00B1089D">
        <w:t>to</w:t>
      </w:r>
      <w:proofErr w:type="spellEnd"/>
      <w:r w:rsidRPr="00B1089D">
        <w:t xml:space="preserve"> </w:t>
      </w:r>
      <w:proofErr w:type="spellStart"/>
      <w:r w:rsidRPr="00B1089D">
        <w:t>power</w:t>
      </w:r>
      <w:proofErr w:type="spellEnd"/>
      <w:r w:rsidRPr="00B1089D">
        <w:t xml:space="preserve"> </w:t>
      </w:r>
      <w:proofErr w:type="spellStart"/>
      <w:r w:rsidRPr="00B1089D">
        <w:t>relations</w:t>
      </w:r>
      <w:proofErr w:type="spellEnd"/>
      <w:r w:rsidRPr="00B1089D">
        <w:t xml:space="preserve">. </w:t>
      </w:r>
      <w:proofErr w:type="spellStart"/>
      <w:r w:rsidRPr="00B1089D">
        <w:t>This</w:t>
      </w:r>
      <w:proofErr w:type="spellEnd"/>
      <w:r w:rsidRPr="00B1089D">
        <w:t xml:space="preserve"> model </w:t>
      </w:r>
      <w:proofErr w:type="spellStart"/>
      <w:r w:rsidRPr="00B1089D">
        <w:t>creates</w:t>
      </w:r>
      <w:proofErr w:type="spellEnd"/>
      <w:r w:rsidRPr="00B1089D">
        <w:t xml:space="preserve"> </w:t>
      </w:r>
      <w:proofErr w:type="gramStart"/>
      <w:r w:rsidRPr="00B1089D">
        <w:t>dominant</w:t>
      </w:r>
      <w:proofErr w:type="gramEnd"/>
      <w:r w:rsidRPr="00B1089D">
        <w:t xml:space="preserve"> </w:t>
      </w:r>
      <w:proofErr w:type="spellStart"/>
      <w:r w:rsidRPr="00B1089D">
        <w:t>and</w:t>
      </w:r>
      <w:proofErr w:type="spellEnd"/>
      <w:r w:rsidRPr="00B1089D">
        <w:t xml:space="preserve"> “</w:t>
      </w:r>
      <w:proofErr w:type="spellStart"/>
      <w:r w:rsidRPr="00B1089D">
        <w:t>natural</w:t>
      </w:r>
      <w:proofErr w:type="spellEnd"/>
      <w:r w:rsidRPr="00B1089D">
        <w:t xml:space="preserve">” </w:t>
      </w:r>
      <w:proofErr w:type="spellStart"/>
      <w:r w:rsidRPr="00B1089D">
        <w:t>norms</w:t>
      </w:r>
      <w:proofErr w:type="spellEnd"/>
      <w:r w:rsidRPr="00B1089D">
        <w:t xml:space="preserve"> </w:t>
      </w:r>
      <w:proofErr w:type="spellStart"/>
      <w:r w:rsidRPr="00B1089D">
        <w:t>around</w:t>
      </w:r>
      <w:proofErr w:type="spellEnd"/>
      <w:r w:rsidRPr="00B1089D">
        <w:t xml:space="preserve"> </w:t>
      </w:r>
      <w:proofErr w:type="spellStart"/>
      <w:r w:rsidRPr="00B1089D">
        <w:t>masculinity</w:t>
      </w:r>
      <w:proofErr w:type="spellEnd"/>
      <w:r w:rsidRPr="00B1089D">
        <w:t xml:space="preserve"> </w:t>
      </w:r>
      <w:proofErr w:type="spellStart"/>
      <w:r w:rsidRPr="00B1089D">
        <w:t>within</w:t>
      </w:r>
      <w:proofErr w:type="spellEnd"/>
      <w:r w:rsidRPr="00B1089D">
        <w:t xml:space="preserve"> </w:t>
      </w:r>
      <w:proofErr w:type="spellStart"/>
      <w:r w:rsidRPr="00B1089D">
        <w:t>society</w:t>
      </w:r>
      <w:proofErr w:type="spellEnd"/>
      <w:r w:rsidRPr="00B1089D">
        <w:t xml:space="preserve"> </w:t>
      </w:r>
      <w:proofErr w:type="spellStart"/>
      <w:r w:rsidRPr="00B1089D">
        <w:t>and</w:t>
      </w:r>
      <w:proofErr w:type="spellEnd"/>
      <w:r w:rsidRPr="00B1089D">
        <w:t xml:space="preserve"> </w:t>
      </w:r>
      <w:proofErr w:type="spellStart"/>
      <w:r w:rsidRPr="00B1089D">
        <w:t>plays</w:t>
      </w:r>
      <w:proofErr w:type="spellEnd"/>
      <w:r w:rsidRPr="00B1089D">
        <w:t xml:space="preserve"> an </w:t>
      </w:r>
      <w:proofErr w:type="spellStart"/>
      <w:r w:rsidRPr="00B1089D">
        <w:t>important</w:t>
      </w:r>
      <w:proofErr w:type="spellEnd"/>
      <w:r w:rsidRPr="00B1089D">
        <w:t xml:space="preserve"> role in </w:t>
      </w:r>
      <w:proofErr w:type="spellStart"/>
      <w:r w:rsidRPr="00B1089D">
        <w:t>shaping</w:t>
      </w:r>
      <w:proofErr w:type="spellEnd"/>
      <w:r w:rsidRPr="00B1089D">
        <w:t xml:space="preserve"> </w:t>
      </w:r>
      <w:proofErr w:type="spellStart"/>
      <w:r w:rsidRPr="00B1089D">
        <w:t>broader</w:t>
      </w:r>
      <w:proofErr w:type="spellEnd"/>
      <w:r w:rsidRPr="00B1089D">
        <w:t xml:space="preserve"> </w:t>
      </w:r>
      <w:proofErr w:type="spellStart"/>
      <w:r w:rsidRPr="00B1089D">
        <w:t>social</w:t>
      </w:r>
      <w:proofErr w:type="spellEnd"/>
      <w:r w:rsidRPr="00B1089D">
        <w:t xml:space="preserve"> </w:t>
      </w:r>
      <w:proofErr w:type="spellStart"/>
      <w:r w:rsidRPr="00B1089D">
        <w:t>structures</w:t>
      </w:r>
      <w:proofErr w:type="spellEnd"/>
      <w:r w:rsidRPr="00B1089D">
        <w:t xml:space="preserve">. </w:t>
      </w:r>
      <w:proofErr w:type="spellStart"/>
      <w:r w:rsidRPr="00B1089D">
        <w:t>The</w:t>
      </w:r>
      <w:proofErr w:type="spellEnd"/>
      <w:r w:rsidRPr="00B1089D">
        <w:t xml:space="preserve"> </w:t>
      </w:r>
      <w:proofErr w:type="spellStart"/>
      <w:r w:rsidRPr="00B1089D">
        <w:t>idealization</w:t>
      </w:r>
      <w:proofErr w:type="spellEnd"/>
      <w:r w:rsidRPr="00B1089D">
        <w:t xml:space="preserve"> of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leads</w:t>
      </w:r>
      <w:proofErr w:type="spellEnd"/>
      <w:r w:rsidRPr="00B1089D">
        <w:t xml:space="preserve"> </w:t>
      </w:r>
      <w:proofErr w:type="spellStart"/>
      <w:r w:rsidRPr="00B1089D">
        <w:t>to</w:t>
      </w:r>
      <w:proofErr w:type="spellEnd"/>
      <w:r w:rsidRPr="00B1089D">
        <w:t xml:space="preserve"> </w:t>
      </w:r>
      <w:proofErr w:type="spellStart"/>
      <w:r w:rsidRPr="00B1089D">
        <w:t>its</w:t>
      </w:r>
      <w:proofErr w:type="spellEnd"/>
      <w:r w:rsidRPr="00B1089D">
        <w:t xml:space="preserve"> </w:t>
      </w:r>
      <w:proofErr w:type="spellStart"/>
      <w:r w:rsidRPr="00B1089D">
        <w:t>establishment</w:t>
      </w:r>
      <w:proofErr w:type="spellEnd"/>
      <w:r w:rsidRPr="00B1089D">
        <w:t xml:space="preserve"> as a </w:t>
      </w:r>
      <w:proofErr w:type="spellStart"/>
      <w:r w:rsidRPr="00B1089D">
        <w:t>defining</w:t>
      </w:r>
      <w:proofErr w:type="spellEnd"/>
      <w:r w:rsidRPr="00B1089D">
        <w:t xml:space="preserve"> element </w:t>
      </w:r>
      <w:proofErr w:type="spellStart"/>
      <w:r w:rsidRPr="00B1089D">
        <w:t>within</w:t>
      </w:r>
      <w:proofErr w:type="spellEnd"/>
      <w:r w:rsidRPr="00B1089D">
        <w:t xml:space="preserve"> </w:t>
      </w:r>
      <w:proofErr w:type="spellStart"/>
      <w:r w:rsidRPr="00B1089D">
        <w:t>social</w:t>
      </w:r>
      <w:proofErr w:type="spellEnd"/>
      <w:r w:rsidRPr="00B1089D">
        <w:t xml:space="preserve"> </w:t>
      </w:r>
      <w:proofErr w:type="spellStart"/>
      <w:r w:rsidRPr="00B1089D">
        <w:t>norms</w:t>
      </w:r>
      <w:proofErr w:type="spellEnd"/>
      <w:r w:rsidRPr="00B1089D">
        <w:t xml:space="preserve">. </w:t>
      </w:r>
      <w:proofErr w:type="spellStart"/>
      <w:r w:rsidRPr="00B1089D">
        <w:t>Furthermore</w:t>
      </w:r>
      <w:proofErr w:type="spellEnd"/>
      <w:r w:rsidRPr="00B1089D">
        <w:t xml:space="preserve">, </w:t>
      </w:r>
      <w:proofErr w:type="spellStart"/>
      <w:r w:rsidRPr="00B1089D">
        <w:t>the</w:t>
      </w:r>
      <w:proofErr w:type="spellEnd"/>
      <w:r w:rsidRPr="00B1089D">
        <w:t xml:space="preserve"> </w:t>
      </w:r>
      <w:proofErr w:type="spellStart"/>
      <w:r w:rsidRPr="00B1089D">
        <w:t>increasing</w:t>
      </w:r>
      <w:proofErr w:type="spellEnd"/>
      <w:r w:rsidRPr="00B1089D">
        <w:t xml:space="preserve"> </w:t>
      </w:r>
      <w:proofErr w:type="spellStart"/>
      <w:r w:rsidRPr="00B1089D">
        <w:t>academic</w:t>
      </w:r>
      <w:proofErr w:type="spellEnd"/>
      <w:r w:rsidRPr="00B1089D">
        <w:t xml:space="preserve"> </w:t>
      </w:r>
      <w:proofErr w:type="spellStart"/>
      <w:r w:rsidRPr="00B1089D">
        <w:t>focus</w:t>
      </w:r>
      <w:proofErr w:type="spellEnd"/>
      <w:r w:rsidRPr="00B1089D">
        <w:t xml:space="preserve"> on </w:t>
      </w:r>
      <w:proofErr w:type="spellStart"/>
      <w:r w:rsidRPr="00B1089D">
        <w:t>hegemonic</w:t>
      </w:r>
      <w:proofErr w:type="spellEnd"/>
      <w:r w:rsidRPr="00B1089D">
        <w:t xml:space="preserve"> </w:t>
      </w:r>
      <w:proofErr w:type="spellStart"/>
      <w:r w:rsidRPr="00B1089D">
        <w:t>masculinity</w:t>
      </w:r>
      <w:proofErr w:type="spellEnd"/>
      <w:r w:rsidRPr="00B1089D">
        <w:t xml:space="preserve"> is </w:t>
      </w:r>
      <w:proofErr w:type="spellStart"/>
      <w:r w:rsidRPr="00B1089D">
        <w:t>considered</w:t>
      </w:r>
      <w:proofErr w:type="spellEnd"/>
      <w:r w:rsidRPr="00B1089D">
        <w:t xml:space="preserve"> an </w:t>
      </w:r>
      <w:proofErr w:type="spellStart"/>
      <w:r w:rsidRPr="00B1089D">
        <w:t>important</w:t>
      </w:r>
      <w:proofErr w:type="spellEnd"/>
      <w:r w:rsidRPr="00B1089D">
        <w:t xml:space="preserve"> step </w:t>
      </w:r>
      <w:proofErr w:type="spellStart"/>
      <w:r w:rsidRPr="00B1089D">
        <w:t>towards</w:t>
      </w:r>
      <w:proofErr w:type="spellEnd"/>
      <w:r w:rsidRPr="00B1089D">
        <w:t xml:space="preserve"> </w:t>
      </w:r>
      <w:proofErr w:type="spellStart"/>
      <w:r w:rsidRPr="00B1089D">
        <w:t>gaining</w:t>
      </w:r>
      <w:proofErr w:type="spellEnd"/>
      <w:r w:rsidRPr="00B1089D">
        <w:t xml:space="preserve"> a </w:t>
      </w:r>
      <w:proofErr w:type="spellStart"/>
      <w:r w:rsidRPr="00B1089D">
        <w:t>deeper</w:t>
      </w:r>
      <w:proofErr w:type="spellEnd"/>
      <w:r w:rsidRPr="00B1089D">
        <w:t xml:space="preserve"> </w:t>
      </w:r>
      <w:proofErr w:type="spellStart"/>
      <w:r w:rsidRPr="00B1089D">
        <w:t>understanding</w:t>
      </w:r>
      <w:proofErr w:type="spellEnd"/>
      <w:r w:rsidRPr="00B1089D">
        <w:t xml:space="preserve"> of </w:t>
      </w:r>
      <w:proofErr w:type="spellStart"/>
      <w:r w:rsidRPr="00B1089D">
        <w:t>social</w:t>
      </w:r>
      <w:proofErr w:type="spellEnd"/>
      <w:r w:rsidRPr="00B1089D">
        <w:t xml:space="preserve"> </w:t>
      </w:r>
      <w:proofErr w:type="spellStart"/>
      <w:r w:rsidRPr="00B1089D">
        <w:t>structures</w:t>
      </w:r>
      <w:proofErr w:type="spellEnd"/>
      <w:r w:rsidRPr="00B1089D">
        <w:t xml:space="preserve">. As a </w:t>
      </w:r>
      <w:proofErr w:type="spellStart"/>
      <w:r w:rsidRPr="00B1089D">
        <w:t>factor</w:t>
      </w:r>
      <w:proofErr w:type="spellEnd"/>
      <w:r w:rsidRPr="00B1089D">
        <w:t xml:space="preserve"> </w:t>
      </w:r>
      <w:proofErr w:type="spellStart"/>
      <w:r w:rsidRPr="00B1089D">
        <w:t>that</w:t>
      </w:r>
      <w:proofErr w:type="spellEnd"/>
      <w:r w:rsidRPr="00B1089D">
        <w:t xml:space="preserve"> </w:t>
      </w:r>
      <w:proofErr w:type="spellStart"/>
      <w:r w:rsidRPr="00B1089D">
        <w:t>reinforces</w:t>
      </w:r>
      <w:proofErr w:type="spellEnd"/>
      <w:r w:rsidRPr="00B1089D">
        <w:t xml:space="preserve"> </w:t>
      </w:r>
      <w:proofErr w:type="spellStart"/>
      <w:r w:rsidRPr="00B1089D">
        <w:t>power</w:t>
      </w:r>
      <w:proofErr w:type="spellEnd"/>
      <w:r w:rsidRPr="00B1089D">
        <w:t xml:space="preserve"> </w:t>
      </w:r>
      <w:proofErr w:type="spellStart"/>
      <w:r w:rsidRPr="00B1089D">
        <w:t>relations</w:t>
      </w:r>
      <w:proofErr w:type="spellEnd"/>
      <w:r w:rsidRPr="00B1089D">
        <w:t xml:space="preserve"> </w:t>
      </w:r>
      <w:proofErr w:type="spellStart"/>
      <w:r w:rsidRPr="00B1089D">
        <w:t>and</w:t>
      </w:r>
      <w:proofErr w:type="spellEnd"/>
      <w:r w:rsidRPr="00B1089D">
        <w:t xml:space="preserve"> </w:t>
      </w:r>
      <w:proofErr w:type="spellStart"/>
      <w:r w:rsidRPr="00B1089D">
        <w:t>gender-based</w:t>
      </w:r>
      <w:proofErr w:type="spellEnd"/>
      <w:r w:rsidRPr="00B1089D">
        <w:t xml:space="preserve"> </w:t>
      </w:r>
      <w:proofErr w:type="spellStart"/>
      <w:r w:rsidRPr="00B1089D">
        <w:t>inequalities</w:t>
      </w:r>
      <w:proofErr w:type="spellEnd"/>
      <w:r w:rsidRPr="00B1089D">
        <w:t xml:space="preserve"> at </w:t>
      </w:r>
      <w:proofErr w:type="spellStart"/>
      <w:r w:rsidRPr="00B1089D">
        <w:t>both</w:t>
      </w:r>
      <w:proofErr w:type="spellEnd"/>
      <w:r w:rsidRPr="00B1089D">
        <w:t xml:space="preserve"> </w:t>
      </w:r>
      <w:proofErr w:type="spellStart"/>
      <w:r w:rsidRPr="00B1089D">
        <w:t>societal</w:t>
      </w:r>
      <w:proofErr w:type="spellEnd"/>
      <w:r w:rsidRPr="00B1089D">
        <w:t xml:space="preserve"> </w:t>
      </w:r>
      <w:proofErr w:type="spellStart"/>
      <w:r w:rsidRPr="00B1089D">
        <w:t>and</w:t>
      </w:r>
      <w:proofErr w:type="spellEnd"/>
      <w:r w:rsidRPr="00B1089D">
        <w:t xml:space="preserve"> </w:t>
      </w:r>
      <w:proofErr w:type="spellStart"/>
      <w:r w:rsidRPr="00B1089D">
        <w:t>individual</w:t>
      </w:r>
      <w:proofErr w:type="spellEnd"/>
      <w:r w:rsidRPr="00B1089D">
        <w:t xml:space="preserve"> </w:t>
      </w:r>
      <w:proofErr w:type="spellStart"/>
      <w:r w:rsidRPr="00B1089D">
        <w:t>levels</w:t>
      </w:r>
      <w:proofErr w:type="spellEnd"/>
      <w:r w:rsidRPr="00B1089D">
        <w:t xml:space="preserve">, </w:t>
      </w:r>
      <w:proofErr w:type="spellStart"/>
      <w:r w:rsidRPr="00B1089D">
        <w:t>hegemonic</w:t>
      </w:r>
      <w:proofErr w:type="spellEnd"/>
      <w:r w:rsidRPr="00B1089D">
        <w:t xml:space="preserve"> </w:t>
      </w:r>
      <w:proofErr w:type="spellStart"/>
      <w:r w:rsidRPr="00B1089D">
        <w:t>masculinity</w:t>
      </w:r>
      <w:proofErr w:type="spellEnd"/>
      <w:r w:rsidRPr="00B1089D">
        <w:t xml:space="preserve"> has </w:t>
      </w:r>
      <w:proofErr w:type="spellStart"/>
      <w:r w:rsidRPr="00B1089D">
        <w:t>become</w:t>
      </w:r>
      <w:proofErr w:type="spellEnd"/>
      <w:r w:rsidRPr="00B1089D">
        <w:t xml:space="preserve"> a </w:t>
      </w:r>
      <w:proofErr w:type="spellStart"/>
      <w:r w:rsidRPr="00B1089D">
        <w:t>central</w:t>
      </w:r>
      <w:proofErr w:type="spellEnd"/>
      <w:r w:rsidRPr="00B1089D">
        <w:t xml:space="preserve"> </w:t>
      </w:r>
      <w:proofErr w:type="spellStart"/>
      <w:r w:rsidRPr="00B1089D">
        <w:t>focus</w:t>
      </w:r>
      <w:proofErr w:type="spellEnd"/>
      <w:r w:rsidRPr="00B1089D">
        <w:t xml:space="preserve"> in </w:t>
      </w:r>
      <w:proofErr w:type="spellStart"/>
      <w:r w:rsidRPr="00B1089D">
        <w:t>gender</w:t>
      </w:r>
      <w:proofErr w:type="spellEnd"/>
      <w:r w:rsidRPr="00B1089D">
        <w:t xml:space="preserve"> </w:t>
      </w:r>
      <w:proofErr w:type="spellStart"/>
      <w:r w:rsidRPr="00B1089D">
        <w:t>studies</w:t>
      </w:r>
      <w:proofErr w:type="spellEnd"/>
      <w:r w:rsidRPr="00B1089D">
        <w:t xml:space="preserve">. </w:t>
      </w:r>
      <w:proofErr w:type="spellStart"/>
      <w:r w:rsidRPr="00B1089D">
        <w:t>However</w:t>
      </w:r>
      <w:proofErr w:type="spellEnd"/>
      <w:r w:rsidRPr="00B1089D">
        <w:t xml:space="preserve">, </w:t>
      </w:r>
      <w:proofErr w:type="spellStart"/>
      <w:r w:rsidRPr="00B1089D">
        <w:t>the</w:t>
      </w:r>
      <w:proofErr w:type="spellEnd"/>
      <w:r w:rsidRPr="00B1089D">
        <w:t xml:space="preserve"> </w:t>
      </w:r>
      <w:proofErr w:type="spellStart"/>
      <w:r w:rsidRPr="00B1089D">
        <w:t>dominance</w:t>
      </w:r>
      <w:proofErr w:type="spellEnd"/>
      <w:r w:rsidRPr="00B1089D">
        <w:t xml:space="preserve"> of </w:t>
      </w:r>
      <w:proofErr w:type="spellStart"/>
      <w:r w:rsidRPr="00B1089D">
        <w:t>hegemonic</w:t>
      </w:r>
      <w:proofErr w:type="spellEnd"/>
      <w:r w:rsidRPr="00B1089D">
        <w:t xml:space="preserve"> </w:t>
      </w:r>
      <w:proofErr w:type="spellStart"/>
      <w:r w:rsidRPr="00B1089D">
        <w:t>masculinity</w:t>
      </w:r>
      <w:proofErr w:type="spellEnd"/>
      <w:r w:rsidRPr="00B1089D">
        <w:t xml:space="preserve"> has led </w:t>
      </w:r>
      <w:proofErr w:type="spellStart"/>
      <w:r w:rsidRPr="00B1089D">
        <w:t>to</w:t>
      </w:r>
      <w:proofErr w:type="spellEnd"/>
      <w:r w:rsidRPr="00B1089D">
        <w:t xml:space="preserve"> </w:t>
      </w:r>
      <w:proofErr w:type="spellStart"/>
      <w:r w:rsidRPr="00B1089D">
        <w:t>the</w:t>
      </w:r>
      <w:proofErr w:type="spellEnd"/>
      <w:r w:rsidRPr="00B1089D">
        <w:t xml:space="preserve"> </w:t>
      </w:r>
      <w:proofErr w:type="spellStart"/>
      <w:r w:rsidRPr="00B1089D">
        <w:t>neglect</w:t>
      </w:r>
      <w:proofErr w:type="spellEnd"/>
      <w:r w:rsidRPr="00B1089D">
        <w:t xml:space="preserve"> of </w:t>
      </w:r>
      <w:proofErr w:type="spellStart"/>
      <w:r w:rsidRPr="00B1089D">
        <w:t>other</w:t>
      </w:r>
      <w:proofErr w:type="spellEnd"/>
      <w:r w:rsidRPr="00B1089D">
        <w:t xml:space="preserve">, </w:t>
      </w:r>
      <w:proofErr w:type="spellStart"/>
      <w:r w:rsidRPr="00B1089D">
        <w:t>less</w:t>
      </w:r>
      <w:proofErr w:type="spellEnd"/>
      <w:r w:rsidRPr="00B1089D">
        <w:t xml:space="preserve"> </w:t>
      </w:r>
      <w:proofErr w:type="spellStart"/>
      <w:r w:rsidRPr="00B1089D">
        <w:t>visible</w:t>
      </w:r>
      <w:proofErr w:type="spellEnd"/>
      <w:r w:rsidRPr="00B1089D">
        <w:t xml:space="preserve">, </w:t>
      </w:r>
      <w:proofErr w:type="spellStart"/>
      <w:r w:rsidRPr="00B1089D">
        <w:t>marginalized</w:t>
      </w:r>
      <w:proofErr w:type="spellEnd"/>
      <w:r w:rsidRPr="00B1089D">
        <w:t xml:space="preserve">, </w:t>
      </w:r>
      <w:proofErr w:type="spellStart"/>
      <w:r w:rsidRPr="00B1089D">
        <w:t>or</w:t>
      </w:r>
      <w:proofErr w:type="spellEnd"/>
      <w:r w:rsidRPr="00B1089D">
        <w:t xml:space="preserve"> </w:t>
      </w:r>
      <w:proofErr w:type="spellStart"/>
      <w:r w:rsidRPr="00B1089D">
        <w:t>peripheral</w:t>
      </w:r>
      <w:proofErr w:type="spellEnd"/>
      <w:r w:rsidRPr="00B1089D">
        <w:t xml:space="preserve"> </w:t>
      </w:r>
      <w:proofErr w:type="spellStart"/>
      <w:r w:rsidRPr="00B1089D">
        <w:t>forms</w:t>
      </w:r>
      <w:proofErr w:type="spellEnd"/>
      <w:r w:rsidRPr="00B1089D">
        <w:t xml:space="preserve"> of </w:t>
      </w:r>
      <w:proofErr w:type="spellStart"/>
      <w:r w:rsidRPr="00B1089D">
        <w:t>masculinity</w:t>
      </w:r>
      <w:proofErr w:type="spellEnd"/>
      <w:r w:rsidRPr="00B1089D">
        <w:t xml:space="preserve">. </w:t>
      </w:r>
      <w:proofErr w:type="spellStart"/>
      <w:r w:rsidRPr="00B1089D">
        <w:t>In</w:t>
      </w:r>
      <w:proofErr w:type="spellEnd"/>
      <w:r w:rsidRPr="00B1089D">
        <w:t xml:space="preserve"> </w:t>
      </w:r>
      <w:proofErr w:type="spellStart"/>
      <w:r w:rsidRPr="00B1089D">
        <w:t>other</w:t>
      </w:r>
      <w:proofErr w:type="spellEnd"/>
      <w:r w:rsidRPr="00B1089D">
        <w:t xml:space="preserve"> </w:t>
      </w:r>
      <w:proofErr w:type="spellStart"/>
      <w:r w:rsidRPr="00B1089D">
        <w:t>words</w:t>
      </w:r>
      <w:proofErr w:type="spellEnd"/>
      <w:r w:rsidRPr="00B1089D">
        <w:t xml:space="preserve">, it is </w:t>
      </w:r>
      <w:proofErr w:type="spellStart"/>
      <w:r w:rsidRPr="00B1089D">
        <w:t>important</w:t>
      </w:r>
      <w:proofErr w:type="spellEnd"/>
      <w:r w:rsidRPr="00B1089D">
        <w:t xml:space="preserve"> </w:t>
      </w:r>
      <w:proofErr w:type="spellStart"/>
      <w:r w:rsidRPr="00B1089D">
        <w:t>to</w:t>
      </w:r>
      <w:proofErr w:type="spellEnd"/>
      <w:r w:rsidRPr="00B1089D">
        <w:t xml:space="preserve"> </w:t>
      </w:r>
      <w:proofErr w:type="spellStart"/>
      <w:r w:rsidRPr="00B1089D">
        <w:t>examine</w:t>
      </w:r>
      <w:proofErr w:type="spellEnd"/>
      <w:r w:rsidRPr="00B1089D">
        <w:t xml:space="preserve"> </w:t>
      </w:r>
      <w:proofErr w:type="spellStart"/>
      <w:r w:rsidRPr="00B1089D">
        <w:t>masculinities</w:t>
      </w:r>
      <w:proofErr w:type="spellEnd"/>
      <w:r w:rsidRPr="00B1089D">
        <w:t xml:space="preserve"> </w:t>
      </w:r>
      <w:proofErr w:type="spellStart"/>
      <w:r w:rsidRPr="00B1089D">
        <w:t>that</w:t>
      </w:r>
      <w:proofErr w:type="spellEnd"/>
      <w:r w:rsidRPr="00B1089D">
        <w:t xml:space="preserve"> </w:t>
      </w:r>
      <w:proofErr w:type="spellStart"/>
      <w:r w:rsidRPr="00B1089D">
        <w:t>are</w:t>
      </w:r>
      <w:proofErr w:type="spellEnd"/>
      <w:r w:rsidRPr="00B1089D">
        <w:t xml:space="preserve"> </w:t>
      </w:r>
      <w:proofErr w:type="spellStart"/>
      <w:r w:rsidRPr="00B1089D">
        <w:t>marginalized</w:t>
      </w:r>
      <w:proofErr w:type="spellEnd"/>
      <w:r w:rsidRPr="00B1089D">
        <w:t xml:space="preserve"> </w:t>
      </w:r>
      <w:proofErr w:type="spellStart"/>
      <w:r w:rsidRPr="00B1089D">
        <w:t>and</w:t>
      </w:r>
      <w:proofErr w:type="spellEnd"/>
      <w:r w:rsidRPr="00B1089D">
        <w:t xml:space="preserve"> “</w:t>
      </w:r>
      <w:proofErr w:type="spellStart"/>
      <w:r w:rsidRPr="00B1089D">
        <w:t>subordinated</w:t>
      </w:r>
      <w:proofErr w:type="spellEnd"/>
      <w:r w:rsidRPr="00B1089D">
        <w:t xml:space="preserve">” </w:t>
      </w:r>
      <w:proofErr w:type="spellStart"/>
      <w:r w:rsidRPr="00B1089D">
        <w:t>by</w:t>
      </w:r>
      <w:proofErr w:type="spellEnd"/>
      <w:r w:rsidRPr="00B1089D">
        <w:t xml:space="preserve"> </w:t>
      </w:r>
      <w:proofErr w:type="spellStart"/>
      <w:r w:rsidRPr="00B1089D">
        <w:t>social</w:t>
      </w:r>
      <w:proofErr w:type="spellEnd"/>
      <w:r w:rsidRPr="00B1089D">
        <w:t xml:space="preserve"> </w:t>
      </w:r>
      <w:proofErr w:type="spellStart"/>
      <w:r w:rsidRPr="00B1089D">
        <w:t>structures</w:t>
      </w:r>
      <w:proofErr w:type="spellEnd"/>
      <w:r w:rsidRPr="00B1089D">
        <w:t xml:space="preserve">, as </w:t>
      </w:r>
      <w:proofErr w:type="spellStart"/>
      <w:r w:rsidRPr="00B1089D">
        <w:t>well</w:t>
      </w:r>
      <w:proofErr w:type="spellEnd"/>
      <w:r w:rsidRPr="00B1089D">
        <w:t xml:space="preserve"> as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In</w:t>
      </w:r>
      <w:proofErr w:type="spellEnd"/>
      <w:r w:rsidRPr="00B1089D">
        <w:t xml:space="preserve"> </w:t>
      </w:r>
      <w:proofErr w:type="spellStart"/>
      <w:r w:rsidRPr="00B1089D">
        <w:t>contrast</w:t>
      </w:r>
      <w:proofErr w:type="spellEnd"/>
      <w:r w:rsidRPr="00B1089D">
        <w:t xml:space="preserve"> </w:t>
      </w:r>
      <w:proofErr w:type="spellStart"/>
      <w:r w:rsidRPr="00B1089D">
        <w:t>to</w:t>
      </w:r>
      <w:proofErr w:type="spellEnd"/>
      <w:r w:rsidRPr="00B1089D">
        <w:t xml:space="preserve">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subordinated</w:t>
      </w:r>
      <w:proofErr w:type="spellEnd"/>
      <w:r w:rsidRPr="00B1089D">
        <w:t xml:space="preserve"> </w:t>
      </w:r>
      <w:proofErr w:type="spellStart"/>
      <w:r w:rsidRPr="00B1089D">
        <w:t>masculinity</w:t>
      </w:r>
      <w:proofErr w:type="spellEnd"/>
      <w:r w:rsidRPr="00B1089D">
        <w:t xml:space="preserve"> </w:t>
      </w:r>
      <w:proofErr w:type="spellStart"/>
      <w:r w:rsidRPr="00B1089D">
        <w:t>refers</w:t>
      </w:r>
      <w:proofErr w:type="spellEnd"/>
      <w:r w:rsidRPr="00B1089D">
        <w:t xml:space="preserve"> </w:t>
      </w:r>
      <w:proofErr w:type="spellStart"/>
      <w:r w:rsidRPr="00B1089D">
        <w:t>to</w:t>
      </w:r>
      <w:proofErr w:type="spellEnd"/>
      <w:r w:rsidRPr="00B1089D">
        <w:t xml:space="preserve"> </w:t>
      </w:r>
      <w:proofErr w:type="spellStart"/>
      <w:r w:rsidRPr="00B1089D">
        <w:t>less</w:t>
      </w:r>
      <w:proofErr w:type="spellEnd"/>
      <w:r w:rsidRPr="00B1089D">
        <w:t xml:space="preserve"> </w:t>
      </w:r>
      <w:proofErr w:type="spellStart"/>
      <w:r w:rsidRPr="00B1089D">
        <w:t>visible</w:t>
      </w:r>
      <w:proofErr w:type="spellEnd"/>
      <w:r w:rsidRPr="00B1089D">
        <w:t xml:space="preserve"> </w:t>
      </w:r>
      <w:proofErr w:type="spellStart"/>
      <w:r w:rsidRPr="00B1089D">
        <w:t>and</w:t>
      </w:r>
      <w:proofErr w:type="spellEnd"/>
      <w:r w:rsidRPr="00B1089D">
        <w:t xml:space="preserve"> </w:t>
      </w:r>
      <w:proofErr w:type="spellStart"/>
      <w:r w:rsidRPr="00B1089D">
        <w:t>more</w:t>
      </w:r>
      <w:proofErr w:type="spellEnd"/>
      <w:r w:rsidRPr="00B1089D">
        <w:t xml:space="preserve"> </w:t>
      </w:r>
      <w:proofErr w:type="spellStart"/>
      <w:r w:rsidRPr="00B1089D">
        <w:t>marginalized</w:t>
      </w:r>
      <w:proofErr w:type="spellEnd"/>
      <w:r w:rsidRPr="00B1089D">
        <w:t xml:space="preserve"> </w:t>
      </w:r>
      <w:proofErr w:type="spellStart"/>
      <w:r w:rsidRPr="00B1089D">
        <w:t>forms</w:t>
      </w:r>
      <w:proofErr w:type="spellEnd"/>
      <w:r w:rsidRPr="00B1089D">
        <w:t xml:space="preserve"> of </w:t>
      </w:r>
      <w:proofErr w:type="spellStart"/>
      <w:r w:rsidRPr="00B1089D">
        <w:t>masculinity</w:t>
      </w:r>
      <w:proofErr w:type="spellEnd"/>
      <w:r w:rsidRPr="00B1089D">
        <w:t xml:space="preserve"> in </w:t>
      </w:r>
      <w:proofErr w:type="spellStart"/>
      <w:r w:rsidRPr="00B1089D">
        <w:t>society</w:t>
      </w:r>
      <w:proofErr w:type="spellEnd"/>
      <w:r w:rsidRPr="00B1089D">
        <w:t xml:space="preserve">. </w:t>
      </w:r>
      <w:proofErr w:type="spellStart"/>
      <w:r w:rsidRPr="00B1089D">
        <w:t>These</w:t>
      </w:r>
      <w:proofErr w:type="spellEnd"/>
      <w:r w:rsidRPr="00B1089D">
        <w:t xml:space="preserve"> </w:t>
      </w:r>
      <w:proofErr w:type="spellStart"/>
      <w:r w:rsidRPr="00B1089D">
        <w:t>forms</w:t>
      </w:r>
      <w:proofErr w:type="spellEnd"/>
      <w:r w:rsidRPr="00B1089D">
        <w:t xml:space="preserve"> of </w:t>
      </w:r>
      <w:proofErr w:type="spellStart"/>
      <w:r w:rsidRPr="00B1089D">
        <w:t>masculinity</w:t>
      </w:r>
      <w:proofErr w:type="spellEnd"/>
      <w:r w:rsidRPr="00B1089D">
        <w:t xml:space="preserve"> </w:t>
      </w:r>
      <w:proofErr w:type="spellStart"/>
      <w:r w:rsidRPr="00B1089D">
        <w:t>usually</w:t>
      </w:r>
      <w:proofErr w:type="spellEnd"/>
      <w:r w:rsidRPr="00B1089D">
        <w:t xml:space="preserve"> </w:t>
      </w:r>
      <w:proofErr w:type="spellStart"/>
      <w:r w:rsidRPr="00B1089D">
        <w:t>represent</w:t>
      </w:r>
      <w:proofErr w:type="spellEnd"/>
      <w:r w:rsidRPr="00B1089D">
        <w:t xml:space="preserve"> </w:t>
      </w:r>
      <w:proofErr w:type="spellStart"/>
      <w:r w:rsidRPr="00B1089D">
        <w:t>groups</w:t>
      </w:r>
      <w:proofErr w:type="spellEnd"/>
      <w:r w:rsidRPr="00B1089D">
        <w:t xml:space="preserve"> </w:t>
      </w:r>
      <w:proofErr w:type="spellStart"/>
      <w:r w:rsidRPr="00B1089D">
        <w:t>that</w:t>
      </w:r>
      <w:proofErr w:type="spellEnd"/>
      <w:r w:rsidRPr="00B1089D">
        <w:t xml:space="preserve"> </w:t>
      </w:r>
      <w:proofErr w:type="spellStart"/>
      <w:r w:rsidRPr="00B1089D">
        <w:t>have</w:t>
      </w:r>
      <w:proofErr w:type="spellEnd"/>
      <w:r w:rsidRPr="00B1089D">
        <w:t xml:space="preserve"> </w:t>
      </w:r>
      <w:proofErr w:type="spellStart"/>
      <w:r w:rsidRPr="00B1089D">
        <w:t>difficulty</w:t>
      </w:r>
      <w:proofErr w:type="spellEnd"/>
      <w:r w:rsidRPr="00B1089D">
        <w:t xml:space="preserve"> </w:t>
      </w:r>
      <w:proofErr w:type="spellStart"/>
      <w:r w:rsidRPr="00B1089D">
        <w:t>conforming</w:t>
      </w:r>
      <w:proofErr w:type="spellEnd"/>
      <w:r w:rsidRPr="00B1089D">
        <w:t xml:space="preserve"> </w:t>
      </w:r>
      <w:proofErr w:type="spellStart"/>
      <w:r w:rsidRPr="00B1089D">
        <w:t>to</w:t>
      </w:r>
      <w:proofErr w:type="spellEnd"/>
      <w:r w:rsidRPr="00B1089D">
        <w:t xml:space="preserve"> </w:t>
      </w:r>
      <w:proofErr w:type="gramStart"/>
      <w:r w:rsidRPr="00B1089D">
        <w:t>dominant</w:t>
      </w:r>
      <w:proofErr w:type="gramEnd"/>
      <w:r w:rsidRPr="00B1089D">
        <w:t xml:space="preserve"> </w:t>
      </w:r>
      <w:proofErr w:type="spellStart"/>
      <w:r w:rsidRPr="00B1089D">
        <w:t>social</w:t>
      </w:r>
      <w:proofErr w:type="spellEnd"/>
      <w:r w:rsidRPr="00B1089D">
        <w:t xml:space="preserve"> </w:t>
      </w:r>
      <w:proofErr w:type="spellStart"/>
      <w:r w:rsidRPr="00B1089D">
        <w:t>norms</w:t>
      </w:r>
      <w:proofErr w:type="spellEnd"/>
      <w:r w:rsidRPr="00B1089D">
        <w:t xml:space="preserve"> </w:t>
      </w:r>
      <w:proofErr w:type="spellStart"/>
      <w:r w:rsidRPr="00B1089D">
        <w:t>or</w:t>
      </w:r>
      <w:proofErr w:type="spellEnd"/>
      <w:r w:rsidRPr="00B1089D">
        <w:t xml:space="preserve"> </w:t>
      </w:r>
      <w:proofErr w:type="spellStart"/>
      <w:r w:rsidRPr="00B1089D">
        <w:t>are</w:t>
      </w:r>
      <w:proofErr w:type="spellEnd"/>
      <w:r w:rsidRPr="00B1089D">
        <w:t xml:space="preserve"> </w:t>
      </w:r>
      <w:proofErr w:type="spellStart"/>
      <w:r w:rsidRPr="00B1089D">
        <w:t>excluded</w:t>
      </w:r>
      <w:proofErr w:type="spellEnd"/>
      <w:r w:rsidRPr="00B1089D">
        <w:t xml:space="preserve"> </w:t>
      </w:r>
      <w:proofErr w:type="spellStart"/>
      <w:r w:rsidRPr="00B1089D">
        <w:t>and</w:t>
      </w:r>
      <w:proofErr w:type="spellEnd"/>
      <w:r w:rsidRPr="00B1089D">
        <w:t xml:space="preserve"> </w:t>
      </w:r>
      <w:proofErr w:type="spellStart"/>
      <w:r w:rsidRPr="00B1089D">
        <w:t>marginalized</w:t>
      </w:r>
      <w:proofErr w:type="spellEnd"/>
      <w:r w:rsidRPr="00B1089D">
        <w:t xml:space="preserve">. </w:t>
      </w:r>
      <w:proofErr w:type="spellStart"/>
      <w:r w:rsidRPr="00B1089D">
        <w:t>The</w:t>
      </w:r>
      <w:proofErr w:type="spellEnd"/>
      <w:r w:rsidRPr="00B1089D">
        <w:t xml:space="preserve"> role of </w:t>
      </w:r>
      <w:proofErr w:type="spellStart"/>
      <w:r w:rsidRPr="00B1089D">
        <w:t>subordinate</w:t>
      </w:r>
      <w:proofErr w:type="spellEnd"/>
      <w:r w:rsidRPr="00B1089D">
        <w:t xml:space="preserve"> </w:t>
      </w:r>
      <w:proofErr w:type="spellStart"/>
      <w:r w:rsidRPr="00B1089D">
        <w:t>masculinities</w:t>
      </w:r>
      <w:proofErr w:type="spellEnd"/>
      <w:r w:rsidRPr="00B1089D">
        <w:t xml:space="preserve"> in </w:t>
      </w:r>
      <w:proofErr w:type="spellStart"/>
      <w:r w:rsidRPr="00B1089D">
        <w:t>social</w:t>
      </w:r>
      <w:proofErr w:type="spellEnd"/>
      <w:r w:rsidRPr="00B1089D">
        <w:t xml:space="preserve"> </w:t>
      </w:r>
      <w:proofErr w:type="spellStart"/>
      <w:r w:rsidRPr="00B1089D">
        <w:t>structures</w:t>
      </w:r>
      <w:proofErr w:type="spellEnd"/>
      <w:r w:rsidRPr="00B1089D">
        <w:t xml:space="preserve"> </w:t>
      </w:r>
      <w:proofErr w:type="spellStart"/>
      <w:r w:rsidRPr="00B1089D">
        <w:t>and</w:t>
      </w:r>
      <w:proofErr w:type="spellEnd"/>
      <w:r w:rsidRPr="00B1089D">
        <w:t xml:space="preserve"> </w:t>
      </w:r>
      <w:proofErr w:type="spellStart"/>
      <w:r w:rsidRPr="00B1089D">
        <w:t>their</w:t>
      </w:r>
      <w:proofErr w:type="spellEnd"/>
      <w:r w:rsidRPr="00B1089D">
        <w:t xml:space="preserve"> </w:t>
      </w:r>
      <w:proofErr w:type="spellStart"/>
      <w:r w:rsidRPr="00B1089D">
        <w:t>effects</w:t>
      </w:r>
      <w:proofErr w:type="spellEnd"/>
      <w:r w:rsidRPr="00B1089D">
        <w:t xml:space="preserve"> on </w:t>
      </w:r>
      <w:proofErr w:type="spellStart"/>
      <w:r w:rsidRPr="00B1089D">
        <w:t>gender</w:t>
      </w:r>
      <w:proofErr w:type="spellEnd"/>
      <w:r w:rsidRPr="00B1089D">
        <w:t xml:space="preserve"> </w:t>
      </w:r>
      <w:proofErr w:type="spellStart"/>
      <w:r w:rsidRPr="00B1089D">
        <w:t>identities</w:t>
      </w:r>
      <w:proofErr w:type="spellEnd"/>
      <w:r w:rsidRPr="00B1089D">
        <w:t xml:space="preserve"> is a </w:t>
      </w:r>
      <w:proofErr w:type="spellStart"/>
      <w:r w:rsidRPr="00B1089D">
        <w:t>very</w:t>
      </w:r>
      <w:proofErr w:type="spellEnd"/>
      <w:r w:rsidRPr="00B1089D">
        <w:t xml:space="preserve"> </w:t>
      </w:r>
      <w:proofErr w:type="spellStart"/>
      <w:r w:rsidRPr="00B1089D">
        <w:t>important</w:t>
      </w:r>
      <w:proofErr w:type="spellEnd"/>
      <w:r w:rsidRPr="00B1089D">
        <w:t xml:space="preserve"> </w:t>
      </w:r>
      <w:proofErr w:type="spellStart"/>
      <w:r w:rsidRPr="00B1089D">
        <w:t>research</w:t>
      </w:r>
      <w:proofErr w:type="spellEnd"/>
      <w:r w:rsidRPr="00B1089D">
        <w:t xml:space="preserve"> </w:t>
      </w:r>
      <w:proofErr w:type="spellStart"/>
      <w:r w:rsidRPr="00B1089D">
        <w:t>topic</w:t>
      </w:r>
      <w:proofErr w:type="spellEnd"/>
      <w:r w:rsidRPr="00B1089D">
        <w:t xml:space="preserve">. </w:t>
      </w:r>
      <w:proofErr w:type="spellStart"/>
      <w:r w:rsidRPr="00B1089D">
        <w:t>Unfortunately</w:t>
      </w:r>
      <w:proofErr w:type="spellEnd"/>
      <w:r w:rsidRPr="00B1089D">
        <w:t xml:space="preserve">, </w:t>
      </w:r>
      <w:proofErr w:type="spellStart"/>
      <w:r w:rsidRPr="00B1089D">
        <w:t>research</w:t>
      </w:r>
      <w:proofErr w:type="spellEnd"/>
      <w:r w:rsidRPr="00B1089D">
        <w:t xml:space="preserve"> on </w:t>
      </w:r>
      <w:proofErr w:type="spellStart"/>
      <w:r w:rsidRPr="00B1089D">
        <w:t>subordinate</w:t>
      </w:r>
      <w:proofErr w:type="spellEnd"/>
      <w:r w:rsidRPr="00B1089D">
        <w:t xml:space="preserve"> </w:t>
      </w:r>
      <w:proofErr w:type="spellStart"/>
      <w:r w:rsidRPr="00B1089D">
        <w:t>masculinities</w:t>
      </w:r>
      <w:proofErr w:type="spellEnd"/>
      <w:r w:rsidRPr="00B1089D">
        <w:t xml:space="preserve"> is </w:t>
      </w:r>
      <w:proofErr w:type="spellStart"/>
      <w:r w:rsidRPr="00B1089D">
        <w:t>limited</w:t>
      </w:r>
      <w:proofErr w:type="spellEnd"/>
      <w:r w:rsidRPr="00B1089D">
        <w:t xml:space="preserve">. </w:t>
      </w:r>
      <w:proofErr w:type="spellStart"/>
      <w:r w:rsidRPr="00B1089D">
        <w:t>This</w:t>
      </w:r>
      <w:proofErr w:type="spellEnd"/>
      <w:r w:rsidRPr="00B1089D">
        <w:t xml:space="preserve"> </w:t>
      </w:r>
      <w:proofErr w:type="spellStart"/>
      <w:r w:rsidRPr="00B1089D">
        <w:t>shows</w:t>
      </w:r>
      <w:proofErr w:type="spellEnd"/>
      <w:r w:rsidRPr="00B1089D">
        <w:t xml:space="preserve"> </w:t>
      </w:r>
      <w:proofErr w:type="spellStart"/>
      <w:r w:rsidRPr="00B1089D">
        <w:t>that</w:t>
      </w:r>
      <w:proofErr w:type="spellEnd"/>
      <w:r w:rsidRPr="00B1089D">
        <w:t xml:space="preserve"> </w:t>
      </w:r>
      <w:proofErr w:type="spellStart"/>
      <w:r w:rsidRPr="00B1089D">
        <w:t>gender</w:t>
      </w:r>
      <w:proofErr w:type="spellEnd"/>
      <w:r w:rsidRPr="00B1089D">
        <w:t xml:space="preserve"> </w:t>
      </w:r>
      <w:proofErr w:type="spellStart"/>
      <w:r w:rsidRPr="00B1089D">
        <w:t>studies</w:t>
      </w:r>
      <w:proofErr w:type="spellEnd"/>
      <w:r w:rsidRPr="00B1089D">
        <w:t xml:space="preserve"> </w:t>
      </w:r>
      <w:proofErr w:type="spellStart"/>
      <w:r w:rsidRPr="00B1089D">
        <w:t>and</w:t>
      </w:r>
      <w:proofErr w:type="spellEnd"/>
      <w:r w:rsidRPr="00B1089D">
        <w:t xml:space="preserve"> </w:t>
      </w:r>
      <w:proofErr w:type="spellStart"/>
      <w:r w:rsidRPr="00B1089D">
        <w:t>masculinity</w:t>
      </w:r>
      <w:proofErr w:type="spellEnd"/>
      <w:r w:rsidRPr="00B1089D">
        <w:t xml:space="preserve"> </w:t>
      </w:r>
      <w:proofErr w:type="spellStart"/>
      <w:r w:rsidRPr="00B1089D">
        <w:t>research</w:t>
      </w:r>
      <w:proofErr w:type="spellEnd"/>
      <w:r w:rsidRPr="00B1089D">
        <w:t xml:space="preserve"> </w:t>
      </w:r>
      <w:proofErr w:type="spellStart"/>
      <w:r w:rsidRPr="00B1089D">
        <w:t>often</w:t>
      </w:r>
      <w:proofErr w:type="spellEnd"/>
      <w:r w:rsidRPr="00B1089D">
        <w:t xml:space="preserve"> </w:t>
      </w:r>
      <w:proofErr w:type="spellStart"/>
      <w:r w:rsidRPr="00B1089D">
        <w:t>focus</w:t>
      </w:r>
      <w:proofErr w:type="spellEnd"/>
      <w:r w:rsidRPr="00B1089D">
        <w:t xml:space="preserve"> on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and</w:t>
      </w:r>
      <w:proofErr w:type="spellEnd"/>
      <w:r w:rsidRPr="00B1089D">
        <w:t xml:space="preserve"> </w:t>
      </w:r>
      <w:proofErr w:type="spellStart"/>
      <w:r w:rsidRPr="00B1089D">
        <w:t>leave</w:t>
      </w:r>
      <w:proofErr w:type="spellEnd"/>
      <w:r w:rsidRPr="00B1089D">
        <w:t xml:space="preserve"> </w:t>
      </w:r>
      <w:proofErr w:type="spellStart"/>
      <w:r w:rsidRPr="00B1089D">
        <w:t>other</w:t>
      </w:r>
      <w:proofErr w:type="spellEnd"/>
      <w:r w:rsidRPr="00B1089D">
        <w:t xml:space="preserve"> </w:t>
      </w:r>
      <w:proofErr w:type="spellStart"/>
      <w:r w:rsidRPr="00B1089D">
        <w:t>forms</w:t>
      </w:r>
      <w:proofErr w:type="spellEnd"/>
      <w:r w:rsidRPr="00B1089D">
        <w:t xml:space="preserve"> of </w:t>
      </w:r>
      <w:proofErr w:type="spellStart"/>
      <w:r w:rsidRPr="00B1089D">
        <w:t>masculinity</w:t>
      </w:r>
      <w:proofErr w:type="spellEnd"/>
      <w:r w:rsidRPr="00B1089D">
        <w:t xml:space="preserve"> aside. </w:t>
      </w:r>
      <w:proofErr w:type="spellStart"/>
      <w:r w:rsidRPr="00B1089D">
        <w:t>However</w:t>
      </w:r>
      <w:proofErr w:type="spellEnd"/>
      <w:r w:rsidRPr="00B1089D">
        <w:t xml:space="preserve">, it </w:t>
      </w:r>
      <w:proofErr w:type="spellStart"/>
      <w:r w:rsidRPr="00B1089D">
        <w:t>should</w:t>
      </w:r>
      <w:proofErr w:type="spellEnd"/>
      <w:r w:rsidRPr="00B1089D">
        <w:t xml:space="preserve"> be </w:t>
      </w:r>
      <w:proofErr w:type="spellStart"/>
      <w:r w:rsidRPr="00B1089D">
        <w:t>emphasized</w:t>
      </w:r>
      <w:proofErr w:type="spellEnd"/>
      <w:r w:rsidRPr="00B1089D">
        <w:t xml:space="preserve"> </w:t>
      </w:r>
      <w:proofErr w:type="spellStart"/>
      <w:r w:rsidRPr="00B1089D">
        <w:t>that</w:t>
      </w:r>
      <w:proofErr w:type="spellEnd"/>
      <w:r w:rsidRPr="00B1089D">
        <w:t xml:space="preserve"> </w:t>
      </w:r>
      <w:proofErr w:type="spellStart"/>
      <w:r w:rsidRPr="00B1089D">
        <w:t>these</w:t>
      </w:r>
      <w:proofErr w:type="spellEnd"/>
      <w:r w:rsidRPr="00B1089D">
        <w:t xml:space="preserve"> </w:t>
      </w:r>
      <w:proofErr w:type="spellStart"/>
      <w:r w:rsidRPr="00B1089D">
        <w:t>masculinities</w:t>
      </w:r>
      <w:proofErr w:type="spellEnd"/>
      <w:r w:rsidRPr="00B1089D">
        <w:t xml:space="preserve"> </w:t>
      </w:r>
      <w:proofErr w:type="spellStart"/>
      <w:r w:rsidRPr="00B1089D">
        <w:t>are</w:t>
      </w:r>
      <w:proofErr w:type="spellEnd"/>
      <w:r w:rsidRPr="00B1089D">
        <w:t xml:space="preserve"> as </w:t>
      </w:r>
      <w:proofErr w:type="spellStart"/>
      <w:r w:rsidRPr="00B1089D">
        <w:t>important</w:t>
      </w:r>
      <w:proofErr w:type="spellEnd"/>
      <w:r w:rsidRPr="00B1089D">
        <w:t xml:space="preserve"> as </w:t>
      </w:r>
      <w:proofErr w:type="spellStart"/>
      <w:r w:rsidRPr="00B1089D">
        <w:t>hegemonic</w:t>
      </w:r>
      <w:proofErr w:type="spellEnd"/>
      <w:r w:rsidRPr="00B1089D">
        <w:t xml:space="preserve"> </w:t>
      </w:r>
      <w:proofErr w:type="spellStart"/>
      <w:r w:rsidRPr="00B1089D">
        <w:t>masculinity</w:t>
      </w:r>
      <w:proofErr w:type="spellEnd"/>
      <w:r w:rsidRPr="00B1089D">
        <w:t xml:space="preserve"> </w:t>
      </w:r>
      <w:proofErr w:type="spellStart"/>
      <w:r w:rsidRPr="00B1089D">
        <w:t>and</w:t>
      </w:r>
      <w:proofErr w:type="spellEnd"/>
      <w:r w:rsidRPr="00B1089D">
        <w:t xml:space="preserve"> </w:t>
      </w:r>
      <w:proofErr w:type="spellStart"/>
      <w:r w:rsidRPr="00B1089D">
        <w:t>play</w:t>
      </w:r>
      <w:proofErr w:type="spellEnd"/>
      <w:r w:rsidRPr="00B1089D">
        <w:t xml:space="preserve"> a </w:t>
      </w:r>
      <w:proofErr w:type="spellStart"/>
      <w:r w:rsidRPr="00B1089D">
        <w:t>fundamental</w:t>
      </w:r>
      <w:proofErr w:type="spellEnd"/>
      <w:r w:rsidRPr="00B1089D">
        <w:t xml:space="preserve"> role in </w:t>
      </w:r>
      <w:proofErr w:type="spellStart"/>
      <w:r w:rsidRPr="00B1089D">
        <w:t>understanding</w:t>
      </w:r>
      <w:proofErr w:type="spellEnd"/>
      <w:r w:rsidRPr="00B1089D">
        <w:t xml:space="preserve"> </w:t>
      </w:r>
      <w:proofErr w:type="spellStart"/>
      <w:r w:rsidRPr="00B1089D">
        <w:t>social</w:t>
      </w:r>
      <w:proofErr w:type="spellEnd"/>
      <w:r w:rsidRPr="00B1089D">
        <w:t xml:space="preserve"> </w:t>
      </w:r>
      <w:proofErr w:type="spellStart"/>
      <w:r w:rsidRPr="00B1089D">
        <w:t>structures</w:t>
      </w:r>
      <w:proofErr w:type="spellEnd"/>
      <w:r w:rsidRPr="00B1089D">
        <w:t xml:space="preserve">. At </w:t>
      </w:r>
      <w:proofErr w:type="spellStart"/>
      <w:r w:rsidRPr="00B1089D">
        <w:t>this</w:t>
      </w:r>
      <w:proofErr w:type="spellEnd"/>
      <w:r w:rsidRPr="00B1089D">
        <w:t xml:space="preserve"> </w:t>
      </w:r>
      <w:proofErr w:type="spellStart"/>
      <w:r w:rsidRPr="00B1089D">
        <w:t>point</w:t>
      </w:r>
      <w:proofErr w:type="spellEnd"/>
      <w:r w:rsidRPr="00B1089D">
        <w:t xml:space="preserve">, </w:t>
      </w:r>
      <w:proofErr w:type="spellStart"/>
      <w:r w:rsidRPr="00B1089D">
        <w:t>the</w:t>
      </w:r>
      <w:proofErr w:type="spellEnd"/>
      <w:r w:rsidRPr="00B1089D">
        <w:t xml:space="preserve"> </w:t>
      </w:r>
      <w:proofErr w:type="spellStart"/>
      <w:r w:rsidRPr="00B1089D">
        <w:t>question</w:t>
      </w:r>
      <w:proofErr w:type="spellEnd"/>
      <w:r w:rsidRPr="00B1089D">
        <w:t xml:space="preserve"> of how </w:t>
      </w:r>
      <w:proofErr w:type="spellStart"/>
      <w:r w:rsidRPr="00B1089D">
        <w:t>gender</w:t>
      </w:r>
      <w:proofErr w:type="spellEnd"/>
      <w:r w:rsidRPr="00B1089D">
        <w:t xml:space="preserve"> </w:t>
      </w:r>
      <w:proofErr w:type="spellStart"/>
      <w:r w:rsidRPr="00B1089D">
        <w:t>roles</w:t>
      </w:r>
      <w:proofErr w:type="spellEnd"/>
      <w:r w:rsidRPr="00B1089D">
        <w:t xml:space="preserve"> </w:t>
      </w:r>
      <w:proofErr w:type="spellStart"/>
      <w:r w:rsidRPr="00B1089D">
        <w:t>and</w:t>
      </w:r>
      <w:proofErr w:type="spellEnd"/>
      <w:r w:rsidRPr="00B1089D">
        <w:t xml:space="preserve"> </w:t>
      </w:r>
      <w:proofErr w:type="spellStart"/>
      <w:r w:rsidRPr="00B1089D">
        <w:t>identities</w:t>
      </w:r>
      <w:proofErr w:type="spellEnd"/>
      <w:r w:rsidRPr="00B1089D">
        <w:t xml:space="preserve"> </w:t>
      </w:r>
      <w:proofErr w:type="spellStart"/>
      <w:r w:rsidRPr="00B1089D">
        <w:t>are</w:t>
      </w:r>
      <w:proofErr w:type="spellEnd"/>
      <w:r w:rsidRPr="00B1089D">
        <w:t xml:space="preserve"> </w:t>
      </w:r>
      <w:proofErr w:type="spellStart"/>
      <w:r w:rsidRPr="00B1089D">
        <w:t>questioned</w:t>
      </w:r>
      <w:proofErr w:type="spellEnd"/>
      <w:r w:rsidRPr="00B1089D">
        <w:t xml:space="preserve"> </w:t>
      </w:r>
      <w:proofErr w:type="spellStart"/>
      <w:r w:rsidRPr="00B1089D">
        <w:t>and</w:t>
      </w:r>
      <w:proofErr w:type="spellEnd"/>
      <w:r w:rsidRPr="00B1089D">
        <w:t xml:space="preserve"> </w:t>
      </w:r>
      <w:proofErr w:type="spellStart"/>
      <w:r w:rsidRPr="00B1089D">
        <w:t>represented</w:t>
      </w:r>
      <w:proofErr w:type="spellEnd"/>
      <w:r w:rsidRPr="00B1089D">
        <w:t xml:space="preserve"> in </w:t>
      </w:r>
      <w:proofErr w:type="spellStart"/>
      <w:r w:rsidRPr="00B1089D">
        <w:t>literary</w:t>
      </w:r>
      <w:proofErr w:type="spellEnd"/>
      <w:r w:rsidRPr="00B1089D">
        <w:t xml:space="preserve"> </w:t>
      </w:r>
      <w:proofErr w:type="spellStart"/>
      <w:r w:rsidRPr="00B1089D">
        <w:t>works</w:t>
      </w:r>
      <w:proofErr w:type="spellEnd"/>
      <w:r w:rsidRPr="00B1089D">
        <w:t xml:space="preserve"> </w:t>
      </w:r>
      <w:proofErr w:type="spellStart"/>
      <w:r w:rsidRPr="00B1089D">
        <w:t>presents</w:t>
      </w:r>
      <w:proofErr w:type="spellEnd"/>
      <w:r w:rsidRPr="00B1089D">
        <w:t xml:space="preserve"> an </w:t>
      </w:r>
      <w:proofErr w:type="spellStart"/>
      <w:r w:rsidRPr="00B1089D">
        <w:t>important</w:t>
      </w:r>
      <w:proofErr w:type="spellEnd"/>
      <w:r w:rsidRPr="00B1089D">
        <w:t xml:space="preserve"> </w:t>
      </w:r>
      <w:proofErr w:type="spellStart"/>
      <w:r w:rsidRPr="00B1089D">
        <w:t>area</w:t>
      </w:r>
      <w:proofErr w:type="spellEnd"/>
      <w:r w:rsidRPr="00B1089D">
        <w:t xml:space="preserve"> of ​​</w:t>
      </w:r>
      <w:proofErr w:type="spellStart"/>
      <w:r w:rsidRPr="00B1089D">
        <w:t>research</w:t>
      </w:r>
      <w:proofErr w:type="spellEnd"/>
      <w:r w:rsidRPr="00B1089D">
        <w:t xml:space="preserve">. </w:t>
      </w:r>
      <w:proofErr w:type="spellStart"/>
      <w:r w:rsidRPr="00B1089D">
        <w:t>This</w:t>
      </w:r>
      <w:proofErr w:type="spellEnd"/>
      <w:r w:rsidRPr="00B1089D">
        <w:t xml:space="preserve"> </w:t>
      </w:r>
      <w:proofErr w:type="spellStart"/>
      <w:r w:rsidRPr="00B1089D">
        <w:t>study</w:t>
      </w:r>
      <w:proofErr w:type="spellEnd"/>
      <w:r w:rsidRPr="00B1089D">
        <w:t xml:space="preserve"> </w:t>
      </w:r>
      <w:proofErr w:type="spellStart"/>
      <w:r w:rsidRPr="00B1089D">
        <w:t>aims</w:t>
      </w:r>
      <w:proofErr w:type="spellEnd"/>
      <w:r w:rsidRPr="00B1089D">
        <w:t xml:space="preserve"> </w:t>
      </w:r>
      <w:proofErr w:type="spellStart"/>
      <w:r w:rsidRPr="00B1089D">
        <w:t>to</w:t>
      </w:r>
      <w:proofErr w:type="spellEnd"/>
      <w:r w:rsidRPr="00B1089D">
        <w:t xml:space="preserve"> </w:t>
      </w:r>
      <w:proofErr w:type="spellStart"/>
      <w:r w:rsidRPr="00B1089D">
        <w:t>examine</w:t>
      </w:r>
      <w:proofErr w:type="spellEnd"/>
      <w:r w:rsidRPr="00B1089D">
        <w:t xml:space="preserve"> </w:t>
      </w:r>
      <w:proofErr w:type="spellStart"/>
      <w:r w:rsidRPr="00B1089D">
        <w:t>secondary</w:t>
      </w:r>
      <w:proofErr w:type="spellEnd"/>
      <w:r w:rsidRPr="00B1089D">
        <w:t xml:space="preserve"> </w:t>
      </w:r>
      <w:proofErr w:type="spellStart"/>
      <w:r w:rsidRPr="00B1089D">
        <w:t>masculinity</w:t>
      </w:r>
      <w:proofErr w:type="spellEnd"/>
      <w:r w:rsidRPr="00B1089D">
        <w:t xml:space="preserve"> </w:t>
      </w:r>
      <w:proofErr w:type="spellStart"/>
      <w:r w:rsidRPr="00B1089D">
        <w:t>figures</w:t>
      </w:r>
      <w:proofErr w:type="spellEnd"/>
      <w:r w:rsidRPr="00B1089D">
        <w:t xml:space="preserve"> in Murathan </w:t>
      </w:r>
      <w:proofErr w:type="spellStart"/>
      <w:r w:rsidRPr="00B1089D">
        <w:t>Mungan's</w:t>
      </w:r>
      <w:proofErr w:type="spellEnd"/>
      <w:r w:rsidRPr="00B1089D">
        <w:t xml:space="preserve"> </w:t>
      </w:r>
      <w:proofErr w:type="spellStart"/>
      <w:r w:rsidRPr="00B1089D">
        <w:t>selected</w:t>
      </w:r>
      <w:proofErr w:type="spellEnd"/>
      <w:r w:rsidRPr="00B1089D">
        <w:t xml:space="preserve"> </w:t>
      </w:r>
      <w:proofErr w:type="spellStart"/>
      <w:r w:rsidRPr="00B1089D">
        <w:t>stories</w:t>
      </w:r>
      <w:proofErr w:type="spellEnd"/>
      <w:r w:rsidRPr="00B1089D">
        <w:t xml:space="preserve"> </w:t>
      </w:r>
      <w:proofErr w:type="spellStart"/>
      <w:r w:rsidRPr="00B1089D">
        <w:t>through</w:t>
      </w:r>
      <w:proofErr w:type="spellEnd"/>
      <w:r w:rsidRPr="00B1089D">
        <w:t xml:space="preserve"> </w:t>
      </w:r>
      <w:proofErr w:type="spellStart"/>
      <w:r w:rsidRPr="00B1089D">
        <w:t>textual</w:t>
      </w:r>
      <w:proofErr w:type="spellEnd"/>
      <w:r w:rsidRPr="00B1089D">
        <w:t xml:space="preserve"> </w:t>
      </w:r>
      <w:proofErr w:type="spellStart"/>
      <w:r w:rsidRPr="00B1089D">
        <w:t>analysis</w:t>
      </w:r>
      <w:proofErr w:type="spellEnd"/>
      <w:r w:rsidRPr="00B1089D">
        <w:t xml:space="preserve">. </w:t>
      </w:r>
      <w:proofErr w:type="spellStart"/>
      <w:r w:rsidRPr="00B1089D">
        <w:t>By</w:t>
      </w:r>
      <w:proofErr w:type="spellEnd"/>
      <w:r w:rsidRPr="00B1089D">
        <w:t xml:space="preserve"> </w:t>
      </w:r>
      <w:proofErr w:type="spellStart"/>
      <w:r w:rsidRPr="00B1089D">
        <w:t>investigating</w:t>
      </w:r>
      <w:proofErr w:type="spellEnd"/>
      <w:r w:rsidRPr="00B1089D">
        <w:t xml:space="preserve"> </w:t>
      </w:r>
      <w:proofErr w:type="spellStart"/>
      <w:r w:rsidRPr="00B1089D">
        <w:t>secondary</w:t>
      </w:r>
      <w:proofErr w:type="spellEnd"/>
      <w:r w:rsidRPr="00B1089D">
        <w:t xml:space="preserve"> </w:t>
      </w:r>
      <w:proofErr w:type="spellStart"/>
      <w:r w:rsidRPr="00B1089D">
        <w:t>masculinity</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will</w:t>
      </w:r>
      <w:proofErr w:type="spellEnd"/>
      <w:r w:rsidRPr="00B1089D">
        <w:t xml:space="preserve"> </w:t>
      </w:r>
      <w:proofErr w:type="spellStart"/>
      <w:r w:rsidRPr="00B1089D">
        <w:t>analyze</w:t>
      </w:r>
      <w:proofErr w:type="spellEnd"/>
      <w:r w:rsidRPr="00B1089D">
        <w:t xml:space="preserve"> how </w:t>
      </w:r>
      <w:proofErr w:type="spellStart"/>
      <w:r w:rsidRPr="00B1089D">
        <w:t>this</w:t>
      </w:r>
      <w:proofErr w:type="spellEnd"/>
      <w:r w:rsidRPr="00B1089D">
        <w:t xml:space="preserve"> form of </w:t>
      </w:r>
      <w:proofErr w:type="spellStart"/>
      <w:r w:rsidRPr="00B1089D">
        <w:t>masculinity</w:t>
      </w:r>
      <w:proofErr w:type="spellEnd"/>
      <w:r w:rsidRPr="00B1089D">
        <w:t xml:space="preserve"> is </w:t>
      </w:r>
      <w:proofErr w:type="spellStart"/>
      <w:r w:rsidRPr="00B1089D">
        <w:t>shaped</w:t>
      </w:r>
      <w:proofErr w:type="spellEnd"/>
      <w:r w:rsidRPr="00B1089D">
        <w:t xml:space="preserve"> in </w:t>
      </w:r>
      <w:proofErr w:type="spellStart"/>
      <w:r w:rsidRPr="00B1089D">
        <w:t>society</w:t>
      </w:r>
      <w:proofErr w:type="spellEnd"/>
      <w:r w:rsidRPr="00B1089D">
        <w:t xml:space="preserve"> </w:t>
      </w:r>
      <w:proofErr w:type="spellStart"/>
      <w:r w:rsidRPr="00B1089D">
        <w:t>and</w:t>
      </w:r>
      <w:proofErr w:type="spellEnd"/>
      <w:r w:rsidRPr="00B1089D">
        <w:t xml:space="preserve"> how it </w:t>
      </w:r>
      <w:proofErr w:type="spellStart"/>
      <w:r w:rsidRPr="00B1089D">
        <w:t>finds</w:t>
      </w:r>
      <w:proofErr w:type="spellEnd"/>
      <w:r w:rsidRPr="00B1089D">
        <w:t xml:space="preserve"> a </w:t>
      </w:r>
      <w:proofErr w:type="spellStart"/>
      <w:r w:rsidRPr="00B1089D">
        <w:t>place</w:t>
      </w:r>
      <w:proofErr w:type="spellEnd"/>
      <w:r w:rsidRPr="00B1089D">
        <w:t xml:space="preserve"> in </w:t>
      </w:r>
      <w:proofErr w:type="spellStart"/>
      <w:r w:rsidRPr="00B1089D">
        <w:t>social</w:t>
      </w:r>
      <w:proofErr w:type="spellEnd"/>
      <w:r w:rsidRPr="00B1089D">
        <w:t xml:space="preserve"> </w:t>
      </w:r>
      <w:proofErr w:type="spellStart"/>
      <w:r w:rsidRPr="00B1089D">
        <w:t>practices</w:t>
      </w:r>
      <w:proofErr w:type="spellEnd"/>
      <w:r w:rsidRPr="00B1089D">
        <w:t xml:space="preserve">. </w:t>
      </w:r>
      <w:proofErr w:type="spellStart"/>
      <w:r w:rsidRPr="00B1089D">
        <w:t>The</w:t>
      </w:r>
      <w:proofErr w:type="spellEnd"/>
      <w:r w:rsidRPr="00B1089D">
        <w:t xml:space="preserve"> </w:t>
      </w:r>
      <w:proofErr w:type="spellStart"/>
      <w:r w:rsidRPr="00B1089D">
        <w:t>study</w:t>
      </w:r>
      <w:proofErr w:type="spellEnd"/>
      <w:r w:rsidRPr="00B1089D">
        <w:t xml:space="preserve"> </w:t>
      </w:r>
      <w:proofErr w:type="spellStart"/>
      <w:r w:rsidRPr="00B1089D">
        <w:t>will</w:t>
      </w:r>
      <w:proofErr w:type="spellEnd"/>
      <w:r w:rsidRPr="00B1089D">
        <w:t xml:space="preserve"> </w:t>
      </w:r>
      <w:proofErr w:type="spellStart"/>
      <w:r w:rsidRPr="00B1089D">
        <w:t>emphasize</w:t>
      </w:r>
      <w:proofErr w:type="spellEnd"/>
      <w:r w:rsidRPr="00B1089D">
        <w:t xml:space="preserve"> </w:t>
      </w:r>
      <w:proofErr w:type="spellStart"/>
      <w:r w:rsidRPr="00B1089D">
        <w:t>the</w:t>
      </w:r>
      <w:proofErr w:type="spellEnd"/>
      <w:r w:rsidRPr="00B1089D">
        <w:t xml:space="preserve"> </w:t>
      </w:r>
      <w:proofErr w:type="spellStart"/>
      <w:r w:rsidRPr="00B1089D">
        <w:t>need</w:t>
      </w:r>
      <w:proofErr w:type="spellEnd"/>
      <w:r w:rsidRPr="00B1089D">
        <w:t xml:space="preserve"> </w:t>
      </w:r>
      <w:proofErr w:type="spellStart"/>
      <w:r w:rsidRPr="00B1089D">
        <w:t>for</w:t>
      </w:r>
      <w:proofErr w:type="spellEnd"/>
      <w:r w:rsidRPr="00B1089D">
        <w:t xml:space="preserve"> </w:t>
      </w:r>
      <w:proofErr w:type="spellStart"/>
      <w:r w:rsidRPr="00B1089D">
        <w:t>more</w:t>
      </w:r>
      <w:proofErr w:type="spellEnd"/>
      <w:r w:rsidRPr="00B1089D">
        <w:t xml:space="preserve"> </w:t>
      </w:r>
      <w:proofErr w:type="spellStart"/>
      <w:r w:rsidRPr="00B1089D">
        <w:t>research</w:t>
      </w:r>
      <w:proofErr w:type="spellEnd"/>
      <w:r w:rsidRPr="00B1089D">
        <w:t xml:space="preserve"> on </w:t>
      </w:r>
      <w:proofErr w:type="spellStart"/>
      <w:r w:rsidRPr="00B1089D">
        <w:t>secondary</w:t>
      </w:r>
      <w:proofErr w:type="spellEnd"/>
      <w:r w:rsidRPr="00B1089D">
        <w:t xml:space="preserve"> </w:t>
      </w:r>
      <w:proofErr w:type="spellStart"/>
      <w:r w:rsidRPr="00B1089D">
        <w:t>masculinities</w:t>
      </w:r>
      <w:proofErr w:type="spellEnd"/>
      <w:r w:rsidRPr="00B1089D">
        <w:t xml:space="preserve"> in </w:t>
      </w:r>
      <w:proofErr w:type="spellStart"/>
      <w:r w:rsidRPr="00B1089D">
        <w:t>academic</w:t>
      </w:r>
      <w:proofErr w:type="spellEnd"/>
      <w:r w:rsidRPr="00B1089D">
        <w:t xml:space="preserve"> </w:t>
      </w:r>
      <w:proofErr w:type="spellStart"/>
      <w:r w:rsidRPr="00B1089D">
        <w:t>literature</w:t>
      </w:r>
      <w:proofErr w:type="spellEnd"/>
      <w:r w:rsidRPr="00B1089D">
        <w:t xml:space="preserve"> </w:t>
      </w:r>
      <w:proofErr w:type="spellStart"/>
      <w:r w:rsidRPr="00B1089D">
        <w:t>and</w:t>
      </w:r>
      <w:proofErr w:type="spellEnd"/>
      <w:r w:rsidRPr="00B1089D">
        <w:t xml:space="preserve"> </w:t>
      </w:r>
      <w:proofErr w:type="spellStart"/>
      <w:r w:rsidRPr="00B1089D">
        <w:t>the</w:t>
      </w:r>
      <w:proofErr w:type="spellEnd"/>
      <w:r w:rsidRPr="00B1089D">
        <w:t xml:space="preserve"> </w:t>
      </w:r>
      <w:proofErr w:type="spellStart"/>
      <w:r w:rsidRPr="00B1089D">
        <w:t>importance</w:t>
      </w:r>
      <w:proofErr w:type="spellEnd"/>
      <w:r w:rsidRPr="00B1089D">
        <w:t xml:space="preserve"> of a </w:t>
      </w:r>
      <w:proofErr w:type="spellStart"/>
      <w:r w:rsidRPr="00B1089D">
        <w:t>more</w:t>
      </w:r>
      <w:proofErr w:type="spellEnd"/>
      <w:r w:rsidRPr="00B1089D">
        <w:t xml:space="preserve"> </w:t>
      </w:r>
      <w:proofErr w:type="spellStart"/>
      <w:r w:rsidRPr="00B1089D">
        <w:t>multifaceted</w:t>
      </w:r>
      <w:proofErr w:type="spellEnd"/>
      <w:r w:rsidRPr="00B1089D">
        <w:t xml:space="preserve"> </w:t>
      </w:r>
      <w:proofErr w:type="spellStart"/>
      <w:r w:rsidRPr="00B1089D">
        <w:t>approach</w:t>
      </w:r>
      <w:proofErr w:type="spellEnd"/>
      <w:r w:rsidRPr="00B1089D">
        <w:t xml:space="preserve"> </w:t>
      </w:r>
      <w:proofErr w:type="spellStart"/>
      <w:r w:rsidRPr="00B1089D">
        <w:t>to</w:t>
      </w:r>
      <w:proofErr w:type="spellEnd"/>
      <w:r w:rsidRPr="00B1089D">
        <w:t xml:space="preserve"> </w:t>
      </w:r>
      <w:proofErr w:type="spellStart"/>
      <w:r w:rsidRPr="00B1089D">
        <w:t>gender</w:t>
      </w:r>
      <w:proofErr w:type="spellEnd"/>
      <w:r w:rsidRPr="00B1089D">
        <w:t xml:space="preserve"> </w:t>
      </w:r>
      <w:proofErr w:type="spellStart"/>
      <w:r w:rsidRPr="00B1089D">
        <w:t>studies</w:t>
      </w:r>
      <w:proofErr w:type="spellEnd"/>
      <w:r w:rsidRPr="00B1089D">
        <w:rPr>
          <w:b/>
          <w:bCs/>
        </w:rPr>
        <w:t>.</w:t>
      </w:r>
    </w:p>
    <w:p w14:paraId="71A73263" w14:textId="77777777" w:rsidR="00FA457D" w:rsidRPr="00B1089D" w:rsidRDefault="00FA457D" w:rsidP="00F977D7">
      <w:pPr>
        <w:widowControl/>
        <w:jc w:val="both"/>
      </w:pPr>
    </w:p>
    <w:p w14:paraId="3644EC63" w14:textId="77777777" w:rsidR="00FA457D" w:rsidRPr="00B1089D" w:rsidRDefault="00FA457D" w:rsidP="00F977D7">
      <w:pPr>
        <w:widowControl/>
        <w:jc w:val="both"/>
      </w:pPr>
      <w:proofErr w:type="spellStart"/>
      <w:r w:rsidRPr="00D10870">
        <w:rPr>
          <w:b/>
          <w:bCs/>
        </w:rPr>
        <w:t>Keywords</w:t>
      </w:r>
      <w:proofErr w:type="spellEnd"/>
      <w:r w:rsidRPr="00B1089D">
        <w:rPr>
          <w:b/>
          <w:bCs/>
        </w:rPr>
        <w:t xml:space="preserve">: </w:t>
      </w:r>
      <w:proofErr w:type="spellStart"/>
      <w:r w:rsidRPr="00B1089D">
        <w:t>Masculinity</w:t>
      </w:r>
      <w:proofErr w:type="spellEnd"/>
      <w:r w:rsidRPr="00B1089D">
        <w:t xml:space="preserve"> </w:t>
      </w:r>
      <w:proofErr w:type="spellStart"/>
      <w:r w:rsidRPr="00B1089D">
        <w:t>studies</w:t>
      </w:r>
      <w:proofErr w:type="spellEnd"/>
      <w:r w:rsidRPr="00B1089D">
        <w:t xml:space="preserve">, </w:t>
      </w:r>
      <w:proofErr w:type="spellStart"/>
      <w:r w:rsidRPr="00B1089D">
        <w:t>subaltern</w:t>
      </w:r>
      <w:proofErr w:type="spellEnd"/>
      <w:r w:rsidRPr="00B1089D">
        <w:t xml:space="preserve"> </w:t>
      </w:r>
      <w:proofErr w:type="spellStart"/>
      <w:r w:rsidRPr="00B1089D">
        <w:t>masculinity</w:t>
      </w:r>
      <w:proofErr w:type="spellEnd"/>
      <w:r w:rsidRPr="00B1089D">
        <w:t xml:space="preserve">, Murathan Mungan, </w:t>
      </w:r>
      <w:proofErr w:type="spellStart"/>
      <w:r w:rsidRPr="00B1089D">
        <w:t>short</w:t>
      </w:r>
      <w:proofErr w:type="spellEnd"/>
      <w:r w:rsidRPr="00B1089D">
        <w:t xml:space="preserve"> </w:t>
      </w:r>
      <w:proofErr w:type="spellStart"/>
      <w:r w:rsidRPr="00B1089D">
        <w:t>story</w:t>
      </w:r>
      <w:proofErr w:type="spellEnd"/>
    </w:p>
    <w:p w14:paraId="0D2D6583" w14:textId="77777777" w:rsidR="00FA457D" w:rsidRPr="00B1089D" w:rsidRDefault="00FA457D" w:rsidP="00FA457D">
      <w:pPr>
        <w:widowControl/>
      </w:pPr>
    </w:p>
    <w:p w14:paraId="219C1A60" w14:textId="77777777" w:rsidR="00FA457D" w:rsidRPr="00B1089D" w:rsidRDefault="00FA457D" w:rsidP="00FA457D">
      <w:pPr>
        <w:widowControl/>
      </w:pPr>
      <w:r w:rsidRPr="00B1089D">
        <w:rPr>
          <w:b/>
          <w:bCs/>
        </w:rPr>
        <w:t>GİRİŞ</w:t>
      </w:r>
    </w:p>
    <w:p w14:paraId="7CAC88CC" w14:textId="72E068A2" w:rsidR="00FA457D" w:rsidRPr="00B1089D" w:rsidRDefault="00FA457D" w:rsidP="00FA457D">
      <w:pPr>
        <w:widowControl/>
      </w:pPr>
      <w:r w:rsidRPr="00B1089D">
        <w:rPr>
          <w:i/>
          <w:iCs/>
        </w:rPr>
        <w:t>“Bazı erkekler meçhuldür daha yaşarken</w:t>
      </w:r>
      <w:r w:rsidRPr="00B1089D">
        <w:t xml:space="preserve"> </w:t>
      </w:r>
      <w:r w:rsidRPr="00B1089D">
        <w:rPr>
          <w:i/>
          <w:iCs/>
        </w:rPr>
        <w:t>ötekilerden”</w:t>
      </w:r>
    </w:p>
    <w:p w14:paraId="0208F598" w14:textId="261AF86D" w:rsidR="00FA457D" w:rsidRPr="00B1089D" w:rsidRDefault="00FA457D" w:rsidP="00FA457D">
      <w:pPr>
        <w:widowControl/>
      </w:pPr>
      <w:r w:rsidRPr="00B1089D">
        <w:rPr>
          <w:i/>
          <w:iCs/>
        </w:rPr>
        <w:t>Murathan Mungan (Erkekler için Divan)</w:t>
      </w:r>
    </w:p>
    <w:p w14:paraId="2CC288E2" w14:textId="77777777" w:rsidR="00FA457D" w:rsidRPr="00B1089D" w:rsidRDefault="00FA457D" w:rsidP="00FA457D">
      <w:pPr>
        <w:widowControl/>
      </w:pPr>
    </w:p>
    <w:p w14:paraId="3E0A1694" w14:textId="73B944E3" w:rsidR="00FA457D" w:rsidRPr="00D10870" w:rsidRDefault="00FA457D" w:rsidP="00F977D7">
      <w:pPr>
        <w:widowControl/>
        <w:jc w:val="both"/>
      </w:pPr>
      <w:r w:rsidRPr="00B1089D">
        <w:t xml:space="preserve">Murathan Mungan Türk edebiyatında kaleminin kıvraklığının yanında yazınsal üretimlerini sosyolojik ve psikolojik analizleriyle de zenginleştirmeyi başarabilen güzide yazarlardan biridir. Kadın ve erkek kimlikleri üzerine yazılan eserlerinin çokluğuna bakılarak da Mungan’ın toplumsal cinsiyeti, homofobiyi, </w:t>
      </w:r>
      <w:proofErr w:type="spellStart"/>
      <w:r w:rsidRPr="00B1089D">
        <w:t>ataerkiyi</w:t>
      </w:r>
      <w:proofErr w:type="spellEnd"/>
      <w:r w:rsidRPr="00B1089D">
        <w:t xml:space="preserve"> dert ettiği pekâlâ söylenebilir. Yazarın gerek kendi yazdığı eserlerinde gerekse başka yazarlarca kaleme alınan derleme öykülerde salt bu amacı gütmemekle birlikte cinsiyetler/cinsel yönelimler üzerinden madun kimliğini karakterlerinde fazlaca kullanan bir yazardır.</w:t>
      </w:r>
    </w:p>
    <w:p w14:paraId="2410F965" w14:textId="77777777" w:rsidR="00FA457D" w:rsidRPr="00B1089D" w:rsidRDefault="00FA457D" w:rsidP="00F977D7">
      <w:pPr>
        <w:widowControl/>
        <w:jc w:val="both"/>
      </w:pPr>
    </w:p>
    <w:p w14:paraId="3A3C5210" w14:textId="77777777" w:rsidR="00FA457D" w:rsidRPr="00D10870" w:rsidRDefault="00FA457D" w:rsidP="00F977D7">
      <w:pPr>
        <w:widowControl/>
        <w:jc w:val="both"/>
      </w:pPr>
      <w:r w:rsidRPr="00B1089D">
        <w:t xml:space="preserve">Bu çalışmanın amacı da, dünyada ve ülkemizde yeni bir çalışma alanı olarak gelişen erkeklik çalışmalarının seçkide yer alan Pınar Kür’e ait “Kısa Yol Yolcusu”, Ayfer Tunç’a ait “Kadın Hikayeleri Yüzünden” ve Polat </w:t>
      </w:r>
      <w:proofErr w:type="spellStart"/>
      <w:r w:rsidRPr="00B1089D">
        <w:t>Özlüoğlu’na</w:t>
      </w:r>
      <w:proofErr w:type="spellEnd"/>
      <w:r w:rsidRPr="00B1089D">
        <w:t xml:space="preserve"> ait “Evde Bekleyen Biri” isimli öyküler üzerinden analizinin yapılarak hegemonik erkekliğin dışında bırakılarak ötekileştirilen erkekleri ‘yalnızlık’ a iten temel argümanların bir ruh halinden ziyade kültürel açıdan incelemek ve madun olarak nitelendirebilecek erkeklerin iktidar ile dikey ilişkisini tartışmaya açmaktır.</w:t>
      </w:r>
    </w:p>
    <w:p w14:paraId="3724F665" w14:textId="77777777" w:rsidR="00FA457D" w:rsidRPr="00B1089D" w:rsidRDefault="00FA457D" w:rsidP="00F977D7">
      <w:pPr>
        <w:widowControl/>
        <w:jc w:val="both"/>
      </w:pPr>
    </w:p>
    <w:p w14:paraId="200D5E94" w14:textId="2594A9C2" w:rsidR="00FA457D" w:rsidRPr="00B1089D" w:rsidRDefault="00FA457D" w:rsidP="00F977D7">
      <w:pPr>
        <w:widowControl/>
        <w:jc w:val="both"/>
      </w:pPr>
      <w:r w:rsidRPr="00B1089D">
        <w:t xml:space="preserve">Elbette ki öykü analizlerine geçmeden evvel dayanılan argümanların kuramsal çerçevesi anlatılacaktır. Erkeklik çalışmaları erkekliğin tarihsel, kültürel ve toplumsal bir kurgu olduğundan hareketle, eril iktidarın kaynaklarına ve farklı tezahürlerine ışık tutmayı amaçlayan disiplinler arası bir akademik çalışma alanıdır. Kuramsal çerçevede öyküler </w:t>
      </w:r>
      <w:proofErr w:type="spellStart"/>
      <w:r w:rsidRPr="00B1089D">
        <w:t>maduniyet</w:t>
      </w:r>
      <w:proofErr w:type="spellEnd"/>
      <w:r w:rsidRPr="00B1089D">
        <w:t xml:space="preserve"> üzerinden analiz edilecektir. Bu çalışmada nitel bir araştırma yöntemi olan metin analizi kullanılmıştır. Çalışmanın nitel araştırma yöntem ve teknikleri kullanılarak yapılmasının temel nedeni, araştırmanın konusu ve amacına uygun olmasıdır. Birincil kaynak olarak yazarın derleme öykü kitabı esas alınmıştır. Yazar hakkında yapılmış çalışmalar ve kuramsal tartışmalar için basılı ve dijital ortamlardan edinilen kaynaklar kullanılmıştır.</w:t>
      </w:r>
    </w:p>
    <w:p w14:paraId="3BF21E18" w14:textId="53414387" w:rsidR="00FA457D" w:rsidRPr="00D10870" w:rsidRDefault="00FA457D" w:rsidP="00F977D7">
      <w:pPr>
        <w:widowControl/>
        <w:jc w:val="both"/>
      </w:pPr>
      <w:proofErr w:type="spellStart"/>
      <w:r w:rsidRPr="00B1089D">
        <w:t>Maduniyet</w:t>
      </w:r>
      <w:proofErr w:type="spellEnd"/>
      <w:r w:rsidRPr="00B1089D">
        <w:t xml:space="preserve"> ve erkeklik çalışmaları başlığında da madun erkeklikler üzerine ülkemizdeki çalışmalar kısıtlıdır. </w:t>
      </w:r>
      <w:proofErr w:type="spellStart"/>
      <w:r w:rsidRPr="00B1089D">
        <w:t>Maduniyet</w:t>
      </w:r>
      <w:proofErr w:type="spellEnd"/>
      <w:r w:rsidRPr="00B1089D">
        <w:t xml:space="preserve"> kavramının çalışmanın ekseninden daha geniş bir anlam içermesi sınırlandırmayı zorlaştırmıştır. Edebi eserlerde erkeklik konusunun çalışılması örneklem konusunda yol gösterici olsa da madun erkekliklere en fazla bir paragraf halinde değinilmesi konuları ortak bir potada eriterek tamamlama noktasında güçlüğe neden olmuştur. </w:t>
      </w:r>
      <w:proofErr w:type="spellStart"/>
      <w:r w:rsidRPr="00B1089D">
        <w:t>Maduniyete</w:t>
      </w:r>
      <w:proofErr w:type="spellEnd"/>
      <w:r w:rsidRPr="00B1089D">
        <w:t xml:space="preserve"> ve erkekliğe ilişkin çalışmaların ekseriyetle anadil dışında olması çalışmayı sınırlamıştır. Çalışmanın bu kısmı içerisinde Murathan Mungan’ın Erkeklikler Yalnızlıklar isimli seçki öykü kitabında bulunan öykülerde madun erkek olarak tasvir edilebilecek erkek karakterleri hegemonik erkeklikten uzaklaştıran fiziksel, ekonomik, sosyolojik zeminlerin yansımaları incelenecektir.</w:t>
      </w:r>
    </w:p>
    <w:p w14:paraId="52795FC0" w14:textId="77777777" w:rsidR="00FA457D" w:rsidRPr="00B1089D" w:rsidRDefault="00FA457D" w:rsidP="00F977D7">
      <w:pPr>
        <w:widowControl/>
        <w:jc w:val="both"/>
      </w:pPr>
    </w:p>
    <w:p w14:paraId="155B2B35" w14:textId="77777777" w:rsidR="00FA457D" w:rsidRPr="00B1089D" w:rsidRDefault="00FA457D" w:rsidP="00F977D7">
      <w:pPr>
        <w:widowControl/>
        <w:jc w:val="both"/>
      </w:pPr>
      <w:r w:rsidRPr="00B1089D">
        <w:rPr>
          <w:b/>
          <w:bCs/>
        </w:rPr>
        <w:t>1. TOPLUMSAL CİNSİYET VE ERKEKLİK</w:t>
      </w:r>
    </w:p>
    <w:p w14:paraId="65955DA7" w14:textId="09C879E6" w:rsidR="00FA457D" w:rsidRPr="00B1089D" w:rsidRDefault="00FA457D" w:rsidP="00F977D7">
      <w:pPr>
        <w:widowControl/>
        <w:jc w:val="both"/>
      </w:pPr>
      <w:r w:rsidRPr="00B1089D">
        <w:t>Feminizmin dünya çapında yükselen bir hareket olmasından dolayı feministler cinsiyet eşitsizliği ve erkek egemen iktidarın handikaplarına ve kadınların ataerkil düzende ikinci sınıf konumlanışına ilişkin düşünceler üreterek birçok toplumsal eylemin ve düşüncenin omurgasını oluşturmuştur. Toplumsal cinsiyet çalışmaları ilk olarak kadın hakları mücadelesiyle başlamıştır. 1970’lerden itibaren Kadın Çalışmaları ile toplumsal cinsiyet bağlamında feminist çalışmalar değişiklik göstermiştir. Kadınların mekâna, zamana, kültüre, coğrafyaya göre farklı kadınlık modelleri deneyimlediği görülmüştür. (</w:t>
      </w:r>
      <w:proofErr w:type="spellStart"/>
      <w:r w:rsidRPr="00B1089D">
        <w:t>Topcu</w:t>
      </w:r>
      <w:proofErr w:type="spellEnd"/>
      <w:r w:rsidRPr="00B1089D">
        <w:t>, 2012:1)</w:t>
      </w:r>
    </w:p>
    <w:p w14:paraId="2E36C1DC" w14:textId="6AF91696" w:rsidR="00FA457D" w:rsidRPr="00D10870" w:rsidRDefault="00FA457D" w:rsidP="00F977D7">
      <w:pPr>
        <w:widowControl/>
        <w:jc w:val="both"/>
      </w:pPr>
      <w:r w:rsidRPr="00B1089D">
        <w:t>Simone de Beauvoir “kadın doğulmaz kadın olunur” sözüyle biyolojik indirgemeciliğin ötesinde bir cinsiyet kavramına atıf yapmıştır. Feminist literatürde de kadınlık ve erkekliğin doğuştan gelen bir anatomik özellik olmadığı, insanların toplum içinde öğrendiği kültür tarafından inşa edilen bir süreç olduğu kabul edilmektedir. Toplumsal ilişkiler biyolojik özellikler olarak atfedilen eril ve dişil kavramlarından çok daha farklı manada bu özellikleri bünyesinde konumlanmaktadır. Serpil Sancar (2013) bunu cinsiyetlendirilmiş toplumsallık olarak ifade etmektedir.</w:t>
      </w:r>
    </w:p>
    <w:p w14:paraId="05B7E7DF" w14:textId="77777777" w:rsidR="00FA457D" w:rsidRPr="00B1089D" w:rsidRDefault="00FA457D" w:rsidP="00F977D7">
      <w:pPr>
        <w:widowControl/>
        <w:jc w:val="both"/>
      </w:pPr>
    </w:p>
    <w:p w14:paraId="7B470C68" w14:textId="77777777" w:rsidR="00FA457D" w:rsidRPr="00D10870" w:rsidRDefault="00FA457D" w:rsidP="00F977D7">
      <w:pPr>
        <w:widowControl/>
        <w:jc w:val="both"/>
      </w:pPr>
      <w:proofErr w:type="spellStart"/>
      <w:r w:rsidRPr="00B1089D">
        <w:t>Gramsci’nin</w:t>
      </w:r>
      <w:proofErr w:type="spellEnd"/>
      <w:r w:rsidRPr="00B1089D">
        <w:t xml:space="preserve"> kültürel hegemonya teorisi de toplumda var olan eşitsiz durumun aksinin düşünülemeyeceği ve doğal olduğu algısı oluşturulduğu ve bu hegemonyanın devamlılığını sağladığını ifade eder. Kadın ve erkek arasındaki toplumsal konum ve eylemlerin eşitliği </w:t>
      </w:r>
      <w:r w:rsidRPr="00B1089D">
        <w:lastRenderedPageBreak/>
        <w:t xml:space="preserve">açısından makas böylece açılmaktadır. </w:t>
      </w:r>
      <w:proofErr w:type="spellStart"/>
      <w:r w:rsidRPr="00B1089D">
        <w:t>Connell’a</w:t>
      </w:r>
      <w:proofErr w:type="spellEnd"/>
      <w:r w:rsidRPr="00B1089D">
        <w:t xml:space="preserve"> göre erkeklerin iktidarını sürdürmesini sağlayıcı üç unsur; cinsiyete dayalı iş bölümü (üretim ilişkileri), erkeklerin güç pozisyonlarını elinde tutması, patriarkal kurumlarda söz sahibi olması (ataerki) ve </w:t>
      </w:r>
      <w:proofErr w:type="spellStart"/>
      <w:r w:rsidRPr="00B1089D">
        <w:t>kateksis</w:t>
      </w:r>
      <w:proofErr w:type="spellEnd"/>
      <w:r w:rsidRPr="00B1089D">
        <w:t xml:space="preserve"> adını verdiği cinsel arzunun şekillendiği toplumsal ilişkilerdir. Bu sistem dahilinde kadınlar boyun eğen ve erkeklere tabi olan konumundadır.</w:t>
      </w:r>
    </w:p>
    <w:p w14:paraId="6FB3ED09" w14:textId="77777777" w:rsidR="00FA457D" w:rsidRPr="00B1089D" w:rsidRDefault="00FA457D" w:rsidP="00F977D7">
      <w:pPr>
        <w:widowControl/>
        <w:jc w:val="both"/>
      </w:pPr>
    </w:p>
    <w:p w14:paraId="64996AD4" w14:textId="70E474DF" w:rsidR="00FA457D" w:rsidRPr="00D10870" w:rsidRDefault="00FA457D" w:rsidP="00F977D7">
      <w:pPr>
        <w:widowControl/>
        <w:jc w:val="both"/>
      </w:pPr>
      <w:proofErr w:type="spellStart"/>
      <w:r w:rsidRPr="00B1089D">
        <w:t>Connell</w:t>
      </w:r>
      <w:proofErr w:type="spellEnd"/>
      <w:r w:rsidRPr="00B1089D">
        <w:t xml:space="preserve"> toplumsal cinsiyet eşitsizliklerini yalnızca kadınların değil ayrıcalıklı kesimi oluşturan erkeklerin de anlaşılması gerektiğini vurgulamaktadır. Sancar’a göre ise, artık bu eşitsizlikle mücadele alanında sadece kadınları barındıran feminist argümanlar geçerliliğini yitirmiş olup eşitliğin sağlanmasında ataerki ile, eril iktidar sistemleri ile mücadelede erkeklerin de olması gerektiğinin altını çizmiştir.</w:t>
      </w:r>
    </w:p>
    <w:p w14:paraId="6CA42AE5" w14:textId="77777777" w:rsidR="00FA457D" w:rsidRPr="00B1089D" w:rsidRDefault="00FA457D" w:rsidP="00F977D7">
      <w:pPr>
        <w:widowControl/>
        <w:jc w:val="both"/>
      </w:pPr>
    </w:p>
    <w:p w14:paraId="710E71E6" w14:textId="77777777" w:rsidR="00FA457D" w:rsidRPr="00B1089D" w:rsidRDefault="00FA457D" w:rsidP="00F977D7">
      <w:pPr>
        <w:widowControl/>
        <w:jc w:val="both"/>
      </w:pPr>
      <w:r w:rsidRPr="00B1089D">
        <w:rPr>
          <w:b/>
          <w:bCs/>
        </w:rPr>
        <w:t>1.1.ERKEKLİK ÇALIŞMALARI</w:t>
      </w:r>
    </w:p>
    <w:p w14:paraId="5234752C" w14:textId="77777777" w:rsidR="00FA457D" w:rsidRPr="00D10870" w:rsidRDefault="00FA457D" w:rsidP="00F977D7">
      <w:pPr>
        <w:widowControl/>
        <w:jc w:val="both"/>
      </w:pPr>
      <w:r w:rsidRPr="00B1089D">
        <w:t xml:space="preserve">Erkeklik çalışmaları 1960’ların sonu 1970’lerin başında Amerika’da ortaya çıkmıştır. Ataerki ve erkek egemen dünyayı anlamak için kadın çalışmalarının yanında erkeklik çalışmalarının da yaygınlaşması, aslında çok da görünmez kılınan bir alanın aydınlatılması ve hegemonya altına alınan kadınların, çocukların yaşadıkları sorunların tespit edilebilmesi açısından önem arz etmektedir. (Cengiz &amp; Tol&amp; </w:t>
      </w:r>
      <w:proofErr w:type="spellStart"/>
      <w:r w:rsidRPr="00B1089D">
        <w:t>Küçükural</w:t>
      </w:r>
      <w:proofErr w:type="spellEnd"/>
      <w:r w:rsidRPr="00B1089D">
        <w:t xml:space="preserve"> 2004:50-53)</w:t>
      </w:r>
    </w:p>
    <w:p w14:paraId="417FF320" w14:textId="77777777" w:rsidR="00FA457D" w:rsidRPr="00B1089D" w:rsidRDefault="00FA457D" w:rsidP="00F977D7">
      <w:pPr>
        <w:widowControl/>
        <w:jc w:val="both"/>
      </w:pPr>
    </w:p>
    <w:p w14:paraId="649ED9CE" w14:textId="07647CEF" w:rsidR="00FA457D" w:rsidRPr="00D10870" w:rsidRDefault="00FA457D" w:rsidP="00F977D7">
      <w:pPr>
        <w:widowControl/>
        <w:jc w:val="both"/>
      </w:pPr>
      <w:r w:rsidRPr="00B1089D">
        <w:t>Erkeklik çalışmaları özellikle radikal feminizmin kadın ezilmişliğinin sebebinin erkekler ve ataerki olduğu savından etkilenmiştir. Ancak erkeklik araştırmaları feminizmin şemsiyesi altında toplanamamıştır, bunu ise Bozok (2009) erkeklerin feminist yapıyı varlıklarıyla bozacağı düşüncesi nedeniyle kadınlar tarafından erkeklerin bu alana dahil edilmemesi olarak belirtmiştir.</w:t>
      </w:r>
    </w:p>
    <w:p w14:paraId="3D16A31B" w14:textId="77777777" w:rsidR="00FA457D" w:rsidRPr="00B1089D" w:rsidRDefault="00FA457D" w:rsidP="00F977D7">
      <w:pPr>
        <w:widowControl/>
        <w:jc w:val="both"/>
      </w:pPr>
    </w:p>
    <w:p w14:paraId="287C1289" w14:textId="3519A249" w:rsidR="00FA457D" w:rsidRPr="00D10870" w:rsidRDefault="00FA457D" w:rsidP="00F977D7">
      <w:pPr>
        <w:widowControl/>
        <w:jc w:val="both"/>
      </w:pPr>
      <w:r w:rsidRPr="00B1089D">
        <w:t>Erkeklik, biyolojik bir olgu olmanın çok ötesindedir. Erkeklikle ilgili var olan inanç ve varsayımlar o toplumdaki iktidarlar tarafından beslenmektedir. Erkeklik norm ve alışkanlıklarını sırf biyolojik özelliklere indirgemek meselenin özünü yok etmektedir. Erkekliğe hasredilen şiddet ve cinsellik dürtüsü, hormonlar, bedensel güç ve farklılıklar erkeklik normlarının oluşmasını kısmen desteklese de tamamen sebebiyet vermemektedir. Serpil Sancar’ın (2013) çalışmasında da belirttiği gibi Türkiye’deki cinsiyet eşitsizliklerini besleyen hususlardan biri biyoloji temelli anlayışın toplumun alt kesiminden modern kesimine kadar benimsenmesidir. (</w:t>
      </w:r>
      <w:proofErr w:type="spellStart"/>
      <w:r w:rsidRPr="00B1089D">
        <w:t>Syf</w:t>
      </w:r>
      <w:proofErr w:type="spellEnd"/>
      <w:r w:rsidRPr="00B1089D">
        <w:t>: 305)</w:t>
      </w:r>
    </w:p>
    <w:p w14:paraId="3ADFCF70" w14:textId="77777777" w:rsidR="00FA457D" w:rsidRPr="00B1089D" w:rsidRDefault="00FA457D" w:rsidP="00F977D7">
      <w:pPr>
        <w:widowControl/>
        <w:jc w:val="both"/>
      </w:pPr>
    </w:p>
    <w:p w14:paraId="3725C1F9" w14:textId="77777777" w:rsidR="00FA457D" w:rsidRPr="00B1089D" w:rsidRDefault="00FA457D" w:rsidP="00F977D7">
      <w:pPr>
        <w:widowControl/>
        <w:jc w:val="both"/>
      </w:pPr>
      <w:r w:rsidRPr="00B1089D">
        <w:t xml:space="preserve">Erkeklikle alakalı yapılan literatür taramalarında, </w:t>
      </w:r>
      <w:proofErr w:type="spellStart"/>
      <w:r w:rsidRPr="00B1089D">
        <w:t>Connell</w:t>
      </w:r>
      <w:proofErr w:type="spellEnd"/>
      <w:r w:rsidRPr="00B1089D">
        <w:t xml:space="preserve">’ </w:t>
      </w:r>
      <w:proofErr w:type="spellStart"/>
      <w:r w:rsidRPr="00B1089D">
        <w:t>ın</w:t>
      </w:r>
      <w:proofErr w:type="spellEnd"/>
      <w:r w:rsidRPr="00B1089D">
        <w:t xml:space="preserve"> üzerinde çalıştığı hegemonik erkeklik ve hegemonik erkekliğe göre şekillenen karşıt erkekliklerin toplumdaki yeniden üretiminde rol alan unsurların çok çeşitli olduğu görülmüştür. Hegemonik erkeklik toplumda birçok noktada karşımıza çıkmaktadır. Kapitalist çalışma düzeninden futbol maçlarına, ev içi (ücretsiz) emek paylaşımından sanayideki iş gününün cinsiyetlendirilmesine, ataerkil düzende devam eden kırsal yaşam geleneklerinden şehir yaşantısındaki konuşlanmaya kadar günlük yaşantımız içinde de farkında olmadığımız kadar kendi çarkını döndürmektedir. Kuşkusuz ki, bu çarkın dönmesine hizmet eden şey, kavramı oluşturan kelimenin manasıdır. Zira hegemonik erkeklik denilen kavramdaki hegemonya </w:t>
      </w:r>
      <w:proofErr w:type="spellStart"/>
      <w:r w:rsidRPr="00B1089D">
        <w:t>Gramsci’nin</w:t>
      </w:r>
      <w:proofErr w:type="spellEnd"/>
      <w:r w:rsidRPr="00B1089D">
        <w:t xml:space="preserve"> kullandığı bir kavramdır. Hegemonyayı diktatörlükten ayıran şey rızadır. (</w:t>
      </w:r>
      <w:proofErr w:type="spellStart"/>
      <w:proofErr w:type="gramStart"/>
      <w:r w:rsidRPr="00B1089D">
        <w:t>Sığın,A</w:t>
      </w:r>
      <w:proofErr w:type="spellEnd"/>
      <w:r w:rsidRPr="00B1089D">
        <w:t>.</w:t>
      </w:r>
      <w:proofErr w:type="gramEnd"/>
      <w:r w:rsidRPr="00B1089D">
        <w:t xml:space="preserve">&amp; </w:t>
      </w:r>
      <w:proofErr w:type="spellStart"/>
      <w:r w:rsidRPr="00B1089D">
        <w:t>Canatan</w:t>
      </w:r>
      <w:proofErr w:type="spellEnd"/>
      <w:r w:rsidRPr="00B1089D">
        <w:t xml:space="preserve">, A. 2018:166) Erkeklik Simone de </w:t>
      </w:r>
      <w:proofErr w:type="spellStart"/>
      <w:r w:rsidRPr="00B1089D">
        <w:t>Beauvoir’in</w:t>
      </w:r>
      <w:proofErr w:type="spellEnd"/>
      <w:r w:rsidRPr="00B1089D">
        <w:t xml:space="preserve"> İkinci Cins kitabında bahsettiği üzere; kendi konumunu sorgulama dışı bırakmak için başka cinsiyet özelliklerinden bahseden bir iktidar unsurudur. (</w:t>
      </w:r>
      <w:proofErr w:type="spellStart"/>
      <w:proofErr w:type="gramStart"/>
      <w:r w:rsidRPr="00B1089D">
        <w:t>akt</w:t>
      </w:r>
      <w:proofErr w:type="spellEnd"/>
      <w:proofErr w:type="gramEnd"/>
      <w:r w:rsidRPr="00B1089D">
        <w:t xml:space="preserve">. Sancar, 2013:16) Dolayısıyla tanımlamalardan da anlaşılacağı üzere hegemonik erkeklikte bu erkeklik dışında </w:t>
      </w:r>
      <w:r w:rsidRPr="00B1089D">
        <w:lastRenderedPageBreak/>
        <w:t>kalan tüm erkeklik tipleri, erkek iktidarına tabi kadın ve dahi çocukların bu yapıya razı olduğu ya da edildiği, bu yapının rıza ile kendini yeniden ürettiği, toplumsal cinsiyet eşitsizliği ve eril tahakküm üzerinde yükseldiğini söylemek mümkündür.  (</w:t>
      </w:r>
      <w:proofErr w:type="spellStart"/>
      <w:r w:rsidRPr="00B1089D">
        <w:t>Messerschmidt</w:t>
      </w:r>
      <w:proofErr w:type="spellEnd"/>
      <w:r w:rsidRPr="00B1089D">
        <w:t xml:space="preserve">, 2019:132) Hegemonik erkeklikler belirli bir erkek tipini temsilden ziyade kadınlık, erkeklik ve kadın ve erkeklik ilişkileri arasındaki eşitsizlikleri sembolize ederler.  </w:t>
      </w:r>
      <w:proofErr w:type="spellStart"/>
      <w:r w:rsidRPr="00B1089D">
        <w:t>Connell’a</w:t>
      </w:r>
      <w:proofErr w:type="spellEnd"/>
      <w:r w:rsidRPr="00B1089D">
        <w:t xml:space="preserve"> göre:</w:t>
      </w:r>
    </w:p>
    <w:p w14:paraId="3E8F2F78" w14:textId="77777777" w:rsidR="00FA457D" w:rsidRPr="00D10870" w:rsidRDefault="00FA457D" w:rsidP="00F977D7">
      <w:pPr>
        <w:widowControl/>
        <w:jc w:val="both"/>
      </w:pPr>
      <w:r w:rsidRPr="00B1089D">
        <w:t>“Hegemonik erkeklik, daima kadınlarla ilgili olduğu kadar, ikincil konuma itilmiş çeşitli erkeklik biçimleriyle ilgili olarak da inşa edilmektedir.”  (</w:t>
      </w:r>
      <w:proofErr w:type="spellStart"/>
      <w:r w:rsidRPr="00B1089D">
        <w:t>Connell</w:t>
      </w:r>
      <w:proofErr w:type="spellEnd"/>
      <w:r w:rsidRPr="00B1089D">
        <w:t xml:space="preserve"> 2022:268, 271) “</w:t>
      </w:r>
      <w:proofErr w:type="spellStart"/>
      <w:r w:rsidRPr="00B1089D">
        <w:t>Erkeklik”in</w:t>
      </w:r>
      <w:proofErr w:type="spellEnd"/>
      <w:r w:rsidRPr="00B1089D">
        <w:t xml:space="preserve"> kurulmasında, kadınlar ile erkeklerin olduğu kadar, erkek ve diğer erkekler arasında da mutlaka bir iktidar örüntüsü mevcuttur.</w:t>
      </w:r>
    </w:p>
    <w:p w14:paraId="161CE969" w14:textId="77777777" w:rsidR="00FA457D" w:rsidRPr="00B1089D" w:rsidRDefault="00FA457D" w:rsidP="00F977D7">
      <w:pPr>
        <w:widowControl/>
        <w:jc w:val="both"/>
      </w:pPr>
    </w:p>
    <w:p w14:paraId="6E331A50" w14:textId="77777777" w:rsidR="00FA457D" w:rsidRPr="00B1089D" w:rsidRDefault="00FA457D" w:rsidP="00F977D7">
      <w:pPr>
        <w:widowControl/>
        <w:jc w:val="both"/>
      </w:pPr>
      <w:r w:rsidRPr="00B1089D">
        <w:rPr>
          <w:b/>
          <w:bCs/>
        </w:rPr>
        <w:t>1.2. CONNELL’IN ERKEKLİK TÜRLERİ</w:t>
      </w:r>
    </w:p>
    <w:p w14:paraId="39855F9B" w14:textId="77777777" w:rsidR="00FA457D" w:rsidRPr="00D10870" w:rsidRDefault="00FA457D" w:rsidP="00F977D7">
      <w:pPr>
        <w:widowControl/>
        <w:jc w:val="both"/>
      </w:pPr>
      <w:proofErr w:type="spellStart"/>
      <w:proofErr w:type="gramStart"/>
      <w:r w:rsidRPr="00B1089D">
        <w:t>Connell</w:t>
      </w:r>
      <w:proofErr w:type="spellEnd"/>
      <w:r w:rsidRPr="00B1089D">
        <w:t>,(</w:t>
      </w:r>
      <w:proofErr w:type="gramEnd"/>
      <w:r w:rsidRPr="00B1089D">
        <w:t xml:space="preserve">2019) birden fazla erkekliğin var olduğunu ve bunun kabulünden sonra bunlar arası ilişkilerin irdelenmesi gerektiğini söyler. </w:t>
      </w:r>
      <w:proofErr w:type="gramStart"/>
      <w:r w:rsidRPr="00B1089D">
        <w:t>syf</w:t>
      </w:r>
      <w:proofErr w:type="gramEnd"/>
      <w:r w:rsidRPr="00B1089D">
        <w:t>:149) bu irdeleme yapılırken toplumsal cinsiyet ilişkileri göz ardı edilmeksizin kadınlar ile erkekler analiz edildiği gibi erkekler ile erkekleri de kendi arasında karşılaştırmak gerekir.</w:t>
      </w:r>
    </w:p>
    <w:p w14:paraId="4CB1908E" w14:textId="77777777" w:rsidR="00FA457D" w:rsidRPr="00B1089D" w:rsidRDefault="00FA457D" w:rsidP="00F977D7">
      <w:pPr>
        <w:widowControl/>
        <w:jc w:val="both"/>
      </w:pPr>
    </w:p>
    <w:p w14:paraId="530369DB" w14:textId="33738C9B" w:rsidR="00FA457D" w:rsidRPr="00B1089D" w:rsidRDefault="00FA457D" w:rsidP="00F977D7">
      <w:pPr>
        <w:widowControl/>
        <w:jc w:val="both"/>
      </w:pPr>
      <w:r w:rsidRPr="00B1089D">
        <w:rPr>
          <w:b/>
          <w:bCs/>
        </w:rPr>
        <w:t>1.2.1 Hegemonik Erkeklik</w:t>
      </w:r>
    </w:p>
    <w:p w14:paraId="4500E155" w14:textId="72E5F816" w:rsidR="00FA457D" w:rsidRPr="00D10870" w:rsidRDefault="00FA457D" w:rsidP="00F977D7">
      <w:pPr>
        <w:widowControl/>
        <w:jc w:val="both"/>
      </w:pPr>
      <w:proofErr w:type="spellStart"/>
      <w:r w:rsidRPr="00B1089D">
        <w:t>Gramsci</w:t>
      </w:r>
      <w:proofErr w:type="spellEnd"/>
      <w:r w:rsidRPr="00B1089D">
        <w:t xml:space="preserve"> hegemonya terimini egemenin, ideolojisini güç kullanmaksızın toplumca kabul edilmesini açıklamak için ortaya atmıştır. Hegemonik erkeklik, kültürel alanda erkeklerin neden kadınlar ve bazı erkek hemcinslerine karşı baskın geldiğini anlamlandırmak amacıyla </w:t>
      </w:r>
      <w:proofErr w:type="spellStart"/>
      <w:r w:rsidRPr="00B1089D">
        <w:t>Connell</w:t>
      </w:r>
      <w:proofErr w:type="spellEnd"/>
      <w:r w:rsidRPr="00B1089D">
        <w:t xml:space="preserve"> tarafından erkeklik çalışmaları kapsamında ilk kez kullanılmıştır. </w:t>
      </w:r>
      <w:proofErr w:type="spellStart"/>
      <w:r w:rsidRPr="00B1089D">
        <w:t>Connell</w:t>
      </w:r>
      <w:proofErr w:type="spellEnd"/>
      <w:r w:rsidRPr="00B1089D">
        <w:t>, Avustralya’da lise öğrencileri arasındaki şiddet ve akran zorbalığını araştırırken birden fazla erkekliğin var olabileceğini ortaya çıkarmıştır. Hegemonik erkekler ataerkilliğin ayrıcalıklarıyla konumları güçlendirir ve egemen konumu işgal ederler. Bunu yaparken de kendilerine oluşturdukları zemini ikna ve rıza üzerine oturturlar. Kültürel bir inşa neticesinde meydana geldiği için hegemonik erkeklik değişip dönüştürülebilir.</w:t>
      </w:r>
    </w:p>
    <w:p w14:paraId="4DD14D80" w14:textId="77777777" w:rsidR="00FA457D" w:rsidRPr="00B1089D" w:rsidRDefault="00FA457D" w:rsidP="00F977D7">
      <w:pPr>
        <w:widowControl/>
        <w:jc w:val="both"/>
      </w:pPr>
    </w:p>
    <w:p w14:paraId="7196F63F" w14:textId="77777777" w:rsidR="00FA457D" w:rsidRPr="00B1089D" w:rsidRDefault="00FA457D" w:rsidP="00F977D7">
      <w:pPr>
        <w:widowControl/>
        <w:jc w:val="both"/>
      </w:pPr>
      <w:r w:rsidRPr="00B1089D">
        <w:t xml:space="preserve">Hegemonik erkekliğe süreklilik kazandıran toplumsal yapılar, devlet, yasa, heteroseksüellik, ordu, evlilik, iş yaşamı gibi pratikler olmazsa olmazdır. </w:t>
      </w:r>
      <w:proofErr w:type="spellStart"/>
      <w:r w:rsidRPr="00B1089D">
        <w:t>Gramsci’den</w:t>
      </w:r>
      <w:proofErr w:type="spellEnd"/>
      <w:r w:rsidRPr="00B1089D">
        <w:t xml:space="preserve"> alınan hegemonya kavramı zor ve şiddet ile değil, ikna ve rızayı içermektedir. Kadınsı özelliklerin dışlanması, cesaret, şiddet kullanma becerisi ve isteği, ekonomik ya da siyasi nüfuzun bulunması hegemonik erkekliği sürdüren unsurlardan belli başlılarıdır. Bu tahakkümün sürdürülmesi için güç, otorite, homofobik olma, heteroseksüel cinsel hayatta aktif olma, kadınsı özelliklerden uzak olma gibi özelliklerin taşınması önem arz etmektedir. Ancak bu özelliklerin taşınması zarureti de en çok hegemonik erkeklik idealine ulaşmaya çalışan erkeklere zarar vermektedir. Bell </w:t>
      </w:r>
      <w:proofErr w:type="spellStart"/>
      <w:r w:rsidRPr="00B1089D">
        <w:t>Hooks</w:t>
      </w:r>
      <w:proofErr w:type="spellEnd"/>
      <w:r w:rsidRPr="00B1089D">
        <w:t xml:space="preserve"> (2004) bunu;</w:t>
      </w:r>
    </w:p>
    <w:p w14:paraId="4771CB6B" w14:textId="7B6B65C4" w:rsidR="00FA457D" w:rsidRDefault="00FA457D" w:rsidP="00F977D7">
      <w:pPr>
        <w:widowControl/>
        <w:jc w:val="both"/>
      </w:pPr>
      <w:r w:rsidRPr="00B1089D">
        <w:t>“</w:t>
      </w:r>
      <w:r w:rsidRPr="00B1089D">
        <w:rPr>
          <w:i/>
          <w:iCs/>
        </w:rPr>
        <w:t>Ataerki, erkekleri bütünlükten vazgeçmeye ve inkara dayalı hayatlar yaşamaya teşvik eder. Kompartmanlara ayırma, duygularını gizleme ve bağ koparma becerilerini öğrenen erkekler, öyle olmadığı halde bütünlük içinde hareket ettiklerini düşünebilirler.”</w:t>
      </w:r>
      <w:r w:rsidRPr="00B1089D">
        <w:t xml:space="preserve"> şeklinde ifade ederek ataerkinin gölgesinde yaşayan erkeklerin, dinini bir kompartmana, işini ailesini diğer kompartmanlara yerleştirerek rahat ettiğini ancak bütünlüğün olmadan tam olmanın da mümkün olmayacağını ifade eder.</w:t>
      </w:r>
    </w:p>
    <w:p w14:paraId="06A99421" w14:textId="77777777" w:rsidR="00753D89" w:rsidRPr="00D10870" w:rsidRDefault="00753D89" w:rsidP="00F977D7">
      <w:pPr>
        <w:widowControl/>
        <w:jc w:val="both"/>
      </w:pPr>
    </w:p>
    <w:p w14:paraId="73959D83" w14:textId="77777777" w:rsidR="00FA457D" w:rsidRPr="00B1089D" w:rsidRDefault="00FA457D" w:rsidP="00F977D7">
      <w:pPr>
        <w:widowControl/>
        <w:jc w:val="both"/>
      </w:pPr>
    </w:p>
    <w:p w14:paraId="4DC89C08" w14:textId="77777777" w:rsidR="00FA457D" w:rsidRPr="00B1089D" w:rsidRDefault="00FA457D" w:rsidP="00F977D7">
      <w:pPr>
        <w:widowControl/>
        <w:jc w:val="both"/>
      </w:pPr>
      <w:r w:rsidRPr="00B1089D">
        <w:rPr>
          <w:b/>
          <w:bCs/>
        </w:rPr>
        <w:t>1.2.2. Suç Ortağı Erkeklik</w:t>
      </w:r>
    </w:p>
    <w:p w14:paraId="2416B90C" w14:textId="77777777" w:rsidR="00FA457D" w:rsidRPr="00D10870" w:rsidRDefault="00FA457D" w:rsidP="00F977D7">
      <w:pPr>
        <w:widowControl/>
        <w:jc w:val="both"/>
      </w:pPr>
      <w:proofErr w:type="spellStart"/>
      <w:r w:rsidRPr="00B1089D">
        <w:t>Connell’a</w:t>
      </w:r>
      <w:proofErr w:type="spellEnd"/>
      <w:r w:rsidRPr="00B1089D">
        <w:t xml:space="preserve"> göre “hegemonik erkekliğin miskin versiyonu” olarak tanımlanan suç ortağı erkeklik hegemonik erkek imgesine tam olarak uyum sağlamasa da </w:t>
      </w:r>
      <w:proofErr w:type="spellStart"/>
      <w:r w:rsidRPr="00B1089D">
        <w:t>ataerkiye</w:t>
      </w:r>
      <w:proofErr w:type="spellEnd"/>
      <w:r w:rsidRPr="00B1089D">
        <w:t xml:space="preserve"> onay veren ve bu onay </w:t>
      </w:r>
      <w:r w:rsidRPr="00B1089D">
        <w:lastRenderedPageBreak/>
        <w:t>sonucu menfaat elde eden erkeklerdir. Hegemonik erkeklik kalıplarının tamamını karşılamasa dahi ataerkinin gücünden faydalanırlar. Sancar, (2008) “eril fanteziler yoluyla zevk almayı odağına alan erkek eğlenceleri dünyasına katılma, kadınsı-eşcinsel erkeklere aşağılayıcı ve dışlayıcı davranma özgürlüğü, alt sınıf erkeklerin kızgınlıklarını boşaltmak için barlarda, sokaklarda, futbol maçlarında taşkınlık yapmalarına hoşgörü gösterme, erkeklerin kadınlar üzerinde sağladığı iktidardan yararlanma gibi ayrıcalıklardır bunlar.” diyerek örneklendirmiştir. (</w:t>
      </w:r>
      <w:proofErr w:type="gramStart"/>
      <w:r w:rsidRPr="00B1089D">
        <w:t>syf</w:t>
      </w:r>
      <w:proofErr w:type="gramEnd"/>
      <w:r w:rsidRPr="00B1089D">
        <w:t xml:space="preserve">:32) Bu erkekler </w:t>
      </w:r>
      <w:proofErr w:type="spellStart"/>
      <w:r w:rsidRPr="00B1089D">
        <w:t>ataerkiden</w:t>
      </w:r>
      <w:proofErr w:type="spellEnd"/>
      <w:r w:rsidRPr="00B1089D">
        <w:t xml:space="preserve"> verdikleri birtakım tavizler dolayısıyla erkeklik hiyerarşisinde ikincil konumdadır ancak konfor alanlarını da hegemonik erkeklik dinamiklerine borçludur.</w:t>
      </w:r>
    </w:p>
    <w:p w14:paraId="16C5C88B" w14:textId="77777777" w:rsidR="00FA457D" w:rsidRPr="00B1089D" w:rsidRDefault="00FA457D" w:rsidP="00F977D7">
      <w:pPr>
        <w:widowControl/>
        <w:jc w:val="both"/>
      </w:pPr>
    </w:p>
    <w:p w14:paraId="3CAB4567" w14:textId="77777777" w:rsidR="00FA457D" w:rsidRPr="00B1089D" w:rsidRDefault="00FA457D" w:rsidP="00F977D7">
      <w:pPr>
        <w:widowControl/>
        <w:jc w:val="both"/>
      </w:pPr>
      <w:r w:rsidRPr="00B1089D">
        <w:rPr>
          <w:b/>
          <w:bCs/>
        </w:rPr>
        <w:t>1.2.3. Madun Erkeklik</w:t>
      </w:r>
    </w:p>
    <w:p w14:paraId="11925025" w14:textId="77777777" w:rsidR="00FA457D" w:rsidRPr="00D10870" w:rsidRDefault="00FA457D" w:rsidP="00F977D7">
      <w:pPr>
        <w:widowControl/>
        <w:jc w:val="both"/>
      </w:pPr>
      <w:r w:rsidRPr="00B1089D">
        <w:t>Elbette ki sadece bir öykü kitabından yola çıkılarak literatürde tamamen boş bırakılmış bir alanla ilgili somut çıkarımlar yapılması mümkün görünmemektedir. Ancak hegemonik olanı tanıyarak, olmayan üzerinden çıkarımlarda bulunulmuştur. Cenk Özbay (2013) da çalışmasında belirttiği üzere belirli ipuçları yordamıyla hegemonik olan, onu idealize eden, pastadan payını alan ya da tamamen dışlanmış erkeklerin ampirik araştırmalardan ziyade belirli sorular ile bulunabileceğini ifade etmiştir. Dolayısıyla tam bir tespitten ziyade mefhum-u muhalifiyle toplumda karakterize olmuş ve madun olarak nitelenebilecek erkekliklerin öyküler yoluyla kavrama ışık tutabileceği varsayılmıştır.</w:t>
      </w:r>
    </w:p>
    <w:p w14:paraId="3519591C" w14:textId="77777777" w:rsidR="00FA457D" w:rsidRPr="00B1089D" w:rsidRDefault="00FA457D" w:rsidP="00F977D7">
      <w:pPr>
        <w:widowControl/>
        <w:jc w:val="both"/>
      </w:pPr>
    </w:p>
    <w:p w14:paraId="287C4D75" w14:textId="622C011E" w:rsidR="00FA457D" w:rsidRPr="00D10870" w:rsidRDefault="00FA457D" w:rsidP="00F977D7">
      <w:pPr>
        <w:widowControl/>
        <w:jc w:val="both"/>
      </w:pPr>
      <w:r w:rsidRPr="00B1089D">
        <w:t xml:space="preserve">Madun, ikinci bölümde ayrıntılı şekilde ele alındığı üzere, Arapça kökenli bir kelime olup alt, aşağı anlamında kullanılmaktadır. Madun kavramı, sadece dile yerleşmiş bir kavram olmanın da ötesinde bir kimlik olarak belli toplumsal değerlere erişmekte güçlük yaşayan kişi veya gruplar için kullanılmaktadır. (Köse, H. &amp; </w:t>
      </w:r>
      <w:proofErr w:type="spellStart"/>
      <w:proofErr w:type="gramStart"/>
      <w:r w:rsidRPr="00B1089D">
        <w:t>Çelik,A</w:t>
      </w:r>
      <w:proofErr w:type="spellEnd"/>
      <w:r w:rsidRPr="00B1089D">
        <w:t>.</w:t>
      </w:r>
      <w:proofErr w:type="gramEnd"/>
      <w:r w:rsidRPr="00B1089D">
        <w:t xml:space="preserve"> 2023:44)  Madun kelimesini literatüre kazandıran kişi </w:t>
      </w:r>
      <w:proofErr w:type="spellStart"/>
      <w:r w:rsidRPr="00B1089D">
        <w:t>Gramsci’dir</w:t>
      </w:r>
      <w:proofErr w:type="spellEnd"/>
      <w:r w:rsidRPr="00B1089D">
        <w:t xml:space="preserve">. </w:t>
      </w:r>
      <w:proofErr w:type="spellStart"/>
      <w:r w:rsidRPr="00B1089D">
        <w:t>Gramsci’den</w:t>
      </w:r>
      <w:proofErr w:type="spellEnd"/>
      <w:r w:rsidRPr="00B1089D">
        <w:t xml:space="preserve"> sonra birtakım Hintli tarihçiler bu kavramı postkolonyal bağlamda kullanmışlardır. (</w:t>
      </w:r>
      <w:proofErr w:type="spellStart"/>
      <w:r w:rsidRPr="00B1089D">
        <w:t>Manap</w:t>
      </w:r>
      <w:proofErr w:type="spellEnd"/>
      <w:r w:rsidRPr="00B1089D">
        <w:t xml:space="preserve">, H.M.) Madun toplum içinde dezavantajlı konumla özdeşleşmiş, kendine yabancılaşmıştır. Erkeklik çalışmaları kapsamında ise madun; hegemonik erkeklik özelliklerini taşımayan en alt tabaka erkekliği anlatmaktadır. </w:t>
      </w:r>
      <w:proofErr w:type="spellStart"/>
      <w:r w:rsidRPr="00B1089D">
        <w:t>Connell’ın</w:t>
      </w:r>
      <w:proofErr w:type="spellEnd"/>
      <w:r w:rsidRPr="00B1089D">
        <w:t xml:space="preserve"> (2019) hegemonik erkekliğin karşısında olarak tanımladığı diğer erkeklik türleri suç ortağı (işbirlikçi), marjinalleştirilmiş ve madun (tabi kılınan) erkekliklerdir. </w:t>
      </w:r>
      <w:proofErr w:type="spellStart"/>
      <w:r w:rsidRPr="00B1089D">
        <w:t>Connell</w:t>
      </w:r>
      <w:proofErr w:type="spellEnd"/>
      <w:r w:rsidRPr="00B1089D">
        <w:t xml:space="preserve"> bunlar arasındaki ilişkilerin de incelenmesi gerektiği görüşündedir. (2019:150) bu etkileşim incelenmeden varılacak her kanı eksik kalabilir; zira bir türe atfedilen özellikler diğer erkeklik sınıflandırılmalarında da görülebilir </w:t>
      </w:r>
      <w:proofErr w:type="gramStart"/>
      <w:r w:rsidRPr="00B1089D">
        <w:t>( Ayhan</w:t>
      </w:r>
      <w:proofErr w:type="gramEnd"/>
      <w:r w:rsidRPr="00B1089D">
        <w:t xml:space="preserve"> &amp; Barutçu 2023:120)Bu sebeple </w:t>
      </w:r>
      <w:proofErr w:type="spellStart"/>
      <w:r w:rsidRPr="00B1089D">
        <w:t>Connell’ın</w:t>
      </w:r>
      <w:proofErr w:type="spellEnd"/>
      <w:r w:rsidRPr="00B1089D">
        <w:t xml:space="preserve"> (2019) tanımladığı </w:t>
      </w:r>
      <w:proofErr w:type="spellStart"/>
      <w:r w:rsidRPr="00B1089D">
        <w:t>madunluk</w:t>
      </w:r>
      <w:proofErr w:type="spellEnd"/>
      <w:r w:rsidRPr="00B1089D">
        <w:t xml:space="preserve"> da sınırları mutlak olmayan, diğer erkeklik kategorilerindeki özellikleri bünyesinde barındıran bir sınıftır.</w:t>
      </w:r>
    </w:p>
    <w:p w14:paraId="43B44384" w14:textId="77777777" w:rsidR="00FA457D" w:rsidRPr="00B1089D" w:rsidRDefault="00FA457D" w:rsidP="00F977D7">
      <w:pPr>
        <w:widowControl/>
        <w:jc w:val="both"/>
      </w:pPr>
    </w:p>
    <w:p w14:paraId="758EF9C3" w14:textId="77777777" w:rsidR="00FA457D" w:rsidRPr="00D10870" w:rsidRDefault="00FA457D" w:rsidP="00F977D7">
      <w:pPr>
        <w:widowControl/>
        <w:jc w:val="both"/>
      </w:pPr>
      <w:r w:rsidRPr="00B1089D">
        <w:t>Hegemonik erkekliğin olduğu yerde ötekileştirilen bir karşı grup vardır. Ötekileştirilen grupta kadınlar olabileceği gibi, homoseksüel, dezavantajlı, ırk ve etnisite nedeniyle ayrımcılığa maruz kalanlar, toplumca yaftalanan kadınsı özellikleri bünyesinde ve dilinde barındıranlar, hatta okul döneminde akran zorbalığına uğrayan erkek çocuklar ve bu örneği genişletirsek şiddet ve kavgadan hoşlanmayan erkekler dahi hegemonik olmayan erkekler mevcuttur. (</w:t>
      </w:r>
      <w:proofErr w:type="spellStart"/>
      <w:r w:rsidRPr="00B1089D">
        <w:t>Connell</w:t>
      </w:r>
      <w:proofErr w:type="spellEnd"/>
      <w:r w:rsidRPr="00B1089D">
        <w:t xml:space="preserve"> </w:t>
      </w:r>
      <w:proofErr w:type="spellStart"/>
      <w:r w:rsidRPr="00B1089D">
        <w:t>akt</w:t>
      </w:r>
      <w:proofErr w:type="spellEnd"/>
      <w:r w:rsidRPr="00B1089D">
        <w:t xml:space="preserve">. Sığın A. &amp; </w:t>
      </w:r>
      <w:proofErr w:type="spellStart"/>
      <w:r w:rsidRPr="00B1089D">
        <w:t>Canatan</w:t>
      </w:r>
      <w:proofErr w:type="spellEnd"/>
      <w:r w:rsidRPr="00B1089D">
        <w:t xml:space="preserve"> A.2018:168)</w:t>
      </w:r>
    </w:p>
    <w:p w14:paraId="0910B3BE" w14:textId="77777777" w:rsidR="00FA457D" w:rsidRPr="00B1089D" w:rsidRDefault="00FA457D" w:rsidP="00F977D7">
      <w:pPr>
        <w:widowControl/>
        <w:jc w:val="both"/>
      </w:pPr>
    </w:p>
    <w:p w14:paraId="60CC23EA" w14:textId="77777777" w:rsidR="00FA457D" w:rsidRPr="00B1089D" w:rsidRDefault="00FA457D" w:rsidP="00F977D7">
      <w:pPr>
        <w:widowControl/>
        <w:jc w:val="both"/>
      </w:pPr>
      <w:r w:rsidRPr="00B1089D">
        <w:t xml:space="preserve">Madun erkeklik </w:t>
      </w:r>
      <w:proofErr w:type="spellStart"/>
      <w:r w:rsidRPr="00B1089D">
        <w:t>Connell’ın</w:t>
      </w:r>
      <w:proofErr w:type="spellEnd"/>
      <w:r w:rsidRPr="00B1089D">
        <w:t xml:space="preserve"> tarif ettiği erkeklik hiyerarşisinde en alt basamakta yer almaktadır. </w:t>
      </w:r>
      <w:proofErr w:type="spellStart"/>
      <w:r w:rsidRPr="00B1089D">
        <w:t>Connell</w:t>
      </w:r>
      <w:proofErr w:type="spellEnd"/>
      <w:r w:rsidRPr="00B1089D">
        <w:t xml:space="preserve"> madun erkekliği hegemonik erkeklerin cinsel yönelimlerinden dolayı homoseksüel erkeklere yaptığı baskı olarak tanımlasa da madun erkekliğin kapsamının bundan çok daha geniş olduğu, heteroseksüel erkeklerin de madun kategorisine girebileceği görülmektedir. (Atak, S. 2021) Heteroseksüel erkeklerin toplum tarafından erkeklere yakıştırılmayan feminen </w:t>
      </w:r>
      <w:r w:rsidRPr="00B1089D">
        <w:lastRenderedPageBreak/>
        <w:t xml:space="preserve">özellikler göstermesi, ev içi iş bölümüne katılması, kadın hareketlerini desteklemesi, şiddet karşıtı ve/veya şiddete karşılık vermemesi, eril dil kullanmaması, erkek egemen spor müsabakalarının taraftarı olmaması dahi hiyerarşide altta kalış sebebi sayılabilmektedir. Çünkü erkeklik kadınsı ya da kadına özgü olan her şeyin karşısında konumlanmıştır. Bu durum da erkeklerin </w:t>
      </w:r>
      <w:proofErr w:type="spellStart"/>
      <w:r w:rsidRPr="00B1089D">
        <w:t>madunlaştırılmasına</w:t>
      </w:r>
      <w:proofErr w:type="spellEnd"/>
      <w:r w:rsidRPr="00B1089D">
        <w:t xml:space="preserve"> ve akabinde erkekliğin kırılgan bir zemine kaymasına neden olmaktadır. (Ezgin Ağıllı, S.- Açık </w:t>
      </w:r>
      <w:proofErr w:type="spellStart"/>
      <w:r w:rsidRPr="00B1089D">
        <w:t>Turguter</w:t>
      </w:r>
      <w:proofErr w:type="spellEnd"/>
      <w:r w:rsidRPr="00B1089D">
        <w:t xml:space="preserve">, E. 2021:9) Belki de sadece zikredilen özellikler dışında </w:t>
      </w:r>
      <w:proofErr w:type="spellStart"/>
      <w:r w:rsidRPr="00B1089D">
        <w:t>Connell’ın</w:t>
      </w:r>
      <w:proofErr w:type="spellEnd"/>
      <w:r w:rsidRPr="00B1089D">
        <w:t xml:space="preserve"> değindiği “ataerkil pay” dan nemalanmayan erkekler de erkek olmanın getirdiği iktidar fırsatını teperek </w:t>
      </w:r>
      <w:proofErr w:type="spellStart"/>
      <w:r w:rsidRPr="00B1089D">
        <w:t>karşıhegemonik</w:t>
      </w:r>
      <w:proofErr w:type="spellEnd"/>
      <w:r w:rsidRPr="00B1089D">
        <w:t xml:space="preserve"> erkek olmaktadır (</w:t>
      </w:r>
      <w:proofErr w:type="spellStart"/>
      <w:r w:rsidRPr="00B1089D">
        <w:t>Dilben</w:t>
      </w:r>
      <w:proofErr w:type="spellEnd"/>
      <w:r w:rsidRPr="00B1089D">
        <w:t>, 2021)</w:t>
      </w:r>
    </w:p>
    <w:p w14:paraId="128AA213" w14:textId="77777777" w:rsidR="00FA457D" w:rsidRPr="00D10870" w:rsidRDefault="00FA457D" w:rsidP="00F977D7">
      <w:pPr>
        <w:widowControl/>
        <w:jc w:val="both"/>
      </w:pPr>
      <w:r w:rsidRPr="00B1089D">
        <w:t xml:space="preserve">Deniz </w:t>
      </w:r>
      <w:proofErr w:type="spellStart"/>
      <w:r w:rsidRPr="00B1089D">
        <w:t>Kandiyoti</w:t>
      </w:r>
      <w:proofErr w:type="spellEnd"/>
      <w:r w:rsidRPr="00B1089D">
        <w:t xml:space="preserve"> tarafından literatüre kazandırılan ataerkil pazarlık kavramı, ataerkinin sebep olduğu tüm eşitsiz koşullara rağmen ve koşullarla birlikte kadına vaat ettiği ya da sunduğu konfor alanının kadınlar tarafından terk edilmemesi ve bu noktada erkeklerle kadınlar arasında açık ya da örtülü bir anlaşma olmasını tasvir eder. Birtakım somut zorunluluklar sebebiyle kadınların, ataerkinin koruyucu gücünden faydalanması karşılığında da ataerkinin baskıcı tarafını iradi ya da iradi olmayarak kabul etmesi bu ilişkinin “pazarlık” olarak tanımlanmasına yol açmıştır. Bell </w:t>
      </w:r>
      <w:proofErr w:type="spellStart"/>
      <w:r w:rsidRPr="00B1089D">
        <w:t>Hooks</w:t>
      </w:r>
      <w:proofErr w:type="spellEnd"/>
      <w:r w:rsidRPr="00B1089D">
        <w:t xml:space="preserve"> “</w:t>
      </w:r>
      <w:r w:rsidRPr="00B1089D">
        <w:rPr>
          <w:i/>
          <w:iCs/>
        </w:rPr>
        <w:t xml:space="preserve">Zalim olmayan ataerkil erkeklerin hayatlarındaki kadınlar, ihtiyaçlarını karşılayan ve kendilerini koruyan gerçek bir erkeğe, yüce gönüllü bir </w:t>
      </w:r>
      <w:proofErr w:type="spellStart"/>
      <w:r w:rsidRPr="00B1089D">
        <w:rPr>
          <w:i/>
          <w:iCs/>
        </w:rPr>
        <w:t>patriarka</w:t>
      </w:r>
      <w:proofErr w:type="spellEnd"/>
      <w:r w:rsidRPr="00B1089D">
        <w:rPr>
          <w:i/>
          <w:iCs/>
        </w:rPr>
        <w:t xml:space="preserve"> sahip olmanın şans olarak görüldüğü ayartıcı mite tutunabilirler.</w:t>
      </w:r>
      <w:r w:rsidRPr="00B1089D">
        <w:t xml:space="preserve">”  </w:t>
      </w:r>
      <w:proofErr w:type="gramStart"/>
      <w:r w:rsidRPr="00B1089D">
        <w:t>diyerek</w:t>
      </w:r>
      <w:proofErr w:type="gramEnd"/>
      <w:r w:rsidRPr="00B1089D">
        <w:t xml:space="preserve"> bunun irade dışında da gerçekleşebileceğine işaret etmektedir. İrade dışı olmasından kasıt, pazarlığın hiç farkında olunmaması değil de daha çok kadına yüklenen ataerkil kodların farkında olunmamasıdır. Kadın evde yaşlı, çocuk bakar, ev içi üretimde bulunur ancak geçimi eşi tarafından karşılanır. Bu karşılıklı kazanç beklentilerin karşılanması ile gerçekleşir.</w:t>
      </w:r>
    </w:p>
    <w:p w14:paraId="6B78731D" w14:textId="77777777" w:rsidR="00FA457D" w:rsidRPr="00B1089D" w:rsidRDefault="00FA457D" w:rsidP="00F977D7">
      <w:pPr>
        <w:widowControl/>
        <w:jc w:val="both"/>
      </w:pPr>
    </w:p>
    <w:p w14:paraId="06E512EE" w14:textId="77777777" w:rsidR="00FA457D" w:rsidRPr="00B1089D" w:rsidRDefault="00FA457D" w:rsidP="00F977D7">
      <w:pPr>
        <w:widowControl/>
        <w:jc w:val="both"/>
      </w:pPr>
      <w:r w:rsidRPr="00B1089D">
        <w:rPr>
          <w:b/>
          <w:bCs/>
        </w:rPr>
        <w:t>1.2.4. Marjinal Erkeklik</w:t>
      </w:r>
    </w:p>
    <w:p w14:paraId="1D13DD73" w14:textId="4D33D1E9" w:rsidR="00FA457D" w:rsidRPr="00D10870" w:rsidRDefault="00FA457D" w:rsidP="00F977D7">
      <w:pPr>
        <w:widowControl/>
        <w:jc w:val="both"/>
      </w:pPr>
      <w:r w:rsidRPr="00B1089D">
        <w:t xml:space="preserve">Değişmez bir kişilik tipini göstermemekle birlikte hegemonik erkeklerin kendi ayrıcalıklı konumlarını sürdürebilmek pahasına diğer grupların </w:t>
      </w:r>
      <w:proofErr w:type="spellStart"/>
      <w:r w:rsidRPr="00B1089D">
        <w:t>madunlaştırılmasına</w:t>
      </w:r>
      <w:proofErr w:type="spellEnd"/>
      <w:r w:rsidRPr="00B1089D">
        <w:t xml:space="preserve"> herhangi bir tepki göstermemesi marjinal erkeklik olarak tanımlanmaktadır. “Marjinalleştirme, daima hegemonik olanın yetkilendirilmesine bağlıdır.” (</w:t>
      </w:r>
      <w:proofErr w:type="spellStart"/>
      <w:r w:rsidRPr="00B1089D">
        <w:t>Connell</w:t>
      </w:r>
      <w:proofErr w:type="spellEnd"/>
      <w:r w:rsidRPr="00B1089D">
        <w:t xml:space="preserve">, 2019:156) </w:t>
      </w:r>
      <w:proofErr w:type="spellStart"/>
      <w:r w:rsidRPr="00B1089D">
        <w:t>Connell</w:t>
      </w:r>
      <w:proofErr w:type="spellEnd"/>
      <w:r w:rsidRPr="00B1089D">
        <w:t xml:space="preserve"> bu erkekliği ırk, etnik grup gibi aidiyetleri nedeniyle </w:t>
      </w:r>
      <w:proofErr w:type="spellStart"/>
      <w:r w:rsidRPr="00B1089D">
        <w:t>ataerkiden</w:t>
      </w:r>
      <w:proofErr w:type="spellEnd"/>
      <w:r w:rsidRPr="00B1089D">
        <w:t xml:space="preserve"> dışlandığını belirtir. Buna örnek olarak da ABD’de ün yapmış siyahi bir sporcunun servet ya da şöhretinin siyahi erkeklere bir otorite kazandırmamasını verir.</w:t>
      </w:r>
    </w:p>
    <w:p w14:paraId="1E2345F8" w14:textId="77777777" w:rsidR="00FA457D" w:rsidRPr="00B1089D" w:rsidRDefault="00FA457D" w:rsidP="00F977D7">
      <w:pPr>
        <w:widowControl/>
        <w:jc w:val="both"/>
      </w:pPr>
    </w:p>
    <w:p w14:paraId="4A3FEF9E" w14:textId="77777777" w:rsidR="00FA457D" w:rsidRPr="00B1089D" w:rsidRDefault="00FA457D" w:rsidP="00F977D7">
      <w:pPr>
        <w:widowControl/>
        <w:jc w:val="both"/>
      </w:pPr>
      <w:r w:rsidRPr="00B1089D">
        <w:rPr>
          <w:b/>
          <w:bCs/>
        </w:rPr>
        <w:t>2.MADUNİYET NEDİR?</w:t>
      </w:r>
    </w:p>
    <w:p w14:paraId="11D866E7" w14:textId="77777777" w:rsidR="00FA457D" w:rsidRPr="00B1089D" w:rsidRDefault="00FA457D" w:rsidP="00F977D7">
      <w:pPr>
        <w:widowControl/>
        <w:jc w:val="both"/>
      </w:pPr>
      <w:r w:rsidRPr="00B1089D">
        <w:rPr>
          <w:b/>
          <w:bCs/>
        </w:rPr>
        <w:t xml:space="preserve">2.1. </w:t>
      </w:r>
      <w:proofErr w:type="spellStart"/>
      <w:r w:rsidRPr="00B1089D">
        <w:rPr>
          <w:b/>
          <w:bCs/>
        </w:rPr>
        <w:t>Gramsci’nin</w:t>
      </w:r>
      <w:proofErr w:type="spellEnd"/>
      <w:r w:rsidRPr="00B1089D">
        <w:rPr>
          <w:b/>
          <w:bCs/>
        </w:rPr>
        <w:t xml:space="preserve"> </w:t>
      </w:r>
      <w:proofErr w:type="spellStart"/>
      <w:r w:rsidRPr="00B1089D">
        <w:rPr>
          <w:b/>
          <w:bCs/>
        </w:rPr>
        <w:t>Subaltern</w:t>
      </w:r>
      <w:proofErr w:type="spellEnd"/>
      <w:r w:rsidRPr="00B1089D">
        <w:rPr>
          <w:b/>
          <w:bCs/>
        </w:rPr>
        <w:t xml:space="preserve"> Kavramı</w:t>
      </w:r>
    </w:p>
    <w:p w14:paraId="35F071FA" w14:textId="5808B4B4" w:rsidR="00FA457D" w:rsidRPr="00D10870" w:rsidRDefault="00FA457D" w:rsidP="00F977D7">
      <w:pPr>
        <w:widowControl/>
        <w:jc w:val="both"/>
      </w:pPr>
      <w:r w:rsidRPr="00B1089D">
        <w:t>Bu bölümde erkeklik alt başlığındaki madun kavramı ele alınarak terimin literatürde ne anlama geldiği, kültürel çalışmalarda madunun kimi ya da kimleri tasvir ettiği tarihsel ve sosyolojik olarak incelenmiştir.</w:t>
      </w:r>
    </w:p>
    <w:p w14:paraId="6451574A" w14:textId="77777777" w:rsidR="00FA457D" w:rsidRPr="00B1089D" w:rsidRDefault="00FA457D" w:rsidP="00F977D7">
      <w:pPr>
        <w:widowControl/>
        <w:jc w:val="both"/>
      </w:pPr>
    </w:p>
    <w:p w14:paraId="1F8E9910" w14:textId="61094E28" w:rsidR="00FA457D" w:rsidRPr="00D10870" w:rsidRDefault="00FA457D" w:rsidP="00F977D7">
      <w:pPr>
        <w:widowControl/>
        <w:jc w:val="both"/>
      </w:pPr>
      <w:r w:rsidRPr="00B1089D">
        <w:t xml:space="preserve">Kökenini </w:t>
      </w:r>
      <w:proofErr w:type="spellStart"/>
      <w:r w:rsidRPr="00B1089D">
        <w:t>Gramsci’nin</w:t>
      </w:r>
      <w:proofErr w:type="spellEnd"/>
      <w:r w:rsidRPr="00B1089D">
        <w:t xml:space="preserve"> Hapishane defterleri eserinden alan Madun terimi ırk, </w:t>
      </w:r>
      <w:proofErr w:type="spellStart"/>
      <w:proofErr w:type="gramStart"/>
      <w:r w:rsidRPr="00B1089D">
        <w:t>din,dil</w:t>
      </w:r>
      <w:proofErr w:type="spellEnd"/>
      <w:proofErr w:type="gramEnd"/>
      <w:r w:rsidRPr="00B1089D">
        <w:t>, cinsel yönelim gibi açılardan aşağılanan veya hakir görülen bir kişi veya bir topluluğu ifade etmek için kullanılmıştır. Kelime, dilimize Arapçadan girmesi sebebiyle tam olarak anlamını karşılamamaktadır. Kelimenin etimolojik kökenini de incelediği makalesinde Yetişkin (2013), madunun karşılığı olan “</w:t>
      </w:r>
      <w:proofErr w:type="spellStart"/>
      <w:r w:rsidRPr="00B1089D">
        <w:t>subaltern</w:t>
      </w:r>
      <w:proofErr w:type="spellEnd"/>
      <w:r w:rsidRPr="00B1089D">
        <w:t>” kelimesindeki “</w:t>
      </w:r>
      <w:proofErr w:type="spellStart"/>
      <w:r w:rsidRPr="00B1089D">
        <w:t>sub</w:t>
      </w:r>
      <w:proofErr w:type="spellEnd"/>
      <w:r w:rsidRPr="00B1089D">
        <w:t>” alt veya ast anlamına geldiğini ancak “</w:t>
      </w:r>
      <w:proofErr w:type="spellStart"/>
      <w:r w:rsidRPr="00B1089D">
        <w:t>altern</w:t>
      </w:r>
      <w:proofErr w:type="spellEnd"/>
      <w:r w:rsidRPr="00B1089D">
        <w:t xml:space="preserve">” sözcüğünün Fransızcadan Türkçeye devirle, sırayla gibi bir anlamda çevrildiğini; dolayısıyla madunu karşılayan </w:t>
      </w:r>
      <w:proofErr w:type="spellStart"/>
      <w:r w:rsidRPr="00B1089D">
        <w:t>subaltern</w:t>
      </w:r>
      <w:proofErr w:type="spellEnd"/>
      <w:r w:rsidRPr="00B1089D">
        <w:t xml:space="preserve"> sözcüğünü </w:t>
      </w:r>
      <w:r w:rsidRPr="00B1089D">
        <w:rPr>
          <w:i/>
          <w:iCs/>
        </w:rPr>
        <w:t>“alttakinin veya aşağıdakinin sürekli başkalığı”</w:t>
      </w:r>
      <w:r w:rsidRPr="00B1089D">
        <w:t xml:space="preserve"> olarak ifade etmektedir. Burada </w:t>
      </w:r>
      <w:proofErr w:type="spellStart"/>
      <w:r w:rsidRPr="00B1089D">
        <w:t>Yetişkin’in</w:t>
      </w:r>
      <w:proofErr w:type="spellEnd"/>
      <w:r w:rsidRPr="00B1089D">
        <w:t xml:space="preserve"> ifade ettiği rotasyonlu olma hali madunun homojen bir yapıda ve sabit olmamasına atıftır.</w:t>
      </w:r>
    </w:p>
    <w:p w14:paraId="3C92B2DC" w14:textId="77777777" w:rsidR="00FA457D" w:rsidRPr="00B1089D" w:rsidRDefault="00FA457D" w:rsidP="00F977D7">
      <w:pPr>
        <w:widowControl/>
        <w:jc w:val="both"/>
      </w:pPr>
    </w:p>
    <w:p w14:paraId="62E476AA" w14:textId="77777777" w:rsidR="00FA457D" w:rsidRPr="00B1089D" w:rsidRDefault="00FA457D" w:rsidP="00F977D7">
      <w:pPr>
        <w:widowControl/>
        <w:jc w:val="both"/>
      </w:pPr>
      <w:proofErr w:type="spellStart"/>
      <w:r w:rsidRPr="00B1089D">
        <w:lastRenderedPageBreak/>
        <w:t>Gramsci</w:t>
      </w:r>
      <w:proofErr w:type="spellEnd"/>
      <w:r w:rsidRPr="00B1089D">
        <w:t xml:space="preserve"> ‘</w:t>
      </w:r>
      <w:proofErr w:type="spellStart"/>
      <w:r w:rsidRPr="00B1089D">
        <w:t>nin</w:t>
      </w:r>
      <w:proofErr w:type="spellEnd"/>
      <w:r w:rsidRPr="00B1089D">
        <w:t xml:space="preserve"> madun kavramının neye karşılık söylendiği konusunda fikir birliği bulunmamaktadır. Latin dilinde, ordudaki alt rütbeli askerleri ifade etmek için kullanılan madun kavramı, Hapishane Defterleri isimli eserde </w:t>
      </w:r>
      <w:proofErr w:type="spellStart"/>
      <w:r w:rsidRPr="00B1089D">
        <w:t>Gramsci</w:t>
      </w:r>
      <w:proofErr w:type="spellEnd"/>
      <w:r w:rsidRPr="00B1089D">
        <w:t xml:space="preserve"> tarafından toplumda sesi olmayan, kendini ifade edemeyen, temsil kabiliyeti olmayan kişi ya da grupları ifade etmek için kullanılmıştır. </w:t>
      </w:r>
      <w:proofErr w:type="spellStart"/>
      <w:r w:rsidRPr="00B1089D">
        <w:t>Spivak’a</w:t>
      </w:r>
      <w:proofErr w:type="spellEnd"/>
      <w:r w:rsidRPr="00B1089D">
        <w:t xml:space="preserve"> göre, </w:t>
      </w:r>
      <w:proofErr w:type="spellStart"/>
      <w:r w:rsidRPr="00B1089D">
        <w:t>Gramsci</w:t>
      </w:r>
      <w:proofErr w:type="spellEnd"/>
      <w:r w:rsidRPr="00B1089D">
        <w:t xml:space="preserve"> hapishanede bu kavramı Marksist anlamda </w:t>
      </w:r>
      <w:proofErr w:type="spellStart"/>
      <w:r w:rsidRPr="00B1089D">
        <w:t>proleterya</w:t>
      </w:r>
      <w:proofErr w:type="spellEnd"/>
      <w:r w:rsidRPr="00B1089D">
        <w:t xml:space="preserve"> sözcüğünü sansürlemek için kullanmıştır. (Spivak,2017 </w:t>
      </w:r>
      <w:proofErr w:type="spellStart"/>
      <w:r w:rsidRPr="00B1089D">
        <w:t>akt</w:t>
      </w:r>
      <w:proofErr w:type="spellEnd"/>
      <w:r w:rsidRPr="00B1089D">
        <w:t xml:space="preserve">. Gezici 2022) Ancak </w:t>
      </w:r>
      <w:proofErr w:type="spellStart"/>
      <w:r w:rsidRPr="00B1089D">
        <w:t>proleteryadan</w:t>
      </w:r>
      <w:proofErr w:type="spellEnd"/>
      <w:r w:rsidRPr="00B1089D">
        <w:t xml:space="preserve"> farklı olarak madun örgütlenme eğilimi olsa da örgütlenemez çünkü madunun yapısı parçalıdır, bu yapı gereği de egemenin otoritesine bağlıdır.</w:t>
      </w:r>
    </w:p>
    <w:p w14:paraId="71A9424E" w14:textId="3D083C88" w:rsidR="00FA457D" w:rsidRPr="00D10870" w:rsidRDefault="00FA457D" w:rsidP="00F977D7">
      <w:pPr>
        <w:widowControl/>
        <w:jc w:val="both"/>
      </w:pPr>
      <w:r w:rsidRPr="00B1089D">
        <w:t xml:space="preserve">Gezici (2022) çalışmasında, </w:t>
      </w:r>
      <w:proofErr w:type="spellStart"/>
      <w:r w:rsidRPr="00B1089D">
        <w:t>Gramsci</w:t>
      </w:r>
      <w:proofErr w:type="spellEnd"/>
      <w:r w:rsidRPr="00B1089D">
        <w:t xml:space="preserve"> tarafından kullanılan madun kavramının 1980’li yıllardan sonra dönüşüme uğradığını, etnik, dinsel gruplar, azınlıklar, göçmenler; kadınlar, çocuklar, LGBT+ gruplar gibi ötekileştirilen kimlikler için bir astlık- üstlük ilişkisi bağlamında astı tanımlamak için “şemsiye bir kavram” olarak kullanıldığını belirtmektedir.</w:t>
      </w:r>
    </w:p>
    <w:p w14:paraId="05618F6B" w14:textId="77777777" w:rsidR="00FA457D" w:rsidRPr="00B1089D" w:rsidRDefault="00FA457D" w:rsidP="00F977D7">
      <w:pPr>
        <w:widowControl/>
        <w:jc w:val="both"/>
      </w:pPr>
    </w:p>
    <w:p w14:paraId="0AC7B0B3" w14:textId="00070BBF" w:rsidR="00FA457D" w:rsidRPr="00B1089D" w:rsidRDefault="00FA457D" w:rsidP="00F977D7">
      <w:pPr>
        <w:widowControl/>
        <w:jc w:val="both"/>
      </w:pPr>
      <w:r w:rsidRPr="00B1089D">
        <w:rPr>
          <w:b/>
          <w:bCs/>
        </w:rPr>
        <w:t xml:space="preserve">2.2. </w:t>
      </w:r>
      <w:proofErr w:type="spellStart"/>
      <w:r w:rsidRPr="00B1089D">
        <w:rPr>
          <w:b/>
          <w:bCs/>
        </w:rPr>
        <w:t>Maduniyet</w:t>
      </w:r>
      <w:proofErr w:type="spellEnd"/>
      <w:r w:rsidRPr="00B1089D">
        <w:rPr>
          <w:b/>
          <w:bCs/>
        </w:rPr>
        <w:t xml:space="preserve"> Çalışmaları Kolektifi</w:t>
      </w:r>
    </w:p>
    <w:p w14:paraId="29D278AD" w14:textId="295A45CD" w:rsidR="00FA457D" w:rsidRPr="00B1089D" w:rsidRDefault="00FA457D" w:rsidP="00F977D7">
      <w:pPr>
        <w:widowControl/>
        <w:jc w:val="both"/>
      </w:pPr>
      <w:proofErr w:type="spellStart"/>
      <w:r w:rsidRPr="00B1089D">
        <w:t>Gramsci’den</w:t>
      </w:r>
      <w:proofErr w:type="spellEnd"/>
      <w:r w:rsidRPr="00B1089D">
        <w:t xml:space="preserve"> sonra </w:t>
      </w:r>
      <w:proofErr w:type="spellStart"/>
      <w:r w:rsidRPr="00B1089D">
        <w:t>maduniyet</w:t>
      </w:r>
      <w:proofErr w:type="spellEnd"/>
      <w:r w:rsidRPr="00B1089D">
        <w:t xml:space="preserve"> kavramı 1970’li yılların sömürge sonrası Hindistan’ında yeniden gündeme gelmiştir</w:t>
      </w:r>
      <w:r w:rsidRPr="00B1089D">
        <w:rPr>
          <w:b/>
          <w:bCs/>
        </w:rPr>
        <w:t xml:space="preserve">. </w:t>
      </w:r>
      <w:proofErr w:type="spellStart"/>
      <w:r w:rsidRPr="00B1089D">
        <w:t>Maduniyet</w:t>
      </w:r>
      <w:proofErr w:type="spellEnd"/>
      <w:r w:rsidRPr="00B1089D">
        <w:t xml:space="preserve"> Çalışmaları, Güney Asyalı </w:t>
      </w:r>
      <w:proofErr w:type="spellStart"/>
      <w:r w:rsidRPr="00B1089D">
        <w:t>Ranajit</w:t>
      </w:r>
      <w:proofErr w:type="spellEnd"/>
      <w:r w:rsidRPr="00B1089D">
        <w:t xml:space="preserve"> </w:t>
      </w:r>
      <w:proofErr w:type="spellStart"/>
      <w:r w:rsidRPr="00B1089D">
        <w:t>Guha’nın</w:t>
      </w:r>
      <w:proofErr w:type="spellEnd"/>
      <w:r w:rsidRPr="00B1089D">
        <w:t xml:space="preserve"> çalışmalarıyla ortaya çıkmıştır. David Arnold, David </w:t>
      </w:r>
      <w:proofErr w:type="spellStart"/>
      <w:r w:rsidRPr="00B1089D">
        <w:t>Hardiman</w:t>
      </w:r>
      <w:proofErr w:type="spellEnd"/>
      <w:r w:rsidRPr="00B1089D">
        <w:t xml:space="preserve">, </w:t>
      </w:r>
      <w:proofErr w:type="spellStart"/>
      <w:r w:rsidRPr="00B1089D">
        <w:t>dipesh</w:t>
      </w:r>
      <w:proofErr w:type="spellEnd"/>
      <w:r w:rsidRPr="00B1089D">
        <w:t xml:space="preserve"> </w:t>
      </w:r>
      <w:proofErr w:type="spellStart"/>
      <w:r w:rsidRPr="00B1089D">
        <w:t>Chakrabarty</w:t>
      </w:r>
      <w:proofErr w:type="spellEnd"/>
      <w:r w:rsidRPr="00B1089D">
        <w:t xml:space="preserve">, </w:t>
      </w:r>
      <w:proofErr w:type="spellStart"/>
      <w:r w:rsidRPr="00B1089D">
        <w:t>Partha</w:t>
      </w:r>
      <w:proofErr w:type="spellEnd"/>
      <w:r w:rsidRPr="00B1089D">
        <w:t xml:space="preserve"> </w:t>
      </w:r>
      <w:proofErr w:type="spellStart"/>
      <w:r w:rsidRPr="00B1089D">
        <w:t>Chatterjee</w:t>
      </w:r>
      <w:proofErr w:type="spellEnd"/>
      <w:r w:rsidRPr="00B1089D">
        <w:t xml:space="preserve">, </w:t>
      </w:r>
      <w:proofErr w:type="spellStart"/>
      <w:r w:rsidRPr="00B1089D">
        <w:t>Gayatri</w:t>
      </w:r>
      <w:proofErr w:type="spellEnd"/>
      <w:r w:rsidRPr="00B1089D">
        <w:t xml:space="preserve"> </w:t>
      </w:r>
      <w:proofErr w:type="spellStart"/>
      <w:r w:rsidRPr="00B1089D">
        <w:t>Spivak</w:t>
      </w:r>
      <w:proofErr w:type="spellEnd"/>
      <w:r w:rsidRPr="00B1089D">
        <w:t xml:space="preserve"> </w:t>
      </w:r>
      <w:proofErr w:type="spellStart"/>
      <w:r w:rsidRPr="00B1089D">
        <w:t>maduniyet</w:t>
      </w:r>
      <w:proofErr w:type="spellEnd"/>
      <w:r w:rsidRPr="00B1089D">
        <w:t xml:space="preserve"> çalışmaları ile bilinen isimlerdir.</w:t>
      </w:r>
    </w:p>
    <w:p w14:paraId="0A6C60CA" w14:textId="06C971A3" w:rsidR="00FA457D" w:rsidRPr="00D10870" w:rsidRDefault="00FA457D" w:rsidP="00F977D7">
      <w:pPr>
        <w:widowControl/>
        <w:jc w:val="both"/>
      </w:pPr>
      <w:proofErr w:type="spellStart"/>
      <w:r w:rsidRPr="00B1089D">
        <w:t>Maduniyet</w:t>
      </w:r>
      <w:proofErr w:type="spellEnd"/>
      <w:r w:rsidRPr="00B1089D">
        <w:t xml:space="preserve"> tarihçileri, Hindistan’da yalnızca seçkinlerin anlatıldığını, alt sınıflara değinilmediğini belirterek sömürgeci tarih anlayışına karşı çıkmışlardır. Önyargıların görülebilmesi nedeniyle de bu tarihçilik anlayışı protest bir tavır sergilediği belirtilebilir. (Doğan 2019:23) </w:t>
      </w:r>
      <w:proofErr w:type="spellStart"/>
      <w:r w:rsidRPr="00B1089D">
        <w:t>Elitist</w:t>
      </w:r>
      <w:proofErr w:type="spellEnd"/>
      <w:r w:rsidRPr="00B1089D">
        <w:t xml:space="preserve"> tarih yazımı yöntemi yerine eşitsiz olanın tarihi anlatmak, madunu tarihin öznesi yapmak odak noktaları olmuştur.</w:t>
      </w:r>
    </w:p>
    <w:p w14:paraId="7AC9D3FC" w14:textId="77777777" w:rsidR="00FA457D" w:rsidRPr="00B1089D" w:rsidRDefault="00FA457D" w:rsidP="00F977D7">
      <w:pPr>
        <w:widowControl/>
        <w:jc w:val="both"/>
      </w:pPr>
    </w:p>
    <w:p w14:paraId="2BD66A00" w14:textId="77777777" w:rsidR="00FA457D" w:rsidRPr="00B1089D" w:rsidRDefault="00FA457D" w:rsidP="00F977D7">
      <w:pPr>
        <w:widowControl/>
        <w:jc w:val="both"/>
      </w:pPr>
      <w:r w:rsidRPr="00B1089D">
        <w:rPr>
          <w:b/>
          <w:bCs/>
        </w:rPr>
        <w:t xml:space="preserve">2.3. </w:t>
      </w:r>
      <w:proofErr w:type="spellStart"/>
      <w:r w:rsidRPr="00B1089D">
        <w:rPr>
          <w:b/>
          <w:bCs/>
        </w:rPr>
        <w:t>Spivak’a</w:t>
      </w:r>
      <w:proofErr w:type="spellEnd"/>
      <w:r w:rsidRPr="00B1089D">
        <w:rPr>
          <w:b/>
          <w:bCs/>
        </w:rPr>
        <w:t xml:space="preserve"> Göre Madun</w:t>
      </w:r>
    </w:p>
    <w:p w14:paraId="5BAD5ACA" w14:textId="791934BB" w:rsidR="00FA457D" w:rsidRPr="00B1089D" w:rsidRDefault="00FA457D" w:rsidP="00F977D7">
      <w:pPr>
        <w:widowControl/>
        <w:jc w:val="both"/>
      </w:pPr>
      <w:r w:rsidRPr="00B1089D">
        <w:t xml:space="preserve">Literatüre katkısı bakımından en önemli isimlerden biri olan </w:t>
      </w:r>
      <w:proofErr w:type="spellStart"/>
      <w:r w:rsidRPr="00B1089D">
        <w:t>Spivak’a</w:t>
      </w:r>
      <w:proofErr w:type="spellEnd"/>
      <w:r w:rsidRPr="00B1089D">
        <w:t xml:space="preserve"> göre madun kolonileştirilmiş ülkelerde sosyal, politik güce erişimi olmayanlardır.1988 yılında, </w:t>
      </w:r>
      <w:proofErr w:type="spellStart"/>
      <w:r w:rsidRPr="00B1089D">
        <w:t>Postkolonyalizmin</w:t>
      </w:r>
      <w:proofErr w:type="spellEnd"/>
      <w:r w:rsidRPr="00B1089D">
        <w:t xml:space="preserve"> </w:t>
      </w:r>
      <w:proofErr w:type="spellStart"/>
      <w:r w:rsidRPr="00B1089D">
        <w:t>üretilerini</w:t>
      </w:r>
      <w:proofErr w:type="spellEnd"/>
      <w:r w:rsidRPr="00B1089D">
        <w:t xml:space="preserve"> incelemek amacıyla yazdığı “Madun Konuşabilir mi?” isimli ünlü makalesi kitap olarak basılan </w:t>
      </w:r>
      <w:proofErr w:type="spellStart"/>
      <w:r w:rsidRPr="00B1089D">
        <w:t>Spivak</w:t>
      </w:r>
      <w:proofErr w:type="spellEnd"/>
      <w:r w:rsidRPr="00B1089D">
        <w:t xml:space="preserve"> </w:t>
      </w:r>
      <w:proofErr w:type="spellStart"/>
      <w:r w:rsidRPr="00B1089D">
        <w:t>maduniyet</w:t>
      </w:r>
      <w:proofErr w:type="spellEnd"/>
      <w:r w:rsidRPr="00B1089D">
        <w:t xml:space="preserve"> çalışmalarında başat bir roldedir. </w:t>
      </w:r>
      <w:proofErr w:type="spellStart"/>
      <w:r w:rsidRPr="00B1089D">
        <w:t>Spivak</w:t>
      </w:r>
      <w:proofErr w:type="spellEnd"/>
      <w:r w:rsidRPr="00B1089D">
        <w:t>, madunun kim olduğuna ilişkin tanımın batılı, beyaz akademisyenlerce yapılması hususunda temkinlidir. Zira onlar deneyim dışı olarak bilgi temelli varsayımlar üretir.</w:t>
      </w:r>
    </w:p>
    <w:p w14:paraId="2480DA97" w14:textId="77777777" w:rsidR="00FA457D" w:rsidRPr="00D10870" w:rsidRDefault="00FA457D" w:rsidP="00F977D7">
      <w:pPr>
        <w:widowControl/>
        <w:jc w:val="both"/>
      </w:pPr>
      <w:proofErr w:type="spellStart"/>
      <w:r w:rsidRPr="00B1089D">
        <w:t>Spivak</w:t>
      </w:r>
      <w:proofErr w:type="spellEnd"/>
      <w:r w:rsidRPr="00B1089D">
        <w:t xml:space="preserve">, </w:t>
      </w:r>
      <w:proofErr w:type="spellStart"/>
      <w:r w:rsidRPr="00B1089D">
        <w:t>Gramcsi’den</w:t>
      </w:r>
      <w:proofErr w:type="spellEnd"/>
      <w:r w:rsidRPr="00B1089D">
        <w:t xml:space="preserve"> aldığı madun kavramını Marksist ve feminist bağlamda yeniden yorumlamıştır.  </w:t>
      </w:r>
      <w:proofErr w:type="spellStart"/>
      <w:r w:rsidRPr="00B1089D">
        <w:t>Spivak’a</w:t>
      </w:r>
      <w:proofErr w:type="spellEnd"/>
      <w:r w:rsidRPr="00B1089D">
        <w:t xml:space="preserve"> göre madun dikey hareketlilik şansına sahip olmayan, toplumda değişkenlik gösteren alt kesimlerdir. Ancak bu alt kesimde bulunma hali sadece yoksulları değil toplumun tüm kesimlerini kapsar. Buna örnek olarak da kendi anneannesinin kardeşi olan </w:t>
      </w:r>
      <w:proofErr w:type="spellStart"/>
      <w:r w:rsidRPr="00B1089D">
        <w:t>Bhubaneswari’nin</w:t>
      </w:r>
      <w:proofErr w:type="spellEnd"/>
      <w:r w:rsidRPr="00B1089D">
        <w:t xml:space="preserve"> on yedi yaşında intihar etmeden önce dahi adet dönemini bekleyip adet olduktan sonra intihar etmesi gösterilebilir. Bu kadın orta sınıfa ait oluşu </w:t>
      </w:r>
      <w:proofErr w:type="spellStart"/>
      <w:r w:rsidRPr="00B1089D">
        <w:t>madunluğun</w:t>
      </w:r>
      <w:proofErr w:type="spellEnd"/>
      <w:r w:rsidRPr="00B1089D">
        <w:t xml:space="preserve"> ekonomik olanın da ötesinde olduğunu göstermektedir. </w:t>
      </w:r>
      <w:proofErr w:type="spellStart"/>
      <w:r w:rsidRPr="00B1089D">
        <w:t>Maduniyet</w:t>
      </w:r>
      <w:proofErr w:type="spellEnd"/>
      <w:r w:rsidRPr="00B1089D">
        <w:t xml:space="preserve">, </w:t>
      </w:r>
      <w:proofErr w:type="spellStart"/>
      <w:r w:rsidRPr="00B1089D">
        <w:t>Spivak’ın</w:t>
      </w:r>
      <w:proofErr w:type="spellEnd"/>
      <w:r w:rsidRPr="00B1089D">
        <w:t xml:space="preserve"> savına göre bir gruba dahil olmaktan farklı olarak bir eşiğin ötesinde ya da berisinde durmakla ilgilidir. (Çelik, 2022)</w:t>
      </w:r>
    </w:p>
    <w:p w14:paraId="7E4E9936" w14:textId="77777777" w:rsidR="00FA457D" w:rsidRPr="00B1089D" w:rsidRDefault="00FA457D" w:rsidP="00F977D7">
      <w:pPr>
        <w:widowControl/>
        <w:jc w:val="both"/>
      </w:pPr>
    </w:p>
    <w:p w14:paraId="28589BF6" w14:textId="5708E4D1" w:rsidR="00FA457D" w:rsidRPr="00D10870" w:rsidRDefault="00FA457D" w:rsidP="00F977D7">
      <w:pPr>
        <w:widowControl/>
        <w:jc w:val="both"/>
      </w:pPr>
      <w:proofErr w:type="spellStart"/>
      <w:r w:rsidRPr="00B1089D">
        <w:t>Spivak</w:t>
      </w:r>
      <w:proofErr w:type="spellEnd"/>
      <w:r w:rsidRPr="00B1089D">
        <w:t xml:space="preserve"> “Madun Konuşabilir mi?” isimli makalede madunun konuşamayacağını, sesini duyuramayacağını, yani Çelik’in ifade ettiği gibi, eşiği geçemeyeceğini, geçse de dinlenilmeye değer bulunmadığını ifade eder. Madun konuşsa dahi tahakküm edenin diliyle konuşacaktır ki, bu da kendi kimliğini temsil edememesi demektir.</w:t>
      </w:r>
    </w:p>
    <w:p w14:paraId="6A640335" w14:textId="77777777" w:rsidR="00FA457D" w:rsidRPr="00B1089D" w:rsidRDefault="00FA457D" w:rsidP="00F977D7">
      <w:pPr>
        <w:widowControl/>
        <w:jc w:val="both"/>
      </w:pPr>
    </w:p>
    <w:p w14:paraId="19DBF61A" w14:textId="77777777" w:rsidR="00FA457D" w:rsidRPr="00B1089D" w:rsidRDefault="00FA457D" w:rsidP="00F977D7">
      <w:pPr>
        <w:widowControl/>
        <w:jc w:val="both"/>
      </w:pPr>
      <w:r w:rsidRPr="00B1089D">
        <w:rPr>
          <w:b/>
          <w:bCs/>
        </w:rPr>
        <w:t>3. ÖYKÜLER BAĞLAMINDA MADUN ERKEKLİK</w:t>
      </w:r>
    </w:p>
    <w:p w14:paraId="267D01DD" w14:textId="77777777" w:rsidR="00FA457D" w:rsidRPr="00D10870" w:rsidRDefault="00FA457D" w:rsidP="00F977D7">
      <w:pPr>
        <w:widowControl/>
        <w:jc w:val="both"/>
      </w:pPr>
      <w:r w:rsidRPr="00B1089D">
        <w:lastRenderedPageBreak/>
        <w:t xml:space="preserve">Araştırmaya konu derleme öykü kitabı önsözünde Murathan Mungan; </w:t>
      </w:r>
      <w:r w:rsidRPr="00B1089D">
        <w:rPr>
          <w:i/>
          <w:iCs/>
        </w:rPr>
        <w:t>“Toplumsal cinsiyet yapılandırmasının sonucunda kendisine öğretilmiş erkekliğin içinde tutuklu kalmış, bir türlü bunun dışına çıkamayan erkeklerin farkındalık bilinci taşımayan yalnızlığı, en yaygın yalnızlık çeşitlerindendir. Bu nedenle bu seçkide erkeklerin içine kıstırıldıkları toplumsal rollere, kimliklere, koşullara izdüşümler içeren öyküler bulunmasına özen gösterdim</w:t>
      </w:r>
      <w:r w:rsidRPr="00B1089D">
        <w:t>.” (2021:16) diyerek aslında toplumsal roller gereği durdukları yerin ve mecbur bırakıldıkları konumun hiç farkına varamamış, hatta neredeyse öykülerin tümünde ismi dahi belirtilmemiş erkek karakterlerin ağzından yalnız kalışlarına, ya da yalnız bırakılışlarına dair öyküler derlenmiştir.</w:t>
      </w:r>
    </w:p>
    <w:p w14:paraId="24BD3A87" w14:textId="77777777" w:rsidR="00FA457D" w:rsidRPr="00B1089D" w:rsidRDefault="00FA457D" w:rsidP="00F977D7">
      <w:pPr>
        <w:widowControl/>
        <w:jc w:val="both"/>
      </w:pPr>
    </w:p>
    <w:p w14:paraId="0A7B0C36" w14:textId="77777777" w:rsidR="00FA457D" w:rsidRPr="00B1089D" w:rsidRDefault="00FA457D" w:rsidP="00F977D7">
      <w:pPr>
        <w:widowControl/>
        <w:jc w:val="both"/>
      </w:pPr>
      <w:proofErr w:type="spellStart"/>
      <w:r w:rsidRPr="00B1089D">
        <w:t>Connell</w:t>
      </w:r>
      <w:proofErr w:type="spellEnd"/>
      <w:r w:rsidRPr="00B1089D">
        <w:t>, erkekliğin hem gündelik yaşamda hem de bilim alanında nelere tekabül ettiğini bulabilmek için soyut fikirlerle sınırlı kalmayıp bu fikirlerin pratik zeminlerine de bakılması gerektiğini savunmuştur (2019: 35). Bu bağlamda erkeklik biçimlerini anlama ve yorumlama aşamasında kurgusal bir toplumsal pratik olarak değerlendirilebilecek olan söz konusu öykülerin, farklı erkeklik biçimlerine dair önemli ipuçlarına sahip olduğu ifade edilebilir. Çünkü erkekliklerin edebi metinlerde kurgulanışı aynı zamanda yazıldıkları dönemde varlığını sürdüren erkeklik biçimlerinin anahtarını da bünyesinde barındırmaktadır.</w:t>
      </w:r>
    </w:p>
    <w:p w14:paraId="2D902BD1" w14:textId="0B3EFB93" w:rsidR="00FA457D" w:rsidRPr="00D10870" w:rsidRDefault="00FA457D" w:rsidP="00F977D7">
      <w:pPr>
        <w:widowControl/>
        <w:jc w:val="both"/>
      </w:pPr>
      <w:r w:rsidRPr="00B1089D">
        <w:t>Hegemonik erkekliğe bakıldığında literatürde çoğunlukla, beyaz, heteroseksüel, aile reisi, çalışan erkek gibi tanımlara rast gelinir. Çalışma yaşamı erkekliğin yeniden üretildiği yerlerden biridir. Erkek olmak çalışmakla bir tutulur, çalışarak var olmak sadece ekonomik anlamda üretimde bulunmanın da ötesinde eril kimliği de besler. (Sancar 2013) çalışma hayatında yer alamayan ya da iş yaşamında sermaye sahiplerinden farklı konumda bulunan erkeklerin erkeklik tehdidi yaşayabileceği pekâlâ söylenebilir.</w:t>
      </w:r>
    </w:p>
    <w:p w14:paraId="0EEDAD3F" w14:textId="77777777" w:rsidR="00FA457D" w:rsidRPr="00B1089D" w:rsidRDefault="00FA457D" w:rsidP="00F977D7">
      <w:pPr>
        <w:widowControl/>
        <w:jc w:val="both"/>
      </w:pPr>
    </w:p>
    <w:p w14:paraId="4F1C05D4" w14:textId="0A45DB1F" w:rsidR="00FA457D" w:rsidRPr="00D10870" w:rsidRDefault="00FA457D" w:rsidP="00F977D7">
      <w:pPr>
        <w:widowControl/>
        <w:jc w:val="both"/>
      </w:pPr>
      <w:proofErr w:type="spellStart"/>
      <w:r w:rsidRPr="00B1089D">
        <w:t>Topcu</w:t>
      </w:r>
      <w:proofErr w:type="spellEnd"/>
      <w:r w:rsidRPr="00B1089D">
        <w:t xml:space="preserve"> (2012), 1980 sonrası yazılan Türk öykülerdeki erkeklik olgularını incelediği yüksek lisans tezinde erkekliğin tam da </w:t>
      </w:r>
      <w:proofErr w:type="spellStart"/>
      <w:r w:rsidRPr="00B1089D">
        <w:t>Connell’ın</w:t>
      </w:r>
      <w:proofErr w:type="spellEnd"/>
      <w:r w:rsidRPr="00B1089D">
        <w:t xml:space="preserve"> tarif ettiği erkeklik nosyonuna uyacak şekilde üç biçimde yer aldığını belirtmiştir.</w:t>
      </w:r>
    </w:p>
    <w:p w14:paraId="01187BD9" w14:textId="77777777" w:rsidR="00FA457D" w:rsidRPr="00B1089D" w:rsidRDefault="00FA457D" w:rsidP="00F977D7">
      <w:pPr>
        <w:widowControl/>
        <w:jc w:val="both"/>
      </w:pPr>
    </w:p>
    <w:p w14:paraId="2353E18A" w14:textId="77777777" w:rsidR="00FA457D" w:rsidRPr="00D10870" w:rsidRDefault="00FA457D" w:rsidP="00F977D7">
      <w:pPr>
        <w:widowControl/>
        <w:jc w:val="both"/>
      </w:pPr>
      <w:r w:rsidRPr="00B1089D">
        <w:t xml:space="preserve">“Birincisi, erkek kimliğini benimseyen ve hayatını güçlü erkek imgesi çerçevesinde yaşayan erkekler. İkincisi, erkek kimliğine sarılan ancak bu erkeklik için yeterli bedensel ve ruhsal özelliklere sahip olmamasından dolayı erkek olmayı beceremeyen erkekler. Üçüncüsü, toplumsal ve gündelik yaşamlarında erkek kimliğini reddedenler ve bu erkek kimliğinden </w:t>
      </w:r>
      <w:proofErr w:type="spellStart"/>
      <w:r w:rsidRPr="00B1089D">
        <w:t>muztarip</w:t>
      </w:r>
      <w:proofErr w:type="spellEnd"/>
      <w:r w:rsidRPr="00B1089D">
        <w:t xml:space="preserve"> olan erkekler.” (</w:t>
      </w:r>
      <w:proofErr w:type="gramStart"/>
      <w:r w:rsidRPr="00B1089D">
        <w:t>syf</w:t>
      </w:r>
      <w:proofErr w:type="gramEnd"/>
      <w:r w:rsidRPr="00B1089D">
        <w:t>:230)</w:t>
      </w:r>
    </w:p>
    <w:p w14:paraId="64003D54" w14:textId="77777777" w:rsidR="00FA457D" w:rsidRPr="00B1089D" w:rsidRDefault="00FA457D" w:rsidP="00F977D7">
      <w:pPr>
        <w:widowControl/>
        <w:jc w:val="both"/>
      </w:pPr>
    </w:p>
    <w:p w14:paraId="783DAED2" w14:textId="34F3E7E3" w:rsidR="00FA457D" w:rsidRPr="00D10870" w:rsidRDefault="00FA457D" w:rsidP="00F977D7">
      <w:pPr>
        <w:widowControl/>
        <w:jc w:val="both"/>
      </w:pPr>
      <w:r w:rsidRPr="00B1089D">
        <w:t xml:space="preserve">Araştırmaya konu seçki kitapta yukarıda kategorize edilen erkekliklerden ikinci türüne örnek gösterilebilecek </w:t>
      </w:r>
      <w:proofErr w:type="spellStart"/>
      <w:r w:rsidRPr="00B1089D">
        <w:t>anlatıcılı</w:t>
      </w:r>
      <w:proofErr w:type="spellEnd"/>
      <w:r w:rsidRPr="00B1089D">
        <w:t>/kahramanlı öyküler seçilmesine özen gösterilmiştir. Seçilen üç adet öykünün ana karakteri olan erkeklerin üçünün de ortak özelliği gözden çıkarılan, kaybeden, dışlanan; daha genel bir anlatımla ifade edilecek olursa hegemonik erkeklik kurgusu dışında kalan özellikleri bünyesinde barındırmasıdır. Türk yazarlarca kaleme alınmış bu öyküler, Türkiye toplumunun gerçekleriyle de paralellik göstermektedir.</w:t>
      </w:r>
    </w:p>
    <w:p w14:paraId="716894A3" w14:textId="77777777" w:rsidR="00FA457D" w:rsidRPr="00B1089D" w:rsidRDefault="00FA457D" w:rsidP="00F977D7">
      <w:pPr>
        <w:widowControl/>
        <w:jc w:val="both"/>
      </w:pPr>
    </w:p>
    <w:p w14:paraId="541B3636" w14:textId="0C13CF14" w:rsidR="00FA457D" w:rsidRPr="00D10870" w:rsidRDefault="00FA457D" w:rsidP="00F977D7">
      <w:pPr>
        <w:widowControl/>
        <w:jc w:val="both"/>
      </w:pPr>
      <w:r w:rsidRPr="00B1089D">
        <w:t>Kısa yolun Yolcusu isimli öyküde anlatılan, eşinin evlendikten altı ay sonra terk ettiği erkek karakterin yalnızlığı olup bu noktada öykü karakteri hegemonik erkekliğin inşa süreçlerinden sayılan evlilik olgusunu gerçekleştirmesine rağmen evliliğini sürdürememiştir. Evli olmak, yuva kurmak bir sosyal konum sağlar. Evli erkek, problemi olmayan erkek olarak görülür. Çünkü evlilik erkeğin heteronormatif olduğunu, evi geçindirecek kadar para kazandığını, sorumluluk sahibi olduğunu belirtir ki bu da erkeğin iktidar alanını sağlamlaştırır.</w:t>
      </w:r>
    </w:p>
    <w:p w14:paraId="32FB9F58" w14:textId="77777777" w:rsidR="00FA457D" w:rsidRPr="00B1089D" w:rsidRDefault="00FA457D" w:rsidP="00F977D7">
      <w:pPr>
        <w:widowControl/>
        <w:jc w:val="both"/>
      </w:pPr>
    </w:p>
    <w:p w14:paraId="7A1CB1C1" w14:textId="77777777" w:rsidR="00FA457D" w:rsidRPr="00B1089D" w:rsidRDefault="00FA457D" w:rsidP="00F977D7">
      <w:pPr>
        <w:widowControl/>
        <w:jc w:val="both"/>
      </w:pPr>
      <w:r w:rsidRPr="00B1089D">
        <w:lastRenderedPageBreak/>
        <w:t>Kadın hikayeleri yüzünden isimli öyküde kendini fiziksel olarak yeterli görmeyen karakter, dükkanının yan tarafına taşınan başka bir esnafla kurduğu ilişki sebebiyle kendi erkeklik algısını sorgulamaya başlamış, kendi fiziksel özelliklerinden ve evliliğinden memnun olmayışı da bu durumu perçinlemiştir. Hegemonik erkeklik algısı sebebiyle birlikte vakit geçirdiği insanlar ile girilen rekabet duygusu olay örgüsünü farklı bir noktaya taşımıştır.</w:t>
      </w:r>
    </w:p>
    <w:p w14:paraId="39DC418F" w14:textId="6EFBDD0C" w:rsidR="00FA457D" w:rsidRPr="00D10870" w:rsidRDefault="00FA457D" w:rsidP="00F977D7">
      <w:pPr>
        <w:widowControl/>
        <w:jc w:val="both"/>
      </w:pPr>
      <w:r w:rsidRPr="00B1089D">
        <w:t xml:space="preserve">Evde Bekleyen Biri isimli öyküde hegemonik erkekliğin tezahür alanlarından biri olan bedenin, erkek kimliğinde hegemonik aygıt olarak belirlenmesi neticesinde erkekler üzerindeki baskısı ele alınmıştır. Zekeriya isimli cüce karakter, hayatını iade ettirmekte zorlanan, önce ailesi sonra da çevresi tarafından kabul dışlanmış bir karakterdir. Bedensel yetersizliği nedeniyle </w:t>
      </w:r>
      <w:proofErr w:type="spellStart"/>
      <w:r w:rsidRPr="00B1089D">
        <w:t>madunlaştırılmıştır</w:t>
      </w:r>
      <w:proofErr w:type="spellEnd"/>
      <w:r w:rsidRPr="00B1089D">
        <w:t>.</w:t>
      </w:r>
    </w:p>
    <w:p w14:paraId="14C1BA51" w14:textId="77777777" w:rsidR="00FA457D" w:rsidRPr="00B1089D" w:rsidRDefault="00FA457D" w:rsidP="00F977D7">
      <w:pPr>
        <w:widowControl/>
        <w:jc w:val="both"/>
      </w:pPr>
    </w:p>
    <w:p w14:paraId="67158260" w14:textId="77777777" w:rsidR="00FA457D" w:rsidRPr="00B1089D" w:rsidRDefault="00FA457D" w:rsidP="00F977D7">
      <w:pPr>
        <w:widowControl/>
        <w:jc w:val="both"/>
      </w:pPr>
      <w:r w:rsidRPr="00B1089D">
        <w:rPr>
          <w:b/>
          <w:bCs/>
        </w:rPr>
        <w:t>3.1. Kısa Yol Yolcusu</w:t>
      </w:r>
    </w:p>
    <w:p w14:paraId="3F378B9F" w14:textId="77777777" w:rsidR="00FA457D" w:rsidRPr="00D10870" w:rsidRDefault="00FA457D" w:rsidP="00F977D7">
      <w:pPr>
        <w:widowControl/>
        <w:jc w:val="both"/>
      </w:pPr>
      <w:r w:rsidRPr="00B1089D">
        <w:t xml:space="preserve">Pınar Kür, 15 Nisan 1943 yılında Bursa’da dünyaya gelmiştir. Lise eğitimini Robert Kolej’inde, Üniversite eğitimini Boğaziçi Üniversitesinde tamamladıktan sonra 1969 yılında Fransa'da </w:t>
      </w:r>
      <w:proofErr w:type="spellStart"/>
      <w:r w:rsidRPr="00B1089D">
        <w:t>Sorbon</w:t>
      </w:r>
      <w:proofErr w:type="spellEnd"/>
      <w:r w:rsidRPr="00B1089D">
        <w:t xml:space="preserve"> Üniversitesinde Karşılaştırma Edebiyat Kürsüsünde Yirminci Yüzyıl Tiyatrosunda Gerçeklik ve Yanılsama adlı doktorasını tamamlamıştır. Doktorasını tamamladıktan sonra yurda dönen Pınar Kür, Ankara'da Devlet Tiyatrosu'nda dramaturg olarak 1971-1973 yılları arasında çalışmıştır. 1979-1985 yılları arasında İstanbul Üniversitesi Yabancı Diller Yüksek Okulunda öğretim görevlisi olarak çalışmıştır.</w:t>
      </w:r>
    </w:p>
    <w:p w14:paraId="50F41812" w14:textId="77777777" w:rsidR="00FA457D" w:rsidRPr="00B1089D" w:rsidRDefault="00FA457D" w:rsidP="00F977D7">
      <w:pPr>
        <w:widowControl/>
        <w:jc w:val="both"/>
      </w:pPr>
    </w:p>
    <w:p w14:paraId="3F4C450E" w14:textId="77777777" w:rsidR="00FA457D" w:rsidRPr="00B1089D" w:rsidRDefault="00FA457D" w:rsidP="00F977D7">
      <w:pPr>
        <w:widowControl/>
        <w:jc w:val="both"/>
      </w:pPr>
      <w:r w:rsidRPr="00B1089D">
        <w:t>Seçki kitabında Pınar Kür tarafından kaleme alınan ‘Kısa Yol Yolcusu’ öyküsünde altı aylık eşi tarafından terk edilmiş bir erkeğin yaşadıkları anlatılmaktadır. Anlatıcının annesi, babası tarafından öldürülmüş, kendisine anneannesi tarafından bakılmış, yıllar sonra çıkıp gelen babası onu zorla üvey annenin olduğu eve götürmüş, geçmişin izlerini silmeye çalışmış, küçük yaşlarda yanında kaldığı anneannesine erişemesin diye ne mahalle ismini zikretmiş ne de onu odaya kilitlemeden bırakmıştır.</w:t>
      </w:r>
      <w:r w:rsidRPr="00D10870">
        <w:t xml:space="preserve"> </w:t>
      </w:r>
      <w:r w:rsidRPr="00B1089D">
        <w:t>“Annemi öldürdüğü için babama kızmadım mı? ya beni bırakıp gittiği için anneme? Hepsi öyle uzak ve bulanık ki şimdi-hepsini yaşamımdan uzaklaştırmak için öyle çok uğraştım ki yıllardır-kızmıştıysam bile artık anımsamıyorum.”</w:t>
      </w:r>
    </w:p>
    <w:p w14:paraId="6C01EDBE" w14:textId="4F5C0AB2" w:rsidR="00FA457D" w:rsidRPr="00B1089D" w:rsidRDefault="00FA457D" w:rsidP="00F977D7">
      <w:pPr>
        <w:widowControl/>
        <w:jc w:val="both"/>
      </w:pPr>
      <w:r w:rsidRPr="00B1089D">
        <w:t>Sancar’a göre bir aile babası olmanın en büyük göstergesi para kazanabilmek ve bu sayede toplumca “düzgün bir adam” olarak kabul edilmektedir (2009: 64) Öykünün kahramanı erkek toplam on işçinin bulunduğu geliri düşük bir işte çalışmakta, düğün masrafları için ev eşyasına kefil olan patronuna karşı mahcubiyet hissetmektedir.</w:t>
      </w:r>
    </w:p>
    <w:p w14:paraId="210A930D" w14:textId="191339E4" w:rsidR="00FA457D" w:rsidRPr="00B1089D" w:rsidRDefault="00FA457D" w:rsidP="00F977D7">
      <w:pPr>
        <w:widowControl/>
        <w:jc w:val="both"/>
      </w:pPr>
      <w:r w:rsidRPr="00B1089D">
        <w:t xml:space="preserve">“Dört yıldır zam isteyemedim. Taksitler geçen yıl bitti, yine de isteyemedim…belki de [patron] için </w:t>
      </w:r>
      <w:proofErr w:type="spellStart"/>
      <w:r w:rsidRPr="00B1089D">
        <w:t>için</w:t>
      </w:r>
      <w:proofErr w:type="spellEnd"/>
      <w:r w:rsidRPr="00B1089D">
        <w:t xml:space="preserve"> gülüyordur altı ay bile kullanamadığım eşyaların bedelini üç yıl boyunca ödememe.”</w:t>
      </w:r>
    </w:p>
    <w:p w14:paraId="2DB82B79" w14:textId="11A09089" w:rsidR="00FA457D" w:rsidRPr="00B1089D" w:rsidRDefault="00FA457D" w:rsidP="00F977D7">
      <w:pPr>
        <w:widowControl/>
        <w:jc w:val="both"/>
      </w:pPr>
      <w:r w:rsidRPr="00B1089D">
        <w:t>Sevdiği kadın Aysel ile evlenmiş, bunun için babasından kalan evi satarak düğün takılarını, ev eşyalarını almıştır.</w:t>
      </w:r>
    </w:p>
    <w:p w14:paraId="0D687AF4" w14:textId="57D58DCB" w:rsidR="00FA457D" w:rsidRPr="00B1089D" w:rsidRDefault="00FA457D" w:rsidP="00F977D7">
      <w:pPr>
        <w:widowControl/>
        <w:jc w:val="both"/>
      </w:pPr>
      <w:r w:rsidRPr="00B1089D">
        <w:t>“Kiralık gelinlikle evlenmeyi bir türlü içine sindirememişti karım. Nikah kıyılırken, süslü püslü taksiyle Telli Baba’ya gidilirken, öğleden sonra düğün salonunda, akşamüstü yeniden taksiye binip evimize doğru yola çıktığımızda bir kez olsun gülmedi yüzü…Oysa gelinlik almanın olanaksızlığını anlatmış, durumu nicedir benimsemiş sanıyordum.” (2021:64)</w:t>
      </w:r>
    </w:p>
    <w:p w14:paraId="7C41ACBE" w14:textId="77777777" w:rsidR="00FA457D" w:rsidRPr="00B1089D" w:rsidRDefault="00FA457D" w:rsidP="00F977D7">
      <w:pPr>
        <w:widowControl/>
        <w:jc w:val="both"/>
      </w:pPr>
      <w:r w:rsidRPr="00B1089D">
        <w:t>Ancak karısı bir türlü mutlu olmamış, evliliğinin altıncı ayında evdeki eşyaları da alarak başkasına gitmiştir.</w:t>
      </w:r>
    </w:p>
    <w:p w14:paraId="7E8CE783" w14:textId="38A7749F" w:rsidR="00FA457D" w:rsidRPr="00B1089D" w:rsidRDefault="00FA457D" w:rsidP="00F977D7">
      <w:pPr>
        <w:widowControl/>
        <w:jc w:val="both"/>
      </w:pPr>
      <w:r w:rsidRPr="00B1089D">
        <w:t>“Sevgiyi kimi kitaplarda okuduğumda, yok oğlum diyorum, senin becerebileceğin bir duygu değil bu. Senin gibilerin harcı değil bunca derin sarsıntılar. Karın da belki o yüzden her koynuna girişte ağladı, altı aya varmadan taksitle alınmışların hepsini toplayıp başka birine gitti.”</w:t>
      </w:r>
    </w:p>
    <w:p w14:paraId="7E9A7B68" w14:textId="0B31D2BA" w:rsidR="00FA457D" w:rsidRPr="00D10870" w:rsidRDefault="00FA457D" w:rsidP="00F977D7">
      <w:pPr>
        <w:widowControl/>
        <w:jc w:val="both"/>
      </w:pPr>
      <w:r w:rsidRPr="00B1089D">
        <w:t xml:space="preserve">Karısının onu terk edişi üzerine hiddet bile duy (a)mayan, ekonomik statüsü dolayısıyla toplumsal tabakanın en altında kalmış, rutin bir yaşam süren biridir. Öykünün içindeki kendini </w:t>
      </w:r>
      <w:r w:rsidRPr="00B1089D">
        <w:lastRenderedPageBreak/>
        <w:t>“uysal bir çocuktum, uysal bir adam oldum” olarak tanımlamaktadır (2021:74). Ne özel hayatında ne iş hayatında hakkını aramamış olan anlatıcı, kaderine razı gelmektedir. Hayat en başından beri ona bu hevesi ve imkânı sunmamıştır çünkü.</w:t>
      </w:r>
    </w:p>
    <w:p w14:paraId="077D3780" w14:textId="77777777" w:rsidR="00FA457D" w:rsidRPr="00B1089D" w:rsidRDefault="00FA457D" w:rsidP="00F977D7">
      <w:pPr>
        <w:widowControl/>
        <w:jc w:val="both"/>
      </w:pPr>
    </w:p>
    <w:p w14:paraId="69C6E092" w14:textId="77777777" w:rsidR="00FA457D" w:rsidRPr="00B1089D" w:rsidRDefault="00FA457D" w:rsidP="00F977D7">
      <w:pPr>
        <w:widowControl/>
        <w:jc w:val="both"/>
      </w:pPr>
      <w:r w:rsidRPr="00B1089D">
        <w:rPr>
          <w:b/>
          <w:bCs/>
        </w:rPr>
        <w:t>3.2. Kadın Hikayeleri Yüzünden</w:t>
      </w:r>
    </w:p>
    <w:p w14:paraId="0DA22E4A" w14:textId="77777777" w:rsidR="00FA457D" w:rsidRPr="00D10870" w:rsidRDefault="00FA457D" w:rsidP="00F977D7">
      <w:pPr>
        <w:widowControl/>
        <w:jc w:val="both"/>
      </w:pPr>
      <w:r w:rsidRPr="00B1089D">
        <w:t>Ayfer Tunç, 2 Mart 1964 yılında Adapazarı’nda dünyaya gelmiştir. Liseyi Erenköy Kız Lisesi’nde, Üniversiteyi İstanbul Üniversitesi Siyasal Bilgiler Fakültesi’nde okumuştur. Gazetecilik, dergi yazarlığı, yayın yönetmenliği yapmıştır.</w:t>
      </w:r>
    </w:p>
    <w:p w14:paraId="21D679EB" w14:textId="77777777" w:rsidR="00FA457D" w:rsidRPr="00B1089D" w:rsidRDefault="00FA457D" w:rsidP="00F977D7">
      <w:pPr>
        <w:widowControl/>
        <w:jc w:val="both"/>
      </w:pPr>
    </w:p>
    <w:p w14:paraId="3C0FE637" w14:textId="77777777" w:rsidR="00FA457D" w:rsidRPr="00D10870" w:rsidRDefault="00FA457D" w:rsidP="00F977D7">
      <w:pPr>
        <w:widowControl/>
        <w:jc w:val="both"/>
      </w:pPr>
      <w:r w:rsidRPr="00B1089D">
        <w:t>Ayfer Tunç’un “Kadın Hikâyeleri Yüzünden” öyküsü, rutin bir hayatı olan evli bir terzinin yan dükkanına taşınan başka bir esnafla tanışmasıyla gelişen olayları konu alır.  Anlatıcı evliliği içinde de mutlu olmayan, mutlu olması gerektiğine inanan ama bunu başaramayan, fiziksel görüntüsü ile ilgili birtakım komplekslere sahip biridir.</w:t>
      </w:r>
    </w:p>
    <w:p w14:paraId="48FFAE83" w14:textId="77777777" w:rsidR="00FA457D" w:rsidRPr="00B1089D" w:rsidRDefault="00FA457D" w:rsidP="00F977D7">
      <w:pPr>
        <w:widowControl/>
        <w:jc w:val="both"/>
      </w:pPr>
    </w:p>
    <w:p w14:paraId="13D6ABF6" w14:textId="116DF0AE" w:rsidR="00FA457D" w:rsidRPr="00D10870" w:rsidRDefault="00FA457D" w:rsidP="00F977D7">
      <w:pPr>
        <w:widowControl/>
        <w:jc w:val="both"/>
      </w:pPr>
      <w:r w:rsidRPr="00B1089D">
        <w:t>“Masmavi bir adam görürdüm aynada, ucuz ve mavi bir etek   astarı gibi çekmiş, buruşmuş bir yüz. Sanki yüzümün çizgilerine mavi bir mürekkep dolardı. Terk edilmiş bir ev köpeğini andırırdı duruşum. Sebepsiz yere fermuar demetlerini indirirdim raftan, hiç lüzumu yokken düğme kutularının yerlerini değiştirirdim. Dükkânı süpürmeye kalkardım ve aynada gördüğüm, terk edilmiş, mavi ev köpeğini unutmaya çalışırdım.” (2021:81)</w:t>
      </w:r>
    </w:p>
    <w:p w14:paraId="2D8FC413" w14:textId="77777777" w:rsidR="00FA457D" w:rsidRPr="00B1089D" w:rsidRDefault="00FA457D" w:rsidP="00F977D7">
      <w:pPr>
        <w:widowControl/>
        <w:jc w:val="both"/>
      </w:pPr>
    </w:p>
    <w:p w14:paraId="7F61E038" w14:textId="41B70526" w:rsidR="00FA457D" w:rsidRPr="00D10870" w:rsidRDefault="00FA457D" w:rsidP="00F977D7">
      <w:pPr>
        <w:widowControl/>
        <w:jc w:val="both"/>
      </w:pPr>
      <w:r w:rsidRPr="00B1089D">
        <w:t>Yan dükkanına taşınan Turcan isimli esnafla tanışmasıyla anlatıcıda içsel hesaplaşmalar baş göstermiş ve bazı yaralar gün yüzüne çıkmıştır. Karısının hayal ettiği kadınlar gibi güzel olmadığını, hayalindeki kadınlara hiç erişemeyeceğini bilmektedir. Turcan ve arkadaşlarının eril ortamında kendini zamanla dışlanmış ve çaresiz hissetmektedir.</w:t>
      </w:r>
    </w:p>
    <w:p w14:paraId="68E3C3F2" w14:textId="77777777" w:rsidR="00FA457D" w:rsidRPr="00B1089D" w:rsidRDefault="00FA457D" w:rsidP="00F977D7">
      <w:pPr>
        <w:widowControl/>
        <w:jc w:val="both"/>
      </w:pPr>
    </w:p>
    <w:p w14:paraId="04E101A5" w14:textId="254D56A7" w:rsidR="00FA457D" w:rsidRPr="00D10870" w:rsidRDefault="00FA457D" w:rsidP="00F977D7">
      <w:pPr>
        <w:widowControl/>
        <w:jc w:val="both"/>
      </w:pPr>
      <w:r w:rsidRPr="00B1089D">
        <w:t>“Turcan beni öğle yemeğine, böylece kadın hikâyelerine götürdü. Rakı içtik, piyaz, lakerda yedik. Turcan hep kadınlardan söz etti. Dikkat ettim de sanki onun anlattığı kadınların tümü, kemiksizdi. O kadınların ellerini düşünüyordum, tenlerinin beyazlığından gözlerim kamaşıyordu. Sonra ne kadar konuşkan ve sıcaktılar onun anlattığı kadınlar. Gülmeyi biliyorlardı. Cep telefonundan hep kadınlar aradılar Turcan’ı. Açık saçık konuştu onlarla, büyük kahkahalar attı, arada bir geğirdi (2021:82).</w:t>
      </w:r>
    </w:p>
    <w:p w14:paraId="4708CB8A" w14:textId="77777777" w:rsidR="00FA457D" w:rsidRPr="00B1089D" w:rsidRDefault="00FA457D" w:rsidP="00F977D7">
      <w:pPr>
        <w:widowControl/>
        <w:jc w:val="both"/>
      </w:pPr>
    </w:p>
    <w:p w14:paraId="37755A9B" w14:textId="230201F6" w:rsidR="00FA457D" w:rsidRPr="00D10870" w:rsidRDefault="00FA457D" w:rsidP="00F977D7">
      <w:pPr>
        <w:widowControl/>
        <w:jc w:val="both"/>
      </w:pPr>
      <w:r w:rsidRPr="00B1089D">
        <w:t>Anlatıcı Turcan ve arkadaşlarının kadınlardan, çeklerden ve vadelerden konuştuğu ortamda misafirliğine devam etmekte ve onların sohbetlerini şaşkınlıkla ve imrenerek dinlemektedir. Yanlarında eziklik hissettiği şu metinde daha net anlaşılmaktadır.</w:t>
      </w:r>
    </w:p>
    <w:p w14:paraId="2C21AE3F" w14:textId="77777777" w:rsidR="00FA457D" w:rsidRPr="00B1089D" w:rsidRDefault="00FA457D" w:rsidP="00F977D7">
      <w:pPr>
        <w:widowControl/>
        <w:jc w:val="both"/>
      </w:pPr>
    </w:p>
    <w:p w14:paraId="23267ABC" w14:textId="1F12042D" w:rsidR="00FA457D" w:rsidRPr="00B1089D" w:rsidRDefault="00FA457D" w:rsidP="00F977D7">
      <w:pPr>
        <w:widowControl/>
        <w:jc w:val="both"/>
      </w:pPr>
      <w:r w:rsidRPr="00B1089D">
        <w:t>“…üç erkek otoparktan getirilen arabaya gösterişli edalarla binerken ben taksiyle giderim dedim, Bir taksiye işaret ettim. Duran taksinin kapısını açıp, binmeden onlara el salladım. Üç erkeğin bindiği araba, gündüz kabalığından eser kalmamış caddedeki sokak lambalarının ışığının altından geçerek ve üç erkeğin kahkahaları gibi, gürültüyle kayboldu, ben dönüp taksiciye eyvah dedim. İçeride bir şey unuttum, sen beni bekleme git. Taksinin kapısını kapatıp lokantaya doğru yürüdüm. Bir sokağa girip taksinin sesini dinledim.”</w:t>
      </w:r>
    </w:p>
    <w:p w14:paraId="163F3B97" w14:textId="77777777" w:rsidR="00FA457D" w:rsidRPr="00D10870" w:rsidRDefault="00FA457D" w:rsidP="00F977D7">
      <w:pPr>
        <w:widowControl/>
        <w:jc w:val="both"/>
      </w:pPr>
      <w:r w:rsidRPr="00B1089D">
        <w:t>Turcan ve arkadaşları, anlatıcının onların dünyasına uyum sağlayamadığı ya da uygun olmadığını düşünmüş olacaklar ki, zamanla dışlamış hatta onu artık çağırmamışlardır.</w:t>
      </w:r>
    </w:p>
    <w:p w14:paraId="12DDD9AA" w14:textId="1136E29B" w:rsidR="00FA457D" w:rsidRPr="00B1089D" w:rsidRDefault="00FA457D" w:rsidP="00F977D7">
      <w:pPr>
        <w:widowControl/>
        <w:jc w:val="both"/>
      </w:pPr>
    </w:p>
    <w:p w14:paraId="63F3FF03" w14:textId="01A006E4" w:rsidR="00FA457D" w:rsidRPr="00D10870" w:rsidRDefault="00FA457D" w:rsidP="00F977D7">
      <w:pPr>
        <w:widowControl/>
        <w:jc w:val="both"/>
      </w:pPr>
      <w:r w:rsidRPr="00B1089D">
        <w:t xml:space="preserve">“Turcan ve arkadaşları her seferinde bana bir öncekinden daha az ilgi gösterdiler. Beşinci gecenin sonunda beni tuvalette unuttular. Ben bir avuç küldüm, üfleyip dağıtmışlardı. Altıncı </w:t>
      </w:r>
      <w:r w:rsidRPr="00B1089D">
        <w:lastRenderedPageBreak/>
        <w:t>geçe hiç yaşanmadı, çünkü beni bir daha hiç çağırmadılar. Ama ben kendi kendime bu gecelere devam ettim” (2021:83).</w:t>
      </w:r>
    </w:p>
    <w:p w14:paraId="228AEF08" w14:textId="77777777" w:rsidR="00FA457D" w:rsidRPr="00B1089D" w:rsidRDefault="00FA457D" w:rsidP="00F977D7">
      <w:pPr>
        <w:widowControl/>
        <w:jc w:val="both"/>
      </w:pPr>
    </w:p>
    <w:p w14:paraId="4700D0AF" w14:textId="7334FD3E" w:rsidR="00FA457D" w:rsidRPr="00B1089D" w:rsidRDefault="00FA457D" w:rsidP="00F977D7">
      <w:pPr>
        <w:widowControl/>
        <w:jc w:val="both"/>
      </w:pPr>
      <w:r w:rsidRPr="00B1089D">
        <w:t>Anlatıcı bu andan itibaren kendini bir oyuna kaptırır, iç dünyasında yarattığı ve kendini güçlü kıldığı zannıyla aslında hiç olmayan kadınlarla eğleniyor, eşini aldatıyor gibi bir imaj çizer. Geceleri eve geç gelir, dükkânda alkol alır, karısını endişelendirir.  Eşini aldattığı izlenimiyle kırılan erkeklik gururunu tamir etmeye çalışır. Bir gece dükkânda müşterilerinden birinin çantasından düşürdüğü ruj ile kendi gömleğinin yakasını öper ve dudak izi çıkarır.  Bir gün müşterilerinden birinden yüklü bir kazanç elde eder ve eline geçen bu para ile vermek istediği izlenimleri daha kolay sergileyebilecektir.</w:t>
      </w:r>
    </w:p>
    <w:p w14:paraId="0552AE0F" w14:textId="52E41801" w:rsidR="00FA457D" w:rsidRPr="00B1089D" w:rsidRDefault="00FA457D" w:rsidP="00F977D7">
      <w:pPr>
        <w:widowControl/>
        <w:jc w:val="both"/>
      </w:pPr>
      <w:r w:rsidRPr="00B1089D">
        <w:t>“Hep uzaktan baktığım, kapısından girmeye de cesaret edemediğim bir pavyona gittim. Cebimdeki para beni sarhoş etmişti. Kapıdaki fedailer güldüler, daha çok erken dediler. Saat on ikiye doğru gel. Peki dedim. Ne yapacağımı bilemiyordum (2021:90).</w:t>
      </w:r>
    </w:p>
    <w:p w14:paraId="4FEC18D1" w14:textId="77777777" w:rsidR="00FA457D" w:rsidRPr="00D10870" w:rsidRDefault="00FA457D" w:rsidP="00F977D7">
      <w:pPr>
        <w:widowControl/>
        <w:jc w:val="both"/>
      </w:pPr>
      <w:r w:rsidRPr="00B1089D">
        <w:t>Anlatıcı hayatında ilk kez pavyona gitmiştir. Parasını kaptırmaktan korkar. Ancak yanına gelen kadınla bir fotoğraf çektirerek eşine onu aldattığına ilişkin somut bir delil sunmak ister. Fotoğraf çektirip fotoğrafın arkasını imzalar ve cebine koyar.</w:t>
      </w:r>
    </w:p>
    <w:p w14:paraId="2F80D993" w14:textId="77777777" w:rsidR="00FA457D" w:rsidRPr="00B1089D" w:rsidRDefault="00FA457D" w:rsidP="00F977D7">
      <w:pPr>
        <w:widowControl/>
        <w:jc w:val="both"/>
      </w:pPr>
    </w:p>
    <w:p w14:paraId="7D27B976" w14:textId="1379B3B6" w:rsidR="00FA457D" w:rsidRPr="00B1089D" w:rsidRDefault="00FA457D" w:rsidP="00F977D7">
      <w:pPr>
        <w:widowControl/>
        <w:jc w:val="both"/>
      </w:pPr>
      <w:r w:rsidRPr="00B1089D">
        <w:t xml:space="preserve">“Akşam karımın çok durgun olduğunu gördüm. Sessizdi, beni görmüyor gibiydi, küs bile değildi, çok tuhaftı hali. Çocukların gürültüsüne hiç aldırış etmedi. Sabah oğlan geldi yanıma, baba biz bugün dayımlara </w:t>
      </w:r>
      <w:proofErr w:type="spellStart"/>
      <w:r w:rsidRPr="00B1089D">
        <w:t>gidicez</w:t>
      </w:r>
      <w:proofErr w:type="spellEnd"/>
      <w:r w:rsidRPr="00B1089D">
        <w:t>, dedi. İyi, gidin dedim; aldırmadım (2021:93)</w:t>
      </w:r>
    </w:p>
    <w:p w14:paraId="7802D4A2" w14:textId="3EEFFC53" w:rsidR="00FA457D" w:rsidRPr="00D10870" w:rsidRDefault="00FA457D" w:rsidP="00F977D7">
      <w:pPr>
        <w:widowControl/>
        <w:jc w:val="both"/>
      </w:pPr>
      <w:r w:rsidRPr="00B1089D">
        <w:t>Anlatıcı, o gün içmekten vazgeçerek evine gelir ancak evinin kapısının kalabalık olduğunu görür. Eşi çocukları dayılarına bıraktıktan sonra evde kendini asmıştır.</w:t>
      </w:r>
    </w:p>
    <w:p w14:paraId="1FA432EE" w14:textId="77777777" w:rsidR="00FA457D" w:rsidRPr="00B1089D" w:rsidRDefault="00FA457D" w:rsidP="00F977D7">
      <w:pPr>
        <w:widowControl/>
        <w:jc w:val="both"/>
      </w:pPr>
    </w:p>
    <w:p w14:paraId="79429379" w14:textId="17AFC044" w:rsidR="00FA457D" w:rsidRPr="00B1089D" w:rsidRDefault="00FA457D" w:rsidP="00F977D7">
      <w:pPr>
        <w:widowControl/>
        <w:jc w:val="both"/>
      </w:pPr>
      <w:r w:rsidRPr="00B1089D">
        <w:t xml:space="preserve">“Yemek masasının üstünde mavi kalpli kırmızı kravatla, </w:t>
      </w:r>
      <w:proofErr w:type="spellStart"/>
      <w:r w:rsidRPr="00B1089D">
        <w:t>Cansev’le</w:t>
      </w:r>
      <w:proofErr w:type="spellEnd"/>
      <w:r w:rsidRPr="00B1089D">
        <w:t xml:space="preserve"> çekilen resmimiz duruyormuş. Onları hep almış polisler. Kemikli kadındı karım. Evet, güzel değildi, ama kalbi olan bir kadındı. Ben yok sandım’ (2021:94)</w:t>
      </w:r>
    </w:p>
    <w:p w14:paraId="0A207FF2" w14:textId="77777777" w:rsidR="00FA457D" w:rsidRPr="00D10870" w:rsidRDefault="00FA457D" w:rsidP="00F977D7">
      <w:pPr>
        <w:widowControl/>
        <w:jc w:val="both"/>
      </w:pPr>
      <w:r w:rsidRPr="00B1089D">
        <w:t>Erkeklik egosunda buhran yaşayan anlatıcı sürdürdüğü bu oyunla eşinin ölümüne sebebiyet vermiştir.</w:t>
      </w:r>
    </w:p>
    <w:p w14:paraId="1BD92B7A" w14:textId="77777777" w:rsidR="00FA457D" w:rsidRPr="00B1089D" w:rsidRDefault="00FA457D" w:rsidP="00F977D7">
      <w:pPr>
        <w:widowControl/>
        <w:jc w:val="both"/>
      </w:pPr>
    </w:p>
    <w:p w14:paraId="7565A283" w14:textId="4C6FA873" w:rsidR="00FA457D" w:rsidRPr="00B1089D" w:rsidRDefault="00FA457D" w:rsidP="00F977D7">
      <w:pPr>
        <w:widowControl/>
        <w:jc w:val="both"/>
      </w:pPr>
      <w:r w:rsidRPr="00B1089D">
        <w:rPr>
          <w:b/>
          <w:bCs/>
        </w:rPr>
        <w:t>3.3. Evde Bekleyen Biri</w:t>
      </w:r>
    </w:p>
    <w:p w14:paraId="57186876" w14:textId="77777777" w:rsidR="00FA457D" w:rsidRPr="00D10870" w:rsidRDefault="00FA457D" w:rsidP="00F977D7">
      <w:pPr>
        <w:widowControl/>
        <w:jc w:val="both"/>
      </w:pPr>
      <w:r w:rsidRPr="00B1089D">
        <w:t xml:space="preserve">Polat </w:t>
      </w:r>
      <w:proofErr w:type="spellStart"/>
      <w:r w:rsidRPr="00B1089D">
        <w:t>Özlüoğlu</w:t>
      </w:r>
      <w:proofErr w:type="spellEnd"/>
      <w:r w:rsidRPr="00B1089D">
        <w:t xml:space="preserve"> 1974’te İzmir’de doğdu. Ege Üniversitesi İletişim </w:t>
      </w:r>
      <w:proofErr w:type="spellStart"/>
      <w:r w:rsidRPr="00B1089D">
        <w:t>Fakültesi</w:t>
      </w:r>
      <w:proofErr w:type="spellEnd"/>
      <w:r w:rsidRPr="00B1089D">
        <w:t>, Gazetecilik Bölümü’nde okumuştur.  </w:t>
      </w:r>
      <w:r w:rsidRPr="00B1089D">
        <w:rPr>
          <w:i/>
          <w:iCs/>
        </w:rPr>
        <w:t>Annem, Kovboylar ve Sarhoş Atlar </w:t>
      </w:r>
      <w:r w:rsidRPr="00B1089D">
        <w:t xml:space="preserve">kitabıyla 2022 yılında 7. Antalya Edebiyat </w:t>
      </w:r>
      <w:proofErr w:type="spellStart"/>
      <w:r w:rsidRPr="00B1089D">
        <w:t>Günleri</w:t>
      </w:r>
      <w:proofErr w:type="spellEnd"/>
      <w:r w:rsidRPr="00B1089D">
        <w:t xml:space="preserve"> Yılın En İyi </w:t>
      </w:r>
      <w:proofErr w:type="spellStart"/>
      <w:r w:rsidRPr="00B1089D">
        <w:t>Öyku</w:t>
      </w:r>
      <w:proofErr w:type="spellEnd"/>
      <w:r w:rsidRPr="00B1089D">
        <w:t>̈ Kitabı Ödülü’ne, 2023 yılında Fakir Baykurt Öykü Kitabı Ödülü ve Haldun Taner Öykü Ödülü’ne layık görüldü.</w:t>
      </w:r>
    </w:p>
    <w:p w14:paraId="5E6C4DDB" w14:textId="77777777" w:rsidR="00FA457D" w:rsidRPr="00B1089D" w:rsidRDefault="00FA457D" w:rsidP="00F977D7">
      <w:pPr>
        <w:widowControl/>
        <w:jc w:val="both"/>
      </w:pPr>
    </w:p>
    <w:p w14:paraId="7BF3C656" w14:textId="77777777" w:rsidR="00FA457D" w:rsidRPr="00D10870" w:rsidRDefault="00FA457D" w:rsidP="00F977D7">
      <w:pPr>
        <w:widowControl/>
        <w:jc w:val="both"/>
      </w:pPr>
      <w:r w:rsidRPr="00B1089D">
        <w:t xml:space="preserve">Polat </w:t>
      </w:r>
      <w:proofErr w:type="spellStart"/>
      <w:r w:rsidRPr="00B1089D">
        <w:t>Özlüoğlu</w:t>
      </w:r>
      <w:proofErr w:type="spellEnd"/>
      <w:r w:rsidRPr="00B1089D">
        <w:t xml:space="preserve"> tarafından kaleme alınan “Evde Bekleyen Biri” isimli öyküde ise Zekeriya, pavyonda çalışan cüce bir karakterdir. Annesi ve babası bir kazada o küçükken hayatını kaybettiği için amcası tarafından uzakta bir yatılı okula gönderilmiştir. Liseyi bitirdikten sonra kendini sokaklarda bulan Zekeriya iş aramaya koyulmuştur ancak bedensel yetersizliği sebebiyle iş bulamamış, bulduğu işlerden de kovulmuştur. Günlük işlerde çalışmıştır. Taş Öz ve Yiğit’in çalışmasında bu durum, yani günü kurtaracak işler peşinde koşulması De </w:t>
      </w:r>
      <w:proofErr w:type="spellStart"/>
      <w:r w:rsidRPr="00B1089D">
        <w:t>Certeau</w:t>
      </w:r>
      <w:proofErr w:type="spellEnd"/>
      <w:r w:rsidRPr="00B1089D">
        <w:t xml:space="preserve"> tarafından madunun ayakta kalmasının yolu olarak tanımladığı, bunun bir taktik olduğu belirtilir. (2021) En sonunda kendisine pavyonda iş bulmuştur.</w:t>
      </w:r>
    </w:p>
    <w:p w14:paraId="520CD424" w14:textId="77777777" w:rsidR="00FA457D" w:rsidRPr="00B1089D" w:rsidRDefault="00FA457D" w:rsidP="00F977D7">
      <w:pPr>
        <w:widowControl/>
        <w:jc w:val="both"/>
      </w:pPr>
    </w:p>
    <w:p w14:paraId="51334F81" w14:textId="77777777" w:rsidR="00FA457D" w:rsidRPr="00D10870" w:rsidRDefault="00FA457D" w:rsidP="00F977D7">
      <w:pPr>
        <w:widowControl/>
        <w:jc w:val="both"/>
      </w:pPr>
      <w:r w:rsidRPr="00B1089D">
        <w:t xml:space="preserve">“Ne iş yaparsın dediklerinde her iş deyince buradakiler gülmemiştir. Ortalıkta gezinecek, oradan oraya koşacak birine her zaman ihtiyaç varmış, öyle demişlerdi. Hem burada yani pavyonda, bu dipsiz kuyuda, bu ölü ışıkların altında, yarı kapalı gözlerin kıyısında, yalancı </w:t>
      </w:r>
      <w:r w:rsidRPr="00B1089D">
        <w:lastRenderedPageBreak/>
        <w:t>düşlere yatmış bedenlerin arasında, plastik yüksek taburelerin kuytusunda, bardakların, şişelerin, tabakların ardında pek göze batmıyordu.”</w:t>
      </w:r>
    </w:p>
    <w:p w14:paraId="387DED51" w14:textId="77777777" w:rsidR="00FA457D" w:rsidRPr="00B1089D" w:rsidRDefault="00FA457D" w:rsidP="00F977D7">
      <w:pPr>
        <w:widowControl/>
        <w:jc w:val="both"/>
      </w:pPr>
    </w:p>
    <w:p w14:paraId="52061404" w14:textId="729E2302" w:rsidR="00FA457D" w:rsidRPr="00D10870" w:rsidRDefault="00FA457D" w:rsidP="00F977D7">
      <w:pPr>
        <w:widowControl/>
        <w:jc w:val="both"/>
      </w:pPr>
      <w:r w:rsidRPr="00B1089D">
        <w:t xml:space="preserve">İdeal erkek özellikleri Hegemonik erkeklik tanımlarında kendini göstermektedir.  Pınar Selek’in çalışmasında tespit etmiş olduğu özellikler ise; “Güçlü, sert ve başarılı görünmeyi bilen, duygularını belli etmeyen, diğer yandan oturmasını kalmasını bilen, ağırbaşlı ve sert mizaçlı olan, güvenilir ve dürüst, vücut ölçüleri bakımından yakışıklılık niteliklerini taşıyan, oruç tutmak ve cumaya gitmek gibi dini vazifelerini yerine getiren, yeri gelince dövmesini </w:t>
      </w:r>
      <w:proofErr w:type="gramStart"/>
      <w:r w:rsidRPr="00B1089D">
        <w:t>de,</w:t>
      </w:r>
      <w:proofErr w:type="gramEnd"/>
      <w:r w:rsidRPr="00B1089D">
        <w:t xml:space="preserve"> sevmesini de bilen erkek” şeklinde tanımlanmıştır (Selek, 2018: 127). Ancak öyküde Zekeriya bu ideal özelliklerin hiçbirine bedenindeki kusur sebebiyle erişememiştir. Üstelik bedeni ile ilgili derin buhranlar yaşamaktadır.</w:t>
      </w:r>
    </w:p>
    <w:p w14:paraId="4E3AC441" w14:textId="77777777" w:rsidR="00FA457D" w:rsidRPr="00B1089D" w:rsidRDefault="00FA457D" w:rsidP="00F977D7">
      <w:pPr>
        <w:widowControl/>
        <w:jc w:val="both"/>
      </w:pPr>
    </w:p>
    <w:p w14:paraId="3F87D38B" w14:textId="77777777" w:rsidR="00FA457D" w:rsidRPr="00B1089D" w:rsidRDefault="00FA457D" w:rsidP="00F977D7">
      <w:pPr>
        <w:widowControl/>
        <w:jc w:val="both"/>
      </w:pPr>
      <w:r w:rsidRPr="00B1089D">
        <w:t>“Gözlerini yumdu. Aklından yine aynı şey geçti. Uyandığında dev gibi bir adam olmak. Öyle kapılara sığmayan, başı tavanlara çarpan, kolları ağaçların en yüksek dallarına uzanan, ayakları ayakkabılara sığmayan, kıyafetleri her giydiğinde bedenine küçük gelen bir adam.”</w:t>
      </w:r>
    </w:p>
    <w:p w14:paraId="58CB64D8" w14:textId="77777777" w:rsidR="00FA457D" w:rsidRPr="00D10870" w:rsidRDefault="00FA457D" w:rsidP="00F977D7">
      <w:pPr>
        <w:widowControl/>
        <w:jc w:val="both"/>
      </w:pPr>
      <w:r w:rsidRPr="00B1089D">
        <w:t>Öyle bir rahatsızlıktı ki duyduğu, genelev ziyaretinde dahi oraya gelen diğer erkeklerin bedenlerine imreniyordu.</w:t>
      </w:r>
    </w:p>
    <w:p w14:paraId="0DE89B26" w14:textId="77777777" w:rsidR="00FA457D" w:rsidRPr="00B1089D" w:rsidRDefault="00FA457D" w:rsidP="00F977D7">
      <w:pPr>
        <w:widowControl/>
        <w:jc w:val="both"/>
      </w:pPr>
    </w:p>
    <w:p w14:paraId="2F94AAC4" w14:textId="77777777" w:rsidR="00FA457D" w:rsidRPr="00D10870" w:rsidRDefault="00FA457D" w:rsidP="00F977D7">
      <w:pPr>
        <w:widowControl/>
        <w:jc w:val="both"/>
      </w:pPr>
      <w:r w:rsidRPr="00B1089D">
        <w:t>“Erkeklerin hiçbirisi kendisine benzemiyordu. Et bekleyen sırtlanlar gibi ağızlarından salyalar akarak, elleri apış aralarında etrafta dalgalanan bir sürü adam. İmkânı olsa onlardan biriyle yer değiştirmek için neler vermezdi.”</w:t>
      </w:r>
    </w:p>
    <w:p w14:paraId="7567F040" w14:textId="77777777" w:rsidR="00FA457D" w:rsidRPr="00B1089D" w:rsidRDefault="00FA457D" w:rsidP="00F977D7">
      <w:pPr>
        <w:widowControl/>
        <w:jc w:val="both"/>
      </w:pPr>
    </w:p>
    <w:p w14:paraId="2F78B94B" w14:textId="37B1FEC2" w:rsidR="00FA457D" w:rsidRPr="00B1089D" w:rsidRDefault="00FA457D" w:rsidP="00F977D7">
      <w:pPr>
        <w:widowControl/>
        <w:jc w:val="both"/>
      </w:pPr>
      <w:r w:rsidRPr="00B1089D">
        <w:t>Öyle ki Zekeriya kendini toplumdan izole olarak yaşadığı tek ter olan evinde kendini iyi hissetmek için cansız manken alarak onları kendi bedeninden daha küçük hale getirmiş ve hem yalnızlık hissini hem de bedensel kompleksini telafi etmeye çalışmıştır.</w:t>
      </w:r>
    </w:p>
    <w:p w14:paraId="45693768" w14:textId="77777777" w:rsidR="00FA457D" w:rsidRPr="00B1089D" w:rsidRDefault="00FA457D" w:rsidP="00F977D7">
      <w:pPr>
        <w:widowControl/>
        <w:jc w:val="both"/>
      </w:pPr>
      <w:r w:rsidRPr="00B1089D">
        <w:t>“Zekeriya etten kemiktendi, onlar plastikten, polyesterden, elyaftan olsun ne farkları vardı? Eski püskü kullanılmayan kıyafetler, peruklar bulup giydirmişti hepsine. Vitrinde durduklarından daha mutlu gibiydiler. Hiçbirinin bacakları, yani gövdesinden aşağısı yoktu. Onlara gerek duymamıştı Zekeriya. Hepsinin boyu onunkiyle birdi, hatta bazısı daha kısaydı.”</w:t>
      </w:r>
    </w:p>
    <w:p w14:paraId="707F5D5B" w14:textId="42873C35" w:rsidR="00FA457D" w:rsidRPr="00D10870" w:rsidRDefault="00FA457D" w:rsidP="00F977D7">
      <w:pPr>
        <w:widowControl/>
        <w:jc w:val="both"/>
      </w:pPr>
      <w:r w:rsidRPr="00B1089D">
        <w:t>Zekeriya çalıştığı yer olan pavyonda sahne alan ve getir götür işlerini yaptığı Hülyaya karşı farklı hisler beslemekle birlikte bedeniyle ilgili algıları onun duygusal olarak da açılmasına engel olmaktadır.</w:t>
      </w:r>
    </w:p>
    <w:p w14:paraId="612D5E53" w14:textId="77777777" w:rsidR="00FA457D" w:rsidRPr="00B1089D" w:rsidRDefault="00FA457D" w:rsidP="00F977D7">
      <w:pPr>
        <w:widowControl/>
        <w:jc w:val="both"/>
      </w:pPr>
    </w:p>
    <w:p w14:paraId="24887025" w14:textId="591D8E07" w:rsidR="00FA457D" w:rsidRPr="00D10870" w:rsidRDefault="00FA457D" w:rsidP="00F977D7">
      <w:pPr>
        <w:widowControl/>
        <w:jc w:val="both"/>
      </w:pPr>
      <w:r w:rsidRPr="00B1089D">
        <w:t>“Zekeriya kendini buraya ait hissediyordu. Hoş adını sorsalar bilen çıkmazdı belki ama bir tek Hülya ona adıyla seslenirdi. O adıyla çağırınca, öpülmekten yarılmış kalın dudaklarıyla “Zekeriya” deyince dünya pat diye dururdu.”</w:t>
      </w:r>
    </w:p>
    <w:p w14:paraId="2142F4B0" w14:textId="77777777" w:rsidR="00FA457D" w:rsidRPr="00B1089D" w:rsidRDefault="00FA457D" w:rsidP="00F977D7">
      <w:pPr>
        <w:widowControl/>
        <w:jc w:val="both"/>
      </w:pPr>
    </w:p>
    <w:p w14:paraId="20B1D516" w14:textId="77777777" w:rsidR="00FA457D" w:rsidRPr="00D10870" w:rsidRDefault="00FA457D" w:rsidP="00F977D7">
      <w:pPr>
        <w:widowControl/>
        <w:jc w:val="both"/>
      </w:pPr>
      <w:r w:rsidRPr="00B1089D">
        <w:t>Ancak Hülya onu bir gün azarlarken gurur kırıcı bir cümle söylemişti.</w:t>
      </w:r>
    </w:p>
    <w:p w14:paraId="61487BF7" w14:textId="77777777" w:rsidR="00FA457D" w:rsidRPr="00B1089D" w:rsidRDefault="00FA457D" w:rsidP="00F977D7">
      <w:pPr>
        <w:widowControl/>
        <w:jc w:val="both"/>
      </w:pPr>
    </w:p>
    <w:p w14:paraId="34C89DCE" w14:textId="77777777" w:rsidR="00FA457D" w:rsidRPr="00D10870" w:rsidRDefault="00FA457D" w:rsidP="00F977D7">
      <w:pPr>
        <w:widowControl/>
        <w:jc w:val="both"/>
      </w:pPr>
      <w:r w:rsidRPr="00B1089D">
        <w:t>“…Ama o lafı söylemeyecekti. Herkes söylesin ama o söylemesin. Söylemezdi hiç oysa. Kapısının önündeki köpekten farkı yoktu. Köpeğe köpekliğini hatırlatmak! Olur muydu? Reva mıydı da ağlamıştı işte. “Yıkıl karşımdan pis cüce” diye kovunca kapıyı kapatır kapatmaz kendini dışarı atmıştı…elinde olsa kendini de bu ufacık bedenin dışına atardı ama yapamamıştı.”</w:t>
      </w:r>
    </w:p>
    <w:p w14:paraId="0F5AB0F8" w14:textId="77777777" w:rsidR="00FA457D" w:rsidRPr="00B1089D" w:rsidRDefault="00FA457D" w:rsidP="00F977D7">
      <w:pPr>
        <w:widowControl/>
        <w:jc w:val="both"/>
      </w:pPr>
    </w:p>
    <w:p w14:paraId="2543D85C" w14:textId="5DDE750A" w:rsidR="00FA457D" w:rsidRPr="00D10870" w:rsidRDefault="00FA457D" w:rsidP="00F977D7">
      <w:pPr>
        <w:widowControl/>
        <w:jc w:val="both"/>
      </w:pPr>
      <w:r w:rsidRPr="00B1089D">
        <w:t xml:space="preserve">Doğan’a göre </w:t>
      </w:r>
      <w:proofErr w:type="spellStart"/>
      <w:r w:rsidRPr="00B1089D">
        <w:t>madunluk</w:t>
      </w:r>
      <w:proofErr w:type="spellEnd"/>
      <w:r w:rsidRPr="00B1089D">
        <w:t xml:space="preserve"> ile sağlık arasındaki matris bedendir. Beden </w:t>
      </w:r>
      <w:proofErr w:type="spellStart"/>
      <w:r w:rsidRPr="00B1089D">
        <w:t>madunluğa</w:t>
      </w:r>
      <w:proofErr w:type="spellEnd"/>
      <w:r w:rsidRPr="00B1089D">
        <w:t xml:space="preserve"> yol açabildiği gibi </w:t>
      </w:r>
      <w:proofErr w:type="spellStart"/>
      <w:r w:rsidRPr="00B1089D">
        <w:t>madunluk</w:t>
      </w:r>
      <w:proofErr w:type="spellEnd"/>
      <w:r w:rsidRPr="00B1089D">
        <w:t xml:space="preserve"> da sağlık imkanlarını elverişsiz kılmaktadır. Erkek bedeninin idealize edilişi, bu </w:t>
      </w:r>
      <w:r w:rsidRPr="00B1089D">
        <w:lastRenderedPageBreak/>
        <w:t xml:space="preserve">idealin dışında kalan tüm beden formlarının eksiklik olarak addedilmesi erkeklerde memnuniyetsizlik duygularını yoğunlaştırmaktadır. Hegemonik erkeklik ölçütlerinden olan güçlü erkek imajının karşılanamaması </w:t>
      </w:r>
      <w:proofErr w:type="spellStart"/>
      <w:r w:rsidRPr="00B1089D">
        <w:t>madunlaşmaya</w:t>
      </w:r>
      <w:proofErr w:type="spellEnd"/>
      <w:r w:rsidRPr="00B1089D">
        <w:t xml:space="preserve"> sebebiyet vermektedir. Erkeklik inşası kültürel değerlerle olduğu kadar fiziksel ölçütlerle de belirlenmektedir. Beden prototipine uymayan bir erkek ötekileştirilir.</w:t>
      </w:r>
    </w:p>
    <w:p w14:paraId="36D01917" w14:textId="77777777" w:rsidR="00FA457D" w:rsidRPr="00B1089D" w:rsidRDefault="00FA457D" w:rsidP="00F977D7">
      <w:pPr>
        <w:widowControl/>
        <w:jc w:val="both"/>
      </w:pPr>
    </w:p>
    <w:p w14:paraId="685F4EC3" w14:textId="77777777" w:rsidR="00FA457D" w:rsidRPr="00D10870" w:rsidRDefault="00FA457D" w:rsidP="00F977D7">
      <w:pPr>
        <w:widowControl/>
        <w:jc w:val="both"/>
      </w:pPr>
      <w:r w:rsidRPr="00B1089D">
        <w:t>Artık Zekeriya pavyona gitmemektedir. Hülya’ya olan kızgınlığı sebebiyle öç aldığını düşünmektedir. Bir sabah evde uyurken kapısı çalar.</w:t>
      </w:r>
    </w:p>
    <w:p w14:paraId="2B5D6CA7" w14:textId="77777777" w:rsidR="00FA457D" w:rsidRPr="00B1089D" w:rsidRDefault="00FA457D" w:rsidP="00F977D7">
      <w:pPr>
        <w:widowControl/>
        <w:jc w:val="both"/>
      </w:pPr>
    </w:p>
    <w:p w14:paraId="3A1E0607" w14:textId="77777777" w:rsidR="00FA457D" w:rsidRPr="00D10870" w:rsidRDefault="00FA457D" w:rsidP="00F977D7">
      <w:pPr>
        <w:widowControl/>
        <w:jc w:val="both"/>
      </w:pPr>
      <w:r w:rsidRPr="00B1089D">
        <w:t>“Mutfağa girerken kapı çaldı birden. İrkildi. Sabahın köründe kim olurdu ki?.. Kapı bir daha çalınca telaşlandı. Gidip kapının önünde sessizce bekledi. Nefes nefese kalmış biri vardı sanki kapının ardında …Hülya mı acaba, diye geçirdi içinden.”</w:t>
      </w:r>
    </w:p>
    <w:p w14:paraId="2CDA1FB3" w14:textId="77777777" w:rsidR="00FA457D" w:rsidRPr="00B1089D" w:rsidRDefault="00FA457D" w:rsidP="00F977D7">
      <w:pPr>
        <w:widowControl/>
        <w:jc w:val="both"/>
      </w:pPr>
    </w:p>
    <w:p w14:paraId="46FED1BF" w14:textId="3A3CD9F3" w:rsidR="00FA457D" w:rsidRPr="00B1089D" w:rsidRDefault="00FA457D" w:rsidP="00F977D7">
      <w:pPr>
        <w:widowControl/>
        <w:jc w:val="both"/>
      </w:pPr>
      <w:r w:rsidRPr="00B1089D">
        <w:t>Bir umutla Hülya olduğunu umduğu kişinin çaldığı kapıyı açtığında yüzü gözü morarmış ve ağlayan birisini görmektedir. Kişinin yardıma ihtiyacı olduğu, birisinden kaçtığı aşikardır. Zekeriya kızı içeri alır.</w:t>
      </w:r>
    </w:p>
    <w:p w14:paraId="38C15D4F" w14:textId="77777777" w:rsidR="00FA457D" w:rsidRPr="00D10870" w:rsidRDefault="00FA457D" w:rsidP="00F977D7">
      <w:pPr>
        <w:widowControl/>
        <w:jc w:val="both"/>
      </w:pPr>
      <w:r w:rsidRPr="00B1089D">
        <w:t>“Zekeriya çıkıp sandalyeye oturdu. Kız ona baktı başını eğip. Zekeriya ne diyeceğini bilemedi. Ayakları yere değsin istedi. Uzun zamandır böyle şiddetle istememişti. Ekmek gibi, su gibi istedi.”</w:t>
      </w:r>
    </w:p>
    <w:p w14:paraId="6D258021" w14:textId="77777777" w:rsidR="00FA457D" w:rsidRPr="00B1089D" w:rsidRDefault="00FA457D" w:rsidP="00F977D7">
      <w:pPr>
        <w:widowControl/>
        <w:jc w:val="both"/>
      </w:pPr>
    </w:p>
    <w:p w14:paraId="52B1696C" w14:textId="4B820689" w:rsidR="00FA457D" w:rsidRPr="00D10870" w:rsidRDefault="00FA457D" w:rsidP="00F977D7">
      <w:pPr>
        <w:widowControl/>
        <w:jc w:val="both"/>
      </w:pPr>
      <w:r w:rsidRPr="00B1089D">
        <w:t>Kızla birlikte sessizce beklerlerken kapının şiddetle çalındığını ve Oya isimli kızın adının bir erkek tarafından yüksek sesle çağrıldığını duyarlar. Kız irkilir, Zekeriya korkar. Ancak daha fazla direniş göstermezler ve Zekeriya kapıyı açar. Karşısında beliren adam önce bir şaşkınlık duyar ama Zekeriya’yı geçerek Oya’yı bulmak için eve girer. Zekeriya adamın üzerine atlar ancak bu hamlesini canıyla öder.</w:t>
      </w:r>
    </w:p>
    <w:p w14:paraId="7B2642C0" w14:textId="77777777" w:rsidR="00FA457D" w:rsidRPr="00B1089D" w:rsidRDefault="00FA457D" w:rsidP="00F977D7">
      <w:pPr>
        <w:widowControl/>
        <w:jc w:val="both"/>
      </w:pPr>
    </w:p>
    <w:p w14:paraId="05DBBCE2" w14:textId="77777777" w:rsidR="00FA457D" w:rsidRPr="00B1089D" w:rsidRDefault="00FA457D" w:rsidP="00F977D7">
      <w:pPr>
        <w:widowControl/>
        <w:jc w:val="both"/>
      </w:pPr>
      <w:r w:rsidRPr="00B1089D">
        <w:t>“Zekeriya adamın üzerine atladı birden. Atlamadı sanki uçtu. Garip bir his sarmaladı Zekeriya’yı bu esnada. Çok ferahlamış hissetti kendini, kütük gibi ağır gelen bedeni sanki kuş kadar hafifti niyeyse…o parlak, buz gibi metal şey derisini delip içine doğru etine girerken Zekeriya hiç korkmadı, pişman da olmadı. Kendini iyi hissetti, huzurlu nedense.”</w:t>
      </w:r>
    </w:p>
    <w:p w14:paraId="59E9EAC3" w14:textId="77777777" w:rsidR="00FA457D" w:rsidRPr="00B1089D" w:rsidRDefault="00FA457D" w:rsidP="00F977D7">
      <w:pPr>
        <w:widowControl/>
        <w:jc w:val="both"/>
      </w:pPr>
    </w:p>
    <w:p w14:paraId="7DE031AC" w14:textId="77777777" w:rsidR="00FA457D" w:rsidRPr="00B1089D" w:rsidRDefault="00FA457D" w:rsidP="00F977D7">
      <w:pPr>
        <w:widowControl/>
        <w:jc w:val="both"/>
      </w:pPr>
      <w:r w:rsidRPr="00D10870">
        <w:rPr>
          <w:b/>
          <w:bCs/>
        </w:rPr>
        <w:t>Sonuç</w:t>
      </w:r>
    </w:p>
    <w:p w14:paraId="1CDE96D6" w14:textId="564185A4" w:rsidR="00FA457D" w:rsidRPr="00B1089D" w:rsidRDefault="00FA457D" w:rsidP="00F977D7">
      <w:pPr>
        <w:widowControl/>
        <w:jc w:val="both"/>
      </w:pPr>
      <w:r w:rsidRPr="00B1089D">
        <w:t>Sosyal yapı içerisinde kadınlara ve erkeklere atfedilen toplumsal cinsiyet rolleri ve bu roller içerisinde konumuyla diğerlerini belirleyen erkeklik kavramı çerçevesinde incelemede bulunulmuştur. Toplumsal cinsiyet rejimi eril değerler üzerinde yükselmiştir. Bu eril değerleri karşılayan erkeklik tipi olarak da hegemonik erkekliğe işaret edilmektedir. Hegemonik erkeklik tek bir tanımlama ya da kalıba sığdırılmamakla birlikte; heteroseksüel, beyaz yakalı, rekabetçi, erkekliğe dair olan tüm süreçleri (askerlik, sünnet gibi) tamamlamış, ev geçindiren biri konumundadır. Dolayısıyla bu özellikleri barındırmayanların ötekileştirilmesi ya da yeterliliklerini bu sayılan unsurlara sahipse ispatlayabileceği algısının dışındaki erkeklerden madun olarak sayılabilecek erkeklere yer veren öyküler incelenmiştir.</w:t>
      </w:r>
    </w:p>
    <w:p w14:paraId="224D5341" w14:textId="2AB0D68C" w:rsidR="00FA457D" w:rsidRPr="00D10870" w:rsidRDefault="00FA457D" w:rsidP="00F977D7">
      <w:pPr>
        <w:widowControl/>
        <w:jc w:val="both"/>
      </w:pPr>
      <w:r w:rsidRPr="00B1089D">
        <w:t xml:space="preserve">Bu çalışmada, Murathan Mungan tarafından derlenen öykülerinin temel sorunsalı konumunda bulunan “erkeklik” kimliğinin ve bu kimliğin ötekileştirdiği madun erkek kimliğinin öyküleştirilerek kurmacaya monte edilmesinin izlerini sürmek hedeflenmiştir. Bu analiz yapılırken de </w:t>
      </w:r>
      <w:proofErr w:type="spellStart"/>
      <w:r w:rsidRPr="00B1089D">
        <w:t>Connell’ın</w:t>
      </w:r>
      <w:proofErr w:type="spellEnd"/>
      <w:r w:rsidRPr="00B1089D">
        <w:t xml:space="preserve"> kullandığı madun kavramının kökeninin, tarihsel süreçte kavramı ortaya çıkaran fikirlerin, madun diye tabir edilen kesimin özelliklerinin ne olduğu incelenmiştir.</w:t>
      </w:r>
    </w:p>
    <w:p w14:paraId="0B7FB158" w14:textId="77777777" w:rsidR="00FA457D" w:rsidRPr="00B1089D" w:rsidRDefault="00FA457D" w:rsidP="00F977D7">
      <w:pPr>
        <w:widowControl/>
        <w:jc w:val="both"/>
      </w:pPr>
    </w:p>
    <w:p w14:paraId="3CC33072" w14:textId="77777777" w:rsidR="00FA457D" w:rsidRPr="00B1089D" w:rsidRDefault="00FA457D" w:rsidP="00F977D7">
      <w:pPr>
        <w:widowControl/>
        <w:jc w:val="both"/>
      </w:pPr>
      <w:proofErr w:type="spellStart"/>
      <w:r w:rsidRPr="00B1089D">
        <w:lastRenderedPageBreak/>
        <w:t>Gramchi</w:t>
      </w:r>
      <w:proofErr w:type="spellEnd"/>
      <w:r w:rsidRPr="00B1089D">
        <w:t xml:space="preserve"> tarafından ortaya konan madun kavramının </w:t>
      </w:r>
      <w:proofErr w:type="spellStart"/>
      <w:r w:rsidRPr="00B1089D">
        <w:t>Connell</w:t>
      </w:r>
      <w:proofErr w:type="spellEnd"/>
      <w:r w:rsidRPr="00B1089D">
        <w:t xml:space="preserve"> tarafından erkeklik çalışmalarına kazandırılması neticesinde bu kimliğin atfettiği roller ve davranışların edebiyat yoluyla bir nebze de olsa somutlaştırılması sağlanmaya çalışılmıştır. Bu bağlamda Avustralyalı sosyolog </w:t>
      </w:r>
      <w:proofErr w:type="spellStart"/>
      <w:r w:rsidRPr="00B1089D">
        <w:t>Connell</w:t>
      </w:r>
      <w:proofErr w:type="spellEnd"/>
      <w:r w:rsidRPr="00B1089D">
        <w:t xml:space="preserve"> tarafından kavramsallaştırılan hegemonik erkeklik ve madun erkeklik nosyonunu edebî dünyaya taşıyarak bu kavramın ve ötekileştirilen erkeklerin izini kurmaca metinlerde arayan bu çalışma, edebiyat ve sosyoloji alanlarının bir araya getirildiği </w:t>
      </w:r>
      <w:proofErr w:type="spellStart"/>
      <w:r w:rsidRPr="00B1089D">
        <w:t>disiplinlerarası</w:t>
      </w:r>
      <w:proofErr w:type="spellEnd"/>
      <w:r w:rsidRPr="00B1089D">
        <w:t xml:space="preserve"> bir yaklaşımla oluşturulmaya çalışılmıştır.</w:t>
      </w:r>
    </w:p>
    <w:p w14:paraId="27265716" w14:textId="77777777" w:rsidR="00FA457D" w:rsidRPr="00B1089D" w:rsidRDefault="00FA457D" w:rsidP="00F977D7">
      <w:pPr>
        <w:widowControl/>
        <w:jc w:val="both"/>
      </w:pPr>
    </w:p>
    <w:p w14:paraId="04E7C063" w14:textId="77777777" w:rsidR="00FA457D" w:rsidRPr="00B1089D" w:rsidRDefault="00FA457D" w:rsidP="00F977D7">
      <w:pPr>
        <w:widowControl/>
        <w:jc w:val="both"/>
      </w:pPr>
      <w:r w:rsidRPr="00B1089D">
        <w:rPr>
          <w:b/>
          <w:bCs/>
        </w:rPr>
        <w:t>KAYNAKÇA</w:t>
      </w:r>
    </w:p>
    <w:p w14:paraId="49CC3DD4" w14:textId="77777777" w:rsidR="00FA457D" w:rsidRPr="00B1089D" w:rsidRDefault="00FA457D">
      <w:pPr>
        <w:pStyle w:val="ListeParagraf"/>
        <w:widowControl/>
        <w:numPr>
          <w:ilvl w:val="0"/>
          <w:numId w:val="67"/>
        </w:numPr>
        <w:jc w:val="both"/>
      </w:pPr>
      <w:r w:rsidRPr="00B1089D">
        <w:t xml:space="preserve">Atak, S. (2021). </w:t>
      </w:r>
      <w:r w:rsidRPr="00F977D7">
        <w:rPr>
          <w:i/>
          <w:iCs/>
        </w:rPr>
        <w:t>Kahvehane müdavimi erkeklerin erkeklik deneyimleri ve toplumsal cinsiyet temelli şiddete bakış açıları üzerine niteliksel bir araştırma</w:t>
      </w:r>
      <w:r w:rsidRPr="00B1089D">
        <w:t xml:space="preserve"> (Yayımlanmış yüksek lisans tezi). Dokuz Eylül Üniversitesi, Sosyal Bilimler Enstitüsü, İzmir.</w:t>
      </w:r>
    </w:p>
    <w:p w14:paraId="3B6CB9C5" w14:textId="77777777" w:rsidR="00FA457D" w:rsidRPr="00B1089D" w:rsidRDefault="00FA457D">
      <w:pPr>
        <w:pStyle w:val="ListeParagraf"/>
        <w:widowControl/>
        <w:numPr>
          <w:ilvl w:val="0"/>
          <w:numId w:val="67"/>
        </w:numPr>
        <w:jc w:val="both"/>
      </w:pPr>
      <w:r w:rsidRPr="00B1089D">
        <w:t xml:space="preserve">Ayhan, F., &amp; Barutçu, A. (2023). Hegemonik erkeklikten erkekliğin kırılganlığına: </w:t>
      </w:r>
      <w:proofErr w:type="spellStart"/>
      <w:r w:rsidRPr="00F977D7">
        <w:rPr>
          <w:i/>
          <w:iCs/>
        </w:rPr>
        <w:t>The</w:t>
      </w:r>
      <w:proofErr w:type="spellEnd"/>
      <w:r w:rsidRPr="00F977D7">
        <w:rPr>
          <w:i/>
          <w:iCs/>
        </w:rPr>
        <w:t xml:space="preserve"> </w:t>
      </w:r>
      <w:proofErr w:type="spellStart"/>
      <w:r w:rsidRPr="00F977D7">
        <w:rPr>
          <w:i/>
          <w:iCs/>
        </w:rPr>
        <w:t>Power</w:t>
      </w:r>
      <w:proofErr w:type="spellEnd"/>
      <w:r w:rsidRPr="00F977D7">
        <w:rPr>
          <w:i/>
          <w:iCs/>
        </w:rPr>
        <w:t xml:space="preserve"> of </w:t>
      </w:r>
      <w:proofErr w:type="spellStart"/>
      <w:r w:rsidRPr="00F977D7">
        <w:rPr>
          <w:i/>
          <w:iCs/>
        </w:rPr>
        <w:t>the</w:t>
      </w:r>
      <w:proofErr w:type="spellEnd"/>
      <w:r w:rsidRPr="00F977D7">
        <w:rPr>
          <w:i/>
          <w:iCs/>
        </w:rPr>
        <w:t xml:space="preserve"> </w:t>
      </w:r>
      <w:proofErr w:type="spellStart"/>
      <w:r w:rsidRPr="00F977D7">
        <w:rPr>
          <w:i/>
          <w:iCs/>
        </w:rPr>
        <w:t>Dog</w:t>
      </w:r>
      <w:proofErr w:type="spellEnd"/>
      <w:r w:rsidRPr="00B1089D">
        <w:t xml:space="preserve"> filminde </w:t>
      </w:r>
      <w:proofErr w:type="spellStart"/>
      <w:r w:rsidRPr="00B1089D">
        <w:t>homososyal</w:t>
      </w:r>
      <w:proofErr w:type="spellEnd"/>
      <w:r w:rsidRPr="00B1089D">
        <w:t xml:space="preserve"> ilişkiler. </w:t>
      </w:r>
      <w:r w:rsidRPr="00F977D7">
        <w:rPr>
          <w:i/>
          <w:iCs/>
        </w:rPr>
        <w:t>Manisa Celal Bayar Üniversitesi Sosyal Bilimler Dergisi, 21</w:t>
      </w:r>
      <w:r w:rsidRPr="00B1089D">
        <w:t>(4), 113-130.</w:t>
      </w:r>
    </w:p>
    <w:p w14:paraId="551F868B" w14:textId="77777777" w:rsidR="00FA457D" w:rsidRPr="00B1089D" w:rsidRDefault="00FA457D">
      <w:pPr>
        <w:pStyle w:val="ListeParagraf"/>
        <w:widowControl/>
        <w:numPr>
          <w:ilvl w:val="0"/>
          <w:numId w:val="67"/>
        </w:numPr>
        <w:jc w:val="both"/>
      </w:pPr>
      <w:r w:rsidRPr="00B1089D">
        <w:t xml:space="preserve">Bozok, M. (2009). Feminizmin erkekler cephesindeki yankısı: Erkekler ve erkeklik üzerine eleştirel incelemeler. </w:t>
      </w:r>
      <w:proofErr w:type="spellStart"/>
      <w:r w:rsidRPr="00F977D7">
        <w:rPr>
          <w:i/>
          <w:iCs/>
        </w:rPr>
        <w:t>Cogito</w:t>
      </w:r>
      <w:proofErr w:type="spellEnd"/>
      <w:r w:rsidRPr="00F977D7">
        <w:rPr>
          <w:i/>
          <w:iCs/>
        </w:rPr>
        <w:t xml:space="preserve"> Dergisi, 58</w:t>
      </w:r>
      <w:r w:rsidRPr="00B1089D">
        <w:t>, 269-284.</w:t>
      </w:r>
    </w:p>
    <w:p w14:paraId="35796361" w14:textId="77777777" w:rsidR="00FA457D" w:rsidRPr="00B1089D" w:rsidRDefault="00FA457D">
      <w:pPr>
        <w:pStyle w:val="ListeParagraf"/>
        <w:widowControl/>
        <w:numPr>
          <w:ilvl w:val="0"/>
          <w:numId w:val="67"/>
        </w:numPr>
        <w:jc w:val="both"/>
      </w:pPr>
      <w:r w:rsidRPr="00B1089D">
        <w:t xml:space="preserve">Bozok, M. (2011). </w:t>
      </w:r>
      <w:r w:rsidRPr="00F977D7">
        <w:rPr>
          <w:i/>
          <w:iCs/>
        </w:rPr>
        <w:t>Soru ve cevaplarla erkeklikler</w:t>
      </w:r>
      <w:r w:rsidRPr="00B1089D">
        <w:t>. Sosyal Kalkınma ve Cinsiyet Eşitliği Politikaları Merkezi Derneği.</w:t>
      </w:r>
    </w:p>
    <w:p w14:paraId="0CE654C3" w14:textId="77777777" w:rsidR="00FA457D" w:rsidRPr="00B1089D" w:rsidRDefault="00FA457D">
      <w:pPr>
        <w:pStyle w:val="ListeParagraf"/>
        <w:widowControl/>
        <w:numPr>
          <w:ilvl w:val="0"/>
          <w:numId w:val="67"/>
        </w:numPr>
        <w:jc w:val="both"/>
      </w:pPr>
      <w:r w:rsidRPr="00B1089D">
        <w:t xml:space="preserve">Cengiz, K., Tol, U. U., &amp; </w:t>
      </w:r>
      <w:proofErr w:type="spellStart"/>
      <w:r w:rsidRPr="00B1089D">
        <w:t>Küçükural</w:t>
      </w:r>
      <w:proofErr w:type="spellEnd"/>
      <w:r w:rsidRPr="00B1089D">
        <w:t xml:space="preserve">, Ö. (2004). Hegemonik erkekliğin peşinden. </w:t>
      </w:r>
      <w:r w:rsidRPr="00F977D7">
        <w:rPr>
          <w:i/>
          <w:iCs/>
        </w:rPr>
        <w:t>Toplum ve Bilim, 101</w:t>
      </w:r>
      <w:r w:rsidRPr="00B1089D">
        <w:t>, 50-70.</w:t>
      </w:r>
    </w:p>
    <w:p w14:paraId="7B4E6C1E" w14:textId="77777777" w:rsidR="00FA457D" w:rsidRPr="00B1089D" w:rsidRDefault="00FA457D">
      <w:pPr>
        <w:pStyle w:val="ListeParagraf"/>
        <w:widowControl/>
        <w:numPr>
          <w:ilvl w:val="0"/>
          <w:numId w:val="67"/>
        </w:numPr>
        <w:jc w:val="both"/>
      </w:pPr>
      <w:proofErr w:type="spellStart"/>
      <w:r w:rsidRPr="00B1089D">
        <w:t>Connell</w:t>
      </w:r>
      <w:proofErr w:type="spellEnd"/>
      <w:r w:rsidRPr="00B1089D">
        <w:t xml:space="preserve">, R. W. (2019). </w:t>
      </w:r>
      <w:r w:rsidRPr="00F977D7">
        <w:rPr>
          <w:i/>
          <w:iCs/>
        </w:rPr>
        <w:t>Erkeklikler</w:t>
      </w:r>
      <w:r w:rsidRPr="00B1089D">
        <w:t xml:space="preserve"> (N. </w:t>
      </w:r>
      <w:proofErr w:type="spellStart"/>
      <w:r w:rsidRPr="00B1089D">
        <w:t>Konukcu</w:t>
      </w:r>
      <w:proofErr w:type="spellEnd"/>
      <w:r w:rsidRPr="00B1089D">
        <w:t>, Çev.). Phoenix.</w:t>
      </w:r>
    </w:p>
    <w:p w14:paraId="0A96AC58" w14:textId="77777777" w:rsidR="00FA457D" w:rsidRPr="00B1089D" w:rsidRDefault="00FA457D">
      <w:pPr>
        <w:pStyle w:val="ListeParagraf"/>
        <w:widowControl/>
        <w:numPr>
          <w:ilvl w:val="0"/>
          <w:numId w:val="67"/>
        </w:numPr>
        <w:jc w:val="both"/>
      </w:pPr>
      <w:proofErr w:type="spellStart"/>
      <w:r w:rsidRPr="00B1089D">
        <w:t>Connell</w:t>
      </w:r>
      <w:proofErr w:type="spellEnd"/>
      <w:r w:rsidRPr="00B1089D">
        <w:t xml:space="preserve">, R. W. (2022). </w:t>
      </w:r>
      <w:r w:rsidRPr="00F977D7">
        <w:rPr>
          <w:i/>
          <w:iCs/>
        </w:rPr>
        <w:t>Toplumsal cinsiyet ve iktidar</w:t>
      </w:r>
      <w:r w:rsidRPr="00B1089D">
        <w:t xml:space="preserve"> (C. </w:t>
      </w:r>
      <w:proofErr w:type="spellStart"/>
      <w:r w:rsidRPr="00B1089D">
        <w:t>Soydemir</w:t>
      </w:r>
      <w:proofErr w:type="spellEnd"/>
      <w:r w:rsidRPr="00B1089D">
        <w:t>, Çev., 5. basım). Ayrıntı Yayınları.</w:t>
      </w:r>
    </w:p>
    <w:p w14:paraId="515E5FBE" w14:textId="77777777" w:rsidR="00FA457D" w:rsidRPr="00B1089D" w:rsidRDefault="00FA457D">
      <w:pPr>
        <w:pStyle w:val="ListeParagraf"/>
        <w:widowControl/>
        <w:numPr>
          <w:ilvl w:val="0"/>
          <w:numId w:val="67"/>
        </w:numPr>
        <w:jc w:val="both"/>
      </w:pPr>
      <w:r w:rsidRPr="00B1089D">
        <w:t xml:space="preserve">Çelik, A. (2022). </w:t>
      </w:r>
      <w:proofErr w:type="spellStart"/>
      <w:r w:rsidRPr="00F977D7">
        <w:rPr>
          <w:i/>
          <w:iCs/>
        </w:rPr>
        <w:t>Gayatri</w:t>
      </w:r>
      <w:proofErr w:type="spellEnd"/>
      <w:r w:rsidRPr="00F977D7">
        <w:rPr>
          <w:i/>
          <w:iCs/>
        </w:rPr>
        <w:t xml:space="preserve"> </w:t>
      </w:r>
      <w:proofErr w:type="spellStart"/>
      <w:r w:rsidRPr="00F977D7">
        <w:rPr>
          <w:i/>
          <w:iCs/>
        </w:rPr>
        <w:t>Chakravorty</w:t>
      </w:r>
      <w:proofErr w:type="spellEnd"/>
      <w:r w:rsidRPr="00F977D7">
        <w:rPr>
          <w:i/>
          <w:iCs/>
        </w:rPr>
        <w:t xml:space="preserve"> </w:t>
      </w:r>
      <w:proofErr w:type="spellStart"/>
      <w:r w:rsidRPr="00F977D7">
        <w:rPr>
          <w:i/>
          <w:iCs/>
        </w:rPr>
        <w:t>Spivak’ın</w:t>
      </w:r>
      <w:proofErr w:type="spellEnd"/>
      <w:r w:rsidRPr="00F977D7">
        <w:rPr>
          <w:i/>
          <w:iCs/>
        </w:rPr>
        <w:t xml:space="preserve"> madun kavramı bağlamında Filistinli kimliğinin Batı medyasında temsil edilmesi</w:t>
      </w:r>
      <w:r w:rsidRPr="00B1089D">
        <w:t xml:space="preserve"> (Yayımlanmış doktora tezi). Atatürk Üniversitesi, Sosyal Bilimler Enstitüsü, Erzurum.</w:t>
      </w:r>
    </w:p>
    <w:p w14:paraId="2C8BE992" w14:textId="77777777" w:rsidR="00FA457D" w:rsidRPr="00B1089D" w:rsidRDefault="00FA457D">
      <w:pPr>
        <w:pStyle w:val="ListeParagraf"/>
        <w:widowControl/>
        <w:numPr>
          <w:ilvl w:val="0"/>
          <w:numId w:val="67"/>
        </w:numPr>
        <w:jc w:val="both"/>
      </w:pPr>
      <w:proofErr w:type="spellStart"/>
      <w:r w:rsidRPr="00B1089D">
        <w:t>Dilben</w:t>
      </w:r>
      <w:proofErr w:type="spellEnd"/>
      <w:r w:rsidRPr="00B1089D">
        <w:t xml:space="preserve">, F. (2021). Aşina olunan beş vakitli gün: Mütedeyyin erkeklerin sekülerleşme pratikleri. </w:t>
      </w:r>
      <w:r w:rsidRPr="00F977D7">
        <w:rPr>
          <w:i/>
          <w:iCs/>
        </w:rPr>
        <w:t>Hacettepe Üniversitesi İletişim Fakültesi Kültürel Çalışmalar Dergisi, 8</w:t>
      </w:r>
      <w:r w:rsidRPr="00B1089D">
        <w:t>(1), 88-105.</w:t>
      </w:r>
    </w:p>
    <w:p w14:paraId="0E8C4EF3" w14:textId="77777777" w:rsidR="00FA457D" w:rsidRPr="00B1089D" w:rsidRDefault="00FA457D">
      <w:pPr>
        <w:pStyle w:val="ListeParagraf"/>
        <w:widowControl/>
        <w:numPr>
          <w:ilvl w:val="0"/>
          <w:numId w:val="67"/>
        </w:numPr>
        <w:jc w:val="both"/>
      </w:pPr>
      <w:r w:rsidRPr="00B1089D">
        <w:t xml:space="preserve">Doğan, E. (2019). </w:t>
      </w:r>
      <w:proofErr w:type="spellStart"/>
      <w:r w:rsidRPr="00F977D7">
        <w:rPr>
          <w:i/>
          <w:iCs/>
        </w:rPr>
        <w:t>Maduniyet</w:t>
      </w:r>
      <w:proofErr w:type="spellEnd"/>
      <w:r w:rsidRPr="00F977D7">
        <w:rPr>
          <w:i/>
          <w:iCs/>
        </w:rPr>
        <w:t xml:space="preserve"> çalışmaları ve Sait Faik Abasıyanık öykülerinde </w:t>
      </w:r>
      <w:proofErr w:type="spellStart"/>
      <w:r w:rsidRPr="00F977D7">
        <w:rPr>
          <w:i/>
          <w:iCs/>
        </w:rPr>
        <w:t>madunluk</w:t>
      </w:r>
      <w:proofErr w:type="spellEnd"/>
      <w:r w:rsidRPr="00F977D7">
        <w:rPr>
          <w:i/>
          <w:iCs/>
        </w:rPr>
        <w:t xml:space="preserve"> üzerine bir inceleme</w:t>
      </w:r>
      <w:r w:rsidRPr="00B1089D">
        <w:t xml:space="preserve"> (Yayımlanmamış yüksek lisans tezi). Sakarya Üniversitesi, Sosyal Bilimler Enstitüsü, Sakarya.</w:t>
      </w:r>
    </w:p>
    <w:p w14:paraId="37BD69A3" w14:textId="77777777" w:rsidR="00FA457D" w:rsidRPr="00B1089D" w:rsidRDefault="00FA457D">
      <w:pPr>
        <w:pStyle w:val="ListeParagraf"/>
        <w:widowControl/>
        <w:numPr>
          <w:ilvl w:val="0"/>
          <w:numId w:val="67"/>
        </w:numPr>
        <w:jc w:val="both"/>
      </w:pPr>
      <w:r w:rsidRPr="00B1089D">
        <w:t xml:space="preserve">Ezgin Ağıllı, S., &amp; Açık </w:t>
      </w:r>
      <w:proofErr w:type="spellStart"/>
      <w:r w:rsidRPr="00B1089D">
        <w:t>Turğuter</w:t>
      </w:r>
      <w:proofErr w:type="spellEnd"/>
      <w:r w:rsidRPr="00B1089D">
        <w:t xml:space="preserve">, E. (2021). “Feminen” alanlarda </w:t>
      </w:r>
      <w:proofErr w:type="gramStart"/>
      <w:r w:rsidRPr="00B1089D">
        <w:t>erkek(</w:t>
      </w:r>
      <w:proofErr w:type="spellStart"/>
      <w:proofErr w:type="gramEnd"/>
      <w:r w:rsidRPr="00B1089D">
        <w:t>lik</w:t>
      </w:r>
      <w:proofErr w:type="spellEnd"/>
      <w:r w:rsidRPr="00B1089D">
        <w:t>)</w:t>
      </w:r>
      <w:proofErr w:type="spellStart"/>
      <w:r w:rsidRPr="00B1089D">
        <w:t>ler</w:t>
      </w:r>
      <w:proofErr w:type="spellEnd"/>
      <w:r w:rsidRPr="00B1089D">
        <w:t xml:space="preserve">: Düşünceler, önyargılar, deneyimler. </w:t>
      </w:r>
      <w:r w:rsidRPr="00F977D7">
        <w:rPr>
          <w:i/>
          <w:iCs/>
        </w:rPr>
        <w:t>Fe Dergi, 13</w:t>
      </w:r>
      <w:r w:rsidRPr="00B1089D">
        <w:t>(1), 1-15.</w:t>
      </w:r>
    </w:p>
    <w:p w14:paraId="788A763E" w14:textId="77777777" w:rsidR="00FA457D" w:rsidRPr="00B1089D" w:rsidRDefault="00FA457D">
      <w:pPr>
        <w:pStyle w:val="ListeParagraf"/>
        <w:widowControl/>
        <w:numPr>
          <w:ilvl w:val="0"/>
          <w:numId w:val="67"/>
        </w:numPr>
        <w:jc w:val="both"/>
      </w:pPr>
      <w:r w:rsidRPr="00B1089D">
        <w:t xml:space="preserve">Gezici, N. (2022). </w:t>
      </w:r>
      <w:r w:rsidRPr="00F977D7">
        <w:rPr>
          <w:i/>
          <w:iCs/>
        </w:rPr>
        <w:t xml:space="preserve">Türkiye’de </w:t>
      </w:r>
      <w:proofErr w:type="spellStart"/>
      <w:r w:rsidRPr="00F977D7">
        <w:rPr>
          <w:i/>
          <w:iCs/>
        </w:rPr>
        <w:t>maduniyet</w:t>
      </w:r>
      <w:proofErr w:type="spellEnd"/>
      <w:r w:rsidRPr="00F977D7">
        <w:rPr>
          <w:i/>
          <w:iCs/>
        </w:rPr>
        <w:t xml:space="preserve"> çalışmaları üzerine kuramsal bir araştırma</w:t>
      </w:r>
      <w:r w:rsidRPr="00B1089D">
        <w:t xml:space="preserve"> (Yayımlanmış yüksek lisans tezi). Adnan Menderes Üniversitesi, Sosyal Bilimler Enstitüsü, Aydın.</w:t>
      </w:r>
    </w:p>
    <w:p w14:paraId="72E7152B" w14:textId="77777777" w:rsidR="00FA457D" w:rsidRPr="00B1089D" w:rsidRDefault="00FA457D">
      <w:pPr>
        <w:pStyle w:val="ListeParagraf"/>
        <w:widowControl/>
        <w:numPr>
          <w:ilvl w:val="0"/>
          <w:numId w:val="67"/>
        </w:numPr>
        <w:jc w:val="both"/>
      </w:pPr>
      <w:proofErr w:type="spellStart"/>
      <w:r w:rsidRPr="00B1089D">
        <w:t>Hooks</w:t>
      </w:r>
      <w:proofErr w:type="spellEnd"/>
      <w:r w:rsidRPr="00B1089D">
        <w:t xml:space="preserve">, B. (2004). </w:t>
      </w:r>
      <w:r w:rsidRPr="00F977D7">
        <w:rPr>
          <w:i/>
          <w:iCs/>
        </w:rPr>
        <w:t>Değişme isteği: Erkekler, erkeklik ve sevgi</w:t>
      </w:r>
      <w:r w:rsidRPr="00B1089D">
        <w:t>. BGST Yayınları.</w:t>
      </w:r>
    </w:p>
    <w:p w14:paraId="2623FB26" w14:textId="77777777" w:rsidR="00FA457D" w:rsidRPr="00B1089D" w:rsidRDefault="00FA457D">
      <w:pPr>
        <w:pStyle w:val="ListeParagraf"/>
        <w:widowControl/>
        <w:numPr>
          <w:ilvl w:val="0"/>
          <w:numId w:val="67"/>
        </w:numPr>
        <w:jc w:val="both"/>
      </w:pPr>
      <w:r w:rsidRPr="00B1089D">
        <w:t xml:space="preserve">Köse, H., &amp; Çelik, A. (2023). “Anlatma izni” kavramı odağında Filistinli madun kimliğinin haber anlatı diline yansıması. </w:t>
      </w:r>
      <w:r w:rsidRPr="00F977D7">
        <w:rPr>
          <w:i/>
          <w:iCs/>
        </w:rPr>
        <w:t>Marmara Üniversitesi Siyasal Bilimler Dergisi, 11</w:t>
      </w:r>
      <w:r w:rsidRPr="00B1089D">
        <w:t>(1), Mart 2023.</w:t>
      </w:r>
    </w:p>
    <w:p w14:paraId="4D66A344" w14:textId="77777777" w:rsidR="00FA457D" w:rsidRPr="00B1089D" w:rsidRDefault="00FA457D">
      <w:pPr>
        <w:pStyle w:val="ListeParagraf"/>
        <w:widowControl/>
        <w:numPr>
          <w:ilvl w:val="0"/>
          <w:numId w:val="67"/>
        </w:numPr>
        <w:jc w:val="both"/>
      </w:pPr>
      <w:proofErr w:type="spellStart"/>
      <w:r w:rsidRPr="00B1089D">
        <w:t>Manap</w:t>
      </w:r>
      <w:proofErr w:type="spellEnd"/>
      <w:r w:rsidRPr="00B1089D">
        <w:t xml:space="preserve">, H. M. (tarih yok). </w:t>
      </w:r>
      <w:r w:rsidRPr="00F977D7">
        <w:rPr>
          <w:i/>
          <w:iCs/>
        </w:rPr>
        <w:t xml:space="preserve">Konuşan ama duyulmayan </w:t>
      </w:r>
      <w:proofErr w:type="gramStart"/>
      <w:r w:rsidRPr="00F977D7">
        <w:rPr>
          <w:i/>
          <w:iCs/>
        </w:rPr>
        <w:t>daimi</w:t>
      </w:r>
      <w:proofErr w:type="gramEnd"/>
      <w:r w:rsidRPr="00F977D7">
        <w:rPr>
          <w:i/>
          <w:iCs/>
        </w:rPr>
        <w:t xml:space="preserve"> öteki: Madun</w:t>
      </w:r>
      <w:r w:rsidRPr="00B1089D">
        <w:t xml:space="preserve"> (Yayımlanmamış yüksek lisans tezi). İstanbul Üniversitesi, Sosyal Bilimler Enstitüsü.</w:t>
      </w:r>
    </w:p>
    <w:p w14:paraId="759245F6" w14:textId="77777777" w:rsidR="00FA457D" w:rsidRPr="00B1089D" w:rsidRDefault="00FA457D">
      <w:pPr>
        <w:pStyle w:val="ListeParagraf"/>
        <w:widowControl/>
        <w:numPr>
          <w:ilvl w:val="0"/>
          <w:numId w:val="67"/>
        </w:numPr>
        <w:jc w:val="both"/>
      </w:pPr>
      <w:proofErr w:type="spellStart"/>
      <w:r w:rsidRPr="00B1089D">
        <w:t>Messerschmidt</w:t>
      </w:r>
      <w:proofErr w:type="spellEnd"/>
      <w:r w:rsidRPr="00B1089D">
        <w:t xml:space="preserve">, J. W. (2019). </w:t>
      </w:r>
      <w:r w:rsidRPr="00F977D7">
        <w:rPr>
          <w:i/>
          <w:iCs/>
        </w:rPr>
        <w:t>Hegemonik erkeklik: Formülasyon, yeniden formülasyon ve genişleme</w:t>
      </w:r>
      <w:r w:rsidRPr="00B1089D">
        <w:t xml:space="preserve"> (Eleştirel Erkeklik İncelemeleri İnisiyatifi, Çev.). Özyeğin Üniversitesi Yayınları.</w:t>
      </w:r>
    </w:p>
    <w:p w14:paraId="0792DB8B" w14:textId="77777777" w:rsidR="00FA457D" w:rsidRPr="00B1089D" w:rsidRDefault="00FA457D">
      <w:pPr>
        <w:pStyle w:val="ListeParagraf"/>
        <w:widowControl/>
        <w:numPr>
          <w:ilvl w:val="0"/>
          <w:numId w:val="67"/>
        </w:numPr>
        <w:jc w:val="both"/>
      </w:pPr>
      <w:r w:rsidRPr="00B1089D">
        <w:lastRenderedPageBreak/>
        <w:t xml:space="preserve">Mungan, M. (2021). </w:t>
      </w:r>
      <w:r w:rsidRPr="00F977D7">
        <w:rPr>
          <w:i/>
          <w:iCs/>
        </w:rPr>
        <w:t>Erkekler yalnızlıklar</w:t>
      </w:r>
      <w:r w:rsidRPr="00B1089D">
        <w:t>. Metis Yayınları.</w:t>
      </w:r>
    </w:p>
    <w:p w14:paraId="27FD09A3" w14:textId="77777777" w:rsidR="00FA457D" w:rsidRPr="00B1089D" w:rsidRDefault="00FA457D">
      <w:pPr>
        <w:pStyle w:val="ListeParagraf"/>
        <w:widowControl/>
        <w:numPr>
          <w:ilvl w:val="0"/>
          <w:numId w:val="67"/>
        </w:numPr>
        <w:jc w:val="both"/>
      </w:pPr>
      <w:r w:rsidRPr="00B1089D">
        <w:t xml:space="preserve">Özbay, C. (2013). Türkiye’de hegemonik erkekliği aramak. </w:t>
      </w:r>
      <w:r w:rsidRPr="00F977D7">
        <w:rPr>
          <w:i/>
          <w:iCs/>
        </w:rPr>
        <w:t>Doğu Batı, 63</w:t>
      </w:r>
      <w:r w:rsidRPr="00B1089D">
        <w:t>, 185-204.</w:t>
      </w:r>
    </w:p>
    <w:p w14:paraId="31677726" w14:textId="77777777" w:rsidR="00FA457D" w:rsidRPr="00B1089D" w:rsidRDefault="00FA457D">
      <w:pPr>
        <w:pStyle w:val="ListeParagraf"/>
        <w:widowControl/>
        <w:numPr>
          <w:ilvl w:val="0"/>
          <w:numId w:val="67"/>
        </w:numPr>
        <w:jc w:val="both"/>
      </w:pPr>
      <w:r w:rsidRPr="00B1089D">
        <w:t xml:space="preserve">Sancar, S. (2013). </w:t>
      </w:r>
      <w:r w:rsidRPr="00F977D7">
        <w:rPr>
          <w:i/>
          <w:iCs/>
        </w:rPr>
        <w:t>Erkeklik: İmkânsız iktidar</w:t>
      </w:r>
      <w:r w:rsidRPr="00B1089D">
        <w:t>. Metis Yayınları.</w:t>
      </w:r>
    </w:p>
    <w:p w14:paraId="6952CAD6" w14:textId="77777777" w:rsidR="00FA457D" w:rsidRPr="00B1089D" w:rsidRDefault="00FA457D">
      <w:pPr>
        <w:pStyle w:val="ListeParagraf"/>
        <w:widowControl/>
        <w:numPr>
          <w:ilvl w:val="0"/>
          <w:numId w:val="67"/>
        </w:numPr>
        <w:jc w:val="both"/>
      </w:pPr>
      <w:r w:rsidRPr="00B1089D">
        <w:t xml:space="preserve">Selek, P. (2018). </w:t>
      </w:r>
      <w:r w:rsidRPr="00F977D7">
        <w:rPr>
          <w:i/>
          <w:iCs/>
        </w:rPr>
        <w:t>Sürüne sürüne erkek olmak</w:t>
      </w:r>
      <w:r w:rsidRPr="00B1089D">
        <w:t>. İletişim Yayınları.</w:t>
      </w:r>
    </w:p>
    <w:p w14:paraId="283C725F" w14:textId="77777777" w:rsidR="00FA457D" w:rsidRPr="00B1089D" w:rsidRDefault="00FA457D">
      <w:pPr>
        <w:pStyle w:val="ListeParagraf"/>
        <w:widowControl/>
        <w:numPr>
          <w:ilvl w:val="0"/>
          <w:numId w:val="67"/>
        </w:numPr>
        <w:jc w:val="both"/>
      </w:pPr>
      <w:r w:rsidRPr="00B1089D">
        <w:t xml:space="preserve">Sığın, A., &amp; </w:t>
      </w:r>
      <w:proofErr w:type="spellStart"/>
      <w:r w:rsidRPr="00B1089D">
        <w:t>Canatan</w:t>
      </w:r>
      <w:proofErr w:type="spellEnd"/>
      <w:r w:rsidRPr="00B1089D">
        <w:t xml:space="preserve">, A. (2018). </w:t>
      </w:r>
      <w:proofErr w:type="spellStart"/>
      <w:r w:rsidRPr="00B1089D">
        <w:t>Connell’ın</w:t>
      </w:r>
      <w:proofErr w:type="spellEnd"/>
      <w:r w:rsidRPr="00B1089D">
        <w:t xml:space="preserve"> erkeklikler teorisinde işbirlikçi erkek, madun erkek ve marjinal erkek: Hegemonik erkekliğin kavramsal hegemonyası. </w:t>
      </w:r>
      <w:r w:rsidRPr="00F977D7">
        <w:rPr>
          <w:i/>
          <w:iCs/>
        </w:rPr>
        <w:t>Sosyal Bilimler Dergisi, 5</w:t>
      </w:r>
      <w:r w:rsidRPr="00B1089D">
        <w:t>(32), 163-175.</w:t>
      </w:r>
    </w:p>
    <w:p w14:paraId="31FC7F4E" w14:textId="77777777" w:rsidR="00FA457D" w:rsidRPr="00B1089D" w:rsidRDefault="00FA457D">
      <w:pPr>
        <w:pStyle w:val="ListeParagraf"/>
        <w:widowControl/>
        <w:numPr>
          <w:ilvl w:val="0"/>
          <w:numId w:val="67"/>
        </w:numPr>
        <w:jc w:val="both"/>
      </w:pPr>
      <w:r w:rsidRPr="00B1089D">
        <w:t xml:space="preserve">Taş Öz, P., &amp; Yiğit, Z. (2021). Madunun kentteki gölgesi: </w:t>
      </w:r>
      <w:r w:rsidRPr="00F977D7">
        <w:rPr>
          <w:i/>
          <w:iCs/>
        </w:rPr>
        <w:t>Zerre</w:t>
      </w:r>
      <w:r w:rsidRPr="00B1089D">
        <w:t xml:space="preserve">. </w:t>
      </w:r>
      <w:r w:rsidRPr="00F977D7">
        <w:rPr>
          <w:i/>
          <w:iCs/>
        </w:rPr>
        <w:t>Türkiye İletişim Araştırmaları Dergisi, 38</w:t>
      </w:r>
      <w:r w:rsidRPr="00B1089D">
        <w:t>, 174-187.</w:t>
      </w:r>
    </w:p>
    <w:p w14:paraId="3EAC902E" w14:textId="77777777" w:rsidR="00FA457D" w:rsidRPr="00B1089D" w:rsidRDefault="00FA457D">
      <w:pPr>
        <w:pStyle w:val="ListeParagraf"/>
        <w:widowControl/>
        <w:numPr>
          <w:ilvl w:val="0"/>
          <w:numId w:val="67"/>
        </w:numPr>
        <w:jc w:val="both"/>
      </w:pPr>
      <w:proofErr w:type="spellStart"/>
      <w:r w:rsidRPr="00B1089D">
        <w:t>Topcu</w:t>
      </w:r>
      <w:proofErr w:type="spellEnd"/>
      <w:r w:rsidRPr="00B1089D">
        <w:t xml:space="preserve">, Ş. (2012). </w:t>
      </w:r>
      <w:r w:rsidRPr="00F977D7">
        <w:rPr>
          <w:i/>
          <w:iCs/>
        </w:rPr>
        <w:t>1980 sonrası Türk öyküsünde erkek ve erkeklik olgusu</w:t>
      </w:r>
      <w:r w:rsidRPr="00B1089D">
        <w:t xml:space="preserve"> (Yayımlanmış yüksek lisans tezi). Çanakkale </w:t>
      </w:r>
      <w:proofErr w:type="spellStart"/>
      <w:r w:rsidRPr="00B1089D">
        <w:t>Onsekiz</w:t>
      </w:r>
      <w:proofErr w:type="spellEnd"/>
      <w:r w:rsidRPr="00B1089D">
        <w:t xml:space="preserve"> Mart Üniversitesi, Sosyal Bilimler Enstitüsü.</w:t>
      </w:r>
    </w:p>
    <w:p w14:paraId="7D23FB11" w14:textId="77777777" w:rsidR="00FA457D" w:rsidRPr="00B1089D" w:rsidRDefault="00FA457D">
      <w:pPr>
        <w:pStyle w:val="ListeParagraf"/>
        <w:widowControl/>
        <w:numPr>
          <w:ilvl w:val="0"/>
          <w:numId w:val="67"/>
        </w:numPr>
        <w:jc w:val="both"/>
      </w:pPr>
      <w:r w:rsidRPr="00B1089D">
        <w:t xml:space="preserve">Türkoğlu, B. (2014). Fay hattında erkeklikler: Çalışma ve işsizlik ekseninde erkekliğe bakış. </w:t>
      </w:r>
      <w:r w:rsidRPr="00F977D7">
        <w:rPr>
          <w:i/>
          <w:iCs/>
        </w:rPr>
        <w:t>Mülkiye Dergisi, 37</w:t>
      </w:r>
      <w:r w:rsidRPr="00B1089D">
        <w:t>(4), 33-61.</w:t>
      </w:r>
    </w:p>
    <w:p w14:paraId="6863AA84" w14:textId="77777777" w:rsidR="00FA457D" w:rsidRPr="00B1089D" w:rsidRDefault="00FA457D">
      <w:pPr>
        <w:pStyle w:val="ListeParagraf"/>
        <w:widowControl/>
        <w:numPr>
          <w:ilvl w:val="0"/>
          <w:numId w:val="67"/>
        </w:numPr>
        <w:jc w:val="both"/>
      </w:pPr>
      <w:r w:rsidRPr="00B1089D">
        <w:t xml:space="preserve">Yetişkin, E. (2013). Postkolonyal çalışmalardan neler öğrenebiliriz? </w:t>
      </w:r>
      <w:r w:rsidRPr="00F977D7">
        <w:rPr>
          <w:i/>
          <w:iCs/>
        </w:rPr>
        <w:t>13. Ulusal Sosyal Bilimler Kongresi</w:t>
      </w:r>
      <w:r w:rsidRPr="00B1089D">
        <w:t>, Ankara.</w:t>
      </w:r>
    </w:p>
    <w:p w14:paraId="52918728" w14:textId="0CDA167F" w:rsidR="00D47EF1" w:rsidRDefault="00FA457D">
      <w:pPr>
        <w:pStyle w:val="ListeParagraf"/>
        <w:widowControl/>
        <w:numPr>
          <w:ilvl w:val="0"/>
          <w:numId w:val="67"/>
        </w:numPr>
        <w:jc w:val="both"/>
      </w:pPr>
      <w:r w:rsidRPr="00B1089D">
        <w:t xml:space="preserve">Zeybekoğlu, Ö. (2010). Toplumsal cinsiyet rolleri bağlamında Türk toplumunun erkeklik algısı. </w:t>
      </w:r>
      <w:proofErr w:type="spellStart"/>
      <w:r w:rsidRPr="00F977D7">
        <w:rPr>
          <w:i/>
          <w:iCs/>
        </w:rPr>
        <w:t>Ethos</w:t>
      </w:r>
      <w:proofErr w:type="spellEnd"/>
      <w:r w:rsidRPr="00F977D7">
        <w:rPr>
          <w:i/>
          <w:iCs/>
        </w:rPr>
        <w:t>: Felsefe ve Toplumsal Bilimlerde Diyaloglar, 3</w:t>
      </w:r>
      <w:r w:rsidRPr="00B1089D">
        <w:t>(1), Ocak 2010.</w:t>
      </w:r>
    </w:p>
    <w:p w14:paraId="33FAF761" w14:textId="0B3FC7A5" w:rsidR="00FA457D" w:rsidRPr="00B1089D" w:rsidRDefault="00D47EF1" w:rsidP="00D47EF1">
      <w:pPr>
        <w:autoSpaceDE/>
        <w:autoSpaceDN/>
      </w:pPr>
      <w:r>
        <w:br w:type="page"/>
      </w:r>
    </w:p>
    <w:p w14:paraId="61FFA645" w14:textId="4365E926" w:rsidR="00FA457D" w:rsidRPr="00F977D7" w:rsidRDefault="00FA457D" w:rsidP="004C7694">
      <w:pPr>
        <w:pStyle w:val="Tark"/>
      </w:pPr>
      <w:bookmarkStart w:id="290" w:name="_Toc192855303"/>
      <w:r w:rsidRPr="00B1089D">
        <w:lastRenderedPageBreak/>
        <w:t>Tüketici Gücünün Yükselişi-Boykotun Sosyal Etkileri</w:t>
      </w:r>
      <w:bookmarkEnd w:id="290"/>
    </w:p>
    <w:p w14:paraId="72E0E030" w14:textId="77777777" w:rsidR="00F977D7" w:rsidRDefault="00FA457D" w:rsidP="00FA457D">
      <w:pPr>
        <w:widowControl/>
        <w:jc w:val="center"/>
        <w:rPr>
          <w:i/>
          <w:iCs/>
        </w:rPr>
      </w:pPr>
      <w:r w:rsidRPr="00215F3A">
        <w:rPr>
          <w:i/>
          <w:iCs/>
        </w:rPr>
        <w:t>Esra ÇOKDİLLİ</w:t>
      </w:r>
    </w:p>
    <w:p w14:paraId="2B28F734" w14:textId="215640E7" w:rsidR="00F977D7" w:rsidRDefault="00FA457D" w:rsidP="00FA457D">
      <w:pPr>
        <w:widowControl/>
        <w:jc w:val="center"/>
        <w:rPr>
          <w:i/>
          <w:iCs/>
        </w:rPr>
      </w:pPr>
      <w:r w:rsidRPr="00215F3A">
        <w:rPr>
          <w:i/>
          <w:iCs/>
        </w:rPr>
        <w:t xml:space="preserve"> Necmettin Erbakan Üniversitesi </w:t>
      </w:r>
    </w:p>
    <w:p w14:paraId="2080655C" w14:textId="07BB5560" w:rsidR="00F977D7" w:rsidRDefault="00F977D7" w:rsidP="00FA457D">
      <w:pPr>
        <w:widowControl/>
        <w:jc w:val="center"/>
        <w:rPr>
          <w:i/>
          <w:iCs/>
        </w:rPr>
      </w:pPr>
      <w:r w:rsidRPr="00F977D7">
        <w:rPr>
          <w:i/>
          <w:iCs/>
        </w:rPr>
        <w:t xml:space="preserve">esraecer3@gmail.com </w:t>
      </w:r>
    </w:p>
    <w:p w14:paraId="74342AA0" w14:textId="77777777" w:rsidR="00F977D7" w:rsidRDefault="00F977D7" w:rsidP="00FA457D">
      <w:pPr>
        <w:widowControl/>
        <w:jc w:val="center"/>
        <w:rPr>
          <w:i/>
          <w:iCs/>
        </w:rPr>
      </w:pPr>
    </w:p>
    <w:p w14:paraId="7AAF2E78" w14:textId="77777777" w:rsidR="00F977D7" w:rsidRDefault="00FA457D" w:rsidP="00FA457D">
      <w:pPr>
        <w:widowControl/>
        <w:jc w:val="center"/>
        <w:rPr>
          <w:i/>
          <w:iCs/>
        </w:rPr>
      </w:pPr>
      <w:r w:rsidRPr="00215F3A">
        <w:rPr>
          <w:i/>
          <w:iCs/>
        </w:rPr>
        <w:t xml:space="preserve">Ali </w:t>
      </w:r>
      <w:proofErr w:type="spellStart"/>
      <w:r w:rsidRPr="00215F3A">
        <w:rPr>
          <w:i/>
          <w:iCs/>
        </w:rPr>
        <w:t>Erkam</w:t>
      </w:r>
      <w:proofErr w:type="spellEnd"/>
      <w:r w:rsidRPr="00215F3A">
        <w:rPr>
          <w:i/>
          <w:iCs/>
        </w:rPr>
        <w:t xml:space="preserve"> YARAR </w:t>
      </w:r>
    </w:p>
    <w:p w14:paraId="279A8A99" w14:textId="2D96ABBA" w:rsidR="00FA457D" w:rsidRDefault="00FA457D" w:rsidP="00FA457D">
      <w:pPr>
        <w:widowControl/>
        <w:jc w:val="center"/>
        <w:rPr>
          <w:i/>
          <w:iCs/>
        </w:rPr>
      </w:pPr>
      <w:r w:rsidRPr="00215F3A">
        <w:rPr>
          <w:i/>
          <w:iCs/>
        </w:rPr>
        <w:t>Necmettin Erbakan Üniversitesi</w:t>
      </w:r>
    </w:p>
    <w:p w14:paraId="1E26E796" w14:textId="0BE2E8B6" w:rsidR="00F977D7" w:rsidRDefault="00F977D7" w:rsidP="00FA457D">
      <w:pPr>
        <w:widowControl/>
        <w:jc w:val="center"/>
        <w:rPr>
          <w:i/>
          <w:iCs/>
        </w:rPr>
      </w:pPr>
      <w:hyperlink r:id="rId446" w:history="1">
        <w:r w:rsidRPr="0023217B">
          <w:rPr>
            <w:rStyle w:val="Kpr"/>
            <w:i/>
            <w:iCs/>
          </w:rPr>
          <w:t>aeyarar@erbakan.edu.tr</w:t>
        </w:r>
      </w:hyperlink>
    </w:p>
    <w:p w14:paraId="42263F39" w14:textId="0B571DCC" w:rsidR="00F977D7" w:rsidRPr="00B1089D" w:rsidRDefault="00F977D7" w:rsidP="00FA457D">
      <w:pPr>
        <w:widowControl/>
        <w:jc w:val="center"/>
      </w:pPr>
      <w:hyperlink r:id="rId447" w:tgtFrame="_blank" w:history="1">
        <w:r>
          <w:rPr>
            <w:rStyle w:val="Kpr"/>
            <w:rFonts w:ascii="Poppins" w:hAnsi="Poppins" w:cs="Poppins"/>
            <w:color w:val="0B58A2"/>
            <w:sz w:val="21"/>
            <w:szCs w:val="21"/>
          </w:rPr>
          <w:t>0000-0002-0919-314X</w:t>
        </w:r>
      </w:hyperlink>
    </w:p>
    <w:p w14:paraId="6EC3C7C7" w14:textId="77777777" w:rsidR="00FA457D" w:rsidRPr="00B1089D" w:rsidRDefault="00FA457D" w:rsidP="00FA457D">
      <w:pPr>
        <w:widowControl/>
      </w:pPr>
    </w:p>
    <w:p w14:paraId="637F5533" w14:textId="6E8F4399" w:rsidR="00FA457D" w:rsidRPr="00B1089D" w:rsidRDefault="00FA457D" w:rsidP="00F977D7">
      <w:pPr>
        <w:widowControl/>
        <w:jc w:val="both"/>
      </w:pPr>
      <w:r w:rsidRPr="00B1089D">
        <w:t>Boykot, politik ya da sosyal değerlere uygun bir değişimin desteklenmesi amacıyla belirli ürün, hizmet veya markaların kullanılmasının bir şekilde sürdürülebilir olarak reddedilmesidir. Tüketiciler boykotlara katılarak, değişim ya da tepkilerini ilan edebilmekte, bu çerçevede boykot hakkında duruşlarını/tutumlarını sergileyebilmektedir. Bu bireysel tepki ve tutum bireyler üzerinde araştırılması gereken davranışı şekillendirir. Bu çalışma bireylerin boykot konusundaki davranış ve tutumlarını incelemektir. Bu bağlamda bireylerin boykot hakkında sahip olduğu bilgiler ve bilgiye ulaştıkları bilgi kaynakları, boykotun sosyal hayatta yarattığı değişiklikler ve boykotun sonucu ve geleceği konuları, davranışın nedenini ortaya çıkarabilecek konu başlıkları olarak söylenebilir. Literatürde yer alan araştırmalar, boykotların genellikle etik, politik veya sosyal sebeplerle şekillendiğini ve dijitalleşme ile sosyal medya etkisiyle boykotların hızla yayıldığını göstermektedir.</w:t>
      </w:r>
      <w:r w:rsidR="00B9252F">
        <w:t xml:space="preserve"> </w:t>
      </w:r>
      <w:r w:rsidRPr="00B1089D">
        <w:t>Araştırma, nitel yöntemle ve fenomenolojik desen çerçevesinde gerçekleştirilmiştir. Fenomenolojik yaklaşım, bireylerin boykot hakkındaki bilgilerine ve boykotun anlamına dair görüşleri üzerine odaklanmıştır. Veri toplama aracı olarak yarı yapılandırılmış mülakatlar tercih edilmiştir. Katılımcılar, maksimum çeşitlilik örnekleme yöntemiyle seçilmiş; veriler, tematik analiz yöntemiyle incelenmiştir.</w:t>
      </w:r>
      <w:r w:rsidR="00B9252F">
        <w:t xml:space="preserve"> </w:t>
      </w:r>
      <w:r w:rsidRPr="00B1089D">
        <w:t>Araştırma sonuçlarına göre, bireylerin boykot hakkındaki bilgiyi genellikle sosyal medya platformlarından öğrendiklerini ve bu platformların boykotun yayılmasını kolaylaştırdığını ifade etmektedir. Boykotun toplumsal yardımlaşma hislerini güçlendirdiği ve tüketim alışkanlıklarını yeniden değerlendirmelerine sebep olduğu belirlenmektedir.</w:t>
      </w:r>
    </w:p>
    <w:p w14:paraId="26F465D0" w14:textId="77777777" w:rsidR="00FA457D" w:rsidRPr="00B1089D" w:rsidRDefault="00FA457D" w:rsidP="00F977D7">
      <w:pPr>
        <w:widowControl/>
        <w:jc w:val="both"/>
      </w:pPr>
    </w:p>
    <w:p w14:paraId="08F29FB4" w14:textId="77777777" w:rsidR="00FA457D" w:rsidRPr="00B1089D" w:rsidRDefault="00FA457D" w:rsidP="00F977D7">
      <w:pPr>
        <w:widowControl/>
        <w:jc w:val="both"/>
      </w:pPr>
      <w:r w:rsidRPr="00B1089D">
        <w:rPr>
          <w:b/>
          <w:bCs/>
        </w:rPr>
        <w:t>Katılımcı Seçimi ve Veri Analizi:</w:t>
      </w:r>
    </w:p>
    <w:p w14:paraId="5EE56646" w14:textId="77777777" w:rsidR="00FA457D" w:rsidRPr="00B1089D" w:rsidRDefault="00FA457D" w:rsidP="00F977D7">
      <w:pPr>
        <w:widowControl/>
        <w:jc w:val="both"/>
      </w:pPr>
      <w:r w:rsidRPr="00B1089D">
        <w:t xml:space="preserve">Araştırma, </w:t>
      </w:r>
      <w:r w:rsidRPr="00B1089D">
        <w:rPr>
          <w:i/>
          <w:iCs/>
        </w:rPr>
        <w:t xml:space="preserve">görüşme, yarı yapılandırılmış sorular ile </w:t>
      </w:r>
      <w:r w:rsidRPr="00B1089D">
        <w:t>gerçekleştirilecektir. Örneklem, maksimum çeşitlilik yöntemi ile seçilecek ve 20 katılımcıdan veri toplanacaktır. Toplanan veriler, içerik analiz yöntemiyle incelenerek</w:t>
      </w:r>
    </w:p>
    <w:p w14:paraId="219179E0" w14:textId="77777777" w:rsidR="00FA457D" w:rsidRPr="00B1089D" w:rsidRDefault="00FA457D" w:rsidP="00F977D7">
      <w:pPr>
        <w:widowControl/>
        <w:jc w:val="both"/>
      </w:pPr>
    </w:p>
    <w:p w14:paraId="64FD562C" w14:textId="77777777" w:rsidR="00FA457D" w:rsidRPr="00B1089D" w:rsidRDefault="00FA457D" w:rsidP="00F977D7">
      <w:pPr>
        <w:widowControl/>
        <w:jc w:val="both"/>
      </w:pPr>
      <w:r w:rsidRPr="00B1089D">
        <w:rPr>
          <w:b/>
          <w:bCs/>
        </w:rPr>
        <w:t>Beklenen Katkılar:</w:t>
      </w:r>
    </w:p>
    <w:p w14:paraId="65DFC0FB" w14:textId="363CBE52" w:rsidR="00D47EF1" w:rsidRDefault="00FA457D" w:rsidP="00F977D7">
      <w:pPr>
        <w:widowControl/>
        <w:jc w:val="both"/>
      </w:pPr>
      <w:r w:rsidRPr="00B1089D">
        <w:t>Bu çalışma, bireylerin boykot hakkında sahip olduğu bilgiler ve bilgiye ulaştıkları bilgi kaynakları, boykotun sosyal hayatta yarattığı değişiklikler ve boykotun sonucu ve geleceği konuları, davranışın nedenini ortaya çıkarabilecek konu başlıkları ve genel olarak boykotun değiştirdiklerini incelemeyi amaçlamaktadır.</w:t>
      </w:r>
    </w:p>
    <w:p w14:paraId="69AE1980" w14:textId="73075501" w:rsidR="00FA457D" w:rsidRDefault="00D47EF1" w:rsidP="00D47EF1">
      <w:pPr>
        <w:autoSpaceDE/>
        <w:autoSpaceDN/>
      </w:pPr>
      <w:r>
        <w:br w:type="page"/>
      </w:r>
    </w:p>
    <w:p w14:paraId="4A7488EB" w14:textId="0FB5D500" w:rsidR="00FA457D" w:rsidRDefault="00FA457D" w:rsidP="004C7694">
      <w:pPr>
        <w:pStyle w:val="Tark"/>
      </w:pPr>
      <w:bookmarkStart w:id="291" w:name="_Toc192855304"/>
      <w:r w:rsidRPr="00FE41C6">
        <w:lastRenderedPageBreak/>
        <w:t>Dijital Oyun İllüstrasyonlarında Tarihi Dönem Betimlemeleri Üzerine Bir İnceleme</w:t>
      </w:r>
      <w:bookmarkEnd w:id="291"/>
    </w:p>
    <w:p w14:paraId="5805F67B" w14:textId="77777777" w:rsidR="00B9252F" w:rsidRPr="00B9252F" w:rsidRDefault="00B9252F" w:rsidP="00B9252F">
      <w:pPr>
        <w:pStyle w:val="Metin"/>
      </w:pPr>
    </w:p>
    <w:p w14:paraId="73B58738" w14:textId="77777777" w:rsidR="00FA457D" w:rsidRDefault="00FA457D" w:rsidP="00FA457D">
      <w:pPr>
        <w:jc w:val="center"/>
      </w:pPr>
      <w:r>
        <w:t>Şerife Seda BOZPOLAT</w:t>
      </w:r>
      <w:r>
        <w:br/>
        <w:t>Öğretim Görevlisi, Üsküdar Üniversitesi, Çizgi Film ve Animasyon Bölümü</w:t>
      </w:r>
    </w:p>
    <w:p w14:paraId="1611661C" w14:textId="77777777" w:rsidR="00FA457D" w:rsidRPr="000578D9" w:rsidRDefault="00FA457D" w:rsidP="00FA457D">
      <w:pPr>
        <w:pStyle w:val="AltBilgi"/>
        <w:jc w:val="center"/>
        <w:rPr>
          <w:color w:val="211D1E"/>
        </w:rPr>
      </w:pPr>
      <w:r>
        <w:t>Dokuz Eylül Üniversitesi, Resim- İş Öğretmenliği Doktora Programı</w:t>
      </w:r>
      <w:r>
        <w:br/>
      </w:r>
      <w:hyperlink r:id="rId448" w:history="1">
        <w:r w:rsidRPr="00003B65">
          <w:rPr>
            <w:rStyle w:val="Kpr"/>
            <w:rFonts w:eastAsiaTheme="majorEastAsia"/>
          </w:rPr>
          <w:t>sedabozpolat@gmail.com</w:t>
        </w:r>
      </w:hyperlink>
      <w:r>
        <w:br/>
      </w:r>
      <w:proofErr w:type="spellStart"/>
      <w:r>
        <w:t>Orcid</w:t>
      </w:r>
      <w:proofErr w:type="spellEnd"/>
      <w:r>
        <w:t xml:space="preserve"> ID: </w:t>
      </w:r>
      <w:r w:rsidRPr="000578D9">
        <w:rPr>
          <w:color w:val="211D1E"/>
        </w:rPr>
        <w:t>0000-0002-7574-953X</w:t>
      </w:r>
    </w:p>
    <w:p w14:paraId="3486EFE7" w14:textId="77777777" w:rsidR="00FA457D" w:rsidRPr="000578D9" w:rsidRDefault="00FA457D" w:rsidP="00FA457D">
      <w:pPr>
        <w:jc w:val="center"/>
      </w:pPr>
    </w:p>
    <w:p w14:paraId="37AE3F72" w14:textId="77777777" w:rsidR="00FA457D" w:rsidRPr="000578D9" w:rsidRDefault="00FA457D" w:rsidP="00FA457D">
      <w:pPr>
        <w:jc w:val="center"/>
      </w:pPr>
    </w:p>
    <w:p w14:paraId="32C4B9AE" w14:textId="77777777" w:rsidR="00FA457D" w:rsidRPr="000578D9" w:rsidRDefault="00FA457D" w:rsidP="00FA457D">
      <w:pPr>
        <w:pStyle w:val="AltBilgi"/>
        <w:jc w:val="center"/>
      </w:pPr>
      <w:r w:rsidRPr="000578D9">
        <w:t>Bahar SOĞUKKUYU POYRAZ</w:t>
      </w:r>
      <w:r w:rsidRPr="000578D9">
        <w:br/>
        <w:t>Doçent Doktor, Dokuz Eylül Üniversitesi, Resim- İş Eğitimi Ana Bilim Dalı</w:t>
      </w:r>
      <w:r w:rsidRPr="000578D9">
        <w:br/>
      </w:r>
      <w:hyperlink r:id="rId449" w:history="1">
        <w:r w:rsidRPr="000578D9">
          <w:rPr>
            <w:rStyle w:val="Kpr"/>
            <w:rFonts w:eastAsiaTheme="majorEastAsia"/>
          </w:rPr>
          <w:t>bahar.sogukkuyu@deu.edu.tr</w:t>
        </w:r>
      </w:hyperlink>
      <w:r w:rsidRPr="000578D9">
        <w:br/>
      </w:r>
      <w:proofErr w:type="spellStart"/>
      <w:r w:rsidRPr="000578D9">
        <w:t>Orcid</w:t>
      </w:r>
      <w:proofErr w:type="spellEnd"/>
      <w:r w:rsidRPr="000578D9">
        <w:t xml:space="preserve"> ID: </w:t>
      </w:r>
      <w:r w:rsidRPr="000578D9">
        <w:rPr>
          <w:color w:val="211D1E"/>
        </w:rPr>
        <w:t>0000-0002-6962-946X</w:t>
      </w:r>
    </w:p>
    <w:p w14:paraId="401403B4" w14:textId="77777777" w:rsidR="00FA457D" w:rsidRDefault="00FA457D" w:rsidP="00FA457D">
      <w:pPr>
        <w:jc w:val="center"/>
      </w:pPr>
    </w:p>
    <w:p w14:paraId="5ADEF2C5" w14:textId="77777777" w:rsidR="00FA457D" w:rsidRDefault="00FA457D" w:rsidP="00FA457D">
      <w:pPr>
        <w:jc w:val="both"/>
      </w:pPr>
    </w:p>
    <w:p w14:paraId="36145C5D" w14:textId="77777777" w:rsidR="00FA457D" w:rsidRDefault="00FA457D" w:rsidP="00FA457D">
      <w:pPr>
        <w:jc w:val="center"/>
        <w:rPr>
          <w:b/>
          <w:bCs/>
        </w:rPr>
      </w:pPr>
      <w:r w:rsidRPr="00097B24">
        <w:rPr>
          <w:b/>
          <w:bCs/>
        </w:rPr>
        <w:t>Özet</w:t>
      </w:r>
    </w:p>
    <w:p w14:paraId="46282BBC" w14:textId="5D2376E6" w:rsidR="00FA457D" w:rsidRDefault="00FA457D" w:rsidP="00FA457D">
      <w:pPr>
        <w:jc w:val="both"/>
        <w:rPr>
          <w:bCs/>
        </w:rPr>
      </w:pPr>
      <w:r w:rsidRPr="00133049">
        <w:rPr>
          <w:bCs/>
        </w:rPr>
        <w:t xml:space="preserve">İnsanoğlu geçmişten günümüze kendini ifade etmek ve iletişim kurmak için sanatı kullanmaktadır. İnsanlık tarihi boyunca yaşanan olaylar kültürel, toplumsal miras olarak sanatın farklı görselleştirme yöntemleri yardımıyla kaydedilebilmekte ve bu görseller üzerinden ders niteliğinde nesiller arası aktarılmaktadır. Dijital oyun, animasyon gibi canlandırma projeleri de günümüz teknolojileri yardımıyla görsel anlatım türü olarak kullanılmaktadır. Dijital oyunlar görsel anlatı olarak her yaştan insana uygun şekilde hazırlanabilmekte ve çağın teknolojisiyle kolay ulaşılabilir olmaktadır. Bu sebeple dijital oyun tasarımları tarihi dönemlerin görsel betimlemeleriyle hazırlanabilmekte böylece oyunculara ulaşması ve oyuncuların deneyimlemesi sağlanabilmektedir. Ayrıca dijital oyun tasarımlarıyla birlikte tarihi dönemler yeniden canlandırılarak kalıcı görsel kaynak haline de getirilmektedir. Oyunun geçtiği tarihi dönemi anlatan ve oyun senaryosuna göre hazırlanan karakter- konsept tasarımları sayesinde oyun evreni görselleştirilmektedir. Dijital oyun evreninin geçtiği tarihi döneme göre hazırlanan mekân, eşya, renk, ışık, karakter tipolojisi, jest ve mimik gibi ögeler karakter- konsept tasarımını oluşturmakta ve oyuncuyla oyunun geçtiği tarihi dönemi buluşturmaktadır. Dijital illüstrasyon, bir metni, kavramı, olayı ya da bilgiyi görselleştirerek açıklamayı sağlayan görsel iletişim aracıdır. Dijital oyun tasarımları için hazırlanan karakter- konsept tasarımları ilk olarak dijital illüstrasyonla tasarlanmakta, sonrasında 3D, 2D olarak canlandırılmakta ve dijital oyun evrenine yerleştirilmektedir. Dijital oyun illüstrasyonlarıyla başlayan karakter- konsept tasarımı, dijital oyun tasarımlarının temelini oluşturmaktadır. </w:t>
      </w:r>
      <w:r w:rsidRPr="00133049">
        <w:t xml:space="preserve">Dijital oyun karakter- konsept tasarımı kapsamında hazırlanan dijital oyun illüstrasyonları, dijital oyun evreninin geçtiği tarihi dönemin toplumsal ve kültürel görsel imgelerini yansıtarak dönemi görselleştirmeye ve oyunun hikayesini anlatmaya yönelik hazırlanmaktadır. </w:t>
      </w:r>
      <w:r w:rsidRPr="00133049">
        <w:rPr>
          <w:bCs/>
        </w:rPr>
        <w:t xml:space="preserve">Bu çalışmaya örneklem olarak seçilen </w:t>
      </w:r>
      <w:proofErr w:type="spellStart"/>
      <w:r w:rsidRPr="00133049">
        <w:rPr>
          <w:bCs/>
        </w:rPr>
        <w:t>Assasin’s</w:t>
      </w:r>
      <w:proofErr w:type="spellEnd"/>
      <w:r w:rsidRPr="00133049">
        <w:rPr>
          <w:bCs/>
        </w:rPr>
        <w:t xml:space="preserve"> </w:t>
      </w:r>
      <w:proofErr w:type="spellStart"/>
      <w:r w:rsidRPr="00133049">
        <w:rPr>
          <w:bCs/>
        </w:rPr>
        <w:t>Creed</w:t>
      </w:r>
      <w:proofErr w:type="spellEnd"/>
      <w:r w:rsidRPr="00133049">
        <w:rPr>
          <w:bCs/>
        </w:rPr>
        <w:t xml:space="preserve">: </w:t>
      </w:r>
      <w:proofErr w:type="spellStart"/>
      <w:r w:rsidRPr="00133049">
        <w:rPr>
          <w:bCs/>
        </w:rPr>
        <w:t>Unity</w:t>
      </w:r>
      <w:proofErr w:type="spellEnd"/>
      <w:r w:rsidRPr="00133049">
        <w:rPr>
          <w:bCs/>
        </w:rPr>
        <w:t xml:space="preserve"> dijital oyunu tarihi dönem olarak Fransız İhtilali döneminde geçmektedir. </w:t>
      </w:r>
      <w:r w:rsidRPr="00133049">
        <w:t xml:space="preserve">Bu çalışmanın amacı, oyunun geçtiği tarihsel dönemin dijital oyun illüstrasyonları üzerinde görselleştirilme biçimleri ve kullanılma şeklini incelemektir.  </w:t>
      </w:r>
      <w:r w:rsidRPr="00133049">
        <w:rPr>
          <w:bCs/>
        </w:rPr>
        <w:t xml:space="preserve">Bu çalışmada </w:t>
      </w:r>
      <w:proofErr w:type="spellStart"/>
      <w:r w:rsidRPr="00133049">
        <w:rPr>
          <w:bCs/>
        </w:rPr>
        <w:t>Assassin’s</w:t>
      </w:r>
      <w:proofErr w:type="spellEnd"/>
      <w:r w:rsidRPr="00133049">
        <w:rPr>
          <w:bCs/>
        </w:rPr>
        <w:t xml:space="preserve"> </w:t>
      </w:r>
      <w:proofErr w:type="spellStart"/>
      <w:r w:rsidRPr="00133049">
        <w:rPr>
          <w:bCs/>
        </w:rPr>
        <w:t>Creed</w:t>
      </w:r>
      <w:proofErr w:type="spellEnd"/>
      <w:r w:rsidRPr="00133049">
        <w:rPr>
          <w:bCs/>
        </w:rPr>
        <w:t xml:space="preserve"> dijital oyununun geçtiği tarihi dönemi görselleştirip izleyiciye aktarabilmek adına karakter- konsept tasarımı için hazırlanan orijinal dijital oyun illüstrasyonlarında kullanılan imgeler göstergebilimsel yöntem ile incelenmiştir.</w:t>
      </w:r>
    </w:p>
    <w:p w14:paraId="0E229DDF" w14:textId="77777777" w:rsidR="00FA457D" w:rsidRPr="00133049" w:rsidRDefault="00FA457D" w:rsidP="00FA457D">
      <w:pPr>
        <w:jc w:val="both"/>
        <w:rPr>
          <w:bCs/>
        </w:rPr>
      </w:pPr>
    </w:p>
    <w:p w14:paraId="610F2DEE" w14:textId="77777777" w:rsidR="00FA457D" w:rsidRPr="00133049" w:rsidRDefault="00FA457D" w:rsidP="00FA457D">
      <w:pPr>
        <w:jc w:val="both"/>
      </w:pPr>
      <w:r w:rsidRPr="00133049">
        <w:rPr>
          <w:b/>
          <w:bCs/>
        </w:rPr>
        <w:t>Anahtar Kelimeler:</w:t>
      </w:r>
      <w:r w:rsidRPr="00133049">
        <w:t xml:space="preserve"> Dijital Oyun Tasarımı, Karakter- Konsept Tasarımı, Dijital Oyun İllüstrasyonları, Görsel Betimleme, Tarihi Dönem Görselleştirmesi.</w:t>
      </w:r>
    </w:p>
    <w:p w14:paraId="2DCC699E" w14:textId="77777777" w:rsidR="00FA457D" w:rsidRDefault="00FA457D" w:rsidP="00FA457D">
      <w:pPr>
        <w:jc w:val="both"/>
        <w:rPr>
          <w:b/>
          <w:bCs/>
        </w:rPr>
      </w:pPr>
    </w:p>
    <w:p w14:paraId="15FC9A7B" w14:textId="77777777" w:rsidR="00FA457D" w:rsidRDefault="00FA457D" w:rsidP="00FA457D">
      <w:pPr>
        <w:jc w:val="center"/>
        <w:rPr>
          <w:b/>
          <w:bCs/>
        </w:rPr>
      </w:pPr>
      <w:proofErr w:type="spellStart"/>
      <w:r>
        <w:rPr>
          <w:b/>
          <w:bCs/>
        </w:rPr>
        <w:t>Abstract</w:t>
      </w:r>
      <w:proofErr w:type="spellEnd"/>
    </w:p>
    <w:p w14:paraId="16BF307C" w14:textId="77777777" w:rsidR="00FA457D" w:rsidRPr="00197EA2" w:rsidRDefault="00FA457D" w:rsidP="00FA457D">
      <w:pPr>
        <w:spacing w:before="120" w:after="120"/>
        <w:jc w:val="both"/>
      </w:pPr>
      <w:r w:rsidRPr="00133049">
        <w:t xml:space="preserve">Human </w:t>
      </w:r>
      <w:proofErr w:type="spellStart"/>
      <w:r w:rsidRPr="00133049">
        <w:t>beings</w:t>
      </w:r>
      <w:proofErr w:type="spellEnd"/>
      <w:r w:rsidRPr="00133049">
        <w:t xml:space="preserve"> </w:t>
      </w:r>
      <w:proofErr w:type="spellStart"/>
      <w:r w:rsidRPr="00133049">
        <w:t>have</w:t>
      </w:r>
      <w:proofErr w:type="spellEnd"/>
      <w:r w:rsidRPr="00133049">
        <w:t xml:space="preserve"> </w:t>
      </w:r>
      <w:proofErr w:type="spellStart"/>
      <w:r w:rsidRPr="00133049">
        <w:t>been</w:t>
      </w:r>
      <w:proofErr w:type="spellEnd"/>
      <w:r w:rsidRPr="00133049">
        <w:t xml:space="preserve"> </w:t>
      </w:r>
      <w:proofErr w:type="spellStart"/>
      <w:r w:rsidRPr="00133049">
        <w:t>using</w:t>
      </w:r>
      <w:proofErr w:type="spellEnd"/>
      <w:r w:rsidRPr="00133049">
        <w:t xml:space="preserve"> art </w:t>
      </w:r>
      <w:proofErr w:type="spellStart"/>
      <w:r w:rsidRPr="00133049">
        <w:t>to</w:t>
      </w:r>
      <w:proofErr w:type="spellEnd"/>
      <w:r w:rsidRPr="00133049">
        <w:t xml:space="preserve"> </w:t>
      </w:r>
      <w:proofErr w:type="spellStart"/>
      <w:r w:rsidRPr="00133049">
        <w:t>express</w:t>
      </w:r>
      <w:proofErr w:type="spellEnd"/>
      <w:r w:rsidRPr="00133049">
        <w:t xml:space="preserve"> </w:t>
      </w:r>
      <w:proofErr w:type="spellStart"/>
      <w:r w:rsidRPr="00133049">
        <w:t>themselves</w:t>
      </w:r>
      <w:proofErr w:type="spellEnd"/>
      <w:r w:rsidRPr="00133049">
        <w:t xml:space="preserve"> </w:t>
      </w:r>
      <w:proofErr w:type="spellStart"/>
      <w:r w:rsidRPr="00133049">
        <w:t>and</w:t>
      </w:r>
      <w:proofErr w:type="spellEnd"/>
      <w:r w:rsidRPr="00133049">
        <w:t xml:space="preserve"> </w:t>
      </w:r>
      <w:proofErr w:type="spellStart"/>
      <w:r w:rsidRPr="00133049">
        <w:t>communicate</w:t>
      </w:r>
      <w:proofErr w:type="spellEnd"/>
      <w:r w:rsidRPr="00133049">
        <w:t xml:space="preserve"> </w:t>
      </w:r>
      <w:proofErr w:type="spellStart"/>
      <w:r w:rsidRPr="00133049">
        <w:t>from</w:t>
      </w:r>
      <w:proofErr w:type="spellEnd"/>
      <w:r w:rsidRPr="00133049">
        <w:t xml:space="preserve"> </w:t>
      </w:r>
      <w:proofErr w:type="spellStart"/>
      <w:r w:rsidRPr="00133049">
        <w:t>past</w:t>
      </w:r>
      <w:proofErr w:type="spellEnd"/>
      <w:r w:rsidRPr="00133049">
        <w:t xml:space="preserve"> </w:t>
      </w:r>
      <w:proofErr w:type="spellStart"/>
      <w:r w:rsidRPr="00133049">
        <w:t>to</w:t>
      </w:r>
      <w:proofErr w:type="spellEnd"/>
      <w:r w:rsidRPr="00133049">
        <w:t xml:space="preserve"> </w:t>
      </w:r>
      <w:proofErr w:type="spellStart"/>
      <w:r w:rsidRPr="00133049">
        <w:t>present</w:t>
      </w:r>
      <w:proofErr w:type="spellEnd"/>
      <w:r w:rsidRPr="00133049">
        <w:t xml:space="preserve">. </w:t>
      </w:r>
      <w:proofErr w:type="spellStart"/>
      <w:r w:rsidRPr="00133049">
        <w:t>Events</w:t>
      </w:r>
      <w:proofErr w:type="spellEnd"/>
      <w:r w:rsidRPr="00133049">
        <w:t xml:space="preserve"> </w:t>
      </w:r>
      <w:proofErr w:type="spellStart"/>
      <w:r w:rsidRPr="00133049">
        <w:t>throughout</w:t>
      </w:r>
      <w:proofErr w:type="spellEnd"/>
      <w:r w:rsidRPr="00133049">
        <w:t xml:space="preserve"> </w:t>
      </w:r>
      <w:proofErr w:type="spellStart"/>
      <w:r w:rsidRPr="00133049">
        <w:t>the</w:t>
      </w:r>
      <w:proofErr w:type="spellEnd"/>
      <w:r w:rsidRPr="00133049">
        <w:t xml:space="preserve"> </w:t>
      </w:r>
      <w:proofErr w:type="spellStart"/>
      <w:r w:rsidRPr="00133049">
        <w:t>history</w:t>
      </w:r>
      <w:proofErr w:type="spellEnd"/>
      <w:r w:rsidRPr="00133049">
        <w:t xml:space="preserve"> of </w:t>
      </w:r>
      <w:proofErr w:type="spellStart"/>
      <w:r w:rsidRPr="00133049">
        <w:t>humanity</w:t>
      </w:r>
      <w:proofErr w:type="spellEnd"/>
      <w:r w:rsidRPr="00133049">
        <w:t xml:space="preserve"> can be </w:t>
      </w:r>
      <w:proofErr w:type="spellStart"/>
      <w:r w:rsidRPr="00133049">
        <w:t>recorded</w:t>
      </w:r>
      <w:proofErr w:type="spellEnd"/>
      <w:r w:rsidRPr="00133049">
        <w:t xml:space="preserve"> as </w:t>
      </w:r>
      <w:proofErr w:type="spellStart"/>
      <w:r w:rsidRPr="00133049">
        <w:t>cultural</w:t>
      </w:r>
      <w:proofErr w:type="spellEnd"/>
      <w:r w:rsidRPr="00133049">
        <w:t xml:space="preserve"> </w:t>
      </w:r>
      <w:proofErr w:type="spellStart"/>
      <w:r w:rsidRPr="00133049">
        <w:t>and</w:t>
      </w:r>
      <w:proofErr w:type="spellEnd"/>
      <w:r w:rsidRPr="00133049">
        <w:t xml:space="preserve"> </w:t>
      </w:r>
      <w:proofErr w:type="spellStart"/>
      <w:r w:rsidRPr="00133049">
        <w:t>social</w:t>
      </w:r>
      <w:proofErr w:type="spellEnd"/>
      <w:r w:rsidRPr="00133049">
        <w:t xml:space="preserve"> </w:t>
      </w:r>
      <w:proofErr w:type="spellStart"/>
      <w:r w:rsidRPr="00133049">
        <w:t>heritage</w:t>
      </w:r>
      <w:proofErr w:type="spellEnd"/>
      <w:r w:rsidRPr="00133049">
        <w:t xml:space="preserve"> </w:t>
      </w:r>
      <w:proofErr w:type="spellStart"/>
      <w:r w:rsidRPr="00133049">
        <w:t>with</w:t>
      </w:r>
      <w:proofErr w:type="spellEnd"/>
      <w:r w:rsidRPr="00133049">
        <w:t xml:space="preserve"> </w:t>
      </w:r>
      <w:proofErr w:type="spellStart"/>
      <w:r w:rsidRPr="00133049">
        <w:t>the</w:t>
      </w:r>
      <w:proofErr w:type="spellEnd"/>
      <w:r w:rsidRPr="00133049">
        <w:t xml:space="preserve"> </w:t>
      </w:r>
      <w:proofErr w:type="spellStart"/>
      <w:r w:rsidRPr="00133049">
        <w:t>help</w:t>
      </w:r>
      <w:proofErr w:type="spellEnd"/>
      <w:r w:rsidRPr="00133049">
        <w:t xml:space="preserve"> of </w:t>
      </w:r>
      <w:proofErr w:type="spellStart"/>
      <w:r w:rsidRPr="00133049">
        <w:t>different</w:t>
      </w:r>
      <w:proofErr w:type="spellEnd"/>
      <w:r w:rsidRPr="00133049">
        <w:t xml:space="preserve"> </w:t>
      </w:r>
      <w:proofErr w:type="spellStart"/>
      <w:r w:rsidRPr="00133049">
        <w:t>visualization</w:t>
      </w:r>
      <w:proofErr w:type="spellEnd"/>
      <w:r w:rsidRPr="00133049">
        <w:t xml:space="preserve"> </w:t>
      </w:r>
      <w:proofErr w:type="spellStart"/>
      <w:r w:rsidRPr="00133049">
        <w:t>methods</w:t>
      </w:r>
      <w:proofErr w:type="spellEnd"/>
      <w:r w:rsidRPr="00133049">
        <w:t xml:space="preserve"> of art, </w:t>
      </w:r>
      <w:proofErr w:type="spellStart"/>
      <w:r w:rsidRPr="00133049">
        <w:t>and</w:t>
      </w:r>
      <w:proofErr w:type="spellEnd"/>
      <w:r w:rsidRPr="00133049">
        <w:t xml:space="preserve"> </w:t>
      </w:r>
      <w:proofErr w:type="spellStart"/>
      <w:r w:rsidRPr="00133049">
        <w:t>these</w:t>
      </w:r>
      <w:proofErr w:type="spellEnd"/>
      <w:r w:rsidRPr="00133049">
        <w:t xml:space="preserve"> </w:t>
      </w:r>
      <w:proofErr w:type="spellStart"/>
      <w:r w:rsidRPr="00133049">
        <w:t>visuals</w:t>
      </w:r>
      <w:proofErr w:type="spellEnd"/>
      <w:r w:rsidRPr="00133049">
        <w:t xml:space="preserve"> </w:t>
      </w:r>
      <w:proofErr w:type="spellStart"/>
      <w:r w:rsidRPr="00133049">
        <w:t>are</w:t>
      </w:r>
      <w:proofErr w:type="spellEnd"/>
      <w:r w:rsidRPr="00133049">
        <w:t xml:space="preserve"> </w:t>
      </w:r>
      <w:proofErr w:type="spellStart"/>
      <w:r w:rsidRPr="00133049">
        <w:t>transferred</w:t>
      </w:r>
      <w:proofErr w:type="spellEnd"/>
      <w:r w:rsidRPr="00133049">
        <w:t xml:space="preserve"> </w:t>
      </w:r>
      <w:proofErr w:type="spellStart"/>
      <w:r w:rsidRPr="00133049">
        <w:t>between</w:t>
      </w:r>
      <w:proofErr w:type="spellEnd"/>
      <w:r w:rsidRPr="00133049">
        <w:t xml:space="preserve"> </w:t>
      </w:r>
      <w:proofErr w:type="spellStart"/>
      <w:r w:rsidRPr="00133049">
        <w:t>generations</w:t>
      </w:r>
      <w:proofErr w:type="spellEnd"/>
      <w:r w:rsidRPr="00133049">
        <w:t xml:space="preserve"> as a </w:t>
      </w:r>
      <w:proofErr w:type="spellStart"/>
      <w:r w:rsidRPr="00133049">
        <w:t>lesson</w:t>
      </w:r>
      <w:proofErr w:type="spellEnd"/>
      <w:r w:rsidRPr="00133049">
        <w:t xml:space="preserve">. </w:t>
      </w:r>
      <w:proofErr w:type="spellStart"/>
      <w:r w:rsidRPr="00133049">
        <w:t>Animation</w:t>
      </w:r>
      <w:proofErr w:type="spellEnd"/>
      <w:r w:rsidRPr="00133049">
        <w:t xml:space="preserve"> </w:t>
      </w:r>
      <w:proofErr w:type="spellStart"/>
      <w:r w:rsidRPr="00133049">
        <w:t>projects</w:t>
      </w:r>
      <w:proofErr w:type="spellEnd"/>
      <w:r w:rsidRPr="00133049">
        <w:t xml:space="preserve"> </w:t>
      </w:r>
      <w:proofErr w:type="spellStart"/>
      <w:r w:rsidRPr="00133049">
        <w:t>such</w:t>
      </w:r>
      <w:proofErr w:type="spellEnd"/>
      <w:r w:rsidRPr="00133049">
        <w:t xml:space="preserve"> as </w:t>
      </w:r>
      <w:proofErr w:type="spellStart"/>
      <w:r w:rsidRPr="00133049">
        <w:t>digital</w:t>
      </w:r>
      <w:proofErr w:type="spellEnd"/>
      <w:r w:rsidRPr="00133049">
        <w:t xml:space="preserve"> </w:t>
      </w:r>
      <w:proofErr w:type="spellStart"/>
      <w:r w:rsidRPr="00133049">
        <w:t>games</w:t>
      </w:r>
      <w:proofErr w:type="spellEnd"/>
      <w:r w:rsidRPr="00133049">
        <w:t xml:space="preserve"> </w:t>
      </w:r>
      <w:proofErr w:type="spellStart"/>
      <w:r w:rsidRPr="00133049">
        <w:t>and</w:t>
      </w:r>
      <w:proofErr w:type="spellEnd"/>
      <w:r w:rsidRPr="00133049">
        <w:t xml:space="preserve"> </w:t>
      </w:r>
      <w:proofErr w:type="spellStart"/>
      <w:r w:rsidRPr="00133049">
        <w:t>animations</w:t>
      </w:r>
      <w:proofErr w:type="spellEnd"/>
      <w:r w:rsidRPr="00133049">
        <w:t xml:space="preserve"> </w:t>
      </w:r>
      <w:proofErr w:type="spellStart"/>
      <w:r w:rsidRPr="00133049">
        <w:t>are</w:t>
      </w:r>
      <w:proofErr w:type="spellEnd"/>
      <w:r w:rsidRPr="00133049">
        <w:t xml:space="preserve"> </w:t>
      </w:r>
      <w:proofErr w:type="spellStart"/>
      <w:r w:rsidRPr="00133049">
        <w:t>also</w:t>
      </w:r>
      <w:proofErr w:type="spellEnd"/>
      <w:r w:rsidRPr="00133049">
        <w:t xml:space="preserve"> </w:t>
      </w:r>
      <w:proofErr w:type="spellStart"/>
      <w:r w:rsidRPr="00133049">
        <w:t>used</w:t>
      </w:r>
      <w:proofErr w:type="spellEnd"/>
      <w:r w:rsidRPr="00133049">
        <w:t xml:space="preserve"> as a </w:t>
      </w:r>
      <w:proofErr w:type="spellStart"/>
      <w:r w:rsidRPr="00133049">
        <w:t>type</w:t>
      </w:r>
      <w:proofErr w:type="spellEnd"/>
      <w:r w:rsidRPr="00133049">
        <w:t xml:space="preserve"> of </w:t>
      </w:r>
      <w:proofErr w:type="spellStart"/>
      <w:r w:rsidRPr="00133049">
        <w:t>visual</w:t>
      </w:r>
      <w:proofErr w:type="spellEnd"/>
      <w:r w:rsidRPr="00133049">
        <w:t xml:space="preserve"> </w:t>
      </w:r>
      <w:proofErr w:type="spellStart"/>
      <w:r w:rsidRPr="00133049">
        <w:t>narrative</w:t>
      </w:r>
      <w:proofErr w:type="spellEnd"/>
      <w:r w:rsidRPr="00133049">
        <w:t xml:space="preserve"> </w:t>
      </w:r>
      <w:proofErr w:type="spellStart"/>
      <w:r w:rsidRPr="00133049">
        <w:t>with</w:t>
      </w:r>
      <w:proofErr w:type="spellEnd"/>
      <w:r w:rsidRPr="00133049">
        <w:t xml:space="preserve"> </w:t>
      </w:r>
      <w:proofErr w:type="spellStart"/>
      <w:r w:rsidRPr="00133049">
        <w:t>the</w:t>
      </w:r>
      <w:proofErr w:type="spellEnd"/>
      <w:r w:rsidRPr="00133049">
        <w:t xml:space="preserve"> </w:t>
      </w:r>
      <w:proofErr w:type="spellStart"/>
      <w:r w:rsidRPr="00133049">
        <w:t>help</w:t>
      </w:r>
      <w:proofErr w:type="spellEnd"/>
      <w:r w:rsidRPr="00133049">
        <w:t xml:space="preserve"> of </w:t>
      </w:r>
      <w:proofErr w:type="spellStart"/>
      <w:r w:rsidRPr="00133049">
        <w:t>today's</w:t>
      </w:r>
      <w:proofErr w:type="spellEnd"/>
      <w:r w:rsidRPr="00133049">
        <w:t xml:space="preserve"> </w:t>
      </w:r>
      <w:proofErr w:type="spellStart"/>
      <w:r w:rsidRPr="00133049">
        <w:t>technologies</w:t>
      </w:r>
      <w:proofErr w:type="spellEnd"/>
      <w:r w:rsidRPr="00133049">
        <w:t xml:space="preserve">. </w:t>
      </w:r>
      <w:proofErr w:type="spellStart"/>
      <w:r w:rsidRPr="00133049">
        <w:t>Digital</w:t>
      </w:r>
      <w:proofErr w:type="spellEnd"/>
      <w:r w:rsidRPr="00133049">
        <w:t xml:space="preserve"> </w:t>
      </w:r>
      <w:proofErr w:type="spellStart"/>
      <w:r w:rsidRPr="00133049">
        <w:t>games</w:t>
      </w:r>
      <w:proofErr w:type="spellEnd"/>
      <w:r w:rsidRPr="00133049">
        <w:t xml:space="preserve"> can be </w:t>
      </w:r>
      <w:proofErr w:type="spellStart"/>
      <w:r w:rsidRPr="00133049">
        <w:t>prepared</w:t>
      </w:r>
      <w:proofErr w:type="spellEnd"/>
      <w:r w:rsidRPr="00133049">
        <w:t xml:space="preserve"> as </w:t>
      </w:r>
      <w:proofErr w:type="spellStart"/>
      <w:r w:rsidRPr="00133049">
        <w:t>visual</w:t>
      </w:r>
      <w:proofErr w:type="spellEnd"/>
      <w:r w:rsidRPr="00133049">
        <w:t xml:space="preserve"> </w:t>
      </w:r>
      <w:proofErr w:type="spellStart"/>
      <w:r w:rsidRPr="00133049">
        <w:t>narratives</w:t>
      </w:r>
      <w:proofErr w:type="spellEnd"/>
      <w:r w:rsidRPr="00133049">
        <w:t xml:space="preserve"> </w:t>
      </w:r>
      <w:proofErr w:type="spellStart"/>
      <w:r w:rsidRPr="00133049">
        <w:t>for</w:t>
      </w:r>
      <w:proofErr w:type="spellEnd"/>
      <w:r w:rsidRPr="00133049">
        <w:t xml:space="preserve"> </w:t>
      </w:r>
      <w:proofErr w:type="spellStart"/>
      <w:r w:rsidRPr="00133049">
        <w:t>people</w:t>
      </w:r>
      <w:proofErr w:type="spellEnd"/>
      <w:r w:rsidRPr="00133049">
        <w:t xml:space="preserve"> of </w:t>
      </w:r>
      <w:proofErr w:type="spellStart"/>
      <w:r w:rsidRPr="00133049">
        <w:t>all</w:t>
      </w:r>
      <w:proofErr w:type="spellEnd"/>
      <w:r w:rsidRPr="00133049">
        <w:t xml:space="preserve"> </w:t>
      </w:r>
      <w:proofErr w:type="spellStart"/>
      <w:r w:rsidRPr="00133049">
        <w:t>ages</w:t>
      </w:r>
      <w:proofErr w:type="spellEnd"/>
      <w:r w:rsidRPr="00133049">
        <w:t xml:space="preserve"> </w:t>
      </w:r>
      <w:proofErr w:type="spellStart"/>
      <w:r w:rsidRPr="00133049">
        <w:t>and</w:t>
      </w:r>
      <w:proofErr w:type="spellEnd"/>
      <w:r w:rsidRPr="00133049">
        <w:t xml:space="preserve"> </w:t>
      </w:r>
      <w:proofErr w:type="spellStart"/>
      <w:r w:rsidRPr="00133049">
        <w:t>are</w:t>
      </w:r>
      <w:proofErr w:type="spellEnd"/>
      <w:r w:rsidRPr="00133049">
        <w:t xml:space="preserve"> </w:t>
      </w:r>
      <w:proofErr w:type="spellStart"/>
      <w:r w:rsidRPr="00133049">
        <w:t>easily</w:t>
      </w:r>
      <w:proofErr w:type="spellEnd"/>
      <w:r w:rsidRPr="00133049">
        <w:t xml:space="preserve"> </w:t>
      </w:r>
      <w:proofErr w:type="spellStart"/>
      <w:r w:rsidRPr="00133049">
        <w:t>accessible</w:t>
      </w:r>
      <w:proofErr w:type="spellEnd"/>
      <w:r w:rsidRPr="00133049">
        <w:t xml:space="preserve"> </w:t>
      </w:r>
      <w:proofErr w:type="spellStart"/>
      <w:r w:rsidRPr="00133049">
        <w:t>with</w:t>
      </w:r>
      <w:proofErr w:type="spellEnd"/>
      <w:r w:rsidRPr="00133049">
        <w:t xml:space="preserve"> </w:t>
      </w:r>
      <w:proofErr w:type="spellStart"/>
      <w:r w:rsidRPr="00133049">
        <w:t>the</w:t>
      </w:r>
      <w:proofErr w:type="spellEnd"/>
      <w:r w:rsidRPr="00133049">
        <w:t xml:space="preserve"> </w:t>
      </w:r>
      <w:proofErr w:type="spellStart"/>
      <w:r w:rsidRPr="00133049">
        <w:t>technology</w:t>
      </w:r>
      <w:proofErr w:type="spellEnd"/>
      <w:r w:rsidRPr="00133049">
        <w:t xml:space="preserve"> of </w:t>
      </w:r>
      <w:proofErr w:type="spellStart"/>
      <w:r w:rsidRPr="00133049">
        <w:t>the</w:t>
      </w:r>
      <w:proofErr w:type="spellEnd"/>
      <w:r w:rsidRPr="00133049">
        <w:t xml:space="preserve"> age. </w:t>
      </w:r>
      <w:proofErr w:type="spellStart"/>
      <w:r w:rsidRPr="00133049">
        <w:t>For</w:t>
      </w:r>
      <w:proofErr w:type="spellEnd"/>
      <w:r w:rsidRPr="00133049">
        <w:t xml:space="preserve"> </w:t>
      </w:r>
      <w:proofErr w:type="spellStart"/>
      <w:r w:rsidRPr="00133049">
        <w:t>this</w:t>
      </w:r>
      <w:proofErr w:type="spellEnd"/>
      <w:r w:rsidRPr="00133049">
        <w:t xml:space="preserve"> </w:t>
      </w:r>
      <w:proofErr w:type="spellStart"/>
      <w:r w:rsidRPr="00133049">
        <w:t>reason</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designs</w:t>
      </w:r>
      <w:proofErr w:type="spellEnd"/>
      <w:r w:rsidRPr="00133049">
        <w:t xml:space="preserve"> can be </w:t>
      </w:r>
      <w:proofErr w:type="spellStart"/>
      <w:r w:rsidRPr="00133049">
        <w:t>prepared</w:t>
      </w:r>
      <w:proofErr w:type="spellEnd"/>
      <w:r w:rsidRPr="00133049">
        <w:t xml:space="preserve"> </w:t>
      </w:r>
      <w:proofErr w:type="spellStart"/>
      <w:r w:rsidRPr="00133049">
        <w:t>with</w:t>
      </w:r>
      <w:proofErr w:type="spellEnd"/>
      <w:r w:rsidRPr="00133049">
        <w:t xml:space="preserve"> </w:t>
      </w:r>
      <w:proofErr w:type="spellStart"/>
      <w:r w:rsidRPr="00133049">
        <w:t>visual</w:t>
      </w:r>
      <w:proofErr w:type="spellEnd"/>
      <w:r w:rsidRPr="00133049">
        <w:t xml:space="preserve"> </w:t>
      </w:r>
      <w:proofErr w:type="spellStart"/>
      <w:r w:rsidRPr="00133049">
        <w:t>depictions</w:t>
      </w:r>
      <w:proofErr w:type="spellEnd"/>
      <w:r w:rsidRPr="00133049">
        <w:t xml:space="preserve"> of </w:t>
      </w:r>
      <w:proofErr w:type="spellStart"/>
      <w:r w:rsidRPr="00133049">
        <w:t>historical</w:t>
      </w:r>
      <w:proofErr w:type="spellEnd"/>
      <w:r w:rsidRPr="00133049">
        <w:t xml:space="preserve"> </w:t>
      </w:r>
      <w:proofErr w:type="spellStart"/>
      <w:r w:rsidRPr="00133049">
        <w:t>periods</w:t>
      </w:r>
      <w:proofErr w:type="spellEnd"/>
      <w:r w:rsidRPr="00133049">
        <w:t xml:space="preserve"> </w:t>
      </w:r>
      <w:proofErr w:type="spellStart"/>
      <w:r w:rsidRPr="00133049">
        <w:t>so</w:t>
      </w:r>
      <w:proofErr w:type="spellEnd"/>
      <w:r w:rsidRPr="00133049">
        <w:t xml:space="preserve"> </w:t>
      </w:r>
      <w:proofErr w:type="spellStart"/>
      <w:r w:rsidRPr="00133049">
        <w:t>that</w:t>
      </w:r>
      <w:proofErr w:type="spellEnd"/>
      <w:r w:rsidRPr="00133049">
        <w:t xml:space="preserve"> </w:t>
      </w:r>
      <w:proofErr w:type="spellStart"/>
      <w:r w:rsidRPr="00133049">
        <w:t>players</w:t>
      </w:r>
      <w:proofErr w:type="spellEnd"/>
      <w:r w:rsidRPr="00133049">
        <w:t xml:space="preserve"> can </w:t>
      </w:r>
      <w:proofErr w:type="spellStart"/>
      <w:r w:rsidRPr="00133049">
        <w:t>reach</w:t>
      </w:r>
      <w:proofErr w:type="spellEnd"/>
      <w:r w:rsidRPr="00133049">
        <w:t xml:space="preserve"> </w:t>
      </w:r>
      <w:proofErr w:type="spellStart"/>
      <w:r w:rsidRPr="00133049">
        <w:t>and</w:t>
      </w:r>
      <w:proofErr w:type="spellEnd"/>
      <w:r w:rsidRPr="00133049">
        <w:t xml:space="preserve"> </w:t>
      </w:r>
      <w:proofErr w:type="spellStart"/>
      <w:r w:rsidRPr="00133049">
        <w:t>experience</w:t>
      </w:r>
      <w:proofErr w:type="spellEnd"/>
      <w:r w:rsidRPr="00133049">
        <w:t xml:space="preserve"> </w:t>
      </w:r>
      <w:proofErr w:type="spellStart"/>
      <w:r w:rsidRPr="00133049">
        <w:t>them</w:t>
      </w:r>
      <w:proofErr w:type="spellEnd"/>
      <w:r w:rsidRPr="00133049">
        <w:t xml:space="preserve">. </w:t>
      </w:r>
      <w:proofErr w:type="spellStart"/>
      <w:r w:rsidRPr="00133049">
        <w:t>In</w:t>
      </w:r>
      <w:proofErr w:type="spellEnd"/>
      <w:r w:rsidRPr="00133049">
        <w:t xml:space="preserve"> </w:t>
      </w:r>
      <w:proofErr w:type="spellStart"/>
      <w:r w:rsidRPr="00133049">
        <w:t>addition</w:t>
      </w:r>
      <w:proofErr w:type="spellEnd"/>
      <w:r w:rsidRPr="00133049">
        <w:t xml:space="preserve">, </w:t>
      </w:r>
      <w:proofErr w:type="spellStart"/>
      <w:r w:rsidRPr="00133049">
        <w:t>with</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designs</w:t>
      </w:r>
      <w:proofErr w:type="spellEnd"/>
      <w:r w:rsidRPr="00133049">
        <w:t xml:space="preserve">, </w:t>
      </w:r>
      <w:proofErr w:type="spellStart"/>
      <w:r w:rsidRPr="00133049">
        <w:t>historical</w:t>
      </w:r>
      <w:proofErr w:type="spellEnd"/>
      <w:r w:rsidRPr="00133049">
        <w:t xml:space="preserve"> </w:t>
      </w:r>
      <w:proofErr w:type="spellStart"/>
      <w:r w:rsidRPr="00133049">
        <w:t>periods</w:t>
      </w:r>
      <w:proofErr w:type="spellEnd"/>
      <w:r w:rsidRPr="00133049">
        <w:t xml:space="preserve"> </w:t>
      </w:r>
      <w:proofErr w:type="spellStart"/>
      <w:r w:rsidRPr="00133049">
        <w:t>are</w:t>
      </w:r>
      <w:proofErr w:type="spellEnd"/>
      <w:r w:rsidRPr="00133049">
        <w:t xml:space="preserve"> </w:t>
      </w:r>
      <w:proofErr w:type="spellStart"/>
      <w:r w:rsidRPr="00133049">
        <w:t>revitalized</w:t>
      </w:r>
      <w:proofErr w:type="spellEnd"/>
      <w:r w:rsidRPr="00133049">
        <w:t xml:space="preserve"> </w:t>
      </w:r>
      <w:proofErr w:type="spellStart"/>
      <w:r w:rsidRPr="00133049">
        <w:t>and</w:t>
      </w:r>
      <w:proofErr w:type="spellEnd"/>
      <w:r w:rsidRPr="00133049">
        <w:t xml:space="preserve"> </w:t>
      </w:r>
      <w:proofErr w:type="spellStart"/>
      <w:r w:rsidRPr="00133049">
        <w:t>turned</w:t>
      </w:r>
      <w:proofErr w:type="spellEnd"/>
      <w:r w:rsidRPr="00133049">
        <w:t xml:space="preserve"> </w:t>
      </w:r>
      <w:proofErr w:type="spellStart"/>
      <w:r w:rsidRPr="00133049">
        <w:t>into</w:t>
      </w:r>
      <w:proofErr w:type="spellEnd"/>
      <w:r w:rsidRPr="00133049">
        <w:t xml:space="preserve"> </w:t>
      </w:r>
      <w:proofErr w:type="spellStart"/>
      <w:r w:rsidRPr="00133049">
        <w:t>permanent</w:t>
      </w:r>
      <w:proofErr w:type="spellEnd"/>
      <w:r w:rsidRPr="00133049">
        <w:t xml:space="preserve"> </w:t>
      </w:r>
      <w:proofErr w:type="spellStart"/>
      <w:r w:rsidRPr="00133049">
        <w:t>visual</w:t>
      </w:r>
      <w:proofErr w:type="spellEnd"/>
      <w:r w:rsidRPr="00133049">
        <w:t xml:space="preserve"> </w:t>
      </w:r>
      <w:proofErr w:type="spellStart"/>
      <w:r w:rsidRPr="00133049">
        <w:t>resources</w:t>
      </w:r>
      <w:proofErr w:type="spellEnd"/>
      <w:r w:rsidRPr="00133049">
        <w:t xml:space="preserve">.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universe</w:t>
      </w:r>
      <w:proofErr w:type="spellEnd"/>
      <w:r w:rsidRPr="00133049">
        <w:t xml:space="preserve"> is </w:t>
      </w:r>
      <w:proofErr w:type="spellStart"/>
      <w:r w:rsidRPr="00133049">
        <w:t>visualized</w:t>
      </w:r>
      <w:proofErr w:type="spellEnd"/>
      <w:r w:rsidRPr="00133049">
        <w:t xml:space="preserve"> </w:t>
      </w:r>
      <w:proofErr w:type="spellStart"/>
      <w:r w:rsidRPr="00133049">
        <w:t>through</w:t>
      </w:r>
      <w:proofErr w:type="spellEnd"/>
      <w:r w:rsidRPr="00133049">
        <w:t xml:space="preserve"> </w:t>
      </w:r>
      <w:proofErr w:type="spellStart"/>
      <w:r w:rsidRPr="00133049">
        <w:t>character-concept</w:t>
      </w:r>
      <w:proofErr w:type="spellEnd"/>
      <w:r w:rsidRPr="00133049">
        <w:t xml:space="preserve"> </w:t>
      </w:r>
      <w:proofErr w:type="spellStart"/>
      <w:r w:rsidRPr="00133049">
        <w:t>designs</w:t>
      </w:r>
      <w:proofErr w:type="spellEnd"/>
      <w:r w:rsidRPr="00133049">
        <w:t xml:space="preserve"> </w:t>
      </w:r>
      <w:proofErr w:type="spellStart"/>
      <w:r w:rsidRPr="00133049">
        <w:t>that</w:t>
      </w:r>
      <w:proofErr w:type="spellEnd"/>
      <w:r w:rsidRPr="00133049">
        <w:t xml:space="preserve"> </w:t>
      </w:r>
      <w:proofErr w:type="spellStart"/>
      <w:r w:rsidRPr="00133049">
        <w:t>describe</w:t>
      </w:r>
      <w:proofErr w:type="spellEnd"/>
      <w:r w:rsidRPr="00133049">
        <w:t xml:space="preserve">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w:t>
      </w:r>
      <w:proofErr w:type="spellStart"/>
      <w:r w:rsidRPr="00133049">
        <w:t>and</w:t>
      </w:r>
      <w:proofErr w:type="spellEnd"/>
      <w:r w:rsidRPr="00133049">
        <w:t xml:space="preserve"> </w:t>
      </w:r>
      <w:proofErr w:type="spellStart"/>
      <w:r w:rsidRPr="00133049">
        <w:t>are</w:t>
      </w:r>
      <w:proofErr w:type="spellEnd"/>
      <w:r w:rsidRPr="00133049">
        <w:t xml:space="preserve"> </w:t>
      </w:r>
      <w:proofErr w:type="spellStart"/>
      <w:r w:rsidRPr="00133049">
        <w:t>prepared</w:t>
      </w:r>
      <w:proofErr w:type="spellEnd"/>
      <w:r w:rsidRPr="00133049">
        <w:t xml:space="preserve"> </w:t>
      </w:r>
      <w:proofErr w:type="spellStart"/>
      <w:r w:rsidRPr="00133049">
        <w:t>according</w:t>
      </w:r>
      <w:proofErr w:type="spellEnd"/>
      <w:r w:rsidRPr="00133049">
        <w:t xml:space="preserve"> </w:t>
      </w:r>
      <w:proofErr w:type="spellStart"/>
      <w:r w:rsidRPr="00133049">
        <w:t>to</w:t>
      </w:r>
      <w:proofErr w:type="spellEnd"/>
      <w:r w:rsidRPr="00133049">
        <w:t xml:space="preserve">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scenario</w:t>
      </w:r>
      <w:proofErr w:type="spellEnd"/>
      <w:r w:rsidRPr="00133049">
        <w:t xml:space="preserve">. </w:t>
      </w:r>
      <w:proofErr w:type="spellStart"/>
      <w:r w:rsidRPr="00133049">
        <w:t>Elements</w:t>
      </w:r>
      <w:proofErr w:type="spellEnd"/>
      <w:r w:rsidRPr="00133049">
        <w:t xml:space="preserve"> </w:t>
      </w:r>
      <w:proofErr w:type="spellStart"/>
      <w:r w:rsidRPr="00133049">
        <w:t>such</w:t>
      </w:r>
      <w:proofErr w:type="spellEnd"/>
      <w:r w:rsidRPr="00133049">
        <w:t xml:space="preserve"> as </w:t>
      </w:r>
      <w:proofErr w:type="spellStart"/>
      <w:r w:rsidRPr="00133049">
        <w:t>space</w:t>
      </w:r>
      <w:proofErr w:type="spellEnd"/>
      <w:r w:rsidRPr="00133049">
        <w:t xml:space="preserve">, </w:t>
      </w:r>
      <w:proofErr w:type="spellStart"/>
      <w:r w:rsidRPr="00133049">
        <w:t>objects</w:t>
      </w:r>
      <w:proofErr w:type="spellEnd"/>
      <w:r w:rsidRPr="00133049">
        <w:t xml:space="preserve">, </w:t>
      </w:r>
      <w:proofErr w:type="spellStart"/>
      <w:r w:rsidRPr="00133049">
        <w:t>color</w:t>
      </w:r>
      <w:proofErr w:type="spellEnd"/>
      <w:r w:rsidRPr="00133049">
        <w:t xml:space="preserve">, </w:t>
      </w:r>
      <w:proofErr w:type="spellStart"/>
      <w:r w:rsidRPr="00133049">
        <w:t>light</w:t>
      </w:r>
      <w:proofErr w:type="spellEnd"/>
      <w:r w:rsidRPr="00133049">
        <w:t xml:space="preserve">, </w:t>
      </w:r>
      <w:proofErr w:type="spellStart"/>
      <w:r w:rsidRPr="00133049">
        <w:t>character</w:t>
      </w:r>
      <w:proofErr w:type="spellEnd"/>
      <w:r w:rsidRPr="00133049">
        <w:t xml:space="preserve"> </w:t>
      </w:r>
      <w:proofErr w:type="spellStart"/>
      <w:r w:rsidRPr="00133049">
        <w:t>typology</w:t>
      </w:r>
      <w:proofErr w:type="spellEnd"/>
      <w:r w:rsidRPr="00133049">
        <w:t xml:space="preserve">, </w:t>
      </w:r>
      <w:proofErr w:type="spellStart"/>
      <w:r w:rsidRPr="00133049">
        <w:t>gestures</w:t>
      </w:r>
      <w:proofErr w:type="spellEnd"/>
      <w:r w:rsidRPr="00133049">
        <w:t xml:space="preserve"> </w:t>
      </w:r>
      <w:proofErr w:type="spellStart"/>
      <w:r w:rsidRPr="00133049">
        <w:t>and</w:t>
      </w:r>
      <w:proofErr w:type="spellEnd"/>
      <w:r w:rsidRPr="00133049">
        <w:t xml:space="preserve"> </w:t>
      </w:r>
      <w:proofErr w:type="spellStart"/>
      <w:r w:rsidRPr="00133049">
        <w:t>mimics</w:t>
      </w:r>
      <w:proofErr w:type="spellEnd"/>
      <w:r w:rsidRPr="00133049">
        <w:t xml:space="preserve"> </w:t>
      </w:r>
      <w:proofErr w:type="spellStart"/>
      <w:r w:rsidRPr="00133049">
        <w:t>prepared</w:t>
      </w:r>
      <w:proofErr w:type="spellEnd"/>
      <w:r w:rsidRPr="00133049">
        <w:t xml:space="preserve"> </w:t>
      </w:r>
      <w:proofErr w:type="spellStart"/>
      <w:r w:rsidRPr="00133049">
        <w:t>according</w:t>
      </w:r>
      <w:proofErr w:type="spellEnd"/>
      <w:r w:rsidRPr="00133049">
        <w:t xml:space="preserve"> </w:t>
      </w:r>
      <w:proofErr w:type="spellStart"/>
      <w:r w:rsidRPr="00133049">
        <w:t>to</w:t>
      </w:r>
      <w:proofErr w:type="spellEnd"/>
      <w:r w:rsidRPr="00133049">
        <w:t xml:space="preserve">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universe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w:t>
      </w:r>
      <w:proofErr w:type="spellStart"/>
      <w:r w:rsidRPr="00133049">
        <w:t>constitute</w:t>
      </w:r>
      <w:proofErr w:type="spellEnd"/>
      <w:r w:rsidRPr="00133049">
        <w:t xml:space="preserve"> </w:t>
      </w:r>
      <w:proofErr w:type="spellStart"/>
      <w:r w:rsidRPr="00133049">
        <w:t>the</w:t>
      </w:r>
      <w:proofErr w:type="spellEnd"/>
      <w:r w:rsidRPr="00133049">
        <w:t xml:space="preserve"> </w:t>
      </w:r>
      <w:proofErr w:type="spellStart"/>
      <w:r w:rsidRPr="00133049">
        <w:t>character-concept</w:t>
      </w:r>
      <w:proofErr w:type="spellEnd"/>
      <w:r w:rsidRPr="00133049">
        <w:t xml:space="preserve"> </w:t>
      </w:r>
      <w:proofErr w:type="spellStart"/>
      <w:r w:rsidRPr="00133049">
        <w:t>design</w:t>
      </w:r>
      <w:proofErr w:type="spellEnd"/>
      <w:r w:rsidRPr="00133049">
        <w:t xml:space="preserve"> </w:t>
      </w:r>
      <w:proofErr w:type="spellStart"/>
      <w:r w:rsidRPr="00133049">
        <w:t>and</w:t>
      </w:r>
      <w:proofErr w:type="spellEnd"/>
      <w:r w:rsidRPr="00133049">
        <w:t xml:space="preserve"> </w:t>
      </w:r>
      <w:proofErr w:type="spellStart"/>
      <w:r w:rsidRPr="00133049">
        <w:t>bring</w:t>
      </w:r>
      <w:proofErr w:type="spellEnd"/>
      <w:r w:rsidRPr="00133049">
        <w:t xml:space="preserve"> </w:t>
      </w:r>
      <w:proofErr w:type="spellStart"/>
      <w:r w:rsidRPr="00133049">
        <w:t>the</w:t>
      </w:r>
      <w:proofErr w:type="spellEnd"/>
      <w:r w:rsidRPr="00133049">
        <w:t xml:space="preserve"> </w:t>
      </w:r>
      <w:proofErr w:type="spellStart"/>
      <w:r w:rsidRPr="00133049">
        <w:t>player</w:t>
      </w:r>
      <w:proofErr w:type="spellEnd"/>
      <w:r w:rsidRPr="00133049">
        <w:t xml:space="preserve"> </w:t>
      </w:r>
      <w:proofErr w:type="spellStart"/>
      <w:r w:rsidRPr="00133049">
        <w:t>and</w:t>
      </w:r>
      <w:proofErr w:type="spellEnd"/>
      <w:r w:rsidRPr="00133049">
        <w:t xml:space="preserve">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w:t>
      </w:r>
      <w:proofErr w:type="spellStart"/>
      <w:r w:rsidRPr="00133049">
        <w:t>together</w:t>
      </w:r>
      <w:proofErr w:type="spellEnd"/>
      <w:r w:rsidRPr="00133049">
        <w:t xml:space="preserve">. </w:t>
      </w:r>
      <w:proofErr w:type="spellStart"/>
      <w:r w:rsidRPr="00133049">
        <w:t>Digital</w:t>
      </w:r>
      <w:proofErr w:type="spellEnd"/>
      <w:r w:rsidRPr="00133049">
        <w:t xml:space="preserve"> </w:t>
      </w:r>
      <w:proofErr w:type="spellStart"/>
      <w:r w:rsidRPr="00133049">
        <w:t>illustration</w:t>
      </w:r>
      <w:proofErr w:type="spellEnd"/>
      <w:r w:rsidRPr="00133049">
        <w:t xml:space="preserve"> is a </w:t>
      </w:r>
      <w:proofErr w:type="spellStart"/>
      <w:r w:rsidRPr="00133049">
        <w:t>visual</w:t>
      </w:r>
      <w:proofErr w:type="spellEnd"/>
      <w:r w:rsidRPr="00133049">
        <w:t xml:space="preserve"> </w:t>
      </w:r>
      <w:proofErr w:type="spellStart"/>
      <w:r w:rsidRPr="00133049">
        <w:t>communication</w:t>
      </w:r>
      <w:proofErr w:type="spellEnd"/>
      <w:r w:rsidRPr="00133049">
        <w:t xml:space="preserve"> </w:t>
      </w:r>
      <w:proofErr w:type="spellStart"/>
      <w:r w:rsidRPr="00133049">
        <w:t>tool</w:t>
      </w:r>
      <w:proofErr w:type="spellEnd"/>
      <w:r w:rsidRPr="00133049">
        <w:t xml:space="preserve"> </w:t>
      </w:r>
      <w:proofErr w:type="spellStart"/>
      <w:r w:rsidRPr="00133049">
        <w:t>that</w:t>
      </w:r>
      <w:proofErr w:type="spellEnd"/>
      <w:r w:rsidRPr="00133049">
        <w:t xml:space="preserve"> </w:t>
      </w:r>
      <w:proofErr w:type="spellStart"/>
      <w:r w:rsidRPr="00133049">
        <w:t>explains</w:t>
      </w:r>
      <w:proofErr w:type="spellEnd"/>
      <w:r w:rsidRPr="00133049">
        <w:t xml:space="preserve"> a </w:t>
      </w:r>
      <w:proofErr w:type="spellStart"/>
      <w:r w:rsidRPr="00133049">
        <w:t>text</w:t>
      </w:r>
      <w:proofErr w:type="spellEnd"/>
      <w:r w:rsidRPr="00133049">
        <w:t xml:space="preserve">, </w:t>
      </w:r>
      <w:proofErr w:type="spellStart"/>
      <w:r w:rsidRPr="00133049">
        <w:t>concept</w:t>
      </w:r>
      <w:proofErr w:type="spellEnd"/>
      <w:r w:rsidRPr="00133049">
        <w:t xml:space="preserve">, </w:t>
      </w:r>
      <w:proofErr w:type="spellStart"/>
      <w:r w:rsidRPr="00133049">
        <w:t>event</w:t>
      </w:r>
      <w:proofErr w:type="spellEnd"/>
      <w:r w:rsidRPr="00133049">
        <w:t xml:space="preserve"> </w:t>
      </w:r>
      <w:proofErr w:type="spellStart"/>
      <w:r w:rsidRPr="00133049">
        <w:t>or</w:t>
      </w:r>
      <w:proofErr w:type="spellEnd"/>
      <w:r w:rsidRPr="00133049">
        <w:t xml:space="preserve"> </w:t>
      </w:r>
      <w:proofErr w:type="spellStart"/>
      <w:r w:rsidRPr="00133049">
        <w:t>information</w:t>
      </w:r>
      <w:proofErr w:type="spellEnd"/>
      <w:r w:rsidRPr="00133049">
        <w:t xml:space="preserve"> </w:t>
      </w:r>
      <w:proofErr w:type="spellStart"/>
      <w:r w:rsidRPr="00133049">
        <w:t>by</w:t>
      </w:r>
      <w:proofErr w:type="spellEnd"/>
      <w:r w:rsidRPr="00133049">
        <w:t xml:space="preserve"> </w:t>
      </w:r>
      <w:proofErr w:type="spellStart"/>
      <w:r w:rsidRPr="00133049">
        <w:t>visualizing</w:t>
      </w:r>
      <w:proofErr w:type="spellEnd"/>
      <w:r w:rsidRPr="00133049">
        <w:t xml:space="preserve"> it. </w:t>
      </w:r>
      <w:proofErr w:type="spellStart"/>
      <w:r w:rsidRPr="00133049">
        <w:t>Character-concept</w:t>
      </w:r>
      <w:proofErr w:type="spellEnd"/>
      <w:r w:rsidRPr="00133049">
        <w:t xml:space="preserve"> </w:t>
      </w:r>
      <w:proofErr w:type="spellStart"/>
      <w:r w:rsidRPr="00133049">
        <w:t>designs</w:t>
      </w:r>
      <w:proofErr w:type="spellEnd"/>
      <w:r w:rsidRPr="00133049">
        <w:t xml:space="preserve"> </w:t>
      </w:r>
      <w:proofErr w:type="spellStart"/>
      <w:r w:rsidRPr="00133049">
        <w:t>prepared</w:t>
      </w:r>
      <w:proofErr w:type="spellEnd"/>
      <w:r w:rsidRPr="00133049">
        <w:t xml:space="preserve"> </w:t>
      </w:r>
      <w:proofErr w:type="spellStart"/>
      <w:r w:rsidRPr="00133049">
        <w:t>for</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designs</w:t>
      </w:r>
      <w:proofErr w:type="spellEnd"/>
      <w:r w:rsidRPr="00133049">
        <w:t xml:space="preserve"> </w:t>
      </w:r>
      <w:proofErr w:type="spellStart"/>
      <w:r w:rsidRPr="00133049">
        <w:t>are</w:t>
      </w:r>
      <w:proofErr w:type="spellEnd"/>
      <w:r w:rsidRPr="00133049">
        <w:t xml:space="preserve"> </w:t>
      </w:r>
      <w:proofErr w:type="spellStart"/>
      <w:r w:rsidRPr="00133049">
        <w:t>first</w:t>
      </w:r>
      <w:proofErr w:type="spellEnd"/>
      <w:r w:rsidRPr="00133049">
        <w:t xml:space="preserve"> </w:t>
      </w:r>
      <w:proofErr w:type="spellStart"/>
      <w:r w:rsidRPr="00133049">
        <w:t>designed</w:t>
      </w:r>
      <w:proofErr w:type="spellEnd"/>
      <w:r w:rsidRPr="00133049">
        <w:t xml:space="preserve"> </w:t>
      </w:r>
      <w:proofErr w:type="spellStart"/>
      <w:r w:rsidRPr="00133049">
        <w:t>with</w:t>
      </w:r>
      <w:proofErr w:type="spellEnd"/>
      <w:r w:rsidRPr="00133049">
        <w:t xml:space="preserve"> </w:t>
      </w:r>
      <w:proofErr w:type="spellStart"/>
      <w:r w:rsidRPr="00133049">
        <w:t>digital</w:t>
      </w:r>
      <w:proofErr w:type="spellEnd"/>
      <w:r w:rsidRPr="00133049">
        <w:t xml:space="preserve"> </w:t>
      </w:r>
      <w:proofErr w:type="spellStart"/>
      <w:r w:rsidRPr="00133049">
        <w:t>illustration</w:t>
      </w:r>
      <w:proofErr w:type="spellEnd"/>
      <w:r w:rsidRPr="00133049">
        <w:t xml:space="preserve">, </w:t>
      </w:r>
      <w:proofErr w:type="spellStart"/>
      <w:r w:rsidRPr="00133049">
        <w:t>then</w:t>
      </w:r>
      <w:proofErr w:type="spellEnd"/>
      <w:r w:rsidRPr="00133049">
        <w:t xml:space="preserve"> </w:t>
      </w:r>
      <w:proofErr w:type="spellStart"/>
      <w:r w:rsidRPr="00133049">
        <w:t>animated</w:t>
      </w:r>
      <w:proofErr w:type="spellEnd"/>
      <w:r w:rsidRPr="00133049">
        <w:t xml:space="preserve"> in 3D, 2D </w:t>
      </w:r>
      <w:proofErr w:type="spellStart"/>
      <w:r w:rsidRPr="00133049">
        <w:t>and</w:t>
      </w:r>
      <w:proofErr w:type="spellEnd"/>
      <w:r w:rsidRPr="00133049">
        <w:t xml:space="preserve"> </w:t>
      </w:r>
      <w:proofErr w:type="spellStart"/>
      <w:r w:rsidRPr="00133049">
        <w:t>placed</w:t>
      </w:r>
      <w:proofErr w:type="spellEnd"/>
      <w:r w:rsidRPr="00133049">
        <w:t xml:space="preserve"> in </w:t>
      </w:r>
      <w:proofErr w:type="spellStart"/>
      <w:r w:rsidRPr="00133049">
        <w:t>the</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universe</w:t>
      </w:r>
      <w:proofErr w:type="spellEnd"/>
      <w:r w:rsidRPr="00133049">
        <w:t xml:space="preserve">. </w:t>
      </w:r>
      <w:proofErr w:type="spellStart"/>
      <w:r w:rsidRPr="00133049">
        <w:t>Character-concept</w:t>
      </w:r>
      <w:proofErr w:type="spellEnd"/>
      <w:r w:rsidRPr="00133049">
        <w:t xml:space="preserve"> </w:t>
      </w:r>
      <w:proofErr w:type="spellStart"/>
      <w:r w:rsidRPr="00133049">
        <w:t>design</w:t>
      </w:r>
      <w:proofErr w:type="spellEnd"/>
      <w:r w:rsidRPr="00133049">
        <w:t xml:space="preserve">, </w:t>
      </w:r>
      <w:proofErr w:type="spellStart"/>
      <w:r w:rsidRPr="00133049">
        <w:t>which</w:t>
      </w:r>
      <w:proofErr w:type="spellEnd"/>
      <w:r w:rsidRPr="00133049">
        <w:t xml:space="preserve"> </w:t>
      </w:r>
      <w:proofErr w:type="spellStart"/>
      <w:r w:rsidRPr="00133049">
        <w:t>starts</w:t>
      </w:r>
      <w:proofErr w:type="spellEnd"/>
      <w:r w:rsidRPr="00133049">
        <w:t xml:space="preserve"> </w:t>
      </w:r>
      <w:proofErr w:type="spellStart"/>
      <w:r w:rsidRPr="00133049">
        <w:t>with</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illustrations</w:t>
      </w:r>
      <w:proofErr w:type="spellEnd"/>
      <w:r w:rsidRPr="00133049">
        <w:t xml:space="preserve">, </w:t>
      </w:r>
      <w:proofErr w:type="spellStart"/>
      <w:r w:rsidRPr="00133049">
        <w:t>forms</w:t>
      </w:r>
      <w:proofErr w:type="spellEnd"/>
      <w:r w:rsidRPr="00133049">
        <w:t xml:space="preserve"> </w:t>
      </w:r>
      <w:proofErr w:type="spellStart"/>
      <w:r w:rsidRPr="00133049">
        <w:t>the</w:t>
      </w:r>
      <w:proofErr w:type="spellEnd"/>
      <w:r w:rsidRPr="00133049">
        <w:t xml:space="preserve"> </w:t>
      </w:r>
      <w:proofErr w:type="spellStart"/>
      <w:r w:rsidRPr="00133049">
        <w:t>basis</w:t>
      </w:r>
      <w:proofErr w:type="spellEnd"/>
      <w:r w:rsidRPr="00133049">
        <w:t xml:space="preserve"> of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designs</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illustrations</w:t>
      </w:r>
      <w:proofErr w:type="spellEnd"/>
      <w:r w:rsidRPr="00133049">
        <w:t xml:space="preserve"> </w:t>
      </w:r>
      <w:proofErr w:type="spellStart"/>
      <w:r w:rsidRPr="00133049">
        <w:t>prepared</w:t>
      </w:r>
      <w:proofErr w:type="spellEnd"/>
      <w:r w:rsidRPr="00133049">
        <w:t xml:space="preserve"> </w:t>
      </w:r>
      <w:proofErr w:type="spellStart"/>
      <w:r w:rsidRPr="00133049">
        <w:t>within</w:t>
      </w:r>
      <w:proofErr w:type="spellEnd"/>
      <w:r w:rsidRPr="00133049">
        <w:t xml:space="preserve"> </w:t>
      </w:r>
      <w:proofErr w:type="spellStart"/>
      <w:r w:rsidRPr="00133049">
        <w:t>the</w:t>
      </w:r>
      <w:proofErr w:type="spellEnd"/>
      <w:r w:rsidRPr="00133049">
        <w:t xml:space="preserve"> </w:t>
      </w:r>
      <w:proofErr w:type="spellStart"/>
      <w:r w:rsidRPr="00133049">
        <w:t>scope</w:t>
      </w:r>
      <w:proofErr w:type="spellEnd"/>
      <w:r w:rsidRPr="00133049">
        <w:t xml:space="preserve"> of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character-concept</w:t>
      </w:r>
      <w:proofErr w:type="spellEnd"/>
      <w:r w:rsidRPr="00133049">
        <w:t xml:space="preserve"> </w:t>
      </w:r>
      <w:proofErr w:type="spellStart"/>
      <w:r w:rsidRPr="00133049">
        <w:t>design</w:t>
      </w:r>
      <w:proofErr w:type="spellEnd"/>
      <w:r w:rsidRPr="00133049">
        <w:t xml:space="preserve"> </w:t>
      </w:r>
      <w:proofErr w:type="spellStart"/>
      <w:r w:rsidRPr="00133049">
        <w:t>are</w:t>
      </w:r>
      <w:proofErr w:type="spellEnd"/>
      <w:r w:rsidRPr="00133049">
        <w:t xml:space="preserve"> </w:t>
      </w:r>
      <w:proofErr w:type="spellStart"/>
      <w:r w:rsidRPr="00133049">
        <w:t>prepared</w:t>
      </w:r>
      <w:proofErr w:type="spellEnd"/>
      <w:r w:rsidRPr="00133049">
        <w:t xml:space="preserve"> </w:t>
      </w:r>
      <w:proofErr w:type="spellStart"/>
      <w:r w:rsidRPr="00133049">
        <w:t>to</w:t>
      </w:r>
      <w:proofErr w:type="spellEnd"/>
      <w:r w:rsidRPr="00133049">
        <w:t xml:space="preserve"> </w:t>
      </w:r>
      <w:proofErr w:type="spellStart"/>
      <w:r w:rsidRPr="00133049">
        <w:t>visualize</w:t>
      </w:r>
      <w:proofErr w:type="spellEnd"/>
      <w:r w:rsidRPr="00133049">
        <w:t xml:space="preserve"> </w:t>
      </w:r>
      <w:proofErr w:type="spellStart"/>
      <w:r w:rsidRPr="00133049">
        <w:t>the</w:t>
      </w:r>
      <w:proofErr w:type="spellEnd"/>
      <w:r w:rsidRPr="00133049">
        <w:t xml:space="preserve"> </w:t>
      </w:r>
      <w:proofErr w:type="spellStart"/>
      <w:r w:rsidRPr="00133049">
        <w:t>period</w:t>
      </w:r>
      <w:proofErr w:type="spellEnd"/>
      <w:r w:rsidRPr="00133049">
        <w:t xml:space="preserve"> </w:t>
      </w:r>
      <w:proofErr w:type="spellStart"/>
      <w:r w:rsidRPr="00133049">
        <w:t>and</w:t>
      </w:r>
      <w:proofErr w:type="spellEnd"/>
      <w:r w:rsidRPr="00133049">
        <w:t xml:space="preserve"> </w:t>
      </w:r>
      <w:proofErr w:type="spellStart"/>
      <w:r w:rsidRPr="00133049">
        <w:t>tell</w:t>
      </w:r>
      <w:proofErr w:type="spellEnd"/>
      <w:r w:rsidRPr="00133049">
        <w:t xml:space="preserve"> </w:t>
      </w:r>
      <w:proofErr w:type="spellStart"/>
      <w:r w:rsidRPr="00133049">
        <w:t>the</w:t>
      </w:r>
      <w:proofErr w:type="spellEnd"/>
      <w:r w:rsidRPr="00133049">
        <w:t xml:space="preserve"> </w:t>
      </w:r>
      <w:proofErr w:type="spellStart"/>
      <w:r w:rsidRPr="00133049">
        <w:t>story</w:t>
      </w:r>
      <w:proofErr w:type="spellEnd"/>
      <w:r w:rsidRPr="00133049">
        <w:t xml:space="preserve"> of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by</w:t>
      </w:r>
      <w:proofErr w:type="spellEnd"/>
      <w:r w:rsidRPr="00133049">
        <w:t xml:space="preserve"> </w:t>
      </w:r>
      <w:proofErr w:type="spellStart"/>
      <w:r w:rsidRPr="00133049">
        <w:t>reflecting</w:t>
      </w:r>
      <w:proofErr w:type="spellEnd"/>
      <w:r w:rsidRPr="00133049">
        <w:t xml:space="preserve"> </w:t>
      </w:r>
      <w:proofErr w:type="spellStart"/>
      <w:r w:rsidRPr="00133049">
        <w:t>the</w:t>
      </w:r>
      <w:proofErr w:type="spellEnd"/>
      <w:r w:rsidRPr="00133049">
        <w:t xml:space="preserve"> </w:t>
      </w:r>
      <w:proofErr w:type="spellStart"/>
      <w:r w:rsidRPr="00133049">
        <w:t>social</w:t>
      </w:r>
      <w:proofErr w:type="spellEnd"/>
      <w:r w:rsidRPr="00133049">
        <w:t xml:space="preserve"> </w:t>
      </w:r>
      <w:proofErr w:type="spellStart"/>
      <w:r w:rsidRPr="00133049">
        <w:t>and</w:t>
      </w:r>
      <w:proofErr w:type="spellEnd"/>
      <w:r w:rsidRPr="00133049">
        <w:t xml:space="preserve"> </w:t>
      </w:r>
      <w:proofErr w:type="spellStart"/>
      <w:r w:rsidRPr="00133049">
        <w:t>cultural</w:t>
      </w:r>
      <w:proofErr w:type="spellEnd"/>
      <w:r w:rsidRPr="00133049">
        <w:t xml:space="preserve"> </w:t>
      </w:r>
      <w:proofErr w:type="spellStart"/>
      <w:r w:rsidRPr="00133049">
        <w:t>visual</w:t>
      </w:r>
      <w:proofErr w:type="spellEnd"/>
      <w:r w:rsidRPr="00133049">
        <w:t xml:space="preserve"> </w:t>
      </w:r>
      <w:proofErr w:type="spellStart"/>
      <w:r w:rsidRPr="00133049">
        <w:t>images</w:t>
      </w:r>
      <w:proofErr w:type="spellEnd"/>
      <w:r w:rsidRPr="00133049">
        <w:t xml:space="preserve"> of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universe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w:t>
      </w:r>
      <w:proofErr w:type="spellStart"/>
      <w:r w:rsidRPr="00133049">
        <w:t>The</w:t>
      </w:r>
      <w:proofErr w:type="spellEnd"/>
      <w:r w:rsidRPr="00133049">
        <w:t xml:space="preserve"> </w:t>
      </w:r>
      <w:proofErr w:type="spellStart"/>
      <w:r w:rsidRPr="00133049">
        <w:t>Assasin's</w:t>
      </w:r>
      <w:proofErr w:type="spellEnd"/>
      <w:r w:rsidRPr="00133049">
        <w:t xml:space="preserve"> </w:t>
      </w:r>
      <w:proofErr w:type="spellStart"/>
      <w:r w:rsidRPr="00133049">
        <w:t>Creed</w:t>
      </w:r>
      <w:proofErr w:type="spellEnd"/>
      <w:r w:rsidRPr="00133049">
        <w:t xml:space="preserve">: </w:t>
      </w:r>
      <w:proofErr w:type="spellStart"/>
      <w:r w:rsidRPr="00133049">
        <w:t>Unity</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which</w:t>
      </w:r>
      <w:proofErr w:type="spellEnd"/>
      <w:r w:rsidRPr="00133049">
        <w:t xml:space="preserve"> </w:t>
      </w:r>
      <w:proofErr w:type="spellStart"/>
      <w:r w:rsidRPr="00133049">
        <w:t>was</w:t>
      </w:r>
      <w:proofErr w:type="spellEnd"/>
      <w:r w:rsidRPr="00133049">
        <w:t xml:space="preserve"> </w:t>
      </w:r>
      <w:proofErr w:type="spellStart"/>
      <w:r w:rsidRPr="00133049">
        <w:t>selected</w:t>
      </w:r>
      <w:proofErr w:type="spellEnd"/>
      <w:r w:rsidRPr="00133049">
        <w:t xml:space="preserve"> as </w:t>
      </w:r>
      <w:proofErr w:type="spellStart"/>
      <w:r w:rsidRPr="00133049">
        <w:t>the</w:t>
      </w:r>
      <w:proofErr w:type="spellEnd"/>
      <w:r w:rsidRPr="00133049">
        <w:t xml:space="preserve"> </w:t>
      </w:r>
      <w:proofErr w:type="spellStart"/>
      <w:r w:rsidRPr="00133049">
        <w:t>sample</w:t>
      </w:r>
      <w:proofErr w:type="spellEnd"/>
      <w:r w:rsidRPr="00133049">
        <w:t xml:space="preserve"> </w:t>
      </w:r>
      <w:proofErr w:type="spellStart"/>
      <w:r w:rsidRPr="00133049">
        <w:t>for</w:t>
      </w:r>
      <w:proofErr w:type="spellEnd"/>
      <w:r w:rsidRPr="00133049">
        <w:t xml:space="preserve"> </w:t>
      </w:r>
      <w:proofErr w:type="spellStart"/>
      <w:r w:rsidRPr="00133049">
        <w:t>this</w:t>
      </w:r>
      <w:proofErr w:type="spellEnd"/>
      <w:r w:rsidRPr="00133049">
        <w:t xml:space="preserve"> </w:t>
      </w:r>
      <w:proofErr w:type="spellStart"/>
      <w:r w:rsidRPr="00133049">
        <w:t>study</w:t>
      </w:r>
      <w:proofErr w:type="spellEnd"/>
      <w:r w:rsidRPr="00133049">
        <w:t xml:space="preserve">, is set in </w:t>
      </w:r>
      <w:proofErr w:type="spellStart"/>
      <w:r w:rsidRPr="00133049">
        <w:t>the</w:t>
      </w:r>
      <w:proofErr w:type="spellEnd"/>
      <w:r w:rsidRPr="00133049">
        <w:t xml:space="preserve"> French </w:t>
      </w:r>
      <w:proofErr w:type="spellStart"/>
      <w:r w:rsidRPr="00133049">
        <w:t>Revolution</w:t>
      </w:r>
      <w:proofErr w:type="spellEnd"/>
      <w:r w:rsidRPr="00133049">
        <w:t xml:space="preserve"> </w:t>
      </w:r>
      <w:proofErr w:type="spellStart"/>
      <w:r w:rsidRPr="00133049">
        <w:t>period</w:t>
      </w:r>
      <w:proofErr w:type="spellEnd"/>
      <w:r w:rsidRPr="00133049">
        <w:t xml:space="preserve">. </w:t>
      </w:r>
      <w:proofErr w:type="spellStart"/>
      <w:r w:rsidRPr="00133049">
        <w:t>The</w:t>
      </w:r>
      <w:proofErr w:type="spellEnd"/>
      <w:r w:rsidRPr="00133049">
        <w:t xml:space="preserve"> </w:t>
      </w:r>
      <w:proofErr w:type="spellStart"/>
      <w:r w:rsidRPr="00133049">
        <w:t>aim</w:t>
      </w:r>
      <w:proofErr w:type="spellEnd"/>
      <w:r w:rsidRPr="00133049">
        <w:t xml:space="preserve"> of </w:t>
      </w:r>
      <w:proofErr w:type="spellStart"/>
      <w:r w:rsidRPr="00133049">
        <w:t>this</w:t>
      </w:r>
      <w:proofErr w:type="spellEnd"/>
      <w:r w:rsidRPr="00133049">
        <w:t xml:space="preserve"> </w:t>
      </w:r>
      <w:proofErr w:type="spellStart"/>
      <w:r w:rsidRPr="00133049">
        <w:t>study</w:t>
      </w:r>
      <w:proofErr w:type="spellEnd"/>
      <w:r w:rsidRPr="00133049">
        <w:t xml:space="preserve"> is </w:t>
      </w:r>
      <w:proofErr w:type="spellStart"/>
      <w:r w:rsidRPr="00133049">
        <w:t>to</w:t>
      </w:r>
      <w:proofErr w:type="spellEnd"/>
      <w:r w:rsidRPr="00133049">
        <w:t xml:space="preserve"> </w:t>
      </w:r>
      <w:proofErr w:type="spellStart"/>
      <w:r w:rsidRPr="00133049">
        <w:t>examine</w:t>
      </w:r>
      <w:proofErr w:type="spellEnd"/>
      <w:r w:rsidRPr="00133049">
        <w:t xml:space="preserve"> </w:t>
      </w:r>
      <w:proofErr w:type="spellStart"/>
      <w:r w:rsidRPr="00133049">
        <w:t>the</w:t>
      </w:r>
      <w:proofErr w:type="spellEnd"/>
      <w:r w:rsidRPr="00133049">
        <w:t xml:space="preserve"> </w:t>
      </w:r>
      <w:proofErr w:type="spellStart"/>
      <w:r w:rsidRPr="00133049">
        <w:t>ways</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game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is </w:t>
      </w:r>
      <w:proofErr w:type="spellStart"/>
      <w:r w:rsidRPr="00133049">
        <w:t>visualized</w:t>
      </w:r>
      <w:proofErr w:type="spellEnd"/>
      <w:r w:rsidRPr="00133049">
        <w:t xml:space="preserve"> </w:t>
      </w:r>
      <w:proofErr w:type="spellStart"/>
      <w:r w:rsidRPr="00133049">
        <w:t>and</w:t>
      </w:r>
      <w:proofErr w:type="spellEnd"/>
      <w:r w:rsidRPr="00133049">
        <w:t xml:space="preserve"> </w:t>
      </w:r>
      <w:proofErr w:type="spellStart"/>
      <w:r w:rsidRPr="00133049">
        <w:t>used</w:t>
      </w:r>
      <w:proofErr w:type="spellEnd"/>
      <w:r w:rsidRPr="00133049">
        <w:t xml:space="preserve"> in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illustrations</w:t>
      </w:r>
      <w:proofErr w:type="spellEnd"/>
      <w:r w:rsidRPr="00133049">
        <w:t xml:space="preserve">.  </w:t>
      </w:r>
      <w:proofErr w:type="spellStart"/>
      <w:r w:rsidRPr="00133049">
        <w:t>In</w:t>
      </w:r>
      <w:proofErr w:type="spellEnd"/>
      <w:r w:rsidRPr="00133049">
        <w:t xml:space="preserve"> </w:t>
      </w:r>
      <w:proofErr w:type="spellStart"/>
      <w:r w:rsidRPr="00133049">
        <w:t>this</w:t>
      </w:r>
      <w:proofErr w:type="spellEnd"/>
      <w:r w:rsidRPr="00133049">
        <w:t xml:space="preserve"> </w:t>
      </w:r>
      <w:proofErr w:type="spellStart"/>
      <w:r w:rsidRPr="00133049">
        <w:t>study</w:t>
      </w:r>
      <w:proofErr w:type="spellEnd"/>
      <w:r w:rsidRPr="00133049">
        <w:t xml:space="preserve">, </w:t>
      </w:r>
      <w:proofErr w:type="spellStart"/>
      <w:r w:rsidRPr="00133049">
        <w:t>the</w:t>
      </w:r>
      <w:proofErr w:type="spellEnd"/>
      <w:r w:rsidRPr="00133049">
        <w:t xml:space="preserve"> </w:t>
      </w:r>
      <w:proofErr w:type="spellStart"/>
      <w:r w:rsidRPr="00133049">
        <w:t>images</w:t>
      </w:r>
      <w:proofErr w:type="spellEnd"/>
      <w:r w:rsidRPr="00133049">
        <w:t xml:space="preserve"> </w:t>
      </w:r>
      <w:proofErr w:type="spellStart"/>
      <w:r w:rsidRPr="00133049">
        <w:t>used</w:t>
      </w:r>
      <w:proofErr w:type="spellEnd"/>
      <w:r w:rsidRPr="00133049">
        <w:t xml:space="preserve"> in </w:t>
      </w:r>
      <w:proofErr w:type="spellStart"/>
      <w:r w:rsidRPr="00133049">
        <w:t>the</w:t>
      </w:r>
      <w:proofErr w:type="spellEnd"/>
      <w:r w:rsidRPr="00133049">
        <w:t xml:space="preserve"> </w:t>
      </w:r>
      <w:proofErr w:type="spellStart"/>
      <w:r w:rsidRPr="00133049">
        <w:t>original</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illustrations</w:t>
      </w:r>
      <w:proofErr w:type="spellEnd"/>
      <w:r w:rsidRPr="00133049">
        <w:t xml:space="preserve"> </w:t>
      </w:r>
      <w:proofErr w:type="spellStart"/>
      <w:r w:rsidRPr="00133049">
        <w:t>prepared</w:t>
      </w:r>
      <w:proofErr w:type="spellEnd"/>
      <w:r w:rsidRPr="00133049">
        <w:t xml:space="preserve"> </w:t>
      </w:r>
      <w:proofErr w:type="spellStart"/>
      <w:r w:rsidRPr="00133049">
        <w:t>for</w:t>
      </w:r>
      <w:proofErr w:type="spellEnd"/>
      <w:r w:rsidRPr="00133049">
        <w:t xml:space="preserve"> </w:t>
      </w:r>
      <w:proofErr w:type="spellStart"/>
      <w:r w:rsidRPr="00133049">
        <w:t>character-concept</w:t>
      </w:r>
      <w:proofErr w:type="spellEnd"/>
      <w:r w:rsidRPr="00133049">
        <w:t xml:space="preserve"> </w:t>
      </w:r>
      <w:proofErr w:type="spellStart"/>
      <w:r w:rsidRPr="00133049">
        <w:t>design</w:t>
      </w:r>
      <w:proofErr w:type="spellEnd"/>
      <w:r w:rsidRPr="00133049">
        <w:t xml:space="preserve"> in </w:t>
      </w:r>
      <w:proofErr w:type="spellStart"/>
      <w:r w:rsidRPr="00133049">
        <w:t>order</w:t>
      </w:r>
      <w:proofErr w:type="spellEnd"/>
      <w:r w:rsidRPr="00133049">
        <w:t xml:space="preserve"> </w:t>
      </w:r>
      <w:proofErr w:type="spellStart"/>
      <w:r w:rsidRPr="00133049">
        <w:t>to</w:t>
      </w:r>
      <w:proofErr w:type="spellEnd"/>
      <w:r w:rsidRPr="00133049">
        <w:t xml:space="preserve"> </w:t>
      </w:r>
      <w:proofErr w:type="spellStart"/>
      <w:r w:rsidRPr="00133049">
        <w:t>visualize</w:t>
      </w:r>
      <w:proofErr w:type="spellEnd"/>
      <w:r w:rsidRPr="00133049">
        <w:t xml:space="preserve"> </w:t>
      </w:r>
      <w:proofErr w:type="spellStart"/>
      <w:r w:rsidRPr="00133049">
        <w:t>and</w:t>
      </w:r>
      <w:proofErr w:type="spellEnd"/>
      <w:r w:rsidRPr="00133049">
        <w:t xml:space="preserve"> </w:t>
      </w:r>
      <w:proofErr w:type="spellStart"/>
      <w:r w:rsidRPr="00133049">
        <w:t>convey</w:t>
      </w:r>
      <w:proofErr w:type="spellEnd"/>
      <w:r w:rsidRPr="00133049">
        <w:t xml:space="preserve"> </w:t>
      </w:r>
      <w:proofErr w:type="spellStart"/>
      <w:r w:rsidRPr="00133049">
        <w:t>the</w:t>
      </w:r>
      <w:proofErr w:type="spellEnd"/>
      <w:r w:rsidRPr="00133049">
        <w:t xml:space="preserve"> </w:t>
      </w:r>
      <w:proofErr w:type="spellStart"/>
      <w:r w:rsidRPr="00133049">
        <w:t>historical</w:t>
      </w:r>
      <w:proofErr w:type="spellEnd"/>
      <w:r w:rsidRPr="00133049">
        <w:t xml:space="preserve"> </w:t>
      </w:r>
      <w:proofErr w:type="spellStart"/>
      <w:r w:rsidRPr="00133049">
        <w:t>period</w:t>
      </w:r>
      <w:proofErr w:type="spellEnd"/>
      <w:r w:rsidRPr="00133049">
        <w:t xml:space="preserve"> in </w:t>
      </w:r>
      <w:proofErr w:type="spellStart"/>
      <w:r w:rsidRPr="00133049">
        <w:t>which</w:t>
      </w:r>
      <w:proofErr w:type="spellEnd"/>
      <w:r w:rsidRPr="00133049">
        <w:t xml:space="preserve"> </w:t>
      </w:r>
      <w:proofErr w:type="spellStart"/>
      <w:r w:rsidRPr="00133049">
        <w:t>the</w:t>
      </w:r>
      <w:proofErr w:type="spellEnd"/>
      <w:r w:rsidRPr="00133049">
        <w:t xml:space="preserve"> </w:t>
      </w:r>
      <w:proofErr w:type="spellStart"/>
      <w:r w:rsidRPr="00133049">
        <w:t>Assassin's</w:t>
      </w:r>
      <w:proofErr w:type="spellEnd"/>
      <w:r w:rsidRPr="00133049">
        <w:t xml:space="preserve"> </w:t>
      </w:r>
      <w:proofErr w:type="spellStart"/>
      <w:r w:rsidRPr="00133049">
        <w:t>Creed</w:t>
      </w:r>
      <w:proofErr w:type="spellEnd"/>
      <w:r w:rsidRPr="00133049">
        <w:t xml:space="preserve"> </w:t>
      </w:r>
      <w:proofErr w:type="spellStart"/>
      <w:r w:rsidRPr="00133049">
        <w:t>digital</w:t>
      </w:r>
      <w:proofErr w:type="spellEnd"/>
      <w:r w:rsidRPr="00133049">
        <w:t xml:space="preserve"> </w:t>
      </w:r>
      <w:proofErr w:type="spellStart"/>
      <w:r w:rsidRPr="00133049">
        <w:t>game</w:t>
      </w:r>
      <w:proofErr w:type="spellEnd"/>
      <w:r w:rsidRPr="00133049">
        <w:t xml:space="preserve"> </w:t>
      </w:r>
      <w:proofErr w:type="spellStart"/>
      <w:r w:rsidRPr="00133049">
        <w:t>takes</w:t>
      </w:r>
      <w:proofErr w:type="spellEnd"/>
      <w:r w:rsidRPr="00133049">
        <w:t xml:space="preserve"> </w:t>
      </w:r>
      <w:proofErr w:type="spellStart"/>
      <w:r w:rsidRPr="00133049">
        <w:t>place</w:t>
      </w:r>
      <w:proofErr w:type="spellEnd"/>
      <w:r w:rsidRPr="00133049">
        <w:t xml:space="preserve"> </w:t>
      </w:r>
      <w:proofErr w:type="spellStart"/>
      <w:r w:rsidRPr="00133049">
        <w:t>to</w:t>
      </w:r>
      <w:proofErr w:type="spellEnd"/>
      <w:r w:rsidRPr="00133049">
        <w:t xml:space="preserve"> </w:t>
      </w:r>
      <w:proofErr w:type="spellStart"/>
      <w:r w:rsidRPr="00133049">
        <w:t>the</w:t>
      </w:r>
      <w:proofErr w:type="spellEnd"/>
      <w:r w:rsidRPr="00133049">
        <w:t xml:space="preserve"> </w:t>
      </w:r>
      <w:proofErr w:type="spellStart"/>
      <w:r w:rsidRPr="00133049">
        <w:t>audience</w:t>
      </w:r>
      <w:proofErr w:type="spellEnd"/>
      <w:r w:rsidRPr="00133049">
        <w:t xml:space="preserve"> </w:t>
      </w:r>
      <w:proofErr w:type="spellStart"/>
      <w:r w:rsidRPr="00133049">
        <w:t>were</w:t>
      </w:r>
      <w:proofErr w:type="spellEnd"/>
      <w:r w:rsidRPr="00133049">
        <w:t xml:space="preserve"> </w:t>
      </w:r>
      <w:proofErr w:type="spellStart"/>
      <w:r w:rsidRPr="00133049">
        <w:t>examined</w:t>
      </w:r>
      <w:proofErr w:type="spellEnd"/>
      <w:r w:rsidRPr="00133049">
        <w:t xml:space="preserve"> </w:t>
      </w:r>
      <w:proofErr w:type="spellStart"/>
      <w:r w:rsidRPr="00133049">
        <w:t>with</w:t>
      </w:r>
      <w:proofErr w:type="spellEnd"/>
      <w:r w:rsidRPr="00133049">
        <w:t xml:space="preserve"> </w:t>
      </w:r>
      <w:proofErr w:type="spellStart"/>
      <w:r w:rsidRPr="00133049">
        <w:t>the</w:t>
      </w:r>
      <w:proofErr w:type="spellEnd"/>
      <w:r w:rsidRPr="00133049">
        <w:t xml:space="preserve"> </w:t>
      </w:r>
      <w:proofErr w:type="spellStart"/>
      <w:r w:rsidRPr="00133049">
        <w:t>semiotic</w:t>
      </w:r>
      <w:proofErr w:type="spellEnd"/>
      <w:r w:rsidRPr="00133049">
        <w:t xml:space="preserve"> </w:t>
      </w:r>
      <w:proofErr w:type="spellStart"/>
      <w:r w:rsidRPr="00133049">
        <w:t>method</w:t>
      </w:r>
      <w:proofErr w:type="spellEnd"/>
      <w:r w:rsidRPr="00133049">
        <w:t>.</w:t>
      </w:r>
    </w:p>
    <w:p w14:paraId="3FB3C9AE" w14:textId="77777777" w:rsidR="00FA457D" w:rsidRPr="00354E6F" w:rsidRDefault="00FA457D" w:rsidP="00FA457D">
      <w:pPr>
        <w:spacing w:before="120" w:after="120"/>
        <w:jc w:val="both"/>
      </w:pPr>
      <w:proofErr w:type="spellStart"/>
      <w:r>
        <w:rPr>
          <w:b/>
          <w:bCs/>
        </w:rPr>
        <w:t>Keywords</w:t>
      </w:r>
      <w:proofErr w:type="spellEnd"/>
      <w:r>
        <w:rPr>
          <w:b/>
          <w:bCs/>
        </w:rPr>
        <w:t xml:space="preserve">: </w:t>
      </w:r>
      <w:proofErr w:type="spellStart"/>
      <w:r w:rsidRPr="00A96CF9">
        <w:t>Digital</w:t>
      </w:r>
      <w:proofErr w:type="spellEnd"/>
      <w:r w:rsidRPr="00A96CF9">
        <w:t xml:space="preserve"> Game Design, </w:t>
      </w:r>
      <w:proofErr w:type="spellStart"/>
      <w:r w:rsidRPr="00A96CF9">
        <w:t>Character</w:t>
      </w:r>
      <w:proofErr w:type="spellEnd"/>
      <w:r w:rsidRPr="00A96CF9">
        <w:t xml:space="preserve">- </w:t>
      </w:r>
      <w:proofErr w:type="spellStart"/>
      <w:r w:rsidRPr="00A96CF9">
        <w:t>Concept</w:t>
      </w:r>
      <w:proofErr w:type="spellEnd"/>
      <w:r w:rsidRPr="00A96CF9">
        <w:t xml:space="preserve"> Design, </w:t>
      </w:r>
      <w:proofErr w:type="spellStart"/>
      <w:r w:rsidRPr="00A96CF9">
        <w:t>Digital</w:t>
      </w:r>
      <w:proofErr w:type="spellEnd"/>
      <w:r w:rsidRPr="00A96CF9">
        <w:t xml:space="preserve"> Game </w:t>
      </w:r>
      <w:proofErr w:type="spellStart"/>
      <w:r w:rsidRPr="00A96CF9">
        <w:t>Illustrations</w:t>
      </w:r>
      <w:proofErr w:type="spellEnd"/>
      <w:r w:rsidRPr="00A96CF9">
        <w:t xml:space="preserve">, Visual </w:t>
      </w:r>
      <w:proofErr w:type="spellStart"/>
      <w:r w:rsidRPr="00A96CF9">
        <w:t>Description</w:t>
      </w:r>
      <w:proofErr w:type="spellEnd"/>
      <w:r w:rsidRPr="00A96CF9">
        <w:t xml:space="preserve">, </w:t>
      </w:r>
      <w:proofErr w:type="spellStart"/>
      <w:r w:rsidRPr="00A96CF9">
        <w:t>Historical</w:t>
      </w:r>
      <w:proofErr w:type="spellEnd"/>
      <w:r w:rsidRPr="00A96CF9">
        <w:t xml:space="preserve"> </w:t>
      </w:r>
      <w:proofErr w:type="spellStart"/>
      <w:r w:rsidRPr="00A96CF9">
        <w:t>Period</w:t>
      </w:r>
      <w:proofErr w:type="spellEnd"/>
      <w:r w:rsidRPr="00A96CF9">
        <w:t xml:space="preserve"> </w:t>
      </w:r>
      <w:proofErr w:type="spellStart"/>
      <w:r w:rsidRPr="00A96CF9">
        <w:t>Visualization</w:t>
      </w:r>
      <w:proofErr w:type="spellEnd"/>
      <w:r w:rsidRPr="00A96CF9">
        <w:t>.</w:t>
      </w:r>
    </w:p>
    <w:p w14:paraId="6F4D00BC" w14:textId="77777777" w:rsidR="00FA457D" w:rsidRDefault="00FA457D" w:rsidP="00B9252F">
      <w:pPr>
        <w:jc w:val="both"/>
        <w:rPr>
          <w:b/>
          <w:bCs/>
        </w:rPr>
      </w:pPr>
      <w:r>
        <w:rPr>
          <w:b/>
          <w:bCs/>
        </w:rPr>
        <w:t>Giriş</w:t>
      </w:r>
    </w:p>
    <w:p w14:paraId="7822150B" w14:textId="34953EAE" w:rsidR="00FA457D" w:rsidRDefault="00FA457D" w:rsidP="00B9252F">
      <w:pPr>
        <w:jc w:val="both"/>
      </w:pPr>
      <w:r w:rsidRPr="00A96CF9">
        <w:t>Günlük hayatta insanoğlunun karşılaştığı ve görme duyusu yardımıyla algıladığı nesneler ve bu nesnelerin üzerinde bulunan simge, sembol, işaret, renk, görsel, vb. evrensel ve kültürel kodlara sahip işaretler üzerinden bilgi edinme süreci «Görsel İletişim» olarak tanımlanabilmektedir.</w:t>
      </w:r>
      <w:r>
        <w:t xml:space="preserve"> “</w:t>
      </w:r>
      <w:r w:rsidRPr="008D24D1">
        <w:t>Bütün bu örneklerden yola çıkarak görsel iletişim nedir? diye sorduğumuzda, simge, işaret, resim, fotoğraf vb. gibi göz duyusuna hitap eden içeriklerle oluşturulmuş bir iletişim biçimi olarak cevaplandırılabilir.</w:t>
      </w:r>
      <w:r>
        <w:t xml:space="preserve">” (Bilginer Erdoğan, 2021, s. 115) Görseller üzerinden iletişim kurma yöntemi insanlık tarihinin ilk çağlarına dayanmaktadır. Primitif dönemde mağara duvarlarına yapılan resimler, antik medeniyetlerdeki duvar resimleri, mitolojik anlatımlar hatta günümüz modern, çağdaş sanat anlayışında belli semboller, nesneler, imgeler üzerinden görsel anlatım yapılmaktadır. Mağara resimlerindeki bu görsel anlatımlar dönem insanının kimi zaman kendilerini korumak kimi zaman kendilerinden büyük gördükleri varlıkların gücüne sahip olmak, kimi zaman da hayatlarına bolluk bereket getirmek gibi amaçlarla gerçekleştirdikleri ritüeller olarak tarihe geçmiştir. Yazılı kaynak olmaması sebebiyle kesin olmasa da mağara </w:t>
      </w:r>
      <w:r>
        <w:lastRenderedPageBreak/>
        <w:t>dönemi sanatıyla dönem insanının kendilerinden bir iz bıraktıkları düşünülse de bu çizimleri daha çok dönemsel şartlar doğrultusunda hayatta kalabilmek amacıyla yaptıkları ileri sürülmektedir. (</w:t>
      </w:r>
      <w:proofErr w:type="spellStart"/>
      <w:r>
        <w:t>Gombrich</w:t>
      </w:r>
      <w:proofErr w:type="spellEnd"/>
      <w:r>
        <w:t>, 2009, s.39-44) Görsel iletişim yoluyla anlatım yapma durumu mitolojik, dini hikayelerin anlatımı, tanrısal güzellik arayışı ve kahramanlık hikayelerinin görselleştirilmeleri şeklinde Antik Yunan ve Roma medeniyetlerinin sanatında görülmektedir. Bu dönemlerde hazırlanan bu eserler yine görsel iletişim yoluyla hem o dönem insanına hem de sonraki nesillere bu bilgileri aktarımı yapmaktadır. Ayrıca yine bu eserler tarihi görsel kaynak olarak da günümüzde kullanılabilmektedir. İnsanlık tarihine bakıldığında her çağın veya dönemin sanat, tasarım anlamında görsel iletişimi kullandığı söylenebilir. Her dönemin ihtiyaçlarına göre sanat, tasarım alanları içerik, malzeme ya da hazırlandığı platform, mekân olarak değişmekte şekillenmektedir. Görsel iletişim yoluyla şekil, sembol, nesne, renk, kompozisyon gibi içerikler yardımıyla anlatımlar yapılmakta farklı alanlarda kullanılmaktadır. Yapılan bu anlatımlar göstergelerin işaret ettiği olay, olgu, mesaj ya da hikâyeden izler barındırmakta sadece görsele bakılarak anlaşılmasını sağlamaktadır.</w:t>
      </w:r>
    </w:p>
    <w:p w14:paraId="4E8E44CD" w14:textId="5C926CFB" w:rsidR="00FA457D" w:rsidRDefault="00FA457D" w:rsidP="00FA457D">
      <w:pPr>
        <w:spacing w:before="120" w:after="120"/>
        <w:jc w:val="both"/>
      </w:pPr>
      <w:r>
        <w:t>Geçmiş dönemlerde duvar resimleri, heykeller, rölyefler üzerine yerleştirilen göstergeler günümüz teknolojisiyle beraber sinema, animasyon, dijital tasarım, dijital oyun gibi birçok alanda kullanılmaktadır. Bu göstergeler ve görsel iletişim yardımıyla geçmiş tarihi dönemlerin görsel anlatımları da yapılabilmektedir. Dijital oyunlarda da tarihi, fantastik, vb. kurgular yardımıyla sanal bir ortamda hem oyun evreni anlatılmakta hem de oyuncuların bu olayı deneyimlemesi sağlanmaktadır. Dijital oyunlar için hazırlanan karakter- konsept tasarımları, dijital oyun illüstrasyonları yardımıyla oyuncu ve oyun arasında görsel iletişim kurarak oyun senaryosundaki olayları anlatmaktadır.</w:t>
      </w:r>
    </w:p>
    <w:p w14:paraId="42F2456A" w14:textId="77777777" w:rsidR="00FA457D" w:rsidRPr="00197EA2" w:rsidRDefault="00FA457D" w:rsidP="00B9252F">
      <w:pPr>
        <w:jc w:val="both"/>
        <w:rPr>
          <w:b/>
          <w:bCs/>
        </w:rPr>
      </w:pPr>
      <w:r w:rsidRPr="00197EA2">
        <w:rPr>
          <w:b/>
          <w:bCs/>
        </w:rPr>
        <w:t>1.Oyun ve Dijital Oyun Tasarımı</w:t>
      </w:r>
    </w:p>
    <w:p w14:paraId="635DBE49" w14:textId="77777777" w:rsidR="00FA457D" w:rsidRDefault="00FA457D" w:rsidP="00B9252F">
      <w:pPr>
        <w:jc w:val="both"/>
      </w:pPr>
      <w:r w:rsidRPr="005832D1">
        <w:t xml:space="preserve">Oyun, belli sınırları ve kuralları olan, sanal ya da gerçek bir mekâna sahip, kişi ve grupların gönüllü olarak katıldığı ve </w:t>
      </w:r>
      <w:r>
        <w:t>“</w:t>
      </w:r>
      <w:r w:rsidRPr="005832D1">
        <w:t>–</w:t>
      </w:r>
      <w:proofErr w:type="spellStart"/>
      <w:r w:rsidRPr="005832D1">
        <w:t>mış</w:t>
      </w:r>
      <w:proofErr w:type="spellEnd"/>
      <w:r>
        <w:t>”</w:t>
      </w:r>
      <w:r w:rsidRPr="005832D1">
        <w:t xml:space="preserve"> gibi yaparak fiziksel, bilişsel, zihinsel ilerledikleri aktivitelerdir.</w:t>
      </w:r>
      <w:r>
        <w:t xml:space="preserve"> Bu aktivitelerde katılımcılar bir amaca yönelik hareket etmekte, kurallara uyarak seviye atlamakta ya da düşmektedir. Her türden oyunda hem kişisel gelişim gösterme hem de seviye ilerleme hedefleri doğrultusunda oyuncular güdülenmekte gönüllü şekilde oyuna devam etmektedir.</w:t>
      </w:r>
    </w:p>
    <w:p w14:paraId="1E59DB00" w14:textId="77777777" w:rsidR="00FA457D" w:rsidRDefault="00FA457D" w:rsidP="00FA457D">
      <w:pPr>
        <w:spacing w:before="120" w:after="120"/>
        <w:ind w:left="720"/>
        <w:jc w:val="both"/>
      </w:pPr>
      <w:r>
        <w:t>“O</w:t>
      </w:r>
      <w:r w:rsidRPr="00FA63A7">
        <w:t>yun, zaman ve mekân açısından belirli sınırlar dahilinde, serbestçe kabul edilen ve fakat mutlak surette bağlayıcı olan kurallara göre icra edilen, kendi içinde bir amacı olan ve gerilim, neşe ve «olağan hayattan farklı» olduğuna dair bir bilincin eşlik ettiği, gönüllü bir faaliyet veya uğraştır.</w:t>
      </w:r>
      <w:r>
        <w:t>” (</w:t>
      </w:r>
      <w:proofErr w:type="spellStart"/>
      <w:r>
        <w:t>Huizinga</w:t>
      </w:r>
      <w:proofErr w:type="spellEnd"/>
      <w:r>
        <w:t>, 2023, s. 46)</w:t>
      </w:r>
    </w:p>
    <w:p w14:paraId="783358BA" w14:textId="786BB5DE" w:rsidR="00FA457D" w:rsidRPr="005832D1" w:rsidRDefault="00FA457D" w:rsidP="00FA457D">
      <w:pPr>
        <w:spacing w:before="120" w:after="120"/>
        <w:jc w:val="both"/>
      </w:pPr>
      <w:r>
        <w:t>20 yüzyıldan itibaren teknolojinin gelişmesiyle birlikte dijital oyunlar insan hayatında yerini almıştır. Video oyunlarıyla başlayan dijital oyunlar, bilgisayar ve internetin yaygınlaşmasıyla daha çok insana ulaşmıştır. Dijital oyunlar, sanal mekanlara ve çeşitli türlere sahip, çevrimiçi ve çevrimdışı oynanabilen, bir veya birden fazla oyuncuyla katılınabilen oyun türüdür. Dijital oyun tasarımları türüne göre bir oyun tasarımı çerçevesinde oluşturulmakta, bu senaryoya uygun karakter- konsept tasarımlarıyla görselleştirilip 3 boyutlu, 2 boyutlu, vb. görsel tasarımı hazırlanmakta ve yazılımı hazırlanıp oyuncu deneyimine sunulmaktadır. Hem manuel hem dijital oyunların temeli, olayları canlandırmak, “-</w:t>
      </w:r>
      <w:proofErr w:type="spellStart"/>
      <w:r>
        <w:t>mış</w:t>
      </w:r>
      <w:proofErr w:type="spellEnd"/>
      <w:r>
        <w:t>” gibi yapmak üzerine kuruludur. Bu nedenle dijital oyunlar sayesinde insanoğlunun gerçek hayatta gerçekleştiremeyeceği ya da bulunamayacağı olay, olgu, mekân, vb. olguları deneyimlemesi sağlanabilmektedir. Örneğin dijital oyun sayesinde oyuncular sanal olarak fantastik bir dünyaya ışınlanabilmekte ya da yüzyıllar öncesinde tarihe geçmiş bir olayın baş karakteri olabilmektedir.</w:t>
      </w:r>
    </w:p>
    <w:p w14:paraId="64DFCD95" w14:textId="77777777" w:rsidR="00FA457D" w:rsidRPr="007032B7" w:rsidRDefault="00FA457D" w:rsidP="00B9252F">
      <w:pPr>
        <w:jc w:val="both"/>
        <w:rPr>
          <w:b/>
          <w:bCs/>
        </w:rPr>
      </w:pPr>
      <w:r>
        <w:rPr>
          <w:b/>
          <w:bCs/>
        </w:rPr>
        <w:lastRenderedPageBreak/>
        <w:t>2.</w:t>
      </w:r>
      <w:r w:rsidRPr="007032B7">
        <w:rPr>
          <w:b/>
          <w:bCs/>
        </w:rPr>
        <w:t>Karakter- Konsept Tasarımı ve Dijital Oyun İllüstrasyonları</w:t>
      </w:r>
    </w:p>
    <w:p w14:paraId="78DEAA43" w14:textId="77777777" w:rsidR="00FA457D" w:rsidRDefault="00FA457D" w:rsidP="00B9252F">
      <w:pPr>
        <w:jc w:val="both"/>
      </w:pPr>
      <w:r w:rsidRPr="007727EF">
        <w:t>Karakter- konsept tasarımı hazırlanacak olan dijital oyunun türüne, hikayesine, mesajına ve animasyon t</w:t>
      </w:r>
      <w:r>
        <w:t>ekniğine</w:t>
      </w:r>
      <w:r w:rsidRPr="007727EF">
        <w:t xml:space="preserve"> göre hazırlanmaktadır.</w:t>
      </w:r>
      <w:r>
        <w:t xml:space="preserve"> Karakter tasarımı ve Konsept tasarımı kimi zaman ayrı olarak incelense de tasarım temelinde birbirini destekleyen ve birbirine odaklı hazırlanan tasarımlardır. </w:t>
      </w:r>
      <w:r w:rsidRPr="007727EF">
        <w:t>“Karakter tasarımı, kişilerin psikolojilerinin, tavır ve davranışlarının dış görünüşleri ile birlikte oluşturuldukları bütündür.” (</w:t>
      </w:r>
      <w:proofErr w:type="spellStart"/>
      <w:r w:rsidRPr="007727EF">
        <w:t>Özanık</w:t>
      </w:r>
      <w:proofErr w:type="spellEnd"/>
      <w:r w:rsidRPr="007727EF">
        <w:t>, 2022, s. 9)</w:t>
      </w:r>
      <w:r>
        <w:t xml:space="preserve"> Karakter tasarımları, dijital oyun projesinin senaryosuna, karakterin psikolojik, fizyolojik ve sosyolojik özelliklerini yansıtacak şekilde tasarlanan figür görselleştirmeleridir. Karakter tasarımında figürün duruşu, anatomik özellikleri, silüeti direkt karakteri anımsatacak şekilde görselleştirilmektedir. Bunun yanı sıra karakter tasarımında aksesuar ve kostümler de karakter yapısına ve konsepte uygun şekilde hazırlanmaktadır. Konsept tasarımı ise kavram anlamına gelmekte ve karakter tasarımını da içerisine alacak şekilde hikâyeyi görselleştirme sanatıdır “</w:t>
      </w:r>
      <w:r w:rsidRPr="007727EF">
        <w:t>Kavram tasarımı oyun dünyasının ve karakterlerin tüm gerekli ögelerini temsil eden, kendisine özel ve diğerlerine göre farklılıklarını ortaya koyan bir tasarım aşamasıdır. Bu süreç oyunun görsel kimliğinin oluşturulmaya başladığı ilk süreçtir.</w:t>
      </w:r>
      <w:r>
        <w:t>”</w:t>
      </w:r>
      <w:r w:rsidRPr="007727EF">
        <w:t xml:space="preserve"> (</w:t>
      </w:r>
      <w:proofErr w:type="spellStart"/>
      <w:r w:rsidRPr="007727EF">
        <w:t>Soyluçiçek</w:t>
      </w:r>
      <w:proofErr w:type="spellEnd"/>
      <w:r w:rsidRPr="007727EF">
        <w:t>, 2019, s. 320)</w:t>
      </w:r>
      <w:r>
        <w:t xml:space="preserve"> Konsept tasarımı, dijital oyun görselleri hazırlanırken yine oyunun senaryosuna ve özelliklerine uygun şekilde hazırlanan mekân, eşya, animasyon tekniği, ışık, karakter gibi bütün özelliklerin bir konsept yani kavram çerçevesinde hazırlanması durumudur. </w:t>
      </w:r>
      <w:r w:rsidRPr="007727EF">
        <w:t>Karakter-konsept tasarımları renk, figür tiplemesi, ışık, mekân, kıyafet, eşya, vb. görsel materyallerin t</w:t>
      </w:r>
      <w:r>
        <w:t xml:space="preserve">asarlanmasıyla dijital oyun tasarımlarının </w:t>
      </w:r>
      <w:r w:rsidRPr="007727EF">
        <w:t>temelini oluşturmaktadır. Karakter-konsept tasarımları eskizleri oluşturulduktan sonra çizim, modelleme gibi tasarım ekiplerine bütün animasyonun oluşturulmasında yol göstermekte ve tüm hikâyeye can vermektedir.</w:t>
      </w:r>
    </w:p>
    <w:p w14:paraId="1136C414" w14:textId="572CF9F0" w:rsidR="00FA457D" w:rsidRDefault="00FA457D" w:rsidP="00FA457D">
      <w:pPr>
        <w:spacing w:before="120" w:after="120"/>
        <w:jc w:val="both"/>
      </w:pPr>
      <w:r>
        <w:t>Karakter- konsept tasarımları çoğunlukla klasik ve dijital illüstrasyon teknikleriyle hazırlanmaktadır. Günümüzde bir dijital oyun tasarımının bütün görsel dünyasının tasarım aşamalarını gösteren sanat kitapları hem dijital olarak hem basılı olarak yayınlanmaktadır. “</w:t>
      </w:r>
      <w:proofErr w:type="spellStart"/>
      <w:r>
        <w:t>The</w:t>
      </w:r>
      <w:proofErr w:type="spellEnd"/>
      <w:r>
        <w:t xml:space="preserve"> Art of …” adıyla yayınlanan bu sanat kitapları dijital oyun tasarımı için hazırlanan eskizler, karakter- konsept tasarımları, kullanılacak özel simge ve semboller, oyun için gerekliyse </w:t>
      </w:r>
      <w:proofErr w:type="spellStart"/>
      <w:r>
        <w:t>storyboard</w:t>
      </w:r>
      <w:proofErr w:type="spellEnd"/>
      <w:r>
        <w:t xml:space="preserve"> tasarımları gibi görsel bütün materyallerin bir araya toplanmasıyla oluşturulmaktadır. Bu sanat kitapları sayesinde oyun tasarımlarının bütün görselleştirilme süreçleri oyuncuyla paylaşılmış olmaktadır. Bir dijital oyun tasarımı için hazırlanan sanat kitaplarındaki karakter- konsept tasarımlarının dijital illüstrasyon tekniğiyle hazırlandığı gözlemlenmektedir. </w:t>
      </w:r>
      <w:r w:rsidRPr="0093257C">
        <w:t>Dijital oyun illüstrasyonları, dijital oyun tasarımlarının görsel anlamda nasıl biçimlendirileceğinin planlanmasını sağlayan illüstrasyonlardır.</w:t>
      </w:r>
      <w:r>
        <w:t xml:space="preserve"> </w:t>
      </w:r>
      <w:r w:rsidRPr="0093257C">
        <w:t>Dijital oyun illüstrasyonları yardımıyla yapılan bu planlamada karakter, mekân, eşya, kıyafet, renk, ışık, arayüz</w:t>
      </w:r>
      <w:r>
        <w:t>, ikon</w:t>
      </w:r>
      <w:r w:rsidRPr="0093257C">
        <w:t xml:space="preserve"> vb. ögeler planlanmaktadır.</w:t>
      </w:r>
      <w:r>
        <w:t xml:space="preserve"> </w:t>
      </w:r>
      <w:r w:rsidRPr="0093257C">
        <w:t xml:space="preserve">Bu ögeler karakter- konsept tasarımı başlığı altında toparlanmakta ve her oyun için ayrı hazırlanıp </w:t>
      </w:r>
      <w:r>
        <w:t>sanat kitabı</w:t>
      </w:r>
      <w:r w:rsidRPr="0093257C">
        <w:t xml:space="preserve"> olarak basılmaktadır.</w:t>
      </w:r>
    </w:p>
    <w:p w14:paraId="7D0CF0EE" w14:textId="77777777" w:rsidR="00FA457D" w:rsidRDefault="00FA457D" w:rsidP="00B9252F">
      <w:pPr>
        <w:jc w:val="both"/>
      </w:pPr>
      <w:r>
        <w:rPr>
          <w:b/>
          <w:bCs/>
        </w:rPr>
        <w:t>3.</w:t>
      </w:r>
      <w:r w:rsidRPr="002A7A70">
        <w:rPr>
          <w:b/>
          <w:bCs/>
        </w:rPr>
        <w:t>Tarihi Dönem Görselleştirme ve Dijital Oyun Tasarımı</w:t>
      </w:r>
    </w:p>
    <w:p w14:paraId="7483C71B" w14:textId="737D426D" w:rsidR="00FA457D" w:rsidRDefault="00FA457D" w:rsidP="00B9252F">
      <w:pPr>
        <w:jc w:val="both"/>
      </w:pPr>
      <w:r w:rsidRPr="002A7A70">
        <w:t>Dijital oyun tasarımlarında, simge ve sembol kullanımı, karakter-konsept tasarımı, renk-ışık seçimi, vb. birçok tasarım ürünü yardımıyla senaryoya uygun tasarımlar görselleştirilmektedir. Gerek tarihi gerek güncel gerekse kurgu herhangi bir dönemin ya da hikâyenin dünya, insan, yaşam şartları gibi durumlarının görselleştirilmesiyle olay anlatımları sağlanmaktadır.</w:t>
      </w:r>
      <w:r>
        <w:t xml:space="preserve"> Bu olay anlatımları görsel sanat alanlarının hepsinde yapılabilmektedir.</w:t>
      </w:r>
    </w:p>
    <w:p w14:paraId="7E7A3F55" w14:textId="77777777" w:rsidR="00FA457D" w:rsidRDefault="00FA457D" w:rsidP="00FA457D">
      <w:pPr>
        <w:spacing w:before="120" w:after="120"/>
        <w:ind w:left="720"/>
        <w:jc w:val="both"/>
      </w:pPr>
      <w:r>
        <w:t xml:space="preserve">“İmgeler başlangıçta orada bulunmayan şeyleri gözde canlandırmak amacıyla yapılmıştır. Zamanla imgenin canlandırdığı şeyden daha kalıcı olduğu anlaşıldı. Böyle olunca imge bir nesnenin ya da kişinin bir zamanlar nasıl göründüğünü -böylece konunun eskiden başkalarınca nasıl göründüğünü de- anlatıyordu. Daha sonraları </w:t>
      </w:r>
      <w:r>
        <w:lastRenderedPageBreak/>
        <w:t xml:space="preserve">imgeyi yaratanın kendine özgü görüşü de yaptığı </w:t>
      </w:r>
      <w:r w:rsidRPr="00087849">
        <w:t>kaydın</w:t>
      </w:r>
      <w:r>
        <w:t xml:space="preserve"> bir parçası olarak kabul edildi.” (Berger, 2016, s. 10)</w:t>
      </w:r>
    </w:p>
    <w:p w14:paraId="32DC88B4" w14:textId="276A526D" w:rsidR="00FA457D" w:rsidRDefault="00FA457D" w:rsidP="00FA457D">
      <w:pPr>
        <w:spacing w:before="120" w:after="120"/>
        <w:jc w:val="both"/>
      </w:pPr>
      <w:r>
        <w:t xml:space="preserve">Dijital oyun tasarımlarının görselleştirilmesi için karakter- konsept tasarımı içinde hazırlanan dijital oyun illüstrasyonları da kimi zaman gerçek dünya olaylarının tarihsel bir döneminin ya da yaşanabilecek bir olay örgüsünün kurgulanması için kimi zaman da dünya dışı fantastik olayların görselleştirilmesi için hazırlanmaktadır. </w:t>
      </w:r>
      <w:r w:rsidRPr="002A7A70">
        <w:t>Hazırlanan bütün</w:t>
      </w:r>
      <w:r>
        <w:t xml:space="preserve"> dijital oyun illüstrasyonları</w:t>
      </w:r>
      <w:r w:rsidRPr="002A7A70">
        <w:t xml:space="preserve"> </w:t>
      </w:r>
      <w:r>
        <w:t xml:space="preserve">önce oyunun tasarım tekniğine göre, 3 boyutlu, 2 boyutlu vb. görselleştirilmektedir. Dijital oyun tasarımının son haliyle </w:t>
      </w:r>
      <w:r w:rsidRPr="002A7A70">
        <w:t>görsel tasarımlar hikâyenin canlandırılmasını ve gerçek görselleştirmelere dönüşüp her yaştan oyuncuya ulaşmasını sağlamaktadır. Ayrıca bu görselleştirmeler sayesinde dijital oyun tasarımları, tarihi, güncel ya da kurgu hikayelere hem görsel kaynak oluşturmakta hem de oyuncuların bu durumları deneyimlemesini sağlamaktadır.</w:t>
      </w:r>
      <w:r>
        <w:t xml:space="preserve"> “</w:t>
      </w:r>
      <w:r w:rsidRPr="002A7A70">
        <w:t>Dijital oyun, resmi kurallar sistemi oluşturmayı ve aynı zamanda belirli bir kültürel ve sosyal bağlam ile deneyim tasarlamayı içermektedir. Dijital oyun tasarımı bireylerin tasarım sürecinde dijital oyuna dair anlam dünyasını şekillendirmeyi hedef almaktadır.</w:t>
      </w:r>
      <w:r>
        <w:t>”</w:t>
      </w:r>
      <w:r w:rsidRPr="002A7A70">
        <w:t xml:space="preserve"> (Buluş ve Buluş, 2020, s. 2)</w:t>
      </w:r>
      <w:r>
        <w:t xml:space="preserve"> Dijital oyun illüstrasyonları ile hazırlanan karakter- konsept tasarımları tarihten seçilen özel bir olay için hazırlandığında tarihi olay yeniden görselleştirilerek görsel yeni kaynak oluşturulmakta, tarihi olay canlandırılmış ve anlatılmış olmakta ve dijital oyun tasarımına dönüştürülerek oyuncu kitlenin geçmiş tarihli bir olayı sanal olarak deneyimlemesi sağlanmaktadır.</w:t>
      </w:r>
    </w:p>
    <w:p w14:paraId="51753FB9" w14:textId="77777777" w:rsidR="00FA457D" w:rsidRDefault="00FA457D" w:rsidP="00B9252F">
      <w:pPr>
        <w:jc w:val="both"/>
      </w:pPr>
      <w:r>
        <w:rPr>
          <w:b/>
          <w:bCs/>
        </w:rPr>
        <w:t>4.</w:t>
      </w:r>
      <w:r w:rsidRPr="00352035">
        <w:rPr>
          <w:b/>
          <w:bCs/>
        </w:rPr>
        <w:t>Veri Analizi ve Yöntem</w:t>
      </w:r>
    </w:p>
    <w:p w14:paraId="1A1A9059" w14:textId="77777777" w:rsidR="00FA457D" w:rsidRPr="00352035" w:rsidRDefault="00FA457D" w:rsidP="00B9252F">
      <w:pPr>
        <w:jc w:val="both"/>
        <w:rPr>
          <w:bCs/>
        </w:rPr>
      </w:pPr>
      <w:r>
        <w:t xml:space="preserve">Bu çalışmada, </w:t>
      </w:r>
      <w:r>
        <w:rPr>
          <w:bCs/>
        </w:rPr>
        <w:t>d</w:t>
      </w:r>
      <w:r w:rsidRPr="001320D9">
        <w:rPr>
          <w:bCs/>
        </w:rPr>
        <w:t xml:space="preserve">ijital </w:t>
      </w:r>
      <w:r>
        <w:rPr>
          <w:bCs/>
        </w:rPr>
        <w:t>o</w:t>
      </w:r>
      <w:r w:rsidRPr="001320D9">
        <w:rPr>
          <w:bCs/>
        </w:rPr>
        <w:t xml:space="preserve">yun </w:t>
      </w:r>
      <w:r>
        <w:rPr>
          <w:bCs/>
        </w:rPr>
        <w:t>i</w:t>
      </w:r>
      <w:r w:rsidRPr="001320D9">
        <w:rPr>
          <w:bCs/>
        </w:rPr>
        <w:t>llüstrasyonları</w:t>
      </w:r>
      <w:r>
        <w:rPr>
          <w:bCs/>
        </w:rPr>
        <w:t xml:space="preserve"> üzerinden</w:t>
      </w:r>
      <w:r w:rsidRPr="001320D9">
        <w:rPr>
          <w:bCs/>
        </w:rPr>
        <w:t xml:space="preserve"> </w:t>
      </w:r>
      <w:r>
        <w:rPr>
          <w:bCs/>
        </w:rPr>
        <w:t>t</w:t>
      </w:r>
      <w:r w:rsidRPr="001320D9">
        <w:rPr>
          <w:bCs/>
        </w:rPr>
        <w:t xml:space="preserve">arihi </w:t>
      </w:r>
      <w:r>
        <w:rPr>
          <w:bCs/>
        </w:rPr>
        <w:t>bir d</w:t>
      </w:r>
      <w:r w:rsidRPr="001320D9">
        <w:rPr>
          <w:bCs/>
        </w:rPr>
        <w:t>önem</w:t>
      </w:r>
      <w:r>
        <w:rPr>
          <w:bCs/>
        </w:rPr>
        <w:t>in</w:t>
      </w:r>
      <w:r w:rsidRPr="001320D9">
        <w:rPr>
          <w:bCs/>
        </w:rPr>
        <w:t xml:space="preserve"> </w:t>
      </w:r>
      <w:r>
        <w:rPr>
          <w:bCs/>
        </w:rPr>
        <w:t>ne şekilde b</w:t>
      </w:r>
      <w:r w:rsidRPr="001320D9">
        <w:rPr>
          <w:bCs/>
        </w:rPr>
        <w:t>etimle</w:t>
      </w:r>
      <w:r>
        <w:rPr>
          <w:bCs/>
        </w:rPr>
        <w:t xml:space="preserve">ndiği, örneklem olarak seçilen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dijital oyun tasarımının “</w:t>
      </w:r>
      <w:proofErr w:type="spellStart"/>
      <w:r>
        <w:rPr>
          <w:bCs/>
        </w:rPr>
        <w:t>The</w:t>
      </w:r>
      <w:proofErr w:type="spellEnd"/>
      <w:r>
        <w:rPr>
          <w:bCs/>
        </w:rPr>
        <w:t xml:space="preserve"> Art of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sanat kitabında bulunan dijital oyun illüstrasyonlar arasından seçilip incelenmiştir. </w:t>
      </w:r>
      <w:r w:rsidRPr="00352035">
        <w:rPr>
          <w:bCs/>
        </w:rPr>
        <w:t>Dijital oyun illüstrasyonlarının tarihi dönem betimlemeleri üzerine tartışılan bu çalışma, göstergebilimsel analiz yöntemiyle gerçekleştiri</w:t>
      </w:r>
      <w:r>
        <w:rPr>
          <w:bCs/>
        </w:rPr>
        <w:t>lmiştir</w:t>
      </w:r>
      <w:r w:rsidRPr="00352035">
        <w:rPr>
          <w:bCs/>
        </w:rPr>
        <w:t>.</w:t>
      </w:r>
    </w:p>
    <w:p w14:paraId="08206EA4" w14:textId="77777777" w:rsidR="00FA457D" w:rsidRDefault="00FA457D" w:rsidP="00FA457D">
      <w:pPr>
        <w:spacing w:before="120"/>
        <w:jc w:val="both"/>
      </w:pPr>
      <w:r>
        <w:rPr>
          <w:b/>
          <w:bCs/>
        </w:rPr>
        <w:t>5.</w:t>
      </w:r>
      <w:r w:rsidRPr="00156608">
        <w:rPr>
          <w:b/>
          <w:bCs/>
        </w:rPr>
        <w:t>Tartışma ve Bulgular</w:t>
      </w:r>
    </w:p>
    <w:p w14:paraId="5F4147EB" w14:textId="34E8D8C5" w:rsidR="00FA457D" w:rsidRDefault="00FA457D" w:rsidP="00FA457D">
      <w:pPr>
        <w:jc w:val="both"/>
        <w:rPr>
          <w:bCs/>
        </w:rPr>
      </w:pPr>
      <w:r>
        <w:rPr>
          <w:bCs/>
        </w:rPr>
        <w:t>“</w:t>
      </w:r>
      <w:proofErr w:type="spellStart"/>
      <w:r>
        <w:rPr>
          <w:bCs/>
        </w:rPr>
        <w:t>The</w:t>
      </w:r>
      <w:proofErr w:type="spellEnd"/>
      <w:r>
        <w:rPr>
          <w:bCs/>
        </w:rPr>
        <w:t xml:space="preserve"> Art of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kitabının içeriğinde oyun tasarımının son haline gelmeden önce hazırlanan karakter- konsept tasarımları orijinal çizimleri, eskiz, illüstrasyon, sahne, renk seçimi, kadraj gibi sanat aşamalarının tümü bulunmaktadır. “</w:t>
      </w:r>
      <w:proofErr w:type="spellStart"/>
      <w:r>
        <w:rPr>
          <w:bCs/>
        </w:rPr>
        <w:t>The</w:t>
      </w:r>
      <w:proofErr w:type="spellEnd"/>
      <w:r>
        <w:rPr>
          <w:bCs/>
        </w:rPr>
        <w:t xml:space="preserve"> Art of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kitabı </w:t>
      </w:r>
      <w:proofErr w:type="spellStart"/>
      <w:r>
        <w:rPr>
          <w:bCs/>
        </w:rPr>
        <w:t>Assasin’s</w:t>
      </w:r>
      <w:proofErr w:type="spellEnd"/>
      <w:r>
        <w:rPr>
          <w:bCs/>
        </w:rPr>
        <w:t xml:space="preserve"> </w:t>
      </w:r>
      <w:proofErr w:type="spellStart"/>
      <w:proofErr w:type="gramStart"/>
      <w:r>
        <w:rPr>
          <w:bCs/>
        </w:rPr>
        <w:t>Creed:Unity</w:t>
      </w:r>
      <w:proofErr w:type="spellEnd"/>
      <w:proofErr w:type="gramEnd"/>
      <w:r>
        <w:rPr>
          <w:bCs/>
        </w:rPr>
        <w:t xml:space="preserve"> dijital oyununun geliştiricisi </w:t>
      </w:r>
      <w:proofErr w:type="spellStart"/>
      <w:r>
        <w:rPr>
          <w:bCs/>
        </w:rPr>
        <w:t>Ubisoft</w:t>
      </w:r>
      <w:proofErr w:type="spellEnd"/>
      <w:r>
        <w:rPr>
          <w:bCs/>
        </w:rPr>
        <w:t xml:space="preserve"> Entertainment tarafından 2014 yılında yayınlamıştır.</w:t>
      </w:r>
    </w:p>
    <w:p w14:paraId="1874EBB4" w14:textId="77777777" w:rsidR="00FA457D" w:rsidRDefault="00FA457D" w:rsidP="00FA457D">
      <w:pPr>
        <w:rPr>
          <w:bCs/>
        </w:rPr>
      </w:pPr>
    </w:p>
    <w:p w14:paraId="58831F59" w14:textId="77777777" w:rsidR="00FA457D" w:rsidRDefault="00FA457D" w:rsidP="00FA457D">
      <w:pPr>
        <w:rPr>
          <w:b/>
          <w:sz w:val="20"/>
          <w:szCs w:val="20"/>
        </w:rPr>
      </w:pPr>
    </w:p>
    <w:p w14:paraId="395673B2" w14:textId="77777777" w:rsidR="00FA457D" w:rsidRPr="00102DBE" w:rsidRDefault="00FA457D" w:rsidP="00FA457D">
      <w:pPr>
        <w:rPr>
          <w:b/>
          <w:sz w:val="18"/>
          <w:szCs w:val="18"/>
        </w:rPr>
      </w:pPr>
      <w:r w:rsidRPr="00102DBE">
        <w:rPr>
          <w:b/>
          <w:sz w:val="18"/>
          <w:szCs w:val="18"/>
        </w:rPr>
        <w:t>Şekil 1.</w:t>
      </w:r>
    </w:p>
    <w:p w14:paraId="44A14FC0" w14:textId="77777777" w:rsidR="00FA457D" w:rsidRPr="00102DBE" w:rsidRDefault="00FA457D" w:rsidP="00FA457D">
      <w:pPr>
        <w:rPr>
          <w:sz w:val="18"/>
          <w:szCs w:val="18"/>
        </w:rPr>
      </w:pPr>
      <w:proofErr w:type="spellStart"/>
      <w:r w:rsidRPr="00102DBE">
        <w:rPr>
          <w:sz w:val="18"/>
          <w:szCs w:val="18"/>
        </w:rPr>
        <w:t>Assasin’s</w:t>
      </w:r>
      <w:proofErr w:type="spellEnd"/>
      <w:r w:rsidRPr="00102DBE">
        <w:rPr>
          <w:sz w:val="18"/>
          <w:szCs w:val="18"/>
        </w:rPr>
        <w:t xml:space="preserve"> </w:t>
      </w:r>
      <w:proofErr w:type="spellStart"/>
      <w:r w:rsidRPr="00102DBE">
        <w:rPr>
          <w:sz w:val="18"/>
          <w:szCs w:val="18"/>
        </w:rPr>
        <w:t>Creed</w:t>
      </w:r>
      <w:proofErr w:type="spellEnd"/>
      <w:r w:rsidRPr="00102DBE">
        <w:rPr>
          <w:sz w:val="18"/>
          <w:szCs w:val="18"/>
        </w:rPr>
        <w:t xml:space="preserve">: </w:t>
      </w:r>
      <w:proofErr w:type="spellStart"/>
      <w:r w:rsidRPr="00102DBE">
        <w:rPr>
          <w:sz w:val="18"/>
          <w:szCs w:val="18"/>
        </w:rPr>
        <w:t>Unity</w:t>
      </w:r>
      <w:proofErr w:type="spellEnd"/>
      <w:r w:rsidRPr="00102DBE">
        <w:rPr>
          <w:sz w:val="18"/>
          <w:szCs w:val="18"/>
        </w:rPr>
        <w:t xml:space="preserve"> orijinal tanıtım görseli</w:t>
      </w:r>
    </w:p>
    <w:p w14:paraId="7B7D5BA7" w14:textId="77777777" w:rsidR="00FA457D" w:rsidRDefault="00FA457D" w:rsidP="00FA457D">
      <w:pPr>
        <w:jc w:val="center"/>
        <w:rPr>
          <w:bCs/>
        </w:rPr>
      </w:pPr>
      <w:r>
        <w:rPr>
          <w:bCs/>
          <w:noProof/>
        </w:rPr>
        <w:drawing>
          <wp:inline distT="0" distB="0" distL="0" distR="0" wp14:anchorId="53C8F5CD" wp14:editId="5F8AA4B2">
            <wp:extent cx="3129280" cy="1758599"/>
            <wp:effectExtent l="0" t="0" r="0" b="0"/>
            <wp:docPr id="912651786" name="Resim 1" descr="metin, Aksiyon filmi, şiddet, Aksiyon-macera oyunu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51786" name="Resim 1" descr="metin, Aksiyon filmi, şiddet, Aksiyon-macera oyunu içeren bir resim&#10;&#10;Yapay zeka tarafından oluşturulan içerik yanlış olabili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3164970" cy="1778656"/>
                    </a:xfrm>
                    <a:prstGeom prst="rect">
                      <a:avLst/>
                    </a:prstGeom>
                  </pic:spPr>
                </pic:pic>
              </a:graphicData>
            </a:graphic>
          </wp:inline>
        </w:drawing>
      </w:r>
    </w:p>
    <w:p w14:paraId="13320CE2" w14:textId="77777777" w:rsidR="00FA457D" w:rsidRDefault="00FA457D" w:rsidP="00FA457D">
      <w:pPr>
        <w:spacing w:before="120" w:after="120"/>
        <w:jc w:val="both"/>
        <w:rPr>
          <w:bCs/>
        </w:rPr>
      </w:pPr>
      <w:proofErr w:type="spellStart"/>
      <w:r>
        <w:rPr>
          <w:bCs/>
        </w:rPr>
        <w:t>Assasin’s</w:t>
      </w:r>
      <w:proofErr w:type="spellEnd"/>
      <w:r>
        <w:rPr>
          <w:bCs/>
        </w:rPr>
        <w:t xml:space="preserve"> </w:t>
      </w:r>
      <w:proofErr w:type="spellStart"/>
      <w:r>
        <w:rPr>
          <w:bCs/>
        </w:rPr>
        <w:t>Creed</w:t>
      </w:r>
      <w:proofErr w:type="spellEnd"/>
      <w:r>
        <w:rPr>
          <w:bCs/>
        </w:rPr>
        <w:t xml:space="preserve"> dijital oyun serisinin sekizinci oyunu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yapımcı şirket </w:t>
      </w:r>
      <w:r>
        <w:rPr>
          <w:bCs/>
        </w:rPr>
        <w:lastRenderedPageBreak/>
        <w:t xml:space="preserve">olarak </w:t>
      </w:r>
      <w:proofErr w:type="spellStart"/>
      <w:r>
        <w:rPr>
          <w:bCs/>
        </w:rPr>
        <w:t>Ubisoft</w:t>
      </w:r>
      <w:proofErr w:type="spellEnd"/>
      <w:r>
        <w:rPr>
          <w:bCs/>
        </w:rPr>
        <w:t xml:space="preserve">, geliştirici olarak </w:t>
      </w:r>
      <w:proofErr w:type="spellStart"/>
      <w:r>
        <w:rPr>
          <w:bCs/>
        </w:rPr>
        <w:t>Ubisoft</w:t>
      </w:r>
      <w:proofErr w:type="spellEnd"/>
      <w:r>
        <w:rPr>
          <w:bCs/>
        </w:rPr>
        <w:t xml:space="preserve"> Montreal tarafından 2014 yılında piyasaya sürülmüştür.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Tarihi Aksiyon- Macera oyun türünden 3 boyutlu dijital oyun tasarımı olarak geliştirilmiştir. (</w:t>
      </w:r>
      <w:hyperlink r:id="rId451" w:history="1">
        <w:r w:rsidRPr="00992D79">
          <w:rPr>
            <w:rStyle w:val="Kpr"/>
            <w:rFonts w:eastAsiaTheme="majorEastAsia"/>
            <w:bCs/>
          </w:rPr>
          <w:t>https://www.ubisoft.com/en-gb/game/assassins-creed/unity</w:t>
        </w:r>
      </w:hyperlink>
      <w:r>
        <w:rPr>
          <w:bCs/>
        </w:rPr>
        <w:t xml:space="preserve">)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dijital oyunu gerçek dünya olaylarının kurgusal bir tarihinde, 1789 Fransız Devrimi döneminde geçmektedir.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dijital oyununun ana hikayesi 1789- 1794 yılları arasında Paris’te başka karakter </w:t>
      </w:r>
      <w:proofErr w:type="spellStart"/>
      <w:r>
        <w:rPr>
          <w:bCs/>
        </w:rPr>
        <w:t>Arno</w:t>
      </w:r>
      <w:proofErr w:type="spellEnd"/>
      <w:r>
        <w:rPr>
          <w:bCs/>
        </w:rPr>
        <w:t xml:space="preserve"> Dorian üzerinden şekillenmektedir. </w:t>
      </w:r>
      <w:proofErr w:type="spellStart"/>
      <w:r>
        <w:rPr>
          <w:bCs/>
        </w:rPr>
        <w:t>Arno</w:t>
      </w:r>
      <w:proofErr w:type="spellEnd"/>
      <w:r>
        <w:rPr>
          <w:bCs/>
        </w:rPr>
        <w:t xml:space="preserve"> Dorian, Fransız Devriminin ardındaki gerçek güçleri ortaya çıkarmak için yola çıkan bir ekibe kimliği belirsiz bir suikastçı olarak katılmaktadır. </w:t>
      </w: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dijital oyununun hikayesinde </w:t>
      </w:r>
      <w:proofErr w:type="spellStart"/>
      <w:r>
        <w:rPr>
          <w:bCs/>
        </w:rPr>
        <w:t>Arno</w:t>
      </w:r>
      <w:proofErr w:type="spellEnd"/>
      <w:r>
        <w:rPr>
          <w:bCs/>
        </w:rPr>
        <w:t xml:space="preserve"> Dorian karakterinin asıl amacı kendini evlat edinen babasının katillerini bulmaktır.</w:t>
      </w:r>
      <w:r w:rsidRPr="00CE6CF3">
        <w:t xml:space="preserve"> </w:t>
      </w:r>
      <w:r>
        <w:t>(</w:t>
      </w:r>
      <w:hyperlink r:id="rId452" w:history="1">
        <w:r w:rsidRPr="00992D79">
          <w:rPr>
            <w:rStyle w:val="Kpr"/>
            <w:rFonts w:eastAsiaTheme="majorEastAsia"/>
            <w:bCs/>
          </w:rPr>
          <w:t>https://assassinscreed.fandom.com/wiki/Assassin%27s_Creed:_Unity</w:t>
        </w:r>
      </w:hyperlink>
      <w:r>
        <w:rPr>
          <w:bCs/>
        </w:rPr>
        <w:t xml:space="preserve"> )</w:t>
      </w:r>
    </w:p>
    <w:p w14:paraId="0224ED48" w14:textId="77777777" w:rsidR="00FA457D" w:rsidRDefault="00FA457D" w:rsidP="00FA457D">
      <w:pPr>
        <w:spacing w:before="120" w:after="120"/>
        <w:jc w:val="both"/>
        <w:rPr>
          <w:bCs/>
        </w:rPr>
      </w:pPr>
      <w:proofErr w:type="spellStart"/>
      <w:r>
        <w:rPr>
          <w:bCs/>
        </w:rPr>
        <w:t>Assasin’s</w:t>
      </w:r>
      <w:proofErr w:type="spellEnd"/>
      <w:r>
        <w:rPr>
          <w:bCs/>
        </w:rPr>
        <w:t xml:space="preserve"> </w:t>
      </w:r>
      <w:proofErr w:type="spellStart"/>
      <w:r>
        <w:rPr>
          <w:bCs/>
        </w:rPr>
        <w:t>Creed</w:t>
      </w:r>
      <w:proofErr w:type="spellEnd"/>
      <w:r>
        <w:rPr>
          <w:bCs/>
        </w:rPr>
        <w:t xml:space="preserve">: </w:t>
      </w:r>
      <w:proofErr w:type="spellStart"/>
      <w:r>
        <w:rPr>
          <w:bCs/>
        </w:rPr>
        <w:t>Unity</w:t>
      </w:r>
      <w:proofErr w:type="spellEnd"/>
      <w:r>
        <w:rPr>
          <w:bCs/>
        </w:rPr>
        <w:t xml:space="preserve"> dijital oyun evreninin geçtiği Fransız Devrimi dönemi ise 18. Yüzyılda Kral 16. Louis ve eşi Marie </w:t>
      </w:r>
      <w:proofErr w:type="spellStart"/>
      <w:r>
        <w:rPr>
          <w:bCs/>
        </w:rPr>
        <w:t>Antoinette’in</w:t>
      </w:r>
      <w:proofErr w:type="spellEnd"/>
      <w:r>
        <w:rPr>
          <w:bCs/>
        </w:rPr>
        <w:t xml:space="preserve"> yanlış ekonomi politikası, savurgan harcamalarıyla Fransa iflas noktasına gelmiştir. Bu dönemde halk açlıktan kırılırken Saray halkı şaşaalı partilerine, eğlencelerine devam etmekteydi. Bu dönemde açlık çeken halk için Marie </w:t>
      </w:r>
      <w:proofErr w:type="spellStart"/>
      <w:r>
        <w:rPr>
          <w:bCs/>
        </w:rPr>
        <w:t>Antoinette’in</w:t>
      </w:r>
      <w:proofErr w:type="spellEnd"/>
      <w:r>
        <w:rPr>
          <w:bCs/>
        </w:rPr>
        <w:t xml:space="preserve"> “Ekmek yoksa pasta yesinler” cümlesi olay olmuştur. Fransız Devrimi döneminde idam cezası alan kişilerin hayatına giyotin ile son verilmekteydi. Kral 16. Louis ve eşi Marie </w:t>
      </w:r>
      <w:proofErr w:type="spellStart"/>
      <w:r>
        <w:rPr>
          <w:bCs/>
        </w:rPr>
        <w:t>Antoinette</w:t>
      </w:r>
      <w:proofErr w:type="spellEnd"/>
      <w:r>
        <w:rPr>
          <w:bCs/>
        </w:rPr>
        <w:t xml:space="preserve"> de idam cezasına çarptırılmış ve giyotin ile hayatlarına son verilmiştir.</w:t>
      </w:r>
    </w:p>
    <w:p w14:paraId="5DAF98F4" w14:textId="77777777" w:rsidR="00FA457D" w:rsidRPr="008C558E" w:rsidRDefault="00FA457D" w:rsidP="00FA457D">
      <w:pPr>
        <w:rPr>
          <w:b/>
          <w:bCs/>
          <w:sz w:val="18"/>
          <w:szCs w:val="18"/>
        </w:rPr>
      </w:pPr>
      <w:r w:rsidRPr="008C558E">
        <w:rPr>
          <w:b/>
          <w:bCs/>
          <w:sz w:val="18"/>
          <w:szCs w:val="18"/>
        </w:rPr>
        <w:t>Şekil 2- 3- 4.</w:t>
      </w:r>
    </w:p>
    <w:p w14:paraId="348BB285" w14:textId="5B8BBD7B" w:rsidR="00FA457D" w:rsidRPr="008C558E" w:rsidRDefault="00FA457D" w:rsidP="00FA457D">
      <w:pPr>
        <w:rPr>
          <w:sz w:val="18"/>
          <w:szCs w:val="18"/>
        </w:rPr>
      </w:pPr>
      <w:proofErr w:type="spellStart"/>
      <w:r>
        <w:rPr>
          <w:sz w:val="18"/>
          <w:szCs w:val="18"/>
        </w:rPr>
        <w:t>Arno</w:t>
      </w:r>
      <w:proofErr w:type="spellEnd"/>
      <w:r>
        <w:rPr>
          <w:sz w:val="18"/>
          <w:szCs w:val="18"/>
        </w:rPr>
        <w:t xml:space="preserve"> Dorian Karakter Tasarımı İllüstrasyonları (</w:t>
      </w:r>
      <w:proofErr w:type="spellStart"/>
      <w:r>
        <w:rPr>
          <w:sz w:val="18"/>
          <w:szCs w:val="18"/>
        </w:rPr>
        <w:t>Assasin’s</w:t>
      </w:r>
      <w:proofErr w:type="spellEnd"/>
      <w:r>
        <w:rPr>
          <w:sz w:val="18"/>
          <w:szCs w:val="18"/>
        </w:rPr>
        <w:t xml:space="preserve"> </w:t>
      </w:r>
      <w:proofErr w:type="spellStart"/>
      <w:r>
        <w:rPr>
          <w:sz w:val="18"/>
          <w:szCs w:val="18"/>
        </w:rPr>
        <w:t>Creed</w:t>
      </w:r>
      <w:proofErr w:type="spellEnd"/>
      <w:r>
        <w:rPr>
          <w:sz w:val="18"/>
          <w:szCs w:val="18"/>
        </w:rPr>
        <w:t xml:space="preserve">: </w:t>
      </w:r>
      <w:proofErr w:type="spellStart"/>
      <w:r>
        <w:rPr>
          <w:sz w:val="18"/>
          <w:szCs w:val="18"/>
        </w:rPr>
        <w:t>Unity</w:t>
      </w:r>
      <w:proofErr w:type="spellEnd"/>
      <w:r>
        <w:rPr>
          <w:sz w:val="18"/>
          <w:szCs w:val="18"/>
        </w:rPr>
        <w:t>)</w:t>
      </w:r>
    </w:p>
    <w:p w14:paraId="6E4C55AE" w14:textId="2AF53641" w:rsidR="00FA457D" w:rsidRPr="00156608" w:rsidRDefault="00FA457D" w:rsidP="00FA457D">
      <w:pPr>
        <w:jc w:val="center"/>
      </w:pPr>
      <w:r w:rsidRPr="008C593C">
        <w:rPr>
          <w:noProof/>
        </w:rPr>
        <w:drawing>
          <wp:inline distT="0" distB="0" distL="0" distR="0" wp14:anchorId="64DD17BB" wp14:editId="10E43D53">
            <wp:extent cx="1436838" cy="2059305"/>
            <wp:effectExtent l="0" t="0" r="0" b="0"/>
            <wp:docPr id="4" name="Resim 3" descr="giyim, insan yüzü, kişi, şahıs, duvar içeren bir resim&#10;&#10;Yapay zeka tarafından oluşturulan içerik yanlış olabilir.">
              <a:extLst xmlns:a="http://schemas.openxmlformats.org/drawingml/2006/main">
                <a:ext uri="{FF2B5EF4-FFF2-40B4-BE49-F238E27FC236}">
                  <a16:creationId xmlns:a16="http://schemas.microsoft.com/office/drawing/2014/main" id="{C31BF03B-B980-E5B9-76C6-7C32BBC73D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descr="giyim, insan yüzü, kişi, şahıs, duvar içeren bir resim&#10;&#10;Yapay zeka tarafından oluşturulan içerik yanlış olabilir.">
                      <a:extLst>
                        <a:ext uri="{FF2B5EF4-FFF2-40B4-BE49-F238E27FC236}">
                          <a16:creationId xmlns:a16="http://schemas.microsoft.com/office/drawing/2014/main" id="{C31BF03B-B980-E5B9-76C6-7C32BBC73D02}"/>
                        </a:ext>
                      </a:extLst>
                    </pic:cNvPr>
                    <pic:cNvPicPr>
                      <a:picLocks noChangeAspect="1"/>
                    </pic:cNvPicPr>
                  </pic:nvPicPr>
                  <pic:blipFill>
                    <a:blip r:embed="rId453"/>
                    <a:stretch>
                      <a:fillRect/>
                    </a:stretch>
                  </pic:blipFill>
                  <pic:spPr>
                    <a:xfrm>
                      <a:off x="0" y="0"/>
                      <a:ext cx="1462521" cy="2096115"/>
                    </a:xfrm>
                    <a:prstGeom prst="rect">
                      <a:avLst/>
                    </a:prstGeom>
                  </pic:spPr>
                </pic:pic>
              </a:graphicData>
            </a:graphic>
          </wp:inline>
        </w:drawing>
      </w:r>
      <w:r w:rsidRPr="008C593C">
        <w:rPr>
          <w:noProof/>
        </w:rPr>
        <w:drawing>
          <wp:inline distT="0" distB="0" distL="0" distR="0" wp14:anchorId="1F114B35" wp14:editId="757EF09D">
            <wp:extent cx="1105500" cy="2067560"/>
            <wp:effectExtent l="0" t="0" r="0" b="0"/>
            <wp:docPr id="1608608935" name="Resim 7" descr="giyim, insan yüzü, poster, silah içeren bir resim&#10;&#10;Yapay zeka tarafından oluşturulan içerik yanlış olabilir.">
              <a:extLst xmlns:a="http://schemas.openxmlformats.org/drawingml/2006/main">
                <a:ext uri="{FF2B5EF4-FFF2-40B4-BE49-F238E27FC236}">
                  <a16:creationId xmlns:a16="http://schemas.microsoft.com/office/drawing/2014/main" id="{866452A8-571C-22D6-E677-E41E1DD4B4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descr="giyim, insan yüzü, poster, silah içeren bir resim&#10;&#10;Yapay zeka tarafından oluşturulan içerik yanlış olabilir.">
                      <a:extLst>
                        <a:ext uri="{FF2B5EF4-FFF2-40B4-BE49-F238E27FC236}">
                          <a16:creationId xmlns:a16="http://schemas.microsoft.com/office/drawing/2014/main" id="{866452A8-571C-22D6-E677-E41E1DD4B43C}"/>
                        </a:ext>
                      </a:extLst>
                    </pic:cNvPr>
                    <pic:cNvPicPr>
                      <a:picLocks noChangeAspect="1"/>
                    </pic:cNvPicPr>
                  </pic:nvPicPr>
                  <pic:blipFill rotWithShape="1">
                    <a:blip r:embed="rId454"/>
                    <a:srcRect t="5899" r="34075" b="6578"/>
                    <a:stretch/>
                  </pic:blipFill>
                  <pic:spPr bwMode="auto">
                    <a:xfrm>
                      <a:off x="0" y="0"/>
                      <a:ext cx="1125749" cy="2105431"/>
                    </a:xfrm>
                    <a:prstGeom prst="rect">
                      <a:avLst/>
                    </a:prstGeom>
                    <a:ln>
                      <a:noFill/>
                    </a:ln>
                    <a:extLst>
                      <a:ext uri="{53640926-AAD7-44D8-BBD7-CCE9431645EC}">
                        <a14:shadowObscured xmlns:a14="http://schemas.microsoft.com/office/drawing/2010/main"/>
                      </a:ext>
                    </a:extLst>
                  </pic:spPr>
                </pic:pic>
              </a:graphicData>
            </a:graphic>
          </wp:inline>
        </w:drawing>
      </w:r>
      <w:r w:rsidRPr="008C593C">
        <w:rPr>
          <w:noProof/>
        </w:rPr>
        <w:drawing>
          <wp:inline distT="0" distB="0" distL="0" distR="0" wp14:anchorId="21E1B85D" wp14:editId="6B6A8F0A">
            <wp:extent cx="1437640" cy="2060453"/>
            <wp:effectExtent l="0" t="0" r="0" b="0"/>
            <wp:docPr id="10" name="Resim 9" descr="Zırh, giyim, zırh, kurgusal karakter içeren bir resim&#10;&#10;Yapay zeka tarafından oluşturulan içerik yanlış olabilir.">
              <a:extLst xmlns:a="http://schemas.openxmlformats.org/drawingml/2006/main">
                <a:ext uri="{FF2B5EF4-FFF2-40B4-BE49-F238E27FC236}">
                  <a16:creationId xmlns:a16="http://schemas.microsoft.com/office/drawing/2014/main" id="{34D0566D-A8EA-56DC-EB5B-EF449A869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descr="Zırh, giyim, zırh, kurgusal karakter içeren bir resim&#10;&#10;Yapay zeka tarafından oluşturulan içerik yanlış olabilir.">
                      <a:extLst>
                        <a:ext uri="{FF2B5EF4-FFF2-40B4-BE49-F238E27FC236}">
                          <a16:creationId xmlns:a16="http://schemas.microsoft.com/office/drawing/2014/main" id="{34D0566D-A8EA-56DC-EB5B-EF449A869E61}"/>
                        </a:ext>
                      </a:extLst>
                    </pic:cNvPr>
                    <pic:cNvPicPr>
                      <a:picLocks noChangeAspect="1"/>
                    </pic:cNvPicPr>
                  </pic:nvPicPr>
                  <pic:blipFill>
                    <a:blip r:embed="rId455"/>
                    <a:stretch>
                      <a:fillRect/>
                    </a:stretch>
                  </pic:blipFill>
                  <pic:spPr>
                    <a:xfrm>
                      <a:off x="0" y="0"/>
                      <a:ext cx="1458981" cy="2091040"/>
                    </a:xfrm>
                    <a:prstGeom prst="rect">
                      <a:avLst/>
                    </a:prstGeom>
                  </pic:spPr>
                </pic:pic>
              </a:graphicData>
            </a:graphic>
          </wp:inline>
        </w:drawing>
      </w:r>
    </w:p>
    <w:p w14:paraId="017FEB5A" w14:textId="77777777" w:rsidR="00FA457D" w:rsidRDefault="00FA457D" w:rsidP="00FA457D"/>
    <w:p w14:paraId="237487FB" w14:textId="77777777" w:rsidR="00FA457D" w:rsidRDefault="00FA457D" w:rsidP="00FA457D"/>
    <w:p w14:paraId="48916913" w14:textId="77777777" w:rsidR="00FA457D" w:rsidRDefault="00FA457D" w:rsidP="00FA457D">
      <w:pPr>
        <w:spacing w:before="120" w:after="120"/>
        <w:jc w:val="both"/>
      </w:pPr>
      <w:proofErr w:type="spellStart"/>
      <w:r>
        <w:t>Assasin’s</w:t>
      </w:r>
      <w:proofErr w:type="spellEnd"/>
      <w:r>
        <w:t xml:space="preserve"> </w:t>
      </w:r>
      <w:proofErr w:type="spellStart"/>
      <w:r>
        <w:t>Creed</w:t>
      </w:r>
      <w:proofErr w:type="spellEnd"/>
      <w:r>
        <w:t xml:space="preserve">: </w:t>
      </w:r>
      <w:proofErr w:type="spellStart"/>
      <w:r>
        <w:t>Unity</w:t>
      </w:r>
      <w:proofErr w:type="spellEnd"/>
      <w:r w:rsidRPr="0039000C">
        <w:t xml:space="preserve"> </w:t>
      </w:r>
      <w:r>
        <w:t xml:space="preserve">oyunu </w:t>
      </w:r>
      <w:r w:rsidRPr="0039000C">
        <w:t>için hazırlanan karakter-konsept tasarımın</w:t>
      </w:r>
      <w:r>
        <w:t>da</w:t>
      </w:r>
      <w:r w:rsidRPr="0039000C">
        <w:t xml:space="preserve"> ana karakter Suikastç</w:t>
      </w:r>
      <w:r>
        <w:t>ı</w:t>
      </w:r>
      <w:r w:rsidRPr="0039000C">
        <w:t xml:space="preserve"> </w:t>
      </w:r>
      <w:proofErr w:type="spellStart"/>
      <w:r w:rsidRPr="0039000C">
        <w:t>Arno</w:t>
      </w:r>
      <w:proofErr w:type="spellEnd"/>
      <w:r w:rsidRPr="0039000C">
        <w:t xml:space="preserve"> Dorian da dahil </w:t>
      </w:r>
      <w:r>
        <w:t>bütün karakterlerin</w:t>
      </w:r>
      <w:r w:rsidRPr="0039000C">
        <w:t xml:space="preserve"> dönemin Fransız kültürünü yansıtaca</w:t>
      </w:r>
      <w:r>
        <w:t>k</w:t>
      </w:r>
      <w:r w:rsidRPr="0039000C">
        <w:t xml:space="preserve"> şekilde tasarlandığı dikkat çekmektedir.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 karakter- konsept tasarımına hazırlanan dijital oyun illüstrasyonlarından </w:t>
      </w:r>
      <w:proofErr w:type="spellStart"/>
      <w:r>
        <w:t>Arno</w:t>
      </w:r>
      <w:proofErr w:type="spellEnd"/>
      <w:r>
        <w:t xml:space="preserve"> Dorian karakterinin görselleri şekil 2, 3 ve 4’te verilmektedir. </w:t>
      </w:r>
      <w:proofErr w:type="spellStart"/>
      <w:r>
        <w:t>Arno</w:t>
      </w:r>
      <w:proofErr w:type="spellEnd"/>
      <w:r>
        <w:t xml:space="preserve"> Dorian karakterinin hem dönemin ve ülkenin kültürel, sosyolojik özelliklerini hem de karakter kişiliğinin psikolojik ve oyundaki görev özelliklerini yansıtacak şekilde tasarlandığı dijital oyun illüstrasyonlarına bakılarak söylenebilmektedir. Fransız devrimi döneminde fotoğraf gibi görsel kaynaklar bulunmaması sebebiyle bu dönemde yapılan yağlı boya gibi sanat eserleri görsel kaynak olarak kabul edilmektedir. (Şekil 5) Bu nedenle bu dönemde yapılan eserler üzerinden görsel karşılaştırma yapıldığında karakterin kıyafet ve aksesuarlarının döneme uygun şekilde tasarlandığı söylenebilmektedir. Ayrıca karakter anatomi yapısı da oyundaki görevi olan Suikastçı konumunu yansıtacak şekilde fit ve dinamik tasarlandığı görülmektedir. Bu bağlamda yine Suikastçı tanımının görsel anlamda </w:t>
      </w:r>
      <w:r>
        <w:lastRenderedPageBreak/>
        <w:t xml:space="preserve">pekiştirilmesi için </w:t>
      </w:r>
      <w:proofErr w:type="spellStart"/>
      <w:r>
        <w:t>Arno</w:t>
      </w:r>
      <w:proofErr w:type="spellEnd"/>
      <w:r>
        <w:t xml:space="preserve"> karakterinin kıyafet tasarımında kapüşon, eldiven, gizli silah eklemeleri yapıldığı gözlemlenmektedir.</w:t>
      </w:r>
    </w:p>
    <w:p w14:paraId="0D78C86C" w14:textId="1C2F2E7D" w:rsidR="00FA457D" w:rsidRPr="008C558E" w:rsidRDefault="00FA457D" w:rsidP="00FA457D">
      <w:pPr>
        <w:rPr>
          <w:b/>
          <w:bCs/>
          <w:sz w:val="18"/>
          <w:szCs w:val="18"/>
        </w:rPr>
      </w:pPr>
      <w:r w:rsidRPr="008C558E">
        <w:rPr>
          <w:b/>
          <w:bCs/>
          <w:sz w:val="18"/>
          <w:szCs w:val="18"/>
        </w:rPr>
        <w:t>Şekil 5.</w:t>
      </w:r>
    </w:p>
    <w:p w14:paraId="6DAD902D" w14:textId="77777777" w:rsidR="00FA457D" w:rsidRPr="008C558E" w:rsidRDefault="00FA457D" w:rsidP="00FA457D">
      <w:pPr>
        <w:rPr>
          <w:sz w:val="18"/>
          <w:szCs w:val="18"/>
        </w:rPr>
      </w:pPr>
      <w:r w:rsidRPr="00F12190">
        <w:rPr>
          <w:sz w:val="18"/>
          <w:szCs w:val="18"/>
          <w:lang w:val="fr-FR"/>
        </w:rPr>
        <w:t>Rouget de L'Isle chantant La Marseillaise</w:t>
      </w:r>
      <w:r>
        <w:rPr>
          <w:sz w:val="18"/>
          <w:szCs w:val="18"/>
          <w:lang w:val="fr-FR"/>
        </w:rPr>
        <w:t>,</w:t>
      </w:r>
      <w:r w:rsidRPr="00F12190">
        <w:rPr>
          <w:sz w:val="18"/>
          <w:szCs w:val="18"/>
        </w:rPr>
        <w:t xml:space="preserve"> </w:t>
      </w:r>
      <w:proofErr w:type="spellStart"/>
      <w:r w:rsidRPr="00F12190">
        <w:rPr>
          <w:sz w:val="18"/>
          <w:szCs w:val="18"/>
        </w:rPr>
        <w:t>Isidore</w:t>
      </w:r>
      <w:proofErr w:type="spellEnd"/>
      <w:r w:rsidRPr="00F12190">
        <w:rPr>
          <w:sz w:val="18"/>
          <w:szCs w:val="18"/>
        </w:rPr>
        <w:t xml:space="preserve"> </w:t>
      </w:r>
      <w:proofErr w:type="spellStart"/>
      <w:r w:rsidRPr="00F12190">
        <w:rPr>
          <w:sz w:val="18"/>
          <w:szCs w:val="18"/>
        </w:rPr>
        <w:t>Pils</w:t>
      </w:r>
      <w:proofErr w:type="spellEnd"/>
      <w:r w:rsidRPr="00F12190">
        <w:rPr>
          <w:sz w:val="18"/>
          <w:szCs w:val="18"/>
        </w:rPr>
        <w:t>, 1849</w:t>
      </w:r>
    </w:p>
    <w:p w14:paraId="36811059" w14:textId="77777777" w:rsidR="00FA457D" w:rsidRDefault="00FA457D" w:rsidP="00FA457D">
      <w:pPr>
        <w:jc w:val="center"/>
      </w:pPr>
      <w:r>
        <w:rPr>
          <w:noProof/>
        </w:rPr>
        <w:drawing>
          <wp:inline distT="0" distB="0" distL="0" distR="0" wp14:anchorId="71FE68DE" wp14:editId="4809FEC4">
            <wp:extent cx="2529840" cy="1404242"/>
            <wp:effectExtent l="0" t="0" r="3810" b="5715"/>
            <wp:docPr id="1991092392" name="Resim 2" descr="giyim, resim, kişi, şahıs, kadı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92392" name="Resim 2" descr="giyim, resim, kişi, şahıs, kadın içeren bir resim&#10;&#10;Yapay zeka tarafından oluşturulan içerik yanlış olabilir."/>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552102" cy="1416599"/>
                    </a:xfrm>
                    <a:prstGeom prst="rect">
                      <a:avLst/>
                    </a:prstGeom>
                  </pic:spPr>
                </pic:pic>
              </a:graphicData>
            </a:graphic>
          </wp:inline>
        </w:drawing>
      </w:r>
    </w:p>
    <w:p w14:paraId="105D05DE" w14:textId="77777777" w:rsidR="00FA457D" w:rsidRDefault="00FA457D" w:rsidP="00FA457D">
      <w:pPr>
        <w:spacing w:before="120" w:after="120"/>
        <w:jc w:val="both"/>
      </w:pPr>
      <w:r w:rsidRPr="0039000C">
        <w:t xml:space="preserve">Öncelikle ana karakter </w:t>
      </w:r>
      <w:proofErr w:type="spellStart"/>
      <w:r w:rsidRPr="0039000C">
        <w:t>Arno</w:t>
      </w:r>
      <w:proofErr w:type="spellEnd"/>
      <w:r w:rsidRPr="0039000C">
        <w:t xml:space="preserve"> Dorian</w:t>
      </w:r>
      <w:r>
        <w:t xml:space="preserve"> olmak üzere, eğer </w:t>
      </w:r>
      <w:r w:rsidRPr="0039000C">
        <w:t>takım olarak oynanıyorsa diğer suikastçılar d</w:t>
      </w:r>
      <w:r>
        <w:t>a</w:t>
      </w:r>
      <w:r w:rsidRPr="0039000C">
        <w:t xml:space="preserve"> dahil, oyunda görülen bütün figürler Fransız Devrimi dönemini yansıtacak kostüm ve aksesuarlar ile tasarlanmışlardır.</w:t>
      </w:r>
    </w:p>
    <w:p w14:paraId="5BB6DFD3" w14:textId="591720D7" w:rsidR="00FA457D" w:rsidRPr="00536073" w:rsidRDefault="00FA457D" w:rsidP="00FA457D">
      <w:pPr>
        <w:jc w:val="both"/>
        <w:rPr>
          <w:b/>
          <w:bCs/>
          <w:sz w:val="20"/>
          <w:szCs w:val="20"/>
        </w:rPr>
      </w:pPr>
      <w:r w:rsidRPr="00536073">
        <w:rPr>
          <w:b/>
          <w:bCs/>
          <w:sz w:val="20"/>
          <w:szCs w:val="20"/>
        </w:rPr>
        <w:t>Tablo 1.</w:t>
      </w:r>
    </w:p>
    <w:p w14:paraId="11B59B1D" w14:textId="77777777" w:rsidR="00FA457D" w:rsidRPr="00197EA2" w:rsidRDefault="00FA457D" w:rsidP="00FA457D">
      <w:pPr>
        <w:jc w:val="both"/>
        <w:rPr>
          <w:sz w:val="20"/>
          <w:szCs w:val="20"/>
        </w:rPr>
      </w:pPr>
      <w:proofErr w:type="spellStart"/>
      <w:r w:rsidRPr="00197EA2">
        <w:rPr>
          <w:sz w:val="20"/>
          <w:szCs w:val="20"/>
        </w:rPr>
        <w:t>Arno</w:t>
      </w:r>
      <w:proofErr w:type="spellEnd"/>
      <w:r w:rsidRPr="00197EA2">
        <w:rPr>
          <w:sz w:val="20"/>
          <w:szCs w:val="20"/>
        </w:rPr>
        <w:t xml:space="preserve"> Dorian Karakter Tasarımı Göstergeleri (</w:t>
      </w:r>
      <w:proofErr w:type="spellStart"/>
      <w:r w:rsidRPr="00197EA2">
        <w:rPr>
          <w:sz w:val="20"/>
          <w:szCs w:val="20"/>
        </w:rPr>
        <w:t>Assasin’s</w:t>
      </w:r>
      <w:proofErr w:type="spellEnd"/>
      <w:r w:rsidRPr="00197EA2">
        <w:rPr>
          <w:sz w:val="20"/>
          <w:szCs w:val="20"/>
        </w:rPr>
        <w:t xml:space="preserve"> </w:t>
      </w:r>
      <w:proofErr w:type="spellStart"/>
      <w:r w:rsidRPr="00197EA2">
        <w:rPr>
          <w:sz w:val="20"/>
          <w:szCs w:val="20"/>
        </w:rPr>
        <w:t>Creed</w:t>
      </w:r>
      <w:proofErr w:type="spellEnd"/>
      <w:r w:rsidRPr="00197EA2">
        <w:rPr>
          <w:sz w:val="20"/>
          <w:szCs w:val="20"/>
        </w:rPr>
        <w:t xml:space="preserve">: </w:t>
      </w:r>
      <w:proofErr w:type="spellStart"/>
      <w:r w:rsidRPr="00197EA2">
        <w:rPr>
          <w:sz w:val="20"/>
          <w:szCs w:val="20"/>
        </w:rPr>
        <w:t>Unity</w:t>
      </w:r>
      <w:proofErr w:type="spellEnd"/>
      <w:r w:rsidRPr="00197EA2">
        <w:rPr>
          <w:sz w:val="20"/>
          <w:szCs w:val="20"/>
        </w:rPr>
        <w:t>)</w:t>
      </w:r>
    </w:p>
    <w:tbl>
      <w:tblPr>
        <w:tblW w:w="10220" w:type="dxa"/>
        <w:tblBorders>
          <w:insideH w:val="single" w:sz="4" w:space="0" w:color="auto"/>
        </w:tblBorders>
        <w:tblCellMar>
          <w:left w:w="0" w:type="dxa"/>
          <w:right w:w="0" w:type="dxa"/>
        </w:tblCellMar>
        <w:tblLook w:val="0420" w:firstRow="1" w:lastRow="0" w:firstColumn="0" w:lastColumn="0" w:noHBand="0" w:noVBand="1"/>
      </w:tblPr>
      <w:tblGrid>
        <w:gridCol w:w="1538"/>
        <w:gridCol w:w="5029"/>
        <w:gridCol w:w="3653"/>
      </w:tblGrid>
      <w:tr w:rsidR="00FA457D" w:rsidRPr="009B7C75" w14:paraId="0613B828" w14:textId="77777777" w:rsidTr="000610DA">
        <w:tc>
          <w:tcPr>
            <w:tcW w:w="1538" w:type="dxa"/>
            <w:shd w:val="clear" w:color="auto" w:fill="auto"/>
            <w:tcMar>
              <w:top w:w="72" w:type="dxa"/>
              <w:left w:w="144" w:type="dxa"/>
              <w:bottom w:w="72" w:type="dxa"/>
              <w:right w:w="144" w:type="dxa"/>
            </w:tcMar>
            <w:hideMark/>
          </w:tcPr>
          <w:p w14:paraId="7F0C6BDE" w14:textId="77777777" w:rsidR="00FA457D" w:rsidRPr="009B7C75" w:rsidRDefault="00FA457D" w:rsidP="000610DA">
            <w:pPr>
              <w:jc w:val="both"/>
              <w:rPr>
                <w:sz w:val="20"/>
                <w:szCs w:val="20"/>
              </w:rPr>
            </w:pPr>
            <w:r w:rsidRPr="009B7C75">
              <w:rPr>
                <w:b/>
                <w:bCs/>
                <w:sz w:val="20"/>
                <w:szCs w:val="20"/>
              </w:rPr>
              <w:t>Gösterge</w:t>
            </w:r>
          </w:p>
        </w:tc>
        <w:tc>
          <w:tcPr>
            <w:tcW w:w="5029" w:type="dxa"/>
            <w:shd w:val="clear" w:color="auto" w:fill="auto"/>
            <w:tcMar>
              <w:top w:w="72" w:type="dxa"/>
              <w:left w:w="144" w:type="dxa"/>
              <w:bottom w:w="72" w:type="dxa"/>
              <w:right w:w="144" w:type="dxa"/>
            </w:tcMar>
            <w:hideMark/>
          </w:tcPr>
          <w:p w14:paraId="1A9316AA" w14:textId="77777777" w:rsidR="00FA457D" w:rsidRPr="009B7C75" w:rsidRDefault="00FA457D" w:rsidP="000610DA">
            <w:pPr>
              <w:jc w:val="both"/>
              <w:rPr>
                <w:sz w:val="20"/>
                <w:szCs w:val="20"/>
              </w:rPr>
            </w:pPr>
            <w:r w:rsidRPr="009B7C75">
              <w:rPr>
                <w:b/>
                <w:bCs/>
                <w:sz w:val="20"/>
                <w:szCs w:val="20"/>
              </w:rPr>
              <w:t>Gösteren</w:t>
            </w:r>
          </w:p>
        </w:tc>
        <w:tc>
          <w:tcPr>
            <w:tcW w:w="3653" w:type="dxa"/>
            <w:shd w:val="clear" w:color="auto" w:fill="auto"/>
            <w:tcMar>
              <w:top w:w="72" w:type="dxa"/>
              <w:left w:w="144" w:type="dxa"/>
              <w:bottom w:w="72" w:type="dxa"/>
              <w:right w:w="144" w:type="dxa"/>
            </w:tcMar>
            <w:hideMark/>
          </w:tcPr>
          <w:p w14:paraId="17D94AB5" w14:textId="77777777" w:rsidR="00FA457D" w:rsidRPr="009B7C75" w:rsidRDefault="00FA457D" w:rsidP="000610DA">
            <w:pPr>
              <w:jc w:val="both"/>
              <w:rPr>
                <w:sz w:val="20"/>
                <w:szCs w:val="20"/>
              </w:rPr>
            </w:pPr>
            <w:r w:rsidRPr="009B7C75">
              <w:rPr>
                <w:b/>
                <w:bCs/>
                <w:sz w:val="20"/>
                <w:szCs w:val="20"/>
              </w:rPr>
              <w:t>Gösterilen</w:t>
            </w:r>
          </w:p>
        </w:tc>
      </w:tr>
      <w:tr w:rsidR="00FA457D" w:rsidRPr="009B7C75" w14:paraId="27604221" w14:textId="77777777" w:rsidTr="000610DA">
        <w:trPr>
          <w:trHeight w:val="584"/>
        </w:trPr>
        <w:tc>
          <w:tcPr>
            <w:tcW w:w="1538" w:type="dxa"/>
            <w:shd w:val="clear" w:color="auto" w:fill="auto"/>
            <w:tcMar>
              <w:top w:w="72" w:type="dxa"/>
              <w:left w:w="144" w:type="dxa"/>
              <w:bottom w:w="72" w:type="dxa"/>
              <w:right w:w="144" w:type="dxa"/>
            </w:tcMar>
            <w:hideMark/>
          </w:tcPr>
          <w:p w14:paraId="3D8C8510" w14:textId="77777777" w:rsidR="00FA457D" w:rsidRPr="009B7C75" w:rsidRDefault="00FA457D" w:rsidP="000610DA">
            <w:pPr>
              <w:jc w:val="both"/>
              <w:rPr>
                <w:sz w:val="20"/>
                <w:szCs w:val="20"/>
              </w:rPr>
            </w:pPr>
            <w:r w:rsidRPr="009B7C75">
              <w:rPr>
                <w:b/>
                <w:bCs/>
                <w:sz w:val="20"/>
                <w:szCs w:val="20"/>
              </w:rPr>
              <w:t>Ana Karakter</w:t>
            </w:r>
          </w:p>
        </w:tc>
        <w:tc>
          <w:tcPr>
            <w:tcW w:w="5029" w:type="dxa"/>
            <w:shd w:val="clear" w:color="auto" w:fill="auto"/>
            <w:tcMar>
              <w:top w:w="72" w:type="dxa"/>
              <w:left w:w="144" w:type="dxa"/>
              <w:bottom w:w="72" w:type="dxa"/>
              <w:right w:w="144" w:type="dxa"/>
            </w:tcMar>
            <w:hideMark/>
          </w:tcPr>
          <w:p w14:paraId="52D988EF" w14:textId="77777777" w:rsidR="00FA457D" w:rsidRPr="009B7C75" w:rsidRDefault="00FA457D" w:rsidP="000610DA">
            <w:pPr>
              <w:jc w:val="both"/>
              <w:rPr>
                <w:sz w:val="20"/>
                <w:szCs w:val="20"/>
              </w:rPr>
            </w:pPr>
            <w:r w:rsidRPr="009B7C75">
              <w:rPr>
                <w:sz w:val="20"/>
                <w:szCs w:val="20"/>
              </w:rPr>
              <w:t xml:space="preserve">- </w:t>
            </w:r>
            <w:proofErr w:type="spellStart"/>
            <w:r w:rsidRPr="009B7C75">
              <w:rPr>
                <w:sz w:val="20"/>
                <w:szCs w:val="20"/>
              </w:rPr>
              <w:t>Arno</w:t>
            </w:r>
            <w:proofErr w:type="spellEnd"/>
            <w:r w:rsidRPr="009B7C75">
              <w:rPr>
                <w:sz w:val="20"/>
                <w:szCs w:val="20"/>
              </w:rPr>
              <w:t xml:space="preserve"> Dorian</w:t>
            </w:r>
          </w:p>
        </w:tc>
        <w:tc>
          <w:tcPr>
            <w:tcW w:w="3653" w:type="dxa"/>
            <w:shd w:val="clear" w:color="auto" w:fill="auto"/>
            <w:tcMar>
              <w:top w:w="72" w:type="dxa"/>
              <w:left w:w="144" w:type="dxa"/>
              <w:bottom w:w="72" w:type="dxa"/>
              <w:right w:w="144" w:type="dxa"/>
            </w:tcMar>
            <w:hideMark/>
          </w:tcPr>
          <w:p w14:paraId="7E6715A8" w14:textId="77777777" w:rsidR="00FA457D" w:rsidRPr="009B7C75" w:rsidRDefault="00FA457D" w:rsidP="000610DA">
            <w:pPr>
              <w:jc w:val="both"/>
              <w:rPr>
                <w:sz w:val="20"/>
                <w:szCs w:val="20"/>
              </w:rPr>
            </w:pPr>
            <w:r w:rsidRPr="009B7C75">
              <w:rPr>
                <w:sz w:val="20"/>
                <w:szCs w:val="20"/>
              </w:rPr>
              <w:t xml:space="preserve">- 18. Yüzyıl </w:t>
            </w:r>
            <w:r w:rsidRPr="00197EA2">
              <w:rPr>
                <w:sz w:val="20"/>
                <w:szCs w:val="20"/>
              </w:rPr>
              <w:t>Fransa’sında</w:t>
            </w:r>
            <w:r w:rsidRPr="009B7C75">
              <w:rPr>
                <w:sz w:val="20"/>
                <w:szCs w:val="20"/>
              </w:rPr>
              <w:t xml:space="preserve"> </w:t>
            </w:r>
            <w:r w:rsidRPr="00197EA2">
              <w:rPr>
                <w:sz w:val="20"/>
                <w:szCs w:val="20"/>
              </w:rPr>
              <w:t>suikastçı</w:t>
            </w:r>
          </w:p>
          <w:p w14:paraId="53B6D041" w14:textId="77777777" w:rsidR="00FA457D" w:rsidRPr="009B7C75" w:rsidRDefault="00FA457D" w:rsidP="000610DA">
            <w:pPr>
              <w:jc w:val="both"/>
              <w:rPr>
                <w:sz w:val="20"/>
                <w:szCs w:val="20"/>
              </w:rPr>
            </w:pPr>
            <w:r w:rsidRPr="009B7C75">
              <w:rPr>
                <w:sz w:val="20"/>
                <w:szCs w:val="20"/>
              </w:rPr>
              <w:t>- 1789 Fransız Devrimi dönemi Fransa giyim.</w:t>
            </w:r>
          </w:p>
        </w:tc>
      </w:tr>
      <w:tr w:rsidR="00FA457D" w:rsidRPr="009B7C75" w14:paraId="09E641E7" w14:textId="77777777" w:rsidTr="000610DA">
        <w:trPr>
          <w:trHeight w:val="1664"/>
        </w:trPr>
        <w:tc>
          <w:tcPr>
            <w:tcW w:w="1538" w:type="dxa"/>
            <w:shd w:val="clear" w:color="auto" w:fill="auto"/>
            <w:tcMar>
              <w:top w:w="72" w:type="dxa"/>
              <w:left w:w="144" w:type="dxa"/>
              <w:bottom w:w="72" w:type="dxa"/>
              <w:right w:w="144" w:type="dxa"/>
            </w:tcMar>
            <w:hideMark/>
          </w:tcPr>
          <w:p w14:paraId="32D5B0C6" w14:textId="77777777" w:rsidR="00FA457D" w:rsidRPr="009B7C75" w:rsidRDefault="00FA457D" w:rsidP="000610DA">
            <w:pPr>
              <w:jc w:val="both"/>
              <w:rPr>
                <w:sz w:val="20"/>
                <w:szCs w:val="20"/>
              </w:rPr>
            </w:pPr>
            <w:r w:rsidRPr="009B7C75">
              <w:rPr>
                <w:b/>
                <w:bCs/>
                <w:sz w:val="20"/>
                <w:szCs w:val="20"/>
              </w:rPr>
              <w:t>Kostüm</w:t>
            </w:r>
          </w:p>
        </w:tc>
        <w:tc>
          <w:tcPr>
            <w:tcW w:w="5029" w:type="dxa"/>
            <w:shd w:val="clear" w:color="auto" w:fill="auto"/>
            <w:tcMar>
              <w:top w:w="72" w:type="dxa"/>
              <w:left w:w="144" w:type="dxa"/>
              <w:bottom w:w="72" w:type="dxa"/>
              <w:right w:w="144" w:type="dxa"/>
            </w:tcMar>
            <w:hideMark/>
          </w:tcPr>
          <w:p w14:paraId="4AEB6C07" w14:textId="77777777" w:rsidR="00FA457D" w:rsidRPr="009B7C75" w:rsidRDefault="00FA457D" w:rsidP="000610DA">
            <w:pPr>
              <w:jc w:val="both"/>
              <w:rPr>
                <w:sz w:val="20"/>
                <w:szCs w:val="20"/>
              </w:rPr>
            </w:pPr>
            <w:r w:rsidRPr="009B7C75">
              <w:rPr>
                <w:sz w:val="20"/>
                <w:szCs w:val="20"/>
              </w:rPr>
              <w:t>-Renkli Smokin, Beyaz gömlek, Fular</w:t>
            </w:r>
          </w:p>
          <w:p w14:paraId="449C290D" w14:textId="77777777" w:rsidR="00FA457D" w:rsidRPr="009B7C75" w:rsidRDefault="00FA457D" w:rsidP="000610DA">
            <w:pPr>
              <w:jc w:val="both"/>
              <w:rPr>
                <w:sz w:val="20"/>
                <w:szCs w:val="20"/>
              </w:rPr>
            </w:pPr>
            <w:r w:rsidRPr="009B7C75">
              <w:rPr>
                <w:sz w:val="20"/>
                <w:szCs w:val="20"/>
              </w:rPr>
              <w:t>-Tokalı Çizmeler ve kemerler</w:t>
            </w:r>
          </w:p>
          <w:p w14:paraId="35DFAFC4" w14:textId="77777777" w:rsidR="00FA457D" w:rsidRPr="009B7C75" w:rsidRDefault="00FA457D" w:rsidP="000610DA">
            <w:pPr>
              <w:jc w:val="both"/>
              <w:rPr>
                <w:sz w:val="20"/>
                <w:szCs w:val="20"/>
              </w:rPr>
            </w:pPr>
            <w:r w:rsidRPr="009B7C75">
              <w:rPr>
                <w:sz w:val="20"/>
                <w:szCs w:val="20"/>
              </w:rPr>
              <w:t>-Fransız Bayrağı renkleri</w:t>
            </w:r>
          </w:p>
          <w:p w14:paraId="6166B616" w14:textId="77777777" w:rsidR="00FA457D" w:rsidRPr="009B7C75" w:rsidRDefault="00FA457D" w:rsidP="000610DA">
            <w:pPr>
              <w:jc w:val="both"/>
              <w:rPr>
                <w:sz w:val="20"/>
                <w:szCs w:val="20"/>
              </w:rPr>
            </w:pPr>
            <w:r w:rsidRPr="009B7C75">
              <w:rPr>
                <w:sz w:val="20"/>
                <w:szCs w:val="20"/>
              </w:rPr>
              <w:t>-Kılıç, eski tip silah</w:t>
            </w:r>
          </w:p>
          <w:p w14:paraId="3C645990" w14:textId="77777777" w:rsidR="00FA457D" w:rsidRPr="009B7C75" w:rsidRDefault="00FA457D" w:rsidP="000610DA">
            <w:pPr>
              <w:jc w:val="both"/>
              <w:rPr>
                <w:sz w:val="20"/>
                <w:szCs w:val="20"/>
              </w:rPr>
            </w:pPr>
            <w:r w:rsidRPr="009B7C75">
              <w:rPr>
                <w:sz w:val="20"/>
                <w:szCs w:val="20"/>
              </w:rPr>
              <w:t>-Yelek Zinciri, Kıyafet üzeri süs detayları</w:t>
            </w:r>
          </w:p>
          <w:p w14:paraId="70CCAE8B" w14:textId="77777777" w:rsidR="00FA457D" w:rsidRPr="009B7C75" w:rsidRDefault="00FA457D" w:rsidP="000610DA">
            <w:pPr>
              <w:jc w:val="both"/>
              <w:rPr>
                <w:sz w:val="20"/>
                <w:szCs w:val="20"/>
              </w:rPr>
            </w:pPr>
            <w:r w:rsidRPr="009B7C75">
              <w:rPr>
                <w:sz w:val="20"/>
                <w:szCs w:val="20"/>
              </w:rPr>
              <w:t>-Kimliği anlaşılmasın diye kapüşon</w:t>
            </w:r>
          </w:p>
          <w:p w14:paraId="77510467" w14:textId="77777777" w:rsidR="00FA457D" w:rsidRPr="009B7C75" w:rsidRDefault="00FA457D" w:rsidP="000610DA">
            <w:pPr>
              <w:jc w:val="both"/>
              <w:rPr>
                <w:sz w:val="20"/>
                <w:szCs w:val="20"/>
              </w:rPr>
            </w:pPr>
            <w:r w:rsidRPr="009B7C75">
              <w:rPr>
                <w:sz w:val="20"/>
                <w:szCs w:val="20"/>
              </w:rPr>
              <w:t>-Eldivenler</w:t>
            </w:r>
          </w:p>
        </w:tc>
        <w:tc>
          <w:tcPr>
            <w:tcW w:w="3653" w:type="dxa"/>
            <w:shd w:val="clear" w:color="auto" w:fill="auto"/>
            <w:tcMar>
              <w:top w:w="72" w:type="dxa"/>
              <w:left w:w="144" w:type="dxa"/>
              <w:bottom w:w="72" w:type="dxa"/>
              <w:right w:w="144" w:type="dxa"/>
            </w:tcMar>
            <w:hideMark/>
          </w:tcPr>
          <w:p w14:paraId="7A22D1A2" w14:textId="6753B11E" w:rsidR="00FA457D" w:rsidRPr="009B7C75" w:rsidRDefault="00FA457D" w:rsidP="000610DA">
            <w:pPr>
              <w:jc w:val="both"/>
              <w:rPr>
                <w:sz w:val="20"/>
                <w:szCs w:val="20"/>
              </w:rPr>
            </w:pPr>
            <w:r w:rsidRPr="009B7C75">
              <w:rPr>
                <w:sz w:val="20"/>
                <w:szCs w:val="20"/>
              </w:rPr>
              <w:t>- 18. Yüzyıl Fransa kültürü, sanatı, Yaşam özellikleri.</w:t>
            </w:r>
          </w:p>
          <w:p w14:paraId="24D13B8C" w14:textId="77777777" w:rsidR="00FA457D" w:rsidRPr="009B7C75" w:rsidRDefault="00FA457D" w:rsidP="000610DA">
            <w:pPr>
              <w:jc w:val="both"/>
              <w:rPr>
                <w:sz w:val="20"/>
                <w:szCs w:val="20"/>
              </w:rPr>
            </w:pPr>
            <w:r w:rsidRPr="009B7C75">
              <w:rPr>
                <w:sz w:val="20"/>
                <w:szCs w:val="20"/>
              </w:rPr>
              <w:t>- 1789 Fransız Devrimi Dönemi Tarihi olay anlatımı.</w:t>
            </w:r>
          </w:p>
        </w:tc>
      </w:tr>
    </w:tbl>
    <w:p w14:paraId="617AFECD" w14:textId="77777777" w:rsidR="00FA457D" w:rsidRDefault="00FA457D" w:rsidP="00FA457D">
      <w:pPr>
        <w:spacing w:before="120" w:after="120"/>
        <w:jc w:val="both"/>
      </w:pPr>
      <w:proofErr w:type="spellStart"/>
      <w:r w:rsidRPr="0039000C">
        <w:t>Arno</w:t>
      </w:r>
      <w:proofErr w:type="spellEnd"/>
      <w:r w:rsidRPr="0039000C">
        <w:t xml:space="preserve"> Dorian </w:t>
      </w:r>
      <w:r>
        <w:t xml:space="preserve">karakterinin dijital oyun illüstrasyonlarına bakıldığında karakter kostümünün </w:t>
      </w:r>
      <w:r w:rsidRPr="0039000C">
        <w:t xml:space="preserve">Fransız Bayrağının renklerini de içeren </w:t>
      </w:r>
      <w:r>
        <w:t xml:space="preserve">bir </w:t>
      </w:r>
      <w:r w:rsidRPr="0039000C">
        <w:t>smokin</w:t>
      </w:r>
      <w:r>
        <w:t xml:space="preserve"> şeklinde tasarlandığı görülmektedir. Böylece oyunun geçtiği dönem ve ülkeyi kostüm tasarımı üzerinden yansıttıkları söylenebilmektedir. Ayrıca karakterin smokini üzerine eklenen zincir toka detayları, uzun çizmeleri, </w:t>
      </w:r>
      <w:r w:rsidRPr="0039000C">
        <w:t>boynundaki fuları</w:t>
      </w:r>
      <w:r>
        <w:t xml:space="preserve"> ve beyaz gömleğiyle tarihi dönemin modası görsel olarak aktarılmaktadır. </w:t>
      </w:r>
      <w:proofErr w:type="spellStart"/>
      <w:r>
        <w:t>Arno</w:t>
      </w:r>
      <w:proofErr w:type="spellEnd"/>
      <w:r>
        <w:t xml:space="preserve"> Dorian karakterinin </w:t>
      </w:r>
      <w:r w:rsidRPr="0039000C">
        <w:t>uzun saçlarını kapatan ve tanınmamasını sağlayan kıyafetine ek kapüşonu, eldivenleri, kılıç ve silah ayrıntıl</w:t>
      </w:r>
      <w:r>
        <w:t>arı hem suikastçı kimliğini hem de</w:t>
      </w:r>
      <w:r w:rsidRPr="0039000C">
        <w:t xml:space="preserve"> 1789’da başlayan Fransız İhtilali dönemini yansıtacak şekilde tasarlan</w:t>
      </w:r>
      <w:r>
        <w:t>dığı söylenebilmektedir.</w:t>
      </w:r>
    </w:p>
    <w:p w14:paraId="468DEE0A" w14:textId="10BEC403" w:rsidR="00FA457D" w:rsidRPr="008C558E" w:rsidRDefault="00FA457D" w:rsidP="00FA457D">
      <w:pPr>
        <w:rPr>
          <w:b/>
          <w:bCs/>
          <w:sz w:val="18"/>
          <w:szCs w:val="18"/>
        </w:rPr>
      </w:pPr>
      <w:r w:rsidRPr="008C558E">
        <w:rPr>
          <w:b/>
          <w:bCs/>
          <w:sz w:val="18"/>
          <w:szCs w:val="18"/>
        </w:rPr>
        <w:t xml:space="preserve">Şekil 6. </w:t>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sidRPr="008C558E">
        <w:rPr>
          <w:b/>
          <w:bCs/>
          <w:sz w:val="18"/>
          <w:szCs w:val="18"/>
        </w:rPr>
        <w:t>Şekil 7.</w:t>
      </w:r>
    </w:p>
    <w:p w14:paraId="4DF1E13B" w14:textId="77777777" w:rsidR="00FA457D" w:rsidRPr="00FC48F3" w:rsidRDefault="00FA457D" w:rsidP="00FA457D">
      <w:pPr>
        <w:rPr>
          <w:sz w:val="18"/>
          <w:szCs w:val="18"/>
        </w:rPr>
      </w:pPr>
      <w:r w:rsidRPr="00C112D1">
        <w:rPr>
          <w:sz w:val="18"/>
          <w:szCs w:val="18"/>
        </w:rPr>
        <w:t xml:space="preserve">Notre </w:t>
      </w:r>
      <w:proofErr w:type="spellStart"/>
      <w:r w:rsidRPr="00C112D1">
        <w:rPr>
          <w:sz w:val="18"/>
          <w:szCs w:val="18"/>
        </w:rPr>
        <w:t>Dame</w:t>
      </w:r>
      <w:proofErr w:type="spellEnd"/>
      <w:r w:rsidRPr="00C112D1">
        <w:rPr>
          <w:sz w:val="18"/>
          <w:szCs w:val="18"/>
        </w:rPr>
        <w:t xml:space="preserve"> Katedrali </w:t>
      </w:r>
      <w:r>
        <w:rPr>
          <w:sz w:val="18"/>
          <w:szCs w:val="18"/>
        </w:rPr>
        <w:t>Dijital Oyun İllüstrasyonu</w:t>
      </w:r>
      <w:r>
        <w:rPr>
          <w:sz w:val="18"/>
          <w:szCs w:val="18"/>
        </w:rPr>
        <w:tab/>
      </w:r>
      <w:r>
        <w:rPr>
          <w:sz w:val="18"/>
          <w:szCs w:val="18"/>
        </w:rPr>
        <w:tab/>
      </w:r>
      <w:r>
        <w:rPr>
          <w:sz w:val="18"/>
          <w:szCs w:val="18"/>
        </w:rPr>
        <w:tab/>
      </w:r>
      <w:r w:rsidRPr="00C112D1">
        <w:rPr>
          <w:sz w:val="18"/>
          <w:szCs w:val="18"/>
        </w:rPr>
        <w:t xml:space="preserve">Notre </w:t>
      </w:r>
      <w:proofErr w:type="spellStart"/>
      <w:r w:rsidRPr="00C112D1">
        <w:rPr>
          <w:sz w:val="18"/>
          <w:szCs w:val="18"/>
        </w:rPr>
        <w:t>Dame</w:t>
      </w:r>
      <w:proofErr w:type="spellEnd"/>
      <w:r w:rsidRPr="00C112D1">
        <w:rPr>
          <w:sz w:val="18"/>
          <w:szCs w:val="18"/>
        </w:rPr>
        <w:t xml:space="preserve"> Katedrali</w:t>
      </w:r>
    </w:p>
    <w:p w14:paraId="535A67FA" w14:textId="01726117" w:rsidR="00FA457D" w:rsidRDefault="00FA457D" w:rsidP="00FA457D">
      <w:pPr>
        <w:jc w:val="center"/>
      </w:pPr>
      <w:r w:rsidRPr="00C112D1">
        <w:rPr>
          <w:noProof/>
        </w:rPr>
        <w:drawing>
          <wp:inline distT="0" distB="0" distL="0" distR="0" wp14:anchorId="427F7141" wp14:editId="2E28B277">
            <wp:extent cx="2468880" cy="1461192"/>
            <wp:effectExtent l="0" t="0" r="7620" b="5715"/>
            <wp:docPr id="2044250487" name="Resim 4" descr="bulut, çizim, sanat, resim içeren bir resim&#10;&#10;Yapay zeka tarafından oluşturulan içerik yanlış olabilir.">
              <a:extLst xmlns:a="http://schemas.openxmlformats.org/drawingml/2006/main">
                <a:ext uri="{FF2B5EF4-FFF2-40B4-BE49-F238E27FC236}">
                  <a16:creationId xmlns:a16="http://schemas.microsoft.com/office/drawing/2014/main" id="{4675D439-AFBD-88D7-ED8F-0F06741F4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descr="bulut, çizim, sanat, resim içeren bir resim&#10;&#10;Yapay zeka tarafından oluşturulan içerik yanlış olabilir.">
                      <a:extLst>
                        <a:ext uri="{FF2B5EF4-FFF2-40B4-BE49-F238E27FC236}">
                          <a16:creationId xmlns:a16="http://schemas.microsoft.com/office/drawing/2014/main" id="{4675D439-AFBD-88D7-ED8F-0F06741F4598}"/>
                        </a:ext>
                      </a:extLst>
                    </pic:cNvPr>
                    <pic:cNvPicPr>
                      <a:picLocks noChangeAspect="1"/>
                    </pic:cNvPicPr>
                  </pic:nvPicPr>
                  <pic:blipFill>
                    <a:blip r:embed="rId457"/>
                    <a:srcRect l="3811" r="1991"/>
                    <a:stretch/>
                  </pic:blipFill>
                  <pic:spPr>
                    <a:xfrm>
                      <a:off x="0" y="0"/>
                      <a:ext cx="2488197" cy="1472624"/>
                    </a:xfrm>
                    <a:prstGeom prst="rect">
                      <a:avLst/>
                    </a:prstGeom>
                  </pic:spPr>
                </pic:pic>
              </a:graphicData>
            </a:graphic>
          </wp:inline>
        </w:drawing>
      </w:r>
      <w:r w:rsidRPr="00C112D1">
        <w:rPr>
          <w:noProof/>
        </w:rPr>
        <w:drawing>
          <wp:inline distT="0" distB="0" distL="0" distR="0" wp14:anchorId="6A534FA0" wp14:editId="1922A982">
            <wp:extent cx="2202180" cy="1466509"/>
            <wp:effectExtent l="0" t="0" r="7620" b="635"/>
            <wp:docPr id="7" name="Resim 6" descr="bina, dış mekan, Hava fotoğrafçılığı, kuş bakışı görünüm içeren bir resim&#10;&#10;Yapay zeka tarafından oluşturulan içerik yanlış olabilir.">
              <a:extLst xmlns:a="http://schemas.openxmlformats.org/drawingml/2006/main">
                <a:ext uri="{FF2B5EF4-FFF2-40B4-BE49-F238E27FC236}">
                  <a16:creationId xmlns:a16="http://schemas.microsoft.com/office/drawing/2014/main" id="{EA2460C4-C11E-6238-41AF-51706C4E5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descr="bina, dış mekan, Hava fotoğrafçılığı, kuş bakışı görünüm içeren bir resim&#10;&#10;Yapay zeka tarafından oluşturulan içerik yanlış olabilir.">
                      <a:extLst>
                        <a:ext uri="{FF2B5EF4-FFF2-40B4-BE49-F238E27FC236}">
                          <a16:creationId xmlns:a16="http://schemas.microsoft.com/office/drawing/2014/main" id="{EA2460C4-C11E-6238-41AF-51706C4E556F}"/>
                        </a:ext>
                      </a:extLst>
                    </pic:cNvPr>
                    <pic:cNvPicPr>
                      <a:picLocks noChangeAspect="1"/>
                    </pic:cNvPicPr>
                  </pic:nvPicPr>
                  <pic:blipFill>
                    <a:blip r:embed="rId458"/>
                    <a:stretch>
                      <a:fillRect/>
                    </a:stretch>
                  </pic:blipFill>
                  <pic:spPr>
                    <a:xfrm>
                      <a:off x="0" y="0"/>
                      <a:ext cx="2226059" cy="1482411"/>
                    </a:xfrm>
                    <a:prstGeom prst="rect">
                      <a:avLst/>
                    </a:prstGeom>
                  </pic:spPr>
                </pic:pic>
              </a:graphicData>
            </a:graphic>
          </wp:inline>
        </w:drawing>
      </w:r>
    </w:p>
    <w:p w14:paraId="4E53CFF7" w14:textId="77777777" w:rsidR="00FA457D" w:rsidRDefault="00FA457D" w:rsidP="00FA457D">
      <w:pPr>
        <w:rPr>
          <w:sz w:val="18"/>
          <w:szCs w:val="18"/>
        </w:rPr>
      </w:pPr>
      <w:r w:rsidRPr="00FC48F3">
        <w:rPr>
          <w:b/>
          <w:bCs/>
          <w:sz w:val="18"/>
          <w:szCs w:val="18"/>
        </w:rPr>
        <w:lastRenderedPageBreak/>
        <w:t>Şekil 8.</w:t>
      </w:r>
      <w:r w:rsidRPr="00F12190">
        <w:rPr>
          <w:sz w:val="18"/>
          <w:szCs w:val="18"/>
        </w:rPr>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FC48F3">
        <w:rPr>
          <w:b/>
          <w:bCs/>
          <w:sz w:val="18"/>
          <w:szCs w:val="18"/>
        </w:rPr>
        <w:t>Şekil 9.</w:t>
      </w:r>
    </w:p>
    <w:p w14:paraId="005E1106" w14:textId="77777777" w:rsidR="00FA457D" w:rsidRDefault="00FA457D" w:rsidP="00FA457D">
      <w:r w:rsidRPr="00C112D1">
        <w:rPr>
          <w:sz w:val="18"/>
          <w:szCs w:val="18"/>
        </w:rPr>
        <w:t xml:space="preserve">Notre </w:t>
      </w:r>
      <w:proofErr w:type="spellStart"/>
      <w:r w:rsidRPr="00C112D1">
        <w:rPr>
          <w:sz w:val="18"/>
          <w:szCs w:val="18"/>
        </w:rPr>
        <w:t>Dame</w:t>
      </w:r>
      <w:proofErr w:type="spellEnd"/>
      <w:r w:rsidRPr="00C112D1">
        <w:rPr>
          <w:sz w:val="18"/>
          <w:szCs w:val="18"/>
        </w:rPr>
        <w:t xml:space="preserve"> Katedrali</w:t>
      </w:r>
      <w:r>
        <w:rPr>
          <w:sz w:val="18"/>
          <w:szCs w:val="18"/>
        </w:rPr>
        <w:t xml:space="preserve"> İç Mekân                                </w:t>
      </w:r>
      <w:r>
        <w:rPr>
          <w:sz w:val="18"/>
          <w:szCs w:val="18"/>
        </w:rPr>
        <w:tab/>
      </w:r>
      <w:r>
        <w:rPr>
          <w:sz w:val="18"/>
          <w:szCs w:val="18"/>
        </w:rPr>
        <w:tab/>
      </w:r>
      <w:r w:rsidRPr="00C112D1">
        <w:rPr>
          <w:sz w:val="18"/>
          <w:szCs w:val="18"/>
        </w:rPr>
        <w:t xml:space="preserve">Notre </w:t>
      </w:r>
      <w:proofErr w:type="spellStart"/>
      <w:r w:rsidRPr="00C112D1">
        <w:rPr>
          <w:sz w:val="18"/>
          <w:szCs w:val="18"/>
        </w:rPr>
        <w:t>Dame</w:t>
      </w:r>
      <w:proofErr w:type="spellEnd"/>
      <w:r w:rsidRPr="00C112D1">
        <w:rPr>
          <w:sz w:val="18"/>
          <w:szCs w:val="18"/>
        </w:rPr>
        <w:t xml:space="preserve"> Katedrali</w:t>
      </w:r>
      <w:r>
        <w:rPr>
          <w:sz w:val="18"/>
          <w:szCs w:val="18"/>
        </w:rPr>
        <w:t xml:space="preserve"> İç Mekân Dijital Oyun İllüstrasyonu</w:t>
      </w:r>
    </w:p>
    <w:p w14:paraId="33BFC1F0" w14:textId="1C035319" w:rsidR="00FA457D" w:rsidRPr="007727EF" w:rsidRDefault="00FA457D" w:rsidP="00FA457D">
      <w:pPr>
        <w:jc w:val="center"/>
      </w:pPr>
      <w:r w:rsidRPr="00C112D1">
        <w:rPr>
          <w:noProof/>
        </w:rPr>
        <w:drawing>
          <wp:inline distT="0" distB="0" distL="0" distR="0" wp14:anchorId="61CDA7C8" wp14:editId="29AA8F68">
            <wp:extent cx="2673928" cy="1781505"/>
            <wp:effectExtent l="0" t="0" r="0" b="0"/>
            <wp:docPr id="11" name="Resim 10" descr="bina, katedral, mahzen, Gotik mimari içeren bir resim&#10;&#10;Yapay zeka tarafından oluşturulan içerik yanlış olabilir.">
              <a:extLst xmlns:a="http://schemas.openxmlformats.org/drawingml/2006/main">
                <a:ext uri="{FF2B5EF4-FFF2-40B4-BE49-F238E27FC236}">
                  <a16:creationId xmlns:a16="http://schemas.microsoft.com/office/drawing/2014/main" id="{7F79C9DD-D18F-4BDB-F16F-3D075D899D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0" descr="bina, katedral, mahzen, Gotik mimari içeren bir resim&#10;&#10;Yapay zeka tarafından oluşturulan içerik yanlış olabilir.">
                      <a:extLst>
                        <a:ext uri="{FF2B5EF4-FFF2-40B4-BE49-F238E27FC236}">
                          <a16:creationId xmlns:a16="http://schemas.microsoft.com/office/drawing/2014/main" id="{7F79C9DD-D18F-4BDB-F16F-3D075D899D7E}"/>
                        </a:ext>
                      </a:extLst>
                    </pic:cNvPr>
                    <pic:cNvPicPr>
                      <a:picLocks noChangeAspect="1"/>
                    </pic:cNvPicPr>
                  </pic:nvPicPr>
                  <pic:blipFill>
                    <a:blip r:embed="rId459"/>
                    <a:stretch>
                      <a:fillRect/>
                    </a:stretch>
                  </pic:blipFill>
                  <pic:spPr>
                    <a:xfrm>
                      <a:off x="0" y="0"/>
                      <a:ext cx="2699997" cy="1798873"/>
                    </a:xfrm>
                    <a:prstGeom prst="rect">
                      <a:avLst/>
                    </a:prstGeom>
                  </pic:spPr>
                </pic:pic>
              </a:graphicData>
            </a:graphic>
          </wp:inline>
        </w:drawing>
      </w:r>
      <w:r w:rsidRPr="00C112D1">
        <w:rPr>
          <w:noProof/>
        </w:rPr>
        <w:drawing>
          <wp:inline distT="0" distB="0" distL="0" distR="0" wp14:anchorId="0F4C43E7" wp14:editId="7BD5B474">
            <wp:extent cx="1243183" cy="1781753"/>
            <wp:effectExtent l="0" t="0" r="0" b="0"/>
            <wp:docPr id="6" name="Resim 5" descr="kilise, giyim, bina, kişi, şahıs içeren bir resim&#10;&#10;Yapay zeka tarafından oluşturulan içerik yanlış olabilir.">
              <a:extLst xmlns:a="http://schemas.openxmlformats.org/drawingml/2006/main">
                <a:ext uri="{FF2B5EF4-FFF2-40B4-BE49-F238E27FC236}">
                  <a16:creationId xmlns:a16="http://schemas.microsoft.com/office/drawing/2014/main" id="{E7427089-A0DC-D239-7D70-522B9C959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kilise, giyim, bina, kişi, şahıs içeren bir resim&#10;&#10;Yapay zeka tarafından oluşturulan içerik yanlış olabilir.">
                      <a:extLst>
                        <a:ext uri="{FF2B5EF4-FFF2-40B4-BE49-F238E27FC236}">
                          <a16:creationId xmlns:a16="http://schemas.microsoft.com/office/drawing/2014/main" id="{E7427089-A0DC-D239-7D70-522B9C959D8B}"/>
                        </a:ext>
                      </a:extLst>
                    </pic:cNvPr>
                    <pic:cNvPicPr>
                      <a:picLocks noChangeAspect="1"/>
                    </pic:cNvPicPr>
                  </pic:nvPicPr>
                  <pic:blipFill>
                    <a:blip r:embed="rId460"/>
                    <a:stretch>
                      <a:fillRect/>
                    </a:stretch>
                  </pic:blipFill>
                  <pic:spPr>
                    <a:xfrm>
                      <a:off x="0" y="0"/>
                      <a:ext cx="1268376" cy="1817860"/>
                    </a:xfrm>
                    <a:prstGeom prst="rect">
                      <a:avLst/>
                    </a:prstGeom>
                  </pic:spPr>
                </pic:pic>
              </a:graphicData>
            </a:graphic>
          </wp:inline>
        </w:drawing>
      </w:r>
    </w:p>
    <w:p w14:paraId="050D809E" w14:textId="02D5B9E1" w:rsidR="00FA457D" w:rsidRDefault="00FA457D" w:rsidP="00FA457D">
      <w:pPr>
        <w:spacing w:before="120" w:after="120"/>
        <w:jc w:val="both"/>
      </w:pP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 karakter- konsept tasarımında 18. Yüzyıl Fransız Devrimi dönemini anlatmak için hem devrimin hem de Fransa’nın simgeleri olan özel mekanların kullanıldığı görülmektedir. Bu mekanlar dijital oyun illüstrasyonları olarak hazırlanıp oyun tasarımı içinde görselleştirilmiştir. Dönemi ve Fransa’yı yansıtan mekanlardan biri olan Notre </w:t>
      </w:r>
      <w:proofErr w:type="spellStart"/>
      <w:r>
        <w:t>Dame</w:t>
      </w:r>
      <w:proofErr w:type="spellEnd"/>
      <w:r>
        <w:t xml:space="preserve"> Katedrali dijital oyun illüstrasyonu olarak görselleştirilen mekanlardan biridir.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oyununda </w:t>
      </w:r>
      <w:proofErr w:type="spellStart"/>
      <w:r>
        <w:t>Arno</w:t>
      </w:r>
      <w:proofErr w:type="spellEnd"/>
      <w:r>
        <w:t xml:space="preserve"> karakteri ile Notre </w:t>
      </w:r>
      <w:proofErr w:type="spellStart"/>
      <w:r>
        <w:t>Dame</w:t>
      </w:r>
      <w:proofErr w:type="spellEnd"/>
      <w:r>
        <w:t xml:space="preserve"> Katedrali içinde gerçekleştirilecek görevler için mekân tasarımının hem dış hem de iç mekân dijital oyun illüstrasyonlarının hazırlandığı görülmektedir. (Şekil 6- 9) Notre </w:t>
      </w:r>
      <w:proofErr w:type="spellStart"/>
      <w:r>
        <w:t>Dame</w:t>
      </w:r>
      <w:proofErr w:type="spellEnd"/>
      <w:r>
        <w:t xml:space="preserve"> Katedralinin iç mekân illüstrasyonunda ünlü vitray camları da görselleştirilmiş ve dramatik bir ışıkla mekân aydınlatılarak, mekân üzerinden hem oyunun hem de tarihi olayın dramatik yapısı görsel olarak sunulmuştur. Ayrıca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 illüstrasyonu olarak hazırlanan iç mekân görseline </w:t>
      </w:r>
      <w:proofErr w:type="spellStart"/>
      <w:r>
        <w:t>Arno</w:t>
      </w:r>
      <w:proofErr w:type="spellEnd"/>
      <w:r>
        <w:t xml:space="preserve"> Dorian karakterinin karanlık, yüzü görünmeyecek şekilde eklendiği ve gizemli duruşunun aktarıldığı gözlemlenmektedir. Ayrıca dış mekân için hazırlanan dijital oyun illüstrasyonunda dönemin kaotik durumunu anlatacak şekilde sisli bir görüntü ve yine dönemin teknolojisini gösterecek şekilde kanal üzerinde yelkenli gemilerin görselleştirildiği dikkat çekmektedir.</w:t>
      </w:r>
    </w:p>
    <w:p w14:paraId="720BEE5C" w14:textId="77777777" w:rsidR="00FA457D" w:rsidRDefault="00FA457D" w:rsidP="00FA457D">
      <w:pPr>
        <w:spacing w:before="120" w:after="120"/>
        <w:jc w:val="both"/>
      </w:pPr>
    </w:p>
    <w:p w14:paraId="4EC42BC5" w14:textId="77777777" w:rsidR="00FA457D" w:rsidRDefault="00FA457D" w:rsidP="00FA457D">
      <w:pPr>
        <w:jc w:val="both"/>
        <w:rPr>
          <w:sz w:val="18"/>
          <w:szCs w:val="18"/>
        </w:rPr>
      </w:pPr>
      <w:r w:rsidRPr="00FC48F3">
        <w:rPr>
          <w:b/>
          <w:bCs/>
          <w:sz w:val="18"/>
          <w:szCs w:val="18"/>
        </w:rPr>
        <w:t>Şekil 10.</w:t>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t xml:space="preserve">     </w:t>
      </w:r>
      <w:r w:rsidRPr="00FC48F3">
        <w:rPr>
          <w:b/>
          <w:bCs/>
          <w:sz w:val="18"/>
          <w:szCs w:val="18"/>
        </w:rPr>
        <w:t>Şekil 11.</w:t>
      </w:r>
    </w:p>
    <w:p w14:paraId="56CFF138" w14:textId="77777777" w:rsidR="00FA457D" w:rsidRDefault="00FA457D" w:rsidP="00FA457D">
      <w:pPr>
        <w:jc w:val="both"/>
      </w:pPr>
      <w:r w:rsidRPr="00156DD0">
        <w:rPr>
          <w:sz w:val="18"/>
          <w:szCs w:val="18"/>
        </w:rPr>
        <w:t>Versailles Sarayı</w:t>
      </w:r>
      <w:r>
        <w:rPr>
          <w:sz w:val="18"/>
          <w:szCs w:val="18"/>
        </w:rPr>
        <w:tab/>
      </w:r>
      <w:r>
        <w:rPr>
          <w:sz w:val="18"/>
          <w:szCs w:val="18"/>
        </w:rPr>
        <w:tab/>
      </w:r>
      <w:r>
        <w:rPr>
          <w:sz w:val="18"/>
          <w:szCs w:val="18"/>
        </w:rPr>
        <w:tab/>
      </w:r>
      <w:r>
        <w:rPr>
          <w:sz w:val="18"/>
          <w:szCs w:val="18"/>
        </w:rPr>
        <w:tab/>
      </w:r>
      <w:r>
        <w:rPr>
          <w:sz w:val="18"/>
          <w:szCs w:val="18"/>
        </w:rPr>
        <w:tab/>
        <w:t xml:space="preserve">     </w:t>
      </w:r>
      <w:r w:rsidRPr="00156DD0">
        <w:rPr>
          <w:sz w:val="18"/>
          <w:szCs w:val="18"/>
        </w:rPr>
        <w:t>Versailles Sarayı Dijital Oyun İllüstrasyonu</w:t>
      </w:r>
    </w:p>
    <w:p w14:paraId="0265C438" w14:textId="4697B236" w:rsidR="00FA457D" w:rsidRDefault="00FA457D" w:rsidP="00FA457D">
      <w:pPr>
        <w:jc w:val="center"/>
      </w:pPr>
      <w:r w:rsidRPr="00427302">
        <w:rPr>
          <w:noProof/>
        </w:rPr>
        <w:drawing>
          <wp:inline distT="0" distB="0" distL="0" distR="0" wp14:anchorId="5078C78B" wp14:editId="448BEDA5">
            <wp:extent cx="2501609" cy="1530985"/>
            <wp:effectExtent l="0" t="0" r="0" b="0"/>
            <wp:docPr id="903303848" name="Resim 3" descr="ağaç, Hava fotoğrafçılığı, kuş bakışı görünüm, dış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03848" name="Resim 3" descr="ağaç, Hava fotoğrafçılığı, kuş bakışı görünüm, dış mekan içeren bir resim&#10;&#10;Yapay zeka tarafından oluşturulan içerik yanlış olabilir."/>
                    <pic:cNvPicPr>
                      <a:picLocks noChangeAspect="1"/>
                    </pic:cNvPicPr>
                  </pic:nvPicPr>
                  <pic:blipFill>
                    <a:blip r:embed="rId461">
                      <a:extLst>
                        <a:ext uri="{28A0092B-C50C-407E-A947-70E740481C1C}">
                          <a14:useLocalDpi xmlns:a14="http://schemas.microsoft.com/office/drawing/2010/main" val="0"/>
                        </a:ext>
                      </a:extLst>
                    </a:blip>
                    <a:stretch>
                      <a:fillRect/>
                    </a:stretch>
                  </pic:blipFill>
                  <pic:spPr>
                    <a:xfrm>
                      <a:off x="0" y="0"/>
                      <a:ext cx="2541024" cy="1555107"/>
                    </a:xfrm>
                    <a:prstGeom prst="rect">
                      <a:avLst/>
                    </a:prstGeom>
                  </pic:spPr>
                </pic:pic>
              </a:graphicData>
            </a:graphic>
          </wp:inline>
        </w:drawing>
      </w:r>
      <w:r w:rsidRPr="00156DD0">
        <w:rPr>
          <w:noProof/>
        </w:rPr>
        <w:drawing>
          <wp:inline distT="0" distB="0" distL="0" distR="0" wp14:anchorId="4728BE17" wp14:editId="01114875">
            <wp:extent cx="2788920" cy="1527026"/>
            <wp:effectExtent l="0" t="0" r="0" b="0"/>
            <wp:docPr id="760895443" name="Resim 2" descr="gökyüzü, bina, sis, ekran görüntüsü içeren bir resim&#10;&#10;Yapay zeka tarafından oluşturulan içerik yanlış olabilir.">
              <a:extLst xmlns:a="http://schemas.openxmlformats.org/drawingml/2006/main">
                <a:ext uri="{FF2B5EF4-FFF2-40B4-BE49-F238E27FC236}">
                  <a16:creationId xmlns:a16="http://schemas.microsoft.com/office/drawing/2014/main" id="{965A3954-FC39-C4C4-4C16-BCA9199AD0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gökyüzü, bina, sis, ekran görüntüsü içeren bir resim&#10;&#10;Yapay zeka tarafından oluşturulan içerik yanlış olabilir.">
                      <a:extLst>
                        <a:ext uri="{FF2B5EF4-FFF2-40B4-BE49-F238E27FC236}">
                          <a16:creationId xmlns:a16="http://schemas.microsoft.com/office/drawing/2014/main" id="{965A3954-FC39-C4C4-4C16-BCA9199AD08E}"/>
                        </a:ext>
                      </a:extLst>
                    </pic:cNvPr>
                    <pic:cNvPicPr>
                      <a:picLocks noChangeAspect="1"/>
                    </pic:cNvPicPr>
                  </pic:nvPicPr>
                  <pic:blipFill>
                    <a:blip r:embed="rId462"/>
                    <a:srcRect b="4445"/>
                    <a:stretch/>
                  </pic:blipFill>
                  <pic:spPr>
                    <a:xfrm>
                      <a:off x="0" y="0"/>
                      <a:ext cx="2842753" cy="1556501"/>
                    </a:xfrm>
                    <a:prstGeom prst="rect">
                      <a:avLst/>
                    </a:prstGeom>
                  </pic:spPr>
                </pic:pic>
              </a:graphicData>
            </a:graphic>
          </wp:inline>
        </w:drawing>
      </w:r>
    </w:p>
    <w:p w14:paraId="152547C7" w14:textId="449C9593" w:rsidR="00FA457D" w:rsidRDefault="00FA457D" w:rsidP="00FA457D">
      <w:pPr>
        <w:spacing w:before="120" w:after="120"/>
        <w:jc w:val="both"/>
      </w:pPr>
      <w:r>
        <w:t xml:space="preserve">Versailles Sarayının da yine Notre </w:t>
      </w:r>
      <w:proofErr w:type="spellStart"/>
      <w:r>
        <w:t>Dame</w:t>
      </w:r>
      <w:proofErr w:type="spellEnd"/>
      <w:r>
        <w:t xml:space="preserve"> Katedrali gibi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oyununun geçtiği mekanlardan biri olarak dijital oyun illüstrasyonu olarak hazırlanıp hedef kitleye sunulduğu görülmektedir.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 illüstrasyonunda Versailles sarayı, dönemin halk ve saray çatışmasını ve hayat farklılığını anlatabilmek adına direkt gösterilmemesi dikkat çekmektedir. Versailles Sarayının, şehrin halkın yaşadığı kısmından kompozisyonun sol üst köşesine konumlandırıldığı, halkın yaşadığı şehir tarafının karanlık, ışıksız görüntüsüne karşın bütün ışıkları yanan ve ışıltılı görselleştirildiği </w:t>
      </w:r>
      <w:r>
        <w:lastRenderedPageBreak/>
        <w:t>görülmektedir. Bu görselleştirmeyle beraber Fransız Devrimi döneminde halkın aç ve çaresiz yapısına rağmen sarayda ihtişam ve eğlencenin devam ettiği vurgulanmaktadır.</w:t>
      </w:r>
    </w:p>
    <w:p w14:paraId="523F4FF2" w14:textId="77777777" w:rsidR="00FA457D" w:rsidRPr="00102DBE" w:rsidRDefault="00FA457D" w:rsidP="00FA457D">
      <w:pPr>
        <w:jc w:val="both"/>
        <w:rPr>
          <w:b/>
          <w:bCs/>
          <w:sz w:val="18"/>
          <w:szCs w:val="18"/>
        </w:rPr>
      </w:pPr>
      <w:r w:rsidRPr="00102DBE">
        <w:rPr>
          <w:b/>
          <w:bCs/>
          <w:sz w:val="18"/>
          <w:szCs w:val="18"/>
        </w:rPr>
        <w:t>Şekil 12.</w:t>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sidRPr="00102DBE">
        <w:rPr>
          <w:b/>
          <w:bCs/>
          <w:sz w:val="18"/>
          <w:szCs w:val="18"/>
        </w:rPr>
        <w:t>Şekil 13.</w:t>
      </w:r>
    </w:p>
    <w:p w14:paraId="61EADFA9" w14:textId="77777777" w:rsidR="00FA457D" w:rsidRDefault="00FA457D" w:rsidP="00FA457D">
      <w:pPr>
        <w:jc w:val="both"/>
      </w:pPr>
      <w:r>
        <w:rPr>
          <w:sz w:val="18"/>
          <w:szCs w:val="18"/>
        </w:rPr>
        <w:t>Eyfel Kulesi</w:t>
      </w:r>
      <w:r>
        <w:rPr>
          <w:sz w:val="18"/>
          <w:szCs w:val="18"/>
        </w:rPr>
        <w:tab/>
      </w:r>
      <w:r>
        <w:rPr>
          <w:sz w:val="18"/>
          <w:szCs w:val="18"/>
        </w:rPr>
        <w:tab/>
      </w:r>
      <w:r>
        <w:rPr>
          <w:sz w:val="18"/>
          <w:szCs w:val="18"/>
        </w:rPr>
        <w:tab/>
      </w:r>
      <w:r>
        <w:rPr>
          <w:sz w:val="18"/>
          <w:szCs w:val="18"/>
        </w:rPr>
        <w:tab/>
      </w:r>
      <w:r>
        <w:rPr>
          <w:sz w:val="18"/>
          <w:szCs w:val="18"/>
        </w:rPr>
        <w:tab/>
      </w:r>
      <w:r>
        <w:rPr>
          <w:sz w:val="18"/>
          <w:szCs w:val="18"/>
        </w:rPr>
        <w:tab/>
        <w:t>Eyfel Kulesi</w:t>
      </w:r>
      <w:r w:rsidRPr="00156DD0">
        <w:rPr>
          <w:sz w:val="18"/>
          <w:szCs w:val="18"/>
        </w:rPr>
        <w:t xml:space="preserve"> Dijital Oyun İllüstrasyonu</w:t>
      </w:r>
    </w:p>
    <w:p w14:paraId="0A93540E" w14:textId="4623035E" w:rsidR="00FA457D" w:rsidRDefault="00FA457D" w:rsidP="00FA457D">
      <w:pPr>
        <w:jc w:val="center"/>
      </w:pPr>
      <w:r w:rsidRPr="0040520B">
        <w:rPr>
          <w:noProof/>
        </w:rPr>
        <w:drawing>
          <wp:inline distT="0" distB="0" distL="0" distR="0" wp14:anchorId="0F156AA7" wp14:editId="43A93A59">
            <wp:extent cx="1198880" cy="1498600"/>
            <wp:effectExtent l="0" t="0" r="1270" b="6350"/>
            <wp:docPr id="1641956043" name="Resim 4" descr="gökyüzü, bina, kule, kilometre taşı içeren bir resim&#10;&#10;Yapay zeka tarafından oluşturulan içerik yanlış olabilir.">
              <a:extLst xmlns:a="http://schemas.openxmlformats.org/drawingml/2006/main">
                <a:ext uri="{FF2B5EF4-FFF2-40B4-BE49-F238E27FC236}">
                  <a16:creationId xmlns:a16="http://schemas.microsoft.com/office/drawing/2014/main" id="{032465C8-6155-641B-7AAB-E0C55A2CF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descr="gökyüzü, bina, kule, kilometre taşı içeren bir resim&#10;&#10;Yapay zeka tarafından oluşturulan içerik yanlış olabilir.">
                      <a:extLst>
                        <a:ext uri="{FF2B5EF4-FFF2-40B4-BE49-F238E27FC236}">
                          <a16:creationId xmlns:a16="http://schemas.microsoft.com/office/drawing/2014/main" id="{032465C8-6155-641B-7AAB-E0C55A2CF6BB}"/>
                        </a:ext>
                      </a:extLst>
                    </pic:cNvPr>
                    <pic:cNvPicPr>
                      <a:picLocks noChangeAspect="1"/>
                    </pic:cNvPicPr>
                  </pic:nvPicPr>
                  <pic:blipFill>
                    <a:blip r:embed="rId463"/>
                    <a:stretch>
                      <a:fillRect/>
                    </a:stretch>
                  </pic:blipFill>
                  <pic:spPr>
                    <a:xfrm>
                      <a:off x="0" y="0"/>
                      <a:ext cx="1229208" cy="1536510"/>
                    </a:xfrm>
                    <a:prstGeom prst="rect">
                      <a:avLst/>
                    </a:prstGeom>
                  </pic:spPr>
                </pic:pic>
              </a:graphicData>
            </a:graphic>
          </wp:inline>
        </w:drawing>
      </w:r>
      <w:r w:rsidRPr="0040520B">
        <w:rPr>
          <w:noProof/>
        </w:rPr>
        <w:drawing>
          <wp:inline distT="0" distB="0" distL="0" distR="0" wp14:anchorId="4E3037B8" wp14:editId="2AD665A9">
            <wp:extent cx="1143000" cy="1502043"/>
            <wp:effectExtent l="0" t="0" r="0" b="3175"/>
            <wp:docPr id="607460552" name="Resim 6" descr="ekran görüntüsü, bilgisayar oyunu, dış mekan içeren bir resim&#10;&#10;Yapay zeka tarafından oluşturulan içerik yanlış olabilir.">
              <a:extLst xmlns:a="http://schemas.openxmlformats.org/drawingml/2006/main">
                <a:ext uri="{FF2B5EF4-FFF2-40B4-BE49-F238E27FC236}">
                  <a16:creationId xmlns:a16="http://schemas.microsoft.com/office/drawing/2014/main" id="{FF7611C6-0742-A051-57BF-AF138DA58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descr="ekran görüntüsü, bilgisayar oyunu, dış mekan içeren bir resim&#10;&#10;Yapay zeka tarafından oluşturulan içerik yanlış olabilir.">
                      <a:extLst>
                        <a:ext uri="{FF2B5EF4-FFF2-40B4-BE49-F238E27FC236}">
                          <a16:creationId xmlns:a16="http://schemas.microsoft.com/office/drawing/2014/main" id="{FF7611C6-0742-A051-57BF-AF138DA58960}"/>
                        </a:ext>
                      </a:extLst>
                    </pic:cNvPr>
                    <pic:cNvPicPr>
                      <a:picLocks noChangeAspect="1"/>
                    </pic:cNvPicPr>
                  </pic:nvPicPr>
                  <pic:blipFill>
                    <a:blip r:embed="rId464"/>
                    <a:srcRect l="49903"/>
                    <a:stretch/>
                  </pic:blipFill>
                  <pic:spPr>
                    <a:xfrm>
                      <a:off x="0" y="0"/>
                      <a:ext cx="1175522" cy="1544781"/>
                    </a:xfrm>
                    <a:prstGeom prst="rect">
                      <a:avLst/>
                    </a:prstGeom>
                  </pic:spPr>
                </pic:pic>
              </a:graphicData>
            </a:graphic>
          </wp:inline>
        </w:drawing>
      </w:r>
    </w:p>
    <w:p w14:paraId="510C41A6" w14:textId="4844F441" w:rsidR="00FA457D" w:rsidRDefault="00FA457D" w:rsidP="00FA457D">
      <w:pPr>
        <w:spacing w:before="120" w:after="120"/>
        <w:jc w:val="both"/>
      </w:pPr>
      <w:r w:rsidRPr="00865822">
        <w:t>Eyfel Kulesi ve Paris Yeraltı Tünel ve Mezarları</w:t>
      </w:r>
      <w:r>
        <w:t xml:space="preserve"> da yine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oyununun geçtiği mekanların içinde bulunmaktadır. Eyfel Kulesi ve Paris Yeraltı Tünel ve Mezarları yine hem Fransa’yı hem de Fransız Devrimini</w:t>
      </w:r>
      <w:r w:rsidRPr="00865822">
        <w:t xml:space="preserve"> </w:t>
      </w:r>
      <w:r>
        <w:t>oyun içinde görselleştirmek adına dijital oyun illüstrasyonu olarak hazırlanmıştır.</w:t>
      </w:r>
    </w:p>
    <w:p w14:paraId="5E3F6FB8" w14:textId="77777777" w:rsidR="00FA457D" w:rsidRDefault="00FA457D" w:rsidP="00FA457D">
      <w:pPr>
        <w:jc w:val="both"/>
        <w:rPr>
          <w:b/>
          <w:bCs/>
          <w:sz w:val="18"/>
          <w:szCs w:val="18"/>
        </w:rPr>
      </w:pPr>
      <w:r w:rsidRPr="00102DBE">
        <w:rPr>
          <w:b/>
          <w:bCs/>
          <w:sz w:val="18"/>
          <w:szCs w:val="18"/>
        </w:rPr>
        <w:t>Şekil 14- 15.</w:t>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sidRPr="00102DBE">
        <w:rPr>
          <w:b/>
          <w:bCs/>
          <w:sz w:val="18"/>
          <w:szCs w:val="18"/>
        </w:rPr>
        <w:t>Şekil 16.</w:t>
      </w:r>
    </w:p>
    <w:p w14:paraId="42ADCDB2" w14:textId="77777777" w:rsidR="00FA457D" w:rsidRPr="00102DBE" w:rsidRDefault="00FA457D" w:rsidP="00FA457D">
      <w:pPr>
        <w:jc w:val="both"/>
        <w:rPr>
          <w:b/>
          <w:bCs/>
        </w:rPr>
      </w:pPr>
      <w:r>
        <w:rPr>
          <w:sz w:val="18"/>
          <w:szCs w:val="18"/>
        </w:rPr>
        <w:t>Paris Yeraltı Tünel ve Mezarları</w:t>
      </w:r>
      <w:r>
        <w:rPr>
          <w:sz w:val="18"/>
          <w:szCs w:val="18"/>
        </w:rPr>
        <w:tab/>
      </w:r>
      <w:r>
        <w:rPr>
          <w:sz w:val="18"/>
          <w:szCs w:val="18"/>
        </w:rPr>
        <w:tab/>
      </w:r>
      <w:r>
        <w:rPr>
          <w:sz w:val="18"/>
          <w:szCs w:val="18"/>
        </w:rPr>
        <w:tab/>
      </w:r>
      <w:r>
        <w:rPr>
          <w:sz w:val="18"/>
          <w:szCs w:val="18"/>
        </w:rPr>
        <w:tab/>
        <w:t>Paris Yeraltı Tünel ve Mezarları</w:t>
      </w:r>
      <w:r w:rsidRPr="00156DD0">
        <w:rPr>
          <w:sz w:val="18"/>
          <w:szCs w:val="18"/>
        </w:rPr>
        <w:t xml:space="preserve"> Dijital Oyun İllüstrasyonu</w:t>
      </w:r>
    </w:p>
    <w:p w14:paraId="20B8F610" w14:textId="012F69DB" w:rsidR="00FA457D" w:rsidRDefault="00FA457D" w:rsidP="00FA457D">
      <w:pPr>
        <w:jc w:val="both"/>
      </w:pPr>
      <w:r w:rsidRPr="00EA6E07">
        <w:rPr>
          <w:noProof/>
        </w:rPr>
        <w:drawing>
          <wp:inline distT="0" distB="0" distL="0" distR="0" wp14:anchorId="7E06D9BC" wp14:editId="67DBFD3A">
            <wp:extent cx="1786128" cy="1193135"/>
            <wp:effectExtent l="0" t="0" r="5080" b="7620"/>
            <wp:docPr id="2105583636" name="Resim 2" descr="kafatası, taş içeren bir resim&#10;&#10;Yapay zeka tarafından oluşturulan içerik yanlış olabilir.">
              <a:extLst xmlns:a="http://schemas.openxmlformats.org/drawingml/2006/main">
                <a:ext uri="{FF2B5EF4-FFF2-40B4-BE49-F238E27FC236}">
                  <a16:creationId xmlns:a16="http://schemas.microsoft.com/office/drawing/2014/main" id="{3304C003-87D6-5C53-1A71-8D44FD8286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kafatası, taş içeren bir resim&#10;&#10;Yapay zeka tarafından oluşturulan içerik yanlış olabilir.">
                      <a:extLst>
                        <a:ext uri="{FF2B5EF4-FFF2-40B4-BE49-F238E27FC236}">
                          <a16:creationId xmlns:a16="http://schemas.microsoft.com/office/drawing/2014/main" id="{3304C003-87D6-5C53-1A71-8D44FD828622}"/>
                        </a:ext>
                      </a:extLst>
                    </pic:cNvPr>
                    <pic:cNvPicPr>
                      <a:picLocks noChangeAspect="1"/>
                    </pic:cNvPicPr>
                  </pic:nvPicPr>
                  <pic:blipFill>
                    <a:blip r:embed="rId465"/>
                    <a:stretch>
                      <a:fillRect/>
                    </a:stretch>
                  </pic:blipFill>
                  <pic:spPr>
                    <a:xfrm>
                      <a:off x="0" y="0"/>
                      <a:ext cx="1799108" cy="1201805"/>
                    </a:xfrm>
                    <a:prstGeom prst="rect">
                      <a:avLst/>
                    </a:prstGeom>
                  </pic:spPr>
                </pic:pic>
              </a:graphicData>
            </a:graphic>
          </wp:inline>
        </w:drawing>
      </w:r>
      <w:r w:rsidRPr="00EA6E07">
        <w:rPr>
          <w:noProof/>
        </w:rPr>
        <w:drawing>
          <wp:inline distT="0" distB="0" distL="0" distR="0" wp14:anchorId="7D8E84B1" wp14:editId="5F856659">
            <wp:extent cx="1813560" cy="1199019"/>
            <wp:effectExtent l="0" t="0" r="0" b="1270"/>
            <wp:docPr id="376456073" name="Resim 5" descr="mağara, duvar, bina, taş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56073" name="Resim 5" descr="mağara, duvar, bina, taş içeren bir resim&#10;&#10;Yapay zeka tarafından oluşturulan içerik yanlış olabilir."/>
                    <pic:cNvPicPr>
                      <a:picLocks noChangeAspect="1"/>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1851517" cy="1224114"/>
                    </a:xfrm>
                    <a:prstGeom prst="rect">
                      <a:avLst/>
                    </a:prstGeom>
                  </pic:spPr>
                </pic:pic>
              </a:graphicData>
            </a:graphic>
          </wp:inline>
        </w:drawing>
      </w:r>
      <w:r w:rsidRPr="00EA6E07">
        <w:rPr>
          <w:noProof/>
        </w:rPr>
        <w:drawing>
          <wp:inline distT="0" distB="0" distL="0" distR="0" wp14:anchorId="1BB43B7A" wp14:editId="6C5A744F">
            <wp:extent cx="2235200" cy="1199005"/>
            <wp:effectExtent l="0" t="0" r="0" b="1270"/>
            <wp:docPr id="848264483" name="Resim 4" descr="resim, mağara, ekran görüntüsü, sanat içeren bir resim&#10;&#10;Yapay zeka tarafından oluşturulan içerik yanlış olabilir.">
              <a:extLst xmlns:a="http://schemas.openxmlformats.org/drawingml/2006/main">
                <a:ext uri="{FF2B5EF4-FFF2-40B4-BE49-F238E27FC236}">
                  <a16:creationId xmlns:a16="http://schemas.microsoft.com/office/drawing/2014/main" id="{078DEC95-2AE0-23C2-D36D-3F258D81C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descr="resim, mağara, ekran görüntüsü, sanat içeren bir resim&#10;&#10;Yapay zeka tarafından oluşturulan içerik yanlış olabilir.">
                      <a:extLst>
                        <a:ext uri="{FF2B5EF4-FFF2-40B4-BE49-F238E27FC236}">
                          <a16:creationId xmlns:a16="http://schemas.microsoft.com/office/drawing/2014/main" id="{078DEC95-2AE0-23C2-D36D-3F258D81CD5A}"/>
                        </a:ext>
                      </a:extLst>
                    </pic:cNvPr>
                    <pic:cNvPicPr>
                      <a:picLocks noChangeAspect="1"/>
                    </pic:cNvPicPr>
                  </pic:nvPicPr>
                  <pic:blipFill>
                    <a:blip r:embed="rId467"/>
                    <a:srcRect t="6223" b="12296"/>
                    <a:stretch/>
                  </pic:blipFill>
                  <pic:spPr>
                    <a:xfrm>
                      <a:off x="0" y="0"/>
                      <a:ext cx="2272361" cy="1218939"/>
                    </a:xfrm>
                    <a:prstGeom prst="rect">
                      <a:avLst/>
                    </a:prstGeom>
                  </pic:spPr>
                </pic:pic>
              </a:graphicData>
            </a:graphic>
          </wp:inline>
        </w:drawing>
      </w:r>
    </w:p>
    <w:p w14:paraId="72C499D4" w14:textId="77777777" w:rsidR="00FA457D" w:rsidRDefault="00FA457D" w:rsidP="00FA457D">
      <w:pPr>
        <w:jc w:val="both"/>
      </w:pPr>
    </w:p>
    <w:p w14:paraId="7B4E47EF" w14:textId="77777777" w:rsidR="00FA457D" w:rsidRDefault="00FA457D" w:rsidP="00FA457D">
      <w:pPr>
        <w:jc w:val="both"/>
      </w:pPr>
    </w:p>
    <w:p w14:paraId="052A87A6" w14:textId="77777777" w:rsidR="00FA457D" w:rsidRDefault="00FA457D" w:rsidP="00FA457D">
      <w:pPr>
        <w:spacing w:before="120" w:after="120"/>
        <w:jc w:val="both"/>
      </w:pP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oyununun hem son halinde hem de karakter- konsept tasarımı için hazırlanan dijital oyun illüstrasyonlarında Giyotin görsellerinin oldukça fazla kullanıldığı dikkat çekmektedir.</w:t>
      </w:r>
      <w:r w:rsidRPr="00B40EAF">
        <w:t xml:space="preserve"> Fransız devrimi döneminde kullanılan gi</w:t>
      </w:r>
      <w:r>
        <w:t>y</w:t>
      </w:r>
      <w:r w:rsidRPr="00B40EAF">
        <w:t>otin ile idam cezası görselleri, 18. yüzyıl Fransız hukuk ve yönetim düzeniyle ilişkilendirilebilmektedir.</w:t>
      </w:r>
      <w:r>
        <w:t xml:space="preserve"> Bu nedenle oyun tasarımı içerisinde ve dijital oyun illüstrasyonlarında kullanılan giyotin görseli ile tarihi dönem anlatımı yapıldığı söylenebilmektedir.</w:t>
      </w:r>
    </w:p>
    <w:p w14:paraId="4BA2AD77" w14:textId="77777777" w:rsidR="00FA457D" w:rsidRDefault="00FA457D" w:rsidP="00FA457D">
      <w:pPr>
        <w:jc w:val="both"/>
        <w:rPr>
          <w:b/>
          <w:bCs/>
          <w:sz w:val="18"/>
          <w:szCs w:val="18"/>
        </w:rPr>
      </w:pPr>
      <w:r w:rsidRPr="00102DBE">
        <w:rPr>
          <w:b/>
          <w:bCs/>
          <w:sz w:val="18"/>
          <w:szCs w:val="18"/>
        </w:rPr>
        <w:t>Şekil 17.</w:t>
      </w:r>
      <w:r>
        <w:rPr>
          <w:b/>
          <w:bCs/>
          <w:sz w:val="18"/>
          <w:szCs w:val="18"/>
        </w:rPr>
        <w:tab/>
      </w:r>
      <w:r>
        <w:rPr>
          <w:b/>
          <w:bCs/>
          <w:sz w:val="18"/>
          <w:szCs w:val="18"/>
        </w:rPr>
        <w:tab/>
      </w:r>
      <w:r>
        <w:rPr>
          <w:b/>
          <w:bCs/>
          <w:sz w:val="18"/>
          <w:szCs w:val="18"/>
        </w:rPr>
        <w:tab/>
      </w:r>
      <w:r>
        <w:rPr>
          <w:b/>
          <w:bCs/>
          <w:sz w:val="18"/>
          <w:szCs w:val="18"/>
        </w:rPr>
        <w:tab/>
      </w:r>
      <w:r>
        <w:rPr>
          <w:b/>
          <w:bCs/>
          <w:sz w:val="18"/>
          <w:szCs w:val="18"/>
        </w:rPr>
        <w:tab/>
        <w:t xml:space="preserve">       Şekil 18.</w:t>
      </w:r>
    </w:p>
    <w:p w14:paraId="3AE596FB" w14:textId="77777777" w:rsidR="00FA457D" w:rsidRPr="00102DBE" w:rsidRDefault="00FA457D" w:rsidP="00FA457D">
      <w:pPr>
        <w:jc w:val="both"/>
        <w:rPr>
          <w:b/>
          <w:bCs/>
          <w:sz w:val="18"/>
          <w:szCs w:val="18"/>
        </w:rPr>
      </w:pPr>
      <w:r>
        <w:rPr>
          <w:sz w:val="18"/>
          <w:szCs w:val="18"/>
        </w:rPr>
        <w:t>Giyotin Dijital Oyun İllüstrasyonu</w:t>
      </w:r>
      <w:r>
        <w:rPr>
          <w:sz w:val="18"/>
          <w:szCs w:val="18"/>
        </w:rPr>
        <w:tab/>
      </w:r>
      <w:r>
        <w:rPr>
          <w:sz w:val="18"/>
          <w:szCs w:val="18"/>
        </w:rPr>
        <w:tab/>
        <w:t xml:space="preserve">       Giyotin</w:t>
      </w:r>
    </w:p>
    <w:p w14:paraId="14DDF27A" w14:textId="12FCB3DA" w:rsidR="00FA457D" w:rsidRPr="00B40EAF" w:rsidRDefault="00FA457D" w:rsidP="00FA457D">
      <w:pPr>
        <w:jc w:val="center"/>
      </w:pPr>
      <w:r w:rsidRPr="00B40EAF">
        <w:rPr>
          <w:noProof/>
        </w:rPr>
        <w:lastRenderedPageBreak/>
        <w:drawing>
          <wp:inline distT="0" distB="0" distL="0" distR="0" wp14:anchorId="652CF55B" wp14:editId="08CD8B3D">
            <wp:extent cx="1198030" cy="1717040"/>
            <wp:effectExtent l="0" t="0" r="2540" b="0"/>
            <wp:docPr id="173288954" name="Resim 2" descr="dış mekan, sanat içeren bir resim&#10;&#10;Yapay zeka tarafından oluşturulan içerik yanlış olabilir.">
              <a:extLst xmlns:a="http://schemas.openxmlformats.org/drawingml/2006/main">
                <a:ext uri="{FF2B5EF4-FFF2-40B4-BE49-F238E27FC236}">
                  <a16:creationId xmlns:a16="http://schemas.microsoft.com/office/drawing/2014/main" id="{52ACD7E7-92BF-0667-43C0-95279DCD10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dış mekan, sanat içeren bir resim&#10;&#10;Yapay zeka tarafından oluşturulan içerik yanlış olabilir.">
                      <a:extLst>
                        <a:ext uri="{FF2B5EF4-FFF2-40B4-BE49-F238E27FC236}">
                          <a16:creationId xmlns:a16="http://schemas.microsoft.com/office/drawing/2014/main" id="{52ACD7E7-92BF-0667-43C0-95279DCD104B}"/>
                        </a:ext>
                      </a:extLst>
                    </pic:cNvPr>
                    <pic:cNvPicPr>
                      <a:picLocks noChangeAspect="1"/>
                    </pic:cNvPicPr>
                  </pic:nvPicPr>
                  <pic:blipFill>
                    <a:blip r:embed="rId468"/>
                    <a:stretch>
                      <a:fillRect/>
                    </a:stretch>
                  </pic:blipFill>
                  <pic:spPr>
                    <a:xfrm>
                      <a:off x="0" y="0"/>
                      <a:ext cx="1201511" cy="1722029"/>
                    </a:xfrm>
                    <a:prstGeom prst="rect">
                      <a:avLst/>
                    </a:prstGeom>
                  </pic:spPr>
                </pic:pic>
              </a:graphicData>
            </a:graphic>
          </wp:inline>
        </w:drawing>
      </w:r>
      <w:r w:rsidRPr="00B40EAF">
        <w:rPr>
          <w:noProof/>
        </w:rPr>
        <w:drawing>
          <wp:inline distT="0" distB="0" distL="0" distR="0" wp14:anchorId="50635B35" wp14:editId="0EAED500">
            <wp:extent cx="2473960" cy="1709094"/>
            <wp:effectExtent l="0" t="0" r="2540" b="5715"/>
            <wp:docPr id="409592529" name="Resim 7" descr="taslak, çizgi film, çizim, sanat içeren bir resim&#10;&#10;Yapay zeka tarafından oluşturulan içerik yanlış olabilir.">
              <a:extLst xmlns:a="http://schemas.openxmlformats.org/drawingml/2006/main">
                <a:ext uri="{FF2B5EF4-FFF2-40B4-BE49-F238E27FC236}">
                  <a16:creationId xmlns:a16="http://schemas.microsoft.com/office/drawing/2014/main" id="{1142F4DE-8BCD-69C0-80D9-1867DA452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descr="taslak, çizgi film, çizim, sanat içeren bir resim&#10;&#10;Yapay zeka tarafından oluşturulan içerik yanlış olabilir.">
                      <a:extLst>
                        <a:ext uri="{FF2B5EF4-FFF2-40B4-BE49-F238E27FC236}">
                          <a16:creationId xmlns:a16="http://schemas.microsoft.com/office/drawing/2014/main" id="{1142F4DE-8BCD-69C0-80D9-1867DA452B73}"/>
                        </a:ext>
                      </a:extLst>
                    </pic:cNvPr>
                    <pic:cNvPicPr>
                      <a:picLocks noChangeAspect="1"/>
                    </pic:cNvPicPr>
                  </pic:nvPicPr>
                  <pic:blipFill>
                    <a:blip r:embed="rId469"/>
                    <a:stretch>
                      <a:fillRect/>
                    </a:stretch>
                  </pic:blipFill>
                  <pic:spPr>
                    <a:xfrm>
                      <a:off x="0" y="0"/>
                      <a:ext cx="2490763" cy="1720702"/>
                    </a:xfrm>
                    <a:prstGeom prst="rect">
                      <a:avLst/>
                    </a:prstGeom>
                  </pic:spPr>
                </pic:pic>
              </a:graphicData>
            </a:graphic>
          </wp:inline>
        </w:drawing>
      </w:r>
    </w:p>
    <w:p w14:paraId="21ABFD40" w14:textId="77777777" w:rsidR="00FA457D" w:rsidRDefault="00FA457D" w:rsidP="00FA457D">
      <w:pPr>
        <w:spacing w:before="120" w:after="120"/>
        <w:jc w:val="both"/>
      </w:pP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 illüstrasyonlarında betimlenen</w:t>
      </w:r>
      <w:r w:rsidRPr="0013671F">
        <w:t xml:space="preserve"> halk sahnelerinin kıyafet ve duruş olarak dönem halkının fakirliğini</w:t>
      </w:r>
      <w:r>
        <w:t>, çaresizliğini</w:t>
      </w:r>
      <w:r w:rsidRPr="0013671F">
        <w:t xml:space="preserve"> temsil edecek şekilde konsept tasarımına dahil edildiği gözlemlenmektedir.</w:t>
      </w:r>
      <w:r>
        <w:t xml:space="preserve"> </w:t>
      </w:r>
      <w:r w:rsidRPr="0013671F">
        <w:t xml:space="preserve">Saray sahnelerinde ise </w:t>
      </w:r>
      <w:r>
        <w:t xml:space="preserve">saray halkının </w:t>
      </w:r>
      <w:r w:rsidRPr="0013671F">
        <w:t>yine tarihi kaynaklara uygun zenginlik ve şaşaa içinde beyaz peruktan saçları, abartılı makyajları, kabarık etekli gece elbiseleri ve smokinleri ile dans eden, pasta yiyen figürler olarak konsept tasarımına eklendikleri dikkat çekmektedir.</w:t>
      </w:r>
      <w:r>
        <w:t xml:space="preserve"> </w:t>
      </w: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w:t>
      </w:r>
      <w:r w:rsidRPr="0013671F">
        <w:t xml:space="preserve"> için tasarlanan mobilya, porselen, saç, makyaj, peruk, kıyafet</w:t>
      </w:r>
      <w:r>
        <w:t xml:space="preserve"> ve iç mimari tasarımlar</w:t>
      </w:r>
      <w:r w:rsidRPr="0013671F">
        <w:t xml:space="preserve"> gibi </w:t>
      </w:r>
      <w:r>
        <w:t>dijital oyun illüstrasyonlarının</w:t>
      </w:r>
      <w:r w:rsidRPr="0013671F">
        <w:t xml:space="preserve"> hem 18. yüzyıl Fransa kültürünün hem de Rokoko sanatının oyun üzerinden karakter konsept tasarımıyla beraber izleyiciye aktarıldığı gözlemlenmektedir.</w:t>
      </w:r>
    </w:p>
    <w:p w14:paraId="5E1F4C4D" w14:textId="77777777" w:rsidR="00FA457D" w:rsidRPr="0013671F" w:rsidRDefault="00FA457D" w:rsidP="00FA457D">
      <w:pPr>
        <w:spacing w:before="120" w:after="120"/>
        <w:jc w:val="both"/>
      </w:pPr>
      <w:r w:rsidRPr="00102DBE">
        <w:rPr>
          <w:b/>
          <w:bCs/>
          <w:sz w:val="18"/>
          <w:szCs w:val="18"/>
        </w:rPr>
        <w:t>Şekil 19.</w:t>
      </w:r>
      <w:r>
        <w:rPr>
          <w:b/>
          <w:bCs/>
          <w:sz w:val="18"/>
          <w:szCs w:val="18"/>
        </w:rPr>
        <w:tab/>
      </w:r>
      <w:r>
        <w:rPr>
          <w:b/>
          <w:bCs/>
          <w:sz w:val="18"/>
          <w:szCs w:val="18"/>
        </w:rPr>
        <w:tab/>
      </w:r>
      <w:r>
        <w:rPr>
          <w:b/>
          <w:bCs/>
          <w:sz w:val="18"/>
          <w:szCs w:val="18"/>
        </w:rPr>
        <w:tab/>
      </w:r>
      <w:r>
        <w:rPr>
          <w:b/>
          <w:bCs/>
          <w:sz w:val="18"/>
          <w:szCs w:val="18"/>
        </w:rPr>
        <w:tab/>
      </w:r>
      <w:r>
        <w:rPr>
          <w:b/>
          <w:bCs/>
          <w:sz w:val="18"/>
          <w:szCs w:val="18"/>
        </w:rPr>
        <w:tab/>
      </w:r>
      <w:r>
        <w:rPr>
          <w:b/>
          <w:bCs/>
          <w:sz w:val="18"/>
          <w:szCs w:val="18"/>
        </w:rPr>
        <w:tab/>
      </w:r>
      <w:r w:rsidRPr="00102DBE">
        <w:rPr>
          <w:b/>
          <w:bCs/>
          <w:sz w:val="18"/>
          <w:szCs w:val="18"/>
        </w:rPr>
        <w:t>Şekil 20.</w:t>
      </w:r>
      <w:r>
        <w:rPr>
          <w:b/>
          <w:bCs/>
          <w:sz w:val="18"/>
          <w:szCs w:val="18"/>
        </w:rPr>
        <w:br/>
      </w:r>
      <w:r w:rsidRPr="00396387">
        <w:rPr>
          <w:sz w:val="18"/>
          <w:szCs w:val="18"/>
        </w:rPr>
        <w:t>Halka Yol Gösteren Özgürlük</w:t>
      </w:r>
      <w:r>
        <w:rPr>
          <w:sz w:val="18"/>
          <w:szCs w:val="18"/>
        </w:rPr>
        <w:t xml:space="preserve">, </w:t>
      </w:r>
      <w:r w:rsidRPr="00396387">
        <w:rPr>
          <w:sz w:val="18"/>
          <w:szCs w:val="18"/>
        </w:rPr>
        <w:t xml:space="preserve">Eugene </w:t>
      </w:r>
      <w:proofErr w:type="spellStart"/>
      <w:r w:rsidRPr="00396387">
        <w:rPr>
          <w:sz w:val="18"/>
          <w:szCs w:val="18"/>
        </w:rPr>
        <w:t>Delacroix</w:t>
      </w:r>
      <w:proofErr w:type="spellEnd"/>
      <w:r w:rsidRPr="00396387">
        <w:rPr>
          <w:sz w:val="18"/>
          <w:szCs w:val="18"/>
        </w:rPr>
        <w:t xml:space="preserve"> </w:t>
      </w:r>
      <w:r>
        <w:rPr>
          <w:sz w:val="18"/>
          <w:szCs w:val="18"/>
        </w:rPr>
        <w:t>–</w:t>
      </w:r>
      <w:r w:rsidRPr="00396387">
        <w:rPr>
          <w:sz w:val="18"/>
          <w:szCs w:val="18"/>
        </w:rPr>
        <w:t xml:space="preserve"> 1830</w:t>
      </w:r>
      <w:r>
        <w:rPr>
          <w:sz w:val="18"/>
          <w:szCs w:val="18"/>
        </w:rPr>
        <w:tab/>
      </w:r>
      <w:r w:rsidRPr="00396387">
        <w:rPr>
          <w:sz w:val="18"/>
          <w:szCs w:val="18"/>
        </w:rPr>
        <w:t>Tablonun Dijital Oyun İllüstrasyonu olarak oyun</w:t>
      </w:r>
    </w:p>
    <w:p w14:paraId="71BF0DD2" w14:textId="038C7C01" w:rsidR="00FA457D" w:rsidRDefault="00FA457D" w:rsidP="00FA457D">
      <w:pPr>
        <w:jc w:val="center"/>
      </w:pPr>
      <w:r w:rsidRPr="00381063">
        <w:rPr>
          <w:noProof/>
        </w:rPr>
        <w:drawing>
          <wp:inline distT="0" distB="0" distL="0" distR="0" wp14:anchorId="642E252F" wp14:editId="59556127">
            <wp:extent cx="2079172" cy="1660776"/>
            <wp:effectExtent l="0" t="0" r="0" b="0"/>
            <wp:docPr id="1609606955" name="Resim 5" descr="resim, adam, insan, sanat, giyim içeren bir resim&#10;&#10;Yapay zeka tarafından oluşturulan içerik yanlış olabilir.">
              <a:extLst xmlns:a="http://schemas.openxmlformats.org/drawingml/2006/main">
                <a:ext uri="{FF2B5EF4-FFF2-40B4-BE49-F238E27FC236}">
                  <a16:creationId xmlns:a16="http://schemas.microsoft.com/office/drawing/2014/main" id="{565AD6AD-8B8B-5D12-9713-4D2CAD80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resim, adam, insan, sanat, giyim içeren bir resim&#10;&#10;Yapay zeka tarafından oluşturulan içerik yanlış olabilir.">
                      <a:extLst>
                        <a:ext uri="{FF2B5EF4-FFF2-40B4-BE49-F238E27FC236}">
                          <a16:creationId xmlns:a16="http://schemas.microsoft.com/office/drawing/2014/main" id="{565AD6AD-8B8B-5D12-9713-4D2CAD803B86}"/>
                        </a:ext>
                      </a:extLst>
                    </pic:cNvPr>
                    <pic:cNvPicPr>
                      <a:picLocks noChangeAspect="1"/>
                    </pic:cNvPicPr>
                  </pic:nvPicPr>
                  <pic:blipFill>
                    <a:blip r:embed="rId470"/>
                    <a:stretch>
                      <a:fillRect/>
                    </a:stretch>
                  </pic:blipFill>
                  <pic:spPr>
                    <a:xfrm>
                      <a:off x="0" y="0"/>
                      <a:ext cx="2084828" cy="1665294"/>
                    </a:xfrm>
                    <a:prstGeom prst="rect">
                      <a:avLst/>
                    </a:prstGeom>
                  </pic:spPr>
                </pic:pic>
              </a:graphicData>
            </a:graphic>
          </wp:inline>
        </w:drawing>
      </w:r>
      <w:r w:rsidRPr="00381063">
        <w:rPr>
          <w:noProof/>
        </w:rPr>
        <w:drawing>
          <wp:inline distT="0" distB="0" distL="0" distR="0" wp14:anchorId="3B7CF048" wp14:editId="431ACF33">
            <wp:extent cx="2650671" cy="1663667"/>
            <wp:effectExtent l="0" t="0" r="0" b="0"/>
            <wp:docPr id="9" name="Resim 8" descr="ekran görüntüsü, poster, dijital kompozit oluşturma, anime içeren bir resim&#10;&#10;Yapay zeka tarafından oluşturulan içerik yanlış olabilir.">
              <a:extLst xmlns:a="http://schemas.openxmlformats.org/drawingml/2006/main">
                <a:ext uri="{FF2B5EF4-FFF2-40B4-BE49-F238E27FC236}">
                  <a16:creationId xmlns:a16="http://schemas.microsoft.com/office/drawing/2014/main" id="{2A4369A2-05F3-CD1E-CEFD-96AF3B3E0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descr="ekran görüntüsü, poster, dijital kompozit oluşturma, anime içeren bir resim&#10;&#10;Yapay zeka tarafından oluşturulan içerik yanlış olabilir.">
                      <a:extLst>
                        <a:ext uri="{FF2B5EF4-FFF2-40B4-BE49-F238E27FC236}">
                          <a16:creationId xmlns:a16="http://schemas.microsoft.com/office/drawing/2014/main" id="{2A4369A2-05F3-CD1E-CEFD-96AF3B3E0D3A}"/>
                        </a:ext>
                      </a:extLst>
                    </pic:cNvPr>
                    <pic:cNvPicPr>
                      <a:picLocks noChangeAspect="1"/>
                    </pic:cNvPicPr>
                  </pic:nvPicPr>
                  <pic:blipFill rotWithShape="1">
                    <a:blip r:embed="rId471"/>
                    <a:srcRect t="5356" r="1334" b="51437"/>
                    <a:stretch/>
                  </pic:blipFill>
                  <pic:spPr bwMode="auto">
                    <a:xfrm>
                      <a:off x="0" y="0"/>
                      <a:ext cx="2672996" cy="1677679"/>
                    </a:xfrm>
                    <a:prstGeom prst="rect">
                      <a:avLst/>
                    </a:prstGeom>
                    <a:ln>
                      <a:noFill/>
                    </a:ln>
                    <a:extLst>
                      <a:ext uri="{53640926-AAD7-44D8-BBD7-CCE9431645EC}">
                        <a14:shadowObscured xmlns:a14="http://schemas.microsoft.com/office/drawing/2010/main"/>
                      </a:ext>
                    </a:extLst>
                  </pic:spPr>
                </pic:pic>
              </a:graphicData>
            </a:graphic>
          </wp:inline>
        </w:drawing>
      </w:r>
    </w:p>
    <w:p w14:paraId="4982280D" w14:textId="77777777" w:rsidR="00FA457D" w:rsidRPr="00102DBE" w:rsidRDefault="00FA457D" w:rsidP="00FA457D">
      <w:pPr>
        <w:spacing w:before="120" w:after="120"/>
        <w:jc w:val="both"/>
      </w:pPr>
      <w:proofErr w:type="spellStart"/>
      <w:r>
        <w:t>Assasin’s</w:t>
      </w:r>
      <w:proofErr w:type="spellEnd"/>
      <w:r>
        <w:t xml:space="preserve"> </w:t>
      </w:r>
      <w:proofErr w:type="spellStart"/>
      <w:r>
        <w:t>Creed</w:t>
      </w:r>
      <w:proofErr w:type="spellEnd"/>
      <w:r>
        <w:t xml:space="preserve">: </w:t>
      </w:r>
      <w:proofErr w:type="spellStart"/>
      <w:r>
        <w:t>Unity</w:t>
      </w:r>
      <w:proofErr w:type="spellEnd"/>
      <w:r>
        <w:t xml:space="preserve"> dijital oyununun hem son halinde hem de karakter- konsept tasarımı için hazırlanan dijital oyun illüstrasyonlarında Fransız Devrimi dönemini anlatan ve aynı dönemde yapılmış olan sanat eserlerinin de yeniden görselleştirilerek kullanıldığı dikkat çekmektedir. Böylece dönemin görsel kaynaklarına dijital oyun illüstrasyonlarında ve oyun evreninde yer verilerek tarihi olay anlatımı yapılmaktadır.</w:t>
      </w:r>
    </w:p>
    <w:p w14:paraId="214750D1" w14:textId="3F7DEE1E" w:rsidR="00FA457D" w:rsidRPr="00536073" w:rsidRDefault="00FA457D" w:rsidP="00FA457D">
      <w:pPr>
        <w:jc w:val="both"/>
        <w:rPr>
          <w:b/>
          <w:bCs/>
          <w:sz w:val="20"/>
          <w:szCs w:val="20"/>
        </w:rPr>
      </w:pPr>
      <w:r w:rsidRPr="00536073">
        <w:rPr>
          <w:b/>
          <w:bCs/>
          <w:sz w:val="20"/>
          <w:szCs w:val="20"/>
        </w:rPr>
        <w:t>Tablo 2.</w:t>
      </w:r>
    </w:p>
    <w:p w14:paraId="47F43073" w14:textId="77777777" w:rsidR="00FA457D" w:rsidRPr="00197EA2" w:rsidRDefault="00FA457D" w:rsidP="00FA457D">
      <w:pPr>
        <w:jc w:val="both"/>
        <w:rPr>
          <w:sz w:val="20"/>
          <w:szCs w:val="20"/>
        </w:rPr>
      </w:pPr>
      <w:r w:rsidRPr="00197EA2">
        <w:rPr>
          <w:sz w:val="20"/>
          <w:szCs w:val="20"/>
        </w:rPr>
        <w:t>Konsept ve Mekân Tasarımı Göstergeleri (</w:t>
      </w:r>
      <w:proofErr w:type="spellStart"/>
      <w:r w:rsidRPr="00197EA2">
        <w:rPr>
          <w:sz w:val="20"/>
          <w:szCs w:val="20"/>
        </w:rPr>
        <w:t>Assasin’s</w:t>
      </w:r>
      <w:proofErr w:type="spellEnd"/>
      <w:r w:rsidRPr="00197EA2">
        <w:rPr>
          <w:sz w:val="20"/>
          <w:szCs w:val="20"/>
        </w:rPr>
        <w:t xml:space="preserve"> </w:t>
      </w:r>
      <w:proofErr w:type="spellStart"/>
      <w:r w:rsidRPr="00197EA2">
        <w:rPr>
          <w:sz w:val="20"/>
          <w:szCs w:val="20"/>
        </w:rPr>
        <w:t>Creed</w:t>
      </w:r>
      <w:proofErr w:type="spellEnd"/>
      <w:r w:rsidRPr="00197EA2">
        <w:rPr>
          <w:sz w:val="20"/>
          <w:szCs w:val="20"/>
        </w:rPr>
        <w:t xml:space="preserve">: </w:t>
      </w:r>
      <w:proofErr w:type="spellStart"/>
      <w:r w:rsidRPr="00197EA2">
        <w:rPr>
          <w:sz w:val="20"/>
          <w:szCs w:val="20"/>
        </w:rPr>
        <w:t>Unity</w:t>
      </w:r>
      <w:proofErr w:type="spellEnd"/>
      <w:r w:rsidRPr="00197EA2">
        <w:rPr>
          <w:sz w:val="20"/>
          <w:szCs w:val="20"/>
        </w:rPr>
        <w:t>)</w:t>
      </w:r>
    </w:p>
    <w:tbl>
      <w:tblPr>
        <w:tblW w:w="10206" w:type="dxa"/>
        <w:tblInd w:w="-8" w:type="dxa"/>
        <w:tblBorders>
          <w:insideH w:val="single" w:sz="4" w:space="0" w:color="auto"/>
        </w:tblBorders>
        <w:tblCellMar>
          <w:left w:w="0" w:type="dxa"/>
          <w:right w:w="0" w:type="dxa"/>
        </w:tblCellMar>
        <w:tblLook w:val="0420" w:firstRow="1" w:lastRow="0" w:firstColumn="0" w:lastColumn="0" w:noHBand="0" w:noVBand="1"/>
      </w:tblPr>
      <w:tblGrid>
        <w:gridCol w:w="1208"/>
        <w:gridCol w:w="4503"/>
        <w:gridCol w:w="4495"/>
      </w:tblGrid>
      <w:tr w:rsidR="00FA457D" w:rsidRPr="00396387" w14:paraId="746BACBC" w14:textId="77777777" w:rsidTr="000610DA">
        <w:trPr>
          <w:trHeight w:val="87"/>
        </w:trPr>
        <w:tc>
          <w:tcPr>
            <w:tcW w:w="1208" w:type="dxa"/>
            <w:shd w:val="clear" w:color="auto" w:fill="auto"/>
            <w:tcMar>
              <w:top w:w="72" w:type="dxa"/>
              <w:left w:w="144" w:type="dxa"/>
              <w:bottom w:w="72" w:type="dxa"/>
              <w:right w:w="144" w:type="dxa"/>
            </w:tcMar>
            <w:hideMark/>
          </w:tcPr>
          <w:p w14:paraId="7DF39366" w14:textId="77777777" w:rsidR="00FA457D" w:rsidRPr="00396387" w:rsidRDefault="00FA457D" w:rsidP="000610DA">
            <w:pPr>
              <w:jc w:val="both"/>
              <w:rPr>
                <w:sz w:val="20"/>
                <w:szCs w:val="20"/>
              </w:rPr>
            </w:pPr>
            <w:r w:rsidRPr="00396387">
              <w:rPr>
                <w:b/>
                <w:bCs/>
                <w:sz w:val="20"/>
                <w:szCs w:val="20"/>
              </w:rPr>
              <w:t>Gösterge</w:t>
            </w:r>
          </w:p>
        </w:tc>
        <w:tc>
          <w:tcPr>
            <w:tcW w:w="4503" w:type="dxa"/>
            <w:shd w:val="clear" w:color="auto" w:fill="auto"/>
            <w:tcMar>
              <w:top w:w="72" w:type="dxa"/>
              <w:left w:w="144" w:type="dxa"/>
              <w:bottom w:w="72" w:type="dxa"/>
              <w:right w:w="144" w:type="dxa"/>
            </w:tcMar>
            <w:hideMark/>
          </w:tcPr>
          <w:p w14:paraId="046AB847" w14:textId="77777777" w:rsidR="00FA457D" w:rsidRPr="00396387" w:rsidRDefault="00FA457D" w:rsidP="000610DA">
            <w:pPr>
              <w:jc w:val="both"/>
              <w:rPr>
                <w:sz w:val="20"/>
                <w:szCs w:val="20"/>
              </w:rPr>
            </w:pPr>
            <w:r w:rsidRPr="00396387">
              <w:rPr>
                <w:b/>
                <w:bCs/>
                <w:sz w:val="20"/>
                <w:szCs w:val="20"/>
              </w:rPr>
              <w:t>Gösteren</w:t>
            </w:r>
          </w:p>
        </w:tc>
        <w:tc>
          <w:tcPr>
            <w:tcW w:w="4495" w:type="dxa"/>
            <w:shd w:val="clear" w:color="auto" w:fill="auto"/>
            <w:tcMar>
              <w:top w:w="72" w:type="dxa"/>
              <w:left w:w="144" w:type="dxa"/>
              <w:bottom w:w="72" w:type="dxa"/>
              <w:right w:w="144" w:type="dxa"/>
            </w:tcMar>
            <w:hideMark/>
          </w:tcPr>
          <w:p w14:paraId="0D2C37F7" w14:textId="77777777" w:rsidR="00FA457D" w:rsidRPr="00396387" w:rsidRDefault="00FA457D" w:rsidP="000610DA">
            <w:pPr>
              <w:jc w:val="both"/>
              <w:rPr>
                <w:sz w:val="20"/>
                <w:szCs w:val="20"/>
              </w:rPr>
            </w:pPr>
            <w:r w:rsidRPr="00396387">
              <w:rPr>
                <w:b/>
                <w:bCs/>
                <w:sz w:val="20"/>
                <w:szCs w:val="20"/>
              </w:rPr>
              <w:t>Gösterilen</w:t>
            </w:r>
          </w:p>
        </w:tc>
      </w:tr>
      <w:tr w:rsidR="00FA457D" w:rsidRPr="00396387" w14:paraId="1B321A47" w14:textId="77777777" w:rsidTr="000610DA">
        <w:trPr>
          <w:trHeight w:val="677"/>
        </w:trPr>
        <w:tc>
          <w:tcPr>
            <w:tcW w:w="1208" w:type="dxa"/>
            <w:shd w:val="clear" w:color="auto" w:fill="auto"/>
            <w:tcMar>
              <w:top w:w="72" w:type="dxa"/>
              <w:left w:w="144" w:type="dxa"/>
              <w:bottom w:w="72" w:type="dxa"/>
              <w:right w:w="144" w:type="dxa"/>
            </w:tcMar>
            <w:hideMark/>
          </w:tcPr>
          <w:p w14:paraId="61CE965D" w14:textId="77777777" w:rsidR="00FA457D" w:rsidRPr="00396387" w:rsidRDefault="00FA457D" w:rsidP="000610DA">
            <w:pPr>
              <w:jc w:val="both"/>
              <w:rPr>
                <w:sz w:val="20"/>
                <w:szCs w:val="20"/>
              </w:rPr>
            </w:pPr>
            <w:r w:rsidRPr="00396387">
              <w:rPr>
                <w:b/>
                <w:bCs/>
                <w:sz w:val="20"/>
                <w:szCs w:val="20"/>
              </w:rPr>
              <w:t>İnsan</w:t>
            </w:r>
          </w:p>
        </w:tc>
        <w:tc>
          <w:tcPr>
            <w:tcW w:w="4503" w:type="dxa"/>
            <w:shd w:val="clear" w:color="auto" w:fill="auto"/>
            <w:tcMar>
              <w:top w:w="72" w:type="dxa"/>
              <w:left w:w="144" w:type="dxa"/>
              <w:bottom w:w="72" w:type="dxa"/>
              <w:right w:w="144" w:type="dxa"/>
            </w:tcMar>
            <w:hideMark/>
          </w:tcPr>
          <w:p w14:paraId="4D6B678B" w14:textId="77777777" w:rsidR="00FA457D" w:rsidRPr="00396387" w:rsidRDefault="00FA457D" w:rsidP="000610DA">
            <w:pPr>
              <w:jc w:val="both"/>
              <w:rPr>
                <w:sz w:val="20"/>
                <w:szCs w:val="20"/>
              </w:rPr>
            </w:pPr>
            <w:r w:rsidRPr="00396387">
              <w:rPr>
                <w:sz w:val="20"/>
                <w:szCs w:val="20"/>
              </w:rPr>
              <w:t xml:space="preserve">- </w:t>
            </w:r>
            <w:proofErr w:type="spellStart"/>
            <w:r w:rsidRPr="00396387">
              <w:rPr>
                <w:sz w:val="20"/>
                <w:szCs w:val="20"/>
              </w:rPr>
              <w:t>Arno</w:t>
            </w:r>
            <w:proofErr w:type="spellEnd"/>
          </w:p>
          <w:p w14:paraId="2C701FB5" w14:textId="77777777" w:rsidR="00FA457D" w:rsidRPr="00396387" w:rsidRDefault="00FA457D" w:rsidP="000610DA">
            <w:pPr>
              <w:jc w:val="both"/>
              <w:rPr>
                <w:sz w:val="20"/>
                <w:szCs w:val="20"/>
              </w:rPr>
            </w:pPr>
            <w:r w:rsidRPr="00396387">
              <w:rPr>
                <w:sz w:val="20"/>
                <w:szCs w:val="20"/>
              </w:rPr>
              <w:t>- Halk</w:t>
            </w:r>
          </w:p>
          <w:p w14:paraId="647D1EEB" w14:textId="77777777" w:rsidR="00FA457D" w:rsidRPr="00396387" w:rsidRDefault="00FA457D" w:rsidP="000610DA">
            <w:pPr>
              <w:jc w:val="both"/>
              <w:rPr>
                <w:sz w:val="20"/>
                <w:szCs w:val="20"/>
              </w:rPr>
            </w:pPr>
            <w:r w:rsidRPr="00396387">
              <w:rPr>
                <w:sz w:val="20"/>
                <w:szCs w:val="20"/>
              </w:rPr>
              <w:t>- Saray Halkı</w:t>
            </w:r>
          </w:p>
        </w:tc>
        <w:tc>
          <w:tcPr>
            <w:tcW w:w="4495" w:type="dxa"/>
            <w:shd w:val="clear" w:color="auto" w:fill="auto"/>
            <w:tcMar>
              <w:top w:w="72" w:type="dxa"/>
              <w:left w:w="144" w:type="dxa"/>
              <w:bottom w:w="72" w:type="dxa"/>
              <w:right w:w="144" w:type="dxa"/>
            </w:tcMar>
            <w:hideMark/>
          </w:tcPr>
          <w:p w14:paraId="2F18181B" w14:textId="77777777" w:rsidR="00FA457D" w:rsidRPr="00396387" w:rsidRDefault="00FA457D" w:rsidP="000610DA">
            <w:pPr>
              <w:jc w:val="both"/>
              <w:rPr>
                <w:sz w:val="20"/>
                <w:szCs w:val="20"/>
              </w:rPr>
            </w:pPr>
            <w:r w:rsidRPr="00396387">
              <w:rPr>
                <w:sz w:val="20"/>
                <w:szCs w:val="20"/>
              </w:rPr>
              <w:t xml:space="preserve">- 18. Yüzyıl </w:t>
            </w:r>
            <w:proofErr w:type="spellStart"/>
            <w:r w:rsidRPr="00396387">
              <w:rPr>
                <w:sz w:val="20"/>
                <w:szCs w:val="20"/>
              </w:rPr>
              <w:t>Fransasında</w:t>
            </w:r>
            <w:proofErr w:type="spellEnd"/>
            <w:r w:rsidRPr="00396387">
              <w:rPr>
                <w:sz w:val="20"/>
                <w:szCs w:val="20"/>
              </w:rPr>
              <w:t xml:space="preserve"> </w:t>
            </w:r>
            <w:proofErr w:type="spellStart"/>
            <w:r w:rsidRPr="00396387">
              <w:rPr>
                <w:sz w:val="20"/>
                <w:szCs w:val="20"/>
              </w:rPr>
              <w:t>suikastçi</w:t>
            </w:r>
            <w:proofErr w:type="spellEnd"/>
          </w:p>
          <w:p w14:paraId="4A618B84" w14:textId="77777777" w:rsidR="00FA457D" w:rsidRPr="00396387" w:rsidRDefault="00FA457D" w:rsidP="000610DA">
            <w:pPr>
              <w:jc w:val="both"/>
              <w:rPr>
                <w:sz w:val="20"/>
                <w:szCs w:val="20"/>
              </w:rPr>
            </w:pPr>
            <w:r w:rsidRPr="00396387">
              <w:rPr>
                <w:sz w:val="20"/>
                <w:szCs w:val="20"/>
              </w:rPr>
              <w:t>- 1789 Fransız Devrimi dönemi Fransa.</w:t>
            </w:r>
          </w:p>
        </w:tc>
      </w:tr>
      <w:tr w:rsidR="00FA457D" w:rsidRPr="00396387" w14:paraId="1B089483" w14:textId="77777777" w:rsidTr="000610DA">
        <w:trPr>
          <w:trHeight w:val="2106"/>
        </w:trPr>
        <w:tc>
          <w:tcPr>
            <w:tcW w:w="1208" w:type="dxa"/>
            <w:shd w:val="clear" w:color="auto" w:fill="auto"/>
            <w:tcMar>
              <w:top w:w="72" w:type="dxa"/>
              <w:left w:w="144" w:type="dxa"/>
              <w:bottom w:w="72" w:type="dxa"/>
              <w:right w:w="144" w:type="dxa"/>
            </w:tcMar>
            <w:hideMark/>
          </w:tcPr>
          <w:p w14:paraId="6C26C8AB" w14:textId="77777777" w:rsidR="00FA457D" w:rsidRPr="00396387" w:rsidRDefault="00FA457D" w:rsidP="000610DA">
            <w:pPr>
              <w:jc w:val="both"/>
              <w:rPr>
                <w:sz w:val="20"/>
                <w:szCs w:val="20"/>
              </w:rPr>
            </w:pPr>
            <w:r w:rsidRPr="00396387">
              <w:rPr>
                <w:b/>
                <w:bCs/>
                <w:sz w:val="20"/>
                <w:szCs w:val="20"/>
              </w:rPr>
              <w:lastRenderedPageBreak/>
              <w:t>Nesne</w:t>
            </w:r>
          </w:p>
        </w:tc>
        <w:tc>
          <w:tcPr>
            <w:tcW w:w="4503" w:type="dxa"/>
            <w:shd w:val="clear" w:color="auto" w:fill="auto"/>
            <w:tcMar>
              <w:top w:w="72" w:type="dxa"/>
              <w:left w:w="144" w:type="dxa"/>
              <w:bottom w:w="72" w:type="dxa"/>
              <w:right w:w="144" w:type="dxa"/>
            </w:tcMar>
            <w:hideMark/>
          </w:tcPr>
          <w:p w14:paraId="26ED2EC6" w14:textId="77777777" w:rsidR="00FA457D" w:rsidRPr="00396387" w:rsidRDefault="00FA457D" w:rsidP="000610DA">
            <w:pPr>
              <w:jc w:val="both"/>
              <w:rPr>
                <w:sz w:val="20"/>
                <w:szCs w:val="20"/>
              </w:rPr>
            </w:pPr>
            <w:r w:rsidRPr="00396387">
              <w:rPr>
                <w:sz w:val="20"/>
                <w:szCs w:val="20"/>
              </w:rPr>
              <w:t>-Kabarık, süslü gece elbiseleri,</w:t>
            </w:r>
          </w:p>
          <w:p w14:paraId="74283612" w14:textId="77777777" w:rsidR="00FA457D" w:rsidRPr="00396387" w:rsidRDefault="00FA457D" w:rsidP="000610DA">
            <w:pPr>
              <w:jc w:val="both"/>
              <w:rPr>
                <w:sz w:val="20"/>
                <w:szCs w:val="20"/>
              </w:rPr>
            </w:pPr>
            <w:r w:rsidRPr="00396387">
              <w:rPr>
                <w:sz w:val="20"/>
                <w:szCs w:val="20"/>
              </w:rPr>
              <w:t>-Renkli Smokin, beyaz dantelli gömlek, fular</w:t>
            </w:r>
          </w:p>
          <w:p w14:paraId="45AF5011" w14:textId="77777777" w:rsidR="00FA457D" w:rsidRPr="00396387" w:rsidRDefault="00FA457D" w:rsidP="000610DA">
            <w:pPr>
              <w:jc w:val="both"/>
              <w:rPr>
                <w:sz w:val="20"/>
                <w:szCs w:val="20"/>
              </w:rPr>
            </w:pPr>
            <w:r w:rsidRPr="00396387">
              <w:rPr>
                <w:sz w:val="20"/>
                <w:szCs w:val="20"/>
              </w:rPr>
              <w:t>-Tokalı Çizmeler ve kemerler</w:t>
            </w:r>
          </w:p>
          <w:p w14:paraId="719F7C02" w14:textId="77777777" w:rsidR="00FA457D" w:rsidRPr="00396387" w:rsidRDefault="00FA457D" w:rsidP="000610DA">
            <w:pPr>
              <w:jc w:val="both"/>
              <w:rPr>
                <w:sz w:val="20"/>
                <w:szCs w:val="20"/>
              </w:rPr>
            </w:pPr>
            <w:r w:rsidRPr="00396387">
              <w:rPr>
                <w:sz w:val="20"/>
                <w:szCs w:val="20"/>
              </w:rPr>
              <w:t>- Peruk (Beyaz)</w:t>
            </w:r>
          </w:p>
          <w:p w14:paraId="0E653EC8" w14:textId="5D24DC7C" w:rsidR="00FA457D" w:rsidRPr="00396387" w:rsidRDefault="00FA457D" w:rsidP="000610DA">
            <w:pPr>
              <w:jc w:val="both"/>
              <w:rPr>
                <w:sz w:val="20"/>
                <w:szCs w:val="20"/>
              </w:rPr>
            </w:pPr>
            <w:r w:rsidRPr="00396387">
              <w:rPr>
                <w:sz w:val="20"/>
                <w:szCs w:val="20"/>
              </w:rPr>
              <w:t>- Makyaj</w:t>
            </w:r>
          </w:p>
          <w:p w14:paraId="5D26416A" w14:textId="77777777" w:rsidR="00FA457D" w:rsidRPr="00396387" w:rsidRDefault="00FA457D" w:rsidP="000610DA">
            <w:pPr>
              <w:jc w:val="both"/>
              <w:rPr>
                <w:sz w:val="20"/>
                <w:szCs w:val="20"/>
              </w:rPr>
            </w:pPr>
            <w:r w:rsidRPr="00396387">
              <w:rPr>
                <w:sz w:val="20"/>
                <w:szCs w:val="20"/>
              </w:rPr>
              <w:t>- Porselen (Rokoko)</w:t>
            </w:r>
          </w:p>
          <w:p w14:paraId="1FA879A5" w14:textId="77777777" w:rsidR="00FA457D" w:rsidRPr="00396387" w:rsidRDefault="00FA457D" w:rsidP="000610DA">
            <w:pPr>
              <w:jc w:val="both"/>
              <w:rPr>
                <w:sz w:val="20"/>
                <w:szCs w:val="20"/>
              </w:rPr>
            </w:pPr>
            <w:r w:rsidRPr="00396387">
              <w:rPr>
                <w:sz w:val="20"/>
                <w:szCs w:val="20"/>
              </w:rPr>
              <w:t xml:space="preserve">- </w:t>
            </w:r>
            <w:proofErr w:type="spellStart"/>
            <w:r w:rsidRPr="00396387">
              <w:rPr>
                <w:sz w:val="20"/>
                <w:szCs w:val="20"/>
              </w:rPr>
              <w:t>Mobilya+Eşya</w:t>
            </w:r>
            <w:proofErr w:type="spellEnd"/>
            <w:r w:rsidRPr="00396387">
              <w:rPr>
                <w:sz w:val="20"/>
                <w:szCs w:val="20"/>
              </w:rPr>
              <w:t xml:space="preserve"> (Rokoko)</w:t>
            </w:r>
          </w:p>
          <w:p w14:paraId="1D4F6544" w14:textId="77777777" w:rsidR="00FA457D" w:rsidRPr="00396387" w:rsidRDefault="00FA457D" w:rsidP="000610DA">
            <w:pPr>
              <w:jc w:val="both"/>
              <w:rPr>
                <w:sz w:val="20"/>
                <w:szCs w:val="20"/>
              </w:rPr>
            </w:pPr>
            <w:r w:rsidRPr="00396387">
              <w:rPr>
                <w:sz w:val="20"/>
                <w:szCs w:val="20"/>
              </w:rPr>
              <w:t>- Pasta</w:t>
            </w:r>
          </w:p>
          <w:p w14:paraId="09ECAFA2" w14:textId="77777777" w:rsidR="00FA457D" w:rsidRPr="00396387" w:rsidRDefault="00FA457D" w:rsidP="000610DA">
            <w:pPr>
              <w:jc w:val="both"/>
              <w:rPr>
                <w:sz w:val="20"/>
                <w:szCs w:val="20"/>
              </w:rPr>
            </w:pPr>
            <w:r w:rsidRPr="00396387">
              <w:rPr>
                <w:sz w:val="20"/>
                <w:szCs w:val="20"/>
              </w:rPr>
              <w:t xml:space="preserve">- </w:t>
            </w:r>
            <w:proofErr w:type="spellStart"/>
            <w:r w:rsidRPr="00396387">
              <w:rPr>
                <w:sz w:val="20"/>
                <w:szCs w:val="20"/>
              </w:rPr>
              <w:t>Giotin</w:t>
            </w:r>
            <w:proofErr w:type="spellEnd"/>
          </w:p>
        </w:tc>
        <w:tc>
          <w:tcPr>
            <w:tcW w:w="4495" w:type="dxa"/>
            <w:shd w:val="clear" w:color="auto" w:fill="auto"/>
            <w:tcMar>
              <w:top w:w="72" w:type="dxa"/>
              <w:left w:w="144" w:type="dxa"/>
              <w:bottom w:w="72" w:type="dxa"/>
              <w:right w:w="144" w:type="dxa"/>
            </w:tcMar>
            <w:hideMark/>
          </w:tcPr>
          <w:p w14:paraId="581A89BB" w14:textId="6A2B72A3" w:rsidR="00FA457D" w:rsidRPr="00396387" w:rsidRDefault="00FA457D" w:rsidP="000610DA">
            <w:pPr>
              <w:jc w:val="both"/>
              <w:rPr>
                <w:sz w:val="20"/>
                <w:szCs w:val="20"/>
              </w:rPr>
            </w:pPr>
            <w:r w:rsidRPr="00396387">
              <w:rPr>
                <w:sz w:val="20"/>
                <w:szCs w:val="20"/>
              </w:rPr>
              <w:t>- 18. Yüzyıl Fransa kültürü, sanatı, Yaşam özellikleri.</w:t>
            </w:r>
          </w:p>
          <w:p w14:paraId="0D22A766" w14:textId="77777777" w:rsidR="00FA457D" w:rsidRPr="00396387" w:rsidRDefault="00FA457D" w:rsidP="000610DA">
            <w:pPr>
              <w:jc w:val="both"/>
              <w:rPr>
                <w:sz w:val="20"/>
                <w:szCs w:val="20"/>
              </w:rPr>
            </w:pPr>
            <w:r w:rsidRPr="00396387">
              <w:rPr>
                <w:sz w:val="20"/>
                <w:szCs w:val="20"/>
              </w:rPr>
              <w:t>- Rokoko Sanat Dönemi özellikleri.</w:t>
            </w:r>
          </w:p>
          <w:p w14:paraId="057CAD14" w14:textId="77777777" w:rsidR="00FA457D" w:rsidRPr="00396387" w:rsidRDefault="00FA457D" w:rsidP="000610DA">
            <w:pPr>
              <w:jc w:val="both"/>
              <w:rPr>
                <w:sz w:val="20"/>
                <w:szCs w:val="20"/>
              </w:rPr>
            </w:pPr>
            <w:r w:rsidRPr="00396387">
              <w:rPr>
                <w:sz w:val="20"/>
                <w:szCs w:val="20"/>
              </w:rPr>
              <w:t>- 1789 Fransız Devrimi Dönemi Tarihi olay anlatımı.</w:t>
            </w:r>
          </w:p>
        </w:tc>
      </w:tr>
      <w:tr w:rsidR="00FA457D" w:rsidRPr="00396387" w14:paraId="4BAA43E4" w14:textId="77777777" w:rsidTr="000610DA">
        <w:trPr>
          <w:trHeight w:val="988"/>
        </w:trPr>
        <w:tc>
          <w:tcPr>
            <w:tcW w:w="1208" w:type="dxa"/>
            <w:shd w:val="clear" w:color="auto" w:fill="auto"/>
            <w:tcMar>
              <w:top w:w="72" w:type="dxa"/>
              <w:left w:w="144" w:type="dxa"/>
              <w:bottom w:w="72" w:type="dxa"/>
              <w:right w:w="144" w:type="dxa"/>
            </w:tcMar>
            <w:hideMark/>
          </w:tcPr>
          <w:p w14:paraId="33361A91" w14:textId="77777777" w:rsidR="00FA457D" w:rsidRPr="00396387" w:rsidRDefault="00FA457D" w:rsidP="000610DA">
            <w:pPr>
              <w:jc w:val="both"/>
              <w:rPr>
                <w:sz w:val="20"/>
                <w:szCs w:val="20"/>
              </w:rPr>
            </w:pPr>
            <w:r w:rsidRPr="00197EA2">
              <w:rPr>
                <w:b/>
                <w:bCs/>
                <w:sz w:val="20"/>
                <w:szCs w:val="20"/>
              </w:rPr>
              <w:t>Mekân</w:t>
            </w:r>
          </w:p>
        </w:tc>
        <w:tc>
          <w:tcPr>
            <w:tcW w:w="4503" w:type="dxa"/>
            <w:shd w:val="clear" w:color="auto" w:fill="auto"/>
            <w:tcMar>
              <w:top w:w="72" w:type="dxa"/>
              <w:left w:w="144" w:type="dxa"/>
              <w:bottom w:w="72" w:type="dxa"/>
              <w:right w:w="144" w:type="dxa"/>
            </w:tcMar>
            <w:hideMark/>
          </w:tcPr>
          <w:p w14:paraId="3DA5F043" w14:textId="1FD9BF25" w:rsidR="00FA457D" w:rsidRPr="00396387" w:rsidRDefault="00FA457D" w:rsidP="000610DA">
            <w:pPr>
              <w:jc w:val="both"/>
              <w:rPr>
                <w:sz w:val="20"/>
                <w:szCs w:val="20"/>
              </w:rPr>
            </w:pPr>
            <w:r w:rsidRPr="00396387">
              <w:rPr>
                <w:sz w:val="20"/>
                <w:szCs w:val="20"/>
              </w:rPr>
              <w:t xml:space="preserve">- Notre </w:t>
            </w:r>
            <w:proofErr w:type="spellStart"/>
            <w:r w:rsidRPr="00396387">
              <w:rPr>
                <w:sz w:val="20"/>
                <w:szCs w:val="20"/>
              </w:rPr>
              <w:t>Dame</w:t>
            </w:r>
            <w:proofErr w:type="spellEnd"/>
            <w:r w:rsidRPr="00396387">
              <w:rPr>
                <w:sz w:val="20"/>
                <w:szCs w:val="20"/>
              </w:rPr>
              <w:t xml:space="preserve"> Katedrali</w:t>
            </w:r>
          </w:p>
          <w:p w14:paraId="21FF0E09" w14:textId="77777777" w:rsidR="00FA457D" w:rsidRPr="00396387" w:rsidRDefault="00FA457D" w:rsidP="000610DA">
            <w:pPr>
              <w:jc w:val="both"/>
              <w:rPr>
                <w:sz w:val="20"/>
                <w:szCs w:val="20"/>
              </w:rPr>
            </w:pPr>
            <w:r w:rsidRPr="00396387">
              <w:rPr>
                <w:sz w:val="20"/>
                <w:szCs w:val="20"/>
              </w:rPr>
              <w:t>- Versailles Sarayı</w:t>
            </w:r>
          </w:p>
          <w:p w14:paraId="50CA44FD" w14:textId="77777777" w:rsidR="00FA457D" w:rsidRPr="00396387" w:rsidRDefault="00FA457D" w:rsidP="000610DA">
            <w:pPr>
              <w:jc w:val="both"/>
              <w:rPr>
                <w:sz w:val="20"/>
                <w:szCs w:val="20"/>
              </w:rPr>
            </w:pPr>
            <w:r w:rsidRPr="00396387">
              <w:rPr>
                <w:sz w:val="20"/>
                <w:szCs w:val="20"/>
              </w:rPr>
              <w:t>- Eyfel Kulesi</w:t>
            </w:r>
          </w:p>
          <w:p w14:paraId="7AC56FF4" w14:textId="77777777" w:rsidR="00FA457D" w:rsidRPr="00396387" w:rsidRDefault="00FA457D" w:rsidP="000610DA">
            <w:pPr>
              <w:jc w:val="both"/>
              <w:rPr>
                <w:sz w:val="20"/>
                <w:szCs w:val="20"/>
              </w:rPr>
            </w:pPr>
            <w:r w:rsidRPr="00396387">
              <w:rPr>
                <w:sz w:val="20"/>
                <w:szCs w:val="20"/>
              </w:rPr>
              <w:t>- Paris Yeraltı Mezar ve Tünelleri</w:t>
            </w:r>
          </w:p>
          <w:p w14:paraId="0364DFE0" w14:textId="77777777" w:rsidR="00FA457D" w:rsidRPr="00396387" w:rsidRDefault="00FA457D" w:rsidP="000610DA">
            <w:pPr>
              <w:jc w:val="both"/>
              <w:rPr>
                <w:sz w:val="20"/>
                <w:szCs w:val="20"/>
              </w:rPr>
            </w:pPr>
            <w:r w:rsidRPr="00396387">
              <w:rPr>
                <w:sz w:val="20"/>
                <w:szCs w:val="20"/>
              </w:rPr>
              <w:t>- Fransa Şehir Görüntüleri</w:t>
            </w:r>
          </w:p>
        </w:tc>
        <w:tc>
          <w:tcPr>
            <w:tcW w:w="4495" w:type="dxa"/>
            <w:shd w:val="clear" w:color="auto" w:fill="auto"/>
            <w:tcMar>
              <w:top w:w="72" w:type="dxa"/>
              <w:left w:w="144" w:type="dxa"/>
              <w:bottom w:w="72" w:type="dxa"/>
              <w:right w:w="144" w:type="dxa"/>
            </w:tcMar>
            <w:hideMark/>
          </w:tcPr>
          <w:p w14:paraId="4FED4E25" w14:textId="77777777" w:rsidR="00FA457D" w:rsidRPr="00396387" w:rsidRDefault="00FA457D" w:rsidP="000610DA">
            <w:pPr>
              <w:jc w:val="both"/>
              <w:rPr>
                <w:sz w:val="20"/>
                <w:szCs w:val="20"/>
              </w:rPr>
            </w:pPr>
            <w:r w:rsidRPr="00396387">
              <w:rPr>
                <w:sz w:val="20"/>
                <w:szCs w:val="20"/>
              </w:rPr>
              <w:t>- 18. Yüzyıl Fransa ve</w:t>
            </w:r>
          </w:p>
          <w:p w14:paraId="5DDBBD01" w14:textId="77777777" w:rsidR="00FA457D" w:rsidRPr="00396387" w:rsidRDefault="00FA457D" w:rsidP="000610DA">
            <w:pPr>
              <w:jc w:val="both"/>
              <w:rPr>
                <w:sz w:val="20"/>
                <w:szCs w:val="20"/>
              </w:rPr>
            </w:pPr>
            <w:r w:rsidRPr="00396387">
              <w:rPr>
                <w:sz w:val="20"/>
                <w:szCs w:val="20"/>
              </w:rPr>
              <w:t>Paris dönem şehir özellikleri</w:t>
            </w:r>
          </w:p>
          <w:p w14:paraId="51EEA7DA" w14:textId="77777777" w:rsidR="00FA457D" w:rsidRPr="00396387" w:rsidRDefault="00FA457D" w:rsidP="000610DA">
            <w:pPr>
              <w:jc w:val="both"/>
              <w:rPr>
                <w:sz w:val="20"/>
                <w:szCs w:val="20"/>
              </w:rPr>
            </w:pPr>
            <w:r w:rsidRPr="00396387">
              <w:rPr>
                <w:sz w:val="20"/>
                <w:szCs w:val="20"/>
              </w:rPr>
              <w:t>- 1789 Fransız Devrimi dönemi Fransa</w:t>
            </w:r>
          </w:p>
        </w:tc>
      </w:tr>
    </w:tbl>
    <w:p w14:paraId="5DFB58AB" w14:textId="77777777" w:rsidR="00FA457D" w:rsidRDefault="00FA457D" w:rsidP="00FA457D">
      <w:pPr>
        <w:jc w:val="both"/>
        <w:rPr>
          <w:b/>
          <w:bCs/>
        </w:rPr>
      </w:pPr>
    </w:p>
    <w:p w14:paraId="0E8585F8" w14:textId="77777777" w:rsidR="00FA457D" w:rsidRDefault="00FA457D" w:rsidP="00FA457D">
      <w:pPr>
        <w:jc w:val="both"/>
      </w:pPr>
      <w:r>
        <w:rPr>
          <w:b/>
          <w:bCs/>
        </w:rPr>
        <w:t>Sonuç</w:t>
      </w:r>
    </w:p>
    <w:p w14:paraId="33713983" w14:textId="7F869F71" w:rsidR="00FA457D" w:rsidRPr="00C62085" w:rsidRDefault="00FA457D" w:rsidP="00FA457D">
      <w:pPr>
        <w:jc w:val="both"/>
      </w:pPr>
      <w:r w:rsidRPr="00C62085">
        <w:t>Oyunculara gönüllü olarak katıldıkları, belli kurallar ve sınırlar çerçevesinde rol yaparak</w:t>
      </w:r>
      <w:r>
        <w:t>,</w:t>
      </w:r>
      <w:r w:rsidRPr="00C62085">
        <w:t xml:space="preserve"> yaşayamayacakları bir deneyim sağlamak ve hikâye anlatmak, keyifli vakit geçirmelerini sağlamak amacıyla hazırlanan dijital oyunlar çok uzun yıllardır karakter-konsept tasarımlarını temelinde barındırmaktadır.</w:t>
      </w:r>
      <w:r>
        <w:t xml:space="preserve"> </w:t>
      </w:r>
      <w:r w:rsidRPr="00C62085">
        <w:t xml:space="preserve">Karakter Konsept tasarımları için hazırlanan, Dijital Oyun İllüstrasyonlarının tarihi olay anlatımındaki rolü çalışma kapsamında örneklem olarak alınan </w:t>
      </w:r>
      <w:proofErr w:type="spellStart"/>
      <w:r w:rsidRPr="00C62085">
        <w:t>Assasin’s</w:t>
      </w:r>
      <w:proofErr w:type="spellEnd"/>
      <w:r w:rsidRPr="00C62085">
        <w:t xml:space="preserve"> </w:t>
      </w:r>
      <w:proofErr w:type="spellStart"/>
      <w:r w:rsidRPr="00C62085">
        <w:t>Creed</w:t>
      </w:r>
      <w:proofErr w:type="spellEnd"/>
      <w:r w:rsidRPr="00C62085">
        <w:t xml:space="preserve">: </w:t>
      </w:r>
      <w:proofErr w:type="spellStart"/>
      <w:r w:rsidRPr="00C62085">
        <w:t>Unity</w:t>
      </w:r>
      <w:proofErr w:type="spellEnd"/>
      <w:r w:rsidRPr="00C62085">
        <w:t xml:space="preserve"> dijital oyunu evreninin geçtiği Fransız İhtilali dönemi için hazırlanan göstergeler ele alınarak göstergebilim yöntemiyle incelenmiştir.</w:t>
      </w:r>
      <w:r>
        <w:t xml:space="preserve"> </w:t>
      </w:r>
      <w:r w:rsidRPr="00C62085">
        <w:t xml:space="preserve">İncelenen </w:t>
      </w:r>
      <w:proofErr w:type="spellStart"/>
      <w:r w:rsidRPr="00C62085">
        <w:t>Assasin’s</w:t>
      </w:r>
      <w:proofErr w:type="spellEnd"/>
      <w:r w:rsidRPr="00C62085">
        <w:t xml:space="preserve"> </w:t>
      </w:r>
      <w:proofErr w:type="spellStart"/>
      <w:r w:rsidRPr="00C62085">
        <w:t>Creed</w:t>
      </w:r>
      <w:proofErr w:type="spellEnd"/>
      <w:r w:rsidRPr="00C62085">
        <w:t xml:space="preserve">: </w:t>
      </w:r>
      <w:proofErr w:type="spellStart"/>
      <w:r w:rsidRPr="00C62085">
        <w:t>Unity</w:t>
      </w:r>
      <w:proofErr w:type="spellEnd"/>
      <w:r w:rsidRPr="00C62085">
        <w:t xml:space="preserve"> dijital oyunu evreninin içerisinde geçen tarihi olaylar kapsamında hazırlanan karakter-konsept tasarımlarının içerdiği göstergeler, karakter-konsept tasarımının hem oyun hikayesini hem de tarihi olayı izleyiciye anlatacak şekilde kullanılabildiğini kanıtlar niteliktedir.</w:t>
      </w:r>
      <w:r>
        <w:t xml:space="preserve"> </w:t>
      </w:r>
      <w:r w:rsidRPr="00C62085">
        <w:t>Kitle iletişim araçlarının bir ideolojiyi yayma</w:t>
      </w:r>
      <w:r>
        <w:t>k için</w:t>
      </w:r>
      <w:r w:rsidRPr="00C62085">
        <w:t>, tüketime yöneltme</w:t>
      </w:r>
      <w:r>
        <w:t xml:space="preserve"> için</w:t>
      </w:r>
      <w:r w:rsidRPr="00C62085">
        <w:t xml:space="preserve"> ya da </w:t>
      </w:r>
      <w:r>
        <w:t xml:space="preserve">bir </w:t>
      </w:r>
      <w:r w:rsidRPr="00C62085">
        <w:t>propaganda aracı olarak kullanıldığı bilinmektedir. (Erdem, 2019, s. 84)</w:t>
      </w:r>
      <w:r>
        <w:t xml:space="preserve"> </w:t>
      </w:r>
      <w:r w:rsidRPr="00C62085">
        <w:t>Bu bağlamda</w:t>
      </w:r>
      <w:r>
        <w:t xml:space="preserve"> günümüz kitle iletişim araçlarından olan</w:t>
      </w:r>
      <w:r w:rsidRPr="00C62085">
        <w:t xml:space="preserve"> dijital oyunlar da bir ideolojiyi yaymada, bir kültürü inşa etmede ya da bir kültürü yıkmada kullanılabilen silahlardandır. </w:t>
      </w:r>
      <w:r>
        <w:t>Bu çalışmayla beraber k</w:t>
      </w:r>
      <w:r w:rsidRPr="00C62085">
        <w:t>itle iletişim araçlarından biri olan dijital oyun tasarımları</w:t>
      </w:r>
      <w:r>
        <w:t>nın</w:t>
      </w:r>
      <w:r w:rsidRPr="00C62085">
        <w:t xml:space="preserve"> gerek çocuk gerek yetişkin yaş grubuna bilgi aktarımı, tanıtım, hikâye anlatımı, tarihi olay anlatımı gibi görselleştirmeleri aktarmada etkin bir sanat alanı olduğu gözlemlenmiştir. Bu noktada dijital oyun tasarımları için hazırlanan dijital oyun illüstrasyonlarının, karakter- konsept tasarımı üzerinden tarihi olayları görselleştirmek adına bütüncül ve tamamlayıcı tasarlanabilmesinde önemli bir göreve sahip olduğu söylenebilmektedir. İncelenen </w:t>
      </w:r>
      <w:proofErr w:type="spellStart"/>
      <w:r w:rsidRPr="00C62085">
        <w:t>Assasin’s</w:t>
      </w:r>
      <w:proofErr w:type="spellEnd"/>
      <w:r w:rsidRPr="00C62085">
        <w:t xml:space="preserve"> </w:t>
      </w:r>
      <w:proofErr w:type="spellStart"/>
      <w:r w:rsidRPr="00C62085">
        <w:t>Creed</w:t>
      </w:r>
      <w:proofErr w:type="spellEnd"/>
      <w:r w:rsidRPr="00C62085">
        <w:t xml:space="preserve">: </w:t>
      </w:r>
      <w:proofErr w:type="spellStart"/>
      <w:r w:rsidRPr="00C62085">
        <w:t>Unity</w:t>
      </w:r>
      <w:proofErr w:type="spellEnd"/>
      <w:r w:rsidRPr="00C62085">
        <w:t xml:space="preserve"> dijital oyununda geçen tarihi konu anlatımları için kullanılan dijital oyun illüstrasyonları</w:t>
      </w:r>
      <w:r>
        <w:t>nda</w:t>
      </w:r>
      <w:r w:rsidRPr="00C62085">
        <w:t xml:space="preserve"> </w:t>
      </w:r>
      <w:r>
        <w:t>yer alan</w:t>
      </w:r>
      <w:r w:rsidRPr="00C62085">
        <w:t xml:space="preserve"> renkler, karakterler, nesne ve mekân tasarımları gibi göstergeleri</w:t>
      </w:r>
      <w:r>
        <w:t>n,</w:t>
      </w:r>
      <w:r w:rsidRPr="00C62085">
        <w:t xml:space="preserve"> 1789 Fransız Devrimi dönemini oyuncuya görsellerle anlatacak şekilde tasarlandığı gözlemlenmiştir. İncelenen oyun tasarımı için hazırlanan karakter</w:t>
      </w:r>
      <w:r>
        <w:t>-</w:t>
      </w:r>
      <w:r w:rsidRPr="00C62085">
        <w:t xml:space="preserve"> konsept tasarımında kullanılan bütün göstergelerin anlatılmak istenen tarihi olayların kaynaklarına uygun şekilde görselleştirildiği gö</w:t>
      </w:r>
      <w:r>
        <w:t>rülmüştür</w:t>
      </w:r>
      <w:r w:rsidRPr="00C62085">
        <w:t>. Karakter</w:t>
      </w:r>
      <w:r>
        <w:t>-</w:t>
      </w:r>
      <w:r w:rsidRPr="00C62085">
        <w:t xml:space="preserve"> konsept tasarımının</w:t>
      </w:r>
      <w:r>
        <w:t>,</w:t>
      </w:r>
      <w:r w:rsidRPr="00C62085">
        <w:t xml:space="preserve"> tarihi olay anlatımında sembolik, göstergesel bir ifade aracı olarak kullanıldığı ve </w:t>
      </w:r>
      <w:r>
        <w:t>oyuncuya</w:t>
      </w:r>
      <w:r w:rsidRPr="00C62085">
        <w:t xml:space="preserve"> bu görsel ifadelerle tarihi olayların aktarıldığı</w:t>
      </w:r>
      <w:r>
        <w:t>,</w:t>
      </w:r>
      <w:r w:rsidRPr="00C62085">
        <w:t xml:space="preserve"> hazırlanan dijital oyun illüstrasyonlarına bakılarak söylenebilmektedir. Oyun evrenini yansıtmak</w:t>
      </w:r>
      <w:r>
        <w:t xml:space="preserve"> i</w:t>
      </w:r>
      <w:r w:rsidRPr="00C62085">
        <w:t>çin tasarlanan dijital oyun illüstrasyonlarında kullanılan her göstergenin hem o sahnenin tarihi döneminin kültürüne ve hikayesine uygun şekilde hem de birbirleri</w:t>
      </w:r>
      <w:r>
        <w:t>ne</w:t>
      </w:r>
      <w:r w:rsidRPr="00C62085">
        <w:t xml:space="preserve"> u</w:t>
      </w:r>
      <w:r>
        <w:t>yumlu</w:t>
      </w:r>
      <w:r w:rsidRPr="00C62085">
        <w:t xml:space="preserve"> şekilde görselleştirildikleri gözlemlenmiştir.</w:t>
      </w:r>
      <w:r>
        <w:t xml:space="preserve"> </w:t>
      </w:r>
      <w:r w:rsidRPr="00C62085">
        <w:t>Karakter konsept tasarımı için hazırlanan dijital oyun illüstrasyonları, oyun senaryosun</w:t>
      </w:r>
      <w:r>
        <w:t>a</w:t>
      </w:r>
      <w:r w:rsidRPr="00C62085">
        <w:t xml:space="preserve"> uygun şekilde tasarlandığında hem hikâyenin net yansıtılabildiği hem de uygun </w:t>
      </w:r>
      <w:r w:rsidRPr="00C62085">
        <w:lastRenderedPageBreak/>
        <w:t xml:space="preserve">simge, sembol, göstergelerle birlikte görsel iletişim yoluyla tarihi olayları oyuncuya aktarabildiği gözlemlenmiştir. Ayrıca </w:t>
      </w:r>
      <w:r>
        <w:t xml:space="preserve">tarihi </w:t>
      </w:r>
      <w:r w:rsidRPr="00C62085">
        <w:t xml:space="preserve">dönemi yansıtacak şekilde tasarlanan dijital oyun illüstrasyonlarıyla beraber tarihi olayların </w:t>
      </w:r>
      <w:r>
        <w:t xml:space="preserve">yeniden </w:t>
      </w:r>
      <w:r w:rsidRPr="00C62085">
        <w:t>görselleştirilebileceği ve kalıcı tarihi görsel kaynaklar da elde edilebileceği gözlemlenmiştir.</w:t>
      </w:r>
    </w:p>
    <w:p w14:paraId="19B815D5" w14:textId="77777777" w:rsidR="00FA457D" w:rsidRDefault="00FA457D" w:rsidP="00FA457D">
      <w:pPr>
        <w:spacing w:before="120" w:after="120"/>
        <w:jc w:val="both"/>
      </w:pPr>
      <w:r w:rsidRPr="00102DBE">
        <w:rPr>
          <w:b/>
          <w:bCs/>
        </w:rPr>
        <w:t>Kaynakça</w:t>
      </w:r>
    </w:p>
    <w:p w14:paraId="462A4B8B" w14:textId="77777777" w:rsidR="00FA457D" w:rsidRPr="00102DBE" w:rsidRDefault="00FA457D">
      <w:pPr>
        <w:pStyle w:val="ListeParagraf"/>
        <w:numPr>
          <w:ilvl w:val="0"/>
          <w:numId w:val="68"/>
        </w:numPr>
        <w:jc w:val="both"/>
      </w:pPr>
      <w:r w:rsidRPr="00102DBE">
        <w:t xml:space="preserve">Alpan, G. B. (2005). </w:t>
      </w:r>
      <w:r w:rsidRPr="00E4058A">
        <w:rPr>
          <w:i/>
          <w:iCs/>
        </w:rPr>
        <w:t>Görsel iletişim.</w:t>
      </w:r>
      <w:r w:rsidRPr="00102DBE">
        <w:t xml:space="preserve"> YA-PA Yayın.</w:t>
      </w:r>
    </w:p>
    <w:p w14:paraId="5FA0F20E" w14:textId="77777777" w:rsidR="00FA457D" w:rsidRPr="00102DBE" w:rsidRDefault="00FA457D">
      <w:pPr>
        <w:pStyle w:val="ListeParagraf"/>
        <w:numPr>
          <w:ilvl w:val="0"/>
          <w:numId w:val="68"/>
        </w:numPr>
        <w:jc w:val="both"/>
      </w:pPr>
      <w:r w:rsidRPr="00102DBE">
        <w:t xml:space="preserve">Aslan, O. ve Yılar, Ö. (2019). Halk Bilimi Unsurlarının Gelecek Kuşaklara Aktarımında Çizgi Filmlerin Rolü: Rafadan Tayfa Örneği. </w:t>
      </w:r>
      <w:r w:rsidRPr="00E4058A">
        <w:rPr>
          <w:i/>
          <w:iCs/>
        </w:rPr>
        <w:t>Nevşehir Hacı Bektaş Veli Üniversitesi SBE Dergisi</w:t>
      </w:r>
      <w:r w:rsidRPr="00102DBE">
        <w:t>, 9(2), 646-669.</w:t>
      </w:r>
    </w:p>
    <w:p w14:paraId="3C72E5C4" w14:textId="77777777" w:rsidR="00FA457D" w:rsidRPr="00102DBE" w:rsidRDefault="00FA457D">
      <w:pPr>
        <w:pStyle w:val="ListeParagraf"/>
        <w:numPr>
          <w:ilvl w:val="0"/>
          <w:numId w:val="68"/>
        </w:numPr>
        <w:jc w:val="both"/>
      </w:pPr>
      <w:proofErr w:type="spellStart"/>
      <w:r w:rsidRPr="00102DBE">
        <w:t>Assmann</w:t>
      </w:r>
      <w:proofErr w:type="spellEnd"/>
      <w:r w:rsidRPr="00102DBE">
        <w:t>, J. (2015). Kültürel Bellek</w:t>
      </w:r>
      <w:r w:rsidRPr="00E4058A">
        <w:rPr>
          <w:i/>
          <w:iCs/>
        </w:rPr>
        <w:t xml:space="preserve"> </w:t>
      </w:r>
      <w:r w:rsidRPr="00102DBE">
        <w:t>(Ayşe Tekin</w:t>
      </w:r>
      <w:r>
        <w:t>, Trans; 2. Basım).</w:t>
      </w:r>
      <w:r w:rsidRPr="00102DBE">
        <w:t xml:space="preserve"> Ayrıntı Yayınları.</w:t>
      </w:r>
      <w:r>
        <w:t xml:space="preserve"> (</w:t>
      </w:r>
      <w:proofErr w:type="spellStart"/>
      <w:r>
        <w:t>Original</w:t>
      </w:r>
      <w:proofErr w:type="spellEnd"/>
      <w:r>
        <w:t xml:space="preserve"> </w:t>
      </w:r>
      <w:proofErr w:type="spellStart"/>
      <w:r>
        <w:t>work</w:t>
      </w:r>
      <w:proofErr w:type="spellEnd"/>
      <w:r>
        <w:t xml:space="preserve"> </w:t>
      </w:r>
      <w:proofErr w:type="spellStart"/>
      <w:r>
        <w:t>published</w:t>
      </w:r>
      <w:proofErr w:type="spellEnd"/>
      <w:r>
        <w:t xml:space="preserve"> 1997)</w:t>
      </w:r>
    </w:p>
    <w:p w14:paraId="1EE57283" w14:textId="77777777" w:rsidR="00FA457D" w:rsidRPr="00102DBE" w:rsidRDefault="00FA457D">
      <w:pPr>
        <w:pStyle w:val="ListeParagraf"/>
        <w:numPr>
          <w:ilvl w:val="0"/>
          <w:numId w:val="68"/>
        </w:numPr>
        <w:jc w:val="both"/>
      </w:pPr>
      <w:r w:rsidRPr="00102DBE">
        <w:t xml:space="preserve">Ay, T. S. ve Korkmaz, Ç. (2017). Sosyal Bilgiler Programında Yer Alan Değerler ve Kültürel Ögeler Bağlamında “Küçük Hezarfen” Çizgi Filmi. </w:t>
      </w:r>
      <w:r w:rsidRPr="00E4058A">
        <w:rPr>
          <w:i/>
          <w:iCs/>
        </w:rPr>
        <w:t>Batı Anadolu Eğitim Bilimleri Dergisi</w:t>
      </w:r>
      <w:r w:rsidRPr="00102DBE">
        <w:t>, 8(2), 49-62.</w:t>
      </w:r>
    </w:p>
    <w:p w14:paraId="6366CB0D" w14:textId="77777777" w:rsidR="00FA457D" w:rsidRDefault="00FA457D">
      <w:pPr>
        <w:pStyle w:val="ListeParagraf"/>
        <w:numPr>
          <w:ilvl w:val="0"/>
          <w:numId w:val="68"/>
        </w:numPr>
        <w:jc w:val="both"/>
      </w:pPr>
      <w:r w:rsidRPr="00102DBE">
        <w:t>Bayrak, U. (2022). Çizgi romandan canlandırma sinemasına geçiş: Kötü Kedi Şerafettin örneği</w:t>
      </w:r>
      <w:r w:rsidRPr="00E4058A">
        <w:rPr>
          <w:i/>
          <w:iCs/>
        </w:rPr>
        <w:t>. İstanbul Aydın Üniversitesi Güzel Sanatlar Fakültesi Dergisi</w:t>
      </w:r>
      <w:r w:rsidRPr="00102DBE">
        <w:t>, 8-15, s. 123-135.</w:t>
      </w:r>
    </w:p>
    <w:p w14:paraId="7988AC27" w14:textId="77777777" w:rsidR="00FA457D" w:rsidRDefault="00FA457D">
      <w:pPr>
        <w:pStyle w:val="ListeParagraf"/>
        <w:numPr>
          <w:ilvl w:val="0"/>
          <w:numId w:val="68"/>
        </w:numPr>
        <w:jc w:val="both"/>
      </w:pPr>
      <w:r>
        <w:t>Berger, J. (2015). Görme Biçimleri. (Yurdanur Salman, Trans;22. Basım). Metis Yayınları. (</w:t>
      </w:r>
      <w:proofErr w:type="spellStart"/>
      <w:r>
        <w:t>Original</w:t>
      </w:r>
      <w:proofErr w:type="spellEnd"/>
      <w:r>
        <w:t xml:space="preserve"> </w:t>
      </w:r>
      <w:proofErr w:type="spellStart"/>
      <w:r>
        <w:t>work</w:t>
      </w:r>
      <w:proofErr w:type="spellEnd"/>
      <w:r>
        <w:t xml:space="preserve"> </w:t>
      </w:r>
      <w:proofErr w:type="spellStart"/>
      <w:r>
        <w:t>published</w:t>
      </w:r>
      <w:proofErr w:type="spellEnd"/>
      <w:r>
        <w:t xml:space="preserve"> 1972)</w:t>
      </w:r>
    </w:p>
    <w:p w14:paraId="0B414CBB" w14:textId="6A9FAA4F" w:rsidR="00FA457D" w:rsidRDefault="00FA457D">
      <w:pPr>
        <w:pStyle w:val="ListeParagraf"/>
        <w:numPr>
          <w:ilvl w:val="0"/>
          <w:numId w:val="68"/>
        </w:numPr>
        <w:jc w:val="both"/>
      </w:pPr>
      <w:r w:rsidRPr="001C6888">
        <w:t>Bilginer Erdoğan, Ş. (2021). Görsel Kültürün Küresel Kültüre Dönüşmesinde Kitle İletişim Araçlarının Rolü. Atatürk Üniversitesi Sosyal Bilimler Enstitüsü Dergisi, 25 (3), 109-126.</w:t>
      </w:r>
    </w:p>
    <w:p w14:paraId="63295F73" w14:textId="77777777" w:rsidR="00FA457D" w:rsidRPr="00102DBE" w:rsidRDefault="00FA457D">
      <w:pPr>
        <w:pStyle w:val="ListeParagraf"/>
        <w:numPr>
          <w:ilvl w:val="0"/>
          <w:numId w:val="68"/>
        </w:numPr>
        <w:jc w:val="both"/>
      </w:pPr>
      <w:r w:rsidRPr="00102DBE">
        <w:t>Buluş, B., Buluş, G. C. (2020). Kültür endüstrisi ürünü olarak dijital oyunlar ve dijital ekonomi</w:t>
      </w:r>
      <w:r w:rsidRPr="00E4058A">
        <w:rPr>
          <w:i/>
          <w:iCs/>
        </w:rPr>
        <w:t>. Aksaray Üniversitesi İktisadi ve İdari Bilimler Fakültesi Dergisi,</w:t>
      </w:r>
      <w:r w:rsidRPr="00102DBE">
        <w:t xml:space="preserve"> 12- 2, s. 1- 6.</w:t>
      </w:r>
    </w:p>
    <w:p w14:paraId="453F9D7D" w14:textId="77777777" w:rsidR="00FA457D" w:rsidRPr="00102DBE" w:rsidRDefault="00FA457D">
      <w:pPr>
        <w:pStyle w:val="ListeParagraf"/>
        <w:numPr>
          <w:ilvl w:val="0"/>
          <w:numId w:val="68"/>
        </w:numPr>
        <w:jc w:val="both"/>
      </w:pPr>
      <w:r w:rsidRPr="00102DBE">
        <w:t>Çetin, Ş. ve Üzer, M. (2018). ''Küçük Hezarfen'' Çizgi Filminde Yer Alan Millî Kültür Unsurlarının İncelenmesi</w:t>
      </w:r>
      <w:r w:rsidRPr="00E4058A">
        <w:rPr>
          <w:i/>
          <w:iCs/>
        </w:rPr>
        <w:t xml:space="preserve">. </w:t>
      </w:r>
      <w:proofErr w:type="spellStart"/>
      <w:r w:rsidRPr="00E4058A">
        <w:rPr>
          <w:i/>
          <w:iCs/>
        </w:rPr>
        <w:t>Itobiad</w:t>
      </w:r>
      <w:proofErr w:type="spellEnd"/>
      <w:r w:rsidRPr="00E4058A">
        <w:rPr>
          <w:i/>
          <w:iCs/>
        </w:rPr>
        <w:t xml:space="preserve">: </w:t>
      </w:r>
      <w:proofErr w:type="spellStart"/>
      <w:r w:rsidRPr="00E4058A">
        <w:rPr>
          <w:i/>
          <w:iCs/>
        </w:rPr>
        <w:t>Journal</w:t>
      </w:r>
      <w:proofErr w:type="spellEnd"/>
      <w:r w:rsidRPr="00E4058A">
        <w:rPr>
          <w:i/>
          <w:iCs/>
        </w:rPr>
        <w:t xml:space="preserve"> of </w:t>
      </w:r>
      <w:proofErr w:type="spellStart"/>
      <w:r w:rsidRPr="00E4058A">
        <w:rPr>
          <w:i/>
          <w:iCs/>
        </w:rPr>
        <w:t>the</w:t>
      </w:r>
      <w:proofErr w:type="spellEnd"/>
      <w:r w:rsidRPr="00E4058A">
        <w:rPr>
          <w:i/>
          <w:iCs/>
        </w:rPr>
        <w:t xml:space="preserve"> Human &amp; </w:t>
      </w:r>
      <w:proofErr w:type="spellStart"/>
      <w:r w:rsidRPr="00E4058A">
        <w:rPr>
          <w:i/>
          <w:iCs/>
        </w:rPr>
        <w:t>Social</w:t>
      </w:r>
      <w:proofErr w:type="spellEnd"/>
      <w:r w:rsidRPr="00E4058A">
        <w:rPr>
          <w:i/>
          <w:iCs/>
        </w:rPr>
        <w:t xml:space="preserve"> </w:t>
      </w:r>
      <w:proofErr w:type="spellStart"/>
      <w:r w:rsidRPr="00E4058A">
        <w:rPr>
          <w:i/>
          <w:iCs/>
        </w:rPr>
        <w:t>Science</w:t>
      </w:r>
      <w:proofErr w:type="spellEnd"/>
      <w:r w:rsidRPr="00E4058A">
        <w:rPr>
          <w:i/>
          <w:iCs/>
        </w:rPr>
        <w:t xml:space="preserve"> </w:t>
      </w:r>
      <w:proofErr w:type="spellStart"/>
      <w:r w:rsidRPr="00E4058A">
        <w:rPr>
          <w:i/>
          <w:iCs/>
        </w:rPr>
        <w:t>Researches</w:t>
      </w:r>
      <w:proofErr w:type="spellEnd"/>
      <w:r w:rsidRPr="00102DBE">
        <w:t>, 7(3).</w:t>
      </w:r>
    </w:p>
    <w:p w14:paraId="34898EAA" w14:textId="77777777" w:rsidR="00FA457D" w:rsidRPr="00102DBE" w:rsidRDefault="00FA457D">
      <w:pPr>
        <w:pStyle w:val="ListeParagraf"/>
        <w:numPr>
          <w:ilvl w:val="0"/>
          <w:numId w:val="68"/>
        </w:numPr>
        <w:jc w:val="both"/>
      </w:pPr>
      <w:r w:rsidRPr="00102DBE">
        <w:t xml:space="preserve">Çomak, N. A. ve </w:t>
      </w:r>
      <w:proofErr w:type="spellStart"/>
      <w:r w:rsidRPr="00102DBE">
        <w:t>Pembecioğlu</w:t>
      </w:r>
      <w:proofErr w:type="spellEnd"/>
      <w:r w:rsidRPr="00102DBE">
        <w:t xml:space="preserve">, N. (2020). </w:t>
      </w:r>
      <w:proofErr w:type="spellStart"/>
      <w:r w:rsidRPr="00102DBE">
        <w:t>The</w:t>
      </w:r>
      <w:proofErr w:type="spellEnd"/>
      <w:r w:rsidRPr="00102DBE">
        <w:t xml:space="preserve"> </w:t>
      </w:r>
      <w:proofErr w:type="spellStart"/>
      <w:r w:rsidRPr="00102DBE">
        <w:t>Semiotic</w:t>
      </w:r>
      <w:proofErr w:type="spellEnd"/>
      <w:r w:rsidRPr="00102DBE">
        <w:t xml:space="preserve"> Analysis of “Rafadan Tayfa </w:t>
      </w:r>
      <w:proofErr w:type="spellStart"/>
      <w:r w:rsidRPr="00102DBE">
        <w:t>Gobeklitepe</w:t>
      </w:r>
      <w:proofErr w:type="spellEnd"/>
      <w:r w:rsidRPr="00102DBE">
        <w:t xml:space="preserve">” </w:t>
      </w:r>
      <w:proofErr w:type="spellStart"/>
      <w:r w:rsidRPr="00102DBE">
        <w:t>Animatıon</w:t>
      </w:r>
      <w:proofErr w:type="spellEnd"/>
      <w:r w:rsidRPr="00102DBE">
        <w:t xml:space="preserve"> as a Form of </w:t>
      </w:r>
      <w:proofErr w:type="spellStart"/>
      <w:r w:rsidRPr="00102DBE">
        <w:t>Expressıon</w:t>
      </w:r>
      <w:proofErr w:type="spellEnd"/>
      <w:r w:rsidRPr="00102DBE">
        <w:t xml:space="preserve"> of </w:t>
      </w:r>
      <w:proofErr w:type="spellStart"/>
      <w:r w:rsidRPr="00102DBE">
        <w:t>Conscıousness</w:t>
      </w:r>
      <w:proofErr w:type="spellEnd"/>
      <w:r w:rsidRPr="00102DBE">
        <w:t xml:space="preserve"> of </w:t>
      </w:r>
      <w:proofErr w:type="spellStart"/>
      <w:r w:rsidRPr="00102DBE">
        <w:t>Cultural</w:t>
      </w:r>
      <w:proofErr w:type="spellEnd"/>
      <w:r w:rsidRPr="00102DBE">
        <w:t xml:space="preserve"> </w:t>
      </w:r>
      <w:proofErr w:type="spellStart"/>
      <w:r w:rsidRPr="00102DBE">
        <w:t>Heritage</w:t>
      </w:r>
      <w:proofErr w:type="spellEnd"/>
      <w:r w:rsidRPr="00102DBE">
        <w:t xml:space="preserve"> </w:t>
      </w:r>
      <w:proofErr w:type="spellStart"/>
      <w:r w:rsidRPr="00102DBE">
        <w:t>to</w:t>
      </w:r>
      <w:proofErr w:type="spellEnd"/>
      <w:r w:rsidRPr="00102DBE">
        <w:t xml:space="preserve"> </w:t>
      </w:r>
      <w:proofErr w:type="spellStart"/>
      <w:r w:rsidRPr="00102DBE">
        <w:t>The</w:t>
      </w:r>
      <w:proofErr w:type="spellEnd"/>
      <w:r w:rsidRPr="00102DBE">
        <w:t xml:space="preserve"> </w:t>
      </w:r>
      <w:proofErr w:type="spellStart"/>
      <w:r w:rsidRPr="00102DBE">
        <w:t>Globalizing</w:t>
      </w:r>
      <w:proofErr w:type="spellEnd"/>
      <w:r w:rsidRPr="00102DBE">
        <w:t xml:space="preserve"> </w:t>
      </w:r>
      <w:proofErr w:type="spellStart"/>
      <w:r w:rsidRPr="00102DBE">
        <w:t>and</w:t>
      </w:r>
      <w:proofErr w:type="spellEnd"/>
      <w:r w:rsidRPr="00102DBE">
        <w:t xml:space="preserve"> </w:t>
      </w:r>
      <w:proofErr w:type="spellStart"/>
      <w:r w:rsidRPr="00102DBE">
        <w:t>Digitalızed</w:t>
      </w:r>
      <w:proofErr w:type="spellEnd"/>
      <w:r w:rsidRPr="00102DBE">
        <w:t xml:space="preserve"> </w:t>
      </w:r>
      <w:proofErr w:type="spellStart"/>
      <w:r w:rsidRPr="00102DBE">
        <w:t>Childhood</w:t>
      </w:r>
      <w:proofErr w:type="spellEnd"/>
      <w:r w:rsidRPr="00102DBE">
        <w:t xml:space="preserve">, </w:t>
      </w:r>
      <w:r w:rsidRPr="00E4058A">
        <w:rPr>
          <w:i/>
          <w:iCs/>
        </w:rPr>
        <w:t xml:space="preserve">1. </w:t>
      </w:r>
      <w:proofErr w:type="spellStart"/>
      <w:r w:rsidRPr="00E4058A">
        <w:rPr>
          <w:i/>
          <w:iCs/>
        </w:rPr>
        <w:t>Internatıonal</w:t>
      </w:r>
      <w:proofErr w:type="spellEnd"/>
      <w:r w:rsidRPr="00E4058A">
        <w:rPr>
          <w:i/>
          <w:iCs/>
        </w:rPr>
        <w:t xml:space="preserve"> Conference on </w:t>
      </w:r>
      <w:proofErr w:type="spellStart"/>
      <w:r w:rsidRPr="00E4058A">
        <w:rPr>
          <w:i/>
          <w:iCs/>
        </w:rPr>
        <w:t>Gobeklıtepe</w:t>
      </w:r>
      <w:proofErr w:type="spellEnd"/>
      <w:r w:rsidRPr="00E4058A">
        <w:rPr>
          <w:i/>
          <w:iCs/>
        </w:rPr>
        <w:t xml:space="preserve"> </w:t>
      </w:r>
      <w:proofErr w:type="spellStart"/>
      <w:r w:rsidRPr="00E4058A">
        <w:rPr>
          <w:i/>
          <w:iCs/>
        </w:rPr>
        <w:t>Scıentıfıc</w:t>
      </w:r>
      <w:proofErr w:type="spellEnd"/>
      <w:r w:rsidRPr="00E4058A">
        <w:rPr>
          <w:i/>
          <w:iCs/>
        </w:rPr>
        <w:t xml:space="preserve"> </w:t>
      </w:r>
      <w:proofErr w:type="spellStart"/>
      <w:r w:rsidRPr="00E4058A">
        <w:rPr>
          <w:i/>
          <w:iCs/>
        </w:rPr>
        <w:t>Studıes</w:t>
      </w:r>
      <w:proofErr w:type="spellEnd"/>
      <w:r w:rsidRPr="00E4058A">
        <w:rPr>
          <w:i/>
          <w:iCs/>
        </w:rPr>
        <w:t xml:space="preserve"> </w:t>
      </w:r>
      <w:proofErr w:type="spellStart"/>
      <w:r w:rsidRPr="00E4058A">
        <w:rPr>
          <w:i/>
          <w:iCs/>
        </w:rPr>
        <w:t>Congress</w:t>
      </w:r>
      <w:proofErr w:type="spellEnd"/>
      <w:r w:rsidRPr="00E4058A">
        <w:rPr>
          <w:i/>
          <w:iCs/>
        </w:rPr>
        <w:t xml:space="preserve"> </w:t>
      </w:r>
      <w:proofErr w:type="spellStart"/>
      <w:r w:rsidRPr="00E4058A">
        <w:rPr>
          <w:i/>
          <w:iCs/>
        </w:rPr>
        <w:t>Book</w:t>
      </w:r>
      <w:proofErr w:type="spellEnd"/>
      <w:r w:rsidRPr="00E4058A">
        <w:rPr>
          <w:i/>
          <w:iCs/>
        </w:rPr>
        <w:t xml:space="preserve"> </w:t>
      </w:r>
      <w:r w:rsidRPr="00102DBE">
        <w:t>içinde (s.78-96), Şanlıurfa.</w:t>
      </w:r>
    </w:p>
    <w:p w14:paraId="1C32E9D3" w14:textId="77777777" w:rsidR="00FA457D" w:rsidRDefault="00FA457D">
      <w:pPr>
        <w:pStyle w:val="ListeParagraf"/>
        <w:numPr>
          <w:ilvl w:val="0"/>
          <w:numId w:val="68"/>
        </w:numPr>
        <w:jc w:val="both"/>
      </w:pPr>
      <w:r w:rsidRPr="00102DBE">
        <w:t xml:space="preserve">Dervişoğlu, B. (2020). </w:t>
      </w:r>
      <w:proofErr w:type="spellStart"/>
      <w:r w:rsidRPr="00E4058A">
        <w:rPr>
          <w:i/>
          <w:iCs/>
        </w:rPr>
        <w:t>Pixar</w:t>
      </w:r>
      <w:proofErr w:type="spellEnd"/>
      <w:r w:rsidRPr="00E4058A">
        <w:rPr>
          <w:i/>
          <w:iCs/>
        </w:rPr>
        <w:t xml:space="preserve"> şirketinin, canlandırma sinemasının dijitalleşme </w:t>
      </w:r>
      <w:proofErr w:type="spellStart"/>
      <w:r w:rsidRPr="00E4058A">
        <w:rPr>
          <w:i/>
          <w:iCs/>
        </w:rPr>
        <w:t>sürecinnde</w:t>
      </w:r>
      <w:proofErr w:type="spellEnd"/>
      <w:r w:rsidRPr="00E4058A">
        <w:rPr>
          <w:i/>
          <w:iCs/>
        </w:rPr>
        <w:t xml:space="preserve"> 3 boyutlu bilgisayar grafiklerinin kullanılmasına etkisi. </w:t>
      </w:r>
      <w:r w:rsidRPr="00102DBE">
        <w:t>(Yüksek Lisans Tezi</w:t>
      </w:r>
      <w:r>
        <w:t>,</w:t>
      </w:r>
      <w:r w:rsidRPr="00102DBE">
        <w:t xml:space="preserve"> İstanbul Aydın Üniversitesi</w:t>
      </w:r>
      <w:r>
        <w:t>).</w:t>
      </w:r>
    </w:p>
    <w:p w14:paraId="684103DD" w14:textId="77777777" w:rsidR="00FA457D" w:rsidRDefault="00FA457D">
      <w:pPr>
        <w:pStyle w:val="ListeParagraf"/>
        <w:numPr>
          <w:ilvl w:val="0"/>
          <w:numId w:val="68"/>
        </w:numPr>
        <w:jc w:val="both"/>
      </w:pPr>
      <w:r w:rsidRPr="00102DBE">
        <w:t>Erdem, G. (2019). «</w:t>
      </w:r>
      <w:proofErr w:type="spellStart"/>
      <w:r w:rsidRPr="00102DBE">
        <w:t>Maysa</w:t>
      </w:r>
      <w:proofErr w:type="spellEnd"/>
      <w:r w:rsidRPr="00102DBE">
        <w:t xml:space="preserve"> ve Bulut» örneğinde yemek kültürü inşası</w:t>
      </w:r>
      <w:r w:rsidRPr="00E4058A">
        <w:rPr>
          <w:i/>
          <w:iCs/>
        </w:rPr>
        <w:t>. Avrasya Dil Eğitimi ve Araştırmaları Dergisi</w:t>
      </w:r>
      <w:r w:rsidRPr="00102DBE">
        <w:t>, 4(1), 82-99.</w:t>
      </w:r>
    </w:p>
    <w:p w14:paraId="213E28AD" w14:textId="77777777" w:rsidR="00FA457D" w:rsidRPr="00102DBE" w:rsidRDefault="00FA457D">
      <w:pPr>
        <w:pStyle w:val="ListeParagraf"/>
        <w:numPr>
          <w:ilvl w:val="0"/>
          <w:numId w:val="68"/>
        </w:numPr>
        <w:jc w:val="both"/>
      </w:pPr>
      <w:proofErr w:type="spellStart"/>
      <w:r>
        <w:t>Gombrich</w:t>
      </w:r>
      <w:proofErr w:type="spellEnd"/>
      <w:r>
        <w:t>, E. H. (2009). Sanatın Öyküsü. (Erol Erduran ve Ömer Erduran, Trans;6. Basım). Remzi Kitabevi. (</w:t>
      </w:r>
      <w:proofErr w:type="spellStart"/>
      <w:r>
        <w:t>Original</w:t>
      </w:r>
      <w:proofErr w:type="spellEnd"/>
      <w:r>
        <w:t xml:space="preserve"> </w:t>
      </w:r>
      <w:proofErr w:type="spellStart"/>
      <w:r>
        <w:t>work</w:t>
      </w:r>
      <w:proofErr w:type="spellEnd"/>
      <w:r>
        <w:t xml:space="preserve"> </w:t>
      </w:r>
      <w:proofErr w:type="spellStart"/>
      <w:r>
        <w:t>published</w:t>
      </w:r>
      <w:proofErr w:type="spellEnd"/>
      <w:r>
        <w:t xml:space="preserve"> 1950)</w:t>
      </w:r>
    </w:p>
    <w:p w14:paraId="68AB4432" w14:textId="77777777" w:rsidR="00FA457D" w:rsidRPr="00102DBE" w:rsidRDefault="00FA457D">
      <w:pPr>
        <w:pStyle w:val="ListeParagraf"/>
        <w:numPr>
          <w:ilvl w:val="0"/>
          <w:numId w:val="68"/>
        </w:numPr>
        <w:jc w:val="both"/>
      </w:pPr>
      <w:proofErr w:type="spellStart"/>
      <w:r w:rsidRPr="00102DBE">
        <w:t>Huizinga</w:t>
      </w:r>
      <w:proofErr w:type="spellEnd"/>
      <w:r w:rsidRPr="00102DBE">
        <w:t xml:space="preserve">, J. (2023). Homo </w:t>
      </w:r>
      <w:proofErr w:type="spellStart"/>
      <w:r w:rsidRPr="00102DBE">
        <w:t>Ludens</w:t>
      </w:r>
      <w:proofErr w:type="spellEnd"/>
      <w:r w:rsidRPr="00102DBE">
        <w:t>, Kültürün Oyun Unsuru Üzerine Bir İnceleme</w:t>
      </w:r>
      <w:r w:rsidRPr="00E4058A">
        <w:rPr>
          <w:i/>
          <w:iCs/>
        </w:rPr>
        <w:t xml:space="preserve"> </w:t>
      </w:r>
      <w:r w:rsidRPr="00FF0EEF">
        <w:t xml:space="preserve">(Aslı Önal, Trans; 11. Basım). </w:t>
      </w:r>
      <w:r w:rsidRPr="00102DBE">
        <w:t>Ayrıntı Yayınları.</w:t>
      </w:r>
      <w:r>
        <w:t xml:space="preserve"> (</w:t>
      </w:r>
      <w:proofErr w:type="spellStart"/>
      <w:r>
        <w:t>Original</w:t>
      </w:r>
      <w:proofErr w:type="spellEnd"/>
      <w:r>
        <w:t xml:space="preserve"> </w:t>
      </w:r>
      <w:proofErr w:type="spellStart"/>
      <w:r>
        <w:t>work</w:t>
      </w:r>
      <w:proofErr w:type="spellEnd"/>
      <w:r>
        <w:t xml:space="preserve"> </w:t>
      </w:r>
      <w:proofErr w:type="spellStart"/>
      <w:r>
        <w:t>published</w:t>
      </w:r>
      <w:proofErr w:type="spellEnd"/>
      <w:r>
        <w:t xml:space="preserve"> 1946)</w:t>
      </w:r>
    </w:p>
    <w:p w14:paraId="0D6419B8" w14:textId="77777777" w:rsidR="00FA457D" w:rsidRPr="00102DBE" w:rsidRDefault="00FA457D">
      <w:pPr>
        <w:pStyle w:val="ListeParagraf"/>
        <w:numPr>
          <w:ilvl w:val="0"/>
          <w:numId w:val="68"/>
        </w:numPr>
        <w:jc w:val="both"/>
      </w:pPr>
      <w:proofErr w:type="spellStart"/>
      <w:r w:rsidRPr="00102DBE">
        <w:t>Özanık</w:t>
      </w:r>
      <w:proofErr w:type="spellEnd"/>
      <w:r w:rsidRPr="00102DBE">
        <w:t xml:space="preserve">, S. (2022). </w:t>
      </w:r>
      <w:r w:rsidRPr="00E4058A">
        <w:rPr>
          <w:i/>
          <w:iCs/>
        </w:rPr>
        <w:t>Animasyon sinemasında karakter tasarımı ve özel eğitim gereksinimi olan bireylerin temsili: «</w:t>
      </w:r>
      <w:proofErr w:type="spellStart"/>
      <w:r w:rsidRPr="00E4058A">
        <w:rPr>
          <w:i/>
          <w:iCs/>
        </w:rPr>
        <w:t>Parastro</w:t>
      </w:r>
      <w:proofErr w:type="spellEnd"/>
      <w:r w:rsidRPr="00E4058A">
        <w:rPr>
          <w:i/>
          <w:iCs/>
        </w:rPr>
        <w:t>» uygulama film örneği.</w:t>
      </w:r>
      <w:r w:rsidRPr="00102DBE">
        <w:t xml:space="preserve"> </w:t>
      </w:r>
      <w:r>
        <w:t>(</w:t>
      </w:r>
      <w:r w:rsidRPr="00102DBE">
        <w:t>Yüksek Lisans Tezi</w:t>
      </w:r>
      <w:r>
        <w:t xml:space="preserve">, </w:t>
      </w:r>
      <w:r w:rsidRPr="00102DBE">
        <w:t>Anadolu Üniversitesi</w:t>
      </w:r>
      <w:r>
        <w:t>).</w:t>
      </w:r>
    </w:p>
    <w:p w14:paraId="543B5C5E" w14:textId="77777777" w:rsidR="00FA457D" w:rsidRPr="00102DBE" w:rsidRDefault="00FA457D">
      <w:pPr>
        <w:pStyle w:val="ListeParagraf"/>
        <w:numPr>
          <w:ilvl w:val="0"/>
          <w:numId w:val="68"/>
        </w:numPr>
        <w:jc w:val="both"/>
      </w:pPr>
      <w:proofErr w:type="spellStart"/>
      <w:r w:rsidRPr="00102DBE">
        <w:t>Soyluçiçek</w:t>
      </w:r>
      <w:proofErr w:type="spellEnd"/>
      <w:r w:rsidRPr="00102DBE">
        <w:t xml:space="preserve">, S. (2019). </w:t>
      </w:r>
      <w:r w:rsidRPr="00E4058A">
        <w:rPr>
          <w:i/>
          <w:iCs/>
        </w:rPr>
        <w:t xml:space="preserve">Dijital Oyunların Sanatsal Gücü; Konsept Tasarımı Süreci. Sanat Ve Tasarım </w:t>
      </w:r>
      <w:proofErr w:type="gramStart"/>
      <w:r w:rsidRPr="00E4058A">
        <w:rPr>
          <w:i/>
          <w:iCs/>
        </w:rPr>
        <w:t>Dergisi</w:t>
      </w:r>
      <w:r w:rsidRPr="00102DBE">
        <w:t>(</w:t>
      </w:r>
      <w:proofErr w:type="gramEnd"/>
      <w:r w:rsidRPr="00E4058A">
        <w:rPr>
          <w:i/>
          <w:iCs/>
        </w:rPr>
        <w:t>23</w:t>
      </w:r>
      <w:r w:rsidRPr="00102DBE">
        <w:t>), 315-327.</w:t>
      </w:r>
    </w:p>
    <w:p w14:paraId="045368A8" w14:textId="77777777" w:rsidR="00FA457D" w:rsidRDefault="00FA457D">
      <w:pPr>
        <w:pStyle w:val="ListeParagraf"/>
        <w:numPr>
          <w:ilvl w:val="0"/>
          <w:numId w:val="68"/>
        </w:numPr>
        <w:jc w:val="both"/>
      </w:pPr>
      <w:r w:rsidRPr="00102DBE">
        <w:t xml:space="preserve">Uçar, T. F. (2016). </w:t>
      </w:r>
      <w:r w:rsidRPr="00E4058A">
        <w:rPr>
          <w:i/>
          <w:iCs/>
        </w:rPr>
        <w:t xml:space="preserve">Görsel iletişim ve grafik tasarım. </w:t>
      </w:r>
      <w:r w:rsidRPr="00102DBE">
        <w:t>İnkılap Kitabevi.</w:t>
      </w:r>
    </w:p>
    <w:p w14:paraId="0EE294BB" w14:textId="77777777" w:rsidR="00FA457D" w:rsidRPr="00102DBE" w:rsidRDefault="00FA457D">
      <w:pPr>
        <w:pStyle w:val="ListeParagraf"/>
        <w:numPr>
          <w:ilvl w:val="0"/>
          <w:numId w:val="68"/>
        </w:numPr>
        <w:jc w:val="both"/>
      </w:pPr>
      <w:r w:rsidRPr="00E4058A">
        <w:rPr>
          <w:b/>
          <w:bCs/>
        </w:rPr>
        <w:lastRenderedPageBreak/>
        <w:t>İnternet Kaynakçası</w:t>
      </w:r>
    </w:p>
    <w:p w14:paraId="2570770B" w14:textId="77777777" w:rsidR="00FA457D" w:rsidRDefault="00FA457D">
      <w:pPr>
        <w:pStyle w:val="ListeParagraf"/>
        <w:numPr>
          <w:ilvl w:val="0"/>
          <w:numId w:val="68"/>
        </w:numPr>
        <w:jc w:val="both"/>
      </w:pPr>
      <w:hyperlink r:id="rId472" w:history="1">
        <w:r w:rsidRPr="00E4058A">
          <w:rPr>
            <w:rStyle w:val="Kpr"/>
            <w:rFonts w:eastAsiaTheme="majorEastAsia"/>
          </w:rPr>
          <w:t>https://evrimagaci.org/fransiz-ihtilali-nedir-fransada-monarsi-nasil-devrildi-14953?srsltid=AfmBOooh_hv1EG08zbFnxxUr_aWVzYUfkz7MV3NB8liNsBpb-5X1PMg4</w:t>
        </w:r>
      </w:hyperlink>
      <w:r>
        <w:t xml:space="preserve"> (Erişim: 12.02.2025)</w:t>
      </w:r>
    </w:p>
    <w:p w14:paraId="6693A1CF" w14:textId="77777777" w:rsidR="00FA457D" w:rsidRPr="00E4058A" w:rsidRDefault="00FA457D">
      <w:pPr>
        <w:pStyle w:val="ListeParagraf"/>
        <w:numPr>
          <w:ilvl w:val="0"/>
          <w:numId w:val="68"/>
        </w:numPr>
        <w:jc w:val="both"/>
        <w:rPr>
          <w:bCs/>
        </w:rPr>
      </w:pPr>
      <w:hyperlink r:id="rId473" w:history="1">
        <w:r w:rsidRPr="00E4058A">
          <w:rPr>
            <w:rStyle w:val="Kpr"/>
            <w:rFonts w:eastAsiaTheme="majorEastAsia"/>
            <w:bCs/>
          </w:rPr>
          <w:t>https://www.ubisoft.com/en-gb/game/assassins-creed/unity</w:t>
        </w:r>
      </w:hyperlink>
      <w:r w:rsidRPr="00E4058A">
        <w:rPr>
          <w:bCs/>
        </w:rPr>
        <w:t xml:space="preserve"> </w:t>
      </w:r>
      <w:r>
        <w:t>(Erişim: 10.02.2025)</w:t>
      </w:r>
    </w:p>
    <w:p w14:paraId="48B3609C" w14:textId="77777777" w:rsidR="00FA457D" w:rsidRPr="00E4058A" w:rsidRDefault="00FA457D">
      <w:pPr>
        <w:pStyle w:val="ListeParagraf"/>
        <w:numPr>
          <w:ilvl w:val="0"/>
          <w:numId w:val="68"/>
        </w:numPr>
        <w:jc w:val="both"/>
        <w:rPr>
          <w:bCs/>
        </w:rPr>
      </w:pPr>
      <w:hyperlink r:id="rId474" w:history="1">
        <w:r w:rsidRPr="00E4058A">
          <w:rPr>
            <w:rStyle w:val="Kpr"/>
            <w:rFonts w:eastAsiaTheme="majorEastAsia"/>
            <w:bCs/>
          </w:rPr>
          <w:t>https://assassinscreed.fandom.com/wiki/Assassin%27s_Creed:_Unity</w:t>
        </w:r>
      </w:hyperlink>
      <w:r w:rsidRPr="00E4058A">
        <w:rPr>
          <w:bCs/>
        </w:rPr>
        <w:t xml:space="preserve"> </w:t>
      </w:r>
      <w:r>
        <w:t>(Erişim: 10.02.2025)</w:t>
      </w:r>
    </w:p>
    <w:p w14:paraId="248E156B" w14:textId="77777777" w:rsidR="00FA457D" w:rsidRPr="00E4058A" w:rsidRDefault="00FA457D">
      <w:pPr>
        <w:pStyle w:val="ListeParagraf"/>
        <w:numPr>
          <w:ilvl w:val="0"/>
          <w:numId w:val="68"/>
        </w:numPr>
        <w:jc w:val="both"/>
        <w:rPr>
          <w:b/>
        </w:rPr>
      </w:pPr>
      <w:r w:rsidRPr="00E4058A">
        <w:rPr>
          <w:b/>
        </w:rPr>
        <w:t>Görsel Kaynakça</w:t>
      </w:r>
    </w:p>
    <w:p w14:paraId="79D86E0D" w14:textId="77777777" w:rsidR="00FA457D" w:rsidRPr="00E546BD" w:rsidRDefault="00FA457D">
      <w:pPr>
        <w:pStyle w:val="ListeParagraf"/>
        <w:numPr>
          <w:ilvl w:val="0"/>
          <w:numId w:val="68"/>
        </w:numPr>
        <w:jc w:val="both"/>
      </w:pPr>
      <w:proofErr w:type="spellStart"/>
      <w:r w:rsidRPr="00E546BD">
        <w:t>The</w:t>
      </w:r>
      <w:proofErr w:type="spellEnd"/>
      <w:r w:rsidRPr="00E546BD">
        <w:t xml:space="preserve"> Art of </w:t>
      </w:r>
      <w:proofErr w:type="spellStart"/>
      <w:r w:rsidRPr="00E546BD">
        <w:t>Assasin’s</w:t>
      </w:r>
      <w:proofErr w:type="spellEnd"/>
      <w:r w:rsidRPr="00E546BD">
        <w:t xml:space="preserve"> </w:t>
      </w:r>
      <w:proofErr w:type="spellStart"/>
      <w:r w:rsidRPr="00E546BD">
        <w:t>Creed</w:t>
      </w:r>
      <w:proofErr w:type="spellEnd"/>
      <w:r w:rsidRPr="00E546BD">
        <w:t xml:space="preserve"> </w:t>
      </w:r>
      <w:proofErr w:type="spellStart"/>
      <w:r w:rsidRPr="00E546BD">
        <w:t>Unity</w:t>
      </w:r>
      <w:proofErr w:type="spellEnd"/>
      <w:r w:rsidRPr="00E546BD">
        <w:t xml:space="preserve">, (2014), </w:t>
      </w:r>
      <w:proofErr w:type="spellStart"/>
      <w:r w:rsidRPr="00E546BD">
        <w:t>Ubisoft</w:t>
      </w:r>
      <w:proofErr w:type="spellEnd"/>
      <w:r w:rsidRPr="00E546BD">
        <w:t xml:space="preserve"> Entertainment, </w:t>
      </w:r>
      <w:proofErr w:type="spellStart"/>
      <w:r w:rsidRPr="00E546BD">
        <w:t>London</w:t>
      </w:r>
      <w:proofErr w:type="spellEnd"/>
      <w:r w:rsidRPr="00E546BD">
        <w:t xml:space="preserve">: Titan </w:t>
      </w:r>
      <w:proofErr w:type="spellStart"/>
      <w:r w:rsidRPr="00E546BD">
        <w:t>Books</w:t>
      </w:r>
      <w:proofErr w:type="spellEnd"/>
      <w:r w:rsidRPr="00E546BD">
        <w:t>.</w:t>
      </w:r>
      <w:r>
        <w:t xml:space="preserve"> (Erişim: 08.01.2025)</w:t>
      </w:r>
    </w:p>
    <w:p w14:paraId="7F02F429" w14:textId="77777777" w:rsidR="00FA457D" w:rsidRPr="00E546BD" w:rsidRDefault="00FA457D">
      <w:pPr>
        <w:pStyle w:val="ListeParagraf"/>
        <w:numPr>
          <w:ilvl w:val="0"/>
          <w:numId w:val="68"/>
        </w:numPr>
        <w:jc w:val="both"/>
      </w:pPr>
      <w:hyperlink r:id="rId475" w:history="1">
        <w:r w:rsidRPr="00E4058A">
          <w:rPr>
            <w:rStyle w:val="Kpr"/>
            <w:rFonts w:eastAsiaTheme="majorEastAsia"/>
          </w:rPr>
          <w:t>https://www.musee-orsay.fr/en/whats-on/exhibitions/republican-icon-rouget-de-lisle-singing-la-marseillaise-painting-pils-1849</w:t>
        </w:r>
      </w:hyperlink>
      <w:r>
        <w:t xml:space="preserve"> (Erişim: 12.02.2025)</w:t>
      </w:r>
    </w:p>
    <w:p w14:paraId="2F5DCA72" w14:textId="77777777" w:rsidR="00FA457D" w:rsidRPr="00E546BD" w:rsidRDefault="00FA457D">
      <w:pPr>
        <w:pStyle w:val="ListeParagraf"/>
        <w:numPr>
          <w:ilvl w:val="0"/>
          <w:numId w:val="68"/>
        </w:numPr>
        <w:jc w:val="both"/>
      </w:pPr>
      <w:hyperlink r:id="rId476" w:history="1">
        <w:r w:rsidRPr="00E4058A">
          <w:rPr>
            <w:rStyle w:val="Kpr"/>
            <w:rFonts w:eastAsiaTheme="majorEastAsia"/>
          </w:rPr>
          <w:t>https://arkeofili.com/notre-dame-katedrali-devrim-napoleon-ve-yangin/</w:t>
        </w:r>
      </w:hyperlink>
      <w:r>
        <w:t xml:space="preserve"> (Erişim: 12.02.2025)</w:t>
      </w:r>
    </w:p>
    <w:p w14:paraId="3C2C5380" w14:textId="77777777" w:rsidR="00FA457D" w:rsidRPr="00E546BD" w:rsidRDefault="00FA457D">
      <w:pPr>
        <w:pStyle w:val="ListeParagraf"/>
        <w:numPr>
          <w:ilvl w:val="0"/>
          <w:numId w:val="68"/>
        </w:numPr>
        <w:jc w:val="both"/>
      </w:pPr>
      <w:hyperlink r:id="rId477" w:history="1">
        <w:r w:rsidRPr="00E4058A">
          <w:rPr>
            <w:rStyle w:val="Kpr"/>
            <w:rFonts w:eastAsiaTheme="majorEastAsia"/>
          </w:rPr>
          <w:t>https://www.indyturk.com/node/29456/d%C3%BCnya/notre-dame-yeni-%C3%A7at%C4%B1s%C4%B1yla-parise-enerji-sa%C4%9Flayabilir</w:t>
        </w:r>
      </w:hyperlink>
      <w:r>
        <w:t xml:space="preserve"> (Erişim: 12.02.2025)</w:t>
      </w:r>
    </w:p>
    <w:p w14:paraId="0B8C3869" w14:textId="77777777" w:rsidR="00FA457D" w:rsidRPr="00E546BD" w:rsidRDefault="00FA457D">
      <w:pPr>
        <w:pStyle w:val="ListeParagraf"/>
        <w:numPr>
          <w:ilvl w:val="0"/>
          <w:numId w:val="68"/>
        </w:numPr>
        <w:jc w:val="both"/>
      </w:pPr>
      <w:hyperlink r:id="rId478" w:history="1">
        <w:r w:rsidRPr="00E4058A">
          <w:rPr>
            <w:rStyle w:val="Kpr"/>
            <w:rFonts w:eastAsiaTheme="majorEastAsia"/>
          </w:rPr>
          <w:t>https://www.biyografiler.com/bilgi/versailles-sarayi</w:t>
        </w:r>
      </w:hyperlink>
      <w:r>
        <w:t xml:space="preserve"> (Erişim: 13.02.2025)</w:t>
      </w:r>
    </w:p>
    <w:p w14:paraId="1D5CBEA2" w14:textId="77777777" w:rsidR="00FA457D" w:rsidRPr="00E546BD" w:rsidRDefault="00FA457D">
      <w:pPr>
        <w:pStyle w:val="ListeParagraf"/>
        <w:numPr>
          <w:ilvl w:val="0"/>
          <w:numId w:val="68"/>
        </w:numPr>
        <w:jc w:val="both"/>
      </w:pPr>
      <w:hyperlink r:id="rId479" w:history="1">
        <w:r w:rsidRPr="00E4058A">
          <w:rPr>
            <w:rStyle w:val="Kpr"/>
            <w:rFonts w:eastAsiaTheme="majorEastAsia"/>
          </w:rPr>
          <w:t>https://bayaiyi.com/eyfel-kulesi/</w:t>
        </w:r>
      </w:hyperlink>
      <w:r>
        <w:t>(Erişim: 13.02.2025)</w:t>
      </w:r>
    </w:p>
    <w:p w14:paraId="0A09FFF5" w14:textId="77777777" w:rsidR="00FA457D" w:rsidRPr="00E546BD" w:rsidRDefault="00FA457D">
      <w:pPr>
        <w:pStyle w:val="ListeParagraf"/>
        <w:numPr>
          <w:ilvl w:val="0"/>
          <w:numId w:val="68"/>
        </w:numPr>
        <w:jc w:val="both"/>
      </w:pPr>
      <w:hyperlink r:id="rId480" w:history="1">
        <w:r w:rsidRPr="00E4058A">
          <w:rPr>
            <w:rStyle w:val="Kpr"/>
            <w:rFonts w:eastAsiaTheme="majorEastAsia"/>
          </w:rPr>
          <w:t>https://www.fikriyat.com/galeri/tarih/fransa-teror-doneminin-olum-makinesi-giyotin/5</w:t>
        </w:r>
      </w:hyperlink>
      <w:r>
        <w:t xml:space="preserve"> (Erişim: 13.02.2025)</w:t>
      </w:r>
    </w:p>
    <w:p w14:paraId="3CAD08D6" w14:textId="77777777" w:rsidR="00FA457D" w:rsidRPr="00E546BD" w:rsidRDefault="00FA457D">
      <w:pPr>
        <w:pStyle w:val="ListeParagraf"/>
        <w:numPr>
          <w:ilvl w:val="0"/>
          <w:numId w:val="68"/>
        </w:numPr>
        <w:jc w:val="both"/>
      </w:pPr>
      <w:hyperlink r:id="rId481" w:history="1">
        <w:r w:rsidRPr="00E4058A">
          <w:rPr>
            <w:rStyle w:val="Kpr"/>
            <w:rFonts w:eastAsiaTheme="majorEastAsia"/>
          </w:rPr>
          <w:t>https://arkeofili.com/paristeki-yeralti-mezarliginda-kaybolan-gencler-3-gun-sonra-bulundu/</w:t>
        </w:r>
      </w:hyperlink>
      <w:r>
        <w:t xml:space="preserve"> (Erişim: 13.02.2025)</w:t>
      </w:r>
    </w:p>
    <w:p w14:paraId="5538C15F" w14:textId="77777777" w:rsidR="00FA457D" w:rsidRPr="00E546BD" w:rsidRDefault="00FA457D">
      <w:pPr>
        <w:pStyle w:val="ListeParagraf"/>
        <w:numPr>
          <w:ilvl w:val="0"/>
          <w:numId w:val="68"/>
        </w:numPr>
        <w:jc w:val="both"/>
      </w:pPr>
      <w:hyperlink r:id="rId482" w:history="1">
        <w:r w:rsidRPr="00E4058A">
          <w:rPr>
            <w:rStyle w:val="Kpr"/>
            <w:rFonts w:eastAsiaTheme="majorEastAsia"/>
          </w:rPr>
          <w:t>https://www.wikiwand.com/en/articles/cataphile</w:t>
        </w:r>
      </w:hyperlink>
      <w:r>
        <w:t xml:space="preserve"> (Erişim: 13.02.2025)</w:t>
      </w:r>
    </w:p>
    <w:p w14:paraId="03C48736" w14:textId="7A445253" w:rsidR="00D47EF1" w:rsidRDefault="00FA457D">
      <w:pPr>
        <w:pStyle w:val="ListeParagraf"/>
        <w:numPr>
          <w:ilvl w:val="0"/>
          <w:numId w:val="68"/>
        </w:numPr>
        <w:jc w:val="both"/>
      </w:pPr>
      <w:hyperlink r:id="rId483" w:history="1">
        <w:r w:rsidRPr="00E4058A">
          <w:rPr>
            <w:rStyle w:val="Kpr"/>
            <w:rFonts w:eastAsiaTheme="majorEastAsia"/>
          </w:rPr>
          <w:t>https://www.arthipo.com/artblog/unlu-klasik-tablolar/fransiz-ihtilalini-anlatan-tablo.html</w:t>
        </w:r>
      </w:hyperlink>
      <w:r>
        <w:t xml:space="preserve"> (Erişim: 13.02.2025)</w:t>
      </w:r>
      <w:r w:rsidR="00D47EF1">
        <w:br w:type="page"/>
      </w:r>
    </w:p>
    <w:p w14:paraId="5E805D67" w14:textId="35AFC527" w:rsidR="00F84AD5" w:rsidRPr="00D42316" w:rsidRDefault="00990958" w:rsidP="00D47EF1">
      <w:pPr>
        <w:jc w:val="both"/>
      </w:pPr>
      <w:r>
        <w:rPr>
          <w:noProof/>
        </w:rPr>
        <w:lastRenderedPageBreak/>
        <w:drawing>
          <wp:anchor distT="0" distB="0" distL="114300" distR="114300" simplePos="0" relativeHeight="251663360" behindDoc="0" locked="0" layoutInCell="1" allowOverlap="1" wp14:anchorId="5CDE22DC" wp14:editId="25B88F1D">
            <wp:simplePos x="0" y="0"/>
            <wp:positionH relativeFrom="column">
              <wp:posOffset>-1079169</wp:posOffset>
            </wp:positionH>
            <wp:positionV relativeFrom="page">
              <wp:posOffset>-266700</wp:posOffset>
            </wp:positionV>
            <wp:extent cx="7767320" cy="12084685"/>
            <wp:effectExtent l="0" t="0" r="5080" b="5715"/>
            <wp:wrapThrough wrapText="bothSides">
              <wp:wrapPolygon edited="0">
                <wp:start x="0" y="0"/>
                <wp:lineTo x="0" y="21588"/>
                <wp:lineTo x="21579" y="21588"/>
                <wp:lineTo x="21579" y="0"/>
                <wp:lineTo x="0" y="0"/>
              </wp:wrapPolygon>
            </wp:wrapThrough>
            <wp:docPr id="694733653" name="Resim 35" descr="mavi, açık mavi, meneviş mavisi, turkuvaz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33653" name="Resim 35" descr="mavi, açık mavi, meneviş mavisi, turkuvaz içeren bir resim&#10;&#10;Yapay zeka tarafından oluşturulan içerik yanlış olabilir."/>
                    <pic:cNvPicPr/>
                  </pic:nvPicPr>
                  <pic:blipFill>
                    <a:blip r:embed="rId484">
                      <a:extLst>
                        <a:ext uri="{28A0092B-C50C-407E-A947-70E740481C1C}">
                          <a14:useLocalDpi xmlns:a14="http://schemas.microsoft.com/office/drawing/2010/main" val="0"/>
                        </a:ext>
                      </a:extLst>
                    </a:blip>
                    <a:stretch>
                      <a:fillRect/>
                    </a:stretch>
                  </pic:blipFill>
                  <pic:spPr>
                    <a:xfrm>
                      <a:off x="0" y="0"/>
                      <a:ext cx="7767320" cy="12084685"/>
                    </a:xfrm>
                    <a:prstGeom prst="rect">
                      <a:avLst/>
                    </a:prstGeom>
                  </pic:spPr>
                </pic:pic>
              </a:graphicData>
            </a:graphic>
            <wp14:sizeRelH relativeFrom="page">
              <wp14:pctWidth>0</wp14:pctWidth>
            </wp14:sizeRelH>
            <wp14:sizeRelV relativeFrom="page">
              <wp14:pctHeight>0</wp14:pctHeight>
            </wp14:sizeRelV>
          </wp:anchor>
        </w:drawing>
      </w:r>
    </w:p>
    <w:sectPr w:rsidR="00F84AD5" w:rsidRPr="00D42316" w:rsidSect="007513A1">
      <w:headerReference w:type="default" r:id="rId485"/>
      <w:type w:val="continuous"/>
      <w:pgSz w:w="11906" w:h="16838"/>
      <w:pgMar w:top="1418" w:right="1418" w:bottom="1418" w:left="1418" w:header="1304" w:footer="1361"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CA5166" w14:textId="77777777" w:rsidR="00544972" w:rsidRDefault="00544972">
      <w:r>
        <w:separator/>
      </w:r>
    </w:p>
  </w:endnote>
  <w:endnote w:type="continuationSeparator" w:id="0">
    <w:p w14:paraId="3BF3083F" w14:textId="77777777" w:rsidR="00544972" w:rsidRDefault="00544972">
      <w:r>
        <w:continuationSeparator/>
      </w:r>
    </w:p>
  </w:endnote>
  <w:endnote w:type="continuationNotice" w:id="1">
    <w:p w14:paraId="349B61E9" w14:textId="77777777" w:rsidR="00544972" w:rsidRDefault="005449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0AD2FFCA-7C5F-48BB-8F3C-C16EF63791E3}"/>
    <w:embedBold r:id="rId2" w:fontKey="{A27CCD71-D9C4-45C6-BD08-36364A585F3D}"/>
    <w:embedItalic r:id="rId3" w:fontKey="{F5267F1E-5ED8-4E00-B065-485C049DDDAD}"/>
    <w:embedBoldItalic r:id="rId4" w:fontKey="{CDE38E83-5833-48B8-B027-DF7E5F4434B6}"/>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Arial MT">
    <w:altName w:val="Arial"/>
    <w:charset w:val="01"/>
    <w:family w:val="swiss"/>
    <w:pitch w:val="variable"/>
  </w:font>
  <w:font w:name="Noto Sans Symbols">
    <w:altName w:val="Calibri"/>
    <w:charset w:val="00"/>
    <w:family w:val="auto"/>
    <w:pitch w:val="default"/>
    <w:embedRegular r:id="rId5" w:fontKey="{26AB000B-7247-48A8-85C4-8E9792AD36DF}"/>
  </w:font>
  <w:font w:name="Calibri">
    <w:panose1 w:val="020F0502020204030204"/>
    <w:charset w:val="A2"/>
    <w:family w:val="swiss"/>
    <w:pitch w:val="variable"/>
    <w:sig w:usb0="E4002EFF" w:usb1="C200247B" w:usb2="00000009" w:usb3="00000000" w:csb0="000001FF" w:csb1="00000000"/>
    <w:embedRegular r:id="rId6" w:fontKey="{57D53FC3-5442-4E7A-9EDD-D0D287AD1982}"/>
    <w:embedBold r:id="rId7" w:fontKey="{18475934-94E6-4204-B155-AF8D8A4611CB}"/>
    <w:embedItalic r:id="rId8" w:fontKey="{666178E3-C7ED-42D7-ACC1-303B5B114421}"/>
  </w:font>
  <w:font w:name="Aptos Display">
    <w:charset w:val="00"/>
    <w:family w:val="swiss"/>
    <w:pitch w:val="variable"/>
    <w:sig w:usb0="20000287" w:usb1="00000003" w:usb2="00000000" w:usb3="00000000" w:csb0="0000019F" w:csb1="00000000"/>
    <w:embedRegular r:id="rId9" w:fontKey="{6858D743-064E-48BD-828B-F4A7CE2FB97D}"/>
  </w:font>
  <w:font w:name="Helvetica">
    <w:panose1 w:val="020B0604020202020204"/>
    <w:charset w:val="00"/>
    <w:family w:val="auto"/>
    <w:pitch w:val="variable"/>
    <w:sig w:usb0="E00002FF" w:usb1="5000785B" w:usb2="00000000" w:usb3="00000000" w:csb0="0000019F" w:csb1="00000000"/>
    <w:embedRegular r:id="rId10" w:fontKey="{FC54D07F-D310-48F9-920A-7233098CB38A}"/>
  </w:font>
  <w:font w:name="Arial Unicode MS">
    <w:panose1 w:val="020B0604020202020204"/>
    <w:charset w:val="80"/>
    <w:family w:val="swiss"/>
    <w:pitch w:val="variable"/>
    <w:sig w:usb0="F7FFAFFF" w:usb1="E9DFFFFF" w:usb2="0000003F" w:usb3="00000000" w:csb0="003F01FF" w:csb1="00000000"/>
    <w:embedRegular r:id="rId11" w:subsetted="1" w:fontKey="{2FA83F07-7E9A-4C89-924A-2C90BA875028}"/>
  </w:font>
  <w:font w:name="Helvetica Neue">
    <w:altName w:val="Arial"/>
    <w:charset w:val="00"/>
    <w:family w:val="auto"/>
    <w:pitch w:val="variable"/>
    <w:sig w:usb0="E50002FF" w:usb1="500079DB" w:usb2="0000001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A2"/>
    <w:family w:val="swiss"/>
    <w:pitch w:val="variable"/>
    <w:sig w:usb0="E4002EFF" w:usb1="C000E47F" w:usb2="00000009" w:usb3="00000000" w:csb0="000001FF" w:csb1="00000000"/>
    <w:embedRegular r:id="rId12" w:fontKey="{024BF8C9-13B6-43FE-A857-02459347A786}"/>
  </w:font>
  <w:font w:name="Arial">
    <w:panose1 w:val="020B0604020202020204"/>
    <w:charset w:val="A2"/>
    <w:family w:val="swiss"/>
    <w:pitch w:val="variable"/>
    <w:sig w:usb0="E0002EFF" w:usb1="C000785B" w:usb2="00000009" w:usb3="00000000" w:csb0="000001FF" w:csb1="00000000"/>
  </w:font>
  <w:font w:name="Liberation Serif">
    <w:altName w:val="Times New Roman"/>
    <w:charset w:val="01"/>
    <w:family w:val="roman"/>
    <w:pitch w:val="variable"/>
  </w:font>
  <w:font w:name="Bitstream Vera Sans">
    <w:altName w:val="Times New Roman"/>
    <w:charset w:val="00"/>
    <w:family w:val="roman"/>
    <w:pitch w:val="default"/>
  </w:font>
  <w:font w:name="FreeSans">
    <w:altName w:val="Times New Roman"/>
    <w:charset w:val="00"/>
    <w:family w:val="roman"/>
    <w:pitch w:val="default"/>
  </w:font>
  <w:font w:name="Palatino Linotype">
    <w:panose1 w:val="02040502050505030304"/>
    <w:charset w:val="A2"/>
    <w:family w:val="roman"/>
    <w:pitch w:val="variable"/>
    <w:sig w:usb0="E0000287" w:usb1="40000013" w:usb2="00000000" w:usb3="00000000" w:csb0="0000019F" w:csb1="00000000"/>
    <w:embedRegular r:id="rId13" w:fontKey="{EA0989E4-FDBC-42E1-A92A-D0E9519A02E8}"/>
    <w:embedBold r:id="rId14" w:fontKey="{F3226209-0221-4BF9-91FF-D74002D5845C}"/>
  </w:font>
  <w:font w:name="MS Mincho">
    <w:altName w:val="ＭＳ 明朝"/>
    <w:panose1 w:val="02020609040205080304"/>
    <w:charset w:val="80"/>
    <w:family w:val="modern"/>
    <w:pitch w:val="fixed"/>
    <w:sig w:usb0="E00002FF" w:usb1="6AC7FDFB" w:usb2="08000012" w:usb3="00000000" w:csb0="0002009F" w:csb1="00000000"/>
    <w:embedRegular r:id="rId15" w:subsetted="1" w:fontKey="{349B0E0E-5479-4D2A-8947-42E13E207C87}"/>
  </w:font>
  <w:font w:name="NSimSun">
    <w:panose1 w:val="02010609030101010101"/>
    <w:charset w:val="86"/>
    <w:family w:val="modern"/>
    <w:pitch w:val="fixed"/>
    <w:sig w:usb0="00000203" w:usb1="288F0000" w:usb2="00000016" w:usb3="00000000" w:csb0="00040001" w:csb1="00000000"/>
  </w:font>
  <w:font w:name="Cambria Math">
    <w:panose1 w:val="02040503050406030204"/>
    <w:charset w:val="A2"/>
    <w:family w:val="roman"/>
    <w:pitch w:val="variable"/>
    <w:sig w:usb0="E00006FF" w:usb1="420024FF" w:usb2="02000000" w:usb3="00000000" w:csb0="0000019F" w:csb1="00000000"/>
    <w:embedItalic r:id="rId16" w:fontKey="{8712485F-8301-449A-B3B5-775497545870}"/>
  </w:font>
  <w:font w:name="MS Gothic">
    <w:altName w:val="ＭＳ ゴシック"/>
    <w:panose1 w:val="020B0609070205080204"/>
    <w:charset w:val="80"/>
    <w:family w:val="modern"/>
    <w:pitch w:val="fixed"/>
    <w:sig w:usb0="E00002FF" w:usb1="6AC7FDFB" w:usb2="08000012" w:usb3="00000000" w:csb0="0002009F" w:csb1="00000000"/>
    <w:embedRegular r:id="rId17" w:subsetted="1" w:fontKey="{071F779C-3136-4038-9C3D-3B32B29219F1}"/>
  </w:font>
  <w:font w:name="Poppins">
    <w:charset w:val="A2"/>
    <w:family w:val="auto"/>
    <w:pitch w:val="variable"/>
    <w:sig w:usb0="00008007" w:usb1="00000000" w:usb2="00000000" w:usb3="00000000" w:csb0="00000093" w:csb1="00000000"/>
    <w:embedRegular r:id="rId18" w:fontKey="{591C5C98-9B28-4449-93B5-034FE4841C9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B9DBC" w14:textId="77777777" w:rsidR="00F84AD5" w:rsidRDefault="00F84AD5">
    <w:pPr>
      <w:pBdr>
        <w:top w:val="nil"/>
        <w:left w:val="nil"/>
        <w:bottom w:val="nil"/>
        <w:right w:val="nil"/>
        <w:between w:val="nil"/>
      </w:pBdr>
      <w:tabs>
        <w:tab w:val="center" w:pos="4536"/>
        <w:tab w:val="right" w:pos="9072"/>
      </w:tabs>
      <w:rPr>
        <w:color w:val="000000"/>
      </w:rPr>
    </w:pPr>
  </w:p>
  <w:p w14:paraId="0DCF20AC" w14:textId="77777777" w:rsidR="00F84AD5" w:rsidRDefault="00F84AD5">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7EBD3" w14:textId="77777777" w:rsidR="00F84AD5" w:rsidRDefault="00F84AD5">
    <w:pPr>
      <w:pBdr>
        <w:top w:val="nil"/>
        <w:left w:val="nil"/>
        <w:bottom w:val="nil"/>
        <w:right w:val="nil"/>
        <w:between w:val="nil"/>
      </w:pBdr>
      <w:tabs>
        <w:tab w:val="center" w:pos="4536"/>
        <w:tab w:val="right" w:pos="9072"/>
      </w:tabs>
      <w:rPr>
        <w:color w:val="000000"/>
      </w:rPr>
    </w:pPr>
  </w:p>
  <w:p w14:paraId="160EAC09" w14:textId="77777777" w:rsidR="00F84AD5" w:rsidRDefault="00F84AD5">
    <w:pPr>
      <w:pBdr>
        <w:top w:val="nil"/>
        <w:left w:val="nil"/>
        <w:bottom w:val="nil"/>
        <w:right w:val="nil"/>
        <w:between w:val="nil"/>
      </w:pBdr>
      <w:tabs>
        <w:tab w:val="center" w:pos="4536"/>
        <w:tab w:val="right" w:pos="9072"/>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8331800"/>
      <w:docPartObj>
        <w:docPartGallery w:val="Page Numbers (Bottom of Page)"/>
        <w:docPartUnique/>
      </w:docPartObj>
    </w:sdtPr>
    <w:sdtContent>
      <w:p w14:paraId="376C5DDC" w14:textId="391887D1" w:rsidR="003B6CAE" w:rsidRDefault="003B6CAE">
        <w:pPr>
          <w:pStyle w:val="AltBilgi"/>
          <w:jc w:val="center"/>
        </w:pPr>
        <w:r>
          <w:fldChar w:fldCharType="begin"/>
        </w:r>
        <w:r>
          <w:instrText>PAGE   \* MERGEFORMAT</w:instrText>
        </w:r>
        <w:r>
          <w:fldChar w:fldCharType="separate"/>
        </w:r>
        <w:r>
          <w:t>2</w:t>
        </w:r>
        <w:r>
          <w:fldChar w:fldCharType="end"/>
        </w:r>
      </w:p>
    </w:sdtContent>
  </w:sdt>
  <w:p w14:paraId="31F753FC" w14:textId="5A603209" w:rsidR="001E7189" w:rsidRDefault="001E7189" w:rsidP="003B6CAE">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7394335"/>
      <w:docPartObj>
        <w:docPartGallery w:val="Page Numbers (Bottom of Page)"/>
        <w:docPartUnique/>
      </w:docPartObj>
    </w:sdtPr>
    <w:sdtContent>
      <w:p w14:paraId="5836F6E8" w14:textId="55ED5BF5" w:rsidR="000B48CF" w:rsidRDefault="000B48CF">
        <w:pPr>
          <w:pStyle w:val="AltBilgi"/>
          <w:jc w:val="center"/>
        </w:pPr>
        <w:r>
          <w:fldChar w:fldCharType="begin"/>
        </w:r>
        <w:r>
          <w:instrText>PAGE   \* MERGEFORMAT</w:instrText>
        </w:r>
        <w:r>
          <w:fldChar w:fldCharType="separate"/>
        </w:r>
        <w:r>
          <w:t>2</w:t>
        </w:r>
        <w:r>
          <w:fldChar w:fldCharType="end"/>
        </w:r>
      </w:p>
    </w:sdtContent>
  </w:sdt>
  <w:p w14:paraId="36E055DA" w14:textId="1D359187" w:rsidR="003B6CAE" w:rsidRDefault="003B6CAE" w:rsidP="003B6CAE">
    <w:pPr>
      <w:pStyle w:val="AltBilgi"/>
      <w:tabs>
        <w:tab w:val="clear" w:pos="4536"/>
        <w:tab w:val="clear" w:pos="9072"/>
        <w:tab w:val="left" w:pos="190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3972978"/>
      <w:docPartObj>
        <w:docPartGallery w:val="Page Numbers (Bottom of Page)"/>
        <w:docPartUnique/>
      </w:docPartObj>
    </w:sdtPr>
    <w:sdtContent>
      <w:p w14:paraId="760FF47E" w14:textId="45464C00" w:rsidR="000B48CF" w:rsidRDefault="000B48CF">
        <w:pPr>
          <w:pStyle w:val="AltBilgi"/>
          <w:jc w:val="center"/>
        </w:pPr>
        <w:r>
          <w:fldChar w:fldCharType="begin"/>
        </w:r>
        <w:r>
          <w:instrText>PAGE   \* MERGEFORMAT</w:instrText>
        </w:r>
        <w:r>
          <w:fldChar w:fldCharType="separate"/>
        </w:r>
        <w:r>
          <w:t>2</w:t>
        </w:r>
        <w:r>
          <w:fldChar w:fldCharType="end"/>
        </w:r>
      </w:p>
    </w:sdtContent>
  </w:sdt>
  <w:p w14:paraId="2ABCFE20" w14:textId="77777777" w:rsidR="000B48CF" w:rsidRDefault="000B48C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90026F" w14:textId="77777777" w:rsidR="00544972" w:rsidRDefault="00544972">
      <w:r>
        <w:separator/>
      </w:r>
    </w:p>
  </w:footnote>
  <w:footnote w:type="continuationSeparator" w:id="0">
    <w:p w14:paraId="1BA53996" w14:textId="77777777" w:rsidR="00544972" w:rsidRDefault="00544972">
      <w:r>
        <w:continuationSeparator/>
      </w:r>
    </w:p>
  </w:footnote>
  <w:footnote w:type="continuationNotice" w:id="1">
    <w:p w14:paraId="698112B7" w14:textId="77777777" w:rsidR="00544972" w:rsidRDefault="00544972"/>
  </w:footnote>
  <w:footnote w:id="2">
    <w:p w14:paraId="67419243" w14:textId="77777777" w:rsidR="00F84AD5" w:rsidRDefault="00AC051C">
      <w:pPr>
        <w:widowControl/>
        <w:pBdr>
          <w:top w:val="nil"/>
          <w:left w:val="nil"/>
          <w:bottom w:val="nil"/>
          <w:right w:val="nil"/>
          <w:between w:val="nil"/>
        </w:pBdr>
        <w:rPr>
          <w:rFonts w:ascii="Aptos" w:eastAsia="Aptos" w:hAnsi="Aptos" w:cs="Aptos"/>
          <w:color w:val="000000"/>
          <w:sz w:val="20"/>
          <w:szCs w:val="20"/>
        </w:rPr>
      </w:pPr>
      <w:r>
        <w:rPr>
          <w:vertAlign w:val="superscript"/>
        </w:rPr>
        <w:footnoteRef/>
      </w:r>
      <w:r>
        <w:rPr>
          <w:rFonts w:ascii="Aptos" w:eastAsia="Aptos" w:hAnsi="Aptos" w:cs="Aptos"/>
          <w:color w:val="000000"/>
          <w:sz w:val="20"/>
          <w:szCs w:val="20"/>
        </w:rPr>
        <w:t xml:space="preserve"> Çalışma, Erciyes Üniversitesi Güzel Sanatlar Enstitüsü Müzik Anasanat Dalında yürütülen yüksek lisans tezi kapsamında üretilmiştir ve 13248 kodu ile Bilimsel Araştırma Koordinatörlüğünce desteklenmektedir.</w:t>
      </w:r>
    </w:p>
  </w:footnote>
  <w:footnote w:id="3">
    <w:p w14:paraId="5994F1C6" w14:textId="77777777" w:rsidR="00F84AD5" w:rsidRDefault="00AC051C">
      <w:pPr>
        <w:widowControl/>
        <w:pBdr>
          <w:top w:val="nil"/>
          <w:left w:val="nil"/>
          <w:bottom w:val="nil"/>
          <w:right w:val="nil"/>
          <w:between w:val="nil"/>
        </w:pBdr>
        <w:rPr>
          <w:rFonts w:ascii="Aptos" w:eastAsia="Aptos" w:hAnsi="Aptos" w:cs="Aptos"/>
          <w:color w:val="000000"/>
          <w:sz w:val="20"/>
          <w:szCs w:val="20"/>
        </w:rPr>
      </w:pPr>
      <w:r>
        <w:rPr>
          <w:vertAlign w:val="superscript"/>
        </w:rPr>
        <w:footnoteRef/>
      </w:r>
      <w:r>
        <w:rPr>
          <w:rFonts w:ascii="Aptos" w:eastAsia="Aptos" w:hAnsi="Aptos" w:cs="Aptos"/>
          <w:color w:val="000000"/>
          <w:sz w:val="20"/>
          <w:szCs w:val="20"/>
        </w:rPr>
        <w:t xml:space="preserve"> Herhangi bir kuruma bağlı olmaksızın çalışmalarını kongreye iletecek olan araştırmacılar burada “Bağımsız Araştırmacı” yazmalıdırlar.</w:t>
      </w:r>
    </w:p>
  </w:footnote>
  <w:footnote w:id="4">
    <w:p w14:paraId="6F7B9A7D" w14:textId="77777777" w:rsidR="0034640B" w:rsidRDefault="0034640B" w:rsidP="0034640B">
      <w:pPr>
        <w:pStyle w:val="DipnotMetni"/>
      </w:pPr>
      <w:r w:rsidRPr="001848CD">
        <w:rPr>
          <w:rStyle w:val="DipnotBavurusu"/>
          <w:rFonts w:eastAsiaTheme="majorEastAsia"/>
        </w:rPr>
        <w:footnoteRef/>
      </w:r>
      <w:r>
        <w:t xml:space="preserve"> </w:t>
      </w:r>
      <w:r w:rsidRPr="00A82C5E">
        <w:rPr>
          <w:rFonts w:ascii="Times New Roman" w:hAnsi="Times New Roman" w:cs="Times New Roman"/>
        </w:rPr>
        <w:t>Sovyetler Birliği Komünist Partisi</w:t>
      </w:r>
    </w:p>
  </w:footnote>
  <w:footnote w:id="5">
    <w:p w14:paraId="5D7A6983" w14:textId="3FD73BEA" w:rsidR="00B470AD" w:rsidRDefault="00B470AD" w:rsidP="00B470AD">
      <w:pPr>
        <w:pStyle w:val="DipnotMetni"/>
      </w:pPr>
    </w:p>
  </w:footnote>
  <w:footnote w:id="6">
    <w:p w14:paraId="7FADF1B6" w14:textId="77777777" w:rsidR="00914DCC" w:rsidRDefault="00914DCC" w:rsidP="00914DCC">
      <w:pPr>
        <w:pStyle w:val="DipnotMetni"/>
        <w:contextualSpacing/>
      </w:pPr>
      <w:r>
        <w:rPr>
          <w:rStyle w:val="DipnotBavurusu"/>
          <w:rFonts w:eastAsiaTheme="majorEastAsia"/>
        </w:rPr>
        <w:footnoteRef/>
      </w:r>
      <w:r>
        <w:t xml:space="preserve"> </w:t>
      </w:r>
      <w:r w:rsidRPr="007359C8">
        <w:t xml:space="preserve">Tanrı'nın İbrahim'den oğlunu kurban etmesini istemesi, akla aykırı bir emirdir. İbrahim, bu emri sorgulamadan kabul ederek </w:t>
      </w:r>
      <w:r w:rsidRPr="001A7F39">
        <w:rPr>
          <w:i/>
          <w:iCs/>
        </w:rPr>
        <w:t>iman</w:t>
      </w:r>
      <w:r>
        <w:rPr>
          <w:i/>
          <w:iCs/>
        </w:rPr>
        <w:t>/inanç</w:t>
      </w:r>
      <w:r w:rsidRPr="001A7F39">
        <w:rPr>
          <w:i/>
          <w:iCs/>
        </w:rPr>
        <w:t xml:space="preserve"> sıçraması</w:t>
      </w:r>
      <w:r w:rsidRPr="007359C8">
        <w:t xml:space="preserve"> yapar.</w:t>
      </w:r>
      <w:r>
        <w:t xml:space="preserve"> </w:t>
      </w:r>
      <w:r w:rsidRPr="007359C8">
        <w:t>Kierkegaard</w:t>
      </w:r>
      <w:r>
        <w:t xml:space="preserve">, burada </w:t>
      </w:r>
      <w:r w:rsidRPr="00CC6A77">
        <w:rPr>
          <w:i/>
          <w:iCs/>
        </w:rPr>
        <w:t xml:space="preserve">iman şövalyesi </w:t>
      </w:r>
      <w:r>
        <w:t>kavramını kullanır.</w:t>
      </w:r>
      <w:r w:rsidRPr="007359C8">
        <w:t xml:space="preserve"> Bu kavram, insanın rasyonel belirsizlikler ve paradokslar karşısında bile inancı seçmesini, bu seçimin öznel ve tutkulu bir karar olduğunu vurgular. Kierkegaard'a göre, metafizik bir gerçekliği kabul etmek, mantıksal kanıtlarla değil, kişisel bir risk ve içsel bir kararlılıkla mümkündür</w:t>
      </w:r>
      <w:r>
        <w:t xml:space="preserve"> (</w:t>
      </w:r>
      <w:r w:rsidRPr="002170DB">
        <w:t>Kierkegaard, 2022, s.</w:t>
      </w:r>
      <w:r>
        <w:t>93</w:t>
      </w:r>
      <w:r w:rsidRPr="002170DB">
        <w:t>).</w:t>
      </w:r>
    </w:p>
  </w:footnote>
  <w:footnote w:id="7">
    <w:p w14:paraId="4F1EE1EE" w14:textId="77777777" w:rsidR="00914DCC" w:rsidRPr="007359C8" w:rsidRDefault="00914DCC" w:rsidP="00914DCC">
      <w:pPr>
        <w:pStyle w:val="DipnotMetni"/>
        <w:contextualSpacing/>
      </w:pPr>
      <w:r w:rsidRPr="007359C8">
        <w:rPr>
          <w:rStyle w:val="DipnotBavurusu"/>
          <w:rFonts w:eastAsiaTheme="majorEastAsia"/>
        </w:rPr>
        <w:footnoteRef/>
      </w:r>
      <w:r w:rsidRPr="007359C8">
        <w:t xml:space="preserve"> </w:t>
      </w:r>
      <w:r>
        <w:t xml:space="preserve">Freud'a göre, insan doğasının özünde mutluluk arayışı (2020, s.36) ve acı veren durumlardan uzaklaşıp zevklere yönelme eğilimi yatar (2016, s.13). </w:t>
      </w:r>
    </w:p>
  </w:footnote>
  <w:footnote w:id="8">
    <w:p w14:paraId="6ECE493D" w14:textId="77777777" w:rsidR="00914DCC" w:rsidRPr="007359C8" w:rsidRDefault="00914DCC" w:rsidP="00914DCC">
      <w:pPr>
        <w:pStyle w:val="DipnotMetni"/>
        <w:contextualSpacing/>
      </w:pPr>
      <w:r w:rsidRPr="007359C8">
        <w:rPr>
          <w:rStyle w:val="DipnotBavurusu"/>
          <w:rFonts w:eastAsiaTheme="majorEastAsia"/>
        </w:rPr>
        <w:footnoteRef/>
      </w:r>
      <w:r w:rsidRPr="007359C8">
        <w:t xml:space="preserve"> Alfred Adler, bireyin yaşamını şekillendiren temel motivasyonun "aşağılık duygusu" ve bu duyguyu aşma yönündeki "üstünlük çabası" olduğunu söyler. Adler, bireylerin hayatları boyunca bir eksiklik veya yetersizlik hissi yaşadığını ve bu hissi telafi etmek için üstünlük çabası içinde olduklarını savunur</w:t>
      </w:r>
      <w:r>
        <w:t xml:space="preserve"> (Adler, 2000, s.44; Adler, 1983, s.56)</w:t>
      </w:r>
    </w:p>
  </w:footnote>
  <w:footnote w:id="9">
    <w:p w14:paraId="7ADCAAEF" w14:textId="77777777" w:rsidR="00914DCC" w:rsidRDefault="00914DCC" w:rsidP="00914DCC">
      <w:pPr>
        <w:pStyle w:val="DipnotMetni"/>
        <w:contextualSpacing/>
      </w:pPr>
      <w:r>
        <w:rPr>
          <w:rStyle w:val="DipnotBavurusu"/>
          <w:rFonts w:eastAsiaTheme="majorEastAsia"/>
        </w:rPr>
        <w:footnoteRef/>
      </w:r>
      <w:r>
        <w:t xml:space="preserve"> </w:t>
      </w:r>
      <w:r w:rsidRPr="007359C8">
        <w:rPr>
          <w:i/>
          <w:iCs/>
        </w:rPr>
        <w:t>Godot'yu Beklerken</w:t>
      </w:r>
      <w:r w:rsidRPr="009914FB">
        <w:t>’de</w:t>
      </w:r>
      <w:r w:rsidRPr="007359C8">
        <w:t xml:space="preserve"> Vladimir ve Estragon’un Godot’yu beklemesi, sürekli ertelenen ve asla tamamlanmayan bir süreci temsil eder. Anlam, karakterlerin diyalogları ve eylemleri içinde belirsizleşir ve sürekli değişir. Seyirci, Godot’nun kim olduğunu, gelip gelmeyeceğini ya da bekleyişin anlamını hiçbir zaman kesin olarak öğrenemez</w:t>
      </w:r>
      <w:r>
        <w:t xml:space="preserve"> (Beckett, 2006)</w:t>
      </w:r>
      <w:r w:rsidRPr="007359C8">
        <w:t>.</w:t>
      </w:r>
      <w:r>
        <w:t xml:space="preserve"> </w:t>
      </w:r>
      <w:r w:rsidRPr="007359C8">
        <w:rPr>
          <w:i/>
          <w:iCs/>
        </w:rPr>
        <w:t>Krapp’in Son Bandı</w:t>
      </w:r>
      <w:r>
        <w:t xml:space="preserve">’nda ise </w:t>
      </w:r>
      <w:r w:rsidRPr="007359C8">
        <w:t>Başkarakter Krapp, geçmişte kaydettiği ses bantlarını dinleyerek kendi yaşamını yeniden anlamlandırmaya çalışır. Ancak geçmiş kayıtlarla şimdiki benliği arasındaki uyumsuzluk, anlamın sürekli kaybolan ve yeniden inşa edilmesi gereken bir süreç olduğunu gösterir</w:t>
      </w:r>
      <w:r>
        <w:t xml:space="preserve"> (Beckett, 1978)</w:t>
      </w:r>
      <w:r w:rsidRPr="007359C8">
        <w:t>.</w:t>
      </w:r>
    </w:p>
  </w:footnote>
  <w:footnote w:id="10">
    <w:p w14:paraId="52032577" w14:textId="77777777" w:rsidR="00914DCC" w:rsidRPr="00513D5A" w:rsidRDefault="00914DCC" w:rsidP="00914DCC">
      <w:pPr>
        <w:pStyle w:val="AralkYok"/>
        <w:jc w:val="both"/>
        <w:rPr>
          <w:rFonts w:ascii="Times New Roman" w:hAnsi="Times New Roman" w:cs="Times New Roman"/>
          <w:sz w:val="20"/>
          <w:szCs w:val="20"/>
        </w:rPr>
      </w:pPr>
      <w:r>
        <w:rPr>
          <w:rStyle w:val="DipnotBavurusu"/>
          <w:rFonts w:eastAsiaTheme="majorEastAsia"/>
        </w:rPr>
        <w:footnoteRef/>
      </w:r>
      <w:r w:rsidRPr="00F658A1">
        <w:rPr>
          <w:rFonts w:ascii="Times New Roman" w:hAnsi="Times New Roman" w:cs="Times New Roman"/>
          <w:sz w:val="20"/>
          <w:szCs w:val="20"/>
        </w:rPr>
        <w:t>Osmanlı kaynaklarında adı İstefanaki Karatod</w:t>
      </w:r>
      <w:r>
        <w:rPr>
          <w:rFonts w:ascii="Times New Roman" w:hAnsi="Times New Roman" w:cs="Times New Roman"/>
          <w:sz w:val="20"/>
          <w:szCs w:val="20"/>
        </w:rPr>
        <w:t>ori olarak geçen Stefanos Karatheo</w:t>
      </w:r>
      <w:r w:rsidRPr="00F658A1">
        <w:rPr>
          <w:rFonts w:ascii="Times New Roman" w:hAnsi="Times New Roman" w:cs="Times New Roman"/>
          <w:sz w:val="20"/>
          <w:szCs w:val="20"/>
        </w:rPr>
        <w:t>dori’nin Osmanlı De</w:t>
      </w:r>
      <w:r>
        <w:rPr>
          <w:rFonts w:ascii="Times New Roman" w:hAnsi="Times New Roman" w:cs="Times New Roman"/>
          <w:sz w:val="20"/>
          <w:szCs w:val="20"/>
        </w:rPr>
        <w:t>vleti’ndeki bürokratik hayatı Bâ</w:t>
      </w:r>
      <w:r w:rsidRPr="00F658A1">
        <w:rPr>
          <w:rFonts w:ascii="Times New Roman" w:hAnsi="Times New Roman" w:cs="Times New Roman"/>
          <w:sz w:val="20"/>
          <w:szCs w:val="20"/>
        </w:rPr>
        <w:t>b</w:t>
      </w:r>
      <w:r>
        <w:rPr>
          <w:rFonts w:ascii="Times New Roman" w:hAnsi="Times New Roman" w:cs="Times New Roman"/>
          <w:sz w:val="20"/>
          <w:szCs w:val="20"/>
        </w:rPr>
        <w:t>-</w:t>
      </w:r>
      <w:r w:rsidRPr="00F658A1">
        <w:rPr>
          <w:rFonts w:ascii="Times New Roman" w:hAnsi="Times New Roman" w:cs="Times New Roman"/>
          <w:sz w:val="20"/>
          <w:szCs w:val="20"/>
        </w:rPr>
        <w:t>ı</w:t>
      </w:r>
      <w:r>
        <w:rPr>
          <w:rFonts w:ascii="Times New Roman" w:hAnsi="Times New Roman" w:cs="Times New Roman"/>
          <w:sz w:val="20"/>
          <w:szCs w:val="20"/>
        </w:rPr>
        <w:t xml:space="preserve"> Â</w:t>
      </w:r>
      <w:r w:rsidRPr="00F658A1">
        <w:rPr>
          <w:rFonts w:ascii="Times New Roman" w:hAnsi="Times New Roman" w:cs="Times New Roman"/>
          <w:sz w:val="20"/>
          <w:szCs w:val="20"/>
        </w:rPr>
        <w:t>li Tercüme Odası’na girmesiyle başlamış ve sadece Hariciye Nezareti</w:t>
      </w:r>
      <w:r>
        <w:rPr>
          <w:rFonts w:ascii="Times New Roman" w:hAnsi="Times New Roman" w:cs="Times New Roman"/>
          <w:sz w:val="20"/>
          <w:szCs w:val="20"/>
        </w:rPr>
        <w:t>’nde çalışmıştır. Tercüme Odası’</w:t>
      </w:r>
      <w:r w:rsidRPr="00F658A1">
        <w:rPr>
          <w:rFonts w:ascii="Times New Roman" w:hAnsi="Times New Roman" w:cs="Times New Roman"/>
          <w:sz w:val="20"/>
          <w:szCs w:val="20"/>
        </w:rPr>
        <w:t xml:space="preserve">nda göreve başladığı yıl, eğitim almak için gittiği Berlin’de, sefaret ataşeliğine getirilmiş 1859’da ikinci kâtipliğe ve iki yıl sonra başkâtipliğe yükselmiştir. 1865’de önce St.Petersburg ardından Berlin’de geçici maslahatgüzarlık görevini yürütmüştür. Sultan Abdülaziz‟in Avrupa seyahati sırasında maiyetinde bulunan heyette görev aldıktan sonra yeniden kısa bir süre için St. Petersburg Geçici Maslahatgüzarlığı’nı üstlenmiş ardından da aynı sefaretin başkâtipliğine getirilmiştir. </w:t>
      </w:r>
      <w:r>
        <w:rPr>
          <w:rFonts w:ascii="Times New Roman" w:hAnsi="Times New Roman" w:cs="Times New Roman"/>
          <w:sz w:val="20"/>
          <w:szCs w:val="20"/>
        </w:rPr>
        <w:t>1870 yılında İstanbul’</w:t>
      </w:r>
      <w:r w:rsidRPr="00F658A1">
        <w:rPr>
          <w:rFonts w:ascii="Times New Roman" w:hAnsi="Times New Roman" w:cs="Times New Roman"/>
          <w:sz w:val="20"/>
          <w:szCs w:val="20"/>
        </w:rPr>
        <w:t>a dönmüş ve ik</w:t>
      </w:r>
      <w:r>
        <w:rPr>
          <w:rFonts w:ascii="Times New Roman" w:hAnsi="Times New Roman" w:cs="Times New Roman"/>
          <w:sz w:val="20"/>
          <w:szCs w:val="20"/>
        </w:rPr>
        <w:t>i yıl boyunca Hariciye Nezareti’</w:t>
      </w:r>
      <w:r w:rsidRPr="00F658A1">
        <w:rPr>
          <w:rFonts w:ascii="Times New Roman" w:hAnsi="Times New Roman" w:cs="Times New Roman"/>
          <w:sz w:val="20"/>
          <w:szCs w:val="20"/>
        </w:rPr>
        <w:t>nde görev yapmıştır. Ardından yenid</w:t>
      </w:r>
      <w:r>
        <w:rPr>
          <w:rFonts w:ascii="Times New Roman" w:hAnsi="Times New Roman" w:cs="Times New Roman"/>
          <w:sz w:val="20"/>
          <w:szCs w:val="20"/>
        </w:rPr>
        <w:t>en Berlin Sefareti Başkâtipliği’</w:t>
      </w:r>
      <w:r w:rsidRPr="00F658A1">
        <w:rPr>
          <w:rFonts w:ascii="Times New Roman" w:hAnsi="Times New Roman" w:cs="Times New Roman"/>
          <w:sz w:val="20"/>
          <w:szCs w:val="20"/>
        </w:rPr>
        <w:t>ne tayin edilmişse de iki yıl sonra başkâtiplik görevi uhde</w:t>
      </w:r>
      <w:r>
        <w:rPr>
          <w:rFonts w:ascii="Times New Roman" w:hAnsi="Times New Roman" w:cs="Times New Roman"/>
          <w:sz w:val="20"/>
          <w:szCs w:val="20"/>
        </w:rPr>
        <w:t>sinde kalmasına rağmen İstanbul’</w:t>
      </w:r>
      <w:r w:rsidRPr="00F658A1">
        <w:rPr>
          <w:rFonts w:ascii="Times New Roman" w:hAnsi="Times New Roman" w:cs="Times New Roman"/>
          <w:sz w:val="20"/>
          <w:szCs w:val="20"/>
        </w:rPr>
        <w:t>da ikametine izin verilmiştir.1874 yılında</w:t>
      </w:r>
      <w:r w:rsidRPr="00F658A1">
        <w:rPr>
          <w:rFonts w:ascii="Times New Roman" w:hAnsi="Times New Roman" w:cs="Times New Roman"/>
        </w:rPr>
        <w:t xml:space="preserve"> </w:t>
      </w:r>
      <w:r>
        <w:rPr>
          <w:rFonts w:ascii="Times New Roman" w:hAnsi="Times New Roman" w:cs="Times New Roman"/>
          <w:sz w:val="20"/>
          <w:szCs w:val="20"/>
        </w:rPr>
        <w:t>Berlin’</w:t>
      </w:r>
      <w:r w:rsidRPr="00F658A1">
        <w:rPr>
          <w:rFonts w:ascii="Times New Roman" w:hAnsi="Times New Roman" w:cs="Times New Roman"/>
          <w:sz w:val="20"/>
          <w:szCs w:val="20"/>
        </w:rPr>
        <w:t>deki görevine dönmüşse de kısa</w:t>
      </w:r>
      <w:r>
        <w:rPr>
          <w:rFonts w:ascii="Times New Roman" w:hAnsi="Times New Roman" w:cs="Times New Roman"/>
          <w:sz w:val="20"/>
          <w:szCs w:val="20"/>
        </w:rPr>
        <w:t xml:space="preserve"> bir süre sonra istifa etmiştir. Brüksel Sefareti’nin Londra’dan idaresi usulünden vazgeçilmesi nedeniyle</w:t>
      </w:r>
      <w:r w:rsidRPr="00F658A1">
        <w:rPr>
          <w:rFonts w:ascii="Times New Roman" w:hAnsi="Times New Roman" w:cs="Times New Roman"/>
          <w:sz w:val="20"/>
          <w:szCs w:val="20"/>
        </w:rPr>
        <w:t xml:space="preserve"> Musurus Paşa‟nın Brüksel Elçi</w:t>
      </w:r>
      <w:r>
        <w:rPr>
          <w:rFonts w:ascii="Times New Roman" w:hAnsi="Times New Roman" w:cs="Times New Roman"/>
          <w:sz w:val="20"/>
          <w:szCs w:val="20"/>
        </w:rPr>
        <w:t>liği görevi elinden alınmasıyla, Stefanos Karatheo</w:t>
      </w:r>
      <w:r w:rsidRPr="00F658A1">
        <w:rPr>
          <w:rFonts w:ascii="Times New Roman" w:hAnsi="Times New Roman" w:cs="Times New Roman"/>
          <w:sz w:val="20"/>
          <w:szCs w:val="20"/>
        </w:rPr>
        <w:t>dori</w:t>
      </w:r>
      <w:r>
        <w:rPr>
          <w:rFonts w:ascii="Times New Roman" w:hAnsi="Times New Roman" w:cs="Times New Roman"/>
          <w:sz w:val="20"/>
          <w:szCs w:val="20"/>
        </w:rPr>
        <w:t>, Brüksel Sefareti’</w:t>
      </w:r>
      <w:r w:rsidRPr="00F658A1">
        <w:rPr>
          <w:rFonts w:ascii="Times New Roman" w:hAnsi="Times New Roman" w:cs="Times New Roman"/>
          <w:sz w:val="20"/>
          <w:szCs w:val="20"/>
        </w:rPr>
        <w:t>ne murahhas ortaelçi unvanıyla tayin e</w:t>
      </w:r>
      <w:r>
        <w:rPr>
          <w:rFonts w:ascii="Times New Roman" w:hAnsi="Times New Roman" w:cs="Times New Roman"/>
          <w:sz w:val="20"/>
          <w:szCs w:val="20"/>
        </w:rPr>
        <w:t>dilmiştir. 1899'da Brüksel’deki görevine ek olarak Bern’deki Osmanlı Elçiliği’ni de üstlenmiştir.</w:t>
      </w:r>
      <w:r w:rsidRPr="00F658A1">
        <w:rPr>
          <w:rFonts w:ascii="Times New Roman" w:hAnsi="Times New Roman" w:cs="Times New Roman"/>
          <w:sz w:val="20"/>
          <w:szCs w:val="20"/>
        </w:rPr>
        <w:t xml:space="preserve"> Kostaki M</w:t>
      </w:r>
      <w:r>
        <w:rPr>
          <w:rFonts w:ascii="Times New Roman" w:hAnsi="Times New Roman" w:cs="Times New Roman"/>
          <w:sz w:val="20"/>
          <w:szCs w:val="20"/>
        </w:rPr>
        <w:t>usurus’dan sonra en uzun süre</w:t>
      </w:r>
      <w:r w:rsidRPr="00F658A1">
        <w:rPr>
          <w:rFonts w:ascii="Times New Roman" w:hAnsi="Times New Roman" w:cs="Times New Roman"/>
          <w:sz w:val="20"/>
          <w:szCs w:val="20"/>
        </w:rPr>
        <w:t xml:space="preserve"> elçilik gö</w:t>
      </w:r>
      <w:r>
        <w:rPr>
          <w:rFonts w:ascii="Times New Roman" w:hAnsi="Times New Roman" w:cs="Times New Roman"/>
          <w:sz w:val="20"/>
          <w:szCs w:val="20"/>
        </w:rPr>
        <w:t>revinde bulunan bürokrattır.. 1900 yılında Brüksel’deki görevine son verilmiş ardından İsviçre’</w:t>
      </w:r>
      <w:r w:rsidRPr="00F658A1">
        <w:rPr>
          <w:rFonts w:ascii="Times New Roman" w:hAnsi="Times New Roman" w:cs="Times New Roman"/>
          <w:sz w:val="20"/>
          <w:szCs w:val="20"/>
        </w:rPr>
        <w:t>deki elçilik v</w:t>
      </w:r>
      <w:r>
        <w:rPr>
          <w:rFonts w:ascii="Times New Roman" w:hAnsi="Times New Roman" w:cs="Times New Roman"/>
          <w:sz w:val="20"/>
          <w:szCs w:val="20"/>
        </w:rPr>
        <w:t>azifesinden de el çektirilmiştir. Bkz. (Kılıç,2009, s.177-178).</w:t>
      </w:r>
    </w:p>
  </w:footnote>
  <w:footnote w:id="11">
    <w:p w14:paraId="5DC12131" w14:textId="77777777" w:rsidR="00914DCC" w:rsidRPr="00B648E9" w:rsidRDefault="00914DCC" w:rsidP="00914DCC">
      <w:pPr>
        <w:pStyle w:val="DipnotMetni"/>
        <w:jc w:val="both"/>
        <w:rPr>
          <w:rFonts w:ascii="Times New Roman" w:hAnsi="Times New Roman" w:cs="Times New Roman"/>
        </w:rPr>
      </w:pPr>
      <w:r w:rsidRPr="00B648E9">
        <w:rPr>
          <w:rStyle w:val="DipnotBavurusu"/>
          <w:rFonts w:ascii="Times New Roman" w:eastAsiaTheme="majorEastAsia" w:hAnsi="Times New Roman" w:cs="Times New Roman"/>
        </w:rPr>
        <w:footnoteRef/>
      </w:r>
      <w:r w:rsidRPr="00B648E9">
        <w:rPr>
          <w:rFonts w:ascii="Times New Roman" w:hAnsi="Times New Roman" w:cs="Times New Roman"/>
        </w:rPr>
        <w:t xml:space="preserve"> Aleksandros Karatheodoris</w:t>
      </w:r>
      <w:r>
        <w:rPr>
          <w:rFonts w:ascii="Times New Roman" w:hAnsi="Times New Roman" w:cs="Times New Roman"/>
        </w:rPr>
        <w:t xml:space="preserve"> ile ayrıntılı bilgi için bkz. (Bozis, 2011, s.114).</w:t>
      </w:r>
    </w:p>
  </w:footnote>
  <w:footnote w:id="12">
    <w:p w14:paraId="55234245" w14:textId="77777777" w:rsidR="00914DCC" w:rsidRPr="00F658A1" w:rsidRDefault="00914DCC" w:rsidP="00914DCC">
      <w:pPr>
        <w:pStyle w:val="AralkYok"/>
        <w:jc w:val="both"/>
        <w:rPr>
          <w:rFonts w:ascii="Times New Roman" w:hAnsi="Times New Roman" w:cs="Times New Roman"/>
          <w:sz w:val="20"/>
          <w:szCs w:val="20"/>
        </w:rPr>
      </w:pPr>
      <w:r w:rsidRPr="00F658A1">
        <w:rPr>
          <w:rStyle w:val="DipnotBavurusu"/>
          <w:rFonts w:ascii="Times New Roman" w:eastAsiaTheme="majorEastAsia" w:hAnsi="Times New Roman" w:cs="Times New Roman"/>
          <w:sz w:val="20"/>
          <w:szCs w:val="20"/>
        </w:rPr>
        <w:footnoteRef/>
      </w:r>
      <w:r w:rsidRPr="00F658A1">
        <w:rPr>
          <w:rFonts w:ascii="Times New Roman" w:hAnsi="Times New Roman" w:cs="Times New Roman"/>
          <w:sz w:val="20"/>
          <w:szCs w:val="20"/>
        </w:rPr>
        <w:t xml:space="preserve"> Ayrıntı </w:t>
      </w:r>
      <w:r>
        <w:rPr>
          <w:rFonts w:ascii="Times New Roman" w:hAnsi="Times New Roman" w:cs="Times New Roman"/>
          <w:sz w:val="20"/>
          <w:szCs w:val="20"/>
        </w:rPr>
        <w:t>için bkz. (</w:t>
      </w:r>
      <w:r w:rsidRPr="00F658A1">
        <w:rPr>
          <w:rFonts w:ascii="Times New Roman" w:hAnsi="Times New Roman" w:cs="Times New Roman"/>
          <w:sz w:val="20"/>
          <w:szCs w:val="20"/>
        </w:rPr>
        <w:t xml:space="preserve">Piromali, </w:t>
      </w:r>
      <w:r w:rsidRPr="006F04F4">
        <w:rPr>
          <w:rFonts w:ascii="Times New Roman" w:hAnsi="Times New Roman" w:cs="Times New Roman"/>
          <w:sz w:val="20"/>
          <w:szCs w:val="20"/>
        </w:rPr>
        <w:t>2020</w:t>
      </w:r>
      <w:r>
        <w:rPr>
          <w:rFonts w:ascii="Times New Roman" w:hAnsi="Times New Roman" w:cs="Times New Roman"/>
          <w:i/>
          <w:sz w:val="20"/>
          <w:szCs w:val="20"/>
        </w:rPr>
        <w:t xml:space="preserve">, </w:t>
      </w:r>
      <w:r>
        <w:rPr>
          <w:rFonts w:ascii="Times New Roman" w:hAnsi="Times New Roman" w:cs="Times New Roman"/>
          <w:sz w:val="20"/>
          <w:szCs w:val="20"/>
        </w:rPr>
        <w:t>s.22-31).</w:t>
      </w:r>
    </w:p>
  </w:footnote>
  <w:footnote w:id="13">
    <w:p w14:paraId="44B2395E" w14:textId="77777777" w:rsidR="00914DCC" w:rsidRPr="001864F7" w:rsidRDefault="00914DCC" w:rsidP="00914DCC">
      <w:pPr>
        <w:pStyle w:val="DipnotMetni"/>
        <w:jc w:val="both"/>
        <w:rPr>
          <w:rFonts w:ascii="Times New Roman" w:hAnsi="Times New Roman" w:cs="Times New Roman"/>
        </w:rPr>
      </w:pPr>
      <w:r w:rsidRPr="001864F7">
        <w:rPr>
          <w:rStyle w:val="DipnotBavurusu"/>
          <w:rFonts w:ascii="Times New Roman" w:eastAsiaTheme="majorEastAsia" w:hAnsi="Times New Roman" w:cs="Times New Roman"/>
        </w:rPr>
        <w:footnoteRef/>
      </w:r>
      <w:r w:rsidRPr="001864F7">
        <w:rPr>
          <w:rFonts w:ascii="Times New Roman" w:hAnsi="Times New Roman" w:cs="Times New Roman"/>
        </w:rPr>
        <w:t xml:space="preserve"> Eleftherios Venizelos, </w:t>
      </w:r>
      <w:r>
        <w:rPr>
          <w:rFonts w:ascii="Times New Roman" w:hAnsi="Times New Roman" w:cs="Times New Roman"/>
        </w:rPr>
        <w:t>Atina’da tamamladığı hukuk eğitiminin ardından 1888’de Girit adasına avukat olarak dönmüştür. 1889’da Girit’te yapılan seçimler hem Venizelos’un hem de modern Yunanistan tarihi açısından önemli gelişmelerin başlangıcı olmuştur. 1877-78 Osmanlı-Rus savaşı sırasında Osmanlı Devleti’ne isyan eden Giritli Rumlar,  önce Ayastefanos Antlaşması sonra da Berlin Antlaşması’nın 23. Maddesi ile Büyük Güçlerin Osmanlı Devleti’ne baskısıyla Yunanistan ile birleşme amaçlarına bir adım daha yaklaşmıştır. 1878 Halepa Sözleşmesine göre Girit Valisi Hristiyan olacak ve 5 yıl süreyle görev yapacaktır. Girit Meclisi de 49’u Hristiyan, 31’i Müslüman olmak üzere 80 üyeden oluşacaktır. Bu ortamda Venizelos’un da içinde bulunduğu Girit’teki Liberal Parti’nin hedefi adanın Yunanistan ile birleşmesi olmuştur. Venizelos, 1889’da Girit’te yapılan seçimlerde Girit milletvekili seçilmiştir. (Eser, 2019, s.30-33).</w:t>
      </w:r>
    </w:p>
  </w:footnote>
  <w:footnote w:id="14">
    <w:p w14:paraId="044F9EFF" w14:textId="77777777" w:rsidR="00914DCC" w:rsidRPr="003128FB" w:rsidRDefault="00914DCC" w:rsidP="00914DCC">
      <w:pPr>
        <w:pStyle w:val="DipnotMetni"/>
        <w:jc w:val="both"/>
        <w:rPr>
          <w:rFonts w:ascii="Times New Roman" w:hAnsi="Times New Roman" w:cs="Times New Roman"/>
        </w:rPr>
      </w:pPr>
      <w:r w:rsidRPr="003128FB">
        <w:rPr>
          <w:rStyle w:val="DipnotBavurusu"/>
          <w:rFonts w:ascii="Times New Roman" w:eastAsiaTheme="majorEastAsia" w:hAnsi="Times New Roman" w:cs="Times New Roman"/>
        </w:rPr>
        <w:footnoteRef/>
      </w:r>
      <w:r w:rsidRPr="003128FB">
        <w:rPr>
          <w:rFonts w:ascii="Times New Roman" w:hAnsi="Times New Roman" w:cs="Times New Roman"/>
        </w:rPr>
        <w:t xml:space="preserve"> Işık Doğu’dan Yükselir</w:t>
      </w:r>
      <w:r>
        <w:rPr>
          <w:rFonts w:ascii="Times New Roman" w:hAnsi="Times New Roman" w:cs="Times New Roman"/>
        </w:rPr>
        <w:t>.</w:t>
      </w:r>
    </w:p>
  </w:footnote>
  <w:footnote w:id="15">
    <w:p w14:paraId="19A7A5F8" w14:textId="77777777" w:rsidR="00F84AD5" w:rsidRDefault="00AC051C">
      <w:pPr>
        <w:widowControl/>
        <w:pBdr>
          <w:top w:val="nil"/>
          <w:left w:val="nil"/>
          <w:bottom w:val="nil"/>
          <w:right w:val="nil"/>
          <w:between w:val="nil"/>
        </w:pBdr>
        <w:rPr>
          <w:rFonts w:ascii="Aptos" w:eastAsia="Aptos" w:hAnsi="Aptos" w:cs="Aptos"/>
          <w:color w:val="000000"/>
          <w:sz w:val="20"/>
          <w:szCs w:val="20"/>
        </w:rPr>
      </w:pPr>
      <w:r>
        <w:rPr>
          <w:vertAlign w:val="superscript"/>
        </w:rPr>
        <w:footnoteRef/>
      </w:r>
      <w:r>
        <w:rPr>
          <w:rFonts w:ascii="Aptos" w:eastAsia="Aptos" w:hAnsi="Aptos" w:cs="Aptos"/>
          <w:color w:val="000000"/>
          <w:sz w:val="20"/>
          <w:szCs w:val="20"/>
        </w:rPr>
        <w:t>Bu araştırma  2209-A Üniversite Öğrencileri Araştırma Projeleri Destekleme Programı (2023- 2.Dönem) tarafından desteklenmektedir.</w:t>
      </w:r>
    </w:p>
  </w:footnote>
  <w:footnote w:id="16">
    <w:p w14:paraId="0C1ADEAB" w14:textId="77777777" w:rsidR="00B4361D" w:rsidRDefault="00B4361D" w:rsidP="00B4361D">
      <w:pPr>
        <w:spacing w:line="360" w:lineRule="auto"/>
        <w:jc w:val="center"/>
      </w:pPr>
    </w:p>
    <w:p w14:paraId="4F96C919" w14:textId="5CCEA9E4" w:rsidR="00F84AD5" w:rsidRDefault="00F84AD5">
      <w:pPr>
        <w:widowControl/>
        <w:pBdr>
          <w:top w:val="nil"/>
          <w:left w:val="nil"/>
          <w:bottom w:val="nil"/>
          <w:right w:val="nil"/>
          <w:between w:val="nil"/>
        </w:pBdr>
        <w:rPr>
          <w:rFonts w:ascii="Aptos" w:eastAsia="Aptos" w:hAnsi="Aptos" w:cs="Aptos"/>
          <w:color w:val="000000"/>
          <w:sz w:val="20"/>
          <w:szCs w:val="20"/>
        </w:rPr>
      </w:pPr>
    </w:p>
  </w:footnote>
  <w:footnote w:id="17">
    <w:p w14:paraId="19818969" w14:textId="77777777" w:rsidR="001E7189" w:rsidRPr="00C574AB" w:rsidRDefault="001E7189" w:rsidP="001E7189">
      <w:pPr>
        <w:pStyle w:val="DipnotMetni"/>
        <w:rPr>
          <w:rFonts w:ascii="Times New Roman" w:hAnsi="Times New Roman" w:cs="Times New Roman"/>
        </w:rPr>
      </w:pPr>
      <w:r w:rsidRPr="00C574AB">
        <w:rPr>
          <w:rStyle w:val="DipnotBavurusu"/>
          <w:rFonts w:ascii="Times New Roman" w:hAnsi="Times New Roman" w:cs="Times New Roman"/>
        </w:rPr>
        <w:footnoteRef/>
      </w:r>
      <w:r w:rsidRPr="00C574AB">
        <w:rPr>
          <w:rFonts w:ascii="Times New Roman" w:hAnsi="Times New Roman" w:cs="Times New Roman"/>
        </w:rPr>
        <w:t xml:space="preserve"> Kırşehir Ahi Evran Üniversitesi, Sosyal Bilimler Enstitüsü, İşletme Anabilim Dalı, Doktora Öğrencisi.</w:t>
      </w:r>
    </w:p>
  </w:footnote>
  <w:footnote w:id="18">
    <w:p w14:paraId="19813FDD" w14:textId="77777777" w:rsidR="001E7189" w:rsidRPr="00C574AB" w:rsidRDefault="001E7189" w:rsidP="001E7189">
      <w:pPr>
        <w:pStyle w:val="DipnotMetni"/>
        <w:rPr>
          <w:rFonts w:ascii="Times New Roman" w:hAnsi="Times New Roman" w:cs="Times New Roman"/>
        </w:rPr>
      </w:pPr>
      <w:r w:rsidRPr="00C574AB">
        <w:rPr>
          <w:rStyle w:val="DipnotBavurusu"/>
          <w:rFonts w:ascii="Times New Roman" w:hAnsi="Times New Roman" w:cs="Times New Roman"/>
        </w:rPr>
        <w:footnoteRef/>
      </w:r>
      <w:r w:rsidRPr="00C574AB">
        <w:rPr>
          <w:rFonts w:ascii="Times New Roman" w:hAnsi="Times New Roman" w:cs="Times New Roman"/>
        </w:rPr>
        <w:t xml:space="preserve"> Kırşehir Ahi Evran </w:t>
      </w:r>
      <w:r>
        <w:rPr>
          <w:rFonts w:ascii="Times New Roman" w:hAnsi="Times New Roman" w:cs="Times New Roman"/>
        </w:rPr>
        <w:t>University</w:t>
      </w:r>
      <w:r w:rsidRPr="00C574AB">
        <w:rPr>
          <w:rFonts w:ascii="Times New Roman" w:hAnsi="Times New Roman" w:cs="Times New Roman"/>
        </w:rPr>
        <w:t xml:space="preserve">, </w:t>
      </w:r>
      <w:r>
        <w:rPr>
          <w:rFonts w:ascii="Times New Roman" w:hAnsi="Times New Roman" w:cs="Times New Roman"/>
        </w:rPr>
        <w:t>Institute of Social Sciences</w:t>
      </w:r>
      <w:r w:rsidRPr="00C574AB">
        <w:rPr>
          <w:rFonts w:ascii="Times New Roman" w:hAnsi="Times New Roman" w:cs="Times New Roman"/>
        </w:rPr>
        <w:t xml:space="preserve">, </w:t>
      </w:r>
      <w:r w:rsidRPr="00C00F36">
        <w:rPr>
          <w:rFonts w:ascii="Times New Roman" w:hAnsi="Times New Roman" w:cs="Times New Roman"/>
        </w:rPr>
        <w:t>Department of Business Administration</w:t>
      </w:r>
      <w:r w:rsidRPr="00C574AB">
        <w:rPr>
          <w:rFonts w:ascii="Times New Roman" w:hAnsi="Times New Roman" w:cs="Times New Roman"/>
        </w:rPr>
        <w:t xml:space="preserve">, </w:t>
      </w:r>
      <w:r>
        <w:rPr>
          <w:rFonts w:ascii="Times New Roman" w:hAnsi="Times New Roman" w:cs="Times New Roman"/>
        </w:rPr>
        <w:t>PhD Student.</w:t>
      </w:r>
    </w:p>
  </w:footnote>
  <w:footnote w:id="19">
    <w:p w14:paraId="0E7BB60A" w14:textId="77777777" w:rsidR="001E7189" w:rsidRPr="00097B24" w:rsidRDefault="001E7189" w:rsidP="001E7189">
      <w:pPr>
        <w:pStyle w:val="DipnotMetni"/>
      </w:pPr>
      <w:r>
        <w:rPr>
          <w:rStyle w:val="DipnotBavurusu"/>
        </w:rPr>
        <w:footnoteRef/>
      </w:r>
      <w:r>
        <w:t xml:space="preserve"> Herhangi bir kuruma bağlı olmaksızın çalışmalarını kongreye iletecek olan araştırmacılar burada “Bağımsız Araştırmacı” yazmalıdırlar.</w:t>
      </w:r>
    </w:p>
  </w:footnote>
  <w:footnote w:id="20">
    <w:p w14:paraId="3B034C50" w14:textId="77777777" w:rsidR="001E7189" w:rsidRPr="00523624" w:rsidRDefault="001E7189" w:rsidP="001E7189">
      <w:pPr>
        <w:pStyle w:val="DipnotMetni"/>
        <w:rPr>
          <w:rFonts w:asciiTheme="majorBidi" w:hAnsiTheme="majorBidi" w:cstheme="majorBidi"/>
          <w:lang w:val="en-US"/>
        </w:rPr>
      </w:pPr>
      <w:r w:rsidRPr="00523624">
        <w:rPr>
          <w:rStyle w:val="DipnotBavurusu"/>
          <w:rFonts w:asciiTheme="majorBidi" w:hAnsiTheme="majorBidi"/>
        </w:rPr>
        <w:footnoteRef/>
      </w:r>
      <w:r w:rsidRPr="00523624">
        <w:rPr>
          <w:rFonts w:asciiTheme="majorBidi" w:hAnsiTheme="majorBidi" w:cstheme="majorBidi"/>
        </w:rPr>
        <w:t xml:space="preserve"> </w:t>
      </w:r>
      <w:r w:rsidRPr="00523624">
        <w:rPr>
          <w:rFonts w:asciiTheme="majorBidi" w:hAnsiTheme="majorBidi" w:cstheme="majorBidi"/>
          <w:lang w:val="en-US"/>
        </w:rPr>
        <w:t>This study is produced from Mohammad HAJ HAMIDOW's PhD thesis titled " Comparison of Accounting Systems of Turkiye, The Kingdom of Saudi Arabia and The United Arab Emirates", that has been prepared under the supervision of Prof. Dr. Zeki DOĞAN at Niğde Ömer Halisdemir University, Institute of Social Sciences, Department of Business Administration, Division of Accounting and Finance.</w:t>
      </w:r>
    </w:p>
  </w:footnote>
  <w:footnote w:id="21">
    <w:p w14:paraId="08937920" w14:textId="77777777" w:rsidR="001E7189" w:rsidRPr="0095548A" w:rsidRDefault="001E7189" w:rsidP="001E7189">
      <w:pPr>
        <w:pStyle w:val="DipnotMetni"/>
        <w:rPr>
          <w:rFonts w:asciiTheme="majorBidi" w:hAnsiTheme="majorBidi" w:cstheme="majorBidi"/>
          <w:lang w:val="en-US"/>
        </w:rPr>
      </w:pPr>
      <w:r w:rsidRPr="0095548A">
        <w:rPr>
          <w:rStyle w:val="DipnotBavurusu"/>
          <w:rFonts w:asciiTheme="majorBidi" w:hAnsiTheme="majorBidi"/>
        </w:rPr>
        <w:footnoteRef/>
      </w:r>
      <w:r w:rsidRPr="0095548A">
        <w:rPr>
          <w:rFonts w:asciiTheme="majorBidi" w:hAnsiTheme="majorBidi" w:cstheme="majorBidi"/>
        </w:rPr>
        <w:t xml:space="preserve"> </w:t>
      </w:r>
      <w:r w:rsidRPr="0095548A">
        <w:rPr>
          <w:rFonts w:asciiTheme="majorBidi" w:hAnsiTheme="majorBidi" w:cstheme="majorBidi"/>
          <w:lang w:val="en-US"/>
        </w:rPr>
        <w:t>This study is produced from Mohammad HAJ HAMIDOW's PhD thesis titled " Comparison of Accounting Systems of Turkiye, The Kingdom of Saudi Arabia and The United Arab Emirates", that has been prepared under the supervision of Prof. Dr. Zeki DOĞAN at Niğde Ömer Halisdemir University, Institute of Social Sciences, Department of Business Administration, Division of Accounting and Finance.</w:t>
      </w:r>
    </w:p>
  </w:footnote>
  <w:footnote w:id="22">
    <w:p w14:paraId="1C9A6EDC" w14:textId="77777777" w:rsidR="001E7189" w:rsidRPr="004A77C9" w:rsidRDefault="001E7189" w:rsidP="001E7189">
      <w:pPr>
        <w:pStyle w:val="DipnotMetni"/>
        <w:jc w:val="both"/>
        <w:rPr>
          <w:rFonts w:ascii="Times New Roman" w:hAnsi="Times New Roman" w:cs="Times New Roman"/>
        </w:rPr>
      </w:pPr>
      <w:r w:rsidRPr="004A77C9">
        <w:rPr>
          <w:rStyle w:val="DipnotBavurusu"/>
          <w:rFonts w:ascii="Times New Roman" w:hAnsi="Times New Roman" w:cs="Times New Roman"/>
        </w:rPr>
        <w:footnoteRef/>
      </w:r>
      <w:r w:rsidRPr="004A77C9">
        <w:rPr>
          <w:rFonts w:ascii="Times New Roman" w:hAnsi="Times New Roman" w:cs="Times New Roman"/>
        </w:rPr>
        <w:t xml:space="preserve"> Eski coğrafyacılar dünyayı dörde ayırıp bunun dörtte birinde insanların yaşadığını kabul ederek buna “rub’-ı meskûn” demişlerdi. Rub’-ı meskûnun da yedi ülkeden oluştuğunu kabul ederek bunları 1. Hind iklimi 2. Çin iklimi 3. Türk iklimi 4. Horasan iklimi 5. Maveraünnehr iklimi 6. Rum iklimi 7. Bulgar iklimi şeklinde adlandırmışlardı. Yine eski astroloji bilgi ve inançlarına göre bu yedi iklimden her biri gezegenlerden birinin hakimiyeti altında idi. Buna göre Zühal 1., Müşteri 2., Merih 3., Güneş 4., Zühre 5., Utarid 6., Ay ise 7. ülkenin hâkimi idiler (Şentürk, 2017: 60)</w:t>
      </w:r>
      <w:r>
        <w:rPr>
          <w:rFonts w:ascii="Times New Roman" w:hAnsi="Times New Roman" w:cs="Times New Roman"/>
        </w:rPr>
        <w:t>.</w:t>
      </w:r>
    </w:p>
  </w:footnote>
  <w:footnote w:id="23">
    <w:p w14:paraId="6B9BA42B" w14:textId="77777777" w:rsidR="001E7189" w:rsidRPr="005B63F1" w:rsidRDefault="001E7189" w:rsidP="001E7189">
      <w:pPr>
        <w:pStyle w:val="DipnotMetni"/>
        <w:jc w:val="both"/>
        <w:rPr>
          <w:rFonts w:ascii="Times New Roman" w:hAnsi="Times New Roman" w:cs="Times New Roman"/>
        </w:rPr>
      </w:pPr>
      <w:r w:rsidRPr="005B63F1">
        <w:rPr>
          <w:rStyle w:val="DipnotBavurusu"/>
          <w:rFonts w:ascii="Times New Roman" w:hAnsi="Times New Roman" w:cs="Times New Roman"/>
        </w:rPr>
        <w:footnoteRef/>
      </w:r>
      <w:r w:rsidRPr="005B63F1">
        <w:rPr>
          <w:rFonts w:ascii="Times New Roman" w:hAnsi="Times New Roman" w:cs="Times New Roman"/>
        </w:rPr>
        <w:t xml:space="preserve"> </w:t>
      </w:r>
      <w:r>
        <w:rPr>
          <w:rFonts w:ascii="Times New Roman" w:hAnsi="Times New Roman" w:cs="Times New Roman"/>
        </w:rPr>
        <w:t xml:space="preserve">Ayrıntılı bilgi içi n bknz.: BELENKUYU, Bekir (2018). </w:t>
      </w:r>
      <w:r>
        <w:rPr>
          <w:rFonts w:ascii="Times New Roman" w:hAnsi="Times New Roman" w:cs="Times New Roman"/>
          <w:i/>
          <w:iCs/>
        </w:rPr>
        <w:t>Lâmiî Çelebi’nin Mesneviciliği</w:t>
      </w:r>
      <w:r>
        <w:rPr>
          <w:rFonts w:ascii="Times New Roman" w:hAnsi="Times New Roman" w:cs="Times New Roman"/>
        </w:rPr>
        <w:t xml:space="preserve">. DT. Eskişehir: Eskişehir Osmangazi Üniversitesi; BURMAOĞLU, Hamit Bilen (2023). </w:t>
      </w:r>
      <w:r>
        <w:rPr>
          <w:rFonts w:ascii="Times New Roman" w:hAnsi="Times New Roman" w:cs="Times New Roman"/>
          <w:i/>
          <w:iCs/>
        </w:rPr>
        <w:t>Lâmi’î Çelebi Dîvânı (Hayatı, Edebî Kişiliği, Eserleri ve Dîvânı’nın Tenkidli Metni)</w:t>
      </w:r>
      <w:r>
        <w:rPr>
          <w:rFonts w:ascii="Times New Roman" w:hAnsi="Times New Roman" w:cs="Times New Roman"/>
        </w:rPr>
        <w:t xml:space="preserve">. Bursa: Yıldırım Belediyesi Kültür Yayınları; </w:t>
      </w:r>
      <w:r w:rsidRPr="005B63F1">
        <w:rPr>
          <w:rFonts w:ascii="Times New Roman" w:hAnsi="Times New Roman" w:cs="Times New Roman"/>
        </w:rPr>
        <w:t>KUT, Günay (2015). “Lâmi’î Çelebi,</w:t>
      </w:r>
      <w:r>
        <w:rPr>
          <w:rFonts w:ascii="Times New Roman" w:hAnsi="Times New Roman" w:cs="Times New Roman"/>
        </w:rPr>
        <w:t xml:space="preserve"> </w:t>
      </w:r>
      <w:r w:rsidRPr="005B63F1">
        <w:rPr>
          <w:rFonts w:ascii="Times New Roman" w:hAnsi="Times New Roman" w:cs="Times New Roman"/>
        </w:rPr>
        <w:t xml:space="preserve">Mahmûd b. Osmân”, </w:t>
      </w:r>
      <w:r w:rsidRPr="005B63F1">
        <w:rPr>
          <w:rFonts w:ascii="Times New Roman" w:hAnsi="Times New Roman" w:cs="Times New Roman"/>
          <w:i/>
          <w:iCs/>
        </w:rPr>
        <w:t>Türk Edebiyatı İsimler Sözlüğü</w:t>
      </w:r>
      <w:r w:rsidRPr="005B63F1">
        <w:rPr>
          <w:rFonts w:ascii="Times New Roman" w:hAnsi="Times New Roman" w:cs="Times New Roman"/>
        </w:rPr>
        <w:t xml:space="preserve">, </w:t>
      </w:r>
      <w:hyperlink r:id="rId1" w:history="1">
        <w:r w:rsidRPr="008D7E42">
          <w:rPr>
            <w:rStyle w:val="Kpr"/>
            <w:rFonts w:ascii="Times New Roman" w:hAnsi="Times New Roman" w:cs="Times New Roman"/>
          </w:rPr>
          <w:t>http://www.turkedebiyatiisimlersozlugu.com/index.php?sayfa=de-tay&amp;detay=6797</w:t>
        </w:r>
      </w:hyperlink>
      <w:r w:rsidRPr="005B63F1">
        <w:rPr>
          <w:rFonts w:ascii="Times New Roman" w:hAnsi="Times New Roman" w:cs="Times New Roman"/>
        </w:rPr>
        <w:t xml:space="preserve">, Erişim Tarihi: </w:t>
      </w:r>
      <w:r>
        <w:rPr>
          <w:rFonts w:ascii="Times New Roman" w:hAnsi="Times New Roman" w:cs="Times New Roman"/>
        </w:rPr>
        <w:t>06</w:t>
      </w:r>
      <w:r w:rsidRPr="005B63F1">
        <w:rPr>
          <w:rFonts w:ascii="Times New Roman" w:hAnsi="Times New Roman" w:cs="Times New Roman"/>
        </w:rPr>
        <w:t>.0</w:t>
      </w:r>
      <w:r>
        <w:rPr>
          <w:rFonts w:ascii="Times New Roman" w:hAnsi="Times New Roman" w:cs="Times New Roman"/>
        </w:rPr>
        <w:t>2</w:t>
      </w:r>
      <w:r w:rsidRPr="005B63F1">
        <w:rPr>
          <w:rFonts w:ascii="Times New Roman" w:hAnsi="Times New Roman" w:cs="Times New Roman"/>
        </w:rPr>
        <w:t>.20</w:t>
      </w:r>
      <w:r>
        <w:rPr>
          <w:rFonts w:ascii="Times New Roman" w:hAnsi="Times New Roman" w:cs="Times New Roman"/>
        </w:rPr>
        <w:t xml:space="preserve">25; </w:t>
      </w:r>
      <w:r w:rsidRPr="0080399C">
        <w:rPr>
          <w:rFonts w:ascii="Times New Roman" w:hAnsi="Times New Roman" w:cs="Times New Roman"/>
        </w:rPr>
        <w:t xml:space="preserve">KUT, Günay (2003). “Lâmiî Çelebi”, </w:t>
      </w:r>
      <w:r w:rsidRPr="0080399C">
        <w:rPr>
          <w:rFonts w:ascii="Times New Roman" w:hAnsi="Times New Roman" w:cs="Times New Roman"/>
          <w:i/>
          <w:iCs/>
        </w:rPr>
        <w:t>Türkiye Diyânet Vakfı İslâm Ansiklopedisi</w:t>
      </w:r>
      <w:r w:rsidRPr="0080399C">
        <w:rPr>
          <w:rFonts w:ascii="Times New Roman" w:hAnsi="Times New Roman" w:cs="Times New Roman"/>
        </w:rPr>
        <w:t>, 37</w:t>
      </w:r>
      <w:r>
        <w:rPr>
          <w:rFonts w:ascii="Times New Roman" w:hAnsi="Times New Roman" w:cs="Times New Roman"/>
        </w:rPr>
        <w:t>:</w:t>
      </w:r>
      <w:r w:rsidRPr="0080399C">
        <w:rPr>
          <w:rFonts w:ascii="Times New Roman" w:hAnsi="Times New Roman" w:cs="Times New Roman"/>
        </w:rPr>
        <w:t xml:space="preserve"> 96-97, İstanbul.</w:t>
      </w:r>
    </w:p>
  </w:footnote>
  <w:footnote w:id="24">
    <w:p w14:paraId="4CF5F2F1" w14:textId="77777777" w:rsidR="001E7189" w:rsidRPr="0096314D" w:rsidRDefault="001E7189" w:rsidP="001E7189">
      <w:pPr>
        <w:pStyle w:val="DipnotMetni"/>
        <w:rPr>
          <w:rFonts w:ascii="Times New Roman" w:hAnsi="Times New Roman" w:cs="Times New Roman"/>
        </w:rPr>
      </w:pPr>
      <w:r w:rsidRPr="0096314D">
        <w:rPr>
          <w:rStyle w:val="DipnotBavurusu"/>
          <w:rFonts w:ascii="Times New Roman" w:hAnsi="Times New Roman" w:cs="Times New Roman"/>
        </w:rPr>
        <w:footnoteRef/>
      </w:r>
      <w:r w:rsidRPr="0096314D">
        <w:rPr>
          <w:rFonts w:ascii="Times New Roman" w:hAnsi="Times New Roman" w:cs="Times New Roman"/>
        </w:rPr>
        <w:t xml:space="preserve"> </w:t>
      </w:r>
      <w:r>
        <w:rPr>
          <w:rFonts w:ascii="Times New Roman" w:hAnsi="Times New Roman" w:cs="Times New Roman"/>
        </w:rPr>
        <w:t>Bir karış: 20-22 santimetreye tekabül eden uzunluk birimi. Bir tutam: 11 santimetreye tekabül eden uzunluk birimi.</w:t>
      </w:r>
    </w:p>
  </w:footnote>
  <w:footnote w:id="25">
    <w:p w14:paraId="1275E1FE"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Ayrıntılı bilgi için Bkz: Başbakanlık Osmanlı Arşivi Rehberi, TC. Başbakanlık Devlet Arşivleri Genel Müdürlüğü Osmanlı Arşivi Daire Başkanlığı, İstanbul 2017.</w:t>
      </w:r>
    </w:p>
  </w:footnote>
  <w:footnote w:id="26">
    <w:p w14:paraId="4F6B89F7" w14:textId="77777777" w:rsidR="001E7189" w:rsidRPr="00F228B9" w:rsidRDefault="001E7189" w:rsidP="001E7189">
      <w:pPr>
        <w:pStyle w:val="DipnotMetni"/>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Ekrem Buğra Ekinci, Tanzimat Sonrası Osmanlı Mahkemeleri, İstanbul 2010, s. 67-70.</w:t>
      </w:r>
    </w:p>
  </w:footnote>
  <w:footnote w:id="27">
    <w:p w14:paraId="6B98A783"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w:t>
      </w:r>
      <w:bookmarkStart w:id="183" w:name="_Hlk177251000"/>
      <w:r w:rsidRPr="00F228B9">
        <w:rPr>
          <w:rFonts w:ascii="Times New Roman" w:hAnsi="Times New Roman"/>
        </w:rPr>
        <w:t xml:space="preserve">İlhan Bulut, “İslam ve Osmanlı Ceza Hukukunda Hataen Öldürme Suçu”, </w:t>
      </w:r>
      <w:r>
        <w:rPr>
          <w:rFonts w:ascii="Times New Roman" w:hAnsi="Times New Roman"/>
        </w:rPr>
        <w:t>Yıldırım Beyazıt Hukuk Dergisi</w:t>
      </w:r>
      <w:r w:rsidRPr="00F228B9">
        <w:rPr>
          <w:rFonts w:ascii="Times New Roman" w:hAnsi="Times New Roman"/>
        </w:rPr>
        <w:t>, S</w:t>
      </w:r>
      <w:r>
        <w:rPr>
          <w:rFonts w:ascii="Times New Roman" w:hAnsi="Times New Roman"/>
        </w:rPr>
        <w:t xml:space="preserve">. 1, </w:t>
      </w:r>
      <w:r w:rsidRPr="00F228B9">
        <w:rPr>
          <w:rFonts w:ascii="Times New Roman" w:hAnsi="Times New Roman"/>
        </w:rPr>
        <w:t>2018</w:t>
      </w:r>
      <w:r>
        <w:rPr>
          <w:rFonts w:ascii="Times New Roman" w:hAnsi="Times New Roman"/>
        </w:rPr>
        <w:t>,</w:t>
      </w:r>
      <w:r w:rsidRPr="00F228B9">
        <w:rPr>
          <w:rFonts w:ascii="Times New Roman" w:hAnsi="Times New Roman"/>
        </w:rPr>
        <w:t xml:space="preserve"> s.49-51.</w:t>
      </w:r>
    </w:p>
    <w:bookmarkEnd w:id="183"/>
  </w:footnote>
  <w:footnote w:id="28">
    <w:p w14:paraId="5A5F442D" w14:textId="77777777" w:rsidR="001E7189" w:rsidRPr="00833931" w:rsidRDefault="001E7189" w:rsidP="001E7189">
      <w:pPr>
        <w:pStyle w:val="DipnotMetni"/>
        <w:jc w:val="both"/>
        <w:rPr>
          <w:rFonts w:ascii="Times New Roman" w:hAnsi="Times New Roman"/>
        </w:rPr>
      </w:pPr>
      <w:r w:rsidRPr="00833931">
        <w:rPr>
          <w:rStyle w:val="DipnotBavurusu"/>
          <w:rFonts w:ascii="Times New Roman" w:hAnsi="Times New Roman"/>
        </w:rPr>
        <w:footnoteRef/>
      </w:r>
      <w:r w:rsidRPr="00833931">
        <w:rPr>
          <w:rFonts w:ascii="Times New Roman" w:hAnsi="Times New Roman"/>
        </w:rPr>
        <w:t xml:space="preserve"> Akbulut, a.g.e, s. 51, 52, 57.</w:t>
      </w:r>
    </w:p>
  </w:footnote>
  <w:footnote w:id="29">
    <w:p w14:paraId="13C7484B" w14:textId="77777777" w:rsidR="001E7189" w:rsidRDefault="001E7189" w:rsidP="001E7189">
      <w:pPr>
        <w:pStyle w:val="DipnotMetni"/>
        <w:jc w:val="both"/>
      </w:pPr>
      <w:r>
        <w:rPr>
          <w:rStyle w:val="DipnotBavurusu"/>
        </w:rPr>
        <w:footnoteRef/>
      </w:r>
      <w:r>
        <w:t xml:space="preserve"> </w:t>
      </w:r>
      <w:r w:rsidRPr="004A6894">
        <w:rPr>
          <w:rFonts w:ascii="Times New Roman" w:eastAsia="Calibri" w:hAnsi="Times New Roman" w:cs="Times New Roman"/>
          <w:bCs/>
        </w:rPr>
        <w:t>“</w:t>
      </w:r>
      <w:r w:rsidRPr="004A6894">
        <w:rPr>
          <w:rFonts w:ascii="Times New Roman" w:eastAsia="Calibri" w:hAnsi="Times New Roman" w:cs="Times New Roman"/>
          <w:bCs/>
          <w:i/>
          <w:iCs/>
        </w:rPr>
        <w:t>Madde-i katl am</w:t>
      </w:r>
      <w:r>
        <w:rPr>
          <w:rFonts w:ascii="Times New Roman" w:eastAsia="Calibri" w:hAnsi="Times New Roman" w:cs="Times New Roman"/>
          <w:bCs/>
          <w:i/>
          <w:iCs/>
        </w:rPr>
        <w:t>m</w:t>
      </w:r>
      <w:r w:rsidRPr="004A6894">
        <w:rPr>
          <w:rFonts w:ascii="Times New Roman" w:eastAsia="Calibri" w:hAnsi="Times New Roman" w:cs="Times New Roman"/>
          <w:bCs/>
          <w:i/>
          <w:iCs/>
        </w:rPr>
        <w:t>den olmayıp hatâen olduğu takdirde o makûle hatâen olan maktûlün kâtili kendisinden o misillû efâl vuku bulmamış kimesne olduğu ve sabıkası olmayıp hakkında hüsn-i</w:t>
      </w:r>
      <w:r w:rsidRPr="004A6894">
        <w:t xml:space="preserve"> </w:t>
      </w:r>
      <w:r w:rsidRPr="004A6894">
        <w:rPr>
          <w:rFonts w:ascii="Times New Roman" w:eastAsia="Calibri" w:hAnsi="Times New Roman" w:cs="Times New Roman"/>
          <w:bCs/>
          <w:i/>
          <w:iCs/>
        </w:rPr>
        <w:t>i şehâdet olunarak mazınne-i sû' olmadığı inde'ş-şer' tebeyyün eder ise yalnız icab-ı şer'îsinin iktizasıyla iktifa olunup mazınne-i sû’ olduğu halde nizâmen bir sene müddet için küreğe veya prangaya vaz'-ı rah oluna</w:t>
      </w:r>
      <w:r w:rsidRPr="004A6894">
        <w:rPr>
          <w:rFonts w:ascii="Times New Roman" w:eastAsia="Calibri" w:hAnsi="Times New Roman" w:cs="Times New Roman"/>
          <w:bCs/>
        </w:rPr>
        <w:t>”</w:t>
      </w:r>
      <w:r>
        <w:rPr>
          <w:rFonts w:ascii="Times New Roman" w:eastAsia="Calibri" w:hAnsi="Times New Roman" w:cs="Times New Roman"/>
          <w:bCs/>
        </w:rPr>
        <w:t>. Ahmet Akgündüz, Mukayeseli İslam Hukuku ve Külliyatı, Diyarbakır 1996, s. 824.</w:t>
      </w:r>
    </w:p>
  </w:footnote>
  <w:footnote w:id="30">
    <w:p w14:paraId="5F2D25D5" w14:textId="77777777" w:rsidR="001E7189" w:rsidRDefault="001E7189" w:rsidP="001E7189">
      <w:pPr>
        <w:pStyle w:val="DipnotMetni"/>
        <w:jc w:val="both"/>
      </w:pPr>
      <w:r>
        <w:rPr>
          <w:rStyle w:val="DipnotBavurusu"/>
        </w:rPr>
        <w:footnoteRef/>
      </w:r>
      <w:r>
        <w:t xml:space="preserve"> </w:t>
      </w:r>
      <w:r w:rsidRPr="004A6894">
        <w:rPr>
          <w:rFonts w:ascii="Times New Roman" w:eastAsia="Calibri" w:hAnsi="Times New Roman" w:cs="Times New Roman"/>
          <w:bCs/>
        </w:rPr>
        <w:t>“</w:t>
      </w:r>
      <w:r w:rsidRPr="004A6894">
        <w:rPr>
          <w:rFonts w:ascii="Times New Roman" w:eastAsia="Calibri" w:hAnsi="Times New Roman" w:cs="Times New Roman"/>
          <w:bCs/>
          <w:i/>
          <w:iCs/>
        </w:rPr>
        <w:t>Bir kimse bir şahsı hatâen itlâf eder yahut bi-gavr-ı kasdın telef-i nefsine sebeb olur ise, verese-i maktûlün hukuk-ı şer‘iyesi bi’l-muhakeme istifa olunduktan sonra, eğer bu cerh ve darb keyfiyeti dikkatsizlikden ve nizâmâta riâyetsizlikten neş’et etmiş ise, altı aydan iki seneye kadar habs ile mücâzât olunur</w:t>
      </w:r>
      <w:r w:rsidRPr="004A6894">
        <w:rPr>
          <w:rFonts w:ascii="Times New Roman" w:eastAsia="Calibri" w:hAnsi="Times New Roman" w:cs="Times New Roman"/>
          <w:bCs/>
        </w:rPr>
        <w:t>”</w:t>
      </w:r>
      <w:r>
        <w:rPr>
          <w:rFonts w:ascii="Times New Roman" w:eastAsia="Calibri" w:hAnsi="Times New Roman" w:cs="Times New Roman"/>
          <w:bCs/>
        </w:rPr>
        <w:t>. Akgündüz, a. g. e, s. 862-863.</w:t>
      </w:r>
    </w:p>
  </w:footnote>
  <w:footnote w:id="31">
    <w:p w14:paraId="62114C3F" w14:textId="77777777" w:rsidR="001E7189" w:rsidRPr="006C5598" w:rsidRDefault="001E7189" w:rsidP="001E7189">
      <w:pPr>
        <w:pStyle w:val="DipnotMetni"/>
        <w:jc w:val="both"/>
        <w:rPr>
          <w:rFonts w:ascii="Times New Roman" w:hAnsi="Times New Roman" w:cs="Times New Roman"/>
        </w:rPr>
      </w:pPr>
      <w:r w:rsidRPr="006C5598">
        <w:rPr>
          <w:rStyle w:val="DipnotBavurusu"/>
          <w:rFonts w:ascii="Times New Roman" w:hAnsi="Times New Roman" w:cs="Times New Roman"/>
        </w:rPr>
        <w:footnoteRef/>
      </w:r>
      <w:r w:rsidRPr="006C5598">
        <w:rPr>
          <w:rFonts w:ascii="Times New Roman" w:hAnsi="Times New Roman" w:cs="Times New Roman"/>
        </w:rPr>
        <w:t xml:space="preserve"> </w:t>
      </w:r>
      <w:bookmarkStart w:id="185" w:name="_Hlk177251048"/>
      <w:r w:rsidRPr="006C5598">
        <w:rPr>
          <w:rFonts w:ascii="Times New Roman" w:hAnsi="Times New Roman" w:cs="Times New Roman"/>
        </w:rPr>
        <w:t>Ertuğrul Ünal, Taksirle Ölüme Sebebiyet Verme Suçu, İstanbul Üniversitesi Sosyal Bilimler Enstitüsü, Yayımlanmamış Yüksek Lisans Tezi, İstanbul 2015</w:t>
      </w:r>
      <w:bookmarkEnd w:id="185"/>
      <w:r w:rsidRPr="006C5598">
        <w:rPr>
          <w:rFonts w:ascii="Times New Roman" w:hAnsi="Times New Roman" w:cs="Times New Roman"/>
        </w:rPr>
        <w:t xml:space="preserve">, s. </w:t>
      </w:r>
      <w:r>
        <w:rPr>
          <w:rFonts w:ascii="Times New Roman" w:hAnsi="Times New Roman" w:cs="Times New Roman"/>
        </w:rPr>
        <w:t xml:space="preserve">27, </w:t>
      </w:r>
      <w:r w:rsidRPr="006C5598">
        <w:rPr>
          <w:rFonts w:ascii="Times New Roman" w:hAnsi="Times New Roman" w:cs="Times New Roman"/>
        </w:rPr>
        <w:t>31.</w:t>
      </w:r>
    </w:p>
  </w:footnote>
  <w:footnote w:id="32">
    <w:p w14:paraId="4CA6EDFE" w14:textId="77777777" w:rsidR="001E7189" w:rsidRPr="006C5598" w:rsidRDefault="001E7189" w:rsidP="001E7189">
      <w:pPr>
        <w:pStyle w:val="DipnotMetni"/>
        <w:rPr>
          <w:rFonts w:ascii="Times New Roman" w:hAnsi="Times New Roman" w:cs="Times New Roman"/>
        </w:rPr>
      </w:pPr>
      <w:r w:rsidRPr="006C5598">
        <w:rPr>
          <w:rStyle w:val="DipnotBavurusu"/>
          <w:rFonts w:ascii="Times New Roman" w:hAnsi="Times New Roman" w:cs="Times New Roman"/>
        </w:rPr>
        <w:footnoteRef/>
      </w:r>
      <w:r w:rsidRPr="006C5598">
        <w:rPr>
          <w:rFonts w:ascii="Times New Roman" w:hAnsi="Times New Roman" w:cs="Times New Roman"/>
        </w:rPr>
        <w:t xml:space="preserve"> Ercüment Dizdar, </w:t>
      </w:r>
      <w:r>
        <w:rPr>
          <w:rFonts w:ascii="Times New Roman" w:hAnsi="Times New Roman" w:cs="Times New Roman"/>
        </w:rPr>
        <w:t xml:space="preserve">“Kaza Sebeplendirme Yaklaşımları”, </w:t>
      </w:r>
      <w:r w:rsidRPr="006C5598">
        <w:rPr>
          <w:rFonts w:ascii="Times New Roman" w:hAnsi="Times New Roman" w:cs="Times New Roman"/>
        </w:rPr>
        <w:t xml:space="preserve">TTB Mesleki Sağlık ve Güvenlik Dergisi, </w:t>
      </w:r>
      <w:r>
        <w:rPr>
          <w:rFonts w:ascii="Times New Roman" w:hAnsi="Times New Roman" w:cs="Times New Roman"/>
        </w:rPr>
        <w:t>2001</w:t>
      </w:r>
      <w:r w:rsidRPr="006C5598">
        <w:rPr>
          <w:rFonts w:ascii="Times New Roman" w:hAnsi="Times New Roman" w:cs="Times New Roman"/>
        </w:rPr>
        <w:t>, s.</w:t>
      </w:r>
      <w:r>
        <w:rPr>
          <w:rFonts w:ascii="Times New Roman" w:hAnsi="Times New Roman" w:cs="Times New Roman"/>
        </w:rPr>
        <w:t xml:space="preserve"> </w:t>
      </w:r>
      <w:r w:rsidRPr="006C5598">
        <w:rPr>
          <w:rFonts w:ascii="Times New Roman" w:hAnsi="Times New Roman" w:cs="Times New Roman"/>
        </w:rPr>
        <w:t>26</w:t>
      </w:r>
      <w:r>
        <w:rPr>
          <w:rFonts w:ascii="Times New Roman" w:hAnsi="Times New Roman" w:cs="Times New Roman"/>
        </w:rPr>
        <w:t>.</w:t>
      </w:r>
    </w:p>
  </w:footnote>
  <w:footnote w:id="33">
    <w:p w14:paraId="3B0512B3" w14:textId="77777777" w:rsidR="001E7189" w:rsidRPr="006C5598" w:rsidRDefault="001E7189" w:rsidP="001E7189">
      <w:pPr>
        <w:pStyle w:val="DipnotMetni"/>
        <w:rPr>
          <w:rFonts w:ascii="Times New Roman" w:hAnsi="Times New Roman" w:cs="Times New Roman"/>
        </w:rPr>
      </w:pPr>
      <w:r w:rsidRPr="006C5598">
        <w:rPr>
          <w:rStyle w:val="DipnotBavurusu"/>
          <w:rFonts w:ascii="Times New Roman" w:hAnsi="Times New Roman" w:cs="Times New Roman"/>
        </w:rPr>
        <w:footnoteRef/>
      </w:r>
      <w:r w:rsidRPr="006C5598">
        <w:rPr>
          <w:rFonts w:ascii="Times New Roman" w:hAnsi="Times New Roman" w:cs="Times New Roman"/>
        </w:rPr>
        <w:t xml:space="preserve"> Rahmi Dirican, “Kazaların Epidemiyolojisi ve Önlenmesi”, Atatürk Üniversitesi Tıp Fakültesi Dergisi, C. 5 S. 17, 1972, s. 51.</w:t>
      </w:r>
    </w:p>
  </w:footnote>
  <w:footnote w:id="34">
    <w:p w14:paraId="4CAB264F" w14:textId="77777777" w:rsidR="001E7189" w:rsidRPr="006C5598" w:rsidRDefault="001E7189" w:rsidP="001E7189">
      <w:pPr>
        <w:pStyle w:val="DipnotMetni"/>
        <w:jc w:val="both"/>
        <w:rPr>
          <w:rFonts w:ascii="Times New Roman" w:hAnsi="Times New Roman" w:cs="Times New Roman"/>
        </w:rPr>
      </w:pPr>
      <w:r w:rsidRPr="006C5598">
        <w:rPr>
          <w:rStyle w:val="DipnotBavurusu"/>
          <w:rFonts w:ascii="Times New Roman" w:hAnsi="Times New Roman" w:cs="Times New Roman"/>
        </w:rPr>
        <w:footnoteRef/>
      </w:r>
      <w:r w:rsidRPr="006C5598">
        <w:rPr>
          <w:rFonts w:ascii="Times New Roman" w:hAnsi="Times New Roman" w:cs="Times New Roman"/>
        </w:rPr>
        <w:t xml:space="preserve"> Dirican, a. g.e, s. 53.</w:t>
      </w:r>
    </w:p>
  </w:footnote>
  <w:footnote w:id="35">
    <w:p w14:paraId="5CE970E6" w14:textId="77777777" w:rsidR="001E7189" w:rsidRPr="00EA13E5" w:rsidRDefault="001E7189" w:rsidP="001E7189">
      <w:pPr>
        <w:pStyle w:val="DipnotMetni"/>
        <w:rPr>
          <w:rFonts w:ascii="Times New Roman" w:hAnsi="Times New Roman" w:cs="Times New Roman"/>
        </w:rPr>
      </w:pPr>
      <w:r w:rsidRPr="00EA13E5">
        <w:rPr>
          <w:rStyle w:val="DipnotBavurusu"/>
          <w:rFonts w:ascii="Times New Roman" w:hAnsi="Times New Roman" w:cs="Times New Roman"/>
        </w:rPr>
        <w:footnoteRef/>
      </w:r>
      <w:r w:rsidRPr="00EA13E5">
        <w:rPr>
          <w:rFonts w:ascii="Times New Roman" w:hAnsi="Times New Roman" w:cs="Times New Roman"/>
        </w:rPr>
        <w:t xml:space="preserve"> Dizdar, a. g. e, s. </w:t>
      </w:r>
      <w:r>
        <w:rPr>
          <w:rFonts w:ascii="Times New Roman" w:hAnsi="Times New Roman" w:cs="Times New Roman"/>
        </w:rPr>
        <w:t>27-28.</w:t>
      </w:r>
    </w:p>
  </w:footnote>
  <w:footnote w:id="36">
    <w:p w14:paraId="029D1D59" w14:textId="77777777" w:rsidR="001E7189" w:rsidRPr="00833931" w:rsidRDefault="001E7189" w:rsidP="001E7189">
      <w:pPr>
        <w:pStyle w:val="DipnotMetni"/>
        <w:jc w:val="both"/>
        <w:rPr>
          <w:rFonts w:ascii="Times New Roman" w:hAnsi="Times New Roman"/>
        </w:rPr>
      </w:pPr>
      <w:r w:rsidRPr="00833931">
        <w:rPr>
          <w:rStyle w:val="DipnotBavurusu"/>
          <w:rFonts w:ascii="Times New Roman" w:hAnsi="Times New Roman"/>
        </w:rPr>
        <w:footnoteRef/>
      </w:r>
      <w:r w:rsidRPr="00833931">
        <w:rPr>
          <w:rFonts w:ascii="Times New Roman" w:hAnsi="Times New Roman"/>
        </w:rPr>
        <w:t xml:space="preserve"> </w:t>
      </w:r>
      <w:bookmarkStart w:id="187" w:name="_Hlk177251147"/>
      <w:r w:rsidRPr="00833931">
        <w:rPr>
          <w:rFonts w:ascii="Times New Roman" w:hAnsi="Times New Roman"/>
        </w:rPr>
        <w:t xml:space="preserve">Ömer Korkmaz-Nasi Aslan, “Osmanlı Ceza Muhakemesinde Olay Yeri Ön İnceleme -Keşif ve Tahrir- Raporları”, İslam Hukuku Araştırmaları Dergisi, </w:t>
      </w:r>
      <w:r>
        <w:rPr>
          <w:rFonts w:ascii="Times New Roman" w:hAnsi="Times New Roman"/>
        </w:rPr>
        <w:t>S.</w:t>
      </w:r>
      <w:r w:rsidRPr="00833931">
        <w:rPr>
          <w:rFonts w:ascii="Times New Roman" w:hAnsi="Times New Roman"/>
        </w:rPr>
        <w:t xml:space="preserve"> 33, 2019, </w:t>
      </w:r>
      <w:bookmarkEnd w:id="187"/>
      <w:r w:rsidRPr="00833931">
        <w:rPr>
          <w:rFonts w:ascii="Times New Roman" w:hAnsi="Times New Roman"/>
        </w:rPr>
        <w:t>s. 241, 249, 250.</w:t>
      </w:r>
    </w:p>
  </w:footnote>
  <w:footnote w:id="37">
    <w:p w14:paraId="607B811F" w14:textId="77777777" w:rsidR="001E7189" w:rsidRPr="00833931" w:rsidRDefault="001E7189" w:rsidP="001E7189">
      <w:pPr>
        <w:pStyle w:val="DipnotMetni"/>
        <w:jc w:val="both"/>
        <w:rPr>
          <w:rFonts w:ascii="Times New Roman" w:hAnsi="Times New Roman"/>
        </w:rPr>
      </w:pPr>
      <w:r w:rsidRPr="00833931">
        <w:rPr>
          <w:rStyle w:val="DipnotBavurusu"/>
          <w:rFonts w:ascii="Times New Roman" w:hAnsi="Times New Roman"/>
        </w:rPr>
        <w:footnoteRef/>
      </w:r>
      <w:r w:rsidRPr="00833931">
        <w:rPr>
          <w:rFonts w:ascii="Times New Roman" w:hAnsi="Times New Roman"/>
        </w:rPr>
        <w:t xml:space="preserve"> </w:t>
      </w:r>
      <w:bookmarkStart w:id="189" w:name="_Hlk177251210"/>
      <w:r w:rsidRPr="00833931">
        <w:rPr>
          <w:rFonts w:ascii="Times New Roman" w:hAnsi="Times New Roman"/>
        </w:rPr>
        <w:t>İzzet Sak-Ayşe Güngören, “Şer’iye Sicilleri Işığında Osmanlı Devleti’nde Adli Olaylarda Keşif: Konya Örneği (1690-1740)”, Tarihin Peşinde, S. 23, 2020, s. 172.</w:t>
      </w:r>
    </w:p>
    <w:bookmarkEnd w:id="189"/>
  </w:footnote>
  <w:footnote w:id="38">
    <w:p w14:paraId="7D157F64" w14:textId="77777777" w:rsidR="001E7189" w:rsidRPr="00F43B6E" w:rsidRDefault="001E7189" w:rsidP="001E7189">
      <w:pPr>
        <w:pStyle w:val="DipnotMetni"/>
        <w:rPr>
          <w:rFonts w:ascii="Times New Roman" w:hAnsi="Times New Roman" w:cs="Times New Roman"/>
        </w:rPr>
      </w:pPr>
      <w:r>
        <w:rPr>
          <w:rStyle w:val="DipnotBavurusu"/>
        </w:rPr>
        <w:footnoteRef/>
      </w:r>
      <w:r>
        <w:t xml:space="preserve"> </w:t>
      </w:r>
      <w:r w:rsidRPr="00F43B6E">
        <w:rPr>
          <w:rFonts w:ascii="Times New Roman" w:hAnsi="Times New Roman" w:cs="Times New Roman"/>
        </w:rPr>
        <w:t>Korkmaz-Aslan, a.g.e, s. 250-252.</w:t>
      </w:r>
    </w:p>
  </w:footnote>
  <w:footnote w:id="39">
    <w:p w14:paraId="3CC51D35" w14:textId="77777777" w:rsidR="001E7189" w:rsidRPr="00F43B6E" w:rsidRDefault="001E7189" w:rsidP="001E7189">
      <w:pPr>
        <w:pStyle w:val="DipnotMetni"/>
        <w:jc w:val="both"/>
        <w:rPr>
          <w:rFonts w:ascii="Times New Roman" w:hAnsi="Times New Roman" w:cs="Times New Roman"/>
        </w:rPr>
      </w:pPr>
      <w:r w:rsidRPr="00F43B6E">
        <w:rPr>
          <w:rStyle w:val="DipnotBavurusu"/>
          <w:rFonts w:ascii="Times New Roman" w:hAnsi="Times New Roman" w:cs="Times New Roman"/>
        </w:rPr>
        <w:footnoteRef/>
      </w:r>
      <w:r w:rsidRPr="00F43B6E">
        <w:rPr>
          <w:rFonts w:ascii="Times New Roman" w:hAnsi="Times New Roman" w:cs="Times New Roman"/>
        </w:rPr>
        <w:t>Sak-Göngören, a.g.e, s. 175.</w:t>
      </w:r>
    </w:p>
  </w:footnote>
  <w:footnote w:id="40">
    <w:p w14:paraId="70FE5A16"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w:t>
      </w:r>
      <w:bookmarkStart w:id="192" w:name="_Hlk177251578"/>
      <w:r w:rsidRPr="00995700">
        <w:rPr>
          <w:rFonts w:ascii="Times New Roman" w:hAnsi="Times New Roman"/>
        </w:rPr>
        <w:t>Sibel Kavaklı, “Ölüm ve Yaralama Olaylarıyla İlgili Keşif Hüccetlerinin Değerlendirilmesi: Onyedinci Yüzyıl Amasya Şer‘iyye Sicillerinden Örneklerle”,  History Studies International Journal Of History, C.</w:t>
      </w:r>
      <w:r>
        <w:rPr>
          <w:rFonts w:ascii="Times New Roman" w:hAnsi="Times New Roman"/>
        </w:rPr>
        <w:t xml:space="preserve"> </w:t>
      </w:r>
      <w:r w:rsidRPr="00995700">
        <w:rPr>
          <w:rFonts w:ascii="Times New Roman" w:hAnsi="Times New Roman"/>
        </w:rPr>
        <w:t>5, S.</w:t>
      </w:r>
      <w:r>
        <w:rPr>
          <w:rFonts w:ascii="Times New Roman" w:hAnsi="Times New Roman"/>
        </w:rPr>
        <w:t xml:space="preserve"> </w:t>
      </w:r>
      <w:r w:rsidRPr="00995700">
        <w:rPr>
          <w:rFonts w:ascii="Times New Roman" w:hAnsi="Times New Roman"/>
        </w:rPr>
        <w:t>3, 2013</w:t>
      </w:r>
      <w:bookmarkEnd w:id="192"/>
      <w:r w:rsidRPr="00995700">
        <w:rPr>
          <w:rFonts w:ascii="Times New Roman" w:hAnsi="Times New Roman"/>
        </w:rPr>
        <w:t>, s. 119.</w:t>
      </w:r>
    </w:p>
  </w:footnote>
  <w:footnote w:id="41">
    <w:p w14:paraId="68D2E40B"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Pr>
          <w:rFonts w:ascii="Times New Roman" w:hAnsi="Times New Roman"/>
        </w:rPr>
        <w:t xml:space="preserve"> </w:t>
      </w:r>
      <w:r w:rsidRPr="00995700">
        <w:rPr>
          <w:rFonts w:ascii="Times New Roman" w:hAnsi="Times New Roman"/>
        </w:rPr>
        <w:t xml:space="preserve">BOA, </w:t>
      </w:r>
      <w:bookmarkStart w:id="193" w:name="_Hlk177252212"/>
      <w:r w:rsidRPr="00995700">
        <w:rPr>
          <w:rFonts w:ascii="Times New Roman" w:hAnsi="Times New Roman"/>
        </w:rPr>
        <w:t xml:space="preserve">A.MKT.NZD </w:t>
      </w:r>
      <w:bookmarkEnd w:id="193"/>
      <w:r w:rsidRPr="00995700">
        <w:rPr>
          <w:rFonts w:ascii="Times New Roman" w:hAnsi="Times New Roman"/>
        </w:rPr>
        <w:t>132-49 (</w:t>
      </w:r>
      <w:r>
        <w:rPr>
          <w:rFonts w:ascii="Times New Roman" w:hAnsi="Times New Roman"/>
        </w:rPr>
        <w:t>H.23.05.1271/M.</w:t>
      </w:r>
      <w:r w:rsidRPr="00995700">
        <w:rPr>
          <w:rFonts w:ascii="Times New Roman" w:hAnsi="Times New Roman"/>
        </w:rPr>
        <w:t>11</w:t>
      </w:r>
      <w:r>
        <w:rPr>
          <w:rFonts w:ascii="Times New Roman" w:hAnsi="Times New Roman"/>
        </w:rPr>
        <w:t>.</w:t>
      </w:r>
      <w:r w:rsidRPr="00995700">
        <w:rPr>
          <w:rFonts w:ascii="Times New Roman" w:hAnsi="Times New Roman"/>
        </w:rPr>
        <w:t>02</w:t>
      </w:r>
      <w:r>
        <w:rPr>
          <w:rFonts w:ascii="Times New Roman" w:hAnsi="Times New Roman"/>
        </w:rPr>
        <w:t>.</w:t>
      </w:r>
      <w:r w:rsidRPr="00995700">
        <w:rPr>
          <w:rFonts w:ascii="Times New Roman" w:hAnsi="Times New Roman"/>
        </w:rPr>
        <w:t>1255); BOA, A</w:t>
      </w:r>
      <w:r>
        <w:rPr>
          <w:rFonts w:ascii="Times New Roman" w:hAnsi="Times New Roman"/>
        </w:rPr>
        <w:t>.</w:t>
      </w:r>
      <w:r w:rsidRPr="00995700">
        <w:rPr>
          <w:rFonts w:ascii="Times New Roman" w:hAnsi="Times New Roman"/>
        </w:rPr>
        <w:t>MKT.NZD 173-14 (</w:t>
      </w:r>
      <w:r>
        <w:rPr>
          <w:rFonts w:ascii="Times New Roman" w:hAnsi="Times New Roman"/>
        </w:rPr>
        <w:t>H.24.03.1272/M.</w:t>
      </w:r>
      <w:r w:rsidRPr="00995700">
        <w:rPr>
          <w:rFonts w:ascii="Times New Roman" w:hAnsi="Times New Roman"/>
        </w:rPr>
        <w:t>04</w:t>
      </w:r>
      <w:r>
        <w:rPr>
          <w:rFonts w:ascii="Times New Roman" w:hAnsi="Times New Roman"/>
        </w:rPr>
        <w:t>.</w:t>
      </w:r>
      <w:r w:rsidRPr="00995700">
        <w:rPr>
          <w:rFonts w:ascii="Times New Roman" w:hAnsi="Times New Roman"/>
        </w:rPr>
        <w:t>12</w:t>
      </w:r>
      <w:r>
        <w:rPr>
          <w:rFonts w:ascii="Times New Roman" w:hAnsi="Times New Roman"/>
        </w:rPr>
        <w:t>.</w:t>
      </w:r>
      <w:r w:rsidRPr="00995700">
        <w:rPr>
          <w:rFonts w:ascii="Times New Roman" w:hAnsi="Times New Roman"/>
        </w:rPr>
        <w:t xml:space="preserve">1855). </w:t>
      </w:r>
    </w:p>
  </w:footnote>
  <w:footnote w:id="42">
    <w:p w14:paraId="7D8362F8"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Tathir.</w:t>
      </w:r>
    </w:p>
  </w:footnote>
  <w:footnote w:id="43">
    <w:p w14:paraId="3478B04B"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Bunalarak.</w:t>
      </w:r>
    </w:p>
  </w:footnote>
  <w:footnote w:id="44">
    <w:p w14:paraId="150FEBD0"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BOA, MVL.d 93, Belge No</w:t>
      </w:r>
      <w:r>
        <w:rPr>
          <w:rFonts w:ascii="Times New Roman" w:hAnsi="Times New Roman"/>
        </w:rPr>
        <w:t>:</w:t>
      </w:r>
      <w:r w:rsidRPr="00995700">
        <w:rPr>
          <w:rFonts w:ascii="Times New Roman" w:hAnsi="Times New Roman"/>
        </w:rPr>
        <w:t xml:space="preserve"> 156, Sıra No</w:t>
      </w:r>
      <w:r>
        <w:rPr>
          <w:rFonts w:ascii="Times New Roman" w:hAnsi="Times New Roman"/>
        </w:rPr>
        <w:t>:</w:t>
      </w:r>
      <w:r w:rsidRPr="00995700">
        <w:rPr>
          <w:rFonts w:ascii="Times New Roman" w:hAnsi="Times New Roman"/>
        </w:rPr>
        <w:t xml:space="preserve"> 141</w:t>
      </w:r>
      <w:r>
        <w:rPr>
          <w:rFonts w:ascii="Times New Roman" w:hAnsi="Times New Roman"/>
        </w:rPr>
        <w:t>, (</w:t>
      </w:r>
      <w:r w:rsidRPr="006354EB">
        <w:rPr>
          <w:rFonts w:ascii="Times New Roman" w:hAnsi="Times New Roman"/>
        </w:rPr>
        <w:t>H.13</w:t>
      </w:r>
      <w:r>
        <w:rPr>
          <w:rFonts w:ascii="Times New Roman" w:hAnsi="Times New Roman"/>
        </w:rPr>
        <w:t>.</w:t>
      </w:r>
      <w:r w:rsidRPr="006354EB">
        <w:rPr>
          <w:rFonts w:ascii="Times New Roman" w:hAnsi="Times New Roman"/>
        </w:rPr>
        <w:t>04</w:t>
      </w:r>
      <w:r>
        <w:rPr>
          <w:rFonts w:ascii="Times New Roman" w:hAnsi="Times New Roman"/>
        </w:rPr>
        <w:t>.</w:t>
      </w:r>
      <w:r w:rsidRPr="006354EB">
        <w:rPr>
          <w:rFonts w:ascii="Times New Roman" w:hAnsi="Times New Roman"/>
        </w:rPr>
        <w:t>1280</w:t>
      </w:r>
      <w:r>
        <w:rPr>
          <w:rFonts w:ascii="Times New Roman" w:hAnsi="Times New Roman"/>
        </w:rPr>
        <w:t>/</w:t>
      </w:r>
      <w:r w:rsidRPr="006354EB">
        <w:rPr>
          <w:rFonts w:ascii="Times New Roman" w:hAnsi="Times New Roman"/>
        </w:rPr>
        <w:t>M.27</w:t>
      </w:r>
      <w:r>
        <w:rPr>
          <w:rFonts w:ascii="Times New Roman" w:hAnsi="Times New Roman"/>
        </w:rPr>
        <w:t>.09.</w:t>
      </w:r>
      <w:r w:rsidRPr="006354EB">
        <w:rPr>
          <w:rFonts w:ascii="Times New Roman" w:hAnsi="Times New Roman"/>
        </w:rPr>
        <w:t>1863</w:t>
      </w:r>
      <w:r>
        <w:rPr>
          <w:rFonts w:ascii="Times New Roman" w:hAnsi="Times New Roman"/>
        </w:rPr>
        <w:t>).</w:t>
      </w:r>
    </w:p>
  </w:footnote>
  <w:footnote w:id="45">
    <w:p w14:paraId="1ED657BE"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Bar.</w:t>
      </w:r>
    </w:p>
  </w:footnote>
  <w:footnote w:id="46">
    <w:p w14:paraId="1FF0CAF3" w14:textId="77777777" w:rsidR="001E7189" w:rsidRPr="00995700" w:rsidRDefault="001E7189" w:rsidP="001E7189">
      <w:pPr>
        <w:pStyle w:val="DipnotMetni"/>
        <w:jc w:val="both"/>
        <w:rPr>
          <w:rFonts w:ascii="Times New Roman" w:hAnsi="Times New Roman"/>
        </w:rPr>
      </w:pPr>
      <w:r w:rsidRPr="00995700">
        <w:rPr>
          <w:rStyle w:val="DipnotBavurusu"/>
          <w:rFonts w:ascii="Times New Roman" w:hAnsi="Times New Roman"/>
        </w:rPr>
        <w:footnoteRef/>
      </w:r>
      <w:r w:rsidRPr="00995700">
        <w:rPr>
          <w:rFonts w:ascii="Times New Roman" w:hAnsi="Times New Roman"/>
        </w:rPr>
        <w:t xml:space="preserve"> BOA, MVL</w:t>
      </w:r>
      <w:r>
        <w:rPr>
          <w:rFonts w:ascii="Times New Roman" w:hAnsi="Times New Roman"/>
        </w:rPr>
        <w:t>.</w:t>
      </w:r>
      <w:r w:rsidRPr="00995700">
        <w:rPr>
          <w:rFonts w:ascii="Times New Roman" w:hAnsi="Times New Roman"/>
        </w:rPr>
        <w:t xml:space="preserve"> </w:t>
      </w:r>
      <w:bookmarkStart w:id="195" w:name="_Hlk177252510"/>
      <w:r w:rsidRPr="00995700">
        <w:rPr>
          <w:rFonts w:ascii="Times New Roman" w:hAnsi="Times New Roman"/>
        </w:rPr>
        <w:t>980-2</w:t>
      </w:r>
      <w:bookmarkEnd w:id="195"/>
      <w:r>
        <w:rPr>
          <w:rFonts w:ascii="Times New Roman" w:hAnsi="Times New Roman"/>
        </w:rPr>
        <w:t>, (</w:t>
      </w:r>
      <w:r w:rsidRPr="006354EB">
        <w:rPr>
          <w:rFonts w:ascii="Times New Roman" w:hAnsi="Times New Roman"/>
        </w:rPr>
        <w:t>H.15</w:t>
      </w:r>
      <w:r>
        <w:rPr>
          <w:rFonts w:ascii="Times New Roman" w:hAnsi="Times New Roman"/>
        </w:rPr>
        <w:t>.</w:t>
      </w:r>
      <w:r w:rsidRPr="006354EB">
        <w:rPr>
          <w:rFonts w:ascii="Times New Roman" w:hAnsi="Times New Roman"/>
        </w:rPr>
        <w:t>10</w:t>
      </w:r>
      <w:r>
        <w:rPr>
          <w:rFonts w:ascii="Times New Roman" w:hAnsi="Times New Roman"/>
        </w:rPr>
        <w:t>.</w:t>
      </w:r>
      <w:r w:rsidRPr="006354EB">
        <w:rPr>
          <w:rFonts w:ascii="Times New Roman" w:hAnsi="Times New Roman"/>
        </w:rPr>
        <w:t>1280</w:t>
      </w:r>
      <w:r>
        <w:rPr>
          <w:rFonts w:ascii="Times New Roman" w:hAnsi="Times New Roman"/>
        </w:rPr>
        <w:t>/M.</w:t>
      </w:r>
      <w:r w:rsidRPr="006354EB">
        <w:rPr>
          <w:rFonts w:ascii="Times New Roman" w:hAnsi="Times New Roman"/>
        </w:rPr>
        <w:t>24</w:t>
      </w:r>
      <w:r>
        <w:rPr>
          <w:rFonts w:ascii="Times New Roman" w:hAnsi="Times New Roman"/>
        </w:rPr>
        <w:t>.03.</w:t>
      </w:r>
      <w:r w:rsidRPr="006354EB">
        <w:rPr>
          <w:rFonts w:ascii="Times New Roman" w:hAnsi="Times New Roman"/>
        </w:rPr>
        <w:t>1864)</w:t>
      </w:r>
      <w:r>
        <w:rPr>
          <w:rFonts w:ascii="Times New Roman" w:hAnsi="Times New Roman"/>
        </w:rPr>
        <w:t>.</w:t>
      </w:r>
    </w:p>
  </w:footnote>
  <w:footnote w:id="47">
    <w:p w14:paraId="73A68538" w14:textId="77777777" w:rsidR="001E7189" w:rsidRPr="00804605" w:rsidRDefault="001E7189" w:rsidP="001E7189">
      <w:pPr>
        <w:pStyle w:val="DipnotMetni"/>
        <w:jc w:val="both"/>
        <w:rPr>
          <w:rFonts w:ascii="Times New Roman" w:hAnsi="Times New Roman"/>
        </w:rPr>
      </w:pPr>
      <w:r w:rsidRPr="00804605">
        <w:rPr>
          <w:rStyle w:val="DipnotBavurusu"/>
          <w:rFonts w:ascii="Times New Roman" w:hAnsi="Times New Roman"/>
        </w:rPr>
        <w:footnoteRef/>
      </w:r>
      <w:r w:rsidRPr="00804605">
        <w:rPr>
          <w:rFonts w:ascii="Times New Roman" w:hAnsi="Times New Roman"/>
        </w:rPr>
        <w:t xml:space="preserve"> BOA, MVL.d 103, Belge No</w:t>
      </w:r>
      <w:r>
        <w:rPr>
          <w:rFonts w:ascii="Times New Roman" w:hAnsi="Times New Roman"/>
        </w:rPr>
        <w:t>:</w:t>
      </w:r>
      <w:r w:rsidRPr="00804605">
        <w:rPr>
          <w:rFonts w:ascii="Times New Roman" w:hAnsi="Times New Roman"/>
        </w:rPr>
        <w:t xml:space="preserve"> 66, Sıra No</w:t>
      </w:r>
      <w:r>
        <w:rPr>
          <w:rFonts w:ascii="Times New Roman" w:hAnsi="Times New Roman"/>
        </w:rPr>
        <w:t>:</w:t>
      </w:r>
      <w:r w:rsidRPr="00804605">
        <w:rPr>
          <w:rFonts w:ascii="Times New Roman" w:hAnsi="Times New Roman"/>
        </w:rPr>
        <w:t xml:space="preserve"> 54</w:t>
      </w:r>
      <w:r>
        <w:rPr>
          <w:rFonts w:ascii="Times New Roman" w:hAnsi="Times New Roman"/>
        </w:rPr>
        <w:t xml:space="preserve">, </w:t>
      </w:r>
      <w:r w:rsidRPr="006354EB">
        <w:rPr>
          <w:rFonts w:ascii="Times New Roman" w:hAnsi="Times New Roman"/>
        </w:rPr>
        <w:t>(H.22</w:t>
      </w:r>
      <w:r>
        <w:rPr>
          <w:rFonts w:ascii="Times New Roman" w:hAnsi="Times New Roman"/>
        </w:rPr>
        <w:t>.</w:t>
      </w:r>
      <w:r w:rsidRPr="006354EB">
        <w:rPr>
          <w:rFonts w:ascii="Times New Roman" w:hAnsi="Times New Roman"/>
        </w:rPr>
        <w:t>08</w:t>
      </w:r>
      <w:r>
        <w:rPr>
          <w:rFonts w:ascii="Times New Roman" w:hAnsi="Times New Roman"/>
        </w:rPr>
        <w:t>.</w:t>
      </w:r>
      <w:r w:rsidRPr="006354EB">
        <w:rPr>
          <w:rFonts w:ascii="Times New Roman" w:hAnsi="Times New Roman"/>
        </w:rPr>
        <w:t>1282</w:t>
      </w:r>
      <w:r>
        <w:rPr>
          <w:rFonts w:ascii="Times New Roman" w:hAnsi="Times New Roman"/>
        </w:rPr>
        <w:t>/M.</w:t>
      </w:r>
      <w:r w:rsidRPr="006354EB">
        <w:rPr>
          <w:rFonts w:ascii="Times New Roman" w:hAnsi="Times New Roman"/>
        </w:rPr>
        <w:t>10</w:t>
      </w:r>
      <w:r>
        <w:rPr>
          <w:rFonts w:ascii="Times New Roman" w:hAnsi="Times New Roman"/>
        </w:rPr>
        <w:t>.01.</w:t>
      </w:r>
      <w:r w:rsidRPr="006354EB">
        <w:rPr>
          <w:rFonts w:ascii="Times New Roman" w:hAnsi="Times New Roman"/>
        </w:rPr>
        <w:t>1866</w:t>
      </w:r>
      <w:r>
        <w:rPr>
          <w:rFonts w:ascii="Times New Roman" w:hAnsi="Times New Roman"/>
        </w:rPr>
        <w:t>).</w:t>
      </w:r>
    </w:p>
  </w:footnote>
  <w:footnote w:id="48">
    <w:p w14:paraId="5651B758"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MVL.d 93, Belge No: </w:t>
      </w:r>
      <w:bookmarkStart w:id="197" w:name="_Hlk177252604"/>
      <w:r w:rsidRPr="00F228B9">
        <w:rPr>
          <w:rFonts w:ascii="Times New Roman" w:hAnsi="Times New Roman"/>
        </w:rPr>
        <w:t>456, Sıra No: 187</w:t>
      </w:r>
      <w:bookmarkEnd w:id="197"/>
      <w:r w:rsidRPr="00F228B9">
        <w:rPr>
          <w:rFonts w:ascii="Times New Roman" w:hAnsi="Times New Roman"/>
        </w:rPr>
        <w:t>, (H.12</w:t>
      </w:r>
      <w:r>
        <w:rPr>
          <w:rFonts w:ascii="Times New Roman" w:hAnsi="Times New Roman"/>
        </w:rPr>
        <w:t>.</w:t>
      </w:r>
      <w:r w:rsidRPr="00F228B9">
        <w:rPr>
          <w:rFonts w:ascii="Times New Roman" w:hAnsi="Times New Roman"/>
        </w:rPr>
        <w:t>05</w:t>
      </w:r>
      <w:r>
        <w:rPr>
          <w:rFonts w:ascii="Times New Roman" w:hAnsi="Times New Roman"/>
        </w:rPr>
        <w:t>.</w:t>
      </w:r>
      <w:r w:rsidRPr="00F228B9">
        <w:rPr>
          <w:rFonts w:ascii="Times New Roman" w:hAnsi="Times New Roman"/>
        </w:rPr>
        <w:t>1280/M25</w:t>
      </w:r>
      <w:r>
        <w:rPr>
          <w:rFonts w:ascii="Times New Roman" w:hAnsi="Times New Roman"/>
        </w:rPr>
        <w:t>.</w:t>
      </w:r>
      <w:r w:rsidRPr="00F228B9">
        <w:rPr>
          <w:rFonts w:ascii="Times New Roman" w:hAnsi="Times New Roman"/>
        </w:rPr>
        <w:t>10</w:t>
      </w:r>
      <w:r>
        <w:rPr>
          <w:rFonts w:ascii="Times New Roman" w:hAnsi="Times New Roman"/>
        </w:rPr>
        <w:t>.</w:t>
      </w:r>
      <w:r w:rsidRPr="00F228B9">
        <w:rPr>
          <w:rFonts w:ascii="Times New Roman" w:hAnsi="Times New Roman"/>
        </w:rPr>
        <w:t>1863).</w:t>
      </w:r>
    </w:p>
  </w:footnote>
  <w:footnote w:id="49">
    <w:p w14:paraId="17F38A81"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 980-4; BOA MVL.d 94, Belge No: 844, Sıra No: 175, (H.20</w:t>
      </w:r>
      <w:r>
        <w:rPr>
          <w:rFonts w:ascii="Times New Roman" w:hAnsi="Times New Roman"/>
        </w:rPr>
        <w:t>.</w:t>
      </w:r>
      <w:r w:rsidRPr="00F228B9">
        <w:rPr>
          <w:rFonts w:ascii="Times New Roman" w:hAnsi="Times New Roman"/>
        </w:rPr>
        <w:t>10</w:t>
      </w:r>
      <w:r>
        <w:rPr>
          <w:rFonts w:ascii="Times New Roman" w:hAnsi="Times New Roman"/>
        </w:rPr>
        <w:t>.</w:t>
      </w:r>
      <w:r w:rsidRPr="00F228B9">
        <w:rPr>
          <w:rFonts w:ascii="Times New Roman" w:hAnsi="Times New Roman"/>
        </w:rPr>
        <w:t>1280/M.29</w:t>
      </w:r>
      <w:r>
        <w:rPr>
          <w:rFonts w:ascii="Times New Roman" w:hAnsi="Times New Roman"/>
        </w:rPr>
        <w:t>.</w:t>
      </w:r>
      <w:r w:rsidRPr="00F228B9">
        <w:rPr>
          <w:rFonts w:ascii="Times New Roman" w:hAnsi="Times New Roman"/>
        </w:rPr>
        <w:t>03</w:t>
      </w:r>
      <w:r>
        <w:rPr>
          <w:rFonts w:ascii="Times New Roman" w:hAnsi="Times New Roman"/>
        </w:rPr>
        <w:t>.</w:t>
      </w:r>
      <w:r w:rsidRPr="00F228B9">
        <w:rPr>
          <w:rFonts w:ascii="Times New Roman" w:hAnsi="Times New Roman"/>
        </w:rPr>
        <w:t>1864).</w:t>
      </w:r>
    </w:p>
  </w:footnote>
  <w:footnote w:id="50">
    <w:p w14:paraId="7515410A"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 </w:t>
      </w:r>
      <w:bookmarkStart w:id="199" w:name="_Hlk177252627"/>
      <w:r w:rsidRPr="00F228B9">
        <w:rPr>
          <w:rFonts w:ascii="Times New Roman" w:hAnsi="Times New Roman"/>
        </w:rPr>
        <w:t>969-1</w:t>
      </w:r>
      <w:bookmarkEnd w:id="199"/>
      <w:r w:rsidRPr="00F228B9">
        <w:rPr>
          <w:rFonts w:ascii="Times New Roman" w:hAnsi="Times New Roman"/>
        </w:rPr>
        <w:t>9, (H.19</w:t>
      </w:r>
      <w:r>
        <w:rPr>
          <w:rFonts w:ascii="Times New Roman" w:hAnsi="Times New Roman"/>
        </w:rPr>
        <w:t>.</w:t>
      </w:r>
      <w:r w:rsidRPr="00F228B9">
        <w:rPr>
          <w:rFonts w:ascii="Times New Roman" w:hAnsi="Times New Roman"/>
        </w:rPr>
        <w:t>01</w:t>
      </w:r>
      <w:r>
        <w:rPr>
          <w:rFonts w:ascii="Times New Roman" w:hAnsi="Times New Roman"/>
        </w:rPr>
        <w:t>.</w:t>
      </w:r>
      <w:r w:rsidRPr="00F228B9">
        <w:rPr>
          <w:rFonts w:ascii="Times New Roman" w:hAnsi="Times New Roman"/>
        </w:rPr>
        <w:t>1280/M.06</w:t>
      </w:r>
      <w:r>
        <w:rPr>
          <w:rFonts w:ascii="Times New Roman" w:hAnsi="Times New Roman"/>
        </w:rPr>
        <w:t>.</w:t>
      </w:r>
      <w:r w:rsidRPr="00F228B9">
        <w:rPr>
          <w:rFonts w:ascii="Times New Roman" w:hAnsi="Times New Roman"/>
        </w:rPr>
        <w:t>07</w:t>
      </w:r>
      <w:r>
        <w:rPr>
          <w:rFonts w:ascii="Times New Roman" w:hAnsi="Times New Roman"/>
        </w:rPr>
        <w:t>.</w:t>
      </w:r>
      <w:r w:rsidRPr="00F228B9">
        <w:rPr>
          <w:rFonts w:ascii="Times New Roman" w:hAnsi="Times New Roman"/>
        </w:rPr>
        <w:t>1863).</w:t>
      </w:r>
    </w:p>
  </w:footnote>
  <w:footnote w:id="51">
    <w:p w14:paraId="4B6D1617"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 972-35; BOA, MVL.d 94, Belge No: 58, Sıra No: 20, (H.17</w:t>
      </w:r>
      <w:r>
        <w:rPr>
          <w:rFonts w:ascii="Times New Roman" w:hAnsi="Times New Roman"/>
        </w:rPr>
        <w:t>.</w:t>
      </w:r>
      <w:r w:rsidRPr="00F228B9">
        <w:rPr>
          <w:rFonts w:ascii="Times New Roman" w:hAnsi="Times New Roman"/>
        </w:rPr>
        <w:t>06</w:t>
      </w:r>
      <w:r>
        <w:rPr>
          <w:rFonts w:ascii="Times New Roman" w:hAnsi="Times New Roman"/>
        </w:rPr>
        <w:t>.</w:t>
      </w:r>
      <w:r w:rsidRPr="00F228B9">
        <w:rPr>
          <w:rFonts w:ascii="Times New Roman" w:hAnsi="Times New Roman"/>
        </w:rPr>
        <w:t>1280/M.29</w:t>
      </w:r>
      <w:r>
        <w:rPr>
          <w:rFonts w:ascii="Times New Roman" w:hAnsi="Times New Roman"/>
        </w:rPr>
        <w:t>.</w:t>
      </w:r>
      <w:r w:rsidRPr="00F228B9">
        <w:rPr>
          <w:rFonts w:ascii="Times New Roman" w:hAnsi="Times New Roman"/>
        </w:rPr>
        <w:t>11</w:t>
      </w:r>
      <w:r>
        <w:rPr>
          <w:rFonts w:ascii="Times New Roman" w:hAnsi="Times New Roman"/>
        </w:rPr>
        <w:t>.</w:t>
      </w:r>
      <w:r w:rsidRPr="00F228B9">
        <w:rPr>
          <w:rFonts w:ascii="Times New Roman" w:hAnsi="Times New Roman"/>
        </w:rPr>
        <w:t>1863).</w:t>
      </w:r>
    </w:p>
  </w:footnote>
  <w:footnote w:id="52">
    <w:p w14:paraId="32F55B21"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Pr>
          <w:rFonts w:ascii="Times New Roman" w:hAnsi="Times New Roman"/>
        </w:rPr>
        <w:t xml:space="preserve"> </w:t>
      </w:r>
      <w:r w:rsidRPr="00671C03">
        <w:rPr>
          <w:rFonts w:ascii="Times New Roman" w:hAnsi="Times New Roman"/>
        </w:rPr>
        <w:t xml:space="preserve">BOA, MVL </w:t>
      </w:r>
      <w:bookmarkStart w:id="200" w:name="_Hlk177252808"/>
      <w:r w:rsidRPr="00671C03">
        <w:rPr>
          <w:rFonts w:ascii="Times New Roman" w:hAnsi="Times New Roman"/>
        </w:rPr>
        <w:t>973-34</w:t>
      </w:r>
      <w:bookmarkEnd w:id="200"/>
      <w:r w:rsidRPr="00671C03">
        <w:rPr>
          <w:rFonts w:ascii="Times New Roman" w:hAnsi="Times New Roman"/>
        </w:rPr>
        <w:t>; BOA, MVL.d 94, Belge No</w:t>
      </w:r>
      <w:r>
        <w:rPr>
          <w:rFonts w:ascii="Times New Roman" w:hAnsi="Times New Roman"/>
        </w:rPr>
        <w:t>:</w:t>
      </w:r>
      <w:r w:rsidRPr="00671C03">
        <w:rPr>
          <w:rFonts w:ascii="Times New Roman" w:hAnsi="Times New Roman"/>
        </w:rPr>
        <w:t xml:space="preserve"> 149 Sıra No</w:t>
      </w:r>
      <w:r>
        <w:rPr>
          <w:rFonts w:ascii="Times New Roman" w:hAnsi="Times New Roman"/>
        </w:rPr>
        <w:t>:</w:t>
      </w:r>
      <w:r w:rsidRPr="00671C03">
        <w:rPr>
          <w:rFonts w:ascii="Times New Roman" w:hAnsi="Times New Roman"/>
        </w:rPr>
        <w:t xml:space="preserve"> 49</w:t>
      </w:r>
      <w:r>
        <w:rPr>
          <w:rFonts w:ascii="Times New Roman" w:hAnsi="Times New Roman"/>
        </w:rPr>
        <w:t xml:space="preserve">, </w:t>
      </w:r>
      <w:r w:rsidRPr="00FE1FBE">
        <w:rPr>
          <w:rFonts w:ascii="Times New Roman" w:hAnsi="Times New Roman"/>
        </w:rPr>
        <w:t>(H.03</w:t>
      </w:r>
      <w:r>
        <w:rPr>
          <w:rFonts w:ascii="Times New Roman" w:hAnsi="Times New Roman"/>
        </w:rPr>
        <w:t>.</w:t>
      </w:r>
      <w:r w:rsidRPr="00FE1FBE">
        <w:rPr>
          <w:rFonts w:ascii="Times New Roman" w:hAnsi="Times New Roman"/>
        </w:rPr>
        <w:t>07</w:t>
      </w:r>
      <w:r>
        <w:rPr>
          <w:rFonts w:ascii="Times New Roman" w:hAnsi="Times New Roman"/>
        </w:rPr>
        <w:t>.</w:t>
      </w:r>
      <w:r w:rsidRPr="00FE1FBE">
        <w:rPr>
          <w:rFonts w:ascii="Times New Roman" w:hAnsi="Times New Roman"/>
        </w:rPr>
        <w:t>1280</w:t>
      </w:r>
      <w:r>
        <w:rPr>
          <w:rFonts w:ascii="Times New Roman" w:hAnsi="Times New Roman"/>
        </w:rPr>
        <w:t>/M.</w:t>
      </w:r>
      <w:r w:rsidRPr="00FE1FBE">
        <w:rPr>
          <w:rFonts w:ascii="Times New Roman" w:hAnsi="Times New Roman"/>
        </w:rPr>
        <w:t>14</w:t>
      </w:r>
      <w:r>
        <w:rPr>
          <w:rFonts w:ascii="Times New Roman" w:hAnsi="Times New Roman"/>
        </w:rPr>
        <w:t>.11.</w:t>
      </w:r>
      <w:r w:rsidRPr="00FE1FBE">
        <w:rPr>
          <w:rFonts w:ascii="Times New Roman" w:hAnsi="Times New Roman"/>
        </w:rPr>
        <w:t>1863</w:t>
      </w:r>
      <w:r>
        <w:rPr>
          <w:rFonts w:ascii="Times New Roman" w:hAnsi="Times New Roman"/>
        </w:rPr>
        <w:t>).</w:t>
      </w:r>
    </w:p>
  </w:footnote>
  <w:footnote w:id="53">
    <w:p w14:paraId="09B5D49D"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sidRPr="00671C03">
        <w:rPr>
          <w:rFonts w:ascii="Times New Roman" w:hAnsi="Times New Roman"/>
        </w:rPr>
        <w:t xml:space="preserve"> BOA, MVL.d 93, Belge No</w:t>
      </w:r>
      <w:r>
        <w:rPr>
          <w:rFonts w:ascii="Times New Roman" w:hAnsi="Times New Roman"/>
        </w:rPr>
        <w:t>:</w:t>
      </w:r>
      <w:r w:rsidRPr="00671C03">
        <w:rPr>
          <w:rFonts w:ascii="Times New Roman" w:hAnsi="Times New Roman"/>
        </w:rPr>
        <w:t xml:space="preserve"> </w:t>
      </w:r>
      <w:bookmarkStart w:id="201" w:name="_Hlk177252957"/>
      <w:r w:rsidRPr="00671C03">
        <w:rPr>
          <w:rFonts w:ascii="Times New Roman" w:hAnsi="Times New Roman"/>
        </w:rPr>
        <w:t>64, Sıra No</w:t>
      </w:r>
      <w:r>
        <w:rPr>
          <w:rFonts w:ascii="Times New Roman" w:hAnsi="Times New Roman"/>
        </w:rPr>
        <w:t>:</w:t>
      </w:r>
      <w:r w:rsidRPr="00671C03">
        <w:rPr>
          <w:rFonts w:ascii="Times New Roman" w:hAnsi="Times New Roman"/>
        </w:rPr>
        <w:t xml:space="preserve"> 229</w:t>
      </w:r>
      <w:bookmarkEnd w:id="201"/>
      <w:r>
        <w:rPr>
          <w:rFonts w:ascii="Times New Roman" w:hAnsi="Times New Roman"/>
        </w:rPr>
        <w:t xml:space="preserve">, </w:t>
      </w:r>
      <w:r w:rsidRPr="00FE1FBE">
        <w:rPr>
          <w:rFonts w:ascii="Times New Roman" w:hAnsi="Times New Roman"/>
        </w:rPr>
        <w:t>(H.03</w:t>
      </w:r>
      <w:r>
        <w:rPr>
          <w:rFonts w:ascii="Times New Roman" w:hAnsi="Times New Roman"/>
        </w:rPr>
        <w:t>.</w:t>
      </w:r>
      <w:r w:rsidRPr="00FE1FBE">
        <w:rPr>
          <w:rFonts w:ascii="Times New Roman" w:hAnsi="Times New Roman"/>
        </w:rPr>
        <w:t>11</w:t>
      </w:r>
      <w:r>
        <w:rPr>
          <w:rFonts w:ascii="Times New Roman" w:hAnsi="Times New Roman"/>
        </w:rPr>
        <w:t>.</w:t>
      </w:r>
      <w:r w:rsidRPr="00FE1FBE">
        <w:rPr>
          <w:rFonts w:ascii="Times New Roman" w:hAnsi="Times New Roman"/>
        </w:rPr>
        <w:t>1279</w:t>
      </w:r>
      <w:r>
        <w:rPr>
          <w:rFonts w:ascii="Times New Roman" w:hAnsi="Times New Roman"/>
        </w:rPr>
        <w:t>/M.</w:t>
      </w:r>
      <w:r w:rsidRPr="00FE1FBE">
        <w:t xml:space="preserve"> </w:t>
      </w:r>
      <w:r w:rsidRPr="00FE1FBE">
        <w:rPr>
          <w:rFonts w:ascii="Times New Roman" w:hAnsi="Times New Roman"/>
        </w:rPr>
        <w:t>22</w:t>
      </w:r>
      <w:r>
        <w:rPr>
          <w:rFonts w:ascii="Times New Roman" w:hAnsi="Times New Roman"/>
        </w:rPr>
        <w:t>.04.</w:t>
      </w:r>
      <w:r w:rsidRPr="00FE1FBE">
        <w:rPr>
          <w:rFonts w:ascii="Times New Roman" w:hAnsi="Times New Roman"/>
        </w:rPr>
        <w:t>1863)</w:t>
      </w:r>
      <w:r>
        <w:rPr>
          <w:rFonts w:ascii="Times New Roman" w:hAnsi="Times New Roman"/>
        </w:rPr>
        <w:t>.</w:t>
      </w:r>
    </w:p>
  </w:footnote>
  <w:footnote w:id="54">
    <w:p w14:paraId="1FAA336C"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sidRPr="00671C03">
        <w:rPr>
          <w:rFonts w:ascii="Times New Roman" w:hAnsi="Times New Roman"/>
        </w:rPr>
        <w:t xml:space="preserve"> BOA, MVL.d 94, Belge No</w:t>
      </w:r>
      <w:r>
        <w:rPr>
          <w:rFonts w:ascii="Times New Roman" w:hAnsi="Times New Roman"/>
        </w:rPr>
        <w:t>:</w:t>
      </w:r>
      <w:r w:rsidRPr="00671C03">
        <w:rPr>
          <w:rFonts w:ascii="Times New Roman" w:hAnsi="Times New Roman"/>
        </w:rPr>
        <w:t xml:space="preserve"> </w:t>
      </w:r>
      <w:bookmarkStart w:id="202" w:name="_Hlk177252981"/>
      <w:r w:rsidRPr="00671C03">
        <w:rPr>
          <w:rFonts w:ascii="Times New Roman" w:hAnsi="Times New Roman"/>
        </w:rPr>
        <w:t>22, Sıra No</w:t>
      </w:r>
      <w:r>
        <w:rPr>
          <w:rFonts w:ascii="Times New Roman" w:hAnsi="Times New Roman"/>
        </w:rPr>
        <w:t>:</w:t>
      </w:r>
      <w:r w:rsidRPr="00671C03">
        <w:rPr>
          <w:rFonts w:ascii="Times New Roman" w:hAnsi="Times New Roman"/>
        </w:rPr>
        <w:t xml:space="preserve"> 18</w:t>
      </w:r>
      <w:bookmarkEnd w:id="202"/>
      <w:r>
        <w:rPr>
          <w:rFonts w:ascii="Times New Roman" w:hAnsi="Times New Roman"/>
        </w:rPr>
        <w:t xml:space="preserve">, </w:t>
      </w:r>
      <w:r w:rsidRPr="00FE1FBE">
        <w:rPr>
          <w:rFonts w:ascii="Times New Roman" w:hAnsi="Times New Roman"/>
        </w:rPr>
        <w:t>(H.10</w:t>
      </w:r>
      <w:r>
        <w:rPr>
          <w:rFonts w:ascii="Times New Roman" w:hAnsi="Times New Roman"/>
        </w:rPr>
        <w:t>.</w:t>
      </w:r>
      <w:r w:rsidRPr="00FE1FBE">
        <w:rPr>
          <w:rFonts w:ascii="Times New Roman" w:hAnsi="Times New Roman"/>
        </w:rPr>
        <w:t>06</w:t>
      </w:r>
      <w:r>
        <w:rPr>
          <w:rFonts w:ascii="Times New Roman" w:hAnsi="Times New Roman"/>
        </w:rPr>
        <w:t>.</w:t>
      </w:r>
      <w:r w:rsidRPr="00FE1FBE">
        <w:rPr>
          <w:rFonts w:ascii="Times New Roman" w:hAnsi="Times New Roman"/>
        </w:rPr>
        <w:t>1280/M.22</w:t>
      </w:r>
      <w:r>
        <w:rPr>
          <w:rFonts w:ascii="Times New Roman" w:hAnsi="Times New Roman"/>
        </w:rPr>
        <w:t>.11.</w:t>
      </w:r>
      <w:r w:rsidRPr="00FE1FBE">
        <w:rPr>
          <w:rFonts w:ascii="Times New Roman" w:hAnsi="Times New Roman"/>
        </w:rPr>
        <w:t>1283).</w:t>
      </w:r>
    </w:p>
  </w:footnote>
  <w:footnote w:id="55">
    <w:p w14:paraId="5F838C66"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sidRPr="00671C03">
        <w:rPr>
          <w:rFonts w:ascii="Times New Roman" w:hAnsi="Times New Roman"/>
        </w:rPr>
        <w:t xml:space="preserve"> BOA, MVL </w:t>
      </w:r>
      <w:bookmarkStart w:id="203" w:name="_Hlk177253009"/>
      <w:r w:rsidRPr="00671C03">
        <w:rPr>
          <w:rFonts w:ascii="Times New Roman" w:hAnsi="Times New Roman"/>
        </w:rPr>
        <w:t>1003-16</w:t>
      </w:r>
      <w:bookmarkEnd w:id="203"/>
      <w:r>
        <w:rPr>
          <w:rFonts w:ascii="Times New Roman" w:hAnsi="Times New Roman"/>
        </w:rPr>
        <w:t>,</w:t>
      </w:r>
      <w:r w:rsidRPr="00FE1FBE">
        <w:rPr>
          <w:rFonts w:ascii="Times New Roman" w:hAnsi="Times New Roman"/>
        </w:rPr>
        <w:t xml:space="preserve"> (H.29</w:t>
      </w:r>
      <w:r>
        <w:rPr>
          <w:rFonts w:ascii="Times New Roman" w:hAnsi="Times New Roman"/>
        </w:rPr>
        <w:t>.</w:t>
      </w:r>
      <w:r w:rsidRPr="00FE1FBE">
        <w:rPr>
          <w:rFonts w:ascii="Times New Roman" w:hAnsi="Times New Roman"/>
        </w:rPr>
        <w:t>05</w:t>
      </w:r>
      <w:r>
        <w:rPr>
          <w:rFonts w:ascii="Times New Roman" w:hAnsi="Times New Roman"/>
        </w:rPr>
        <w:t>.</w:t>
      </w:r>
      <w:r w:rsidRPr="00FE1FBE">
        <w:rPr>
          <w:rFonts w:ascii="Times New Roman" w:hAnsi="Times New Roman"/>
        </w:rPr>
        <w:t>1281/</w:t>
      </w:r>
      <w:r>
        <w:rPr>
          <w:rFonts w:ascii="Times New Roman" w:hAnsi="Times New Roman"/>
        </w:rPr>
        <w:t>M.</w:t>
      </w:r>
      <w:r w:rsidRPr="00FE1FBE">
        <w:rPr>
          <w:rFonts w:ascii="Times New Roman" w:hAnsi="Times New Roman"/>
        </w:rPr>
        <w:t>30</w:t>
      </w:r>
      <w:r>
        <w:rPr>
          <w:rFonts w:ascii="Times New Roman" w:hAnsi="Times New Roman"/>
        </w:rPr>
        <w:t>.10.</w:t>
      </w:r>
      <w:r w:rsidRPr="00FE1FBE">
        <w:rPr>
          <w:rFonts w:ascii="Times New Roman" w:hAnsi="Times New Roman"/>
        </w:rPr>
        <w:t>1864</w:t>
      </w:r>
      <w:r w:rsidRPr="00E15BB6">
        <w:rPr>
          <w:rFonts w:ascii="Times New Roman" w:hAnsi="Times New Roman"/>
        </w:rPr>
        <w:t>)</w:t>
      </w:r>
      <w:r>
        <w:rPr>
          <w:rFonts w:ascii="Times New Roman" w:hAnsi="Times New Roman"/>
        </w:rPr>
        <w:t>.</w:t>
      </w:r>
    </w:p>
  </w:footnote>
  <w:footnote w:id="56">
    <w:p w14:paraId="54AE20E9"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sidRPr="00671C03">
        <w:rPr>
          <w:rFonts w:ascii="Times New Roman" w:hAnsi="Times New Roman"/>
        </w:rPr>
        <w:t xml:space="preserve"> BOA, MVL.d 93, Belge No</w:t>
      </w:r>
      <w:r>
        <w:rPr>
          <w:rFonts w:ascii="Times New Roman" w:hAnsi="Times New Roman"/>
        </w:rPr>
        <w:t>:</w:t>
      </w:r>
      <w:r w:rsidRPr="00671C03">
        <w:rPr>
          <w:rFonts w:ascii="Times New Roman" w:hAnsi="Times New Roman"/>
        </w:rPr>
        <w:t xml:space="preserve"> </w:t>
      </w:r>
      <w:bookmarkStart w:id="204" w:name="_Hlk177253030"/>
      <w:r w:rsidRPr="00671C03">
        <w:rPr>
          <w:rFonts w:ascii="Times New Roman" w:hAnsi="Times New Roman"/>
        </w:rPr>
        <w:t>735, Sıra No</w:t>
      </w:r>
      <w:r>
        <w:rPr>
          <w:rFonts w:ascii="Times New Roman" w:hAnsi="Times New Roman"/>
        </w:rPr>
        <w:t>:</w:t>
      </w:r>
      <w:r w:rsidRPr="00671C03">
        <w:rPr>
          <w:rFonts w:ascii="Times New Roman" w:hAnsi="Times New Roman"/>
        </w:rPr>
        <w:t xml:space="preserve"> 194</w:t>
      </w:r>
      <w:bookmarkEnd w:id="204"/>
      <w:r>
        <w:rPr>
          <w:rFonts w:ascii="Times New Roman" w:hAnsi="Times New Roman"/>
        </w:rPr>
        <w:t xml:space="preserve">; BOA, MVL 971-37, </w:t>
      </w:r>
      <w:r w:rsidRPr="00FE1FBE">
        <w:rPr>
          <w:rFonts w:ascii="Times New Roman" w:hAnsi="Times New Roman"/>
        </w:rPr>
        <w:t>(H.12</w:t>
      </w:r>
      <w:r>
        <w:rPr>
          <w:rFonts w:ascii="Times New Roman" w:hAnsi="Times New Roman"/>
        </w:rPr>
        <w:t>.</w:t>
      </w:r>
      <w:r w:rsidRPr="00FE1FBE">
        <w:rPr>
          <w:rFonts w:ascii="Times New Roman" w:hAnsi="Times New Roman"/>
        </w:rPr>
        <w:t>05.1280</w:t>
      </w:r>
      <w:r>
        <w:rPr>
          <w:rFonts w:ascii="Times New Roman" w:hAnsi="Times New Roman"/>
        </w:rPr>
        <w:t>/M.</w:t>
      </w:r>
      <w:r w:rsidRPr="00FE1FBE">
        <w:rPr>
          <w:rFonts w:ascii="Times New Roman" w:hAnsi="Times New Roman"/>
        </w:rPr>
        <w:t>25</w:t>
      </w:r>
      <w:r>
        <w:rPr>
          <w:rFonts w:ascii="Times New Roman" w:hAnsi="Times New Roman"/>
        </w:rPr>
        <w:t>.10.</w:t>
      </w:r>
      <w:r w:rsidRPr="00FE1FBE">
        <w:rPr>
          <w:rFonts w:ascii="Times New Roman" w:hAnsi="Times New Roman"/>
        </w:rPr>
        <w:t>1863)</w:t>
      </w:r>
      <w:r>
        <w:rPr>
          <w:rFonts w:ascii="Times New Roman" w:hAnsi="Times New Roman"/>
        </w:rPr>
        <w:t>.</w:t>
      </w:r>
    </w:p>
  </w:footnote>
  <w:footnote w:id="57">
    <w:p w14:paraId="37316E26" w14:textId="77777777" w:rsidR="001E7189" w:rsidRPr="00671C03" w:rsidRDefault="001E7189" w:rsidP="001E7189">
      <w:pPr>
        <w:pStyle w:val="DipnotMetni"/>
        <w:jc w:val="both"/>
        <w:rPr>
          <w:rFonts w:ascii="Times New Roman" w:hAnsi="Times New Roman"/>
        </w:rPr>
      </w:pPr>
      <w:r w:rsidRPr="00671C03">
        <w:rPr>
          <w:rStyle w:val="DipnotBavurusu"/>
          <w:rFonts w:ascii="Times New Roman" w:hAnsi="Times New Roman"/>
        </w:rPr>
        <w:footnoteRef/>
      </w:r>
      <w:r w:rsidRPr="00671C03">
        <w:rPr>
          <w:rFonts w:ascii="Times New Roman" w:hAnsi="Times New Roman"/>
        </w:rPr>
        <w:t xml:space="preserve"> BOA, MVL </w:t>
      </w:r>
      <w:bookmarkStart w:id="205" w:name="_Hlk177253056"/>
      <w:r w:rsidRPr="00671C03">
        <w:rPr>
          <w:rFonts w:ascii="Times New Roman" w:hAnsi="Times New Roman"/>
        </w:rPr>
        <w:t>991-77</w:t>
      </w:r>
      <w:r>
        <w:rPr>
          <w:rFonts w:ascii="Times New Roman" w:hAnsi="Times New Roman"/>
        </w:rPr>
        <w:t xml:space="preserve">; BOA, MVL.d 95, Belge No: 450 Sıra No: 104, </w:t>
      </w:r>
      <w:r w:rsidRPr="00FE1FBE">
        <w:rPr>
          <w:rFonts w:ascii="Times New Roman" w:hAnsi="Times New Roman"/>
        </w:rPr>
        <w:t>(H.27</w:t>
      </w:r>
      <w:r>
        <w:rPr>
          <w:rFonts w:ascii="Times New Roman" w:hAnsi="Times New Roman"/>
        </w:rPr>
        <w:t>.</w:t>
      </w:r>
      <w:r w:rsidRPr="00FE1FBE">
        <w:rPr>
          <w:rFonts w:ascii="Times New Roman" w:hAnsi="Times New Roman"/>
        </w:rPr>
        <w:t>01</w:t>
      </w:r>
      <w:r>
        <w:rPr>
          <w:rFonts w:ascii="Times New Roman" w:hAnsi="Times New Roman"/>
        </w:rPr>
        <w:t>.</w:t>
      </w:r>
      <w:r w:rsidRPr="00FE1FBE">
        <w:rPr>
          <w:rFonts w:ascii="Times New Roman" w:hAnsi="Times New Roman"/>
        </w:rPr>
        <w:t>1281</w:t>
      </w:r>
      <w:r>
        <w:rPr>
          <w:rFonts w:ascii="Times New Roman" w:hAnsi="Times New Roman"/>
        </w:rPr>
        <w:t>/M.0</w:t>
      </w:r>
      <w:r w:rsidRPr="00FE1FBE">
        <w:rPr>
          <w:rFonts w:ascii="Times New Roman" w:hAnsi="Times New Roman"/>
        </w:rPr>
        <w:t>2</w:t>
      </w:r>
      <w:r>
        <w:rPr>
          <w:rFonts w:ascii="Times New Roman" w:hAnsi="Times New Roman"/>
        </w:rPr>
        <w:t>.07.</w:t>
      </w:r>
      <w:r w:rsidRPr="00FE1FBE">
        <w:rPr>
          <w:rFonts w:ascii="Times New Roman" w:hAnsi="Times New Roman"/>
        </w:rPr>
        <w:t>1864)</w:t>
      </w:r>
      <w:r>
        <w:rPr>
          <w:rFonts w:ascii="Times New Roman" w:hAnsi="Times New Roman"/>
        </w:rPr>
        <w:t>.</w:t>
      </w:r>
    </w:p>
    <w:bookmarkEnd w:id="205"/>
  </w:footnote>
  <w:footnote w:id="58">
    <w:p w14:paraId="7E5B8A08"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MVL.d 103, Belge No: </w:t>
      </w:r>
      <w:bookmarkStart w:id="206" w:name="_Hlk177253086"/>
      <w:r w:rsidRPr="00F228B9">
        <w:rPr>
          <w:rFonts w:ascii="Times New Roman" w:hAnsi="Times New Roman"/>
        </w:rPr>
        <w:t>726, Sıra No: 8</w:t>
      </w:r>
      <w:bookmarkEnd w:id="206"/>
      <w:r w:rsidRPr="00F228B9">
        <w:rPr>
          <w:rFonts w:ascii="Times New Roman" w:hAnsi="Times New Roman"/>
        </w:rPr>
        <w:t>, (H.26</w:t>
      </w:r>
      <w:r>
        <w:rPr>
          <w:rFonts w:ascii="Times New Roman" w:hAnsi="Times New Roman"/>
        </w:rPr>
        <w:t>.</w:t>
      </w:r>
      <w:r w:rsidRPr="00F228B9">
        <w:rPr>
          <w:rFonts w:ascii="Times New Roman" w:hAnsi="Times New Roman"/>
        </w:rPr>
        <w:t>02</w:t>
      </w:r>
      <w:r>
        <w:rPr>
          <w:rFonts w:ascii="Times New Roman" w:hAnsi="Times New Roman"/>
        </w:rPr>
        <w:t>.</w:t>
      </w:r>
      <w:r w:rsidRPr="00F228B9">
        <w:rPr>
          <w:rFonts w:ascii="Times New Roman" w:hAnsi="Times New Roman"/>
        </w:rPr>
        <w:t>1282/M. 21</w:t>
      </w:r>
      <w:r>
        <w:rPr>
          <w:rFonts w:ascii="Times New Roman" w:hAnsi="Times New Roman"/>
        </w:rPr>
        <w:t>.</w:t>
      </w:r>
      <w:r w:rsidRPr="00F228B9">
        <w:rPr>
          <w:rFonts w:ascii="Times New Roman" w:hAnsi="Times New Roman"/>
        </w:rPr>
        <w:t>07</w:t>
      </w:r>
      <w:r>
        <w:rPr>
          <w:rFonts w:ascii="Times New Roman" w:hAnsi="Times New Roman"/>
        </w:rPr>
        <w:t>.</w:t>
      </w:r>
      <w:r w:rsidRPr="00F228B9">
        <w:rPr>
          <w:rFonts w:ascii="Times New Roman" w:hAnsi="Times New Roman"/>
        </w:rPr>
        <w:t>1865).</w:t>
      </w:r>
    </w:p>
  </w:footnote>
  <w:footnote w:id="59">
    <w:p w14:paraId="18CB5A22"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 960-25, Görüntü No: 1, 2, 4, (H.25</w:t>
      </w:r>
      <w:r>
        <w:rPr>
          <w:rFonts w:ascii="Times New Roman" w:hAnsi="Times New Roman"/>
        </w:rPr>
        <w:t>.</w:t>
      </w:r>
      <w:r w:rsidRPr="00F228B9">
        <w:rPr>
          <w:rFonts w:ascii="Times New Roman" w:hAnsi="Times New Roman"/>
        </w:rPr>
        <w:t>05</w:t>
      </w:r>
      <w:r>
        <w:rPr>
          <w:rFonts w:ascii="Times New Roman" w:hAnsi="Times New Roman"/>
        </w:rPr>
        <w:t>.</w:t>
      </w:r>
      <w:r w:rsidRPr="00F228B9">
        <w:rPr>
          <w:rFonts w:ascii="Times New Roman" w:hAnsi="Times New Roman"/>
        </w:rPr>
        <w:t>1279/M.27</w:t>
      </w:r>
      <w:r>
        <w:rPr>
          <w:rFonts w:ascii="Times New Roman" w:hAnsi="Times New Roman"/>
        </w:rPr>
        <w:t>.</w:t>
      </w:r>
      <w:r w:rsidRPr="00F228B9">
        <w:rPr>
          <w:rFonts w:ascii="Times New Roman" w:hAnsi="Times New Roman"/>
        </w:rPr>
        <w:t>11</w:t>
      </w:r>
      <w:r>
        <w:rPr>
          <w:rFonts w:ascii="Times New Roman" w:hAnsi="Times New Roman"/>
        </w:rPr>
        <w:t>.</w:t>
      </w:r>
      <w:r w:rsidRPr="00F228B9">
        <w:rPr>
          <w:rFonts w:ascii="Times New Roman" w:hAnsi="Times New Roman"/>
        </w:rPr>
        <w:t>1862).</w:t>
      </w:r>
    </w:p>
  </w:footnote>
  <w:footnote w:id="60">
    <w:p w14:paraId="4C4D7C2E"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 </w:t>
      </w:r>
      <w:bookmarkStart w:id="207" w:name="_Hlk177253117"/>
      <w:r w:rsidRPr="00F228B9">
        <w:rPr>
          <w:rFonts w:ascii="Times New Roman" w:hAnsi="Times New Roman"/>
        </w:rPr>
        <w:t>1008-30, (H.19</w:t>
      </w:r>
      <w:r>
        <w:rPr>
          <w:rFonts w:ascii="Times New Roman" w:hAnsi="Times New Roman"/>
        </w:rPr>
        <w:t>.</w:t>
      </w:r>
      <w:r w:rsidRPr="00F228B9">
        <w:rPr>
          <w:rFonts w:ascii="Times New Roman" w:hAnsi="Times New Roman"/>
        </w:rPr>
        <w:t>11</w:t>
      </w:r>
      <w:r>
        <w:rPr>
          <w:rFonts w:ascii="Times New Roman" w:hAnsi="Times New Roman"/>
        </w:rPr>
        <w:t>.</w:t>
      </w:r>
      <w:r w:rsidRPr="00F228B9">
        <w:rPr>
          <w:rFonts w:ascii="Times New Roman" w:hAnsi="Times New Roman"/>
        </w:rPr>
        <w:t>1281/M.15</w:t>
      </w:r>
      <w:r>
        <w:rPr>
          <w:rFonts w:ascii="Times New Roman" w:hAnsi="Times New Roman"/>
        </w:rPr>
        <w:t>.</w:t>
      </w:r>
      <w:r w:rsidRPr="00F228B9">
        <w:rPr>
          <w:rFonts w:ascii="Times New Roman" w:hAnsi="Times New Roman"/>
        </w:rPr>
        <w:t>04</w:t>
      </w:r>
      <w:r>
        <w:rPr>
          <w:rFonts w:ascii="Times New Roman" w:hAnsi="Times New Roman"/>
        </w:rPr>
        <w:t>.</w:t>
      </w:r>
      <w:r w:rsidRPr="00F228B9">
        <w:rPr>
          <w:rFonts w:ascii="Times New Roman" w:hAnsi="Times New Roman"/>
        </w:rPr>
        <w:t>1865).</w:t>
      </w:r>
    </w:p>
    <w:bookmarkEnd w:id="207"/>
  </w:footnote>
  <w:footnote w:id="61">
    <w:p w14:paraId="53A1C288"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Işret.</w:t>
      </w:r>
    </w:p>
  </w:footnote>
  <w:footnote w:id="62">
    <w:p w14:paraId="7FB0C2BB" w14:textId="77777777" w:rsidR="001E7189" w:rsidRPr="00F228B9" w:rsidRDefault="001E7189" w:rsidP="001E7189">
      <w:pPr>
        <w:pStyle w:val="DipnotMetni"/>
        <w:jc w:val="both"/>
        <w:rPr>
          <w:rFonts w:ascii="Times New Roman" w:hAnsi="Times New Roman"/>
        </w:rPr>
      </w:pPr>
      <w:r w:rsidRPr="00F228B9">
        <w:rPr>
          <w:rStyle w:val="DipnotBavurusu"/>
          <w:rFonts w:ascii="Times New Roman" w:hAnsi="Times New Roman"/>
        </w:rPr>
        <w:footnoteRef/>
      </w:r>
      <w:r w:rsidRPr="00F228B9">
        <w:rPr>
          <w:rFonts w:ascii="Times New Roman" w:hAnsi="Times New Roman"/>
        </w:rPr>
        <w:t xml:space="preserve"> BOA, MVL.d, 94, Belge No: </w:t>
      </w:r>
      <w:bookmarkStart w:id="208" w:name="_Hlk177253149"/>
      <w:r w:rsidRPr="00F228B9">
        <w:rPr>
          <w:rFonts w:ascii="Times New Roman" w:hAnsi="Times New Roman"/>
        </w:rPr>
        <w:t>764, Sıra No: 57</w:t>
      </w:r>
      <w:bookmarkEnd w:id="208"/>
      <w:r w:rsidRPr="00F228B9">
        <w:rPr>
          <w:rFonts w:ascii="Times New Roman" w:hAnsi="Times New Roman"/>
        </w:rPr>
        <w:t>, (H.12</w:t>
      </w:r>
      <w:r>
        <w:rPr>
          <w:rFonts w:ascii="Times New Roman" w:hAnsi="Times New Roman"/>
        </w:rPr>
        <w:t>.</w:t>
      </w:r>
      <w:r w:rsidRPr="00F228B9">
        <w:rPr>
          <w:rFonts w:ascii="Times New Roman" w:hAnsi="Times New Roman"/>
        </w:rPr>
        <w:t>07</w:t>
      </w:r>
      <w:r>
        <w:rPr>
          <w:rFonts w:ascii="Times New Roman" w:hAnsi="Times New Roman"/>
        </w:rPr>
        <w:t>.</w:t>
      </w:r>
      <w:r w:rsidRPr="00F228B9">
        <w:rPr>
          <w:rFonts w:ascii="Times New Roman" w:hAnsi="Times New Roman"/>
        </w:rPr>
        <w:t>1280/M. 23</w:t>
      </w:r>
      <w:r>
        <w:rPr>
          <w:rFonts w:ascii="Times New Roman" w:hAnsi="Times New Roman"/>
        </w:rPr>
        <w:t>.</w:t>
      </w:r>
      <w:r w:rsidRPr="00F228B9">
        <w:rPr>
          <w:rFonts w:ascii="Times New Roman" w:hAnsi="Times New Roman"/>
        </w:rPr>
        <w:t>12</w:t>
      </w:r>
      <w:r>
        <w:rPr>
          <w:rFonts w:ascii="Times New Roman" w:hAnsi="Times New Roman"/>
        </w:rPr>
        <w:t>.</w:t>
      </w:r>
      <w:r w:rsidRPr="00F228B9">
        <w:rPr>
          <w:rFonts w:ascii="Times New Roman" w:hAnsi="Times New Roman"/>
        </w:rPr>
        <w:t>1863).</w:t>
      </w:r>
    </w:p>
  </w:footnote>
  <w:footnote w:id="63">
    <w:p w14:paraId="3B2B6C48" w14:textId="77777777" w:rsidR="001E7189" w:rsidRPr="00880C05" w:rsidRDefault="001E7189" w:rsidP="001E7189">
      <w:pPr>
        <w:pStyle w:val="DipnotMetni"/>
        <w:rPr>
          <w:rFonts w:ascii="Times New Roman" w:hAnsi="Times New Roman" w:cs="Times New Roman"/>
        </w:rPr>
      </w:pPr>
      <w:r w:rsidRPr="00880C05">
        <w:rPr>
          <w:rStyle w:val="DipnotBavurusu"/>
          <w:rFonts w:ascii="Times New Roman" w:hAnsi="Times New Roman" w:cs="Times New Roman"/>
        </w:rPr>
        <w:footnoteRef/>
      </w:r>
      <w:r w:rsidRPr="00880C05">
        <w:rPr>
          <w:rFonts w:ascii="Times New Roman" w:hAnsi="Times New Roman" w:cs="Times New Roman"/>
        </w:rPr>
        <w:t xml:space="preserve"> BOA, MVL 221-15, Görüntü No:1, (</w:t>
      </w:r>
      <w:r>
        <w:rPr>
          <w:rFonts w:ascii="Times New Roman" w:hAnsi="Times New Roman" w:cs="Times New Roman"/>
        </w:rPr>
        <w:t>H.19.06.1273/M. 14.02.1857).</w:t>
      </w:r>
    </w:p>
  </w:footnote>
  <w:footnote w:id="64">
    <w:p w14:paraId="0BE5D2A9" w14:textId="77777777" w:rsidR="001E7189" w:rsidRPr="005D27EE" w:rsidRDefault="001E7189" w:rsidP="001E7189">
      <w:pPr>
        <w:pStyle w:val="DipnotMetni"/>
        <w:jc w:val="both"/>
        <w:rPr>
          <w:rFonts w:ascii="Times New Roman" w:hAnsi="Times New Roman"/>
        </w:rPr>
      </w:pPr>
      <w:r w:rsidRPr="005D27EE">
        <w:rPr>
          <w:rStyle w:val="DipnotBavurusu"/>
          <w:rFonts w:ascii="Times New Roman" w:hAnsi="Times New Roman"/>
        </w:rPr>
        <w:footnoteRef/>
      </w:r>
      <w:r w:rsidRPr="005D27EE">
        <w:rPr>
          <w:rFonts w:ascii="Times New Roman" w:hAnsi="Times New Roman"/>
        </w:rPr>
        <w:t xml:space="preserve"> </w:t>
      </w:r>
      <w:r w:rsidRPr="00F744D0">
        <w:rPr>
          <w:rFonts w:ascii="Times New Roman" w:hAnsi="Times New Roman"/>
        </w:rPr>
        <w:t>BOA, MVL 1010-1</w:t>
      </w:r>
      <w:r>
        <w:rPr>
          <w:rFonts w:ascii="Times New Roman" w:hAnsi="Times New Roman"/>
        </w:rPr>
        <w:t xml:space="preserve">; </w:t>
      </w:r>
      <w:r w:rsidRPr="005D27EE">
        <w:rPr>
          <w:rFonts w:ascii="Times New Roman" w:hAnsi="Times New Roman"/>
        </w:rPr>
        <w:t>BOA, MVL.d 96</w:t>
      </w:r>
      <w:r>
        <w:rPr>
          <w:rFonts w:ascii="Times New Roman" w:hAnsi="Times New Roman"/>
        </w:rPr>
        <w:t>,</w:t>
      </w:r>
      <w:r w:rsidRPr="005D27EE">
        <w:rPr>
          <w:rFonts w:ascii="Times New Roman" w:hAnsi="Times New Roman"/>
        </w:rPr>
        <w:t xml:space="preserve"> Belge No</w:t>
      </w:r>
      <w:r>
        <w:rPr>
          <w:rFonts w:ascii="Times New Roman" w:hAnsi="Times New Roman"/>
        </w:rPr>
        <w:t>:</w:t>
      </w:r>
      <w:r w:rsidRPr="005D27EE">
        <w:rPr>
          <w:rFonts w:ascii="Times New Roman" w:hAnsi="Times New Roman"/>
        </w:rPr>
        <w:t xml:space="preserve"> </w:t>
      </w:r>
      <w:bookmarkStart w:id="209" w:name="_Hlk177253186"/>
      <w:r w:rsidRPr="005D27EE">
        <w:rPr>
          <w:rFonts w:ascii="Times New Roman" w:hAnsi="Times New Roman"/>
        </w:rPr>
        <w:t>284, Sıra No</w:t>
      </w:r>
      <w:r>
        <w:rPr>
          <w:rFonts w:ascii="Times New Roman" w:hAnsi="Times New Roman"/>
        </w:rPr>
        <w:t>:</w:t>
      </w:r>
      <w:r w:rsidRPr="005D27EE">
        <w:rPr>
          <w:rFonts w:ascii="Times New Roman" w:hAnsi="Times New Roman"/>
        </w:rPr>
        <w:t xml:space="preserve"> 36</w:t>
      </w:r>
      <w:bookmarkEnd w:id="209"/>
      <w:r>
        <w:rPr>
          <w:rFonts w:ascii="Times New Roman" w:hAnsi="Times New Roman"/>
        </w:rPr>
        <w:t xml:space="preserve">, </w:t>
      </w:r>
      <w:r w:rsidRPr="00063307">
        <w:rPr>
          <w:rFonts w:ascii="Times New Roman" w:hAnsi="Times New Roman"/>
        </w:rPr>
        <w:t>(H.21</w:t>
      </w:r>
      <w:r>
        <w:rPr>
          <w:rFonts w:ascii="Times New Roman" w:hAnsi="Times New Roman"/>
        </w:rPr>
        <w:t>.</w:t>
      </w:r>
      <w:r w:rsidRPr="00063307">
        <w:rPr>
          <w:rFonts w:ascii="Times New Roman" w:hAnsi="Times New Roman"/>
        </w:rPr>
        <w:t>04.1281</w:t>
      </w:r>
      <w:r>
        <w:rPr>
          <w:rFonts w:ascii="Times New Roman" w:hAnsi="Times New Roman"/>
        </w:rPr>
        <w:t>/M.</w:t>
      </w:r>
      <w:r w:rsidRPr="00063307">
        <w:rPr>
          <w:rFonts w:ascii="Times New Roman" w:hAnsi="Times New Roman"/>
        </w:rPr>
        <w:t>13</w:t>
      </w:r>
      <w:r>
        <w:rPr>
          <w:rFonts w:ascii="Times New Roman" w:hAnsi="Times New Roman"/>
        </w:rPr>
        <w:t>.09.</w:t>
      </w:r>
      <w:r w:rsidRPr="00063307">
        <w:rPr>
          <w:rFonts w:ascii="Times New Roman" w:hAnsi="Times New Roman"/>
        </w:rPr>
        <w:t>1865)</w:t>
      </w:r>
      <w:r>
        <w:rPr>
          <w:rFonts w:ascii="Times New Roman" w:hAnsi="Times New Roman"/>
        </w:rPr>
        <w:t>.</w:t>
      </w:r>
    </w:p>
  </w:footnote>
  <w:footnote w:id="65">
    <w:p w14:paraId="0ACF6255" w14:textId="77777777" w:rsidR="001E7189" w:rsidRPr="005D27EE" w:rsidRDefault="001E7189" w:rsidP="001E7189">
      <w:pPr>
        <w:pStyle w:val="DipnotMetni"/>
        <w:jc w:val="both"/>
        <w:rPr>
          <w:rFonts w:ascii="Times New Roman" w:hAnsi="Times New Roman"/>
        </w:rPr>
      </w:pPr>
      <w:r w:rsidRPr="005D27EE">
        <w:rPr>
          <w:rStyle w:val="DipnotBavurusu"/>
          <w:rFonts w:ascii="Times New Roman" w:hAnsi="Times New Roman"/>
        </w:rPr>
        <w:footnoteRef/>
      </w:r>
      <w:r>
        <w:rPr>
          <w:rFonts w:ascii="Times New Roman" w:hAnsi="Times New Roman"/>
        </w:rPr>
        <w:t xml:space="preserve"> BOA, MVL.d 96, Belge No: 284 Sıra No: 25, </w:t>
      </w:r>
      <w:r w:rsidRPr="00063307">
        <w:rPr>
          <w:rFonts w:ascii="Times New Roman" w:hAnsi="Times New Roman"/>
        </w:rPr>
        <w:t>(H.01</w:t>
      </w:r>
      <w:r>
        <w:rPr>
          <w:rFonts w:ascii="Times New Roman" w:hAnsi="Times New Roman"/>
        </w:rPr>
        <w:t>.</w:t>
      </w:r>
      <w:r w:rsidRPr="00063307">
        <w:rPr>
          <w:rFonts w:ascii="Times New Roman" w:hAnsi="Times New Roman"/>
        </w:rPr>
        <w:t>07</w:t>
      </w:r>
      <w:r>
        <w:rPr>
          <w:rFonts w:ascii="Times New Roman" w:hAnsi="Times New Roman"/>
        </w:rPr>
        <w:t>.</w:t>
      </w:r>
      <w:r w:rsidRPr="00063307">
        <w:rPr>
          <w:rFonts w:ascii="Times New Roman" w:hAnsi="Times New Roman"/>
        </w:rPr>
        <w:t>1282</w:t>
      </w:r>
      <w:r>
        <w:rPr>
          <w:rFonts w:ascii="Times New Roman" w:hAnsi="Times New Roman"/>
        </w:rPr>
        <w:t>/M.</w:t>
      </w:r>
      <w:r w:rsidRPr="00063307">
        <w:rPr>
          <w:rFonts w:ascii="Times New Roman" w:hAnsi="Times New Roman"/>
        </w:rPr>
        <w:t>20</w:t>
      </w:r>
      <w:r>
        <w:rPr>
          <w:rFonts w:ascii="Times New Roman" w:hAnsi="Times New Roman"/>
        </w:rPr>
        <w:t>.11.</w:t>
      </w:r>
      <w:r w:rsidRPr="00063307">
        <w:rPr>
          <w:rFonts w:ascii="Times New Roman" w:hAnsi="Times New Roman"/>
        </w:rPr>
        <w:t>1865)</w:t>
      </w:r>
      <w:r>
        <w:rPr>
          <w:rFonts w:ascii="Times New Roman" w:hAnsi="Times New Roman"/>
        </w:rPr>
        <w:t>.</w:t>
      </w:r>
    </w:p>
  </w:footnote>
  <w:footnote w:id="66">
    <w:p w14:paraId="50FC0E8D" w14:textId="77777777" w:rsidR="001E7189" w:rsidRPr="005D27EE" w:rsidRDefault="001E7189" w:rsidP="001E7189">
      <w:pPr>
        <w:pStyle w:val="DipnotMetni"/>
        <w:jc w:val="both"/>
        <w:rPr>
          <w:rFonts w:ascii="Times New Roman" w:hAnsi="Times New Roman"/>
        </w:rPr>
      </w:pPr>
      <w:r w:rsidRPr="005D27EE">
        <w:rPr>
          <w:rStyle w:val="DipnotBavurusu"/>
          <w:rFonts w:ascii="Times New Roman" w:hAnsi="Times New Roman"/>
        </w:rPr>
        <w:footnoteRef/>
      </w:r>
      <w:r w:rsidRPr="005D27EE">
        <w:rPr>
          <w:rFonts w:ascii="Times New Roman" w:hAnsi="Times New Roman"/>
        </w:rPr>
        <w:t xml:space="preserve"> BOA, MVL </w:t>
      </w:r>
      <w:bookmarkStart w:id="210" w:name="_Hlk177253265"/>
      <w:r w:rsidRPr="005D27EE">
        <w:rPr>
          <w:rFonts w:ascii="Times New Roman" w:hAnsi="Times New Roman"/>
        </w:rPr>
        <w:t>995-45</w:t>
      </w:r>
      <w:bookmarkEnd w:id="210"/>
      <w:r w:rsidRPr="005D27EE">
        <w:rPr>
          <w:rFonts w:ascii="Times New Roman" w:hAnsi="Times New Roman"/>
        </w:rPr>
        <w:t>, Görüntü</w:t>
      </w:r>
      <w:r>
        <w:rPr>
          <w:rFonts w:ascii="Times New Roman" w:hAnsi="Times New Roman"/>
        </w:rPr>
        <w:t>:</w:t>
      </w:r>
      <w:r w:rsidRPr="005D27EE">
        <w:rPr>
          <w:rFonts w:ascii="Times New Roman" w:hAnsi="Times New Roman"/>
        </w:rPr>
        <w:t xml:space="preserve"> 1, 3, 9</w:t>
      </w:r>
      <w:r>
        <w:rPr>
          <w:rFonts w:ascii="Times New Roman" w:hAnsi="Times New Roman"/>
        </w:rPr>
        <w:t>;</w:t>
      </w:r>
      <w:r w:rsidRPr="005D27EE">
        <w:rPr>
          <w:rFonts w:ascii="Times New Roman" w:hAnsi="Times New Roman"/>
        </w:rPr>
        <w:t xml:space="preserve"> </w:t>
      </w:r>
      <w:r w:rsidRPr="00EE1131">
        <w:rPr>
          <w:rFonts w:ascii="Times New Roman" w:hAnsi="Times New Roman"/>
        </w:rPr>
        <w:t xml:space="preserve">BOA, MVL.d </w:t>
      </w:r>
      <w:r>
        <w:rPr>
          <w:rFonts w:ascii="Times New Roman" w:hAnsi="Times New Roman"/>
        </w:rPr>
        <w:t xml:space="preserve">95, </w:t>
      </w:r>
      <w:r w:rsidRPr="00EE1131">
        <w:rPr>
          <w:rFonts w:ascii="Times New Roman" w:hAnsi="Times New Roman"/>
        </w:rPr>
        <w:t>Belge No</w:t>
      </w:r>
      <w:r>
        <w:rPr>
          <w:rFonts w:ascii="Times New Roman" w:hAnsi="Times New Roman"/>
        </w:rPr>
        <w:t>: 854,</w:t>
      </w:r>
      <w:r w:rsidRPr="00EE1131">
        <w:rPr>
          <w:rFonts w:ascii="Times New Roman" w:hAnsi="Times New Roman"/>
        </w:rPr>
        <w:t xml:space="preserve"> Sıra No</w:t>
      </w:r>
      <w:r>
        <w:rPr>
          <w:rFonts w:ascii="Times New Roman" w:hAnsi="Times New Roman"/>
        </w:rPr>
        <w:t xml:space="preserve">: 190, (H.08.11.1280/M.15.04.1864). 1858 </w:t>
      </w:r>
      <w:r w:rsidRPr="005D27EE">
        <w:rPr>
          <w:rFonts w:ascii="Times New Roman" w:hAnsi="Times New Roman"/>
        </w:rPr>
        <w:t>Ceza Kanunun 1</w:t>
      </w:r>
      <w:r>
        <w:rPr>
          <w:rFonts w:ascii="Times New Roman" w:hAnsi="Times New Roman"/>
        </w:rPr>
        <w:t>89</w:t>
      </w:r>
      <w:r w:rsidRPr="005D27EE">
        <w:rPr>
          <w:rFonts w:ascii="Times New Roman" w:hAnsi="Times New Roman"/>
        </w:rPr>
        <w:t>. Maddesi; “</w:t>
      </w:r>
      <w:r w:rsidRPr="005D27EE">
        <w:rPr>
          <w:rFonts w:ascii="Times New Roman" w:hAnsi="Times New Roman"/>
          <w:i/>
          <w:iCs/>
        </w:rPr>
        <w:t>Bilmukabele vuku bulan kati ve cerh ve darp fiillerini irtikâb eden kimse kezalik muafdır. Fakat zâbıta memurları bu babda müstesna olarak, onlar vazife</w:t>
      </w:r>
      <w:r>
        <w:rPr>
          <w:rFonts w:ascii="Times New Roman" w:hAnsi="Times New Roman"/>
          <w:i/>
          <w:iCs/>
        </w:rPr>
        <w:t>-</w:t>
      </w:r>
      <w:r w:rsidRPr="005D27EE">
        <w:rPr>
          <w:rFonts w:ascii="Times New Roman" w:hAnsi="Times New Roman"/>
          <w:i/>
          <w:iCs/>
        </w:rPr>
        <w:t>i memuriyetlerini icrada nizam-ı mahsusunun gösterdiği mesağ üzere îkâ edebilecekleri kati ve cerh ve darp fiillerinden mesul olmazlar ve onlara mukabele edenler bir veçhile mazur olamazlar</w:t>
      </w:r>
      <w:r w:rsidRPr="005D27EE">
        <w:rPr>
          <w:rFonts w:ascii="Times New Roman" w:hAnsi="Times New Roman"/>
        </w:rPr>
        <w:t>” şeklindedir.</w:t>
      </w:r>
      <w:bookmarkStart w:id="211" w:name="_Hlk177251683"/>
      <w:r w:rsidRPr="005D27EE">
        <w:rPr>
          <w:rFonts w:ascii="Times New Roman" w:hAnsi="Times New Roman"/>
        </w:rPr>
        <w:t xml:space="preserve"> Akgündüz,</w:t>
      </w:r>
      <w:bookmarkEnd w:id="211"/>
      <w:r>
        <w:rPr>
          <w:rFonts w:ascii="Times New Roman" w:hAnsi="Times New Roman"/>
        </w:rPr>
        <w:t xml:space="preserve"> a.g.e, </w:t>
      </w:r>
      <w:r w:rsidRPr="005D27EE">
        <w:rPr>
          <w:rFonts w:ascii="Times New Roman" w:hAnsi="Times New Roman"/>
        </w:rPr>
        <w:t xml:space="preserve">s. 863. </w:t>
      </w:r>
      <w:r>
        <w:rPr>
          <w:rFonts w:ascii="Times New Roman" w:hAnsi="Times New Roman"/>
        </w:rPr>
        <w:t xml:space="preserve">Yani </w:t>
      </w:r>
      <w:r w:rsidRPr="005D27EE">
        <w:rPr>
          <w:rFonts w:ascii="Times New Roman" w:hAnsi="Times New Roman"/>
        </w:rPr>
        <w:t xml:space="preserve">Zabıta memuru Hüseyin, namlı bir hırsız olduğu ahali ve ailesi tarafından da kabul edilen Şomo’yu vursa dahi görevini icra ediyor olduğundan cezadan muaf olacaktı. </w:t>
      </w:r>
    </w:p>
  </w:footnote>
  <w:footnote w:id="67">
    <w:p w14:paraId="70C70F7C" w14:textId="77777777" w:rsidR="001E7189" w:rsidRPr="00B1315E" w:rsidRDefault="001E7189" w:rsidP="001E7189">
      <w:pPr>
        <w:pStyle w:val="DipnotMetni"/>
        <w:rPr>
          <w:rFonts w:ascii="Times New Roman" w:hAnsi="Times New Roman" w:cs="Times New Roman"/>
        </w:rPr>
      </w:pPr>
      <w:r>
        <w:rPr>
          <w:rStyle w:val="DipnotBavurusu"/>
        </w:rPr>
        <w:footnoteRef/>
      </w:r>
      <w:r>
        <w:t xml:space="preserve"> BOA, </w:t>
      </w:r>
      <w:r w:rsidRPr="0016237E">
        <w:rPr>
          <w:rFonts w:ascii="Times New Roman" w:hAnsi="Times New Roman" w:cs="Times New Roman"/>
        </w:rPr>
        <w:t>BEOAYN.d, 853</w:t>
      </w:r>
      <w:r w:rsidRPr="00B1315E">
        <w:rPr>
          <w:rFonts w:ascii="Times New Roman" w:hAnsi="Times New Roman" w:cs="Times New Roman"/>
        </w:rPr>
        <w:t>, Belge No: 465, (H.</w:t>
      </w:r>
      <w:r>
        <w:rPr>
          <w:rFonts w:ascii="Times New Roman" w:hAnsi="Times New Roman" w:cs="Times New Roman"/>
        </w:rPr>
        <w:t>27.08.1288/11.11.1871).</w:t>
      </w:r>
    </w:p>
  </w:footnote>
  <w:footnote w:id="68">
    <w:p w14:paraId="1FAA0734" w14:textId="77777777" w:rsidR="001E7189" w:rsidRPr="00200F6B" w:rsidRDefault="001E7189" w:rsidP="001E7189">
      <w:pPr>
        <w:pStyle w:val="DipnotMetni"/>
        <w:rPr>
          <w:rFonts w:ascii="Times New Roman" w:hAnsi="Times New Roman" w:cs="Times New Roman"/>
        </w:rPr>
      </w:pPr>
      <w:r>
        <w:rPr>
          <w:rStyle w:val="DipnotBavurusu"/>
        </w:rPr>
        <w:footnoteRef/>
      </w:r>
      <w:r>
        <w:t xml:space="preserve">  </w:t>
      </w:r>
      <w:r w:rsidRPr="00200F6B">
        <w:rPr>
          <w:rFonts w:ascii="Times New Roman" w:hAnsi="Times New Roman" w:cs="Times New Roman"/>
        </w:rPr>
        <w:t>BOA,</w:t>
      </w:r>
      <w:r w:rsidRPr="0016237E">
        <w:rPr>
          <w:rFonts w:ascii="Times New Roman" w:hAnsi="Times New Roman" w:cs="Times New Roman"/>
          <w:b/>
          <w:bCs/>
          <w:sz w:val="24"/>
          <w:szCs w:val="24"/>
        </w:rPr>
        <w:t xml:space="preserve"> </w:t>
      </w:r>
      <w:r w:rsidRPr="0016237E">
        <w:rPr>
          <w:rFonts w:ascii="Times New Roman" w:hAnsi="Times New Roman" w:cs="Times New Roman"/>
        </w:rPr>
        <w:t>BEOAYN.d, 853, B</w:t>
      </w:r>
      <w:r w:rsidRPr="00200F6B">
        <w:rPr>
          <w:rFonts w:ascii="Times New Roman" w:hAnsi="Times New Roman" w:cs="Times New Roman"/>
        </w:rPr>
        <w:t xml:space="preserve">elge No: 480, </w:t>
      </w:r>
      <w:r>
        <w:rPr>
          <w:rFonts w:ascii="Times New Roman" w:hAnsi="Times New Roman" w:cs="Times New Roman"/>
        </w:rPr>
        <w:t>(H.11.06.1289/M.16.08.1872).</w:t>
      </w:r>
    </w:p>
  </w:footnote>
  <w:footnote w:id="69">
    <w:p w14:paraId="768BB795"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“Tefillin”, deriden yapılmış ve deri şeritlerle tutturulmuş siyah renkte iki kare kutucuktan oluşup, içlerinde Tora’dan alıntılanmış dört ayrı bölüm bulunan dua bilekliğidir. Bkz. Yusuf Altıntaş (ed.), </w:t>
      </w:r>
      <w:r w:rsidRPr="00E36A60">
        <w:rPr>
          <w:rFonts w:ascii="Times New Roman" w:hAnsi="Times New Roman" w:cs="Times New Roman"/>
          <w:i/>
        </w:rPr>
        <w:t>Yahudilik’te Kavram ve Değerler</w:t>
      </w:r>
      <w:r w:rsidRPr="00E36A60">
        <w:rPr>
          <w:rFonts w:ascii="Times New Roman" w:hAnsi="Times New Roman" w:cs="Times New Roman"/>
        </w:rPr>
        <w:t>, (İstanbul: Gözlem Gazetecilik Basın ve Yayın, 2018), 278.</w:t>
      </w:r>
    </w:p>
  </w:footnote>
  <w:footnote w:id="70">
    <w:p w14:paraId="690ECA16"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Tallit, yün, pamuk veya sentetik iplikten yapılmış büyük dikdörtgen şaldır. Şalın dört köşesinin her birinde tzitzit adı verilen belirli bir desenle bağlanmış ipler vardır. Bkz. My Jewish Learning, “Article-Tallit-The Prayer Shawl” (Erişim 14 Kasım 2024).</w:t>
      </w:r>
    </w:p>
  </w:footnote>
  <w:footnote w:id="71">
    <w:p w14:paraId="776B8AAD"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Ezra Kitabı'nda Yazıcı Ezra (Ezra ha Sofer) ve Rahip Ezra olarak da anılan Ezra (MÖ 480-440), Yahudi bir yazar ve rahiptir. Bkz. Jewish Virtual Library, “Ezra the Scribe” (Erişim 14 Kasım 2024).</w:t>
      </w:r>
    </w:p>
  </w:footnote>
  <w:footnote w:id="72">
    <w:p w14:paraId="73B40322"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Pidyon ha ben, Yahudi inancına göre her canlının ilk doğanı Tanrıya aittir ve ilk doğan çocuk erkek olursa hizmet etmesi için mabede verilir. Daha sonra ailenin çocuğu geri almak için mabede fidye (pidyon) ödemesiyle yapılan törene pidyon ha ben adı verilir. Bkz. Altıntaş, </w:t>
      </w:r>
      <w:r w:rsidRPr="00E36A60">
        <w:rPr>
          <w:rFonts w:ascii="Times New Roman" w:hAnsi="Times New Roman" w:cs="Times New Roman"/>
          <w:i/>
        </w:rPr>
        <w:t>Yahudilik’te Kavram ve Değerler</w:t>
      </w:r>
      <w:r w:rsidRPr="00E36A60">
        <w:rPr>
          <w:rFonts w:ascii="Times New Roman" w:hAnsi="Times New Roman" w:cs="Times New Roman"/>
        </w:rPr>
        <w:t xml:space="preserve">, 166. </w:t>
      </w:r>
    </w:p>
  </w:footnote>
  <w:footnote w:id="73">
    <w:p w14:paraId="5BE92BF5"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Mezuza, “kapı pervazı”, Yahudi olan kişilere tanrısını ve ona olan sevgisini hatırlatan araçtır. Tevrat’ta geçen emir nedeniyle her Yahudi kapılarının yanına mezuza takmalıdır. Bkz. Mustafa Yiğitoğlu, </w:t>
      </w:r>
      <w:r w:rsidRPr="00E36A60">
        <w:rPr>
          <w:rFonts w:ascii="Times New Roman" w:hAnsi="Times New Roman" w:cs="Times New Roman"/>
          <w:i/>
        </w:rPr>
        <w:t>Dinlerde Dua, Sunu ve Sunaklar</w:t>
      </w:r>
      <w:r w:rsidRPr="00E36A60">
        <w:rPr>
          <w:rFonts w:ascii="Times New Roman" w:hAnsi="Times New Roman" w:cs="Times New Roman"/>
        </w:rPr>
        <w:t xml:space="preserve"> (İstanbul: Kitabi Yayınları, 2015), 76-77.</w:t>
      </w:r>
    </w:p>
  </w:footnote>
  <w:footnote w:id="74">
    <w:p w14:paraId="1B48328B"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Yahudiler, Pesah bayramının başladığı gece evde, Seder adı verilen sofranın etrafında toplanırlar. Seder sofrasında Mısır’daki hayatı sembolize eden yemekler bulunur. Bkz. Meral, </w:t>
      </w:r>
      <w:r w:rsidRPr="00E36A60">
        <w:rPr>
          <w:rFonts w:ascii="Times New Roman" w:hAnsi="Times New Roman" w:cs="Times New Roman"/>
          <w:i/>
        </w:rPr>
        <w:t>Yahudi Kaynaklar Işığında Yahudilik</w:t>
      </w:r>
      <w:r w:rsidRPr="00E36A60">
        <w:rPr>
          <w:rFonts w:ascii="Times New Roman" w:hAnsi="Times New Roman" w:cs="Times New Roman"/>
        </w:rPr>
        <w:t>, 238.</w:t>
      </w:r>
    </w:p>
  </w:footnote>
  <w:footnote w:id="75">
    <w:p w14:paraId="3BC7BE7C"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Epitropos, başkasının mallarını yöneten, yetimlerin ve küçük çocukların menfaatlerini koruyan hami, bir ülkenin ve şehrin yöneticisi anlamlarına gelen bir kelimedir. Bkz. Liliana Vana, “Miladi İlk Yüzyılda Yahudilik’de Kadının Bilinmeyen Fonksiyonu”, çev. Mehmet Aydın, </w:t>
      </w:r>
      <w:r w:rsidRPr="00E36A60">
        <w:rPr>
          <w:rFonts w:ascii="Times New Roman" w:hAnsi="Times New Roman" w:cs="Times New Roman"/>
          <w:i/>
        </w:rPr>
        <w:t>Türk-İslam Medeniyeti Akademik Araştırmalar</w:t>
      </w:r>
      <w:r w:rsidRPr="00E36A60">
        <w:rPr>
          <w:rFonts w:ascii="Times New Roman" w:hAnsi="Times New Roman" w:cs="Times New Roman"/>
        </w:rPr>
        <w:t xml:space="preserve"> </w:t>
      </w:r>
      <w:r w:rsidRPr="00E36A60">
        <w:rPr>
          <w:rFonts w:ascii="Times New Roman" w:hAnsi="Times New Roman" w:cs="Times New Roman"/>
          <w:i/>
        </w:rPr>
        <w:t>Dergisi</w:t>
      </w:r>
      <w:r w:rsidRPr="00E36A60">
        <w:rPr>
          <w:rFonts w:ascii="Times New Roman" w:hAnsi="Times New Roman" w:cs="Times New Roman"/>
        </w:rPr>
        <w:t xml:space="preserve"> 9 (2010), 11. </w:t>
      </w:r>
    </w:p>
  </w:footnote>
  <w:footnote w:id="76">
    <w:p w14:paraId="78E37987"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Challah, İncil’deki “Hamurunuzun ilkini nesiller boyunca bir armağan olarak Rab’be pay olarak vereceksiniz” Emrinde kullanılan İbranice kelimeden türetilmiştir. Bkz. My Jewish Learning, “What is Challah?” (Erişim 15 Kasım 2024).</w:t>
      </w:r>
    </w:p>
  </w:footnote>
  <w:footnote w:id="77">
    <w:p w14:paraId="49BA321E"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Terumah, “hediye’' ve “sunu” anlamlarına gelen bu kelime, Tevrat’ta geçen “Tanrı Musa’ya şöyle dedi: İsrailoğullarına söyle ki bana Terumah götürsünler” ifadesi bağlamında bu şekilde çevrilmektedir. Bkz. Chabad of the West Side, “Terumah” (Erişim 15 Kasım 2024).</w:t>
      </w:r>
    </w:p>
  </w:footnote>
  <w:footnote w:id="78">
    <w:p w14:paraId="07218F54" w14:textId="77777777" w:rsidR="00FA457D" w:rsidRPr="00E36A60" w:rsidRDefault="00FA457D" w:rsidP="00FA457D">
      <w:pPr>
        <w:pStyle w:val="DipnotMetni"/>
        <w:jc w:val="both"/>
        <w:rPr>
          <w:rFonts w:ascii="Times New Roman" w:hAnsi="Times New Roman" w:cs="Times New Roman"/>
        </w:rPr>
      </w:pPr>
      <w:r w:rsidRPr="00E36A60">
        <w:rPr>
          <w:rStyle w:val="DipnotBavurusu"/>
          <w:rFonts w:ascii="Times New Roman" w:eastAsiaTheme="majorEastAsia" w:hAnsi="Times New Roman" w:cs="Times New Roman"/>
        </w:rPr>
        <w:footnoteRef/>
      </w:r>
      <w:r w:rsidRPr="00E36A60">
        <w:rPr>
          <w:rFonts w:ascii="Times New Roman" w:hAnsi="Times New Roman" w:cs="Times New Roman"/>
        </w:rPr>
        <w:t xml:space="preserve"> Manna, İsrailoğullarının çöldeki yaşamında yedikleri mucizevi yiyecektir. George Ebers’e göre Mısır dilindeki “mennu” olarak adlandırılan yiyecek kelimesinden gelir. Manna, ayrıca “ekmek” olarak da adlandırılmaktadır. Bkz. Jewish Encyclopedia, “Manna” (Erişim 15 Kasım 2024).</w:t>
      </w:r>
    </w:p>
  </w:footnote>
  <w:footnote w:id="79">
    <w:p w14:paraId="7423CBC3" w14:textId="77777777" w:rsidR="007F2361" w:rsidRDefault="007F2361" w:rsidP="007F2361">
      <w:pPr>
        <w:pStyle w:val="DipnotMetni"/>
      </w:pPr>
      <w:r>
        <w:rPr>
          <w:rFonts w:ascii="Times New Roman" w:hAnsi="Times New Roman" w:cs="Times New Roman"/>
          <w:vertAlign w:val="superscript"/>
        </w:rPr>
        <w:footnoteRef/>
      </w:r>
      <w:r>
        <w:rPr>
          <w:rFonts w:eastAsia="Arial Unicode MS" w:cs="Arial Unicode MS"/>
          <w:rtl/>
          <w:lang w:val="ar-SA"/>
        </w:rPr>
        <w:t xml:space="preserve"> “</w:t>
      </w:r>
      <w:r>
        <w:rPr>
          <w:rFonts w:eastAsia="Arial Unicode MS" w:cs="Arial Unicode MS"/>
        </w:rPr>
        <w:t xml:space="preserve">Bağımsız Araştırmacı” </w:t>
      </w:r>
    </w:p>
  </w:footnote>
  <w:footnote w:id="80">
    <w:p w14:paraId="25FC44C8"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Bir ülkeye siyasî olarak bağlı olmasına rağmen coğrafî olarak bağlı olmayan toprak parçası.</w:t>
      </w:r>
    </w:p>
  </w:footnote>
  <w:footnote w:id="81">
    <w:p w14:paraId="59E77782"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Üçlü Bildiri’nin</w:t>
      </w:r>
      <w:r>
        <w:rPr>
          <w:rFonts w:ascii="Times New Roman" w:hAnsi="Times New Roman" w:cs="Times New Roman"/>
        </w:rPr>
        <w:t xml:space="preserve"> tam</w:t>
      </w:r>
      <w:r w:rsidRPr="002063F5">
        <w:rPr>
          <w:rFonts w:ascii="Times New Roman" w:hAnsi="Times New Roman" w:cs="Times New Roman"/>
        </w:rPr>
        <w:t xml:space="preserve"> metni için bkz. “Azərbaycan Respublikasının Prezidenti, Ermənistan Respublikasının Baş Naziri və Rusiya Federasiyasının Prezidentinin Bəyanatı”, Azərbaycan Respublikasının Prezidenti İlham Əliyev, 10 Noyabr 2020, https://president.az/az/articles/view/45923 [Erişim Tarihi: 25.12.2024].</w:t>
      </w:r>
    </w:p>
  </w:footnote>
  <w:footnote w:id="82">
    <w:p w14:paraId="1FE0A1AD"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w:t>
      </w:r>
      <w:r>
        <w:rPr>
          <w:rFonts w:ascii="Times New Roman" w:hAnsi="Times New Roman" w:cs="Times New Roman"/>
        </w:rPr>
        <w:t xml:space="preserve">Şuşa Beyannamesi’nin tam metni için bkz. </w:t>
      </w:r>
      <w:r w:rsidRPr="002063F5">
        <w:rPr>
          <w:rFonts w:ascii="Times New Roman" w:hAnsi="Times New Roman" w:cs="Times New Roman"/>
        </w:rPr>
        <w:t>“Türkiye Cumhuriyeti ile Azerbaycan Cumhuriyeti Arasında Müttefiklik İlişkileri Hakkında Şuşa Beyannamesi”, Türkiye Cumhuriyeti Cumhurbaşkanlığı, https://www.tccb.gov.tr/assets/dosya/2021-06-15-Azaebaycan-SusaBeyannamesi.pdf [Erişim Tarihi: 25.12.2024].</w:t>
      </w:r>
    </w:p>
  </w:footnote>
  <w:footnote w:id="83">
    <w:p w14:paraId="07A72F76"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w:t>
      </w:r>
      <w:r>
        <w:rPr>
          <w:rFonts w:ascii="Times New Roman" w:hAnsi="Times New Roman" w:cs="Times New Roman"/>
        </w:rPr>
        <w:t xml:space="preserve">Tahıl Koridoru Anlaşması’nın tam metni için bkz. </w:t>
      </w:r>
      <w:r w:rsidRPr="002063F5">
        <w:rPr>
          <w:rFonts w:ascii="Times New Roman" w:hAnsi="Times New Roman" w:cs="Times New Roman"/>
        </w:rPr>
        <w:t xml:space="preserve">“Initiative on the Safe Transportation of Grain and Foodstuffs from Ukrainian Ports”, </w:t>
      </w:r>
      <w:r>
        <w:rPr>
          <w:rFonts w:ascii="Times New Roman" w:hAnsi="Times New Roman" w:cs="Times New Roman"/>
        </w:rPr>
        <w:t xml:space="preserve">United </w:t>
      </w:r>
      <w:r w:rsidRPr="002063F5">
        <w:rPr>
          <w:rFonts w:ascii="Times New Roman" w:hAnsi="Times New Roman" w:cs="Times New Roman"/>
        </w:rPr>
        <w:t>Nations, https://peacemaker.un.org/sites/default/files/document/files/2024/05/blackseagraininitiativefulltext.pdf [Erişim Tarihi: 28.12.2024].</w:t>
      </w:r>
    </w:p>
  </w:footnote>
  <w:footnote w:id="84">
    <w:p w14:paraId="33D46B87"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Birleşmiş Milletlerin paylaştığı verilere göre anlaşma süresince sevk edilmiş malların toplam miktarı. Ayrıntılı bilgi için bkz: https://data.humdata.org/dataset/black-sea-grain-initiative-vessel-movements [Erişim Tarihi: 28.12.2024]. </w:t>
      </w:r>
    </w:p>
  </w:footnote>
  <w:footnote w:id="85">
    <w:p w14:paraId="772DF394" w14:textId="77777777" w:rsidR="00B470AD" w:rsidRPr="002063F5" w:rsidRDefault="00B470AD" w:rsidP="00B470AD">
      <w:pPr>
        <w:pStyle w:val="DipnotMetni"/>
        <w:spacing w:before="120" w:after="120"/>
        <w:jc w:val="both"/>
        <w:rPr>
          <w:rFonts w:ascii="Times New Roman" w:hAnsi="Times New Roman" w:cs="Times New Roman"/>
        </w:rPr>
      </w:pPr>
      <w:r w:rsidRPr="002063F5">
        <w:rPr>
          <w:rStyle w:val="DipnotBavurusu"/>
          <w:rFonts w:ascii="Times New Roman" w:eastAsiaTheme="majorEastAsia" w:hAnsi="Times New Roman" w:cs="Times New Roman"/>
        </w:rPr>
        <w:footnoteRef/>
      </w:r>
      <w:r w:rsidRPr="002063F5">
        <w:rPr>
          <w:rFonts w:ascii="Times New Roman" w:hAnsi="Times New Roman" w:cs="Times New Roman"/>
        </w:rPr>
        <w:t xml:space="preserve"> </w:t>
      </w:r>
      <w:r>
        <w:rPr>
          <w:rFonts w:ascii="Times New Roman" w:hAnsi="Times New Roman" w:cs="Times New Roman"/>
        </w:rPr>
        <w:t xml:space="preserve">Ankara Bildirisi’nin tam metni için bkz. </w:t>
      </w:r>
      <w:r w:rsidRPr="002063F5">
        <w:rPr>
          <w:rFonts w:ascii="Times New Roman" w:hAnsi="Times New Roman" w:cs="Times New Roman"/>
        </w:rPr>
        <w:t>“Türkiye Cumhuriyeti’nin kolaylaştırıcılığıyla Etiyopya Federal Demokratik Cumhuriyeti ve Somali Federal Cumhuriyeti’nin Ankara Bildirisi”, Türkiye Cumhuriyeti Dışişleri Bakanlığı, 11 Aralık 2024, https://www.mfa.gov.tr/etiyopya-federal-demokratik-cumhuriyeti-ve-somali-federal-cumhuriyeti-nin-ankara-bildirisi.tr.mfa [Erişim Tarihi: 02.01.2025].</w:t>
      </w:r>
    </w:p>
  </w:footnote>
  <w:footnote w:id="86">
    <w:p w14:paraId="61A944AC" w14:textId="77777777" w:rsidR="00B828C4" w:rsidRPr="00097B24" w:rsidRDefault="00B828C4" w:rsidP="00B828C4">
      <w:pPr>
        <w:pStyle w:val="DipnotMetni"/>
      </w:pPr>
      <w:r>
        <w:rPr>
          <w:rStyle w:val="DipnotBavurusu"/>
          <w:rFonts w:eastAsiaTheme="majorEastAsia"/>
        </w:rPr>
        <w:footnoteRef/>
      </w:r>
      <w:r>
        <w:t xml:space="preserve"> Doktora öğrencisi, Kırşehir Ahi Evran Üniversitesi Sosyal Bilimler Enstitüsü, Siyaset Bilimi ve Uluslararası İlişkiler. </w:t>
      </w:r>
    </w:p>
  </w:footnote>
  <w:footnote w:id="87">
    <w:p w14:paraId="2D84489B" w14:textId="77777777" w:rsidR="00FA457D" w:rsidRDefault="00FA457D" w:rsidP="00FA457D">
      <w:pPr>
        <w:pStyle w:val="DipnotMetni"/>
        <w:jc w:val="both"/>
        <w:rPr>
          <w:rStyle w:val="Kpr"/>
          <w:rFonts w:ascii="Times New Roman" w:eastAsiaTheme="majorEastAsia" w:hAnsi="Times New Roman" w:cs="Times New Roman"/>
        </w:rPr>
      </w:pPr>
      <w:r w:rsidRPr="00F61ACD">
        <w:rPr>
          <w:rStyle w:val="DipnotBavurusu"/>
          <w:rFonts w:ascii="Times New Roman" w:eastAsiaTheme="majorEastAsia" w:hAnsi="Times New Roman" w:cs="Times New Roman"/>
        </w:rPr>
        <w:footnoteRef/>
      </w:r>
      <w:r w:rsidRPr="00F61ACD">
        <w:rPr>
          <w:rFonts w:ascii="Times New Roman" w:hAnsi="Times New Roman" w:cs="Times New Roman"/>
        </w:rPr>
        <w:t xml:space="preserve"> Doktora Öğrencisi, Atatürk Üniversitesi, Spor Yönetimi Ana Bilim Dalı, Orcid ID: 0009-0009-7969-7667, </w:t>
      </w:r>
      <w:hyperlink r:id="rId2" w:history="1">
        <w:r w:rsidRPr="00F61ACD">
          <w:rPr>
            <w:rStyle w:val="Kpr"/>
            <w:rFonts w:ascii="Times New Roman" w:eastAsiaTheme="majorEastAsia" w:hAnsi="Times New Roman" w:cs="Times New Roman"/>
          </w:rPr>
          <w:t>oguzhanyilmaz9352@gmail.com</w:t>
        </w:r>
      </w:hyperlink>
    </w:p>
    <w:p w14:paraId="46E239E6" w14:textId="77777777" w:rsidR="00FA457D" w:rsidRPr="00F61ACD" w:rsidRDefault="00FA457D" w:rsidP="00FA457D">
      <w:pPr>
        <w:pStyle w:val="DipnotMetni"/>
        <w:jc w:val="both"/>
        <w:rPr>
          <w:rStyle w:val="Kpr"/>
          <w:rFonts w:ascii="Times New Roman" w:eastAsiaTheme="majorEastAsia" w:hAnsi="Times New Roman" w:cs="Times New Roman"/>
        </w:rPr>
      </w:pPr>
    </w:p>
    <w:p w14:paraId="6FD4135B" w14:textId="77777777" w:rsidR="00FA457D" w:rsidRPr="00F61ACD" w:rsidRDefault="00FA457D" w:rsidP="00FA457D">
      <w:pPr>
        <w:pStyle w:val="DipnotMetni"/>
        <w:jc w:val="both"/>
        <w:rPr>
          <w:rFonts w:ascii="Times New Roman" w:hAnsi="Times New Roman" w:cs="Times New Roman"/>
        </w:rPr>
      </w:pPr>
      <w:r w:rsidRPr="00F61ACD">
        <w:rPr>
          <w:rStyle w:val="DipnotBavurusu"/>
          <w:rFonts w:ascii="Times New Roman" w:eastAsiaTheme="majorEastAsia" w:hAnsi="Times New Roman" w:cs="Times New Roman"/>
        </w:rPr>
        <w:t>2</w:t>
      </w:r>
      <w:r w:rsidRPr="00F61ACD">
        <w:rPr>
          <w:rFonts w:ascii="Times New Roman" w:hAnsi="Times New Roman" w:cs="Times New Roman"/>
        </w:rPr>
        <w:t xml:space="preserve">* Yüksek Lisans Öğrencisi, Bayburt Üniversitesi, Mühendislik Yönetimi Ana Bilim Dalı, Orcid ID:  </w:t>
      </w:r>
      <w:r w:rsidRPr="00F61ACD">
        <w:rPr>
          <w:rFonts w:ascii="Times New Roman" w:eastAsiaTheme="majorEastAsia" w:hAnsi="Times New Roman" w:cs="Times New Roman"/>
        </w:rPr>
        <w:t>0000-0001-9901-5349,</w:t>
      </w:r>
      <w:r w:rsidRPr="00F61ACD">
        <w:rPr>
          <w:rFonts w:ascii="Times New Roman" w:hAnsi="Times New Roman" w:cs="Times New Roman"/>
        </w:rPr>
        <w:t xml:space="preserve"> </w:t>
      </w:r>
      <w:hyperlink r:id="rId3" w:history="1">
        <w:r w:rsidRPr="00F61ACD">
          <w:rPr>
            <w:rStyle w:val="Kpr"/>
            <w:rFonts w:ascii="Times New Roman" w:eastAsiaTheme="majorEastAsia" w:hAnsi="Times New Roman" w:cs="Times New Roman"/>
          </w:rPr>
          <w:t>sukrandertli25@gmail.com</w:t>
        </w:r>
      </w:hyperlink>
    </w:p>
    <w:p w14:paraId="35F76BFE" w14:textId="77777777" w:rsidR="00FA457D" w:rsidRPr="00097B24" w:rsidRDefault="00FA457D" w:rsidP="00FA457D">
      <w:pPr>
        <w:pStyle w:val="DipnotMetni"/>
      </w:pPr>
    </w:p>
  </w:footnote>
  <w:footnote w:id="88">
    <w:p w14:paraId="6FF6B255" w14:textId="77777777" w:rsidR="00FA457D" w:rsidRPr="001978F5" w:rsidRDefault="00FA457D" w:rsidP="00FA457D">
      <w:pPr>
        <w:pStyle w:val="DipnotMetni"/>
        <w:jc w:val="both"/>
        <w:rPr>
          <w:rFonts w:ascii="Times New Roman" w:hAnsi="Times New Roman" w:cs="Times New Roman"/>
        </w:rPr>
      </w:pPr>
      <w:r w:rsidRPr="001978F5">
        <w:rPr>
          <w:rStyle w:val="DipnotBavurusu"/>
          <w:rFonts w:ascii="Times New Roman" w:eastAsiaTheme="majorEastAsia" w:hAnsi="Times New Roman" w:cs="Times New Roman"/>
        </w:rPr>
        <w:footnoteRef/>
      </w:r>
      <w:r w:rsidRPr="001978F5">
        <w:rPr>
          <w:rFonts w:ascii="Times New Roman" w:hAnsi="Times New Roman" w:cs="Times New Roman"/>
        </w:rPr>
        <w:t xml:space="preserve"> </w:t>
      </w:r>
      <w:r>
        <w:rPr>
          <w:rFonts w:ascii="Times New Roman" w:hAnsi="Times New Roman" w:cs="Times New Roman"/>
        </w:rPr>
        <w:t xml:space="preserve">Marks’ın idealist diye nitelendirdiği filozofların gerçek anlamda idealist, materyalist diye nitelendirdiği filozofların ise gerçek anlamda materyalist olup olmadıkları sorusu da önemlidir. Buna binaen onun idealist diye nitelendirdiği filozoflar kendilerini idealist diye adlandırıyorlar mı? Bunlar Marks’ın felsefe tarihi yorumunun sorgulanması bağlamında sorulması gereken sorulardır. </w:t>
      </w:r>
    </w:p>
  </w:footnote>
  <w:footnote w:id="89">
    <w:p w14:paraId="66245685" w14:textId="77777777" w:rsidR="00FA457D" w:rsidRPr="001978F5" w:rsidRDefault="00FA457D" w:rsidP="00FA457D">
      <w:pPr>
        <w:jc w:val="both"/>
        <w:rPr>
          <w:sz w:val="20"/>
          <w:szCs w:val="20"/>
        </w:rPr>
      </w:pPr>
      <w:r w:rsidRPr="001978F5">
        <w:rPr>
          <w:rStyle w:val="DipnotBavurusu"/>
          <w:rFonts w:eastAsiaTheme="majorEastAsia"/>
          <w:sz w:val="20"/>
          <w:szCs w:val="20"/>
        </w:rPr>
        <w:footnoteRef/>
      </w:r>
      <w:r w:rsidRPr="001978F5">
        <w:rPr>
          <w:sz w:val="20"/>
          <w:szCs w:val="20"/>
        </w:rPr>
        <w:t xml:space="preserve"> Marks’ın en çok sevdiği eserlerden birisi Don Kişot’tur. (Turkevich, 1950: 199’den akt. Albrecht, 2005: 8). Marks </w:t>
      </w:r>
      <w:r w:rsidRPr="00C01DDD">
        <w:rPr>
          <w:i/>
          <w:sz w:val="20"/>
          <w:szCs w:val="20"/>
        </w:rPr>
        <w:t>Kapital</w:t>
      </w:r>
      <w:r w:rsidRPr="001978F5">
        <w:rPr>
          <w:sz w:val="20"/>
          <w:szCs w:val="20"/>
        </w:rPr>
        <w:t xml:space="preserve">’de (2015: 91) şöyle yazar: “Diğer yandan, maceracı şövalyeliğin toplumun bütün iktisadi biçimleri ile bağdaşabileceğini sanmakla yaptığı hatanın cezasını Don Kişot çoktan çekmiş bulunuyor.” </w:t>
      </w:r>
    </w:p>
  </w:footnote>
  <w:footnote w:id="90">
    <w:p w14:paraId="1B181F09" w14:textId="77777777" w:rsidR="00FA457D" w:rsidRPr="001978F5" w:rsidRDefault="00FA457D" w:rsidP="00FA457D">
      <w:pPr>
        <w:pStyle w:val="DipnotMetni"/>
        <w:jc w:val="both"/>
        <w:rPr>
          <w:rFonts w:ascii="Times New Roman" w:hAnsi="Times New Roman" w:cs="Times New Roman"/>
        </w:rPr>
      </w:pPr>
      <w:r w:rsidRPr="001978F5">
        <w:rPr>
          <w:rStyle w:val="DipnotBavurusu"/>
          <w:rFonts w:ascii="Times New Roman" w:eastAsiaTheme="majorEastAsia" w:hAnsi="Times New Roman" w:cs="Times New Roman"/>
        </w:rPr>
        <w:footnoteRef/>
      </w:r>
      <w:r w:rsidRPr="001978F5">
        <w:rPr>
          <w:rFonts w:ascii="Times New Roman" w:hAnsi="Times New Roman" w:cs="Times New Roman"/>
        </w:rPr>
        <w:t xml:space="preserve"> </w:t>
      </w:r>
      <w:r w:rsidRPr="001978F5">
        <w:rPr>
          <w:rFonts w:ascii="Times New Roman" w:hAnsi="Times New Roman" w:cs="Times New Roman"/>
          <w:i/>
        </w:rPr>
        <w:t>1844 Elyazmaları, Ekonomi Politik ve Felsefe</w:t>
      </w:r>
      <w:r w:rsidRPr="001978F5">
        <w:rPr>
          <w:rFonts w:ascii="Times New Roman" w:hAnsi="Times New Roman" w:cs="Times New Roman"/>
        </w:rPr>
        <w:t xml:space="preserve"> eserinin çevirmeninin Önsöz yazısından.  </w:t>
      </w:r>
    </w:p>
  </w:footnote>
  <w:footnote w:id="91">
    <w:p w14:paraId="076B5345" w14:textId="77777777" w:rsidR="00FA457D" w:rsidRDefault="00FA457D" w:rsidP="00FA457D">
      <w:pPr>
        <w:pBdr>
          <w:top w:val="nil"/>
          <w:left w:val="nil"/>
          <w:bottom w:val="nil"/>
          <w:right w:val="nil"/>
          <w:between w:val="nil"/>
        </w:pBdr>
        <w:rPr>
          <w:color w:val="000000"/>
          <w:sz w:val="20"/>
          <w:szCs w:val="20"/>
        </w:rPr>
      </w:pPr>
      <w:r>
        <w:rPr>
          <w:vertAlign w:val="superscript"/>
        </w:rPr>
        <w:footnoteRef/>
      </w:r>
      <w:r>
        <w:rPr>
          <w:rFonts w:ascii="Calibri" w:eastAsia="Calibri" w:hAnsi="Calibri" w:cs="Calibri"/>
          <w:color w:val="000000"/>
          <w:sz w:val="20"/>
          <w:szCs w:val="20"/>
        </w:rPr>
        <w:t xml:space="preserve"> </w:t>
      </w:r>
      <w:r>
        <w:rPr>
          <w:color w:val="000000"/>
        </w:rPr>
        <w:t>Bağımsız Araştırmacı</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CFBCA7" w14:textId="77777777" w:rsidR="00F84AD5" w:rsidRDefault="00F84AD5">
    <w:pPr>
      <w:pBdr>
        <w:top w:val="nil"/>
        <w:left w:val="nil"/>
        <w:bottom w:val="nil"/>
        <w:right w:val="nil"/>
        <w:between w:val="nil"/>
      </w:pBdr>
      <w:tabs>
        <w:tab w:val="center" w:pos="4536"/>
        <w:tab w:val="right" w:pos="9072"/>
        <w:tab w:val="left" w:pos="2273"/>
        <w:tab w:val="left" w:pos="2915"/>
      </w:tabs>
      <w:rPr>
        <w:color w:val="000000"/>
        <w:sz w:val="19"/>
        <w:szCs w:val="1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0F0A4" w14:textId="77777777" w:rsidR="00F84AD5" w:rsidRDefault="00F84AD5">
    <w:pPr>
      <w:pBdr>
        <w:top w:val="nil"/>
        <w:left w:val="nil"/>
        <w:bottom w:val="nil"/>
        <w:right w:val="nil"/>
        <w:between w:val="nil"/>
      </w:pBdr>
      <w:tabs>
        <w:tab w:val="center" w:pos="4536"/>
        <w:tab w:val="right" w:pos="9072"/>
        <w:tab w:val="left" w:pos="2273"/>
        <w:tab w:val="left" w:pos="2915"/>
      </w:tabs>
      <w:rPr>
        <w:color w:val="000000"/>
        <w:sz w:val="19"/>
        <w:szCs w:val="19"/>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312CE" w14:textId="77777777" w:rsidR="001E7189" w:rsidRPr="007E5783" w:rsidRDefault="001E7189" w:rsidP="007E5783">
    <w:pPr>
      <w:jc w:val="center"/>
      <w:rPr>
        <w:color w:val="000000"/>
      </w:rPr>
    </w:pPr>
    <w:r w:rsidRPr="007E5783">
      <w:rPr>
        <w:color w:val="000000"/>
      </w:rPr>
      <w:t>IV. Ankara İnsan ve Toplum Bilimleri Kongresi</w:t>
    </w:r>
  </w:p>
  <w:p w14:paraId="1A555C87" w14:textId="77777777" w:rsidR="001E7189" w:rsidRDefault="001E7189">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9D838" w14:textId="77777777" w:rsidR="007E702F" w:rsidRDefault="007E702F">
    <w:pPr>
      <w:pStyle w:val="GvdeMetni"/>
      <w:spacing w:line="14" w:lineRule="auto"/>
      <w:rPr>
        <w:sz w:val="20"/>
      </w:rPr>
    </w:pPr>
    <w:r>
      <w:rPr>
        <w:noProof/>
        <w:sz w:val="20"/>
      </w:rPr>
      <mc:AlternateContent>
        <mc:Choice Requires="wps">
          <w:drawing>
            <wp:anchor distT="0" distB="0" distL="0" distR="0" simplePos="0" relativeHeight="251658240" behindDoc="1" locked="0" layoutInCell="1" allowOverlap="1" wp14:anchorId="14EFBC9E" wp14:editId="4C23AB4D">
              <wp:simplePos x="0" y="0"/>
              <wp:positionH relativeFrom="page">
                <wp:posOffset>2044569</wp:posOffset>
              </wp:positionH>
              <wp:positionV relativeFrom="page">
                <wp:posOffset>441478</wp:posOffset>
              </wp:positionV>
              <wp:extent cx="3680460" cy="342265"/>
              <wp:effectExtent l="0" t="0" r="0" b="0"/>
              <wp:wrapNone/>
              <wp:docPr id="167114861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0460" cy="342265"/>
                      </a:xfrm>
                      <a:prstGeom prst="rect">
                        <a:avLst/>
                      </a:prstGeom>
                    </wps:spPr>
                    <wps:txbx>
                      <w:txbxContent>
                        <w:p w14:paraId="28A20F18" w14:textId="77777777" w:rsidR="007E702F" w:rsidRDefault="007E702F">
                          <w:pPr>
                            <w:spacing w:before="11"/>
                            <w:ind w:left="20" w:right="18" w:firstLine="51"/>
                          </w:pPr>
                          <w:r>
                            <w:rPr>
                              <w:sz w:val="22"/>
                            </w:rPr>
                            <w:t>IV. ANKARA İNSAN VE TOPLUM BİLİMLERİ KONGRESİ 15</w:t>
                          </w:r>
                          <w:r>
                            <w:rPr>
                              <w:spacing w:val="-7"/>
                              <w:sz w:val="22"/>
                            </w:rPr>
                            <w:t xml:space="preserve"> </w:t>
                          </w:r>
                          <w:r>
                            <w:rPr>
                              <w:sz w:val="22"/>
                            </w:rPr>
                            <w:t>MART</w:t>
                          </w:r>
                          <w:r>
                            <w:rPr>
                              <w:spacing w:val="-7"/>
                              <w:sz w:val="22"/>
                            </w:rPr>
                            <w:t xml:space="preserve"> </w:t>
                          </w:r>
                          <w:r>
                            <w:rPr>
                              <w:sz w:val="22"/>
                            </w:rPr>
                            <w:t>2025,</w:t>
                          </w:r>
                          <w:r>
                            <w:rPr>
                              <w:spacing w:val="-7"/>
                              <w:sz w:val="22"/>
                            </w:rPr>
                            <w:t xml:space="preserve"> </w:t>
                          </w:r>
                          <w:r>
                            <w:rPr>
                              <w:sz w:val="22"/>
                            </w:rPr>
                            <w:t>ANKARA</w:t>
                          </w:r>
                          <w:r>
                            <w:rPr>
                              <w:spacing w:val="-7"/>
                              <w:sz w:val="22"/>
                            </w:rPr>
                            <w:t xml:space="preserve"> </w:t>
                          </w:r>
                          <w:r>
                            <w:rPr>
                              <w:sz w:val="22"/>
                            </w:rPr>
                            <w:t>BİLİM</w:t>
                          </w:r>
                          <w:r>
                            <w:rPr>
                              <w:spacing w:val="-7"/>
                              <w:sz w:val="22"/>
                            </w:rPr>
                            <w:t xml:space="preserve"> </w:t>
                          </w:r>
                          <w:r>
                            <w:rPr>
                              <w:sz w:val="22"/>
                            </w:rPr>
                            <w:t>ÜNİVERSİTESİ,</w:t>
                          </w:r>
                          <w:r>
                            <w:rPr>
                              <w:spacing w:val="-7"/>
                              <w:sz w:val="22"/>
                            </w:rPr>
                            <w:t xml:space="preserve"> </w:t>
                          </w:r>
                          <w:r>
                            <w:rPr>
                              <w:sz w:val="22"/>
                            </w:rPr>
                            <w:t>TÜRKİYE</w:t>
                          </w:r>
                        </w:p>
                      </w:txbxContent>
                    </wps:txbx>
                    <wps:bodyPr wrap="square" lIns="0" tIns="0" rIns="0" bIns="0" rtlCol="0">
                      <a:noAutofit/>
                    </wps:bodyPr>
                  </wps:wsp>
                </a:graphicData>
              </a:graphic>
            </wp:anchor>
          </w:drawing>
        </mc:Choice>
        <mc:Fallback>
          <w:pict>
            <v:shapetype w14:anchorId="14EFBC9E" id="_x0000_t202" coordsize="21600,21600" o:spt="202" path="m,l,21600r21600,l21600,xe">
              <v:stroke joinstyle="miter"/>
              <v:path gradientshapeok="t" o:connecttype="rect"/>
            </v:shapetype>
            <v:shape id="Textbox 1" o:spid="_x0000_s1062" type="#_x0000_t202" style="position:absolute;margin-left:161pt;margin-top:34.75pt;width:289.8pt;height:26.9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" filled="f" stroked="f">
              <v:textbox inset="0,0,0,0">
                <w:txbxContent>
                  <w:p w14:paraId="28A20F18" w14:textId="77777777" w:rsidR="007E702F" w:rsidRDefault="007E702F">
                    <w:pPr>
                      <w:spacing w:before="11"/>
                      <w:ind w:left="20" w:right="18" w:firstLine="51"/>
                    </w:pPr>
                    <w:r>
                      <w:rPr>
                        <w:sz w:val="22"/>
                      </w:rPr>
                      <w:t>IV. ANKARA İNSAN VE TOPLUM BİLİMLERİ KONGRESİ 15</w:t>
                    </w:r>
                    <w:r>
                      <w:rPr>
                        <w:spacing w:val="-7"/>
                        <w:sz w:val="22"/>
                      </w:rPr>
                      <w:t xml:space="preserve"> </w:t>
                    </w:r>
                    <w:r>
                      <w:rPr>
                        <w:sz w:val="22"/>
                      </w:rPr>
                      <w:t>MART</w:t>
                    </w:r>
                    <w:r>
                      <w:rPr>
                        <w:spacing w:val="-7"/>
                        <w:sz w:val="22"/>
                      </w:rPr>
                      <w:t xml:space="preserve"> </w:t>
                    </w:r>
                    <w:r>
                      <w:rPr>
                        <w:sz w:val="22"/>
                      </w:rPr>
                      <w:t>2025,</w:t>
                    </w:r>
                    <w:r>
                      <w:rPr>
                        <w:spacing w:val="-7"/>
                        <w:sz w:val="22"/>
                      </w:rPr>
                      <w:t xml:space="preserve"> </w:t>
                    </w:r>
                    <w:r>
                      <w:rPr>
                        <w:sz w:val="22"/>
                      </w:rPr>
                      <w:t>ANKARA</w:t>
                    </w:r>
                    <w:r>
                      <w:rPr>
                        <w:spacing w:val="-7"/>
                        <w:sz w:val="22"/>
                      </w:rPr>
                      <w:t xml:space="preserve"> </w:t>
                    </w:r>
                    <w:r>
                      <w:rPr>
                        <w:sz w:val="22"/>
                      </w:rPr>
                      <w:t>BİLİM</w:t>
                    </w:r>
                    <w:r>
                      <w:rPr>
                        <w:spacing w:val="-7"/>
                        <w:sz w:val="22"/>
                      </w:rPr>
                      <w:t xml:space="preserve"> </w:t>
                    </w:r>
                    <w:r>
                      <w:rPr>
                        <w:sz w:val="22"/>
                      </w:rPr>
                      <w:t>ÜNİVERSİTESİ,</w:t>
                    </w:r>
                    <w:r>
                      <w:rPr>
                        <w:spacing w:val="-7"/>
                        <w:sz w:val="22"/>
                      </w:rPr>
                      <w:t xml:space="preserve"> </w:t>
                    </w:r>
                    <w:r>
                      <w:rPr>
                        <w:sz w:val="22"/>
                      </w:rPr>
                      <w:t>TÜRKİYE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DDC39" w14:textId="77777777" w:rsidR="00F84AD5" w:rsidRDefault="00AC051C">
    <w:pPr>
      <w:pBdr>
        <w:top w:val="nil"/>
        <w:left w:val="nil"/>
        <w:bottom w:val="nil"/>
        <w:right w:val="nil"/>
        <w:between w:val="nil"/>
      </w:pBdr>
      <w:tabs>
        <w:tab w:val="center" w:pos="4536"/>
        <w:tab w:val="right" w:pos="9072"/>
        <w:tab w:val="left" w:pos="2273"/>
        <w:tab w:val="left" w:pos="2915"/>
      </w:tabs>
      <w:jc w:val="center"/>
      <w:rPr>
        <w:color w:val="000000"/>
        <w:sz w:val="19"/>
        <w:szCs w:val="19"/>
      </w:rPr>
    </w:pPr>
    <w:r>
      <w:rPr>
        <w:color w:val="000000"/>
        <w:sz w:val="19"/>
        <w:szCs w:val="19"/>
      </w:rPr>
      <w:t>IV. ULUSLARARASI KATILIMLI ANKARA İNSAN VE TOPLUM BİLİMLERİ KONGRESİ</w:t>
    </w:r>
  </w:p>
  <w:p w14:paraId="68C62B74" w14:textId="77777777" w:rsidR="00F84AD5" w:rsidRDefault="00AC051C">
    <w:pPr>
      <w:pBdr>
        <w:top w:val="nil"/>
        <w:left w:val="nil"/>
        <w:bottom w:val="nil"/>
        <w:right w:val="nil"/>
        <w:between w:val="nil"/>
      </w:pBdr>
      <w:tabs>
        <w:tab w:val="center" w:pos="4536"/>
        <w:tab w:val="right" w:pos="9072"/>
        <w:tab w:val="left" w:pos="2273"/>
        <w:tab w:val="left" w:pos="2915"/>
      </w:tabs>
      <w:jc w:val="center"/>
      <w:rPr>
        <w:color w:val="000000"/>
        <w:sz w:val="19"/>
        <w:szCs w:val="19"/>
      </w:rPr>
    </w:pPr>
    <w:r>
      <w:rPr>
        <w:color w:val="000000"/>
        <w:sz w:val="19"/>
        <w:szCs w:val="19"/>
      </w:rPr>
      <w:t>22-23 ŞUBAT 2025, ANKARA BİLİM ÜNİVERSİTESİ, TÜRKİYE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BD29DE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584221136" o:spid="_x0000_i1025" type="#_x0000_t75" style="width:11.1pt;height:11.1pt;visibility:visible;mso-wrap-style:square">
            <v:imagedata r:id="rId1" o:title=""/>
          </v:shape>
        </w:pict>
      </mc:Choice>
      <mc:Fallback>
        <w:drawing>
          <wp:inline distT="0" distB="0" distL="0" distR="0" wp14:anchorId="09EF0CB7" wp14:editId="32C773DD">
            <wp:extent cx="140970" cy="140970"/>
            <wp:effectExtent l="0" t="0" r="0" b="0"/>
            <wp:docPr id="1584221136" name="Resim 158422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mc:Fallback>
    </mc:AlternateContent>
  </w:numPicBullet>
  <w:abstractNum w:abstractNumId="0" w15:restartNumberingAfterBreak="0">
    <w:nsid w:val="E30DEE3A"/>
    <w:multiLevelType w:val="singleLevel"/>
    <w:tmpl w:val="285EED38"/>
    <w:lvl w:ilvl="0">
      <w:start w:val="1"/>
      <w:numFmt w:val="decimal"/>
      <w:suff w:val="space"/>
      <w:lvlText w:val="%1."/>
      <w:lvlJc w:val="left"/>
      <w:rPr>
        <w:rFonts w:ascii="Times New Roman" w:eastAsiaTheme="minorHAnsi" w:hAnsi="Times New Roman" w:cs="Times New Roman"/>
      </w:rPr>
    </w:lvl>
  </w:abstractNum>
  <w:abstractNum w:abstractNumId="1" w15:restartNumberingAfterBreak="0">
    <w:nsid w:val="FFC524E2"/>
    <w:multiLevelType w:val="singleLevel"/>
    <w:tmpl w:val="FFC524E2"/>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021C0BFF"/>
    <w:multiLevelType w:val="hybridMultilevel"/>
    <w:tmpl w:val="E9005E4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3D24D2F"/>
    <w:multiLevelType w:val="hybridMultilevel"/>
    <w:tmpl w:val="A38E245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7F741AA"/>
    <w:multiLevelType w:val="hybridMultilevel"/>
    <w:tmpl w:val="BAA83BA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8957E64"/>
    <w:multiLevelType w:val="hybridMultilevel"/>
    <w:tmpl w:val="3BEEA902"/>
    <w:lvl w:ilvl="0" w:tplc="041F0001">
      <w:start w:val="1"/>
      <w:numFmt w:val="bullet"/>
      <w:lvlText w:val=""/>
      <w:lvlJc w:val="left"/>
      <w:pPr>
        <w:ind w:left="947" w:hanging="360"/>
      </w:pPr>
      <w:rPr>
        <w:rFonts w:ascii="Symbol" w:hAnsi="Symbol" w:hint="default"/>
      </w:rPr>
    </w:lvl>
    <w:lvl w:ilvl="1" w:tplc="041F0003" w:tentative="1">
      <w:start w:val="1"/>
      <w:numFmt w:val="bullet"/>
      <w:lvlText w:val="o"/>
      <w:lvlJc w:val="left"/>
      <w:pPr>
        <w:ind w:left="1667" w:hanging="360"/>
      </w:pPr>
      <w:rPr>
        <w:rFonts w:ascii="Courier New" w:hAnsi="Courier New" w:cs="Courier New" w:hint="default"/>
      </w:rPr>
    </w:lvl>
    <w:lvl w:ilvl="2" w:tplc="041F0005" w:tentative="1">
      <w:start w:val="1"/>
      <w:numFmt w:val="bullet"/>
      <w:lvlText w:val=""/>
      <w:lvlJc w:val="left"/>
      <w:pPr>
        <w:ind w:left="2387" w:hanging="360"/>
      </w:pPr>
      <w:rPr>
        <w:rFonts w:ascii="Wingdings" w:hAnsi="Wingdings" w:hint="default"/>
      </w:rPr>
    </w:lvl>
    <w:lvl w:ilvl="3" w:tplc="041F0001" w:tentative="1">
      <w:start w:val="1"/>
      <w:numFmt w:val="bullet"/>
      <w:lvlText w:val=""/>
      <w:lvlJc w:val="left"/>
      <w:pPr>
        <w:ind w:left="3107" w:hanging="360"/>
      </w:pPr>
      <w:rPr>
        <w:rFonts w:ascii="Symbol" w:hAnsi="Symbol" w:hint="default"/>
      </w:rPr>
    </w:lvl>
    <w:lvl w:ilvl="4" w:tplc="041F0003" w:tentative="1">
      <w:start w:val="1"/>
      <w:numFmt w:val="bullet"/>
      <w:lvlText w:val="o"/>
      <w:lvlJc w:val="left"/>
      <w:pPr>
        <w:ind w:left="3827" w:hanging="360"/>
      </w:pPr>
      <w:rPr>
        <w:rFonts w:ascii="Courier New" w:hAnsi="Courier New" w:cs="Courier New" w:hint="default"/>
      </w:rPr>
    </w:lvl>
    <w:lvl w:ilvl="5" w:tplc="041F0005" w:tentative="1">
      <w:start w:val="1"/>
      <w:numFmt w:val="bullet"/>
      <w:lvlText w:val=""/>
      <w:lvlJc w:val="left"/>
      <w:pPr>
        <w:ind w:left="4547" w:hanging="360"/>
      </w:pPr>
      <w:rPr>
        <w:rFonts w:ascii="Wingdings" w:hAnsi="Wingdings" w:hint="default"/>
      </w:rPr>
    </w:lvl>
    <w:lvl w:ilvl="6" w:tplc="041F0001" w:tentative="1">
      <w:start w:val="1"/>
      <w:numFmt w:val="bullet"/>
      <w:lvlText w:val=""/>
      <w:lvlJc w:val="left"/>
      <w:pPr>
        <w:ind w:left="5267" w:hanging="360"/>
      </w:pPr>
      <w:rPr>
        <w:rFonts w:ascii="Symbol" w:hAnsi="Symbol" w:hint="default"/>
      </w:rPr>
    </w:lvl>
    <w:lvl w:ilvl="7" w:tplc="041F0003" w:tentative="1">
      <w:start w:val="1"/>
      <w:numFmt w:val="bullet"/>
      <w:lvlText w:val="o"/>
      <w:lvlJc w:val="left"/>
      <w:pPr>
        <w:ind w:left="5987" w:hanging="360"/>
      </w:pPr>
      <w:rPr>
        <w:rFonts w:ascii="Courier New" w:hAnsi="Courier New" w:cs="Courier New" w:hint="default"/>
      </w:rPr>
    </w:lvl>
    <w:lvl w:ilvl="8" w:tplc="041F0005" w:tentative="1">
      <w:start w:val="1"/>
      <w:numFmt w:val="bullet"/>
      <w:lvlText w:val=""/>
      <w:lvlJc w:val="left"/>
      <w:pPr>
        <w:ind w:left="6707" w:hanging="360"/>
      </w:pPr>
      <w:rPr>
        <w:rFonts w:ascii="Wingdings" w:hAnsi="Wingdings" w:hint="default"/>
      </w:rPr>
    </w:lvl>
  </w:abstractNum>
  <w:abstractNum w:abstractNumId="6" w15:restartNumberingAfterBreak="0">
    <w:nsid w:val="099007E1"/>
    <w:multiLevelType w:val="hybridMultilevel"/>
    <w:tmpl w:val="EBAEFB6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0A5D3066"/>
    <w:multiLevelType w:val="hybridMultilevel"/>
    <w:tmpl w:val="CB26FAD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B487CEA"/>
    <w:multiLevelType w:val="hybridMultilevel"/>
    <w:tmpl w:val="CA2C7FF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0C292347"/>
    <w:multiLevelType w:val="hybridMultilevel"/>
    <w:tmpl w:val="020CDC6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0D45393A"/>
    <w:multiLevelType w:val="hybridMultilevel"/>
    <w:tmpl w:val="6666CBA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0D727A18"/>
    <w:multiLevelType w:val="hybridMultilevel"/>
    <w:tmpl w:val="6870FD5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0F4746EC"/>
    <w:multiLevelType w:val="multilevel"/>
    <w:tmpl w:val="F95AB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FDD3EDD"/>
    <w:multiLevelType w:val="hybridMultilevel"/>
    <w:tmpl w:val="E0B07D3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1407D8F1"/>
    <w:multiLevelType w:val="singleLevel"/>
    <w:tmpl w:val="1407D8F1"/>
    <w:lvl w:ilvl="0">
      <w:start w:val="1"/>
      <w:numFmt w:val="bullet"/>
      <w:lvlText w:val=""/>
      <w:lvlJc w:val="left"/>
      <w:pPr>
        <w:tabs>
          <w:tab w:val="left" w:pos="420"/>
        </w:tabs>
        <w:ind w:left="420" w:hanging="420"/>
      </w:pPr>
      <w:rPr>
        <w:rFonts w:ascii="Wingdings" w:hAnsi="Wingdings" w:hint="default"/>
      </w:rPr>
    </w:lvl>
  </w:abstractNum>
  <w:abstractNum w:abstractNumId="15" w15:restartNumberingAfterBreak="0">
    <w:nsid w:val="150C10FA"/>
    <w:multiLevelType w:val="hybridMultilevel"/>
    <w:tmpl w:val="E7BC9F8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18F34930"/>
    <w:multiLevelType w:val="hybridMultilevel"/>
    <w:tmpl w:val="152482FA"/>
    <w:lvl w:ilvl="0" w:tplc="1AC2CC00">
      <w:numFmt w:val="bullet"/>
      <w:lvlText w:val="•"/>
      <w:lvlJc w:val="left"/>
      <w:pPr>
        <w:ind w:left="1056" w:hanging="360"/>
      </w:pPr>
      <w:rPr>
        <w:rFonts w:ascii="Arial MT" w:eastAsia="Arial MT" w:hAnsi="Arial MT" w:cs="Arial MT" w:hint="default"/>
        <w:b w:val="0"/>
        <w:bCs w:val="0"/>
        <w:i w:val="0"/>
        <w:iCs w:val="0"/>
        <w:spacing w:val="0"/>
        <w:w w:val="100"/>
        <w:sz w:val="24"/>
        <w:szCs w:val="24"/>
        <w:lang w:val="tr-TR" w:eastAsia="en-US" w:bidi="ar-SA"/>
      </w:rPr>
    </w:lvl>
    <w:lvl w:ilvl="1" w:tplc="CE24D8F6">
      <w:numFmt w:val="bullet"/>
      <w:lvlText w:val="•"/>
      <w:lvlJc w:val="left"/>
      <w:pPr>
        <w:ind w:left="1962" w:hanging="360"/>
      </w:pPr>
      <w:rPr>
        <w:rFonts w:hint="default"/>
        <w:lang w:val="tr-TR" w:eastAsia="en-US" w:bidi="ar-SA"/>
      </w:rPr>
    </w:lvl>
    <w:lvl w:ilvl="2" w:tplc="13AE643E">
      <w:numFmt w:val="bullet"/>
      <w:lvlText w:val="•"/>
      <w:lvlJc w:val="left"/>
      <w:pPr>
        <w:ind w:left="2864" w:hanging="360"/>
      </w:pPr>
      <w:rPr>
        <w:rFonts w:hint="default"/>
        <w:lang w:val="tr-TR" w:eastAsia="en-US" w:bidi="ar-SA"/>
      </w:rPr>
    </w:lvl>
    <w:lvl w:ilvl="3" w:tplc="01FC9BCE">
      <w:numFmt w:val="bullet"/>
      <w:lvlText w:val="•"/>
      <w:lvlJc w:val="left"/>
      <w:pPr>
        <w:ind w:left="3766" w:hanging="360"/>
      </w:pPr>
      <w:rPr>
        <w:rFonts w:hint="default"/>
        <w:lang w:val="tr-TR" w:eastAsia="en-US" w:bidi="ar-SA"/>
      </w:rPr>
    </w:lvl>
    <w:lvl w:ilvl="4" w:tplc="DB18B7B6">
      <w:numFmt w:val="bullet"/>
      <w:lvlText w:val="•"/>
      <w:lvlJc w:val="left"/>
      <w:pPr>
        <w:ind w:left="4668" w:hanging="360"/>
      </w:pPr>
      <w:rPr>
        <w:rFonts w:hint="default"/>
        <w:lang w:val="tr-TR" w:eastAsia="en-US" w:bidi="ar-SA"/>
      </w:rPr>
    </w:lvl>
    <w:lvl w:ilvl="5" w:tplc="4DE6DF1A">
      <w:numFmt w:val="bullet"/>
      <w:lvlText w:val="•"/>
      <w:lvlJc w:val="left"/>
      <w:pPr>
        <w:ind w:left="5570" w:hanging="360"/>
      </w:pPr>
      <w:rPr>
        <w:rFonts w:hint="default"/>
        <w:lang w:val="tr-TR" w:eastAsia="en-US" w:bidi="ar-SA"/>
      </w:rPr>
    </w:lvl>
    <w:lvl w:ilvl="6" w:tplc="6582A1A4">
      <w:numFmt w:val="bullet"/>
      <w:lvlText w:val="•"/>
      <w:lvlJc w:val="left"/>
      <w:pPr>
        <w:ind w:left="6472" w:hanging="360"/>
      </w:pPr>
      <w:rPr>
        <w:rFonts w:hint="default"/>
        <w:lang w:val="tr-TR" w:eastAsia="en-US" w:bidi="ar-SA"/>
      </w:rPr>
    </w:lvl>
    <w:lvl w:ilvl="7" w:tplc="A48867C4">
      <w:numFmt w:val="bullet"/>
      <w:lvlText w:val="•"/>
      <w:lvlJc w:val="left"/>
      <w:pPr>
        <w:ind w:left="7374" w:hanging="360"/>
      </w:pPr>
      <w:rPr>
        <w:rFonts w:hint="default"/>
        <w:lang w:val="tr-TR" w:eastAsia="en-US" w:bidi="ar-SA"/>
      </w:rPr>
    </w:lvl>
    <w:lvl w:ilvl="8" w:tplc="603C7BB0">
      <w:numFmt w:val="bullet"/>
      <w:lvlText w:val="•"/>
      <w:lvlJc w:val="left"/>
      <w:pPr>
        <w:ind w:left="8276" w:hanging="360"/>
      </w:pPr>
      <w:rPr>
        <w:rFonts w:hint="default"/>
        <w:lang w:val="tr-TR" w:eastAsia="en-US" w:bidi="ar-SA"/>
      </w:rPr>
    </w:lvl>
  </w:abstractNum>
  <w:abstractNum w:abstractNumId="17" w15:restartNumberingAfterBreak="0">
    <w:nsid w:val="19E632AC"/>
    <w:multiLevelType w:val="multilevel"/>
    <w:tmpl w:val="586452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BE97DAA"/>
    <w:multiLevelType w:val="hybridMultilevel"/>
    <w:tmpl w:val="68667B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1C940010"/>
    <w:multiLevelType w:val="hybridMultilevel"/>
    <w:tmpl w:val="1E62E448"/>
    <w:lvl w:ilvl="0" w:tplc="1F6A9A32">
      <w:start w:val="1"/>
      <w:numFmt w:val="lowerLetter"/>
      <w:lvlText w:val="%1."/>
      <w:lvlJc w:val="left"/>
      <w:pPr>
        <w:ind w:left="720" w:hanging="360"/>
      </w:pPr>
      <w:rPr>
        <w:rFonts w:ascii="Times New Roman" w:eastAsiaTheme="minorHAnsi" w:hAnsi="Times New Roman" w:cs="Times New Roman"/>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1CB041D1"/>
    <w:multiLevelType w:val="multilevel"/>
    <w:tmpl w:val="7A627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F9D122B"/>
    <w:multiLevelType w:val="hybridMultilevel"/>
    <w:tmpl w:val="2C60D3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1FC32B6D"/>
    <w:multiLevelType w:val="hybridMultilevel"/>
    <w:tmpl w:val="62F25022"/>
    <w:lvl w:ilvl="0" w:tplc="041F000F">
      <w:start w:val="1"/>
      <w:numFmt w:val="decimal"/>
      <w:lvlText w:val="%1."/>
      <w:lvlJc w:val="left"/>
      <w:pPr>
        <w:ind w:left="-131" w:hanging="360"/>
      </w:pPr>
    </w:lvl>
    <w:lvl w:ilvl="1" w:tplc="041F0019" w:tentative="1">
      <w:start w:val="1"/>
      <w:numFmt w:val="lowerLetter"/>
      <w:lvlText w:val="%2."/>
      <w:lvlJc w:val="left"/>
      <w:pPr>
        <w:ind w:left="589" w:hanging="360"/>
      </w:pPr>
    </w:lvl>
    <w:lvl w:ilvl="2" w:tplc="041F001B" w:tentative="1">
      <w:start w:val="1"/>
      <w:numFmt w:val="lowerRoman"/>
      <w:lvlText w:val="%3."/>
      <w:lvlJc w:val="right"/>
      <w:pPr>
        <w:ind w:left="1309" w:hanging="180"/>
      </w:pPr>
    </w:lvl>
    <w:lvl w:ilvl="3" w:tplc="041F000F" w:tentative="1">
      <w:start w:val="1"/>
      <w:numFmt w:val="decimal"/>
      <w:lvlText w:val="%4."/>
      <w:lvlJc w:val="left"/>
      <w:pPr>
        <w:ind w:left="2029" w:hanging="360"/>
      </w:pPr>
    </w:lvl>
    <w:lvl w:ilvl="4" w:tplc="041F0019" w:tentative="1">
      <w:start w:val="1"/>
      <w:numFmt w:val="lowerLetter"/>
      <w:lvlText w:val="%5."/>
      <w:lvlJc w:val="left"/>
      <w:pPr>
        <w:ind w:left="2749" w:hanging="360"/>
      </w:pPr>
    </w:lvl>
    <w:lvl w:ilvl="5" w:tplc="041F001B" w:tentative="1">
      <w:start w:val="1"/>
      <w:numFmt w:val="lowerRoman"/>
      <w:lvlText w:val="%6."/>
      <w:lvlJc w:val="right"/>
      <w:pPr>
        <w:ind w:left="3469" w:hanging="180"/>
      </w:pPr>
    </w:lvl>
    <w:lvl w:ilvl="6" w:tplc="041F000F" w:tentative="1">
      <w:start w:val="1"/>
      <w:numFmt w:val="decimal"/>
      <w:lvlText w:val="%7."/>
      <w:lvlJc w:val="left"/>
      <w:pPr>
        <w:ind w:left="4189" w:hanging="360"/>
      </w:pPr>
    </w:lvl>
    <w:lvl w:ilvl="7" w:tplc="041F0019" w:tentative="1">
      <w:start w:val="1"/>
      <w:numFmt w:val="lowerLetter"/>
      <w:lvlText w:val="%8."/>
      <w:lvlJc w:val="left"/>
      <w:pPr>
        <w:ind w:left="4909" w:hanging="360"/>
      </w:pPr>
    </w:lvl>
    <w:lvl w:ilvl="8" w:tplc="041F001B" w:tentative="1">
      <w:start w:val="1"/>
      <w:numFmt w:val="lowerRoman"/>
      <w:lvlText w:val="%9."/>
      <w:lvlJc w:val="right"/>
      <w:pPr>
        <w:ind w:left="5629" w:hanging="180"/>
      </w:pPr>
    </w:lvl>
  </w:abstractNum>
  <w:abstractNum w:abstractNumId="23" w15:restartNumberingAfterBreak="0">
    <w:nsid w:val="24A21AA9"/>
    <w:multiLevelType w:val="multilevel"/>
    <w:tmpl w:val="377026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4" w15:restartNumberingAfterBreak="0">
    <w:nsid w:val="2B1210E4"/>
    <w:multiLevelType w:val="multilevel"/>
    <w:tmpl w:val="3DD21CF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DFE2212"/>
    <w:multiLevelType w:val="hybridMultilevel"/>
    <w:tmpl w:val="9310335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2E424CFA"/>
    <w:multiLevelType w:val="hybridMultilevel"/>
    <w:tmpl w:val="BF7C913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2EBC3023"/>
    <w:multiLevelType w:val="hybridMultilevel"/>
    <w:tmpl w:val="F494744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30B547A2"/>
    <w:multiLevelType w:val="hybridMultilevel"/>
    <w:tmpl w:val="A148B9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323F5F3E"/>
    <w:multiLevelType w:val="hybridMultilevel"/>
    <w:tmpl w:val="0BF4CE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32A344E2"/>
    <w:multiLevelType w:val="multilevel"/>
    <w:tmpl w:val="8B605E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3475E3D"/>
    <w:multiLevelType w:val="hybridMultilevel"/>
    <w:tmpl w:val="4910549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340C7F46"/>
    <w:multiLevelType w:val="multilevel"/>
    <w:tmpl w:val="DE8A065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354146C1"/>
    <w:multiLevelType w:val="multilevel"/>
    <w:tmpl w:val="377026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4" w15:restartNumberingAfterBreak="0">
    <w:nsid w:val="367B4A84"/>
    <w:multiLevelType w:val="hybridMultilevel"/>
    <w:tmpl w:val="DA3249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37920CA3"/>
    <w:multiLevelType w:val="hybridMultilevel"/>
    <w:tmpl w:val="18861D7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382C30FD"/>
    <w:multiLevelType w:val="hybridMultilevel"/>
    <w:tmpl w:val="5164DA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38931BFE"/>
    <w:multiLevelType w:val="hybridMultilevel"/>
    <w:tmpl w:val="10A61D0A"/>
    <w:lvl w:ilvl="0" w:tplc="71E0F728">
      <w:numFmt w:val="bullet"/>
      <w:lvlText w:val="o"/>
      <w:lvlJc w:val="left"/>
      <w:pPr>
        <w:ind w:left="448" w:hanging="360"/>
      </w:pPr>
      <w:rPr>
        <w:rFonts w:ascii="Courier New" w:eastAsia="Courier New" w:hAnsi="Courier New" w:cs="Courier New" w:hint="default"/>
        <w:b w:val="0"/>
        <w:bCs w:val="0"/>
        <w:i w:val="0"/>
        <w:iCs w:val="0"/>
        <w:spacing w:val="0"/>
        <w:w w:val="100"/>
        <w:sz w:val="24"/>
        <w:szCs w:val="24"/>
        <w:lang w:val="tr-TR" w:eastAsia="en-US" w:bidi="ar-SA"/>
      </w:rPr>
    </w:lvl>
    <w:lvl w:ilvl="1" w:tplc="6032E1EE">
      <w:numFmt w:val="bullet"/>
      <w:lvlText w:val=""/>
      <w:lvlJc w:val="left"/>
      <w:pPr>
        <w:ind w:left="1169" w:hanging="360"/>
      </w:pPr>
      <w:rPr>
        <w:rFonts w:ascii="Wingdings" w:eastAsia="Wingdings" w:hAnsi="Wingdings" w:cs="Wingdings" w:hint="default"/>
        <w:b w:val="0"/>
        <w:bCs w:val="0"/>
        <w:i w:val="0"/>
        <w:iCs w:val="0"/>
        <w:spacing w:val="0"/>
        <w:w w:val="100"/>
        <w:sz w:val="24"/>
        <w:szCs w:val="24"/>
        <w:lang w:val="tr-TR" w:eastAsia="en-US" w:bidi="ar-SA"/>
      </w:rPr>
    </w:lvl>
    <w:lvl w:ilvl="2" w:tplc="0EC26DB0">
      <w:numFmt w:val="bullet"/>
      <w:lvlText w:val="•"/>
      <w:lvlJc w:val="left"/>
      <w:pPr>
        <w:ind w:left="2102" w:hanging="360"/>
      </w:pPr>
      <w:rPr>
        <w:rFonts w:hint="default"/>
        <w:lang w:val="tr-TR" w:eastAsia="en-US" w:bidi="ar-SA"/>
      </w:rPr>
    </w:lvl>
    <w:lvl w:ilvl="3" w:tplc="8B3AD67C">
      <w:numFmt w:val="bullet"/>
      <w:lvlText w:val="•"/>
      <w:lvlJc w:val="left"/>
      <w:pPr>
        <w:ind w:left="3044" w:hanging="360"/>
      </w:pPr>
      <w:rPr>
        <w:rFonts w:hint="default"/>
        <w:lang w:val="tr-TR" w:eastAsia="en-US" w:bidi="ar-SA"/>
      </w:rPr>
    </w:lvl>
    <w:lvl w:ilvl="4" w:tplc="D34A7D04">
      <w:numFmt w:val="bullet"/>
      <w:lvlText w:val="•"/>
      <w:lvlJc w:val="left"/>
      <w:pPr>
        <w:ind w:left="3986" w:hanging="360"/>
      </w:pPr>
      <w:rPr>
        <w:rFonts w:hint="default"/>
        <w:lang w:val="tr-TR" w:eastAsia="en-US" w:bidi="ar-SA"/>
      </w:rPr>
    </w:lvl>
    <w:lvl w:ilvl="5" w:tplc="955A25B0">
      <w:numFmt w:val="bullet"/>
      <w:lvlText w:val="•"/>
      <w:lvlJc w:val="left"/>
      <w:pPr>
        <w:ind w:left="4928" w:hanging="360"/>
      </w:pPr>
      <w:rPr>
        <w:rFonts w:hint="default"/>
        <w:lang w:val="tr-TR" w:eastAsia="en-US" w:bidi="ar-SA"/>
      </w:rPr>
    </w:lvl>
    <w:lvl w:ilvl="6" w:tplc="2F2E806C">
      <w:numFmt w:val="bullet"/>
      <w:lvlText w:val="•"/>
      <w:lvlJc w:val="left"/>
      <w:pPr>
        <w:ind w:left="5870" w:hanging="360"/>
      </w:pPr>
      <w:rPr>
        <w:rFonts w:hint="default"/>
        <w:lang w:val="tr-TR" w:eastAsia="en-US" w:bidi="ar-SA"/>
      </w:rPr>
    </w:lvl>
    <w:lvl w:ilvl="7" w:tplc="55C495B2">
      <w:numFmt w:val="bullet"/>
      <w:lvlText w:val="•"/>
      <w:lvlJc w:val="left"/>
      <w:pPr>
        <w:ind w:left="6812" w:hanging="360"/>
      </w:pPr>
      <w:rPr>
        <w:rFonts w:hint="default"/>
        <w:lang w:val="tr-TR" w:eastAsia="en-US" w:bidi="ar-SA"/>
      </w:rPr>
    </w:lvl>
    <w:lvl w:ilvl="8" w:tplc="3C00528C">
      <w:numFmt w:val="bullet"/>
      <w:lvlText w:val="•"/>
      <w:lvlJc w:val="left"/>
      <w:pPr>
        <w:ind w:left="7754" w:hanging="360"/>
      </w:pPr>
      <w:rPr>
        <w:rFonts w:hint="default"/>
        <w:lang w:val="tr-TR" w:eastAsia="en-US" w:bidi="ar-SA"/>
      </w:rPr>
    </w:lvl>
  </w:abstractNum>
  <w:abstractNum w:abstractNumId="38" w15:restartNumberingAfterBreak="0">
    <w:nsid w:val="39DD0CEA"/>
    <w:multiLevelType w:val="multilevel"/>
    <w:tmpl w:val="4F6669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AE404A0"/>
    <w:multiLevelType w:val="multilevel"/>
    <w:tmpl w:val="310A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D56577C"/>
    <w:multiLevelType w:val="hybridMultilevel"/>
    <w:tmpl w:val="055CE44E"/>
    <w:lvl w:ilvl="0" w:tplc="226CE9CA">
      <w:start w:val="18"/>
      <w:numFmt w:val="decimal"/>
      <w:lvlText w:val="%1."/>
      <w:lvlJc w:val="left"/>
      <w:pPr>
        <w:ind w:left="336" w:hanging="429"/>
      </w:pPr>
      <w:rPr>
        <w:rFonts w:ascii="Times New Roman" w:eastAsia="Times New Roman" w:hAnsi="Times New Roman" w:cs="Times New Roman" w:hint="default"/>
        <w:b w:val="0"/>
        <w:bCs w:val="0"/>
        <w:i w:val="0"/>
        <w:iCs w:val="0"/>
        <w:spacing w:val="0"/>
        <w:w w:val="100"/>
        <w:sz w:val="24"/>
        <w:szCs w:val="24"/>
        <w:lang w:val="tr-TR" w:eastAsia="en-US" w:bidi="ar-SA"/>
      </w:rPr>
    </w:lvl>
    <w:lvl w:ilvl="1" w:tplc="B04CEEE6">
      <w:numFmt w:val="bullet"/>
      <w:lvlText w:val="•"/>
      <w:lvlJc w:val="left"/>
      <w:pPr>
        <w:ind w:left="1314" w:hanging="429"/>
      </w:pPr>
      <w:rPr>
        <w:rFonts w:hint="default"/>
        <w:lang w:val="tr-TR" w:eastAsia="en-US" w:bidi="ar-SA"/>
      </w:rPr>
    </w:lvl>
    <w:lvl w:ilvl="2" w:tplc="B0CABF9C">
      <w:numFmt w:val="bullet"/>
      <w:lvlText w:val="•"/>
      <w:lvlJc w:val="left"/>
      <w:pPr>
        <w:ind w:left="2288" w:hanging="429"/>
      </w:pPr>
      <w:rPr>
        <w:rFonts w:hint="default"/>
        <w:lang w:val="tr-TR" w:eastAsia="en-US" w:bidi="ar-SA"/>
      </w:rPr>
    </w:lvl>
    <w:lvl w:ilvl="3" w:tplc="45B81DFA">
      <w:numFmt w:val="bullet"/>
      <w:lvlText w:val="•"/>
      <w:lvlJc w:val="left"/>
      <w:pPr>
        <w:ind w:left="3262" w:hanging="429"/>
      </w:pPr>
      <w:rPr>
        <w:rFonts w:hint="default"/>
        <w:lang w:val="tr-TR" w:eastAsia="en-US" w:bidi="ar-SA"/>
      </w:rPr>
    </w:lvl>
    <w:lvl w:ilvl="4" w:tplc="73D4E8B2">
      <w:numFmt w:val="bullet"/>
      <w:lvlText w:val="•"/>
      <w:lvlJc w:val="left"/>
      <w:pPr>
        <w:ind w:left="4236" w:hanging="429"/>
      </w:pPr>
      <w:rPr>
        <w:rFonts w:hint="default"/>
        <w:lang w:val="tr-TR" w:eastAsia="en-US" w:bidi="ar-SA"/>
      </w:rPr>
    </w:lvl>
    <w:lvl w:ilvl="5" w:tplc="B762D298">
      <w:numFmt w:val="bullet"/>
      <w:lvlText w:val="•"/>
      <w:lvlJc w:val="left"/>
      <w:pPr>
        <w:ind w:left="5210" w:hanging="429"/>
      </w:pPr>
      <w:rPr>
        <w:rFonts w:hint="default"/>
        <w:lang w:val="tr-TR" w:eastAsia="en-US" w:bidi="ar-SA"/>
      </w:rPr>
    </w:lvl>
    <w:lvl w:ilvl="6" w:tplc="B95213EA">
      <w:numFmt w:val="bullet"/>
      <w:lvlText w:val="•"/>
      <w:lvlJc w:val="left"/>
      <w:pPr>
        <w:ind w:left="6184" w:hanging="429"/>
      </w:pPr>
      <w:rPr>
        <w:rFonts w:hint="default"/>
        <w:lang w:val="tr-TR" w:eastAsia="en-US" w:bidi="ar-SA"/>
      </w:rPr>
    </w:lvl>
    <w:lvl w:ilvl="7" w:tplc="37D2D870">
      <w:numFmt w:val="bullet"/>
      <w:lvlText w:val="•"/>
      <w:lvlJc w:val="left"/>
      <w:pPr>
        <w:ind w:left="7158" w:hanging="429"/>
      </w:pPr>
      <w:rPr>
        <w:rFonts w:hint="default"/>
        <w:lang w:val="tr-TR" w:eastAsia="en-US" w:bidi="ar-SA"/>
      </w:rPr>
    </w:lvl>
    <w:lvl w:ilvl="8" w:tplc="D80032FC">
      <w:numFmt w:val="bullet"/>
      <w:lvlText w:val="•"/>
      <w:lvlJc w:val="left"/>
      <w:pPr>
        <w:ind w:left="8132" w:hanging="429"/>
      </w:pPr>
      <w:rPr>
        <w:rFonts w:hint="default"/>
        <w:lang w:val="tr-TR" w:eastAsia="en-US" w:bidi="ar-SA"/>
      </w:rPr>
    </w:lvl>
  </w:abstractNum>
  <w:abstractNum w:abstractNumId="41" w15:restartNumberingAfterBreak="0">
    <w:nsid w:val="40FE1705"/>
    <w:multiLevelType w:val="hybridMultilevel"/>
    <w:tmpl w:val="899E18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4114535C"/>
    <w:multiLevelType w:val="hybridMultilevel"/>
    <w:tmpl w:val="8BEECDB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41A6525C"/>
    <w:multiLevelType w:val="multilevel"/>
    <w:tmpl w:val="B2F87D20"/>
    <w:lvl w:ilvl="0">
      <w:start w:val="1"/>
      <w:numFmt w:val="bullet"/>
      <w:lvlText w:val="●"/>
      <w:lvlJc w:val="left"/>
      <w:pPr>
        <w:ind w:left="777" w:hanging="360"/>
      </w:pPr>
      <w:rPr>
        <w:rFonts w:ascii="Noto Sans Symbols" w:eastAsia="Noto Sans Symbols" w:hAnsi="Noto Sans Symbols" w:cs="Noto Sans Symbols"/>
      </w:rPr>
    </w:lvl>
    <w:lvl w:ilvl="1">
      <w:start w:val="1"/>
      <w:numFmt w:val="bullet"/>
      <w:lvlText w:val="o"/>
      <w:lvlJc w:val="left"/>
      <w:pPr>
        <w:ind w:left="1497" w:hanging="360"/>
      </w:pPr>
      <w:rPr>
        <w:rFonts w:ascii="Courier New" w:eastAsia="Courier New" w:hAnsi="Courier New" w:cs="Courier New"/>
      </w:rPr>
    </w:lvl>
    <w:lvl w:ilvl="2">
      <w:start w:val="1"/>
      <w:numFmt w:val="bullet"/>
      <w:lvlText w:val="▪"/>
      <w:lvlJc w:val="left"/>
      <w:pPr>
        <w:ind w:left="2217" w:hanging="360"/>
      </w:pPr>
      <w:rPr>
        <w:rFonts w:ascii="Noto Sans Symbols" w:eastAsia="Noto Sans Symbols" w:hAnsi="Noto Sans Symbols" w:cs="Noto Sans Symbols"/>
      </w:rPr>
    </w:lvl>
    <w:lvl w:ilvl="3">
      <w:start w:val="1"/>
      <w:numFmt w:val="bullet"/>
      <w:lvlText w:val="●"/>
      <w:lvlJc w:val="left"/>
      <w:pPr>
        <w:ind w:left="2937" w:hanging="360"/>
      </w:pPr>
      <w:rPr>
        <w:rFonts w:ascii="Noto Sans Symbols" w:eastAsia="Noto Sans Symbols" w:hAnsi="Noto Sans Symbols" w:cs="Noto Sans Symbols"/>
      </w:rPr>
    </w:lvl>
    <w:lvl w:ilvl="4">
      <w:start w:val="1"/>
      <w:numFmt w:val="bullet"/>
      <w:lvlText w:val="o"/>
      <w:lvlJc w:val="left"/>
      <w:pPr>
        <w:ind w:left="3657" w:hanging="360"/>
      </w:pPr>
      <w:rPr>
        <w:rFonts w:ascii="Courier New" w:eastAsia="Courier New" w:hAnsi="Courier New" w:cs="Courier New"/>
      </w:rPr>
    </w:lvl>
    <w:lvl w:ilvl="5">
      <w:start w:val="1"/>
      <w:numFmt w:val="bullet"/>
      <w:lvlText w:val="▪"/>
      <w:lvlJc w:val="left"/>
      <w:pPr>
        <w:ind w:left="4377" w:hanging="360"/>
      </w:pPr>
      <w:rPr>
        <w:rFonts w:ascii="Noto Sans Symbols" w:eastAsia="Noto Sans Symbols" w:hAnsi="Noto Sans Symbols" w:cs="Noto Sans Symbols"/>
      </w:rPr>
    </w:lvl>
    <w:lvl w:ilvl="6">
      <w:start w:val="1"/>
      <w:numFmt w:val="bullet"/>
      <w:lvlText w:val="●"/>
      <w:lvlJc w:val="left"/>
      <w:pPr>
        <w:ind w:left="5097" w:hanging="360"/>
      </w:pPr>
      <w:rPr>
        <w:rFonts w:ascii="Noto Sans Symbols" w:eastAsia="Noto Sans Symbols" w:hAnsi="Noto Sans Symbols" w:cs="Noto Sans Symbols"/>
      </w:rPr>
    </w:lvl>
    <w:lvl w:ilvl="7">
      <w:start w:val="1"/>
      <w:numFmt w:val="bullet"/>
      <w:lvlText w:val="o"/>
      <w:lvlJc w:val="left"/>
      <w:pPr>
        <w:ind w:left="5817" w:hanging="360"/>
      </w:pPr>
      <w:rPr>
        <w:rFonts w:ascii="Courier New" w:eastAsia="Courier New" w:hAnsi="Courier New" w:cs="Courier New"/>
      </w:rPr>
    </w:lvl>
    <w:lvl w:ilvl="8">
      <w:start w:val="1"/>
      <w:numFmt w:val="bullet"/>
      <w:lvlText w:val="▪"/>
      <w:lvlJc w:val="left"/>
      <w:pPr>
        <w:ind w:left="6537" w:hanging="360"/>
      </w:pPr>
      <w:rPr>
        <w:rFonts w:ascii="Noto Sans Symbols" w:eastAsia="Noto Sans Symbols" w:hAnsi="Noto Sans Symbols" w:cs="Noto Sans Symbols"/>
      </w:rPr>
    </w:lvl>
  </w:abstractNum>
  <w:abstractNum w:abstractNumId="44" w15:restartNumberingAfterBreak="0">
    <w:nsid w:val="41FA660D"/>
    <w:multiLevelType w:val="hybridMultilevel"/>
    <w:tmpl w:val="BC1028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42AA30A1"/>
    <w:multiLevelType w:val="hybridMultilevel"/>
    <w:tmpl w:val="AC945E3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43F42174"/>
    <w:multiLevelType w:val="hybridMultilevel"/>
    <w:tmpl w:val="345CF3A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45AC212D"/>
    <w:multiLevelType w:val="hybridMultilevel"/>
    <w:tmpl w:val="CE54F6F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45DC5914"/>
    <w:multiLevelType w:val="hybridMultilevel"/>
    <w:tmpl w:val="80C6BD9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49AD2D0F"/>
    <w:multiLevelType w:val="hybridMultilevel"/>
    <w:tmpl w:val="9A20513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4AB11AFF"/>
    <w:multiLevelType w:val="hybridMultilevel"/>
    <w:tmpl w:val="F65CF3A4"/>
    <w:lvl w:ilvl="0" w:tplc="041F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AD4642B"/>
    <w:multiLevelType w:val="hybridMultilevel"/>
    <w:tmpl w:val="EC32D570"/>
    <w:lvl w:ilvl="0" w:tplc="3B686E1E">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4C412D05"/>
    <w:multiLevelType w:val="hybridMultilevel"/>
    <w:tmpl w:val="BB8689D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4C4E1F80"/>
    <w:multiLevelType w:val="hybridMultilevel"/>
    <w:tmpl w:val="3B6274D6"/>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4D092738"/>
    <w:multiLevelType w:val="hybridMultilevel"/>
    <w:tmpl w:val="8AD218D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5" w15:restartNumberingAfterBreak="0">
    <w:nsid w:val="4DFB4CC2"/>
    <w:multiLevelType w:val="hybridMultilevel"/>
    <w:tmpl w:val="C9B252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502A1FD8"/>
    <w:multiLevelType w:val="hybridMultilevel"/>
    <w:tmpl w:val="D3223E8E"/>
    <w:lvl w:ilvl="0" w:tplc="4052F852">
      <w:numFmt w:val="bullet"/>
      <w:lvlText w:val="-"/>
      <w:lvlJc w:val="left"/>
      <w:pPr>
        <w:ind w:left="448" w:hanging="145"/>
      </w:pPr>
      <w:rPr>
        <w:rFonts w:ascii="Times New Roman" w:eastAsia="Times New Roman" w:hAnsi="Times New Roman" w:cs="Times New Roman" w:hint="default"/>
        <w:b w:val="0"/>
        <w:bCs w:val="0"/>
        <w:i w:val="0"/>
        <w:iCs w:val="0"/>
        <w:spacing w:val="0"/>
        <w:w w:val="100"/>
        <w:sz w:val="24"/>
        <w:szCs w:val="24"/>
        <w:lang w:val="tr-TR" w:eastAsia="en-US" w:bidi="ar-SA"/>
      </w:rPr>
    </w:lvl>
    <w:lvl w:ilvl="1" w:tplc="15FEFD62">
      <w:numFmt w:val="bullet"/>
      <w:lvlText w:val="•"/>
      <w:lvlJc w:val="left"/>
      <w:pPr>
        <w:ind w:left="1359" w:hanging="145"/>
      </w:pPr>
      <w:rPr>
        <w:rFonts w:hint="default"/>
        <w:lang w:val="tr-TR" w:eastAsia="en-US" w:bidi="ar-SA"/>
      </w:rPr>
    </w:lvl>
    <w:lvl w:ilvl="2" w:tplc="348C707A">
      <w:numFmt w:val="bullet"/>
      <w:lvlText w:val="•"/>
      <w:lvlJc w:val="left"/>
      <w:pPr>
        <w:ind w:left="2279" w:hanging="145"/>
      </w:pPr>
      <w:rPr>
        <w:rFonts w:hint="default"/>
        <w:lang w:val="tr-TR" w:eastAsia="en-US" w:bidi="ar-SA"/>
      </w:rPr>
    </w:lvl>
    <w:lvl w:ilvl="3" w:tplc="8320F0CE">
      <w:numFmt w:val="bullet"/>
      <w:lvlText w:val="•"/>
      <w:lvlJc w:val="left"/>
      <w:pPr>
        <w:ind w:left="3199" w:hanging="145"/>
      </w:pPr>
      <w:rPr>
        <w:rFonts w:hint="default"/>
        <w:lang w:val="tr-TR" w:eastAsia="en-US" w:bidi="ar-SA"/>
      </w:rPr>
    </w:lvl>
    <w:lvl w:ilvl="4" w:tplc="CC5A2A80">
      <w:numFmt w:val="bullet"/>
      <w:lvlText w:val="•"/>
      <w:lvlJc w:val="left"/>
      <w:pPr>
        <w:ind w:left="4119" w:hanging="145"/>
      </w:pPr>
      <w:rPr>
        <w:rFonts w:hint="default"/>
        <w:lang w:val="tr-TR" w:eastAsia="en-US" w:bidi="ar-SA"/>
      </w:rPr>
    </w:lvl>
    <w:lvl w:ilvl="5" w:tplc="F32A3456">
      <w:numFmt w:val="bullet"/>
      <w:lvlText w:val="•"/>
      <w:lvlJc w:val="left"/>
      <w:pPr>
        <w:ind w:left="5039" w:hanging="145"/>
      </w:pPr>
      <w:rPr>
        <w:rFonts w:hint="default"/>
        <w:lang w:val="tr-TR" w:eastAsia="en-US" w:bidi="ar-SA"/>
      </w:rPr>
    </w:lvl>
    <w:lvl w:ilvl="6" w:tplc="14BA61CA">
      <w:numFmt w:val="bullet"/>
      <w:lvlText w:val="•"/>
      <w:lvlJc w:val="left"/>
      <w:pPr>
        <w:ind w:left="5958" w:hanging="145"/>
      </w:pPr>
      <w:rPr>
        <w:rFonts w:hint="default"/>
        <w:lang w:val="tr-TR" w:eastAsia="en-US" w:bidi="ar-SA"/>
      </w:rPr>
    </w:lvl>
    <w:lvl w:ilvl="7" w:tplc="07360B2C">
      <w:numFmt w:val="bullet"/>
      <w:lvlText w:val="•"/>
      <w:lvlJc w:val="left"/>
      <w:pPr>
        <w:ind w:left="6878" w:hanging="145"/>
      </w:pPr>
      <w:rPr>
        <w:rFonts w:hint="default"/>
        <w:lang w:val="tr-TR" w:eastAsia="en-US" w:bidi="ar-SA"/>
      </w:rPr>
    </w:lvl>
    <w:lvl w:ilvl="8" w:tplc="10109288">
      <w:numFmt w:val="bullet"/>
      <w:lvlText w:val="•"/>
      <w:lvlJc w:val="left"/>
      <w:pPr>
        <w:ind w:left="7798" w:hanging="145"/>
      </w:pPr>
      <w:rPr>
        <w:rFonts w:hint="default"/>
        <w:lang w:val="tr-TR" w:eastAsia="en-US" w:bidi="ar-SA"/>
      </w:rPr>
    </w:lvl>
  </w:abstractNum>
  <w:abstractNum w:abstractNumId="57" w15:restartNumberingAfterBreak="0">
    <w:nsid w:val="56000146"/>
    <w:multiLevelType w:val="hybridMultilevel"/>
    <w:tmpl w:val="078AB3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6665B60"/>
    <w:multiLevelType w:val="hybridMultilevel"/>
    <w:tmpl w:val="823A4D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9" w15:restartNumberingAfterBreak="0">
    <w:nsid w:val="57495EF9"/>
    <w:multiLevelType w:val="hybridMultilevel"/>
    <w:tmpl w:val="85D271F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57DD73EF"/>
    <w:multiLevelType w:val="hybridMultilevel"/>
    <w:tmpl w:val="F4A4EFE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15:restartNumberingAfterBreak="0">
    <w:nsid w:val="59850C75"/>
    <w:multiLevelType w:val="hybridMultilevel"/>
    <w:tmpl w:val="314C79F4"/>
    <w:lvl w:ilvl="0" w:tplc="00669770">
      <w:start w:val="5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5B406AE9"/>
    <w:multiLevelType w:val="hybridMultilevel"/>
    <w:tmpl w:val="75C2207E"/>
    <w:lvl w:ilvl="0" w:tplc="C68C855C">
      <w:start w:val="1"/>
      <w:numFmt w:val="decimal"/>
      <w:lvlText w:val="%1."/>
      <w:lvlJc w:val="left"/>
      <w:pPr>
        <w:ind w:left="1056" w:hanging="360"/>
      </w:pPr>
      <w:rPr>
        <w:rFonts w:ascii="Calibri" w:eastAsia="Calibri" w:hAnsi="Calibri" w:cs="Calibri" w:hint="default"/>
        <w:b w:val="0"/>
        <w:bCs w:val="0"/>
        <w:i w:val="0"/>
        <w:iCs w:val="0"/>
        <w:spacing w:val="-1"/>
        <w:w w:val="100"/>
        <w:sz w:val="24"/>
        <w:szCs w:val="24"/>
        <w:lang w:val="tr-TR" w:eastAsia="en-US" w:bidi="ar-SA"/>
      </w:rPr>
    </w:lvl>
    <w:lvl w:ilvl="1" w:tplc="B192C890">
      <w:numFmt w:val="bullet"/>
      <w:lvlText w:val="•"/>
      <w:lvlJc w:val="left"/>
      <w:pPr>
        <w:ind w:left="1962" w:hanging="360"/>
      </w:pPr>
      <w:rPr>
        <w:rFonts w:hint="default"/>
        <w:lang w:val="tr-TR" w:eastAsia="en-US" w:bidi="ar-SA"/>
      </w:rPr>
    </w:lvl>
    <w:lvl w:ilvl="2" w:tplc="CBC83378">
      <w:numFmt w:val="bullet"/>
      <w:lvlText w:val="•"/>
      <w:lvlJc w:val="left"/>
      <w:pPr>
        <w:ind w:left="2864" w:hanging="360"/>
      </w:pPr>
      <w:rPr>
        <w:rFonts w:hint="default"/>
        <w:lang w:val="tr-TR" w:eastAsia="en-US" w:bidi="ar-SA"/>
      </w:rPr>
    </w:lvl>
    <w:lvl w:ilvl="3" w:tplc="CC94D4F6">
      <w:numFmt w:val="bullet"/>
      <w:lvlText w:val="•"/>
      <w:lvlJc w:val="left"/>
      <w:pPr>
        <w:ind w:left="3766" w:hanging="360"/>
      </w:pPr>
      <w:rPr>
        <w:rFonts w:hint="default"/>
        <w:lang w:val="tr-TR" w:eastAsia="en-US" w:bidi="ar-SA"/>
      </w:rPr>
    </w:lvl>
    <w:lvl w:ilvl="4" w:tplc="973C579A">
      <w:numFmt w:val="bullet"/>
      <w:lvlText w:val="•"/>
      <w:lvlJc w:val="left"/>
      <w:pPr>
        <w:ind w:left="4668" w:hanging="360"/>
      </w:pPr>
      <w:rPr>
        <w:rFonts w:hint="default"/>
        <w:lang w:val="tr-TR" w:eastAsia="en-US" w:bidi="ar-SA"/>
      </w:rPr>
    </w:lvl>
    <w:lvl w:ilvl="5" w:tplc="05A6FBE2">
      <w:numFmt w:val="bullet"/>
      <w:lvlText w:val="•"/>
      <w:lvlJc w:val="left"/>
      <w:pPr>
        <w:ind w:left="5570" w:hanging="360"/>
      </w:pPr>
      <w:rPr>
        <w:rFonts w:hint="default"/>
        <w:lang w:val="tr-TR" w:eastAsia="en-US" w:bidi="ar-SA"/>
      </w:rPr>
    </w:lvl>
    <w:lvl w:ilvl="6" w:tplc="C584E342">
      <w:numFmt w:val="bullet"/>
      <w:lvlText w:val="•"/>
      <w:lvlJc w:val="left"/>
      <w:pPr>
        <w:ind w:left="6472" w:hanging="360"/>
      </w:pPr>
      <w:rPr>
        <w:rFonts w:hint="default"/>
        <w:lang w:val="tr-TR" w:eastAsia="en-US" w:bidi="ar-SA"/>
      </w:rPr>
    </w:lvl>
    <w:lvl w:ilvl="7" w:tplc="E406742E">
      <w:numFmt w:val="bullet"/>
      <w:lvlText w:val="•"/>
      <w:lvlJc w:val="left"/>
      <w:pPr>
        <w:ind w:left="7374" w:hanging="360"/>
      </w:pPr>
      <w:rPr>
        <w:rFonts w:hint="default"/>
        <w:lang w:val="tr-TR" w:eastAsia="en-US" w:bidi="ar-SA"/>
      </w:rPr>
    </w:lvl>
    <w:lvl w:ilvl="8" w:tplc="95601508">
      <w:numFmt w:val="bullet"/>
      <w:lvlText w:val="•"/>
      <w:lvlJc w:val="left"/>
      <w:pPr>
        <w:ind w:left="8276" w:hanging="360"/>
      </w:pPr>
      <w:rPr>
        <w:rFonts w:hint="default"/>
        <w:lang w:val="tr-TR" w:eastAsia="en-US" w:bidi="ar-SA"/>
      </w:rPr>
    </w:lvl>
  </w:abstractNum>
  <w:abstractNum w:abstractNumId="63" w15:restartNumberingAfterBreak="0">
    <w:nsid w:val="5BAE6C4E"/>
    <w:multiLevelType w:val="hybridMultilevel"/>
    <w:tmpl w:val="E90294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5BC42ACD"/>
    <w:multiLevelType w:val="hybridMultilevel"/>
    <w:tmpl w:val="E9AE7A36"/>
    <w:lvl w:ilvl="0" w:tplc="C9462FEC">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5" w15:restartNumberingAfterBreak="0">
    <w:nsid w:val="5CED4037"/>
    <w:multiLevelType w:val="hybridMultilevel"/>
    <w:tmpl w:val="59A697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5DB12070"/>
    <w:multiLevelType w:val="hybridMultilevel"/>
    <w:tmpl w:val="38AEDAD4"/>
    <w:lvl w:ilvl="0" w:tplc="8EB2B1DE">
      <w:start w:val="1"/>
      <w:numFmt w:val="decimal"/>
      <w:lvlText w:val="%1."/>
      <w:lvlJc w:val="left"/>
      <w:pPr>
        <w:ind w:left="720" w:hanging="360"/>
      </w:pPr>
      <w:rPr>
        <w:rFonts w:asciiTheme="minorHAnsi" w:eastAsiaTheme="minorHAnsi" w:hAnsiTheme="minorHAnsi" w:cstheme="minorBid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7" w15:restartNumberingAfterBreak="0">
    <w:nsid w:val="5E67700D"/>
    <w:multiLevelType w:val="hybridMultilevel"/>
    <w:tmpl w:val="7DD4A8C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8" w15:restartNumberingAfterBreak="0">
    <w:nsid w:val="5FF03E21"/>
    <w:multiLevelType w:val="multilevel"/>
    <w:tmpl w:val="89B8C994"/>
    <w:lvl w:ilvl="0">
      <w:start w:val="1"/>
      <w:numFmt w:val="decimal"/>
      <w:lvlText w:val="%1-"/>
      <w:lvlJc w:val="left"/>
      <w:pPr>
        <w:ind w:left="36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6086359D"/>
    <w:multiLevelType w:val="hybridMultilevel"/>
    <w:tmpl w:val="13E207A4"/>
    <w:lvl w:ilvl="0" w:tplc="79B45DAC">
      <w:numFmt w:val="bullet"/>
      <w:lvlText w:val="o"/>
      <w:lvlJc w:val="left"/>
      <w:pPr>
        <w:ind w:left="1169" w:hanging="360"/>
      </w:pPr>
      <w:rPr>
        <w:rFonts w:ascii="Courier New" w:eastAsia="Courier New" w:hAnsi="Courier New" w:cs="Courier New" w:hint="default"/>
        <w:b w:val="0"/>
        <w:bCs w:val="0"/>
        <w:i w:val="0"/>
        <w:iCs w:val="0"/>
        <w:spacing w:val="0"/>
        <w:w w:val="100"/>
        <w:sz w:val="24"/>
        <w:szCs w:val="24"/>
        <w:lang w:val="tr-TR" w:eastAsia="en-US" w:bidi="ar-SA"/>
      </w:rPr>
    </w:lvl>
    <w:lvl w:ilvl="1" w:tplc="2264B022">
      <w:numFmt w:val="bullet"/>
      <w:lvlText w:val="•"/>
      <w:lvlJc w:val="left"/>
      <w:pPr>
        <w:ind w:left="2007" w:hanging="360"/>
      </w:pPr>
      <w:rPr>
        <w:rFonts w:hint="default"/>
        <w:lang w:val="tr-TR" w:eastAsia="en-US" w:bidi="ar-SA"/>
      </w:rPr>
    </w:lvl>
    <w:lvl w:ilvl="2" w:tplc="7E9C8C68">
      <w:numFmt w:val="bullet"/>
      <w:lvlText w:val="•"/>
      <w:lvlJc w:val="left"/>
      <w:pPr>
        <w:ind w:left="2855" w:hanging="360"/>
      </w:pPr>
      <w:rPr>
        <w:rFonts w:hint="default"/>
        <w:lang w:val="tr-TR" w:eastAsia="en-US" w:bidi="ar-SA"/>
      </w:rPr>
    </w:lvl>
    <w:lvl w:ilvl="3" w:tplc="1E3C44A0">
      <w:numFmt w:val="bullet"/>
      <w:lvlText w:val="•"/>
      <w:lvlJc w:val="left"/>
      <w:pPr>
        <w:ind w:left="3703" w:hanging="360"/>
      </w:pPr>
      <w:rPr>
        <w:rFonts w:hint="default"/>
        <w:lang w:val="tr-TR" w:eastAsia="en-US" w:bidi="ar-SA"/>
      </w:rPr>
    </w:lvl>
    <w:lvl w:ilvl="4" w:tplc="3E42E2C0">
      <w:numFmt w:val="bullet"/>
      <w:lvlText w:val="•"/>
      <w:lvlJc w:val="left"/>
      <w:pPr>
        <w:ind w:left="4551" w:hanging="360"/>
      </w:pPr>
      <w:rPr>
        <w:rFonts w:hint="default"/>
        <w:lang w:val="tr-TR" w:eastAsia="en-US" w:bidi="ar-SA"/>
      </w:rPr>
    </w:lvl>
    <w:lvl w:ilvl="5" w:tplc="6B9EEBE0">
      <w:numFmt w:val="bullet"/>
      <w:lvlText w:val="•"/>
      <w:lvlJc w:val="left"/>
      <w:pPr>
        <w:ind w:left="5399" w:hanging="360"/>
      </w:pPr>
      <w:rPr>
        <w:rFonts w:hint="default"/>
        <w:lang w:val="tr-TR" w:eastAsia="en-US" w:bidi="ar-SA"/>
      </w:rPr>
    </w:lvl>
    <w:lvl w:ilvl="6" w:tplc="B2E6978A">
      <w:numFmt w:val="bullet"/>
      <w:lvlText w:val="•"/>
      <w:lvlJc w:val="left"/>
      <w:pPr>
        <w:ind w:left="6246" w:hanging="360"/>
      </w:pPr>
      <w:rPr>
        <w:rFonts w:hint="default"/>
        <w:lang w:val="tr-TR" w:eastAsia="en-US" w:bidi="ar-SA"/>
      </w:rPr>
    </w:lvl>
    <w:lvl w:ilvl="7" w:tplc="0CCAF682">
      <w:numFmt w:val="bullet"/>
      <w:lvlText w:val="•"/>
      <w:lvlJc w:val="left"/>
      <w:pPr>
        <w:ind w:left="7094" w:hanging="360"/>
      </w:pPr>
      <w:rPr>
        <w:rFonts w:hint="default"/>
        <w:lang w:val="tr-TR" w:eastAsia="en-US" w:bidi="ar-SA"/>
      </w:rPr>
    </w:lvl>
    <w:lvl w:ilvl="8" w:tplc="88E06544">
      <w:numFmt w:val="bullet"/>
      <w:lvlText w:val="•"/>
      <w:lvlJc w:val="left"/>
      <w:pPr>
        <w:ind w:left="7942" w:hanging="360"/>
      </w:pPr>
      <w:rPr>
        <w:rFonts w:hint="default"/>
        <w:lang w:val="tr-TR" w:eastAsia="en-US" w:bidi="ar-SA"/>
      </w:rPr>
    </w:lvl>
  </w:abstractNum>
  <w:abstractNum w:abstractNumId="70" w15:restartNumberingAfterBreak="0">
    <w:nsid w:val="61511C9F"/>
    <w:multiLevelType w:val="hybridMultilevel"/>
    <w:tmpl w:val="624EA0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1" w15:restartNumberingAfterBreak="0">
    <w:nsid w:val="61D45747"/>
    <w:multiLevelType w:val="hybridMultilevel"/>
    <w:tmpl w:val="0B806BA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2" w15:restartNumberingAfterBreak="0">
    <w:nsid w:val="623F5C7C"/>
    <w:multiLevelType w:val="multilevel"/>
    <w:tmpl w:val="EB3C0B3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6273209E"/>
    <w:multiLevelType w:val="hybridMultilevel"/>
    <w:tmpl w:val="038ED97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4" w15:restartNumberingAfterBreak="0">
    <w:nsid w:val="631A2088"/>
    <w:multiLevelType w:val="hybridMultilevel"/>
    <w:tmpl w:val="97342B7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6492770E"/>
    <w:multiLevelType w:val="hybridMultilevel"/>
    <w:tmpl w:val="358489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65D9040D"/>
    <w:multiLevelType w:val="hybridMultilevel"/>
    <w:tmpl w:val="1546A34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7" w15:restartNumberingAfterBreak="0">
    <w:nsid w:val="69135124"/>
    <w:multiLevelType w:val="hybridMultilevel"/>
    <w:tmpl w:val="4F3C34BE"/>
    <w:lvl w:ilvl="0" w:tplc="D8D6445A">
      <w:start w:val="1"/>
      <w:numFmt w:val="decimal"/>
      <w:lvlText w:val="%1.)"/>
      <w:lvlJc w:val="left"/>
      <w:pPr>
        <w:ind w:left="448" w:hanging="331"/>
      </w:pPr>
      <w:rPr>
        <w:rFonts w:ascii="Times New Roman" w:eastAsia="Times New Roman" w:hAnsi="Times New Roman" w:cs="Times New Roman" w:hint="default"/>
        <w:b w:val="0"/>
        <w:bCs w:val="0"/>
        <w:i w:val="0"/>
        <w:iCs w:val="0"/>
        <w:spacing w:val="0"/>
        <w:w w:val="100"/>
        <w:sz w:val="24"/>
        <w:szCs w:val="24"/>
        <w:lang w:val="tr-TR" w:eastAsia="en-US" w:bidi="ar-SA"/>
      </w:rPr>
    </w:lvl>
    <w:lvl w:ilvl="1" w:tplc="9C8E7A06">
      <w:numFmt w:val="bullet"/>
      <w:lvlText w:val="•"/>
      <w:lvlJc w:val="left"/>
      <w:pPr>
        <w:ind w:left="1359" w:hanging="331"/>
      </w:pPr>
      <w:rPr>
        <w:rFonts w:hint="default"/>
        <w:lang w:val="tr-TR" w:eastAsia="en-US" w:bidi="ar-SA"/>
      </w:rPr>
    </w:lvl>
    <w:lvl w:ilvl="2" w:tplc="B99AC2D4">
      <w:numFmt w:val="bullet"/>
      <w:lvlText w:val="•"/>
      <w:lvlJc w:val="left"/>
      <w:pPr>
        <w:ind w:left="2279" w:hanging="331"/>
      </w:pPr>
      <w:rPr>
        <w:rFonts w:hint="default"/>
        <w:lang w:val="tr-TR" w:eastAsia="en-US" w:bidi="ar-SA"/>
      </w:rPr>
    </w:lvl>
    <w:lvl w:ilvl="3" w:tplc="D652C930">
      <w:numFmt w:val="bullet"/>
      <w:lvlText w:val="•"/>
      <w:lvlJc w:val="left"/>
      <w:pPr>
        <w:ind w:left="3199" w:hanging="331"/>
      </w:pPr>
      <w:rPr>
        <w:rFonts w:hint="default"/>
        <w:lang w:val="tr-TR" w:eastAsia="en-US" w:bidi="ar-SA"/>
      </w:rPr>
    </w:lvl>
    <w:lvl w:ilvl="4" w:tplc="B13CEFD2">
      <w:numFmt w:val="bullet"/>
      <w:lvlText w:val="•"/>
      <w:lvlJc w:val="left"/>
      <w:pPr>
        <w:ind w:left="4119" w:hanging="331"/>
      </w:pPr>
      <w:rPr>
        <w:rFonts w:hint="default"/>
        <w:lang w:val="tr-TR" w:eastAsia="en-US" w:bidi="ar-SA"/>
      </w:rPr>
    </w:lvl>
    <w:lvl w:ilvl="5" w:tplc="EFEA6C32">
      <w:numFmt w:val="bullet"/>
      <w:lvlText w:val="•"/>
      <w:lvlJc w:val="left"/>
      <w:pPr>
        <w:ind w:left="5039" w:hanging="331"/>
      </w:pPr>
      <w:rPr>
        <w:rFonts w:hint="default"/>
        <w:lang w:val="tr-TR" w:eastAsia="en-US" w:bidi="ar-SA"/>
      </w:rPr>
    </w:lvl>
    <w:lvl w:ilvl="6" w:tplc="324E2AE2">
      <w:numFmt w:val="bullet"/>
      <w:lvlText w:val="•"/>
      <w:lvlJc w:val="left"/>
      <w:pPr>
        <w:ind w:left="5958" w:hanging="331"/>
      </w:pPr>
      <w:rPr>
        <w:rFonts w:hint="default"/>
        <w:lang w:val="tr-TR" w:eastAsia="en-US" w:bidi="ar-SA"/>
      </w:rPr>
    </w:lvl>
    <w:lvl w:ilvl="7" w:tplc="9D82FE92">
      <w:numFmt w:val="bullet"/>
      <w:lvlText w:val="•"/>
      <w:lvlJc w:val="left"/>
      <w:pPr>
        <w:ind w:left="6878" w:hanging="331"/>
      </w:pPr>
      <w:rPr>
        <w:rFonts w:hint="default"/>
        <w:lang w:val="tr-TR" w:eastAsia="en-US" w:bidi="ar-SA"/>
      </w:rPr>
    </w:lvl>
    <w:lvl w:ilvl="8" w:tplc="C9F2030C">
      <w:numFmt w:val="bullet"/>
      <w:lvlText w:val="•"/>
      <w:lvlJc w:val="left"/>
      <w:pPr>
        <w:ind w:left="7798" w:hanging="331"/>
      </w:pPr>
      <w:rPr>
        <w:rFonts w:hint="default"/>
        <w:lang w:val="tr-TR" w:eastAsia="en-US" w:bidi="ar-SA"/>
      </w:rPr>
    </w:lvl>
  </w:abstractNum>
  <w:abstractNum w:abstractNumId="78" w15:restartNumberingAfterBreak="0">
    <w:nsid w:val="6959363B"/>
    <w:multiLevelType w:val="multilevel"/>
    <w:tmpl w:val="4D2E5CF4"/>
    <w:lvl w:ilvl="0">
      <w:start w:val="1"/>
      <w:numFmt w:val="bullet"/>
      <w:lvlText w:val="●"/>
      <w:lvlJc w:val="left"/>
      <w:pPr>
        <w:ind w:left="777" w:hanging="360"/>
      </w:pPr>
      <w:rPr>
        <w:rFonts w:ascii="Noto Sans Symbols" w:eastAsia="Noto Sans Symbols" w:hAnsi="Noto Sans Symbols" w:cs="Noto Sans Symbols"/>
      </w:rPr>
    </w:lvl>
    <w:lvl w:ilvl="1">
      <w:start w:val="1"/>
      <w:numFmt w:val="bullet"/>
      <w:lvlText w:val="o"/>
      <w:lvlJc w:val="left"/>
      <w:pPr>
        <w:ind w:left="1497" w:hanging="360"/>
      </w:pPr>
      <w:rPr>
        <w:rFonts w:ascii="Courier New" w:eastAsia="Courier New" w:hAnsi="Courier New" w:cs="Courier New"/>
      </w:rPr>
    </w:lvl>
    <w:lvl w:ilvl="2">
      <w:start w:val="1"/>
      <w:numFmt w:val="bullet"/>
      <w:lvlText w:val="▪"/>
      <w:lvlJc w:val="left"/>
      <w:pPr>
        <w:ind w:left="2217" w:hanging="360"/>
      </w:pPr>
      <w:rPr>
        <w:rFonts w:ascii="Noto Sans Symbols" w:eastAsia="Noto Sans Symbols" w:hAnsi="Noto Sans Symbols" w:cs="Noto Sans Symbols"/>
      </w:rPr>
    </w:lvl>
    <w:lvl w:ilvl="3">
      <w:start w:val="1"/>
      <w:numFmt w:val="bullet"/>
      <w:lvlText w:val="●"/>
      <w:lvlJc w:val="left"/>
      <w:pPr>
        <w:ind w:left="2937" w:hanging="360"/>
      </w:pPr>
      <w:rPr>
        <w:rFonts w:ascii="Noto Sans Symbols" w:eastAsia="Noto Sans Symbols" w:hAnsi="Noto Sans Symbols" w:cs="Noto Sans Symbols"/>
      </w:rPr>
    </w:lvl>
    <w:lvl w:ilvl="4">
      <w:start w:val="1"/>
      <w:numFmt w:val="bullet"/>
      <w:lvlText w:val="o"/>
      <w:lvlJc w:val="left"/>
      <w:pPr>
        <w:ind w:left="3657" w:hanging="360"/>
      </w:pPr>
      <w:rPr>
        <w:rFonts w:ascii="Courier New" w:eastAsia="Courier New" w:hAnsi="Courier New" w:cs="Courier New"/>
      </w:rPr>
    </w:lvl>
    <w:lvl w:ilvl="5">
      <w:start w:val="1"/>
      <w:numFmt w:val="bullet"/>
      <w:lvlText w:val="▪"/>
      <w:lvlJc w:val="left"/>
      <w:pPr>
        <w:ind w:left="4377" w:hanging="360"/>
      </w:pPr>
      <w:rPr>
        <w:rFonts w:ascii="Noto Sans Symbols" w:eastAsia="Noto Sans Symbols" w:hAnsi="Noto Sans Symbols" w:cs="Noto Sans Symbols"/>
      </w:rPr>
    </w:lvl>
    <w:lvl w:ilvl="6">
      <w:start w:val="1"/>
      <w:numFmt w:val="bullet"/>
      <w:lvlText w:val="●"/>
      <w:lvlJc w:val="left"/>
      <w:pPr>
        <w:ind w:left="5097" w:hanging="360"/>
      </w:pPr>
      <w:rPr>
        <w:rFonts w:ascii="Noto Sans Symbols" w:eastAsia="Noto Sans Symbols" w:hAnsi="Noto Sans Symbols" w:cs="Noto Sans Symbols"/>
      </w:rPr>
    </w:lvl>
    <w:lvl w:ilvl="7">
      <w:start w:val="1"/>
      <w:numFmt w:val="bullet"/>
      <w:lvlText w:val="o"/>
      <w:lvlJc w:val="left"/>
      <w:pPr>
        <w:ind w:left="5817" w:hanging="360"/>
      </w:pPr>
      <w:rPr>
        <w:rFonts w:ascii="Courier New" w:eastAsia="Courier New" w:hAnsi="Courier New" w:cs="Courier New"/>
      </w:rPr>
    </w:lvl>
    <w:lvl w:ilvl="8">
      <w:start w:val="1"/>
      <w:numFmt w:val="bullet"/>
      <w:lvlText w:val="▪"/>
      <w:lvlJc w:val="left"/>
      <w:pPr>
        <w:ind w:left="6537" w:hanging="360"/>
      </w:pPr>
      <w:rPr>
        <w:rFonts w:ascii="Noto Sans Symbols" w:eastAsia="Noto Sans Symbols" w:hAnsi="Noto Sans Symbols" w:cs="Noto Sans Symbols"/>
      </w:rPr>
    </w:lvl>
  </w:abstractNum>
  <w:abstractNum w:abstractNumId="79" w15:restartNumberingAfterBreak="0">
    <w:nsid w:val="69AE7870"/>
    <w:multiLevelType w:val="hybridMultilevel"/>
    <w:tmpl w:val="4B3ED7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0" w15:restartNumberingAfterBreak="0">
    <w:nsid w:val="6AFA50B5"/>
    <w:multiLevelType w:val="multilevel"/>
    <w:tmpl w:val="F95A7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B09001D"/>
    <w:multiLevelType w:val="hybridMultilevel"/>
    <w:tmpl w:val="276817D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15:restartNumberingAfterBreak="0">
    <w:nsid w:val="6C5A0120"/>
    <w:multiLevelType w:val="hybridMultilevel"/>
    <w:tmpl w:val="B358D57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3" w15:restartNumberingAfterBreak="0">
    <w:nsid w:val="6C793B23"/>
    <w:multiLevelType w:val="hybridMultilevel"/>
    <w:tmpl w:val="FFA03B9E"/>
    <w:lvl w:ilvl="0" w:tplc="041F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6CC2133D"/>
    <w:multiLevelType w:val="hybridMultilevel"/>
    <w:tmpl w:val="61D8078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5" w15:restartNumberingAfterBreak="0">
    <w:nsid w:val="6DC44364"/>
    <w:multiLevelType w:val="hybridMultilevel"/>
    <w:tmpl w:val="78FCFBE8"/>
    <w:lvl w:ilvl="0" w:tplc="DABAA452">
      <w:start w:val="53"/>
      <w:numFmt w:val="decimal"/>
      <w:lvlText w:val="%1-"/>
      <w:lvlJc w:val="left"/>
      <w:pPr>
        <w:ind w:left="720" w:hanging="360"/>
      </w:pPr>
      <w:rPr>
        <w:rFonts w:eastAsia="Times New Roman"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6" w15:restartNumberingAfterBreak="0">
    <w:nsid w:val="6F1845FF"/>
    <w:multiLevelType w:val="multilevel"/>
    <w:tmpl w:val="377026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87" w15:restartNumberingAfterBreak="0">
    <w:nsid w:val="70203F55"/>
    <w:multiLevelType w:val="hybridMultilevel"/>
    <w:tmpl w:val="E13EB3A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8" w15:restartNumberingAfterBreak="0">
    <w:nsid w:val="71FA557D"/>
    <w:multiLevelType w:val="hybridMultilevel"/>
    <w:tmpl w:val="1B7496F6"/>
    <w:lvl w:ilvl="0" w:tplc="771C0AB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4286365"/>
    <w:multiLevelType w:val="hybridMultilevel"/>
    <w:tmpl w:val="EF7CE8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0" w15:restartNumberingAfterBreak="0">
    <w:nsid w:val="74E425DF"/>
    <w:multiLevelType w:val="hybridMultilevel"/>
    <w:tmpl w:val="3370968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1" w15:restartNumberingAfterBreak="0">
    <w:nsid w:val="757B4DE5"/>
    <w:multiLevelType w:val="hybridMultilevel"/>
    <w:tmpl w:val="A5FC4D94"/>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2" w15:restartNumberingAfterBreak="0">
    <w:nsid w:val="782D2981"/>
    <w:multiLevelType w:val="multilevel"/>
    <w:tmpl w:val="377026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93" w15:restartNumberingAfterBreak="0">
    <w:nsid w:val="78E83FEF"/>
    <w:multiLevelType w:val="hybridMultilevel"/>
    <w:tmpl w:val="E164751A"/>
    <w:lvl w:ilvl="0" w:tplc="0AE4276C">
      <w:numFmt w:val="bullet"/>
      <w:lvlText w:val=""/>
      <w:lvlJc w:val="left"/>
      <w:pPr>
        <w:ind w:left="1169" w:hanging="360"/>
      </w:pPr>
      <w:rPr>
        <w:rFonts w:ascii="Symbol" w:eastAsia="Symbol" w:hAnsi="Symbol" w:cs="Symbol" w:hint="default"/>
        <w:b w:val="0"/>
        <w:bCs w:val="0"/>
        <w:i w:val="0"/>
        <w:iCs w:val="0"/>
        <w:spacing w:val="0"/>
        <w:w w:val="100"/>
        <w:sz w:val="24"/>
        <w:szCs w:val="24"/>
        <w:lang w:val="tr-TR" w:eastAsia="en-US" w:bidi="ar-SA"/>
      </w:rPr>
    </w:lvl>
    <w:lvl w:ilvl="1" w:tplc="E37E016A">
      <w:numFmt w:val="bullet"/>
      <w:lvlText w:val="•"/>
      <w:lvlJc w:val="left"/>
      <w:pPr>
        <w:ind w:left="2007" w:hanging="360"/>
      </w:pPr>
      <w:rPr>
        <w:rFonts w:hint="default"/>
        <w:lang w:val="tr-TR" w:eastAsia="en-US" w:bidi="ar-SA"/>
      </w:rPr>
    </w:lvl>
    <w:lvl w:ilvl="2" w:tplc="9F309C78">
      <w:numFmt w:val="bullet"/>
      <w:lvlText w:val="•"/>
      <w:lvlJc w:val="left"/>
      <w:pPr>
        <w:ind w:left="2855" w:hanging="360"/>
      </w:pPr>
      <w:rPr>
        <w:rFonts w:hint="default"/>
        <w:lang w:val="tr-TR" w:eastAsia="en-US" w:bidi="ar-SA"/>
      </w:rPr>
    </w:lvl>
    <w:lvl w:ilvl="3" w:tplc="2E76E9AC">
      <w:numFmt w:val="bullet"/>
      <w:lvlText w:val="•"/>
      <w:lvlJc w:val="left"/>
      <w:pPr>
        <w:ind w:left="3703" w:hanging="360"/>
      </w:pPr>
      <w:rPr>
        <w:rFonts w:hint="default"/>
        <w:lang w:val="tr-TR" w:eastAsia="en-US" w:bidi="ar-SA"/>
      </w:rPr>
    </w:lvl>
    <w:lvl w:ilvl="4" w:tplc="31A4A5AC">
      <w:numFmt w:val="bullet"/>
      <w:lvlText w:val="•"/>
      <w:lvlJc w:val="left"/>
      <w:pPr>
        <w:ind w:left="4551" w:hanging="360"/>
      </w:pPr>
      <w:rPr>
        <w:rFonts w:hint="default"/>
        <w:lang w:val="tr-TR" w:eastAsia="en-US" w:bidi="ar-SA"/>
      </w:rPr>
    </w:lvl>
    <w:lvl w:ilvl="5" w:tplc="28E2B694">
      <w:numFmt w:val="bullet"/>
      <w:lvlText w:val="•"/>
      <w:lvlJc w:val="left"/>
      <w:pPr>
        <w:ind w:left="5399" w:hanging="360"/>
      </w:pPr>
      <w:rPr>
        <w:rFonts w:hint="default"/>
        <w:lang w:val="tr-TR" w:eastAsia="en-US" w:bidi="ar-SA"/>
      </w:rPr>
    </w:lvl>
    <w:lvl w:ilvl="6" w:tplc="FBD60948">
      <w:numFmt w:val="bullet"/>
      <w:lvlText w:val="•"/>
      <w:lvlJc w:val="left"/>
      <w:pPr>
        <w:ind w:left="6246" w:hanging="360"/>
      </w:pPr>
      <w:rPr>
        <w:rFonts w:hint="default"/>
        <w:lang w:val="tr-TR" w:eastAsia="en-US" w:bidi="ar-SA"/>
      </w:rPr>
    </w:lvl>
    <w:lvl w:ilvl="7" w:tplc="7B528290">
      <w:numFmt w:val="bullet"/>
      <w:lvlText w:val="•"/>
      <w:lvlJc w:val="left"/>
      <w:pPr>
        <w:ind w:left="7094" w:hanging="360"/>
      </w:pPr>
      <w:rPr>
        <w:rFonts w:hint="default"/>
        <w:lang w:val="tr-TR" w:eastAsia="en-US" w:bidi="ar-SA"/>
      </w:rPr>
    </w:lvl>
    <w:lvl w:ilvl="8" w:tplc="58426D82">
      <w:numFmt w:val="bullet"/>
      <w:lvlText w:val="•"/>
      <w:lvlJc w:val="left"/>
      <w:pPr>
        <w:ind w:left="7942" w:hanging="360"/>
      </w:pPr>
      <w:rPr>
        <w:rFonts w:hint="default"/>
        <w:lang w:val="tr-TR" w:eastAsia="en-US" w:bidi="ar-SA"/>
      </w:rPr>
    </w:lvl>
  </w:abstractNum>
  <w:abstractNum w:abstractNumId="94" w15:restartNumberingAfterBreak="0">
    <w:nsid w:val="79463518"/>
    <w:multiLevelType w:val="hybridMultilevel"/>
    <w:tmpl w:val="DABC1C30"/>
    <w:lvl w:ilvl="0" w:tplc="9834B0F2">
      <w:start w:val="53"/>
      <w:numFmt w:val="decimal"/>
      <w:lvlText w:val="%1-"/>
      <w:lvlJc w:val="left"/>
      <w:pPr>
        <w:ind w:left="720" w:hanging="360"/>
      </w:pPr>
      <w:rPr>
        <w:rFonts w:eastAsia="Times New Roman"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79A03CCB"/>
    <w:multiLevelType w:val="hybridMultilevel"/>
    <w:tmpl w:val="066E22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6" w15:restartNumberingAfterBreak="0">
    <w:nsid w:val="7E1010E7"/>
    <w:multiLevelType w:val="multilevel"/>
    <w:tmpl w:val="56043902"/>
    <w:lvl w:ilvl="0">
      <w:start w:val="1"/>
      <w:numFmt w:val="upperRoman"/>
      <w:lvlText w:val="%1"/>
      <w:lvlJc w:val="left"/>
      <w:pPr>
        <w:ind w:left="1384" w:hanging="336"/>
      </w:pPr>
      <w:rPr>
        <w:rFonts w:hint="default"/>
        <w:lang w:val="tr-TR" w:eastAsia="en-US" w:bidi="ar-SA"/>
      </w:rPr>
    </w:lvl>
    <w:lvl w:ilvl="1">
      <w:start w:val="19"/>
      <w:numFmt w:val="upperLetter"/>
      <w:lvlText w:val="%1.%2."/>
      <w:lvlJc w:val="left"/>
      <w:pPr>
        <w:ind w:left="1384" w:hanging="336"/>
      </w:pPr>
      <w:rPr>
        <w:rFonts w:ascii="Times New Roman" w:eastAsia="Times New Roman" w:hAnsi="Times New Roman" w:cs="Times New Roman" w:hint="default"/>
        <w:b w:val="0"/>
        <w:bCs w:val="0"/>
        <w:i w:val="0"/>
        <w:iCs w:val="0"/>
        <w:spacing w:val="0"/>
        <w:w w:val="100"/>
        <w:sz w:val="22"/>
        <w:szCs w:val="22"/>
        <w:lang w:val="tr-TR" w:eastAsia="en-US" w:bidi="ar-SA"/>
      </w:rPr>
    </w:lvl>
    <w:lvl w:ilvl="2">
      <w:start w:val="1"/>
      <w:numFmt w:val="decimal"/>
      <w:lvlText w:val="%1.%2.%3"/>
      <w:lvlJc w:val="left"/>
      <w:pPr>
        <w:ind w:left="1084" w:hanging="456"/>
      </w:pPr>
      <w:rPr>
        <w:rFonts w:ascii="Times New Roman" w:eastAsia="Times New Roman" w:hAnsi="Times New Roman" w:cs="Times New Roman" w:hint="default"/>
        <w:b w:val="0"/>
        <w:bCs w:val="0"/>
        <w:i w:val="0"/>
        <w:iCs w:val="0"/>
        <w:spacing w:val="0"/>
        <w:w w:val="100"/>
        <w:sz w:val="22"/>
        <w:szCs w:val="22"/>
        <w:lang w:val="tr-TR" w:eastAsia="en-US" w:bidi="ar-SA"/>
      </w:rPr>
    </w:lvl>
    <w:lvl w:ilvl="3">
      <w:numFmt w:val="bullet"/>
      <w:lvlText w:val="•"/>
      <w:lvlJc w:val="left"/>
      <w:pPr>
        <w:ind w:left="3215" w:hanging="456"/>
      </w:pPr>
      <w:rPr>
        <w:rFonts w:hint="default"/>
        <w:lang w:val="tr-TR" w:eastAsia="en-US" w:bidi="ar-SA"/>
      </w:rPr>
    </w:lvl>
    <w:lvl w:ilvl="4">
      <w:numFmt w:val="bullet"/>
      <w:lvlText w:val="•"/>
      <w:lvlJc w:val="left"/>
      <w:pPr>
        <w:ind w:left="4132" w:hanging="456"/>
      </w:pPr>
      <w:rPr>
        <w:rFonts w:hint="default"/>
        <w:lang w:val="tr-TR" w:eastAsia="en-US" w:bidi="ar-SA"/>
      </w:rPr>
    </w:lvl>
    <w:lvl w:ilvl="5">
      <w:numFmt w:val="bullet"/>
      <w:lvlText w:val="•"/>
      <w:lvlJc w:val="left"/>
      <w:pPr>
        <w:ind w:left="5050" w:hanging="456"/>
      </w:pPr>
      <w:rPr>
        <w:rFonts w:hint="default"/>
        <w:lang w:val="tr-TR" w:eastAsia="en-US" w:bidi="ar-SA"/>
      </w:rPr>
    </w:lvl>
    <w:lvl w:ilvl="6">
      <w:numFmt w:val="bullet"/>
      <w:lvlText w:val="•"/>
      <w:lvlJc w:val="left"/>
      <w:pPr>
        <w:ind w:left="5967" w:hanging="456"/>
      </w:pPr>
      <w:rPr>
        <w:rFonts w:hint="default"/>
        <w:lang w:val="tr-TR" w:eastAsia="en-US" w:bidi="ar-SA"/>
      </w:rPr>
    </w:lvl>
    <w:lvl w:ilvl="7">
      <w:numFmt w:val="bullet"/>
      <w:lvlText w:val="•"/>
      <w:lvlJc w:val="left"/>
      <w:pPr>
        <w:ind w:left="6885" w:hanging="456"/>
      </w:pPr>
      <w:rPr>
        <w:rFonts w:hint="default"/>
        <w:lang w:val="tr-TR" w:eastAsia="en-US" w:bidi="ar-SA"/>
      </w:rPr>
    </w:lvl>
    <w:lvl w:ilvl="8">
      <w:numFmt w:val="bullet"/>
      <w:lvlText w:val="•"/>
      <w:lvlJc w:val="left"/>
      <w:pPr>
        <w:ind w:left="7802" w:hanging="456"/>
      </w:pPr>
      <w:rPr>
        <w:rFonts w:hint="default"/>
        <w:lang w:val="tr-TR" w:eastAsia="en-US" w:bidi="ar-SA"/>
      </w:rPr>
    </w:lvl>
  </w:abstractNum>
  <w:num w:numId="1" w16cid:durableId="1273172468">
    <w:abstractNumId w:val="30"/>
  </w:num>
  <w:num w:numId="2" w16cid:durableId="2128115967">
    <w:abstractNumId w:val="43"/>
  </w:num>
  <w:num w:numId="3" w16cid:durableId="1253468734">
    <w:abstractNumId w:val="78"/>
  </w:num>
  <w:num w:numId="4" w16cid:durableId="2058235005">
    <w:abstractNumId w:val="38"/>
  </w:num>
  <w:num w:numId="5" w16cid:durableId="1168011257">
    <w:abstractNumId w:val="39"/>
  </w:num>
  <w:num w:numId="6" w16cid:durableId="2115587484">
    <w:abstractNumId w:val="28"/>
  </w:num>
  <w:num w:numId="7" w16cid:durableId="1425103015">
    <w:abstractNumId w:val="59"/>
  </w:num>
  <w:num w:numId="8" w16cid:durableId="94205794">
    <w:abstractNumId w:val="33"/>
  </w:num>
  <w:num w:numId="9" w16cid:durableId="1003434737">
    <w:abstractNumId w:val="17"/>
  </w:num>
  <w:num w:numId="10" w16cid:durableId="787090628">
    <w:abstractNumId w:val="21"/>
  </w:num>
  <w:num w:numId="11" w16cid:durableId="482966932">
    <w:abstractNumId w:val="65"/>
  </w:num>
  <w:num w:numId="12" w16cid:durableId="864757283">
    <w:abstractNumId w:val="55"/>
  </w:num>
  <w:num w:numId="13" w16cid:durableId="306403052">
    <w:abstractNumId w:val="48"/>
  </w:num>
  <w:num w:numId="14" w16cid:durableId="840705008">
    <w:abstractNumId w:val="76"/>
  </w:num>
  <w:num w:numId="15" w16cid:durableId="1253853776">
    <w:abstractNumId w:val="54"/>
  </w:num>
  <w:num w:numId="16" w16cid:durableId="669255217">
    <w:abstractNumId w:val="14"/>
  </w:num>
  <w:num w:numId="17" w16cid:durableId="1703895149">
    <w:abstractNumId w:val="1"/>
  </w:num>
  <w:num w:numId="18" w16cid:durableId="642470126">
    <w:abstractNumId w:val="0"/>
  </w:num>
  <w:num w:numId="19" w16cid:durableId="904140764">
    <w:abstractNumId w:val="53"/>
  </w:num>
  <w:num w:numId="20" w16cid:durableId="461576472">
    <w:abstractNumId w:val="51"/>
  </w:num>
  <w:num w:numId="21" w16cid:durableId="1961374757">
    <w:abstractNumId w:val="57"/>
  </w:num>
  <w:num w:numId="22" w16cid:durableId="1075585592">
    <w:abstractNumId w:val="62"/>
  </w:num>
  <w:num w:numId="23" w16cid:durableId="628702895">
    <w:abstractNumId w:val="16"/>
  </w:num>
  <w:num w:numId="24" w16cid:durableId="524289331">
    <w:abstractNumId w:val="40"/>
  </w:num>
  <w:num w:numId="25" w16cid:durableId="1356469090">
    <w:abstractNumId w:val="56"/>
  </w:num>
  <w:num w:numId="26" w16cid:durableId="670914475">
    <w:abstractNumId w:val="37"/>
  </w:num>
  <w:num w:numId="27" w16cid:durableId="1173840209">
    <w:abstractNumId w:val="69"/>
  </w:num>
  <w:num w:numId="28" w16cid:durableId="970669964">
    <w:abstractNumId w:val="93"/>
  </w:num>
  <w:num w:numId="29" w16cid:durableId="344526574">
    <w:abstractNumId w:val="96"/>
  </w:num>
  <w:num w:numId="30" w16cid:durableId="1133214842">
    <w:abstractNumId w:val="77"/>
  </w:num>
  <w:num w:numId="31" w16cid:durableId="1087766708">
    <w:abstractNumId w:val="20"/>
  </w:num>
  <w:num w:numId="32" w16cid:durableId="25496203">
    <w:abstractNumId w:val="32"/>
  </w:num>
  <w:num w:numId="33" w16cid:durableId="942109202">
    <w:abstractNumId w:val="19"/>
  </w:num>
  <w:num w:numId="34" w16cid:durableId="1311521528">
    <w:abstractNumId w:val="24"/>
  </w:num>
  <w:num w:numId="35" w16cid:durableId="1602566644">
    <w:abstractNumId w:val="72"/>
  </w:num>
  <w:num w:numId="36" w16cid:durableId="2030791098">
    <w:abstractNumId w:val="70"/>
  </w:num>
  <w:num w:numId="37" w16cid:durableId="1779568901">
    <w:abstractNumId w:val="15"/>
  </w:num>
  <w:num w:numId="38" w16cid:durableId="981155873">
    <w:abstractNumId w:val="84"/>
  </w:num>
  <w:num w:numId="39" w16cid:durableId="1156410652">
    <w:abstractNumId w:val="9"/>
  </w:num>
  <w:num w:numId="40" w16cid:durableId="1754933500">
    <w:abstractNumId w:val="95"/>
  </w:num>
  <w:num w:numId="41" w16cid:durableId="584456117">
    <w:abstractNumId w:val="42"/>
  </w:num>
  <w:num w:numId="42" w16cid:durableId="301084681">
    <w:abstractNumId w:val="8"/>
  </w:num>
  <w:num w:numId="43" w16cid:durableId="1639073431">
    <w:abstractNumId w:val="41"/>
  </w:num>
  <w:num w:numId="44" w16cid:durableId="305281800">
    <w:abstractNumId w:val="89"/>
  </w:num>
  <w:num w:numId="45" w16cid:durableId="241183413">
    <w:abstractNumId w:val="22"/>
  </w:num>
  <w:num w:numId="46" w16cid:durableId="293752862">
    <w:abstractNumId w:val="74"/>
  </w:num>
  <w:num w:numId="47" w16cid:durableId="176387926">
    <w:abstractNumId w:val="90"/>
  </w:num>
  <w:num w:numId="48" w16cid:durableId="104352570">
    <w:abstractNumId w:val="35"/>
  </w:num>
  <w:num w:numId="49" w16cid:durableId="428934559">
    <w:abstractNumId w:val="45"/>
  </w:num>
  <w:num w:numId="50" w16cid:durableId="775715740">
    <w:abstractNumId w:val="87"/>
  </w:num>
  <w:num w:numId="51" w16cid:durableId="1197893676">
    <w:abstractNumId w:val="18"/>
  </w:num>
  <w:num w:numId="52" w16cid:durableId="961495313">
    <w:abstractNumId w:val="60"/>
  </w:num>
  <w:num w:numId="53" w16cid:durableId="377360392">
    <w:abstractNumId w:val="44"/>
  </w:num>
  <w:num w:numId="54" w16cid:durableId="1801919414">
    <w:abstractNumId w:val="49"/>
  </w:num>
  <w:num w:numId="55" w16cid:durableId="1303343159">
    <w:abstractNumId w:val="26"/>
  </w:num>
  <w:num w:numId="56" w16cid:durableId="53242198">
    <w:abstractNumId w:val="73"/>
  </w:num>
  <w:num w:numId="57" w16cid:durableId="199712748">
    <w:abstractNumId w:val="31"/>
  </w:num>
  <w:num w:numId="58" w16cid:durableId="1045909793">
    <w:abstractNumId w:val="36"/>
  </w:num>
  <w:num w:numId="59" w16cid:durableId="2103064428">
    <w:abstractNumId w:val="79"/>
  </w:num>
  <w:num w:numId="60" w16cid:durableId="1433941098">
    <w:abstractNumId w:val="7"/>
  </w:num>
  <w:num w:numId="61" w16cid:durableId="67113871">
    <w:abstractNumId w:val="2"/>
  </w:num>
  <w:num w:numId="62" w16cid:durableId="456988269">
    <w:abstractNumId w:val="6"/>
  </w:num>
  <w:num w:numId="63" w16cid:durableId="286084060">
    <w:abstractNumId w:val="11"/>
  </w:num>
  <w:num w:numId="64" w16cid:durableId="1448813012">
    <w:abstractNumId w:val="3"/>
  </w:num>
  <w:num w:numId="65" w16cid:durableId="676616859">
    <w:abstractNumId w:val="47"/>
  </w:num>
  <w:num w:numId="66" w16cid:durableId="309095276">
    <w:abstractNumId w:val="52"/>
  </w:num>
  <w:num w:numId="67" w16cid:durableId="835339688">
    <w:abstractNumId w:val="10"/>
  </w:num>
  <w:num w:numId="68" w16cid:durableId="183981200">
    <w:abstractNumId w:val="81"/>
  </w:num>
  <w:num w:numId="69" w16cid:durableId="2123498808">
    <w:abstractNumId w:val="66"/>
  </w:num>
  <w:num w:numId="70" w16cid:durableId="497235975">
    <w:abstractNumId w:val="80"/>
  </w:num>
  <w:num w:numId="71" w16cid:durableId="1462071505">
    <w:abstractNumId w:val="88"/>
  </w:num>
  <w:num w:numId="72" w16cid:durableId="150101579">
    <w:abstractNumId w:val="68"/>
  </w:num>
  <w:num w:numId="73" w16cid:durableId="2043286432">
    <w:abstractNumId w:val="91"/>
  </w:num>
  <w:num w:numId="74" w16cid:durableId="705105260">
    <w:abstractNumId w:val="34"/>
  </w:num>
  <w:num w:numId="75" w16cid:durableId="88546591">
    <w:abstractNumId w:val="85"/>
  </w:num>
  <w:num w:numId="76" w16cid:durableId="1488588271">
    <w:abstractNumId w:val="94"/>
  </w:num>
  <w:num w:numId="77" w16cid:durableId="528299227">
    <w:abstractNumId w:val="61"/>
  </w:num>
  <w:num w:numId="78" w16cid:durableId="1633170336">
    <w:abstractNumId w:val="25"/>
  </w:num>
  <w:num w:numId="79" w16cid:durableId="491877024">
    <w:abstractNumId w:val="23"/>
  </w:num>
  <w:num w:numId="80" w16cid:durableId="913467615">
    <w:abstractNumId w:val="86"/>
  </w:num>
  <w:num w:numId="81" w16cid:durableId="1500927815">
    <w:abstractNumId w:val="92"/>
  </w:num>
  <w:num w:numId="82" w16cid:durableId="1371495973">
    <w:abstractNumId w:val="4"/>
  </w:num>
  <w:num w:numId="83" w16cid:durableId="1217662826">
    <w:abstractNumId w:val="13"/>
  </w:num>
  <w:num w:numId="84" w16cid:durableId="1738285213">
    <w:abstractNumId w:val="58"/>
  </w:num>
  <w:num w:numId="85" w16cid:durableId="1685815169">
    <w:abstractNumId w:val="46"/>
  </w:num>
  <w:num w:numId="86" w16cid:durableId="1956792728">
    <w:abstractNumId w:val="83"/>
  </w:num>
  <w:num w:numId="87" w16cid:durableId="1870408544">
    <w:abstractNumId w:val="27"/>
  </w:num>
  <w:num w:numId="88" w16cid:durableId="1696735062">
    <w:abstractNumId w:val="64"/>
  </w:num>
  <w:num w:numId="89" w16cid:durableId="261378591">
    <w:abstractNumId w:val="67"/>
  </w:num>
  <w:num w:numId="90" w16cid:durableId="1047996926">
    <w:abstractNumId w:val="63"/>
  </w:num>
  <w:num w:numId="91" w16cid:durableId="228620008">
    <w:abstractNumId w:val="71"/>
  </w:num>
  <w:num w:numId="92" w16cid:durableId="903638400">
    <w:abstractNumId w:val="5"/>
  </w:num>
  <w:num w:numId="93" w16cid:durableId="1630744525">
    <w:abstractNumId w:val="50"/>
  </w:num>
  <w:num w:numId="94" w16cid:durableId="1131485796">
    <w:abstractNumId w:val="29"/>
  </w:num>
  <w:num w:numId="95" w16cid:durableId="1333333957">
    <w:abstractNumId w:val="12"/>
  </w:num>
  <w:num w:numId="96" w16cid:durableId="1030107722">
    <w:abstractNumId w:val="75"/>
  </w:num>
  <w:num w:numId="97" w16cid:durableId="1872181771">
    <w:abstractNumId w:val="8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4AD5"/>
    <w:rsid w:val="00021193"/>
    <w:rsid w:val="000419BF"/>
    <w:rsid w:val="00050B62"/>
    <w:rsid w:val="00060126"/>
    <w:rsid w:val="0006358D"/>
    <w:rsid w:val="00064784"/>
    <w:rsid w:val="00071A18"/>
    <w:rsid w:val="0007275E"/>
    <w:rsid w:val="0007621B"/>
    <w:rsid w:val="00076505"/>
    <w:rsid w:val="0009245C"/>
    <w:rsid w:val="00093A8B"/>
    <w:rsid w:val="000958A4"/>
    <w:rsid w:val="000A70F0"/>
    <w:rsid w:val="000B48CF"/>
    <w:rsid w:val="000C0EBC"/>
    <w:rsid w:val="000C1F20"/>
    <w:rsid w:val="000C29DD"/>
    <w:rsid w:val="000C48D5"/>
    <w:rsid w:val="000C6508"/>
    <w:rsid w:val="000E3987"/>
    <w:rsid w:val="000F5295"/>
    <w:rsid w:val="00114C6B"/>
    <w:rsid w:val="00163BE1"/>
    <w:rsid w:val="00164C0C"/>
    <w:rsid w:val="0017453B"/>
    <w:rsid w:val="00194237"/>
    <w:rsid w:val="001B253C"/>
    <w:rsid w:val="001C57E6"/>
    <w:rsid w:val="001D1B97"/>
    <w:rsid w:val="001E0C69"/>
    <w:rsid w:val="001E7189"/>
    <w:rsid w:val="00204DBD"/>
    <w:rsid w:val="002065DC"/>
    <w:rsid w:val="00223127"/>
    <w:rsid w:val="00242A42"/>
    <w:rsid w:val="00254C59"/>
    <w:rsid w:val="002604BA"/>
    <w:rsid w:val="00280CB2"/>
    <w:rsid w:val="00295C04"/>
    <w:rsid w:val="002B6256"/>
    <w:rsid w:val="002C043E"/>
    <w:rsid w:val="002C0B22"/>
    <w:rsid w:val="002C3918"/>
    <w:rsid w:val="002D4EE5"/>
    <w:rsid w:val="002E69C5"/>
    <w:rsid w:val="00312740"/>
    <w:rsid w:val="00316176"/>
    <w:rsid w:val="00317ECC"/>
    <w:rsid w:val="00322CF9"/>
    <w:rsid w:val="00342070"/>
    <w:rsid w:val="0034640B"/>
    <w:rsid w:val="00361832"/>
    <w:rsid w:val="00370A92"/>
    <w:rsid w:val="003739E1"/>
    <w:rsid w:val="00376EA2"/>
    <w:rsid w:val="0038321B"/>
    <w:rsid w:val="003854BE"/>
    <w:rsid w:val="003B45CB"/>
    <w:rsid w:val="003B6CAE"/>
    <w:rsid w:val="003B72F6"/>
    <w:rsid w:val="003C19B5"/>
    <w:rsid w:val="003E3BD3"/>
    <w:rsid w:val="003F1A7F"/>
    <w:rsid w:val="003F6E83"/>
    <w:rsid w:val="00402013"/>
    <w:rsid w:val="00406F08"/>
    <w:rsid w:val="004751E9"/>
    <w:rsid w:val="00487EF1"/>
    <w:rsid w:val="0049065C"/>
    <w:rsid w:val="00492B8B"/>
    <w:rsid w:val="004A11C7"/>
    <w:rsid w:val="004A1BC9"/>
    <w:rsid w:val="004A3256"/>
    <w:rsid w:val="004B4DCC"/>
    <w:rsid w:val="004C7694"/>
    <w:rsid w:val="004D5415"/>
    <w:rsid w:val="004E3F6C"/>
    <w:rsid w:val="004E6548"/>
    <w:rsid w:val="004F3C98"/>
    <w:rsid w:val="004F43B0"/>
    <w:rsid w:val="004F4E7D"/>
    <w:rsid w:val="004F7FBC"/>
    <w:rsid w:val="00515278"/>
    <w:rsid w:val="00515B6D"/>
    <w:rsid w:val="005325CB"/>
    <w:rsid w:val="00544972"/>
    <w:rsid w:val="005500AB"/>
    <w:rsid w:val="0056278D"/>
    <w:rsid w:val="0056444A"/>
    <w:rsid w:val="005878EB"/>
    <w:rsid w:val="00587C60"/>
    <w:rsid w:val="00594FF5"/>
    <w:rsid w:val="005A2FAE"/>
    <w:rsid w:val="005A58C7"/>
    <w:rsid w:val="005B2D85"/>
    <w:rsid w:val="005B70D7"/>
    <w:rsid w:val="005D32C9"/>
    <w:rsid w:val="005E11F5"/>
    <w:rsid w:val="00602017"/>
    <w:rsid w:val="00603F50"/>
    <w:rsid w:val="00626F42"/>
    <w:rsid w:val="0064456F"/>
    <w:rsid w:val="00661282"/>
    <w:rsid w:val="00667F16"/>
    <w:rsid w:val="00670537"/>
    <w:rsid w:val="006705E6"/>
    <w:rsid w:val="006719DD"/>
    <w:rsid w:val="006779B4"/>
    <w:rsid w:val="00685D40"/>
    <w:rsid w:val="006871AB"/>
    <w:rsid w:val="00697C5A"/>
    <w:rsid w:val="006B06EA"/>
    <w:rsid w:val="006B3587"/>
    <w:rsid w:val="006B4016"/>
    <w:rsid w:val="006C1169"/>
    <w:rsid w:val="006C1B2B"/>
    <w:rsid w:val="006C7219"/>
    <w:rsid w:val="006E02CC"/>
    <w:rsid w:val="006F4417"/>
    <w:rsid w:val="006F6B4B"/>
    <w:rsid w:val="00714BC1"/>
    <w:rsid w:val="00720988"/>
    <w:rsid w:val="0072162F"/>
    <w:rsid w:val="00722EAC"/>
    <w:rsid w:val="0072413D"/>
    <w:rsid w:val="0072472F"/>
    <w:rsid w:val="00734B49"/>
    <w:rsid w:val="007513A1"/>
    <w:rsid w:val="00753D89"/>
    <w:rsid w:val="00774129"/>
    <w:rsid w:val="007879EE"/>
    <w:rsid w:val="00791DCE"/>
    <w:rsid w:val="00796281"/>
    <w:rsid w:val="00796532"/>
    <w:rsid w:val="0079785E"/>
    <w:rsid w:val="007A4336"/>
    <w:rsid w:val="007A647E"/>
    <w:rsid w:val="007B234B"/>
    <w:rsid w:val="007E702F"/>
    <w:rsid w:val="007F2361"/>
    <w:rsid w:val="008003D6"/>
    <w:rsid w:val="00800DA9"/>
    <w:rsid w:val="00820B67"/>
    <w:rsid w:val="00826011"/>
    <w:rsid w:val="0083207F"/>
    <w:rsid w:val="00837713"/>
    <w:rsid w:val="008407A9"/>
    <w:rsid w:val="0089759E"/>
    <w:rsid w:val="008A2109"/>
    <w:rsid w:val="008A662B"/>
    <w:rsid w:val="008B5439"/>
    <w:rsid w:val="008C2C53"/>
    <w:rsid w:val="008C7139"/>
    <w:rsid w:val="008F0C7E"/>
    <w:rsid w:val="008F3205"/>
    <w:rsid w:val="008F7191"/>
    <w:rsid w:val="00905F93"/>
    <w:rsid w:val="00914DCC"/>
    <w:rsid w:val="00930C82"/>
    <w:rsid w:val="00953FFD"/>
    <w:rsid w:val="00963624"/>
    <w:rsid w:val="00965C29"/>
    <w:rsid w:val="00970A8B"/>
    <w:rsid w:val="00980283"/>
    <w:rsid w:val="009857B7"/>
    <w:rsid w:val="00990958"/>
    <w:rsid w:val="009946D0"/>
    <w:rsid w:val="009C1D8C"/>
    <w:rsid w:val="009C2F96"/>
    <w:rsid w:val="009D0899"/>
    <w:rsid w:val="009E2592"/>
    <w:rsid w:val="009F0AE3"/>
    <w:rsid w:val="00A006C2"/>
    <w:rsid w:val="00A151C1"/>
    <w:rsid w:val="00A23B3C"/>
    <w:rsid w:val="00A31AD3"/>
    <w:rsid w:val="00A32303"/>
    <w:rsid w:val="00A4535A"/>
    <w:rsid w:val="00A47EF5"/>
    <w:rsid w:val="00A7613A"/>
    <w:rsid w:val="00A77B2B"/>
    <w:rsid w:val="00A870DC"/>
    <w:rsid w:val="00A8748A"/>
    <w:rsid w:val="00A9779C"/>
    <w:rsid w:val="00AA0519"/>
    <w:rsid w:val="00AB354E"/>
    <w:rsid w:val="00AB7514"/>
    <w:rsid w:val="00AC04EA"/>
    <w:rsid w:val="00AC051C"/>
    <w:rsid w:val="00AC0833"/>
    <w:rsid w:val="00AE7F02"/>
    <w:rsid w:val="00AF3C45"/>
    <w:rsid w:val="00AF40EA"/>
    <w:rsid w:val="00B02A68"/>
    <w:rsid w:val="00B1089D"/>
    <w:rsid w:val="00B12F69"/>
    <w:rsid w:val="00B24CA3"/>
    <w:rsid w:val="00B40B96"/>
    <w:rsid w:val="00B4361D"/>
    <w:rsid w:val="00B470AD"/>
    <w:rsid w:val="00B54E80"/>
    <w:rsid w:val="00B60813"/>
    <w:rsid w:val="00B622AD"/>
    <w:rsid w:val="00B74176"/>
    <w:rsid w:val="00B80551"/>
    <w:rsid w:val="00B828C4"/>
    <w:rsid w:val="00B82E3C"/>
    <w:rsid w:val="00B843D7"/>
    <w:rsid w:val="00B8756D"/>
    <w:rsid w:val="00B91022"/>
    <w:rsid w:val="00B9252F"/>
    <w:rsid w:val="00B96A5B"/>
    <w:rsid w:val="00BA2E12"/>
    <w:rsid w:val="00BA67A6"/>
    <w:rsid w:val="00BB18D2"/>
    <w:rsid w:val="00BC7A8B"/>
    <w:rsid w:val="00BF3875"/>
    <w:rsid w:val="00C062C3"/>
    <w:rsid w:val="00C1011D"/>
    <w:rsid w:val="00C1314D"/>
    <w:rsid w:val="00C21580"/>
    <w:rsid w:val="00C51582"/>
    <w:rsid w:val="00C64893"/>
    <w:rsid w:val="00C70E93"/>
    <w:rsid w:val="00C87971"/>
    <w:rsid w:val="00C92E73"/>
    <w:rsid w:val="00CA0D00"/>
    <w:rsid w:val="00CA2847"/>
    <w:rsid w:val="00CB49CC"/>
    <w:rsid w:val="00CC200D"/>
    <w:rsid w:val="00CC423C"/>
    <w:rsid w:val="00CC7ED4"/>
    <w:rsid w:val="00CD75FE"/>
    <w:rsid w:val="00D13217"/>
    <w:rsid w:val="00D202F4"/>
    <w:rsid w:val="00D23761"/>
    <w:rsid w:val="00D3539D"/>
    <w:rsid w:val="00D37D80"/>
    <w:rsid w:val="00D42316"/>
    <w:rsid w:val="00D478AF"/>
    <w:rsid w:val="00D47EF1"/>
    <w:rsid w:val="00D5204A"/>
    <w:rsid w:val="00D87549"/>
    <w:rsid w:val="00D901E8"/>
    <w:rsid w:val="00DA3117"/>
    <w:rsid w:val="00DA5A57"/>
    <w:rsid w:val="00DA5A86"/>
    <w:rsid w:val="00DD1B6D"/>
    <w:rsid w:val="00DE2637"/>
    <w:rsid w:val="00DE3ECB"/>
    <w:rsid w:val="00E2099F"/>
    <w:rsid w:val="00E25BB1"/>
    <w:rsid w:val="00E3302B"/>
    <w:rsid w:val="00E359E0"/>
    <w:rsid w:val="00E36542"/>
    <w:rsid w:val="00E365C5"/>
    <w:rsid w:val="00E4058A"/>
    <w:rsid w:val="00E46499"/>
    <w:rsid w:val="00E74ED3"/>
    <w:rsid w:val="00E80666"/>
    <w:rsid w:val="00E86AA5"/>
    <w:rsid w:val="00E96195"/>
    <w:rsid w:val="00EA4071"/>
    <w:rsid w:val="00EB5D43"/>
    <w:rsid w:val="00ED2905"/>
    <w:rsid w:val="00EE3EEF"/>
    <w:rsid w:val="00F173AD"/>
    <w:rsid w:val="00F369FB"/>
    <w:rsid w:val="00F36DB9"/>
    <w:rsid w:val="00F84AD5"/>
    <w:rsid w:val="00F9732A"/>
    <w:rsid w:val="00F977D7"/>
    <w:rsid w:val="00FA457D"/>
    <w:rsid w:val="00FB6101"/>
    <w:rsid w:val="00FC3F21"/>
    <w:rsid w:val="00FC4D53"/>
    <w:rsid w:val="00FD0380"/>
    <w:rsid w:val="00FD6F22"/>
    <w:rsid w:val="00FE0D23"/>
    <w:rsid w:val="00FF3CD1"/>
    <w:rsid w:val="00FF43F3"/>
    <w:rsid w:val="00FF4BC0"/>
    <w:rsid w:val="040E09B1"/>
    <w:rsid w:val="31496DEE"/>
    <w:rsid w:val="4EAB6EE6"/>
    <w:rsid w:val="61EF885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3BCB4A"/>
  <w15:docId w15:val="{FA1D4263-98EF-4659-9C66-37910C0D1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tr-TR" w:eastAsia="tr-T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7D29"/>
    <w:pPr>
      <w:autoSpaceDE w:val="0"/>
      <w:autoSpaceDN w:val="0"/>
    </w:pPr>
  </w:style>
  <w:style w:type="paragraph" w:styleId="Balk1">
    <w:name w:val="heading 1"/>
    <w:aliases w:val="1. Düzey Alt Başlık"/>
    <w:basedOn w:val="Normal"/>
    <w:next w:val="Normal"/>
    <w:link w:val="Balk1Char"/>
    <w:uiPriority w:val="9"/>
    <w:qFormat/>
    <w:rsid w:val="00193ED3"/>
    <w:pPr>
      <w:keepNext/>
      <w:keepLines/>
      <w:widowControl/>
      <w:autoSpaceDE/>
      <w:autoSpaceDN/>
      <w:spacing w:before="120" w:after="120"/>
      <w:jc w:val="center"/>
      <w:outlineLvl w:val="0"/>
    </w:pPr>
    <w:rPr>
      <w:rFonts w:eastAsiaTheme="majorEastAsia" w:cstheme="majorBidi"/>
      <w:szCs w:val="40"/>
    </w:rPr>
  </w:style>
  <w:style w:type="paragraph" w:styleId="Balk2">
    <w:name w:val="heading 2"/>
    <w:basedOn w:val="Normal"/>
    <w:next w:val="Normal"/>
    <w:link w:val="Balk2Char"/>
    <w:unhideWhenUsed/>
    <w:qFormat/>
    <w:rsid w:val="009C7FA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aliases w:val="2. Düzey Alt Başlık"/>
    <w:basedOn w:val="Normal"/>
    <w:next w:val="Normal"/>
    <w:link w:val="Balk3Char"/>
    <w:uiPriority w:val="9"/>
    <w:unhideWhenUsed/>
    <w:qFormat/>
    <w:rsid w:val="009C7FAC"/>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Balk4">
    <w:name w:val="heading 4"/>
    <w:aliases w:val="3. Düzey Alt Başlık"/>
    <w:basedOn w:val="Normal"/>
    <w:next w:val="Normal"/>
    <w:link w:val="Balk4Char"/>
    <w:uiPriority w:val="9"/>
    <w:unhideWhenUsed/>
    <w:qFormat/>
    <w:rsid w:val="009C7FA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Balk5">
    <w:name w:val="heading 5"/>
    <w:aliases w:val="Alt Problem"/>
    <w:basedOn w:val="Normal"/>
    <w:next w:val="Normal"/>
    <w:link w:val="Balk5Char"/>
    <w:uiPriority w:val="9"/>
    <w:unhideWhenUsed/>
    <w:qFormat/>
    <w:rsid w:val="009C7FAC"/>
    <w:pPr>
      <w:keepNext/>
      <w:keepLines/>
      <w:spacing w:before="80" w:after="40"/>
      <w:outlineLvl w:val="4"/>
    </w:pPr>
    <w:rPr>
      <w:rFonts w:asciiTheme="minorHAnsi" w:eastAsiaTheme="majorEastAsia" w:hAnsiTheme="minorHAnsi" w:cstheme="majorBidi"/>
      <w:color w:val="0F4761" w:themeColor="accent1" w:themeShade="BF"/>
    </w:rPr>
  </w:style>
  <w:style w:type="paragraph" w:styleId="Balk6">
    <w:name w:val="heading 6"/>
    <w:aliases w:val="Maddelendirme"/>
    <w:basedOn w:val="Normal"/>
    <w:next w:val="Normal"/>
    <w:link w:val="Balk6Char"/>
    <w:uiPriority w:val="9"/>
    <w:unhideWhenUsed/>
    <w:qFormat/>
    <w:rsid w:val="009C7FAC"/>
    <w:pPr>
      <w:keepNext/>
      <w:keepLines/>
      <w:spacing w:before="40"/>
      <w:outlineLvl w:val="5"/>
    </w:pPr>
    <w:rPr>
      <w:rFonts w:asciiTheme="minorHAnsi" w:eastAsiaTheme="majorEastAsia" w:hAnsiTheme="minorHAnsi" w:cstheme="majorBidi"/>
      <w:i/>
      <w:iCs/>
      <w:color w:val="595959" w:themeColor="text1" w:themeTint="A6"/>
    </w:rPr>
  </w:style>
  <w:style w:type="paragraph" w:styleId="Balk7">
    <w:name w:val="heading 7"/>
    <w:basedOn w:val="Normal"/>
    <w:next w:val="Normal"/>
    <w:link w:val="Balk7Char"/>
    <w:uiPriority w:val="9"/>
    <w:semiHidden/>
    <w:unhideWhenUsed/>
    <w:qFormat/>
    <w:rsid w:val="009C7FAC"/>
    <w:pPr>
      <w:keepNext/>
      <w:keepLines/>
      <w:spacing w:before="40"/>
      <w:outlineLvl w:val="6"/>
    </w:pPr>
    <w:rPr>
      <w:rFonts w:asciiTheme="minorHAnsi" w:eastAsiaTheme="majorEastAsia" w:hAnsiTheme="minorHAnsi" w:cstheme="majorBidi"/>
      <w:color w:val="595959" w:themeColor="text1" w:themeTint="A6"/>
    </w:rPr>
  </w:style>
  <w:style w:type="paragraph" w:styleId="Balk8">
    <w:name w:val="heading 8"/>
    <w:basedOn w:val="Normal"/>
    <w:next w:val="Normal"/>
    <w:link w:val="Balk8Char"/>
    <w:uiPriority w:val="9"/>
    <w:semiHidden/>
    <w:unhideWhenUsed/>
    <w:qFormat/>
    <w:rsid w:val="009C7FAC"/>
    <w:pPr>
      <w:keepNext/>
      <w:keepLines/>
      <w:outlineLvl w:val="7"/>
    </w:pPr>
    <w:rPr>
      <w:rFonts w:asciiTheme="minorHAnsi" w:eastAsiaTheme="majorEastAsia" w:hAnsiTheme="minorHAnsi" w:cstheme="majorBidi"/>
      <w:i/>
      <w:iCs/>
      <w:color w:val="272727" w:themeColor="text1" w:themeTint="D8"/>
    </w:rPr>
  </w:style>
  <w:style w:type="paragraph" w:styleId="Balk9">
    <w:name w:val="heading 9"/>
    <w:basedOn w:val="Normal"/>
    <w:next w:val="Normal"/>
    <w:link w:val="Balk9Char"/>
    <w:uiPriority w:val="9"/>
    <w:semiHidden/>
    <w:unhideWhenUsed/>
    <w:qFormat/>
    <w:rsid w:val="009C7FAC"/>
    <w:pPr>
      <w:keepNext/>
      <w:keepLines/>
      <w:outlineLvl w:val="8"/>
    </w:pPr>
    <w:rPr>
      <w:rFonts w:asciiTheme="minorHAnsi" w:eastAsiaTheme="majorEastAsia" w:hAnsiTheme="minorHAnsi"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sonormal0">
    <w:name w:val="msonormal"/>
    <w:basedOn w:val="Normal"/>
    <w:rsid w:val="00B1089D"/>
    <w:pPr>
      <w:widowControl/>
      <w:autoSpaceDE/>
      <w:autoSpaceDN/>
      <w:spacing w:before="100" w:beforeAutospacing="1" w:after="100" w:afterAutospacing="1"/>
    </w:pPr>
  </w:style>
  <w:style w:type="paragraph" w:styleId="KonuBal">
    <w:name w:val="Title"/>
    <w:aliases w:val="Şekil adı"/>
    <w:basedOn w:val="Normal"/>
    <w:next w:val="Normal"/>
    <w:link w:val="KonuBalChar"/>
    <w:qFormat/>
    <w:rsid w:val="009C7FAC"/>
    <w:pPr>
      <w:spacing w:after="80"/>
      <w:contextualSpacing/>
    </w:pPr>
    <w:rPr>
      <w:rFonts w:asciiTheme="majorHAnsi" w:eastAsiaTheme="majorEastAsia" w:hAnsiTheme="majorHAnsi" w:cstheme="majorBidi"/>
      <w:spacing w:val="-10"/>
      <w:kern w:val="28"/>
      <w:sz w:val="56"/>
      <w:szCs w:val="56"/>
    </w:rPr>
  </w:style>
  <w:style w:type="character" w:customStyle="1" w:styleId="Balk1Char">
    <w:name w:val="Başlık 1 Char"/>
    <w:aliases w:val="1. Düzey Alt Başlık Char"/>
    <w:basedOn w:val="VarsaylanParagrafYazTipi"/>
    <w:link w:val="Balk1"/>
    <w:uiPriority w:val="9"/>
    <w:rsid w:val="00193ED3"/>
    <w:rPr>
      <w:rFonts w:eastAsiaTheme="majorEastAsia" w:cstheme="majorBidi"/>
      <w:szCs w:val="40"/>
    </w:rPr>
  </w:style>
  <w:style w:type="character" w:customStyle="1" w:styleId="Balk2Char">
    <w:name w:val="Başlık 2 Char"/>
    <w:basedOn w:val="VarsaylanParagrafYazTipi"/>
    <w:link w:val="Balk2"/>
    <w:rsid w:val="009C7FAC"/>
    <w:rPr>
      <w:rFonts w:asciiTheme="majorHAnsi" w:eastAsiaTheme="majorEastAsia" w:hAnsiTheme="majorHAnsi" w:cstheme="majorBidi"/>
      <w:color w:val="0F4761" w:themeColor="accent1" w:themeShade="BF"/>
      <w:sz w:val="32"/>
      <w:szCs w:val="32"/>
    </w:rPr>
  </w:style>
  <w:style w:type="character" w:customStyle="1" w:styleId="Balk3Char">
    <w:name w:val="Başlık 3 Char"/>
    <w:aliases w:val="2. Düzey Alt Başlık Char"/>
    <w:basedOn w:val="VarsaylanParagrafYazTipi"/>
    <w:link w:val="Balk3"/>
    <w:uiPriority w:val="9"/>
    <w:qFormat/>
    <w:rsid w:val="009C7FAC"/>
    <w:rPr>
      <w:rFonts w:asciiTheme="minorHAnsi" w:eastAsiaTheme="majorEastAsia" w:hAnsiTheme="minorHAnsi" w:cstheme="majorBidi"/>
      <w:color w:val="0F4761" w:themeColor="accent1" w:themeShade="BF"/>
      <w:sz w:val="28"/>
      <w:szCs w:val="28"/>
    </w:rPr>
  </w:style>
  <w:style w:type="character" w:customStyle="1" w:styleId="Balk4Char">
    <w:name w:val="Başlık 4 Char"/>
    <w:aliases w:val="3. Düzey Alt Başlık Char"/>
    <w:basedOn w:val="VarsaylanParagrafYazTipi"/>
    <w:link w:val="Balk4"/>
    <w:uiPriority w:val="9"/>
    <w:qFormat/>
    <w:rsid w:val="009C7FAC"/>
    <w:rPr>
      <w:rFonts w:asciiTheme="minorHAnsi" w:eastAsiaTheme="majorEastAsia" w:hAnsiTheme="minorHAnsi" w:cstheme="majorBidi"/>
      <w:i/>
      <w:iCs/>
      <w:color w:val="0F4761" w:themeColor="accent1" w:themeShade="BF"/>
    </w:rPr>
  </w:style>
  <w:style w:type="character" w:customStyle="1" w:styleId="Balk5Char">
    <w:name w:val="Başlık 5 Char"/>
    <w:aliases w:val="Alt Problem Char"/>
    <w:basedOn w:val="VarsaylanParagrafYazTipi"/>
    <w:link w:val="Balk5"/>
    <w:uiPriority w:val="9"/>
    <w:qFormat/>
    <w:rsid w:val="009C7FAC"/>
    <w:rPr>
      <w:rFonts w:asciiTheme="minorHAnsi" w:eastAsiaTheme="majorEastAsia" w:hAnsiTheme="minorHAnsi" w:cstheme="majorBidi"/>
      <w:color w:val="0F4761" w:themeColor="accent1" w:themeShade="BF"/>
    </w:rPr>
  </w:style>
  <w:style w:type="character" w:customStyle="1" w:styleId="Balk6Char">
    <w:name w:val="Başlık 6 Char"/>
    <w:aliases w:val="Maddelendirme Char"/>
    <w:basedOn w:val="VarsaylanParagrafYazTipi"/>
    <w:link w:val="Balk6"/>
    <w:uiPriority w:val="9"/>
    <w:rsid w:val="009C7FAC"/>
    <w:rPr>
      <w:rFonts w:asciiTheme="minorHAnsi" w:eastAsiaTheme="majorEastAsia" w:hAnsiTheme="minorHAnsi" w:cstheme="majorBidi"/>
      <w:i/>
      <w:iCs/>
      <w:color w:val="595959" w:themeColor="text1" w:themeTint="A6"/>
    </w:rPr>
  </w:style>
  <w:style w:type="character" w:customStyle="1" w:styleId="Balk7Char">
    <w:name w:val="Başlık 7 Char"/>
    <w:basedOn w:val="VarsaylanParagrafYazTipi"/>
    <w:link w:val="Balk7"/>
    <w:uiPriority w:val="9"/>
    <w:semiHidden/>
    <w:rsid w:val="009C7FAC"/>
    <w:rPr>
      <w:rFonts w:asciiTheme="minorHAnsi" w:eastAsiaTheme="majorEastAsia" w:hAnsiTheme="minorHAnsi" w:cstheme="majorBidi"/>
      <w:color w:val="595959" w:themeColor="text1" w:themeTint="A6"/>
    </w:rPr>
  </w:style>
  <w:style w:type="character" w:customStyle="1" w:styleId="Balk8Char">
    <w:name w:val="Başlık 8 Char"/>
    <w:basedOn w:val="VarsaylanParagrafYazTipi"/>
    <w:link w:val="Balk8"/>
    <w:uiPriority w:val="9"/>
    <w:semiHidden/>
    <w:rsid w:val="009C7FAC"/>
    <w:rPr>
      <w:rFonts w:asciiTheme="minorHAnsi" w:eastAsiaTheme="majorEastAsia" w:hAnsiTheme="minorHAnsi" w:cstheme="majorBidi"/>
      <w:i/>
      <w:iCs/>
      <w:color w:val="272727" w:themeColor="text1" w:themeTint="D8"/>
    </w:rPr>
  </w:style>
  <w:style w:type="character" w:customStyle="1" w:styleId="Balk9Char">
    <w:name w:val="Başlık 9 Char"/>
    <w:basedOn w:val="VarsaylanParagrafYazTipi"/>
    <w:link w:val="Balk9"/>
    <w:uiPriority w:val="9"/>
    <w:semiHidden/>
    <w:rsid w:val="009C7FAC"/>
    <w:rPr>
      <w:rFonts w:asciiTheme="minorHAnsi" w:eastAsiaTheme="majorEastAsia" w:hAnsiTheme="minorHAnsi" w:cstheme="majorBidi"/>
      <w:color w:val="272727" w:themeColor="text1" w:themeTint="D8"/>
    </w:rPr>
  </w:style>
  <w:style w:type="character" w:customStyle="1" w:styleId="KonuBalChar">
    <w:name w:val="Konu Başlığı Char"/>
    <w:aliases w:val="Şekil adı Char"/>
    <w:basedOn w:val="VarsaylanParagrafYazTipi"/>
    <w:link w:val="KonuBal"/>
    <w:rsid w:val="009C7FAC"/>
    <w:rPr>
      <w:rFonts w:asciiTheme="majorHAnsi" w:eastAsiaTheme="majorEastAsia" w:hAnsiTheme="majorHAnsi" w:cstheme="majorBidi"/>
      <w:color w:val="auto"/>
      <w:spacing w:val="-10"/>
      <w:kern w:val="28"/>
      <w:sz w:val="56"/>
      <w:szCs w:val="56"/>
    </w:rPr>
  </w:style>
  <w:style w:type="paragraph" w:styleId="Altyaz">
    <w:name w:val="Subtitle"/>
    <w:basedOn w:val="Normal"/>
    <w:next w:val="Normal"/>
    <w:link w:val="AltyazChar"/>
    <w:qFormat/>
    <w:pPr>
      <w:spacing w:after="160"/>
    </w:pPr>
    <w:rPr>
      <w:rFonts w:ascii="Aptos" w:eastAsia="Aptos" w:hAnsi="Aptos" w:cs="Aptos"/>
      <w:color w:val="595959"/>
      <w:sz w:val="28"/>
      <w:szCs w:val="28"/>
    </w:rPr>
  </w:style>
  <w:style w:type="character" w:customStyle="1" w:styleId="AltyazChar">
    <w:name w:val="Altyazı Char"/>
    <w:basedOn w:val="VarsaylanParagrafYazTipi"/>
    <w:link w:val="Altyaz"/>
    <w:rsid w:val="009C7FAC"/>
    <w:rPr>
      <w:rFonts w:asciiTheme="minorHAnsi" w:eastAsiaTheme="majorEastAsia" w:hAnsiTheme="minorHAnsi" w:cstheme="majorBidi"/>
      <w:color w:val="595959" w:themeColor="text1" w:themeTint="A6"/>
      <w:spacing w:val="15"/>
      <w:sz w:val="28"/>
      <w:szCs w:val="28"/>
    </w:rPr>
  </w:style>
  <w:style w:type="paragraph" w:styleId="Alnt">
    <w:name w:val="Quote"/>
    <w:basedOn w:val="Normal"/>
    <w:next w:val="Normal"/>
    <w:link w:val="AlntChar"/>
    <w:uiPriority w:val="29"/>
    <w:qFormat/>
    <w:rsid w:val="009C7FAC"/>
    <w:pPr>
      <w:spacing w:before="160" w:after="160"/>
      <w:jc w:val="center"/>
    </w:pPr>
    <w:rPr>
      <w:i/>
      <w:iCs/>
      <w:color w:val="404040" w:themeColor="text1" w:themeTint="BF"/>
    </w:rPr>
  </w:style>
  <w:style w:type="character" w:customStyle="1" w:styleId="AlntChar">
    <w:name w:val="Alıntı Char"/>
    <w:basedOn w:val="VarsaylanParagrafYazTipi"/>
    <w:link w:val="Alnt"/>
    <w:uiPriority w:val="29"/>
    <w:rsid w:val="009C7FAC"/>
    <w:rPr>
      <w:i/>
      <w:iCs/>
      <w:color w:val="404040" w:themeColor="text1" w:themeTint="BF"/>
    </w:rPr>
  </w:style>
  <w:style w:type="paragraph" w:styleId="ListeParagraf">
    <w:name w:val="List Paragraph"/>
    <w:aliases w:val="Kaynakların Oluşturulması"/>
    <w:basedOn w:val="Normal"/>
    <w:uiPriority w:val="34"/>
    <w:qFormat/>
    <w:rsid w:val="009C7FAC"/>
    <w:pPr>
      <w:ind w:left="720"/>
      <w:contextualSpacing/>
    </w:pPr>
  </w:style>
  <w:style w:type="character" w:styleId="GlVurgulama">
    <w:name w:val="Intense Emphasis"/>
    <w:basedOn w:val="VarsaylanParagrafYazTipi"/>
    <w:uiPriority w:val="21"/>
    <w:qFormat/>
    <w:rsid w:val="009C7FAC"/>
    <w:rPr>
      <w:i/>
      <w:iCs/>
      <w:color w:val="0F4761" w:themeColor="accent1" w:themeShade="BF"/>
    </w:rPr>
  </w:style>
  <w:style w:type="paragraph" w:styleId="GlAlnt">
    <w:name w:val="Intense Quote"/>
    <w:basedOn w:val="Normal"/>
    <w:next w:val="Normal"/>
    <w:link w:val="GlAlntChar"/>
    <w:uiPriority w:val="30"/>
    <w:qFormat/>
    <w:rsid w:val="009C7F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9C7FAC"/>
    <w:rPr>
      <w:i/>
      <w:iCs/>
      <w:color w:val="0F4761" w:themeColor="accent1" w:themeShade="BF"/>
    </w:rPr>
  </w:style>
  <w:style w:type="character" w:styleId="GlBavuru">
    <w:name w:val="Intense Reference"/>
    <w:basedOn w:val="VarsaylanParagrafYazTipi"/>
    <w:uiPriority w:val="32"/>
    <w:qFormat/>
    <w:rsid w:val="009C7FAC"/>
    <w:rPr>
      <w:b/>
      <w:bCs w:val="0"/>
      <w:smallCaps/>
      <w:color w:val="0F4761" w:themeColor="accent1" w:themeShade="BF"/>
      <w:spacing w:val="5"/>
    </w:rPr>
  </w:style>
  <w:style w:type="paragraph" w:styleId="stBilgi">
    <w:name w:val="header"/>
    <w:aliases w:val=" Char"/>
    <w:basedOn w:val="Normal"/>
    <w:link w:val="stBilgiChar"/>
    <w:uiPriority w:val="99"/>
    <w:unhideWhenUsed/>
    <w:qFormat/>
    <w:rsid w:val="00830B47"/>
    <w:pPr>
      <w:tabs>
        <w:tab w:val="center" w:pos="4536"/>
        <w:tab w:val="right" w:pos="9072"/>
      </w:tabs>
    </w:pPr>
  </w:style>
  <w:style w:type="character" w:customStyle="1" w:styleId="stBilgiChar">
    <w:name w:val="Üst Bilgi Char"/>
    <w:aliases w:val=" Char Char"/>
    <w:basedOn w:val="VarsaylanParagrafYazTipi"/>
    <w:link w:val="stBilgi"/>
    <w:uiPriority w:val="99"/>
    <w:qFormat/>
    <w:rsid w:val="00830B47"/>
  </w:style>
  <w:style w:type="paragraph" w:styleId="AltBilgi">
    <w:name w:val="footer"/>
    <w:basedOn w:val="Normal"/>
    <w:link w:val="AltBilgiChar"/>
    <w:uiPriority w:val="99"/>
    <w:unhideWhenUsed/>
    <w:qFormat/>
    <w:rsid w:val="00830B47"/>
    <w:pPr>
      <w:tabs>
        <w:tab w:val="center" w:pos="4536"/>
        <w:tab w:val="right" w:pos="9072"/>
      </w:tabs>
    </w:pPr>
  </w:style>
  <w:style w:type="character" w:customStyle="1" w:styleId="AltBilgiChar">
    <w:name w:val="Alt Bilgi Char"/>
    <w:basedOn w:val="VarsaylanParagrafYazTipi"/>
    <w:link w:val="AltBilgi"/>
    <w:uiPriority w:val="99"/>
    <w:qFormat/>
    <w:rsid w:val="00830B47"/>
  </w:style>
  <w:style w:type="paragraph" w:styleId="GvdeMetni">
    <w:name w:val="Body Text"/>
    <w:basedOn w:val="Normal"/>
    <w:link w:val="GvdeMetniChar"/>
    <w:uiPriority w:val="1"/>
    <w:qFormat/>
    <w:rsid w:val="00B75D80"/>
  </w:style>
  <w:style w:type="character" w:customStyle="1" w:styleId="GvdeMetniChar">
    <w:name w:val="Gövde Metni Char"/>
    <w:basedOn w:val="VarsaylanParagrafYazTipi"/>
    <w:link w:val="GvdeMetni"/>
    <w:uiPriority w:val="1"/>
    <w:rsid w:val="00B75D80"/>
    <w:rPr>
      <w:rFonts w:eastAsia="Times New Roman"/>
      <w:bCs w:val="0"/>
      <w:color w:val="auto"/>
      <w:kern w:val="0"/>
    </w:rPr>
  </w:style>
  <w:style w:type="paragraph" w:styleId="TBal">
    <w:name w:val="TOC Heading"/>
    <w:basedOn w:val="Balk1"/>
    <w:next w:val="Normal"/>
    <w:uiPriority w:val="39"/>
    <w:unhideWhenUsed/>
    <w:qFormat/>
    <w:rsid w:val="00F50C0A"/>
    <w:pPr>
      <w:spacing w:before="480" w:after="0" w:line="276" w:lineRule="auto"/>
      <w:outlineLvl w:val="9"/>
    </w:pPr>
    <w:rPr>
      <w:b/>
      <w:sz w:val="28"/>
      <w:szCs w:val="28"/>
    </w:rPr>
  </w:style>
  <w:style w:type="paragraph" w:styleId="T2">
    <w:name w:val="toc 2"/>
    <w:basedOn w:val="Normal"/>
    <w:next w:val="Normal"/>
    <w:autoRedefine/>
    <w:uiPriority w:val="39"/>
    <w:unhideWhenUsed/>
    <w:qFormat/>
    <w:rsid w:val="00F50C0A"/>
    <w:pPr>
      <w:spacing w:before="120"/>
      <w:ind w:left="240"/>
    </w:pPr>
    <w:rPr>
      <w:rFonts w:asciiTheme="minorHAnsi" w:hAnsiTheme="minorHAnsi"/>
      <w:i/>
      <w:iCs/>
      <w:sz w:val="20"/>
      <w:szCs w:val="20"/>
    </w:rPr>
  </w:style>
  <w:style w:type="paragraph" w:styleId="T1">
    <w:name w:val="toc 1"/>
    <w:basedOn w:val="Normal"/>
    <w:next w:val="Normal"/>
    <w:autoRedefine/>
    <w:uiPriority w:val="39"/>
    <w:unhideWhenUsed/>
    <w:qFormat/>
    <w:rsid w:val="00AB7514"/>
    <w:pPr>
      <w:tabs>
        <w:tab w:val="right" w:leader="dot" w:pos="9060"/>
      </w:tabs>
      <w:spacing w:before="240" w:after="120"/>
    </w:pPr>
    <w:rPr>
      <w:rFonts w:asciiTheme="minorHAnsi" w:hAnsiTheme="minorHAnsi"/>
      <w:b/>
      <w:bCs/>
      <w:sz w:val="20"/>
      <w:szCs w:val="20"/>
    </w:rPr>
  </w:style>
  <w:style w:type="paragraph" w:styleId="T3">
    <w:name w:val="toc 3"/>
    <w:basedOn w:val="Normal"/>
    <w:next w:val="Normal"/>
    <w:autoRedefine/>
    <w:uiPriority w:val="39"/>
    <w:unhideWhenUsed/>
    <w:rsid w:val="00F50C0A"/>
    <w:pPr>
      <w:ind w:left="480"/>
    </w:pPr>
    <w:rPr>
      <w:rFonts w:asciiTheme="minorHAnsi" w:hAnsiTheme="minorHAnsi"/>
      <w:sz w:val="20"/>
      <w:szCs w:val="20"/>
    </w:rPr>
  </w:style>
  <w:style w:type="paragraph" w:styleId="T4">
    <w:name w:val="toc 4"/>
    <w:basedOn w:val="Normal"/>
    <w:next w:val="Normal"/>
    <w:autoRedefine/>
    <w:uiPriority w:val="39"/>
    <w:unhideWhenUsed/>
    <w:rsid w:val="00F50C0A"/>
    <w:pPr>
      <w:ind w:left="720"/>
    </w:pPr>
    <w:rPr>
      <w:rFonts w:asciiTheme="minorHAnsi" w:hAnsiTheme="minorHAnsi"/>
      <w:sz w:val="20"/>
      <w:szCs w:val="20"/>
    </w:rPr>
  </w:style>
  <w:style w:type="paragraph" w:styleId="T5">
    <w:name w:val="toc 5"/>
    <w:basedOn w:val="Normal"/>
    <w:next w:val="Normal"/>
    <w:autoRedefine/>
    <w:uiPriority w:val="39"/>
    <w:unhideWhenUsed/>
    <w:rsid w:val="00F50C0A"/>
    <w:pPr>
      <w:ind w:left="960"/>
    </w:pPr>
    <w:rPr>
      <w:rFonts w:asciiTheme="minorHAnsi" w:hAnsiTheme="minorHAnsi"/>
      <w:sz w:val="20"/>
      <w:szCs w:val="20"/>
    </w:rPr>
  </w:style>
  <w:style w:type="paragraph" w:styleId="T6">
    <w:name w:val="toc 6"/>
    <w:basedOn w:val="Normal"/>
    <w:next w:val="Normal"/>
    <w:autoRedefine/>
    <w:uiPriority w:val="39"/>
    <w:unhideWhenUsed/>
    <w:rsid w:val="00F50C0A"/>
    <w:pPr>
      <w:ind w:left="1200"/>
    </w:pPr>
    <w:rPr>
      <w:rFonts w:asciiTheme="minorHAnsi" w:hAnsiTheme="minorHAnsi"/>
      <w:sz w:val="20"/>
      <w:szCs w:val="20"/>
    </w:rPr>
  </w:style>
  <w:style w:type="paragraph" w:styleId="T7">
    <w:name w:val="toc 7"/>
    <w:basedOn w:val="Normal"/>
    <w:next w:val="Normal"/>
    <w:autoRedefine/>
    <w:uiPriority w:val="39"/>
    <w:unhideWhenUsed/>
    <w:rsid w:val="00F50C0A"/>
    <w:pPr>
      <w:ind w:left="1440"/>
    </w:pPr>
    <w:rPr>
      <w:rFonts w:asciiTheme="minorHAnsi" w:hAnsiTheme="minorHAnsi"/>
      <w:sz w:val="20"/>
      <w:szCs w:val="20"/>
    </w:rPr>
  </w:style>
  <w:style w:type="paragraph" w:styleId="T8">
    <w:name w:val="toc 8"/>
    <w:basedOn w:val="Normal"/>
    <w:next w:val="Normal"/>
    <w:autoRedefine/>
    <w:uiPriority w:val="39"/>
    <w:unhideWhenUsed/>
    <w:rsid w:val="00F50C0A"/>
    <w:pPr>
      <w:ind w:left="1680"/>
    </w:pPr>
    <w:rPr>
      <w:rFonts w:asciiTheme="minorHAnsi" w:hAnsiTheme="minorHAnsi"/>
      <w:sz w:val="20"/>
      <w:szCs w:val="20"/>
    </w:rPr>
  </w:style>
  <w:style w:type="paragraph" w:styleId="T9">
    <w:name w:val="toc 9"/>
    <w:basedOn w:val="Normal"/>
    <w:next w:val="Normal"/>
    <w:autoRedefine/>
    <w:uiPriority w:val="39"/>
    <w:unhideWhenUsed/>
    <w:rsid w:val="00F50C0A"/>
    <w:pPr>
      <w:ind w:left="1920"/>
    </w:pPr>
    <w:rPr>
      <w:rFonts w:asciiTheme="minorHAnsi" w:hAnsiTheme="minorHAnsi"/>
      <w:sz w:val="20"/>
      <w:szCs w:val="20"/>
    </w:rPr>
  </w:style>
  <w:style w:type="character" w:styleId="Kpr">
    <w:name w:val="Hyperlink"/>
    <w:basedOn w:val="VarsaylanParagrafYazTipi"/>
    <w:uiPriority w:val="99"/>
    <w:unhideWhenUsed/>
    <w:rsid w:val="00F50C0A"/>
    <w:rPr>
      <w:color w:val="467886" w:themeColor="hyperlink"/>
      <w:u w:val="single"/>
    </w:rPr>
  </w:style>
  <w:style w:type="paragraph" w:customStyle="1" w:styleId="WW-NormalWeb1">
    <w:name w:val="WW-Normal (Web)1"/>
    <w:basedOn w:val="Normal"/>
    <w:qFormat/>
    <w:rsid w:val="007C6192"/>
    <w:pPr>
      <w:widowControl/>
      <w:autoSpaceDE/>
      <w:autoSpaceDN/>
      <w:spacing w:before="280" w:after="119"/>
    </w:pPr>
    <w:rPr>
      <w:lang w:eastAsia="ar-SA"/>
    </w:rPr>
  </w:style>
  <w:style w:type="character" w:styleId="DipnotBavurusu">
    <w:name w:val="footnote reference"/>
    <w:basedOn w:val="VarsaylanParagrafYazTipi"/>
    <w:uiPriority w:val="99"/>
    <w:unhideWhenUsed/>
    <w:rsid w:val="007C6192"/>
    <w:rPr>
      <w:vertAlign w:val="superscript"/>
    </w:rPr>
  </w:style>
  <w:style w:type="character" w:customStyle="1" w:styleId="hps">
    <w:name w:val="hps"/>
    <w:rsid w:val="007C6192"/>
  </w:style>
  <w:style w:type="paragraph" w:styleId="DipnotMetni">
    <w:name w:val="footnote text"/>
    <w:aliases w:val="Dipnot Metni Char Char Char"/>
    <w:basedOn w:val="Normal"/>
    <w:link w:val="DipnotMetniChar"/>
    <w:uiPriority w:val="99"/>
    <w:unhideWhenUsed/>
    <w:rsid w:val="007C6192"/>
    <w:pPr>
      <w:widowControl/>
      <w:autoSpaceDE/>
      <w:autoSpaceDN/>
    </w:pPr>
    <w:rPr>
      <w:rFonts w:asciiTheme="minorHAnsi" w:hAnsiTheme="minorHAnsi" w:cstheme="minorBidi"/>
      <w:sz w:val="20"/>
      <w:szCs w:val="20"/>
    </w:rPr>
  </w:style>
  <w:style w:type="character" w:customStyle="1" w:styleId="DipnotMetniChar">
    <w:name w:val="Dipnot Metni Char"/>
    <w:aliases w:val="Dipnot Metni Char Char Char Char"/>
    <w:basedOn w:val="VarsaylanParagrafYazTipi"/>
    <w:link w:val="DipnotMetni"/>
    <w:uiPriority w:val="99"/>
    <w:rsid w:val="007C6192"/>
    <w:rPr>
      <w:rFonts w:asciiTheme="minorHAnsi" w:hAnsiTheme="minorHAnsi" w:cstheme="minorBidi"/>
      <w:bCs w:val="0"/>
      <w:color w:val="auto"/>
      <w:kern w:val="0"/>
      <w:sz w:val="20"/>
      <w:szCs w:val="20"/>
    </w:rPr>
  </w:style>
  <w:style w:type="character" w:styleId="zmlenmeyenBahsetme">
    <w:name w:val="Unresolved Mention"/>
    <w:basedOn w:val="VarsaylanParagrafYazTipi"/>
    <w:uiPriority w:val="99"/>
    <w:unhideWhenUsed/>
    <w:rsid w:val="00AD55A1"/>
    <w:rPr>
      <w:color w:val="605E5C"/>
      <w:shd w:val="clear" w:color="auto" w:fill="E1DFDD"/>
    </w:rPr>
  </w:style>
  <w:style w:type="paragraph" w:styleId="AralkYok">
    <w:name w:val="No Spacing"/>
    <w:aliases w:val="Başlık"/>
    <w:link w:val="AralkYokChar"/>
    <w:uiPriority w:val="1"/>
    <w:qFormat/>
    <w:rsid w:val="0059077E"/>
    <w:rPr>
      <w:rFonts w:asciiTheme="minorHAnsi" w:hAnsiTheme="minorHAnsi" w:cstheme="minorBidi"/>
      <w:sz w:val="22"/>
      <w:szCs w:val="22"/>
    </w:rPr>
  </w:style>
  <w:style w:type="character" w:styleId="AklamaBavurusu">
    <w:name w:val="annotation reference"/>
    <w:basedOn w:val="VarsaylanParagrafYazTipi"/>
    <w:uiPriority w:val="99"/>
    <w:semiHidden/>
    <w:unhideWhenUsed/>
    <w:rsid w:val="00666414"/>
    <w:rPr>
      <w:sz w:val="16"/>
      <w:szCs w:val="16"/>
    </w:rPr>
  </w:style>
  <w:style w:type="paragraph" w:styleId="NormalWeb">
    <w:name w:val="Normal (Web)"/>
    <w:basedOn w:val="Normal"/>
    <w:uiPriority w:val="99"/>
    <w:unhideWhenUsed/>
    <w:qFormat/>
    <w:rsid w:val="00EB3F68"/>
    <w:pPr>
      <w:widowControl/>
      <w:autoSpaceDE/>
      <w:autoSpaceDN/>
      <w:spacing w:before="100" w:beforeAutospacing="1" w:after="100" w:afterAutospacing="1"/>
    </w:pPr>
    <w:rPr>
      <w:lang w:val="en-US"/>
    </w:rPr>
  </w:style>
  <w:style w:type="character" w:styleId="Gl">
    <w:name w:val="Strong"/>
    <w:aliases w:val="Teşekkür ve Açıklama"/>
    <w:basedOn w:val="VarsaylanParagrafYazTipi"/>
    <w:uiPriority w:val="22"/>
    <w:qFormat/>
    <w:rsid w:val="00EB3F68"/>
    <w:rPr>
      <w:b/>
      <w:bCs w:val="0"/>
    </w:rPr>
  </w:style>
  <w:style w:type="character" w:customStyle="1" w:styleId="AralkYokChar">
    <w:name w:val="Aralık Yok Char"/>
    <w:aliases w:val="Başlık Char"/>
    <w:basedOn w:val="VarsaylanParagrafYazTipi"/>
    <w:link w:val="AralkYok"/>
    <w:uiPriority w:val="1"/>
    <w:rsid w:val="003C3BAE"/>
    <w:rPr>
      <w:rFonts w:asciiTheme="minorHAnsi" w:hAnsiTheme="minorHAnsi" w:cstheme="minorBidi"/>
      <w:sz w:val="22"/>
      <w:szCs w:val="22"/>
    </w:rPr>
  </w:style>
  <w:style w:type="character" w:customStyle="1" w:styleId="nternetBalants">
    <w:name w:val="İnternet Bağlantısı"/>
    <w:basedOn w:val="VarsaylanParagrafYazTipi"/>
    <w:uiPriority w:val="99"/>
    <w:unhideWhenUsed/>
    <w:rsid w:val="0094144D"/>
    <w:rPr>
      <w:color w:val="467886" w:themeColor="hyperlink"/>
      <w:u w:val="single"/>
    </w:rPr>
  </w:style>
  <w:style w:type="paragraph" w:customStyle="1" w:styleId="Paragraf">
    <w:name w:val="Paragraf"/>
    <w:basedOn w:val="Normal"/>
    <w:link w:val="ParagrafChar"/>
    <w:qFormat/>
    <w:rsid w:val="0094144D"/>
    <w:pPr>
      <w:widowControl/>
      <w:autoSpaceDE/>
      <w:autoSpaceDN/>
      <w:spacing w:before="120" w:after="120" w:line="360" w:lineRule="auto"/>
      <w:jc w:val="both"/>
    </w:pPr>
  </w:style>
  <w:style w:type="character" w:customStyle="1" w:styleId="ParagrafChar">
    <w:name w:val="Paragraf Char"/>
    <w:basedOn w:val="VarsaylanParagrafYazTipi"/>
    <w:link w:val="Paragraf"/>
    <w:rsid w:val="0094144D"/>
    <w:rPr>
      <w:bCs w:val="0"/>
      <w:color w:val="auto"/>
      <w:kern w:val="0"/>
    </w:rPr>
  </w:style>
  <w:style w:type="character" w:customStyle="1" w:styleId="y2iqfc">
    <w:name w:val="y2iqfc"/>
    <w:basedOn w:val="VarsaylanParagrafYazTipi"/>
    <w:rsid w:val="0094144D"/>
  </w:style>
  <w:style w:type="numbering" w:customStyle="1" w:styleId="ListeYok1">
    <w:name w:val="Liste Yok1"/>
    <w:next w:val="ListeYok"/>
    <w:uiPriority w:val="99"/>
    <w:semiHidden/>
    <w:unhideWhenUsed/>
    <w:rsid w:val="00725F0D"/>
  </w:style>
  <w:style w:type="character" w:customStyle="1" w:styleId="zmlenmeyenBahsetme1">
    <w:name w:val="Çözümlenmeyen Bahsetme1"/>
    <w:basedOn w:val="VarsaylanParagrafYazTipi"/>
    <w:uiPriority w:val="99"/>
    <w:semiHidden/>
    <w:unhideWhenUsed/>
    <w:rsid w:val="00725F0D"/>
    <w:rPr>
      <w:color w:val="605E5C"/>
      <w:shd w:val="clear" w:color="auto" w:fill="E1DFDD"/>
    </w:rPr>
  </w:style>
  <w:style w:type="paragraph" w:customStyle="1" w:styleId="Default">
    <w:name w:val="Default"/>
    <w:rsid w:val="00725F0D"/>
    <w:pPr>
      <w:autoSpaceDE w:val="0"/>
      <w:autoSpaceDN w:val="0"/>
      <w:adjustRightInd w:val="0"/>
    </w:pPr>
    <w:rPr>
      <w:color w:val="000000"/>
    </w:rPr>
  </w:style>
  <w:style w:type="character" w:customStyle="1" w:styleId="zlenenKpr1">
    <w:name w:val="İzlenen Köprü1"/>
    <w:basedOn w:val="VarsaylanParagrafYazTipi"/>
    <w:uiPriority w:val="99"/>
    <w:semiHidden/>
    <w:unhideWhenUsed/>
    <w:rsid w:val="00725F0D"/>
    <w:rPr>
      <w:color w:val="954F72"/>
      <w:u w:val="single"/>
    </w:rPr>
  </w:style>
  <w:style w:type="character" w:styleId="zlenenKpr">
    <w:name w:val="FollowedHyperlink"/>
    <w:basedOn w:val="VarsaylanParagrafYazTipi"/>
    <w:uiPriority w:val="99"/>
    <w:semiHidden/>
    <w:unhideWhenUsed/>
    <w:rsid w:val="00725F0D"/>
    <w:rPr>
      <w:color w:val="96607D" w:themeColor="followedHyperlink"/>
      <w:u w:val="single"/>
    </w:rPr>
  </w:style>
  <w:style w:type="table" w:customStyle="1" w:styleId="TableNormal3">
    <w:name w:val="Table Normal3"/>
    <w:tblPr>
      <w:tblCellMar>
        <w:top w:w="0" w:type="dxa"/>
        <w:left w:w="0" w:type="dxa"/>
        <w:bottom w:w="0" w:type="dxa"/>
        <w:right w:w="0" w:type="dxa"/>
      </w:tblCellMar>
    </w:tblPr>
  </w:style>
  <w:style w:type="paragraph" w:customStyle="1" w:styleId="TableParagraph">
    <w:name w:val="Table Paragraph"/>
    <w:basedOn w:val="Normal"/>
    <w:uiPriority w:val="1"/>
    <w:qFormat/>
    <w:rsid w:val="00934E33"/>
    <w:rPr>
      <w:sz w:val="22"/>
      <w:szCs w:val="22"/>
      <w:lang w:val="en-US"/>
    </w:rPr>
  </w:style>
  <w:style w:type="character" w:customStyle="1" w:styleId="apple-converted-space">
    <w:name w:val="apple-converted-space"/>
    <w:basedOn w:val="VarsaylanParagrafYazTipi"/>
    <w:rsid w:val="00756090"/>
  </w:style>
  <w:style w:type="paragraph" w:customStyle="1" w:styleId="Articletitle">
    <w:name w:val="Article title"/>
    <w:basedOn w:val="Normal"/>
    <w:next w:val="Normal"/>
    <w:qFormat/>
    <w:rsid w:val="00756090"/>
    <w:pPr>
      <w:widowControl/>
      <w:autoSpaceDE/>
      <w:autoSpaceDN/>
      <w:spacing w:after="120" w:line="360" w:lineRule="auto"/>
    </w:pPr>
    <w:rPr>
      <w:rFonts w:ascii="Calibri" w:eastAsia="Calibri" w:hAnsi="Calibri"/>
      <w:b/>
      <w:sz w:val="28"/>
      <w:szCs w:val="22"/>
    </w:rPr>
  </w:style>
  <w:style w:type="paragraph" w:customStyle="1" w:styleId="Authornames">
    <w:name w:val="Author names"/>
    <w:basedOn w:val="Normal"/>
    <w:next w:val="Normal"/>
    <w:qFormat/>
    <w:rsid w:val="00756090"/>
    <w:pPr>
      <w:widowControl/>
      <w:autoSpaceDE/>
      <w:autoSpaceDN/>
      <w:spacing w:before="240" w:after="200" w:line="360" w:lineRule="auto"/>
    </w:pPr>
    <w:rPr>
      <w:rFonts w:ascii="Calibri" w:eastAsia="Calibri" w:hAnsi="Calibri"/>
      <w:sz w:val="28"/>
      <w:szCs w:val="22"/>
    </w:rPr>
  </w:style>
  <w:style w:type="paragraph" w:customStyle="1" w:styleId="p1">
    <w:name w:val="p1"/>
    <w:basedOn w:val="Normal"/>
    <w:rsid w:val="00756090"/>
    <w:pPr>
      <w:widowControl/>
      <w:autoSpaceDE/>
      <w:autoSpaceDN/>
    </w:pPr>
    <w:rPr>
      <w:color w:val="000000"/>
      <w:sz w:val="18"/>
      <w:szCs w:val="18"/>
    </w:rPr>
  </w:style>
  <w:style w:type="paragraph" w:customStyle="1" w:styleId="p2">
    <w:name w:val="p2"/>
    <w:basedOn w:val="Normal"/>
    <w:rsid w:val="00756090"/>
    <w:pPr>
      <w:widowControl/>
      <w:autoSpaceDE/>
      <w:autoSpaceDN/>
    </w:pPr>
    <w:rPr>
      <w:rFonts w:ascii="Helvetica" w:hAnsi="Helvetica"/>
      <w:color w:val="000000"/>
      <w:sz w:val="18"/>
      <w:szCs w:val="18"/>
    </w:rPr>
  </w:style>
  <w:style w:type="character" w:customStyle="1" w:styleId="s1">
    <w:name w:val="s1"/>
    <w:basedOn w:val="VarsaylanParagrafYazTipi"/>
    <w:rsid w:val="00756090"/>
    <w:rPr>
      <w:rFonts w:ascii="Times New Roman" w:hAnsi="Times New Roman" w:cs="Times New Roman" w:hint="default"/>
      <w:sz w:val="18"/>
      <w:szCs w:val="18"/>
    </w:rPr>
  </w:style>
  <w:style w:type="paragraph" w:customStyle="1" w:styleId="Gvde">
    <w:name w:val="Gövde"/>
    <w:rsid w:val="00ED1DDB"/>
    <w:pPr>
      <w:pBdr>
        <w:top w:val="nil"/>
        <w:left w:val="nil"/>
        <w:bottom w:val="nil"/>
        <w:right w:val="nil"/>
        <w:between w:val="nil"/>
        <w:bar w:val="nil"/>
      </w:pBdr>
    </w:pPr>
    <w:rPr>
      <w:rFonts w:ascii="Calibri" w:eastAsia="Arial Unicode MS" w:hAnsi="Calibri" w:cs="Arial Unicode MS"/>
      <w:color w:val="000000"/>
      <w:u w:color="000000"/>
      <w:bdr w:val="nil"/>
      <w14:textOutline w14:w="0" w14:cap="flat" w14:cmpd="sng" w14:algn="ctr">
        <w14:noFill/>
        <w14:prstDash w14:val="solid"/>
        <w14:bevel/>
      </w14:textOutline>
    </w:rPr>
  </w:style>
  <w:style w:type="paragraph" w:customStyle="1" w:styleId="Saptanm">
    <w:name w:val="Saptanmış"/>
    <w:rsid w:val="00ED1DDB"/>
    <w:pPr>
      <w:pBdr>
        <w:top w:val="nil"/>
        <w:left w:val="nil"/>
        <w:bottom w:val="nil"/>
        <w:right w:val="nil"/>
        <w:between w:val="nil"/>
        <w:bar w:val="nil"/>
      </w:pBdr>
      <w:spacing w:before="160" w:line="288" w:lineRule="auto"/>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DipnotMetniChar1">
    <w:name w:val="Dipnot Metni Char1"/>
    <w:semiHidden/>
    <w:rsid w:val="00ED1DDB"/>
    <w:rPr>
      <w:rFonts w:ascii="Times New Roman" w:eastAsia="Times New Roman" w:hAnsi="Times New Roman" w:cs="Times New Roman"/>
      <w:szCs w:val="20"/>
    </w:rPr>
  </w:style>
  <w:style w:type="paragraph" w:customStyle="1" w:styleId="01-Baslik-TitleTR">
    <w:name w:val="01-Baslik-Title(TR)"/>
    <w:basedOn w:val="Normal"/>
    <w:rsid w:val="00ED1DDB"/>
    <w:pPr>
      <w:widowControl/>
      <w:autoSpaceDE/>
      <w:autoSpaceDN/>
      <w:jc w:val="center"/>
    </w:pPr>
    <w:rPr>
      <w:b/>
      <w:sz w:val="28"/>
      <w:szCs w:val="20"/>
    </w:rPr>
  </w:style>
  <w:style w:type="paragraph" w:customStyle="1" w:styleId="01-Yazar-Author">
    <w:name w:val="01-Yazar-Author"/>
    <w:basedOn w:val="Normal"/>
    <w:rsid w:val="00ED1DDB"/>
    <w:pPr>
      <w:widowControl/>
      <w:autoSpaceDE/>
      <w:autoSpaceDN/>
      <w:jc w:val="center"/>
    </w:pPr>
    <w:rPr>
      <w:sz w:val="20"/>
      <w:szCs w:val="20"/>
    </w:rPr>
  </w:style>
  <w:style w:type="paragraph" w:customStyle="1" w:styleId="02-Ozet">
    <w:name w:val="02-Ozet"/>
    <w:basedOn w:val="Normal"/>
    <w:rsid w:val="00ED1DDB"/>
    <w:pPr>
      <w:widowControl/>
      <w:autoSpaceDE/>
      <w:autoSpaceDN/>
      <w:ind w:firstLine="567"/>
      <w:jc w:val="both"/>
    </w:pPr>
    <w:rPr>
      <w:sz w:val="18"/>
      <w:szCs w:val="18"/>
    </w:rPr>
  </w:style>
  <w:style w:type="paragraph" w:customStyle="1" w:styleId="sbekapakgenel">
    <w:name w:val="sbe_kapak_genel"/>
    <w:basedOn w:val="Normal"/>
    <w:next w:val="Normal"/>
    <w:link w:val="sbekapakgenelChar"/>
    <w:rsid w:val="00E3466A"/>
    <w:pPr>
      <w:widowControl/>
      <w:autoSpaceDE/>
      <w:autoSpaceDN/>
      <w:spacing w:after="120"/>
      <w:jc w:val="center"/>
    </w:pPr>
    <w:rPr>
      <w:rFonts w:eastAsiaTheme="minorEastAsia" w:cstheme="minorBidi"/>
      <w:b/>
      <w:caps/>
      <w:sz w:val="28"/>
      <w:szCs w:val="22"/>
      <w:lang w:bidi="en-US"/>
    </w:rPr>
  </w:style>
  <w:style w:type="character" w:customStyle="1" w:styleId="sbekapakgenelChar">
    <w:name w:val="sbe_kapak_genel Char"/>
    <w:basedOn w:val="VarsaylanParagrafYazTipi"/>
    <w:link w:val="sbekapakgenel"/>
    <w:rsid w:val="00E3466A"/>
    <w:rPr>
      <w:rFonts w:eastAsiaTheme="minorEastAsia" w:cstheme="minorBidi"/>
      <w:b/>
      <w:caps/>
      <w:sz w:val="28"/>
      <w:szCs w:val="22"/>
      <w:lang w:bidi="en-US"/>
    </w:rPr>
  </w:style>
  <w:style w:type="paragraph" w:customStyle="1" w:styleId="sbemetinskk">
    <w:name w:val="sbe_metin_sıkışık"/>
    <w:basedOn w:val="Normal"/>
    <w:link w:val="sbemetinskkChar"/>
    <w:rsid w:val="00E3466A"/>
    <w:pPr>
      <w:widowControl/>
      <w:autoSpaceDE/>
      <w:autoSpaceDN/>
      <w:jc w:val="both"/>
    </w:pPr>
    <w:rPr>
      <w:rFonts w:eastAsiaTheme="minorEastAsia" w:cstheme="minorBidi"/>
      <w:szCs w:val="22"/>
      <w:lang w:bidi="en-US"/>
    </w:rPr>
  </w:style>
  <w:style w:type="character" w:customStyle="1" w:styleId="sbemetinskkChar">
    <w:name w:val="sbe_metin_sıkışık Char"/>
    <w:basedOn w:val="VarsaylanParagrafYazTipi"/>
    <w:link w:val="sbemetinskk"/>
    <w:rsid w:val="00E3466A"/>
    <w:rPr>
      <w:rFonts w:eastAsiaTheme="minorEastAsia" w:cstheme="minorBidi"/>
      <w:szCs w:val="22"/>
      <w:lang w:bidi="en-US"/>
    </w:rPr>
  </w:style>
  <w:style w:type="character" w:customStyle="1" w:styleId="Stil8">
    <w:name w:val="Stil8"/>
    <w:basedOn w:val="VarsaylanParagrafYazTipi"/>
    <w:uiPriority w:val="1"/>
    <w:rsid w:val="00E3466A"/>
    <w:rPr>
      <w:rFonts w:ascii="Times New Roman" w:hAnsi="Times New Roman"/>
      <w:sz w:val="22"/>
    </w:rPr>
  </w:style>
  <w:style w:type="table" w:styleId="TabloKlavuzu">
    <w:name w:val="Table Grid"/>
    <w:basedOn w:val="NormalTablo"/>
    <w:uiPriority w:val="39"/>
    <w:qFormat/>
    <w:rsid w:val="00D50E1A"/>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3">
    <w:name w:val="Plain Table 3"/>
    <w:basedOn w:val="NormalTablo"/>
    <w:uiPriority w:val="43"/>
    <w:rsid w:val="00D50E1A"/>
    <w:rPr>
      <w:rFonts w:asciiTheme="minorHAnsi" w:hAnsiTheme="minorHAnsi" w:cstheme="minorBid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DzTablo4">
    <w:name w:val="Plain Table 4"/>
    <w:basedOn w:val="NormalTablo"/>
    <w:uiPriority w:val="44"/>
    <w:rsid w:val="00D50E1A"/>
    <w:rPr>
      <w:rFonts w:asciiTheme="minorHAnsi" w:hAnsiTheme="minorHAnsi" w:cstheme="minorBid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oKlavuzuAk">
    <w:name w:val="Grid Table Light"/>
    <w:basedOn w:val="NormalTablo"/>
    <w:uiPriority w:val="40"/>
    <w:rsid w:val="00D50E1A"/>
    <w:rPr>
      <w:rFonts w:asciiTheme="minorHAnsi"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KlavuzTablo1Ak-Vurgu3">
    <w:name w:val="Grid Table 1 Light Accent 3"/>
    <w:basedOn w:val="NormalTablo"/>
    <w:uiPriority w:val="46"/>
    <w:rsid w:val="00D50E1A"/>
    <w:rPr>
      <w:rFonts w:asciiTheme="minorHAnsi" w:hAnsiTheme="minorHAnsi" w:cstheme="minorBidi"/>
    </w:r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table" w:styleId="DzTablo2">
    <w:name w:val="Plain Table 2"/>
    <w:basedOn w:val="NormalTablo"/>
    <w:uiPriority w:val="42"/>
    <w:rsid w:val="00D50E1A"/>
    <w:rPr>
      <w:rFonts w:asciiTheme="minorHAnsi" w:hAnsiTheme="minorHAnsi" w:cstheme="minorBid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a">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0">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1">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2">
    <w:basedOn w:val="NormalTablo"/>
    <w:pPr>
      <w:autoSpaceDE w:val="0"/>
      <w:autoSpaceDN w:val="0"/>
    </w:pPr>
    <w:rPr>
      <w:rFonts w:ascii="Aptos" w:eastAsia="Aptos" w:hAnsi="Aptos" w:cs="Aptos"/>
      <w:color w:val="000000"/>
      <w:sz w:val="22"/>
      <w:szCs w:val="22"/>
      <w:lang w:val="en-US"/>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3">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4">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5">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6">
    <w:basedOn w:val="NormalTablo"/>
    <w:pPr>
      <w:autoSpaceDE w:val="0"/>
      <w:autoSpaceDN w:val="0"/>
    </w:pPr>
    <w:rPr>
      <w:rFonts w:ascii="Aptos" w:eastAsia="Aptos" w:hAnsi="Aptos" w:cs="Aptos"/>
      <w:color w:val="000000"/>
      <w:sz w:val="22"/>
      <w:szCs w:val="22"/>
      <w:lang w:val="en-US"/>
    </w:rPr>
    <w:tblPr>
      <w:tblStyleRowBandSize w:val="1"/>
      <w:tblStyleColBandSize w:val="1"/>
    </w:tblPr>
  </w:style>
  <w:style w:type="table" w:customStyle="1" w:styleId="a7">
    <w:basedOn w:val="NormalTablo"/>
    <w:pPr>
      <w:autoSpaceDE w:val="0"/>
      <w:autoSpaceDN w:val="0"/>
    </w:pPr>
    <w:rPr>
      <w:sz w:val="20"/>
      <w:szCs w:val="20"/>
      <w:lang w:val="en-US"/>
    </w:rPr>
    <w:tblPr>
      <w:tblStyleRowBandSize w:val="1"/>
      <w:tblStyleColBandSize w:val="1"/>
      <w:tblCellMar>
        <w:top w:w="100" w:type="dxa"/>
        <w:left w:w="100" w:type="dxa"/>
        <w:bottom w:w="100" w:type="dxa"/>
        <w:right w:w="100" w:type="dxa"/>
      </w:tblCellMar>
    </w:tblPr>
  </w:style>
  <w:style w:type="table" w:customStyle="1" w:styleId="a8">
    <w:basedOn w:val="NormalTablo"/>
    <w:pPr>
      <w:autoSpaceDE w:val="0"/>
      <w:autoSpaceDN w:val="0"/>
    </w:pPr>
    <w:rPr>
      <w:sz w:val="20"/>
      <w:szCs w:val="20"/>
      <w:lang w:val="en-US"/>
    </w:rPr>
    <w:tblPr>
      <w:tblStyleRowBandSize w:val="1"/>
      <w:tblStyleColBandSize w:val="1"/>
      <w:tblCellMar>
        <w:top w:w="100" w:type="dxa"/>
        <w:left w:w="100" w:type="dxa"/>
        <w:bottom w:w="100" w:type="dxa"/>
        <w:right w:w="100" w:type="dxa"/>
      </w:tblCellMar>
    </w:tblPr>
  </w:style>
  <w:style w:type="table" w:customStyle="1" w:styleId="a9">
    <w:basedOn w:val="NormalTablo"/>
    <w:pPr>
      <w:autoSpaceDE w:val="0"/>
      <w:autoSpaceDN w:val="0"/>
    </w:pPr>
    <w:rPr>
      <w:sz w:val="20"/>
      <w:szCs w:val="20"/>
      <w:lang w:val="en-US"/>
    </w:rPr>
    <w:tblPr>
      <w:tblStyleRowBandSize w:val="1"/>
      <w:tblStyleColBandSize w:val="1"/>
    </w:tblPr>
  </w:style>
  <w:style w:type="table" w:customStyle="1" w:styleId="aa">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b">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c">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d">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e">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0">
    <w:basedOn w:val="NormalTablo"/>
    <w:pPr>
      <w:autoSpaceDE w:val="0"/>
      <w:autoSpaceDN w:val="0"/>
    </w:pPr>
    <w:rPr>
      <w:rFonts w:asciiTheme="minorHAnsi" w:hAnsiTheme="minorHAnsi" w:cstheme="minorBidi"/>
      <w:sz w:val="22"/>
      <w:szCs w:val="22"/>
      <w:lang w:val="en-US"/>
    </w:rPr>
    <w:tblPr>
      <w:tblStyleRowBandSize w:val="1"/>
      <w:tblStyleColBandSize w:val="1"/>
      <w:tblCellMar>
        <w:left w:w="115" w:type="dxa"/>
        <w:right w:w="115" w:type="dxa"/>
      </w:tblCellMar>
    </w:tblPr>
  </w:style>
  <w:style w:type="table" w:customStyle="1" w:styleId="af1">
    <w:basedOn w:val="NormalTablo"/>
    <w:pPr>
      <w:autoSpaceDE w:val="0"/>
      <w:autoSpaceDN w:val="0"/>
    </w:pPr>
    <w:rPr>
      <w:rFonts w:asciiTheme="minorHAnsi" w:hAnsiTheme="minorHAnsi" w:cstheme="minorBidi"/>
      <w:color w:val="000000"/>
      <w:sz w:val="22"/>
      <w:szCs w:val="22"/>
      <w:lang w:val="en-US"/>
    </w:rPr>
    <w:tblPr>
      <w:tblStyleRowBandSize w:val="1"/>
      <w:tblStyleColBandSize w:val="1"/>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2">
    <w:basedOn w:val="NormalTablo"/>
    <w:pPr>
      <w:autoSpaceDE w:val="0"/>
      <w:autoSpaceDN w:val="0"/>
    </w:pPr>
    <w:rPr>
      <w:sz w:val="20"/>
      <w:szCs w:val="20"/>
      <w:lang w:val="en-US"/>
    </w:rPr>
    <w:tblPr>
      <w:tblStyleRowBandSize w:val="1"/>
      <w:tblStyleColBandSize w:val="1"/>
      <w:tblCellMar>
        <w:top w:w="100" w:type="dxa"/>
        <w:left w:w="100" w:type="dxa"/>
        <w:bottom w:w="100" w:type="dxa"/>
        <w:right w:w="100" w:type="dxa"/>
      </w:tblCellMar>
    </w:tblPr>
  </w:style>
  <w:style w:type="table" w:customStyle="1" w:styleId="af3">
    <w:basedOn w:val="NormalTablo"/>
    <w:pPr>
      <w:autoSpaceDE w:val="0"/>
      <w:autoSpaceDN w:val="0"/>
    </w:pPr>
    <w:rPr>
      <w:sz w:val="20"/>
      <w:szCs w:val="20"/>
      <w:lang w:val="en-US"/>
    </w:rPr>
    <w:tblPr>
      <w:tblStyleRowBandSize w:val="1"/>
      <w:tblStyleColBandSize w:val="1"/>
      <w:tblCellMar>
        <w:top w:w="100" w:type="dxa"/>
        <w:left w:w="100" w:type="dxa"/>
        <w:bottom w:w="100" w:type="dxa"/>
        <w:right w:w="100" w:type="dxa"/>
      </w:tblCellMar>
    </w:tblPr>
  </w:style>
  <w:style w:type="table" w:customStyle="1" w:styleId="af4">
    <w:basedOn w:val="NormalTablo"/>
    <w:pPr>
      <w:autoSpaceDE w:val="0"/>
      <w:autoSpaceDN w:val="0"/>
    </w:pPr>
    <w:rPr>
      <w:sz w:val="20"/>
      <w:szCs w:val="20"/>
      <w:lang w:val="en-US"/>
    </w:rPr>
    <w:tblPr>
      <w:tblStyleRowBandSize w:val="1"/>
      <w:tblStyleColBandSize w:val="1"/>
    </w:tblPr>
  </w:style>
  <w:style w:type="table" w:customStyle="1" w:styleId="af5">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6">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7">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8">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9">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a">
    <w:basedOn w:val="NormalTablo"/>
    <w:pPr>
      <w:autoSpaceDE w:val="0"/>
      <w:autoSpaceDN w:val="0"/>
    </w:pPr>
    <w:rPr>
      <w:rFonts w:asciiTheme="minorHAnsi" w:hAnsiTheme="minorHAnsi" w:cstheme="minorBidi"/>
      <w:sz w:val="22"/>
      <w:szCs w:val="22"/>
      <w:lang w:val="en-US"/>
    </w:rPr>
    <w:tblPr>
      <w:tblStyleRowBandSize w:val="1"/>
      <w:tblStyleColBandSize w:val="1"/>
      <w:tblCellMar>
        <w:top w:w="15" w:type="dxa"/>
        <w:left w:w="15" w:type="dxa"/>
        <w:bottom w:w="15" w:type="dxa"/>
        <w:right w:w="15" w:type="dxa"/>
      </w:tblCellMar>
    </w:tblPr>
  </w:style>
  <w:style w:type="table" w:customStyle="1" w:styleId="afb">
    <w:basedOn w:val="NormalTablo"/>
    <w:pPr>
      <w:autoSpaceDE w:val="0"/>
      <w:autoSpaceDN w:val="0"/>
    </w:pPr>
    <w:rPr>
      <w:rFonts w:asciiTheme="minorHAnsi" w:hAnsiTheme="minorHAnsi" w:cstheme="minorBidi"/>
      <w:sz w:val="22"/>
      <w:szCs w:val="22"/>
      <w:lang w:val="en-US"/>
    </w:rPr>
    <w:tblPr>
      <w:tblStyleRowBandSize w:val="1"/>
      <w:tblStyleColBandSize w:val="1"/>
      <w:tblCellMar>
        <w:left w:w="115" w:type="dxa"/>
        <w:right w:w="115" w:type="dxa"/>
      </w:tblCellMar>
    </w:tblPr>
  </w:style>
  <w:style w:type="table" w:customStyle="1" w:styleId="afc">
    <w:basedOn w:val="NormalTablo"/>
    <w:pPr>
      <w:autoSpaceDE w:val="0"/>
      <w:autoSpaceDN w:val="0"/>
    </w:pPr>
    <w:rPr>
      <w:rFonts w:asciiTheme="minorHAnsi" w:hAnsiTheme="minorHAnsi" w:cstheme="minorBidi"/>
      <w:color w:val="000000"/>
      <w:sz w:val="22"/>
      <w:szCs w:val="22"/>
      <w:lang w:val="en-US"/>
    </w:rPr>
    <w:tblPr>
      <w:tblStyleRowBandSize w:val="1"/>
      <w:tblStyleColBandSize w:val="1"/>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1">
    <w:name w:val="Table Normal1"/>
    <w:rsid w:val="001B253C"/>
    <w:tblPr>
      <w:tblCellMar>
        <w:top w:w="0" w:type="dxa"/>
        <w:left w:w="0" w:type="dxa"/>
        <w:bottom w:w="0" w:type="dxa"/>
        <w:right w:w="0" w:type="dxa"/>
      </w:tblCellMar>
    </w:tblPr>
  </w:style>
  <w:style w:type="table" w:customStyle="1" w:styleId="TableNormal2">
    <w:name w:val="Table Normal2"/>
    <w:uiPriority w:val="2"/>
    <w:semiHidden/>
    <w:unhideWhenUsed/>
    <w:qFormat/>
    <w:rsid w:val="001B253C"/>
    <w:pPr>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apple-tab-span">
    <w:name w:val="apple-tab-span"/>
    <w:basedOn w:val="VarsaylanParagrafYazTipi"/>
    <w:rsid w:val="00B1089D"/>
  </w:style>
  <w:style w:type="paragraph" w:styleId="Kaynaka">
    <w:name w:val="Bibliography"/>
    <w:basedOn w:val="Normal"/>
    <w:next w:val="Normal"/>
    <w:uiPriority w:val="37"/>
    <w:unhideWhenUsed/>
    <w:rsid w:val="0034640B"/>
    <w:pPr>
      <w:widowControl/>
      <w:autoSpaceDE/>
      <w:autoSpaceDN/>
      <w:spacing w:after="160" w:line="259" w:lineRule="auto"/>
    </w:pPr>
    <w:rPr>
      <w:rFonts w:asciiTheme="minorHAnsi" w:eastAsiaTheme="minorHAnsi" w:hAnsiTheme="minorHAnsi" w:cstheme="minorBidi"/>
      <w:kern w:val="2"/>
      <w:sz w:val="22"/>
      <w:szCs w:val="22"/>
      <w:lang w:eastAsia="en-US"/>
      <w14:ligatures w14:val="standardContextual"/>
    </w:rPr>
  </w:style>
  <w:style w:type="character" w:styleId="SonNotBavurusu">
    <w:name w:val="endnote reference"/>
    <w:basedOn w:val="VarsaylanParagrafYazTipi"/>
    <w:uiPriority w:val="99"/>
    <w:semiHidden/>
    <w:unhideWhenUsed/>
    <w:rsid w:val="0034640B"/>
    <w:rPr>
      <w:vertAlign w:val="superscript"/>
    </w:rPr>
  </w:style>
  <w:style w:type="character" w:styleId="Vurgu">
    <w:name w:val="Emphasis"/>
    <w:aliases w:val="4. Düzey Alt Başlık"/>
    <w:basedOn w:val="VarsaylanParagrafYazTipi"/>
    <w:uiPriority w:val="20"/>
    <w:qFormat/>
    <w:rsid w:val="001E7189"/>
    <w:rPr>
      <w:i/>
      <w:iCs/>
    </w:rPr>
  </w:style>
  <w:style w:type="paragraph" w:styleId="ResimYazs">
    <w:name w:val="caption"/>
    <w:basedOn w:val="Normal"/>
    <w:next w:val="Normal"/>
    <w:uiPriority w:val="35"/>
    <w:unhideWhenUsed/>
    <w:qFormat/>
    <w:rsid w:val="001E7189"/>
    <w:pPr>
      <w:widowControl/>
      <w:autoSpaceDE/>
      <w:autoSpaceDN/>
      <w:spacing w:after="200"/>
    </w:pPr>
    <w:rPr>
      <w:rFonts w:asciiTheme="minorHAnsi" w:eastAsiaTheme="minorHAnsi" w:hAnsiTheme="minorHAnsi" w:cstheme="minorBidi"/>
      <w:i/>
      <w:iCs/>
      <w:color w:val="0E2841" w:themeColor="text2"/>
      <w:sz w:val="18"/>
      <w:szCs w:val="18"/>
      <w:lang w:eastAsia="en-US"/>
    </w:rPr>
  </w:style>
  <w:style w:type="paragraph" w:customStyle="1" w:styleId="IGUTezParagraf">
    <w:name w:val="IGU Tez Paragraf"/>
    <w:basedOn w:val="Normal"/>
    <w:qFormat/>
    <w:rsid w:val="001E7189"/>
    <w:pPr>
      <w:widowControl/>
      <w:adjustRightInd w:val="0"/>
      <w:spacing w:before="120" w:after="120" w:line="360" w:lineRule="auto"/>
      <w:ind w:firstLine="567"/>
      <w:jc w:val="both"/>
    </w:pPr>
    <w:rPr>
      <w:rFonts w:eastAsiaTheme="minorHAnsi"/>
      <w:lang w:eastAsia="en-US"/>
    </w:rPr>
  </w:style>
  <w:style w:type="paragraph" w:customStyle="1" w:styleId="IGUTezDigerBolumBaslik">
    <w:name w:val="IGU Tez Diger Bolum Baslik"/>
    <w:basedOn w:val="Balk1"/>
    <w:next w:val="IGUTezParagraf"/>
    <w:qFormat/>
    <w:rsid w:val="001E7189"/>
    <w:pPr>
      <w:keepLines w:val="0"/>
      <w:widowControl w:val="0"/>
      <w:spacing w:after="240" w:line="360" w:lineRule="auto"/>
    </w:pPr>
    <w:rPr>
      <w:rFonts w:eastAsia="Times New Roman" w:cs="Times New Roman"/>
      <w:b/>
      <w:caps/>
      <w:snapToGrid w:val="0"/>
      <w:spacing w:val="-8"/>
      <w:kern w:val="144"/>
      <w:sz w:val="28"/>
      <w:szCs w:val="28"/>
    </w:rPr>
  </w:style>
  <w:style w:type="paragraph" w:customStyle="1" w:styleId="IGUTezKaynakca">
    <w:name w:val="IGU Tez Kaynakca"/>
    <w:basedOn w:val="IGUTezParagraf"/>
    <w:qFormat/>
    <w:rsid w:val="001E7189"/>
    <w:pPr>
      <w:spacing w:before="240" w:after="240" w:line="240" w:lineRule="auto"/>
      <w:ind w:left="709" w:hanging="709"/>
    </w:pPr>
    <w:rPr>
      <w:lang w:val="en-US"/>
    </w:rPr>
  </w:style>
  <w:style w:type="table" w:customStyle="1" w:styleId="Style10">
    <w:name w:val="_Style 10"/>
    <w:basedOn w:val="NormalTablo"/>
    <w:qFormat/>
    <w:rsid w:val="001E7189"/>
    <w:pPr>
      <w:widowControl/>
    </w:pPr>
    <w:rPr>
      <w:rFonts w:eastAsia="SimSun"/>
      <w:sz w:val="20"/>
      <w:szCs w:val="20"/>
    </w:rPr>
    <w:tblPr>
      <w:tblInd w:w="0" w:type="nil"/>
      <w:tblCellMar>
        <w:top w:w="100" w:type="dxa"/>
        <w:left w:w="100" w:type="dxa"/>
        <w:bottom w:w="100" w:type="dxa"/>
        <w:right w:w="100" w:type="dxa"/>
      </w:tblCellMar>
    </w:tblPr>
  </w:style>
  <w:style w:type="table" w:customStyle="1" w:styleId="Style11">
    <w:name w:val="_Style 11"/>
    <w:basedOn w:val="NormalTablo"/>
    <w:qFormat/>
    <w:rsid w:val="001E7189"/>
    <w:pPr>
      <w:widowControl/>
    </w:pPr>
    <w:rPr>
      <w:rFonts w:eastAsia="SimSun"/>
      <w:sz w:val="20"/>
      <w:szCs w:val="20"/>
    </w:rPr>
    <w:tblPr>
      <w:tblInd w:w="0" w:type="nil"/>
      <w:tblCellMar>
        <w:top w:w="100" w:type="dxa"/>
        <w:left w:w="100" w:type="dxa"/>
        <w:bottom w:w="100" w:type="dxa"/>
        <w:right w:w="100" w:type="dxa"/>
      </w:tblCellMar>
    </w:tblPr>
  </w:style>
  <w:style w:type="paragraph" w:styleId="AklamaMetni">
    <w:name w:val="annotation text"/>
    <w:basedOn w:val="Normal"/>
    <w:link w:val="AklamaMetniChar"/>
    <w:uiPriority w:val="99"/>
    <w:unhideWhenUsed/>
    <w:rsid w:val="001E7189"/>
    <w:pPr>
      <w:widowControl/>
      <w:autoSpaceDE/>
      <w:autoSpaceDN/>
    </w:pPr>
    <w:rPr>
      <w:rFonts w:asciiTheme="minorHAnsi" w:eastAsiaTheme="minorHAnsi" w:hAnsiTheme="minorHAnsi" w:cstheme="minorBidi"/>
      <w:kern w:val="2"/>
      <w:sz w:val="20"/>
      <w:szCs w:val="20"/>
      <w:lang w:eastAsia="en-US"/>
      <w14:ligatures w14:val="standardContextual"/>
    </w:rPr>
  </w:style>
  <w:style w:type="character" w:customStyle="1" w:styleId="AklamaMetniChar">
    <w:name w:val="Açıklama Metni Char"/>
    <w:basedOn w:val="VarsaylanParagrafYazTipi"/>
    <w:link w:val="AklamaMetni"/>
    <w:uiPriority w:val="99"/>
    <w:rsid w:val="001E7189"/>
    <w:rPr>
      <w:rFonts w:asciiTheme="minorHAnsi" w:eastAsiaTheme="minorHAnsi" w:hAnsiTheme="minorHAnsi" w:cstheme="minorBidi"/>
      <w:kern w:val="2"/>
      <w:sz w:val="20"/>
      <w:szCs w:val="20"/>
      <w:lang w:eastAsia="en-US"/>
      <w14:ligatures w14:val="standardContextual"/>
    </w:rPr>
  </w:style>
  <w:style w:type="table" w:styleId="AkGlgeleme">
    <w:name w:val="Light Shading"/>
    <w:basedOn w:val="NormalTablo"/>
    <w:uiPriority w:val="60"/>
    <w:rsid w:val="001E7189"/>
    <w:pPr>
      <w:widowControl/>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GvdeMetniGirintisi">
    <w:name w:val="Body Text Indent"/>
    <w:basedOn w:val="Normal"/>
    <w:link w:val="GvdeMetniGirintisiChar"/>
    <w:uiPriority w:val="99"/>
    <w:unhideWhenUsed/>
    <w:rsid w:val="001E7189"/>
    <w:pPr>
      <w:widowControl/>
      <w:autoSpaceDE/>
      <w:autoSpaceDN/>
      <w:spacing w:after="120"/>
      <w:ind w:left="283"/>
    </w:pPr>
    <w:rPr>
      <w:rFonts w:asciiTheme="minorHAnsi" w:eastAsiaTheme="minorHAnsi" w:hAnsiTheme="minorHAnsi" w:cstheme="minorBidi"/>
      <w:kern w:val="2"/>
      <w:lang w:eastAsia="en-US"/>
      <w14:ligatures w14:val="standardContextual"/>
    </w:rPr>
  </w:style>
  <w:style w:type="character" w:customStyle="1" w:styleId="GvdeMetniGirintisiChar">
    <w:name w:val="Gövde Metni Girintisi Char"/>
    <w:basedOn w:val="VarsaylanParagrafYazTipi"/>
    <w:link w:val="GvdeMetniGirintisi"/>
    <w:uiPriority w:val="99"/>
    <w:rsid w:val="001E7189"/>
    <w:rPr>
      <w:rFonts w:asciiTheme="minorHAnsi" w:eastAsiaTheme="minorHAnsi" w:hAnsiTheme="minorHAnsi" w:cstheme="minorBidi"/>
      <w:kern w:val="2"/>
      <w:lang w:eastAsia="en-US"/>
      <w14:ligatures w14:val="standardContextual"/>
    </w:rPr>
  </w:style>
  <w:style w:type="paragraph" w:styleId="GvdeMetni2">
    <w:name w:val="Body Text 2"/>
    <w:basedOn w:val="Normal"/>
    <w:link w:val="GvdeMetni2Char"/>
    <w:uiPriority w:val="99"/>
    <w:unhideWhenUsed/>
    <w:rsid w:val="001E7189"/>
    <w:pPr>
      <w:widowControl/>
      <w:autoSpaceDE/>
      <w:autoSpaceDN/>
      <w:spacing w:after="120"/>
      <w:jc w:val="both"/>
    </w:pPr>
    <w:rPr>
      <w:rFonts w:eastAsiaTheme="minorHAnsi"/>
      <w:color w:val="FF0000"/>
      <w:kern w:val="2"/>
      <w:lang w:eastAsia="en-US"/>
      <w14:ligatures w14:val="standardContextual"/>
    </w:rPr>
  </w:style>
  <w:style w:type="character" w:customStyle="1" w:styleId="GvdeMetni2Char">
    <w:name w:val="Gövde Metni 2 Char"/>
    <w:basedOn w:val="VarsaylanParagrafYazTipi"/>
    <w:link w:val="GvdeMetni2"/>
    <w:uiPriority w:val="99"/>
    <w:rsid w:val="001E7189"/>
    <w:rPr>
      <w:rFonts w:eastAsiaTheme="minorHAnsi"/>
      <w:color w:val="FF0000"/>
      <w:kern w:val="2"/>
      <w:lang w:eastAsia="en-US"/>
      <w14:ligatures w14:val="standardContextual"/>
    </w:rPr>
  </w:style>
  <w:style w:type="table" w:customStyle="1" w:styleId="TableNormal">
    <w:name w:val="Table Normal"/>
    <w:uiPriority w:val="2"/>
    <w:semiHidden/>
    <w:unhideWhenUsed/>
    <w:qFormat/>
    <w:rsid w:val="007E702F"/>
    <w:pPr>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BalonMetni">
    <w:name w:val="Balloon Text"/>
    <w:basedOn w:val="Normal"/>
    <w:link w:val="BalonMetniChar"/>
    <w:uiPriority w:val="99"/>
    <w:semiHidden/>
    <w:unhideWhenUsed/>
    <w:rsid w:val="00FA457D"/>
    <w:pPr>
      <w:widowControl/>
      <w:autoSpaceDE/>
      <w:autoSpaceDN/>
    </w:pPr>
    <w:rPr>
      <w:rFonts w:ascii="Segoe UI" w:eastAsia="Calibri" w:hAnsi="Segoe UI" w:cs="Segoe UI"/>
      <w:sz w:val="18"/>
      <w:szCs w:val="18"/>
    </w:rPr>
  </w:style>
  <w:style w:type="character" w:customStyle="1" w:styleId="BalonMetniChar">
    <w:name w:val="Balon Metni Char"/>
    <w:basedOn w:val="VarsaylanParagrafYazTipi"/>
    <w:link w:val="BalonMetni"/>
    <w:uiPriority w:val="99"/>
    <w:semiHidden/>
    <w:rsid w:val="00FA457D"/>
    <w:rPr>
      <w:rFonts w:ascii="Segoe UI" w:eastAsia="Calibri" w:hAnsi="Segoe UI" w:cs="Segoe UI"/>
      <w:sz w:val="18"/>
      <w:szCs w:val="18"/>
    </w:rPr>
  </w:style>
  <w:style w:type="paragraph" w:styleId="AklamaKonusu">
    <w:name w:val="annotation subject"/>
    <w:basedOn w:val="AklamaMetni"/>
    <w:next w:val="AklamaMetni"/>
    <w:link w:val="AklamaKonusuChar"/>
    <w:uiPriority w:val="99"/>
    <w:semiHidden/>
    <w:unhideWhenUsed/>
    <w:rsid w:val="00FA457D"/>
    <w:pPr>
      <w:spacing w:after="160"/>
    </w:pPr>
    <w:rPr>
      <w:rFonts w:ascii="Calibri" w:eastAsia="Calibri" w:hAnsi="Calibri" w:cs="Calibri"/>
      <w:b/>
      <w:bCs/>
      <w:kern w:val="0"/>
      <w:lang w:eastAsia="tr-TR"/>
      <w14:ligatures w14:val="none"/>
    </w:rPr>
  </w:style>
  <w:style w:type="character" w:customStyle="1" w:styleId="AklamaKonusuChar">
    <w:name w:val="Açıklama Konusu Char"/>
    <w:basedOn w:val="AklamaMetniChar"/>
    <w:link w:val="AklamaKonusu"/>
    <w:uiPriority w:val="99"/>
    <w:semiHidden/>
    <w:rsid w:val="00FA457D"/>
    <w:rPr>
      <w:rFonts w:ascii="Calibri" w:eastAsia="Calibri" w:hAnsi="Calibri" w:cs="Calibri"/>
      <w:b/>
      <w:bCs/>
      <w:kern w:val="2"/>
      <w:sz w:val="20"/>
      <w:szCs w:val="20"/>
      <w:lang w:eastAsia="en-US"/>
      <w14:ligatures w14:val="standardContextual"/>
    </w:rPr>
  </w:style>
  <w:style w:type="table" w:customStyle="1" w:styleId="1">
    <w:name w:val="1"/>
    <w:basedOn w:val="NormalTablo"/>
    <w:rsid w:val="00FA457D"/>
    <w:pPr>
      <w:widowControl/>
      <w:spacing w:after="160" w:line="259" w:lineRule="auto"/>
      <w:ind w:left="5664" w:hanging="4956"/>
    </w:pPr>
    <w:rPr>
      <w:rFonts w:ascii="Calibri" w:eastAsia="Calibri" w:hAnsi="Calibri" w:cs="Calibri"/>
      <w:sz w:val="22"/>
      <w:szCs w:val="22"/>
    </w:rPr>
    <w:tblPr>
      <w:tblStyleRowBandSize w:val="1"/>
      <w:tblStyleColBandSize w:val="1"/>
      <w:tblCellMar>
        <w:left w:w="115" w:type="dxa"/>
        <w:right w:w="115" w:type="dxa"/>
      </w:tblCellMar>
    </w:tblPr>
  </w:style>
  <w:style w:type="character" w:customStyle="1" w:styleId="overflow-hidden">
    <w:name w:val="overflow-hidden"/>
    <w:basedOn w:val="VarsaylanParagrafYazTipi"/>
    <w:rsid w:val="00FA457D"/>
  </w:style>
  <w:style w:type="paragraph" w:styleId="z-Formunst">
    <w:name w:val="HTML Top of Form"/>
    <w:basedOn w:val="Normal"/>
    <w:next w:val="Normal"/>
    <w:link w:val="z-FormunstChar"/>
    <w:hidden/>
    <w:uiPriority w:val="99"/>
    <w:semiHidden/>
    <w:unhideWhenUsed/>
    <w:rsid w:val="00FA457D"/>
    <w:pPr>
      <w:widowControl/>
      <w:pBdr>
        <w:bottom w:val="single" w:sz="6" w:space="1" w:color="auto"/>
      </w:pBdr>
      <w:autoSpaceDE/>
      <w:autoSpaceDN/>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FA457D"/>
    <w:rPr>
      <w:rFonts w:ascii="Arial" w:hAnsi="Arial" w:cs="Arial"/>
      <w:vanish/>
      <w:sz w:val="16"/>
      <w:szCs w:val="16"/>
    </w:rPr>
  </w:style>
  <w:style w:type="paragraph" w:styleId="z-FormunAlt">
    <w:name w:val="HTML Bottom of Form"/>
    <w:basedOn w:val="Normal"/>
    <w:next w:val="Normal"/>
    <w:link w:val="z-FormunAltChar"/>
    <w:hidden/>
    <w:uiPriority w:val="99"/>
    <w:semiHidden/>
    <w:unhideWhenUsed/>
    <w:rsid w:val="00FA457D"/>
    <w:pPr>
      <w:widowControl/>
      <w:pBdr>
        <w:top w:val="single" w:sz="6" w:space="1" w:color="auto"/>
      </w:pBdr>
      <w:autoSpaceDE/>
      <w:autoSpaceDN/>
      <w:jc w:val="center"/>
    </w:pPr>
    <w:rPr>
      <w:rFonts w:ascii="Arial" w:hAnsi="Arial" w:cs="Arial"/>
      <w:vanish/>
      <w:sz w:val="16"/>
      <w:szCs w:val="16"/>
    </w:rPr>
  </w:style>
  <w:style w:type="character" w:customStyle="1" w:styleId="z-FormunAltChar">
    <w:name w:val="z-Formun Altı Char"/>
    <w:basedOn w:val="VarsaylanParagrafYazTipi"/>
    <w:link w:val="z-FormunAlt"/>
    <w:uiPriority w:val="99"/>
    <w:semiHidden/>
    <w:rsid w:val="00FA457D"/>
    <w:rPr>
      <w:rFonts w:ascii="Arial" w:hAnsi="Arial" w:cs="Arial"/>
      <w:vanish/>
      <w:sz w:val="16"/>
      <w:szCs w:val="16"/>
    </w:rPr>
  </w:style>
  <w:style w:type="paragraph" w:styleId="Dzeltme">
    <w:name w:val="Revision"/>
    <w:hidden/>
    <w:uiPriority w:val="99"/>
    <w:semiHidden/>
    <w:rsid w:val="004D5415"/>
    <w:pPr>
      <w:widowControl/>
    </w:pPr>
  </w:style>
  <w:style w:type="character" w:styleId="SatrNumaras">
    <w:name w:val="line number"/>
    <w:basedOn w:val="VarsaylanParagrafYazTipi"/>
    <w:uiPriority w:val="99"/>
    <w:semiHidden/>
    <w:unhideWhenUsed/>
    <w:rsid w:val="003B6CAE"/>
  </w:style>
  <w:style w:type="paragraph" w:customStyle="1" w:styleId="Stil1">
    <w:name w:val="Stil1"/>
    <w:basedOn w:val="Articletitle"/>
    <w:qFormat/>
    <w:rsid w:val="00164C0C"/>
    <w:rPr>
      <w:rFonts w:ascii="Times New Roman" w:hAnsi="Times New Roman"/>
      <w:sz w:val="24"/>
    </w:rPr>
  </w:style>
  <w:style w:type="paragraph" w:customStyle="1" w:styleId="Tark">
    <w:name w:val="Tarık"/>
    <w:basedOn w:val="Balk1"/>
    <w:next w:val="Metin"/>
    <w:autoRedefine/>
    <w:qFormat/>
    <w:rsid w:val="004C7694"/>
    <w:rPr>
      <w:b/>
    </w:rPr>
  </w:style>
  <w:style w:type="paragraph" w:customStyle="1" w:styleId="Metin">
    <w:name w:val="Metin"/>
    <w:basedOn w:val="Normal"/>
    <w:next w:val="Normal"/>
    <w:autoRedefine/>
    <w:qFormat/>
    <w:rsid w:val="00E86AA5"/>
    <w:pPr>
      <w:jc w:val="both"/>
    </w:pPr>
    <w:rPr>
      <w:bCs/>
      <w:noProof/>
    </w:rPr>
  </w:style>
  <w:style w:type="paragraph" w:customStyle="1" w:styleId="EndNoteBibliography">
    <w:name w:val="EndNote Bibliography"/>
    <w:basedOn w:val="Normal"/>
    <w:link w:val="EndNoteBibliographyChar"/>
    <w:rsid w:val="00B470AD"/>
    <w:pPr>
      <w:widowControl/>
      <w:autoSpaceDE/>
      <w:autoSpaceDN/>
      <w:spacing w:after="160"/>
      <w:jc w:val="both"/>
    </w:pPr>
    <w:rPr>
      <w:rFonts w:asciiTheme="minorHAnsi" w:eastAsiaTheme="minorHAnsi" w:hAnsiTheme="minorHAnsi" w:cstheme="minorBidi"/>
      <w:noProof/>
      <w:sz w:val="20"/>
      <w:szCs w:val="22"/>
      <w:lang w:val="en-US" w:eastAsia="en-US"/>
    </w:rPr>
  </w:style>
  <w:style w:type="character" w:customStyle="1" w:styleId="EndNoteBibliographyChar">
    <w:name w:val="EndNote Bibliography Char"/>
    <w:basedOn w:val="DipnotMetniChar"/>
    <w:link w:val="EndNoteBibliography"/>
    <w:rsid w:val="00B470AD"/>
    <w:rPr>
      <w:rFonts w:asciiTheme="minorHAnsi" w:eastAsiaTheme="minorHAnsi" w:hAnsiTheme="minorHAnsi" w:cstheme="minorBidi"/>
      <w:bCs w:val="0"/>
      <w:noProof/>
      <w:color w:val="auto"/>
      <w:kern w:val="0"/>
      <w:sz w:val="20"/>
      <w:szCs w:val="22"/>
      <w:lang w:val="en-US" w:eastAsia="en-US"/>
    </w:rPr>
  </w:style>
  <w:style w:type="character" w:customStyle="1" w:styleId="normaltextrun">
    <w:name w:val="normaltextrun"/>
    <w:basedOn w:val="VarsaylanParagrafYazTipi"/>
    <w:rsid w:val="003E3BD3"/>
  </w:style>
  <w:style w:type="character" w:customStyle="1" w:styleId="eop">
    <w:name w:val="eop"/>
    <w:basedOn w:val="VarsaylanParagrafYazTipi"/>
    <w:rsid w:val="003E3BD3"/>
  </w:style>
  <w:style w:type="paragraph" w:customStyle="1" w:styleId="Standard">
    <w:name w:val="Standard"/>
    <w:qFormat/>
    <w:rsid w:val="00E3302B"/>
    <w:pPr>
      <w:widowControl/>
      <w:suppressAutoHyphens/>
      <w:textAlignment w:val="baseline"/>
    </w:pPr>
    <w:rPr>
      <w:rFonts w:ascii="Liberation Serif" w:eastAsia="Bitstream Vera Sans" w:hAnsi="Liberation Serif" w:cs="FreeSans"/>
      <w:kern w:val="2"/>
      <w:lang w:eastAsia="zh-CN" w:bidi="hi-IN"/>
    </w:rPr>
  </w:style>
  <w:style w:type="paragraph" w:customStyle="1" w:styleId="Tabloerii">
    <w:name w:val="Tablo İçeriği"/>
    <w:basedOn w:val="Normal"/>
    <w:qFormat/>
    <w:rsid w:val="00E3302B"/>
    <w:pPr>
      <w:suppressLineNumbers/>
      <w:suppressAutoHyphens/>
      <w:autoSpaceDE/>
      <w:autoSpaceDN/>
    </w:pPr>
    <w:rPr>
      <w:rFonts w:ascii="Liberation Serif" w:eastAsia="Bitstream Vera Sans" w:hAnsi="Liberation Serif" w:cs="FreeSans"/>
      <w:kern w:val="2"/>
      <w:lang w:eastAsia="zh-CN" w:bidi="hi-IN"/>
    </w:rPr>
  </w:style>
  <w:style w:type="character" w:customStyle="1" w:styleId="selectable-text">
    <w:name w:val="selectable-text"/>
    <w:basedOn w:val="VarsaylanParagrafYazTipi"/>
    <w:rsid w:val="00E3302B"/>
  </w:style>
  <w:style w:type="character" w:customStyle="1" w:styleId="editortnoteditedwurp8">
    <w:name w:val="editor_t__not_edited__wurp8"/>
    <w:basedOn w:val="VarsaylanParagrafYazTipi"/>
    <w:rsid w:val="00E3302B"/>
  </w:style>
  <w:style w:type="paragraph" w:styleId="ekillerTablosu">
    <w:name w:val="table of figures"/>
    <w:basedOn w:val="Default"/>
    <w:next w:val="Default"/>
    <w:uiPriority w:val="99"/>
    <w:rsid w:val="00E3302B"/>
    <w:pPr>
      <w:widowControl/>
    </w:pPr>
    <w:rPr>
      <w:color w:val="auto"/>
    </w:rPr>
  </w:style>
  <w:style w:type="paragraph" w:customStyle="1" w:styleId="TOFI">
    <w:name w:val="TOFI"/>
    <w:basedOn w:val="Default"/>
    <w:next w:val="Default"/>
    <w:uiPriority w:val="99"/>
    <w:rsid w:val="00E3302B"/>
    <w:pPr>
      <w:widowControl/>
    </w:pPr>
    <w:rPr>
      <w:color w:val="auto"/>
    </w:rPr>
  </w:style>
  <w:style w:type="paragraph" w:customStyle="1" w:styleId="RenkliListe-Vurgu11">
    <w:name w:val="Renkli Liste - Vurgu 11"/>
    <w:basedOn w:val="Normal"/>
    <w:uiPriority w:val="34"/>
    <w:qFormat/>
    <w:rsid w:val="00E3302B"/>
    <w:pPr>
      <w:widowControl/>
      <w:autoSpaceDE/>
      <w:autoSpaceDN/>
      <w:ind w:left="720" w:firstLine="709"/>
      <w:contextualSpacing/>
      <w:jc w:val="both"/>
    </w:pPr>
    <w:rPr>
      <w:rFonts w:ascii="Calibri" w:hAnsi="Calibri"/>
      <w:sz w:val="22"/>
      <w:szCs w:val="22"/>
    </w:rPr>
  </w:style>
  <w:style w:type="character" w:customStyle="1" w:styleId="apple-style-span">
    <w:name w:val="apple-style-span"/>
    <w:basedOn w:val="VarsaylanParagrafYazTipi"/>
    <w:rsid w:val="00E3302B"/>
  </w:style>
  <w:style w:type="character" w:customStyle="1" w:styleId="mediumtext">
    <w:name w:val="medium_text"/>
    <w:uiPriority w:val="99"/>
    <w:rsid w:val="00E3302B"/>
    <w:rPr>
      <w:rFonts w:cs="Times New Roman"/>
    </w:rPr>
  </w:style>
  <w:style w:type="character" w:customStyle="1" w:styleId="shorttext">
    <w:name w:val="short_text"/>
    <w:uiPriority w:val="99"/>
    <w:rsid w:val="00E3302B"/>
    <w:rPr>
      <w:rFonts w:cs="Times New Roman"/>
    </w:rPr>
  </w:style>
  <w:style w:type="character" w:customStyle="1" w:styleId="longtext">
    <w:name w:val="long_text"/>
    <w:uiPriority w:val="99"/>
    <w:rsid w:val="00E3302B"/>
    <w:rPr>
      <w:rFonts w:cs="Times New Roman"/>
    </w:rPr>
  </w:style>
  <w:style w:type="paragraph" w:customStyle="1" w:styleId="ListeParagraf1">
    <w:name w:val="Liste Paragraf1"/>
    <w:basedOn w:val="Normal"/>
    <w:rsid w:val="00E3302B"/>
    <w:pPr>
      <w:widowControl/>
      <w:autoSpaceDE/>
      <w:autoSpaceDN/>
      <w:ind w:left="720" w:firstLine="709"/>
      <w:jc w:val="both"/>
    </w:pPr>
    <w:rPr>
      <w:rFonts w:ascii="Calibri" w:hAnsi="Calibri"/>
      <w:sz w:val="22"/>
      <w:szCs w:val="22"/>
    </w:rPr>
  </w:style>
  <w:style w:type="paragraph" w:styleId="SonNotMetni">
    <w:name w:val="endnote text"/>
    <w:link w:val="SonNotMetniChar"/>
    <w:uiPriority w:val="99"/>
    <w:unhideWhenUsed/>
    <w:rsid w:val="00E3302B"/>
    <w:pPr>
      <w:widowControl/>
      <w:ind w:firstLine="709"/>
      <w:jc w:val="both"/>
    </w:pPr>
    <w:rPr>
      <w:rFonts w:ascii="Calibri" w:hAnsi="Calibri"/>
      <w:sz w:val="20"/>
      <w:szCs w:val="20"/>
    </w:rPr>
  </w:style>
  <w:style w:type="character" w:customStyle="1" w:styleId="SonNotMetniChar">
    <w:name w:val="Son Not Metni Char"/>
    <w:basedOn w:val="VarsaylanParagrafYazTipi"/>
    <w:link w:val="SonNotMetni"/>
    <w:uiPriority w:val="99"/>
    <w:rsid w:val="00E3302B"/>
    <w:rPr>
      <w:rFonts w:ascii="Calibri" w:hAnsi="Calibri"/>
      <w:sz w:val="20"/>
      <w:szCs w:val="20"/>
    </w:rPr>
  </w:style>
  <w:style w:type="paragraph" w:customStyle="1" w:styleId="kefadzet">
    <w:name w:val="kefad_özet"/>
    <w:basedOn w:val="Normal"/>
    <w:rsid w:val="00E3302B"/>
    <w:pPr>
      <w:widowControl/>
      <w:autoSpaceDE/>
      <w:autoSpaceDN/>
      <w:ind w:firstLine="709"/>
      <w:jc w:val="center"/>
    </w:pPr>
    <w:rPr>
      <w:b/>
      <w:sz w:val="18"/>
      <w:szCs w:val="18"/>
    </w:rPr>
  </w:style>
  <w:style w:type="paragraph" w:customStyle="1" w:styleId="kefadanahtar">
    <w:name w:val="kefad_anahtar"/>
    <w:basedOn w:val="Normal"/>
    <w:link w:val="kefadanahtarChar"/>
    <w:rsid w:val="00E3302B"/>
    <w:pPr>
      <w:widowControl/>
      <w:autoSpaceDE/>
      <w:autoSpaceDN/>
      <w:ind w:firstLine="709"/>
      <w:jc w:val="both"/>
    </w:pPr>
    <w:rPr>
      <w:b/>
      <w:caps/>
      <w:sz w:val="18"/>
      <w:szCs w:val="18"/>
      <w:lang w:val="x-none" w:eastAsia="x-none"/>
    </w:rPr>
  </w:style>
  <w:style w:type="character" w:customStyle="1" w:styleId="kefadanahtarChar">
    <w:name w:val="kefad_anahtar Char"/>
    <w:link w:val="kefadanahtar"/>
    <w:rsid w:val="00E3302B"/>
    <w:rPr>
      <w:b/>
      <w:caps/>
      <w:sz w:val="18"/>
      <w:szCs w:val="18"/>
      <w:lang w:val="x-none" w:eastAsia="x-none"/>
    </w:rPr>
  </w:style>
  <w:style w:type="character" w:styleId="SayfaNumaras">
    <w:name w:val="page number"/>
    <w:basedOn w:val="VarsaylanParagrafYazTipi"/>
    <w:rsid w:val="00E3302B"/>
  </w:style>
  <w:style w:type="paragraph" w:customStyle="1" w:styleId="AnaBalk">
    <w:name w:val="Ana Başlık"/>
    <w:next w:val="Normal"/>
    <w:link w:val="AnaBalkChar"/>
    <w:autoRedefine/>
    <w:qFormat/>
    <w:rsid w:val="00E3302B"/>
    <w:pPr>
      <w:widowControl/>
      <w:jc w:val="center"/>
    </w:pPr>
    <w:rPr>
      <w:b/>
      <w:lang w:eastAsia="en-US"/>
    </w:rPr>
  </w:style>
  <w:style w:type="character" w:customStyle="1" w:styleId="AnaBalkChar">
    <w:name w:val="Ana Başlık Char"/>
    <w:link w:val="AnaBalk"/>
    <w:rsid w:val="00E3302B"/>
    <w:rPr>
      <w:b/>
      <w:lang w:eastAsia="en-US"/>
    </w:rPr>
  </w:style>
  <w:style w:type="paragraph" w:customStyle="1" w:styleId="ListeParagraf2">
    <w:name w:val="Liste Paragraf2"/>
    <w:aliases w:val="Liste Paragraf21"/>
    <w:basedOn w:val="Normal"/>
    <w:next w:val="ListeParagraf"/>
    <w:uiPriority w:val="34"/>
    <w:qFormat/>
    <w:rsid w:val="00E3302B"/>
    <w:pPr>
      <w:widowControl/>
      <w:autoSpaceDE/>
      <w:autoSpaceDN/>
      <w:spacing w:after="160" w:line="254" w:lineRule="auto"/>
      <w:ind w:left="720" w:firstLine="709"/>
      <w:contextualSpacing/>
      <w:jc w:val="both"/>
    </w:pPr>
    <w:rPr>
      <w:rFonts w:eastAsia="Calibri"/>
      <w:sz w:val="22"/>
      <w:szCs w:val="22"/>
      <w:lang w:eastAsia="en-US"/>
    </w:rPr>
  </w:style>
  <w:style w:type="character" w:customStyle="1" w:styleId="SonNotMetniChar1">
    <w:name w:val="Son Not Metni Char1"/>
    <w:basedOn w:val="VarsaylanParagrafYazTipi"/>
    <w:uiPriority w:val="99"/>
    <w:semiHidden/>
    <w:rsid w:val="00E3302B"/>
    <w:rPr>
      <w:rFonts w:ascii="Times New Roman" w:hAnsi="Times New Roman"/>
    </w:rPr>
  </w:style>
  <w:style w:type="character" w:customStyle="1" w:styleId="hidden-xs">
    <w:name w:val="hidden-xs"/>
    <w:basedOn w:val="VarsaylanParagrafYazTipi"/>
    <w:rsid w:val="00C1011D"/>
  </w:style>
  <w:style w:type="character" w:customStyle="1" w:styleId="header-application-name">
    <w:name w:val="header-application-name"/>
    <w:basedOn w:val="VarsaylanParagrafYazTipi"/>
    <w:rsid w:val="00C1011D"/>
  </w:style>
  <w:style w:type="character" w:customStyle="1" w:styleId="Hyperlink0">
    <w:name w:val="Hyperlink.0"/>
    <w:basedOn w:val="Kpr"/>
    <w:rsid w:val="007F2361"/>
    <w:rPr>
      <w:outline w:val="0"/>
      <w:color w:val="0563C1"/>
      <w:u w:val="single" w:color="0563C1"/>
    </w:rPr>
  </w:style>
  <w:style w:type="paragraph" w:customStyle="1" w:styleId="font8">
    <w:name w:val="font_8"/>
    <w:basedOn w:val="Normal"/>
    <w:rsid w:val="00DE2637"/>
    <w:pPr>
      <w:widowControl/>
      <w:autoSpaceDE/>
      <w:autoSpaceDN/>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70177">
      <w:bodyDiv w:val="1"/>
      <w:marLeft w:val="0"/>
      <w:marRight w:val="0"/>
      <w:marTop w:val="0"/>
      <w:marBottom w:val="0"/>
      <w:divBdr>
        <w:top w:val="none" w:sz="0" w:space="0" w:color="auto"/>
        <w:left w:val="none" w:sz="0" w:space="0" w:color="auto"/>
        <w:bottom w:val="none" w:sz="0" w:space="0" w:color="auto"/>
        <w:right w:val="none" w:sz="0" w:space="0" w:color="auto"/>
      </w:divBdr>
    </w:div>
    <w:div w:id="45035686">
      <w:bodyDiv w:val="1"/>
      <w:marLeft w:val="0"/>
      <w:marRight w:val="0"/>
      <w:marTop w:val="0"/>
      <w:marBottom w:val="0"/>
      <w:divBdr>
        <w:top w:val="none" w:sz="0" w:space="0" w:color="auto"/>
        <w:left w:val="none" w:sz="0" w:space="0" w:color="auto"/>
        <w:bottom w:val="none" w:sz="0" w:space="0" w:color="auto"/>
        <w:right w:val="none" w:sz="0" w:space="0" w:color="auto"/>
      </w:divBdr>
    </w:div>
    <w:div w:id="117838392">
      <w:bodyDiv w:val="1"/>
      <w:marLeft w:val="0"/>
      <w:marRight w:val="0"/>
      <w:marTop w:val="0"/>
      <w:marBottom w:val="0"/>
      <w:divBdr>
        <w:top w:val="none" w:sz="0" w:space="0" w:color="auto"/>
        <w:left w:val="none" w:sz="0" w:space="0" w:color="auto"/>
        <w:bottom w:val="none" w:sz="0" w:space="0" w:color="auto"/>
        <w:right w:val="none" w:sz="0" w:space="0" w:color="auto"/>
      </w:divBdr>
    </w:div>
    <w:div w:id="153843531">
      <w:bodyDiv w:val="1"/>
      <w:marLeft w:val="0"/>
      <w:marRight w:val="0"/>
      <w:marTop w:val="0"/>
      <w:marBottom w:val="0"/>
      <w:divBdr>
        <w:top w:val="none" w:sz="0" w:space="0" w:color="auto"/>
        <w:left w:val="none" w:sz="0" w:space="0" w:color="auto"/>
        <w:bottom w:val="none" w:sz="0" w:space="0" w:color="auto"/>
        <w:right w:val="none" w:sz="0" w:space="0" w:color="auto"/>
      </w:divBdr>
    </w:div>
    <w:div w:id="303046913">
      <w:bodyDiv w:val="1"/>
      <w:marLeft w:val="0"/>
      <w:marRight w:val="0"/>
      <w:marTop w:val="0"/>
      <w:marBottom w:val="0"/>
      <w:divBdr>
        <w:top w:val="none" w:sz="0" w:space="0" w:color="auto"/>
        <w:left w:val="none" w:sz="0" w:space="0" w:color="auto"/>
        <w:bottom w:val="none" w:sz="0" w:space="0" w:color="auto"/>
        <w:right w:val="none" w:sz="0" w:space="0" w:color="auto"/>
      </w:divBdr>
    </w:div>
    <w:div w:id="317658489">
      <w:bodyDiv w:val="1"/>
      <w:marLeft w:val="0"/>
      <w:marRight w:val="0"/>
      <w:marTop w:val="0"/>
      <w:marBottom w:val="0"/>
      <w:divBdr>
        <w:top w:val="none" w:sz="0" w:space="0" w:color="auto"/>
        <w:left w:val="none" w:sz="0" w:space="0" w:color="auto"/>
        <w:bottom w:val="none" w:sz="0" w:space="0" w:color="auto"/>
        <w:right w:val="none" w:sz="0" w:space="0" w:color="auto"/>
      </w:divBdr>
    </w:div>
    <w:div w:id="355812472">
      <w:bodyDiv w:val="1"/>
      <w:marLeft w:val="0"/>
      <w:marRight w:val="0"/>
      <w:marTop w:val="0"/>
      <w:marBottom w:val="0"/>
      <w:divBdr>
        <w:top w:val="none" w:sz="0" w:space="0" w:color="auto"/>
        <w:left w:val="none" w:sz="0" w:space="0" w:color="auto"/>
        <w:bottom w:val="none" w:sz="0" w:space="0" w:color="auto"/>
        <w:right w:val="none" w:sz="0" w:space="0" w:color="auto"/>
      </w:divBdr>
    </w:div>
    <w:div w:id="432018110">
      <w:bodyDiv w:val="1"/>
      <w:marLeft w:val="0"/>
      <w:marRight w:val="0"/>
      <w:marTop w:val="0"/>
      <w:marBottom w:val="0"/>
      <w:divBdr>
        <w:top w:val="none" w:sz="0" w:space="0" w:color="auto"/>
        <w:left w:val="none" w:sz="0" w:space="0" w:color="auto"/>
        <w:bottom w:val="none" w:sz="0" w:space="0" w:color="auto"/>
        <w:right w:val="none" w:sz="0" w:space="0" w:color="auto"/>
      </w:divBdr>
    </w:div>
    <w:div w:id="448622942">
      <w:bodyDiv w:val="1"/>
      <w:marLeft w:val="0"/>
      <w:marRight w:val="0"/>
      <w:marTop w:val="0"/>
      <w:marBottom w:val="0"/>
      <w:divBdr>
        <w:top w:val="none" w:sz="0" w:space="0" w:color="auto"/>
        <w:left w:val="none" w:sz="0" w:space="0" w:color="auto"/>
        <w:bottom w:val="none" w:sz="0" w:space="0" w:color="auto"/>
        <w:right w:val="none" w:sz="0" w:space="0" w:color="auto"/>
      </w:divBdr>
    </w:div>
    <w:div w:id="460928196">
      <w:bodyDiv w:val="1"/>
      <w:marLeft w:val="0"/>
      <w:marRight w:val="0"/>
      <w:marTop w:val="0"/>
      <w:marBottom w:val="0"/>
      <w:divBdr>
        <w:top w:val="none" w:sz="0" w:space="0" w:color="auto"/>
        <w:left w:val="none" w:sz="0" w:space="0" w:color="auto"/>
        <w:bottom w:val="none" w:sz="0" w:space="0" w:color="auto"/>
        <w:right w:val="none" w:sz="0" w:space="0" w:color="auto"/>
      </w:divBdr>
    </w:div>
    <w:div w:id="786193825">
      <w:bodyDiv w:val="1"/>
      <w:marLeft w:val="0"/>
      <w:marRight w:val="0"/>
      <w:marTop w:val="0"/>
      <w:marBottom w:val="0"/>
      <w:divBdr>
        <w:top w:val="none" w:sz="0" w:space="0" w:color="auto"/>
        <w:left w:val="none" w:sz="0" w:space="0" w:color="auto"/>
        <w:bottom w:val="none" w:sz="0" w:space="0" w:color="auto"/>
        <w:right w:val="none" w:sz="0" w:space="0" w:color="auto"/>
      </w:divBdr>
    </w:div>
    <w:div w:id="897126337">
      <w:bodyDiv w:val="1"/>
      <w:marLeft w:val="0"/>
      <w:marRight w:val="0"/>
      <w:marTop w:val="0"/>
      <w:marBottom w:val="0"/>
      <w:divBdr>
        <w:top w:val="none" w:sz="0" w:space="0" w:color="auto"/>
        <w:left w:val="none" w:sz="0" w:space="0" w:color="auto"/>
        <w:bottom w:val="none" w:sz="0" w:space="0" w:color="auto"/>
        <w:right w:val="none" w:sz="0" w:space="0" w:color="auto"/>
      </w:divBdr>
      <w:divsChild>
        <w:div w:id="1714114013">
          <w:marLeft w:val="-289"/>
          <w:marRight w:val="0"/>
          <w:marTop w:val="0"/>
          <w:marBottom w:val="0"/>
          <w:divBdr>
            <w:top w:val="none" w:sz="0" w:space="0" w:color="auto"/>
            <w:left w:val="none" w:sz="0" w:space="0" w:color="auto"/>
            <w:bottom w:val="none" w:sz="0" w:space="0" w:color="auto"/>
            <w:right w:val="none" w:sz="0" w:space="0" w:color="auto"/>
          </w:divBdr>
        </w:div>
      </w:divsChild>
    </w:div>
    <w:div w:id="958560821">
      <w:bodyDiv w:val="1"/>
      <w:marLeft w:val="0"/>
      <w:marRight w:val="0"/>
      <w:marTop w:val="0"/>
      <w:marBottom w:val="0"/>
      <w:divBdr>
        <w:top w:val="none" w:sz="0" w:space="0" w:color="auto"/>
        <w:left w:val="none" w:sz="0" w:space="0" w:color="auto"/>
        <w:bottom w:val="none" w:sz="0" w:space="0" w:color="auto"/>
        <w:right w:val="none" w:sz="0" w:space="0" w:color="auto"/>
      </w:divBdr>
    </w:div>
    <w:div w:id="1111440326">
      <w:bodyDiv w:val="1"/>
      <w:marLeft w:val="0"/>
      <w:marRight w:val="0"/>
      <w:marTop w:val="0"/>
      <w:marBottom w:val="0"/>
      <w:divBdr>
        <w:top w:val="none" w:sz="0" w:space="0" w:color="auto"/>
        <w:left w:val="none" w:sz="0" w:space="0" w:color="auto"/>
        <w:bottom w:val="none" w:sz="0" w:space="0" w:color="auto"/>
        <w:right w:val="none" w:sz="0" w:space="0" w:color="auto"/>
      </w:divBdr>
    </w:div>
    <w:div w:id="1154489215">
      <w:bodyDiv w:val="1"/>
      <w:marLeft w:val="0"/>
      <w:marRight w:val="0"/>
      <w:marTop w:val="0"/>
      <w:marBottom w:val="0"/>
      <w:divBdr>
        <w:top w:val="none" w:sz="0" w:space="0" w:color="auto"/>
        <w:left w:val="none" w:sz="0" w:space="0" w:color="auto"/>
        <w:bottom w:val="none" w:sz="0" w:space="0" w:color="auto"/>
        <w:right w:val="none" w:sz="0" w:space="0" w:color="auto"/>
      </w:divBdr>
    </w:div>
    <w:div w:id="1277054868">
      <w:bodyDiv w:val="1"/>
      <w:marLeft w:val="0"/>
      <w:marRight w:val="0"/>
      <w:marTop w:val="0"/>
      <w:marBottom w:val="0"/>
      <w:divBdr>
        <w:top w:val="none" w:sz="0" w:space="0" w:color="auto"/>
        <w:left w:val="none" w:sz="0" w:space="0" w:color="auto"/>
        <w:bottom w:val="none" w:sz="0" w:space="0" w:color="auto"/>
        <w:right w:val="none" w:sz="0" w:space="0" w:color="auto"/>
      </w:divBdr>
    </w:div>
    <w:div w:id="1558470959">
      <w:bodyDiv w:val="1"/>
      <w:marLeft w:val="0"/>
      <w:marRight w:val="0"/>
      <w:marTop w:val="0"/>
      <w:marBottom w:val="0"/>
      <w:divBdr>
        <w:top w:val="none" w:sz="0" w:space="0" w:color="auto"/>
        <w:left w:val="none" w:sz="0" w:space="0" w:color="auto"/>
        <w:bottom w:val="none" w:sz="0" w:space="0" w:color="auto"/>
        <w:right w:val="none" w:sz="0" w:space="0" w:color="auto"/>
      </w:divBdr>
      <w:divsChild>
        <w:div w:id="608968939">
          <w:marLeft w:val="-289"/>
          <w:marRight w:val="0"/>
          <w:marTop w:val="0"/>
          <w:marBottom w:val="0"/>
          <w:divBdr>
            <w:top w:val="none" w:sz="0" w:space="0" w:color="auto"/>
            <w:left w:val="none" w:sz="0" w:space="0" w:color="auto"/>
            <w:bottom w:val="none" w:sz="0" w:space="0" w:color="auto"/>
            <w:right w:val="none" w:sz="0" w:space="0" w:color="auto"/>
          </w:divBdr>
        </w:div>
      </w:divsChild>
    </w:div>
    <w:div w:id="1777290516">
      <w:bodyDiv w:val="1"/>
      <w:marLeft w:val="0"/>
      <w:marRight w:val="0"/>
      <w:marTop w:val="0"/>
      <w:marBottom w:val="0"/>
      <w:divBdr>
        <w:top w:val="none" w:sz="0" w:space="0" w:color="auto"/>
        <w:left w:val="none" w:sz="0" w:space="0" w:color="auto"/>
        <w:bottom w:val="none" w:sz="0" w:space="0" w:color="auto"/>
        <w:right w:val="none" w:sz="0" w:space="0" w:color="auto"/>
      </w:divBdr>
    </w:div>
    <w:div w:id="18828161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Zeynbkocak@gmail.coom" TargetMode="External"/><Relationship Id="rId299" Type="http://schemas.openxmlformats.org/officeDocument/2006/relationships/diagramData" Target="diagrams/data2.xml"/><Relationship Id="rId21" Type="http://schemas.openxmlformats.org/officeDocument/2006/relationships/hyperlink" Target="https://www.tandfonline.com/doi/full/10.1080/16184742.2020.1868546?scroll=top&amp;needAccess=true" TargetMode="External"/><Relationship Id="rId63" Type="http://schemas.openxmlformats.org/officeDocument/2006/relationships/hyperlink" Target="https://www.bbc.com/turkce/articles/cv2gj7dw7lyo" TargetMode="External"/><Relationship Id="rId159" Type="http://schemas.openxmlformats.org/officeDocument/2006/relationships/hyperlink" Target="https://www.theiia.org/globalassets/documents/resources/the-iias-three-lines-model-an-update-of-the-three-lines-of-defense-july-2020/three-lines-model-updated-english.pdf" TargetMode="External"/><Relationship Id="rId324" Type="http://schemas.openxmlformats.org/officeDocument/2006/relationships/hyperlink" Target="https://doi.org/10.1016/j.aip.2006.02.001" TargetMode="External"/><Relationship Id="rId366" Type="http://schemas.openxmlformats.org/officeDocument/2006/relationships/hyperlink" Target="https://doi.org/10.1017/CBO9780511817762" TargetMode="External"/><Relationship Id="rId170" Type="http://schemas.openxmlformats.org/officeDocument/2006/relationships/hyperlink" Target="mailto:bahadir.gulbahar@ahievran.edu.tr" TargetMode="External"/><Relationship Id="rId226" Type="http://schemas.openxmlformats.org/officeDocument/2006/relationships/hyperlink" Target="about:blank" TargetMode="External"/><Relationship Id="rId433" Type="http://schemas.openxmlformats.org/officeDocument/2006/relationships/hyperlink" Target="https://www.northwalescollaborative.wales/wp-content/uploads/2020/10/Living-lab-methodology-handbook_r.pdf" TargetMode="External"/><Relationship Id="rId268" Type="http://schemas.openxmlformats.org/officeDocument/2006/relationships/hyperlink" Target="mailto:salih.tosun@balikesir.edu.tr" TargetMode="External"/><Relationship Id="rId475" Type="http://schemas.openxmlformats.org/officeDocument/2006/relationships/hyperlink" Target="https://www.musee-orsay.fr/en/whats-on/exhibitions/republican-icon-rouget-de-lisle-singing-la-marseillaise-painting-pils-1849" TargetMode="External"/><Relationship Id="rId32" Type="http://schemas.openxmlformats.org/officeDocument/2006/relationships/hyperlink" Target="mailto:d.uludasdemir@gmail.com" TargetMode="External"/><Relationship Id="rId74" Type="http://schemas.openxmlformats.org/officeDocument/2006/relationships/hyperlink" Target="https://www.trthaber.com/haber/dunya/blinken-bir-yahudi-olarak-da-buradayim-802985.html" TargetMode="External"/><Relationship Id="rId128" Type="http://schemas.openxmlformats.org/officeDocument/2006/relationships/hyperlink" Target="https://tez.yok.gov.tr/UlusalTezMerkezi/tezSorguSonucYeni.jsp" TargetMode="External"/><Relationship Id="rId335" Type="http://schemas.openxmlformats.org/officeDocument/2006/relationships/hyperlink" Target="https://doi.org/10.1016/j.aip.2017.04.001" TargetMode="External"/><Relationship Id="rId377" Type="http://schemas.openxmlformats.org/officeDocument/2006/relationships/hyperlink" Target="http://doi.org/10.17632/83s86stvm2.1" TargetMode="External"/><Relationship Id="rId5" Type="http://schemas.openxmlformats.org/officeDocument/2006/relationships/settings" Target="settings.xml"/><Relationship Id="rId181" Type="http://schemas.openxmlformats.org/officeDocument/2006/relationships/hyperlink" Target="mailto:ulasarkkn@gmail.com" TargetMode="External"/><Relationship Id="rId237" Type="http://schemas.openxmlformats.org/officeDocument/2006/relationships/hyperlink" Target="https://www.unesco.org/en/higher-education/global-convention" TargetMode="External"/><Relationship Id="rId402" Type="http://schemas.openxmlformats.org/officeDocument/2006/relationships/hyperlink" Target="https://orcid.org/0000-0003-4090-2132" TargetMode="External"/><Relationship Id="rId279" Type="http://schemas.openxmlformats.org/officeDocument/2006/relationships/hyperlink" Target="https://doi.org/10.1016/j.infoandorg.2019.100286" TargetMode="External"/><Relationship Id="rId444" Type="http://schemas.openxmlformats.org/officeDocument/2006/relationships/hyperlink" Target="mailto:hamzaaktas@duzce.edu.tr" TargetMode="External"/><Relationship Id="rId486" Type="http://schemas.openxmlformats.org/officeDocument/2006/relationships/fontTable" Target="fontTable.xml"/><Relationship Id="rId43" Type="http://schemas.openxmlformats.org/officeDocument/2006/relationships/hyperlink" Target="mailto:yasinyildirim@karatekin.edu.tr" TargetMode="External"/><Relationship Id="rId139" Type="http://schemas.openxmlformats.org/officeDocument/2006/relationships/hyperlink" Target="https://www.kedv.org.tr/public/uploads/files/6_Kad%C4%B1n%20Kooperatifleri%20Bulus%CC%A7mas%C4%B1%20Raporu.pdf" TargetMode="External"/><Relationship Id="rId290" Type="http://schemas.openxmlformats.org/officeDocument/2006/relationships/hyperlink" Target="https://doi.org/10.1016/j.giq.2022.101704" TargetMode="External"/><Relationship Id="rId304" Type="http://schemas.openxmlformats.org/officeDocument/2006/relationships/image" Target="media/image24.png"/><Relationship Id="rId346" Type="http://schemas.openxmlformats.org/officeDocument/2006/relationships/hyperlink" Target="https://doi.org/10.3390/bs13110931" TargetMode="External"/><Relationship Id="rId388" Type="http://schemas.openxmlformats.org/officeDocument/2006/relationships/hyperlink" Target="https://doi.org/10.33708/ktc.1379935" TargetMode="External"/><Relationship Id="rId85" Type="http://schemas.openxmlformats.org/officeDocument/2006/relationships/hyperlink" Target="https://www.ntv.com.tr/dunya/abd-fransa-almanya-italya-ve-ingiltereden-israile-destek,lBKpKZt_N0CcU3xLC21Ytg" TargetMode="External"/><Relationship Id="rId150" Type="http://schemas.openxmlformats.org/officeDocument/2006/relationships/footer" Target="footer3.xml"/><Relationship Id="rId192" Type="http://schemas.openxmlformats.org/officeDocument/2006/relationships/hyperlink" Target="https://www.mevzuat.gov.tr/MevzuatMetin/1.5.3568.pdf" TargetMode="External"/><Relationship Id="rId206" Type="http://schemas.openxmlformats.org/officeDocument/2006/relationships/hyperlink" Target="https://www.abacademies.org/articles/the-status-of-accounting-education-and-improvement-processes-in-uae-11757.html" TargetMode="External"/><Relationship Id="rId413" Type="http://schemas.openxmlformats.org/officeDocument/2006/relationships/image" Target="media/image35.jpeg"/><Relationship Id="rId248" Type="http://schemas.openxmlformats.org/officeDocument/2006/relationships/hyperlink" Target="https://www.scmp.com/news/hong-kong/health-%09environment/article/3277215/extended-paid-maternity-leave-led-22-drop-hong-kongs-%09postnatal-depression-cases" TargetMode="External"/><Relationship Id="rId455" Type="http://schemas.openxmlformats.org/officeDocument/2006/relationships/image" Target="media/image40.jpg"/><Relationship Id="rId12" Type="http://schemas.openxmlformats.org/officeDocument/2006/relationships/image" Target="media/image4.png"/><Relationship Id="rId108" Type="http://schemas.openxmlformats.org/officeDocument/2006/relationships/image" Target="media/image16.jpeg"/><Relationship Id="rId315" Type="http://schemas.openxmlformats.org/officeDocument/2006/relationships/hyperlink" Target="https://doi.org/10.5350/DAJPN2017300308" TargetMode="External"/><Relationship Id="rId357" Type="http://schemas.openxmlformats.org/officeDocument/2006/relationships/hyperlink" Target="mailto:sadik.caliskan@inonu.edu.tr" TargetMode="External"/><Relationship Id="rId54" Type="http://schemas.openxmlformats.org/officeDocument/2006/relationships/hyperlink" Target="mailto:y.elboubkri.ced@uca.ac.ma" TargetMode="External"/><Relationship Id="rId96" Type="http://schemas.openxmlformats.org/officeDocument/2006/relationships/hyperlink" Target="https://www.bbc.com/turkce/articles/ckreyk1g89ro" TargetMode="External"/><Relationship Id="rId161" Type="http://schemas.openxmlformats.org/officeDocument/2006/relationships/hyperlink" Target="https://www.theiia.org/globalassets/site/standards/editableversions/globalinternalauditstandards_2024january9_editable.pdf" TargetMode="External"/><Relationship Id="rId217" Type="http://schemas.openxmlformats.org/officeDocument/2006/relationships/hyperlink" Target="https://turkishstudies.net/turkishstudies?mod=makale_tr_ozet&amp;makale_id=18737" TargetMode="External"/><Relationship Id="rId399" Type="http://schemas.openxmlformats.org/officeDocument/2006/relationships/hyperlink" Target="mailto:can653@gmail.com" TargetMode="External"/><Relationship Id="rId259" Type="http://schemas.openxmlformats.org/officeDocument/2006/relationships/hyperlink" Target="mailto:emel.cokogullar@dpu.edu.tr" TargetMode="External"/><Relationship Id="rId424" Type="http://schemas.openxmlformats.org/officeDocument/2006/relationships/hyperlink" Target="mailto:gulmezdilek76@gmail.com" TargetMode="External"/><Relationship Id="rId466" Type="http://schemas.openxmlformats.org/officeDocument/2006/relationships/image" Target="media/image51.jpeg"/><Relationship Id="rId23" Type="http://schemas.openxmlformats.org/officeDocument/2006/relationships/hyperlink" Target="https://eksisozluk.com/entry/147008116" TargetMode="External"/><Relationship Id="rId119" Type="http://schemas.openxmlformats.org/officeDocument/2006/relationships/hyperlink" Target="https://www.devletarsivleri.gov.tr/varliklar/dosyalar/eskisiteden/yayinlar/genel_mudurluk-yayinlar/basbakanlik__tarihi.pdf" TargetMode="External"/><Relationship Id="rId270" Type="http://schemas.openxmlformats.org/officeDocument/2006/relationships/hyperlink" Target="https://orcid.org/0000-0001-6977-300X" TargetMode="External"/><Relationship Id="rId326" Type="http://schemas.openxmlformats.org/officeDocument/2006/relationships/hyperlink" Target="https://doi.org/10.1016/j.nepr.2024.104118" TargetMode="External"/><Relationship Id="rId65" Type="http://schemas.openxmlformats.org/officeDocument/2006/relationships/hyperlink" Target="https://www.npr.org/2024/01/11/1223238786/us-strikes-houthis-yemen" TargetMode="External"/><Relationship Id="rId130" Type="http://schemas.openxmlformats.org/officeDocument/2006/relationships/image" Target="media/image20.png"/><Relationship Id="rId368" Type="http://schemas.openxmlformats.org/officeDocument/2006/relationships/hyperlink" Target="https://doi.org/10.2307/2621945" TargetMode="External"/><Relationship Id="rId172" Type="http://schemas.openxmlformats.org/officeDocument/2006/relationships/hyperlink" Target="mailto:mugealgan@yahoo.com" TargetMode="External"/><Relationship Id="rId228" Type="http://schemas.openxmlformats.org/officeDocument/2006/relationships/hyperlink" Target="mailto:Hekimje506@gmail.com" TargetMode="External"/><Relationship Id="rId435" Type="http://schemas.openxmlformats.org/officeDocument/2006/relationships/hyperlink" Target="https://amsterdamsmartcity.com/updates/project/iot-living-lab" TargetMode="External"/><Relationship Id="rId477" Type="http://schemas.openxmlformats.org/officeDocument/2006/relationships/hyperlink" Target="https://www.indyturk.com/node/29456/d%C3%BCnya/notre-dame-yeni-%C3%A7at%C4%B1s%C4%B1yla-parise-enerji-sa%C4%9Flayabilir" TargetMode="External"/><Relationship Id="rId281" Type="http://schemas.openxmlformats.org/officeDocument/2006/relationships/hyperlink" Target="https://doi.org/10.3390/info15050268" TargetMode="External"/><Relationship Id="rId337" Type="http://schemas.openxmlformats.org/officeDocument/2006/relationships/hyperlink" Target="https://doi.org/10.1007/s11620-019-00501-8" TargetMode="External"/><Relationship Id="rId34" Type="http://schemas.openxmlformats.org/officeDocument/2006/relationships/hyperlink" Target="mailto:Hakan.kn@ankarabilim.edu.tr" TargetMode="External"/><Relationship Id="rId76" Type="http://schemas.openxmlformats.org/officeDocument/2006/relationships/hyperlink" Target="https://www.trthaber.com/haber/dunya/abd-ve-ingiltere-yemende-saldiri-baslatti-828356.html" TargetMode="External"/><Relationship Id="rId141" Type="http://schemas.openxmlformats.org/officeDocument/2006/relationships/hyperlink" Target="https://doi.org/10.36689/uhk/hed/2018-01-044" TargetMode="External"/><Relationship Id="rId379" Type="http://schemas.openxmlformats.org/officeDocument/2006/relationships/hyperlink" Target="mailto:2200006954@stu.iku.edu.tr" TargetMode="External"/><Relationship Id="rId7" Type="http://schemas.openxmlformats.org/officeDocument/2006/relationships/footnotes" Target="footnotes.xml"/><Relationship Id="rId183" Type="http://schemas.openxmlformats.org/officeDocument/2006/relationships/hyperlink" Target="https://doi.org/10.35365/ctjpp.19.1.11" TargetMode="External"/><Relationship Id="rId239" Type="http://schemas.openxmlformats.org/officeDocument/2006/relationships/hyperlink" Target="https://www.yok.gov.tr/Sayfalar/Haberler/2022/yuksekogretimde-uluslararasilasma-ve-turkiye-deki-universitelerin-uluslararasi-gorunurlulugunu-artirma-calistayi.aspx" TargetMode="External"/><Relationship Id="rId390" Type="http://schemas.openxmlformats.org/officeDocument/2006/relationships/hyperlink" Target="https://doi.org/10.33417/tsh.694560" TargetMode="External"/><Relationship Id="rId404" Type="http://schemas.openxmlformats.org/officeDocument/2006/relationships/hyperlink" Target="https://alonot.com/sosyolojiye-giris-2020/-46" TargetMode="External"/><Relationship Id="rId446" Type="http://schemas.openxmlformats.org/officeDocument/2006/relationships/hyperlink" Target="mailto:aeyarar@erbakan.edu.tr" TargetMode="External"/><Relationship Id="rId250" Type="http://schemas.openxmlformats.org/officeDocument/2006/relationships/hyperlink" Target="https://www.pewresearch.org/social-trends/2024/07/25/the-experiences-of-u-s-adults-%09who-dont-have-children/" TargetMode="External"/><Relationship Id="rId292" Type="http://schemas.openxmlformats.org/officeDocument/2006/relationships/hyperlink" Target="http://dx.doi.org/10.18235/0003631" TargetMode="External"/><Relationship Id="rId306" Type="http://schemas.openxmlformats.org/officeDocument/2006/relationships/image" Target="media/image26.png"/><Relationship Id="rId45" Type="http://schemas.openxmlformats.org/officeDocument/2006/relationships/hyperlink" Target="https://www.amnesty.org/en/latest/news/2024/05/executions-more-than-tripled-in-sub-saharan-africa-as-global-executions-soar-to-highest-number-in-almost-a-decade/" TargetMode="External"/><Relationship Id="rId87" Type="http://schemas.openxmlformats.org/officeDocument/2006/relationships/hyperlink" Target="https://www.globalfirepower.com/countries-listing.php" TargetMode="External"/><Relationship Id="rId110" Type="http://schemas.openxmlformats.org/officeDocument/2006/relationships/image" Target="media/image18.jpeg"/><Relationship Id="rId348" Type="http://schemas.openxmlformats.org/officeDocument/2006/relationships/image" Target="media/image27.png"/><Relationship Id="rId152" Type="http://schemas.openxmlformats.org/officeDocument/2006/relationships/hyperlink" Target="mailto:tkarakaya@dogus.edu.tr" TargetMode="External"/><Relationship Id="rId194" Type="http://schemas.openxmlformats.org/officeDocument/2006/relationships/hyperlink" Target="https://www.socpa.org.sa/Socpa/Licenses-and-Quality/Licensed-Accountants/2322.aspx" TargetMode="External"/><Relationship Id="rId208" Type="http://schemas.openxmlformats.org/officeDocument/2006/relationships/hyperlink" Target="https://www.moe.gov.ae/Ar/AboutTheMinistry/Documents/FinalG.pdf" TargetMode="External"/><Relationship Id="rId415" Type="http://schemas.openxmlformats.org/officeDocument/2006/relationships/hyperlink" Target="https://doi.org/10.30964/auebfd.916220" TargetMode="External"/><Relationship Id="rId457" Type="http://schemas.openxmlformats.org/officeDocument/2006/relationships/image" Target="media/image42.jpg"/><Relationship Id="rId261" Type="http://schemas.openxmlformats.org/officeDocument/2006/relationships/hyperlink" Target="https://orcid.org/0000-0001-7656-5786" TargetMode="External"/><Relationship Id="rId14" Type="http://schemas.openxmlformats.org/officeDocument/2006/relationships/hyperlink" Target="mailto:itbkongre@ankarabilim.edu.tr" TargetMode="External"/><Relationship Id="rId56" Type="http://schemas.openxmlformats.org/officeDocument/2006/relationships/hyperlink" Target="mailto:timucin.arslan@hotmail.com" TargetMode="External"/><Relationship Id="rId317" Type="http://schemas.openxmlformats.org/officeDocument/2006/relationships/hyperlink" Target="https://doi.org/10.3389/fpsyg.2023.1112711" TargetMode="External"/><Relationship Id="rId359" Type="http://schemas.openxmlformats.org/officeDocument/2006/relationships/hyperlink" Target="https://slate.com/culture/2024/09/the-substance-demi-moore-movie-margaret-qualley.html" TargetMode="External"/><Relationship Id="rId98" Type="http://schemas.openxmlformats.org/officeDocument/2006/relationships/hyperlink" Target="https://orcid.org/0000-0002-9290-3797" TargetMode="External"/><Relationship Id="rId121" Type="http://schemas.openxmlformats.org/officeDocument/2006/relationships/hyperlink" Target="https://orcid.org/0000-0003-4836-5108" TargetMode="External"/><Relationship Id="rId163" Type="http://schemas.openxmlformats.org/officeDocument/2006/relationships/hyperlink" Target="mailto:samedatasoy1109@hotmail.com" TargetMode="External"/><Relationship Id="rId219" Type="http://schemas.openxmlformats.org/officeDocument/2006/relationships/hyperlink" Target="https://teis.yesevi.edu.tr/madde-detay/lamii-celebi-mahmud-osman" TargetMode="External"/><Relationship Id="rId370" Type="http://schemas.openxmlformats.org/officeDocument/2006/relationships/hyperlink" Target="https://doi.org/10.15604/ejef.2018.06.01.009" TargetMode="External"/><Relationship Id="rId426" Type="http://schemas.openxmlformats.org/officeDocument/2006/relationships/hyperlink" Target="mailto:balcideniz1991@hotmail.com" TargetMode="External"/><Relationship Id="rId230" Type="http://schemas.openxmlformats.org/officeDocument/2006/relationships/hyperlink" Target="https://www.researchgate.net/publication/373118636_ULUSLARARASI_OGRENCILERIN_UYUM_YILLARINDAKI_DENEYIMLERI_SORUNLARI_VE_COZUM_ONERILERI_MARMARA_UNIVERSITESI_FEN_BILIMLERI_ENSTITUSU" TargetMode="External"/><Relationship Id="rId468" Type="http://schemas.openxmlformats.org/officeDocument/2006/relationships/image" Target="media/image53.jpg"/><Relationship Id="rId25" Type="http://schemas.openxmlformats.org/officeDocument/2006/relationships/hyperlink" Target="https://cmsimpact.org/wp-content/uploads/2016/03/beyond_the_hashtags_2016.pdf" TargetMode="External"/><Relationship Id="rId67" Type="http://schemas.openxmlformats.org/officeDocument/2006/relationships/hyperlink" Target="https://www.aa.com.tr/tr/dunya/ingiltere-israile-istihbarat-saglamak-icin-gazze-uzerinde-gozetleme-ucuslari-yapacagini-duyurdu/3071553" TargetMode="External"/><Relationship Id="rId272" Type="http://schemas.openxmlformats.org/officeDocument/2006/relationships/diagramData" Target="diagrams/data1.xml"/><Relationship Id="rId328" Type="http://schemas.openxmlformats.org/officeDocument/2006/relationships/hyperlink" Target="https://doi.org/10.1111/ppc.12510" TargetMode="External"/><Relationship Id="rId132" Type="http://schemas.openxmlformats.org/officeDocument/2006/relationships/hyperlink" Target="https://doi.org/10.5539/sar.v8n1p42" TargetMode="External"/><Relationship Id="rId174" Type="http://schemas.openxmlformats.org/officeDocument/2006/relationships/hyperlink" Target="mailto:silancelebioglu@hotmail.com" TargetMode="External"/><Relationship Id="rId381" Type="http://schemas.openxmlformats.org/officeDocument/2006/relationships/hyperlink" Target="mailto:oguzhanyilmaz9352@gmail.com" TargetMode="External"/><Relationship Id="rId241" Type="http://schemas.openxmlformats.org/officeDocument/2006/relationships/hyperlink" Target="mailto:yenisu23@gmail.com" TargetMode="External"/><Relationship Id="rId437" Type="http://schemas.openxmlformats.org/officeDocument/2006/relationships/hyperlink" Target="https://rural-urban.eu/living-lab/helsinki" TargetMode="External"/><Relationship Id="rId479" Type="http://schemas.openxmlformats.org/officeDocument/2006/relationships/hyperlink" Target="https://bayaiyi.com/eyfel-kulesi/" TargetMode="External"/><Relationship Id="rId36" Type="http://schemas.openxmlformats.org/officeDocument/2006/relationships/hyperlink" Target="mailto:akgulpinar35@gmail.com" TargetMode="External"/><Relationship Id="rId283" Type="http://schemas.openxmlformats.org/officeDocument/2006/relationships/hyperlink" Target="https://www.britannica.com/technology/artificial-intelligence/Reasoning" TargetMode="External"/><Relationship Id="rId339" Type="http://schemas.openxmlformats.org/officeDocument/2006/relationships/hyperlink" Target="https://doi.org/10.2307/2785407" TargetMode="External"/><Relationship Id="rId78" Type="http://schemas.openxmlformats.org/officeDocument/2006/relationships/hyperlink" Target="https://jewishinsider.com/2024/01/hamas-hezbollah-saleh-al-arouri-assassination-israel-war/" TargetMode="External"/><Relationship Id="rId101" Type="http://schemas.openxmlformats.org/officeDocument/2006/relationships/image" Target="media/image9.png"/><Relationship Id="rId143" Type="http://schemas.openxmlformats.org/officeDocument/2006/relationships/hyperlink" Target="https://www.sbb.gov.tr/wp-content/uploads/2023/12/On-Ikinci-Kalkinma-Plani_2024-2028_11122023.pdf%20Son%20Eri%C5%9Fim%20Tarihi%2027.02.2025" TargetMode="External"/><Relationship Id="rId185" Type="http://schemas.openxmlformats.org/officeDocument/2006/relationships/hyperlink" Target="mailto:gull.nurr.sk@gmail.com" TargetMode="External"/><Relationship Id="rId350" Type="http://schemas.openxmlformats.org/officeDocument/2006/relationships/hyperlink" Target="https://pdfs.semanticscholar.org/cf44/9071b46ea92241efbe5b2d34df5979d4f15a.pdf" TargetMode="External"/><Relationship Id="rId406" Type="http://schemas.openxmlformats.org/officeDocument/2006/relationships/hyperlink" Target="mailto:anilkaanucar@gmail.com" TargetMode="External"/><Relationship Id="rId9" Type="http://schemas.openxmlformats.org/officeDocument/2006/relationships/header" Target="header1.xml"/><Relationship Id="rId210" Type="http://schemas.openxmlformats.org/officeDocument/2006/relationships/hyperlink" Target="https://turkishstudies.net/turkishstudies?mod=makale_tr_ozet&amp;makale_id=17281" TargetMode="External"/><Relationship Id="rId392" Type="http://schemas.openxmlformats.org/officeDocument/2006/relationships/hyperlink" Target="https://doi.org/10.1007/s10615-019-00728-w" TargetMode="External"/><Relationship Id="rId448" Type="http://schemas.openxmlformats.org/officeDocument/2006/relationships/hyperlink" Target="mailto:sedabozpolat@gmail.com" TargetMode="External"/><Relationship Id="rId252" Type="http://schemas.openxmlformats.org/officeDocument/2006/relationships/hyperlink" Target="https://www.theguardian.com/film/article/2024/sep/10/selena-gomez-%09carrying-children-pregnancy-vanity-fair-interview-health-issues-lupus-bipolar" TargetMode="External"/><Relationship Id="rId294" Type="http://schemas.openxmlformats.org/officeDocument/2006/relationships/hyperlink" Target="https://doi.org/10.1007/s12599-015-0401-5" TargetMode="External"/><Relationship Id="rId308" Type="http://schemas.openxmlformats.org/officeDocument/2006/relationships/hyperlink" Target="https://doi.org/10.4236/psych.2013.43A037" TargetMode="External"/><Relationship Id="rId47" Type="http://schemas.openxmlformats.org/officeDocument/2006/relationships/hyperlink" Target="https://uhr.humanrights.go.kr/pub/file/down/5287" TargetMode="External"/><Relationship Id="rId89" Type="http://schemas.openxmlformats.org/officeDocument/2006/relationships/hyperlink" Target="https://www.sondakika.com/dunya/haber-israil-ordu-sozcusu-hagari-birden-fazla-cephede-16433059/" TargetMode="External"/><Relationship Id="rId112" Type="http://schemas.openxmlformats.org/officeDocument/2006/relationships/hyperlink" Target="mailto:alaattin.demir@ogr.hbv.edu.tr" TargetMode="External"/><Relationship Id="rId154" Type="http://schemas.openxmlformats.org/officeDocument/2006/relationships/hyperlink" Target="mailto:bilalcanbekiroglu@gmail.com" TargetMode="External"/><Relationship Id="rId361" Type="http://schemas.openxmlformats.org/officeDocument/2006/relationships/hyperlink" Target="https://www.theguardian.com/film/2024/sep/28/substance-movie-demi-moore" TargetMode="External"/><Relationship Id="rId196" Type="http://schemas.openxmlformats.org/officeDocument/2006/relationships/hyperlink" Target="https://www.socpa.org.sa/Socpa/Licenses-and-Quality/Licensed-Accountants/2322.aspx" TargetMode="External"/><Relationship Id="rId417" Type="http://schemas.openxmlformats.org/officeDocument/2006/relationships/hyperlink" Target="file:////insight/search%3fq=Ruiying%20Cai" TargetMode="External"/><Relationship Id="rId459" Type="http://schemas.openxmlformats.org/officeDocument/2006/relationships/image" Target="media/image44.jpg"/><Relationship Id="rId16" Type="http://schemas.openxmlformats.org/officeDocument/2006/relationships/footer" Target="footer2.xml"/><Relationship Id="rId221" Type="http://schemas.openxmlformats.org/officeDocument/2006/relationships/hyperlink" Target="https://dergipark.org.tr/tr/pub/soylemdergi/article/460652" TargetMode="External"/><Relationship Id="rId263" Type="http://schemas.openxmlformats.org/officeDocument/2006/relationships/hyperlink" Target="https://www.milliyet.com.tr/yazarlar/derya-sazak/ab-zirvesi-ve-yilmaz-5368825" TargetMode="External"/><Relationship Id="rId319" Type="http://schemas.openxmlformats.org/officeDocument/2006/relationships/hyperlink" Target="https://doi.org/10.1007/s11620-015-0309-6" TargetMode="External"/><Relationship Id="rId470" Type="http://schemas.openxmlformats.org/officeDocument/2006/relationships/image" Target="media/image55.jpg"/><Relationship Id="rId58" Type="http://schemas.openxmlformats.org/officeDocument/2006/relationships/hyperlink" Target="mailto:nesibecakir@kmu.edu.tr" TargetMode="External"/><Relationship Id="rId123" Type="http://schemas.openxmlformats.org/officeDocument/2006/relationships/hyperlink" Target="mailto:kaderuyar4242@gmail.com" TargetMode="External"/><Relationship Id="rId330" Type="http://schemas.openxmlformats.org/officeDocument/2006/relationships/hyperlink" Target="https://doi.org/10.14201/eks.23921" TargetMode="External"/><Relationship Id="rId165" Type="http://schemas.openxmlformats.org/officeDocument/2006/relationships/hyperlink" Target="mailto:sbaltaci@ahievran.edu.tr" TargetMode="External"/><Relationship Id="rId372" Type="http://schemas.openxmlformats.org/officeDocument/2006/relationships/hyperlink" Target="http://hdl.handle.net/11540/4229" TargetMode="External"/><Relationship Id="rId428" Type="http://schemas.openxmlformats.org/officeDocument/2006/relationships/hyperlink" Target="https://www.barcelona.cat/barcelonaciencia/en/science-city/science-and-citizenship/living-labs" TargetMode="External"/><Relationship Id="rId232" Type="http://schemas.openxmlformats.org/officeDocument/2006/relationships/hyperlink" Target="https://www.oecd.org/en/publications/serials/education-indicators-in-focus_g1727114.html" TargetMode="External"/><Relationship Id="rId274" Type="http://schemas.openxmlformats.org/officeDocument/2006/relationships/diagramQuickStyle" Target="diagrams/quickStyle1.xml"/><Relationship Id="rId481" Type="http://schemas.openxmlformats.org/officeDocument/2006/relationships/hyperlink" Target="https://arkeofili.com/paristeki-yeralti-mezarliginda-kaybolan-gencler-3-gun-sonra-bulundu/" TargetMode="External"/><Relationship Id="rId27" Type="http://schemas.openxmlformats.org/officeDocument/2006/relationships/hyperlink" Target="https://www.techedt.com/messengers-new-community-chats-no-longer-need-facebook-groups" TargetMode="External"/><Relationship Id="rId69" Type="http://schemas.openxmlformats.org/officeDocument/2006/relationships/hyperlink" Target="http://politikaakademisi.org/2023/12/13/israilin-gazze-operasyonu-baglaminda-degerlendirmeler/" TargetMode="External"/><Relationship Id="rId134" Type="http://schemas.openxmlformats.org/officeDocument/2006/relationships/hyperlink" Target="https://doi.org/10.1108/sej-10-2013-0039" TargetMode="External"/><Relationship Id="rId80" Type="http://schemas.openxmlformats.org/officeDocument/2006/relationships/hyperlink" Target="https://www.bbc.com/news/articles/c62e7d6r08ro" TargetMode="External"/><Relationship Id="rId176" Type="http://schemas.openxmlformats.org/officeDocument/2006/relationships/hyperlink" Target="mailto:selinmavili@gmail.com" TargetMode="External"/><Relationship Id="rId341" Type="http://schemas.openxmlformats.org/officeDocument/2006/relationships/hyperlink" Target="https://doi.org/10.5505/kpd.2017.86158" TargetMode="External"/><Relationship Id="rId383" Type="http://schemas.openxmlformats.org/officeDocument/2006/relationships/hyperlink" Target="mailto:oguzhanyilmaz9352@gmail.com" TargetMode="External"/><Relationship Id="rId439" Type="http://schemas.openxmlformats.org/officeDocument/2006/relationships/hyperlink" Target="https://www.amsinstitute.org/documents/62/20211008_Flyer_Marineterein_Amsterdam_Living_Lab_MALL.pdf" TargetMode="External"/><Relationship Id="rId201" Type="http://schemas.openxmlformats.org/officeDocument/2006/relationships/hyperlink" Target="https://cdn.adu.ac.ae/images-container/docs/default-source/catalogs/ug-catalog-23-24.pdf" TargetMode="External"/><Relationship Id="rId243" Type="http://schemas.openxmlformats.org/officeDocument/2006/relationships/header" Target="header4.xml"/><Relationship Id="rId285" Type="http://schemas.openxmlformats.org/officeDocument/2006/relationships/hyperlink" Target="https://www.damacproperties.com/en/blog/smart-police-stations-in-dubai-0239" TargetMode="External"/><Relationship Id="rId450" Type="http://schemas.openxmlformats.org/officeDocument/2006/relationships/image" Target="media/image37.jpeg"/><Relationship Id="rId38" Type="http://schemas.openxmlformats.org/officeDocument/2006/relationships/hyperlink" Target="mailto:hcgunduz@baskent.edu.tr" TargetMode="External"/><Relationship Id="rId103" Type="http://schemas.openxmlformats.org/officeDocument/2006/relationships/image" Target="media/image11.jpeg"/><Relationship Id="rId310" Type="http://schemas.openxmlformats.org/officeDocument/2006/relationships/hyperlink" Target="https://doi.org/10.18502/jchr.v10i4.8335" TargetMode="External"/><Relationship Id="rId91" Type="http://schemas.openxmlformats.org/officeDocument/2006/relationships/hyperlink" Target="https://www.statista.com/statistics/209368/proposed-us-military-aid-to-israel/" TargetMode="External"/><Relationship Id="rId145" Type="http://schemas.openxmlformats.org/officeDocument/2006/relationships/hyperlink" Target="https://doi.org/10.1177/0020872817717321" TargetMode="External"/><Relationship Id="rId187" Type="http://schemas.openxmlformats.org/officeDocument/2006/relationships/hyperlink" Target="mailto:senanuralgi@hotmail.com" TargetMode="External"/><Relationship Id="rId352" Type="http://schemas.openxmlformats.org/officeDocument/2006/relationships/hyperlink" Target="https://doi.org/10.15405/epsbs.2020.11.73" TargetMode="External"/><Relationship Id="rId394" Type="http://schemas.openxmlformats.org/officeDocument/2006/relationships/hyperlink" Target="mailto:kandemirgizem@gmail.com" TargetMode="External"/><Relationship Id="rId408" Type="http://schemas.openxmlformats.org/officeDocument/2006/relationships/image" Target="media/image30.png"/><Relationship Id="rId212" Type="http://schemas.openxmlformats.org/officeDocument/2006/relationships/hyperlink" Target="https://dergipark.org.tr/tr/pub/estad/issue/78269/1287924" TargetMode="External"/><Relationship Id="rId254" Type="http://schemas.openxmlformats.org/officeDocument/2006/relationships/hyperlink" Target="https://data.tuik.gov.tr/Bulten/Index?p=Istatistiklerle-Aile-2023-%0953784" TargetMode="External"/><Relationship Id="rId49" Type="http://schemas.openxmlformats.org/officeDocument/2006/relationships/hyperlink" Target="https://www.voanews.com/a/three-african-countries-on-cusp-of-death-penalty-abolition/7817102.html" TargetMode="External"/><Relationship Id="rId114" Type="http://schemas.openxmlformats.org/officeDocument/2006/relationships/hyperlink" Target="mailto:yunus.acci@iste.edu.tr" TargetMode="External"/><Relationship Id="rId296" Type="http://schemas.openxmlformats.org/officeDocument/2006/relationships/hyperlink" Target="https://www.mediaoffice.ae/en/news/2021/march/31-03/smart-police-station-at-dubai-silicon-oasis-completes-4656-smart-transactions-in-five-months" TargetMode="External"/><Relationship Id="rId461" Type="http://schemas.openxmlformats.org/officeDocument/2006/relationships/image" Target="media/image46.jpg"/><Relationship Id="rId60" Type="http://schemas.openxmlformats.org/officeDocument/2006/relationships/image" Target="media/image6.svg"/><Relationship Id="rId156" Type="http://schemas.openxmlformats.org/officeDocument/2006/relationships/footer" Target="footer5.xml"/><Relationship Id="rId198" Type="http://schemas.openxmlformats.org/officeDocument/2006/relationships/hyperlink" Target="https://www.turmob.org.tr/Arsiv/turmobwebdb/dosyalar/ingilizce7.pdf" TargetMode="External"/><Relationship Id="rId321" Type="http://schemas.openxmlformats.org/officeDocument/2006/relationships/hyperlink" Target="https://doi.org/10.1007/s11620-015-0299-4" TargetMode="External"/><Relationship Id="rId363" Type="http://schemas.openxmlformats.org/officeDocument/2006/relationships/image" Target="media/image28.png"/><Relationship Id="rId419" Type="http://schemas.openxmlformats.org/officeDocument/2006/relationships/hyperlink" Target="https://doi.org/10.1108/IJCHM-03-2024-0322" TargetMode="External"/><Relationship Id="rId223" Type="http://schemas.openxmlformats.org/officeDocument/2006/relationships/hyperlink" Target="https://dergipark.org.tr/tr/pub/sutad/issue/26301/277164" TargetMode="External"/><Relationship Id="rId430" Type="http://schemas.openxmlformats.org/officeDocument/2006/relationships/hyperlink" Target="https://amsterdamsmartcity.com/updates/project/iot-living-lab" TargetMode="External"/><Relationship Id="rId18" Type="http://schemas.openxmlformats.org/officeDocument/2006/relationships/hyperlink" Target="mailto:s220303007@ankarabilim.edu.tr" TargetMode="External"/><Relationship Id="rId265" Type="http://schemas.openxmlformats.org/officeDocument/2006/relationships/hyperlink" Target="http://diad.mfa.gov.tr/diad/tarihce/1995-2.pdf" TargetMode="External"/><Relationship Id="rId472" Type="http://schemas.openxmlformats.org/officeDocument/2006/relationships/hyperlink" Target="https://evrimagaci.org/fransiz-ihtilali-nedir-fransada-monarsi-nasil-devrildi-14953?srsltid=AfmBOooh_hv1EG08zbFnxxUr_aWVzYUfkz7MV3NB8liNsBpb-5X1PMg4" TargetMode="External"/><Relationship Id="rId125" Type="http://schemas.openxmlformats.org/officeDocument/2006/relationships/hyperlink" Target="mailto:raziyerdogan@hotmail.com" TargetMode="External"/><Relationship Id="rId167" Type="http://schemas.openxmlformats.org/officeDocument/2006/relationships/hyperlink" Target="mailto:arican.irem@ogr.ahievran.edu.tr" TargetMode="External"/><Relationship Id="rId332" Type="http://schemas.openxmlformats.org/officeDocument/2006/relationships/hyperlink" Target="https://doi.org/10.3390/ijerph18094442" TargetMode="External"/><Relationship Id="rId374" Type="http://schemas.openxmlformats.org/officeDocument/2006/relationships/hyperlink" Target="https://doi.org/10.4324/9780203501764" TargetMode="External"/><Relationship Id="rId71" Type="http://schemas.openxmlformats.org/officeDocument/2006/relationships/hyperlink" Target="http://politikaakademisi.org/2024/01/05/lubnan-ve-irana-yonelik-saldirilar-hakkinda-degerlendirmeler/" TargetMode="External"/><Relationship Id="rId234" Type="http://schemas.openxmlformats.org/officeDocument/2006/relationships/hyperlink" Target="https://doi.org/10.1787/eag_highlights-2013-en" TargetMode="External"/><Relationship Id="rId2" Type="http://schemas.openxmlformats.org/officeDocument/2006/relationships/customXml" Target="../customXml/item2.xml"/><Relationship Id="rId29" Type="http://schemas.openxmlformats.org/officeDocument/2006/relationships/hyperlink" Target="https://www.statista.com/statistics/617136/digital-population-worldwide/" TargetMode="External"/><Relationship Id="rId276" Type="http://schemas.microsoft.com/office/2007/relationships/diagramDrawing" Target="diagrams/drawing1.xml"/><Relationship Id="rId441" Type="http://schemas.openxmlformats.org/officeDocument/2006/relationships/hyperlink" Target="https://www.ub.edu/livinglabub/en/" TargetMode="External"/><Relationship Id="rId483" Type="http://schemas.openxmlformats.org/officeDocument/2006/relationships/hyperlink" Target="https://www.arthipo.com/artblog/unlu-klasik-tablolar/fransiz-ihtilalini-anlatan-tablo.html" TargetMode="External"/><Relationship Id="rId40" Type="http://schemas.openxmlformats.org/officeDocument/2006/relationships/hyperlink" Target="mailto:kekilli.gulnaz@ogr.ahievran.edu.tr" TargetMode="External"/><Relationship Id="rId136" Type="http://schemas.openxmlformats.org/officeDocument/2006/relationships/hyperlink" Target="https://doi.org/10.1111/apce.12053" TargetMode="External"/><Relationship Id="rId178" Type="http://schemas.openxmlformats.org/officeDocument/2006/relationships/hyperlink" Target="mailto:edanur.ozbek@student.asbu.edu.tr" TargetMode="External"/><Relationship Id="rId301" Type="http://schemas.openxmlformats.org/officeDocument/2006/relationships/diagramQuickStyle" Target="diagrams/quickStyle2.xml"/><Relationship Id="rId343" Type="http://schemas.openxmlformats.org/officeDocument/2006/relationships/hyperlink" Target="https://doi.org/10.17066/tpdrd.1210122ey" TargetMode="External"/><Relationship Id="rId82" Type="http://schemas.openxmlformats.org/officeDocument/2006/relationships/hyperlink" Target="https://www.milliyet.com.tr/dunya/abd-ve-ingiltereden-yemene-hava-saldirisi-7062834" TargetMode="External"/><Relationship Id="rId203" Type="http://schemas.openxmlformats.org/officeDocument/2006/relationships/hyperlink" Target="https://2u.pw/snpZEX3T" TargetMode="External"/><Relationship Id="rId385" Type="http://schemas.openxmlformats.org/officeDocument/2006/relationships/hyperlink" Target="mailto:hayyamcelilzade@anadolu.edu.tr" TargetMode="External"/><Relationship Id="rId245" Type="http://schemas.openxmlformats.org/officeDocument/2006/relationships/hyperlink" Target="https://ec.europa.eu/eurostat/statistics-%09explained/index.php?title=Fertility_statistics" TargetMode="External"/><Relationship Id="rId287" Type="http://schemas.openxmlformats.org/officeDocument/2006/relationships/hyperlink" Target="https://doi.org/10.1016/j.pubrev.2018.10.008" TargetMode="External"/><Relationship Id="rId410" Type="http://schemas.openxmlformats.org/officeDocument/2006/relationships/image" Target="media/image32.jpeg"/><Relationship Id="rId452" Type="http://schemas.openxmlformats.org/officeDocument/2006/relationships/hyperlink" Target="https://assassinscreed.fandom.com/wiki/Assassin%27s_Creed:_Unity" TargetMode="External"/><Relationship Id="rId105" Type="http://schemas.openxmlformats.org/officeDocument/2006/relationships/image" Target="media/image13.jpeg"/><Relationship Id="rId147" Type="http://schemas.openxmlformats.org/officeDocument/2006/relationships/hyperlink" Target="mailto:mdogan@gelisim.edu.tr" TargetMode="External"/><Relationship Id="rId312" Type="http://schemas.openxmlformats.org/officeDocument/2006/relationships/hyperlink" Target="https://doi.org/10.1007/s11620-020-00560-2" TargetMode="External"/><Relationship Id="rId354" Type="http://schemas.openxmlformats.org/officeDocument/2006/relationships/hyperlink" Target="https://doi.org/10.17343/sdutfd.342828" TargetMode="External"/><Relationship Id="rId51" Type="http://schemas.openxmlformats.org/officeDocument/2006/relationships/hyperlink" Target="https://worldcoalition.org/2024/12/20/two-thirds-of-the-united-nations-general-assembly-vote-in-favor-of-the-10th-resolution-for-a-moratorium-on-the-death-penalty/" TargetMode="External"/><Relationship Id="rId93" Type="http://schemas.openxmlformats.org/officeDocument/2006/relationships/hyperlink" Target="https://islamansiklopedisi.org.tr/irkcilik" TargetMode="External"/><Relationship Id="rId189" Type="http://schemas.openxmlformats.org/officeDocument/2006/relationships/hyperlink" Target="mailto:ismetceferova6@gmail.com" TargetMode="External"/><Relationship Id="rId396" Type="http://schemas.openxmlformats.org/officeDocument/2006/relationships/chart" Target="charts/chart2.xml"/><Relationship Id="rId214" Type="http://schemas.openxmlformats.org/officeDocument/2006/relationships/hyperlink" Target="https://dergipark.org.tr/tr/pub/oa/issue/10950/130874" TargetMode="External"/><Relationship Id="rId256" Type="http://schemas.openxmlformats.org/officeDocument/2006/relationships/hyperlink" Target="mailto:emel.cokogullar@dpu.edu.tr" TargetMode="External"/><Relationship Id="rId298" Type="http://schemas.openxmlformats.org/officeDocument/2006/relationships/hyperlink" Target="https://www.mondaq.com/data-protection/1314688/filing-a-case-in-smart-police-stations-in-dubai" TargetMode="External"/><Relationship Id="rId421" Type="http://schemas.openxmlformats.org/officeDocument/2006/relationships/hyperlink" Target="https://www.theverge.com/2019/5/28/18637135/hollywood-ai-film-decision-script-analysis-data-machine-learning" TargetMode="External"/><Relationship Id="rId463" Type="http://schemas.openxmlformats.org/officeDocument/2006/relationships/image" Target="media/image48.jpg"/><Relationship Id="rId116" Type="http://schemas.openxmlformats.org/officeDocument/2006/relationships/hyperlink" Target="mailto:iremkariksiz00@gmail.com" TargetMode="External"/><Relationship Id="rId137" Type="http://schemas.openxmlformats.org/officeDocument/2006/relationships/hyperlink" Target="https://www.ilo.org/tr/media/93931/download" TargetMode="External"/><Relationship Id="rId158" Type="http://schemas.openxmlformats.org/officeDocument/2006/relationships/hyperlink" Target="mailto:esener@ahievran.edu.tr" TargetMode="External"/><Relationship Id="rId302" Type="http://schemas.openxmlformats.org/officeDocument/2006/relationships/diagramColors" Target="diagrams/colors2.xml"/><Relationship Id="rId323" Type="http://schemas.openxmlformats.org/officeDocument/2006/relationships/hyperlink" Target="https://doi.org/10.21550/sosbilder.336670" TargetMode="External"/><Relationship Id="rId344" Type="http://schemas.openxmlformats.org/officeDocument/2006/relationships/hyperlink" Target="https://doi.org/10.26466/opus.904430" TargetMode="External"/><Relationship Id="rId20" Type="http://schemas.openxmlformats.org/officeDocument/2006/relationships/hyperlink" Target="mailto:mehmet.bayar@hbv.edu.tr" TargetMode="External"/><Relationship Id="rId41" Type="http://schemas.openxmlformats.org/officeDocument/2006/relationships/hyperlink" Target="mailto:yalc&#305;n.esma@ogr.ahievran.edu.tr" TargetMode="External"/><Relationship Id="rId62" Type="http://schemas.openxmlformats.org/officeDocument/2006/relationships/hyperlink" Target="https://apnews.com/article/yemen-houthis-biden-retaliation-attacks-0804b93372cd5e874a0dd03513fe36a2" TargetMode="External"/><Relationship Id="rId83" Type="http://schemas.openxmlformats.org/officeDocument/2006/relationships/hyperlink" Target="https://www.aljazeera.com/news/2024/1/12/world-reacts-to-us-uk-attacks-on-houthi-targets-in-yemen" TargetMode="External"/><Relationship Id="rId179" Type="http://schemas.openxmlformats.org/officeDocument/2006/relationships/hyperlink" Target="mailto:gunayeskalen0@gmail.com" TargetMode="External"/><Relationship Id="rId365" Type="http://schemas.openxmlformats.org/officeDocument/2006/relationships/hyperlink" Target="https://dergipark.org.tr/en/pub/guvenlikstrtj/issue/7544/99268" TargetMode="External"/><Relationship Id="rId386" Type="http://schemas.openxmlformats.org/officeDocument/2006/relationships/hyperlink" Target="https://documents.kenyon.edu/sociology/Comps%202008-2009/ZacharyKeshner.pdf" TargetMode="External"/><Relationship Id="rId190" Type="http://schemas.openxmlformats.org/officeDocument/2006/relationships/hyperlink" Target="https://mc.gov.sa/ar/Regulations/Pages/details.aspx?lawId=5163760b-4568-4f24-88e9-a81e00ae74e6" TargetMode="External"/><Relationship Id="rId204" Type="http://schemas.openxmlformats.org/officeDocument/2006/relationships/hyperlink" Target="https://www.kfu.edu.sa/ar/Colleges/AppliedSciences/CollegeDepartments/Pages/Accounting.aspx" TargetMode="External"/><Relationship Id="rId225" Type="http://schemas.openxmlformats.org/officeDocument/2006/relationships/hyperlink" Target="about:blank" TargetMode="External"/><Relationship Id="rId246" Type="http://schemas.openxmlformats.org/officeDocument/2006/relationships/hyperlink" Target="https://www.goodmorningamerica.com/culture/story/jennifer-aniston-calls-motherhood-%09pressure-unfair-women-27597407" TargetMode="External"/><Relationship Id="rId267" Type="http://schemas.openxmlformats.org/officeDocument/2006/relationships/hyperlink" Target="https://diad.mfa.gov.tr/diad/gunce/aralik-1999.pdf" TargetMode="External"/><Relationship Id="rId288" Type="http://schemas.openxmlformats.org/officeDocument/2006/relationships/hyperlink" Target="https://policinginsight.com/feature/innovation/dubais-smart-police-stations-improving-crime-prevention-and-community-safety-without-human-interaction/" TargetMode="External"/><Relationship Id="rId411" Type="http://schemas.openxmlformats.org/officeDocument/2006/relationships/image" Target="media/image33.jpeg"/><Relationship Id="rId432" Type="http://schemas.openxmlformats.org/officeDocument/2006/relationships/hyperlink" Target="https://basaksehirlivinglab.com/" TargetMode="External"/><Relationship Id="rId453" Type="http://schemas.openxmlformats.org/officeDocument/2006/relationships/image" Target="media/image38.jpg"/><Relationship Id="rId474" Type="http://schemas.openxmlformats.org/officeDocument/2006/relationships/hyperlink" Target="https://assassinscreed.fandom.com/wiki/Assassin%27s_Creed:_Unity" TargetMode="External"/><Relationship Id="rId106" Type="http://schemas.openxmlformats.org/officeDocument/2006/relationships/image" Target="media/image14.jpeg"/><Relationship Id="rId127" Type="http://schemas.openxmlformats.org/officeDocument/2006/relationships/chart" Target="charts/chart1.xml"/><Relationship Id="rId313" Type="http://schemas.openxmlformats.org/officeDocument/2006/relationships/hyperlink" Target="https://doi.org/10.1089/jpm.2012.0030" TargetMode="External"/><Relationship Id="rId10" Type="http://schemas.openxmlformats.org/officeDocument/2006/relationships/footer" Target="footer1.xml"/><Relationship Id="rId31" Type="http://schemas.openxmlformats.org/officeDocument/2006/relationships/hyperlink" Target="https://www.forbes.com/councils/forbesbusinesscouncil/2023/09/20/niche-communities-unleashing-the-power-of-micro-influencers/" TargetMode="External"/><Relationship Id="rId52" Type="http://schemas.openxmlformats.org/officeDocument/2006/relationships/hyperlink" Target="https://www.african-court.org/cpmt/storage/app/uploads/public/666/745/3d2/6667453d21c2a296373419.pdf" TargetMode="External"/><Relationship Id="rId73" Type="http://schemas.openxmlformats.org/officeDocument/2006/relationships/hyperlink" Target="https://www.ntv.com.tr/galeri/dunya/netanyahudan-gazzeye-kara-harekati-hazirliginda-yesaya-kehanetleri-vurgusu-yesaya-kehanetleri-nelerdir,ZBDhTWx6AkupBffp-sGj7g/eleDQ-w9H0SZWqJV3djeKw" TargetMode="External"/><Relationship Id="rId94" Type="http://schemas.openxmlformats.org/officeDocument/2006/relationships/hyperlink" Target="https://www.bbc.com/turkce/articles/cyd0221g31yo" TargetMode="External"/><Relationship Id="rId148" Type="http://schemas.openxmlformats.org/officeDocument/2006/relationships/image" Target="media/image22.png"/><Relationship Id="rId169" Type="http://schemas.openxmlformats.org/officeDocument/2006/relationships/hyperlink" Target="mailto:merve.turpcu@ahievran.edu.tr" TargetMode="External"/><Relationship Id="rId334" Type="http://schemas.openxmlformats.org/officeDocument/2006/relationships/hyperlink" Target="https://doi.org/10.30473/clpsy.2024.68482.1710" TargetMode="External"/><Relationship Id="rId355" Type="http://schemas.openxmlformats.org/officeDocument/2006/relationships/hyperlink" Target="https://doi.org/10.2190/TPMB-PE1A-L6UU-1JUL" TargetMode="External"/><Relationship Id="rId376" Type="http://schemas.openxmlformats.org/officeDocument/2006/relationships/hyperlink" Target="https://data.worldbank.org/" TargetMode="External"/><Relationship Id="rId397" Type="http://schemas.openxmlformats.org/officeDocument/2006/relationships/hyperlink" Target="mailto:bbasaran@ybu.edu.tr" TargetMode="External"/><Relationship Id="rId4" Type="http://schemas.openxmlformats.org/officeDocument/2006/relationships/styles" Target="styles.xml"/><Relationship Id="rId180" Type="http://schemas.openxmlformats.org/officeDocument/2006/relationships/hyperlink" Target="mailto:gulcinsenyuva82@gmail.com" TargetMode="External"/><Relationship Id="rId215" Type="http://schemas.openxmlformats.org/officeDocument/2006/relationships/hyperlink" Target="https://dergipark.org.tr/tr/pub/cbayarsos/issue/4067/53689" TargetMode="External"/><Relationship Id="rId236" Type="http://schemas.openxmlformats.org/officeDocument/2006/relationships/hyperlink" Target="https://www.schneideit.com/blogs/impact-of-globalization-on-education/" TargetMode="External"/><Relationship Id="rId257" Type="http://schemas.openxmlformats.org/officeDocument/2006/relationships/hyperlink" Target="mailto:emel.cokogullar@dpu.edu.tr" TargetMode="External"/><Relationship Id="rId278" Type="http://schemas.openxmlformats.org/officeDocument/2006/relationships/hyperlink" Target="https://doi.org/10.70101/ussmad.1520892" TargetMode="External"/><Relationship Id="rId401" Type="http://schemas.openxmlformats.org/officeDocument/2006/relationships/hyperlink" Target="mailto:renser@sakarya.edu.tr" TargetMode="External"/><Relationship Id="rId422" Type="http://schemas.openxmlformats.org/officeDocument/2006/relationships/hyperlink" Target="mailto:yaseminkuzu@ahievran.edu.tr" TargetMode="External"/><Relationship Id="rId443" Type="http://schemas.openxmlformats.org/officeDocument/2006/relationships/hyperlink" Target="mailto:tunuh@hotmail.com" TargetMode="External"/><Relationship Id="rId464" Type="http://schemas.openxmlformats.org/officeDocument/2006/relationships/image" Target="media/image49.jpg"/><Relationship Id="rId303" Type="http://schemas.microsoft.com/office/2007/relationships/diagramDrawing" Target="diagrams/drawing2.xml"/><Relationship Id="rId485" Type="http://schemas.openxmlformats.org/officeDocument/2006/relationships/header" Target="header5.xml"/><Relationship Id="rId42" Type="http://schemas.openxmlformats.org/officeDocument/2006/relationships/hyperlink" Target="mailto:yagmur.beyza@ogr.ahievran.edu.tr" TargetMode="External"/><Relationship Id="rId84" Type="http://schemas.openxmlformats.org/officeDocument/2006/relationships/hyperlink" Target="https://www.npr.org/2024/01/03/1198909893/consider-this-from-npr-draft-01-03-2024" TargetMode="External"/><Relationship Id="rId138" Type="http://schemas.openxmlformats.org/officeDocument/2006/relationships/hyperlink" Target="https://www.kedv.org.tr/public/uploads/files/5_Kad%C4%B1n%20Kooperatifleri%20Bulus%CC%A7mas%C4%B1%20Raporu.pdf" TargetMode="External"/><Relationship Id="rId345" Type="http://schemas.openxmlformats.org/officeDocument/2006/relationships/hyperlink" Target="https://doi.org/10.3389/fpsyg.2020.544661" TargetMode="External"/><Relationship Id="rId387" Type="http://schemas.openxmlformats.org/officeDocument/2006/relationships/hyperlink" Target="mailto:aleyna.ucukan@gmail.com" TargetMode="External"/><Relationship Id="rId191" Type="http://schemas.openxmlformats.org/officeDocument/2006/relationships/hyperlink" Target="https://www.mevzuat.gov.tr/MevzuatMetin/1.5.3568.pdf" TargetMode="External"/><Relationship Id="rId205" Type="http://schemas.openxmlformats.org/officeDocument/2006/relationships/hyperlink" Target="https://www.kfu.edu.sa/ar/Colleges/business-administration/Pages/Master-Accounting.aspx" TargetMode="External"/><Relationship Id="rId247" Type="http://schemas.openxmlformats.org/officeDocument/2006/relationships/hyperlink" Target="https://www.hurriyet.com.tr/kelebek/magazin/jennifer-aniston-biri-de-bana-%09yumurtalarini-dondur-demedi-o-gemi-gitti-artik-%0942168420" TargetMode="External"/><Relationship Id="rId412" Type="http://schemas.openxmlformats.org/officeDocument/2006/relationships/image" Target="media/image34.jpeg"/><Relationship Id="rId107" Type="http://schemas.openxmlformats.org/officeDocument/2006/relationships/image" Target="media/image15.jpeg"/><Relationship Id="rId289" Type="http://schemas.openxmlformats.org/officeDocument/2006/relationships/hyperlink" Target="https://policinginsight.com/feature/innovation/dubais-smart-police-stations-improving-crime-prevention-and-community-safety-without-human-interaction/" TargetMode="External"/><Relationship Id="rId454" Type="http://schemas.openxmlformats.org/officeDocument/2006/relationships/image" Target="media/image39.jpg"/><Relationship Id="rId11" Type="http://schemas.openxmlformats.org/officeDocument/2006/relationships/image" Target="media/image3.png"/><Relationship Id="rId53" Type="http://schemas.openxmlformats.org/officeDocument/2006/relationships/hyperlink" Target="mailto:kaya-tugba@ogr.ahievran.edu.tr" TargetMode="External"/><Relationship Id="rId149" Type="http://schemas.openxmlformats.org/officeDocument/2006/relationships/header" Target="header3.xml"/><Relationship Id="rId314" Type="http://schemas.openxmlformats.org/officeDocument/2006/relationships/hyperlink" Target="https://doi.org/10.14744/phd.2019.96636" TargetMode="External"/><Relationship Id="rId356" Type="http://schemas.openxmlformats.org/officeDocument/2006/relationships/hyperlink" Target="https://orcid.org/0009-0000-4863-5898" TargetMode="External"/><Relationship Id="rId398" Type="http://schemas.openxmlformats.org/officeDocument/2006/relationships/hyperlink" Target="mailto:seyitahmetbudak@gmail.com" TargetMode="External"/><Relationship Id="rId95" Type="http://schemas.openxmlformats.org/officeDocument/2006/relationships/hyperlink" Target="https://www.indyturk.com/node/668951/d%C3%BCnya/siyonist-biden%C4%B1n-i%CC%87sraille-yak%C4%B1n-ba%C4%9Flar%C4%B1-36-y%C4%B1lda-milyonlarca-dolar-ba%C4%9F%C4%B1%C5%9F" TargetMode="External"/><Relationship Id="rId160" Type="http://schemas.openxmlformats.org/officeDocument/2006/relationships/hyperlink" Target="https://www.theiia.org/globalassets/documents/resources/the-iias-three-lines-model-an-update-of-the-three-lines-of-defense-july-2020/three-lines-model-updated-english.pdf" TargetMode="External"/><Relationship Id="rId216" Type="http://schemas.openxmlformats.org/officeDocument/2006/relationships/hyperlink" Target="https://islamansiklopedisi.org.tr/hayali-bey" TargetMode="External"/><Relationship Id="rId423" Type="http://schemas.openxmlformats.org/officeDocument/2006/relationships/hyperlink" Target="mailto:ozersumeyye277@gmail.com" TargetMode="External"/><Relationship Id="rId258" Type="http://schemas.openxmlformats.org/officeDocument/2006/relationships/hyperlink" Target="mailto:emel.cokogullar@dpu.edu.tr" TargetMode="External"/><Relationship Id="rId465" Type="http://schemas.openxmlformats.org/officeDocument/2006/relationships/image" Target="media/image50.jpeg"/><Relationship Id="rId22" Type="http://schemas.openxmlformats.org/officeDocument/2006/relationships/hyperlink" Target="https://doi.org/10.1111/j.1468-2885.2009.01347.x" TargetMode="External"/><Relationship Id="rId64" Type="http://schemas.openxmlformats.org/officeDocument/2006/relationships/hyperlink" Target="https://www.theguardian.com/world/2024/jan/12/yemen-houthi-rebels-who-are-they-what-attacking-us-uk-airstrikes-red-sea-crisis" TargetMode="External"/><Relationship Id="rId118" Type="http://schemas.openxmlformats.org/officeDocument/2006/relationships/hyperlink" Target="https://www.britannica.com/biography/John-Major" TargetMode="External"/><Relationship Id="rId325" Type="http://schemas.openxmlformats.org/officeDocument/2006/relationships/hyperlink" Target="https://doi.org/10.32598/ijpcp.26.4.3190.2" TargetMode="External"/><Relationship Id="rId367" Type="http://schemas.openxmlformats.org/officeDocument/2006/relationships/hyperlink" Target="https://doi.org/10.1017/CBO9780511491252" TargetMode="External"/><Relationship Id="rId171" Type="http://schemas.openxmlformats.org/officeDocument/2006/relationships/hyperlink" Target="mailto:hamza.oz@bozok.edu.tr" TargetMode="External"/><Relationship Id="rId227" Type="http://schemas.openxmlformats.org/officeDocument/2006/relationships/hyperlink" Target="mailto:ogzuyar@gmail.com" TargetMode="External"/><Relationship Id="rId269" Type="http://schemas.openxmlformats.org/officeDocument/2006/relationships/hyperlink" Target="mailto:salih.tosun@balikesir.edu.tr" TargetMode="External"/><Relationship Id="rId434" Type="http://schemas.openxmlformats.org/officeDocument/2006/relationships/hyperlink" Target="https://online.hbs.edu/blog/post/what-is-a-digital-platform" TargetMode="External"/><Relationship Id="rId476" Type="http://schemas.openxmlformats.org/officeDocument/2006/relationships/hyperlink" Target="https://arkeofili.com/notre-dame-katedrali-devrim-napoleon-ve-yangin/" TargetMode="External"/><Relationship Id="rId33" Type="http://schemas.openxmlformats.org/officeDocument/2006/relationships/hyperlink" Target="mailto:d.uludasdemir@gmail.com" TargetMode="External"/><Relationship Id="rId129" Type="http://schemas.openxmlformats.org/officeDocument/2006/relationships/image" Target="media/image19.png"/><Relationship Id="rId280" Type="http://schemas.openxmlformats.org/officeDocument/2006/relationships/hyperlink" Target="https://www.cio.com/article/3619620/dubai-police-will-have-its-first-floating-smart-police-station-in-2026.html" TargetMode="External"/><Relationship Id="rId336" Type="http://schemas.openxmlformats.org/officeDocument/2006/relationships/hyperlink" Target="https://www.lumhs.edu.pk/jlumhs/special-issue-january2025/10.pdf" TargetMode="External"/><Relationship Id="rId75" Type="http://schemas.openxmlformats.org/officeDocument/2006/relationships/hyperlink" Target="https://www.trthaber.com/haber/dunya/iran-devrim-muhafizlari-ordusu-komutanlarindan-musevi-suriyede-olduruldu-823689.html" TargetMode="External"/><Relationship Id="rId140" Type="http://schemas.openxmlformats.org/officeDocument/2006/relationships/hyperlink" Target="https://ticaret.gov.tr/kooperatifcilik/koop-bis" TargetMode="External"/><Relationship Id="rId182" Type="http://schemas.openxmlformats.org/officeDocument/2006/relationships/hyperlink" Target="https://doi.org/10.1186/1471-244X-4-31" TargetMode="External"/><Relationship Id="rId378" Type="http://schemas.openxmlformats.org/officeDocument/2006/relationships/hyperlink" Target="mailto:hilal.mavi.9894@gmail.com" TargetMode="External"/><Relationship Id="rId403" Type="http://schemas.openxmlformats.org/officeDocument/2006/relationships/hyperlink" Target="mailto:karaaliasuman@gmail.com" TargetMode="External"/><Relationship Id="rId6" Type="http://schemas.openxmlformats.org/officeDocument/2006/relationships/webSettings" Target="webSettings.xml"/><Relationship Id="rId238" Type="http://schemas.openxmlformats.org/officeDocument/2006/relationships/hyperlink" Target="https://www.yok.gov.tr/Sayfalar/Haberler/2022/yuksekogretimde-uluslararasilasma-ve-turkiye-deki-universitelerin-uluslararasi-gorunurlulugunu-artirma-calistayi.aspx" TargetMode="External"/><Relationship Id="rId445" Type="http://schemas.openxmlformats.org/officeDocument/2006/relationships/hyperlink" Target="mailto:av.mervecakir@hotmail.com" TargetMode="External"/><Relationship Id="rId487" Type="http://schemas.openxmlformats.org/officeDocument/2006/relationships/theme" Target="theme/theme1.xml"/><Relationship Id="rId291" Type="http://schemas.openxmlformats.org/officeDocument/2006/relationships/hyperlink" Target="https://gulfnews.com/uae/crime/unmanned-dubai-smart-police-stations-process-107719-transactions-1.93504882" TargetMode="External"/><Relationship Id="rId305" Type="http://schemas.openxmlformats.org/officeDocument/2006/relationships/image" Target="media/image25.png"/><Relationship Id="rId347" Type="http://schemas.openxmlformats.org/officeDocument/2006/relationships/hyperlink" Target="https://doi.org/10.3390/bs13110931" TargetMode="External"/><Relationship Id="rId44" Type="http://schemas.openxmlformats.org/officeDocument/2006/relationships/hyperlink" Target="https://www.african-court.org/wpafc/basic-information/" TargetMode="External"/><Relationship Id="rId86" Type="http://schemas.openxmlformats.org/officeDocument/2006/relationships/hyperlink" Target="https://www.ntv.com.tr/turkiye/cumhurbaskani-erdogandan-mossada-suikast-uyarisi,9pjq2Uxzs02zDxNLv4NMTQ" TargetMode="External"/><Relationship Id="rId151" Type="http://schemas.openxmlformats.org/officeDocument/2006/relationships/footer" Target="footer4.xml"/><Relationship Id="rId389" Type="http://schemas.openxmlformats.org/officeDocument/2006/relationships/hyperlink" Target="mailto:derya.akclk@gmail.com" TargetMode="External"/><Relationship Id="rId193" Type="http://schemas.openxmlformats.org/officeDocument/2006/relationships/hyperlink" Target="https://www.socpa.org.sa/Socpa/Licenses-and-Quality/Licensed%20Accountants/2282.aspx" TargetMode="External"/><Relationship Id="rId207" Type="http://schemas.openxmlformats.org/officeDocument/2006/relationships/hyperlink" Target="https://www.surgem.org.tr/kurumsal/surgemhakkinda" TargetMode="External"/><Relationship Id="rId249" Type="http://schemas.openxmlformats.org/officeDocument/2006/relationships/hyperlink" Target="https://www.news.gov.hk/eng/2020/12/20201204/20201204_111608_107.html" TargetMode="External"/><Relationship Id="rId414" Type="http://schemas.openxmlformats.org/officeDocument/2006/relationships/image" Target="media/image36.jpeg"/><Relationship Id="rId456" Type="http://schemas.openxmlformats.org/officeDocument/2006/relationships/image" Target="media/image41.png"/><Relationship Id="rId13" Type="http://schemas.openxmlformats.org/officeDocument/2006/relationships/hyperlink" Target="mailto:itbkongre@ankarabilim.edu.tr" TargetMode="External"/><Relationship Id="rId109" Type="http://schemas.openxmlformats.org/officeDocument/2006/relationships/image" Target="media/image17.png"/><Relationship Id="rId260" Type="http://schemas.openxmlformats.org/officeDocument/2006/relationships/hyperlink" Target="mailto:engin.eryilmaz@hotmail.com" TargetMode="External"/><Relationship Id="rId316" Type="http://schemas.openxmlformats.org/officeDocument/2006/relationships/hyperlink" Target="https://doi.org/10.4081/ripppo.2017.272" TargetMode="External"/><Relationship Id="rId55" Type="http://schemas.openxmlformats.org/officeDocument/2006/relationships/hyperlink" Target="mailto:Elghezaoui2000@yahoo.fr" TargetMode="External"/><Relationship Id="rId97" Type="http://schemas.openxmlformats.org/officeDocument/2006/relationships/hyperlink" Target="mailto:yasinyildirim@karatekin.edu.tr" TargetMode="External"/><Relationship Id="rId120" Type="http://schemas.openxmlformats.org/officeDocument/2006/relationships/hyperlink" Target="mailto:hikmet.menguaslan@adu.edu.tr" TargetMode="External"/><Relationship Id="rId358" Type="http://schemas.openxmlformats.org/officeDocument/2006/relationships/hyperlink" Target="https://doi.org/10.2307/2932862" TargetMode="External"/><Relationship Id="rId162" Type="http://schemas.openxmlformats.org/officeDocument/2006/relationships/hyperlink" Target="https://www.theiia.org/globalassets/site/standards/editableversions/globalinternalauditstandards_2024january9_editable.pdf" TargetMode="External"/><Relationship Id="rId218" Type="http://schemas.openxmlformats.org/officeDocument/2006/relationships/hyperlink" Target="https://islamansiklopedisi.org.tr/arakiyye" TargetMode="External"/><Relationship Id="rId425" Type="http://schemas.openxmlformats.org/officeDocument/2006/relationships/hyperlink" Target="mailto:Rabia.zamur@istanbul.edu.tr" TargetMode="External"/><Relationship Id="rId467" Type="http://schemas.openxmlformats.org/officeDocument/2006/relationships/image" Target="media/image52.jpg"/><Relationship Id="rId271" Type="http://schemas.openxmlformats.org/officeDocument/2006/relationships/hyperlink" Target="https://orcid.org/0000-0001-6977-300X" TargetMode="External"/><Relationship Id="rId24" Type="http://schemas.openxmlformats.org/officeDocument/2006/relationships/hyperlink" Target="https://eksisozluk.com/entry/125231929" TargetMode="External"/><Relationship Id="rId66" Type="http://schemas.openxmlformats.org/officeDocument/2006/relationships/hyperlink" Target="https://islamansiklopedisi.org.tr/yahudilik" TargetMode="External"/><Relationship Id="rId131" Type="http://schemas.openxmlformats.org/officeDocument/2006/relationships/image" Target="media/image21.png"/><Relationship Id="rId327" Type="http://schemas.openxmlformats.org/officeDocument/2006/relationships/hyperlink" Target="https://doi.org/10.1177/0046958017720624" TargetMode="External"/><Relationship Id="rId369" Type="http://schemas.openxmlformats.org/officeDocument/2006/relationships/hyperlink" Target="https://doi.org/10.2307/1913827" TargetMode="External"/><Relationship Id="rId173" Type="http://schemas.openxmlformats.org/officeDocument/2006/relationships/hyperlink" Target="mailto:mugealgan@yahoo.com" TargetMode="External"/><Relationship Id="rId229" Type="http://schemas.openxmlformats.org/officeDocument/2006/relationships/hyperlink" Target="https://www.researchgate.net/publication/373118636_ULUSLARARASI_OGRENCILERIN_UYUM_YILLARINDAKI_DENEYIMLERI_SORUNLARI_VE_COZUM_ONERILERI_MARMARA_UNIVERSITESI_FEN_BILIMLERI_ENSTITUSU" TargetMode="External"/><Relationship Id="rId380" Type="http://schemas.openxmlformats.org/officeDocument/2006/relationships/hyperlink" Target="mailto:c.yesevi@iku.edu.tr" TargetMode="External"/><Relationship Id="rId436" Type="http://schemas.openxmlformats.org/officeDocument/2006/relationships/hyperlink" Target="https://basaksehirlivinglab.com/" TargetMode="External"/><Relationship Id="rId240" Type="http://schemas.openxmlformats.org/officeDocument/2006/relationships/hyperlink" Target="mailto:yenisu23@gmail.com" TargetMode="External"/><Relationship Id="rId478" Type="http://schemas.openxmlformats.org/officeDocument/2006/relationships/hyperlink" Target="https://www.biyografiler.com/bilgi/versailles-sarayi" TargetMode="External"/><Relationship Id="rId35" Type="http://schemas.openxmlformats.org/officeDocument/2006/relationships/hyperlink" Target="mailto:semayaprak15@gmail.com" TargetMode="External"/><Relationship Id="rId77" Type="http://schemas.openxmlformats.org/officeDocument/2006/relationships/hyperlink" Target="https://www.economist.com/middle-east-and-africa/2024/01/04/another-war-could-break-out-on-the-israel-lebanon-border" TargetMode="External"/><Relationship Id="rId100" Type="http://schemas.openxmlformats.org/officeDocument/2006/relationships/image" Target="media/image8.jpeg"/><Relationship Id="rId282" Type="http://schemas.openxmlformats.org/officeDocument/2006/relationships/hyperlink" Target="https://bootpoot.tech/what-is-artificial-intelligence-characteristics-applications-and-importance-of-a-i" TargetMode="External"/><Relationship Id="rId338" Type="http://schemas.openxmlformats.org/officeDocument/2006/relationships/hyperlink" Target="https://www.researchgate.net/publication/352173002" TargetMode="External"/><Relationship Id="rId8" Type="http://schemas.openxmlformats.org/officeDocument/2006/relationships/endnotes" Target="endnotes.xml"/><Relationship Id="rId142" Type="http://schemas.openxmlformats.org/officeDocument/2006/relationships/hyperlink" Target="https://doi.org/10.1177/0170840613479226" TargetMode="External"/><Relationship Id="rId184" Type="http://schemas.openxmlformats.org/officeDocument/2006/relationships/hyperlink" Target="mailto:sadik.caliskan@inonu.edu.tr" TargetMode="External"/><Relationship Id="rId391" Type="http://schemas.openxmlformats.org/officeDocument/2006/relationships/hyperlink" Target="https://www.goc.gov.tr/goc-tarihi%20adresinden%2026.02.2025" TargetMode="External"/><Relationship Id="rId405" Type="http://schemas.openxmlformats.org/officeDocument/2006/relationships/hyperlink" Target="mailto:ayse.aldemir@ibu.edu.tr" TargetMode="External"/><Relationship Id="rId447" Type="http://schemas.openxmlformats.org/officeDocument/2006/relationships/hyperlink" Target="https://orcid.org/0000-0002-0919-314X" TargetMode="External"/><Relationship Id="rId251" Type="http://schemas.openxmlformats.org/officeDocument/2006/relationships/hyperlink" Target="https://t24.com.tr/haber/britanya-da-bir-grup-erkek-babalik-izninin-iyilestirilmesi-icin-%09heykellere-bebek-askisi-bagladi,1184540" TargetMode="External"/><Relationship Id="rId46" Type="http://schemas.openxmlformats.org/officeDocument/2006/relationships/hyperlink" Target="https://www.amnesty.org/en/latest/news/2024/10/africa-countries-on-the-cusp-of-abolition-must-take-a-stand-against-the-death-penalty/" TargetMode="External"/><Relationship Id="rId293" Type="http://schemas.openxmlformats.org/officeDocument/2006/relationships/hyperlink" Target="https://doi.org/10.1016/j.bushor.2021.02.026" TargetMode="External"/><Relationship Id="rId307" Type="http://schemas.openxmlformats.org/officeDocument/2006/relationships/hyperlink" Target="https://doi.org/10.26466/opus.864561" TargetMode="External"/><Relationship Id="rId349" Type="http://schemas.openxmlformats.org/officeDocument/2006/relationships/hyperlink" Target="https://dergipark.org.tr/en/pub/jgehes/issue/79567/1184857" TargetMode="External"/><Relationship Id="rId88" Type="http://schemas.openxmlformats.org/officeDocument/2006/relationships/hyperlink" Target="https://www.nytimes.com/2024/01/03/us/politics/war-israel-iran-hezbollah-yemen.html" TargetMode="External"/><Relationship Id="rId111" Type="http://schemas.openxmlformats.org/officeDocument/2006/relationships/hyperlink" Target="https://muze.gov.tr/muze-detay?SectionId=MAZ01&amp;DistId=MRK" TargetMode="External"/><Relationship Id="rId153" Type="http://schemas.openxmlformats.org/officeDocument/2006/relationships/hyperlink" Target="mailto:tkarakaya@dogus.edu.tr" TargetMode="External"/><Relationship Id="rId195" Type="http://schemas.openxmlformats.org/officeDocument/2006/relationships/hyperlink" Target="https://www.ifac.org/about-ifac/membership/profile/united-arab-emirates" TargetMode="External"/><Relationship Id="rId209" Type="http://schemas.openxmlformats.org/officeDocument/2006/relationships/hyperlink" Target="https://www" TargetMode="External"/><Relationship Id="rId360" Type="http://schemas.openxmlformats.org/officeDocument/2006/relationships/hyperlink" Target="https://www.nytimes.com/2024/09/19/movies/the-substance-review.html" TargetMode="External"/><Relationship Id="rId416" Type="http://schemas.openxmlformats.org/officeDocument/2006/relationships/hyperlink" Target="file:////insight/search%3fq=Dogan%20Gursoy" TargetMode="External"/><Relationship Id="rId220" Type="http://schemas.openxmlformats.org/officeDocument/2006/relationships/hyperlink" Target="https://islamansiklopedisi.org.tr/lamii-celebi" TargetMode="External"/><Relationship Id="rId458" Type="http://schemas.openxmlformats.org/officeDocument/2006/relationships/image" Target="media/image43.jpg"/><Relationship Id="rId15" Type="http://schemas.openxmlformats.org/officeDocument/2006/relationships/header" Target="header2.xml"/><Relationship Id="rId57" Type="http://schemas.openxmlformats.org/officeDocument/2006/relationships/hyperlink" Target="https://orcid.org/0000-0003-4412-8076" TargetMode="External"/><Relationship Id="rId262" Type="http://schemas.openxmlformats.org/officeDocument/2006/relationships/hyperlink" Target="https://www.hurriyet.com.tr/gundem/abye-6-ay-sure-39279196" TargetMode="External"/><Relationship Id="rId318" Type="http://schemas.openxmlformats.org/officeDocument/2006/relationships/hyperlink" Target="https://doi.org/10.1080/87568225.2016.1239512" TargetMode="External"/><Relationship Id="rId99" Type="http://schemas.openxmlformats.org/officeDocument/2006/relationships/hyperlink" Target="https://doi.org/10.32955/neu.ilaf.2023.9.2.01" TargetMode="External"/><Relationship Id="rId122" Type="http://schemas.openxmlformats.org/officeDocument/2006/relationships/hyperlink" Target="mailto:aydakorkmazdag@gmail.com" TargetMode="External"/><Relationship Id="rId164" Type="http://schemas.openxmlformats.org/officeDocument/2006/relationships/hyperlink" Target="mailto:muskara386@gmail.com" TargetMode="External"/><Relationship Id="rId371" Type="http://schemas.openxmlformats.org/officeDocument/2006/relationships/hyperlink" Target="https://doi.org/10.1016/j.jpolmod.2020.04.002" TargetMode="External"/><Relationship Id="rId427" Type="http://schemas.openxmlformats.org/officeDocument/2006/relationships/hyperlink" Target="https://ulasav.csb.gov.tr/dataset" TargetMode="External"/><Relationship Id="rId469" Type="http://schemas.openxmlformats.org/officeDocument/2006/relationships/image" Target="media/image54.jpg"/><Relationship Id="rId26" Type="http://schemas.openxmlformats.org/officeDocument/2006/relationships/hyperlink" Target="https://www.propeller.co.uk/insights/tiktok-micro-communities" TargetMode="External"/><Relationship Id="rId231" Type="http://schemas.openxmlformats.org/officeDocument/2006/relationships/hyperlink" Target="https://www.researchgate.net/publication/373118636_ULUSLARARASI_OGRENCILERIN_UYUM_YILLARINDAKI_DENEYIMLERI_SORUNLARI_VE_COZUM_ONERILERI_MARMARA_UNIVERSITESI_FEN_BILIMLERI_ENSTITUSU" TargetMode="External"/><Relationship Id="rId273" Type="http://schemas.openxmlformats.org/officeDocument/2006/relationships/diagramLayout" Target="diagrams/layout1.xml"/><Relationship Id="rId329" Type="http://schemas.openxmlformats.org/officeDocument/2006/relationships/hyperlink" Target="https://doi.org/10.1111/ppc.12921" TargetMode="External"/><Relationship Id="rId480" Type="http://schemas.openxmlformats.org/officeDocument/2006/relationships/hyperlink" Target="https://www.fikriyat.com/galeri/tarih/fransa-teror-doneminin-olum-makinesi-giyotin/5" TargetMode="External"/><Relationship Id="rId68" Type="http://schemas.openxmlformats.org/officeDocument/2006/relationships/hyperlink" Target="http://politikaakademisi.org/2023/12/02/abdnin-askeri-guc-projeksiyonunun-degerlendirilmesi/" TargetMode="External"/><Relationship Id="rId133" Type="http://schemas.openxmlformats.org/officeDocument/2006/relationships/hyperlink" Target="https://doi.org/10.1177/0094582x10382098" TargetMode="External"/><Relationship Id="rId175" Type="http://schemas.openxmlformats.org/officeDocument/2006/relationships/hyperlink" Target="mailto:gulakgul5@gmail.com" TargetMode="External"/><Relationship Id="rId340" Type="http://schemas.openxmlformats.org/officeDocument/2006/relationships/hyperlink" Target="https://doi.org/10.29044/v6i1p15" TargetMode="External"/><Relationship Id="rId200" Type="http://schemas.openxmlformats.org/officeDocument/2006/relationships/hyperlink" Target="https://www.emaratalyoum.com/local-section/education/2018-03-19-1.1081605" TargetMode="External"/><Relationship Id="rId382" Type="http://schemas.openxmlformats.org/officeDocument/2006/relationships/hyperlink" Target="mailto:sukrandertli25@gmail.com" TargetMode="External"/><Relationship Id="rId438" Type="http://schemas.openxmlformats.org/officeDocument/2006/relationships/hyperlink" Target="https://ulasav.csb.gov.tr/dataset" TargetMode="External"/><Relationship Id="rId242" Type="http://schemas.openxmlformats.org/officeDocument/2006/relationships/hyperlink" Target="mailto:sinem.uzgoren1@ogr.sakarya.edu.tr" TargetMode="External"/><Relationship Id="rId284" Type="http://schemas.openxmlformats.org/officeDocument/2006/relationships/hyperlink" Target="https://doi.org/10.32002/ombudsmanakademik.1496218" TargetMode="External"/><Relationship Id="rId37" Type="http://schemas.openxmlformats.org/officeDocument/2006/relationships/hyperlink" Target="mailto:hcgunduz@baskent.edu.tr" TargetMode="External"/><Relationship Id="rId79" Type="http://schemas.openxmlformats.org/officeDocument/2006/relationships/hyperlink" Target="https://islamansiklopedisi.org.tr/siyonizm" TargetMode="External"/><Relationship Id="rId102" Type="http://schemas.openxmlformats.org/officeDocument/2006/relationships/image" Target="media/image10.jpeg"/><Relationship Id="rId144" Type="http://schemas.openxmlformats.org/officeDocument/2006/relationships/hyperlink" Target="https://esnafkoop.ticaret.gov.tr/haberler/turkiye-kooperatifcilik-stratejisi-taslagi-2025-2029-hazirlik-calismalari-toplantisi-yapildi" TargetMode="External"/><Relationship Id="rId90" Type="http://schemas.openxmlformats.org/officeDocument/2006/relationships/hyperlink" Target="https://www.sozcu.com.tr/abd-ve-ingiltere-den-yemen-e-ortak-saldiri-p14795" TargetMode="External"/><Relationship Id="rId186" Type="http://schemas.openxmlformats.org/officeDocument/2006/relationships/hyperlink" Target="mailto:Cansutncrxx@gmail.com" TargetMode="External"/><Relationship Id="rId351" Type="http://schemas.openxmlformats.org/officeDocument/2006/relationships/hyperlink" Target="https://openaccess.izu.edu.tr/xmlui/handle/20.500.12436/4135" TargetMode="External"/><Relationship Id="rId393" Type="http://schemas.openxmlformats.org/officeDocument/2006/relationships/hyperlink" Target="https://sozluk.gov.tr/" TargetMode="External"/><Relationship Id="rId407" Type="http://schemas.openxmlformats.org/officeDocument/2006/relationships/image" Target="media/image29.png"/><Relationship Id="rId449" Type="http://schemas.openxmlformats.org/officeDocument/2006/relationships/hyperlink" Target="mailto:bahar.sogukkuyu@deu.edu.tr" TargetMode="External"/><Relationship Id="rId211" Type="http://schemas.openxmlformats.org/officeDocument/2006/relationships/hyperlink" Target="https://dergipark.org.tr/tr/pub/hikmet/issue/77090/1158734" TargetMode="External"/><Relationship Id="rId253" Type="http://schemas.openxmlformats.org/officeDocument/2006/relationships/hyperlink" Target="https://data.tuik.gov.tr/Bulten/Index?p=Dogum-Istatistikleri-2023-53708" TargetMode="External"/><Relationship Id="rId295" Type="http://schemas.openxmlformats.org/officeDocument/2006/relationships/hyperlink" Target="https://doi.org/10.1016/j.artint.2007.10.009" TargetMode="External"/><Relationship Id="rId309" Type="http://schemas.openxmlformats.org/officeDocument/2006/relationships/hyperlink" Target="https://doi.org/10.4236/psych.2013.43A037" TargetMode="External"/><Relationship Id="rId460" Type="http://schemas.openxmlformats.org/officeDocument/2006/relationships/image" Target="media/image45.jpg"/><Relationship Id="rId48" Type="http://schemas.openxmlformats.org/officeDocument/2006/relationships/hyperlink" Target="https://www.african-court.org/cpmt/storage/app/uploads/public/666/7ee/00c/6667ee00c605e503088357.pdf" TargetMode="External"/><Relationship Id="rId113" Type="http://schemas.openxmlformats.org/officeDocument/2006/relationships/hyperlink" Target="mailto:m.kazanci.lee22@iste.edu.tr" TargetMode="External"/><Relationship Id="rId320" Type="http://schemas.openxmlformats.org/officeDocument/2006/relationships/hyperlink" Target="https://doi.org/10.1016/j.aip.2010.02.001" TargetMode="External"/><Relationship Id="rId155" Type="http://schemas.openxmlformats.org/officeDocument/2006/relationships/hyperlink" Target="mailto:esener@ahievran.edu.tr" TargetMode="External"/><Relationship Id="rId197" Type="http://schemas.openxmlformats.org/officeDocument/2006/relationships/hyperlink" Target="https://www.socpa.org.sa/Socpa/Media-Center/SOCPA-In-Numbers.aspx" TargetMode="External"/><Relationship Id="rId362" Type="http://schemas.openxmlformats.org/officeDocument/2006/relationships/hyperlink" Target="https://www.theguardian.com/film/2024/may/20/substance-review" TargetMode="External"/><Relationship Id="rId418" Type="http://schemas.openxmlformats.org/officeDocument/2006/relationships/hyperlink" Target="https://www.emerald.com/insight/publication/issn/0959-6119" TargetMode="External"/><Relationship Id="rId222" Type="http://schemas.openxmlformats.org/officeDocument/2006/relationships/hyperlink" Target="https://turkishstudies.net/turkishstudies?mod=makale_tr_ozet&amp;makale_id=15058" TargetMode="External"/><Relationship Id="rId264" Type="http://schemas.openxmlformats.org/officeDocument/2006/relationships/hyperlink" Target="https://www.ab.gov.tr/avrupa-birliginin-genislemesi_109.html" TargetMode="External"/><Relationship Id="rId471" Type="http://schemas.openxmlformats.org/officeDocument/2006/relationships/image" Target="media/image56.jpg"/><Relationship Id="rId17" Type="http://schemas.openxmlformats.org/officeDocument/2006/relationships/hyperlink" Target="mailto:irmak.bayar@ankarabilim.edu.tr" TargetMode="External"/><Relationship Id="rId59" Type="http://schemas.openxmlformats.org/officeDocument/2006/relationships/image" Target="media/image5.png"/><Relationship Id="rId124" Type="http://schemas.openxmlformats.org/officeDocument/2006/relationships/hyperlink" Target="mailto:aeyarar@erbakan.edu.tr" TargetMode="External"/><Relationship Id="rId70" Type="http://schemas.openxmlformats.org/officeDocument/2006/relationships/hyperlink" Target="http://politikaakademisi.org/2024/01/14/abd-ve-ingilterenin-yemen-saldirisinin-degerlendirilmesi/" TargetMode="External"/><Relationship Id="rId166" Type="http://schemas.openxmlformats.org/officeDocument/2006/relationships/hyperlink" Target="mailto:yaseminkuzu@ahievran.edu.tr" TargetMode="External"/><Relationship Id="rId331" Type="http://schemas.openxmlformats.org/officeDocument/2006/relationships/hyperlink" Target="https://doi.org/10.1016/j.aip.2003.11.004" TargetMode="External"/><Relationship Id="rId373" Type="http://schemas.openxmlformats.org/officeDocument/2006/relationships/hyperlink" Target="https://mpra.ub.uni-muenchen.de/19747/" TargetMode="External"/><Relationship Id="rId429" Type="http://schemas.openxmlformats.org/officeDocument/2006/relationships/hyperlink" Target="https://rural-urban.eu/living-lab/helsinki" TargetMode="External"/><Relationship Id="rId1" Type="http://schemas.openxmlformats.org/officeDocument/2006/relationships/customXml" Target="../customXml/item1.xml"/><Relationship Id="rId233" Type="http://schemas.openxmlformats.org/officeDocument/2006/relationships/hyperlink" Target="https://kocaeli.edu.tr/rakamlarlakou" TargetMode="External"/><Relationship Id="rId440" Type="http://schemas.openxmlformats.org/officeDocument/2006/relationships/hyperlink" Target="https://www.barcelona.cat/barcelonaciencia/en/science-city/science-and-citizenship/living-labs" TargetMode="External"/><Relationship Id="rId28" Type="http://schemas.openxmlformats.org/officeDocument/2006/relationships/hyperlink" Target="https://seotactica.com/learn/quora-vs-reddit/" TargetMode="External"/><Relationship Id="rId275" Type="http://schemas.openxmlformats.org/officeDocument/2006/relationships/diagramColors" Target="diagrams/colors1.xml"/><Relationship Id="rId300" Type="http://schemas.openxmlformats.org/officeDocument/2006/relationships/diagramLayout" Target="diagrams/layout2.xml"/><Relationship Id="rId482" Type="http://schemas.openxmlformats.org/officeDocument/2006/relationships/hyperlink" Target="https://www.wikiwand.com/en/articles/cataphile" TargetMode="External"/><Relationship Id="rId81" Type="http://schemas.openxmlformats.org/officeDocument/2006/relationships/hyperlink" Target="https://www.nbcnews.com/news/world/us-britain-strikes-houthi-yemen-rcna133576" TargetMode="External"/><Relationship Id="rId135" Type="http://schemas.openxmlformats.org/officeDocument/2006/relationships/hyperlink" Target="https://www.kadinkoop.org/belgeler/mevcut%20durum%202015%20%281%29.pdf" TargetMode="External"/><Relationship Id="rId177" Type="http://schemas.openxmlformats.org/officeDocument/2006/relationships/hyperlink" Target="mailto:ugur.ada@gop.edu.tr" TargetMode="External"/><Relationship Id="rId342" Type="http://schemas.openxmlformats.org/officeDocument/2006/relationships/hyperlink" Target="https://doi.org/10.15329/2318-0498.00455_IN" TargetMode="External"/><Relationship Id="rId384" Type="http://schemas.openxmlformats.org/officeDocument/2006/relationships/hyperlink" Target="mailto:sukrandertli25@gmail.com" TargetMode="External"/><Relationship Id="rId202" Type="http://schemas.openxmlformats.org/officeDocument/2006/relationships/hyperlink" Target="https://2u.pw/SZNsiDSQ" TargetMode="External"/><Relationship Id="rId244" Type="http://schemas.openxmlformats.org/officeDocument/2006/relationships/hyperlink" Target="https://www.nytimes.com/interactive/2018/08/04/upshot/up-birth-age-gap.html" TargetMode="External"/><Relationship Id="rId39" Type="http://schemas.openxmlformats.org/officeDocument/2006/relationships/hyperlink" Target="mailto:asude.muglu@ahievran.edu.tr" TargetMode="External"/><Relationship Id="rId286" Type="http://schemas.openxmlformats.org/officeDocument/2006/relationships/hyperlink" Target="https://www.dubaipolice.gov.ae/wps/portal/home/opendata/majorcrimestatistics/!ut/p/z1/fY7LDoIwEEW_xS_o9JGKyyJNgVFKA0TsxrAwhETRhTF-vix0ASizm8y9Zw7xpCa-b55d2zy6W99chv3o5ckmqChD2FvNJbjcYh6gYSaV5DAOmEJzcBusqMyQg2HEj_pRqYazDtOIIjMx__ThzyiY9Gf_i3M_MPw49sNiwtnyCFyMcRqUgoNYzwgCQ3C6CrJyZxnAl7AkuqhKBblfq_qVdEmrVqs33HehYQ!!/" TargetMode="External"/><Relationship Id="rId451" Type="http://schemas.openxmlformats.org/officeDocument/2006/relationships/hyperlink" Target="https://www.ubisoft.com/en-gb/game/assassins-creed/unity" TargetMode="External"/><Relationship Id="rId50" Type="http://schemas.openxmlformats.org/officeDocument/2006/relationships/hyperlink" Target="https://apnews.com/article/zimbabwe-death-penalty-abolished-ccbdd774559f5bbf097176d42effbb60" TargetMode="External"/><Relationship Id="rId104" Type="http://schemas.openxmlformats.org/officeDocument/2006/relationships/image" Target="media/image12.jpeg"/><Relationship Id="rId146" Type="http://schemas.openxmlformats.org/officeDocument/2006/relationships/hyperlink" Target="mailto:emrefb509@gmail.com" TargetMode="External"/><Relationship Id="rId188" Type="http://schemas.openxmlformats.org/officeDocument/2006/relationships/hyperlink" Target="https://www.degruyter.com/search?query=*&amp;publisherFacet=Multilingual+Matters" TargetMode="External"/><Relationship Id="rId311" Type="http://schemas.openxmlformats.org/officeDocument/2006/relationships/hyperlink" Target="https://doi.org/10.1007/s11620-020-00560-2" TargetMode="External"/><Relationship Id="rId353" Type="http://schemas.openxmlformats.org/officeDocument/2006/relationships/hyperlink" Target="https://toad.halileksi.net/wp-content/uploads/2022/07/cocuklar-icin-hayir-diyebilme-becerisi-olcegi-toad.pdf" TargetMode="External"/><Relationship Id="rId395" Type="http://schemas.openxmlformats.org/officeDocument/2006/relationships/hyperlink" Target="mailto:yagmur.ozer@galata.edu.tr" TargetMode="External"/><Relationship Id="rId409" Type="http://schemas.openxmlformats.org/officeDocument/2006/relationships/image" Target="media/image31.jpeg"/><Relationship Id="rId92" Type="http://schemas.openxmlformats.org/officeDocument/2006/relationships/hyperlink" Target="https://www.reuters.com/world/us-britain-carry-out-strikes-against-houthis-yemen-officials-2024-01-11/" TargetMode="External"/><Relationship Id="rId213" Type="http://schemas.openxmlformats.org/officeDocument/2006/relationships/hyperlink" Target="https://teis.yesevi.edu.tr/madde-detay/hayali-bey-hayali-mehmed-hayali" TargetMode="External"/><Relationship Id="rId420" Type="http://schemas.openxmlformats.org/officeDocument/2006/relationships/hyperlink" Target="https://bookandfilmglobe.com/film/the-last-screenwriter/" TargetMode="External"/><Relationship Id="rId255" Type="http://schemas.openxmlformats.org/officeDocument/2006/relationships/hyperlink" Target="https://www.mevzuat.gov.tr/mevzuatmetin/1.5.4721.pdf" TargetMode="External"/><Relationship Id="rId297" Type="http://schemas.openxmlformats.org/officeDocument/2006/relationships/hyperlink" Target="https://www.soci.ai/knowledge-articles/branches-of-artificial-intelligence/" TargetMode="External"/><Relationship Id="rId462" Type="http://schemas.openxmlformats.org/officeDocument/2006/relationships/image" Target="media/image47.png"/><Relationship Id="rId115" Type="http://schemas.openxmlformats.org/officeDocument/2006/relationships/hyperlink" Target="mailto:yuksel.fatihh.37@gmail.com" TargetMode="External"/><Relationship Id="rId157" Type="http://schemas.openxmlformats.org/officeDocument/2006/relationships/hyperlink" Target="mailto:bilalcanbekiroglu@gmail.com" TargetMode="External"/><Relationship Id="rId322" Type="http://schemas.openxmlformats.org/officeDocument/2006/relationships/hyperlink" Target="http://ilkogretim-online.org.tr" TargetMode="External"/><Relationship Id="rId364" Type="http://schemas.openxmlformats.org/officeDocument/2006/relationships/hyperlink" Target="https://doi.org/10.1353/wp.1995.0001" TargetMode="External"/><Relationship Id="rId61" Type="http://schemas.openxmlformats.org/officeDocument/2006/relationships/image" Target="media/image7.png"/><Relationship Id="rId199" Type="http://schemas.openxmlformats.org/officeDocument/2006/relationships/hyperlink" Target="https://www.turmob.org.tr/istatistikler/c8172e63-2bef-4919-a863-86e403bfdf0a/meslek-mensubu-dagilim-tablosu-(sm-smmm)" TargetMode="External"/><Relationship Id="rId19" Type="http://schemas.openxmlformats.org/officeDocument/2006/relationships/hyperlink" Target="mailto:mhilmibulut@gmail.com" TargetMode="External"/><Relationship Id="rId224" Type="http://schemas.openxmlformats.org/officeDocument/2006/relationships/hyperlink" Target="mailto:cihantekin94@gmail.com" TargetMode="External"/><Relationship Id="rId266" Type="http://schemas.openxmlformats.org/officeDocument/2006/relationships/hyperlink" Target="http://diad.mfa.gov.tr/diad/tarihce/1996-2.pdf" TargetMode="External"/><Relationship Id="rId431" Type="http://schemas.openxmlformats.org/officeDocument/2006/relationships/hyperlink" Target="https://www.amsinstitute.org/documents/62/20211008_Flyer_Marineterein_Amsterdam_Living_Lab_MALL.pdf" TargetMode="External"/><Relationship Id="rId473" Type="http://schemas.openxmlformats.org/officeDocument/2006/relationships/hyperlink" Target="https://www.ubisoft.com/en-gb/game/assassins-creed/unity" TargetMode="External"/><Relationship Id="rId30" Type="http://schemas.openxmlformats.org/officeDocument/2006/relationships/hyperlink" Target="https://www.searchenginejournal.com/yahoo-groups-to-fully-shut-down-on-december-15-2020/384313/" TargetMode="External"/><Relationship Id="rId126" Type="http://schemas.openxmlformats.org/officeDocument/2006/relationships/hyperlink" Target="mailto:mtuncay@cumhuriyet.edu.tr" TargetMode="External"/><Relationship Id="rId168" Type="http://schemas.openxmlformats.org/officeDocument/2006/relationships/hyperlink" Target="mailto:ocil@ahievran.edu.tr" TargetMode="External"/><Relationship Id="rId333" Type="http://schemas.openxmlformats.org/officeDocument/2006/relationships/hyperlink" Target="https://doi.org/10.3389/fpsyt.2021.780542" TargetMode="External"/><Relationship Id="rId72" Type="http://schemas.openxmlformats.org/officeDocument/2006/relationships/hyperlink" Target="https://tr.euronews.com/2023/12/25/iran-devrim-muhafizari-ordusu-uyesi-general-musavi-sam-yakinlarinda-israil-saldirisinda-ol" TargetMode="External"/><Relationship Id="rId375" Type="http://schemas.openxmlformats.org/officeDocument/2006/relationships/hyperlink" Target="https://doi.org/10.22440/wjae.3.2.1" TargetMode="External"/><Relationship Id="rId3" Type="http://schemas.openxmlformats.org/officeDocument/2006/relationships/numbering" Target="numbering.xml"/><Relationship Id="rId235" Type="http://schemas.openxmlformats.org/officeDocument/2006/relationships/hyperlink" Target="https://doi.org/10.1787/eag_highlights-2013-en" TargetMode="External"/><Relationship Id="rId277" Type="http://schemas.openxmlformats.org/officeDocument/2006/relationships/image" Target="media/image23.jpeg"/><Relationship Id="rId400" Type="http://schemas.openxmlformats.org/officeDocument/2006/relationships/hyperlink" Target="https://doi.org/10.16953/deusosbil.470926" TargetMode="External"/><Relationship Id="rId442" Type="http://schemas.openxmlformats.org/officeDocument/2006/relationships/hyperlink" Target="mailto:gulakgul5@gmail.com" TargetMode="External"/><Relationship Id="rId484" Type="http://schemas.openxmlformats.org/officeDocument/2006/relationships/image" Target="media/image5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3" Type="http://schemas.openxmlformats.org/officeDocument/2006/relationships/hyperlink" Target="mailto:sukrandertli25@gmail.com" TargetMode="External"/><Relationship Id="rId2" Type="http://schemas.openxmlformats.org/officeDocument/2006/relationships/hyperlink" Target="mailto:oguzhanyilmaz9352@gmail.com" TargetMode="External"/><Relationship Id="rId1" Type="http://schemas.openxmlformats.org/officeDocument/2006/relationships/hyperlink" Target="http://www.turkedebiyatiisimlersozlugu.com/index.php?sayfa=de-tay&amp;detay=6797"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Sayfa1!$F$3</c:f>
              <c:strCache>
                <c:ptCount val="1"/>
                <c:pt idx="0">
                  <c:v>Yıl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Sayfa1!$E$4:$E$26</c:f>
              <c:numCache>
                <c:formatCode>General</c:formatCode>
                <c:ptCount val="23"/>
                <c:pt idx="0">
                  <c:v>1992</c:v>
                </c:pt>
                <c:pt idx="1">
                  <c:v>1997</c:v>
                </c:pt>
                <c:pt idx="2">
                  <c:v>1999</c:v>
                </c:pt>
                <c:pt idx="3">
                  <c:v>2000</c:v>
                </c:pt>
                <c:pt idx="4">
                  <c:v>2003</c:v>
                </c:pt>
                <c:pt idx="5">
                  <c:v>2004</c:v>
                </c:pt>
                <c:pt idx="6">
                  <c:v>2005</c:v>
                </c:pt>
                <c:pt idx="7">
                  <c:v>2006</c:v>
                </c:pt>
                <c:pt idx="8">
                  <c:v>2007</c:v>
                </c:pt>
                <c:pt idx="9">
                  <c:v>2009</c:v>
                </c:pt>
                <c:pt idx="10">
                  <c:v>2010</c:v>
                </c:pt>
                <c:pt idx="11">
                  <c:v>2011</c:v>
                </c:pt>
                <c:pt idx="12">
                  <c:v>2013</c:v>
                </c:pt>
                <c:pt idx="13">
                  <c:v>2014</c:v>
                </c:pt>
                <c:pt idx="14">
                  <c:v>2015</c:v>
                </c:pt>
                <c:pt idx="15">
                  <c:v>2016</c:v>
                </c:pt>
                <c:pt idx="16">
                  <c:v>2018</c:v>
                </c:pt>
                <c:pt idx="17">
                  <c:v>2019</c:v>
                </c:pt>
                <c:pt idx="18">
                  <c:v>2020</c:v>
                </c:pt>
                <c:pt idx="19">
                  <c:v>2021</c:v>
                </c:pt>
                <c:pt idx="20">
                  <c:v>2022</c:v>
                </c:pt>
                <c:pt idx="21">
                  <c:v>2023</c:v>
                </c:pt>
                <c:pt idx="22">
                  <c:v>2024</c:v>
                </c:pt>
              </c:numCache>
            </c:numRef>
          </c:cat>
          <c:val>
            <c:numRef>
              <c:f>Sayfa1!$F$4:$F$26</c:f>
              <c:numCache>
                <c:formatCode>General</c:formatCode>
                <c:ptCount val="23"/>
                <c:pt idx="0">
                  <c:v>1</c:v>
                </c:pt>
                <c:pt idx="1">
                  <c:v>1</c:v>
                </c:pt>
                <c:pt idx="2">
                  <c:v>1</c:v>
                </c:pt>
                <c:pt idx="3">
                  <c:v>1</c:v>
                </c:pt>
                <c:pt idx="4">
                  <c:v>1</c:v>
                </c:pt>
                <c:pt idx="5">
                  <c:v>1</c:v>
                </c:pt>
                <c:pt idx="6">
                  <c:v>1</c:v>
                </c:pt>
                <c:pt idx="7">
                  <c:v>1</c:v>
                </c:pt>
                <c:pt idx="8">
                  <c:v>3</c:v>
                </c:pt>
                <c:pt idx="9">
                  <c:v>5</c:v>
                </c:pt>
                <c:pt idx="10">
                  <c:v>5</c:v>
                </c:pt>
                <c:pt idx="11">
                  <c:v>3</c:v>
                </c:pt>
                <c:pt idx="12">
                  <c:v>2</c:v>
                </c:pt>
                <c:pt idx="13">
                  <c:v>4</c:v>
                </c:pt>
                <c:pt idx="14">
                  <c:v>3</c:v>
                </c:pt>
                <c:pt idx="15">
                  <c:v>4</c:v>
                </c:pt>
                <c:pt idx="16">
                  <c:v>8</c:v>
                </c:pt>
                <c:pt idx="17">
                  <c:v>14</c:v>
                </c:pt>
                <c:pt idx="18">
                  <c:v>7</c:v>
                </c:pt>
                <c:pt idx="19">
                  <c:v>6</c:v>
                </c:pt>
                <c:pt idx="20">
                  <c:v>15</c:v>
                </c:pt>
                <c:pt idx="21">
                  <c:v>7</c:v>
                </c:pt>
                <c:pt idx="22">
                  <c:v>10</c:v>
                </c:pt>
              </c:numCache>
            </c:numRef>
          </c:val>
          <c:extLst>
            <c:ext xmlns:c16="http://schemas.microsoft.com/office/drawing/2014/chart" uri="{C3380CC4-5D6E-409C-BE32-E72D297353CC}">
              <c16:uniqueId val="{00000000-3048-894F-8F58-08A9626265C9}"/>
            </c:ext>
          </c:extLst>
        </c:ser>
        <c:dLbls>
          <c:showLegendKey val="0"/>
          <c:showVal val="0"/>
          <c:showCatName val="0"/>
          <c:showSerName val="0"/>
          <c:showPercent val="0"/>
          <c:showBubbleSize val="0"/>
        </c:dLbls>
        <c:gapWidth val="219"/>
        <c:overlap val="-27"/>
        <c:axId val="1714874160"/>
        <c:axId val="1714874576"/>
      </c:barChart>
      <c:catAx>
        <c:axId val="171487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crossAx val="1714874576"/>
        <c:crosses val="autoZero"/>
        <c:auto val="1"/>
        <c:lblAlgn val="ctr"/>
        <c:lblOffset val="100"/>
        <c:noMultiLvlLbl val="0"/>
      </c:catAx>
      <c:valAx>
        <c:axId val="1714874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tr-TR"/>
          </a:p>
        </c:txPr>
        <c:crossAx val="1714874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Times New Roman" panose="02020603050405020304" pitchFamily="18" charset="0"/>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Series 1</c:v>
                </c:pt>
              </c:strCache>
            </c:strRef>
          </c:tx>
          <c:spPr>
            <a:solidFill>
              <a:schemeClr val="accent1"/>
            </a:solidFill>
            <a:ln>
              <a:noFill/>
            </a:ln>
            <a:effectLst/>
            <a:sp3d/>
          </c:spPr>
          <c:invertIfNegative val="0"/>
          <c:cat>
            <c:strRef>
              <c:f>Sheet1!$A$2:$A$7</c:f>
              <c:strCache>
                <c:ptCount val="6"/>
                <c:pt idx="0">
                  <c:v>Güç Uzaklık Endeksi</c:v>
                </c:pt>
                <c:pt idx="1">
                  <c:v>Bireysellik/ Toplumsallık</c:v>
                </c:pt>
                <c:pt idx="2">
                  <c:v>Erillik </c:v>
                </c:pt>
                <c:pt idx="3">
                  <c:v>Belirsizliği Göz Ardı Etme</c:v>
                </c:pt>
                <c:pt idx="4">
                  <c:v>Uzun Dönemli Uyum Sağlama</c:v>
                </c:pt>
                <c:pt idx="5">
                  <c:v>Hoşgörü</c:v>
                </c:pt>
              </c:strCache>
            </c:strRef>
          </c:cat>
          <c:val>
            <c:numRef>
              <c:f>Sheet1!$B$2:$B$7</c:f>
              <c:numCache>
                <c:formatCode>General</c:formatCode>
                <c:ptCount val="6"/>
                <c:pt idx="0">
                  <c:v>66</c:v>
                </c:pt>
                <c:pt idx="1">
                  <c:v>37</c:v>
                </c:pt>
                <c:pt idx="2">
                  <c:v>45</c:v>
                </c:pt>
                <c:pt idx="3">
                  <c:v>85</c:v>
                </c:pt>
                <c:pt idx="4">
                  <c:v>46</c:v>
                </c:pt>
                <c:pt idx="5">
                  <c:v>49</c:v>
                </c:pt>
              </c:numCache>
            </c:numRef>
          </c:val>
          <c:extLst>
            <c:ext xmlns:c16="http://schemas.microsoft.com/office/drawing/2014/chart" uri="{C3380CC4-5D6E-409C-BE32-E72D297353CC}">
              <c16:uniqueId val="{00000000-7066-314B-A085-0F4E75D49D80}"/>
            </c:ext>
          </c:extLst>
        </c:ser>
        <c:dLbls>
          <c:showLegendKey val="0"/>
          <c:showVal val="0"/>
          <c:showCatName val="0"/>
          <c:showSerName val="0"/>
          <c:showPercent val="0"/>
          <c:showBubbleSize val="0"/>
        </c:dLbls>
        <c:gapWidth val="150"/>
        <c:shape val="box"/>
        <c:axId val="589083712"/>
        <c:axId val="589086208"/>
        <c:axId val="0"/>
      </c:bar3DChart>
      <c:catAx>
        <c:axId val="589083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89086208"/>
        <c:crosses val="autoZero"/>
        <c:auto val="1"/>
        <c:lblAlgn val="ctr"/>
        <c:lblOffset val="100"/>
        <c:noMultiLvlLbl val="0"/>
      </c:catAx>
      <c:valAx>
        <c:axId val="589086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89083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D2D78E-3C87-614F-8CC0-F5D95F6BC481}" type="doc">
      <dgm:prSet loTypeId="urn:microsoft.com/office/officeart/2005/8/layout/radial5" loCatId="" qsTypeId="urn:microsoft.com/office/officeart/2005/8/quickstyle/simple1" qsCatId="simple" csTypeId="urn:microsoft.com/office/officeart/2005/8/colors/colorful2" csCatId="colorful" phldr="1"/>
      <dgm:spPr/>
      <dgm:t>
        <a:bodyPr/>
        <a:lstStyle/>
        <a:p>
          <a:endParaRPr lang="tr-TR"/>
        </a:p>
      </dgm:t>
    </dgm:pt>
    <dgm:pt modelId="{DEEF41FA-ED42-0840-9F58-9D8ACC2CFEAF}">
      <dgm:prSet phldrT="[Metin]" custT="1"/>
      <dgm:spPr/>
      <dgm:t>
        <a:bodyPr/>
        <a:lstStyle/>
        <a:p>
          <a:r>
            <a:rPr lang="tr-TR" sz="1600" b="1" dirty="0">
              <a:latin typeface="Times" pitchFamily="2" charset="0"/>
            </a:rPr>
            <a:t>AI</a:t>
          </a:r>
          <a:endParaRPr lang="tr-TR" sz="900" b="1" dirty="0">
            <a:latin typeface="Times" pitchFamily="2" charset="0"/>
          </a:endParaRPr>
        </a:p>
      </dgm:t>
    </dgm:pt>
    <dgm:pt modelId="{34E48DC4-3060-D543-BFC4-DCD270E29137}" type="parTrans" cxnId="{F4B2C64E-4053-2348-96B7-DE47F26B08A4}">
      <dgm:prSet/>
      <dgm:spPr/>
      <dgm:t>
        <a:bodyPr/>
        <a:lstStyle/>
        <a:p>
          <a:endParaRPr lang="tr-TR" sz="900" b="1">
            <a:latin typeface="Times" pitchFamily="2" charset="0"/>
          </a:endParaRPr>
        </a:p>
      </dgm:t>
    </dgm:pt>
    <dgm:pt modelId="{8F11DB98-9445-394B-A89E-ABAE4017F363}" type="sibTrans" cxnId="{F4B2C64E-4053-2348-96B7-DE47F26B08A4}">
      <dgm:prSet/>
      <dgm:spPr/>
      <dgm:t>
        <a:bodyPr/>
        <a:lstStyle/>
        <a:p>
          <a:endParaRPr lang="tr-TR" sz="900" b="1">
            <a:latin typeface="Times" pitchFamily="2" charset="0"/>
          </a:endParaRPr>
        </a:p>
      </dgm:t>
    </dgm:pt>
    <dgm:pt modelId="{16391361-9220-1B47-B29D-DC71D0E36FD5}">
      <dgm:prSet phldrT="[Metin]" custT="1"/>
      <dgm:spPr/>
      <dgm:t>
        <a:bodyPr/>
        <a:lstStyle/>
        <a:p>
          <a:r>
            <a:rPr lang="tr-TR" sz="900" b="1" dirty="0" err="1">
              <a:latin typeface="Times" pitchFamily="2" charset="0"/>
            </a:rPr>
            <a:t>Non-Algorithmic</a:t>
          </a:r>
          <a:endParaRPr lang="tr-TR" sz="900" b="1" dirty="0">
            <a:latin typeface="Times" pitchFamily="2" charset="0"/>
          </a:endParaRPr>
        </a:p>
      </dgm:t>
    </dgm:pt>
    <dgm:pt modelId="{CF591A78-8253-B942-A353-4A61AD1135F7}" type="parTrans" cxnId="{AE7F1E90-482A-A244-B056-D76DF0349377}">
      <dgm:prSet custT="1"/>
      <dgm:spPr/>
      <dgm:t>
        <a:bodyPr/>
        <a:lstStyle/>
        <a:p>
          <a:endParaRPr lang="tr-TR" sz="900" b="1">
            <a:latin typeface="Times" pitchFamily="2" charset="0"/>
          </a:endParaRPr>
        </a:p>
      </dgm:t>
    </dgm:pt>
    <dgm:pt modelId="{AB6F676A-8504-CB48-9265-E37525D9E975}" type="sibTrans" cxnId="{AE7F1E90-482A-A244-B056-D76DF0349377}">
      <dgm:prSet/>
      <dgm:spPr/>
      <dgm:t>
        <a:bodyPr/>
        <a:lstStyle/>
        <a:p>
          <a:endParaRPr lang="tr-TR" sz="900" b="1">
            <a:latin typeface="Times" pitchFamily="2" charset="0"/>
          </a:endParaRPr>
        </a:p>
      </dgm:t>
    </dgm:pt>
    <dgm:pt modelId="{4920E186-FA10-924D-BD1B-3AB10E89F11B}">
      <dgm:prSet phldrT="[Metin]" custT="1"/>
      <dgm:spPr/>
      <dgm:t>
        <a:bodyPr/>
        <a:lstStyle/>
        <a:p>
          <a:r>
            <a:rPr lang="tr-TR" sz="900" b="1" dirty="0" err="1">
              <a:latin typeface="Times" pitchFamily="2" charset="0"/>
            </a:rPr>
            <a:t>Reasining</a:t>
          </a:r>
          <a:endParaRPr lang="tr-TR" sz="900" b="1" dirty="0">
            <a:latin typeface="Times" pitchFamily="2" charset="0"/>
          </a:endParaRPr>
        </a:p>
      </dgm:t>
    </dgm:pt>
    <dgm:pt modelId="{1216B7E8-2042-1E4D-BC5E-82535A7D4022}" type="parTrans" cxnId="{90C9BCD5-9234-AD41-8A28-E1D7151E9063}">
      <dgm:prSet custT="1"/>
      <dgm:spPr/>
      <dgm:t>
        <a:bodyPr/>
        <a:lstStyle/>
        <a:p>
          <a:endParaRPr lang="tr-TR" sz="900" b="1">
            <a:latin typeface="Times" pitchFamily="2" charset="0"/>
          </a:endParaRPr>
        </a:p>
      </dgm:t>
    </dgm:pt>
    <dgm:pt modelId="{B853F08D-CD6C-284D-B088-554C68A76FC9}" type="sibTrans" cxnId="{90C9BCD5-9234-AD41-8A28-E1D7151E9063}">
      <dgm:prSet/>
      <dgm:spPr/>
      <dgm:t>
        <a:bodyPr/>
        <a:lstStyle/>
        <a:p>
          <a:endParaRPr lang="tr-TR" sz="900" b="1">
            <a:latin typeface="Times" pitchFamily="2" charset="0"/>
          </a:endParaRPr>
        </a:p>
      </dgm:t>
    </dgm:pt>
    <dgm:pt modelId="{0408DC56-E1CB-8B44-9AA0-07040F660DF0}">
      <dgm:prSet phldrT="[Metin]" custT="1"/>
      <dgm:spPr/>
      <dgm:t>
        <a:bodyPr/>
        <a:lstStyle/>
        <a:p>
          <a:r>
            <a:rPr lang="tr-TR" sz="900" b="1" dirty="0">
              <a:latin typeface="Times" pitchFamily="2" charset="0"/>
            </a:rPr>
            <a:t>Data I</a:t>
          </a:r>
          <a:r>
            <a:rPr lang="tr-TR" sz="900" b="1" dirty="0" err="1">
              <a:latin typeface="Times" pitchFamily="2" charset="0"/>
            </a:rPr>
            <a:t>ngestion</a:t>
          </a:r>
          <a:endParaRPr lang="tr-TR" sz="900" b="1" dirty="0">
            <a:latin typeface="Times" pitchFamily="2" charset="0"/>
          </a:endParaRPr>
        </a:p>
      </dgm:t>
    </dgm:pt>
    <dgm:pt modelId="{75E5F548-939F-1143-831A-D71AB63BD9C2}" type="parTrans" cxnId="{D8661B8B-2B80-834D-AC5D-A15085B37BFB}">
      <dgm:prSet custT="1"/>
      <dgm:spPr/>
      <dgm:t>
        <a:bodyPr/>
        <a:lstStyle/>
        <a:p>
          <a:endParaRPr lang="tr-TR" sz="900" b="1">
            <a:latin typeface="Times" pitchFamily="2" charset="0"/>
          </a:endParaRPr>
        </a:p>
      </dgm:t>
    </dgm:pt>
    <dgm:pt modelId="{11C4B54D-0671-1349-B431-162D9B49940F}" type="sibTrans" cxnId="{D8661B8B-2B80-834D-AC5D-A15085B37BFB}">
      <dgm:prSet/>
      <dgm:spPr/>
      <dgm:t>
        <a:bodyPr/>
        <a:lstStyle/>
        <a:p>
          <a:endParaRPr lang="tr-TR" sz="900" b="1">
            <a:latin typeface="Times" pitchFamily="2" charset="0"/>
          </a:endParaRPr>
        </a:p>
      </dgm:t>
    </dgm:pt>
    <dgm:pt modelId="{2672C9B6-FBA3-754A-BFD7-57EFA0F04A39}">
      <dgm:prSet phldrT="[Metin]" custT="1"/>
      <dgm:spPr/>
      <dgm:t>
        <a:bodyPr/>
        <a:lstStyle/>
        <a:p>
          <a:r>
            <a:rPr lang="tr-TR" sz="900" b="1" dirty="0">
              <a:latin typeface="Times" pitchFamily="2" charset="0"/>
            </a:rPr>
            <a:t>Learning </a:t>
          </a:r>
          <a:r>
            <a:rPr lang="tr-TR" sz="900" b="1" dirty="0" err="1">
              <a:latin typeface="Times" pitchFamily="2" charset="0"/>
            </a:rPr>
            <a:t>Ability</a:t>
          </a:r>
          <a:endParaRPr lang="tr-TR" sz="900" b="1" dirty="0">
            <a:latin typeface="Times" pitchFamily="2" charset="0"/>
          </a:endParaRPr>
        </a:p>
      </dgm:t>
    </dgm:pt>
    <dgm:pt modelId="{E27B3139-B1B9-BC48-BAE4-59CE342B9885}" type="parTrans" cxnId="{F0126389-C2B8-3442-886C-6A12C76DA839}">
      <dgm:prSet custT="1"/>
      <dgm:spPr/>
      <dgm:t>
        <a:bodyPr/>
        <a:lstStyle/>
        <a:p>
          <a:endParaRPr lang="tr-TR" sz="900" b="1">
            <a:latin typeface="Times" pitchFamily="2" charset="0"/>
          </a:endParaRPr>
        </a:p>
      </dgm:t>
    </dgm:pt>
    <dgm:pt modelId="{EC6245AC-1746-9249-A270-FBFCA42919ED}" type="sibTrans" cxnId="{F0126389-C2B8-3442-886C-6A12C76DA839}">
      <dgm:prSet/>
      <dgm:spPr/>
      <dgm:t>
        <a:bodyPr/>
        <a:lstStyle/>
        <a:p>
          <a:endParaRPr lang="tr-TR" sz="900" b="1">
            <a:latin typeface="Times" pitchFamily="2" charset="0"/>
          </a:endParaRPr>
        </a:p>
      </dgm:t>
    </dgm:pt>
    <dgm:pt modelId="{FCDB6ECF-4BED-D547-8B84-2EC10DB864CD}">
      <dgm:prSet custT="1"/>
      <dgm:spPr/>
      <dgm:t>
        <a:bodyPr/>
        <a:lstStyle/>
        <a:p>
          <a:pPr algn="ctr"/>
          <a:r>
            <a:rPr lang="tr-TR" sz="900" b="1" dirty="0" err="1">
              <a:latin typeface="Times" pitchFamily="2" charset="0"/>
            </a:rPr>
            <a:t>Symbolic</a:t>
          </a:r>
          <a:r>
            <a:rPr lang="tr-TR" sz="900" b="1" dirty="0">
              <a:latin typeface="Times" pitchFamily="2" charset="0"/>
            </a:rPr>
            <a:t> </a:t>
          </a:r>
          <a:r>
            <a:rPr lang="tr-TR" sz="900" b="1" dirty="0" err="1">
              <a:latin typeface="Times" pitchFamily="2" charset="0"/>
            </a:rPr>
            <a:t>Processing</a:t>
          </a:r>
          <a:endParaRPr lang="tr-TR" sz="900" b="1" dirty="0">
            <a:latin typeface="Times" pitchFamily="2" charset="0"/>
          </a:endParaRPr>
        </a:p>
      </dgm:t>
    </dgm:pt>
    <dgm:pt modelId="{7CD226E1-DFF2-8B40-B176-A8F0F9424F51}" type="parTrans" cxnId="{232189A2-CB2F-1E48-A291-59CEA7C2C832}">
      <dgm:prSet custT="1"/>
      <dgm:spPr/>
      <dgm:t>
        <a:bodyPr/>
        <a:lstStyle/>
        <a:p>
          <a:endParaRPr lang="tr-TR" sz="900" b="1">
            <a:latin typeface="Times" pitchFamily="2" charset="0"/>
          </a:endParaRPr>
        </a:p>
      </dgm:t>
    </dgm:pt>
    <dgm:pt modelId="{835192FA-90BB-0C49-BF2E-362FB8ABB899}" type="sibTrans" cxnId="{232189A2-CB2F-1E48-A291-59CEA7C2C832}">
      <dgm:prSet/>
      <dgm:spPr/>
      <dgm:t>
        <a:bodyPr/>
        <a:lstStyle/>
        <a:p>
          <a:endParaRPr lang="tr-TR" sz="900" b="1">
            <a:latin typeface="Times" pitchFamily="2" charset="0"/>
          </a:endParaRPr>
        </a:p>
      </dgm:t>
    </dgm:pt>
    <dgm:pt modelId="{65EC6220-1BF7-9749-95EC-AFA5D7203299}">
      <dgm:prSet custT="1"/>
      <dgm:spPr/>
      <dgm:t>
        <a:bodyPr/>
        <a:lstStyle/>
        <a:p>
          <a:r>
            <a:rPr lang="tr-TR" sz="900" b="1" dirty="0" err="1">
              <a:latin typeface="Times" pitchFamily="2" charset="0"/>
            </a:rPr>
            <a:t>Imprecise</a:t>
          </a:r>
          <a:r>
            <a:rPr lang="tr-TR" sz="900" b="1" dirty="0">
              <a:latin typeface="Times" pitchFamily="2" charset="0"/>
            </a:rPr>
            <a:t> </a:t>
          </a:r>
          <a:r>
            <a:rPr lang="tr-TR" sz="900" b="1" dirty="0" err="1">
              <a:latin typeface="Times" pitchFamily="2" charset="0"/>
            </a:rPr>
            <a:t>knowledge</a:t>
          </a:r>
          <a:endParaRPr lang="tr-TR" sz="900" b="1" dirty="0">
            <a:latin typeface="Times" pitchFamily="2" charset="0"/>
          </a:endParaRPr>
        </a:p>
      </dgm:t>
    </dgm:pt>
    <dgm:pt modelId="{D1F2F4D6-9188-E244-B1C0-E6B6AE7904BA}" type="parTrans" cxnId="{92B0570F-1825-5A4F-B447-8E5AD121E71C}">
      <dgm:prSet custT="1"/>
      <dgm:spPr/>
      <dgm:t>
        <a:bodyPr/>
        <a:lstStyle/>
        <a:p>
          <a:endParaRPr lang="tr-TR" sz="900" b="1">
            <a:latin typeface="Times" pitchFamily="2" charset="0"/>
          </a:endParaRPr>
        </a:p>
      </dgm:t>
    </dgm:pt>
    <dgm:pt modelId="{87C018A0-1FB4-7E4F-8F8C-167951DD2A70}" type="sibTrans" cxnId="{92B0570F-1825-5A4F-B447-8E5AD121E71C}">
      <dgm:prSet/>
      <dgm:spPr/>
      <dgm:t>
        <a:bodyPr/>
        <a:lstStyle/>
        <a:p>
          <a:endParaRPr lang="tr-TR" sz="900" b="1">
            <a:latin typeface="Times" pitchFamily="2" charset="0"/>
          </a:endParaRPr>
        </a:p>
      </dgm:t>
    </dgm:pt>
    <dgm:pt modelId="{174C8B5A-5438-4F4F-88D1-7F49D149007E}" type="pres">
      <dgm:prSet presAssocID="{41D2D78E-3C87-614F-8CC0-F5D95F6BC481}" presName="Name0" presStyleCnt="0">
        <dgm:presLayoutVars>
          <dgm:chMax val="1"/>
          <dgm:dir/>
          <dgm:animLvl val="ctr"/>
          <dgm:resizeHandles val="exact"/>
        </dgm:presLayoutVars>
      </dgm:prSet>
      <dgm:spPr/>
    </dgm:pt>
    <dgm:pt modelId="{1BD79235-CF3C-9C43-BB95-8A6EFE41E6D0}" type="pres">
      <dgm:prSet presAssocID="{DEEF41FA-ED42-0840-9F58-9D8ACC2CFEAF}" presName="centerShape" presStyleLbl="node0" presStyleIdx="0" presStyleCnt="1" custScaleX="189424"/>
      <dgm:spPr/>
    </dgm:pt>
    <dgm:pt modelId="{DFEF191C-7D0B-4249-A3E4-CF105E714BDA}" type="pres">
      <dgm:prSet presAssocID="{7CD226E1-DFF2-8B40-B176-A8F0F9424F51}" presName="parTrans" presStyleLbl="sibTrans2D1" presStyleIdx="0" presStyleCnt="6"/>
      <dgm:spPr/>
    </dgm:pt>
    <dgm:pt modelId="{10AE80DF-8A97-1548-ABAA-331F9C630BAF}" type="pres">
      <dgm:prSet presAssocID="{7CD226E1-DFF2-8B40-B176-A8F0F9424F51}" presName="connectorText" presStyleLbl="sibTrans2D1" presStyleIdx="0" presStyleCnt="6"/>
      <dgm:spPr/>
    </dgm:pt>
    <dgm:pt modelId="{2E5122F2-9A9D-6E4C-B859-C89DAD7D7A0C}" type="pres">
      <dgm:prSet presAssocID="{FCDB6ECF-4BED-D547-8B84-2EC10DB864CD}" presName="node" presStyleLbl="node1" presStyleIdx="0" presStyleCnt="6" custScaleX="151778" custRadScaleRad="100910">
        <dgm:presLayoutVars>
          <dgm:bulletEnabled val="1"/>
        </dgm:presLayoutVars>
      </dgm:prSet>
      <dgm:spPr/>
    </dgm:pt>
    <dgm:pt modelId="{82CDB2A4-35FD-674D-8811-26E69242ED09}" type="pres">
      <dgm:prSet presAssocID="{CF591A78-8253-B942-A353-4A61AD1135F7}" presName="parTrans" presStyleLbl="sibTrans2D1" presStyleIdx="1" presStyleCnt="6"/>
      <dgm:spPr/>
    </dgm:pt>
    <dgm:pt modelId="{E4FA802A-53A1-1D41-8610-491EB74881CF}" type="pres">
      <dgm:prSet presAssocID="{CF591A78-8253-B942-A353-4A61AD1135F7}" presName="connectorText" presStyleLbl="sibTrans2D1" presStyleIdx="1" presStyleCnt="6"/>
      <dgm:spPr/>
    </dgm:pt>
    <dgm:pt modelId="{630FAD8E-0D7C-984F-84EA-8D962AE9B68C}" type="pres">
      <dgm:prSet presAssocID="{16391361-9220-1B47-B29D-DC71D0E36FD5}" presName="node" presStyleLbl="node1" presStyleIdx="1" presStyleCnt="6" custScaleX="140719" custRadScaleRad="118577" custRadScaleInc="18214">
        <dgm:presLayoutVars>
          <dgm:bulletEnabled val="1"/>
        </dgm:presLayoutVars>
      </dgm:prSet>
      <dgm:spPr/>
    </dgm:pt>
    <dgm:pt modelId="{E0E2370D-6EAB-F94F-9E25-4E2CD2F5BC6F}" type="pres">
      <dgm:prSet presAssocID="{1216B7E8-2042-1E4D-BC5E-82535A7D4022}" presName="parTrans" presStyleLbl="sibTrans2D1" presStyleIdx="2" presStyleCnt="6"/>
      <dgm:spPr/>
    </dgm:pt>
    <dgm:pt modelId="{E3A3F41D-E001-5141-AE1A-BD6BC5FC1D30}" type="pres">
      <dgm:prSet presAssocID="{1216B7E8-2042-1E4D-BC5E-82535A7D4022}" presName="connectorText" presStyleLbl="sibTrans2D1" presStyleIdx="2" presStyleCnt="6"/>
      <dgm:spPr/>
    </dgm:pt>
    <dgm:pt modelId="{09686686-C3E6-6E4E-ABC4-5DB0BA34AA29}" type="pres">
      <dgm:prSet presAssocID="{4920E186-FA10-924D-BD1B-3AB10E89F11B}" presName="node" presStyleLbl="node1" presStyleIdx="2" presStyleCnt="6" custScaleX="139898" custRadScaleRad="115923" custRadScaleInc="-2135">
        <dgm:presLayoutVars>
          <dgm:bulletEnabled val="1"/>
        </dgm:presLayoutVars>
      </dgm:prSet>
      <dgm:spPr/>
    </dgm:pt>
    <dgm:pt modelId="{EFBDB639-E727-6647-965B-0020F8641BED}" type="pres">
      <dgm:prSet presAssocID="{75E5F548-939F-1143-831A-D71AB63BD9C2}" presName="parTrans" presStyleLbl="sibTrans2D1" presStyleIdx="3" presStyleCnt="6"/>
      <dgm:spPr/>
    </dgm:pt>
    <dgm:pt modelId="{1D47CFA2-3976-9042-B0BD-1EB94BFF650D}" type="pres">
      <dgm:prSet presAssocID="{75E5F548-939F-1143-831A-D71AB63BD9C2}" presName="connectorText" presStyleLbl="sibTrans2D1" presStyleIdx="3" presStyleCnt="6"/>
      <dgm:spPr/>
    </dgm:pt>
    <dgm:pt modelId="{A2BD75E5-88EC-8946-BB84-49C7D14AB1CD}" type="pres">
      <dgm:prSet presAssocID="{0408DC56-E1CB-8B44-9AA0-07040F660DF0}" presName="node" presStyleLbl="node1" presStyleIdx="3" presStyleCnt="6" custScaleX="133544">
        <dgm:presLayoutVars>
          <dgm:bulletEnabled val="1"/>
        </dgm:presLayoutVars>
      </dgm:prSet>
      <dgm:spPr/>
    </dgm:pt>
    <dgm:pt modelId="{A05BBA03-0979-6A47-B42B-4E741AE434D1}" type="pres">
      <dgm:prSet presAssocID="{D1F2F4D6-9188-E244-B1C0-E6B6AE7904BA}" presName="parTrans" presStyleLbl="sibTrans2D1" presStyleIdx="4" presStyleCnt="6"/>
      <dgm:spPr/>
    </dgm:pt>
    <dgm:pt modelId="{3CEB6484-C195-6F4E-AF31-B085A934E201}" type="pres">
      <dgm:prSet presAssocID="{D1F2F4D6-9188-E244-B1C0-E6B6AE7904BA}" presName="connectorText" presStyleLbl="sibTrans2D1" presStyleIdx="4" presStyleCnt="6"/>
      <dgm:spPr/>
    </dgm:pt>
    <dgm:pt modelId="{96669B7E-D16A-3946-85F5-0253303AE865}" type="pres">
      <dgm:prSet presAssocID="{65EC6220-1BF7-9749-95EC-AFA5D7203299}" presName="node" presStyleLbl="node1" presStyleIdx="4" presStyleCnt="6" custScaleX="149734" custScaleY="98689" custRadScaleRad="119187" custRadScaleInc="13279">
        <dgm:presLayoutVars>
          <dgm:bulletEnabled val="1"/>
        </dgm:presLayoutVars>
      </dgm:prSet>
      <dgm:spPr/>
    </dgm:pt>
    <dgm:pt modelId="{0B7CECBF-FF98-7F47-BE14-05E59D423BE9}" type="pres">
      <dgm:prSet presAssocID="{E27B3139-B1B9-BC48-BAE4-59CE342B9885}" presName="parTrans" presStyleLbl="sibTrans2D1" presStyleIdx="5" presStyleCnt="6"/>
      <dgm:spPr/>
    </dgm:pt>
    <dgm:pt modelId="{38C872B2-7E4C-BF40-B1CE-0BB77B55A556}" type="pres">
      <dgm:prSet presAssocID="{E27B3139-B1B9-BC48-BAE4-59CE342B9885}" presName="connectorText" presStyleLbl="sibTrans2D1" presStyleIdx="5" presStyleCnt="6"/>
      <dgm:spPr/>
    </dgm:pt>
    <dgm:pt modelId="{00C9F648-3806-D247-B119-6CF3EB30A3BA}" type="pres">
      <dgm:prSet presAssocID="{2672C9B6-FBA3-754A-BFD7-57EFA0F04A39}" presName="node" presStyleLbl="node1" presStyleIdx="5" presStyleCnt="6" custScaleX="143615" custRadScaleRad="118894" custRadScaleInc="-17104">
        <dgm:presLayoutVars>
          <dgm:bulletEnabled val="1"/>
        </dgm:presLayoutVars>
      </dgm:prSet>
      <dgm:spPr/>
    </dgm:pt>
  </dgm:ptLst>
  <dgm:cxnLst>
    <dgm:cxn modelId="{B3378702-1714-9E42-91E9-B8EC37F1C917}" type="presOf" srcId="{DEEF41FA-ED42-0840-9F58-9D8ACC2CFEAF}" destId="{1BD79235-CF3C-9C43-BB95-8A6EFE41E6D0}" srcOrd="0" destOrd="0" presId="urn:microsoft.com/office/officeart/2005/8/layout/radial5"/>
    <dgm:cxn modelId="{B80D9B09-B763-8A48-89A0-1C93C7BEFDB5}" type="presOf" srcId="{D1F2F4D6-9188-E244-B1C0-E6B6AE7904BA}" destId="{3CEB6484-C195-6F4E-AF31-B085A934E201}" srcOrd="1" destOrd="0" presId="urn:microsoft.com/office/officeart/2005/8/layout/radial5"/>
    <dgm:cxn modelId="{5A3EB10B-8012-DE44-825F-74C2BFEE50B9}" type="presOf" srcId="{41D2D78E-3C87-614F-8CC0-F5D95F6BC481}" destId="{174C8B5A-5438-4F4F-88D1-7F49D149007E}" srcOrd="0" destOrd="0" presId="urn:microsoft.com/office/officeart/2005/8/layout/radial5"/>
    <dgm:cxn modelId="{652FBB0C-7663-0743-909F-F122A8F7E3A8}" type="presOf" srcId="{4920E186-FA10-924D-BD1B-3AB10E89F11B}" destId="{09686686-C3E6-6E4E-ABC4-5DB0BA34AA29}" srcOrd="0" destOrd="0" presId="urn:microsoft.com/office/officeart/2005/8/layout/radial5"/>
    <dgm:cxn modelId="{92B0570F-1825-5A4F-B447-8E5AD121E71C}" srcId="{DEEF41FA-ED42-0840-9F58-9D8ACC2CFEAF}" destId="{65EC6220-1BF7-9749-95EC-AFA5D7203299}" srcOrd="4" destOrd="0" parTransId="{D1F2F4D6-9188-E244-B1C0-E6B6AE7904BA}" sibTransId="{87C018A0-1FB4-7E4F-8F8C-167951DD2A70}"/>
    <dgm:cxn modelId="{AF5D7B22-B571-F64E-9EFD-847784B6F048}" type="presOf" srcId="{1216B7E8-2042-1E4D-BC5E-82535A7D4022}" destId="{E0E2370D-6EAB-F94F-9E25-4E2CD2F5BC6F}" srcOrd="0" destOrd="0" presId="urn:microsoft.com/office/officeart/2005/8/layout/radial5"/>
    <dgm:cxn modelId="{9C99BE28-B90F-D348-852E-543DB389E2E9}" type="presOf" srcId="{E27B3139-B1B9-BC48-BAE4-59CE342B9885}" destId="{38C872B2-7E4C-BF40-B1CE-0BB77B55A556}" srcOrd="1" destOrd="0" presId="urn:microsoft.com/office/officeart/2005/8/layout/radial5"/>
    <dgm:cxn modelId="{90791F3B-623C-0446-884B-3FD4DD8C0D09}" type="presOf" srcId="{D1F2F4D6-9188-E244-B1C0-E6B6AE7904BA}" destId="{A05BBA03-0979-6A47-B42B-4E741AE434D1}" srcOrd="0" destOrd="0" presId="urn:microsoft.com/office/officeart/2005/8/layout/radial5"/>
    <dgm:cxn modelId="{C878D862-FA4C-3948-BEC3-43CF2B121115}" type="presOf" srcId="{E27B3139-B1B9-BC48-BAE4-59CE342B9885}" destId="{0B7CECBF-FF98-7F47-BE14-05E59D423BE9}" srcOrd="0" destOrd="0" presId="urn:microsoft.com/office/officeart/2005/8/layout/radial5"/>
    <dgm:cxn modelId="{36A05D44-AA77-DD42-8793-E6F5947887D4}" type="presOf" srcId="{65EC6220-1BF7-9749-95EC-AFA5D7203299}" destId="{96669B7E-D16A-3946-85F5-0253303AE865}" srcOrd="0" destOrd="0" presId="urn:microsoft.com/office/officeart/2005/8/layout/radial5"/>
    <dgm:cxn modelId="{3099A16B-BCC5-0941-82B7-266BCAD673BC}" type="presOf" srcId="{16391361-9220-1B47-B29D-DC71D0E36FD5}" destId="{630FAD8E-0D7C-984F-84EA-8D962AE9B68C}" srcOrd="0" destOrd="0" presId="urn:microsoft.com/office/officeart/2005/8/layout/radial5"/>
    <dgm:cxn modelId="{F4B2C64E-4053-2348-96B7-DE47F26B08A4}" srcId="{41D2D78E-3C87-614F-8CC0-F5D95F6BC481}" destId="{DEEF41FA-ED42-0840-9F58-9D8ACC2CFEAF}" srcOrd="0" destOrd="0" parTransId="{34E48DC4-3060-D543-BFC4-DCD270E29137}" sibTransId="{8F11DB98-9445-394B-A89E-ABAE4017F363}"/>
    <dgm:cxn modelId="{E6EEC359-BB92-D544-9F42-6911A868EEC7}" type="presOf" srcId="{2672C9B6-FBA3-754A-BFD7-57EFA0F04A39}" destId="{00C9F648-3806-D247-B119-6CF3EB30A3BA}" srcOrd="0" destOrd="0" presId="urn:microsoft.com/office/officeart/2005/8/layout/radial5"/>
    <dgm:cxn modelId="{FC2AB882-F0A0-7D49-8437-44EB4778C474}" type="presOf" srcId="{75E5F548-939F-1143-831A-D71AB63BD9C2}" destId="{EFBDB639-E727-6647-965B-0020F8641BED}" srcOrd="0" destOrd="0" presId="urn:microsoft.com/office/officeart/2005/8/layout/radial5"/>
    <dgm:cxn modelId="{2C81E985-C34F-4544-9406-415DC33BEB14}" type="presOf" srcId="{0408DC56-E1CB-8B44-9AA0-07040F660DF0}" destId="{A2BD75E5-88EC-8946-BB84-49C7D14AB1CD}" srcOrd="0" destOrd="0" presId="urn:microsoft.com/office/officeart/2005/8/layout/radial5"/>
    <dgm:cxn modelId="{F0126389-C2B8-3442-886C-6A12C76DA839}" srcId="{DEEF41FA-ED42-0840-9F58-9D8ACC2CFEAF}" destId="{2672C9B6-FBA3-754A-BFD7-57EFA0F04A39}" srcOrd="5" destOrd="0" parTransId="{E27B3139-B1B9-BC48-BAE4-59CE342B9885}" sibTransId="{EC6245AC-1746-9249-A270-FBFCA42919ED}"/>
    <dgm:cxn modelId="{D8661B8B-2B80-834D-AC5D-A15085B37BFB}" srcId="{DEEF41FA-ED42-0840-9F58-9D8ACC2CFEAF}" destId="{0408DC56-E1CB-8B44-9AA0-07040F660DF0}" srcOrd="3" destOrd="0" parTransId="{75E5F548-939F-1143-831A-D71AB63BD9C2}" sibTransId="{11C4B54D-0671-1349-B431-162D9B49940F}"/>
    <dgm:cxn modelId="{AE7F1E90-482A-A244-B056-D76DF0349377}" srcId="{DEEF41FA-ED42-0840-9F58-9D8ACC2CFEAF}" destId="{16391361-9220-1B47-B29D-DC71D0E36FD5}" srcOrd="1" destOrd="0" parTransId="{CF591A78-8253-B942-A353-4A61AD1135F7}" sibTransId="{AB6F676A-8504-CB48-9265-E37525D9E975}"/>
    <dgm:cxn modelId="{6BEB809B-D786-2748-ACA2-32F37F3382B4}" type="presOf" srcId="{7CD226E1-DFF2-8B40-B176-A8F0F9424F51}" destId="{DFEF191C-7D0B-4249-A3E4-CF105E714BDA}" srcOrd="0" destOrd="0" presId="urn:microsoft.com/office/officeart/2005/8/layout/radial5"/>
    <dgm:cxn modelId="{232189A2-CB2F-1E48-A291-59CEA7C2C832}" srcId="{DEEF41FA-ED42-0840-9F58-9D8ACC2CFEAF}" destId="{FCDB6ECF-4BED-D547-8B84-2EC10DB864CD}" srcOrd="0" destOrd="0" parTransId="{7CD226E1-DFF2-8B40-B176-A8F0F9424F51}" sibTransId="{835192FA-90BB-0C49-BF2E-362FB8ABB899}"/>
    <dgm:cxn modelId="{FA104BBA-839D-9A4C-9B6D-9AE2713BDCD6}" type="presOf" srcId="{75E5F548-939F-1143-831A-D71AB63BD9C2}" destId="{1D47CFA2-3976-9042-B0BD-1EB94BFF650D}" srcOrd="1" destOrd="0" presId="urn:microsoft.com/office/officeart/2005/8/layout/radial5"/>
    <dgm:cxn modelId="{AA2FA5C1-EFFB-644C-AAEE-7FF27E1254EF}" type="presOf" srcId="{7CD226E1-DFF2-8B40-B176-A8F0F9424F51}" destId="{10AE80DF-8A97-1548-ABAA-331F9C630BAF}" srcOrd="1" destOrd="0" presId="urn:microsoft.com/office/officeart/2005/8/layout/radial5"/>
    <dgm:cxn modelId="{A37B48C4-2989-7142-91D5-318D8082A737}" type="presOf" srcId="{1216B7E8-2042-1E4D-BC5E-82535A7D4022}" destId="{E3A3F41D-E001-5141-AE1A-BD6BC5FC1D30}" srcOrd="1" destOrd="0" presId="urn:microsoft.com/office/officeart/2005/8/layout/radial5"/>
    <dgm:cxn modelId="{90C9BCD5-9234-AD41-8A28-E1D7151E9063}" srcId="{DEEF41FA-ED42-0840-9F58-9D8ACC2CFEAF}" destId="{4920E186-FA10-924D-BD1B-3AB10E89F11B}" srcOrd="2" destOrd="0" parTransId="{1216B7E8-2042-1E4D-BC5E-82535A7D4022}" sibTransId="{B853F08D-CD6C-284D-B088-554C68A76FC9}"/>
    <dgm:cxn modelId="{8DCC18D7-C2AF-DC4A-8FF2-E96CDB5AF905}" type="presOf" srcId="{FCDB6ECF-4BED-D547-8B84-2EC10DB864CD}" destId="{2E5122F2-9A9D-6E4C-B859-C89DAD7D7A0C}" srcOrd="0" destOrd="0" presId="urn:microsoft.com/office/officeart/2005/8/layout/radial5"/>
    <dgm:cxn modelId="{35ECC0DD-03AF-3F43-A159-CD10DD606D8B}" type="presOf" srcId="{CF591A78-8253-B942-A353-4A61AD1135F7}" destId="{82CDB2A4-35FD-674D-8811-26E69242ED09}" srcOrd="0" destOrd="0" presId="urn:microsoft.com/office/officeart/2005/8/layout/radial5"/>
    <dgm:cxn modelId="{17A1C3FF-7C80-FB40-927F-4F1CE748B921}" type="presOf" srcId="{CF591A78-8253-B942-A353-4A61AD1135F7}" destId="{E4FA802A-53A1-1D41-8610-491EB74881CF}" srcOrd="1" destOrd="0" presId="urn:microsoft.com/office/officeart/2005/8/layout/radial5"/>
    <dgm:cxn modelId="{5FE83ECD-9231-AD41-88A3-F86D59A5CD7B}" type="presParOf" srcId="{174C8B5A-5438-4F4F-88D1-7F49D149007E}" destId="{1BD79235-CF3C-9C43-BB95-8A6EFE41E6D0}" srcOrd="0" destOrd="0" presId="urn:microsoft.com/office/officeart/2005/8/layout/radial5"/>
    <dgm:cxn modelId="{1B9AABAE-32D3-6445-B5F7-161A6A39225D}" type="presParOf" srcId="{174C8B5A-5438-4F4F-88D1-7F49D149007E}" destId="{DFEF191C-7D0B-4249-A3E4-CF105E714BDA}" srcOrd="1" destOrd="0" presId="urn:microsoft.com/office/officeart/2005/8/layout/radial5"/>
    <dgm:cxn modelId="{2D86F6C8-992B-C247-9CC0-D373096703AC}" type="presParOf" srcId="{DFEF191C-7D0B-4249-A3E4-CF105E714BDA}" destId="{10AE80DF-8A97-1548-ABAA-331F9C630BAF}" srcOrd="0" destOrd="0" presId="urn:microsoft.com/office/officeart/2005/8/layout/radial5"/>
    <dgm:cxn modelId="{07020DA8-DC2A-814B-80D5-9B2B5E0A5662}" type="presParOf" srcId="{174C8B5A-5438-4F4F-88D1-7F49D149007E}" destId="{2E5122F2-9A9D-6E4C-B859-C89DAD7D7A0C}" srcOrd="2" destOrd="0" presId="urn:microsoft.com/office/officeart/2005/8/layout/radial5"/>
    <dgm:cxn modelId="{F7FFC493-05F9-4441-A8FD-B955A68C1C18}" type="presParOf" srcId="{174C8B5A-5438-4F4F-88D1-7F49D149007E}" destId="{82CDB2A4-35FD-674D-8811-26E69242ED09}" srcOrd="3" destOrd="0" presId="urn:microsoft.com/office/officeart/2005/8/layout/radial5"/>
    <dgm:cxn modelId="{AA4DC2C0-4521-804D-B2E9-5C2A2CCC4809}" type="presParOf" srcId="{82CDB2A4-35FD-674D-8811-26E69242ED09}" destId="{E4FA802A-53A1-1D41-8610-491EB74881CF}" srcOrd="0" destOrd="0" presId="urn:microsoft.com/office/officeart/2005/8/layout/radial5"/>
    <dgm:cxn modelId="{90FF7B45-C90C-B743-BC32-A0BA34DECAE4}" type="presParOf" srcId="{174C8B5A-5438-4F4F-88D1-7F49D149007E}" destId="{630FAD8E-0D7C-984F-84EA-8D962AE9B68C}" srcOrd="4" destOrd="0" presId="urn:microsoft.com/office/officeart/2005/8/layout/radial5"/>
    <dgm:cxn modelId="{6FE0D938-767E-AF46-BCA6-4D57A92D9BA5}" type="presParOf" srcId="{174C8B5A-5438-4F4F-88D1-7F49D149007E}" destId="{E0E2370D-6EAB-F94F-9E25-4E2CD2F5BC6F}" srcOrd="5" destOrd="0" presId="urn:microsoft.com/office/officeart/2005/8/layout/radial5"/>
    <dgm:cxn modelId="{28D64886-55A2-4E4D-9208-7915089E4A6A}" type="presParOf" srcId="{E0E2370D-6EAB-F94F-9E25-4E2CD2F5BC6F}" destId="{E3A3F41D-E001-5141-AE1A-BD6BC5FC1D30}" srcOrd="0" destOrd="0" presId="urn:microsoft.com/office/officeart/2005/8/layout/radial5"/>
    <dgm:cxn modelId="{4C339E97-0589-5B46-A818-BB5BC8216D1E}" type="presParOf" srcId="{174C8B5A-5438-4F4F-88D1-7F49D149007E}" destId="{09686686-C3E6-6E4E-ABC4-5DB0BA34AA29}" srcOrd="6" destOrd="0" presId="urn:microsoft.com/office/officeart/2005/8/layout/radial5"/>
    <dgm:cxn modelId="{C49A04B3-B49F-4E40-AC51-206B702586CC}" type="presParOf" srcId="{174C8B5A-5438-4F4F-88D1-7F49D149007E}" destId="{EFBDB639-E727-6647-965B-0020F8641BED}" srcOrd="7" destOrd="0" presId="urn:microsoft.com/office/officeart/2005/8/layout/radial5"/>
    <dgm:cxn modelId="{B3E78E89-726E-7C42-B520-030161BE1AF8}" type="presParOf" srcId="{EFBDB639-E727-6647-965B-0020F8641BED}" destId="{1D47CFA2-3976-9042-B0BD-1EB94BFF650D}" srcOrd="0" destOrd="0" presId="urn:microsoft.com/office/officeart/2005/8/layout/radial5"/>
    <dgm:cxn modelId="{26730F43-B566-224B-BBFB-8C600885A503}" type="presParOf" srcId="{174C8B5A-5438-4F4F-88D1-7F49D149007E}" destId="{A2BD75E5-88EC-8946-BB84-49C7D14AB1CD}" srcOrd="8" destOrd="0" presId="urn:microsoft.com/office/officeart/2005/8/layout/radial5"/>
    <dgm:cxn modelId="{E8C64046-7993-E54C-85BE-B3EDEC5B9449}" type="presParOf" srcId="{174C8B5A-5438-4F4F-88D1-7F49D149007E}" destId="{A05BBA03-0979-6A47-B42B-4E741AE434D1}" srcOrd="9" destOrd="0" presId="urn:microsoft.com/office/officeart/2005/8/layout/radial5"/>
    <dgm:cxn modelId="{D2B43457-0CA0-EB45-A53D-C72FB5355840}" type="presParOf" srcId="{A05BBA03-0979-6A47-B42B-4E741AE434D1}" destId="{3CEB6484-C195-6F4E-AF31-B085A934E201}" srcOrd="0" destOrd="0" presId="urn:microsoft.com/office/officeart/2005/8/layout/radial5"/>
    <dgm:cxn modelId="{AA501FEC-FB1D-B74A-8ED4-81008EA04E38}" type="presParOf" srcId="{174C8B5A-5438-4F4F-88D1-7F49D149007E}" destId="{96669B7E-D16A-3946-85F5-0253303AE865}" srcOrd="10" destOrd="0" presId="urn:microsoft.com/office/officeart/2005/8/layout/radial5"/>
    <dgm:cxn modelId="{B7134AA3-29D1-C54F-9083-475ED47C5964}" type="presParOf" srcId="{174C8B5A-5438-4F4F-88D1-7F49D149007E}" destId="{0B7CECBF-FF98-7F47-BE14-05E59D423BE9}" srcOrd="11" destOrd="0" presId="urn:microsoft.com/office/officeart/2005/8/layout/radial5"/>
    <dgm:cxn modelId="{FBB750C6-B4ED-7040-A28A-DDBA83AF6593}" type="presParOf" srcId="{0B7CECBF-FF98-7F47-BE14-05E59D423BE9}" destId="{38C872B2-7E4C-BF40-B1CE-0BB77B55A556}" srcOrd="0" destOrd="0" presId="urn:microsoft.com/office/officeart/2005/8/layout/radial5"/>
    <dgm:cxn modelId="{63B9B1C6-B9D0-9C45-A984-8560F26CE253}" type="presParOf" srcId="{174C8B5A-5438-4F4F-88D1-7F49D149007E}" destId="{00C9F648-3806-D247-B119-6CF3EB30A3BA}" srcOrd="12" destOrd="0" presId="urn:microsoft.com/office/officeart/2005/8/layout/radial5"/>
  </dgm:cxnLst>
  <dgm:bg/>
  <dgm:whole/>
  <dgm:extLst>
    <a:ext uri="http://schemas.microsoft.com/office/drawing/2008/diagram">
      <dsp:dataModelExt xmlns:dsp="http://schemas.microsoft.com/office/drawing/2008/diagram" relId="rId2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8C4624C-F7A8-415A-AFD3-E722D5ECFEBC}"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tr-TR"/>
        </a:p>
      </dgm:t>
    </dgm:pt>
    <dgm:pt modelId="{F2961F55-0FBE-420B-98E9-93A6FE428403}">
      <dgm:prSet phldrT="[Metin]" custT="1"/>
      <dgm:spPr/>
      <dgm:t>
        <a:bodyPr/>
        <a:lstStyle/>
        <a:p>
          <a:endParaRPr lang="tr-TR" sz="1400"/>
        </a:p>
        <a:p>
          <a:r>
            <a:rPr lang="tr-TR" sz="1400"/>
            <a:t>KAYNAK TARAMASI</a:t>
          </a:r>
        </a:p>
        <a:p>
          <a:r>
            <a:rPr lang="tr-TR" sz="1200"/>
            <a:t>(seçilen veri tabanlarında “</a:t>
          </a:r>
          <a:r>
            <a:rPr lang="tr-TR" sz="1200" i="1"/>
            <a:t>psychodrama and students ve psychodrama and school ” arandı)</a:t>
          </a:r>
          <a:endParaRPr lang="tr-TR" sz="1200"/>
        </a:p>
        <a:p>
          <a:endParaRPr lang="tr-TR" sz="1200"/>
        </a:p>
      </dgm:t>
    </dgm:pt>
    <dgm:pt modelId="{E745C4B4-A962-45FD-AAD3-CC194ABC14E0}" type="parTrans" cxnId="{8633228E-8684-4DC1-864B-E23E227DBE8F}">
      <dgm:prSet/>
      <dgm:spPr/>
      <dgm:t>
        <a:bodyPr/>
        <a:lstStyle/>
        <a:p>
          <a:endParaRPr lang="tr-TR"/>
        </a:p>
      </dgm:t>
    </dgm:pt>
    <dgm:pt modelId="{88D7E8CC-6166-4378-8360-4B4B1E7C8CE5}" type="sibTrans" cxnId="{8633228E-8684-4DC1-864B-E23E227DBE8F}">
      <dgm:prSet/>
      <dgm:spPr/>
      <dgm:t>
        <a:bodyPr/>
        <a:lstStyle/>
        <a:p>
          <a:endParaRPr lang="tr-TR"/>
        </a:p>
      </dgm:t>
    </dgm:pt>
    <dgm:pt modelId="{C2A13A72-94C0-47ED-84A1-CB134A2C3B16}">
      <dgm:prSet phldrT="[Metin]"/>
      <dgm:spPr/>
      <dgm:t>
        <a:bodyPr/>
        <a:lstStyle/>
        <a:p>
          <a:r>
            <a:rPr lang="tr-TR"/>
            <a:t>(ResearchGate 1070, PubMed 1556, ScienceDirect 789, Scopus 268 ve ERIC 18) : toplam </a:t>
          </a:r>
          <a:r>
            <a:rPr lang="tr-TR" b="0"/>
            <a:t>3701 çalışma </a:t>
          </a:r>
          <a:endParaRPr lang="tr-TR"/>
        </a:p>
      </dgm:t>
    </dgm:pt>
    <dgm:pt modelId="{F2F1EE80-71A5-4C08-A6DD-E231332C4370}" type="parTrans" cxnId="{2B91E37E-5D0F-4E77-B4F4-C95AE85C8DBE}">
      <dgm:prSet/>
      <dgm:spPr/>
      <dgm:t>
        <a:bodyPr/>
        <a:lstStyle/>
        <a:p>
          <a:endParaRPr lang="tr-TR"/>
        </a:p>
      </dgm:t>
    </dgm:pt>
    <dgm:pt modelId="{7EDE71EE-BCA7-436D-8E79-B9703BA9701E}" type="sibTrans" cxnId="{2B91E37E-5D0F-4E77-B4F4-C95AE85C8DBE}">
      <dgm:prSet/>
      <dgm:spPr/>
      <dgm:t>
        <a:bodyPr/>
        <a:lstStyle/>
        <a:p>
          <a:endParaRPr lang="tr-TR"/>
        </a:p>
      </dgm:t>
    </dgm:pt>
    <dgm:pt modelId="{24E0578C-9BA7-4A05-818A-079ACC91F4C5}">
      <dgm:prSet phldrT="[Metin]" custT="1"/>
      <dgm:spPr/>
      <dgm:t>
        <a:bodyPr/>
        <a:lstStyle/>
        <a:p>
          <a:r>
            <a:rPr lang="tr-TR" sz="1600"/>
            <a:t>ELEME AŞAMASI</a:t>
          </a:r>
        </a:p>
      </dgm:t>
    </dgm:pt>
    <dgm:pt modelId="{CE7D65FB-2D9A-4947-ADF1-BC2CDCE10759}" type="parTrans" cxnId="{A78402B8-016B-45F0-9C00-0EC1B144EC69}">
      <dgm:prSet/>
      <dgm:spPr/>
      <dgm:t>
        <a:bodyPr/>
        <a:lstStyle/>
        <a:p>
          <a:endParaRPr lang="tr-TR"/>
        </a:p>
      </dgm:t>
    </dgm:pt>
    <dgm:pt modelId="{0B200ACC-9B68-4F5B-88E4-16E0C57E7449}" type="sibTrans" cxnId="{A78402B8-016B-45F0-9C00-0EC1B144EC69}">
      <dgm:prSet/>
      <dgm:spPr/>
      <dgm:t>
        <a:bodyPr/>
        <a:lstStyle/>
        <a:p>
          <a:endParaRPr lang="tr-TR"/>
        </a:p>
      </dgm:t>
    </dgm:pt>
    <dgm:pt modelId="{E2443128-8908-4351-8E18-7E7A32695708}">
      <dgm:prSet phldrT="[Metin]"/>
      <dgm:spPr/>
      <dgm:t>
        <a:bodyPr/>
        <a:lstStyle/>
        <a:p>
          <a:r>
            <a:rPr lang="tr-TR"/>
            <a:t>En az bir dahil edilme kriterini karşılayan: 659 çalışma </a:t>
          </a:r>
        </a:p>
      </dgm:t>
    </dgm:pt>
    <dgm:pt modelId="{8A740F79-B808-4F41-88F3-A775278F0D15}" type="parTrans" cxnId="{CEB3256F-616C-47AF-A1FE-7CCA4AE37733}">
      <dgm:prSet/>
      <dgm:spPr/>
      <dgm:t>
        <a:bodyPr/>
        <a:lstStyle/>
        <a:p>
          <a:endParaRPr lang="tr-TR"/>
        </a:p>
      </dgm:t>
    </dgm:pt>
    <dgm:pt modelId="{E2D05C8B-5C0A-4D12-AD4B-A2772EBB8D9B}" type="sibTrans" cxnId="{CEB3256F-616C-47AF-A1FE-7CCA4AE37733}">
      <dgm:prSet/>
      <dgm:spPr/>
      <dgm:t>
        <a:bodyPr/>
        <a:lstStyle/>
        <a:p>
          <a:endParaRPr lang="tr-TR"/>
        </a:p>
      </dgm:t>
    </dgm:pt>
    <dgm:pt modelId="{146E2B71-45C3-446D-998B-A079E0FECF38}">
      <dgm:prSet phldrT="[Metin]" custT="1"/>
      <dgm:spPr/>
      <dgm:t>
        <a:bodyPr/>
        <a:lstStyle/>
        <a:p>
          <a:r>
            <a:rPr lang="tr-TR" sz="1600"/>
            <a:t>UYGUNLUK DEĞERLENDİRMESİ</a:t>
          </a:r>
          <a:r>
            <a:rPr lang="tr-TR" sz="1050"/>
            <a:t>
</a:t>
          </a:r>
          <a:r>
            <a:rPr lang="tr-TR" sz="1400">
              <a:solidFill>
                <a:sysClr val="windowText" lastClr="000000"/>
              </a:solidFill>
            </a:rPr>
            <a:t>Metodolojik olarak uygun: 94 çalışma</a:t>
          </a:r>
        </a:p>
      </dgm:t>
    </dgm:pt>
    <dgm:pt modelId="{E1D228A4-7A53-4D83-9B61-C33D64AFEE24}" type="parTrans" cxnId="{0382D03A-4BEE-470F-A56A-72F382CA5334}">
      <dgm:prSet/>
      <dgm:spPr/>
      <dgm:t>
        <a:bodyPr/>
        <a:lstStyle/>
        <a:p>
          <a:endParaRPr lang="tr-TR"/>
        </a:p>
      </dgm:t>
    </dgm:pt>
    <dgm:pt modelId="{37126CC9-0135-400E-9733-30F8B470F96C}" type="sibTrans" cxnId="{0382D03A-4BEE-470F-A56A-72F382CA5334}">
      <dgm:prSet/>
      <dgm:spPr/>
      <dgm:t>
        <a:bodyPr/>
        <a:lstStyle/>
        <a:p>
          <a:endParaRPr lang="tr-TR"/>
        </a:p>
      </dgm:t>
    </dgm:pt>
    <dgm:pt modelId="{FC2901E4-660F-4C4A-8D02-7C2CF201996E}">
      <dgm:prSet phldrT="[Metin]" custT="1"/>
      <dgm:spPr/>
      <dgm:t>
        <a:bodyPr/>
        <a:lstStyle/>
        <a:p>
          <a:r>
            <a:rPr lang="tr-TR" sz="1600"/>
            <a:t>En az bir dışlama kriterlerini karşılayan: 43 çalışma </a:t>
          </a:r>
        </a:p>
      </dgm:t>
    </dgm:pt>
    <dgm:pt modelId="{EF768D9A-ECD8-40B9-91D1-7ED962CC9015}" type="parTrans" cxnId="{CC9E7CB3-31CA-4C0D-BAA7-BA633175D04E}">
      <dgm:prSet/>
      <dgm:spPr/>
      <dgm:t>
        <a:bodyPr/>
        <a:lstStyle/>
        <a:p>
          <a:endParaRPr lang="tr-TR"/>
        </a:p>
      </dgm:t>
    </dgm:pt>
    <dgm:pt modelId="{3AF1B34B-94D9-4E36-B130-4454C3D7691A}" type="sibTrans" cxnId="{CC9E7CB3-31CA-4C0D-BAA7-BA633175D04E}">
      <dgm:prSet/>
      <dgm:spPr/>
      <dgm:t>
        <a:bodyPr/>
        <a:lstStyle/>
        <a:p>
          <a:endParaRPr lang="tr-TR"/>
        </a:p>
      </dgm:t>
    </dgm:pt>
    <dgm:pt modelId="{86C10DE9-61FE-4D93-973F-AB1A65E911CD}">
      <dgm:prSet phldrT="[Metin]" custT="1"/>
      <dgm:spPr/>
      <dgm:t>
        <a:bodyPr/>
        <a:lstStyle/>
        <a:p>
          <a:r>
            <a:rPr lang="tr-TR" sz="1600"/>
            <a:t>Tüm dahil edilme kriterlerini karşılayan: 51 çalışma </a:t>
          </a:r>
        </a:p>
      </dgm:t>
    </dgm:pt>
    <dgm:pt modelId="{543FCC42-713E-4091-ADCA-BA9AD375F4B4}" type="parTrans" cxnId="{6E922604-B642-40EA-8C0C-135B93C429BF}">
      <dgm:prSet/>
      <dgm:spPr/>
      <dgm:t>
        <a:bodyPr/>
        <a:lstStyle/>
        <a:p>
          <a:endParaRPr lang="tr-TR"/>
        </a:p>
      </dgm:t>
    </dgm:pt>
    <dgm:pt modelId="{3B8B524A-2F1C-43F1-AB36-B96BDF9E76D3}" type="sibTrans" cxnId="{6E922604-B642-40EA-8C0C-135B93C429BF}">
      <dgm:prSet/>
      <dgm:spPr/>
      <dgm:t>
        <a:bodyPr/>
        <a:lstStyle/>
        <a:p>
          <a:endParaRPr lang="tr-TR"/>
        </a:p>
      </dgm:t>
    </dgm:pt>
    <dgm:pt modelId="{C19595A3-BD5C-400F-A606-AC66CB890BF1}" type="pres">
      <dgm:prSet presAssocID="{58C4624C-F7A8-415A-AFD3-E722D5ECFEBC}" presName="Name0" presStyleCnt="0">
        <dgm:presLayoutVars>
          <dgm:dir/>
          <dgm:animLvl val="lvl"/>
          <dgm:resizeHandles val="exact"/>
        </dgm:presLayoutVars>
      </dgm:prSet>
      <dgm:spPr/>
    </dgm:pt>
    <dgm:pt modelId="{F6530F4F-D4E0-4BE2-BA04-DD3E2AEFAA2A}" type="pres">
      <dgm:prSet presAssocID="{146E2B71-45C3-446D-998B-A079E0FECF38}" presName="boxAndChildren" presStyleCnt="0"/>
      <dgm:spPr/>
    </dgm:pt>
    <dgm:pt modelId="{218355BB-FF78-4786-924D-E5A8F4D5D0AE}" type="pres">
      <dgm:prSet presAssocID="{146E2B71-45C3-446D-998B-A079E0FECF38}" presName="parentTextBox" presStyleLbl="node1" presStyleIdx="0" presStyleCnt="3"/>
      <dgm:spPr/>
    </dgm:pt>
    <dgm:pt modelId="{E21F35A2-CA23-4763-8E24-9D5C6AC229B5}" type="pres">
      <dgm:prSet presAssocID="{146E2B71-45C3-446D-998B-A079E0FECF38}" presName="entireBox" presStyleLbl="node1" presStyleIdx="0" presStyleCnt="3"/>
      <dgm:spPr/>
    </dgm:pt>
    <dgm:pt modelId="{F0BB9D6E-09C9-495A-B104-1CA21330A79A}" type="pres">
      <dgm:prSet presAssocID="{146E2B71-45C3-446D-998B-A079E0FECF38}" presName="descendantBox" presStyleCnt="0"/>
      <dgm:spPr/>
    </dgm:pt>
    <dgm:pt modelId="{891A2731-A7B5-42F8-AE47-392C1E325D27}" type="pres">
      <dgm:prSet presAssocID="{FC2901E4-660F-4C4A-8D02-7C2CF201996E}" presName="childTextBox" presStyleLbl="fgAccFollowNode1" presStyleIdx="0" presStyleCnt="4">
        <dgm:presLayoutVars>
          <dgm:bulletEnabled val="1"/>
        </dgm:presLayoutVars>
      </dgm:prSet>
      <dgm:spPr/>
    </dgm:pt>
    <dgm:pt modelId="{053A5ED3-094D-48E8-B3C9-7293B508DA4A}" type="pres">
      <dgm:prSet presAssocID="{86C10DE9-61FE-4D93-973F-AB1A65E911CD}" presName="childTextBox" presStyleLbl="fgAccFollowNode1" presStyleIdx="1" presStyleCnt="4">
        <dgm:presLayoutVars>
          <dgm:bulletEnabled val="1"/>
        </dgm:presLayoutVars>
      </dgm:prSet>
      <dgm:spPr/>
    </dgm:pt>
    <dgm:pt modelId="{0B2B8FD4-CCD4-4E38-9A65-F12D7AF6B96F}" type="pres">
      <dgm:prSet presAssocID="{0B200ACC-9B68-4F5B-88E4-16E0C57E7449}" presName="sp" presStyleCnt="0"/>
      <dgm:spPr/>
    </dgm:pt>
    <dgm:pt modelId="{DCE7BAB3-4678-4154-878D-8185ECF2FED7}" type="pres">
      <dgm:prSet presAssocID="{24E0578C-9BA7-4A05-818A-079ACC91F4C5}" presName="arrowAndChildren" presStyleCnt="0"/>
      <dgm:spPr/>
    </dgm:pt>
    <dgm:pt modelId="{FF0CABA2-9E3D-4EE0-83D2-3BA56809F3B3}" type="pres">
      <dgm:prSet presAssocID="{24E0578C-9BA7-4A05-818A-079ACC91F4C5}" presName="parentTextArrow" presStyleLbl="node1" presStyleIdx="0" presStyleCnt="3"/>
      <dgm:spPr/>
    </dgm:pt>
    <dgm:pt modelId="{9A7A2201-92EC-47A1-9D67-8025FB7EACAD}" type="pres">
      <dgm:prSet presAssocID="{24E0578C-9BA7-4A05-818A-079ACC91F4C5}" presName="arrow" presStyleLbl="node1" presStyleIdx="1" presStyleCnt="3" custLinFactNeighborX="-868" custLinFactNeighborY="-1971"/>
      <dgm:spPr/>
    </dgm:pt>
    <dgm:pt modelId="{93EBBDBC-50F6-4DB2-A472-670D47169783}" type="pres">
      <dgm:prSet presAssocID="{24E0578C-9BA7-4A05-818A-079ACC91F4C5}" presName="descendantArrow" presStyleCnt="0"/>
      <dgm:spPr/>
    </dgm:pt>
    <dgm:pt modelId="{E3A62A3E-855C-4FD8-A882-0017DEE44847}" type="pres">
      <dgm:prSet presAssocID="{E2443128-8908-4351-8E18-7E7A32695708}" presName="childTextArrow" presStyleLbl="fgAccFollowNode1" presStyleIdx="2" presStyleCnt="4">
        <dgm:presLayoutVars>
          <dgm:bulletEnabled val="1"/>
        </dgm:presLayoutVars>
      </dgm:prSet>
      <dgm:spPr/>
    </dgm:pt>
    <dgm:pt modelId="{4DB5AD6A-C745-4B32-849C-94A4B0E6EA34}" type="pres">
      <dgm:prSet presAssocID="{88D7E8CC-6166-4378-8360-4B4B1E7C8CE5}" presName="sp" presStyleCnt="0"/>
      <dgm:spPr/>
    </dgm:pt>
    <dgm:pt modelId="{92C7434E-5142-4C72-BCB1-B285DEBE1C3D}" type="pres">
      <dgm:prSet presAssocID="{F2961F55-0FBE-420B-98E9-93A6FE428403}" presName="arrowAndChildren" presStyleCnt="0"/>
      <dgm:spPr/>
    </dgm:pt>
    <dgm:pt modelId="{0BBF8F71-7002-405E-99F5-ECDE74DA34FE}" type="pres">
      <dgm:prSet presAssocID="{F2961F55-0FBE-420B-98E9-93A6FE428403}" presName="parentTextArrow" presStyleLbl="node1" presStyleIdx="1" presStyleCnt="3"/>
      <dgm:spPr/>
    </dgm:pt>
    <dgm:pt modelId="{303CA599-D217-403B-8BD5-54A077A1EAD8}" type="pres">
      <dgm:prSet presAssocID="{F2961F55-0FBE-420B-98E9-93A6FE428403}" presName="arrow" presStyleLbl="node1" presStyleIdx="2" presStyleCnt="3" custScaleY="117531"/>
      <dgm:spPr/>
    </dgm:pt>
    <dgm:pt modelId="{831A9049-F1B3-402D-9175-F7B5341957F9}" type="pres">
      <dgm:prSet presAssocID="{F2961F55-0FBE-420B-98E9-93A6FE428403}" presName="descendantArrow" presStyleCnt="0"/>
      <dgm:spPr/>
    </dgm:pt>
    <dgm:pt modelId="{997458CE-81D2-4BDF-BEA9-E6A8A6E5F6EC}" type="pres">
      <dgm:prSet presAssocID="{C2A13A72-94C0-47ED-84A1-CB134A2C3B16}" presName="childTextArrow" presStyleLbl="fgAccFollowNode1" presStyleIdx="3" presStyleCnt="4">
        <dgm:presLayoutVars>
          <dgm:bulletEnabled val="1"/>
        </dgm:presLayoutVars>
      </dgm:prSet>
      <dgm:spPr/>
    </dgm:pt>
  </dgm:ptLst>
  <dgm:cxnLst>
    <dgm:cxn modelId="{6E922604-B642-40EA-8C0C-135B93C429BF}" srcId="{146E2B71-45C3-446D-998B-A079E0FECF38}" destId="{86C10DE9-61FE-4D93-973F-AB1A65E911CD}" srcOrd="1" destOrd="0" parTransId="{543FCC42-713E-4091-ADCA-BA9AD375F4B4}" sibTransId="{3B8B524A-2F1C-43F1-AB36-B96BDF9E76D3}"/>
    <dgm:cxn modelId="{1BDC0F08-6591-4BE1-AF5D-EA5B3D6BCEE8}" type="presOf" srcId="{58C4624C-F7A8-415A-AFD3-E722D5ECFEBC}" destId="{C19595A3-BD5C-400F-A606-AC66CB890BF1}" srcOrd="0" destOrd="0" presId="urn:microsoft.com/office/officeart/2005/8/layout/process4"/>
    <dgm:cxn modelId="{F03F9616-F43E-44DA-A560-FFFBEB0AFE7E}" type="presOf" srcId="{C2A13A72-94C0-47ED-84A1-CB134A2C3B16}" destId="{997458CE-81D2-4BDF-BEA9-E6A8A6E5F6EC}" srcOrd="0" destOrd="0" presId="urn:microsoft.com/office/officeart/2005/8/layout/process4"/>
    <dgm:cxn modelId="{3DF0DA1C-47FF-4303-95B6-E8A824C42ACB}" type="presOf" srcId="{FC2901E4-660F-4C4A-8D02-7C2CF201996E}" destId="{891A2731-A7B5-42F8-AE47-392C1E325D27}" srcOrd="0" destOrd="0" presId="urn:microsoft.com/office/officeart/2005/8/layout/process4"/>
    <dgm:cxn modelId="{0382D03A-4BEE-470F-A56A-72F382CA5334}" srcId="{58C4624C-F7A8-415A-AFD3-E722D5ECFEBC}" destId="{146E2B71-45C3-446D-998B-A079E0FECF38}" srcOrd="2" destOrd="0" parTransId="{E1D228A4-7A53-4D83-9B61-C33D64AFEE24}" sibTransId="{37126CC9-0135-400E-9733-30F8B470F96C}"/>
    <dgm:cxn modelId="{88CAD767-2308-40CC-B246-9BD1D638DCBD}" type="presOf" srcId="{24E0578C-9BA7-4A05-818A-079ACC91F4C5}" destId="{9A7A2201-92EC-47A1-9D67-8025FB7EACAD}" srcOrd="1" destOrd="0" presId="urn:microsoft.com/office/officeart/2005/8/layout/process4"/>
    <dgm:cxn modelId="{CEB3256F-616C-47AF-A1FE-7CCA4AE37733}" srcId="{24E0578C-9BA7-4A05-818A-079ACC91F4C5}" destId="{E2443128-8908-4351-8E18-7E7A32695708}" srcOrd="0" destOrd="0" parTransId="{8A740F79-B808-4F41-88F3-A775278F0D15}" sibTransId="{E2D05C8B-5C0A-4D12-AD4B-A2772EBB8D9B}"/>
    <dgm:cxn modelId="{9120F972-6E3C-4B3F-A934-ED6B982FDDC3}" type="presOf" srcId="{E2443128-8908-4351-8E18-7E7A32695708}" destId="{E3A62A3E-855C-4FD8-A882-0017DEE44847}" srcOrd="0" destOrd="0" presId="urn:microsoft.com/office/officeart/2005/8/layout/process4"/>
    <dgm:cxn modelId="{44162274-5361-4AFF-9E84-09648599AEAE}" type="presOf" srcId="{F2961F55-0FBE-420B-98E9-93A6FE428403}" destId="{303CA599-D217-403B-8BD5-54A077A1EAD8}" srcOrd="1" destOrd="0" presId="urn:microsoft.com/office/officeart/2005/8/layout/process4"/>
    <dgm:cxn modelId="{E1D39658-29C4-403D-9239-9D099557CE27}" type="presOf" srcId="{146E2B71-45C3-446D-998B-A079E0FECF38}" destId="{E21F35A2-CA23-4763-8E24-9D5C6AC229B5}" srcOrd="1" destOrd="0" presId="urn:microsoft.com/office/officeart/2005/8/layout/process4"/>
    <dgm:cxn modelId="{2B91E37E-5D0F-4E77-B4F4-C95AE85C8DBE}" srcId="{F2961F55-0FBE-420B-98E9-93A6FE428403}" destId="{C2A13A72-94C0-47ED-84A1-CB134A2C3B16}" srcOrd="0" destOrd="0" parTransId="{F2F1EE80-71A5-4C08-A6DD-E231332C4370}" sibTransId="{7EDE71EE-BCA7-436D-8E79-B9703BA9701E}"/>
    <dgm:cxn modelId="{7DC29B88-8380-433A-ACEF-DFBCEF12CBAD}" type="presOf" srcId="{86C10DE9-61FE-4D93-973F-AB1A65E911CD}" destId="{053A5ED3-094D-48E8-B3C9-7293B508DA4A}" srcOrd="0" destOrd="0" presId="urn:microsoft.com/office/officeart/2005/8/layout/process4"/>
    <dgm:cxn modelId="{8633228E-8684-4DC1-864B-E23E227DBE8F}" srcId="{58C4624C-F7A8-415A-AFD3-E722D5ECFEBC}" destId="{F2961F55-0FBE-420B-98E9-93A6FE428403}" srcOrd="0" destOrd="0" parTransId="{E745C4B4-A962-45FD-AAD3-CC194ABC14E0}" sibTransId="{88D7E8CC-6166-4378-8360-4B4B1E7C8CE5}"/>
    <dgm:cxn modelId="{CC9E7CB3-31CA-4C0D-BAA7-BA633175D04E}" srcId="{146E2B71-45C3-446D-998B-A079E0FECF38}" destId="{FC2901E4-660F-4C4A-8D02-7C2CF201996E}" srcOrd="0" destOrd="0" parTransId="{EF768D9A-ECD8-40B9-91D1-7ED962CC9015}" sibTransId="{3AF1B34B-94D9-4E36-B130-4454C3D7691A}"/>
    <dgm:cxn modelId="{A78402B8-016B-45F0-9C00-0EC1B144EC69}" srcId="{58C4624C-F7A8-415A-AFD3-E722D5ECFEBC}" destId="{24E0578C-9BA7-4A05-818A-079ACC91F4C5}" srcOrd="1" destOrd="0" parTransId="{CE7D65FB-2D9A-4947-ADF1-BC2CDCE10759}" sibTransId="{0B200ACC-9B68-4F5B-88E4-16E0C57E7449}"/>
    <dgm:cxn modelId="{513AADC8-CF20-4395-ABFE-CEEDBA6B2B96}" type="presOf" srcId="{F2961F55-0FBE-420B-98E9-93A6FE428403}" destId="{0BBF8F71-7002-405E-99F5-ECDE74DA34FE}" srcOrd="0" destOrd="0" presId="urn:microsoft.com/office/officeart/2005/8/layout/process4"/>
    <dgm:cxn modelId="{D6F6A7CE-BD70-444D-8812-CD0E331A2BF6}" type="presOf" srcId="{24E0578C-9BA7-4A05-818A-079ACC91F4C5}" destId="{FF0CABA2-9E3D-4EE0-83D2-3BA56809F3B3}" srcOrd="0" destOrd="0" presId="urn:microsoft.com/office/officeart/2005/8/layout/process4"/>
    <dgm:cxn modelId="{8711C0EA-3013-4598-AACF-C10BE6F9F669}" type="presOf" srcId="{146E2B71-45C3-446D-998B-A079E0FECF38}" destId="{218355BB-FF78-4786-924D-E5A8F4D5D0AE}" srcOrd="0" destOrd="0" presId="urn:microsoft.com/office/officeart/2005/8/layout/process4"/>
    <dgm:cxn modelId="{1D2DCC2D-137A-4DCD-AB66-F6B3939C67F7}" type="presParOf" srcId="{C19595A3-BD5C-400F-A606-AC66CB890BF1}" destId="{F6530F4F-D4E0-4BE2-BA04-DD3E2AEFAA2A}" srcOrd="0" destOrd="0" presId="urn:microsoft.com/office/officeart/2005/8/layout/process4"/>
    <dgm:cxn modelId="{FA2E62A8-84AF-4E59-9225-34B04145AA55}" type="presParOf" srcId="{F6530F4F-D4E0-4BE2-BA04-DD3E2AEFAA2A}" destId="{218355BB-FF78-4786-924D-E5A8F4D5D0AE}" srcOrd="0" destOrd="0" presId="urn:microsoft.com/office/officeart/2005/8/layout/process4"/>
    <dgm:cxn modelId="{A9DCD2B9-0246-4F91-8D62-1FC4B856A4AF}" type="presParOf" srcId="{F6530F4F-D4E0-4BE2-BA04-DD3E2AEFAA2A}" destId="{E21F35A2-CA23-4763-8E24-9D5C6AC229B5}" srcOrd="1" destOrd="0" presId="urn:microsoft.com/office/officeart/2005/8/layout/process4"/>
    <dgm:cxn modelId="{C28603A9-CEF0-450D-9C90-C1F154B68E90}" type="presParOf" srcId="{F6530F4F-D4E0-4BE2-BA04-DD3E2AEFAA2A}" destId="{F0BB9D6E-09C9-495A-B104-1CA21330A79A}" srcOrd="2" destOrd="0" presId="urn:microsoft.com/office/officeart/2005/8/layout/process4"/>
    <dgm:cxn modelId="{CDF9C1BD-A33B-47C0-ACB5-D60E016F1D65}" type="presParOf" srcId="{F0BB9D6E-09C9-495A-B104-1CA21330A79A}" destId="{891A2731-A7B5-42F8-AE47-392C1E325D27}" srcOrd="0" destOrd="0" presId="urn:microsoft.com/office/officeart/2005/8/layout/process4"/>
    <dgm:cxn modelId="{BC8993EE-4BE2-4FFE-8D4A-3A480B060BDA}" type="presParOf" srcId="{F0BB9D6E-09C9-495A-B104-1CA21330A79A}" destId="{053A5ED3-094D-48E8-B3C9-7293B508DA4A}" srcOrd="1" destOrd="0" presId="urn:microsoft.com/office/officeart/2005/8/layout/process4"/>
    <dgm:cxn modelId="{779BFEAE-B9C1-42FE-BBAA-805466BA4476}" type="presParOf" srcId="{C19595A3-BD5C-400F-A606-AC66CB890BF1}" destId="{0B2B8FD4-CCD4-4E38-9A65-F12D7AF6B96F}" srcOrd="1" destOrd="0" presId="urn:microsoft.com/office/officeart/2005/8/layout/process4"/>
    <dgm:cxn modelId="{383FFE4C-CDD5-40CF-8416-9F0BF05791B7}" type="presParOf" srcId="{C19595A3-BD5C-400F-A606-AC66CB890BF1}" destId="{DCE7BAB3-4678-4154-878D-8185ECF2FED7}" srcOrd="2" destOrd="0" presId="urn:microsoft.com/office/officeart/2005/8/layout/process4"/>
    <dgm:cxn modelId="{D4540F1B-5087-4DF7-9A4F-F470083E8803}" type="presParOf" srcId="{DCE7BAB3-4678-4154-878D-8185ECF2FED7}" destId="{FF0CABA2-9E3D-4EE0-83D2-3BA56809F3B3}" srcOrd="0" destOrd="0" presId="urn:microsoft.com/office/officeart/2005/8/layout/process4"/>
    <dgm:cxn modelId="{CE46DF58-D7EB-4300-97A1-9CBAC6A381F4}" type="presParOf" srcId="{DCE7BAB3-4678-4154-878D-8185ECF2FED7}" destId="{9A7A2201-92EC-47A1-9D67-8025FB7EACAD}" srcOrd="1" destOrd="0" presId="urn:microsoft.com/office/officeart/2005/8/layout/process4"/>
    <dgm:cxn modelId="{7E6F596D-54FA-407C-A26A-4FE6D1DF86B1}" type="presParOf" srcId="{DCE7BAB3-4678-4154-878D-8185ECF2FED7}" destId="{93EBBDBC-50F6-4DB2-A472-670D47169783}" srcOrd="2" destOrd="0" presId="urn:microsoft.com/office/officeart/2005/8/layout/process4"/>
    <dgm:cxn modelId="{E607F3E6-5C5A-4304-A01A-739DCC9F0595}" type="presParOf" srcId="{93EBBDBC-50F6-4DB2-A472-670D47169783}" destId="{E3A62A3E-855C-4FD8-A882-0017DEE44847}" srcOrd="0" destOrd="0" presId="urn:microsoft.com/office/officeart/2005/8/layout/process4"/>
    <dgm:cxn modelId="{18CFF852-8176-40BA-AD6F-4DA4F715E45D}" type="presParOf" srcId="{C19595A3-BD5C-400F-A606-AC66CB890BF1}" destId="{4DB5AD6A-C745-4B32-849C-94A4B0E6EA34}" srcOrd="3" destOrd="0" presId="urn:microsoft.com/office/officeart/2005/8/layout/process4"/>
    <dgm:cxn modelId="{7582B04B-680E-42E8-B554-5ECDBD6B2AE9}" type="presParOf" srcId="{C19595A3-BD5C-400F-A606-AC66CB890BF1}" destId="{92C7434E-5142-4C72-BCB1-B285DEBE1C3D}" srcOrd="4" destOrd="0" presId="urn:microsoft.com/office/officeart/2005/8/layout/process4"/>
    <dgm:cxn modelId="{E6D0A890-2CBB-40A0-8635-EBB1144F8A7B}" type="presParOf" srcId="{92C7434E-5142-4C72-BCB1-B285DEBE1C3D}" destId="{0BBF8F71-7002-405E-99F5-ECDE74DA34FE}" srcOrd="0" destOrd="0" presId="urn:microsoft.com/office/officeart/2005/8/layout/process4"/>
    <dgm:cxn modelId="{ADBCFC8B-5EAA-4B78-B616-790D7DDB5B9E}" type="presParOf" srcId="{92C7434E-5142-4C72-BCB1-B285DEBE1C3D}" destId="{303CA599-D217-403B-8BD5-54A077A1EAD8}" srcOrd="1" destOrd="0" presId="urn:microsoft.com/office/officeart/2005/8/layout/process4"/>
    <dgm:cxn modelId="{FF04F09E-2441-468F-A974-9979D2B85446}" type="presParOf" srcId="{92C7434E-5142-4C72-BCB1-B285DEBE1C3D}" destId="{831A9049-F1B3-402D-9175-F7B5341957F9}" srcOrd="2" destOrd="0" presId="urn:microsoft.com/office/officeart/2005/8/layout/process4"/>
    <dgm:cxn modelId="{B4EF5994-5404-425E-BD84-B45016E8C4E3}" type="presParOf" srcId="{831A9049-F1B3-402D-9175-F7B5341957F9}" destId="{997458CE-81D2-4BDF-BEA9-E6A8A6E5F6EC}" srcOrd="0" destOrd="0" presId="urn:microsoft.com/office/officeart/2005/8/layout/process4"/>
  </dgm:cxnLst>
  <dgm:bg/>
  <dgm:whole/>
  <dgm:extLst>
    <a:ext uri="http://schemas.microsoft.com/office/drawing/2008/diagram">
      <dsp:dataModelExt xmlns:dsp="http://schemas.microsoft.com/office/drawing/2008/diagram" relId="rId3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D79235-CF3C-9C43-BB95-8A6EFE41E6D0}">
      <dsp:nvSpPr>
        <dsp:cNvPr id="0" name=""/>
        <dsp:cNvSpPr/>
      </dsp:nvSpPr>
      <dsp:spPr>
        <a:xfrm>
          <a:off x="2158069" y="959618"/>
          <a:ext cx="1026720" cy="54202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tr-TR" sz="1600" b="1" kern="1200" dirty="0">
              <a:latin typeface="Times" pitchFamily="2" charset="0"/>
            </a:rPr>
            <a:t>AI</a:t>
          </a:r>
          <a:endParaRPr lang="tr-TR" sz="900" b="1" kern="1200" dirty="0">
            <a:latin typeface="Times" pitchFamily="2" charset="0"/>
          </a:endParaRPr>
        </a:p>
      </dsp:txBody>
      <dsp:txXfrm>
        <a:off x="2308429" y="1038995"/>
        <a:ext cx="726000" cy="383268"/>
      </dsp:txXfrm>
    </dsp:sp>
    <dsp:sp modelId="{DFEF191C-7D0B-4249-A3E4-CF105E714BDA}">
      <dsp:nvSpPr>
        <dsp:cNvPr id="0" name=""/>
        <dsp:cNvSpPr/>
      </dsp:nvSpPr>
      <dsp:spPr>
        <a:xfrm rot="16200000">
          <a:off x="2588677" y="698117"/>
          <a:ext cx="165504" cy="220097"/>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a:off x="2613503" y="766962"/>
        <a:ext cx="115853" cy="132059"/>
      </dsp:txXfrm>
    </dsp:sp>
    <dsp:sp modelId="{2E5122F2-9A9D-6E4C-B859-C89DAD7D7A0C}">
      <dsp:nvSpPr>
        <dsp:cNvPr id="0" name=""/>
        <dsp:cNvSpPr/>
      </dsp:nvSpPr>
      <dsp:spPr>
        <a:xfrm>
          <a:off x="2180165" y="0"/>
          <a:ext cx="982527" cy="647345"/>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err="1">
              <a:latin typeface="Times" pitchFamily="2" charset="0"/>
            </a:rPr>
            <a:t>Symbolic</a:t>
          </a:r>
          <a:r>
            <a:rPr lang="tr-TR" sz="900" b="1" kern="1200" dirty="0">
              <a:latin typeface="Times" pitchFamily="2" charset="0"/>
            </a:rPr>
            <a:t> </a:t>
          </a:r>
          <a:r>
            <a:rPr lang="tr-TR" sz="900" b="1" kern="1200" dirty="0" err="1">
              <a:latin typeface="Times" pitchFamily="2" charset="0"/>
            </a:rPr>
            <a:t>Processing</a:t>
          </a:r>
          <a:endParaRPr lang="tr-TR" sz="900" b="1" kern="1200" dirty="0">
            <a:latin typeface="Times" pitchFamily="2" charset="0"/>
          </a:endParaRPr>
        </a:p>
      </dsp:txBody>
      <dsp:txXfrm>
        <a:off x="2324053" y="94801"/>
        <a:ext cx="694751" cy="457743"/>
      </dsp:txXfrm>
    </dsp:sp>
    <dsp:sp modelId="{82CDB2A4-35FD-674D-8811-26E69242ED09}">
      <dsp:nvSpPr>
        <dsp:cNvPr id="0" name=""/>
        <dsp:cNvSpPr/>
      </dsp:nvSpPr>
      <dsp:spPr>
        <a:xfrm rot="20127852">
          <a:off x="3099551" y="897827"/>
          <a:ext cx="119714" cy="220097"/>
        </a:xfrm>
        <a:prstGeom prst="rightArrow">
          <a:avLst>
            <a:gd name="adj1" fmla="val 60000"/>
            <a:gd name="adj2" fmla="val 50000"/>
          </a:avLst>
        </a:prstGeom>
        <a:solidFill>
          <a:schemeClr val="accent2">
            <a:hueOff val="1288723"/>
            <a:satOff val="-3699"/>
            <a:lumOff val="-592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a:off x="3101172" y="949303"/>
        <a:ext cx="83800" cy="132059"/>
      </dsp:txXfrm>
    </dsp:sp>
    <dsp:sp modelId="{630FAD8E-0D7C-984F-84EA-8D962AE9B68C}">
      <dsp:nvSpPr>
        <dsp:cNvPr id="0" name=""/>
        <dsp:cNvSpPr/>
      </dsp:nvSpPr>
      <dsp:spPr>
        <a:xfrm>
          <a:off x="3192981" y="460965"/>
          <a:ext cx="910937" cy="647345"/>
        </a:xfrm>
        <a:prstGeom prst="ellipse">
          <a:avLst/>
        </a:prstGeom>
        <a:solidFill>
          <a:schemeClr val="accent2">
            <a:hueOff val="1288723"/>
            <a:satOff val="-3699"/>
            <a:lumOff val="-5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err="1">
              <a:latin typeface="Times" pitchFamily="2" charset="0"/>
            </a:rPr>
            <a:t>Non-Algorithmic</a:t>
          </a:r>
          <a:endParaRPr lang="tr-TR" sz="900" b="1" kern="1200" dirty="0">
            <a:latin typeface="Times" pitchFamily="2" charset="0"/>
          </a:endParaRPr>
        </a:p>
      </dsp:txBody>
      <dsp:txXfrm>
        <a:off x="3326385" y="555766"/>
        <a:ext cx="644129" cy="457743"/>
      </dsp:txXfrm>
    </dsp:sp>
    <dsp:sp modelId="{E0E2370D-6EAB-F94F-9E25-4E2CD2F5BC6F}">
      <dsp:nvSpPr>
        <dsp:cNvPr id="0" name=""/>
        <dsp:cNvSpPr/>
      </dsp:nvSpPr>
      <dsp:spPr>
        <a:xfrm rot="1761570">
          <a:off x="3060359" y="1374942"/>
          <a:ext cx="126469" cy="220097"/>
        </a:xfrm>
        <a:prstGeom prst="rightArrow">
          <a:avLst>
            <a:gd name="adj1" fmla="val 60000"/>
            <a:gd name="adj2" fmla="val 50000"/>
          </a:avLst>
        </a:prstGeom>
        <a:solidFill>
          <a:schemeClr val="accent2">
            <a:hueOff val="2577445"/>
            <a:satOff val="-7397"/>
            <a:lumOff val="-1184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a:off x="3062796" y="1409660"/>
        <a:ext cx="88528" cy="132059"/>
      </dsp:txXfrm>
    </dsp:sp>
    <dsp:sp modelId="{09686686-C3E6-6E4E-ABC4-5DB0BA34AA29}">
      <dsp:nvSpPr>
        <dsp:cNvPr id="0" name=""/>
        <dsp:cNvSpPr/>
      </dsp:nvSpPr>
      <dsp:spPr>
        <a:xfrm>
          <a:off x="3133723" y="1421741"/>
          <a:ext cx="905623" cy="647345"/>
        </a:xfrm>
        <a:prstGeom prst="ellipse">
          <a:avLst/>
        </a:prstGeom>
        <a:solidFill>
          <a:schemeClr val="accent2">
            <a:hueOff val="2577445"/>
            <a:satOff val="-7397"/>
            <a:lumOff val="-1184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err="1">
              <a:latin typeface="Times" pitchFamily="2" charset="0"/>
            </a:rPr>
            <a:t>Reasining</a:t>
          </a:r>
          <a:endParaRPr lang="tr-TR" sz="900" b="1" kern="1200" dirty="0">
            <a:latin typeface="Times" pitchFamily="2" charset="0"/>
          </a:endParaRPr>
        </a:p>
      </dsp:txBody>
      <dsp:txXfrm>
        <a:off x="3266348" y="1516542"/>
        <a:ext cx="640373" cy="457743"/>
      </dsp:txXfrm>
    </dsp:sp>
    <dsp:sp modelId="{EFBDB639-E727-6647-965B-0020F8641BED}">
      <dsp:nvSpPr>
        <dsp:cNvPr id="0" name=""/>
        <dsp:cNvSpPr/>
      </dsp:nvSpPr>
      <dsp:spPr>
        <a:xfrm rot="5400000">
          <a:off x="2588999" y="1542455"/>
          <a:ext cx="164860" cy="220097"/>
        </a:xfrm>
        <a:prstGeom prst="rightArrow">
          <a:avLst>
            <a:gd name="adj1" fmla="val 60000"/>
            <a:gd name="adj2" fmla="val 50000"/>
          </a:avLst>
        </a:prstGeom>
        <a:solidFill>
          <a:schemeClr val="accent2">
            <a:hueOff val="3866169"/>
            <a:satOff val="-11096"/>
            <a:lumOff val="-17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a:off x="2613728" y="1561745"/>
        <a:ext cx="115402" cy="132059"/>
      </dsp:txXfrm>
    </dsp:sp>
    <dsp:sp modelId="{A2BD75E5-88EC-8946-BB84-49C7D14AB1CD}">
      <dsp:nvSpPr>
        <dsp:cNvPr id="0" name=""/>
        <dsp:cNvSpPr/>
      </dsp:nvSpPr>
      <dsp:spPr>
        <a:xfrm>
          <a:off x="2239184" y="1812698"/>
          <a:ext cx="864490" cy="647345"/>
        </a:xfrm>
        <a:prstGeom prst="ellipse">
          <a:avLst/>
        </a:prstGeom>
        <a:solidFill>
          <a:schemeClr val="accent2">
            <a:hueOff val="3866169"/>
            <a:satOff val="-11096"/>
            <a:lumOff val="-17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a:latin typeface="Times" pitchFamily="2" charset="0"/>
            </a:rPr>
            <a:t>Data I</a:t>
          </a:r>
          <a:r>
            <a:rPr lang="tr-TR" sz="900" b="1" kern="1200" dirty="0" err="1">
              <a:latin typeface="Times" pitchFamily="2" charset="0"/>
            </a:rPr>
            <a:t>ngestion</a:t>
          </a:r>
          <a:endParaRPr lang="tr-TR" sz="900" b="1" kern="1200" dirty="0">
            <a:latin typeface="Times" pitchFamily="2" charset="0"/>
          </a:endParaRPr>
        </a:p>
      </dsp:txBody>
      <dsp:txXfrm>
        <a:off x="2365786" y="1907499"/>
        <a:ext cx="611286" cy="457743"/>
      </dsp:txXfrm>
    </dsp:sp>
    <dsp:sp modelId="{A05BBA03-0979-6A47-B42B-4E741AE434D1}">
      <dsp:nvSpPr>
        <dsp:cNvPr id="0" name=""/>
        <dsp:cNvSpPr/>
      </dsp:nvSpPr>
      <dsp:spPr>
        <a:xfrm rot="9239022">
          <a:off x="2135614" y="1352784"/>
          <a:ext cx="120142" cy="220097"/>
        </a:xfrm>
        <a:prstGeom prst="rightArrow">
          <a:avLst>
            <a:gd name="adj1" fmla="val 60000"/>
            <a:gd name="adj2" fmla="val 50000"/>
          </a:avLst>
        </a:prstGeom>
        <a:solidFill>
          <a:schemeClr val="accent2">
            <a:hueOff val="5154891"/>
            <a:satOff val="-14794"/>
            <a:lumOff val="-2368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rot="10800000">
        <a:off x="2169831" y="1388898"/>
        <a:ext cx="84099" cy="132059"/>
      </dsp:txXfrm>
    </dsp:sp>
    <dsp:sp modelId="{96669B7E-D16A-3946-85F5-0253303AE865}">
      <dsp:nvSpPr>
        <dsp:cNvPr id="0" name=""/>
        <dsp:cNvSpPr/>
      </dsp:nvSpPr>
      <dsp:spPr>
        <a:xfrm>
          <a:off x="1216644" y="1384709"/>
          <a:ext cx="969296" cy="638858"/>
        </a:xfrm>
        <a:prstGeom prst="ellipse">
          <a:avLst/>
        </a:prstGeom>
        <a:solidFill>
          <a:schemeClr val="accent2">
            <a:hueOff val="5154891"/>
            <a:satOff val="-14794"/>
            <a:lumOff val="-2368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err="1">
              <a:latin typeface="Times" pitchFamily="2" charset="0"/>
            </a:rPr>
            <a:t>Imprecise</a:t>
          </a:r>
          <a:r>
            <a:rPr lang="tr-TR" sz="900" b="1" kern="1200" dirty="0">
              <a:latin typeface="Times" pitchFamily="2" charset="0"/>
            </a:rPr>
            <a:t> </a:t>
          </a:r>
          <a:r>
            <a:rPr lang="tr-TR" sz="900" b="1" kern="1200" dirty="0" err="1">
              <a:latin typeface="Times" pitchFamily="2" charset="0"/>
            </a:rPr>
            <a:t>knowledge</a:t>
          </a:r>
          <a:endParaRPr lang="tr-TR" sz="900" b="1" kern="1200" dirty="0">
            <a:latin typeface="Times" pitchFamily="2" charset="0"/>
          </a:endParaRPr>
        </a:p>
      </dsp:txBody>
      <dsp:txXfrm>
        <a:off x="1358594" y="1478268"/>
        <a:ext cx="685396" cy="451740"/>
      </dsp:txXfrm>
    </dsp:sp>
    <dsp:sp modelId="{0B7CECBF-FF98-7F47-BE14-05E59D423BE9}">
      <dsp:nvSpPr>
        <dsp:cNvPr id="0" name=""/>
        <dsp:cNvSpPr/>
      </dsp:nvSpPr>
      <dsp:spPr>
        <a:xfrm rot="12292128">
          <a:off x="2126902" y="895841"/>
          <a:ext cx="119348" cy="220097"/>
        </a:xfrm>
        <a:prstGeom prst="rightArrow">
          <a:avLst>
            <a:gd name="adj1" fmla="val 60000"/>
            <a:gd name="adj2" fmla="val 50000"/>
          </a:avLst>
        </a:prstGeom>
        <a:solidFill>
          <a:schemeClr val="accent2">
            <a:hueOff val="6443614"/>
            <a:satOff val="-18493"/>
            <a:lumOff val="-2960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tr-TR" sz="900" b="1" kern="1200">
            <a:latin typeface="Times" pitchFamily="2" charset="0"/>
          </a:endParaRPr>
        </a:p>
      </dsp:txBody>
      <dsp:txXfrm rot="10800000">
        <a:off x="2161046" y="947389"/>
        <a:ext cx="83544" cy="132059"/>
      </dsp:txXfrm>
    </dsp:sp>
    <dsp:sp modelId="{00C9F648-3806-D247-B119-6CF3EB30A3BA}">
      <dsp:nvSpPr>
        <dsp:cNvPr id="0" name=""/>
        <dsp:cNvSpPr/>
      </dsp:nvSpPr>
      <dsp:spPr>
        <a:xfrm>
          <a:off x="1229570" y="454087"/>
          <a:ext cx="929684" cy="647345"/>
        </a:xfrm>
        <a:prstGeom prst="ellipse">
          <a:avLst/>
        </a:prstGeom>
        <a:solidFill>
          <a:schemeClr val="accent2">
            <a:hueOff val="6443614"/>
            <a:satOff val="-18493"/>
            <a:lumOff val="-2960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tr-TR" sz="900" b="1" kern="1200" dirty="0">
              <a:latin typeface="Times" pitchFamily="2" charset="0"/>
            </a:rPr>
            <a:t>Learning </a:t>
          </a:r>
          <a:r>
            <a:rPr lang="tr-TR" sz="900" b="1" kern="1200" dirty="0" err="1">
              <a:latin typeface="Times" pitchFamily="2" charset="0"/>
            </a:rPr>
            <a:t>Ability</a:t>
          </a:r>
          <a:endParaRPr lang="tr-TR" sz="900" b="1" kern="1200" dirty="0">
            <a:latin typeface="Times" pitchFamily="2" charset="0"/>
          </a:endParaRPr>
        </a:p>
      </dsp:txBody>
      <dsp:txXfrm>
        <a:off x="1365719" y="548888"/>
        <a:ext cx="657386" cy="4577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1F35A2-CA23-4763-8E24-9D5C6AC229B5}">
      <dsp:nvSpPr>
        <dsp:cNvPr id="0" name=""/>
        <dsp:cNvSpPr/>
      </dsp:nvSpPr>
      <dsp:spPr>
        <a:xfrm>
          <a:off x="0" y="3739299"/>
          <a:ext cx="5486400" cy="112769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tr-TR" sz="1600" kern="1200"/>
            <a:t>UYGUNLUK DEĞERLENDİRMESİ</a:t>
          </a:r>
          <a:r>
            <a:rPr lang="tr-TR" sz="1050" kern="1200"/>
            <a:t>
</a:t>
          </a:r>
          <a:r>
            <a:rPr lang="tr-TR" sz="1400" kern="1200">
              <a:solidFill>
                <a:sysClr val="windowText" lastClr="000000"/>
              </a:solidFill>
            </a:rPr>
            <a:t>Metodolojik olarak uygun: 94 çalışma</a:t>
          </a:r>
        </a:p>
      </dsp:txBody>
      <dsp:txXfrm>
        <a:off x="0" y="3739299"/>
        <a:ext cx="5486400" cy="608955"/>
      </dsp:txXfrm>
    </dsp:sp>
    <dsp:sp modelId="{891A2731-A7B5-42F8-AE47-392C1E325D27}">
      <dsp:nvSpPr>
        <dsp:cNvPr id="0" name=""/>
        <dsp:cNvSpPr/>
      </dsp:nvSpPr>
      <dsp:spPr>
        <a:xfrm>
          <a:off x="0" y="4325701"/>
          <a:ext cx="2743199" cy="5187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r>
            <a:rPr lang="tr-TR" sz="1600" kern="1200"/>
            <a:t>En az bir dışlama kriterlerini karşılayan: 43 çalışma </a:t>
          </a:r>
        </a:p>
      </dsp:txBody>
      <dsp:txXfrm>
        <a:off x="0" y="4325701"/>
        <a:ext cx="2743199" cy="518740"/>
      </dsp:txXfrm>
    </dsp:sp>
    <dsp:sp modelId="{053A5ED3-094D-48E8-B3C9-7293B508DA4A}">
      <dsp:nvSpPr>
        <dsp:cNvPr id="0" name=""/>
        <dsp:cNvSpPr/>
      </dsp:nvSpPr>
      <dsp:spPr>
        <a:xfrm>
          <a:off x="2743200" y="4325701"/>
          <a:ext cx="2743199" cy="5187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r>
            <a:rPr lang="tr-TR" sz="1600" kern="1200"/>
            <a:t>Tüm dahil edilme kriterlerini karşılayan: 51 çalışma </a:t>
          </a:r>
        </a:p>
      </dsp:txBody>
      <dsp:txXfrm>
        <a:off x="2743200" y="4325701"/>
        <a:ext cx="2743199" cy="518740"/>
      </dsp:txXfrm>
    </dsp:sp>
    <dsp:sp modelId="{9A7A2201-92EC-47A1-9D67-8025FB7EACAD}">
      <dsp:nvSpPr>
        <dsp:cNvPr id="0" name=""/>
        <dsp:cNvSpPr/>
      </dsp:nvSpPr>
      <dsp:spPr>
        <a:xfrm rot="10800000">
          <a:off x="0" y="1987632"/>
          <a:ext cx="5486400" cy="1734396"/>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tr-TR" sz="1600" kern="1200"/>
            <a:t>ELEME AŞAMASI</a:t>
          </a:r>
        </a:p>
      </dsp:txBody>
      <dsp:txXfrm rot="-10800000">
        <a:off x="0" y="1987632"/>
        <a:ext cx="5486400" cy="608773"/>
      </dsp:txXfrm>
    </dsp:sp>
    <dsp:sp modelId="{E3A62A3E-855C-4FD8-A882-0017DEE44847}">
      <dsp:nvSpPr>
        <dsp:cNvPr id="0" name=""/>
        <dsp:cNvSpPr/>
      </dsp:nvSpPr>
      <dsp:spPr>
        <a:xfrm>
          <a:off x="0" y="2630591"/>
          <a:ext cx="5486400" cy="51858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r>
            <a:rPr lang="tr-TR" sz="1600" kern="1200"/>
            <a:t>En az bir dahil edilme kriterini karşılayan: 659 çalışma </a:t>
          </a:r>
        </a:p>
      </dsp:txBody>
      <dsp:txXfrm>
        <a:off x="0" y="2630591"/>
        <a:ext cx="5486400" cy="518584"/>
      </dsp:txXfrm>
    </dsp:sp>
    <dsp:sp modelId="{303CA599-D217-403B-8BD5-54A077A1EAD8}">
      <dsp:nvSpPr>
        <dsp:cNvPr id="0" name=""/>
        <dsp:cNvSpPr/>
      </dsp:nvSpPr>
      <dsp:spPr>
        <a:xfrm rot="10800000">
          <a:off x="0" y="279"/>
          <a:ext cx="5486400" cy="203845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tr-TR" sz="1400" kern="1200"/>
        </a:p>
        <a:p>
          <a:pPr marL="0" lvl="0" indent="0" algn="ctr" defTabSz="622300">
            <a:lnSpc>
              <a:spcPct val="90000"/>
            </a:lnSpc>
            <a:spcBef>
              <a:spcPct val="0"/>
            </a:spcBef>
            <a:spcAft>
              <a:spcPct val="35000"/>
            </a:spcAft>
            <a:buNone/>
          </a:pPr>
          <a:r>
            <a:rPr lang="tr-TR" sz="1400" kern="1200"/>
            <a:t>KAYNAK TARAMASI</a:t>
          </a:r>
        </a:p>
        <a:p>
          <a:pPr marL="0" lvl="0" indent="0" algn="ctr" defTabSz="622300">
            <a:lnSpc>
              <a:spcPct val="90000"/>
            </a:lnSpc>
            <a:spcBef>
              <a:spcPct val="0"/>
            </a:spcBef>
            <a:spcAft>
              <a:spcPct val="35000"/>
            </a:spcAft>
            <a:buNone/>
          </a:pPr>
          <a:r>
            <a:rPr lang="tr-TR" sz="1200" kern="1200"/>
            <a:t>(seçilen veri tabanlarında “</a:t>
          </a:r>
          <a:r>
            <a:rPr lang="tr-TR" sz="1200" i="1" kern="1200"/>
            <a:t>psychodrama and students ve psychodrama and school ” arandı)</a:t>
          </a:r>
          <a:endParaRPr lang="tr-TR" sz="1200" kern="1200"/>
        </a:p>
        <a:p>
          <a:pPr marL="0" lvl="0" indent="0" algn="ctr" defTabSz="622300">
            <a:lnSpc>
              <a:spcPct val="90000"/>
            </a:lnSpc>
            <a:spcBef>
              <a:spcPct val="0"/>
            </a:spcBef>
            <a:spcAft>
              <a:spcPct val="35000"/>
            </a:spcAft>
            <a:buNone/>
          </a:pPr>
          <a:endParaRPr lang="tr-TR" sz="1200" kern="1200"/>
        </a:p>
      </dsp:txBody>
      <dsp:txXfrm rot="-10800000">
        <a:off x="0" y="279"/>
        <a:ext cx="5486400" cy="715497"/>
      </dsp:txXfrm>
    </dsp:sp>
    <dsp:sp modelId="{997458CE-81D2-4BDF-BEA9-E6A8A6E5F6EC}">
      <dsp:nvSpPr>
        <dsp:cNvPr id="0" name=""/>
        <dsp:cNvSpPr/>
      </dsp:nvSpPr>
      <dsp:spPr>
        <a:xfrm>
          <a:off x="0" y="761081"/>
          <a:ext cx="5486400" cy="51858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r>
            <a:rPr lang="tr-TR" sz="1600" kern="1200"/>
            <a:t>(ResearchGate 1070, PubMed 1556, ScienceDirect 789, Scopus 268 ve ERIC 18) : toplam </a:t>
          </a:r>
          <a:r>
            <a:rPr lang="tr-TR" sz="1600" b="0" kern="1200"/>
            <a:t>3701 çalışma </a:t>
          </a:r>
          <a:endParaRPr lang="tr-TR" sz="1600" kern="1200"/>
        </a:p>
      </dsp:txBody>
      <dsp:txXfrm>
        <a:off x="0" y="761081"/>
        <a:ext cx="5486400" cy="51858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Erg21</b:Tag>
    <b:SourceType>BookSection</b:SourceType>
    <b:Guid>{3060659E-92C1-4CA1-9241-E9CFE742D17E}</b:Guid>
    <b:Title>Kazakistan'nın Türk Dünyasındaki Yeri ve Önemi</b:Title>
    <b:Year>2021</b:Year>
    <b:City>Ankara</b:City>
    <b:Publisher>Nobel Yayınları</b:Publisher>
    <b:Author>
      <b:Author>
        <b:NameList>
          <b:Person>
            <b:Last>Savrun</b:Last>
            <b:First>Ergeneok</b:First>
          </b:Person>
        </b:NameList>
      </b:Author>
      <b:BookAuthor>
        <b:NameList>
          <b:Person>
            <b:Last>Acar</b:Last>
            <b:First>Hasan</b:First>
          </b:Person>
        </b:NameList>
      </b:BookAuthor>
    </b:Author>
    <b:BookTitle>Türkiye ve Kazakistan İlişkileri</b:BookTitle>
    <b:Pages>27-44</b:Pages>
    <b:RefOrder>1</b:RefOrder>
  </b:Source>
  <b:Source>
    <b:Tag>Dod92</b:Tag>
    <b:SourceType>JournalArticle</b:SourceType>
    <b:Guid>{45907E04-9CCA-45C9-86B1-DF0FC70206BB}</b:Guid>
    <b:Author>
      <b:Author>
        <b:NameList>
          <b:Person>
            <b:Last>Dodd</b:Last>
            <b:First>Charles</b:First>
            <b:Middle>Harold</b:Middle>
          </b:Person>
        </b:NameList>
      </b:Author>
    </b:Author>
    <b:Title>The Development of Turkish Democracy</b:Title>
    <b:Year>1992</b:Year>
    <b:Pages>16-30</b:Pages>
    <b:JournalName>British Journal of Middle East Studies</b:JournalName>
    <b:Volume>18</b:Volume>
    <b:Issue>1</b:Issue>
    <b:RefOrder>2</b:RefOrder>
  </b:Source>
  <b:Source>
    <b:Tag>Kin08</b:Tag>
    <b:SourceType>Book</b:SourceType>
    <b:Guid>{F56B7E66-EC7B-4FCA-9D3A-5C9E3804AA1C}</b:Guid>
    <b:Title>Osmanlı İmparatorluğu'nun Yükselişi ve Çöküşü</b:Title>
    <b:Year>2008</b:Year>
    <b:Author>
      <b:Author>
        <b:NameList>
          <b:Person>
            <b:Last>Kinross</b:Last>
            <b:First>Lord</b:First>
          </b:Person>
        </b:NameList>
      </b:Author>
      <b:Translator>
        <b:NameList>
          <b:Person>
            <b:Last>Gaspirali</b:Last>
            <b:First>Meral</b:First>
          </b:Person>
        </b:NameList>
      </b:Translator>
    </b:Author>
    <b:City>İstanbul</b:City>
    <b:Publisher>Altın Kitaplar</b:Publisher>
    <b:RefOrder>3</b:RefOrder>
  </b:Source>
  <b:Source>
    <b:Tag>Sha77</b:Tag>
    <b:SourceType>Book</b:SourceType>
    <b:Guid>{FB14B27F-03AC-4A1E-897E-539285F27E5F}</b:Guid>
    <b:Author>
      <b:Author>
        <b:NameList>
          <b:Person>
            <b:Last>Shaw</b:Last>
            <b:First>Stanford</b:First>
            <b:Middle>J.</b:Middle>
          </b:Person>
          <b:Person>
            <b:Last>Shaw</b:Last>
            <b:First>Ezel</b:First>
            <b:Middle>Kural</b:Middle>
          </b:Person>
        </b:NameList>
      </b:Author>
    </b:Author>
    <b:Title>History of the Ottoman Empire and Modern Türkiye, Reform, Revolution and Republic: the Rise of Modern Türkiye, 1808-1975</b:Title>
    <b:Year>1977</b:Year>
    <b:City>Cambridge</b:City>
    <b:Publisher>Cambridge Press</b:Publisher>
    <b:RefOrder>4</b:RefOrder>
  </b:Source>
  <b:Source>
    <b:Tag>Tuc96</b:Tag>
    <b:SourceType>JournalArticle</b:SourceType>
    <b:Guid>{2B89DC0E-9D7A-439D-9DEB-D3684A85B996}</b:Guid>
    <b:Title>Revisiting Reform: Women and the Ottoman Law of Family Rights, 1917</b:Title>
    <b:Year>1996</b:Year>
    <b:Author>
      <b:Author>
        <b:NameList>
          <b:Person>
            <b:Last>Tucker</b:Last>
            <b:First>Judith</b:First>
            <b:Middle>E.</b:Middle>
          </b:Person>
        </b:NameList>
      </b:Author>
    </b:Author>
    <b:JournalName>The Arab Studies</b:JournalName>
    <b:Pages>4-17</b:Pages>
    <b:Volume>4</b:Volume>
    <b:Issue>2</b:Issue>
    <b:RefOrder>5</b:RefOrder>
  </b:Source>
  <b:Source>
    <b:Tag>Alt21</b:Tag>
    <b:SourceType>JournalArticle</b:SourceType>
    <b:Guid>{5E02EF65-908E-4E3F-B370-190ECF8CF986}</b:Guid>
    <b:Author>
      <b:Author>
        <b:NameList>
          <b:Person>
            <b:Last>Altıntaş</b:Last>
            <b:First>Yavuz</b:First>
          </b:Person>
        </b:NameList>
      </b:Author>
    </b:Author>
    <b:Title>Evolutionary Secularisation of the Ottoman Law in the Nineteenth Century: Roots and Implications</b:Title>
    <b:JournalName>Eskiyeni</b:JournalName>
    <b:Year>2021</b:Year>
    <b:Pages>385-408</b:Pages>
    <b:Issue>44</b:Issue>
    <b:RefOrder>6</b:RefOrder>
  </b:Source>
  <b:Source>
    <b:Tag>Bot07</b:Tag>
    <b:SourceType>JournalArticle</b:SourceType>
    <b:Guid>{B9C172AA-DFD0-4B52-A80B-7E68ED870B8B}</b:Guid>
    <b:Author>
      <b:Author>
        <b:NameList>
          <b:Person>
            <b:Last>Bottoni</b:Last>
            <b:First>Rosella</b:First>
          </b:Person>
        </b:NameList>
      </b:Author>
    </b:Author>
    <b:Title>The Origins of Secularism in Türkiye</b:Title>
    <b:JournalName>Ecclestiical Law Journal</b:JournalName>
    <b:Year>2007</b:Year>
    <b:Pages>175-186</b:Pages>
    <b:Volume>9</b:Volume>
    <b:Issue>2</b:Issue>
    <b:RefOrder>7</b:RefOrder>
  </b:Source>
  <b:Source>
    <b:Tag>Ars61</b:Tag>
    <b:SourceType>JournalArticle</b:SourceType>
    <b:Guid>{17BD71AA-CA2F-4DE7-847A-67AF1BE5130B}</b:Guid>
    <b:Author>
      <b:Author>
        <b:NameList>
          <b:Person>
            <b:Last>Arsel</b:Last>
            <b:First>İlhan</b:First>
          </b:Person>
        </b:NameList>
      </b:Author>
    </b:Author>
    <b:Title>Constitutional Development of Türkiye Since Republic</b:Title>
    <b:JournalName>Ankara Üniversitesi Hukuk Fakültesi Dergisi</b:JournalName>
    <b:Year>1961</b:Year>
    <b:Pages>37-70</b:Pages>
    <b:Volume>18</b:Volume>
    <b:Issue>1</b:Issue>
    <b:RefOrder>8</b:RefOrder>
  </b:Source>
  <b:Source>
    <b:Tag>Güv98</b:Tag>
    <b:SourceType>JournalArticle</b:SourceType>
    <b:Guid>{0D9E4D1B-E100-44A1-ADEB-16E212B30702}</b:Guid>
    <b:Author>
      <b:Author>
        <b:NameList>
          <b:Person>
            <b:Last>Güvenç</b:Last>
            <b:First>Bozkurt</b:First>
          </b:Person>
        </b:NameList>
      </b:Author>
    </b:Author>
    <b:Title>Secular Trends and Turkish Identity</b:Title>
    <b:JournalName>Journal of International Affairs</b:JournalName>
    <b:Year>1997-1998</b:Year>
    <b:Pages>20-36</b:Pages>
    <b:Volume>2</b:Volume>
    <b:Issue>4</b:Issue>
    <b:RefOrder>9</b:RefOrder>
  </b:Source>
  <b:Source>
    <b:Tag>Asl97</b:Tag>
    <b:SourceType>Report</b:SourceType>
    <b:Guid>{25E05A72-E345-43FA-9827-11CAD9C13B9B}</b:Guid>
    <b:Title>Strategic Vision of Mustafa Kemal Ataturk</b:Title>
    <b:Year>1997</b:Year>
    <b:Author>
      <b:Author>
        <b:NameList>
          <b:Person>
            <b:Last>Aslantaş</b:Last>
            <b:First>Halil</b:First>
          </b:Person>
        </b:NameList>
      </b:Author>
    </b:Author>
    <b:Publisher>U.S. Army War College</b:Publisher>
    <b:RefOrder>10</b:RefOrder>
  </b:Source>
  <b:Source>
    <b:Tag>Akg19</b:Tag>
    <b:SourceType>Misc</b:SourceType>
    <b:Guid>{E515DEF8-F7C7-468A-83F1-929F9C8F816B}</b:Guid>
    <b:Title>The Case of Atatürk Reforms in Early Turkish Republic Between 1923-1946 From an Educational Perspective</b:Title>
    <b:Year>2019</b:Year>
    <b:Publisher>Harvard Extension School</b:Publisher>
    <b:Author>
      <b:Author>
        <b:NameList>
          <b:Person>
            <b:Last>Akgül</b:Last>
            <b:First>Ahmet</b:First>
          </b:Person>
        </b:NameList>
      </b:Author>
    </b:Author>
    <b:RefOrder>11</b:RefOrder>
  </b:Source>
  <b:Source>
    <b:Tag>Dav88</b:Tag>
    <b:SourceType>JournalArticle</b:SourceType>
    <b:Guid>{91FDE840-F73C-4038-8694-76DCC47D7320}</b:Guid>
    <b:Title>Secularism in Türkiye</b:Title>
    <b:Year>1988</b:Year>
    <b:Author>
      <b:Author>
        <b:NameList>
          <b:Person>
            <b:Last>Daver</b:Last>
            <b:First>Bülent</b:First>
          </b:Person>
        </b:NameList>
      </b:Author>
    </b:Author>
    <b:JournalName>Ankara Üniversitesi SBF Dergisi</b:JournalName>
    <b:Pages>29-40</b:Pages>
    <b:Volume>43</b:Volume>
    <b:Issue>1</b:Issue>
    <b:RefOrder>12</b:RefOrder>
  </b:Source>
  <b:Source>
    <b:Tag>Sha18</b:Tag>
    <b:SourceType>Book</b:SourceType>
    <b:Guid>{055F9628-E931-4717-BBB5-A0D60A3ACB25}</b:Guid>
    <b:Title>A History of Muslims, Christians, and Jews in the Middle East</b:Title>
    <b:Year>2018</b:Year>
    <b:Author>
      <b:Author>
        <b:NameList>
          <b:Person>
            <b:Last>Sharkey</b:Last>
            <b:First>Heather</b:First>
            <b:Middle>J.</b:Middle>
          </b:Person>
        </b:NameList>
      </b:Author>
    </b:Author>
    <b:City>Cambridge</b:City>
    <b:Publisher>Cambridge Press</b:Publisher>
    <b:RefOrder>13</b:RefOrder>
  </b:Source>
  <b:Source>
    <b:Tag>Mik21</b:Tag>
    <b:SourceType>JournalArticle</b:SourceType>
    <b:Guid>{FCFABF5B-8B43-42B6-A7C9-1BF38CDA6040}</b:Guid>
    <b:Author>
      <b:Author>
        <b:NameList>
          <b:Person>
            <b:Last>Miklinski</b:Last>
            <b:First>Maciej</b:First>
          </b:Person>
        </b:NameList>
      </b:Author>
    </b:Author>
    <b:Title>The Origins And Evolution of Deposit Banking Actıvıtıes – Analysis of the Literature</b:Title>
    <b:Year>2021</b:Year>
    <b:JournalName>Financial Law Review</b:JournalName>
    <b:Pages>128-145</b:Pages>
    <b:Volume>23</b:Volume>
    <b:Issue>3</b:Issue>
    <b:RefOrder>14</b:RefOrder>
  </b:Source>
  <b:Source>
    <b:Tag>Ers18</b:Tag>
    <b:SourceType>JournalArticle</b:SourceType>
    <b:Guid>{91A58DF9-CA65-4F3E-AFDE-3A3717AA7B06}</b:Guid>
    <b:Author>
      <b:Author>
        <b:NameList>
          <b:Person>
            <b:Last>Ersoy</b:Last>
            <b:First>Mehmet</b:First>
          </b:Person>
          <b:Person>
            <b:Last>Suner</b:Last>
            <b:First>Aybüke</b:First>
          </b:Person>
        </b:NameList>
      </b:Author>
    </b:Author>
    <b:Title>Participation Banking in Türkiye and Public Initiative in Participation Banking</b:Title>
    <b:JournalName>Marmara Univerdity Journal of Economic and Administrative Sciences</b:JournalName>
    <b:Year>2018</b:Year>
    <b:Pages>167-180</b:Pages>
    <b:Volume>40</b:Volume>
    <b:Issue>2</b:Issue>
    <b:RefOrder>15</b:RefOrder>
  </b:Source>
  <b:Source>
    <b:Tag>Oka21</b:Tag>
    <b:SourceType>Misc</b:SourceType>
    <b:Guid>{19138766-9050-4954-89DB-42E901838DB9}</b:Guid>
    <b:Title>The Historical Development of Participation Banking And Its Relationship with Selected Economic Variables: The Case Of Türkiye And Kuwaıt</b:Title>
    <b:Year>2021</b:Year>
    <b:Author>
      <b:Author>
        <b:NameList>
          <b:Person>
            <b:Last>Okan</b:Last>
            <b:First>Numan</b:First>
          </b:Person>
        </b:NameList>
      </b:Author>
    </b:Author>
    <b:Publisher>Karamanoğlu Mehmetbey Üniversitesi</b:Publisher>
    <b:RefOrder>16</b:RefOrder>
  </b:Source>
  <b:Source>
    <b:Tag>Tür24</b:Tag>
    <b:SourceType>InternetSite</b:SourceType>
    <b:Guid>{1F8F8FEB-C3C1-4603-AB66-3C14117653AF}</b:Guid>
    <b:Title>Türkiye Katılım Bankaları Birliği</b:Title>
    <b:Year>2024</b:Year>
    <b:URL>https://www.tkbb.org.tr/</b:URL>
    <b:RefOrder>17</b:RefOrder>
  </b:Source>
  <b:Source>
    <b:Tag>Emi24</b:Tag>
    <b:SourceType>InternetSite</b:SourceType>
    <b:Guid>{235C238F-C9FC-434D-B002-D0E8C4AE392F}</b:Guid>
    <b:Author>
      <b:Author>
        <b:NameList>
          <b:Person>
            <b:Last>Yılmaz</b:Last>
            <b:First>Emirhan</b:First>
          </b:Person>
        </b:NameList>
      </b:Author>
    </b:Author>
    <b:Title>Banka Dışı Finans Sektörünün İşlem Hacmi Yüzde 77 Arttı</b:Title>
    <b:Year>2024</b:Year>
    <b:URL>https://www.aa.com.tr/tr/ekonomi/banka-disi-finans-sektorunun-islem-hacmi-yuzde-77-artti/3309450?utm_source=chatgpt.com</b:URL>
    <b:RefOrder>18</b:RefOrder>
  </b:Source>
  <b:Source>
    <b:Tag>Tür23</b:Tag>
    <b:SourceType>Report</b:SourceType>
    <b:Guid>{C6B7AD08-28B2-448B-9D82-C6AAF8AFB049}</b:Guid>
    <b:Title>On İkinci Kalkınma Planı (2024-2028)</b:Title>
    <b:Year>2023</b:Year>
    <b:Author>
      <b:Author>
        <b:Corporate>Türkiye Cumhuriyeti Cumhurbaşkanlığı Strateji ve Bütçe Başkanlığı</b:Corporate>
      </b:Author>
    </b:Author>
    <b:City>Ankara</b:City>
    <b:RefOrder>19</b:RefOrder>
  </b:Source>
  <b:Source>
    <b:Tag>Rev</b:Tag>
    <b:SourceType>Book</b:SourceType>
    <b:Guid>{733E8832-BFAE-438D-8BA2-70BF27C1AA4D}</b:Guid>
    <b:Title>Revisiting Reform: Women and the Ottoman Law of Family Rights, 1917’ </b:Title>
    <b:RefOrder>28</b:RefOrder>
  </b:Source>
  <b:Source>
    <b:Tag>Int15</b:Tag>
    <b:SourceType>Report</b:SourceType>
    <b:Guid>{C7BE6B3E-8A35-476F-A496-63D24550BD84}</b:Guid>
    <b:Title>Emissions Trading Worldwide</b:Title>
    <b:Year>2015</b:Year>
    <b:Pages>29-33</b:Pages>
    <b:Author>
      <b:Author>
        <b:Corporate>International Carbon Action Partnership (ICAP)</b:Corporate>
      </b:Author>
    </b:Author>
    <b:YearAccessed>2024</b:YearAccessed>
    <b:MonthAccessed>Ekim</b:MonthAccessed>
    <b:DayAccessed>5</b:DayAccessed>
    <b:URL>https://icapcarbonaction.com/system/files/document/icap_report_2015_02_10_online_version.pdf</b:URL>
    <b:RefOrder>20</b:RefOrder>
  </b:Source>
  <b:Source>
    <b:Tag>TCT231</b:Tag>
    <b:SourceType>InternetSite</b:SourceType>
    <b:Guid>{6FA8792D-A513-433A-A2FC-85C987D85B1B}</b:Guid>
    <b:Title>Yeşil Mutabakat</b:Title>
    <b:Year>2023</b:Year>
    <b:Author>
      <b:Author>
        <b:Corporate>T.C. Ticaret Bakanlığı</b:Corporate>
      </b:Author>
    </b:Author>
    <b:InternetSiteTitle>T.C Ticaret Bakanlığı Web Sitesi</b:InternetSiteTitle>
    <b:Month>Mart</b:Month>
    <b:Day>13</b:Day>
    <b:URL>https://ticaret.gov.tr/dis-iliskiler/yesil-mutabakat</b:URL>
    <b:YearAccessed>2024</b:YearAccessed>
    <b:MonthAccessed>Ekim</b:MonthAccessed>
    <b:DayAccessed>5</b:DayAccessed>
    <b:RefOrder>21</b:RefOrder>
  </b:Source>
  <b:Source>
    <b:Tag>Eur22</b:Tag>
    <b:SourceType>InternetSite</b:SourceType>
    <b:Guid>{FBFE0DD1-0D08-4E57-BB82-3918D5CA4CD4}</b:Guid>
    <b:Author>
      <b:Author>
        <b:Corporate>European Council</b:Corporate>
      </b:Author>
    </b:Author>
    <b:Title>EU climate action: provisional agreement reached on Carbon Border Adjustment Mechanism (CBAM)</b:Title>
    <b:InternetSiteTitle>Council of the EU</b:InternetSiteTitle>
    <b:Year>2022</b:Year>
    <b:Month>11</b:Month>
    <b:Day>13</b:Day>
    <b:URL>https://www.consilium.europa.eu/en/press/press-releases/2022/12/13/eu-climate-action-provisional-agreement-reached-on-carbon-border-adjustment-mechanism-cbam/</b:URL>
    <b:YearAccessed>2024</b:YearAccessed>
    <b:MonthAccessed>ekim </b:MonthAccessed>
    <b:DayAccessed>8</b:DayAccessed>
    <b:RefOrder>22</b:RefOrder>
  </b:Source>
  <b:Source>
    <b:Tag>Uyd08</b:Tag>
    <b:SourceType>JournalArticle</b:SourceType>
    <b:Guid>{A4B110B3-7F20-465B-9055-28F42E16EC7F}</b:Guid>
    <b:Title>Avrupa Birliği İklim Değişikliği Politikasında Yeni Bir Politika Aracı: Emisyon Ticareti</b:Title>
    <b:Year>2008</b:Year>
    <b:Author>
      <b:Author>
        <b:NameList>
          <b:Person>
            <b:Last>Uyduranoğlu-Öktem</b:Last>
            <b:First>Ayşe</b:First>
          </b:Person>
        </b:NameList>
      </b:Author>
    </b:Author>
    <b:JournalName>Akademik İncelemeler</b:JournalName>
    <b:Pages>19-29</b:Pages>
    <b:Volume>3</b:Volume>
    <b:Issue>1</b:Issue>
    <b:RefOrder>23</b:RefOrder>
  </b:Source>
  <b:Source>
    <b:Tag>Coa60</b:Tag>
    <b:SourceType>JournalArticle</b:SourceType>
    <b:Guid>{39423058-2607-4FA2-BA02-E2F8ED025D8C}</b:Guid>
    <b:Title>The Problem of Social Costs</b:Title>
    <b:JournalName>Journal of Law and Economics</b:JournalName>
    <b:Year>1960</b:Year>
    <b:Pages>3-44</b:Pages>
    <b:Author>
      <b:Author>
        <b:NameList>
          <b:Person>
            <b:Last>Coase</b:Last>
            <b:First>Ronald</b:First>
          </b:Person>
        </b:NameList>
      </b:Author>
    </b:Author>
    <b:Volume>3</b:Volume>
    <b:RefOrder>24</b:RefOrder>
  </b:Source>
  <b:Source>
    <b:Tag>11Ka</b:Tag>
    <b:SourceType>JournalArticle</b:SourceType>
    <b:Guid>{6792ED93-F97E-4433-8DF5-E4B5E71A741E}</b:Guid>
    <b:JournalName>Dumlupınar Üniversitesi Sosyal Bilimler Dergisi</b:JournalName>
    <b:Year>2011</b:Year>
    <b:Month>Aralık</b:Month>
    <b:Title>Karbon Piyasaları ve Türkiye Perspektifi</b:Title>
    <b:Author>
      <b:Author>
        <b:NameList>
          <b:Person>
            <b:Last>Çelikkol </b:Last>
            <b:First>Hakan</b:First>
          </b:Person>
          <b:Person>
            <b:Last>Özkan </b:Last>
            <b:First>Nasıf</b:First>
          </b:Person>
        </b:NameList>
      </b:Author>
    </b:Author>
    <b:Issue>31</b:Issue>
    <b:YearAccessed>2024</b:YearAccessed>
    <b:MonthAccessed>Ekim</b:MonthAccessed>
    <b:DayAccessed>10</b:DayAccessed>
    <b:URL>https://dergipark.org.tr/tr/pub/dpusbe/issue/4773/65710</b:URL>
    <b:RefOrder>25</b:RefOrder>
  </b:Source>
  <b:Source>
    <b:Tag>Con08</b:Tag>
    <b:SourceType>JournalArticle</b:SourceType>
    <b:Guid>{37139A79-2B23-4AFB-8408-DFFE917518A7}</b:Guid>
    <b:Title>The European Carbon Market In Action: Lessons From The First Trading Period.Interim Report</b:Title>
    <b:JournalName>MIT Joint Program on the Science and Policy of Global Change </b:JournalName>
    <b:Year>2008</b:Year>
    <b:Author>
      <b:Author>
        <b:NameList>
          <b:Person>
            <b:Last>Convery</b:Last>
            <b:First>Frank</b:First>
          </b:Person>
          <b:Person>
            <b:Last>Perthuis</b:Last>
            <b:First>Christian De</b:First>
          </b:Person>
        </b:NameList>
      </b:Author>
    </b:Author>
    <b:Month>Haziran</b:Month>
    <b:Issue>162</b:Issue>
    <b:YearAccessed>2024</b:YearAccessed>
    <b:MonthAccessed>Ekim</b:MonthAccessed>
    <b:DayAccessed>15</b:DayAccessed>
    <b:URL>https://www.researchgate.net/publication/5170384_The_European_Carbon_Market_In_Action_Lessons_From_The_First_Trading_Period_Interim_Report</b:URL>
    <b:RefOrder>26</b:RefOrder>
  </b:Source>
  <b:Source>
    <b:Tag>YerTutucu1</b:Tag>
    <b:SourceType>InternetSite</b:SourceType>
    <b:Guid>{BC964B7C-FE7B-493E-A72A-7F0AFCCAE3A3}</b:Guid>
    <b:Title>Birleşmiş Milletler İklim Değişikliği Çerçeve Sözleşmesi</b:Title>
    <b:Author>
      <b:Author>
        <b:Corporate>Türkiye Çevre, Şehircilik ve İklim Değişikliği Bakanlığı</b:Corporate>
      </b:Author>
    </b:Author>
    <b:URL>https://iklim.gov.tr/bm-iklim-degisikligi-cerceve-sozlesmesi-i-33</b:URL>
    <b:YearAccessed>2024</b:YearAccessed>
    <b:MonthAccessed>Ekim</b:MonthAccessed>
    <b:DayAccessed>14</b:DayAccessed>
    <b:Year>2022</b:Year>
    <b:RefOrder>27</b:RefOrder>
  </b:Source>
  <b:Source>
    <b:Tag>Bir97</b:Tag>
    <b:SourceType>Misc</b:SourceType>
    <b:Guid>{37FE513E-EE85-4ECF-9C11-CBE8C9E27130}</b:Guid>
    <b:Year>1997</b:Year>
    <b:Pages>15</b:Pages>
    <b:Author>
      <b:Author>
        <b:Corporate>Birleşmiş Milletler;Kyoto Protokolü</b:Corporate>
      </b:Author>
    </b:Author>
    <b:RefOrder>9</b:RefOrder>
  </b:Source>
  <b:Source>
    <b:Tag>Ulu20</b:Tag>
    <b:SourceType>Report</b:SourceType>
    <b:Guid>{CF0E8E6F-8FD4-46E6-B84D-8487A7196EDB}</b:Guid>
    <b:Title>Implementing Effective Emissions Trading Systems: Lessons from international experiences</b:Title>
    <b:Year>2020</b:Year>
    <b:Author>
      <b:Author>
        <b:Corporate>International Energy Agency</b:Corporate>
      </b:Author>
    </b:Author>
    <b:Publisher>OECD</b:Publisher>
    <b:City>Paris</b:City>
    <b:YearAccessed>2024</b:YearAccessed>
    <b:MonthAccessed>Ekim</b:MonthAccessed>
    <b:DayAccessed>26</b:DayAccessed>
    <b:URL>https://www.oecd.org/en/publications/implementing-effective-emissions-trading-systems_b7d0842b-en.html</b:URL>
    <b:RefOrder>10</b:RefOrder>
  </b:Source>
  <b:Source>
    <b:Tag>Eur241</b:Tag>
    <b:SourceType>InternetSite</b:SourceType>
    <b:Guid>{BD26751C-A811-4E72-B4B4-CB6FC720C94F}</b:Guid>
    <b:Title>What is the EU ETS?</b:Title>
    <b:Year>2024</b:Year>
    <b:Author>
      <b:Author>
        <b:Corporate>European Commission</b:Corporate>
      </b:Author>
    </b:Author>
    <b:URL>https://climate.ec.europa.eu/eu-action/eu-emissions-trading-system-eu-ets/what-eu-ets_en</b:URL>
    <b:YearAccessed>2024</b:YearAccessed>
    <b:MonthAccessed>Ekim</b:MonthAccessed>
    <b:DayAccessed>26</b:DayAccessed>
    <b:RefOrder>11</b:RefOrder>
  </b:Source>
  <b:Source>
    <b:Tag>Eur15</b:Tag>
    <b:SourceType>Report</b:SourceType>
    <b:Guid>{7D4D3198-504B-48A7-AF18-2347A8272155}</b:Guid>
    <b:Author>
      <b:Author>
        <b:Corporate>European Commission</b:Corporate>
      </b:Author>
    </b:Author>
    <b:Title>EU ETS Handbook</b:Title>
    <b:Year>2015</b:Year>
    <b:YearAccessed>2024</b:YearAccessed>
    <b:MonthAccessed>Ekim</b:MonthAccessed>
    <b:DayAccessed>17</b:DayAccessed>
    <b:URL>https://climate.ec.europa.eu/eu-action/eu-emissions-trading-system-eu-ets/what-eu-ets_en#documentation</b:URL>
    <b:Pages>16</b:Pages>
    <b:RefOrder>12</b:RefOrder>
  </b:Source>
  <b:Source>
    <b:Tag>Wor23</b:Tag>
    <b:SourceType>Report</b:SourceType>
    <b:Guid>{4C3206B9-01B3-42DF-8512-3531FB8492FF}</b:Guid>
    <b:Title>State and Trends of Carbon Pricing 2023</b:Title>
    <b:Year>2023</b:Year>
    <b:Pages>15-32</b:Pages>
    <b:Author>
      <b:Author>
        <b:Corporate>World Bank</b:Corporate>
      </b:Author>
    </b:Author>
    <b:Publisher>World Bank</b:Publisher>
    <b:City>Washington</b:City>
    <b:Department>2</b:Department>
    <b:YearAccessed>2024</b:YearAccessed>
    <b:MonthAccessed>Ekim </b:MonthAccessed>
    <b:DayAccessed>27</b:DayAccessed>
    <b:URL>https://openknowledge.worldbank.org/handle/10986/39796</b:URL>
    <b:DOI>10.1596/978-1-4648-2006-9</b:DOI>
    <b:RefOrder>13</b:RefOrder>
  </b:Source>
  <b:Source>
    <b:Tag>Eur21</b:Tag>
    <b:SourceType>Report</b:SourceType>
    <b:Guid>{9FD64863-895C-44AC-BD7F-7FAA33DE2C32}</b:Guid>
    <b:Title>Carbon Border Adjustment Mechanism</b:Title>
    <b:Year>2021</b:Year>
    <b:Author>
      <b:Author>
        <b:Corporate>European Commission</b:Corporate>
      </b:Author>
    </b:Author>
    <b:YearAccessed>2024</b:YearAccessed>
    <b:MonthAccessed>Ekim</b:MonthAccessed>
    <b:DayAccessed>16</b:DayAccessed>
    <b:URL>https://taxation-customs.ec.europa.eu/index_en?prefLang=tr</b:URL>
    <b:RefOrder>14</b:RefOrder>
  </b:Source>
  <b:Source>
    <b:Tag>Eur232</b:Tag>
    <b:SourceType>DocumentFromInternetSite</b:SourceType>
    <b:Guid>{232A6922-8F4E-46E6-A34C-D3770006ECAB}</b:Guid>
    <b:Title>REGULATION (EU) 2023/956 OF THE EUROPEAN PARLIAMENT AND OF THE COUNCIL</b:Title>
    <b:Year>2023</b:Year>
    <b:Author>
      <b:Author>
        <b:Corporate>European Commission</b:Corporate>
      </b:Author>
    </b:Author>
    <b:InternetSiteTitle>European Union</b:InternetSiteTitle>
    <b:Month>Mayıs</b:Month>
    <b:Day>10</b:Day>
    <b:URL>https://eur-lex.europa.eu/legal-content/EN/TXT/?uri=CELEX:32023R0956</b:URL>
    <b:YearAccessed>2024</b:YearAccessed>
    <b:MonthAccessed>Ekim</b:MonthAccessed>
    <b:DayAccessed>22</b:DayAccessed>
    <b:RefOrder>15</b:RefOrder>
  </b:Source>
  <b:Source>
    <b:Tag>Eur24</b:Tag>
    <b:SourceType>InternetSite</b:SourceType>
    <b:Guid>{E4054403-A3F5-41C6-9E3F-0B76AEA3E00A}</b:Guid>
    <b:Author>
      <b:Author>
        <b:Corporate>European Commision</b:Corporate>
      </b:Author>
    </b:Author>
    <b:Title>Carbon Border Adjustment Mechanism</b:Title>
    <b:InternetSiteTitle>An official website of the European Union</b:InternetSiteTitle>
    <b:Year>2024</b:Year>
    <b:Month>Kasım</b:Month>
    <b:Day>4</b:Day>
    <b:URL>https://taxation-customs.ec.europa.eu/carbon-border-adjustment-mechanism_en</b:URL>
    <b:YearAccessed>2024</b:YearAccessed>
    <b:MonthAccessed>Kasım</b:MonthAccessed>
    <b:DayAccessed>6</b:DayAccessed>
    <b:RefOrder>16</b:RefOrder>
  </b:Source>
  <b:Source>
    <b:Tag>Eke24</b:Tag>
    <b:SourceType>JournalArticle</b:SourceType>
    <b:Guid>{54B4CEA6-8C23-4654-B7F0-DE45DABE216F}</b:Guid>
    <b:Title>Sınırda Karbon Düzenlemesi Mekanizmasının Türkiye’nin AB İhracatına Olası Etkileri</b:Title>
    <b:Year>2024</b:Year>
    <b:URL>https://dergipark.org.tr/tr/pub/jcsci</b:URL>
    <b:JournalName>Başkent Üniversitesi Ticari Bilimler Fakültesi Dergisi</b:JournalName>
    <b:Pages>1-15</b:Pages>
    <b:Author>
      <b:Author>
        <b:NameList>
          <b:Person>
            <b:Last>Eken</b:Last>
            <b:First>Ahmet Adnan</b:First>
          </b:Person>
          <b:Person>
            <b:Last>Yazıcı</b:Last>
            <b:First>Didem</b:First>
          </b:Person>
        </b:NameList>
      </b:Author>
    </b:Author>
    <b:Volume>8</b:Volume>
    <b:YearAccessed>2024</b:YearAccessed>
    <b:MonthAccessed>Ekim </b:MonthAccessed>
    <b:DayAccessed>22</b:DayAccessed>
    <b:RefOrder>17</b:RefOrder>
  </b:Source>
  <b:Source>
    <b:Tag>Sha</b:Tag>
    <b:SourceType>JournalArticle</b:SourceType>
    <b:Guid>{26807993-B6D7-4ECE-8AA3-DF3C8ED283C4}</b:Guid>
    <b:Author>
      <b:Author>
        <b:NameList>
          <b:Person>
            <b:Last>Shaozhou </b:Last>
            <b:First>Qi</b:First>
          </b:Person>
          <b:Person>
            <b:Last>Zhenzhen</b:Last>
            <b:First>Xu</b:First>
          </b:Person>
          <b:Person>
            <b:Last>Zhixuan</b:Last>
            <b:First>Yang</b:First>
          </b:Person>
        </b:NameList>
      </b:Author>
    </b:Author>
    <b:Title>China's carbon allowance allocation strategy under the EU carbon border adjustment mechanism: An integrated non-parametric cost frontier approach</b:Title>
    <b:JournalName>Science of the Total Environment</b:JournalName>
    <b:Year>2022</b:Year>
    <b:RefOrder>18</b:RefOrder>
  </b:Source>
  <b:Source>
    <b:Tag>Jia22</b:Tag>
    <b:SourceType>JournalArticle</b:SourceType>
    <b:Guid>{B70E52DD-D7A6-490F-9D65-135342507ADD}</b:Guid>
    <b:Title>Beggar thy neighbor? On the competitiveness and welfare impacts of the EU’s proposed carbon border adjustment mechanism</b:Title>
    <b:JournalName>Energy Policy </b:JournalName>
    <b:Year>2022</b:Year>
    <b:Author>
      <b:Author>
        <b:NameList>
          <b:Person>
            <b:Last>Jiansuo</b:Last>
            <b:First>Pei</b:First>
          </b:Person>
          <b:Person>
            <b:Last>Jiarui</b:Last>
            <b:First>Zhong</b:First>
          </b:Person>
        </b:NameList>
      </b:Author>
    </b:Author>
    <b:RefOrder>19</b:RefOrder>
  </b:Source>
  <b:Source>
    <b:Tag>Boq23</b:Tag>
    <b:SourceType>JournalArticle</b:SourceType>
    <b:Guid>{8E99ED2C-2093-4D3B-8877-B7957E680B2B}</b:Guid>
    <b:Title>Evaluating current effects of upcoming EU Carbon Border Adjustment Mechanism: Evidence from China’s futures market</b:Title>
    <b:JournalName>Energy Policy </b:JournalName>
    <b:Year>2023</b:Year>
    <b:Author>
      <b:Author>
        <b:NameList>
          <b:Person>
            <b:Last>Boqiang</b:Last>
            <b:First>Lin</b:First>
          </b:Person>
          <b:Person>
            <b:Last>Hengsong</b:Last>
            <b:First>Zhao</b:First>
          </b:Person>
        </b:NameList>
      </b:Author>
    </b:Author>
    <b:RefOrder>20</b:RefOrder>
  </b:Source>
  <b:Source>
    <b:Tag>Guo23</b:Tag>
    <b:SourceType>JournalArticle</b:SourceType>
    <b:Guid>{F61AD919-3B25-41A3-8EC5-28D2E5594F1F}</b:Guid>
    <b:Title>Impact of carbon border adjustment mechanism on China’s manufacturing sector: A dynamic recursive CGE model based on an evolutionary game</b:Title>
    <b:JournalName>Journal of Environmental Management</b:JournalName>
    <b:Year>2023</b:Year>
    <b:Author>
      <b:Author>
        <b:NameList>
          <b:Person>
            <b:Last>Guo</b:Last>
            <b:First>Chen</b:First>
          </b:Person>
        </b:NameList>
      </b:Author>
    </b:Author>
    <b:RefOrder>21</b:RefOrder>
  </b:Source>
  <b:Source>
    <b:Tag>Ton24</b:Tag>
    <b:SourceType>JournalArticle</b:SourceType>
    <b:Guid>{CF209FE6-500A-43F9-95CE-A2F85AC48D66}</b:Guid>
    <b:Title>Carbon governance or trade gaming: China’s approach to addressing the EU’s carbon border adjustment mechanism</b:Title>
    <b:JournalName>Journal of Cleaner Production</b:JournalName>
    <b:Year>2024</b:Year>
    <b:Author>
      <b:Author>
        <b:NameList>
          <b:Person>
            <b:Last>Tong</b:Last>
            <b:First>Yue </b:First>
          </b:Person>
          <b:Person>
            <b:Last>Jian</b:Last>
            <b:First>Tong</b:First>
          </b:Person>
          <b:Person>
            <b:Last>Yuanbo</b:Last>
            <b:First>Qiao</b:First>
          </b:Person>
          <b:Person>
            <b:Last>Liujin</b:Last>
            <b:First>Chen</b:First>
          </b:Person>
        </b:NameList>
      </b:Author>
    </b:Author>
    <b:RefOrder>22</b:RefOrder>
  </b:Source>
  <b:Source>
    <b:Tag>Sud23</b:Tag>
    <b:SourceType>JournalArticle</b:SourceType>
    <b:Guid>{25AC3D2F-2867-4E92-A29F-7450F0C8AF6E}</b:Guid>
    <b:Title>Effects of the EU’s SKDM on Eurasian Countries</b:Title>
    <b:JournalName>İstanbul İktisat Dergisi</b:JournalName>
    <b:Year>2023</b:Year>
    <b:Author>
      <b:Author>
        <b:NameList>
          <b:Person>
            <b:Last>Sudakov</b:Last>
            <b:First>Sergei</b:First>
          </b:Person>
        </b:NameList>
      </b:Author>
    </b:Author>
    <b:RefOrder>23</b:RefOrder>
  </b:Source>
  <b:Source>
    <b:Tag>Ura21</b:Tag>
    <b:SourceType>ConferenceProceedings</b:SourceType>
    <b:Guid>{9C3E209B-6FDC-4DAF-BBDE-40570751C898}</b:Guid>
    <b:Title>The global trend towards decarbonization of the economy, the introduction of the Carbon Border Adjustment Mechanism in the EU and the possible consequences for Russia</b:Title>
    <b:Year>2021</b:Year>
    <b:Author>
      <b:Author>
        <b:NameList>
          <b:Person>
            <b:Last>Urazgaliev</b:Last>
            <b:First>Vladimir Sh</b:First>
          </b:Person>
          <b:Person>
            <b:Last>Novikov</b:Last>
            <b:First>Andrey V</b:First>
          </b:Person>
          <b:Person>
            <b:Last>Menshikova </b:Last>
            <b:First>Galina A</b:First>
          </b:Person>
        </b:NameList>
      </b:Author>
    </b:Author>
    <b:ConferenceName>lobalization and its Socio-Economic Consequences 2021</b:ConferenceName>
    <b:RefOrder>24</b:RefOrder>
  </b:Source>
  <b:Source>
    <b:Tag>Nik22</b:Tag>
    <b:SourceType>JournalArticle</b:SourceType>
    <b:Guid>{4F8CB420-8814-4715-9FAC-42F9452A07A1}</b:Guid>
    <b:Title>The Impact of the EU Carbon Border Adjustment Mechanism on Russian Exporters</b:Title>
    <b:Year>2022</b:Year>
    <b:JournalName>Journal of Corporate Finance Research</b:JournalName>
    <b:Author>
      <b:Author>
        <b:NameList>
          <b:Person>
            <b:Last>Nikiforov</b:Last>
            <b:First>Vladimir</b:First>
          </b:Person>
          <b:Person>
            <b:Last>Tikhomirov</b:Last>
            <b:First>Dmitry</b:First>
          </b:Person>
        </b:NameList>
      </b:Author>
    </b:Author>
    <b:RefOrder>25</b:RefOrder>
  </b:Source>
  <b:Source>
    <b:Tag>İme22</b:Tag>
    <b:SourceType>JournalArticle</b:SourceType>
    <b:Guid>{80F2390D-53E0-4D18-8338-89471532755C}</b:Guid>
    <b:Title>Sınırda Karbon Düzenleme Mekanizması ve Türkiye’nin İhracatına Olası Etkileri</b:Title>
    <b:JournalName>Ege Stratejik Araştırmalar Dergisi</b:JournalName>
    <b:Year>2022</b:Year>
    <b:Author>
      <b:Author>
        <b:NameList>
          <b:Person>
            <b:Last>İmer-Ertunga</b:Last>
            <b:First>Evrim</b:First>
          </b:Person>
          <b:Person>
            <b:Last>Seyhun</b:Last>
            <b:First>Ömer Kayhan</b:First>
          </b:Person>
        </b:NameList>
      </b:Author>
    </b:Author>
    <b:RefOrder>26</b:RefOrder>
  </b:Source>
  <b:Source>
    <b:Tag>Koç23</b:Tag>
    <b:SourceType>JournalArticle</b:SourceType>
    <b:Guid>{A3517281-8406-4373-8E94-D1A670A88C55}</b:Guid>
    <b:Title>Sınırda Karbon Düzenleme Mekanizmasının Türkiye - AB-27 Dış Ticaret İlişkisi Üzerine Olası Etkisi</b:Title>
    <b:JournalName>Verimlilik Dergisi</b:JournalName>
    <b:Year>2023</b:Year>
    <b:Author>
      <b:Author>
        <b:NameList>
          <b:Person>
            <b:Last>Koç</b:Last>
            <b:Middle>Ecem</b:Middle>
            <b:First>Behzat</b:First>
          </b:Person>
          <b:Person>
            <b:Last>Kaynak</b:Last>
            <b:First>Selehattin</b:First>
          </b:Person>
        </b:NameList>
      </b:Author>
    </b:Author>
    <b:RefOrder>27</b:RefOrder>
  </b:Source>
  <b:Source>
    <b:Tag>Eur233</b:Tag>
    <b:SourceType>Report</b:SourceType>
    <b:Guid>{23359618-C08C-4BBA-A701-77BCCA67D202}</b:Guid>
    <b:Title>Potential Impact of the Carbon Border Adjustment Mechanism on the Turkish Economy</b:Title>
    <b:Year>2023</b:Year>
    <b:Author>
      <b:Author>
        <b:Corporate>EuropeanBank, T.C. Çevre,Şehircilik ve İklim Değişikliği Bakanlığı</b:Corporate>
      </b:Author>
    </b:Author>
    <b:RefOrder>28</b:RefOrder>
  </b:Source>
  <b:Source>
    <b:Tag>Der23</b:Tag>
    <b:SourceType>JournalArticle</b:SourceType>
    <b:Guid>{45D9586A-630A-468E-A7B1-D9F2E20EC2D5}</b:Guid>
    <b:Title>Modern Tarife Dışı Engel Olarak Sınırda Karbon Düzenleme Mekanizması</b:Title>
    <b:Year>2023</b:Year>
    <b:JournalName>Gümrük Ticaret Dergisi</b:JournalName>
    <b:Author>
      <b:Author>
        <b:NameList>
          <b:Person>
            <b:Last>Derindağ</b:Last>
            <b:First>Ömer Faruk</b:First>
          </b:Person>
          <b:Person>
            <b:Last>Özsalman</b:Last>
            <b:First>Emre</b:First>
          </b:Person>
        </b:NameList>
      </b:Author>
    </b:Author>
    <b:RefOrder>29</b:RefOrder>
  </b:Source>
  <b:Source>
    <b:Tag>Uni21</b:Tag>
    <b:SourceType>Report</b:SourceType>
    <b:Guid>{ACB4A2D9-BCA3-4A2A-822A-EE005D6673E5}</b:Guid>
    <b:Author>
      <b:Author>
        <b:Corporate>United Nations Conference on Trade and Development – UNCTAD</b:Corporate>
      </b:Author>
    </b:Author>
    <b:Title>A European Union Carbon Border Adjustment Mechanism: Implications for developing countries</b:Title>
    <b:Year>2021</b:Year>
    <b:Publisher>United Nations (UNCTAD)</b:Publisher>
    <b:RefOrder>30</b:RefOrder>
  </b:Source>
  <b:Source>
    <b:Tag>Bek24</b:Tag>
    <b:SourceType>JournalArticle</b:SourceType>
    <b:Guid>{3A00CBBB-FD7E-4083-AD82-DD9190BB2CC4}</b:Guid>
    <b:Title>Carbon Leakage Concept after Carbon Pricing &amp; Green Deal Policies</b:Title>
    <b:Year>2024</b:Year>
    <b:JournalName>Ekonomi,İşletme ve Maliye Araştırmaları Dergisi</b:JournalName>
    <b:Author>
      <b:Author>
        <b:NameList>
          <b:Person>
            <b:Last>Bektaş</b:Last>
            <b:First>Abdulkadir</b:First>
          </b:Person>
          <b:Person>
            <b:Last>Moralı</b:Last>
            <b:First>Eyüp</b:First>
            <b:Middle>Kağan</b:Middle>
          </b:Person>
          <b:Person>
            <b:Last>Aktaş</b:Last>
            <b:First>Aygün</b:First>
          </b:Person>
        </b:NameList>
      </b:Author>
    </b:Author>
    <b:RefOrder>31</b:RefOrder>
  </b:Source>
  <b:Source>
    <b:Tag>Gün23</b:Tag>
    <b:SourceType>Misc</b:SourceType>
    <b:Guid>{D64DAF46-8426-4DE9-A07A-21CEEDD8B324}</b:Guid>
    <b:Title>Eu's Carbon Border Adjustment Mechanism And Its Impact On Türkiye's Exports To The Eu</b:Title>
    <b:Year>2023</b:Year>
    <b:Author>
      <b:Author>
        <b:NameList>
          <b:Person>
            <b:Last>Güner</b:Last>
            <b:First>Üsame</b:First>
          </b:Person>
        </b:NameList>
      </b:Author>
    </b:Author>
    <b:RefOrder>32</b:RefOrder>
  </b:Source>
  <b:Source>
    <b:Tag>Eke241</b:Tag>
    <b:SourceType>JournalArticle</b:SourceType>
    <b:Guid>{89CF9812-95CF-4B5F-A2A1-C0DEFC0E5FA9}</b:Guid>
    <b:Title>Sınırda Karbon Düzenlemesi Mekanizmasının Türkiye’nin AB İhracatına Olası Etkiler</b:Title>
    <b:Year>2024</b:Year>
    <b:City>Ankara</b:City>
    <b:JournalName>Başkent Üniversitesi Ticari Bilimler Fakültesi Dergisi</b:JournalName>
    <b:Pages>1-15</b:Pages>
    <b:Author>
      <b:Author>
        <b:NameList>
          <b:Person>
            <b:Last>Eker</b:Last>
            <b:Middle>Adnan</b:Middle>
            <b:First>Ahmet</b:First>
          </b:Person>
          <b:Person>
            <b:Last>Yazıcı</b:Last>
            <b:First>Didem</b:First>
          </b:Person>
        </b:NameList>
      </b:Author>
    </b:Author>
    <b:Volume>8</b:Volume>
    <b:Issue>1</b:Issue>
    <b:RefOrder>33</b:RefOrder>
  </b:Source>
  <b:Source>
    <b:Tag>Wor18</b:Tag>
    <b:SourceType>Report</b:SourceType>
    <b:Guid>{EBB58A2C-D9F8-410A-87E1-004AA736CE8D}</b:Guid>
    <b:Title>Türkiye'de Karbon Fiyatlandırma Politikaları Kapsamında Karbon Kaçağı Riskinin Değerlendirilmesi </b:Title>
    <b:Year>2018</b:Year>
    <b:Author>
      <b:Author>
        <b:Corporate>WorldBank, T.C. Çevre,Şehircilik ve İklim Değişikliği Bakanlığı</b:Corporate>
      </b:Author>
    </b:Author>
    <b:RefOrder>34</b:RefOrder>
  </b:Source>
  <b:Source>
    <b:Tag>Leo211</b:Tag>
    <b:SourceType>JournalArticle</b:SourceType>
    <b:Guid>{BFDF104A-B53A-40E7-A00A-DBEF467ADF9E}</b:Guid>
    <b:Title>The geopolitics of the European Green Deal</b:Title>
    <b:Year>2021</b:Year>
    <b:JournalName>Bruegel</b:JournalName>
    <b:Author>
      <b:Author>
        <b:NameList>
          <b:Person>
            <b:Last>Leonard</b:Last>
            <b:First>Mark</b:First>
          </b:Person>
          <b:Person>
            <b:Last>Pisani-Ferry</b:Last>
            <b:First>Jean</b:First>
          </b:Person>
          <b:Person>
            <b:Last>Shapiro</b:Last>
            <b:First>Jeremy</b:First>
          </b:Person>
          <b:Person>
            <b:Last>Tagliapietra</b:Last>
            <b:First>Simone</b:First>
          </b:Person>
          <b:Person>
            <b:Last>Wolf</b:Last>
            <b:First>Guntram</b:First>
          </b:Person>
        </b:NameList>
      </b:Author>
    </b:Author>
    <b:RefOrder>35</b:RefOrder>
  </b:Source>
  <b:Source>
    <b:Tag>Huf22</b:Tag>
    <b:SourceType>JournalArticle</b:SourceType>
    <b:Guid>{07A8CB79-F2D9-4ACB-9661-58BFF83B3598}</b:Guid>
    <b:Title>EU Carbon Border Adjustment Mechanism Faces Many Challenges</b:Title>
    <b:JournalName>Peterson Institute for International Economics Policy Brief </b:JournalName>
    <b:Year>2022</b:Year>
    <b:Author>
      <b:Author>
        <b:NameList>
          <b:Person>
            <b:Last>Hufbauer</b:Last>
            <b:Middle>Clyde</b:Middle>
            <b:First>Gary </b:First>
          </b:Person>
          <b:Person>
            <b:Last>Schott</b:Last>
            <b:First>Jeffrey J. </b:First>
          </b:Person>
          <b:Person>
            <b:Last>Hogan</b:Last>
            <b:First>Megan</b:First>
          </b:Person>
          <b:Person>
            <b:Last>Kim</b:Last>
            <b:First>Jisun</b:First>
          </b:Person>
        </b:NameList>
      </b:Author>
    </b:Author>
    <b:RefOrder>36</b:RefOrder>
  </b:Source>
  <b:Source>
    <b:Tag>Zha20</b:Tag>
    <b:SourceType>JournalArticle</b:SourceType>
    <b:Guid>{82D2754C-0D3D-455A-A317-8621D362B8BC}</b:Guid>
    <b:Title>Emissions trading systems for global low carbon energy and economic transformation</b:Title>
    <b:Year>2020</b:Year>
    <b:Month>Aralık</b:Month>
    <b:Day>1</b:Day>
    <b:URL>https://www.sciencedirect.com/science/article/pii/S0306261920313325</b:URL>
    <b:Author>
      <b:Author>
        <b:NameList>
          <b:Person>
            <b:Last> Zhang</b:Last>
            <b:First>Xiliang </b:First>
          </b:Person>
          <b:Person>
            <b:Last>Löschel</b:Last>
            <b:First>Andreas </b:First>
          </b:Person>
          <b:Person>
            <b:Last> Lewis</b:Last>
            <b:First>Joanna</b:First>
          </b:Person>
          <b:Person>
            <b:Last>Zhang</b:Last>
            <b:First>Da</b:First>
          </b:Person>
          <b:Person>
            <b:Last>Yan</b:Last>
            <b:First>Jinyue</b:First>
          </b:Person>
        </b:NameList>
      </b:Author>
    </b:Author>
    <b:JournalName>Applied Energy</b:JournalName>
    <b:Issue>279</b:Issue>
    <b:YearAccessed>2024</b:YearAccessed>
    <b:MonthAccessed>Eylül</b:MonthAccessed>
    <b:DayAccessed>15</b:DayAccessed>
    <b:DOI>2020.115858</b:DOI>
    <b:RefOrder>37</b:RefOrder>
  </b:Source>
  <b:Source>
    <b:Tag>Uyd</b:Tag>
    <b:SourceType>JournalArticle</b:SourceType>
    <b:Guid>{386FE4C1-695C-4A2C-BF2E-18DCAFE7D948}</b:Guid>
    <b:Title>Avrupa Yeşil Mutabakatı’na Uyum Çerçevesinde Türkiye’deki İşletmelerin Emisyon Ticaretine Verdikleri Desteği Etkileyen Faktörler</b:Title>
    <b:JournalName>Ankara Avrupa Çalışmaları Dergisi</b:JournalName>
    <b:Author>
      <b:Author>
        <b:NameList>
          <b:Person>
            <b:Last>Uyduranoğlu </b:Last>
            <b:First>Ayşe</b:First>
          </b:Person>
          <b:Person>
            <b:Last>Gevrek</b:Last>
            <b:Middle>Eylem</b:Middle>
            <b:First>Zahide</b:First>
          </b:Person>
          <b:Person>
            <b:Last>Acar</b:Last>
            <b:First>Sevil</b:First>
          </b:Person>
        </b:NameList>
      </b:Author>
    </b:Author>
    <b:Year>2023</b:Year>
    <b:Pages>257-289</b:Pages>
    <b:Volume>22</b:Volume>
    <b:Issue>1</b:Issue>
    <b:YearAccessed>2024</b:YearAccessed>
    <b:MonthAccessed>Ekim</b:MonthAccessed>
    <b:DayAccessed>15</b:DayAccessed>
    <b:URL>https://dergipark.org.tr/tr/pub/aacd/issue/78953/1327099</b:URL>
    <b:RefOrder>38</b:RefOrder>
  </b:Source>
  <b:Source>
    <b:Tag>Leo21</b:Tag>
    <b:SourceType>Report</b:SourceType>
    <b:Guid>{DE1B2340-5059-4646-ACA1-780F8A423C6C}</b:Guid>
    <b:Title>The geopolitics of the European Green Deal</b:Title>
    <b:Year>2021</b:Year>
    <b:Publisher>Bruegel</b:Publisher>
    <b:Author>
      <b:Author>
        <b:NameList>
          <b:Person>
            <b:Last>Leonard</b:Last>
            <b:First>Mark</b:First>
          </b:Person>
          <b:Person>
            <b:Last>Ferry</b:Last>
            <b:Middle>Pisani</b:Middle>
            <b:First>Jean </b:First>
          </b:Person>
          <b:Person>
            <b:Last>Shapiro</b:Last>
            <b:First>Jeremy</b:First>
          </b:Person>
          <b:Person>
            <b:Last>Tagliapietra</b:Last>
            <b:First>Simone </b:First>
          </b:Person>
          <b:Person>
            <b:Last>Wolf</b:Last>
            <b:First>Guntram</b:First>
          </b:Person>
        </b:NameList>
      </b:Author>
    </b:Author>
    <b:YearAccessed>2024</b:YearAccessed>
    <b:MonthAccessed>Ekim</b:MonthAccessed>
    <b:DayAccessed>17</b:DayAccessed>
    <b:URL>https://www.bruegel.org/</b:URL>
    <b:RefOrder>39</b:RefOrder>
  </b:Source>
  <b:Source>
    <b:Tag>Ali16</b:Tag>
    <b:SourceType>JournalArticle</b:SourceType>
    <b:Guid>{25E29281-5054-452B-8171-35079FA4A9D7}</b:Guid>
    <b:Title>Küresel Isınmayı Önleme Sürecinde Uygulanan Piyasa Temelli İktisadi Araçlar: Karbon Ticareti ve Karbon Vergisi</b:Title>
    <b:JournalName>Uluslararası Yönetim İktisat ve İşletme Dergisi</b:JournalName>
    <b:Year>2016</b:Year>
    <b:Pages>382-401</b:Pages>
    <b:Author>
      <b:Author>
        <b:NameList>
          <b:Person>
            <b:Last>Aliusta</b:Last>
            <b:First>Hakan</b:First>
          </b:Person>
          <b:Person>
            <b:Last>Yılmaz </b:Last>
            <b:First>Baki</b:First>
          </b:Person>
          <b:Person>
            <b:Last>Kırlıoğlu</b:Last>
            <b:First>Hilmi</b:First>
          </b:Person>
        </b:NameList>
      </b:Author>
    </b:Author>
    <b:Issue>ICAFR 16 Özel sayı</b:Issue>
    <b:RefOrder>40</b:RefOrder>
  </b:Source>
  <b:Source>
    <b:Tag>Sağ86</b:Tag>
    <b:SourceType>Book</b:SourceType>
    <b:Guid>{7B794169-2F00-4DF4-82CB-0891BE3F67C2}</b:Guid>
    <b:Title>Rekreasyon ve turizm</b:Title>
    <b:Year>1986</b:Year>
    <b:City>İzmir</b:City>
    <b:Publisher>Cumhuriyet Basımevi</b:Publisher>
    <b:Author>
      <b:Author>
        <b:NameList>
          <b:Person>
            <b:Last>Sağcan</b:Last>
            <b:First>M</b:First>
          </b:Person>
        </b:NameList>
      </b:Author>
    </b:Author>
    <b:RefOrder>1</b:RefOrder>
  </b:Source>
  <b:Source>
    <b:Tag>Tüt12</b:Tag>
    <b:SourceType>JournalArticle</b:SourceType>
    <b:Guid>{7356A20A-CC3D-4A39-9840-626BB66E4753}</b:Guid>
    <b:Title>Rekreasyon ve rekreasyon terapisinin yaşam kalitesindeki rolü</b:Title>
    <b:JournalName>Anatolia: Turizm Araştırmaları Dergisi</b:JournalName>
    <b:Year>2012</b:Year>
    <b:Pages>248-252</b:Pages>
    <b:Author>
      <b:Author>
        <b:NameList>
          <b:Person>
            <b:Last>Tütüncü</b:Last>
            <b:First>Ö</b:First>
          </b:Person>
        </b:NameList>
      </b:Author>
    </b:Author>
    <b:Volume>23</b:Volume>
    <b:Issue>2</b:Issue>
    <b:RefOrder>2</b:RefOrder>
  </b:Source>
  <b:Source>
    <b:Tag>Ağı22</b:Tag>
    <b:SourceType>JournalArticle</b:SourceType>
    <b:Guid>{EFA623F2-B134-4D34-A0FA-D98CC0887663}</b:Guid>
    <b:Title>Finans ve finansal hizmetlerin geleceği: Metaverse</b:Title>
    <b:JournalName>Avrasya Sosyal ve Ekonomi Araştırmaları Dergisi</b:JournalName>
    <b:Year>2022</b:Year>
    <b:Pages>329-346</b:Pages>
    <b:Author>
      <b:Author>
        <b:NameList>
          <b:Person>
            <b:Last>Ağırman</b:Last>
            <b:First>Ensar</b:First>
          </b:Person>
          <b:Person>
            <b:Last>Barakalı</b:Last>
            <b:Middle>Can</b:Middle>
            <b:First>Osman</b:First>
          </b:Person>
        </b:NameList>
      </b:Author>
    </b:Author>
    <b:Volume>9</b:Volume>
    <b:Issue>2</b:Issue>
    <b:URL>https://dergipark.org.tr/en/pub/asead/issue/69756/1105440</b:URL>
    <b:RefOrder>3</b:RefOrder>
  </b:Source>
  <b:Source>
    <b:Tag>Mys22</b:Tag>
    <b:SourceType>JournalArticle</b:SourceType>
    <b:Guid>{D6ED8F67-D763-4A3D-922D-D6C50D2C8927}</b:Guid>
    <b:Title>Metaverse</b:Title>
    <b:JournalName>Encyclopedia</b:JournalName>
    <b:Year>2022</b:Year>
    <b:Pages>486-497</b:Pages>
    <b:Author>
      <b:Author>
        <b:NameList>
          <b:Person>
            <b:Last>Mystakidis</b:Last>
            <b:First>S</b:First>
          </b:Person>
        </b:NameList>
      </b:Author>
    </b:Author>
    <b:Volume>2</b:Volume>
    <b:Issue>1</b:Issue>
    <b:URL>https://doi.org/10.3390/encyclopedia2010031</b:URL>
    <b:RefOrder>4</b:RefOrder>
  </b:Source>
  <b:Source>
    <b:Tag>Mil95</b:Tag>
    <b:SourceType>JournalArticle</b:SourceType>
    <b:Guid>{EC89345F-6840-4C00-B8FF-054EAD1A7946}</b:Guid>
    <b:Title>Augmented reality: A class of displays on the reality-virtuality continuum</b:Title>
    <b:JournalName>In Telemanipulator and telepresence technologies</b:JournalName>
    <b:Year>1995</b:Year>
    <b:Pages>282-292</b:Pages>
    <b:Author>
      <b:Author>
        <b:NameList>
          <b:Person>
            <b:Last>Milgram</b:Last>
            <b:First>P</b:First>
          </b:Person>
          <b:Person>
            <b:Last>Takemura</b:Last>
            <b:First>H</b:First>
          </b:Person>
          <b:Person>
            <b:Last>Utsumi</b:Last>
            <b:First>A</b:First>
          </b:Person>
          <b:Person>
            <b:Last>Kishino</b:Last>
            <b:First>F</b:First>
          </b:Person>
        </b:NameList>
      </b:Author>
    </b:Author>
    <b:Volume>2351</b:Volume>
    <b:RefOrder>5</b:RefOrder>
  </b:Source>
  <b:Source>
    <b:Tag>Sla16</b:Tag>
    <b:SourceType>JournalArticle</b:SourceType>
    <b:Guid>{FFAB67EA-2238-47FE-A8EE-8875354101FB}</b:Guid>
    <b:Title>Enhancing our lives with immersive virtual reality</b:Title>
    <b:JournalName>Frontiers in Robotics and AI</b:JournalName>
    <b:Year>2016</b:Year>
    <b:Author>
      <b:Author>
        <b:NameList>
          <b:Person>
            <b:Last>Slater</b:Last>
            <b:First>M</b:First>
          </b:Person>
          <b:Person>
            <b:Last>Sanchez-Vives</b:Last>
            <b:Middle>V</b:Middle>
            <b:First>M</b:First>
          </b:Person>
        </b:NameList>
      </b:Author>
    </b:Author>
    <b:Volume>3</b:Volume>
    <b:Issue>74</b:Issue>
    <b:RefOrder>6</b:RefOrder>
  </b:Source>
  <b:Source>
    <b:Tag>Pel201</b:Tag>
    <b:SourceType>JournalArticle</b:SourceType>
    <b:Guid>{C27E1BA6-CEA6-4D52-A0DB-1540243FF615}</b:Guid>
    <b:Title>A scoping review of immersive virtual reality in STEM education</b:Title>
    <b:JournalName>IEEE Transactions on Learning Technologies</b:JournalName>
    <b:Year>2020</b:Year>
    <b:Pages>748-761</b:Pages>
    <b:Author>
      <b:Author>
        <b:NameList>
          <b:Person>
            <b:Last>Pellas</b:Last>
            <b:First>N</b:First>
          </b:Person>
          <b:Person>
            <b:Last>Dengel</b:Last>
            <b:First>A</b:First>
          </b:Person>
          <b:Person>
            <b:Last>Christopoulos</b:Last>
            <b:First>A</b:First>
          </b:Person>
        </b:NameList>
      </b:Author>
    </b:Author>
    <b:Volume>13</b:Volume>
    <b:Issue>4</b:Issue>
    <b:DOI>10.1109/TLT.2020.3019405</b:DOI>
    <b:RefOrder>7</b:RefOrder>
  </b:Source>
  <b:Source>
    <b:Tag>Pel21</b:Tag>
    <b:SourceType>JournalArticle</b:SourceType>
    <b:Guid>{9EAABBB9-7D38-4F2E-9F35-C5886FD30FBC}</b:Guid>
    <b:Title>Immersive Virtual Reality in K-12 and Higher Education: A systematic review of the last decade scientific literature</b:Title>
    <b:JournalName>Virtual Reality</b:JournalName>
    <b:Year>2021</b:Year>
    <b:Pages>835-861</b:Pages>
    <b:Author>
      <b:Author>
        <b:NameList>
          <b:Person>
            <b:Last>Pellas</b:Last>
            <b:First>N</b:First>
          </b:Person>
          <b:Person>
            <b:Last>Mystakidis</b:Last>
            <b:First>S</b:First>
          </b:Person>
          <b:Person>
            <b:Last>Kazanidis</b:Last>
            <b:First>I</b:First>
          </b:Person>
        </b:NameList>
      </b:Author>
    </b:Author>
    <b:Volume>25</b:Volume>
    <b:Issue>3</b:Issue>
    <b:RefOrder>8</b:RefOrder>
  </b:Source>
  <b:Source>
    <b:Tag>Ibá18</b:Tag>
    <b:SourceType>JournalArticle</b:SourceType>
    <b:Guid>{9DDBF750-FBC5-4555-97F2-7557A40B2390}</b:Guid>
    <b:Title>Augmented reality for STEM learning: A systematic review</b:Title>
    <b:JournalName>Computers &amp; Education</b:JournalName>
    <b:Year>2018</b:Year>
    <b:Pages>109-123</b:Pages>
    <b:Author>
      <b:Author>
        <b:NameList>
          <b:Person>
            <b:Last>Ibáñez</b:Last>
            <b:Middle>B</b:Middle>
            <b:First>M</b:First>
          </b:Person>
          <b:Person>
            <b:Last>Delgado-Kloos</b:Last>
            <b:First>C</b:First>
          </b:Person>
        </b:NameList>
      </b:Author>
    </b:Author>
    <b:Volume>123</b:Volume>
    <b:RefOrder>9</b:RefOrder>
  </b:Source>
  <b:Source>
    <b:Tag>Mys221</b:Tag>
    <b:SourceType>JournalArticle</b:SourceType>
    <b:Guid>{9064C130-7A7A-4DDA-B43A-10C1A60BBCCC}</b:Guid>
    <b:Title>A systematic mapping review of augmented reality applications to support STEM learning in higher education</b:Title>
    <b:JournalName>Education and Information Technologies</b:JournalName>
    <b:Year>2022</b:Year>
    <b:Pages>1883-1927</b:Pages>
    <b:Author>
      <b:Author>
        <b:NameList>
          <b:Person>
            <b:Last>Mystakidis</b:Last>
            <b:First>S</b:First>
          </b:Person>
          <b:Person>
            <b:Last>Mystakidis</b:Last>
            <b:First>A</b:First>
          </b:Person>
          <b:Person>
            <b:Last>Pellas</b:Last>
            <b:First>N</b:First>
          </b:Person>
        </b:NameList>
      </b:Author>
    </b:Author>
    <b:Volume>27</b:Volume>
    <b:Issue>2</b:Issue>
    <b:RefOrder>10</b:RefOrder>
  </b:Source>
  <b:Source>
    <b:Tag>Klo08</b:Tag>
    <b:SourceType>Book</b:SourceType>
    <b:Guid>{A953EB8F-2486-48C2-9DF4-5203F7C6FEFE}</b:Guid>
    <b:Title>Augmented learning: Research and design of mobile educational games</b:Title>
    <b:Year>2008</b:Year>
    <b:Publisher>MIT press</b:Publisher>
    <b:Author>
      <b:Author>
        <b:NameList>
          <b:Person>
            <b:Last>Klopfer</b:Last>
            <b:First>E</b:First>
          </b:Person>
        </b:NameList>
      </b:Author>
    </b:Author>
    <b:RefOrder>11</b:RefOrder>
  </b:Source>
  <b:Source>
    <b:Tag>Lee242</b:Tag>
    <b:SourceType>JournalArticle</b:SourceType>
    <b:Guid>{8026E91C-4659-434A-B732-57FFD8C5E679}</b:Guid>
    <b:Title>All one needs to know about metaverse: A complete survey on technological singularity, virtual ecosystem, and research agenda</b:Title>
    <b:Year>2024</b:Year>
    <b:JournalName>Foundations and trends® in human-computer interaction</b:JournalName>
    <b:Pages>100-337</b:Pages>
    <b:Author>
      <b:Author>
        <b:NameList>
          <b:Person>
            <b:Last>Lee</b:Last>
            <b:Middle>H</b:Middle>
            <b:First>L</b:First>
          </b:Person>
          <b:Person>
            <b:Last>Braud</b:Last>
            <b:First>T</b:First>
          </b:Person>
          <b:Person>
            <b:Last>Zhou</b:Last>
            <b:Middle>Y</b:Middle>
            <b:First>P</b:First>
          </b:Person>
          <b:Person>
            <b:Last>Wang</b:Last>
            <b:First>L</b:First>
          </b:Person>
          <b:Person>
            <b:Last>Xu</b:Last>
            <b:First>D</b:First>
          </b:Person>
          <b:Person>
            <b:Last>Lin</b:Last>
            <b:First>Z</b:First>
          </b:Person>
          <b:Person>
            <b:Last>Kumar</b:Last>
            <b:First>A</b:First>
          </b:Person>
          <b:Person>
            <b:Last>Bermejo</b:Last>
            <b:First>C</b:First>
          </b:Person>
          <b:Person>
            <b:Last>Hui</b:Last>
            <b:First>P</b:First>
          </b:Person>
        </b:NameList>
      </b:Author>
    </b:Author>
    <b:Volume>18</b:Volume>
    <b:Issue>2-3</b:Issue>
    <b:URL>http://dx.doi.org/10.1561/1100000095</b:URL>
    <b:RefOrder>12</b:RefOrder>
  </b:Source>
  <b:Source>
    <b:Tag>Lim22</b:Tag>
    <b:SourceType>JournalArticle</b:SourceType>
    <b:Guid>{29BEB153-BA14-4556-9E07-06BCCA4B3B5C}</b:Guid>
    <b:Title>Realizing the metaverse with edge intelligence: A match made in heaven</b:Title>
    <b:JournalName>IEEE Wireless Communications</b:JournalName>
    <b:Year>2022</b:Year>
    <b:Pages>64-71</b:Pages>
    <b:Author>
      <b:Author>
        <b:NameList>
          <b:Person>
            <b:Last>Lim</b:Last>
            <b:Middle>Y. B</b:Middle>
            <b:First>W</b:First>
          </b:Person>
          <b:Person>
            <b:Last>Xiong</b:Last>
            <b:First>Z</b:First>
          </b:Person>
          <b:Person>
            <b:Last>Niyato</b:Last>
            <b:First>D</b:First>
          </b:Person>
          <b:Person>
            <b:Last>Cao</b:Last>
            <b:First>X</b:First>
          </b:Person>
          <b:Person>
            <b:Last>Miao</b:Last>
            <b:First>C</b:First>
          </b:Person>
          <b:Person>
            <b:Last>Sun</b:Last>
            <b:First>S</b:First>
          </b:Person>
          <b:Person>
            <b:Last>Yang</b:Last>
            <b:First>Q</b:First>
          </b:Person>
        </b:NameList>
      </b:Author>
    </b:Author>
    <b:Volume>30</b:Volume>
    <b:Issue>4</b:Issue>
    <b:RefOrder>13</b:RefOrder>
  </b:Source>
  <b:Source>
    <b:Tag>Wan221</b:Tag>
    <b:SourceType>JournalArticle</b:SourceType>
    <b:Guid>{1AB9C7C6-3A0A-4411-8B4C-A88E0BC15E6C}</b:Guid>
    <b:Title>A survey on metaverse: Fundamentals, security, and privacy</b:Title>
    <b:JournalName>IEEE communications surveys &amp; tutorials</b:JournalName>
    <b:Year>2022</b:Year>
    <b:Pages>319-352</b:Pages>
    <b:Author>
      <b:Author>
        <b:NameList>
          <b:Person>
            <b:Last>Wang</b:Last>
            <b:First>Y</b:First>
          </b:Person>
          <b:Person>
            <b:Last>Su</b:Last>
            <b:First>Z</b:First>
          </b:Person>
          <b:Person>
            <b:Last>Zhang</b:Last>
            <b:First>N</b:First>
          </b:Person>
          <b:Person>
            <b:Last>Xing</b:Last>
            <b:First>R</b:First>
          </b:Person>
          <b:Person>
            <b:Last>Liu</b:Last>
            <b:First>D</b:First>
          </b:Person>
          <b:Person>
            <b:Last>Luan</b:Last>
            <b:Middle>H</b:Middle>
            <b:First>T</b:First>
          </b:Person>
          <b:Person>
            <b:Last>Shen</b:Last>
            <b:First>X</b:First>
          </b:Person>
        </b:NameList>
      </b:Author>
    </b:Author>
    <b:Volume>25</b:Volume>
    <b:Issue>1</b:Issue>
    <b:DOI>10.1109/COMST.2022.3202047</b:DOI>
    <b:RefOrder>14</b:RefOrder>
  </b:Source>
  <b:Source>
    <b:Tag>Lee07</b:Tag>
    <b:SourceType>BookSection</b:SourceType>
    <b:Guid>{844F5AD7-3817-4605-873B-48DA7CA9E520}</b:Guid>
    <b:Title>Privacy in the metaverse: Regulating a complex social construct in a virtual world</b:Title>
    <b:JournalName>In IFIP international Summer School on the future of identity in the information society</b:JournalName>
    <b:Year>2007</b:Year>
    <b:Pages>95-112</b:Pages>
    <b:Author>
      <b:Author>
        <b:NameList>
          <b:Person>
            <b:Last>Leenes</b:Last>
            <b:First>R</b:First>
          </b:Person>
        </b:NameList>
      </b:Author>
    </b:Author>
    <b:City>Boston</b:City>
    <b:Publisher>Springer </b:Publisher>
    <b:BookTitle>In IFIP international Summer School on the future of identity in the information society</b:BookTitle>
    <b:RefOrder>15</b:RefOrder>
  </b:Source>
  <b:Source>
    <b:Tag>Sha20</b:Tag>
    <b:SourceType>JournalArticle</b:SourceType>
    <b:Guid>{DB72E307-4A6C-4B87-ADB6-4113CF38D4F4}</b:Guid>
    <b:Title>ARSpy: Breaking location-based multi-player augmented reality application for user location tracking</b:Title>
    <b:Year>2020</b:Year>
    <b:Pages>433-447</b:Pages>
    <b:JournalName>IEEE Transactions on Mobile Computing</b:JournalName>
    <b:Author>
      <b:Author>
        <b:NameList>
          <b:Person>
            <b:Last>Shang</b:Last>
            <b:First>J</b:First>
          </b:Person>
          <b:Person>
            <b:Last>Chen</b:Last>
            <b:First>S</b:First>
          </b:Person>
          <b:Person>
            <b:Last>Wu</b:Last>
            <b:First>J</b:First>
          </b:Person>
          <b:Person>
            <b:Last>Yin</b:Last>
            <b:First>S</b:First>
          </b:Person>
        </b:NameList>
      </b:Author>
    </b:Author>
    <b:Volume>21</b:Volume>
    <b:Issue>2</b:Issue>
    <b:RefOrder>16</b:RefOrder>
  </b:Source>
  <b:Source>
    <b:Tag>Dio131</b:Tag>
    <b:SourceType>JournalArticle</b:SourceType>
    <b:Guid>{99CB0DFF-CAE7-4D22-B3F6-FCBC3D9BAEAB}</b:Guid>
    <b:Title>3D virtual worlds and the metaverse: Current status and future possibilities</b:Title>
    <b:JournalName>ACM computing surveys (CSUR)</b:JournalName>
    <b:Year>2013</b:Year>
    <b:Pages>1-38</b:Pages>
    <b:Author>
      <b:Author>
        <b:NameList>
          <b:Person>
            <b:Last>Dionisio</b:Last>
            <b:Middle>D. N</b:Middle>
            <b:First>J</b:First>
          </b:Person>
          <b:Person>
            <b:Last>Lii</b:Last>
            <b:Middle>G. B</b:Middle>
            <b:First>W</b:First>
          </b:Person>
          <b:Person>
            <b:Last>Gilbert</b:Last>
            <b:First>R</b:First>
          </b:Person>
        </b:NameList>
      </b:Author>
    </b:Author>
    <b:Volume>45</b:Volume>
    <b:Issue>3</b:Issue>
    <b:RefOrder>17</b:RefOrder>
  </b:Source>
  <b:Source>
    <b:Tag>Yan22</b:Tag>
    <b:SourceType>JournalArticle</b:SourceType>
    <b:Guid>{56838ACD-3DBD-428B-8D69-140013FBD00F}</b:Guid>
    <b:Title>Fusing blockchain and AI with metaverse: A survey</b:Title>
    <b:JournalName>IEEE Open Journal of the Computer Society</b:JournalName>
    <b:Year>2022</b:Year>
    <b:Pages>122-136</b:Pages>
    <b:Author>
      <b:Author>
        <b:NameList>
          <b:Person>
            <b:Last>Yang</b:Last>
            <b:First>Q</b:First>
          </b:Person>
          <b:Person>
            <b:Last>Zhao</b:Last>
            <b:First>Y</b:First>
          </b:Person>
          <b:Person>
            <b:Last>Huang</b:Last>
            <b:First>H</b:First>
          </b:Person>
          <b:Person>
            <b:Last>Xiong</b:Last>
            <b:First>Z</b:First>
          </b:Person>
          <b:Person>
            <b:Last>Kang</b:Last>
            <b:First>J</b:First>
          </b:Person>
          <b:Person>
            <b:Last>Zheng</b:Last>
            <b:First>Z</b:First>
          </b:Person>
        </b:NameList>
      </b:Author>
    </b:Author>
    <b:Volume>3</b:Volume>
    <b:RefOrder>18</b:RefOrder>
  </b:Source>
  <b:Source>
    <b:Tag>Huy23</b:Tag>
    <b:SourceType>JournalArticle</b:SourceType>
    <b:Guid>{C6677975-7966-4893-81C0-580E1E9B2436}</b:Guid>
    <b:Title>Artificial intelligence for the metaverse: A survey</b:Title>
    <b:JournalName>Engineering Applications of Artificial Intelligence</b:JournalName>
    <b:Year>2023</b:Year>
    <b:Pages>105581</b:Pages>
    <b:Author>
      <b:Author>
        <b:NameList>
          <b:Person>
            <b:Last>Huynh-The</b:Last>
            <b:First>T</b:First>
          </b:Person>
          <b:Person>
            <b:Last>Pham</b:Last>
            <b:Middle>V</b:Middle>
            <b:First>Q</b:First>
          </b:Person>
          <b:Person>
            <b:Last>Pham</b:Last>
            <b:Middle>Q</b:Middle>
            <b:First>X</b:First>
          </b:Person>
          <b:Person>
            <b:Last>Nguyen</b:Last>
            <b:Middle>T</b:Middle>
            <b:First>T</b:First>
          </b:Person>
          <b:Person>
            <b:Last>Han</b:Last>
            <b:First>Z</b:First>
          </b:Person>
          <b:Person>
            <b:Last>Kim</b:Last>
            <b:Middle>S</b:Middle>
            <b:First>D</b:First>
          </b:Person>
        </b:NameList>
      </b:Author>
    </b:Author>
    <b:Volume>117</b:Volume>
    <b:RefOrder>19</b:RefOrder>
  </b:Source>
  <b:Source>
    <b:Tag>Nin21</b:Tag>
    <b:SourceType>JournalArticle</b:SourceType>
    <b:Guid>{6F87109F-5E07-4CBC-AB1D-BE990D17BEEC}</b:Guid>
    <b:Title>A survey on metaverse: The state-of-the-art, technologies, applications, and challenges</b:Title>
    <b:JournalName>arXiv</b:JournalName>
    <b:Year>2021</b:Year>
    <b:Author>
      <b:Author>
        <b:NameList>
          <b:Person>
            <b:Last>Ning</b:Last>
            <b:First>H</b:First>
          </b:Person>
          <b:Person>
            <b:Last>Wang</b:Last>
            <b:First>H</b:First>
          </b:Person>
          <b:Person>
            <b:Last>Lin</b:Last>
            <b:First>Y</b:First>
          </b:Person>
          <b:Person>
            <b:Last>Wang</b:Last>
            <b:First>W</b:First>
          </b:Person>
          <b:Person>
            <b:Last>Dhelim</b:Last>
            <b:First>S</b:First>
          </b:Person>
          <b:Person>
            <b:Last>Farha</b:Last>
            <b:First>F</b:First>
          </b:Person>
          <b:Person>
            <b:Last>Ding</b:Last>
            <b:First>J</b:First>
          </b:Person>
          <b:Person>
            <b:Last>Daneshmand</b:Last>
            <b:First>M</b:First>
          </b:Person>
        </b:NameList>
      </b:Author>
    </b:Author>
    <b:RefOrder>20</b:RefOrder>
  </b:Source>
  <b:Source>
    <b:Tag>Par22</b:Tag>
    <b:SourceType>JournalArticle</b:SourceType>
    <b:Guid>{01DA1ABF-2F1C-4F6A-AE75-27F48D9BCDFE}</b:Guid>
    <b:Title>A metaverse: Taxonomy, components, applications, and open challenges</b:Title>
    <b:JournalName>IEEE access</b:JournalName>
    <b:Year>2022</b:Year>
    <b:Pages>4209-4251</b:Pages>
    <b:Author>
      <b:Author>
        <b:NameList>
          <b:Person>
            <b:Last>Park</b:Last>
            <b:Middle>M</b:Middle>
            <b:First>S</b:First>
          </b:Person>
          <b:Person>
            <b:Last>Kim</b:Last>
            <b:Middle>G</b:Middle>
            <b:First>Y</b:First>
          </b:Person>
        </b:NameList>
      </b:Author>
    </b:Author>
    <b:Volume>10</b:Volume>
    <b:RefOrder>21</b:RefOrder>
  </b:Source>
  <b:Source>
    <b:Tag>XuM22</b:Tag>
    <b:SourceType>JournalArticle</b:SourceType>
    <b:Guid>{1801B75C-0864-478E-AA95-C507349882BA}</b:Guid>
    <b:Title>A full dive into realizing the edge-enabled metaverse: Visions, enabling technologies, and challenges</b:Title>
    <b:JournalName>IEEE Communications Surveys &amp; Tutorials</b:JournalName>
    <b:Year>2022</b:Year>
    <b:Pages>656-700</b:Pages>
    <b:Author>
      <b:Author>
        <b:NameList>
          <b:Person>
            <b:Last>Xu</b:Last>
            <b:First>M</b:First>
          </b:Person>
          <b:Person>
            <b:Last>Ng</b:Last>
            <b:Middle>C</b:Middle>
            <b:First>W</b:First>
          </b:Person>
          <b:Person>
            <b:Last>Lim</b:Last>
            <b:Middle>Y. B</b:Middle>
            <b:First>W</b:First>
          </b:Person>
          <b:Person>
            <b:Last>Kang</b:Last>
            <b:First>J</b:First>
          </b:Person>
          <b:Person>
            <b:Last>Xiong</b:Last>
            <b:First>Z</b:First>
          </b:Person>
          <b:Person>
            <b:Last>Niyato</b:Last>
            <b:First>D</b:First>
          </b:Person>
          <b:Person>
            <b:Last>Yang</b:Last>
            <b:First>Q</b:First>
          </b:Person>
          <b:Person>
            <b:Last>Shen</b:Last>
            <b:First>X</b:First>
          </b:Person>
          <b:Person>
            <b:Last>Miao</b:Last>
            <b:First>C</b:First>
          </b:Person>
        </b:NameList>
      </b:Author>
    </b:Author>
    <b:Volume>25</b:Volume>
    <b:Issue>1</b:Issue>
    <b:RefOrder>22</b:RefOrder>
  </b:Source>
  <b:Source>
    <b:Tag>Kar142</b:Tag>
    <b:SourceType>Book</b:SourceType>
    <b:Guid>{2FFA3ECE-BEB3-4364-B9AB-C61E56FDE8C0}</b:Guid>
    <b:Title>Rekreasyon: boş zamanları değerlendirme</b:Title>
    <b:Year>2014</b:Year>
    <b:Publisher>Suat Karaküçük</b:Publisher>
    <b:Author>
      <b:Author>
        <b:NameList>
          <b:Person>
            <b:Last>Karaküçük</b:Last>
            <b:First>S</b:First>
          </b:Person>
        </b:NameList>
      </b:Author>
    </b:Author>
    <b:RefOrder>23</b:RefOrder>
  </b:Source>
  <b:Source>
    <b:Tag>Kar96</b:Tag>
    <b:SourceType>JournalArticle</b:SourceType>
    <b:Guid>{3E6C8341-67E4-49DC-B2B3-087399A14D1E}</b:Guid>
    <b:Title>Rekreasyon etkinliklerinde liderlik ve fonksiyonları</b:Title>
    <b:Year>1996</b:Year>
    <b:JournalName>Gazi Journal of Physical Education and Sport Sciences</b:JournalName>
    <b:Pages>64-76</b:Pages>
    <b:Author>
      <b:Author>
        <b:NameList>
          <b:Person>
            <b:Last>Karaküçük</b:Last>
            <b:First>S</b:First>
          </b:Person>
          <b:Person>
            <b:Last>Yetim</b:Last>
            <b:First>A</b:First>
          </b:Person>
        </b:NameList>
      </b:Author>
    </b:Author>
    <b:Volume>1</b:Volume>
    <b:Issue>1</b:Issue>
    <b:RefOrder>24</b:RefOrder>
  </b:Source>
  <b:Source>
    <b:Tag>Axe09</b:Tag>
    <b:SourceType>JournalArticle</b:SourceType>
    <b:Guid>{3E810D6C-A8DF-4A97-8340-8328B45A4A2F}</b:Guid>
    <b:Title>The power of leisure: I was an anoexic; I’m now a healthy triathlet</b:Title>
    <b:JournalName>Lesiure Sciences</b:JournalName>
    <b:Year>2009</b:Year>
    <b:Pages>330–346</b:Pages>
    <b:Author>
      <b:Author>
        <b:NameList>
          <b:Person>
            <b:Last>Axelsen</b:Last>
            <b:First>M</b:First>
          </b:Person>
        </b:NameList>
      </b:Author>
    </b:Author>
    <b:Volume>31</b:Volume>
    <b:RefOrder>25</b:RefOrder>
  </b:Source>
  <b:Source>
    <b:Tag>Iwa07</b:Tag>
    <b:SourceType>JournalArticle</b:SourceType>
    <b:Guid>{421986AD-ADFD-4DFA-AE49-B2E630BE9DB0}</b:Guid>
    <b:Title>Lesiure and quality of life in an international and multicultural context: what are major pathways linking leisure to quality of life</b:Title>
    <b:JournalName>Social Indicators Research</b:JournalName>
    <b:Year>2007</b:Year>
    <b:Pages>233–264</b:Pages>
    <b:Author>
      <b:Author>
        <b:NameList>
          <b:Person>
            <b:Last>Iwasaki</b:Last>
            <b:First>Y</b:First>
          </b:Person>
        </b:NameList>
      </b:Author>
    </b:Author>
    <b:Volume>82</b:Volume>
    <b:RefOrder>26</b:RefOrder>
  </b:Source>
  <b:Source>
    <b:Tag>Pat07</b:Tag>
    <b:SourceType>JournalArticle</b:SourceType>
    <b:Guid>{80D442E6-9B34-4F3A-AE3A-BAC736570593}</b:Guid>
    <b:Title>Measuring university students’ regulatory leisure coping styles: planned breathes or avoidance?</b:Title>
    <b:JournalName>Leisure Sciences</b:JournalName>
    <b:Year>2007</b:Year>
    <b:Pages>247–265</b:Pages>
    <b:Author>
      <b:Author>
        <b:NameList>
          <b:Person>
            <b:Last>Patry</b:Last>
            <b:Middle>A</b:Middle>
            <b:First>D</b:First>
          </b:Person>
          <b:Person>
            <b:Last>Blanchard</b:Last>
            <b:Middle>M</b:Middle>
            <b:First>C</b:First>
          </b:Person>
          <b:Person>
            <b:Last>Mask</b:Last>
            <b:First>L</b:First>
          </b:Person>
        </b:NameList>
      </b:Author>
    </b:Author>
    <b:Volume>29</b:Volume>
    <b:RefOrder>27</b:RefOrder>
  </b:Source>
  <b:Source>
    <b:Tag>Şen07</b:Tag>
    <b:SourceType>JournalArticle</b:SourceType>
    <b:Guid>{ABD734A8-E213-4382-85D8-A41C3C0FED78}</b:Guid>
    <b:Title>Life satisfaction and leisure activities during men’s retirement: a Turkish sample</b:Title>
    <b:JournalName>Aging and Mental Health</b:JournalName>
    <b:Year>2007</b:Year>
    <b:Pages>30–36</b:Pages>
    <b:Author>
      <b:Author>
        <b:NameList>
          <b:Person>
            <b:Last>Şener</b:Last>
            <b:First>A</b:First>
          </b:Person>
          <b:Person>
            <b:Last>Terzioğlu</b:Last>
            <b:Middle>G</b:Middle>
            <b:First>R</b:First>
          </b:Person>
          <b:Person>
            <b:Last>Karabulut</b:Last>
            <b:First>E</b:First>
          </b:Person>
        </b:NameList>
      </b:Author>
    </b:Author>
    <b:Volume>11</b:Volume>
    <b:Issue>1</b:Issue>
    <b:RefOrder>28</b:RefOrder>
  </b:Source>
  <b:Source>
    <b:Tag>Tüt11</b:Tag>
    <b:SourceType>JournalArticle</b:SourceType>
    <b:Guid>{5528EC3B-8D25-489E-900E-13E1C2818F4D}</b:Guid>
    <b:Title>Üniversite öğrencilerinin rekreasyon faaliyetlerine katılımını etkileyen unsurların analizi</b:Title>
    <b:Year>2011</b:Year>
    <b:JournalName>Spor Bilimleri Dergisi</b:JournalName>
    <b:Pages>69-83</b:Pages>
    <b:Author>
      <b:Author>
        <b:NameList>
          <b:Person>
            <b:Last>Tütüncü</b:Last>
            <b:First>Ö</b:First>
          </b:Person>
          <b:Person>
            <b:Last>Aydın</b:Last>
            <b:First>İ</b:First>
          </b:Person>
          <b:Person>
            <b:Last>Küçükusta</b:Last>
            <b:First>D</b:First>
          </b:Person>
          <b:Person>
            <b:Last>Avcı</b:Last>
            <b:First>N</b:First>
          </b:Person>
          <b:Person>
            <b:Last>Taş</b:Last>
            <b:First>İ</b:First>
          </b:Person>
        </b:NameList>
      </b:Author>
    </b:Author>
    <b:Volume>22</b:Volume>
    <b:Issue>2</b:Issue>
    <b:RefOrder>29</b:RefOrder>
  </b:Source>
  <b:Source>
    <b:Tag>Ece13</b:Tag>
    <b:SourceType>BookSection</b:SourceType>
    <b:Guid>{FF11581E-0A11-461E-8817-72A8563B9E58}</b:Guid>
    <b:Title>Toplumsal cinsiyet çalışmaları</b:Title>
    <b:Year>2013</b:Year>
    <b:Pages>24-49</b:Pages>
    <b:Author>
      <b:Author>
        <b:NameList>
          <b:Person>
            <b:Last>Ecevit</b:Last>
            <b:First>Y</b:First>
          </b:Person>
        </b:NameList>
      </b:Author>
      <b:BookAuthor>
        <b:NameList>
          <b:Person>
            <b:Last>Emek. Y. Ecevit &amp; N. Karkıner (Eds.)</b:Last>
          </b:Person>
        </b:NameList>
      </b:BookAuthor>
    </b:Author>
    <b:City>Eskişehir</b:City>
    <b:Publisher>Anadolu Üniversitesi</b:Publisher>
    <b:RefOrder>30</b:RefOrder>
  </b:Source>
  <b:Source>
    <b:Tag>Byr24</b:Tag>
    <b:SourceType>InternetSite</b:SourceType>
    <b:Guid>{DDF5C88E-5FDE-4BDA-913C-0FD1CE964CB0}</b:Guid>
    <b:Title>Reward for Fugitive ‘Cryptoqueen’ Raised to $5m</b:Title>
    <b:Author>
      <b:Author>
        <b:NameList>
          <b:Person>
            <b:Last>Byrne</b:Last>
            <b:First>Rob</b:First>
          </b:Person>
        </b:NameList>
      </b:Author>
    </b:Author>
    <b:InternetSiteTitle>BBC</b:InternetSiteTitle>
    <b:URL>https://www.bbc.com/news/articles/c9785924je3o</b:URL>
    <b:YearAccessed>2024</b:YearAccessed>
    <b:MonthAccessed>06</b:MonthAccessed>
    <b:DayAccessed>28</b:DayAccessed>
    <b:Year>2024</b:Year>
    <b:Month>06</b:Month>
    <b:Day>27</b:Day>
    <b:RefOrder>4</b:RefOrder>
  </b:Source>
  <b:Source>
    <b:Tag>Şah221</b:Tag>
    <b:SourceType>InternetSite</b:SourceType>
    <b:Guid>{4B78E713-F8CD-401A-9172-F5FC2E4AAEA2}</b:Guid>
    <b:Author>
      <b:Author>
        <b:NameList>
          <b:Person>
            <b:Last>Şahin</b:Last>
            <b:First>Muhammet</b:First>
            <b:Middle>Emin</b:Middle>
          </b:Person>
        </b:NameList>
      </b:Author>
    </b:Author>
    <b:Title>356 Milyonluk THODEX Vurgunu: Faruk Fatih Özer Yakalandı</b:Title>
    <b:InternetSiteTitle>TRT Haber</b:InternetSiteTitle>
    <b:Year>2022</b:Year>
    <b:Month>08</b:Month>
    <b:Day>31</b:Day>
    <b:URL>https://www.trthaber.com/haber/gundem/356-milyonluk-thodex-vurgunu-faruk-fatih-ozer-yakalandi-705139.html</b:URL>
    <b:YearAccessed>2024</b:YearAccessed>
    <b:MonthAccessed>06</b:MonthAccessed>
    <b:DayAccessed>20</b:DayAccessed>
    <b:RefOrder>5</b:RefOrder>
  </b:Source>
  <b:Source>
    <b:Tag>1Mi24</b:Tag>
    <b:SourceType>InternetSite</b:SourceType>
    <b:Guid>{9B4A20B1-272E-47AE-8D56-D2D391FE73E7}</b:Guid>
    <b:Title>1 Milyar Dolarlık Kripto Vurgunu</b:Title>
    <b:InternetSiteTitle>TRT Haber</b:InternetSiteTitle>
    <b:Year>2024</b:Year>
    <b:URL>https://www.trthaber.com/haber/turkiye/1-milyar-dolarlik-kripto-vurgunu-862843.html</b:URL>
    <b:Author>
      <b:Author>
        <b:NameList>
          <b:Person>
            <b:Last>Dölek</b:Last>
            <b:First>Niyazi</b:First>
          </b:Person>
        </b:NameList>
      </b:Author>
    </b:Author>
    <b:RefOrder>15</b:RefOrder>
  </b:Source>
  <b:Source>
    <b:Tag>FAT24</b:Tag>
    <b:SourceType>InternetSite</b:SourceType>
    <b:Guid>{2622E758-DF7A-433E-AD73-692B7A525E33}</b:Guid>
    <b:Title>Outcomes FATF Plenary, 26-28 June 2024</b:Title>
    <b:Year>2024</b:Year>
    <b:InternetSiteTitle>Financial Action Task Force</b:InternetSiteTitle>
    <b:Month>06</b:Month>
    <b:Day>28</b:Day>
    <b:URL>https://www.fatf-gafi.org/en/publications/Fatfgeneral/outcomes-fatf-plenary-june-2024.html</b:URL>
    <b:Author>
      <b:Author>
        <b:Corporate>FATF</b:Corporate>
      </b:Author>
    </b:Author>
    <b:YearAccessed>2024</b:YearAccessed>
    <b:MonthAccessed>06</b:MonthAccessed>
    <b:DayAccessed>28</b:DayAccessed>
    <b:RefOrder>18</b:RefOrder>
  </b:Source>
  <b:Source>
    <b:Tag>Bin24</b:Tag>
    <b:SourceType>InternetSite</b:SourceType>
    <b:Guid>{8420C99B-B63F-47D0-8AB4-8F657101E642}</b:Guid>
    <b:Author>
      <b:Author>
        <b:Corporate>Binance </b:Corporate>
      </b:Author>
    </b:Author>
    <b:Title>Updates to Binance’s Services in Turkey Under the New Crypto Regulations</b:Title>
    <b:InternetSiteTitle>Binance</b:InternetSiteTitle>
    <b:Year>2024</b:Year>
    <b:URL>https://www.binance.com/en/support/announcement/updates-to-binance-s-services-in-turkey-under-the-new-crypto-regulations-653d43c0083047beab4e1f6efcc48b30?hl=en</b:URL>
    <b:RefOrder>21</b:RefOrder>
  </b:Source>
  <b:Source>
    <b:Tag>BBC</b:Tag>
    <b:SourceType>InternetSite</b:SourceType>
    <b:Guid>{186B6637-3946-4501-AE0E-AB323AD3AB8D}</b:Guid>
    <b:Title>Japonya'da Değeri 500 Milyon Doları Aşan Kripto Para Çalındı</b:Title>
    <b:Author>
      <b:Author>
        <b:NameList>
          <b:Person>
            <b:Last>BBC</b:Last>
          </b:Person>
        </b:NameList>
      </b:Author>
    </b:Author>
    <b:URL>https://www.bbc.com/turkce/haberler-dunya-42844689</b:URL>
    <b:Year>2018</b:Year>
    <b:RefOrder>26</b:RefOrder>
  </b:Source>
  <b:Source>
    <b:Tag>Max24</b:Tag>
    <b:SourceType>InternetSite</b:SourceType>
    <b:Guid>{17808C65-A881-404B-9143-B8531C9E1901}</b:Guid>
    <b:Author>
      <b:Author>
        <b:NameList>
          <b:Person>
            <b:Last>Matza</b:Last>
            <b:First>Max</b:First>
          </b:Person>
        </b:NameList>
      </b:Author>
    </b:Author>
    <b:Title>US Brothers Arrested for Stealing $25m in crypto in Just 12 Seconds</b:Title>
    <b:InternetSiteTitle>BBC</b:InternetSiteTitle>
    <b:Year>2024</b:Year>
    <b:URL>https://www.bbc.com/news/world-us-canada-69018575</b:URL>
    <b:RefOrder>27</b:RefOrder>
  </b:Source>
  <b:Source>
    <b:Tag>BBC22</b:Tag>
    <b:SourceType>InternetSite</b:SourceType>
    <b:Guid>{738910F2-504B-47A9-A65F-93B26FD64848}</b:Guid>
    <b:Author>
      <b:Author>
        <b:Corporate>BBC</b:Corporate>
      </b:Author>
    </b:Author>
    <b:Title>3﻿,3 Milyar Dolarlık Bitcoin Operasyonu: Çalınan Miktarın Bir kısmı 'Patlamış Mısır Kutusundan' Çıktı</b:Title>
    <b:Year>2022</b:Year>
    <b:URL>https://www.bbc.com/turkce/articles/c4n7j9lg1jjo</b:URL>
    <b:InternetSiteTitle>BBC News Türkçe</b:InternetSiteTitle>
    <b:RefOrder>28</b:RefOrder>
  </b:Source>
  <b:Source>
    <b:Tag>Asu23</b:Tag>
    <b:SourceType>Book</b:SourceType>
    <b:Guid>{62C423D8-E9D5-412D-AD47-52DD240C2DE3}</b:Guid>
    <b:Author>
      <b:Author>
        <b:NameList>
          <b:Person>
            <b:Last>Yılmaz</b:Last>
            <b:First>Asuman</b:First>
          </b:Person>
        </b:NameList>
      </b:Author>
    </b:Author>
    <b:Title>Türk Sermaye Piyasası Hukuku Açısından Kripto Para Birimi Bitcoin</b:Title>
    <b:Year>2023</b:Year>
    <b:City>Ankara</b:City>
    <b:Publisher>Seçkin Yayıncılık</b:Publisher>
    <b:RefOrder>34</b:RefOrder>
  </b:Source>
  <b:Source>
    <b:Tag>Den24</b:Tag>
    <b:SourceType>Book</b:SourceType>
    <b:Guid>{7DC3B24B-546A-48EA-AEE7-7911DFC28842}</b:Guid>
    <b:Author>
      <b:Author>
        <b:NameList>
          <b:Person>
            <b:Last>İmamoğlu</b:Last>
            <b:First>Deniz</b:First>
            <b:Middle>Alp</b:Middle>
          </b:Person>
        </b:NameList>
      </b:Author>
    </b:Author>
    <b:Title>Kripto Para Birimleri ve Türk Hukukunda Düzenlenmesi</b:Title>
    <b:Year>2024</b:Year>
    <b:City>Ankara</b:City>
    <b:Publisher>Seçkin Yayıncılık</b:Publisher>
    <b:RefOrder>3</b:RefOrder>
  </b:Source>
  <b:Source>
    <b:Tag>Tur19</b:Tag>
    <b:SourceType>JournalArticle</b:SourceType>
    <b:Guid>{F1709BB8-E988-4FF3-8338-D0DDA79D0E59}</b:Guid>
    <b:Title>Kripto Paraların Ortaya Çıkmaları ve Hukukî Nitelikleri</b:Title>
    <b:Year>2019</b:Year>
    <b:Pages>47-62</b:Pages>
    <b:Author>
      <b:Author>
        <b:NameList>
          <b:Person>
            <b:Last>Turanboy</b:Last>
            <b:First>Asuman</b:First>
          </b:Person>
        </b:NameList>
      </b:Author>
    </b:Author>
    <b:JournalName>Banka ve Ticaret Hukuku Dergisi</b:JournalName>
    <b:Volume>35</b:Volume>
    <b:Issue>3</b:Issue>
    <b:RefOrder>6</b:RefOrder>
  </b:Source>
  <b:Source>
    <b:Tag>Özd21</b:Tag>
    <b:SourceType>JournalArticle</b:SourceType>
    <b:Guid>{B0073D6D-52DA-467E-8555-F5AC6AB46957}</b:Guid>
    <b:Author>
      <b:Author>
        <b:NameList>
          <b:Person>
            <b:Last>Özdemir</b:Last>
            <b:First>Gençer</b:First>
          </b:Person>
        </b:NameList>
      </b:Author>
    </b:Author>
    <b:Title>Kripto Paraların Eşya Niteliği</b:Title>
    <b:JournalName>Süleyman Demirel Üniversitesi Hukuk Fakültesi Dergisi</b:JournalName>
    <b:Year>2021</b:Year>
    <b:Pages>289-306</b:Pages>
    <b:Volume>11</b:Volume>
    <b:Issue>1</b:Issue>
    <b:RefOrder>35</b:RefOrder>
  </b:Source>
  <b:Source>
    <b:Tag>Ier22</b:Tag>
    <b:SourceType>JournalArticle</b:SourceType>
    <b:Guid>{DD0ED4DE-A440-4EBB-B84D-FE901FFECFA4}</b:Guid>
    <b:Author>
      <b:Author>
        <b:NameList>
          <b:Person>
            <b:Last>Iersel</b:Last>
            <b:First>Desiree</b:First>
            <b:Middle>Van</b:Middle>
          </b:Person>
        </b:NameList>
      </b:Author>
    </b:Author>
    <b:Title>Tethering the Crypto-Asset Market: The Regulation of Stablecoins In the European Union and United States</b:Title>
    <b:JournalName>Cambridge Law Review</b:JournalName>
    <b:Year>2022</b:Year>
    <b:Pages>57-85</b:Pages>
    <b:Volume>7</b:Volume>
    <b:Issue>1</b:Issue>
    <b:RefOrder>2</b:RefOrder>
  </b:Source>
  <b:Source>
    <b:Tag>Bro23</b:Tag>
    <b:SourceType>JournalArticle</b:SourceType>
    <b:Guid>{D5C68604-573B-4ABC-A2B4-C7204C7033E0}</b:Guid>
    <b:Title>The Wild West, Cryptocurrency, and Singapore: Why the United States Should Follow Singapore's Lead in Cryptocurrency Regulation</b:Title>
    <b:Year>2023</b:Year>
    <b:JournalName>Indiana International &amp; Comparative Law Review</b:JournalName>
    <b:Pages>191-224</b:Pages>
    <b:Author>
      <b:Author>
        <b:NameList>
          <b:Person>
            <b:Last>Brown</b:Last>
            <b:First>S.</b:First>
            <b:Middle>Isaac</b:Middle>
          </b:Person>
        </b:NameList>
      </b:Author>
    </b:Author>
    <b:Volume>33</b:Volume>
    <b:Issue>1</b:Issue>
    <b:RefOrder>36</b:RefOrder>
  </b:Source>
  <b:Source>
    <b:Tag>Hra24</b:Tag>
    <b:SourceType>JournalArticle</b:SourceType>
    <b:Guid>{A79567F7-2CBA-4910-BDA1-A515347F3EEC}</b:Guid>
    <b:Author>
      <b:Author>
        <b:NameList>
          <b:Person>
            <b:Last>Hrabčák</b:Last>
            <b:First>Ladislav</b:First>
          </b:Person>
          <b:Person>
            <b:Last>Štrkolec</b:Last>
            <b:First>Miroslav</b:First>
          </b:Person>
        </b:NameList>
      </b:Author>
    </b:Author>
    <b:Title>EU Regulation of the Crypto-Assets Market</b:Title>
    <b:JournalName>Bialystok Legal Studies</b:JournalName>
    <b:Year>2024</b:Year>
    <b:Pages>27-45</b:Pages>
    <b:Volume>29</b:Volume>
    <b:Issue>1</b:Issue>
    <b:RefOrder>7</b:RefOrder>
  </b:Source>
  <b:Source>
    <b:Tag>Ahm22</b:Tag>
    <b:SourceType>Book</b:SourceType>
    <b:Guid>{6D704AAA-CE7D-44AB-AAE8-99285010F95B}</b:Guid>
    <b:Title>Kripto Varlıkların Sermaye Piyasası Hukuku Açısından Değerlendirilmesi</b:Title>
    <b:Year>2022</b:Year>
    <b:Author>
      <b:Author>
        <b:NameList>
          <b:Person>
            <b:Last>Demirtaş</b:Last>
            <b:First>Ahmet</b:First>
            <b:Middle>Akif</b:Middle>
          </b:Person>
        </b:NameList>
      </b:Author>
    </b:Author>
    <b:City>Ankara</b:City>
    <b:Publisher>Seçkin Yayıncılık</b:Publisher>
    <b:RefOrder>1</b:RefOrder>
  </b:Source>
  <b:Source>
    <b:Tag>Bur23</b:Tag>
    <b:SourceType>Book</b:SourceType>
    <b:Guid>{668E74D9-85AD-4F49-8437-21E3B6E920E9}</b:Guid>
    <b:Title>Kripto Varlık İşlemlerinin Ödemeler Dengesi İstatistiklerine Yansıltılması</b:Title>
    <b:Year>2023</b:Year>
    <b:Author>
      <b:Author>
        <b:NameList>
          <b:Person>
            <b:Last>Ülkür</b:Last>
            <b:First>Burcu</b:First>
          </b:Person>
        </b:NameList>
      </b:Author>
    </b:Author>
    <b:City>İstanbul</b:City>
    <b:Publisher>Türkiye Cumhuriyet Merkez Bankası</b:Publisher>
    <b:RefOrder>13</b:RefOrder>
  </b:Source>
  <b:Source>
    <b:Tag>Tür</b:Tag>
    <b:SourceType>InternetSite</b:SourceType>
    <b:Guid>{A999E3DC-C150-42C0-B8F5-A915732AD48B}</b:Guid>
    <b:Title>Adrese Dayalı Nüfus Kayıt Sistemi Sonuçları, 2023</b:Title>
    <b:Author>
      <b:Author>
        <b:Corporate>Türkiye İstatistik Kurumu</b:Corporate>
      </b:Author>
    </b:Author>
    <b:URL>https://data.tuik.gov.tr/Bulten/Index?p=Adrese-Dayali-Nufus-Kayit-Sistemi-Sonuclari-2023-49684</b:URL>
    <b:Year>2024</b:Year>
    <b:RefOrder>14</b:RefOrder>
  </b:Source>
  <b:Source>
    <b:Tag>Jua22</b:Tag>
    <b:SourceType>JournalArticle</b:SourceType>
    <b:Guid>{F20F7DFA-2EFC-41C6-97BF-955E018DEBCB}</b:Guid>
    <b:Title>The Lexicon of Terror: Crystallization of the Definition of "Terrorism" Through the Lens of Terrorist Financing &amp; The Final Action Task Force</b:Title>
    <b:Year>2022</b:Year>
    <b:Author>
      <b:Author>
        <b:NameList>
          <b:Person>
            <b:Last>Zarate</b:Last>
            <b:First>Juan</b:First>
          </b:Person>
          <b:Person>
            <b:Last>Watson</b:Last>
            <b:First>Sarah</b:First>
          </b:Person>
        </b:NameList>
      </b:Author>
    </b:Author>
    <b:JournalName>Harvard National Security Journal</b:JournalName>
    <b:Pages>369-419</b:Pages>
    <b:RefOrder>16</b:RefOrder>
  </b:Source>
  <b:Source>
    <b:Tag>Mal22</b:Tag>
    <b:SourceType>JournalArticle</b:SourceType>
    <b:Guid>{962B60B0-D2C9-49EB-8F34-A88DF3BFA760}</b:Guid>
    <b:Title>Mali Eylem Görev Gücü’nün (FATF) Gri Listesi ve Türkiye</b:Title>
    <b:JournalName>International Journal of Public Finance</b:JournalName>
    <b:Year>2022</b:Year>
    <b:Pages>407-428</b:Pages>
    <b:Volume>7</b:Volume>
    <b:ShortTitle>2</b:ShortTitle>
    <b:Author>
      <b:Author>
        <b:NameList>
          <b:Person>
            <b:Last>Işık</b:Last>
            <b:First>Hüseyin</b:First>
          </b:Person>
        </b:NameList>
      </b:Author>
    </b:Author>
    <b:RefOrder>17</b:RefOrder>
  </b:Source>
  <b:Source>
    <b:Tag>Özp18</b:Tag>
    <b:SourceType>JournalArticle</b:SourceType>
    <b:Guid>{F852551E-A8E2-4B7E-9824-47A4BFF6ABAC}</b:Guid>
    <b:Author>
      <b:Author>
        <b:NameList>
          <b:Person>
            <b:Last>Özpolat</b:Last>
            <b:First>Haşim</b:First>
          </b:Person>
        </b:NameList>
      </b:Author>
    </b:Author>
    <b:Title>Anayasa Mahkemesi'nin Bireysel Başvuru Kararlarında Maddi Anlamda Kanun Kriteri</b:Title>
    <b:JournalName>Türkiye Adalet Akademisi Dergisi</b:JournalName>
    <b:Year>2018</b:Year>
    <b:Pages>609-622</b:Pages>
    <b:Issue>33</b:Issue>
    <b:RefOrder>23</b:RefOrder>
  </b:Source>
  <b:Source>
    <b:Tag>Ümi15</b:Tag>
    <b:SourceType>JournalArticle</b:SourceType>
    <b:Guid>{4B821121-BD5A-4D0C-A077-6C7328737912}</b:Guid>
    <b:Title>Anayasa Mahkemesi'nin Suçta Kanunilik İlkesi ile İlgili Bir Kararının İncelenmesi</b:Title>
    <b:JournalName>Terazi Hukuk Degisi</b:JournalName>
    <b:Year>2015</b:Year>
    <b:Pages>24-40</b:Pages>
    <b:Author>
      <b:Author>
        <b:NameList>
          <b:Person>
            <b:Last>Kocasakal</b:Last>
            <b:First>Ümit</b:First>
          </b:Person>
        </b:NameList>
      </b:Author>
    </b:Author>
    <b:Volume>10</b:Volume>
    <b:Issue>108</b:Issue>
    <b:RefOrder>24</b:RefOrder>
  </b:Source>
  <b:Source>
    <b:Tag>Kor11</b:Tag>
    <b:SourceType>JournalArticle</b:SourceType>
    <b:Guid>{D3127BE0-4AE2-4334-BDAF-E660C7DD4DC9}</b:Guid>
    <b:Author>
      <b:Author>
        <b:NameList>
          <b:Person>
            <b:Last>Korkusuz</b:Last>
            <b:First>Halit</b:First>
            <b:Middle>M.</b:Middle>
          </b:Person>
        </b:NameList>
      </b:Author>
    </b:Author>
    <b:Title>Tehlike Sorumluluğunun Hukukumuzdaki Yeri</b:Title>
    <b:JournalName>Dicle Üniversitesi Hukuk Fakültesi Dergisi</b:JournalName>
    <b:Year>2011</b:Year>
    <b:Pages>89-99</b:Pages>
    <b:Volume>15-16</b:Volume>
    <b:Issue>22-23-24-25</b:Issue>
    <b:RefOrder>30</b:RefOrder>
  </b:Source>
  <b:Source>
    <b:Tag>Sar14</b:Tag>
    <b:SourceType>JournalArticle</b:SourceType>
    <b:Guid>{43F68F9D-2D2D-4F37-A7FC-58860F2E8DA4}</b:Guid>
    <b:Title>Türk Borçlar Kanunu'nda Genel Bir Kural Olarak Tehlike Sorumluluğu</b:Title>
    <b:Year>2014</b:Year>
    <b:Author>
      <b:Author>
        <b:NameList>
          <b:Person>
            <b:Last>Sarıhan</b:Last>
            <b:First>Banu</b:First>
            <b:Middle>Bilge</b:Middle>
          </b:Person>
        </b:NameList>
      </b:Author>
    </b:Author>
    <b:JournalName>Marmara Üniversitesi Hukuk Fakültesi Hukuk Araştırmaları Dergisi</b:JournalName>
    <b:Pages>1177-1196</b:Pages>
    <b:Volume>20</b:Volume>
    <b:Issue>1</b:Issue>
    <b:RefOrder>31</b:RefOrder>
  </b:Source>
  <b:Source>
    <b:Tag>Kar21</b:Tag>
    <b:SourceType>Misc</b:SourceType>
    <b:Guid>{3346EB0E-E0D8-4835-A0AF-4335ED3517E1}</b:Guid>
    <b:Title>İnternet Bankacılığında Bankaların Özen Yükümlülüğü</b:Title>
    <b:Year>2021</b:Year>
    <b:Author>
      <b:Author>
        <b:NameList>
          <b:Person>
            <b:Last>Kara</b:Last>
            <b:First>Uğur</b:First>
          </b:Person>
        </b:NameList>
      </b:Author>
    </b:Author>
    <b:City>İstanbul</b:City>
    <b:Publisher>İstanbul Medipol Üniversitesi</b:Publisher>
    <b:RefOrder>33</b:RefOrder>
  </b:Source>
  <b:Source>
    <b:Tag>Hen83</b:Tag>
    <b:SourceType>Book</b:SourceType>
    <b:Guid>{80F61FCF-714C-4AF0-B856-0F78628A6AB3}</b:Guid>
    <b:Title>Sorumluluk Hukuku</b:Title>
    <b:Year>1983</b:Year>
    <b:Author>
      <b:Author>
        <b:NameList>
          <b:Person>
            <b:Last>Deschenaux</b:Last>
            <b:First>Henry</b:First>
          </b:Person>
          <b:Person>
            <b:Last>Tercier</b:Last>
            <b:First>Pierre</b:First>
          </b:Person>
        </b:NameList>
      </b:Author>
    </b:Author>
    <b:City>Ankara</b:City>
    <b:Publisher>Kadıoğlu Matbaası</b:Publisher>
    <b:RefOrder>32</b:RefOrder>
  </b:Source>
  <b:Source>
    <b:Tag>Bur22</b:Tag>
    <b:SourceType>Book</b:SourceType>
    <b:Guid>{3FCF627E-C5C5-4DF3-83E5-6DBBEB5A6A56}</b:Guid>
    <b:Author>
      <b:Author>
        <b:NameList>
          <b:Person>
            <b:Last>Adıgüzel</b:Last>
            <b:First>Burak</b:First>
          </b:Person>
        </b:NameList>
      </b:Author>
    </b:Author>
    <b:Title>Sermaye Piyasası Hukuku</b:Title>
    <b:Year>2022</b:Year>
    <b:City>Ankara</b:City>
    <b:Publisher>Adalet Yayınevi</b:Publisher>
    <b:RefOrder>8</b:RefOrder>
  </b:Source>
  <b:Source>
    <b:Tag>Ali21</b:Tag>
    <b:SourceType>Book</b:SourceType>
    <b:Guid>{19F70BCA-33EF-45B5-B790-63332A829532}</b:Guid>
    <b:Author>
      <b:Author>
        <b:NameList>
          <b:Person>
            <b:Last>Karacan</b:Last>
            <b:First>Ali</b:First>
            <b:Middle>İhsan</b:Middle>
          </b:Person>
          <b:Person>
            <b:Last>Karacan</b:Last>
            <b:First>Esra</b:First>
            <b:Middle>Erişir</b:Middle>
          </b:Person>
        </b:NameList>
      </b:Author>
    </b:Author>
    <b:Title>Sermaye Piyasası Araçları</b:Title>
    <b:Year>2021</b:Year>
    <b:City>İstanbul</b:City>
    <b:Publisher>Legal Yayıncılık</b:Publisher>
    <b:RefOrder>9</b:RefOrder>
  </b:Source>
  <b:Source>
    <b:Tag>Ahm21</b:Tag>
    <b:SourceType>Book</b:SourceType>
    <b:Guid>{9256F48C-1756-405A-BE89-EF9F5E119331}</b:Guid>
    <b:Author>
      <b:Author>
        <b:NameList>
          <b:Person>
            <b:Last>Kılıçoğlu</b:Last>
            <b:First>Ahmet</b:First>
          </b:Person>
        </b:NameList>
      </b:Author>
    </b:Author>
    <b:Title>Borçlar Hukuku Genel Hükümler</b:Title>
    <b:Year>2021</b:Year>
    <b:City>Ankara</b:City>
    <b:Publisher>Turhan Kitabevi</b:Publisher>
    <b:RefOrder>10</b:RefOrder>
  </b:Source>
  <b:Source>
    <b:Tag>Mus21</b:Tag>
    <b:SourceType>Book</b:SourceType>
    <b:Guid>{E9459198-3734-43E2-916C-715A2FF35B04}</b:Guid>
    <b:Author>
      <b:Author>
        <b:NameList>
          <b:Person>
            <b:Last>Gümüş</b:Last>
            <b:First>Mustafa</b:First>
            <b:Middle>Alper</b:Middle>
          </b:Person>
        </b:NameList>
      </b:Author>
    </b:Author>
    <b:Title>Borçlar Hukukunun Genel Hükümleri</b:Title>
    <b:Year>2021</b:Year>
    <b:City>Ankara</b:City>
    <b:Publisher>Yetkin Kitabevi</b:Publisher>
    <b:RefOrder>11</b:RefOrder>
  </b:Source>
  <b:Source>
    <b:Tag>Fik22</b:Tag>
    <b:SourceType>Book</b:SourceType>
    <b:Guid>{E23C148C-FEF4-41A8-89E1-6DEB82FC0F94}</b:Guid>
    <b:Author>
      <b:Author>
        <b:NameList>
          <b:Person>
            <b:Last>Eren</b:Last>
            <b:First>Fikret</b:First>
          </b:Person>
        </b:NameList>
      </b:Author>
    </b:Author>
    <b:Title>Borçlar Hukuku Genel Hükümler </b:Title>
    <b:Year>2022</b:Year>
    <b:City>Ankara</b:City>
    <b:Publisher>Yetkin Kitabevi </b:Publisher>
    <b:RefOrder>12</b:RefOrder>
  </b:Source>
  <b:Source>
    <b:Tag>Mur23</b:Tag>
    <b:SourceType>Book</b:SourceType>
    <b:Guid>{62B42723-76FB-46CB-BBFA-0E0A307A32F9}</b:Guid>
    <b:Author>
      <b:Author>
        <b:NameList>
          <b:Person>
            <b:Last>Koca</b:Last>
            <b:First>Murat</b:First>
          </b:Person>
          <b:Person>
            <b:Last>Üzülmez</b:Last>
            <b:First>İlhan</b:First>
          </b:Person>
        </b:NameList>
      </b:Author>
    </b:Author>
    <b:Title>Türk Ceza Hukuku Genel Hükümler</b:Title>
    <b:Year>2023</b:Year>
    <b:City>Ankara</b:City>
    <b:Publisher>Seçkin Yayıncılık</b:Publisher>
    <b:RefOrder>22</b:RefOrder>
  </b:Source>
  <b:Source>
    <b:Tag>İzz23</b:Tag>
    <b:SourceType>Book</b:SourceType>
    <b:Guid>{08E30E0D-9D66-4C52-8827-84D9BA1E13AF}</b:Guid>
    <b:Author>
      <b:Author>
        <b:NameList>
          <b:Person>
            <b:Last>Özgenç</b:Last>
            <b:First>İzzet</b:First>
          </b:Person>
        </b:NameList>
      </b:Author>
    </b:Author>
    <b:Title>Türk Ceza Hukuku Genel Hükümler</b:Title>
    <b:Year>2023</b:Year>
    <b:City>Ankara</b:City>
    <b:Publisher>Seçkin Yayıncılık</b:Publisher>
    <b:RefOrder>25</b:RefOrder>
  </b:Source>
  <b:Source>
    <b:Tag>Müg23</b:Tag>
    <b:SourceType>Book</b:SourceType>
    <b:Guid>{3BDD5C67-4E13-4C67-B50B-5E964A57E62D}</b:Guid>
    <b:Author>
      <b:Author>
        <b:NameList>
          <b:Person>
            <b:Last>Çetin</b:Last>
            <b:First>Müge</b:First>
          </b:Person>
        </b:NameList>
      </b:Author>
    </b:Author>
    <b:Title>Sermaye Piyasası Hukuku Bakımından Kripto Varlıklar</b:Title>
    <b:Year>2023</b:Year>
    <b:City>İstanbul</b:City>
    <b:Publisher>On İki Levha Yayıncılık</b:Publisher>
    <b:RefOrder>19</b:RefOrder>
  </b:Source>
  <b:Source>
    <b:Tag>Mal21</b:Tag>
    <b:SourceType>Book</b:SourceType>
    <b:Guid>{4146357C-4724-4780-9E16-366D7AD6C285}</b:Guid>
    <b:Title>Kripto Varlık Hizmet Sağlayıcıları İçin Suç Gelirlerinin Aklanmasının ve Terörizmin Finansmanının Önlenmesine Dair Yükümlülüklere İlişkin Temel Esaslar</b:Title>
    <b:Year>2021</b:Year>
    <b:Author>
      <b:Author>
        <b:Corporate>Mali Suçları Araştırma Kurulu Başkanlığı</b:Corporate>
      </b:Author>
    </b:Author>
    <b:RefOrder>29</b:RefOrder>
  </b:Source>
  <b:Source>
    <b:Tag>Ser24</b:Tag>
    <b:SourceType>InternetSite</b:SourceType>
    <b:Guid>{04B82081-9A36-4A56-89AF-BD5F293430D1}</b:Guid>
    <b:Author>
      <b:Author>
        <b:Corporate>Sermaye Piyasası Kurulu</b:Corporate>
      </b:Author>
    </b:Author>
    <b:Title>Kripto Varlık Hizmet Sağlayıcılara İlişkin Duyuru</b:Title>
    <b:Year>2024</b:Year>
    <b:URL>https://spk.gov.tr/duyurular/basin-duyurulari/2024/kripto-varlik-hizmet-saglayicilara-iliskin-duyuru</b:URL>
    <b:RefOrder>20</b:RefOrder>
  </b:Source>
</b:Sourc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975DLABMTYVJGRHM5msBp3Xnw==">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4AHIhMTFad2J6RUU0RXZzaUNnZ0l2ekZqR1RoMzI5SWJ2aF91</go:docsCustomData>
</go:gDocsCustomXmlDataStorage>
</file>

<file path=customXml/itemProps1.xml><?xml version="1.0" encoding="utf-8"?>
<ds:datastoreItem xmlns:ds="http://schemas.openxmlformats.org/officeDocument/2006/customXml" ds:itemID="{2D9656AB-0A59-4015-B86F-2F9C2FDAAFED}">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746</TotalTime>
  <Pages>827</Pages>
  <Words>412294</Words>
  <Characters>2350080</Characters>
  <Application>Microsoft Office Word</Application>
  <DocSecurity>0</DocSecurity>
  <Lines>19584</Lines>
  <Paragraphs>5513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2756861</CharactersWithSpaces>
  <SharedDoc>false</SharedDoc>
  <HLinks>
    <vt:vector size="1818" baseType="variant">
      <vt:variant>
        <vt:i4>5963812</vt:i4>
      </vt:variant>
      <vt:variant>
        <vt:i4>900</vt:i4>
      </vt:variant>
      <vt:variant>
        <vt:i4>0</vt:i4>
      </vt:variant>
      <vt:variant>
        <vt:i4>5</vt:i4>
      </vt:variant>
      <vt:variant>
        <vt:lpwstr>mailto:av.mervecakir@hotmail.com</vt:lpwstr>
      </vt:variant>
      <vt:variant>
        <vt:lpwstr/>
      </vt:variant>
      <vt:variant>
        <vt:i4>983072</vt:i4>
      </vt:variant>
      <vt:variant>
        <vt:i4>897</vt:i4>
      </vt:variant>
      <vt:variant>
        <vt:i4>0</vt:i4>
      </vt:variant>
      <vt:variant>
        <vt:i4>5</vt:i4>
      </vt:variant>
      <vt:variant>
        <vt:lpwstr>mailto:tunuh@hotmail.com</vt:lpwstr>
      </vt:variant>
      <vt:variant>
        <vt:lpwstr/>
      </vt:variant>
      <vt:variant>
        <vt:i4>2490448</vt:i4>
      </vt:variant>
      <vt:variant>
        <vt:i4>894</vt:i4>
      </vt:variant>
      <vt:variant>
        <vt:i4>0</vt:i4>
      </vt:variant>
      <vt:variant>
        <vt:i4>5</vt:i4>
      </vt:variant>
      <vt:variant>
        <vt:lpwstr>mailto:gulakgul5@gmail.com</vt:lpwstr>
      </vt:variant>
      <vt:variant>
        <vt:lpwstr/>
      </vt:variant>
      <vt:variant>
        <vt:i4>7012418</vt:i4>
      </vt:variant>
      <vt:variant>
        <vt:i4>891</vt:i4>
      </vt:variant>
      <vt:variant>
        <vt:i4>0</vt:i4>
      </vt:variant>
      <vt:variant>
        <vt:i4>5</vt:i4>
      </vt:variant>
      <vt:variant>
        <vt:lpwstr>mailto:balcideniz1991@hotmail.com</vt:lpwstr>
      </vt:variant>
      <vt:variant>
        <vt:lpwstr/>
      </vt:variant>
      <vt:variant>
        <vt:i4>6684736</vt:i4>
      </vt:variant>
      <vt:variant>
        <vt:i4>888</vt:i4>
      </vt:variant>
      <vt:variant>
        <vt:i4>0</vt:i4>
      </vt:variant>
      <vt:variant>
        <vt:i4>5</vt:i4>
      </vt:variant>
      <vt:variant>
        <vt:lpwstr>mailto:Rabia.zamur@istanbul.edu.tr</vt:lpwstr>
      </vt:variant>
      <vt:variant>
        <vt:lpwstr/>
      </vt:variant>
      <vt:variant>
        <vt:i4>3997718</vt:i4>
      </vt:variant>
      <vt:variant>
        <vt:i4>885</vt:i4>
      </vt:variant>
      <vt:variant>
        <vt:i4>0</vt:i4>
      </vt:variant>
      <vt:variant>
        <vt:i4>5</vt:i4>
      </vt:variant>
      <vt:variant>
        <vt:lpwstr>mailto:gulmezdilek76@gmail.com</vt:lpwstr>
      </vt:variant>
      <vt:variant>
        <vt:lpwstr/>
      </vt:variant>
      <vt:variant>
        <vt:i4>5767207</vt:i4>
      </vt:variant>
      <vt:variant>
        <vt:i4>882</vt:i4>
      </vt:variant>
      <vt:variant>
        <vt:i4>0</vt:i4>
      </vt:variant>
      <vt:variant>
        <vt:i4>5</vt:i4>
      </vt:variant>
      <vt:variant>
        <vt:lpwstr>mailto:ozersumeyye277@gmail.com</vt:lpwstr>
      </vt:variant>
      <vt:variant>
        <vt:lpwstr/>
      </vt:variant>
      <vt:variant>
        <vt:i4>6422531</vt:i4>
      </vt:variant>
      <vt:variant>
        <vt:i4>879</vt:i4>
      </vt:variant>
      <vt:variant>
        <vt:i4>0</vt:i4>
      </vt:variant>
      <vt:variant>
        <vt:i4>5</vt:i4>
      </vt:variant>
      <vt:variant>
        <vt:lpwstr>mailto:yaseminkuzu@ahievran.edu.tr</vt:lpwstr>
      </vt:variant>
      <vt:variant>
        <vt:lpwstr/>
      </vt:variant>
      <vt:variant>
        <vt:i4>7405663</vt:i4>
      </vt:variant>
      <vt:variant>
        <vt:i4>876</vt:i4>
      </vt:variant>
      <vt:variant>
        <vt:i4>0</vt:i4>
      </vt:variant>
      <vt:variant>
        <vt:i4>5</vt:i4>
      </vt:variant>
      <vt:variant>
        <vt:lpwstr>mailto:anilkaanucar@gmail.com</vt:lpwstr>
      </vt:variant>
      <vt:variant>
        <vt:lpwstr/>
      </vt:variant>
      <vt:variant>
        <vt:i4>655412</vt:i4>
      </vt:variant>
      <vt:variant>
        <vt:i4>873</vt:i4>
      </vt:variant>
      <vt:variant>
        <vt:i4>0</vt:i4>
      </vt:variant>
      <vt:variant>
        <vt:i4>5</vt:i4>
      </vt:variant>
      <vt:variant>
        <vt:lpwstr>mailto:ayse.aldemir@ibu.edu.tr</vt:lpwstr>
      </vt:variant>
      <vt:variant>
        <vt:lpwstr/>
      </vt:variant>
      <vt:variant>
        <vt:i4>5570591</vt:i4>
      </vt:variant>
      <vt:variant>
        <vt:i4>870</vt:i4>
      </vt:variant>
      <vt:variant>
        <vt:i4>0</vt:i4>
      </vt:variant>
      <vt:variant>
        <vt:i4>5</vt:i4>
      </vt:variant>
      <vt:variant>
        <vt:lpwstr>https://orcid.org/0000-0003-4090-2132</vt:lpwstr>
      </vt:variant>
      <vt:variant>
        <vt:lpwstr/>
      </vt:variant>
      <vt:variant>
        <vt:i4>3407937</vt:i4>
      </vt:variant>
      <vt:variant>
        <vt:i4>867</vt:i4>
      </vt:variant>
      <vt:variant>
        <vt:i4>0</vt:i4>
      </vt:variant>
      <vt:variant>
        <vt:i4>5</vt:i4>
      </vt:variant>
      <vt:variant>
        <vt:lpwstr>mailto:renser@sakarya.edu.tr</vt:lpwstr>
      </vt:variant>
      <vt:variant>
        <vt:lpwstr/>
      </vt:variant>
      <vt:variant>
        <vt:i4>1572911</vt:i4>
      </vt:variant>
      <vt:variant>
        <vt:i4>864</vt:i4>
      </vt:variant>
      <vt:variant>
        <vt:i4>0</vt:i4>
      </vt:variant>
      <vt:variant>
        <vt:i4>5</vt:i4>
      </vt:variant>
      <vt:variant>
        <vt:lpwstr>mailto:seyitahmetbudak@gmail.com</vt:lpwstr>
      </vt:variant>
      <vt:variant>
        <vt:lpwstr/>
      </vt:variant>
      <vt:variant>
        <vt:i4>5570607</vt:i4>
      </vt:variant>
      <vt:variant>
        <vt:i4>861</vt:i4>
      </vt:variant>
      <vt:variant>
        <vt:i4>0</vt:i4>
      </vt:variant>
      <vt:variant>
        <vt:i4>5</vt:i4>
      </vt:variant>
      <vt:variant>
        <vt:lpwstr>mailto:bbasaran@ybu.edu.tr</vt:lpwstr>
      </vt:variant>
      <vt:variant>
        <vt:lpwstr/>
      </vt:variant>
      <vt:variant>
        <vt:i4>1572986</vt:i4>
      </vt:variant>
      <vt:variant>
        <vt:i4>858</vt:i4>
      </vt:variant>
      <vt:variant>
        <vt:i4>0</vt:i4>
      </vt:variant>
      <vt:variant>
        <vt:i4>5</vt:i4>
      </vt:variant>
      <vt:variant>
        <vt:lpwstr>mailto:derya.akclk@gmail.com</vt:lpwstr>
      </vt:variant>
      <vt:variant>
        <vt:lpwstr/>
      </vt:variant>
      <vt:variant>
        <vt:i4>5636199</vt:i4>
      </vt:variant>
      <vt:variant>
        <vt:i4>855</vt:i4>
      </vt:variant>
      <vt:variant>
        <vt:i4>0</vt:i4>
      </vt:variant>
      <vt:variant>
        <vt:i4>5</vt:i4>
      </vt:variant>
      <vt:variant>
        <vt:lpwstr>mailto:sukrandertli25@gmail.com</vt:lpwstr>
      </vt:variant>
      <vt:variant>
        <vt:lpwstr/>
      </vt:variant>
      <vt:variant>
        <vt:i4>6619211</vt:i4>
      </vt:variant>
      <vt:variant>
        <vt:i4>852</vt:i4>
      </vt:variant>
      <vt:variant>
        <vt:i4>0</vt:i4>
      </vt:variant>
      <vt:variant>
        <vt:i4>5</vt:i4>
      </vt:variant>
      <vt:variant>
        <vt:lpwstr>mailto:oguzhanyilmaz9352@gmail.com</vt:lpwstr>
      </vt:variant>
      <vt:variant>
        <vt:lpwstr/>
      </vt:variant>
      <vt:variant>
        <vt:i4>5636199</vt:i4>
      </vt:variant>
      <vt:variant>
        <vt:i4>849</vt:i4>
      </vt:variant>
      <vt:variant>
        <vt:i4>0</vt:i4>
      </vt:variant>
      <vt:variant>
        <vt:i4>5</vt:i4>
      </vt:variant>
      <vt:variant>
        <vt:lpwstr>mailto:sukrandertli25@gmail.com</vt:lpwstr>
      </vt:variant>
      <vt:variant>
        <vt:lpwstr/>
      </vt:variant>
      <vt:variant>
        <vt:i4>6619211</vt:i4>
      </vt:variant>
      <vt:variant>
        <vt:i4>846</vt:i4>
      </vt:variant>
      <vt:variant>
        <vt:i4>0</vt:i4>
      </vt:variant>
      <vt:variant>
        <vt:i4>5</vt:i4>
      </vt:variant>
      <vt:variant>
        <vt:lpwstr>mailto:oguzhanyilmaz9352@gmail.com</vt:lpwstr>
      </vt:variant>
      <vt:variant>
        <vt:lpwstr/>
      </vt:variant>
      <vt:variant>
        <vt:i4>4194421</vt:i4>
      </vt:variant>
      <vt:variant>
        <vt:i4>843</vt:i4>
      </vt:variant>
      <vt:variant>
        <vt:i4>0</vt:i4>
      </vt:variant>
      <vt:variant>
        <vt:i4>5</vt:i4>
      </vt:variant>
      <vt:variant>
        <vt:lpwstr>mailto:c.yesevi@iku.edu.tr</vt:lpwstr>
      </vt:variant>
      <vt:variant>
        <vt:lpwstr/>
      </vt:variant>
      <vt:variant>
        <vt:i4>3407883</vt:i4>
      </vt:variant>
      <vt:variant>
        <vt:i4>840</vt:i4>
      </vt:variant>
      <vt:variant>
        <vt:i4>0</vt:i4>
      </vt:variant>
      <vt:variant>
        <vt:i4>5</vt:i4>
      </vt:variant>
      <vt:variant>
        <vt:lpwstr>mailto:2200006954@stu.iku.edu.tr</vt:lpwstr>
      </vt:variant>
      <vt:variant>
        <vt:lpwstr/>
      </vt:variant>
      <vt:variant>
        <vt:i4>1507418</vt:i4>
      </vt:variant>
      <vt:variant>
        <vt:i4>837</vt:i4>
      </vt:variant>
      <vt:variant>
        <vt:i4>0</vt:i4>
      </vt:variant>
      <vt:variant>
        <vt:i4>5</vt:i4>
      </vt:variant>
      <vt:variant>
        <vt:lpwstr>http://doi.org/10.17632/83s86stvm2.1</vt:lpwstr>
      </vt:variant>
      <vt:variant>
        <vt:lpwstr/>
      </vt:variant>
      <vt:variant>
        <vt:i4>7471149</vt:i4>
      </vt:variant>
      <vt:variant>
        <vt:i4>834</vt:i4>
      </vt:variant>
      <vt:variant>
        <vt:i4>0</vt:i4>
      </vt:variant>
      <vt:variant>
        <vt:i4>5</vt:i4>
      </vt:variant>
      <vt:variant>
        <vt:lpwstr>https://data.worldbank.org/</vt:lpwstr>
      </vt:variant>
      <vt:variant>
        <vt:lpwstr/>
      </vt:variant>
      <vt:variant>
        <vt:i4>3342461</vt:i4>
      </vt:variant>
      <vt:variant>
        <vt:i4>831</vt:i4>
      </vt:variant>
      <vt:variant>
        <vt:i4>0</vt:i4>
      </vt:variant>
      <vt:variant>
        <vt:i4>5</vt:i4>
      </vt:variant>
      <vt:variant>
        <vt:lpwstr>https://doi.org/10.22440/wjae.3.2.1</vt:lpwstr>
      </vt:variant>
      <vt:variant>
        <vt:lpwstr/>
      </vt:variant>
      <vt:variant>
        <vt:i4>1114202</vt:i4>
      </vt:variant>
      <vt:variant>
        <vt:i4>828</vt:i4>
      </vt:variant>
      <vt:variant>
        <vt:i4>0</vt:i4>
      </vt:variant>
      <vt:variant>
        <vt:i4>5</vt:i4>
      </vt:variant>
      <vt:variant>
        <vt:lpwstr>https://doi.org/10.4324/9780203501764</vt:lpwstr>
      </vt:variant>
      <vt:variant>
        <vt:lpwstr/>
      </vt:variant>
      <vt:variant>
        <vt:i4>7078011</vt:i4>
      </vt:variant>
      <vt:variant>
        <vt:i4>825</vt:i4>
      </vt:variant>
      <vt:variant>
        <vt:i4>0</vt:i4>
      </vt:variant>
      <vt:variant>
        <vt:i4>5</vt:i4>
      </vt:variant>
      <vt:variant>
        <vt:lpwstr>https://mpra.ub.uni-muenchen.de/19747/</vt:lpwstr>
      </vt:variant>
      <vt:variant>
        <vt:lpwstr/>
      </vt:variant>
      <vt:variant>
        <vt:i4>11</vt:i4>
      </vt:variant>
      <vt:variant>
        <vt:i4>822</vt:i4>
      </vt:variant>
      <vt:variant>
        <vt:i4>0</vt:i4>
      </vt:variant>
      <vt:variant>
        <vt:i4>5</vt:i4>
      </vt:variant>
      <vt:variant>
        <vt:lpwstr>http://hdl.handle.net/11540/4229</vt:lpwstr>
      </vt:variant>
      <vt:variant>
        <vt:lpwstr/>
      </vt:variant>
      <vt:variant>
        <vt:i4>5177360</vt:i4>
      </vt:variant>
      <vt:variant>
        <vt:i4>819</vt:i4>
      </vt:variant>
      <vt:variant>
        <vt:i4>0</vt:i4>
      </vt:variant>
      <vt:variant>
        <vt:i4>5</vt:i4>
      </vt:variant>
      <vt:variant>
        <vt:lpwstr>https://doi.org/10.1016/j.jpolmod.2020.04.002</vt:lpwstr>
      </vt:variant>
      <vt:variant>
        <vt:lpwstr/>
      </vt:variant>
      <vt:variant>
        <vt:i4>917577</vt:i4>
      </vt:variant>
      <vt:variant>
        <vt:i4>816</vt:i4>
      </vt:variant>
      <vt:variant>
        <vt:i4>0</vt:i4>
      </vt:variant>
      <vt:variant>
        <vt:i4>5</vt:i4>
      </vt:variant>
      <vt:variant>
        <vt:lpwstr>https://doi.org/10.15604/ejef.2018.06.01.009</vt:lpwstr>
      </vt:variant>
      <vt:variant>
        <vt:lpwstr/>
      </vt:variant>
      <vt:variant>
        <vt:i4>2621542</vt:i4>
      </vt:variant>
      <vt:variant>
        <vt:i4>813</vt:i4>
      </vt:variant>
      <vt:variant>
        <vt:i4>0</vt:i4>
      </vt:variant>
      <vt:variant>
        <vt:i4>5</vt:i4>
      </vt:variant>
      <vt:variant>
        <vt:lpwstr>https://doi.org/10.2307/1913827</vt:lpwstr>
      </vt:variant>
      <vt:variant>
        <vt:lpwstr/>
      </vt:variant>
      <vt:variant>
        <vt:i4>2293863</vt:i4>
      </vt:variant>
      <vt:variant>
        <vt:i4>810</vt:i4>
      </vt:variant>
      <vt:variant>
        <vt:i4>0</vt:i4>
      </vt:variant>
      <vt:variant>
        <vt:i4>5</vt:i4>
      </vt:variant>
      <vt:variant>
        <vt:lpwstr>https://doi.org/10.2307/2621945</vt:lpwstr>
      </vt:variant>
      <vt:variant>
        <vt:lpwstr/>
      </vt:variant>
      <vt:variant>
        <vt:i4>4980823</vt:i4>
      </vt:variant>
      <vt:variant>
        <vt:i4>807</vt:i4>
      </vt:variant>
      <vt:variant>
        <vt:i4>0</vt:i4>
      </vt:variant>
      <vt:variant>
        <vt:i4>5</vt:i4>
      </vt:variant>
      <vt:variant>
        <vt:lpwstr>https://doi.org/10.1017/CBO9780511491252</vt:lpwstr>
      </vt:variant>
      <vt:variant>
        <vt:lpwstr/>
      </vt:variant>
      <vt:variant>
        <vt:i4>4259934</vt:i4>
      </vt:variant>
      <vt:variant>
        <vt:i4>804</vt:i4>
      </vt:variant>
      <vt:variant>
        <vt:i4>0</vt:i4>
      </vt:variant>
      <vt:variant>
        <vt:i4>5</vt:i4>
      </vt:variant>
      <vt:variant>
        <vt:lpwstr>https://doi.org/10.1017/CBO9780511817762</vt:lpwstr>
      </vt:variant>
      <vt:variant>
        <vt:lpwstr/>
      </vt:variant>
      <vt:variant>
        <vt:i4>2228283</vt:i4>
      </vt:variant>
      <vt:variant>
        <vt:i4>801</vt:i4>
      </vt:variant>
      <vt:variant>
        <vt:i4>0</vt:i4>
      </vt:variant>
      <vt:variant>
        <vt:i4>5</vt:i4>
      </vt:variant>
      <vt:variant>
        <vt:lpwstr>https://dergipark.org.tr/en/pub/guvenlikstrtj/issue/7544/99268</vt:lpwstr>
      </vt:variant>
      <vt:variant>
        <vt:lpwstr/>
      </vt:variant>
      <vt:variant>
        <vt:i4>4259855</vt:i4>
      </vt:variant>
      <vt:variant>
        <vt:i4>798</vt:i4>
      </vt:variant>
      <vt:variant>
        <vt:i4>0</vt:i4>
      </vt:variant>
      <vt:variant>
        <vt:i4>5</vt:i4>
      </vt:variant>
      <vt:variant>
        <vt:lpwstr>https://doi.org/10.1353/wp.1995.0001</vt:lpwstr>
      </vt:variant>
      <vt:variant>
        <vt:lpwstr/>
      </vt:variant>
      <vt:variant>
        <vt:i4>5570678</vt:i4>
      </vt:variant>
      <vt:variant>
        <vt:i4>795</vt:i4>
      </vt:variant>
      <vt:variant>
        <vt:i4>0</vt:i4>
      </vt:variant>
      <vt:variant>
        <vt:i4>5</vt:i4>
      </vt:variant>
      <vt:variant>
        <vt:lpwstr>mailto:sadik.caliskan@inonu.edu.tr</vt:lpwstr>
      </vt:variant>
      <vt:variant>
        <vt:lpwstr/>
      </vt:variant>
      <vt:variant>
        <vt:i4>6553693</vt:i4>
      </vt:variant>
      <vt:variant>
        <vt:i4>792</vt:i4>
      </vt:variant>
      <vt:variant>
        <vt:i4>0</vt:i4>
      </vt:variant>
      <vt:variant>
        <vt:i4>5</vt:i4>
      </vt:variant>
      <vt:variant>
        <vt:lpwstr>mailto:muminegokdal@gmail.com</vt:lpwstr>
      </vt:variant>
      <vt:variant>
        <vt:lpwstr/>
      </vt:variant>
      <vt:variant>
        <vt:i4>5898266</vt:i4>
      </vt:variant>
      <vt:variant>
        <vt:i4>789</vt:i4>
      </vt:variant>
      <vt:variant>
        <vt:i4>0</vt:i4>
      </vt:variant>
      <vt:variant>
        <vt:i4>5</vt:i4>
      </vt:variant>
      <vt:variant>
        <vt:lpwstr>https://orcid.org/0009-0000-4863-5898</vt:lpwstr>
      </vt:variant>
      <vt:variant>
        <vt:lpwstr/>
      </vt:variant>
      <vt:variant>
        <vt:i4>6357048</vt:i4>
      </vt:variant>
      <vt:variant>
        <vt:i4>786</vt:i4>
      </vt:variant>
      <vt:variant>
        <vt:i4>0</vt:i4>
      </vt:variant>
      <vt:variant>
        <vt:i4>5</vt:i4>
      </vt:variant>
      <vt:variant>
        <vt:lpwstr>https://doi.org/10.3390/bs13110931</vt:lpwstr>
      </vt:variant>
      <vt:variant>
        <vt:lpwstr/>
      </vt:variant>
      <vt:variant>
        <vt:i4>589838</vt:i4>
      </vt:variant>
      <vt:variant>
        <vt:i4>783</vt:i4>
      </vt:variant>
      <vt:variant>
        <vt:i4>0</vt:i4>
      </vt:variant>
      <vt:variant>
        <vt:i4>5</vt:i4>
      </vt:variant>
      <vt:variant>
        <vt:lpwstr>https://doi.org/10.3389/fpsyg.2020.544661</vt:lpwstr>
      </vt:variant>
      <vt:variant>
        <vt:lpwstr/>
      </vt:variant>
      <vt:variant>
        <vt:i4>262157</vt:i4>
      </vt:variant>
      <vt:variant>
        <vt:i4>780</vt:i4>
      </vt:variant>
      <vt:variant>
        <vt:i4>0</vt:i4>
      </vt:variant>
      <vt:variant>
        <vt:i4>5</vt:i4>
      </vt:variant>
      <vt:variant>
        <vt:lpwstr>https://doi.org/10.17066/tpdrd.1210122ey</vt:lpwstr>
      </vt:variant>
      <vt:variant>
        <vt:lpwstr/>
      </vt:variant>
      <vt:variant>
        <vt:i4>19136516</vt:i4>
      </vt:variant>
      <vt:variant>
        <vt:i4>777</vt:i4>
      </vt:variant>
      <vt:variant>
        <vt:i4>0</vt:i4>
      </vt:variant>
      <vt:variant>
        <vt:i4>5</vt:i4>
      </vt:variant>
      <vt:variant>
        <vt:lpwstr>https://doi.org/10.15329/2318-0498.00455_IN</vt:lpwstr>
      </vt:variant>
      <vt:variant>
        <vt:lpwstr/>
      </vt:variant>
      <vt:variant>
        <vt:i4>8323195</vt:i4>
      </vt:variant>
      <vt:variant>
        <vt:i4>774</vt:i4>
      </vt:variant>
      <vt:variant>
        <vt:i4>0</vt:i4>
      </vt:variant>
      <vt:variant>
        <vt:i4>5</vt:i4>
      </vt:variant>
      <vt:variant>
        <vt:lpwstr>https://doi.org/10.5505/kpd.2017.86158</vt:lpwstr>
      </vt:variant>
      <vt:variant>
        <vt:lpwstr/>
      </vt:variant>
      <vt:variant>
        <vt:i4>5308494</vt:i4>
      </vt:variant>
      <vt:variant>
        <vt:i4>771</vt:i4>
      </vt:variant>
      <vt:variant>
        <vt:i4>0</vt:i4>
      </vt:variant>
      <vt:variant>
        <vt:i4>5</vt:i4>
      </vt:variant>
      <vt:variant>
        <vt:lpwstr>https://doi.org/10.29044/v6i1p15</vt:lpwstr>
      </vt:variant>
      <vt:variant>
        <vt:lpwstr/>
      </vt:variant>
      <vt:variant>
        <vt:i4>2228320</vt:i4>
      </vt:variant>
      <vt:variant>
        <vt:i4>768</vt:i4>
      </vt:variant>
      <vt:variant>
        <vt:i4>0</vt:i4>
      </vt:variant>
      <vt:variant>
        <vt:i4>5</vt:i4>
      </vt:variant>
      <vt:variant>
        <vt:lpwstr>https://doi.org/10.2307/2785407</vt:lpwstr>
      </vt:variant>
      <vt:variant>
        <vt:lpwstr/>
      </vt:variant>
      <vt:variant>
        <vt:i4>6619261</vt:i4>
      </vt:variant>
      <vt:variant>
        <vt:i4>765</vt:i4>
      </vt:variant>
      <vt:variant>
        <vt:i4>0</vt:i4>
      </vt:variant>
      <vt:variant>
        <vt:i4>5</vt:i4>
      </vt:variant>
      <vt:variant>
        <vt:lpwstr>https://www.researchgate.net/publication/352173002</vt:lpwstr>
      </vt:variant>
      <vt:variant>
        <vt:lpwstr/>
      </vt:variant>
      <vt:variant>
        <vt:i4>2162737</vt:i4>
      </vt:variant>
      <vt:variant>
        <vt:i4>762</vt:i4>
      </vt:variant>
      <vt:variant>
        <vt:i4>0</vt:i4>
      </vt:variant>
      <vt:variant>
        <vt:i4>5</vt:i4>
      </vt:variant>
      <vt:variant>
        <vt:lpwstr>https://doi.org/10.1007/s11620-019-00501-8</vt:lpwstr>
      </vt:variant>
      <vt:variant>
        <vt:lpwstr/>
      </vt:variant>
      <vt:variant>
        <vt:i4>5373966</vt:i4>
      </vt:variant>
      <vt:variant>
        <vt:i4>759</vt:i4>
      </vt:variant>
      <vt:variant>
        <vt:i4>0</vt:i4>
      </vt:variant>
      <vt:variant>
        <vt:i4>5</vt:i4>
      </vt:variant>
      <vt:variant>
        <vt:lpwstr>https://doi.org/10.1016/j.aip.2017.04.001</vt:lpwstr>
      </vt:variant>
      <vt:variant>
        <vt:lpwstr/>
      </vt:variant>
      <vt:variant>
        <vt:i4>6553719</vt:i4>
      </vt:variant>
      <vt:variant>
        <vt:i4>756</vt:i4>
      </vt:variant>
      <vt:variant>
        <vt:i4>0</vt:i4>
      </vt:variant>
      <vt:variant>
        <vt:i4>5</vt:i4>
      </vt:variant>
      <vt:variant>
        <vt:lpwstr>https://doi.org/10.30473/clpsy.2024.68482.1710</vt:lpwstr>
      </vt:variant>
      <vt:variant>
        <vt:lpwstr/>
      </vt:variant>
      <vt:variant>
        <vt:i4>786450</vt:i4>
      </vt:variant>
      <vt:variant>
        <vt:i4>753</vt:i4>
      </vt:variant>
      <vt:variant>
        <vt:i4>0</vt:i4>
      </vt:variant>
      <vt:variant>
        <vt:i4>5</vt:i4>
      </vt:variant>
      <vt:variant>
        <vt:lpwstr>https://doi.org/10.3389/fpsyt.2021.780542</vt:lpwstr>
      </vt:variant>
      <vt:variant>
        <vt:lpwstr/>
      </vt:variant>
      <vt:variant>
        <vt:i4>7274532</vt:i4>
      </vt:variant>
      <vt:variant>
        <vt:i4>750</vt:i4>
      </vt:variant>
      <vt:variant>
        <vt:i4>0</vt:i4>
      </vt:variant>
      <vt:variant>
        <vt:i4>5</vt:i4>
      </vt:variant>
      <vt:variant>
        <vt:lpwstr>https://doi.org/10.3390/ijerph18094442</vt:lpwstr>
      </vt:variant>
      <vt:variant>
        <vt:lpwstr/>
      </vt:variant>
      <vt:variant>
        <vt:i4>5701642</vt:i4>
      </vt:variant>
      <vt:variant>
        <vt:i4>747</vt:i4>
      </vt:variant>
      <vt:variant>
        <vt:i4>0</vt:i4>
      </vt:variant>
      <vt:variant>
        <vt:i4>5</vt:i4>
      </vt:variant>
      <vt:variant>
        <vt:lpwstr>https://doi.org/10.1016/j.aip.2003.11.004</vt:lpwstr>
      </vt:variant>
      <vt:variant>
        <vt:lpwstr/>
      </vt:variant>
      <vt:variant>
        <vt:i4>2293813</vt:i4>
      </vt:variant>
      <vt:variant>
        <vt:i4>744</vt:i4>
      </vt:variant>
      <vt:variant>
        <vt:i4>0</vt:i4>
      </vt:variant>
      <vt:variant>
        <vt:i4>5</vt:i4>
      </vt:variant>
      <vt:variant>
        <vt:lpwstr>https://doi.org/10.14201/eks.23921</vt:lpwstr>
      </vt:variant>
      <vt:variant>
        <vt:lpwstr/>
      </vt:variant>
      <vt:variant>
        <vt:i4>4980801</vt:i4>
      </vt:variant>
      <vt:variant>
        <vt:i4>741</vt:i4>
      </vt:variant>
      <vt:variant>
        <vt:i4>0</vt:i4>
      </vt:variant>
      <vt:variant>
        <vt:i4>5</vt:i4>
      </vt:variant>
      <vt:variant>
        <vt:lpwstr>https://doi.org/10.1111/ppc.12921</vt:lpwstr>
      </vt:variant>
      <vt:variant>
        <vt:lpwstr/>
      </vt:variant>
      <vt:variant>
        <vt:i4>5177421</vt:i4>
      </vt:variant>
      <vt:variant>
        <vt:i4>738</vt:i4>
      </vt:variant>
      <vt:variant>
        <vt:i4>0</vt:i4>
      </vt:variant>
      <vt:variant>
        <vt:i4>5</vt:i4>
      </vt:variant>
      <vt:variant>
        <vt:lpwstr>https://doi.org/10.1111/ppc.12510</vt:lpwstr>
      </vt:variant>
      <vt:variant>
        <vt:lpwstr/>
      </vt:variant>
      <vt:variant>
        <vt:i4>3932214</vt:i4>
      </vt:variant>
      <vt:variant>
        <vt:i4>735</vt:i4>
      </vt:variant>
      <vt:variant>
        <vt:i4>0</vt:i4>
      </vt:variant>
      <vt:variant>
        <vt:i4>5</vt:i4>
      </vt:variant>
      <vt:variant>
        <vt:lpwstr>https://doi.org/10.1016/j.nepr.2024.104118</vt:lpwstr>
      </vt:variant>
      <vt:variant>
        <vt:lpwstr/>
      </vt:variant>
      <vt:variant>
        <vt:i4>7012479</vt:i4>
      </vt:variant>
      <vt:variant>
        <vt:i4>732</vt:i4>
      </vt:variant>
      <vt:variant>
        <vt:i4>0</vt:i4>
      </vt:variant>
      <vt:variant>
        <vt:i4>5</vt:i4>
      </vt:variant>
      <vt:variant>
        <vt:lpwstr>https://doi.org/10.32598/ijpcp.26.4.3190.2</vt:lpwstr>
      </vt:variant>
      <vt:variant>
        <vt:lpwstr/>
      </vt:variant>
      <vt:variant>
        <vt:i4>5439497</vt:i4>
      </vt:variant>
      <vt:variant>
        <vt:i4>729</vt:i4>
      </vt:variant>
      <vt:variant>
        <vt:i4>0</vt:i4>
      </vt:variant>
      <vt:variant>
        <vt:i4>5</vt:i4>
      </vt:variant>
      <vt:variant>
        <vt:lpwstr>https://doi.org/10.1016/j.aip.2006.02.001</vt:lpwstr>
      </vt:variant>
      <vt:variant>
        <vt:lpwstr/>
      </vt:variant>
      <vt:variant>
        <vt:i4>327703</vt:i4>
      </vt:variant>
      <vt:variant>
        <vt:i4>726</vt:i4>
      </vt:variant>
      <vt:variant>
        <vt:i4>0</vt:i4>
      </vt:variant>
      <vt:variant>
        <vt:i4>5</vt:i4>
      </vt:variant>
      <vt:variant>
        <vt:lpwstr>https://doi.org/10.1007/s11620-015-0299-4</vt:lpwstr>
      </vt:variant>
      <vt:variant>
        <vt:lpwstr/>
      </vt:variant>
      <vt:variant>
        <vt:i4>5570568</vt:i4>
      </vt:variant>
      <vt:variant>
        <vt:i4>723</vt:i4>
      </vt:variant>
      <vt:variant>
        <vt:i4>0</vt:i4>
      </vt:variant>
      <vt:variant>
        <vt:i4>5</vt:i4>
      </vt:variant>
      <vt:variant>
        <vt:lpwstr>https://doi.org/10.1016/j.aip.2010.02.001</vt:lpwstr>
      </vt:variant>
      <vt:variant>
        <vt:lpwstr/>
      </vt:variant>
      <vt:variant>
        <vt:i4>655426</vt:i4>
      </vt:variant>
      <vt:variant>
        <vt:i4>720</vt:i4>
      </vt:variant>
      <vt:variant>
        <vt:i4>0</vt:i4>
      </vt:variant>
      <vt:variant>
        <vt:i4>5</vt:i4>
      </vt:variant>
      <vt:variant>
        <vt:lpwstr>https://doi.org/10.1080/87568225.2016.1239512</vt:lpwstr>
      </vt:variant>
      <vt:variant>
        <vt:lpwstr/>
      </vt:variant>
      <vt:variant>
        <vt:i4>3866686</vt:i4>
      </vt:variant>
      <vt:variant>
        <vt:i4>717</vt:i4>
      </vt:variant>
      <vt:variant>
        <vt:i4>0</vt:i4>
      </vt:variant>
      <vt:variant>
        <vt:i4>5</vt:i4>
      </vt:variant>
      <vt:variant>
        <vt:lpwstr>https://doi.org/10.3389/fpsyg.2023.1112711</vt:lpwstr>
      </vt:variant>
      <vt:variant>
        <vt:lpwstr/>
      </vt:variant>
      <vt:variant>
        <vt:i4>7471154</vt:i4>
      </vt:variant>
      <vt:variant>
        <vt:i4>714</vt:i4>
      </vt:variant>
      <vt:variant>
        <vt:i4>0</vt:i4>
      </vt:variant>
      <vt:variant>
        <vt:i4>5</vt:i4>
      </vt:variant>
      <vt:variant>
        <vt:lpwstr>https://doi.org/10.4081/ripppo.2017.272</vt:lpwstr>
      </vt:variant>
      <vt:variant>
        <vt:lpwstr/>
      </vt:variant>
      <vt:variant>
        <vt:i4>3342389</vt:i4>
      </vt:variant>
      <vt:variant>
        <vt:i4>711</vt:i4>
      </vt:variant>
      <vt:variant>
        <vt:i4>0</vt:i4>
      </vt:variant>
      <vt:variant>
        <vt:i4>5</vt:i4>
      </vt:variant>
      <vt:variant>
        <vt:lpwstr>https://doi.org/10.14744/phd.2019.96636</vt:lpwstr>
      </vt:variant>
      <vt:variant>
        <vt:lpwstr/>
      </vt:variant>
      <vt:variant>
        <vt:i4>4456521</vt:i4>
      </vt:variant>
      <vt:variant>
        <vt:i4>708</vt:i4>
      </vt:variant>
      <vt:variant>
        <vt:i4>0</vt:i4>
      </vt:variant>
      <vt:variant>
        <vt:i4>5</vt:i4>
      </vt:variant>
      <vt:variant>
        <vt:lpwstr>https://doi.org/10.1089/jpm.2012.0030</vt:lpwstr>
      </vt:variant>
      <vt:variant>
        <vt:lpwstr/>
      </vt:variant>
      <vt:variant>
        <vt:i4>2293812</vt:i4>
      </vt:variant>
      <vt:variant>
        <vt:i4>705</vt:i4>
      </vt:variant>
      <vt:variant>
        <vt:i4>0</vt:i4>
      </vt:variant>
      <vt:variant>
        <vt:i4>5</vt:i4>
      </vt:variant>
      <vt:variant>
        <vt:lpwstr>https://doi.org/10.1007/s11620-020-00560-2</vt:lpwstr>
      </vt:variant>
      <vt:variant>
        <vt:lpwstr/>
      </vt:variant>
      <vt:variant>
        <vt:i4>5701653</vt:i4>
      </vt:variant>
      <vt:variant>
        <vt:i4>702</vt:i4>
      </vt:variant>
      <vt:variant>
        <vt:i4>0</vt:i4>
      </vt:variant>
      <vt:variant>
        <vt:i4>5</vt:i4>
      </vt:variant>
      <vt:variant>
        <vt:lpwstr>https://doi.org/10.18502/jchr.v10i4.8335</vt:lpwstr>
      </vt:variant>
      <vt:variant>
        <vt:lpwstr/>
      </vt:variant>
      <vt:variant>
        <vt:i4>5111825</vt:i4>
      </vt:variant>
      <vt:variant>
        <vt:i4>699</vt:i4>
      </vt:variant>
      <vt:variant>
        <vt:i4>0</vt:i4>
      </vt:variant>
      <vt:variant>
        <vt:i4>5</vt:i4>
      </vt:variant>
      <vt:variant>
        <vt:lpwstr>https://doi.org/10.4236/psych.2013.43A037</vt:lpwstr>
      </vt:variant>
      <vt:variant>
        <vt:lpwstr/>
      </vt:variant>
      <vt:variant>
        <vt:i4>720972</vt:i4>
      </vt:variant>
      <vt:variant>
        <vt:i4>696</vt:i4>
      </vt:variant>
      <vt:variant>
        <vt:i4>0</vt:i4>
      </vt:variant>
      <vt:variant>
        <vt:i4>5</vt:i4>
      </vt:variant>
      <vt:variant>
        <vt:lpwstr>https://doi.org/10.26466/opus.864561</vt:lpwstr>
      </vt:variant>
      <vt:variant>
        <vt:lpwstr/>
      </vt:variant>
      <vt:variant>
        <vt:i4>8126550</vt:i4>
      </vt:variant>
      <vt:variant>
        <vt:i4>693</vt:i4>
      </vt:variant>
      <vt:variant>
        <vt:i4>0</vt:i4>
      </vt:variant>
      <vt:variant>
        <vt:i4>5</vt:i4>
      </vt:variant>
      <vt:variant>
        <vt:lpwstr>mailto:salih.tosun@balikesir.edu.tr</vt:lpwstr>
      </vt:variant>
      <vt:variant>
        <vt:lpwstr/>
      </vt:variant>
      <vt:variant>
        <vt:i4>8126550</vt:i4>
      </vt:variant>
      <vt:variant>
        <vt:i4>690</vt:i4>
      </vt:variant>
      <vt:variant>
        <vt:i4>0</vt:i4>
      </vt:variant>
      <vt:variant>
        <vt:i4>5</vt:i4>
      </vt:variant>
      <vt:variant>
        <vt:lpwstr>mailto:salih.tosun@balikesir.edu.tr</vt:lpwstr>
      </vt:variant>
      <vt:variant>
        <vt:lpwstr/>
      </vt:variant>
      <vt:variant>
        <vt:i4>5832724</vt:i4>
      </vt:variant>
      <vt:variant>
        <vt:i4>687</vt:i4>
      </vt:variant>
      <vt:variant>
        <vt:i4>0</vt:i4>
      </vt:variant>
      <vt:variant>
        <vt:i4>5</vt:i4>
      </vt:variant>
      <vt:variant>
        <vt:lpwstr>https://orcid.org/0000-0001-7656-5786</vt:lpwstr>
      </vt:variant>
      <vt:variant>
        <vt:lpwstr/>
      </vt:variant>
      <vt:variant>
        <vt:i4>7667741</vt:i4>
      </vt:variant>
      <vt:variant>
        <vt:i4>684</vt:i4>
      </vt:variant>
      <vt:variant>
        <vt:i4>0</vt:i4>
      </vt:variant>
      <vt:variant>
        <vt:i4>5</vt:i4>
      </vt:variant>
      <vt:variant>
        <vt:lpwstr>mailto:engin.eryilmaz@hotmail.com</vt:lpwstr>
      </vt:variant>
      <vt:variant>
        <vt:lpwstr/>
      </vt:variant>
      <vt:variant>
        <vt:i4>5374077</vt:i4>
      </vt:variant>
      <vt:variant>
        <vt:i4>681</vt:i4>
      </vt:variant>
      <vt:variant>
        <vt:i4>0</vt:i4>
      </vt:variant>
      <vt:variant>
        <vt:i4>5</vt:i4>
      </vt:variant>
      <vt:variant>
        <vt:lpwstr>mailto:emel.cokogullar@dpu.edu.tr</vt:lpwstr>
      </vt:variant>
      <vt:variant>
        <vt:lpwstr/>
      </vt:variant>
      <vt:variant>
        <vt:i4>5374077</vt:i4>
      </vt:variant>
      <vt:variant>
        <vt:i4>678</vt:i4>
      </vt:variant>
      <vt:variant>
        <vt:i4>0</vt:i4>
      </vt:variant>
      <vt:variant>
        <vt:i4>5</vt:i4>
      </vt:variant>
      <vt:variant>
        <vt:lpwstr>mailto:emel.cokogullar@dpu.edu.tr</vt:lpwstr>
      </vt:variant>
      <vt:variant>
        <vt:lpwstr/>
      </vt:variant>
      <vt:variant>
        <vt:i4>5374077</vt:i4>
      </vt:variant>
      <vt:variant>
        <vt:i4>675</vt:i4>
      </vt:variant>
      <vt:variant>
        <vt:i4>0</vt:i4>
      </vt:variant>
      <vt:variant>
        <vt:i4>5</vt:i4>
      </vt:variant>
      <vt:variant>
        <vt:lpwstr>mailto:emel.cokogullar@dpu.edu.tr</vt:lpwstr>
      </vt:variant>
      <vt:variant>
        <vt:lpwstr/>
      </vt:variant>
      <vt:variant>
        <vt:i4>5374077</vt:i4>
      </vt:variant>
      <vt:variant>
        <vt:i4>672</vt:i4>
      </vt:variant>
      <vt:variant>
        <vt:i4>0</vt:i4>
      </vt:variant>
      <vt:variant>
        <vt:i4>5</vt:i4>
      </vt:variant>
      <vt:variant>
        <vt:lpwstr>mailto:emel.cokogullar@dpu.edu.tr</vt:lpwstr>
      </vt:variant>
      <vt:variant>
        <vt:lpwstr/>
      </vt:variant>
      <vt:variant>
        <vt:i4>131153</vt:i4>
      </vt:variant>
      <vt:variant>
        <vt:i4>669</vt:i4>
      </vt:variant>
      <vt:variant>
        <vt:i4>0</vt:i4>
      </vt:variant>
      <vt:variant>
        <vt:i4>5</vt:i4>
      </vt:variant>
      <vt:variant>
        <vt:lpwstr>https://www.mevzuat.gov.tr/mevzuatmetin/1.5.4721.pdf</vt:lpwstr>
      </vt:variant>
      <vt:variant>
        <vt:lpwstr/>
      </vt:variant>
      <vt:variant>
        <vt:i4>2818103</vt:i4>
      </vt:variant>
      <vt:variant>
        <vt:i4>666</vt:i4>
      </vt:variant>
      <vt:variant>
        <vt:i4>0</vt:i4>
      </vt:variant>
      <vt:variant>
        <vt:i4>5</vt:i4>
      </vt:variant>
      <vt:variant>
        <vt:lpwstr>https://data.tuik.gov.tr/Bulten/Index?p=Istatistiklerle-Aile-2023-%0953784</vt:lpwstr>
      </vt:variant>
      <vt:variant>
        <vt:lpwstr>:~:text=ADNKS%20sonu%C3%A7lar%C4%B1na%20g%C3%B6re%2C%20201%205%20y%C4%B1l%C4%B1nda,%2C7'ye%20y%C3%BCkseldi%C4%9Fi%20g%C3%B6r%20%C3%BCld%C3%BC</vt:lpwstr>
      </vt:variant>
      <vt:variant>
        <vt:i4>2949231</vt:i4>
      </vt:variant>
      <vt:variant>
        <vt:i4>663</vt:i4>
      </vt:variant>
      <vt:variant>
        <vt:i4>0</vt:i4>
      </vt:variant>
      <vt:variant>
        <vt:i4>5</vt:i4>
      </vt:variant>
      <vt:variant>
        <vt:lpwstr>https://data.tuik.gov.tr/Bulten/Index?p=Dogum-Istatistikleri-2023-53708</vt:lpwstr>
      </vt:variant>
      <vt:variant>
        <vt:lpwstr/>
      </vt:variant>
      <vt:variant>
        <vt:i4>8257576</vt:i4>
      </vt:variant>
      <vt:variant>
        <vt:i4>660</vt:i4>
      </vt:variant>
      <vt:variant>
        <vt:i4>0</vt:i4>
      </vt:variant>
      <vt:variant>
        <vt:i4>5</vt:i4>
      </vt:variant>
      <vt:variant>
        <vt:lpwstr>https://www.theguardian.com/film/article/2024/sep/10/selena-gomez-%09carrying-children-pregnancy-vanity-fair-interview-health-issues-lupus-bipolar</vt:lpwstr>
      </vt:variant>
      <vt:variant>
        <vt:lpwstr/>
      </vt:variant>
      <vt:variant>
        <vt:i4>7471147</vt:i4>
      </vt:variant>
      <vt:variant>
        <vt:i4>657</vt:i4>
      </vt:variant>
      <vt:variant>
        <vt:i4>0</vt:i4>
      </vt:variant>
      <vt:variant>
        <vt:i4>5</vt:i4>
      </vt:variant>
      <vt:variant>
        <vt:lpwstr>https://t24.com.tr/haber/britanya-da-bir-grup-erkek-babalik-izninin-iyilestirilmesi-icin-%09heykellere-bebek-askisi-bagladi,1184540</vt:lpwstr>
      </vt:variant>
      <vt:variant>
        <vt:lpwstr/>
      </vt:variant>
      <vt:variant>
        <vt:i4>1048665</vt:i4>
      </vt:variant>
      <vt:variant>
        <vt:i4>654</vt:i4>
      </vt:variant>
      <vt:variant>
        <vt:i4>0</vt:i4>
      </vt:variant>
      <vt:variant>
        <vt:i4>5</vt:i4>
      </vt:variant>
      <vt:variant>
        <vt:lpwstr>https://www.pewresearch.org/social-trends/2024/07/25/the-experiences-of-u-s-adults-%09who-dont-have-children/</vt:lpwstr>
      </vt:variant>
      <vt:variant>
        <vt:lpwstr/>
      </vt:variant>
      <vt:variant>
        <vt:i4>3342447</vt:i4>
      </vt:variant>
      <vt:variant>
        <vt:i4>651</vt:i4>
      </vt:variant>
      <vt:variant>
        <vt:i4>0</vt:i4>
      </vt:variant>
      <vt:variant>
        <vt:i4>5</vt:i4>
      </vt:variant>
      <vt:variant>
        <vt:lpwstr>https://www.news.gov.hk/eng/2020/12/20201204/20201204_111608_107.html</vt:lpwstr>
      </vt:variant>
      <vt:variant>
        <vt:lpwstr/>
      </vt:variant>
      <vt:variant>
        <vt:i4>1507408</vt:i4>
      </vt:variant>
      <vt:variant>
        <vt:i4>648</vt:i4>
      </vt:variant>
      <vt:variant>
        <vt:i4>0</vt:i4>
      </vt:variant>
      <vt:variant>
        <vt:i4>5</vt:i4>
      </vt:variant>
      <vt:variant>
        <vt:lpwstr>https://www.scmp.com/news/hong-kong/health-%09environment/article/3277215/extended-paid-maternity-leave-led-22-drop-hong-kongs-%09postnatal-depression-cases</vt:lpwstr>
      </vt:variant>
      <vt:variant>
        <vt:lpwstr/>
      </vt:variant>
      <vt:variant>
        <vt:i4>8061307</vt:i4>
      </vt:variant>
      <vt:variant>
        <vt:i4>645</vt:i4>
      </vt:variant>
      <vt:variant>
        <vt:i4>0</vt:i4>
      </vt:variant>
      <vt:variant>
        <vt:i4>5</vt:i4>
      </vt:variant>
      <vt:variant>
        <vt:lpwstr>https://www.hurriyet.com.tr/kelebek/magazin/jennifer-aniston-biri-de-bana-%09yumurtalarini-dondur-demedi-o-gemi-gitti-artik-%0942168420</vt:lpwstr>
      </vt:variant>
      <vt:variant>
        <vt:lpwstr>:~:text='KE%C5%9EKE%20B%C4%B0R%C4%B0%20BANA%20YUMUR%20TALARIMI%20DONDURMAMI,Gemi%20gitti.%22</vt:lpwstr>
      </vt:variant>
      <vt:variant>
        <vt:i4>25</vt:i4>
      </vt:variant>
      <vt:variant>
        <vt:i4>642</vt:i4>
      </vt:variant>
      <vt:variant>
        <vt:i4>0</vt:i4>
      </vt:variant>
      <vt:variant>
        <vt:i4>5</vt:i4>
      </vt:variant>
      <vt:variant>
        <vt:lpwstr>https://www.goodmorningamerica.com/culture/story/jennifer-aniston-calls-motherhood-%09pressure-unfair-women-27597407</vt:lpwstr>
      </vt:variant>
      <vt:variant>
        <vt:lpwstr/>
      </vt:variant>
      <vt:variant>
        <vt:i4>5439550</vt:i4>
      </vt:variant>
      <vt:variant>
        <vt:i4>639</vt:i4>
      </vt:variant>
      <vt:variant>
        <vt:i4>0</vt:i4>
      </vt:variant>
      <vt:variant>
        <vt:i4>5</vt:i4>
      </vt:variant>
      <vt:variant>
        <vt:lpwstr>https://ec.europa.eu/eurostat/statistics-%09explained/index.php?title=Fertility_statistics</vt:lpwstr>
      </vt:variant>
      <vt:variant>
        <vt:lpwstr/>
      </vt:variant>
      <vt:variant>
        <vt:i4>7274548</vt:i4>
      </vt:variant>
      <vt:variant>
        <vt:i4>636</vt:i4>
      </vt:variant>
      <vt:variant>
        <vt:i4>0</vt:i4>
      </vt:variant>
      <vt:variant>
        <vt:i4>5</vt:i4>
      </vt:variant>
      <vt:variant>
        <vt:lpwstr>https://www.nytimes.com/interactive/2018/08/04/upshot/up-birth-age-gap.html</vt:lpwstr>
      </vt:variant>
      <vt:variant>
        <vt:lpwstr/>
      </vt:variant>
      <vt:variant>
        <vt:i4>1572924</vt:i4>
      </vt:variant>
      <vt:variant>
        <vt:i4>633</vt:i4>
      </vt:variant>
      <vt:variant>
        <vt:i4>0</vt:i4>
      </vt:variant>
      <vt:variant>
        <vt:i4>5</vt:i4>
      </vt:variant>
      <vt:variant>
        <vt:lpwstr>mailto:ogzuyar@gmail.com</vt:lpwstr>
      </vt:variant>
      <vt:variant>
        <vt:lpwstr/>
      </vt:variant>
      <vt:variant>
        <vt:i4>852046</vt:i4>
      </vt:variant>
      <vt:variant>
        <vt:i4>630</vt:i4>
      </vt:variant>
      <vt:variant>
        <vt:i4>0</vt:i4>
      </vt:variant>
      <vt:variant>
        <vt:i4>5</vt:i4>
      </vt:variant>
      <vt:variant>
        <vt:lpwstr>https://doi.org/10.53844/flsf.1024561</vt:lpwstr>
      </vt:variant>
      <vt:variant>
        <vt:lpwstr/>
      </vt:variant>
      <vt:variant>
        <vt:i4>3080313</vt:i4>
      </vt:variant>
      <vt:variant>
        <vt:i4>627</vt:i4>
      </vt:variant>
      <vt:variant>
        <vt:i4>0</vt:i4>
      </vt:variant>
      <vt:variant>
        <vt:i4>5</vt:i4>
      </vt:variant>
      <vt:variant>
        <vt:lpwstr>about:blank</vt:lpwstr>
      </vt:variant>
      <vt:variant>
        <vt:lpwstr/>
      </vt:variant>
      <vt:variant>
        <vt:i4>3080313</vt:i4>
      </vt:variant>
      <vt:variant>
        <vt:i4>624</vt:i4>
      </vt:variant>
      <vt:variant>
        <vt:i4>0</vt:i4>
      </vt:variant>
      <vt:variant>
        <vt:i4>5</vt:i4>
      </vt:variant>
      <vt:variant>
        <vt:lpwstr>about:blank</vt:lpwstr>
      </vt:variant>
      <vt:variant>
        <vt:lpwstr/>
      </vt:variant>
      <vt:variant>
        <vt:i4>3604494</vt:i4>
      </vt:variant>
      <vt:variant>
        <vt:i4>621</vt:i4>
      </vt:variant>
      <vt:variant>
        <vt:i4>0</vt:i4>
      </vt:variant>
      <vt:variant>
        <vt:i4>5</vt:i4>
      </vt:variant>
      <vt:variant>
        <vt:lpwstr>mailto:cihantekin94@gmail.com</vt:lpwstr>
      </vt:variant>
      <vt:variant>
        <vt:lpwstr/>
      </vt:variant>
      <vt:variant>
        <vt:i4>1638425</vt:i4>
      </vt:variant>
      <vt:variant>
        <vt:i4>618</vt:i4>
      </vt:variant>
      <vt:variant>
        <vt:i4>0</vt:i4>
      </vt:variant>
      <vt:variant>
        <vt:i4>5</vt:i4>
      </vt:variant>
      <vt:variant>
        <vt:lpwstr>https://dergipark.org.tr/tr/pub/sutad/issue/26301/277164</vt:lpwstr>
      </vt:variant>
      <vt:variant>
        <vt:lpwstr/>
      </vt:variant>
      <vt:variant>
        <vt:i4>5046388</vt:i4>
      </vt:variant>
      <vt:variant>
        <vt:i4>615</vt:i4>
      </vt:variant>
      <vt:variant>
        <vt:i4>0</vt:i4>
      </vt:variant>
      <vt:variant>
        <vt:i4>5</vt:i4>
      </vt:variant>
      <vt:variant>
        <vt:lpwstr>https://turkishstudies.net/turkishstudies?mod=makale_tr_ozet&amp;makale_id=15058</vt:lpwstr>
      </vt:variant>
      <vt:variant>
        <vt:lpwstr/>
      </vt:variant>
      <vt:variant>
        <vt:i4>3735604</vt:i4>
      </vt:variant>
      <vt:variant>
        <vt:i4>612</vt:i4>
      </vt:variant>
      <vt:variant>
        <vt:i4>0</vt:i4>
      </vt:variant>
      <vt:variant>
        <vt:i4>5</vt:i4>
      </vt:variant>
      <vt:variant>
        <vt:lpwstr>https://dergipark.org.tr/tr/pub/soylemdergi/article/460652</vt:lpwstr>
      </vt:variant>
      <vt:variant>
        <vt:lpwstr/>
      </vt:variant>
      <vt:variant>
        <vt:i4>7274529</vt:i4>
      </vt:variant>
      <vt:variant>
        <vt:i4>609</vt:i4>
      </vt:variant>
      <vt:variant>
        <vt:i4>0</vt:i4>
      </vt:variant>
      <vt:variant>
        <vt:i4>5</vt:i4>
      </vt:variant>
      <vt:variant>
        <vt:lpwstr>https://islamansiklopedisi.org.tr/lamii-celebi</vt:lpwstr>
      </vt:variant>
      <vt:variant>
        <vt:lpwstr/>
      </vt:variant>
      <vt:variant>
        <vt:i4>4456529</vt:i4>
      </vt:variant>
      <vt:variant>
        <vt:i4>606</vt:i4>
      </vt:variant>
      <vt:variant>
        <vt:i4>0</vt:i4>
      </vt:variant>
      <vt:variant>
        <vt:i4>5</vt:i4>
      </vt:variant>
      <vt:variant>
        <vt:lpwstr>https://teis.yesevi.edu.tr/madde-detay/lamii-celebi-mahmud-osman</vt:lpwstr>
      </vt:variant>
      <vt:variant>
        <vt:lpwstr/>
      </vt:variant>
      <vt:variant>
        <vt:i4>2490420</vt:i4>
      </vt:variant>
      <vt:variant>
        <vt:i4>603</vt:i4>
      </vt:variant>
      <vt:variant>
        <vt:i4>0</vt:i4>
      </vt:variant>
      <vt:variant>
        <vt:i4>5</vt:i4>
      </vt:variant>
      <vt:variant>
        <vt:lpwstr>https://islamansiklopedisi.org.tr/arakiyye</vt:lpwstr>
      </vt:variant>
      <vt:variant>
        <vt:lpwstr/>
      </vt:variant>
      <vt:variant>
        <vt:i4>4522111</vt:i4>
      </vt:variant>
      <vt:variant>
        <vt:i4>600</vt:i4>
      </vt:variant>
      <vt:variant>
        <vt:i4>0</vt:i4>
      </vt:variant>
      <vt:variant>
        <vt:i4>5</vt:i4>
      </vt:variant>
      <vt:variant>
        <vt:lpwstr>https://turkishstudies.net/turkishstudies?mod=makale_tr_ozet&amp;makale_id=18737</vt:lpwstr>
      </vt:variant>
      <vt:variant>
        <vt:lpwstr/>
      </vt:variant>
      <vt:variant>
        <vt:i4>5308433</vt:i4>
      </vt:variant>
      <vt:variant>
        <vt:i4>597</vt:i4>
      </vt:variant>
      <vt:variant>
        <vt:i4>0</vt:i4>
      </vt:variant>
      <vt:variant>
        <vt:i4>5</vt:i4>
      </vt:variant>
      <vt:variant>
        <vt:lpwstr>https://islamansiklopedisi.org.tr/hayali-bey</vt:lpwstr>
      </vt:variant>
      <vt:variant>
        <vt:lpwstr/>
      </vt:variant>
      <vt:variant>
        <vt:i4>2949180</vt:i4>
      </vt:variant>
      <vt:variant>
        <vt:i4>594</vt:i4>
      </vt:variant>
      <vt:variant>
        <vt:i4>0</vt:i4>
      </vt:variant>
      <vt:variant>
        <vt:i4>5</vt:i4>
      </vt:variant>
      <vt:variant>
        <vt:lpwstr>https://dergipark.org.tr/tr/pub/cbayarsos/issue/4067/53689</vt:lpwstr>
      </vt:variant>
      <vt:variant>
        <vt:lpwstr/>
      </vt:variant>
      <vt:variant>
        <vt:i4>78</vt:i4>
      </vt:variant>
      <vt:variant>
        <vt:i4>591</vt:i4>
      </vt:variant>
      <vt:variant>
        <vt:i4>0</vt:i4>
      </vt:variant>
      <vt:variant>
        <vt:i4>5</vt:i4>
      </vt:variant>
      <vt:variant>
        <vt:lpwstr>https://dergipark.org.tr/tr/pub/oa/issue/10950/130874</vt:lpwstr>
      </vt:variant>
      <vt:variant>
        <vt:lpwstr/>
      </vt:variant>
      <vt:variant>
        <vt:i4>3997793</vt:i4>
      </vt:variant>
      <vt:variant>
        <vt:i4>588</vt:i4>
      </vt:variant>
      <vt:variant>
        <vt:i4>0</vt:i4>
      </vt:variant>
      <vt:variant>
        <vt:i4>5</vt:i4>
      </vt:variant>
      <vt:variant>
        <vt:lpwstr>https://teis.yesevi.edu.tr/madde-detay/hayali-bey-hayali-mehmed-hayali</vt:lpwstr>
      </vt:variant>
      <vt:variant>
        <vt:lpwstr/>
      </vt:variant>
      <vt:variant>
        <vt:i4>1179648</vt:i4>
      </vt:variant>
      <vt:variant>
        <vt:i4>585</vt:i4>
      </vt:variant>
      <vt:variant>
        <vt:i4>0</vt:i4>
      </vt:variant>
      <vt:variant>
        <vt:i4>5</vt:i4>
      </vt:variant>
      <vt:variant>
        <vt:lpwstr>https://dergipark.org.tr/tr/pub/estad/issue/78269/1287924</vt:lpwstr>
      </vt:variant>
      <vt:variant>
        <vt:lpwstr/>
      </vt:variant>
      <vt:variant>
        <vt:i4>3080317</vt:i4>
      </vt:variant>
      <vt:variant>
        <vt:i4>582</vt:i4>
      </vt:variant>
      <vt:variant>
        <vt:i4>0</vt:i4>
      </vt:variant>
      <vt:variant>
        <vt:i4>5</vt:i4>
      </vt:variant>
      <vt:variant>
        <vt:lpwstr>https://dergipark.org.tr/tr/pub/hikmet/issue/77090/1158734</vt:lpwstr>
      </vt:variant>
      <vt:variant>
        <vt:lpwstr/>
      </vt:variant>
      <vt:variant>
        <vt:i4>4587643</vt:i4>
      </vt:variant>
      <vt:variant>
        <vt:i4>579</vt:i4>
      </vt:variant>
      <vt:variant>
        <vt:i4>0</vt:i4>
      </vt:variant>
      <vt:variant>
        <vt:i4>5</vt:i4>
      </vt:variant>
      <vt:variant>
        <vt:lpwstr>https://turkishstudies.net/turkishstudies?mod=makale_tr_ozet&amp;makale_id=17281</vt:lpwstr>
      </vt:variant>
      <vt:variant>
        <vt:lpwstr/>
      </vt:variant>
      <vt:variant>
        <vt:i4>4980791</vt:i4>
      </vt:variant>
      <vt:variant>
        <vt:i4>576</vt:i4>
      </vt:variant>
      <vt:variant>
        <vt:i4>0</vt:i4>
      </vt:variant>
      <vt:variant>
        <vt:i4>5</vt:i4>
      </vt:variant>
      <vt:variant>
        <vt:lpwstr>mailto:hkavas@cumhuriyet.edu.tr</vt:lpwstr>
      </vt:variant>
      <vt:variant>
        <vt:lpwstr/>
      </vt:variant>
      <vt:variant>
        <vt:i4>3211361</vt:i4>
      </vt:variant>
      <vt:variant>
        <vt:i4>573</vt:i4>
      </vt:variant>
      <vt:variant>
        <vt:i4>0</vt:i4>
      </vt:variant>
      <vt:variant>
        <vt:i4>5</vt:i4>
      </vt:variant>
      <vt:variant>
        <vt:lpwstr>https://www.moe.gov.ae/Ar/AboutTheMinistry/Documents/FinalG.pdf</vt:lpwstr>
      </vt:variant>
      <vt:variant>
        <vt:lpwstr/>
      </vt:variant>
      <vt:variant>
        <vt:i4>1114117</vt:i4>
      </vt:variant>
      <vt:variant>
        <vt:i4>570</vt:i4>
      </vt:variant>
      <vt:variant>
        <vt:i4>0</vt:i4>
      </vt:variant>
      <vt:variant>
        <vt:i4>5</vt:i4>
      </vt:variant>
      <vt:variant>
        <vt:lpwstr>https://www.surgem.org.tr/kurumsal/surgemhakkinda</vt:lpwstr>
      </vt:variant>
      <vt:variant>
        <vt:lpwstr/>
      </vt:variant>
      <vt:variant>
        <vt:i4>7995439</vt:i4>
      </vt:variant>
      <vt:variant>
        <vt:i4>567</vt:i4>
      </vt:variant>
      <vt:variant>
        <vt:i4>0</vt:i4>
      </vt:variant>
      <vt:variant>
        <vt:i4>5</vt:i4>
      </vt:variant>
      <vt:variant>
        <vt:lpwstr>https://www.abacademies.org/articles/the-status-of-accounting-education-and-improvement-processes-in-uae-11757.html</vt:lpwstr>
      </vt:variant>
      <vt:variant>
        <vt:lpwstr/>
      </vt:variant>
      <vt:variant>
        <vt:i4>6946913</vt:i4>
      </vt:variant>
      <vt:variant>
        <vt:i4>564</vt:i4>
      </vt:variant>
      <vt:variant>
        <vt:i4>0</vt:i4>
      </vt:variant>
      <vt:variant>
        <vt:i4>5</vt:i4>
      </vt:variant>
      <vt:variant>
        <vt:lpwstr>https://www.kfu.edu.sa/ar/Colleges/business-administration/Pages/Master-Accounting.aspx</vt:lpwstr>
      </vt:variant>
      <vt:variant>
        <vt:lpwstr/>
      </vt:variant>
      <vt:variant>
        <vt:i4>7274529</vt:i4>
      </vt:variant>
      <vt:variant>
        <vt:i4>561</vt:i4>
      </vt:variant>
      <vt:variant>
        <vt:i4>0</vt:i4>
      </vt:variant>
      <vt:variant>
        <vt:i4>5</vt:i4>
      </vt:variant>
      <vt:variant>
        <vt:lpwstr>https://www.kfu.edu.sa/ar/Colleges/AppliedSciences/CollegeDepartments/Pages/Accounting.aspx</vt:lpwstr>
      </vt:variant>
      <vt:variant>
        <vt:lpwstr/>
      </vt:variant>
      <vt:variant>
        <vt:i4>2293886</vt:i4>
      </vt:variant>
      <vt:variant>
        <vt:i4>558</vt:i4>
      </vt:variant>
      <vt:variant>
        <vt:i4>0</vt:i4>
      </vt:variant>
      <vt:variant>
        <vt:i4>5</vt:i4>
      </vt:variant>
      <vt:variant>
        <vt:lpwstr>https://2u.pw/snpZEX3T</vt:lpwstr>
      </vt:variant>
      <vt:variant>
        <vt:lpwstr/>
      </vt:variant>
      <vt:variant>
        <vt:i4>2555948</vt:i4>
      </vt:variant>
      <vt:variant>
        <vt:i4>555</vt:i4>
      </vt:variant>
      <vt:variant>
        <vt:i4>0</vt:i4>
      </vt:variant>
      <vt:variant>
        <vt:i4>5</vt:i4>
      </vt:variant>
      <vt:variant>
        <vt:lpwstr>https://2u.pw/SZNsiDSQ</vt:lpwstr>
      </vt:variant>
      <vt:variant>
        <vt:lpwstr/>
      </vt:variant>
      <vt:variant>
        <vt:i4>5570579</vt:i4>
      </vt:variant>
      <vt:variant>
        <vt:i4>552</vt:i4>
      </vt:variant>
      <vt:variant>
        <vt:i4>0</vt:i4>
      </vt:variant>
      <vt:variant>
        <vt:i4>5</vt:i4>
      </vt:variant>
      <vt:variant>
        <vt:lpwstr>https://cdn.adu.ac.ae/images-container/docs/default-source/catalogs/ug-catalog-23-24.pdf</vt:lpwstr>
      </vt:variant>
      <vt:variant>
        <vt:lpwstr/>
      </vt:variant>
      <vt:variant>
        <vt:i4>6225989</vt:i4>
      </vt:variant>
      <vt:variant>
        <vt:i4>549</vt:i4>
      </vt:variant>
      <vt:variant>
        <vt:i4>0</vt:i4>
      </vt:variant>
      <vt:variant>
        <vt:i4>5</vt:i4>
      </vt:variant>
      <vt:variant>
        <vt:lpwstr>https://www.emaratalyoum.com/local-section/education/2018-03-19-1.1081605</vt:lpwstr>
      </vt:variant>
      <vt:variant>
        <vt:lpwstr/>
      </vt:variant>
      <vt:variant>
        <vt:i4>524376</vt:i4>
      </vt:variant>
      <vt:variant>
        <vt:i4>546</vt:i4>
      </vt:variant>
      <vt:variant>
        <vt:i4>0</vt:i4>
      </vt:variant>
      <vt:variant>
        <vt:i4>5</vt:i4>
      </vt:variant>
      <vt:variant>
        <vt:lpwstr>https://www.turmob.org.tr/istatistikler/c8172e63-2bef-4919-a863-86e403bfdf0a/meslek-mensubu-dagilim-tablosu-(sm-smmm)</vt:lpwstr>
      </vt:variant>
      <vt:variant>
        <vt:lpwstr/>
      </vt:variant>
      <vt:variant>
        <vt:i4>4063265</vt:i4>
      </vt:variant>
      <vt:variant>
        <vt:i4>543</vt:i4>
      </vt:variant>
      <vt:variant>
        <vt:i4>0</vt:i4>
      </vt:variant>
      <vt:variant>
        <vt:i4>5</vt:i4>
      </vt:variant>
      <vt:variant>
        <vt:lpwstr>https://www.turmob.org.tr/Arsiv/turmobwebdb/dosyalar/ingilizce7.pdf</vt:lpwstr>
      </vt:variant>
      <vt:variant>
        <vt:lpwstr/>
      </vt:variant>
      <vt:variant>
        <vt:i4>4325698</vt:i4>
      </vt:variant>
      <vt:variant>
        <vt:i4>540</vt:i4>
      </vt:variant>
      <vt:variant>
        <vt:i4>0</vt:i4>
      </vt:variant>
      <vt:variant>
        <vt:i4>5</vt:i4>
      </vt:variant>
      <vt:variant>
        <vt:lpwstr>https://www.socpa.org.sa/Socpa/Media-Center/SOCPA-In-Numbers.aspx</vt:lpwstr>
      </vt:variant>
      <vt:variant>
        <vt:lpwstr/>
      </vt:variant>
      <vt:variant>
        <vt:i4>3997757</vt:i4>
      </vt:variant>
      <vt:variant>
        <vt:i4>537</vt:i4>
      </vt:variant>
      <vt:variant>
        <vt:i4>0</vt:i4>
      </vt:variant>
      <vt:variant>
        <vt:i4>5</vt:i4>
      </vt:variant>
      <vt:variant>
        <vt:lpwstr>https://www.socpa.org.sa/Socpa/Licenses-and-Quality/Licensed-Accountants/2322.aspx</vt:lpwstr>
      </vt:variant>
      <vt:variant>
        <vt:lpwstr/>
      </vt:variant>
      <vt:variant>
        <vt:i4>2752571</vt:i4>
      </vt:variant>
      <vt:variant>
        <vt:i4>534</vt:i4>
      </vt:variant>
      <vt:variant>
        <vt:i4>0</vt:i4>
      </vt:variant>
      <vt:variant>
        <vt:i4>5</vt:i4>
      </vt:variant>
      <vt:variant>
        <vt:lpwstr>https://www.ifac.org/about-ifac/membership/profile/united-arab-emirates</vt:lpwstr>
      </vt:variant>
      <vt:variant>
        <vt:lpwstr/>
      </vt:variant>
      <vt:variant>
        <vt:i4>3997757</vt:i4>
      </vt:variant>
      <vt:variant>
        <vt:i4>531</vt:i4>
      </vt:variant>
      <vt:variant>
        <vt:i4>0</vt:i4>
      </vt:variant>
      <vt:variant>
        <vt:i4>5</vt:i4>
      </vt:variant>
      <vt:variant>
        <vt:lpwstr>https://www.socpa.org.sa/Socpa/Licenses-and-Quality/Licensed-Accountants/2322.aspx</vt:lpwstr>
      </vt:variant>
      <vt:variant>
        <vt:lpwstr/>
      </vt:variant>
      <vt:variant>
        <vt:i4>3604529</vt:i4>
      </vt:variant>
      <vt:variant>
        <vt:i4>528</vt:i4>
      </vt:variant>
      <vt:variant>
        <vt:i4>0</vt:i4>
      </vt:variant>
      <vt:variant>
        <vt:i4>5</vt:i4>
      </vt:variant>
      <vt:variant>
        <vt:lpwstr>https://www.socpa.org.sa/Socpa/Licenses-and-Quality/Licensed Accountants/2282.aspx</vt:lpwstr>
      </vt:variant>
      <vt:variant>
        <vt:lpwstr/>
      </vt:variant>
      <vt:variant>
        <vt:i4>589906</vt:i4>
      </vt:variant>
      <vt:variant>
        <vt:i4>525</vt:i4>
      </vt:variant>
      <vt:variant>
        <vt:i4>0</vt:i4>
      </vt:variant>
      <vt:variant>
        <vt:i4>5</vt:i4>
      </vt:variant>
      <vt:variant>
        <vt:lpwstr>https://www.mevzuat.gov.tr/MevzuatMetin/1.5.3568.pdf</vt:lpwstr>
      </vt:variant>
      <vt:variant>
        <vt:lpwstr/>
      </vt:variant>
      <vt:variant>
        <vt:i4>589906</vt:i4>
      </vt:variant>
      <vt:variant>
        <vt:i4>522</vt:i4>
      </vt:variant>
      <vt:variant>
        <vt:i4>0</vt:i4>
      </vt:variant>
      <vt:variant>
        <vt:i4>5</vt:i4>
      </vt:variant>
      <vt:variant>
        <vt:lpwstr>https://www.mevzuat.gov.tr/MevzuatMetin/1.5.3568.pdf</vt:lpwstr>
      </vt:variant>
      <vt:variant>
        <vt:lpwstr/>
      </vt:variant>
      <vt:variant>
        <vt:i4>18874480</vt:i4>
      </vt:variant>
      <vt:variant>
        <vt:i4>519</vt:i4>
      </vt:variant>
      <vt:variant>
        <vt:i4>0</vt:i4>
      </vt:variant>
      <vt:variant>
        <vt:i4>5</vt:i4>
      </vt:variant>
      <vt:variant>
        <vt:lpwstr>https://mc.gov.sa/ar/Regulations/Pages/details.aspx?lawId=5163760b-4568-4f24-88e9-a81e00ae74e6</vt:lpwstr>
      </vt:variant>
      <vt:variant>
        <vt:lpwstr/>
      </vt:variant>
      <vt:variant>
        <vt:i4>5767257</vt:i4>
      </vt:variant>
      <vt:variant>
        <vt:i4>516</vt:i4>
      </vt:variant>
      <vt:variant>
        <vt:i4>0</vt:i4>
      </vt:variant>
      <vt:variant>
        <vt:i4>5</vt:i4>
      </vt:variant>
      <vt:variant>
        <vt:lpwstr>https://www.degruyter.com/search?query=*&amp;publisherFacet=Multilingual+Matters</vt:lpwstr>
      </vt:variant>
      <vt:variant>
        <vt:lpwstr/>
      </vt:variant>
      <vt:variant>
        <vt:i4>7929943</vt:i4>
      </vt:variant>
      <vt:variant>
        <vt:i4>513</vt:i4>
      </vt:variant>
      <vt:variant>
        <vt:i4>0</vt:i4>
      </vt:variant>
      <vt:variant>
        <vt:i4>5</vt:i4>
      </vt:variant>
      <vt:variant>
        <vt:lpwstr>mailto:senanuralgi@hotmail.com</vt:lpwstr>
      </vt:variant>
      <vt:variant>
        <vt:lpwstr/>
      </vt:variant>
      <vt:variant>
        <vt:i4>1703986</vt:i4>
      </vt:variant>
      <vt:variant>
        <vt:i4>510</vt:i4>
      </vt:variant>
      <vt:variant>
        <vt:i4>0</vt:i4>
      </vt:variant>
      <vt:variant>
        <vt:i4>5</vt:i4>
      </vt:variant>
      <vt:variant>
        <vt:lpwstr>mailto:Cansutncrxx@gmail.com</vt:lpwstr>
      </vt:variant>
      <vt:variant>
        <vt:lpwstr/>
      </vt:variant>
      <vt:variant>
        <vt:i4>3538947</vt:i4>
      </vt:variant>
      <vt:variant>
        <vt:i4>507</vt:i4>
      </vt:variant>
      <vt:variant>
        <vt:i4>0</vt:i4>
      </vt:variant>
      <vt:variant>
        <vt:i4>5</vt:i4>
      </vt:variant>
      <vt:variant>
        <vt:lpwstr>mailto:gull.nurr.sk@gmail.com</vt:lpwstr>
      </vt:variant>
      <vt:variant>
        <vt:lpwstr/>
      </vt:variant>
      <vt:variant>
        <vt:i4>5570678</vt:i4>
      </vt:variant>
      <vt:variant>
        <vt:i4>504</vt:i4>
      </vt:variant>
      <vt:variant>
        <vt:i4>0</vt:i4>
      </vt:variant>
      <vt:variant>
        <vt:i4>5</vt:i4>
      </vt:variant>
      <vt:variant>
        <vt:lpwstr>mailto:sadik.caliskan@inonu.edu.tr</vt:lpwstr>
      </vt:variant>
      <vt:variant>
        <vt:lpwstr/>
      </vt:variant>
      <vt:variant>
        <vt:i4>7405669</vt:i4>
      </vt:variant>
      <vt:variant>
        <vt:i4>501</vt:i4>
      </vt:variant>
      <vt:variant>
        <vt:i4>0</vt:i4>
      </vt:variant>
      <vt:variant>
        <vt:i4>5</vt:i4>
      </vt:variant>
      <vt:variant>
        <vt:lpwstr>https://doi.org/10.35365/ctjpp.19.1.11</vt:lpwstr>
      </vt:variant>
      <vt:variant>
        <vt:lpwstr/>
      </vt:variant>
      <vt:variant>
        <vt:i4>2687037</vt:i4>
      </vt:variant>
      <vt:variant>
        <vt:i4>498</vt:i4>
      </vt:variant>
      <vt:variant>
        <vt:i4>0</vt:i4>
      </vt:variant>
      <vt:variant>
        <vt:i4>5</vt:i4>
      </vt:variant>
      <vt:variant>
        <vt:lpwstr>https://doi.org/10.1186/1471-244X-4-31</vt:lpwstr>
      </vt:variant>
      <vt:variant>
        <vt:lpwstr/>
      </vt:variant>
      <vt:variant>
        <vt:i4>5242916</vt:i4>
      </vt:variant>
      <vt:variant>
        <vt:i4>495</vt:i4>
      </vt:variant>
      <vt:variant>
        <vt:i4>0</vt:i4>
      </vt:variant>
      <vt:variant>
        <vt:i4>5</vt:i4>
      </vt:variant>
      <vt:variant>
        <vt:lpwstr>mailto:edanur.ozbek@student.asbu.edu.tr</vt:lpwstr>
      </vt:variant>
      <vt:variant>
        <vt:lpwstr/>
      </vt:variant>
      <vt:variant>
        <vt:i4>1114156</vt:i4>
      </vt:variant>
      <vt:variant>
        <vt:i4>492</vt:i4>
      </vt:variant>
      <vt:variant>
        <vt:i4>0</vt:i4>
      </vt:variant>
      <vt:variant>
        <vt:i4>5</vt:i4>
      </vt:variant>
      <vt:variant>
        <vt:lpwstr>mailto:ugur.ada@gop.edu.tr</vt:lpwstr>
      </vt:variant>
      <vt:variant>
        <vt:lpwstr/>
      </vt:variant>
      <vt:variant>
        <vt:i4>1441844</vt:i4>
      </vt:variant>
      <vt:variant>
        <vt:i4>489</vt:i4>
      </vt:variant>
      <vt:variant>
        <vt:i4>0</vt:i4>
      </vt:variant>
      <vt:variant>
        <vt:i4>5</vt:i4>
      </vt:variant>
      <vt:variant>
        <vt:lpwstr>mailto:selinmavili@gmail.com</vt:lpwstr>
      </vt:variant>
      <vt:variant>
        <vt:lpwstr/>
      </vt:variant>
      <vt:variant>
        <vt:i4>2490448</vt:i4>
      </vt:variant>
      <vt:variant>
        <vt:i4>486</vt:i4>
      </vt:variant>
      <vt:variant>
        <vt:i4>0</vt:i4>
      </vt:variant>
      <vt:variant>
        <vt:i4>5</vt:i4>
      </vt:variant>
      <vt:variant>
        <vt:lpwstr>mailto:gulakgul5@gmail.com</vt:lpwstr>
      </vt:variant>
      <vt:variant>
        <vt:lpwstr/>
      </vt:variant>
      <vt:variant>
        <vt:i4>7798854</vt:i4>
      </vt:variant>
      <vt:variant>
        <vt:i4>483</vt:i4>
      </vt:variant>
      <vt:variant>
        <vt:i4>0</vt:i4>
      </vt:variant>
      <vt:variant>
        <vt:i4>5</vt:i4>
      </vt:variant>
      <vt:variant>
        <vt:lpwstr>mailto:silancelebioglu@hotmail.com</vt:lpwstr>
      </vt:variant>
      <vt:variant>
        <vt:lpwstr/>
      </vt:variant>
      <vt:variant>
        <vt:i4>983046</vt:i4>
      </vt:variant>
      <vt:variant>
        <vt:i4>480</vt:i4>
      </vt:variant>
      <vt:variant>
        <vt:i4>0</vt:i4>
      </vt:variant>
      <vt:variant>
        <vt:i4>5</vt:i4>
      </vt:variant>
      <vt:variant>
        <vt:lpwstr>https://dx.doi.org/10.17240/aibuefd.2019.19.49440-536061</vt:lpwstr>
      </vt:variant>
      <vt:variant>
        <vt:lpwstr/>
      </vt:variant>
      <vt:variant>
        <vt:i4>6684740</vt:i4>
      </vt:variant>
      <vt:variant>
        <vt:i4>477</vt:i4>
      </vt:variant>
      <vt:variant>
        <vt:i4>0</vt:i4>
      </vt:variant>
      <vt:variant>
        <vt:i4>5</vt:i4>
      </vt:variant>
      <vt:variant>
        <vt:lpwstr>https://scholars.wlu.ca/poli_faculty/12</vt:lpwstr>
      </vt:variant>
      <vt:variant>
        <vt:lpwstr/>
      </vt:variant>
      <vt:variant>
        <vt:i4>7929975</vt:i4>
      </vt:variant>
      <vt:variant>
        <vt:i4>474</vt:i4>
      </vt:variant>
      <vt:variant>
        <vt:i4>0</vt:i4>
      </vt:variant>
      <vt:variant>
        <vt:i4>5</vt:i4>
      </vt:variant>
      <vt:variant>
        <vt:lpwstr>https://doi.org/10.58830/ozgur.pub224.c984</vt:lpwstr>
      </vt:variant>
      <vt:variant>
        <vt:lpwstr/>
      </vt:variant>
      <vt:variant>
        <vt:i4>720966</vt:i4>
      </vt:variant>
      <vt:variant>
        <vt:i4>471</vt:i4>
      </vt:variant>
      <vt:variant>
        <vt:i4>0</vt:i4>
      </vt:variant>
      <vt:variant>
        <vt:i4>5</vt:i4>
      </vt:variant>
      <vt:variant>
        <vt:lpwstr>https://doi.org/10.2307 / 255908</vt:lpwstr>
      </vt:variant>
      <vt:variant>
        <vt:lpwstr/>
      </vt:variant>
      <vt:variant>
        <vt:i4>7340120</vt:i4>
      </vt:variant>
      <vt:variant>
        <vt:i4>468</vt:i4>
      </vt:variant>
      <vt:variant>
        <vt:i4>0</vt:i4>
      </vt:variant>
      <vt:variant>
        <vt:i4>5</vt:i4>
      </vt:variant>
      <vt:variant>
        <vt:lpwstr>mailto:mugealgan@yahoo.com</vt:lpwstr>
      </vt:variant>
      <vt:variant>
        <vt:lpwstr/>
      </vt:variant>
      <vt:variant>
        <vt:i4>65611</vt:i4>
      </vt:variant>
      <vt:variant>
        <vt:i4>465</vt:i4>
      </vt:variant>
      <vt:variant>
        <vt:i4>0</vt:i4>
      </vt:variant>
      <vt:variant>
        <vt:i4>5</vt:i4>
      </vt:variant>
      <vt:variant>
        <vt:lpwstr>https://www.wwf.org.tr/?14180/2023-en-sicak-yil</vt:lpwstr>
      </vt:variant>
      <vt:variant>
        <vt:lpwstr>:~:text=2023%20y%C4%B1l%C4%B1%20k%C3%BCresel%20ortalama%%2020y%20%C3%BCzey%20s%C4%B1cakl%C4%B1%C4%9F%C4%B1%2014.98%20%C2%B0C%27dir,1.48%20%C2%B0C%20daha%20s%C4%B1cakt%C4%B1%20</vt:lpwstr>
      </vt:variant>
      <vt:variant>
        <vt:i4>6619504</vt:i4>
      </vt:variant>
      <vt:variant>
        <vt:i4>462</vt:i4>
      </vt:variant>
      <vt:variant>
        <vt:i4>0</vt:i4>
      </vt:variant>
      <vt:variant>
        <vt:i4>5</vt:i4>
      </vt:variant>
      <vt:variant>
        <vt:lpwstr>https://www.worldbank.org/en/news/press-release/2024/11/12/multilateral-development-banks-to-boost-climate-finance?cid=ECR_LI_worldbank_EN_EXT</vt:lpwstr>
      </vt:variant>
      <vt:variant>
        <vt:lpwstr/>
      </vt:variant>
      <vt:variant>
        <vt:i4>2228324</vt:i4>
      </vt:variant>
      <vt:variant>
        <vt:i4>459</vt:i4>
      </vt:variant>
      <vt:variant>
        <vt:i4>0</vt:i4>
      </vt:variant>
      <vt:variant>
        <vt:i4>5</vt:i4>
      </vt:variant>
      <vt:variant>
        <vt:lpwstr>https://unfccc.int/cop28/5-key-takeaways</vt:lpwstr>
      </vt:variant>
      <vt:variant>
        <vt:lpwstr>:~:text=COP%2028%20closed%%2020with%20an,cuts%20and%20scaled%2Dup%20finance</vt:lpwstr>
      </vt:variant>
      <vt:variant>
        <vt:i4>7340120</vt:i4>
      </vt:variant>
      <vt:variant>
        <vt:i4>456</vt:i4>
      </vt:variant>
      <vt:variant>
        <vt:i4>0</vt:i4>
      </vt:variant>
      <vt:variant>
        <vt:i4>5</vt:i4>
      </vt:variant>
      <vt:variant>
        <vt:lpwstr>mailto:mugealgan@yahoo.com</vt:lpwstr>
      </vt:variant>
      <vt:variant>
        <vt:lpwstr/>
      </vt:variant>
      <vt:variant>
        <vt:i4>4128786</vt:i4>
      </vt:variant>
      <vt:variant>
        <vt:i4>453</vt:i4>
      </vt:variant>
      <vt:variant>
        <vt:i4>0</vt:i4>
      </vt:variant>
      <vt:variant>
        <vt:i4>5</vt:i4>
      </vt:variant>
      <vt:variant>
        <vt:lpwstr>mailto:hamza.oz@bozok.edu.tr</vt:lpwstr>
      </vt:variant>
      <vt:variant>
        <vt:lpwstr/>
      </vt:variant>
      <vt:variant>
        <vt:i4>4128786</vt:i4>
      </vt:variant>
      <vt:variant>
        <vt:i4>450</vt:i4>
      </vt:variant>
      <vt:variant>
        <vt:i4>0</vt:i4>
      </vt:variant>
      <vt:variant>
        <vt:i4>5</vt:i4>
      </vt:variant>
      <vt:variant>
        <vt:lpwstr>mailto:hamza.oz@bozok.edu.tr</vt:lpwstr>
      </vt:variant>
      <vt:variant>
        <vt:lpwstr/>
      </vt:variant>
      <vt:variant>
        <vt:i4>7405642</vt:i4>
      </vt:variant>
      <vt:variant>
        <vt:i4>447</vt:i4>
      </vt:variant>
      <vt:variant>
        <vt:i4>0</vt:i4>
      </vt:variant>
      <vt:variant>
        <vt:i4>5</vt:i4>
      </vt:variant>
      <vt:variant>
        <vt:lpwstr>mailto:samedatasoy1109@hotmail.com</vt:lpwstr>
      </vt:variant>
      <vt:variant>
        <vt:lpwstr/>
      </vt:variant>
      <vt:variant>
        <vt:i4>1310735</vt:i4>
      </vt:variant>
      <vt:variant>
        <vt:i4>444</vt:i4>
      </vt:variant>
      <vt:variant>
        <vt:i4>0</vt:i4>
      </vt:variant>
      <vt:variant>
        <vt:i4>5</vt:i4>
      </vt:variant>
      <vt:variant>
        <vt:lpwstr>https://www.theiia.org/globalassets/site/standards/editableversions/globalinternalauditstandards_2024january9_editable.pdf</vt:lpwstr>
      </vt:variant>
      <vt:variant>
        <vt:lpwstr/>
      </vt:variant>
      <vt:variant>
        <vt:i4>1310735</vt:i4>
      </vt:variant>
      <vt:variant>
        <vt:i4>441</vt:i4>
      </vt:variant>
      <vt:variant>
        <vt:i4>0</vt:i4>
      </vt:variant>
      <vt:variant>
        <vt:i4>5</vt:i4>
      </vt:variant>
      <vt:variant>
        <vt:lpwstr>https://www.theiia.org/globalassets/site/standards/editableversions/globalinternalauditstandards_2024january9_editable.pdf</vt:lpwstr>
      </vt:variant>
      <vt:variant>
        <vt:lpwstr/>
      </vt:variant>
      <vt:variant>
        <vt:i4>2556021</vt:i4>
      </vt:variant>
      <vt:variant>
        <vt:i4>438</vt:i4>
      </vt:variant>
      <vt:variant>
        <vt:i4>0</vt:i4>
      </vt:variant>
      <vt:variant>
        <vt:i4>5</vt:i4>
      </vt:variant>
      <vt:variant>
        <vt:lpwstr>https://www.theiia.org/globalassets/documents/resources/the-iias-three-lines-model-an-update-of-the-three-lines-of-defense-july-2020/three-lines-model-updated-english.pdf</vt:lpwstr>
      </vt:variant>
      <vt:variant>
        <vt:lpwstr/>
      </vt:variant>
      <vt:variant>
        <vt:i4>2556021</vt:i4>
      </vt:variant>
      <vt:variant>
        <vt:i4>435</vt:i4>
      </vt:variant>
      <vt:variant>
        <vt:i4>0</vt:i4>
      </vt:variant>
      <vt:variant>
        <vt:i4>5</vt:i4>
      </vt:variant>
      <vt:variant>
        <vt:lpwstr>https://www.theiia.org/globalassets/documents/resources/the-iias-three-lines-model-an-update-of-the-three-lines-of-defense-july-2020/three-lines-model-updated-english.pdf</vt:lpwstr>
      </vt:variant>
      <vt:variant>
        <vt:lpwstr/>
      </vt:variant>
      <vt:variant>
        <vt:i4>3276894</vt:i4>
      </vt:variant>
      <vt:variant>
        <vt:i4>432</vt:i4>
      </vt:variant>
      <vt:variant>
        <vt:i4>0</vt:i4>
      </vt:variant>
      <vt:variant>
        <vt:i4>5</vt:i4>
      </vt:variant>
      <vt:variant>
        <vt:lpwstr>mailto:esener@ahievran.edu.tr</vt:lpwstr>
      </vt:variant>
      <vt:variant>
        <vt:lpwstr/>
      </vt:variant>
      <vt:variant>
        <vt:i4>7077957</vt:i4>
      </vt:variant>
      <vt:variant>
        <vt:i4>429</vt:i4>
      </vt:variant>
      <vt:variant>
        <vt:i4>0</vt:i4>
      </vt:variant>
      <vt:variant>
        <vt:i4>5</vt:i4>
      </vt:variant>
      <vt:variant>
        <vt:lpwstr>mailto:bilalcanbekiroglu@gmail.com</vt:lpwstr>
      </vt:variant>
      <vt:variant>
        <vt:lpwstr/>
      </vt:variant>
      <vt:variant>
        <vt:i4>3276894</vt:i4>
      </vt:variant>
      <vt:variant>
        <vt:i4>426</vt:i4>
      </vt:variant>
      <vt:variant>
        <vt:i4>0</vt:i4>
      </vt:variant>
      <vt:variant>
        <vt:i4>5</vt:i4>
      </vt:variant>
      <vt:variant>
        <vt:lpwstr>mailto:esener@ahievran.edu.tr</vt:lpwstr>
      </vt:variant>
      <vt:variant>
        <vt:lpwstr/>
      </vt:variant>
      <vt:variant>
        <vt:i4>7077957</vt:i4>
      </vt:variant>
      <vt:variant>
        <vt:i4>423</vt:i4>
      </vt:variant>
      <vt:variant>
        <vt:i4>0</vt:i4>
      </vt:variant>
      <vt:variant>
        <vt:i4>5</vt:i4>
      </vt:variant>
      <vt:variant>
        <vt:lpwstr>mailto:bilalcanbekiroglu@gmail.com</vt:lpwstr>
      </vt:variant>
      <vt:variant>
        <vt:lpwstr/>
      </vt:variant>
      <vt:variant>
        <vt:i4>131199</vt:i4>
      </vt:variant>
      <vt:variant>
        <vt:i4>420</vt:i4>
      </vt:variant>
      <vt:variant>
        <vt:i4>0</vt:i4>
      </vt:variant>
      <vt:variant>
        <vt:i4>5</vt:i4>
      </vt:variant>
      <vt:variant>
        <vt:lpwstr>mailto:tkarakaya@dogus.edu.tr</vt:lpwstr>
      </vt:variant>
      <vt:variant>
        <vt:lpwstr/>
      </vt:variant>
      <vt:variant>
        <vt:i4>131199</vt:i4>
      </vt:variant>
      <vt:variant>
        <vt:i4>417</vt:i4>
      </vt:variant>
      <vt:variant>
        <vt:i4>0</vt:i4>
      </vt:variant>
      <vt:variant>
        <vt:i4>5</vt:i4>
      </vt:variant>
      <vt:variant>
        <vt:lpwstr>mailto:tkarakaya@dogus.edu.tr</vt:lpwstr>
      </vt:variant>
      <vt:variant>
        <vt:lpwstr/>
      </vt:variant>
      <vt:variant>
        <vt:i4>3276886</vt:i4>
      </vt:variant>
      <vt:variant>
        <vt:i4>414</vt:i4>
      </vt:variant>
      <vt:variant>
        <vt:i4>0</vt:i4>
      </vt:variant>
      <vt:variant>
        <vt:i4>5</vt:i4>
      </vt:variant>
      <vt:variant>
        <vt:lpwstr>mailto:mdogan@gelisim.edu.tr</vt:lpwstr>
      </vt:variant>
      <vt:variant>
        <vt:lpwstr/>
      </vt:variant>
      <vt:variant>
        <vt:i4>8060949</vt:i4>
      </vt:variant>
      <vt:variant>
        <vt:i4>411</vt:i4>
      </vt:variant>
      <vt:variant>
        <vt:i4>0</vt:i4>
      </vt:variant>
      <vt:variant>
        <vt:i4>5</vt:i4>
      </vt:variant>
      <vt:variant>
        <vt:lpwstr>mailto:emrefb509@gmail.com</vt:lpwstr>
      </vt:variant>
      <vt:variant>
        <vt:lpwstr/>
      </vt:variant>
      <vt:variant>
        <vt:i4>5374077</vt:i4>
      </vt:variant>
      <vt:variant>
        <vt:i4>408</vt:i4>
      </vt:variant>
      <vt:variant>
        <vt:i4>0</vt:i4>
      </vt:variant>
      <vt:variant>
        <vt:i4>5</vt:i4>
      </vt:variant>
      <vt:variant>
        <vt:lpwstr>mailto:emel.cokogullar@dpu.edu.tr</vt:lpwstr>
      </vt:variant>
      <vt:variant>
        <vt:lpwstr/>
      </vt:variant>
      <vt:variant>
        <vt:i4>5374077</vt:i4>
      </vt:variant>
      <vt:variant>
        <vt:i4>405</vt:i4>
      </vt:variant>
      <vt:variant>
        <vt:i4>0</vt:i4>
      </vt:variant>
      <vt:variant>
        <vt:i4>5</vt:i4>
      </vt:variant>
      <vt:variant>
        <vt:lpwstr>mailto:emel.cokogullar@dpu.edu.tr</vt:lpwstr>
      </vt:variant>
      <vt:variant>
        <vt:lpwstr/>
      </vt:variant>
      <vt:variant>
        <vt:i4>5374077</vt:i4>
      </vt:variant>
      <vt:variant>
        <vt:i4>402</vt:i4>
      </vt:variant>
      <vt:variant>
        <vt:i4>0</vt:i4>
      </vt:variant>
      <vt:variant>
        <vt:i4>5</vt:i4>
      </vt:variant>
      <vt:variant>
        <vt:lpwstr>mailto:emel.cokogullar@dpu.edu.tr</vt:lpwstr>
      </vt:variant>
      <vt:variant>
        <vt:lpwstr/>
      </vt:variant>
      <vt:variant>
        <vt:i4>5374077</vt:i4>
      </vt:variant>
      <vt:variant>
        <vt:i4>399</vt:i4>
      </vt:variant>
      <vt:variant>
        <vt:i4>0</vt:i4>
      </vt:variant>
      <vt:variant>
        <vt:i4>5</vt:i4>
      </vt:variant>
      <vt:variant>
        <vt:lpwstr>mailto:emel.cokogullar@dpu.edu.tr</vt:lpwstr>
      </vt:variant>
      <vt:variant>
        <vt:lpwstr/>
      </vt:variant>
      <vt:variant>
        <vt:i4>131153</vt:i4>
      </vt:variant>
      <vt:variant>
        <vt:i4>396</vt:i4>
      </vt:variant>
      <vt:variant>
        <vt:i4>0</vt:i4>
      </vt:variant>
      <vt:variant>
        <vt:i4>5</vt:i4>
      </vt:variant>
      <vt:variant>
        <vt:lpwstr>https://www.mevzuat.gov.tr/mevzuatmetin/1.5.4721.pdf</vt:lpwstr>
      </vt:variant>
      <vt:variant>
        <vt:lpwstr/>
      </vt:variant>
      <vt:variant>
        <vt:i4>2818103</vt:i4>
      </vt:variant>
      <vt:variant>
        <vt:i4>393</vt:i4>
      </vt:variant>
      <vt:variant>
        <vt:i4>0</vt:i4>
      </vt:variant>
      <vt:variant>
        <vt:i4>5</vt:i4>
      </vt:variant>
      <vt:variant>
        <vt:lpwstr>https://data.tuik.gov.tr/Bulten/Index?p=Istatistiklerle-Aile-2023-%0953784</vt:lpwstr>
      </vt:variant>
      <vt:variant>
        <vt:lpwstr>:~:text=ADNKS%20sonu%C3%A7lar%C4%B1na%20g%C3%B6re%2C%20201%205%20y%C4%B1l%C4%B1nda,%2C7'ye%20y%C3%BCkseldi%C4%9Fi%20g%C3%B6r%20%C3%BCld%C3%BC</vt:lpwstr>
      </vt:variant>
      <vt:variant>
        <vt:i4>2949231</vt:i4>
      </vt:variant>
      <vt:variant>
        <vt:i4>390</vt:i4>
      </vt:variant>
      <vt:variant>
        <vt:i4>0</vt:i4>
      </vt:variant>
      <vt:variant>
        <vt:i4>5</vt:i4>
      </vt:variant>
      <vt:variant>
        <vt:lpwstr>https://data.tuik.gov.tr/Bulten/Index?p=Dogum-Istatistikleri-2023-53708</vt:lpwstr>
      </vt:variant>
      <vt:variant>
        <vt:lpwstr/>
      </vt:variant>
      <vt:variant>
        <vt:i4>8257576</vt:i4>
      </vt:variant>
      <vt:variant>
        <vt:i4>387</vt:i4>
      </vt:variant>
      <vt:variant>
        <vt:i4>0</vt:i4>
      </vt:variant>
      <vt:variant>
        <vt:i4>5</vt:i4>
      </vt:variant>
      <vt:variant>
        <vt:lpwstr>https://www.theguardian.com/film/article/2024/sep/10/selena-gomez-%09carrying-children-pregnancy-vanity-fair-interview-health-issues-lupus-bipolar</vt:lpwstr>
      </vt:variant>
      <vt:variant>
        <vt:lpwstr/>
      </vt:variant>
      <vt:variant>
        <vt:i4>7471147</vt:i4>
      </vt:variant>
      <vt:variant>
        <vt:i4>384</vt:i4>
      </vt:variant>
      <vt:variant>
        <vt:i4>0</vt:i4>
      </vt:variant>
      <vt:variant>
        <vt:i4>5</vt:i4>
      </vt:variant>
      <vt:variant>
        <vt:lpwstr>https://t24.com.tr/haber/britanya-da-bir-grup-erkek-babalik-izninin-iyilestirilmesi-icin-%09heykellere-bebek-askisi-bagladi,1184540</vt:lpwstr>
      </vt:variant>
      <vt:variant>
        <vt:lpwstr/>
      </vt:variant>
      <vt:variant>
        <vt:i4>1048665</vt:i4>
      </vt:variant>
      <vt:variant>
        <vt:i4>381</vt:i4>
      </vt:variant>
      <vt:variant>
        <vt:i4>0</vt:i4>
      </vt:variant>
      <vt:variant>
        <vt:i4>5</vt:i4>
      </vt:variant>
      <vt:variant>
        <vt:lpwstr>https://www.pewresearch.org/social-trends/2024/07/25/the-experiences-of-u-s-adults-%09who-dont-have-children/</vt:lpwstr>
      </vt:variant>
      <vt:variant>
        <vt:lpwstr/>
      </vt:variant>
      <vt:variant>
        <vt:i4>3342447</vt:i4>
      </vt:variant>
      <vt:variant>
        <vt:i4>378</vt:i4>
      </vt:variant>
      <vt:variant>
        <vt:i4>0</vt:i4>
      </vt:variant>
      <vt:variant>
        <vt:i4>5</vt:i4>
      </vt:variant>
      <vt:variant>
        <vt:lpwstr>https://www.news.gov.hk/eng/2020/12/20201204/20201204_111608_107.html</vt:lpwstr>
      </vt:variant>
      <vt:variant>
        <vt:lpwstr/>
      </vt:variant>
      <vt:variant>
        <vt:i4>1507408</vt:i4>
      </vt:variant>
      <vt:variant>
        <vt:i4>375</vt:i4>
      </vt:variant>
      <vt:variant>
        <vt:i4>0</vt:i4>
      </vt:variant>
      <vt:variant>
        <vt:i4>5</vt:i4>
      </vt:variant>
      <vt:variant>
        <vt:lpwstr>https://www.scmp.com/news/hong-kong/health-%09environment/article/3277215/extended-paid-maternity-leave-led-22-drop-hong-kongs-%09postnatal-depression-cases</vt:lpwstr>
      </vt:variant>
      <vt:variant>
        <vt:lpwstr/>
      </vt:variant>
      <vt:variant>
        <vt:i4>8061307</vt:i4>
      </vt:variant>
      <vt:variant>
        <vt:i4>372</vt:i4>
      </vt:variant>
      <vt:variant>
        <vt:i4>0</vt:i4>
      </vt:variant>
      <vt:variant>
        <vt:i4>5</vt:i4>
      </vt:variant>
      <vt:variant>
        <vt:lpwstr>https://www.hurriyet.com.tr/kelebek/magazin/jennifer-aniston-biri-de-bana-%09yumurtalarini-dondur-demedi-o-gemi-gitti-artik-%0942168420</vt:lpwstr>
      </vt:variant>
      <vt:variant>
        <vt:lpwstr>:~:text='KE%C5%9EKE%20B%C4%B0R%C4%B0%20BANA%20YUMUR%20TALARIMI%20DONDURMAMI,Gemi%20gitti.%22</vt:lpwstr>
      </vt:variant>
      <vt:variant>
        <vt:i4>25</vt:i4>
      </vt:variant>
      <vt:variant>
        <vt:i4>369</vt:i4>
      </vt:variant>
      <vt:variant>
        <vt:i4>0</vt:i4>
      </vt:variant>
      <vt:variant>
        <vt:i4>5</vt:i4>
      </vt:variant>
      <vt:variant>
        <vt:lpwstr>https://www.goodmorningamerica.com/culture/story/jennifer-aniston-calls-motherhood-%09pressure-unfair-women-27597407</vt:lpwstr>
      </vt:variant>
      <vt:variant>
        <vt:lpwstr/>
      </vt:variant>
      <vt:variant>
        <vt:i4>5439550</vt:i4>
      </vt:variant>
      <vt:variant>
        <vt:i4>366</vt:i4>
      </vt:variant>
      <vt:variant>
        <vt:i4>0</vt:i4>
      </vt:variant>
      <vt:variant>
        <vt:i4>5</vt:i4>
      </vt:variant>
      <vt:variant>
        <vt:lpwstr>https://ec.europa.eu/eurostat/statistics-%09explained/index.php?title=Fertility_statistics</vt:lpwstr>
      </vt:variant>
      <vt:variant>
        <vt:lpwstr/>
      </vt:variant>
      <vt:variant>
        <vt:i4>7274548</vt:i4>
      </vt:variant>
      <vt:variant>
        <vt:i4>363</vt:i4>
      </vt:variant>
      <vt:variant>
        <vt:i4>0</vt:i4>
      </vt:variant>
      <vt:variant>
        <vt:i4>5</vt:i4>
      </vt:variant>
      <vt:variant>
        <vt:lpwstr>https://www.nytimes.com/interactive/2018/08/04/upshot/up-birth-age-gap.html</vt:lpwstr>
      </vt:variant>
      <vt:variant>
        <vt:lpwstr/>
      </vt:variant>
      <vt:variant>
        <vt:i4>1572924</vt:i4>
      </vt:variant>
      <vt:variant>
        <vt:i4>360</vt:i4>
      </vt:variant>
      <vt:variant>
        <vt:i4>0</vt:i4>
      </vt:variant>
      <vt:variant>
        <vt:i4>5</vt:i4>
      </vt:variant>
      <vt:variant>
        <vt:lpwstr>mailto:ogzuyar@gmail.com</vt:lpwstr>
      </vt:variant>
      <vt:variant>
        <vt:lpwstr/>
      </vt:variant>
      <vt:variant>
        <vt:i4>852046</vt:i4>
      </vt:variant>
      <vt:variant>
        <vt:i4>357</vt:i4>
      </vt:variant>
      <vt:variant>
        <vt:i4>0</vt:i4>
      </vt:variant>
      <vt:variant>
        <vt:i4>5</vt:i4>
      </vt:variant>
      <vt:variant>
        <vt:lpwstr>https://doi.org/10.53844/flsf.1024561</vt:lpwstr>
      </vt:variant>
      <vt:variant>
        <vt:lpwstr/>
      </vt:variant>
      <vt:variant>
        <vt:i4>3080313</vt:i4>
      </vt:variant>
      <vt:variant>
        <vt:i4>354</vt:i4>
      </vt:variant>
      <vt:variant>
        <vt:i4>0</vt:i4>
      </vt:variant>
      <vt:variant>
        <vt:i4>5</vt:i4>
      </vt:variant>
      <vt:variant>
        <vt:lpwstr>about:blank</vt:lpwstr>
      </vt:variant>
      <vt:variant>
        <vt:lpwstr/>
      </vt:variant>
      <vt:variant>
        <vt:i4>3080313</vt:i4>
      </vt:variant>
      <vt:variant>
        <vt:i4>351</vt:i4>
      </vt:variant>
      <vt:variant>
        <vt:i4>0</vt:i4>
      </vt:variant>
      <vt:variant>
        <vt:i4>5</vt:i4>
      </vt:variant>
      <vt:variant>
        <vt:lpwstr>about:blank</vt:lpwstr>
      </vt:variant>
      <vt:variant>
        <vt:lpwstr/>
      </vt:variant>
      <vt:variant>
        <vt:i4>3604494</vt:i4>
      </vt:variant>
      <vt:variant>
        <vt:i4>348</vt:i4>
      </vt:variant>
      <vt:variant>
        <vt:i4>0</vt:i4>
      </vt:variant>
      <vt:variant>
        <vt:i4>5</vt:i4>
      </vt:variant>
      <vt:variant>
        <vt:lpwstr>mailto:cihantekin94@gmail.com</vt:lpwstr>
      </vt:variant>
      <vt:variant>
        <vt:lpwstr/>
      </vt:variant>
      <vt:variant>
        <vt:i4>1638425</vt:i4>
      </vt:variant>
      <vt:variant>
        <vt:i4>345</vt:i4>
      </vt:variant>
      <vt:variant>
        <vt:i4>0</vt:i4>
      </vt:variant>
      <vt:variant>
        <vt:i4>5</vt:i4>
      </vt:variant>
      <vt:variant>
        <vt:lpwstr>https://dergipark.org.tr/tr/pub/sutad/issue/26301/277164</vt:lpwstr>
      </vt:variant>
      <vt:variant>
        <vt:lpwstr/>
      </vt:variant>
      <vt:variant>
        <vt:i4>5046388</vt:i4>
      </vt:variant>
      <vt:variant>
        <vt:i4>342</vt:i4>
      </vt:variant>
      <vt:variant>
        <vt:i4>0</vt:i4>
      </vt:variant>
      <vt:variant>
        <vt:i4>5</vt:i4>
      </vt:variant>
      <vt:variant>
        <vt:lpwstr>https://turkishstudies.net/turkishstudies?mod=makale_tr_ozet&amp;makale_id=15058</vt:lpwstr>
      </vt:variant>
      <vt:variant>
        <vt:lpwstr/>
      </vt:variant>
      <vt:variant>
        <vt:i4>3735604</vt:i4>
      </vt:variant>
      <vt:variant>
        <vt:i4>339</vt:i4>
      </vt:variant>
      <vt:variant>
        <vt:i4>0</vt:i4>
      </vt:variant>
      <vt:variant>
        <vt:i4>5</vt:i4>
      </vt:variant>
      <vt:variant>
        <vt:lpwstr>https://dergipark.org.tr/tr/pub/soylemdergi/article/460652</vt:lpwstr>
      </vt:variant>
      <vt:variant>
        <vt:lpwstr/>
      </vt:variant>
      <vt:variant>
        <vt:i4>7274529</vt:i4>
      </vt:variant>
      <vt:variant>
        <vt:i4>336</vt:i4>
      </vt:variant>
      <vt:variant>
        <vt:i4>0</vt:i4>
      </vt:variant>
      <vt:variant>
        <vt:i4>5</vt:i4>
      </vt:variant>
      <vt:variant>
        <vt:lpwstr>https://islamansiklopedisi.org.tr/lamii-celebi</vt:lpwstr>
      </vt:variant>
      <vt:variant>
        <vt:lpwstr/>
      </vt:variant>
      <vt:variant>
        <vt:i4>4456529</vt:i4>
      </vt:variant>
      <vt:variant>
        <vt:i4>333</vt:i4>
      </vt:variant>
      <vt:variant>
        <vt:i4>0</vt:i4>
      </vt:variant>
      <vt:variant>
        <vt:i4>5</vt:i4>
      </vt:variant>
      <vt:variant>
        <vt:lpwstr>https://teis.yesevi.edu.tr/madde-detay/lamii-celebi-mahmud-osman</vt:lpwstr>
      </vt:variant>
      <vt:variant>
        <vt:lpwstr/>
      </vt:variant>
      <vt:variant>
        <vt:i4>2490420</vt:i4>
      </vt:variant>
      <vt:variant>
        <vt:i4>330</vt:i4>
      </vt:variant>
      <vt:variant>
        <vt:i4>0</vt:i4>
      </vt:variant>
      <vt:variant>
        <vt:i4>5</vt:i4>
      </vt:variant>
      <vt:variant>
        <vt:lpwstr>https://islamansiklopedisi.org.tr/arakiyye</vt:lpwstr>
      </vt:variant>
      <vt:variant>
        <vt:lpwstr/>
      </vt:variant>
      <vt:variant>
        <vt:i4>4522111</vt:i4>
      </vt:variant>
      <vt:variant>
        <vt:i4>327</vt:i4>
      </vt:variant>
      <vt:variant>
        <vt:i4>0</vt:i4>
      </vt:variant>
      <vt:variant>
        <vt:i4>5</vt:i4>
      </vt:variant>
      <vt:variant>
        <vt:lpwstr>https://turkishstudies.net/turkishstudies?mod=makale_tr_ozet&amp;makale_id=18737</vt:lpwstr>
      </vt:variant>
      <vt:variant>
        <vt:lpwstr/>
      </vt:variant>
      <vt:variant>
        <vt:i4>5308433</vt:i4>
      </vt:variant>
      <vt:variant>
        <vt:i4>324</vt:i4>
      </vt:variant>
      <vt:variant>
        <vt:i4>0</vt:i4>
      </vt:variant>
      <vt:variant>
        <vt:i4>5</vt:i4>
      </vt:variant>
      <vt:variant>
        <vt:lpwstr>https://islamansiklopedisi.org.tr/hayali-bey</vt:lpwstr>
      </vt:variant>
      <vt:variant>
        <vt:lpwstr/>
      </vt:variant>
      <vt:variant>
        <vt:i4>2949180</vt:i4>
      </vt:variant>
      <vt:variant>
        <vt:i4>321</vt:i4>
      </vt:variant>
      <vt:variant>
        <vt:i4>0</vt:i4>
      </vt:variant>
      <vt:variant>
        <vt:i4>5</vt:i4>
      </vt:variant>
      <vt:variant>
        <vt:lpwstr>https://dergipark.org.tr/tr/pub/cbayarsos/issue/4067/53689</vt:lpwstr>
      </vt:variant>
      <vt:variant>
        <vt:lpwstr/>
      </vt:variant>
      <vt:variant>
        <vt:i4>78</vt:i4>
      </vt:variant>
      <vt:variant>
        <vt:i4>318</vt:i4>
      </vt:variant>
      <vt:variant>
        <vt:i4>0</vt:i4>
      </vt:variant>
      <vt:variant>
        <vt:i4>5</vt:i4>
      </vt:variant>
      <vt:variant>
        <vt:lpwstr>https://dergipark.org.tr/tr/pub/oa/issue/10950/130874</vt:lpwstr>
      </vt:variant>
      <vt:variant>
        <vt:lpwstr/>
      </vt:variant>
      <vt:variant>
        <vt:i4>3997793</vt:i4>
      </vt:variant>
      <vt:variant>
        <vt:i4>315</vt:i4>
      </vt:variant>
      <vt:variant>
        <vt:i4>0</vt:i4>
      </vt:variant>
      <vt:variant>
        <vt:i4>5</vt:i4>
      </vt:variant>
      <vt:variant>
        <vt:lpwstr>https://teis.yesevi.edu.tr/madde-detay/hayali-bey-hayali-mehmed-hayali</vt:lpwstr>
      </vt:variant>
      <vt:variant>
        <vt:lpwstr/>
      </vt:variant>
      <vt:variant>
        <vt:i4>1179648</vt:i4>
      </vt:variant>
      <vt:variant>
        <vt:i4>312</vt:i4>
      </vt:variant>
      <vt:variant>
        <vt:i4>0</vt:i4>
      </vt:variant>
      <vt:variant>
        <vt:i4>5</vt:i4>
      </vt:variant>
      <vt:variant>
        <vt:lpwstr>https://dergipark.org.tr/tr/pub/estad/issue/78269/1287924</vt:lpwstr>
      </vt:variant>
      <vt:variant>
        <vt:lpwstr/>
      </vt:variant>
      <vt:variant>
        <vt:i4>3080317</vt:i4>
      </vt:variant>
      <vt:variant>
        <vt:i4>309</vt:i4>
      </vt:variant>
      <vt:variant>
        <vt:i4>0</vt:i4>
      </vt:variant>
      <vt:variant>
        <vt:i4>5</vt:i4>
      </vt:variant>
      <vt:variant>
        <vt:lpwstr>https://dergipark.org.tr/tr/pub/hikmet/issue/77090/1158734</vt:lpwstr>
      </vt:variant>
      <vt:variant>
        <vt:lpwstr/>
      </vt:variant>
      <vt:variant>
        <vt:i4>4587643</vt:i4>
      </vt:variant>
      <vt:variant>
        <vt:i4>306</vt:i4>
      </vt:variant>
      <vt:variant>
        <vt:i4>0</vt:i4>
      </vt:variant>
      <vt:variant>
        <vt:i4>5</vt:i4>
      </vt:variant>
      <vt:variant>
        <vt:lpwstr>https://turkishstudies.net/turkishstudies?mod=makale_tr_ozet&amp;makale_id=17281</vt:lpwstr>
      </vt:variant>
      <vt:variant>
        <vt:lpwstr/>
      </vt:variant>
      <vt:variant>
        <vt:i4>4980791</vt:i4>
      </vt:variant>
      <vt:variant>
        <vt:i4>303</vt:i4>
      </vt:variant>
      <vt:variant>
        <vt:i4>0</vt:i4>
      </vt:variant>
      <vt:variant>
        <vt:i4>5</vt:i4>
      </vt:variant>
      <vt:variant>
        <vt:lpwstr>mailto:hkavas@cumhuriyet.edu.tr</vt:lpwstr>
      </vt:variant>
      <vt:variant>
        <vt:lpwstr/>
      </vt:variant>
      <vt:variant>
        <vt:i4>3211361</vt:i4>
      </vt:variant>
      <vt:variant>
        <vt:i4>300</vt:i4>
      </vt:variant>
      <vt:variant>
        <vt:i4>0</vt:i4>
      </vt:variant>
      <vt:variant>
        <vt:i4>5</vt:i4>
      </vt:variant>
      <vt:variant>
        <vt:lpwstr>https://www.moe.gov.ae/Ar/AboutTheMinistry/Documents/FinalG.pdf</vt:lpwstr>
      </vt:variant>
      <vt:variant>
        <vt:lpwstr/>
      </vt:variant>
      <vt:variant>
        <vt:i4>1114117</vt:i4>
      </vt:variant>
      <vt:variant>
        <vt:i4>297</vt:i4>
      </vt:variant>
      <vt:variant>
        <vt:i4>0</vt:i4>
      </vt:variant>
      <vt:variant>
        <vt:i4>5</vt:i4>
      </vt:variant>
      <vt:variant>
        <vt:lpwstr>https://www.surgem.org.tr/kurumsal/surgemhakkinda</vt:lpwstr>
      </vt:variant>
      <vt:variant>
        <vt:lpwstr/>
      </vt:variant>
      <vt:variant>
        <vt:i4>7995439</vt:i4>
      </vt:variant>
      <vt:variant>
        <vt:i4>294</vt:i4>
      </vt:variant>
      <vt:variant>
        <vt:i4>0</vt:i4>
      </vt:variant>
      <vt:variant>
        <vt:i4>5</vt:i4>
      </vt:variant>
      <vt:variant>
        <vt:lpwstr>https://www.abacademies.org/articles/the-status-of-accounting-education-and-improvement-processes-in-uae-11757.html</vt:lpwstr>
      </vt:variant>
      <vt:variant>
        <vt:lpwstr/>
      </vt:variant>
      <vt:variant>
        <vt:i4>6946913</vt:i4>
      </vt:variant>
      <vt:variant>
        <vt:i4>291</vt:i4>
      </vt:variant>
      <vt:variant>
        <vt:i4>0</vt:i4>
      </vt:variant>
      <vt:variant>
        <vt:i4>5</vt:i4>
      </vt:variant>
      <vt:variant>
        <vt:lpwstr>https://www.kfu.edu.sa/ar/Colleges/business-administration/Pages/Master-Accounting.aspx</vt:lpwstr>
      </vt:variant>
      <vt:variant>
        <vt:lpwstr/>
      </vt:variant>
      <vt:variant>
        <vt:i4>7274529</vt:i4>
      </vt:variant>
      <vt:variant>
        <vt:i4>288</vt:i4>
      </vt:variant>
      <vt:variant>
        <vt:i4>0</vt:i4>
      </vt:variant>
      <vt:variant>
        <vt:i4>5</vt:i4>
      </vt:variant>
      <vt:variant>
        <vt:lpwstr>https://www.kfu.edu.sa/ar/Colleges/AppliedSciences/CollegeDepartments/Pages/Accounting.aspx</vt:lpwstr>
      </vt:variant>
      <vt:variant>
        <vt:lpwstr/>
      </vt:variant>
      <vt:variant>
        <vt:i4>2293886</vt:i4>
      </vt:variant>
      <vt:variant>
        <vt:i4>285</vt:i4>
      </vt:variant>
      <vt:variant>
        <vt:i4>0</vt:i4>
      </vt:variant>
      <vt:variant>
        <vt:i4>5</vt:i4>
      </vt:variant>
      <vt:variant>
        <vt:lpwstr>https://2u.pw/snpZEX3T</vt:lpwstr>
      </vt:variant>
      <vt:variant>
        <vt:lpwstr/>
      </vt:variant>
      <vt:variant>
        <vt:i4>2555948</vt:i4>
      </vt:variant>
      <vt:variant>
        <vt:i4>282</vt:i4>
      </vt:variant>
      <vt:variant>
        <vt:i4>0</vt:i4>
      </vt:variant>
      <vt:variant>
        <vt:i4>5</vt:i4>
      </vt:variant>
      <vt:variant>
        <vt:lpwstr>https://2u.pw/SZNsiDSQ</vt:lpwstr>
      </vt:variant>
      <vt:variant>
        <vt:lpwstr/>
      </vt:variant>
      <vt:variant>
        <vt:i4>5570579</vt:i4>
      </vt:variant>
      <vt:variant>
        <vt:i4>279</vt:i4>
      </vt:variant>
      <vt:variant>
        <vt:i4>0</vt:i4>
      </vt:variant>
      <vt:variant>
        <vt:i4>5</vt:i4>
      </vt:variant>
      <vt:variant>
        <vt:lpwstr>https://cdn.adu.ac.ae/images-container/docs/default-source/catalogs/ug-catalog-23-24.pdf</vt:lpwstr>
      </vt:variant>
      <vt:variant>
        <vt:lpwstr/>
      </vt:variant>
      <vt:variant>
        <vt:i4>6225989</vt:i4>
      </vt:variant>
      <vt:variant>
        <vt:i4>276</vt:i4>
      </vt:variant>
      <vt:variant>
        <vt:i4>0</vt:i4>
      </vt:variant>
      <vt:variant>
        <vt:i4>5</vt:i4>
      </vt:variant>
      <vt:variant>
        <vt:lpwstr>https://www.emaratalyoum.com/local-section/education/2018-03-19-1.1081605</vt:lpwstr>
      </vt:variant>
      <vt:variant>
        <vt:lpwstr/>
      </vt:variant>
      <vt:variant>
        <vt:i4>524376</vt:i4>
      </vt:variant>
      <vt:variant>
        <vt:i4>273</vt:i4>
      </vt:variant>
      <vt:variant>
        <vt:i4>0</vt:i4>
      </vt:variant>
      <vt:variant>
        <vt:i4>5</vt:i4>
      </vt:variant>
      <vt:variant>
        <vt:lpwstr>https://www.turmob.org.tr/istatistikler/c8172e63-2bef-4919-a863-86e403bfdf0a/meslek-mensubu-dagilim-tablosu-(sm-smmm)</vt:lpwstr>
      </vt:variant>
      <vt:variant>
        <vt:lpwstr/>
      </vt:variant>
      <vt:variant>
        <vt:i4>4063265</vt:i4>
      </vt:variant>
      <vt:variant>
        <vt:i4>270</vt:i4>
      </vt:variant>
      <vt:variant>
        <vt:i4>0</vt:i4>
      </vt:variant>
      <vt:variant>
        <vt:i4>5</vt:i4>
      </vt:variant>
      <vt:variant>
        <vt:lpwstr>https://www.turmob.org.tr/Arsiv/turmobwebdb/dosyalar/ingilizce7.pdf</vt:lpwstr>
      </vt:variant>
      <vt:variant>
        <vt:lpwstr/>
      </vt:variant>
      <vt:variant>
        <vt:i4>4325698</vt:i4>
      </vt:variant>
      <vt:variant>
        <vt:i4>267</vt:i4>
      </vt:variant>
      <vt:variant>
        <vt:i4>0</vt:i4>
      </vt:variant>
      <vt:variant>
        <vt:i4>5</vt:i4>
      </vt:variant>
      <vt:variant>
        <vt:lpwstr>https://www.socpa.org.sa/Socpa/Media-Center/SOCPA-In-Numbers.aspx</vt:lpwstr>
      </vt:variant>
      <vt:variant>
        <vt:lpwstr/>
      </vt:variant>
      <vt:variant>
        <vt:i4>3997757</vt:i4>
      </vt:variant>
      <vt:variant>
        <vt:i4>264</vt:i4>
      </vt:variant>
      <vt:variant>
        <vt:i4>0</vt:i4>
      </vt:variant>
      <vt:variant>
        <vt:i4>5</vt:i4>
      </vt:variant>
      <vt:variant>
        <vt:lpwstr>https://www.socpa.org.sa/Socpa/Licenses-and-Quality/Licensed-Accountants/2322.aspx</vt:lpwstr>
      </vt:variant>
      <vt:variant>
        <vt:lpwstr/>
      </vt:variant>
      <vt:variant>
        <vt:i4>2752571</vt:i4>
      </vt:variant>
      <vt:variant>
        <vt:i4>261</vt:i4>
      </vt:variant>
      <vt:variant>
        <vt:i4>0</vt:i4>
      </vt:variant>
      <vt:variant>
        <vt:i4>5</vt:i4>
      </vt:variant>
      <vt:variant>
        <vt:lpwstr>https://www.ifac.org/about-ifac/membership/profile/united-arab-emirates</vt:lpwstr>
      </vt:variant>
      <vt:variant>
        <vt:lpwstr/>
      </vt:variant>
      <vt:variant>
        <vt:i4>3997757</vt:i4>
      </vt:variant>
      <vt:variant>
        <vt:i4>258</vt:i4>
      </vt:variant>
      <vt:variant>
        <vt:i4>0</vt:i4>
      </vt:variant>
      <vt:variant>
        <vt:i4>5</vt:i4>
      </vt:variant>
      <vt:variant>
        <vt:lpwstr>https://www.socpa.org.sa/Socpa/Licenses-and-Quality/Licensed-Accountants/2322.aspx</vt:lpwstr>
      </vt:variant>
      <vt:variant>
        <vt:lpwstr/>
      </vt:variant>
      <vt:variant>
        <vt:i4>3604529</vt:i4>
      </vt:variant>
      <vt:variant>
        <vt:i4>255</vt:i4>
      </vt:variant>
      <vt:variant>
        <vt:i4>0</vt:i4>
      </vt:variant>
      <vt:variant>
        <vt:i4>5</vt:i4>
      </vt:variant>
      <vt:variant>
        <vt:lpwstr>https://www.socpa.org.sa/Socpa/Licenses-and-Quality/Licensed Accountants/2282.aspx</vt:lpwstr>
      </vt:variant>
      <vt:variant>
        <vt:lpwstr/>
      </vt:variant>
      <vt:variant>
        <vt:i4>589906</vt:i4>
      </vt:variant>
      <vt:variant>
        <vt:i4>252</vt:i4>
      </vt:variant>
      <vt:variant>
        <vt:i4>0</vt:i4>
      </vt:variant>
      <vt:variant>
        <vt:i4>5</vt:i4>
      </vt:variant>
      <vt:variant>
        <vt:lpwstr>https://www.mevzuat.gov.tr/MevzuatMetin/1.5.3568.pdf</vt:lpwstr>
      </vt:variant>
      <vt:variant>
        <vt:lpwstr/>
      </vt:variant>
      <vt:variant>
        <vt:i4>589906</vt:i4>
      </vt:variant>
      <vt:variant>
        <vt:i4>249</vt:i4>
      </vt:variant>
      <vt:variant>
        <vt:i4>0</vt:i4>
      </vt:variant>
      <vt:variant>
        <vt:i4>5</vt:i4>
      </vt:variant>
      <vt:variant>
        <vt:lpwstr>https://www.mevzuat.gov.tr/MevzuatMetin/1.5.3568.pdf</vt:lpwstr>
      </vt:variant>
      <vt:variant>
        <vt:lpwstr/>
      </vt:variant>
      <vt:variant>
        <vt:i4>18874480</vt:i4>
      </vt:variant>
      <vt:variant>
        <vt:i4>246</vt:i4>
      </vt:variant>
      <vt:variant>
        <vt:i4>0</vt:i4>
      </vt:variant>
      <vt:variant>
        <vt:i4>5</vt:i4>
      </vt:variant>
      <vt:variant>
        <vt:lpwstr>https://mc.gov.sa/ar/Regulations/Pages/details.aspx?lawId=5163760b-4568-4f24-88e9-a81e00ae74e6</vt:lpwstr>
      </vt:variant>
      <vt:variant>
        <vt:lpwstr/>
      </vt:variant>
      <vt:variant>
        <vt:i4>5767257</vt:i4>
      </vt:variant>
      <vt:variant>
        <vt:i4>243</vt:i4>
      </vt:variant>
      <vt:variant>
        <vt:i4>0</vt:i4>
      </vt:variant>
      <vt:variant>
        <vt:i4>5</vt:i4>
      </vt:variant>
      <vt:variant>
        <vt:lpwstr>https://www.degruyter.com/search?query=*&amp;publisherFacet=Multilingual+Matters</vt:lpwstr>
      </vt:variant>
      <vt:variant>
        <vt:lpwstr/>
      </vt:variant>
      <vt:variant>
        <vt:i4>7929943</vt:i4>
      </vt:variant>
      <vt:variant>
        <vt:i4>240</vt:i4>
      </vt:variant>
      <vt:variant>
        <vt:i4>0</vt:i4>
      </vt:variant>
      <vt:variant>
        <vt:i4>5</vt:i4>
      </vt:variant>
      <vt:variant>
        <vt:lpwstr>mailto:senanuralgi@hotmail.com</vt:lpwstr>
      </vt:variant>
      <vt:variant>
        <vt:lpwstr/>
      </vt:variant>
      <vt:variant>
        <vt:i4>1703986</vt:i4>
      </vt:variant>
      <vt:variant>
        <vt:i4>237</vt:i4>
      </vt:variant>
      <vt:variant>
        <vt:i4>0</vt:i4>
      </vt:variant>
      <vt:variant>
        <vt:i4>5</vt:i4>
      </vt:variant>
      <vt:variant>
        <vt:lpwstr>mailto:Cansutncrxx@gmail.com</vt:lpwstr>
      </vt:variant>
      <vt:variant>
        <vt:lpwstr/>
      </vt:variant>
      <vt:variant>
        <vt:i4>3538947</vt:i4>
      </vt:variant>
      <vt:variant>
        <vt:i4>234</vt:i4>
      </vt:variant>
      <vt:variant>
        <vt:i4>0</vt:i4>
      </vt:variant>
      <vt:variant>
        <vt:i4>5</vt:i4>
      </vt:variant>
      <vt:variant>
        <vt:lpwstr>mailto:gull.nurr.sk@gmail.com</vt:lpwstr>
      </vt:variant>
      <vt:variant>
        <vt:lpwstr/>
      </vt:variant>
      <vt:variant>
        <vt:i4>5570678</vt:i4>
      </vt:variant>
      <vt:variant>
        <vt:i4>231</vt:i4>
      </vt:variant>
      <vt:variant>
        <vt:i4>0</vt:i4>
      </vt:variant>
      <vt:variant>
        <vt:i4>5</vt:i4>
      </vt:variant>
      <vt:variant>
        <vt:lpwstr>mailto:sadik.caliskan@inonu.edu.tr</vt:lpwstr>
      </vt:variant>
      <vt:variant>
        <vt:lpwstr/>
      </vt:variant>
      <vt:variant>
        <vt:i4>7405669</vt:i4>
      </vt:variant>
      <vt:variant>
        <vt:i4>228</vt:i4>
      </vt:variant>
      <vt:variant>
        <vt:i4>0</vt:i4>
      </vt:variant>
      <vt:variant>
        <vt:i4>5</vt:i4>
      </vt:variant>
      <vt:variant>
        <vt:lpwstr>https://doi.org/10.35365/ctjpp.19.1.11</vt:lpwstr>
      </vt:variant>
      <vt:variant>
        <vt:lpwstr/>
      </vt:variant>
      <vt:variant>
        <vt:i4>2687037</vt:i4>
      </vt:variant>
      <vt:variant>
        <vt:i4>225</vt:i4>
      </vt:variant>
      <vt:variant>
        <vt:i4>0</vt:i4>
      </vt:variant>
      <vt:variant>
        <vt:i4>5</vt:i4>
      </vt:variant>
      <vt:variant>
        <vt:lpwstr>https://doi.org/10.1186/1471-244X-4-31</vt:lpwstr>
      </vt:variant>
      <vt:variant>
        <vt:lpwstr/>
      </vt:variant>
      <vt:variant>
        <vt:i4>5242916</vt:i4>
      </vt:variant>
      <vt:variant>
        <vt:i4>222</vt:i4>
      </vt:variant>
      <vt:variant>
        <vt:i4>0</vt:i4>
      </vt:variant>
      <vt:variant>
        <vt:i4>5</vt:i4>
      </vt:variant>
      <vt:variant>
        <vt:lpwstr>mailto:edanur.ozbek@student.asbu.edu.tr</vt:lpwstr>
      </vt:variant>
      <vt:variant>
        <vt:lpwstr/>
      </vt:variant>
      <vt:variant>
        <vt:i4>1114156</vt:i4>
      </vt:variant>
      <vt:variant>
        <vt:i4>219</vt:i4>
      </vt:variant>
      <vt:variant>
        <vt:i4>0</vt:i4>
      </vt:variant>
      <vt:variant>
        <vt:i4>5</vt:i4>
      </vt:variant>
      <vt:variant>
        <vt:lpwstr>mailto:ugur.ada@gop.edu.tr</vt:lpwstr>
      </vt:variant>
      <vt:variant>
        <vt:lpwstr/>
      </vt:variant>
      <vt:variant>
        <vt:i4>1441844</vt:i4>
      </vt:variant>
      <vt:variant>
        <vt:i4>216</vt:i4>
      </vt:variant>
      <vt:variant>
        <vt:i4>0</vt:i4>
      </vt:variant>
      <vt:variant>
        <vt:i4>5</vt:i4>
      </vt:variant>
      <vt:variant>
        <vt:lpwstr>mailto:selinmavili@gmail.com</vt:lpwstr>
      </vt:variant>
      <vt:variant>
        <vt:lpwstr/>
      </vt:variant>
      <vt:variant>
        <vt:i4>2490448</vt:i4>
      </vt:variant>
      <vt:variant>
        <vt:i4>213</vt:i4>
      </vt:variant>
      <vt:variant>
        <vt:i4>0</vt:i4>
      </vt:variant>
      <vt:variant>
        <vt:i4>5</vt:i4>
      </vt:variant>
      <vt:variant>
        <vt:lpwstr>mailto:gulakgul5@gmail.com</vt:lpwstr>
      </vt:variant>
      <vt:variant>
        <vt:lpwstr/>
      </vt:variant>
      <vt:variant>
        <vt:i4>7798854</vt:i4>
      </vt:variant>
      <vt:variant>
        <vt:i4>210</vt:i4>
      </vt:variant>
      <vt:variant>
        <vt:i4>0</vt:i4>
      </vt:variant>
      <vt:variant>
        <vt:i4>5</vt:i4>
      </vt:variant>
      <vt:variant>
        <vt:lpwstr>mailto:silancelebioglu@hotmail.com</vt:lpwstr>
      </vt:variant>
      <vt:variant>
        <vt:lpwstr/>
      </vt:variant>
      <vt:variant>
        <vt:i4>983046</vt:i4>
      </vt:variant>
      <vt:variant>
        <vt:i4>207</vt:i4>
      </vt:variant>
      <vt:variant>
        <vt:i4>0</vt:i4>
      </vt:variant>
      <vt:variant>
        <vt:i4>5</vt:i4>
      </vt:variant>
      <vt:variant>
        <vt:lpwstr>https://dx.doi.org/10.17240/aibuefd.2019.19.49440-536061</vt:lpwstr>
      </vt:variant>
      <vt:variant>
        <vt:lpwstr/>
      </vt:variant>
      <vt:variant>
        <vt:i4>6684740</vt:i4>
      </vt:variant>
      <vt:variant>
        <vt:i4>204</vt:i4>
      </vt:variant>
      <vt:variant>
        <vt:i4>0</vt:i4>
      </vt:variant>
      <vt:variant>
        <vt:i4>5</vt:i4>
      </vt:variant>
      <vt:variant>
        <vt:lpwstr>https://scholars.wlu.ca/poli_faculty/12</vt:lpwstr>
      </vt:variant>
      <vt:variant>
        <vt:lpwstr/>
      </vt:variant>
      <vt:variant>
        <vt:i4>7929975</vt:i4>
      </vt:variant>
      <vt:variant>
        <vt:i4>201</vt:i4>
      </vt:variant>
      <vt:variant>
        <vt:i4>0</vt:i4>
      </vt:variant>
      <vt:variant>
        <vt:i4>5</vt:i4>
      </vt:variant>
      <vt:variant>
        <vt:lpwstr>https://doi.org/10.58830/ozgur.pub224.c984</vt:lpwstr>
      </vt:variant>
      <vt:variant>
        <vt:lpwstr/>
      </vt:variant>
      <vt:variant>
        <vt:i4>720966</vt:i4>
      </vt:variant>
      <vt:variant>
        <vt:i4>198</vt:i4>
      </vt:variant>
      <vt:variant>
        <vt:i4>0</vt:i4>
      </vt:variant>
      <vt:variant>
        <vt:i4>5</vt:i4>
      </vt:variant>
      <vt:variant>
        <vt:lpwstr>https://doi.org/10.2307 / 255908</vt:lpwstr>
      </vt:variant>
      <vt:variant>
        <vt:lpwstr/>
      </vt:variant>
      <vt:variant>
        <vt:i4>7340120</vt:i4>
      </vt:variant>
      <vt:variant>
        <vt:i4>195</vt:i4>
      </vt:variant>
      <vt:variant>
        <vt:i4>0</vt:i4>
      </vt:variant>
      <vt:variant>
        <vt:i4>5</vt:i4>
      </vt:variant>
      <vt:variant>
        <vt:lpwstr>mailto:mugealgan@yahoo.com</vt:lpwstr>
      </vt:variant>
      <vt:variant>
        <vt:lpwstr/>
      </vt:variant>
      <vt:variant>
        <vt:i4>65611</vt:i4>
      </vt:variant>
      <vt:variant>
        <vt:i4>192</vt:i4>
      </vt:variant>
      <vt:variant>
        <vt:i4>0</vt:i4>
      </vt:variant>
      <vt:variant>
        <vt:i4>5</vt:i4>
      </vt:variant>
      <vt:variant>
        <vt:lpwstr>https://www.wwf.org.tr/?14180/2023-en-sicak-yil</vt:lpwstr>
      </vt:variant>
      <vt:variant>
        <vt:lpwstr>:~:text=2023%20y%C4%B1l%C4%B1%20k%C3%BCresel%20ortalama%%2020y%20%C3%BCzey%20s%C4%B1cakl%C4%B1%C4%9F%C4%B1%2014.98%20%C2%B0C%27dir,1.48%20%C2%B0C%20daha%20s%C4%B1cakt%C4%B1%20</vt:lpwstr>
      </vt:variant>
      <vt:variant>
        <vt:i4>6619504</vt:i4>
      </vt:variant>
      <vt:variant>
        <vt:i4>189</vt:i4>
      </vt:variant>
      <vt:variant>
        <vt:i4>0</vt:i4>
      </vt:variant>
      <vt:variant>
        <vt:i4>5</vt:i4>
      </vt:variant>
      <vt:variant>
        <vt:lpwstr>https://www.worldbank.org/en/news/press-release/2024/11/12/multilateral-development-banks-to-boost-climate-finance?cid=ECR_LI_worldbank_EN_EXT</vt:lpwstr>
      </vt:variant>
      <vt:variant>
        <vt:lpwstr/>
      </vt:variant>
      <vt:variant>
        <vt:i4>2228324</vt:i4>
      </vt:variant>
      <vt:variant>
        <vt:i4>186</vt:i4>
      </vt:variant>
      <vt:variant>
        <vt:i4>0</vt:i4>
      </vt:variant>
      <vt:variant>
        <vt:i4>5</vt:i4>
      </vt:variant>
      <vt:variant>
        <vt:lpwstr>https://unfccc.int/cop28/5-key-takeaways</vt:lpwstr>
      </vt:variant>
      <vt:variant>
        <vt:lpwstr>:~:text=COP%2028%20closed%%2020with%20an,cuts%20and%20scaled%2Dup%20finance</vt:lpwstr>
      </vt:variant>
      <vt:variant>
        <vt:i4>7340120</vt:i4>
      </vt:variant>
      <vt:variant>
        <vt:i4>183</vt:i4>
      </vt:variant>
      <vt:variant>
        <vt:i4>0</vt:i4>
      </vt:variant>
      <vt:variant>
        <vt:i4>5</vt:i4>
      </vt:variant>
      <vt:variant>
        <vt:lpwstr>mailto:mugealgan@yahoo.com</vt:lpwstr>
      </vt:variant>
      <vt:variant>
        <vt:lpwstr/>
      </vt:variant>
      <vt:variant>
        <vt:i4>4128786</vt:i4>
      </vt:variant>
      <vt:variant>
        <vt:i4>180</vt:i4>
      </vt:variant>
      <vt:variant>
        <vt:i4>0</vt:i4>
      </vt:variant>
      <vt:variant>
        <vt:i4>5</vt:i4>
      </vt:variant>
      <vt:variant>
        <vt:lpwstr>mailto:hamza.oz@bozok.edu.tr</vt:lpwstr>
      </vt:variant>
      <vt:variant>
        <vt:lpwstr/>
      </vt:variant>
      <vt:variant>
        <vt:i4>4128786</vt:i4>
      </vt:variant>
      <vt:variant>
        <vt:i4>177</vt:i4>
      </vt:variant>
      <vt:variant>
        <vt:i4>0</vt:i4>
      </vt:variant>
      <vt:variant>
        <vt:i4>5</vt:i4>
      </vt:variant>
      <vt:variant>
        <vt:lpwstr>mailto:hamza.oz@bozok.edu.tr</vt:lpwstr>
      </vt:variant>
      <vt:variant>
        <vt:lpwstr/>
      </vt:variant>
      <vt:variant>
        <vt:i4>7405642</vt:i4>
      </vt:variant>
      <vt:variant>
        <vt:i4>174</vt:i4>
      </vt:variant>
      <vt:variant>
        <vt:i4>0</vt:i4>
      </vt:variant>
      <vt:variant>
        <vt:i4>5</vt:i4>
      </vt:variant>
      <vt:variant>
        <vt:lpwstr>mailto:samedatasoy1109@hotmail.com</vt:lpwstr>
      </vt:variant>
      <vt:variant>
        <vt:lpwstr/>
      </vt:variant>
      <vt:variant>
        <vt:i4>1310735</vt:i4>
      </vt:variant>
      <vt:variant>
        <vt:i4>171</vt:i4>
      </vt:variant>
      <vt:variant>
        <vt:i4>0</vt:i4>
      </vt:variant>
      <vt:variant>
        <vt:i4>5</vt:i4>
      </vt:variant>
      <vt:variant>
        <vt:lpwstr>https://www.theiia.org/globalassets/site/standards/editableversions/globalinternalauditstandards_2024january9_editable.pdf</vt:lpwstr>
      </vt:variant>
      <vt:variant>
        <vt:lpwstr/>
      </vt:variant>
      <vt:variant>
        <vt:i4>1310735</vt:i4>
      </vt:variant>
      <vt:variant>
        <vt:i4>168</vt:i4>
      </vt:variant>
      <vt:variant>
        <vt:i4>0</vt:i4>
      </vt:variant>
      <vt:variant>
        <vt:i4>5</vt:i4>
      </vt:variant>
      <vt:variant>
        <vt:lpwstr>https://www.theiia.org/globalassets/site/standards/editableversions/globalinternalauditstandards_2024january9_editable.pdf</vt:lpwstr>
      </vt:variant>
      <vt:variant>
        <vt:lpwstr/>
      </vt:variant>
      <vt:variant>
        <vt:i4>2556021</vt:i4>
      </vt:variant>
      <vt:variant>
        <vt:i4>165</vt:i4>
      </vt:variant>
      <vt:variant>
        <vt:i4>0</vt:i4>
      </vt:variant>
      <vt:variant>
        <vt:i4>5</vt:i4>
      </vt:variant>
      <vt:variant>
        <vt:lpwstr>https://www.theiia.org/globalassets/documents/resources/the-iias-three-lines-model-an-update-of-the-three-lines-of-defense-july-2020/three-lines-model-updated-english.pdf</vt:lpwstr>
      </vt:variant>
      <vt:variant>
        <vt:lpwstr/>
      </vt:variant>
      <vt:variant>
        <vt:i4>2556021</vt:i4>
      </vt:variant>
      <vt:variant>
        <vt:i4>162</vt:i4>
      </vt:variant>
      <vt:variant>
        <vt:i4>0</vt:i4>
      </vt:variant>
      <vt:variant>
        <vt:i4>5</vt:i4>
      </vt:variant>
      <vt:variant>
        <vt:lpwstr>https://www.theiia.org/globalassets/documents/resources/the-iias-three-lines-model-an-update-of-the-three-lines-of-defense-july-2020/three-lines-model-updated-english.pdf</vt:lpwstr>
      </vt:variant>
      <vt:variant>
        <vt:lpwstr/>
      </vt:variant>
      <vt:variant>
        <vt:i4>3276894</vt:i4>
      </vt:variant>
      <vt:variant>
        <vt:i4>159</vt:i4>
      </vt:variant>
      <vt:variant>
        <vt:i4>0</vt:i4>
      </vt:variant>
      <vt:variant>
        <vt:i4>5</vt:i4>
      </vt:variant>
      <vt:variant>
        <vt:lpwstr>mailto:esener@ahievran.edu.tr</vt:lpwstr>
      </vt:variant>
      <vt:variant>
        <vt:lpwstr/>
      </vt:variant>
      <vt:variant>
        <vt:i4>7077957</vt:i4>
      </vt:variant>
      <vt:variant>
        <vt:i4>156</vt:i4>
      </vt:variant>
      <vt:variant>
        <vt:i4>0</vt:i4>
      </vt:variant>
      <vt:variant>
        <vt:i4>5</vt:i4>
      </vt:variant>
      <vt:variant>
        <vt:lpwstr>mailto:bilalcanbekiroglu@gmail.com</vt:lpwstr>
      </vt:variant>
      <vt:variant>
        <vt:lpwstr/>
      </vt:variant>
      <vt:variant>
        <vt:i4>3276894</vt:i4>
      </vt:variant>
      <vt:variant>
        <vt:i4>153</vt:i4>
      </vt:variant>
      <vt:variant>
        <vt:i4>0</vt:i4>
      </vt:variant>
      <vt:variant>
        <vt:i4>5</vt:i4>
      </vt:variant>
      <vt:variant>
        <vt:lpwstr>mailto:esener@ahievran.edu.tr</vt:lpwstr>
      </vt:variant>
      <vt:variant>
        <vt:lpwstr/>
      </vt:variant>
      <vt:variant>
        <vt:i4>7077957</vt:i4>
      </vt:variant>
      <vt:variant>
        <vt:i4>150</vt:i4>
      </vt:variant>
      <vt:variant>
        <vt:i4>0</vt:i4>
      </vt:variant>
      <vt:variant>
        <vt:i4>5</vt:i4>
      </vt:variant>
      <vt:variant>
        <vt:lpwstr>mailto:bilalcanbekiroglu@gmail.com</vt:lpwstr>
      </vt:variant>
      <vt:variant>
        <vt:lpwstr/>
      </vt:variant>
      <vt:variant>
        <vt:i4>131199</vt:i4>
      </vt:variant>
      <vt:variant>
        <vt:i4>147</vt:i4>
      </vt:variant>
      <vt:variant>
        <vt:i4>0</vt:i4>
      </vt:variant>
      <vt:variant>
        <vt:i4>5</vt:i4>
      </vt:variant>
      <vt:variant>
        <vt:lpwstr>mailto:tkarakaya@dogus.edu.tr</vt:lpwstr>
      </vt:variant>
      <vt:variant>
        <vt:lpwstr/>
      </vt:variant>
      <vt:variant>
        <vt:i4>131199</vt:i4>
      </vt:variant>
      <vt:variant>
        <vt:i4>144</vt:i4>
      </vt:variant>
      <vt:variant>
        <vt:i4>0</vt:i4>
      </vt:variant>
      <vt:variant>
        <vt:i4>5</vt:i4>
      </vt:variant>
      <vt:variant>
        <vt:lpwstr>mailto:tkarakaya@dogus.edu.tr</vt:lpwstr>
      </vt:variant>
      <vt:variant>
        <vt:lpwstr/>
      </vt:variant>
      <vt:variant>
        <vt:i4>3276886</vt:i4>
      </vt:variant>
      <vt:variant>
        <vt:i4>141</vt:i4>
      </vt:variant>
      <vt:variant>
        <vt:i4>0</vt:i4>
      </vt:variant>
      <vt:variant>
        <vt:i4>5</vt:i4>
      </vt:variant>
      <vt:variant>
        <vt:lpwstr>mailto:mdogan@gelisim.edu.tr</vt:lpwstr>
      </vt:variant>
      <vt:variant>
        <vt:lpwstr/>
      </vt:variant>
      <vt:variant>
        <vt:i4>8060949</vt:i4>
      </vt:variant>
      <vt:variant>
        <vt:i4>138</vt:i4>
      </vt:variant>
      <vt:variant>
        <vt:i4>0</vt:i4>
      </vt:variant>
      <vt:variant>
        <vt:i4>5</vt:i4>
      </vt:variant>
      <vt:variant>
        <vt:lpwstr>mailto:emrefb509@gmail.com</vt:lpwstr>
      </vt:variant>
      <vt:variant>
        <vt:lpwstr/>
      </vt:variant>
      <vt:variant>
        <vt:i4>2031703</vt:i4>
      </vt:variant>
      <vt:variant>
        <vt:i4>135</vt:i4>
      </vt:variant>
      <vt:variant>
        <vt:i4>0</vt:i4>
      </vt:variant>
      <vt:variant>
        <vt:i4>5</vt:i4>
      </vt:variant>
      <vt:variant>
        <vt:lpwstr>https://doi.org/10.1177/0020872817717321</vt:lpwstr>
      </vt:variant>
      <vt:variant>
        <vt:lpwstr/>
      </vt:variant>
      <vt:variant>
        <vt:i4>3866723</vt:i4>
      </vt:variant>
      <vt:variant>
        <vt:i4>132</vt:i4>
      </vt:variant>
      <vt:variant>
        <vt:i4>0</vt:i4>
      </vt:variant>
      <vt:variant>
        <vt:i4>5</vt:i4>
      </vt:variant>
      <vt:variant>
        <vt:lpwstr>https://esnafkoop.ticaret.gov.tr/haberler/turkiye-kooperatifcilik-stratejisi-taslagi-2025-2029-hazirlik-calismalari-toplantisi-yapildi</vt:lpwstr>
      </vt:variant>
      <vt:variant>
        <vt:lpwstr/>
      </vt:variant>
      <vt:variant>
        <vt:i4>19267706</vt:i4>
      </vt:variant>
      <vt:variant>
        <vt:i4>129</vt:i4>
      </vt:variant>
      <vt:variant>
        <vt:i4>0</vt:i4>
      </vt:variant>
      <vt:variant>
        <vt:i4>5</vt:i4>
      </vt:variant>
      <vt:variant>
        <vt:lpwstr>https://www.sbb.gov.tr/wp-content/uploads/2023/12/On-Ikinci-Kalkinma-Plani_2024-2028_11122023.pdf Son Eri%C5%9Fim Tarihi 27.02.2025</vt:lpwstr>
      </vt:variant>
      <vt:variant>
        <vt:lpwstr/>
      </vt:variant>
      <vt:variant>
        <vt:i4>1507421</vt:i4>
      </vt:variant>
      <vt:variant>
        <vt:i4>126</vt:i4>
      </vt:variant>
      <vt:variant>
        <vt:i4>0</vt:i4>
      </vt:variant>
      <vt:variant>
        <vt:i4>5</vt:i4>
      </vt:variant>
      <vt:variant>
        <vt:lpwstr>https://doi.org/10.1177/0170840613479226</vt:lpwstr>
      </vt:variant>
      <vt:variant>
        <vt:lpwstr/>
      </vt:variant>
      <vt:variant>
        <vt:i4>524375</vt:i4>
      </vt:variant>
      <vt:variant>
        <vt:i4>123</vt:i4>
      </vt:variant>
      <vt:variant>
        <vt:i4>0</vt:i4>
      </vt:variant>
      <vt:variant>
        <vt:i4>5</vt:i4>
      </vt:variant>
      <vt:variant>
        <vt:lpwstr>https://doi.org/10.36689/uhk/hed/2018-01-044</vt:lpwstr>
      </vt:variant>
      <vt:variant>
        <vt:lpwstr/>
      </vt:variant>
      <vt:variant>
        <vt:i4>2883638</vt:i4>
      </vt:variant>
      <vt:variant>
        <vt:i4>120</vt:i4>
      </vt:variant>
      <vt:variant>
        <vt:i4>0</vt:i4>
      </vt:variant>
      <vt:variant>
        <vt:i4>5</vt:i4>
      </vt:variant>
      <vt:variant>
        <vt:lpwstr>https://ticaret.gov.tr/kooperatifcilik/koop-bis</vt:lpwstr>
      </vt:variant>
      <vt:variant>
        <vt:lpwstr/>
      </vt:variant>
      <vt:variant>
        <vt:i4>5111916</vt:i4>
      </vt:variant>
      <vt:variant>
        <vt:i4>117</vt:i4>
      </vt:variant>
      <vt:variant>
        <vt:i4>0</vt:i4>
      </vt:variant>
      <vt:variant>
        <vt:i4>5</vt:i4>
      </vt:variant>
      <vt:variant>
        <vt:lpwstr>https://www.kedv.org.tr/public/uploads/files/6_Kad%C4%B1n Kooperatifleri Bulus%CC%A7mas%C4%B1 Raporu.pdf</vt:lpwstr>
      </vt:variant>
      <vt:variant>
        <vt:lpwstr/>
      </vt:variant>
      <vt:variant>
        <vt:i4>5046380</vt:i4>
      </vt:variant>
      <vt:variant>
        <vt:i4>114</vt:i4>
      </vt:variant>
      <vt:variant>
        <vt:i4>0</vt:i4>
      </vt:variant>
      <vt:variant>
        <vt:i4>5</vt:i4>
      </vt:variant>
      <vt:variant>
        <vt:lpwstr>https://www.kedv.org.tr/public/uploads/files/5_Kad%C4%B1n Kooperatifleri Bulus%CC%A7mas%C4%B1 Raporu.pdf</vt:lpwstr>
      </vt:variant>
      <vt:variant>
        <vt:lpwstr/>
      </vt:variant>
      <vt:variant>
        <vt:i4>4915212</vt:i4>
      </vt:variant>
      <vt:variant>
        <vt:i4>111</vt:i4>
      </vt:variant>
      <vt:variant>
        <vt:i4>0</vt:i4>
      </vt:variant>
      <vt:variant>
        <vt:i4>5</vt:i4>
      </vt:variant>
      <vt:variant>
        <vt:lpwstr>https://www.ilo.org/tr/media/93931/download</vt:lpwstr>
      </vt:variant>
      <vt:variant>
        <vt:lpwstr>:~:text=%E2%9E%A2%20Ticaret%20Bakanl%C4%B1%C4%9F%C4%B1n%C4%B1n%2014.05.2021,nin%20say%C4%B1s%C4%B1%20594%20olarak%20belirtilmi%C5%9</vt:lpwstr>
      </vt:variant>
      <vt:variant>
        <vt:i4>3473521</vt:i4>
      </vt:variant>
      <vt:variant>
        <vt:i4>108</vt:i4>
      </vt:variant>
      <vt:variant>
        <vt:i4>0</vt:i4>
      </vt:variant>
      <vt:variant>
        <vt:i4>5</vt:i4>
      </vt:variant>
      <vt:variant>
        <vt:lpwstr>https://doi.org/10.1111/apce.12053</vt:lpwstr>
      </vt:variant>
      <vt:variant>
        <vt:lpwstr/>
      </vt:variant>
      <vt:variant>
        <vt:i4>5701702</vt:i4>
      </vt:variant>
      <vt:variant>
        <vt:i4>105</vt:i4>
      </vt:variant>
      <vt:variant>
        <vt:i4>0</vt:i4>
      </vt:variant>
      <vt:variant>
        <vt:i4>5</vt:i4>
      </vt:variant>
      <vt:variant>
        <vt:lpwstr>https://www.kadinkoop.org/belgeler/mevcut durum 2015 %281%29.pdf</vt:lpwstr>
      </vt:variant>
      <vt:variant>
        <vt:lpwstr/>
      </vt:variant>
      <vt:variant>
        <vt:i4>4980822</vt:i4>
      </vt:variant>
      <vt:variant>
        <vt:i4>102</vt:i4>
      </vt:variant>
      <vt:variant>
        <vt:i4>0</vt:i4>
      </vt:variant>
      <vt:variant>
        <vt:i4>5</vt:i4>
      </vt:variant>
      <vt:variant>
        <vt:lpwstr>https://doi.org/10.1108/sej-10-2013-0039</vt:lpwstr>
      </vt:variant>
      <vt:variant>
        <vt:lpwstr/>
      </vt:variant>
      <vt:variant>
        <vt:i4>5242971</vt:i4>
      </vt:variant>
      <vt:variant>
        <vt:i4>99</vt:i4>
      </vt:variant>
      <vt:variant>
        <vt:i4>0</vt:i4>
      </vt:variant>
      <vt:variant>
        <vt:i4>5</vt:i4>
      </vt:variant>
      <vt:variant>
        <vt:lpwstr>https://doi.org/10.1177/0094582x10382098</vt:lpwstr>
      </vt:variant>
      <vt:variant>
        <vt:lpwstr/>
      </vt:variant>
      <vt:variant>
        <vt:i4>6684735</vt:i4>
      </vt:variant>
      <vt:variant>
        <vt:i4>96</vt:i4>
      </vt:variant>
      <vt:variant>
        <vt:i4>0</vt:i4>
      </vt:variant>
      <vt:variant>
        <vt:i4>5</vt:i4>
      </vt:variant>
      <vt:variant>
        <vt:lpwstr>https://doi.org/10.5539/sar.v8n1p42</vt:lpwstr>
      </vt:variant>
      <vt:variant>
        <vt:lpwstr/>
      </vt:variant>
      <vt:variant>
        <vt:i4>65655</vt:i4>
      </vt:variant>
      <vt:variant>
        <vt:i4>93</vt:i4>
      </vt:variant>
      <vt:variant>
        <vt:i4>0</vt:i4>
      </vt:variant>
      <vt:variant>
        <vt:i4>5</vt:i4>
      </vt:variant>
      <vt:variant>
        <vt:lpwstr>mailto:mtuncay@cumhuriyet.edu.tr</vt:lpwstr>
      </vt:variant>
      <vt:variant>
        <vt:lpwstr/>
      </vt:variant>
      <vt:variant>
        <vt:i4>327736</vt:i4>
      </vt:variant>
      <vt:variant>
        <vt:i4>90</vt:i4>
      </vt:variant>
      <vt:variant>
        <vt:i4>0</vt:i4>
      </vt:variant>
      <vt:variant>
        <vt:i4>5</vt:i4>
      </vt:variant>
      <vt:variant>
        <vt:lpwstr>mailto:raziyerdogan@hotmail.com</vt:lpwstr>
      </vt:variant>
      <vt:variant>
        <vt:lpwstr/>
      </vt:variant>
      <vt:variant>
        <vt:i4>7340127</vt:i4>
      </vt:variant>
      <vt:variant>
        <vt:i4>87</vt:i4>
      </vt:variant>
      <vt:variant>
        <vt:i4>0</vt:i4>
      </vt:variant>
      <vt:variant>
        <vt:i4>5</vt:i4>
      </vt:variant>
      <vt:variant>
        <vt:lpwstr>mailto:kaderuyar4242@gmail.com</vt:lpwstr>
      </vt:variant>
      <vt:variant>
        <vt:lpwstr/>
      </vt:variant>
      <vt:variant>
        <vt:i4>852029</vt:i4>
      </vt:variant>
      <vt:variant>
        <vt:i4>84</vt:i4>
      </vt:variant>
      <vt:variant>
        <vt:i4>0</vt:i4>
      </vt:variant>
      <vt:variant>
        <vt:i4>5</vt:i4>
      </vt:variant>
      <vt:variant>
        <vt:lpwstr>mailto:aydakorkmazdag@gmail.com</vt:lpwstr>
      </vt:variant>
      <vt:variant>
        <vt:lpwstr/>
      </vt:variant>
      <vt:variant>
        <vt:i4>6225941</vt:i4>
      </vt:variant>
      <vt:variant>
        <vt:i4>81</vt:i4>
      </vt:variant>
      <vt:variant>
        <vt:i4>0</vt:i4>
      </vt:variant>
      <vt:variant>
        <vt:i4>5</vt:i4>
      </vt:variant>
      <vt:variant>
        <vt:lpwstr>https://orcid.org/0000-0003-4836-5108</vt:lpwstr>
      </vt:variant>
      <vt:variant>
        <vt:lpwstr/>
      </vt:variant>
      <vt:variant>
        <vt:i4>3866654</vt:i4>
      </vt:variant>
      <vt:variant>
        <vt:i4>78</vt:i4>
      </vt:variant>
      <vt:variant>
        <vt:i4>0</vt:i4>
      </vt:variant>
      <vt:variant>
        <vt:i4>5</vt:i4>
      </vt:variant>
      <vt:variant>
        <vt:lpwstr>mailto:hikmet.menguaslan@adu.edu.tr</vt:lpwstr>
      </vt:variant>
      <vt:variant>
        <vt:lpwstr/>
      </vt:variant>
      <vt:variant>
        <vt:i4>6619204</vt:i4>
      </vt:variant>
      <vt:variant>
        <vt:i4>75</vt:i4>
      </vt:variant>
      <vt:variant>
        <vt:i4>0</vt:i4>
      </vt:variant>
      <vt:variant>
        <vt:i4>5</vt:i4>
      </vt:variant>
      <vt:variant>
        <vt:lpwstr>mailto:Zeynbkocak@gmail.coom</vt:lpwstr>
      </vt:variant>
      <vt:variant>
        <vt:lpwstr/>
      </vt:variant>
      <vt:variant>
        <vt:i4>6619204</vt:i4>
      </vt:variant>
      <vt:variant>
        <vt:i4>72</vt:i4>
      </vt:variant>
      <vt:variant>
        <vt:i4>0</vt:i4>
      </vt:variant>
      <vt:variant>
        <vt:i4>5</vt:i4>
      </vt:variant>
      <vt:variant>
        <vt:lpwstr>mailto:Zeynbkocak@gmail.coom</vt:lpwstr>
      </vt:variant>
      <vt:variant>
        <vt:lpwstr/>
      </vt:variant>
      <vt:variant>
        <vt:i4>4194413</vt:i4>
      </vt:variant>
      <vt:variant>
        <vt:i4>69</vt:i4>
      </vt:variant>
      <vt:variant>
        <vt:i4>0</vt:i4>
      </vt:variant>
      <vt:variant>
        <vt:i4>5</vt:i4>
      </vt:variant>
      <vt:variant>
        <vt:lpwstr>mailto:iremkariksiz00@gmail.com</vt:lpwstr>
      </vt:variant>
      <vt:variant>
        <vt:lpwstr/>
      </vt:variant>
      <vt:variant>
        <vt:i4>3538967</vt:i4>
      </vt:variant>
      <vt:variant>
        <vt:i4>66</vt:i4>
      </vt:variant>
      <vt:variant>
        <vt:i4>0</vt:i4>
      </vt:variant>
      <vt:variant>
        <vt:i4>5</vt:i4>
      </vt:variant>
      <vt:variant>
        <vt:lpwstr>mailto:yunus.acci@iste.edu.tr</vt:lpwstr>
      </vt:variant>
      <vt:variant>
        <vt:lpwstr/>
      </vt:variant>
      <vt:variant>
        <vt:i4>2687052</vt:i4>
      </vt:variant>
      <vt:variant>
        <vt:i4>63</vt:i4>
      </vt:variant>
      <vt:variant>
        <vt:i4>0</vt:i4>
      </vt:variant>
      <vt:variant>
        <vt:i4>5</vt:i4>
      </vt:variant>
      <vt:variant>
        <vt:lpwstr>mailto:m.kazanci.lee22@iste.edu.tr</vt:lpwstr>
      </vt:variant>
      <vt:variant>
        <vt:lpwstr/>
      </vt:variant>
      <vt:variant>
        <vt:i4>1572991</vt:i4>
      </vt:variant>
      <vt:variant>
        <vt:i4>60</vt:i4>
      </vt:variant>
      <vt:variant>
        <vt:i4>0</vt:i4>
      </vt:variant>
      <vt:variant>
        <vt:i4>5</vt:i4>
      </vt:variant>
      <vt:variant>
        <vt:lpwstr>mailto:yasinyildirim@karatekin.edu.tr</vt:lpwstr>
      </vt:variant>
      <vt:variant>
        <vt:lpwstr/>
      </vt:variant>
      <vt:variant>
        <vt:i4>1900642</vt:i4>
      </vt:variant>
      <vt:variant>
        <vt:i4>57</vt:i4>
      </vt:variant>
      <vt:variant>
        <vt:i4>0</vt:i4>
      </vt:variant>
      <vt:variant>
        <vt:i4>5</vt:i4>
      </vt:variant>
      <vt:variant>
        <vt:lpwstr>mailto:nesibecakir@kmu.edu.tr</vt:lpwstr>
      </vt:variant>
      <vt:variant>
        <vt:lpwstr/>
      </vt:variant>
      <vt:variant>
        <vt:i4>6094870</vt:i4>
      </vt:variant>
      <vt:variant>
        <vt:i4>54</vt:i4>
      </vt:variant>
      <vt:variant>
        <vt:i4>0</vt:i4>
      </vt:variant>
      <vt:variant>
        <vt:i4>5</vt:i4>
      </vt:variant>
      <vt:variant>
        <vt:lpwstr>https://orcid.org/0000-0003-4412-8076</vt:lpwstr>
      </vt:variant>
      <vt:variant>
        <vt:lpwstr/>
      </vt:variant>
      <vt:variant>
        <vt:i4>7274515</vt:i4>
      </vt:variant>
      <vt:variant>
        <vt:i4>51</vt:i4>
      </vt:variant>
      <vt:variant>
        <vt:i4>0</vt:i4>
      </vt:variant>
      <vt:variant>
        <vt:i4>5</vt:i4>
      </vt:variant>
      <vt:variant>
        <vt:lpwstr>mailto:timucin.arslan@hotmail.com</vt:lpwstr>
      </vt:variant>
      <vt:variant>
        <vt:lpwstr/>
      </vt:variant>
      <vt:variant>
        <vt:i4>3539038</vt:i4>
      </vt:variant>
      <vt:variant>
        <vt:i4>48</vt:i4>
      </vt:variant>
      <vt:variant>
        <vt:i4>0</vt:i4>
      </vt:variant>
      <vt:variant>
        <vt:i4>5</vt:i4>
      </vt:variant>
      <vt:variant>
        <vt:lpwstr>mailto:kaya-tugba@ogr.ahievran.edu.tr</vt:lpwstr>
      </vt:variant>
      <vt:variant>
        <vt:lpwstr/>
      </vt:variant>
      <vt:variant>
        <vt:i4>1572991</vt:i4>
      </vt:variant>
      <vt:variant>
        <vt:i4>45</vt:i4>
      </vt:variant>
      <vt:variant>
        <vt:i4>0</vt:i4>
      </vt:variant>
      <vt:variant>
        <vt:i4>5</vt:i4>
      </vt:variant>
      <vt:variant>
        <vt:lpwstr>mailto:yasinyildirim@karatekin.edu.tr</vt:lpwstr>
      </vt:variant>
      <vt:variant>
        <vt:lpwstr/>
      </vt:variant>
      <vt:variant>
        <vt:i4>3538948</vt:i4>
      </vt:variant>
      <vt:variant>
        <vt:i4>42</vt:i4>
      </vt:variant>
      <vt:variant>
        <vt:i4>0</vt:i4>
      </vt:variant>
      <vt:variant>
        <vt:i4>5</vt:i4>
      </vt:variant>
      <vt:variant>
        <vt:lpwstr>mailto:akgulpinar35@gmail.com</vt:lpwstr>
      </vt:variant>
      <vt:variant>
        <vt:lpwstr/>
      </vt:variant>
      <vt:variant>
        <vt:i4>2097162</vt:i4>
      </vt:variant>
      <vt:variant>
        <vt:i4>39</vt:i4>
      </vt:variant>
      <vt:variant>
        <vt:i4>0</vt:i4>
      </vt:variant>
      <vt:variant>
        <vt:i4>5</vt:i4>
      </vt:variant>
      <vt:variant>
        <vt:lpwstr>mailto:semayaprak15@gmail.com</vt:lpwstr>
      </vt:variant>
      <vt:variant>
        <vt:lpwstr/>
      </vt:variant>
      <vt:variant>
        <vt:i4>4522055</vt:i4>
      </vt:variant>
      <vt:variant>
        <vt:i4>36</vt:i4>
      </vt:variant>
      <vt:variant>
        <vt:i4>0</vt:i4>
      </vt:variant>
      <vt:variant>
        <vt:i4>5</vt:i4>
      </vt:variant>
      <vt:variant>
        <vt:lpwstr>https://www.forbes.com/councils/forbesbusinesscouncil/2023/09/20/niche-communities-unleashing-the-power-of-micro-influencers/</vt:lpwstr>
      </vt:variant>
      <vt:variant>
        <vt:lpwstr/>
      </vt:variant>
      <vt:variant>
        <vt:i4>3211307</vt:i4>
      </vt:variant>
      <vt:variant>
        <vt:i4>33</vt:i4>
      </vt:variant>
      <vt:variant>
        <vt:i4>0</vt:i4>
      </vt:variant>
      <vt:variant>
        <vt:i4>5</vt:i4>
      </vt:variant>
      <vt:variant>
        <vt:lpwstr>https://www.searchenginejournal.com/yahoo-groups-to-fully-shut-down-on-december-15-2020/384313/</vt:lpwstr>
      </vt:variant>
      <vt:variant>
        <vt:lpwstr/>
      </vt:variant>
      <vt:variant>
        <vt:i4>5701722</vt:i4>
      </vt:variant>
      <vt:variant>
        <vt:i4>30</vt:i4>
      </vt:variant>
      <vt:variant>
        <vt:i4>0</vt:i4>
      </vt:variant>
      <vt:variant>
        <vt:i4>5</vt:i4>
      </vt:variant>
      <vt:variant>
        <vt:lpwstr>https://seotactica.com/learn/quora-vs-reddit/</vt:lpwstr>
      </vt:variant>
      <vt:variant>
        <vt:lpwstr/>
      </vt:variant>
      <vt:variant>
        <vt:i4>4522049</vt:i4>
      </vt:variant>
      <vt:variant>
        <vt:i4>27</vt:i4>
      </vt:variant>
      <vt:variant>
        <vt:i4>0</vt:i4>
      </vt:variant>
      <vt:variant>
        <vt:i4>5</vt:i4>
      </vt:variant>
      <vt:variant>
        <vt:lpwstr>https://www.techedt.com/messengers-new-community-chats-no-longer-need-facebook-groups</vt:lpwstr>
      </vt:variant>
      <vt:variant>
        <vt:lpwstr/>
      </vt:variant>
      <vt:variant>
        <vt:i4>5374024</vt:i4>
      </vt:variant>
      <vt:variant>
        <vt:i4>24</vt:i4>
      </vt:variant>
      <vt:variant>
        <vt:i4>0</vt:i4>
      </vt:variant>
      <vt:variant>
        <vt:i4>5</vt:i4>
      </vt:variant>
      <vt:variant>
        <vt:lpwstr>https://www.propeller.co.uk/insights/tiktok-micro-communities</vt:lpwstr>
      </vt:variant>
      <vt:variant>
        <vt:lpwstr/>
      </vt:variant>
      <vt:variant>
        <vt:i4>4325427</vt:i4>
      </vt:variant>
      <vt:variant>
        <vt:i4>21</vt:i4>
      </vt:variant>
      <vt:variant>
        <vt:i4>0</vt:i4>
      </vt:variant>
      <vt:variant>
        <vt:i4>5</vt:i4>
      </vt:variant>
      <vt:variant>
        <vt:lpwstr>https://cmsimpact.org/wp-content/uploads/2016/03/beyond_the_hashtags_2016.pdf</vt:lpwstr>
      </vt:variant>
      <vt:variant>
        <vt:lpwstr/>
      </vt:variant>
      <vt:variant>
        <vt:i4>2752628</vt:i4>
      </vt:variant>
      <vt:variant>
        <vt:i4>18</vt:i4>
      </vt:variant>
      <vt:variant>
        <vt:i4>0</vt:i4>
      </vt:variant>
      <vt:variant>
        <vt:i4>5</vt:i4>
      </vt:variant>
      <vt:variant>
        <vt:lpwstr>https://eksisozluk.com/entry/125231929</vt:lpwstr>
      </vt:variant>
      <vt:variant>
        <vt:lpwstr/>
      </vt:variant>
      <vt:variant>
        <vt:i4>2883706</vt:i4>
      </vt:variant>
      <vt:variant>
        <vt:i4>15</vt:i4>
      </vt:variant>
      <vt:variant>
        <vt:i4>0</vt:i4>
      </vt:variant>
      <vt:variant>
        <vt:i4>5</vt:i4>
      </vt:variant>
      <vt:variant>
        <vt:lpwstr>https://eksisozluk.com/entry/147008116</vt:lpwstr>
      </vt:variant>
      <vt:variant>
        <vt:lpwstr/>
      </vt:variant>
      <vt:variant>
        <vt:i4>5308432</vt:i4>
      </vt:variant>
      <vt:variant>
        <vt:i4>12</vt:i4>
      </vt:variant>
      <vt:variant>
        <vt:i4>0</vt:i4>
      </vt:variant>
      <vt:variant>
        <vt:i4>5</vt:i4>
      </vt:variant>
      <vt:variant>
        <vt:lpwstr>https://doi.org/10.1111/j.1468-2885.2009.01347.x</vt:lpwstr>
      </vt:variant>
      <vt:variant>
        <vt:lpwstr/>
      </vt:variant>
      <vt:variant>
        <vt:i4>5111825</vt:i4>
      </vt:variant>
      <vt:variant>
        <vt:i4>9</vt:i4>
      </vt:variant>
      <vt:variant>
        <vt:i4>0</vt:i4>
      </vt:variant>
      <vt:variant>
        <vt:i4>5</vt:i4>
      </vt:variant>
      <vt:variant>
        <vt:lpwstr>https://www.tandfonline.com/doi/full/10.1080/16184742.2020.1868546?scroll=top&amp;needAccess=true</vt:lpwstr>
      </vt:variant>
      <vt:variant>
        <vt:lpwstr/>
      </vt:variant>
      <vt:variant>
        <vt:i4>1376290</vt:i4>
      </vt:variant>
      <vt:variant>
        <vt:i4>6</vt:i4>
      </vt:variant>
      <vt:variant>
        <vt:i4>0</vt:i4>
      </vt:variant>
      <vt:variant>
        <vt:i4>5</vt:i4>
      </vt:variant>
      <vt:variant>
        <vt:lpwstr>mailto:mhilmibulut@gmail.com</vt:lpwstr>
      </vt:variant>
      <vt:variant>
        <vt:lpwstr/>
      </vt:variant>
      <vt:variant>
        <vt:i4>2818048</vt:i4>
      </vt:variant>
      <vt:variant>
        <vt:i4>3</vt:i4>
      </vt:variant>
      <vt:variant>
        <vt:i4>0</vt:i4>
      </vt:variant>
      <vt:variant>
        <vt:i4>5</vt:i4>
      </vt:variant>
      <vt:variant>
        <vt:lpwstr>mailto:s220303007@ankarabilim.edu.tr</vt:lpwstr>
      </vt:variant>
      <vt:variant>
        <vt:lpwstr/>
      </vt:variant>
      <vt:variant>
        <vt:i4>1769533</vt:i4>
      </vt:variant>
      <vt:variant>
        <vt:i4>0</vt:i4>
      </vt:variant>
      <vt:variant>
        <vt:i4>0</vt:i4>
      </vt:variant>
      <vt:variant>
        <vt:i4>5</vt:i4>
      </vt:variant>
      <vt:variant>
        <vt:lpwstr>mailto:irmak.bayar@ankarabilim.edu.tr</vt:lpwstr>
      </vt:variant>
      <vt:variant>
        <vt:lpwstr/>
      </vt:variant>
      <vt:variant>
        <vt:i4>1638423</vt:i4>
      </vt:variant>
      <vt:variant>
        <vt:i4>3</vt:i4>
      </vt:variant>
      <vt:variant>
        <vt:i4>0</vt:i4>
      </vt:variant>
      <vt:variant>
        <vt:i4>5</vt:i4>
      </vt:variant>
      <vt:variant>
        <vt:lpwstr>http://www.turkedebiyatiisimlersozlugu.com/index.php?sayfa=de-tay&amp;detay=6797</vt:lpwstr>
      </vt:variant>
      <vt:variant>
        <vt:lpwstr/>
      </vt:variant>
      <vt:variant>
        <vt:i4>1638423</vt:i4>
      </vt:variant>
      <vt:variant>
        <vt:i4>0</vt:i4>
      </vt:variant>
      <vt:variant>
        <vt:i4>0</vt:i4>
      </vt:variant>
      <vt:variant>
        <vt:i4>5</vt:i4>
      </vt:variant>
      <vt:variant>
        <vt:lpwstr>http://www.turkedebiyatiisimlersozlugu.com/index.php?sayfa=de-tay&amp;detay=6797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Hatice Çevik</dc:creator>
  <cp:keywords/>
  <cp:lastModifiedBy>Adil Akkuş</cp:lastModifiedBy>
  <cp:revision>95</cp:revision>
  <cp:lastPrinted>2025-03-14T11:52:00Z</cp:lastPrinted>
  <dcterms:created xsi:type="dcterms:W3CDTF">2025-03-10T15:58:00Z</dcterms:created>
  <dcterms:modified xsi:type="dcterms:W3CDTF">2025-03-17T11:23:00Z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c7fcaa8110d0b6177cc680a8993576295b625edfbbf2a19e514da4dfce59ad3c</vt:lpwstr>
  </property>
</Properties>
</file>